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xl/workbook.xml" ContentType="application/vnd.openxmlformats-officedocument.spreadsheetml.sheet.main+xml"/>
  <Override PartName="/xl/worksheets/sheet1.xml" ContentType="application/vnd.openxmlformats-officedocument.spreadsheetml.worksheet+xml"/>
  <Override PartName="/xl/worksheets/sheet2.xml" ContentType="application/vnd.openxmlformats-officedocument.spreadsheetml.worksheet+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xl/workbook.xml"/><Relationship Id="rId2" Type="http://schemas.openxmlformats.org/package/2006/relationships/metadata/thumbnail" Target="docProps/thumbnail.jpeg"/></Relationships>
</file>

<file path=xl/workbook.xml><?xml version="1.0" encoding="utf-8"?>
<workbook xmlns="http://schemas.openxmlformats.org/spreadsheetml/2006/main" xmlns:r="http://schemas.openxmlformats.org/officeDocument/2006/relationships">
  <fileVersion appName="xl" lastEdited="5" lowestEdited="5" rupBuild="28028"/>
  <workbookPr date1904="1" showInkAnnotation="0" autoCompressPictures="0"/>
  <bookViews>
    <workbookView xWindow="620" yWindow="0" windowWidth="25600" windowHeight="14040" tabRatio="500"/>
  </bookViews>
  <sheets>
    <sheet name="1709.txt" sheetId="1" r:id="rId1"/>
    <sheet name="Sheet1" sheetId="2" r:id="rId2"/>
  </sheets>
  <calcPr calcId="140001" concurrentCalc="0"/>
  <extLst>
    <ext xmlns:mx="http://schemas.microsoft.com/office/mac/excel/2008/main" uri="{7523E5D3-25F3-A5E0-1632-64F254C22452}">
      <mx:ArchID Flags="2"/>
    </ext>
  </extLst>
</workbook>
</file>

<file path=xl/sharedStrings.xml><?xml version="1.0" encoding="utf-8"?>
<sst xmlns="http://schemas.openxmlformats.org/spreadsheetml/2006/main" count="159897" uniqueCount="25853">
  <si>
    <t>Reference Type</t>
  </si>
  <si>
    <t>Authors, Primary</t>
  </si>
  <si>
    <t>Title Primary</t>
  </si>
  <si>
    <t>Periodical Full</t>
  </si>
  <si>
    <t>Periodical Abbrev</t>
  </si>
  <si>
    <t>Pub Year</t>
  </si>
  <si>
    <t>Pub Date Free From</t>
  </si>
  <si>
    <t>Volume</t>
  </si>
  <si>
    <t>Issue</t>
  </si>
  <si>
    <t>Start Page</t>
  </si>
  <si>
    <t>Other Pages</t>
  </si>
  <si>
    <t>Keywords</t>
  </si>
  <si>
    <t>Abstract</t>
  </si>
  <si>
    <t>Notes</t>
  </si>
  <si>
    <t>Personal Notes</t>
  </si>
  <si>
    <t>Authors, Secondary</t>
  </si>
  <si>
    <t>Title Secondary</t>
  </si>
  <si>
    <t>Edition</t>
  </si>
  <si>
    <t>Publisher</t>
  </si>
  <si>
    <t>Place Of Publication</t>
  </si>
  <si>
    <t>Authors, Tertiary</t>
  </si>
  <si>
    <t>Authors, Quaternary</t>
  </si>
  <si>
    <t>Authors, Quinary</t>
  </si>
  <si>
    <t>Title, Tertiary</t>
  </si>
  <si>
    <t>ISSN/ISBN</t>
  </si>
  <si>
    <t>Availability</t>
  </si>
  <si>
    <t>Author/Address</t>
  </si>
  <si>
    <t>Accession Number</t>
  </si>
  <si>
    <t>Language</t>
  </si>
  <si>
    <t>Classification</t>
  </si>
  <si>
    <t>Sub file/Database</t>
  </si>
  <si>
    <t>Original Foreign Title</t>
  </si>
  <si>
    <t>Links</t>
  </si>
  <si>
    <t>URL</t>
  </si>
  <si>
    <t>DOI</t>
  </si>
  <si>
    <t>PMID</t>
  </si>
  <si>
    <t>PMCID</t>
  </si>
  <si>
    <t>Call Number</t>
  </si>
  <si>
    <t>Database</t>
  </si>
  <si>
    <t>Data Source</t>
  </si>
  <si>
    <t>Identifying Phrase</t>
  </si>
  <si>
    <t>Retrieved Date</t>
  </si>
  <si>
    <t>Shortened Title</t>
  </si>
  <si>
    <t>User 1</t>
  </si>
  <si>
    <t>User 2</t>
  </si>
  <si>
    <t>User 3</t>
  </si>
  <si>
    <t>User 4</t>
  </si>
  <si>
    <t>User 5</t>
  </si>
  <si>
    <t>User 6</t>
  </si>
  <si>
    <t>User 7</t>
  </si>
  <si>
    <t>User 8</t>
  </si>
  <si>
    <t>User 9</t>
  </si>
  <si>
    <t>User 10</t>
  </si>
  <si>
    <t>User 11</t>
  </si>
  <si>
    <t>User 12</t>
  </si>
  <si>
    <t>User 13</t>
  </si>
  <si>
    <t>User 14</t>
  </si>
  <si>
    <t>User 15</t>
  </si>
  <si>
    <t>Journal Article</t>
  </si>
  <si>
    <t>Avoiding Problems from Opioid Pain Medicine</t>
  </si>
  <si>
    <t>American Family Physician</t>
  </si>
  <si>
    <t>Am.Fam.Physician</t>
  </si>
  <si>
    <t>Online</t>
  </si>
  <si>
    <t xml:space="preserve"> </t>
  </si>
  <si>
    <t>*Analgesics, Opioid/ae Adverse Effects];*Analgesics, Opioid/tu Therapeutic Use];Humans;*Opioid-Related Disorders/et Etiology];*Pain/dt Drug Therapy];*Patient Education as Topic;United States;0 (Analgesics, Opioid)</t>
  </si>
  <si>
    <t>J2: Am Fam Physician; ID: 108</t>
  </si>
  <si>
    <t>1532-0650</t>
  </si>
  <si>
    <t>English</t>
  </si>
  <si>
    <t>http://ovidsp.ovid.com/ovidweb.cgi?T=JS&amp;CSC=Y&amp;NEWS=N&amp;PAGE=fulltext&amp;D=med8&amp;AN=27304780</t>
  </si>
  <si>
    <t>MEDLINE; Ovid Technologies; Avoiding Problems from Opioid Pain Medicine</t>
  </si>
  <si>
    <t>Addiction Psychiatry</t>
  </si>
  <si>
    <t>Clinical privilege white paper</t>
  </si>
  <si>
    <t>Clin.Privil.White Pap.</t>
  </si>
  <si>
    <t>Jun</t>
  </si>
  <si>
    <t>*Credentialing/st Standards];*Education, Medical, Graduate/st Standards];Humans;Joint Commission on Accreditation of Healthcare Organizations;Medical Staff Privileges;*Psychiatry/ed Education];Psychiatry/st Standards];Specialty Boards;*Substance-Related Disorders;United States</t>
  </si>
  <si>
    <t>J2: Clin Privil White Pap; ID: 148</t>
  </si>
  <si>
    <t>http://ovidsp.ovid.com/ovidweb.cgi?T=JS&amp;CSC=Y&amp;NEWS=N&amp;PAGE=fulltext&amp;D=med8&amp;AN=27735173</t>
  </si>
  <si>
    <t>MEDLINE; Ovid Technologies; Addiction Psychiatry</t>
  </si>
  <si>
    <t>Free CME available for using HHS' new opioid training tool</t>
  </si>
  <si>
    <t>*Analgesics, Opioid/tu Therapeutic Use];Education, Medical, Continuing/ec Economics];*Education, Medical, Continuing;Humans;Internet;United States;United States Dept. of Health and Human Services;0 (Analgesics, Opioid)</t>
  </si>
  <si>
    <t>J2: Am Fam Physician; ID: 161</t>
  </si>
  <si>
    <t>http://ovidsp.ovid.com/ovidweb.cgi?T=JS&amp;CSC=Y&amp;NEWS=N&amp;PAGE=fulltext&amp;D=med8&amp;AN=27489906</t>
  </si>
  <si>
    <t>MEDLINE; Ovid Technologies; Free CME available for using HHS' new opioid training tool</t>
  </si>
  <si>
    <t>Addiction psychiatry</t>
  </si>
  <si>
    <t>Apr</t>
  </si>
  <si>
    <t>*Credentialing/st Standards];*Education, Medical, Graduate/st Standards];Humans;Joint Commission on Accreditation of Healthcare Organizations;Medical Staff Privileges;*Psychiatry/ed Education];Psychiatry/st Standards];Societies, Medical;Specialty Boards;*Substance-Related Disorders;United States</t>
  </si>
  <si>
    <t>J2: Clin Privil White Pap; ID: 517</t>
  </si>
  <si>
    <t>http://ovidsp.ovid.com/ovidweb.cgi?T=JS&amp;CSC=Y&amp;NEWS=N&amp;PAGE=fulltext&amp;D=med7&amp;AN=21696020</t>
  </si>
  <si>
    <t>MEDLINE; Ovid Technologies; Addiction psychiatry</t>
  </si>
  <si>
    <t>Public policy statement on Office-Based Opioid Agonist Treatment (OBOT)</t>
  </si>
  <si>
    <t>Journal of Addictive Diseases</t>
  </si>
  <si>
    <t>*Ambulatory Care/lj Legislation &amp; Jurisprudence];*Buprenorphine/tu Therapeutic Use];Combined Modality Therapy;*Comprehensive Health Care/lj Legislation &amp; Jurisprudence];Continuity of Patient Care/lj Legislation &amp; Jurisprudence];Drug Approval/lj Legislation &amp; Jurisprudence];Education, Medical, Continuing/lj Legislation &amp; Jurisprudence];Heroin Dependence/rh Rehabilitation];Humans;*Methadone/tu Therapeutic Use];*Narcotics/ag Agonists];Narcotics/tu Therapeutic Use];*Opioid-Related Disorders/rh Rehabilitation];*Patient Care Team/lj Legislation &amp; Jurisprudence];Primary Health Care/lj Legislation &amp; Jurisprudence];Psychotherapy/lj Legislation &amp; Jurisprudence];*Public Policy;Substance Abuse Detection/lj Legislation &amp; Jurisprudence];*Substance Abuse Treatment Centers/lj Legislation &amp; Jurisprudence];United States;0 (Narcotics);40D3SCR4GZ (Buprenorphine);UC6VBE7V1Z (Methadone)</t>
  </si>
  <si>
    <t>J2: J Addict Dis; ID: 838</t>
  </si>
  <si>
    <t>1055-0887</t>
  </si>
  <si>
    <t>http://ovidsp.ovid.com/ovidweb.cgi?T=JS&amp;CSC=Y&amp;NEWS=N&amp;PAGE=fulltext&amp;D=med5&amp;AN=16186090</t>
  </si>
  <si>
    <t>MEDLINE; Ovid Technologies; Public policy statement on Office-Based Opioid Agonist Treatment (OBOT)</t>
  </si>
  <si>
    <t>Quality assurance in patient addiction treated with drug substitution]</t>
  </si>
  <si>
    <t>Krankenpflege Journal</t>
  </si>
  <si>
    <t>Krankenpfl.J.</t>
  </si>
  <si>
    <t>*Antiviral Agents/ad Administration &amp; Dosage];Antiviral Agents/ae Adverse Effects];*Buprenorphine/ad Administration &amp; Dosage];Buprenorphine/ae Adverse Effects];Comorbidity;Drug Information Services;Drug Interactions;Drug Therapy, Combination;*Education, Medical, Continuing;Hepatitis C/co Complications];*Hepatitis C/nu Nursing];Hepatitis C/rh Rehabilitation];Humans;*Interferon-alpha/ad Administration &amp; Dosage];Interferon-alpha/ae Adverse Effects];*Methadone/ad Administration &amp; Dosage];Methadone/ae Adverse Effects];Multimedia;*Narcotic Antagonists/ad Administration &amp; Dosage];Narcotic Antagonists/ae Adverse Effects];Opioid-Related Disorders/co Complications];*Opioid-Related Disorders/nu Nursing];Opioid-Related Disorders/rh Rehabilitation];Polyethylene Glycols;*Quality Assurance, Health Care;Recombinant Proteins;*Ribavirin/ad Administration &amp; Dosage];Ribavirin/ae Adverse Effects];Treatment Outcome;Viral Load;0 (Antiviral Agents);0 (Interferon-alpha);0 (Narcotic Antagonists);0 (Recombinant Proteins);30IQX730WE (Polyethylene Glycols);40D3SCR4GZ (Buprenorphine);43K1W2T1M6 (interferon alfa-2b);49717AWG6K (Ribavirin);G8RGG88B68 (peginterferon alfa-2b);UC6VBE7V1Z (Methadone)</t>
  </si>
  <si>
    <t>J2: Krankenpfl J; German; OP: Qualitatssicherung bei Suchtpatienten unter Drogensubstitution; ID: 816</t>
  </si>
  <si>
    <t>0174-108X</t>
  </si>
  <si>
    <t>German</t>
  </si>
  <si>
    <t>http://ovidsp.ovid.com/ovidweb.cgi?T=JS&amp;CSC=Y&amp;NEWS=N&amp;PAGE=fulltext&amp;D=med5&amp;AN=16515317</t>
  </si>
  <si>
    <t>MEDLINE; Ovid Technologies; [Quality assurance in patient addiction treated with drug substitution]</t>
  </si>
  <si>
    <t>Addiction medicine</t>
  </si>
  <si>
    <t>Anesthesiology/ed Education];Clinical Competence/st Standards];Credentialing/st Standards];*Credentialing;Education, Medical, Graduate;Humans;Joint Commission on Accreditation of Healthcare Organizations;Medical Staff Privileges/st Standards];Physicians, Family/ed Education];*Psychiatry/ed Education];Societies, Medical;*Substance-Related Disorders;United States</t>
  </si>
  <si>
    <t>J2: Clin Privil White Pap; ID: 911</t>
  </si>
  <si>
    <t>http://ovidsp.ovid.com/ovidweb.cgi?T=JS&amp;CSC=Y&amp;NEWS=N&amp;PAGE=fulltext&amp;D=med5&amp;AN=15061141</t>
  </si>
  <si>
    <t>MEDLINE; Ovid Technologies; Addiction medicine</t>
  </si>
  <si>
    <t>Summary for patients. Effect of a training program for resident physicians in improving success rate in helping patients quit smoking.Original report in Ann Intern Med. 2002 Mar 19;136(6):429-37; PMID: 11900495]</t>
  </si>
  <si>
    <t>Annals of Internal Medicine</t>
  </si>
  <si>
    <t>Ann.Intern.Med.</t>
  </si>
  <si>
    <t>I31</t>
  </si>
  <si>
    <t>Adolescent;Adult;Aged;*Behavior Therapy;*Clinical Competence;*Counseling/mt Methods];Double-Blind Method;Family Practice/ed Education];Female;Follow-Up Studies;Humans;*Internal Medicine/ed Education];*Internship and Residency;Male;*Smoking Cessation/mt Methods];Smoking Cessation/px Psychology]</t>
  </si>
  <si>
    <t>J2: Ann Intern Med; ID: 986</t>
  </si>
  <si>
    <t>1539-3704</t>
  </si>
  <si>
    <t>http://ovidsp.ovid.com/ovidweb.cgi?T=JS&amp;CSC=Y&amp;NEWS=N&amp;PAGE=fulltext&amp;D=med4&amp;AN=11900514</t>
  </si>
  <si>
    <t>MEDLINE; Ovid Technologies; Summary for patients. Effect of a training program for resident physicians in improving success rate in helping patients quit smoking.[Original report in Ann Intern Med. 2002 Mar 19;136(6):429-37; PMID: 11900495]</t>
  </si>
  <si>
    <t>Minority fellowship program. CMHS, CSAP, and CSAT, SAMHSA, DHHS. Notice of planned awards for renewal of clinical training grants under the Minority Fellowship Program (MFP) to the American Nurses Association, the American Psychiatric Association (APA) and the Council on Social Work Education (CSWE)</t>
  </si>
  <si>
    <t>Federal register</t>
  </si>
  <si>
    <t>Fed.Regist.</t>
  </si>
  <si>
    <t>Career Mobility;*Education, Medical/ec Economics];*Education, Nursing/ec Economics];*Fellowships and Scholarships;*Financing, Government;Government Agencies;Humans;*Mental Health Services/ec Economics];*Minority Groups;Organizations;Social Work/ed Education];United States</t>
  </si>
  <si>
    <t>SAMHSA plans to award renewal MFP grants to the ANA, APA, and CSWE to help facilitate the entry of ethnic minority students into mental health and/or substance abuse careers and increase the number of nurses, psychiatrists, and social workers trained to teach, administer, and provide direct mental health and substance abuse services to ethnic minority groups. The project period is anticipated to be 3 years. The first year will be funded for up to $400,000 for each award. This is not a general request for applications. The renewal clinical training grants will only be made to the ANA, APA, and the CSWE based on the receipt of satisfactory applications that are considered to have sufficient merit by an Initial Review Group and the National Advisory Council.</t>
  </si>
  <si>
    <t>J2: Fed Regist; ID: 1051</t>
  </si>
  <si>
    <t>0097-6326</t>
  </si>
  <si>
    <t>http://ovidsp.ovid.com/ovidweb.cgi?T=JS&amp;CSC=Y&amp;NEWS=N&amp;PAGE=fulltext&amp;D=med4&amp;AN=10558480</t>
  </si>
  <si>
    <t>MEDLINE; Ovid Technologies; Minority fellowship program. CMHS, CSAP, and CSAT, SAMHSA, DHHS. Notice of planned awards for renewal of clinical training grants under the Minority Fellowship Program (MFP) to the American Nurses Association, the Ame(TRUNCATED)</t>
  </si>
  <si>
    <t>Addiction. The training experience</t>
  </si>
  <si>
    <t>Report - Group for the Advancement of Psychiatry</t>
  </si>
  <si>
    <t>Rep.Group Adv.Psychiatry</t>
  </si>
  <si>
    <t>Adult;Female;Humans;Internship and Residency;Male;Mental Disorders/co Complications];Mental Disorders/th Therapy];Middle Aged;*Psychiatry/ed Education];*Psychotherapy/ed Education];*Psychotherapy/mt Methods];Substance-Related Disorders/co Complications];*Substance-Related Disorders/th Therapy]</t>
  </si>
  <si>
    <t>J2: Rep Group Adv Psychiatry; ID: 1084</t>
  </si>
  <si>
    <t>0888-3394</t>
  </si>
  <si>
    <t>http://ovidsp.ovid.com/ovidweb.cgi?T=JS&amp;CSC=Y&amp;NEWS=N&amp;PAGE=fulltext&amp;D=med4&amp;AN=9890153</t>
  </si>
  <si>
    <t>MEDLINE; Ovid Technologies; Addiction. The training experience</t>
  </si>
  <si>
    <t>Alcohol Risk Assessment and Intervention Project</t>
  </si>
  <si>
    <t>Canadian Family Physician</t>
  </si>
  <si>
    <t>Oct</t>
  </si>
  <si>
    <t>*Alcoholism/di Diagnosis];*Alcoholism/th Therapy];*Education, Medical, Continuing/mt Methods];*Family Practice/ed Education];Humans;*Teaching Materials;*Videotape Recording</t>
  </si>
  <si>
    <t>J2: Can Fam Physician; ID: 1088</t>
  </si>
  <si>
    <t>0008-350X</t>
  </si>
  <si>
    <t>http://ovidsp.ovid.com/ovidweb.cgi?T=JS&amp;CSC=Y&amp;NEWS=N&amp;PAGE=fulltext&amp;D=med4&amp;AN=9805174</t>
  </si>
  <si>
    <t>MEDLINE; Ovid Technologies; Alcohol Risk Assessment and Intervention Project</t>
  </si>
  <si>
    <t>Survey of alcohol, drug use by radiologic technologists. ASRT Research and Development Committee</t>
  </si>
  <si>
    <t>Radiologic technology</t>
  </si>
  <si>
    <t>Radiol.Technol.</t>
  </si>
  <si>
    <t>Mar-Apr</t>
  </si>
  <si>
    <t>Adult;*Alcoholism/ep Epidemiology];*Allied Health Personnel/sn Statistics &amp; Numerical Data];Female;Humans;Male;Middle Aged;*Substance-Related Disorders/ep Epidemiology];Surveys and Questionnaires;*Technology, Radiologic</t>
  </si>
  <si>
    <t>This article describes the results of a survey investigating use of alcohol and illicit drugs by radiologic technologists. Overall, survey results suggest that few radiologic technologists have a problem with the abuse of alcohol and drugs. However, the survey indicates that approximately 3% to 4% of radiologic technologists may suffer from some type of substance abuse problem, with alcohol abuse more common than drug abuse. These findings correlate with studies that reveal similar rates of substance abuse among physicians, nurses and pharmacists. Because the abuse of alcohol and drugs affects the quality of patient care, the authors recommend that professional organizations identify and assist radiologic technologists who suffer from substance abuse and that they promote greater awareness of the problem through education. The authors also recommend that an awareness of the effects of substance abuse be included in the professional curriculum.</t>
  </si>
  <si>
    <t>J2: Radiol Technol; ID: 1111</t>
  </si>
  <si>
    <t>0033-8397</t>
  </si>
  <si>
    <t>http://ovidsp.ovid.com/ovidweb.cgi?T=JS&amp;CSC=Y&amp;NEWS=N&amp;PAGE=fulltext&amp;D=med4&amp;AN=9549764</t>
  </si>
  <si>
    <t>MEDLINE; Ovid Technologies; Survey of alcohol, drug use by radiologic technologists. ASRT Research and Development Committee</t>
  </si>
  <si>
    <t>Commentary: missing in action--emergency medicine and the problem drinker</t>
  </si>
  <si>
    <t>Annals of Emergency Medicine</t>
  </si>
  <si>
    <t>Ann.Emerg.Med.</t>
  </si>
  <si>
    <t>Dec</t>
  </si>
  <si>
    <t>*Alcoholism/th Therapy];*Emergency Medicine;Humans;*Patient Education as Topic</t>
  </si>
  <si>
    <t>J2: Ann Emerg Med; ID: 1121</t>
  </si>
  <si>
    <t>0196-0644</t>
  </si>
  <si>
    <t>http://ovidsp.ovid.com/ovidweb.cgi?T=JS&amp;CSC=Y&amp;NEWS=N&amp;PAGE=fulltext&amp;D=med4&amp;AN=9398783</t>
  </si>
  <si>
    <t>MEDLINE; Ovid Technologies; Commentary: missing in action--emergency medicine and the problem drinker</t>
  </si>
  <si>
    <t>Position statement on training needs in addiction psychiatry</t>
  </si>
  <si>
    <t>American Journal of Psychiatry</t>
  </si>
  <si>
    <t>Am.J.Psychiatry</t>
  </si>
  <si>
    <t>Delivery of Health Care/st Standards];Humans;Psychiatry/ed Education];*Psychiatry;*Societies, Medical;Substance-Related Disorders/pc Prevention &amp; Control];Substance-Related Disorders/th Therapy];*Substance-Related Disorders;United States</t>
  </si>
  <si>
    <t>Psychiatry has only recently developed training in the area of substance-related disorders. Nevertheless, these illnesses are highly prevalent and are associated with substantial morbidity and mortality. Patients with these disorders often do not encounter or have access to effective treatment. Because of this, the American Psychiatric Association recommends developing improved training to assure that 1) the basic psychiatric residency addresses essential aspects of addiction prevention and treatment, 2) addiction psychiatry fellowships are strengthened to provide needed manpower for consultation, academic teaching, and research, and 3) psychiatrists are trained to provide leadership for the multidisciplinary teams characteristic of this field. This statement was drafted by the Committee on Training and Education in Addiction Psychiatry. It was approved by the APA Assembly in November 1995 and by the Board of Trustees in December 1995.</t>
  </si>
  <si>
    <t>J2: Am J Psychiatry; ID: 1173</t>
  </si>
  <si>
    <t>0002-953X</t>
  </si>
  <si>
    <t>http://ovidsp.ovid.com/ovidweb.cgi?T=JS&amp;CSC=Y&amp;NEWS=N&amp;PAGE=fulltext&amp;D=med4&amp;AN=8633725</t>
  </si>
  <si>
    <t>MEDLINE; Ovid Technologies; Position statement on training needs in addiction psychiatry</t>
  </si>
  <si>
    <t>Free from tobacco educational program for smoking counseling and therapy in the physician's practice]</t>
  </si>
  <si>
    <t>Zeitschrift fur Arztliche Fortbildung (Jena)</t>
  </si>
  <si>
    <t>Humans;*Patient Education as Topic;Physician-Patient Relations;*Smoking/ae Adverse Effects];*Smoking Cessation;Smoking Prevention</t>
  </si>
  <si>
    <t>J2: Z Arztl Fortbild (Jena); German; OP: Schulungsprogramm "Frei von Tabak" zur Raucherberatung und Rauchertherapie in der Arztpraxis; ID: 1185</t>
  </si>
  <si>
    <t>0044-2178</t>
  </si>
  <si>
    <t>http://ovidsp.ovid.com/ovidweb.cgi?T=JS&amp;CSC=Y&amp;NEWS=N&amp;PAGE=fulltext&amp;D=med3&amp;AN=7668021</t>
  </si>
  <si>
    <t>MEDLINE; Ovid Technologies; ["Free from tobacco" educational program for smoking counseling and therapy in the physician's practice]</t>
  </si>
  <si>
    <t>Do not change the numbers--clarify the message. The government review of the Sensible Drinking message: a Medical Council on Alcoholism view</t>
  </si>
  <si>
    <t>Alcohol &amp; Alcoholism</t>
  </si>
  <si>
    <t>Sep</t>
  </si>
  <si>
    <t>Accidents, Traffic/pc Prevention &amp; Control];Adolescent;Adult;Aged;*Alcohol Drinking/ae Adverse Effects];Alcohol Drinking/ep Epidemiology];*Alcoholic Beverages/sn Statistics &amp; Numerical Data];Alcoholic Intoxication/pc Prevention &amp; Control];*Alcoholism/pc Prevention &amp; Control];Female;*Health Education/mt Methods];Humans;Male;Middle Aged;Risk Factors;United Kingdom/ep Epidemiology]</t>
  </si>
  <si>
    <t>This is an edited version of the evidence from The Medical Council on Alcoholism (MCA) on 'Sensible Drinking', which is based on the collective views of the Education and Public Health Committee and of The MCA Regional Advisers in medical schools throughout the UK. The contributors are not only university teachers, but also clinicians and health service providers in touch with patients and the public. On one aspect there is total unanimity. On no account should the 21/14 units per week figures for men and women, respectively, be changed: the evidence indicates that this could only lead to increased harm. There seems to be some scope for restatement of the significance of the benchmark such as that 'below 21/14 units per week is a sensible level, and that, at twice this level, there is an appreciable increase in risk of harm which continues to increase as consumption rises'. Drink-free days are recommended, but the need to suggest an additional curb on intake on any given occasion is also emphasized, since heavy consumption of this sort is that which is particularly associated with behavioural and psychosocial problems, notably in the young. Driving is an obvious example where any drinking could be dangerous. A simple statement such as 'avoid intoxication and do not exceed 6/4 units in a day, while maintaining the weekly guidelines as at present and bearing in mind the circumstances' is proposed.</t>
  </si>
  <si>
    <t>J2: Alcohol Alcohol; ID: 1178</t>
  </si>
  <si>
    <t>0735-0414</t>
  </si>
  <si>
    <t>http://ovidsp.ovid.com/ovidweb.cgi?T=JS&amp;CSC=Y&amp;NEWS=N&amp;PAGE=fulltext&amp;D=med3&amp;AN=8554638</t>
  </si>
  <si>
    <t>MEDLINE; Ovid Technologies; Do not change the numbers--clarify the message. The government review of the Sensible Drinking message: a Medical Council on Alcoholism view</t>
  </si>
  <si>
    <t>Position statement on the need for improved training for treatment of patients with combined substance use and other psychiatric disorders</t>
  </si>
  <si>
    <t>May</t>
  </si>
  <si>
    <t>Comorbidity;Education, Medical;Humans;Mental Disorders/ep Epidemiology];*Mental Disorders/th Therapy];*Psychiatry/ed Education];Societies, Medical;Substance-Related Disorders/ep Epidemiology];*Substance-Related Disorders/th Therapy];Training Support;United States/ep Epidemiology]</t>
  </si>
  <si>
    <t>The diagnosis and management of patients with combined psychiatric and substance use disorders is an important aspect of modern psychiatry, and psychiatrists should be strongly encouraged to become involved in this area. These efforts should be supported by training and educational programs involving a wide range of institutions, including local treatment facilities, hospital centers, universities, and government. Restructuring or adding improvements to existing psychiatric treatment facilities and maintaining good working relationships with existing substance abuse treatment programs are desirable goals for improving care of dually diagnosed patients.</t>
  </si>
  <si>
    <t>J2: Am J Psychiatry; ID: 1233</t>
  </si>
  <si>
    <t>http://ovidsp.ovid.com/ovidweb.cgi?T=JS&amp;CSC=Y&amp;NEWS=N&amp;PAGE=fulltext&amp;D=med3&amp;AN=8166344</t>
  </si>
  <si>
    <t>MEDLINE; Ovid Technologies; Position statement on the need for improved training for treatment of patients with combined substance use and other psychiatric disorders</t>
  </si>
  <si>
    <t>State-university program in North Carolina honored for exemplary collaboration</t>
  </si>
  <si>
    <t>Hospital &amp; community psychiatry</t>
  </si>
  <si>
    <t>Hosp.Community Psychiatry</t>
  </si>
  <si>
    <t>Jan</t>
  </si>
  <si>
    <t>*Awards and Prizes;Combined Modality Therapy;Curriculum;Hospitals, Psychiatric;Hospitals, State;Hospitals, Teaching;Humans;*Internship and Residency/st Standards];*Mental Disorders/rh Rehabilitation];North Carolina;*Patient Care Team;*Psychiatry/ed Education];Research;*Substance-Related Disorders/rh Rehabilitation]</t>
  </si>
  <si>
    <t>J2: Hosp Community Psychiatry; ID: 1238</t>
  </si>
  <si>
    <t>0022-1597</t>
  </si>
  <si>
    <t>http://ovidsp.ovid.com/ovidweb.cgi?T=JS&amp;CSC=Y&amp;NEWS=N&amp;PAGE=fulltext&amp;D=med3&amp;AN=8125466</t>
  </si>
  <si>
    <t>MEDLINE; Ovid Technologies; State-university program in North Carolina honored for exemplary collaboration</t>
  </si>
  <si>
    <t>Substance use and abuse</t>
  </si>
  <si>
    <t>JAMA</t>
  </si>
  <si>
    <t>Alcoholism;Humans;Internship and Residency;*Physician Impairment;Students, Medical;*Substance-Related Disorders</t>
  </si>
  <si>
    <t>J2: Jama; Comment on: JAMA. 1991 Apr 24;265(16):2102-7; PMID: 1901609 Comment on: JAMA. 1991 Apr 24;265(16):2074-8; PMID: 2013926 Comment on: JAMA. 1991 Apr 24;265(16):2110-1; PMID: 2013931 Comment on: JAMA. 1991 Apr 24;265(16):2069-73; PMID: 2013925; ID: 1314</t>
  </si>
  <si>
    <t>0098-7484</t>
  </si>
  <si>
    <t>http://ovidsp.ovid.com/ovidweb.cgi?T=JS&amp;CSC=Y&amp;NEWS=N&amp;PAGE=fulltext&amp;D=med3&amp;AN=1880882</t>
  </si>
  <si>
    <t>MEDLINE; Ovid Technologies; Substance use and abuse</t>
  </si>
  <si>
    <t>Preventing alcohol problems: the challenge for medical education. Proceedings of a national conference. Niagara-on-the-Lake, October 16-17, 1989</t>
  </si>
  <si>
    <t>CMAJ Canadian Medical Association Journal</t>
  </si>
  <si>
    <t>*Alcoholism/pc Prevention &amp; Control];Canada;*Education, Medical;Humans</t>
  </si>
  <si>
    <t>J2: Cmaj; ID: 1339</t>
  </si>
  <si>
    <t>0820-3946</t>
  </si>
  <si>
    <t>http://ovidsp.ovid.com/ovidweb.cgi?T=JS&amp;CSC=Y&amp;NEWS=N&amp;PAGE=fulltext&amp;D=med3&amp;AN=1977509</t>
  </si>
  <si>
    <t>MEDLINE; Ovid Technologies; Preventing alcohol problems: the challenge for medical education. Proceedings of a national conference. Niagara-on-the-Lake, October 16-17, 1989</t>
  </si>
  <si>
    <t>Recommended core educational guidelines on alcoholism and substance abuse for family practice residents. American Academy of Family Physicians</t>
  </si>
  <si>
    <t>Nov</t>
  </si>
  <si>
    <t>*Alcoholism;Curriculum;*Family Practice/ed Education];Health Knowledge, Attitudes, Practice;Humans;*Internship and Residency;*Substance-Related Disorders</t>
  </si>
  <si>
    <t>J2: Am Fam Physician; ID: 1343</t>
  </si>
  <si>
    <t>0002-838X</t>
  </si>
  <si>
    <t>http://ovidsp.ovid.com/ovidweb.cgi?T=JS&amp;CSC=Y&amp;NEWS=N&amp;PAGE=fulltext&amp;D=med3&amp;AN=2239643</t>
  </si>
  <si>
    <t>MEDLINE; Ovid Technologies; Recommended core educational guidelines on alcoholism and substance abuse for family practice residents. American Academy of Family Physicians</t>
  </si>
  <si>
    <t>The attitudes of students and house staff toward alcoholism</t>
  </si>
  <si>
    <t>*Alcoholism;*Attitude of Health Personnel;Attitude to Health;Humans;*Internship and Residency;*Students, Medical</t>
  </si>
  <si>
    <t>J2: Jama; Comment on: JAMA. 1989 Jun 2;261(21):3115-20; PMID: 2716143; ID: 1367</t>
  </si>
  <si>
    <t>http://ovidsp.ovid.com/ovidweb.cgi?T=JS&amp;CSC=Y&amp;NEWS=N&amp;PAGE=fulltext&amp;D=med3&amp;AN=2304230</t>
  </si>
  <si>
    <t>MEDLINE; Ovid Technologies; The attitudes of students and house staff toward alcoholism</t>
  </si>
  <si>
    <t>Physicians need better training on prescribing nicotine gum: study</t>
  </si>
  <si>
    <t>Boletin - Asociacion Medica de Puerto Rico</t>
  </si>
  <si>
    <t>*Chewing Gum;Humans;Nicotine/ad Administration &amp; Dosage];*Nicotine/tu Therapeutic Use];*Practice Patterns, Physicians';*Smoking Prevention;0 (Chewing Gum);6M3C89ZY6R (Nicotine)</t>
  </si>
  <si>
    <t>J2: Bol Asoc Med P R; ID: 1395</t>
  </si>
  <si>
    <t>http://ovidsp.ovid.com/ovidweb.cgi?T=JS&amp;CSC=Y&amp;NEWS=N&amp;PAGE=fulltext&amp;D=med3&amp;AN=3219169</t>
  </si>
  <si>
    <t>MEDLINE; Ovid Technologies; Physicians need better training on prescribing nicotine gum: study</t>
  </si>
  <si>
    <t>Symposium: Substance use and abuse among medical students</t>
  </si>
  <si>
    <t>Research in medical education:proceedings of the annual Conference</t>
  </si>
  <si>
    <t>Humans;*Students, Medical;*Substance-Related Disorders/ep Epidemiology];United States</t>
  </si>
  <si>
    <t>J2: Res Med Educ; ID: 1408</t>
  </si>
  <si>
    <t>http://ovidsp.ovid.com/ovidweb.cgi?T=JS&amp;CSC=Y&amp;NEWS=N&amp;PAGE=fulltext&amp;D=med2&amp;AN=3331511</t>
  </si>
  <si>
    <t>MEDLINE; Ovid Technologies; Symposium: Substance use and abuse among medical students</t>
  </si>
  <si>
    <t>What doctors know about alcoholism</t>
  </si>
  <si>
    <t>Lancet</t>
  </si>
  <si>
    <t>*Alcoholism;*Education, Medical, Graduate/st Standards];Humans;*Physicians;United Kingdom</t>
  </si>
  <si>
    <t>J2: Lancet; ID: 1432</t>
  </si>
  <si>
    <t>0140-6736</t>
  </si>
  <si>
    <t>http://ovidsp.ovid.com/ovidweb.cgi?T=JS&amp;CSC=Y&amp;NEWS=N&amp;PAGE=fulltext&amp;D=med2&amp;AN=2885647</t>
  </si>
  <si>
    <t>MEDLINE; Ovid Technologies; What doctors know about alcoholism</t>
  </si>
  <si>
    <t>Alcoholism: education and treatment</t>
  </si>
  <si>
    <t>Canadian Medical Association journal</t>
  </si>
  <si>
    <t>Can.Med.Assoc.J.</t>
  </si>
  <si>
    <t>*Alcoholism/th Therapy];Canada;Curriculum;*Education, Medical;Humans</t>
  </si>
  <si>
    <t>J2: Can Med Assoc J; ID: 1475</t>
  </si>
  <si>
    <t>http://ovidsp.ovid.com/ovidweb.cgi?T=JS&amp;CSC=Y&amp;NEWS=N&amp;PAGE=fulltext&amp;D=med2&amp;AN=6744159</t>
  </si>
  <si>
    <t>MEDLINE; Ovid Technologies; Alcoholism: education and treatment</t>
  </si>
  <si>
    <t>APTP from several perspectives</t>
  </si>
  <si>
    <t>Journal of the Iowa Medical Society</t>
  </si>
  <si>
    <t>J.Iowa Med.Soc.</t>
  </si>
  <si>
    <t>Alcoholism/px Psychology];*Alcoholism/rh Rehabilitation];Attitude of Health Personnel;Confidentiality;Denial (Psychology);Education, Medical;Family;Female;Humans;Male;*Physician Impairment;Stress, Psychological/px Psychology];Substance-Related Disorders/px Psychology];*Substance-Related Disorders/rh Rehabilitation]</t>
  </si>
  <si>
    <t>J2: J Iowa Med Soc; ID: 1499</t>
  </si>
  <si>
    <t>0021-0587</t>
  </si>
  <si>
    <t>http://ovidsp.ovid.com/ovidweb.cgi?T=JS&amp;CSC=Y&amp;NEWS=N&amp;PAGE=fulltext&amp;D=med2&amp;AN=7334242</t>
  </si>
  <si>
    <t>MEDLINE; Ovid Technologies; APTP from several perspectives</t>
  </si>
  <si>
    <t>Main points of the 31. Therapy Congress in Karlsruhe]</t>
  </si>
  <si>
    <t>MMW - Munchener Medizinische Wochenschrift</t>
  </si>
  <si>
    <t>Congresses as Topic;Counseling;Education, Medical, Continuing;*Family Practice;Female;Germany, West;Headache/th Therapy];Humans;Liver Diseases/pc Prevention &amp; Control];Male;Metabolic Diseases/th Therapy];Obesity/th Therapy];*Substance-Related Disorders/th Therapy]</t>
  </si>
  <si>
    <t>J2: MMW Munch Med Wochenschr; German; OP: Fortbildungs-Schwerpunkte der 31; ID: 1517</t>
  </si>
  <si>
    <t>0341-3098</t>
  </si>
  <si>
    <t>http://ovidsp.ovid.com/ovidweb.cgi?T=JS&amp;CSC=Y&amp;NEWS=N&amp;PAGE=fulltext&amp;D=med1&amp;AN=40122</t>
  </si>
  <si>
    <t>MEDLINE; Ovid Technologies; [Main points of the 31. Therapy Congress in Karlsruhe]</t>
  </si>
  <si>
    <t>Recommendations of the University Assembly of the Swiss Academy of Medical Sciences concerning tobacco and alcohol abuse]</t>
  </si>
  <si>
    <t>Bulletin der Schweizerischen Akademie der Medizinischen Wissenschaften</t>
  </si>
  <si>
    <t>Bull.Schweiz.Akad.Med.Wiss.</t>
  </si>
  <si>
    <t>Mar</t>
  </si>
  <si>
    <t>Academies and Institutes;*Alcoholism/pc Prevention &amp; Control];Faculty, Medical;Health Education;Humans;Legislation as Topic;*Smoking Prevention;Switzerland</t>
  </si>
  <si>
    <t>J2: Bull Schweiz Akad Med Wiss; French, German; OP: Empfehlungen des Senates der Schweizerischen Akademie der medizinischen Wissenschaften betreffend den Missbrauch von Tabak und Alkohol; ID: 1518</t>
  </si>
  <si>
    <t>0036-7494</t>
  </si>
  <si>
    <t>French German</t>
  </si>
  <si>
    <t>http://ovidsp.ovid.com/ovidweb.cgi?T=JS&amp;CSC=Y&amp;NEWS=N&amp;PAGE=fulltext&amp;D=med1&amp;AN=454891</t>
  </si>
  <si>
    <t>MEDLINE; Ovid Technologies; [Recommendations of the University Assembly of the Swiss Academy of Medical Sciences concerning tobacco and alcohol abuse]</t>
  </si>
  <si>
    <t>Prohibition of smoking during courses of continuing medical education]</t>
  </si>
  <si>
    <t>Medizinische Monatsschrift</t>
  </si>
  <si>
    <t>Med.Monatsschr.</t>
  </si>
  <si>
    <t>*Education, Medical, Continuing;Germany, West;*Legislation, Medical;*Smoking</t>
  </si>
  <si>
    <t>J2: Med Monatsschr; German; OP: Rauchverbot bei Fortbildungsveranstaltungen; ID: 1556</t>
  </si>
  <si>
    <t>0025-8474</t>
  </si>
  <si>
    <t>http://ovidsp.ovid.com/ovidweb.cgi?T=JS&amp;CSC=Y&amp;NEWS=N&amp;PAGE=fulltext&amp;D=med1&amp;AN=1124066</t>
  </si>
  <si>
    <t>MEDLINE; Ovid Technologies; [Prohibition of smoking during courses of continuing medical education]</t>
  </si>
  <si>
    <t>Alcohol and drug dependence--the role of industry</t>
  </si>
  <si>
    <t>Medical Journal of Australia</t>
  </si>
  <si>
    <t>Med.J.Aust.</t>
  </si>
  <si>
    <t>Alcoholism/pc Prevention &amp; Control];Alcoholism/th Therapy];*Alcoholism;Australia;Costs and Cost Analysis;Drug Industry;Education, Medical, Undergraduate;Health Facilities;Humans;Labor Unions;Leisure Activities;Newspapers as Topic;*Occupational Medicine;Rehabilitation, Vocational;*Substance-Related Disorders</t>
  </si>
  <si>
    <t>J2: Med J Aust; ID: 1580</t>
  </si>
  <si>
    <t>0025-729X</t>
  </si>
  <si>
    <t>http://ovidsp.ovid.com/ovidweb.cgi?T=JS&amp;CSC=Y&amp;NEWS=N&amp;PAGE=fulltext&amp;D=med1&amp;AN=5074867</t>
  </si>
  <si>
    <t>MEDLINE; Ovid Technologies; Alcohol and drug dependence--the role of industry</t>
  </si>
  <si>
    <t>Education about drug abuse in medical schools</t>
  </si>
  <si>
    <t>Alcoholism;American Medical Association;*Education, Medical;Humans;Legislation, Drug;*Substance-Related Disorders;United States</t>
  </si>
  <si>
    <t>J2: Jama; ID: 1585</t>
  </si>
  <si>
    <t>http://ovidsp.ovid.com/ovidweb.cgi?T=JS&amp;CSC=Y&amp;NEWS=N&amp;PAGE=fulltext&amp;D=med1&amp;AN=5067243</t>
  </si>
  <si>
    <t>MEDLINE; Ovid Technologies; Education about drug abuse in medical schools</t>
  </si>
  <si>
    <t>Medical school education on abuse of alcohol and other psychoactive drugs</t>
  </si>
  <si>
    <t>Alcoholism/ep Epidemiology];Alcoholism/et Etiology];*Alcoholism;Attitude to Health;Communication;Curriculum;Drug Interactions;Drug and Narcotic Control;*Education, Medical;Humans;Legislation, Drug;Models, Theoretical;Pharmacology/ed Education];Substance-Related Disorders/ep Epidemiology];Substance-Related Disorders/et Etiology];*Substance-Related Disorders;United States</t>
  </si>
  <si>
    <t>J2: Jama; ID: 1586</t>
  </si>
  <si>
    <t>http://ovidsp.ovid.com/ovidweb.cgi?T=JS&amp;CSC=Y&amp;NEWS=N&amp;PAGE=fulltext&amp;D=med1&amp;AN=5067240</t>
  </si>
  <si>
    <t>MEDLINE; Ovid Technologies; Medical school education on abuse of alcohol and other psychoactive drugs</t>
  </si>
  <si>
    <t>State-level liaison in narcotics control: a report</t>
  </si>
  <si>
    <t>Archives of General Psychiatry</t>
  </si>
  <si>
    <t>Arch.Gen.Psychiatry</t>
  </si>
  <si>
    <t>Drug Prescriptions;*Drug and Narcotic Control;Education, Medical, Continuing;Health Facilities;Humans;Interprofessional Relations;*Legislation, Drug;Licensure, Medical;Narcotics/tu Therapeutic Use];Pharmaceutical Services/ut Utilization];Referral and Consultation;Substance-Related Disorders/dt Drug Therapy];Substance-Related Disorders/rh Rehabilitation];*Substance-Related Disorders;United States;0 (Narcotics)</t>
  </si>
  <si>
    <t>J2: Arch Gen Psychiatry; ID: 1616</t>
  </si>
  <si>
    <t>0003-990X</t>
  </si>
  <si>
    <t>http://ovidsp.ovid.com/ovidweb.cgi?T=JS&amp;CSC=Y&amp;NEWS=N&amp;PAGE=fulltext&amp;D=med1&amp;AN=5647530</t>
  </si>
  <si>
    <t>MEDLINE; Ovid Technologies; State-level liaison in narcotics control: a report</t>
  </si>
  <si>
    <t>Aach,R. D.;Girard,D. E.;Humphrey,H.;McCue,J. D.;Reuben,D. B.;Smith,J. W.;Wallenstein,L.;Ginsburg,J.</t>
  </si>
  <si>
    <t>Alcohol and other substance abuse and impairment among physicians in residency training</t>
  </si>
  <si>
    <t>Alcoholism/ep Epidemiology];*Alcoholism/pc Prevention &amp; Control];Humans;*Internship and Residency/og Organization &amp; Administration];Internship and Residency/sn Statistics &amp; Numerical Data];Physician Impairment/sn Statistics &amp; Numerical Data];*Physician Impairment;Substance-Related Disorders/ep Epidemiology];*Substance-Related Disorders/pc Prevention &amp; Control];United States/ep Epidemiology]</t>
  </si>
  <si>
    <t>Substance abuse and impairment are serious societal problems. Physicians have historically had high rates of substance abuse, which has been viewed as an occupational hazard. Most authorities agree that the rate of alcoholism among practicing physicians is similar to that among control populations and that the rates of other substance abuse are greater, although some studies have shown no difference. Data about substance abuse among residents in training are limited but suggest that the use of benzodiazopines is greater than that among age-matched peers, whereas the use of alcohol is similar between the two groups. Medical institutions, including those with teaching programs, have legal and ethical responsibilities concerning substance abuse among current and future physicians. Many training programs, however, do not provide educational programs on this subject, do not have faculty trained in substance abuse medicine, and do not have a formal system to address the problem of residents who are suspected or known to be substance abusers. This position paper examines the extent of substance abuse, including alcohol abuse, among physicians in residency training. It outlines approaches to the problem and delineates responsibilities of institutions and residency program directors. Recommendations are made to establish an informational program and a clearly defined, organized process to address the problems of substance abuse among residents. Careful and humane approaches can be used to identify and treat residents with substance abuse problems and thus allowing them to complete their training as competent and drug-free professionals. References: 29]</t>
  </si>
  <si>
    <t>J2: Ann Intern Med; Aach, R D Girard, D E Humphrey, H McCue, J D Reuben, D B Smith, J W Wallenstein, L Ginsburg, J Comment in: Ann Intern Med. 1992 Aug 1;117(3):267-8; PMID: 1616231; ID: 1300</t>
  </si>
  <si>
    <t>Aach, R D. Mount Sinai Medical Center, Department of Medicine, Cleveland, OH 44106.</t>
  </si>
  <si>
    <t>http://ovidsp.ovid.com/ovidweb.cgi?T=JS&amp;CSC=Y&amp;NEWS=N&amp;PAGE=fulltext&amp;D=med3&amp;AN=1728207</t>
  </si>
  <si>
    <t>MEDLINE; Ovid Technologies; Alcohol and other substance abuse and impairment among physicians in residency training</t>
  </si>
  <si>
    <t>Abele,M.;Brown,J.;Ibrahim,H.;Jha,M. K.</t>
  </si>
  <si>
    <t>Teaching Motivational Interviewing Skills to Psychiatry Trainees: Findings of a National Survey</t>
  </si>
  <si>
    <t>Academic Psychiatry</t>
  </si>
  <si>
    <t>Feb</t>
  </si>
  <si>
    <t>Adolescent;Child;Clinical Competence;Curriculum;Education, Medical, Graduate;Humans;*Internship and Residency;Male;*Motivational Interviewing/mt Methods];*Psychiatry/ed Education];Substance-Related Disorders/th Therapy];Surveys and Questionnaires</t>
  </si>
  <si>
    <t>OBJECTIVE: The authors report on the current status of motivational interviewing education and training director attitudes about providing it to psychiatry residents. METHODS: Training directors of general, child/adolescent and addiction psychiatry training programs were invited to participate in an anonymous online survey. RESULTS: Of the 333 training directors who were invited to participate, 66 of 168 (39.3%) general, 41 of 121 (33.9%) child/adolescent, and 19 of 44 (43.2%) addiction psychiatry training directors completed the survey. The authors found that 90.9% of general, 80.5% of child/adolescent, and 100% of addiction psychiatry training programs provided motivational interviewing education. Most programs used multiple educational opportunities; the three most common opportunities were didactics, clinical practice with formal supervision, and self-directed reading. Most training directors believed that motivational interviewing was an important skill for general psychiatrists. The authors also found that 83.3% of general, 87.8% of child/adolescent, and 94.7% of addiction psychiatry training directors reported that motivational interviewing should be taught during general psychiatry residency. CONCLUSIONS: Motivational interviewing skills are considered important for general psychiatrists and widely offered by training programs. Competency in motivational interviewing skills should be considered as a graduation requirement in general psychiatry training programs.</t>
  </si>
  <si>
    <t>J2: Acad Psychiatry; Abele, Misoo Brown, Julie Ibrahim, Hicham Jha, Manish K; ID: 150</t>
  </si>
  <si>
    <t>1545-7230</t>
  </si>
  <si>
    <t>Abele, Misoo. George E. Wahlen VA Medical Center, Salt Lake City, UT, USA. Brown, Julie. VA North Texas Medical Center, Dallas, TX, USA. Ibrahim, Hicham. VA North Texas Medical Center, Dallas, TX, USA. Jha, Manish K. North Texas State Hospital, Vernon, TX, USA. manishjha2201@yahoo.com.</t>
  </si>
  <si>
    <t>http://ovidsp.ovid.com/ovidweb.cgi?T=JS&amp;CSC=Y&amp;NEWS=N&amp;PAGE=fulltext&amp;D=med8&amp;AN=24832675</t>
  </si>
  <si>
    <t>https://dx.doi.org/10.1007/s40596-014-0149-0</t>
  </si>
  <si>
    <t>MEDLINE; Ovid Technologies; Teaching Motivational Interviewing Skills to Psychiatry Trainees: Findings of a National Survey</t>
  </si>
  <si>
    <t>Abiodun,O. A.;Ajiboye,P. O.;Buhari,O. N.;Ayanda,K. A.;Adefalu,O. M.;Adegboye,L. O.</t>
  </si>
  <si>
    <t>Alcohol-related disorders among medical and surgical in-patients in a Nigerian teaching hospital</t>
  </si>
  <si>
    <t>Annals of African Medicine</t>
  </si>
  <si>
    <t>Apr-Jun</t>
  </si>
  <si>
    <t>Adolescent;Adult;Age Distribution;Aged;Alcohol Drinking/ep Epidemiology];*Alcohol Drinking/px Psychology];*Alcohol-Related Disorders/di Diagnosis];Alcohol-Related Disorders/ep Epidemiology];Alcohol-Related Disorders/px Psychology];Diagnostic and Statistical Manual of Mental Disorders;Female;Hospitals, Teaching;Humans;Inpatients/px Psychology];*Inpatients/sn Statistics &amp; Numerical Data];Male;Middle Aged;Nigeria/ep Epidemiology];Prevalence;Psychiatric Status Rating Scales;Sex Distribution;Socioeconomic Factors;Young Adult</t>
  </si>
  <si>
    <t>BACKGROUND/OBJECTIVES: Alcohol use disorders exist in a high proportion of hospitalized patients and this often complicates patient management, but a large proportion of them still go unrecognized by the managing clinicians. The objective was to provide data on the proportion of inpatients 18 years and above with alcohol-related disorders, and ability of the managing clinicians to detect these disorders. MATERIALS AND METHODS: Alcohol use disorders were assessed in 339 consecutive patients admitted into medical and surgical wards of University of Ilorin Teaching Hospital (UITH), Ilorin, using the Structured Clinical Interview for DSM-IV Disorders (SCID) -- Alcohol module, for a period of 5 months. They were also assessed for the presence or absence of alcohol-related problems (physical, psychological, and social) by direct questioning. In addition, patients' case notes were scrutinized for additional information on alcohol-related problems and ability of managing clinicians to detect alcohol-related problems in their patients. RESULTS: All patients with alcohol use disorders were males. The point prevalence for alcohol abuse and alcohol dependence using DSM-IV criteria were 16.4% and 8.5%, respectively among males while another 1.2% who did not meet DSM-IV criteria for abuse and dependence, had alcohol-related problems. Marital disharmony, financial problems, and deteriorating work performance were the most common psychosocial problems among the drinkers. Gastritis occurred in 18.5% of cases with alcohol abuse and 21.4% of cases with alcohol dependence. Other physical problems among drinkers included liver cirrhosis, malnutrition, and various injuries. Significantly more patients aged (45-64 years) and patients of low educational status compared to abstainers had alcohol use disorders and alcohol-related problems. In addition, significantly more patients with alcohol use disorders/alcohol-related problems compared to abstainers were observed to have physical and psychosocial health problems. Alcohol-related problems were detected in only 10.9% of the alcohol users by the managing clinicians. CONCLUSION: There is a considerable case load of patients with alcohol-related disorders in the hospital. There is therefore the need to improve ability of the managing clinicians to detect and manage cases of alcohol-related disorders, with referrals where appropriate.</t>
  </si>
  <si>
    <t>J2: Ann Afr Med; Abiodun, Olatunji A Ajiboye, Peter O Buhari, Oluwabunmi N Ayanda, Kazeem A Adefalu, Oluwatosin M Adegboye, Lukman O; ID: 357</t>
  </si>
  <si>
    <t>0975-5764</t>
  </si>
  <si>
    <t>Abiodun, Olatunji A. Department of Behavioural Sciences, University of Ilorin, Ilorin, Nigeria.</t>
  </si>
  <si>
    <t>http://ovidsp.ovid.com/ovidweb.cgi?T=JS&amp;CSC=Y&amp;NEWS=N&amp;PAGE=fulltext&amp;D=med7&amp;AN=23713020</t>
  </si>
  <si>
    <t>https://dx.doi.org/10.4103/1596-3519.112407</t>
  </si>
  <si>
    <t>MEDLINE; Ovid Technologies; Alcohol-related disorders among medical and surgical in-patients in a Nigerian teaching hospital</t>
  </si>
  <si>
    <t>Abrams Weintraub,T.;Saitz,R.;Samet,J. H.</t>
  </si>
  <si>
    <t>Education of preventive medicine residents: alcohol, tobacco, and other drug abuse</t>
  </si>
  <si>
    <t>American Journal of Preventive Medicine</t>
  </si>
  <si>
    <t>Am.J.Prev.Med.</t>
  </si>
  <si>
    <t>*Alcohol Drinking/ae Adverse Effects];*Attitude of Health Personnel;*Health Priorities;Humans;*Internship and Residency;*Preventive Medicine/ed Education];*Smoking Prevention;*Substance-Related Disorders/pc Prevention &amp; Control];United States</t>
  </si>
  <si>
    <t>BACKGROUND: Generalist physicians' addiction training is inadequate, but general preventive medicine residency (PMR) programs have not been studied. We determined PMR programs' alcohol, tobacco, and other drug abuse (ATOD) training from 1995 to 2000 and identified barriers to this education. METHODS: Interviewer-administered telephone survey of program directors (PDs) of accredited PMR programs in the United States. RESULTS: We interviewed all 41 PMR PDs. While 78% of PMR PDs reported interest in increasing ATOD education, for 68% it was not a high educational priority. Tobacco ranked in the top third of preventive medicine topics by 58%, while alcohol and other drugs ranked in the bottom third by 48% and 52%, respectively. Twenty-two percent of programs required a clinical ATOD rotation, most commonly smoking-cessation clinics. Only 29% of PMR PDs felt that residents were well prepared in clinical aspects of ATOD, while 60% felt that residents were prepared in ATOD research and public health issues. The most commonly reported barriers to ATOD training were lack of resident interest and defined competencies (64% each); limited faculty time (59%); limited teaching time (54%); lack of available teaching materials (53%); and lack of faculty expertise (51%). CONCLUSIONS: While the majority of PMR PDs recognize the importance of incorporating teaching about addictions into training, much of the ATOD education in PMRs focuses on tobacco alone. Setting educational standards, defining competencies, investing in faculty development, and creating ATOD curricular modules are important next steps toward preparing preventive medicine physicians to effectively reduce the public health toll of addictions.</t>
  </si>
  <si>
    <t>J2: Am J Prev Med; Abrams Weintraub, Toni Saitz, Richard Samet, Jeffrey H; ID: 944</t>
  </si>
  <si>
    <t>0749-3797</t>
  </si>
  <si>
    <t>Abrams Weintraub, Toni. Clinical Addiction Research and Education (Care) Unit, Section of General Internal Medicine, Development of Medicine, Boston University School of Medicine, Boston, Massachusetts 02118, USA.</t>
  </si>
  <si>
    <t>http://ovidsp.ovid.com/ovidweb.cgi?T=JS&amp;CSC=Y&amp;NEWS=N&amp;PAGE=fulltext&amp;D=med4&amp;AN=12554029</t>
  </si>
  <si>
    <t>MEDLINE; Ovid Technologies; Education of preventive medicine residents: alcohol, tobacco, and other drug abuse</t>
  </si>
  <si>
    <t>Abrams,G. B.;Kolligian,J., J.;Mills,D. L.;DeJong,W.</t>
  </si>
  <si>
    <t>Failure of college students to complete an online alcohol education course as a predictor of high-risk drinking that requires medical attention</t>
  </si>
  <si>
    <t>American Journal of Drug &amp; Alcohol Abuse</t>
  </si>
  <si>
    <t>Adolescent;*Alcohol Drinking/ae Adverse Effects];Alcohol Drinking/ep Epidemiology];Alcohol Drinking/pc Prevention &amp; Control];Alcohol-Related Disorders/ep Epidemiology];*Alcohol-Related Disorders/pc Prevention &amp; Control];*Computer-Assisted Instruction/mt Methods];Ethanol/ad Administration &amp; Dosage];Ethanol/ae Adverse Effects];Ethanol/bl Blood];Female;Health Education/mt Methods];Humans;Internet;Male;Retrospective Studies;*Students/sn Statistics &amp; Numerical Data];Survival Analysis;Universities;Young Adult;3K9958V90M (Ethanol)</t>
  </si>
  <si>
    <t>BACKGROUND: AlcoholEdu for College and other computer-based education programs have been developed to reduce alcohol use and related problems among students. OBJECTIVES: This study investigated whether the failure of incoming first-year students to complete AlcoholEdu predicts future high-risk drinking that requires medical attention. METHODS: A review of clinical records kept by a single university's health service identified 684 undergraduates (classes of 2007-2011) who had presented for an alcohol event (September 2003 through June 2008). We used survival analysis to determine whether students who partially completed the course or failed to take it were disproportionately represented among student patients who presented with elevated blood alcohol concentration (BAC). RESULTS: Students who failed to take the online course were 4.64 times more likely than those who completed it to experience an alcohol event (p &lt; .0001), while those students who had partially completed the course were 1.52 times more likely (p &lt; .0001). Amount of online alcohol education and gender were not significantly related to students' measured BAC level. CONCLUSION: Students who had completed AlcoholEdu were less likely to present for an alcohol event than were students who partially completed or failed to take the course. Campus administrators should consider whether students who fail to complete an online alcohol course should be flagged for more focused interventions (e.g., brief motivational interview, mandatory education classes). SCIENTIFIC SIGNIFICANCE: This is the first study to show a relationship between first-year college students' non-completion of an online alcohol course and subsequent high-risk drinking that requires medical attention.</t>
  </si>
  <si>
    <t>J2: Am J Drug Alcohol Abuse; Abrams, Gina Baral Kolligian, John Jr Mills, Douglas Lane DeJong, William; ID: 477</t>
  </si>
  <si>
    <t>1097-9891</t>
  </si>
  <si>
    <t>Abrams, Gina Baral. University Health Services, Princeton University, Princeton, NJ 08544, USA. gbaral@princeton.edu</t>
  </si>
  <si>
    <t>http://ovidsp.ovid.com/ovidweb.cgi?T=JS&amp;CSC=Y&amp;NEWS=N&amp;PAGE=fulltext&amp;D=med7&amp;AN=21846304</t>
  </si>
  <si>
    <t>https://dx.doi.org/10.3109/00952990.2011.600383</t>
  </si>
  <si>
    <t>MEDLINE; Ovid Technologies; Failure of college students to complete an online alcohol education course as a predictor of high-risk drinking that requires medical attention</t>
  </si>
  <si>
    <t>Adams,A.;Ockene,J. K.;Wheller,E. V.;Hurley,T. G.</t>
  </si>
  <si>
    <t>Alcohol counseling: physicians will do it</t>
  </si>
  <si>
    <t>Journal of General Internal Medicine</t>
  </si>
  <si>
    <t>Adult;*Alcoholism/rh Rehabilitation];Attitude of Health Personnel;*Counseling/ed Education];Education, Medical, Continuing;Female;Humans;*Internal Medicine/sn Statistics &amp; Numerical Data];Male;Massachusetts;Middle Aged;*Patient Education as Topic/mt Methods]</t>
  </si>
  <si>
    <t>OBJECTIVE: To assess the use of a brief provider-delivered alcohol counseling intervention of 5 to 10 minutes with high-risk drinking patients by primary care provider* trained in the counseling intervention and provided with an office support system. DESIGN: A group randomized study design was used. Office sites were randomized to either a usual care or special intervention condition, within which physicians and patients were nested. The unit of analysis was the patient. SETTING: Primary care internal medicine practices affiliated with an academic medical center. PARTICIPANTS: Twenty-nine providers were randomized by practice site to receive training and an office support system to provide an alcohol counseling special intervention or to continue to provide usual care. INTERVENTION: Special intervention providers received 2 1/2 hours of training in a brief alcohol-counseling intervention and were then supported by an office system that screened patients, cued providers to intervene, and made patient education materials available as tip sheets. MEASUREMENTS AND MAIN RESULTS: Implementation of the counseling steps was measured by patient exit interviews (PEI) immediately following the patient visit. The interval between the date of training and the date of the PEI ranged from 6 to 32 months. Special intervention providers were twice as likely as usual care providers to discuss alcohol use with their patients. They carried out every step of the counseling sequence significantly more often than did usual care providers (p &lt; .001). This intervention effect persisted over the 32 months of follow-up. CONCLUSIONS: Physicians and other health-care providers trained in a brief provider-delivered alcohol intervention will counsel their high-risk drinking patients when cued to do so and supported by a primary care office system.</t>
  </si>
  <si>
    <t>J2: J Gen Intern Med; Adams, A Ockene, J K Wheller, E V Hurley, T G; ID: 1087</t>
  </si>
  <si>
    <t>0884-8734</t>
  </si>
  <si>
    <t>Adams, A. General Medicine/Primary Care, University of Massachusetts Medical School, Worcester 01655, USA.</t>
  </si>
  <si>
    <t>http://ovidsp.ovid.com/ovidweb.cgi?T=JS&amp;CSC=Y&amp;NEWS=N&amp;PAGE=fulltext&amp;D=med4&amp;AN=9798817</t>
  </si>
  <si>
    <t>MEDLINE; Ovid Technologies; Alcohol counseling: physicians will do it</t>
  </si>
  <si>
    <t>Adams,L. C.;Aronson,S. M.</t>
  </si>
  <si>
    <t>I. Brown University Alcoholism Conference: Introduction</t>
  </si>
  <si>
    <t>RI Medical Journal</t>
  </si>
  <si>
    <t>*Alcoholism;*Curriculum;*Education, Medical;Humans;Rhode Island;Schools, Medical</t>
  </si>
  <si>
    <t>J2: R I Med J; Adams, L C Aronson, S M; ID: 1545</t>
  </si>
  <si>
    <t>0360-067X</t>
  </si>
  <si>
    <t>http://ovidsp.ovid.com/ovidweb.cgi?T=JS&amp;CSC=Y&amp;NEWS=N&amp;PAGE=fulltext&amp;D=med1&amp;AN=127373</t>
  </si>
  <si>
    <t>MEDLINE; Ovid Technologies; I. Brown University Alcoholism Conference: Introduction</t>
  </si>
  <si>
    <t>Adger,H., J.;Leff,M. K.</t>
  </si>
  <si>
    <t>Substance use disorders in children and adolescents and the impact on children in families affected by substance use</t>
  </si>
  <si>
    <t>Substance Abuse</t>
  </si>
  <si>
    <t>Adolescent;*Alcoholism/di Diagnosis];Alcoholism/ep Epidemiology];*Alcoholism/px Psychology];Child;*Child of Impaired Parents/px Psychology];Child of Impaired Parents/sn Statistics &amp; Numerical Data];Clinical Competence;Comorbidity;Cross-Sectional Studies;Education, Medical, Continuing;Humans;Mass Screening/sn Statistics &amp; Numerical Data];Mental Disorders/di Diagnosis];Mental Disorders/ep Epidemiology];Mental Disorders/px Psychology];Primary Health Care/sn Statistics &amp; Numerical Data];*Street Drugs;*Substance-Related Disorders/di Diagnosis];Substance-Related Disorders/ep Epidemiology];*Substance-Related Disorders/px Psychology];United States;0 (Street Drugs)</t>
  </si>
  <si>
    <t>J2: Subst Abus; Adger, Hoover Jr Leff, Michelle K; ID: 368</t>
  </si>
  <si>
    <t>0889-7077</t>
  </si>
  <si>
    <t>Adger, Hoover Jr. School of Medicine, Johns Hopkins University, Baltimore, MD, USA.</t>
  </si>
  <si>
    <t>http://ovidsp.ovid.com/ovidweb.cgi?T=JS&amp;CSC=Y&amp;NEWS=N&amp;PAGE=fulltext&amp;D=med4&amp;AN=23580991</t>
  </si>
  <si>
    <t>MEDLINE; Ovid Technologies; Substance use disorders in children and adolescents and the impact on children in families affected by substance use</t>
  </si>
  <si>
    <t>Adger,H., J.;McDonald,E. M.;DeAngelis,C.</t>
  </si>
  <si>
    <t>Substance abuse education in pediatrics</t>
  </si>
  <si>
    <t>Pediatrics</t>
  </si>
  <si>
    <t>*Alcoholism;Attitude of Health Personnel;Curriculum;Education, Medical, Undergraduate;Humans;Internship and Residency;*Pediatrics/ed Education];*Substance-Related Disorders;Surveys and Questionnaires</t>
  </si>
  <si>
    <t>Historically, physicians have received little formal education related to alcohol or other drug abuse and dependence. A survey of all pediatric programs in the United States was conducted to assess the current status of alcohol/drug education in pediatrics. At the medical student and residency training levels, only 44% and 40% of programs, respectively, required any formal instruction, and only 27% and 34%, respectively, offered an elective for medical students or residents. Although most respondents endorsed the inclusion of both required and elective alcohol and drug education in the curriculum, few programs that did not include it already had a future plan for it. Major impediments identified were curriculum time constraints (86% medical student level, 68% resident level) and the lack of a qualified instructor (55% medical student level, 50% resident level). The survey results suggest a strong need for development of faculty and structured alcohol and drug abuse educational plans specific to pediatrics.</t>
  </si>
  <si>
    <t>J2: Pediatrics; Adger, H Jr McDonald, E M DeAngelis, C; ID: 1344</t>
  </si>
  <si>
    <t>0031-4005</t>
  </si>
  <si>
    <t>Adger, H Jr. Johns Hopkins University School of Medicine, Department of Pediatrics, Baltimore, MD 21205.</t>
  </si>
  <si>
    <t>http://ovidsp.ovid.com/ovidweb.cgi?T=JS&amp;CSC=Y&amp;NEWS=N&amp;PAGE=fulltext&amp;D=med3&amp;AN=2216620</t>
  </si>
  <si>
    <t>MEDLINE; Ovid Technologies; Substance abuse education in pediatrics</t>
  </si>
  <si>
    <t>Agley,J.;Carlson,J. M.;McNelis,A. M.;Gassman,R. A.;Schwindt,R.;Crabb,D.;Vannerson,J.</t>
  </si>
  <si>
    <t>'Asking' but Not 'Screening': Assessing Physicians' and Nurses' Substance-Related Clinical Behaviors</t>
  </si>
  <si>
    <t>Substance use &amp; misuse</t>
  </si>
  <si>
    <t>Subst.Use Misuse</t>
  </si>
  <si>
    <t>BACKGROUND: Screening, brief intervention, and referral to treatment (SBIRT) is a promising public health approach for problematic substance use. A core component of SBIRT is the use of formal screening tools to categorize a patient's likely level of risk in order to provide an appropriately-matched service. Training in formal screening is included in many SBIRT training programs, but infrequently is emphasized. OBJECTIVES: To assess pre-training levels of SBIRT-related clinical behaviors, including screening, this study examined a secondary dataset collected from internal medicine residents and graduate nurse practitioner students. METHODS: Learners (n = 117) completed 13 self-report items assessing use of SBIRT-related behaviors. Researchers used exploratory factor analysis to identify underlying concepts in the questionnaire, then used mixed ANOVA to compare mean frequency of utilization of each factor (asking, screening, and intervening) by academic program. RESULTS: Learners reported asking about substance use frequently, intervening some of the time, and infrequently using formal screening tools. Interaction and between-academic-program effects were significant but small. CONCLUSIONS: Prior to SBIRT training, most clinical practitioners reported asking patients about substance use, but few reported regularly using formal substance use screening tools. This may have implications for the importance of SBIRT training as part of curricular work, and for the internal content foci of SBIRT curricula.</t>
  </si>
  <si>
    <t>J2: Subst Use Misuse; Agley, Jon Carlson, Joan M McNelis, Angela M Gassman, Ruth A Schwindt, Rhonda Crabb, David Vannerson, Julie; ID: 1692</t>
  </si>
  <si>
    <t>1532-2491</t>
  </si>
  <si>
    <t>Agley, Jon. a Indiana Prevention Resource Center, Department of Applied Health Science, School of Public Health , Indiana University , Bloomington , Indiana , USA. Agley, Jon. e Institute for Research on Addictive Behavior , School of Public Health, Indiana University , Bloomington , Indiana , USA. Carlson, Joan M. b School of Social Work , Indiana University , Indianapolis , Indiana , USA. McNelis, Angela M. c School of Nursing , George Washington University , Washington D.C. , USA. Gassman, Ruth A. a Indiana Prevention Resource Center, Department of Applied Health Science, School of Public Health , Indiana University , Bloomington , Indiana , USA. Gassman, Ruth A. e Institute for Research on Addictive Behavior , School of Public Health, Indiana University , Bloomington , Indiana , USA. Schwindt, Rhonda. c School of Nursing , George Washington University , Washington D.C. , USA. Crabb, David. d Department of Medicine, Indiana University School of Medicine , Indiana University-Purdue University , Indianapolis , Indiana , USA. Vannerson, Julie. d Department of Medicine, Indiana University School of Medicine , Indiana University-Purdue University , Indianapolis , Indiana , USA.</t>
  </si>
  <si>
    <t>http://ovidsp.ovid.com/ovidweb.cgi?T=JS&amp;CSC=Y&amp;NEWS=N&amp;PAGE=fulltext&amp;D=medp&amp;AN=29447544</t>
  </si>
  <si>
    <t>https://dx.doi.org/10.1080/10826084.2018.1438806</t>
  </si>
  <si>
    <t>MEDLINE; Ovid Technologies; 'Asking' but Not 'Screening': Assessing Physicians' and Nurses' Substance-Related Clinical Behaviors</t>
  </si>
  <si>
    <t>Agrawal,S.;Capponi,P.;Lopez,J.;Kidd,S.;Ringsted,C.;Wiljer,D.;Soklaridis,S.</t>
  </si>
  <si>
    <t>From Surviving to Advising: A Novel Course Pairing Mental Health and Addictions Service Users as Advisors to Senior Psychiatry Residents</t>
  </si>
  <si>
    <t>*Consultants;Curriculum;*Education, Medical, Graduate/mt Methods];Humans;*Internship and Residency;Mental Disorders/rh Rehabilitation];Mental Health Services/ut Utilization];*Physician-Patient Relations;*Psychiatry/ed Education];*Substance-Related Disorders/rh Rehabilitation]</t>
  </si>
  <si>
    <t>OBJECTIVE: The authors describe a novel course that pairs service users as advisors to senior psychiatry residents with the goals of improving the residents' understanding of recovery, reducing negative stereotypes about people in recovery, and empowering the service users who participated. METHODS: Service users who had experience working as peer support workers and/or system advocates were selected for a broad and deep understanding of recovery and an ability to engage learners in constructive dialogue. They met monthly with resident advisees over a period of 6 months. They were supported with monthly group supervision meetings and were paid an honorarium. Quantitative evaluations and qualitative feedback from the first two cohorts of the course, comprising 34 pairs, are reported here. RESULTS: The first cohort of residents responded with a wide range of global ratings and reactions. In response to their suggestions, changes were made to the structure of the course to create opportunities for small group learning and reflective writing and to protect time for residents to participate. The second cohort of residents and both cohorts of service users gave acceptably high global ratings. Residents in the second cohort described gaining a number of benefits from the course, including an enhanced understanding of the lived experience of recovery and a greater sense of shared humanity with service users. Advisors described an appreciation for being part of something that has the potential for changing the practice of psychiatry and enhancing the lives of their peers. CONCLUSIONS: Positioning service users as advisors to psychiatry residents holds promise as a powerful way of reducing distance between future psychiatrists and service users and facilitating system reform toward person-centered recovery-oriented care.</t>
  </si>
  <si>
    <t>J2: Acad Psychiatry; Agrawal, Sacha Capponi, Pat Lopez, Jenna Kidd, Sean Ringsted, Charlotte Wiljer, David Soklaridis, Sophie; ID: 118</t>
  </si>
  <si>
    <t>Agrawal, Sacha. Centre for Addiction and Mental Health, Toronto, Ontario, Canada. sacha.agrawal@camh.ca. Agrawal, Sacha. University of Toronto, Toronto, Ontario, Canada. sacha.agrawal@camh.ca. Agrawal, Sacha. Yale University, New Haven, CT, USA. sacha.agrawal@camh.ca. Capponi, Pat. Voices from the Street, Toronto, Ontario, Canada. Lopez, Jenna. Centre for Addiction and Mental Health, Toronto, Ontario, Canada. Kidd, Sean. Centre for Addiction and Mental Health, Toronto, Ontario, Canada. Kidd, Sean. University of Toronto, Toronto, Ontario, Canada. Ringsted, Charlotte. Aarhus University, Aarhus, Denmark. Wiljer, David. Centre for Addiction and Mental Health, Toronto, Ontario, Canada. Wiljer, David. University of Toronto, Toronto, Ontario, Canada. Soklaridis, Sophie. Centre for Addiction and Mental Health, Toronto, Ontario, Canada. Soklaridis, Sophie. University of Toronto, Toronto, Ontario, Canada.</t>
  </si>
  <si>
    <t>http://ovidsp.ovid.com/ovidweb.cgi?T=JS&amp;CSC=Y&amp;NEWS=N&amp;PAGE=fulltext&amp;D=med8&amp;AN=27056051</t>
  </si>
  <si>
    <t>https://dx.doi.org/10.1007/s40596-016-0533-z</t>
  </si>
  <si>
    <t>MEDLINE; Ovid Technologies; From Surviving to Advising: A Novel Course Pairing Mental Health and Addictions Service Users as Advisors to Senior Psychiatry Residents</t>
  </si>
  <si>
    <t>Akvardar,Y.;Demiral,Y.;Ergor,G.;Ergor,A.</t>
  </si>
  <si>
    <t>Substance use among medical students and physicians in a medical school in Turkey</t>
  </si>
  <si>
    <t>Social Psychiatry &amp; Psychiatric Epidemiology</t>
  </si>
  <si>
    <t>Adult;Female;Humans;*Internship and Residency/sn Statistics &amp; Numerical Data];Male;*Physicians/sn Statistics &amp; Numerical Data];*Students, Medical/sn Statistics &amp; Numerical Data];*Substance-Related Disorders/ep Epidemiology];Surveys and Questionnaires;Turkey/ep Epidemiology]</t>
  </si>
  <si>
    <t>BACKGROUND: This study examined substance use and abuse, including nicotine and alcohol, in subjects who were at various stages of a medical career in Dokuz Eylul University Medical School in Turkey. Anxiety and depression levels were also assessed in order to determine the relationship of the substance use and anxiety and depression. METHOD: Using an anonymous, self-administered questionnaire, we surveyed 121 junior, and 52 senior medical students, 73 residents and 80 practicing physicians who completed the questionnaire. RESULTS: Alcohol was the most frequently used substance in all groups. Two or more positive responses on the CAGE were obtained for 22.4% of the junior students, 20% of the senior students, 8.9% of the residents and 6.5% of the physicians. Lifetime smoking prevalence was as high as 50%. The age of onset for nicotine and alcohol use was earlier in first-year medical students than the other groups. Benzodiazepines (alprozolam, diazepam) were the most frequently used sedative-hypnotics. The use of illicit substances was rare in all four groups, with cannabis being the most commonly used illicit substance. The junior medical students (23.6%) had the highest level of anxiety, while the senior students (44%) had the highest level of depression, assessed by the Hospital Anxiety and Depression Scale. However, the levels of anxiety and depression did not correlate with the levels of cigarette and alcohol consumption. CONCLUSIONS: Smoking and alcohol abuse amongst medical students and physicians should be taken more seriously because their own attitudes towards substances may influence their professional behavior. There is a need for better education about substances.</t>
  </si>
  <si>
    <t>J2: Soc Psychiatry Psychiatr Epidemiol; Akvardar, Yildiz Demiral, Yucel Ergor, Gul Ergor, Alp; ID: 899</t>
  </si>
  <si>
    <t>0933-7954</t>
  </si>
  <si>
    <t>Akvardar, Yildiz. Dokuz Eylul University Medical School, Psychiatry Dept., Balcova 35340, Izmir, Turkey. yildiz.akvardar@deu.edu.tr</t>
  </si>
  <si>
    <t>http://ovidsp.ovid.com/ovidweb.cgi?T=JS&amp;CSC=Y&amp;NEWS=N&amp;PAGE=fulltext&amp;D=med5&amp;AN=15205736</t>
  </si>
  <si>
    <t>MEDLINE; Ovid Technologies; Substance use among medical students and physicians in a medical school in Turkey</t>
  </si>
  <si>
    <t>Akvardar,Y.;Ucku,R.;Unal,B.;Gunay,T.;Akdede,B. B.;Ergor,G.;Alptekin,K.;Tunca,Z.</t>
  </si>
  <si>
    <t>Do general practitioners diagnose and treat patients with alcohol use problems?]</t>
  </si>
  <si>
    <t>Turk Psikiyatri Dergisi</t>
  </si>
  <si>
    <t>Adult;Alcoholism/di Diagnosis];*Alcoholism/th Therapy];Clinical Competence;Cross-Sectional Studies;Education, Medical, Continuing;*Family Practice;Female;Health Care Surveys;Health Knowledge, Attitudes, Practice;Humans;Male;Physicians, Family/ed Education];*Physicians, Family/px Psychology];Physicians, Family/st Standards];*Practice Patterns, Physicians';Referral and Consultation;Surveys and Questionnaires;Turkey</t>
  </si>
  <si>
    <t>AIM: To determine the primary health care working general practitioners' knowledge, attitude and behavior towards alcohol use disorders. METHOD: In this descriptive and cross-sectional study 135 general practitioners (GPs) completed the questionnaire. RESULTS: Pre and post graduate education on alcohol use disorders is low (25.4 % and 11.7% respectively). Most of the GPs do not know the levels of risky alcohol use, screening tests, and biochemical markers. The mean knowledge score is 6.67+/-1.70. Most GPs think that alcohol use disorders are not an important issue in primary health care (57%), they do not have time to deal with patients' alcohol problems (74.1%), it is difficult to diagnose risky alcohol users without clear symptoms (91.1%), patients do not follow advice on alcohol use (85.2%), and physicians themselves are tolerant towards alcohol (71.1%). Half of the GPs reported that they find it difficult to talk about alcohol use with patients and think that patients may be angered by alcohol consumption questions. Mean attitude score is 4.44+/-2.15. Most of the GPs reported that they would ask questions about alcohol use to their patients (91.7%) and declare that the patients' problems were related to alcohol (90.2%). More than half of them reported that they would refer the patient to a specialist or an alcohol treatment center (58.5%). The mean behavior score is 5.96+/-1.46. CONCLUSION: In our country it is clear that more education and support for GPs is needed due to their important role in intervention for alcohol use problems.</t>
  </si>
  <si>
    <t>J2: Turk Psikiyatri Derg; Turkish Akvardar, Yildiz Ucku, Reyhan Unal, Belgin Gunay, Turkan Akdede, Berna B Ergor, Gul Alptekin, Koksal Tunca, Zeliha; OP: Pratisyen Hekimler Alkol Kullanim Sorunlari Olan Hastalari Taniyor ve Tedavi Ediyorlar Mi?; ID: 582</t>
  </si>
  <si>
    <t>1300-2163</t>
  </si>
  <si>
    <t>Akvardar, Yildiz. yildiz.akvardar@deu.edu.tr</t>
  </si>
  <si>
    <t>Turkish</t>
  </si>
  <si>
    <t>http://ovidsp.ovid.com/ovidweb.cgi?T=JS&amp;CSC=Y&amp;NEWS=N&amp;PAGE=fulltext&amp;D=med6&amp;AN=20204900</t>
  </si>
  <si>
    <t>MEDLINE; Ovid Technologies; [Do general practitioners diagnose and treat patients with alcohol use problems?]</t>
  </si>
  <si>
    <t>Alavi,S. S.;Maracy,M. R.;Jannatifard,F.;Eslami,M.</t>
  </si>
  <si>
    <t>The effect of psychiatric symptoms on the internet addiction disorder in Isfahan's University students</t>
  </si>
  <si>
    <t>Journal of Research in Medical Sciences</t>
  </si>
  <si>
    <t>BACKGROUND: Internet addiction disorder is an interdisciplinary phenomenon and it has been studied from different viewpoints in terms of various sciences such as medicine, computer, sociology, law, ethics, and psychology. The aim of this study was to determine the association of psychiatric symptoms with Internet addiction while controlling for the effects of age, gender, marital status, and educational levels. It is hypothesized, that high levels of Internet addiction are associated with psychiatric symptoms and are specially correlated with obsessive-compulsive disorder symptoms. METHODS: In a cross-sectional study, a total number of 250 students from Isfahan's universities were randomly selected. Subjects completed the demographic questionnaire, the Young Diagnostic Questionnaire (YDQ) and the Symptom Checklist-90-Revision (SCL-90-R). Data was analyzed using the multiple logistic regression method. RESULTS: There was an association between psychiatric symptoms such as somatization, sensitivity, depression, anxiety, aggression, phobias, and psychosis with exception of paranoia; and diagnosis of Internet addiction controlling for age, sex, education level, marital status, and type of universities. CONCLUSIONS: A great percentage of youths in the population suffer from the adverse effects of Internet addiction. It is necessary for psychiatrists and psychologists to be aware of the mental problems caused by Internet addiction.</t>
  </si>
  <si>
    <t>J2: J; Alavi, Seyyed Salman Maracy, Mohammad Reza Jannatifard, Fereshte Eslami, Mehdi; ID: 492</t>
  </si>
  <si>
    <t>1735-7136</t>
  </si>
  <si>
    <t>Alavi, Seyyed Salman. Management and Medical Informatics Faculty, Isfahan University of Medical Sciences, Isfahan, Iran.</t>
  </si>
  <si>
    <t>http://ovidsp.ovid.com/ovidweb.cgi?T=JS&amp;CSC=Y&amp;NEWS=N&amp;PAGE=fulltext&amp;D=prem&amp;AN=22091309</t>
  </si>
  <si>
    <t>MEDLINE; Ovid Technologies; The effect of psychiatric symptoms on the internet addiction disorder in Isfahan's University students</t>
  </si>
  <si>
    <t>Albert,D. A.;Bruzelius,E.;Ward,A.;Gordon,J. S.</t>
  </si>
  <si>
    <t>Identifying Multilevel Barriers to Tobacco Intervention in Postdoctoral Dental Education</t>
  </si>
  <si>
    <t>Journal of dental education</t>
  </si>
  <si>
    <t>J.Dent.Educ.</t>
  </si>
  <si>
    <t>*Attitude of Health Personnel;*Attitude to Health;Clinical Competence;Counseling;Dental Records;Dentist-Patient Relations;*Dentists/px Psychology];*Education, Dental, Graduate;Electronic Health Records;Evidence-Based Practice;Faculty, Dental;Female;Focus Groups;Humans;Internship and Residency;Male;New York City;Qualitative Research;Self Concept;Specialties, Dental/ed Education];*Tobacco Use Cessation</t>
  </si>
  <si>
    <t>The aims of this mixed-methods study were to assess tobacco treatment behaviors among residents and faculty in dental specialty postdoctoral programs and to explore factors in training and practice related to tobacco treatment education. Surveys and focus groups were conducted with a convenience sample of participants at three postdoctoral residency programs in New York City. Surveys assessed tobacco cessation training and behaviors. Focus groups explored barriers to implementing tobacco cessation treatment in educational settings. Data were collected between May and December 2013. Among the 160 faculty and residents identified as potentially eligible for the study, 60 were invited by program directors to participate, and 50 subsequently completed the survey and participated in a focus group (response rate of 31.3%). Survey results indicated high levels of asking patients about tobacco use and advising patients to quit. In contrast, specific tobacco cessation assistance and follow-up care occurred less frequently. There were statistically significant differences in tobacco cessation intervention across the specialties surveyed, but not between residents and faculty. Focus group comments were grouped into three broad areas: clinician factors, organizational support, and structural and contextual factors. Focus group results indicated that participants experienced significant organizational and structural barriers to learning about and providing tobacco treatment. Participants from each specialty indicated that multi-level barriers impeded their provision of evidence-based tobacco cessation interventions in postdoctoral educational settings. They suggested that didactic education should be reinforced by organizational- and systems-level changes to facilitate comprehensive tobacco education and effective cessation treatment in future dental practice.</t>
  </si>
  <si>
    <t>J2: J Dent Educ; Albert, David A Bruzelius, Emilie Ward, Angela Gordon, Judith S; ID: 155</t>
  </si>
  <si>
    <t>1930-7837</t>
  </si>
  <si>
    <t>Albert, David A. Dr. Albert is Director of Division of Community Health, Director of Dental Public Health Residency Program, and Associate Professor, College of Dental Medicine, Columbia University; Ms. Bruzelius is with the Department of Epidemiology, Mailman School of Public Health and Section of Population Oral Health, College of Dental Medicine, Columbia University; Dr. Ward is Program Manager, Section of Population Health, College of Dental Medicine, Columbia University; and Dr. Gordon is Associate Professor and Associate Head for Research, Department of Family and Community Medicine, University of Arizona. daa2@columbia.edu. Bruzelius, Emilie. Dr. Albert is Director of Division of Community Health, Director of Dental Public Health Residency Program, and Associate Professor, College of Dental Medicine, Columbia University; Ms. Bruzelius is with the Department of Epidemiology, Mailman School of Public Health and Section of Population Oral Health, College of Dental Medicine, Columbia University; Dr. Ward is Program Manager, Section of Population Health, College of Dental Medicine, Columbia University; and Dr. Gordon is Associate Professor and Associate Head for Research, Department of Family and Community Medicine, University of Arizona. Ward, Angela. Dr. Albert is Director of Division of Community Health, Director of Dental Public Health Residency Program, and Associate Professor, College of Dental Medicine, Columbia University; Ms. Bruzelius is with the Department of Epidemiology, Mailman School of Public Health and Section of Population Oral Health, College of Dental Medicine, Columbia University; Dr. Ward is Program Manager, Section of Population Health, College of Dental Medicine, Columbia University; and Dr. Gordon is Associate Professor and Associate Head for Research, Department of Family and Community Medicine, University of Arizona. Gordon, Judith S. Dr. Albert is Director of Division of Community Health, Director of Dental Public Health Resi(TRUNCATED)</t>
  </si>
  <si>
    <t>http://ovidsp.ovid.com/ovidweb.cgi?T=JS&amp;CSC=Y&amp;NEWS=N&amp;PAGE=fulltext&amp;D=med8&amp;AN=27037448</t>
  </si>
  <si>
    <t>MEDLINE; Ovid Technologies; Identifying Multilevel Barriers to Tobacco Intervention in Postdoctoral Dental Education</t>
  </si>
  <si>
    <t>Albright,B.;Skipper,B.;Riley,S.;Wilhelm,P.;Rayburn,W. F.</t>
  </si>
  <si>
    <t>Medical students' comfort with pregnant women with substance-use disorders: a randomized educational study</t>
  </si>
  <si>
    <t>Animals;Attitude of Health Personnel;Female;*Obstetrics/ed Education];Pregnancy;Pregnancy Complications/px Psychology];*Pregnancy Complications/rh Rehabilitation];*Students, Medical/px Psychology];*Substance-Related Disorders/co Complications];Substance-Related Disorders/px Psychology];Substance-Related Disorders/rh Rehabilitation];Surveys and Questionnaires</t>
  </si>
  <si>
    <t>OBJECTIVE: The study objective was to determine whether medical students' attendance at a rehabilitation residence for pregnant women with substance-use disorders yielded changes in their attitudes and comfort levels in providing care to this population. METHODS: This randomized educational trial involved 96 consecutive medical students during their obstetrics and gynecology clerkship. In addition to attending a half-day prenatal clinic designed for women with substance-use disorders, every student was randomly assigned either to attend (Study group) or not to attend (Control group) a rehabilitation residence for pregnant women with substance-use disorders. The primary objective was to measure differences in responses to a confidential 12-question survey addressing comfort levels and attitudes, at the beginning and end of the clerkship. RESULTS: Survey responses revealed improvements in students' comfort levels and attitudes toward pregnant women with substance-use disorders by attending the clinic alone or the clinic and residence. Those who attended the residence reported becoming more comfortable in talking with patients about adverse effects from substance abuse, more understanding of "street" terms, and stronger belief that patients will disclose their substance use to providers. Residents expressed more openly their hardships and barriers while trying to set therapeutic goals. CONCLUSIONS: Medical students became more comfortable and insightful about pregnant women with substance-use disorders after attending a rehabilitation residence in addition to a prenatal clinic dedicated to this population.</t>
  </si>
  <si>
    <t>J2: Acad Psychiatry; Albright, Brittany Skipper, Betty Riley, Shawne Wilhelm, Peggy Rayburn, William F; ID: 378</t>
  </si>
  <si>
    <t>Albright, Brittany. Dept. of Family &amp; Community Medicine, University of New Mexico School of Medicine, Albuquerque, NM, USA.</t>
  </si>
  <si>
    <t>http://ovidsp.ovid.com/ovidweb.cgi?T=JS&amp;CSC=Y&amp;NEWS=N&amp;PAGE=fulltext&amp;D=med7&amp;AN=23154692</t>
  </si>
  <si>
    <t>https://dx.doi.org/10.1176/appi.ap.11070134</t>
  </si>
  <si>
    <t>MEDLINE; Ovid Technologies; Medical students' comfort with pregnant women with substance-use disorders: a randomized educational study</t>
  </si>
  <si>
    <t>Albright,G.;Adam,C.;Serri,D.;Bleeker,S.;Goldman,R.</t>
  </si>
  <si>
    <t>Harnessing the power of conversations with virtual humans to change health behaviors</t>
  </si>
  <si>
    <t>Began with 2015</t>
  </si>
  <si>
    <t>Skillful, collaborative conversations are powerful tools to improve physical and mental health. Whether you are a parent talking with your child about the dangers of substance abuse, an educator concerned about a student's signs of psychological distress, a veteran worried about a buddy who is contemplating suicide, or a healthcare professional wanting to better engage patients to increase treatment compliance, having the skill, confidence and motivation to engage in conversations can truly transform the health and well-being of those you interact with. Kognito develops role-play simulations that prepare individuals to effectively lead real-life conversations that measurably improve social, emotional, and physical health. The behavior change model that drives the simulations draws upon components of game mechanics, virtual human simulation technology and integrates evidence-based instructional design components as well as principles of social-cognitive theory and neuroscience such as motivational interviewing, emotional regulation, empathy and mindfulness. In the simulations, users or enter a risk-free practice environment and engage in a conversation with intelligent, fully animated, and emotionally responsive virtual characters that model human behavior. It is in practicing these conversations, and receiving feedback from a virtual coach, that users learn to better lead conversations in real life. Numerous longitudinal studies have shown that users who complete Kognito simulations demonstrate statistically significant and sustained increases in attitudinal variables that predict behavior change including preparedness, likelihood, and self-efficacy to better manage conversations. Pending the target population, each online or mobile simulation resulted in desired behavior changes ranging from increased referrals of students, patients or veterans in psychological distress to mental health support services, or increasing physician patient-centered communication or patient self-confidence and active involved in the decision-making processes. These simulations have demonstrated a capability to address major health and public health concerns where effective conversations are necessary to bring about changes in attitudes and behaviors.</t>
  </si>
  <si>
    <t>J2: Mhealth; Albright, Glenn Adam, Cyrille Serri, Deborah Bleeker, Seth Goldman, Ron; ID: 1671</t>
  </si>
  <si>
    <t>2306-9740</t>
  </si>
  <si>
    <t>Albright, Glenn. Department of Psychology, Baruch College, City University of New York, New York, NY, USA;; Kognito, New York, NY, USA. Adam, Cyrille. Kognito, New York, NY, USA;; Department of Communication, Media, and Learning Technologies Design, Teachers College, Columbia University, New York, NY, USA. Serri, Deborah. Kognito, New York, NY, USA. Bleeker, Seth. Kognito, New York, NY, USA. Goldman, Ron. Kognito, New York, NY, USA.</t>
  </si>
  <si>
    <t>http://ovidsp.ovid.com/ovidweb.cgi?T=JS&amp;CSC=Y&amp;NEWS=N&amp;PAGE=fulltext&amp;D=prem&amp;AN=28293614</t>
  </si>
  <si>
    <t>https://dx.doi.org/10.21037/mhealth.2016.11.02</t>
  </si>
  <si>
    <t>MEDLINE; Ovid Technologies; Harnessing the power of conversations with virtual humans to change health behaviors</t>
  </si>
  <si>
    <t>Alemi,F.;Stephens,R. C.;Muise,K.;Dyches,H.;Mosavel,M.;Butts,J.</t>
  </si>
  <si>
    <t>Educating patients at home. Community Health Rap</t>
  </si>
  <si>
    <t>Medical care</t>
  </si>
  <si>
    <t>Med.Care</t>
  </si>
  <si>
    <t>OS21</t>
  </si>
  <si>
    <t>Adult;Analysis of Variance;Case-Control Studies;Cocaine;*Computer Communication Networks/og Organization &amp; Administration];Educational Status;Female;Health Services Research;*Home Care Services/og Organization &amp; Administration];Humans;*Online Systems/og Organization &amp; Administration];Opioid-Related Disorders/pc Prevention &amp; Control];Outcome Assessment (Health Care);*Patient Education as Topic/og Organization &amp; Administration];Patient Satisfaction;Poverty;Pregnancy;Pregnancy Complications/pc Prevention &amp; Control];I5Y540LHVR (Cocaine)</t>
  </si>
  <si>
    <t>OBJECTIVES: The authors analyzed the impact of home health education by studying the impact of a computer service called Community Health Rap. When patients call this service, the computer records their questions and alerts an expert who records a response. Subsequently, the computer alerts the patient that the question has been addressed. METHODS: Subjects included a group of 82 pregnant women who had used cocaine during or 1 month before pregnancy (as reported by the woman) and a group of residents of zip code areas with the lowest income in Cleveland. From the drug-using pregnant women, we collected data regarding satisfaction with Community Health Rap, usage of Community Health Rap per month, self-reported health status (using the General Health Survey), and the extent of drug use (using the Addiction Severity Index). Trained coders also classified the nature of questions posed to the Community Health Rap by either the pregnant women who abuse drugs or the members of target households. Among the pregnant women who abuse drugs, we compared the differences between those who used the service and those who did not. To control for baseline differences between the two groups, analysis of co-variance was used with exit values as the dependent variables, the baseline values as the co-variates, and participation in the Community Health Rap as the independent variable. RESULTS: Almost half (45%) of poor, undereducated subjects who lived in inner urban areas used the computer service. Content analysis of Community Health Rap messages revealed that subjects had many questions that were of a social nature (regarding sex, relationships, etc), in addition to medical questions. Analysis showed that poor health status, more frequent drug use, lower education, and age did not affect regular use of Community Health Rap service. No health outcomes or utilization of treatment were associated with regular use of Community Health Rap. One exception, however, was that regular users of Community Health Rap reported slower improvement of their pain than those who did not use Community Health Rap. CONCLUSIONS: These data suggest that expansion of information services to households will not leave the poor and the undereducated population groups "behind." They will use computer services, though such services may not have an impact on their health status or cost of care.</t>
  </si>
  <si>
    <t>J2: Med Care; Alemi, F Stephens, R C Muise, K Dyches, H Mosavel, M Butts, J; ID: 1164</t>
  </si>
  <si>
    <t>0025-7079</t>
  </si>
  <si>
    <t>Alemi, F. Health Administration Program, Cleveland State University, Ohio, USA.</t>
  </si>
  <si>
    <t>http://ovidsp.ovid.com/ovidweb.cgi?T=JS&amp;CSC=Y&amp;NEWS=N&amp;PAGE=fulltext&amp;D=med4&amp;AN=8843934</t>
  </si>
  <si>
    <t>MEDLINE; Ovid Technologies; Educating patients at home. Community Health Rap</t>
  </si>
  <si>
    <t>Ales,M. W.;Rodrigues,S. B.;Snyder,R.;Conklin,M.</t>
  </si>
  <si>
    <t>Developing and implementing an effective framework for collaboration: the experience of the CS2day collaborative</t>
  </si>
  <si>
    <t>Journal of Continuing Education in the Health Professions</t>
  </si>
  <si>
    <t>J.Contin.Educ.Health Prof.</t>
  </si>
  <si>
    <t>31 Suppl 1</t>
  </si>
  <si>
    <t>S13</t>
  </si>
  <si>
    <t>Clinical Competence/st Standards];Cooperative Behavior;*Delivery of Health Care, Integrated;Education, Medical, Continuing/mt Methods];Education, Medical, Continuing/og Organization &amp; Administration];Efficiency, Organizational;Financing, Organized;Health Plan Implementation/og Organization &amp; Administration];*Health Plan Implementation;Health Services Needs and Demand;Humans;*Interinstitutional Relations;Models, Organizational;*Organizational Case Studies;Practice Guidelines as Topic;*Program Development;Public Health Practice;*Smoking Cessation/mt Methods];Smoking Cessation/sn Statistics &amp; Numerical Data];Staff Development/mt Methods];Staff Development/st Standards];*Tobacco Use Disorder/pc Prevention &amp; Control]</t>
  </si>
  <si>
    <t>Organizations from varied sectors have pursued collaboration to better fulfill their missions, facilitate decision making, solve more complex problems, and respond more rapidly to a changing environment. While these benefits are evident through the products and services provided, few organizations evaluate the factors that contribute to the success or failure of the collaboration itself. The CS2day Collaborative was formed by 9 separate organizations with a common goal of increasing smoking quit rates through health care professional education. To better understand the factors that influence successful collaboration, the authors applied criteria established by the Wilder Foundation to the functioning of this health care education collaborative. Factors analyzed include the influence of the environment, membership, process and structure, communication, purpose, and resources. Factors relevant to continuing medical education/continuing professional development (CME/CPD) including accreditation, conflict of interest resolution and management, guideline dissemination, continuous assessment and interprofessional education influenced the collaborative structure. Specific examples provided illustrate how diverse organizations can work together effectively to address a public health need. While the CS2day Collaborative was not formed with prior knowledge of these factors, they provide a useful framework for examining how this collaborative was developed and has operated.</t>
  </si>
  <si>
    <t>J2: J Contin Educ Health Prof; Ales, Mary W Rodrigues, Shelly B Snyder, Robyn Conklin, Mary; ID: 457</t>
  </si>
  <si>
    <t>1554-558X</t>
  </si>
  <si>
    <t>Ales, Mary W. Interstate Postgraduate Medical Association. males@ipmameded.org</t>
  </si>
  <si>
    <t>http://ovidsp.ovid.com/ovidweb.cgi?T=JS&amp;CSC=Y&amp;NEWS=N&amp;PAGE=fulltext&amp;D=med7&amp;AN=22190096</t>
  </si>
  <si>
    <t>https://dx.doi.org/10.1002/chp.20144</t>
  </si>
  <si>
    <t>MEDLINE; Ovid Technologies; Developing and implementing an effective framework for collaboration: the experience of the CS2day collaborative</t>
  </si>
  <si>
    <t>Alexander,D.;Waters,V.;McQueen,K.;Basinger,S.</t>
  </si>
  <si>
    <t>Utilizing a substance use attitudes, practices and knowledge survey for multidisciplinary curriculum development</t>
  </si>
  <si>
    <t>Alcoholism/di Diagnosis];*Alcoholism/px Psychology];Alcoholism/rh Rehabilitation];*Attitude of Health Personnel;Culture;Curriculum;Fellowships and Scholarships;*Health Knowledge, Attitudes, Practice;*Health Personnel/ed Education];Humans;*Inservice Training;Mass Screening;*Program Development;Program Evaluation;Substance-Related Disorders/di Diagnosis];*Substance-Related Disorders/px Psychology];Substance-Related Disorders/rh Rehabilitation];Surveys and Questionnaires;Texas</t>
  </si>
  <si>
    <t>Development and administration of a substance use attitudes questionnaire to social work students and clinicians, physician assistant students and practitioners, and medical interns is described.</t>
  </si>
  <si>
    <t>J2: Subst Abus; Alexander, Dale Waters, Vicki McQueen, Katherine Basinger, Scott; ID: 735</t>
  </si>
  <si>
    <t>Alexander, Dale. University of Houston, TX 77204-4492, USA. dalexander@uh.edu</t>
  </si>
  <si>
    <t>http://ovidsp.ovid.com/ovidweb.cgi?T=JS&amp;CSC=Y&amp;NEWS=N&amp;PAGE=fulltext&amp;D=med5&amp;AN=16837417</t>
  </si>
  <si>
    <t>MEDLINE; Ovid Technologies; Utilizing a substance use attitudes, practices and knowledge survey for multidisciplinary curriculum development</t>
  </si>
  <si>
    <t>Alexander,D. E.;Gwyther,R. E.</t>
  </si>
  <si>
    <t>Alcoholism in adolescents and their families. Family-focused assessment and management</t>
  </si>
  <si>
    <t>Pediatric clinics of North America</t>
  </si>
  <si>
    <t>Pediatr.Clin.North Am.</t>
  </si>
  <si>
    <t>Adolescent;Adult;Alcoholism/di Diagnosis];Alcoholism/ep Epidemiology];Alcoholism/px Psychology];*Alcoholism/th Therapy];Family Therapy/ed Education];*Family Therapy/mt Methods];Humans;Medical History Taking;Pediatrics/ed Education];Pediatrics/mt Methods];Risk Factors;Substance-Related Disorders/th Therapy]</t>
  </si>
  <si>
    <t>A family-focused approach is the most effective clinical method in the assessment and management of substance abuse in adolescents and their parents. The impact of alcoholism and substance abuse on parents and children, psychosocial risk factors, and indicators of alcoholism are important considerations when using this approach. Education regarding the family-focused approach to the treatment of substance abuse deserves a high priority in the training of pediatricians and other primary care physicians. As Doherty and Baird suggest," . . . the key to this training will not be . . . the development of a more sensitive liver function test, . . . but (rather) will be to help primary care physicians view individual patients as a part of a social context. The challenge will be to train the physicians to evaluate the patient in his or her social and family system for significant disturbances that commonly occur with chemical dependency. By evaluating the presenting patient in a family context, the primary care physician has the means to discover chemical dependency in early stages, when treatment options are less disruptive; when outcome is improved; and when the emotional and economic losses to patient, family and community are reduced." References: 102]</t>
  </si>
  <si>
    <t>J2: Pediatr Clin North Am; Alexander, D E Gwyther, R E; ID: 1206</t>
  </si>
  <si>
    <t>0031-3955</t>
  </si>
  <si>
    <t>Alexander, D E. Department of Family Medicine, University of North Carolina at Chapel Hill.</t>
  </si>
  <si>
    <t>http://ovidsp.ovid.com/ovidweb.cgi?T=JS&amp;CSC=Y&amp;NEWS=N&amp;PAGE=fulltext&amp;D=medc&amp;AN=7854875</t>
  </si>
  <si>
    <t>MEDLINE; Ovid Technologies; Alcoholism in adolescents and their families. Family-focused assessment and management</t>
  </si>
  <si>
    <t>Alford,D. P.</t>
  </si>
  <si>
    <t>Opioid Prescribing for Chronic Pain--Achieving the Right Balance through Education</t>
  </si>
  <si>
    <t>New England Journal of Medicine</t>
  </si>
  <si>
    <t>N.Engl.J.Med.</t>
  </si>
  <si>
    <t>*Analgesics, Opioid/tu Therapeutic Use];*Chronic Pain/dt Drug Therapy];Delayed-Action Preparations/tu Therapeutic Use];*Drug Prescriptions/st Standards];*Education, Medical, Continuing;Government Regulation;Humans;Legislation, Drug;Practice Guidelines as Topic;Practice Patterns, Physicians';Prescription Drug Misuse/lj Legislation &amp; Jurisprudence];*Prescription Drug Misuse/pc Prevention &amp; Control];Referral and Consultation;United States;0 (Analgesics, Opioid);0 (Delayed-Action Preparations)</t>
  </si>
  <si>
    <t>J2: N Engl J Med; Alford, Daniel P; ID: 201</t>
  </si>
  <si>
    <t>1533-4406</t>
  </si>
  <si>
    <t>Alford, Daniel P. From the Boston University School of Medicine and Boston Medical Center - both in Boston.</t>
  </si>
  <si>
    <t>http://ovidsp.ovid.com/ovidweb.cgi?T=JS&amp;CSC=Y&amp;NEWS=N&amp;PAGE=fulltext&amp;D=med8&amp;AN=26816007</t>
  </si>
  <si>
    <t>https://dx.doi.org/10.1056/NEJMp1512932</t>
  </si>
  <si>
    <t>MEDLINE; Ovid Technologies; Opioid Prescribing for Chronic Pain--Achieving the Right Balance through Education</t>
  </si>
  <si>
    <t>Alford,D. P.;Bridden,C.;Jackson,A. H.;Saitz,R.;Amodeo,M.;Barnes,H. N.;Samet,J. H.</t>
  </si>
  <si>
    <t>Promoting substance use education among generalist physicians: an evaluation of the Chief Resident Immersion Training (CRIT) program</t>
  </si>
  <si>
    <t>Adult;Clinical Competence/st Standards];Educational Measurement/mt Methods];Educational Measurement/st Standards];Female;Follow-Up Studies;Humans;Internship and Residency/mt Methods];*Internship and Residency/st Standards];Male;*Physicians, Family/ed Education];*Physicians, Family/st Standards];Program Evaluation/mt Methods];*Program Evaluation/st Standards];Substance-Related Disorders/di Diagnosis];Substance-Related Disorders/th Therapy];*Substance-Related Disorders;Surveys and Questionnaires</t>
  </si>
  <si>
    <t>BACKGROUND: Education about substance use (SU) disorders remains inadequate in medical training. OBJECTIVE: To describe the Chief Resident Immersion Training (CRIT) program in addiction medicine and to evaluate its impact on chief resident (CR) physicians' substance use knowledge, skills, clinical practice, and teaching. DESIGN: A controlled educational study of CRIT programs (2003, 2004, and 2005) for incoming CRs in generalist disciplines. Intervention CRs were trained to diagnose, manage, and teach about SU. The control CRs sought but did not receive the intervention. PARTICIPANTS: Eighty-six CR applicants to the CRIT program. MEASUREMENTS: Baseline and 6-month questionnaires assessing substance use knowledge, skills, clinical practice, and teaching. Outcomes were compared within groups from baseline to follow-up and between groups at follow-up. RESULTS: The intervention (n = 64) and control (n = 22) CRs were similar demographically. At 6-month follow-up, the intervention CRs reported a significant increase in SU knowledge, confidence, and preparedness to diagnose, manage, and teach and an increase in SU clinical and teaching practices compared to their baseline and control CRs. CONCLUSIONS: This intensive training for chief residents (CRs) improved knowledge, confidence, and preparedness to diagnose, manage, and teach about substance use (SU), affecting both the CRs' SU clinical and teaching practices. The CRIT program was an effective model for dissemination of SU knowledge and skills to educators in a key position to share this training with a broader audience of medical trainees. This model holds potential to address other high priority medical, yet under-addressed, content areas as well.</t>
  </si>
  <si>
    <t>J2: J Gen Intern Med; Alford, Daniel P Bridden, Carly Jackson, Angela H Saitz, Richard Amodeo, Maryann Barnes, Henrietta N Samet, Jeffrey H; ID: 618</t>
  </si>
  <si>
    <t>1525-1497</t>
  </si>
  <si>
    <t>Alford, Daniel P. Clinical Addiction Research and Education Unit, Section of General Internal Medicine, Department of Medicine, Boston Medical Center, Boston University School of Medicine, Boston, MA 02118-2393, USA. dan.alford@bmc.org</t>
  </si>
  <si>
    <t>http://ovidsp.ovid.com/ovidweb.cgi?T=JS&amp;CSC=Y&amp;NEWS=N&amp;PAGE=fulltext&amp;D=med6&amp;AN=18937015</t>
  </si>
  <si>
    <t>https://dx.doi.org/10.1007/s11606-008-0819-2</t>
  </si>
  <si>
    <t>MEDLINE; Ovid Technologies; Promoting substance use education among generalist physicians: an evaluation of the Chief Resident Immersion Training (CRIT) program</t>
  </si>
  <si>
    <t>Alford,D. P.;Carney,B. L.;Jackson,A. H.;Brett,B.;Bridden,C.;Winter,M.;Samet,J. H.</t>
  </si>
  <si>
    <t>Promoting addiction medicine teaching through functional mentoring by co-training generalist chief residents with faculty mentors</t>
  </si>
  <si>
    <t>BACKGROUND: Generalist physicians should play a vital role in identifying and managing individuals with substance use but are inadequately trained to do so. METHODS: This 5-year (2008-2012) controlled educational study assessed whether internal medicine and family medicine chief residents' (CRs) addiction medicine teaching increased by co-training with faculty mentors at a Chief Resident Immersion Training (CRIT) program in addiction medicine. All CRIT CR attendees identified a residency program faculty mentor to support addiction medicine teaching after CRIT through functional mentoring with a focus on developing and implementing an Addiction Medicine Teaching Project ("Teaching Project"). Approximately half of the CRs attended CRIT with their mentor (co-trained) and half without their mentor (solo-trained). Addiction medicine teaching outcomes were compared between groups using 6- and 11-month questionnaires and 4 bimonthly teaching logs. Of co-trained CRs, mentor characteristics that positively influenced addiction medicine teaching outcomes were identified. RESULTS: One hundred CRs from 74 residency programs attended CRIT from 2008 to 2012; 47 co-trained with their mentors and 53 solo-trained without their mentors. At 6-month follow-up, the co-trained CRs were more likely to meet at least monthly with their mentor (22.7% vs. 9.6%, P &lt; .01) and more likely to identify their mentor as a facilitator for Teaching Project implementation (82.2% vs. 38.5%, P &lt; .01). At 11-month follow-up, a higher percentage of co-trained CRs had completed their Teaching Project (34.0% vs. 15.1%, P &lt; .05). Both CR groups had similarly large increases in other addiction medicine teaching outcomes. Mentors with more experience, including years of teaching, was associated with better CR Teaching Project outcomes. CONCLUSIONS: Co-training generalist chief residents with a faculty mentor appeared to facilitate functional mentoring-driven Teaching Project implementation but did not further increase already high levels of other addiction medicine teaching. Faculty mentors with more years of teaching experience were more effective in facilitating Teaching Project implementation.</t>
  </si>
  <si>
    <t>J2: Subst Abus; Alford, Daniel P Carney, Brittany L Jackson, Angela H Brett, Belle Bridden, Carly Winter, Michael Samet, Jeffrey H; ID: 1683</t>
  </si>
  <si>
    <t>1547-0164</t>
  </si>
  <si>
    <t>Alford, Daniel P. a Clinical Addiction Research and Education Unit, Boston Medical Center , Boston , Massachusetts , USA. Alford, Daniel P. b Section of General Internal Medicine, Boston University School of Medicine , Boston , Massachusetts , USA. Carney, Brittany L. a Clinical Addiction Research and Education Unit, Boston Medical Center , Boston , Massachusetts , USA. Jackson, Angela H. a Clinical Addiction Research and Education Unit, Boston Medical Center , Boston , Massachusetts , USA. Jackson, Angela H. b Section of General Internal Medicine, Boston University School of Medicine , Boston , Massachusetts , USA. Brett, Belle. c Brett Consulting Group , Somerville , Massachusetts , USA. Bridden, Carly. a Clinical Addiction Research and Education Unit, Boston Medical Center , Boston , Massachusetts , USA. Winter, Michael. d Biostatistics and Epidemiology Data Analytics Center, Boston University School of Public Health , Boston , Massachusetts , USA. Samet, Jeffrey H. a Clinical Addiction Research and Education Unit, Boston Medical Center , Boston , Massachusetts , USA. Samet, Jeffrey H. b Section of General Internal Medicine, Boston University School of Medicine , Boston , Massachusetts , USA. Samet, Jeffrey H. e Department of Community Health Sciences , Boston University School of Public Health , Boston , Massachusetts , USA.</t>
  </si>
  <si>
    <t>http://ovidsp.ovid.com/ovidweb.cgi?T=JS&amp;CSC=Y&amp;NEWS=N&amp;PAGE=fulltext&amp;D=medp&amp;AN=29452056</t>
  </si>
  <si>
    <t>https://dx.doi.org/10.1080/08897077.2018.1439799</t>
  </si>
  <si>
    <t>MEDLINE; Ovid Technologies; Promoting addiction medicine teaching through functional mentoring by co-training generalist chief residents with faculty mentors</t>
  </si>
  <si>
    <t>Alford,D. P.;Richardson,J. M.;Chapman,S. E.;Dube,C. E.;Schadt,R. W.;Saitz,R.</t>
  </si>
  <si>
    <t>A web-based Alcohol Clinical Training (ACT) curriculum: is in-person faculty development necessary to affect teaching?</t>
  </si>
  <si>
    <t>BMC Medical Education</t>
  </si>
  <si>
    <t>Alcoholism/di Diagnosis];*Alcoholism/pc Prevention &amp; Control];*Clinical Competence;Curriculum;Data Collection;Education;*Education, Medical, Continuing/mt Methods];*Faculty, Medical;Humans;*Internet;*Mass Screening;Models, Educational;Pilot Projects;Prospective Studies;*Teaching/mt Methods]</t>
  </si>
  <si>
    <t>BACKGROUND: Physicians receive little education about unhealthy alcohol use and as a result patients often do not receive efficacious interventions. The objective of this study is to evaluate whether a free web-based alcohol curriculum would be used by physician educators and whether in-person faculty development would increase its use, confidence in teaching and teaching itself. METHODS: Subjects were physician educators who applied to attend a workshop on the use of a web-based curriculum about alcohol screening and brief intervention and cross-cultural efficacy. All physicians were provided the curriculum web address. Intervention subjects attended a 3-hour workshop including demonstration of the website, modeling of teaching, and development of a plan for using the curriculum. All subjects completed a survey prior to and 3 months after the workshop. RESULTS: Of 20 intervention and 13 control subjects, 19 (95%) and 10 (77%), respectively, completed follow-up. Compared to controls, intervention subjects had greater increases in confidence in teaching alcohol screening, and in the frequency of two teaching practices - teaching about screening and eliciting patient health beliefs. Teaching confidence and teaching practices improved significantly in 9 of 10 comparisons for intervention, and in 0 comparisons for control subjects. At follow-up 79% of intervention but only 50% of control subjects reported using any part of the curriculum (p = 0.20). CONCLUSION: In-person training for physician educators on the use of a web-based alcohol curriculum can increase teaching confidence and practices. Although the web is frequently used for dissemination, in-person training may be preferable to effect widespread teaching of clinical skills like alcohol screening and brief intervention.</t>
  </si>
  <si>
    <t>J2: BMC Med Educ; Alford, Daniel P Richardson, Jessica M Chapman, Sheila E Dube, Catherine E Schadt, Robert W Saitz, Richard; ID: 698</t>
  </si>
  <si>
    <t>1472-6920</t>
  </si>
  <si>
    <t>Alford, Daniel P. Clinical Addiction Research and Education (CARE) Unit, Section of General Internal Medicine, Department of Medicine, Boston Medical Center, Boston, MA, USA. dalford@bu.edu</t>
  </si>
  <si>
    <t>http://ovidsp.ovid.com/ovidweb.cgi?T=JS&amp;CSC=Y&amp;NEWS=N&amp;PAGE=fulltext&amp;D=med6&amp;AN=18325102</t>
  </si>
  <si>
    <t>https://dx.doi.org/10.1186/1472-6920-8-11</t>
  </si>
  <si>
    <t>MEDLINE; Ovid Technologies; A web-based Alcohol Clinical Training (ACT) curriculum: is in-person faculty development necessary to affect teaching?</t>
  </si>
  <si>
    <t>Alford,D. P.;Zisblatt,L.;Ng,P.;Hayes,S. M.;Peloquin,S.;Hardesty,I.;White,J. L.</t>
  </si>
  <si>
    <t>SCOPE of Pain: An Evaluation of an Opioid Risk Evaluation and Mitigation Strategy Continuing Education Program</t>
  </si>
  <si>
    <t>Pain Medicine</t>
  </si>
  <si>
    <t>*Analgesics, Opioid/tu Therapeutic Use];Chronic Pain/dt Drug Therapy];Drug Prescriptions;Education, Medical, Continuing;Humans;*Opioid-Related Disorders/dt Drug Therapy];Opioid-Related Disorders/ep Epidemiology];*Practice Patterns, Physicians'/lj Legislation &amp; Jurisprudence];Risk Assessment;United States;United States Food and Drug Administration/lj Legislation &amp; Jurisprudence];0 (Analgesics, Opioid)</t>
  </si>
  <si>
    <t>OBJECTIVE: Due to the high prevalence of prescription opioid misuse, the US Food and Drug Administration (FDA) mandated a Risk Evaluation and Mitigation Strategy (REMS) requiring manufacturers of extended-release/long-acting (ER/LA) opioid analgesics to fund continuing education based on a FDA Blueprint. This article describes the Safe and Competent Opioid Prescribing Education (SCOPE of Pain) program, an ER/LA opioid analgesic REMS program, and its impact on clinician knowledge, confidence, attitudes, and self-reported clinical practice. METHOD: Participants of the 3-h SCOPE of Pain training completed pre-, immediate post- and 2-month post-assessments. SUBJECTS: The primary target group (n = 2,850), and a subset (n = 476) who completed a 2-month post-assessment, consisted of clinicians licensed to prescribe ER/LA opioid analgesics, who care for patients with chronic pain and who completed the 3-h training between February 28, 2013 and June 13, 2014. RESULTS: Immediately post-program, there was a significant increase in correct responses to knowledge questions (60% to 84%, P &lt;= 0.02) and 87% of participants planned to make practice changes. At 2-months post-program, there continued to be a significant increase in correct responses to knowledge questions (60% to 69%, P &lt;= 0.03) and 67% reported increased confidence in applying safe opioid prescribing care and 86% reported implementing practice changes. There was also an improvement in alignment of desired attitudes toward safe opioid prescribing. CONCLUSIONS: The SCOPE of Pain program improved knowledge, attitudes, confidence, and self-reported clinical practice in safe opioid prescribing. This national REMS program holds potential to improve the safe use of opioids for the treatment of chronic pain.</t>
  </si>
  <si>
    <t>J2: Pain Med; Alford, Daniel P Zisblatt, Lara Ng, Pamela Hayes, Sean M Peloquin, Sophie Hardesty, Ilana White, Julie L; ID: 135</t>
  </si>
  <si>
    <t>1526-4637</t>
  </si>
  <si>
    <t>http://ovidsp.ovid.com/ovidweb.cgi?T=JS&amp;CSC=Y&amp;NEWS=N&amp;PAGE=fulltext&amp;D=med8&amp;AN=26304703</t>
  </si>
  <si>
    <t>MEDLINE; Ovid Technologies; SCOPE of Pain: An Evaluation of an Opioid Risk Evaluation and Mitigation Strategy Continuing Education Program</t>
  </si>
  <si>
    <t>al-Khateeb,M.</t>
  </si>
  <si>
    <t>Trends of tobacco smoking among physicians, journalists and teachers in Bahrain</t>
  </si>
  <si>
    <t>Hygie</t>
  </si>
  <si>
    <t>Adult;Bahrain/ep Epidemiology];Female;Humans;Male;Middle Aged;*Physicians;*Publishing;*Smoking/ep Epidemiology];Smoking/td Trends];*Teaching</t>
  </si>
  <si>
    <t>J2: Hygie; al-Khateeb, M; ID: 1358</t>
  </si>
  <si>
    <t>0751-7149</t>
  </si>
  <si>
    <t>al-Khateeb, M. Ministry of Health, State of Bahrain.</t>
  </si>
  <si>
    <t>http://ovidsp.ovid.com/ovidweb.cgi?T=JS&amp;CSC=Y&amp;NEWS=N&amp;PAGE=fulltext&amp;D=med3&amp;AN=2335356</t>
  </si>
  <si>
    <t>MEDLINE; Ovid Technologies; Trends of tobacco smoking among physicians, journalists and teachers in Bahrain</t>
  </si>
  <si>
    <t>Allan,J.</t>
  </si>
  <si>
    <t>Advanced rural skills training - the value of an addiction medicine rotation</t>
  </si>
  <si>
    <t>Australian Family Physician</t>
  </si>
  <si>
    <t>Aust.Fam.Physician</t>
  </si>
  <si>
    <t>*Education, Medical, Graduate/og Organization &amp; Administration];*Family Practice/ed Education];Female;Humans;Interdisciplinary Communication;Male;*Medical Staff, Hospital/ed Education];New South Wales;Organizational Case Studies;*Public Health/ed Education];*Rural Health Services/og Organization &amp; Administration];*Substance-Related Disorders/pc Prevention &amp; Control]</t>
  </si>
  <si>
    <t>BACKGROUND: General practitioners are ideally placed to address drug and alcohol problems in the Australian population. Lack of adequate undergraduate and postgraduate training has been suggested as a key barrier limiting their involvement in addiction medicine. OBJECTIVE: This article describes the establishment and operations of an advanced rural skills training program at the Lyndon Community - a rural drug and alcohol treatment organisation in New South Wales. DISCUSSION: An addiction medicine rotation offers general practice registrars the opportunity to develop skills and experience in psychosocial interventions as well as physical and mental health issues common in the treatment population. Registrars participating in the Lyndon Community program perceived that the training period had influenced and enhanced their future practice.</t>
  </si>
  <si>
    <t>J2: Aust Fam Physician; Allan, Julaine; ID: 436</t>
  </si>
  <si>
    <t>0300-8495</t>
  </si>
  <si>
    <t>Allan, Julaine. Lyndon Community, Research and Training, Orange, New South Wales. jallan@lyndoncommunity.org.au</t>
  </si>
  <si>
    <t>http://ovidsp.ovid.com/ovidweb.cgi?T=JS&amp;CSC=Y&amp;NEWS=N&amp;PAGE=fulltext&amp;D=med7&amp;AN=22059226</t>
  </si>
  <si>
    <t>MEDLINE; Ovid Technologies; Advanced rural skills training - the value of an addiction medicine rotation</t>
  </si>
  <si>
    <t>Allen,B., J.;Pederson,L. L.;Leonard,E. H.</t>
  </si>
  <si>
    <t>Effectiveness of physicians-in-training counseling for smoking cessation in African Americans</t>
  </si>
  <si>
    <t>Journal of the National Medical Association</t>
  </si>
  <si>
    <t>J.Natl.Med.Assoc.</t>
  </si>
  <si>
    <t>*African Americans;*Counseling;Evaluation Studies as Topic;Female;Hospitals, General;Hospitals, Urban;Humans;*Internship and Residency;Male;*Physician's Role;*Smoking Cessation;United States</t>
  </si>
  <si>
    <t>This study examined the effectiveness of smoking cessation counseling by physicians-in-training (residents) with African-American patients. One hundred fifty-eight family and internal medicine residents at a large urban public general hospital participated in the study; two thirds of the residents underwent a 2-hour smoking cessation training program. Ninety-two of the trained physicians counseled from 1 to 18 patients. The majority of physicians were male, with 8% being current smokers. Over a 26-month period, 1086 patients were randomly assigned to intervention and control (usual care) groups. Mean patient age was 44 years, mean years smoking was 25, and mean number of cigarettes smoked per day was 14. There were no differences in biochemically validated smoking cessation rates between the intervention and control groups at 3 or 12 months postenrollment (2% versus 1.8% and 2.2% versus 2.8%, respectively). Losses to follow-up were high at both 3 and 12 months (38% and 40% respectively). Implications for future trials in minority populations are discussed. A brief physician-based smoking cessation message does not appear to be an effective strategy for use with African-American smokers in a large urban public general hospital.</t>
  </si>
  <si>
    <t>J2: J Natl Med Assoc; Allen, B Jr Pederson, L L Leonard, E H; ID: 1090</t>
  </si>
  <si>
    <t>0027-9684</t>
  </si>
  <si>
    <t>Allen, B Jr. Drew-Meharry-Morehouse Consortium Cancer Center, Charles R. Drew University of Medicine and Science, Los Angeles, California 90059, USA.</t>
  </si>
  <si>
    <t>http://ovidsp.ovid.com/ovidweb.cgi?T=JS&amp;CSC=Y&amp;NEWS=N&amp;PAGE=fulltext&amp;D=med4&amp;AN=9803724</t>
  </si>
  <si>
    <t>MEDLINE; Ovid Technologies; Effectiveness of physicians-in-training counseling for smoking cessation in African Americans</t>
  </si>
  <si>
    <t>Allen,S. R.;Kritz-Silverstein,D.</t>
  </si>
  <si>
    <t>Dental vs. Medical Students' Comfort with Smoking Cessation Counseling: Implications for Dental Education</t>
  </si>
  <si>
    <t>Aug</t>
  </si>
  <si>
    <t>Adult;Attitude of Health Personnel;Counseling;Education, Dental;Female;Humans;Male;Smoking Cessation/mt Methods];Smoking Cessation/px Psychology];*Smoking Cessation;Students, Dental/px Psychology];Students, Dental/sn Statistics &amp; Numerical Data];*Students, Dental;Students, Medical/px Psychology];Students, Medical/sn Statistics &amp; Numerical Data];*Students, Medical</t>
  </si>
  <si>
    <t>The aim of this study was to determine if dental and medical students have similar feelings of professional responsibility, comfort, and confidence with counseling patients about smoking cessation during their clinical years. All third- and fourth-year osteopathic medical (N=580) and dental students (N=144) at Western University of Health Sciences were invited to participate in a survey in April-July 2014, either electronically or in person, regarding their perceived professional responsibility, comfort, and confidence in counseling smokers about quitting and major constraints against counseling smokers about quitting. Respondents' demographic characteristics, smoking history, and history of living with a smoker were also assessed. Response rates were 21% (124/580) for medical and 82% (118/144) for dental students. Most of the responding medical (99.2%) and dental (94.9%) students reported feeling it was their professional responsibility to counsel patients about smoking cessation. Medical student respondents were significantly more comfortable and confident counseling patients about smoking cessation than dental student respondents (p0.10). There were no differences by age, but students who were former smokers were significantly more comfortable and confident counseling about smoking cessation than were nonsmokers (p=0.001). While almost all of the responding students reported feeling responsible for counseling patients about smoking cessation, the medical students and former smokers were more comfortable and confident performing this counseling. These results suggest the need for additional training in counseling techniques for dental students and nonsmokers. Future studies should assess the impact of medical and dental students' smoking cessation counseling.</t>
  </si>
  <si>
    <t>J2: J Dent Educ; Allen, Staci Robinson Kritz-Silverstein, Donna; ID: 103</t>
  </si>
  <si>
    <t>Allen, Staci Robinson. Dr. Allen is currently in private practice in central Connecticut; this research was conducted when she was a Pediatric Dental Resident, New York University Lutheran Medical Center-Southern California and San Ysidro Health Clinics, San Diego, CA; and Dr. Kritz-Silverstein is Professor, Department of Family Medicine and Public Health, School of Medicine, University of California, San Diego. Kritz-Silverstein, Donna. Dr. Allen is currently in private practice in central Connecticut; this research was conducted when she was a Pediatric Dental Resident, New York University Lutheran Medical Center-Southern California and San Ysidro Health Clinics, San Diego, CA; and Dr. Kritz-Silverstein is Professor, Department of Family Medicine and Public Health, School of Medicine, University of California, San Diego. dsilverstein@ucsd.edu.</t>
  </si>
  <si>
    <t>http://ovidsp.ovid.com/ovidweb.cgi?T=JS&amp;CSC=Y&amp;NEWS=N&amp;PAGE=fulltext&amp;D=med8&amp;AN=27480707</t>
  </si>
  <si>
    <t>MEDLINE; Ovid Technologies; Dental vs. Medical Students' Comfort with Smoking Cessation Counseling: Implications for Dental Education</t>
  </si>
  <si>
    <t>Allen,S. S.;Bland,C. J.;Dawson,S. J.</t>
  </si>
  <si>
    <t>A mini-workshop to train medical students to use a patient-centered approach to smoking cessation</t>
  </si>
  <si>
    <t>Jan-Feb</t>
  </si>
  <si>
    <t>Analysis of Variance;Attitude of Health Personnel;Clinical Competence;*Curriculum;*Education, Medical, Undergraduate;Family Practice/ed Education];Humans;*Patient Education as Topic;Preventive Medicine/ed Education];*Smoking Prevention;Students, Medical/px Psychology]</t>
  </si>
  <si>
    <t>Leaders in preventive medicine and medical education have called for more attention to preventive medicine in medical education curricula. This study describes the implementation of a training program designed to introduce preventive medicine skills into the medical school curriculum. The specific issue addressed was smoking cessation. A two-hour workshop on the patient-centered approach to smoking intervention was presented to medical students during the family medicine rotation of the second-year clinical medicine course sequence. Two of the four student groups in the family medicine clinical rotation received the training and were afforded practice opportunity with at least one smoking patient at the clinical site. The other two groups went through the usual rotation with no special instruction or clinical emphasis on preventive interventions. Second-year medical students expressed positive perceptions of preventive medicine as assessed by self-rating on attributes important to successful preventive practice. These positive perceptions were retained by both groups after the clinical experience. Students with the workshop training were more confident in their smoking intervention skills and performed better overall on an objective clinical evaluation of intervention skills.</t>
  </si>
  <si>
    <t>J2: Am J Prev Med; Allen, S S Bland, C J Dawson, S J; ID: 1357</t>
  </si>
  <si>
    <t>Allen, S S. Department of Family Practice and Community Health, University of Minnesota School of Medicine, Minneapolis 55455.</t>
  </si>
  <si>
    <t>http://ovidsp.ovid.com/ovidweb.cgi?T=JS&amp;CSC=Y&amp;NEWS=N&amp;PAGE=fulltext&amp;D=med3&amp;AN=2340189</t>
  </si>
  <si>
    <t>MEDLINE; Ovid Technologies; A mini-workshop to train medical students to use a patient-centered approach to smoking cessation</t>
  </si>
  <si>
    <t>Allert,M. L.;Schneider,H.</t>
  </si>
  <si>
    <t>Observation of the course of drug abuse]</t>
  </si>
  <si>
    <t>Medizinische Welt</t>
  </si>
  <si>
    <t>Female;Germany, West;Humans;Male;Physician-Patient Relations;Physicians, Family;*Substance-Related Disorders/ep Epidemiology];Surveys and Questionnaires</t>
  </si>
  <si>
    <t>J2: Med Welt; German Allert, M L Schneider, H; OP: Verlaufsbeobachtungen zum Drogenmissbrauch; ID: 1565</t>
  </si>
  <si>
    <t>0025-8512</t>
  </si>
  <si>
    <t>http://ovidsp.ovid.com/ovidweb.cgi?T=JS&amp;CSC=Y&amp;NEWS=N&amp;PAGE=fulltext&amp;D=med1&amp;AN=4849269</t>
  </si>
  <si>
    <t>MEDLINE; Ovid Technologies; [Observation of the course of drug abuse]</t>
  </si>
  <si>
    <t>Allsop,S. J.;Helfgott,S.</t>
  </si>
  <si>
    <t>Whither the drug specialist? The work-force development needs of drug specialist staff and agencies</t>
  </si>
  <si>
    <t>Drug &amp; Alcohol Review</t>
  </si>
  <si>
    <t>Australia;Education, Medical;Health Personnel/ed Education];*Health Personnel/og Organization &amp; Administration];Health Personnel/px Psychology];Health Personnel/td Trends];Health Planning Guidelines;Humans;*Medical Staff/og Organization &amp; Administration];Medical Staff/px Psychology];Medical Staff/td Trends];*Medicine/og Organization &amp; Administration];Medicine/td Trends];*Specialization;*Substance-Related Disorders/pc Prevention &amp; Control];Substance-Related Disorders/px Psychology];*Workplace/og Organization &amp; Administration];Workplace/px Psychology]</t>
  </si>
  <si>
    <t>Drug specialist staff and agencies have been identified as having a critical role in responding to alcohol and other drug-related harm. This role must be seen in the context of the broad needs of people affected by drug use and the services that they utilize. Unfortunately, as in generic mainstream services, skill development, expertise, organizational structures and resources do not always support the demands of the drug specialist role. In order to develop the drug specialist work-force we must first review the evidence about the factors that influence effective practice. The available research indicates that a range of strategies is required and that these should not only focus on building the capacity of individuals, but also on organizations and systems. Substantial effort in capacity building is required in order to fulfil the expectations created by the title "drug specialist". References: 26]</t>
  </si>
  <si>
    <t>J2: Drug Alcohol Rev; Allsop, Steve J Helfgott, Sue; ID: 960</t>
  </si>
  <si>
    <t>0959-5236</t>
  </si>
  <si>
    <t>Allsop, Steve J. Drug and Alcohol Office, Mt Lawley Western Australia and Centre for International Health, Division of Health Sciences, Curtin University of Technology, Perth, Western Australia.</t>
  </si>
  <si>
    <t>http://ovidsp.ovid.com/ovidweb.cgi?T=JS&amp;CSC=Y&amp;NEWS=N&amp;PAGE=fulltext&amp;D=med4&amp;AN=12270071</t>
  </si>
  <si>
    <t>MEDLINE; Ovid Technologies; Whither the drug specialist? The work-force development needs of drug specialist staff and agencies</t>
  </si>
  <si>
    <t>Alosaimi,F. D.;Abalhassan,M.;Alhaddad,B.;Fallata,E. O.;Alhabbad,A.;Alshenqiti,R.;Alassiry,M. Z.</t>
  </si>
  <si>
    <t>Gender differences and risk factors for smoking among patients with various psychiatric disorders in Saudi Arabia: a cross-sectional study</t>
  </si>
  <si>
    <t>International Journal of Mental Health Systems</t>
  </si>
  <si>
    <t>Background: The higher prevalence of smoking among psychiatric patients is well established. However, gender-specific associations have rarely been the focus of studies among patients with various psychiatric disorders. The aim of this study was to estimate the gender-specific prevalence of current smoking by psychiatric patients and its association with various psychiatric disorders and the use of psychotropic medications. Methods: A cross-sectional observational study was performed between July 2012 and June 2014. Patients were recruited from six hospitals located in the five regions of Saudi Arabia. Results: Of the 1193 patients, 402 (33.7%) were current smokers. The incidence of current smoking was much higher among males than females (58.3% versus 6.7%, p&lt;0.001). In one or both genders, current smoking was associated with marital status, education, family income, residence, obesity, physical activity, substance abuse, inpatient status, previous psychiatric hospitalization, and age at onset of psychiatric illness. In both gender, smoking was higher in patients who had a secondary psychiatric disorder (66.7% versus 37.5%, respectively), those who had a primary psychotic disorder (63.7% versus 12.3%), and those taking antipsychotic medication (64.1% versus 8.3%) but lower in patients who had a primary depressive disorder (40.3% versus 4.3%), those who had a primary anxiety disorder (45.8% versus 0.0%), and those taking antidepressant medications (53.7% versus 3.6%). In a multivariate analysis adjusted for demographic/clinical characteristics and psychiatric disorders, current smoking was independently associated with primary psychotic disorders in females (OR=3.47, 1.45-8.27, p=0.005) but not in males. In a multivariate analysis adjusted for demographic/clinical characteristics and psychotropic medications, current smoking was independently associated with antipsychotic medication use in males (OR=1.79, 1.10-2.93, p=0.020). Current smoking was strongly associated with substance abuse in both univariate and multivariate analyses. Conclusion: The prevalence of current smoking is high with marked gender difference in a large sample of mixed psychiatric patients in Saudi Arabia. Smoking-cessation programs may be urgently needed for these vulnerable patients.</t>
  </si>
  <si>
    <t>J2: Int; Alosaimi, Fahad D Abalhassan, Mohammed Alhaddad, Bandar Fallata, Ebtihaj O Alhabbad, Abdulhadi Alshenqiti, Rabab Alassiry, Mohammed Z; ID: 1621</t>
  </si>
  <si>
    <t>1752-4458</t>
  </si>
  <si>
    <t>Alosaimi, Fahad D. 1Department of Psychiatry, King Saud University, # 55, King Khalid University Hospital, P.O. Box 7805, Riyadh, 11472 Saudi Arabia. Abalhassan, Mohammed. 2Department of Medicine, Prince Sattam Bin Abdulaziz University, Alkharj, Saudi Arabia. Alhaddad, Bandar. Department of neurosciences, Al-Imam Mohammad Bin Saud University, Riyadh, Saudi Arabia. Fallata, Ebtihaj O. Mental Health Hospital, Jeddah, Saudi Arabia. Alhabbad, Abdulhadi. Prince Mohammed Medical City, Aljouf, Saudi Arabia. Alshenqiti, Rabab. Al-Amal Complex for Mental Health, Dammam, Saudi Arabia. Alassiry, Mohammed Z. Mental Health Hospital, Abha, Saudi Arabia.</t>
  </si>
  <si>
    <t>http://ovidsp.ovid.com/ovidweb.cgi?T=JS&amp;CSC=Y&amp;NEWS=N&amp;PAGE=fulltext&amp;D=prem&amp;AN=29755581</t>
  </si>
  <si>
    <t>https://dx.doi.org/10.1186/s13033-018-0201-7</t>
  </si>
  <si>
    <t>MEDLINE; Ovid Technologies; Gender differences and risk factors for smoking among patients with various psychiatric disorders in Saudi Arabia: a cross-sectional study</t>
  </si>
  <si>
    <t>Amin,M.;Gabelman,G.;Buttrick,P.</t>
  </si>
  <si>
    <t>Cocaine-induced myocardial infarction. A growing threat to men in their 30s</t>
  </si>
  <si>
    <t>Postgraduate medicine</t>
  </si>
  <si>
    <t>Postgrad.Med.</t>
  </si>
  <si>
    <t>Adult;Calcium Channel Blockers/tu Therapeutic Use];*Cocaine;Education, Medical, Continuing;Electrocardiography;Female;Humans;Male;*Myocardial Infarction/ci Chemically Induced];Myocardial Infarction/dt Drug Therapy];Myocardial Infarction/ep Epidemiology];Prognosis;*Substance-Related Disorders/co Complications];0 (Calcium Channel Blockers);I5Y540LHVR (Cocaine)</t>
  </si>
  <si>
    <t>A clear association has been established between cocaine use and acute myocardial infarction. Because of the continuing rise in cocaine use in the United States, many more young patients have or will have this disorder. Such patients are usually managed conservatively with calcium channel blockade and have an excellent in-hospital prognosis. If chest pain recurs or stress testing reveals evidence of ischemia, cardiac catheterization should be done. If cocaine use is discontinued, the long-term prognosis of a typical patient with cocaine-induced acute myocardial infarction is excellent in the absence of other chronic illnesses. References: 37]</t>
  </si>
  <si>
    <t>J2: Postgrad Med; Amin, M Gabelman, G Buttrick, P; ID: 1313</t>
  </si>
  <si>
    <t>0032-5481</t>
  </si>
  <si>
    <t>Amin, M. Division of Cardiology, Montefiore Medical Center, Albert Einstein College of Medicine Yeshiva University, Bronx, New York.</t>
  </si>
  <si>
    <t>http://ovidsp.ovid.com/ovidweb.cgi?T=JS&amp;CSC=Y&amp;NEWS=N&amp;PAGE=fulltext&amp;D=med3&amp;AN=1891433</t>
  </si>
  <si>
    <t>MEDLINE; Ovid Technologies; Cocaine-induced myocardial infarction. A growing threat to men in their 30s</t>
  </si>
  <si>
    <t>Amiri,M.;Khosravi,A.;Chaman,R.</t>
  </si>
  <si>
    <t>Drug Abuse Pattern and High Risk Behaviors among Addicts in Shahroud County of Semnan Province, Northeast Iran in 2009</t>
  </si>
  <si>
    <t>Journal of Research in Health Sciences</t>
  </si>
  <si>
    <t>BACKGROUND: This study aimed at determining the drug abuse pattern and the frequency of high-risk behaviors among the clients of Methadone Maintenance Treatment Centers and Drop-in Centers in Shahroud County of Semnan Province. METHODS: In this cross-sectional study, the data collection tool was a questionnaire including 10 general and 32 specific items about drug abuse pattern and high-risk behaviors. The data were collected via interview. RESULTS: The mean age of the subjects was 34.8 year. The patterns of opium consumption among the subjects before coming to treatment center were inhalation (44.4%), ingestion (25.7%), and injection (12.7%). The subjects abused different types of opium before referring to the treatment centers including opium 88.42%, opium extract 65.5%, crack 48.0%, alcohol 30.3%, cannabis 19.8%, heroin 16.7%, and other substances 6.5%. Almost 42.4% of subjects had positive family history of drug abuse. There was not statistically significant correlation between the form of substance abuse and gender, education level, occupation and marital status. However the correlation between form of substance abuse and place of residence (P=0.014), income (P=0.03) and tobacco smoking (P=0.001) was statistically significant. CONCLUSION: The most prevalent pattern of drug consumption was inhalation. Opium and crack were the most frequent kind of drugs among study subjects. These results need serious attention in providing services through Methadone Maintenance Treatment Centers as well as Drop-in Centers. In addition, due to highly positive family history among addicts, family participation will play an important role in prevention.</t>
  </si>
  <si>
    <t>J2: J; Amiri, Mohammad Khosravi, Ahmad Chaman, Reza; ID: 426</t>
  </si>
  <si>
    <t>2228-7795</t>
  </si>
  <si>
    <t>Amiri, Mohammad. Department of Public Health, School of Health, Shahroud University of Medical Sciences, Shahroud, Iran.</t>
  </si>
  <si>
    <t>http://ovidsp.ovid.com/ovidweb.cgi?T=JS&amp;CSC=Y&amp;NEWS=N&amp;PAGE=fulltext&amp;D=prem&amp;AN=22911932</t>
  </si>
  <si>
    <t>MEDLINE; Ovid Technologies; Drug Abuse Pattern and High Risk Behaviors among Addicts in Shahroud County of Semnan Province, Northeast Iran in 2009</t>
  </si>
  <si>
    <t>Amr,M.;Gilany,Hady El;El-Hawary,A.</t>
  </si>
  <si>
    <t>Does gender predict medical students' stress in mansoura, egypt?</t>
  </si>
  <si>
    <t>Medical Education Online</t>
  </si>
  <si>
    <t>BACKGROUND: Medical education is perceived as being stressful with negative effects on students' mental health. However, few studies have addressed the influence of gender on stress in medical students. AIM: To compare male and female medical students in Egypt on sources of stress, perception of stress, anxiety, depression, physical symptomatology, and personality profile. METHODS: Data were collected through an anonymous self-administered questionnaire covering socio-demographic data, stressors, perceived stress scale, physical wellbeing factors, the Hospital Anxiety and Depression scale as well as neuroticism and extraversion subscales of the Eysenck Personality Questionnaire. RESULTS: Stressors were reported by 94.5% of the total sample with equal gender proportions. Univariate analysis indicated that female students scored higher than males on depression and neuroticism scales while male and female medical students were similar on level of perceived stress, number of stressors, clinical anxiety, physical well-being factors and the extraversion scale. Multivariate logistic regression revealed that the independent predictors of a high stress level were the presence of more than five stressors, clinical anxiety and depression, and increased scores on the global sickness index and on the extraversion and neuroticism sub-scales. CONCLUSION: Despite there being no significant difference in perceived stress according to gender, females were less likely to cite relationship problems with teachers and substance abuse as sources of stress. Moreover, females scored significantly higher than males on depression and neuroticism scales.</t>
  </si>
  <si>
    <t>J2: Med; Amr, Mostafa Hady El Gilany, Abdel El-Hawary, Aly; ID: 429</t>
  </si>
  <si>
    <t>1087-2981</t>
  </si>
  <si>
    <t>Amr, Mostafa. Department of Psychiatry, Faculty of Medicine, Mansoura University, Egypt.</t>
  </si>
  <si>
    <t>http://ovidsp.ovid.com/ovidweb.cgi?T=JS&amp;CSC=Y&amp;NEWS=N&amp;PAGE=fulltext&amp;D=prem&amp;AN=20168973</t>
  </si>
  <si>
    <t>https://dx.doi.org/10.3885/meo.2008.Res00273</t>
  </si>
  <si>
    <t>MEDLINE; Ovid Technologies; Does gender predict medical students' stress in mansoura, egypt?</t>
  </si>
  <si>
    <t>Anand,J. S.;Chodorowski,Z.;Hajduk,A.;Ciechanowicz,R.;Waldman,W.;Wiergowski,M.</t>
  </si>
  <si>
    <t>Problems in tobacco smoking in opinion of VI year of medical students]</t>
  </si>
  <si>
    <t>Przeglad Lekarski</t>
  </si>
  <si>
    <t>Adult;Alcohol Drinking/ep Epidemiology];*Education, Medical, Undergraduate/sn Statistics &amp; Numerical Data];Female;Health Education;*Health Knowledge, Attitudes, Practice;Humans;Male;Poland/ep Epidemiology];*Smoking/ep Epidemiology];Smoking/px Psychology];Smoking Cessation/px Psychology];*Smoking Cessation/sn Statistics &amp; Numerical Data];Smoking Prevention;Street Drugs;Students, Medical/px Psychology];*Students, Medical/sn Statistics &amp; Numerical Data];*Substance-Related Disorders/ep Epidemiology];Substance-Related Disorders/px Psychology];Surveys and Questionnaires;0 (Street Drugs)</t>
  </si>
  <si>
    <t>UNLABELLED: The aim of our study was the evaluation of tobacco smoking among students of VI year of Medical University of Gdansk. Anonymous questionnaire was done among one hundred and ten students including 70 women and 40 men in the age from 23 to 29 (24.82 +/- 1.03) years. CONCLUSIONS: 1. There were 12.7% of daily smoking students including 8.6% women and 15% men. 2. Almost 79% volunteers ineffectively attempted to give up smoking within last year. 3. The smoking students abused alcohol (with high likelihood) and used recreational drugs twice more than nonsmoking colleagues. 4. Almost all volunteers (96.4%) want to use smoking cessation intervention in their patients. 5. Above 75% students declared to broaden their knowledge about diagnostic and smoking cessation therapy.</t>
  </si>
  <si>
    <t>J2: Przegl Lek; Polish Anand, Jacek Sein Chodorowski, Zygmunt Hajduk, Adam Ciechanowicz, Robert Waldman, Wojciech Wiergowski, Marek; OP: Problematyka nikotynizmu w opinii studentow VI roku medycyny; ID: 776</t>
  </si>
  <si>
    <t>0033-2240</t>
  </si>
  <si>
    <t>Anand, Jacek Sein. I Klinika Chorob Wewnetrznych i Ostrych Zatruc Akademii Medycznej w Gdansku. jsanand@amedec.amg.gda.pl</t>
  </si>
  <si>
    <t>Polish</t>
  </si>
  <si>
    <t>http://ovidsp.ovid.com/ovidweb.cgi?T=JS&amp;CSC=Y&amp;NEWS=N&amp;PAGE=fulltext&amp;D=med5&amp;AN=17288214</t>
  </si>
  <si>
    <t>MEDLINE; Ovid Technologies; [Problems in tobacco smoking in opinion of VI year of medical students]</t>
  </si>
  <si>
    <t>Andelic,N.;Jerstad,T.;Sigurdardottir,S.;Schanke,A. K.;Sandvik,L.;Roe,C.</t>
  </si>
  <si>
    <t>Effects of acute substance use and pre-injury substance abuse on traumatic brain injury severity in adults admitted to a trauma centre</t>
  </si>
  <si>
    <t>Journal of Trauma Management &amp; Outcomes Electronic Resource]</t>
  </si>
  <si>
    <t>BACKGROUND: The aims of this study were to describe the occurrence of substance use at the time of injury and pre-injury substance abuse in patients with moderate-to-severe traumatic brain injury (TBI). Effects of acute substance use and pre-injury substance abuse on TBI severity were also investigated. METHODS: A prospective study of 111 patients, aged 16-55 years, injured from May 2005 to May 2007 and hospitalised at the Trauma Referral Centre in Eastern Norway with acute TBI (Glasgow Coma Scale 3-12). Based on structural brain damages shown on a computed tomography (CT) scan, TBI severity was defined by modified Marshall classification as less severe (score /=3). Clinical definition of substance use (alcohol and/or other psychoactive substances) was applied when hospital admission records reflected blood alcohol levels or a positive drug screen, or when a physician verified influence by examining the patient. Pre-injury substance abuse (alcohol and drug problems) was screened by using the CAGE questionnaire. RESULTS: Forty-seven percent of patients were positive for substance use on admission to hospital. Significant pre-injury substance abuse was reported by 26% of patients. Substance use at the time of injury was more frequent in the less severe group (p = 0.01). The frequency of pre-injury substance abuse was higher in the more severe group (30% vs. 23%). In a logistic regression model, acute substance use at time of injury tended to decrease the probability of more severe intracranial injury, but the effect was not statistically significant after adjusting for age, gender, education, cause of injury and substance abuse, OR = 0.39; 95% CI 0.11-1.35, p = 0.14. Patients with positive screens for pre-injury substance abuse (CAGE &gt;/=2) were more likely to have more severe TBI in the adjusted regression analyses, OR = 4.05; 95% CI 1.10-15.64, p = 0.04. CONCLUSIONS: Acute substance use was more frequent in patients with less severe TBI caused by low-energy events such as falls, violence and sport accidents. Pre-injury substance abuse increased the probability of more severe TBI caused by high-energy trauma such as motor vehicle accidents and falls from higher levels. Preventive efforts to reduce substance consumption and abuse in at-risk populations are needed.</t>
  </si>
  <si>
    <t>J2: J Trauma Manag Outcomes; Andelic, Nada Jerstad, Tone Sigurdardottir, Solrun Schanke, Anne-Kristine Sandvik, Leiv Roe, Cecilie; ID: 521</t>
  </si>
  <si>
    <t>1752-2897</t>
  </si>
  <si>
    <t>Andelic, Nada. Department of Physical Medicine and Rehabilitation, Oslo University Hospital, Ulleval, Norway. nada.andelic@ulleval.no.</t>
  </si>
  <si>
    <t>http://ovidsp.ovid.com/ovidweb.cgi?T=JS&amp;CSC=Y&amp;NEWS=N&amp;PAGE=fulltext&amp;D=prem&amp;AN=20504353</t>
  </si>
  <si>
    <t>https://dx.doi.org/10.1186/1752-2897-4-6</t>
  </si>
  <si>
    <t>MEDLINE; Ovid Technologies; Effects of acute substance use and pre-injury substance abuse on traumatic brain injury severity in adults admitted to a trauma centre</t>
  </si>
  <si>
    <t>Anders,S.;Strobel,L.;Krampe,H.;Raupach,T.</t>
  </si>
  <si>
    <t>Do final-year medical students know enough about the treatment of alcohol use disorders and smoking?]</t>
  </si>
  <si>
    <t>Deutsche medizinische Wochenschrift</t>
  </si>
  <si>
    <t>Dtsch.Med.Wochenschr.</t>
  </si>
  <si>
    <t>Adult;Alcohol-Related Disorders/di Diagnosis];*Alcohol-Related Disorders/th Therapy];*Educational Measurement/sn Statistics &amp; Numerical Data];Female;Germany;*Health Knowledge, Attitudes, Practice;Humans;Male;*Professional Competence/sn Statistics &amp; Numerical Data];*Students, Medical/sn Statistics &amp; Numerical Data];Tobacco Use Disorder/di Diagnosis];Young Adult</t>
  </si>
  <si>
    <t>BACKGROUND AND OBJECTIVE: Smoking and alcohol use disorders (AUD) are associated with significant morbidity and mortality in Germany. However, it has recently been shown that German medical students in years 1 to 5 do not feel competent to treat patients who are addicted to tobacco or alcohol. This study examined whether these deficits are also prevalent in students in the final (sixth) year of training. METHODS: Students enrolled in the final year at University Medical Centre Hamburg-Eppendorf were invited to complete a questionnaire assessing smoking status and self-reported knowledge of health consequences of and treatment options for AUD and smoking as well as arterial hypertension and diabetes mellitus. Students were also asked to provide effectiveness estimates for different methods to treat AUD and smoking. RESULTS: A total of 228 out of 345 students participated in the survey (response rate 66 %). Smoking prevalence was 24 %. Approximately 90 % of students believed they knew how to treat arterial hypertension and diabetes mellitus, but less than a third thought they knew how to treat smokers and patients with AUD. Effectiveness ratings of treatments for the two addictive disorders revealed severe misconceptions. CONCLUSION: The deficits in undergraduate medical education regarding the treatment of addictive disorders reported for students from years 1 to 5 extend to students in the sixth year. Just before graduation, students still have severe knowledge gaps. In order to prevent tobacco- and alcohol-related deaths, medical school curricula need to be urgently improved.</t>
  </si>
  <si>
    <t>J2: Dtsch Med Wochenschr; German Anders, S Strobel, L Krampe, H Raupach, T; OP: Wissen Studierende im Praktischen Jahr genug uber die Behandlung der Alkohol- und Tabak-Abhangigkeit?; ID: 398</t>
  </si>
  <si>
    <t>1439-4413</t>
  </si>
  <si>
    <t>Anders, S. Institut fur Rechtsmedizin, Universitatsklinikum Hamburg-Eppendorf, Hamburg.</t>
  </si>
  <si>
    <t>http://ovidsp.ovid.com/ovidweb.cgi?T=JS&amp;CSC=Y&amp;NEWS=N&amp;PAGE=fulltext&amp;D=med7&amp;AN=23250691</t>
  </si>
  <si>
    <t>https://dx.doi.org/10.1055/s-0032-1327367</t>
  </si>
  <si>
    <t>MEDLINE; Ovid Technologies; [Do final-year medical students know enough about the treatment of alcohol use disorders and smoking?]</t>
  </si>
  <si>
    <t>Andrade,L. H.;Baptista,M. C.;Alonso,J.;Petukhova,M.;Bruffaerts,R.;Kessler,R. C.;Silveira,C. M.;Siu,E. R.;Wang,Y. P.;Viana,M. C.</t>
  </si>
  <si>
    <t>Days out-of-role due to common physical and mental health problems: results from the Sao Paulo Megacity Mental Health Survey, Brazil</t>
  </si>
  <si>
    <t>Clinics (Sao Paulo, Brazil)</t>
  </si>
  <si>
    <t>*Absenteeism;*Activities of Daily Living;Adolescent;Adult;Brazil/ep Epidemiology];Chronic Pain/ep Epidemiology];Comorbidity;Female;*Health Surveys/sn Statistics &amp; Numerical Data];Humans;Male;*Mental Disorders/ep Epidemiology];Mental Health/sn Statistics &amp; Numerical Data];Prevalence;Socioeconomic Factors;Time Factors;Urban Population/sn Statistics &amp; Numerical Data];World Health Organization;Young Adult</t>
  </si>
  <si>
    <t>OBJECTIVES: To investigate the relative importance of common physical and mental disorders with regard to the number of days out-of-role (DOR; number of days for which a person is completely unable to work or carry out normal activities because of health problems) in a population-based sample of adults in the Sao Paulo Metropolitan Area, Brazil. METHODS: The Sao Paulo Megacity Mental Health Survey was administered during face-to-face interviews with 2,942 adult household residents. The presence of 8 chronic physical disorders and 3 classes of mental disorders (mood, anxiety, and substance use disorders) was assessed for the previous year along with the number of days in the previous month for which each respondent was completely unable to work or carry out normal daily activities due to health problems. Using multiple regression analysis, we examined the associations of the disorders and their comorbidities with the number of days out-of-role while controlling for socio-demographic variables. Both individual-level and population-level associations were assessed. RESULTS: A total of 13.1% of the respondents reported 1 or more days out-of-role in the previous month, with an annual median of 41.4 days out-of-role. The disorders considered in this study accounted for 71.7% of all DOR; the disorders that caused the greatest number of DOR at the individual-level were digestive (22.6), mood (19.9), substance use (15.0), chronic pain (16.5), and anxiety (14.0) disorders. The disorders associated with the highest population-attributable DOR were chronic pain (35.2%), mood (16.5%), and anxiety (15.0%) disorders. CONCLUSIONS: Because pain, anxiety, and mood disorders have high effects at both the individual and societal levels, targeted interventions to reduce the impairments associated with these disorders have the highest potential to reduce the societal burdens of chronic illness in the Sao Paulo Metropolitan Area.</t>
  </si>
  <si>
    <t>J2: Clinics; Andrade, Laura Helena Baptista, Marcos C Alonso, Jordi Petukhova, Maria Bruffaerts, Ronny Kessler, Ronald C Silveira, Camila M Siu, Erica R Wang, Yuan-Pang Viana, Maria Carmen S1807-59322013001101392; ID: 279</t>
  </si>
  <si>
    <t>1980-5322</t>
  </si>
  <si>
    <t>Andrade, Laura Helena. Section of Psychiatric Epidemiology - LIM 23, Department and Institute of Psychiatry, Faculdade de Medicina, Universidade de Sao Paulo, Sao PauloSP, Brazil.</t>
  </si>
  <si>
    <t>http://ovidsp.ovid.com/ovidweb.cgi?T=JS&amp;CSC=Y&amp;NEWS=N&amp;PAGE=fulltext&amp;D=med7&amp;AN=24270949</t>
  </si>
  <si>
    <t>https://dx.doi.org/10.6061/clinics/2013(11)02</t>
  </si>
  <si>
    <t>MEDLINE; Ovid Technologies; Days out-of-role due to common physical and mental health problems: results from the Sao Paulo Megacity Mental Health Survey, Brazil</t>
  </si>
  <si>
    <t>Andraka-Christou,B.;Capone,M. J.</t>
  </si>
  <si>
    <t>A qualitative study comparing physician-reported barriers to treating addiction using buprenorphine and extended-release naltrexone in U.S. office-based practices</t>
  </si>
  <si>
    <t>International Journal of Drug Policy</t>
  </si>
  <si>
    <t>AIM: Our aim was to compare physician-reported barriers to sublingual buprenorphine (BUP) and extended-release naltrexone (XR-NLT) prescribing in U.S. office-based practices, and to identify potential policies for minimizing these barriers. Only one previous qualitative study has examined physician-reported barriers to prescribing XR-NLT and no qualitative study has compared physician-reported barriers between the two medications. METHODS: Researchers conducted individual semi-structured and in-depth interviews with 20 licensed physicians in four U.S. states between January 2016 and May 2017. Interview questions included general barriers to addiction treatment in office-based settings, barriers specific to BUP and XR-NLT prescribing, and potential government policies to decrease barriers. Researchers conducted thematic analysis of transcribed interviews. They developed and pilot tested a coding template based on a sample of transcripts, independently coded transcripts in Dedoose software, conducted consensus coding to eliminate coding discrepancies, and then assessed data for themes using research questions as a guide. RESULTS: General barriers to office-based OUD treatment included limited physician education, limited insurance reimbursement, stigma, and perceptions of "difficult" patients. Barriers specific to BUP prescribing included regulatory restrictions, liability fears, and restrictions imposed by the criminal justice system. Barriers specific to XR-NLT prescribing included limited access to medically-supervised opioid detoxification, lack of awareness of the medication, and patient fears or disinterest. Participants without experience prescribing either medication emphasized barriers to treating OUD in general. Participants with experience prescribing BUP and/or XR-NLT described barriers to treating OUD in general as well as barriers specific to each medication. Policy makers should increase access to addiction medicine education, mandate insurance coverage of both medications and inpatient detoxification, prohibit excessive insurance prior authorization requirements, increase insurance reimbursement for behavioral healthcare, and incentivize interdisciplinary collaboration. CONCLUSIONS: While overlap exists, some barriers to BUP prescribing differ from barriers to XR-NLT prescribing.</t>
  </si>
  <si>
    <t>J2: Int J Drug Policy; Andraka-Christou, Barbara Capone, Matthew J S0955-3959(17)30350-X; ID: 1631</t>
  </si>
  <si>
    <t>1873-4758</t>
  </si>
  <si>
    <t>Andraka-Christou, Barbara. Department of Health Management &amp; Informatics, College of Health &amp; Public Affairs, University of Central Florida-Orlando, FL, United States. Electronic address: barbara.andraka@ucf.edu. Capone, Matthew J. Department of Biology, College of Arts &amp; Sciences, Indiana University-Bloomington, IN, United States.</t>
  </si>
  <si>
    <t>http://ovidsp.ovid.com/ovidweb.cgi?T=JS&amp;CSC=Y&amp;NEWS=N&amp;PAGE=fulltext&amp;D=prem&amp;AN=29324253</t>
  </si>
  <si>
    <t>https://dx.doi.org/10.1016/j.drugpo.2017.11.021</t>
  </si>
  <si>
    <t>MEDLINE; Ovid Technologies; A qualitative study comparing physician-reported barriers to treating addiction using buprenorphine and extended-release naltrexone in U.S. office-based practices</t>
  </si>
  <si>
    <t>Annas,G. J.</t>
  </si>
  <si>
    <t>Source: KIE. 102991; Testing poor pregnant women for cocaine--physicians as police investigators</t>
  </si>
  <si>
    <t>05 31</t>
  </si>
  <si>
    <t>Child Abuse/lj Legislation &amp; Jurisprudence];*Cocaine-Related Disorders/di Diagnosis];Female;Humans;Infant, Newborn;Informed Consent/lj Legislation &amp; Jurisprudence];*Law Enforcement;Organizational Policy;*Physician-Patient Relations;Poverty;Pregnancy;*Pregnancy Complications/di Diagnosis];*Pregnant Women;Schools, Medical/og Organization &amp; Administration];South Carolina;*Substance Abuse Detection/lj Legislation &amp; Jurisprudence];*Supreme Court Decisions;United States</t>
  </si>
  <si>
    <t>J2: N Engl J Med; Annas, G J; ID: 1005</t>
  </si>
  <si>
    <t>0028-4793</t>
  </si>
  <si>
    <t>Annas, G J. Health Law Department, Boston University School of Public Health, USA.</t>
  </si>
  <si>
    <t>http://ovidsp.ovid.com/ovidweb.cgi?T=JS&amp;CSC=Y&amp;NEWS=N&amp;PAGE=fulltext&amp;D=med4&amp;AN=11386286</t>
  </si>
  <si>
    <t>MEDLINE; Ovid Technologies; Testing poor pregnant women for cocaine--physicians as police investigators</t>
  </si>
  <si>
    <t>Anteneh,Z. A.;Yalew,W. A.;Abitew,D. B.</t>
  </si>
  <si>
    <t>Prevalence and correlation of hypertension among adult population in Bahir Dar city, northwest Ethiopia: a community based cross-sectional study</t>
  </si>
  <si>
    <t>International journal of general medicine</t>
  </si>
  <si>
    <t>BACKGROUND: Hypertension is one of the most common causes of premature death and morbidity and has a major impact on health care costs. It is an important public health challenge to both developed and developing countries. The aim of this study was to determine the magnitude and correlates of hypertension. METHODS: A community-based cross-sectional study was conducted in June 2014 among 681 adult residents of Bahir Dar city using multistage sampling techniques. An interview-administrated questionnaire and physical measurements such as blood pressure (BP), weight, height, and waist and hip circumferences were employed to collect the data. The data were coded, entered, and analyzed with SPSS version 16 software package. RESULTS: A total of 678 responses were included in the analysis resulting in a response rate of 99.6%. The findings declared that 17.6%, 19.8%, and 2.2% of respondents were prehypertension, hypertension stage I, and hypertension stage II, respectively, on screening test. The overall prevalence of hypertension (systolic BP &gt;=140 mmHg, or diastolic BP &gt;=90 mmHg, or known hypertensive patient taking medications) was 25.1%. According to the multivariate logistic regression analysis, age; having ever smoked cigarette; number of hours spent walking/cycling per day; number of hours spent watching TV per day; history of diabetes; adding salt to food in addition to the normal amount that is added to the food during cooking; and body mass index were statistically significant predictors of hypertension. CONCLUSION: One out of every four respondents of the study had hypertension, and more than one out of three cases of hypertension (38.8%) did not know that they had the hypertension; 17.6% of the respondents were in prehypertension stage, which adds to overall future risk of hypertension. Therefore, mass screening for hypertension, health education to prevent substance use, regular exercise, reducing salt consumption, and life style modifications are recommended.</t>
  </si>
  <si>
    <t>J2: Int J Gen Med; Anteneh, Zelalem Alamrew Yalew, Worku Awoke Abitew, Dereje Birhanu; ID: 245</t>
  </si>
  <si>
    <t>1178-7074</t>
  </si>
  <si>
    <t>Anteneh, Zelalem Alamrew. School of Public Health, College of Medicine and Health Sciences, Bahir Dar University, Bahir Dar, Ethiopia. Yalew, Worku Awoke. School of Public Health, College of Medicine and Health Sciences, Bahir Dar University, Bahir Dar, Ethiopia. Abitew, Dereje Birhanu. School of Public Health, College of Medicine and Health Sciences, Bahir Dar University, Bahir Dar, Ethiopia.</t>
  </si>
  <si>
    <t>http://ovidsp.ovid.com/ovidweb.cgi?T=JS&amp;CSC=Y&amp;NEWS=N&amp;PAGE=fulltext&amp;D=prem&amp;AN=26005357</t>
  </si>
  <si>
    <t>https://dx.doi.org/10.2147/IJGM.S81513</t>
  </si>
  <si>
    <t>MEDLINE; Ovid Technologies; Prevalence and correlation of hypertension among adult population in Bahir Dar city, northwest Ethiopia: a community based cross-sectional study</t>
  </si>
  <si>
    <t>Antman,K. H.;Berman,H. A.;Flotte,T. R.;Flier,J.;Dimitri,D. M.;Bharel,M.</t>
  </si>
  <si>
    <t>Developing Core Competencies for the Prevention and Management of Prescription Drug Misuse: A Medical Education Collaboration in Massachusetts</t>
  </si>
  <si>
    <t>Academic Medicine</t>
  </si>
  <si>
    <t>Drug overdose has become the leading cause of injury death in the United States. More than half of those deaths involve prescription drugs, specifically opioids. A key component of addressing this national epidemic is improving prescriber practices.A review of the curricula at the four medical schools in Massachusetts revealed that, although they taught components of addiction medicine, no uniform standard existed to ensure that all students were taught prevention and management strategies for prescription drug misuse. To fill this gap, the governor and the secretary of health and human services invited the deans of the state's four medical schools to convene to develop a common educational strategy for teaching safe and effective opioid-prescribing practices. With leadership from the Department of Public Health and Massachusetts Medical Society, the deans formed the Medical Education Working Group in 2015. This group reviewed the relevant literature and current standards for treating substance use disorders and defined 10 core competencies for the prevention and management of prescription drug misuse.The medical schools have incorporated these competencies into their curricula and have committed to assessing students' competence in these areas. The members of the Medical Education Working Group have agreed to continue to work together on key next steps, including connecting these competencies to those for residents, equipping interprofessional teams to address prescription drug misuse, and developing materials in pain management and opioid misuse for practicing physicians. This first-in-the-nation partnership has yielded cross-institutional competencies that aim to address a public health emergency in real time.</t>
  </si>
  <si>
    <t>J2: Acad Med; Antman, Karen H Berman, Harris A Flotte, Terence R Flier, Jeffrey Dimitri, Dennis M Bharel, Monica; ID: 1695</t>
  </si>
  <si>
    <t>1938-808X</t>
  </si>
  <si>
    <t>Antman, Karen H. K.H. Antman is dean, Boston University School of Medicine, and provost, Boston University Medical Campus, Boston, Massachusetts.H.A. Berman is dean and professor of public health and community medicine, Tufts University School of Medicine, Boston, Massachusetts.T.R. Flotte is dean, provost and executive deputy chancellor, and Celia and Isaac Haidak Professor of Medical Education, University of Massachusetts Medical School, Worcester, Massachusetts.J. Flier is dean, Harvard Medical School, Boston, Massachusetts.D.M. Dimitri is clinical associate professor, Department of Family Medicine and Community Health, University of Massachusetts Medical School, Worcester, Massachusetts, and past president, Massachusetts Medical Society, Waltham, Massachusetts.M. Bharel is commissioner, Massachusetts Department of Public Health, Boston, Massachusetts.</t>
  </si>
  <si>
    <t>http://ovidsp.ovid.com/ovidweb.cgi?T=JS&amp;CSC=Y&amp;NEWS=N&amp;PAGE=fulltext&amp;D=medp&amp;AN=27532868</t>
  </si>
  <si>
    <t>MEDLINE; Ovid Technologies; Developing Core Competencies for the Prevention and Management of Prescription Drug Misuse: A Medical Education Collaboration in Massachusetts</t>
  </si>
  <si>
    <t>Anup,G.;Ajith,M.;George,T.;Saqib,R.;Chinenye,N.</t>
  </si>
  <si>
    <t>Misuse of Opioids in Orthopaedic Post-Operative Patients</t>
  </si>
  <si>
    <t>Journal of orthopaedic trauma</t>
  </si>
  <si>
    <t>J.Orthop.Trauma</t>
  </si>
  <si>
    <t>OBJECTIVE: In light of the recent uptrend in the prescription of opioids, this study seeks to identify patterns of opioid misuse among orthopaedic post-operative patients and principal external sources in obtaining these medications. DESIGN: Ten-month survey based study. SETTING: Two Level-I trauma centers (urban and suburban). PATIENTS/PARTICIPANTS: 207 patients between the ages of 18 to 89 years who underwent surgical fixation of fractures involving the pelvis, long bones or peri-articular regions of the knee, ankle, elbow and wrist. MAIN OUTCOME MEASUREMENTS: Patients who believed they were under-medicated, used prescribed opioids at higher than recommended doses, and took extra opioids in addition to their prescribed analgesics were analyzed by age, employment, income, education, controlled substance use, pain interference with activities of daily living, and anatomical surgical site. RESULTS: 182 patients completed the survey. 19.2% of patients (n=35) felt under-medicated unemployed (p&lt;0.05), low income (p&lt;0.05), and self-reported controlled substance users (p&lt;0.05)]. 12.6% of patients (n=23) admitted to using pain medications at a higher dose than prescribed unemployed (p&lt;0.05), lower income (p&lt;0.05), non-high school graduates (p&lt;0.05), and prior controlled substance users (p&lt;0.05)]. 9.3% (n=17) admitted to using external opioids unemployed patients (p&lt;0.05) and self-reported controlled substance users (p&lt;0.05)]. Major sources of extraneous opioids include family/friends (n=5) and other doctors (n=4). CONCLUSION: Unemployed and lower-income patients were significantly more likely to believe that their surgeon was not prescribing them enough pain medications as well as use their prescribed opioid medications at a higher than recommended dose compared to their employed counterparts with higher incomes. Unemployed patients were also significantly more likely to use additional opioid analgesics in addition to those prescribed to them by their primary surgeon. Surgeon awareness of a patient's socioeconomic background and associated risk of opioid misuse is crucial in order to prescribe the safest most effective pain regimen LEVEL OF EVIDENCE:: Prognostic Level IV. See Instructions for Authors for a complete description of levels of evidence.</t>
  </si>
  <si>
    <t>J2: J Orthop Trauma; Using Smart Source Parsing Oct Anup, Gangavalli Ajith, Malige George, Terres Saqib, Rehman Chinenye, Nwachuku; ID: 1694</t>
  </si>
  <si>
    <t>1531-2291</t>
  </si>
  <si>
    <t>Anup, Gangavalli. 1First Author, *St. Luke's University Health Network, $Temple University/St. Luke's University School of Medicine, #Temple University School of Medicine.</t>
  </si>
  <si>
    <t>http://ovidsp.ovid.com/ovidweb.cgi?T=JS&amp;CSC=Y&amp;NEWS=N&amp;PAGE=fulltext&amp;D=medp&amp;AN=27798553</t>
  </si>
  <si>
    <t>MEDLINE; Ovid Technologies; Misuse of Opioids in Orthopaedic Post-Operative Patients</t>
  </si>
  <si>
    <t>Arens,J. F.</t>
  </si>
  <si>
    <t>Substance abuse: one anesthesiologist's perspective</t>
  </si>
  <si>
    <t>Alabama Medicine</t>
  </si>
  <si>
    <t>*Anesthesiology/ed Education];Combined Modality Therapy;Humans;*Internship and Residency;*Opioid-Related Disorders/pc Prevention &amp; Control];*Physician Impairment;Risk Factors;United States</t>
  </si>
  <si>
    <t>J2: Ala Med; Arens, J F; ID: 1216</t>
  </si>
  <si>
    <t>0738-4947</t>
  </si>
  <si>
    <t>http://ovidsp.ovid.com/ovidweb.cgi?T=JS&amp;CSC=Y&amp;NEWS=N&amp;PAGE=fulltext&amp;D=med3&amp;AN=7942395</t>
  </si>
  <si>
    <t>MEDLINE; Ovid Technologies; Substance abuse: one anesthesiologist's perspective</t>
  </si>
  <si>
    <t>Arfken,C. L.;Agius,E.;Dickson,M. W.</t>
  </si>
  <si>
    <t>Clinicians' information sources for new substance abuse treatment</t>
  </si>
  <si>
    <t>Addictive Behaviors</t>
  </si>
  <si>
    <t>Addict.Behav.</t>
  </si>
  <si>
    <t>Books;Community Health Services;Education, Medical, Continuing/mt Methods];Electronic Mail;Female;Health Care Surveys/mt Methods];Humans;*Information Dissemination/mt Methods];Internet;Interprofessional Relations;Longitudinal Studies;Male;Middle Aged;Periodicals as Topic;*Substance-Related Disorders/th Therapy]</t>
  </si>
  <si>
    <t>Little is known about clinicians' information sources for new treatments or ways to improve dissemination of that information. We analyzed 163 clinicians' responses to a checklist of where and how frequently they obtain information on new treatment approaches. They reported at least yearly use of a median of four cosmopolite categories (e.g., journals or books, Internet) and a median of three local categories (e.g., co-workers, personal experience) with interpersonal contact with co-workers (89%) and seminars/conferences (86%) being the most frequently endorsed responses for at least yearly use. In response to the hypothetical scenario of receiving monthly e-mail summaries of journal articles, 59% of the clinicians rated the strategy as "very helpful". If continuing education credits were offered, more clinicians (from 50-80%) would read the relevant articles. Information dissemination may improve with expanded Internet access at programs and short e-mailed summaries carrying links to full articles coupled with the incentive of earning continuing education credits.</t>
  </si>
  <si>
    <t>J2: Addict Behav; Arfken, Cynthia L Agius, Elizabeth Dickson, Marcus W; ID: 836</t>
  </si>
  <si>
    <t>0306-4603</t>
  </si>
  <si>
    <t>Arfken, Cynthia L. Department of Psychiatry and Behavioral Neurosciences, 2761 E. Jefferson, Substance Abuse Research Division, Wayne State University, Detroit MI 48207, United States. carfken@med.wayne.edu</t>
  </si>
  <si>
    <t>http://ovidsp.ovid.com/ovidweb.cgi?T=JS&amp;CSC=Y&amp;NEWS=N&amp;PAGE=fulltext&amp;D=med5&amp;AN=16122619</t>
  </si>
  <si>
    <t>MEDLINE; Ovid Technologies; Clinicians' information sources for new substance abuse treatment</t>
  </si>
  <si>
    <t>Argyra,E.;Siafaka,I.;Moutzouri,A.;Papadopoulos,V.;Rekatsina,M.;Vadalouca,A.;Theodoraki,K.</t>
  </si>
  <si>
    <t>How does an undergraduate pain course influence future physicians' awareness of chronic pain concepts? A comparative study</t>
  </si>
  <si>
    <t>Adult;*Chronic Pain;*Education, Medical, Undergraduate;Female;*Health Knowledge, Attitudes, Practice;Humans;Male;Pain Management/mt Methods];Students, Medical/px Psychology];*Students, Medical;Surveys and Questionnaires</t>
  </si>
  <si>
    <t>OBJECTIVE: Pain is one of the most undertreated medical complaints, with barriers to effective pain management lying in poor education of health professionals and misconceptions regarding patients in pain. The aim of this study was to assess whether an elective undergraduate course on chronic pain offered in Greek medical schools influences knowledge and attitudes of medical undergraduates about chronic pain and helps them clarify pain-related concepts. METHODS: An electronic questionnaire with 6 demographic and 21 pain-related items was uploaded on SurveyMonkey. The questionnaire was open to medical students in every Greek medical school for 1 month. Students were asked to respond to questions regarding various aspects of pain taught in the aforementioned course. In specific, they were asked to respond to questions regarding the definition, types, and adequacy of treatment of chronic cancer and non-cancer pain. They were queried about their knowledge of pain clinics, health practitioners who run them, and types of treatment available there. There were also questions about opioid use in cancer and non-cancer chronic pain patients and regarding the likelihood of opioid addiction. RESULTS: According to their responses, medical students had good knowledge about the definition and consequences of pain, and those who attended the pain course had greater knowledge regarding the adequacy of treatment of chronic pain and were more familiar with the recent classification of types of pain. Students who did not have exposure to the undergraduate pain course had little information regarding pain clinics and had poor knowledge regarding the use of opioids in cancer and in nonmalignant chronic pain. All students expressed concerns regarding addiction to opioids. CONCLUSIONS: Although students enter medical school with little knowledge about pain issues, pain awareness can be positively influenced by education. A curriculum about pain should not only teach the basic science of pain but also present treatment strategies available and address the socio-emotional dimensions of pain. Additionally, if misconceptions about opioid use and addiction are properly elucidated early in medical education, the future health practitioners will be one step forward in achieving the goal of alleviating suffering patients' pain.</t>
  </si>
  <si>
    <t>J2: Pain Med; Argyra, Eriphylli Siafaka, Ioanna Moutzouri, Astero Papadopoulos, Vassilios Rekatsina, Martina Vadalouca, Athina Theodoraki, Kassiani; ID: 214</t>
  </si>
  <si>
    <t>Argyra, Eriphylli. Department of Anesthesiology, Pain Relief and Palliative Care, Aretaieion Hospital, University of Athens, Athens, Greece.</t>
  </si>
  <si>
    <t>http://ovidsp.ovid.com/ovidweb.cgi?T=JS&amp;CSC=Y&amp;NEWS=N&amp;PAGE=fulltext&amp;D=med8&amp;AN=25219419</t>
  </si>
  <si>
    <t>https://dx.doi.org/10.1111/pme.12568</t>
  </si>
  <si>
    <t>MEDLINE; Ovid Technologies; How does an undergraduate pain course influence future physicians' awareness of chronic pain concepts? A comparative study</t>
  </si>
  <si>
    <t>Armstrong,G. W.;Veronese,G.;George,P. F.;Montroni,I.;Ugolini,G.</t>
  </si>
  <si>
    <t>Assessment of Tobacco Habits, Attitudes, and Education Among Medical Students in the United States and Italy: A Cross-sectional Survey</t>
  </si>
  <si>
    <t>Journal of Preventive Medicine &amp; Public Health / Yebang Uihakhoe Chi</t>
  </si>
  <si>
    <t>Adult;Age Factors;Attitude of Health Personnel;Cross-Sectional Studies;Curriculum;Female;*Health Knowledge, Attitudes, Practice;Humans;Italy/ep Epidemiology];Male;Prevalence;Sex Factors;*Smoking/ep Epidemiology];Smoking Cessation/mt Methods];*Students, Medical/px Psychology];*Students, Medical/sn Statistics &amp; Numerical Data];United States/ep Epidemiology];Young Adult</t>
  </si>
  <si>
    <t>Objectives: Medical students represent a primary target for tobacco cessation training. This study assessed the prevalence of medical students' tobacco use, attitudes, clinical skills, and tobacco-related curricula in two countries, the US and Italy, with known baseline disparities in hopes of identifying potential corrective interventions. Methods: From September to December 2013, medical students enrolled at the University of Bologna and at Brown University were recruited via email to answer survey questions assessing the prevalence of medical students' tobacco use, attitudes and clinical skills related to patients' smoking, and elements of medical school curricula related to tobacco use. Results: Of the 449 medical students enrolled at Brown and the 1426 enrolled at Bologna, 174 Brown students (38.7%) and 527 Bologna students (36.9%) participated in this study. Italian students were more likely to smoke (29.5% vs. 6.1%; p&lt;0.001) and less likely to receive smoking cessation training (9.4% vs. 80.3%; p&lt;0.001) than their American counterparts, even though the majority of students in both countries desired smoking cessation training (98.6% at Brown, 85.4% at Bologna; p&lt;0.001). Additionally, negative beliefs regarding tobacco usage, the absence of formal training in smoking cessation counseling, and a negative interest in receiving specific training on smoking cessation were associated with a higher risk of not investigating a patient's smoking status during a routine history and not offering tobacco cessation treatment to patients. Conclusions: Medical curricula on tobacco-related health hazards and on smoking cessation should be mandatory in order to reduce smoking among medical students, physicians, and patients, thereby improving tobacco-related global health.</t>
  </si>
  <si>
    <t>J2: J Prev Med Pub Health; Armstrong, Grayson W Veronese, Giacomo George, Paul F Montroni, Isacco Ugolini, Giampaolo; ID: 8</t>
  </si>
  <si>
    <t>2233-4521</t>
  </si>
  <si>
    <t>Armstrong, Grayson W. Massachusetts Eye and Ear Infirmary/Harvard Medical School, Boston, MA, USA. Veronese, Giacomo. Massachusetts Eye and Ear Infirmary/Harvard Medical School, Boston, MA, USA. George, Paul F. Massachusetts Eye and Ear Infirmary/Harvard Medical School, Boston, MA, USA. Montroni, Isacco. Massachusetts Eye and Ear Infirmary/Harvard Medical School, Boston, MA, USA. Ugolini, Giampaolo. Massachusetts Eye and Ear Infirmary/Harvard Medical School, Boston, MA, USA.</t>
  </si>
  <si>
    <t>http://ovidsp.ovid.com/ovidweb.cgi?T=JS&amp;CSC=Y&amp;NEWS=N&amp;PAGE=fulltext&amp;D=medl&amp;AN=28605889</t>
  </si>
  <si>
    <t>https://dx.doi.org/10.3961/jpmph.15.061</t>
  </si>
  <si>
    <t>MEDLINE; Ovid Technologies; Assessment of Tobacco Habits, Attitudes, and Education Among Medical Students in the United States and Italy: A Cross-sectional Survey</t>
  </si>
  <si>
    <t>Arnaout,B.;Muvvala,S.;Rohrbaugh,R.;Petrakis,I.</t>
  </si>
  <si>
    <t>Description of a Comprehensive Addiction Rotation at a Psychiatry Residency Program</t>
  </si>
  <si>
    <t>J2: Acad Psychiatry; Arnaout, Bachaar Muvvala, Srinivas Rohrbaugh, Robert Petrakis, Ismene; ID: 1625</t>
  </si>
  <si>
    <t>Arnaout, Bachaar. Yale School of Medicine, New Haven, CT, USA. bachaar.arnaout@yale.edu. Muvvala, Srinivas. Yale School of Medicine, New Haven, CT, USA. Rohrbaugh, Robert. Yale School of Medicine, New Haven, CT, USA. Petrakis, Ismene. Yale School of Medicine, New Haven, CT, USA.</t>
  </si>
  <si>
    <t>http://ovidsp.ovid.com/ovidweb.cgi?T=JS&amp;CSC=Y&amp;NEWS=N&amp;PAGE=fulltext&amp;D=prem&amp;AN=29302930</t>
  </si>
  <si>
    <t>https://dx.doi.org/10.1007/s40596-017-0858-2</t>
  </si>
  <si>
    <t>MEDLINE; Ovid Technologies; Description of a Comprehensive Addiction Rotation at a Psychiatry Residency Program</t>
  </si>
  <si>
    <t>Arnold,K.;Burke,M.;Decker,A.;Herzberg,E.;Maher,M.;Motz,K.;Nandu,H.;O'Donnel,L.;Pirmohamed,A.;Ybarra,M.</t>
  </si>
  <si>
    <t>Fetal alcohol spectrum disorders: knowledge and screening practices of university hospital medical students and residents</t>
  </si>
  <si>
    <t>Journal of Population Therapeutics &amp; Clinical Pharmacology</t>
  </si>
  <si>
    <t>e18</t>
  </si>
  <si>
    <t>Alcohol Drinking/ae Adverse Effects];*Alcohol Drinking/ep Epidemiology];Female;*Fetal Alcohol Spectrum Disorders/pc Prevention &amp; Control];Health Care Surveys;*Health Knowledge, Attitudes, Practice;Hospitals, University;Humans;Internship and Residency/sn Statistics &amp; Numerical Data];*Mass Screening/mt Methods];Practice Guidelines as Topic;Practice Patterns, Physicians'/sn Statistics &amp; Numerical Data];Pregnancy;Pregnancy Complications/di Diagnosis];Pregnancy Complications/pc Prevention &amp; Control];Prenatal Care/mt Methods];Students, Medical/sn Statistics &amp; Numerical Data];United States</t>
  </si>
  <si>
    <t>BACKGROUND: Fetal alcohol spectrum disorder (FASD) is the leading cause of preventable intellectual disabilities in the United States and a significant public health issue. OBJECTIVES: The purpose of this study is to evaluate the knowledge and screening practices of pre-clinical medical students and clinical providers on FAS, FASD, and alcohol consumption. METHODS: A short survey sent to medical students and residents on the campus of a large medical school and university hospital. RESULTS: On the survey of clinical providers, 38% of respondents stated they always survey pregnant women about their alcohol consumption, 34% stated they always screen patients planning to get pregnant, and 9% screen women of childbearing age. There were a significant percentage of providers who never screen women. When questioned regarding safe amounts of alcohol consumption during pregnancy, 69% of pre-clinical medical students and 67% of clinical providers stated there is no safe amount of alcohol consumption. Clinical providers were much more likely to correctly select the facial features necessary for the diagnosis (p-value &lt; 0.01). CONCLUSIONS: Significant differences exist in the knowledge and screening practices of these different healthcare providers and trainees. Future interventions should seek to improve knowledge on FAS, FASD, and alcohol consumption, in order for practitioners to be more consistent with national guidelines and the Surgeon General recommendations.</t>
  </si>
  <si>
    <t>J2: J Popul Ther Clin Pharmacol; Arnold, Kate Burke, Megan Decker, Ashley Herzberg, Emily Maher, Michael Motz, Kevin Nandu, Hari O'Donnel, Luke Pirmohamed, Altaf Ybarra, Michael; ID: 333</t>
  </si>
  <si>
    <t>1710-6222</t>
  </si>
  <si>
    <t>Arnold, Kate. Georgetown University School of Medicine, Washington, DC, USA.</t>
  </si>
  <si>
    <t>http://ovidsp.ovid.com/ovidweb.cgi?T=JS&amp;CSC=Y&amp;NEWS=N&amp;PAGE=fulltext&amp;D=med7&amp;AN=23392849</t>
  </si>
  <si>
    <t>MEDLINE; Ovid Technologies; Fetal alcohol spectrum disorders: knowledge and screening practices of university hospital medical students and residents</t>
  </si>
  <si>
    <t>Aronson,S. M.</t>
  </si>
  <si>
    <t>Alcoholism and the medical curriculum</t>
  </si>
  <si>
    <t>Rhode Island Medical Journal (Providence, RI)</t>
  </si>
  <si>
    <t>*Alcoholism;*Curriculum;*Education, Medical;Humans</t>
  </si>
  <si>
    <t>J2: R I Med J; Aronson, S M; ID: 1512</t>
  </si>
  <si>
    <t>0363-7913</t>
  </si>
  <si>
    <t>http://ovidsp.ovid.com/ovidweb.cgi?T=JS&amp;CSC=Y&amp;NEWS=N&amp;PAGE=fulltext&amp;D=med2&amp;AN=6928322</t>
  </si>
  <si>
    <t>MEDLINE; Ovid Technologies; Alcoholism and the medical curriculum</t>
  </si>
  <si>
    <t>Arora,N. S.;Marcotte,K. M.;Hopper,J. A.</t>
  </si>
  <si>
    <t>Reducing opioid misuse among adolescents through physician education</t>
  </si>
  <si>
    <t>Increased prescribing of opioids has been associated with an epidemic of nonmedical prescription opioid use in the United States; adolescents and young adults are particularly vulnerable to opioid misuse. The role of physicians as health care providers, educators, and confidants for their adolescent patients equips them to intervene in adolescent opioid misuse. The authors advocate for improving the education of physicians and residents regarding opioid use and misuse among adolescents. To achieve this, we can require residency education that includes opioid misuse and appropriate prescribing, widely disseminate existing resources on management of pain and opioid misuse, and develop pain management and addiction mentorship programs.</t>
  </si>
  <si>
    <t>J2: Subst Abus; Arora, Nonie S Marcotte, Kayla M Hopper, John A; ID: 1643</t>
  </si>
  <si>
    <t>Arora, Nonie S. a University of Michigan Medical School , Ann Arbor , Michigan , USA. Marcotte, Kayla M. a University of Michigan Medical School , Ann Arbor , Michigan , USA. Hopper, John A. a University of Michigan Medical School , Ann Arbor , Michigan , USA. Hopper, John A. b St. Joseph Mercy Hospital , Ann Arbor , Michigan , USA.</t>
  </si>
  <si>
    <t>http://ovidsp.ovid.com/ovidweb.cgi?T=JS&amp;CSC=Y&amp;NEWS=N&amp;PAGE=fulltext&amp;D=prem&amp;AN=28723248</t>
  </si>
  <si>
    <t>https://dx.doi.org/10.1080/08897077.2017.1356788</t>
  </si>
  <si>
    <t>MEDLINE; Ovid Technologies; Reducing opioid misuse among adolescents through physician education</t>
  </si>
  <si>
    <t>Arora,S.;Geppert,C. M.;Kalishman,S.;Dion,D.;Pullara,F.;Bjeletich,B.;Simpson,G.;Alverson,D. C.;Moore,L. B.;Kuhl,D.;Scaletti,J. V.</t>
  </si>
  <si>
    <t>NIHMS461626; Academic health center management of chronic diseases through knowledge networks: Project ECHO</t>
  </si>
  <si>
    <t>*Academic Medical Centers;*Computer Communication Networks/og Organization &amp; Administration];*Hepatitis C, Chronic/th Therapy];Humans;New Mexico;Program Development;*Remote Consultation/og Organization &amp; Administration]</t>
  </si>
  <si>
    <t>The authors describe an innovative academic health center (AHC)-led program of health care delivery and clinical education for the management of complex, common, and chronic diseases in underserved areas, using hepatitis C virus (HCV) as a model. The program, based at the University of New Mexico School of Medicine, represents a paradigm shift in thinking and funding for the threefold mission of AHCs, moving from traditional fee-for-service models to public health funding of knowledge networks. This program, Project Extension for Community Health care Outcomes (ECHO), involves a partnership of academic medicine, public health offices, corrections departments, and rural community clinics dedicated to providing best practices and protocol-driven health care in rural areas. Telemedicine and Internet connections enable specialists in the program to comanage patients with complex diseases, using case-based knowledge networks and learning loops. Project ECHO partners (nurse practitioners, primary care physicians, physician assistants, and pharmacists) present HCV-positive patients during weekly two-hour telemedicine clinics using a standardized, case-based format that includes discussion of history, physical examination, test results, treatment complications, and psychiatric, medical, and substance abuse issues. In these case-based learning clinics, partners rapidly gain deep domain expertise in HCV as they collaborate with university specialists in hepatology, infectious disease, psychiatry, and substance abuse in comanaging their patients. Systematic monitoring of treatment outcomes is an integral aspect of the project. The authors believe this methodology will be generalizable to other complex and chronic conditions in a wide variety of underserved areas to improve disease outcomes, and it offers an opportunity for AHCs to enhance and expand their traditional mission of teaching, patient care, and research.</t>
  </si>
  <si>
    <t>J2: Acad Med; Arora, Sanjeev Geppert, Cynthia M A Kalishman, Summers Dion, Denise Pullara, Frank Bjeletich, Barbara Simpson, Gary Alverson, Dale C Moore, Lori B Kuhl, Dave Scaletti, Joseph V; ID: 774</t>
  </si>
  <si>
    <t>1040-2446</t>
  </si>
  <si>
    <t>Arora, Sanjeev. Department of Medicine, University of New Mexico School of Medicine, Albuquerque, New Mexico 87131-0001, USA. SArora@salud.unm.edu</t>
  </si>
  <si>
    <t>http://ovidsp.ovid.com/ovidweb.cgi?T=JS&amp;CSC=Y&amp;NEWS=N&amp;PAGE=fulltext&amp;D=med5&amp;AN=17264693</t>
  </si>
  <si>
    <t>MEDLINE; Ovid Technologies; Academic health center management of chronic diseases through knowledge networks: Project ECHO</t>
  </si>
  <si>
    <t>Arredondo,R.;Weddige,R. L.;Pollard,S.;McCorkle,A. J.</t>
  </si>
  <si>
    <t>Implementing a substance abuse curriculum in a medical school</t>
  </si>
  <si>
    <t>Recent attention to the need for integration of substance abuse education throughout medical education prompted this description of one such program.</t>
  </si>
  <si>
    <t>J2: Acad Psychiatry; Arredondo, R Weddige, R L Pollard, S McCorkle, A J; ID: 321</t>
  </si>
  <si>
    <t>1042-9670</t>
  </si>
  <si>
    <t>Arredondo, R. Department of Psychiatry, Texas Tech University Health Sciences Center, Lubbock, Texas, USA.</t>
  </si>
  <si>
    <t>http://ovidsp.ovid.com/ovidweb.cgi?T=JS&amp;CSC=Y&amp;NEWS=N&amp;PAGE=fulltext&amp;D=prem&amp;AN=24442976</t>
  </si>
  <si>
    <t>https://dx.doi.org/10.1007/BF03341840</t>
  </si>
  <si>
    <t>MEDLINE; Ovid Technologies; Implementing a substance abuse curriculum in a medical school</t>
  </si>
  <si>
    <t>Arria,A. M.;McLellan,A. T.</t>
  </si>
  <si>
    <t>NIHMS249846; Evolution of concept, but not action, in addiction treatment</t>
  </si>
  <si>
    <t>Jun-Jul</t>
  </si>
  <si>
    <t>Clinical Protocols;Continuity of Patient Care;Health Personnel/ed Education];Humans;Program Evaluation/mt Methods];*Quality Improvement;Quality Indicators, Health Care;*Substance-Related Disorders/th Therapy];Western World</t>
  </si>
  <si>
    <t>The Western approach to addiction treatment involves a medical or disease orientation to understanding the onset, course, and management of addiction, and a clinical goal of abstinence or very significant reductions in drug use, usually with a combination of behavioral and pharmacological interventions. Even within this Western approach, and despite several consensually accepted features of addiction, a significant mismatch remains between what this culture has come to accept as the nature of the disease and how that same culture continues to treat the disease. This paper discusses the evolution of these Western concepts over the past decade without a corresponding evolution in the nature, duration, or evaluation standards for addiction treatment. (1) Here, we take the position that continuing care and adaptive treatment protocols, combining behavioral therapies, family and social supports, and, where needed, medications show much promise to address the typically chronic, relapsing, and heterogeneous nature of most cases of serious addiction. By extension, methods to evaluate effectiveness of addiction treatment should focus upon the functional status of patients during the course of their treatment instead of post-treatment, as is the evaluation practice used with most other chronic illnesses.</t>
  </si>
  <si>
    <t>J2: Subst Use Misuse; Arria, Amelia M McLellan, A Thomas; ID: 421</t>
  </si>
  <si>
    <t>Arria, Amelia M. Center on Young Adult Health and Development, Department of Family Science, University of Maryland School of Public Health, College Park, MD 20742, USA. aarria@umd.edu</t>
  </si>
  <si>
    <t>http://ovidsp.ovid.com/ovidweb.cgi?T=JS&amp;CSC=Y&amp;NEWS=N&amp;PAGE=fulltext&amp;D=med7&amp;AN=22676571</t>
  </si>
  <si>
    <t>https://dx.doi.org/10.3109/10826084.2012.663273</t>
  </si>
  <si>
    <t>MEDLINE; Ovid Technologies; Evolution of concept, but not action, in addiction treatment</t>
  </si>
  <si>
    <t>Ashburn,M. A.;Levine,R. L.</t>
  </si>
  <si>
    <t>Pennsylvania State Core Competencies for Education on Opioids and Addiction</t>
  </si>
  <si>
    <t>Objective: The objective of this project was to develop core competencies for education on opioids and addiction to be used in all Pennsylvania medical schools. Methods: The Pennsylvania Physician General created a task force that was responsible for the creation of the core competencies. A literature review was completed, and a survey of graduating medical students was conducted. The task force then developed, reviewed, and approved the core competencies. Results: The competencies were grouped into nine domains: understanding core aspects of addiction; patient screening for substance use disorder; proper referral for specialty evaluation and treatment of substance use disorder; proper patient assessment when treating pain; proper use of multimodal treatment options when treating acute pain; proper use of opioids for the treatment of acute pain (after consideration of alternatives); the role of opioids in the treatment of chronic noncancer pain; patient risk assessment related to the use of opioids to treat chronic noncancer pain, including the assessment for substance use disorder or increased risk for aberrant drug-related behavior; and the process for patient education, initiation of treatment, careful patient monitoring, and discontinuation of therapy when using opioids to treat chronic noncancer pain. Specific competencies were developed for each domain. Conclusions: These competencies will be incorporated into the educational process at all Pennsylvania medical schools. It is hoped that these curriculum changes will improve student knowledge and attitudes in these areas, thus improving patient outcomes.</t>
  </si>
  <si>
    <t>J2: Pain Med; Ashburn, Michael A Levine, Rachel L; ID: 1638</t>
  </si>
  <si>
    <t>Ashburn, Michael A. Department of Anesthesiology and Critical Care, Perelman School of Medicine at the University of Pennsylvania, Philadelphia, Pennsylvania. Levine, Rachel L. Physician General of the Commonwealth of Pennsylvania; Departments of Pediatrics and Psychiatry, Penn State College of Medicine, Hershey, Pennsylvania.</t>
  </si>
  <si>
    <t>http://ovidsp.ovid.com/ovidweb.cgi?T=JS&amp;CSC=Y&amp;NEWS=N&amp;PAGE=fulltext&amp;D=prem&amp;AN=28339890</t>
  </si>
  <si>
    <t>https://dx.doi.org/10.1093/pm/pnw348</t>
  </si>
  <si>
    <t>MEDLINE; Ovid Technologies; Pennsylvania State Core Competencies for Education on Opioids and Addiction</t>
  </si>
  <si>
    <t>Ashley,M. J.;Brewster,J. M.;Chow,Y. C.;Rankin,J. G.;Single,E.;Skinner,H. A.</t>
  </si>
  <si>
    <t>An agenda for action</t>
  </si>
  <si>
    <t>*Alcoholism/pc Prevention &amp; Control];Canada;Clinical Competence/st Standards];*Curriculum/td Trends];*Education, Medical/og Organization &amp; Administration];Humans;*Leadership;*Schools, Medical/og Organization &amp; Administration]</t>
  </si>
  <si>
    <t>J2: Cmaj; Ashley, M J Brewster, J M Chow, Y C Rankin, J G Single, E Skinner, H A; ID: 1333</t>
  </si>
  <si>
    <t>Ashley, M J. Department of Preventive Medicine and Biostatistics, Faculty of Medicine, University of Toronto.</t>
  </si>
  <si>
    <t>http://ovidsp.ovid.com/ovidweb.cgi?T=JS&amp;CSC=Y&amp;NEWS=N&amp;PAGE=fulltext&amp;D=med3&amp;AN=2224679</t>
  </si>
  <si>
    <t>MEDLINE; Ovid Technologies; An agenda for action</t>
  </si>
  <si>
    <t>Assaf,G.;Noureddine,S.;Kouyoumdjian,S. P.;El Khoury,J.</t>
  </si>
  <si>
    <t>Medical students' knowledge, attitudes and behaviours related to substance use in Lebanon: a cross-sectional survey</t>
  </si>
  <si>
    <t>Eastern Mediterranean Health Journal</t>
  </si>
  <si>
    <t>The study aims were to explore the knowledge, attitudes and behaviours of Lebanese medical students related to substance use and to determine prevalence and psychosocial predictors. A cross-sectional survey of 231 medical students (48.6% male; 53.1% preclinical, 46.9% clinical) was conducted during June 2012-July 2013. The questionnaire addressed knowledge and attitudes about substance use, religiosity, depression, anxiety and demographic characteristics. The knowledge score was 52.7% (standard deviation 14.4%), and was significantly lower in 2nd year students (48.53%) than in 3rd and 4th year students (57.5% and 57.4%) (P &lt; 0.05). Students reported more training in drug abuse than alcohol abuse (38.2% vs. 34.4%). One-fourth reported smoking, 57.7% using alcohol and 46.8% using drugs. Significant predictors of lower substance use included intrinsic religiosity and interest in working in the field. The findings reveal inadequate knowledge and considerable substance use in Lebanese medical students. Therefore, training in substance use and counseling of students are necessary.</t>
  </si>
  <si>
    <t>J2: East Mediterr Health J; Assaf, Georges Noureddine, Samar Kouyoumdjian, Silva P El Khoury, Jamil; ID: 1655</t>
  </si>
  <si>
    <t>1020-3397</t>
  </si>
  <si>
    <t>Assaf, Georges. Department of Family Medicine, Faculty of Medicine, American University of Beirut, Beirut, Lebanon. Noureddine, Samar. Hariri School of Nursing, American University of Beirut, Beirut, Lebanon. Kouyoumdjian, Silva P. Infectious Disease Epidemiology Group, Weill Cornell Medical College, Qatar. El Khoury, Jamil. Senior Research Officer, International Rescue Committee, Beirut, Lebanon.</t>
  </si>
  <si>
    <t>http://ovidsp.ovid.com/ovidweb.cgi?T=JS&amp;CSC=Y&amp;NEWS=N&amp;PAGE=fulltext&amp;D=prem&amp;AN=29319145</t>
  </si>
  <si>
    <t>MEDLINE; Ovid Technologies; Medical students' knowledge, attitudes and behaviours related to substance use in Lebanon: a cross-sectional survey</t>
  </si>
  <si>
    <t>Auba Llambrich,J.</t>
  </si>
  <si>
    <t>Medical advice to consumers of excessive amounts of alcohol]</t>
  </si>
  <si>
    <t>Atencion Primaria</t>
  </si>
  <si>
    <t>Jul-Aug</t>
  </si>
  <si>
    <t>*Alcoholism/pc Prevention &amp; Control];Humans;*Patient Education as Topic</t>
  </si>
  <si>
    <t>J2: Aten Primaria; Auba Llambrich, J; OP: El consejo medico a los consumidores excesivos de alcohol; ID: 1249</t>
  </si>
  <si>
    <t>0212-6567</t>
  </si>
  <si>
    <t>Auba Llambrich, J. Barcelones Nord i Maresme, Institut Catala de la Salut, Badalona.</t>
  </si>
  <si>
    <t>Spanish</t>
  </si>
  <si>
    <t>http://ovidsp.ovid.com/ovidweb.cgi?T=JS&amp;CSC=Y&amp;NEWS=N&amp;PAGE=fulltext&amp;D=med3&amp;AN=8338910</t>
  </si>
  <si>
    <t>MEDLINE; Ovid Technologies; [Medical advice to consumers of excessive amounts of alcohol]</t>
  </si>
  <si>
    <t>Auerback,A.</t>
  </si>
  <si>
    <t>Source: CLML. 5936:12721:19; California's alcoholic rehabilitation program; a preliminary report</t>
  </si>
  <si>
    <t>California medicine</t>
  </si>
  <si>
    <t>Calif.Med.</t>
  </si>
  <si>
    <t>*Alcoholism/pc Prevention &amp; Control];California;Follow-Up Studies;Humans;*Mental Disorders;*Schools, Medical;United States</t>
  </si>
  <si>
    <t>CONFRONTED BY THE MOST SERIOUS ALCOHOLISM PROBLEM IN THE UNITED STATES, CALIFORNIA HAS BEGUN AN EXTENSIVE REHABILITATION PROGRAM IN THREE CATEGORIES: Treatment and rehabilitation services; study and investigation; education, information and training. Treatment clinics operate in seven cities and it is proposed to help finance further facilities in communities interested in their local alcoholic problem. Grants to medical schools for improved personnel training are also proposed. Basic and clinical research and epidemiologic, sociologic and follow-up studies are in progress. Public education to the problems of alcoholism, stressing that it is an illness requiring treatment, is under way. This multi-faceted approach is expected to supply answers to many of the questions surrounding alcoholism.</t>
  </si>
  <si>
    <t>J2: Calif Med; AUERBACK, A; ID: 1033</t>
  </si>
  <si>
    <t>0008-1264</t>
  </si>
  <si>
    <t>http://ovidsp.ovid.com/ovidweb.cgi?T=JS&amp;CSC=Y&amp;NEWS=N&amp;PAGE=fulltext&amp;D=med1&amp;AN=13638829</t>
  </si>
  <si>
    <t>MEDLINE; Ovid Technologies; California's alcoholic rehabilitation program; a preliminary report</t>
  </si>
  <si>
    <t>Averill,N. J.;Sallee,J. M.;Robinson,J. T.;McFarlin,J. M.;Montgomery,A. A.;Burkhardt,G. A.;Schulz-Burton,M.;Elam,C. L.</t>
  </si>
  <si>
    <t>A first-year community-based service learning elective: design, implementation, and reflection</t>
  </si>
  <si>
    <t>Teaching &amp; Learning in Medicine</t>
  </si>
  <si>
    <t>*Community Health Planning;*Community-Institutional Relations;*Curriculum;*Education, Medical, Undergraduate/mt Methods];Education, Medical, Undergraduate/og Organization &amp; Administration];Humans;Kentucky;Problem-Based Learning;*Program Development;Program Evaluation;*Schools, Medical</t>
  </si>
  <si>
    <t>BACKGROUND: Medical schools have increasingly begun to incorporate service learning practices into their curricula. DESCRIPTION: As part of a community-based service learning elective, 7 first-year medical students designed and implemented a health behavior education program for residents of a women's substance abuse recovery facility. The resulting program, Start Small, Feel Better, emphasized setting and accomplishing small goals to promote healthy lifestyle modifications. EVALUATION: We present personal reflections from the students, impressions of the participants, and qualitative data on the short-term effects of this intervention. CONCLUSIONS: Start Small, Feel Better represents a model of how a service learning project could be put into practice and positively impact both medical students and the broader community.</t>
  </si>
  <si>
    <t>J2: Teach Learn Med; Averill, Nathan J Sallee, John M Robinson, Jennifer T McFarlin, Jessica M Montgomery, Ashley A Burkhardt, Gretchen A Schulz-Burton, Morgan D Elam, Carol L; ID: 762</t>
  </si>
  <si>
    <t>1040-1334</t>
  </si>
  <si>
    <t>Averill, Nathan J. University of Kentucky College of Medicine, Lexington, Kentucky 40536-0298, USA. njaver2@uky.edu</t>
  </si>
  <si>
    <t>http://ovidsp.ovid.com/ovidweb.cgi?T=JS&amp;CSC=Y&amp;NEWS=N&amp;PAGE=fulltext&amp;D=med5&amp;AN=17330999</t>
  </si>
  <si>
    <t>MEDLINE; Ovid Technologies; A first-year community-based service learning elective: design, implementation, and reflection</t>
  </si>
  <si>
    <t>Avery,J.;Han,B. H.;Zerbo,E.;Wu,G.;Mauer,E.;Avery,J.;Ross,S.;Penzner,J. B.</t>
  </si>
  <si>
    <t>Changes in psychiatry residents' attitudes towards individuals with substance use disorders over the course of residency training</t>
  </si>
  <si>
    <t>American Journal on Addictions</t>
  </si>
  <si>
    <t>Adult;*Attitude of Health Personnel;Depressive Disorder, Major/co Complications];Depressive Disorder, Major/px Psychology];Female;Humans;*Internship and Residency;Male;Psychiatry/ed Education];Schizophrenia/co Complications];*Schizophrenic Psychology;Substance-Related Disorders/co Complications];*Substance-Related Disorders/px Psychology];Young Adult</t>
  </si>
  <si>
    <t>BACKGROUND AND OBJECTIVES: Psychiatry residents provide care for individuals diagnosed with co-occurring mental illness and substance use disorders (SUDs). Small studies have shown that clinicians in general possess negative attitudes towards these dually diagnosed individuals. This is a serious concern, as clinicians' stigmatizing attitudes towards individuals with mental illnesses may have a particularly potent adverse impact on treatment. The goal of this study was to examine the attitudes of psychiatry residents towards individuals with diagnoses of schizophrenia, multiple SUDs, co-occurring schizophrenia and SUDs, and major depressive disorder. METHODS: A questionnaire was sent to psychiatry residents (N=159) around the country. It was comprised of two sections: (i) demographic information, which included information about level of training; and (ii) the 11-item Medical Condition Regard Scale (MCRS) for individuals with the four different diagnoses. RESULTS: Psychiatry residents had more stigmatizing attitudes towards individuals with diagnoses of SUDs with and without schizophrenia than towards those individuals with diagnoses of schizophrenia or major depressive disorder alone. Senior residents possessed more negative attitudes towards individuals with SUDs than junior residents. DISCUSSION AND CONCLUSIONS: The attitudes of psychiatry residents' towards individuals with SUDs with and without schizophrenia were negative and were worse among senior residents. There were many potential reasons for these findings, including repeat negative experiences in providing care for these individuals. SCIENTIFIC SIGNIFICANCE: The negative attitudes of psychiatry residents towards individuals with SUDs are worrisome. Future work is needed to better understand these attitudes and to develop interventions to improve them. (Am J Addict 2017;26:75-79).</t>
  </si>
  <si>
    <t>J2: Am J Addict; Avery, Jonathan Han, Bernadine H Zerbo, Erin Wu, Guojiao Mauer, Elizabeth Avery, Joseph Ross, Stephen Penzner, Julie B; ID: 46</t>
  </si>
  <si>
    <t>1521-0391</t>
  </si>
  <si>
    <t>Avery, Jonathan. Weill Cornell Medical College, New York, New York. Han, Bernadine H. Weill Cornell Medical College, New York, New York. Zerbo, Erin. Rutgers New Jersey Medical School, Newark, New Jersey. Wu, Guojiao. Weill Cornell Medical College, New York, New York. Mauer, Elizabeth. Weill Cornell Medical College, New York, New York. Avery, Joseph. Princeton University, Princeton, NJ. Ross, Stephen. NYU School of Medicine, New York, New York. Penzner, Julie B. Weill Cornell Medical College, New York, New York.</t>
  </si>
  <si>
    <t>http://ovidsp.ovid.com/ovidweb.cgi?T=JS&amp;CSC=Y&amp;NEWS=N&amp;PAGE=fulltext&amp;D=medc&amp;AN=27749984</t>
  </si>
  <si>
    <t>https://dx.doi.org/10.1111/ajad.12406</t>
  </si>
  <si>
    <t>MEDLINE; Ovid Technologies; Changes in psychiatry residents' attitudes towards individuals with substance use disorders over the course of residency training</t>
  </si>
  <si>
    <t>Avery,J.;Zerbo,E.</t>
  </si>
  <si>
    <t>Improving Psychiatry Residents' Attitudes Toward Individuals Diagnosed with Substance Use Disorders</t>
  </si>
  <si>
    <t>Harvard review of psychiatry</t>
  </si>
  <si>
    <t>Harv.Rev.Psychiatry</t>
  </si>
  <si>
    <t>*Health Knowledge, Attitudes, Practice;Humans;*Internship and Residency;*Psychiatry/ed Education];*Substance-Related Disorders/di Diagnosis]</t>
  </si>
  <si>
    <t>Special attention needs to be paid to the attitudes of psychiatry residents toward individuals diagnosed with substance use disorders. The attitudes of trainees may be worse toward these individuals than toward individuals with other diagnoses, and these attitudes may worsen over time. While psychiatry residencies are increasingly teaching residents about how to diagnosis and treat individuals diagnosed with substance use disorders, more attention needs to be paid to educating residents about common attitudes toward these individuals. We recommend that psychiatry residency programs start with basic educational didactics and reflection exercises on attitudes toward individuals diagnosed with substance use disorders and that programs try to form a positive "hidden curriculum" in their institutions.</t>
  </si>
  <si>
    <t>J2: Harv Rev Psychiatry; Avery, Jonathan Zerbo, Erin; ID: 195</t>
  </si>
  <si>
    <t>1465-7309</t>
  </si>
  <si>
    <t>Avery, Jonathan. From the Departments of Psychiatry, Weill Cornell Medical College (Dr. Avery) and New York University Langone Medical Center (Dr. Zerbo).</t>
  </si>
  <si>
    <t>http://ovidsp.ovid.com/ovidweb.cgi?T=JS&amp;CSC=Y&amp;NEWS=N&amp;PAGE=fulltext&amp;D=med8&amp;AN=26146757</t>
  </si>
  <si>
    <t>https://dx.doi.org/10.1097/HRP.0000000000000047</t>
  </si>
  <si>
    <t>MEDLINE; Ovid Technologies; Improving Psychiatry Residents' Attitudes Toward Individuals Diagnosed with Substance Use Disorders</t>
  </si>
  <si>
    <t>Ayala,E. E.;Roseman,D.;Winseman,J. S.;Mason,H. R. C.</t>
  </si>
  <si>
    <t>Prevalence, perceptions, and consequences of substance use in medical students</t>
  </si>
  <si>
    <t>Adult;Cross-Sectional Studies;Female;Health Policy;Health Surveys;Humans;Male;Middle Aged;Perception;Prevalence;Schools, Medical/og Organization &amp; Administration];*Schools, Medical/sn Statistics &amp; Numerical Data];Students, Medical/px Psychology];*Students, Medical/sn Statistics &amp; Numerical Data];Substance-Related Disorders/co Complications];*Substance-Related Disorders/ep Epidemiology];Substance-Related Disorders/px Psychology];United States/ep Epidemiology];Young Adult</t>
  </si>
  <si>
    <t>BACKGROUND: Research regarding the health and wellness of medical students has led to ongoing concerns regarding patterns of alcohol and drug use that take place during medical education. Such research, however, is typically limited to single-institution studies or has been conducted over 25 years ago. OBJECTIVE: The objective of the investigation was to assess the prevalence and consequences of medical student alcohol and drug use and students' perceptions of their medical school's substance-use policies. DESIGN: A total of 855 medical students representing 49 medical colleges throughout the United States participated in an online survey between December 2015 and March 2016. RESULTS: Data showed that 91.3% and 26.2% of medical students consumed alcohol and used marijuana respectively in the past year, and 33.8% of medical students consumed five or more drinks in one sitting in the past two weeks. Differences in use emerged regarding demographic characteristics of students. Consequences of alcohol and drug use in this sample of medical students included but were not limited to interpersonal altercations, serious suicidal ideation, cognitive deficits, compromised academic performance, and driving under the influence of substances. Forty percent of medical students reported being unaware of their medical institution's substance-use policies. CONCLUSIONS: Findings suggest that substance use among medical students in the US is ongoing and associated with consequences in various domains. There is a lack of familiarity regarding school substance-use policies. Although there has been some progress in characterizing medical student alcohol use, less is known about the factors surrounding medical students' use of other substances. Updated, comprehensive studies on the patterns of medical student substance use are needed if we are to make the necessary changes needed to effectively prevent substance-use disorders among medical students and support those who are in need of help.</t>
  </si>
  <si>
    <t>J2: Med; Ayala, Erin E Roseman, Destiny Winseman, Jeffrey S Mason, Hyacinth R C; ID: 5</t>
  </si>
  <si>
    <t>Ayala, Erin E. a Department of Counseling Psychology , St. Mary's University of Minnesota , Minneapolis , MN , USA. Roseman, Destiny. b Department of Medical Education , Albany Medical College , Albany , NY , USA. Winseman, Jeffrey S. c Department of Psychiatry , Albany Medical Center , Albany , NY , USA. Mason, Hyacinth R C. d Department of Medical Education , Albany Medical College , Albany , NY , USA.</t>
  </si>
  <si>
    <t>http://ovidsp.ovid.com/ovidweb.cgi?T=JS&amp;CSC=Y&amp;NEWS=N&amp;PAGE=fulltext&amp;D=medl&amp;AN=29072119</t>
  </si>
  <si>
    <t>https://dx.doi.org/10.1080/10872981.2017.1392824</t>
  </si>
  <si>
    <t>MEDLINE; Ovid Technologies; Prevalence, perceptions, and consequences of substance use in medical students</t>
  </si>
  <si>
    <t>Ayu,A. P.;Dijkstra,B.;Golbach,M.;De Jong,C.;Schellekens,A.</t>
  </si>
  <si>
    <t>Good Psychometric Properties of the Addiction Version of the Revised Illness Perception Questionnaire for Health Care Professionals</t>
  </si>
  <si>
    <t>PLoS ONE Electronic Resource]</t>
  </si>
  <si>
    <t>e0164262</t>
  </si>
  <si>
    <t>Adult;*Behavior, Addictive/px Psychology];Chronic Disease/px Psychology];Emotions/ph Physiology];Factor Analysis, Statistical;Female;*Health Personnel/px Psychology];Humans;Indonesia;Likelihood Functions;Male;Netherlands;*Perception/ph Physiology];*Psychometrics/mt Methods];Reproducibility of Results;Social Perception;Surveys and Questionnaires;Young Adult</t>
  </si>
  <si>
    <t>BACKGROUND: Addiction, or substance dependence, is nowadays considered a chronic relapsing condition. However, perceptions of addiction vary widely, also among healthcare professionals. Perceptions of addiction are thought to contribute to attitude and stigma towards patients with addiction. However, studies into perceptions of addiction among healthcare professionals are limited and instruments for reliable assessment of their perceptions are lacking. The Illness Perception Questionnaire (IPQ) is widely used to evaluate perceptions of illness. The aim of this study was to evaluate the psychometric properties of the IPQ: factor structure, internal consistency, and discriminant validity, when applied to evaluate healthcare professionals' perceptions of addiction. METHODS: Participants were 1072 healthcare professionals in training and master students from the Netherlands and Indonesia, recruited from various addiction-training programs. The revised version of the IPQ was adapted to measure perceptions of addiction (IPQ-A). Maximum likelihood method was used to explore the best-fit IPQ factor structure. Internal consistency was evaluated for the final factors. The final factor structure was used to assess discriminant validity of the IPQ, by comparing illness perceptions of addiction between 1) medical students from the Netherlands and Indonesia, 2) medical students psychology students and educational science students from the Netherlands, and 3) participants with different training levels: medical students versus medical doctors. RESULTS: Factor analysis revealed an eight-factor structure for the perception subscale (demoralization, timeline chronic, consequences, personal control, treatment control, illness coherence, timeline cyclical emotional representations) and a four-factor structure for the attribution subscale (psychological attributions, risk factors, smoking/alcohol, overwork). Internal reliability was acceptable to good. The IPQ-A was able to detect differences in perceptions between healthcare professionals from different cultural and educational background and level of training. CONCLUSIONS: The IPQ-A is a valid and reliable instrument to assess healthcare professionals' perceptions of addiction.</t>
  </si>
  <si>
    <t>J2: PLoS ONE; Ayu, Astri Parawita Dijkstra, Boukje Golbach, Milou De Jong, Cor Schellekens, Arnt; ID: 83</t>
  </si>
  <si>
    <t>1932-6203</t>
  </si>
  <si>
    <t>Ayu, Astri Parawita. Department of Psychiatry, School of Medicine, Atma Jaya Catholic University of Indonesia, Jakarta, Indonesia. Ayu, Astri Parawita. Nijmegen Institute for Scientist-Pracititoners in Addiction, Radboud University, Nijmegen, The Netherlands. Dijkstra, Boukje. Nijmegen Institute for Scientist-Pracititoners in Addiction, Radboud University, Nijmegen, The Netherlands. Golbach, Milou. Praktikon, Nijmegen, the Netherlands. De Jong, Cor. Nijmegen Institute for Scientist-Pracititoners in Addiction, Radboud University, Nijmegen, The Netherlands. Schellekens, Arnt. Nijmegen Institute for Scientist-Pracititoners in Addiction, Radboud University, Nijmegen, The Netherlands. Schellekens, Arnt. Department of Psychiatry, Radboud University Medical Centre, Nijmegen, the Netherlands.</t>
  </si>
  <si>
    <t>http://ovidsp.ovid.com/ovidweb.cgi?T=JS&amp;CSC=Y&amp;NEWS=N&amp;PAGE=fulltext&amp;D=med8&amp;AN=27824872</t>
  </si>
  <si>
    <t>https://dx.doi.org/10.1371/journal.pone.0164262</t>
  </si>
  <si>
    <t>MEDLINE; Ovid Technologies; Good Psychometric Properties of the Addiction Version of the Revised Illness Perception Questionnaire for Health Care Professionals</t>
  </si>
  <si>
    <t>Ayu,A. P.;El-Guebaly,N.;Schellekens,A.;De Jong,C.;Welle-Strand,G.;Small,W.;Wood,E.;Cullen,W.;Klimas,J.</t>
  </si>
  <si>
    <t>Core addiction medicine competencies for doctors: An international consultation on training</t>
  </si>
  <si>
    <t>Oct-Dec</t>
  </si>
  <si>
    <t>BACKGROUND: Despite the high prevalence of substance use disorders, associated comorbidities, and the evidence base upon which to base clinical practice, most health systems have not invested in standardized training of health care providers in addiction medicine. As a result, people with substance use disorders often receive inadequate care, at the cost of quality of life and enormous direct health care costs and indirect societal costs. Therefore, this study was undertaken to assess the views of international scholars, representing different countries, on the core set of addiction medicine competencies that need to be covered in medical education. METHODS: A total of 13 members of the International Society of 20 Addiction Medicine (ISAM), from 12 different countries (37% response rate), were interviewed over Skype, e-mail survey, or in person at the annual conference. Content analysis was used to analyze interview transcripts, using constant comparison methodology. RESULTS: We identified recommendations related to the core set of the addiction medicine competencies at 3 educational levels: (i) undergraduate, (ii) postgraduate, and (iii) continued medical education (CME). The participants described broad ideas, such as knowledge/skills/attitudes towards addiction to be obtained at undergraduate level, or knowledge of addiction treatment to be acquired at graduate level, as well as specific recommendations, including the need to tailor curriculum to national settings and different specialties. CONCLUSIONS: Although it is unclear whether a global curriculum is needed, a consensus on a core set of principles for progression of knowledge, attitudes, and skills in addiction medicine to be developed at each educational level amongst medical graduates would likely have substantial value.</t>
  </si>
  <si>
    <t>J2: Subst Abus; Ayu, Astri Parawita El-Guebaly, Nady Schellekens, Arnt De Jong, Cor Welle-Strand, Gabrielle Small, William Wood, Evan Cullen, Walter Klimas, Jan; ID: 1651</t>
  </si>
  <si>
    <t>Ayu, Astri Parawita. a Atma Jaya Catholic University of Indonesia , School of Medicine , Jakarta , Indonesia. Ayu, Astri Parawita. b Nijmegen Institute for Scientist-Practitioners in Addiction (NISPA) , Radboud University , Nijmegen , The Netherlands. El-Guebaly, Nady. c Division of Addiction, Department of Psychiatry , University of Calgary , Calgary , Alberta , Canada. Schellekens, Arnt. b Nijmegen Institute for Scientist-Practitioners in Addiction (NISPA) , Radboud University , Nijmegen , The Netherlands. Schellekens, Arnt. d Department of Psychiatry , Radboud University Medical Centre , Nijmegen , The Netherlands. De Jong, Cor. b Nijmegen Institute for Scientist-Practitioners in Addiction (NISPA) , Radboud University , Nijmegen , The Netherlands. Welle-Strand, Gabrielle. e Norwegian Centre for Addiction Research , University of Oslo , Oslo , Norway. Small, William. f Faculty of Health Sciences , Simon Fraser University , Burnaby , British Columbia , Canada. Wood, Evan. g British Columbia Centre for Excellence in HIV/AIDS, St. Paul's Hospital , Vancouver , British Columbia , Canada. Wood, Evan. h Department of Medicine , University of British Columbia, St. Paul's Hospital , Vancouver , British Columbia , Canada. Cullen, Walter. i School of Medicine , University College Dublin , Belfield , Dublin , Ireland. Klimas, Jan. h Department of Medicine , University of British Columbia, St. Paul's Hospital , Vancouver , British Columbia , Canada. Klimas, Jan. i School of Medicine , University College Dublin , Belfield , Dublin , Ireland.</t>
  </si>
  <si>
    <t>http://ovidsp.ovid.com/ovidweb.cgi?T=JS&amp;CSC=Y&amp;NEWS=N&amp;PAGE=fulltext&amp;D=prem&amp;AN=28718723</t>
  </si>
  <si>
    <t>https://dx.doi.org/10.1080/08897077.2017.1355868</t>
  </si>
  <si>
    <t>MEDLINE; Ovid Technologies; Core addiction medicine competencies for doctors: An international consultation on training</t>
  </si>
  <si>
    <t>Ayu,A. P.;Schellekens,A. F.;Iskandar,S.;Pinxten,L.;De Jong,C. A.</t>
  </si>
  <si>
    <t>Effectiveness and Organization of Addiction Medicine Training Across the Globe</t>
  </si>
  <si>
    <t>European addiction research</t>
  </si>
  <si>
    <t>Eur.Addict.Res.</t>
  </si>
  <si>
    <t>Clinical Competence;*Curriculum;*Education, Medical/og Organization &amp; Administration];Humans;Program Evaluation;*Substance-Related Disorders</t>
  </si>
  <si>
    <t>BACKGROUND: Over the past decade, addiction medicine training curricula have been developed to prepare physicians to work with substance use disorder patients. This review paper aimed at (1) summarizing scientific publications that outline the content of addiction medicine curricula and (2) evaluating the evidence for efficacy for training in addiction medicine. METHODS: We carried out a literature search on articles about addiction medicine training initiatives across the world, using PubMed, PsychINFO and EMBASE with the following search terms 'substance abuse, addiction medicine, education and training.' RESULTS: We found 29 articles on addiction medicine curricula at various academic levels. Nine studies reported on the need for addiction medicine training, 9 described addiction medicine curricula at various academic levels, and 11 described efficacy on addiction medicine curricula. CONCLUSIONS: Several key competences in addiction medicine were identified. Efficacy studies show that even short addiction medicine training programs can be effective in improving knowledge, skills and attitudes related to addiction medicine. A more uniform approach to addiction medicine training in terms of content and accreditation is discussed.</t>
  </si>
  <si>
    <t>J2: Eur Addict Res; Ayu, Astri Parawita Schellekens, Arnt F A Iskandar, Shelly Pinxten, Lucas De Jong, Cor A J; ID: 182</t>
  </si>
  <si>
    <t>1421-9891</t>
  </si>
  <si>
    <t>Ayu, Astri Parawita. Atma Jaya Catholic University of Indonesia, School of Medicine, Jakarta, Indonesia.</t>
  </si>
  <si>
    <t>http://ovidsp.ovid.com/ovidweb.cgi?T=JS&amp;CSC=Y&amp;NEWS=N&amp;PAGE=fulltext&amp;D=med8&amp;AN=25966903</t>
  </si>
  <si>
    <t>https://dx.doi.org/10.1159/000381671</t>
  </si>
  <si>
    <t>MEDLINE; Ovid Technologies; Effectiveness and Organization of Addiction Medicine Training Across the Globe</t>
  </si>
  <si>
    <t>Babor,T. F.</t>
  </si>
  <si>
    <t>Brief intervention strategies for harmful drinkers: new directions for medical education</t>
  </si>
  <si>
    <t>*Alcoholism/pc Prevention &amp; Control];Alcoholism/th Therapy];Attitude to Health;*Behavior Therapy/mt Methods];Communication;Curriculum;*Education, Medical/td Trends];Humans;Life Style;Motivation;*Physician's Role;Program Evaluation;Social Problems;Time Factors</t>
  </si>
  <si>
    <t>Recent advances in the technology of behavioural interventions for harmful drinkers have created a new role for clinical practice and new challenges for medical education. Several reports from expert committees have recommended new initiatives in the secondary prevention of alcohol problems through physician-based interventions at the primary care level. The conceptual and scientific bases for these recommendations are discussed in terms of recent studies of harmful and hazardous drinkers. The behavioural principles thought to account for the effectiveness of brief interventions are explained. Despite these promising developments, difficulties are inherent in the introduction of new technologies, especially behavioural technologies, into medical practice. A major challenge to medical education will be the development of academic programs that not only teach skills and competencies in secondary prevention but also deal with the socialization of physicians as behavioural practitioners. References: 31]</t>
  </si>
  <si>
    <t>J2: Cmaj; Babor, T F; ID: 1336</t>
  </si>
  <si>
    <t>Babor, T F. Department of Psychiatry, University of Connecticut Health Center, Farmington 06032.</t>
  </si>
  <si>
    <t>http://ovidsp.ovid.com/ovidweb.cgi?T=JS&amp;CSC=Y&amp;NEWS=N&amp;PAGE=fulltext&amp;D=med3&amp;AN=2224675</t>
  </si>
  <si>
    <t>MEDLINE; Ovid Technologies; Brief intervention strategies for harmful drinkers: new directions for medical education</t>
  </si>
  <si>
    <t>Babor,T. F.;Higgins-Biddle,J.;Higgins,P. S.;Gassman,R. A.;Gould,B. E.</t>
  </si>
  <si>
    <t>NIHMS433514; Training medical providers to conduct alcohol screening and brief interventions</t>
  </si>
  <si>
    <t>Adult;*Alcoholism/th Therapy];Female;*Health Personnel/ed Education];Humans;Male;*Mass Screening/mt Methods];*Psychotherapy, Brief/mt Methods];Surveys and Questionnaires;*Teaching/mt Methods]</t>
  </si>
  <si>
    <t>Although progress has been made in developing a scientific basis for alcohol screening and brief intervention (SBI), training packages are necessary for its widespread dissemination in primary care settings. This paper evaluates a training package developed for the Cutting Back SBI program. Three groups of medical personnel were compared before and after SBI training: physicians (n = 44), medical students (n = 88), and non-physicians (n = 41). Although the training effects were at times dependent on group membership, all changes were in a direction more conducive to implementing SBI. Physicians and medical students increased confidence in performing screening procedures, and students increased self-confidence in conducting brief interventions. Non-physicians perceived fewer obstacles to screening patients after training. Trained providers reported conducting significantly more SBI than untrained providers, and these differences were consistent with patients' reports of their providers' clinical activity. Thus, when delivered in the context of a comprehensive SBI implementation program, this training is effective in changing providers' knowledge, attitudes, and practice of SBI for at-risk drinking.</t>
  </si>
  <si>
    <t>J2: Subst Abus; Babor, Thomas F Higgins-Biddle, John C Higgins, Pamela S Gassman, Ruth A Gould, Bruce E; ID: 875</t>
  </si>
  <si>
    <t>Babor, Thomas F. Department of Community Medicine and Health Care, University of Connecticut Health Center, 263 Farmington Avenue, Farmington, CT, 06030-6325, USA. talamini@up.uchc.edu</t>
  </si>
  <si>
    <t>http://ovidsp.ovid.com/ovidweb.cgi?T=JS&amp;CSC=Y&amp;NEWS=N&amp;PAGE=fulltext&amp;D=med5&amp;AN=15201108</t>
  </si>
  <si>
    <t>MEDLINE; Ovid Technologies; Training medical providers to conduct alcohol screening and brief interventions</t>
  </si>
  <si>
    <t>Bachman,A.</t>
  </si>
  <si>
    <t>Source: CLML. 5527:16358:63:150; Professor Wernicke]</t>
  </si>
  <si>
    <t>Revista de la Asociacion Medica Argentina</t>
  </si>
  <si>
    <t>Rev.Asoc.Med.Argent.</t>
  </si>
  <si>
    <t>May 15-30</t>
  </si>
  <si>
    <t>773-774</t>
  </si>
  <si>
    <t>*Education, Medical;*History, 19th Century;*History, 20th Century;*Wernicke Encephalopathy</t>
  </si>
  <si>
    <t>J2: Rev Asoc Med Argent; Spanish BACHMAN, A; OP: El maestro Wernicke; ID: 942</t>
  </si>
  <si>
    <t>http://ovidsp.ovid.com/ovidweb.cgi?T=JS&amp;CSC=Y&amp;NEWS=N&amp;PAGE=fulltext&amp;D=med1&amp;AN=13204688</t>
  </si>
  <si>
    <t>MEDLINE; Ovid Technologies; [Professor Wernicke]</t>
  </si>
  <si>
    <t>Baez,A.;Eckert-Norton,M.;Morrison,A.</t>
  </si>
  <si>
    <t>Knowing how and showing how: interdisciplinary collaboration on substance abuse skill OSCEs for medical, nursing and social work students</t>
  </si>
  <si>
    <t>*Clinical Competence;Humans;*Interdisciplinary Communication;*Social Work;*Students;*Substance-Related Disorders/ep Epidemiology];*Substance-Related Disorders/nu Nursing];*Teaching/mt Methods];Videotape Recording</t>
  </si>
  <si>
    <t>J2: Subst Abus; Baez, Annecy Eckert-Norton, Margaret Morrison, Ann; ID: 743</t>
  </si>
  <si>
    <t>Baez, Annecy. Lehman College, City University of New York, 250 Bedford Park Blvd West, Bronx, NY 10468, USA.</t>
  </si>
  <si>
    <t>http://ovidsp.ovid.com/ovidweb.cgi?T=JS&amp;CSC=Y&amp;NEWS=N&amp;PAGE=fulltext&amp;D=med5&amp;AN=16150679</t>
  </si>
  <si>
    <t>MEDLINE; Ovid Technologies; Knowing how and showing how: interdisciplinary collaboration on substance abuse skill OSCEs for medical, nursing and social work students</t>
  </si>
  <si>
    <t>Baghianimoghadam,M. H.;Mazloomy Mahmoodabad,S. S.;Mohammadi,S.;Baghianimoghadam,B.</t>
  </si>
  <si>
    <t>Attitude towards and use of ecstasy in medical university interns' based on HBM</t>
  </si>
  <si>
    <t>Journal of Preventive Medicine &amp; Hygiene</t>
  </si>
  <si>
    <t>Adult;Cross-Sectional Studies;Female;*Health Knowledge, Attitudes, Practice;Humans;*Internship and Residency;Iran/ep Epidemiology];Male;*N-Methyl-3,4-methylenedioxyamphetamine;Substance-Related Disorders/ep Epidemiology];*Substance-Related Disorders/pc Prevention &amp; Control];KE1SEN21RM (N-Methyl-3,4-methylenedioxyamphetamine)</t>
  </si>
  <si>
    <t>Using a self-reported questionnaire, 130 Yazd Medical University students were surveyed about their knowledge towards ecstasy and their use of ecstasy based on Health Belief Model. The age range was 18-31 years. Approximately, 23% of students had seen an ecstasy tablet, 6 (4.6%) had used ecstasy (2 female and 4 male), 4 of them lived in a dormitory and 2 were tenants. The levels of knowledge, perceived barrier and perceived benefit of students who had used ecstasy were lower than those who hadn't used ecstasy. There was a significant difference between the knowledge, perceived barrier and perceived benefit of samples and use of ecstasy (p &lt; 0.008, p &lt; 0.003 and p &lt; 0.13, respectively). Approximately, 74% of the students were eager to know more about ecstasy and its effects. Finally, the students were asked to select one or more item from a list of six which they considered the best way for providing young people with accurate information, and the responses (as percentages) for each source were as follows: discussion with parents: 1.5%; television programs: 64.6%; radio programs: 1.5%; talk at university: 12.3%; friends: 12.3%; newspapers/magazine articles: 7.7%. The data revealed that the knowledge of participants about ecstasy was low (mean = 27.69 +/- 3.53 out of 48). The mean grade score of knowledge of males was more than females. A survey in Kerman (Iran) showed that the knowledge of general practitioners about ecstasy was lower than 50% and the knowledge of males was more than females.</t>
  </si>
  <si>
    <t>J2: J; Baghianimoghadam, M H Mazloomy Mahmoodabad, S S Mohammadi, S Baghianimoghadam, B; ID: 561</t>
  </si>
  <si>
    <t>1121-2233</t>
  </si>
  <si>
    <t>Baghianimoghadam, M H. Shahid Sadoughi University of Yazd, The Research Center for Health Conducts and Health Promotion, Yazd, Iran.</t>
  </si>
  <si>
    <t>http://ovidsp.ovid.com/ovidweb.cgi?T=JS&amp;CSC=Y&amp;NEWS=N&amp;PAGE=fulltext&amp;D=med6&amp;AN=20812521</t>
  </si>
  <si>
    <t>MEDLINE; Ovid Technologies; Attitude towards and use of ecstasy in medical university interns' based on HBM</t>
  </si>
  <si>
    <t>Bailey,J. A.;Hurley,R. W.;Gold,M. S.</t>
  </si>
  <si>
    <t>Crossroads of pain and addiction</t>
  </si>
  <si>
    <t>*Analgesics, Opioid/ae Adverse Effects];*Analgesics, Opioid/tu Therapeutic Use];Animals;*Behavior, Addictive;Drug Evaluation, Preclinical;Humans;Iatrogenic Disease;*Opioid-Related Disorders/et Etiology];*Pain/co Complications];*Pain/dt Drug Therapy];Risk Factors;Substance-Related Disorders/et Etiology];0 (Analgesics, Opioid)</t>
  </si>
  <si>
    <t>BACKGROUND: Despite the fact that chronic pain and addiction often coexist, few pain training programs offer significant experiential and didactic training in drug abuse and addiction. Similarly, addiction medicine programs often offer little training in pain management. What follows is a review of the intersection between these two specialties from the perspective of clinicians that practice both. OBJECTIVE: The objective of this study was to review the historical backdrop, terminology, vulnerability, and neurobiology of addiction; explore the effects of drug, delivery system, timing, and environment on drug self-administration; and review strategies used in managing patients with coexisting addiction and chronic pain. SETTING: The University of Florida has training programs in both pain management and addiction medicine. The collaboration of these two subspecialties has led to the development of a successful pain management clinic that manages difficult patients based on the strategies that are discussed. CONCLUSIONS: It is possible to successfully manage patients with coexisting chronic pain and addictive disorders. Addiction medicine and pain management training programs should offer didactic and experiential training in both subspecialties.</t>
  </si>
  <si>
    <t>J2: Pain Med; Bailey, John A Hurley, Robert W Gold, Mark S; ID: 542</t>
  </si>
  <si>
    <t>Bailey, John A. Pain and Addiction Medicine in the Division of Addiction Medicine, Department of Psychiatry, University of Florida's Springhill Health Center, Gainesville, FL32606, USA. baileyjo@ufl.edu</t>
  </si>
  <si>
    <t>http://ovidsp.ovid.com/ovidweb.cgi?T=JS&amp;CSC=Y&amp;NEWS=N&amp;PAGE=fulltext&amp;D=med6&amp;AN=21040437</t>
  </si>
  <si>
    <t>https://dx.doi.org/10.1111/j.1526-4637.2010.00982.x</t>
  </si>
  <si>
    <t>MEDLINE; Ovid Technologies; Crossroads of pain and addiction</t>
  </si>
  <si>
    <t>Baillie,S.;Paley,B.;Guiton,G.;O'Connor,M.;Stuber,M.</t>
  </si>
  <si>
    <t>Using Fetal Alcohol Syndrome as an integrating curricular theme</t>
  </si>
  <si>
    <t>Medical education</t>
  </si>
  <si>
    <t>Med.Educ.</t>
  </si>
  <si>
    <t>Curriculum;*Education, Medical, Undergraduate/og Organization &amp; Administration];Female;*Fetal Alcohol Spectrum Disorders;Humans;*Neurosciences/ed Education];Pregnancy;Problem-Based Learning/og Organization &amp; Administration]</t>
  </si>
  <si>
    <t>J2: Med Educ; Baillie, Susan Paley, Blair Guiton, Grethchen O'Connor, Mary Stuber, Margaret; ID: 868</t>
  </si>
  <si>
    <t>0308-0110</t>
  </si>
  <si>
    <t>Baillie, Susan. David Geffen School of Medicine at UCLA, Los Angeles, CA 90095-1722, USA. sbaillie@mednet.ucla.edu</t>
  </si>
  <si>
    <t>http://ovidsp.ovid.com/ovidweb.cgi?T=JS&amp;CSC=Y&amp;NEWS=N&amp;PAGE=fulltext&amp;D=med5&amp;AN=15842688</t>
  </si>
  <si>
    <t>MEDLINE; Ovid Technologies; Using Fetal Alcohol Syndrome as an integrating curricular theme</t>
  </si>
  <si>
    <t>Baldus,C.;Miranda,A.;Weymann,N.;Reis,O.;More,K.;Thomasius,R.</t>
  </si>
  <si>
    <t>CAN Stop--implementation and evaluation of a secondary group prevention for adolescent and young adult cannabis users in various contexts--study protocol</t>
  </si>
  <si>
    <t>BMC Health Services Research</t>
  </si>
  <si>
    <t>Adolescent;Ambulatory Care/og Organization &amp; Administration];Female;Follow-Up Studies;Germany;Humans;Male;*Marijuana Abuse/pc Prevention &amp; Control];Patient Care;Prisons/og Organization &amp; Administration];Program Evaluation;*Secondary Prevention/og Organization &amp; Administration];Substance Abuse Treatment Centers/og Organization &amp; Administration];*Teaching/mt Methods];Young Adult</t>
  </si>
  <si>
    <t>BACKGROUND: Current research shows that overall numbers for cannabis use among adolescents and young adults dropped in recent years. However, this trend is much less pronounced in continuous cannabis use. With regard to the heightened risk for detrimental health- and development-related outcomes, adolescents and young adults with continuous cannabis use need special attention. The health services structure for adolescents and young adults with substance related problems in Germany, is multifaceted, because different communal, medical and judicial agencies are involved. This results in a rather decentralized organizational structure of the help system. This and further system-inherent characteristics make the threshold for young cannabis users rather high. Because of this, there is a need to establish evidence-based low-threshold help options for young cannabis users, which can be easily disseminated. Therefore, a training programme for young cannabis users (age 14-21) was developed in the "CAN Stop" project. Within the project, we seek to implement and evaluate the training programme within different institutions of the help system. The evaluation is sensitive to the different help systems and their specific prerequisites. Moreover, within this study, we also test the practicability of a training provision through laypersons. METHODS/DESIGN: The CAN Stop study is a four-armed randomized wait-list controlled trial. The four arms are needed for the different help system settings, in which the CAN Stop training programme is evaluated: (a) the drug addiction aid and youth welfare system, (b) the out-patient medical system, (c) the in-patient medical system and (d) prisons for juvenile offenders. Data are collected at three points, before and after the training or a treatment as usual, and six months after the end of either intervention. DISCUSSION: The CAN Stop study is expected to provide an evidence-based programme for young cannabis users seeking to reduce or quit their cannabis use. Moreover, we seek to gain knowledge about the programme's utility within different settings of the German help system for young cannabis users and information about the settings' specific clientele. The study protocol is discussed with regard to potential difficulties within the different settings. Trial registration: isrctn: isrctn57036983.</t>
  </si>
  <si>
    <t>J2: BMC Health Serv Res; Baldus, Christiane Miranda, Alejandra Weymann, Nina Reis, Olaf More, Kerstin Thomasius, Rainer; ID: 520</t>
  </si>
  <si>
    <t>1472-6963</t>
  </si>
  <si>
    <t>Baldus, Christiane. German Centre for Addiction Research in Childhood and Adolescence (DZSKJ), University Medical Centre Hamburg-Eppendorf, Martinistrasse 52, 20246 Hamburg, Germany. cbaldus@uke.uni-hamburg.de</t>
  </si>
  <si>
    <t>http://ovidsp.ovid.com/ovidweb.cgi?T=JS&amp;CSC=Y&amp;NEWS=N&amp;PAGE=fulltext&amp;D=med7&amp;AN=21501479</t>
  </si>
  <si>
    <t>https://dx.doi.org/10.1186/1472-6963-11-80</t>
  </si>
  <si>
    <t>MEDLINE; Ovid Technologies; "CAN Stop"--implementation and evaluation of a secondary group prevention for adolescent and young adult cannabis users in various contexts--study protocol</t>
  </si>
  <si>
    <t>Baldwin,D. C., J.;Conard,S.;Hughes,P.;Achenbach,K. E.;Sheehan,D. V.</t>
  </si>
  <si>
    <t>Substance use and abuse among senior medical students in 23 medical schools</t>
  </si>
  <si>
    <t>Alcoholism/ep Epidemiology];Cross-Sectional Studies;*Education, Medical, Undergraduate;Female;Humans;Male;*Physician Impairment;*Psychotropic Drugs;Smoking/ep Epidemiology];*Substance-Related Disorders/ep Epidemiology];United States;0 (Psychotropic Drugs)</t>
  </si>
  <si>
    <t>The current study represents the first large-scale study of substance use and abuse among 2,046 senior medical students at 23 nationally distributed medical schools. With the exception of alcohol and tranquilizers, medical students use less of all such substances than do age-related cohorts from the general population.</t>
  </si>
  <si>
    <t>J2: Res Med Educ; Baldwin, D C Jr Conard, S Hughes, P Achenbach, K E Sheehan, D V; ID: 1398</t>
  </si>
  <si>
    <t>Baldwin, D C Jr. Office of Education Research, American Medical Association, Chicago, IL 60610.</t>
  </si>
  <si>
    <t>http://ovidsp.ovid.com/ovidweb.cgi?T=JS&amp;CSC=Y&amp;NEWS=N&amp;PAGE=fulltext&amp;D=med3&amp;AN=3265296</t>
  </si>
  <si>
    <t>MEDLINE; Ovid Technologies; Substance use and abuse among senior medical students in 23 medical schools</t>
  </si>
  <si>
    <t>Baldwin,J. A.;Johnson,R. M.;Gotz,N. K.;Wayment,H. A.;Elwell,K.</t>
  </si>
  <si>
    <t>Perspectives of college students and their primary health care providers on substance abuse screening and intervention</t>
  </si>
  <si>
    <t>Journal of American College Health</t>
  </si>
  <si>
    <t>Sep-Oct</t>
  </si>
  <si>
    <t>Attitude;Confidentiality;Humans;Needs Assessment;Physician-Patient Relations;*Physicians, Family/og Organization &amp; Administration];*Student Health Services/og Organization &amp; Administration];*Students/px Psychology];*Substance Abuse Detection;Substance-Related Disorders/di Diagnosis];*Universities</t>
  </si>
  <si>
    <t>The authors conducted a needs assessment among students and health-care providers of a southwestern university health center with the goal of developing health-care-provider training addressing substance-abuse screening and intervention. They collected data from focus groups of undergraduate students and structured interviews and questionnaires with health-care providers. They identified gaps in provider and student perspectives on the extent of substance abuse on campus and the perceived roles of health-care providers and patients in screening and conducting interventions for substance abuse. These findings suggest that training for college health-care providers regarding substance-abuse brief screening and intervention should emphasize confidentiality of student medical records, the importance of nonjudgmental attitudes toward students, and the role of the provider as one who is competent and appropriate to address substance abuse. Such training should also educate providers about the types of substances students are using.</t>
  </si>
  <si>
    <t>J2: J Am Coll Health; Baldwin, Julie A Johnson, Rhonda M Gotz, Nina K Wayment, Heidi A Elwell, Kristan; ID: 802</t>
  </si>
  <si>
    <t>0744-8481</t>
  </si>
  <si>
    <t>Baldwin, Julie A. Department of Community and Family Health, College of Public Health, University of South Florida, Tampa 33612, USA. jbaldwin@hsc.usf.edu</t>
  </si>
  <si>
    <t>http://ovidsp.ovid.com/ovidweb.cgi?T=JS&amp;CSC=Y&amp;NEWS=N&amp;PAGE=fulltext&amp;D=med5&amp;AN=17017308</t>
  </si>
  <si>
    <t>MEDLINE; Ovid Technologies; Perspectives of college students and their primary health care providers on substance abuse screening and intervention</t>
  </si>
  <si>
    <t>Balhara,Y. P.;Gupta,R.;Atilola,O.;Knez,R.;Mohorovic,T.;Gajdhar,W.;Javed,A. O.;Lal,R.</t>
  </si>
  <si>
    <t>Problematic Internet Use and Its Correlates Among Students from Three Medical Schools Across Three Countries</t>
  </si>
  <si>
    <t>Adult;*Behavior, Addictive/ep Epidemiology];Croatia/ep Epidemiology];*Education, Medical, Graduate/sn Statistics &amp; Numerical Data];Female;Humans;India/ep Epidemiology];*Internet/sn Statistics &amp; Numerical Data];Male;Nigeria/ep Epidemiology];Schools, Medical;Sex Factors;*Students, Medical/sn Statistics &amp; Numerical Data];Young Adult</t>
  </si>
  <si>
    <t>OBJECTIVE: The authors aimed to assess and compare problematic internet use among medical students enrolled in a graduate degree course in one school each from Croatia, India, and Nigeria and to assess correlates of problematic use among these students. METHODS: The questionnaire included a sociodemographic profile of participants and Young's Internet Addiction Test. RESULTS: The final analysis included 842 subjects. Overall, 38.7 and 10.5 % of respondents scored in the mild and moderate categories. Only a small fraction (0.5 %) of students scored in the severe category. Being male and spending more time on the internet were correlated with problematic internet use. Moreover, a significantly higher proportion of participants who scored above the cutoff used the Internet for browsing, social networking, chatting, gaming, shopping, and viewing pornography. However, there was no difference between the two groups with regard to using the internet for e-mailing or academic activities. CONCLUSIONS: It is important to address problematic internet use among medical students. The correlates can help identify those at increased risk.</t>
  </si>
  <si>
    <t>J2: Acad Psychiatry; Balhara, Yatan Pal Singh Gupta, Rishab Atilola, Olayinka Knez, Rajna Mohorovic, Tonka Gajdhar, Wamique Javed, Ahmed O Lal, Rakesh; ID: 154</t>
  </si>
  <si>
    <t>Balhara, Yatan Pal Singh. National Drug Dependence Treatment Centre (NDDTC), WHO Collaborating Centre on Substance Abuse, All India Institute of Medical Sciences (AIIMS), New Delhi, India. ypsbalhara@gmail.com. Gupta, Rishab. National Drug Dependence Treatment Centre (NDDTC), WHO Collaborating Centre on Substance Abuse, All India Institute of Medical Sciences (AIIMS), New Delhi, India. Atilola, Olayinka. Lagos State University College of Medicine, Ikeja, Lagos, Nigeria. Knez, Rajna. School of Medicine, Rijeka, Croatia. Mohorovic, Tonka. School of Medicine, Rijeka, Croatia. Gajdhar, Wamique. National Drug Dependence Treatment Centre (NDDTC), WHO Collaborating Centre on Substance Abuse, All India Institute of Medical Sciences (AIIMS), New Delhi, India. Javed, Ahmed O. National Drug Dependence Treatment Centre (NDDTC), WHO Collaborating Centre on Substance Abuse, All India Institute of Medical Sciences (AIIMS), New Delhi, India. Lal, Rakesh. National Drug Dependence Treatment Centre (NDDTC), WHO Collaborating Centre on Substance Abuse, All India Institute of Medical Sciences (AIIMS), New Delhi, India.</t>
  </si>
  <si>
    <t>http://ovidsp.ovid.com/ovidweb.cgi?T=JS&amp;CSC=Y&amp;NEWS=N&amp;PAGE=fulltext&amp;D=med8&amp;AN=26130501</t>
  </si>
  <si>
    <t>https://dx.doi.org/10.1007/s40596-015-0379-9</t>
  </si>
  <si>
    <t>MEDLINE; Ovid Technologies; Problematic Internet Use and Its Correlates Among Students from Three Medical Schools Across Three Countries</t>
  </si>
  <si>
    <t>Ballantyne,J. C.</t>
  </si>
  <si>
    <t>Opioid analgesia: perspectives on right use and utility</t>
  </si>
  <si>
    <t>Pain Physician</t>
  </si>
  <si>
    <t>*Analgesia/ae Adverse Effects];Analgesia/es Ethics];*Analgesia/st Standards];Analgesics, Opioid/ad Administration &amp; Dosage];*Analgesics, Opioid/ae Adverse Effects];*Analgesics, Opioid/st Standards];Drug Administration Schedule;Drug Tolerance;Humans;*Opioid-Related Disorders/pp Physiopathology];*Opioid-Related Disorders/pc Prevention &amp; Control];*Pain, Intractable/dt Drug Therapy];Patient Selection/es Ethics];Risk Assessment;Risk Factors;Treatment Failure;0 (Analgesics, Opioid)</t>
  </si>
  <si>
    <t>The ability of opioids to effectively and safely control acute and cancer pain has been one of several arguments used to support extending opioid treatment to patients with chronic pain, against a backdrop of considerable caution that has been based upon fears of addiction. Of course, opioids may cause addiction, but the "principle of balance" may justify that "...efforts to address abuse should not interfere with legitimate medical practice and patient care." Yet, situations are increasingly encountered in which opioid-maintained patients are refractory to analgesia during periods of pain, or even during the course of chronic treatment. The real question is whether analgesic efficacy of opioids can be maintained over time. Overall, the evidence supporting long-term analgesic efficacy is weak. The putative mechanisms for failed opioid analgesia may be related to tolerance or opioid-induced hyperalgesia. Advances in basic sciences may help in understanding these phenomena, but the question of whether long-term opioid treatment can improve patients' function or quality of life remains a broader issue. Opioid side effects are well known, but with chronic use, most (except constipation) subside. Still, side effects can negatively affect the outcomes and continuity of therapy. This paper addresses 1) what evidence supports the long-term utility of opioids for chronic pain; 2) how side effects may alter quality of life; 3) the nature of addiction and why it is different in pain patients, and 4) on what grounds could pain medication be denied? These questions are discussed in light of patients' rights, and warrant balancing particular responsibilities with risks. These are framed within the Hippocratic tradition of "producing good for the patient and protecting from harm," so as to enable 1) more informed clinical decision making, and 2) progress towards right use and utility of opioid treatment for chronic pain. References: 103]</t>
  </si>
  <si>
    <t>J2: Pain physician; Ballantyne, Jane C; ID: 759</t>
  </si>
  <si>
    <t>1533-3159</t>
  </si>
  <si>
    <t>Ballantyne, Jane C. Massachusetts General Hospital Pain Center, Boston, MA 02114, USA. jballantyne@partners.org</t>
  </si>
  <si>
    <t>http://ovidsp.ovid.com/ovidweb.cgi?T=JS&amp;CSC=Y&amp;NEWS=N&amp;PAGE=fulltext&amp;D=med5&amp;AN=17525783</t>
  </si>
  <si>
    <t>MEDLINE; Ovid Technologies; Opioid analgesia: perspectives on right use and utility</t>
  </si>
  <si>
    <t>Ballon,B. C.;Skinner,W.</t>
  </si>
  <si>
    <t>Attitude is a little thing that makes a big difference: reflection techniques for addiction psychiatry training</t>
  </si>
  <si>
    <t>May-Jun</t>
  </si>
  <si>
    <t>*Attitude of Health Personnel;Awareness;Clinical Competence;Curriculum;Focus Groups/mt Methods];Humans;*Internship and Residency/sn Statistics &amp; Numerical Data];*Journalism, Medical;Periodicals as Topic/ut Utilization];Physician-Patient Relations;*Professional Practice;*Psychiatry/ed Education];*Reading;*Students, Medical/px Psychology];Substance-Related Disorders/di Diagnosis];Substance-Related Disorders/px Psychology];Substance-Related Disorders/th Therapy];*Substance-Related Disorders;*Teaching/mt Methods];Thinking;Writing</t>
  </si>
  <si>
    <t>OBJECTIVE: The authors aim to incorporate educational reflection techniques in an addiction psychiatry postgraduate core rotation in order to increase critical self-awareness of attitudes, values, and beliefs related to working with people with substance use and other addictive disorders. METHODS: Reflection discussion times, reflection journaling, and mandatory end-of-rotation reflection papers were embedded into a core addiction psychiatry postgraduate training block. Qualitative analysis of 28 reflection papers was performed to determine key factors and constructs that impacted on the development of attitudes and professionalism. RESULTS: A number of constructs emerged that demonstrated the attitudes, beliefs, stereotypes, and stigmas students have regarding addictive disorders. Some constructs also highlighted that students felt much more comfortable dealing with addictive disorders after the training and would treat individuals with these conditions in a more effective manner. CONCLUSION: Reflection techniques were endorsed as extremely valuable by students, especially in the development of professional attitudes that will help clinicians effectively engage and provide appropriate care for individuals suffering from addictive disorders. The authors suggest that reflective practices be used more extensively in psychiatric training in order to build and establish reflexive self-awareness as a core professional competence essential to work effectively in clinical practice, especially in the most demanding contexts.</t>
  </si>
  <si>
    <t>J2: Acad Psychiatry; Ballon, Bruce C Skinner, Wayne; ID: 678</t>
  </si>
  <si>
    <t>Ballon, Bruce C. Department of Psychiatry, University of Toronto, Toronto, Ontario M5S 2S1, Canada. bruce_ballon@camh.net</t>
  </si>
  <si>
    <t>http://ovidsp.ovid.com/ovidweb.cgi?T=JS&amp;CSC=Y&amp;NEWS=N&amp;PAGE=fulltext&amp;D=med6&amp;AN=18467479</t>
  </si>
  <si>
    <t>https://dx.doi.org/10.1176/appi.ap.32.3.218</t>
  </si>
  <si>
    <t>MEDLINE; Ovid Technologies; "Attitude is a little thing that makes a big difference": reflection techniques for addiction psychiatry training</t>
  </si>
  <si>
    <t>Bandele,E. O.;Osadiaye,J. A.</t>
  </si>
  <si>
    <t>Attitudes and smoking habits of physicians at the Lagos University Teaching Hospital</t>
  </si>
  <si>
    <t>*Attitude of Health Personnel;Hospitals, Teaching;Humans;*Medical Staff, Hospital/px Psychology];Nigeria;*Smoking</t>
  </si>
  <si>
    <t>The attitudes and smoking habits of 333 doctors at the Lagos University Teaching Hospital were studied. Sixty eight percent were nonsmokers, while 24 percent were currently smoking, and 8 percent were ex-smokers. Surgeons (26 percent) and obstetricians and gynecologists (24 percent) accounted for most of the current smokers.The majority of doctors in Lagos were well informed on the health risks of smoking, but an insufficient number of them are currently giving advice on smoking cessation to their patients. There is a need to further educate doctors in Lagos on the important role physicians can play in smoking-cessation efforts.</t>
  </si>
  <si>
    <t>J2: J Natl Med Assoc; Bandele, E O Osadiaye, J A; ID: 1435</t>
  </si>
  <si>
    <t>http://ovidsp.ovid.com/ovidweb.cgi?T=JS&amp;CSC=Y&amp;NEWS=N&amp;PAGE=fulltext&amp;D=med2&amp;AN=3586041</t>
  </si>
  <si>
    <t>MEDLINE; Ovid Technologies; Attitudes and smoking habits of physicians at the Lagos University Teaching Hospital</t>
  </si>
  <si>
    <t>Barber,G.</t>
  </si>
  <si>
    <t>Drug Toxicity in General Practice</t>
  </si>
  <si>
    <t>Practitioner</t>
  </si>
  <si>
    <t>*Abnormalities, Drug-Induced;*Anti-Bacterial Agents;*Drug Hypersensitivity;*Drug Resistance;*Drug Resistance, Microbial;*Education, Medical, Graduate;*Family Practice;*General Practice;*Hematologic Diseases;*Psychopharmacology;*State Medicine;*Steroids;*Substance-Related Disorders;*Toxicology;*Vasodilator Agents;0 (Anti-Bacterial Agents);0 (Steroids);0 (Vasodilator Agents)</t>
  </si>
  <si>
    <t>J2: Practitioner; BARBER, G; ID: 1160</t>
  </si>
  <si>
    <t>0032-6518</t>
  </si>
  <si>
    <t>http://ovidsp.ovid.com/ovidweb.cgi?T=JS&amp;CSC=Y&amp;NEWS=N&amp;PAGE=fulltext&amp;D=med1&amp;AN=14259677</t>
  </si>
  <si>
    <t>MEDLINE; Ovid Technologies; Drug Toxicity in General Practice</t>
  </si>
  <si>
    <t>Bardazzi,G.;Merluzzi,J. A.;Voller,F.;Fontana,A.;Abenavoli,L.;Leggio,L.;Addolorato,G.;Alcohol;Complementary Medicine Research Group of the Italian Society,for Alcohol</t>
  </si>
  <si>
    <t>Complementary medicine for alcohol dependence in Italian services: a mail questionnaire</t>
  </si>
  <si>
    <t>Complementary Therapies in Clinical Practice</t>
  </si>
  <si>
    <t>Alcohol-Related Disorders/ep Epidemiology];*Alcohol-Related Disorders/th Therapy];Alcoholism/pc Prevention &amp; Control];Complementary Therapies/og Organization &amp; Administration];*Complementary Therapies/sn Statistics &amp; Numerical Data];Health Education/og Organization &amp; Administration];*Health Education/sn Statistics &amp; Numerical Data];*Health Knowledge, Attitudes, Practice;Humans;Italy/ep Epidemiology];Primary Health Care/sn Statistics &amp; Numerical Data];Substance Abuse Treatment Centers/og Organization &amp; Administration];*Substance Abuse Treatment Centers/sn Statistics &amp; Numerical Data];Surveys and Questionnaires</t>
  </si>
  <si>
    <t>It is well known that Complementary Medicine (CM) is extensively used in western countries for the treatment of many afflictions. CM has been recently promoted in addiction treatment. To evaluate CM use in alcohol dependence we planned a mail questionnaire for Italian alcohol services. We sent out 612 questionnaires. Health services that were unable to respond to the questionnaire within a 20-day limit period were contacted by phone and if we obtained agreement to participate in the study the questionnaire was sent by fax. We obtained 312 (51.82%) completed questionnaires. Only 16.50% of Italian services use CM for alcohol dependence treatment and acupuncture is utilized more frequently than other methods (phytotherapy, homeopathy, etc.). In Italian alcohol services CM is identified as an instrument incorporated into traditional alcohol treatments (self-help groups, drug treatment, etc.) and not an alternative method. In fact, health services that use it as a principal method of treatment were a rare event in our study (1%). CM plays an integrated role with traditional forms of alcohol treatment in Italian alcohol services and this utilization could be useful to reduce drop-outs and improve alcohol treatment compliance.</t>
  </si>
  <si>
    <t>J2: Complement Ther Clin Pract; Bardazzi, Gabriele Merluzzi, Jo-Anne Voller, Fabio Fontana, Aldo Abenavoli, Ludovico Leggio, Lorenzo Addolorato, Giovanni Alcohol and Complementary Medicine Research Group of the Italian Society for Alcohol Studies; ID: 809</t>
  </si>
  <si>
    <t>1744-3881</t>
  </si>
  <si>
    <t>Bardazzi, Gabriele. Centro Diurno Alcologico, UFM C, Azienda Sanitaria Fiorentina, Villa Basilewsky, Via Lorenzo il Magnifico, 104, 50127 Firenze, Italy. gabriele.bardazzi@asf.toscana.it</t>
  </si>
  <si>
    <t>http://ovidsp.ovid.com/ovidweb.cgi?T=JS&amp;CSC=Y&amp;NEWS=N&amp;PAGE=fulltext&amp;D=med5&amp;AN=16835034</t>
  </si>
  <si>
    <t>MEDLINE; Ovid Technologies; Complementary medicine for alcohol dependence in Italian services: a mail questionnaire</t>
  </si>
  <si>
    <t>Barefoot,S. W.</t>
  </si>
  <si>
    <t>Teaching alcoholism and substance abuse: a medical malfeasance?</t>
  </si>
  <si>
    <t>North Carolina medical journal</t>
  </si>
  <si>
    <t>N.C.Med.J.</t>
  </si>
  <si>
    <t>*Alcoholism;Curriculum;Humans;North Carolina;*Psychiatry/ed Education];*Public Health/ed Education];*Substance-Related Disorders</t>
  </si>
  <si>
    <t>J2: N C Med J; Barefoot, S W; ID: 1448</t>
  </si>
  <si>
    <t>0029-2559</t>
  </si>
  <si>
    <t>http://ovidsp.ovid.com/ovidweb.cgi?T=JS&amp;CSC=Y&amp;NEWS=N&amp;PAGE=fulltext&amp;D=med2&amp;AN=3459029</t>
  </si>
  <si>
    <t>MEDLINE; Ovid Technologies; Teaching alcoholism and substance abuse: a medical malfeasance?</t>
  </si>
  <si>
    <t>Barker,M.;Lecce,J.;Ivanova,A.;Zawertailo,L.;Dragonetti,R.;Selby,P.</t>
  </si>
  <si>
    <t>Interprofessional Communities of Practice in Continuing Medical Education for Promoting and Sustaining Practice Change: A Prospective Cohort Study</t>
  </si>
  <si>
    <t>INTRODUCTION: Standard knowledge delivery formats for CME may have limited impact on long-term practice change. A community of practice (CoP) is one tool that may enhance competencies and support practice change. This study explores the utility of an interprofessional CoP as an adjunct to a CME program in tobacco addiction treatment (Training Enhancement in Applied Counselling and Health TEACH] Project) to promote and sustain practice change. METHODS: A prospective cohort design was utilized to examine the long-term impact of the TEACH CoP on practice change. An online survey was administered to TEACH-trained practitioners to assess perceived feasibility, importance, and confidence related to course competencies, involvement in TEACH CoP activities, engagement in knowledge transfer (KT), and implementation of new programming. Chi-square tests were used to detect differences in KT and program development associated with CoP participation. Course competency scores from immediate postcourse surveys and long-term follow-up surveys were compared. RESULTS: No significant differences in participant characteristics were found between those who did (n = 300) and did not (n = 122) participate in the TEACH CoP. Mean self-perceived competency scores were greater immediately after course than at long-term follow-up; however, self-ratings of competency in pharmacological interventions and motivational interviewing were higher at follow-up. TEACH CoP participation was associated with significantly greater engagement in KT and implementation of new programming after training. DISCUSSION: The findings from this evaluation suggest the value of interprofessional CoPs offered posttraining as a mechanism to enhance practice. CME providers should consider offering CoPs as a component of training programs to promote and sustain practice change.</t>
  </si>
  <si>
    <t>J2: J Contin Educ Health Prof; Using Smart Source Parsing Feb Barker, Megan Lecce, Julia Ivanova, Anna Zawertailo, Laurie Dragonetti, Rosa Selby, Peter; ID: 1691</t>
  </si>
  <si>
    <t>Barker, Megan. Barker: Education Specialist, Centre for Addiction and Mental Health, and Doctoral Student, Dalla Lana School of Public Health, University of Toronto, Toronto, Ontario, Canada. Lecce: Assistant Manager, Centre for Addiction and Mental Health, Toronto, Ontario, Canada. Ivanova: Research Coordinator, Centre for Addiction and Mental Health, Toronto, Ontario, Canada. Zawertailo: Senior Scientist, Centre for Addiction and Mental Health, and Associate Professor, Department of Pharmacology and Toxicology, University of Toronto, Toronto, Ontario, Canada. Dragonetti: Project Director, Centre for Addiction and Mental Health, Toronto, Ontario, Canada. Selby: Chief - Primary Care Division, Deputy Physician-in-Chief for Education, and Clinician Scientist - Addictions, Centre for Addiction and Mental Health, and Professor, Department of Family and Community Medicine, Department of Psychiatry, Dalla Lana School of Public Health, University of Toronto, Toronto, Ontario, Canada.</t>
  </si>
  <si>
    <t>http://ovidsp.ovid.com/ovidweb.cgi?T=JS&amp;CSC=Y&amp;NEWS=N&amp;PAGE=fulltext&amp;D=medp&amp;AN=29461308</t>
  </si>
  <si>
    <t>https://dx.doi.org/10.1097/CEH.0000000000000191</t>
  </si>
  <si>
    <t>MEDLINE; Ovid Technologies; Interprofessional Communities of Practice in Continuing Medical Education for Promoting and Sustaining Practice Change: A Prospective Cohort Study</t>
  </si>
  <si>
    <t>Barkin,R. L.</t>
  </si>
  <si>
    <t>Interview: The need to tailor pain management approaches to individual requirements</t>
  </si>
  <si>
    <t>Pain Management</t>
  </si>
  <si>
    <t>Robert L Barkin talks to Roshaine Gunawardana, Commissioning Editor: Dr Barkin has authored over 150 publications including journals, book chapters and CD-Roms. He is a reviewer for over 30 journals, on the editorial board of nine journals and is an Associate Editor of the American Journal of Therapeutics. He received his BSc. Pharmacy degree from St Louis College of Pharmacy and Allied Science St Louis, MO, USA in 1963, an MBA in Healthcare Administration at DePaul University Chicago, IL, USA in 1976 and a doctorate in Clinical Pharmacy at Purdue University, IN, USA in 1985. Dr Barkin is engaged in a very active in-patient and out-patient practice with a collaborative arrangement with five anesthesiologist and consults with physical medicine and rehabilitation, rheumatology, oncology, neurology, neurosurgery, obstetrics and gynecology, psychiatry and chemical dependency/addiction specialists. He has presented over 500 formal lectures in the USA, Poland, India, China, Taiwan, Philippines, Puerto Rico, Australia and Canada. Dr Barkin's interest lies in pain, psychiatry, geriatrics, clinical pharmacology, clinical testing for medication and pain pharmacology. He has been the first to be granted scientific status with the American Academy of Pain Medicine.</t>
  </si>
  <si>
    <t>J2: Pain manag; Barkin, Robert L; ID: 306</t>
  </si>
  <si>
    <t>1758-1877</t>
  </si>
  <si>
    <t>Barkin, Robert L. NorthShore University HealthSystem Clinical Pharmacologist of Pain Centers of Evanston and Stokie Hospitals, IL, USA and Department of Anesthesiology, Rush University Medical Center, IL, USA and Professor of Anesthesiology, Family Medicine, Pharmacology at Rush Medical College Faculty, IL, USA. robert_barkin@rush.edu.</t>
  </si>
  <si>
    <t>http://ovidsp.ovid.com/ovidweb.cgi?T=JS&amp;CSC=Y&amp;NEWS=N&amp;PAGE=fulltext&amp;D=prem&amp;AN=24645858</t>
  </si>
  <si>
    <t>https://dx.doi.org/10.2217/pmt.12.45</t>
  </si>
  <si>
    <t>MEDLINE; Ovid Technologies; Interview: The need to tailor pain management approaches to individual requirements</t>
  </si>
  <si>
    <t>Barnes,H. N.</t>
  </si>
  <si>
    <t>Creating meaning and value in substance abuse education</t>
  </si>
  <si>
    <t>Clinical Competence;*Education, Medical, Continuing/st Standards];Health Knowledge, Attitudes, Practice;Humans;Physician-Patient Relations;*Substance-Related Disorders</t>
  </si>
  <si>
    <t>Medical faculty committed to teaching about substance abuse face the challenges of teaching about a stigmatized disease. They often work with little support and few colleagues. These clinician educators must find tools to help sustain them in this work. Knowledge of emerging data on effective diagnosis and treatment of substance abuse in the primary care setting and excellent clinical skills in managing patients with substance abuse are key. More important is the ability to find sustenance and inspiration in working with the addicted patients who have been our teachers.</t>
  </si>
  <si>
    <t>J2: Subst Abus; Barnes, Henrietta N; ID: 948</t>
  </si>
  <si>
    <t>Barnes, Henrietta N. Harvard Medical School, Cambridge (MA) Health Alliance, Massachusetts, USA. hbarnes@challiance.org</t>
  </si>
  <si>
    <t>http://ovidsp.ovid.com/ovidweb.cgi?T=JS&amp;CSC=Y&amp;NEWS=N&amp;PAGE=fulltext&amp;D=med4&amp;AN=12555770</t>
  </si>
  <si>
    <t>MEDLINE; Ovid Technologies; Creating meaning and value in substance abuse education</t>
  </si>
  <si>
    <t>Barnes,H. N.;O'Neill,S. F.;Aronson,M. D.;Delbanco,T. L.</t>
  </si>
  <si>
    <t>Early detection and outpatient management of alcoholism: a curriculum for medical residents</t>
  </si>
  <si>
    <t>Journal of medical education</t>
  </si>
  <si>
    <t>J.Med.Educ.</t>
  </si>
  <si>
    <t>*Alcoholism/di Diagnosis];Alcoholism/th Therapy];Curriculum;Education, Medical;Humans;*Internship and Residency;*Outpatients;*Patients</t>
  </si>
  <si>
    <t>J2: J Med Educ; Barnes, H N O'Neill, S F Aronson, M D Delbanco, T L; ID: 1471</t>
  </si>
  <si>
    <t>0022-2577</t>
  </si>
  <si>
    <t>http://ovidsp.ovid.com/ovidweb.cgi?T=JS&amp;CSC=Y&amp;NEWS=N&amp;PAGE=fulltext&amp;D=med2&amp;AN=6492111</t>
  </si>
  <si>
    <t>MEDLINE; Ovid Technologies; Early detection and outpatient management of alcoholism: a curriculum for medical residents</t>
  </si>
  <si>
    <t>Baron,C.</t>
  </si>
  <si>
    <t>The role of a medical society in a drug abuse program</t>
  </si>
  <si>
    <t>Journal of the Kentucky Medical Association</t>
  </si>
  <si>
    <t>J.Ky.Med.Assoc.</t>
  </si>
  <si>
    <t>*Health Education;Humans;Kentucky;*Societies, Medical;*Substance-Related Disorders</t>
  </si>
  <si>
    <t>J2: J Ky Med Assoc; Baron, C; ID: 1614</t>
  </si>
  <si>
    <t>0023-0294</t>
  </si>
  <si>
    <t>http://ovidsp.ovid.com/ovidweb.cgi?T=JS&amp;CSC=Y&amp;NEWS=N&amp;PAGE=fulltext&amp;D=med1&amp;AN=5412070</t>
  </si>
  <si>
    <t>MEDLINE; Ovid Technologies; The role of a medical society in a drug abuse program</t>
  </si>
  <si>
    <t>Barrie,J.</t>
  </si>
  <si>
    <t>Towards evidence based emergency medicine: best BETs from the Manchester Royal Infirmary. BET 3. Training and prescription of naloxone for personal use in overdose for opiate addicts</t>
  </si>
  <si>
    <t>Emergency Medicine Journal</t>
  </si>
  <si>
    <t>Drug Overdose/dt Drug Therapy];Evidence-Based Emergency Medicine;*Heroin/po Poisoning];*Heroin Dependence/dt Drug Therapy];Humans;Male;*Naloxone/ad Administration &amp; Dosage];*Narcotic Antagonists/ad Administration &amp; Dosage];*Narcotics/po Poisoning];Self Administration;0 (Narcotic Antagonists);0 (Narcotics);36B82AMQ7N (Naloxone);70D95007SX (Heroin)</t>
  </si>
  <si>
    <t>J2: Emerg Med J; Barrie, Jenifer; ID: 652</t>
  </si>
  <si>
    <t>1472-0213</t>
  </si>
  <si>
    <t>Barrie, Jenifer. Manchester Royal Infirmary, Manchester, UK.</t>
  </si>
  <si>
    <t>http://ovidsp.ovid.com/ovidweb.cgi?T=JS&amp;CSC=Y&amp;NEWS=N&amp;PAGE=fulltext&amp;D=med6&amp;AN=18843073</t>
  </si>
  <si>
    <t>https://dx.doi.org/10.1136/emj.2008.065698</t>
  </si>
  <si>
    <t>MEDLINE; Ovid Technologies; Towards evidence based emergency medicine: best BETs from the Manchester Royal Infirmary. BET 3. Training and prescription of naloxone for personal use in overdose for opiate addicts</t>
  </si>
  <si>
    <t>Barron,R.;Frank,E.;Gitlow,S.</t>
  </si>
  <si>
    <t>Evaluation of an experiential curriculum for addiction education among medical students</t>
  </si>
  <si>
    <t>Journal of Addiction Medicine</t>
  </si>
  <si>
    <t>Adult;British Columbia;Career Choice;*Curriculum;*Education, Medical, Undergraduate;Female;Health Knowledge, Attitudes, Practice;Humans;Male;Physicians, Primary Care/ed Education];Problem-Based Learning;Psychiatry/ed Education];*Substance-Related Disorders</t>
  </si>
  <si>
    <t>OBJECTIVES: Undergraduate medical education about addictive disease can take many forms, but it is unclear which educational methods are most effective at shaping medical students into physicians who are interested in and competent at addressing addiction. The purpose of this study was to evaluate the efficacy of the Betty Ford Institute's Summer Institute for Medical Students (SIMS), a week-long program aimed at educating medical students about addiction through a combination of traditional didactic and novel experiential sessions. METHODS: A written survey assessing beliefs, attitudes, and practices related to addictive disease was administered to physicians who previously participated in SIMS (n = 140) and to physicians matched for year of graduation from medical school who did not participate in SIMS (n = 105). RESULTS: Compared with their peers, and controlling for sex, age, year of graduation from medical school, specialty, personal experience with addiction, and training in talking to patients about substance use, physicians who participated in SIMS were more likely to believe that they could help addicted patients, find working with addicted patients satisfying, be confident in knowing available resources for addicted patients, believe that addiction is a disease, and be confident in speaking to patients about substance use. Physicians who participated in SIMS were not more likely to practice addiction medicine or to view talking to patients about substance use as clinically relevant. CONCLUSIONS: Undergraduate medical educational interventions combining traditional and experiential programming may render participants better equipped than peers receiving only traditional education to address addiction as physicians.</t>
  </si>
  <si>
    <t>J2: J Addict Med; Barron, Rebecca Frank, Erica Gitlow, Stuart; ID: 390</t>
  </si>
  <si>
    <t>1932-0620</t>
  </si>
  <si>
    <t>Barron, Rebecca. Department of Emergency Medicine, The Warren Alpert Medical School of Brown University, Providence, RI 02903, USA. rebecca_barron_1@brown.edu</t>
  </si>
  <si>
    <t>http://ovidsp.ovid.com/ovidweb.cgi?T=JS&amp;CSC=Y&amp;NEWS=N&amp;PAGE=fulltext&amp;D=med7&amp;AN=22534417</t>
  </si>
  <si>
    <t>https://dx.doi.org/10.1097/ADM.0b013e3182548abd</t>
  </si>
  <si>
    <t>MEDLINE; Ovid Technologies; Evaluation of an experiential curriculum for addiction education among medical students</t>
  </si>
  <si>
    <t>Barry,B. E.;Williams,J. W.;Watkins,G. M.</t>
  </si>
  <si>
    <t>The distal splenorenal shunt in alcoholic patients. A training program's experience</t>
  </si>
  <si>
    <t>American Surgeon</t>
  </si>
  <si>
    <t>Am.Surg.</t>
  </si>
  <si>
    <t>Adult;Aged;*Alcoholism/co Complications];Alcoholism/mo Mortality];Esophageal and Gastric Varices/et Etiology];Esophageal and Gastric Varices/mo Mortality];*Esophageal and Gastric Varices/su Surgery];Female;Follow-Up Studies;Gastrointestinal Hemorrhage/et Etiology];Gastrointestinal Hemorrhage/su Surgery];Humans;Internship and Residency;Male;Middle Aged;Portasystemic Shunt, Surgical/mo Mortality];*Portasystemic Shunt, Surgical;Splenorenal Shunt, Surgical/mo Mortality];*Splenorenal Shunt, Surgical</t>
  </si>
  <si>
    <t>Eighteen alcoholic patients who had bled from esophageal varices underwent elective distal splenorenal shunt. None died in surgery, and morbidity was minimal. Two-year survival for the group was 84 per cent. All five patients who have abstained from alcohol remain alive.</t>
  </si>
  <si>
    <t>J2: Am Surg; Barry, B E Williams, J W Watkins, G M; ID: 1479</t>
  </si>
  <si>
    <t>0003-1348</t>
  </si>
  <si>
    <t>http://ovidsp.ovid.com/ovidweb.cgi?T=JS&amp;CSC=Y&amp;NEWS=N&amp;PAGE=fulltext&amp;D=med2&amp;AN=6607002</t>
  </si>
  <si>
    <t>MEDLINE; Ovid Technologies; The distal splenorenal shunt in alcoholic patients. A training program's experience</t>
  </si>
  <si>
    <t>Barry,K. L.;Blow,F. C.;Oslin,D. W.</t>
  </si>
  <si>
    <t>Substance abuse in older adults: review and recommendations for education and practice in medical settings</t>
  </si>
  <si>
    <t>Aged;Alcoholism/co Complications];*Alcoholism/di Diagnosis];Alcoholism/pc Prevention &amp; Control];*Alcoholism/rh Rehabilitation];Cohort Studies;Comorbidity;Cooperative Behavior;Cross-Sectional Studies;Curriculum;Education, Medical, Continuing;*Health Promotion;Humans;Interdisciplinary Communication;*Life Style;Mass Screening;Patient Care Team;Psychotherapy, Brief/ed Education];*Street Drugs;Substance-Related Disorders/co Complications];*Substance-Related Disorders/di Diagnosis];Substance-Related Disorders/pc Prevention &amp; Control];*Substance-Related Disorders/rh Rehabilitation];0 (Street Drugs)</t>
  </si>
  <si>
    <t>J2: Subst Abus; Barry, Kristen Lawton Blow, Frederic C Oslin, David W; ID: 369</t>
  </si>
  <si>
    <t>Barry, Kristen Lawton. Department of Psychiatry, University of Michigan, Ann Arbor, MI, USA.</t>
  </si>
  <si>
    <t>http://ovidsp.ovid.com/ovidweb.cgi?T=JS&amp;CSC=Y&amp;NEWS=N&amp;PAGE=fulltext&amp;D=med4&amp;AN=23580990</t>
  </si>
  <si>
    <t>MEDLINE; Ovid Technologies; Substance abuse in older adults: review and recommendations for education and practice in medical settings</t>
  </si>
  <si>
    <t>Barry,T.;Klimas,J.;Tobin,H.;Egan,M.;Bury,G.</t>
  </si>
  <si>
    <t>Opiate addiction and overdose: experiences, attitudes, and appetite for community naloxone provision</t>
  </si>
  <si>
    <t>British Journal of General Practice</t>
  </si>
  <si>
    <t>e267</t>
  </si>
  <si>
    <t>e273</t>
  </si>
  <si>
    <t>*Drug Overdose/pc Prevention &amp; Control];Education, Medical, Graduate;*General Practice;Health Knowledge, Attitudes, Practice;Humans;Ireland;Naloxone/sd Supply &amp; Distribution];*Naloxone/tu Therapeutic Use];Narcotic Antagonists/sd Supply &amp; Distribution];*Narcotic Antagonists/tu Therapeutic Use];*Opioid-Related Disorders/dt Drug Therapy];*Opioid-Related Disorders/rh Rehabilitation];Practice Patterns, Physicians'/og Organization &amp; Administration];*Practice Patterns, Physicians'/sn Statistics &amp; Numerical Data];*Preventive Health Services/og Organization &amp; Administration];Program Development;Program Evaluation;0 (Narcotic Antagonists);36B82AMQ7N (Naloxone)</t>
  </si>
  <si>
    <t>BACKGROUND: More than 200 opiate overdose deaths occur annually in Ireland. Overdose prevention and management, including naloxone prescription, should be a priority for healthcare services. Naloxone is an effective overdose treatment and is now being considered for wider lay use. AIM: To establish GPs' views and experiences of opiate addiction, overdose care, and naloxone provision. DESIGN AND SETTING: An anonymous postal survey to GPs affiliated with the Department of Academic General Practice, University College Dublin, Ireland. METHOD: A total of 714 GPs were invited to complete an anonymous postal survey. Results were compared with a parallel GP trainee survey. RESULTS: A total of 448/714 (62.7%) GPs responded. Approximately one-third of GPs were based in urban, rural, and mixed areas. Over 75% of GPs who responded had patients who used illicit opiates, and 25% prescribed methadone. Two-thirds of GPs were in favour of increased naloxone availability in the community; almost one-third would take part in such a scheme. A higher proportion of GP trainees had used naloxone to treat opiate overdose than qualified GPs. In addition, a higher proportion of GP trainees were willing to be involved in naloxone distribution than qualified GPs. Intranasal naloxone was much preferred to single (P&lt;0.001) or multiple dose (P&lt;0.001) intramuscular naloxone. Few GPs objected to wider naloxone availability, with 66.1% (n = 292) being in favour. CONCLUSION: GPs report extensive contact with people who have opiate use disorders but provide limited opiate agonist treatment. They support wider availability of naloxone and would participate in its expansion. Development and evaluation of an implementation strategy to support GP-based distribution is urgently needed.</t>
  </si>
  <si>
    <t>J2: Br J Gen Pract; Barry, Tomas Klimas, Jan Tobin, Helen Egan, Mairead Bury, Gerard; ID: 87</t>
  </si>
  <si>
    <t>1478-5242</t>
  </si>
  <si>
    <t>Barry, Tomas. Centre for Emergency Medical Science, School of Medicine, Health Sciences Centre, University College Dublin, Dublin, Ireland. Klimas, Jan. Centre for Emergency Medical Science, School of Medicine, Health Sciences Centre, University College Dublin, Dublin, Ireland; British Columbia Centre for Excellence in HIV/AIDS, Department of Medicine, St Paul's Hospital, Vancouver BC, Canada. Tobin, Helen. Centre for Emergency Medical Science, School of Medicine, Health Sciences Centre, University College Dublin, Dublin, Ireland. Egan, Mairead. Centre for Emergency Medical Science, School of Medicine, Health Sciences Centre, University College Dublin, Dublin, Ireland. Bury, Gerard. Centre for Emergency Medical Science, School of Medicine, Health Sciences Centre, University College Dublin, Dublin, Ireland.</t>
  </si>
  <si>
    <t>http://ovidsp.ovid.com/ovidweb.cgi?T=JS&amp;CSC=Y&amp;NEWS=N&amp;PAGE=fulltext&amp;D=medc&amp;AN=28246098</t>
  </si>
  <si>
    <t>https://dx.doi.org/10.3399/bjgp17X689857</t>
  </si>
  <si>
    <t>MEDLINE; Ovid Technologies; Opiate addiction and overdose: experiences, attitudes, and appetite for community naloxone provision</t>
  </si>
  <si>
    <t>Basford,J. R.;Rohe,D. E.;Barnes,C. P.;DePompolo,R. W.</t>
  </si>
  <si>
    <t>Substance abuse attitudes and policies in US rehabilitation training programs: a comparison of 1985 and 2000</t>
  </si>
  <si>
    <t>Archives of Physical Medicine &amp; Rehabilitation</t>
  </si>
  <si>
    <t>Alcoholism/ep Epidemiology];Alcoholism/pc Prevention &amp; Control];*Alcoholism/rh Rehabilitation];*Attitude of Health Personnel;Combined Modality Therapy;Cross-Sectional Studies;*Disabled Persons/rh Rehabilitation];Disabled Persons/sn Statistics &amp; Numerical Data];Guidelines as Topic;Humans;Incidence;*Organizational Policy;Patient Care Team;*Rehabilitation Centers/td Trends];*Smoking Cessation;Substance-Related Disorders/ep Epidemiology];Substance-Related Disorders/pc Prevention &amp; Control];*Substance-Related Disorders/rh Rehabilitation];United States/ep Epidemiology]</t>
  </si>
  <si>
    <t>OBJECTIVE: To assess and compare the attitudes, beliefs, and policies of physical medicine and rehabilitation (PM&amp;R) training programs toward substance abuse and tobacco use over the last 15 years. DESIGN: A blinded questionnaire was sent to all US rehabilitation medicine training program directors. Results were compared with a survey conducted in 1985. SETTING: US PM&amp;R residency training programs with inpatient rehabilitation training. PARTICIPANTS: Training directors or their designated agents. INTERVENTION: A 35-item questionnaire was mailed between November 1999 and April 2000 to the 81 US training programs identified by the American Board of Physical Medicine and Rehabilitation as having rehabilitation training programs with inpatient rehabilitation units. Responses were pooled by our Survey Research Center to preserve anonymity. Training programs that did not respond received additional mailings and telephone calls to improve the response rate. MAIN OUTCOME MEASURES: Chi-square analysis to assess changes in responses with time. RESULTS: Forty-six of the 79 (58%) eligible training programs responded (1 program had merged, 1 did not provide inpatient rehabilitation). Programs were located in cities ranging from less than 100,000 (n = 2) to greater than a million inhabitants (n = 18). Eighty percent (37/46) of the respondents were "concerned or very concerned" about their patients' alcohol and drug use, and 69% routinely assessed patients for alcohol and drug use compared with only 25% in 1985 (P &lt;.00001). Almost all respondents (43/46) supported written guidelines to prohibit alcohol and drug use by patients in the rehabilitation unit. Eighty-three percent had a prohibition policy, and 72% had written guidelines. Both of those rates represent increases from the 1985 response rates of 65% and 45%, respectively. Ambivalence persisted about appropriate treatment programs for persons with disabilities: in 1985, 51% of the respondents agreed that a person with a disability could be treated appropriately in a substance abuse program designed for persons without a disability; in 2000, the percentage had increased to 64%. All respondents believed that tobacco use is an addiction, but only 25% of their units offered tobacco cessation services to patients on their rehabilitation unit. CONCLUSION: The survey results are encouraging. Since 1985, not only have substance abuse issues been recognized, but also systemic institutionalized approaches (eg, regular screening, written guidelines) have increased markedly. Tobacco is now uniformly accepted as an addiction, but screening and access to cessation programs are similar to that available for alcohol and drug treatment programs 15 years ago.</t>
  </si>
  <si>
    <t>J2: Arch Phys Med Rehabil; Basford, Jeffrey R Rohe, Daniel E Barnes, Christopher P DePompolo, Robert W; ID: 985</t>
  </si>
  <si>
    <t>Basford, Jeffrey R. Department of Physical Medicine and Rehabilitation, Mayo Clinic and Foundation, Rochester, MN 55905, USA.</t>
  </si>
  <si>
    <t>http://ovidsp.ovid.com/ovidweb.cgi?T=JS&amp;CSC=Y&amp;NEWS=N&amp;PAGE=fulltext&amp;D=med4&amp;AN=11932854</t>
  </si>
  <si>
    <t>MEDLINE; Ovid Technologies; Substance abuse attitudes and policies in US rehabilitation training programs: a comparison of 1985 and 2000</t>
  </si>
  <si>
    <t>Basford,J. R.;Rohe,D. E.;Depompolo,R. W.</t>
  </si>
  <si>
    <t>Rehabilitation unit staff attitudes toward substance abuse: changes and similarities between 1985 and 2001</t>
  </si>
  <si>
    <t>*Attitude of Health Personnel;Chi-Square Distribution;Female;Humans;Male;Organizational Policy;*Rehabilitation Centers/og Organization &amp; Administration];Substance-Related Disorders/px Psychology];*Substance-Related Disorders/rh Rehabilitation];Surveys and Questionnaires</t>
  </si>
  <si>
    <t>OBJECTIVES: (1) To assess the attitudes of the members of an inpatient rehabilitation unit team toward their unit's substance abuse and tobacco use policies, and (2) to compare the findings with those of a survey 16 years earlier. DESIGN: An anonymous repeated assessment of staff attitudes and behaviors. SETTING: A 47-bed inpatient rehabilitation unit. PARTICIPANTS: Rehabilitation unit nurses, occupational and physical therapists, psychologists, physicians, social workers, and speech pathologists. INTERVENTIONS: Not applicable. MAIN OUTCOME MEASURE: Change in response with time. RESULTS: Seventy percent (89/128) of the staff members completed the survey. Seventy-two percent believed that they were "familiar or very familiar" with the unit's substance abuse policy and 51% were "concerned" or "very concerned" about their patients' alcohol and drug use. Nineteen percent reported complaints about the policy from their patients and 8% reported complaints from family members. Support for a uniform substance abuse policy remained high: 96% supported a uniform policy in both 1985 and 2001. However, only 15% believed that staff drug abuse education was adequate and only 45% believed that the current policy was "adequate" or "very adequate." (Corresponding responses in 1985 were 20% and 50%, respectively.) All but 1 respondent considered tobacco use an addiction, but only 48% believed that their patients were routinely assessed for its use. CONCLUSION: Support for a uniform substance abuse policy remains strong. Although most team members support the policy, they believe that their education about substance abuse is inadequate. Staff members almost unanimously accept tobacco use as an addiction, but they believe that assessment and intervention efforts are poor.</t>
  </si>
  <si>
    <t>J2: Arch Phys Med Rehabil; Basford, Jeffrey R Rohe, Daniel E Depompolo, Robert W; ID: 930</t>
  </si>
  <si>
    <t>Basford, Jeffrey R. Department of Physical Medicine and Rehabilitation, Mayo Clinic and Foundation, rochester, MN 55905, USA. basford.jeffrey@mayo.edu</t>
  </si>
  <si>
    <t>http://ovidsp.ovid.com/ovidweb.cgi?T=JS&amp;CSC=Y&amp;NEWS=N&amp;PAGE=fulltext&amp;D=med4&amp;AN=13680565</t>
  </si>
  <si>
    <t>MEDLINE; Ovid Technologies; Rehabilitation unit staff attitudes toward substance abuse: changes and similarities between 1985 and 2001</t>
  </si>
  <si>
    <t>Batra,A.;Friederich,H. M.;Lutz,U.</t>
  </si>
  <si>
    <t>Treatment of tobacco dependence: a responsibility of psychiatry and addiction medicine]</t>
  </si>
  <si>
    <t>Nervenarzt</t>
  </si>
  <si>
    <t>Combined Modality Therapy;Germany/ep Epidemiology];Humans;*Nicotine/tu Therapeutic Use];Psychiatry/td Trends];*Psychotherapy/td Trends];Smoking/ep Epidemiology];*Smoking/px Psychology];*Smoking Cessation/mt Methods];*Smoking Cessation/px Psychology];*Smoking Prevention;Tobacco Use Disorder/ep Epidemiology];*Tobacco Use Disorder/pc Prevention &amp; Control];*Tobacco Use Disorder/px Psychology];6M3C89ZY6R (Nicotine)</t>
  </si>
  <si>
    <t>The World Health Organisation (WHO) considers smoking to be the biggest avoidable health risk. The consumption of tobacco leads to health hazards and resulting diseases, the consequences of which are far more serious than those emanating from other addictive substances. Approximately 27% of the German adult population smoke regularly and the proportion of smokers addicted to tobacco or nicotine is estimated to be around 60%. Many of these smokers have undertaken numerous unsuccessful attempts at abstinence. A professional support for smokers who are motivated to give up smoking enhances the chances of success. The current treatment guidelines recommend a combination of psychotherapeutic techniques (e.g. motivational interviewing, behavioural therapy-oriented support either individually or in groups) together with pharmacological support (e.g. nicotine replacement therapy, bupropion or varenicline). Certain subgroups (e.g. pregnant smokers, juvenile smokers and, in particular, smokers with a psychiatric co-morbidity) require a more intense psychotherapy and when necessary pharmacotherapeutic support. References: 31]</t>
  </si>
  <si>
    <t>J2: Nervenarzt; Batra, A Friederich, H M Lutz, U; OP: Therapie der Nikotinabhangigkeit: Eine Aufgabe fur Psychiatrie und Suchtmedizin; ID: 611</t>
  </si>
  <si>
    <t>1433-0407</t>
  </si>
  <si>
    <t>Batra, A. Sektion Suchtforschung und Suchtmedizin, Universitatsklinik fur Psychiatrie und Psychotherapie, Osianderstrasse 24, 72076, Tubingen, Deutschland. anil.batra@med.uni-tuebingen.de</t>
  </si>
  <si>
    <t>http://ovidsp.ovid.com/ovidweb.cgi?T=JS&amp;CSC=Y&amp;NEWS=N&amp;PAGE=fulltext&amp;D=med6&amp;AN=19693479</t>
  </si>
  <si>
    <t>https://dx.doi.org/10.1007/s00115-009-2744-y</t>
  </si>
  <si>
    <t>MEDLINE; Ovid Technologies; [Treatment of tobacco dependence: a responsibility of psychiatry and addiction medicine]</t>
  </si>
  <si>
    <t>Bawert,A.;Primus,N.;Jagsch,R.;Eder,H.;Zanki,M.;Thau,K.;Fischer,G.</t>
  </si>
  <si>
    <t>Cocaine abuse in Vienna and European cities--a multi-center study]</t>
  </si>
  <si>
    <t>Wiener klinische Wochenschrift</t>
  </si>
  <si>
    <t>Wien.Klin.Wochenschr.</t>
  </si>
  <si>
    <t>17-18</t>
  </si>
  <si>
    <t>Adolescent;Adult;Age Factors;Austria/ep Epidemiology];Cities/ep Epidemiology];Cocaine-Related Disorders/ec Economics];*Cocaine-Related Disorders/ep Epidemiology];Cocaine-Related Disorders/th Therapy];Cocaine-Related Disorders/ur Urine];*Crack Cocaine;Cross-Sectional Studies;Education;Europe/ep Epidemiology];Health Surveys;Humans;Interviews as Topic;Middle Aged;Socioeconomic Factors;Time Factors;Unemployment;World Health Organization;0 (Crack Cocaine)</t>
  </si>
  <si>
    <t>INTRODUCTION: As cocaine consumption seems to have increased over the last decades, the EU has funded this multi-center, cross-sectional survey to investigate cocaine consumption in three different target groups. The study was conducted by the Addiction Clinic, Department of Psychiatry, Medical University Vienna and other nine European cities. METHODS: Data were collected by structured face-to-face interviews. The sample was composed of 211 cocaine abusers out of three target groups: (1) treatment group undergoing opioid maintenance therapy, (2) marginalized scene group and (3) integrated party group. Sociodemographic data such as age, education, employment, monthly expenses on cocaine/crack, data on consumption patterns, physical and mental health and personal needs regarding cocaine consumption were evaluated. Urine toxicology results for cocaine in the treatment group completed the analysis. RESULTS: The marginalized scene group was the oldest with a mean age of 29.35 years, with the highest unemployment rate (mean 25.11 days) and the longest duration of cocaine consumption (mean 5.80 years). They had the highest cocaine consumption pattern with a mean of 22.32 days within the last month. On average 1969 Euros/months was spent for their addiction. The treatment group had the lowest school education with a mean of 10.36 years, but showed a sufficient insight in their cocaine problem. However, the party group (with the lowest mean age, 25.64 years) highly underestimated their drug problem, the mean amount of money they spent for their addiction was 588.99 Euro/months. Structured urine toxicology between 1996 and 2002 in patients undergoing opioid maintenance therapy ("treatment group") revealed a significant increase of concomitant cocaine consumption (1996: 33.1%; 2002: 40.2%; p = 0.044). DISCUSSION: The European trend of increased cocaine use could also be observed in Vienna. One of the greatest barriers for establishing adequate treatment settings for this target group is the difficulty to reach this population. In addition, multiple substance abuse seems to be one of the predominating patterns of cocaine consumption and this aspect should be integrated within treatment (in the treatment and scene groups additional heroin and benzodiapzepines abuse is observed, in the party group intensive alcohol consumption). The Viennese results are in line with those of the other European cities; however, it could not be confirmed that consumption of crack cocaine and binge play a similarly significant role as in cities such as Hamburg or London.</t>
  </si>
  <si>
    <t>J2: Wien Klin Wochenschr; German Bawert, Andjela Primus, Nicole Jagsch, Reinhold Eder, Harald Zanki, Margarete Thau, Kenneth Fischer, Gabriele; OP: Kokainmissbrauch in Wien und in europaischen Metropolen--eine multizentrische Studie; ID: 791</t>
  </si>
  <si>
    <t>0043-5325</t>
  </si>
  <si>
    <t>Bawert, Andjela. Universitatsklinik fur Psychiatrie, Medizinische Universitat Wien, Wien, Austria. andjela.baewert@meduniwien.ac.at</t>
  </si>
  <si>
    <t>http://ovidsp.ovid.com/ovidweb.cgi?T=JS&amp;CSC=Y&amp;NEWS=N&amp;PAGE=fulltext&amp;D=med5&amp;AN=17009064</t>
  </si>
  <si>
    <t>MEDLINE; Ovid Technologies; [Cocaine abuse in Vienna and European cities--a multi-center study]</t>
  </si>
  <si>
    <t>Baxley,E. G.;Buehler,J. R.</t>
  </si>
  <si>
    <t>Increased substance abuse education</t>
  </si>
  <si>
    <t>Family medicine</t>
  </si>
  <si>
    <t>Fam.Med.</t>
  </si>
  <si>
    <t>*Education, Medical, Continuing;*Family Practice/ed Education];Humans;*Substance-Related Disorders/pc Prevention &amp; Control]</t>
  </si>
  <si>
    <t>J2: Fam Med; Baxley, E G Buehler, J R Comment on: Fam Med. 1992 May-Jun;24(4):299-302; PMID: 1601241; ID: 1266</t>
  </si>
  <si>
    <t>0742-3225</t>
  </si>
  <si>
    <t>http://ovidsp.ovid.com/ovidweb.cgi?T=JS&amp;CSC=Y&amp;NEWS=N&amp;PAGE=fulltext&amp;D=med3&amp;AN=1397820</t>
  </si>
  <si>
    <t>MEDLINE; Ovid Technologies; Increased substance abuse education</t>
  </si>
  <si>
    <t>Beaton,A.;Shubkin,C. D.;Chapman,S.</t>
  </si>
  <si>
    <t>Addressing substance misuse in adolescents: a review of the literature on the screening, brief intervention, and referral to treatment model</t>
  </si>
  <si>
    <t>Current opinion in pediatrics</t>
  </si>
  <si>
    <t>Curr.Opin.Pediatr.</t>
  </si>
  <si>
    <t>Adolescent;Adolescent Behavior;Adolescent Medicine/ed Education];Algorithms;Education, Medical, Graduate/mt Methods];Evidence-Based Medicine;Humans;*Mass Screening/mt Methods];Primary Health Care/mt Methods];Primary Health Care/og Organization &amp; Administration];Referral and Consultation/og Organization &amp; Administration];*Substance-Related Disorders/di Diagnosis];Substance-Related Disorders/th Therapy]</t>
  </si>
  <si>
    <t>PURPOSE OF REVIEW: Adolescent substance use is a major public health concern in the United States. Pediatricians are in a unique position via the medical home to address this issue. Screening, brief intervention, and referral to treatment (SBIRT) is a comprehensive approach that aims to prevent, identify, and reduce substance use. SBIRT has been heavily studied in adults, but research with adolescents is still ongoing. This review examines the SBIRT model and highlights recent applicable research. RECENT FINDINGS: This research indicates that alcohol and drug use has a negative impact on the developing brain. In 2011, the American Academy of Pediatrics (AAP) released a policy statement recommending the use of SBIRT. An adolescent SBIRT algorithm can be used clinically. Recent studies focus on individual components of SBIRT; however, there have been no studies that examine all three components together in adolescents. Nevertheless, research indicates that SBIRT is an important tool to assess and intervene regarding adolescent substance use. SUMMARY: SBIRT is recommended by the AAP as a way to address adolescent substance use. Pediatricians should be screening adolescents for substance use at every well exam, and acute care visits when possible, with a validated tool. Although more research is needed, SBIRT is an effective method to address adolescent substance use.</t>
  </si>
  <si>
    <t>J2: Curr Opin Pediatr; Beaton, Aimee Shubkin, Catherine D Chapman, Steven; ID: 137</t>
  </si>
  <si>
    <t>1531-698X</t>
  </si>
  <si>
    <t>Beaton, Aimee. aChildren's Hospital at Dartmouth bGeisel School of Medicine, Children's Hospital at Dartmouth-Hitchcock, Lebanon, NH, USA.</t>
  </si>
  <si>
    <t>http://ovidsp.ovid.com/ovidweb.cgi?T=JS&amp;CSC=Y&amp;NEWS=N&amp;PAGE=fulltext&amp;D=med8&amp;AN=26867164</t>
  </si>
  <si>
    <t>https://dx.doi.org/10.1097/MOP.0000000000000333</t>
  </si>
  <si>
    <t>MEDLINE; Ovid Technologies; Addressing substance misuse in adolescents: a review of the literature on the screening, brief intervention, and referral to treatment model</t>
  </si>
  <si>
    <t>Beauchamp,G. A.</t>
  </si>
  <si>
    <t>The Toxicologist as Educator: Addressing Pain Management in the Midst of an Opioid Epidemic</t>
  </si>
  <si>
    <t>Journal of Medical Toxicology: Official Journal of the American College of Medical Toxicology</t>
  </si>
  <si>
    <t>*Analgesics, Opioid/ae Adverse Effects];Curriculum;*Education, Medical, Undergraduate;*Education, Pharmacy;*Epidemics;Humans;*Opioid-Related Disorders/ep Epidemiology];Opioid-Related Disorders/pc Prevention &amp; Control];*Pain Management/ae Adverse Effects];Pain Management/mt Methods];Risk Assessment;Risk Factors;*Toxicology/ed Education];0 (Analgesics, Opioid)</t>
  </si>
  <si>
    <t>J2: J Med Toxicol; Beauchamp, Gillian A; ID: 170</t>
  </si>
  <si>
    <t>1937-6995</t>
  </si>
  <si>
    <t>Beauchamp, Gillian A. Department of Emergency Medicine and the Oregon Poison Center, Oregon Health &amp; Science University, Campus Services Building 559, 3181 SW Sam Jackson Park Road, Portland, OR, 97239, USA, beauchamp.gillian@gmail.com.</t>
  </si>
  <si>
    <t>http://ovidsp.ovid.com/ovidweb.cgi?T=JS&amp;CSC=Y&amp;NEWS=N&amp;PAGE=fulltext&amp;D=med8&amp;AN=26123686</t>
  </si>
  <si>
    <t>https://dx.doi.org/10.1007/s13181-015-0491-y</t>
  </si>
  <si>
    <t>MEDLINE; Ovid Technologies; The Toxicologist as Educator: Addressing Pain Management in the Midst of an Opioid Epidemic</t>
  </si>
  <si>
    <t>Becker,W. C.;Fiellin,D. A.</t>
  </si>
  <si>
    <t>Federal plan for prescriber education on opioids misses opportunities</t>
  </si>
  <si>
    <t>Analgesics, Opioid/tu Therapeutic Use];*Analgesics, Opioid;Drug Industry/ec Economics];Drug Industry/es Ethics];*Drug Industry;Drug Overdose/pc Prevention &amp; Control];*Drug Prescriptions;Education, Medical, Continuing/ec Economics];*Education, Medical, Continuing;Financing, Government;Financing, Organized;Humans;*Legislation, Drug;*Opioid-Related Disorders/pc Prevention &amp; Control];United States;United States Food and Drug Administration;0 (Analgesics, Opioid)</t>
  </si>
  <si>
    <t>J2: Ann Intern Med; Becker, William C Fiellin, David A Comment in: Ann Intern Med. 2012 Dec 18;157(12):917; author reply 917; PMID: 23247946; ID: 422</t>
  </si>
  <si>
    <t>Becker, William C. Yale University School of Medicine, 367 Cedar Street, PO Box 208056, New Haven, CT 06520-8056, USA. william.becker@yale.edu</t>
  </si>
  <si>
    <t>http://ovidsp.ovid.com/ovidweb.cgi?T=JS&amp;CSC=Y&amp;NEWS=N&amp;PAGE=fulltext&amp;D=med7&amp;AN=22868838</t>
  </si>
  <si>
    <t>https://dx.doi.org/10.7326/0003-4819-157-3-201208070-00448</t>
  </si>
  <si>
    <t>MEDLINE; Ovid Technologies; Federal plan for prescriber education on opioids misses opportunities</t>
  </si>
  <si>
    <t>Beguy,D.;Kabiru,C. W.;Nderu,E. N.;Ngware,M. W.</t>
  </si>
  <si>
    <t>Inconsistencies in self-reporting of sexual activity among young people in Nairobi, Kenya</t>
  </si>
  <si>
    <t>Journal of Adolescent Health</t>
  </si>
  <si>
    <t>Adolescent;Child;Female;Humans;Kenya;Male;Poverty;*Reproducibility of Results;*Sexuality/eh Ethnology];*Surveys and Questionnaires;Truth Disclosure;Urban Population;Young Adult</t>
  </si>
  <si>
    <t>PURPOSE: Accurate and reliable data on the prevalence of adolescents' sexual behavior are paramount for effective sexual and reproductive health intervention. Adolescents' sexual behavior has been widely studied. However, scholars have raised concerns about the accuracy and reliability of self-reported sexual behavior by adolescents. Previous research shows high levels of adolescent sexual activity in urban informal settlements; yet, the accuracy of self-reported sexual experience in these settings is understudied. METHODS: The objective of this article is to assess consistency of self-reported sexual activity among 2324 adolescents living in slum and nonslum settlements in Nairobi, Kenya. We examine two forms of inconsistencies, namely, what we term "reborn virgins" and inconsistent timing of sexual debut, during two rounds of survey. Factors influencing inconsistent reporting are explored through logistic regression. RESULTS: A total of 469 (20%) adolescents gave inconsistent information on whether they have ever had sex (n = 190) or timing of first intercourse (n = 279). Males, slum residents, and adolescents attending school were more likely to give inconsistent sexual information. Among inconsistent reporters, slum residents, adolescents reporting substance use, and those with secondary (vs. primary) education were more likely to reclaim virginity status than to misreport the timing of first sex. However, older adolescents were less likely to reclaim virginity status. CONCLUSIONS: We found significant differences between adolescents who provide consistent reports and those who misreport sexual behavior data. We argue that researchers should account for biases stemming from misreporting of sensitive information among young people and, in particular, should be cognizant of how reporting quality may vary across demographic groups.</t>
  </si>
  <si>
    <t>J2: J Adolesc Health; Beguy, Donatien Kabiru, Caroline W Nderu, Evangeline N Ngware, Moses W; ID: 602</t>
  </si>
  <si>
    <t>1879-1972</t>
  </si>
  <si>
    <t>Beguy, Donatien. African Population and Health Research Center, Nairobi, Kenya. dbeguy@aphrc.org</t>
  </si>
  <si>
    <t>http://ovidsp.ovid.com/ovidweb.cgi?T=JS&amp;CSC=Y&amp;NEWS=N&amp;PAGE=fulltext&amp;D=med6&amp;AN=19931832</t>
  </si>
  <si>
    <t>https://dx.doi.org/10.1016/j.jadohealth.2009.03.014</t>
  </si>
  <si>
    <t>MEDLINE; Ovid Technologies; Inconsistencies in self-reporting of sexual activity among young people in Nairobi, Kenya</t>
  </si>
  <si>
    <t>Bell,G. L.;Lau,K.</t>
  </si>
  <si>
    <t>Perinatal and neonatal issues of substance abuse</t>
  </si>
  <si>
    <t>Abnormalities, Drug-Induced/et Etiology];Developmental Disabilities/ci Chemically Induced];Female;Humans;Infant, Newborn;Neonatal Abstinence Syndrome/ci Chemically Induced];Neonatal Abstinence Syndrome/th Therapy];Pregnancy;Pregnancy Complications/di Diagnosis];Pregnancy Complications/pc Prevention &amp; Control];*Pregnancy Complications;*Substance-Related Disorders/co Complications];Substance-Related Disorders/di Diagnosis];Substance-Related Disorders/pc Prevention &amp; Control]</t>
  </si>
  <si>
    <t>Substance abuse during pregnancy can be teratogenic for the fetus and can cause decreased growth parameters in the newborn infant. Short-term and long-term neurobehavioral problems have been documented also in babies born to substance-abusing mothers. The problem of substance abuse during pregnancy and its effects on the fetus is unique in medicine in that it is 100% preventable. Physicians will need to take an active role in leading society to take action in preventing substance abuse during pregnancy, and emphasis on this action should occur long before the woman becomes pregnant. Until medical schools and residency programs take responsibility for teaching the importance of preventing substance abuse and of identifying the substance-abuser, drug and alcohol use will continue to exact its tragic toll on future generations. References: 185]</t>
  </si>
  <si>
    <t>J2: Pediatr Clin North Am; Bell, G L Lau, K; ID: 1200</t>
  </si>
  <si>
    <t>Bell, G L. Department of Pediatrics, University of Tennessee College of Medicine at Chattanooga, USA.</t>
  </si>
  <si>
    <t>http://ovidsp.ovid.com/ovidweb.cgi?T=JS&amp;CSC=Y&amp;NEWS=N&amp;PAGE=fulltext&amp;D=medc&amp;AN=7536914</t>
  </si>
  <si>
    <t>MEDLINE; Ovid Technologies; Perinatal and neonatal issues of substance abuse</t>
  </si>
  <si>
    <t>Bell,J. R.</t>
  </si>
  <si>
    <t>Lessons from a training program for methadone prescribers</t>
  </si>
  <si>
    <t>Attitude of Health Personnel;Australia;*Clinical Competence;Drug Prescriptions;*Education, Medical, Continuing;Family Practice/ed Education];*Heroin Dependence/rh Rehabilitation];Humans;Methadone/ad Administration &amp; Dosage];*Methadone/tu Therapeutic Use];Patient Compliance;Personal Satisfaction;Physician-Patient Relations;Program Evaluation;Psychiatry/ed Education];Retrospective Studies;Teaching/mt Methods];UC6VBE7V1Z (Methadone)</t>
  </si>
  <si>
    <t>J2: Med J Aust; Bell, J R; ID: 1205</t>
  </si>
  <si>
    <t>Bell, J R. Drug and Alcohol Unit, Prince of Wales Hospital, Sydney, NSW.</t>
  </si>
  <si>
    <t>http://ovidsp.ovid.com/ovidweb.cgi?T=JS&amp;CSC=Y&amp;NEWS=N&amp;PAGE=fulltext&amp;D=med3&amp;AN=7854227</t>
  </si>
  <si>
    <t>MEDLINE; Ovid Technologies; Lessons from a training program for methadone prescribers</t>
  </si>
  <si>
    <t>Bendtsen,P.;Akerlind,I.</t>
  </si>
  <si>
    <t>Changes in attitudes and practices in primary health care with regard to early intervention for problem drinkers</t>
  </si>
  <si>
    <t>Adult;Alcoholism/di Diagnosis];*Alcoholism/pc Prevention &amp; Control];Attitude of Health Personnel;Clinical Competence;*Education, Medical, Continuing/mt Methods];Female;Humans;Male;Middle Aged;*Nurses/px Psychology];*Physicians, Family/px Psychology]</t>
  </si>
  <si>
    <t>During an intervention period of 1 to 2 months, a project team supported general practitioners (GPs) and nurses in four primary health care centres in Sweden in introducing new routines for detection and treatment of problem drinkers. After the implementation of the new methods, the GPs reported increased involvement in early detection and intervention significantly more often than the nurses did. A majority in both groups reported perceived improvement in skills. There was a significant positive change of the attitudes concerning working with alcohol-related problems in the nurses reaching the same level as the GPs. In the nurses, attitudes and self-perceived intervention skills were improved, but to a lesser extent than their practice. The results indicate that future efforts concerning improvement of primary health care staff involvement in alcohol interventions should focus on training, supervision, and giving positive examples, rather than on changing an already positive attitude towards alcohol intervention. The potential role of nurses is still uncertain and not utilized sufficiently.</t>
  </si>
  <si>
    <t>J2: Alcohol Alcohol; Bendtsen, P Akerlind, I; ID: 1052</t>
  </si>
  <si>
    <t>Bendtsen, P. Faculty of Health Sciences, Department of Health and Environment, University of Linkoping, Sweden.</t>
  </si>
  <si>
    <t>http://ovidsp.ovid.com/ovidweb.cgi?T=JS&amp;CSC=Y&amp;NEWS=N&amp;PAGE=fulltext&amp;D=med4&amp;AN=10528823</t>
  </si>
  <si>
    <t>MEDLINE; Ovid Technologies; Changes in attitudes and practices in primary health care with regard to early intervention for problem drinkers</t>
  </si>
  <si>
    <t>Benezech,M.;Rager,P.;Lavenu,M. E.;Beylot,J.;Bourgeois,M.</t>
  </si>
  <si>
    <t>Medico-psychologic aspects of medical information on AIDS: the example of drug-dependent prisoners]</t>
  </si>
  <si>
    <t>Annales Medico-Psychologiques</t>
  </si>
  <si>
    <t>Ann.Med.Psychol.</t>
  </si>
  <si>
    <t>*Acquired Immunodeficiency Syndrome/px Psychology];Acquired Immunodeficiency Syndrome/tm Transmission];HIV Seropositivity;Heroin Dependence/px Psychology];Humans;Neurocognitive Disorders/px Psychology];*Patient Education as Topic;*Prisoners/px Psychology];Risk Factors;Social Responsibility;*Substance-Related Disorders/px Psychology]</t>
  </si>
  <si>
    <t>J2: Ann Med Psychol (Paris); French Benezech, M Rager, P Lavenu, M E Beylot, J Bourgeois, M; OP: Aspects medico-psychologiques de l'information medicale en matiere de SIDA: l'exemple des toxicomanes detenus; ID: 1409</t>
  </si>
  <si>
    <t>Benezech, M. Service Medico-Psychologique Regional des Prisons, C.H.U. de Bordeaux.</t>
  </si>
  <si>
    <t>French</t>
  </si>
  <si>
    <t>http://ovidsp.ovid.com/ovidweb.cgi?T=JS&amp;CSC=Y&amp;NEWS=N&amp;PAGE=fulltext&amp;D=med3&amp;AN=3389623</t>
  </si>
  <si>
    <t>MEDLINE; Ovid Technologies; [Medico-psychologic aspects of medical information on AIDS: the example of drug-dependent prisoners]</t>
  </si>
  <si>
    <t>Benson,G.</t>
  </si>
  <si>
    <t>Course and outcome of drug abuse and medical and social conditions in selected young drug abusers</t>
  </si>
  <si>
    <t>Acta Psychiatrica Scandinavica</t>
  </si>
  <si>
    <t>Acta Psychiatr.Scand.</t>
  </si>
  <si>
    <t>Adolescent;Adult;Alcoholism/rh Rehabilitation];Ambulatory Care;Antidepressive Agents;Commitment of Mentally Ill;Female;Follow-Up Studies;Humans;Male;Marijuana Abuse/rh Rehabilitation];*Social Conditions;*Social Environment;Social Welfare;Solvents;Substance-Related Disorders/px Psychology];*Substance-Related Disorders/rh Rehabilitation];Sweden;0 (Antidepressive Agents);0 (Solvents)</t>
  </si>
  <si>
    <t>The course and outcome of drug abuse and medical and social conditions were investigated by following--in some aspects for up to 10 years--selected groups of young drug abusers who had had contact with health care and social welfare authorities in Gothenburg at the end of the 1960's. The follow-up was carried out by studying different registers and through interviews. The abusers were compared with a control group matched in terms of sex, age and daily sickness allowance. Abuse of cannabis predominated (2:1) over heavier drugs (primarily central stimulants i.v.) in the out-patient materials, while the reverse was the case in the in-patient material. About 40% of the drug users were interviewed and judged to be representative of their groups. After 4-6 years, 36-49% of the males and 23-48% of the females in the different materials were found registered as drug abusers; 22-38% of the men and 11-19% of the women were found after 8-10 years. According to the interviews, drug abuse persisted in 56-71% of the men and 26-60% of the women after 4-6 years and in 44-69% of the men and 13-36% of the women after 7-9 years. Abuse of cannabis persisted more often than abuse of heavier drugs, and had a lower mortality. Between 40 and 55% of drug abuse in the out-patient material, as well as among males in the social welfare material, was hidden during the follow-up period. The hidden abuse involved primarily cannabis; abuse of heavier drugs was generally known to the health care or social welfare authorities. Repeated or lengthy sick leave was more common than in the control group. In-patient adult psychiatric treatment was common among those in the health care material, although 40% of those in the social welfare material had also received such treatment. A diagnosis of drug abuse clearly predominated. Treatment of hepatitis was noted for 30-40%. More than 90% of drug abusers were registered with the social welfare authorities compared with less than half of the controls. Possession of driving licence was less common and the males had less often completed basic military training. The majority of those not registered for drug abuse after 4-6 years were employed or studying, and had considerably less need for social welfare and sick leave than those who were registered.(ABSTRACT TRUNCATED AT 400 WORDS)</t>
  </si>
  <si>
    <t>J2: Acta Psychiatr Scand; Benson, G; ID: 1467</t>
  </si>
  <si>
    <t>0001-690X</t>
  </si>
  <si>
    <t>http://ovidsp.ovid.com/ovidweb.cgi?T=JS&amp;CSC=Y&amp;NEWS=N&amp;PAGE=fulltext&amp;D=med2&amp;AN=3871549</t>
  </si>
  <si>
    <t>MEDLINE; Ovid Technologies; Course and outcome of drug abuse and medical and social conditions in selected young drug abusers</t>
  </si>
  <si>
    <t>Benson,J. C.</t>
  </si>
  <si>
    <t>Inside special care</t>
  </si>
  <si>
    <t>*Alcoholism/px Psychology];*Emergency Service, Hospital;Homeless Persons/px Psychology];Hospitals, County;Humans;*Internship and Residency;Minnesota;*Physician-Patient Relations</t>
  </si>
  <si>
    <t>J2: Ann Intern Med; Benson, John C; ID: 224</t>
  </si>
  <si>
    <t>http://ovidsp.ovid.com/ovidweb.cgi?T=JS&amp;CSC=Y&amp;NEWS=N&amp;PAGE=fulltext&amp;D=med8&amp;AN=25133364</t>
  </si>
  <si>
    <t>https://dx.doi.org/10.7326/M14-0279</t>
  </si>
  <si>
    <t>MEDLINE; Ovid Technologies; Inside special care</t>
  </si>
  <si>
    <t>Bentz,C. J.;Davis,N.;Bayley,B.</t>
  </si>
  <si>
    <t>The feasibility of paper-based Tracking Codes and electronic medical record systems to monitor tobacco-use assessment and intervention in an Individual Practice Association (IPA) Model health maintenance organization (HMO)</t>
  </si>
  <si>
    <t>Nicotine &amp; Tobacco Research</t>
  </si>
  <si>
    <t>Nicotine Tobacco Res.</t>
  </si>
  <si>
    <t>4 Suppl 1</t>
  </si>
  <si>
    <t>S9</t>
  </si>
  <si>
    <t>Costs and Cost Analysis;Diagnosis-Related Groups;Documentation;Feasibility Studies;*Health Maintenance Organizations/og Organization &amp; Administration];Health Promotion/ec Economics];*Health Promotion/ut Utilization];Humans;*Independent Practice Associations/og Organization &amp; Administration];*Medical Records Systems, Computerized;Oregon/ep Epidemiology];*Patient Identification Systems;Pilot Projects;*Smoking Cessation/sn Statistics &amp; Numerical Data];*Tobacco Use Disorder/ep Epidemiology];*Tobacco Use Disorder/pc Prevention &amp; Control]</t>
  </si>
  <si>
    <t>Despite evidence of its effectiveness, tobacco cessation is not systematically addressed in routine healthcare settings. Its measurement is part of the problem. A pilot study was designed to develop and implement two different tobacco tracking systems in two independent primary care offices that participated in an IPA Model health maintenance organization in Portland, Oregon. The first clinic, which utilized a paper-based charting system, implemented CPT-like tracking codes to measure and report tobacco-cessation activities, which were eventually included in the managed-care organization's (MCO) claims database. The second clinic implemented an electronic tracking system based on its computerized electronic medical record (EMR) charting system. This paper describes the pilot study, including the processes involved in building provider acceptance for the new tracking systems in these two clinics, the barriers and successes encountered during implementation, and the resources expended by the clinics and by the MCO during the pilot. The findings from the 3-month implementation period were that documentation of tobacco-use status remained stable at 42-45% in the paper-based clinic and increased from 79% to 88% in the EMR clinic. This pilot study demonstrated that Tracking Codes are a feasible preventive-care tracking system in paper-based medical offices. However, high levels of effort and support are needed, and a critical mass of insurers and health plans would need to adopt Tracking Codes before widespread use could be expected. Results of the EMR-based tracking system are also reviewed and discussed.</t>
  </si>
  <si>
    <t>J2: Nicotine Tob Res; Bentz, Charles J Davis, Nancy Bayley, Bruce; ID: 981</t>
  </si>
  <si>
    <t>1462-2203</t>
  </si>
  <si>
    <t>Bentz, Charles J. Providence Health System, Portland, Oregon, USA.</t>
  </si>
  <si>
    <t>http://ovidsp.ovid.com/ovidweb.cgi?T=JS&amp;CSC=Y&amp;NEWS=N&amp;PAGE=fulltext&amp;D=med4&amp;AN=11945214</t>
  </si>
  <si>
    <t>MEDLINE; Ovid Technologies; The feasibility of paper-based Tracking Codes and electronic medical record systems to monitor tobacco-use assessment and intervention in an Individual Practice Association (IPA) Model health maintenance organization (HMO)</t>
  </si>
  <si>
    <t>Benzer,D. G.</t>
  </si>
  <si>
    <t>Managing substance use disorders in resident physicians</t>
  </si>
  <si>
    <t>Journal of the American Osteopathic Association</t>
  </si>
  <si>
    <t>J.Am.Osteopath.Assoc.</t>
  </si>
  <si>
    <t>Aftercare/og Organization &amp; Administration];Humans;*Internship and Residency;Osteopathic Medicine;*Physician Impairment;Preventive Health Services/og Organization &amp; Administration];Professional Staff Committees/og Organization &amp; Administration];Substance-Related Disorders/di Diagnosis];*Substance-Related Disorders/pc Prevention &amp; Control]</t>
  </si>
  <si>
    <t>Alcohol and other drug abuse is the leading cause of physician impairment. Prompt identification and early intervention by colleagues are the most effective ways of dealing with this problem in hospital residents. The author offers guidelines for recognizing the progressive signs of trouble inadvertently sent out by abusers, as well as effective ways in which colleagues can intervene. Also offered are steps in evaluation and treatment that can effectively address these illnesses and prevent compromising patient care.</t>
  </si>
  <si>
    <t>J2: J Am Osteopath Assoc; Benzer, D G Comment in: J Am Osteopath Assoc. 1993 Jun;93(6):649; PMID: 8349479; ID: 1260</t>
  </si>
  <si>
    <t>0098-6151</t>
  </si>
  <si>
    <t>Benzer, D G. McBride Center for the Professional, Milwaukee Psychiatric Hospital, WI.</t>
  </si>
  <si>
    <t>http://ovidsp.ovid.com/ovidweb.cgi?T=JS&amp;CSC=Y&amp;NEWS=N&amp;PAGE=fulltext&amp;D=med3&amp;AN=8240473</t>
  </si>
  <si>
    <t>MEDLINE; Ovid Technologies; Managing substance use disorders in resident physicians</t>
  </si>
  <si>
    <t>Benzon,H. T.;Anderson,T. A.</t>
  </si>
  <si>
    <t>Themed Issue on the Opioid Epidemic: What Have We Learned? Where Do We Go From Here?</t>
  </si>
  <si>
    <t>Anesthesia &amp; Analgesia</t>
  </si>
  <si>
    <t>*Analgesics, Opioid/ae Adverse Effects];*Anesthesiologists/st Standards];Anesthesiologists/td Trends];*Drug Prescriptions/st Standards];*Epidemics;Humans;Learning;*Opioid-Related Disorders/ep Epidemiology];Opioid-Related Disorders/th Therapy];0 (Analgesics, Opioid)</t>
  </si>
  <si>
    <t>J2: Anesth Analg; Benzon, Honorio T Anderson, T Anthony; ID: 29</t>
  </si>
  <si>
    <t>1526-7598</t>
  </si>
  <si>
    <t>Benzon, Honorio T. From the *Department of Anesthesiology, Northwestern University Feinberg School of Medicine, Chicago, Illinois; and +Stanford University School of Medicine, Stanford, California.</t>
  </si>
  <si>
    <t>http://ovidsp.ovid.com/ovidweb.cgi?T=JS&amp;CSC=Y&amp;NEWS=N&amp;PAGE=fulltext&amp;D=medl&amp;AN=29049105</t>
  </si>
  <si>
    <t>https://dx.doi.org/10.1213/ANE.0000000000002537</t>
  </si>
  <si>
    <t>MEDLINE; Ovid Technologies; Themed Issue on the Opioid Epidemic: What Have We Learned? Where Do We Go From Here?</t>
  </si>
  <si>
    <t>Bergelt,C.;Lauke,H.;Petersen-Ewert,C.;Jucker,M.;Bauer,C. K.</t>
  </si>
  <si>
    <t>Alcohol and nicotine--Concept and evaluation of an interdisciplinary elective course with OSPE in preclinical medical education</t>
  </si>
  <si>
    <t>GMS Zeitschrift Fur Medizinische Ausbildung</t>
  </si>
  <si>
    <t>Doc9</t>
  </si>
  <si>
    <t>Attitude of Health Personnel;Clinical Competence/lj Legislation &amp; Jurisprudence];*Cooperative Behavior;Curriculum;*Education, Medical, Undergraduate/og Organization &amp; Administration];*Educational Measurement/mt Methods];*Ethanol;*Faculty, Medical;Germany;Humans;*Interdisciplinary Communication;Licensure, Medical/lj Legislation &amp; Jurisprudence];National Health Programs/lj Legislation &amp; Jurisprudence];*Nicotine;Students, Medical/px Psychology];3K9958V90M (Ethanol);6M3C89ZY6R (Nicotine)</t>
  </si>
  <si>
    <t>In the last decade, increasing interest has been paid to interdisciplinary and practical courses in the medical education in Germany. This report describes the implementation and outcome of a preclinical interdisciplinary elective course with a team-teaching concept developed by lecturers in medical psychology, anatomy, physiology and biochemistry. The practical orientation of the course led to the implementation of a final interdisciplinary OSPE to ensure fair consideration of the different disciplines involved in grading. Individual OSPE results correlate well with the fact that different skills are required in medical psychology compared to those required in anatomy, physiology and biochemistry. Student course evaluation and lecturers` experience indicate the success of this elective course. Its concept can be well adapted to other interdisciplinary courses.</t>
  </si>
  <si>
    <t>J2: GMS Z Med Ausbild; Bergelt, Corinna Lauke, Heidrun Petersen-Ewert, Corinna Jucker, Manfred Bauer, Christiane K; ID: 238</t>
  </si>
  <si>
    <t>1860-3572</t>
  </si>
  <si>
    <t>Bergelt, Corinna. University Medical Center Hamburg-Eppendorf, Department of Medical Psychology, Hamburg, Germany. Lauke, Heidrun. University Medical Center Hamburg-Eppendorf, Department of Anatomy and Experimental Morphology, Hamburg, Germany. Petersen-Ewert, Corinna. University Medical Center Hamburg-Eppendorf, Department of Medical Psychology, Hamburg, Germany ; University of Applied Sciences, Department of Nursing and Management, Hamburg, Germany. Jucker, Manfred. University Medical Center Hamburg-Eppendorf, Department of Biochemistry and Signal Transduction, Hamburg, Germany. Bauer, Christiane K. University Medical Center Hamburg-Eppendorf, Department of Cellular and Integrative Physiology, Hamburg, Germany.</t>
  </si>
  <si>
    <t>http://ovidsp.ovid.com/ovidweb.cgi?T=JS&amp;CSC=Y&amp;NEWS=N&amp;PAGE=fulltext&amp;D=med8&amp;AN=24575160</t>
  </si>
  <si>
    <t>https://dx.doi.org/10.3205/zma000901</t>
  </si>
  <si>
    <t>MEDLINE; Ovid Technologies; "Alcohol and nicotine"--Concept and evaluation of an interdisciplinary elective course with OSPE in preclinical medical education</t>
  </si>
  <si>
    <t>Berglund,M.</t>
  </si>
  <si>
    <t>More about substance abuse in medical education. A joint European curriculum under development]</t>
  </si>
  <si>
    <t>Lakartidningen</t>
  </si>
  <si>
    <t>Alcohol-Related Disorders/di Diagnosis];Alcohol-Related Disorders/ep Epidemiology];Alcohol-Related Disorders/th Therapy];*Alcohol-Related Disorders;Alcoholism/di Diagnosis];Alcoholism/ep Epidemiology];Alcoholism/th Therapy];Curriculum/st Standards];*Curriculum;Education, Medical/st Standards];*Education, Medical;Europe;Humans;Substance-Related Disorders/di Diagnosis];Substance-Related Disorders/ep Epidemiology];Substance-Related Disorders/th Therapy];*Substance-Related Disorders</t>
  </si>
  <si>
    <t>J2: Lakartidningen; Swedish Berglund, Mats; OP: Beroendelara kommer att fa storre plats i lakarutbildningen; ID: 953</t>
  </si>
  <si>
    <t>0023-7205</t>
  </si>
  <si>
    <t>Berglund, Mats. Klinisk alkoholforskning, Lunds universitet. mats.berglund@alk.mas.lu.se</t>
  </si>
  <si>
    <t>Swedish</t>
  </si>
  <si>
    <t>http://ovidsp.ovid.com/ovidweb.cgi?T=JS&amp;CSC=Y&amp;NEWS=N&amp;PAGE=fulltext&amp;D=med4&amp;AN=12448308</t>
  </si>
  <si>
    <t>MEDLINE; Ovid Technologies; [More about substance abuse in medical education. A joint European curriculum under development]</t>
  </si>
  <si>
    <t>Berland,N.;Fox,A.;Tofighi,B.;Hanley,K.</t>
  </si>
  <si>
    <t>Opioid overdose prevention training with naloxone, an adjunct to basic life support training for first-year medical students</t>
  </si>
  <si>
    <t>*Analgesics, Opioid/to Toxicity];*Drug Overdose/pc Prevention &amp; Control];*Education, Medical, Undergraduate;Female;*Health Knowledge, Attitudes, Practice;Humans;Male;*Naloxone/tu Therapeutic Use];Narcotic Antagonists/tu Therapeutic Use];Program Evaluation/sn Statistics &amp; Numerical Data];*Students, Medical/px Psychology];Young Adult;0 (Analgesics, Opioid);0 (Narcotic Antagonists);36B82AMQ7N (Naloxone)</t>
  </si>
  <si>
    <t>BACKGROUND: Opioid overdose deaths have reached epidemic proportions in the United States. This problem stems from both licit and illicit opioid use. Prescribing opioids, recognizing risky use, and initiating prevention, including opioid overdose prevention training (OOPT), are key roles physicians play. The American Heart Association (AHA) modified their basic life support (BLS) algorithms to consider naloxone in high-risk populations and when a pulse is appreciated; however, the AHA did not provide OOPT. The authors' intervention filled this training deficiency by teaching medical students opioid overdose resuscitation with a Train-the-Trainer model as part of mandatory BLS training. METHODS: The authors introduced OOPT, following a Train-the-Trainer model, into the required basic life support (BLS) training for first-year medical students at a single medical school in a large urban area. The authors administered pre- and post-evaluations to assess the effects of the training on opioid overdose knowledge, self-reported preparedness to respond to opioid overdoses, and attitudes towards patients with substance use disorders (SUDs). RESULTS: In the fall 2014, 120 first-year medical students received OOPT. Seventy-three students completed both pre- and posttraining evaluations. Improvements in knowledge about and preparedness to respond to opioid overdoses were statistically significant (P &lt; .01) and large (Cohen's D = 2.70 and Cohen's D = 2.10, respectively). There was no statistically significant change in attitudes toward patients with SUDs. CONCLUSIONS: The authors demonstrated the effectiveness of OOPT as an adjunct to BLS in increasing knowledge about and preparedness to respond to opioid overdoses; improving attitudes toward patients with SUDs likely requires additional intervention. The authors will characterize knowledge and preparedness durability, program sustainability, and long-term changes in attitudes in future evaluations. These results support dissemination of OOPT as a part of BLS training for all medical students, and potentially all BLS providers.</t>
  </si>
  <si>
    <t>J2: Subst Abus; Berland, Noah Fox, Aaron Tofighi, Babak Hanley, Kathleen; ID: 17</t>
  </si>
  <si>
    <t>Berland, Noah. a New York University School of Medicine , New York , New York , USA. Fox, Aaron. b Department of Medicine , Division of General Internal Medicine , Albert Einstein College of Medicine , Bronx , New York , USA. Tofighi, Babak. c Department of Population Health , New York University School of Medicine , New York , New York , USA. Hanley, Kathleen. d Department of Medicine , New York University School of Medicine , New York , New York , USA. Hanley, Kathleen. e Primary Care Residency Program, New York University School of Medicine , New York , New York , USA.</t>
  </si>
  <si>
    <t>http://ovidsp.ovid.com/ovidweb.cgi?T=JS&amp;CSC=Y&amp;NEWS=N&amp;PAGE=fulltext&amp;D=medl&amp;AN=28027016</t>
  </si>
  <si>
    <t>https://dx.doi.org/10.1080/08897077.2016.1275925</t>
  </si>
  <si>
    <t>MEDLINE; Ovid Technologies; Opioid overdose prevention training with naloxone, an adjunct to basic life support training for first-year medical students</t>
  </si>
  <si>
    <t>Berliner,H.</t>
  </si>
  <si>
    <t>Underperforming doctors. Recovery services</t>
  </si>
  <si>
    <t>Health Service Journal</t>
  </si>
  <si>
    <t>Health Serv.J.</t>
  </si>
  <si>
    <t>Alcoholism/rh Rehabilitation];Humans;Internship and Residency;Liability, Legal;*Licensure, Medical;Mental Disorders/rh Rehabilitation];National Practitioner Data Bank;*Occupational Health Services;*Physician Impairment;Societies, Medical;*Substance-Related Disorders/rh Rehabilitation];United States</t>
  </si>
  <si>
    <t>In the US, state medical licensing boards have the power to prevent sick doctors from practising if they do not undergo treatment. Every state has a programme for impaired doctors, most including a two-week hospital stay involving intensive psychotherapy. Research on recovery is limited, but some studies have found recovery rates of 75 per cent.</t>
  </si>
  <si>
    <t>J2: Health Serv J; Berliner, H; ID: 1077</t>
  </si>
  <si>
    <t>0952-2271</t>
  </si>
  <si>
    <t>Berliner, H. New School of Social Research, New York, USA.</t>
  </si>
  <si>
    <t>http://ovidsp.ovid.com/ovidweb.cgi?T=JS&amp;CSC=Y&amp;NEWS=N&amp;PAGE=fulltext&amp;D=med4&amp;AN=10387798</t>
  </si>
  <si>
    <t>MEDLINE; Ovid Technologies; Underperforming doctors. Recovery services</t>
  </si>
  <si>
    <t>Bernstein,E.;Topp,D.;Shaw,E.;Girard,C.;Pressman,K.;Woolcock,E.;Bernstein,J.</t>
  </si>
  <si>
    <t>A preliminary report of knowledge translation: lessons from taking screening and brief intervention techniques from the research setting into regional systems of care</t>
  </si>
  <si>
    <t>Academic Emergency Medicine</t>
  </si>
  <si>
    <t>Acad.Emerg.Med.</t>
  </si>
  <si>
    <t>*Alcoholism/di Diagnosis];*Alcoholism/th Therapy];Emergency Service, Hospital;Evidence-Based Medicine;Health Promotion;Humans;Mass Screening/mt Methods];Massachusetts;Models, Theoretical;Referral and Consultation;Substance Abuse Detection/mt Methods];*Substance-Related Disorders/di Diagnosis];*Substance-Related Disorders/th Therapy];Translational Medical Research</t>
  </si>
  <si>
    <t>This article describes a limited statewide dissemination of an evidence-based technology, screening, brief intervention, and referral to treatment (SBIRT), and evaluation of the effects on emergency department (ED) systems of care, utilizing the knowledge translation framework of reach, effectiveness, adoption, implementation, and maintenance (RE-AIM), using both quantitative and qualitative data sources. Screening and brief intervention (SBI) can detect high-risk and dependent alcohol and drug use in the medical setting, provide early intervention, facilitate access to specialty treatment when appropriate, and improve quality of care. Several meta-analyses demonstrate its effectiveness in primary care, and the federal government has developed a well-funded campaign to promote physician training and adoption of SBI. In the busy environment of the ED, with its competing priorities, researchers have tested a collaborative approach that relies on peer educators, with substance abuse treatment experience and broad community contact, as physician extenders. The ED-SBIRT model of care reflects clinician staff time constraints and resource limitations and is designed for the high rates of prevalence and increased acuity typical of ED patients. This report tracks services provided during dissemination of the ED-SBIRT extender model to seven EDs across a northeastern state, in urban, suburban, and rural community settings. Twelve health promotion advocates (HPAs) were hired, trained, and integrated into seven ED teams. Over an 18-month start-up period, HPAs screened 15,383 patients; of those, 4,899 were positive for high risk or dependent drinking and/or drug use. Among the positive screens, 4,035 (82%) received a brief intervention, and 57% of all positives were referred to the substance abuse treatment system and other community resources. Standardized, confidential interviews were conducted by two interviewers external to the program with 24 informants, including HPAs and their supervisors, clinicians, nurse managers, and ED directors across five sites. A detailed semistructured format was followed, and results were coded for thematic material. Barriers, challenges, and successes are described in the respondents' own words to convey their experience of this demonstration of SBIRT knowledge translation. Five of seven sites were sustained through the second year of the program, despite cutbacks in state funding. The dissemination process provided a number of important lessons for a large rollout. Successful implementation of the ED-SBIRT HPA model depends on 1) external funding for start-up; 2) local ED staff acting as champions to support the HPA role, resolve territorial issues, and promote a cultural shift in the ED treatment of drug and alcohol misuse from "treat and street" to prevention, based on a knowledge of the science of addiction; 3) sustainability planning from the beginning involving administrators, the billing and information technology departments, medical records coders, community service providers, and government agencies; and 4) creation and maintenance of a robust referral network to facilitate patient acceptance and access to substance abuse services.</t>
  </si>
  <si>
    <t>J2: Acad Emerg Med; Bernstein, Edward Topp, Deric Shaw, Emily Girard, Carol Pressman, Karen Woolcock, Ebonie Bernstein, Judith; ID: 595</t>
  </si>
  <si>
    <t>1553-2712</t>
  </si>
  <si>
    <t>Bernstein, Edward. Boston University School of Medicine, Boston, MA, USA. ebernste@bu.edu</t>
  </si>
  <si>
    <t>http://ovidsp.ovid.com/ovidweb.cgi?T=JS&amp;CSC=Y&amp;NEWS=N&amp;PAGE=fulltext&amp;D=med6&amp;AN=20053242</t>
  </si>
  <si>
    <t>https://dx.doi.org/10.1111/j.1553-2712.2009.00516.x</t>
  </si>
  <si>
    <t>MEDLINE; Ovid Technologies; A preliminary report of knowledge translation: lessons from taking screening and brief intervention techniques from the research setting into regional systems of care</t>
  </si>
  <si>
    <t>Berridge,V.</t>
  </si>
  <si>
    <t>'Atlantic crossings' and networks in science and medicine</t>
  </si>
  <si>
    <t>Addiction</t>
  </si>
  <si>
    <t>*Alcoholism/hi History];Cross-Cultural Comparison;History, 20th Century;Humans;*International Educational Exchange/hi History];Interprofessional Relations;Psychiatry/hi History];United States</t>
  </si>
  <si>
    <t>J2: Addiction; Berridge, Virginia Comment on: Addiction. 2008 Dec;103(12):1939-47; PMID: 18727683; ID: 621</t>
  </si>
  <si>
    <t>1360-0443</t>
  </si>
  <si>
    <t>Berridge, Virginia. Centre for History in Public Health, LSHTM, London, WC1E 7HT, UK. virginia.berridge@lshtm.ac.uk</t>
  </si>
  <si>
    <t>http://ovidsp.ovid.com/ovidweb.cgi?T=JS&amp;CSC=Y&amp;NEWS=N&amp;PAGE=fulltext&amp;D=med6&amp;AN=19469735</t>
  </si>
  <si>
    <t>https://dx.doi.org/10.1111/j.1360-0443.2008.02406.x</t>
  </si>
  <si>
    <t>MEDLINE; Ovid Technologies; 'Atlantic crossings' and networks in science and medicine</t>
  </si>
  <si>
    <t>Bertschy,G.</t>
  </si>
  <si>
    <t>Sensitization and training of physicians in the field of drug addiction: the example of a program in Vaud]</t>
  </si>
  <si>
    <t>Schweizerische Rundschau fur Medizin Praxis</t>
  </si>
  <si>
    <t>*Education, Medical, Continuing;*Family Practice/ed Education];Humans;*Internal Medicine/ed Education];Program Evaluation;*Substance-Related Disorders/th Therapy];Switzerland</t>
  </si>
  <si>
    <t>In the canton of Vaud general practitioners and internists from the private sector play a great role in the care for addict patients. Their interventions may also contribute to a decrease of risk factors as they work with families, children and adolescents. To help them to do better and in order to have more collaborators in this field, the University Department of Adult Psychiatry of Lausanne and the Department of Public Health of Vaud have developed a two-year program: the Program of Prevention and Physicians Postgraduate Training in the field of Addiction. The paper presents the different ways of interventions being selected, the first result concerning the program's activities, including a few remarks, and the role of the general practitioner.</t>
  </si>
  <si>
    <t>J2: Schweiz Rundsch Med Prax; German Bertschy, G; OP: Sensibiliser et former les medecins dans le domaine des toxicomanies: l'exemple d'un programme vaudois; ID: 1215</t>
  </si>
  <si>
    <t>1013-2058</t>
  </si>
  <si>
    <t>Bertschy, G. Departement universitaire de psychiatrie adulte (DUPA), Lausanne.</t>
  </si>
  <si>
    <t>http://ovidsp.ovid.com/ovidweb.cgi?T=JS&amp;CSC=Y&amp;NEWS=N&amp;PAGE=fulltext&amp;D=med3&amp;AN=7939044</t>
  </si>
  <si>
    <t>MEDLINE; Ovid Technologies; [Sensitization and training of physicians in the field of drug addiction: the example of a program in Vaud]</t>
  </si>
  <si>
    <t>Program of "Prevention and improvement of physicians in the field of drug addiction" (PPMT program)]</t>
  </si>
  <si>
    <t>Revue medicale de la Suisse romande</t>
  </si>
  <si>
    <t>Rev.Med.Suisse Romande</t>
  </si>
  <si>
    <t>*Education, Medical, Continuing;Humans;*Substance-Related Disorders;Switzerland;*Teaching/mt Methods]</t>
  </si>
  <si>
    <t>J2: Rev Med Suisse Romande; French Bertschy, G; OP: Le programme "prevention et perfectionnement des medecins dans le domaine de la toxicomanie" (programme PPMT); ID: 1252</t>
  </si>
  <si>
    <t>0035-3655</t>
  </si>
  <si>
    <t>Bertschy, G. Departement universitaire psychiatrie adulte, Site de Cery, Prilly.</t>
  </si>
  <si>
    <t>http://ovidsp.ovid.com/ovidweb.cgi?T=JS&amp;CSC=Y&amp;NEWS=N&amp;PAGE=fulltext&amp;D=med3&amp;AN=8316726</t>
  </si>
  <si>
    <t>MEDLINE; Ovid Technologies; [Program of "Prevention and improvement of physicians in the field of drug addiction" (PPMT program)]</t>
  </si>
  <si>
    <t>Besteman,K. J.</t>
  </si>
  <si>
    <t>Training in drug addiction control]</t>
  </si>
  <si>
    <t>Bulletin de la Societe des sciences medicales du Grand-Duche de Luxembourg</t>
  </si>
  <si>
    <t>Bull.Soc.Sci.Med.Grand.Duche.Luxemb.</t>
  </si>
  <si>
    <t>*Education, Medical;*Health Education;Humans;*Substance-Related Disorders/pc Prevention &amp; Control];United States</t>
  </si>
  <si>
    <t>J2: Bull Soc Sci Med Grand Duche Luxemb; French Besteman, K J; OP: Formation pour le controle des toxicomanes; ID: 1582</t>
  </si>
  <si>
    <t>0037-9247</t>
  </si>
  <si>
    <t>http://ovidsp.ovid.com/ovidweb.cgi?T=JS&amp;CSC=Y&amp;NEWS=N&amp;PAGE=fulltext&amp;D=med1&amp;AN=5056097</t>
  </si>
  <si>
    <t>MEDLINE; Ovid Technologies; [Training in drug addiction control]</t>
  </si>
  <si>
    <t>Beyeler,Y.</t>
  </si>
  <si>
    <t>A physician, his patients and alcohol. Forty years of training]</t>
  </si>
  <si>
    <t>Revue Medicale Suisse</t>
  </si>
  <si>
    <t>Age Factors;Aged;*Alcoholism/hi History];Alcoholism/px Psychology];Alcoholism/th Therapy];Depressive Disorder/hi History];Depressive Disorder/px Psychology];Depressive Disorder/th Therapy];*Education, Medical, Continuing;Female;Geriatric Assessment/hi History];History, 20th Century;History, 21st Century;Humans;Male;*Physician-Patient Relations</t>
  </si>
  <si>
    <t>J2: Rev Med Suisse; French Beyeler, Yves; OP: Un medecin, ses patients et l'alcool; ID: 243</t>
  </si>
  <si>
    <t>1660-9379</t>
  </si>
  <si>
    <t>http://ovidsp.ovid.com/ovidweb.cgi?T=JS&amp;CSC=Y&amp;NEWS=N&amp;PAGE=fulltext&amp;D=med8&amp;AN=25845176</t>
  </si>
  <si>
    <t>MEDLINE; Ovid Technologies; [A physician, his patients and alcohol. Forty years of training]</t>
  </si>
  <si>
    <t>Bharati,D. R.;Pal,R.;Rekha,R.;Yamuna,T. V.</t>
  </si>
  <si>
    <t>Evaluation of the burden of type 2 diabetes mellitus in population of Puducherry, South India</t>
  </si>
  <si>
    <t>Diabetes &amp; Metabolic Syndrome</t>
  </si>
  <si>
    <t>Jan-Mar</t>
  </si>
  <si>
    <t>Adult;Aged;Cross-Sectional Studies;Diabetes Mellitus, Type 2/bl Blood];*Diabetes Mellitus, Type 2/di Diagnosis];*Diabetes Mellitus, Type 2/ep Epidemiology];Female;Humans;India/ep Epidemiology];Male;Middle Aged;*Population Surveillance/mt Methods];Risk Factors</t>
  </si>
  <si>
    <t>AIMS: To find out the prevalence of undiagnosed diabetes mellitus and the correlates among the adult population of Puducherry, South India. METHODS: In this population based cross-sectional study in the rural and urban field practice area of Mahatma Gandhi Medical College and Research Institute, Puducherry, by simple random sampling 1013 adults of 30 years and above, not on anti-diabetics drugs were included. Main outcome measures were the prevalence and correlates of undiagnosed diabetes mellitus among the adult population. Pre-designed and pre-tested questionnaire was used to elicit the information on family and individual socio-demographic variables. Height, weight, waist and hip circumference, blood pressure were measured and venous blood was collected to measure fasting blood glucose and blood cholesterol. RESULTS: Overall, 10.3% study subjects were diagnosed as diabetic. In univariate analysis age, dilatory habit, tobacco addiction, body mass index, waist hip ratio, hypertension, and total blood cholesterol were found statistically significant. In multivariate logistic regression (LR method) analysis age, residence, education, dietary habit, tobacco addiction, body mass index, waist hip ratio and total blood cholesterol were statistically significant. CONCLUSIONS: In our study adults having increased age, urban residence, illiterate, non-vegetarian diet, tobacco addiction, obese and high total blood cholesterol were important correlates.</t>
  </si>
  <si>
    <t>J2: Diabetes Metab Syndr; Bharati, D R Pal, Ranabir Rekha, R Yamuna, T V; ID: 355</t>
  </si>
  <si>
    <t>1878-0334</t>
  </si>
  <si>
    <t>Bharati, D R. Department of Community Medicine, Mahatma Gandhi Medical College and Research Institute, Pondy-Cuddalore Main Road, Pillayarkuppam, Puducherry - 607402, India.</t>
  </si>
  <si>
    <t>http://ovidsp.ovid.com/ovidweb.cgi?T=JS&amp;CSC=Y&amp;NEWS=N&amp;PAGE=fulltext&amp;D=med7&amp;AN=22814835</t>
  </si>
  <si>
    <t>https://dx.doi.org/10.1016/j.dsx.2010.05.008</t>
  </si>
  <si>
    <t>MEDLINE; Ovid Technologies; Evaluation of the burden of type 2 diabetes mellitus in population of Puducherry, South India</t>
  </si>
  <si>
    <t>Bhatraju,E. P.;Chang,A.;Taff,J.;Hanley,K.</t>
  </si>
  <si>
    <t>Revising residents' addiction experience: a 1-week intensive course</t>
  </si>
  <si>
    <t>Clinical Competence;Curriculum;Education, Medical, Graduate;*Health Knowledge, Attitudes, Practice;Humans;Internal Medicine;*Internship and Residency;Primary Health Care;*Problem-Based Learning;*Substance-Related Disorders/th Therapy]</t>
  </si>
  <si>
    <t>J2: Med Educ; Bhatraju, Elenore Patterson Chang, Andrew Taff, Jessica Hanley, Kathleen; ID: 71</t>
  </si>
  <si>
    <t>1365-2923</t>
  </si>
  <si>
    <t>Hanley, Kathleen. kathleen.hanley@nyumc.org.</t>
  </si>
  <si>
    <t>http://ovidsp.ovid.com/ovidweb.cgi?T=JS&amp;CSC=Y&amp;NEWS=N&amp;PAGE=fulltext&amp;D=med8&amp;AN=27762005</t>
  </si>
  <si>
    <t>https://dx.doi.org/10.1111/medu.13182</t>
  </si>
  <si>
    <t>MEDLINE; Ovid Technologies; Revising residents' addiction experience: a 1-week intensive course</t>
  </si>
  <si>
    <t>Bielawska,A.;Kmieciak,M.;Jedrasiak,L.;Walkowiak,I.;Baczyk,G.</t>
  </si>
  <si>
    <t>The phenomenon of spreading smoking cigarettes among the first year course students in the Medical Academy]</t>
  </si>
  <si>
    <t>Adolescent;Adult;Age Distribution;Attitude of Health Personnel;Behavior, Addictive/ep Epidemiology];Comorbidity;Female;*Health Knowledge, Attitudes, Practice;Humans;Male;Poland/ep Epidemiology];Prevalence;Risk Factors;Sex Distribution;*Smoking/ep Epidemiology];Smoking Cessation/sn Statistics &amp; Numerical Data];Smoking Prevention;*Students, Medical/sn Statistics &amp; Numerical Data];Surveys and Questionnaires;*Tobacco Smoke Pollution/an Analysis];*Tobacco Use Disorder/ep Epidemiology];Tobacco Use Disorder/pc Prevention &amp; Control];0 (Tobacco Smoke Pollution)</t>
  </si>
  <si>
    <t>The World Health Organization declared the addiction of tobacco smoking as a separate disease unit requiring adequate recognition and treatment. In the International Classification of Diseases, it has been registered with F17 as mental and behavioral disorders caused by tobacco smoking. As some research shows, an estimated 4 million people die every year (about 11 thousand a day), because of smoking-related illnesses and the number has been expected to rise until 10 million in 2030. The health service workers such as nurses and midwives play a huge part in establishing pro-health attitudes. They are expected to participate in campaigns promoting a tobacco-free lifestyle. It is important that the persons mentioned were non-smokers, otherwise the information regarding the negative effects will be unconvincing. The main goal of the study was to estimate the phenomenon of spreading smoking cigarettes among the first year course students in the Medical Academy, and accomplishing their knowledge and awareness about threats resulting from tobacco smoking. All information was collected from the poll questionnaire, which was filled in by each person independently. The group (n = 100) consisted of 50 interviewed females (n = 50) and 50 interviewed males (n = 50) at the age between 18 and 20. The poll questions were carried among the first year course students in the Medical Academy, in May and June 2006. They were guaranteed anonymity. The results subdued to statistic analysis showed no statistic dependence between the gender of the interviewed and tobacco smoking. The basic study questions referred to the number of young people who have already experienced smoking, and to the intensity degree of the experience. The study aimed also in identifying factors influencing the popularity of the phenomenon in question. The research touched such questions as conviction about damage caused by smoking, the source of information, causes and effects of smoking, about the environment of the interviewed people (family members, friends--whether they are smokers or non-smokers). Other questions concerned the time of the first experience with smoking- whether it was childhood, puberty or adolescence time, the interviewee's smoking preventive activities in their future work place and their opinion about themselves as non-smokers. All the questions were subdued to quantitative measurement due to estimation of all interviewed population.</t>
  </si>
  <si>
    <t>J2: Przegl Lek; Polish Bielawska, Anna Kmieciak, Monika Jedrasiak, Lidia Walkowiak, Iwona Baczyk, Grazyna; OP: Rozpowszechnienie palenia papierosow wsrod studentow I roku Akademii Medycznej; ID: 778</t>
  </si>
  <si>
    <t>Bielawska, Anna. Pracownia Praktyki Pielegniarskiej, Katedra Pielegniarstwa, Akademia Medyczna w Poznaniu.</t>
  </si>
  <si>
    <t>http://ovidsp.ovid.com/ovidweb.cgi?T=JS&amp;CSC=Y&amp;NEWS=N&amp;PAGE=fulltext&amp;D=med5&amp;AN=17288209</t>
  </si>
  <si>
    <t>MEDLINE; Ovid Technologies; [The phenomenon of spreading smoking cigarettes among the first year course students in the Medical Academy]</t>
  </si>
  <si>
    <t>Bielska,D.;Kurpas,D.;Oltarzewska,A.;Piotrowska-Depta,M.;Gomolka,E.;Wojtal,M.;Florek,E.</t>
  </si>
  <si>
    <t>Patterns of drinking alcohol tobacco smoking among 6th year students of the faculty of medicine in Bialstok]</t>
  </si>
  <si>
    <t>Adult;*Alcohol Drinking/ep Epidemiology];*Alcoholic Intoxication/ep Epidemiology];Alcoholism/ep Epidemiology];Behavior, Addictive/ep Epidemiology];Female;*Health Knowledge, Attitudes, Practice;Humans;Incidence;Male;Poland/ep Epidemiology];Population Surveillance;*Smoking/ep Epidemiology];*Students, Medical/sn Statistics &amp; Numerical Data];Surveys and Questionnaires</t>
  </si>
  <si>
    <t>INTRODUCTION: Alcohol and tobacco are legal, easily available addictive substances. There are no universal criteria of safe alcohol consumption but some scientific studies have allowed for determination of consumption levels helpful in evaluation of the pattern of drinking and evoking readiness to limit the amount of consumed alcohol. THE AIM: The aim of the work was to evaluate and compare the knowledge of 6th year students of the Faculty of Medicine of the Medical University of Biatystok in the academic years 2011/12 and 2012/13 concerning the effects of alcohol abuse, as well as to determine their drinking patterns and tobacco smoking structure. MATERIALS AND METHODS: The study material was collected by means of anonymous voluntary surveys carried out before classes concerning the issues of addictions within the framework of family medicine subject block. RESULTS: 356 students took part in the study: 226 (63.5%) women and 130 (36.5%) men (p&lt;0.000). 4.86% of the respondents displayed a high level of knowledge on the harmfulness of alcohol abuse; 63.43% had an average level of knowledge and 31.71% - a low one. 51,32% women and 62,3% men drank alcohol in a hazardous way. A relation was found between a low level of knowledge and the amount of alcohol consumed on a typical drinking day (rS=-0.15, p=0.03) as well as between a low level of knowledge and hazardous drinking (rS=-0.13, p=0.03). Among the respondents, 18,58% women and 14,63% men smoked cigarettes regularly. Those who are 6th year students in the academic year 2012/13 usually had started smoking within the first three years of study at the Medical University and drank greater amounts of alcohol on a typical drinking day than students surveyed in the 2011/12 year. A correlation was found between tobacco smoking and a greater frequency of getting drunk occasionally (rS=-0.18, p=0.002) among students of both years. CONCLUSION: Insufficient knowledge on the effects of alcohol abuse and smoking coexist with a higher risk of drinking alcohol.</t>
  </si>
  <si>
    <t>J2: Przegl Lek; Polish Bielska, Dorota Kurpas, Donata Oltarzewska, Alicja Piotrowska-Depta, Maria Gomolka, Ewa Wojtal, Mariola Florek, Ewa; OP: Wzorce picia alkoholu i palenie tytoniu wsrod studentow VI roku Wydzialu Lekarskiego Uniwersytetu Medycznego w Bialymstoku; ID: 253</t>
  </si>
  <si>
    <t>http://ovidsp.ovid.com/ovidweb.cgi?T=JS&amp;CSC=Y&amp;NEWS=N&amp;PAGE=fulltext&amp;D=med8&amp;AN=25799852</t>
  </si>
  <si>
    <t>MEDLINE; Ovid Technologies; [Patterns of drinking alcohol tobacco smoking among 6th year students of the faculty of medicine in Bialstok]</t>
  </si>
  <si>
    <t>Bielska,D.;Litwiejko,A.;Trofimiuk,E.</t>
  </si>
  <si>
    <t>The attitude of sixth year students of the Faculty of Medicine towards the problem of addiction to nicotine]</t>
  </si>
  <si>
    <t>Adult;*Attitude to Health;Curriculum;Education, Medical;Female;Humans;Male;Patient Education as Topic;*Students, Medical;Surveys and Questionnaires;*Tobacco Use Disorder/pc Prevention &amp; Control]</t>
  </si>
  <si>
    <t>According to the guidelines of the National Health Program, assumed by the Polish Ministry of Health for the years 1996 - 2005, it could be expected that, particularly at medical universities, education of future doctors in the field of problems connected to addiction to nicotine is taken into consideration. However, the research conducted in the form of anonymous survey among the sixth year students of the Faculty of Medicine at the Medical University of Bialystok in the academic years 2001/2002 and 2004/2005 does not corroborate those expectations. The survey proves that the future graduates' knowledge of the aforementioned topic is fragmentary and confirms the necessity of including that issue in the educational curriculum in the area of family medicine.</t>
  </si>
  <si>
    <t>J2: Przegl Lek; Polish Bielska, Dorota Litwiejko, Alicja Trofimiuk, Emil; OP: Postawa studentow VI roku wydzialu lekarskiego wobec problemu nikotynizmu; ID: 825</t>
  </si>
  <si>
    <t>Bielska, Dorota. Zaklad Medycyny Rodzinnej i Pielegniarstwa Srodowiskowego Akademii Medycznej w Bialymstoku. d.bielska1@wp.pl</t>
  </si>
  <si>
    <t>http://ovidsp.ovid.com/ovidweb.cgi?T=JS&amp;CSC=Y&amp;NEWS=N&amp;PAGE=fulltext&amp;D=med5&amp;AN=16521968</t>
  </si>
  <si>
    <t>MEDLINE; Ovid Technologies; [The attitude of sixth year students of the Faculty of Medicine towards the problem of addiction to nicotine]</t>
  </si>
  <si>
    <t>Bielska,D.;Litwiejko,A.;Trofimiuk,E.;Kurpas,D.</t>
  </si>
  <si>
    <t>Students of the Faculty of Medicine and of the Division of Public Health of Medical University of Bialystok towards nicotine addiction against the background of the National Health Program in Poland]</t>
  </si>
  <si>
    <t>Adult;*Attitude to Health;Female;Humans;Male;*National Health Programs;*Nicotine/ae Adverse Effects];Poland;Smoking Cessation;Smoking Prevention;*Students, Medical;*Students, Public Health;Substance-Related Disorders;Surveys and Questionnaires;Tobacco Smoke Pollution/pc Prevention &amp; Control];*Tobacco Use Disorder;0 (Tobacco Smoke Pollution);6M3C89ZY6R (Nicotine)</t>
  </si>
  <si>
    <t>In the years 1998-2005 in Poland a National Health Program was being implemented. One of its chief guidelines was to reduce the popularity of tobacco smoking, recognised as a proven, single factor influencing the etiology and the course of many diseases. The objective of the work was to establish whether the program's guidelines were reflected in individual attitudes of senior students of the Faculty of Medicine and of the Division of Public Health of Medical University of Bialystok. The research was conducted with the use of an anonymous questionnaire, filled in by the students before the classes dedicated to the issues of nicotine addiction within the framework of the family medicine thematic block. The analysis of the results did not show a decrease in the number of student smokers in comparison to the previous years; however, it was observed that more than a half of the current smokers had tried and was going to try to give up smoking, and the non-smokers strongly objected to passive smoking.</t>
  </si>
  <si>
    <t>J2: Przegl Lek; Polish Bielska, Dorota Litwiejko, Alicja Trofimiuk, Emil Kurpas, Donata; OP: Studenci Wydzialow Lekarskiego i Zdrowia Publicznego AM w Bialymstoku wobec nikotynizmu na tle Narodowego Programu Zdrowia w Polsce; ID: 697</t>
  </si>
  <si>
    <t>Bielska, Dorota. Zaklad Medycyny Rodzinnej i Pielegniarstwa Srodowiskowego, Akademii Medycznej w Bialymstoku. d.bielska1@wp.pl</t>
  </si>
  <si>
    <t>http://ovidsp.ovid.com/ovidweb.cgi?T=JS&amp;CSC=Y&amp;NEWS=N&amp;PAGE=fulltext&amp;D=med5&amp;AN=18409307</t>
  </si>
  <si>
    <t>MEDLINE; Ovid Technologies; [Students of the Faculty of Medicine and of the Division of Public Health of Medical University of Bialystok towards nicotine addiction against the background of the National Health Program in Poland]</t>
  </si>
  <si>
    <t>Bielska,D.;Trofimiuk,E.;Kurpas,D.;Wojtal,M.</t>
  </si>
  <si>
    <t>Practical anti-tobacco intervention in education ability of undergraduates of medical faculty]</t>
  </si>
  <si>
    <t>Adult;*Education, Medical/mt Methods];Female;*Health Knowledge, Attitudes, Practice;Humans;Male;Poland/ep Epidemiology];Population Surveillance;Prevalence;*Schools, Medical/sn Statistics &amp; Numerical Data];*Smoking/ep Epidemiology];*Smoking Cessation/mt Methods];*Smoking Prevention;*Students/sn Statistics &amp; Numerical Data];Young Adult</t>
  </si>
  <si>
    <t>Minimal anti-tobacco intervention (MIA) is an efficient and inexpensive method of smoking cessation intervention. The ability for practical use of MIA could be acquired by a majority of physicians-practitioners in Poland and other European Union countries. The objective of the work was to establish a practical knowledge in the scope of anti-tobacco strategies of senior students of the Medical Faculty of the Medical University of Bialystok after six-year education. We also assessed the prevalence of tobacco smoking among students of Medical Faculty. The percentage of tobacco smokers between the last course students of Medical Faculty average at 15% of women and 29% of men. Only 3 of all woman and half of men think they could effectively help in smoking cessation, but most of the assessed students have not acquired sufficient knowledge for an anti-tobacco intervention as well as they don't know practical tools like Fagerstom Test for Nicotine Dependence or Schneider's Smoker Complaint Scale.</t>
  </si>
  <si>
    <t>J2: Przegl Lek; Polish Bielska, Dorota Trofimiuk, Emil Kurpas, Donata Wojtal, Mariola; OP: Praktyczna interwencja antytytoniowa w edukacji studentow medycyny; ID: 576</t>
  </si>
  <si>
    <t>Bielska, Dorota. Zaklad Medycyny Rodzinnej i Pielegniarstwa Srodowiskowego, Uniwersytet Medyczny, Bialystok. d.bielska1@wp.pl</t>
  </si>
  <si>
    <t>http://ovidsp.ovid.com/ovidweb.cgi?T=JS&amp;CSC=Y&amp;NEWS=N&amp;PAGE=fulltext&amp;D=med6&amp;AN=20301944</t>
  </si>
  <si>
    <t>MEDLINE; Ovid Technologies; [Practical anti-tobacco intervention in education ability of undergraduates of medical faculty]</t>
  </si>
  <si>
    <t>Biem,H. J.;Turnell,R. W.;D'Arcy,C.</t>
  </si>
  <si>
    <t>Computer telephony: automated calls for medical care</t>
  </si>
  <si>
    <t>Clinical &amp; Investigative Medicine - Medecine Clinique et Experimentale</t>
  </si>
  <si>
    <t>Automation;*Computers;*Delivery of Health Care/mt Methods];Humans;Preventive Health Services/mt Methods];Randomized Controlled Trials as Topic;Registries;*Telephone/is Instrumentation];User-Computer Interface;Voice</t>
  </si>
  <si>
    <t>BACKGROUND: The computer telephony system (CTS) combines computer and telephone to automate the collection, processing and dissemination of information. Many innovative applications of the CTS have emerged. In this article we summarize the evidence for CTS-based medical interventions based on randomized controlled trials. METHODS: We searched for trials in MEDLINE, CINAHL, the Cochrane Central Register of Controlled Trials, and bibliographies of retrieved articles, review articles and textbooks. We excluded non-English articles and those pertaining to psychology, addiction, psychiatry, research and education. RESULTS: In health care delivery, 3 of 4 trials of CTS-based interventions improved clinic show rates. In preventive health care, 4 of 5 showed higher childhood immunization rates. For nutrition, 2 small trials showed no clear benefit in cholesterol lowering or in weight reduction, but 1 trial showed a benefit in fibre intake. For increasing physical activity, 1 smaller trial showed no benefit but a larger one did. For medical management of chronic conditions, 1 trial showed improved hemoglobin A(1c) levels and 1 trial showed better processes of care in diabetes. In hypertension management, 1 trial found better adherence to medication regimens and control of blood pressure. In outpatient oncology care, 1 trial showed better supportive care. For support of caregivers for dementia patients, 1 trial showed no benefit. One small trial showed better adherence to medication in seniors. CONCLUSIONS: The CTS has diverse applications in medical care; however, the evidence for these is limited. Despite being impersonal, the reliability and availability of the CTS make it attractive for reminders and follow-up. More research is needed to determine the role of the CTS in medical care.</t>
  </si>
  <si>
    <t>J2: Clin Invest Med; Biem, H Jay Turnell, Roger W D'Arcy, Carl; ID: 903</t>
  </si>
  <si>
    <t>0147-958X</t>
  </si>
  <si>
    <t>Biem, H Jay. Division of General Internal Medicine, Department of Medicine, University of Saskatchewan, Saskatoon, Sask. biem@skyway.usask.ca</t>
  </si>
  <si>
    <t>http://ovidsp.ovid.com/ovidweb.cgi?T=JS&amp;CSC=Y&amp;NEWS=N&amp;PAGE=fulltext&amp;D=med4&amp;AN=14596488</t>
  </si>
  <si>
    <t>MEDLINE; Ovid Technologies; Computer telephony: automated calls for medical care</t>
  </si>
  <si>
    <t>Biener,K.</t>
  </si>
  <si>
    <t>Achievement sport, recreational drug use and preventive medicine]</t>
  </si>
  <si>
    <t>*Alcohol Drinking;Germany, West;Humans;Physical Endurance/de Drug Effects];*Smoking Prevention;*Sports;*Substance-Related Disorders/pc Prevention &amp; Control]</t>
  </si>
  <si>
    <t>J2: MMW Munch Med Wochenschr; German Biener, K; OP: Leistungssport, Genussmittelkonsum und Praventivmedizin; ID: 1489</t>
  </si>
  <si>
    <t>http://ovidsp.ovid.com/ovidweb.cgi?T=JS&amp;CSC=Y&amp;NEWS=N&amp;PAGE=fulltext&amp;D=med2&amp;AN=6817131</t>
  </si>
  <si>
    <t>MEDLINE; Ovid Technologies; [Achievement sport, recreational drug use and preventive medicine]</t>
  </si>
  <si>
    <t>Intervention study aimed at influencing youngsters in the use of stimulants and drugs with special reference to preventive sport medicine]</t>
  </si>
  <si>
    <t>Schweizerische Medizinische Wochenschrift.Journal Suisse de Medecine</t>
  </si>
  <si>
    <t>Adolescent;Adult;Age Factors;*Alcohol Drinking;Health Education;Health Surveys;Hobbies;Humans;International Cooperation;School Health Services;*Smoking Prevention;*Sports Medicine;*Substance-Related Disorders/pc Prevention &amp; Control];Switzerland</t>
  </si>
  <si>
    <t>J2: Schweiz Med Wochenschr; German Biener, K; OP: Interventionsstudie zur Beeinflussbarkeit Jugendlicher im Genussmittel- und Drogenkonsum unter besonderer Berucksichtigung der praventiven Sportmedizin; ID: 1567</t>
  </si>
  <si>
    <t>0036-7672</t>
  </si>
  <si>
    <t>http://ovidsp.ovid.com/ovidweb.cgi?T=JS&amp;CSC=Y&amp;NEWS=N&amp;PAGE=fulltext&amp;D=med1&amp;AN=4831000</t>
  </si>
  <si>
    <t>MEDLINE; Ovid Technologies; [Intervention study aimed at influencing youngsters in the use of stimulants and drugs with special reference to preventive sport medicine]</t>
  </si>
  <si>
    <t>Bigby,J.</t>
  </si>
  <si>
    <t>Substance abuse education during internal medicine training</t>
  </si>
  <si>
    <t>*Education, Medical;Humans;*Internal Medicine/ed Education];*Substance-Related Disorders;United States</t>
  </si>
  <si>
    <t>J2: J Gen Intern Med; Bigby, J; ID: 1397</t>
  </si>
  <si>
    <t>Bigby, J. Department of Medicine, Brigham and Women's Hospital, Boston, MA 02115.</t>
  </si>
  <si>
    <t>http://ovidsp.ovid.com/ovidweb.cgi?T=JS&amp;CSC=Y&amp;NEWS=N&amp;PAGE=fulltext&amp;D=med3&amp;AN=2915278</t>
  </si>
  <si>
    <t>MEDLINE; Ovid Technologies; Substance abuse education during internal medicine training</t>
  </si>
  <si>
    <t>Bigby,J.;Barnes,H. N.</t>
  </si>
  <si>
    <t>Evaluation of a faculty development program in substance abuse education</t>
  </si>
  <si>
    <t>*Alcoholism;Clinical Competence;*Education, Medical, Continuing;*Faculty, Medical;Female;Health Knowledge, Attitudes, Practice;Humans;*Internal Medicine/ed Education];Male;*Substance-Related Disorders;Teaching</t>
  </si>
  <si>
    <t>OBJECTIVE: To determine whether a faculty development program was effective in increasing clinical skills and the amount of substance abuse teaching of individual general medical faculty. DESIGN: Program participants were evaluated with a structured assessment before and several months after participating in a faculty development program in substance abuse education. PARTICIPANTS: Eighty percent were general internal medicine faculty, who on average devoted 25% of their time to teaching. The remainder of the participants were family medicine, psychiatry, or other internal medicine faculty and nonphysician teachers. INTERVENTION: The participants attended a learner-centered, largely experiential faculty development program in substance abuse education to improve their clinical and teaching skills relevant to substance abuse among patients in the general medical setting. MEASUREMENTS AND MAIN RESULTS: Eighty-six percent of the participants completed the evaluation. The participants reported increased confidence in their clinical skills in recognizing substance abuse, presenting the problem to the patient, and referring the patient for treatment. The participants also reported improved attitudes toward patients and increased teaching about the management of the primary problem of substance abuse, but not at the expense of teaching about medical complications. CONCLUSIONS: Clinically oriented, interactive faculty development courses in substance abuse education can contribute to increased confidence in clinical skills in substance abuse as well as teaching about substance abuse.</t>
  </si>
  <si>
    <t>J2: J Gen Intern Med; Bigby, J Barnes, H N; ID: 1251</t>
  </si>
  <si>
    <t>Bigby, J. Department of Medicine, Harvard Medical School, Boston, MA.</t>
  </si>
  <si>
    <t>http://ovidsp.ovid.com/ovidweb.cgi?T=JS&amp;CSC=Y&amp;NEWS=N&amp;PAGE=fulltext&amp;D=med3&amp;AN=8320573</t>
  </si>
  <si>
    <t>MEDLINE; Ovid Technologies; Evaluation of a faculty development program in substance abuse education</t>
  </si>
  <si>
    <t>Billups,D.;Shorter,D.</t>
  </si>
  <si>
    <t>Needs assessment survey of addictions training in general psychiatry residency</t>
  </si>
  <si>
    <t>Cross-Sectional Studies;Forecasting;Health Care Surveys;Humans;*Internship and Residency/ma Manpower];*Internship and Residency/td Trends];*Needs Assessment/td Trends];*Psychiatry/ed Education];*Psychiatry/ma Manpower];*Substance-Related Disorders/ep Epidemiology];*Substance-Related Disorders/rh Rehabilitation];United States</t>
  </si>
  <si>
    <t>J2: Am J Addict; Billups, Dana Shorter, Daryl; ID: 193</t>
  </si>
  <si>
    <t>Billups, Dana. Menninger Department of Psychiatry and Behavioral Sciences, Baylor College of Medicine, Houston, Texas.</t>
  </si>
  <si>
    <t>http://ovidsp.ovid.com/ovidweb.cgi?T=JS&amp;CSC=Y&amp;NEWS=N&amp;PAGE=fulltext&amp;D=med8&amp;AN=25809494</t>
  </si>
  <si>
    <t>https://dx.doi.org/10.1111/ajad.12211</t>
  </si>
  <si>
    <t>MEDLINE; Ovid Technologies; Needs assessment survey of addictions training in general psychiatry residency</t>
  </si>
  <si>
    <t>Binder,P.</t>
  </si>
  <si>
    <t>From a certain viewpoint]</t>
  </si>
  <si>
    <t>Sante Publique (Vandoeuvre-Les-Nancey)</t>
  </si>
  <si>
    <t>Adolescent;Adult;*Alcoholism/pc Prevention &amp; Control];Education, Medical, Continuing/lj Legislation &amp; Jurisprudence];Ethanol/ae Adverse Effects];Female;Fetus/de Drug Effects];France;Humans;Male;Pregnancy;*Public Health/lj Legislation &amp; Jurisprudence];*Regional Medical Programs/lj Legislation &amp; Jurisprudence];Risk Factors;*Substance-Related Disorders/pc Prevention &amp; Control];3K9958V90M (Ethanol)</t>
  </si>
  <si>
    <t>J2: Sante Publique; French Binder, Philippe; OP: D'un certain point de vue; ID: 877</t>
  </si>
  <si>
    <t>0995-3914</t>
  </si>
  <si>
    <t>Binder, Philippe. Association Nationale GT.</t>
  </si>
  <si>
    <t>http://ovidsp.ovid.com/ovidweb.cgi?T=JS&amp;CSC=Y&amp;NEWS=N&amp;PAGE=fulltext&amp;D=med5&amp;AN=15768767</t>
  </si>
  <si>
    <t>MEDLINE; Ovid Technologies; [From a certain viewpoint]</t>
  </si>
  <si>
    <t>Binswanger,I. A.;Gordon,A. J.</t>
  </si>
  <si>
    <t>From risk reduction to implementation: Addressing the opioid epidemic and continued challenges to our field</t>
  </si>
  <si>
    <t>*Analgesics, Opioid/ae Adverse Effects];*Analgesics, Opioid/tu Therapeutic Use];*Drug Overdose/dt Drug Therapy];Drug Overdose/ep Epidemiology];Education, Medical;Humans;Naloxone/tu Therapeutic Use];Opioid-Related Disorders/di Diagnosis];*Opioid-Related Disorders/ep Epidemiology];Opioid-Related Disorders/pc Prevention &amp; Control];*Opioid-Related Disorders/th Therapy];Pain/dt Drug Therapy];*Risk Reduction Behavior;United States/ep Epidemiology];0 (Analgesics, Opioid);36B82AMQ7N (Naloxone)</t>
  </si>
  <si>
    <t>J2: Subst Abus; Binswanger, Ingrid A Gordon, Adam J Comment in: J Addict Med. 2016 May-Jun;10(3):210-1; PMID: 27223837; ID: 115</t>
  </si>
  <si>
    <t>Binswanger, Ingrid A. a Institute for Health Research, Kaiser Permanente Colorado , Denver , Colorado , USA. Binswanger, Ingrid A. b University of Colorado School of Medicine , Aurora , Colorado , USA. Gordon, Adam J. c University of Pittsburgh School of Medicine , Pittsburgh , Pennsylvania , USA. Gordon, Adam J. d VA Pittsburgh Healthcare System , Pittsburgh , Pennsylvania , USA.</t>
  </si>
  <si>
    <t>http://ovidsp.ovid.com/ovidweb.cgi?T=JS&amp;CSC=Y&amp;NEWS=N&amp;PAGE=fulltext&amp;D=med8&amp;AN=26820257</t>
  </si>
  <si>
    <t>https://dx.doi.org/10.1080/08897077.2015.1134152</t>
  </si>
  <si>
    <t>MEDLINE; Ovid Technologies; From risk reduction to implementation: Addressing the opioid epidemic and continued challenges to our field</t>
  </si>
  <si>
    <t>Binswanger,I. A.;Koester,S.;Mueller,S. R.;Gardner,E. M.;Goddard,K.;Glanz,J. M.</t>
  </si>
  <si>
    <t>Overdose Education and Naloxone for Patients Prescribed Opioids in Primary Care: A Qualitative Study of Primary Care Staff</t>
  </si>
  <si>
    <t>Adult;*Analgesics, Opioid/po Poisoning];Attitude of Health Personnel;Clinical Competence;Colorado;*Drug Overdose/dt Drug Therapy];Drug Overdose/et Etiology];Drug Prescriptions;Female;Focus Groups;Humans;Male;Middle Aged;*Naloxone/tu Therapeutic Use];*Narcotic Antagonists/tu Therapeutic Use];*Patient Education as Topic/mt Methods];Physicians, Primary Care/px Psychology];Primary Health Care/mt Methods];Qualitative Research;0 (Analgesics, Opioid);0 (Narcotic Antagonists);36B82AMQ7N (Naloxone)</t>
  </si>
  <si>
    <t>BACKGROUND: The rate of fatal unintentional pharmaceutical opioid poisonings has increased substantially since the late 1990s. Naloxone is an effective opioid antidote that can be prescribed to patients for bystander use in the event of an overdose. Primary care clinics represent settings in which large populations of patients prescribed opioids could be reached for overdose education and naloxone prescription. OBJECTIVE: Our aim was to investigate the knowledge, attitudes and beliefs about overdose education and naloxone prescription among clinical staff in primary care. DESIGN: This was a qualitative study using focus groups to elucidate both clinic-level and provider-level barriers and facilitators. SETTING: Ten primary care internal medicine, family medicine and infectious disease/HIV practices in three large Colorado health systems. METHODS: A focus group guide was developed based on behavioral theory. Focus group transcripts were coded for manifest and latent meaning, and analyzed for themes using a recursive approach that included inductive and deductive analysis. RESULTS: Themes emerged in four content areas related to overdose education and naloxone prescription: knowledge, barriers, benefits and facilitators. Clinical staff (N=56) demonstrated substantial knowledge gaps about naloxone and its use in outpatient settings. They expressed uncertainty about who to prescribe naloxone to, and identified a range of logistical barriers to its use in practice. Staff also described fears about offending patients and concerns about increased risk behaviors in patients prescribed naloxone. When considering naloxone, some providers reflected critically and with discomfort on their own opioid prescribing. These barriers were balanced by beliefs that prescribing naloxone could prevent death and result in safer opioid use behaviors. LIMITATIONS: Findings from these qualitative focus groups may not be generalizable to other settings. CONCLUSION: In addition to evidence gaps, logistical and attitudinal barriers will need to be addressed to enhance uptake of overdose education and naloxone prescription for patients prescribed opioids for pain.</t>
  </si>
  <si>
    <t>J2: J Gen Intern Med; Binswanger, Ingrid A Koester, Stephen Mueller, Shane R Gardner, Edward M Goddard, Kristin Glanz, Jason M Comment in: J Gen Intern Med. 2015 Dec;30(12):1855; PMID: 26286480; ID: 160</t>
  </si>
  <si>
    <t>Binswanger, Ingrid A. Institute for Health Research, Kaiser Permanente Colorado, P.O Box 378066, Denver, CO, 80237-8066, USA. Ingrid.A.B.inswanger@kp.org. Binswanger, Ingrid A. Division of General Internal Medicine, University of Colorado Denver School of Medicine, Aurora, CO, USA. Ingrid.A.B.inswanger@kp.org. Binswanger, Ingrid A. Denver Health and Hospital Authority, Denver, CO, USA. Ingrid.A.B.inswanger@kp.org. Koester, Stephen. Department of Anthropology, University of Colorado Denver, Denver, CO, USA. Koester, Stephen. Department of Health and Behavioral Sciences, University of Colorado Denver, Denver, CO, USA. Mueller, Shane R. Institute for Health Research, Kaiser Permanente Colorado, P.O Box 378066, Denver, CO, 80237-8066, USA. Mueller, Shane R. Division of General Internal Medicine, University of Colorado Denver School of Medicine, Aurora, CO, USA. Mueller, Shane R. Department of Health and Behavioral Sciences, University of Colorado Denver, Denver, CO, USA. Gardner, Edward M. Denver Health and Hospital Authority, Denver, CO, USA. Goddard, Kristin. Institute for Health Research, Kaiser Permanente Colorado, P.O Box 378066, Denver, CO, 80237-8066, USA. Glanz, Jason M. Institute for Health Research, Kaiser Permanente Colorado, P.O Box 378066, Denver, CO, 80237-8066, USA. Glanz, Jason M. Department of Epidemiology, Colorado School of Public Health, Aurora, CO, USA.</t>
  </si>
  <si>
    <t>http://ovidsp.ovid.com/ovidweb.cgi?T=JS&amp;CSC=Y&amp;NEWS=N&amp;PAGE=fulltext&amp;D=med8&amp;AN=26055224</t>
  </si>
  <si>
    <t>https://dx.doi.org/10.1007/s11606-015-3394-3</t>
  </si>
  <si>
    <t>MEDLINE; Ovid Technologies; Overdose Education and Naloxone for Patients Prescribed Opioids in Primary Care: A Qualitative Study of Primary Care Staff</t>
  </si>
  <si>
    <t>Black,L. F.;Monrouxe,L. V.</t>
  </si>
  <si>
    <t>'Being sick a lot, often on each other': students' alcohol-related provocation</t>
  </si>
  <si>
    <t>Adolescent;Adult;Alcohol Drinking/ae Adverse Effects];*Alcohol Drinking/ep Epidemiology];Alcohol Drinking/px Psychology];Binge Drinking/co Complications];*Binge Drinking/ep Epidemiology];Binge Drinking/px Psychology];*Coercion;Cross-Sectional Studies;Curriculum;Female;*Health Knowledge, Attitudes, Practice;Humans;Male;Peer Group;Qualitative Research;*Schools, Medical/sn Statistics &amp; Numerical Data];Students, Medical/px Psychology];*Students, Medical/sn Statistics &amp; Numerical Data];Surveys and Questionnaires;United Kingdom/ep Epidemiology];Vomiting/ci Chemically Induced];Vomiting/ep Epidemiology];Young Adult</t>
  </si>
  <si>
    <t>CONTEXT: Many medical students consume alcohol in excess, which can compromise their professionalism and increase their risk of future alcohol dependency. Just one study in Japan has examined the social influences of alcohol consumption among medical students. Eighty-six per cent (n = 821) of their respondents reported experiencing some form of alcohol-related harassment since the beginning of medical school. No similar research has been conducted in the UK. METHODS: A cross-sectional online questionnaire of medical students at three British medical schools. In total, 216 students answered questions regarding their experiences of alcohol-related provocation (as targets and instigators), the rate of occurrence of events and their distress following acts of provocation. An open-ended question enabled respondents to report personal experiences of alcohol-related provocation. RESULTS: Seventy-five per cent (n = 162) of respondents reported experiencing alcohol-related provocation during the past year, with 49.1% (n = 106) reporting instigating acts of provocation. The most prevalent experience (both for targets and instigators) was coercion to drink an entire alcoholic beverage at once as part of a game. Most acts of alcohol-related provocation generated little or no distress. Males were significantly more likely to experience some events than females. Thirty-two personal narratives of alcohol-related provocation were reported (only three reported resisting provocation). Thematic analysis identified three themes with differing power relations: ongoing 'peer-peer provocation' as a commonplace social activity, hierarchical 'peer provocation' at initiation ceremonies and 'team-mate provocation' at sports socials as bonding exercises. The tone of the narratives depended on the context in which the events described occurred. CONCLUSIONS: Alcohol-related provocation occurs among some UK medical students and may present professionalism issues to medical students. Medical schools may wish to integrate more teaching regarding behaviour around alcohol into their curricula by addressing students' explicit and implicit attitudes towards alcohol consumption.</t>
  </si>
  <si>
    <t>J2: Med Educ; Black, Lori F Monrouxe, Lynn V; ID: 277</t>
  </si>
  <si>
    <t>Black, Lori F. Institute of Medical Education, School of Medicine, Cardiff University, Cardiff, UK.</t>
  </si>
  <si>
    <t>http://ovidsp.ovid.com/ovidweb.cgi?T=JS&amp;CSC=Y&amp;NEWS=N&amp;PAGE=fulltext&amp;D=med8&amp;AN=24528462</t>
  </si>
  <si>
    <t>https://dx.doi.org/10.1111/medu.12300</t>
  </si>
  <si>
    <t>MEDLINE; Ovid Technologies; 'Being sick a lot, often on each other': students' alcohol-related provocation</t>
  </si>
  <si>
    <t>Blake,K.</t>
  </si>
  <si>
    <t>Sex, drugs, and rock and roll-teaching with adolescent standardized patients</t>
  </si>
  <si>
    <t>Medical teacher</t>
  </si>
  <si>
    <t>Med.Teach.</t>
  </si>
  <si>
    <t>Jul</t>
  </si>
  <si>
    <t>Adolescent;Education;Education, Medical, Undergraduate;Feedback;Female;Humans;Male;*Music;*Patient Simulation;Personnel Selection;*Sexual Behavior;*Substance-Related Disorders</t>
  </si>
  <si>
    <t>J2: Med Teach; Blake, K; ID: 607</t>
  </si>
  <si>
    <t>1466-187X</t>
  </si>
  <si>
    <t>Blake, K. IWK Health Centre, Pediatrics, 5850/5980 University Ave, Halifax, Nova Scotia, B3K 6R8, Canada. kblake@dal.ca</t>
  </si>
  <si>
    <t>http://ovidsp.ovid.com/ovidweb.cgi?T=JS&amp;CSC=Y&amp;NEWS=N&amp;PAGE=fulltext&amp;D=med6&amp;AN=19296369</t>
  </si>
  <si>
    <t>https://dx.doi.org/10.1080/01421590802541689</t>
  </si>
  <si>
    <t>MEDLINE; Ovid Technologies; Sex, drugs, and rock and roll-teaching with adolescent standardized patients</t>
  </si>
  <si>
    <t>Bland,E.;Oppenheimer,L.;Brisson-Carroll,G.;Morel,C.;Holmes,P.;Gruslin,A.</t>
  </si>
  <si>
    <t>Influence of an educational program on medical students' attitudes to substance use disorders in pregnancy</t>
  </si>
  <si>
    <t>*Attitude of Health Personnel;Canada;Curriculum;Education, Medical;Female;Humans;Pregnancy;*Students, Medical/px Psychology];*Substance-Related Disorders/px Psychology];Surveys and Questionnaires</t>
  </si>
  <si>
    <t>Substance use disorders (SUDs) in pregnancy are becoming increasingly prevalent. Our study aimed to measure the effect of a teaching module on alcohol, tobacco, and drug use on the attitude of second year medical students toward pregnant women with SUDs. A questionnaire was administered to 84 medical students before a 5-week systems block on human reproduction, which included specific learning events related to SUDs. The questionnaire was readministered at the completion of the block. Pre- and postintervention scores were compared. Students showed significant improvement (p &lt; .05, reliability coefficient 0.90) in their level of comfort in dealing with womenwith SUD in pregnancy. Other positive trends relating to attitudes toward drug- and alcohol-dependent women during pregnancy were also identified. SUD teaching interventions among medical students can improve their comfort level and attitude toward pregnant women with SUDs. This supports the current initiative of Project CREATE (Curriculum Renewal and Evaluation of Addiction Training and Education) to implement a comprehensive undergraduate SUD teaching program in Canadian medical schools.</t>
  </si>
  <si>
    <t>J2: Am J Drug Alcohol Abuse; Bland, E Oppenheimer, L Brisson-Carroll, G Morel, C Holmes, P Gruslin, A; ID: 996</t>
  </si>
  <si>
    <t>0095-2990</t>
  </si>
  <si>
    <t>Bland, E. Department of Obstetrics, Ottawa Hospital, Ontario, Canada.</t>
  </si>
  <si>
    <t>http://ovidsp.ovid.com/ovidweb.cgi?T=JS&amp;CSC=Y&amp;NEWS=N&amp;PAGE=fulltext&amp;D=med4&amp;AN=11506263</t>
  </si>
  <si>
    <t>MEDLINE; Ovid Technologies; Influence of an educational program on medical students' attitudes to substance use disorders in pregnancy</t>
  </si>
  <si>
    <t>Blazer,D. G.</t>
  </si>
  <si>
    <t>The Institute of Medicine Report on the Mental Health and Substance Use Workforce for Older Adults: a reflection</t>
  </si>
  <si>
    <t>American Journal of Geriatric Psychiatry</t>
  </si>
  <si>
    <t>Aged;Aged, 80 and over;*Aging/px Psychology];Health Care Costs/td Trends];Health Manpower/td Trends];*Health Planning Guidelines;Humans;*Mental Health;*National Academies of Science, Engineering, and Medicine (U.S.) Health and Medicine Division;*Needs Assessment;*Substance-Related Disorders;United States</t>
  </si>
  <si>
    <t>J2: Am J Geriatr Psychiatry; Blazer, Dan G S1064-7481(13)00257-1; ID: 276</t>
  </si>
  <si>
    <t>1545-7214</t>
  </si>
  <si>
    <t>Blazer, Dan G. Department of Psychiatry and Behaviorial Sciences, Duke University Medical Center, Durham, NC. Electronic address: Blaze001@mc.duke.edu.</t>
  </si>
  <si>
    <t>http://ovidsp.ovid.com/ovidweb.cgi?T=JS&amp;CSC=Y&amp;NEWS=N&amp;PAGE=fulltext&amp;D=med7&amp;AN=23969089</t>
  </si>
  <si>
    <t>https://dx.doi.org/10.1016/j.jagp.2013.05.007</t>
  </si>
  <si>
    <t>MEDLINE; Ovid Technologies; The Institute of Medicine Report on the Mental Health and Substance Use Workforce for Older Adults: a reflection</t>
  </si>
  <si>
    <t>Block,M. A.</t>
  </si>
  <si>
    <t>Source: CLML. 5425:13323:16:151; The physician and alcoholism</t>
  </si>
  <si>
    <t>American Practitioner &amp; Digest of Treatment</t>
  </si>
  <si>
    <t>*Alcoholism/pc Prevention &amp; Control];*Education, Medical;Humans;*Physicians</t>
  </si>
  <si>
    <t>J2: Am Pract Dig Treat; BLOCK, M A; ID: 943</t>
  </si>
  <si>
    <t>http://ovidsp.ovid.com/ovidweb.cgi?T=JS&amp;CSC=Y&amp;NEWS=N&amp;PAGE=fulltext&amp;D=med1&amp;AN=13092408</t>
  </si>
  <si>
    <t>MEDLINE; Ovid Technologies; The physician and alcoholism</t>
  </si>
  <si>
    <t>Blum,K.;Modestino,E. J.;Gondre-Lewis,M.;Neary,J.;Siwicki,D.;Hauser,M.;Barh,D.;Steinberg,B.;Badgaiyan,R. D.</t>
  </si>
  <si>
    <t>GLOBAL OPIOID EPIDEMIC: DOOMED TO FAIL WITHOUT GENETICALLY BASED PRECISION ADDICTION MEDICINE (PAMTM): LESSONS LEARNED FROM AMERICA</t>
  </si>
  <si>
    <t>Precision Medicine</t>
  </si>
  <si>
    <t>It is a reality that globally opioid deaths have soared for men and women of all social, economic status and age from heroin and fentanyl overdoses. Specifically, in the United States, deaths from narcotic overdoses have reached alarming metrics since 2010. In fact, the Fentanyl rise is driven by drug dealers who sell it as heroin or who use it to lace cocaine or to make illegal counterfeit prescription opioids. The President's Commission on the crisis has linked the death toll as equivalent to "September 11th every three weeks." In fact, The U.S. Centre for Disease Control (CDC) released data showing that opioid-related overdoses were up 15% in the first three quarters of 2016 compared to 2015. Various governmental organizations including NIDA, are actively seeking solutions. However, we argue that unless the scientific community embraces genetic addiction risk coupled with potential precision or personalized medicine to induce "dopamine homeostasis" it will fail. We now have evidence that a ten-gene and eleven single nucleotide polymorphism (SNP) panel predicts Addiction Severity Index (ASI) for both alcohol and drugs of abuse (e.g., Opioids). In a large multi-addiction centre study involving seven diverse treatment programs, the genetic addiction risk score (GARSTM) was shown to have a predictive relationship with ASI-MV derived alcohol (&gt;= seven alleles), and other drugs (&gt;= 4 alleles) severity risk scores. In a number of neuroimaging studies, we also display that in both animal (bench) and abstinent Chinese severe heroin-dependent patients (bedside), BOLD dopamine activation across the brain reward circuitry revealed increases in resting state functional connectivity as well volume connectivity. It is also known that published nutrigenomic (coupling gene polymorphisms with altered KB220z) studies reveal improved clinical outcomes related to obesity.</t>
  </si>
  <si>
    <t>J2: Precis Med (Bangalore); Blum, Kenneth Modestino, Edward J Gondre-Lewis, Marjorie C Neary, Jennifer Siwicki, David Hauser, Mary Barh, Debmalya Steinberg, Bruce Badgaiyan, Rajendra D Comment on: Neuroscience. 2015 Jan 22;284:998-1010; PMID: 25446365 Comment on: Addiction. 2015 Mar;110(3):530-7; PMID: 25424661; ID: 1649</t>
  </si>
  <si>
    <t>2456-2254</t>
  </si>
  <si>
    <t>Blum, Kenneth. Department of Psychiatry, University of Florida &amp; McKnight Brain Institute, College of Florida, Gainesville, FL, USA. Blum, Kenneth. Department of Psychiatry, Human Integrated Services Unit University of Vermont Center for Clinical &amp; Translational Science, College of Medicine, Burlington, VT, USA. Blum, Kenneth. Department of Clinical Neurology, Path Research Foundation, NY, NY, USA. Blum, Kenneth. Dominion Diagnostics, LLC, North Kingstown, RI, USA. Blum, Kenneth. Department of Psychiatry, Wright State University, Boonshoft School of Medicine, Dayton, OH USA. Blum, Kenneth. Division of Genetic Testing, Geneus Health LLC, San Antonio, Texas, USA. Blum, Kenneth. Center for Genomics and Applied Gene Technology, Institute of Integrative Omics and Applied Biotechnology (IIOAB), Nonakuri, Purba Medinipur, West Bengal, India. Blum, Kenneth. Institute of Psychology, Eotvos Lorand University Budapest, Hungary. Blum, Kenneth. Department of Psychiatry, University of Southern California, Keck School of Medicine, Los Angeles, CA, USA. Blum, Kenneth. Division of Neuroscience Based Addiction Research and Therapy, The Shores Treatment &amp; Recovery Center, Port t. Lucie, Fl. USA. Modestino, Edward J. Department of Psychology, Curry College, Milton, MA, USA. Gondre-Lewis, Marjorie C. Departments of Anatomy, Psychiatry &amp; Behavioral Sciences, Howard University, Washington, DC, USA. Neary, Jennifer. Division of Genetic Testing, Geneus Health LLC, San Antonio, Texas, USA. Siwicki, David. Division of Genetic Testing, Geneus Health LLC, San Antonio, Texas, USA. Hauser, Mary. Dominion Diagnostics, LLC, North Kingstown, RI, USA. Barh, Debmalya. Center for Genomics and Applied Gene Technology, Institute of Integrative Omics and Applied Biotechnology (IIOAB), Nonakuri, Purba Medinipur, West Bengal, India. Steinberg, Bruce. Department of Psychology, Curry College, Milton, MA, USA. Badgaiyan, Rajendra D. Department of Psychiatry, Richmond University Hospital, Icahn Schoo(TRUNCATED)</t>
  </si>
  <si>
    <t>http://ovidsp.ovid.com/ovidweb.cgi?T=JS&amp;CSC=Y&amp;NEWS=N&amp;PAGE=fulltext&amp;D=prem&amp;AN=29372187</t>
  </si>
  <si>
    <t>MEDLINE; Ovid Technologies; GLOBAL OPIOID EPIDEMIC: DOOMED TO FAIL WITHOUT GENETICALLY BASED PRECISION ADDICTION MEDICINE (PAM&lt;sup&gt;TM&lt;/sup&gt;): LESSONS LEARNED FROM AMERICA</t>
  </si>
  <si>
    <t>Blumenthal,W. J.;Springer,K. W.;Jones,T. S.;Sterk,C. E.</t>
  </si>
  <si>
    <t>Pharmacy student knowledge, attitudes, and beliefs about selling syringes to injection drug users</t>
  </si>
  <si>
    <t>Journal of the American Pharmaceutical Association</t>
  </si>
  <si>
    <t>J.Am.Pharm.Assoc.</t>
  </si>
  <si>
    <t>Nov-Dec</t>
  </si>
  <si>
    <t>S34</t>
  </si>
  <si>
    <t>HIV Infections/pc Prevention &amp; Control];*Health Knowledge, Attitudes, Practice;Humans;Patient Education as Topic;*Students, Pharmacy;*Substance Abuse, Intravenous;*Syringes/sd Supply &amp; Distribution]</t>
  </si>
  <si>
    <t>OBJECTIVE: To explore pharmacy school education and pharmacy students' knowledge, attitudes, and beliefs about human immunodeficiency virus (HIV) and acquired immunodeficiency syndrome (AIDS), drug use, and syringe sales to injection drug users (IDUs). DESIGN: Qualitative study of a convenience sample of pharmacy school students. SETTING: A pharmacy school in the southeastern United States. INTERVENTION: Two focus groups and nine in-depth interviews were conducted about HIV/AIDS education and counseling, syringe sales to possible IDUs, and related pharmacy school education. PARTICIPANTS: 19 Doctor of Pharmacy students, including 88 students in their third professional year and 11 in their fourth professional year. RESULTS: Most participants believed that they would benefit from more class time on HIV/AIDS topics, including AIDS treatment medications and HIV prevention. Most participants believed that the laws and regulations governing syringe sales in their state were vague, leaving syringe sale decisions to pharmacists' discretion. Nine study participants supported selling syringes to possible IDUs, five opposed it, and five were undecided or ambivalent. Classroom education focused on addiction to prescription drugs, with limited attention to illicit drug use. CONCLUSION: Pharmacy students have divided opinions about selling syringes to IDUs. To prepare students for helping their patients with drug-use problems, pharmacy schools should increase training about HIV/AIDS and addiction. Policy makers should consider changing laws and regulations of syringe sales to recognize prevention of blood-borne infections as a legitimate medical purpose for selling syringes to IDUs.</t>
  </si>
  <si>
    <t>J2: J Am Pharm Assoc (Wash); Blumenthal, Wendy J Springer, Kristen W Jones, T Stephen Sterk, Claire E; ID: 951</t>
  </si>
  <si>
    <t>1086-5802</t>
  </si>
  <si>
    <t>Blumenthal, Wendy J. Division of Emergency and Environmental Health Services, National Center for Environmental Health, Centers for Disease Control and Prevention, Atlanta, GA 30333, USA. Wblumenthal@cdc.gov</t>
  </si>
  <si>
    <t>http://ovidsp.ovid.com/ovidweb.cgi?T=JS&amp;CSC=Y&amp;NEWS=N&amp;PAGE=fulltext&amp;D=med4&amp;AN=12489613</t>
  </si>
  <si>
    <t>MEDLINE; Ovid Technologies; Pharmacy student knowledge, attitudes, and beliefs about selling syringes to injection drug users</t>
  </si>
  <si>
    <t>Bobo,J. K.</t>
  </si>
  <si>
    <t>Nicotine dependence and alcoholism epidemiology and treatment</t>
  </si>
  <si>
    <t>Journal of psychoactive drugs</t>
  </si>
  <si>
    <t>J.Psychoactive Drugs</t>
  </si>
  <si>
    <t>*Alcoholism/ep Epidemiology];Alcoholism/px Psychology];Alcoholism/th Therapy];Animals;Humans;*Nicotine;*Substance-Related Disorders/px Psychology];Substance-Related Disorders/th Therapy];6M3C89ZY6R (Nicotine)</t>
  </si>
  <si>
    <t>Nicotine dependence in alcohol-involved adults is a long-ignored treatment problem. The absence of its discussion in the literature is difficult to defend in light of medical and epidemiological data on the cost and prevalence of this dual addition. Most descriptive studies of alcohol abusers published in the past 20 years have reported tobacco use rates of at least 90%. There is a crucial need to educate treatment professionals and their clients about the additional health risks associated with joint nicotine dependence and alcoholism. Historically, certain barriers to active intervention have existed in drug abuse treatment facilities, including (1) concerns that urging clients to quit smoking might have an adverse effect on their maintenance of sobriety, (2) a tendency to minimize the strength and severity of nicotine addition, (3) a lack of informative data on how best to treat smoking in recovering alcoholics, and (4) financial issues related to marketing and insurance compensation. Recent data obtained from recovering alcoholics who have tried to quit smoking and anecdotal reports from alcoholism treatment centers that have begun addressing nicotine addiction are now challenging these barriers. Education, role modeling, environmental control, and development of staff expertise can be incorporated into standard alcoholism treatment programs to jointly treat these paired addictions. References: 37]</t>
  </si>
  <si>
    <t>J2: J Psychoactive Drugs; Bobo, J K; ID: 1274</t>
  </si>
  <si>
    <t>0279-1072</t>
  </si>
  <si>
    <t>Bobo, J K. Department of Epidemiology, University of Washington, Seattle 98195.</t>
  </si>
  <si>
    <t>http://ovidsp.ovid.com/ovidweb.cgi?T=JS&amp;CSC=Y&amp;NEWS=N&amp;PAGE=fulltext&amp;D=med3&amp;AN=1506997</t>
  </si>
  <si>
    <t>MEDLINE; Ovid Technologies; Nicotine dependence and alcoholism epidemiology and treatment</t>
  </si>
  <si>
    <t>Jul-Sep</t>
  </si>
  <si>
    <t>*Alcoholism/ep Epidemiology];Alcoholism/th Therapy];Humans;*Smoking/ep Epidemiology];*Substance-Related Disorders/ep Epidemiology]</t>
  </si>
  <si>
    <t>Nicotine dependence in alcohol-involved adults is a long-ignored treatment problem. The absence of its discussion in the literature is difficult to defend in light of medical and epidemiological data on the cost and prevalence of this dual addiction. Most descriptive studies of alcohol abusers published in the past 20 years have reported tobacco use rates of at least 90%. There is a crucial need to educate treatment professionals and their clients about the additional health risks associated with joint nicotine dependence and alcoholism. Historically, certain barriers to active intervention have existed in drug abuse treatment facilities, including (1) concerns that urging clients to quit smoking might have an adverse effect on their maintenance of sobriety, (2) a tendency to minimize the strength and severity of nicotine addiction, (3) a lack of informative data on how best to treat smoking in recovering alcoholics, and (4) financial issues related to marketing and insurance compensation. Recent data obtained from recovering alcoholics who have tried to quit smoking and anecdotal reports from alcoholism treatment centers that have begun addressing nicotine addiction are now challenging these barriers. Education, role modeling, environmental control, and development of staff expertise can be incorporated into standard alcoholism treatment programs to jointly treat these paired addictions. References: 37]</t>
  </si>
  <si>
    <t>J2: J Psychoactive Drugs; Bobo, J K; ID: 1376</t>
  </si>
  <si>
    <t>http://ovidsp.ovid.com/ovidweb.cgi?T=JS&amp;CSC=Y&amp;NEWS=N&amp;PAGE=fulltext&amp;D=med3&amp;AN=2681630</t>
  </si>
  <si>
    <t>Bobo,W. V.;Miller,S. C.</t>
  </si>
  <si>
    <t>Complicated dual diagnosis: a case for physician involvement in addictions treatment</t>
  </si>
  <si>
    <t>International journal of psychiatry in medicine</t>
  </si>
  <si>
    <t>Int.J.Psychiatry Med.</t>
  </si>
  <si>
    <t>Adult;Brain Injuries/px Psychology];Diagnosis, Dual (Psychiatry);Female;Humans;*Physician's Role;*Psychotic Disorders/co Complications];Psychotic Disorders/et Etiology];*Substance-Related Disorders/co Complications];*Substance-Related Disorders/th Therapy]</t>
  </si>
  <si>
    <t>Despite the high prevalence of substance use disorders, the prevention and treatment of such illnesses seem to receive little attention during physician training. This provides cause for concern, as physician involvement in addiction treatment has been relatively sparse. We present the case of a patient whose successful treatment likely relied upon her physicians' intensive training in each of the biological, psychological, and social aspects of her clinical presentation. The case illustrates the need for added emphasis on the assessment and treatment of addictive disorders during medical training, and for more active physician involvement in addictions treatment.</t>
  </si>
  <si>
    <t>J2: Int J Psychiatry Med; Bobo, W V Miller, S C; ID: 988</t>
  </si>
  <si>
    <t>0091-2174</t>
  </si>
  <si>
    <t>Bobo, W V. National Capital Area Military Psychiatry Residency, Washington, DC, USA.</t>
  </si>
  <si>
    <t>http://ovidsp.ovid.com/ovidweb.cgi?T=JS&amp;CSC=Y&amp;NEWS=N&amp;PAGE=fulltext&amp;D=med4&amp;AN=11760866</t>
  </si>
  <si>
    <t>MEDLINE; Ovid Technologies; Complicated dual diagnosis: a case for physician involvement in addictions treatment</t>
  </si>
  <si>
    <t>Boehlecke,B.;Sperber,A. D.;Kowlowitz,V.;Becker,M.;Contreras,A.;McGaghie,W. C.</t>
  </si>
  <si>
    <t>Smoking history-taking skills: a simple guide to teach medical students</t>
  </si>
  <si>
    <t>*Clinical Competence;Counseling;*Education, Medical, Undergraduate;Humans;*Medical History Taking;North Carolina;*Smoking Cessation;*Teaching/mt Methods]</t>
  </si>
  <si>
    <t>Many doctors rate themselves as ineffective smoking cessation counsellors. It is logical to initiate training efforts with medical students. We incorporated smoking history-taking in the physical diagnosis course at the University of North Carolina at Chapel Hill using a simple method to teach smoking history-taking skills and to assess its effectiveness as an educational intervention. The principal intervention was the distribution of a one-sheet Smoking-History Taking and Counseling Guide, adapted from the American Lung Association's Freedom From Smoking for You and Your Family self-help manual. The second intervention was a single prompt for 50% of the course preceptors. Students' smoking history-taking skills were evaluated in the Objective Structured Clinical Examination (OSCE) at the end of the course. Students who received the guide did significantly better on the OSCE, even after controlling for having discussed taking a smoking history with their preceptors. A simple guide combined with a one-time prompting of preceptors has a positive effect on the acquisition of smoking history-taking skills by the medical students. This strategy may also be useful for teaching and evaluating smoking-cessation counselling skills, for which good smoking history-taking is a necessary basis.</t>
  </si>
  <si>
    <t>J2: Med Educ; Boehlecke, B Sperber, A D Kowlowitz, V Becker, M Contreras, A McGaghie, W C; ID: 1154</t>
  </si>
  <si>
    <t>Boehlecke, B. Department of Medicine, University of North Carolina, Chapel Hill, USA.</t>
  </si>
  <si>
    <t>http://ovidsp.ovid.com/ovidweb.cgi?T=JS&amp;CSC=Y&amp;NEWS=N&amp;PAGE=fulltext&amp;D=med4&amp;AN=8949540</t>
  </si>
  <si>
    <t>MEDLINE; Ovid Technologies; Smoking history-taking skills: a simple guide to teach medical students</t>
  </si>
  <si>
    <t>Bonard,M.</t>
  </si>
  <si>
    <t>Drug addiction: a subject of education for the practitioner?]</t>
  </si>
  <si>
    <t>J2: Rev Med Suisse Romande; French Bonard, M; OP: Toxicomanie: un sujet de formation pour le practicien?; ID: 1255</t>
  </si>
  <si>
    <t>http://ovidsp.ovid.com/ovidweb.cgi?T=JS&amp;CSC=Y&amp;NEWS=N&amp;PAGE=fulltext&amp;D=med3&amp;AN=8316716</t>
  </si>
  <si>
    <t>MEDLINE; Ovid Technologies; [Drug addiction: a subject of education for the practitioner?]</t>
  </si>
  <si>
    <t>Bond Edmond,M.;Aletraris,L.;Roman,P. M.</t>
  </si>
  <si>
    <t>NIHMS759796; Rural substance use treatment centers in the United States: an assessment of treatment quality by location</t>
  </si>
  <si>
    <t>Humans;*Quality Assurance, Health Care;*Rural Health Services/st Standards];*Rural Health Services/sn Statistics &amp; Numerical Data];*Substance Abuse Treatment Centers/st Standards];*Substance Abuse Treatment Centers/sn Statistics &amp; Numerical Data];United States/ep Epidemiology];Urban Health Services/st Standards];Urban Health Services/sn Statistics &amp; Numerical Data]</t>
  </si>
  <si>
    <t>BACKGROUND: While previous research has added to the understanding of rural residents' unique health challenges, much remains to be learned about the provision of substance use disorder (SUD) treatment in rural areas. A key question is difference in structural resources and quality of care between rural and urban treatment centers. OBJECTIVE: To examine differences in treatment quality in rural and urban centers and to determine if differences in treatment quality are contextualized by centers' structural resources. METHODS: Utilizing combined data from two representative samples of SUD treatment centers (n=591), we used a series of multivariate regressions to analyze the association between center rurality and various indicators of structural characteristics and treatment quality. Interaction effects were further examined between structural characteristics and treatment quality indicators. RESULTS: We found that structural and quality differences between rural and urban treatment centers were present. Rural centers had reduced access to highly educated counselors, were more likely to be non-profit and dependent on public funding, offered fewer wraparound services, and had less diverse specialized treatment options. Our results also indicated that rural centers were less likely to prescribe buprenorphine as part of their treatment but were more likely to employ nursing staff and offer specialized treatment for adolescents. Rural center access to a physician contextualized the association between center rurality and the more limited provision of wraparound services. CONCLUSION: Our findings suggest that treatment quality differs between urban and rural centers in complex ways that are subject to resource availability.</t>
  </si>
  <si>
    <t>J2: Am J Drug Alcohol Abuse; Bond Edmond, Mary Aletraris, Lydia Roman, Paul M; ID: 177</t>
  </si>
  <si>
    <t>Bond Edmond, Mary. a Owens Institute for Behavioral Research, University of Georgia , Athens , GA , USA.</t>
  </si>
  <si>
    <t>http://ovidsp.ovid.com/ovidweb.cgi?T=JS&amp;CSC=Y&amp;NEWS=N&amp;PAGE=fulltext&amp;D=med8&amp;AN=26337202</t>
  </si>
  <si>
    <t>https://dx.doi.org/10.3109/00952990.2015.1059842</t>
  </si>
  <si>
    <t>MEDLINE; Ovid Technologies; Rural substance use treatment centers in the United States: an assessment of treatment quality by location</t>
  </si>
  <si>
    <t>Bonder,B. R.;Hulisz,D.;Marsh,S.;Bonaguro,J.</t>
  </si>
  <si>
    <t>Community-based substance abuse training: helping children living in families with substance-abusing adults</t>
  </si>
  <si>
    <t>Adolescent;Child;*Child of Impaired Parents/px Psychology];*Community Health Services;Cooperative Behavior;Curriculum;Education;Education, Medical;*Faculty;Family Practice;Focus Groups;*Health Education;Health Personnel/ed Education];Health Services Needs and Demand;Humans;Interprofessional Relations;Ohio;Program Evaluation;*Substance-Related Disorders/pc Prevention &amp; Control];Substance-Related Disorders/px Psychology];Substance-Related Disorders/rh Rehabilitation]</t>
  </si>
  <si>
    <t>Elementary school staff requested and were provided with strategies for helping students and a resource guide to services for students living with substance-abusing adults.</t>
  </si>
  <si>
    <t>J2: Subst Abus; Bonder, Bette R Hulisz, Darrell Marsh, Sybil Bonaguro, John; ID: 737</t>
  </si>
  <si>
    <t>Bonder, Bette R. Cleveland State University, OH 44115, USA. b.bonder@csuohio.edu</t>
  </si>
  <si>
    <t>http://ovidsp.ovid.com/ovidweb.cgi?T=JS&amp;CSC=Y&amp;NEWS=N&amp;PAGE=fulltext&amp;D=med5&amp;AN=16837409</t>
  </si>
  <si>
    <t>MEDLINE; Ovid Technologies; Community-based substance abuse training: helping children living in families with substance-abusing adults</t>
  </si>
  <si>
    <t>Boniatti,M. M.;Zubaran,C.;Panarotto,D.;Delazeri,G. J.;Tirello,J. L.;Feldens Mde,O.;Sperotto,V. F.</t>
  </si>
  <si>
    <t>The use of psychoactive substances among medical students in southern Brazil</t>
  </si>
  <si>
    <t>Adolescent;Adult;*Alcohol-Related Disorders/ep Epidemiology];Brazil;Cross-Sectional Studies;*Developing Countries;Female;Health Surveys;Humans;Male;*Psychotropic Drugs;Risk Factors;Schools, Medical/sn Statistics &amp; Numerical Data];Social Environment;*Students, Medical/sn Statistics &amp; Numerical Data];*Substance-Related Disorders/ep Epidemiology];Surveys and Questionnaires;0 (Psychotropic Drugs)</t>
  </si>
  <si>
    <t>The objective of our study was to investigate the patterns of use of psychoactive substances among students of a medical school in Southern Brazil and to explore a putative role of discrete behavioral and social variables in their drug use. This is a descriptive and transversal cut study. All regularly enrolled medical students at the University of Caxias do Sul were invited to participate in the study. A self-administered questionnaire, which analyses lifetime drug use as well as drug use in the previous 30 days and 12 months was utilized to collect data. From a total of 318 regularly enrolled students, 183 (57.5%) completed and returned the questionnaires. The highest prevalence rates of lifetime drug use, drug use in the last 12 months and drug use in the last 30 days were observed, according to drug type, as follow in descending order: alcohol, tobacco, marijuana, inhalants, tranquilizers, amphetamine and cocaine. A multivariate analysis indicated that research respondents who live with their parents as well as those whose parents live together harmoniously, those who deny close ties to drug users, those who disapprove drug use, those who are not tobacco smokers and those who manifest religious beliefs and practice presented the most reduced levels of illicit drug use. The use of psychoactive substances among medical students in the University of Caxias do Sul is a significant problem. Appropriate and timely initiatives are needed to prevent and curb drug use among medical students.</t>
  </si>
  <si>
    <t>J2: Drug Alcohol Rev; Boniatti, Marcio Manozzo Zubaran, Carlos Panarotto, Daniel Delazeri, Gerson Jacob Tirello, Jacson Luis Feldens, Mauricio De Oliveira Sperotto, Vagner Francisco Remonti; ID: 757</t>
  </si>
  <si>
    <t>Boniatti, Marcio Manozzo. Department of Intensive Care Medicine, Hospital de Clinicas de Porto Alegre, Brazil.</t>
  </si>
  <si>
    <t>http://ovidsp.ovid.com/ovidweb.cgi?T=JS&amp;CSC=Y&amp;NEWS=N&amp;PAGE=fulltext&amp;D=med5&amp;AN=17454017</t>
  </si>
  <si>
    <t>MEDLINE; Ovid Technologies; The use of psychoactive substances among medical students in southern Brazil</t>
  </si>
  <si>
    <t>Bonner,D.;Maguire,P.;Cartledge,B.;Keightley,P.;Reay,R.;Parige,R.;Cubis,J.;Tedeschi,M.;Craigie,P.;Looi,J. C.</t>
  </si>
  <si>
    <t>A new graduate medical school curriculum in Psychiatry and Addiction Medicine: reflections on a decade of development</t>
  </si>
  <si>
    <t>Australasian Psychiatry</t>
  </si>
  <si>
    <t>OBJECTIVES: The aim of this study is to reflect upon the rationale, design and development of the Psychiatry and Addiction Medicine curriculum at the Australian National University Medical School, Canberra, Australian Capital Territory, Australia. CONCLUSIONS: We conclude that the development of the fourth-year curriculum of a four-year graduate medical degree was a complex evolutionary process.</t>
  </si>
  <si>
    <t>J2: Australas; Bonner, Daniel Maguire, Paul Cartledge, Bjorn Keightley, Philip Reay, Rebecca Parige, Raj Cubis, Jeff Tedeschi, Michael Craigie, Peggy Looi, Jeffrey Cl; ID: 1689</t>
  </si>
  <si>
    <t>1440-1665</t>
  </si>
  <si>
    <t>Bonner, Daniel. Lecturer in Psychiatry, Academic Coordinator and Acting Co-Deputy Head, Academic Unit of Psychiatry and Addiction Medicine, Australian National University Medical School, Garran, ACT, and; Staff Specialist, Mental Health ACT, Canberra, ACT, Australia. Maguire, Paul. Lecturer in Adult Psychiatry and Acting Co-Deputy Head, Academic Unit of Psychiatry and Addiction Medicine, Australian National University Medical School, Garran, ACT, and; Staff Specialist, ACT Health, Canberra, ACT, Australia. Cartledge, Bjorn. Associate Lecturer in Adult Psychiatry, Academic Unit of Psychiatry and Addiction Medicine, Australian National University Medical School, Garran, ACT, and; Staff Specialist, ACT Health, Canberra, ACT, Australia. Keightley, Philip. Lecturer in Adult Psychiatry, Academic Unit of Psychiatry and Addiction Medicine, Australian National University Medical School, Garran, ACT, and; Staff Specialist, ACT Health, Canberra, ACT, Australia. Reay, Rebecca. Lecturer and Research Officer, Academic Unit of Psychiatry and Addiction Medicine, Australian National University Medical School, Garran, ACT, and; ACT Health, Canberra, ACT, Australia. Parige, Raj. Clinical Lecturer in Addiction Medicine, Academic Unit of Psychiatry and Addiction Medicine, Australian National University Medical School, Garran, ACT, and; Staff Specialist, ACT Health, Canberra, ACT, Australia. Cubis, Jeff. Senior Lecturer in Child and Adolescent Psychiatry, Academic Unit of Psychiatry and Addiction Medicine, Australian National University Medical School, Garran, ACT, and; Senior Staff Specialist, ACT Health, Canberra, ACT, Australia. Tedeschi, Michael. Clinical Senior Lecturer in Addiction Medicine, Academic Unit of Psychiatry and Addiction Medicine, Australian National University Medical School, Garran, ACT, and; Staff Specialist, ACT Health, Canberra, ACT, Australia. Craigie, Peggy. Student Coordinator and Departmental Administrator, Academic Unit of Psychiatry and Addiction M(TRUNCATED)</t>
  </si>
  <si>
    <t>http://ovidsp.ovid.com/ovidweb.cgi?T=JS&amp;CSC=Y&amp;NEWS=N&amp;PAGE=fulltext&amp;D=medp&amp;AN=29480014</t>
  </si>
  <si>
    <t>https://dx.doi.org/10.1177/1039856218758561</t>
  </si>
  <si>
    <t>MEDLINE; Ovid Technologies; A new graduate medical school curriculum in Psychiatry and Addiction Medicine: reflections on a decade of development</t>
  </si>
  <si>
    <t>Bonnet,U.;Scherbaum,N.</t>
  </si>
  <si>
    <t>Craving dominates propofol addiction of an affected physician</t>
  </si>
  <si>
    <t>Adult;*Anesthetics, Intravenous/ae Adverse Effects];*Behavior, Addictive/px Psychology];Behavior, Addictive/rh Rehabilitation];*Cues;Humans;*Internship and Residency;Male;Motivation;*Physician Impairment/px Psychology];*Propofol/ae Adverse Effects];*Substance Withdrawal Syndrome/px Psychology];Substance Withdrawal Syndrome/rh Rehabilitation];*Substance-Related Disorders/px Psychology];Substance-Related Disorders/rh Rehabilitation];Workplace/px Psychology];0 (Anesthetics, Intravenous);YI7VU623SF (Propofol)</t>
  </si>
  <si>
    <t>We report a case of severe dependence on propofol. For over a year, a 30-year-old male resident anesthesiologist injected 100-200 mg of propofol 20 to 40 times a day, reaching a daily total of up to 4 g. Compared to other withdrawal symptoms, craving for propofol was much more pronounced. Tolerance of the desired effects (cloudy and euphoric relaxation at his intravenous self-administration of 100 mg as well as sleep induction at 200 mg propofol) was not noticed by the patient. No other addiction was found in his history before he became dependent on propofol. This emphasizes that, especially with the patient's high injection rate, propofol has a powerful potential to be addictive. In most hospitals, the staff is put at risk by nonregulated dispensation and too easy access to this anesthetic drug.</t>
  </si>
  <si>
    <t>J2: J Psychoactive Drugs; Bonnet, Udo Scherbaum, Norbert; ID: 439</t>
  </si>
  <si>
    <t>Bonnet, Udo. Department of Psychiatry, Psychotherapy and Psychosomatics, Evangelisches Krankenhaus Castrop-Rauxel. udo.bonnet@uni-due.de</t>
  </si>
  <si>
    <t>http://ovidsp.ovid.com/ovidweb.cgi?T=JS&amp;CSC=Y&amp;NEWS=N&amp;PAGE=fulltext&amp;D=med7&amp;AN=22880547</t>
  </si>
  <si>
    <t>MEDLINE; Ovid Technologies; Craving dominates propofol addiction of an affected physician</t>
  </si>
  <si>
    <t>Booth,J. V.;Grossman,D.;Moore,J.;Lineberger,C.;Reynolds,J. D.;Reves,J. G.;Sheffield,D.</t>
  </si>
  <si>
    <t>Substance abuse among physicians: a survey of academic anesthesiology programs</t>
  </si>
  <si>
    <t>30, table of contents</t>
  </si>
  <si>
    <t>Academic Medical Centers/sn Statistics &amp; Numerical Data];*Anesthesiology;Data Collection;Documentation;Faculty;Humans;Internship and Residency;Medication Systems, Hospital;Pharmacy Service, Hospital/og Organization &amp; Administration];*Physician Impairment/sn Statistics &amp; Numerical Data];Physicians;*Substance-Related Disorders/ep Epidemiology];Surveys and Questionnaires</t>
  </si>
  <si>
    <t>UNLABELLED: Efforts to reduce controlled-substance abuse by anesthesiologists have focused on education and tighter regulation of controlled substances. However, the efficacy of these approaches remains to be determined. Our hypotheses were that the reported incidence of controlled-substance abuse is unchanged from previous reports and that the control and accounting process involved in distribution of operating room drugs has tightened. We focused our survey on anesthesiology programs at American academic medical centers. Surveys were sent to the department chairs of the 133 US anesthesiology training programs accredited at the end of 1997. There was a response rate of 93%. The incidence of known drug abuse was 1.0% among faculty members and 1.6% among residents. Fentanyl was the controlled substance most often abused. The number of hours of formal education regarding drug abuse had increased in 47% of programs. Sixty-three percent of programs surveyed had tightened their methods for dispensing, disposing of, or accounting for controlled substances. The majority of programs (80%) compared the amount of controlled substances dispensed against individual provider usage, whereas only 8% used random urine testing. Sixty-one percent of departmental chairs indicated that they would approve of random urine screens of anesthesia providers. IMPLICATIONS: This survey indicates that the frequency of controlled substance abuse among anesthesiologists has changed little in the past few years, despite an increase in the control and accounting procedures for controlled substances as well as increased mandatory education.</t>
  </si>
  <si>
    <t>J2: Anesth Analg; Booth, John V Grossman, Davida Moore, Jill Lineberger, Catherine Reynolds, James D Reves, J G Sheffield, David; ID: 962</t>
  </si>
  <si>
    <t>Booth, John V. Department of Anesthesiology, Duke University Medical Center, Durham, North Carolina 27710, USA. booth006@mc.duke.edu</t>
  </si>
  <si>
    <t>http://ovidsp.ovid.com/ovidweb.cgi?T=JS&amp;CSC=Y&amp;NEWS=N&amp;PAGE=fulltext&amp;D=med4&amp;AN=12351288</t>
  </si>
  <si>
    <t>MEDLINE; Ovid Technologies; Substance abuse among physicians: a survey of academic anesthesiology programs</t>
  </si>
  <si>
    <t>Borsay,M. A.;Leff,A. M.</t>
  </si>
  <si>
    <t>Physician drug addiction a challenge to medical educators</t>
  </si>
  <si>
    <t>Ohio State Medical Journal</t>
  </si>
  <si>
    <t>Ohio State Med.J.</t>
  </si>
  <si>
    <t>Humans;*Physicians;*Substance-Related Disorders</t>
  </si>
  <si>
    <t>J2: Ohio State Med J; Borsay, M A Leff, A M; ID: 1529</t>
  </si>
  <si>
    <t>0030-1124</t>
  </si>
  <si>
    <t>http://ovidsp.ovid.com/ovidweb.cgi?T=JS&amp;CSC=Y&amp;NEWS=N&amp;PAGE=fulltext&amp;D=med1&amp;AN=927771</t>
  </si>
  <si>
    <t>MEDLINE; Ovid Technologies; Physician drug addiction a challenge to medical educators</t>
  </si>
  <si>
    <t>Borum,M. L.</t>
  </si>
  <si>
    <t>Impact of two ambulatory care training programs on smoking-cessation activities</t>
  </si>
  <si>
    <t>Southern medical journal</t>
  </si>
  <si>
    <t>South.Med.J.</t>
  </si>
  <si>
    <t>African Continental Ancestry Group;Aged;Aged, 80 and over;*Ambulatory Care;Counseling;District of Columbia;European Continental Ancestry Group;Female;Humans;*Internal Medicine/ed Education];*Internship and Residency;Male;Medical History Taking;Middle Aged;Physician-Patient Relations;Primary Health Care;Retrospective Studies;Sex Factors;*Smoking Cessation;Smoking Prevention</t>
  </si>
  <si>
    <t>BACKGROUND: Tobacco use causes significant morbidity and mortality. Resident physicians at the George Washington University Medical Center are trained to counsel patients to stop smoking. METHODS: I retrospectively reviewed charts of 300 patients treated by resident physicians in the Department of Medicine (200) and the Department of Health Care Sciences (100). RESULTS: In the 200 patients cared for by resident physicians in the traditional internal medicine training program, a smoking history was obtained in 93 (47%). Forty-seven patients (51%) smoked, and 7 smokers (15%) were counseled to stop smoking. In 100 patients cared for by resident physicians in the primary care internal medicine training program, a smoking history was obtained in 94 patients (94%). Twenty-three patients (24%) smoked, and 11 (48%) were counseled to stop smoking. CONCLUSION: Resident physicians in the primary care training program obtained more smoking histories and counseled more patients to stop smoking. Further study is necessary to evaluate strategies that can be used in residency training to encourage smoking-cessation counseling.</t>
  </si>
  <si>
    <t>J2: South Med J; Borum, M L; ID: 1049</t>
  </si>
  <si>
    <t>0038-4348</t>
  </si>
  <si>
    <t>Borum, M L. Department of Medicine, George Washington University Medical Center, Washington, DC 20037, USA.</t>
  </si>
  <si>
    <t>http://ovidsp.ovid.com/ovidweb.cgi?T=JS&amp;CSC=Y&amp;NEWS=N&amp;PAGE=fulltext&amp;D=med4&amp;AN=10548170</t>
  </si>
  <si>
    <t>MEDLINE; Ovid Technologies; Impact of two ambulatory care training programs on smoking-cessation activities</t>
  </si>
  <si>
    <t>Bosma,W. G.</t>
  </si>
  <si>
    <t>III. Brown University Alcoholism Conference: On undergraduate education: alcoholism in a medical school</t>
  </si>
  <si>
    <t>2 403</t>
  </si>
  <si>
    <t>*Alcoholism;*Curriculum;*Education, Medical, Undergraduate;Humans;Maryland</t>
  </si>
  <si>
    <t>J2: R I Med J; Bosma, W G; ID: 1543</t>
  </si>
  <si>
    <t>http://ovidsp.ovid.com/ovidweb.cgi?T=JS&amp;CSC=Y&amp;NEWS=N&amp;PAGE=fulltext&amp;D=med1&amp;AN=127375</t>
  </si>
  <si>
    <t>MEDLINE; Ovid Technologies; III. Brown University Alcoholism Conference: On undergraduate education: alcoholism in a medical school</t>
  </si>
  <si>
    <t>Training professionals for meeting the needs of alcoholics and problem drinkers</t>
  </si>
  <si>
    <t>Maryland state medical journal</t>
  </si>
  <si>
    <t>Md.State Med.J.</t>
  </si>
  <si>
    <t>*Alcoholism/th Therapy];Attitude of Health Personnel;Counseling;Curriculum;Education, Medical;Education, Nursing;Halfway Houses;*Health Occupations/ed Education];Humans;Maryland;Patient Care Team</t>
  </si>
  <si>
    <t>J2: Md State Med J; Bosma, W G; ID: 1570</t>
  </si>
  <si>
    <t>0025-4363</t>
  </si>
  <si>
    <t>http://ovidsp.ovid.com/ovidweb.cgi?T=JS&amp;CSC=Y&amp;NEWS=N&amp;PAGE=fulltext&amp;D=med1&amp;AN=4756973</t>
  </si>
  <si>
    <t>MEDLINE; Ovid Technologies; Training professionals for meeting the needs of alcoholics and problem drinkers</t>
  </si>
  <si>
    <t>Boulis,S.;Khanduja,P. K.;Downey,K.;Friedman,Z.</t>
  </si>
  <si>
    <t>Substance abuse: a national survey of Canadian residency program directors and site chiefs at university-affiliated anesthesia departments</t>
  </si>
  <si>
    <t>Canadian Journal of Anaesthesia</t>
  </si>
  <si>
    <t>Anesthesia Department, Hospital/sn Statistics &amp; Numerical Data];*Anesthesiology/sn Statistics &amp; Numerical Data];Canada;Cross-Sectional Studies;Humans;Internship and Residency;*Physician Impairment/sn Statistics &amp; Numerical Data];Physicians/sn Statistics &amp; Numerical Data];Prevalence;Substance Abuse Detection/sn Statistics &amp; Numerical Data];Substance-Related Disorders/di Diagnosis];*Substance-Related Disorders/ep Epidemiology];Substance-Related Disorders/pc Prevention &amp; Control];Surveys and Questionnaires</t>
  </si>
  <si>
    <t>PURPOSE: The abuse of substances available to anesthesiologists in their workspace is a potentially lethal occupational hazard. Our primary objective was to define the prevalence of substance abuse cases among Canadian anesthesiologists at university-affiliated hospitals. Our secondary aim was to describe the current management of confirmed cases, rehabilitation procedures being offered, and preventative strategies being employed. METHODS: We conducted a cross-sectional electronic survey of all Canadian anesthesia residency program directors and site chiefs at university-affiliated hospitals. Data analysis was performed using descriptive statistics. RESULTS: The survey response rate was 54% (53/98). Substance abuse was reported as 1.6% for residents and 0.3% for clinical fellows over a ten-year period ending in June 2014. Fentanyl was abused in nine of 24 reported cases. At present, one of 22 respondents (4.5%) reported a formal education program on substance abuse for faculty members, and 72% described mandatory education for residents. The majority of participants did not perceive substance abuse as a growing problem. Seventy-one percent of respondents indicated that methods for controlled-drug handling had changed in the previous ten years; however, 66% did not think that the incidence of controlled substance abuse could be decreased further by more stringent measures. Only 21% of respondents supported the introduction of random urine drug testing. CONCLUSION: The prevalence of substance abuse among Canadian anesthesiologists and the substances abused appear comparable with data from the United States, with residents being the group most often affected. Early recognition and treatment of chemically dependent anesthesiologists remain imperfect.</t>
  </si>
  <si>
    <t>J2: Can J Anaesth; Boulis, Sherif Khanduja, P Kristina Downey, Kristi Friedman, Zeev Comment in: Can J Anaesth. 2015 Dec;62(12):1346-7; PMID: 26378001 Comment in: Can J Anaesth. 2016 Mar;63(3):367; PMID: 26646007 Comment in: Can J Anaesth. 2016 Mar;63(3):365-6; PMID: 26646006; ID: 180</t>
  </si>
  <si>
    <t>1496-8975</t>
  </si>
  <si>
    <t>Boulis, Sherif. Department of Anesthesia and Pain Management, Mount Sinai Hospital, University of Toronto, 600 University Avenue, Room 19-104, Toronto, ON, M5G 1X5, Canada.</t>
  </si>
  <si>
    <t>http://ovidsp.ovid.com/ovidweb.cgi?T=JS&amp;CSC=Y&amp;NEWS=N&amp;PAGE=fulltext&amp;D=med8&amp;AN=26001750</t>
  </si>
  <si>
    <t>https://dx.doi.org/10.1007/s12630-015-0404-1</t>
  </si>
  <si>
    <t>MEDLINE; Ovid Technologies; Substance abuse: a national survey of Canadian residency program directors and site chiefs at university-affiliated anesthesia departments</t>
  </si>
  <si>
    <t>Boulton,M. G.;Williams,A.</t>
  </si>
  <si>
    <t>Health education in the general practice consultation: doctors' advice on diet, alcohol and smoking</t>
  </si>
  <si>
    <t>Health education journal</t>
  </si>
  <si>
    <t>Health Educ.J.</t>
  </si>
  <si>
    <t>Alcohol Drinking;Diet;*Family Practice;*Health Education;Humans;Smoking;United Kingdom</t>
  </si>
  <si>
    <t>J2: Health Educ J; Boulton, M G Williams, A; ID: 1480</t>
  </si>
  <si>
    <t>0017-8969</t>
  </si>
  <si>
    <t>http://ovidsp.ovid.com/ovidweb.cgi?T=JS&amp;CSC=Y&amp;NEWS=N&amp;PAGE=fulltext&amp;D=med2&amp;AN=10264318</t>
  </si>
  <si>
    <t>MEDLINE; Ovid Technologies; Health education in the general practice consultation: doctors' advice on diet, alcohol and smoking</t>
  </si>
  <si>
    <t>Boyle,M. J.;Williams,B.;Brown,T.;Molloy,A.;McKenna,L.;Molloy,E.;Lewis,B.</t>
  </si>
  <si>
    <t>Attitudes of undergraduate health science students towards patients with intellectual disability, substance abuse, and acute mental illness: a cross-sectional study</t>
  </si>
  <si>
    <t>Acute Disease;Adult;Allied Health Personnel/ed Education];Analysis of Variance;Cross-Sectional Studies;Curriculum;*Education, Premedical;Female;*Health Knowledge, Attitudes, Practice;Humans;*Intellectual Disability;Male;*Mental Disorders;Prejudice;Psychometrics;*Students/px Psychology];*Substance-Related Disorders;Surveys and Questionnaires;Young Adult</t>
  </si>
  <si>
    <t>BACKGROUND: There is a long history of certain medical conditions being associated with stigma, stereotypes, and negative attitudes. Research has shown that such attitudes can have a detrimental effect on patients presenting with stigmatised medical conditions and can even flow on to impact their family. The objective of this study was to measure the attitudes of undergraduate students enrolled in six different health-related courses at Monash University toward patients with intellectual disability, substance abuse, and acute mental illness. METHODS: A convenience sample of undergraduate students enrolled in six health-related courses in first, second and third years at Monash University were surveyed. The Medical Condition Regard Scale--a valid and reliable, self-report measure of attitudes--was administered to students along with a brief demographic form. Mean scores, t-tests, and ANOVA were used to analyse student attitudes. Ethics approval was granted. RESULTS: 548 students participated. Statistically significant differences were found between the courses (p = 0.05), year of the course (p = 0.09), and gender (p = 0.04) for the medical condition of intellectual disability. There was no statistically significant difference between the courses, year of the course, gender, and age group for substance abuse or acute mental illness conditions. CONCLUSION: The findings suggest that students in undergraduate health-related courses, as a group, have a strong regard for patients with intellectual disability and some regard for patients with acute mental illness, but not for patients presenting with substance abuse problems.</t>
  </si>
  <si>
    <t>J2: BMC Med Educ; Boyle, Malcolm J Williams, Brett Brown, Ted Molloy, Andrew McKenna, Lisa Molloy, Elizabeth Lewis, Belinda; ID: 550</t>
  </si>
  <si>
    <t>Boyle, Malcolm J. Department of Community Emergency Health and Paramedic Practice, Monash University, PO Box 527, Frankston 3199, Victoria, Australia. Mal.Boyle@monash.edu</t>
  </si>
  <si>
    <t>http://ovidsp.ovid.com/ovidweb.cgi?T=JS&amp;CSC=Y&amp;NEWS=N&amp;PAGE=fulltext&amp;D=med6&amp;AN=20964840</t>
  </si>
  <si>
    <t>https://dx.doi.org/10.1186/1472-6920-10-71</t>
  </si>
  <si>
    <t>MEDLINE; Ovid Technologies; Attitudes of undergraduate health science students towards patients with intellectual disability, substance abuse, and acute mental illness: a cross-sectional study</t>
  </si>
  <si>
    <t>Bradley,K. A.;Larson,E. B.</t>
  </si>
  <si>
    <t>Training physicians to help patients who drink too much</t>
  </si>
  <si>
    <t>*Alcoholism/di Diagnosis];Alcoholism/ep Epidemiology];Attitude of Health Personnel;*Family Practice/ed Education];Female;Humans;*Internal Medicine/ed Education];*Internship and Residency;Male;Medical History Taking;Physician-Patient Relations</t>
  </si>
  <si>
    <t>J2: J Gen Intern Med; Bradley, K A Larson, E B Comment on: J Gen Intern Med. 1994 May;9(5):248-54; PMID: 8046526; ID: 1223</t>
  </si>
  <si>
    <t>http://ovidsp.ovid.com/ovidweb.cgi?T=JS&amp;CSC=Y&amp;NEWS=N&amp;PAGE=fulltext&amp;D=med3&amp;AN=8046535</t>
  </si>
  <si>
    <t>MEDLINE; Ovid Technologies; Training physicians to help patients who drink too much</t>
  </si>
  <si>
    <t>Brady,K. T.</t>
  </si>
  <si>
    <t>Recognizing and treating dual diagnosis in general health care settings: core competencies and how to achieve them</t>
  </si>
  <si>
    <t>*Alcoholism/di Diagnosis];Alcoholism/ep Epidemiology];Alcoholism/px Psychology];Alcoholism/rh Rehabilitation];Clinical Competence;Cooperative Behavior;Cross-Sectional Studies;Diagnosis, Differential;Education, Medical, Continuing;Humans;Interdisciplinary Communication;Mass Screening/sn Statistics &amp; Numerical Data];*Mental Disorders/di Diagnosis];Mental Disorders/ep Epidemiology];Mental Disorders/px Psychology];Mental Disorders/rh Rehabilitation];Patient Care Team;Primary Health Care/sn Statistics &amp; Numerical Data];Psychotherapy;Psychotropic Drugs/ae Adverse Effects];Psychotropic Drugs/tu Therapeutic Use];Secondary Prevention;*Substance-Related Disorders/di Diagnosis];Substance-Related Disorders/ep Epidemiology];Substance-Related Disorders/px Psychology];Substance-Related Disorders/rh Rehabilitation];United States;0 (Psychotropic Drugs)</t>
  </si>
  <si>
    <t>J2: Subst Abus; Brady, Kathleen T; ID: 367</t>
  </si>
  <si>
    <t>Brady, Kathleen T. Department of Psychiatry, Medical University of South Carolina, Charleston, SC, USA.</t>
  </si>
  <si>
    <t>http://ovidsp.ovid.com/ovidweb.cgi?T=JS&amp;CSC=Y&amp;NEWS=N&amp;PAGE=fulltext&amp;D=med4&amp;AN=23580992</t>
  </si>
  <si>
    <t>MEDLINE; Ovid Technologies; Recognizing and treating dual diagnosis in general health care settings: core competencies and how to achieve them</t>
  </si>
  <si>
    <t>Bramness,J. G.;Clausen,T.;Duckert,F.;Ravndal,E.;Waal,H.</t>
  </si>
  <si>
    <t>Addiction research centres and the nurturing of creativity The Norwegian Centre for Addiction Research (SERAF)</t>
  </si>
  <si>
    <t>*Academies and Institutes/og Organization &amp; Administration];Behavior, Addictive;Cooperative Behavior;Creativity;Education, Medical, Graduate/og Organization &amp; Administration];Hospitals, University;Humans;Norway;Opiate Substitution Treatment;Organizational Objectives;Organizational Policy;Registries;Research Support as Topic;Substance Abuse Treatment Centers;*Substance-Related Disorders/rh Rehabilitation]</t>
  </si>
  <si>
    <t>The Norwegian Centre for Addiction Research (SERAF) at the University of Oslo is a newly established, clinical addiction research centre. It is located at the Oslo University Hospital and has a major focus on opioid dependency, investigating Norwegian opioid maintenance treatment (OMT), with special interest in OMT during pregnancy, mortality, morbidity and criminality before, during and after OMT and alternatives to OMT, such as the use of naltrexone implants. The well-developed health registries of Norway are core assets that also allow the opportunity for other types of substance abuse research. This research includes health services, abuse of prescription drugs and drugs of abuse in connection with traffic. The centre also focuses upon comorbidity, investigating the usefulness and limitations of psychometric instruments, drug abuse in different psychiatric treatment settings and internet-based interventions for hazardous alcohol consumption.</t>
  </si>
  <si>
    <t>J2: Addiction; Bramness, Jorgen G Clausen, Thomas Duckert, Fanny Ravndal, Edle Waal, Helge; ID: 491</t>
  </si>
  <si>
    <t>Bramness, Jorgen G. Norwegian Centre for Addiction Research, University of Oslo, Oslo, Norway. j.g.bramness@medisin.uio.no</t>
  </si>
  <si>
    <t>http://ovidsp.ovid.com/ovidweb.cgi?T=JS&amp;CSC=Y&amp;NEWS=N&amp;PAGE=fulltext&amp;D=med7&amp;AN=20735364</t>
  </si>
  <si>
    <t>https://dx.doi.org/10.1111/j.1360-0443.2010.03086.x</t>
  </si>
  <si>
    <t>MEDLINE; Ovid Technologies; Addiction research centres and the nurturing of creativity The Norwegian Centre for Addiction Research (SERAF)</t>
  </si>
  <si>
    <t>Brandys,J.;Panas,M.;Skowron,A.;Przybycien,A.</t>
  </si>
  <si>
    <t>Competence of pharmacy students of the Jagiellonian University Medical College, Department of Pharmacy in Cracow in the problem of tobacco addiction]</t>
  </si>
  <si>
    <t>Adult;*Education, Pharmacy/sn Statistics &amp; Numerical Data];Female;*Health Knowledge, Attitudes, Practice;Health Promotion/og Organization &amp; Administration];Humans;Male;Poland/ep Epidemiology];Program Development;*Smoking/ep Epidemiology];Smoking Prevention;*Students/sn Statistics &amp; Numerical Data];*Tobacco Use Disorder/ep Epidemiology];Young Adult</t>
  </si>
  <si>
    <t>Over 1.2 billion people in the world are addicted to tobacco products. Tobacco smoke contributes to increased risk cardiovascular diseases, respiratory diseases and development of cancers. A survey carried out in lines of medical students was assessed prevalence of smoking and attitudes toward the problem of smoking. This research has never been carried out with departments of pharmaceutical students. The aim of this work was to assess the level of knowledge of students Pharmaceutical Faculty of the Jagiellonian University in Krakow addiction from smoking cigarettes, the harmfulness of smoking, knowledge of preparations used in the course of emergence from addiction and move topic dependence on tobacco smoking during the study. Carried a voluntary and anonymous survey, allow for verify and compare the knowledge of issues related to smoking, as well as some idea of how many students smoke cigarettes. The study was performed in the group of 485 students, including 378 from the Pharmaceutical Faculty and 107 from Medical Laboratory Department from all years. As is clear from the survey conducted students from higher years to cope better with questions about carcinogens, diseases caused by tobacco smoking and have bigger knowledge about antinicotine preparations. Among students from IV and V years is also the most people claiming that they can provide anti-smoking advice. It was found the largest proportion of smoking students on the IV and V year. The greatest knowledge of tobacco dependence Faculty of Pharmacy students acquired in class with toxicology, physiology and biology. Universities have a huge scope for action in conducting antinicotine programs.</t>
  </si>
  <si>
    <t>J2: Przegl Lek; Polish Brandys, Jerzy Panas, Malgorzata Skowron, Agnieszka Przybycien, Agata; OP: Stan wiedzy studentow farmacji wydzialu farmaceutycznego Uniwersytetu Jagiellonskiego Collegium Medicum w Krakowie o uzaleznieniu od palenia papierosow; ID: 577</t>
  </si>
  <si>
    <t>Brandys, Jerzy. Katedra i Zaklad Toksykologii, Uniwersytet Jagiellonski, Collegium Medicum, Krakow.</t>
  </si>
  <si>
    <t>http://ovidsp.ovid.com/ovidweb.cgi?T=JS&amp;CSC=Y&amp;NEWS=N&amp;PAGE=fulltext&amp;D=med6&amp;AN=20301917</t>
  </si>
  <si>
    <t>MEDLINE; Ovid Technologies; [Competence of pharmacy students of the Jagiellonian University Medical College, Department of Pharmacy in Cracow in the problem of tobacco addiction]</t>
  </si>
  <si>
    <t>Bray,J. H.;Kowalchuk,A.;Waters,V.;Allen,E.;Laufman,L.;Shilling,E. H.</t>
  </si>
  <si>
    <t>Baylor Pediatric SBIRT Medical Residency Training Program: model description and evaluation</t>
  </si>
  <si>
    <t>Clinical Competence;*Curriculum;Female;Humans;*Internship and Residency;Male;*Pediatrics/ed Education];*Program Development;*Program Evaluation;Psychotherapy, Brief/ed Education];Referral and Consultation;*Substance-Related Disorders/di Diagnosis];*Substance-Related Disorders/th Therapy];Texas</t>
  </si>
  <si>
    <t>BACKGROUND: The Baylor College of Medicine SBIRT Medical Residency Training Program is a multilevel project that trains residents and faculty in evidenced-based screening, brief intervention, and referral to treatment methods for alcohol and substance use problems. METHODS: This paper describes the training program created for pediatric residents and provides an evaluation of the program. Ninety-five first-year pediatric residents participated in the training program. They were assessed on satisfaction with the program, self-rated skills, observed competency, and implementation into clinical practice. RESULTS: The program was successfully incorporated into the residency curricula in two pediatric residencies. Evaluations indicate a high degree of satisfaction with the program, self-reported improvement in SBIRT skills, observed proficiency in SBIRT skills, and utilization of SBIRT skills in clinical practice. CONCLUSIONS: SBIRT skills training can be incorporated into pediatric residency training, and residents are able to learn and implement the skills in clinical practice.</t>
  </si>
  <si>
    <t>J2: Subst Abus; Bray, James H Kowalchuk, Alicia Waters, Vicki Allen, Erin Laufman, Larry Shilling, Elizabeth H; ID: 218</t>
  </si>
  <si>
    <t>Bray, James H. a Department of Family &amp; Community Medicine , Baylor College of Medicine , Houston , Texas , USA.</t>
  </si>
  <si>
    <t>http://ovidsp.ovid.com/ovidweb.cgi?T=JS&amp;CSC=Y&amp;NEWS=N&amp;PAGE=fulltext&amp;D=med8&amp;AN=25148650</t>
  </si>
  <si>
    <t>https://dx.doi.org/10.1080/08897077.2014.954026</t>
  </si>
  <si>
    <t>MEDLINE; Ovid Technologies; Baylor Pediatric SBIRT Medical Residency Training Program: model description and evaluation</t>
  </si>
  <si>
    <t>Bray,J. H.;Kowalchuk,A.;Waters,V.;Laufman,L.;Shilling,E. H.</t>
  </si>
  <si>
    <t>Baylor SBIRT Medical Residency Training Program: model description and initial evaluation</t>
  </si>
  <si>
    <t>*Curriculum/st Standards];Education, Medical, Graduate/mt Methods];Family Practice/ed Education];Female;Humans;Internal Medicine/ed Education];*Internship and Residency/mt Methods];Internship and Residency/st Standards];Male;Program Development;Psychiatry/ed Education];*Psychotherapy, Brief;*Referral and Consultation;*Substance Abuse Detection</t>
  </si>
  <si>
    <t>The Baylor College of Medicine SBIRT Medical Residency Training Program is a multilevel project that trains residents and faculty in evidenced-based screening, brief intervention, and referral to treatment (SBIRT) methods for alcohol and substance use problems. This paper describes the training program and provides initial evaluation after the first year of the project. The program was successfully incorporated into the residency curricula in family medicine, internal medicine, and psychiatry. Initial evaluations indicate a high degree of satisfaction with the program and, despite a slight decrease in satisfaction scores, participants remained satisfied with the program after 30 days. Implementation barriers, solutions, and future directions of the program are discussed.</t>
  </si>
  <si>
    <t>J2: Subst Abus; Bray, James H Kowalchuk, Alicia Waters, Vicki Laufman, Larry Shilling, Elizabeth H; ID: 419</t>
  </si>
  <si>
    <t>Bray, James H. Department of Family and Community Medicine, Baylor College of Medicine, Houston, Texas 77098, USA. jbray@bcm.edu</t>
  </si>
  <si>
    <t>http://ovidsp.ovid.com/ovidweb.cgi?T=JS&amp;CSC=Y&amp;NEWS=N&amp;PAGE=fulltext&amp;D=med7&amp;AN=22738000</t>
  </si>
  <si>
    <t>https://dx.doi.org/10.1080/08897077.2011.640160</t>
  </si>
  <si>
    <t>MEDLINE; Ovid Technologies; Baylor SBIRT Medical Residency Training Program: model description and initial evaluation</t>
  </si>
  <si>
    <t>Breen,L. J.;Fernandez,M.;O'Connor,M.;Pember,A. J.</t>
  </si>
  <si>
    <t>The preparation of graduate health professionals for working with bereaved clients: an Australian perspective</t>
  </si>
  <si>
    <t>Omega - Journal of Death &amp; Dying</t>
  </si>
  <si>
    <t>Adaptation, Psychological;Adult;*Attitude of Health Personnel;*Attitude to Death;Australia;Curriculum;Female;*Grief;Health Personnel/px Psychology];*Health Personnel/sn Statistics &amp; Numerical Data];Humans;Male;Needs Assessment;*Professional-Family Relations;Students, Health Occupations/px Psychology];*Students, Health Occupations/sn Statistics &amp; Numerical Data];Young Adult</t>
  </si>
  <si>
    <t>Students enrolled in health profession courses require grief education so that, upon graduation, they are able to meet the needs of clients living with loss and grief. We investigated grief and loss education in six Australian university programs--medicine, nursing, counseling, psychology, social work, and occupational therapy--drawing from course documents and face-to-face interviews with key staff and final-year students. Only the counseling course included a dedicated grief and loss unit. The nursing, medicine, and occupational therapy courses emphasized end-of-life issues rather than a breadth of bereavement experiences. The social work course taught grief as a socially-constructed practice and the psychology course focused on grief and loss in addiction. Several factors influenced the delivery of grief education, including staffing, time, placement opportunities, student feedback, and needs of each profession. The study provides an indication as to how future health professionals are prepared for grief and loss issues in their practice.</t>
  </si>
  <si>
    <t>J2: Omega (Westport); Breen, Lauren J Fernandez, Maria O'Connor, Moira Pember, Amiee-Jade; ID: 359</t>
  </si>
  <si>
    <t>0030-2228</t>
  </si>
  <si>
    <t>Breen, Lauren J. School of Psychology and Speech Pathology, Curtin University, Perth, Western Australia, Australia. lauren.breen@curtin.edu.au</t>
  </si>
  <si>
    <t>http://ovidsp.ovid.com/ovidweb.cgi?T=JS&amp;CSC=Y&amp;NEWS=N&amp;PAGE=fulltext&amp;D=med7&amp;AN=23785983</t>
  </si>
  <si>
    <t>MEDLINE; Ovid Technologies; The preparation of graduate health professionals for working with bereaved clients: an Australian perspective</t>
  </si>
  <si>
    <t>Brennan,J. G.;Dixon,W. T.;Snider,S.</t>
  </si>
  <si>
    <t>Continuing education in alcoholism: attitude change as a measure of seminar effectiveness</t>
  </si>
  <si>
    <t>*Alcoholism/th Therapy];*Attitude of Health Personnel;*Education, Medical, Continuing;Evaluation Studies as Topic;Humans;Maryland;Surveys and Questionnaires</t>
  </si>
  <si>
    <t>J2: Md State Med J; Brennan, J G Dixon, W T Snider, S; ID: 1560</t>
  </si>
  <si>
    <t>http://ovidsp.ovid.com/ovidweb.cgi?T=JS&amp;CSC=Y&amp;NEWS=N&amp;PAGE=fulltext&amp;D=med1&amp;AN=4449267</t>
  </si>
  <si>
    <t>MEDLINE; Ovid Technologies; Continuing education in alcoholism: attitude change as a measure of seminar effectiveness</t>
  </si>
  <si>
    <t>Brereton,R.;Gerdtz,M.</t>
  </si>
  <si>
    <t>Alcohol and Other Drug (AOD) Education for Hospital Staff: An Integrative Literature Review</t>
  </si>
  <si>
    <t>Issues in Mental Health Nursing</t>
  </si>
  <si>
    <t>Issues Ment.Health Nurs.</t>
  </si>
  <si>
    <t>Attitude of Health Personnel;*Education, Medical;*Education, Nursing;Humans;Personnel, Hospital;*Substance-Related Disorders</t>
  </si>
  <si>
    <t>Alcohol and Other Drug (AOD) education amongst hospital staff is often inadequate. This leads to suboptimal care of patients and is a missed opportunity for early identification and treatment. This integrative review evaluates the core features of current education for hospital-based doctors and nurses in AOD, including country of origin, content, duration, and pedagogy. The majority of included studies were conducted in the USA (72%), target alcohol rather than AOD in general (72%), adopted a purely medical model of treatment (94%), and utilised a Screening, Brief Intervention, and Referral to Treatment (SBIRT) model (94%). The overall quality of the studies was weak-moderate, which led to small effect sizes in most studies and limits the generalizability of any conclusions. More high quality research trials are needed to establish the core features of effective AOD education for hospital staff. Future research should include a focus on the psychosocial context of addiction, other drug use and the impact of negative attitudes on care delivery.</t>
  </si>
  <si>
    <t>J2: Issues Ment Health Nurs; Brereton, Rebecca Gerdtz, Marie; ID: 67</t>
  </si>
  <si>
    <t>1096-4673</t>
  </si>
  <si>
    <t>Brereton, Rebecca. a Alfred Psychiatry , Melbourne , Australia. Gerdtz, Marie. b School of Nursing, University of Melbourne , Melbourne , Australia.</t>
  </si>
  <si>
    <t>http://ovidsp.ovid.com/ovidweb.cgi?T=JS&amp;CSC=Y&amp;NEWS=N&amp;PAGE=fulltext&amp;D=med8&amp;AN=27960576</t>
  </si>
  <si>
    <t>https://dx.doi.org/10.1080/01612840.2016.1248876</t>
  </si>
  <si>
    <t>MEDLINE; Ovid Technologies; Alcohol and Other Drug (AOD) Education for Hospital Staff: An Integrative Literature Review</t>
  </si>
  <si>
    <t>Brewer,C.</t>
  </si>
  <si>
    <t>Harm-reduction for unwanted pregnancies and unwanted addictions: an instructive analogy</t>
  </si>
  <si>
    <t>Adicciones</t>
  </si>
  <si>
    <t>Ambulatory Care Facilities;Female;*Harm Reduction;Humans;Pregnancy;*Pregnancy, Unwanted;Substance-Related Disorders/ep Epidemiology];*Substance-Related Disorders/rh Rehabilitation]</t>
  </si>
  <si>
    <t>Addiction treatment aims to reduce the harm that addiction causes to individuals and society. However, many clinics, especially in the private sector, have ideological objections to using medico-pharmacological treatments and are often critical of other services that do offer pharmacological treatments. This situation contrasts sharply with the attitude of family planning (FP) clinics, even though they too aim to reduce harm. Ironically, the most anti-pharmacological clinics are often those which proclaim most loudly that addiction is a 'disease', while avoiding unwanted pregnancy, which is not usually seen as a disease, is widely and effectively achieved with medical techniques. FP clinics typically consider widely varying patterns of sexual behaviour, social contexts and patient attitudes in devising individual treatment plans, while addiction clinics commonly have a one-size-fits-all, take-it-or-leave- it approach. Addiction services could learn some useful clinical and ideological lessons from FP clinics.</t>
  </si>
  <si>
    <t>J2: Adicciones; Brewer, Colin; ID: 694</t>
  </si>
  <si>
    <t>0214-4840</t>
  </si>
  <si>
    <t>English Spanish</t>
  </si>
  <si>
    <t>http://ovidsp.ovid.com/ovidweb.cgi?T=JS&amp;CSC=Y&amp;NEWS=N&amp;PAGE=fulltext&amp;D=med6&amp;AN=18299776</t>
  </si>
  <si>
    <t>MEDLINE; Ovid Technologies; Harm-reduction for unwanted pregnancies and unwanted addictions: an instructive analogy</t>
  </si>
  <si>
    <t>Brewer,P. A.</t>
  </si>
  <si>
    <t>Substance abuse and emergency medicine: not so benign neglect</t>
  </si>
  <si>
    <t>*Curriculum;*Emergency Medicine/ed Education];Humans;*Substance-Related Disorders</t>
  </si>
  <si>
    <t>J2: Acad Emerg Med; Brewer, P A; ID: 1115</t>
  </si>
  <si>
    <t>1069-6563</t>
  </si>
  <si>
    <t>http://ovidsp.ovid.com/ovidweb.cgi?T=JS&amp;CSC=Y&amp;NEWS=N&amp;PAGE=fulltext&amp;D=med4&amp;AN=9523944</t>
  </si>
  <si>
    <t>MEDLINE; Ovid Technologies; Substance abuse and emergency medicine: not so benign neglect</t>
  </si>
  <si>
    <t>Brewster,J. M.</t>
  </si>
  <si>
    <t>Medical education needed for smoking cessation</t>
  </si>
  <si>
    <t>Behavior Therapy/ed Education];Counseling/ed Education];*Education, Medical/mt Methods];Female;Humans;Male;Needs Assessment;Ontario;Physician-Patient Relations;*Smoking Cessation/mt Methods]</t>
  </si>
  <si>
    <t>J2: Cmaj; Brewster, Joan M; ID: 551</t>
  </si>
  <si>
    <t>1488-2329</t>
  </si>
  <si>
    <t>http://ovidsp.ovid.com/ovidweb.cgi?T=JS&amp;CSC=Y&amp;NEWS=N&amp;PAGE=fulltext&amp;D=med6&amp;AN=21059784</t>
  </si>
  <si>
    <t>https://dx.doi.org/10.1503/cmaj.110-2119</t>
  </si>
  <si>
    <t>MEDLINE; Ovid Technologies; Medical education needed for smoking cessation</t>
  </si>
  <si>
    <t>Brewster,J. M.;Single,E.;Ashley,M. J.;Chow,Y. C.;Skinner,H. A.;Rankin,J. G.</t>
  </si>
  <si>
    <t>Preventing alcohol problems: survey of Canadian medical schools</t>
  </si>
  <si>
    <t>*Alcoholism/pc Prevention &amp; Control];Canada;Clinical Competence/st Standards];Communication;Curriculum;Education, Medical, Graduate/og Organization &amp; Administration];Evaluation Studies as Topic;Government Agencies;Humans;*Physician's Role;*Schools, Medical/og Organization &amp; Administration];Surveys and Questionnaires</t>
  </si>
  <si>
    <t>In preparation for a national conference on medical education in the prevention of alcohol problems, a survey of conference participants was conducted. Participants were undergraduate and postgraduate representatives from each Canadian medical school and representatives from 11 provincial and territorial alcohol and other drug agencies. There was agreement that physicians and medical schools have important roles in prevention and treatment of alcohol problems, with "traditional" medical roles seen as the most important. Current training is variable and was seen as inadequate, with more time devoted to treatment than prevention. To correct this situation, renewed priorities and faculty leadership are needed. Respondents felt that there should be uniform standards for assessing undergraduate students' skills in dealing with alcohol problems. Provincial alcohol and other drug agencies are underused in medical education in the prevention and treatment of alcohol problems.</t>
  </si>
  <si>
    <t>J2: Cmaj; Brewster, J M Single, E Ashley, M J Chow, Y C Skinner, H A Rankin, J G; ID: 1335</t>
  </si>
  <si>
    <t>Brewster, J M. Addiction Research Foundation of Ontario, Toronto.</t>
  </si>
  <si>
    <t>http://ovidsp.ovid.com/ovidweb.cgi?T=JS&amp;CSC=Y&amp;NEWS=N&amp;PAGE=fulltext&amp;D=med3&amp;AN=2224676</t>
  </si>
  <si>
    <t>MEDLINE; Ovid Technologies; Preventing alcohol problems: survey of Canadian medical schools</t>
  </si>
  <si>
    <t>Briggs,T. G.</t>
  </si>
  <si>
    <t>Alcoholism. What are you doing with your alcoholic patient?</t>
  </si>
  <si>
    <t>Minnesota medicine</t>
  </si>
  <si>
    <t>Minn.Med.</t>
  </si>
  <si>
    <t>*Alcoholism/th Therapy];*Attitude of Health Personnel;Education, Medical;Female;Humans;Male</t>
  </si>
  <si>
    <t>J2: Minn Med; Briggs, T G; ID: 1569</t>
  </si>
  <si>
    <t>0026-556X</t>
  </si>
  <si>
    <t>http://ovidsp.ovid.com/ovidweb.cgi?T=JS&amp;CSC=Y&amp;NEWS=N&amp;PAGE=fulltext&amp;D=med1&amp;AN=4756982</t>
  </si>
  <si>
    <t>MEDLINE; Ovid Technologies; Alcoholism. What are you doing with your alcoholic patient?</t>
  </si>
  <si>
    <t>Brinker,T. J.;Owczarek,A. D.;Seeger,W.;Groneberg,D. A.;Brieske,C. M.;Jansen,P.;Klode,J.;Stoffels,I.;Schadendorf,D.;Izar,B.;Fries,F. N.;Hofmann,F. J.</t>
  </si>
  <si>
    <t>A Medical Student-Delivered Smoking Prevention Program, Education Against Tobacco, for Secondary Schools in Germany: Randomized Controlled Trial</t>
  </si>
  <si>
    <t>Journal of Medical Internet Research</t>
  </si>
  <si>
    <t>e199</t>
  </si>
  <si>
    <t>Adolescent;Child;Female;Germany;Humans;Male;Prospective Studies;Research Design;*School Health Services/ut Utilization];*Schools/ut Utilization];Smoking/ep Epidemiology];*Smoking/px Psychology];*Smoking Cessation/mt Methods];*Smoking Prevention/mt Methods];*Students, Medical/px Psychology];Surveys and Questionnaires;Tobacco</t>
  </si>
  <si>
    <t>BACKGROUND: More than 8.5 million Germans suffer from chronic diseases attributable to smoking. Education Against Tobacco (EAT) is a multinational network of medical students who volunteer for school-based prevention in the classroom setting, amongst other activities. EAT has been implemented in 28 medical schools in Germany and is present in 13 additional countries around the globe. A recent quasi-experimental study showed significant short-term smoking cessation effects on 11-to-15-year-old adolescents. OBJECTIVE: The aim of this study was to provide the first randomized long-term evaluation of the optimized 2014 EAT curriculum involving a photoaging software for its effectiveness in reducing the smoking prevalence among 11-to-15-year-old pupils in German secondary schools. METHODS: A randomized controlled trial was undertaken with 1504 adolescents from 9 German secondary schools, aged 11-15 years in grades 6-8, of which 718 (47.74%) were identifiable for the prospective sample at the 12-month follow-up. The experimental study design included measurements at baseline (t1), 6 months (t2), and 12 months postintervention (t3), via questionnaire. The study groups consisted of 40 randomized classes that received the standardized EAT intervention (two medical student-led interactive modules taking 120 minutes total) and 34 control classes within the same schools (no intervention). The primary endpoint was the difference in smoking prevalence from t1 to t3 in the control group versus the difference from t1 to t3 in the intervention group. The differences in smoking behavior (smoking onset, quitting) between the two groups, as well as gender-specific effects, were studied as secondary outcomes. RESULTS: None of the effects were significant due to a high loss-to-follow-up effect (52.26%, 786/1504). From baseline to the two follow-up time points, the prevalence of smoking increased from 3.1% to 5.2% to 7.2% in the control group and from 3.0% to 5.4% to 5.8% in the intervention group (number needed to treat NNT]=68). Notable differences were observed between the groups for the female gender (4.2% to 9.5% for control vs 4.0% to 5.2% for intervention; NNT=24 for females vs NNT=207 for males), low educational background (7.3% to 12% for control vs 6.1% to 8.7% for intervention; NNT=30), and migrational background (students who claimed that at least one parent was not born in Germany) at the 12-month follow-up. The intervention appears to prevent smoking onset (NNT=63) but does not appear to initiate quitting. CONCLUSIONS: The intervention appears to prevent smoking, especially in females and students with a low educational background.</t>
  </si>
  <si>
    <t>J2: J Med Internet Res; Brinker, Titus Josef Owczarek, Andreas Dawid Seeger, Werner Groneberg, David Alexander Brieske, Christian Martin Jansen, Philipp Klode, Joachim Stoffels, Ingo Schadendorf, Dirk Izar, Benjamin Fries, Fabian Norbert Hofmann, Felix Johannes; ID: 40</t>
  </si>
  <si>
    <t>1438-8871</t>
  </si>
  <si>
    <t>Brinker, Titus Josef. Universities of Giessen and Marburg Lung Center; Member of the German Center for Lung Research (DZL), Department of Internal Medicine, Justus-Liebig-University of Giessen, Giessen, Germany. Brinker, Titus Josef. Institute of Occupational Medicine, Social Medicine and Environmental Medicine, Goethe-University, Frankfurt am Main, Germany. Brinker, Titus Josef. Essen University Hospital, Department of Dermatology, Venerology and Allergology, University of Duisburg-Essen, Essen, Germany. Brinker, Titus Josef. West German Cancer Center, University Duisburg-Essen, Essen, Germany. Brinker, Titus Josef. German Cancer Consortium (DKTK), University of Heidelberg, Heidelberg, Germany. Owczarek, Andreas Dawid. Universities of Giessen and Marburg Lung Center; Member of the German Center for Lung Research (DZL), Department of Internal Medicine, Justus-Liebig-University of Giessen, Giessen, Germany. Seeger, Werner. Universities of Giessen and Marburg Lung Center; Member of the German Center for Lung Research (DZL), Department of Internal Medicine, Justus-Liebig-University of Giessen, Giessen, Germany. Groneberg, David Alexander. Institute of Occupational Medicine, Social Medicine and Environmental Medicine, Goethe-University, Frankfurt am Main, Germany. Brieske, Christian Martin. Essen University Hospital, Department of Dermatology, Venerology and Allergology, University of Duisburg-Essen, Essen, Germany. Brieske, Christian Martin. West German Cancer Center, University Duisburg-Essen, Essen, Germany. Brieske, Christian Martin. German Cancer Consortium (DKTK), University of Heidelberg, Heidelberg, Germany. Jansen, Philipp. Essen University Hospital, Department of Dermatology, Venerology and Allergology, University of Duisburg-Essen, Essen, Germany. Jansen, Philipp. West German Cancer Center, University Duisburg-Essen, Essen, Germany. Jansen, Philipp. German Cancer Consortium (DKTK), University of Heidelberg, Heidelberg, Germany. Klode, Joachim. Esse(TRUNCATED)</t>
  </si>
  <si>
    <t>http://ovidsp.ovid.com/ovidweb.cgi?T=JS&amp;CSC=Y&amp;NEWS=N&amp;PAGE=fulltext&amp;D=medl&amp;AN=28588007</t>
  </si>
  <si>
    <t>https://dx.doi.org/10.2196/jmir.7906</t>
  </si>
  <si>
    <t>MEDLINE; Ovid Technologies; A Medical Student-Delivered Smoking Prevention Program, Education Against Tobacco, for Secondary Schools in Germany: Randomized Controlled Trial</t>
  </si>
  <si>
    <t>Brinker,T. J.;Stamm-Balderjahn,S.;Seeger,W.;Groneberg,D. A.</t>
  </si>
  <si>
    <t>Education Against Tobacco (EAT): a quasi-experimental prospective evaluation of a programme for preventing smoking in secondary schools delivered by medical students: a study protocol</t>
  </si>
  <si>
    <t>BMJ Open</t>
  </si>
  <si>
    <t>e004909</t>
  </si>
  <si>
    <t>Adolescent;Child;Female;Germany;Health Education/mt Methods];*Health Education;Humans;Male;Program Evaluation;Prospective Studies;Research Design;Schools;*Smoking Prevention;*Students, Medical</t>
  </si>
  <si>
    <t>INTRODUCTION: A survey conducted by the German Federal Centre for Health Education in 2012 showed that 35.2% of all young adults (18-25 years) and 12.0% of all adolescents (12-17 years) in Germany are regular cigarette smokers. Most smoked their first cigarette in early adolescence. We recently reported a significantly positive short-term effect of a physician-delivered school-based smoking prevention programme on the smoking behaviour of schoolchildren in Germany. However, physician-based programmes are usually very expensive. Therefore, we will evaluate and optimise Education against Tobacco (EAT), a widespread, low-cost programme delivered by about 400 medical students from 16 universities in Germany. METHODS AND ANALYSIS: A prospective quasi-experimental study design with two measurements at baseline (t1) and 6 months post-intervention (t2) to investigate an intervention in 10-15-year-olds in grades 6-8 at German secondary schools. The intervention programme consists of two 60-min school-based medical-student-delivered modules with (module 1) and without the involvement of patients with tobacco-related diseases and control groups (no intervention). The study questionnaire measuring smoking status (water pipe and cigarette smoking), smoking-related cognitions, and gender, social and cultural aspects was designed and pre-tested in advance. The primary end point is the prevalence of smokers and non-smokers in the two study arms at 6 months after the intervention. The percentage of former smokers and new smokers in the two groups and the measures of smoking behaviour will be studied as secondary outcome measures. ETHICS AND DISSEMINATION: In accordance with Good Epidemiologic Practice (GEP) guidelines, the study protocol was submitted for approval by the responsible ethics committee, which decided that the study does not need ethical approval (Goethe University, Frankfurt-Main, Germany). Findings will be disseminated in peer-reviewed journals, at conferences, within our scientific advisory board and through medical students within the EAT project.</t>
  </si>
  <si>
    <t>J2: BMJ Open; Brinker, Titus J Stamm-Balderjahn, Sabine Seeger, Werner Groneberg, David A; ID: 174</t>
  </si>
  <si>
    <t>2044-6055</t>
  </si>
  <si>
    <t>Brinker, Titus J. Institute of Occupational Medicine, Social Medicine and Environmental Medicine, Goethe-University, Frankfurt, Germany. Stamm-Balderjahn, Sabine. Institute of Medical Sociology, Charite University Medicine, Berlin, Germany. Seeger, Werner. University of Giessen and Marburg Lung Center (UGMLC), Max-Planck Institute for Heart and Lung Research Bad Nauheim/Giessen, member of the German Center for Lung Research (DZL), Germany. Groneberg, David A. Institute of Occupational Medicine, Social Medicine and Environmental Medicine, Goethe-University, Frankfurt, Germany.</t>
  </si>
  <si>
    <t>http://ovidsp.ovid.com/ovidweb.cgi?T=JS&amp;CSC=Y&amp;NEWS=N&amp;PAGE=fulltext&amp;D=med8&amp;AN=25059969</t>
  </si>
  <si>
    <t>https://dx.doi.org/10.1136/bmjopen-2014-004909</t>
  </si>
  <si>
    <t>MEDLINE; Ovid Technologies; Education Against Tobacco (EAT): a quasi-experimental prospective evaluation of a programme for preventing smoking in secondary schools delivered by medical students: a study protocol</t>
  </si>
  <si>
    <t>Brinker,T. J.;Stamm-Balderjahn,S.;Seeger,W.;Klingelhofer,D.;Groneberg,D. A.</t>
  </si>
  <si>
    <t>Education Against Tobacco (EAT): a quasi-experimental prospective evaluation of a multinational medical-student-delivered smoking prevention programme for secondary schools in Germany</t>
  </si>
  <si>
    <t>e008093</t>
  </si>
  <si>
    <t>Adolescent;Child;Female;Follow-Up Studies;Germany/ep Epidemiology];Humans;Incidence;Male;Prevalence;Program Evaluation;Prospective Studies;*School Health Services/og Organization &amp; Administration];*Schools;Smoking/ep Epidemiology];*Smoking Cessation/mt Methods];*Smoking Prevention;*Students, Medical/sn Statistics &amp; Numerical Data];Surveys and Questionnaires</t>
  </si>
  <si>
    <t>OBJECTIVES: To evaluate the multinational medical-student-delivered tobacco prevention programme for secondary schools for its effectiveness to reduce the smoking prevalence among adolescents aged 11-15 years in Germany at half year follow-up. SETTING: We used a prospective quasi-experimental study design with measurements at baseline (t1) and 6 months postintervention (t2) to investigate an intervention in 8 German secondary schools. The participants were split into intervention and control classes in the same schools and grades. PARTICIPANTS: A total of 1474 eligible participants of both genders at the age of 11-15 years were involved within the survey for baseline assessment of which 1200 completed the questionnaire at 6-month follow-up (=longitudinal sample). The schools participated voluntarily. The inclusion criteria were age (10-15 years), grade (6-8) and school type (regular secondary schools). INTERVENTION: Two 60 min school-based modules delivered by medical students. PRIMARY AND SECONDARY OUTCOME MEASURES: The primary end point was the difference from t1 to t2 of the smoking prevalence in the control group versus the difference from t1 to t2 in the intervention group (difference of differences approach). The percentage of former smokers and new smokers in the two groups were studied as secondary outcome measures. RESULTS: In the control group, the percentage of students who claimed to be smokers doubled from 4.2% (t1) to 8.1% (t2), whereas it remained almost the same in the intervention group (7.1% (t1) to 7.4% (t2); p=0.01). The likelihood of quitting smoking was almost six times higher in the intervention group (total of 67 smokers at t1; 27 (4.6%) and 7 (1.1%) in the control group; OR 5.63; 95% CI 2.01 to 15.79; p&lt;0.01). However, no primary preventive effect was found. CONCLUSIONS: We report a significant secondary preventive (smoking cessation) effect at 6-month follow-up. Long-term evaluation is planned.</t>
  </si>
  <si>
    <t>J2: BMJ Open; Brinker, Titus J Stamm-Balderjahn, Sabine Seeger, Werner Klingelhofer, Doris Groneberg, David A; ID: 176</t>
  </si>
  <si>
    <t>Brinker, Titus J. Institute of Occupational Medicine, Social Medicine and Environmental Medicine, Goethe University, Frankfurt, Germany Universities of Giessen and Marburg Lung Center, Giesen, Germany. Stamm-Balderjahn, Sabine. Institute of Medical Sociology and Rehabilitation Science, Charite University Medicine, Berlin, Germany. Seeger, Werner. Universities of Giessen and Marburg Lung Center, Giesen, Germany. Klingelhofer, Doris. Institute of Occupational Medicine, Social Medicine and Environmental Medicine, Goethe University, Frankfurt, Germany. Groneberg, David A. Institute of Occupational Medicine, Social Medicine and Environmental Medicine, Goethe University, Frankfurt, Germany.</t>
  </si>
  <si>
    <t>http://ovidsp.ovid.com/ovidweb.cgi?T=JS&amp;CSC=Y&amp;NEWS=N&amp;PAGE=fulltext&amp;D=med8&amp;AN=26384722</t>
  </si>
  <si>
    <t>https://dx.doi.org/10.1136/bmjopen-2015-008093</t>
  </si>
  <si>
    <t>MEDLINE; Ovid Technologies; Education Against Tobacco (EAT): a quasi-experimental prospective evaluation of a multinational medical-student-delivered smoking prevention programme for secondary schools in Germany</t>
  </si>
  <si>
    <t>Brinkley-Rubinstein,L.;Macmadu,A.;Marshall,B. D. L.;Heise,A.;Ranapurwala,S. I.;Rich,J. D.;Green,T. C.</t>
  </si>
  <si>
    <t>Risk of fentanyl-involved overdose among those with past year incarceration: Findings from a recent outbreak in 2014 and 2015</t>
  </si>
  <si>
    <t>Drug &amp; Alcohol Dependence</t>
  </si>
  <si>
    <t>04 01</t>
  </si>
  <si>
    <t>Overdose is the leading cause of unintentional injury-related death. Rhode Island (RI) has the highest rate of illicit drug use nationally and the 5th highest overdose mortality rate. RI has experienced an outbreak of fentanyl-related overdoses. In incarcerated populations, risk of overdose is greatly elevated. However, little is known about fentanyl-related overdose post-release. In the current analyses, we identify changes in fentanyl-related fatal overdose among those who died in 2014 and 2015 who were incarcerated in the year before death. We linked data from the RI Office of the Medical Examiner with records from the RI Department of Corrections. We calculated risk ratios and 95% confidence intervals using log-binomial regression to compare risk of fentanyl-involved overdose death. We also compared median time to death since release, median sentence length, and median number of incarcerations in 2014 and 2015. Results indicate that the risk of dying of a fentanyl-related overdose increased (RR: 1.99 (95% CI: 1.11-3.57, p=0.014)) from 2014 to 2015 among those with past year incarceration. This study is one of the first to describe fentanyl-related fatal overdose among those with past year incarceration. In 2015 the median sentence was longer among those with a fentanyl-related overdose death and the median time from release to death among all who had past year incarceration extended past 90days. Access to medications for addiction treatment, overdose education, and naloxone should be available during community re-entry and extended beyond the early post-release period.</t>
  </si>
  <si>
    <t>J2: Drug Alcohol Depend; Brinkley-Rubinstein, Lauren Macmadu, Alexandria Marshall, Brandon D L Heise, Andrew Ranapurwala, Shabbar I Rich, Josiah D Green, Traci C S0376-8716(18)30064-4; ID: 1619</t>
  </si>
  <si>
    <t>1879-0046</t>
  </si>
  <si>
    <t>Brinkley-Rubinstein, Lauren. Department of Social Medicine, University of North Carolina, 333 S. Columbia St., Chapel Hill, NC 27516, USA; Center for Health Equity Research, University of North Carolina at Chapel Hill, 335 S. Columbia St., Chapel Hill, NC 27516, USA. Electronic address: Lauren_Brinkley@med.unc.edu. Macmadu, Alexandria. Center for Prisoner Health and Human Rights, The Miriam Hospital, 8 Third St., 2nd floor, Providence, RI 02906, USA; Department of Health Services, Policy and Practice, Brown University School of Public Health, 121 South Main St., Providence, RI 02903, USA. Marshall, Brandon D L. Department of Epidemiology, Brown University School of Public Health, 121 South Main St., Providence, RI 02903, USA. Heise, Andrew. Center for Health Equity Research, University of North Carolina at Chapel Hill, 335 S. Columbia St., Chapel Hill, NC 27516, USA. Ranapurwala, Shabbar I. Department of Epidemiology, University of North Carolina, 135 Dauer Dr., Chapel Hill, NC 27599, USA. Rich, Josiah D. Center for Prisoner Health and Human Rights, The Miriam Hospital, 8 Third St., 2nd floor, Providence, RI 02906, USA; Department of Epidemiology, Brown University School of Public Health, 121 South Main St., Providence, RI 02903, USA. Green, Traci C. Department of Emergency Medicine, Boston University, 1 Boston Medical Center Pl., Boston, MA 02118, USA; Injury Prevention Research Center, Boston University, 1 Boston Medical Center Pl., Boston, MA 02118, USA.</t>
  </si>
  <si>
    <t>http://ovidsp.ovid.com/ovidweb.cgi?T=JS&amp;CSC=Y&amp;NEWS=N&amp;PAGE=fulltext&amp;D=prem&amp;AN=29459328</t>
  </si>
  <si>
    <t>https://dx.doi.org/10.1016/j.drugalcdep.2017.12.014</t>
  </si>
  <si>
    <t>MEDLINE; Ovid Technologies; Risk of fentanyl-involved overdose among those with past year incarceration: Findings from a recent outbreak in 2014 and 2015</t>
  </si>
  <si>
    <t>Britton,J.;Jarvis,M.;McNeill,A.;Bates,C.;Cuthbertson,L.;Godfrey,C.</t>
  </si>
  <si>
    <t>Treating nicotine addiction: not a medical problem?</t>
  </si>
  <si>
    <t>American Journal of Respiratory &amp; Critical Care Medicine</t>
  </si>
  <si>
    <t>Adolescent;Adult;Education, Medical, Undergraduate;Humans;*Lung Diseases/et Etiology];Lung Diseases/mo Mortality];Physician's Role;*Smoking Cessation;Tobacco Use Disorder/co Complications];Tobacco Use Disorder/ep Epidemiology];Tobacco Use Disorder/th Therapy];*Tobacco Use Disorder;United Kingdom;United States</t>
  </si>
  <si>
    <t>J2: Am J Respir Crit Care Med; Britton, J Jarvis, M McNeill, A Bates, C Cuthbertson, L Godfrey, C; ID: 1002</t>
  </si>
  <si>
    <t>1073-449X</t>
  </si>
  <si>
    <t>Britton, J. Division of Respiratory Medicine, University of Nottingham, Nottingham, United Kingdom. j.britton@virgin.net</t>
  </si>
  <si>
    <t>http://ovidsp.ovid.com/ovidweb.cgi?T=JS&amp;CSC=Y&amp;NEWS=N&amp;PAGE=fulltext&amp;D=med4&amp;AN=11435233</t>
  </si>
  <si>
    <t>MEDLINE; Ovid Technologies; Treating nicotine addiction: not a medical problem?</t>
  </si>
  <si>
    <t>Brock,M. F.;Roy,R. C.</t>
  </si>
  <si>
    <t>Random urine drug testing</t>
  </si>
  <si>
    <t>676; author reply 676</t>
  </si>
  <si>
    <t>*Anesthesiology;Humans;Internship and Residency;*Physicians;*Substance Abuse Detection;*Substance-Related Disorders/di Diagnosis];Substance-Related Disorders/pc Prevention &amp; Control];Substance-Related Disorders/px Psychology]</t>
  </si>
  <si>
    <t>J2: Anesth Analg; Brock, Margaret F Roy, Raymond C Comment on: Anesth Analg. 2008 Aug;107(2):630-5; PMID: 18633044; ID: 650</t>
  </si>
  <si>
    <t>http://ovidsp.ovid.com/ovidweb.cgi?T=JS&amp;CSC=Y&amp;NEWS=N&amp;PAGE=fulltext&amp;D=med6&amp;AN=19151314</t>
  </si>
  <si>
    <t>https://dx.doi.org/10.1213/ane.0b013e3181901da6</t>
  </si>
  <si>
    <t>MEDLINE; Ovid Technologies; Random urine drug testing</t>
  </si>
  <si>
    <t>Broderick,K. B.;Kaplan,B.;Martini,D.;Caruso,E.</t>
  </si>
  <si>
    <t>Emergency Physician Utilization of Alcohol/Substance Screening, Brief Advice and Discharge: A 10-Year Comparison</t>
  </si>
  <si>
    <t>Journal of Emergency Medicine</t>
  </si>
  <si>
    <t>J.Emerg.Med.</t>
  </si>
  <si>
    <t>Adult;*Alcoholism/di Diagnosis];Attitude of Health Personnel;Cross-Sectional Studies;*Emergency Service, Hospital/sn Statistics &amp; Numerical Data];Female;Humans;Male;Mass Screening/mt Methods];*Mass Screening/sn Statistics &amp; Numerical Data];Middle Aged;*Patient Discharge/sn Statistics &amp; Numerical Data];Referral and Consultation/sn Statistics &amp; Numerical Data];*Substance-Related Disorders/di Diagnosis];United States</t>
  </si>
  <si>
    <t>BACKGROUND: In 2007, of the 130 million emergency department (ED) visits, ~ 38 million were due to injury, and of those, 1.9 million involved alcohol. The emergency department is a pivotal place to implement Screening, Brief Intervention, and Referral to Treatment (SBIRT) due to the high number of patients presenting with alcohol/substance abuse risk factors or related injuries. STUDY OBJECTIVE: This study compares two surveys, approximately 11 years apart, of emergency physicians nationwide which assesses the use of validated screening tools, the availability of community resources for alcohol/substance abuse treatment, and the prevailing attitudes of emergency physicians regarding Screening and Brief Intervention for alcohol/substance abuse. METHODS: We performed cross-sectional anonymous surveys of 1500 emergency physicians drawn from American College of Emergency Physicians members. The survey results were compared for time interval change. RESULTS: The two surveys had comparable response rates. The median percentage of patients screened for alcohol/substance abuse in 1999 was 15%, vs. 20% in 2010. In 2010, 26% of emergency physicians had a formal screening tool, and the majority used Cut-down, Annoyed, Guilty, Eye-opener (85%). In 2010, a statistically significant increase in the number of emergency physicians said they would "always" or "almost always" use discharge instructions that were specific for alcohol/substance abuse, if available, vs. 1999. CONCLUSION: Few emergency physicians screen for alcohol/substance abuse despite evidence that screening and brief intervention is effective. Emergency physicians are receptive to the use of discharge material.</t>
  </si>
  <si>
    <t>J2: J Emerg Med; Broderick, Kerryann B Kaplan, Bonnie Martini, Dyllon Caruso, Emily S0736-4679(15)00495-3; ID: 167</t>
  </si>
  <si>
    <t>0736-4679</t>
  </si>
  <si>
    <t>Broderick, Kerryann B. Denver Health Medical Center, Denver, Colorado. Kaplan, Bonnie. University of Colorado at Denver, Denver, Colorado. Martini, Dyllon. University of Colorado at Denver, Denver, Colorado. Caruso, Emily. Denver Health Medical Center, Denver, Colorado.</t>
  </si>
  <si>
    <t>http://ovidsp.ovid.com/ovidweb.cgi?T=JS&amp;CSC=Y&amp;NEWS=N&amp;PAGE=fulltext&amp;D=med8&amp;AN=26234716</t>
  </si>
  <si>
    <t>https://dx.doi.org/10.1016/j.jemermed.2015.05.014</t>
  </si>
  <si>
    <t>MEDLINE; Ovid Technologies; Emergency Physician Utilization of Alcohol/Substance Screening, Brief Advice and Discharge: A 10-Year Comparison</t>
  </si>
  <si>
    <t>Brook,C. P.</t>
  </si>
  <si>
    <t>Postgraduate psychiatric training. The Royal College of Psychiatrists survey of consultants in general psychiatry appointments in 1975-1978</t>
  </si>
  <si>
    <t>Attitude of Health Personnel;Consultants;*Education, Medical, Graduate;Humans;*Psychiatry/ed Education];*Teaching;United Kingdom</t>
  </si>
  <si>
    <t>Since 1966 all recently appointed consultants in general psychiatry in the United Kingdom have been asked to rate their training experiences. Four postal surveys have been made at three yearly intervals, of 574 consultants appointed in the period 1 October 1965--30 September 1978. This paper reports the findings from the responses of 162 consultants appointed 1975-1978. Fifty per cent, or fewer, reported satisfactory training in special forms of psychotherapy, addiction, work in the community, mental handicap, forensic psychiatry, administration, research, psychogeriatrics, work with longstay patients, rehabilitation, medico-legal work, group psychotherapy, work in a therapeutic community, child psychiatry epidemiology and postgraduate teaching. Those who had been at the Maudsley Hospital considered that they had experienced the best training, while those who had been at peripheral hospitals the worst. Progress has been made in the past 3 years, notably in the fields of individual psychotherapy, community work and forensic psychiatry.</t>
  </si>
  <si>
    <t>J2: Med Educ; Brook, C P; ID: 1503</t>
  </si>
  <si>
    <t>http://ovidsp.ovid.com/ovidweb.cgi?T=JS&amp;CSC=Y&amp;NEWS=N&amp;PAGE=fulltext&amp;D=med2&amp;AN=7266399</t>
  </si>
  <si>
    <t>MEDLINE; Ovid Technologies; Postgraduate psychiatric training. The Royal College of Psychiatrists survey of consultants in general psychiatry appointments in 1975-1978</t>
  </si>
  <si>
    <t>Brooks,K. R.;Siegel,B.;Lash,T. L.;Geller,A. C.;Fitzgerald,A.;Tracy,C.;Prout,M. N.</t>
  </si>
  <si>
    <t>Validating medical students' self-report of smoking-related communication skills and educational experiences</t>
  </si>
  <si>
    <t>Ambulatory Pediatrics</t>
  </si>
  <si>
    <t>*Clinical Clerkship;*Communication;*Directive Counseling;*Education, Medical, Undergraduate;Humans;Pediatrics;Reproducibility of Results;Self-Assessment;*Smoking;*Students, Medical</t>
  </si>
  <si>
    <t>OBJECTIVE: Pediatric clerkships can be important settings for medical students to learn how to perform smoking assessments and counseling with parents. In evaluating an educational intervention that promotes this skill, we assess whether students' self-report of this counseling skill was a valid measure of actual behavior. METHODS: A trained observer evaluated student smoking assessment and counseling practices during pediatric well-child visits at 5 clinical sites in eastern Massachusetts. The external observations of behavior were used as a gold standard, and we determined the accuracy of the students' self-report of their smoking counseling practices with families and of their preceptors' educational interventions. RESULTS: We observed 38 pediatric preceptors and 85 Boston University School of Medicine (BUSM) III students in 85 clinical encounters. Sensitivities of the students' report of assessing smoking practices and counseling parents and children ranged from 0.60-1.00, and specificities ranged from 0.41-0.88. Specifically, with regards to the students' report of performing a smoking assessment with the family, the sensitivity was 0.97 (95 per cent confidence interval, 0.89-0.99) and the specificity was 0.88 (95 per cent confidence interval, 0.72-0.97). For measures where the observer could not determine practice, agreement between the student and preceptor was between 57 per cent and 83 per cent . Specifically, with regard to whether the preceptor made expectations clear with the student, students and preceptors agreed 83% of the time. CONCLUSION: Although direct observations of behavior may still be the most accurate report of true practice, when this is not feasible, student self-report appears to be a valid measure of smoking assessment and counseling practices during pediatric clerkships.</t>
  </si>
  <si>
    <t>J2: Ambul Pediatr; Brooks, Katie R Siegel, Benjamin Lash, Timothy L Geller, Alan C Fitzgerald, Alison Tracy, Caroline Prout, Marianne N; ID: 725</t>
  </si>
  <si>
    <t>1530-1567</t>
  </si>
  <si>
    <t>Brooks, Katie R. Department of Dermatology, Boston University School of Medicine, Boston, Mass., USA.</t>
  </si>
  <si>
    <t>http://ovidsp.ovid.com/ovidweb.cgi?T=JS&amp;CSC=Y&amp;NEWS=N&amp;PAGE=fulltext&amp;D=med5&amp;AN=17368415</t>
  </si>
  <si>
    <t>MEDLINE; Ovid Technologies; Validating medical students' self-report of smoking-related communication skills and educational experiences</t>
  </si>
  <si>
    <t>Brown,A. T.;Kolade,V. O.;Staton,L. J.;Patel,N. K.</t>
  </si>
  <si>
    <t>Knowledge of addiction medicine among internal medicine residents and medical students</t>
  </si>
  <si>
    <t>Tennessee Medicine</t>
  </si>
  <si>
    <t>Adult;*Alcoholism;*Clinical Competence;Curriculum;Educational Measurement;Female;Foreign Medical Graduates;Humans;*Internal Medicine/ed Education];*Internship and Residency;Male;*Students, Medical;*Substance-Related Disorders;Tennessee;United States</t>
  </si>
  <si>
    <t>OBJECTIVES: More than 22 million Americans are living with addiction, including nearly seven million who misuse prescription medications. However, most medical schools and residency programs provide little to no education addressing alcohol and drug addiction. Implementation of a new addiction medicine curriculum at a single internal medicine program provided an opportunity for knowledge assessment in a select population of health professionals. We hypothesized that knowledge of addiction medicine would not differ by training level or geographical location of medical school, but that knowledge would improve following a structured curriculum. METHODS: Study participants included internal medicine and transitional year residents, as well as a group of medical students who were enrolled in a single internal medicine program at the time of the didactic series. A pre-test was administered prior to a four-week structured curriculum. The topics addressed included but were not limited to: 1) an overview of addiction, 2) opioids and chronic pain, 3) benzodiazepines and illicit stimulants, and 4) alcohol. A panel discussion was convened at the end of the fourth session. Following participation in the symposium, participants completed an online post-test. ANOVA was used to compare means. Paired t-tests were used to compare pre-test and post-test scores. RESULTS: 36 of 44 eligible medical students and residents completed the pre-test. Mean pre-test percentage scores were 64 percent for fourth year medical students and 62.5 percent for all residents. For residents, U.S. medical school trainees answered 65 percent of the pre-test questions correctly, versus 58.6 percent correct responses among their international medical graduate peers. No inter-group differences were statistically significant. Of the 36 participants, 20 completed both pre-tests and post-tests. The mean post-test score of 68.75 percent was higher than the mean pre-test score of 61.75 percent, p = 0.009. CONCLUSIONS: Knowledge of addiction medicine can be improved for medical students and residents in an academic medicine department. Significant improvements were observed following completion of eight hours of interactive didactics.</t>
  </si>
  <si>
    <t>J2: Tenn Med; Brown, Angel T Kolade, Victor O Staton, Lisa J Patel, Neha K; ID: 380</t>
  </si>
  <si>
    <t>1088-6222</t>
  </si>
  <si>
    <t>Brown, Angel T. Division of Pulmonary, Allergy and Critical Care Medicine, University of Alabama at Birmingham, AL, USA.</t>
  </si>
  <si>
    <t>http://ovidsp.ovid.com/ovidweb.cgi?T=JS&amp;CSC=Y&amp;NEWS=N&amp;PAGE=fulltext&amp;D=med7&amp;AN=23544288</t>
  </si>
  <si>
    <t>MEDLINE; Ovid Technologies; Knowledge of addiction medicine among internal medicine residents and medical students</t>
  </si>
  <si>
    <t>Brown,M. E.;Swiggart,W. H.;Dewey,C. M.;Ghulyan,M. V.</t>
  </si>
  <si>
    <t>Searching for answers: proper prescribing of controlled prescription drugs</t>
  </si>
  <si>
    <t>*Drug Prescriptions;*Drug and Narcotic Control;Education, Medical, Continuing;Humans;*Prescription Drugs;Referral and Consultation;*Substance-Related Disorders/pc Prevention &amp; Control];0 (Prescription Drugs)</t>
  </si>
  <si>
    <t>Prescription drug abuse is increasing at alarming rates in this country. Most often drugs are obtained through relatives or friends. An important step in addressing this problem is educating healthcare providers in the proper prescribing of scheduled drugs. Physicians and other healthcare workers receive little training in proper screening for substance abuse, proper prescribing of scheduled drugs, and referral for those needing treatment. Continuing medical education is one venue for addressing this problem. However, screening, brief intervention and referral for treatment (SBIRT) should be taught in medical school and residency.</t>
  </si>
  <si>
    <t>J2: J Psychoactive Drugs; Brown, Martha E Swiggart, William H Dewey, Charlene M Ghulyan, Marine V; ID: 447</t>
  </si>
  <si>
    <t>Brown, Martha E. UF College of Medicine, Department of Psychiatry, Addiction Medicine Division, Gainesville, FL 32606, USA. marthabrown@ufl.edu</t>
  </si>
  <si>
    <t>http://ovidsp.ovid.com/ovidweb.cgi?T=JS&amp;CSC=Y&amp;NEWS=N&amp;PAGE=fulltext&amp;D=med7&amp;AN=22641969</t>
  </si>
  <si>
    <t>MEDLINE; Ovid Technologies; Searching for answers: proper prescribing of controlled prescription drugs</t>
  </si>
  <si>
    <t>Brown,R. L.</t>
  </si>
  <si>
    <t>Evaluation of a continuing medical education program for primary care physicians on the management of alcoholism</t>
  </si>
  <si>
    <t>Alcoholism/di Diagnosis];Alcoholism/th Therapy];*Alcoholism;Computer-Assisted Instruction;*Education, Medical, Continuing;Evaluation Studies as Topic;Feedback;Humans;*Physicians, Family/ed Education];Problem Solving;Washington</t>
  </si>
  <si>
    <t>J2: J Med Educ; Brown, R L; ID: 1410</t>
  </si>
  <si>
    <t>Brown, R L. Department of Family Medicine, Jefferson Medical College, Thomas Jefferson University, Philadelphia, Pennsylvania.</t>
  </si>
  <si>
    <t>http://ovidsp.ovid.com/ovidweb.cgi?T=JS&amp;CSC=Y&amp;NEWS=N&amp;PAGE=fulltext&amp;D=med3&amp;AN=3286871</t>
  </si>
  <si>
    <t>MEDLINE; Ovid Technologies; Evaluation of a continuing medical education program for primary care physicians on the management of alcoholism</t>
  </si>
  <si>
    <t>Brown,R. L.;Byrne,K.</t>
  </si>
  <si>
    <t>Computer-assisted curriculum for medical students on early diagnosis of substance abuse</t>
  </si>
  <si>
    <t>*Curriculum;*Diagnosis, Computer-Assisted;*Education, Medical;Evaluation Studies as Topic;Humans;*Physicians, Family/ed Education];*Substance-Related Disorders/di Diagnosis]</t>
  </si>
  <si>
    <t>A computer-assisted curriculum on early diagnosis of substance abuse was developed for third-year medical students on their required family medicine rotation. Three computer-assisted instruction modules on early diagnosis, attitudes, and screening questionnaires were followed by two conferences: 1) a discussion and review session, and 2) a tutorial and role playing on engaging patients with substance abuse in treatment. Finally, students identified an ambulatory patient at risk for substance abuse and performed an evaluation. All 33 unselected students gave high ratings to all of the learning activities and the entire curriculum. Almost all were satisfied with the emphasis on substance abuse in their clerkship and expressed motivation to learn more. Student acceptance of teaching on substance abuse can be attained by a curriculum in which goals, objectives, and expectations are delineated clearly; in which the content is clinically relevant; which uses computer-assisted instruction, role playing, and a clinical exercise to stimulate problem-solving and skill development; in which conferences are discussion oriented; and for which pretests are used to promote learner receptivity.</t>
  </si>
  <si>
    <t>J2: Fam Med; Brown, R L Byrne, K; ID: 1350</t>
  </si>
  <si>
    <t>Brown, R L. Department of Family Medicine, Jefferson Medical College, Philadelphia.</t>
  </si>
  <si>
    <t>http://ovidsp.ovid.com/ovidweb.cgi?T=JS&amp;CSC=Y&amp;NEWS=N&amp;PAGE=fulltext&amp;D=med3&amp;AN=2200732</t>
  </si>
  <si>
    <t>MEDLINE; Ovid Technologies; Computer-assisted curriculum for medical students on early diagnosis of substance abuse</t>
  </si>
  <si>
    <t>Brown,R. L.;Carlson,B. L.</t>
  </si>
  <si>
    <t>Early diagnosis of substance abuse: evaluation of a course of computer-assisted instruction</t>
  </si>
  <si>
    <t>Adult;Attitude of Health Personnel;*Clinical Clerkship;*Computer-Assisted Instruction;*Curriculum;Family Practice/ed Education];Humans;Philadelphia;Students, Medical;*Substance-Related Disorders/di Diagnosis]</t>
  </si>
  <si>
    <t>A computer-assisted, experiential course of instruction on early diagnosis of substance abuse was developed and compared to three existing substance abuse curricula for third-year medical students on family medicine clerkships. The experimental course, requiring 2 hours of teacher contact, consisted of three computer-assisted instruction modules, active discussion, role play, opportunities for applying new knowledge and clinical skills, and modelling of clinical interest by a family doctor. The three comparison educational programmes were a one-week immersion experience on a substance abuse in-patient unit, 1-4 hours of lecture, and no formal teaching. For 6 months, all third-year medical students at Jefferson Medical College were exposed to one of these courses, and to the same required readings on substance abuse, on their required family medicine rotations at different clerkship sites. They completed end-of-rotation questionnaires assessing their knowledge, satisfaction with substance abuse teaching, and motivation for continued learning. Groups were similar with regard to demographic variables, academic performance, and previous curricular and extra-curricular exposure to substance abuse. Despite a possible selection bias favouring the immersion experience, the computer-assisted course resulted in higher levels of knowledge on early diagnosis, but similar attitudes and satisfaction. The computer-assisted and immersion courses produced more favourable outcomes than lecture-based teaching and no formal teaching. Compared to no formal teaching, lecture did not produce measurable effect. The results suggest that a computer-assisted, experiential substance abuse course, based on relevant and practical goals, can efficiently augment knowledge and motivation for further learning of third-year medical students.</t>
  </si>
  <si>
    <t>J2: Med Educ; Brown, R L Carlson, B L; ID: 1345</t>
  </si>
  <si>
    <t>Brown, R L. Department of Family Medicine, Jefferson Medical College, Philadelphia, Pennsylvania.</t>
  </si>
  <si>
    <t>http://ovidsp.ovid.com/ovidweb.cgi?T=JS&amp;CSC=Y&amp;NEWS=N&amp;PAGE=fulltext&amp;D=med3&amp;AN=2215297</t>
  </si>
  <si>
    <t>MEDLINE; Ovid Technologies; Early diagnosis of substance abuse: evaluation of a course of computer-assisted instruction</t>
  </si>
  <si>
    <t>Brown,R. L.;Fleming,M. F.</t>
  </si>
  <si>
    <t>Training the trainers: substance abuse screening and intervention</t>
  </si>
  <si>
    <t>Adult;Curriculum;Education;Education, Medical, Continuing/mt Methods];*Education, Medical, Continuing;Educational Technology;Faculty, Medical;Family Practice/ed Education];Female;Humans;Internship and Residency;Male;*Physicians, Family/ed Education];*Substance-Related Disorders/di Diagnosis];Substance-Related Disorders/pc Prevention &amp; Control];*Substance-Related Disorders/th Therapy];Teaching/mt Methods];*Teaching</t>
  </si>
  <si>
    <t>OBJECTIVE: Screening and brief intervention for substance abuse is effective yet underutilized by primary care physicians. This article reports on Project SAEFP (Substance Abuse Education for Family Physicians), which aimed to enhance the clinical and teaching skills and activities of U.S. family practice residency faculty. METHOD: Ten five-day workshops were designed and administered for 165 participants. Evaluation data included measures of participant satisfaction and pre-workshop and twelve-month post-workshop measures of the frequency of teaching, consulting, and clinical activities, and the attainment of self-identified teaching goals. RESULTS: The participants were very satisfied with the workshops. They improved significantly in the key outcome measures. CONCLUSIONS: Several workshops may have contributed to the apparent success of Project SAEFP. Attributes of the workshops which might have facilitated their success were their duration, funding, frequency of offering, collegial learning environment, opportunities for active learning, emotionally moving exposure to recovering individuals, focus on how to modify curriculum at participant residency programs, availability of family physician role models as faculty, and readily usable instructional materials. Planners of interventions for physician educators might profit from similar attention to these attributes.</t>
  </si>
  <si>
    <t>J2: Int J Psychiatry Med; Brown, R L Fleming, M F; ID: 1107</t>
  </si>
  <si>
    <t>Brown, R L. Department of Family Medicine, University of Wisconsin Medical School, Madison 53715, USA.</t>
  </si>
  <si>
    <t>http://ovidsp.ovid.com/ovidweb.cgi?T=JS&amp;CSC=Y&amp;NEWS=N&amp;PAGE=fulltext&amp;D=med4&amp;AN=9617653</t>
  </si>
  <si>
    <t>MEDLINE; Ovid Technologies; Training the trainers: substance abuse screening and intervention</t>
  </si>
  <si>
    <t>Brown,R. L.;Pfeifer,J. M.;Gjerde,C. L.;Seibert,C. S.;Haq,C. L.</t>
  </si>
  <si>
    <t>Teaching patient-centered tobacco intervention to first-year medical students</t>
  </si>
  <si>
    <t>Adult;Curriculum;*Education, Medical, Undergraduate/mt Methods];Evaluation Studies as Topic;Female;Health Behavior;Humans;Male;*Patient-Centered Care/mt Methods];*Smoking Cessation/mt Methods];Wisconsin</t>
  </si>
  <si>
    <t>The University of Wisconsin's Tobacco Intervention Basic Skills curriculum (TIBS) was inaugurated to begin training 147 first-year medical students in skills for promoting health behavior change. Learning activities included lecture, demonstration, reading, quiz, role-play exercises, and standardized patient interviews. After TIBS, the 69 students who provided pre- and postintervention data exhibited more therapeutic attitudes and increased knowledge and self-confidence in applying TIBS skills. Two months later, 52% of the 109 posttest respondents had applied TIBS in clinical settings, often for behaviors other than tobacco use. We conclude that medical students can gain from early training on promoting behavior change.</t>
  </si>
  <si>
    <t>J2: J Gen Intern Med; Brown, Richard L Pfeifer, Judie M Gjerde, Craig L Seibert, Christine S Haq, Cynthia L; ID: 897</t>
  </si>
  <si>
    <t>Brown, Richard L. Department of Family Medicine, University of Wisconsin-Madison Medical School, Madison, WI 53705, USA. rlbrown@wisc.edu</t>
  </si>
  <si>
    <t>http://ovidsp.ovid.com/ovidweb.cgi?T=JS&amp;CSC=Y&amp;NEWS=N&amp;PAGE=fulltext&amp;D=med5&amp;AN=15109319</t>
  </si>
  <si>
    <t>MEDLINE; Ovid Technologies; Teaching patient-centered tobacco intervention to first-year medical students</t>
  </si>
  <si>
    <t>Brown,R. L.;Rounds,L. A.</t>
  </si>
  <si>
    <t>Conjoint screening questionnaires for alcohol and other drug abuse: criterion validity in a primary care practice</t>
  </si>
  <si>
    <t>Wisconsin medical journal</t>
  </si>
  <si>
    <t>Wis.Med.J.</t>
  </si>
  <si>
    <t>Adult;*Alcoholism/pc Prevention &amp; Control];Female;Humans;Male;*Mass Screening;Middle Aged;*Personality Inventory/sn Statistics &amp; Numerical Data];Primary Health Care;Psychometrics;Reproducibility of Results;*Substance-Related Disorders/pc Prevention &amp; Control];Wisconsin</t>
  </si>
  <si>
    <t>The US Preventive Services Task Force recommended that physicians use the CAGE questions to screen patients for alcohol abuse. A similarly brief screening instrument for abuse of other drugs is needed. Two conjoint screening questionnaires for alcohol and other drug abuse were adapted from the CAGE questions and the Short Michigan Alcoholism Screening Test (SMAST). For 124 patients of an academic, community family practice, the conjoint questionnaires and their forerunners were compared with DSM-III-R diagnoses of substance use disorders as measured by the Diagnostic Interview Schedule-Revised (DIS-R). The SMAST and its conjoint analog exhibited low sensitivity. The CAGE Adapted to Include Drugs (CAGE-AID) was more sensitive but less specific for substance abuse than the CAGE, especially when a reduced criterion score was employed. The CAGE-AID was more sensitive than the CAGE for subjects of varying sex, income, and level of education, as well as most patterns of substance use disorders. The diminished specificity of the CAGE-AID may have been, at least in part, artifactual. The CAGE-AID holds promise for identifying primary care patients with alcohol and drug disorders.</t>
  </si>
  <si>
    <t>J2: Wis Med J; Brown, R L Rounds, L A; ID: 1195</t>
  </si>
  <si>
    <t>0043-6542</t>
  </si>
  <si>
    <t>http://ovidsp.ovid.com/ovidweb.cgi?T=JS&amp;CSC=Y&amp;NEWS=N&amp;PAGE=fulltext&amp;D=med3&amp;AN=7778330</t>
  </si>
  <si>
    <t>MEDLINE; Ovid Technologies; Conjoint screening questionnaires for alcohol and other drug abuse: criterion validity in a primary care practice</t>
  </si>
  <si>
    <t>Brown,T. C.</t>
  </si>
  <si>
    <t>Physicians are part of the problem</t>
  </si>
  <si>
    <t>*Alcoholism/di Diagnosis];Education, Medical;Humans;*Physicians;United States</t>
  </si>
  <si>
    <t>J2: Ann Intern Med; Brown, T C; ID: 1578</t>
  </si>
  <si>
    <t>http://ovidsp.ovid.com/ovidweb.cgi?T=JS&amp;CSC=Y&amp;NEWS=N&amp;PAGE=fulltext&amp;D=med1&amp;AN=4641661</t>
  </si>
  <si>
    <t>MEDLINE; Ovid Technologies; Physicians are part of the problem</t>
  </si>
  <si>
    <t>Browning,R. H.</t>
  </si>
  <si>
    <t>The physician and the cigarette. Education concerning dangers of smoking essential to render habit socially unacceptable</t>
  </si>
  <si>
    <t>Rhode Island medical journal</t>
  </si>
  <si>
    <t>R.I.Med.J.</t>
  </si>
  <si>
    <t>*Health Education;Humans;*Smoking</t>
  </si>
  <si>
    <t>J2: R I Med J; Browning, R H; ID: 1617</t>
  </si>
  <si>
    <t>0035-4627</t>
  </si>
  <si>
    <t>http://ovidsp.ovid.com/ovidweb.cgi?T=JS&amp;CSC=Y&amp;NEWS=N&amp;PAGE=fulltext&amp;D=med1&amp;AN=5234973</t>
  </si>
  <si>
    <t>MEDLINE; Ovid Technologies; The physician and the cigarette. Education concerning dangers of smoking essential to render habit socially unacceptable</t>
  </si>
  <si>
    <t>Broyles,L. M.;Rodriguez,K. L.;Kraemer,K. L.;Sevick,M. A.;Price,P. A.;Gordon,A. J.</t>
  </si>
  <si>
    <t>A qualitative study of anticipated barriers and facilitators to the implementation of nurse-delivered alcohol screening, brief intervention, and referral to treatment for hospitalized patients in a Veterans Affairs medical center</t>
  </si>
  <si>
    <t>Addiction Science &amp; Clinical Practice</t>
  </si>
  <si>
    <t>Adult;*Alcohol-Related Disorders/di Diagnosis];*Alcohol-Related Disorders/nu Nursing];Alcohol-Related Disorders/pc Prevention &amp; Control];Communication Barriers;Diagnostic Tests, Routine;Female;Focus Groups;*Health Education/mt Methods];Hospitals, Veterans;Humans;Male;*Mass Screening/mt Methods];Middle Aged;Nurse's Role;*Nurse-Patient Relations;Nursing Evaluation Research;Qualitative Research;United States;United States Department of Veterans Affairs;Young Adult</t>
  </si>
  <si>
    <t>BACKGROUND: Unhealthy alcohol use includes the spectrum of alcohol consumption from risky drinking to alcohol use disorders. Routine alcohol screening, brief intervention (BI) and referral to treatment (RT) are commonly endorsed for improving the identification and management of unhealthy alcohol use in outpatient settings. However, factors which might impact screening, BI, and RT implementation in inpatient settings, particularly if delivered by nurses, are unknown, and must be identified to effectively plan randomized controlled trials (RCTs) of nurse-delivered BI. The purpose of this study was to identify the potential barriers and facilitators associated with nurse-delivered alcohol screening, BI and RT for hospitalized patients. METHODS: We conducted audio-recorded focus groups with nurses from three medical-surgical units at a large urban Veterans Affairs Medical Center. Transcripts were analyzed using modified grounded theory techniques to identify key themes regarding anticipated barriers and facilitators to nurse-delivered screening, BI and RT in the inpatient setting. RESULTS: A total of 33 medical-surgical nurses (97% female, 83% white) participated in one of seven focus groups. Nurses consistently anticipated the following barriers to nurse-delivered screening, BI, and RT for hospitalized patients: (1) lack of alcohol-related knowledge and skills; (2) limited interdisciplinary collaboration and communication around alcohol-related care; (3) inadequate alcohol assessment protocols and poor integration with the electronic medical record; (4) concerns about negative patient reaction and limited patient motivation to address alcohol use; (5) questionable compatibility of screening, BI and RT with the acute care paradigm and nursing role; and (6) logistical issues (e.g., lack of time/privacy). Suggested facilitators of nurse-delivered screening, BI, and RT focused on provider- and system-level factors related to: (1) improved provider knowledge, skills, communication, and collaboration; (2) expanded processes of care and nursing roles; and (3) enhanced electronic medical record features. CONCLUSIONS: RCTs of nurse-delivered alcohol BI for hospitalized patients should include consideration of the following elements: comprehensive provider education on alcohol screening, BI and RT; record-keeping systems which efficiently document and plan alcohol-related care; a hybrid model of implementation featuring active roles for interdisciplinary generalists and specialists; and ongoing partnerships to facilitate generation of additional evidence for BI efficacy in hospitalized patients.</t>
  </si>
  <si>
    <t>J2: Addict Sci Clin Pract; Broyles, Lauren Matukaitis Rodriguez, Keri L Kraemer, Kevin L Sevick, Mary Ann Price, Patrice A Gordon, Adam J; ID: 168</t>
  </si>
  <si>
    <t>1940-0640</t>
  </si>
  <si>
    <t>http://ovidsp.ovid.com/ovidweb.cgi?T=JS&amp;CSC=Y&amp;NEWS=N&amp;PAGE=fulltext&amp;D=med7&amp;AN=23186245</t>
  </si>
  <si>
    <t>https://dx.doi.org/10.1186/1940-0640-7-7</t>
  </si>
  <si>
    <t>MEDLINE; Ovid Technologies; A qualitative study of anticipated barriers and facilitators to the implementation of nurse-delivered alcohol screening, brief intervention, and referral to treatment for hospitalized patients in a Veterans Affairs me(TRUNCATED)</t>
  </si>
  <si>
    <t>Brumfield,C. G.;Nelson,K. G.;Stotser,D.;Yarbaugh,D.;Patterson,P.;Sprayberry,N. K.</t>
  </si>
  <si>
    <t>24-hour mother-infant discharge with a follow-up home health visit: results in a selected medicaid population</t>
  </si>
  <si>
    <t>Obstetrics &amp; Gynecology</t>
  </si>
  <si>
    <t>Adolescent;Adult;Child;Community Health Nursing;Cost Control;Cost-Benefit Analysis;*Delivery, Obstetric;Female;Home Care Services/ec Economics];*Home Care Services;Hospital Costs;Humans;Infant, Newborn;Length of Stay/ec Economics];*Length of Stay;*Medicaid;Pregnancy;United States</t>
  </si>
  <si>
    <t>OBJECTIVE: To determine safety and cost-effectiveness of 24-hour discharge in selected mothers and newborns. METHODS: Women delivering at University Hospital (the University of Alabama at Birmingham) were screened to determine their eligibility for 24-hour discharge. Mothers were eligible if they had no medical problems and no history of substance abuse, had an uncomplicated vaginal delivery and postpartum course, were 12 or more hours after postpartum bilateral tubal ligation, and had reached 24 hours after delivery by 6:00 PM on the day of discharge. Newborns were eligible if they were term (37 weeks or greater), weighted 2500 g or greater, and had a normal examination at 24 hours of age. At 48 hours after delivery, each mother and infant pair was examined by a home health nurse. Telephone consultations with a staff physician were noted and outcomes were entered into a data base linked to hospital financial data. RESULTS: Of 5621 deliveries from October 1, 1993 to September 30, 1995, 972 mothers (17%) and 856 (15%) newborns were discharged at 24 hours. One mother was lost to follow-up after discharge. Nine-hundred fifty-six of 971 mothers (98.5%) had a normal examination at the home visit. Fifteen of 971 mothers (1.5%) had problems that required obstetrician telephone consultation. Seven mothers (0.7%) required a physician visit; two of these women were readmitted for treatment of an infection. Seven-hundred ninety-five of 856 (93%) newborns had a normal examination. Sixty-one newborns (7%) had problems that required pediatrician telephone consultation, primarily for jaundice, infant care questions, and a cardiac murmur. Twelve infants (1.4%) required a pediatric clinic visit. No infant was readmitted to the hospital. Net cost savings to our hospital for 24-hour discharge in these selected patients was $ 506,139 during a 2-year period. CONCLUSION: In a selected, low-risk, low-income population, mother-infant discharge 24 hours after delivery with a home follow-up visit is safe and cost-effective.</t>
  </si>
  <si>
    <t>J2: Obstet Gynecol; Brumfield, C G Nelson, K G Stotser, D Yarbaugh, D Patterson, P Sprayberry, N K; ID: 1165</t>
  </si>
  <si>
    <t>0029-7844</t>
  </si>
  <si>
    <t>Brumfield, C G. Department of Obstetrics and Gynecology, University of Alabama at Birmingham, USA.</t>
  </si>
  <si>
    <t>http://ovidsp.ovid.com/ovidweb.cgi?T=JS&amp;CSC=Y&amp;NEWS=N&amp;PAGE=fulltext&amp;D=med4&amp;AN=8841215</t>
  </si>
  <si>
    <t>MEDLINE; Ovid Technologies; 24-hour mother-infant discharge with a follow-up home health visit: results in a selected medicaid population</t>
  </si>
  <si>
    <t>Brunault,P.;Gohier,B.;Ducluzeau,P. H.;Bourbao-Tournois,C.;Frammery,J.;Reveillere,C.;Ballon,N.</t>
  </si>
  <si>
    <t>The psychiatric, psychological and addiction evaluation in bariatric surgery candidates: What should we assess, why and how?]</t>
  </si>
  <si>
    <t>Presse Medicale</t>
  </si>
  <si>
    <t>*Bariatric Surgery;Behavior, Addictive/co Complications];Behavior, Addictive/di Diagnosis];*Behavior, Addictive/px Psychology];Humans;Mental Disorders/co Complications];Mental Disorders/di Diagnosis];Obesity/co Complications];*Obesity/px Psychology];*Obesity/su Surgery];Preoperative Care;Psychological Tests</t>
  </si>
  <si>
    <t>Bariatric surgery is indicated in obese patients with a BMI &gt;= 40 kg/m(2) or &gt;= 35 kg/m(2) with serious comorbidities, in second intention in patients who failed to achieve significant weight loss after a well-managed medical, nutritional and psychotherapeutic treatment for 6 to 12 months, and in patients who are aware of the consequences of bariatric surgery and who agree with a long term medical and surgical follow-up. Such a treatment requires a preoperative multidisciplinary assessment and management, which includes a mandatory consultation with a psychiatrist or a psychologist that should be member of the multidisciplinary staff and participate in these staffs. Although one of this consultation's aim is to screen for the few patients who for which surgery is contra-indicated, in most cases, the main aim of this assessment is to screen for and manage psychiatric and psychopathologic disorders that could be temporary contra-indication, because these disorders could lead to poorer postoperative outcome when untreated. By explaining to the patient how these disorders could affect postoperative outcome and which benefits he could retrieve from their management, the patient will increase his motivation for change and he will be more likely to seek professional help for these disorders. In all cases, a systematic examination of the patient's personality and his/her ability to understand the postoperative instructions is essential before surgery because clinicians should check that the patient is able to be adherent to postoperative instructions. In addition to clinical interview, use of self-administered questionnaires before the consultation might help to determine which psychiatric or psychopathologic factors should be more closely screened during the consultation. Psychiatric disorders and addictions are highly prevalent in this population (e.g., mood and anxiety disorders, binge eating disorder, attention deficit hyperactivity disorder, addictions, personality disorders, pathological personality traits and dimensions), and when untreated, they can lead to poorer postoperative outcome (postoperative occurrence of psychiatric disorders, poorer quality of life, and sometimes to poorer weight loss or excessive weight rebound when the disorder is present during the postoperative period). A complementary training in addiction medicine is helpful given the higher risk for addictions in this population. Given that this evaluation is often the first meeting with a psychiatrist, an empathic and motivational approach is helpful to improve the patient's ability to request for a future psychiatric consultation during the follow-up. Some conditions are required for a high quality assessment: the objectives and expectations of the consultation should be systematically explained to the patient prior to the consultation by the physician who enquires for the assessment; it needs time; the psychiatrist should systematically be member of the multidisciplinary staff and should take part in regular multisciplinary staff meetings; patients should be seen alone to assess his/her readiness to change. After the consultation, a contact with the physician who enquires for the assessment should be systematic (e.g., use of a medical letter that sum up the main conclusions of the consultation; participation in regular multisciplinary staff meetings).</t>
  </si>
  <si>
    <t>J2: Presse Med; French Brunault, Paul Gohier, Benedicte Ducluzeau, Pierre-Henri Bourbao-Tournois, Celine Frammery, Julie Reveillere, Christian Ballon, Nicolas S0755-4982(15)00408-X; OP: L'evaluation psychiatrique, psychologique et addictologique avant chirurgie bariatrique : que faut-il evaluer en pratique, pourquoi et comment ?; ID: 172</t>
  </si>
  <si>
    <t>2213-0276</t>
  </si>
  <si>
    <t>Brunault, Paul. CHRU de Tours, equipe de liaison et de soins en addictologie, 2, boulevard Tonnelle, 37044 Tours cedex 9, France; CHRU de Tours, clinique psychiatrique universitaire, 37044 Tours cedex 9, France; Universite Francois-Rabelais de Tours, departement de psychologie, EA 2114 &lt;&lt; psychologie des ages de la vie &gt;&gt;, 37041 Tours, France; CHRU de Tours, centre specialise pour la prise en charge de l'obesite severe, 37000 Tours, France. Electronic address: paul.brunault@univ-tours.fr. Gohier, Benedicte. CHU d'Angers, service de psychiatrie et d'addictologie, 49933 Angers, France; Universite d'Angers, laboratoire de psychologie des Pays-de-la-Loire, EA 4638, 49045 Angers cedex 1, France. Ducluzeau, Pierre-Henri. CHRU de Tours, centre specialise pour la prise en charge de l'obesite severe, 37000 Tours, France; CHRU de Tours, service de medecine interne-nutrition, 37044 Tours cedex 9, France; Universite Francois-Rabelais de Tours, 37041 Tours, France. Bourbao-Tournois, Celine. CHRU de Tours, centre specialise pour la prise en charge de l'obesite severe, 37000 Tours, France; CHRU de Tours, service de chirurgie digestive et endocrinienne, 37044 Tours cedex 9, France. Frammery, Julie. CHRU de Tours, equipe de liaison et de soins en addictologie, 2, boulevard Tonnelle, 37044 Tours cedex 9, France; CHRU de Tours, clinique psychiatrique universitaire, 37044 Tours cedex 9, France; Centre hospitalier Louis-Sevestre, 37390 La-Membrolle-sur-Choisille, France. Reveillere, Christian. Universite Francois-Rabelais de Tours, departement de psychologie, EA 2114 &lt;&lt; psychologie des ages de la vie &gt;&gt;, 37041 Tours, France. Ballon, Nicolas. CHRU de Tours, equipe de liaison et de soins en addictologie, 2, boulevard Tonnelle, 37044 Tours cedex 9, France; CHRU de Tours, centre specialise pour la prise en charge de l'obesite severe, 37000 Tours, France; UMR Inserm U930 ERL, 37200 Tours, France; Universite Francois-Rabelais de Tours, 37041 Tours, France.</t>
  </si>
  <si>
    <t>http://ovidsp.ovid.com/ovidweb.cgi?T=JS&amp;CSC=Y&amp;NEWS=N&amp;PAGE=fulltext&amp;D=med8&amp;AN=26482489</t>
  </si>
  <si>
    <t>https://dx.doi.org/10.1016/j.lpm.2015.09.013</t>
  </si>
  <si>
    <t>MEDLINE; Ovid Technologies; [The psychiatric, psychological and addiction evaluation in bariatric surgery candidates: What should we assess, why and how?]</t>
  </si>
  <si>
    <t>Bryson,E. O.</t>
  </si>
  <si>
    <t>Should anesthesia residents with a history of substance abuse be allowed to continue training in clinical anesthesia? The results of a survey of anesthesia residency program directors</t>
  </si>
  <si>
    <t>Journal of clinical anesthesia</t>
  </si>
  <si>
    <t>J.Clin.Anesth.</t>
  </si>
  <si>
    <t>*Anesthesiology/ed Education];Data Collection;Education, Medical, Graduate;Humans;*Internship and Residency/og Organization &amp; Administration];Physician Impairment;Recurrence;Substance-Related Disorders/ep Epidemiology];Substance-Related Disorders/mo Mortality];Substance-Related Disorders/rh Rehabilitation];*Substance-Related Disorders;United States</t>
  </si>
  <si>
    <t>STUDY OBJECTIVE: To determine the experience, attitudes, and opinions of program directors regarding the reintroduction of residents in recovery from substance abuse into the clinical practice of anesthesiology. DESIGN: Survey instrument. SETTING: Anesthesia residency training programs in the United States. MEASUREMENTS: After obtaining institutional review board approval, a list of current academic anesthesia residency programs in the United States was compiled. A survey was mailed to 131 program directors along with a self-addressed stamped return envelope to ensure anonymity. Returned surveys were reviewed and data compiled by hand, with categorical variables described as frequency and percentages. MAIN RESULTS: A total of 91 (69%) surveys were returned, representing experience with 11,293 residents over the ten-year period from July of 1997 through June of 2007. Fifty-six (62%) program directors reported experience with at least one resident requiring treatment for substance abuse. For residents allowed to continue with anesthesia residency training after treatment, the relapse rate was 29%. For those residents, death was the initial presentation of relapse in 10% of the reported cases. 43% of the program directors surveyed believe residents in recovery from addiction should be allowed to attempt re-entry while 30% believe that residents in recovery from addiction should not. CONCLUSIONS: The practice of allowing residents who have undergone treatment for substance abuse to return to their training program in clinical anesthesia remains highly controversial. They are often lost to follow-up, making it difficult, if not impossible to determine if re-training in a different medical specialty decreases their risk for relapse. A comprehensive assessment of the outcomes associated with alternatives to re-entry into clinical anesthesia training programs is needed.</t>
  </si>
  <si>
    <t>J2: J Clin Anesth; Bryson, Ethan O; ID: 601</t>
  </si>
  <si>
    <t>1873-4529</t>
  </si>
  <si>
    <t>Bryson, Ethan O. Department of Anesthesiology, Mount Sinai Hospital, New York, NY 10029, USA. ethan.bryson@mountsinai.org</t>
  </si>
  <si>
    <t>http://ovidsp.ovid.com/ovidweb.cgi?T=JS&amp;CSC=Y&amp;NEWS=N&amp;PAGE=fulltext&amp;D=med6&amp;AN=20006259</t>
  </si>
  <si>
    <t>https://dx.doi.org/10.1016/j.jclinane.2008.12.026</t>
  </si>
  <si>
    <t>MEDLINE; Ovid Technologies; Should anesthesia residents with a history of substance abuse be allowed to continue training in clinical anesthesia? The results of a survey of anesthesia residency program directors</t>
  </si>
  <si>
    <t>Bryson,E. O.;Levine,A.</t>
  </si>
  <si>
    <t>One approach to the return to residency for anesthesia residents recovering from opioid addiction</t>
  </si>
  <si>
    <t>*Anesthesiology/ed Education];Hospitals, Teaching;Humans;*Internship and Residency;*Opioid-Related Disorders/rh Rehabilitation];*Physician Impairment;Recurrence;Time Factors;Treatment Outcome</t>
  </si>
  <si>
    <t>STUDY OBJECTIVE: There is a high rate of relapse among anesthesia residents attempting to re-enter clinical anesthesia training programs after completing treatment for opioid addiction. Individuals may return to clinical practice after a short period of treatment only to relapse into active addiction, and for the opioid addicted anesthesia resident, this often results in death. The objective of this study was to determine weather or not a period of time away from clinical practice after treatment would reduce the rate of relapse by allowing the individual to concentrate on recovery in the critical first year after treatment, during which the majority of relapses occur. DESIGN: 5 residents identified as being addicted to a controlled substance were removed from residency training and offered treatment. Prior to returning to residency training they were required to complete a post-treatment program involving no less than 12 months of work in the anesthesia simulator, followed by a graded re-introduction into the clinical practice of anesthesia. SETTING: Academic anesthesia practice in a large teaching hospital. RESULTS: Of the 5 residents who participated in the program, 3 (60%) successfully completed their residency program and their 5 year monitoring contract, and entered the anesthesia workforce as attending anesthesiologists. CONCLUSIONS: The treatment of addicted physicians can be successful, and return of the highly motivated individual to the clinical practice of Anesthesiology is a realistic goal, but this reintroduction must be undertaken in a careful, stepwise fashion. A full understanding of the disease process, the potential for relapse, and the implications of too rapid a return to practice must be taken into careful consideration.</t>
  </si>
  <si>
    <t>J2: J Clin Anesth; Bryson, Ethan O Levine, Adam Comment in: J Clin Anesth. 2008 Aug;20(5):325-7; PMID: 18761237; ID: 655</t>
  </si>
  <si>
    <t>0952-8180</t>
  </si>
  <si>
    <t>Bryson, Ethan O. Department of Anesthesiology, The Mount Sinai Medical Center, PO Box 1010, New York, NY 10029-6574, USA. ethan.bryson@msnyuhealth.org</t>
  </si>
  <si>
    <t>http://ovidsp.ovid.com/ovidweb.cgi?T=JS&amp;CSC=Y&amp;NEWS=N&amp;PAGE=fulltext&amp;D=med6&amp;AN=18761254</t>
  </si>
  <si>
    <t>https://dx.doi.org/10.1016/j.jclinane.2007.10.011</t>
  </si>
  <si>
    <t>MEDLINE; Ovid Technologies; One approach to the return to residency for anesthesia residents recovering from opioid addiction</t>
  </si>
  <si>
    <t>Buchbinder,M.;Wilbur,R.;Zuskov,D.;McLean,S.;Sleath,B.</t>
  </si>
  <si>
    <t>Teachable moments and missed opportunities for smoking cessation counseling in a hospital emergency department: a mixed-methods study of patient-provider communication</t>
  </si>
  <si>
    <t>Adult;Aged;*Communication;*Counseling;*Emergency Service, Hospital;Female;Humans;Male;Middle Aged;Motivation;*Patient Education as Topic;Physicians;*Professional-Patient Relations;Queensland;Smoking;*Smoking Cessation;Tape Recording;Young Adult</t>
  </si>
  <si>
    <t>BACKGROUND: While primary care medical clinics have been the most common setting for the delivery of advice about smoking cessation, the hospital emergency department (ED) is a valuable context for counseling medically underserved tobacco users. We conducted a secondary analysis based on a larger audio-recorded study of patient-provider communication about pain and analgesics in the ED. Within a sample of ED patients with back pain, the purpose of this mixed-methods study was to examine how physicians and nurse practitioners capitalize on "teachable moments" for health education to offer spontaneous smoking cessation counseling in the ED. METHODS: Patients presenting to an academic ED with a primary complaint of back pain were invited to participate in a study of patient-provider communication. Audio-recorded encounters were transcribed verbatim. Two coders reviewed each transcript to determine whether smoking was discussed and to build a corpus of smoking-related discussions. We then developed inductively generated coding categories to characterize how providers responded when patients endorsed smoking behavior. Categories were refined iteratively to accommodate discrepancies. RESULTS: Of 52 patient-provider encounters during which smoking was discussed, two-thirds of the patients indicated that they were smokers. Providers missed opportunities for smoking cessation counseling 70% of the time. Eleven encounters contained teachable moments for smoking cessation. We identified four primary strategies for creating teachable moments: 1) positive reinforcement, 2) encouragement, 3) assessing readiness, and 4) offering concrete motivating reasons. CONCLUSIONS: Most providers missed opportunities to offer teachable moments for smoking cessation. In encounters that contained teachable moments, providers employed multiple strategies, combining general advice with motivation tailored to the patient's particular circumstances. Creating motivational links to enhance smoking cessation efforts may be possible with a minimal investment of ED resources.</t>
  </si>
  <si>
    <t>J2: BMC Health Serv Res; Buchbinder, Mara Wilbur, Rachel Zuskov, Diana McLean, Samuel Sleath, Betsy; ID: 192</t>
  </si>
  <si>
    <t>Buchbinder, Mara. Department of Social Medicine, University of North Carolina at Chapel Hill, 333 S. Columbia St., 341A MacNider Hall CB 7240, Chapel Hill, NC, 27599, USA. mara.buchbinder@gmail.com. Wilbur, Rachel. Department of Health Behavior and Health Education, University of North Carolina at Chapel Hill, Chapel Hill, NC, USA. rwilbur@live.unc.edu. Zuskov, Diana. Department of Health Behavior and Health Education, University of North Carolina at Chapel Hill, Chapel Hill, NC, USA. dzuskov@live.unc.edu. McLean, Samuel. Departments of Anesthesiology and Emergency Medicine, University of North Carolina at Chapel Hill, Chapel Hill, NC, USA. smclean@aims.unc.edu. Sleath, Betsy. Division of Pharmaceutical Outcomes and Policy, University of North Carolina at Chapel Hill, Chapel Hill, NC, USA. betsy_sleath@unc.edu.</t>
  </si>
  <si>
    <t>http://ovidsp.ovid.com/ovidweb.cgi?T=JS&amp;CSC=Y&amp;NEWS=N&amp;PAGE=fulltext&amp;D=med8&amp;AN=25526749</t>
  </si>
  <si>
    <t>https://dx.doi.org/10.1186/s12913-014-0651-9</t>
  </si>
  <si>
    <t>MEDLINE; Ovid Technologies; Teachable moments and missed opportunities for smoking cessation counseling in a hospital emergency department: a mixed-methods study of patient-provider communication</t>
  </si>
  <si>
    <t>Budhathoki,N.;Shrestha,M. K.;Acharya,N.;Manandhar,A.</t>
  </si>
  <si>
    <t>Substance use among third year medical students of Nepal</t>
  </si>
  <si>
    <t>Journal of Nepal Health Research Council</t>
  </si>
  <si>
    <t>Adult;*Alcoholism/ep Epidemiology];Cross-Sectional Studies;Developing Countries;Female;Humans;Male;Nepal/ep Epidemiology];Prevalence;Professional Impairment/px Psychology];Professional Impairment/sn Statistics &amp; Numerical Data];Schools, Medical/sn Statistics &amp; Numerical Data];Street Drugs;Students, Medical/px Psychology];*Students, Medical/sn Statistics &amp; Numerical Data];*Substance-Related Disorders/ep Epidemiology];Surveys and Questionnaires;Young Adult;0 (Street Drugs)</t>
  </si>
  <si>
    <t>BACKGROUND: Substance use is very rampant in a developing country like Nepal. Unfortunately, medical field is not exempt from it either. Substance use among medical students and doctors not only reduces their efficiency at present but also increases their DALY on long term. The main objectives of the study were to assess the prevalence of substance use among medical student and to find out whether substance use started before or after joining the medical school. METHODS: The study design employed for the research was descriptive cross sectional. A structured questionnaire about current use of tobacco, alcohol and marijuana was used to collect the data from third year students from eight medical and one dental college from across the country having 2006 batch. RESULTS: The overall response rate was 74.12% (N=510). Among those who responded, prevalence of substance use was 49.6%, of which 38.2% were Nepalese nationals and 11.4% were foreign nationals and 39% were male and 10.6% female. Alcohol based product users were 52.3%, tobacco based product users were 55% and marijuana users were 65.7% and all started using them after joining the medical school. CONCLUSIONS: Almost half of the respondents were involved in some sort of substance use and more than half of those using started after joining medical school. Hence if proper measures are taken to address this then its prevalence can be significantly reduced if not eliminated completely.</t>
  </si>
  <si>
    <t>J2: J; Budhathoki, N Shrestha, M K Acharya, N Manandhar, A; ID: 478</t>
  </si>
  <si>
    <t>1999-6217</t>
  </si>
  <si>
    <t>Budhathoki, N. Kathmandu Medical College, Sinamangal, Kathmandu, Nepal. nibashbudhathoki@gmail.com</t>
  </si>
  <si>
    <t>http://ovidsp.ovid.com/ovidweb.cgi?T=JS&amp;CSC=Y&amp;NEWS=N&amp;PAGE=fulltext&amp;D=med6&amp;AN=21879007</t>
  </si>
  <si>
    <t>MEDLINE; Ovid Technologies; Substance use among third year medical students of Nepal</t>
  </si>
  <si>
    <t>Bunch,W. H.;Storr,C. L.;Hughes,P. H.;Baldwin,D. C., J.</t>
  </si>
  <si>
    <t>Substance use by surgical residents and students entering surgery</t>
  </si>
  <si>
    <t>Journal of Surgical Research</t>
  </si>
  <si>
    <t>J.Surg.Res.</t>
  </si>
  <si>
    <t>Adult;Alcohol Drinking;Attitude to Health;General Surgery/ed Education];*General Surgery;Humans;*Internship and Residency;Narcotics;Prevalence;*Students, Medical;*Substance-Related Disorders/ep Epidemiology];0 (Narcotics)</t>
  </si>
  <si>
    <t>We studied the use of alcohol, tobacco, and nine unprescribed or illegal substances by surgical residents and medical students accepted into surgical programs. With the exception of alcohol, surgical residents had less lifetime experience and used less than other residents or nonmedical college graduates. Students entering surgery had used these substances more frequently and were more likely to be using them regularly than were residents. Residency directors need to be aware of the change in attitude and use patterns of present residents as compared with those of the past.</t>
  </si>
  <si>
    <t>J2: J Surg Res; Bunch, W H Storr, C L Hughes, P H Baldwin, D C Jr; ID: 1155</t>
  </si>
  <si>
    <t>0022-4804</t>
  </si>
  <si>
    <t>Bunch, W H. Church Divinity School of the Pacific, Baltimore, Maryland 21218, USA.</t>
  </si>
  <si>
    <t>http://ovidsp.ovid.com/ovidweb.cgi?T=JS&amp;CSC=Y&amp;NEWS=N&amp;PAGE=fulltext&amp;D=med4&amp;AN=8769951</t>
  </si>
  <si>
    <t>MEDLINE; Ovid Technologies; Substance use by surgical residents and students entering surgery</t>
  </si>
  <si>
    <t>Bunker,J.;Winstock,A.;Zwar,N. A.</t>
  </si>
  <si>
    <t>Caring for patients with opioid dependence</t>
  </si>
  <si>
    <t>Australia;Buprenorphine/tu Therapeutic Use];Drug Therapy/mt Methods];Education, Medical, Continuing;Family Practice/ed Education];*Family Practice/mt Methods];Humans;*Methadone/tu Therapeutic Use];*Narcotic Antagonists/tu Therapeutic Use];Narcotics/tu Therapeutic Use];*Opioid-Related Disorders/dt Drug Therapy];Opioid-Related Disorders/rh Rehabilitation];0 (Narcotic Antagonists);0 (Narcotics);40D3SCR4GZ (Buprenorphine);UC6VBE7V1Z (Methadone)</t>
  </si>
  <si>
    <t>Australian general practitioners have a pivotal role in helping their patients with problems of alcohol and tobacco dependence, but have been less likely than their peers in the United Kingdom to be involved in the management of opioid dependence. This is despite the fact that most GPs are seeing opioid dependent patients whether they know it or not, and that GPs are ideally placed to manage this problem given the other advantages of the general practice context--continuity, accessibility, and whole patient care, including the ability to address other health issues.</t>
  </si>
  <si>
    <t>J2: Aust Fam Physician; Bunker, Jeremy Winstock, Adam Zwar, Nicholas A; ID: 707</t>
  </si>
  <si>
    <t>Bunker, Jeremy. General Practice Unit, Sydney South West Area Health Service. jeremyb@sigpet.com.au</t>
  </si>
  <si>
    <t>http://ovidsp.ovid.com/ovidweb.cgi?T=JS&amp;CSC=Y&amp;NEWS=N&amp;PAGE=fulltext&amp;D=med6&amp;AN=18239755</t>
  </si>
  <si>
    <t>MEDLINE; Ovid Technologies; Caring for patients with opioid dependence</t>
  </si>
  <si>
    <t>Burda,M. L.</t>
  </si>
  <si>
    <t>What Is New in Ethical Issues in Obstetrics?: Best Articles From the Past Year</t>
  </si>
  <si>
    <t>Cesarean Section;*Ethics, Medical/ed Education];Female;Health Services Accessibility/es Ethics];Humans;Infant, Extremely Premature;*Internship and Residency;*Obstetrics/ed Education];*Obstetrics/es Ethics];Obstetrics/lj Legislation &amp; Jurisprudence];*Opioid-Related Disorders/th Therapy];Pregnancy;*Pregnancy Complications/th Therapy]</t>
  </si>
  <si>
    <t>This month we focus on ethical issues in obstetrics. Dr. Burda discusses four recent publications, which are concluded with a "bottom line" that is the take-home message. The complete reference for each can be found in on this page, along with direct links to the abstracts.</t>
  </si>
  <si>
    <t>J2: Obstet Gynecol; Burda, Marianne L; ID: 188</t>
  </si>
  <si>
    <t>1873-233X</t>
  </si>
  <si>
    <t>Burda, Marianne L. Dr. Burda is Associate Chief of Staff for Education and Research at the Chillicothe Veterans Administration Medical Center, Chillicothe, Ohio; e-mail: marianne.burda@va.gov.</t>
  </si>
  <si>
    <t>http://ovidsp.ovid.com/ovidweb.cgi?T=JS&amp;CSC=Y&amp;NEWS=N&amp;PAGE=fulltext&amp;D=med8&amp;AN=26646137</t>
  </si>
  <si>
    <t>https://dx.doi.org/10.1097/AOG.0000000000001217</t>
  </si>
  <si>
    <t>MEDLINE; Ovid Technologies; What Is New in Ethical Issues in Obstetrics?: Best Articles From the Past Year</t>
  </si>
  <si>
    <t>Burditt,A. M.</t>
  </si>
  <si>
    <t>Alcohol and addiction: A short course for family medicine residents</t>
  </si>
  <si>
    <t>J2: Can Fam Physician; Burditt, A M; ID: 430</t>
  </si>
  <si>
    <t>http://ovidsp.ovid.com/ovidweb.cgi?T=JS&amp;CSC=Y&amp;NEWS=N&amp;PAGE=fulltext&amp;D=prem&amp;AN=21221361</t>
  </si>
  <si>
    <t>MEDLINE; Ovid Technologies; Alcohol and addiction: A short course for family medicine residents</t>
  </si>
  <si>
    <t>Burger,M. C.;Spickard,W. A.</t>
  </si>
  <si>
    <t>Integrating substance abuse education in the medical student curriculum</t>
  </si>
  <si>
    <t>American Journal of the Medical Sciences</t>
  </si>
  <si>
    <t>Am.J.Med.Sci.</t>
  </si>
  <si>
    <t>*Curriculum;*Education, Medical;Humans;*Substance-Related Disorders;United States</t>
  </si>
  <si>
    <t>Physicians miss the diagnosis of substance abuse in significant numbers of patients, partly because of a lack of education about identifying and treating those patients. This article describes an attempt to integrate substance abuse into the curriculum of a traditionally organized medical school. Faculty selection, determination of the skills and knowledge needed, and methods for enriching the curriculum to include substance abuse are described. Problems encountered during the project, benefits of implementing the curriculum changes, and recommendations for other medical schools choosing to implement such a program also are provided.</t>
  </si>
  <si>
    <t>J2: Am J Med Sci; Burger, M C Spickard, W A; ID: 1308</t>
  </si>
  <si>
    <t>Burger, M C. Department of Psychiatry, Vanderbilt University, Nashville, Tennessee 37232-5464.</t>
  </si>
  <si>
    <t>http://ovidsp.ovid.com/ovidweb.cgi?T=JS&amp;CSC=Y&amp;NEWS=N&amp;PAGE=fulltext&amp;D=med3&amp;AN=1928229</t>
  </si>
  <si>
    <t>MEDLINE; Ovid Technologies; Integrating substance abuse education in the medical student curriculum</t>
  </si>
  <si>
    <t>Bury,J.;Simmonte,M.;Jaquet,C.</t>
  </si>
  <si>
    <t>Training in substance misuse for GPs. Courses are available in Lothian</t>
  </si>
  <si>
    <t>BMJ</t>
  </si>
  <si>
    <t>*Education, Medical, Continuing;*Family Practice/ed Education];Humans;Scotland;*Substance-Related Disorders/di Diagnosis]</t>
  </si>
  <si>
    <t>J2: Bmj; Bury, J Simmonte, M Jaquet, C Comment on: BMJ. 1996 Jan 20;312(7024):186-7; PMID: 8563569; ID: 1175</t>
  </si>
  <si>
    <t>0959-8138</t>
  </si>
  <si>
    <t>http://ovidsp.ovid.com/ovidweb.cgi?T=JS&amp;CSC=Y&amp;NEWS=N&amp;PAGE=fulltext&amp;D=med4&amp;AN=8620162</t>
  </si>
  <si>
    <t>MEDLINE; Ovid Technologies; Training in substance misuse for GPs. Courses are available in Lothian</t>
  </si>
  <si>
    <t>Bustamante Montes,L. P.</t>
  </si>
  <si>
    <t>Report on damage to health induced by drugs and their use. Study of a group of medical students and pre-graduate medical interns]</t>
  </si>
  <si>
    <t>Salud Publica de Mexico</t>
  </si>
  <si>
    <t>Adult;Female;*Health Education;Humans;*Internship and Residency;Male;Mexico;*Students, Medical;*Substance-Related Disorders/co Complications];Substance-Related Disorders/ep Epidemiology]</t>
  </si>
  <si>
    <t>J2: Salud Publica Mex; Spanish Bustamante Montes, L P; OP: La informacion sobre el dano a la salud producido por las drogas y su uso; ID: 1469</t>
  </si>
  <si>
    <t>0036-3634</t>
  </si>
  <si>
    <t>http://ovidsp.ovid.com/ovidweb.cgi?T=JS&amp;CSC=Y&amp;NEWS=N&amp;PAGE=fulltext&amp;D=med2&amp;AN=6515465</t>
  </si>
  <si>
    <t>MEDLINE; Ovid Technologies; [Report on damage to health induced by drugs and their use. Study of a group of medical students and pre-graduate medical interns]</t>
  </si>
  <si>
    <t>Butler,M. M.;Ancona,R. M.;Beauchamp,G. A.;Yamin,C. K.;Winstanley,E. L.;Hart,K. W.;Ruffner,A. H.;Ryan,S. W.;Ryan,R. J.;Lindsell,C. J.;Lyons,M. S.</t>
  </si>
  <si>
    <t>NIHMS759463 Available on 08/01/17]; Emergency Department Prescription Opioids as an Initial Exposure Preceding Addiction</t>
  </si>
  <si>
    <t>Adult;*Analgesics, Opioid/tu Therapeutic Use];Cross-Sectional Studies;*Emergency Service, Hospital;Female;Hospitals, Teaching;Hospitals, Urban;Humans;Iatrogenic Disease;Male;*Opioid-Related Disorders/et Etiology];Practice Patterns, Physicians';Prescription Drug Misuse;0 (Analgesics, Opioid)</t>
  </si>
  <si>
    <t>STUDY OBJECTIVE: Opioid abuse and overdose constitute an ongoing health emergency. Many presume opioids have little potential for iatrogenic addiction when used as directed, particularly in short courses, as is typical of the emergency department (ED) setting. We preliminarily explore the possibility that initial exposure to opioids by EDs could be related to subsequent opioid misuse. METHODS: This cross-sectional study surveyed a convenience sample of patients reporting heroin or nonmedical opioid use at an urban, academic ED. We estimated the proportion whose initial exposure to opioids was a legitimate medical prescription and the proportion of those prescriptions that came from an ED. Secondary measurements included the proportion of patients receiving nonopioid substances before initial opioid exposure, the source of opioids between initial exposure and onset of regular nonmedical use, and time from initial prescription to opioid use disorder. RESULTS: Of 59 subjects, 35 (59%; 95% confidence interval CI] 47% to 71%) reported they were first exposed to opioids by a legitimate medical prescription, and for 10 of 35 (29%; 95% CI 16% to 45%), the prescription came from an ED. Most medically exposed subjects (28/35; 80%; 95% CI 65% to 91%) reported nonopioid substance use or treatment for nonopioid substance use disorders preceding the initial opioid exposure. Emergency providers were a source of opioids between exposure and onset of regular nonmedical use in 11 of 35 cases (31%; 95% CI 18% to 48%). Thirty-one of the 35 medically exposed subjects reported the time of onset of nonmedical use; median time from exposure to onset of nonmedical use was 6 months for use to get high (N=25; interquartile range IQR] 2 to 36), 12 months for regular use to get high (N=24; IQR 2 to 36), 18 months for use to avoid withdrawal (N=26; IQR 2 to 38), and 24 months for regular use to avoid withdrawal (N=27; IQR 2 to 48). Eleven subjects (36%; 95% CI 21% to 53%) began nonmedical use within 2 months, and 9 of 11 (82%; 95% CI 53% to 96%) reported nonopioid substance use or treatment for alcohol abuse before initial opioid exposure. CONCLUSION: Although short-term opioid administration by emergency providers is unlikely to cause addiction by itself, ED opioid prescriptions may contribute to the development of addiction in some patients. There is an urgent need for further research to estimate long-term risks of short-course opioid therapy so that the risk of iatrogenic addiction can be appropriately balanced with the benefit of analgesia.</t>
  </si>
  <si>
    <t>J2: Ann Emerg Med; Butler, Megan M Ancona, Rachel M Beauchamp, Gillian A Yamin, Cyrus K Winstanley, Erin L Hart, Kimberly W Ruffner, Andrew H Ryan, Shawn W Ryan, Richard J Lindsell, Christopher J Lyons, Michael S Comment in: Ann Emerg Med. 2016 Aug;68(2):209-12; PMID: 26973177 S0196-0644(15)01567-X; ID: 85</t>
  </si>
  <si>
    <t>1097-6760</t>
  </si>
  <si>
    <t>Butler, Megan M. Department of Emergency Medicine, University of Cincinnati, Cincinnati, OH. Ancona, Rachel M. Department of Emergency Medicine, University of Cincinnati, Cincinnati, OH. Beauchamp, Gillian A. Department of Emergency Medicine, University of Cincinnati, Cincinnati, OH. Yamin, Cyrus K. Department of Emergency Medicine, University of Cincinnati, Cincinnati, OH. Winstanley, Erin L. James L. Winkle College of Pharmacy and Department of Psychiatry and Behavioral Neuroscience, University of Cincinnati, Cincinnati, OH. Hart, Kimberly W. Department of Emergency Medicine, University of Cincinnati, Cincinnati, OH. Ruffner, Andrew H. Department of Emergency Medicine, University of Cincinnati, Cincinnati, OH. Ryan, Shawn W. Department of Emergency Medicine, University of Cincinnati, Cincinnati, OH. Ryan, Richard J. Department of Emergency Medicine, University of Cincinnati, Cincinnati, OH. Lindsell, Christopher J. Department of Emergency Medicine, University of Cincinnati, Cincinnati, OH. Lyons, Michael S. Department of Emergency Medicine, University of Cincinnati, Cincinnati, OH. Electronic address: lyonsme@ucmail.uc.edu.</t>
  </si>
  <si>
    <t>http://ovidsp.ovid.com/ovidweb.cgi?T=JS&amp;CSC=Y&amp;NEWS=N&amp;PAGE=fulltext&amp;D=medc&amp;AN=26875061</t>
  </si>
  <si>
    <t>https://dx.doi.org/10.1016/j.annemergmed.2015.11.033</t>
  </si>
  <si>
    <t>MEDLINE; Ovid Technologies; Emergency Department Prescription Opioids as an Initial Exposure Preceding Addiction</t>
  </si>
  <si>
    <t>Caan,W.</t>
  </si>
  <si>
    <t>Misfortunes never come singly</t>
  </si>
  <si>
    <t>Perspectives in Public Health</t>
  </si>
  <si>
    <t>*Alcoholism/di Diagnosis];Comorbidity;Education, Medical/og Organization &amp; Administration];Health Services Accessibility/og Organization &amp; Administration];Humans;*National Health Programs/og Organization &amp; Administration];*Primary Health Care/og Organization &amp; Administration];Referral and Consultation/og Organization &amp; Administration];Socioeconomic Factors;United Kingdom</t>
  </si>
  <si>
    <t>J2: Perspect Public Health; Caan, Woody; ID: 615</t>
  </si>
  <si>
    <t>1757-9139</t>
  </si>
  <si>
    <t>http://ovidsp.ovid.com/ovidweb.cgi?T=JS&amp;CSC=Y&amp;NEWS=N&amp;PAGE=fulltext&amp;D=med6&amp;AN=19788161</t>
  </si>
  <si>
    <t>MEDLINE; Ovid Technologies; Misfortunes never come singly</t>
  </si>
  <si>
    <t>Cadzow,R. B.;Servoss,T. J.;Fox,C. H.</t>
  </si>
  <si>
    <t>The health status of patients of a student-run free medical clinic in inner-city Buffalo, NY</t>
  </si>
  <si>
    <t>Journal of the American Board of Family Medicine: JABFM</t>
  </si>
  <si>
    <t>Adult;*Ambulatory Care Facilities;Female;*Health Status;*Health Status Disparities;Health Status Indicators;Health Surveys;Humans;Male;Middle Aged;New York;Pilot Projects;Poverty;Psychometrics;Risk Assessment;Social Support;Socioeconomic Factors;*Students, Medical;Surveys and Questionnaires;*Urban Population</t>
  </si>
  <si>
    <t>BACKGROUND: This study explores the health status and the social and economic correlates of adults 20 years of age and older who presented at an urban free medical clinic in Buffalo, NY, between 2002 and 2005. METHODS: Clinic staff asked patients to fill out a Health Risk Assessment questionnaire that addressed their chronic disease and illness history, mental health, social support, substance use, income, education, and housing. Through statistical analysis of 469 anonymous patient questionnaires, we identified prevalent health conditions in this patient population and compared these rates to regional and national data. RESULTS: Of those patients 20 years of age and older, 70% earned less than US $10,000 a year. The rates of obesity, hypertension, asthma, diabetes, anxiety, and depression were higher in this population than in the Buffalo, NY, region and the general United States population. CONCLUSION: The data reflect the health disparity experienced by low-income minority populations in the United States and emphasize a need to plan additional services that target hypertension, heart disease, obesity, diabetes, and mental health disorders such as anxiety and depression. Findings also serve as an introduction to the patient population for volunteer medical students who have limited exposure to urban, low-income populations.</t>
  </si>
  <si>
    <t>J2: J Am Board Fam Med; Cadzow, Renee B Servoss, Timothy J Fox, Chester H; ID: 713</t>
  </si>
  <si>
    <t>1557-2625</t>
  </si>
  <si>
    <t>Cadzow, Renee B. Department of Family Medicine, Primary Care Research Institute, State University of New York at Buffalo, Buffalo, NY 14215, USA. rcadzow@buffalo.edu</t>
  </si>
  <si>
    <t>http://ovidsp.ovid.com/ovidweb.cgi?T=JS&amp;CSC=Y&amp;NEWS=N&amp;PAGE=fulltext&amp;D=med5&amp;AN=17954865</t>
  </si>
  <si>
    <t>MEDLINE; Ovid Technologies; The health status of patients of a student-run free medical clinic in inner-city Buffalo, NY</t>
  </si>
  <si>
    <t>Cain,J. J.;Dickinson,W. P.;Fernald,D.;Bublitz,C.;Dickinson,L. M.;West,D.</t>
  </si>
  <si>
    <t>Family physicians and youth tobacco-free education: outcomes of the Colorado Tar Wars program</t>
  </si>
  <si>
    <t>Child;Colorado;Female;*Health Education;Humans;Male;*Physicians, Family;Program Evaluation;Schools;*Smoking/ae Adverse Effects];Surveys and Questionnaires</t>
  </si>
  <si>
    <t>BACKGROUND: Tar Wars is a national school-based tobacco-free education program operated by the American Academy of Family Physicians. The Tar Wars lesson uses an interactive 45-min session taught by volunteer family physicians in 4th- and 5th-grade classrooms and focuses on the short-term image-based consequences of tobacco use. In this study, we evaluated the effectiveness of the Tar Wars program in Colorado with both quantitative and qualitative measures. METHODS: Students participating in the quantitative evaluation were tested before and after a Tar Wars teaching session using a 14-question test covering the short-term and image-based consequences of tobacco use, cost of smoking, tobacco advertising, and social norms of tobacco use. Qualitative evaluation of the program included guided telephone interviews and focus groups with participating students, teachers, and presenters. RESULTS: Quantitative evaluation showed statistically significant improvement in correct responses for the 14 questions measured with an average increase in correct responses from 8.95 to 10.23. Three areas recommended by the Centers for Disease Control (CDC) for youth tobacco prevention showed greater change in correct responses, including cost of smoking, truth of tobacco advertising, and peer norms of tobacco use. Qualitative evaluation found that the overall message of the session was well received, that previously known tobacco information was reinforced by its presentation in a novel format, and that new information learned included cost of smoking, truth of tobacco advertising, and peer norms of tobacco use. CONCLUSIONS: The Tar Wars lesson plan is effective in increasing students' understanding about the short-term consequences of tobacco use, cost of tobacco use, truth of tobacco advertising, and peer norms. Tar Wars meets the CDC guidelines as one component of effective comprehensive youth tobacco prevention.</t>
  </si>
  <si>
    <t>J2: J Am Board Fam Med; Cain, Jeffrey J Dickinson, W Perry Fernald, Douglas Bublitz, Caroline Dickinson, L Miriam West, David Comment in: J Am Board Fam Med. 2008 Jan-Feb;21(1):80; author reply 81; PMID: 18178711; ID: 789</t>
  </si>
  <si>
    <t>Cain, Jeffrey J. Department of Family Medicine, University of Colorado Health Sciences Center, Denver, CO. cain.jeffrey@tchden.org</t>
  </si>
  <si>
    <t>http://ovidsp.ovid.com/ovidweb.cgi?T=JS&amp;CSC=Y&amp;NEWS=N&amp;PAGE=fulltext&amp;D=med5&amp;AN=17090791</t>
  </si>
  <si>
    <t>MEDLINE; Ovid Technologies; Family physicians and youth tobacco-free education: outcomes of the Colorado Tar Wars program</t>
  </si>
  <si>
    <t>Cain,J. J.;Dudley,T. E.;Wilkerson,M. K.</t>
  </si>
  <si>
    <t>Tar wars--a community-based tobacco education project</t>
  </si>
  <si>
    <t>Journal of Family Practice</t>
  </si>
  <si>
    <t>J.Fam.Pract.</t>
  </si>
  <si>
    <t>Child;Colorado;*Health Education/mt Methods];Humans;Physicians, Family;*Smoking Prevention</t>
  </si>
  <si>
    <t>J2: J; Cain, J J Dudley, T E Wilkerson, M K; ID: 1294</t>
  </si>
  <si>
    <t>0094-3509</t>
  </si>
  <si>
    <t>Cain, J J. North Sheridan Family Practice, Broomfield, CO 80020.</t>
  </si>
  <si>
    <t>http://ovidsp.ovid.com/ovidweb.cgi?T=JS&amp;CSC=Y&amp;NEWS=N&amp;PAGE=fulltext&amp;D=med3&amp;AN=1541950</t>
  </si>
  <si>
    <t>MEDLINE; Ovid Technologies; Tar wars--a community-based tobacco education project</t>
  </si>
  <si>
    <t>Callaghan,R. C.;Brewster,J. M.;Johnson,J.;Taylor,L.;Beach,G.;Lentz,T.</t>
  </si>
  <si>
    <t>Do total smoking bans affect the recruitment and retention of adolescents in inpatient substance abuse treatment programs? A 5-year medical chart review, 2001-2005</t>
  </si>
  <si>
    <t>Journal of substance abuse treatment</t>
  </si>
  <si>
    <t>J.Subst.Abuse Treat.</t>
  </si>
  <si>
    <t>Adolescent;Adult;Alcoholism/rh Rehabilitation];British Columbia;Child;Female;Humans;Male;*Organizational Policy;*Patient Compliance/px Psychology];Patient Selection;Residential Treatment;Retrospective Studies;*Smoking Prevention;*Substance Abuse Treatment Centers/lj Legislation &amp; Jurisprudence];Substance Abuse Treatment Centers/og Organization &amp; Administration];Substance-Related Disorders/px Psychology];*Substance-Related Disorders/rh Rehabilitation];Treatment Outcome;*Treatment Refusal/px Psychology]</t>
  </si>
  <si>
    <t>Adolescents engaged in substance abuse treatment manifest a rate of cigarette smoking approximately four times higher than that of youth in the general population ( approximately 80% vs. 20%) and a high rate of smoking persistence into adulthood. Although there has been a shift toward the implementation of no-smoking policies in substance abuse treatment programs, few studies have examined the relation between cigarette-smoking bans and key clinical outcomes. The current study examined the medical charts of all adolescents (N = 520) admitted to the only adolescent hospital-based substance abuse treatment program in the northern two thirds of the province of British Columbia, Canada. During the span of the study period (March 2001-December 2005), the treatment site moved from a partial smoking ban to a total smoking ban, and then retreated to partial smoking ban. The total smoking ban was not associated with a lower proportion of adolescent smokers seeking treatment at the facility or a lower treatment completion rate among smokers. Total smoking bans do not appear to be an obstacle for adolescent smokers seeking residential substance abuse treatment, nor do total smoking bans appear to compromise the treatment completion rates of smokers in comparison to nonsmokers. Despite these null findings, the effective implementation of smoke-free policies in adolescent substance abuse treatment programs requires not only large-scale organizational change but also the transformation of current commonly held beliefs about tobacco dependence in addictions treatment and recovery communities.</t>
  </si>
  <si>
    <t>J2: J Subst Abuse Treat; Callaghan, Russell C Brewster, Joan M Johnson, Joy Taylor, Lawren Beach, Glenn Lentz, Tim; ID: 717</t>
  </si>
  <si>
    <t>0740-5472</t>
  </si>
  <si>
    <t>Callaghan, Russell C. Centre for Addiction and Mental Health, Toronto, Ontario, Canada. russell_callaghan@camh.net</t>
  </si>
  <si>
    <t>http://ovidsp.ovid.com/ovidweb.cgi?T=JS&amp;CSC=Y&amp;NEWS=N&amp;PAGE=fulltext&amp;D=med5&amp;AN=17376637</t>
  </si>
  <si>
    <t>MEDLINE; Ovid Technologies; Do total smoking bans affect the recruitment and retention of adolescents in inpatient substance abuse treatment programs? A 5-year medical chart review, 2001-2005</t>
  </si>
  <si>
    <t>Campbell,A. N. C.;Back,S. E.;Ostroff,J. S.;Hien,D. A.;Gourevitch,M. N.;Sheffer,C. E.;Brady,K. T.;Hanley,K.;Bereket,S.;Book,S.</t>
  </si>
  <si>
    <t>Addiction Research Training Programs: Four Case Studies and Recommendations for Evaluation</t>
  </si>
  <si>
    <t>Sep/Oct</t>
  </si>
  <si>
    <t>: The presence of structured addiction research training programs helps to ensure that the scientific workforce includes well-trained, diverse scientists necessary to reduce the negative impact of alcohol, drug, and tobacco use disorders. Although the field has made significant progress in the development of standards for clinical training in addiction medicine, there remains significant room for improvement in the training of addiction researchers, and also opportunities to synergize across addiction research training programs. The purpose of this commentary is to describe 4 National Institutes of Health (NIH)-sponsored addiction research training programs, highlight critical components, and provide recommendations for more comprehensive and effective program evaluation. Moving forward, evaluation of addiction research training programs would be enhanced by the use of conceptual models to inform process and outcome evaluations, the application of innovative methods to ensure long-term data collection, the improvement of mentorship evaluation measures, and the integration of training methods from other fields of study. We encourage NIH and others in the field to be proactive in establishing core metrics for evaluation across programs. Furthermore, centralized tracking of NIH-funded addiction research trainees, analysis of aggregate data across programs, and innovative methods to effectively disseminate program materials and processes are recommended.</t>
  </si>
  <si>
    <t>J2: J Addict Med; Campbell, Aimee N C Back, Sudie E Ostroff, Jamie S Hien, Denise A Gourevitch, Marc N Sheffer, Christine E Brady, Kathleen T Hanley, Kathleen Bereket, Sewit Book, Sarah; ID: 1654</t>
  </si>
  <si>
    <t>1935-3227</t>
  </si>
  <si>
    <t>Campbell, Aimee N C. Division of Substance Use Disorders, Department of Psychiatry, Columbia University Medical Center and New York State Psychiatric Institute, New York, NY (ANCC); Department of Psychiatry and Behavioral Sciences, Medical University of South Carolina and Ralph H. Johnson VA Medical Center, Charleston, SC (SEB, KTB); Department of Psychiatry and Behavioral Sciences, Memorial Sloan Kettering Cancer Center, New York, NY (JSO); Gordon F. Derner Institute for Advanced Psychological Studies at Adelphi University and Division of Substance Use Disorders, Department of Psychiatry, Columbia University Medical Center and New York State Psychiatric Institute, New York, NY (DAH); Department of Population Health NYU School of Medicine (MNG, SB); Department of Health Behavior, Roswell Park Cancer Institute, Buffalo, NY (CES); NYU School of Medicine (KH); and Department of Psychiatry and Behavioral Sciences, Addiction Sciences Division, Medical University of South Carolina, Charleston, SC (SB).</t>
  </si>
  <si>
    <t>http://ovidsp.ovid.com/ovidweb.cgi?T=JS&amp;CSC=Y&amp;NEWS=N&amp;PAGE=fulltext&amp;D=prem&amp;AN=28590393</t>
  </si>
  <si>
    <t>https://dx.doi.org/10.1097/ADM.0000000000000328</t>
  </si>
  <si>
    <t>MEDLINE; Ovid Technologies; Addiction Research Training Programs: Four Case Studies and Recommendations for Evaluation</t>
  </si>
  <si>
    <t>Campion-Smith,C.;Preston,A.</t>
  </si>
  <si>
    <t>Preparing GP's for working with drug users</t>
  </si>
  <si>
    <t>*Education, Medical, Continuing/mt Methods];*Family Practice/ed Education];Humans;*Substance-Related Disorders/th Therapy]</t>
  </si>
  <si>
    <t>J2: Br J Gen Pract; Campion-Smith, C Preston, A; ID: 1152</t>
  </si>
  <si>
    <t>0960-1643</t>
  </si>
  <si>
    <t>http://ovidsp.ovid.com/ovidweb.cgi?T=JS&amp;CSC=Y&amp;NEWS=N&amp;PAGE=fulltext&amp;D=med4&amp;AN=8995860</t>
  </si>
  <si>
    <t>MEDLINE; Ovid Technologies; Preparing GP's for working with drug users</t>
  </si>
  <si>
    <t>Camsari,U. M.;Arikan,Z.</t>
  </si>
  <si>
    <t>Letter to the Editor: Addiction Psychiatry Fellowship Training In The United States: A Model For Turkey]</t>
  </si>
  <si>
    <t>J2: Turk Psikiyatri Derg; Turkish Camsari, Ulas Mehmet Arikan, Zehra; OP: Editore Mektup: Amerika Birlesik Devletleri'nde Bagimlilik Psikiyatrisi Yandal Egitimi: Turkiye Icin Bir Model; ID: 1656</t>
  </si>
  <si>
    <t>http://ovidsp.ovid.com/ovidweb.cgi?T=JS&amp;CSC=Y&amp;NEWS=N&amp;PAGE=fulltext&amp;D=prem&amp;AN=29313874</t>
  </si>
  <si>
    <t>MEDLINE; Ovid Technologies; [Letter to the Editor: Addiction Psychiatry Fellowship Training In The United States: A Model For Turkey]</t>
  </si>
  <si>
    <t>Cantone,R. E.</t>
  </si>
  <si>
    <t>Why medical students need addictions training</t>
  </si>
  <si>
    <t>Current medical students will be tasked at attempting to resolve the opioid epidemic in the United States that has been created by generations before them. This article will address one educator's view on the current state of training addiction treatment skills to medical students.</t>
  </si>
  <si>
    <t>J2: Med Teach; Cantone, Rebecca E; ID: 1630</t>
  </si>
  <si>
    <t>Cantone, Rebecca E. a Department of Family Medicine , Oregon Health and Science University , Portland , OR , USA.</t>
  </si>
  <si>
    <t>http://ovidsp.ovid.com/ovidweb.cgi?T=JS&amp;CSC=Y&amp;NEWS=N&amp;PAGE=fulltext&amp;D=prem&amp;AN=29094624</t>
  </si>
  <si>
    <t>https://dx.doi.org/10.1080/0142159X.2017.1393050</t>
  </si>
  <si>
    <t>MEDLINE; Ovid Technologies; Why medical students need addictions training</t>
  </si>
  <si>
    <t>Cantor,S. B.;Deshmukh,A. A.;Luca,N. S.;Nogueras-Gonzalez,G.;Rajan,T.;Prokhorov,A. V.</t>
  </si>
  <si>
    <t>NIHMS655749; Cost-effectiveness analysis of smoking-cessation counseling training for physicians and pharmacists</t>
  </si>
  <si>
    <t>Adult;Aged;Cost-Benefit Analysis;*Counseling/ed Education];*Education, Continuing/ec Economics];Female;Humans;Male;Middle Aged;*Pharmacists;*Physicians;Quality-Adjusted Life Years;Smoking/ec Economics];*Smoking/th Therapy];Smoking Cessation/ec Economics];*Smoking Cessation/mt Methods]</t>
  </si>
  <si>
    <t>BACKGROUND: Although smoking-cessation interventions typically focus directly on patients, this paper conducts an economic evaluation of a novel smoking-cessation intervention focused on training physicians and/or pharmacists to use counseling techniques that would decrease smoking rates at a reasonable cost. PURPOSE: To evaluate the cost-effectiveness of interventions that train physicians and/or pharmacists to counsel their patients on smoking-cessation techniques. METHODS: Using decision-analytic modeling, we compared four strategies for smoking-cessation counseling education: training only physicians, training only pharmacists, training both physicians and pharmacists (synergy strategy), and training neither physicians nor pharmacists (i.e., no specialized training, which is the usual practice). Short-term outcomes were based on results from a clinical trial conducted in 16 communities across the Houston area; long-term outcomes were calculated from epidemiological data. Short-term outcomes were measured using the cost per quit, and long-term outcomes were measured using the cost per quality-adjusted life-year (QALY). Cost data were taken from institutional sources; both costs and QALYs were discounted at 3%. RESULTS: Training both physicians and pharmacists added 0.09 QALY for 45-year-old men. However, for 45-year-old women, the discounted quality-adjusted life expectancy only increased by 0.01 QALY when comparing the synergy strategy to no intervention. The incremental cost-effectiveness ratio (ICER) of the synergy strategy with respect to the non-intervention strategy was US$868/QALY for 45-year-old men and US$8953/QALY for 45-year-old women. The results were highly sensitive to the quit rates and community size. CONCLUSION: Synergistic educational training for physicians and pharmacists could be a cost-effective method for smoking cessation in the community.</t>
  </si>
  <si>
    <t>J2: Addict Behav; Cantor, Scott B Deshmukh, Ashish A Luca, Nancy Stancic Nogueras-Gonzalez, Graciela M Rajan, Tanya Prokhorov, Alexander V S0306-4603(15)00005-2; ID: 209</t>
  </si>
  <si>
    <t>1873-6327</t>
  </si>
  <si>
    <t>Cantor, Scott B. Department of Health Services Research, The University of Texas MD Anderson Cancer Center, Houston, TX, USA. Electronic address: sbcantor@mdanderson.org. Deshmukh, Ashish A. Department of Health Services Research, The University of Texas MD Anderson Cancer Center, Houston, TX, USA. Luca, Nancy Stancic. Office of Research, Texas Woman's University, Houston, TX, USA. Nogueras-Gonzalez, Graciela M. Department of Biostatistics, The University of Texas MD Anderson Cancer Center, Houston, TX, USA. Rajan, Tanya. Department of Health Services Research, The University of Texas MD Anderson Cancer Center, Houston, TX, USA. Prokhorov, Alexander V. Department of Behavioral Science, The University of Texas MD Anderson Cancer Center, Houston, TX, USA.</t>
  </si>
  <si>
    <t>http://ovidsp.ovid.com/ovidweb.cgi?T=JS&amp;CSC=Y&amp;NEWS=N&amp;PAGE=fulltext&amp;D=med8&amp;AN=25644592</t>
  </si>
  <si>
    <t>https://dx.doi.org/10.1016/j.addbeh.2015.01.004</t>
  </si>
  <si>
    <t>MEDLINE; Ovid Technologies; Cost-effectiveness analysis of smoking-cessation counseling training for physicians and pharmacists</t>
  </si>
  <si>
    <t>Cao,M. M.;Deschamps,J. P.</t>
  </si>
  <si>
    <t>It's free, therefore they abuse.... Study of answers of medical students concerning drug consumption]</t>
  </si>
  <si>
    <t>Attitude;*Drug Utilization;Education, Medical, Graduate;France;Humans;Insurance, Health;Public Health/ed Education];*Students, Medical;*Substance-Related Disorders</t>
  </si>
  <si>
    <t>In 1994, during a public health examination, in Nancy, a question was asked to students in their 6th year of medical studies: "why do the patients who benefit of a total reimbursement of the drug's cost (that is patients that receive free medical care because they have a serious illness), consume obviously more than the others?". The aim of this study is to analyse the student's answers: 57 students gave the correct answer (serious illness explains high consumption), 44 gave several answers (included free care explains high consumption); for 71 students, it is only an abusive consumption. Although the time to complete the test is limited, it is a good indication of the student's attitudes. Many of them do not make a difference between high consumption in a case of serious illness and abusive consumption as a result of free medical care. Then the student's attitude towards the patients is frequently negative.</t>
  </si>
  <si>
    <t>J2: Sante Publique; French Cao, M M Deschamps, J P; OP: "C'est gratuit donc ils abusent..."; ID: 1120</t>
  </si>
  <si>
    <t>Cao, M M. Ecole de Sante Publique, Faculte de Medecine, Universite Henri Poincare-Nancy I, Vandoeuvre-les-Nancy, France.</t>
  </si>
  <si>
    <t>http://ovidsp.ovid.com/ovidweb.cgi?T=JS&amp;CSC=Y&amp;NEWS=N&amp;PAGE=fulltext&amp;D=med4&amp;AN=9417376</t>
  </si>
  <si>
    <t>MEDLINE; Ovid Technologies; ["It's free, therefore they abuse...". Study of answers of medical students concerning drug consumption]</t>
  </si>
  <si>
    <t>Cape,G.</t>
  </si>
  <si>
    <t>Movies as a vehicle to teach addiction medicine</t>
  </si>
  <si>
    <t>International Review of Psychiatry</t>
  </si>
  <si>
    <t>Attitude to Health;*Behavior, Addictive/px Psychology];Behavior, Addictive/th Therapy];*Education, Medical/mt Methods];Humans;*Motion Pictures;*Substance-Related Disorders/px Psychology];Substance-Related Disorders/th Therapy];Teaching/mt Methods];*Teaching</t>
  </si>
  <si>
    <t>Dependence on a substance and the role of medical practitioners in this health problem can be perceived as an enigma. Movies, as a tool for teaching, can be a powerful means of engaging, clarifying and educating students within the addiction medicine arena. Popular mythologies and stereotypes of drug use (including alcohol) and users in cinema can be explored within a learning environment aiding the understanding of this complex topic, thereby improving the therapeutic commitment to addiction medicine. There is a responsibility of the teacher to use this tool with care so as not to perpetuate the mythologies of addiction as often portrayed within commercial cinema. Tried and tested use of this potent educational aid, with suggestions for further development, are outlined in this article. References: 32]</t>
  </si>
  <si>
    <t>J2: Int Rev Psychiatry; Cape, Gavin; ID: 627</t>
  </si>
  <si>
    <t>1369-1627</t>
  </si>
  <si>
    <t>Cape, Gavin. Department of Psychological Medicine, University of Otago, Dunedin, New Zealand. gavin.cape@stonebow.otago.ac.nz</t>
  </si>
  <si>
    <t>http://ovidsp.ovid.com/ovidweb.cgi?T=JS&amp;CSC=Y&amp;NEWS=N&amp;PAGE=fulltext&amp;D=med6&amp;AN=19459096</t>
  </si>
  <si>
    <t>https://dx.doi.org/10.1080/09540260902747094</t>
  </si>
  <si>
    <t>MEDLINE; Ovid Technologies; Movies as a vehicle to teach addiction medicine</t>
  </si>
  <si>
    <t>Cape,G.;Hannah,A.;Sellman,D.</t>
  </si>
  <si>
    <t>A longitudinal evaluation of medical student knowledge, skills and attitudes to alcohol and drugs</t>
  </si>
  <si>
    <t>Adult;*Attitude of Health Personnel;*Clinical Competence;*Education, Medical, Undergraduate/st Standards];Female;Humans;Longitudinal Studies;Male;New Zealand;*Psychiatry/ed Education];*Students, Medical/px Psychology];*Substance-Related Disorders/px Psychology]</t>
  </si>
  <si>
    <t>AIM: To examine the knowledge, skills and attitudes of medical students to alcohol and drugs as training progresses. DESIGN: A longitudinal, prospective, cohort-based design. SETTING: The four schools of medicine in New Zealand. PARTICIPANTS: All second-year medical students (first year of pre-clinical medical health sciences) in New Zealand were administered a questionnaire which was repeated in the fourth (first year of significant clinical exposure) and then sixth years (final year). A response rate of 98% in the second year, 75% in the fourth year and 34% in the sixth year, with a total of 637 respondents (47.8% male) and an overall response rate of 68%. QUESTIONNAIRE: The questionnaire consisted of 43 questions assessing knowledge and skills -- a mixture of true/false and scenario stem-based multiple-choice questions and 25 attitudinal questions scored on a Likert scale. Demographic questions included first language, ethnicity and personal consumption of alcohol and tobacco. FINDINGS: The competence (knowledge plus skills) correct scores increased from 23.4% at the second year to 53.6% at the fourth year to 71.8% at the sixth year, being better in those students who drank alcohol and whose first language was English (P &lt; 0.002). As training progressed the student's perceptions of their role adequacy regarding the effectiveness of the management of illicit drug users diminished. For example, at second year 21% and at sixth year 51% of students felt least effective in helping patients to reduce illicit drug use. At the sixth year, 15% of sixth year students regarded the self-prescription of psychoactive drugs as responsible practice. CONCLUSION: Education on alcohol and drugs for students remains a crucial but under provided part of the undergraduate medical curriculum. This research demonstrated that while positive teaching outcomes were apparent, further changes to medical student curricula need to be considered to address specific knowledge deficits and to increase the therapeutic commitment and professional safety of medical students to alcohol and drugs.</t>
  </si>
  <si>
    <t>J2: Addiction; Cape, Gavin Hannah, Annette Sellman, Doug; ID: 810</t>
  </si>
  <si>
    <t>0965-2140</t>
  </si>
  <si>
    <t>http://ovidsp.ovid.com/ovidweb.cgi?T=JS&amp;CSC=Y&amp;NEWS=N&amp;PAGE=fulltext&amp;D=med5&amp;AN=16696628</t>
  </si>
  <si>
    <t>MEDLINE; Ovid Technologies; A longitudinal evaluation of medical student knowledge, skills and attitudes to alcohol and drugs</t>
  </si>
  <si>
    <t>Caplan,L.;Stout,C.;Blumenthal,D. S.</t>
  </si>
  <si>
    <t>NIHMS471784; Training physicians to do office-based smoking cessation increases adherence to PHS guidelines</t>
  </si>
  <si>
    <t>Journal of community health</t>
  </si>
  <si>
    <t>J.Community Health</t>
  </si>
  <si>
    <t>African Americans;Clinical Competence;Community Health Centers/og Organization &amp; Administration];*Education, Medical, Continuing;Focus Groups;Georgia;*Guideline Adherence/sn Statistics &amp; Numerical Data];Health Services Accessibility;Humans;*Physician-Patient Relations;*Practice Guidelines as Topic;Practice Patterns, Physicians'/sn Statistics &amp; Numerical Data];*Smoking Cessation/mt Methods];United States;United States Public Health Service</t>
  </si>
  <si>
    <t>UNLABELLED: Cigarette smoking is the leading cause of preventable mortality and morbidity in the United States. Healthcare providers can contribute significantly to the war against tobacco use; patients advised to quit smoking by their physicians are 1.6 times more likely to quit than patients not receiving physician advice. However, most smokers do not receive this advice when visiting their physicians. The Morehouse School of Medicine Tobacco Control Research Program was undertaken to develop best practices for implementing the "2000 Public Health Services Clinical Practice Guidelines on Treating Tobacco Use and Dependence" and the "Pathways to Freedom" tobacco cessation program among African American physicians in private practice and healthcare providers at community health centers. Ten focus groups were conducted; 82 healthcare professionals participated. Six major themes were identified as barriers to the provision of smoking cessation services. An intervention was developed based on these results and tested among Georgia community-based physicians. A total of 308 charts were abstracted both pre- and post-intervention. Charts were scored using a system awarding one point for each of the five "A's" recommended by the PHS guidelines (Ask, Advise, Assess, Assist, Arrange) employed during the patient visit. The mean pre-intervention five "A's" score was 1.29 compared to 1.90 post-intervention (P &lt; 0.001). All charts had evidence of the first "A" ("asked") both pre- and post-intervention, and the other four "A's" all had statistically significant increases pre-to post-intervention. CONCLUSIONS: The results demonstrate that, with training of physicians, compliance with the PHS tobacco guidelines can be greatly improved.</t>
  </si>
  <si>
    <t>J2: J Community Health; Caplan, Lee Stout, Charlotte Blumenthal, Daniel S; ID: 529</t>
  </si>
  <si>
    <t>1573-3610</t>
  </si>
  <si>
    <t>Caplan, Lee. Department of Community Health and Preventive Medicine, Morehouse School of Medicine, 720 Westview Drive SW, Atlanta, GA 30310-1495, USA. lcaplan@msm.edu</t>
  </si>
  <si>
    <t>http://ovidsp.ovid.com/ovidweb.cgi?T=JS&amp;CSC=Y&amp;NEWS=N&amp;PAGE=fulltext&amp;D=med7&amp;AN=20697785</t>
  </si>
  <si>
    <t>https://dx.doi.org/10.1007/s10900-010-9303-0</t>
  </si>
  <si>
    <t>MEDLINE; Ovid Technologies; Training physicians to do office-based smoking cessation increases adherence to PHS guidelines</t>
  </si>
  <si>
    <t>Capurso,N. A.;Shorter,D. I.</t>
  </si>
  <si>
    <t>Changing attitudes in graduate medical education: A commentary on Attitudes towards Substance Use and Schizophrenia by Avery et al</t>
  </si>
  <si>
    <t>J2: Am J Addict; Capurso, Noah A Shorter, Daryl I; ID: 1668</t>
  </si>
  <si>
    <t>Capurso, Noah A. Department of Psychiatry, Yale School of Medicine, New Haven, Connecticut. Shorter, Daryl I. Research Service Line, Michael E. DeBakey VA Medical Center, Houston, Texas. Shorter, Daryl I. Menninger Department of Psychiatry and Behavioral Sciences, Baylor College of Medicine, Houston, Texas.</t>
  </si>
  <si>
    <t>http://ovidsp.ovid.com/ovidweb.cgi?T=JS&amp;CSC=Y&amp;NEWS=N&amp;PAGE=fulltext&amp;D=prem&amp;AN=28005316</t>
  </si>
  <si>
    <t>https://dx.doi.org/10.1111/ajad.12485</t>
  </si>
  <si>
    <t>MEDLINE; Ovid Technologies; Changing attitudes in graduate medical education: A commentary on Attitudes towards Substance Use and Schizophrenia by Avery et al</t>
  </si>
  <si>
    <t>Carbeck,R. B.</t>
  </si>
  <si>
    <t>Involvement of medicine residents in a drug treatment program--an educational experience</t>
  </si>
  <si>
    <t>Michigan medicine</t>
  </si>
  <si>
    <t>Mich.Med.</t>
  </si>
  <si>
    <t>Humans;*Internship and Residency;Physician-Patient Relations;Rehabilitation Centers;*Substance-Related Disorders/th Therapy]</t>
  </si>
  <si>
    <t>J2: Mich Med; Carbeck, R B; ID: 1575</t>
  </si>
  <si>
    <t>0026-2293</t>
  </si>
  <si>
    <t>http://ovidsp.ovid.com/ovidweb.cgi?T=JS&amp;CSC=Y&amp;NEWS=N&amp;PAGE=fulltext&amp;D=med1&amp;AN=4735172</t>
  </si>
  <si>
    <t>MEDLINE; Ovid Technologies; Involvement of medicine residents in a drug treatment program--an educational experience</t>
  </si>
  <si>
    <t>Cardwell,M. S.</t>
  </si>
  <si>
    <t>Stress: pregnancy considerations</t>
  </si>
  <si>
    <t>Obstetrical &amp; gynecological survey</t>
  </si>
  <si>
    <t>Obstet.Gynecol.Surv.</t>
  </si>
  <si>
    <t>Female;Humans;Peripartum Period/ph Physiology];Peripartum Period/px Psychology];Pregnancy;Pregnancy Complications/pp Physiopathology];*Pregnancy Complications/pc Prevention &amp; Control];*Pregnancy Outcome;*Prenatal Diagnosis/mt Methods];Risk Factors;Stress, Physiological;Stress, Psychological/pp Physiopathology];*Stress, Psychological/pc Prevention &amp; Control];Stress, Psychological/px Psychology]</t>
  </si>
  <si>
    <t>UNLABELLED: Stress-induced pregnancy complications represent a significant cause of maternal and perinatal morbidity and mortality due to preterm labor, low-birth-weight babies, pregnancy-induced hypertension, and neuropsychological developmental delays of affected offspring. Psychosocial factors such as socioeconomic status, work status, marital status, level of education, access to prenatal care, substance abuse, ethnicity, cultural background, and quality of relationships with partners and parents have been identified as determinants of stress during pregnancy. The biopsychosocial model of health and disease aptly explains the interactions of these psychosocial factors in the genesis of stress-induced pregnancy complications. Prenatal screening and intervention for relevant biopsychosocial risk factors may be useful in preventing stress-related perinatal complications. TARGET AUDIENCE: Obstetricians and gynecologists, family physicians. LEARNING OBJECTIVES: After completing this CME activity, physicians should be better able to describe how stress is manifested biologically, discuss stress and its impact from the biopsychosocial model of health and disease, recognize how stress may lead to pregnancy complications such as preterm labor, preeclampsia, and low-birth-weight infants, explain how stress may impact the neuropsychological development of children whose mothers experienced perinatal stress, and demonstrate how prenatal screening and appropriate interventions may reduce perinatal stress and associated pregnancy complications.</t>
  </si>
  <si>
    <t>J2: Obstet Gynecol Surv; Cardwell, Michael S; ID: 361</t>
  </si>
  <si>
    <t>1533-9866</t>
  </si>
  <si>
    <t>Cardwell, Michael S. Associate Professor, Department of Obstetrics &amp; Gynecology, Texas Tech University Health Sciences Center, Paul L. Foster School of Medicine, El Paso, TX 79905, USA. Michael.cardwell@ttuhsc.edu</t>
  </si>
  <si>
    <t>http://ovidsp.ovid.com/ovidweb.cgi?T=JS&amp;CSC=Y&amp;NEWS=N&amp;PAGE=fulltext&amp;D=med7&amp;AN=23417218</t>
  </si>
  <si>
    <t>https://dx.doi.org/10.1097/OGX.0b013e31827f2481</t>
  </si>
  <si>
    <t>MEDLINE; Ovid Technologies; Stress: pregnancy considerations</t>
  </si>
  <si>
    <t>Carlin-Menter,S.;Malouin,R. A.;WinklerPrins,V.;Danzo,A.;Blondell,R. D.</t>
  </si>
  <si>
    <t>Training Family Medicine Clerkship Students in Screening, Brief Intervention, and Referral to Treatment for Substance Use Disorders: A CERA Study</t>
  </si>
  <si>
    <t>*Clinical Clerkship/og Organization &amp; Administration];Education, Medical, Undergraduate;*Family Practice/ed Education];Humans;*Mass Screening/mt Methods];*Referral and Consultation;*Students, Medical;*Substance-Related Disorders/th Therapy]</t>
  </si>
  <si>
    <t>J2: Fam Med; Carlin-Menter, Shannon M Malouin, Rebecca A WinklerPrins, Vince Danzo, Andrew Blondell, Richard D; ID: 78</t>
  </si>
  <si>
    <t>1938-3800</t>
  </si>
  <si>
    <t>Carlin-Menter, Shannon M. Department of Family Medicine, State University of New York at Buffalo.</t>
  </si>
  <si>
    <t>http://ovidsp.ovid.com/ovidweb.cgi?T=JS&amp;CSC=Y&amp;NEWS=N&amp;PAGE=fulltext&amp;D=med8&amp;AN=27655194</t>
  </si>
  <si>
    <t>MEDLINE; Ovid Technologies; Training Family Medicine Clerkship Students in Screening, Brief Intervention, and Referral to Treatment for Substance Use Disorders: A CERA Study</t>
  </si>
  <si>
    <t>Carney,S.;Bhugra,D. K.</t>
  </si>
  <si>
    <t>Education and training in psychiatry in the U.K</t>
  </si>
  <si>
    <t>*Curriculum;*Education, Medical, Graduate/mt Methods];Education, Medical, Undergraduate/mt Methods];General Practice/ed Education];Humans;*Psychiatry/ed Education];United Kingdom</t>
  </si>
  <si>
    <t>BACKGROUND/OBJECTIVE: Recent training and education changes have raised important issues in delivery of psychiatric education at all levels. In this article, the authors describe the current status of mental health education in the training of all doctors and postgraduate training and education in psychiatry in the U.K. METHOD: The authors explore and describe some of the initiatives that are being used in order to increase exposure to mental health placements in the Foundation Program, and they then describe the existing specific mental health opportunities within general practice and other specialist training programs. DESCRIPTION: After graduation from medical school, a two-year Foundation training program is a must, and, at the end of the first year, trainees become eligible for full registration with the "regulator," the General Medical Council; after finishing the second year, they become eligible to undertake specialist training. Psychiatry training takes up to 6 years, and six specialties are recognized as leading to certificates for completion of training before independent practice. These six specialties are 1) general and community; 2) child and adolescent; 3) medical psychotherapy; 4) forensic psychiatry; 5) psychiatry of old age; and 6) psychiatry of learning disability. Also, three subspecialties-liaison psychiatry, addictions, and rehabilitation-form a part of the training in general and community psychiatry. CONCLUSIONS: The authors discuss advantages and disadvantages of such an approach and raise key issues related to ongoing work to improve recruitment, progression, and retention of trainee psychiatrists.</t>
  </si>
  <si>
    <t>J2: Acad Psychiatry; Carney, Stuart Bhugra, Dinesh K Comment in: Acad Psychiatry. 2013 Jul 1;37(4):229-32; PMID: 23820906; ID: 314</t>
  </si>
  <si>
    <t>Carney, Stuart. Institute of Psychiatry, HSRD, London, U.K.</t>
  </si>
  <si>
    <t>http://ovidsp.ovid.com/ovidweb.cgi?T=JS&amp;CSC=Y&amp;NEWS=N&amp;PAGE=fulltext&amp;D=med7&amp;AN=23820908</t>
  </si>
  <si>
    <t>https://dx.doi.org/10.1176/appi.ap.12060109</t>
  </si>
  <si>
    <t>MEDLINE; Ovid Technologies; Education and training in psychiatry in the U.K</t>
  </si>
  <si>
    <t>Carpenter,K. M.;Carlini,B. H.;Painter,I.;Mikko,A. T.;Stoner,S. A.</t>
  </si>
  <si>
    <t>Refer2Quit: impact of Web-based skills training on tobacco interventions and quitline referrals</t>
  </si>
  <si>
    <t>Education, Medical, Continuing;Female;*Hotlines;Humans;*Internet;Male;*Referral and Consultation;*Tobacco Use Cessation/mt Methods];Washington</t>
  </si>
  <si>
    <t>INTRODUCTION: Tobacco quitlines (QLs) provide effective evidence-based tobacco cessation counseling, yet they remain underutilized. Barriers to utilization include the lack of referrals by health care providers who typically have little knowledge about QLs and low self-efficacy for providing tobacco interventions. In order to educate providers about QLs, referral methods and tobacco interventions, a case-based online CME/CE program, Refer2Quit (R2Q), was developed. R2Q includes QL education and intervention and referral skills training tailored to provider type (eg, physician, nurse, dental provider, pharmacist) and work setting (eg, emergency, outpatient, inpatient). A module teaching motivational enhancement strategies was also included. METHODS: Four health care organizations in Washington State participated in a study examining the effects of R2Q training on fax referral rates in an interrupted times series. Attitudes and self-efficacy toward delivering tobacco interventions was also assessed. Participants were a mix of provider types, including prescribers (20.1%), RNs (46.7%), and others (33.2%). RESULTS: Health care sites that participated in the study increased the fax referral rates (odds ratio OR] 2.86, confidence interval CI] 1.52-6.00) as well as rates of referrals that converted to actual quitline registrations (OR 2.73, CI 1.0-7.4). Providers who completed the training expressed significantly more positive attitudes and improved self-efficacy for delivering tobacco services. At follow-up most providers reported increased delivery of tobacco interventions and QL referrals, although only 17% reported increased rates of fax referral. DISCUSSION: Our study suggests that online education builds skills, improves knowledge, and thus increases the number and quality of fax referrals made to QLs by health care providers. Providers nonetheless reported ongoing barriers to providing tobacco services and referral, including lack of reimbursement and patient unwillingness to accept a referral.</t>
  </si>
  <si>
    <t>J2: J Contin Educ Health Prof; Carpenter, Kelly M Carlini, Beatriz H Painter, Ian Mikko, A Tasha Stoner, Susan A; ID: 403</t>
  </si>
  <si>
    <t>Carpenter, Kelly M. Alere Wellbeing, Inc., Seattle, WA 98104, USA. Kelly.Carpenter@alere.com</t>
  </si>
  <si>
    <t>http://ovidsp.ovid.com/ovidweb.cgi?T=JS&amp;CSC=Y&amp;NEWS=N&amp;PAGE=fulltext&amp;D=med7&amp;AN=23008081</t>
  </si>
  <si>
    <t>https://dx.doi.org/10.1002/chp.21144</t>
  </si>
  <si>
    <t>MEDLINE; Ovid Technologies; Refer2Quit: impact of Web-based skills training on tobacco interventions and quitline referrals</t>
  </si>
  <si>
    <t>Carra,G.;Clerici,M.</t>
  </si>
  <si>
    <t>Dual diagnosis--policy and practice in Italy</t>
  </si>
  <si>
    <t>Adolescent;Adult;*Alcoholism/di Diagnosis];Alcoholism/ep Epidemiology];Alcoholism/rh Rehabilitation];Comorbidity;*Cross-Cultural Comparison;Curriculum;Diagnosis, Dual (Psychiatry);Education, Medical, Graduate;Female;*Health Policy;Health Services Needs and Demand;Humans;Italy;Male;*Mental Disorders/di Diagnosis];Mental Disorders/ep Epidemiology];Mental Disorders/rh Rehabilitation];*Opioid-Related Disorders/di Diagnosis];Opioid-Related Disorders/ep Epidemiology];Opioid-Related Disorders/rh Rehabilitation];Psychiatry/ed Education];Specialization;*Substance-Related Disorders/di Diagnosis];Substance-Related Disorders/ep Epidemiology];Substance-Related Disorders/rh Rehabilitation]</t>
  </si>
  <si>
    <t>In Italy, dual diagnosis issues are affected by distinctive historical pathways. Since the end of the 1970s, the addiction field has been starved of psychiatric contribution, with the emphasis being on a pedagogical model of substance-related disorders and a bio-psycho-social model for mental health. As such, dual diagnosis treatment, service models, and research have only been developed in the last fifteen years. Substantial training needs with regard to dual diagnosis are identified in addiction and mental health professionals, and new graduate and undergraduate programs are required. Further research is needed as well as an evidence-based health policy from national and regional government.</t>
  </si>
  <si>
    <t>J2: Am J Addict; Carra, Giuseppe Clerici, Massimo; ID: 769</t>
  </si>
  <si>
    <t>1055-0496</t>
  </si>
  <si>
    <t>Carra, Giuseppe. Department of Mental Health Sciences, Royal Free and University College Medical School, London, UK. gcarra@ucl.ac.uk</t>
  </si>
  <si>
    <t>http://ovidsp.ovid.com/ovidweb.cgi?T=JS&amp;CSC=Y&amp;NEWS=N&amp;PAGE=fulltext&amp;D=med5&amp;AN=16595349</t>
  </si>
  <si>
    <t>MEDLINE; Ovid Technologies; Dual diagnosis--policy and practice in Italy</t>
  </si>
  <si>
    <t>Carrion Valero,F.;Maya Martinez,M.;Pont Martinez,P.;Tortajada Martinez,M.;Marin Pardo,J.</t>
  </si>
  <si>
    <t>Individually tailored medical counseling for pregnant smokers]</t>
  </si>
  <si>
    <t>Archivos de Bronconeumologia</t>
  </si>
  <si>
    <t>Arch.Bronconeumol.</t>
  </si>
  <si>
    <t>Adolescent;Adult;*Counseling;Female;Follow-Up Studies;Humans;Patient Education as Topic/og Organization &amp; Administration];*Patient Education as Topic;Pregnancy;*Pregnancy Complications/th Therapy];Program Evaluation;*Smoking Cessation;*Tobacco Use Disorder/th Therapy]</t>
  </si>
  <si>
    <t>OBJECTIVES: To identify the characteristics of smoking addiction in a group of pregnant women, to evaluate the efficacy of medical counseling tailored to the patient's stage in the cessation process and to examine factors that might affect the ability of a woman to quit smoking during pregnancy. PATIENTS AND METHODS: One hundred sixteen women (mean age 29.71 5.44 years; range 15-41) were referred by obstetricians to a respiratory medicine specialist if they continued smoking after being advised to quit. The information each woman received was appropriate to her stage in the cessation process and covered the risks that smoking posed for her child and the benefits that would come from quitting. Each woman was provided with guidelines for quitting and helped to choose the first day to start the cessation process. The women received follow-up counseling sessions after the first and third months. RESULTS: Twenty-seven women (23.3%) quit smoking, 18 (15.52%) advanced a stage in the cessation process and 30 (25.86%) smoked less. Overall, the program benefited 60 women (51.7%) who quit smoking, reduced the number of cigarettes they smoked or progressed to a new stage. CONCLUSIONS: The results reveal that most pregnant smokers need the intervention of specialists with knowledge of smoking addiction to facilitate the cessation process.</t>
  </si>
  <si>
    <t>J2: Arch Bronconeumol; Spanish Carrion Valero, F Maya Martinez, M Pont Martinez, P Tortajada Martinez, M Marin Pardo, J; OP: Consejo medico personalizado en el tratamiento de tabaquismo en el embarazo; ID: 925</t>
  </si>
  <si>
    <t>0300-2896</t>
  </si>
  <si>
    <t>Carrion Valero, F. Servicio de Neumologia. Hospital Clinico Universitario. Facultad de Medicina. Valencia. Espana.</t>
  </si>
  <si>
    <t>http://ovidsp.ovid.com/ovidweb.cgi?T=JS&amp;CSC=Y&amp;NEWS=N&amp;PAGE=fulltext&amp;D=med4&amp;AN=12890402</t>
  </si>
  <si>
    <t>MEDLINE; Ovid Technologies; [Individually tailored medical counseling for pregnant smokers]</t>
  </si>
  <si>
    <t>Carroll,J.;Goodair,C.;Chaytor,A.;Notley,C.;Ghodse,H.;Kopelman,P.</t>
  </si>
  <si>
    <t>Substance misuse teaching in undergraduate medical education</t>
  </si>
  <si>
    <t>*Curriculum;*Education, Medical, Undergraduate;Humans;Interviews as Topic;Schools, Medical;*Substance-Related Disorders;United Kingdom</t>
  </si>
  <si>
    <t>BACKGROUND: Over 12,000 hospital admissions in the UK result from substance misuse, therefore issues surrounding this need to be addressed early on in a doctor's training to facilitate their interaction with this client group. Currently, undergraduate medical education includes teaching substance misuse issues, yet how this is formally integrated into the curriculum remains unclear. METHODS: Semi-structured interviews with 17 key members of staff responsible for the whole or part of the undergraduate medical curriculum were conducted to identify the methods used to teach substance misuse. Using a previously devised toolkit, 19 curriculum co-ordinators then mapped the actual teaching sessions that addressed substance misuse learning objectives. RESULTS: Substance misuse teaching was delivered primarily in psychiatry modules but learning objectives were also found in other areas such as primary care placements and problem-based learning. On average, 53 teaching sessions per medical school focused on bio-psycho-social models of addiction whereas only 23 sessions per medical school focused on professionalism, fitness to practice and students' own health in relation to substance misuse. Many sessions addressed specific learning objectives relating to the clinical features of substance dependence whereas few focused on iatrogenic addiction. CONCLUSIONS: Substance misuse teaching is now inter-disciplinary and the frequent focus on clinical, psychological and social effects of substance misuse emphasises the bio-psycho-social approach underlying clinical practice. Some areas however are not frequently taught in the formal curriculum and these need to be addressed in future changes to medical education.</t>
  </si>
  <si>
    <t>J2: BMC Med Educ; Carroll, Janine Goodair, Christine Chaytor, Andrew Notley, Caitlin Ghodse, Hamid Kopelman, Peter; ID: 291</t>
  </si>
  <si>
    <t>Carroll, Janine. Psychology Department, University of Chester, Critchley Building, Parkgate Road, Chester, UK. j.carroll@chester.ac.uk.</t>
  </si>
  <si>
    <t>http://ovidsp.ovid.com/ovidweb.cgi?T=JS&amp;CSC=Y&amp;NEWS=N&amp;PAGE=fulltext&amp;D=med8&amp;AN=24533849</t>
  </si>
  <si>
    <t>https://dx.doi.org/10.1186/1472-6920-14-34</t>
  </si>
  <si>
    <t>MEDLINE; Ovid Technologies; Substance misuse teaching in undergraduate medical education</t>
  </si>
  <si>
    <t>Castaldelli-Maia,J.;Oliveira,H. P.;Andrade,A. G.;Lotufo-Neto,F.;Bhugra,D.</t>
  </si>
  <si>
    <t>Using selected scenes from Brazilian films to teach about substance use disorders, within medical education</t>
  </si>
  <si>
    <t>Sao Paulo medical journal = Revista paulista de medicina</t>
  </si>
  <si>
    <t>Sao Paulo Med.J.</t>
  </si>
  <si>
    <t>*Alcoholism/px Psychology];Brazil;*Education, Medical/mt Methods];Humans;*Motion Pictures;Observer Variation;Statistics, Nonparametric;*Substance-Related Disorders/px Psychology]</t>
  </si>
  <si>
    <t>CONTEXT AND OBJECTIVES: Themes like alcohol and drug abuse, relationship difficulties, psychoses, autism and personality dissociation disorders have been widely used in films. Psychiatry and psychiatric conditions in various cultural settings are increasingly taught using films. Many articles on cinema and psychiatry have been published but none have presented any methodology on how to select material. Here, the authors look at the portrayal of abusive use of alcohol and drugs during the Brazilian cinema revival period (1994 to 2008). DESIGN AND SETTING: Qualitative study at two universities in the state of Sao Paulo. METHODS: Scenes were selected from films available at rental stores and were analyzed using a specifically designed protocol. We assessed how realistic these scenes were and their applicability for teaching. One author selected 70 scenes from 50 films (graded for realism and teaching applicability &gt; 8). These were then rated by another two judges. Rating differences among the three judges were assessed using nonparametric tests (P  8) were defined as "quality scenes". RESULTS: Thirty-nine scenes from 27 films were identified as "quality scenes". Alcohol, cannabis, cocaine, hallucinogens and inhalants were included in these. Signs and symptoms of intoxication, abusive/harmful use and dependence were shown. CONCLUSIONS: We have produced rich teaching material for discussing psychopathology relating to alcohol and drug use that can be used both at undergraduate and at postgraduate level. Moreover, it could be seen that certain drug use behavioral patterns are deeply rooted in some Brazilian films and groups.</t>
  </si>
  <si>
    <t>J2: Sao Paulo Med J; Castaldelli-Maia, Joao Mauricio Oliveira, Hercilio Pereira Andrade, Arthur Guerra Lotufo-Neto, Francisco Bhugra, Dinesh S1516-31802012000600005; ID: 344</t>
  </si>
  <si>
    <t>1806-9460</t>
  </si>
  <si>
    <t>Castaldelli-Maia, Joao Mauricio. Faculdade de Medicina do ABC, Santo Andre, Sao Paulo, Brazil. jmcmaia2@gmail.com</t>
  </si>
  <si>
    <t>http://ovidsp.ovid.com/ovidweb.cgi?T=JS&amp;CSC=Y&amp;NEWS=N&amp;PAGE=fulltext&amp;D=med7&amp;AN=23338735</t>
  </si>
  <si>
    <t>MEDLINE; Ovid Technologies; Using selected scenes from Brazilian films to teach about substance use disorders, within medical education</t>
  </si>
  <si>
    <t>Cavanaugh,C. E.;Campbell,J.;Braxton,N.;Harvey,J.;Wingood,G.</t>
  </si>
  <si>
    <t>Adapting an Evidence-Based HIV-Prevention Intervention for Women in Domestic Violence Shelters</t>
  </si>
  <si>
    <t>Psychology of Violence</t>
  </si>
  <si>
    <t>OBJECTIVE: Despite the documented intersection of intimate partner violence and HIV, there is a paucity of evidence-based HIV prevention interventions for female survivors of intimate partner violence in the United States. This paper describes the adaptation of an effective HIV prevention intervention, Sisters Informing Sisters about Topics on AIDS (SISTA), for women in domestic violence shelters and the steps taken to improve the adapted intervention's implementation. METHOD: The adaptation process was guided by the ADAPT-ITT framework and data collected from directors, direct client service providers, and residents of two domestic violence shelters located in urban areas, as well as topical experts. RESULTS: Eleven of 12 shelter staff (92%) reported that HIV interventions had never been implemented at their shelter and 64% reported they had not provided residents with educational brochures about HIV prevention. Changes made to adapt SISTA for this population and enhance the implementation of the intervention included reducing the intervention's duration; adding education about the intersection of intimate partner violence, substance use, and HIV; and adding an HIV risk assessment and safety plan. CONCLUSIONS: Next steps will include implementing the adapted intervention and evaluating its perceived acceptability and efficacy, and assessing whether contextual factors influence the intervention's implementation.</t>
  </si>
  <si>
    <t>J2: Psychol; Cavanaugh, Courtenay E Campbell, Jacquelyn Braxton, Nikia Harvey, Jenna Wingood, Gina; ID: 1696</t>
  </si>
  <si>
    <t>2152-0828</t>
  </si>
  <si>
    <t>Cavanaugh, Courtenay E. Department of Psychology, Rutgers University, Camden, NJ. Campbell, Jacquelyn. School of Nursing, Johns Hopkins University, Baltimore, MD. Braxton, Nikia. Rollins School of Public Health, Emory University, Atlanta, GA. Harvey, Jenna. Department of Psychology, Rutgers University, Camden, NJ. Wingood, Gina. Mailman School of Public Health, Columbia University, NYC, NY.</t>
  </si>
  <si>
    <t>http://ovidsp.ovid.com/ovidweb.cgi?T=JS&amp;CSC=Y&amp;NEWS=N&amp;PAGE=fulltext&amp;D=medp&amp;AN=27398257</t>
  </si>
  <si>
    <t>MEDLINE; Ovid Technologies; Adapting an Evidence-Based HIV-Prevention Intervention for Women in Domestic Violence Shelters</t>
  </si>
  <si>
    <t>Celestin,M. D., J.;Hart,A., J.;Moody-Thomas,S.</t>
  </si>
  <si>
    <t>Partnering with health care systems to assess tobacco treatment practices and beliefs among clinicians: evaluating the process</t>
  </si>
  <si>
    <t>Preventing Chronic Disease</t>
  </si>
  <si>
    <t>E91</t>
  </si>
  <si>
    <t>*Community-Institutional Relations;Data Collection/mt Methods];Education, Medical, Continuing;Electronic Health Records;Health Care Surveys;*Health Knowledge, Attitudes, Practice;*Health Personnel/px Psychology];*Health Services Research;Humans;Louisiana;Nurses/px Psychology];Organizational Case Studies;Physicians/px Psychology];*Process Assessment (Health Care)/mt Methods];Smoking Cessation/mt Methods];Time Factors;*Tobacco Use Disorder/th Therapy]</t>
  </si>
  <si>
    <t>BACKGROUND: Tobacco is a major cause of preventable illness and death. However, clinician use of an evidence-based guideline for treatment of tobacco use is low. This case study describes the process for conducting a pre-intervention assessment of clinician practices and beliefs regarding treatment of tobacco use. COMMUNITY CONTEXT: Louisiana State University Health System, one of the largest safety-net public hospital systems in the United States, consists of 10 facilities in population centers across the state of Louisiana. The system serves a large proportion of the state's underinsured and uninsured, low-income, and racial/ethnic minority populations, groups that have high rates of tobacco use. METHODS: Activities included 1) partnering with hospital administrators to generate support for conducting a clinician assessment, 2) identifying and adapting a survey tool to assess clinicians' practices and beliefs regarding treatment of tobacco use, 3) developing a survey protocol and obtaining approval from the institutional review board, and 4) administering the survey electronically, using the hospital's e-mail system. OUTCOME: Existing partnerships and system resources aided survey administration. Use of the hospital's internal e-mail system and distribution of an online survey were effective means to engage clinicians. Following notification, 43.6% of 4,508 clinicians opened their e-mail containing the invitation letter with a Web link to the survey; of these, 83.1% (1,634) completed the survey. INTERPRETATION: Partnering with stakeholders and using existing resources within the health care system are essential to successful implementation of a system-wide survey of clinician practices and beliefs regarding treatment of tobacco use.</t>
  </si>
  <si>
    <t>J2: Prev Chronic Dis; Celestin, Michael D Jr Hart, Alton Jr Moody-Thomas, Sarah; ID: 257</t>
  </si>
  <si>
    <t>1545-1151</t>
  </si>
  <si>
    <t>Celestin, Michael D Jr. 2020 Gravier St, 3rd Fl, New Orleans, LA 70112. Telephone: 504-568-5742. E-mail: mceles@lsuhsc.edu. Hart, Alton Jr. Virginia Department of Health Crater Health District, Petersburg, Virginia. Moody-Thomas, Sarah. Louisiana State University Health Sciences Center School of Public Health, New Orleans, Louisiana.</t>
  </si>
  <si>
    <t>http://ovidsp.ovid.com/ovidweb.cgi?T=JS&amp;CSC=Y&amp;NEWS=N&amp;PAGE=fulltext&amp;D=med8&amp;AN=24874783</t>
  </si>
  <si>
    <t>https://dx.doi.org/10.5888/pcd11.130277</t>
  </si>
  <si>
    <t>MEDLINE; Ovid Technologies; Partnering with health care systems to assess tobacco treatment practices and beliefs among clinicians: evaluating the process</t>
  </si>
  <si>
    <t>Cepeda,M. S.;Coplan,P. M.;Kopper,N. W.;Maziere,J. Y.;Wedin,G. P.;Wallace,L. E.</t>
  </si>
  <si>
    <t>ER/LA Opioid Analgesics REMS: Overview of Ongoing Assessments of Its Progress and Its Impact on Health Outcomes</t>
  </si>
  <si>
    <t>01 01</t>
  </si>
  <si>
    <t>Analgesics, Opioid/tu Therapeutic Use];Education, Medical, Continuing/mt Methods];*Health Policy/lj Legislation &amp; Jurisprudence];Humans;*Opioid-Related Disorders/pc Prevention &amp; Control];*Outcome and Process Assessment (Health Care);Patient Education as Topic/mt Methods];Practice Patterns, Physicians';United States;United States Food and Drug Administration;0 (Analgesics, Opioid)</t>
  </si>
  <si>
    <t>Objective: Opioid abuse is a serious public health concern. In response, the Food and Drug Administration (FDA) determined that a risk evaluation and mitigation strategy (REMS) for extended-release and long-acting (ER/LA) opioids was necessary to ensure that the benefits of these analgesics continue to outweigh the risks. Key components of the REMS are training for prescribers through accredited continuing education (CE), and providing patient educational materials. Methods: The impact of this REMS has been assessed using diverse metrics including evaluation of prescriber and patient understanding of the risks associated with opioids; patient receipt and comprehension of the medication guide and patient counseling document; patient satisfaction with access to opioids; drug utilization and changes in prescribing patterns; and surveillance of ER/LA opioid misuse, abuse, overdose, addiction, and death. Results and Conclusions: The results of these assessments indicate that the increasing rates of opioid abuse, addiction, overdose, and death observed prior to implementation of the REMS have since leveled off or started to decline. However, these benefits cannot be attributed solely to the ER/LA opioid analgesics REMS since many other initiatives to prevent abuse occurred contemporaneously. These improvements occurred while preserving patient access to opioids as a large majority of patients surveyed expressed satisfaction with their access to opioids.</t>
  </si>
  <si>
    <t>J2: Pain Med; Cepeda, M Soledad Coplan, Paul M Kopper, Nathan W Maziere, Jean-Yves Wedin, Gregory P Wallace, Laura E; ID: 63</t>
  </si>
  <si>
    <t>Cepeda, M Soledad. Department of Epidemiology, Janssen Research and Development, Titusville, New Jersey, NJ, USA. Coplan, Paul M. Department of Risk Management and Epidemiology, Purdue Pharma L.P., Stamford, Connecticut, CT, USA. Coplan, Paul M. Adjunct, Department of Epidemiology, University of Pennsylvania School of Medicine, Philadelphia, PA, USA. Kopper, Nathan W. Department of Drug Safety, Mallinckrodt Pharmaceuticals, Inc., Hazelwood, Missouri, MO, USA. Maziere, Jean-Yves. REMS, Labeling, Drug Safety, Boehringer Ingelheim Roxane, Inc./Roxane Laboratories, Inc. Columbus, Ohio, OH, USA. Wedin, Gregory P. Department of Drug Safety, Upsher-Smith Laboratories, Inc., Maple Grove, Minnesota, USA. Wallace, Laura E. Department of Risk Management and Epidemiology, Purdue Pharma L.P., Stamford, Connecticut, CT, USA.</t>
  </si>
  <si>
    <t>http://ovidsp.ovid.com/ovidweb.cgi?T=JS&amp;CSC=Y&amp;NEWS=N&amp;PAGE=fulltext&amp;D=medc&amp;AN=27373304</t>
  </si>
  <si>
    <t>https://dx.doi.org/10.1093/pm/pnw129</t>
  </si>
  <si>
    <t>MEDLINE; Ovid Technologies; ER/LA Opioid Analgesics REMS: Overview of Ongoing Assessments of Its Progress and Its Impact on Health Outcomes</t>
  </si>
  <si>
    <t>Cerise,F. P.;Scarinci,I. C.;Thibodaux,R.;Cannatella,M.;Stark,S.;Brantley,P. J.</t>
  </si>
  <si>
    <t>Alcoholism among indigent inpatients: identification and intervention by internal medicine residents</t>
  </si>
  <si>
    <t>Adult;Alcoholism/co Complications];*Alcoholism/di Diagnosis];*Alcoholism/th Therapy];Female;Health Services/ut Utilization];Humans;*Internal Medicine/ed Education];Internship and Residency;Male;*Medical Indigency/sn Statistics &amp; Numerical Data];Medical Records;Middle Aged;Prevalence;Retrospective Studies;Smoking;Substance-Related Disorders</t>
  </si>
  <si>
    <t>BACKGROUND: This study examined alcoholism identification and interventions by internal medicine residents, determined the prevalence of alcoholism among indigent inpatients, and examined some variables related to alcoholism in this population. METHODS: The alcohol abuse and dependence section of the Diagnostic Interview Schedule was administered to 197 inpatients, and chart audits were done. RESULTS: The obtained prevalence of alcoholism was 17%. Residents identified current alcohol abuse among 71% of current alcoholics, 17% of past alcoholics, and 3% of nonalcoholics. Sixty-two percent of alcoholics identified by the residents did not receive advice or referral, 13% received advice, 17% were referred to Alcoholics Anonymous, and 8% were referred to an inpatient facility. CONCLUSIONS: Our results suggest that although residents' identification of alcoholism is satisfactory, it is necessary to improve their rates of intervention. The profile of the alcoholic inpatients in this study includes demographics, presence of chronic illnesses, and utilization of medical services as compared with nonalcoholics.</t>
  </si>
  <si>
    <t>J2: South Med J; Cerise, F P Scarinci, I C Thibodaux, R Cannatella, M Stark, S Brantley, P J; ID: 1119</t>
  </si>
  <si>
    <t>Cerise, F P. Department of Medicine, Pennington Biomedical Research Center, Louisiana State University, Baton Rouge, USA.</t>
  </si>
  <si>
    <t>http://ovidsp.ovid.com/ovidweb.cgi?T=JS&amp;CSC=Y&amp;NEWS=N&amp;PAGE=fulltext&amp;D=med4&amp;AN=9438398</t>
  </si>
  <si>
    <t>MEDLINE; Ovid Technologies; Alcoholism among indigent inpatients: identification and intervention by internal medicine residents</t>
  </si>
  <si>
    <t>Chafetz,M.</t>
  </si>
  <si>
    <t>Professional training on alcoholism. Workshop 3: the use of clinical materials</t>
  </si>
  <si>
    <t>Annals of the New York Academy of Sciences</t>
  </si>
  <si>
    <t>Ann.N.Y.Acad.Sci.</t>
  </si>
  <si>
    <t>Alcoholism/co Complications];*Alcoholism/th Therapy];Attitude of Health Personnel;Comprehensive Health Care;Crisis Intervention;*Education, Medical;Emergency Service, Hospital;Faculty, Medical;Follow-Up Studies;Humans;Methods;Patient Care Team;*Physician-Patient Relations;Psychotherapy;Remission, Spontaneous;*Teaching;Therapeutic Community;Voluntary Health Agencies</t>
  </si>
  <si>
    <t>J2: Ann N Y Acad Sci; Chafetz, M; ID: 1592</t>
  </si>
  <si>
    <t>0077-8923</t>
  </si>
  <si>
    <t>http://ovidsp.ovid.com/ovidweb.cgi?T=JS&amp;CSC=Y&amp;NEWS=N&amp;PAGE=fulltext&amp;D=med1&amp;AN=5282662</t>
  </si>
  <si>
    <t>MEDLINE; Ovid Technologies; Professional training on alcoholism. Workshop 3: the use of clinical materials</t>
  </si>
  <si>
    <t>Chakravarthy,B.;Somasundaram,S.;Mogi,J.;Burns,R.;Hoonpongsimanont,W.;Wiechmann,W.;Lotfipour,S.</t>
  </si>
  <si>
    <t>Randomized pilot trial measuring knowledge acquisition of opioid education in emergency department patients using a novel media platform</t>
  </si>
  <si>
    <t>BACKGROUND: The number of active opioid analgesic prescriptions has risen steadily, causing increases in nonmedical opioid use, addiction, and overdose. Insufficient focus on patient discharge instructions has contributed to lack of patient awareness regarding dangers of opioids. This study examines whether an educational Khan Academy-style animation discharge instruction on the dangers and safe usage of opioid analgesics elicits higher knowledge acquisition than current standard of care. Additionally, it measures the feasibility of implementing this video discharge instruction in the emergency department (ED). METHODS: Fifty-two English-speaking patients aged 18 years or older receiving an opioid prescription were enrolled in this study. Patients were randomized into 2 groups. The standard of care group received verbal instruction and an informational sheet, whereas the video animation group received a 6-minute video on proper usage of opioids in addition to standard of care. Video content was sourced from samhsa.gov and administered within the ED prior to discharge. Both groups received a 26-question test regarding the dangers and safe usage of opioids immediately after education. An unpaired t test compared knowledge acquisition between the 2 groups. RESULTS: Fifty-four patients were approached, 52 patients enrolled; 27 in the standard group and 25 in the animation group. The standard of care group averaged 65% knowledge acquisition (16.8/26 correct), whereas the animation group averaged 82% acquisition (21.2/26 correct). The video animation significantly increased patient knowledge acquisition about opioid medications' risks and proper usage and disposal (P = .001). CONCLUSION: It can be concluded that medical knowledge acquisition is improved in the video animation group compared with the current standard of care (P = .001). It can also be concluded that it is feasible to implement a novel media platform to educate patients receiving opioid analgesics in the ED (96.1%).</t>
  </si>
  <si>
    <t>J2: Subst Abus; Chakravarthy, Bharath Somasundaram, Shashank Mogi, Jennifer Burns, Roshan Hoonpongsimanont, Wirachin Wiechmann, Warren Lotfipour, Shahram; ID: 1642</t>
  </si>
  <si>
    <t>Chakravarthy, Bharath. a Department of Emergency Medicine , University of California, Irvine , Irvine , California , USA. Somasundaram, Shashank. a Department of Emergency Medicine , University of California, Irvine , Irvine , California , USA. Somasundaram, Shashank. b School of Biological Sciences , University of California Irvine , Irvine , California , USA. Mogi, Jennifer. a Department of Emergency Medicine , University of California, Irvine , Irvine , California , USA. Burns, Roshan. a Department of Emergency Medicine , University of California, Irvine , Irvine , California , USA. Hoonpongsimanont, Wirachin. a Department of Emergency Medicine , University of California, Irvine , Irvine , California , USA. Wiechmann, Warren. a Department of Emergency Medicine , University of California, Irvine , Irvine , California , USA. Lotfipour, Shahram. a Department of Emergency Medicine , University of California, Irvine , Irvine , California , USA.</t>
  </si>
  <si>
    <t>http://ovidsp.ovid.com/ovidweb.cgi?T=JS&amp;CSC=Y&amp;NEWS=N&amp;PAGE=fulltext&amp;D=prem&amp;AN=28873050</t>
  </si>
  <si>
    <t>https://dx.doi.org/10.1080/08897077.2017.1375061</t>
  </si>
  <si>
    <t>MEDLINE; Ovid Technologies; Randomized pilot trial measuring knowledge acquisition of opioid education in emergency department patients using a novel media platform</t>
  </si>
  <si>
    <t>Chambers,R. A.;Connor,M. C.;Boggs,C. J.;Parker,G. F.</t>
  </si>
  <si>
    <t>NIHMS205772; The Dual Diagnosis Physician-infrastructure Assessment Tool: examining physician attributes and dual diagnosis capacity</t>
  </si>
  <si>
    <t>Psychiatric Services</t>
  </si>
  <si>
    <t>*Clinical Competence;Community Mental Health Centers;Comorbidity;Cooperative Behavior;Diagnosis, Dual (Psychiatry);Health Services Research;Humans;*Mental Disorders/di Diagnosis];Mental Disorders/px Psychology];Mental Disorders/rh Rehabilitation];Patient Care Team;*Psychiatric Status Rating Scales/sn Statistics &amp; Numerical Data];Quality Assurance, Health Care;*Substance-Related Disorders/di Diagnosis];Substance-Related Disorders/px Psychology];Substance-Related Disorders/rh Rehabilitation];United States</t>
  </si>
  <si>
    <t>OBJECTIVE: Inadequate physician training and involvement in addictions treatment are barriers to integrating mental health and addiction services in public behavioral health care. The authors designed and implemented the Dual Diagnosis Physician-infrastructure Assessment Tool (DDPAT) to quantify statewide dimensions of this workforce problem. METHODS: The DDPAT examined institutional dual diagnosis capability and physician workforce, training backgrounds, and clinical roles across Indiana's 30 community mental health centers (CMHCs), six psychiatric hospitals, and 13 addiction treatment centers. RESULTS: All treatment centers and 75% of physicians responded. Sixty-nine percent of all treatment centers and 97% of CMHCs reported dual diagnosis capability. However, 29% of physicians treated both mental illness and addictions, and only 8% had certification in an addiction specialty. Overall workforce shortages, particularly of younger psychiatrists, contextualized these findings. CONCLUSIONS: The DDPAT identified multiple deficiencies in the physician workforce with respect to dual diagnosis and addictions care in Indiana. The DDPAT may be useful for characterizing similar trends in other states.</t>
  </si>
  <si>
    <t>J2: Psychiatr Serv; Chambers, R Andrew Connor, Michael C Boggs, Cathy J Parker, George F; ID: 589</t>
  </si>
  <si>
    <t>1557-9700</t>
  </si>
  <si>
    <t>Chambers, R Andrew. Institute of Psychiatric Research, Department of Psychiatry, Indiana University School of Medicine, 791 Union Dr., Indianapolis, IN 46202, USA. robchamb@iupui.edu</t>
  </si>
  <si>
    <t>http://ovidsp.ovid.com/ovidweb.cgi?T=JS&amp;CSC=Y&amp;NEWS=N&amp;PAGE=fulltext&amp;D=med6&amp;AN=20123825</t>
  </si>
  <si>
    <t>https://dx.doi.org/10.1176/ps.2010.61.2.184</t>
  </si>
  <si>
    <t>MEDLINE; Ovid Technologies; The Dual Diagnosis Physician-infrastructure Assessment Tool: examining physician attributes and dual diagnosis capacity</t>
  </si>
  <si>
    <t>Chan,D.;Absher,D.;Sabatier,S.</t>
  </si>
  <si>
    <t>Recipients in need of ancillary services and their receipt of HIV medical care in California</t>
  </si>
  <si>
    <t>AIDS Care</t>
  </si>
  <si>
    <t>14 Suppl 1</t>
  </si>
  <si>
    <t>S73</t>
  </si>
  <si>
    <t>Adult;Aged;California;Case Management/og Organization &amp; Administration];Community Health Services/og Organization &amp; Administration];Delivery of Health Care/og Organization &amp; Administration];Female;*HIV Infections/th Therapy];Health Resources/sd Supply &amp; Distribution];Health Services Needs and Demand/og Organization &amp; Administration];Humans;Male;Middle Aged;National Health Programs/og Organization &amp; Administration];Patient Compliance;*Primary Health Care/og Organization &amp; Administration];Primary Health Care/ut Utilization];*Social Support;Social Welfare</t>
  </si>
  <si>
    <t>For many individuals with access to quality medical care, HIV disease is no longer a critical short term illness but a chronic condition giving rise to more clients requiring ongoing medical care. Programs funded by the federal Ryan White Comprehensive AIDS Resources Emergency Act not only provide essential medical care for these individuals but also facilitate access to medical care services. These programmes fund services, including case management, transportation, and translation assistance, that feature ongoing assistance and enable individuals to remain in the health care system. Because of the importance of maintaining the strict drug regimen, retention in care is also an important part of the overall HIV care component. This study analyzed the relationship of ancillary services and a federal health programme client's receipt of medical care and retention in the health care system. We defined a cohort in need of ancillary services in part by a questionnaire designed to identify factors relating to need. These factors included education, language, and substance use. By merging client level data files we were able to identify medical service utilization trends among the individuals in the cohort who received a high number of ancillary services (more than 11 ancillary service visits in the two-year study period, n = 138) and those who received few services (fewer than six ancillary service visits in the two-year study period, n = 132). Results suggest that the receipt of ancillary services is associated with receipt of and retention in primary medical care. We found that for federal health programme clients in need of ancillary services, a positive relationship existed between their receipt of ancillary services and their access to primary medical care (p &lt;/= 0.001). This observation held constant when age, race, gender, and insurance coverage were controlled for. Also, these clients were more likely to be seen by a medical doctor at least once in three consecutive six-month periods when they received needed ancillary services (p &lt;/= 0.01).</t>
  </si>
  <si>
    <t>J2: AIDS Care; Chan, D Absher, D Sabatier, S; ID: 966</t>
  </si>
  <si>
    <t>0954-0121</t>
  </si>
  <si>
    <t>Chan, D. California Department of Health Services, Office of AIDS, HIV/AIDS Epidemiology Branch, Sacramento, California 94234, USA.</t>
  </si>
  <si>
    <t>http://ovidsp.ovid.com/ovidweb.cgi?T=JS&amp;CSC=Y&amp;NEWS=N&amp;PAGE=fulltext&amp;D=med4&amp;AN=12204143</t>
  </si>
  <si>
    <t>MEDLINE; Ovid Technologies; Recipients in need of ancillary services and their receipt of HIV medical care in California</t>
  </si>
  <si>
    <t>Chan,K. Y.;Yang,Y.;Zhang,K. L.;Reidpath,D. D.</t>
  </si>
  <si>
    <t>Disentangling the stigma of HIV/AIDS from the stigmas of drugs use, commercial sex and commercial blood donation - a factorial survey of medical students in China</t>
  </si>
  <si>
    <t>BMC Public Health</t>
  </si>
  <si>
    <t>Adolescent;Adult;*Attitude of Health Personnel;*Attitude to Health;Blood Donors;Blood Transfusion;China/ep Epidemiology];Education, Medical, Undergraduate;Factor Analysis, Statistical;Female;HIV Infections/ep Epidemiology];HIV Infections/et Etiology];HIV Infections/th Therapy];*HIV Infections;Humans;Judgment;Male;Prejudice;Sex Work;*Stereotyped Behavior;*Students, Medical/px Psychology];*Substance Abuse, Intravenous;Surveys and Questionnaires</t>
  </si>
  <si>
    <t>BACKGROUND: HIV/AIDS related stigma interferes with the provision of appropriate care and support for people living with HIV/AIDS. Currently, programs to address the stigma approach it as if it occurs in isolation, separate from the co-stigmas related to the various modes of disease transmission including injection drug use (IDU) and commercial sex (CS). In order to develop better programs to address HIV/AIDS related stigma, the inter-relationship (or 'layering') between HIV/AIDS stigma and the co-stigmas needs to be better understood. This paper describes an experimental study for disentangling the layering of HIV/AIDS related stigmas. METHODS: The study used a factorial survey design. 352 medical students from Guangzhou were presented with four random vignettes each describing a hypothetical male. The vignettes were identical except for the presence of a disease diagnosis (AIDS, leukaemia, or no disease) and a co-characteristic (IDU, CS, commercial blood donation (CBD), blood transfusion or no co-characteristic). After reading each vignette, participants completed a measure of social distance that assessed the level of stigmatising attitudes. RESULTS: Bivariate and multivariable analyses revealed statistically significant levels of stigma associated with AIDS, IDU, CS and CBD. The layering of stigma was explored using a recently developed technique. Strong interactions between the stigmas of AIDS and the co-characteristics were also found. AIDS was significantly less stigmatising than IDU or CS. Critically, the stigma of AIDS in combination with either the stigmas of IDU or CS was significantly less than the stigma of IDU alone or CS alone. CONCLUSION: The findings pose several surprising challenges to conventional beliefs about HIV/AIDS related stigma and stigma interventions that have focused exclusively on the disease stigma. Contrary to the belief that having a co-stigma would add to the intensity of stigma attached to people with HIV/AIDS, the findings indicate the presence of an illness might have a moderating effect on the stigma of certain co-characteristics like IDU. The strong interdependence between the stigmas of HIV/AIDS and the co-stigmas of IDU and CS suggest that reducing the co-stigmas should be an integral part of HIV/AIDS stigma intervention within this context.</t>
  </si>
  <si>
    <t>J2: BMC Public Health; Chan, Kit Yee Yang, Yi Zhang, Kong-Lai Reidpath, Daniel D; ID: 712</t>
  </si>
  <si>
    <t>1471-2458</t>
  </si>
  <si>
    <t>Chan, Kit Yee. School of Health and Social Development, Deakin University, Burwood Highway, Burwood, Victoria 3125, Australia. kchan16@gmail.com</t>
  </si>
  <si>
    <t>http://ovidsp.ovid.com/ovidweb.cgi?T=JS&amp;CSC=Y&amp;NEWS=N&amp;PAGE=fulltext&amp;D=med5&amp;AN=17919317</t>
  </si>
  <si>
    <t>MEDLINE; Ovid Technologies; Disentangling the stigma of HIV/AIDS from the stigmas of drugs use, commercial sex and commercial blood donation - a factorial survey of medical students in China</t>
  </si>
  <si>
    <t>Chandra,P. S.;Ravi,V.;Desai,A.;Subbakrishna,D. K.</t>
  </si>
  <si>
    <t>Anxiety and depression among HIV-infected heterosexuals--a report from India</t>
  </si>
  <si>
    <t>Journal of psychosomatic research</t>
  </si>
  <si>
    <t>J.Psychosom.Res.</t>
  </si>
  <si>
    <t>Adult;*Anxiety Disorders/ep Epidemiology];Anxiety Disorders/px Psychology];*Depressive Disorder/ep Epidemiology];Depressive Disorder/px Psychology];Female;*HIV Seropositivity/px Psychology];Humans;India/ep Epidemiology];Interpersonal Relations;Male;Pain Measurement;Prevalence;Regression Analysis;Risk Factors;Socioeconomic Factors;Substance-Related Disorders/ep Epidemiology];Substance-Related Disorders/px Psychology];Suicide, Attempted/px Psychology]</t>
  </si>
  <si>
    <t>The aim of the study was to study factors related to anxiety, depression, and suicidal ideation among HIV-seropositive heterosexuals soon after being tested for their HIV status for the first time. Anxiety, depression, and suicidal ideation were assessed among 51 HIV-seropositive heterosexual men and women with various stages of HIV infection. All assessments were done between 4 and 6 weeks after revelation of positive serostatus. Psychosocial variables such as quality of family relationships and substance use and sociodemographic details such as gender, income, education, and residence were studied for their association with psychiatric morbidity. Illness details studied for their association with psychiatric morbidity included stage of HIV infection, spouse's HIV status, presence of physical illness, and pain. Depression was present in 40% and anxiety in 36% of the sample. Serious suicidal intent was seen in 14%. Multiple regression analysis indicated that presence of pain, concurrent alcohol abuse, poor family relations, and presence of AIDS in the spouse were significant factors associated with depression, anxiety, and suicidal ideation.</t>
  </si>
  <si>
    <t>J2: J Psychosom Res; Chandra, P S Ravi, V Desai, A Subbakrishna, D K; ID: 1081</t>
  </si>
  <si>
    <t>0022-3999</t>
  </si>
  <si>
    <t>Chandra, P S. Department of Psychiatry, National Institute of Mental Health &amp; Neurosciences, Bangalore, India. chandra@nimhans.ren.nic.in</t>
  </si>
  <si>
    <t>http://ovidsp.ovid.com/ovidweb.cgi?T=JS&amp;CSC=Y&amp;NEWS=N&amp;PAGE=fulltext&amp;D=med4&amp;AN=9835233</t>
  </si>
  <si>
    <t>MEDLINE; Ovid Technologies; Anxiety and depression among HIV-infected heterosexuals--a report from India</t>
  </si>
  <si>
    <t>Chang,J.</t>
  </si>
  <si>
    <t>Residents' page. Requiem for Mr Bojangles</t>
  </si>
  <si>
    <t>2, 130-1</t>
  </si>
  <si>
    <t>Adult;*Alcoholism/co Complications];Humanism;Humans;*Internship and Residency;Male;Medical History Taking;Middle Aged;Myocardial Infarction/di Diagnosis];*Myocardial Infarction/th Therapy]</t>
  </si>
  <si>
    <t>J2: Can Fam Physician; Chang, Jason; ID: 990</t>
  </si>
  <si>
    <t>Chang, Jason. University of Alberta, Edmonton.</t>
  </si>
  <si>
    <t>English French</t>
  </si>
  <si>
    <t>http://ovidsp.ovid.com/ovidweb.cgi?T=JS&amp;CSC=Y&amp;NEWS=N&amp;PAGE=fulltext&amp;D=med4&amp;AN=11852601</t>
  </si>
  <si>
    <t>MEDLINE; Ovid Technologies; Residents' page. Requiem for Mr Bojangles</t>
  </si>
  <si>
    <t>Chapman,M. J.</t>
  </si>
  <si>
    <t>Medical education and substance abuse</t>
  </si>
  <si>
    <t>Journal of the Royal Society of Medicine</t>
  </si>
  <si>
    <t>J.R.Soc.Med.</t>
  </si>
  <si>
    <t>J2: J R Soc Med; Chapman, M J; ID: 431</t>
  </si>
  <si>
    <t>0141-0768</t>
  </si>
  <si>
    <t>Chapman, M J. Toxicologiste Conseil, BP 19, F-69881 JONAGE Cedex, France.</t>
  </si>
  <si>
    <t>http://ovidsp.ovid.com/ovidweb.cgi?T=JS&amp;CSC=Y&amp;NEWS=N&amp;PAGE=fulltext&amp;D=prem&amp;AN=20894844</t>
  </si>
  <si>
    <t>MEDLINE; Ovid Technologies; Medical education and substance abuse</t>
  </si>
  <si>
    <t>Chappel,J. N.</t>
  </si>
  <si>
    <t>Training of residents and medical students in the diagnosis and treatment of dual diagnosis patients</t>
  </si>
  <si>
    <t>*Diagnosis, Dual (Psychiatry)/px Psychology];*Education, Medical, Undergraduate;Humans;*Internship and Residency;Mental Disorders/px Psychology];Mental Disorders/th Therapy];*Psychiatry/ed Education];Substance-Related Disorders/px Psychology];Substance-Related Disorders/th Therapy]</t>
  </si>
  <si>
    <t>Treatment of dual diagnosis patients requires simultaneous treatment of the addictive and the mental disorders. Available data suggest that this does not happen often. In a survey of several psychiatric services, the unit chiefs reported that dual diagnoses were underreported, no plans were present for combined treatment, families were infrequently involved, and few referrals were made for combined treatment. There is a need for competent, experienced clinician teachers who have had positive experience with the treatment of dual disorders. The training of addiction and mental health professionals must include cooperation, understanding, and respect for each other. Cross-training is needed in chemotherapy, psychotherapy, abstinence from alcohol and other addictive drugs, 12-Step programs, spiritual issues, and milieu therapy. Negative attitudes and ignorance must be overcome for this training to take place. Faculty Fellow training programs have provided a beginning in this direction, but have so far involved few professional schools. Some examples of training with regard to referrals, prescribing, and psychotherapy are given. The importance of supervised clinical experience in treating dual diagnosis patients is emphasized. The provision of this experience provides a challenge to specialists in addiction medicine and addiction psychiatry. References: 31]</t>
  </si>
  <si>
    <t>J2: J Psychoactive Drugs; Chappel, J N; ID: 1236</t>
  </si>
  <si>
    <t>Chappel, J N. Department of Psychiatry and Behavioral Sciences, University of Nevada School of Medicine, Reno 89557-0046.</t>
  </si>
  <si>
    <t>http://ovidsp.ovid.com/ovidweb.cgi?T=JS&amp;CSC=Y&amp;NEWS=N&amp;PAGE=fulltext&amp;D=med3&amp;AN=8126601</t>
  </si>
  <si>
    <t>MEDLINE; Ovid Technologies; Training of residents and medical students in the diagnosis and treatment of dual diagnosis patients</t>
  </si>
  <si>
    <t>Educational approaches to prescribing practices and substance abuse</t>
  </si>
  <si>
    <t>*Drug Prescriptions;Drug Utilization;*Drug and Narcotic Control/lj Legislation &amp; Jurisprudence];*Education, Medical/td Trends];Humans;*Substance-Related Disorders/pc Prevention &amp; Control];United States</t>
  </si>
  <si>
    <t>The history of medical education in treating and prescribing for additive disorders is primarily one of omission. This began to change in the 1970s, leading to positive developments in medical education; however, much still remains to be done. Training in writing prescriptions should cover four areas: (1) prescribing to prevent addiction; (2) prescribing for alcohol or other drug dependent patients; (3) prescribing for withdrawal from alcohol or other drugs; and (4) prescribing for patients in recovery from alcohol or other drug addiction. Other areas of importance to medical education are inappropriate prescribing practices, self-prescribing, and prescribing for dual diagnosis patients. Physicians need to know how to avoid becoming duped, dated, impaired or "script doctors." The educational techniques used in attaining these goals emphasize adult, or andragogical, education, sequencing curricula over the years of medical school and residency training, utilizing a variety of instructional techniques, and evaluating the results after each educational unit. The use of clinical vignettes, patient management problems and simulated patients is recommended. References: 21]</t>
  </si>
  <si>
    <t>J2: J Psychoactive Drugs; Chappel, J N; ID: 1286</t>
  </si>
  <si>
    <t>Chappel, J N. University of Nevada.</t>
  </si>
  <si>
    <t>http://ovidsp.ovid.com/ovidweb.cgi?T=JS&amp;CSC=Y&amp;NEWS=N&amp;PAGE=fulltext&amp;D=med3&amp;AN=1813608</t>
  </si>
  <si>
    <t>MEDLINE; Ovid Technologies; Educational approaches to prescribing practices and substance abuse</t>
  </si>
  <si>
    <t>Chappel,J. N.;Jordan,R. D.;Treadway,B. J.;Miller,P. R.</t>
  </si>
  <si>
    <t>Substance abuse attitude changes in medical students</t>
  </si>
  <si>
    <t>Alcoholism/th Therapy];*Attitude of Health Personnel;Curriculum;*Education, Medical, Undergraduate;Humans;Nevada;Obesity/th Therapy];Semantic Differential;Smoking Prevention;*Students, Medical;Substance-Related Disorders/th Therapy];*Substance-Related Disorders</t>
  </si>
  <si>
    <t>The authors describe a course in substance abuse given to sophomore medical students with the intention of positively influencing their attitudes toward substance-abusing patients and their treatment. Clinical problem solving and small group discussion were emphasized in addition to field trips. By pretest and posttest measures, significant positive changes were obtained in student attitudes: they reported feeling less upset when they encountered alcoholics, "hard" drug abusers, "soft" drug abusers, compulsive smokers, and obese overeaters as well as having a more positive view of the physician's role in the treatment of substance dependence. Personal experience with alcohol and other drugs was shown to have an influence on attitude changes.</t>
  </si>
  <si>
    <t>J2: Am J Psychiatry; Chappel, J N Jordan, R D Treadway, B J Miller, P R; ID: 1534</t>
  </si>
  <si>
    <t>http://ovidsp.ovid.com/ovidweb.cgi?T=JS&amp;CSC=Y&amp;NEWS=N&amp;PAGE=fulltext&amp;D=med1&amp;AN=842723</t>
  </si>
  <si>
    <t>MEDLINE; Ovid Technologies; Substance abuse attitude changes in medical students</t>
  </si>
  <si>
    <t>Chappel,J. N.;Smith,D. E.;Buxton,M.</t>
  </si>
  <si>
    <t>Paraprofessional and professional teamwork and training in managing PCP and other drug abuse problems</t>
  </si>
  <si>
    <t>Journal of psychedelic drugs</t>
  </si>
  <si>
    <t>J.Psychedelic Drugs</t>
  </si>
  <si>
    <t>Jul-Dec</t>
  </si>
  <si>
    <t>Allied Health Personnel;Attitude of Health Personnel;Education, Medical, Continuing;Humans;Patient Care Team;*Phencyclidine Abuse/th Therapy];*Substance-Related Disorders/th Therapy]</t>
  </si>
  <si>
    <t>J2: J Psychedelic Drugs; Chappel, J N Smith, D E Buxton, M; ID: 1508</t>
  </si>
  <si>
    <t>0022-393X</t>
  </si>
  <si>
    <t>http://ovidsp.ovid.com/ovidweb.cgi?T=JS&amp;CSC=Y&amp;NEWS=N&amp;PAGE=fulltext&amp;D=med2&amp;AN=7431429</t>
  </si>
  <si>
    <t>MEDLINE; Ovid Technologies; Paraprofessional and professional teamwork and training in managing PCP and other drug abuse problems</t>
  </si>
  <si>
    <t>Chappel,J. N.;Veach,T. L.</t>
  </si>
  <si>
    <t>Effect of a course on students' attitudes toward substance abuse and its treatment</t>
  </si>
  <si>
    <t>*Attitude of Health Personnel;*Curriculum;*Education, Medical, Undergraduate;Humans;Nevada;*Students, Medical/px Psychology];Substance-Related Disorders/th Therapy];*Substance-Related Disorders</t>
  </si>
  <si>
    <t>From 1978 through 1982, pretests and posttests of second-year medical students' attitudes toward substance abuse and its treatment showed that positive attitude change could be achieved during a substance abuse course. When the course was scheduled in competition with demanding basic science courses, however, the students' attitudes did not become as positive as or became more negative than when the course was part of a less demanding schedule. The course used lectures and reading assignments to provide information on substance abuse and used patient contact to change attitudes toward substance abusers and treatment. Emphasis was placed on patient management problems and small-group discussions. The changes in the students' attitudes are assumed by the authors to be positive, but the link between these attitudes and good clinical practice has not been demonstrated.</t>
  </si>
  <si>
    <t>J2: J Med Educ; Chappel, J N Veach, T L; ID: 1437</t>
  </si>
  <si>
    <t>http://ovidsp.ovid.com/ovidweb.cgi?T=JS&amp;CSC=Y&amp;NEWS=N&amp;PAGE=fulltext&amp;D=med2&amp;AN=3573018</t>
  </si>
  <si>
    <t>MEDLINE; Ovid Technologies; Effect of a course on students' attitudes toward substance abuse and its treatment</t>
  </si>
  <si>
    <t>Charpak,Y.;Nory,F.;Barbot,J.</t>
  </si>
  <si>
    <t>Management of drug addicts (heroin addicts) by general practitioners]</t>
  </si>
  <si>
    <t>Revue d Epidemiologie et de Sante Publique</t>
  </si>
  <si>
    <t>Anti-Anxiety Agents/tu Therapeutic Use];Antidepressive Agents/tu Therapeutic Use];Antipsychotic Agents/tu Therapeutic Use];Clinical Competence;Education, Medical, Continuing;Family Practice/ed Education];*Family Practice;Female;France;Heroin Dependence/dt Drug Therapy];*Heroin Dependence/th Therapy];Humans;Male;Narcotics/tu Therapeutic Use];Sampling Studies;0 (Anti-Anxiety Agents);0 (Antidepressive Agents);0 (Antipsychotic Agents);0 (Narcotics)</t>
  </si>
  <si>
    <t>A telephone survey has been undertaken in a random sample of 150 General Practitioners (GPs) in four regions of France. 25% refused to answer. The study showed that drug addiction (use of heroin) is a serious issue for many of these physicians: 15% follow more than 20 drug addicts per year and only 12% see none; extrapolating the mean number of drug addicts followed yearly (9.4 per GP) to all GPs in the four regions (26,000, that is to say half of all french GPs) give an "active file" of 250,000 drugs addicts per year. Only 15% if the GPs feel they are educated for the management of drug addicts, although 70% say they prescribe medication such as hypnotics and anxiolytics (97%), the most cited being Tranxene 50 (Chlorazepate 50 mg), antalgics (84%), morphinic or morphine-like drugs (49%), mainly Temgesic, and at last antidepressants and neuroleptics (39%). GPs suffer from being isolated in their practices, as contacts with collegues or institutions specialized in drug addiction are few. If one third of the GPs wish an active participation in the management of drug addicts, and one third wish at least to "do something", they are all much ambiguous in their attitudes toward drug addiction. Their behaviors vary from medical pride to anxiety and even fear. They all mention a lot of practical problems with respect to reputation, practice, lack of time... Unanimous wishes concern opportuneness of setting up continuous medical education on this topic, of working out guidelines for prescription, of improving relationships with other institutions.</t>
  </si>
  <si>
    <t>J2: Rev Epidemiol Sante Publique; French Charpak, Y Nory, F Barbot, J; OP: La prise en charge des toxicomanes (heroinomanes) par les medicins generalistes; ID: 1227</t>
  </si>
  <si>
    <t>0398-7620</t>
  </si>
  <si>
    <t>Charpak, Y. EVAL, Paris.</t>
  </si>
  <si>
    <t>http://ovidsp.ovid.com/ovidweb.cgi?T=JS&amp;CSC=Y&amp;NEWS=N&amp;PAGE=fulltext&amp;D=med3&amp;AN=7911589</t>
  </si>
  <si>
    <t>MEDLINE; Ovid Technologies; [Management of drug addicts (heroin addicts) by general practitioners]</t>
  </si>
  <si>
    <t>Generic</t>
  </si>
  <si>
    <t>Charpak,Y.;Nory-Guillou,F.;Blin,P.;Monaque,C.</t>
  </si>
  <si>
    <t>4-month follow-up of 198 heroin addicts by general practitioners]</t>
  </si>
  <si>
    <t>Adult;Cohort Studies;*Family Practice;Female;Follow-Up Studies;Heroin Dependence/co Complications];*Heroin Dependence/th Therapy];Humans;Infection/co Complications];Infection/th Therapy];Male;Morphinans/tu Therapeutic Use];Narcotics/tu Therapeutic Use];Psychotropic Drugs/tu Therapeutic Use];Time Factors;Workload;0 (Morphinans);0 (Narcotics);0 (Psychotropic Drugs)</t>
  </si>
  <si>
    <t>This study aimed to describe the short term follow-up of a cohort of 198 i.v. heroin users by 44 highly motivated General Practitioners (GPs). The study showed that for these GPs, the work-load linked with the care of these patients was heavy. Nearly half of them saw at least one drug-addict every day. These GPs work within a network and stated they benefit from a regular training on drug addiction topics. The profile of i.v. heroin users, followed by these GPs, is different from the ones usually described in other health care structures (higher percentage of women and better social insertion). The two main motives to consult a GP are the demand of drugs concerning their addiction and medical concern (due to infectious diseases especially). The answer of GPs, concerning the demand of drugs, divide physicians into two groups: those who never prescribe morphine like drugs as substitution and those who do so. In addition, both of them often prescribe psychotropic drugs to some of their patients. Nevertheless, these prescriptions are just one of the elements of a follow-up contract between a GP and his patients. Morphine like prescription is more frequently described among long term drug-addicts already well-known by GPs. This selection prohibits a straight comparison of the results of two groups of patients (with and without morphine like substitution). But the main fact is that patients under morphine like substitution are followed better (in terms of continuity) after 4 months of observation.</t>
  </si>
  <si>
    <t>J2: Rev Epidemiol Sante Publique; French Charpak, Y Nory-Guillou, F Blin, P Monaque, C; OP: Suivi a 4 mois de 198 heroinomanes par des medecins generalistes; ID: 1143</t>
  </si>
  <si>
    <t>http://ovidsp.ovid.com/ovidweb.cgi?T=JS&amp;CSC=Y&amp;NEWS=N&amp;PAGE=fulltext&amp;D=med4&amp;AN=9173454</t>
  </si>
  <si>
    <t>MEDLINE; Ovid Technologies; [4-month follow-up of 198 heroin addicts by general practitioners]</t>
  </si>
  <si>
    <t>Chast,F.;Foliot,P.;Suffisseau,L.;Bui,M.</t>
  </si>
  <si>
    <t>The course of pharmaceutical residencies in the 19th century, revealing the problem of opium]</t>
  </si>
  <si>
    <t>Revue D'Histoire de la Pharmacie</t>
  </si>
  <si>
    <t>*Awards and Prizes;*Drug Evaluation/hi History];France;History, 19th Century;Humans;International Cooperation/hi History];*Opium/hi History];8008-60-4 (Opium)</t>
  </si>
  <si>
    <t>J2: Rev; French Chast, F Foliot, P Suffisseau, L Bui, M; OP: Le concours de l'internat en pharmacie au XIXe siecle, revelateur de la problematique de l'opium; ID: 1148</t>
  </si>
  <si>
    <t>0035-2349</t>
  </si>
  <si>
    <t>Chast, F. Service de Pharmacie-Pharmacologie de l'Hotel-Dieu, Paris, France.</t>
  </si>
  <si>
    <t>http://ovidsp.ovid.com/ovidweb.cgi?T=JS&amp;CSC=Y&amp;NEWS=N&amp;PAGE=fulltext&amp;D=med4&amp;AN=11618683</t>
  </si>
  <si>
    <t>MEDLINE; Ovid Technologies; [The course of pharmaceutical residencies in the 19th century, revealing the problem of opium]</t>
  </si>
  <si>
    <t>Chatkin,J.;Chatkin,G.</t>
  </si>
  <si>
    <t>Learning about smoking during medical school: are we still missing opportunities?</t>
  </si>
  <si>
    <t>International Journal of Tuberculosis &amp; Lung Disease</t>
  </si>
  <si>
    <t>Attitude of Health Personnel;Curriculum;*Education, Medical;Humans;Physicians;Role;Schools, Medical;Smoking/ep Epidemiology];*Smoking;Smoking Cessation;Students, Medical</t>
  </si>
  <si>
    <t>Despite the accumulation of evidence about the risks of tobacco use in recent decades, smoking remains an important public health problem. Although significant advances for its control have been achieved, the role of health care workers, especially physicians, is still less than ideal, as smoking cessation could provide great benefits to their patients. In many countries, these professionals fail to be proactive in promoting smoking cessation: they do not motivate their patients, offer options for quitting smoking or help prevent smoking initiation among adolescents. This reluctance clearly signifies lost opportunities in the fight against smoking, much as in the days before the harmful effects of smoking were well-defined. Given that about 70% of smokers seek medical assistance over the course of a year due to problems both related and unrelated to smoking, the percentage of wasted possibilities remains significant. This may occur because physicians feel insecure in addressing the various problems when communicating with smokers. The aim of this article is to review the reasons for insufficient commitment of some physicians to this fight. We attribute part of the problem to deficiencies in medical school education, insufficient training, not adapting medical school curricula to the rapid changes occurring in this area and a lack of transdisciplinary vision regarding smoking. All are possibilities that can explain such lost opportunities in treating smokers. References: 70]</t>
  </si>
  <si>
    <t>J2: Int J Tuberc Lung Dis; Chatkin, J Chatkin, G; ID: 631</t>
  </si>
  <si>
    <t>1027-3719</t>
  </si>
  <si>
    <t>Chatkin, J. Faculdade de Medicina da Pontificia Universidade Catolica do Rio Grande Sul (PUCRS), Porto Alegre, Brazil. jmchatkin@pucrs.br</t>
  </si>
  <si>
    <t>http://ovidsp.ovid.com/ovidweb.cgi?T=JS&amp;CSC=Y&amp;NEWS=N&amp;PAGE=fulltext&amp;D=med6&amp;AN=19335946</t>
  </si>
  <si>
    <t>MEDLINE; Ovid Technologies; Learning about smoking during medical school: are we still missing opportunities?</t>
  </si>
  <si>
    <t>Cheatle,M. D.;O'Brien,C. P.;Mathai,K.;Hansen,M.;Grasso,M.;Yi,P.</t>
  </si>
  <si>
    <t>Aberrant behaviors in a primary care-based cohort of patients with chronic pain identified as misusing prescription opioids</t>
  </si>
  <si>
    <t>Journal of Opioid Management</t>
  </si>
  <si>
    <t>Adult;Aged;*Chronic Pain/dt Drug Therapy];Female;Humans;Logistic Models;Male;Middle Aged;*Opioid-Related Disorders/ep Epidemiology];*Primary Health Care;Retrospective Studies</t>
  </si>
  <si>
    <t>OBJECTIVE: To assess aberrant drug-related behaviors (ADRBs) in patients discharged from a community primary care practice for opioid misuse and treating physician's ability to identify predictive aberrant behaviors. DESIGN: Retrospective chart review of patients with chronic noncancer pain (CNCP) identified by their treating physician as misusing opioid analgesics, and patients with similar characteristics who had not been identified as misusing opioids. A survey of attending and resident physicians from these clinics on their knowledge of ADRBs was also collected. SETTING: Community primary care clinic. PATIENTS, PARTICIPANTS: Thirty-three patients with CNCP identified by their treating physician as misusing prescription opioid analgesics, and 33 patients randomly selected from the same clinic setting, with similar characteristics who had not been identified as misusing opioids. Twenty-four attending physicians and 42 resident physicians were surveyed on their training and knowledge of predictive aberrant behaviors. RESULTS: More identified misusers than nonmisusers reported positive history of substance abuse (p=0.001), tobacco use (p=0.011), taking multiple doses of prescribed opioids together (0.024), multiple complaints of pain requiring opioid treatment (p=0.006), and multiple phone calls to the clinic requesting opioid medications (p=0.027). Logistic regression on continuous variables revealed that only the number of phone calls to the clinic regarding opioids in the last 12 months achieved significance (p=0.028). CONCLUSIONS: Previously postulated and novel ADRBs suggestive of opioid misuse were identified in a community primary care setting. Differences in resident and attending physician's ability to identify key predictive ADRBs and lack of training in pain or addiction underscores the need for changes in medical school and residency programs.</t>
  </si>
  <si>
    <t>J2: J Opioid Manag; Cheatle, Martin D O'Brien, Charles P Mathai, Koshy Hansen, Matthew Grasso, Mario Yi, Peter jom.2013.0174; ID: 319</t>
  </si>
  <si>
    <t>1551-7489</t>
  </si>
  <si>
    <t>Cheatle, Martin D. Center for Studies of Addiction, Department of Psychiatry, Perelman School of Medicine University of Pennsylvania, Philadelphia, Pennsylvania; Behavioral Medicine Center, Reading Health System, West Reading, Pennsylvania. O'Brien, Charles P. Center for Studies of Addiction, Department of Psychiatry, Perelman School of Medicine University of Pennsylvania, Philadelphia, Pennsylvania. Mathai, Koshy. Comprehensive Pain Management, Baton Rouge, Louisiana. Hansen, Matthew. Department of Pain Management, MedStar Franklin Square Medical Center, Baltimore, Maryland. Grasso, Mario. Morris Anesthesia Group, Phillipsburg, New Jersey. Yi, Peter. Department of Anesthesia, Perelman School of Medicine University of Pennsylvania, Philadelphia, Pennsylvania.</t>
  </si>
  <si>
    <t>http://ovidsp.ovid.com/ovidweb.cgi?T=JS&amp;CSC=Y&amp;NEWS=N&amp;PAGE=fulltext&amp;D=med7&amp;AN=24353044</t>
  </si>
  <si>
    <t>https://dx.doi.org/10.5055/jom.2013.0174</t>
  </si>
  <si>
    <t>MEDLINE; Ovid Technologies; Aberrant behaviors in a primary care-based cohort of patients with chronic pain identified as misusing prescription opioids</t>
  </si>
  <si>
    <t>Chen,J. H.</t>
  </si>
  <si>
    <t>A PIECE OF MY MIND. The Patient You Least Want to See</t>
  </si>
  <si>
    <t>*Attitude of Health Personnel;Humans;*Internship and Residency;*Medical Staff, Hospital/px Psychology];Negotiating;*Opioid-Related Disorders/px Psychology];*Physician-Patient Relations;*Prescription Drug Misuse/px Psychology];Staff Development;Stereotyping</t>
  </si>
  <si>
    <t>J2: Jama; Chen, Jonathan H; ID: 183</t>
  </si>
  <si>
    <t>1538-3598</t>
  </si>
  <si>
    <t>Chen, Jonathan H. Division of General Medical Disciplines, Department of Medicine, Stanford University, Stanford, California.</t>
  </si>
  <si>
    <t>http://ovidsp.ovid.com/ovidweb.cgi?T=JS&amp;CSC=Y&amp;NEWS=N&amp;PAGE=fulltext&amp;D=med8&amp;AN=27115373</t>
  </si>
  <si>
    <t>https://dx.doi.org/10.1001/jama.2016.0221</t>
  </si>
  <si>
    <t>MEDLINE; Ovid Technologies; A PIECE OF MY MIND. The Patient You Least Want to See</t>
  </si>
  <si>
    <t>Cheng,K. K.;Lam,T. H.</t>
  </si>
  <si>
    <t>Smoking among young doctors in Hong Kong: a message to medical educators</t>
  </si>
  <si>
    <t>Adult;Attitude of Health Personnel;Education, Medical, Undergraduate;Female;Hong Kong/ep Epidemiology];Humans;Male;*Physicians;*Smoking/ep Epidemiology]</t>
  </si>
  <si>
    <t>A survey was conducted using a self-administered questionnaire to examine the smoking habits, attitudes and practices of 151 doctors in their pre-registration year. The response rate was 88%. Over 80% of the respondents had never smoked. Less than 7% of the men smoked daily and none of the women smoked. Despite a very low smoking rate among the respondents, there were shortcomings in attitudes and practices. The study demonstrated that even in a place like Hong Kong, where the social climate on smoking is already changing in a healthy direction, significant deficiencies in our graduates can still arise if teaching on smoking and its control is undertaken in an uncoordinated manner. We argue that a specific course on the important aspects of smoking and health should be introduced into all undergraduate curricula. This is of special importance in countries where smoking is one the increase and where governmental actions on smoking control are inadequate in comparison with the marketing efforts of powerful multinational tobacco companies. Considering the magnitude of smoking as a global health problem, it is the very least that medical educators should do in combating this pandemic.</t>
  </si>
  <si>
    <t>J2: Med Educ; Cheng, K K Lam, T H; ID: 1362</t>
  </si>
  <si>
    <t>Cheng, K K. Department of Community Medicine, University of Hong Kong.</t>
  </si>
  <si>
    <t>http://ovidsp.ovid.com/ovidweb.cgi?T=JS&amp;CSC=Y&amp;NEWS=N&amp;PAGE=fulltext&amp;D=med3&amp;AN=2319974</t>
  </si>
  <si>
    <t>MEDLINE; Ovid Technologies; Smoking among young doctors in Hong Kong: a message to medical educators</t>
  </si>
  <si>
    <t>Cheng,T. O.</t>
  </si>
  <si>
    <t>Cigarette smoking prevention--physicians should teach by example</t>
  </si>
  <si>
    <t>Western Journal of Medicine</t>
  </si>
  <si>
    <t>West.J.Med.</t>
  </si>
  <si>
    <t>Humans;*Physician's Role;*Smoking Prevention</t>
  </si>
  <si>
    <t>J2: West J Med; Cheng, T O Comment on: West J Med. 1998 Jul;169(1):23-9; PMID: 9682627; ID: 1080</t>
  </si>
  <si>
    <t>0093-0415</t>
  </si>
  <si>
    <t>http://ovidsp.ovid.com/ovidweb.cgi?T=JS&amp;CSC=Y&amp;NEWS=N&amp;PAGE=fulltext&amp;D=med4&amp;AN=10214109</t>
  </si>
  <si>
    <t>MEDLINE; Ovid Technologies; Cigarette smoking prevention--physicians should teach by example</t>
  </si>
  <si>
    <t>Chiauzzi,E.;Trudeau,K. J.;Zacharoff,K.;Bond,K.</t>
  </si>
  <si>
    <t>Identifying primary care skills and competencies in opioid risk management</t>
  </si>
  <si>
    <t>*Analgesics, Opioid/tu Therapeutic Use];Chronic Pain/dt Drug Therapy];*Clinical Competence/st Standards];Clinical Competence/sn Statistics &amp; Numerical Data];Educational Measurement/mt Methods];Ethnic Groups/sn Statistics &amp; Numerical Data];Female;Humans;Interviews as Topic;Male;Medicine/sn Statistics &amp; Numerical Data];Pain Management;Physicians, Family/ed Education];*Physicians, Family/px Psychology];Physicians, Family/sn Statistics &amp; Numerical Data];Practice Patterns, Physicians'/sn Statistics &amp; Numerical Data];*Primary Health Care/st Standards];Process Assessment (Health Care)/st Standards];*Risk Management;Substance-Related Disorders/dt Drug Therapy];Surveys and Questionnaires;0 (Analgesics, Opioid)</t>
  </si>
  <si>
    <t>INTRODUCTION: Primary care physicians (PCPs) treat a high proportion of chronic pain patients but often lack training about how to assess and address issues associated with prescribing opioids when they are an appropriate component of therapy. The result may be that they may avoid treating these patients, which can lead to an undertreatment of pain. The objective of this study was to identify which skills and competencies are most critical for PCPs in order to effectively manage opioid risk in patients treated for chronic pain. METHODS: We conducted 1-hour interviews with 16 nationally known experts in primary care, pain management, and addiction. Eight were trained as PCPs, and 8 were trained as specialists. Their responses were collated and then presented online to the participants for independent sorting and rating. These data were analyzed using an online concept mapping program, which offers an innovative method of summarizing and prioritizing qualitative data. RESULTS: Based on this analysis, items were organized into 10 clusters representing the most critical categories of skills (the "best fit" for these data). The cluster that received the highest average statement rating was "How to Manage Pain Patients With Comorbid Conditions." Follow-up analyses indicated that specialists rated this cluster, and 5 others, significantly higher than the PCPs, suggesting that the specialists perceive these competencies as more important in opioid risk management. DISCUSSION: Using a relatively small sample and cost-effective technique (ie, concept mapping), key PCP competencies can be identified for potential inclusion in continuing education and training in opioid risk management.</t>
  </si>
  <si>
    <t>J2: J Contin Educ Health Prof; Chiauzzi, Emil Trudeau, Kimberlee J Zacharoff, Kevin Bond, Kathleen; ID: 458</t>
  </si>
  <si>
    <t>Chiauzzi, Emil. Product Strategy, Inflexxion, Inc., 320 Needham St., Suite 100, Newton, MA 02464, USA. echiauzzi@inflexxion.com</t>
  </si>
  <si>
    <t>http://ovidsp.ovid.com/ovidweb.cgi?T=JS&amp;CSC=Y&amp;NEWS=N&amp;PAGE=fulltext&amp;D=med7&amp;AN=22189986</t>
  </si>
  <si>
    <t>https://dx.doi.org/10.1002/chp.20135</t>
  </si>
  <si>
    <t>MEDLINE; Ovid Technologies; Identifying primary care skills and competencies in opioid risk management</t>
  </si>
  <si>
    <t>Childers,J. W.;Arnold,R. M.</t>
  </si>
  <si>
    <t>I feel uncomfortable 'calling a patient out': educational needs of palliative medicine fellows in managing opioid misuse</t>
  </si>
  <si>
    <t>Journal of Pain &amp; Symptom Management</t>
  </si>
  <si>
    <t>Adult;Aged;*Caregivers/ed Education];*Caregivers/sn Statistics &amp; Numerical Data];Drug Users;Educational Measurement;*Hospice Care;Humans;Male;Middle Aged;Needs Assessment;*Opioid-Related Disorders/pc Prevention &amp; Control];*Pain/dt Drug Therapy];*Pain/ep Epidemiology];*Palliative Care;Pennsylvania/ep Epidemiology];Professional Competence;Young Adult</t>
  </si>
  <si>
    <t>CONTEXT: During the past 10 years, advocates of palliative care have sought to be included earlier in the course of patients' illnesses. Palliative care providers may thus be more likely to care for patients who misuse and abuse opioids. OBJECTIVES: To assess whether hospice and palliative medicine (HPM) fellows see patients at risk for opioid misuse and how competent they perceive themselves to be to treat pain in these patients. METHODS: An electronic survey was distributed to 102 HPM fellows. The survey included questions assessing self-perceived competency in care for patients who misuse opioids. Responses were rated using a Likert scale of one to seven, where one=strongly agree and seven=strongly disagree; any number greater than two was considered to be nonagreement. RESULTS: Fifty-seven (56%) fellows from 34 programs responded to the survey. In the previous two weeks, 77.2% of respondents had seen at least one patient with a substance use disorder (SUD) and 43.9% had treated a patient whom they were concerned was misusing opioids. Half (47.2%) of respondents stated that they have a working knowledge of addiction, 41.4% agreed their training has prepared them to manage opioid misuse, and 36.8% felt they knew how to differentiate pain from addiction. Only 21.1% were satisfied with how they treat symptoms in this population. Fellowship training in opioid misuse was associated with increased satisfaction. CONCLUSION: HPM fellows regularly see patients who are at risk for opioid misuse and feel unprepared to treat pain in these patients. There is a need for more education of fellows in this area.</t>
  </si>
  <si>
    <t>J2: J Pain Symptom Manage; Childers, Julie W Arnold, Robert M; ID: 453</t>
  </si>
  <si>
    <t>1873-6513</t>
  </si>
  <si>
    <t>Childers, Julie W. Section of Palliative Care and Medical Ethics, Division of General Internal Medicine, University of Pittsburgh Medical Center, Pittsburgh, Pennsylvania, USA. childersjw2@upmc.edu</t>
  </si>
  <si>
    <t>http://ovidsp.ovid.com/ovidweb.cgi?T=JS&amp;CSC=Y&amp;NEWS=N&amp;PAGE=fulltext&amp;D=med7&amp;AN=21680141</t>
  </si>
  <si>
    <t>https://dx.doi.org/10.1016/j.jpainsymman.2011.03.009</t>
  </si>
  <si>
    <t>MEDLINE; Ovid Technologies; "I feel uncomfortable 'calling a patient out'": educational needs of palliative medicine fellows in managing opioid misuse</t>
  </si>
  <si>
    <t>Chiu,A. S.;Healy,J. M.;DeWane,M. P.;Longo,W. E.;Yoo,P. S.</t>
  </si>
  <si>
    <t>Trainees as Agents of Change in the Opioid Epidemic: Optimizing the Opioid Prescription Practices of Surgical Residents</t>
  </si>
  <si>
    <t>Journal of Surgical Education</t>
  </si>
  <si>
    <t>Jan - Feb</t>
  </si>
  <si>
    <t>OBJECTIVE: Opioid abuse has become an epidemic in the United States, causing nearly 50,000 deaths a year. Postoperative pain is an unavoidable consequence of most surgery, and surgeons must balance the need for sufficient analgesia with the risks of overprescribing. Prescribing narcotics is often the responsibility of surgical residents, yet little is known about their opioid-prescribing habits, influences, and training experience. DESIGN: Anonymous online survey that assessed the amounts of postoperative opioid prescribed by residents, including type of analgesia, dosage, and number of pills, for a series of common general surgery procedures. Additional questions investigated influences on opioid prescription, use of nonnarcotic analgesia, degree of engagement in patient education on opioids, and degree of training received on analgesia and opioid prescription. SETTING: Accreditation Council for Graduate Medical Education accredited general surgery program at a university-based tertiary hospital. PARTICIPANTS: Categorical and preliminary general surgery residents of all postgraduate years. RESULTS: The percentage of residents prescribing opioids postprocedure ranged from 75.5% for incision and drainage to 100% for open hernia repair. Residents report prescribing 166.3 morphine milligram equivalents of opioid for a laparoscopic cholecystectomy, yet believe patients will only need an average of 113.9 morphine milligram equivalents. The most commonly reported influences on opioid-prescribing habits include attending preference (95.2%), concern for patient satisfaction (59.5%), and fear of potential opioid abuse (59.5%). Only 35.8% of residents routinely perform a narcotic risk assessment before prescribing and 6.2% instruct patients how to properly dispose of excess opioids. More than 90% of residents have not had formal training in best practices of pain management or opioid prescription. CONCLUSION AND RELEVANCE: Surgical trainees are relying almost exclusively on opioids for postoperative analgesia, often in excessive amounts. Residents are heavily influenced by their superiors, but are not receiving formal opioid-prescribing education, pointing to a great need for increased resident education on postoperative pain and opioid management to help change prescribing habits.</t>
  </si>
  <si>
    <t>J2: J Surg Educ; Chiu, Alexander S Healy, James M DeWane, Michael P Longo, Walter E Yoo, Peter S S1931-7204(17)30157-5; ID: 1648</t>
  </si>
  <si>
    <t>1878-7452</t>
  </si>
  <si>
    <t>Chiu, Alexander S. Department of Surgery, Yale School of Medicine, New Haven, Connecticut. Healy, James M. Department of Surgery, Yale School of Medicine, New Haven, Connecticut. DeWane, Michael P. Department of Surgery, Yale School of Medicine, New Haven, Connecticut. Longo, Walter E. Department of Surgery, Yale School of Medicine, New Haven, Connecticut. Yoo, Peter S. Department of Surgery, Yale School of Medicine, New Haven, Connecticut. Electronic address: Peter.Yoo@Yale.edu.</t>
  </si>
  <si>
    <t>http://ovidsp.ovid.com/ovidweb.cgi?T=JS&amp;CSC=Y&amp;NEWS=N&amp;PAGE=fulltext&amp;D=prem&amp;AN=28705485</t>
  </si>
  <si>
    <t>https://dx.doi.org/10.1016/j.jsurg.2017.06.020</t>
  </si>
  <si>
    <t>MEDLINE; Ovid Technologies; Trainees as Agents of Change in the Opioid Epidemic: Optimizing the Opioid Prescription Practices of Surgical Residents</t>
  </si>
  <si>
    <t>Choi-Lao,A.;McRae,B. C.;Hastie,K. D.</t>
  </si>
  <si>
    <t>Smoking during pregnancy - a national survey on the curricula in medical, nursing, and physiotherapy schools in Canada</t>
  </si>
  <si>
    <t>Canadian Journal of Public Health.Revue Canadienne de Sante Publique</t>
  </si>
  <si>
    <t>Canada;*Curriculum;*Education, Medical;*Education, Nursing;Female;Humans;*Physical Therapy Modalities/ed Education];Pregnancy;*Pregnancy Complications/pc Prevention &amp; Control];*Tobacco Use Disorder/pc Prevention &amp; Control]</t>
  </si>
  <si>
    <t>J2: Can J Public Health; Choi-Lao, A T McRae, B C Hastie, K D; ID: 1504</t>
  </si>
  <si>
    <t>http://ovidsp.ovid.com/ovidweb.cgi?T=JS&amp;CSC=Y&amp;NEWS=N&amp;PAGE=fulltext&amp;D=med2&amp;AN=7225982</t>
  </si>
  <si>
    <t>MEDLINE; Ovid Technologies; Smoking during pregnancy - a national survey on the curricula in medical, nursing, and physiotherapy schools in Canada</t>
  </si>
  <si>
    <t>Choo,E. K.;Mazer-Amirshahi,M.;Juurlink,D.;Kobner,S.;Scott,K.;Lin,M.</t>
  </si>
  <si>
    <t>The Prescription Opioid Epidemic: Social Media Responses to the Residents' Perspective Article</t>
  </si>
  <si>
    <t>*Analgesics, Opioid/ae Adverse Effects];Blogging;*Drug Prescriptions;Education, Medical, Graduate;*Emergency Medicine/ed Education];Humans;Internet;*Internship and Residency;*Opioid-Related Disorders/ep Epidemiology];*Social Media;0 (Analgesics, Opioid)</t>
  </si>
  <si>
    <t>In June 2014, Annals of Emergency Medicine collaborated with the Academic Life in Emergency Medicine (ALiEM) blog-based Web site to host an online discussion session featuring the Annals Residents' Perspective article "The Opioid Prescription Epidemic and the Role of Emergency Medicine" by Poon and Greenwood-Ericksen. This dialogue included a live videocast with the authors and other experts, a detailed discussion on the ALiEM Web site's comment section, and real-time conversations on Twitter. Engagement was tracked through various Web analytic tools, and themes were identified by content curation. The dialogue resulted in 1,262 unique page views from 433 cities in 41 countries on the ALiEM Web site, 408,498 Twitter impressions, and 168 views of the video interview with the authors. Four major themes about prescription opioids identified included the following: physician knowledge, inconsistent medical education, balance between overprescribing and effective pain management, and approaches to solutions. Free social media technologies provide a unique opportunity to engage with a diverse community of emergency medicine and non-emergency medicine clinicians, nurses, learners, and even patients. Such technologies may allow more rapid hypothesis generation for future research and more accelerated knowledge translation.</t>
  </si>
  <si>
    <t>J2: Ann Emerg Med; Choo, Esther K Mazer-Amirshahi, Maryann Juurlink, David Kobner, Scott Scott, Kevin Lin, Michelle S0196-0644(15)00392-3; ID: 185</t>
  </si>
  <si>
    <t>Choo, Esther K. Department of Emergency Medicine, Emergency Digital Health Innovation Program, Warren Alpert Medical School of Brown University, Providence, RI. Electronic address: choo@aya.yale.edu. Mazer-Amirshahi, Maryann. Department of Emergency Medicine, MedStar Washington Hospital Center, Washington, DC. Juurlink, David. Department of Medicine, Sunnybrook Health Sciences Centre, Toronto, Ontario, Canada. Kobner, Scott. New York University School of Medicine, New York, NY. Scott, Kevin. Department of Emergency Medicine, Perelman School of Medicine, University of Pennsylvania, Philadelphia, PA. Lin, Michelle. Department of Emergency Medicine, University of California, San Francisco, and the MedEdLIFE Research Collaborative, San Francisco, CA.</t>
  </si>
  <si>
    <t>http://ovidsp.ovid.com/ovidweb.cgi?T=JS&amp;CSC=Y&amp;NEWS=N&amp;PAGE=fulltext&amp;D=med8&amp;AN=26169929</t>
  </si>
  <si>
    <t>https://dx.doi.org/10.1016/j.annemergmed.2015.05.005</t>
  </si>
  <si>
    <t>MEDLINE; Ovid Technologies; The Prescription Opioid Epidemic: Social Media Responses to the Residents' Perspective Article</t>
  </si>
  <si>
    <t>Chossis,I.;Lane,C.;Gache,P.;Michaud,P. A.;Pecoud,A.;Rollnick,S.;Daeppen,J. B.</t>
  </si>
  <si>
    <t>Effect of training on primary care residents' performance in brief alcohol intervention: a randomized controlled trial</t>
  </si>
  <si>
    <t>Adult;Aged;*Alcohol Drinking/pc Prevention &amp; Control];*Alcoholism/th Therapy];Counseling/ed Education];Female;Humans;Hyperlipidemias/th Therapy];*Internal Medicine/ed Education];*Internship and Residency;Male;Middle Aged;*Primary Health Care</t>
  </si>
  <si>
    <t>BACKGROUND: Brief alcohol interventions (BAI) reduce alcohol use and related problems in primary care patients with hazardous drinking behavior. The effectiveness of teaching BAI on the performance of primary care residents has not been fully evaluated. METHODS: A cluster randomized controlled trial was conducted with 26 primary care residents who were randomized to either an 8-hour, interactive BAI training workshop (intervention) or a lipid management workshop (control). During the 6-month period after training (i.e., from October 1, 2003 to March 30, 2004), 506 hazardous drinkers were identified in primary care, 260 of whom were included in the study. Patients were interviewed immediately and then 3 months after meeting with each resident to evaluate their perceptions of the BAI experience and to document drinking patterns. RESULTS: Patients reported that BAI trained residents: conducted more components of BAI than did controls (2.4 vs 1.5, p = .001); were more likely to explain safe drinking limits (27% vs 10%, p = .001) and provide feedback on patients' alcohol use (33% vs 21%, p = .03); and more often sought patient opinions on drinking limits (19% vs 6%, p = .02). No between-group differences were observed in patient drinking patterns or in use of 9 of the 12 BAI components. CONCLUSIONS: The BAI-trained residents did not put a majority of BAI components into practice, thus it is difficult to evaluate the influence of BAI on the reduction of alcohol use among hazardous drinkers.</t>
  </si>
  <si>
    <t>J2: J Gen Intern Med; Chossis, Isabelle Lane, Claire Gache, Pascal Michaud, Pierre-Andre Pecoud, Alain Rollnick, Stephen Daeppen, Jean-Bernard; ID: 755</t>
  </si>
  <si>
    <t>Chossis, Isabelle. Alcohol Treatment Center, Lausanne University Hospital, Lausanne, Switzerland.</t>
  </si>
  <si>
    <t>http://ovidsp.ovid.com/ovidweb.cgi?T=JS&amp;CSC=Y&amp;NEWS=N&amp;PAGE=fulltext&amp;D=med5&amp;AN=17541671</t>
  </si>
  <si>
    <t>MEDLINE; Ovid Technologies; Effect of training on primary care residents' performance in brief alcohol intervention: a randomized controlled trial</t>
  </si>
  <si>
    <t>Christison,G. W.;Haviland,M. G.</t>
  </si>
  <si>
    <t>Requiring a one-week addiction treatment experience in a six-week psychiatry clerkship: effects on attitudes toward substance-abusing patients</t>
  </si>
  <si>
    <t>*Alcoholism/th Therapy];*Attitude of Health Personnel;*Clinical Clerkship;Depressive Disorder/th Therapy];*Education, Medical, Undergraduate/mt Methods];Educational Measurement;Humans;*Psychiatry/ed Education];Pulmonary Emphysema/th Therapy]</t>
  </si>
  <si>
    <t>BACKGROUND: Medical education shapes students' attitudes toward substance-abusing patients, often in negative ways. Curricular interventions to foster more positive attitudes toward such patients and their treatment can have lasting effects on clinical practice. The nature and duration of such interventions, however, requires clarification. PURPOSE: To test the hypothesis that spending 1 week of a 6-week psychiatry clerkship on an addication treatment site would improve attitudes toward substance-abusing patients without reducing the clerkship's benefits on attitudes toward, and knowledge about, psychiatry patients. METHOD: Using the Medical Condition Regard Scale, preclerkship and postclerkship attitudes toward patients with alcoholism, major depression, and emphysema (a control condition) were examined in 3rd-year medical students following the conversion of 1 of the clerkship's weeks to an addiction treatment site assignment. Psychiatric knowledge was assessed by comparing scores on the Psychiatry Subject examination before and after the change. RESULTS: Mean regard scores increased significantly for patients with alcoholism and for patients with major depression but did not change for patients with emphysema. Subject examination scores before and after the curriculum change were not significantly different. CONCLUSIONS: Spending 1 week of a 6-week psychiatry clerkship on an addiction treatment site increased regard for patients with alcoholism without adversely affecting measures of attitudes toward, and knowledge about, psychiatric patients.</t>
  </si>
  <si>
    <t>J2: Teach Learn Med; Christison, George W Haviland, Mark G; ID: 937</t>
  </si>
  <si>
    <t>Christison, George W. Department of Psychiatry, Loma Linda University School of Medicine, 11374 Mountain View Avenue, Loma Linda, CA 92354-3842, USA. gchristison@som.llu.edu</t>
  </si>
  <si>
    <t>http://ovidsp.ovid.com/ovidweb.cgi?T=JS&amp;CSC=Y&amp;NEWS=N&amp;PAGE=fulltext&amp;D=med4&amp;AN=12708066</t>
  </si>
  <si>
    <t>MEDLINE; Ovid Technologies; Requiring a one-week addiction treatment experience in a six-week psychiatry clerkship: effects on attitudes toward substance-abusing patients</t>
  </si>
  <si>
    <t>Ciccarone,D.;Jain,S.;Bourgois,P.</t>
  </si>
  <si>
    <t>NIHMS67309; Understanding illicit substance use in the real world</t>
  </si>
  <si>
    <t>Clinical Competence/st Standards];*Education, Medical, Undergraduate/mt Methods];Humans;Personal Satisfaction;San Francisco;*Substance-Related Disorders</t>
  </si>
  <si>
    <t>J2: Med Educ; Ciccarone, Dan Jain, Sharad Bourgois, Philippe; ID: 690</t>
  </si>
  <si>
    <t>Ciccarone, Dan. Department of Family and Community Medicine, University of California San Francisco, San Francisco, California 94143, USA. ciccaron@fcm.ucsf.edu</t>
  </si>
  <si>
    <t>http://ovidsp.ovid.com/ovidweb.cgi?T=JS&amp;CSC=Y&amp;NEWS=N&amp;PAGE=fulltext&amp;D=med6&amp;AN=18412911</t>
  </si>
  <si>
    <t>https://dx.doi.org/10.1111/j.1365-2923.2008.03074.x</t>
  </si>
  <si>
    <t>MEDLINE; Ovid Technologies; Understanding illicit substance use in the real world</t>
  </si>
  <si>
    <t>Claborn,K.;Becker,S.;Ramsey,S.;Rich,J.;Friedmann,P. D.</t>
  </si>
  <si>
    <t>Mobile technology intervention to improve care coordination between HIV and substance use treatment providers: development, training, and evaluation protocol</t>
  </si>
  <si>
    <t>03 14</t>
  </si>
  <si>
    <t>Clinical Protocols;Female;*HIV Infections/th Therapy];Humans;*Inservice Training/og Organization &amp; Administration];Male;Organizational Innovation;Patient Care Management;*Patient-Centered Care/og Organization &amp; Administration];Primary Health Care/og Organization &amp; Administration];*Substance-Related Disorders/th Therapy];*Telemedicine/ut Utilization]</t>
  </si>
  <si>
    <t>BACKGROUND: People living with HIV (PLWH) with a substance use disorder (SUD) tend to receive inadequate medical care in part because of a siloed healthcare system in which HIV and substance use services are delivered separately. Ideal treatment requires an interdisciplinary, team-based coordinated care approach, but many structural and systemic barriers impede the integration of HIV and SUD services. The current protocol describes the development and preliminary evaluation of a care coordination intervention (CCI), consisting of a tablet-based mobile platform for HIV and SUD treatment providers, an interagency communication protocol, and a training protocol. We hypothesize that HIV and SUD treatment providers will find the CCI to be acceptable, and that after receipt of the CCI, providers will: exhibit higher retention in dual care among patients, report increased frequency and quality of communication, and report increased rates of relational coordination. METHODS/DESIGN: A three phase approach is used to refine and evaluate the CCI. Phase 1 consists of in-depth qualitative interviews with 8 key stakeholders as well as clinical audits of participating HIV and SUD treatment agencies. Phase 2 contains functionality testing of the mobile platform with frontline HIV and SUD treatment providers, followed by refinement of the CCI. Phase 3 consists of a pre-, post-test trial with 30 SUD and 30 HIV treatment providers. Data will be collected at the provider, organization, and patient levels. Providers will complete assessments at baseline, immediately post-training, and at 1-, 3-, and 6-months post-training. Organizational data will be collected at baseline, 1-, 3-, and 6-months post training, while patient data will be collected at baseline and 6-months post training. DISCUSSION: This study will develop and evaluate a CCI consisting of a tablet-based mobile platform for treatment providers, an interagency communication protocol, and a training protocol as a means of improving the integration of care for PLWH who have a SUD. Results have the potential to advance the field by bridging gaps in a fragmented healthcare system, and improving treatment efficiency, work flow, and communication among interdisciplinary providers from different treatment settings. Trial registration: nct02906215.</t>
  </si>
  <si>
    <t>J2: Addict Sci Clin Pract; Claborn, Kasey Becker, Sara Ramsey, Susan Rich, Josiah Friedmann, Peter D; ID: 44</t>
  </si>
  <si>
    <t>Claborn, Kasey. Department of Medicine, Division of General Internal Medicine, Rhode Island Hospital, 111 Plain Street, Providence, RI, 02903, USA. kasey_claborn@brown.edu. Claborn, Kasey. The Warren Alpert Medical School, Brown University, Box G-BH, Providence, RI, 02912, USA. kasey_claborn@brown.edu. Becker, Sara. The Warren Alpert Medical School, Brown University, Box G-BH, Providence, RI, 02912, USA. Becker, Sara. Center for Alcohol and Addiction Studies, Brown University School of Public Health, 121 South Main Street, Box G-121-5, Providence, RI, 02912, USA. Ramsey, Susan. Department of Medicine, Division of General Internal Medicine, Rhode Island Hospital, 111 Plain Street, Providence, RI, 02903, USA. Ramsey, Susan. The Warren Alpert Medical School, Brown University, Box G-BH, Providence, RI, 02912, USA. Rich, Josiah. The Warren Alpert Medical School, Brown University, Box G-BH, Providence, RI, 02912, USA. Rich, Josiah. Miriam Hospital, Providence, RI, 02906, USA. Friedmann, Peter D. Office of Research, Department of Medicine, University of Massachusetts - Baystate and Baystate Health, Springfield, MA, USA.</t>
  </si>
  <si>
    <t>http://ovidsp.ovid.com/ovidweb.cgi?T=JS&amp;CSC=Y&amp;NEWS=N&amp;PAGE=fulltext&amp;D=medl&amp;AN=28288678</t>
  </si>
  <si>
    <t>https://dx.doi.org/10.1186/s13722-017-0073-1</t>
  </si>
  <si>
    <t>MEDLINE; Ovid Technologies; Mobile technology intervention to improve care coordination between HIV and substance use treatment providers: development, training, and evaluation protocol</t>
  </si>
  <si>
    <t>Clare,A. W.</t>
  </si>
  <si>
    <t>Alcohol education and the medical student</t>
  </si>
  <si>
    <t>Alcoholism/co Complications];Alcoholism/di Diagnosis];Alcoholism/px Psychology];Alcoholism/th Therapy];*Alcoholism;Attitude of Health Personnel;Curriculum;*Education, Medical;Family Practice;Female;Humans;Male;Medical History Taking;Students, Medical</t>
  </si>
  <si>
    <t>The development of a more sophisticated aetiological model of alcohol abuse and dependence has certain advantages when it comes to teaching medical students about the subject. The move away from a simplistic, unicausal model of disease coincides with more sophisticated notions of disease in medicine in general and alcoholism in particular can now be seen as a paradigm for many disorders. While the new model implicitly recognises the important role of non-medical professionals in the detection and management of alcohol-related problems, the protean manifestations of alcohol in general and specialised medical settings demands that tomorrow's doctors have an appropriately sophisticated model of the disorder and the abilities and skills necessary for its detection and management.</t>
  </si>
  <si>
    <t>J2: Alcohol Alcohol; Clare, A W; ID: 1465</t>
  </si>
  <si>
    <t>http://ovidsp.ovid.com/ovidweb.cgi?T=JS&amp;CSC=Y&amp;NEWS=N&amp;PAGE=fulltext&amp;D=med2&amp;AN=6532465</t>
  </si>
  <si>
    <t>MEDLINE; Ovid Technologies; Alcohol education and the medical student</t>
  </si>
  <si>
    <t>Clarke,D. E.;Gonzalez,M.;Pereira,A.;Boyce-Gaudreau,K.;Waldman,C.;Demczuk,L.</t>
  </si>
  <si>
    <t>The impact of knowledge on attitudes of emergency department staff towards patients with substance related presentations: a quantitative systematic review protocol</t>
  </si>
  <si>
    <t>JBI Database Of Systematic Reviews And Implementation Reports</t>
  </si>
  <si>
    <t>Adult;*Attitude of Health Personnel;Clinical Protocols;Emergency Service, Hospital;Female;*Health Knowledge, Attitudes, Practice;Humans;Male;Middle Aged;*Personnel, Hospital/px Psychology];*Professional Role/px Psychology];*Substance-Related Disorders/px Psychology];Workplace/px Psychology];Young Adult</t>
  </si>
  <si>
    <t>CENTER CONDUCTING THE REVIEW: University of Manitoba and Queens Joanna Briggs Collaboration for Patient Safety: a Collaborating Center of the Joanna Briggs Institute REVIEW QUESTION/OBJECTIVE: The overall objective of this systematic review is to synthesize the available evidence on the relationship between new knowledge (gained through educational interventions about substance use/abuse) and health care providers' attitudes (measured by well validated instruments such as the Drug and Drug Problems Perceptions Questionnaire DDPPQ], the Short Alcohol and Alcohol Problems Perception Questionnaire SAAPPQ], etc.) towards patients with substance-related presentations to emergency departments.The specific review question is: Among emergency department staff, does the acquisition of knowledge (on educational interventions about substance use) impact attitudes in relation to their therapeutic role towards patients with substance-related presentations? BACKGROUND: Substance-related emergency department (ED) visits are common worldwide. Estimates of cases with alcohol involvement presenting to the ED range from 6% to 45%. Research conducted in the UK and Australia suggests that presentations related to illicit drug use are common and have increased in recent years.In 2012, an estimated six million Canadians met the criteria for substance use disorder; alcohol was the most common substance of abuse followed by cannabis and other drugs. The relationship between substance use and physical injury is well documented. The risk of mortality is increased by the side effects of substances on users involved in accidents and trauma. Not surprisingly, substance-related ED visits have been on the rise. Although only 3 to 10% of overall visits are typically related to a primary entrance complaint of drug or alcohol use or abuse, studies estimate that up to 35% of ED visits may be directly or indirectly substance related. These reasons may range from injury resulting from accidents or violence to substance-related illnesses.Health care providers (i.e., typically medical and nursing staff) have often perceived substance using patients as a challenging group to manage and as adding to the workload of already busy staff. The challenges of providing care to this patient population may be attributed to: (1) the chaotic ED environment, (2) health care providers' lack of knowledge, experience or skill in identifying and addressing substance misuse, (3) health care providers' lack of support structures such as sufficient time, staff and resources in working with this population, (4) health care providers' negative attitudes towards this patient population, (5) unpleasant tasks (i.e. intoxicated patients who urinate on themselves) associated with care delivery to this patient population, (6) patients' aggressive or violent behavior, and (7) patients' lack of motivation to change.Health care providers' attitudes towards patients with substance use problems have been found to affect health care delivery. This is of concern given the research findings that suggest they generally hold negative attitudes towards this patient population. For instance, in their study of nurses' attitudes towards patients who use illicit drugs, Ford, Bammer and Becker found that only 15% of nurses gained satisfaction from caring for these patients and only 30% were motivated to care for this patient group. Researchers who have examined substance using patients' experiences accessing health care also point to the suboptimal attitudes of health care providers towards this patient population. In the Neale, Tompkins and Sheard study of the barriers encountered by injecting drug users when accessing health and social care services, injecting drug users reported that they were often treated poorly or differently from other patients (i.e. sent home prematurely, not given appropriate aftercare or discharge), and made them feel not worthy of receiving help. Although the evidence relating to health care providers' attitudes toward substance using patients comes primarily from studies conducted in mental health or primary care settings, researchers who have examined ED staff attitudes towards this patient population paint a similar picture. For instance, Camilli &amp; Martin's review of ED nurses' attitudes toward intoxicated and psychiatric patients suggests that nurses are often frustrated when it comes to these patients as they are time consuming and offer repeat business to the ED. An ethnographic study of care delivery in an ED also points to the negative attitudes of ED staff towards this patient group. Henderson, Stacey and Dohan found that ED providers had interactions with substance using patients that may be considered excluding, rejecting or de-valuing, that is, in observations and interviews, providers often spoke of this patient population as abusing the system, overusing system resources, and not caring about their own health care. Other negative attitudes of ED staff towards substance using patients found in the</t>
  </si>
  <si>
    <t>J2: JBI Database System Rev Implement Rep; Clarke, Diana E Gonzalez, Miriam Pereira, Asha Boyce-Gaudreau, Krystal Waldman, Celeste Demczuk, Lisa; ID: 30</t>
  </si>
  <si>
    <t>2202-4433</t>
  </si>
  <si>
    <t>Clarke, Diana E. 1College of Nursing, Faculty of Health Sciences University of Manitoba, Canada2Manitoba Centre for Nursing and Health Research, University of Manitoba, Canada3Health Sciences Centre, Winnipeg, Canada4College of Nursing, Red River College, Canada5Elizabeth Dafoe Library, University of Manitoba, Canada.</t>
  </si>
  <si>
    <t>http://ovidsp.ovid.com/ovidweb.cgi?T=JS&amp;CSC=Y&amp;NEWS=N&amp;PAGE=fulltext&amp;D=medl&amp;AN=26571289</t>
  </si>
  <si>
    <t>https://dx.doi.org/10.11124/jbisrir-2015-2203</t>
  </si>
  <si>
    <t>MEDLINE; Ovid Technologies; The impact of knowledge on attitudes of emergency department staff towards patients with substance related presentations: a quantitative systematic review protocol</t>
  </si>
  <si>
    <t>Clarke,J. G.;Cyr,M. G.;Spaulding,A.</t>
  </si>
  <si>
    <t>Prisons: learning about women's health and substance abuse</t>
  </si>
  <si>
    <t>*Curriculum;Female;Humans;*Internship and Residency;*Prisoners;Rhode Island;*Substance-Related Disorders;*Women's Health</t>
  </si>
  <si>
    <t>J2: Acad Med; Clarke, J G Cyr, M G Spaulding, A; ID: 1040</t>
  </si>
  <si>
    <t>Clarke, J G. Department of Corrections, Division of General Medicine, Rhode Island Hospital, Providence 02903, USA. Jennifer_Clarke@Brown.edu</t>
  </si>
  <si>
    <t>http://ovidsp.ovid.com/ovidweb.cgi?T=JS&amp;CSC=Y&amp;NEWS=N&amp;PAGE=fulltext&amp;D=med4&amp;AN=10824824</t>
  </si>
  <si>
    <t>MEDLINE; Ovid Technologies; Prisons: learning about women's health and substance abuse</t>
  </si>
  <si>
    <t>Clay,S. W.</t>
  </si>
  <si>
    <t>Moving beyond myths of substance use disorders</t>
  </si>
  <si>
    <t>Attitude of Health Personnel;Education, Medical, Continuing;Education, Medical, Undergraduate;Humans;Substance-Related Disorders/et Etiology];*Substance-Related Disorders/pc Prevention &amp; Control]</t>
  </si>
  <si>
    <t>J2: J Am Osteopath Assoc; Clay, Steven W Comment on: J Am Osteopath Assoc. 2007 Sep;107(9 Suppl 5):ES27-38; PMID: 17908828; ID: 689</t>
  </si>
  <si>
    <t>1945-1997</t>
  </si>
  <si>
    <t>http://ovidsp.ovid.com/ovidweb.cgi?T=JS&amp;CSC=Y&amp;NEWS=N&amp;PAGE=fulltext&amp;D=med6&amp;AN=18443030</t>
  </si>
  <si>
    <t>MEDLINE; Ovid Technologies; Moving beyond myths of substance use disorders</t>
  </si>
  <si>
    <t>Cleland,J.;Lee,G.;Friend,J.;Osman,L.</t>
  </si>
  <si>
    <t>Teaching smoking cessation knowledge to second-year undergraduates</t>
  </si>
  <si>
    <t>Adolescent;Adult;*Education, Medical, Undergraduate/mt Methods];Female;Humans;Male;*Smoking Cessation</t>
  </si>
  <si>
    <t>Positive smoking cessation knowledge changes can be achieved through teaching. It is not known if, or how, increases in knowledge will contribute to actual interventions in practice. It is suggested that interventions to support medical undergraduates to develop the knowledge and skills required to support patients effectively in stopping smoking need to be part of an integrated programme of teaching clinical knowledge, communication and clinical skills, coupled with opportunities to practise in simulated situations.</t>
  </si>
  <si>
    <t>J2: Med Teach; Cleland, Jennifer Lee, Gillian Friend, James Osman, Leisl; ID: 837</t>
  </si>
  <si>
    <t>0142-159X</t>
  </si>
  <si>
    <t>Cleland, Jennifer. Department of General Practice and Primary Care, University of Aberdeen, UK. jen.cleland@abdn.ac.uk</t>
  </si>
  <si>
    <t>http://ovidsp.ovid.com/ovidweb.cgi?T=JS&amp;CSC=Y&amp;NEWS=N&amp;PAGE=fulltext&amp;D=med5&amp;AN=16332563</t>
  </si>
  <si>
    <t>MEDLINE; Ovid Technologies; Teaching smoking cessation knowledge to second-year undergraduates</t>
  </si>
  <si>
    <t>Clemence,A. J.;Balkoski,V. I.;Lee,M.;Poston,J.;Schaefer,B. M.;Maisonneuve,I. M.;Bromley,N.;Lukowitsky,M.;Pieterse,P.;Antonikowski,A.;Hamilton,C. J.;Hall,S.;Glick,S. D.</t>
  </si>
  <si>
    <t>Residents' experience of screening, brief intervention, and referral to treatment (SBIRT) as a clinical tool following practical application: A mixed-methods study</t>
  </si>
  <si>
    <t>Attitude of Health Personnel;Clinical Competence;*Education, Medical, Graduate/mt Methods];Humans;*Internship and Residency/sn Statistics &amp; Numerical Data];*Referral and Consultation;*Substance Abuse Detection;*Substance-Related Disorders/di Diagnosis];*Substance-Related Disorders/th Therapy]</t>
  </si>
  <si>
    <t>BACKGROUND: Screening, brief intervention, and referral to treatment (SBIRT), an evidence-based validated system for providing early detection and brief treatment of substance use disorders, has been widely used in the training of medical residents across specialties at a number of sites. This article investigates the effectiveness of SBIRT training during short-term follow-up at Albany Medical Center, one of the initial Substance Abuse and Mental Health Services Administration (SAMHSA) grantees. METHODS: Training outcomes were measured by training satisfaction following opportunities to apply SBIRT skills in clinical work, the rate at which these techniques were applied in clinical work, and the degree to which residents felt that the SBIRT training provided skills that were applicable to their practice. We examined differences in learning experience by postgraduate year and by program, and conducted a qualitative analysis in a convergent parallel mixed-methods design to elucidate barriers encountered by residents upon using SBIRT techniques in clinical practice. RESULTS: Residents remained highly satisfied with the training at 4-month follow-up, with 80.1% reporting that they had used SBIRT skills in their clinical work. Use of SBIRT techniques was high at 6-month follow-up as well, with 85.9% of residents reporting that they regularly screened their patients for substance use, 74.4% reporting that they had applied brief intervention techniques, and 78.2% indicating that SBIRT training had made them overall more effective in helping patients with substance use issues. Differences in application rates and satisfaction were found by specialty. Qualitative analyses indicated that residents encountered patient readiness and specific contextual factors, such as time constraints, externally imposed values, and clinical norms, as barriers to implementation. CONCLUSIONS: Despite encountering obstacles such as time constraints and patient readiness, residents utilized many of the skills they had learned during SBIRT training in clinical practice and reported finding these skills useful in their management of patients with substance use issues.</t>
  </si>
  <si>
    <t>J2: Subst Abus; Clemence, A Jill Balkoski, Victoria I Lee, Minsun Poston, John Schaefer, Bianca M Maisonneuve, Isabelle M Bromley, Nicole Lukowitsky, Mark Pieterse, Portia Antonikowski, Angela Hamilton, Christopher J Hall, Schekeva Glick, Stanley D; ID: 34</t>
  </si>
  <si>
    <t>Clemence, A Jill. a Department of Psychiatry , Albany Medical College , Albany , New York , USA. Balkoski, Victoria I. a Department of Psychiatry , Albany Medical College , Albany , New York , USA. Lee, Minsun. a Department of Psychiatry , Albany Medical College , Albany , New York , USA. Poston, John. a Department of Psychiatry , Albany Medical College , Albany , New York , USA. Schaefer, Bianca M. a Department of Psychiatry , Albany Medical College , Albany , New York , USA. Maisonneuve, Isabelle M. b Center for Neuropharmacology and Neuroscience, Albany Medical College , Albany , New York , USA. Bromley, Nicole. a Department of Psychiatry , Albany Medical College , Albany , New York , USA. Lukowitsky, Mark. a Department of Psychiatry , Albany Medical College , Albany , New York , USA. Pieterse, Portia. a Department of Psychiatry , Albany Medical College , Albany , New York , USA. Antonikowski, Angela. c Department of Pediatrics , Albany Medical College , Albany , New York , USA. Hamilton, Christopher J. a Department of Psychiatry , Albany Medical College , Albany , New York , USA. Hall, Schekeva. a Department of Psychiatry , Albany Medical College , Albany , New York , USA. Glick, Stanley D. b Center for Neuropharmacology and Neuroscience, Albany Medical College , Albany , New York , USA.</t>
  </si>
  <si>
    <t>http://ovidsp.ovid.com/ovidweb.cgi?T=JS&amp;CSC=Y&amp;NEWS=N&amp;PAGE=fulltext&amp;D=medc&amp;AN=26176589</t>
  </si>
  <si>
    <t>https://dx.doi.org/10.1080/08897077.2015.1064850</t>
  </si>
  <si>
    <t>MEDLINE; Ovid Technologies; Residents' experience of screening, brief intervention, and referral to treatment (SBIRT) as a clinical tool following practical application: A mixed-methods study</t>
  </si>
  <si>
    <t>Clemence,A. J.;Balkoski,V. I.;Schaefer,B. M.;Lee,M.;Bromley,N.;Maisonneuve,I. M.;Hamilton,C. J.;Lukowitsky,M. R.;Poston,J.;Hall,S.;Pieterse,P.;Antonikowski,A.;Glick,S. D.</t>
  </si>
  <si>
    <t>Multispecialty screening, brief intervention, and referral to treatment (SBIRT) training in an academic medical center: Resident training experience across specialties</t>
  </si>
  <si>
    <t>*Academic Medical Centers;Clinical Competence;Curriculum;*Education, Medical, Graduate/mt Methods];Female;Humans;*Internship and Residency;Male;Medicine;Program Evaluation;Psychotherapy, Brief/ed Education];*Referral and Consultation;Substance-Related Disorders/di Diagnosis];*Substance-Related Disorders/th Therapy]</t>
  </si>
  <si>
    <t>BACKGROUND: The Substance Abuse and Mental Health Services Administration (SAMHSA) has recently begun to fund programs that train medical residents on how to utilize an evidence-based validated system known as screening, brief intervention, and referral to treatment (SBIRT) for providing early detection and brief treatment of unhealthy substance use. This paper investigates training outcomes of multispecialty SBIRT training at one such program at Albany Medical Center (AMC), one of the initial SAMHSA grantees. METHODS: Training outcomes were measured across 3 domains of learning: trainee satisfaction, acquired knowledge, and perceived usefulness. The authors explored differences in learning experience by postgraduate year and by specialty. RESULTS: Overall, residents were highly satisfied with the training, and learning outcomes met objectives. Residents' ratings of usefulness did not vary by program year. However, the results indicate that relative to residents in other programs, residents in psychiatry and pediatrics found the training components significantly more useful, whereas emergency medicine residents found training components to have less utility. Residents who found the training relevant to their daily work were more satisfied and more receptive to SBIRT training overall, which may help explain difference scores by program. CONCLUSIONS: Residents were highly satisfied with SBIRT skills training, although ratings of usefulness varied by residency program. Specialization by program and on-site modeling by senior faculty may enhance trainee satisfaction and perceived usefulness.</t>
  </si>
  <si>
    <t>J2: Subst Abus; Clemence, A Jill Balkoski, Victoria I Schaefer, Bianca M Lee, Minsun Bromley, Nicole Maisonneuve, Isabelle M Hamilton, Christopher J Lukowitsky, Mark R Poston, John Hall, Schekeva Pieterse, Portia Antonikowski, Angela Glick, Stanley D; ID: 33</t>
  </si>
  <si>
    <t>Clemence, A Jill. a Department of Psychiatry , Albany Medical College , Albany , New York , USA. Balkoski, Victoria I. a Department of Psychiatry , Albany Medical College , Albany , New York , USA. Schaefer, Bianca M. a Department of Psychiatry , Albany Medical College , Albany , New York , USA. Lee, Minsun. a Department of Psychiatry , Albany Medical College , Albany , New York , USA. Bromley, Nicole. a Department of Psychiatry , Albany Medical College , Albany , New York , USA. Maisonneuve, Isabelle M. b Center for Neuropharmacology and Neuroscience, Albany Medical College , Albany , New York , USA. Hamilton, Christopher J. a Department of Psychiatry , Albany Medical College , Albany , New York , USA. Lukowitsky, Mark R. a Department of Psychiatry , Albany Medical College , Albany , New York , USA. Poston, John. a Department of Psychiatry , Albany Medical College , Albany , New York , USA. Hall, Schekeva. a Department of Psychiatry , Albany Medical College , Albany , New York , USA. Pieterse, Portia. a Department of Psychiatry , Albany Medical College , Albany , New York , USA. Antonikowski, Angela. c Department of Pediatrics , Albany Medical College , Albany , New York , USA. Glick, Stanley D. b Center for Neuropharmacology and Neuroscience, Albany Medical College , Albany , New York , USA.</t>
  </si>
  <si>
    <t>http://ovidsp.ovid.com/ovidweb.cgi?T=JS&amp;CSC=Y&amp;NEWS=N&amp;PAGE=fulltext&amp;D=medc&amp;AN=26308425</t>
  </si>
  <si>
    <t>https://dx.doi.org/10.1080/08897077.2015.1082953</t>
  </si>
  <si>
    <t>MEDLINE; Ovid Technologies; Multispecialty screening, brief intervention, and referral to treatment (SBIRT) training in an academic medical center: Resident training experience across specialties</t>
  </si>
  <si>
    <t>Clemente,M. L.;Alonso,J. A.;Cordoba,R.;Cortada,J.;Grandes,G.;Nebot,M.;Solbes,A.;Tormo,J.</t>
  </si>
  <si>
    <t>Description of the guidelines available in Spain for tackling tobacco dependency in primary care. SEMFYC (Spanish Society of Family and Community Medicine)]</t>
  </si>
  <si>
    <t>Family Practice;Humans;*Smoking Prevention;Spain;*Tobacco Use Disorder/pc Prevention &amp; Control]</t>
  </si>
  <si>
    <t>J2: Aten Primaria; Spanish Clemente, M L Alonso, J A Cordoba, R Cortada, J Grandes, G Nebot, M Solbes, A Tormo, J; OP: Descripcion de las guias disponibles en Espana para el abordaje del tabaquismo en atencion primaria; ID: 1065</t>
  </si>
  <si>
    <t>http://ovidsp.ovid.com/ovidweb.cgi?T=JS&amp;CSC=Y&amp;NEWS=N&amp;PAGE=fulltext&amp;D=med4&amp;AN=10432755</t>
  </si>
  <si>
    <t>MEDLINE; Ovid Technologies; [Description of the guidelines available in Spain for tackling tobacco dependency in primary care. SEMFYC (Spanish Society of Family and Community Medicine)]</t>
  </si>
  <si>
    <t>Clifford,B. J.</t>
  </si>
  <si>
    <t>Source: CLML. 5936:42091:19:175; Theory and practice in teaching medical students in an alcoholism clinic</t>
  </si>
  <si>
    <t>Quarterly journal of studies on alcohol</t>
  </si>
  <si>
    <t>Q.J.Stud.Alcohol</t>
  </si>
  <si>
    <t>*Alcoholism;*Ambulatory Care Facilities;*Education, Medical;Humans;*Students;*Students, Medical</t>
  </si>
  <si>
    <t>J2: Q J Stud Alcohol; CLIFFORD, B J; ID: 1032</t>
  </si>
  <si>
    <t>0033-5649</t>
  </si>
  <si>
    <t>http://ovidsp.ovid.com/ovidweb.cgi?T=JS&amp;CSC=Y&amp;NEWS=N&amp;PAGE=fulltext&amp;D=med1&amp;AN=13668050</t>
  </si>
  <si>
    <t>MEDLINE; Ovid Technologies; Theory and practice in teaching medical students in an alcoholism clinic</t>
  </si>
  <si>
    <t>Cluver,L. D.;Orkin,F. M.;Meinck,F.;Boyes,M. E.;Yakubovich,A. R.;Sherr,L.</t>
  </si>
  <si>
    <t>Can Social Protection Improve Sustainable Development Goals for Adolescent Health?</t>
  </si>
  <si>
    <t>e0164808</t>
  </si>
  <si>
    <t>Adolescent;*Adolescent Health;Child;Demography;Female;HIV Infections/pc Prevention &amp; Control];Humans;Logistic Models;Longitudinal Studies;Male;Mental Health/sn Statistics &amp; Numerical Data];Odds Ratio;Poverty;Risk Factors;Sexual Behavior/sn Statistics &amp; Numerical Data];*Social Support;Substance-Related Disorders/ep Epidemiology];Violence/sn Statistics &amp; Numerical Data]</t>
  </si>
  <si>
    <t>BACKGROUND: The first policy action outlined in the Sustainable Development Goals (SDGs) is the implementation of national social protection systems. This study assesses whether social protection provision can impact 17 indicators of five key health-related SDG goals amongst adolescents in South Africa. METHODS: We conducted a longitudinal survey of adolescents (10-18 years) between 2009 and 2012. Census areas were randomly selected in two urban and two rural health districts in two South African provinces, including all homes with a resident adolescent. Household receipt of social protection in the form of 'cash' (economic provision) and 'care' (psychosocial support) social protection, and health-related indicators within five SDG goals were assessed. Gender-disaggregated analyses included multivariate logistic regression, testing for interactions between social protection and socio-demographic covariates, and marginal effects models. FINDINGS: Social protection was associated with significant adolescent risk reductions in 12 of 17 gender-disaggregated SDG indicators, spanning SDG 2 (hunger); SDG 3 (AIDS, tuberculosis, mental health and substance abuse); SDG 4 (educational access); SDG 5 (sexual exploitation, sexual and reproductive health); and SDG 16 (violence perpetration). For six of 17 indicators, combined cash plus care showed enhanced risk reduction effects. Two interactions showed that effects of care varied by poverty level for boys' hunger and girls' school dropout. For tuberculosis, and for boys' sexual exploitation and girls' mental health and violence perpetration, no effects were found and more targeted or creative means will be needed to reach adolescents on these challenging burdens. INTERPRETATION: National social protection systems are not a panacea, but findings suggest that they have multiple and synergistic positive associations with adolescent health outcomes. Such systems may help us rise to the challenges of health and sustainable development.</t>
  </si>
  <si>
    <t>J2: PLoS ONE; Cluver, Lucie D Orkin, F Mark Meinck, Franziska Boyes, Mark E Yakubovich, Alexa R Sherr, Lorraine; ID: 89</t>
  </si>
  <si>
    <t>Cluver, Lucie D. Centre for Evidence-Based Intervention, Department of Social Policy &amp; Social Intervention, University of Oxford, Oxford, United Kingdom. Cluver, Lucie D. Department of Psychiatry and Mental Health, University of Cape Town, Cape Town, South Africa. Orkin, F Mark. DPHRU, School of Clinical Medicine, and DST-NRF Centre of Excellence in Human Development, University of the Witwatersrand, Johannesburg, South Africa. Meinck, Franziska. Centre for Evidence-Based Intervention, Department of Social Policy &amp; Social Intervention, University of Oxford, Oxford, United Kingdom. Boyes, Mark E. Centre for Evidence-Based Intervention, Department of Social Policy &amp; Social Intervention, University of Oxford, Oxford, United Kingdom. Boyes, Mark E. Health Psychology and Behavioural Medicine Research Group, School of Psychology and Speech Pathology, Curtin University, Perth, Australia. Yakubovich, Alexa R. Centre for Evidence-Based Intervention, Department of Social Policy &amp; Social Intervention, University of Oxford, Oxford, United Kingdom. Sherr, Lorraine. Department of Infection &amp; Population Health, University College London, London, United Kingdom.</t>
  </si>
  <si>
    <t>http://ovidsp.ovid.com/ovidweb.cgi?T=JS&amp;CSC=Y&amp;NEWS=N&amp;PAGE=fulltext&amp;D=med8&amp;AN=27749932</t>
  </si>
  <si>
    <t>https://dx.doi.org/10.1371/journal.pone.0164808</t>
  </si>
  <si>
    <t>MEDLINE; Ovid Technologies; Can Social Protection Improve Sustainable Development Goals for Adolescent Health?</t>
  </si>
  <si>
    <t>Cochella,S.;Bateman,K.</t>
  </si>
  <si>
    <t>Provider detailing: an intervention to decrease prescription opioid deaths in Utah</t>
  </si>
  <si>
    <t>12 Suppl 2</t>
  </si>
  <si>
    <t>*Analgesics, Opioid/po Poisoning];*Drug Overdose/mo Mortality];*Drug Overdose/pc Prevention &amp; Control];Drug Prescriptions;*Education, Medical, Continuing;Humans;*Practice Patterns, Physicians'/sn Statistics &amp; Numerical Data];*Prescription Drugs/po Poisoning];Utah;0 (Analgesics, Opioid);0 (Prescription Drugs)</t>
  </si>
  <si>
    <t>BACKGROUND: Utah undertook a multipronged effort to reverse an epidemic of deaths among patients taking prescription opioids. This article describes the provider detailing portion of the effort. METHODS: Presentations highlighting six recommended prescribing practices were developed and presented to health care workers. Participants were encouraged to utilize the state prescription database and to complete a series of surveys assessing confidence and behavior changes at 0, 1, and 6 months post-presentation. Continuing medical education credits incentivized participation. RESULTS: Utah's medication-related overdose deaths dropped 14.0% in 2008 compared with 2007 following program implementation. A total of 581 physicians and numerous nonphysician health care workers were reached during 46 presentations. Follow-up surveys regarding the degree of adoption of practice changes were completed by 366 participants at 0 months, 82 participants at 1 month, and 29 participants at 6 months. Combined results for all three evaluations showed that 60-80% of responding providers reported no longer prescribing long-acting opioids for acute pain or with sedatives; 50% noted using Utah's controlled substances database during patient care and utilizing lower starting doses and slower escalations; and 30-50% reported obtaining EKGs and sleep studies on appropriate patients, using patient education tools, and implementing Utah's prescribing guidelines. CONCLUSIONS: Provider detailing was associated with a decrease in Utah's prescription opioid death rate and improvements in provider self-reported prescribing behaviors. Other simultaneous interventions may have contributed to the decline in death rates. This intervention's effect was limited by short-term funding.</t>
  </si>
  <si>
    <t>J2: Pain Med; Cochella, Susan Bateman, Kim; ID: 499</t>
  </si>
  <si>
    <t>Cochella, Susan. Department of Family and Preventive Medicine, University of Utah, Salt Lake City, Utah 84108, USA. susan.cochella@hsc.utah.edu</t>
  </si>
  <si>
    <t>http://ovidsp.ovid.com/ovidweb.cgi?T=JS&amp;CSC=Y&amp;NEWS=N&amp;PAGE=fulltext&amp;D=med7&amp;AN=21668760</t>
  </si>
  <si>
    <t>https://dx.doi.org/10.1111/j.1526-4637.2011.01125.x</t>
  </si>
  <si>
    <t>MEDLINE; Ovid Technologies; Provider detailing: an intervention to decrease prescription opioid deaths in Utah</t>
  </si>
  <si>
    <t>Coggan,P.;Davis,A.;Rogers,J.</t>
  </si>
  <si>
    <t>Teaching alcoholism to family medicine students</t>
  </si>
  <si>
    <t>Alcoholics Anonymous;Alcoholism/di Diagnosis];Alcoholism/th Therapy];*Alcoholism;Attitude of Health Personnel;Community Health Services;Curriculum;*Education, Medical, Undergraduate;*Family Practice/ed Education];Female;Humans;Male;Medical History Taking</t>
  </si>
  <si>
    <t>Alcoholism is a major health problem in the United States, yet it has not received high priority in medical education. Although it affects many patients who attend the offices of family physicians, it frequently remains unrecognized. It is therefore an appropriate topic for a family medicine course and has been integrated into a third year clerkship at the University of Washington. Students are taught basic diagnostic and management skills by sensitizing them to the magnitude of the problem and addressing some professional attitudinal blocks. history taking skills emphasizing early recognition and intervention are stressed, and the role of community resources in treatment is demonstrated through discussion and site visits.</t>
  </si>
  <si>
    <t>J2: J; Coggan, P Davis, A Rogers, J; ID: 1501</t>
  </si>
  <si>
    <t>http://ovidsp.ovid.com/ovidweb.cgi?T=JS&amp;CSC=Y&amp;NEWS=N&amp;PAGE=fulltext&amp;D=med2&amp;AN=7310352</t>
  </si>
  <si>
    <t>MEDLINE; Ovid Technologies; Teaching alcoholism to family medicine students</t>
  </si>
  <si>
    <t>Coggan,P. G.;Davis,A. K.;Hadac,R.</t>
  </si>
  <si>
    <t>Alcoholism curriculum development: an examination of the process</t>
  </si>
  <si>
    <t>*Alcoholism;Clinical Clerkship;*Curriculum;*Education, Medical, Undergraduate;*Family Practice/ed Education];Humans;Pilot Projects;Washington</t>
  </si>
  <si>
    <t>Alcoholism is one of several topics that may be integrated into family medicine clerkship teaching. This article focuses on the process of curriculum development in alcoholism. The process is traced from its beginnings in a third-year clerkship to its integration into the medical school curriculum and other areas of medical education. Strengths and pitfalls in this project are discussed. Enlisting community support and field testing newly developed strategies are emphasized as successful methods. Less successful in this project, though equally important, are faculty development and long-term evaluation. Recommendations for curriculum development in similar projects are made.</t>
  </si>
  <si>
    <t>J2: J; Coggan, P G Davis, A K Hadac, R; ID: 1472</t>
  </si>
  <si>
    <t>http://ovidsp.ovid.com/ovidweb.cgi?T=JS&amp;CSC=Y&amp;NEWS=N&amp;PAGE=fulltext&amp;D=med2&amp;AN=6481322</t>
  </si>
  <si>
    <t>MEDLINE; Ovid Technologies; Alcoholism curriculum development: an examination of the process</t>
  </si>
  <si>
    <t>Cohen,M. A.;Aladjem,A.;Horton,A.;Lima,J.;Palacios,A.;Hernandez,I.;Lefer,J.;Mehta,P.</t>
  </si>
  <si>
    <t>How can we combat excess mortality in Harlem: a one day survey of substance abuse in adult general care</t>
  </si>
  <si>
    <t>*Acquired Immunodeficiency Syndrome/ep Epidemiology];Acquired Immunodeficiency Syndrome/mo Mortality];Alcoholism/ep Epidemiology];Comprehensive Health Care/og Organization &amp; Administration];Female;*Hospitalization/sn Statistics &amp; Numerical Data];*Hospitals, Municipal/sn Statistics &amp; Numerical Data];Humans;Male;New York City/ep Epidemiology];Prevalence;*Substance-Related Disorders/ep Epidemiology];Substance-Related Disorders/mo Mortality]</t>
  </si>
  <si>
    <t>Our hypothesis was that a one-day survey of all patients hospitalized on Adult General Care would demonstrate a need for expanded addiction services in a municipal teaching hospital in East Harlem. We interviewed 276 patients in Adult General Care on February 16, 1990 to assess whether they abused drugs or alcohol or were hospitalized for reasons related to substance use. Of the 276 patients interviewed, 18 percent used alcohol alone, 14 percent used drugs alone, 17 percent used both drugs and alcohol and 2 percent were hospitalized for reasons related to substance use. One hundred forty or 51 percent of all patients were admitted because of substance use and its sequelae or as a result of violence associated with the buying or selling of drugs. The percentage was highest on one medical floor where 89 percent of the patients were substance users and on medical floors in general where the average was 60 percent. Forty patients or 14 percent were known to be HIV seropositive. Given the high mortality in Harlem, the results of our one-day survey indicate a need for expanded addiction services.</t>
  </si>
  <si>
    <t>J2: Int J Psychiatry Med; Cohen, M A Aladjem, A Horton, A Lima, J Palacios, A Hernandez, I Lefer, J Mehta, P; ID: 1296</t>
  </si>
  <si>
    <t>Cohen, M A. Metropolitan Hospital Center, New York Medical College, New York.</t>
  </si>
  <si>
    <t>http://ovidsp.ovid.com/ovidweb.cgi?T=JS&amp;CSC=Y&amp;NEWS=N&amp;PAGE=fulltext&amp;D=med3&amp;AN=1774127</t>
  </si>
  <si>
    <t>MEDLINE; Ovid Technologies; How can we combat excess mortality in Harlem: a one day survey of substance abuse in adult general care</t>
  </si>
  <si>
    <t>Colburn,J. L.;Jasinski,D. R.;Rastegar,D. A.</t>
  </si>
  <si>
    <t>Long-term opioid therapy, aberrant behaviors, and substance misuse: comparison of patients treated by resident and attending physicians in a general medical clinic</t>
  </si>
  <si>
    <t>Adult;Age Factors;Aged;*Analgesics, Opioid/ae Adverse Effects];Analysis of Variance;*Behavior/de Drug Effects];Drug Overdose;Drug Prescriptions;Female;General Practice;Humans;Insurance, Health;Internal Medicine;*Internship and Residency;Long-Term Care;Male;Middle Aged;Odds Ratio;*Opioid-Related Disorders/ep Epidemiology];Opioid-Related Disorders/th Therapy];Pain Management;*Physicians;Prospective Studies;Sex Factors;Substance Abuse Detection;0 (Analgesics, Opioid)</t>
  </si>
  <si>
    <t>OBJECTIVE: To compare rates of opioid prescribing, aberrant behaviors, and indicators of substance misuse in patients prescribed long-term opioids by resident physicians or attending physicians in a general internal medicine practice. DESIGN: Medical records of 333 patients who were prescribed opioids for at least three consecutive months were reviewed. Aberrant behaviors over a 2-year period were documented, including reporting lost or stolen medications or receiving opioids from more than one provider. Indicators of substance misuse were also recorded, including positive urine drug testing for illicit substances, addiction treatment, overdose, and altering prescriptions. RESULTS: An estimated 13.6 percent of the patients followed by residents had been prescribed opioids for three or more months; this was significantly higher than the rate for attendings (5.9 percent, p &lt; 0.001). Patients followed by residents were more likely to have reported lost or stolen prescriptions or medication (25.7 percent vs 12.2 percent, p = 0.03) or to have received opioids from another provider (17.8 percent vs 7.6 percent, p = 0.008); they were also more likely to exhibit an indicator of substance misuse (24.8 percent vs 7.6 percent, p &lt; 0.001). However, in multivariate analyses, aberrant behaviors and indicators of substance misuse were not significantly associated with having a resident physician. CONCLUSIONS: Resident physicians at our institution are following a disproportionate number of patients on long-term opioids, many of whom exhibit aberrant behaviors and indicators of substance misuse. This underscores a need for better resident training and supervision to provide effective and safe care for patients with chronic pain.</t>
  </si>
  <si>
    <t>J2: J Opioid Manag; Colburn, Jessica L Jasinski, Donald R Rastegar, Darius A jom.2012.0111; ID: 441</t>
  </si>
  <si>
    <t>Colburn, Jessica L. Johns Hopkins University School of Medicine, Baltimore, MD, USA.</t>
  </si>
  <si>
    <t>http://ovidsp.ovid.com/ovidweb.cgi?T=JS&amp;CSC=Y&amp;NEWS=N&amp;PAGE=fulltext&amp;D=med7&amp;AN=22798175</t>
  </si>
  <si>
    <t>https://dx.doi.org/10.5055/jom.2012.0111</t>
  </si>
  <si>
    <t>MEDLINE; Ovid Technologies; Long-term opioid therapy, aberrant behaviors, and substance misuse: comparison of patients treated by resident and attending physicians in a general medical clinic</t>
  </si>
  <si>
    <t>Cole,B.;Clark,D. C.;Seale,J. P.;Shellenberger,S.;Lyme,A.;Johnson,J. A.;Chhabria,A.</t>
  </si>
  <si>
    <t>Reinventing the reel: an innovative approach to resident skill-building in motivational interviewing for brief intervention</t>
  </si>
  <si>
    <t>*Alcoholism;*Clinical Competence;Disease Management;*Family Practice/ed Education];Feedback, Psychological;Humans;*Internship and Residency/mt Methods];*Interviews as Topic/mt Methods];*Motivation;*Psychotherapy, Brief/ed Education];*Referral and Consultation;*Substance Abuse Detection</t>
  </si>
  <si>
    <t>To enhance the skills of primary care residents in addressing substance misuse, residency screening, brief intervention, and referral to treatment (SBIRT) programs increasingly offer motivational interviewing (MI) training, but seldom include feedback and coaching. This innovative 2-round "Virginia Reel" approach, supplementing 3 hours of basic MI instruction, was designed to teach and coach residents to use MI while providing ongoing medical care. SBIRT/MI-competent facilitators served as both trainers and actors at 8 carefully sequenced Objective Structured Clinical Examination (OSCE) stations, providing instruction, role-play practice, and feedback on 17 microskills in 2 successive clinical "visits"/rounds addressing alcohol misuse and diabetes management. Evaluation included OSCE checklists, overall competency assessments, and responses to open-ended questions. Three residents showed improvement between rounds. Resident evaluations were strongly positive, identifying practice of MI skills and receipt of coaching and feedback from MI experts as particularly valuable. Further study is needed to confirm effectiveness of the approach and explore the impact of fewer OSCE stations of longer duration.</t>
  </si>
  <si>
    <t>J2: Subst Abus; Cole, Bonnie Clark, Denice Crowe Seale, J Paul Shellenberger, Sylvia Lyme, Alan Johnson, J Aaron Chhabria, Aruna; ID: 417</t>
  </si>
  <si>
    <t>Cole, Bonnie. Department of Family Medicine, Medical Center of Central Georgia and Mercer University School of Medicine, Macon, Georgia, USA. cole.bonnie@mccg.org</t>
  </si>
  <si>
    <t>http://ovidsp.ovid.com/ovidweb.cgi?T=JS&amp;CSC=Y&amp;NEWS=N&amp;PAGE=fulltext&amp;D=med7&amp;AN=22738005</t>
  </si>
  <si>
    <t>https://dx.doi.org/10.1080/08897077.2011.639696</t>
  </si>
  <si>
    <t>MEDLINE; Ovid Technologies; Reinventing the reel: an innovative approach to resident skill-building in motivational interviewing for brief intervention</t>
  </si>
  <si>
    <t>Coles,D. L.</t>
  </si>
  <si>
    <t>The program at Howard University</t>
  </si>
  <si>
    <t>*Alcoholism/th Therapy];Behavioral Sciences/ed Education];Comprehensive Health Care;Curriculum;District of Columbia;Health Planning;Hospitals, Teaching;Humans;National Institutes of Health (U.S.);Organization and Administration;Research Support as Topic;*Schools, Medical;Training Support;United States</t>
  </si>
  <si>
    <t>J2: Ann N Y Acad Sci; Coles, D L; ID: 1599</t>
  </si>
  <si>
    <t>http://ovidsp.ovid.com/ovidweb.cgi?T=JS&amp;CSC=Y&amp;NEWS=N&amp;PAGE=fulltext&amp;D=med1&amp;AN=5282650</t>
  </si>
  <si>
    <t>MEDLINE; Ovid Technologies; The program at Howard University</t>
  </si>
  <si>
    <t>Collins,G. B.;McAllister,M. S.;Jensen,M.;Gooden,T. A.</t>
  </si>
  <si>
    <t>Chemical dependency treatment outcomes of residents in anesthesiology: results of a survey</t>
  </si>
  <si>
    <t>*Anesthesiology;Humans;*Internship and Residency;Physician Impairment;Retrospective Studies;*Substance-Related Disorders/th Therapy];Treatment Outcome</t>
  </si>
  <si>
    <t>Substance abuse is a potentially lethal occupational hazard confronting anesthesiology residents. We present the results of a survey sent to all United States anesthesiology training programs regarding experience with and outcomes of chemically dependent residents from 1991 to 2001. The response rate was 66%. Eighty percent reported experience with impaired residents and 19% reported at least one pretreatment fatality. Despite this familiarity, few programs required pre-employment drug testing or used substance abuse screening tools during interviews. The majority of impaired residents attempted reentry into anesthesiology after treatment. Only 46% of these were successful in completion of anesthesiology residency. Eventually, 40% of residents who underwent treatment and returned to medical training entered another specialty. The mortality rate for the remaining anesthesiology residents was 9%. Long-term outcome was reported for 93% of all treated residents. Of these, 56% were successful in some specialty of medicine at the end of the survey period. We hypothesize that specialty change afforded substantial improvement in the overall success rate and avoided significant mortality. Redirection of rehabilitated residents into lower-risk specialties may allow a larger number to achieve successful medical careers.</t>
  </si>
  <si>
    <t>J2: Anesth Analg; Collins, Gregory B McAllister, Mark S Jensen, Mark Gooden, Timothy A Comment in: Anesth Analg. 2006 Dec;103(6):1588; author reply 1588-9; PMID: 17122254 Comment in: Anesth Analg. 2006 Aug;103(2):513-5; author reply 515; PMID: 16861473; ID: 850</t>
  </si>
  <si>
    <t>Collins, Gregory B. Alcohol and Drug Recovery Center, Department of Psychiatry and Psychology, Cleveland Clinic Foundation/P48, 9500 Euclid Avenue, Cleveland, OH 44195, USA. colling@ccf.org</t>
  </si>
  <si>
    <t>http://ovidsp.ovid.com/ovidweb.cgi?T=JS&amp;CSC=Y&amp;NEWS=N&amp;PAGE=fulltext&amp;D=med5&amp;AN=16244010</t>
  </si>
  <si>
    <t>MEDLINE; Ovid Technologies; Chemical dependency treatment outcomes of residents in anesthesiology: results of a survey</t>
  </si>
  <si>
    <t>Collins,R. L.;D'Angelo,S.;Stearns,S. D.;Campbell,L. R.</t>
  </si>
  <si>
    <t>Training pediatric residents to provide smoking cessation counseling to parents</t>
  </si>
  <si>
    <t>Thescientificworldjournal</t>
  </si>
  <si>
    <t>Adult;*Counseling;Demography;Female;Health Knowledge, Attitudes, Practice;Humans;*Internship and Residency;Male;*Parents;Patient Education as Topic;*Pediatrics/ed Education];*Smoking Cessation</t>
  </si>
  <si>
    <t>The objective was to assess the effectiveness of a smoking cessation educational program on pediatric residents' counseling. Residents were randomly selected to receive the intervention. Residents who were trained were compared to untrained residents. Self-reported surveys and patient chart reviews were used. Measures included changes in self-reported knowledge, attitudes and behaviors of residents, and differences in chart documentation and caretaker-reported physician counseling behaviors. The intervention was multidimensional including a didactic presentation, a problem-solving session, clinic reminders, and provision of patient education materials. Results showed that residents who were trained were more likely to ask about tobacco use in their patients' households. They were also more likely to advise caretakers to cut down on or to quit smoking, to help set a quit date, and to follow up on the advice given at a subsequent visit. Trained residents were more likely to record a history of passive tobacco exposure in the medical record. These residents also reported improved confidence in their counseling skills and documented that they had done such counseling more often than did untrained residents. Caretakers of pediatric patients who smoke seen by intervention residents were more likely to report that they had received tobacco counseling. Following this intervention, pediatric residents significantly improved their behaviors, attitudes, and confidence in providing smoking cessation counseling to parents of their pediatric patients.</t>
  </si>
  <si>
    <t>J2: ScientificWorldJournal; Collins, Rebecca L D'Angelo, Sandy Stearns, Sarah D Campbell, Lynn R; ID: 832</t>
  </si>
  <si>
    <t>1537-744X</t>
  </si>
  <si>
    <t>Collins, Rebecca L. Department of Pediatrics, University of Kentucky Chandler Medical Center, Lexington, KY, USA. rlcoll2@uky.edu</t>
  </si>
  <si>
    <t>http://ovidsp.ovid.com/ovidweb.cgi?T=JS&amp;CSC=Y&amp;NEWS=N&amp;PAGE=fulltext&amp;D=med5&amp;AN=15915295</t>
  </si>
  <si>
    <t>MEDLINE; Ovid Technologies; Training pediatric residents to provide smoking cessation counseling to parents</t>
  </si>
  <si>
    <t>Compton,M. T.</t>
  </si>
  <si>
    <t>Incorporating the prevention paradigm into administrative psychiatry</t>
  </si>
  <si>
    <t>Psychiatric Clinics of North America</t>
  </si>
  <si>
    <t>Psychiatr.Clin.North Am.</t>
  </si>
  <si>
    <t>*Alcoholism/pc Prevention &amp; Control];Community Mental Health Services/og Organization &amp; Administration];Cooperative Behavior;Curriculum/td Trends];Education, Medical, Graduate/og Organization &amp; Administration];Forecasting;*Health Promotion/og Organization &amp; Administration];Humans;Mass Screening/og Organization &amp; Administration];*Mental Disorders/pc Prevention &amp; Control];*Mental Health Services/og Organization &amp; Administration];*Primary Prevention/og Organization &amp; Administration];Psychiatry/ed Education];*Psychiatry/og Organization &amp; Administration];Research;*Substance-Related Disorders/pc Prevention &amp; Control];United States</t>
  </si>
  <si>
    <t>This overview describes the application of primary, secondary, and tertiary prevention-as well as universal, selective, and indicated preventive interventions-to psychiatric and substance use disorders. Ways in which the psychiatrist with a clearly defined administrative role, such as the medical director of a program, service, agency, or organization, or a psychiatrist in some other directorial role (eg, director of education or clinical program director), can apply the prevention paradigm are described. Specifically, a prevention orientation is relevant to administrative psychiatry in the domains of service delivery, education and training, research, and community consultation and advocacy.</t>
  </si>
  <si>
    <t>J2: Psychiatr Clin North Am; Compton, Michael T; ID: 702</t>
  </si>
  <si>
    <t>1558-3147</t>
  </si>
  <si>
    <t>Compton, Michael T. Department of Psychiatry and Behavioral Sciences, Emory University School of Medicine, Atlanta, GA, USA. mcompto@emory.edu</t>
  </si>
  <si>
    <t>http://ovidsp.ovid.com/ovidweb.cgi?T=JS&amp;CSC=Y&amp;NEWS=N&amp;PAGE=fulltext&amp;D=med6&amp;AN=18295039</t>
  </si>
  <si>
    <t>https://dx.doi.org/10.1016/j.psc.2007.11.004</t>
  </si>
  <si>
    <t>MEDLINE; Ovid Technologies; Incorporating the prevention paradigm into administrative psychiatry</t>
  </si>
  <si>
    <t>Compton,P.;Darakjian,J.;Miotto,K.</t>
  </si>
  <si>
    <t>Screening for addiction in patients with chronic pain and "problematic" substance use: evaluation of a pilot assessment tool</t>
  </si>
  <si>
    <t>Adult;Aged;*Analgesics, Opioid/ae Adverse Effects];Chronic Disease;Evaluation Studies as Topic;Female;Humans;Male;*Mass Screening/mt Methods];Middle Aged;*Opioid-Related Disorders/di Diagnosis];*Pain/dt Drug Therapy];Pilot Projects;Surveys and Questionnaires;0 (Analgesics, Opioid)</t>
  </si>
  <si>
    <t>Assessing for the presence of addiction in the chronic pain patient receiving chronic opioid analgesia is a challenging clinical task. This paper presents a recently developed screening tool for addictive disease in chronic pain patients, and pilot efficacy data describing its ability to do so. In a small sample of patients (n = 52) referred from a multidisciplinary pain center for "problematic" medication use, responses to the screening questionnaire were compared between patients who met combined diagnostic criteria for a substance use disorder and those who did not, as assessed by a trained addiction medicine specialist. Responses of addicted patients significantly differed from those of nonaddicted patients on multiple screening items, with the two groups easily differentiated by total questionnaire score. Further, three key screening indicators were identified as excellent predictors for the presence of addictive disease in this sample of chronic pain patients.</t>
  </si>
  <si>
    <t>J2: J Pain Symptom Manage; Compton, P Darakjian, J Miotto, K; ID: 1085</t>
  </si>
  <si>
    <t>0885-3924</t>
  </si>
  <si>
    <t>Compton, P. UCLA School of Nursing 90095-6918, USA.</t>
  </si>
  <si>
    <t>http://ovidsp.ovid.com/ovidweb.cgi?T=JS&amp;CSC=Y&amp;NEWS=N&amp;PAGE=fulltext&amp;D=med4&amp;AN=9879160</t>
  </si>
  <si>
    <t>MEDLINE; Ovid Technologies; Screening for addiction in patients with chronic pain and "problematic" substance use: evaluation of a pilot assessment tool</t>
  </si>
  <si>
    <t>Conard,S.;Hughes,P.;Baldwin,D. C., J.;Achenbach,K. E.;Sheehan,D. V.</t>
  </si>
  <si>
    <t>Substance use by fourth-year students at 13 U.S. medical schools</t>
  </si>
  <si>
    <t>Adult;Alcohol Drinking;Attitude of Health Personnel;Cocaine;Female;Humans;Male;Marijuana Smoking/ep Epidemiology];Sampling Studies;Schools, Medical;Smoking/ep Epidemiology];Students, Medical/px Psychology];*Students, Medical;*Substance-Related Disorders/ep Epidemiology];Substance-Related Disorders/px Psychology];Surveys and Questionnaires;United States;I5Y540LHVR (Cocaine)</t>
  </si>
  <si>
    <t>Fourth-year medical students at 13 medical schools in different regions of the United States received an anonymous questionnaire designed to examine their current and prior use of 11 substances and their attitudes toward substance use among physicians. Of 1,427 questionnaires distributed, 41 percent were returned. The questionnaire and distribution method were derived from an ongoing survey on drug use in order to permit comparison of the medical students with a national sample of age- and sex-matched cohorts. The rates of substance use during the 30 days preceding receipt of the questionnaire were: alcohol, 87.8 percent; marijuana, 17.3 percent; cigarettes, 9.0 percent; cocaine, 5.6 percent; heroin, 0.0 percent; other opiates, 0.9 percent; LSD, 0.2 percent; other psychedelics, 0.5 percent; barbiturates, 0.5 percent; tranquilizers, 2.2 percent; and amphetamines, 1.2 percent. Compared with their age and sex cohorts nationally, the medical students reported less use of marijuana, cocaine, cigarettes, LSD, barbiturates, and amphetamines. However, their use of other opiates was approximately the same and their use of tranquilizers and alcohol was slightly higher than that of the other cohorts. Data on their sources of knowledge about drug abuse indicate the need for greater attention to this issue in the medical curriculum.</t>
  </si>
  <si>
    <t>J2: J Med Educ; Conard, S Hughes, P Baldwin, D C Jr Achenbach, K E Sheehan, D V; ID: 1405</t>
  </si>
  <si>
    <t>Conard, S. Center for the Study of Impaired Professionals, University of South Florida, Tampa.</t>
  </si>
  <si>
    <t>http://ovidsp.ovid.com/ovidweb.cgi?T=JS&amp;CSC=Y&amp;NEWS=N&amp;PAGE=fulltext&amp;D=med3&amp;AN=3172154</t>
  </si>
  <si>
    <t>MEDLINE; Ovid Technologies; Substance use by fourth-year students at 13 U.S. medical schools</t>
  </si>
  <si>
    <t>Conard,S. E.;Hughes,P.;Baldwin,D.;Achenbach,K.;Sheehan,D.</t>
  </si>
  <si>
    <t>Substance use and the resident physician: a national study</t>
  </si>
  <si>
    <t>Cross-Sectional Studies;Education, Medical;Humans;*Internship and Residency;*Physician Impairment;*Psychotropic Drugs;Specialization;*Substance-Related Disorders/ep Epidemiology];United States;0 (Psychotropic Drugs)</t>
  </si>
  <si>
    <t>A national study of substance use and abuse among resident physicians indicates that except for tranquilizers and barbiturates most illicit use of drugs began prior to medical school and residency. Relatively few residents were aware of substance abuse policies or educational programs in their institutions.</t>
  </si>
  <si>
    <t>J2: Res Med Educ; Conard, S E Hughes, P Baldwin, D Achenbach, K Sheehan, D; ID: 1399</t>
  </si>
  <si>
    <t>Conard, S E. St. Paul Family Practice Center, Dallas, Tx.</t>
  </si>
  <si>
    <t>http://ovidsp.ovid.com/ovidweb.cgi?T=JS&amp;CSC=Y&amp;NEWS=N&amp;PAGE=fulltext&amp;D=med3&amp;AN=3265295</t>
  </si>
  <si>
    <t>MEDLINE; Ovid Technologies; Substance use and the resident physician: a national study</t>
  </si>
  <si>
    <t>Confusione,M.;Jaffe,A.;Rosen,M. G.</t>
  </si>
  <si>
    <t>Drug abuse training as part of a family medicine clerkship</t>
  </si>
  <si>
    <t>Education, Medical;*Family Practice/ed Education];Humans;*Substance-Related Disorders/ed Education]</t>
  </si>
  <si>
    <t>J2: J Med Educ; Confusione, M Jaffe, A Rosen, M G; ID: 1497</t>
  </si>
  <si>
    <t>http://ovidsp.ovid.com/ovidweb.cgi?T=JS&amp;CSC=Y&amp;NEWS=N&amp;PAGE=fulltext&amp;D=med2&amp;AN=7200147</t>
  </si>
  <si>
    <t>MEDLINE; Ovid Technologies; Drug abuse training as part of a family medicine clerkship</t>
  </si>
  <si>
    <t>Training in drug abuse in a family medicine residency</t>
  </si>
  <si>
    <t>Curriculum;*Family Practice/ed Education];Humans;Inactivation, Metabolic;*Internship and Residency;*Opium;*Substance-Related Disorders/di Diagnosis];Substance-Related Disorders/th Therapy];8008-60-4 (Opium)</t>
  </si>
  <si>
    <t>J2: J; Confusione, M Jaffe, A Rosen, M G; ID: 1494</t>
  </si>
  <si>
    <t>http://ovidsp.ovid.com/ovidweb.cgi?T=JS&amp;CSC=Y&amp;NEWS=N&amp;PAGE=fulltext&amp;D=med2&amp;AN=7086379</t>
  </si>
  <si>
    <t>MEDLINE; Ovid Technologies; Training in drug abuse in a family medicine residency</t>
  </si>
  <si>
    <t>Confusione,M.;Leonard,K.;Jaffe,A.</t>
  </si>
  <si>
    <t>Alcoholism training in a family medicine residency</t>
  </si>
  <si>
    <t>*Alcoholism;Attitude of Health Personnel;*Family Practice/ed Education];*Internship and Residency;New York</t>
  </si>
  <si>
    <t>The literature in alcoholism education for the health professions reveals that despite some strides in the development of training programs, both medical students and practicing physicians exhibit negative attitudes toward alcoholics that may adversely affect the care offered to these patients. This paper presents a program of alcoholism identification and management training for family practice residents which has been developed to supplement an existing drug abuse treatment program. Residents spend four half-day sessions engaged in seminars, outpatient experiences, and inpatient rotations under the direction of a clinical psychologist specializing in substance abuse and under the direction of the medical staff of a voluntary hospital well-known as a center of alcoholism treatment. Training activities include participation in group therapy sessions with alcoholic patients, interviewing patients in the early stages of rehabilitation, participation in an adolescent alcoholism treatment program and attendance in seminars on the prevention, identification, and treatment of alcoholism. Residents' evaluations of the experience reveal overall satisfaction with the program and their roles in its conduct, but they indicate a need for more active roles in the hands-on management of emergency cases.</t>
  </si>
  <si>
    <t>J2: J Subst Abuse Treat; Confusione, M Leonard, K Jaffe, A; ID: 1412</t>
  </si>
  <si>
    <t>Confusione, M. State University of New York, Stony Brook, Department of Family Medicine 11790.</t>
  </si>
  <si>
    <t>http://ovidsp.ovid.com/ovidweb.cgi?T=JS&amp;CSC=Y&amp;NEWS=N&amp;PAGE=fulltext&amp;D=med3&amp;AN=3361622</t>
  </si>
  <si>
    <t>MEDLINE; Ovid Technologies; Alcoholism training in a family medicine residency</t>
  </si>
  <si>
    <t>Conigliaro,J.;Lofgren,R. P.;Hanusa,B. H.</t>
  </si>
  <si>
    <t>Screening for problem drinking: impact on physician behavior and patient drinking habits</t>
  </si>
  <si>
    <t>*Alcohol Drinking;*Alcoholism/di Diagnosis];Humans;Internship and Residency;Middle Aged;Primary Health Care;United States</t>
  </si>
  <si>
    <t>OBJECTIVE: To assess the effect of a screen for problem drinking on medical residents and their patients. DESIGN: Descriptive cohort study. SETTING: Veterans Affairs Medical Clinic. PATIENTS: Patients were screened 2 weeks before a scheduled visit (n = 714). Physicians were informed if their patients scored positive. MEASUREMENTS AND MAIN RESULTS: Physician discussion of alcohol use was documented through patient interview and chart review. Self-reported alcohol consumption was recorded. Of 236 current drinkers, 28% were positive for problem drinking by the Alcohol Use Disorders Identification Test (AUDIT). Of 58 positive patients contacted at 1 month, 78% recalled a discussion about alcohol use, 58% were advised to decrease drinking, and 9% were referred for treatment. In 57 positive patient charts, alcohol use was noted in 33 (58%), and a recommendation in 14 (25%). Newly identified patients had fewer notations than patients with prior alcohol problems. Overall, 6-month alcohol consumption decreased in both AUDIT-positive and AUDIT-negative patients. The proportion of positive patients who consumed more than 16 drinks per week (problem drinking) decreased from 58% to 49%. Problem drinking at 6 months was independent of physician discussion or chart notation. CONCLUSIONS: Resident physicians discussed alcohol use in a majority of patients who screened positive for alcohol problems but less often offered specific advice or treatment. Furthermore, residents were less likely to note concerns about alcohol use in charts of patients newly identified. Finally, a screen for alcohol abuse may influence patient consumption.</t>
  </si>
  <si>
    <t>J2: J Gen Intern Med; Conigliaro, J Lofgren, R P Hanusa, B H; ID: 1110</t>
  </si>
  <si>
    <t>Conigliaro, J. Section of General Internal Medicine, VA Pittsburgh Health Care System, Center for Research on Healthcare, University of Pittsburgh, PA 15240, USA.</t>
  </si>
  <si>
    <t>http://ovidsp.ovid.com/ovidweb.cgi?T=JS&amp;CSC=Y&amp;NEWS=N&amp;PAGE=fulltext&amp;D=med4&amp;AN=9565388</t>
  </si>
  <si>
    <t>MEDLINE; Ovid Technologies; Screening for problem drinking: impact on physician behavior and patient drinking habits</t>
  </si>
  <si>
    <t>Connell,P. H.</t>
  </si>
  <si>
    <t>The 1985 Dent memorial lecture. 'I need heroin'. Thirty years' experience of drug dependence and of the medical challenges at local, national, international and political level. What next?</t>
  </si>
  <si>
    <t>British journal of addiction</t>
  </si>
  <si>
    <t>Br.J.Addict.</t>
  </si>
  <si>
    <t>History, 20th Century;Humans;Legislation, Drug;State Medicine;*Substance-Related Disorders/hi History];Substance-Related Disorders/px Psychology];Substance-Related Disorders/th Therapy];United Kingdom;World Health Organization</t>
  </si>
  <si>
    <t>J2: Br J Addict; Connell, P H; ID: 1443</t>
  </si>
  <si>
    <t>0952-0481</t>
  </si>
  <si>
    <t>http://ovidsp.ovid.com/ovidweb.cgi?T=JS&amp;CSC=Y&amp;NEWS=N&amp;PAGE=fulltext&amp;D=med2&amp;AN=3530292</t>
  </si>
  <si>
    <t>MEDLINE; Ovid Technologies; The 1985 Dent memorial lecture. 'I need heroin'. Thirty years' experience of drug dependence and of the medical challenges at local, national, international and political level. What next?</t>
  </si>
  <si>
    <t>Connors,G. J.;Walitzer,K. S.</t>
  </si>
  <si>
    <t>Addiction research centres and the nurturing of creativity; the Research Institute on Addictions, University at Buffalo</t>
  </si>
  <si>
    <t>Academies and Institutes/ec Economics];*Academies and Institutes/og Organization &amp; Administration];Administrative Personnel/sn Statistics &amp; Numerical Data];Congresses as Topic;Creativity;Databases as Topic;Education, Medical, Graduate/og Organization &amp; Administration];New York;Publishing;Research Personnel/sn Statistics &amp; Numerical Data];Research Support as Topic;*Substance-Related Disorders;Training Support;Universities/ec Economics];*Universities/og Organization &amp; Administration]</t>
  </si>
  <si>
    <t>The Research Institute on Addictions (RIA) was established in 1970 as a research component of the New York State Department of Mental Hygiene. After three decades of serving as a research component of New York State agencies concerned with alcohol and substance abuse, RIA was legislatively transferred to the University at Buffalo in 1999. Today, RIA's cadre of senior research scientists are engaged individually and collaboratively on a multitude of addictions-related studies. The majority of the Institute's ongoing research studies relate to one or more of the following seven broad research domains: causes and consequences of alcohol, marijuana and other drug use; biological and neuroscience; gambling behavior; gender-related studies; dissemination and professional training; treatment; and youth, families and relationships. In this paper, an overview of the structure of the Institute is provided, along with a description of the organizational and scientific culture at RIA. Further information about the Institute, its scientists and its activities can be found at http://www.ria.buffalo.edu.</t>
  </si>
  <si>
    <t>J2: Addiction; Connors, Gerard J Walitzer, Kimberly S; ID: 440</t>
  </si>
  <si>
    <t>Connors, Gerard J. The Research Institute on Addictions, University at Buffalo, 1021 Main Street, Buffalo, NY 14203, USA. connors@ria.buffalo.edu</t>
  </si>
  <si>
    <t>http://ovidsp.ovid.com/ovidweb.cgi?T=JS&amp;CSC=Y&amp;NEWS=N&amp;PAGE=fulltext&amp;D=med7&amp;AN=21470324</t>
  </si>
  <si>
    <t>https://dx.doi.org/10.1111/j.1360-0443.2011.03387.x</t>
  </si>
  <si>
    <t>MEDLINE; Ovid Technologies; Addiction research centres and the nurturing of creativity; the Research Institute on Addictions, University at Buffalo</t>
  </si>
  <si>
    <t>Coogle,C. L.;Owens,M. G.</t>
  </si>
  <si>
    <t>Screening and Brief Intervention for Alcohol Misuse in Older Adults: Training Outcomes Among Physicians and Other Healthcare Practitioners in Community-Based Settings</t>
  </si>
  <si>
    <t>Community mental health journal</t>
  </si>
  <si>
    <t>Community Ment.Health J.</t>
  </si>
  <si>
    <t>Adult;Aged;Alcoholism/di Diagnosis];Alcoholism/pc Prevention &amp; Control];*Alcoholism;Analysis of Variance;*Attitude of Health Personnel;Community Mental Health Services;Education, Medical, Continuing/mt Methods];*Education, Medical, Continuing;Female;*Health Personnel/ed Education];*Health Personnel/px Psychology];Hospitals, Community;Humans;Male;Middle Aged;Nurses/px Psychology];Physicians/px Psychology];Social Workers/px Psychology];Virginia</t>
  </si>
  <si>
    <t>Screening and brief intervention (SBI) is increasingly available to older adults who engage in at-risk drinking. This study examined the extent to which SBI training influenced the willingness of healthcare providers in a community-based hospital and other clinical settings to promote the implementation of SBI. Ninety-three healthcare practitioners (primarily physicians, nurses, and social workers) who attended SBI training were asked about their intentions to apply the information in their professional practice, as well as their enthusiasm about recommending the training to others in their profession. Although there were no differences among the professions in terms of commitment to apply the information or level of comfort using the techniques, physicians were less interested in promoting SBI training among their colleagues. Although it may be more difficult to promote SBI in locations that don't primarily provide mental health services, results suggest that primary care settings are precisely where training may be most useful.</t>
  </si>
  <si>
    <t>J2: Community Ment Health J; Coogle, Constance L Owens, Myra G; ID: 191</t>
  </si>
  <si>
    <t>1573-2789</t>
  </si>
  <si>
    <t>Coogle, Constance L. Virginia Center on Aging, School of Allied Health Professions, Virginia Commonwealth University, P.O. Box 980229, Richmond, VA, 23298-0229, USA, ccoogle@vcu.edu.</t>
  </si>
  <si>
    <t>http://ovidsp.ovid.com/ovidweb.cgi?T=JS&amp;CSC=Y&amp;NEWS=N&amp;PAGE=fulltext&amp;D=med8&amp;AN=25628241</t>
  </si>
  <si>
    <t>https://dx.doi.org/10.1007/s10597-014-9804-x</t>
  </si>
  <si>
    <t>MEDLINE; Ovid Technologies; Screening and Brief Intervention for Alcohol Misuse in Older Adults: Training Outcomes Among Physicians and Other Healthcare Practitioners in Community-Based Settings</t>
  </si>
  <si>
    <t>Coombes,R.</t>
  </si>
  <si>
    <t>Primary care. Score draw</t>
  </si>
  <si>
    <t>Education, Medical, Continuing;Family Practice/ed Education];*Family Practice/st Standards];Health Priorities;Humans;Organizational Objectives;*Primary Health Care/st Standards];*Quality Indicators, Health Care;State Medicine/st Standards];*Substance Abuse Treatment Centers/ut Utilization];*Substance-Related Disorders/th Therapy];United Kingdom</t>
  </si>
  <si>
    <t>Many primary care trusts missed targets for increasing the number of problem drug users in treatment. Data collection problems were a major contributing factor to missed targets. Training more GPs to provide drug treatment is the best way to increase treatment and meet future goals.</t>
  </si>
  <si>
    <t>J2: Health Serv J; Coombes, Rebecca; ID: 882</t>
  </si>
  <si>
    <t>http://ovidsp.ovid.com/ovidweb.cgi?T=JS&amp;CSC=Y&amp;NEWS=N&amp;PAGE=fulltext&amp;D=med5&amp;AN=15609753</t>
  </si>
  <si>
    <t>MEDLINE; Ovid Technologies; Primary care. Score draw</t>
  </si>
  <si>
    <t>Cornely,P. B.</t>
  </si>
  <si>
    <t>Professional training on alcoholism. Chairman's introductory remarks</t>
  </si>
  <si>
    <t>*Alcoholism/th Therapy];*Attitude of Health Personnel;Education, Medical;Health Education;Humans;Social Conditions;Social Problems;Social Work;United States</t>
  </si>
  <si>
    <t>J2: Ann N Y Acad Sci; Cornely, P B; ID: 1601</t>
  </si>
  <si>
    <t>http://ovidsp.ovid.com/ovidweb.cgi?T=JS&amp;CSC=Y&amp;NEWS=N&amp;PAGE=fulltext&amp;D=med1&amp;AN=5282648</t>
  </si>
  <si>
    <t>MEDLINE; Ovid Technologies; Professional training on alcoholism. Chairman's introductory remarks</t>
  </si>
  <si>
    <t>Cornuz,J.;Humair,J. P.;Seematter,L.;Stoianov,R.;van Melle,G.;Stalder,H.;Pecoud,A.</t>
  </si>
  <si>
    <t>Efficacy of resident training in smoking cessation: a randomized, controlled trial of a program based on application of behavioral theory and practice with standardized patients.Summary for patients in Ann Intern Med. 2002 Mar 19;136(6):I31; PMID: 11900514]</t>
  </si>
  <si>
    <t>Adolescent;Adult;Aged;*Behavior Therapy;*Clinical Competence;*Counseling/mt Methods];Double-Blind Method;Family Practice/ed Education];Female;Follow-Up Studies;Humans;Hyperlipidemias/pc Prevention &amp; Control];*Internal Medicine/ed Education];*Internship and Residency;Male;Motivation;*Smoking Cessation/mt Methods];Smoking Cessation/px Psychology]</t>
  </si>
  <si>
    <t>BACKGROUND: New educational programs must be developed to improve physicians' skills and effectiveness in counseling patients about smoking cessation. OBJECTIVE: To assess the efficacy of an educational program based on behavioral theory, active learning methods, and practice with standardized patients in helping patients abstain from smoking and changing physicians' counseling practices. DESIGN: Cluster randomized, controlled trial. SETTING: Two general internal medicine clinics in Switzerland. PARTICIPANTS: 35 residents and 251 consecutive smoking patients. INTERVENTION: A training program administered over two half-days, during which physicians learned to provide counseling that matched smokers' motivation to quit and practiced these skills with standardized patients acting as smokers at different stages of change. The control intervention was a didactic session on management of dyslipidemia. MEASUREMENTS: Self-reported abstinence from smoking at 1 year of follow-up, which was validated by exhaled carbon monoxide testing at one clinic; score of overall quality of counseling based on use of 14 counseling strategies; patient willingness to quit; and daily cigarette consumption. RESULTS: At 1 year of follow-up, abstinence from smoking was significantly higher in the intervention group than in the control group (13% vs. 5%; P = 0.005); this corresponded to a cluster-adjusted odds ratio of 2.8 (95% CI, 1.4 to 5.5). Residents who received the study training provided better counseling than did those who received the control training (mean score, 4.0 vs. 2.7; P = 0.002). Smokers' willingness to quit was also higher in the intervention group (94% vs. 80%; P = 0.007). A nonsignificant trend toward lower daily cigarette consumption in the intervention group was observed. CONCLUSION: A training program in smoking cessation administered to physicians that was based on behavioral theory and practice with standardized patients significantly increased the quality of physicians' counseling, smokers' motivation to quit, and rates of abstinence from smoking at 1 year.</t>
  </si>
  <si>
    <t>J2: Ann Intern Med; Cornuz, Jacques Humair, Jean-Paul Seematter, Laurence Stoianov, Rebecca van Melle, Guy Stalder, Hans Pecoud, Alain; ID: 987</t>
  </si>
  <si>
    <t>Cornuz, Jacques. Lausanne University Outpatient Clinic and Institute of Social and Preventive Medicine, Lausanne, Switzerland. Jacques.Cornuz@chuv.hospvd.ch</t>
  </si>
  <si>
    <t>http://ovidsp.ovid.com/ovidweb.cgi?T=JS&amp;CSC=Y&amp;NEWS=N&amp;PAGE=fulltext&amp;D=med4&amp;AN=11900495</t>
  </si>
  <si>
    <t>MEDLINE; Ovid Technologies; Efficacy of resident training in smoking cessation: a randomized, controlled trial of a program based on application of behavioral theory and practice with standardized patients.[Summary for patients in Ann Intern Med(TRUNCATED)</t>
  </si>
  <si>
    <t>Cortas,C. S.;Talley,C. L.</t>
  </si>
  <si>
    <t>Appropriate remedial action? medical students, medical schools, and smoking and health education in New York and the United States, 1964-87</t>
  </si>
  <si>
    <t>Journal of the History of Medicine &amp; Allied Sciences</t>
  </si>
  <si>
    <t>*Attitude of Health Personnel;*Education, Medical, Undergraduate/hi History];*Health Education/hi History];*Health Knowledge, Attitudes, Practice;History, 20th Century;Humans;New York;Organizational Policy;*Schools, Medical/hi History];*Smoking/hi History];*Students, Medical/hi History];United States</t>
  </si>
  <si>
    <t>The Surgeon General's 1964 report on smoking and health, which declared that cigarette smoking was a cause of lung cancer, is considered a landmark in the history of medicine and public health. This article examines the impact of the report on medical student education by reviewing how the relationship between smoking and lung cancer was presented in medical school textbooks and syllabi between 1964 and 1987, changes in hospital smoking regulations and doctors' attitudes toward smoking following the publication of the report, and medical students' smoking patterns and attitudes toward cigarette smoking in the years after 1964. Although it provided some advanced students with additional insight into mechanisms of pathogenesis related to smoking, the education that many medical students received seems to have been neither a primary influence on their smoking patterns nor an important source of their scientific understanding of the causal link between smoking and lung cancer for at least a decade following the publication of the Surgeon General's report.</t>
  </si>
  <si>
    <t>J2: J Hist Med Allied Sci; Cortas, Chadi S Talley, Colin L; ID: 733</t>
  </si>
  <si>
    <t>0022-5045</t>
  </si>
  <si>
    <t>Cortas, Chadi S. Columbia University College of Physicians and Surgeons, 630 West 168th Street, P&amp;S 529, New York, New York 10032, USA. csc43@columbia.edu</t>
  </si>
  <si>
    <t>http://ovidsp.ovid.com/ovidweb.cgi?T=JS&amp;CSC=Y&amp;NEWS=N&amp;PAGE=fulltext&amp;D=med5&amp;AN=17124259</t>
  </si>
  <si>
    <t>MEDLINE; Ovid Technologies; Appropriate remedial action? medical students, medical schools, and smoking and health education in New York and the United States, 1964-87</t>
  </si>
  <si>
    <t>Corten,P.;Pelc,I.</t>
  </si>
  <si>
    <t>Alcoholics and drug addicts at the emergency room of the hospital. Analysis of the staff behavior and patients' progressions</t>
  </si>
  <si>
    <t>Acta Psychiatrica Belgica</t>
  </si>
  <si>
    <t>Acta Psychiatr.Belg.</t>
  </si>
  <si>
    <t>Alcoholism/di Diagnosis];*Alcoholism/th Therapy];Attitude of Health Personnel;Emergencies;*Emergency Service, Hospital/ma Manpower];Hospitalization;Humans;Internship and Residency;Psychiatric Department, Hospital;Referral and Consultation;Social Control, Formal;*Substance-Related Disorders/th Therapy]</t>
  </si>
  <si>
    <t>The statistical analysis of a large sample (1.707 cases) was carried out using objective variables. These variables consist of the key points in the progression of alcoholics and drug addicts within two emergency departments situated in general hospitals. This study pinpoints a lack of therapeutic work at the emergency room where neither medical diagnoses nor psychopathological analyses seem to be done.</t>
  </si>
  <si>
    <t>J2: Acta Psychiatr Belg; Corten, P Pelc, I; ID: 1445</t>
  </si>
  <si>
    <t>0300-8967</t>
  </si>
  <si>
    <t>http://ovidsp.ovid.com/ovidweb.cgi?T=JS&amp;CSC=Y&amp;NEWS=N&amp;PAGE=fulltext&amp;D=med2&amp;AN=3728055</t>
  </si>
  <si>
    <t>MEDLINE; Ovid Technologies; Alcoholics and drug addicts at the emergency room of the hospital. Analysis of the staff behavior and patients' progressions</t>
  </si>
  <si>
    <t>Coulehan,J. L.;Zettler-Segal,M.;Block,M.;McClelland,M.;Schulberg,H. C.</t>
  </si>
  <si>
    <t>Recognition of alcoholism and substance abuse in primary care patients</t>
  </si>
  <si>
    <t>Archives of Internal Medicine</t>
  </si>
  <si>
    <t>Arch.Intern.Med.</t>
  </si>
  <si>
    <t>*Alcoholism/di Diagnosis];*Family Practice/ed Education];Follow-Up Studies;Humans;*Internal Medicine/ed Education];*Internship and Residency;*Interview, Psychological;Outpatient Clinics, Hospital;Psychotic Disorders/di Diagnosis];Regression Analysis;*Substance-Related Disorders/di Diagnosis]</t>
  </si>
  <si>
    <t>Alcohol and other substance abuse are frequently seen in primary medical practice but are underdiagnosed. Forty-two (14%) of 294 adult primary care patients suffered from alcohol or other substance abuse, as diagnosed by a structured psychiatric interview. Primary care physicians identified 17 (40%) of these patients, as well as another patient identified during a six-month follow-up period, as having a substance abuse problem at initial clinical evaluation. Clinically identified substance abusers were older, more likely to be married, and more often used multiple drugs. They more frequently had antisocial personality disorders, while patients not clinically recognized were often depressed. Logistic regression analysis indicated that the presence of antisocial personality, the absence of a coexisting depressive disorder, and better social functioning scores were the factors most strongly associated with clinical recognition. The study suggests clinical judgment issues, which may be useful to physicians in training to improve their recognition and treatment of substance abuse disorders.</t>
  </si>
  <si>
    <t>J2: Arch Intern Med; Coulehan, J L Zettler-Segal, M Block, M McClelland, M Schulberg, H C; ID: 1440</t>
  </si>
  <si>
    <t>http://ovidsp.ovid.com/ovidweb.cgi?T=JS&amp;CSC=Y&amp;NEWS=N&amp;PAGE=fulltext&amp;D=med2&amp;AN=3813755</t>
  </si>
  <si>
    <t>MEDLINE; Ovid Technologies; Recognition of alcoholism and substance abuse in primary care patients</t>
  </si>
  <si>
    <t>Coultas,D. B.;Klecan,D. A.;Whitten,R. M.;Obenshain,S. S.;Rubin,R. H.;Wiese,W. H.;Wilson,B. E.;Woodall,G. W.;Stidley,C. A.</t>
  </si>
  <si>
    <t>Training medical students in smoking-cessation counseling</t>
  </si>
  <si>
    <t>S48</t>
  </si>
  <si>
    <t>Adult;Clinical Competence/st Standards];*Counseling/ed Education];*Education, Medical, Undergraduate/mt Methods];Education, Medical, Undergraduate/st Standards];Female;Follow-Up Studies;Humans;Male;Patient Participation;*Smoking Cessation/mt Methods];Students, Medical</t>
  </si>
  <si>
    <t>J2: Acad Med; Coultas, D B Klecan, D A Whitten, R M Obenshain, S S Rubin, R H Wiese, W H Wilson, B E Woodall, G W Stidley, C A; ID: 1209</t>
  </si>
  <si>
    <t>Coultas, D B. University of New Mexico School of Medicine, Epidemiology and Cancer Control Program, Albuquerque 87131.</t>
  </si>
  <si>
    <t>http://ovidsp.ovid.com/ovidweb.cgi?T=JS&amp;CSC=Y&amp;NEWS=N&amp;PAGE=fulltext&amp;D=med3&amp;AN=7916826</t>
  </si>
  <si>
    <t>MEDLINE; Ovid Technologies; Training medical students in smoking-cessation counseling</t>
  </si>
  <si>
    <t>Council on School Health, American Academy,of Pediatrics;Committee on Substance Abuse, American Academy,of Pediatrics;Mears,C. J.;Knight,J. R.</t>
  </si>
  <si>
    <t>The role of schools in combating illicit substance abuse</t>
  </si>
  <si>
    <t>Adolescent;Humans;*Role;*Schools;*Street Drugs;*Substance-Related Disorders/pc Prevention &amp; Control];0 (Street Drugs)</t>
  </si>
  <si>
    <t>Disturbingly high levels of illicit drug use remain a problem among American teenagers. As the physical, social, and psychological "home away from home" for most youth, schools naturally assume a primary role in substance abuse education, prevention, and early identification. However, the use of random drug testing on students as a component of drug prevention programs requires additional, more rigorous scientific evaluation. Widespread implementation should await the result of ongoing studies to address the effectiveness of testing and evaluate possible inadvertent harm. If drug testing on students is conducted, it should never be implemented in isolation. A comprehensive assessment and therapeutic management program for the student who tests positive should be in place before any testing is performed. Schools have the opportunity to work with parents, health care professionals, and community officials to use programs with proven effectiveness, to identify students who show behavioral risks for drug-related problems, and to make referrals to a student's medical home. When use of an illicit substance is detected, schools can foster relationships with established health care experts to assist them. A student undergoing individualized intervention for using illicit substances merits privacy. This requires that awareness of the student's situation be limited to parents, the student's physician, and only those designated school health officials with a need to know. For the purposes of this statement, alcohol, tobacco, and inhalants are not addressed.</t>
  </si>
  <si>
    <t>J2: Pediatrics; Council on School Health, American Academy of Pediatrics Committee on Substance Abuse, American Academy of Pediatrics Mears, Cynthia J Knight, John R; ID: 718</t>
  </si>
  <si>
    <t>1098-4275</t>
  </si>
  <si>
    <t>http://ovidsp.ovid.com/ovidweb.cgi?T=JS&amp;CSC=Y&amp;NEWS=N&amp;PAGE=fulltext&amp;D=med5&amp;AN=18055689</t>
  </si>
  <si>
    <t>MEDLINE; Ovid Technologies; The role of schools in combating illicit substance abuse</t>
  </si>
  <si>
    <t>Cowan,P. F.</t>
  </si>
  <si>
    <t>An intervention to improve the assessment of alcoholism by practicing physicians</t>
  </si>
  <si>
    <t>Family Practice Research Journal</t>
  </si>
  <si>
    <t>Fam.Pract.Res.J.</t>
  </si>
  <si>
    <t>Adolescent;Adult;Aged;*Alcoholism/di Diagnosis];Alcoholism/rh Rehabilitation];Curriculum;*Education, Medical, Continuing;*Family Practice/ed Education];Female;Group Practice;Humans;Male;*Medical Audit;Medical History Taking;Middle Aged;Nurse Practitioners/ed Education];Outcome and Process Assessment (Health Care);Patient Care Team</t>
  </si>
  <si>
    <t>OBJECTIVE: Alcoholism is estimated to affect at least 10% of American adults. Despite the fact that early diagnosis is possible and early treatment can prevent great suffering, American physicians typically diagnose and treat alcoholism less than half the time. Several authors have suggested additional physician education as a possible way to improve alcoholism assessment skills and increase the diagnosis rate. METHODS: A baseline audit, an educational intervention, and a post-intervention audit were done with physicians and nurse practitioners in an urban family practice group, using information recorded during everyday patient care. RESULTS: A significant increase in specific alcohol intake histories and a significant decrease in recorded abstention were found. The proportion of patients with a recorded diagnosis of alcoholism was 2.5% before and 4.1% after the intervention. CONCLUSIONS: After this intervention, physicians' and FNP's skills in alcohol history-taking and assessment increased, and were incorporated into their daily patient care. Education alone was not enough to remedy a low diagnosis rate; many other factors are involved.</t>
  </si>
  <si>
    <t>J2: Fam Pract Res J; Cowan, P F; ID: 1222</t>
  </si>
  <si>
    <t>0270-2304</t>
  </si>
  <si>
    <t>Cowan, P F. Family Practice Department, University of Illinois at Chicago 60612.</t>
  </si>
  <si>
    <t>http://ovidsp.ovid.com/ovidweb.cgi?T=JS&amp;CSC=Y&amp;NEWS=N&amp;PAGE=fulltext&amp;D=med3&amp;AN=8048347</t>
  </si>
  <si>
    <t>MEDLINE; Ovid Technologies; An intervention to improve the assessment of alcoholism by practicing physicians</t>
  </si>
  <si>
    <t>Crapanzano,K.;Vath,R. J.</t>
  </si>
  <si>
    <t>Long-Term Effect of a Stigma-Reduction Educational Intervention for Physician Assistants</t>
  </si>
  <si>
    <t>The Journal of Physician Assistant Education</t>
  </si>
  <si>
    <t>*Attitude of Health Personnel;Educational Measurement;Humans;*Physician Assistants/ed Education];*Social Stigma;*Substance-Related Disorders;Time Factors</t>
  </si>
  <si>
    <t>PURPOSE: Stigma towards people with substance use disorders is a common phenomenon with far reaching effects. This study evaluated the long-term effect of using an educational intervention on the attitudes of physician assistant students. METHODS: Physician assistant students received a one-week educational intervention focused on substance abuse. Changes in student attitudes were measured one year later using the Attitude to Mental Health Questionnaire (AMIQ). RESULTS: Significant and sustained improvement was noted in attitudes in the AMIQ score for the opiate use disorder vignette; no significant change was noted in the alcohol use disorder vignette. CONCLUSIONS: The persistence of improved attitudes (although they remained negative) in study participants towards people with opiate use disorders is a cautiously encouraging finding. Educational interventions can have a sustained effect on stigma reduction, but much more work on the etiology of these implicit and explicit beliefs is needed to inform robust future interventions.</t>
  </si>
  <si>
    <t>J2: J Physician Assist Educ; Crapanzano, Kathleen Vath, Richard J; ID: 49</t>
  </si>
  <si>
    <t>1941-9430</t>
  </si>
  <si>
    <t>Crapanzano, Kathleen. Kathleen Crapanzano, MD, is an assistant professor of clinical psychiatry at the Louisiana State University Health Sciences Center in Baton Rouge, Louisiana. Richard J. Vath, MAEd, is the academic research director in the Division of Academic Affairs at Our Lady of the Lake Regional Medical Center in Baton Rouge, Louisiana.</t>
  </si>
  <si>
    <t>http://ovidsp.ovid.com/ovidweb.cgi?T=JS&amp;CSC=Y&amp;NEWS=N&amp;PAGE=fulltext&amp;D=medl&amp;AN=28509838</t>
  </si>
  <si>
    <t>https://dx.doi.org/10.1097/JPA.0000000000000117</t>
  </si>
  <si>
    <t>MEDLINE; Ovid Technologies; Long-Term Effect of a Stigma-Reduction Educational Intervention for Physician Assistants</t>
  </si>
  <si>
    <t>Crockford,D.;Fleury,G.;Milin,R.;Buckley,L.;Charney,D.;George,T. P.;el-Guebaly,N.</t>
  </si>
  <si>
    <t>Training in Substance-Related and Addictive Disorders, Part 2: Updated Curriculum Guidelines</t>
  </si>
  <si>
    <t>Canadian Journal of Psychiatry - Revue Canadienne de Psychiatrie</t>
  </si>
  <si>
    <t>Canada;Curriculum;Humans;*Internship and Residency/st Standards];*Psychiatry/ed Education];*Substance-Related Disorders/th Therapy]</t>
  </si>
  <si>
    <t>J2: Can J Psychiatry; Crockford, David Fleury, Gilles Milin, Robert Buckley, Leslie Charney, Dara George, Tony P el-Guebaly, Nady; ID: 151</t>
  </si>
  <si>
    <t>1497-0015</t>
  </si>
  <si>
    <t>Crockford, David. Associate Professor, Department of Psychiatry, University of Calgary, Foothills Medical Centre, Calgary, Alberta. Fleury, Gilles. Assistant Professor, Department of Psychiatry, University of Ottawa, Ottawa, Ontario; Education Director, Division of Addiction and Mental Health, Montfort Hospital, Ottawa, Ontario. Milin, Robert. Associate Professor, Department of Psychiatry, University of Ottawa, Ottawa, Ontario; Director, Adolescent Day Treatment Unit, Youth Psychiatry Program, Ottawa, Ontario; Head, Division of Addiction and Mental Health, Royal Ottawa Mental Health Centre, Ottawa, Ontario. Buckley, Leslie. Assistant Professor, Department of Psychiatry, University of Toronto, Toronto, Ontario; Director, Addiction Services, Toronto Western Hospital, Toronto, Ontario. Charney, Dara. Associate Chair and Associate Professor, Department of Psychiatry, McGill University, Montreal, Quebec; Director, McGill RUIS Addiction Program, Addictions Unit, McGill University Health Centre, Montreal, Quebec. George, Tony P. Professor and Co-Director, Division of Brain and Therapeutics, Department of Psychiatry, University of Toronto, Toronto, Ontario; Chief, Schizophrenia Division, Medical Director, Complex Mental Illness Program, Centre for Addiction and Mental Health, Toronto, Ontario. el-Guebaly, Nady. Professor and Head, Addiction Division, Department of Psychiatry, University of Calgary, Calgary, Alberta; Consultant, Addiction Centre, Foothills Medical Centre, Calgary, Alberta.</t>
  </si>
  <si>
    <t>http://ovidsp.ovid.com/ovidweb.cgi?T=JS&amp;CSC=Y&amp;NEWS=N&amp;PAGE=fulltext&amp;D=med8&amp;AN=26720815</t>
  </si>
  <si>
    <t>MEDLINE; Ovid Technologies; Training in Substance-Related and Addictive Disorders, Part 2: Updated Curriculum Guidelines</t>
  </si>
  <si>
    <t>Croen,L. G.;Woesner,M.;Herman,M.;Reichgott,M.</t>
  </si>
  <si>
    <t>A longitudinal study of substance use and abuse in a single class of medical students</t>
  </si>
  <si>
    <t>Adult;*Alcohol Drinking/ep Epidemiology];*Attitude of Health Personnel;Educational Status;Female;Humans;Longitudinal Studies;Male;*Students, Medical/px Psychology];Students, Medical/sn Statistics &amp; Numerical Data];*Substance-Related Disorders/ep Epidemiology];Surveys and Questionnaires;United States</t>
  </si>
  <si>
    <t>PURPOSE: A longitudinal study to ascertain the attitudes toward, and habits of, substance use among a single class of medical students. METHOD: A single class from a northeastern medical school was surveyed in both its first year (February 1991, 176 students) and its third year (May 1993, 170 students). The students were asked to report how frequently during the prior year they had used drugs or alcohol, and whether their use of each substance had increased, decreased, or remained the same since entering medical school; to identify any family members with histories of alcohol or drug problems; and to report any incidence during the prior year of ten behaviors associated with substance dependence. The students were also asked to indicate their agreement or disagreement with 11 attitudinal statements. Additional attitudinal items asked the students to identify three major deterrents to the abuse of drugs and alcohol, and what they had done if they had become aware of a classmate with a drug or alcohol problem. Chi-square analysis and two-tailed t-tests were used to compare data from the two surveys. RESULTS: The response rates in the first and second surveys were 96.9% and 81.8%, respectively. Use of licit and illicit substances was comparable to that of chronological peers and prior national studies of medical trainees. Most of the students admitted to using alcohol at least once in the prior year (91.8% and 95%, respectively). In both years marijuana was the illicit drug used most often. Although there was a slight increase over time in the use of benzodiazepines (2.4% to 5.8%) and a decrease in the use of marijuana (29.4% to 21.7%), these changes were not significant. Few of the students in their third year reported using any substance other than alcohol more than once a month. In general, a greater percentage of the students reported a decrease rather than an increase in the use of a substance since entering medical school; the primary exception was for wine. As they progressed in their training, the students became less concerned about the effect of substance use on their performance and more likely to be embarrassed about admitting to an addiction. Although in each year a few of the students appeared to be at risk for substance dependence (8.9% and 3.5%, respectively), no student came to the attention of the administration because of problems related to substance use. While most of the students were unaware of any classmate who had a problem, half of those who were aware had done nothing, and the balance had rarely sought assistance from the faculty or administration. CONCLUSION: Although there was no evidence that substance use was a major problem, a few of the students appeared to be at risk for drug or alcohol dependence. Appropriate intervention, support, and referral systems should be identified for the few who may be at risk, and increased educational efforts are needed to help all students address this issue with their peers and, ultimately, with their patients.</t>
  </si>
  <si>
    <t>J2: Acad Med; Croen, L G Woesner, M Herman, M Reichgott, M; ID: 1142</t>
  </si>
  <si>
    <t>Croen, L G. Department of Epidemiology and Social Medicine, Albert Einstein College of Medicine, Yeshiva University, Bronx, New York 10461 USA. croen@aecom.yu.edu</t>
  </si>
  <si>
    <t>http://ovidsp.ovid.com/ovidweb.cgi?T=JS&amp;CSC=Y&amp;NEWS=N&amp;PAGE=fulltext&amp;D=med4&amp;AN=9159584</t>
  </si>
  <si>
    <t>MEDLINE; Ovid Technologies; A longitudinal study of substance use and abuse in a single class of medical students</t>
  </si>
  <si>
    <t>Crofford,L. J.</t>
  </si>
  <si>
    <t>Adverse effects of chronic opioid therapy for chronic musculoskeletal pain</t>
  </si>
  <si>
    <t>Nature Reviews Rheumatology</t>
  </si>
  <si>
    <t>*Analgesics, Opioid/ae Adverse Effects];Analgesics, Opioid/tu Therapeutic Use];Chronic Disease;Dose-Response Relationship, Drug;Drug Administration Schedule;Education, Medical, Continuing;Female;Humans;*Hyperalgesia/ci Chemically Induced];Hyperalgesia/ep Epidemiology];Hyperalgesia/pc Prevention &amp; Control];Incidence;Male;*Musculoskeletal Diseases/co Complications];Musculoskeletal Diseases/di Diagnosis];Opioid-Related Disorders/ep Epidemiology];*Opioid-Related Disorders/pc Prevention &amp; Control];*Pain/dt Drug Therapy];*Pain/et Etiology];Pain/pp Physiopathology];Pain Measurement;Prognosis;Risk Assessment;Severity of Illness Index;Treatment Outcome;0 (Analgesics, Opioid)</t>
  </si>
  <si>
    <t>The use of opioids for the treatment of chronic pain has increased dramatically over the past decade. Whether these drugs provide considerable benefits in terms of pain reduction and improved function to balance the risks associated with their use, however, is unclear. Of particular importance to clinicians treating chronic musculoskeletal pain is opioid-induced hyperalgesia, the activation of pronociceptive pathways by exogenous opioids that results in central sensitization to pain. This phenomenon results in an increase in pain sensitivity and can potentially exacerbate pre-existing pain. Opioids also have powerful positive effects on the reward and reinforcing circuits of the brain that might lead to continued drug use, even if there is no abuse or misuse. The societal risk of increased opioid prescription is associated with increased nonmedical use, serious adverse events and death. Patients with chronic musculoskeletal pain should avoid the long-term use of opioids unless the benefits are determined to outweigh risks, in which case, the use of chronic opioids should be regularly re-evaluated. References: 49]</t>
  </si>
  <si>
    <t>J2: Nat Rev Rheumatol; Crofford, Leslie J; ID: 574</t>
  </si>
  <si>
    <t>1759-4804</t>
  </si>
  <si>
    <t>Crofford, Leslie J. Division of Rheumatology &amp; Women's Health, University of Kentucky, Room J-503, Kentucky Clinic, 740 S. Limestone Street, Lexington, KY 40536, USA. lcrofford@uky.edu</t>
  </si>
  <si>
    <t>http://ovidsp.ovid.com/ovidweb.cgi?T=JS&amp;CSC=Y&amp;NEWS=N&amp;PAGE=fulltext&amp;D=med6&amp;AN=20357788</t>
  </si>
  <si>
    <t>https://dx.doi.org/10.1038/nrrheum.2010.24</t>
  </si>
  <si>
    <t>MEDLINE; Ovid Technologies; Adverse effects of chronic opioid therapy for chronic musculoskeletal pain</t>
  </si>
  <si>
    <t>Crofton,J. W.;Freour,P. P.;Tessier,J. F.</t>
  </si>
  <si>
    <t>Medical education on tobacco: implications of a worldwide survey. Tobacco and Health Committee of the International Union against Tuberculosis and Lung Disease (IUATLD)</t>
  </si>
  <si>
    <t>Curriculum;*Education, Medical, Undergraduate;Female;Health Knowledge, Attitudes, Practice;Humans;Male;Plants, Toxic;*Smoking/px Psychology];*Students, Medical/px Psychology];Tobacco</t>
  </si>
  <si>
    <t>This report considers the implications for medical education of a global survey of the knowledge, behaviour and attitudes of medical students regarding tobacco. This was conducted in 42 countries derived from all continents. A total of 9326 students (44% women) from 51 medical schools replied anonymously to a multiple choice questionnaire administered in the local language. Student smoking rates varied greatly between countries/regions: daily smoking in men from 2% (Australia) to 48% (one centre in the former USSR); in women from nil in some Asian medical schools to 22% in one European. Though there was some variation between countries and medical schools, there was widespread ignorance of the causal role of smoking in specific diseases; notably coronary artery disease, peripheral vascular disease, emphysema, bladder cancer and neonatal mortality. There were widespread defects in knowledge and motivation regarding counselling patients to quit smoking, with a common failure to appreciate a doctor's responsibilities in prevention. Very few students knew the value of tobacco taxation in reducing consumption. Following our survey we were asked to advise the World Health Organization on a summary of the desirable tobacco content of medical curricula, which has now been issued. The International Union against Tuberculosis and Lung Disease, in cooperation with the European Region of WHO, has circulated the Deans of all European medical schools with a summary of the deficiencies revealed by the European component of the survey, together with a questionnaire on proposed action. A similar initiative is being considered in cooperation with the Western Pacific Region of WHO.</t>
  </si>
  <si>
    <t>J2: Med Educ; Crofton, J W Freour, P P Tessier, J F; ID: 1225</t>
  </si>
  <si>
    <t>Crofton, J W. University of Edinburgh, UK.</t>
  </si>
  <si>
    <t>http://ovidsp.ovid.com/ovidweb.cgi?T=JS&amp;CSC=Y&amp;NEWS=N&amp;PAGE=fulltext&amp;D=med3&amp;AN=8035710</t>
  </si>
  <si>
    <t>MEDLINE; Ovid Technologies; Medical education on tobacco: implications of a worldwide survey. Tobacco and Health Committee of the International Union against Tuberculosis and Lung Disease (IUATLD)</t>
  </si>
  <si>
    <t>Crome,I.</t>
  </si>
  <si>
    <t>Empowerment through education and science: three intersecting strands in the career of Griffith Edwards</t>
  </si>
  <si>
    <t>110 Suppl 2</t>
  </si>
  <si>
    <t>Age Factors;Education, Medical, Graduate/hi History];History, 20th Century;History, 21st Century;*Substance-Related Disorders/hi History];United Kingdom</t>
  </si>
  <si>
    <t>This paper describes three important strands in the career of Griffith Edwards that define him as a leader and an innovator. Believing that education and science were critical for the development of addiction as a profession and as a field of inquiry, his approach was multi-faceted: educating all doctors to appreciate the fundamental issues in addiction; training psychiatrists in the complexity of 'dual diagnosis' and specific specialist intervention; and teaching that addiction could be a chronic condition which required care management over the life course. These three inter-related areas are directly related to the need for a range of practitioners to have an understanding of addiction so that patients can be properly managed. The greater our understanding of the nature of addiction behaviour, the more likely the potential to optimize treatment and train practitioners from different professional disciplines.</t>
  </si>
  <si>
    <t>J2: Addiction; Crome, Ilana; ID: 144</t>
  </si>
  <si>
    <t>Crome, Ilana. Keele University School of Medicine, South Staffordshire and Shropshire Healthcare NHS Foundation Trust, Stafford, UK.</t>
  </si>
  <si>
    <t>http://ovidsp.ovid.com/ovidweb.cgi?T=JS&amp;CSC=Y&amp;NEWS=N&amp;PAGE=fulltext&amp;D=med8&amp;AN=26042568</t>
  </si>
  <si>
    <t>https://dx.doi.org/10.1111/add.12909</t>
  </si>
  <si>
    <t>MEDLINE; Ovid Technologies; Empowerment through education and science: three intersecting strands in the career of Griffith Edwards</t>
  </si>
  <si>
    <t>New impetus to aim 'higher, faster, stronger'</t>
  </si>
  <si>
    <t>6; discussion 177-8</t>
  </si>
  <si>
    <t>Delivery of Health Care/st Standards];*Delivery of Health Care;Education, Medical;Humans;Medicine;National Health Programs/st Standards];*National Health Programs;Psychiatry;Specialization;Substance-Related Disorders/th Therapy];*Substance-Related Disorders;United Kingdom</t>
  </si>
  <si>
    <t>J2: Addiction; Crome, Ilana Comment on: Addiction. 2009 Feb;104(2):169-72; PMID: 18778386; ID: 640</t>
  </si>
  <si>
    <t>Crome, Ilana. Department of Psychiatry, Keele University School of Medicine, UK. pca03@keele.ac.uk</t>
  </si>
  <si>
    <t>http://ovidsp.ovid.com/ovidweb.cgi?T=JS&amp;CSC=Y&amp;NEWS=N&amp;PAGE=fulltext&amp;D=med6&amp;AN=19149808</t>
  </si>
  <si>
    <t>https://dx.doi.org/10.1111/j.1360-0443.2008.02381.x</t>
  </si>
  <si>
    <t>MEDLINE; Ovid Technologies; New impetus to aim 'higher, faster, stronger'</t>
  </si>
  <si>
    <t>Cron,D. C.;Howard,R. A.</t>
  </si>
  <si>
    <t>Developing Safe Opioid Prescribing Practices Through Medical Student Education</t>
  </si>
  <si>
    <t>Annals of Surgery</t>
  </si>
  <si>
    <t>Ann.Surg.</t>
  </si>
  <si>
    <t>J2: Ann Surg; Using Smart Source Parsing Apr Cron, David Coulton Howard, Ryan Abram; ID: 1680</t>
  </si>
  <si>
    <t>1528-1140</t>
  </si>
  <si>
    <t>Cron, David Coulton. University of Michigan Medical School, Ann Arbor, MI. Howard, Ryan Abram. Department of Surgery, Michigan Medicine, Ann Arbor, MI.</t>
  </si>
  <si>
    <t>http://ovidsp.ovid.com/ovidweb.cgi?T=JS&amp;CSC=Y&amp;NEWS=N&amp;PAGE=fulltext&amp;D=medp&amp;AN=29697445</t>
  </si>
  <si>
    <t>https://dx.doi.org/10.1097/SLA.0000000000002798</t>
  </si>
  <si>
    <t>MEDLINE; Ovid Technologies; Developing Safe Opioid Prescribing Practices Through Medical Student Education</t>
  </si>
  <si>
    <t>Crowley,D.;Collins,C.;Delargy,I.;Laird,E.;Van Hout,M. C.</t>
  </si>
  <si>
    <t>Irish general practitioner attitudes toward decriminalisation and medical use of cannabis: results from a national survey</t>
  </si>
  <si>
    <t>Harm Reduction Journal</t>
  </si>
  <si>
    <t>Adult;*Attitude of Health Personnel;*Cannabis;Female;General Practitioners/px Psychology];*General Practitioners/sn Statistics &amp; Numerical Data];*Health Policy/lj Legislation &amp; Jurisprudence];Humans;Ireland;Male;*Medical Marijuana;Middle Aged;*Surveys and Questionnaires;0 (Medical Marijuana)</t>
  </si>
  <si>
    <t>BACKGROUND: Governmental debate in Ireland on the de facto decriminalisation of cannabis and legalisation for medical use is ongoing. A cannabis-based medicinal product (Sativex) has recently been granted market authorisation in Ireland. This unique study aimed to investigate Irish general practitioner (GP) attitudes toward decriminalisation of cannabis and assess levels of support for use of cannabis for therapeutic purposes (CTP). METHODS: General practitioners in the Irish College of General Practitioner (ICGP) database were invited to complete an online survey. Anonymous data yielded descriptive statistics (frequencies, percentages) to summarise participant demographic information and agreement with attitudinal statements. Chi-square tests and multi-nominal logistic regression were included. RESULTS: The response rate was 15% (n=565) which is similar to other Irish national GP attitudinal surveys. Over half of Irish GPs did not support the decriminalisation of cannabis (56.8%). In terms of gender, a significantly higher proportion of males compared with females (40.6 vs. 15%; p&lt;0.0001) agreed or strongly agreed with this drug policy approach. A higher percentage of GPs with advanced addiction specialist training (level 2) agreed/strongly agreed that cannabis should be decriminalised (54.1 vs. 31.5%; p=0.021). Over 80% of both genders supported the view that cannabis use has a significant effect on patients' mental health and increases the risk of schizophrenia (77.3%). Over half of Irish GPs supported the legalisation of cannabis for medical use (58.6%). A higher percentage of those who were level 1-trained (trained in addiction treatment but not to an advanced level) agreed/strongly agreed cannabis should be legalised for medical use (p=0.003). Over 60% agreed that cannabis can have a role in palliative care, pain management and treatment of multiple sclerosis (MS). In the regression response predicator analysis, females were 66.2% less likely to agree that cannabis should be decriminalised, 42.5% less likely to agree that cannabis should be legalised for medical use and 59.8 and 37.6% less likely to agree that cannabis has a role in palliative care and in the treatment of multiple sclerosis (respectively) than males. CONCLUSIONS: The majority of Irish GPs do not support the present Irish governmental drug policy of decriminalisation of cannabis but do support the legalisation of cannabis for therapeutic purposes. Male GPs and those with higher levels of addiction training are more likely to support a more liberal drug policy approach to cannabis for personal use. A clear majority of GPs expressed significant concerns regarding both the mental and physical health risks of cannabis use. Ongoing research into the health and other effects of drug policy changes on cannabis use is required.</t>
  </si>
  <si>
    <t>J2: Harm Reduct J; Crowley, Des Collins, Claire Delargy, Ide Laird, Eamon Van Hout, Marie Claire; ID: 47</t>
  </si>
  <si>
    <t>1477-7517</t>
  </si>
  <si>
    <t>Crowley, Des. Irish College of General Practitioners, Dublin, Ireland. Collins, Claire. Irish College of General Practitioners, Dublin, Ireland. Delargy, Ide. Irish College of General Practitioners, Dublin, Ireland. Laird, Eamon. School of Biochemistry and Immunology, Trinity College Dublin, Dublin, Ireland. Van Hout, Marie Claire. School of Health Sciences, Waterford Institute of Technology, Waterford, Ireland. mcvanhout@wit.ie. Van Hout, Marie Claire. Irish College of General Practitioners, Dublin, Ireland. mcvanhout@wit.ie.</t>
  </si>
  <si>
    <t>http://ovidsp.ovid.com/ovidweb.cgi?T=JS&amp;CSC=Y&amp;NEWS=N&amp;PAGE=fulltext&amp;D=medl&amp;AN=28086792</t>
  </si>
  <si>
    <t>https://dx.doi.org/10.1186/s12954-016-0129-7</t>
  </si>
  <si>
    <t>MEDLINE; Ovid Technologies; Irish general practitioner attitudes toward decriminalisation and medical use of cannabis: results from a national survey</t>
  </si>
  <si>
    <t>Crowley,R.;Kirschner,N.;Dunn,A. S.;Bornstein,S. S.;Health;Public Policy Committee of the American,College of</t>
  </si>
  <si>
    <t>Health and Public Policy to Facilitate Effective Prevention and Treatment of Substance Use Disorders Involving Illicit and Prescription Drugs: An American College of Physicians Position Paper</t>
  </si>
  <si>
    <t>Chronic Disease;Crime;Drug Monitoring;Epidemics/pc Prevention &amp; Control];*Health Policy;Humans;Insurance Coverage;Insurance, Health;Opioid-Related Disorders/ep Epidemiology];*Opioid-Related Disorders/pc Prevention &amp; Control];*Opioid-Related Disorders/th Therapy];*Prescription Drugs/ae Adverse Effects];Risk Assessment;*Street Drugs/ae Adverse Effects];United States/ep Epidemiology];0 (Prescription Drugs);0 (Street Drugs)</t>
  </si>
  <si>
    <t>Substance use disorders involving illicit and prescription drugs are a serious public health issue. In the United States, millions of individuals need treatment for substance use disorders but few receive it. The rising number of drug overdose deaths and the changing legal status of marijuana pose new challenges. In this position paper, the American College of Physicians maintains that substance use disorder is a treatable chronic medical condition and offers recommendations on expanding treatment options, the legal status of marijuana, addressing the opioid epidemic, insurance coverage of substance use disorders treatment, education and workforce, and public health interventions.</t>
  </si>
  <si>
    <t>J2: Ann Intern Med; Crowley, Ryan Kirschner, Neil Dunn, Andrew S Bornstein, Sue S Health and Public Policy Committee of the American College of Physicians; ID: 88</t>
  </si>
  <si>
    <t>Crowley, Ryan. From the American College of Physicians, Washington, DC. Kirschner, Neil. From the American College of Physicians, Washington, DC. Dunn, Andrew S. From the American College of Physicians, Washington, DC. Bornstein, Sue S. From the American College of Physicians, Washington, DC.</t>
  </si>
  <si>
    <t>http://ovidsp.ovid.com/ovidweb.cgi?T=JS&amp;CSC=Y&amp;NEWS=N&amp;PAGE=fulltext&amp;D=med8&amp;AN=28346947</t>
  </si>
  <si>
    <t>https://dx.doi.org/10.7326/M16-2953</t>
  </si>
  <si>
    <t>MEDLINE; Ovid Technologies; Health and Public Policy to Facilitate Effective Prevention and Treatment of Substance Use Disorders Involving Illicit and Prescription Drugs: An American College of Physicians Position Paper</t>
  </si>
  <si>
    <t>Crozier,M. K.;McMillan,S.;Hudson,S.;Jones,S.</t>
  </si>
  <si>
    <t>The eastern north carolina opioid prescribers project: a model continuing medical education workshop</t>
  </si>
  <si>
    <t>*Analgesics, Opioid/tu Therapeutic Use];Chronic Disease;*Drug Prescriptions;*Education, Medical, Continuing;Humans;*Opioid-Related Disorders;*Pain/dt Drug Therapy];0 (Analgesics, Opioid)</t>
  </si>
  <si>
    <t>The decision to prescribe opioid medications is complex. Physicians often struggle to balance the risks of medication diversion and abuse with the benefits of pain management. Nationally, more than 40 percent of primary care physicians report difficulty in discussing the possibility of prescription medication abuse with patients and more than 90 percent fail to detect symptoms of substance abuse. Continuing medical education workshops were developed in Eastern North Carolina to mitigate problems with opioid prescriptions. Attendance at these workshops suggests that prescribers are interested in improving opioid prescribing practices and reducing patient risk. Presurvey data indicate that prescribers are knowledgeable about screening tools and they consider patient risk factors for misuse.</t>
  </si>
  <si>
    <t>J2: J Opioid Manag; Crozier, Mary K Mcmillan, Sherri Hudson, Suzanne Jones, Stephanie; ID: 554</t>
  </si>
  <si>
    <t>Crozier, Mary K. Department of Rehabilitation Studies, East Carolina University, Greenville, North Carolina, USA.</t>
  </si>
  <si>
    <t>http://ovidsp.ovid.com/ovidweb.cgi?T=JS&amp;CSC=Y&amp;NEWS=N&amp;PAGE=fulltext&amp;D=med6&amp;AN=21046933</t>
  </si>
  <si>
    <t>MEDLINE; Ovid Technologies; The eastern north carolina opioid prescribers project: a model continuing medical education workshop</t>
  </si>
  <si>
    <t>Cummings,S. R.;Coates,T. J.;Richard,R. J.;Hansen,B.;Zahnd,E. G.;VanderMartin,R.;Duncan,C.;Gerbert,B.;Martin,A.;Stein,M. J.</t>
  </si>
  <si>
    <t>Training physicians in counseling about smoking cessation. A randomized trial of the "Quit for Life" program</t>
  </si>
  <si>
    <t>Attitude of Health Personnel;*Counseling/ed Education];*Education, Medical, Continuing;Health Maintenance Organizations;Humans;Internal Medicine;Motivation;Patient Education as Topic/mt Methods];Physician's Role;Random Allocation;San Francisco;Smoking/px Psychology];*Smoking Prevention;Surveys and Questionnaires</t>
  </si>
  <si>
    <t>STUDY OBJECTIVE: To test whether physicians who receive a continuing education program ("Quit for Life") about how to counsel smokers to quit would counsel smokers more effectively and have higher rates of long-term smoking cessation among their patients who smoke. DESIGN: Randomized trial with blinded assessment of principal outcomes. SETTING: Four health maintenance organization medical centers in northern California. SUBJECTS: Eighty-one internists assigned by blinded randomization to receive training (40) or serve as controls (41). Consecutive samples of smokers visiting each physician (mean, 25.6 patients per experimental and 25.2 per control physician). INTERVENTIONS: Internists received 3 hours of training about how to help smokers quit. Physicians and their office staff also were given self-help booklets to distribute free to smokers and were urged to use a system of stickers on charts to remind physicians to counsel smokers about quitting. MEASUREMENTS AND MAIN RESULTS: On the basis of telephone interviews with patients after visiting the physician, we determined that internists who attended the Quit for Life program discussed smoking with more patients who smoked, spent more time counseling them about smoking, helped more patients set dates to quit smoking, gave out more self-help booklets, and made more follow-up appointments to discuss smoking than did internists in the control group. One year later, the rate of biochemically confirmed, long-term (greater than or equal to 9 months) abstinence from smoking was 1% higher among all patients of trained internists than among patients of controls (95% CI, -0.1% to +2.3%), and 2.2% (+0.2% to +4.3%) higher among the patients who most wanted to quit smoking. CONCLUSIONS: This continuing education program substantially changed the way physicians counseled smokers. As a result, a few more patients who wanted to quit smoking achieved long-term abstinence.</t>
  </si>
  <si>
    <t>J2: Ann Intern Med; Cummings, S R Coates, T J Richard, R J Hansen, B Zahnd, E G VanderMartin, R Duncan, C Gerbert, B Martin, A Stein, M J; ID: 1388</t>
  </si>
  <si>
    <t>Cummings, S R. University of California, San Francisco.</t>
  </si>
  <si>
    <t>http://ovidsp.ovid.com/ovidweb.cgi?T=JS&amp;CSC=Y&amp;NEWS=N&amp;PAGE=fulltext&amp;D=med3&amp;AN=2930094</t>
  </si>
  <si>
    <t>MEDLINE; Ovid Technologies; Training physicians in counseling about smoking cessation. A randomized trial of the "Quit for Life" program</t>
  </si>
  <si>
    <t>Cummings,S. R.;Richard,R. J.;Duncan,C. L.;Hansen,B.;Vander Martin,R.;Gerbert,B.;Coates,T. J.</t>
  </si>
  <si>
    <t>Training physicians about smoking cessation: a controlled trial in private practice</t>
  </si>
  <si>
    <t>Clinical Competence/st Standards];*Counseling/st Standards];*Education, Medical, Continuing/mt Methods];Follow-Up Studies;Humans;*Patient Education as Topic/st Standards];Physician-Patient Relations;*Private Practice/st Standards];Randomized Controlled Trials as Topic;*Smoking Prevention</t>
  </si>
  <si>
    <t>STUDY OBJECTIVE: To test the hypotheses that physicians in private practice who receive a continuing education program (entitled "Quit for Life") about how to counsel smokers to quit would counsel smokers more effectively and have higher rates of long-term smoking cessation among their patients. DESIGN: Randomized trial with blinded assessment of principal outcomes. SETTING: Private practices of internal medicine and family practice. SUBJECTS: Forty-four physicians randomly assigned to receive training (24) or serve as controls (20) and consecutive samples of smokers visiting each physician (19.6 patients per experimental and 22.3 per control physician). INTERVENTIONS: Physicians received three hours of training about how to help smokers quit. Physicians and their office staffs were also given self-help booklets to distribute to smokers and were urged to use a system of stickers on charts as reminders to counsel smokers about quitting. MEASUREMENTS AND MAIN RESULTS: Based on telephone interviews with patients, physicians in the experimental group were more likely to discuss smoking with patients who smoked (64% vs. 44%), spent more time counseling smokers about quitting (7.5 vs. 5.2 minutes), helped more smokers set dates to quit smoking (29% vs. 5% of smokers), gave out more self-help booklets (37% vs. 9%), and were more likely to make a follow-up appointment about quitting smoking (19% vs. 11% of those counseled) than physicians in the control group. One year later, the rates of biochemically confirmed, long-term (greater than or equal to 9 months) abstinence from smoking were similar among patients in the experimental (3.2%) and control (2.5%) groups (95% confidence interval for the 0.7% difference: -1.7 to +3.1%). CONCLUSIONS: The authors conclude that this continuing education program substantially changed the way physicians counseled smokers, but had little or no impact on rates of long-term smoking cessation among their patients. There is a need for more effective strategies to help physicians help their patients to quit smoking.</t>
  </si>
  <si>
    <t>J2: J Gen Intern Med; Cummings, S R Richard, R J Duncan, C L Hansen, B Vander Martin, R Gerbert, B Coates, T J; ID: 1373</t>
  </si>
  <si>
    <t>Cummings, S R. Division of General Internal Medicine, University of California, San Francisco 94143-0320.</t>
  </si>
  <si>
    <t>http://ovidsp.ovid.com/ovidweb.cgi?T=JS&amp;CSC=Y&amp;NEWS=N&amp;PAGE=fulltext&amp;D=med3&amp;AN=2685206</t>
  </si>
  <si>
    <t>MEDLINE; Ovid Technologies; Training physicians about smoking cessation: a controlled trial in private practice</t>
  </si>
  <si>
    <t>Cummins,R. O.;Shaper,A. G.;Walker,M.;Wale,C. J.</t>
  </si>
  <si>
    <t>Smoking and drinking by middle-aged British men: effects of social class and town of residence</t>
  </si>
  <si>
    <t>British Medical Journal Clinical Research Ed.</t>
  </si>
  <si>
    <t>Adult;Age Factors;*Alcohol Drinking;Geography;Humans;Male;Middle Aged;Residence Characteristics;*Smoking;*Social Class;United Kingdom</t>
  </si>
  <si>
    <t>In 7735 men aged 40-59, selected at random from general practices in 24 towns throughout Britain, pronounced differences were noted in the prevalences of smoking and drinking between the social classes. Social class differences also existed for frequency and quantity of drinking, type of beverage, and several aspects of smoking behaviour. Increasing amounts of smoking were associated with higher prevalences of moderate to heavy drinking, particularly in daily rather than weekend drinkers. Between drinking groups, however, the relation with smoking was more U-shaped, with light and heavy drinkers smoking more than moderate drinkers. The lowest rates of moderate to heavy smoking were observed in frequent light drinkers, particularly in the nonmanual workers. The proportion of moderate to heavy drinkers was no higher among ex-cigarette smokers than among current smokers. When the data were examined by town of residence social class differences persisted. Controlling for social class still showed pronounced differences between towns in both smoking and drinking behaviour. These data confirm that town of residence and social class have independent effects on smoking and drinking. The established regional and social class differences in cardiovascular disease may be due in part to the independent influences of town and social class on smoking and drinking behaviour.</t>
  </si>
  <si>
    <t>J2: Br Med J (Clin Res Ed); Cummins, R O Shaper, A G Walker, M Wale, C J; ID: 1500</t>
  </si>
  <si>
    <t>0267-0623</t>
  </si>
  <si>
    <t>http://ovidsp.ovid.com/ovidweb.cgi?T=JS&amp;CSC=Y&amp;NEWS=N&amp;PAGE=fulltext&amp;D=med2&amp;AN=6799040</t>
  </si>
  <si>
    <t>MEDLINE; Ovid Technologies; Smoking and drinking by middle-aged British men: effects of social class and town of residence</t>
  </si>
  <si>
    <t>Curtis,J. R.;Geller,G.;Stokes,E. J.;Levine,D. M.;Moore,R. D.</t>
  </si>
  <si>
    <t>Characteristics, diagnosis, and treatment of alcoholism in elderly patients</t>
  </si>
  <si>
    <t>Journal of the American Geriatrics Society</t>
  </si>
  <si>
    <t>J.Am.Geriatr.Soc.</t>
  </si>
  <si>
    <t>Age Factors;Aged;Alcoholism/di Diagnosis];Alcoholism/ep Epidemiology];Alcoholism/th Therapy];*Alcoholism;Algorithms;Faculty, Medical;Female;Humans;Internship and Residency;Male;Middle Aged;Psychological Tests</t>
  </si>
  <si>
    <t>The purpose of this study is to examine the ability of physicians to diagnose alcoholism in the elderly patient and to define characteristics specific to the elderly patient with alcoholism. During a 3-month period, all new admissions to the medical service of The Johns Hopkins Hospital were screened for alcoholism with two screening tests (the CAGE questionnaire and Short Michigan Alcohol Screening Test). The prevalence of screen-positive alcoholism was 27% in patients under 60 years of age and 21% in patients 60 years and older. Elderly patients with alcoholism were more likely to be black (P less than .01), but did not differ significantly in any other way from elderly patients who did not have alcoholism. Although 60% of screen-positive young patients with alcoholism were identified by their houseofficers, only 37% of elderly patients with screen-positive alcoholism were so identified (P less than .05). The elderly patients with alcoholism were significantly less likely to be diagnosed by their houseofficer if they were white, female, or had completed high school (P less than .01). Even when diagnosed, elderly patients with alcoholism were less likely than younger patients with alcoholism to have treatment recommended by their houseofficers (P less than .05) and, if treatment were recommended, it was less likely to be initiated (P less than .05). These data suggest that current medical education is deficient in providing physicians with the skills to detect and treat elderly patients with alcoholism.</t>
  </si>
  <si>
    <t>J2: J Am Geriatr Soc; Curtis, J R Geller, G Stokes, E J Levine, D M Moore, R D Comment in: J Am Geriatr Soc. 1989 Dec;37(12):1204; PMID: 2592726; ID: 1389</t>
  </si>
  <si>
    <t>Curtis, J R. Department of Medicine, Johns Hopkins University, Baltimore, Maryland.</t>
  </si>
  <si>
    <t>http://ovidsp.ovid.com/ovidweb.cgi?T=JS&amp;CSC=Y&amp;NEWS=N&amp;PAGE=fulltext&amp;D=med3&amp;AN=2921452</t>
  </si>
  <si>
    <t>MEDLINE; Ovid Technologies; Characteristics, diagnosis, and treatment of alcoholism in elderly patients</t>
  </si>
  <si>
    <t>Cushman,P., J.</t>
  </si>
  <si>
    <t>Postgraduate substance abuse teaching: cognitive knowledge before and long after a required course</t>
  </si>
  <si>
    <t>*Family Practice/ed Education];Humans;*Internship and Residency;*Substance-Related Disorders;Wisconsin</t>
  </si>
  <si>
    <t>J2: J Psychoactive Drugs; Cushman, P Jr; ID: 1482</t>
  </si>
  <si>
    <t>http://ovidsp.ovid.com/ovidweb.cgi?T=JS&amp;CSC=Y&amp;NEWS=N&amp;PAGE=fulltext&amp;D=med2&amp;AN=6631593</t>
  </si>
  <si>
    <t>MEDLINE; Ovid Technologies; Postgraduate substance abuse teaching: cognitive knowledge before and long after a required course</t>
  </si>
  <si>
    <t>Postgraduate substance abuse teaching: cognitive knowledge before and after a required course</t>
  </si>
  <si>
    <t>*Education, Medical, Graduate;Humans;*Substance-Related Disorders</t>
  </si>
  <si>
    <t>J2: J Med Educ; Cushman, P Jr; ID: 1502</t>
  </si>
  <si>
    <t>http://ovidsp.ovid.com/ovidweb.cgi?T=JS&amp;CSC=Y&amp;NEWS=N&amp;PAGE=fulltext&amp;D=med2&amp;AN=7288856</t>
  </si>
  <si>
    <t>MEDLINE; Ovid Technologies; Postgraduate substance abuse teaching: cognitive knowledge before and after a required course</t>
  </si>
  <si>
    <t>da Silva, R. D., Jr.;Bhugra,D.;de Andrade,A. G.;Lotufo-Neto,F.;Castaldelli-Maia,J.</t>
  </si>
  <si>
    <t>DSM-5 alcohol use disorder criteria in "Crazy Heart" (2009)-a media content analysis with teaching purposes</t>
  </si>
  <si>
    <t>*Alcoholism/di Diagnosis];*Diagnostic and Statistical Manual of Mental Disorders;*Education, Medical/mt Methods];Humans;*Motion Pictures;*Psychiatry/ed Education]</t>
  </si>
  <si>
    <t>OBJECTIVE: The movie Crazy Heart (2009) draws our attention to alcohol disorders as it has a large number of scenes which portray alcohol consumption and fulfill the new DSM-5 Alcohol Use Disorder (DSM-5-AUD) criteria. In view of the recent launch of DSM-5, this is an appropriate opportunity to explore alcohol consumption in a large number of scenes employing the DSM-5-AUD criteria to study this. METHODS: We use media content analysis to identify DSM-5 AUD criteria as portrayed by the main protagonist of the movie Bad Blake in a structured manner. We studied his behavior and attitudes in the context of the film structure and storyline. RESULTS: The severity continuum of DSM-5 AUD can be demonstrated through the trajectory of the character Bad Blake. In the course of the movie, there is some reference to all the DSM-5-AUD criteria, which can be applied to this character within the 21 scenes selected for this study. CONCLUSION: This film can therefore be helpful and used to introduce students and trainees to the DSM-5-AUD criteria. It also allows teachers to discuss with their students and trainees the options of treatment including decision to quit drinking (total abstinence) and the recovery and relapse of this chronic condition.</t>
  </si>
  <si>
    <t>J2: Acad Psychiatry; da Silva, Rubens Dantas Jr Bhugra, Dinesh de Andrade, Arthur Guerra Lotufo-Neto, Francisco Castaldelli-Maia, Joao Mauricio; ID: 262</t>
  </si>
  <si>
    <t>da Silva, Rubens Dantas Jr. Fundacao do ABC, Santo Andre, SP, Brazil.</t>
  </si>
  <si>
    <t>http://ovidsp.ovid.com/ovidweb.cgi?T=JS&amp;CSC=Y&amp;NEWS=N&amp;PAGE=fulltext&amp;D=med8&amp;AN=24442788</t>
  </si>
  <si>
    <t>https://dx.doi.org/10.1007/s40596-013-0019-1</t>
  </si>
  <si>
    <t>MEDLINE; Ovid Technologies; DSM-5 alcohol use disorder criteria in "Crazy Heart" (2009)-a media content analysis with teaching purposes</t>
  </si>
  <si>
    <t>Da Silveira,D. X.;Rosa-Oliveira,L.;Di Pietro,M.;Niel,M.;Doering-Silveira,E.;Jorge,M. R.</t>
  </si>
  <si>
    <t>Evolutional pattern of drug use by medical students</t>
  </si>
  <si>
    <t>Brazil/ep Epidemiology];Female;Humans;Male;Sex Factors;Students, Medical/px Psychology];*Students, Medical/sn Statistics &amp; Numerical Data];*Substance-Related Disorders/ep Epidemiology];Substance-Related Disorders/px Psychology];Time Factors</t>
  </si>
  <si>
    <t>Recent use of psychoactive substances among 456 medical students throughout the six grades was surveyed by way of a self-report questionnaire using World Health Organisation criteria. Among male medical students, the most frequently used substances were alcohol (80.5%), cannabis (25.3%), solvents (25.2%), and tobacco (25.2%), whereas among female students the most frequently used drugs were alcohol (72.6%), tobacco (14.6%), solvents (10.5%), and tranquillizers (7.5%). Switch from illegal to legal drugs were observed only among female medical students. Male students tend to alternate cannabis and solvents throughout college years. Interventions aiming to influence patterns of drug consumption among medical students must consider both gender differences and evolutional patterns of substance use throughout medical course.</t>
  </si>
  <si>
    <t>J2: Addict Behav; Da Silveira, Dartiu Xavier Rosa-Oliveira, Leonardo Di Pietro, Monica Niel, Marcelo Doering-Silveira, Evelyn Jorge, Miguel Roberto; ID: 679</t>
  </si>
  <si>
    <t>Da Silveira, Dartiu Xavier. Addiction Unit (PROAD), Department of Psychiatry, Federal University of Sao Paulo (UNIFESP), Brazil. dartiu@terra.com.br</t>
  </si>
  <si>
    <t>http://ovidsp.ovid.com/ovidweb.cgi?T=JS&amp;CSC=Y&amp;NEWS=N&amp;PAGE=fulltext&amp;D=med6&amp;AN=18068309</t>
  </si>
  <si>
    <t>MEDLINE; Ovid Technologies; Evolutional pattern of drug use by medical students</t>
  </si>
  <si>
    <t>Dacher,M.;Nugent,F. S.</t>
  </si>
  <si>
    <t>Opiates and plasticity</t>
  </si>
  <si>
    <t>Neuropharmacology</t>
  </si>
  <si>
    <t>Analgesics, Opioid/ad Administration &amp; Dosage];*Analgesics, Opioid/ae Adverse Effects];Animals;Behavior, Addictive/et Etiology];Humans;Narcotics/ad Administration &amp; Dosage];*Narcotics/ae Adverse Effects];*Neuronal Plasticity/de Drug Effects];Neurons/de Drug Effects];Opioid-Related Disorders/pp Physiopathology];Ventral Tegmental Area/de Drug Effects];Ventral Tegmental Area/pp Physiopathology];0 (Analgesics, Opioid);0 (Narcotics)</t>
  </si>
  <si>
    <t>Opiates are among the most powerful analgesics and pain-relieving agents. However, they are potentially extremely addictive thereby limiting their medical use, making them exceedingly susceptible to abuse and adding to the global drug problem. It is believed that positive memories associated with the pleasurable effects of opiates and negative memories associated with dysphoria during opiate withdrawal contribute to compulsive opiate-seeking behavior characterizing addiction. There is a vast amount of available data regarding the neuroadaptations in response to opiates during opiate tolerance, dependence and withdrawal that contribute to opiate addiction, yet it is still a major challenge to identify the neurobiological adaptations that underlie the hallmarks of opiate addiction such as compulsive drug use, and relapse to drug seeking. Since the discovery of synaptic plasticity as the cellular correlate of learning and memory, strong overlaps between neural and cellular substrates of learning and addiction have been recognized. Consequently, the current notion of addiction supports the idea that aberrant forms of drug-induced synaptic plasticity and learning in the brain drive addictive behaviors. Here we discuss current progress on some of the recently identified forms of synaptic plasticity at excitatory and inhibitory synapses in opioid-sensitive areas of the brain that are targeted by opiates and other addictive drugs. The neuroadaptations involved in opiate tolerance, dependence and withdrawal will be re-visited since they share many features with synaptic learning mechanisms.</t>
  </si>
  <si>
    <t>J2: Neuropharmacology; Dacher, Matthieu Nugent, Fereshteh S; ID: 479</t>
  </si>
  <si>
    <t>1873-7064</t>
  </si>
  <si>
    <t>Dacher, Matthieu. Uniformed Services University of the Health Sciences, Department of Pharmacology, Bethesda, MD 20814, USA.</t>
  </si>
  <si>
    <t>http://ovidsp.ovid.com/ovidweb.cgi?T=JS&amp;CSC=Y&amp;NEWS=N&amp;PAGE=fulltext&amp;D=med7&amp;AN=21272593</t>
  </si>
  <si>
    <t>https://dx.doi.org/10.1016/j.neuropharm.2011.01.028</t>
  </si>
  <si>
    <t>MEDLINE; Ovid Technologies; Opiates and plasticity</t>
  </si>
  <si>
    <t>Daghestani,A. N.</t>
  </si>
  <si>
    <t>Changing perspectives in substance abuse and the physician's role</t>
  </si>
  <si>
    <t>IMJ - Illinois Medical Journal</t>
  </si>
  <si>
    <t>Adolescent;Aged;Education, Medical;Education, Medical, Continuing;Female;Humans;Male;Physician's Role;Self-Help Groups;Substance-Related Disorders/ep Epidemiology];*Substance-Related Disorders/th Therapy]</t>
  </si>
  <si>
    <t>J2: IMJ Ill Med J; Daghestani, A N; ID: 1411</t>
  </si>
  <si>
    <t>http://ovidsp.ovid.com/ovidweb.cgi?T=JS&amp;CSC=Y&amp;NEWS=N&amp;PAGE=fulltext&amp;D=med3&amp;AN=2896657</t>
  </si>
  <si>
    <t>MEDLINE; Ovid Technologies; Changing perspectives in substance abuse and the physician's role</t>
  </si>
  <si>
    <t>Damsa,C.;Andreoli,A.;Zullino,D.;Adam,E.;Mihai,A.;Maris,S.;Caihol,L.;Lazignac,C.;Allen,M. H.</t>
  </si>
  <si>
    <t>Quality of care in Emergency Psychiatry: developing an international network</t>
  </si>
  <si>
    <t>European Psychiatry: the Journal of the Association of European Psychiatrists</t>
  </si>
  <si>
    <t>Curriculum/st Standards];*Emergency Services, Psychiatric/og Organization &amp; Administration];Europe;*Guidelines as Topic/st Standards];Humans;*International Cooperation;Internship and Residency/og Organization &amp; Administration];Multicenter Studies as Topic/st Standards];Psychiatry/ed Education];Psychomotor Agitation/di Diagnosis];*Psychomotor Agitation/th Therapy];*Quality of Health Care/og Organization &amp; Administration];Substance-Related Disorders/di Diagnosis];*Substance-Related Disorders/rh Rehabilitation];*Suicide/pc Prevention &amp; Control];Suicide/px Psychology];United States</t>
  </si>
  <si>
    <t>J2: Eur Psychiatry; Damsa, Cristian Andreoli, Antonio Zullino, Daniele Adam, Eric Mihai, Adriana Maris, Susanne Caihol, Lionel Lazignac, Coralie Allen, Michael H; ID: 715</t>
  </si>
  <si>
    <t>0924-9338</t>
  </si>
  <si>
    <t>Damsa, Cristian. Cantonal Universitary Hospital Geneva, Geneva, Switzerland. c.damsa@bluewin.ch</t>
  </si>
  <si>
    <t>http://ovidsp.ovid.com/ovidweb.cgi?T=JS&amp;CSC=Y&amp;NEWS=N&amp;PAGE=fulltext&amp;D=medc&amp;AN=17948351</t>
  </si>
  <si>
    <t>MEDLINE; Ovid Technologies; Quality of care in Emergency Psychiatry: developing an international network</t>
  </si>
  <si>
    <t>Daniulaityte,R.;Falck,R.;Carlson,R. G.</t>
  </si>
  <si>
    <t>NIHMS363793; "I'm not afraid of those ones just 'cause they've been prescribed": perceptions of risk among illicit users of pharmaceutical opioids</t>
  </si>
  <si>
    <t>Adolescent;Analgesics, Opioid/ad Administration &amp; Dosage];*Analgesics, Opioid/ae Adverse Effects];Consensus;Cultural Characteristics;Data Collection;Female;Humans;Male;*Models, Theoretical;Opioid-Related Disorders/ep Epidemiology];Opioid-Related Disorders/pc Prevention &amp; Control];*Opioid-Related Disorders/px Psychology];Prescription Drugs/ad Administration &amp; Dosage];*Prescription Drugs/ae Adverse Effects];Risk;United States/ep Epidemiology];Young Adult;0 (Analgesics, Opioid);0 (Prescription Drugs)</t>
  </si>
  <si>
    <t>BACKGROUND: There has been a rise in the illicit use of pharmaceutical opioids ("pain pills") in the United States. Conducted with young adult non-medical users of pharmaceutical opioids, this study uses qualitative methods and cultural consensus analysis to describe risk perceptions associated with pharmaceutical opioids and to determine patterns of cultural sharing and intra-cultural variation of these views. METHODS: The qualitative sub-sample (n=47) was selected from a larger sample of 396 young adults (18-23 years old), who were participating in a natural history study of illicit pharmaceutical opioid use. Qualitative life history interviews, drug ranking task, and cultural consensus analysis were used to elicit participant views about risks and harms associated with pain pills and other drugs, as well as alcohol and tobacco. RESULTS: Cultural consensus analysis revealed that the participants shared a single cultural model of drug risks, but the level of agreement decreased with the increasing range of drugs ever used. Further, those with more extensive drug use histories differed from less "experienced" users in their views about OxyContin and some other drugs. Overall, pain pills were viewed as addicting and potentially deadly substances, but these properties were linked to the patterns and methods of use, as well as characteristics of an individual user. Further, risks associated with pharmaceutical opioids were further curtailed because they "came from the doctor," and thus had a legitimate aspect to their use. CONCLUSIONS: This study highlights potential problems with universal approaches to substance use prevention and intervention among young people since such approaches ignore the fact that substance use education messages may be experienced differently depending on an individual's drug use history and his/her perceptions of drug risks. Findings reported here may be useful in the development of prevention and intervention programs aimed at reducing the harm associated with illicit use of pain pills.</t>
  </si>
  <si>
    <t>J2: Int J Drug Policy; Daniulaityte, Raminta Falck, Russel Carlson, Robert G S0955-3959(12)00013-8; ID: 399</t>
  </si>
  <si>
    <t>Daniulaityte, Raminta. Center for Interventions, Treatment, and Addiction Research, Department of Community Health, Boonshoft School of Medicine, Wright State University, 3640 Colonel Glenn Hwy., Dayton, OH 45435, USA. raminta.daniulaityte@wright.edu</t>
  </si>
  <si>
    <t>http://ovidsp.ovid.com/ovidweb.cgi?T=JS&amp;CSC=Y&amp;NEWS=N&amp;PAGE=fulltext&amp;D=med7&amp;AN=22417823</t>
  </si>
  <si>
    <t>https://dx.doi.org/10.1016/j.drugpo.2012.01.012</t>
  </si>
  <si>
    <t>MEDLINE; Ovid Technologies; "I'm not afraid of those ones just 'cause they've been prescribed": perceptions of risk among illicit users of pharmaceutical opioids</t>
  </si>
  <si>
    <t>D'Antoni,S.</t>
  </si>
  <si>
    <t>The Orleans Parish Medical Society's "doctors in the schools" anti-tobacco education program</t>
  </si>
  <si>
    <t>Journal of the Louisiana State Medical Society</t>
  </si>
  <si>
    <t>Adolescent;Child;Female;*Health Education;Humans;Louisiana;Male;*Physician's Role;Pilot Projects;*Smoking Prevention;*Societies, Medical</t>
  </si>
  <si>
    <t>J2: J La State Med Soc; D'Antoni, S; ID: 1194</t>
  </si>
  <si>
    <t>0024-6921</t>
  </si>
  <si>
    <t>D'Antoni, S. Orleans Parish Medical Society in New Orleans, USA.</t>
  </si>
  <si>
    <t>http://ovidsp.ovid.com/ovidweb.cgi?T=JS&amp;CSC=Y&amp;NEWS=N&amp;PAGE=fulltext&amp;D=med3&amp;AN=7775844</t>
  </si>
  <si>
    <t>MEDLINE; Ovid Technologies; The Orleans Parish Medical Society's "doctors in the schools" anti-tobacco education program</t>
  </si>
  <si>
    <t>Daudt,A. W.;Alberg,A. J.;Prola,J. C.;Fialho,L.;Petracco,A.;Wilhelms,A.;Weiss,A.;Estery,C.</t>
  </si>
  <si>
    <t>A first step incorporating smoking education into a Brazilian medical school curriculum: results of a survey to assess the cigarette smoking knowledge, attitudes, behaviour, and clinical practices of medical students</t>
  </si>
  <si>
    <t>Adolescent;Adult;*Attitude to Health;Brazil;*Cognition;*Curriculum;*Education, Medical;Female;*Health Behavior;*Health Knowledge, Attitudes, Practice;Health Promotion;Humans;Male;Retrospective Studies;Smoking Cessation;*Smoking Prevention;Surveys and Questionnaires;Tobacco Use Disorder/di Diagnosis];*Tobacco Use Disorder/pc Prevention &amp; Control]</t>
  </si>
  <si>
    <t>Smoking-related illnesses are the leading causes of morbidity and mortality in Brazil. Despite a smoking prevalence of approximately 40%, there is limited national effort to reduce tobacco use in Brazil by means of public education and training of health care professionals to promote smoking education. In particular, the need for information about tobacco warrants increased emphasis in undergraduate medical education. An educational program on nicotine addiction during medical school could facilitate the incorporation of smoking cessation interventions into routine medical practice. As a preliminary step toward implementing a tobacco education and intervention program, this study was designed to assess knowledge and attitudes about smoking among Brazilian medical students. Five hundred thirteen (N = 513) medical students from the Federal University of Rio Grande do Sul, the southernmost state of Brazil, completed a self-reported questionnaire during the 1995-1996 academic school year. Most students recognize the adverse health effects of smoking and the importance of their professional role in promoting smoking cessation. In contradiction, however, few medical students currently provide their patients who smoke with even minimal intervention. This discrepancy supports the idea that training in nicotine addiction and smoking cessation techniques will help medical students to develop the skills and confidence needed to successfully intervene with their current and future patients.</t>
  </si>
  <si>
    <t>J2: J Addict Dis; Daudt, A W Alberg, A J Prola, J C Fialho, L Petracco, A Wilhelms, A Weiss, A Estery, C; ID: 1060</t>
  </si>
  <si>
    <t>Daudt, A W. Oncology Service, Hospital de Clinicas de Porto Alegre, Federal University of Rio Grande do Sul, Brazil. adaudt@pro.via-rs.com.br</t>
  </si>
  <si>
    <t>http://ovidsp.ovid.com/ovidweb.cgi?T=JS&amp;CSC=Y&amp;NEWS=N&amp;PAGE=fulltext&amp;D=med4&amp;AN=10234560</t>
  </si>
  <si>
    <t>MEDLINE; Ovid Technologies; A first step incorporating smoking education into a Brazilian medical school curriculum: results of a survey to assess the cigarette smoking knowledge, attitudes, behaviour, and clinical practices of medical students</t>
  </si>
  <si>
    <t>Davis,A. K.;Cotter,F.;Czechowicz,D.</t>
  </si>
  <si>
    <t>Substance abuse units taught by four specialties in medical schools and residency programs</t>
  </si>
  <si>
    <t>*Curriculum;Data Collection;*Education, Medical, Undergraduate;Family Practice;Humans;Internal Medicine;*Internship and Residency;*Medicine;Pediatrics;Psychiatry;Puerto Rico;Schools, Medical;*Specialization;*Substance-Related Disorders;Teaching/mt Methods]</t>
  </si>
  <si>
    <t>Four medical specialty organizations conducted a survey of 294 departments in 98 medical schools and 1,124 residency programs to identify the number and type of curriculum units on substance abuse offered by these specialties. A curriculum unit was defined as a formal block of teaching on substance abuse. A total of 251 (85 percent) of the medical school departments and 828 (74 percent) of the residency programs responded. Of those, 175 (70 percent) of the medical school departments and 479 (58 percent) of the residency programs reported offering at least one curriculum unit on substance abuse. There was considerable variation among the four specialties in the number and percentage of departments or programs reporting such units. Overall, a majority of the units addressed both alcohol and other drugs, were required, and included a clinical component. Evaluations of content and teaching strategies are needed to examine the quality and adequacy of substance abuse training.</t>
  </si>
  <si>
    <t>J2: J Med Educ; Davis, A K Cotter, F Czechowicz, D; ID: 1406</t>
  </si>
  <si>
    <t>Davis, A K. Substance Abuse Faculty Development Program, Society of Teachers of Family Medicine, Kansas City, Missouri.</t>
  </si>
  <si>
    <t>http://ovidsp.ovid.com/ovidweb.cgi?T=JS&amp;CSC=Y&amp;NEWS=N&amp;PAGE=fulltext&amp;D=med3&amp;AN=3172153</t>
  </si>
  <si>
    <t>MEDLINE; Ovid Technologies; Substance abuse units taught by four specialties in medical schools and residency programs</t>
  </si>
  <si>
    <t>Davis,A. K.;Graham,A. V.;Coggan,P. G.;Finch,J. N.;Fleming,M. F.;Brown,R. L.;Sherwood,R. A.;Henry,R.;Schulz,J.</t>
  </si>
  <si>
    <t>Creating a substance abuse network in family medicine: lessons learned</t>
  </si>
  <si>
    <t>Faculty, Medical;Family Practice/ec Economics];*Family Practice/ed Education];Family Practice/mt Methods];Health Policy;Health Services Needs and Demand;Humans;Research;Societies, Medical/og Organization &amp; Administration];*Substance-Related Disorders/th Therapy];Training Support/ec Economics];United States</t>
  </si>
  <si>
    <t>Family practice was one of several primary care specialties awarded federal contracts in 1985 to survey substance abuse training needs. Family medicine has since excelled in creating a viable substance abuse network. Key events were the sponsorship of a fellowship program, the formation of the Society of Teachers of Family Medicine (STFM) Substance Abuse Working Group, and the working group's pursuit of externally funded projects. Tangible measures of the network's success include collective funding exceeding $7.3 million, an increase in the number of substance abuse activities at annual STFM conferences, and a nearly four-fold growth in the group's membership and collaborative publications. Key factors underlying the vitality of the network that may be generalizable include: 1) initial emphasis on training family physician faculty; 2) making optimal use of the existing administrative channels within STFM; 3) acquisition of external funding; 4) some continuity of core persons working together; 5) active networking within and outside family medicine; and 6) promotion of individual success.</t>
  </si>
  <si>
    <t>J2: Fam Med; Davis, A K Graham, A V Coggan, P G Finch, J N Fleming, M F Brown, R L Sherwood, R A Henry, R Schulz, J Comment in: Fam Med. 1992 Sep-Oct;24(7):488; PMID: 1397820; ID: 1282</t>
  </si>
  <si>
    <t>Davis, A K. Department of Family Medicine, Case Western Reserve University.</t>
  </si>
  <si>
    <t>http://ovidsp.ovid.com/ovidweb.cgi?T=JS&amp;CSC=Y&amp;NEWS=N&amp;PAGE=fulltext&amp;D=med3&amp;AN=1601241</t>
  </si>
  <si>
    <t>MEDLINE; Ovid Technologies; Creating a substance abuse network in family medicine: lessons learned</t>
  </si>
  <si>
    <t>Davis,A. K.;Parran,T. V., J.;Graham,A. V.</t>
  </si>
  <si>
    <t>Educational strategies for clinicians</t>
  </si>
  <si>
    <t>Primary Care; Clinics in Office Practice</t>
  </si>
  <si>
    <t>*Alcoholism/di Diagnosis];Alcoholism/pc Prevention &amp; Control];Curriculum;*Education, Medical, Continuing;*Family Practice/ed Education];Humans;*Internship and Residency;*Psychotropic Drugs/ae Adverse Effects];Street Drugs/ae Adverse Effects];*Street Drugs;*Substance-Related Disorders/di Diagnosis];Substance-Related Disorders/pc Prevention &amp; Control];0 (Psychotropic Drugs);0 (Street Drugs)</t>
  </si>
  <si>
    <t>Largely because of a lack of training, many primary care physicians are unaware of how they can prevent, detect, or manage substance abuse within their clinical practice. The educational process used to develop a teaching unit can be simplified by initially asking a few directed questions. The answers to these questions determine what needs to be taught while facilitating the subsequent steps of determining learning goals and objectives and selecting appropriate teaching materials and strategies. Evaluating the teaching unit on at least a cursory level provides useful information for future planning. A variety of curriculum manuals and clinical text parts can be readily incorporated into teaching units. These same sources can alternatively be adapted to an individual's own self-directed course of study. Incorporation of experimental educational strategies is especially useful in substance abuse instruction. Including recovering individuals, attendance at self-help group meetings, and role play exercises are all useful experimental strategies for engaging the learner. Tapping into organizational resources and networking with others involved in similar activities enhances one's potential through the sharing of information and through the synergism created by networking with others. References: 25]</t>
  </si>
  <si>
    <t>J2: Prim Care; Davis, A K Parran, T V Jr Graham, A V; ID: 1258</t>
  </si>
  <si>
    <t>0095-4543</t>
  </si>
  <si>
    <t>Davis, A K. Department of Medicine, Case Western Reserve University School of Medicine, Cleveland, Ohio.</t>
  </si>
  <si>
    <t>http://ovidsp.ovid.com/ovidweb.cgi?T=JS&amp;CSC=Y&amp;NEWS=N&amp;PAGE=fulltext&amp;D=med3&amp;AN=8464945</t>
  </si>
  <si>
    <t>MEDLINE; Ovid Technologies; Educational strategies for clinicians</t>
  </si>
  <si>
    <t>Davis,C. S.;Carr,D.</t>
  </si>
  <si>
    <t>Physician continuing education to reduce opioid misuse, abuse, and overdose: Many opportunities, few requirements</t>
  </si>
  <si>
    <t>06 01</t>
  </si>
  <si>
    <t>Analgesics, Opioid;*Drug Overdose/pc Prevention &amp; Control];*Education, Medical, Continuing;Humans;Inappropriate Prescribing;Legislation, Drug;Licensure;*Opioid-Related Disorders/pc Prevention &amp; Control];Pain Management;*Physicians;*Prescription Drug Misuse/pc Prevention &amp; Control];United States;0 (Analgesics, Opioid)</t>
  </si>
  <si>
    <t>BACKGROUND: The opioid overdose epidemic in the United States is driven in large part by inappropriate opioid prescribing. Although most American physicians receive little or no training during medical school regarding evidence-based prescribing, substance use disorders, and pain management, some states require continuing medical education (CME) on these topics. We report the results of a systematic legal analysis of such requirements, together with recommendations for improved physician training. METHODS: To determine the presence and characteristics of CME requirements in the United States, we systematically collected, reviewed, and coded all laws that require such education as a condition of obtaining or renewing a license to practice medicine. Laws or regulations that mandate one-time or ongoing training in topics designed to reduce overdose risk were further characterized using an iterative protocol RESULTS: Only five states require all or nearly all physicians to obtain CME on topics such as pain management and controlled substance prescribing, and fewer than half require any physicians to obtain such training. CONCLUSIONS: While not a replacement for improved education in medical school and post-graduate clinical training, evidence-based CME can help improve provider knowledge and practice. Requiring physicians to obtain CME that accurately presents evidence regarding opioid prescribing and related topics may help reduce opioid-related morbidity and mortality. States and the federal government should also strongly consider requiring such training in medical school and residency.</t>
  </si>
  <si>
    <t>J2: Drug Alcohol Depend; Davis, Corey S Carr, Derek S0376-8716(16)30027-8; ID: 59</t>
  </si>
  <si>
    <t>Davis, Corey S. Network for Public Health Law-Southeastern Region, 101 E. Weaver St. #G-7, Carrboro, NC 27510, United States. Electronic address: cdavis@networkforphl.org. Carr, Derek. Network for Public Health Law-Southeastern Region, 101 E. Weaver St. #G-7, Carrboro, NC 27510, United States. Electronic address: carrderekh@gmail.com.</t>
  </si>
  <si>
    <t>http://ovidsp.ovid.com/ovidweb.cgi?T=JS&amp;CSC=Y&amp;NEWS=N&amp;PAGE=fulltext&amp;D=medc&amp;AN=27137406</t>
  </si>
  <si>
    <t>https://dx.doi.org/10.1016/j.drugalcdep.2016.04.002</t>
  </si>
  <si>
    <t>MEDLINE; Ovid Technologies; Physician continuing education to reduce opioid misuse, abuse, and overdose: Many opportunities, few requirements</t>
  </si>
  <si>
    <t>Davis,T. C.;George,R. B.;Long,S.;Bates,W.;Morris,G.;Anderson,J.</t>
  </si>
  <si>
    <t>Sophomore medical students as substance abuse prevention teachers</t>
  </si>
  <si>
    <t>Adolescent;Attitude of Health Personnel;Curriculum;Education, Medical, Undergraduate;*Health Promotion/mt Methods];Humans;Louisiana;Role Playing;*Students, Medical;*Substance-Related Disorders/pc Prevention &amp; Control];Teaching</t>
  </si>
  <si>
    <t>Medical education should emphasize health promotion and disease prevention and should offer educational experiences that require students to be active, independent learners and problem solvers. The purpose of this project was to enable sophomore medical students to apply their own innovative methods of instruction to a program for adolescent substance abuse prevention. Medical students developed and taught a school-based prevention program to 36 middle school students who represented a variety of socioeconomic backgrounds and abilities. They used demonstrations, role-playing, and drug abuse prevention commercials created by the adolescents for their peers. Medical students kept weekly journals to record their thoughts about and activities used in teaching substance abuse prevention to adolescents. The journals revealed an increased understanding of adolescent thinking and behavior and an increased confidence in teaching substance abuse prevention to adolescents.</t>
  </si>
  <si>
    <t>J2: J La State Med Soc; Davis, T C George, R B Long, S Bates, W Morris, G Anderson, J; ID: 1221</t>
  </si>
  <si>
    <t>Davis, T C. Dept of Medicine, Louisiana State University Medical Center, Shreveport.</t>
  </si>
  <si>
    <t>http://ovidsp.ovid.com/ovidweb.cgi?T=JS&amp;CSC=Y&amp;NEWS=N&amp;PAGE=fulltext&amp;D=med3&amp;AN=8057051</t>
  </si>
  <si>
    <t>MEDLINE; Ovid Technologies; Sophomore medical students as substance abuse prevention teachers</t>
  </si>
  <si>
    <t>Dawson,N. V.;Dadheech,G.;Speroff,T.;Smith,R. L.;Schubert,D. S.</t>
  </si>
  <si>
    <t>The effect of patient gender on the prevalence and recognition of alcoholism on a general medicine inpatient service</t>
  </si>
  <si>
    <t>Adult;Alcoholism/di Diagnosis];*Alcoholism/ep Epidemiology];Alcoholism/pc Prevention &amp; Control];Cross-Sectional Studies;Female;Humans;Inpatients;Internal Medicine/ed Education];*Internship and Residency;Male;Mass Screening/mt Methods];Middle Aged;*Physicians;Prevalence;Referral and Consultation;Sex Factors</t>
  </si>
  <si>
    <t>OBJECTIVES: 1) to determine the rate of alcoholism among general internal medicine inpatients, 2) to assess the recognition and referral rates of these patients by their physicians, 3) to determine the effect of patient gender on physician recognition of alcoholism, and 4) to compare the observed alcoholism rates with rates reported in frequently cited studies, controlling for gender distribution. DESIGN: Cross-sectional study, face-to-face interviews. SETTING: A large, county-owned metropolitan teaching hospital. PATIENTS/PARTICIPANTS: Adult patients admitted to an inpatient general medical firm. From among 95 consecutive admissions, 78 patients (81%) entered the study. INTERVENTION: The Michigan Alcoholism Screening Test (MAST) was administered to all study subjects. Chart reviews provided evidence of physician recognition and referral of patients with alcoholism. The observed rate of alcoholism was compared with rates reported in frequently cited studies after stratifying by type of service sampled and alcoholism assessment method used. Rates were then standardized for gender using the direct method. MEASUREMENTS AND MAIN RESULTS: Twenty-two patients (28%) were found to be alcoholic by MAST criteria (scores of 5 or higher). Scores in the range indicative of alcoholism were observed more frequently among the 36 men than among the 42 women (p = 0.002) and varied by age group. Only the interaction between gender and age group was significant (p = 0.023). Sixteen of the 22 patients (73%) with alcoholism by MAST criteria were identified as alcoholic by physician evaluation. Physicians were significantly more likely to identify as alcoholic those patients with MAST scores higher than 29 and tended to more readily identify men who had alcoholism than women. Among physician-identified patients, only about one in five was referred for rehabilitation. The standardized alcoholism rate found (291/1,000) ranked about halfway between the highest and the lowest standardized rates from nine other studies of medicine inpatient services (465/1,000 and 112/1,000). CONCLUSIONS: Patient gender affected the prevalence of alcoholism and influenced its recognition by physicians. Alcoholism by MAST criteria was found in one in eight female and nearly one in two male inpatients. Physician recognition was higher for men and for more severely affected patients. An understanding of gender effects is essential to the appropriate interpretation of the results of screening tests for alcoholism and to understanding differences in reported crude rates of alcoholism among studies. Supplementing clinical impressions with the routine use of standardized methods for detecting alcoholism is recommended.</t>
  </si>
  <si>
    <t>J2: J Gen Intern Med; Dawson, N V Dadheech, G Speroff, T Smith, R L Schubert, D S; ID: 1293</t>
  </si>
  <si>
    <t>Dawson, N V. Department of Medicine, Case Western Reserve University School of Medicine, MetroHealth Medical Center, Cleveland, OH 44109.</t>
  </si>
  <si>
    <t>http://ovidsp.ovid.com/ovidweb.cgi?T=JS&amp;CSC=Y&amp;NEWS=N&amp;PAGE=fulltext&amp;D=med3&amp;AN=1548546</t>
  </si>
  <si>
    <t>MEDLINE; Ovid Technologies; The effect of patient gender on the prevalence and recognition of alcoholism on a general medicine inpatient service</t>
  </si>
  <si>
    <t>De Alonso,A. R.</t>
  </si>
  <si>
    <t>Source: PIP. 097345 Source: POP. 00243690; Gender identity in adolescents of the lower classes]</t>
  </si>
  <si>
    <t>Profamilia: Planificacion, Poblacion y Desarollo</t>
  </si>
  <si>
    <t>*Adolescent;Age Factors;Americas;Behavior;Colombia;Demography;Developing Countries;Economics;*Interpersonal Relations;Latin America;Perception;Population;Population Characteristics;*Poverty;Psychology;*Self Concept;Social Behavior;Social Class;Socioeconomic Factors;South America</t>
  </si>
  <si>
    <t>J2: Profamilia; Spanish De Alonso, A R; OP: Identidad de genero en adolescentes de sectores populares; ID: 1184</t>
  </si>
  <si>
    <t>0122-0977</t>
  </si>
  <si>
    <t>http://ovidsp.ovid.com/ovidweb.cgi?T=JS&amp;CSC=Y&amp;NEWS=N&amp;PAGE=fulltext&amp;D=med3&amp;AN=12287894</t>
  </si>
  <si>
    <t>MEDLINE; Ovid Technologies; [Gender identity in adolescents of the lower classes]</t>
  </si>
  <si>
    <t>De Jong,C. A.;Goodair,C.;Crome,I.;Jokubonis,D.;El-Guebaly,N.;Dom,G.;Schellekens,A.;Broers,B.;Subata,E.;Welle-Strand,G.;Luycks,L.;Wolters,M.;Schoof,T.</t>
  </si>
  <si>
    <t>Substance Misuse Education for Physicians: Why Older People are Important</t>
  </si>
  <si>
    <t>Yale Journal of Biology &amp; Medicine</t>
  </si>
  <si>
    <t>Behavior, Addictive;*Education, Medical, Undergraduate;Humans;Netherlands/ep Epidemiology];*Substance-Related Disorders/ep Epidemiology];United Kingdom/ep Epidemiology];United States/ep Epidemiology]</t>
  </si>
  <si>
    <t>This perspective article focuses on the need for training and education for undergraduate medical students on substance-related disorders, and describes initiatives undertaken in the United Kingdom (UK), Netherlands, United States (US), and Norway to develop the skills, knowledge, and attitudes needed by future doctors to treat patients adequately. In addition, we stress that in postgraduate training, further steps should be taken to develop Addiction Medicine as a specialized and transverse medical domain. Alcohol use disorder is a growing public health problem in the geriatric population, and one that is likely to continue to increase as the baby boomer generation ages. Prescription drug misuse is a major concern, and nicotine misuse remains problematic in a substantial minority. Thus, Addiction Medicine training should address the problems for this specific population. In recent years, several countries have started an Addiction Medicine specialty. Although addiction psychiatry has been a subspecialty in the UK and US for more than 20 years, in most countries it has been a more recent development. Additional courses on addiction should be integrated into the curriculum at both undergraduate and postgraduate levels, as well as form part of the continuous training of other medical specialists. It is recommended that further research and mapping of what is currently taught in medical programs be undertaken, so as to enhance medical education in addiction and improve treatment services.</t>
  </si>
  <si>
    <t>J2: Yale J Biol Med; De Jong, Cornelis A J Goodair, Christine Crome, Ilana Jokubonis, Darius El-Guebaly, Nady Dom, Geert Schellekens, Arnt Broers, Barbara Subata, Emilis Welle-Strand, Gabrielle Katrine Luycks, Lonneke Wolters, Michel Schoof, Tamara; ID: 80</t>
  </si>
  <si>
    <t>1551-4056</t>
  </si>
  <si>
    <t>De Jong, Cornelis A J. Behavioural Science Institute, Nijmegen Institute for Scientist-Practitioners in Addiction (NISPA), Radboud University Nijmegen, The Netherlands. Goodair, Christine. St. George's University of London, United Kingdom. Crome, Ilana. Visiting professor, St. George's University of London, and emeritus professor, Keele University, United Kingdom. Jokubonis, Darius. Kaunas Addiction Treatment Centre and Lithuanian University of Health Sciences; El-Guebaly, Nady. University of Calgary, Canada. Dom, Geert. Collaborative Antwerp Psychiatric Research Institute (CAPRI), Antwerp University (UA), Belgium. Schellekens, Arnt. Radboud University Medical Centre, Department of Psychiatry, Donders Institute for Brain, Cognition and Behaviour, Nijmegen, The Netherlands. Broers, Barbara. Unit for Dependencies in Primary Care, Department of Community Health and Primary Care, Geneva University Hospitals, Switzerland. Subata, Emilis. Medical faculty of Vilnius University, Lithuania. Welle-Strand, Gabrielle Katrine. Norwegian Directorate of Health, Norway. Luycks, Lonneke. Radboud Centrum Sociale Wetenschappen, Radboud University Nijmegen, The Netherlands. Wolters, Michel. Specialist in Addiction Medicine, TACTUS Addiction Care, Deventer, The Netherlands. Schoof, Tamara. Specialist in Addiction Medicine, Vincent van Gogh Institute for Mental Health, Venlo, The Netherlands.</t>
  </si>
  <si>
    <t>http://ovidsp.ovid.com/ovidweb.cgi?T=JS&amp;CSC=Y&amp;NEWS=N&amp;PAGE=fulltext&amp;D=med8&amp;AN=27505022</t>
  </si>
  <si>
    <t>MEDLINE; Ovid Technologies; Substance Misuse Education for Physicians: Why Older People are Important</t>
  </si>
  <si>
    <t>de Jong,C. A.;Luycks,L.;Delicat,J. W.</t>
  </si>
  <si>
    <t>Training in addiction medicine]</t>
  </si>
  <si>
    <t>Nederlands tijdschrift voor geneeskunde</t>
  </si>
  <si>
    <t>Ned.Tijdschr.Geneeskd.</t>
  </si>
  <si>
    <t>A5751</t>
  </si>
  <si>
    <t>*Behavior, Addictive;*Clinical Competence;*Education, Medical, Continuing;Education, Medical, Graduate;Educational Measurement;Humans;Netherlands</t>
  </si>
  <si>
    <t>The treatment of addiction is a skill. It not only requires the necessary specialist medical knowledge but a wide range of communication skills as well. Both facets are explicitly covered in the two-year postgraduate program on addiction medicine at Radboud University Nijmegen, the Netherlands. In September 2013, this competency-based full-time training will be offered for the fifth time.</t>
  </si>
  <si>
    <t>J2: Ned Tijdschr Geneeskd; Dutch de Jong, Cor A J Luycks, Lonneke Delicat, Jan-Wilm; OP: Verslavingsartsen opleiden; ID: 356</t>
  </si>
  <si>
    <t>1876-8784</t>
  </si>
  <si>
    <t>de Jong, Cor A J. Radboud Universiteit Nijmegen, afd. SPON Postdoctorale Opleidingen, Nijmegen. nispa.dejong@gmail.com</t>
  </si>
  <si>
    <t>Dutch</t>
  </si>
  <si>
    <t>http://ovidsp.ovid.com/ovidweb.cgi?T=JS&amp;CSC=Y&amp;NEWS=N&amp;PAGE=fulltext&amp;D=med7&amp;AN=23714292</t>
  </si>
  <si>
    <t>MEDLINE; Ovid Technologies; [Training in addiction medicine]</t>
  </si>
  <si>
    <t>De Jong,C. A.;Wetering,Van De</t>
  </si>
  <si>
    <t>Addiction medicine is an attractive field for young physicians-a call for a European initiative for the training in addiction medicine</t>
  </si>
  <si>
    <t>*Career Choice;*Education, Medical, Continuing/mt Methods];Education, Medical, Continuing/og Organization &amp; Administration];Europe;Humans;*Substance-Related Disorders</t>
  </si>
  <si>
    <t>J2: Addiction; De Jong, Cor A J Van De Wetering, Ben J M Comment on: Addiction. 2009 Feb;104(2):169-72; PMID: 18778386; ID: 608</t>
  </si>
  <si>
    <t>http://ovidsp.ovid.com/ovidweb.cgi?T=JS&amp;CSC=Y&amp;NEWS=N&amp;PAGE=fulltext&amp;D=med6&amp;AN=19563568</t>
  </si>
  <si>
    <t>https://dx.doi.org/10.1111/j.1360-0443.2009.02606.x</t>
  </si>
  <si>
    <t>MEDLINE; Ovid Technologies; Addiction medicine is an attractive field for young physicians-a call for a European initiative for the training in addiction medicine</t>
  </si>
  <si>
    <t>De Jong,C.;Luycks,L.;Delicat,J. W.</t>
  </si>
  <si>
    <t>The master in addiction medicine program in the Netherlands</t>
  </si>
  <si>
    <t>*Clinical Medicine/ed Education];*Competency-Based Education/st Standards];Education, Medical, Graduate/mt Methods];*Education, Medical, Graduate/st Standards];*Evidence-Based Medicine/ed Education];Humans;Netherlands;*Program Development/mt Methods];Substance Abuse Treatment Centers/ec Economics];*Substance Abuse Treatment Centers/ma Manpower];Substance-Related Disorders</t>
  </si>
  <si>
    <t>Since 2007 there is a full-time, 2-year professional training in addiction medicine in the Netherlands. The aim of this article is to describe in detail the development and present status of the Dutch Master in Addiction Medicine (MiAM) program. In this competency-based professional training, theoretical courses are integrated with learning in clinical practice under guidance of an experienced clinical teacher. The theoretical courses consist of evidence-based medicine, communication and basic psychotherapeutic skills, neurobiology of addiction, addiction medicine, addiction and psychiatry, and public health. The 7 main competencies are made ready for operation in the personal education plan and are evaluated by different styles of examination.</t>
  </si>
  <si>
    <t>J2: Subst Abus; De Jong, Cornelis Luycks, Lonneke Delicat, Jan-Wilm; ID: 504</t>
  </si>
  <si>
    <t>De Jong, Cornelis. Nijmegen Institute for Scientist Practitioners in Addiction (NISPA), Nijmegen, The Netherlands. nispa.dejong@gmail.com</t>
  </si>
  <si>
    <t>http://ovidsp.ovid.com/ovidweb.cgi?T=JS&amp;CSC=Y&amp;NEWS=N&amp;PAGE=fulltext&amp;D=med7&amp;AN=21534132</t>
  </si>
  <si>
    <t>https://dx.doi.org/10.1080/08897077.2011.555713</t>
  </si>
  <si>
    <t>MEDLINE; Ovid Technologies; The master in addiction medicine program in the Netherlands</t>
  </si>
  <si>
    <t>de Villiers,T.;Mayers,P. M.;Khalil,D.</t>
  </si>
  <si>
    <t>Pre-registration nursing students' perceptions and experiences of violence in a nursing education institution in South Africa</t>
  </si>
  <si>
    <t>Nurse Education in Practice</t>
  </si>
  <si>
    <t>Adolescent;Adult;Attitude;Female;Focus Groups;Humans;Male;Middle Aged;*Schools, Nursing;South Africa;*Students, Nursing/px Psychology];Surveys and Questionnaires;*Violence;Young Adult</t>
  </si>
  <si>
    <t>Violence is a growing problem worldwide in the field of health care and within the nursing profession. A study comprising a survey and focus groups with nursing students, and interviews with nurse educators was conducted to examine nursing students' perceptions and experiences of violence at a nursing education institution in the Western Cape, South Africa. A self-administered questionnaire was distributed to all nursing students. Two hundred and twenty three (n = 223) respondents completed the questionnaire. Focus groups were conducted with purposively sampled student participants and semi-structured interviews with nurse educators. The findings indicated that the nature of the violent incidents experienced by students on campus, especially in the residences, ranged from verbal abuse to violation of students' property and personal space, and could be attributed primarily to substance abuse. Violence among student nurses could negatively affect learning. In a profession in which nurses are exposed to violence in the workplace, it is important that violence in the learning environment is actively prevented and respect of individual rights, tolerance and co-operation are promoted.</t>
  </si>
  <si>
    <t>J2: Nurse Educ Pract; de Villiers, Tania Mayers, Pat M Khalil, Doris S1471-5953(14)00120-6; ID: 227</t>
  </si>
  <si>
    <t>1873-5223</t>
  </si>
  <si>
    <t>de Villiers, Tania. Division of Nursing &amp; Midwifery, Department of Health &amp; Rehabilitation Sciences, Faculty of Health Sciences, University of Cape Town, Observatory, Cape Town, South Africa. Electronic address: tania.devilliers@uct.ac.za. Mayers, Pat M. Division of Nursing &amp; Midwifery, Department of Health &amp; Rehabilitation Sciences, Faculty of Health Sciences, University of Cape Town, Observatory, Cape Town, South Africa. Electronic address: Pat.mayers@uct.ac.za. Khalil, Doris. Division of Nursing &amp; Midwifery, Department of Health &amp; Rehabilitation Sciences, Faculty of Health Sciences, University of Cape Town, Observatory, Cape Town, South Africa. Electronic address: Doris.khalil@uct.ac.za.</t>
  </si>
  <si>
    <t>http://ovidsp.ovid.com/ovidweb.cgi?T=JS&amp;CSC=Y&amp;NEWS=N&amp;PAGE=fulltext&amp;D=med8&amp;AN=25262064</t>
  </si>
  <si>
    <t>https://dx.doi.org/10.1016/j.nepr.2014.08.006</t>
  </si>
  <si>
    <t>MEDLINE; Ovid Technologies; Pre-registration nursing students' perceptions and experiences of violence in a nursing education institution in South Africa</t>
  </si>
  <si>
    <t>de,la Tribonniere;Jacquet,J. M.;Vidal,J.;Donnadieu Rigole,H.</t>
  </si>
  <si>
    <t>Contribution of therapeutic patient education to addiction medicine]</t>
  </si>
  <si>
    <t>Behavior, Addictive/ep Epidemiology];*Behavior, Addictive/th Therapy];France/ep Epidemiology];Health Knowledge, Attitudes, Practice;Humans;Patient Care Team/sn Statistics &amp; Numerical Data];*Patient Education as Topic;Substance-Related Disorders/ep Epidemiology];*Substance-Related Disorders/th Therapy]</t>
  </si>
  <si>
    <t>TPE can improve the efficacy of addiction medicine, for the benefit of patients and staff. It can help the patient withdraw from addiction, or at least achieve a better quality of life with this chronic condition..</t>
  </si>
  <si>
    <t>J2: Sante Publique; de la Tribonniere, Xavier Jacquet, Jean-Marc Vidal, Johann Donnadieu Rigole, Helene; OP: Ce que leducation therapeutique peut apporter a laddictologie; ID: 90</t>
  </si>
  <si>
    <t>http://ovidsp.ovid.com/ovidweb.cgi?T=JS&amp;CSC=Y&amp;NEWS=N&amp;PAGE=fulltext&amp;D=med8&amp;AN=28155734</t>
  </si>
  <si>
    <t>MEDLINE; Ovid Technologies; [Contribution of therapeutic patient education to addiction medicine]</t>
  </si>
  <si>
    <t>DeFlavio,J. R.;Rolin,S. A.;Nordstrom,B. R.;Kazal,L. A., J.</t>
  </si>
  <si>
    <t>Analysis of barriers to adoption of buprenorphine maintenance therapy by family physicians</t>
  </si>
  <si>
    <t>Rural &amp; Remote Health</t>
  </si>
  <si>
    <t>*Buprenorphine/ad Administration &amp; Dosage];Buprenorphine/tu Therapeutic Use];Confidentiality;Female;Health Knowledge, Attitudes, Practice;Health Services Accessibility;Humans;Inservice Training;Male;Narcotic Antagonists/ad Administration &amp; Dosage];*Narcotic Antagonists/tu Therapeutic Use];*Opiate Substitution Treatment/mt Methods];*Opioid-Related Disorders/dt Drug Therapy];Perception;*Physicians, Family/px Psychology];*Physicians, Family/sn Statistics &amp; Numerical Data];Practice Patterns, Physicians'/sn Statistics &amp; Numerical Data];Primary Health Care/sn Statistics &amp; Numerical Data];Time Factors;Trust;0 (Narcotic Antagonists);40D3SCR4GZ (Buprenorphine)</t>
  </si>
  <si>
    <t>INTRODUCTION: Opioid abuse has reached epidemic levels. Evidence-based treatments such as buprenorphine maintenance therapy (BMT) remain underutilized. Offering BMT in primary care settings has the potential to reduce overall costs of care, decrease medical morbidity associated with opioid dependence, and improve treatment outcomes. However, access to BMT, especially in rural areas, remains limited. This article will present a review of barriers to adoption of BMT among family physicians in a primarily rural area in the USA. METHODS: An anonymous survey of family physicians practicing in Vermont or New Hampshire, two largely rural states, was conducted. The survey included both quantitative and qualitative questions, focused on BMT adoption and physician opinions of opioids. Specific factors assessed included physician factors, physicians' understanding of patient factors, and logistical issues. RESULTS: One-hundred and eight family physicians completed the survey. Approximately 10% were buprenorphine prescribers. More than 80% of family physicians felt they regularly saw patients addicted to opiates. The majority (70%) felt that they, as family physicians, bore responsibility for treating opiate addiction. Potential logistical barriers to buprenorphine adoption included inadequately trained staff (88%), insufficient time (80%), inadequate office space (49%), and cumbersome regulations (37%). Common themes addressed in open-ended questions included lack of knowledge, time, or interest; mistrust of people with addiction or buprenorphine; and difficult patient population. CONCLUSIONS: This study aims to quantify perceived barriers to treatment and provide insight expanding the community of family physicians offering BMT. The results suggest family physicians are excellent candidates to provide BMT, as most report regularly seeing opioid-addicted patients and believe that treating opioid addiction is their responsibility. Significant barriers remain, including inadequate staff training, lack of access to addiction experts, and perceived efficacy of BMT. Addressing these barriers may lower resistance to buprenorphine adoption and increase access to BMT in rural areas.</t>
  </si>
  <si>
    <t>J2: Rural Remote Health; DeFlavio, Jeffrey R Rolin, Stephanie A Nordstrom, Benjamin R Kazal, Louis A Jr; ID: 215</t>
  </si>
  <si>
    <t>1445-6354</t>
  </si>
  <si>
    <t>DeFlavio, Jeffrey R. Geisel School of Medicine at Dartmouth, Hanover, New Hampshire, USA. jeffrey.r.deflavio@dartmouth.edu. Rolin, Stephanie A. Geisel School of Medicine at Dartmouth, Hanover, New Hampshire, USA. stephanie.a.rolin@dartmouth.edu. Nordstrom, Benjamin R. Department of Psychiatry, Geisel School of Medicine at Dartmouth, Hanover, New Hampshire, USA. benjamin.r.nordstrom@hitchcock.org. Kazal, Louis A Jr. Department of Community and Family Medicine, Geisel School of Medicine at Dartmouth, Hanover, New Hampshire, USA. louis.a.kazal.jr@dartmouth.edu.</t>
  </si>
  <si>
    <t>http://ovidsp.ovid.com/ovidweb.cgi?T=JS&amp;CSC=Y&amp;NEWS=N&amp;PAGE=fulltext&amp;D=med8&amp;AN=25651434</t>
  </si>
  <si>
    <t>MEDLINE; Ovid Technologies; Analysis of barriers to adoption of buprenorphine maintenance therapy by family physicians</t>
  </si>
  <si>
    <t>Deressa,W.;Azazh,A.</t>
  </si>
  <si>
    <t>Substance use and its predictors among undergraduate medical students of Addis Ababa University in Ethiopia</t>
  </si>
  <si>
    <t>Adolescent;*Alcohol Drinking/ep Epidemiology];*Catha;Cross-Sectional Studies;Ethiopia/ep Epidemiology];Female;Friends;Humans;Male;Prevalence;Risk Factors;Sex Distribution;*Smoking/ep Epidemiology];Students, Medical/px Psychology];*Students, Medical/sn Statistics &amp; Numerical Data];*Substance-Related Disorders/ep Epidemiology];Universities;Young Adult</t>
  </si>
  <si>
    <t>BACKGROUND: Substance use remains high among Ethiopian youth and young adolescents particularly in high schools and colleges. The use of alcohol, khat and tobacco by college and university students can be harmful; leading to decreased academic performance, increased risk of contracting HIV and other sexually transmitted diseases. However, the magnitude of substance use and the factors associated with it has not been investigated among medical students in the country. This study was conducted to determine the prevalence of substance use and identify factors that influenced the behavior among undergraduate medical students of Addis Ababa University in Ethiopia. METHODS: A cross-sectional study using a pre-tested structured self-administered quantitative questionnaire was conducted in June 2009 among 622 medical students (Year I to Internship program) at the School of Medicine. The data were entered into Epi Info version 6.04d and analyzed using SPSS version 15 software program. Descriptive statistics were used for data summarization and presentation. Differences in proportions were compared for significance using Chi Square test, with significance level set at p &lt; 0.05. Multivariate logistic regression analyses were used to assess the magnitude of associations between substance use and socio-demographic and behavioral correlates. RESULTS: In the last 12 months, alcohol was consumed by 22% (25% males vs. 14% females, p = 0.002) and khat use was reported by 7% (9% males vs. 1.5% females, p &lt; 0.001) of the students. About 9% of the respondents (10.6% males vs. 4.6% females, p = 0.014) reported ever use of cigarette smoking, and 1.8% were found to be current smokers. Using multiple logistic regression models, being male was strongly associated with alcohol use in the last 12 months (adjusted OR = 2.14, 95% CI = 1.22-3.76). Students whose friends currently consume alcohol were more likely to consume alcohol (adjusted OR = 2.47, 95% CI = 1.50-4.08) and whose friends' use tobacco more likely to smoke (adjusted OR = 3.89, 95% CI = 1.83-8.30). Khat use within the past 12 months was strongly and positively associated with alcohol consumption (adjusted OR = 15.11, 95% CI = 4.24-53.91). Similarly, ever use of cigarette was also significantly associated with alcohol consumption (adjusted OR = 8.65, 95% CI = 3.48-21.50). CONCLUSIONS: Concordant use of alcohol, khat and tobacco is observed and exposure to friends' use of substances is often implicated. Alcohol consumption or khat use has been significantly associated with tobacco use. While the findings of this study suggest that substance use among the medical students was not alarming, but its trend increased among students from Year I to Internship program. The university must be vigilant in monitoring and educating the students about the consequences of substance use.</t>
  </si>
  <si>
    <t>J2: BMC Public Health; Deressa, Wakgari Azazh, Aklilu; ID: 486</t>
  </si>
  <si>
    <t>Deressa, Wakgari. Department of Epidemiology and Biostatistics, School of Public Health, College of Health Sciences, Addis Ababa University, Ethiopia. deressaw@yahoo.com</t>
  </si>
  <si>
    <t>http://ovidsp.ovid.com/ovidweb.cgi?T=JS&amp;CSC=Y&amp;NEWS=N&amp;PAGE=fulltext&amp;D=med7&amp;AN=21859483</t>
  </si>
  <si>
    <t>https://dx.doi.org/10.1186/1471-2458-11-660</t>
  </si>
  <si>
    <t>MEDLINE; Ovid Technologies; Substance use and its predictors among undergraduate medical students of Addis Ababa University in Ethiopia</t>
  </si>
  <si>
    <t>Desalegn,A. A.;Berhan,A.</t>
  </si>
  <si>
    <t>Cheating on examinations and its predictors among undergraduate students at Hawassa University College of Medicine and Health Science, Hawassa, Ethiopia</t>
  </si>
  <si>
    <t>Adolescent;Adult;Cross-Sectional Studies;*Deception;*Education, Medical, Undergraduate/sn Statistics &amp; Numerical Data];*Educational Measurement;Ethiopia/ep Epidemiology];Female;Humans;Male;Prevalence;*Schools, Medical/sn Statistics &amp; Numerical Data];Self Report;*Students, Medical/sn Statistics &amp; Numerical Data];Young Adult</t>
  </si>
  <si>
    <t>BACKGROUND: Cheating on examinations in academic institutions is a worldwide issue. When cheating occurs in medical schools, it has serious consequences for human life, social values, and the economy. This study was conducted to determine the prevalence of cheating and identify factors that influence cheating among students of Hawassa University College of medicine and health science. METHODS: A cross sectional study was conducted from May through June 2013. A pre-tested self-administered, structured questionnaire was used to collect self-reported data regarding cheating. Data were entered and analyzed using SPSS version 20. Descriptive statistics were used for data summarization and presentation. Degree of association was measured by Chi Square test, with significance level set at p=0.05. Bivariate and multivariate logistic regression analyses were used to assess associations. RESULTS: The prevalence of self-reported cheating was found to be 19.8% (95% CI=17.4-21.9). About 12.1% (95% CI=10.2-13.9) of students disclosed cheating on the entrance examination. The majority of students (80.1% (95% CI=77.9-82.3) disclosed that they would not report cheating to invigilators even if they had witnessed cheating. Analysis by multiple regression models showed that students who cheated in high school were more likely to cheat (adjusted OR=1. 80, 95% CI=1. 01-3.19) and that cheating was less likely among students who didn't cheat on entrance examinations (adjusted OR=0. 25, 95% CI=0. 14-0.45). Dining outside the university cafeteria and receiving pocket money of Birr 300 or more were strongly associated with cheating (adjusted OR=3.08, 95% CI=1.54-6.16 and adjusted OR=1.69 (95% CI=1.05-2.72), respectively. The odds of cheating among students were significantly higher for those who went to private high school, were substance users, and didn't attend lectures than for those who attended government schools, were not substance abusers, and attended lectures. CONCLUSION: Our findings have important implications for development of an institution's policies on academic integrity. By extension, they affect the policies of high schools. Increased levels of supervision during entrance examination, mandated attendance at lectures, and reduction of substance use are likely to reduce cheating. No significant association was found with background, level of parental education, grade point average, and interest in field of study.</t>
  </si>
  <si>
    <t>J2: BMC Med Educ; Desalegn, Anteneh Assefa Berhan, Asres; ID: 268</t>
  </si>
  <si>
    <t>Desalegn, Anteneh Assefa. Pharmacology Unit, School of Medicine, Hawassa University, Hawassa, P,O Box-1560, Ethiopia. antepharma@yahoo.com.</t>
  </si>
  <si>
    <t>http://ovidsp.ovid.com/ovidweb.cgi?T=JS&amp;CSC=Y&amp;NEWS=N&amp;PAGE=fulltext&amp;D=med8&amp;AN=24885973</t>
  </si>
  <si>
    <t>https://dx.doi.org/10.1186/1472-6920-14-89</t>
  </si>
  <si>
    <t>MEDLINE; Ovid Technologies; Cheating on examinations and its predictors among undergraduate students at Hawassa University College of Medicine and Health Science, Hawassa, Ethiopia</t>
  </si>
  <si>
    <t>Devi,S.</t>
  </si>
  <si>
    <t>USA homes in on prescription drug abuse.Erratum appears in Lancet. 2011 Oct 1;378(9798):1218]</t>
  </si>
  <si>
    <t>Analgesics, Opioid/ae Adverse Effects];*Analgesics, Opioid;Biomedical Research;Complementary Therapies;Drug Design;Drug Overdose/mo Mortality];Drug Overdose/pc Prevention &amp; Control];Drug Prescriptions/sn Statistics &amp; Numerical Data];*Drug Prescriptions;Education, Medical, Continuing;Electronic Health Records;Government Agencies;*Health Policy/td Trends];Humans;*Legislation, Drug/td Trends];Narcotics/ae Adverse Effects];Policy Making;Prescription Drugs/ae Adverse Effects];Prescription Drugs/po Poisoning];Prescription Drugs/sd Supply &amp; Distribution];*Prescription Drugs;Substance-Related Disorders/im Immunology];Substance-Related Disorders/mo Mortality];Substance-Related Disorders/pc Prevention &amp; Control];*Substance-Related Disorders;United States/ep Epidemiology];Vaccines;0 (Analgesics, Opioid);0 (Narcotics);0 (Prescription Drugs);0 (Vaccines)</t>
  </si>
  <si>
    <t>J2: Lancet; Devi, Sharmila; ID: 513</t>
  </si>
  <si>
    <t>1474-547X</t>
  </si>
  <si>
    <t>http://ovidsp.ovid.com/ovidweb.cgi?T=JS&amp;CSC=Y&amp;NEWS=N&amp;PAGE=fulltext&amp;D=med7&amp;AN=21826806</t>
  </si>
  <si>
    <t>MEDLINE; Ovid Technologies; USA homes in on prescription drug abuse.[Erratum appears in Lancet. 2011 Oct 1;378(9798):1218]</t>
  </si>
  <si>
    <t>Dewberry,G. P., J.;Miller,S. E.</t>
  </si>
  <si>
    <t>Needles, syringes, injection drug users, and the Oklahoma State Medical Association</t>
  </si>
  <si>
    <t>Journal - Oklahoma State Medical Association</t>
  </si>
  <si>
    <t>J.Okla.State Med.Assoc.</t>
  </si>
  <si>
    <t>Acquired Immunodeficiency Syndrome/pc Prevention &amp; Control];Female;*Health Education/og Organization &amp; Administration];Health Education/st Standards];Humans;Male;Needle Sharing/lj Legislation &amp; Jurisprudence];Oklahoma;Policy Making;Program Evaluation;Societies, Medical/lj Legislation &amp; Jurisprudence];Societies, Medical/st Standards];*Substance Abuse, Intravenous/pc Prevention &amp; Control]</t>
  </si>
  <si>
    <t>J2: J Okla State Med Assoc; Dewberry, G P Jr Miller, S E; ID: 1062</t>
  </si>
  <si>
    <t>0030-1876</t>
  </si>
  <si>
    <t>Dewberry, G P Jr. gpdewb@integrityonline16.com</t>
  </si>
  <si>
    <t>http://ovidsp.ovid.com/ovidweb.cgi?T=JS&amp;CSC=Y&amp;NEWS=N&amp;PAGE=fulltext&amp;D=med4&amp;AN=10432783</t>
  </si>
  <si>
    <t>MEDLINE; Ovid Technologies; Needles, syringes, injection drug users, and the Oklahoma State Medical Association</t>
  </si>
  <si>
    <t>Dewey,C. M.;Ghulyan,M. V.;Swiggart,W. H.</t>
  </si>
  <si>
    <t>Misprescribing controlled substances: An evaluation of a professional development program</t>
  </si>
  <si>
    <t>*Education, Medical, Continuing;Female;*Health Knowledge, Attitudes, Practice;*Health Personnel/ed Education];Humans;Male;Middle Aged;Program Evaluation;*Substance-Related Disorders/pc Prevention &amp; Control];*Substance-Related Disorders/th Therapy]</t>
  </si>
  <si>
    <t>BACKGROUND: Controlled prescription drug (CPD) abuse has reached epidemic proportions in the United States. Most physicians attending a 3-day continuing medical education (CME) professional development program (PDP) lack training in identifying risk and in managing patients who misuse CPDs. To address this issue, the authors conducted an evaluation of a PDP that trains physicians on proper prescribing, identifying substance abuse, utilizing screening, brief intervention, and referral to treatment (SBIRT), and implementing motivational interviewing (MI). METHODS: The authors conducted a program evaluation to assess the efficacy and impact of the PDP on physicians' knowledge and prescribing behaviors. RESULTS: Participants (N = 174) were typically middle-aged (average age of 53 years), male (89%), and physicians (82%) and other health care professionals (18%). Many physicians practice in solo primary care settings (46%). Course evaluations were completed by n = 155 (89%) participants who rated the course and presenters highly (mean 4.8/5 respectively). Physicians' knowledge scores on pre/post assessments increased significantly: pretest (M = 58.7, SD = 13.12) and posttest (M = 78.28, SD = 9.83) (t(173) = 20.06, P &lt;= .0001, 95% confidence interval, CI: -21.51, -17.65]). Almost half of the participants, n = 83/174 (48%), completed the follow-up survey, and 93% agreed/strongly agreed (A/SA) they made professional practice changes. Of participants practicing with an active DEA (Drug Enforcement Administration) registration (n = 57), most agreed/strongly agreed they implemented changes to align their practices with current guidelines (89%), used CPD more appropriately (87%), implemented office policies on prescribing (81%), identified and referred more substance abuse patients to treatment (80%), shared new information/experience from course with other 25 health professionals (93%), and felt the course positively impacted their behaviors personally and professionally (90% and 96%, respectively). CONCLUSIONS: This is the first known study evaluating a PDP in this population. Results demonstrated participant satisfaction and improvement in prescribers' knowledge and self-reported prescribing behaviors. However, further study is needed to assess actual clinical practice changes, direct impact on patient outcomes, and rates of recidivism.</t>
  </si>
  <si>
    <t>J2: Subst Abus; Dewey, Charlene M Ghulyan, Marine V Swiggart, William H; ID: 38</t>
  </si>
  <si>
    <t>Dewey, Charlene M. a Vanderbilt University Medical Center , Nashville , Tennessee , USA. Ghulyan, Marine V. a Vanderbilt University Medical Center , Nashville , Tennessee , USA. Swiggart, William H. a Vanderbilt University Medical Center , Nashville , Tennessee , USA.</t>
  </si>
  <si>
    <t>http://ovidsp.ovid.com/ovidweb.cgi?T=JS&amp;CSC=Y&amp;NEWS=N&amp;PAGE=fulltext&amp;D=medc&amp;AN=26569508</t>
  </si>
  <si>
    <t>MEDLINE; Ovid Technologies; Misprescribing controlled substances: An evaluation of a professional development program</t>
  </si>
  <si>
    <t>Dickson-Gomez,J.;Bodnar,G.;Guevara,C. E.;Rodriguez,K.;De Mendoza,L. R.;Corbett,A. M.</t>
  </si>
  <si>
    <t>NIHMS488596; With God's help i can do it: crack users? Formal and informal recovery experiences in El Salvador</t>
  </si>
  <si>
    <t>*Cocaine-Related Disorders/th Therapy];*Crack Cocaine;Developing Countries;El Salvador;*Faith Healing;Health Services Accessibility;Health Surveys;Humans;Interviews as Topic;Religion and Medicine;0 (Crack Cocaine)</t>
  </si>
  <si>
    <t>Crack use has increased dramatically in El Salvador in the last few decades. As with other developing countries with sudden onsets of drug problems, El Salvador has few medical staff trained in addictions treatment. Little research has examined drug users? attempts to reduce or abstain from drug use in countries where government-regulated formal medical treatment for drug addiction is scarce. This paper uses qualitative and quantitative data gathered from active crack users to explore their formal and informal strategies to reduce or abstain from drugs, and compares these with components of informal and formal treatment in developed countries.</t>
  </si>
  <si>
    <t>J2: Subst Use Misuse; Dickson-Gomez, Julia Bodnar, Gloria Guevara, Carmen Eugenia Rodriguez, Karla De Mendoza, Lorena Rivas Corbett, A Michelle; ID: 525</t>
  </si>
  <si>
    <t>Dickson-Gomez, Julia. Medical College of Wisconsin, Psychiatry and Behavioral Medicine, Milwaukee, Wisconsin 53202, USA. jdicson@mcw.edu</t>
  </si>
  <si>
    <t>http://ovidsp.ovid.com/ovidweb.cgi?T=JS&amp;CSC=Y&amp;NEWS=N&amp;PAGE=fulltext&amp;D=med7&amp;AN=20735191</t>
  </si>
  <si>
    <t>https://dx.doi.org/10.3109/10826084.2010.495762</t>
  </si>
  <si>
    <t>MEDLINE; Ovid Technologies; With God's help i can do it: crack users? Formal and informal recovery experiences in El Salvador</t>
  </si>
  <si>
    <t>DiClemente,C. C.;Crouch,T. B.;Norwood,A. E.;Delahanty,J.;Welsh,C.</t>
  </si>
  <si>
    <t>Evaluating training of screening, brief intervention, and referral to treatment (SBIRT) for substance use: Reliability of the MD3 SBIRT Coding Scale</t>
  </si>
  <si>
    <t>Psychology of Addictive Behaviors</t>
  </si>
  <si>
    <t>Adult;*Clinical Coding;Clinical Competence;Curriculum;*Family Practice/ed Education];Female;Guideline Adherence;Humans;*Internship and Residency;Male;*Mass Screening;Motivational Interviewing/mt Methods];Patient Compliance/px Psychology];Patient Simulation;Physician-Patient Relations;*Psychotherapy, Brief/ed Education];*Referral and Consultation;Reproducibility of Results;*Substance-Related Disorders/di Diagnosis];Substance-Related Disorders/px Psychology];*Substance-Related Disorders/rh Rehabilitation];Videotape Recording</t>
  </si>
  <si>
    <t>Screening, brief intervention, and referral to treatment (SBIRT) has become an empirically supported and widely implemented approach in primary and specialty care for addressing substance misuse. Accordingly, training of providers in SBIRT has increased exponentially in recent years. However, the quality and fidelity of training programs and subsequent interventions are largely unknown because of the lack of SBIRT-specific evaluation tools. The purpose of this study was to create a coding scale to assess quality and fidelity of SBIRT interactions addressing alcohol, tobacco, illicit drugs, and prescription medication misuse. The scale was developed to evaluate performance in an SBIRT residency training program. Scale development was based on training protocol and competencies with consultation from Motivational Interviewing coding experts. Trained medical residents practiced SBIRT with standardized patients during 10- to 15-min videotaped interactions. This study included 25 tapes from the Family Medicine program coded by 3 unique coder pairs with varying levels of coding experience. Interrater reliability was assessed for overall scale components and individual items via intraclass correlation coefficients. Coder pair-specific reliability was also assessed. Interrater reliability was excellent overall for the scale components (&gt;.85) and nearly all items. Reliability was higher for more experienced coders, though still adequate for the trained coder pair. Descriptive data demonstrated a broad range of adherence and skills. Subscale correlations supported concurrent and discriminant validity. Data provide evidence that the MD3 SBIRT Coding Scale is a psychometrically reliable coding system for evaluating SBIRT interactions and can be used to evaluate implementation skills for fidelity, training, assessment, and research. Recommendations for refinement and further testing of the measure are discussed. (PsycINFO Database Record</t>
  </si>
  <si>
    <t>J2: Psychol Addict Behav; DiClemente, Carlo C Crouch, Taylor Berens Norwood, Amber E Q Delahanty, Janine Welsh, Christopher; ID: 204</t>
  </si>
  <si>
    <t>1939-1501</t>
  </si>
  <si>
    <t>DiClemente, Carlo C. Department of Psychology. Crouch, Taylor Berens. Department of Psychology. Norwood, Amber E Q. Office of Forensic Services, Springfield Hospital Center. Delahanty, Janine. Department of Psychiatry, University of Maryland. Welsh, Christopher. Department of Psychiatry, University of Maryland.</t>
  </si>
  <si>
    <t>http://ovidsp.ovid.com/ovidweb.cgi?T=JS&amp;CSC=Y&amp;NEWS=N&amp;PAGE=fulltext&amp;D=med8&amp;AN=25402834</t>
  </si>
  <si>
    <t>https://dx.doi.org/10.1037/adb0000022</t>
  </si>
  <si>
    <t>MEDLINE; Ovid Technologies; Evaluating training of screening, brief intervention, and referral to treatment (SBIRT) for substance use: Reliability of the MD3 SBIRT Coding Scale</t>
  </si>
  <si>
    <t>Diekman,S. T.;Floyd,R. L.;Decoufle,P.;Schulkin,J.;Ebrahim,S. H.;Sokol,R. J.</t>
  </si>
  <si>
    <t>A survey of obstetrician-gynecologists on their patients' alcohol use during pregnancy</t>
  </si>
  <si>
    <t>Abortion, Spontaneous/pc Prevention &amp; Control];Adult;Aged;Aged, 80 and over;*Alcoholism/co Complications];Central Nervous System Diseases/pc Prevention &amp; Control];Congenital Abnormalities/pc Prevention &amp; Control];*Education, Medical, Continuing;Female;Fetal Alcohol Spectrum Disorders/pc Prevention &amp; Control];Guidelines as Topic;*Health Knowledge, Attitudes, Practice;Humans;Male;Middle Aged;*Obstetrics/st Standards];Pregnancy;*Pregnancy Complications/pc Prevention &amp; Control];Surveys and Questionnaires;United States</t>
  </si>
  <si>
    <t>OBJECTIVE: To examine knowledge, attitudes, current clinical practices, and educational needs of obstetrician-gynecologists regarding patients' alcohol use during pregnancy. METHODS: A 20-item, self-administered questionnaire on patients' prenatal alcohol use was sent to 1000 active ACOG fellows. Responses were analyzed using univariate and multivariate statistical techniques. RESULTS: Of the 60% of the obstetrician-gynecologists who responded to the survey, 97% reported asking their pregnant patients about alcohol use. When a patient reports alcohol use, most respondents reported that they always discuss adverse effects and always advise abstinence. One fifth of the respondents (20%) reported abstinence to be the safest way to avoid all four of the adverse pregnancy outcomes cited (ie, spontaneous abortion, central nervous system impairment, birth defects, and fetal alcohol syndrome); 13% were unsure about levels associated with all of the adverse outcomes; and 4% reported that consumption of eight or more drinks per week did not pose a risk for any of the four adverse outcomes. The two resources that respondents said they needed most to improve alcohol-use assessment were information on thresholds for adverse reproductive outcomes (83%) and referral resources for patients with alcohol problems (63%). CONCLUSION: Efforts should be made to provide practicing obstetrician-gynecologists with updates on the adverse effects of alcohol use by pregnant women and with effective methods for screening and counseling women who report alcohol use during pregnancy.</t>
  </si>
  <si>
    <t>J2: Obstet Gynecol; Diekman, S T Floyd, R L Decoufle, P Schulkin, J Ebrahim, S H Sokol, R J; ID: 1041</t>
  </si>
  <si>
    <t>Diekman, S T. National Center for Environmental Health, Centers for Disease Control and Prevention, Atlanta, Georgia 30341-3724, USA.</t>
  </si>
  <si>
    <t>http://ovidsp.ovid.com/ovidweb.cgi?T=JS&amp;CSC=Y&amp;NEWS=N&amp;PAGE=fulltext&amp;D=med4&amp;AN=10775743</t>
  </si>
  <si>
    <t>MEDLINE; Ovid Technologies; A survey of obstetrician-gynecologists on their patients' alcohol use during pregnancy</t>
  </si>
  <si>
    <t>Dietzen,C. J.;Topping,B. R.</t>
  </si>
  <si>
    <t>Rugby football</t>
  </si>
  <si>
    <t>Physical Medicine &amp; Rehabilitation Clinics of North America</t>
  </si>
  <si>
    <t>Athletic Injuries/pc Prevention &amp; Control];Athletic Injuries/rh Rehabilitation];*Football/in Injuries];Humans;Mouth Protectors;Protective Clothing</t>
  </si>
  <si>
    <t>Rugby union football continues to gain in popularity in the United States. Both men's and women's clubs have been established at several colleges and universities. There has been substantial growth in the number of high school rugby football clubs in recent years. With the increase in numbers of young participants in this sport, it is important that great efforts be mounted to attempt to control the injury rates and severity of injuries in rugby football. Players and coaches must be knowledgeable of the rules of the game, and referees must strictly enforce these rules. Physicians and dentists should be involved in educating parents, coaches, players, and school officials about the inherent risks of injury and the means for injury prevention. Medical personnel must also be instrumental in educating players about alcohol abuse/addiction. Rugby players should be encouraged to use the limited protective gear that is allowed: wraps, tape, joint sleeves, scrum caps, and facial grease to prevent lacerations. Mouthguards are strongly recommended at any level of play and should be mandated. The use of helmets, face masks, and shoulder pads has been suggested by some authors. Such rule changes could actually increase injury rates and severity, because this equipment could be used as weapons as they are in American football. It is recommended that rugby clubs purchase or build equipment to practice scrummage skills. Coaches should be experienced and attend clinics or complete video courses on medical emergencies and safe techniques of the game. Injury frequency and severity can be decreased by adequate preseason training and conditioning, proper tackling and falling techniques, strengthening of neck muscles, and allowing only experienced, fit athletes to play in the front row. Medical surveillance must be improved at matches and, ideally, at practice sessions. At present, it is common for no emergency medical personnel or physicians to be present at matches in the United States. Better case registers are necessary to monitor rugby injuries, but more medical professionals must become involved in the sport to obtain useful data. Rugby players will respect the advice of a medical adviser, providing he or she is knowledgeable. This is a hardy group of athletes with a cavalier attitude, as evidenced by the injury statistics and the case studies above. Their sport can be made safer without diminishing the intensity of the game or the camaraderie the players enjoy. References: 31]</t>
  </si>
  <si>
    <t>J2: Phys Med Rehabil Clin N Am; Dietzen, C J Topping, B R; ID: 1079</t>
  </si>
  <si>
    <t>1047-9651</t>
  </si>
  <si>
    <t>Dietzen, C J. Department of Physical Medicine and Rehabilitation, Indiana University Medical Center, Indianapolis, USA.</t>
  </si>
  <si>
    <t>http://ovidsp.ovid.com/ovidweb.cgi?T=JS&amp;CSC=Y&amp;NEWS=N&amp;PAGE=fulltext&amp;D=med4&amp;AN=10081058</t>
  </si>
  <si>
    <t>MEDLINE; Ovid Technologies; Rugby football</t>
  </si>
  <si>
    <t>DiFranza,J. R.</t>
  </si>
  <si>
    <t>School tobacco policy: a medical perspective</t>
  </si>
  <si>
    <t>Journal of School Health</t>
  </si>
  <si>
    <t>J.Sch.Health</t>
  </si>
  <si>
    <t>Adolescent;Child;Health Education;*Health Promotion/mt Methods];Humans;Parents;*Schools/st Standards];*Tobacco Use Disorder/pc Prevention &amp; Control]</t>
  </si>
  <si>
    <t>J2: J Sch Health; DiFranza, J R; ID: 1370</t>
  </si>
  <si>
    <t>0022-4391</t>
  </si>
  <si>
    <t>DiFranza, J R. Family Practice Residency Program, University of Massachusetts Medical Center, Fitchburg 01420.</t>
  </si>
  <si>
    <t>http://ovidsp.ovid.com/ovidweb.cgi?T=JS&amp;CSC=Y&amp;NEWS=N&amp;PAGE=fulltext&amp;D=med3&amp;AN=2607754</t>
  </si>
  <si>
    <t>MEDLINE; Ovid Technologies; School tobacco policy: a medical perspective</t>
  </si>
  <si>
    <t>Digiusto,E. A.;Leigh,S. V.;Hardcastle,D. A.;Currie,J. N.</t>
  </si>
  <si>
    <t>Effectiveness of CME workshops for alcohol and other drug-related interventions in general practice</t>
  </si>
  <si>
    <t>Accreditation;*Alcoholism/pc Prevention &amp; Control];Australia;*Education, Medical, Continuing;*Family Practice/ed Education];Female;Humans;Methadone/tu Therapeutic Use];Practice Patterns, Physicians'/sn Statistics &amp; Numerical Data];Pregnancy;*Pregnancy Complications/pc Prevention &amp; Control];*Smoking Prevention;*Substance-Related Disorders/pc Prevention &amp; Control];UC6VBE7V1Z (Methadone)</t>
  </si>
  <si>
    <t>J2: Med J Aust; Digiusto, E A Leigh, S V Hardcastle, D A Currie, J N; ID: 1106</t>
  </si>
  <si>
    <t>http://ovidsp.ovid.com/ovidweb.cgi?T=JS&amp;CSC=Y&amp;NEWS=N&amp;PAGE=fulltext&amp;D=med4&amp;AN=9700351</t>
  </si>
  <si>
    <t>MEDLINE; Ovid Technologies; Effectiveness of CME workshops for alcohol and other drug-related interventions in general practice</t>
  </si>
  <si>
    <t>Dilts,S. L.;House,R. M., J.;Arthur,W. R.;Hurley,M. E.</t>
  </si>
  <si>
    <t>Incidence of alcohol abuse in the parents of medical students</t>
  </si>
  <si>
    <t>Adult;*Alcoholism/ep Epidemiology];Female;Humans;Male;*Parents/px Psychology];Pilot Projects;*Students, Medical;Surveys and Questionnaires;United States/ep Epidemiology]</t>
  </si>
  <si>
    <t>An anonymous self-report survey of the medical students at the University of Colorado Health Sciences Center assessed how many of the students' parents were alcohol abusers. The results indicated that 27% of the student body were children of alcohol abusers, a rate twice that of the general population. This finding has implications for teaching strategies, student substance abuse, prevention efforts during the medical-school years, and provision of appropriate programs through student health services.</t>
  </si>
  <si>
    <t>J2: J Am Coll Health; Dilts, S L House, R M Jr Arthur, W R Hurley, M E; ID: 1243</t>
  </si>
  <si>
    <t>Dilts, S L. Denver General Hospital.</t>
  </si>
  <si>
    <t>http://ovidsp.ovid.com/ovidweb.cgi?T=JS&amp;CSC=Y&amp;NEWS=N&amp;PAGE=fulltext&amp;D=med3&amp;AN=8245323</t>
  </si>
  <si>
    <t>MEDLINE; Ovid Technologies; Incidence of alcohol abuse in the parents of medical students</t>
  </si>
  <si>
    <t>DiMascio,A.</t>
  </si>
  <si>
    <t>The role of the physician in reinforcing and inhibiting drug abuse</t>
  </si>
  <si>
    <t>International pharmacopsychiatry</t>
  </si>
  <si>
    <t>Int.Pharmacopsychiatry</t>
  </si>
  <si>
    <t>Attitude;Drug Prescriptions;Drug Therapy, Combination;Education, Medical;Humans;*Physicians;*Substance-Related Disorders</t>
  </si>
  <si>
    <t>J2: Int Pharmacopsychiatry; DiMascio, A; ID: 1548</t>
  </si>
  <si>
    <t>0020-8272</t>
  </si>
  <si>
    <t>http://ovidsp.ovid.com/ovidweb.cgi?T=JS&amp;CSC=Y&amp;NEWS=N&amp;PAGE=fulltext&amp;D=med1&amp;AN=4681197</t>
  </si>
  <si>
    <t>MEDLINE; Ovid Technologies; The role of the physician in reinforcing and inhibiting drug abuse</t>
  </si>
  <si>
    <t>Dixon,L.</t>
  </si>
  <si>
    <t>Dual diagnosis of substance abuse in schizophrenia: prevalence and impact on outcomes</t>
  </si>
  <si>
    <t>Schizophrenia research</t>
  </si>
  <si>
    <t>Schizophr.Res.</t>
  </si>
  <si>
    <t>35 Suppl</t>
  </si>
  <si>
    <t>S93</t>
  </si>
  <si>
    <t>Alcoholism/co Complications];Alcoholism/ep Epidemiology];Cocaine-Related Disorders/co Complications];Cocaine-Related Disorders/ep Epidemiology];Diagnosis, Dual (Psychiatry);Female;Health Care Costs;Health Status;Humans;Male;Marijuana Abuse/co Complications];Marijuana Abuse/ep Epidemiology];Patient Compliance;Prevalence;*Schizophrenia/co Complications];*Substance-Related Disorders/co Complications];Substance-Related Disorders/ep Epidemiology];Violence</t>
  </si>
  <si>
    <t>Comorbid substance abuse disorders have emerged as one of the greatest obstacles to the effective treatment of persons with schizophrenia. Estimates of the prevalence of such comorbidity vary, but as many as half of persons with schizophrenia may suffer from a comorbid drug or alcohol disorder. Younger age, male gender, and lower educational attainment are associated with greater risk for addiction. Persons with schizophrenia and comorbid addiction tend to have an earlier onset of schizophrenia than do those without comorbid addiction. Research does not support a link between specific symptoms of schizophrenia and choice of abused drugs. Rather, drug choice is correlated with the pattern of ambient drug use in the community. Comorbid substance disorders are associated with a variety of poorer outcomes, including increased psychotic symptoms, poorer treatment compliance, violence, housing instability and homelessness, medical problems (including human immunodeficiency virus infection), poor money management, and greater use of crisis-oriented services that result in higher costs of care. Considerable progress has been made over the past decade in understanding the need to integrate substance abuse treatment and mental health treatment to provide more effective care for this population. References: 36]</t>
  </si>
  <si>
    <t>J2: Schizophr Res; Dixon, L; ID: 1071</t>
  </si>
  <si>
    <t>0920-9964</t>
  </si>
  <si>
    <t>Dixon, L. University of Maryland, Department of Psychiatry, Baltimore 21201, USA. ldixon@umaryland.edu</t>
  </si>
  <si>
    <t>http://ovidsp.ovid.com/ovidweb.cgi?T=JS&amp;CSC=Y&amp;NEWS=N&amp;PAGE=fulltext&amp;D=med4&amp;AN=10190230</t>
  </si>
  <si>
    <t>MEDLINE; Ovid Technologies; Dual diagnosis of substance abuse in schizophrenia: prevalence and impact on outcomes</t>
  </si>
  <si>
    <t>Djalalinia,S.;Tehrani,F. R.;Malekafzali,H.;Dovvom,M. R.;Neot,R.;Peykari,N.</t>
  </si>
  <si>
    <t>Training of general practitioners about smoking cessation counseling</t>
  </si>
  <si>
    <t>JPMA - Journal of the Pakistan Medical Association</t>
  </si>
  <si>
    <t>Adult;*Counseling/ed Education];Cross-Sectional Studies;Female;*Health Knowledge, Attitudes, Practice;Health Promotion/mt Methods];Humans;Male;Middle Aged;Physician-Patient Relations;*Physicians, Family/ed Education];Physicians, Family/px Psychology];*Smoking Cessation/mt Methods];Smoking Cessation/sn Statistics &amp; Numerical Data];Surveys and Questionnaires</t>
  </si>
  <si>
    <t>OBJECTIVES: To study general practitioners' knowledge regarding smoking and their formal educational training on quitting smoking and associated readiness for providing associated services. METHODS: This cross sectional study was carried out using an anonymous WHO based questionnaire. According to sample size estimated based on general practitioners' population ratio, review literatures and response rate probability; it was given to the 5140 general practitioners selected by random quota sampling method from a total of 25,600 practitioners all over the country at the time of the study. RESULTS: There were 3804 (74%) males with 16% being smokers and 4.6% having a history of smoking. Thirty percent of the subjects felt that they were ready for smoking cessation counseling, but only 9% had received formal training for it during medical school or post graduate training, while more than 80% perceived such training as necessary. Smoking cessation intervention during physician visits was associated with increased patient satisfaction especially among those who smoked. CONCLUSION: Formal training for smoking cessation among the study subject was inadequate. They were of the opinion that more courses should be included in medical school as better trained doctors could make good counselors.</t>
  </si>
  <si>
    <t>J2: JPMA J Pak Med Assoc; Djalalinia, Shirin Tehrani, Fahimeh Ramezani Malekafzali, Hossein Dovvom, Marzieh Rostami Neot, Rosemary Peykari, Niloofar; ID: 468</t>
  </si>
  <si>
    <t>0030-9982</t>
  </si>
  <si>
    <t>Djalalinia, Shirin. Research &amp; Technology, Ministry of Health &amp; Education, Iran.</t>
  </si>
  <si>
    <t>http://ovidsp.ovid.com/ovidweb.cgi?T=JS&amp;CSC=Y&amp;NEWS=N&amp;PAGE=fulltext&amp;D=med7&amp;AN=22204177</t>
  </si>
  <si>
    <t>MEDLINE; Ovid Technologies; Training of general practitioners about smoking cessation counseling</t>
  </si>
  <si>
    <t>Dolatshahi,B.;Farhoudian,A.;Falahatdoost,M.;Tavakoli,M.;Rezaie Dogahe,E.</t>
  </si>
  <si>
    <t>A Qualitative Study of the Relationship Between Methamphetamine Abuse and Sexual Dysfunction in Male Substance Abusers</t>
  </si>
  <si>
    <t>International Journal of High Risk Behaviors &amp; Addiction</t>
  </si>
  <si>
    <t>e29640</t>
  </si>
  <si>
    <t>BACKGROUND: Increased prevalent use of methamphetamine is a global public challenge. Information on drug use can be helpful in preventing high-risk behavior related to drug abuse. OBJECTIVES: This study aims to investigate the sexual function changes related to methamphetamine use in the male clients of public and private addiction treatment centers. PATIENTS AND METHODS: In this qualitative study, 45 men (35 methamphetamine users, 5 family members of the users, and 5 psychiatrists or physicians who were famous for treating or researching addiction) are involved. An in-depth interview was done with therapists and key individuals. RESULTS: The results show that the effects of methamphetamine on sexual function are not identical. The first usage is concomitant with the increased duration of sex, an increase in the quality and quantity of sexual pleasure, a delighted orgasm, and feeling more control of the sex act. These effects gradually decrease. A decreased libido and various sexual dysfunctions such as erectile dysfunction, premature ejaculation, and losing control during the sex act will appear over time. CONCLUSIONS: There are differences in the libido and sexual functions of methamphetamine users. Personal perceptions of one's sexual function may be affected by cognitive changes resultant from the drug. Drug-use prevention, addiction treatments, appropriate sexual behavior education, and harm reduction are priorities.</t>
  </si>
  <si>
    <t>J2: Int; Dolatshahi, Behrouz Farhoudian, Ali Falahatdoost, Mozhgan Tavakoli, Mahmoud Rezaie Dogahe, Ebrahim; ID: 1674</t>
  </si>
  <si>
    <t>2251-8711</t>
  </si>
  <si>
    <t>Dolatshahi, Behrouz. Substance Abuse and Dependence Research Center, Department of Clinical Psychology, University of Social Welfare and Rehabilitation Sciences, Tehran, IR Iran. Farhoudian, Ali. Substance Abuse and Dependence Research Center, Department of Clinical Psychology, University of Social Welfare and Rehabilitation Sciences, Tehran, IR Iran. Falahatdoost, Mozhgan. Department of Clinical Psychology, University of Social Welfare and Rehabilitation Sciences, Tehran, IR Iran. Tavakoli, Mahmoud. Substance Abuse and Dependence Research Center, Department of Clinical Psychology, University of Social Welfare and Rehabilitation Sciences, Tehran, IR Iran. Rezaie Dogahe, Ebrahim. Department of Clinical Psychology, University of Social Welfare and Rehabilitation Sciences, Tehran, IR Iran.</t>
  </si>
  <si>
    <t>http://ovidsp.ovid.com/ovidweb.cgi?T=JS&amp;CSC=Y&amp;NEWS=N&amp;PAGE=fulltext&amp;D=prem&amp;AN=27803891</t>
  </si>
  <si>
    <t>MEDLINE; Ovid Technologies; A Qualitative Study of the Relationship Between Methamphetamine Abuse and Sexual Dysfunction in Male Substance Abusers</t>
  </si>
  <si>
    <t>Donaher,P. A.;Welsh,C.</t>
  </si>
  <si>
    <t>Managing opioid addiction with buprenorphine</t>
  </si>
  <si>
    <t>*Ambulatory Care/mt Methods];*Buprenorphine/tu Therapeutic Use];Drug Prescriptions;Humans;*Narcotic Antagonists/tu Therapeutic Use];*Opioid-Related Disorders/dt Drug Therapy];Treatment Outcome;United States;0 (Narcotic Antagonists);40D3SCR4GZ (Buprenorphine)</t>
  </si>
  <si>
    <t>Legislation has enabled physicians to treat opioid-dependent patients with an office-based maintenance program using buprenorphine, a partial mu-opioid receptor agonist. Clinical studies indicate buprenorphine effectively manages opioid addiction. Buprenorphine is more effective than placebo for managing opioid addiction but may not be superior to methadone if high doses are needed. It is comparable to lower doses of methadone, however. Treatment phases include induction, stabilization, and maintenance. Buprenorphine therapy should be initiated at the onset of withdrawal symptoms and adjusted to address withdrawal symptoms and cravings. Advantages of buprenorphine include low abuse potential and high availability for office use. Disadvantages include high cost and possible lack of effectiveness in patients who require high methadone doses. Most family physicians are required to complete eight hours of training before they can prescribe buprenorphine for opioid addiction. References: 29]</t>
  </si>
  <si>
    <t>J2: Am Fam Physician; Donaher, Paul A Welsh, Christopher Comment in: Am Fam Physician. 2006 May 1;73(9):1513-4; PMID: 16719242; ID: 820</t>
  </si>
  <si>
    <t>Donaher, Paul A. Whitsett Center, Chestertown, MD, USA.</t>
  </si>
  <si>
    <t>http://ovidsp.ovid.com/ovidweb.cgi?T=JS&amp;CSC=Y&amp;NEWS=N&amp;PAGE=fulltext&amp;D=med5&amp;AN=16719249</t>
  </si>
  <si>
    <t>MEDLINE; Ovid Technologies; Managing opioid addiction with buprenorphine</t>
  </si>
  <si>
    <t>Dong,Y.;Winslow,M.;Chan,Y. H.;Subramaniam,M.;Whelan,G.</t>
  </si>
  <si>
    <t>Benzodiazepine dependence in Singapore</t>
  </si>
  <si>
    <t>Adult;Anti-Anxiety Agents/ad Administration &amp; Dosage];*Anti-Anxiety Agents/ae Adverse Effects];Anti-Anxiety Agents/sd Supply &amp; Distribution];Benzodiazepines/ad Administration &amp; Dosage];*Benzodiazepines/ae Adverse Effects];Benzodiazepines/sd Supply &amp; Distribution];Education, Medical, Continuing;Female;Humans;Male;Malingering/px Psychology];Mental Disorders/dt Drug Therapy];Mental Disorders/px Psychology];Physicians/st Standards];Practice Patterns, Physicians';Singapore/ep Epidemiology];Sleep Initiation and Maintenance Disorders/dt Drug Therapy];Sleep Initiation and Maintenance Disorders/px Psychology];Street Drugs/ae Adverse Effects];Street Drugs/sd Supply &amp; Distribution];*Substance-Related Disorders/ep Epidemiology];Substance-Related Disorders/px Psychology];0 (Anti-Anxiety Agents);0 (Street Drugs);12794-10-4 (Benzodiazepines)</t>
  </si>
  <si>
    <t>The study, conducted in 2003-2005, was aimed at investigating the pattern of benzodiazepine (BZD) use and the attitudes and perceptions of doctors' prescribing practices by a hundred BZD-dependent patients in Singapore. Data on patients' demographic characteristics, psychiatric profiles, patterns of BZD use, and perceptions about doctors' prescribing practices were collected. A benzodiazepine dependence self-report questionnaire (Bendep-SRQ) was also administered. The mean age of the study participants was 39.4 years (SD = 9.7); 88% were Chinese, 58% were males, 46% were married, 48% had received secondary school education, and 48% were unemployed. BZD abuse in Singapore is contributed to by both doctor-shopping behavior and doctors' prescribing practices. Doctors need training on the assessment and management of BZD dependence. The study's limitations were noted. This project was supported by an institutional block grant received from the National Medical Research Council, Singapore.</t>
  </si>
  <si>
    <t>J2: Subst Use Misuse; Dong, Yanhong Winslow, Munidasa Chan, Yiong Huak Subramaniam, Mythily Whelan, Gregory; ID: 727</t>
  </si>
  <si>
    <t>1082-6084</t>
  </si>
  <si>
    <t>Dong, Yanhong. Community Addiction Management Program, Institute of Mental Health, Singapore.</t>
  </si>
  <si>
    <t>http://ovidsp.ovid.com/ovidweb.cgi?T=JS&amp;CSC=Y&amp;NEWS=N&amp;PAGE=fulltext&amp;D=med5&amp;AN=17674238</t>
  </si>
  <si>
    <t>MEDLINE; Ovid Technologies; Benzodiazepine dependence in Singapore</t>
  </si>
  <si>
    <t>D'Onofrio,G.;Nadel,E. S.;Degutis,L. C.;Sullivan,L. M.;Casper,K.;Bernstein,E.;Samet,J. H.</t>
  </si>
  <si>
    <t>Improving emergency medicine residents' approach to patients with alcohol problems: a controlled educational trial</t>
  </si>
  <si>
    <t>Adult;*Alcoholism/di Diagnosis];Alcoholism/th Therapy];*Attitude of Health Personnel;Clinical Competence;Connecticut;*Emergency Medicine/ed Education];Female;*Health Knowledge, Attitudes, Practice;Humans;*Internship and Residency/mt Methods];Internship and Residency/sn Statistics &amp; Numerical Data];Male;Massachusetts;Physician's Role;Population Surveillance;Self Efficacy;Teaching/mt Methods]</t>
  </si>
  <si>
    <t>STUDY OBJECTIVE: We determine whether training using a structured skills-based intervention would improve emergency medicine residents' knowledge and practice in screening and intervening with patients presenting to the emergency department with alcohol problems. METHODS: In a controlled trial conducted at 2 similar emergency medicine residency programs associated with urban, Level I trauma centers, a 4-hour didactic, video, and skills-based workshop was conducted. Main outcome measures included (1) scores on changes in self-reported knowledge, current practice, self-efficacy, role-responsibility, attitudes and beliefs, and provider readiness to change from baseline to 1 year after intervention and (2) change in practice as measured by record review before and after intervention. RESULTS: The intervention group (n=17) had a significant increase in knowledge scores (P &lt;.001) and practice with regard to percent of medical records with evidence of screening and intervention (17% before versus 58% after; 95% confidence interval CI] 31 to 50; P &lt;.001); no change was observed in the control group (n=19). These increases were significantly different between groups (95% CI 30 to 54; P &lt;.001). There were no significant differences within or between groups for composite scores derived for current practice, self-efficacy, role responsibility, or readiness to change. CONCLUSION: A brief, structured, educational intervention for residents contributed to significant improvement in knowledge and practice with regard to patients with alcohol problems.</t>
  </si>
  <si>
    <t>J2: Ann Emerg Med; D'Onofrio, Gail Nadel, Eric S Degutis, Linda C Sullivan, Lisa M Casper, Karen Bernstein, Edward Samet, Jeffrey H; ID: 976</t>
  </si>
  <si>
    <t>D'Onofrio, Gail. Section of Emergency Medicine, Yale University School of Medicine, New Haven, CT 06519, USA. gail.donofrio@yale.edu</t>
  </si>
  <si>
    <t>http://ovidsp.ovid.com/ovidweb.cgi?T=JS&amp;CSC=Y&amp;NEWS=N&amp;PAGE=fulltext&amp;D=med4&amp;AN=12085073</t>
  </si>
  <si>
    <t>MEDLINE; Ovid Technologies; Improving emergency medicine residents' approach to patients with alcohol problems: a controlled educational trial</t>
  </si>
  <si>
    <t>D'Onofrio,G.;Pantalon,M. V.;Degutis,L. C.;Fiellin,D. A.;O'Connor P,G.</t>
  </si>
  <si>
    <t>NIHMS3345; Development and implementation of an emergency practitioner-performed brief intervention for hazardous and harmful drinkers in the emergency department</t>
  </si>
  <si>
    <t>*Alcoholism/th Therapy];Attitude of Health Personnel;Behavior Therapy/ed Education];Behavior Therapy/mt Methods];Connecticut;*Counseling/ed Education];*Counseling/mt Methods];Education, Medical, Continuing/mt Methods];Educational Measurement/mt Methods];*Emergency Medicine/ed Education];*Emergency Medicine/mt Methods];*Emergency Service, Hospital/og Organization &amp; Administration];Humans;Motivation;Outcome and Process Assessment (Health Care);Pilot Projects;Prospective Studies</t>
  </si>
  <si>
    <t>OBJECTIVES: 1) To develop and teach a brief intervention (BI) for "hazardous and harmful" (HH) drinkers in the emergency department (ED); 2) to determine whether emergency practitioners (EPs) (faculty, residents, and physician associates) can demonstrate proficiency in the intervention; and 3) to determine whether it is feasible for EPs to perform the BI during routine clinical care. METHODS: The Brief Negotiation Interview (BNI) was developed for a population of HH drinkers. EPs working in an urban, teaching hospital were trained during two-hour skills-based sessions. They were then tested for adherence to and competence with the BNI protocol using standardized patient scenarios and a checklist of critical components of the BNI. Finally, the EPs performed the BNI as part of routine ED clinical care in the context of a randomized controlled trial to test the efficacy of BI on patient outcomes. RESULTS: The BNI was developed, modified, and finalized in a manual, based on pilot testing. Eleven training sessions with 58 EPs were conducted from March 2002 to August 2003. Ninety-one percent (53/58) of the trained EPs passed the proficiency examination; 96% passed after remediation. Two EPs left prior to remediation. Subsequently, 247 BNIs were performed by 47 EPs. The mean (+/- standard deviation) number of BNIs per EP was 5.28 (+/- 4.91; range 0-28). The mean duration of the BNI was 7.75 minutes (+/- 3.18; range 4-24). CONCLUSIONS: A BNI for HH drinkers can be successfully developed for EPs. EPs can demonstrate proficiency in performing the BNI in routine ED clinical practice.</t>
  </si>
  <si>
    <t>J2: Acad Emerg Med; D'Onofrio, Gail Pantalon, Michael V Degutis, Linda C Fiellin, David A O'connor, Patrick G; ID: 834</t>
  </si>
  <si>
    <t>D'Onofrio, Gail. Section of Emergency Medicine, Yale University School of Medicine, 464 Congress Avenue, Suite 260, New Haven, CT 06519, USA. gail.donofrio@yale.edu</t>
  </si>
  <si>
    <t>http://ovidsp.ovid.com/ovidweb.cgi?T=JS&amp;CSC=Y&amp;NEWS=N&amp;PAGE=fulltext&amp;D=med5&amp;AN=15741590</t>
  </si>
  <si>
    <t>MEDLINE; Ovid Technologies; Development and implementation of an emergency practitioner-performed brief intervention for hazardous and harmful drinkers in the emergency department</t>
  </si>
  <si>
    <t>Doolittle,B.;Becker,W.</t>
  </si>
  <si>
    <t>A case series of buprenorphine/naloxone treatment in a primary care practice</t>
  </si>
  <si>
    <t>*Buprenorphine/tu Therapeutic Use];Buprenorphine, Naloxone Drug Combination;Comorbidity;Drug Combinations;Humans;*Naloxone/tu Therapeutic Use];*Opioid-Related Disorders/dt Drug Therapy];*Opioid-Related Disorders/ep Epidemiology];*Primary Health Care/sn Statistics &amp; Numerical Data];Retrospective Studies;*Self Administration/sn Statistics &amp; Numerical Data];0 (Buprenorphine, Naloxone Drug Combination);0 (Drug Combinations);36B82AMQ7N (Naloxone);40D3SCR4GZ (Buprenorphine)</t>
  </si>
  <si>
    <t>Physicians' adoption of buprenorphine/naloxone treatment is hindered by concerns over feasibility, cost, and lack of comfort treating patients with addiction. We examined the use of buprenorphine/naloxone in a community practice by two generalist physicians without addiction training, employing a retrospective chart review. From 2006-2010, 228 patients with opiate abuse/dependence were treated with buprenorphine/naloxone using a home-induction protocol. Multiple co-morbidities including diabetes (23% of patients), hypertension (36%), Hepatitis C (43%), and depression (74%) were concurrently managed. In this diverse sample, 1/228 experienced precipitated withdrawal during induction. Of the convenience subsample analyzed (n = 28), 82% (+/-10%) had negative urine drug tests for opioids; 92% (+/-11%) were negative for cocaine; 88% (+/-12%) were positive for buprenorphine. This case series demonstrated feasibility and safety of a low-cost buprenorphine/naloxone home induction protocol employed by generalists. Concurrent treatment of multiple comorbidities conforms with the patient-centered medical home ideal. Randomized trials of this promising approach are needed.</t>
  </si>
  <si>
    <t>J2: Subst Abus; Doolittle, Benjamin Becker, William; ID: 472</t>
  </si>
  <si>
    <t>Doolittle, Benjamin. Department of Internal Medicine, Yale University School of Medicine, New Haven, Connecticut 06520-8030, USA.</t>
  </si>
  <si>
    <t>http://ovidsp.ovid.com/ovidweb.cgi?T=JS&amp;CSC=Y&amp;NEWS=N&amp;PAGE=fulltext&amp;D=med7&amp;AN=22014257</t>
  </si>
  <si>
    <t>https://dx.doi.org/10.1080/08897077.2011.599256</t>
  </si>
  <si>
    <t>MEDLINE; Ovid Technologies; A case series of buprenorphine/naloxone treatment in a primary care practice</t>
  </si>
  <si>
    <t>Dore,G. J.;Thomas,D. L.</t>
  </si>
  <si>
    <t>Management and treatment of injection drug users with hepatitis C virus (HCV) infection and HCV/human immunodeficiency virus coinfection</t>
  </si>
  <si>
    <t>Seminars in liver disease</t>
  </si>
  <si>
    <t>Semin.Liver Dis.</t>
  </si>
  <si>
    <t>Antiviral Agents/tu Therapeutic Use];Comorbidity;*HIV Infections/th Therapy];HIV Infections/tm Transmission];*Hepatitis C/th Therapy];Hepatitis C/tm Transmission];Humans;Patient Compliance;Patient Education as Topic;Substance Abuse, Intravenous/co Complications];*Substance Abuse, Intravenous/th Therapy];Treatment Outcome;0 (Antiviral Agents)</t>
  </si>
  <si>
    <t>Injection drug use is the major mode of hepatitis C virus (HCV) transmission in developed countries. Despite this, relatively few current and recovering injection drug users (IDUs) have received HCV treatment. Studies among individuals with a recent history of injection drug use or those receiving drug dependency treatment have provided evidence that these groups can be successfully treated for chronic HCV infection. These studies have provided the impetus to change guidelines for treatment of current and recovering IDUs, with a move toward individualized HCV treatment assessment and the removal of defined periods of illicit drug use abstinence. Strategies to improve access to HCV treatment for current and recovering IDUs include drug dependency treatment education and training for hepatologists and other HCV treatment physicians, HCV treatment education and training for addiction medicine physicians, development of multidisciplinary clinics, and peer-based eduction and support for individuals considering and receiving HCV treatment. References: 108]</t>
  </si>
  <si>
    <t>J2: Semin Liver Dis; Dore, Gregory J Thomas, David L; ID: 870</t>
  </si>
  <si>
    <t>0272-8087</t>
  </si>
  <si>
    <t>Dore, Gregory J. National Centre in HIV Epidemiology and Clinical Research, The University of New South Wales, Sydney, Australia. gdore@nchecr.unsw.edu.au</t>
  </si>
  <si>
    <t>http://ovidsp.ovid.com/ovidweb.cgi?T=JS&amp;CSC=Y&amp;NEWS=N&amp;PAGE=fulltext&amp;D=med5&amp;AN=15731995</t>
  </si>
  <si>
    <t>MEDLINE; Ovid Technologies; Management and treatment of injection drug users with hepatitis C virus (HCV) infection and HCV/human immunodeficiency virus coinfection</t>
  </si>
  <si>
    <t>Doubova,S. V.;Mino-Leon,D.;Reyes-Morales,H.;Flores-Hernandez,S.;Torres-Arreola Ldel,P.;Perez-Cuevas,R.</t>
  </si>
  <si>
    <t>Effects of two educational programmes aimed at improving the utilization of non-opioid analgesics in family medicine clinics in Mexico</t>
  </si>
  <si>
    <t>Journal of evaluation in clinical practice</t>
  </si>
  <si>
    <t>J.Eval.Clin.Pract.</t>
  </si>
  <si>
    <t>Aged;Aged, 80 and over;*Ambulatory Care Facilities;*Analgesics/tu Therapeutic Use];Female;Humans;Male;Mexico;Middle Aged;*Patient Education as Topic;*Physicians, Family/ed Education];Program Evaluation;0 (Analgesics)</t>
  </si>
  <si>
    <t>OBJECTIVES: To develop and test two educational programmes (interactive and passive) aimed at improving family doctors' (FD) prescribing practices and patient's knowledge and use of non-opioid analgesics (NOA). METHODS: The educational programmes were conducted in two family medicine clinics by using a three-stage approach: baseline evaluation, design, and implementation of educational activities, and post-programme evaluation. An interactive educational programme (IEP) was compared with a passive educational programme (PEP); both were participated by FDs and patients. The IEP for FDs comprised of workshops, discussion groups, in-service training and guidelines, while for patients the IEP consisted of an interactive session with a video, leaflets and a discussion. The PEP consisted in delivering the guidelines to the FDs and the leaflets to patients. The effect of the programmes on the FDs was measured through the appropriateness of prescriptions and analysed using the differences-in-differences estimator (D-in-D), and on patients through changes in self-medication and in their knowledge about the proper use and adverse events by analysing the inter- and intra-group differences before and after the programmes. RESULTS: The IEP obtained better results to improve appropriate FDs prescription of NOA than PEP (D-in-D = 15%). Regarding the patients, the PEP group reached higher reduction of self-medication than the IEP group (13.4% vs. 9.1%); the knowledge of proper NOA use increased by 8.5% in both groups, whereas knowledge of NOA-related adverse events was better in the IEP (39.6%) than in the PEP group (9.2%). CONCLUSIONS: The IEP was better to improve the doctors' abilities to prescribe NOAs, and both programmes improved patients' knowledge.</t>
  </si>
  <si>
    <t>J2: J Eval Clin Pract; Doubova, Svetlana Vladislavovna Mino-Leon, Dolores Reyes-Morales, Hortensia Flores-Hernandez, Sergio Torres-Arreola, Laura del Pilar Perez-Cuevas, Ricardo; ID: 552</t>
  </si>
  <si>
    <t>1365-2753</t>
  </si>
  <si>
    <t>Doubova, Svetlana Vladislavovna. Unidad de Investigacion Epidemiologica y en Servicios de Salud, Centro Medico Nacional Siglo XXI, Instituto Mexicano del Seguro Social, Mexico City, Mexico.</t>
  </si>
  <si>
    <t>http://ovidsp.ovid.com/ovidweb.cgi?T=JS&amp;CSC=Y&amp;NEWS=N&amp;PAGE=fulltext&amp;D=med6&amp;AN=20545804</t>
  </si>
  <si>
    <t>https://dx.doi.org/10.1111/j.1365-2753.2009.01181.x</t>
  </si>
  <si>
    <t>MEDLINE; Ovid Technologies; Effects of two educational programmes aimed at improving the utilization of non-opioid analgesics in family medicine clinics in Mexico</t>
  </si>
  <si>
    <t>Dove,H. W.</t>
  </si>
  <si>
    <t>Postgraduate education and training in addiction disorders. Defining core competencies</t>
  </si>
  <si>
    <t>8, xi</t>
  </si>
  <si>
    <t>*Curriculum/st Standards];*Education, Medical, Graduate/og Organization &amp; Administration];Education, Medical, Graduate/td Trends];*Family Practice/ed Education];Female;*Health Knowledge, Attitudes, Practice;Humans;Male;Neurology/ed Education];Neurology/td Trends];Psychiatry/ed Education];Psychiatry/td Trends];*Substance-Related Disorders/di Diagnosis];*Substance-Related Disorders/th Therapy];United States/ep Epidemiology]</t>
  </si>
  <si>
    <t>The rising prevalence of substance abuse disorders in the general medical population makes it essential that more active training be initiated during general residency training across all specialties. Core competencies for general residencies are outlined and the need for advocacy for continuation of postgraduate fellowship in Addiction Psychiatry is recommended as a means of increasing the numbers of faculty to provide leadership teaching and research in the area of Addiction Psychiatry.</t>
  </si>
  <si>
    <t>J2: Psychiatr Clin North Am; Dove, H W; ID: 1067</t>
  </si>
  <si>
    <t>0193-953X</t>
  </si>
  <si>
    <t>Dove, H W. Department of Psychiatry, University of Illinois at Chicago, USA.</t>
  </si>
  <si>
    <t>http://ovidsp.ovid.com/ovidweb.cgi?T=JS&amp;CSC=Y&amp;NEWS=N&amp;PAGE=fulltext&amp;D=medc&amp;AN=10385945</t>
  </si>
  <si>
    <t>MEDLINE; Ovid Technologies; Postgraduate education and training in addiction disorders. Defining core competencies</t>
  </si>
  <si>
    <t>Doyle,D.</t>
  </si>
  <si>
    <t>Morphine: myths, morality and economics</t>
  </si>
  <si>
    <t>Postgraduate medical journal</t>
  </si>
  <si>
    <t>Postgrad.Med.J.</t>
  </si>
  <si>
    <t>67 Suppl 2</t>
  </si>
  <si>
    <t>S70</t>
  </si>
  <si>
    <t>Humans;*Morphine/ad Administration &amp; Dosage];Morphine/ae Adverse Effects];Morphine/tu Therapeutic Use];*Pain/dt Drug Therapy];76I7G6D29C (Morphine)</t>
  </si>
  <si>
    <t>It is a tragedy that morphine is scarcely available for between 1.3 and 2.5 billion people whilst 3.5 million cancer patients suffer needlessly. In only 10 countries is its consumption rising, in many more only codeine consumption shows an increase, and in many areas even in the Western world prescribing is grossly limited, fears of psychological addiction persist, professional education of doctors and nurses in analgesia remains minimal and too much importance is attached to expensive sophisticated methods of administration. Doctors have a professional and a moral responsibility to press for improved morphine availability in the most useful and economical forms worldwide.</t>
  </si>
  <si>
    <t>J2: Postgrad Med J; Doyle, D; ID: 1299</t>
  </si>
  <si>
    <t>0032-5473</t>
  </si>
  <si>
    <t>Doyle, D. St Columba's Hospice, Edinburgh.</t>
  </si>
  <si>
    <t>http://ovidsp.ovid.com/ovidweb.cgi?T=JS&amp;CSC=Y&amp;NEWS=N&amp;PAGE=fulltext&amp;D=med3&amp;AN=1758820</t>
  </si>
  <si>
    <t>MEDLINE; Ovid Technologies; Morphine: myths, morality and economics</t>
  </si>
  <si>
    <t>Dragovich,A.;Brason,F.;Beltran,T.;McCoart,A.;Plunkett,A. R.</t>
  </si>
  <si>
    <t>The feasibility of employing a home healthcare model for education and treatment of opioid overdose using a naloxone auto-injector in a private practice pain medicine clinic</t>
  </si>
  <si>
    <t>Current Medical Research &amp; Opinion</t>
  </si>
  <si>
    <t>OBJECTIVES: The purpose of this study was to determine if employing a home healthcare model for education and treatment of opioid overdose using Evzio (Naloxone)* auto-injector in a private practice pain clinic. METHODS: A prospective survey was used to determine the feasibility of integrating a naloxone auto-injector within the patient's home with a home care training model. Twenty moderate or high-risk patients were enrolled from our chronic pain clinic. Patients who were moderate or high risk completed an evaluation survey. The naloxone auto-injector was dispensed to all patients meeting criteria. The treating provider after prescribing the naloxone auto-injector then consulted home health per standard clinical practice. All patients had home health consulted to perform overdose identification and rescue training. A Cochran's Q test was conducted to examine differences in patient knowledge pre and post training. The post training test was done 2-4 weeks later. RESULTS: Forty subjects enrolled after meeting inclusion/exclusion criteria. Twenty withdrew because their insurance declined coverage for the naloxone auto-injector. Those completing home health showed a statistically significant difference in their ability to correctly identify the steps needed to effectively respond to an overdose p=0.03 Discussion: Preliminary evidence would suggest training on overdose symptom recognition and proper use of prescription naloxone for treatment in the home setting by home health staff would prove more beneficial than the clinic setting, but feasibility was hindered by unaffordable costs related to insurance coverage limitations.</t>
  </si>
  <si>
    <t>J2: Curr Med Res Opin; Dragovich, Anthony Brason, Fred Beltran, Thomas McCoart, Amy Plunkett, Anthony R; ID: 1682</t>
  </si>
  <si>
    <t>1473-4877</t>
  </si>
  <si>
    <t>Dragovich, Anthony. a Blue Ridge Pain Management Associates , Salem , Virginia 24153 , USA. Brason, Fred. b Project Lazarus , North Carolina 28654 , USA. Beltran, Thomas. c Womack Army Medical Center, Department of Clinical Investigation , North Carolina 28310 , USA. McCoart, Amy. d Henry M Jackson Foundation , North Carolina 27526 , USA. Plunkett, Anthony R. e Womack Army Medical Center, Department of Anesthesiology , North Carolina 28310 , USA.</t>
  </si>
  <si>
    <t>http://ovidsp.ovid.com/ovidweb.cgi?T=JS&amp;CSC=Y&amp;NEWS=N&amp;PAGE=fulltext&amp;D=medp&amp;AN=29667452</t>
  </si>
  <si>
    <t>https://dx.doi.org/10.1080/03007995.2018.1466698</t>
  </si>
  <si>
    <t>MEDLINE; Ovid Technologies; The feasibility of employing a home healthcare model for education and treatment of opioid overdose using a naloxone auto-injector in a private practice pain medicine clinic</t>
  </si>
  <si>
    <t>Dudas,R. A.;Barone,M. A.</t>
  </si>
  <si>
    <t>Can medical students identify a potentially serious acetaminophen dosing error in a simulated encounter? a case control study</t>
  </si>
  <si>
    <t>*Acetaminophen/tu Therapeutic Use];Adult;*Analgesics, Non-Narcotic/tu Therapeutic Use];Case-Control Studies;Child, Preschool;Clinical Clerkship;Clinical Competence;Curriculum;*Drug Overdose/di Diagnosis];*Education, Medical, Undergraduate;Humans;*Medication Errors;*Patient Simulation;0 (Analgesics, Non-Narcotic);362O9ITL9D (Acetaminophen)</t>
  </si>
  <si>
    <t>BACKGROUND: In an effort to assess medical students' abilities to identify a medication administration error in an outpatient setting, we designed and implemented a standardized patient simulation exercise which included a medication overdose. METHODS: Fourth year medical students completed a standardized patient (SP) simulation of a parent bringing a toddler to an outpatient setting. In this case-control study, the majority of students had completed a patient safety curriculum about pediatric medication errors prior to their SP encounter. If asked about medications, the SP portraying a parent was trained to disclose that she was administering acetaminophen and to produce a package with dosing instructions on the label. The administered dose represented an overdose. Upon completion, students were asked to complete an encounter note. RESULTS: Three hundred forty students completed this simulation. Two hundred ninety-one students previously completed a formal patient safety curriculum while 49 had not. A total of two hundred thirty-four students (69%) ascertained that the parent had been administering acetaminophen to their child. Thirty-seven students (11%) determined that the dosage exceeded recommended dosages. There was no significant difference in the error detection rates of students who completed the patient safety curriculum and those who had not. CONCLUSIONS: Despite a formal patient safety curriculum concerning medication errors, 89% of medical students did not identify an overdose of a commonly used over the counter medication during a standardized patient simulation. Further educational interventions are needed for students to detect medication errors. Additionally, 31% of students did not ask about the administration of over the counter medications suggesting that students may not view such medications as equally important to prescription medications. Simulation may serve as a useful tool to assess students' competency in identifying medication administration errors.</t>
  </si>
  <si>
    <t>J2: BMC Med Educ; Dudas, Robert A Barone, Michael A; ID: 207</t>
  </si>
  <si>
    <t>Dudas, Robert A. Department of pediatrics, Johns Hopkins University School of Medicine, Baltimore, MD, USA. rdudas@jhmi.edu. Barone, Michael A. Department of pediatrics, Johns Hopkins University School of Medicine, Baltimore, MD, USA. mbarone@jhmi.edu.</t>
  </si>
  <si>
    <t>http://ovidsp.ovid.com/ovidweb.cgi?T=JS&amp;CSC=Y&amp;NEWS=N&amp;PAGE=fulltext&amp;D=med8&amp;AN=25889566</t>
  </si>
  <si>
    <t>https://dx.doi.org/10.1186/s12909-015-0288-3</t>
  </si>
  <si>
    <t>MEDLINE; Ovid Technologies; Can medical students identify a potentially serious acetaminophen dosing error in a simulated encounter? a case control study</t>
  </si>
  <si>
    <t>Duka,T.;Crombag,H. S.;Stephens,D. N.</t>
  </si>
  <si>
    <t>Experimental medicine in drug addiction: towards behavioral, cognitive and neurobiological biomarkers</t>
  </si>
  <si>
    <t>Journal of Psychopharmacology</t>
  </si>
  <si>
    <t>Animals;Behavior, Addictive/pp Physiopathology];*Behavior, Addictive/px Psychology];Biomarkers/me Metabolism];*Brain/me Metabolism];Cognition;Cues;Decision Making;Humans;Motivation;Reward;Substance-Related Disorders/pp Physiopathology];*Substance-Related Disorders/px Psychology];0 (Biomarkers)</t>
  </si>
  <si>
    <t>Several theoretical frameworks have been developed to understand putative processes and mechanisms involved in addiction. Whilst these 'theories of addiction' disagree about importance and/or nature of a number of key psychological processes (e.g. the necessity of craving and/or the involvement of drug-value representations), a number of commonalities exist. For instance, it is widely accepted that Pavlovian associations between cues and environmental contexts and the drug effects acquired over the course of addiction play a critical role, especially in relapse vulnerability in detoxified addicts. Additionally, all theories of addiction (explicitly or implicitly) propose that chronic drug exposure produces persistent neuroplastic changes in neurobiological circuitries underlying critical emotional, cognitive and motivational processes, although disagreement exists as to the precise nature of these neurobiological changes and/or their psychological consequences. The present review, rather than limiting itself to any particular theoretical stance, considers various candidate psychological, neurobiological and/or behavioral processes in addiction and outlines conceptual and procedural approaches for the experimental medicine laboratory. The review discusses (1) extinction, renewal and (re)consolidation of learned associations between cues and drugs, (2) the drug reward value, (3) motivational states contributing to drug seeking and (4) reflective (top-down) and sensory (bottom-up) driven decision-making. In evaluating these psychological and/or behavioral processes and their relationship to addiction we make reference to putative underlying brain structures identified by basic animal studies and/or imaging studies with humans.</t>
  </si>
  <si>
    <t>J2: J Psychopharmacol; Duka, Theodora Crombag, Hans S Stephens, David N; ID: 476</t>
  </si>
  <si>
    <t>1461-7285</t>
  </si>
  <si>
    <t>Duka, Theodora. Behavioral and Clinical Neuroscience Research Group, School of Psychology, University of Sussex, Brighton, UK. t.duka@sussex.ac.uk</t>
  </si>
  <si>
    <t>http://ovidsp.ovid.com/ovidweb.cgi?T=JS&amp;CSC=Y&amp;NEWS=N&amp;PAGE=fulltext&amp;D=med7&amp;AN=21169391</t>
  </si>
  <si>
    <t>https://dx.doi.org/10.1177/0269881110388324</t>
  </si>
  <si>
    <t>MEDLINE; Ovid Technologies; Experimental medicine in drug addiction: towards behavioral, cognitive and neurobiological biomarkers</t>
  </si>
  <si>
    <t>Duncan,C. L.;Cummings,S. R.;Hudes,E. S.;Zahnd,E.;Coates,T. J.</t>
  </si>
  <si>
    <t>Quitting smoking: reasons for quitting and predictors of cessation among medical patients</t>
  </si>
  <si>
    <t>Adult;Aged;*Attitude to Health;*Counseling/mt Methods];Female;Humans;Male;Middle Aged;*Motivation;Nurse-Patient Relations;*Patients/px Psychology];Physician-Patient Relations;Prognosis;Prospective Studies;*Smoking/px Psychology];Smoking Cessation/mt Methods];*Smoking Cessation/px Psychology];Surveys and Questionnaires</t>
  </si>
  <si>
    <t>OBJECTIVE: To describe why medical patients quit smoking and the methods they use. DESIGN: Cross-sectional and prospective cohort design. Patient smokers were enrolled in a study of physician counseling about smoking. One year later, 2,581 of the patients were asked about quit attempts and methods used. Of those, 245 former smokers whose quitting had been biologically validated were interviewed about why and how they had quit. SETTING: Offices of internists and family practitioners in private practice and a health maintenance organization. SUBJECTS: Consecutive sample of ambulatory patients who smoked. MEASUREMENTS AND MAIN RESULTS: Baseline questionnaires included demographic data, smoking history, and symptoms and diagnoses related to smoking. After one year, subjects were interviewed about smoking status and methods used in attempting to quit. Cessation was confirmed by biochemical testing. Those who had quit were asked about reasons for quitting. Seventy-seven percent of successful quitters gave health-related reasons for quitting and the quitters ranked "harmful to health" as the most important reason for quitting. In a multivariate analysis, those who had a college education, who had social pressures to quit, and who had greater confidence in being able to quit were more likely to have quit smoking one year later, while those who smoked their first cigarette within 15 minutes of awakening and who had more diagnoses related to smoking were less likely to have quit smoking one year later. Participation in a treatment program and having been counseled by a physician or nurse practitioner were positively related to successful quitting, while use of filters or mouthpieces was negatively related. CONCLUSIONS: Concerns about health are the most common reason patients give for quitting, and addiction is the most important barrier to quitting. Education, social pressure, provider advice, and formal programs, but not over-the-counter devices, appear to increase the chances that smokers will quit.</t>
  </si>
  <si>
    <t>J2: J Gen Intern Med; Duncan, C L Cummings, S R Hudes, E S Zahnd, E Coates, T J; ID: 1276</t>
  </si>
  <si>
    <t>Duncan, C L. Department of Medicine, University of California, San Francisco.</t>
  </si>
  <si>
    <t>http://ovidsp.ovid.com/ovidweb.cgi?T=JS&amp;CSC=Y&amp;NEWS=N&amp;PAGE=fulltext&amp;D=med3&amp;AN=1506945</t>
  </si>
  <si>
    <t>MEDLINE; Ovid Technologies; Quitting smoking: reasons for quitting and predictors of cessation among medical patients</t>
  </si>
  <si>
    <t>Duong,D. K.;O'Sullivan,P. S.;Satre,D. D.;Soskin,P.;Satterfield,J.</t>
  </si>
  <si>
    <t>Social Workers as Workplace-Based Instructors of Alcohol and Drug Screening, Brief Intervention, and Referral to Treatment (SBIRT) for Emergency Medicine Residents</t>
  </si>
  <si>
    <t>Adult;Curriculum;*Education, Medical, Graduate/mt Methods];Educational Measurement;*Emergency Medicine/ed Education];Female;Humans;Internship and Residency;Male;Mass Screening;Motivational Interviewing;Program Development;San Francisco;*Social Workers;*Substance-Related Disorders/di Diagnosis]</t>
  </si>
  <si>
    <t>PROBLEM: Residency education is challenged by a shortage of personnel and time, particularly for teaching behavioral interventions such as screening, brief intervention, and referral to treatment (SBIRT) to reduce hazardous drinking and drug use. However, social workers may be well placed to teach SBIRT in clinical training settings. INTERVENTION: We describe a curriculum with social workers as SBIRT trainers of emergency medicine (EM) residents during actual clinical shifts in an EM residency training program. The curriculum required 1 EM faculty member working with social workers and 1 additional hour of formal residency conference teaching time. CONTEXT: We implemented the curriculum at both a university tertiary care hospital emergency department and a county trauma center. We trained 8 social workers at both sites as SBIRT superusers to teach and assess EM resident SBIRT performance with actual patients. We measured the length and number of sessions to attain SBIRT competence, residents' satisfaction, and resident comments (coded by authors). OUTCOME: Five of the 8 social workers trained residents between June 2013 and May 2014, 31 EM residents trained to a level indicating SBIRT competence with 114 patients. Each patient interaction averaged 8.8 minutes and residents averaged 3.13 patients. Twenty-four (77%) residents gave ratings of 1.58 (SD = .58) for the quality of teaching, 2.33 (SD = .87) for recommending the training to a colleague, 1.38 (SD = .49) for superusers' knowledge, 1.88 (SD = .95) for usefulness of instruction, 1.54 (SD = .72) for workplace learning, and 1.58 (SD = .78) for valuing learning from social workers (on a scale of 1 very satisfied/strongly agree] to 5 very dissatisfied/strongly disagree]). Residents preferred learning SBIRT during the 1st and 2nd training years and in the workplace. LESSONS LEARNED: Social work colleagues can be effective in teaching SBIRT to residents in the workplace, and our residents highly valued learning from social workers, who all had prior training in motivational interviewing. In the implementation of this curriculum, the clinical demands of residents must be taken into account when teaching occurs, and having multiple social worker instructors was instrumental.</t>
  </si>
  <si>
    <t>J2: Teach Learn Med; Duong, David K O'Sullivan, Patricia S Satre, Derek D Soskin, Philippa Satterfield, Jason; ID: 96</t>
  </si>
  <si>
    <t>1532-8015</t>
  </si>
  <si>
    <t>Duong, David K. a Department of Emergency Medicine , University of California, San Francisco School of Medicine , San Francisco , California , USA. O'Sullivan, Patricia S. b Department of Medicine , University of California, San Francisco School of Medicine , San Francisco , California , USA. Satre, Derek D. c Department of Psychiatry , University of California, San Francisco School of Medicine , San Francisco , California , USA. Soskin, Philippa. d Department of Emergency Medicine , MedStar Georgetown University Hospital , Washington , DC , USA. Satterfield, Jason. b Department of Medicine , University of California, San Francisco School of Medicine , San Francisco , California , USA.</t>
  </si>
  <si>
    <t>http://ovidsp.ovid.com/ovidweb.cgi?T=JS&amp;CSC=Y&amp;NEWS=N&amp;PAGE=fulltext&amp;D=med8&amp;AN=27191587</t>
  </si>
  <si>
    <t>https://dx.doi.org/10.1080/10401334.2016.1164049</t>
  </si>
  <si>
    <t>MEDLINE; Ovid Technologies; Social Workers as Workplace-Based Instructors of Alcohol and Drug Screening, Brief Intervention, and Referral to Treatment (SBIRT) for Emergency Medicine Residents</t>
  </si>
  <si>
    <t>Dupouy,J.;Vergnes,A.;Laporte,C.;Kinouani,S.;Auriacombe,M.;Oustric,S.;Rouge Bugat,M. E.</t>
  </si>
  <si>
    <t>Intensity of previous teaching but not diagnostic skills influences stigmatization of patients with substance use disorder by general practice residents. A vignette study among French final-year residents in general practice</t>
  </si>
  <si>
    <t>European Journal of General Practice</t>
  </si>
  <si>
    <t>BACKGROUND: High levels of stigma towards patients with substance use disorder (SUD) have been found in health professionals and medical students. OBJECTIVES: To assess the capability of residents in general practice to diagnose SUD correctly; to assess their stigmatization of patients with SUD and to assess the correlation between both variables. We hypothesized a negative correlation. METHODS: In 2014, we conducted a cross-sectional survey among French residents in general practice, using a self-administered questionnaire. First, a clinical case of SUD (tramadol) was presented, to assess the diagnosis and retained diagnostic criteria. A second clinical vignette was presented (intravenous heroin user) to assess stigmatization with the Attitudes to Mental Illness Questionnaire (AMIQ). Its score ranges from -10 (negative attitude) to +10 (positive attitude). AMIQ scores of residents who diagnosed SUD correctly versus incorrectly, and who had received at least six hours versus less than six hours of teaching on this topic, were compared using Student's t-test. RESULTS: Of 1284 solicited residents, 303 participated (23.6%), 249 residents diagnosed SUD correctly (82.2%). The mean AMIQ score was -3.91 (SD 2.4) without significant difference regarding the correct diagnosis of SUD; but with a significant difference between residents who had received training in SUD for at least six hours versus residents less trained (AMIQ scores -3.76 (SD 2.46) versus -4.50 (SD 2.27), p=.0354). CONCLUSION: Residents in general practice had a good capacity to diagnose SUD correctly but on average expressed negative attitudes toward people with SUD. More SUD teaching seems to help in reducing stigmatizing attitudes.</t>
  </si>
  <si>
    <t>J2: Eur J Gen Pract; Dupouy, Julie Vergnes, Aurore Laporte, Catherine Kinouani, Sherazade Auriacombe, Marc Oustric, Stephane Rouge Bugat, Marie-Eve; ID: 1620</t>
  </si>
  <si>
    <t>1751-1402</t>
  </si>
  <si>
    <t>Dupouy, Julie. a Departement Universitaire de Medecine Generale , Universite de Toulouse III Paul Sabatier, Faculte de Medecine , Toulouse , France. Dupouy, Julie. b Inserm UMR1027, Universite de Toulouse III Paul Sabatier, Faculte de Medecine , Toulouse , France. Vergnes, Aurore. a Departement Universitaire de Medecine Generale , Universite de Toulouse III Paul Sabatier, Faculte de Medecine , Toulouse , France. Laporte, Catherine. c Departement de Medecine Generale , Universite de Clermont-Ferrand, Faculte de medecine , Clermont-Ferrand , France. Laporte, Catherine. d EA 7280 NPsy-Sydo, Faculte de medecine de Clermont-Ferrand, Universite d'Auvergne , Clermont-Ferrand , France. Kinouani, Sherazade. e Universite de Bordeaux , Bordeaux , France. Kinouani, Sherazade. f Inserm UMR1219, Neuroepidemiologie , Bordeaux , France. Kinouani, Sherazade. g Departement de Medecine Generale , Universite de Bordeaux , Bordeaux , France. Auriacombe, Marc. h Pole Addictologie , CH Charles Perrens et CHU de Bordeaux , Bordeaux Cedex , France. Auriacombe, Marc. i Laboratoire SANPSY, CNRS USR 3413, Universite de Bordeaux, PAC Carreire , Bordeaux Cedex , France. Oustric, Stephane. a Departement Universitaire de Medecine Generale , Universite de Toulouse III Paul Sabatier, Faculte de Medecine , Toulouse , France. Oustric, Stephane. b Inserm UMR1027, Universite de Toulouse III Paul Sabatier, Faculte de Medecine , Toulouse , France. Rouge Bugat, Marie-Eve. a Departement Universitaire de Medecine Generale , Universite de Toulouse III Paul Sabatier, Faculte de Medecine , Toulouse , France. Rouge Bugat, Marie-Eve. b Inserm UMR1027, Universite de Toulouse III Paul Sabatier, Faculte de Medecine , Toulouse , France.</t>
  </si>
  <si>
    <t>http://ovidsp.ovid.com/ovidweb.cgi?T=JS&amp;CSC=Y&amp;NEWS=N&amp;PAGE=fulltext&amp;D=prem&amp;AN=29792534</t>
  </si>
  <si>
    <t>https://dx.doi.org/10.1080/13814788.2018.1470239</t>
  </si>
  <si>
    <t>MEDLINE; Ovid Technologies; Intensity of previous teaching but not diagnostic skills influences stigmatization of patients with substance use disorder by general practice residents. A vignette study among French final-year residents in general practice</t>
  </si>
  <si>
    <t>Durfee,M. F.;Warren,D. G.;Sdao-Jarvie,K.</t>
  </si>
  <si>
    <t>A model for answering the substance abuse educational needs of health professionals: the North Carolina Governor's Institute on Alcohol and Substance Abuse</t>
  </si>
  <si>
    <t>Alcohol</t>
  </si>
  <si>
    <t>Curriculum;*Education, Medical;Government;Humans;*Models, Educational;North Carolina;Physician's Role;Substance-Related Disorders/pc Prevention &amp; Control];Substance-Related Disorders/th Therapy];*Substance-Related Disorders</t>
  </si>
  <si>
    <t>Physicians can play an increased role in recognizing, intervening, and moderating their patients' misuse of alcohol and other drugs. This article explores the need for educational changes to permit physicians to develop skills in prevention, screening, and office-based treatment. It includes a personal account by one of the authors of his experience in recognizing deficiencies in substance abuse education both in his own medical school training and in today's health science curricula in the United States. It reviews prior initiatives by NIAAA/NIDA to address curriculum needs and describes an innovative collaborative model in North Carolina called the Governor's Institute on Alcohol and Substance Abuse. The Institute was created in 1990 as a nonprofit corporation to promote education, research, and communication among health professionals. Some of the Institute's programs are described, including its curriculum integration project in the state's four medical schools. The article concludes that the time is right to introduce substance abuse concepts into basic and continuing education for all health professionals. References: 31]</t>
  </si>
  <si>
    <t>J2: Alcohol; Durfee, M F Warren, D G Sdao-Jarvie, K; ID: 1204</t>
  </si>
  <si>
    <t>0741-8329</t>
  </si>
  <si>
    <t>Durfee, M F. Governor's Institute on Alcohol and Substance Abuse, Inc., Research Triangle Park, NC 27709.</t>
  </si>
  <si>
    <t>http://ovidsp.ovid.com/ovidweb.cgi?T=JS&amp;CSC=Y&amp;NEWS=N&amp;PAGE=fulltext&amp;D=med3&amp;AN=7865148</t>
  </si>
  <si>
    <t>MEDLINE; Ovid Technologies; A model for answering the substance abuse educational needs of health professionals: the North Carolina Governor's Institute on Alcohol and Substance Abuse</t>
  </si>
  <si>
    <t>Eckert,P. P.;Finkelman,M.;Rosenberg,M. B.</t>
  </si>
  <si>
    <t>Prevalence of Substance Abuse Among Oral and Maxillofacial Surgery Residents From 2006 to 2015</t>
  </si>
  <si>
    <t>Journal of Oral &amp; Maxillofacial Surgery</t>
  </si>
  <si>
    <t>Cross-Sectional Studies;Humans;*Internship and Residency;Prevalence;*Substance-Related Disorders/ep Epidemiology];*Surgeons/px Psychology];*Surgery, Oral/ed Education];Surveys and Questionnaires;United States/ep Epidemiology]</t>
  </si>
  <si>
    <t>PURPOSE: Substance abuse in oral and maxillofacial surgery (OMS) training programs is an important and under-represented topic in the literature. This study's purpose was to assess the prevalence of substance abuse in OMS training programs in the United States during a 10-year period and to determine the substances most abused by OMS residents. MATERIALS AND METHODS: A cross-sectional survey study was conducted by sending an online questionnaire to program directors and chairpersons of all OMS graduate training programs accredited by the Commission on Dental Accreditation. The content- and validity-tested survey asked respondents to report on substance abuse cases at their program from 2006 to 2015. Auxiliary questions asked opinions on substance abuse. To analyze the data, percentages were calculated, including the estimated prevalence of abuse; results were presented as bar charts. RESULTS: Forty-six of the 101 OMS training programs (45.5%) responded. Sixteen of the responding 46 programs (34.8%) reported at least 1 suspected or encountered incident of substance abuse. The 2 most abused substances were alcohol and narcotics. During the decade studied, the prevalence of resident substance abuse was estimated to be 1.2%. CONCLUSION: The estimated prevalence of resident substance abuse has gone unchanged since Rosenberg's initial study in 1986 (J Oral Maxillofac Surg 44:458, 1986). With the introduction of new drugs and despite more stringent protocols, substance abuse continues to be a germane issue for OMS requiring ongoing attention clinically and in the literature.</t>
  </si>
  <si>
    <t>J2: J Oral Maxillofac Surg; Eckert, Pasquale P Finkelman, Matthew Rosenberg, Morton B S0278-2391(16)30494-3; ID: 94</t>
  </si>
  <si>
    <t>1531-5053</t>
  </si>
  <si>
    <t>Eckert, Pasquale P. Dental Student, Tufts University Schools of Medicine and Dental Medicine, Boston, MA. Electronic address: pasqualepeckert@gmail.com. Finkelman, Matthew. Associate Professor and Director, Division of Biostatistics and Experimental Design, Tufts University Schools of Medicine and Dental Medicine, Boston, MA. Rosenberg, Morton B. Professor, Department of Oral and Maxillofacial Surgery; Director, Division of Anesthesia and Pain Control; Professor, Department of Anesthesiology, Tufts University Schools of Medicine and Dental Medicine, Boston, MA.</t>
  </si>
  <si>
    <t>http://ovidsp.ovid.com/ovidweb.cgi?T=JS&amp;CSC=Y&amp;NEWS=N&amp;PAGE=fulltext&amp;D=med8&amp;AN=27450751</t>
  </si>
  <si>
    <t>https://dx.doi.org/10.1016/j.joms.2016.06.176</t>
  </si>
  <si>
    <t>MEDLINE; Ovid Technologies; Prevalence of Substance Abuse Among Oral and Maxillofacial Surgery Residents From 2006 to 2015</t>
  </si>
  <si>
    <t>Eckert-Norton,M.;Baez,A.;Morrison,A.</t>
  </si>
  <si>
    <t>Training providers at a university health center in substance use screening</t>
  </si>
  <si>
    <t>Adolescent;Adult;*Alcoholism/di Diagnosis];Alcoholism/ep Epidemiology];Alcoholism/rh Rehabilitation];Counseling/ed Education];Cross-Sectional Studies;Curriculum;Fellowships and Scholarships;Humans;*Inservice Training;*Mass Screening;New York;Program Evaluation;*Student Health Services;Students/sn Statistics &amp; Numerical Data];*Substance-Related Disorders/di Diagnosis];Substance-Related Disorders/ep Epidemiology];Substance-Related Disorders/rh Rehabilitation]</t>
  </si>
  <si>
    <t>NYU MAINSTREAM fellows collaborated with a student health center. An objective structured clinical evaluation (OSCE) was conducted by the fellows for the center's personnel.</t>
  </si>
  <si>
    <t>J2: Subst Abus; Eckert-Norton, Margaret Baez, Annecy Morrison, Ann; ID: 736</t>
  </si>
  <si>
    <t>Eckert-Norton, Margaret. SUNY Downstate Medical Center, Brooklyn, NY 11203, USA. margaret.eckert-norton@downstate.edu</t>
  </si>
  <si>
    <t>http://ovidsp.ovid.com/ovidweb.cgi?T=JS&amp;CSC=Y&amp;NEWS=N&amp;PAGE=fulltext&amp;D=med5&amp;AN=16837412</t>
  </si>
  <si>
    <t>MEDLINE; Ovid Technologies; Training providers at a university health center in substance use screening</t>
  </si>
  <si>
    <t>Edelman,E. J.;Dinh,A. T.;Moore,B. A.;Schottenfeld,R. S.;Fiellin,D. A.;Sullivan,L. E.</t>
  </si>
  <si>
    <t>NIHMS399281; Human immunodeficiency virus testing practices among buprenorphine-prescribing physicians</t>
  </si>
  <si>
    <t>*AIDS Serodiagnosis/ut Utilization];Adolescent;Adult;*Buprenorphine/tu Therapeutic Use];Comorbidity;Cross-Sectional Studies;Female;*HIV Infections/di Diagnosis];*HIV Infections/ep Epidemiology];Humans;Male;*Mass Screening/ut Utilization];Middle Aged;*Narcotics/tu Therapeutic Use];*Opiate Substitution Treatment/ut Utilization];*Opioid-Related Disorders/ep Epidemiology];*Opioid-Related Disorders/rh Rehabilitation];*Practice Patterns, Physicians'/ut Utilization];Risk-Taking;Surveys and Questionnaires;United States;Utilization Review;Young Adult;0 (Narcotics);40D3SCR4GZ (Buprenorphine)</t>
  </si>
  <si>
    <t>BACKGROUND: Despite the Centers for Disease Control and Prevention recommendations for annual HIV testing of at-risk populations, including those with substance use disorders, there are no data on the human immunodeficiency virus (HIV) testing practices of buprenorphine-prescribing physicians. OBJECTIVE: To describe HIV testing practices among buprenorphine-prescribing physicians. METHODS: We conducted a cross-sectional survey of physicians enrolled in a national system to support buprenorphine prescribing between July and August 2008. The electronic survey included questions on demographics; clinical training and experience; clinical practice; patient characteristics; and physician screening practices, including HIV testing. RESULTS: Only 46% of 382 respondent physicians conducted HIV testing. On univariate analysis, physicians who conducted HIV testing were more likely to report addiction specialty training (33% vs 19%, P = 0.001), practicing in addiction settings (28% vs 16%, P = 0.006), and having treated more than 50 patients with buprenorphine (50% vs 31%, P &lt; 0.0001) than those who did not. Compared with physicians who did not conduct HIV testing, physicians who conducted HIV testing had a lower proportion of buprenorphine patients who were white (75% vs 82%, P = 0.01) or dependent upon prescription opioids (57% vs 70%, P &lt; 0.0001). In multivariate analysis, physicians who conducted HIV testing were more likely to have treated more than 50 patients with buprenorphine (odds ratio = 1.777, 95% CI 1.011-3.124) and had fewer patients dependent upon prescription opioids (odds ratio = 0.986 95% CI 0.975-0.998) than physicians who did not. CONCLUSIONS: Interventions to increase HIV testing among physicians prescribing buprenorphine are needed.</t>
  </si>
  <si>
    <t>J2: J Addict Med; Edelman, E Jennifer Dinh, An T Moore, Brent A Schottenfeld, Richard S Fiellin, David A Sullivan, Lynn E; ID: 391</t>
  </si>
  <si>
    <t>Edelman, E Jennifer. Robert Wood Johnson Foundation Clinical Scholars Program, Yale School of Public Health, New Haven, CT 06520, USA. ejennifer.edelmam@yale.edu</t>
  </si>
  <si>
    <t>http://ovidsp.ovid.com/ovidweb.cgi?T=JS&amp;CSC=Y&amp;NEWS=N&amp;PAGE=fulltext&amp;D=med7&amp;AN=22367499</t>
  </si>
  <si>
    <t>https://dx.doi.org/10.1097/ADM.0b013e31824339fc</t>
  </si>
  <si>
    <t>MEDLINE; Ovid Technologies; Human immunodeficiency virus testing practices among buprenorphine-prescribing physicians</t>
  </si>
  <si>
    <t>Edens,E. L.;Gafni,I.;Encandela,J.</t>
  </si>
  <si>
    <t>Addiction and Chronic Pain: Training Addiction Psychiatrists</t>
  </si>
  <si>
    <t>Chronic Pain/ep Epidemiology];*Chronic Pain/th Therapy];Comorbidity;Curriculum;Faculty, Medical;*Fellowships and Scholarships/mt Methods];Focus Groups;Humans;*Pain Management;*Psychiatry/ed Education];Substance-Related Disorders/ep Epidemiology];*Substance-Related Disorders/th Therapy]</t>
  </si>
  <si>
    <t>OBJECTIVE: Addiction psychiatrists are increasingly asked to address chronic pain in patients with addiction. Because of historic "divisions of labor" between physicians who manage pain and addiction psychiatrists who manage addiction, limited guidance exists for preparing addiction psychiatry trainees to address this comorbidity. METHODS: A 1-h focus group composed of five geographically well-distributed addiction psychiatry fellowship directors/faculty was conducted to explore existing curricula, identify themes, and build consensus regarding educational goals for addiction psychiatry fellows in the area of chronic pain management. RESULTS: Discussion resulted in five broad categories of themes involving perceptions of the importance of chronic pain training for addiction psychiatrists; barriers to curriculum development (one notably being that the addiction psychiatrist's role in managing chronic pain is poorly articulated); facilitators to such development; and potential curricular content and roles of addiction psychiatrists in relation to chronic pain training. CONCLUSION: Educators in addiction psychiatry should clarify their role in the management of chronic pain and prioritize training in this area.</t>
  </si>
  <si>
    <t>J2: Acad Psychiatry; Edens, Ellen Lockard Gafni, Inbal Encandela, John; ID: 121</t>
  </si>
  <si>
    <t>Edens, Ellen Lockard. Yale School of Medicine, New Haven, CT, USA. ellen.edens@va.gov. Gafni, Inbal. Women's College Hospital, University of Toronto, Toronto, ON, Canada. Encandela, John. Yale School of Medicine, New Haven, CT, USA.</t>
  </si>
  <si>
    <t>http://ovidsp.ovid.com/ovidweb.cgi?T=JS&amp;CSC=Y&amp;NEWS=N&amp;PAGE=fulltext&amp;D=med8&amp;AN=26626792</t>
  </si>
  <si>
    <t>https://dx.doi.org/10.1007/s40596-015-0412-z</t>
  </si>
  <si>
    <t>MEDLINE; Ovid Technologies; Addiction and Chronic Pain: Training Addiction Psychiatrists</t>
  </si>
  <si>
    <t>Edwards,G.</t>
  </si>
  <si>
    <t>Visiting America: notes from an alcohol-focused study tour made in 1961</t>
  </si>
  <si>
    <t>*Alcoholism/hi History];Alcoholism/th Therapy];Anelloviridae;Cross-Cultural Comparison;Education, Medical/hi History];History, 20th Century;Humans;*International Educational Exchange/hi History];Psychiatry/ed Education];Psychiatry/hi History];United Kingdom;United States</t>
  </si>
  <si>
    <t>AIMS: This paper has as its focus a study tour made by the author in 1961. Diary notes are used to capture a historical moment in the evolution of alcohol studies. The paper will argue for the continuing value today of such experiences in support of career development and the building of 'the field'. DATA SOURCES: Diary notes and personal recollection. FINDINGS: The United States was at the time more active than the United Kingdom in its response to alcohol problems. There was, however, a disjunction between the elite American research world and the world of action, which was not informed greatly by research. For the most part, treatment services and prevention strategies seemed driven by opinion rather than by evidence. But at the level of serious scientific endeavour there was opportunity to meet influential figures including Seldon Bacon, Morris Chafetz, Milton Gross, Ebbe Curtis Hoff, Harris Isbell, E. M. Jellinek, Mark Keller, Benjamin Kissen, Robert Strauss, Wolf Schmidt and Abraham Wikler, who generously made their time available. CONCLUSIONS: These diary notes provide a snapshot of a field of endeavour at a critical stage of transition from uninformed assumptions towards establishment of a research base which can inform public action. The visit was of tangible value to the visitor in several different identified ways. Such an experience is inevitably time-bound and personal, but there are general conclusions to be drawn as to the benefits which will be derived from early travel opportunities in a field such as alcohol studies, which is all too easily culture-bound in its horizons and assumptions. Alcohol science needs to be more reflective on its history and the mechanisms that help to make it happen.</t>
  </si>
  <si>
    <t>J2: Addiction; Edwards, Griffith Comment in: Addiction. 2008 Dec;103(12):1950-1; PMID: 19469735 Comment in: Addiction. 2008 Dec;103(12):1949-50; PMID: 19469734 Comment in: Addiction. 2008 Dec;103(12):1948-9; PMID: 19469733; ID: 622</t>
  </si>
  <si>
    <t>Edwards, Griffith. National Addiction Centre, Institute of Psychiatry, London, UK. louisa@addictionjournal.org</t>
  </si>
  <si>
    <t>http://ovidsp.ovid.com/ovidweb.cgi?T=JS&amp;CSC=Y&amp;NEWS=N&amp;PAGE=fulltext&amp;D=med6&amp;AN=18727683</t>
  </si>
  <si>
    <t>https://dx.doi.org/10.1111/j.1360-0443.2008.02307.x</t>
  </si>
  <si>
    <t>MEDLINE; Ovid Technologies; Visiting America: notes from an alcohol-focused study tour made in 1961</t>
  </si>
  <si>
    <t>Egan,J. E.;Casadonte,P.;Gartenmann,T.;Martin,J.;McCance-Katz,E.;Netherland,J.;Renner,J. A.;Weiss,L.;Saxon,A. J.;Fiellin,D. A.</t>
  </si>
  <si>
    <t>The Physician Clinical Support System-Buprenorphine (PCSS-B): a novel project to expand/improve buprenorphine treatment</t>
  </si>
  <si>
    <t>*Analgesics, Opioid/ae Adverse Effects];Analgesics, Opioid/ag Agonists];*Buprenorphine/tu Therapeutic Use];*Education, Medical, Continuing/mt Methods];Feasibility Studies;Humans;Information Dissemination/mt Methods];*Mentors;*Opiate Substitution Treatment;Practice Patterns, Physicians';*Substance-Related Disorders/dt Drug Therapy];0 (Analgesics, Opioid);40D3SCR4GZ (Buprenorphine)</t>
  </si>
  <si>
    <t>Opioid dependence is largely an undertreated medical condition in the United States. The introduction of buprenorphine has created the potential to expand access to and use of opioid agonist treatment in generalist settings. Physicians, however, often have limited training and experience providing this type of care. Some physicians believe having a mentoring relationship with an experienced provider during their initial introduction to the use of buprenorphine would ease implementation. Our goal was to describe the development, implementation, resources, and evaluation of the Physician Clinical Support System-Buprenorphine (PCSS-B), a federally funded program to improve access to and quality of treatment with buprenorphine. We provide a description of the PCSS-B, a national network of 88 trained physician mentors with expertise in buprenorphine treatment and skills in clinical education. We provide information regarding the use the PCSS-B core services including telephone, email and in-person support, a website, clinical guidances, a warmline and outreach to primary care and specialty organizations. Between July 2005 and July 2009, 67 mentors and 4 clinical experts reported providing mentoring services to 632 participants in 48 states, Washington DC and Puerto Rico. A total of 1,455 contacts were provided through email (45%), telephone (34%) and in-person visits (20%). Seventy-six percent of contacts addressed a clinical issue. Eighteen percent of contacts addressed a logistical issue. The number of contacts per participant ranged from 1-125. Between August 2005 and April 2009 there were 72,822 visits to the PCSS-B website with 179,678 pages viewed. Seven guidances were downloaded more than 1000 times. The warmline averaged more than 100 calls per month. The PCSS-B model provides support for a mentorship program to assist non-specialty physicians in the provision of buprenorphine and may serve as a model for dissemination of other types of care.</t>
  </si>
  <si>
    <t>J2: J Gen Intern Med; Egan, James E Casadonte, Paul Gartenmann, Tracy Martin, Judith McCance-Katz, Elinore F Netherland, Julie Renner, John A Weiss, Linda Saxon, Andrew J Fiellin, David A; ID: 553</t>
  </si>
  <si>
    <t>Egan, James E. New York Academy of Medicine, 1216 5th Avenue, New York, NY 10029, USA. jegan@nyam.org</t>
  </si>
  <si>
    <t>http://ovidsp.ovid.com/ovidweb.cgi?T=JS&amp;CSC=Y&amp;NEWS=N&amp;PAGE=fulltext&amp;D=med6&amp;AN=20458550</t>
  </si>
  <si>
    <t>https://dx.doi.org/10.1007/s11606-010-1377-y</t>
  </si>
  <si>
    <t>MEDLINE; Ovid Technologies; The Physician Clinical Support System-Buprenorphine (PCSS-B): a novel project to expand/improve buprenorphine treatment</t>
  </si>
  <si>
    <t>Egan,K. L.;Wolfson,M.;Dudley,W. N.;Francisco,V. T.;Strack,R. W.;Wyrick,D. L.;Perko,M. A.</t>
  </si>
  <si>
    <t>Diffusion of medication drop-boxes in North Carolina from 2007 to 2016</t>
  </si>
  <si>
    <t>INTRODUCTION: A permanent drug donation box ("drop-box") is one strategy implemented in communities across the United States to reduce the availability of excess controlled medications, including prescription opioids, for diversion. The objective of this study was to examine correlates of the diffusion and implementation of drop-boxes in North Carolina. METHODS: We assessed the number and location of drop-boxes implemented in North Carolina. Cox proportional hazards models were used to examine covariates associated with drop-box implementation in NC counties (n=100) between 2007 and 2016. RESULTS: There were 311 drop-boxes implemented in 91 (out of 100) counties. Most drop-boxes were in law enforcement agencies (78.8%) and a growing number were in pharmacies (14.5%). Counties with a higher percentage of whites, more educated residents, a substance abuse prevention coalition, higher rates of controlled medications dispensed and prescription opioid overdose, and that were Appalachian were more likely to be early adopters. Rural counties were less likely to have a drop-box. In the multivariate model, only higher rate of controlled medicines dispensed was significant. CONCLUSIONS: A growing number of drop-boxes are being implemented in law enforcement offices and pharmacies. Given that communities with higher rates of controlled medication dispensing likely have the highest need for disposal opportunities, it is promising that they are early adopters of drop-boxes. Future research should assess the effectiveness of drop-boxes as they become more widespread in a variety of locations.</t>
  </si>
  <si>
    <t>J2: Addict Behav; Using Smart Source Parsing Mar Egan, Kathleen L Wolfson, Mark Dudley, William N Francisco, Vincent T Strack, Robert W Wyrick, David L Perko, Michael A S0306-4603(18)30231-4; ID: 1676</t>
  </si>
  <si>
    <t>Egan, Kathleen L. Department of Epidemiology, College of Public Health and Health Professions, College of Medicine, University of Florida Gainesville, FL, USA. Electronic address: kateegan@ufl.edu. Wolfson, Mark. Department of Social Science and Health Policy, Wake Forest School of Medicine, Winston-Salem, NC, USA; Center for Research on Substance Use and Addiction, Wake Forest School of Medicine, Winston-Salem, NC, USA. Dudley, William N. Department of Public Health Education, University of North Carolina at Greensboro, Greensboro, NC, USA. Francisco, Vincent T. Department of Applied Behavioral Science, University of Kansas, Lawrence, KS, USA. Strack, Robert W. Department of Public Health Education, University of North Carolina at Greensboro, Greensboro, NC, USA. Wyrick, David L. Department of Public Health Education, University of North Carolina at Greensboro, Greensboro, NC, USA. Perko, Michael A. Department of Public Health Education, University of North Carolina at Greensboro, Greensboro, NC, USA.</t>
  </si>
  <si>
    <t>http://ovidsp.ovid.com/ovidweb.cgi?T=JS&amp;CSC=Y&amp;NEWS=N&amp;PAGE=fulltext&amp;D=medp&amp;AN=29631797</t>
  </si>
  <si>
    <t>https://dx.doi.org/10.1016/j.addbeh.2018.03.029</t>
  </si>
  <si>
    <t>MEDLINE; Ovid Technologies; Diffusion of medication drop-boxes in North Carolina from 2007 to 2016</t>
  </si>
  <si>
    <t>Einstein,S.</t>
  </si>
  <si>
    <t>Drug abuse training and education: the physician</t>
  </si>
  <si>
    <t>International Journal of the Addictions</t>
  </si>
  <si>
    <t>Int.J.Addict.</t>
  </si>
  <si>
    <t>Attitude;Community Mental Health Services;Comprehensive Health Care;Curriculum;Drug and Narcotic Control;*Education, Medical, Continuing;*Health Education;Humans;Models, Theoretical;Pharmaceutical Preparations/cl Classification];*Physicians;Social Behavior;*Substance-Related Disorders/pc Prevention &amp; Control];Substance-Related Disorders/th Therapy];United States;0 (Pharmaceutical Preparations)</t>
  </si>
  <si>
    <t>J2: Int J Addict; Einstein, S; ID: 1563</t>
  </si>
  <si>
    <t>0020-773X</t>
  </si>
  <si>
    <t>http://ovidsp.ovid.com/ovidweb.cgi?T=JS&amp;CSC=Y&amp;NEWS=N&amp;PAGE=fulltext&amp;D=med1&amp;AN=4412869</t>
  </si>
  <si>
    <t>MEDLINE; Ovid Technologies; Drug abuse training and education: the physician</t>
  </si>
  <si>
    <t>Einstein,S.;Wolfson,E.</t>
  </si>
  <si>
    <t>Alcoholism curricula: how professionals are trained</t>
  </si>
  <si>
    <t>*Alcoholism;*Curriculum;*Education, Medical;*Education, Nursing;*Education, Pharmacy;Humans;*Jurisprudence/ed Education];Methods;Periodicals as Topic;*Psychology/ed Education];*Social Work/ed Education];Teaching;Time Factors</t>
  </si>
  <si>
    <t>J2: Int J Addict; Einstein, S Wolfson, E; ID: 1590</t>
  </si>
  <si>
    <t>http://ovidsp.ovid.com/ovidweb.cgi?T=JS&amp;CSC=Y&amp;NEWS=N&amp;PAGE=fulltext&amp;D=med1&amp;AN=5535634</t>
  </si>
  <si>
    <t>MEDLINE; Ovid Technologies; Alcoholism curricula: how professionals are trained</t>
  </si>
  <si>
    <t>El Kirat,H.;Filali,H.</t>
  </si>
  <si>
    <t>Mental health professionals' representations of their practices in Rabat, Morocco]</t>
  </si>
  <si>
    <t>*Attitude of Health Personnel;Health Personnel/ed Education];Health Services Needs and Demand;Humans;*Mental Health Services/ma Manpower];Morocco</t>
  </si>
  <si>
    <t>INTRODUCTION: The main challenges faced by the mental health system in Morocco are insufficient quality of care and limited human resources. Training of mental health providers therefore constitutes a way of improving quality of care. METHODS: We conducted 22 semi-structured interviews with mental health practitioners, mental health senior managers and psychiatry teachers in order to identify training needs. RESULTS: The main findings were the lack of communication, collaboration and updated knowledge especially concerning diagnosis, psychotropic drug prescriptions and addiction medicine. We also identified specific training needs for mental health specialists, such as geriatric psychiatry and paediatric psychiatry. DISCUSSION: Consequently, better training in these areas would contribute to the success of managed care strategies in primary healthcare facilities.</t>
  </si>
  <si>
    <t>J2: Sante Publique; French El Kirat, Houda Filali, Hind; OP: La representation des professionnels de sante mentale sur leurs pratiques a Rabat, Maroc; ID: 269</t>
  </si>
  <si>
    <t>http://ovidsp.ovid.com/ovidweb.cgi?T=JS&amp;CSC=Y&amp;NEWS=N&amp;PAGE=fulltext&amp;D=med8&amp;AN=25291887</t>
  </si>
  <si>
    <t>MEDLINE; Ovid Technologies; [Mental health professionals' representations of their practices in Rabat, Morocco]</t>
  </si>
  <si>
    <t>El-Awaisi,A.;Awaisu,A.;El Hajj,M. S.;Alemrayat,B.;Al-Jayyousi,G.;Wong,N.;Verjee,M. A.</t>
  </si>
  <si>
    <t>Delivering Tobacco Cessation Content in the Middle East Through Interprofessional Learning</t>
  </si>
  <si>
    <t>American Journal of Pharmaceutical Education</t>
  </si>
  <si>
    <t>Am.J.Pharm.Educ.</t>
  </si>
  <si>
    <t>Adult;*Attitude of Health Personnel;*Attitude to Health;Female;Humans;Male;Middle East;*Pharmacy Technicians/px Psychology];Qatar;*Students, Medical/px Psychology];*Students, Pharmacy/px Psychology];*Students, Public Health/px Psychology];Surveys and Questionnaires;*Tobacco Use Cessation/px Psychology];Young Adult</t>
  </si>
  <si>
    <t>Objective. To explore the attitudes of pharmacy, pharmacy technician, medical, and public health students before and after an IPE activity that focused on smoking cessation in the Middle East. Methods. A pre-post intervention research design using the Readiness for Interprofessional Learning Scale (RIPLS) was used for this study. The tool contained 20 items, categorized under the following subscales: teamwork and collaboration, professional identity, and patient-centeredness. Results. A total of 47 out of 50 students from four different health disciplines in Qatar (medicine, pharmacy, pharmacy technician, and public health) who participated in the activity completed a pre- and post-intervention pre-validated questionnaire (94% response rate). Total attitude scores were calculated for all the 20 items along with attitudinal scores of the three domains. Most of the students reported having a positive attitude toward IPE; the number of students having a positive attitude toward IPE increased after the IPE session. The overall median (IQR) score increased from 82 (16) before the session to 84 (15) after the session. Students from different disciplines did not vary in their attitude scores. Conclusion. Health care professional students in Qatar perceived IPE positively, believing that it enhanced their communication skills, collaboration and appreciation of professional roles. This study has implication on developing effective methods to implement IPE in various health professional education curricula.</t>
  </si>
  <si>
    <t>J2: Am J Pharm Educ; El-Awaisi, Alla Awaisu, Ahmed El Hajj, Maguy Saffouh Alemrayat, Bayan Al-Jayyousi, Ghadir Wong, Norman Verjee, Mohamud A; ID: 53</t>
  </si>
  <si>
    <t>1553-6467</t>
  </si>
  <si>
    <t>El-Awaisi, Alla. College of Pharmacy, Qatar University, Doha, Qatar. Awaisu, Ahmed. College of Pharmacy, Qatar University, Doha, Qatar. El Hajj, Maguy Saffouh. College of Pharmacy, Qatar University, Doha, Qatar. Alemrayat, Bayan. College of Pharmacy, Qatar University, Doha, Qatar. Al-Jayyousi, Ghadir. Department of Public Health, College of Health Sciences, Qatar University, Doha, Qatar. Wong, Norman. School of Health Sciences, College of North Atlantic, Qatar, Doha, Qatar. Verjee, Mohamud A. Weill Cornell Medicine - Qatar, Qatar, Doha, Qatar.</t>
  </si>
  <si>
    <t>http://ovidsp.ovid.com/ovidweb.cgi?T=JS&amp;CSC=Y&amp;NEWS=N&amp;PAGE=fulltext&amp;D=med8&amp;AN=28720919</t>
  </si>
  <si>
    <t>https://dx.doi.org/10.5688/ajpe81591</t>
  </si>
  <si>
    <t>MEDLINE; Ovid Technologies; Delivering Tobacco Cessation Content in the Middle East Through Interprofessional Learning</t>
  </si>
  <si>
    <t>Elder,N. C.;Schwarzer,A.</t>
  </si>
  <si>
    <t>Using the cinema to understand the family of the alcoholic</t>
  </si>
  <si>
    <t>*Alcoholism;*Education, Medical/mt Methods];*Family/px Psychology];*Family Practice/ed Education];Humans;Medicine in Literature;*Motion Pictures;United States</t>
  </si>
  <si>
    <t>J2: Fam Med; Elder, Nancy C Schwarzer, Andrew; ID: 954</t>
  </si>
  <si>
    <t>Elder, Nancy C. Department of Family Medicine, University of Cincinnati, OH 45267-0582, USA. eldernc@uc.edu</t>
  </si>
  <si>
    <t>http://ovidsp.ovid.com/ovidweb.cgi?T=JS&amp;CSC=Y&amp;NEWS=N&amp;PAGE=fulltext&amp;D=med4&amp;AN=12164618</t>
  </si>
  <si>
    <t>MEDLINE; Ovid Technologies; Using the cinema to understand the family of the alcoholic</t>
  </si>
  <si>
    <t>Elgen,I.;Bruaroy,S.;Laegreid,L. M.</t>
  </si>
  <si>
    <t>Lack of recognition and complexity of foetal alcohol neuroimpairments</t>
  </si>
  <si>
    <t>Acta Paediatrica</t>
  </si>
  <si>
    <t>Alcohol-Induced Disorders, Nervous System/co Complications];Alcohol-Induced Disorders, Nervous System/di Diagnosis];*Alcohol-Induced Disorders, Nervous System/ep Epidemiology];Child;Child, Preschool;Clinical Competence;*Education, Medical;Female;*Fetal Alcohol Spectrum Disorders/di Diagnosis];*Fetal Alcohol Spectrum Disorders/ep Epidemiology];*Health Personnel/ed Education];Humans;Infant;Infant, Newborn;Male;Norway/ep Epidemiology];Pregnancy;Prevalence;*Social Work/ed Education]</t>
  </si>
  <si>
    <t>AIMS: To obtain the recorded prevalence of foetal alcohol syndrome (FAS) and foetal alcohol spectrum disorders (FASD) in Norway, and evaluate the effect of a general information program to increase the recognition of FAS/FASD for health care and social workers. METHODS: A questionnaire regarding prevalence of FAS/FASD was sent to all Norwegian paediatric and child psychiatry departments. In the region Hordaland county, an information program was carried out to educate health-care and social workers on symptoms and signs of FAS/FASD, and referral was encouraged for suspected cases. Referred children received a neuropaediatric evaluation, and the effect of the information program on recorded FAS/FASD was recorded. RESULTS: Based on the national survey, a prevalence of 0.3 per 1000 was calculated. After the information program, the estimated prevalence in Hordaland County increased to 1.5 per 1000. In 5 years, 25 children were diagnosed with FAS and 22 with FASD. One-third of all children were mentally retarded. Microcephaly and neuroimpairments were more common among FAS children. Almost all children met the criteria of ADHD. CONCLUSION: The rate of FAS/FASD may be greatly underestimated because of lack of knowledge. An information program aimed at health-care and social workers is effective.</t>
  </si>
  <si>
    <t>J2: Acta Paediatr; Elgen, I Bruaroy, S Laegreid, L M; ID: 765</t>
  </si>
  <si>
    <t>0803-5253</t>
  </si>
  <si>
    <t>Elgen, I. Department of Paediatrics, University of Bergen, Norway. irene.elgen@helse-bergen.no</t>
  </si>
  <si>
    <t>http://ovidsp.ovid.com/ovidweb.cgi?T=JS&amp;CSC=Y&amp;NEWS=N&amp;PAGE=fulltext&amp;D=med5&amp;AN=17429912</t>
  </si>
  <si>
    <t>MEDLINE; Ovid Technologies; Lack of recognition and complexity of foetal alcohol neuroimpairments</t>
  </si>
  <si>
    <t>El-Guebaly,N.</t>
  </si>
  <si>
    <t>A Canadian perspective on addiction treatment</t>
  </si>
  <si>
    <t>*Behavior, Addictive/dt Drug Therapy];Canada;*Health Policy;Humans;*National Health Programs;North America;*Substance-Related Disorders/th Therapy]</t>
  </si>
  <si>
    <t>This paper presents a synopsis of addiction treatment in Canada, along with some available comparative figures with other North American countries. Within the framework of Canada's Medicare, a largely single-payer system, addiction and psychiatric disorders are insured on par with other medical disorders. Canada's strategy recognizes the four pillars of prevention, treatment, harm reduction, and enforcement. The Canadian Alcohol and Drug Use Monitoring Survey is the yearly main source of data on alcohol and illicit drug use. The main features of the Canadian addiction treatment network are identified as a "top 10" list, outlining early identification and intervention, assessment, and referral; detoxification; ambulatory care/day treatment programs; residential care; hospitals; concurrent disorders networks and regionalization; drug specific strategies; mutual help; behavioral addictions; and training, qualification, and research.</t>
  </si>
  <si>
    <t>J2: Subst Abus; El-Guebaly, Nady; ID: 225</t>
  </si>
  <si>
    <t>El-Guebaly, Nady. a Addiction Division , University of Calgary , Calgary , Alberta , Canada.</t>
  </si>
  <si>
    <t>http://ovidsp.ovid.com/ovidweb.cgi?T=JS&amp;CSC=Y&amp;NEWS=N&amp;PAGE=fulltext&amp;D=med8&amp;AN=24857633</t>
  </si>
  <si>
    <t>https://dx.doi.org/10.1080/08897077.2014.923362</t>
  </si>
  <si>
    <t>MEDLINE; Ovid Technologies; A Canadian perspective on addiction treatment</t>
  </si>
  <si>
    <t>el-Guebaly,N.;Crockford,D.;Cirone,S.;Kahan,M.</t>
  </si>
  <si>
    <t>Addiction medicine in Canada: challenges and prospects</t>
  </si>
  <si>
    <t>Canada;*Certification/mt Methods];*Certification/st Standards];*Clinical Competence/st Standards];*Clinical Medicine;*Evidence-Based Medicine/st Standards];Humans;Physicians, Family/ed Education];Psychiatry/ed Education];*Substance Abuse Treatment Centers/ma Manpower];*Substance-Related Disorders</t>
  </si>
  <si>
    <t>In Canada, the qualification of physicians is the jurisdiction of the College of Family Physicians and the Royal College of Physicians and Surgeons. The Colleges have promoted the training of "generalists" in family medicine and "sophisticated generalists" among the traditional specialties, and the development of subspecialties has not been encouraged. Nevertheless, due to the increasing number of family physicians and specialists practicing a range of new subspecialties, including addiction medicine, the College of Family Physicians has recognized special interest or focused practices, whereas the Royal College has recognized, in psychiatry, 3 subspecialties (child, geriatric, forensic) requiring an extra year of training and may offer others a diploma recognition. These new opportunities will shape the training requirements of addiction medicine leading to available certification through the International and American Medical Societies of Addiction Medicine.</t>
  </si>
  <si>
    <t>J2: Subst Abus; el-Guebaly, Nady Crockford, David Cirone, Sharon Kahan, Meldon; ID: 506</t>
  </si>
  <si>
    <t>el-Guebaly, Nady. Addiction Division, University of Calgary, Calgary, Alberta, Canada. nady.el-guebaly@albertahealthservices.ca</t>
  </si>
  <si>
    <t>http://ovidsp.ovid.com/ovidweb.cgi?T=JS&amp;CSC=Y&amp;NEWS=N&amp;PAGE=fulltext&amp;D=med7&amp;AN=21534130</t>
  </si>
  <si>
    <t>https://dx.doi.org/10.1080/08897077.2011.555705</t>
  </si>
  <si>
    <t>MEDLINE; Ovid Technologies; Addiction medicine in Canada: challenges and prospects</t>
  </si>
  <si>
    <t>el-Guebaly,N.;Lockyer,J. M.;Drought,J.;Parboosingh,J.;Juschka,B. B.;Weston,W. A.;Campbell,W.;Chang,S.</t>
  </si>
  <si>
    <t>Determining priorities for family physician education in substance abuse by the use of a survey</t>
  </si>
  <si>
    <t>Canada;Education, Medical, Continuing;*Family Practice/ed Education];*Family Practice/ma Manpower];Female;Health Surveys;Humans;Male;Patients;Physician-Patient Relations;Referral and Consultation;*Substance-Related Disorders/di Diagnosis];Surveys and Questionnaires</t>
  </si>
  <si>
    <t>As the initial stage in developing a curriculum to assist family physicians to diagnose and manage alcohol abuse in their practices, questionnaires were mailed to a selected group of family physicians. A total of 117 physicians (34%) completed the questionnaire. The majority of physicians (70.1%) reported that fewer than 10% of their caseload experienced alcohol-related problems. Most physicians (59.3%) did not use any of the standard diagnostic instruments but reported that screening and detection was the most challenging alcohol-related problem along with patient management. The questionnaire identified a number of areas that could be used in the development of educational strategies to increase the expertise of primary care physicians in the diagnosis and management of alcohol-related problems.</t>
  </si>
  <si>
    <t>J2: J Addict Dis; el-Guebaly, N Lockyer, J M Drought, J Parboosingh, J Juschka, B B Weston, W A Campbell, W Chang, S; ID: 1181</t>
  </si>
  <si>
    <t>el-Guebaly, N. Department of Psychiatry, University of Calgary, Alberta, Canada.</t>
  </si>
  <si>
    <t>http://ovidsp.ovid.com/ovidweb.cgi?T=JS&amp;CSC=Y&amp;NEWS=N&amp;PAGE=fulltext&amp;D=med3&amp;AN=8541357</t>
  </si>
  <si>
    <t>MEDLINE; Ovid Technologies; Determining priorities for family physician education in substance abuse by the use of a survey</t>
  </si>
  <si>
    <t>el-Guebaly,N.;Toews,J.;Lockyer,J.;Armstrong,S.;Hodgins,D.</t>
  </si>
  <si>
    <t>Medical education in substance-related disorders: components and outcome</t>
  </si>
  <si>
    <t>*Education, Medical/og Organization &amp; Administration];Education, Medical, Graduate;Education, Medical, Undergraduate;Female;Health Knowledge, Attitudes, Practice;Humans;Learning;Male;Substance-Related Disorders/th Therapy]</t>
  </si>
  <si>
    <t>AIMS: To analyze the process of acquisition by physicians of a body of knowledge and skills in the management of substance abuse. DESIGN: A comprehensive search of English-speaking literature was conducted over 20 years. Articles assessing the outcome of educational strategies in undergraduate, graduate and continuing medical education were examined to determine the targeted sample, the educational strategies involved and the outcomes assessed. FINDINGS: Nine studies in undergraduate education, 11 in graduate and 11 in continuing education met the inclusion criteria. They were generally difficult to compare in design, strategy and outcome analysis. Cognitive knowledge and behavioral skills appear to be easier to obtain compared to more complex attitudinal shifts. CONCLUSIONS: There is growing consensus in the selection of a combined didactic and interactive educational strategy but few empirical data as to the more cost-effective learning interventions. Training must be reinforced at regular intervals. While the expanding panoply of interventions available to physicians should enhance the perceptions of role legitimacy and treatment optimism, cohort studies across levels of education, specialty groups and across-substance and other addictive behaviors are required to determine cost-effective educational strategies. References: 59]</t>
  </si>
  <si>
    <t>J2: Addiction; el-Guebaly, N Toews, J Lockyer, J Armstrong, S Hodgins, D; ID: 1022</t>
  </si>
  <si>
    <t>el-Guebaly, N. Addiction Centre, University of Calgary, Alberta, Canada.</t>
  </si>
  <si>
    <t>http://ovidsp.ovid.com/ovidweb.cgi?T=JS&amp;CSC=Y&amp;NEWS=N&amp;PAGE=fulltext&amp;D=med4&amp;AN=10946443</t>
  </si>
  <si>
    <t>MEDLINE; Ovid Technologies; Medical education in substance-related disorders: components and outcome</t>
  </si>
  <si>
    <t>el-Guebaly,N.;Violato,C.</t>
  </si>
  <si>
    <t>The international certification of addiction medicine: validating clinical knowledge across borders</t>
  </si>
  <si>
    <t>*Certification/mt Methods];Certification/st Standards];Certification/sn Statistics &amp; Numerical Data];*Clinical Competence/sn Statistics &amp; Numerical Data];*Clinical Medicine/st Standards];Humans;*Internationality;Reproducibility of Results;*Substance Abuse Treatment Centers/ma Manpower];*Substance-Related Disorders</t>
  </si>
  <si>
    <t>The experience of the International Society of Addiction Medicine in setting up the first international certification of clinical knowledge is reported. The steps followed and the results of a psychometric analysis of the tests from the first 65 candidates are reported. Lessons learned in the first 5 years and challenges for the future are identified.</t>
  </si>
  <si>
    <t>J2: Subst Abus; el-Guebaly, Nady Violato, Claudio; ID: 508</t>
  </si>
  <si>
    <t>el-Guebaly, Nady. University of Calgary, Calgary, Alberta, Canada. nady.el-guebaly@albertahealthservices.ca</t>
  </si>
  <si>
    <t>http://ovidsp.ovid.com/ovidweb.cgi?T=JS&amp;CSC=Y&amp;NEWS=N&amp;PAGE=fulltext&amp;D=med7&amp;AN=21534128</t>
  </si>
  <si>
    <t>https://dx.doi.org/10.1080/08897077.2011.555697</t>
  </si>
  <si>
    <t>MEDLINE; Ovid Technologies; The international certification of addiction medicine: validating clinical knowledge across borders</t>
  </si>
  <si>
    <t>Elhwairis,H.;Reznich,C. B.</t>
  </si>
  <si>
    <t>An educational strategy for treating chronic, noncancer pain with opioids: a pilot test</t>
  </si>
  <si>
    <t>Journal of Pain</t>
  </si>
  <si>
    <t>*Analgesics, Opioid/tu Therapeutic Use];Chronic Disease;Curriculum;*Education, Medical, Graduate/mt Methods];Humans;*Internal Medicine/ed Education];*Internship and Residency;*Pain/dt Drug Therapy];Pilot Projects;0 (Analgesics, Opioid)</t>
  </si>
  <si>
    <t>UNLABELLED: Chronic pain is common and can be devastating to the patient and challenging to the health care provider. Despite the importance of the topic, pain management curricula are incomplete in health professionals' training. We developed a longitudinal curriculum to teach therapy for chronic noncancer pain over four units and pilot-tested the teaching of one unit (opioids) to internal medicine residents. The educational strategies we used included didactic sessions, write-up of a management plan following a model, case discussions, and role-play group activities. We pilot-tested one unit (opioid therapy) in March 2008. We performed learner evaluations, using a pretest and posttest, a write-up plan following a model, and a learner knowledge questionnaire. Results showed significant improvement in knowledge. Residents found the sessions and educational strategy to be excellent and reported higher confidence levels in managing patients with chronic noncancer pain. PERSPECTIVE: This article demonstrates that multiple teaching modalities-including didactic lectures, case discussions, write-up of a management plan following a model, and role-play group activities-are effective methods of teaching internal medicine residents how to use opioids to manage chronic noncancer pain.</t>
  </si>
  <si>
    <t>J2: J Pain; Elhwairis, Huda Reznich, Christopher B; ID: 539</t>
  </si>
  <si>
    <t>1528-8447</t>
  </si>
  <si>
    <t>Elhwairis, Huda. Hurley Medical Center, Flint, Michigan, USA. helhwai1@hurleymc.com</t>
  </si>
  <si>
    <t>http://ovidsp.ovid.com/ovidweb.cgi?T=JS&amp;CSC=Y&amp;NEWS=N&amp;PAGE=fulltext&amp;D=med6&amp;AN=20542743</t>
  </si>
  <si>
    <t>https://dx.doi.org/10.1016/j.jpain.2010.03.012</t>
  </si>
  <si>
    <t>MEDLINE; Ovid Technologies; An educational strategy for treating chronic, noncancer pain with opioids: a pilot test</t>
  </si>
  <si>
    <t>Emans,S. J.;Bravender,T.;Knight,J.;Frazer,C.;Luoni,M.;Berkowitz,C.;Armstrong,E.;Goodman,E.</t>
  </si>
  <si>
    <t>Adolescent medicine training in pediatric residency programs: are we doing a good job?</t>
  </si>
  <si>
    <t>*Adolescent Medicine/ed Education];Adolescent Medicine/sn Statistics &amp; Numerical Data];Data Collection;Internship and Residency/mt Methods];Internship and Residency/og Organization &amp; Administration];*Internship and Residency/sn Statistics &amp; Numerical Data];*Pediatrics/ed Education];Pediatrics/sn Statistics &amp; Numerical Data];Preventive Medicine/ed Education];United States</t>
  </si>
  <si>
    <t>OBJECTIVES: To determine how pediatric residency programs are responding to the new challenges of teaching adolescent medicine (AM) to residents by assessing whether manpower is adequate for training, whether AM curricula and skills are adequately covered by training programs, what types of teaching methodologies are used to train residents in AM, and the needs for new curricular materials to teach AM. DESIGN: A 3-part 92-item survey mailed to all US pediatric residency training programs. SETTING: Pediatric residency programs. PARTICIPANTS: Residency program directors and directors of AM training. MAIN OUTCOME MEASURES: AM divisional structure, clinical sites of training, presence of a block rotation, and faculty of pediatric training programs; training materials used and desired in AM; perceived adequacy of coverage of various AM topics; competency of residents in performing pelvic examinations in sexually active teens; and manpower needs. RESULTS: A total of 155/211 (73.5%) of programs completed the program director and the AM parts of the survey. Ninety-six percent of programs (size range, 5-120 residents) had an AM block rotation and 90% required the AM block; those without a block rotation were more likely to be larger programs. Only 39% of programs felt that the number of AM faculty was adequate for teaching residents. Almost half of the programs reported lack of time, faculty, and curricula to teach content in substance abuse. Besides physicians, AM teachers included nurse practitioners (28%), psychologists (25%), and social workers (19%). Topics most often cited as adequately covered included sexually transmitted diseases (81.9%), confidentiality (79.4%), puberty (77.0%), contraception (76.1%), and menstrual problems (73.5%). Topics least often cited as adequately covered included psychological testing (16.1%), violence in relationships (20.0%), violence and weapon-carrying (29.7%), and sports medicine (29.7%). Fifty-eight percent of 137 respondents thought that all or nearly all of their residents were competent in performing pelvic examinations by the end of training; there was no difference between perceived competence and the residents' use of procedure books. Seventy-four percent used a specific curriculum for teaching AM; materials included chapters/articles (85%), lecture outlines (76.1%), slides (41.9%), videos (35.5%), written case studies (24.5%), computerized cases (6.5%), and CD-ROMs (3.2%). Fifty-two percent used Bright Futures, 48% used the Guidelines for Adolescent Preventive Services, and 14% used the Guide to Clinical Preventive Services for teaching clinical preventive services. Programs that used Bright Futures were more likely to feel that preventive services were adequately covered in their programs than those who did not (78% vs 57%). A majority of programs desired more learner-centered materials. CONCLUSIONS: Although almost all pediatric programs are now providing AM rotations, there is significant variability in adequacy of training across multiple topics important for resident education. Programs desire more learner-centered materials and more faculty to provide comprehensive resident education in AM.</t>
  </si>
  <si>
    <t>J2: Pediatrics; Emans, S J Bravender, T Knight, J Frazer, C Luoni, M Berkowitz, C Armstrong, E Goodman, E; ID: 1103</t>
  </si>
  <si>
    <t>Emans, S J. Division of Adolescent/Young Adult Medicine, Children's Hospital, Boston, MA 02115, USA.</t>
  </si>
  <si>
    <t>http://ovidsp.ovid.com/ovidweb.cgi?T=JS&amp;CSC=Y&amp;NEWS=N&amp;PAGE=fulltext&amp;D=med4&amp;AN=9738181</t>
  </si>
  <si>
    <t>MEDLINE; Ovid Technologies; Adolescent medicine training in pediatric residency programs: are we doing a good job?</t>
  </si>
  <si>
    <t>Englander,H.;Collins,D.;Perry,S. P.;Rabinowitz,M.;Phoutrides,E.;Nicolaidis,C.</t>
  </si>
  <si>
    <t>We've Learned It's a Medical Illness, Not a Moral Choice: Qualitative Study of the Effects of a Multicomponent Addiction Intervention on Hospital Providers' Attitudes and Experiences</t>
  </si>
  <si>
    <t>Journal of Hospital Medicine</t>
  </si>
  <si>
    <t>BACKGROUND: Substance use disorders (SUD) represent a national epidemic with increasing rates of SUD-related hospitalizations. However, most hospitals lack expertise or systems to directly address SUD. Healthcare professionals feel underprepared and commonly hold negative views toward patients with SUD. Little is known about how hospital interventions may affect providers' attitudes and experiences toward patients with SUD. OBJECTIVE: To explore interprofessional hospital providers' perspectives on how integrating SUD treatment and care systems affect providers' attitudes, beliefs, and experiences. DESIGN: In-depth semi-structured interviews and focus groups. The study was part of a formative evaluation of the Improving Addiction Care Team (IMPACT), an interprofessional hospital-based addiction medicine service with rapid-access pathways to post-hospital SUD treatment. SETTING: Single urban academic hospital in Portland, Oregon. PARTICIPANTS: Multidisciplinary hospital providers. MEASUREMENTS: We conducted a thematic analysis using an inductive approach at a semantic level. RESULTS: Before IMPACT, participants felt that hospitalization did not address addiction, leading to untreated withdrawal, patients leaving against medical advice, chaotic care, and staff "moral distress." Participants felt that IMPACT "completely reframes" addiction as a treatable chronic disease, improving patient engagement and communication, and humanizing care. Participants valued post-hospital SUD treatment pathways and felt having systems to address SUD reduced burnout and provided relief. Providers noted that IMPACT had limited ability to address poverty or engage highly ambivalent patients. CONCLUSIONS: Providers' distress of caring for patients with SUD is not inevitable. Hospital-based SUD interventions can reframe providers' views of addiction and may have significant implications for clinical care and providers' well-being.</t>
  </si>
  <si>
    <t>J2: J Hosp Med; Using Smart Source Parsing Apr Englander, Honora Collins, Devin Perry, Sylvia Peterson Rabinowitz, Molly Phoutrides, Elena Nicolaidis, Christina; ID: 1681</t>
  </si>
  <si>
    <t>1553-5606</t>
  </si>
  <si>
    <t>Englander, Honora. Oregon Health &amp; Science University, Portland, Oregon, USA. englandh@ohsu.edu. Englander, Honora. Central City Concern, Portland, Oregon, USA. Collins, Devin. Oregon Health &amp; Science University, Portland, Oregon, USA. Perry, Sylvia Peterson. Oregon Health &amp; Science University, Portland, Oregon, USA. Rabinowitz, Molly. Oregon Health &amp; Science University, Portland, Oregon, USA. Phoutrides, Elena. Oregon Health &amp; Science University, Portland, Oregon, USA. Nicolaidis, Christina. Oregon Health &amp; Science University, Portland, Oregon, USA. Nicolaidis, Christina. School of Social Work, Portland State University, Portland, Oregon, USA.</t>
  </si>
  <si>
    <t>http://ovidsp.ovid.com/ovidweb.cgi?T=JS&amp;CSC=Y&amp;NEWS=N&amp;PAGE=fulltext&amp;D=medp&amp;AN=29694454</t>
  </si>
  <si>
    <t>https://dx.doi.org/10.12788/jhm.2993</t>
  </si>
  <si>
    <t>MEDLINE; Ovid Technologies; "We've Learned It's a Medical Illness, Not a Moral Choice": Qualitative Study of the Effects of a Multicomponent Addiction Intervention on Hospital Providers' Attitudes and Experiences</t>
  </si>
  <si>
    <t>Englander,H.;Wilson,T.;Collins,D.;Phoutrides,E.;Weimer,M.;Korthuis,P. T.;Calcagni,J.;Nicolaidis,C.</t>
  </si>
  <si>
    <t>Lessons learned from the implementation of a medically enhanced residential treatment (MERT) model integrating intravenous antibiotics and residential addiction treatment</t>
  </si>
  <si>
    <t>BACKGROUND: Hospitalizations for severe infections associated with substance use disorder (SUD) are increasing. People with SUD often remain hospitalized for many weeks instead of completing intravenous antibiotics at home; often, they are denied skilled nursing facility admission. Residential SUD treatment facilities are not equipped to administer intravenous antibiotics. We developed a medically enhanced residential treatment (MERT) model integrating residential SUD treatment and long-term IV antibiotics as part of a broader hospital-based addiction medicine service. MERT had low recruitment and retention, and ended after six months. The goal of this study was to describe the feasibility and acceptability of MERT, to understand implementation factors, and explore lessons learned. METHODS: We conducted a mixed-methods evaluation. We included all potentially eligible MERT patients, defined by those needing &gt;=2 weeks of intravenous antibiotics discharged from February 1 to August 1, 2016. We used chart review to identify diagnoses, antibiotic treatment location, and number of recommended and actual IV antibiotic-days completed. We audio-recorded and transcribed key informant interviews with patients and staff. We conducted an ethnographic analysis of interview transcripts and implementation field notes. RESULTS: Of the 45 patients needing long-term intravenous antibiotics, 18 were ineligible and 20 declined MERT. 7 enrolled in MERT and three completed their recommended intravenous antibiotic course. MERT recruitment barriers included patient ambivalence towards residential treatment, wanting to prioritize physical health needs, and fears of untreated pain in residential. MERT retention barriers included high demands of residential treatment, restrictive practices due to PICC lines, and perceptions by staff and other residents that MERT patients "stood out" as "different." Despite the challenges, key informants felt MERT was a positive construct. CONCLUSIONS: Though MERT had many possible advantages; it proved more challenging to implement than anticipated. Our lessons may be applicable to future models integrating post-hospital intravenous antibiotics and SUD care.</t>
  </si>
  <si>
    <t>J2: Subst Abus; Englander, Honora Wilson, Talitha Collins, Devin Phoutrides, Elena Weimer, Melissa Korthuis, P Todd Calcagni, Jessica Nicolaidis, Christina; ID: 1684</t>
  </si>
  <si>
    <t>Englander, Honora. a Oregon Health &amp; Science University , Portland , OR. Englander, Honora. b Central City Concern , Portland , OR. Wilson, Talitha. a Oregon Health &amp; Science University , Portland , OR. Collins, Devin. a Oregon Health &amp; Science University , Portland , OR. Phoutrides, Elena. a Oregon Health &amp; Science University , Portland , OR. Weimer, Melissa. a Oregon Health &amp; Science University , Portland , OR. Weimer, Melissa. c St. Peters Health Partners , Albany , NY. Korthuis, P Todd. a Oregon Health &amp; Science University , Portland , OR. Calcagni, Jessica. d CODA, Inc. , Portland , OR. Nicolaidis, Christina. a Oregon Health &amp; Science University , Portland , OR. Nicolaidis, Christina. e Portland State University School of Social Work , Portland , OR.</t>
  </si>
  <si>
    <t>http://ovidsp.ovid.com/ovidweb.cgi?T=JS&amp;CSC=Y&amp;NEWS=N&amp;PAGE=fulltext&amp;D=medp&amp;AN=29595367</t>
  </si>
  <si>
    <t>https://dx.doi.org/10.1080/08897077.2018.1452326</t>
  </si>
  <si>
    <t>MEDLINE; Ovid Technologies; Lessons learned from the implementation of a medically enhanced residential treatment (MERT) model integrating intravenous antibiotics and residential addiction treatment</t>
  </si>
  <si>
    <t>Engle,L.</t>
  </si>
  <si>
    <t>Old AIDS</t>
  </si>
  <si>
    <t>Body Positive</t>
  </si>
  <si>
    <t>Body Posit.</t>
  </si>
  <si>
    <t>Age Factors;Aged;Female;*HIV Infections/ep Epidemiology];HIV Infections/pc Prevention &amp; Control];*HIV Infections/tm Transmission];Health Promotion;Humans;Male;Middle Aged;Social Support;United States/ep Epidemiology]</t>
  </si>
  <si>
    <t>J2: Body Posit; Engle, L; ID: 1113</t>
  </si>
  <si>
    <t>1048-4396</t>
  </si>
  <si>
    <t>http://ovidsp.ovid.com/ovidweb.cgi?T=JS&amp;CSC=Y&amp;NEWS=N&amp;PAGE=fulltext&amp;D=med4&amp;AN=11365008</t>
  </si>
  <si>
    <t>MEDLINE; Ovid Technologies; Old AIDS</t>
  </si>
  <si>
    <t>Erickson,C. K.;Wilcox,R. E.;Miller,G. W.;Littlefield,J. H.;Lawson,K. A.</t>
  </si>
  <si>
    <t>Effectiveness of addiction science presentations to treatment professionals, using a modified Solomon study design</t>
  </si>
  <si>
    <t>Journal of drug education</t>
  </si>
  <si>
    <t>J.Drug Educ.</t>
  </si>
  <si>
    <t>Adult;Aged;*Clinical Competence;Education;Education, Medical, Continuing/mt Methods];Female;*Health Personnel/ed Education];Health Personnel/st Standards];Humans;Knowledge;Male;Middle Aged;New Mexico;*Program Evaluation;Research;*Substance-Related Disorders;Surveys and Questionnaires;Texas</t>
  </si>
  <si>
    <t>OBJECTIVES: Knowledge of addiction research findings is critical for healthcare professionals who treat addicted patients. However, there is little information available about the instructional effectiveness of lecture-slide presentations in changing knowledge vs. beliefs of such professionals. DESIGN: A modified Solomon four-group experimental design was used to assess the instructional effectiveness (knowledge gain vs. belief changes) of three-hour addiction science workshops presented to health-care professionals by neurobiologically-trained academic researchers. Effectiveness of the workshops was assessed by a 28-item questionnaire on participant versus control group knowledge/beliefs on addiction. Six-month follow-up questionnaires measured "retention" of knowledge and belief changes. RESULTS: The workshop participants showed significant knowledge gain and belief changes, whereas the two control groups showed no change in knowledge or beliefs. After six months, knowledge gains decreased, but were still higher than pre-test scores. In contrast, belief changes on three subscales persisted over six months in 40 to 52 percent of the subjects. CONCLUSIONS: These results illustrate a successful continuing education model by which academic researchers who are skilled teachers present a three-hour lecture-slide workshop with extensive question-and-answer sessions on addictions. We conclude that motivated health-care professionals can experience important knowledge gains and belief changes by participating in such workshops. In contrast to the transient retention of knowledge, belief changes persisted surprisingly well for at least six months in about half the subjects. These results suggest that long-term changes in the professional orientation of these health-care workers are possible.</t>
  </si>
  <si>
    <t>J2: J Drug Educ; Erickson, Carlton K Wilcox, Richard E Miller, Gary W Littlefield, John H Lawson, Kenneth A; ID: 934</t>
  </si>
  <si>
    <t>0047-2379</t>
  </si>
  <si>
    <t>Erickson, Carlton K. College of Pharmacy, The University of Texas, Austin 78712-0125, USA. erickson.carl@mail.utexas.edu</t>
  </si>
  <si>
    <t>http://ovidsp.ovid.com/ovidweb.cgi?T=JS&amp;CSC=Y&amp;NEWS=N&amp;PAGE=fulltext&amp;D=med4&amp;AN=12929710</t>
  </si>
  <si>
    <t>MEDLINE; Ovid Technologies; Effectiveness of addiction science presentations to treatment professionals, using a modified Solomon study design</t>
  </si>
  <si>
    <t>Ernster,V. L.;Croughan-Minihane,M.</t>
  </si>
  <si>
    <t>Smoking cessation curriculum for first-year medical students</t>
  </si>
  <si>
    <t>*Curriculum;*Education, Medical, Undergraduate;Humans;*Smoking Cessation</t>
  </si>
  <si>
    <t>J2: Jama; Ernster, V L Croughan-Minihane, M S Comment on: JAMA. 1994 Feb 23;271(8):624-6; PMID: 8301797; ID: 1220</t>
  </si>
  <si>
    <t>http://ovidsp.ovid.com/ovidweb.cgi?T=JS&amp;CSC=Y&amp;NEWS=N&amp;PAGE=fulltext&amp;D=med3&amp;AN=8064978</t>
  </si>
  <si>
    <t>MEDLINE; Ovid Technologies; Smoking cessation curriculum for first-year medical students</t>
  </si>
  <si>
    <t>Eskandarieh,S.;Nikfarjam,A.;Tarjoman,T.;Nasehi,A.;Jafari,F.;Saberi-Zafarghandi,M.</t>
  </si>
  <si>
    <t>Descriptive Aspects of Injection Drug Users in Iran's National Harm Reduction Program by Methadone Maintenance Treatment</t>
  </si>
  <si>
    <t>Iranian Journal of Public Health</t>
  </si>
  <si>
    <t>BACKGROUND: The Ministry of Health, Treatment and Medical Education of Iran has recently announced an estimated figure of 200,000 injecting drug users (IDUs). The aim of this study was to pilot a national program using demographics, types of drug abuse and prevalence of blood-borne infections among IDUs. METHODS: In order to elicit data on demographics, types of drug abuse and prevalence of blood-borne infections among IDUs, a questionnaire was designed in the Bureau of Mental-Social Health and Addiction in collaboration with Iran's Drug Control Headquarters of the Police Department. Therapeutical alliance of addiction in Shafagh Center was based on Methadone Maintenance Therapy (MMT). RESULTS: Among 402 reported IDUs most of them were male, single and in age range of 20 to 39 years old with 72.7% history of imprisonment. Most of them had elementary and high school education and a history of addiction treatment. The majority were current users of opioid, heroin and crack. The prevalence of blood-borne infections was 65.9% and 18.8% for HCV and HIV/AIDS infections, respectively. CONCLUSION: Prevention programs about harm reduction, treatment and counseling should include young IDUs as a core focus of their intervention structure.</t>
  </si>
  <si>
    <t>J2: Iran J Public Health; Eskandarieh, Sharareh Nikfarjam, Ali Tarjoman, Termeh Nasehi, Abassali Jafari, Firoozeh Saberi-Zafarghandi, Mohammad-Bagher; ID: 354</t>
  </si>
  <si>
    <t>2251-6085</t>
  </si>
  <si>
    <t>Eskandarieh, Sharareh. Bureau of Mental &amp; Social Health and Addiction, Ministry of Health, Treatment and Medical Education, Tehran, Iran.</t>
  </si>
  <si>
    <t>http://ovidsp.ovid.com/ovidweb.cgi?T=JS&amp;CSC=Y&amp;NEWS=N&amp;PAGE=fulltext&amp;D=prem&amp;AN=23967426</t>
  </si>
  <si>
    <t>MEDLINE; Ovid Technologies; Descriptive Aspects of Injection Drug Users in Iran's National Harm Reduction Program by Methadone Maintenance Treatment</t>
  </si>
  <si>
    <t>Esmaeili,A.;Keinhorst,A. K.;Schuster,T.;Beske,F.;Schlosser,R.;Bastanier,C.</t>
  </si>
  <si>
    <t>Treatment of neonatal abstinence syndrome with clonidine and chloral hydrate</t>
  </si>
  <si>
    <t>Blood Pressure/de Drug Effects];*Chloral Hydrate/tu Therapeutic Use];*Clonidine/tu Therapeutic Use];Drug Therapy, Combination;Female;Humans;*Hypnotics and Sedatives/tu Therapeutic Use];Infant, Newborn;Length of Stay/sn Statistics &amp; Numerical Data];*Methadone/ae Adverse Effects];Morphine/tu Therapeutic Use];*Neonatal Abstinence Syndrome/dt Drug Therapy];Phenobarbital/tu Therapeutic Use];Pregnancy;Retrospective Studies;Treatment Outcome;0 (Hypnotics and Sedatives);418M5916WG (Chloral Hydrate);76I7G6D29C (Morphine);MN3L5RMN02 (Clonidine);UC6VBE7V1Z (Methadone);YQE403BP4D (Phenobarbital)</t>
  </si>
  <si>
    <t>AIM: The objective of this retrospective study is to compare the medical treatment of neonatal narcotic abstinence syndrome with clonidine and chloral hydrate with the commonly used combination therapy of morphine and phenobarbital. METHODS: From 1998 to 2008, a total of 133 newborns suffering from neonatal narcotic abstinence syndrome were treated at our clinic. All of these patients were born to mothers who had received methadone substitution for drug addiction during the course of pregnancy. RESULTS: Twenty-nine patients received clonidine and chloral hydrate, and 64 patients were treated with morphine and phenobarbital for abstinence syndrome. The duration of treatment was significantly shorter in the clonidine/chloral hydrate group (median: 14 days vs. 35 days). Correspondingly, the period of hospitalization was also considerably shorter in the clonidine/chloral hydrate group (median: 32 days vs. 44 days). In addition, patients in the clonidine/chloral hydrate group exhibited markedly reduced withdrawal symptoms. CONCLUSION: This study suggests that a treatment of neonatal abstinence syndrome with clonidine in omission of opiates is possible without causing short-term adverse cardiovascular effects. Considering the retrospective design of the study, controlled and prospective trials are needed.</t>
  </si>
  <si>
    <t>J2: Acta Paediatr; Esmaeili, A Keinhorst, A K Schuster, T Beske, F Schlosser, R Bastanier, C; ID: 592</t>
  </si>
  <si>
    <t>1651-2227</t>
  </si>
  <si>
    <t>Esmaeili, A. Department of Pediatric Cardiology, Goethe University Hospital Frankfurt, Frankfurt am Main, Germany. anoosh.esmaeili@kgu.de</t>
  </si>
  <si>
    <t>http://ovidsp.ovid.com/ovidweb.cgi?T=JS&amp;CSC=Y&amp;NEWS=N&amp;PAGE=fulltext&amp;D=med6&amp;AN=19839963</t>
  </si>
  <si>
    <t>https://dx.doi.org/10.1111/j.1651-2227.2009.01547.x</t>
  </si>
  <si>
    <t>MEDLINE; Ovid Technologies; Treatment of neonatal abstinence syndrome with clonidine and chloral hydrate</t>
  </si>
  <si>
    <t>Etter,J. F.</t>
  </si>
  <si>
    <t>Impact of educational outreach visits on smoking cessation activities performed by specialist physicians: a randomized trial</t>
  </si>
  <si>
    <t>Education for Health</t>
  </si>
  <si>
    <t>Educ.Health</t>
  </si>
  <si>
    <t>*Attitude of Health Personnel;Clinical Competence;*Community Health Nursing;Counseling;*Education, Medical, Continuing;Humans;*Practice Patterns, Physicians'/sn Statistics &amp; Numerical Data];Primary Prevention;Private Practice;Program Evaluation;*Smoking Cessation/mt Methods];*Specialization;Statistics, Nonparametric;Surveys and Questionnaires;Switzerland;*Therapy, Computer-Assisted/mt Methods];Treatment Outcome</t>
  </si>
  <si>
    <t>OBJECTIVES: To find out whether educational visits by a nurse to specialist physicians improved their self-reporting of smoking cessation activities; whether these visits increased the percentage of physicians who were aware of and recommended a computer-tailored smoking cessation program and who participated in a training workshop on tobacco dependency treatment. METHODS: Specialist private practice physicians (n = 523) working in Geneva, Switzerland were randomly assigned to either receiving (n = 261) or not receiving (n = 262) a single 40-minute visit by a trained nurse in 2003. The physicians answered a postal questionnaire 5 months after the visits indicating the percentage of their patients they counselled or treated for tobacco dependency and we recorded whether physicians took part in the workshop. FINDINGS: Only half (53%) of the physicians agreed to receive a visit. At follow-up more physicians in the intervention group than in the control group were aware of the computer-tailored program (73% vs. 39%, p &lt; 0.001) and more physicians in the intervention group said they recommended the use of this program to more patients (20% vs. 10%, p = 0.009). Among non-smoking physicians only, the proportion of patients who were advised to quit smoking was higher in the intervention than in the control group (69% vs. 54%, p = 0.019, as reported by physicians). The intervention had no impact on physicians' participation in the workshop. CONCLUSIONS: Visits by a nurse increased the proportion of physicians who recommended to their patients the use of a computer-tailored smoking cessation program. Among non-smoking physicians only, the intervention increased the proportion of patients who received the advice to quit smoking, as reported by physicians.</t>
  </si>
  <si>
    <t>J2: Educ Health; Etter, Jean-Francois; ID: 798</t>
  </si>
  <si>
    <t>1357-6283</t>
  </si>
  <si>
    <t>Etter, Jean-Francois. Institute of Social and Preventive Medicine, University of Geneva, CMU, Switzerland. jean-francois.etter@imsp.ch</t>
  </si>
  <si>
    <t>http://ovidsp.ovid.com/ovidweb.cgi?T=JS&amp;CSC=Y&amp;NEWS=N&amp;PAGE=fulltext&amp;D=med5&amp;AN=16831798</t>
  </si>
  <si>
    <t>MEDLINE; Ovid Technologies; Impact of educational outreach visits on smoking cessation activities performed by specialist physicians: a randomized trial</t>
  </si>
  <si>
    <t>Evans,E. A.;Sullivan,M. A.</t>
  </si>
  <si>
    <t>Abuse and misuse of antidepressants</t>
  </si>
  <si>
    <t>Substance Abuse &amp; Rehabilitation</t>
  </si>
  <si>
    <t>BACKGROUND: Rates of prescription drug abuse have reached epidemic proportions. Large-scale epidemiologic surveys of this under-recognized clinical problem have not included antidepressants despite their contribution to morbidity and mortality. The purpose of this review is to look specifically at the misuse of antidepressants and how this behavior may fit into the growing crisis of nonmedical use of prescription drugs. METHODS: We conducted a comprehensive search on PubMed, Medline, and PsycINFO using the search terms "antidepressant", "abuse", "misuse", "nonmedical use", "dependence", and "addiction", as well as individual antidepressant classes (eg, "SSRI") and individual antidepressants (eg, "fluoxetine") in various combinations, to identify articles of antidepressant misuse and abuse. RESULTS: A small but growing literature on the misuse and abuse of antidepressants consists largely of case reports. Most cases of antidepressant abuse have occurred in individuals with comorbid substance use and mood disorders. The most commonly reported motivation for abuse is to achieve a psychostimulant-like effect. Antidepressants are abused at high doses and via a variety of routes of administration (eg, intranasal, intravenous). Negative consequences vary based upon antidepressant class and pharmacology, but these have included seizures, confusion, and psychotic-like symptoms. CONCLUSION: The majority of individuals prescribed antidepressants do not misuse the medication. However, certain classes of antidepressants do carry abuse potential. Vulnerable patient populations include those with a history of substance abuse and those in controlled environments. Warning signs include the presence of aberrant behaviors. Physicians should include antidepressants when screening for risky prescription medication use. When antidepressant misuse is detected, a thoughtful treatment plan, including referral to an addiction specialist, should be developed and implemented.</t>
  </si>
  <si>
    <t>J2: Subst; Evans, Elizabeth A Sullivan, Maria A; ID: 289</t>
  </si>
  <si>
    <t>1179-8467</t>
  </si>
  <si>
    <t>Evans, Elizabeth A. Department of Psychiatry, Columbia University College of Physicians and Surgeons, New York, NY, USA. Sullivan, Maria A. Department of Psychiatry, Columbia University College of Physicians and Surgeons, New York, NY, USA.</t>
  </si>
  <si>
    <t>http://ovidsp.ovid.com/ovidweb.cgi?T=JS&amp;CSC=Y&amp;NEWS=N&amp;PAGE=fulltext&amp;D=prem&amp;AN=25187753</t>
  </si>
  <si>
    <t>https://dx.doi.org/10.2147/SAR.S37917</t>
  </si>
  <si>
    <t>MEDLINE; Ovid Technologies; Abuse and misuse of antidepressants</t>
  </si>
  <si>
    <t>Evans,M. W., J.;Hawk,C.;Strasser,S. M.</t>
  </si>
  <si>
    <t>An educational campaign to increase chiropractic intern advising roles on patient smoking cessation</t>
  </si>
  <si>
    <t>Chiropractic &amp; Osteopathy Electronic Resource]</t>
  </si>
  <si>
    <t>BACKGROUND: Tobacco use, particularly smoking, is the most preventable cause of death in the United States. More than 400,000 premature deaths are associated with its use and the health care costs are in the billions. All health care provider groups should be concerned with patients who continue to smoke and use tobacco. The US Preventive Services Taskforce and Health People 2010 guidelines encourage providers to counsel smokers on cessation. Current studies, though limited regarding chiropractic advising practices indicate a low engagement rate when it comes to providing cessation information. OBJECTIVE: To test a campaign regarding initial impact aimed at increasing chiropractic interns advising on cessation and delivery of information to smokers on cessation. DISCUSSION: Chiropractic interns do engage patients on smoking status and can be encouraged to provide more cessation messages and information to patients. The initial impact assessment of this campaign increased the provision of information to patients by about 25%. The prevalence of smoking among chiropractic patients, particularly at teaching clinics may be lower than the national averages. CONCLUSION: Chiropractic interns can and should be encouraged to advise smokers about cessation. A systematic method of intake information on smoking status is needed and a standardized education protocol for chiropractic colleges is needed. Chiropractic colleges should assess the adequacy of their advising roles and implement changes to increase cessation messages to their patients as soon as possible.</t>
  </si>
  <si>
    <t>J2: Chiropr Osteopat; Evans, Marion W Jr Hawk, Cheryl Strasser, Sheryl M; ID: 763</t>
  </si>
  <si>
    <t>1746-1340</t>
  </si>
  <si>
    <t>Evans, Marion W Jr. Parker College of Chiropractic Research Institute, 2500 Walnut Hill Lane, Dallas, Texas 75229, USA. wevans@parkercc.edu</t>
  </si>
  <si>
    <t>http://ovidsp.ovid.com/ovidweb.cgi?T=JS&amp;CSC=Y&amp;NEWS=N&amp;PAGE=fulltext&amp;D=prem&amp;AN=17038182</t>
  </si>
  <si>
    <t>MEDLINE; Ovid Technologies; An educational campaign to increase chiropractic intern advising roles on patient smoking cessation</t>
  </si>
  <si>
    <t>Evans-Polce,R.;Lanza,S.;Maggs,J.</t>
  </si>
  <si>
    <t>NIHMS749314 Available on 02/01/17]; Heterogeneity of alcohol, tobacco, and other substance use behaviors in U.S. college students: A latent class analysis</t>
  </si>
  <si>
    <t>Adult;Age Distribution;*Alcohol Drinking/ep Epidemiology];Alcohol Drinking/px Psychology];Educational Status;Female;Humans;Longitudinal Studies;Male;*Marijuana Smoking/ep Epidemiology];Marijuana Smoking/px Psychology];Peer Group;Prescription Drug Misuse/px Psychology];*Prescription Drug Misuse/sn Statistics &amp; Numerical Data];Sex Distribution;*Smoking/ep Epidemiology];Smoking/px Psychology];Sports/px Psychology];Sports/sn Statistics &amp; Numerical Data];Students/px Psychology];*Students/sn Statistics &amp; Numerical Data];United States/ep Epidemiology];Universities;Young Adult</t>
  </si>
  <si>
    <t>PURPOSE: To identify subgroups of college students with distinct profiles of traditional and alternative types of tobacco, alcohol, and other substance use and to examine how demographic characteristics and academic and social activities are associated with subgroup membership. METHODS: We used latent class analysis to characterize subgroups of individuals in their fourth-year of college based on their patterns of seven substance use behaviors: extreme heavy episodic drinking (HED), cigarette use, cigar/cigarillo/little cigar use, smokeless tobacco use, hookah use, marijuana use, and non-medical prescription drug use. Demographic characteristics and academic and social activities were then incorporated as predictors of these latent classes. RESULTS: We identified five classes defined by unique behavior patterns: (1) Non/Low Users, (2) Non-Hookah Tobacco Users, (3) Extreme HED &amp; Marijuana Users, (4) Hookah and Marijuana Users, and (5) Poly-Substance Users. Being male, older, and involved in sports were associated with greater odds of being in the Poly-Substance User class compared to the Low/No User class, and participating in an honors society and reporting more positive peer relationships were associated with being in the Hookah and Marijuana User class compared to the Low/No User class. CONCLUSION: Our findings of unique characteristics in the subgroups identified suggest that college substance users are a heterogeneous population requiring different targeted interventions. Of particular concern are subgroups with high rates of alternative tobacco products, as perceived risks of use may be inaccurate and this is not currently a focus of college substance use prevention interventions.</t>
  </si>
  <si>
    <t>J2: Addict Behav; Evans-Polce, Rebecca Lanza, Stephanie Maggs, Jennifer S0306-4603(15)30039-3; ID: 152</t>
  </si>
  <si>
    <t>Evans-Polce, Rebecca. The Methodology Center and Prevention Research Center, Pennsylvania State University, University Park, PA, United States. Electronic address: revanspolce@psu.edu. Lanza, Stephanie. The Methodology Center and Department of Biobehavioral Health, Pennsylvania State University, University Park, PA, United States. Maggs, Jennifer. Department of Human Development and Family Studies and Prevention Research Center, Pennsylvania State University, University Park, PA, United States.</t>
  </si>
  <si>
    <t>http://ovidsp.ovid.com/ovidweb.cgi?T=JS&amp;CSC=Y&amp;NEWS=N&amp;PAGE=fulltext&amp;D=med8&amp;AN=26476004</t>
  </si>
  <si>
    <t>https://dx.doi.org/10.1016/j.addbeh.2015.10.010</t>
  </si>
  <si>
    <t>MEDLINE; Ovid Technologies; Heterogeneity of alcohol, tobacco, and other substance use behaviors in U.S. college students: A latent class analysis</t>
  </si>
  <si>
    <t>Everett,K. D.;Bullock,L.;Longo,D. R.</t>
  </si>
  <si>
    <t>Addressing the insidious health and financial burden of tobacco use in Missouri: the role of medical and public health professionals</t>
  </si>
  <si>
    <t>Missouri medicine</t>
  </si>
  <si>
    <t>Mo.Med.</t>
  </si>
  <si>
    <t>Cost of Illness;Health Promotion;Humans;Leadership;Liability, Legal;Missouri;*Public Health;*Public Policy;Smoking/ec Economics];*Smoking Cessation;*Smoking Prevention;Social Marketing;Tobacco Industry/ec Economics];Tobacco Industry/lj Legislation &amp; Jurisprudence];Tobacco Use Disorder/ec Economics];*Tobacco Use Disorder/pc Prevention &amp; Control]</t>
  </si>
  <si>
    <t>Despite the widespread knowledge that tobacco use causes death and debilitating disease, tobacco control efforts in Missouri remain inadequate. No other health issue combines the prevalence, lethality, and neglect of tobacco addiction. This paper discusses comprehensive tobacco-use prevention and cessation programs that could, if implemented, effectively reduce tobacco-related health problems. Successful tobacco control efforts change society by creating an environment in which nonsmoking is the norm and quitting smoking is supported. This paper concludes that it is time for medicine and public health professionals to communicate, collaborate, and assume leadership in reducing the health burden of tobacco use in Missouri. References: 30]</t>
  </si>
  <si>
    <t>J2: Mo Med; Everett, Kevin D Bullock, Linda Longo, Daniel R; ID: 821</t>
  </si>
  <si>
    <t>0026-6620</t>
  </si>
  <si>
    <t>Everett, Kevin D. Department of Family and Community Medicine, University of Missouri, Columbia, USA.</t>
  </si>
  <si>
    <t>http://ovidsp.ovid.com/ovidweb.cgi?T=JS&amp;CSC=Y&amp;NEWS=N&amp;PAGE=fulltext&amp;D=med5&amp;AN=16703720</t>
  </si>
  <si>
    <t>MEDLINE; Ovid Technologies; Addressing the insidious health and financial burden of tobacco use in Missouri: the role of medical and public health professionals</t>
  </si>
  <si>
    <t>Ewan,C. E.;Whaite,A.</t>
  </si>
  <si>
    <t>Evaluation of training programs for health professionals in substance misuse. A review</t>
  </si>
  <si>
    <t>Journal of studies on alcohol</t>
  </si>
  <si>
    <t>J.Stud.Alcohol</t>
  </si>
  <si>
    <t>Alcoholism/rh Rehabilitation];Attitude of Health Personnel;Behavior Therapy/ed Education];Education, Medical;*Health Occupations/ed Education];Humans;Personality;*Substance-Related Disorders/rh Rehabilitation]</t>
  </si>
  <si>
    <t>Evaluation of programs to train health professionals to deal more effectively with substance misuse and the criteria and instruments which have been used in assessing the programs' effectiveness are reviewed. The shortcomings of many such evaluation efforts are discussed and directions for future efforts are suggested.</t>
  </si>
  <si>
    <t>J2: J; Ewan, C E Whaite, A; ID: 1481</t>
  </si>
  <si>
    <t>0096-882X</t>
  </si>
  <si>
    <t>http://ovidsp.ovid.com/ovidweb.cgi?T=JS&amp;CSC=Y&amp;NEWS=N&amp;PAGE=fulltext&amp;D=med2&amp;AN=6645548</t>
  </si>
  <si>
    <t>MEDLINE; Ovid Technologies; Evaluation of training programs for health professionals in substance misuse. A review</t>
  </si>
  <si>
    <t>Training health professionals in substance abuse: a review</t>
  </si>
  <si>
    <t>Attitude of Health Personnel;Education, Medical;Education, Medical, Continuing;Education, Nursing;*Health Occupations/ed Education];Humans;Substance-Related Disorders/th Therapy];*Substance-Related Disorders;United States</t>
  </si>
  <si>
    <t>Alcohol- and drug-related problems are a major component of the work of health professionals. Most professionals are inadequately trained to handle the problems they will confront in this field. The need for training in aspects of substance abuse is widely accepted. This paper is a review of reports of such training programs in English-speaking countries. The programs have been reviewed in four categories: (1) courses for practitioners and teachers of health professionals, (2) courses for medical students, (3) courses for nurses and nursing students, and (4) courses for other health professionals. Many programs have achieved their objectives, but documentation for many of them is insufficient to provide guidance for future program development. In general, knowledge gain is easily demonstrated, but changes in attitudes and skills require special conditions in training. References: 46]</t>
  </si>
  <si>
    <t>J2: Int J Addict; Ewan, C E Whaite, A; ID: 1490</t>
  </si>
  <si>
    <t>http://ovidsp.ovid.com/ovidweb.cgi?T=JS&amp;CSC=Y&amp;NEWS=N&amp;PAGE=fulltext&amp;D=med2&amp;AN=6757156</t>
  </si>
  <si>
    <t>MEDLINE; Ovid Technologies; Training health professionals in substance abuse: a review</t>
  </si>
  <si>
    <t>Ewing,J.</t>
  </si>
  <si>
    <t>Professional training on alcoholism. Workshop 4: changing student and faculty attitudes toward alcoholic patients</t>
  </si>
  <si>
    <t>*Alcoholism/th Therapy];*Attitude of Health Personnel;*Education, Medical;*Faculty, Medical;Humans;Internship and Residency;Interprofessional Relations;Patient Care Team;Research;*Students, Medical;Teaching;Voluntary Health Agencies</t>
  </si>
  <si>
    <t>J2: Ann N Y Acad Sci; Ewing, J; ID: 1591</t>
  </si>
  <si>
    <t>http://ovidsp.ovid.com/ovidweb.cgi?T=JS&amp;CSC=Y&amp;NEWS=N&amp;PAGE=fulltext&amp;D=med1&amp;AN=5282663</t>
  </si>
  <si>
    <t>MEDLINE; Ovid Technologies; Professional training on alcoholism. Workshop 4: changing student and faculty attitudes toward alcoholic patients</t>
  </si>
  <si>
    <t>Eyal,R.;O'Connor,M. J.</t>
  </si>
  <si>
    <t>Psychiatry trainees' training and experience in fetal alcohol spectrum disorders</t>
  </si>
  <si>
    <t>*Adolescent Psychiatry/ed Education];Adolescent Psychiatry/mt Methods];Adolescent Psychiatry/st Standards];Adult;*Child Psychiatry/ed Education];Child Psychiatry/mt Methods];Child Psychiatry/st Standards];Female;*Fetal Alcohol Spectrum Disorders/di Diagnosis];Fetal Alcohol Spectrum Disorders/ep Epidemiology];Humans;Internship and Residency/mt Methods];Pregnancy;Surveys and Questionnaires</t>
  </si>
  <si>
    <t>BACKGROUND/OBJECTIVE: Alcohol is a teratogen. Fetal alcohol spectrum disorders (FASDs) affect about 1% of live births, causing severe impairment. Individuals affected by FASDs are overrepresented in psychiatric settings. This study reports on the education and experience of psychiatry trainees in approaching FASDs. METHOD: Data were collected from psychiatry trainees throughout the country by use of a web-based questionnaire. RESULTS: A representative sample (N=308) of psychiatry trainees responded; 19% rate their education on FASDs as "good" or "excellent," and 89% report that they would like more education on FASDs: 6%, 15%, and 30%, endorsed the statement "It is safe to drink some alcohol" during the 1st, 2nd, and 3rd trimesters, respectively. Only 31% correctly report that individuals with an FASD are at equal risk for adverse outcomes as individuals with full-blown fetal alcohol syndrome. CONCLUSIONS: results reveal that training on FASDs is inadequate. Psychiatry trainees poorly understand the importance of abstinence throughout pregnancy. Trainees who report receiving supervision specifically addressing FASDs also report making the diagnosis much more frequently, suggesting that supervision in clinical settings is effective teaching. Results reveal that FASDs are underrecognized, resulting in missed opportunities for prevention and intervention.</t>
  </si>
  <si>
    <t>J2: Acad Psychiatry; Eyal, Roy O'Connor, Mary J; ID: 490</t>
  </si>
  <si>
    <t>Eyal, Roy. Dept. of Psychiatry, UCLA, Los Angeles, CA. reyal@ucla.edu. O'Connor, Mary J. Dept. of Psychiatry, UCLA, Los Angeles, CA.</t>
  </si>
  <si>
    <t>http://ovidsp.ovid.com/ovidweb.cgi?T=JS&amp;CSC=Y&amp;NEWS=N&amp;PAGE=fulltext&amp;D=medc&amp;AN=21804042</t>
  </si>
  <si>
    <t>https://dx.doi.org/10.1176/appi.ap.35.4.238</t>
  </si>
  <si>
    <t>MEDLINE; Ovid Technologies; Psychiatry trainees' training and experience in fetal alcohol spectrum disorders</t>
  </si>
  <si>
    <t>Eyler,A. E.;Dicken,L. L.;Fitzgerald,J. T.;Oh,M. S.;Wolf,F. M.;Zweifler,A. J.</t>
  </si>
  <si>
    <t>Teaching smoking-cessation counseling to medical students using simulated patients</t>
  </si>
  <si>
    <t>*Clinical Clerkship;*Counseling/ed Education];Evaluation Studies as Topic;Female;Humans;Male;*Patient Simulation;*Smoking Cessation;Students, Medical/px Psychology];Teaching/mt Methods]</t>
  </si>
  <si>
    <t>OBJECTIVE: Our objective was to evaluate the effectiveness of using simulated patient instructors and the Ockene method to instruct third-year medical students in smoking-cessation counseling techniques. DESIGN: We used a clinical exercise with self-study preparation and simulated patient instructors. METHODS: One hundred fifty-nine students participated in a smoking-cessation counseling session in which cognitive and behavioral endpoints were assessed by simulated patient instructors and the students themselves. RESULTS: Student performance in the cognitive and behavioral components of model smoking-cessation counseling was acceptable. Specific areas of weakness, such as the tendency of students to underemphasize the personal and social benefits of smoking cessation, and to overestimate their competence on a number of skill items, were identified. Student evaluation of the exercise was positive. CONCLUSIONS: Smoking-cessation counseling can be taught effectively to third-year medical students by simulated patient instructors during a clinical clerkship.</t>
  </si>
  <si>
    <t>J2: Am J Prev Med; Eyler, A E Dicken, L L Fitzgerald, J T Oh, M S Wolf, F M Zweifler, A J; ID: 1138</t>
  </si>
  <si>
    <t>Eyler, A E. Department of Family Practice, University of Michigan Medical School, Ann Arbor 48109-0356, USA.</t>
  </si>
  <si>
    <t>http://ovidsp.ovid.com/ovidweb.cgi?T=JS&amp;CSC=Y&amp;NEWS=N&amp;PAGE=fulltext&amp;D=med4&amp;AN=9181201</t>
  </si>
  <si>
    <t>MEDLINE; Ovid Technologies; Teaching smoking-cessation counseling to medical students using simulated patients</t>
  </si>
  <si>
    <t>Fabczak,J.;Kowal,E.</t>
  </si>
  <si>
    <t>Prevalence of smoking and its motivation among students of 2 institutions of higher learning in Bialystok]</t>
  </si>
  <si>
    <t>Pneumonologia polska</t>
  </si>
  <si>
    <t>Pneumonol.Pol.</t>
  </si>
  <si>
    <t>Adult;Cross-Sectional Studies;Engineering;Female;Humans;Male;*Motivation;Poland;*Smoking/ep Epidemiology];Smoking/px Psychology];*Students/px Psychology];Students, Medical/px Psychology]</t>
  </si>
  <si>
    <t>J2: Pneumonol Pol; Polish Fabczak, J Kowal, E; OP: Rozpowszechnienie i motywacja palenia tytoniu wsrod studentow dwoch wyzszych uczelni Bialegostoku; ID: 1391</t>
  </si>
  <si>
    <t>0376-4761</t>
  </si>
  <si>
    <t>http://ovidsp.ovid.com/ovidweb.cgi?T=JS&amp;CSC=Y&amp;NEWS=N&amp;PAGE=fulltext&amp;D=med3&amp;AN=3265785</t>
  </si>
  <si>
    <t>MEDLINE; Ovid Technologies; [Prevalence of smoking and its motivation among students of 2 institutions of higher learning in Bialystok]</t>
  </si>
  <si>
    <t>Fadardi,J. S.;Cox,W. M.;Rahmani,A.</t>
  </si>
  <si>
    <t>Neuroscience of attentional processes for addiction medicine: from brain mechanisms to practical considerations</t>
  </si>
  <si>
    <t>Progress in brain research</t>
  </si>
  <si>
    <t>Prog.Brain Res.</t>
  </si>
  <si>
    <t>Animals;*Attention/ph Physiology];*Behavior, Addictive/px Psychology];*Brain/pp Physiopathology];Humans;*Motivation/ph Physiology];Neurosciences;*Substance-Related Disorders/pp Physiopathology]</t>
  </si>
  <si>
    <t>The present chapter first argues how having a goal for procuring alcohol or other substances leads to the development of a time-binding, dynamic, and goal oriented motivational state termed current concern, as the origin of substance-related attentional bias. Next, it discusses the importance of attentional bias in the development, continuation of, and relapsing to substance abuse. It further proceeds with a review of selective evidence from cognitive psychology that helps account for making decisions about using an addictive substance or refraining from using it. A discussion on the various brain loci that are involved in attentional bias and other kinds of cue reactivity is followed by presenting findings from neurocognitive research. Finally, from an interdisciplinary perspective, the chapter presents new trends and ideas that can be applied to addiction-related cognitive measurement and training.</t>
  </si>
  <si>
    <t>J2: Prog Brain Res; Fadardi, Javad Salehi Cox, W Miles Rahmani, Arash S0079-6123(15)00140-5; ID: 105</t>
  </si>
  <si>
    <t>1875-7855</t>
  </si>
  <si>
    <t>Fadardi, Javad Salehi. Ferdowsi University of Mashhad, Mashhad, Iran; Bangor University, Bangor, UK; Addiction Research Centre, Mashhad University of Medical Sciences, Mashhad, Iran. Electronic address: j.s.fadardi@um.ac.ir. Cox, W Miles. Bangor University, Bangor, UK. Rahmani, Arash. Iranian National Center for Addiction Studies, Tehran University of Medical Sciences, Tehran, Iran.</t>
  </si>
  <si>
    <t>http://ovidsp.ovid.com/ovidweb.cgi?T=JS&amp;CSC=Y&amp;NEWS=N&amp;PAGE=fulltext&amp;D=med8&amp;AN=26806772</t>
  </si>
  <si>
    <t>https://dx.doi.org/10.1016/bs.pbr.2015.08.002</t>
  </si>
  <si>
    <t>MEDLINE; Ovid Technologies; Neuroscience of attentional processes for addiction medicine: from brain mechanisms to practical considerations</t>
  </si>
  <si>
    <t>Fadhil,I.</t>
  </si>
  <si>
    <t>Tobacco education in medical schools: survey among primary care physicians in Bahrain</t>
  </si>
  <si>
    <t>Adult;*Attitude of Health Personnel;Bahrain/ep Epidemiology];*Clinical Competence;Cross-Sectional Studies;Curriculum;Documentation;*Education, Medical, Graduate/og Organization &amp; Administration];Female;*Health Knowledge, Attitudes, Practice;Health Services Needs and Demand;Humans;Male;Middle Aged;Physician's Role;Physicians, Family/ed Education];Physicians, Family/px Psychology];Physicians, Family/sn Statistics &amp; Numerical Data];*Physicians, Family;Self Efficacy;Smoking/ae Adverse Effects];Smoking/ep Epidemiology];Smoking Cessation;*Smoking Prevention;Surveys and Questionnaires</t>
  </si>
  <si>
    <t>This cross-sectional study assessed the extent of tobacco education and intervention skills training among primary care physicians in Bahrain. Out of 217 family physicians in the country, 120 (55%) answered a self-administered questionnaire. A total of 24% were current smokers and 10% were ex-smokers. Inadequate education at medical school about tobacco use and interventions was reported by the majority of physicians. The subject of smoking-related diseases, psychology of tobacco use and management of tobacco dependence were inadequately covered in medical schools. Training in smoking cessation was particularly neglected, with only 4% of physicians receiving training about tobacco cessation interventions.</t>
  </si>
  <si>
    <t>J2: East Mediterr Health J; Fadhil, I; ID: 596</t>
  </si>
  <si>
    <t>Fadhil, I. Chronic Diseases Unit, Ministry of Health, Manama, Bahrain. ifadhil@hotmail.com</t>
  </si>
  <si>
    <t>http://ovidsp.ovid.com/ovidweb.cgi?T=JS&amp;CSC=Y&amp;NEWS=N&amp;PAGE=fulltext&amp;D=med6&amp;AN=20187549</t>
  </si>
  <si>
    <t>MEDLINE; Ovid Technologies; Tobacco education in medical schools: survey among primary care physicians in Bahrain</t>
  </si>
  <si>
    <t>Falkowski,J.;Ghodse,A. H.</t>
  </si>
  <si>
    <t>Undergraduate medical school training in psychoactive drugs and rational prescribing in the United Kingdom</t>
  </si>
  <si>
    <t>Curriculum;*Education, Medical;Humans;*Psychotropic Drugs;*Substance-Related Disorders/et Etiology];United Kingdom;0 (Psychotropic Drugs)</t>
  </si>
  <si>
    <t>The present study examines the extent and form of teaching on psychoactive drugs and the rational prescribing of them given to undergraduate medical students in the United Kingdom. All the 21 schools which replied taught on psychoactive drugs. The average was 15.4 hours of formal teaching (lectures, seminars, tutorials). The teaching on psychoactive drugs compares favourably with the average of 4.2 hours teaching given on alcohol related problems and 3.5 hours on drug dependence. It emerged that there was a great deal of variation in the amount of teaching on psychoactive drugs and many schools felt their teaching on rational prescribing was inadequate. There is a need to promote better co-ordination between medical school departments and to identify the key concepts which all medical schools teach. These steps would help to ensure improved teaching on psychoactive drugs and rational prescribing.</t>
  </si>
  <si>
    <t>J2: Br J Addict; Falkowski, J Ghodse, A H; ID: 1368</t>
  </si>
  <si>
    <t>http://ovidsp.ovid.com/ovidweb.cgi?T=JS&amp;CSC=Y&amp;NEWS=N&amp;PAGE=fulltext&amp;D=med3&amp;AN=2611438</t>
  </si>
  <si>
    <t>MEDLINE; Ovid Technologies; Undergraduate medical school training in psychoactive drugs and rational prescribing in the United Kingdom</t>
  </si>
  <si>
    <t>Fang,W. L.;Applegate,S. N.;Stein,R. M.;Lohr,J. A.</t>
  </si>
  <si>
    <t>The development of substance-abuse curricular content by five North Carolina schools</t>
  </si>
  <si>
    <t>*Curriculum;*Education, Medical, Undergraduate;Humans;North Carolina;*Program Development;Schools, Dental;Schools, Medical;*Substance-Related Disorders</t>
  </si>
  <si>
    <t>In 1992, the four medical schools in North Carolina and that state's dental school initiated a four-year project to more thoroughly integrate content about substance abuse into their curricula. The project was based on the premise that medical schools are failing to provide their students with adequate training about substance abuse issues, yet substance abuse is a large and growing source of health problems nationwide. While the authors indicate in broad ways the kinds of curricular content that the project sought, in this article they concentrate on the processes by which key faculty, administrators, and staff members from all the schools worked together in the curriculum development process, with each school tailoring the project's findings to the needs of its own students. Phase I of the project focused on the selection and orientation of the key faculty and members of the working committee at each institution, and garnering institutional support. Phase II focused on the development by key faculty of the project's philosophy, goals, and objectives; conducting needs assessment and curriculum analysis at each school; and identifying the content needed. During Phase III, project participants refined the needed content and integrated it, in individual ways, into each school's curriculum. Some (but not enough) evaluation of these curricular implementations was done. The authors highlight the lessons learned, both positive and negative, in hopes that these will be useful to other educators who wish to design, implement, and institutionalize substance-abuse curricular content.</t>
  </si>
  <si>
    <t>J2: Acad Med; Fang, W L Applegate, S N Stein, R M Lohr, J A; ID: 1089</t>
  </si>
  <si>
    <t>Fang, W L. Office of Student Academic Support and Strategic Programs, University of Virginia School of Medicine, Charlottesville 22908, USA. wf@virginia.edu</t>
  </si>
  <si>
    <t>http://ovidsp.ovid.com/ovidweb.cgi?T=JS&amp;CSC=Y&amp;NEWS=N&amp;PAGE=fulltext&amp;D=med4&amp;AN=9795618</t>
  </si>
  <si>
    <t>MEDLINE; Ovid Technologies; The development of substance-abuse curricular content by five North Carolina schools</t>
  </si>
  <si>
    <t>Fankhanel,T.;Rascher,A.;Thiel,C.;Schulz,K.;Klement,A.</t>
  </si>
  <si>
    <t>General practitioners' commitment to treating excessive alcohol consumption: A question of role security in treating affected patients?]</t>
  </si>
  <si>
    <t>Zeitschrift fur Evidenz Fortbildung und Qualitat im Gesundheitswesen</t>
  </si>
  <si>
    <t>Only a few general practitioners (GPs) are committed to screen their patients for alcohol consumption and, in case of excessive alcohol consumption conduct by a brief intervention according to WHO recommendations. Apart from inadequate compensation and work load, another barrier identified by the GPs was their uncertainty about how to deal with affected patients. Most German universities presently spend no more than 90minutes lecture time on addiction medicine teaching. Our research aims to investigate the question whether medical studies and advanced medical education increases the role security of medical students and physicians and their commitment to implementing alcohol screening and brief intervention. Moreover, we will explore whether lack of therapeutic commitment can be related to lack of role security. Questionnaires were administered to pre-clinical and clinical medical students as well as senior house officers. Role security and therapeutic commitment of students and senior house officers were assessed using the Alcohol and Alcohol Problems Questionnaire (SAAPPQ) subscales "Role Security" and "Therapeutic Commitment". Analysis was based on 367 questionnaires. As expected, senior house officers reported more Role Security than clinical medical students who showed a higher level of Role Security than pre-clinical medical students. No differences could be found for Therapeutic Commitment. An association between Role Security and Therapeutic Commitment was only revealed for clinical medical students. Medical studies and advanced medical education can increase students' and senior house officers' Role Security to treat patients with excessive alcohol consumption, but not Therapeutic Commitment. Moreover, no association between Role Security and Therapeutic Commitment could be found for senior house officers. Hence, it may be assumed that educational activities aiming to increase Role Security do not promote the development of motivational aspects such as Therapeutic Commitment to the management of patients with excessive alcohol intake.</t>
  </si>
  <si>
    <t>J2: Z; German Fankhanel, Thomas Rascher, Anja Thiel, Carolin Schulz, Katrin Klement, Andreas S1865-9217(16)30040-X; OP: Hausarztliche Bereitschaft zur Intervention bei zu hohem Alkoholkonsum: Eine Frage der Sicherheit im Umgang mit betroffenen Patienten?; ID: 1675</t>
  </si>
  <si>
    <t>2212-0289</t>
  </si>
  <si>
    <t>Fankhanel, Thomas. Sektion Allgemeinmedizin, Medizinische Fakultat der Martin-Luther-Universitat Halle-Wittenberg, Halle/Saale, Deutschland. Electronic address: thomas.fankhaenel@medizin.uni-halle.de. Rascher, Anja. Sektion Allgemeinmedizin, Medizinische Fakultat der Martin-Luther-Universitat Halle-Wittenberg, Halle/Saale, Deutschland. Thiel, Carolin. Sektion Allgemeinmedizin, Medizinische Fakultat der Martin-Luther-Universitat Halle-Wittenberg, Halle/Saale, Deutschland. Schulz, Katrin. Sektion Allgemeinmedizin, Medizinische Fakultat der Martin-Luther-Universitat Halle-Wittenberg, Halle/Saale, Deutschland. Klement, Andreas. Sektion Allgemeinmedizin, Medizinische Fakultat der Martin-Luther-Universitat Halle-Wittenberg, Halle/Saale, Deutschland.</t>
  </si>
  <si>
    <t>http://ovidsp.ovid.com/ovidweb.cgi?T=JS&amp;CSC=Y&amp;NEWS=N&amp;PAGE=fulltext&amp;D=prem&amp;AN=27172783</t>
  </si>
  <si>
    <t>https://dx.doi.org/10.1016/j.zefq.2016.03.013</t>
  </si>
  <si>
    <t>MEDLINE; Ovid Technologies; [General practitioners' commitment to treating excessive alcohol consumption: A question of role security in treating affected patients?]</t>
  </si>
  <si>
    <t>Farley,W. J.</t>
  </si>
  <si>
    <t>Addiction and the anaesthesia resident</t>
  </si>
  <si>
    <t>R11</t>
  </si>
  <si>
    <t>*Anesthesiology/ed Education];Humans;*Internship and Residency;*Substance-Related Disorders</t>
  </si>
  <si>
    <t>Addiction to narcotics appears to be a problem in the specialty of anaesthesia and particularly in anaesthesia residents. In 1992, this problem is perceived to be a treatable disease for which there is help and there is hope. None of us are immune to this disease. One of the key features of this disease is that the person who is afflicted cannot reach out for help. Thus, it is our responsibility as caring, concerned, and hopefully compassionate colleagues to reach out to them. With proper intervention, treatment, support of family, colleagues and department, and with a tightly monitored aftercare contract, addicted anaesthetists can successfully return to the specialty.</t>
  </si>
  <si>
    <t>J2: Can J Anaesth; Farley, W J; ID: 1283</t>
  </si>
  <si>
    <t>0832-610X</t>
  </si>
  <si>
    <t>Farley, W J. Perspectives Health Program, Hampton, Virginia.</t>
  </si>
  <si>
    <t>http://ovidsp.ovid.com/ovidweb.cgi?T=JS&amp;CSC=Y&amp;NEWS=N&amp;PAGE=fulltext&amp;D=med3&amp;AN=1600568</t>
  </si>
  <si>
    <t>MEDLINE; Ovid Technologies; Addiction and the anaesthesia resident</t>
  </si>
  <si>
    <t>Fassler,D.</t>
  </si>
  <si>
    <t>Views of medical students and residents on education in alcohol and drug abuse</t>
  </si>
  <si>
    <t>Alcoholism/di Diagnosis];Alcoholism/th Therapy];*Alcoholism;*Education, Medical;Humans;*Internship and Residency;*Students, Medical;Substance-Related Disorders/di Diagnosis];Substance-Related Disorders/th Therapy];*Substance-Related Disorders;Vermont</t>
  </si>
  <si>
    <t>J2: J Med Educ; Fassler, D; ID: 1463</t>
  </si>
  <si>
    <t>http://ovidsp.ovid.com/ovidweb.cgi?T=JS&amp;CSC=Y&amp;NEWS=N&amp;PAGE=fulltext&amp;D=med2&amp;AN=4009673</t>
  </si>
  <si>
    <t>MEDLINE; Ovid Technologies; Views of medical students and residents on education in alcohol and drug abuse</t>
  </si>
  <si>
    <t>Fatehi,F.;Monajemi,A.;Sadeghi,A.;Mojtahedzadeh,R.;Mirzazadeh,A.</t>
  </si>
  <si>
    <t>Quality of Life in Medical Students With Internet Addiction</t>
  </si>
  <si>
    <t>Acta Medica Iranica</t>
  </si>
  <si>
    <t>Acta Med.Iran.</t>
  </si>
  <si>
    <t>Adult;*Behavior, Addictive/px Psychology];Cross-Sectional Studies;Education, Medical, Undergraduate;Female;Humans;*Internet;Iran;Male;Mental Disorders;*Quality of Life;*Students, Medical/px Psychology];Surveys and Questionnaires;Young Adult</t>
  </si>
  <si>
    <t>The widespread use of internet has caused new psychological, social, and educational problems for the students. The aim of this study was to examine the quality of life in medical students who suffer from internet addiction. This cross-sectional survey was carried out in Tehran University of Medical Sciences, and a total of 174 fourth-to seventh-year undergraduate medical students were enrolled. The quality of life was assessed by WHOQOL-BREF questionnaire which covers four domains of physical health, psychological, social relationships, and the environment. For assessing internet addiction, we used Internet Addiction Test (IAT) of Young. The students with IAT score higher than 50 were considered as addicted. For evaluating academic performance, the students were requested to report their grade point average (GPA). The mean IA score (+/-SD) was 34.13+/-12.76. Twenty-eight students (16.90%) had IAT score above 50. The mean quality of life score in internet addicted group was 54.97+/-11.38 versus 61.65+/-11.21 in normal group (P=0.005). Furthermore, there was a negative correlation between IA score and physical domain (r=-0.18, P=0.02); psychological domain (r=-0.35, P=0.000); and social relation domain (r=-0.26, P=0.001). Mean GPA was significantly lower in the addicted group. It seems that quality of life is lower in the internet addicted medical students; moreover, such students academically perform poorer in comparison with non-addicts. Since internet addiction is increasing at a rapid pace which may provoke considerable academic, psychological and social implications; as a result, it may require screening programs to the immediate finding of such problem to give consultations to prevent unwanted complications.</t>
  </si>
  <si>
    <t>J2: Acta Med Iran; Fatehi, Farzad Monajemi, Alireza Sadeghi, Anahita Mojtahedzadeh, Rita Mirzazadeh, Azim; ID: 111</t>
  </si>
  <si>
    <t>1735-9694</t>
  </si>
  <si>
    <t>Fatehi, Farzad. Department of Neurology, Shariati Hospital, Tehran University of Medical Sciences, Tehran, Iran. AND Department of Neurology, Iranian Center of Neurological Research, Tehran University of Medical Sciences, Tehran, Iran. Monajemi, Alireza. Department of Philosophy of Sciences, Institute for Humanities and Cultural Studies, Tehran, Iran. Sadeghi, Anahita. Department of Internal Medicine, Shariati Hospital, Tehran University of Medical Sciences, Tehran, Iran. Mojtahedzadeh, Rita. Department of E-Learning in Medical Education, Center of Excellence for E-Learning in Medical Education, Tehran University of Medical Sciences, Tehran, Iran. Mirzazadeh, Azim. Department of E-Learning in Medical Education, Center of Excellence for E-Learning in Medical Education, Tehran University of Medical Sciences, Tehran, Iran. AND Department of Medical Education, Health Professions Education Research Center, Tehran University of Medical Sciences, Tehran, Iran. AND Department of Internal Medicine, Imam Khomeini Hospital, Tehran University of Medical Sciences, Tehran, Iran.</t>
  </si>
  <si>
    <t>http://ovidsp.ovid.com/ovidweb.cgi?T=JS&amp;CSC=Y&amp;NEWS=N&amp;PAGE=fulltext&amp;D=med8&amp;AN=27888595</t>
  </si>
  <si>
    <t>MEDLINE; Ovid Technologies; Quality of Life in Medical Students With Internet Addiction</t>
  </si>
  <si>
    <t>Faulkner,L. R.;Juul,D.;Andrade,N. N.;Brooks,B. A.;Colenda,C. C.;Guynn,R. W.;Mrazek,D. A.;Reus,V. I.;Schneidman,B. S.;Shaw,K. R.</t>
  </si>
  <si>
    <t>Recent trends in american board of psychiatry and neurology psychiatric subspecialties</t>
  </si>
  <si>
    <t>Community Participation;Data Collection;Economics;Education;Education, Medical, Graduate;Humans;*Neurology/ed Education];Politics;Program Development;*Psychiatry/ed Education];Specialization/td Trends];*Specialization;Specialty Boards/td Trends];United States</t>
  </si>
  <si>
    <t>OBJECTIVE: this article reviews the current status and recent trends in the American Board of Psychiatry and Neurology (ABPN) psychiatric subspecialties and discusses the implications of those trends as well as several key questions whose answers may well determine subspecialty viability. METHODS: data are presented on specialty and subspecialty programs; graduates; and ABPN certification candidates and diplomates drawn from several sources, including the records of the ABPN, the websites of the Accreditation Council for Graduate Medical Education and the American Medical Association, and the annual medical education issues of JAMA. RESULTS: fewer than half of psychiatry graduates pursue subspecialty training. While most recent specialty graduates attempt to become certified by the ABPN, many subspecialists elect not to do so. There have been recent decreases in the number of fellowship programs and trainees in geriatric psychiatry and addiction psychiatry. The pass rates for fellowship graduates are superior to those for the "grandfathers" in all of the newer psychiatric subspecialties. Lower percentages of subspecialists than specialists participate in maintenance of certification, and maintenance of certification pass rates are high. CONCLUSION: the initial interest in training and certification in some of the ABPN subspecialties appears to have slowed, and the long-term viability of those subspecialties may well depend on the answers to a number of complicated social, economic, and political questions in the new health care era.</t>
  </si>
  <si>
    <t>J2: Acad Psychiatry; Faulkner, Larry R Juul, Dorthea Andrade, Naleen N Brooks, Beth Ann Colenda, Christopher C Guynn, Robert W Mrazek, David A Reus, Victor I Schneidman, Barbara S Shaw, Kailie R; ID: 534</t>
  </si>
  <si>
    <t>Faulkner, Larry R. American Board of Psychiatry and Neurology, Inc., Buffalo Grove, IL 60089, USA.</t>
  </si>
  <si>
    <t>http://ovidsp.ovid.com/ovidweb.cgi?T=JS&amp;CSC=Y&amp;NEWS=N&amp;PAGE=fulltext&amp;D=med7&amp;AN=21209405</t>
  </si>
  <si>
    <t>https://dx.doi.org/10.1176/appi.ap.35.1.35</t>
  </si>
  <si>
    <t>MEDLINE; Ovid Technologies; Recent trends in american board of psychiatry and neurology psychiatric subspecialties</t>
  </si>
  <si>
    <t>Fauske,S.</t>
  </si>
  <si>
    <t>Post-education in clinical problems of narcotics abuse]</t>
  </si>
  <si>
    <t>Tidsskrift for den Norske laegeforening</t>
  </si>
  <si>
    <t>Tidsskr.Nor.Laegeforen.</t>
  </si>
  <si>
    <t>Alcoholism;*Clinical Medicine/ed Education];*Education, Medical, Continuing/td Trends];Norway;*Substance-Related Disorders</t>
  </si>
  <si>
    <t>Since 1985 the Hjellestad Clinic, in cooperation with the Norwegian Directorate for the Prevention of Alcohol and Drug Problems, has offered five 40 hour courses a year for primary health care workers in order to provide them with the necessary knowledge dealing with drug- and alcohol-related issues in the local community. The focus is on early detection and simple intervention strategies. Since 1989 on we have offered two additional courses on special topics such as family, drug and alcohol problems, management of drug- and alcohol-related crises in the local community etc. The article discusses a new speciality in the "treatment of addictive behaviours".</t>
  </si>
  <si>
    <t>J2: Tidsskr Nor Laegeforen; Norwegian Fauske, S; OP: Etterutdanning i kliniske rusmiddelproblemer; ID: 1360</t>
  </si>
  <si>
    <t>0029-2001</t>
  </si>
  <si>
    <t>Fauske, S. Hjellestad-Klinikken.</t>
  </si>
  <si>
    <t>Norwegian</t>
  </si>
  <si>
    <t>http://ovidsp.ovid.com/ovidweb.cgi?T=JS&amp;CSC=Y&amp;NEWS=N&amp;PAGE=fulltext&amp;D=med3&amp;AN=2321230</t>
  </si>
  <si>
    <t>MEDLINE; Ovid Technologies; [Post-education in clinical problems of narcotics abuse]</t>
  </si>
  <si>
    <t>Favrod-Coune,T.;Baroudi,M.;Casillas,A.;Rieder,J. P.;Getaz,L.;Barro,J.;Gaspoz,J. M.;Broers,B.;Wolff,H.</t>
  </si>
  <si>
    <t>Opioid substitution treatment in pretrial prison detention: a case study from Geneva, Switzerland</t>
  </si>
  <si>
    <t>Swiss Medical Weekly</t>
  </si>
  <si>
    <t>w13898</t>
  </si>
  <si>
    <t>Adult;*Analgesics, Opioid/tu Therapeutic Use];*Buprenorphine/tu Therapeutic Use];Continuity of Patient Care;Female;Health Services Accessibility;Humans;Male;*Methadone/tu Therapeutic Use];*Opiate Substitution Treatment/mt Methods];*Opioid-Related Disorders/rh Rehabilitation];*Prisoners;*Prisons;Retrospective Studies;*Substance Abuse, Intravenous/rh Rehabilitation];Switzerland;Vulnerable Populations;Young Adult;0 (Analgesics, Opioid);40D3SCR4GZ (Buprenorphine);UC6VBE7V1Z (Methadone)</t>
  </si>
  <si>
    <t>BACKGROUND: Opioid substitution treatment (OST) is not uniformly provided in all prisons as recommended by international guidelines. The Swiss prison of Champ-Dollon in Geneva is an exception, where OST has been available for the last 20 years. The aims of this study were to describe the OST programme in this pretrial prison setting, and the patients involved. METHODS: We reviewed health records of 2566 detainees entering Switzerland's largest pretrial prison in 2007. Sociodemographic characteristics, substance use diagnosis and history, OST history and prison course, medical complications, and evidence of OST side effects were assessed by questionnaire. RESULTS: The mean age was 29.6 years (SD 7.1) and 95.4% of prisoners were male. Among 233 opioid users (9.1%) at baseline, 221 (94.8%) used other substances, and 39.9% had used drugs intravenously. Opioid dependence was confirmed in 71.2% of opioid users. OST was offered to all dependent users, and all patients accepted treatment. Methadone was the treatment of preference, with a prescribed mean dose of 41.7 mg (standard deviation 29.1) upon departure. No serious side effects or death by overdose occurred. There was postrelease OST continuity-of-care for 49.7% of OST patients. CONCLUSIONS: Prescription of OST for opioid dependent detainees by trained physicians is feasible and safe in a pretrial setting. The methadone dose was lower when compared with general OST treatment recommendations. Nevertheless, treatment was available in accordance with national and international guidelines. In-prison OST offers access to a much needed and safe healthcare service for this vulnerable population.</t>
  </si>
  <si>
    <t>J2: Swiss Med Wkly; Favrod-Coune, Thierry Baroudi, Mariem Casillas, Alejandra Rieder, Jean-Pierre Getaz, Laurent Barro, Javier Gaspoz, Jean-Michel Broers, Barbara Wolff, Hans Swiss Med Wkly. 2013;143:w13898; ID: 299</t>
  </si>
  <si>
    <t>1424-3997</t>
  </si>
  <si>
    <t>Favrod-Coune, Thierry. Geneva University Hospitals, Penitentiary Medicine Service, Department of community medicine, primary care and emergency medicine, University of Geneva, Switzerland; Thierry.Favrod-Coune@hcuge.ch.</t>
  </si>
  <si>
    <t>http://ovidsp.ovid.com/ovidweb.cgi?T=JS&amp;CSC=Y&amp;NEWS=N&amp;PAGE=fulltext&amp;D=med7&amp;AN=24186493</t>
  </si>
  <si>
    <t>https://dx.doi.org/10.4414/smw.2013.13898</t>
  </si>
  <si>
    <t>MEDLINE; Ovid Technologies; Opioid substitution treatment in pretrial prison detention: a case study from Geneva, Switzerland</t>
  </si>
  <si>
    <t>Fazzio,L.;Galanter,M.;Dermatis,H.;Levounis,P.</t>
  </si>
  <si>
    <t>Evaluation of medical student attitudes toward alcoholics anonymous</t>
  </si>
  <si>
    <t>*Alcoholics Anonymous;*Alcoholism/th Therapy];Attitude;Education, Medical;Humans;Spirituality;*Students, Medical/px Psychology];Surveys and Questionnaires</t>
  </si>
  <si>
    <t>This is a two-phase study on attitudes of medical students toward Alcoholics Anonymous. The first phase compares views of addiction faculty to third-year medical students on the importance of spirituality in addiction treatment. We administered a questionnaire to assess attitudes toward spiritual, biological, and psychosocial approaches to addiction treatment. The faculty viewed spirituality as relatively more important in addiction treatment than did the students. The second phase was designed to assess whether medical student attitudes toward spiritually based treatments changed over the course of a psychiatry clerkship. At the beginning of the clerkship, students rated a spiritually oriented approach as important in addiction treatment as a biological approach, whereas, at the end of the clerkship, they rated the biological approach as more important. It may be important to educate medical students about the spiritual dimensions of recovery so they can integrate this into their treatment of addiction.</t>
  </si>
  <si>
    <t>J2: Subst Abus; Fazzio, Lydia Galanter, Marc Dermatis, Helen Levounis, Petros; ID: 929</t>
  </si>
  <si>
    <t>Fazzio, Lydia. Division of Alcohol and Drug Abuse, New York University School of Medicine, New York, New York 10016, USA.</t>
  </si>
  <si>
    <t>http://ovidsp.ovid.com/ovidweb.cgi?T=JS&amp;CSC=Y&amp;NEWS=N&amp;PAGE=fulltext&amp;D=med4&amp;AN=12913366</t>
  </si>
  <si>
    <t>MEDLINE; Ovid Technologies; Evaluation of medical student attitudes toward alcoholics anonymous</t>
  </si>
  <si>
    <t>Feeley,R. J.;Moore,D. T.;Wilkins,K.;Fuehrlein,B.</t>
  </si>
  <si>
    <t>A Focused Addiction Curriculum and Its Impact on Student Knowledge, Attitudes, and Confidence in the Treatment of Patients with Substance Use</t>
  </si>
  <si>
    <t>BACKGROUND: Assessment of attitudes towards addiction in medical students has largely gone unexplored. This study examines the impact of a supplemental substance use disorder curriculum in the psychiatry clerkship on medical student attitudes towards addiction. METHODS: The curriculum was only administered to students at one clerkship site. Subsequently, medical students were surveyed across all sites regarding their attitudes towards addiction. RESULTS: The survey response rate was 37.5% (N = 75/200), with 25 (33%) completing the supplemental addiction curriculum. In bivariate analysis, medical students receiving the curriculum were more likely to express confidence in managing patients with alcohol and opiate use disorders (T = 2.01, p = 0.05) and were more knowledgeable about Alcoholics Anonymous (AA) as a treatment option available to patients (T = 2.27, p = 0.03). CONCLUSIONS: A supplemental addiction curriculum can improve medical student confidence in managing substance-using patients as well as improve knowledge of AA.</t>
  </si>
  <si>
    <t>J2: Acad Psychiatry; Feeley, Robert J Moore, David T Wilkins, Kirsten Fuehrlein, Brian; ID: 1633</t>
  </si>
  <si>
    <t>Feeley, Robert J. Yale School of Medicine, New Haven, CT, USA. robjfeeley@gmail.com. Moore, David T. Yale School of Medicine, New Haven, CT, USA. Wilkins, Kirsten. Yale School of Medicine, New Haven, CT, USA. Fuehrlein, Brian. Yale School of Medicine, New Haven, CT, USA.</t>
  </si>
  <si>
    <t>http://ovidsp.ovid.com/ovidweb.cgi?T=JS&amp;CSC=Y&amp;NEWS=N&amp;PAGE=fulltext&amp;D=prem&amp;AN=28776146</t>
  </si>
  <si>
    <t>https://dx.doi.org/10.1007/s40596-017-0771-8</t>
  </si>
  <si>
    <t>MEDLINE; Ovid Technologies; A Focused Addiction Curriculum and Its Impact on Student Knowledge, Attitudes, and Confidence in the Treatment of Patients with Substance Use</t>
  </si>
  <si>
    <t>Fenton,G. W.</t>
  </si>
  <si>
    <t>*Alcoholism/th Therapy];Attitude of Health Personnel;Attitude to Health;*Education, Medical;Humans;Physicians, Family</t>
  </si>
  <si>
    <t>J2: J R Soc Med; Fenton, G W; ID: 1269</t>
  </si>
  <si>
    <t>http://ovidsp.ovid.com/ovidweb.cgi?T=JS&amp;CSC=Y&amp;NEWS=N&amp;PAGE=fulltext&amp;D=med3&amp;AN=1404183</t>
  </si>
  <si>
    <t>Fenton,J. W., J.;Kinard,J. L.</t>
  </si>
  <si>
    <t>A study of substance abuse testing in patient care facilities</t>
  </si>
  <si>
    <t>Health care management review</t>
  </si>
  <si>
    <t>Health Care Manage.Rev.</t>
  </si>
  <si>
    <t>Confidentiality/lj Legislation &amp; Jurisprudence];Disabled Persons/lj Legislation &amp; Jurisprudence];Employment/lj Legislation &amp; Jurisprudence];Humans;Internship and Residency;Job Application;Medical Staff, Hospital;Organizational Policy;*Personnel Administration, Hospital/sn Statistics &amp; Numerical Data];Personnel Selection/sn Statistics &amp; Numerical Data];Prejudice;*Substance Abuse Detection/lj Legislation &amp; Jurisprudence];Substance Abuse Detection/ut Utilization];*Substance-Related Disorders/pc Prevention &amp; Control];Surveys and Questionnaires;United States</t>
  </si>
  <si>
    <t>Drug testing, once practically ignored as a health care management strategy in curbing legal liability potential, is now the norm rather than exception. Most hospitals today conduct drug tests involving employment considerations and "for cause" (e.g., accidents) involving most employees but excluding physicians. Random drug testing is recommended for health care institutions to consider as a strategy designed to reduce illicit drug abuse in such facilities. This recommendation is based on the nature and sensitivity of the health care institution's mission and purpose relative to patient care and safety.</t>
  </si>
  <si>
    <t>J2: Health Care Manage Rev; Fenton, J W Jr Kinard, J L; ID: 1241</t>
  </si>
  <si>
    <t>0361-6274</t>
  </si>
  <si>
    <t>Fenton, J W Jr. Francis Marion University in Florence, SC.</t>
  </si>
  <si>
    <t>http://ovidsp.ovid.com/ovidweb.cgi?T=JS&amp;CSC=Y&amp;NEWS=N&amp;PAGE=fulltext&amp;D=med3&amp;AN=8282551</t>
  </si>
  <si>
    <t>MEDLINE; Ovid Technologies; A study of substance abuse testing in patient care facilities</t>
  </si>
  <si>
    <t>Ferguson,C. J.</t>
  </si>
  <si>
    <t>A further plea for caution against medical professionals overstating video game violence effects</t>
  </si>
  <si>
    <t>Mayo Clinic proceedings</t>
  </si>
  <si>
    <t>Mayo Clin.Proc.</t>
  </si>
  <si>
    <t>1; author reply 821-3</t>
  </si>
  <si>
    <t>Aggression;*Attitude of Health Personnel;*Behavior, Addictive/pc Prevention &amp; Control];Child;*Health Promotion/lj Legislation &amp; Jurisprudence];Humans;United States;Video Games/ae Adverse Effects];*Video Games/lj Legislation &amp; Jurisprudence];Violence/lj Legislation &amp; Jurisprudence];*Violence/pc Prevention &amp; Control]</t>
  </si>
  <si>
    <t>J2: Mayo Clin Proc; Ferguson, Christopher J; ID: 497</t>
  </si>
  <si>
    <t>1942-5546</t>
  </si>
  <si>
    <t>http://ovidsp.ovid.com/ovidweb.cgi?T=JS&amp;CSC=Y&amp;NEWS=N&amp;PAGE=fulltext&amp;D=med7&amp;AN=21803964</t>
  </si>
  <si>
    <t>https://dx.doi.org/10.4065/mcp.2011.0359</t>
  </si>
  <si>
    <t>MEDLINE; Ovid Technologies; A further plea for caution against medical professionals overstating video game violence effects</t>
  </si>
  <si>
    <t>Ferguson,K. J.;Stapleton,J. T.;Helms,C. M.</t>
  </si>
  <si>
    <t>Physicians' effectiveness in assessing risk for human immunodeficiency virus infection</t>
  </si>
  <si>
    <t>Acquired Immunodeficiency Syndrome/di Diagnosis];*Acquired Immunodeficiency Syndrome/ep Epidemiology];*Attitude of Health Personnel;Clinical Competence;Counseling;Data Collection;Education, Medical;Humans;Medical History Taking;*Physician-Patient Relations;*Practice Patterns, Physicians';Risk Factors;Sexual Behavior;Substance-Related Disorders/di Diagnosis]</t>
  </si>
  <si>
    <t>An American Medical Association committee recently recommended that physicians routinely screen patients for behaviors that put patients at risk for human immunodeficiency virus infection, yet there is evidence that this screening does not occur routinely. Faculty, fellows, and residents at a teaching hospital in a midwestern state with a low prevalence of acquired immunodeficiency syndrome were surveyed regarding their experience in screening for human immunodeficiency virus, their training related to substance abuse and human sexuality, and their confidence and ease in addressing such topics with their patients. Results indicated that only 11% routinely screened patients for high-risk behaviors. While most physicians had received training in human sexuality, most had not received training in substance abuse screening. Those trained felt more confident in addressing substance abuse and human sexuality and felt more comfortable in caring for patients known to be infected with human immunodeficiency virus. A concerted effort to encourage human immunodeficiency virus risk assessment by physicians is needed. This should include training opportunities in screening and counseling patients about sexual activities and substance abuse.</t>
  </si>
  <si>
    <t>J2: Arch Intern Med; Ferguson, K J Stapleton, J T Helms, C M; ID: 1324</t>
  </si>
  <si>
    <t>Ferguson, K J. Offices of Consultation and Research in Medical Education, University of Iowa College of Medicine, Iowa City 52242.</t>
  </si>
  <si>
    <t>http://ovidsp.ovid.com/ovidweb.cgi?T=JS&amp;CSC=Y&amp;NEWS=N&amp;PAGE=fulltext&amp;D=med3&amp;AN=2001138</t>
  </si>
  <si>
    <t>MEDLINE; Ovid Technologies; Physicians' effectiveness in assessing risk for human immunodeficiency virus infection</t>
  </si>
  <si>
    <t>Ferguson,L.;Ries,R.;Russo,J.</t>
  </si>
  <si>
    <t>Barriers to identification and treatment of hazardous drinkers as assessed by urban/rural primary care doctors</t>
  </si>
  <si>
    <t>Alcoholism/ec Economics];*Alcoholism/ep Epidemiology];*Alcoholism/rh Rehabilitation];*Denial (Psychology);Diabetes Mellitus/ec Economics];Diabetes Mellitus/ep Epidemiology];Health Care Costs;Health Status;Humans;Mass Screening;*Motivation;Pilot Projects;Primary Health Care/ec Economics];*Primary Health Care;*Rural Health;Surveys and Questionnaires;*Urban Health</t>
  </si>
  <si>
    <t>This pilot study analyzed three types of barriers encountered by forty family physicians when identifying and treating patients with hazardous drinking and alcohol dependence. The Patient Centered category included patient denial and lack of motivation to change. The Physician Centered category included lack of physician time and lack of addiction medicine training. The System Centered category included lack of community resources and distance to treatment programs. The Patient Centered barriers were rated significantly greater (p &lt; .001) than the Physician Centered or the System Centered barriers. There was also a significant negative correlation (r = -0.49, p &lt; .001) between the Physician Centered and the Patient Centered categories, meaning that the more problematic the patients were rated, the less problematic the physicians rated their time or training. The types of barriers that were rated as most problematic varied depending on rural/urban practice location and how current the physician's training was.</t>
  </si>
  <si>
    <t>J2: J Addict Dis; Ferguson, Laura Ries, Richard Russo, Joan; ID: 936</t>
  </si>
  <si>
    <t>Ferguson, Laura. Department of Psychiatry and Behavioral Sciences, University of Washington School of Medicine, Seattle, WA, USA.</t>
  </si>
  <si>
    <t>http://ovidsp.ovid.com/ovidweb.cgi?T=JS&amp;CSC=Y&amp;NEWS=N&amp;PAGE=fulltext&amp;D=med4&amp;AN=12703671</t>
  </si>
  <si>
    <t>MEDLINE; Ovid Technologies; Barriers to identification and treatment of hazardous drinkers as assessed by urban/rural primary care doctors</t>
  </si>
  <si>
    <t>Fernandez,P. L.</t>
  </si>
  <si>
    <t>The university and the training of professionals to deal with drug dependencies]</t>
  </si>
  <si>
    <t>Anales de la Real Academia Nacional de Medicina</t>
  </si>
  <si>
    <t>An.R.Acad.Nac.Med.</t>
  </si>
  <si>
    <t>*Education, Medical;Humans;*Social Sciences/ed Education];Spain;*Substance-Related Disorders/th Therapy]</t>
  </si>
  <si>
    <t>J2: An R Acad Nac Med (Madr); Spanish Fernandez, P L; OP: La universidad y la formacion de profesionales en drogodependencias; ID: 1381</t>
  </si>
  <si>
    <t>0034-0634</t>
  </si>
  <si>
    <t>http://ovidsp.ovid.com/ovidweb.cgi?T=JS&amp;CSC=Y&amp;NEWS=N&amp;PAGE=fulltext&amp;D=med3&amp;AN=3252741</t>
  </si>
  <si>
    <t>MEDLINE; Ovid Technologies; [The university and the training of professionals to deal with drug dependencies]</t>
  </si>
  <si>
    <t>Fernandez-Pol,B.;Juthani,N. V.;Bluestone,H.;Muzruchi,M. S.</t>
  </si>
  <si>
    <t>International medical graduates' attitudes toward substance abuse</t>
  </si>
  <si>
    <t>After developing a hypothesis that international medical graduates (IMGs)from different ethno-cultural backgrounds would have different attitudes toward substance abuse, we compared the attitudes of 79 IMG applicants to our psychiatry residency training program using Chappel's Substance Abuse Attitude Survey. Except for the finding that men were less moralistic about substance abuse than women, we found no significant attitudinal differences among these IMGs despite their diverse backgrounds.</t>
  </si>
  <si>
    <t>J2: Acad Psychiatry; Fernandez-Pol, B Juthani, N V Bluestone, H Muzruchi, M S; ID: 324</t>
  </si>
  <si>
    <t>Fernandez-Pol, B. Department of Psychiatry, Albert Einstein College of Medicine, Bronx, NY, USA.</t>
  </si>
  <si>
    <t>http://ovidsp.ovid.com/ovidweb.cgi?T=JS&amp;CSC=Y&amp;NEWS=N&amp;PAGE=fulltext&amp;D=prem&amp;AN=24435311</t>
  </si>
  <si>
    <t>https://dx.doi.org/10.1007/BF03341363</t>
  </si>
  <si>
    <t>MEDLINE; Ovid Technologies; International medical graduates' attitudes toward substance abuse</t>
  </si>
  <si>
    <t>Ferneau,E.;Gertler,R.</t>
  </si>
  <si>
    <t>Attitudes regarding alcoholism: effect of the first year of the psychiatry residency</t>
  </si>
  <si>
    <t>British Journal of Addiction to Alcohol &amp; Other Drugs</t>
  </si>
  <si>
    <t>Alcohol Drinking;*Alcoholism;*Attitude of Health Personnel;*Hospitals, Psychiatric;Humans;Internship and Residency;Surveys and Questionnaires;Time Factors</t>
  </si>
  <si>
    <t>J2: Br J Addict Alcohol Other Drugs; Ferneau, E Gertler, R; ID: 1589</t>
  </si>
  <si>
    <t>0007-0890</t>
  </si>
  <si>
    <t>http://ovidsp.ovid.com/ovidweb.cgi?T=JS&amp;CSC=Y&amp;NEWS=N&amp;PAGE=fulltext&amp;D=med1&amp;AN=5289920</t>
  </si>
  <si>
    <t>MEDLINE; Ovid Technologies; Attitudes regarding alcoholism: effect of the first year of the psychiatry residency</t>
  </si>
  <si>
    <t>Feroni,I.;Aubisson,S.;Bouhnik,A. D.;Paraponaris,A.;Masut,A.;Coudert,C.;Obadia,Y.</t>
  </si>
  <si>
    <t>Collaboration between general practitioners and pharmacists in the management of patients on high-dosage buprenorphine treatment. Prescribers' practices]</t>
  </si>
  <si>
    <t>Adult;Analgesics, Opioid/ad Administration &amp; Dosage];Analgesics, Opioid/ae Adverse Effects];*Analgesics, Opioid/tu Therapeutic Use];Buprenorphine/ad Administration &amp; Dosage];Buprenorphine/ae Adverse Effects];*Buprenorphine/tu Therapeutic Use];Female;France;Health Care Surveys;Humans;Male;Middle Aged;Opioid-Related Disorders/pc Prevention &amp; Control];*Pharmacists;*Physicians, Family;*Referral and Consultation/sn Statistics &amp; Numerical Data];Regression Analysis;0 (Analgesics, Opioid);40D3SCR4GZ (Buprenorphine)</t>
  </si>
  <si>
    <t>OBJECTIVES: This paper examines the collaboration between general practitioners (GPs) and pharmacists in the outpatient management of patients on high-dosage buprenorphine (HDB) treatment. METHODS: A telephone survey of a sample of HDB prescribers in southeastern France questioned them about their knowledge, practices, and opinions about HDB treatment in October 2002; data from the national health insurance fund and the national statistics institute completed the study. Logistic regression was used to investigate factors associated with collaboration with pharmacists. GPs' practices were compared to assess their correlation, if any, with this collaboration. RESULTS: 345 GPs participated in the study. Only 54% reported collaborating with dispensing pharmacists in managing patients on HDB, despite official guidelines encouraging it. Collaboration was independently related to training in addiction treatment, a favorable opinion of maintenance treatment by GPs, long experience in HDB prescription, and participation in a specialized medical network. CONCLUSION: Implementation of recommendations on physician-pharmacist collaboration requires additional training in addiction medicine for GPs and the encouragement of their participation in medical networks. On the other hand, increasing the constraints on GPs may negatively affect patients' access to care.</t>
  </si>
  <si>
    <t>J2: Presse Med; French Feroni, I Aubisson, S Bouhnik, A-D Paraponaris, A Masut, A Coudert, C Obadia, Y; OP: Collaboration entre medecins et pharmaciens pour le suivi des patients sous buprenorphine haut dosage; ID: 851</t>
  </si>
  <si>
    <t>0755-4982</t>
  </si>
  <si>
    <t>Feroni, I. Inserm U 379, Marseille. feroni@marseille.inserm.fr</t>
  </si>
  <si>
    <t>http://ovidsp.ovid.com/ovidweb.cgi?T=JS&amp;CSC=Y&amp;NEWS=N&amp;PAGE=fulltext&amp;D=med5&amp;AN=16230961</t>
  </si>
  <si>
    <t>MEDLINE; Ovid Technologies; [Collaboration between general practitioners and pharmacists in the management of patients on high-dosage buprenorphine treatment. Prescribers' practices]</t>
  </si>
  <si>
    <t>Feroni,I.;Peretti-Watel,P.;Masut,A.;Coudert,C.;Paraponaris,A.;Obadia,Y.</t>
  </si>
  <si>
    <t>French general practitioners' prescribing high-dosage buprenorphine maintenance treatment: is the existing training (good) enough?</t>
  </si>
  <si>
    <t>Adult;Attitude of Health Personnel;*Buprenorphine/ad Administration &amp; Dosage];Drug Prescriptions/st Standards];*Education, Medical, Continuing/st Standards];*Family Practice/ed Education];Female;France;Health Care Surveys;Humans;Male;Middle Aged;*Opioid-Related Disorders/rh Rehabilitation];Physicians, Family/px Psychology];Practice Guidelines as Topic;Receptors, Opioid, mu/ag Agonists];Substance Withdrawal Syndrome/dt Drug Therapy];Surveys and Questionnaires;0 (Receptors, Opioid, mu);40D3SCR4GZ (Buprenorphine)</t>
  </si>
  <si>
    <t>In France, since 1996, any general practitioner (GP) can prescribe high-dosage buprenorphine maintenance treatment (BMT) for opioid-dependent patients. The health authorities initially provided mandatory specific training, but since 1998, such training is only delivered by specialized networks and the pharmaceutical industry. Among a random sample of GPs from southeastern France (N=345), we found that many untrained GPs, as well as a significant minority of trained GPs, were likely to prescribe an ineffective dosage of buprenorphine or a potentially dangerous treatment (BMT+a short half-life benzodiazepine). These results highlight the necessity to edit clear guidelines, especially concerning situations of polyaddiction and psychiatric comorbidity, and to extend and improve BMT training in France with a renewed involvement of health authorities for quality control of such training. They even suggest that GPs' participation to specialized training sessions should become a mandatory prerequisite for prescribing BMT.</t>
  </si>
  <si>
    <t>J2: Addict Behav; Feroni, Isabelle Peretti-Watel, Patrick Masut, Alain Coudert, Christine Paraponaris, Alain Obadia, Yolande; ID: 879</t>
  </si>
  <si>
    <t>Feroni, Isabelle. Institut National de la Recherche Medicale, U 379, 23 Rue Stanislas Torrents, 13006 Marseilles, France.</t>
  </si>
  <si>
    <t>http://ovidsp.ovid.com/ovidweb.cgi?T=JS&amp;CSC=Y&amp;NEWS=N&amp;PAGE=fulltext&amp;D=med5&amp;AN=15561460</t>
  </si>
  <si>
    <t>MEDLINE; Ovid Technologies; French general practitioners' prescribing high-dosage buprenorphine maintenance treatment: is the existing training (good) enough?</t>
  </si>
  <si>
    <t>Ferrell,B. R.;McCaffery,M.;Rhiner,M.</t>
  </si>
  <si>
    <t>Pain and addiction: an urgent need for change in nursing education</t>
  </si>
  <si>
    <t>*Attitude of Health Personnel;*Education, Nursing/st Standards];Humans;*Narcotics/ae Adverse Effects];Nursing Education Research;*Pain/dt Drug Therapy];Pain/nu Nursing];*Substance-Related Disorders/pc Prevention &amp; Control];Textbooks as Topic/st Standards];0 (Narcotics)</t>
  </si>
  <si>
    <t>Lack of education of health care professionals, including nurses, is frequently cited as a major reason for undertreatment of patients with pain. A reason for undertreatment of pain with opioid analgesics is the irrational fear of creating opioid addiction. To characterize the information nurses receive in their basic education that could contribute to misinformation about this issue, the authors reviewed 14 nursing textbooks, published since 1985, including 8 pharmacology texts and 6 medical surgical texts. An analysis of content revealed that only one textbook correctly stated the definition of opioid addiction and its likelihood following use of opioid analgesics for pain control. Almost all of the texts used confusing terminology, and some erroneously promoted the fear of addiction when opioids are used for pain relief. A simple solution to this problem is to encourage nursing educators to use the American Pain Society publication "Guidelines for Analgesic Use" until textbooks have the opportunity to incorporate correct information. References: 37]</t>
  </si>
  <si>
    <t>J2: J Pain Symptom Manage; Ferrell, B R McCaffery, M Rhiner, M Comment in: J Pain Symptom Manage. 1992 Nov;7(8):439-40; PMID: 1287104; ID: 1288</t>
  </si>
  <si>
    <t>http://ovidsp.ovid.com/ovidweb.cgi?T=JS&amp;CSC=Y&amp;NEWS=N&amp;PAGE=fulltext&amp;D=med3&amp;AN=1573285</t>
  </si>
  <si>
    <t>MEDLINE; Ovid Technologies; Pain and addiction: an urgent need for change in nursing education</t>
  </si>
  <si>
    <t>Ferrero,F.;Castanos,C.;Duran,P.;Blengini,M. T.;Grupo de Estudio del Tabaquismo en la,Residencia de</t>
  </si>
  <si>
    <t>Prevalence of tobacco use among pediatric residents in Argentina]</t>
  </si>
  <si>
    <t>Pan American Journal of Public Health</t>
  </si>
  <si>
    <t>Adult;Argentina/ep Epidemiology];Cross-Sectional Studies;Female;Humans;*Internship and Residency/sn Statistics &amp; Numerical Data];Male;Pediatrics/ed Education];Pediatrics/sn Statistics &amp; Numerical Data];Prevalence;Risk Factors;*Tobacco Use Disorder/ep Epidemiology]</t>
  </si>
  <si>
    <t>OBJECTIVES: To determine the prevalence of smoking among pediatric residents in Argentina, to evaluate the risk factors associated with that habit, and to analyze the attitudes of these professionals with regard to tobacco use by their patients. METHODS: A cross-sectional study was conducted using anonymous self-administered questionnaire surveys. The surveys were used in May 2002 with pediatric residents in eight hospitals in five provinces of Argentina: Buenos Aires, Cordoba, La Plata, Mendoza, and Neuquen. The study variables were: sex, age, the year of residence, the number of times per week on night duty, if the resident's mother or father smoked, the age at which began to smoke, the place and the hospital activities in which most often smoked, if the immediate supervisor was a smoker, if had increased tobacco use after becoming a resident, attitude toward tobacco use by patients and their parents, and knowledge concerning the risks of smoking. We calculated the frequencies of the studied variables and the odds ratios (ORs) and their 95% confidence intervals (CIs). Multiple logistic regression was used in a model with all the possible predictive variables. The level of significance was P &lt; 0.05. RESULTS: A total of 349 responses were obtained (98.8% of the residents present at the time of the survey). The prevalence of smokers among the surveyed pediatric residents was 22.2%. Among the smokers, 38.9% of them said they smoked more since becoming a resident, and 63.9% of them said that night duty was the hospital activity in which they most often smoked. After adjusting for the other variables, the remaining risk factors for smoking were having a mother who smoked (OR: 2.7; 95% CI: 1.57 to 4.84) and living alone (OR: 3.15; 95% CI: 1.58 to 6.26). Out of all the residents (both smokers and nonsmokers), only 26.5% of them said that they explained to their patients the risks of tobacco use, and only 23.2% of them suggested quitting smoking or not beginning; there were no statistically significant differences between the smoker residents and the nonsmoker residents. CONCLUSIONS: The prevalence of smoking among the pediatric residents is high and is close to the level found in other Argentine physicians. The factors associated with smoking were having a mother who smoked and living alone. The residents should take a more active role with patients or relatives of patients who smoke. Activities need to be put into place that improve the level of training on this subject in medical school and during residency.</t>
  </si>
  <si>
    <t>J2: Rev Panam Salud Publica; Spanish Ferrero, Fernando Castanos, Claudio Duran, Pablo Blengini, Maria Teresa Grupo de Estudio del Tabaquismo en la Residencia de Pediatria; OP: Prevalencia del consumo de tabaco en medicos residentes de pediatria en Argentina; ID: 894</t>
  </si>
  <si>
    <t>1020-4989</t>
  </si>
  <si>
    <t>Ferrero, Fernando. Comite de Neumologia, Sociedad Argentina de Pediatria, Buenos Aires, Argentina. fferrero@intramed.net</t>
  </si>
  <si>
    <t>http://ovidsp.ovid.com/ovidweb.cgi?T=JS&amp;CSC=Y&amp;NEWS=N&amp;PAGE=fulltext&amp;D=med5&amp;AN=15272986</t>
  </si>
  <si>
    <t>MEDLINE; Ovid Technologies; [Prevalence of tobacco use among pediatric residents in Argentina]</t>
  </si>
  <si>
    <t>Ferron,J. C.;Brunette,M. F.;He,X.;Xie,H.;McHugo,G. J.;Drake,R. E.</t>
  </si>
  <si>
    <t>Course of smoking and quit attempts among clients with co-occurring severe mental illness and substance use disorders</t>
  </si>
  <si>
    <t>Adolescent;Adult;Comorbidity;Female;Humans;Interviews as Topic;Male;*Mental Disorders;Middle Aged;New Hampshire/ep Epidemiology];*Severity of Illness Index;Smoking/ep Epidemiology];*Smoking Cessation/px Psychology];Smoking Cessation/sn Statistics &amp; Numerical Data];*Substance-Related Disorders;Young Adult</t>
  </si>
  <si>
    <t>OBJECTIVE: Approximately three-quarters of people with severe mental illnesses smoke cigarettes, and the rate is even higher among those with co-occurring substance use disorders. This longitudinal study explored patterns of cigarette use and cessation attempts among mental health clients with co-occurring disorders. METHODS: Clients participating in a longitudinal study of co-occurring disorders (N=174) were assessed yearly over 11 years for smoking and smoking cessation behaviors, psychiatric symptoms, and other substance use, as well as social, occupational, and other characteristics. Generalized linear mixed-effects models were used to examine smoking cessation outcomes. RESULTS: Eighty-nine percent of participants were current smokers at baseline. Seventy-five percent of participants tried to quit at least once over the 11 years of the study, although none received nicotine replacement therapy or bupropion. Only 17% were not smoking at the 11-year follow-up. The presence of a chronic general medical condition predicted a longer duration of not smoking in the past year. Being male and having a high school education or higher were associated with more attempts to quit smoking, as were higher scores on the activation subscale of the Brief Psychiatric Rating Scale, more social contact with non-substance-using friends, and more daily activities. CONCLUSIONS: Although many clients with co-occurring serious mental illness and substance use disorders tried to quit each year, few achieved sustained abstinence and none used evidence-based interventions (nicotine replacement therapy or bupropion). Treatment providers need to administer evidence-based interventions to help people quit successfully.</t>
  </si>
  <si>
    <t>J2: Psychiatr Serv; Ferron, Joelle C Brunette, Mary F He, Xiaofei Xie, Haiyi McHugo, Gregory J Drake, Robert E; ID: 512</t>
  </si>
  <si>
    <t>Ferron, Joelle C. Department of Community and Family Medicine, Dartmouth College, Lebanon, NH 03766, USA. joelle.ferron@dartmouth.edu</t>
  </si>
  <si>
    <t>http://ovidsp.ovid.com/ovidweb.cgi?T=JS&amp;CSC=Y&amp;NEWS=N&amp;PAGE=fulltext&amp;D=med7&amp;AN=21459985</t>
  </si>
  <si>
    <t>https://dx.doi.org/10.1176/ps.62.4.pss6204_0353</t>
  </si>
  <si>
    <t>MEDLINE; Ovid Technologies; Course of smoking and quit attempts among clients with co-occurring severe mental illness and substance use disorders</t>
  </si>
  <si>
    <t>Ferry,L. H.;Grissino,L. M.;Runfola,P. S.</t>
  </si>
  <si>
    <t>Tobacco dependence curricula in US undergraduate medical education</t>
  </si>
  <si>
    <t>*Curriculum;Data Collection;*Education, Medical, Undergraduate;Humans;Patient Education as Topic;Schools, Medical;Smoking Cessation;Tobacco Use Disorder/pc Prevention &amp; Control];*Tobacco Use Disorder;United States</t>
  </si>
  <si>
    <t>CONTEXT: Tobacco use is the leading preventable cause of death in the United States. And yet only 21% of practicing physicians claim they received adequate training to help their patients stop smoking. OBJECTIVE: To assess the content and extent of tobacco education and intervention skills in US medical schools' curricula. DESIGN: A survey with 13 multiple-response items on tobacco education. Survey questions were based on the recommendations of the Agency for Health Care Policy and Research and the National Cancer Institute Expert Panel. The Liaison Committee on Medical Education included 4 of these items in a modified form on the 1997 annual questionnaire. SETTING: One hundred twenty-six US medical schools. PARTICIPANTS: Surveys were obtained from 122 associate deans for medical education (98.6%). MAIN OUTCOME MEASURES: Curriculum content in basic science and clinical science, elective or required clinical experience, hours of instruction, and resource materials. RESULTS: Inclusion of all 6 tobacco curricula content areas recommended by the National Cancer Institute and the Agency for Health Care Policy and Research was higher in basic science (63/115 54.8%]) than in clinical science (5/115 4.4%]). Most medical schools (83/120 69.2%]) did not require clinical training in smoking cessation techniques, while 23.5% (27/115) offered additional experience as an elective course. Thirty-one percent (32/102) of schools averaged less than 1 hour of instruction per year in smoking cessation techniques during the 4 years of medical school. A minority of schools reported 3 or more hours of clinical smoking cessation instruction in the third (14.7%) and fourth (4.9%) years. CONCLUSIONS: A majority of US medical school graduates are not adequately trained to treat nicotine dependence. The major deficit is the lack of smoking cessation instruction and evaluation in the clinical years. A model core tobacco curricula that meets national recommendations should be developed and implemented in all US medical schools.</t>
  </si>
  <si>
    <t>J2: Jama; Ferry, L H Grissino, L M Runfola, P S Comment in: JAMA. 2000 Mar 15;283(11):1426-7; PMID: 10732931; ID: 1061</t>
  </si>
  <si>
    <t>Ferry, L H. Department of Preventive Medicine, Loma Linda University School of Medicine, Calif 92350, USA. lferry@sph.llu.edu</t>
  </si>
  <si>
    <t>http://ovidsp.ovid.com/ovidweb.cgi?T=JS&amp;CSC=Y&amp;NEWS=N&amp;PAGE=fulltext&amp;D=med4&amp;AN=10478687</t>
  </si>
  <si>
    <t>MEDLINE; Ovid Technologies; Tobacco dependence curricula in US undergraduate medical education</t>
  </si>
  <si>
    <t>Feussner,J. R.</t>
  </si>
  <si>
    <t>Consequences of Public Intoxication: Once Was Enough!</t>
  </si>
  <si>
    <t>Alcoholic Intoxication/co Complications];*Alcoholic Intoxication/di Diagnosis];Animals;Birds;Emergency Service, Hospital;Fractures, Bone/co Complications];*Fractures, Bone/dg Diagnostic Imaging];Humans;Internship and Residency</t>
  </si>
  <si>
    <t>J2: Am J Med Sci; Feussner, John R S0002-9629(16)30377-9; ID: 39</t>
  </si>
  <si>
    <t>1538-2990</t>
  </si>
  <si>
    <t>Feussner, John R. Department of Medicine, Medical University of South Carolina, Charleston, South Carolina. Electronic address: feussner@musc.edu.</t>
  </si>
  <si>
    <t>http://ovidsp.ovid.com/ovidweb.cgi?T=JS&amp;CSC=Y&amp;NEWS=N&amp;PAGE=fulltext&amp;D=medl&amp;AN=27650244</t>
  </si>
  <si>
    <t>https://dx.doi.org/10.1016/j.amjms.2016.07.004</t>
  </si>
  <si>
    <t>MEDLINE; Ovid Technologies; Consequences of Public Intoxication: Once Was Enough!</t>
  </si>
  <si>
    <t>Fiellin,D. A.;Butler,R.;D'Onofrio,G.;Brown,R. L.;O'Connor,P. G.</t>
  </si>
  <si>
    <t>The physician's role in caring for patients with substance use disorders: implications for medical education and training</t>
  </si>
  <si>
    <t>Alcoholism/co Complications];*Alcoholism/di Diagnosis];Alcoholism/ep Epidemiology];*Alcoholism/rh Rehabilitation];Clinical Competence;Cooperative Behavior;Cross-Sectional Studies;Curriculum;*Education, Medical;Faculty, Medical;Humans;Interdisciplinary Communication;Mass Screening;*Physician's Role;Referral and Consultation;Substance-Related Disorders/co Complications];*Substance-Related Disorders/di Diagnosis];Substance-Related Disorders/ep Epidemiology];*Substance-Related Disorders/rh Rehabilitation];United States</t>
  </si>
  <si>
    <t>J2: Subst Abus; Fiellin, David A Butler, Richard D'Onofrio, Gail Brown, Richard L O'Connor, Patrick G; ID: 366</t>
  </si>
  <si>
    <t>Fiellin, David A. Department of Internal Medicine, Yale University School of Medicine, New Haven, CT, USA.</t>
  </si>
  <si>
    <t>http://ovidsp.ovid.com/ovidweb.cgi?T=JS&amp;CSC=Y&amp;NEWS=N&amp;PAGE=fulltext&amp;D=med4&amp;AN=23580996</t>
  </si>
  <si>
    <t>MEDLINE; Ovid Technologies; The physician's role in caring for patients with substance use disorders: implications for medical education and training</t>
  </si>
  <si>
    <t>Fiellin,D. A.;O'Connor,P. G.</t>
  </si>
  <si>
    <t>New federal initiatives to enhance the medical treatment of opioid dependence</t>
  </si>
  <si>
    <t>Ambulatory Care;Drug Prescriptions;Education, Medical, Continuing;*Government Programs;Humans;*Legislation, Drug;Narcotics/ag Agonists];*Opioid-Related Disorders/th Therapy];Research;United States;United States Food and Drug Administration;0 (Narcotics)</t>
  </si>
  <si>
    <t>Opioid dependence is a chronic relapsing medical condition with substantial health and societal complications. Recent federal initiatives are designed to enhance the medical treatment of patients with opioid dependence and will expand the role of internists in the care of these patients. These initiatives include a process for federal exemptions to allow for pharmacologic treatment in office settings, waivers for the use of new medications, and new rules governing the oversight and distribution of opioid agonist medications for maintenance treatment. This perspective describes these initiatives and their implications for internists.</t>
  </si>
  <si>
    <t>J2: Ann Intern Med; Fiellin, David A O'Connor, Patrick G; ID: 963</t>
  </si>
  <si>
    <t>Fiellin, David A. Yale University School of Medicine, 333 Cedar Street, PO Box 208025, New Haven, CT 06520-8025, USA. david.fiellin@yale.edu</t>
  </si>
  <si>
    <t>http://ovidsp.ovid.com/ovidweb.cgi?T=JS&amp;CSC=Y&amp;NEWS=N&amp;PAGE=fulltext&amp;D=med4&amp;AN=12379070</t>
  </si>
  <si>
    <t>MEDLINE; Ovid Technologies; New federal initiatives to enhance the medical treatment of opioid dependence</t>
  </si>
  <si>
    <t>Finch,J. W.;McEwen,S.</t>
  </si>
  <si>
    <t>Educating medical practitioners about safe opioid prescribing: training from the Governor's Institute on Substance Abuse</t>
  </si>
  <si>
    <t>Analgesics, Opioid/ae Adverse Effects];*Analgesics, Opioid/tu Therapeutic Use];*Education, Medical, Continuing;Humans;North Carolina;Practice Patterns, Physicians';Public-Private Sector Partnerships;0 (Analgesics, Opioid)</t>
  </si>
  <si>
    <t>J2: N C Med J; Finch, James W McEwen, Sara; ID: 337</t>
  </si>
  <si>
    <t>Finch, James W. Governor's Institute on Substance Abuse, Raleigh, North Carolina, USA. jwfinch@nc.rr.com</t>
  </si>
  <si>
    <t>http://ovidsp.ovid.com/ovidweb.cgi?T=JS&amp;CSC=Y&amp;NEWS=N&amp;PAGE=fulltext&amp;D=med7&amp;AN=23940896</t>
  </si>
  <si>
    <t>MEDLINE; Ovid Technologies; Educating medical practitioners about safe opioid prescribing: training from the Governor's Institute on Substance Abuse</t>
  </si>
  <si>
    <t>Fine,E.</t>
  </si>
  <si>
    <t>Professional training on alcoholism. Workshop 2: stated course in alcoholism vs. other methods incorporating alcoholism into the curriculum</t>
  </si>
  <si>
    <t>*Alcoholism;Attitude of Health Personnel;*Curriculum;*Education, Medical;Faculty, Medical;Health Education;Humans;Medical History Taking;Methods;Speech;*Teaching;Time Factors;Voluntary Health Agencies</t>
  </si>
  <si>
    <t>J2: Ann N Y Acad Sci; Fine, E; ID: 1593</t>
  </si>
  <si>
    <t>http://ovidsp.ovid.com/ovidweb.cgi?T=JS&amp;CSC=Y&amp;NEWS=N&amp;PAGE=fulltext&amp;D=med1&amp;AN=5282661</t>
  </si>
  <si>
    <t>MEDLINE; Ovid Technologies; Professional training on alcoholism. Workshop 2: stated course in alcoholism vs. other methods incorporating alcoholism into the curriculum</t>
  </si>
  <si>
    <t>Finkelstein,R.;Netherland,J.;Sylla,L.;Gourevitch,M. N.;Cajina,A.;Cheever,L.;Collaborative,Bhives</t>
  </si>
  <si>
    <t>Policy implications of integrating buprenorphine/naloxone treatment and HIV care</t>
  </si>
  <si>
    <t>Journal of Acquired Immune Deficiency Syndromes: JAIDS</t>
  </si>
  <si>
    <t>56 Suppl 1</t>
  </si>
  <si>
    <t>S98</t>
  </si>
  <si>
    <t>S104</t>
  </si>
  <si>
    <t>*Buprenorphine/tu Therapeutic Use];Buprenorphine, Naloxone Drug Combination;*Delivery of Health Care, Integrated/og Organization &amp; Administration];*HIV Infections/dt Drug Therapy];*Health Policy;Humans;*Naloxone/tu Therapeutic Use];*Narcotic Antagonists/tu Therapeutic Use];*Opiate Substitution Treatment;United States;0 (Buprenorphine, Naloxone Drug Combination);0 (Narcotic Antagonists);36B82AMQ7N (Naloxone);40D3SCR4GZ (Buprenorphine)</t>
  </si>
  <si>
    <t>Researchers, practitioners, and policymakers have long recognized the potential benefits of providing integrated substance abuse and medical care services, particularly for special populations such as people living with HIV/AIDS. Buprenorphine, an office-based pharmacological treatment for opioid dependence, offers new opportunities for integrating drug treatment into HIV care settings. However, the historical separation between the drug treatment and medical care systems has resulted in a host of policy barriers. The Buprenorphine and HIV Care Evaluation and Support initiative, a multisite demonstration project to assess the feasibility and effectiveness of integrating buprenorphine/naloxone into HIV care settings, provided an opportunity to evaluate if and how policy barriers affect efforts to integrate HIV care and addiction treatment. We found that financing issues, workforce and training issues, and the operational consequences of some conceptual differences between HIV care and addiction treatment are barriers to the full integration of buprenorphine into HIV care. We recommend changes to financing and reimbursement policies, programs to strengthen the addiction treatment skills of physicians, and cross training between the fields of addiction, medicine, drug treatment, and HIV medicine. By addressing some of the policy barriers to integration, this promising new treatment can help the thousands of people living with HIV/AIDS who are also opioid dependent.</t>
  </si>
  <si>
    <t>J2: J Acquir Immune Defic Syndr; Finkelstein, Ruth Netherland, Julie Sylla, Laurie Gourevitch, Marc N Cajina, Adan Cheever, Laura BHIVES Collaborative; ID: 541</t>
  </si>
  <si>
    <t>1944-7884</t>
  </si>
  <si>
    <t>Finkelstein, Ruth. The New York Academy of Medicine, Division of Health Policy, New York, NY 10029, USA. rfinkelstein@nyam.org</t>
  </si>
  <si>
    <t>http://ovidsp.ovid.com/ovidweb.cgi?T=JS&amp;CSC=Y&amp;NEWS=N&amp;PAGE=fulltext&amp;D=med7&amp;AN=21317602</t>
  </si>
  <si>
    <t>https://dx.doi.org/10.1097/QAI.0b013e31820a9a97</t>
  </si>
  <si>
    <t>MEDLINE; Ovid Technologies; Policy implications of integrating buprenorphine/naloxone treatment and HIV care</t>
  </si>
  <si>
    <t>Finney,J. W.;Willenbring,M. L.;Moos,R. H.</t>
  </si>
  <si>
    <t>Improving the quality of VA care for patients with substance-use disorders: the Quality Enhancement Research Initiative (QUERI) substance abuse module</t>
  </si>
  <si>
    <t>I105</t>
  </si>
  <si>
    <t>Benchmarking/og Organization &amp; Administration];Comorbidity;Cost of Illness;Documentation/mt Methods];Documentation/st Standards];Health Services Accessibility/st Standards];*Health Services Research/og Organization &amp; Administration];Humans;Outcome and Process Assessment (Health Care)/og Organization &amp; Administration];Practice Guidelines as Topic;Quality of Life;Risk Factors;Substance-Related Disorders/co Complications];Substance-Related Disorders/ec Economics];Substance-Related Disorders/ep Epidemiology];Substance-Related Disorders/px Psychology];*Substance-Related Disorders/th Therapy];*Total Quality Management/og Organization &amp; Administration];United States/ep Epidemiology];*United States Department of Veterans Affairs/og Organization &amp; Administration]</t>
  </si>
  <si>
    <t>Substance-use disorders are costly in both human and economic terms and are highly prevalent among patients in the VA Health Care System. The Quality Enhancement Research Initiative (QUERI) Substance Abuse Module (SAM) seeks to enhance identification and management of patients with substance-use disorders seen in primary care and other medical settings; bolster specialized substance-abuse treatment practices; improve care for patients with multiple comorbidities; and strengthen treatment for high-risk and underserved substance-abuse patient subgroups. This article describes how the SAM will achieve these aims by following the QUERI process steps and conducting an integrated set of research projects that incorporates literature reviews and meta-analyses, naturalistic and randomized controlled trials of promising treatments, studies of barriers to guideline implementation, and outcome-oriented evaluations of the implementation of practice guidelines. References: 11]</t>
  </si>
  <si>
    <t>J2: Med Care; Finney, J W Willenbring, M L Moos, R H; ID: 1037</t>
  </si>
  <si>
    <t>Finney, J W. Center for Health Care Evaluation, Veterans Affairs Palo Alto Health Care System, Menlo Park, California, USA. jfinney@odd.stanford.edu</t>
  </si>
  <si>
    <t>http://ovidsp.ovid.com/ovidweb.cgi?T=JS&amp;CSC=Y&amp;NEWS=N&amp;PAGE=fulltext&amp;D=med4&amp;AN=10843275</t>
  </si>
  <si>
    <t>MEDLINE; Ovid Technologies; Improving the quality of VA care for patients with substance-use disorders: the Quality Enhancement Research Initiative (QUERI) substance abuse module</t>
  </si>
  <si>
    <t>Fiore,M. C.;Epps,R. P.;Manley,M. W.</t>
  </si>
  <si>
    <t>A missed opportunity. Teaching medical students to help their patients successfully quit smoking</t>
  </si>
  <si>
    <t>Curriculum;*Education, Medical, Undergraduate;National Institutes of Health (U.S.);Practice Patterns, Physicians';*Smoking;*Smoking Cessation;Smoking Prevention;Students, Medical;United States</t>
  </si>
  <si>
    <t>J2: Jama; Fiore, M C Epps, R P Manley, M W Comment in: JAMA. 1994 Sep 7;272(9):659-60; PMID: 8064978; ID: 1239</t>
  </si>
  <si>
    <t>Fiore, M C. Center for Tobacco Research and Intervention, University of Wisconsin Medical School, Madison 53606.</t>
  </si>
  <si>
    <t>http://ovidsp.ovid.com/ovidweb.cgi?T=JS&amp;CSC=Y&amp;NEWS=N&amp;PAGE=fulltext&amp;D=med3&amp;AN=8301797</t>
  </si>
  <si>
    <t>MEDLINE; Ovid Technologies; A missed opportunity. Teaching medical students to help their patients successfully quit smoking</t>
  </si>
  <si>
    <t>Firth-Cozens,J.</t>
  </si>
  <si>
    <t>Doctors with difficulties: why so few women?</t>
  </si>
  <si>
    <t>*Clinical Competence/st Standards];Communication;Emotions;Female;Humans;Mental Health;Personality;Physician Impairment/sn Statistics &amp; Numerical Data];*Physician Impairment;*Physicians, Women/st Standards];Physicians, Women/sn Statistics &amp; Numerical Data];Psychometrics;Referral and Consultation;Sex Distribution;Trust</t>
  </si>
  <si>
    <t>The National Clinical Assessment Service (NCAS), an NHS organisation that assesses doctors and dentists referred to them because of perceived difficulties, has produced a report describing data arising from its first 4 years, showing that male doctors were referred to the service considerably more often than female doctors. Despite women accounting for 42% of the general practitioner medical workforce and 37% of the medical hospital and community (H&amp;C) workforce in 2004, only 13% of GPs and 20% of H&amp;C NCAS referrals were women. When the H&amp;C data were split into specialties, women were under-represented proportionally in all specialties. This paper offers a review of possible reasons for these gender differences and in doing so contributes to the debates concerning problems in performance and also the costs of employing a growing proportion of women doctors. Firstly, it hypothesises that the NCAS data may be non-representative of similar agency data, but finds that in disciplinary organisations of various types around the world, men are consistently over-represented. Secondly, it suggests that perhaps men are referred to such agencies more often than women because their employers are more lenient on women. There is no evidence for this, and it requires primary research to investigate it further. Finally, it considers gender differences in the attributes, beyond technical skills, that underpin a good doctor-patient relationship and finds that, on these attributes, women usually excel over men. In addition, far fewer women are disciplined for addiction. The implications of this for education and rehabilitation are considered. It concludes that any analysis of the economic costs of employing a greater proportion of female doctors must take into account the higher costs of men's litigation, discipline and retraining.</t>
  </si>
  <si>
    <t>J2: Postgrad Med J; Firth-Cozens, J; ID: 668</t>
  </si>
  <si>
    <t>1469-0756</t>
  </si>
  <si>
    <t>Firth-Cozens, J. London Deanery, Stewart House, 32 Russell Square, London WC1B 5DN, UK. jfirth-cozens@londondeanery.ac.uk</t>
  </si>
  <si>
    <t>http://ovidsp.ovid.com/ovidweb.cgi?T=JS&amp;CSC=Y&amp;NEWS=N&amp;PAGE=fulltext&amp;D=med6&amp;AN=18644923</t>
  </si>
  <si>
    <t>https://dx.doi.org/10.1136/pgmj.2008.068478</t>
  </si>
  <si>
    <t>MEDLINE; Ovid Technologies; Doctors with difficulties: why so few women?</t>
  </si>
  <si>
    <t>Fishbain,D. A.;Cutler,R. B.;Cole,B.;Lewis,J.;Rosomoff,R. S.;Rosomoff,H. L.</t>
  </si>
  <si>
    <t>Medico-legal rounds: medico-legal issues and alleged breaches of "standards of medical care" in opioid rotation to methadone: a case report</t>
  </si>
  <si>
    <t>Adult;*Analgesics, Opioid/ae Adverse Effects];Analgesics, Opioid/tu Therapeutic Use];Autopsy;Chronic Disease;Decision Making;Expert Testimony;Florida;Humans;Male;Malpractice/lj Legislation &amp; Jurisprudence];*Medication Errors/lj Legislation &amp; Jurisprudence];*Methadone/ae Adverse Effects];Methadone/tu Therapeutic Use];*Opioid-Related Disorders;Oxycodone/ae Adverse Effects];Oxycodone/tu Therapeutic Use];*Pain/dt Drug Therapy];*Pain Clinics/st Standards];Psychiatry;*Quality of Health Care/lj Legislation &amp; Jurisprudence];*Quality of Health Care/st Standards];0 (Analgesics, Opioid);CD35PMG570 (Oxycodone);UC6VBE7V1Z (Methadone)</t>
  </si>
  <si>
    <t>OBJECTIVES: The objectives of this medico-legal case report were the following: 1) To present an example of a medico-legal problem that developed as a result of a decision to rotate a chronic pain patient (CPP) to methadone in order to taper the CPP from oxycodone; 2) To present both the plaintiff's and defendant's expert witnesses' opinions as to if and where the care of that patient fell below the "standard of medical care;" and 3) Based on these opinions, to develop some recommendations on how, in the future, pain medicine physicians and other physicians should proceed, in order to avoid allegations of breach of "standards of care" when using methadone. METHODS: This is a case report of a CPP treated at a regional hospital pain clinic. Methadone rotation was used in order to taper the CPP from oxycodone because of addictive disease. RESULTS: During the rotation process, the CPP expired. This had medico-legal consequences. Expert witnesses differed as to whether methadone caused the death. CONCLUSION: Pain physicians should proceed with caution in using methadone for opioid rotation.</t>
  </si>
  <si>
    <t>J2: Pain Med; Fishbain, David A Cutler, R B Cole, Brandly Lewis, John Rosomoff, R Steele Rosomoff, H L Comment in: Pain Med. 2004 Mar;5(1):109-10; PMID: 14996244 Comment in: Pain Med. 2003 Jun;4(2):202-5; PMID: 12873270; ID: 933</t>
  </si>
  <si>
    <t>1526-2375</t>
  </si>
  <si>
    <t>Fishbain, David A. Department of Psychiatry, University of Miami School of Medicine, Florida, USA. d.fishbain@miami.edu</t>
  </si>
  <si>
    <t>http://ovidsp.ovid.com/ovidweb.cgi?T=JS&amp;CSC=Y&amp;NEWS=N&amp;PAGE=fulltext&amp;D=med4&amp;AN=12873269</t>
  </si>
  <si>
    <t>MEDLINE; Ovid Technologies; Medico-legal rounds: medico-legal issues and alleged breaches of "standards of medical care" in opioid rotation to methadone: a case report</t>
  </si>
  <si>
    <t>Fisher,J. C.;Keeley,K. A.;Mason,R. L.;Fisher,J. V.</t>
  </si>
  <si>
    <t>Physicians and alcoholics. Factors affecting attitudes of family-practice residents toward alcoholics</t>
  </si>
  <si>
    <t>Alcoholism/et Etiology];*Alcoholism;*Attitude of Health Personnel;Diabetes Mellitus;*Family Practice;Humans;Internal-External Control;*Internship and Residency;Religion and Medicine;Semantic Differential;Social Behavior Disorders/et Etiology];United States</t>
  </si>
  <si>
    <t>Family-practice residents rated alcoholics as weaker, sicker and more hopeless and aimless than average persons on an adjective semantic differential, and diabetics as sicker than average persons. The implications for the diagnosis and treatment of alcoholism are discussed.</t>
  </si>
  <si>
    <t>J2: J; Fisher, J C Keeley, K A Mason, R L Fisher, J V; ID: 1552</t>
  </si>
  <si>
    <t>http://ovidsp.ovid.com/ovidweb.cgi?T=JS&amp;CSC=Y&amp;NEWS=N&amp;PAGE=fulltext&amp;D=med1&amp;AN=239284</t>
  </si>
  <si>
    <t>MEDLINE; Ovid Technologies; Physicians and alcoholics. Factors affecting attitudes of family-practice residents toward alcoholics</t>
  </si>
  <si>
    <t>Fisher,J. C.;Mason,R. L.;Keeley,K. A.;Fisher,J. V.</t>
  </si>
  <si>
    <t>Physicians and alcoholics. The effect of medical training on attitudes toward alcoholics</t>
  </si>
  <si>
    <t>Alcoholism/et Etiology];*Alcoholism;*Attitude of Health Personnel;Frustration;Humans;Internship and Residency;Motivation;Prognosis;Semantic Differential;Social Perception;*Students, Medical;Surveys and Questionnaires</t>
  </si>
  <si>
    <t>The over-all ratings assigned by first- and second-year medical students and housestaff (residents and interns) to alcoholics on a 16-adjectivee bipolar semantic differential measure differed significantly. Mean ratings by the housestaff were lowest and the ratings by the second-year students were lower than those of the first-year students on 5 of the 6 adjective pairs on which the groups differed significantly.</t>
  </si>
  <si>
    <t>J2: J; Fisher, J C Mason, R L Keeley, K A Fisher, J V; ID: 1551</t>
  </si>
  <si>
    <t>http://ovidsp.ovid.com/ovidweb.cgi?T=JS&amp;CSC=Y&amp;NEWS=N&amp;PAGE=fulltext&amp;D=med1&amp;AN=240074</t>
  </si>
  <si>
    <t>MEDLINE; Ovid Technologies; Physicians and alcoholics. The effect of medical training on attitudes toward alcoholics</t>
  </si>
  <si>
    <t>Fisher,J. V.;Fisher,J. C.;Mason,R. L.</t>
  </si>
  <si>
    <t>Physicians and alcoholics. Modifying behavior and attitudes of family-practice residents</t>
  </si>
  <si>
    <t>Alcoholism/di Diagnosis];Alcoholism/th Therapy];*Alcoholism;*Attitude of Health Personnel;Curriculum;Educational Measurement;*Family Practice/ed Education];Humans;*Internship and Residency</t>
  </si>
  <si>
    <t>On completion of an alcoholism education course, family-practice residents exhibited significant cognitive and affective learning as evidenced by increases in factual knowledge about alcoholism and improved attitudes toward alcoholic patients. Diagnostic patterns were also improved.</t>
  </si>
  <si>
    <t>J2: J; Fisher, J V Fisher, J C Mason, R L; ID: 1535</t>
  </si>
  <si>
    <t>http://ovidsp.ovid.com/ovidweb.cgi?T=JS&amp;CSC=Y&amp;NEWS=N&amp;PAGE=fulltext&amp;D=med1&amp;AN=1003983</t>
  </si>
  <si>
    <t>MEDLINE; Ovid Technologies; Physicians and alcoholics. Modifying behavior and attitudes of family-practice residents</t>
  </si>
  <si>
    <t>Fitzgibbons,S.</t>
  </si>
  <si>
    <t>Reducing opioid abuse and diversion.Erratum appears in JAMA. 2011 Oct 5;306(13):1446]</t>
  </si>
  <si>
    <t>381; author reply 382</t>
  </si>
  <si>
    <t>*Education, Medical;Humans;*Opioid-Related Disorders/pc Prevention &amp; Control];*Opioid-Related Disorders/px Psychology];*Physician-Patient Relations;Primary Health Care</t>
  </si>
  <si>
    <t>J2: Jama; Fitzgibbons, Stella Comment on: JAMA. 2011 Apr 6;305(13):1346-7; PMID: 21467287; ID: 516</t>
  </si>
  <si>
    <t>http://ovidsp.ovid.com/ovidweb.cgi?T=JS&amp;CSC=Y&amp;NEWS=N&amp;PAGE=fulltext&amp;D=med7&amp;AN=21791684</t>
  </si>
  <si>
    <t>https://dx.doi.org/10.1001/jama.2011.1040</t>
  </si>
  <si>
    <t>MEDLINE; Ovid Technologies; Reducing opioid abuse and diversion.[Erratum appears in JAMA. 2011 Oct 5;306(13):1446]</t>
  </si>
  <si>
    <t>Flaherty,J. A.;Richman,J. A.</t>
  </si>
  <si>
    <t>Substance use and addiction among medical students, residents, and physicians</t>
  </si>
  <si>
    <t>Alcoholism/ep Epidemiology];Female;Humans;*Internship and Residency/sn Statistics &amp; Numerical Data];Male;Physician Impairment/sn Statistics &amp; Numerical Data];*Physicians/sn Statistics &amp; Numerical Data];Prevalence;Risk Factors;*Students, Medical/sn Statistics &amp; Numerical Data];*Substance-Related Disorders/ep Epidemiology];United States/ep Epidemiology]</t>
  </si>
  <si>
    <t>When turning to our original questions, we offer the following tentative conclusions: 1. Although medical students as a group have a slightly higher percentage of use of alcohol, the pattern and prevalence of alcohol dependence is very consistent with their age mates in the general population. 2. There appears to be a pattern of increased alcohol problems with age among physicians and attorneys, as opposed to the general US population, which shows a diminution of alcohol-related problems over time. 3. There is no evidence for a marked increase in drug addiction and use of other prescription drugs among physicians. In fact, with the exception of tranquilizers and alcohol and psychedelics, which were used equally by physicians, medical students, residents, and their age mates, most other drug usage was slightly more prevalent in the general population than among students and residents. 4. Of particular concern is the finding of a lack of gender differences in problematic drinking with the pattern of female drinking rates for women approximating that of men by the end of medical school. 5. The most consistent predictive factor in alcoholism among physicians is the same as that in the general population: a family history of alcoholism. 6. Additional predictive factors of physician alcohol-related problems include a narcissistic type personality style that endorses the exploitation of others, a perception of low parental warmth in childhood, and particular stressors in the working or student environment such as being abused by others. Further predictive factors related to occupational stress await the results of ongoing perspective studies. 7. Physicians as a group probably respond more favorably to alcohol and drug addiction programs than do members of the general population. To a great extent, this is directly or indirectly due to the dire consequences of continued use, which include loss of hospital privileges and state licensure. It also would appear that required treatment and monitoring for alcohol and substance abuse has a positive effect on abstinence rates. References: 29]</t>
  </si>
  <si>
    <t>J2: Psychiatr Clin North Am; Flaherty, J A Richman, J A; ID: 1259</t>
  </si>
  <si>
    <t>Flaherty, J A. Department of Psychiatry, University of Illinois, College of Medicine, Chicago.</t>
  </si>
  <si>
    <t>http://ovidsp.ovid.com/ovidweb.cgi?T=JS&amp;CSC=Y&amp;NEWS=N&amp;PAGE=fulltext&amp;D=med3&amp;AN=8456044</t>
  </si>
  <si>
    <t>MEDLINE; Ovid Technologies; Substance use and addiction among medical students, residents, and physicians</t>
  </si>
  <si>
    <t>Fleming,M.;Barry,K.;Davis,A.;Kropp,S.;Kahn,R.;Rivo,M.</t>
  </si>
  <si>
    <t>Medical education about substance abuse: changes in curriculum and faculty between 1976 and 1992</t>
  </si>
  <si>
    <t>*Curriculum;Data Collection;*Education, Medical;Faculty, Medical/sn Statistics &amp; Numerical Data];Family Practice/ed Education];Humans;Infant, Newborn;Internship and Residency/sn Statistics &amp; Numerical Data];Pediatrics/ed Education];Schools, Medical/sn Statistics &amp; Numerical Data];*Substance-Related Disorders;United States</t>
  </si>
  <si>
    <t>PURPOSE: To examine changes in substance abuse education in U.S. medical schools between 1976 and 1992. METHODS: In 1991-92 the authors conducted a 16-year follow-up survey of six clinical departments in each of the 126 U.S. medical schools. Two previous surveys by scholars and surveys conducted by the Liaison Committee on Medical Education, Association of American Medical Colleges, and the National Center for Medical Fellowships in the Addictions provided baseline data for comparison. The statistical methods used in the comparisons were paired t-tests, one-way analyses of variance, and tests of differences between proportions. RESULTS: Significant increases were found in the numbers of required and elective curriculum units for medical students between 1986-87 and 1991-92. The number of medical schools requiring courses in substance abuse treatment increased from five to eight between 1986-87 and 1991-92. For residents, there were significant increases in the numbers of curriculum units for residents in family medicine and pediatrics. The average number of faculty in the 116 medical schools that reported units on substance abuse was 4.1. There were 45 fellowships in addiction medicine identified in 1991-92, with a total of 61 fellows in training. CONCLUSION: While the findings confirm positive changes, the amount of curricula time and the number of faculty having expertise in substance abuse education do not compare well with the amounts of time and numbers of faculty involved in clinical problems of similar prevalence, such as cancer and heart disease.</t>
  </si>
  <si>
    <t>J2: Acad Med; Fleming, M Barry, K Davis, A Kropp, S Kahn, R Rivo, M; ID: 1230</t>
  </si>
  <si>
    <t>Fleming, M. Department of Family Medicine, University of Wisconsin Medical School (UWMS), Madison.</t>
  </si>
  <si>
    <t>http://ovidsp.ovid.com/ovidweb.cgi?T=JS&amp;CSC=Y&amp;NEWS=N&amp;PAGE=fulltext&amp;D=med3&amp;AN=8166918</t>
  </si>
  <si>
    <t>MEDLINE; Ovid Technologies; Medical education about substance abuse: changes in curriculum and faculty between 1976 and 1992</t>
  </si>
  <si>
    <t>Fleming,M.;Clark,K.;Davis,A.;Brown,R.;Finch,J.;Henry,R.;Sherwood,R.;Politzer,R.</t>
  </si>
  <si>
    <t>A national model of faculty development in addiction medicine</t>
  </si>
  <si>
    <t>Evaluation Studies as Topic;*Faculty;*Family Practice/ed Education];*Internship and Residency;*Models, Educational;*Substance-Related Disorders;United States</t>
  </si>
  <si>
    <t>Increasing the number of faculty with expertise in addiction medicine is one of the challenges facing the medical community in the 1990s. To meet this challenge, the Society of Teachers of Family Medicine created a faculty development course to increase the expertise of family practice faculty involved in teaching residents. The authors describe the development, implementation, and consequences of the five-day intensive course that was taught to 165 participants at ten sites in 1990. The participants' self-reporting before and three months after the course showed significant increases in the numbers of participants who taught addiction medicine in eight of 11 clinical situations. The authors conclude that the course represents a model of faculty development in addiction medicine that is applicable to other specialties and health professions.</t>
  </si>
  <si>
    <t>J2: Acad Med; Fleming, M Clark, K Davis, A Brown, R Finch, J Henry, R Sherwood, R Politzer, R; ID: 1265</t>
  </si>
  <si>
    <t>Fleming, M. Department of Family Medicine and Practice, University of Wisconsin Medical School (UWMS), Madison 53715.</t>
  </si>
  <si>
    <t>http://ovidsp.ovid.com/ovidweb.cgi?T=JS&amp;CSC=Y&amp;NEWS=N&amp;PAGE=fulltext&amp;D=med3&amp;AN=1388535</t>
  </si>
  <si>
    <t>MEDLINE; Ovid Technologies; A national model of faculty development in addiction medicine</t>
  </si>
  <si>
    <t>Fleming,M. F.;Barry,K. L.;Davis,A.;Kahn,R.;Rivo,M.</t>
  </si>
  <si>
    <t>Faculty development in addiction medicine: project SAEFP, a one-year follow-up study</t>
  </si>
  <si>
    <t>Adult;*Faculty, Medical;*Family Practice/ed Education];Female;Follow-Up Studies;Humans;Internship and Residency;Male;Program Evaluation;*Substance-Related Disorders;*Teaching;Teaching Materials</t>
  </si>
  <si>
    <t>BACKGROUND AND OBJECTIVES: The goal of Project SAEFP (Substance Abuse Education for Family Physicians, pronounced SAFE) was to increase the number of residency teaching faculty with expertise in addiction medicine. This paper reports the results of a 12-month follow-up study conducted to assess changes in residency teaching and clinical practice of 165 residency teaching faculty who participated in this project. METHODS: The Project SAEFP work group conducted a series of 5-day courses in the fall of 1990 at 10 sites around the country. The 165 faculty participants were taught how to use a set of 12 residency teaching modules that focused on clinical areas important to primary care physicians. The follow-up study consisted of a structured telephone interview. The findings were compared to previous interviews conducted before, and 3 months after, faculty participation in the course. RESULTS: The findings suggest long-term increases in the amount of teaching, clinical practice, and consultations conducted by the family medicine faculty who participated in this faculty development project. CONCLUSION: The findings of this study suggest that an intensive 5-day course using learner-centered teaching techniques can have a significant impact on primary care teaching faculty.</t>
  </si>
  <si>
    <t>J2: Fam Med; Fleming, M F Barry, K L Davis, A Kahn, R Rivo, M; ID: 1226</t>
  </si>
  <si>
    <t>Fleming, M F. Department of Family Medicine, University of Wisconsin.</t>
  </si>
  <si>
    <t>http://ovidsp.ovid.com/ovidweb.cgi?T=JS&amp;CSC=Y&amp;NEWS=N&amp;PAGE=fulltext&amp;D=med3&amp;AN=8034139</t>
  </si>
  <si>
    <t>MEDLINE; Ovid Technologies; Faculty development in addiction medicine: project SAEFP, a one-year follow-up study</t>
  </si>
  <si>
    <t>Fleming,M. F.;Manwell,L. B.;Kraus,M.;Isaacson,J. H.;Kahn,R.;Stauffacher,E. A.</t>
  </si>
  <si>
    <t>Who teaches residents about the prevention and treatment of substance use disorders? A national survey</t>
  </si>
  <si>
    <t>Adult;Curriculum;Data Collection;*Faculty, Medical/og Organization &amp; Administration];Faculty, Medical/sn Statistics &amp; Numerical Data];*Family Practice/ed Education];Female;Humans;*Internship and Residency;Male;Middle Aged;Primary Health Care;Program Development;Schools, Medical;*Substance-Related Disorders/pc Prevention &amp; Control];*Substance-Related Disorders/th Therapy];Teaching;United States</t>
  </si>
  <si>
    <t>BACKGROUND: Studies indicate that physicians are poorly prepared to identify and treat tobacco, alcohol, and drug use disorders. Several faculty development programs have been created to increase the number of residency teaching faculty with expertise in this area. There is limited information, however, on those who currently teach residents about these problems and whether there is a need for additional faculty development programs. METHODS: We conducted a 2-stage national survey of faculty who teach residents about substance use problems. First, residency directors from 7 specialties (family medicine, psychiatry, internal medicine, pediatrics, obstetrics and gynecology, emergency medicine, and osteopathy) responded to a mailed questionnaire asking them to identify faculty who teach residents about substance use disorders. Second, those identified were contacted and asked to participate in a telephone interview. RESULTS: Of 1293 faculty identified by the residency directors, 769 participated in a research interview. Most of these teachers were full-time physician faculty, men, white, and based in departments of family medicine or psychiatry. Teaching was primarily conducted in hospitals, general outpatient clinics, and classrooms rather than alcohol and drug treatment programs. Less than 10% of the faculty performed clinical work in alcohol and drug treatment programs, and only 19% were certified addiction specialists. The respondents reported a definite need for additional development programs for themselves and other residency teaching faculty. CONCLUSIONS: We suggest a modest increase in the number of faculty who teach residents about substance abuse disorders, and the creation of additional faculty development programs.</t>
  </si>
  <si>
    <t>J2: J; Fleming, M F Manwell, L B Kraus, M Isaacson, J H Kahn, R Stauffacher, E A; ID: 1058</t>
  </si>
  <si>
    <t>Fleming, M F. University of Wisconisin-Madison Medical School, USA. mfleming@fammed.wisc.edu</t>
  </si>
  <si>
    <t>http://ovidsp.ovid.com/ovidweb.cgi?T=JS&amp;CSC=Y&amp;NEWS=N&amp;PAGE=fulltext&amp;D=med4&amp;AN=10498080</t>
  </si>
  <si>
    <t>MEDLINE; Ovid Technologies; Who teaches residents about the prevention and treatment of substance use disorders? A national survey</t>
  </si>
  <si>
    <t>Flocke,S. A.;Antognoli,E.;Step,M. M.;Marsh,S.;Parran,T.;Mason,M. J.</t>
  </si>
  <si>
    <t>A Teachable Moment Communication Process for smoking cessation talk: description of a group randomized clinician-focused intervention</t>
  </si>
  <si>
    <t>Adolescent;Adult;Aged;Communication;Female;Humans;Male;Middle Aged;Patient Education as Topic/mt Methods];*Physician-Patient Relations;*Physicians, Primary Care/ed Education];*Smoking Cessation/mt Methods];Teaching/mt Methods];Treatment Outcome;Video Recording;Young Adult</t>
  </si>
  <si>
    <t>BACKGROUND: Effective clinician-patient communication about health behavior change is one of the most important and most overlooked strategies to promote health and prevent disease. Existing guidelines for specific health behavior counseling have been created and promulgated, but not successfully adopted in primary care practice. Building on work focused on creating effective clinician strategies for prompting health behavior change in the primary care setting, we developed an intervention intended to enhance clinician communication skills to create and act on teachable moments for smoking cessation. In this manuscript, we describe the development and implementation of the Teachable Moment Communication Process (TMCP) intervention and the baseline characteristics of a group randomized trial designed to evaluate its effectiveness. METHODS/DESIGN: This group randomized trial includes thirty-one community-based primary care clinicians practicing in Northeast Ohio and 840 of their adult patients. Clinicians were randomly assigned to receive either the Teachable Moments Communication Process (TMCP) intervention for smoking cessation, or the delayed intervention. The TMCP intervention consisted of two, 3-hour educational training sessions including didactic presentation, skill demonstration through video examples, skills practices with standardized patients, and feedback from peers and the trainers. For each clinician enrolled, 12 patients were recruited for two time points. Pre- and post-intervention data from the clinicians, patients and audio-recorded clinician-patient interactions were collected. At baseline, the two groups of clinicians and their patients were similar with regard to all demographic and practice characteristics examined. Both physician and patient recruitment goals were met, and retention was 96% and 94% respectively. DISCUSSION: Findings support the feasibility of training clinicians to use the Teachable Moments Communication Process. The next steps are to assess how well clinicians employ these skills within their practices and to assess the effect on patient outcomes. TRIAL REGISTRATION: ClinicalTrials.gov Identifier: NCT01575886.</t>
  </si>
  <si>
    <t>J2: BMC Health Serv Res; Flocke, Susan A Antognoli, Elizabeth Step, Mary M Marsh, Sybil Parran, Theodore Mason, Mary Jane; ID: 374</t>
  </si>
  <si>
    <t>Flocke, Susan A. Department of Family Medicine, Case Western Reserve University, Cleveland, OH, USA. susan.flocke@case.edu</t>
  </si>
  <si>
    <t>http://ovidsp.ovid.com/ovidweb.cgi?T=JS&amp;CSC=Y&amp;NEWS=N&amp;PAGE=fulltext&amp;D=med7&amp;AN=22554310</t>
  </si>
  <si>
    <t>https://dx.doi.org/10.1186/1472-6963-12-109</t>
  </si>
  <si>
    <t>MEDLINE; Ovid Technologies; A Teachable Moment Communication Process for smoking cessation talk: description of a group randomized clinician-focused intervention</t>
  </si>
  <si>
    <t>Flocke,S. A.;Step,M. M.;Antognoli,E.;Lawson,P. J.;Smith,S.;Jackson,B.;Krejci,S.;Parran,T.;Marsh,S.</t>
  </si>
  <si>
    <t>NIHMS641696; A randomized trial to evaluate primary care clinician training to use the Teachable Moment Communication Process for smoking cessation counseling</t>
  </si>
  <si>
    <t>Preventive medicine</t>
  </si>
  <si>
    <t>Prev.Med.</t>
  </si>
  <si>
    <t>Adolescent;Adult;Aged;Counseling/mt Methods];*Education, Medical, Continuing/mt Methods];Female;Health Communication;Humans;Male;Middle Aged;Ohio;*Physician-Patient Relations;Physicians;Primary Health Care;Smoking/px Psychology];*Smoking/th Therapy];*Smoking Cessation/mt Methods];Young Adult</t>
  </si>
  <si>
    <t>OBJECTIVE: To implement and evaluate the impact of a Teachable Moment Communication Process (TMCP) training intervention on clinicians' smoking cessation counseling behaviors in practice. METHOD: Using a group randomized trial, 31 community-based, primary care clinicians in Northeast Ohio received either TMCP training or an attention control (2010-2012). TMCP training consisted of two, three-hour sessions involving didactic instruction, skill practice with standardized patients, and coaching. Clinician performance of TMCP elements was assessed by coding audio-recordings of routine visits with smokers at baseline and post-intervention (n=806). RESULTS: Baseline performance of all TMCP elements was similar in the two groups. After the intervention, TMCP-trained clinicians were more often observed advising patients to quit while linking smoking to the patient's concern (58% vs. 44%, p=0.01), expressing optimism (36% vs. 3%, p&lt;0.001), expressing partnership (40% vs. 12%, p=0.003) and eliciting the patient's readiness to quit (84% vs. 65%, p=0.006) than clinicians in the comparison group. TMCP-trained clinician responses were also better aligned with patients' expressed readiness to quit smoking than comparison group clinicians (p&lt;0.001). CONCLUSION: The intervention significantly changed the content of clinicians' smoking cessation communication in ways consistent with the TMCP model for health behavior change.</t>
  </si>
  <si>
    <t>J2: Prev Med; Flocke, Susan A Step, Mary M Antognoli, Elizabeth Lawson, Peter J Smith, Samantha Jackson, Brigid Krejci, Sue Parran, Theodore Marsh, Sybil S0091-7435(14)00387-9; ID: 213</t>
  </si>
  <si>
    <t>1096-0260</t>
  </si>
  <si>
    <t>Flocke, Susan A. Department of Family Medicine &amp; Community Health, Case Western Reserve University, Cleveland, OH, USA; Department of Epidemiology and Biostatistics, Case Western Reserve University, Cleveland, OH, USA; Case Comprehensive Cancer Center, Cleveland, OH, USA; Prevention Research Center for Healthy Neighborhoods, Case Western Reserve University, Cleveland, OH, USA. Electronic address: susan.flocke@case.edu. Step, Mary M. Department of Family Medicine &amp; Community Health, Case Western Reserve University, Cleveland, OH, USA; Case Comprehensive Cancer Center, Cleveland, OH, USA; Division of Medicine, MetroHealth Medical Center, Cleveland, OH, USA. Antognoli, Elizabeth. Department of Family Medicine &amp; Community Health, Case Western Reserve University, Cleveland, OH, USA. Lawson, Peter J. Department of Family Medicine &amp; Community Health, Case Western Reserve University, Cleveland, OH, USA. Smith, Samantha. Department of Family Medicine &amp; Community Health, Case Western Reserve University, Cleveland, OH, USA. Jackson, Brigid. Department of Family Medicine &amp; Community Health, Case Western Reserve University, Cleveland, OH, USA. Krejci, Sue. Department of Family Medicine &amp; Community Health, Case Western Reserve University, Cleveland, OH, USA. Parran, Theodore. Department of Medicine, Case Western Reserve University, Cleveland, OH, USA. Marsh, Sybil. Department of Family Medicine &amp; Community Health, Case Western Reserve University, Cleveland, OH, USA.</t>
  </si>
  <si>
    <t>http://ovidsp.ovid.com/ovidweb.cgi?T=JS&amp;CSC=Y&amp;NEWS=N&amp;PAGE=fulltext&amp;D=med8&amp;AN=25456811</t>
  </si>
  <si>
    <t>https://dx.doi.org/10.1016/j.ypmed.2014.10.020</t>
  </si>
  <si>
    <t>MEDLINE; Ovid Technologies; A randomized trial to evaluate primary care clinician training to use the Teachable Moment Communication Process for smoking cessation counseling</t>
  </si>
  <si>
    <t>Florek,E.;Piekoszewski,W.</t>
  </si>
  <si>
    <t>Education program about tobacco for medical students</t>
  </si>
  <si>
    <t>Humans;Motivation;*Patient Education as Topic;Poland/ep Epidemiology];*Program Development;*Students, Medical;Tobacco Use Disorder/ep Epidemiology];*Tobacco Use Disorder/pc Prevention &amp; Control]</t>
  </si>
  <si>
    <t>Tobacco smoking is one of the principal causes of morbidity and mortality in the worldwide. By the year 2030, more than four million people per year worldwide will die of tobacco-related cause. No other consumer product is as dangerous as many people. Tobacco causes more deaths than any other dependence-producing substances, e.g. poor diet, alcohol, bacterial infections, poisoning, firearms, and illicit drugs. The morbidity and the mortality associated with tobacco use is caused by several toxic substances (e.g. nicotine, polynuclear aromatic hydrocarbons, aza-arenes, N-nitrosamines, aromatic amines, acrylonitrile, crotonaldehyde, vinyl chloride, formaldehyde, benzene, inorganic compounds). Tobacco smoking is a major independent risk factor for chronic obstructive pulmonary diseases (COPD), cancer (lung, larynx, pharynx, oesophagus, pancreas, kidney, urinary bladder, nasal cavity, uterine cervix), coronary heart disease (CHD) and reproduction. In 2004 42% of Polish man and 23% Polish women smoked. This publication presents a program that has been designed to educate medical students (fourth or fifth year) about tobacco in University of Medical Sciences. There are two parts in total six hours education. Part I is concerned with the epidemiology of smoking, the toxicology of tobacco smoke, the health effects of tobacco use, the process of smoking cessation, the treatment for smokers, and smoking prevention. Part II (workshops) deals with teaching medical students how to motivate patients to stop smoking. The second part consist of: identifying the smoker, taking a smoking history, evaluation of the level of dependence and assessing the smoker's readiness to stop smoking, motivating smokers to change, and preventing relapse. Both parts (theory and practical sessions), are scheduled to take three hours each. References: 11]</t>
  </si>
  <si>
    <t>J2: Przegl Lek; Florek, Ewa Piekoszewski, Wojciech; ID: 824</t>
  </si>
  <si>
    <t>Florek, Ewa. Laboratory of Environmental Research, Department of Toxicology, University of Medical Sciences, Poznan, Poland. eflorek@amp.edu.pl</t>
  </si>
  <si>
    <t>http://ovidsp.ovid.com/ovidweb.cgi?T=JS&amp;CSC=Y&amp;NEWS=N&amp;PAGE=fulltext&amp;D=med5&amp;AN=16521976</t>
  </si>
  <si>
    <t>MEDLINE; Ovid Technologies; Education program about tobacco for medical students</t>
  </si>
  <si>
    <t>Florenzano,R.;Pemjean,A.;Orpinas,P.;Feuerhake,O.;Fuentealba,C.;Valdes,M.;Manzi,J.</t>
  </si>
  <si>
    <t>Teaching of alcoholism in Chilean medical schools: a curriculum survey]</t>
  </si>
  <si>
    <t>Revista medica de Chile</t>
  </si>
  <si>
    <t>Rev.Med.Chil.</t>
  </si>
  <si>
    <t>*Alcoholism;Chile;*Curriculum;*Education, Medical;Humans</t>
  </si>
  <si>
    <t>J2: Rev Med Chil; Spanish Florenzano, R Pemjean, A Orpinas, P Feuerhake, O Fuentealba, C Valdes, M Manzi, J; OP: Ensenanza sobre alcoholismo en las escuelas de medicina Chilenas: una encuesta curricular; ID: 1444</t>
  </si>
  <si>
    <t>0034-9887</t>
  </si>
  <si>
    <t>http://ovidsp.ovid.com/ovidweb.cgi?T=JS&amp;CSC=Y&amp;NEWS=N&amp;PAGE=fulltext&amp;D=med2&amp;AN=3837303</t>
  </si>
  <si>
    <t>MEDLINE; Ovid Technologies; [Teaching of alcoholism in Chilean medical schools: a curriculum survey]</t>
  </si>
  <si>
    <t>Flynn,J. R.</t>
  </si>
  <si>
    <t>Treating the impaired physician: the hospital's role</t>
  </si>
  <si>
    <t>Hospital progress</t>
  </si>
  <si>
    <t>Hosp.Prog.</t>
  </si>
  <si>
    <t>Alcoholism/di Diagnosis];*Alcoholism/th Therapy];Clinical Competence;Health Education;*Hospital Administration;Humans;Medical Staff Privileges/lj Legislation &amp; Jurisprudence];Medical Staff, Hospital/ed Education];*Medical Staff, Hospital/px Psychology];Physicians/px Psychology];Substance-Related Disorders/di Diagnosis];*Substance-Related Disorders/th Therapy];United States</t>
  </si>
  <si>
    <t>Hospitals are partners with physicians in dealing with staff physicians' alcohol and substance abuse. Education and vigilance protect patients and the medical profession alike, and legal sanctions support hospitals' involvement in structured treatment and prevention programs.</t>
  </si>
  <si>
    <t>J2: Hosp Prog; Flynn, J R; ID: 1513</t>
  </si>
  <si>
    <t>0018-5817</t>
  </si>
  <si>
    <t>http://ovidsp.ovid.com/ovidweb.cgi?T=JS&amp;CSC=Y&amp;NEWS=N&amp;PAGE=fulltext&amp;D=med2&amp;AN=10316938</t>
  </si>
  <si>
    <t>MEDLINE; Ovid Technologies; Treating the impaired physician: the hospital's role</t>
  </si>
  <si>
    <t>Folan,P. A.;Juster,H. R.;Lennon,S. E.;Briest,P. J.;Gero,C. B.</t>
  </si>
  <si>
    <t>Improving Tobacco Dependence Treatment Delivery: Medical Student Training and Assessment</t>
  </si>
  <si>
    <t>e9</t>
  </si>
  <si>
    <t>e12</t>
  </si>
  <si>
    <t>Adult;Clinical Competence;*Education, Medical/mt Methods];Educational Measurement;Humans;Smoking/ep Epidemiology];*Smoking Cessation/mt Methods];Smoking Prevention;*Students, Medical;*Tobacco Use Disorder/rh Rehabilitation];United States/ep Epidemiology]</t>
  </si>
  <si>
    <t>Tobacco dependence is a chronic condition, with cigarette smoking considered the leading cause of preventable death, disease, and disability in the U.S. Currently, the U.S. adult smoking rate is 17.8%. National surveys reveal that approximately half of all smokers who have been treated by a healthcare provider in the last 12 months received Public Health Service-recommended guideline-concordant tobacco dependence treatment. Although smoking prevalence has been declining, several disparate groups continue to smoke at rates significantly higher than the national average, including those with low income, low educational attainment, or mental health disorders. To address these disparities and more effectively address tobacco use, provision of guideline-concordant tobacco dependence treatment within the healthcare system must improve. We discuss changes to the medical licensing examination that may result in enhanced tobacco dependence treatment education and skills training for students in medical school.</t>
  </si>
  <si>
    <t>J2: Am J Prev Med; Folan, Patricia A Juster, Harlan R Lennon, Susan E Briest, Patricia J Gero, C Beth S0749-3797(15)00189-0; ID: 190</t>
  </si>
  <si>
    <t>1873-2607</t>
  </si>
  <si>
    <t>Folan, Patricia A. North Shore University Hospital, Manhasset, New York. Electronic address: pfolan@nshs.edu. Juster, Harlan R. New York State Department of Health, Albany, New York. Lennon, Susan E. Center for Tobacco Free Hudson Valley, White Plains, New York. Briest, Patricia J. St. Joseph's Hospital, Syracuse, New York. Gero, C Beth. Canton-Potsdam Hospital, Potsdam, New York.</t>
  </si>
  <si>
    <t>http://ovidsp.ovid.com/ovidweb.cgi?T=JS&amp;CSC=Y&amp;NEWS=N&amp;PAGE=fulltext&amp;D=med8&amp;AN=26091923</t>
  </si>
  <si>
    <t>https://dx.doi.org/10.1016/j.amepre.2015.04.005</t>
  </si>
  <si>
    <t>MEDLINE; Ovid Technologies; Improving Tobacco Dependence Treatment Delivery: Medical Student Training and Assessment</t>
  </si>
  <si>
    <t>Foley,K. L.;George,G.;Crandall,S. J.;Walker,K. H.;Marion,G. S.;Spangler,J. G.</t>
  </si>
  <si>
    <t>NIHMS696172; Training and evaluating tobacco-specific standardized patient instructors</t>
  </si>
  <si>
    <t>*Clinical Competence;*Curriculum;Education, Medical, Undergraduate;*Faculty, Medical/og Organization &amp; Administration];Feedback;Female;Humans;Interprofessional Relations;Male;Patient Education as Topic/og Organization &amp; Administration];Program Development;Program Evaluation;*Smoking Cessation;*Smoking Prevention;Students, Medical</t>
  </si>
  <si>
    <t>BACKGROUND AND OBJECTIVES: A comprehensive training program to develop tobacco-specific standardized patient instructors (SPIs) was implemented and evaluated at Wake Forest University. METHODS: Descriptive statistics were used to assess SPIs' experience with the training program and medical students' perceptions of the SPI-student interaction. Two standardized scales, used to assess student performance on counseling (Tobacco Intervention Risk Factor Interview Scale TIRFIS]) and cultural competency (Tobacco Beliefs Management Scale-Tobacco Cultural Concerns Scale TBMS-TCCS]), were tested for internal and interrater reliability and sensitivity to varied student performance. Costs of the program were measured. RESULTS: SPIs highly rated the content, organization, and presenters of the training program. Medical students positively evaluated their experience with the SPIs. The TIRFIS and TBMS-TCCS subscales demonstrated good internal reliability, and inconsistencies in ratings by different SPIs were minimal. In addition, a range of scores on both measures attest to the sensitivity of the instruments to assess variations in student performance. Significant start-up costs are associated with developing this training program, although costs decline when SPIs are retained long term. CONCLUSIONS: The SPI training program was effective in developing a cohort of knowledgeable and reliable SPIs to train medical students in ways to improve their tobacco intervention counseling skills. Retaining SPIs long term should be a primary goal of implementing a cost-effective, successful training program.</t>
  </si>
  <si>
    <t>J2: Fam Med; Foley, Kristie Long George, Geeta Crandall, Sonia J Walker, Kathy H Marion, Gail S Spangler, John G; ID: 828</t>
  </si>
  <si>
    <t>Foley, Kristie Long. Department of Public Health Sciences, Wake Forest University, USA. kfoley@wfubmc.edu</t>
  </si>
  <si>
    <t>http://ovidsp.ovid.com/ovidweb.cgi?T=JS&amp;CSC=Y&amp;NEWS=N&amp;PAGE=fulltext&amp;D=med5&amp;AN=16378256</t>
  </si>
  <si>
    <t>MEDLINE; Ovid Technologies; Training and evaluating tobacco-specific standardized patient instructors</t>
  </si>
  <si>
    <t>Foley,M. E.;Garland,E.;Stimmel,B.;Merino,R.</t>
  </si>
  <si>
    <t>Innovative Clinical Addiction Research Training Track in Preventive Medicine</t>
  </si>
  <si>
    <t>Medical education related to identification, diagnosis and management of alcohol and other drug problems receives inadequate attention in the undergraduate curriculum and during residency training. This article describes the design, implementation, and evaluation of a new track in Clinical Addiction Research Training (CART) in a General Preventive Medicine (GPM) residency program. CART is comprised of a new course in Addiction Medicine, new practicum sites in addiction medicine research and treatment, and a CART-designated resident. An Advisory Group of educators, researchers, scholars, and administrators in addiction medicine, has provided guidance and support for this new track. Evaluation of the CART track suggested improvements in residents' knowledge and attitudes. Residents engaged in high caliber clinical addiction research projects. The development of the CART track within the GPM residency is an approach that can be integrated into other specialties, such as internal medicine, family practice, and adolescent medicine, to develop residents' interest and expertise in the addictive behaviors.</t>
  </si>
  <si>
    <t>J2: Subst Abus; Foley, Mary E. Garland, Elizabeth Stimmel, Barry Merino, Rolando; ID: 1710</t>
  </si>
  <si>
    <t>Foley, Mary E.. Department of Community and Preventive Medicine.</t>
  </si>
  <si>
    <t>http://ovidsp.ovid.com/ovidweb.cgi?T=JS&amp;CSC=Y&amp;NEWS=N&amp;PAGE=fulltext&amp;D=medp&amp;AN=12466651</t>
  </si>
  <si>
    <t>MEDLINE; Ovid Technologies; Innovative Clinical Addiction Research Training Track in Preventive Medicine</t>
  </si>
  <si>
    <t>Fong,T. W.</t>
  </si>
  <si>
    <t>Understanding and managing compulsive sexual behaviors</t>
  </si>
  <si>
    <t>Psychiatry</t>
  </si>
  <si>
    <t>Compulsive sexual behavior, otherwise known as sexual addiction, is an emerging psychiatric disorder that has significant medical and psychiatric consequences. Until recently, very little empirical data existed to explain the biological, psychological, and social risk factors that contribute to this condition. In addition, clinical issues, such as the natural course and best practices on treating sexual addictions, have not been formalized. Despite this absence, the number of patients and communities requesting assistance with this problem remains significant. This article will review the clinical features of compulsive sexual behavior and will summarize the current evidence for psychological and pharmacological treatment.</t>
  </si>
  <si>
    <t>J2: Psychiatry (Edgmont); Fong, Timothy W; ID: 523</t>
  </si>
  <si>
    <t>1550-5952</t>
  </si>
  <si>
    <t>Fong, Timothy W. Dr. Fong is Assistant Clinical Professor of Psychiatry Director, UCLA Impulse Control Disorders Clinic, Semel Institute for Neuroscience and Human Behavior at UCLA, David Geffen School of Medicine, Los Angeles, California.</t>
  </si>
  <si>
    <t>http://ovidsp.ovid.com/ovidweb.cgi?T=JS&amp;CSC=Y&amp;NEWS=N&amp;PAGE=fulltext&amp;D=prem&amp;AN=20877518</t>
  </si>
  <si>
    <t>MEDLINE; Ovid Technologies; Understanding and managing compulsive sexual behaviors</t>
  </si>
  <si>
    <t>Ford,J. H., 2;Oliver,K. A.;Giles,M.;Cates-Wessel,K.;Krahn,D.;Levin,F. R.;Psychiatry,M. O. C. A.</t>
  </si>
  <si>
    <t>Maintenance of certification: How performance in practice changes improve tobacco cessation in addiction psychiatrists' practice</t>
  </si>
  <si>
    <t>*Certification;Clinical Competence;*Education, Medical, Continuing;Female;Humans;Male;Middle Aged;*Psychiatry/ed Education];*Quality Improvement;Specialty Boards;*Tobacco Use Cessation;United States</t>
  </si>
  <si>
    <t>BACKGROUND AND OBJECTIVES: In 2000, the American Board of Medical Specialties implemented the Maintenance of Certification (MOC), a structured process to help physicians identify and implement a quality improvement project to improve patient care. This study reports on findings from an MOC Performance in Practice (PIP) module designed and evaluated by addiction psychiatrists who are members of the American Academy of Addiction Psychiatry (AAAP). METHOD: A 3-phase process was utilized to recruit AAAP members to participate in the study. The current study utilized data from 154 self-selected AAAP members who evaluated the effectiveness of the MOC Tobacco Cessation PIP. RESULTS: Of the physicians participating, 76% (n=120) completed the Tobacco PIP. A paired t-test analysis revealed that reported changes in clinical measure documentation were significant across all six measures. Targeted improvement efforts focused on a single clinical measure. Results found that simple change projects designed to improve clinical practice led to substantial changes in self-reported chart documentation for the selected measure. CONCLUSIONS: The current findings suggest that addiction psychiatrists can leverage the MOC process to improve clinical care. SCIENTIFIC SIGNIFICANCE: The study demonstrates that a quality improvement collaborative can support an MOC process to help addiction psychiatrists eliminate barriers to access to tobacco cessation treatment. (Am J Addict 2017;26:34-41).</t>
  </si>
  <si>
    <t>J2: Am J Addict; Ford, James H 2nd Oliver, Karen A Giles, Miriam Cates-Wessel, Kathryn Krahn, Dean Levin, Frances R MOC Addiction Psychiatry; ID: 45</t>
  </si>
  <si>
    <t>Ford, James H 2nd. University of Wisconsin-Madison, Madison, Wisconsin. Oliver, Karen A. American Academy of Addiction Psychiatry, Providence, Rhode Island. Giles, Miriam. American Academy of Addiction Psychiatry, Providence, Rhode Island. Cates-Wessel, Kathryn. American Academy of Addiction Psychiatry, Providence, Rhode Island. Krahn, Dean. University of Wisconsin School of Medicine and Public Health, Madison, Wisconsin. Krahn, Dean. Department of Veteran Affairs, VAMC - Madison, Madison, Wisconsin. Levin, Frances R. Columbia University, New York, New York. Levin, Frances R. New York State Psychiatric Institute, New York, New York.</t>
  </si>
  <si>
    <t>http://ovidsp.ovid.com/ovidweb.cgi?T=JS&amp;CSC=Y&amp;NEWS=N&amp;PAGE=fulltext&amp;D=medl&amp;AN=27973746</t>
  </si>
  <si>
    <t>https://dx.doi.org/10.1111/ajad.12480</t>
  </si>
  <si>
    <t>MEDLINE; Ovid Technologies; Maintenance of certification: How performance in practice changes improve tobacco cessation in addiction psychiatrists' practice</t>
  </si>
  <si>
    <t>Frances,R.</t>
  </si>
  <si>
    <t>Help Wanted: Medical Educators in Addiction Psychiatry</t>
  </si>
  <si>
    <t>J2: Acad Psychiatry; Frances, Richard; ID: 1624</t>
  </si>
  <si>
    <t>Frances, Richard. New York University Medical School, New York, NY, USA. rfrancesmd@gmail.com. Frances, Richard. Rutgers Medical School, Newark, NJ, USA. rfrancesmd@gmail.com.</t>
  </si>
  <si>
    <t>http://ovidsp.ovid.com/ovidweb.cgi?T=JS&amp;CSC=Y&amp;NEWS=N&amp;PAGE=fulltext&amp;D=prem&amp;AN=29423826</t>
  </si>
  <si>
    <t>https://dx.doi.org/10.1007/s40596-018-0888-4</t>
  </si>
  <si>
    <t>MEDLINE; Ovid Technologies; Help Wanted: Medical Educators in Addiction Psychiatry</t>
  </si>
  <si>
    <t>Franke,J.</t>
  </si>
  <si>
    <t>Stress burnout and addiction</t>
  </si>
  <si>
    <t>Texas medicine</t>
  </si>
  <si>
    <t>Tex.Med.</t>
  </si>
  <si>
    <t>Burnout, Professional/pc Prevention &amp; Control];*Burnout, Professional/px Psychology];Burnout, Professional/rh Rehabilitation];Education, Medical, Continuing;Financial Support;Hotlines;Humans;*Physician Impairment;Societies, Medical;Substance-Related Disorders/pc Prevention &amp; Control];*Substance-Related Disorders/px Psychology];Substance-Related Disorders/rh Rehabilitation];Texas</t>
  </si>
  <si>
    <t>J2: Tex Med; Franke, J Comment in: Tex Med. 1999 Jun;95(6):9; PMID: 10370343 Comment on: Ann Neurol. 2001 Jun;49(6):712-20; PMID: 11409422; ID: 1024</t>
  </si>
  <si>
    <t>0040-4470</t>
  </si>
  <si>
    <t>http://ovidsp.ovid.com/ovidweb.cgi?T=JS&amp;CSC=Y&amp;NEWS=N&amp;PAGE=fulltext&amp;D=med4&amp;AN=10932634</t>
  </si>
  <si>
    <t>MEDLINE; Ovid Technologies; Stress burnout and addiction</t>
  </si>
  <si>
    <t>Frankle,R. T.</t>
  </si>
  <si>
    <t>The nutritionist in a drug rehabilitation center: a medical school reaches out</t>
  </si>
  <si>
    <t>Journal of the American Dietetic Association</t>
  </si>
  <si>
    <t>J.Am.Diet.Assoc.</t>
  </si>
  <si>
    <t>Community Health Services;Diet Surveys;Humans;New York City;*Nutritional Physiological Phenomena;Outpatient Clinics, Hospital;Patient Care Team;*Rehabilitation Centers;Schools, Medical;*Substance-Related Disorders/rh Rehabilitation]</t>
  </si>
  <si>
    <t>J2: J Am Diet Assoc; Frankle, R T; ID: 1562</t>
  </si>
  <si>
    <t>http://ovidsp.ovid.com/ovidweb.cgi?T=JS&amp;CSC=Y&amp;NEWS=N&amp;PAGE=fulltext&amp;D=med1&amp;AN=4422644</t>
  </si>
  <si>
    <t>MEDLINE; Ovid Technologies; The nutritionist in a drug rehabilitation center: a medical school reaches out</t>
  </si>
  <si>
    <t>Franks,A. S.;Givens,C. B.;Barger-Stevens,A.</t>
  </si>
  <si>
    <t>Pharmacy residents and students as an adjunct to current smoking cessation education</t>
  </si>
  <si>
    <t>Pharmacy Practice</t>
  </si>
  <si>
    <t>OBJECTIVE: The purpose of this study was to evaluate the impact of individualized tobacco cessation counseling provided by pharmacy residents and students to patients in the inpatient setting at an academic medical center. METHODS: Documented tobacco users were evaluated for study inclusion. The intervention group received counseling specific to their readiness to quit. After discharge, patients in the intervention group received weekly phone calls for additional counseling and data collection. One month after discharge, the standard therapy group received one phone call for data collection. RESULTS: No significant differences were found between groups for demographic variables or number of years smoking. At baseline, the intervention group reported significantly fewer quit attempts and more packs per day than the control group. The odds ratio (OR) for the primary outcome, abstinence, was 1.68 95%CI=0.29:9.748] favoring the intervention group. The OR for patients using outpatient pharmacotherapy was 3.20 95%CI=0.484:21.167] for the intervention group compared to the control group. The percentage of patients using outpatient treatment programs was 5.26% in the control group vs. 0% in the intervention group. CONCLUSIONS: Results showed a trend toward significance for abstinence and increased use of outpatient pharmacotherapy; however, our sample size and study period limit conclusions that may be drawn. Further study is warranted for definitive results.</t>
  </si>
  <si>
    <t>J2: Pharm; Franks, Andrea S Givens, Carrie B Barger-Stevens, Amy; ID: 343</t>
  </si>
  <si>
    <t>1885-642X</t>
  </si>
  <si>
    <t>Franks, Andrea S. Department of Clinical Pharmacy, College of Pharmacy; and Department of Family Medicine, Graduate School of Medicine, University of Tennessee . Knoxville, TN ( United States ).</t>
  </si>
  <si>
    <t>http://ovidsp.ovid.com/ovidweb.cgi?T=JS&amp;CSC=Y&amp;NEWS=N&amp;PAGE=fulltext&amp;D=prem&amp;AN=24155823</t>
  </si>
  <si>
    <t>MEDLINE; Ovid Technologies; Pharmacy residents and students as an adjunct to current smoking cessation education</t>
  </si>
  <si>
    <t>Frates,E. P.;Xiao,R. C.;Sannidhi,D.;McBride,Y.;McCargo,T.;Stern,T. A.</t>
  </si>
  <si>
    <t>A Web-Based Lifestyle Medicine Curriculum: Facilitating Education About Lifestyle Medicine, Behavioral Change, and Health Care Outcomes</t>
  </si>
  <si>
    <t>JMIR medical education</t>
  </si>
  <si>
    <t>e14</t>
  </si>
  <si>
    <t>BACKGROUND: Lifestyle medicine is the science and application of healthy lifestyles as interventions for the prevention and treatment of disease, and has gained significant momentum as a specialty in recent years. College is a critical time for maintenance and acquisition of healthy habits. Longer-term, more intensive web-based and in-person lifestyle medicine interventions can have a positive effect. Students who are exposed to components of lifestyle medicine in their education have improvements in their health behaviors. A semester-long undergraduate course focused on lifestyle medicine can be a useful intervention to help adopt and sustain healthy habits. OBJECTIVE: To describe a novel, evidence based curriculum for a course teaching the concepts of Lifestyle Medicine based on a web-based course offered at the Harvard Extension School. METHODS: The course was delivered in a web-based format. The Lifestyle Medicine course used evidence based principles to guide students toward a "coach approach" to behavior change, increasing their self-efficacy regarding various lifestyle-related preventive behaviors. Students are made to understand the cultural trends and national guidelines that have shaped lifestyle medicine recommendations relating to behaviors. They are encouraged to engage in behavior change. Course topics include physical activity, nutrition, addiction, sleep, stress, and lifestyle coaching and counseling. The course addressed all of the American College of Preventive Medicine/American College of Lifestyle Medicine competencies save for the competency of office systems and technologies to support lifestyle medicine counseling. RESULTS: The course was well-received, earning a ranking of 4.9/5 at the school. CONCLUSIONS: A novel, semester-long course on Lifestyle Medicine at the Harvard Extension School is described. Student evaluations suggest the course was well-received. Further research is needed to evaluate whether such a course empowers students to adopt behavior changes.</t>
  </si>
  <si>
    <t>J2: JMIR Med Educ; Frates, Elizabeth Pegg Xiao, Ryan C Sannidhi, Deepa McBride, Yasamina McCargo, Tracie Stern, Theodore A; ID: 1637</t>
  </si>
  <si>
    <t>2369-3762</t>
  </si>
  <si>
    <t>Frates, Elizabeth Pegg. Department of Physical Medicine and Rehabilitation, Spaulding Rehabilitation Hospital, Charlestown, MA, United States. Frates, Elizabeth Pegg. Harvard Medical School, Harvard University, Boston, MA, United States. Xiao, Ryan C. Harvard Medical School, Harvard University, Boston, MA, United States. Sannidhi, Deepa. Division of Family Medicine, Department of Family and Preventative Medicine, University of California San Diego, La Jolla, CA, United States. McBride, Yasamina. Harvard Extension School, Harvard University, Cambridge, MA, United States. McCargo, Tracie. Harvard Extension School, Harvard University, Cambridge, MA, United States. Stern, Theodore A. Harvard Medical School, Harvard University, Boston, MA, United States. Stern, Theodore A. Massachusetts General Hospital, Boston, MA, United States.</t>
  </si>
  <si>
    <t>http://ovidsp.ovid.com/ovidweb.cgi?T=JS&amp;CSC=Y&amp;NEWS=N&amp;PAGE=fulltext&amp;D=prem&amp;AN=28893726</t>
  </si>
  <si>
    <t>https://dx.doi.org/10.2196/mededu.7587</t>
  </si>
  <si>
    <t>MEDLINE; Ovid Technologies; A Web-Based Lifestyle Medicine Curriculum: Facilitating Education About Lifestyle Medicine, Behavioral Change, and Health Care Outcomes</t>
  </si>
  <si>
    <t>Fried,J. L.;Reid,B. C.;DeVore,L. E.</t>
  </si>
  <si>
    <t>A comparison of health professions student attitudes regarding tobacco curricula and interventionist roles</t>
  </si>
  <si>
    <t>Adult;*Attitude of Health Personnel;*Curriculum;Dental Hygienists/ed Education];Dental Hygienists/sn Statistics &amp; Numerical Data];*Education, Professional/sn Statistics &amp; Numerical Data];Ethics, Professional;Female;Health Knowledge, Attitudes, Practice;Humans;Male;Patient Education as Topic;Physical Therapy Specialty/ed Education];*Professional Role;Smoking/ep Epidemiology];Students, Dental/sn Statistics &amp; Numerical Data];Students, Medical/sn Statistics &amp; Numerical Data];Students, Nursing/sn Statistics &amp; Numerical Data];Students, Pharmacy/sn Statistics &amp; Numerical Data];*Tobacco Use Cessation/mt Methods];*Tobacco Use Disorder/pc Prevention &amp; Control]</t>
  </si>
  <si>
    <t>Health care providers who feel prepared are more apt to assume tobacco interventionist roles; therefore, educational preparation is critical. A nonprobability sample of health professions students at an urban academic health center were asked to respond to a twenty-two-item survey eliciting demographic, behavioral, and tobacco-related attitudinal information. Frequency distributions were assessed with Pearson chi-square statistics. The overall response rate was 76.7 percent, and final sample size was 319. Current use of spit tobacco (ST) was 2.5 percent and current smoking 5.6 percent. In comparing current smokers to nonsmokers and current ST users to nonusers, we found that no differences in proportion agreeing with any of the five questions about attitudes and opinions were statistically significant at p-value 0.05. At least 70 percent of students from each of six health professions programs agreed it was their professional responsibility to help smokers quit, and at least 65 percent agreed to the same responsibility for helping ST users quit. The proportion agreeing that their programs had course content describing their role in helping patients quit tobacco use varied widely by program from 100 percent agreement among dental hygiene and pharmacy students to 14.6 percent of physical therapy students (p-value &lt;0.001). When asked whether their program adequately prepared them to help smokers quit, agreement ranged from 100 percent among dental hygiene students to only 5.5 percent among physical therapy students (p-value &lt;0.001). Almost 90 percent of dental hygiene students agreed that they were adequately trained to help ST users quit, but no other program had a percentage of agreement above 34 percent (p-value &lt;0.001). Consistent and comprehensive multidisciplinary tobacco-related curricula could offer desirable standardization.</t>
  </si>
  <si>
    <t>J2: J Dent Educ; Fried, Jacquelyn L Reid, Britt C DeVore, Linda E; ID: 912</t>
  </si>
  <si>
    <t>0022-0337</t>
  </si>
  <si>
    <t>Fried, Jacquelyn L. Dental Hygiene Program, Department of Health Promotion and Policy, School of Dentistry, University of Maryland, Baltimore 21201, USA. jlf001@dental.umaryland.edu</t>
  </si>
  <si>
    <t>http://ovidsp.ovid.com/ovidweb.cgi?T=JS&amp;CSC=Y&amp;NEWS=N&amp;PAGE=fulltext&amp;D=med5&amp;AN=15038638</t>
  </si>
  <si>
    <t>MEDLINE; Ovid Technologies; A comparison of health professions student attitudes regarding tobacco curricula and interventionist roles</t>
  </si>
  <si>
    <t>Friedli,L.</t>
  </si>
  <si>
    <t>The Politics of Tackling Inequalities: The Rise of Psychological Fundamentalism in Public Health and Welfare Reform</t>
  </si>
  <si>
    <t>Oxford University Press.Wellcome Trust Funded Monographs and Book Chapters Chapter</t>
  </si>
  <si>
    <t>11 26</t>
  </si>
  <si>
    <t>This chapter is concerned with the growing influence of non-material explanations for inequalities and a corresponding emphasis on psychological interventions, which aim to modify cognitive function or emotional disposition/affect (Friedli 2013, 2014). These developments intersect with and are reinforced by the parallel rise in brain science, which correlates a range of outcomes (crime, addiction, health behaviour, educational attainment) with brain structure (Katz 2013; Rose 2013). As a recent editorial in the British Medical Journal observes: In public health, the psychological attributes and dispositions of individuals and communities (the ostensible presence or absence of optimism, aspiration, self-efficacy, conscientiousness, sense of coherence, etc.) are being used to explain patterns of health and health behaviour and to account for the impact of material deprivation, in a twin process of psychologizing and biologizing poverty (Edwards et al 2014). Deprivation is understood less and less in relation to issues of equity, power, and justice and more and more in terms of the impact of the 'environment' on brain function.</t>
  </si>
  <si>
    <t>J2: Oxford University Press; Using Smart Source Parsing 15 11 Friedli, Lynne; ID: 1698</t>
  </si>
  <si>
    <t>http://ovidsp.ovid.com/ovidweb.cgi?T=JS&amp;CSC=Y&amp;NEWS=N&amp;PAGE=fulltext&amp;D=medp&amp;AN=27748106</t>
  </si>
  <si>
    <t>MEDLINE; Ovid Technologies; The Politics of Tackling Inequalities: The Rise of Psychological Fundamentalism in Public Health and Welfare Reform</t>
  </si>
  <si>
    <t>Friedmann,P. D.;Rose,J.;Hayaki,J.;Ramsey,S.;Charuvastra,A.;Dube,C.;Herman,D.;Stein,M. D.</t>
  </si>
  <si>
    <t>Training primary care clinicians in maintenance care for moderated alcohol use</t>
  </si>
  <si>
    <t>*Alcoholism/th Therapy];Cues;*Education, Medical, Continuing;Humans;Medical Records;*Physicians, Family/ed Education];Population Surveillance;Professional Practice;Risk Reduction Behavior;Secondary Prevention</t>
  </si>
  <si>
    <t>OBJECTIVE: To evaluate whether training primary care clinicians in maintenance care for patients who have changed their drinking influences practice behavior. DESIGN: We randomized 15 physician and 3 mid-level clinicians in 2 primary care offices in a 2:1 design. The 12 intervention clinicians received a total of 2 (1/4) hours of training in the maintenance care of alcohol problems in remission, a booster session, study materials and chart-based prompts at eligible patients' visits. Six controls provided usual care. Screening forms in the waiting rooms identified eligible patients, defined as those who endorsed: 1 or more items on the CAGE questionnaire or that they had an alcohol problem in the past; that they have "made a change in their drinking and are trying to keep it that way"; and that they drank &lt;15 (men) or &lt;10 (women) drinks per week in the past month. Exit interviews with patients evaluated the clinician's actions during the visit. RESULTS: Of the 164 patients, 62% saw intervention clinicians. Compared with patients of control clinicians, intervention patients were more likely to report that their clinician asked about their alcohol history (odds ratio, 2.8; 95% confidence interval, 1.3, 5.8). Intervention clinicians who asked about the alcohol history were more likely to assess prior and planned alcohol treatment, assist through offers for prescriptions and treatment referral, and receive higher satisfaction ratings for the visit. CONCLUSIONS: Systemic prompts and training in the maintenance care of alcohol use disorders in remission might increase primary care clinicians' inquiries about the alcohol history as well as appropriate assessment and intervention after an initial inquiry.</t>
  </si>
  <si>
    <t>J2: J Gen Intern Med; Friedmann, Peter D Rose, Jennifer Hayaki, Jumi Ramsey, Susan Charuvastra, Anthony Dube, Catherine Herman, Debra Stein, Michael D; ID: 793</t>
  </si>
  <si>
    <t>Friedmann, Peter D. Program to Integrate Psychosocial and Health Services, Research Service, Providence Veterans Affairs Medical Center, Providence, RI, USA. pfriedmann@lifespan.org</t>
  </si>
  <si>
    <t>http://ovidsp.ovid.com/ovidweb.cgi?T=JS&amp;CSC=Y&amp;NEWS=N&amp;PAGE=fulltext&amp;D=med5&amp;AN=16965560</t>
  </si>
  <si>
    <t>MEDLINE; Ovid Technologies; Training primary care clinicians in maintenance care for moderated alcohol use</t>
  </si>
  <si>
    <t>Friedmann,P. D.;Saitz,R.;Gogineni,A.;Zhang,J. X.;Stein,M. D.</t>
  </si>
  <si>
    <t>Validation of the screening strategy in the NIAAA "Physicians' Guide to Helping Patients with Alcohol Problems"</t>
  </si>
  <si>
    <t>Adolescent;Adult;*Alcoholism/di Diagnosis];Alcoholism/ep Epidemiology];Confidence Intervals;Female;Humans;Male;Middle Aged;National Institutes of Health (U.S.);*Practice Guidelines as Topic;Reproducibility of Results;*Substance Abuse Detection/mt Methods];Substance Abuse Detection/st Standards];Substance Abuse Detection/sn Statistics &amp; Numerical Data];*Surveys and Questionnaires;United States</t>
  </si>
  <si>
    <t>OBJECTIVE: This study was undertaken to determine the diagnostic test characteristics of the alcohol screening strategy recommended in the National Institute on Alcoholism and Alcohol Abuse (NIAAA) "Physicians' Guide to Helping Patients with Alcohol Problems." METHOD: A research interview was performed on patients who presented to one urban emergency department (N = 395; 61% women). It asked three alcohol consumption questions, the CAGE questionnaire, and about past alcohol problems. The NIAAA-recommended screen was considered positive for alcohol consumption in excess of 14 drinks per week or 4 drinks per occasion for men, or 7 drinks per week or 3 drinks per occasion for women, or a CAGE score of 1 or greater. A sample of patients (n = 250) received the Composite International Diagnostic Interview substance abuse module, a gold standard interview, to determine lifetime or prior 12-month alcohol abuse or dependence; results were adjusted for verification bias. RESULTS: The prevalence of lifetime:alcohol abuse or dependence was 13%, for which the NIAAA strategy was 81% sensitive and 80% specific. The prevalence of alcohol abuse or dependence in the prior 12 months was 10%, for which the strategy was 83% sensitive and 84% specific. Its positive likelihood ratio exceeded that of the CAGE, augmented CAGE or consumption questions alone, and its negative likelihood ratio was the lowest. CONCLUSIONS: The screening strategy combining alcohol consumption and CAGE questions recommended in the NIAAA "Physicians' Guide" is valid, and has superior test characteristics compared to the CAGE alone, in this predominantly black (86%) emergency department population. Its brevity and simple interpretation recommend wider dissemination of the NIAAA "Physicians' Guide," although future research should examine its test characteristics in other clinical settings and with other populations.</t>
  </si>
  <si>
    <t>J2: J; Friedmann, P D Saitz, R Gogineni, A Zhang, J X Stein, M D; ID: 1000</t>
  </si>
  <si>
    <t>Friedmann, P D. Division of General Internal Medicine, Rhode Island Hospital, Brown University School of Medicine, Providence 02903, USA. pfriedmann@lifespan.org</t>
  </si>
  <si>
    <t>http://ovidsp.ovid.com/ovidweb.cgi?T=JS&amp;CSC=Y&amp;NEWS=N&amp;PAGE=fulltext&amp;D=med4&amp;AN=11332444</t>
  </si>
  <si>
    <t>MEDLINE; Ovid Technologies; Validation of the screening strategy in the NIAAA "Physicians' Guide to Helping Patients with Alcohol Problems"</t>
  </si>
  <si>
    <t>Frisch,S.</t>
  </si>
  <si>
    <t>The medicine of addiction</t>
  </si>
  <si>
    <t>Accreditation;Alcoholism/di Diagnosis];*Alcoholism/rh Rehabilitation];Career Choice;Fellowships and Scholarships;Humans;Internal Medicine/ed Education];Internship and Residency;Minnesota;*Physician's Role;Specialization;Substance-Related Disorders/co Complications];Substance-Related Disorders/di Diagnosis];*Substance-Related Disorders/rh Rehabilitation]</t>
  </si>
  <si>
    <t>J2: Minn Med; Frisch, Suzy; ID: 349</t>
  </si>
  <si>
    <t>http://ovidsp.ovid.com/ovidweb.cgi?T=JS&amp;CSC=Y&amp;NEWS=N&amp;PAGE=fulltext&amp;D=med7&amp;AN=23930460</t>
  </si>
  <si>
    <t>MEDLINE; Ovid Technologies; The medicine of addiction</t>
  </si>
  <si>
    <t>Frische,J. G.;Pereira,A. D.;Olsen,J.;Poulsen,A. O.;Kirchheiner,J. H.</t>
  </si>
  <si>
    <t>Consumption of alcohol and tobacco during pregnancy by health advisors. An investigation of nurses, nurses' aides, physicians and school teachers]</t>
  </si>
  <si>
    <t>Ugeskrift for laeger</t>
  </si>
  <si>
    <t>Ugeskr.Laeger</t>
  </si>
  <si>
    <t>Adult;Alcohol Drinking/px Psychology];*Alcohol Drinking;Attitude of Health Personnel;Attitude to Health;Denmark/ep Epidemiology];Female;*Health Education;Humans;Nurses/px Psychology];Nurses' Aides/px Psychology];Physicians, Women/px Psychology];Pregnancy/px Psychology];*Pregnancy;*Smoking/ep Epidemiology];Smoking/px Psychology];Teaching/ma Manpower]</t>
  </si>
  <si>
    <t>Health staff and elementary school teachers are key persons in prophylactic activity which is based on personal contact between the advisor and recipient. It is conceivable that their own habits play a part in how prophylactic information is distributed. This investigation describes how groups such as these consume alcohol and tobacco during pregnancy. As part of a local community experiment in which pregnant women in Odense participated in an information campaign from April 1985 to April 1987, information was collected concerning the habits of pregnant women until the 36th week of pregnancy. This information was collected in self-completed questionnaires which were sent anonymously to the Department of Social Medicine in Odense University. 87% out of the 13,815 pregnant women who attended midwives' clinics from April 1984 to April 1987 in Odense and Aalborg were included in the investigation. The following groups were selected for further analysis: nurses (627 women), nursing aides (492 women), doctors (85 women) and school teachers (468 women) and the group of office workers (1,136 women) was employed for comparison. The investigation revealed that school teachers, doctors and nurses had higher average consumption of alcohol during pregnancy than office workers. On the other hand, these groups has fewer episodes with consumption of eight or more drinks on a single occasion. Similarly, elementary school teachers, and the health groups (with the exception of nursing aides) smoked less. This investigation provided no evidence that these selected groups altered their habits on account of the informative campaigns which were directed to all pregnant women in the Odense region.</t>
  </si>
  <si>
    <t>J2: Ugeskr Laeger; Danish Frische, J G Pereira A Da, C Olsen, J Poulsen, A O Kirchheiner, J H; OP: Sundhedsradgiveres brug af alkohol og tobak under graviditeten; ID: 1347</t>
  </si>
  <si>
    <t>0041-5782</t>
  </si>
  <si>
    <t>Frische, J G. Institut for Samfundsmedicin, afdelingen for socialmedicin, Odense.</t>
  </si>
  <si>
    <t>Danish</t>
  </si>
  <si>
    <t>http://ovidsp.ovid.com/ovidweb.cgi?T=JS&amp;CSC=Y&amp;NEWS=N&amp;PAGE=fulltext&amp;D=med3&amp;AN=2399576</t>
  </si>
  <si>
    <t>MEDLINE; Ovid Technologies; [Consumption of alcohol and tobacco during pregnancy by health advisors. An investigation of nurses, nurses' aides, physicians and school teachers]</t>
  </si>
  <si>
    <t>Frith,J.</t>
  </si>
  <si>
    <t>The use of role plays in teaching drug and alcohol management</t>
  </si>
  <si>
    <t>Alcoholism/th Therapy];*Education, Medical;Health Education;Humans;Physician-Patient Relations;*Role Playing;Stress, Psychological;*Substance-Related Disorders/th Therapy];*Teaching</t>
  </si>
  <si>
    <t>This is an evaluation of the use of role plays to teach drug and alcohol assessment and management skills to medical students as part of their general practice training. Role plays of 'real life' scenarios enable students to evaluate their own learning experiences. This method facilitates effective peer discussion of clinical and ethical issues with a high degree of acceptability to both students and teachers.</t>
  </si>
  <si>
    <t>J2: Aust Fam Physician; Frith, J; ID: 1151</t>
  </si>
  <si>
    <t>Frith, J. School of Community Medicine, University of New South Wales.</t>
  </si>
  <si>
    <t>http://ovidsp.ovid.com/ovidweb.cgi?T=JS&amp;CSC=Y&amp;NEWS=N&amp;PAGE=fulltext&amp;D=med4&amp;AN=8857056</t>
  </si>
  <si>
    <t>MEDLINE; Ovid Technologies; The use of role plays in teaching drug and alcohol management</t>
  </si>
  <si>
    <t>Frost-Pineda,K.;VanSusteren,T.;Gold,M. S.</t>
  </si>
  <si>
    <t>Are physicians and medical students prepared to educate patients about alcohol consumption?</t>
  </si>
  <si>
    <t>Alcoholism/di Diagnosis];*Alcoholism/pc Prevention &amp; Control];*Clinical Competence/st Standards];Curriculum;Education, Medical/st Standards];Education, Medical, Continuing/st Standards];Education, Medical, Undergraduate/st Standards];Florida;Health Care Surveys;Humans;Office Visits;*Patient Education as Topic/st Standards];Physicians, Family/ed Education];*Physicians, Family/st Standards];*Primary Health Care/st Standards];Students, Medical</t>
  </si>
  <si>
    <t>Given the tremendous financial and human costs of alcohol abuse and dependence, physician competency in alcohol related issues must be increased. Alcohol competency is essential to evaluate the risks and to detect alcohol problems early in the course of alcohol abuse and dependence. But, are medical students and physicians adequately trained in alcohol-related issue to give appropriate advice about alcohol? Are they trained to use an office visit to promote health, identify early abuse and dependence, intervene, and make recommendations? Several studies suggest that they are not. We have recent data that provide further evidence that future and current physicians may not be sufficiently competent in alcohol issues to counsel their patients about alcohol. Medical school curriculum and Continuing Medical Education on alcohol abuse and addiction should be required of all students and physicians so they can be best prepared to prevent problems and identify and treat those for whom prevention has failed.</t>
  </si>
  <si>
    <t>J2: J Addict Dis; Frost-Pineda, Kimberly VanSusteren, Timothy Gold, Mark S; ID: 904</t>
  </si>
  <si>
    <t>Frost-Pineda, Kimberly. Department of Psychiatry, University of Florida College of Medicine, USA.</t>
  </si>
  <si>
    <t>http://ovidsp.ovid.com/ovidweb.cgi?T=JS&amp;CSC=Y&amp;NEWS=N&amp;PAGE=fulltext&amp;D=med5&amp;AN=15132339</t>
  </si>
  <si>
    <t>MEDLINE; Ovid Technologies; Are physicians and medical students prepared to educate patients about alcohol consumption?</t>
  </si>
  <si>
    <t>Fry,C. L.;Lintzeris,N.</t>
  </si>
  <si>
    <t>Psychometric properties of the Blood-borne Virus Transmission Risk Assessment Questionnaire (BBV-TRAQ)</t>
  </si>
  <si>
    <t>Adolescent;Adult;*Blood-Borne Pathogens;Female;Humans;Male;Middle Aged;Psychometrics;Reproducibility of Results;Risk Assessment/mt Methods];Risk-Taking;Substance Abuse, Intravenous/px Psychology];*Surveys and Questionnaires/st Standards];*Virus Diseases/tm Transmission]</t>
  </si>
  <si>
    <t>AIMS: To develop a standard measure of blood-borne virus transmission risk behaviour, and examine the underlying psychometric properties. DESIGN: The Blood-borne Virus Transmission Risk Assessment Questionnaire (BBV-TRAQ) was developed over three consecutive phases of the original BBV-TRAQ study in adherence to classical scale development procedures, culminating in the recruitment of a development sample of current injecting drug users via convenience and snowball sampling. SETTING: Needle and syringe programmes (NSPs), medical clinics, alcohol/drug agencies, peer-based and outreach organizations across inner and outer metropolitan Melbourne. PARTICIPANTS: Two hundred and nine current injecting drug users. The mean age was 27 years, 68% were male, 65% unemployed, 36% with prison history and 25% in methadone maintenance. MEASUREMENTS: BBV-TRAQ items cover specific injecting, sexual and skin penetration risk practices. BBV-TRAQ characteristics were assessed via measures of internal and test-retest reliability; collateral validation; and principal components analyses. FINDINGS: The BBV-TRAQ has satisfactory psychometric properties. Internal (a=0.87), test-retest (r=0.84) and inter-observer reliability results were high, suggesting that the instrument provides a reliable measure of BBV risk behaviour and is reliable over time and across interviewers. A principal components analysis with varimax rotation produced a parsimonious factor solution despite modest communality, and indicated that three factors (injecting, sex and skin penetration/hygiene risks) are required to describe BBV risk behaviour. CONCLUSIONS: The BBV-TRAQ is reliable and represents the first risk assessment tool to incorporate sufficient coverage of injecting, sex and other skin penetration risk practices to be considered truly content valid. The questionnaire is indicated for use in addictions research, clinical, peer education and BBV risk behaviour surveillance settings.</t>
  </si>
  <si>
    <t>J2: Addiction; Fry, Craig L Lintzeris, Nick; ID: 947</t>
  </si>
  <si>
    <t>Fry, Craig L. Turning Point Alcohol and Drug Centre Inc., 54-62 Gertrude Street, Melbourne, Victoria 3065, Australia. craigf@turningpoint.org.au</t>
  </si>
  <si>
    <t>http://ovidsp.ovid.com/ovidweb.cgi?T=JS&amp;CSC=Y&amp;NEWS=N&amp;PAGE=fulltext&amp;D=med4&amp;AN=12534421</t>
  </si>
  <si>
    <t>MEDLINE; Ovid Technologies; Psychometric properties of the Blood-borne Virus Transmission Risk Assessment Questionnaire (BBV-TRAQ)</t>
  </si>
  <si>
    <t>Fry,R. A.</t>
  </si>
  <si>
    <t>Chemical dependency treatment outcomes of residents</t>
  </si>
  <si>
    <t>1588; author reply 1588</t>
  </si>
  <si>
    <t>*Anesthesiology;Humans;*Internship and Residency;*Substance-Related Disorders/th Therapy];Treatment Outcome</t>
  </si>
  <si>
    <t>J2: Anesth Analg; Fry, R A Comment on: Anesth Analg. 2005 Nov;101(5):1457-62; PMID: 16244010; ID: 796</t>
  </si>
  <si>
    <t>http://ovidsp.ovid.com/ovidweb.cgi?T=JS&amp;CSC=Y&amp;NEWS=N&amp;PAGE=fulltext&amp;D=med5&amp;AN=17122254</t>
  </si>
  <si>
    <t>MEDLINE; Ovid Technologies; Chemical dependency treatment outcomes of residents</t>
  </si>
  <si>
    <t>Fry,R. A.;Fry,L. E.;Weeks,A.</t>
  </si>
  <si>
    <t>Substance use disorder amongst Australian and New Zealand anaesthetic trainees: an analysis of 30 years of data</t>
  </si>
  <si>
    <t>Anaesthesia &amp; Intensive Care</t>
  </si>
  <si>
    <t>Adult;*Anesthesiology/sn Statistics &amp; Numerical Data];Australia/ep Epidemiology];Female;Humans;*Internship and Residency/sn Statistics &amp; Numerical Data];Male;New Zealand/ep Epidemiology];Retrospective Studies;*Substance-Related Disorders/ep Epidemiology]</t>
  </si>
  <si>
    <t>J2: Anaesth Intensive Care; Fry, R A Fry, L E Weeks, A; ID: 233</t>
  </si>
  <si>
    <t>0310-057X</t>
  </si>
  <si>
    <t>Fry, R A. Auckland, New Zealand. Fry, L E. Auckland, New Zealand. Weeks, A. Auckland, New Zealand.</t>
  </si>
  <si>
    <t>http://ovidsp.ovid.com/ovidweb.cgi?T=JS&amp;CSC=Y&amp;NEWS=N&amp;PAGE=fulltext&amp;D=med8&amp;AN=26099770</t>
  </si>
  <si>
    <t>MEDLINE; Ovid Technologies; Substance use disorder amongst Australian and New Zealand anaesthetic trainees: an analysis of 30 years of data</t>
  </si>
  <si>
    <t>Frydman,M.;Lynn,R.</t>
  </si>
  <si>
    <t>Smoking habits: the prevention role of teachers and general practitioners</t>
  </si>
  <si>
    <t>Journal of Environmental Pathology, Toxicology &amp; Oncology</t>
  </si>
  <si>
    <t>Adult;Belgium/ep Epidemiology];Child;Female;Health Promotion;Humans;Male;Middle Aged;*Nicotine;*Physicians, Family;Smoking/ep Epidemiology];*Smoking Prevention;Substance-Related Disorders/ep Epidemiology];*Substance-Related Disorders/pc Prevention &amp; Control];*Teaching;6M3C89ZY6R (Nicotine)</t>
  </si>
  <si>
    <t>Surveys carried out widely in French-speaking Belgium showed that the frequency of nicotine addiction among teachers is not very different from that of other job categories. Among physicians, the number of smokers--although lower than average--is too high, especially among psychiatrists, gynecologists, and, paradoxically, heart specialists. However, young doctors usually do not smoke. The authors argue for a program aimed at making teachers and general practitioners more aware of the problem of smoking. This intervention may lend support to those trying to reach the general public.</t>
  </si>
  <si>
    <t>J2: J Environ Pathol Toxicol Oncol; Frydman, M Lynn, R; ID: 1228</t>
  </si>
  <si>
    <t>0731-8898</t>
  </si>
  <si>
    <t>Frydman, M. Department of Social Psychology, Faculty of Psychopedagogic Sciences, University of Mons Hainaut, Belgium.</t>
  </si>
  <si>
    <t>http://ovidsp.ovid.com/ovidweb.cgi?T=JS&amp;CSC=Y&amp;NEWS=N&amp;PAGE=fulltext&amp;D=med3&amp;AN=8189370</t>
  </si>
  <si>
    <t>MEDLINE; Ovid Technologies; Smoking habits: the prevention role of teachers and general practitioners</t>
  </si>
  <si>
    <t>Fucito,L.;Gomes,B.;Murnion,B.;Haber,P.</t>
  </si>
  <si>
    <t>General practitioners' diagnostic skills and referral practices in managing patients with drug and alcohol-related health problems: implications for medical training and education programmes</t>
  </si>
  <si>
    <t>Adult;Alcoholism/th Therapy];Automobile Driving;*Education, Medical/st Standards];Humans;Middle Aged;*Practice Patterns, Physicians';*Primary Health Care;*Professional Competence;*Referral and Consultation;*Substance-Related Disorders/th Therapy];Surveys and Questionnaires</t>
  </si>
  <si>
    <t>The aim of this study was to determine the current practices of established general practitioners in managing patients with drug and alcohol-related problems and identify gaps in training. A random sample of general practitioners completed a survey assessing diagnostic skills and referral practices concerning alcohol and illicit drug use in general practices in February 1999, comprising 110 general practitioners registered with the Central Sydney Division of General Practice. The main outcome measures were competent skills and knowledge, willingness to treat. The majority (96%) of GPs provided clinically appropriate responses for at least one drug category, although none received this rating for all six. Most general practitioners reported that they were unwilling to treat heroin and cocaine problems themselves but expressed willingness to refer patients appropriately. More than a quarter of general practitioners were unaware of the safe drinking levels for men and women or the appropriate treatment for patients consuming above such levels. Age, years in practice, type of practice, willingness to obtain drug use histories and post-graduate training were all significantly associated with general practitioners' willingness to treat and competence in managing drug and alcohol-related problems. In this study, general practioners reported low levels of skills and referrals for treatment of illicit drug use and suboptimal skills in the management of alcohol problems. The results suggest that a more comprehensive approach to education and training is required to bring about a change in practice behaviour. Fucito LM, Gomes BS, Murnion B, Haber PS. General practitioners' diagnostic skills and referral practices in managing patients with drug and alcohol-related health problems: implications for medical training and education programmes.</t>
  </si>
  <si>
    <t>J2: Drug Alcohol Rev; Fucito, Lisa Gomes, Bruno Murnion, Bridin Haber, Paul; ID: 918</t>
  </si>
  <si>
    <t>Fucito, Lisa. Drug Health Services, Royal Prince Alfred Hospital, Camperdown, NSW, Australia.</t>
  </si>
  <si>
    <t>http://ovidsp.ovid.com/ovidweb.cgi?T=JS&amp;CSC=Y&amp;NEWS=N&amp;PAGE=fulltext&amp;D=med4&amp;AN=14660131</t>
  </si>
  <si>
    <t>MEDLINE; Ovid Technologies; General practitioners' diagnostic skills and referral practices in managing patients with drug and alcohol-related health problems: implications for medical training and education programmes</t>
  </si>
  <si>
    <t>Fukuda,Y.;Hayashi,T.</t>
  </si>
  <si>
    <t>Factors associated with perceived effectiveness of health promotion messages among Japanese adults Focus on socioeconomic status]</t>
  </si>
  <si>
    <t>Nippon Koshu Eisei Zasshi - Japanese Journal of Public Health</t>
  </si>
  <si>
    <t>Adult;Asian Continental Ancestry Group;Communication;Female;*Health Promotion;Humans;Male;Middle Aged;Social Class;Surveys and Questionnaires</t>
  </si>
  <si>
    <t>OBJECTIVES: Responses and receptiveness to messages advocating health promotion are expected to vary according to differences in personal characteristics. To increase communication effectiveness, this study examined the differences in perceptions of the effectiveness of messages among Japanese adults by socioeconomic status and other characteristics. METHODS: A structured questionnaire survey was administered to residents aged 30-59 randomly selected in two cities (Yamaguchi and Iwakuni) of Yamaguchi prefecture. The questionnaire consisted of items on sociodemographic characteristics including sex, age, marital status, education, and household income; the perceived effectiveness of health messages; and other factors. The subjects were shown different messages on several themes (smoking cessation, cancer screening, weight gain) and asked to select those that they considered most effective. The associations between perception and subjects' sociodemographic characteristics were analyzed. RESULTS: A total of 445 subjects responded (response rate, 37.1%). The negative messages (health effects of risk behaviors) were generally perceived as the most effective. Sex, age, marital status, education, and income were significantly associated with the perceived effectiveness of health messages: higher income was significantly associated with secondhand smoke in the case of smoking cessation, lower income was associated with addiction in the case of drinking restraints, lower education and middle income were associated with affection, and lower income was associated with own expense in the case of cancer screening. CONCLUSION: Despite some differences among the health themes, personal characteristics including age, sex, and marital and socioeconomic status were associated with the perceived effectiveness of health messages, and our results suggest that health communication may be made more effective by consideration of the sociodemographic characteristics of target populations and subjects.</t>
  </si>
  <si>
    <t>J2: Nippon Koshu Eisei Zasshi; Japanese Fukuda, Yoshiharu Hayashi, Tatsumi; ID: 162</t>
  </si>
  <si>
    <t>0546-1766</t>
  </si>
  <si>
    <t>Fukuda, Yoshiharu. Department of Community Health and Medicine, Yamaguchi University School of Medicine.</t>
  </si>
  <si>
    <t>Japanese</t>
  </si>
  <si>
    <t>http://ovidsp.ovid.com/ovidweb.cgi?T=JS&amp;CSC=Y&amp;NEWS=N&amp;PAGE=fulltext&amp;D=med8&amp;AN=26310955</t>
  </si>
  <si>
    <t>https://dx.doi.org/10.11236/jph.62.7_347</t>
  </si>
  <si>
    <t>MEDLINE; Ovid Technologies; [Factors associated with perceived effectiveness of health promotion messages among Japanese adults Focus on socioeconomic status]</t>
  </si>
  <si>
    <t>Furlan,P. M.;Laguzzi,S.;Rosa,M.;Barboni,S.;Roagna,G.;Scarso,G.</t>
  </si>
  <si>
    <t>Attitudes, knowledge and methods of assistance used by general practitioners in Novara in treating drug addicts. Study of 100 doctors]</t>
  </si>
  <si>
    <t>Minerva psichiatrica</t>
  </si>
  <si>
    <t>Minerva Psichiatr.</t>
  </si>
  <si>
    <t>Attitude of Health Personnel;Family Practice;Humans;Italy;*Substance-Related Disorders/th Therapy]</t>
  </si>
  <si>
    <t>The study examines the relationship between the general practitioner and the drug addict and aims to evaluate some aspects of the work of the health service, above all with reference to the methods of assistance, attitudes and knowledge relating to the problem of treating drug addicts. A questionnaire was sent to 100 general practitioners in Novara; it consisted of 15 questions relation to the doctor's opinion of the drug addict, the methods and place of intervention, the doctor's judgement regarding his/her own preparation and function, and the frequency of contact with drug addicts. The findings show that the majority of doctors have a positive attitude towards the problem, but that there is also a widespread feeling of impotency, dislike, loneliness, disinformation, and in addiction a feeling of educational inadequacy on the subject.</t>
  </si>
  <si>
    <t>J2: Minerva Psichiatr; Italian Furlan, P M Laguzzi, S Rosa, M Barboni, S Roagna, G Scarso, G; OP: Atteggiamenti, conoscenza e modalitaa assistenziali dei medici di base della cittaa di Novara verso i soggetti tossicodipendenti; ID: 1328</t>
  </si>
  <si>
    <t>0374-9320</t>
  </si>
  <si>
    <t>Furlan, P M. U.S.S.L. n. 34 - Ospedale San Luigi Gonzaga-Orbassano, Universitaa di Torino.</t>
  </si>
  <si>
    <t>Italian</t>
  </si>
  <si>
    <t>http://ovidsp.ovid.com/ovidweb.cgi?T=JS&amp;CSC=Y&amp;NEWS=N&amp;PAGE=fulltext&amp;D=med3&amp;AN=2283947</t>
  </si>
  <si>
    <t>MEDLINE; Ovid Technologies; [Attitudes, knowledge and methods of assistance used by general practitioners in Novara in treating drug addicts. Study of 100 doctors]</t>
  </si>
  <si>
    <t>Fye,W. B.</t>
  </si>
  <si>
    <t>H. Newell Martin--a remarkable career destroyed by neurasthenia and alcoholism</t>
  </si>
  <si>
    <t>*Alcoholism/hi History];Biology/hi History];History, 19th Century;Humans;Male;Maryland;*Neurasthenia/hi History];Schools, Medical/hi History];United States;Universities/hi History]</t>
  </si>
  <si>
    <t>J2: J Hist Med Allied Sci; Fye, W B; ID: 1464</t>
  </si>
  <si>
    <t>http://ovidsp.ovid.com/ovidweb.cgi?T=JS&amp;CSC=Y&amp;NEWS=N&amp;PAGE=fulltext&amp;D=med2&amp;AN=3891838</t>
  </si>
  <si>
    <t>MEDLINE; Ovid Technologies; H. Newell Martin--a remarkable career destroyed by neurasthenia and alcoholism</t>
  </si>
  <si>
    <t>Gabel,L. L.;Pearsol,J. A.</t>
  </si>
  <si>
    <t>The twin epidemics of substance use and HIV: a state-level response using a train-the-trainer model</t>
  </si>
  <si>
    <t>Family practice</t>
  </si>
  <si>
    <t>Fam.Pract.</t>
  </si>
  <si>
    <t>Adolescent;Adult;Disease Outbreaks;*Education, Continuing/mt Methods];Female;HIV Infections/co Complications];*HIV Infections;*Health Personnel/ed Education];Humans;Male;Models, Educational;Ohio/ep Epidemiology];Substance-Related Disorders/co Complications];*Substance-Related Disorders;*Teaching/mt Methods]</t>
  </si>
  <si>
    <t>Use of alcohol and drugs is highly correlated with acquiring the human immunodeficiency virus (HIV), the precursor to developing an AIDS-related condition. Today the USA faces not one but two epidemics, the twin epidemics of substance use and HIV infection. A needs assessment in the state of Ohio of the 300 state-supported drug treatment facilities confirmed a need for HIV-related education and training of the 120 health care personnel, physicians and nurses. Unique train-the-trainer programming was planned and undertaken, including in the same training programme physician and nurse participants dealing both with substance use and HIV/AIDS issues. Significant differences were found in perceived levels of knowledge, and/or attitudes, before and after programme sessions, regarding substance use, HIV/AIDS, and related training issues. To reach all of Ohio's 120 drug treatment facility physicians and nurses required a 2.75 person-hour per trainee expenditure of professional resources.</t>
  </si>
  <si>
    <t>J2: Fam Pract; Gabel, L L Pearsol, J A; ID: 1231</t>
  </si>
  <si>
    <t>0263-2136</t>
  </si>
  <si>
    <t>Gabel, L L. Department of Family Medicine, Ohio State University, Columbus.</t>
  </si>
  <si>
    <t>http://ovidsp.ovid.com/ovidweb.cgi?T=JS&amp;CSC=Y&amp;NEWS=N&amp;PAGE=fulltext&amp;D=med3&amp;AN=8168676</t>
  </si>
  <si>
    <t>MEDLINE; Ovid Technologies; The twin epidemics of substance use and HIV: a state-level response using a train-the-trainer model</t>
  </si>
  <si>
    <t>Galanter,M.</t>
  </si>
  <si>
    <t>Subspecialty training in alcoholism and drug abuse</t>
  </si>
  <si>
    <t>*Alcoholism/rh Rehabilitation];Curriculum;Humans;*Internship and Residency;*Psychiatry/ed Education];*Specialization;*Substance-Related Disorders/rh Rehabilitation];United States</t>
  </si>
  <si>
    <t>J2: Am J Psychiatry; Galanter, M; ID: 1400</t>
  </si>
  <si>
    <t>http://ovidsp.ovid.com/ovidweb.cgi?T=JS&amp;CSC=Y&amp;NEWS=N&amp;PAGE=fulltext&amp;D=med3&amp;AN=2912253</t>
  </si>
  <si>
    <t>MEDLINE; Ovid Technologies; Subspecialty training in alcoholism and drug abuse</t>
  </si>
  <si>
    <t>Postgraduate certification in alcohol and drug dependence</t>
  </si>
  <si>
    <t>Alcoholism: Clinical &amp; Experimental Research</t>
  </si>
  <si>
    <t>*Alcoholism;*Certification/st Standards];*Education, Medical, Graduate/st Standards];Humans;*Medicine/st Standards];*Specialization;Specialty Boards;*Substance-Related Disorders;United States</t>
  </si>
  <si>
    <t>J2: Alcohol Clin Exp Res; Galanter, M; ID: 1456</t>
  </si>
  <si>
    <t>0145-6008</t>
  </si>
  <si>
    <t>http://ovidsp.ovid.com/ovidweb.cgi?T=JS&amp;CSC=Y&amp;NEWS=N&amp;PAGE=fulltext&amp;D=med2&amp;AN=3904501</t>
  </si>
  <si>
    <t>MEDLINE; Ovid Technologies; Postgraduate certification in alcohol and drug dependence</t>
  </si>
  <si>
    <t>Galanter,M.;Bean-Bayog,M.</t>
  </si>
  <si>
    <t>A study of physicians certified in alcohol and drug dependence</t>
  </si>
  <si>
    <t>*Alcoholism/rh Rehabilitation];*Certification;*Education, Medical;Humans;*Substance-Related Disorders/rh Rehabilitation];United States</t>
  </si>
  <si>
    <t>J2: Alcohol Clin Exp Res; Galanter, M Bean-Bayog, M; ID: 1390</t>
  </si>
  <si>
    <t>http://ovidsp.ovid.com/ovidweb.cgi?T=JS&amp;CSC=Y&amp;NEWS=N&amp;PAGE=fulltext&amp;D=med3&amp;AN=2646961</t>
  </si>
  <si>
    <t>MEDLINE; Ovid Technologies; A study of physicians certified in alcohol and drug dependence</t>
  </si>
  <si>
    <t>Galanter,M.;Dermatis,H.;Bunt,G.;Williams,C.;Trujillo,M.;Steinke,P.</t>
  </si>
  <si>
    <t>Assessment of spirituality and its relevance to addiction treatment</t>
  </si>
  <si>
    <t>Alcoholics Anonymous;*Alcoholism/rh Rehabilitation];*Behavior, Addictive/rh Rehabilitation];Cohort Studies;Cross-Sectional Studies;Hospitals, General;Humans;Methadone/tu Therapeutic Use];Psychiatric Department, Hospital;Psychometrics;Residential Treatment;Secondary Prevention;*Self Concept;*Spirituality;Substance Abuse Treatment Centers;Substance-Related Disorders/px Psychology];*Substance-Related Disorders/rh Rehabilitation];Temperance/px Psychology];Therapeutic Community;UC6VBE7V1Z (Methadone)</t>
  </si>
  <si>
    <t>The prominence of Twelve-Step programs has led to increased attention on the putative role of spirituality in recovery from addictive disorders. We developed a 6-item Spirituality Self-Rating Scale designed to reflect a global measure of spiritual orientation to life, and we demonstrated here its internal consistency reliability in substance abusers on treatment and in nonsubstance abusers. This scale and the measures related to recovery from addiction and treatment response were applied in three diverse treatment settings: a general hospital inpatient psychiatry service, a residential therapeutic community, and methadone maintenance programs. Findings on these patient groups were compared to responses given by undergraduate college students, medical students, addiction faculty, and chaplaincy trainees. These suggest that, for certain patients, spiritual orientation is an important aspect of their recovery. Furthermore, the relevance of this issue may be underestimated in the way treatment is framed in a range of clinical facilities.</t>
  </si>
  <si>
    <t>J2: J Subst Abuse Treat; Galanter, Marc Dermatis, Helen Bunt, Gregory Williams, Caroline Trujillo, Manuel Steinke, Paul; ID: 716</t>
  </si>
  <si>
    <t>Galanter, Marc. Division of Alcoholism and Drug Abuse, New York University School of Medicine, New York, NY 10016, USA. marcgalanter@nyu.edu</t>
  </si>
  <si>
    <t>http://ovidsp.ovid.com/ovidweb.cgi?T=JS&amp;CSC=Y&amp;NEWS=N&amp;PAGE=fulltext&amp;D=med5&amp;AN=17574800</t>
  </si>
  <si>
    <t>MEDLINE; Ovid Technologies; Assessment of spirituality and its relevance to addiction treatment</t>
  </si>
  <si>
    <t>Galanter,M.;Dermatis,H.;Calabrese,D.</t>
  </si>
  <si>
    <t>Residencies in addiction psychiatry: 1990 to 2000, a decade of progress</t>
  </si>
  <si>
    <t>Education/sn Statistics &amp; Numerical Data];Humans;Income;Internship and Residency/sn Statistics &amp; Numerical Data];*Internship and Residency/td Trends];Licensure;Psychiatry/ec Economics];*Psychiatry/ed Education];*Substance-Related Disorders;Surveys and Questionnaires;United States</t>
  </si>
  <si>
    <t>This article reviews the history and status of addiction psychiatry residencies based on surveys conducted in 1990 and again in 1999. The 19 of 38 approved programs in operation since 1990 filled more positions than those that were more recently accredited, but they were not significantly different in time allocated to respective clinical assignments or in salary support. Altogether, the programs provide a broad array of training sites (inpatient and outpatient, alcohol and other-drug related) suitable for the diverse needs that graduates will encounter. There were, however, differences in the balance of time dedicated to research relative to patient care. Salaries were relatively modest and drawn from federal and local sources.</t>
  </si>
  <si>
    <t>J2: Am J Addict; Galanter, Marc Dermatis, Helen Calabrese, DeeAnna; ID: 965</t>
  </si>
  <si>
    <t>Galanter, Marc. Division of Alcoholism and Drug Abuse of New York University School of Medicine, New York, NY 10016, USA. marcgalanter@nyu.edu</t>
  </si>
  <si>
    <t>http://ovidsp.ovid.com/ovidweb.cgi?T=JS&amp;CSC=Y&amp;NEWS=N&amp;PAGE=fulltext&amp;D=med4&amp;AN=12202011</t>
  </si>
  <si>
    <t>MEDLINE; Ovid Technologies; Residencies in addiction psychiatry: 1990 to 2000, a decade of progress</t>
  </si>
  <si>
    <t>Galanter,M.;Dermatis,H.;Resnick,R.;Maslansky,R.;Neumann,E.</t>
  </si>
  <si>
    <t>Short-term buprenorphine maintenance: treatment outcome</t>
  </si>
  <si>
    <t>Adult;Alcoholics Anonymous;Appointments and Schedules;*Buprenorphine/ad Administration &amp; Dosage];Buprenorphine/ae Adverse Effects];Combined Modality Therapy;Dose-Response Relationship, Drug;Drug Administration Schedule;Drug Therapy, Combination;Female;Heroin Dependence/ep Epidemiology];*Heroin Dependence/rh Rehabilitation];Humans;Internship and Residency;Male;Naloxone/ad Administration &amp; Dosage];Naloxone/ae Adverse Effects];Narcotic Antagonists/ad Administration &amp; Dosage];Narcotic Antagonists/ae Adverse Effects];*Narcotics/ad Administration &amp; Dosage];Narcotics/ae Adverse Effects];Outcome and Process Assessment (Health Care);Patient Dropouts/sn Statistics &amp; Numerical Data];Substance Abuse Detection/sn Statistics &amp; Numerical Data];Substance Withdrawal Syndrome/et Etiology];Treatment Outcome;0 (Narcotic Antagonists);0 (Narcotics);36B82AMQ7N (Naloxone);40D3SCR4GZ (Buprenorphine)</t>
  </si>
  <si>
    <t>Fifty-two heroin addicts were inducted onto buprenorphine under the care of psychiatric residents in a setting modeled on office practice. Subjects were maintained on a protocol of six weeks of 16 mg daily dosing, then tapered to zero dose up to week 16, and maintained on placebo through week 18. Of 44 subjects who continued after the first induction dose, 11 terminated during maintenance, 17 during taper; and 16 while on zero dose. Twice weekly urine toxicologies showed significant successive declines in samples positive for heroin use across these three periods: 70%, 41%, and 20%, respectively. Among historical variables, only prior AA attendance distinguished subjects who achieved zero dose from those who did not. A comparison with recent studies suggests that relatively inexperienced office-based physicians can maintain patients on buprenorphine at a level comparable to that reported for research clinic settings, but with comparable rates of heroin abstinence. These findings are discussed in light of potential options for office-based opioid maintenance.</t>
  </si>
  <si>
    <t>J2: J Addict Dis; Galanter, Marc Dermatis, Helen Resnick, Richard Maslansky, Robert Neumann, Erna; ID: 915</t>
  </si>
  <si>
    <t>Galanter, Marc. Division of Alcoholism and Drug Abuse, Department of Psychiatry, NYU School of Medicine, 550 First Avenue, New York, NY 10016, USA. marcgalanter@nyu.edu</t>
  </si>
  <si>
    <t>http://ovidsp.ovid.com/ovidweb.cgi?T=JS&amp;CSC=Y&amp;NEWS=N&amp;PAGE=fulltext&amp;D=med4&amp;AN=14621343</t>
  </si>
  <si>
    <t>MEDLINE; Ovid Technologies; Short-term buprenorphine maintenance: treatment outcome</t>
  </si>
  <si>
    <t>Galanter,M.;Frances,R.</t>
  </si>
  <si>
    <t>Addiction psychiatry: challenges for a new psychiatric subspecialty</t>
  </si>
  <si>
    <t>8, 1072</t>
  </si>
  <si>
    <t>*Alcoholism/rh Rehabilitation];Curriculum;Humans;Internship and Residency;*Psychiatry/ed Education];*Specialization;*Substance-Related Disorders/rh Rehabilitation];United States</t>
  </si>
  <si>
    <t>J2: Hosp Community Psychiatry; Galanter, M Frances, R; ID: 1263</t>
  </si>
  <si>
    <t>Galanter, M. Division of Alcohol and Drug Abuse, New York University School of Medicine, New York 10016.</t>
  </si>
  <si>
    <t>http://ovidsp.ovid.com/ovidweb.cgi?T=JS&amp;CSC=Y&amp;NEWS=N&amp;PAGE=fulltext&amp;D=med3&amp;AN=1490703</t>
  </si>
  <si>
    <t>MEDLINE; Ovid Technologies; Addiction psychiatry: challenges for a new psychiatric subspecialty</t>
  </si>
  <si>
    <t>Galanter,M.;Kaufman,E.;Schnoll,S.;Burns,J.</t>
  </si>
  <si>
    <t>Postgraduate medical fellowship training in alcoholism and drug abuse: national consensus standards</t>
  </si>
  <si>
    <t>Alcoholism/px Psychology];*Alcoholism/rh Rehabilitation];Curriculum/st Standards];*Education, Medical, Graduate/st Standards];*Fellowships and Scholarships/st Standards];Humans;*Psychiatry/ed Education];Substance-Related Disorders/px Psychology];*Substance-Related Disorders/rh Rehabilitation];United States</t>
  </si>
  <si>
    <t>This paper describes the historical background of the Consensus Standards for Postgraduate Medical Fellowships in Alcoholism and Drug Abuse, developed for the American Academy of Psychiatrists in Alcoholism and Addictions and the Association for Medical Education and Research in Substance Abuse. These standards were prepared by a National Advisory Committee of the Center for Medical Fellowships in Alcoholism and Drug Abuse, which includes 23 leading figures in academic medical training in the addiction field. The standards define general information, facilities and resources, the educational program, and the specific knowledge and skills appropriate to fellowship training. The standards were designed to provide a model for optimal training for residency affiliated fellowships to be used by faculty, trainees, and organizations setting training standards. References: 7]</t>
  </si>
  <si>
    <t>J2: Am J Drug Alcohol Abuse; Galanter, M Kaufman, E Schnoll, S Burns, J; ID: 1317</t>
  </si>
  <si>
    <t>Galanter, M. Department of Psychiatry, New York University School of Medicine, New York 10016.</t>
  </si>
  <si>
    <t>http://ovidsp.ovid.com/ovidweb.cgi?T=JS&amp;CSC=Y&amp;NEWS=N&amp;PAGE=fulltext&amp;D=med3&amp;AN=2038979</t>
  </si>
  <si>
    <t>MEDLINE; Ovid Technologies; Postgraduate medical fellowship training in alcoholism and drug abuse: national consensus standards</t>
  </si>
  <si>
    <t>Galanter,M.;Kaufman,E.;Taintor,Z.;Robinowitz,C. B.;Meyer,R. E.;Halikas,J.</t>
  </si>
  <si>
    <t>The current status of psychiatric education in alcoholism and drug abuse</t>
  </si>
  <si>
    <t>*Alcoholism/rh Rehabilitation];Curriculum;Humans;*Internship and Residency;*Psychiatry/ed Education];*Substance-Related Disorders/rh Rehabilitation];United States</t>
  </si>
  <si>
    <t>The authors conducted a survey of psychiatric education in alcoholism and drug abuse in the United States. Ninety-seven percent of 106 undergraduate training programs and 91% of 169 residency programs offered curriculum units in this field. Most of these programs also provided supervised clinical care. Areas of reported faculty dissatisfaction included problems with attitude and interest of psychiatric faculty and with the amount of curriculum time allotted. The authors conclude that although the amount of curriculum time devoted to training in alcoholism and drug abuse is growing, further investment in developing faculty and fellowships is warranted to increase the quality of teaching commitment.</t>
  </si>
  <si>
    <t>J2: Am J Psychiatry; Galanter, M Kaufman, E Taintor, Z Robinowitz, C B Meyer, R E Halikas, J; ID: 1401</t>
  </si>
  <si>
    <t>Galanter, M. Department of Psychiatry, New York University School of Medicine, NY 10016.</t>
  </si>
  <si>
    <t>http://ovidsp.ovid.com/ovidweb.cgi?T=JS&amp;CSC=Y&amp;NEWS=N&amp;PAGE=fulltext&amp;D=med3&amp;AN=2912248</t>
  </si>
  <si>
    <t>MEDLINE; Ovid Technologies; The current status of psychiatric education in alcoholism and drug abuse</t>
  </si>
  <si>
    <t>Galanter,M.;Keller,D. S.;Dermatis,H.</t>
  </si>
  <si>
    <t>Network Therapy for addiction: assessment of the clinical outcome of training</t>
  </si>
  <si>
    <t>Adult;Ambulatory Care;*Cocaine;*Cognitive Therapy/ed Education];*Crack Cocaine;Curriculum;Female;Follow-Up Studies;Humans;*Internship and Residency;Male;New York City;Outcome and Process Assessment (Health Care);*Psychiatry/ed Education];*Social Support;Substance Abuse Detection;Substance-Related Disorders/px Psychology];*Substance-Related Disorders/rh Rehabilitation];0 (Crack Cocaine);I5Y540LHVR (Cocaine)</t>
  </si>
  <si>
    <t>Mental health practitioners in the office setting are often seen as deficient in addiction treatment skills. Relevant training in often quite limited, and trainees are generally not introduced in an effective office-based modality. We studied the feasibility of teaching beginning therapists how to apply Network Therapy, a cognitive-behavioral approach to achieving abstinence and preventing relapse that augments individual therapy with support from family and friends. The therapists were 19 psychiatric residents without experience in substance abuse treatment or outpatient therapy, and the patients were 24 cocaine-dependent patients who received a 24-week course of Network treatment. The patients remained in treatment for an average of 15.4 weeks. Seventy-nine percent of their observed weekly urine toxicologies were negative for cocaine, and 42% of patients produced clean urines in the 3 weeks immediately before termination. The overall outcome compares favorably with that reported in studies on cocaine treatment where experienced therapists were employed. Our results suggest that naive mental health trainees can be taught to apply Network Therapy for effective substance abuse management. This is particularly relevant to technology transfer for general mental health trainees, who are often thought to be perceived to be refractory to learning about the outpatient management of addiction.</t>
  </si>
  <si>
    <t>J2: Am J Drug Alcohol Abuse; Galanter, M Keller, D S Dermatis, H; ID: 1130</t>
  </si>
  <si>
    <t>Galanter, M. Department of Psychiatry, New York University School of Medicine, New York 10016, USA.</t>
  </si>
  <si>
    <t>http://ovidsp.ovid.com/ovidweb.cgi?T=JS&amp;CSC=Y&amp;NEWS=N&amp;PAGE=fulltext&amp;D=med4&amp;AN=9261485</t>
  </si>
  <si>
    <t>MEDLINE; Ovid Technologies; Network Therapy for addiction: assessment of the clinical outcome of training</t>
  </si>
  <si>
    <t>Using the Internet for clinical training: a course on network therapy for substance abuse</t>
  </si>
  <si>
    <t>1000, 1008</t>
  </si>
  <si>
    <t>Alcoholism/px Psychology];Alcoholism/rh Rehabilitation];Combined Modality Therapy;*Computer Communication Networks;Curriculum;*Education, Medical, Continuing;Humans;Opioid-Related Disorders/rh Rehabilitation];*Psychiatry/ed Education];Specialization</t>
  </si>
  <si>
    <t>J2: Psychiatr Serv; Galanter, M Keller, D S Dermatis, H; ID: 1129</t>
  </si>
  <si>
    <t>1075-2730</t>
  </si>
  <si>
    <t>Galanter, M. Division of Alcoholism and Drug Abuse of the Department of Psychiatry, New York University Medical Center, New York 10016, USA.</t>
  </si>
  <si>
    <t>http://ovidsp.ovid.com/ovidweb.cgi?T=JS&amp;CSC=Y&amp;NEWS=N&amp;PAGE=fulltext&amp;D=med4&amp;AN=9255829</t>
  </si>
  <si>
    <t>MEDLINE; Ovid Technologies; Using the Internet for clinical training: a course on network therapy for substance abuse</t>
  </si>
  <si>
    <t>Galanter,M.;Schubmehl,J.;Adel,H. N.;Sofer,S. C.</t>
  </si>
  <si>
    <t>Inpatient rehabilitation for the medically ill alcoholic</t>
  </si>
  <si>
    <t>Currents in alcoholism</t>
  </si>
  <si>
    <t>Curr.Alcohol.</t>
  </si>
  <si>
    <t>Alcoholism/co Complications];*Alcoholism/rh Rehabilitation];Attitude of Health Personnel;Hospital Units;Hospitalization;Humans;Internal Medicine;Internship and Residency;Morbidity;Mortality;New York City;Rehabilitation/og Organization &amp; Administration];Systems Theory</t>
  </si>
  <si>
    <t>J2: Curr Alcohol; Galanter, M Schubmehl, J Adel, H N Sofer, S C; ID: 1514</t>
  </si>
  <si>
    <t>0161-8504</t>
  </si>
  <si>
    <t>http://ovidsp.ovid.com/ovidweb.cgi?T=JS&amp;CSC=Y&amp;NEWS=N&amp;PAGE=fulltext&amp;D=med1&amp;AN=520046</t>
  </si>
  <si>
    <t>MEDLINE; Ovid Technologies; Inpatient rehabilitation for the medically ill alcoholic</t>
  </si>
  <si>
    <t>Galea,S.;Ahern,J.;Tracy,M.;Rudenstine,S.;Vlahov,D.</t>
  </si>
  <si>
    <t>NIHMS27074; Education inequality and use of cigarettes, alcohol, and marijuana</t>
  </si>
  <si>
    <t>90 Suppl 1</t>
  </si>
  <si>
    <t>S4</t>
  </si>
  <si>
    <t>Adolescent;Adult;Aged;*Alcohol-Related Disorders/ep Epidemiology];Cross-Sectional Studies;*Educational Status;Female;Health Surveys;Humans;Income;Male;*Marijuana Abuse/ep Epidemiology];Middle Aged;New York City;Residence Characteristics;*Smoking/ep Epidemiology];Social Values;*Socioeconomic Factors;*Urban Population/sn Statistics &amp; Numerical Data]</t>
  </si>
  <si>
    <t>Education inequality at the neighborhood-level may influence population health and health behavior. We assessed the relations between education inequality and substance use in 59 New York City (NYC) neighborhoods. We used Gini coefficients of education to describe neighborhood education inequality and data from a random-digit-dial phone survey of adult residents of NYC to assess use of substances. Among 1355 respondents (female=56.2%; white=35.7%; mean age=40.4), 23.9% (95% confidence interval CI]=20.3-27.5) reported smoking, 39.4% (95% CI=35.3-43.4) drinking, and 5.4% (95% CI=3.6-7.3) using marijuana in the previous 30 days. In multilevel models controlling for neighborhood education, neighborhood income inequality, and individual covariates, living in a neighborhood with high education inequality was associated with a greater prevalence of drinking (p=0.02) and of smoking marijuana (p=0.004) but among current drinkers it was associated (p=0.03) with having fewer drinks. The odds of alcohol use (OR=1.70) and marijuana use (OR=3.49) were greater in neighborhoods in the 75th percentile of education Gini compared to neighborhoods in the 25th percentile of education Gini. Statisical interactions suggest that there may be a stronger relation between education inequality and marijuana use in neighborhoods with low mean education than in neighborhoods with higher mean levels of education. These findings, taken together, suggest a complex relation between education inequality and substance use; likelihood of the use of alcohol and marijuana was higher in areas with higher education inequality suggesting potential roles for substance use norms and availability, whereas quantity used among drinkers was higher in areas with low education inequality, suggesting potential roles for both disadvantage and norms.</t>
  </si>
  <si>
    <t>J2: Drug Alcohol Depend; Galea, Sandro Ahern, Jennifer Tracy, Melissa Rudenstine, Sasha Vlahov, David; ID: 732</t>
  </si>
  <si>
    <t>0376-8716</t>
  </si>
  <si>
    <t>Galea, Sandro. Department of Epidemiology, University of Michigan School of Public Health, Ann Arbor, MI 48104-2548, USA. sgalea@umich.edu</t>
  </si>
  <si>
    <t>http://ovidsp.ovid.com/ovidweb.cgi?T=JS&amp;CSC=Y&amp;NEWS=N&amp;PAGE=fulltext&amp;D=med5&amp;AN=17129684</t>
  </si>
  <si>
    <t>MEDLINE; Ovid Technologies; Education inequality and use of cigarettes, alcohol, and marijuana</t>
  </si>
  <si>
    <t>Galletti,P. M.</t>
  </si>
  <si>
    <t>V. Brown University Alcoholism Conference: A summary of the discussions</t>
  </si>
  <si>
    <t>7, 405</t>
  </si>
  <si>
    <t>*Alcoholism;*Curriculum;*Education, Medical, Undergraduate;Humans;United States</t>
  </si>
  <si>
    <t>J2: R I Med J; Galletti, P M; ID: 1541</t>
  </si>
  <si>
    <t>http://ovidsp.ovid.com/ovidweb.cgi?T=JS&amp;CSC=Y&amp;NEWS=N&amp;PAGE=fulltext&amp;D=med1&amp;AN=127377</t>
  </si>
  <si>
    <t>MEDLINE; Ovid Technologies; V. Brown University Alcoholism Conference: A summary of the discussions</t>
  </si>
  <si>
    <t>Gangavalli,A.;Malige,A.;Terres,G.;Rehman,S.;Nwachuku,C.</t>
  </si>
  <si>
    <t>Misuse of Opioids in Orthopaedic Postoperative Patients</t>
  </si>
  <si>
    <t>e103</t>
  </si>
  <si>
    <t>e109</t>
  </si>
  <si>
    <t>Adolescent;Adult;Aged;Aged, 80 and over;*Analgesics, Opioid/tu Therapeutic Use];Chronic Pain;Educational Status;Employment/sn Statistics &amp; Numerical Data];Female;Humans;Income/sn Statistics &amp; Numerical Data];Male;Middle Aged;Opioid-Related Disorders/di Diagnosis];*Opioid-Related Disorders/ep Epidemiology];Pain Measurement/de Drug Effects];Pain Measurement/sn Statistics &amp; Numerical Data];Pain, Postoperative/di Diagnosis];*Pain, Postoperative/ep Epidemiology];*Pain, Postoperative/pc Prevention &amp; Control];Pennsylvania/ep Epidemiology];*Prescription Drug Overuse/sn Statistics &amp; Numerical Data];*Self Medication/sn Statistics &amp; Numerical Data];Young Adult;0 (Analgesics, Opioid)</t>
  </si>
  <si>
    <t>OBJECTIVE: In light of the recent uptrend in the prescription of opioids, this study seeks to identify patterns of opioid misuse among orthopaedic postoperative patients and principal external sources in obtaining these medications. DESIGN: Ten-month survey-based study. SETTING: Two Level I trauma centers (urban and suburban). PATIENTS/PARTICIPANTS: Two hundred seven patients between the ages of 18 and 89 years who underwent surgical fixation of fractures involving the pelvis, long bones, or periarticular regions of the knee, ankle, elbow, and wrist. MAIN OUTCOME MEASUREMENTS: Patients who believed they were undermedicated, used prescribed opioids at higher than recommended doses, and took extra opioids in addition to their prescribed analgesics were analyzed by age, employment, income, education, controlled substance use, pain interference with activities of daily living, and anatomic surgical site. RESULTS: One hundred eighty-two patients completed the survey; 19.2% of patients (n = 35) felt undermedicated unemployed (P &lt; 0.05), low income (P &lt; 0.05), and self-reported controlled substance users (P &lt; 0.05)]; 12.6% of patients (n = 23) admitted to using pain medications at a higher dose than prescribed unemployed (P &lt; 0.05), lower income (P &lt; 0.05), nonhigh school graduates (P &lt; 0.05), and previous controlled substance users (P &lt; 0.05)]; 9.3% (n = 17) admitted to using external opioids unemployed patients (P &lt; 0.05) and self-reported controlled substance users (P &lt; 0.05)]. Major sources of extraneous opioids include family/friends (n = 5) and other doctors (n = 4). CONCLUSION: Unemployed and lower-income patients were significantly more likely to believe that their surgeon was not prescribing them enough pain medications as well as use their prescribed opioid medications at a higher than recommended dose compared with their employed counterparts with higher incomes. Unemployed patients were also significantly more likely to use additional opioid analgesics in addition to those prescribed to them by their primary surgeon. Surgeon awareness of a patient's socioeconomic background and associated risk of opioid misuse is crucial to prescribe the safest most effective pain regimen. LEVEL OF EVIDENCE: Prognostic Level IV. See Instructions for Authors for a complete description of levels of evidence.</t>
  </si>
  <si>
    <t>J2: J Orthop Trauma; Gangavalli, Anup Malige, Ajith Terres, George Rehman, Saqib Nwachuku, Chinenye; ID: 50</t>
  </si>
  <si>
    <t>Gangavalli, Anup. *Department of Orthopaedic Surgery, St. Luke's University Health Network, Bethlehem, PA; +Temple-St. Luke's University School of Medicine, Bethlehem, PA; ++Temple University School of Medicine, Philadelphia, PA; and Department of Orthopaedic Surgery, Temple University Hospital, Philadelphia, PA.</t>
  </si>
  <si>
    <t>http://ovidsp.ovid.com/ovidweb.cgi?T=JS&amp;CSC=Y&amp;NEWS=N&amp;PAGE=fulltext&amp;D=med8&amp;AN=28323765</t>
  </si>
  <si>
    <t>https://dx.doi.org/10.1097/BOT.0000000000000741</t>
  </si>
  <si>
    <t>MEDLINE; Ovid Technologies; Misuse of Opioids in Orthopaedic Postoperative Patients</t>
  </si>
  <si>
    <t>Gardner,C.</t>
  </si>
  <si>
    <t>Where all the ladders start</t>
  </si>
  <si>
    <t>Adaptation, Psychological;*Alcoholism/px Psychology];Alcoholism/rh Rehabilitation];Attitude of Health Personnel;Education, Medical;Friends/px Psychology];*Human Characteristics;Humans;*Life Change Events;*Literature, Modern;*Medicine in Literature;Motivation;*Philosophy;*Poetry as Topic;*Substance-Related Disorders/px Psychology];Substance-Related Disorders/rh Rehabilitation]</t>
  </si>
  <si>
    <t>J2: Lancet; Gardner, Caleb; ID: 462</t>
  </si>
  <si>
    <t>Gardner, Caleb. Johns Hopkins University School of Medicine, Baltimore, MD 21205-2196, USA. cgardn12@jhmi.edu</t>
  </si>
  <si>
    <t>http://ovidsp.ovid.com/ovidweb.cgi?T=JS&amp;CSC=Y&amp;NEWS=N&amp;PAGE=fulltext&amp;D=med7&amp;AN=22470930</t>
  </si>
  <si>
    <t>MEDLINE; Ovid Technologies; Where all the ladders start</t>
  </si>
  <si>
    <t>Gaskin,de Urdaneta;Seale,J. P.;Fleming,M.;Murray,M.</t>
  </si>
  <si>
    <t>Primary care and alcohol use disorders: evaluation of a faculty-development program in Venezuela]</t>
  </si>
  <si>
    <t>Adult;Alcohol Drinking/pc Prevention &amp; Control];*Alcohol-Related Disorders/pc Prevention &amp; Control];Alcohol-Related Disorders/th Therapy];*Alcoholism/pc Prevention &amp; Control];Alcoholism/th Therapy];Education/sn Statistics &amp; Numerical Data];*Education, Medical, Continuing/sn Statistics &amp; Numerical Data];Female;Humans;Male;Models, Educational;National Institutes of Health (U.S.);*Primary Health Care/mt Methods];Program Evaluation/sn Statistics &amp; Numerical Data];Schools, Medical/sn Statistics &amp; Numerical Data];United States;Venezuela</t>
  </si>
  <si>
    <t>OBJECTIVE: Primary care offers an opportunity to identify and treat persons who drink alcohol above permissible levels. In order to prepare primary care practitioners around the world to prevent and treat alcohol-related problems, the National Institute on Alcohol Abuse and Alcoholism of the United States of America has developed and tested a model international program for educating physicians about such problems. The model was designed to increase the clinical, teaching, and research skills of medical school faculty who work with medical students, residents, and primary care physicians. Venezuela was one of the countries selected for the initiative. METHODS: During September 1999 a five-day faculty-development course consisting of 19 workshops was conducted at the University of Zulia, which is located in the city of Maracaibo, Zulia, Venezuela. Teaching strategies included class presentations, role plays, case presentations, skills-building workshops, and having each participant develop a teaching plan that he or she would use. RESULTS: Thirty-three faculty members from 9 of Venezuela's 10 medical schools participated in the project. The 18 female and 15 male participants had an average age of 44 years. The areas of specialization of the 33 participants were: family medicine (9 participants), psychiatry (7), pediatrics (6), obstetrics (4), internal medicine (3), and unspecified (4). Of the 33 participants, 25 of them (76%) completed a six-month follow-up interview. This group said they had significantly increased their competence in 14 clinical areas and that they had successfully implemented new teaching activities within their respective medical schools and residency programs. CONCLUSIONS: This model proved to be an effective strategy for increasing training for physicians in the prevention and treatment of alcohol-related problems in Venezuela. The evaluation confirms similar findings in other countries where the program has been implemented.</t>
  </si>
  <si>
    <t>J2: Rev Panam Salud Publica; Spanish Gaskin de Urdaneta, Alvia Seale, J Paul Fleming, Michael Murray, Margaret; OP: Atencion primaria y trastornos por consumo de alcohol: evaluacion de un programa de formacion del profesorado en Venezuela; ID: 956</t>
  </si>
  <si>
    <t>Gaskin de Urdaneta, Alvia. Facultad de Medicina, La Universidad del Zulia, Maracaibo, Venezuela.</t>
  </si>
  <si>
    <t>http://ovidsp.ovid.com/ovidweb.cgi?T=JS&amp;CSC=Y&amp;NEWS=N&amp;PAGE=fulltext&amp;D=med4&amp;AN=12371405</t>
  </si>
  <si>
    <t>MEDLINE; Ovid Technologies; [Primary care and alcohol use disorders: evaluation of a faculty-development program in Venezuela]</t>
  </si>
  <si>
    <t>Gaughwin,M.;Dodding,J.;White,J. M.;Ryan,P.</t>
  </si>
  <si>
    <t>Changes in alcohol history taking and management of alcohol dependence by interns at The Royal Adelaide Hospital</t>
  </si>
  <si>
    <t>Alcohol Drinking;*Alcoholism/di Diagnosis];Alcoholism/th Therapy];Australia;Female;Hospitals, General;Hospitals, Teaching;Humans;*Internship and Residency;Male;*Medical History Taking/mt Methods]</t>
  </si>
  <si>
    <t>OBJECTIVE: The objective of this study is to determine whether the presence of a drug and alcohol unit and comprehensive medical education have made a difference to the detection and management of alcohol-related problems in a general teaching hospital. METHODS: Data were obtained from hospital case notes before and after the introduction of the drug and alcohol unit and medical education. Samples of general admissions and admissions with an alcohol diagnosis were obtained. The outcome measures included alcohol history taking, quantification of alcohol consumption and management of alcohol dependence. RESULTS: It was found that for the general admission sample, interns were more likely to take an alcohol history, both in the accident and emergency (A&amp;E) department and on the ward, in 1994 compared to 1988. The difference in the A&amp;E department was statistically significant (P = 0.009). In the A&amp;E department in 1994 there was a greater prevalence of alcohol history taking for male patients (odds ratio (OR) 10.09, 95% confidence interval (CI) 1.89 to 53.70, P = 0.007) compared with female patients (OR = 1.81, 95% CI 0.38 to 8.57, P = 0.045). There were no differences in alcohol history taking by interns in the samples of alcohol-related admissions. There were no statistically significant differences in the prevalence of documenting alcohol histories quantitatively in either sample. The use of alcohol withdrawal charts, ordering diazepam for alcohol withdrawal and ordering drugs which conformed to the hospital formulary all increased significantly by 1994. The prevalence of ordering thiamine and consulting the drug and alcohol unit both decreased slightly by 1994, but not significantly. CONCLUSION: Improvements have been found in the detection and management of alcohol use since the introduction of the Drug and Alcohol Unit and medical education, but there is still room for further improvement and particular areas where greater attention is needed are identified.</t>
  </si>
  <si>
    <t>J2: Med Educ; Gaughwin, M Dodding, J White, J M Ryan, P; ID: 1030</t>
  </si>
  <si>
    <t>Gaughwin, M. Acting Director, Drug and Alcohol Resource Unit, Royal Adelaide Hospital, Adelaide, Australia.</t>
  </si>
  <si>
    <t>http://ovidsp.ovid.com/ovidweb.cgi?T=JS&amp;CSC=Y&amp;NEWS=N&amp;PAGE=fulltext&amp;D=med4&amp;AN=10733701</t>
  </si>
  <si>
    <t>MEDLINE; Ovid Technologies; Changes in alcohol history taking and management of alcohol dependence by interns at The Royal Adelaide Hospital</t>
  </si>
  <si>
    <t>Gavaghan,C.</t>
  </si>
  <si>
    <t>You can't handle the truth; medical paternalism and prenatal alcohol use</t>
  </si>
  <si>
    <t>Journal of medical ethics</t>
  </si>
  <si>
    <t>J.Med.Ethics</t>
  </si>
  <si>
    <t>*Alcohol Drinking/ae Adverse Effects];Child;Child, Preschool;Female;*Fetal Alcohol Spectrum Disorders/pc Prevention &amp; Control];*Health Education/es Ethics];Health Knowledge, Attitudes, Practice;Humans;Infant;Infant, Newborn;Male;*Paternalism/es Ethics];Patient Acceptance of Health Care/px Psychology];Personal Autonomy;Pregnancy;*Pregnancy Complications/pc Prevention &amp; Control];*Prenatal Care/es Ethics];Prenatal Care/mt Methods];Risk Assessment;Risk Factors</t>
  </si>
  <si>
    <t>The publication of the latest contribution to the alcohol-in-pregnancy debate, and the now customary flurry of media attention it generated, have precipitated the renewal of a series of ongoing debates about safe levels of consumption and responsible prenatal conduct. The University College London (UCL) study's finding that low levels of alcohol did not contribute to adverse behavioural outcomes-and may indeed have made a positive contribution in some cases-is unlikely to be the last word on the subject. Proving a negative correlation is notoriously difficult (technically, impossible), and other studies have offered alternative claims. The author is not an epidemiologist, and the purpose of this article is not to evaluate the competing empirical claims. However, the question of what information and advice healthcare practitioners ought to present to pregnant women, or prospectively or potentially pregnant women, in a situation of uncertainty is one to which healthcare ethicists may have a contribution to make. In this article, it is argued that the total abstinence policy advocated by the UK's Department of Health, and even more stridently by the British Medical Association, sits uneasily with recent data and is far from ethically unproblematic. In particular, the "precautionary" approach advocated by these bodies displays both scant regard for the autonomy of pregnant and prospectively pregnant women and a confused grasp of the principles of beneficence and non-maleficence.</t>
  </si>
  <si>
    <t>J2: J Med Ethics; Gavaghan, C; ID: 617</t>
  </si>
  <si>
    <t>1473-4257</t>
  </si>
  <si>
    <t>Gavaghan, C. School of Law, University of Glasgow, Glasgow G128QQ, UK. C.Gavaghan@law.gla.ac.uk</t>
  </si>
  <si>
    <t>http://ovidsp.ovid.com/ovidweb.cgi?T=JS&amp;CSC=Y&amp;NEWS=N&amp;PAGE=fulltext&amp;D=med6&amp;AN=19407034</t>
  </si>
  <si>
    <t>https://dx.doi.org/10.1136/jme.2008.028662</t>
  </si>
  <si>
    <t>MEDLINE; Ovid Technologies; "You can't handle the truth"; medical paternalism and prenatal alcohol use</t>
  </si>
  <si>
    <t>Gedaly-Duff,V.;Ziebarth,D.</t>
  </si>
  <si>
    <t>Mothers' management of adenoid-tonsillectomy pain in 4- to 8-year-olds: a preliminary study</t>
  </si>
  <si>
    <t>Pain</t>
  </si>
  <si>
    <t>*Adenoidectomy;Child;Child, Preschool;Fear;*Home Care Services;Humans;*Mothers;Pain, Postoperative/pp Physiopathology];*Pain, Postoperative/th Therapy];Palliative Care/mt Methods];Substance-Related Disorders;*Tonsillectomy</t>
  </si>
  <si>
    <t>The health care system has moved towards home care, early discharge, and day procedures. Parents in the home are, therefore, far more likely to be managing their children's postoperative pain than health professionals. The purpose of this study was to describe mothers' experiences in identifying and managing their children's acute pain associated with surgery. Because little is known about family's perceptions and management of a child's pain in the home, a qualitative design and grounded theory method were used. A purposive, convenience sample of 7 mothers whose children were 4-8 years old and who had a day-surgery adenoid-tonsillectomy were interviewed in depth (2-3 interviews per mother). Four themes were found in the data: (1) mothers' descriptions of their children's overall pattern of postoperative pain indicated that pain was minimal or absent before surgery, increased following surgery, and decreased with medicine and healing; (2) mothers' assessment and evaluation of their children's pain used pain cues similar to those used by nurses and physicians; (3) all the mothers worried about drug addiction; and 4) mothers learned to manage their children's pain through 'trial and error'. This study provides beginning data for understanding family management of children's pain.</t>
  </si>
  <si>
    <t>J2: Pain; Gedaly-Duff, V Ziebarth, D; ID: 1214</t>
  </si>
  <si>
    <t>0304-3959</t>
  </si>
  <si>
    <t>Gedaly-Duff, V. Oregon Health Sciences University, School of Nursing, Department of Family Nursing (SN-FAM), Portland 97201-3098.</t>
  </si>
  <si>
    <t>http://ovidsp.ovid.com/ovidweb.cgi?T=JS&amp;CSC=Y&amp;NEWS=N&amp;PAGE=fulltext&amp;D=med3&amp;AN=7524009</t>
  </si>
  <si>
    <t>MEDLINE; Ovid Technologies; Mothers' management of adenoid-tonsillectomy pain in 4- to 8-year-olds: a preliminary study</t>
  </si>
  <si>
    <t>Geirsson,M.;Bendtsen,P.;Spak,F.</t>
  </si>
  <si>
    <t>Attitudes of Swedish general practitioners and nurses to working with lifestyle change, with special reference to alcohol consumption</t>
  </si>
  <si>
    <t>Adult;*Alcoholism/pc Prevention &amp; Control];Alcoholism/px Psychology];Alcoholism/rh Rehabilitation];*Attitude of Health Personnel;Education, Medical, Graduate;Female;Health Behavior;Health Knowledge, Attitudes, Practice;Humans;*Life Style;Male;Middle Aged;*Nurses/px Psychology];Patient Compliance/px Psychology];*Physicians, Family/px Psychology];Secondary Prevention;Sweden</t>
  </si>
  <si>
    <t>AIMS: To explore the attitudes of Swedish general practitioners (GPs) and nurses to secondary alcohol prevention (early identification of, and intervention for, alcohol-related problems) and compare it to their attitudes to other important lifestyle behaviours such as smoking, stress, exercise, and overweight. METHODS: An adjusted version of The WHO Collaborative Study Questionnaire for General Practitioners was posted to all GPs and nurses in the County of Skaraborg, Sweden; 68 GPs and 193 nurses responded. RESULTS: The importance of drinking alcohol moderately, counselling skills on reducing alcohol consumption and perceived current effectiveness in helping patients change lifestyle behaviours ranked lower than working with all the other lifestyle behaviours. The nurses rated their potential effectiveness in helping patients change lifestyle higher than that of GPs for all the lifestyle behaviours. Nurses receiving more alcohol-related education had more positive attitudes than nurses with less education. For alcohol, the GPs assessed their role adequacy, role legitimacy and motivation higher than that of the nurses. The main obstacles for the GPs to carry out alcohol intervention were lack of training in counselling for reducing alcohol consumption, time constraints, and the fact that the doctors did not know how to identify problem drinkers who have no obvious symptoms of excess consumption. CONCLUSION: GPs and the nurses estimated their alcohol-related competence as lower than working with many other health-related lifestyles. These results can be explained by lack of practical skills, lack of training in suitable intervention techniques, and unsupportive working environments. All these elements must be considered when planning secondary alcohol prevention programs in primary health care.</t>
  </si>
  <si>
    <t>J2: Alcohol Alcohol; Geirsson, Magnus Bendtsen, Preben Spak, Fredrik; ID: 845</t>
  </si>
  <si>
    <t>Geirsson, Magnus. Ekangsvagen 15, 541 40 Skovde, Sweden. magnus.geirsson@vgregion.se</t>
  </si>
  <si>
    <t>http://ovidsp.ovid.com/ovidweb.cgi?T=JS&amp;CSC=Y&amp;NEWS=N&amp;PAGE=fulltext&amp;D=med5&amp;AN=16043435</t>
  </si>
  <si>
    <t>MEDLINE; Ovid Technologies; Attitudes of Swedish general practitioners and nurses to working with lifestyle change, with special reference to alcohol consumption</t>
  </si>
  <si>
    <t>Geller,A. C.;Hayes,R. B.;Leone,F.;Churchill,L. C.;Leung,K.;Reed,G.;Jolicoeur,D.;Okuliar,C.;Adams,M.;Murray,D. M.;Liu,Q.;Waugh,J.;David,S.;Ockene,J. K.</t>
  </si>
  <si>
    <t>NIHMS481203; Tobacco dependence treatment teaching by medical school clerkship preceptors: survey responses from more than 1,000 US medical students</t>
  </si>
  <si>
    <t>Adult;Clinical Clerkship;Clinical Competence;*Counseling/st Standards];Counseling/sn Statistics &amp; Numerical Data];*Education, Medical, Undergraduate/st Standards];Education, Medical, Undergraduate/sn Statistics &amp; Numerical Data];Educational Measurement;Female;Health Care Surveys;Health Knowledge, Attitudes, Practice;Humans;Male;Preceptorship;Self Report;*Smoking Cessation;*Students, Medical/sn Statistics &amp; Numerical Data];*Tobacco Use Disorder/th Therapy];United States</t>
  </si>
  <si>
    <t>OBJECTIVE: To determine factors associated with tobacco cessation counseling in medical school clerkships. METHODS: Third-year medical students at 10 medical schools across the United States completed a 100-item survey, measuring the frequency with which they experienced their preceptors providing clinical teaching components: clear instruction, feedback, modeling behavior, setting clear objectives, and responding to questions about tobacco dependence counseling as well as frequency of use of tobacco prompts and office systems. Our primary dependent measure was student self-reported skill level for items of tobacco dependence treatment (e.g. "5As"). RESULTS: Surveys were completed by 1213 students. For both family medicine and internal medicine clerkships, modeling and providing clear instruction on ways to provide tobacco counseling were reported most commonly. In contrast, providing feedback and clear objectives for tobacco dependence treatment lagged behind. Overall, students who reported preceptors' provision of optimal clinical teaching components and office system prompts in both family medicine and internal medicine clerkships had higher self-reported skill (P&lt;0.001) than students with no exposure or exposure during only one of the clerkships. CONCLUSIONS: Future educational interventions intended to help students adopt effective tobacco dependence treatment techniques should be engineered to facilitate these critical precepting components.</t>
  </si>
  <si>
    <t>J2: Prev Med; Geller, Alan C Hayes, Rashelle B Leone, Frank Churchill, Linda C Leung, Katherine Reed, George Jolicoeur, Denise Okuliar, Catherine Adams, Michael Murray, David M Liu, Qin Waugh, Jonathan David, Sean Ockene, Judith K S0091-7435(13)00115-1; ID: 346</t>
  </si>
  <si>
    <t>Geller, Alan C. Department of Social and Behavioral Sciences, Harvard School of Public Health, Boston, MA 02115, USA. ageller@hsph.harvard.edu</t>
  </si>
  <si>
    <t>http://ovidsp.ovid.com/ovidweb.cgi?T=JS&amp;CSC=Y&amp;NEWS=N&amp;PAGE=fulltext&amp;D=med7&amp;AN=23623894</t>
  </si>
  <si>
    <t>https://dx.doi.org/10.1016/j.ypmed.2013.04.006</t>
  </si>
  <si>
    <t>MEDLINE; Ovid Technologies; Tobacco dependence treatment teaching by medical school clerkship preceptors: survey responses from more than 1,000 US medical students</t>
  </si>
  <si>
    <t>Geller,A. C.;Powers,C. A.</t>
  </si>
  <si>
    <t>Teaching smoking cessation in u.s. Medical schools: a long way to go</t>
  </si>
  <si>
    <t>The Virtual Mentor</t>
  </si>
  <si>
    <t>J2: Virtual Mentor; Geller, Alan C Powers, Catherine A virtualmentor.2007.9.1.medu1-0701; ID: 404</t>
  </si>
  <si>
    <t>1937-7010</t>
  </si>
  <si>
    <t>Geller, Alan C. Research associate professor at Boston University School of Medicine and Public Health.</t>
  </si>
  <si>
    <t>http://ovidsp.ovid.com/ovidweb.cgi?T=JS&amp;CSC=Y&amp;NEWS=N&amp;PAGE=fulltext&amp;D=prem&amp;AN=23217665</t>
  </si>
  <si>
    <t>https://dx.doi.org/10.1001/virtualmentor.2007.9.1.medu1-0701</t>
  </si>
  <si>
    <t>MEDLINE; Ovid Technologies; Teaching smoking cessation in u.s. Medical schools: a long way to go</t>
  </si>
  <si>
    <t>Geller,A. C.;Zapka,J.;Brooks,K. R.;Dube,C.;Powers,C. A.;Rigotti,N.;O'Donnell,J.;Ockene,J.;Prevention;Cessation Education,Consortium</t>
  </si>
  <si>
    <t>Tobacco control competencies for US medical students</t>
  </si>
  <si>
    <t>American Journal of Public Health</t>
  </si>
  <si>
    <t>Am.J.Public Health</t>
  </si>
  <si>
    <t>Adult;*Clinical Competence;Competency-Based Education;*Curriculum;*Education, Medical, Undergraduate/st Standards];Humans;*Schools, Medical/og Organization &amp; Administration];Smoking/ae Adverse Effects];Smoking/pp Physiopathology];*Smoking Cessation/mt Methods];*Smoking Prevention;Tobacco Use Disorder/co Complications];Tobacco Use Disorder/pp Physiopathology];*Tobacco Use Disorder/pc Prevention &amp; Control];United States;United States Dept. of Health and Human Services</t>
  </si>
  <si>
    <t>The 2004 National Action Plan for Tobacco Cessation recommended that the US Department of Health and Human Services convene a diverse group of experts to ensure that competency in tobacco dependence interventions be a core graduation requirement for all new physicians and other key health care professionals. Core competencies would guide the design of new modules and explicitly outline the learning objectives for all graduating medical students. In 2002, the National Cancer Institute funded a consortium to develop, test, and integrate tobacco curricula at 12 US medical schools. Because there was neither an explicit set of tobacco competencies for medical schools nor a process to develop them, one of the consortium's tasks was to articulate competencies and learning objectives.</t>
  </si>
  <si>
    <t>J2: Am J Public Health; Geller, Alan C Zapka, Jane Brooks, Katie R Dube, Catherine Powers, Catherine A Rigotti, Nancy O'Donnell, Joseph Ockene, Judith Prevention and Cessation Education Consortium; ID: 865</t>
  </si>
  <si>
    <t>0090-0036</t>
  </si>
  <si>
    <t>Geller, Alan C. Cancer Prevention and Control Center, Department of Dermatology, Boston University School of Medicine, MA 02118, USA. ageller@bu.edu</t>
  </si>
  <si>
    <t>http://ovidsp.ovid.com/ovidweb.cgi?T=JS&amp;CSC=Y&amp;NEWS=N&amp;PAGE=fulltext&amp;D=med5&amp;AN=15914815</t>
  </si>
  <si>
    <t>MEDLINE; Ovid Technologies; Tobacco control competencies for US medical students</t>
  </si>
  <si>
    <t>Geller,G.;Levine,D. M.;Mamon,J. A.;Moore,R. D.;Bone,L. R.;Stokes,E. J.</t>
  </si>
  <si>
    <t>Knowledge, attitudes, and reported practices of medical students and house staff regarding the diagnosis and treatment of alcoholism</t>
  </si>
  <si>
    <t>Alcoholism/di Diagnosis];*Alcoholism/px Psychology];Alcoholism/th Therapy];*Attitude of Health Personnel;Baltimore;Curriculum;Hospitals, University;Humans;*Internship and Residency;Physician's Role;*Students, Medical/px Psychology]</t>
  </si>
  <si>
    <t>Although alcoholism is prevalent in both general and inpatient populations, barriers to its timely diagnosis and effective treatment exist. These are often attributed to physicians' inadequate understanding and skill development and negative attitudes toward the disease. All Johns Hopkins' medical students and house staff, during 1986 through 1987, received a self-administered survey of their attitudes, skills, perceived role responsibility, knowledge, and reported practices with regard to alcoholism. Results indicate a strong relationship between perceived role responsibility, confidence in skills, and reported screening and referral practices among students and house staff. Knowledge levels strengthened the association between skills and practices for medical students. House staff perceived less of a responsibility for screening than medical students. There was a trend toward lower confidence and more negative attitudes among house staff than medical students. The results point to areas where educational interventions can be improved to enhance quality of care and outcomes for this major chronic disease.</t>
  </si>
  <si>
    <t>J2: Jama; Geller, G Levine, D M Mamon, J A Moore, R D Bone, L R Stokes, E J Comment in: JAMA. 1990 Mar 2;263(9):1198-9; PMID: 2304230; ID: 1384</t>
  </si>
  <si>
    <t>Geller, G. Department of Health Policy and Management, Johns Hopkins University School of Hygiene and Public Health, Baltimore, MD 21205.</t>
  </si>
  <si>
    <t>http://ovidsp.ovid.com/ovidweb.cgi?T=JS&amp;CSC=Y&amp;NEWS=N&amp;PAGE=fulltext&amp;D=med3&amp;AN=2716143</t>
  </si>
  <si>
    <t>MEDLINE; Ovid Technologies; Knowledge, attitudes, and reported practices of medical students and house staff regarding the diagnosis and treatment of alcoholism</t>
  </si>
  <si>
    <t>Gelula,M. H.</t>
  </si>
  <si>
    <t>Addiction medicine: a place for faculty development</t>
  </si>
  <si>
    <t>*Curriculum;Education, Medical;*Faculty, Medical;Guidelines as Topic;Humans;*Schools, Medical;*Substance-Related Disorders;United States</t>
  </si>
  <si>
    <t>Addiction medicine must fight for its space in the undergraduate, graduate and continuing medical education curricula, as do most other clinical domains. Often curriculum time is provided to specialty areas when a clear relevance to the overall curriculum is made obvious. Increasing the awareness of addiction medicine through institutionalized faculty development programs can serve to foster the integration of this specialized curriculum. Institutionalizing faculty development is proposed in a description of a four-phase model. Specific recommendations of goals, processes, and critical steps in the faculty development process supporting scholarship leading to curricular change are described. References: 22]</t>
  </si>
  <si>
    <t>J2: J Psychoactive Drugs; Gelula, M H; ID: 1124</t>
  </si>
  <si>
    <t>Gelula, M H. Department of Medical Education, University of Illinois at Chicago College of Medicine, 60612-7309, USA.</t>
  </si>
  <si>
    <t>http://ovidsp.ovid.com/ovidweb.cgi?T=JS&amp;CSC=Y&amp;NEWS=N&amp;PAGE=fulltext&amp;D=med4&amp;AN=9339859</t>
  </si>
  <si>
    <t>MEDLINE; Ovid Technologies; Addiction medicine: a place for faculty development</t>
  </si>
  <si>
    <t>Gendel,M. H.</t>
  </si>
  <si>
    <t>Forensic and medical legal issues in addiction psychiatry</t>
  </si>
  <si>
    <t>Behavior, Addictive/di Diagnosis];*Behavior, Addictive/th Therapy];Child;Child Abuse;Child Custody;Commitment of Mentally Ill/lj Legislation &amp; Jurisprudence];Confidentiality;Diagnostic and Statistical Manual of Mental Disorders;Disability Evaluation;Duty to Warn/lj Legislation &amp; Jurisprudence];*Forensic Psychiatry/lj Legislation &amp; Jurisprudence];*Forensic Psychiatry/mt Methods];Humans;Mental Competency;Substance-Related Disorders/di Diagnosis];*Substance-Related Disorders/th Therapy];United States</t>
  </si>
  <si>
    <t>There is a broad range of forensic issues in addiction psychiatry. For many psychiatrists, what is most challenging about addressing these issues is their origin in the law, which is a system and a way of thinking that may feel foreign to the medical practitioner. To address forensic issues, addiction psychiatrists should learn and understand the specific legal questions that arise in each forensic context. They should become familiar with the relevant definitions, criteria, and legal requirements that apply in each specific area of their practice, rather than assume that clinical definitions and reasoning will carry them. If they perform forensic evaluations, addiction psychiatrists must distance themselves from the wish to help the examinee, focusing on the role of neutral examiner. Comfort and effectiveness with forensic issues require familiarity with, knowledge of, and ultimately respect for the forensic contexts of addiction psychiatric practice. References: 29]</t>
  </si>
  <si>
    <t>J2: Psychiatr Clin North Am; Gendel, Michael H; ID: 883</t>
  </si>
  <si>
    <t>Gendel, Michael H. University of Colorado Health Sciences Center, Colorado Physician Health Program, 3300 East First Avenue, Suite 590, Denver, CO 80206, USA. mhgendel@aol.com</t>
  </si>
  <si>
    <t>http://ovidsp.ovid.com/ovidweb.cgi?T=JS&amp;CSC=Y&amp;NEWS=N&amp;PAGE=fulltext&amp;D=med5&amp;AN=15550283</t>
  </si>
  <si>
    <t>MEDLINE; Ovid Technologies; Forensic and medical legal issues in addiction psychiatry</t>
  </si>
  <si>
    <t>Gentilini,M.;Tcheriatchoukine,J.;Louasse,P.;Edel,Y.;Dessaint,L.;Duneton,P.;Chieze,F.</t>
  </si>
  <si>
    <t>The health of prisoners]</t>
  </si>
  <si>
    <t>Bulletin de l Academie Nationale de Medecine</t>
  </si>
  <si>
    <t>99; discussion 599-601</t>
  </si>
  <si>
    <t>*Delivery of Health Care;France;HIV Infections/tm Transmission];Hepatitis;*Prisons;Substance-Related Disorders</t>
  </si>
  <si>
    <t>In twenty years, the prison population, from the mother country and the overseas departments, has more than doubled, in spite of reprieve and amnesty decisions. This increase is more a consequence of longer penalties than of a rise in the number of imprisoned people The law no. 94-43, dated january 18th 1994, concerning the prisoners' medical care and welfare is an unprecedented health revolution. It comes in addition to provisions from 1986 and 1987 for the programme "13,000" prisons and those endowed with a regional medical and psychological service (SMPR). The prisoners' health must urgently be dealt with and particularly as regards infectious diseases, vaccination check-up, campaign against drug addiction health and nutrition education and dental care. As soon as incarceration has begun, the exist must be prepared and taken into consideration by the different interveners inside and outside the prison, in order to make sure of an efficient medical follow-up. As the number of intervening medical and social personnel, is increasing in prisons, a coordination inside the their walls as well as on the regional and national levels, would prove useful. References: 48]</t>
  </si>
  <si>
    <t>J2: Bull Acad Natl Med; Gentilini, M Tcheriatchoukine, J Louasse, P Edel, Y Dessaint, L Duneton, P Chieze, F; OP: La sante des detenus; ID: 1135</t>
  </si>
  <si>
    <t>Gentilini, M. Institut Sante et Developpement, Paris.</t>
  </si>
  <si>
    <t>http://ovidsp.ovid.com/ovidweb.cgi?T=JS&amp;CSC=Y&amp;NEWS=N&amp;PAGE=fulltext&amp;D=med4&amp;AN=9203743</t>
  </si>
  <si>
    <t>MEDLINE; Ovid Technologies; [The health of prisoners]</t>
  </si>
  <si>
    <t>Germeroth,L. J.;Carpenter,M. J.;Baker,N. L.;Froeliger,B.;LaRowe,S. D.;Saladin,M. E.</t>
  </si>
  <si>
    <t>Effect of a Brief Memory Updating Intervention on Smoking Behavior: A Randomized Clinical Trial</t>
  </si>
  <si>
    <t>JAMA Psychiatry</t>
  </si>
  <si>
    <t>Adult;Craving;Cues;Extinction, Psychological;Female;Follow-Up Studies;Humans;*Learning;Male;Mental Recall;Middle Aged;Prospective Studies;Recurrence;*Smoking/px Psychology];*Smoking Cessation/mt Methods];*Smoking Cessation/px Psychology];*Smoking Prevention;Young Adult</t>
  </si>
  <si>
    <t>Importance: Recent research on addiction-related memory processes suggests that protracted extinction training following brief cue-elicited memory retrieval (ie, retrieval-extinction R-E] training) can attenuate/eradicate the ability of cues to elicit learned behaviors. One study reported that cue-elicited craving among detoxified heroin addicts was substantially attenuated following R-E training and through 6-month follow-up. Objective: To build on these impressive findings by examining whether R-E training could attenuate smoking-related craving and behavior. Design, Setting, and Participants: This prospective, mixed-design, human laboratory randomized clinical trial took place between December 2013 and September 2015. Participants were recruited in Charleston, South Carolina. Study sessions took place at the Medical University of South Carolina. The participants were 168 screened volunteer smokers, of whom 88 were randomized; 72 of these 88 participants (81.8%) attended all the follow-up sessions through 1 month. The primary eligibility criteria were current nicotine dependence (DSM criteria), smoking 10 or more cigarettes per day, and a willingness to attempt smoking cessation. Interventions: Participants were randomly assigned to receive either smoking-related memory retrieval followed by extinction training (the R-E group) or nonsmoking-related retrieval followed by extinction training (the NR-E group). Main Outcomes and Measures: Primary outcomes were cue-elicited craving and physiological responding to familiar and novel cues in the R-E group vs the NR-E group over a 1-month follow-up period. Secondary outcomes were smoking-related behaviors. Results: A total of 44 participants were randomly assigned to the R-E group (mean age, 48.3 years; 72.7% male); a total of 44 participants were randomly assigned to the NR-E group, with 43 attending at least 1 training session (mean age, 46.7 years; 55.8% male). The mean craving response to both familiar and novel smoking cues was significantly lower for participants in the R-E group than for participants in the NR-E group at 1-month follow-up (for both cue types: t1225=2.1, P=.04, d=0.44, and DELTA=0.47 95% CI, 0.04-0.90]). The mean numbers of cigarettes smoked per day at 2 weeks and 1-month were significantly lower for the R-E group than for the NR-E group (treatment main effect: F1,68=5.4, P=.02, d=0.50, and DELTA=2.4 95% CI, 0.4-4.5]). Significant differences in physiological responses, urine cotinine level, number of days abstinent, lapse, and relapse were not observed between groups (all between P=.06 and .75). Conclusions and Relevance: Retrieval-extinction training substantially attenuated craving to both familiar and novel smoking cues and reduced the number of cigarettes smoked per day by participants 1 month after treatment relative to extinction training alone. Between-group differences were not observed for physiological responses, cotinine level, number of days abstinent, relapse, or lapse. In summary, R-E training is a brief behavioral treatment that targets smoking-related memories and has the potential to enhance relapse prevention. Trial Registration: clinicaltrials.gov Identifier: NCT02154685.</t>
  </si>
  <si>
    <t>J2: JAMA Psychiatry; Germeroth, Lisa J Carpenter, Matthew J Baker, Nathaniel L Froeliger, Brett LaRowe, Steven D Saladin, Michael E; ID: 92</t>
  </si>
  <si>
    <t>2168-6238</t>
  </si>
  <si>
    <t>Germeroth, Lisa J. Department of Health Sciences and Research, Medical University of South Carolina, Charleston2Department of Psychiatry and Behavioral Sciences, Medical University of South Carolina, Charleston. Carpenter, Matthew J. Department of Psychiatry and Behavioral Sciences, Medical University of South Carolina, Charleston3Hollings Cancer Center, Medical University of South Carolina, Charleston. Baker, Nathaniel L. Department of Public Health Sciences, Medical University of South Carolina, Charleston. Froeliger, Brett. Department of Psychiatry and Behavioral Sciences, Medical University of South Carolina, Charleston5Department of Neuroscience, Medical University of South Carolina, Charleston. LaRowe, Steven D. Department of Psychiatry and Behavioral Sciences, Medical University of South Carolina, Charleston6Mental Health Service Line, Ralph H. Johnson VA Medical Center, Charleston, South Carolina. Saladin, Michael E. Department of Health Sciences and Research, Medical University of South Carolina, Charleston2Department of Psychiatry and Behavioral Sciences, Medical University of South Carolina, Charleston.</t>
  </si>
  <si>
    <t>http://ovidsp.ovid.com/ovidweb.cgi?T=JS&amp;CSC=Y&amp;NEWS=N&amp;PAGE=fulltext&amp;D=medc&amp;AN=28146243</t>
  </si>
  <si>
    <t>https://dx.doi.org/10.1001/jamapsychiatry.2016.3148</t>
  </si>
  <si>
    <t>MEDLINE; Ovid Technologies; Effect of a Brief Memory Updating Intervention on Smoking Behavior: A Randomized Clinical Trial</t>
  </si>
  <si>
    <t>Gertler,R.;Ferneau,E. W.</t>
  </si>
  <si>
    <t>Attitudes regarding drug-abuse and the drug abuser: effect of the first-year of the psychiatry residency</t>
  </si>
  <si>
    <t>Affective Symptoms/co Complications];*Attitude of Health Personnel;Humans;*Internship and Residency;*Psychiatry/ed Education];Social Conditions;Substance-Related Disorders/et Etiology];*Substance-Related Disorders;Time Factors</t>
  </si>
  <si>
    <t>J2: Br J Addict Alcohol Other Drugs; Gertler, R Ferneau, E W; ID: 1559</t>
  </si>
  <si>
    <t>http://ovidsp.ovid.com/ovidweb.cgi?T=JS&amp;CSC=Y&amp;NEWS=N&amp;PAGE=fulltext&amp;D=med1&amp;AN=4532052</t>
  </si>
  <si>
    <t>MEDLINE; Ovid Technologies; Attitudes regarding drug-abuse and the drug abuser: effect of the first-year of the psychiatry residency</t>
  </si>
  <si>
    <t>Gesthalter,Y. B.;Wiener,R. S.;Kathuria,H.</t>
  </si>
  <si>
    <t>A Call to Formalize Training in Tobacco Dependence Treatment for Pulmonologists</t>
  </si>
  <si>
    <t>Annals of the American Thoracic Society</t>
  </si>
  <si>
    <t>Humans;*Pulmonary Medicine/ed Education];*Pulmonologists/ed Education];*Smoking Cessation/mt Methods];*Tobacco Use Disorder/th Therapy];United States</t>
  </si>
  <si>
    <t>J2: Ann Am Thorac Soc; Gesthalter, Yaron B Wiener, Renda Soylemez Kathuria, Hasmeena; ID: 117</t>
  </si>
  <si>
    <t>2325-6621</t>
  </si>
  <si>
    <t>Gesthalter, Yaron B. 1 The Pulmonary Center, Boston University School of Medicine, Boston, Massachusetts; and. Wiener, Renda Soylemez. 1 The Pulmonary Center, Boston University School of Medicine, Boston, Massachusetts; and. Wiener, Renda Soylemez. 2 Center for Healthcare Organization and Implementation Research, Edith Nourse Rogers VA Memorial Hospital, Bedford, Massachusetts. Kathuria, Hasmeena. 1 The Pulmonary Center, Boston University School of Medicine, Boston, Massachusetts; and.</t>
  </si>
  <si>
    <t>http://ovidsp.ovid.com/ovidweb.cgi?T=JS&amp;CSC=Y&amp;NEWS=N&amp;PAGE=fulltext&amp;D=med8&amp;AN=27058182</t>
  </si>
  <si>
    <t>https://dx.doi.org/10.1513/AnnalsATS.201512-815LE</t>
  </si>
  <si>
    <t>MEDLINE; Ovid Technologies; A Call to Formalize Training in Tobacco Dependence Treatment for Pulmonologists</t>
  </si>
  <si>
    <t>Ghodse,A. H.;Sheehan,M.;Taylor,C.;Edwards,G.</t>
  </si>
  <si>
    <t>Deaths of drug addicts in the United Kingdom 1967-81</t>
  </si>
  <si>
    <t>Actuarial Analysis;Adult;Age Factors;Drug Therapy;Female;Humans;Male;Middle Aged;Sex Factors;*Substance-Related Disorders/mo Mortality];United Kingdom</t>
  </si>
  <si>
    <t>A search of the Home Office index of notified drug addicts identified 1499 deaths during 1967-81, of which 226 (15%) were of therapeutic addicts--that is, patients who had become addicted during medical treatment with a notifiable drug--and 1273 (85%) were of non-therapeutic addicts. The crude mortality fell from 23.5/1000/year for the period 1968-70 to 18.4/1000/year for 1978-80. Altogether 416 addicts aged under 50 at notification died after 1972, which was 16 times the number of deaths expected in a population with a similar age and sex composition. A more detailed examination of the cohorts of addicts notified each year showed little variation between them in the first two years of follow up. Nineteen addicts (1.6%) had died by 31 December of the year of their notification and 39 (3.3%) one year later. These figures may be an indication of the clinical course of addiction. Most deaths of non-therapeutic addicts in which a drug was implicated (939 cases (74%] were due to medically prescribed drugs--barbiturates at first and later opiates such as dipipanone hydrochloride and dextromoramide. Heroin was implicated in only 65 (7%) of these deaths. The Home Office index is a valuable source for identifying drugs of abuse and serious problems of addiction. The fact that prescribed drugs are causing the death of so many addicts demands a response from the medical profession.</t>
  </si>
  <si>
    <t>J2: Br Med J (Clin Res Ed); Ghodse, A H Sheehan, M Taylor, C Edwards, G; ID: 1466</t>
  </si>
  <si>
    <t>http://ovidsp.ovid.com/ovidweb.cgi?T=JS&amp;CSC=Y&amp;NEWS=N&amp;PAGE=fulltext&amp;D=med2&amp;AN=3918614</t>
  </si>
  <si>
    <t>MEDLINE; Ovid Technologies; Deaths of drug addicts in the United Kingdom 1967-81</t>
  </si>
  <si>
    <t>Giannini,A. J.</t>
  </si>
  <si>
    <t>Tangential symbols: using visual symbolization to teach pharmacological principles of drug addiction to international audiences</t>
  </si>
  <si>
    <t>Journal of clinical pharmacology</t>
  </si>
  <si>
    <t>J.Clin.Pharmacol.</t>
  </si>
  <si>
    <t>Art;*Audiovisual Aids;Functional Laterality;Humans;Language;Pharmacists;*Pharmacology/ed Education];Physicians;*Substance-Related Disorders/px Psychology];*Teaching/mt Methods]</t>
  </si>
  <si>
    <t>Visual art was used to teach the biopsychiatric model of addiction to audiences in the Caribbean, Europe and Mideast. Art slides were tangentially linked to slides of pharmacological data. Stylistically dense art was processed by the intuitive right brain while spare notational pharmacological data was processed by the intellectual (rationalistic) left brain. Simultaneous presentation of these data enhanced attention and retention. This teaching paradigm was based on the nonliterate methods developed by Medieval architects and refined by Italian Renaissance philosopher, Marsilio Ficino.</t>
  </si>
  <si>
    <t>J2: J Clin Pharmacol; Giannini, A J; ID: 1237</t>
  </si>
  <si>
    <t>0091-2700</t>
  </si>
  <si>
    <t>Giannini, A J. Department of Corporate Medical Director, Chemical Abuse Centers, Inc., Austintown, OH.</t>
  </si>
  <si>
    <t>http://ovidsp.ovid.com/ovidweb.cgi?T=JS&amp;CSC=Y&amp;NEWS=N&amp;PAGE=fulltext&amp;D=med3&amp;AN=7510314</t>
  </si>
  <si>
    <t>MEDLINE; Ovid Technologies; Tangential symbols: using visual symbolization to teach pharmacological principles of drug addiction to international audiences</t>
  </si>
  <si>
    <t>Giannini,A. J.;Giannini,J. N.;Condon,M.</t>
  </si>
  <si>
    <t>Use of tangential visual symbols to increase the long-term learning process: applications of linkage in teaching pharmacological principles of addiction</t>
  </si>
  <si>
    <t>Adult;*Audiovisual Aids;Communication;*Education, Medical/mt Methods];Female;Humans;Learning;Male;*Memory;*Pharmacology, Clinical/ed Education];Students, Medical;Substance-Related Disorders</t>
  </si>
  <si>
    <t>Medieval and Renaissance teaching techniques using linkage between course content and tangentially related visual symbols were applied to the teaching of the pharmacological principles of addiction. Forty medical students randomly divided into two blinded groups viewed a lecture. One lecture was supplemented by symbolic slides, and the second was not. Students who viewed symbolic slides had significantly higher scores in a written 15-question multiple-choice test 30 days after the lecture. These results were consistent with learning and semiotic models. These models hypothesize a linkage between conceptual content and perception of visual symbols that thereby increases conceptual retention. Recent neurochemical research supports the existence of a linkage between two chemically distinct memory systems. Simultaneous stimulation of both chemical systems by teaching formats similar to those employed in the study can augment neurochemical signaling in the neocortex.</t>
  </si>
  <si>
    <t>J2: J Clin Pharmacol; Giannini, A J Giannini, J N Condon, M; ID: 1021</t>
  </si>
  <si>
    <t>Giannini, A J. Department of Corporate Medical Director, Chemical Abuse Centers, Inc., Austintown, Ohio, USA.</t>
  </si>
  <si>
    <t>http://ovidsp.ovid.com/ovidweb.cgi?T=JS&amp;CSC=Y&amp;NEWS=N&amp;PAGE=fulltext&amp;D=med4&amp;AN=10883411</t>
  </si>
  <si>
    <t>MEDLINE; Ovid Technologies; Use of tangential visual symbols to increase the long-term learning process: applications of linkage in teaching pharmacological principles of addiction</t>
  </si>
  <si>
    <t>Gifford,E. V.</t>
  </si>
  <si>
    <t>From the specificity hypothesis to patient-centered process: advancing the evolution of behavioral treatment research</t>
  </si>
  <si>
    <t>Behavioral Research/mt Methods];Behavioral Research/td Trends];Education, Medical;Humans;*Physician-Patient Relations;Substance-Related Disorders/et Etiology];*Substance-Related Disorders/th Therapy]</t>
  </si>
  <si>
    <t>J2: Addiction; Gifford, Elizabeth V; ID: 708</t>
  </si>
  <si>
    <t>http://ovidsp.ovid.com/ovidweb.cgi?T=JS&amp;CSC=Y&amp;NEWS=N&amp;PAGE=fulltext&amp;D=med5&amp;AN=17935588</t>
  </si>
  <si>
    <t>MEDLINE; Ovid Technologies; From the specificity hypothesis to patient-centered process: advancing the evolution of behavioral treatment research</t>
  </si>
  <si>
    <t>Gilljam,H.;Post,A.</t>
  </si>
  <si>
    <t>Physicians and nurses are being trained in smoking cessation support within primary health care]</t>
  </si>
  <si>
    <t>Education, Medical, Continuing/ec Economics];Education, Medical, Continuing/sn Statistics &amp; Numerical Data];*Education, Medical, Continuing;Education, Nursing, Continuing/ec Economics];Education, Nursing, Continuing/sn Statistics &amp; Numerical Data];*Education, Nursing, Continuing;Humans;Primary Health Care/ec Economics];Primary Health Care/sn Statistics &amp; Numerical Data];Smoking Cessation/mt Methods];Smoking Cessation/px Psychology];*Smoking Cessation;Sweden</t>
  </si>
  <si>
    <t>J2: Lakartidningen; Swedish Gilljam, H Post, A; OP: Lakare och sjukskoterskor utbildas i rokslutarstod inom primarvarden; ID: 1287</t>
  </si>
  <si>
    <t>Gilljam, H. Lung-medicinska kliniken, Huddinge sjukhus.</t>
  </si>
  <si>
    <t>http://ovidsp.ovid.com/ovidweb.cgi?T=JS&amp;CSC=Y&amp;NEWS=N&amp;PAGE=fulltext&amp;D=med3&amp;AN=1579040</t>
  </si>
  <si>
    <t>MEDLINE; Ovid Technologies; [Physicians and nurses are being trained in smoking cessation support within primary health care]</t>
  </si>
  <si>
    <t>Gillmann-Blum,D.;Castillo-Hofer,C.;Schmidtmann,I.;Ferlinz,R.</t>
  </si>
  <si>
    <t>Does medical education change behavior, attitude and knowledge in relation to smoking? A survey of medical students in the 1st and next to last year of study]</t>
  </si>
  <si>
    <t>Pneumologie</t>
  </si>
  <si>
    <t>Adult;*Attitude of Health Personnel;Female;Germany, West;Humans;Male;*Smoking/px Psychology];Smoking Prevention;*Students, Medical/px Psychology]</t>
  </si>
  <si>
    <t>Among the 831 students in the first and last-but-one year of medical studies, 21% were smokers, 4% occasional smokers, 63% non-smokers and 5% former smokers. There were no statistically significant difference in smoking habits between the first and fifth years of study. The different semesters did, however, reveal significant differences with respect to their evaluation of smoking as a health hazard, their knowledgability as to the causal effects of smoking in diverse diseases, the readiness of the doctors-to-be to counsel their patients to avoid smoking, self assessment of their knowledge about smoker counselling methods, their support for the ban on cigarette advertising, and further education in the field of smoker counselling. Significant difference were to be seen between smokers, former smokers and non-smokers with respect to their personal evaluation of their smoking habits over the next five years, the assessment of smoking as a hazard to health, and the subjective burdening of smoking, the question as to the example-setting and instructive role of the physician with respect to smoking, and the question of statutory measures affecting smoking.</t>
  </si>
  <si>
    <t>J2: Pneumologie; German Gillmann-Blum, D Castillo-Hofer, C Schmidtmann, I Ferlinz, R; OP: Verandert das Medizinstudium Verhalten, Meinung und Wissen uber das Rauchen? Eine Umfrage unter Medizinstudenten im ersten und vorletzten Studienjahr; ID: 1380</t>
  </si>
  <si>
    <t>0934-8387</t>
  </si>
  <si>
    <t>http://ovidsp.ovid.com/ovidweb.cgi?T=JS&amp;CSC=Y&amp;NEWS=N&amp;PAGE=fulltext&amp;D=med3&amp;AN=2755926</t>
  </si>
  <si>
    <t>MEDLINE; Ovid Technologies; [Does medical education change behavior, attitude and knowledge in relation to smoking? A survey of medical students in the 1st and next to last year of study]</t>
  </si>
  <si>
    <t>Gilson,A. M.;Maurer,M. A.;Joranson,D. E.</t>
  </si>
  <si>
    <t>State medical board members' beliefs about pain, addiction, and diversion and abuse: a changing regulatory environment</t>
  </si>
  <si>
    <t>*Analgesics, Opioid/tu Therapeutic Use];*Attitude to Health;Chronic Disease;*Clinical Competence;*Criminal Law/lj Legislation &amp; Jurisprudence];Criminal Law/td Trends];Drug Utilization;*Drug and Narcotic Control/lj Legislation &amp; Jurisprudence];Drug and Narcotic Control/td Trends];Federal Government;Humans;*Licensure, Medical;Middle Aged;*Opioid-Related Disorders/pc Prevention &amp; Control];*Pain/dt Drug Therapy];Pain Clinics/lj Legislation &amp; Jurisprudence];Pain Clinics/st Standards];Practice Guidelines as Topic;Practice Patterns, Physicians';Specialty Boards/st Standards];*Specialty Boards/td Trends];State Government;Surveys and Questionnaires;Wisconsin;0 (Analgesics, Opioid)</t>
  </si>
  <si>
    <t>UNLABELLED: Three national surveys were conducted in 1991, 1997, and 2004 to evaluate state medical board members' knowledge and attitudes about prescribing opioid analgesics for pain management. Topics addressed include perceived legality of prolonged opioid prescribing, characteristics of addiction, prevalence of medication abuse and diversion, and perceived importance and influence of medical board policy. Questions were added in 2004 to determine board members' views about law enforcement involvement in physician investigations and prosecutions. This study assesses medical regulators' current beliefs and compares the 2004 responses with previous responses to determine how knowledge and attitudes about prescribing opioids have changed in recent years. Survey results show that board members have a greater understanding of pain management issues, particularly regarding characteristics of addiction and the legality of prolonged opioid prescribing for chronic noncancer pain. During the last 15 years, there has been substantial regulatory policy development, with medical boards adopting regulations, guidelines, or policy statements to provide guidance to licensees about using opioids to treat pain. However, many board members believe that federal and state law enforcement agencies have increased criminal investigations and prosecutions of physicians. We discuss appropriate regulatory and law enforcement responses to opioid prescribing violations, and suggest crucial next steps. PERSPECTIVE: The authors examine the evolution of state medical board members' knowledge and attitudes about prescribing opioid analgesics to treat chronic pain, demonstrate that medical regulators believe that there have been increased criminal investigations and prosecutions of physicians for their prescribing practices, and suggest ways to avoid unwarranted criminal prosecutions.</t>
  </si>
  <si>
    <t>J2: J Pain; Gilson, Aaron M Maurer, Martha A Joranson, David E; ID: 721</t>
  </si>
  <si>
    <t>1526-5900</t>
  </si>
  <si>
    <t>Gilson, Aaron M. Pain and Policy Studies Group, Comprehensive Cancer Center, University of Wisconsin, Madison, Wisconsin 53711-1068, USA. amgilson@wisc.edu</t>
  </si>
  <si>
    <t>http://ovidsp.ovid.com/ovidweb.cgi?T=JS&amp;CSC=Y&amp;NEWS=N&amp;PAGE=fulltext&amp;D=med5&amp;AN=17627894</t>
  </si>
  <si>
    <t>MEDLINE; Ovid Technologies; State medical board members' beliefs about pain, addiction, and diversion and abuse: a changing regulatory environment</t>
  </si>
  <si>
    <t>Ginzel,K. H.</t>
  </si>
  <si>
    <t>The underemphasis on smoking in medical education</t>
  </si>
  <si>
    <t>New York state journal of medicine</t>
  </si>
  <si>
    <t>N.Y.State J.Med.</t>
  </si>
  <si>
    <t>Adolescent;Adult;Child;Curriculum;*Education, Medical;Humans;Pharmacology;*Smoking;*Substance-Related Disorders;Textbooks as Topic;United States</t>
  </si>
  <si>
    <t>J2: N Y State J Med; Ginzel, K H; ID: 1458</t>
  </si>
  <si>
    <t>0028-7628</t>
  </si>
  <si>
    <t>http://ovidsp.ovid.com/ovidweb.cgi?T=JS&amp;CSC=Y&amp;NEWS=N&amp;PAGE=fulltext&amp;D=med2&amp;AN=3862986</t>
  </si>
  <si>
    <t>MEDLINE; Ovid Technologies; The underemphasis on smoking in medical education</t>
  </si>
  <si>
    <t>Giovino,G. A.;Cummings,K. M.;Koenigsberg,M. R.;Sciandra,R. C.</t>
  </si>
  <si>
    <t>An evaluation of a physician training program on patient smoking cessation</t>
  </si>
  <si>
    <t>Progress in Clinical &amp; Biological Research</t>
  </si>
  <si>
    <t>Adult;Evaluation Studies as Topic;*Family Practice/ed Education];Female;Follow-Up Studies;Humans;Internship and Residency;Male;Middle Aged;Outcome and Process Assessment (Health Care);Physician's Role;Prognosis;*Smoking Prevention</t>
  </si>
  <si>
    <t>J2: Prog Clin Biol Res; Giovino, G A Cummings, K M Koenigsberg, M R Sciandra, R C; ID: 1348</t>
  </si>
  <si>
    <t>0361-7742</t>
  </si>
  <si>
    <t>Giovino, G A. Roswell Park Memorial Institute, Buffalo, New York 14263.</t>
  </si>
  <si>
    <t>http://ovidsp.ovid.com/ovidweb.cgi?T=JS&amp;CSC=Y&amp;NEWS=N&amp;PAGE=fulltext&amp;D=med3&amp;AN=2392425</t>
  </si>
  <si>
    <t>MEDLINE; Ovid Technologies; An evaluation of a physician training program on patient smoking cessation</t>
  </si>
  <si>
    <t>Gladstone,W.;Webster,I. W.;Rotem,A.</t>
  </si>
  <si>
    <t>An initiative for teaching about alcohol and other drugs in Australian medical schools.Erratum appears in Med J Aust 1987 Nov 16;147(10):524]</t>
  </si>
  <si>
    <t>*Alcoholism;Australia;Curriculum;*Education, Medical, Undergraduate;Fiji;Humans;New Zealand;Papua New Guinea;Schools, Medical;*Substance-Related Disorders</t>
  </si>
  <si>
    <t>Education in Australian medical schools is presently under review, including teaching about alcohol and other drugs. In August 1986, the Alcohol and Drug Foundation, Australia (ADFA) presented to the Deans of Australasian medical faculties (including those of Fiji, Papua New Guinea, and New Zealand) a number of options to develop the alcohol and other drugs content of medical courses. It was proposed that a coordinator of education in alcohol and other drugs be appointed in medical faculties; this proposal had been modelled on the US Career Teacher Training Program in Alcohol and Drug Abuse. The Deans expressed interest in ADFA's proposal. This paper discusses the role of undergraduate medical education in alcohol and other drugs, and the background to, and some guide-lines from, the ADFA proposal.</t>
  </si>
  <si>
    <t>J2: Med J Aust; Gladstone, W Webster, I W Rotem, A; ID: 1428</t>
  </si>
  <si>
    <t>Gladstone, W. University of New South Wales, Kensington.</t>
  </si>
  <si>
    <t>http://ovidsp.ovid.com/ovidweb.cgi?T=JS&amp;CSC=Y&amp;NEWS=N&amp;PAGE=fulltext&amp;D=med2&amp;AN=3657660</t>
  </si>
  <si>
    <t>MEDLINE; Ovid Technologies; An initiative for teaching about alcohol and other drugs in Australian medical schools.[Erratum appears in Med J Aust 1987 Nov 16;147(10):524]</t>
  </si>
  <si>
    <t>Glass,I. B.</t>
  </si>
  <si>
    <t>Undergraduate training in substance abuse in the United Kingdom</t>
  </si>
  <si>
    <t>Curriculum;*Education, Medical, Undergraduate;Humans;*Substance-Related Disorders;United Kingdom</t>
  </si>
  <si>
    <t>During 1987 thirteen departments in each of 28 medical schools were surveyed about the training their undergraduate medical students received in substance abuse. There was a 70% response rate, and of the departments that responded, 54% provided formal teaching (lectures, seminars, symposia), on average 14 hours over the 5 year training. Forty-three per cent of the major clinical specialities provided clinical exposure to addiction problems, but only 21% of clinical and non-clinical departments ensured that students were examined on the topic. There is a need to focus teaching in addiction behaviour either by co-ordinated effort over all departments, or by integration within departments. It is pressing to review and revise the medical curriculum because of the escalation of substance abuse, the need for resources, the pivotal role of the medical profession and the relation of drug abuse to the acquired immunodeficiency syndrome. The development of a 'core' curriculum which demarcates key topics, and which encompasses and links pre-clinical and clinical training in addiction behaviour would be valuable.</t>
  </si>
  <si>
    <t>J2: Br J Addict; Glass, I B; ID: 1382</t>
  </si>
  <si>
    <t>http://ovidsp.ovid.com/ovidweb.cgi?T=JS&amp;CSC=Y&amp;NEWS=N&amp;PAGE=fulltext&amp;D=med3&amp;AN=2720184</t>
  </si>
  <si>
    <t>MEDLINE; Ovid Technologies; Undergraduate training in substance abuse in the United Kingdom</t>
  </si>
  <si>
    <t>Substance abuse and professional education: a tops-down or bottoms-up approach?</t>
  </si>
  <si>
    <t>*Education, Medical/td Trends];Humans;Specialization/td Trends];*Substance-Related Disorders/rh Rehabilitation];United Kingdom</t>
  </si>
  <si>
    <t>J2: Br J Addict; Glass, I B; ID: 1393</t>
  </si>
  <si>
    <t>http://ovidsp.ovid.com/ovidweb.cgi?T=JS&amp;CSC=Y&amp;NEWS=N&amp;PAGE=fulltext&amp;D=med3&amp;AN=3224197</t>
  </si>
  <si>
    <t>MEDLINE; Ovid Technologies; Substance abuse and professional education: a tops-down or bottoms-up approach?</t>
  </si>
  <si>
    <t>Glass-Crome,I.</t>
  </si>
  <si>
    <t>Alcohol misuse as challenge to medical education: a belated remedy</t>
  </si>
  <si>
    <t>British medical bulletin</t>
  </si>
  <si>
    <t>Br.Med.Bull.</t>
  </si>
  <si>
    <t>*Alcoholism/di Diagnosis];*Education, Medical/mt Methods];Education, Medical, Graduate/mt Methods];Education, Medical, Undergraduate/mt Methods];Female;Humans;Male;United Kingdom</t>
  </si>
  <si>
    <t>Substance misuse contributes directly or indirectly to each of the 5 key targets outlined in the Health of the Nation strategy: coronary heart disease and stroke, cancers, mental illness, HIV/AIDS and accidents. More specifically, the risk factor targets include a 30% reduction in the prevalence of cigarette smoking to no more than 20% in both men and women by the year 2000; a 30% reduction in the proportion of men drinking more than 21 units of alcohol per week and women drinking more than 14 units per week to 18% and 7% respectively, and reduction in the percentage of drug misusers sharing equipment to no more than 5% in the year 2000. The Tomlinson report repeatedly underscores the problems of drug misuse, alcohol problems and mental illness in Inner London. Both these recent reports admit to a 'lack of trained professionals' (p17) and to 'ensuring that professionals ... are adequately and appropriately educated' (p97). Furthermore, Health of the Nation declares that 'Professional bodies in health and social work will continue to design training to promote the early identification of alcohol misuse, and appropriate referral skills' (p16). References: 25]</t>
  </si>
  <si>
    <t>J2: Br Med Bull; Glass-Crome, I B; ID: 1234</t>
  </si>
  <si>
    <t>0007-1420</t>
  </si>
  <si>
    <t>Glass-Crome, I B. National Addiction Centre, Institute of Psychiatry, University of London, UK.</t>
  </si>
  <si>
    <t>http://ovidsp.ovid.com/ovidweb.cgi?T=JS&amp;CSC=Y&amp;NEWS=N&amp;PAGE=fulltext&amp;D=med3&amp;AN=8149191</t>
  </si>
  <si>
    <t>MEDLINE; Ovid Technologies; Alcohol misuse as challenge to medical education: a belated remedy</t>
  </si>
  <si>
    <t>Glatt,M. M.</t>
  </si>
  <si>
    <t>Training general practitioners</t>
  </si>
  <si>
    <t>*Alcoholism;Attitude of Health Personnel;*Education, Medical, Continuing;*Family Practice/ed Education];Humans</t>
  </si>
  <si>
    <t>J2: Alcohol Alcohol; Glatt, M M Comment on: Alcohol Alcohol. 1997 Jan-Feb;32(1):9-12; PMID: 9131897; ID: 1122</t>
  </si>
  <si>
    <t>http://ovidsp.ovid.com/ovidweb.cgi?T=JS&amp;CSC=Y&amp;NEWS=N&amp;PAGE=fulltext&amp;D=med4&amp;AN=9373706</t>
  </si>
  <si>
    <t>MEDLINE; Ovid Technologies; Training general practitioners</t>
  </si>
  <si>
    <t>Letter: Attitudes towards alcoholism</t>
  </si>
  <si>
    <t>British medical journal</t>
  </si>
  <si>
    <t>Br.Med.J.</t>
  </si>
  <si>
    <t>Alcoholism/th Therapy];*Alcoholism;*Attitude of Health Personnel;Education, Medical, Undergraduate;Humans</t>
  </si>
  <si>
    <t>J2: Br Med J; Glatt, M M; ID: 1553</t>
  </si>
  <si>
    <t>0007-1447</t>
  </si>
  <si>
    <t>http://ovidsp.ovid.com/ovidweb.cgi?T=JS&amp;CSC=Y&amp;NEWS=N&amp;PAGE=fulltext&amp;D=med1&amp;AN=1139267</t>
  </si>
  <si>
    <t>MEDLINE; Ovid Technologies; Letter: Attitudes towards alcoholism</t>
  </si>
  <si>
    <t>Goldfarb,L. M.;Galanter,M.;McDowell,D.;Lifshutz,H.;Dermatis,H.</t>
  </si>
  <si>
    <t>Medical student and patient attitudes toward religion and spirituality in the recovery process</t>
  </si>
  <si>
    <t>Adult;*Attitude;Culture;Curriculum;*Diagnosis, Dual (Psychiatry);Education, Medical;Factor Analysis, Statistical;Female;Humans;Male;Mental Disorders/px Psychology];Professional-Patient Relations;*Religion and Medicine;Reproducibility of Results;Social Values;Socioeconomic Factors;*Students, Medical;*Substance-Related Disorders/rh Rehabilitation];Treatment Outcome</t>
  </si>
  <si>
    <t>This study compares the views on spirituality of dually diagnosed patients (diagnosed with both substance abuse and general psychiatric disorders) and medical students in order to investigate their respective orientations toward spirituality and their views of the importance of spirituality in the treatment of addiction. We administered a modified version of Feagin's "Orientation to Life and God Scale" to assess religious and spiritual orientation in both the patients and students. A second series of items was developed and administered in order to compare the patients' and students' perceptions of the relative importance of a religious and spiritual orientation in substance abuse treatment. A third series of items was also given to compare the nature of religious and health-related services on the inpatient unit that patients and students most wanted to see improved. We found that the medical students responsible for treating substance abuse are significantly less religiously and spirituality oriented than the patients they treat, and that the students do not indicate that spirituality is an important component in the care of these patients. It may be clinically relevant to train medical students in the potential importance of spirituality in addiction treatment so that they can incorporate spirituality into the treatment of addictions.</t>
  </si>
  <si>
    <t>J2: Am J Drug Alcohol Abuse; Goldfarb, L M Galanter, M McDowell, D Lifshutz, H Dermatis, H; ID: 1147</t>
  </si>
  <si>
    <t>Goldfarb, L M. Department of Psychiatry, New York University Medical Center, USA.</t>
  </si>
  <si>
    <t>http://ovidsp.ovid.com/ovidweb.cgi?T=JS&amp;CSC=Y&amp;NEWS=N&amp;PAGE=fulltext&amp;D=med4&amp;AN=8911592</t>
  </si>
  <si>
    <t>MEDLINE; Ovid Technologies; Medical student and patient attitudes toward religion and spirituality in the recovery process</t>
  </si>
  <si>
    <t>Goldstein,B.;Fischer,P. M.;Richards,J. W., J.;Goldstein,A.;Shank,J. C.</t>
  </si>
  <si>
    <t>Smoking counseling practices of recently trained family physicians</t>
  </si>
  <si>
    <t>*Attitude of Health Personnel;*Counseling;Humans;Internship and Residency;Iowa;*Physicians, Family/px Psychology];*Smoking;Time Factors</t>
  </si>
  <si>
    <t>J2: J; Goldstein, B Fischer, P M Richards, J W Jr Goldstein, A Shank, J C; ID: 1439</t>
  </si>
  <si>
    <t>http://ovidsp.ovid.com/ovidweb.cgi?T=JS&amp;CSC=Y&amp;NEWS=N&amp;PAGE=fulltext&amp;D=med2&amp;AN=3806030</t>
  </si>
  <si>
    <t>MEDLINE; Ovid Technologies; Smoking counseling practices of recently trained family physicians</t>
  </si>
  <si>
    <t>Goldstein,B. I.;Fagiolini,A.;Houck,P.;Kupfer,D. J.</t>
  </si>
  <si>
    <t>NIHMS384711; Cardiovascular disease and hypertension among adults with bipolar I disorder in the United States</t>
  </si>
  <si>
    <t>Bipolar disorders</t>
  </si>
  <si>
    <t>Bipolar Disord.</t>
  </si>
  <si>
    <t>Adult;Age Factors;*Bipolar Disorder/co Complications];Bipolar Disorder/di Diagnosis];*Bipolar Disorder/ep Epidemiology];*Cardiovascular Diseases/co Complications];Cardiovascular Diseases/di Diagnosis];*Cardiovascular Diseases/ep Epidemiology];Confidence Intervals;Female;Humans;*Hypertension/co Complications];Hypertension/di Diagnosis];*Hypertension/ep Epidemiology];Male;Middle Aged;Odds Ratio;Prevalence;Psychiatric Status Rating Scales;Retrospective Studies;United States/ep Epidemiology]</t>
  </si>
  <si>
    <t>OBJECTIVE: Despite ample evidence of excess cardiovascular mortality in bipolar disorder (BD), few studies have demonstrated increased prevalence of cardiovascular disease (CVD) and/or hypertension (HTN) in BD. We therefore examined this topic in a representative epidemiologic sample. METHOD: The 2001-2002 National Epidemiologic Survey on Alcohol and Related Conditions was used to determine whether prevalence of physician-diagnosed CVD and HTN is elevated among subjects with lifetime bipolar I disorder (BD-I), and whether CVD and HTN are prevalent at earlier ages among subjects with BD-I. RESULTS: The age-, race-, and sex-adjusted prevalence of CVD was significantly greater among subjects with BD-I versus controls odds ratio (OR) = 4.95, 95% confidence interval (CI): 4.27-5.75] and versus subjects with major depressive disorder (MDD); OR =1.80, 95% CI: 1.52-2.14], as was the prevalence of HTN (OR = 2.38, 95% CI: 2.16-2.62 versus controls, OR = 1.44, 95% CI: 1.30-1.61 versus MDD; p &lt; 0.0001 for all). Controlling additionally for marital status, education, income, obesity, smoking, anxiety disorders, and substance use disorders did not substantially alter these findings. The mean age of BD-I subjects with CVD and HTN was 14 and 13 years younger, respectively, than controls with CVD and HTN. CONCLUSIONS: Adults with BD-I are at increased risk of CVD and HTN, prevalent over a decade earlier than non-BD adults. Strategies are needed to prevent excessive and premature cardiovascular burden in BD-I.</t>
  </si>
  <si>
    <t>J2: Bipolar Disord; Goldstein, Benjamin I Fagiolini, Andrea Houck, Patricia Kupfer, David J; ID: 614</t>
  </si>
  <si>
    <t>1399-5618</t>
  </si>
  <si>
    <t>Goldstein, Benjamin I. Western Psychiatric Institute and Clinic, University of Pittsburgh School of Medicine, Pittsburgh, PA, USA. benjamin.goldstein@sunnybrook.ca</t>
  </si>
  <si>
    <t>http://ovidsp.ovid.com/ovidweb.cgi?T=JS&amp;CSC=Y&amp;NEWS=N&amp;PAGE=fulltext&amp;D=med6&amp;AN=19689508</t>
  </si>
  <si>
    <t>https://dx.doi.org/10.1111/j.1399-5618.2009.00735.x</t>
  </si>
  <si>
    <t>MEDLINE; Ovid Technologies; Cardiovascular disease and hypertension among adults with bipolar I disorder in the United States</t>
  </si>
  <si>
    <t>Goldstein,F. J.</t>
  </si>
  <si>
    <t>DOs need more training in diagnosing and treating addiction</t>
  </si>
  <si>
    <t>*Education, Medical, Continuing;Humans;*Osteopathic Medicine/ed Education];Substance-Related Disorders/di Diagnosis];Substance-Related Disorders/th Therapy];*Substance-Related Disorders</t>
  </si>
  <si>
    <t>J2: J Am Osteopath Assoc; Goldstein, F J Comment on: J Am Osteopath Assoc. 1999 Sep;99(9):461-9; PMID: 10522084; ID: 1056</t>
  </si>
  <si>
    <t>http://ovidsp.ovid.com/ovidweb.cgi?T=JS&amp;CSC=Y&amp;NEWS=N&amp;PAGE=fulltext&amp;D=med4&amp;AN=10522083</t>
  </si>
  <si>
    <t>MEDLINE; Ovid Technologies; DOs need more training in diagnosing and treating addiction</t>
  </si>
  <si>
    <t>Golenkov,A. V.</t>
  </si>
  <si>
    <t>Experience of teaching the questions of alcoholism to medical students]</t>
  </si>
  <si>
    <t>Zhurnal Nevrologii i Psikhiatrii Imeni S.S.Korsakova</t>
  </si>
  <si>
    <t>*Alcoholism;*Education, Medical, Undergraduate/og Organization &amp; Administration];Humans;*Psychiatry/ed Education];Schools, Medical;*Students, Medical</t>
  </si>
  <si>
    <t>The experience of teaching alcoholism to undergraduate students of a medical school at lectures and practical trainings on narcology (psychiatry), at the organization of independent, educational and research work is described. Aprioristic ideas of students of alcoholism and alcohol abuse are analyzed. Possibilities of use movies for narcology teaching are discussed. It is offered to strengthen intercathedral integration of teaching in higher education institution the questions of alcoholic intoxication and dependence, to direct educational process on development of bases of preservation and correction of health of future doctors and patients, to increase educational motivation of students by introduction of active methods of training (clinical games), educational multimedia modules and work intensification with patients.</t>
  </si>
  <si>
    <t>J2: Zh Nevrol Psikhiatr Im S S Korsakova; Golenkov, A V; ID: 345</t>
  </si>
  <si>
    <t>1997-7298</t>
  </si>
  <si>
    <t>Russian</t>
  </si>
  <si>
    <t>http://ovidsp.ovid.com/ovidweb.cgi?T=JS&amp;CSC=Y&amp;NEWS=N&amp;PAGE=fulltext&amp;D=med7&amp;AN=23887474</t>
  </si>
  <si>
    <t>MEDLINE; Ovid Technologies; [Experience of teaching the questions of alcoholism to medical students]</t>
  </si>
  <si>
    <t>Golz,J.</t>
  </si>
  <si>
    <t>Ambulatory medical treatment of drug dependent patients]</t>
  </si>
  <si>
    <t>*Ambulatory Care;Heroin Dependence/px Psychology];Heroin Dependence/rh Rehabilitation];Humans;Methadone/tu Therapeutic Use];Naloxone/tu Therapeutic Use];Narcotic Antagonists/tu Therapeutic Use];Physician-Patient Relations;Primary Health Care;*Psychotropic Drugs;*Street Drugs;Substance-Related Disorders/px Psychology];*Substance-Related Disorders/rh Rehabilitation];Treatment Outcome;0 (Narcotic Antagonists);0 (Psychotropic Drugs);0 (Street Drugs);36B82AMQ7N (Naloxone);UC6VBE7V1Z (Methadone)</t>
  </si>
  <si>
    <t>The treatment and counseling of drug addicts increasingly comes under the responsibility of family physicians. Since the onset of the AIDS epidemic this applies in particular to the methadone treatment of chronically ill heroin addicts. Medical education concerning the treatment of addiction is insufficient. Unprofessional dealing with drug addicts may easily result in serious obstruction of the relation between physician and patient. Thus it endangers the success of treatment. Basic guidelines of interaction, possibilities of abstinence therapy as well as harm reducing strategies are presented. References: 5]</t>
  </si>
  <si>
    <t>J2: Z Arztl Fortbild (Jena); Golz, J; OP: Ambulante arztliche Behandlung von Drogenabhangigen; ID: 1166</t>
  </si>
  <si>
    <t>http://ovidsp.ovid.com/ovidweb.cgi?T=JS&amp;CSC=Y&amp;NEWS=N&amp;PAGE=fulltext&amp;D=med4&amp;AN=8928526</t>
  </si>
  <si>
    <t>MEDLINE; Ovid Technologies; [Ambulatory medical treatment of drug dependent patients]</t>
  </si>
  <si>
    <t>Gomel,M. K.;Wutzke,S. E.;Hardcastle,D. M.;Lapsley,H.;Reznik,R. B.</t>
  </si>
  <si>
    <t>Cost-effectiveness of strategies to market and train primary health care physicians in brief intervention techniques for hazardous alcohol use</t>
  </si>
  <si>
    <t>Social science &amp; medicine</t>
  </si>
  <si>
    <t>Soc.Sci.Med.</t>
  </si>
  <si>
    <t>*Alcohol Drinking/pc Prevention &amp; Control];*Alcoholism/pc Prevention &amp; Control];Cost-Benefit Analysis;Counseling;*Education, Medical, Continuing/og Organization &amp; Administration];Humans;*Marketing of Health Services/og Organization &amp; Administration];Mass Screening;New South Wales;Outcome and Process Assessment (Health Care);*Physicians, Family/ed Education];Program Evaluation;*Psychotherapy, Brief/ed Education]</t>
  </si>
  <si>
    <t>The cost-effectiveness of strategies to market and train primary care physicians in brief intervention for hazardous alcohol consumption was examined. Physicians were randomly assigned to one of three marketing strategies designed to promote the "uptake" of a brief intervention package for hazardous and harmful alcohol consumption. The strategies were direct mail, tele-marketing, or academic detailing. One hundred and twenty-seven of those physicians who requested the package during the marketing phase (phase 1) and who also agreed to participate in the training and support phase of the project (phase 2) were matched into one of three training and support conditions: training and no support, training and minimal support, training and maximal support. An additional 34 physicians were randomly selected and assigned to a control condition. The ultimate aim of training and support was to maximise physician screening and counselling rates. Tele-marketing was found to be more cost-effective than academic detailing and direct mail in promoting the uptake of the package. For the training and support phase costs and effects increased with the level of support, hence the issue to be considered is whether the additional cost incurred in moving from one strategy to another is warranted given the increase in the level of outcome.</t>
  </si>
  <si>
    <t>J2: Soc Sci Med; Gomel, M K Wutzke, S E Hardcastle, D M Lapsley, H Reznik, R B; ID: 1096</t>
  </si>
  <si>
    <t>0277-9536</t>
  </si>
  <si>
    <t>Gomel, M K. Department of Psychological Medicine, University of Sydney, Australia.</t>
  </si>
  <si>
    <t>http://ovidsp.ovid.com/ovidweb.cgi?T=JS&amp;CSC=Y&amp;NEWS=N&amp;PAGE=fulltext&amp;D=med4&amp;AN=9720639</t>
  </si>
  <si>
    <t>MEDLINE; Ovid Technologies; Cost-effectiveness of strategies to market and train primary health care physicians in brief intervention techniques for hazardous alcohol use</t>
  </si>
  <si>
    <t>Gomez,D.;Jason,L. A.;Contreras,R.;DiGangi,J.;Ferrari,J. R.</t>
  </si>
  <si>
    <t>Vocational Training and Employment Attainment among Substance Abuse Recovering Individuals within a Communal Living Environment</t>
  </si>
  <si>
    <t>Therapeutic Communities: the International Journal for Therapeutic &amp; Supportive Organizations</t>
  </si>
  <si>
    <t>PURPOSE: The present study explored the effects of length of stay in an Oxford House (a sober living environment) with the number of days attended school/vocational training and days worked in the past 90 days with 292 women and 604 men. DESIGN/METHODOLOGY/APPROACH: This paper presents quantitative data. FINDINGS: Results indicated that number of days residing in these recovery homes was related to number of days attending school/vocational training and days worked. ORIGINALITY/VALUE: The present study suggested that in addition to staying abstinent from alcohol and drugs, Oxford House residents may gain useful life skills through vocational education, training, and employment. This is an area of further exploration for the substance abuse recovery community.</t>
  </si>
  <si>
    <t>J2: Ther; Gomez, Daisy Jason, Leonard A Contreras, Richard DiGangi, Julia Ferrari, Joseph R; ID: 1701</t>
  </si>
  <si>
    <t>0964-1866</t>
  </si>
  <si>
    <t>Gomez, Daisy. Center for Community Research DePaul University. Jason, Leonard A. Center for Community Research DePaul University. Contreras, Richard. Center for Community Research DePaul University. DiGangi, Julia. Center for Community Research DePaul University. Ferrari, Joseph R. Center for Community Research DePaul University.</t>
  </si>
  <si>
    <t>http://ovidsp.ovid.com/ovidweb.cgi?T=JS&amp;CSC=Y&amp;NEWS=N&amp;PAGE=fulltext&amp;D=medp&amp;AN=25018591</t>
  </si>
  <si>
    <t>MEDLINE; Ovid Technologies; Vocational Training and Employment Attainment among Substance Abuse Recovering Individuals within a Communal Living Environment</t>
  </si>
  <si>
    <t>Gonzalez,E. R.</t>
  </si>
  <si>
    <t>Medical school uncorks alcoholism education</t>
  </si>
  <si>
    <t>Alcoholism/px Psychology];*Alcoholism;*Curriculum;Humans;New Hampshire;*Schools, Medical;United States</t>
  </si>
  <si>
    <t>J2: Jama; Gonzalez, E R; ID: 1492</t>
  </si>
  <si>
    <t>http://ovidsp.ovid.com/ovidweb.cgi?T=JS&amp;CSC=Y&amp;NEWS=N&amp;PAGE=fulltext&amp;D=med2&amp;AN=7120584</t>
  </si>
  <si>
    <t>MEDLINE; Ovid Technologies; Medical school uncorks alcoholism education</t>
  </si>
  <si>
    <t>Gopalan,R.;Santora,P.;Stokes,E. J.;Moore,R. D.;Levine,D. M.</t>
  </si>
  <si>
    <t>Evaluation of a model curriculum on substance abuse at The Johns Hopkins University School of Medicine</t>
  </si>
  <si>
    <t>Baltimore;Clinical Competence/st Standards];*Curriculum;Education, Medical, Undergraduate/mt Methods];*Education, Medical, Undergraduate/st Standards];Educational Measurement;Evaluation Studies as Topic;Health Knowledge, Attitudes, Practice;Humans;Mass Screening/st Standards];Medical History Taking/st Standards];*Models, Theoretical;Physician's Role;Students, Medical/px Psychology];Substance-Related Disorders/di Diagnosis];Substance-Related Disorders/pc Prevention &amp; Control];Substance-Related Disorders/th Therapy];*Substance-Related Disorders;Surveys and Questionnaires</t>
  </si>
  <si>
    <t>Beginning in 1985, The Johns Hopkins University School of Medicine developed a model curriculum on alcohol abuse to enhance the education of medical students in issues related to the abuse of alcohol and other drugs. By 1987, preclinical courses (given in years one and two) reflected the goals of the curriculum; however, integration of the curriculum into the clinical courses (given in years three and four) was only partially successful. This paper reports on nine annual surveys of students (the classes of 1989-1992) that were conducted from 1987 to 1990 to measure the effects of the curriculum, using previously validated instruments to record the students' knowledge, attitudes, beliefs in role responsibility, and confidence in clinical skills. Significant improvements occurred in the students' attitudes, beliefs in role responsibility, and confidence in skills during their preclinical years. These positive changes were stronger, and better sustained during the clinical years, in students who participated in special programs or elective courses focusing on substance abuse; the positive changes were not always sustained in other students. The authors suggest that enhanced experiential sessions, elective programs, and greater emphasis during the clinical years on issues relating to substance abuse are necessary for maintaining the desirable educational outcomes of a substance abuse management curriculum, and that an intensive program against a backdrop of curriculum reform is a useful model.</t>
  </si>
  <si>
    <t>J2: Acad Med; Gopalan, R Santora, P Stokes, E J Moore, R D Levine, D M; ID: 1291</t>
  </si>
  <si>
    <t>Gopalan, R. Pharmacoepidemiology Unit, Johns Hopkins University School of Medicine, Baltimore, Maryland.</t>
  </si>
  <si>
    <t>http://ovidsp.ovid.com/ovidweb.cgi?T=JS&amp;CSC=Y&amp;NEWS=N&amp;PAGE=fulltext&amp;D=med3&amp;AN=1558600</t>
  </si>
  <si>
    <t>MEDLINE; Ovid Technologies; Evaluation of a model curriculum on substance abuse at The Johns Hopkins University School of Medicine</t>
  </si>
  <si>
    <t>Gordon,A. J.</t>
  </si>
  <si>
    <t>Abstracts presented at the Association for Medical Education and Research in Substance Abuse (AMERSA) 41st Annual Conference, Washington, DC, USA, November 2017</t>
  </si>
  <si>
    <t>The 41st annual meeting of the Association for Medical Education and Research in Substance Abuse (AMERSA) was held in Washington, DC, USA, in November 2017. Contained in this paper are the abstracts of scientific work presented at the conference.</t>
  </si>
  <si>
    <t>J2: Subst Abus; Gordon, Adam J; ID: 1641</t>
  </si>
  <si>
    <t>Gordon, Adam J. a University of Utah School of Medicine , Salt Lake City , Utah , USA. Gordon, Adam J. b VA Salt Lake City Healthcare System , Salt Lake City , Utah , USA.</t>
  </si>
  <si>
    <t>http://ovidsp.ovid.com/ovidweb.cgi?T=JS&amp;CSC=Y&amp;NEWS=N&amp;PAGE=fulltext&amp;D=prem&amp;AN=29509099</t>
  </si>
  <si>
    <t>https://dx.doi.org/10.1080/08897077.2018.1441944</t>
  </si>
  <si>
    <t>MEDLINE; Ovid Technologies; Abstracts presented at the Association for Medical Education and Research in Substance Abuse (AMERSA) 41st Annual Conference, Washington, DC, USA, November 2017</t>
  </si>
  <si>
    <t>Gordon,A. J.;Liberto,J.;Granda,S.;Salmon-Cox,S.;Andree,T.;McNicholas,L.</t>
  </si>
  <si>
    <t>Outcomes of DATA 2000 certification trainings for the provision of buprenorphine treatment in the Veterans Health Administration</t>
  </si>
  <si>
    <t>*Buprenorphine/tu Therapeutic Use];*Certification;*Education;Follow-Up Studies;*Health Occupations/ed Education];Humans;*Narcotic Antagonists/tu Therapeutic Use];*Opioid-Related Disorders/dt Drug Therapy];*Practice Patterns, Physicians';United States;*United States Department of Veterans Affairs;Veterans;0 (Narcotic Antagonists);40D3SCR4GZ (Buprenorphine)</t>
  </si>
  <si>
    <t>Despite the high numbers of veterans with opioid dependence, few receive pharmacologic treatment for this disorder. The adoption of buprenorphine treatment within the Veterans Health Administration (VHA) has been slow. To expand capacity for buprenorphine treatment, the VHA sponsored two eight-hour credentialing courses for the Drug Addiction Treatment Act of 2000. We sought to describe the outcomes of such training. Following the training sessions, 29 participants (18 physicians) were highly satisfied with course content and affirmed their intention to prescribe buprenorphine; after nine-month follow-up, two physicians were prescribing. We conclude that providing credentialing courses, while popular, did not markedly promote the prescription of buprenorphine.</t>
  </si>
  <si>
    <t>J2: Am J Addict; Gordon, Adam J Liberto, Joseph Granda, Stephanie Salmon-Cox, Sara Andree, Tykia McNicholas, Laura Comment in: Am J Addict. 2009 Jul-Aug;18(4):336; author reply 337-8; PMID: 19444740; ID: 653</t>
  </si>
  <si>
    <t>Gordon, Adam J. Mental Illness Research, Education, and Clinical Center, VA Pittsburgh Healthcare System, Pittsburgh, Pennsylvania 15206, USA. adam.gordon@va.gov</t>
  </si>
  <si>
    <t>http://ovidsp.ovid.com/ovidweb.cgi?T=JS&amp;CSC=Y&amp;NEWS=N&amp;PAGE=fulltext&amp;D=med6&amp;AN=19034736</t>
  </si>
  <si>
    <t>https://dx.doi.org/10.1080/10550490802408613</t>
  </si>
  <si>
    <t>MEDLINE; Ovid Technologies; Outcomes of DATA 2000 certification trainings for the provision of buprenorphine treatment in the Veterans Health Administration</t>
  </si>
  <si>
    <t>Gordon,S. M.;Johnson,J. A.;Greenfield,S. F.;Cohen,L.;Killeen,T.;Roman,P. M.</t>
  </si>
  <si>
    <t>NIHMS193085; Assessment and treatment of co-occurring eating disorders in publicly funded addiction treatment programs</t>
  </si>
  <si>
    <t>Adult;*Anorexia Nervosa/ep Epidemiology];*Anorexia Nervosa/rh Rehabilitation];*Bulimia Nervosa/ep Epidemiology];*Bulimia Nervosa/rh Rehabilitation];Combined Modality Therapy;*Community Mental Health Services/sn Statistics &amp; Numerical Data];Comorbidity;Cross-Sectional Studies;Female;*Financing, Government;Health Services Accessibility/sn Statistics &amp; Numerical Data];Health Surveys;Humans;Inservice Training;Longitudinal Studies;Male;Mass Screening;Middle Aged;Referral and Consultation/sn Statistics &amp; Numerical Data];*Substance Abuse Treatment Centers/sn Statistics &amp; Numerical Data];*Substance-Related Disorders/ep Epidemiology];*Substance-Related Disorders/rh Rehabilitation];United States</t>
  </si>
  <si>
    <t>OBJECTIVE: Publicly funded addiction treatment programs were surveyed to increase understanding of treatment options for persons with co-occurring eating and substance use disorders. METHODS: Data were collected between 2002 and 2004 from face-to-face interviews with program directors of a nationally representative sample of 351 addiction treatment programs. RESULTS: Half of the programs screen patients for eating disorders; 29% admit all persons with eating disorders, and 48% admit persons with eating disorders of low severity. Few programs attempt to treat eating disorders. Programs that admit and treat patients with eating disorders are more likely to emphasize a medical-psychiatric model of addiction, use psychiatric medications, admit patients with other psychiatric disorders, and have a lower caseload of African-American patients. CONCLUSIONS: Generally, patients with co-occurring eating and substance use disorders do not appear to receive structured assessment or treatment for eating disorders in addiction treatment programs. These results highlight the need for education of addiction treatment professionals in assessment of eating disorders.</t>
  </si>
  <si>
    <t>J2: Psychiatr Serv; Gordon, Susan Merle Johnson, J Aaron Greenfield, Shelly F Cohen, Lisa Killeen, Therese Roman, Paul M; ID: 662</t>
  </si>
  <si>
    <t>Gordon, Susan Merle. Research Department, Seabrook House, 133 PolkLn., P.O. Box 5055, Seabrook, NJ 08302-5055, USA. sgordon@seabrookhouse.org</t>
  </si>
  <si>
    <t>http://ovidsp.ovid.com/ovidweb.cgi?T=JS&amp;CSC=Y&amp;NEWS=N&amp;PAGE=fulltext&amp;D=med6&amp;AN=18757602</t>
  </si>
  <si>
    <t>https://dx.doi.org/10.1176/appi.ps.59.9.1056</t>
  </si>
  <si>
    <t>MEDLINE; Ovid Technologies; Assessment and treatment of co-occurring eating disorders in publicly funded addiction treatment programs</t>
  </si>
  <si>
    <t>Gordon,S. M.;Troncale,J.</t>
  </si>
  <si>
    <t>Evaluation of the effectiveness of an addiction treatment training program for physicians</t>
  </si>
  <si>
    <t>American Clinical Laboratory</t>
  </si>
  <si>
    <t>Am.Clin.Lab.</t>
  </si>
  <si>
    <t>Alcoholism/di Diagnosis];*Alcoholism/th Therapy];Attitude of Health Personnel;Education, Medical, Continuing;*Family Practice/ed Education];Physicians;Substance-Related Disorders/di Diagnosis];*Substance-Related Disorders/th Therapy]</t>
  </si>
  <si>
    <t>J2: Am Clin Lab; Gordon, Susan Merle Troncale, Joseph; ID: 971</t>
  </si>
  <si>
    <t>1041-3235</t>
  </si>
  <si>
    <t>Gordon, Susan Merle. Caron Foundation, Galen Hall Rd., Box 150, Wernersville, PA 19565, USA. sgordon@caronfoundation.org</t>
  </si>
  <si>
    <t>http://ovidsp.ovid.com/ovidweb.cgi?T=JS&amp;CSC=Y&amp;NEWS=N&amp;PAGE=fulltext&amp;D=med4&amp;AN=12122780</t>
  </si>
  <si>
    <t>MEDLINE; Ovid Technologies; Evaluation of the effectiveness of an addiction treatment training program for physicians</t>
  </si>
  <si>
    <t>Gorman,D. M.;Werner,J. M.;Jacobs,L. M.;Duffy,S. W.</t>
  </si>
  <si>
    <t>Evaluation of an alcohol education package for non-specialist health care and social workers</t>
  </si>
  <si>
    <t>Adult;*Alcoholism/px Psychology];Alcoholism/rh Rehabilitation];*Attitude of Health Personnel;Curriculum;Education, Medical, Continuing;Female;Follow-Up Studies;Humans;*Inservice Training/mt Methods];Male;*Patient Care Team;*Social Work, Psychiatric/ed Education]</t>
  </si>
  <si>
    <t>A quasi-experimental non-equivalent control group design was used to assess the influence of a two-day experiential alcohol education package for non-specialist health care and social workers. Four pairs of teams took part in the study: general practice; accident and emergency; medicine for the elderly; and social work. The dual foci of the evaluation were agents' knowledge and attitudes, and these were assessed using a modified version of the Alcohol and Alcohol Problems Perception Questionnaire (AAPPQ). For both variables, the one-month follow-up scores of the education teams were significantly higher than those of the comparisons, although the effect was stronger in the case of therapeutic attitudes than knowledge. There were also significant differences in improvement in attitude scores, with significant effects being observed in the general practice, medicine for the elderly and social work teams but not the accident and emergency. At 6 months, the level of fall-off in improvement varied and this, along with the pattern of change evident in the five components which comprise the AAPPQ attitude scale, was examined and discussed in relation to previous research in this field of inquiry.</t>
  </si>
  <si>
    <t>J2: Br J Addict; Gorman, D M Werner, J M Jacobs, L M Duffy, S W; ID: 1363</t>
  </si>
  <si>
    <t>Gorman, D M. Drinking Problem Service, Brookfields Hospital, Cambridge, United Kingdom.</t>
  </si>
  <si>
    <t>http://ovidsp.ovid.com/ovidweb.cgi?T=JS&amp;CSC=Y&amp;NEWS=N&amp;PAGE=fulltext&amp;D=med3&amp;AN=2317588</t>
  </si>
  <si>
    <t>MEDLINE; Ovid Technologies; Evaluation of an alcohol education package for non-specialist health care and social workers</t>
  </si>
  <si>
    <t>Graham,A.;Pfeifer,J.;Trumble,J.;Nelson,E. D.</t>
  </si>
  <si>
    <t>A Pilot Project: Continuing Education for Pharmacists on Substance Abuse Prevention</t>
  </si>
  <si>
    <t>The American Association of Colleges of Pharmacy advocates that pharmacists can have a significant impact on substance abuse prevention provided they receive adequate training. Continuing education programs are needed to enable practicing pharmacists to augment their limited education. This paper examines the process the Society of Teachers of Family Medicine (STFM) used to develop a pilot continuing education program for pharmacists. With limited literature and a small number of pharmacy teaching about substance abuse, input on topics and training methods was obtained from a convenience sample of practicing pharmacists to enhance the information from the pharmacist faculty regarded as content experts. Results of this pilot study revealed lack of agreement between faculty and practicing pharmacists regarding the prioritizing of content and educational methods. Consequently, input must be obtained from targeted audiences instead of relying solely on the advice of identified academic content experts when designing continuing educational programs. Other professions should consider this process when designing continuing education programs. Pharmacists are poised to play an important role in the prevention of substance abuse problems, but they need continuing education about substance abuse.</t>
  </si>
  <si>
    <t>J2: Subst Abus; Graham, Antonnette Pfeifer, Judie Trumble, Jeanne Nelson, E. Don; ID: 1712</t>
  </si>
  <si>
    <t>Graham, Antonnette. Department of Family Medicine, School of Medicine, Case Western Reserve University, Cleveland, Ohio 44106-4950.</t>
  </si>
  <si>
    <t>http://ovidsp.ovid.com/ovidweb.cgi?T=JS&amp;CSC=Y&amp;NEWS=N&amp;PAGE=fulltext&amp;D=medp&amp;AN=12511819</t>
  </si>
  <si>
    <t>MEDLINE; Ovid Technologies; A Pilot Project: Continuing Education for Pharmacists on Substance Abuse Prevention</t>
  </si>
  <si>
    <t>Graham,A. V.;Davis,A. K.;Coggan,P. G.;Sherwood,R. A.</t>
  </si>
  <si>
    <t>Long-term evaluation of a substance abuse fellowship program in family medicine</t>
  </si>
  <si>
    <t>*Faculty, Medical;*Family Practice/ed Education];*Fellowships and Scholarships;Humans;Male;Program Evaluation;Staff Development;*Substance-Related Disorders;United States</t>
  </si>
  <si>
    <t>BACKGROUND: Faculty development fellowship programs provide avenues for physicians to develop careers in academic medicine. However, the long-term impact of these programs has not been evaluated. This paper examines the impact of an 18-month substance abuse faculty development fellowship administered by the Society of Teachers of Family Medicine (STFM) 7 years after the fellowship's completion. METHODS: Fellows were interviewed by telephone. Their CVs were examined to assess how their present substance abuse teaching, clinical, research, administrative, scholarly, and networking activities compared with those prior to the fellowship. RESULTS: Initially, fellows contributed modules to an STFM publication and increased substance abuse teaching in their home institutions. Seven years later, fellows reported increased activity in substance abuse teaching, clinical, administrative, and research activities over those prior to the fellowship and attributed these increases to the fellowship. Fellows' CVs reflected increased publications, presentations, and networking activities with each other, including the creation of the STFM Group on Substance Abuse. CONCLUSIONS: In a 7-year follow-up, STFM's substance abuse fellowship program met its original goals, strengthened the academic and professional achievements of the fellows, and fostered the development of several fellows as leaders within the substance abuse field.</t>
  </si>
  <si>
    <t>J2: Fam Med; Graham, A V Davis, A K Coggan, P G Sherwood, R A; ID: 1140</t>
  </si>
  <si>
    <t>Graham, A V. Department of Family Medicine, Case Western Reserve University, Cleveland, Ohio, USA. avg@po.cwru.edu</t>
  </si>
  <si>
    <t>http://ovidsp.ovid.com/ovidweb.cgi?T=JS&amp;CSC=Y&amp;NEWS=N&amp;PAGE=fulltext&amp;D=med4&amp;AN=9085102</t>
  </si>
  <si>
    <t>MEDLINE; Ovid Technologies; Long-term evaluation of a substance abuse fellowship program in family medicine</t>
  </si>
  <si>
    <t>Graham,A. V.;Zyzanski,S.;Reeb,K.;Sedlacek,D.;Emmitt-Myers,S.</t>
  </si>
  <si>
    <t>Physician documentation of family alcohol problems</t>
  </si>
  <si>
    <t>Journal of substance abuse</t>
  </si>
  <si>
    <t>J.Subst.Abuse</t>
  </si>
  <si>
    <t>Adult;Alcoholism/pc Prevention &amp; Control];*Alcoholism/px Psychology];Family Practice/ed Education];*Family Practice/st Standards];Female;Humans;*Internship and Residency/st Standards];Male;Medical History Taking/st Standards];Middle Aged;Physician's Role;Physician-Patient Relations</t>
  </si>
  <si>
    <t>This study was conducted to determine whether family medicine residents' documentation of patient and family alcohol problems corresponded with patients' assessments. A random sample of 180 patient charts from a university-based family practice was audited and 78% (n = 140) of these patients participated in telephone interviews. Of those who participated in the telephone interview, 40% (n = 56) reported a positive family history of drinking problems, 28% (n = 39) indicated that they were currently concerned about the alcohol use of someone in their family, and 24% (n = 34) reported that at least one family member currently had an alcohol problem. Ninety-six percent (n = 134) of the subjects indicated that they believed physicians should ask about family alcohol problems and 91% (n = 128) believed physicians could be helpful in alcohol treatment at least some of the time. The audit of the 180 medical records indicated that residents charted a positive family history on 13% (n = 23) of the records and noted impact upon the family due to a member's drinking in 2% (n = 4) of the records. The study revealed that residents frequently did not identify alcohol problems or related family difficulties and highlighted the need for training and education in this area.</t>
  </si>
  <si>
    <t>J2: J Subst Abuse; Graham, A V Zyzanski, S Reeb, K Sedlacek, D Emmitt-Myers, S; ID: 1219</t>
  </si>
  <si>
    <t>0899-3289</t>
  </si>
  <si>
    <t>Graham, A V. Department of Family Medicine, Case Western Reserve University, Cleveland, OH 44106-4950.</t>
  </si>
  <si>
    <t>http://ovidsp.ovid.com/ovidweb.cgi?T=JS&amp;CSC=Y&amp;NEWS=N&amp;PAGE=fulltext&amp;D=med3&amp;AN=8081112</t>
  </si>
  <si>
    <t>MEDLINE; Ovid Technologies; Physician documentation of family alcohol problems</t>
  </si>
  <si>
    <t>Grant,L. P.;Haughton,B.;Sachan,D. S.</t>
  </si>
  <si>
    <t>Nutrition education is positively associated with substance abuse treatment program outcomes</t>
  </si>
  <si>
    <t>Cross-Sectional Studies;Data Collection;*Delivery of Health Care, Integrated;*Health Knowledge, Attitudes, Practice;Humans;*Nutritional Sciences/ed Education];Patient Education as Topic;Severity of Illness Index;*Substance Abuse Treatment Centers;Substance-Related Disorders/px Psychology];*Substance-Related Disorders/th Therapy];Surveys and Questionnaires;Treatment Outcome;United States</t>
  </si>
  <si>
    <t>The scope and types of nutrition services provided in substance abuse treatment programs has not been well defined nor has there been an attempt to determine if associations exist between the provision of nutrition services and substance abuse treatment outcomes. The objectives of this study were to assess the provision (use and extent) of nutrition education in substance abuse treatment programs in facilities that provide a single or two or more substance abuse treatment programs, and to determine the possible association between nutrition intervention and substance abuse treatment program outcome measures (defined as changes in Addiction Severity Index ASI] composite scores). A descriptive, single, cross-sectional survey of registered dietitians with clinical nutrition program management responsibility (n=152) was used to define the use and extent of nutrition services in substance abuse treatment programs. Positive associations between nutrition services provided, particularly nutrition education services and substance abuse treatment program outcome measures, were detected. When group nutrition/substance abuse education was offered, ASI psychological and medical domain scores improved by 68% and 56%, respectively (P&lt;.05). Individual nutrition/substance abuse education was a predictor of ASI family/social domain change scores improving by 99% (P&lt;.05). In those programs where group nutrition/substance abuse education was offered, moderate to strong correlations with various nutrition education services were observed, specifically in individual nutrition/substance abuse education (r=0.51; P&lt;.05), group normal/nutrition education (r=0.64; P&lt;.01), and individual normal/nutrition education (r=0.46; P&lt;.05). Substance abuse treatment programs offering group nutrition/substance abuse education offered significantly (P&lt;.05) more nutrition services overall. Findings support the position that nutrition education is an essential component of substance abuse treatment programs and can enhance substance abuse treatment outcomes. Dietitians should promote and encourage the inclusion of nutrition education into substance abuse treatment programs.</t>
  </si>
  <si>
    <t>J2: J Am Diet Assoc; Grant, Louise P Haughton, Betsy Sachan, Dileep S; ID: 908</t>
  </si>
  <si>
    <t>Grant, Louise P. Nutrition and Food Service, James H Quillen VA Medical Center, Mountain Home, TN, USA. louise.grant2@med.va.gov</t>
  </si>
  <si>
    <t>http://ovidsp.ovid.com/ovidweb.cgi?T=JS&amp;CSC=Y&amp;NEWS=N&amp;PAGE=fulltext&amp;D=med5&amp;AN=15054346</t>
  </si>
  <si>
    <t>MEDLINE; Ovid Technologies; Nutrition education is positively associated with substance abuse treatment program outcomes</t>
  </si>
  <si>
    <t>Grassi,M. C.;Baraldo,M.;Chiamulera,C.;Culasso,F.;Raupach,T.;Ferketich,A. K.;Patrono,C.;Nencini,P.</t>
  </si>
  <si>
    <t>Knowledge about health effects of cigarette smoking and quitting among Italian university students: the importance of teaching nicotine dependence and treatment in the medical curriculum</t>
  </si>
  <si>
    <t>BioMed Research International</t>
  </si>
  <si>
    <t>Adult;Female;Humans;Italy;Male;*Patient Education as Topic;*Smoking/ae Adverse Effects];*Smoking Cessation;*Surveys and Questionnaires;Time Factors;*Tobacco Use Disorder;Universities</t>
  </si>
  <si>
    <t>Aims of the study were to compare medical students (MS) to non-MS with respect to their knowledge of smoking and to investigate the effect of a short educational intervention on MS knowledge. MS (n = 962) and students of architecture and law (n = 229) were asked to complete a 60-item questionnaire addressing knowledge of smoking epidemiology and health effects ("Score 1"), and effectiveness of cessation treatments ("Score 2"). Upon completion of questionnaire, fourth year MS received a lecture on tobacco dependence. These students were asked to complete the same questionnaire one and two years later. Mean values for Score 1 were 48.9 +/- 11.5% in MS and 40.5 +/- 11.4% in non-MS (P &lt; 0.001; d = 0.69). Respective values for Score 2 were 48.1 +/- 10.8% and 42.6 +/- 10.6% (P &lt; 0.001; d = 0.50). Fifth year students who had attended the lecture in year 4 scored higher than students who had not attended the lecture. Significant differences were noted one but not two years after the educational intervention. In conclusion, MS know slightly more about smoking-related diseases and methods to achieve cessation than nonmedical students; a short educational intervention was associated with better knowledge one year later, but the effect was moderate and short-lived.</t>
  </si>
  <si>
    <t>J2: Biomed Res Int; Grassi, Maria Caterina Baraldo, Massimo Chiamulera, Christian Culasso, Franco Raupach, Tobias Ferketich, Amy K Patrono, Carlo Nencini, Paolo; ID: 261</t>
  </si>
  <si>
    <t>2314-6141</t>
  </si>
  <si>
    <t>Grassi, Maria Caterina. Department of Physiology and Pharmacology "V. Erspamer", School of Medicine, Sapienza University of Rome, Piazzale Aldo Moro 5, 00185 Rome, Italy. Baraldo, Massimo. Department of Experimental and Clinical Medicine, School of Medicine, University of Udine, Piazzale S. Maria della Misericordia, 33100 Udine, Italy. Chiamulera, Christian. Department of Public Health and Community Medicine, Section of Pharmacology, University of Verona, Policlinico G. B. Rossi, Piazzale Scuro 10, 36134 Verona, Italy. Culasso, Franco. Department of Public Health and Infectious Diseases, School of Medicine, Sapienza University of Rome, Piazzale Aldo Moro 5, 00185 Rome, Italy. Raupach, Tobias. Department of Cardiology and Pneumology, University Hospital Gottingen, Robert-Koch-Strasse 40, 37075 Gottingen, Germany ; Department of Epidemiology and Public Health, Health Behaviour Research Centre, University College London, 1-19 Torrington Place, London WC1E7HB, UK. Ferketich, Amy K. Division of Epidemiology, The Ohio State University College of Public Health, 1841 Neil Ave, 310 Cunz Hall, Columbus, OH 43210, USA. Patrono, Carlo. Department of Pharmacology, School of Medicine, Catholic University of Rome, Largo F. Vito 1, 00168 Rome, Italy. Nencini, Paolo. Department of Physiology and Pharmacology "V. Erspamer", School of Medicine, Sapienza University of Rome, Piazzale Aldo Moro 5, 00185 Rome, Italy.</t>
  </si>
  <si>
    <t>http://ovidsp.ovid.com/ovidweb.cgi?T=JS&amp;CSC=Y&amp;NEWS=N&amp;PAGE=fulltext&amp;D=med8&amp;AN=24804212</t>
  </si>
  <si>
    <t>https://dx.doi.org/10.1155/2014/321657</t>
  </si>
  <si>
    <t>MEDLINE; Ovid Technologies; Knowledge about health effects of cigarette smoking and quitting among Italian university students: the importance of teaching nicotine dependence and treatment in the medical curriculum</t>
  </si>
  <si>
    <t>Grassi,M. C.;Chiamulera,C.;Baraldo,M.;Culasso,F.;Ferketich,A. K.;Raupach,T.;Patrono,C.;Nencini,P.</t>
  </si>
  <si>
    <t>Cigarette smoking knowledge and perceptions among students in four Italian medical schools</t>
  </si>
  <si>
    <t>Adult;*Attitude of Health Personnel;*Clinical Competence/sn Statistics &amp; Numerical Data];Education, Medical, Undergraduate;Female;Forecasting;Health Knowledge, Attitudes, Practice;Humans;Italy/ep Epidemiology];Male;Middle Aged;Physician-Patient Relations;*Smoking Cessation/mt Methods];*Smoking Prevention;*Students, Medical/sn Statistics &amp; Numerical Data];Surveys and Questionnaires;Tobacco Use Disorder/pc Prevention &amp; Control];*Tobacco Use Disorder/th Therapy];Young Adult</t>
  </si>
  <si>
    <t>INTRODUCTION: Tobacco smoking is the leading cause of premature death in the developed world. Advice and assistance by physicians help smokers quit, but little attention has been paid to the topic of tobacco dependence in the curricula of Italian medical schools. Consequently, few physicians follow the clinical practice guidelines for treating dependence. METHODS: This study was conducted on 439 students at 4 Italian medical schools in 2010. Students were asked to complete a 60-item questionnaire. Two scores were computed: Score 1 assessed knowledge of the epidemiology of smoking, risks associated with smoking, and benefits of cessation. Score 2 assessed knowledge of tobacco dependence treatment guidelines and the effectiveness of treatments. A score of less than 60% indicated insufficient knowledge. RESULTS: Medical students had limited knowledge of the epidemiology of smoking, attributable morbidity and mortality, and the benefits of cessation. This limited knowledge was reflected by the finding that 70% of students had a total Score 1 less than 60% of available points. Knowledge of clinical guidelines, perceived competence in counseling smokers, and treatment of addiction was also insufficient, as 76% of students achieved a total Score 2 of less than 60%. CONCLUSIONS: Our data demonstrate that Italian medical students have limited knowledge about tobacco dependence, how to treat it, and the critical role of the physician in promoting cessation. Taken together with research from other countries, these findings suggest that medical schools do not offer adequate training in tobacco dependence and provide a rationale for modifying the core curriculum to include more information on tobacco dependence treatment.</t>
  </si>
  <si>
    <t>J2: Nicotine Tob Res; Grassi, Maria Caterina Chiamulera, Christian Baraldo, Massimo Culasso, Franco Ferketich, Amy K Raupach, Tobias Patrono, Carlo Nencini, Paolo; ID: 402</t>
  </si>
  <si>
    <t>1469-994X</t>
  </si>
  <si>
    <t>Grassi, Maria Caterina. Department of Physiology and Pharmacology V. Erspamer, Sapienza University of Rome, 5, Piazzale Aldo Moro, 00161 Rome, Italy. caterina.grassi@uniroma1.it</t>
  </si>
  <si>
    <t>http://ovidsp.ovid.com/ovidweb.cgi?T=JS&amp;CSC=Y&amp;NEWS=N&amp;PAGE=fulltext&amp;D=med7&amp;AN=22345319</t>
  </si>
  <si>
    <t>https://dx.doi.org/10.1093/ntr/ntr330</t>
  </si>
  <si>
    <t>MEDLINE; Ovid Technologies; Cigarette smoking knowledge and perceptions among students in four Italian medical schools</t>
  </si>
  <si>
    <t>Graves,T. G.;Terlep,G. T.;Rudy,D. R.;Burge,M. K.</t>
  </si>
  <si>
    <t>Hospital charting of substance use</t>
  </si>
  <si>
    <t>Adolescent;Adult;Aged;Alcohol Drinking;*Documentation;Family Practice;Female;Humans;Inpatients;Internal Medicine;Internship and Residency;Male;*Medical Records;Middle Aged;Retrospective Studies;Smoking;*Substance-Related Disorders/di Diagnosis]</t>
  </si>
  <si>
    <t>BACKGROUND: Recent evidence suggests that physicians can help patients reduce or even discontinue cigarette smoking. Physicians may also be able to help patients decrease their use of alcohol or illegal drugs. A prerequisite for helping patients decrease substance use is for physicians to ask patients about their use of cigarettes, alcohol, and illicit drugs. METHODS: We performed a retrospective study of 212 medical records to measure physicians' documentation of patient use of alcohol, cigarettes, and illicit drugs in an inpatient setting. The study compared residents and attending physicians in family practice and internal medicine. RESULTS: Physicians charted cigarette use in 73% of medical records, alcohol use in 70%, and drug use in only 12.5%. Family physicians charted substance use more frequently than internal medicine physicians for alcohol and illicit drugs (P &lt; .05 by Pearson's chi-square analysis) and for cigarettes (P = .07). In each specialty, residents charted substance use more often than attending physicians (P &lt; .01). Attending family physicians (P &lt; .05) charted substance use more often in male than in female patients. This was not found among internal medicine physicians. CONCLUSION: The results of the study suggest that the stage of medical career, medical specialty, and sex of the patient affect the frequency of charting substance abuse.</t>
  </si>
  <si>
    <t>J2: Fam Med; Graves, T G Terlep, G T Rudy, D R Burge, M K; ID: 1264</t>
  </si>
  <si>
    <t>Graves, T G. Bay Area Family Physicians, New Baltimore, Mich.</t>
  </si>
  <si>
    <t>http://ovidsp.ovid.com/ovidweb.cgi?T=JS&amp;CSC=Y&amp;NEWS=N&amp;PAGE=fulltext&amp;D=med3&amp;AN=1426731</t>
  </si>
  <si>
    <t>MEDLINE; Ovid Technologies; Hospital charting of substance use</t>
  </si>
  <si>
    <t>Gray,D. P.</t>
  </si>
  <si>
    <t>Problem drinking</t>
  </si>
  <si>
    <t>Journal of the Royal College of General Practitioners</t>
  </si>
  <si>
    <t>J.R.Coll.Gen.Pract.</t>
  </si>
  <si>
    <t>*Alcoholism/pc Prevention &amp; Control];Education, Medical, Undergraduate;Family Practice/ed Education];Female;Humans;Male;United Kingdom</t>
  </si>
  <si>
    <t>J2: J R Coll Gen Pract; Gray, D P; ID: 1426</t>
  </si>
  <si>
    <t>0035-8797</t>
  </si>
  <si>
    <t>http://ovidsp.ovid.com/ovidweb.cgi?T=JS&amp;CSC=Y&amp;NEWS=N&amp;PAGE=fulltext&amp;D=med2&amp;AN=3668901</t>
  </si>
  <si>
    <t>MEDLINE; Ovid Technologies; Problem drinking</t>
  </si>
  <si>
    <t>Gray,J. D.;Bhopal,R. S.;White,M.</t>
  </si>
  <si>
    <t>Developing a medical school alcohol policy</t>
  </si>
  <si>
    <t>*Alcohol Drinking;*Alcoholism/th Therapy];England;*Health Policy;Humans;Policy Making;*Schools, Medical</t>
  </si>
  <si>
    <t>The health and lifestyle problems of medical students and doctors give cause for concern on several fronts. We have developed a health policy for staff and students in Newcastle Medical School. This policy presents integrated recommendations relating to six key areas, i.e. alcohol, physical activity, sexual health, stress, occupational health and safety, and diet. The methods used to develop recommendations in relation to alcohol are described here. They were adopted by the working groups developing recommendations in the other areas. There were four key stages to policy development: establishing an information base; preparing a draft policy for consultation; consulting staff and students, and finalizing the policy. Consultation was a slow and challenging process but led to substantial revisions to the policy, enhancing its acceptability and likely success. The final policy includes a 3-year implementation plan setting out actions, resource implications and key players. Our policy, which has been adopted by the medical school and will soon be implemented, includes recommendations regarding changes to the school environment, training and education needs for staff and students, and access to services for those with alcohol related problems. Health policies should be developed in other medical schools and our approach offer a possible model.</t>
  </si>
  <si>
    <t>J2: Med Educ; Gray, J D Bhopal, R S White, M; ID: 1102</t>
  </si>
  <si>
    <t>Gray, J D. Department of Epidemiology &amp; Public Health, University of Newcastle upon Tyne, UK.</t>
  </si>
  <si>
    <t>http://ovidsp.ovid.com/ovidweb.cgi?T=JS&amp;CSC=Y&amp;NEWS=N&amp;PAGE=fulltext&amp;D=med4&amp;AN=9743764</t>
  </si>
  <si>
    <t>MEDLINE; Ovid Technologies; Developing a medical school alcohol policy</t>
  </si>
  <si>
    <t>Grayson-Sneed,K.;Smith,R. C.</t>
  </si>
  <si>
    <t>A research coding method to evaluate a smoking cessation model for training residents-A preliminary report</t>
  </si>
  <si>
    <t>Patient Education &amp; Counseling</t>
  </si>
  <si>
    <t>OBJECTIVE: Develop a reliable coding method of a cigarette cessation model used to train residents - a preliminary report. METHODS: Two trained (30h) undergraduates coded videotaped interviews from 161 resident-simulated patient (SP) interactions. To establish reliability, coders coded 33 (20%) of 161 study set tapes for the BHTM. Cohen's Kappa and percent of agreement were used to measure coders' reliability in unitizing and coding residents' skills for eliciting 5 variables: Educating, Informing, and Motivating (3 items); Commitment and Goals (3 items); Negotiate Plan (7 items); Patient-Centered Skills (9 items); Emotional Skills (6 items). RESULTS: 50 items were dichotomized a priori from analysis of the training model and were reduced to 28 during training. Kappa ranged from 0.73 to 0.87 for the 5 variables and 28 individual items. The overall kappa was 0.84, and percent of agreement was 93%. Percent of agreement by item ranged from 82 to 100%. CONCLUSIONS: A highly reliable coding method, weighted (by no. of items) to highlight the key elements of the teaching, is recommended for investigators wishing to better focus on the partnership, emotions, and planning. PRACTICE IMPLICATIONS: This is a unique way to integrate patient-centered skills into motivational interviewing.</t>
  </si>
  <si>
    <t>J2: Patient Educ Couns; Grayson-Sneed, Katelyn A Smith, Robert C S0738-3991(17)30550-5; ID: 1636</t>
  </si>
  <si>
    <t>1873-5134</t>
  </si>
  <si>
    <t>Grayson-Sneed, Katelyn A. 788 Service Road, Michigan State University, Department of Medicine, East Lansing, MI 48824, USA; 404 Wilson Road, Michigan State University, Department of Communication, East Lansing, MI, USA. Smith, Robert C. 788 Service Road, Michigan State University, Department of Medicine, East Lansing, MI 48824, USA. Electronic address: robert.smith@ht.msu.edu.</t>
  </si>
  <si>
    <t>http://ovidsp.ovid.com/ovidweb.cgi?T=JS&amp;CSC=Y&amp;NEWS=N&amp;PAGE=fulltext&amp;D=prem&amp;AN=28947361</t>
  </si>
  <si>
    <t>https://dx.doi.org/10.1016/j.pec.2017.09.010</t>
  </si>
  <si>
    <t>MEDLINE; Ovid Technologies; A research coding method to evaluate a smoking cessation model for training residents-A preliminary report</t>
  </si>
  <si>
    <t>Green,A. J.;Holloway,D. G.</t>
  </si>
  <si>
    <t>An education programme for professionals who specialize in substance misuse in St. Petersburg, Russia: part 2</t>
  </si>
  <si>
    <t>Nurse education today</t>
  </si>
  <si>
    <t>Nurse Educ.Today</t>
  </si>
  <si>
    <t>Cross-Cultural Comparison;*Education, Medical;*Education, Nursing;Humans;*International Cooperation;Program Evaluation/mt Methods];Russia;*Substance-Related Disorders/nu Nursing];*Substance-Related Disorders/rh Rehabilitation];United Kingdom</t>
  </si>
  <si>
    <t>This paper extends the account of a joint project of education and training of doctors and nurses in St. Petersburg, Russia funded by the Know How Fund Health Sector Small Partnership Scheme (Russia) (). It reports the findings of two evaluations of the project. The first, an external evaluation was carried on behalf of the sponsors, the KHF. The second was an 'insider' evaluation utilising a framework developed for the English National Board by Cranfield and Stoneman. The paper concludes with a discussion of issues arising from the cross-cultural evaluations.</t>
  </si>
  <si>
    <t>J2: Nurse Educ Today; Green, Anita J Holloway, David G; ID: 950</t>
  </si>
  <si>
    <t>0260-6917</t>
  </si>
  <si>
    <t>Green, Anita J. Lecturer (Clinical) in Mental Health, Duke of Kent Building European Institute of Health and Medical Sciences, University of Surrey, Guildford, UK. a.green@surrey.ac.uk</t>
  </si>
  <si>
    <t>http://ovidsp.ovid.com/ovidweb.cgi?T=JS&amp;CSC=Y&amp;NEWS=N&amp;PAGE=fulltext&amp;D=med4&amp;AN=12443701</t>
  </si>
  <si>
    <t>MEDLINE; Ovid Technologies; An education programme for professionals who specialize in substance misuse in St. Petersburg, Russia: part 2</t>
  </si>
  <si>
    <t>Green,T. C.;Bratberg,J.;Dauria,E. F.;Rich,J. D.</t>
  </si>
  <si>
    <t>Responding to opioid overdose in Rhode Island: where the medical community has gone and where we need to go</t>
  </si>
  <si>
    <t>Rhode Island medicine</t>
  </si>
  <si>
    <t>R.I.Med.</t>
  </si>
  <si>
    <t>*Analgesics, Opioid/to Toxicity];Drug Overdose/ep Epidemiology];*Drug Overdose/pc Prevention &amp; Control];*Emergency Medical Services/sn Statistics &amp; Numerical Data];*Health Education/og Organization &amp; Administration];Health Knowledge, Attitudes, Practice;Health Services Accessibility/sn Statistics &amp; Numerical Data];Health Services Needs and Demand;Humans;*Naloxone/tu Therapeutic Use];*Narcotic Antagonists/tu Therapeutic Use];Practice Patterns, Physicians';*Prescription Drug Misuse/sn Statistics &amp; Numerical Data];Rhode Island/ep Epidemiology];0 (Analgesics, Opioid);0 (Narcotic Antagonists);36B82AMQ7N (Naloxone)</t>
  </si>
  <si>
    <t>The number of opioid overdose events in Rhode Island has increased dramatically/catastrophically in the last decade; Rhode Island now has one of the highest per capita overdose death rates in the country. Healthcare professionals have an important role to play in the reduction of unintentional opioid overdose events. This article explores the medical community's response to the local opioid overdose epidemic and proposes strategies to create a more collaborative and comprehensive response. We emphasize the need for improvements in preventing, identifying and treating opioid addiction, providing overdose education and ensuring access to the rescue medicine naloxone.</t>
  </si>
  <si>
    <t>J2: R I Med; Green, Traci C Bratberg, Jef Dauria, Emily F Rich, Josiah D; ID: 219</t>
  </si>
  <si>
    <t>2327-2228</t>
  </si>
  <si>
    <t>Green, Traci C. Assistant Professor of Emergency Medicine and Epidemiology at the Warren Alpert Medical School of Brown University. She is an affiliated researcher at The Center for Prisoner Health and Human Rights at the Miriam Hospital and the Injury Prevention Center at Rhode Island Hospital. Bratberg, Jef. Clinical Professor of Pharmacy Practice, University of Rhode Island College of Pharmacy. Dauria, Emily F. Postdoctoral Fellow in the Department of Psychiatry and Human Behavior at the Warren Alpert Medical School of Brown University. Rich, Josiah D. Attending Physician in the Division of Infectious Diseases, The Miriam Hospital, co-director of The Center for Health and Human Rights, and Professor of Medicine and Community Health at the Warren Alpert Medical School of Brown University.</t>
  </si>
  <si>
    <t>http://ovidsp.ovid.com/ovidweb.cgi?T=JS&amp;CSC=Y&amp;NEWS=N&amp;PAGE=fulltext&amp;D=med8&amp;AN=25271657</t>
  </si>
  <si>
    <t>MEDLINE; Ovid Technologies; Responding to opioid overdose in Rhode Island: where the medical community has gone and where we need to go</t>
  </si>
  <si>
    <t>Greenberg,W. M.;Ritvo,J. I.;Fazzio,L.;Bridgeford,D.;Fong,T.</t>
  </si>
  <si>
    <t>A survey of addiction training programming in psychiatry residencies</t>
  </si>
  <si>
    <t>The authors surveyed 50 psychiatry residency training programs to examine the current status of addiction training and the impact of the new Residency Review Committee addiction training criteria for general psychiatry residencies. Only 5 programs did not already meet the new 1-month full-time equivalent addiction training requirement, and those programs anticipated only modest changes. The modal full-time equivalent addiction experience was actually 2 months, with great diversity in timing and settings. Respondents, however, often felt that their programs relied on one key addiction supervisor and that affiliated PGY-5 addiction residents usually had only limited roles in teaching and supervising the general psychiatry residents.</t>
  </si>
  <si>
    <t>J2: Acad Psychiatry; Greenberg, William M Ritvo, Jonathan I Fazzio, Lydia Bridgeford, Denise Fong, Tim; ID: 928</t>
  </si>
  <si>
    <t>Greenberg, William M. Medical College of Pennsylvania and Hahnemann School of Medicine, Philadelphia, PA, USA.</t>
  </si>
  <si>
    <t>http://ovidsp.ovid.com/ovidweb.cgi?T=JS&amp;CSC=Y&amp;NEWS=N&amp;PAGE=fulltext&amp;D=prem&amp;AN=12824152</t>
  </si>
  <si>
    <t>MEDLINE; Ovid Technologies; A survey of addiction training programming in psychiatry residencies</t>
  </si>
  <si>
    <t>Greer,S. M.;Dalton,J. A.;Carlson,J.;Youngblood,R.</t>
  </si>
  <si>
    <t>Surgical patients' fear of addiction to pain medication: the effect of an educational program for clinicians</t>
  </si>
  <si>
    <t>Clinical Journal of Pain</t>
  </si>
  <si>
    <t>Clin.J.Pain</t>
  </si>
  <si>
    <t>Adolescent;Adult;Aged;Aged, 80 and over;*Analgesics, Opioid/ae Adverse Effects];*Analgesics, Opioid/tu Therapeutic Use];*Education, Medical;*Fear/px Psychology];Female;Humans;*Laparotomy/ae Adverse Effects];*Laparotomy/px Psychology];Male;Middle Aged;*Opioid-Related Disorders/et Etiology];*Opioid-Related Disorders/px Psychology];*Orthopedic Procedures/ae Adverse Effects];*Orthopedic Procedures/px Psychology];Pain Measurement;*Pain, Postoperative/dt Drug Therapy];*Pain, Postoperative/et Etiology];Patient Satisfaction;Physician-Patient Relations;Treatment Outcome;0 (Analgesics, Opioid)</t>
  </si>
  <si>
    <t>OBJECTIVE: The appropriate and optimal use of analgesics is essential for the adequate management of postoperative pain. Concern that use of opioid analgesics contributes to the development of addiction is a barrier to effective pain relief. The purpose of this study was to determine the prevalence of fear of addiction in postoperative patients in relation to surgical outcomes and staff participation in an educational program. DESIGN: Two treatment levels (program vs. control) and three data collection periods (before program, immediately after the program, and 6 months after the program). SETTING: Six community hospitals with 100-500-bed capacities in a southeastern state. PATIENTS: Seven hundred eighty-seven patients who had undergone orthopedic or laparotomy procedures. INTERVENTIONS: Staff at three of the six hospitals received an educational program to promote implementation of Agency for Health Care Policy and Research acute pain management guidelines. OUTCOME MEASURES: Patient report of preoperative and postoperative fear of addiction, satisfaction with pain treatment, communication with clinicians, and pain intensity. RESULTS: Only 10.8% of the sample reported preoperative or postoperative fear of addiction. Staff participation in the educational program was found to decrease fear of addiction in this sample. Fear of addiction was also related to surgery type, with disc surgery patients more likely to report fear of addiction as compared with patients undergoing other types of surgery. Fear of addiction was not related to other outcomes in this sample. CONCLUSIONS: Fear of addiction is not prevalent among postoperative patients, yet clinician education can further decrease the proportion of surgical patients who fear of addiction to pain medication.</t>
  </si>
  <si>
    <t>J2: Clin J Pain; Greer, S M Dalton, J A Carlson, J Youngblood, R; ID: 997</t>
  </si>
  <si>
    <t>0749-8047</t>
  </si>
  <si>
    <t>Greer, S M. School of Nursing, University of North Carolina at Chapel Hill, USA. susan_greer@unc.edu</t>
  </si>
  <si>
    <t>http://ovidsp.ovid.com/ovidweb.cgi?T=JS&amp;CSC=Y&amp;NEWS=N&amp;PAGE=fulltext&amp;D=med4&amp;AN=11444717</t>
  </si>
  <si>
    <t>MEDLINE; Ovid Technologies; Surgical patients' fear of addiction to pain medication: the effect of an educational program for clinicians</t>
  </si>
  <si>
    <t>Greer,S. W.;Bauchner,H.;Zuckerman,B.</t>
  </si>
  <si>
    <t>Pediatrician's knowledge and practices regarding parental use of alcohol</t>
  </si>
  <si>
    <t>American Journal of Diseases of Children</t>
  </si>
  <si>
    <t>*Alcoholism/ep Epidemiology];Alcoholism/th Therapy];Education, Medical, Continuing;Family Practice/mt Methods];*Health Knowledge, Attitudes, Practice;Humans;Medical History Taking;*Parents;Pediatrics/ed Education];*Pediatrics/mt Methods];*Physicians/px Psychology];Surveys and Questionnaires</t>
  </si>
  <si>
    <t>Problems with alcohol are common in the United States but are too frequently ignored by physicians, particularly those working with children. We explored pediatricians' knowledge and practices regarding parental use of alcohol and compared these attributes with those of family practitioners. Child health care providers attending three continuing medical education courses in general pediatrics were surveyed using a closed-item questionnaire. One hundred ninety (69%) of the participants responded, including 90 pediatricians and 39 family practitioners. Forty-six percent of responding pediatricians, compared with 90% of family practitioners, stated that they ask about problems with alcohol in taking a routine family history. Thirty-eight percent of pediatricians who knew the frequency of alcoholism, compared with 47% of those who did not, indicated that they include it in taking a routine family history. Forty-six percent of pediatricians who have experienced a problem with alcohol in their own family, compared with 20% of pediatricians without such personal experience, routinely address the issue of alcohol use with parents and children. Similar analyses among the family practitioners revealed no significant differences. We conclude that fewer than half of pediatricians ask about problems with alcohol in taking a family history. The likelihood of asking about such problems was not influenced by the health care provider's knowledge of alcoholism, but it was influenced by the provider's personal family history of problems with alcohol. Because of the important morbidity associated with alcohol use in families, and because intervention can improve functioning and adaptation of the child, training and Continuing Medical Education courses should address this issue.</t>
  </si>
  <si>
    <t>J2: Am J Dis Child; Greer, S W Bauchner, H Zuckerman, B; ID: 1340</t>
  </si>
  <si>
    <t>0002-922X</t>
  </si>
  <si>
    <t>Greer, S W. Division of General Pediatrics, Boston City Hospital, MA 02118.</t>
  </si>
  <si>
    <t>http://ovidsp.ovid.com/ovidweb.cgi?T=JS&amp;CSC=Y&amp;NEWS=N&amp;PAGE=fulltext&amp;D=med3&amp;AN=2239863</t>
  </si>
  <si>
    <t>MEDLINE; Ovid Technologies; Pediatrician's knowledge and practices regarding parental use of alcohol</t>
  </si>
  <si>
    <t>Gregg,J.</t>
  </si>
  <si>
    <t>Better</t>
  </si>
  <si>
    <t>Alcohol Drinking;Alcohol Withdrawal Delirium/px Psychology];*Alcohol Withdrawal Delirium/th Therapy];Homeless Persons;Humans;*Internship and Residency;Medical History Taking;Medication Errors/pc Prevention &amp; Control];Patient Discharge;Physical Examination;Physician-Patient Relations</t>
  </si>
  <si>
    <t>J2: Jama; Gregg, Jessica; ID: 55</t>
  </si>
  <si>
    <t>Gregg, Jessica. Oregon Health &amp; Science University, Division of General Internal Medicine, Portland, Oregon.</t>
  </si>
  <si>
    <t>http://ovidsp.ovid.com/ovidweb.cgi?T=JS&amp;CSC=Y&amp;NEWS=N&amp;PAGE=fulltext&amp;D=med8&amp;AN=29049657</t>
  </si>
  <si>
    <t>https://dx.doi.org/10.1001/jama.2017.13537</t>
  </si>
  <si>
    <t>MEDLINE; Ovid Technologies; Better</t>
  </si>
  <si>
    <t>Grey,C.;Hall,P. B.</t>
  </si>
  <si>
    <t>Considerations of prescription opioid abuse and misuse among older adults in West Virginia--An Under-Recognized Population at Risk</t>
  </si>
  <si>
    <t>West Virginia Medical Journal</t>
  </si>
  <si>
    <t>W.V.Med.J.</t>
  </si>
  <si>
    <t>Age Distribution;Aged;Analgesics, Opioid/ae Adverse Effects];Analgesics, Opioid/tu Therapeutic Use];Chronic Pain/dt Drug Therapy];Depression/ep Epidemiology];Drug Overdose/ep Epidemiology];Humans;Mass Screening;Medication Adherence;*Opioid-Related Disorders/ep Epidemiology];Risk Assessment;West Virginia/ep Epidemiology];0 (Analgesics, Opioid)</t>
  </si>
  <si>
    <t>Opioid abuse, misuse and overdose is now a public health epidemic receiving political, medical, and media attention at all levels. Despite the fact that many people know someone suffering from addiction, there is very little research focusing on this issue in older adults. Chronic pain, a highly prevalent affliction for the aging population, has been accompanied by a significant increase in opioid use. This, along with some unique aspects of older adults (increased susceptibility to illness, higher likelihood of altered presentation of illness, and impaired recovery), means that great care needs to be taken when considering opioids for treatment. Prudent prescribing is possible, but universal precautions should be taken to reduce the risk of opioid abuse, misuse, and addiction. This review provides education, summarizes current literature, and gives guidance in universal precautions for prescribing opioids.</t>
  </si>
  <si>
    <t>J2: W V Med J; Grey, Carl Hall, P Bradley; ID: 165</t>
  </si>
  <si>
    <t>0043-3284</t>
  </si>
  <si>
    <t>http://ovidsp.ovid.com/ovidweb.cgi?T=JS&amp;CSC=Y&amp;NEWS=N&amp;PAGE=fulltext&amp;D=med8&amp;AN=27301154</t>
  </si>
  <si>
    <t>MEDLINE; Ovid Technologies; Considerations of prescription opioid abuse and misuse among older adults in West Virginia--An Under-Recognized Population at Risk</t>
  </si>
  <si>
    <t>Griffin,J. B., J.;Hill,I. K.;Jones,J. J.;Keeley,K. A.;Krug,R. S.;Pokorny,A.</t>
  </si>
  <si>
    <t>Evaluating alcoholism and drug abuse knowledge in medical education: a collaborative project</t>
  </si>
  <si>
    <t>*Alcoholism;Curriculum;*Education, Medical, Undergraduate;*Educational Measurement/mt Methods];Humans;*Substance-Related Disorders</t>
  </si>
  <si>
    <t>A series of six modular examinations, each representing a substance abuse problem, were developed by a National Institute on Drug Abuse task force working with consultants from the National Board of Medical Examiners (NBME). Each examination contained a patient management problem and multiple-choice questions. The examinations were administered to 629 third- and fourth-year U.S. medical students, and the results indicated that students performed less well in this area than on the traditional content of the NBME examinations. Students performed better on items related to pharmacologic effects of drugs of abuse, Alcoholics Anonymous, and the treatment of delirium tremens. Students did less well on items related to metabolic and biochemical areas; emergency room treatment of drug-overdosed, comatose patients; and legal issues in substance abuse. As a result of these data, a syllabus explaining each item in the available modules was developed, score-reporting to participating schools was modified, and the modules were shortened. Implications for medical education in substance abuse are discussed.</t>
  </si>
  <si>
    <t>J2: J Med Educ; Griffin, J B Jr Hill, I K Jones, J J Keeley, K A Krug, R S Pokorny, A; ID: 1483</t>
  </si>
  <si>
    <t>http://ovidsp.ovid.com/ovidweb.cgi?T=JS&amp;CSC=Y&amp;NEWS=N&amp;PAGE=fulltext&amp;D=med2&amp;AN=6631924</t>
  </si>
  <si>
    <t>MEDLINE; Ovid Technologies; Evaluating alcoholism and drug abuse knowledge in medical education: a collaborative project</t>
  </si>
  <si>
    <t>Griffioen,C.;Willems,E. G.;Kouwenhoven,S. M.;Caljouw,M. A. A.;Achterberg,W. P.</t>
  </si>
  <si>
    <t>Physicians' Knowledge of and Attitudes Toward Use of Opioids in Long-Term Care Facilities</t>
  </si>
  <si>
    <t>Pain Practice</t>
  </si>
  <si>
    <t>*Analgesics, Opioid/tu Therapeutic Use];Female;Geriatrics/mt Methods];*Health Knowledge, Attitudes, Practice;Humans;Long-Term Care;Male;Middle Aged;Netherlands;*Pain/dt Drug Therapy];*Pain Management/mt Methods];*Practice Patterns, Physicians'/sn Statistics &amp; Numerical Data];Surveys and Questionnaires;0 (Analgesics, Opioid)</t>
  </si>
  <si>
    <t>BACKGROUND: Insufficient pain management in vulnerable older persons living in long-term care facilities is common, and opiophobia might contribute to this. As opiophobia and its related factors have not been investigated in long-term care, this study evaluates the degree of knowledge of opioids among elderly-care physicians (ECPs) and ECP trainees, as well as their attitudes and other factors possibly influencing the clinical use of opioids in these facilities. METHODS: A questionnaire was designed and distributed among ECPs and ECP trainees by email, regional symposia, and all three university training faculties for elderly-care medicine in the Netherlands. RESULTS: Respondents were 324 ECPs and 111 ECP trainees. Fear of addiction did not influence the prescription of opioids. Main barriers to the clinical use of opioids were patients' reluctance to take opioids (83.3%); unknown degree of pain (79.2%); and pain of unknown origin (51.4%). ECPs' average knowledge scores were sufficient: those who felt that their knowledge of opioids was poor scored lower than those who felt that their knowledge was good. CONCLUSIONS: Factors identified in this study may help provide better pain management for vulnerable older persons living in a long-term care facility. Also, more patient information on the pros and cons of opioid use is needed, as well as appropriate tools for better clinical assessment of pain in a long-term care population.</t>
  </si>
  <si>
    <t>J2: Pain pract; Griffioen, Charlotte Willems, Eva G Kouwenhoven, Sanne M Caljouw, Monique A A Achterberg, Wilco P; ID: 27</t>
  </si>
  <si>
    <t>1533-2500</t>
  </si>
  <si>
    <t>Griffioen, Charlotte. Department of Public Health and Primary Care, Leiden University Medical Centre, Leiden, The Netherlands. Willems, Eva G. Department of Public Health and Primary Care, Leiden University Medical Centre, Leiden, The Netherlands. Kouwenhoven, Sanne M. Department of Public Health and Primary Care, Leiden University Medical Centre, Leiden, The Netherlands. Caljouw, Monique A A. Department of Public Health and Primary Care, Leiden University Medical Centre, Leiden, The Netherlands. Achterberg, Wilco P. Department of Public Health and Primary Care, Leiden University Medical Centre, Leiden, The Netherlands.</t>
  </si>
  <si>
    <t>http://ovidsp.ovid.com/ovidweb.cgi?T=JS&amp;CSC=Y&amp;NEWS=N&amp;PAGE=fulltext&amp;D=medl&amp;AN=27739258</t>
  </si>
  <si>
    <t>https://dx.doi.org/10.1111/papr.12492</t>
  </si>
  <si>
    <t>MEDLINE; Ovid Technologies; Physicians' Knowledge of and Attitudes Toward Use of Opioids in Long-Term Care Facilities</t>
  </si>
  <si>
    <t>Griffith,B. N.;Montalto,N. J.;Ridpath,L.;Sullivan,K.</t>
  </si>
  <si>
    <t>Tobacco dependence curricula in US osteopathic medical schools: a follow-up study</t>
  </si>
  <si>
    <t>Curriculum;Data Collection;*Education, Medical, Undergraduate/mt Methods];Follow-Up Studies;Humans;*Osteopathic Medicine/ed Education];Smoking Cessation/mt Methods];Tobacco Use Disorder/dt Drug Therapy];Tobacco Use Disorder/th Therapy];*Tobacco Use Disorder;United States</t>
  </si>
  <si>
    <t>CONTEXT: Tobacco use is the leading preventable cause of illness and death in the United States. A 1998 survey of US osteopathic medical schools identified deficiencies in tobacco dependence curricula. OBJECTIVE: To assess the current content and extent of tobacco dependence education and intervention skills in US osteopathic medical school curricula. DESIGN: An electronic survey. SETTING: Osteopathic medical schools with students enrolled for the 2009-2010 academic year. PARTICIPANTS: Twenty-seven osteopathic medical school deans or their designated administrators. MAIN OUTCOME MEASURES: Reported instruction in 7 basic science and 6 clinical science content areas (elective or required) and hours of tobacco dependence education were assessed and compared with the 1998 data. RESULTS: The mean (standard deviation) number of content areas reported as covered in 2010 was 10.6 (2.3) (6.1 1.2] basic science areas, 4.6 1.3] clinical science areas). Seventeen of 27 respondents (63%) reported that smokeless tobacco content was covered at their school, and 9 of 27 (33%) reported that the stages of change counseling technique was covered. Compared with 1998, a significant increase was noted in the percentage of schools covering tobacco dependence (92.6% in 2010 compared with 57.9% in 1998, P=.0002). Reported hours of tobacco dependence instruction were also significantly higher in 2010 compared with those in 1998 (Fisher exact test, P&lt;.05). No statistically significant changes were found in the proportion of schools covering all 13 content areas (15.7% vs 22.2%), the proportion covering motivational interviewing in detail (26.3% vs 33.3%), or the proportion requiring curricula on smokeless tobacco (57.9% vs 59.3%). CONCLUSION: Osteopathic medical school respondents reported more instruction on tobacco dependence in 2010 compared with those in 1998. However, some important basic science and clinical science content areas are not being adequately taught in US osteopathic medical schools.</t>
  </si>
  <si>
    <t>J2: J Am Osteopath Assoc; Griffith, Brian N Montalto, Norman J Ridpath, Lance Sullivan, Kendra; ID: 313</t>
  </si>
  <si>
    <t>Griffith, Brian N. Department of Biomedical Sciences, West Virginia School of Osteopathic Medicine, 400 N Lee St, Lewisburg, WV 24901-1128. bgriffith@osteo.wvsom.edu.</t>
  </si>
  <si>
    <t>http://ovidsp.ovid.com/ovidweb.cgi?T=JS&amp;CSC=Y&amp;NEWS=N&amp;PAGE=fulltext&amp;D=med7&amp;AN=24174505</t>
  </si>
  <si>
    <t>https://dx.doi.org/10.7556/jaoa.2013.059</t>
  </si>
  <si>
    <t>MEDLINE; Ovid Technologies; Tobacco dependence curricula in US osteopathic medical schools: a follow-up study</t>
  </si>
  <si>
    <t>Gritz,E. R.;Vidrine,D. J.;Fingeret,M. C.</t>
  </si>
  <si>
    <t>Smoking cessation a critical component of medical management in chronic disease populations</t>
  </si>
  <si>
    <t>S414</t>
  </si>
  <si>
    <t>Biomedical Research/mt Methods];Biomedical Research/td Trends];*Chronic Disease;Comorbidity;Controlled Clinical Trials as Topic;Disease Progression;Humans;Smoking/ae Adverse Effects];*Smoking Cessation/mt Methods];*Smoking Prevention;*Tobacco Use Disorder/rh Rehabilitation]</t>
  </si>
  <si>
    <t>Many innovative and effective smoking-cessation treatments, both behavioral and pharmacologic, have been developed over the past several decades. However, these treatments traditionally have been developed for use with populations of healthy smokers. Despite the disease management implications, efforts to design and evaluate cessation interventions targeting smokers diagnosed with chronic diseases are reported infrequently in the literature. The purpose of this paper is to provide a brief overview of the evidence linking continued smoking to disease progression and adverse treatment outcomes across a range of common chronic diseases: cardiovascular disease (CVD), chronic obstructive pulmonary disease (COPD), diabetes, asthma, cancer, and human immunodeficiency virus/acquired immunodeficiency syndrome (HIV/AIDS). Where studies are available, the efficacy of smoking-cessation interventions specifically developed or applied to these patient populations is reviewed. Finally, limitations and gaps in smoking research and treatment with chronically ill patients are discussed, and future research priorities are recommended. References: 72]</t>
  </si>
  <si>
    <t>J2: Am J Prev Med; Gritz, Ellen R Vidrine, Damon J Fingeret, Michelle Cororve; ID: 710</t>
  </si>
  <si>
    <t>Gritz, Ellen R. University of Texas MD Anderson Cancer Center; Department of Behavioral Science, Houston, Texas 77230-1439, USA. egritz@mdanderson.org</t>
  </si>
  <si>
    <t>http://ovidsp.ovid.com/ovidweb.cgi?T=JS&amp;CSC=Y&amp;NEWS=N&amp;PAGE=fulltext&amp;D=med5&amp;AN=18021917</t>
  </si>
  <si>
    <t>MEDLINE; Ovid Technologies; Smoking cessation a critical component of medical management in chronic disease populations</t>
  </si>
  <si>
    <t>Grogan,K.;Zerbo,E.</t>
  </si>
  <si>
    <t>Breaking down the wall: a narrative approach to addiction</t>
  </si>
  <si>
    <t>Medical Humanities</t>
  </si>
  <si>
    <t>Alcoholics Anonymous;*Behavior, Addictive;*Education, Medical/td Trends];Humans;*Medicine in Literature;Narration;Schools, Medical;*Substance-Related Disorders;Writing</t>
  </si>
  <si>
    <t>J2: Med Humanit; Grogan, Katie Zerbo, Erin; ID: 158</t>
  </si>
  <si>
    <t>1473-4265</t>
  </si>
  <si>
    <t>Grogan, Katie. Master Scholars Program in Humanistic Medicine, Office of Student Affairs, New York University School of Medicine, New York, New York, USA. Zerbo, Erin. Department of Psychiatry, Rutgers New Jersey Medical School, University Hospital, Newark, New Jersey, USA.</t>
  </si>
  <si>
    <t>http://ovidsp.ovid.com/ovidweb.cgi?T=JS&amp;CSC=Y&amp;NEWS=N&amp;PAGE=fulltext&amp;D=med8&amp;AN=26129681</t>
  </si>
  <si>
    <t>https://dx.doi.org/10.1136/medhum-2015-010697</t>
  </si>
  <si>
    <t>MEDLINE; Ovid Technologies; Breaking down the wall: a narrative approach to addiction</t>
  </si>
  <si>
    <t>Gross,G. A.</t>
  </si>
  <si>
    <t>Training the medical student in alcoholism therapy</t>
  </si>
  <si>
    <t>*Alcoholism/th Therapy];*Education, Medical, Undergraduate;Hospital Units;Humans;Michigan;Rehabilitation Centers</t>
  </si>
  <si>
    <t>J2: Ann N Y Acad Sci; Gross, G A; ID: 1531</t>
  </si>
  <si>
    <t>http://ovidsp.ovid.com/ovidweb.cgi?T=JS&amp;CSC=Y&amp;NEWS=N&amp;PAGE=fulltext&amp;D=med1&amp;AN=1072372</t>
  </si>
  <si>
    <t>MEDLINE; Ovid Technologies; Training the medical student in alcoholism therapy</t>
  </si>
  <si>
    <t>Gross,S. R.;Marshall,E. J.;Wolff,K.</t>
  </si>
  <si>
    <t>Substance misuse among health care workers: national survey of occupational physicians</t>
  </si>
  <si>
    <t>Occupational Medicine (Oxford)</t>
  </si>
  <si>
    <t>Adult;Aged;Clinical Competence;Cross-Sectional Studies;Education, Medical, Continuing/st Standards];Female;*Health Personnel;Humans;Male;Middle Aged;*Occupational Medicine/st Standards];*Physician's Role;State Medicine;*Substance-Related Disorders/di Diagnosis];Surveys and Questionnaires;United Kingdom</t>
  </si>
  <si>
    <t>BACKGROUND: National Health Service (NHS) occupational health departments assist in the identification and assessment of substance-use disorders among health care workers (HCWs) and are involved in the management of an individual's return to work after treatment. AIMS: To determine the experience and training of NHS occupational health physicians (OHPs) in identifying substance misuse among HCWs. METHODS: A national, cross-sectional, postal-based questionnaire was administered to the Association of National Health Occupational Physicians membership. RESULTS: A total of 145/224 (65%) OHPs (55% male), with a mean age of 49 years (SD +/- 9.1; range 28-76), who had worked in the NHS on average for 9.6 years took part. The majority of respondents were consultant grade (59%). Since taking up their NHS post, 26% had received no training in substance misuse. Of those who had undergone formal training, the mean duration received was 2.8 days for drugs and 3.5 days for alcohol. OHPs reported that they did not feel sufficiently trained in this area. Most (65%) did not routinely include standardized screening tools or deliver 'brief interventions' (78%), although many reported that they would routinely ask about substance use when there was no clear indication of use (42%). The majority did not feel they were adequately supported (54%) in this work, nor did they have adequate resources for these patients within their organization (68%). CONCLUSIONS: OHPs see HCWs with substance-use problems as part of their work, but the support provided is likely limited by insufficient training and inadequate support.</t>
  </si>
  <si>
    <t>J2: Occup Med (Oxf); Gross, S R Marshall, E J Wolff, K Comment in: Occup Med (Lond). 2012 Oct;62(7):581; PMID: 23034794; ID: 444</t>
  </si>
  <si>
    <t>1471-8405</t>
  </si>
  <si>
    <t>Gross, S R. King's College London, National Addiction Centre, Institute of Psychiatry, 4 Windsor Walk, Denmark Hill, London SE5 8AF, UK. samantha.gross@kcl.ac.uk</t>
  </si>
  <si>
    <t>http://ovidsp.ovid.com/ovidweb.cgi?T=JS&amp;CSC=Y&amp;NEWS=N&amp;PAGE=fulltext&amp;D=med7&amp;AN=22661661</t>
  </si>
  <si>
    <t>https://dx.doi.org/10.1093/occmed/kqs027</t>
  </si>
  <si>
    <t>MEDLINE; Ovid Technologies; Substance misuse among health care workers: national survey of occupational physicians</t>
  </si>
  <si>
    <t>Grosser,N.</t>
  </si>
  <si>
    <t>Learning to deal with drug-dependent patients: one physician's reflections</t>
  </si>
  <si>
    <t>Counseling;Education, Medical, Continuing;Humans;Licensure, Medical;Narcotics/ad Administration &amp; Dosage];Ontario;Substance-Related Disorders/ed Education];*Substance-Related Disorders;0 (Narcotics)</t>
  </si>
  <si>
    <t>Physicians with a contemporary education may not be adequately trained to deal effectively with drug-dependent patients. This paper details the problems that one physician encountered with such individuals in his practice. A retraining program was set up in which he received basic education in drug dependence and became involved in individual counselling with drug abusers and in research studies on alcoholism and drug abuse. Physicians must exercise caution when prescribing medications that are potentially addictive. They must have a responsible attitude in their care of drug-dependent patients. The assessment and treatment of such patients should be carried out only by a multidisciplinary team of health care professionals. These principles are best inculcated by the proper exposure of medical students to substance-abuse problems and by the availability of appropriate courses and studies in this area to practising physicians.</t>
  </si>
  <si>
    <t>J2: Cmaj; Grosser, N; ID: 1447</t>
  </si>
  <si>
    <t>http://ovidsp.ovid.com/ovidweb.cgi?T=JS&amp;CSC=Y&amp;NEWS=N&amp;PAGE=fulltext&amp;D=med2&amp;AN=3719482</t>
  </si>
  <si>
    <t>MEDLINE; Ovid Technologies; Learning to deal with drug-dependent patients: one physician's reflections</t>
  </si>
  <si>
    <t>Grozdanov,J.;Mladenovic,I.;Vasic,M.;Knezevic,T.</t>
  </si>
  <si>
    <t>Continuous medical education (CME) of general practitioners (GP) in primary health care settings in the field of identification and diagnosis of alcoholism</t>
  </si>
  <si>
    <t>Cahiers de sociologie et de demographie medicales</t>
  </si>
  <si>
    <t>Cah.Sociol.Demogr.Med.</t>
  </si>
  <si>
    <t>Alcoholism/co Complications];*Alcoholism/di Diagnosis];Alcoholism/ep Epidemiology];*Education, Medical, Continuing;*General Practice/ed Education];Humans;*Primary Health Care</t>
  </si>
  <si>
    <t>Institute of Public Health of Serbia (IPHS) is developing new function related to better monitoring of alcohol related diseases and injuries, actions focusing on alcohol as a lifestyle related factor using integrated strategic approaches for both population and individual risk reduction. In that regard the long term objective of the IPHS is to study, monitor, promote and safeguard public health--from the point of view of mental health and alcohol abuse--by means of research, development and the provision of expert services. Starting point in the aforementioned need for the capacity building in the area of mental health and alcohol abuse is the Program of education of general practitioners (GPs) in primary health care settings for identification and diagnosis of alcoholism. This is because GPs have the widest contact with the general population. Their education related to recognition of alcohol abuse and appropriate diagnostic tools application is first, but very important step in providing direction of the health service and other sectors for problem solving and would bring the largest benefit for the whole population. In the year 2010 National program against alcohol abuse and alcoholism will be developed. Program of education of GPs is very important complementary activity which outcome will have great impact on the National program implementation.</t>
  </si>
  <si>
    <t>J2: Cah Sociol Demogr Med; Grozdanov, Jasmina Mladenovic, Ivica Vasic, Milena Knezevic, Tanja; ID: 549</t>
  </si>
  <si>
    <t>Grozdanov, Jasmina. Institute of Public Health of Serbia, Belgrade.</t>
  </si>
  <si>
    <t>http://ovidsp.ovid.com/ovidweb.cgi?T=JS&amp;CSC=Y&amp;NEWS=N&amp;PAGE=fulltext&amp;D=med6&amp;AN=21086771</t>
  </si>
  <si>
    <t>MEDLINE; Ovid Technologies; Continuous medical education (CME) of general practitioners (GP) in primary health care settings in the field of identification and diagnosis of alcoholism</t>
  </si>
  <si>
    <t>Gruer,L.;Wilson,P.;Scott,R.;Elliott,L.;Macleod,J.;Harden,K.;Forrester,E.;Hinshelwood,S.;McNulty,H.;Silk,P.</t>
  </si>
  <si>
    <t>General practitioner centred scheme for treatment of opiate dependent drug injectors in Glasgow</t>
  </si>
  <si>
    <t>Counseling;Drug Costs;Education, Medical, Continuing;*Family Practice;Female;Humans;Inservice Training;Male;Medical Records Systems, Computerized;Methadone/ec Economics];*Methadone/tu Therapeutic Use];Narcotics/ec Economics];*Narcotics/tu Therapeutic Use];*Opioid-Related Disorders/rh Rehabilitation];Pharmacies;Physician-Patient Relations;Referral and Consultation;Scotland;Social Support;0 (Narcotics);UC6VBE7V1Z (Methadone)</t>
  </si>
  <si>
    <t>J2: Bmj; Gruer, L Wilson, P Scott, R Elliott, L Macleod, J Harden, K Forrester, E Hinshelwood, S McNulty, H Silk, P Comment in: BMJ. 1997 Sep 6;315(7108):602-3; PMID: 9302968 Comment in: BMJ. 1997 Sep 6;315(7108):603; PMID: 9302969 Comment in: BMJ. 1997 Nov 29;315(7120):1463-4; PMID: 9418108 Comment in: BMJ. 1997 Jun 14;314(7096):1706-7; PMID: 9202500 Comment in: BMJ. 1997 Sep 6;315(7108):603; PMID: 9302970; ID: 1139</t>
  </si>
  <si>
    <t>Gruer, L. HIV and Addictions Resource Centre, Ruchill Hospital, Glasgow.</t>
  </si>
  <si>
    <t>http://ovidsp.ovid.com/ovidweb.cgi?T=JS&amp;CSC=Y&amp;NEWS=N&amp;PAGE=fulltext&amp;D=med4&amp;AN=9202504</t>
  </si>
  <si>
    <t>MEDLINE; Ovid Technologies; General practitioner centred scheme for treatment of opiate dependent drug injectors in Glasgow</t>
  </si>
  <si>
    <t>Grzybowski,A.</t>
  </si>
  <si>
    <t>The history of antitobacco actions in the last 500 years. Part. II. Medical actions]</t>
  </si>
  <si>
    <t>Canada;Cuba;Europe;Female;History, 15th Century;History, 16th Century;History, 17th Century;History, 18th Century;History, 20th Century;History, 21st Century;Humans;Lung Neoplasms/ep Epidemiology];Lung Neoplasms/hi History];Lung Neoplasms/pc Prevention &amp; Control];Male;Medical History Taking/mt Methods];Medical History Taking/sn Statistics &amp; Numerical Data];Smoking/ep Epidemiology];*Smoking/hi History];*Smoking Cessation/hi History];Smoking Cessation/lj Legislation &amp; Jurisprudence];Smoking Cessation/sn Statistics &amp; Numerical Data];*Smoking Prevention;*Tobacco Smoke Pollution/hi History];Tobacco Smoke Pollution/lj Legislation &amp; Jurisprudence];*Tobacco Smoke Pollution/pc Prevention &amp; Control];Tobacco Use Disorder/hi History];Tobacco Use Disorder/mo Mortality];*Tobacco Use Disorder/pc Prevention &amp; Control];United Kingdom;United States;0 (Tobacco Smoke Pollution)</t>
  </si>
  <si>
    <t>Tobacco was brought to Europe by Christopher Columbus, who discovered it in Cuba in October, 1492. Spread of tobacco consumption was initiated by the French diplomat Jean Nicot de Villemain, who in 1560 recommended it in the form of powdered tobacco leaves to the French Queen Catherine de Medice to combat her migraine headaches, and introduced the term Nicotiana tobaccum. Tobacco consumption greatly rose after the I World War, and after the II World War it became very common, especially among man. In the first half of the 20th century the sale of tobacco products rose by 61%, and cigarettes dominated the market of tobacco products. At the beginning of the 20th century cigarettes constituted only 2% of the total sale of tobacco products, while in the middle of the 20th century--more than 80%. Although the first epidemiological papers indicating that "smoking is connected with the shortening of life span" were published in the first half of the 20th century, not until 1950 did Hill and Doll in Great Britain, and Wynder and Graham in USA in 1951 show a statistically significant correlation between cigarettes smoking and lung cancer occurrence. Many controversies according the use of tobacco accompanied it from the beginning of its presence in Europe. The conflicting opinions according to its influence to health coexisted in the 16th to 19th centuries. In this period, especially in the 19th century dominated moral and religious arguments against tobacco. In the 20th century however, and particularly in its second part, development in medical research was enhanced by civil voluntary actions against advertisement and passive smoking. This lead to the significant limitation of tobacco expansion in Europe, USA and Canada in the end of the 20th century.</t>
  </si>
  <si>
    <t>J2: Przegl Lek; Polish Grzybowski, Andrzej; OP: Historia dzialan antynikotynowych w okresie ostatnich 500 lat. Czesc ii; ID: 775</t>
  </si>
  <si>
    <t>Grzybowski, Andrzej. Zaklad Historii Nauk Medycznych, Akademia Medyczna w Poznaniu. andrzej_grzybowski@um.poznan.pl</t>
  </si>
  <si>
    <t>http://ovidsp.ovid.com/ovidweb.cgi?T=JS&amp;CSC=Y&amp;NEWS=N&amp;PAGE=fulltext&amp;D=med5&amp;AN=17288236</t>
  </si>
  <si>
    <t>MEDLINE; Ovid Technologies; [The history of antitobacco actions in the last 500 years. Part. II. Medical actions]</t>
  </si>
  <si>
    <t>Gual,A.</t>
  </si>
  <si>
    <t>Dual diagnosis in Spain</t>
  </si>
  <si>
    <t>Adult;*Alcoholism/di Diagnosis];Alcoholism/ep Epidemiology];Alcoholism/rh Rehabilitation];Anxiety Disorders/di Diagnosis];Anxiety Disorders/ep Epidemiology];Anxiety Disorders/rh Rehabilitation];Comorbidity;Cross-Sectional Studies;Depressive Disorder/di Diagnosis];Depressive Disorder/ep Epidemiology];Depressive Disorder/rh Rehabilitation];Diagnosis, Dual (Psychiatry);Female;Humans;Male;*Mental Disorders/di Diagnosis];Mental Disorders/ep Epidemiology];Mental Disorders/rh Rehabilitation];Middle Aged;Prognosis;Recurrence;Referral and Consultation/sn Statistics &amp; Numerical Data];Risk Factors;Socioeconomic Factors;Spain;*Substance-Related Disorders/di Diagnosis];Substance-Related Disorders/ep Epidemiology];Substance-Related Disorders/rh Rehabilitation]</t>
  </si>
  <si>
    <t>Our aim is to describe the current situation regarding the diagnosis and treatment of addiction in a variety of settings in Spain. Four-hundred and twenty-seven physicians known to treat addicted patients in non-private settings were recruited and agreed to participate. Each physician provided clinical and anonymous information on the first 6 consecutive patients who attended on a scheduled day. A total of 2361 patients were interviewed (92.1%) and data were obtained concerning gender, age, work, educational level, civil status, addiction diagnosis, type of treatment and psychiatric comorbidity. Seven-hundred and ninety-eight out of 2361 addicts (33.8%) presented with a dual diagnosis. Depression was the most prevalent disorder (21.6%), followed by anxiety disorders (11.7%). Comorbidity was found to be related to age, female gender, divorce and widowhood, and higher educational levels. Alcoholics who abused other drugs showed the highest rates of comorbidity (48.5%), while opiate addicts were at the lower end of the spectrum (27.4%). No differences were found related to the treatment setting, the doctor's medical specialty, or the geographical area. Finally, doctors tended to perceive that dual diagnosis was related to a worse psychiatric prognosis but not to higher relapse rates. Antidepressants were the most commonly prescribed drugs (62.4% of co-morbid patients) and anticraving agents were prescribed equally to comorbid and non-comorbid patients. Within the limitations of a descriptive study, our data show that comorbidity is a common clinical problem in patients who access addiction treatment. Affective and anxiety disorders are the most common comorbid diseases, and comorbidity rates seem to be unrelated to regional differences, medical settings or doctor's professional background. Dual diagnosis patients thus account for one third of the clinical workload of addiction specialists in Spain.</t>
  </si>
  <si>
    <t>J2: Drug Alcohol Rev; Gual, Antoni; ID: 764</t>
  </si>
  <si>
    <t>Gual, Antoni. Alcohol Unit, Neurosciences Institute, Hospital Clinic, Idibaps, Barcelona, Spain. tgual@clinic.ub.es</t>
  </si>
  <si>
    <t>http://ovidsp.ovid.com/ovidweb.cgi?T=JS&amp;CSC=Y&amp;NEWS=N&amp;PAGE=fulltext&amp;D=med5&amp;AN=17364838</t>
  </si>
  <si>
    <t>MEDLINE; Ovid Technologies; Dual diagnosis in Spain</t>
  </si>
  <si>
    <t>Guallar-Castillon,P.;Lafuente Urdinguio,P.;Garteizaurrekoa Dublang,P.;Sainz Martinez,O.;Diez Azcarate,J. I.;Foj Aleman,M.;Banegas Banegas,J. R.;Prado Mendez,V.;de,Andres Manzano;Rodriguez-Artalejo,F.</t>
  </si>
  <si>
    <t>Probability of success in tobacco quitting during the course of two simple medical interventions]</t>
  </si>
  <si>
    <t>Revista espanola de salud publica</t>
  </si>
  <si>
    <t>Rev.Esp.Salud Publica</t>
  </si>
  <si>
    <t>Adolescent;Adult;Female;Health Promotion;Humans;Incidence;Male;Middle Aged;Probability;Prospective Studies;*Smoking/ep Epidemiology];*Smoking Cessation/mt Methods];*Smoking Prevention</t>
  </si>
  <si>
    <t>INTRODUCTION AND OBJECTIVES: Counselling for tobacco quitting could be improved by informing smokers about the likelihood of success in quitting over time since the start of an intervention for smoking cessation. This study assessed the change in the probability of success in tobacco quitting during the course of two simple medical interventions for smoking cessation. METHODS: Prospective study in three worksites in the Basque Country (Spain), which underwent two interventions for quitting. Intervention 1 consisted of sporadic, brief (30 seconds-1 minute) and unstructured medical advice to quit. Intervention 2 consisted of brief (5-8 minutes) structured medical counselling for tobacco quitting in a first visit, followed by reinforcement advice on 3 occasions during 3 months, accompanied by nicotine patches individualized according to nicotine dependence. Results are expressed as a "relative measure of success" or rate of proportions (RP) calculated as the predictive value of achieving tobacco abstinence at 12 months for those with tobacco abstinence at 2 days, 15 days and 3 months from the start of each intervention divided by the percentage abstinent at 12. RESULTS: For the 103 smokers subjected to intervention 1, RP was 1.7 (CI 95%: 1.0-3.4) at 2 days, 2.3 (1.2-4.6) at 15 days, and 3.4 (1.8-6.5) at 3 months. For the 114 subjects who underwent intervention 2, RP was 1.3 (1.0-2.1) at 2 days, 1.9 (1.2-2.8) at 15 days, and 2.6 (1.8-3.8) at 3 months. Results did not change materially after stratification by number of cigarettes smoked, or nicotine dependence. CONCLUSIONS: Remaining abstinent from tobacco smoking at 3 months after the start of a quitting intervention increases the likelihood of success in quitting at 12 months.</t>
  </si>
  <si>
    <t>J2: Rev Esp Salud Publica; Spanish Guallar-Castillon, Pilar Lafuente Urdinguio, Pedro Garteizaurrekoa Dublang, Peru Sainz Martinez, Olga Diez Azcarate, Jose I Foj Aleman, Manuel Banegas Banegas, Jose R Prado Mendez, Victoria de Andres Manzano, Belen Rodriguez-Artalejo, Fernando; OP: Probabilidad de exito en el abandono del tabaco en el curso de dos intervenciones sencillas para dejar de fumar; ID: 939</t>
  </si>
  <si>
    <t>1135-5727</t>
  </si>
  <si>
    <t>Guallar-Castillon, Pilar. Departamento de Medicina Preventiva y Salud Publica, Universidad Autonoma de Madrid, Madrid.</t>
  </si>
  <si>
    <t>http://ovidsp.ovid.com/ovidweb.cgi?T=JS&amp;CSC=Y&amp;NEWS=N&amp;PAGE=fulltext&amp;D=med4&amp;AN=12696391</t>
  </si>
  <si>
    <t>MEDLINE; Ovid Technologies; [Probability of success in tobacco quitting during the course of two simple medical interventions]</t>
  </si>
  <si>
    <t>Guglielmo,B. J.</t>
  </si>
  <si>
    <t>A prescription for improved chronic disease management: have community pharmacists function at the top of their training: comment on "Engaging physicians and pharmacists in providing smoking cessation counseling"</t>
  </si>
  <si>
    <t>*Blood Pressure Monitoring, Ambulatory;Chronic Disease;*Counseling;Evidence-Based Medicine;Humans;Hypertension/dt Drug Therapy];*Hypertension/pc Prevention &amp; Control];Pharmacies;*Pharmacists;*Physicians;Professional Role;*Smoking Cessation</t>
  </si>
  <si>
    <t>J2: Arch Intern Med; Guglielmo, B Joseph Comment on: Arch Intern Med. 2010 Oct 11;170(18):1640-6; PMID: 20937922; ID: 555</t>
  </si>
  <si>
    <t>1538-3679</t>
  </si>
  <si>
    <t>Guglielmo, B Joseph. Department of Clinical Pharmacy, University of California, San Francisco, 94143-0622, USA. gugliemoj@pharmacy.ucsf.edu</t>
  </si>
  <si>
    <t>http://ovidsp.ovid.com/ovidweb.cgi?T=JS&amp;CSC=Y&amp;NEWS=N&amp;PAGE=fulltext&amp;D=med6&amp;AN=20937923</t>
  </si>
  <si>
    <t>https://dx.doi.org/10.1001/archinternmed.2010.343</t>
  </si>
  <si>
    <t>MEDLINE; Ovid Technologies; A prescription for improved chronic disease management: have community pharmacists function at the top of their training: comment on "Engaging physicians and pharmacists in providing smoking cessation counseling"</t>
  </si>
  <si>
    <t>Gunderson,E. W.;Coffin,P. O.;Chang,N.;Polydorou,S.;Levin,F. R.</t>
  </si>
  <si>
    <t>NIHMS124436; The interface between substance abuse and chronic pain management in primary care: a curriculum for medical residents</t>
  </si>
  <si>
    <t>Adult;Chronic Disease/dt Drug Therapy];*Curriculum;Female;Humans;*Internship and Residency/mt Methods];Male;Middle Aged;Pain/co Complications];*Pain/dt Drug Therapy];Prescription Drugs;*Primary Health Care/mt Methods];Substance-Related Disorders/co Complications];Substance-Related Disorders/di Diagnosis];*Substance-Related Disorders/dt Drug Therapy];0 (Prescription Drugs)</t>
  </si>
  <si>
    <t>OBJECTIVES: To develop and assess a housestaff curriculum on opioid and other substance abuse among patients with chronic noncancer pain (CNCP). METHODS: The two-hour, case-based curriculum delivered to small groups of medical housestaff sought to improve assessment and management of opioid-treated CNCP patients, including those with a substance use disorder. A two-page pre-post survey was administered to assess self-efficacy change on a scale from 1 (strongly disagree) to 5 (strongly agree). RESULTS: Of 47/50 (94%) respondents, self-efficacy significantly improved across all items (mean pre vs. post ratings, P &lt;.001). Housestaff were more prepared to manage patients on chronic opioid medication (2.8 vs. 3.8), including those with substance use disorders (2.3 vs. 3.4). They felt more prepared to identify opioid dependence (2.8 vs. 3.9) and overall rated the curriculum favorably (4.2). CONCLUSIONS: The brief curriculum was well received and appears effective. Further study is needed to determine practice impact.</t>
  </si>
  <si>
    <t>J2: Subst Abus; Gunderson, Erik W Coffin, Phillip O Chang, Nancy Polydorou, Soteri Levin, Frances R; ID: 619</t>
  </si>
  <si>
    <t>Gunderson, Erik W. University of Virginia, Charlottesville, Virginia 22908, USA. erikgunderson@virginia.edu</t>
  </si>
  <si>
    <t>http://ovidsp.ovid.com/ovidweb.cgi?T=JS&amp;CSC=Y&amp;NEWS=N&amp;PAGE=fulltext&amp;D=med6&amp;AN=19591063</t>
  </si>
  <si>
    <t>https://dx.doi.org/10.1080/08897070903041277</t>
  </si>
  <si>
    <t>MEDLINE; Ovid Technologies; The interface between substance abuse and chronic pain management in primary care: a curriculum for medical residents</t>
  </si>
  <si>
    <t>Gunderson,E. W.;Fiellin,D. A.;Levin,F. R.;Sullivan,L. E.;Kleber,H. D.</t>
  </si>
  <si>
    <t>NIHMS171409; Evaluation of a combined online and in person training in the use of buprenorphine</t>
  </si>
  <si>
    <t>Adult;*Buprenorphine/tu Therapeutic Use];*Computer-Assisted Instruction;Curriculum;Drug Prescriptions;*Education, Medical;Fellowships and Scholarships;Female;Health Knowledge, Attitudes, Practice;Humans;*Inservice Training;*Internet;Internship and Residency;Male;*Narcotics/tu Therapeutic Use];*Opioid-Related Disorders/rh Rehabilitation];0 (Narcotics);40D3SCR4GZ (Buprenorphine)</t>
  </si>
  <si>
    <t>To evaluate buprenorphine training methodology, we surveyed physicians who had completed a combined online and in person buprenorphine curriculum. Of 53/70 (76%) survey respondents, 57% were psychiatrists and 40% generalists. On a scale of 1 (very poor) to 7 (superlative), the overall training rated a mean of 5.8. The online course (5.0) rated lower than in person training components (p &lt; .001) except for material that addressed the logistics of office practice. The in person patient interview received the highest rating (mean 6.3, p &lt; .001). The 67% of physicians who intended to prescribe buprenorphine after the training were more likely than hesitant physicians to agree that the course provided enough information (p &lt; .05) and that telephone access to experienced providers would improve their confidence (p &lt; .05). Physicians hesitant to prescribe cited lack of experience as the main barrier (41%), with 24% concerned about induction difficulty and reimbursement. Overall, physicians preferred in person instruction and may benefit from additional experiential training and support after curriculum participation.</t>
  </si>
  <si>
    <t>J2: Subst Abus; Gunderson, Erik W Fiellin, David A Levin, Frances R Sullivan, Lynn E Kleber, Herbert D; ID: 746</t>
  </si>
  <si>
    <t>Gunderson, Erik W. Columbia University College of Physicians and Surgeon and New York State Psychiatric Institute, New York, NY, USA. eg2009@columbia.edu</t>
  </si>
  <si>
    <t>http://ovidsp.ovid.com/ovidweb.cgi?T=JS&amp;CSC=Y&amp;NEWS=N&amp;PAGE=fulltext&amp;D=med5&amp;AN=17135179</t>
  </si>
  <si>
    <t>MEDLINE; Ovid Technologies; Evaluation of a combined online and in person training in the use of buprenorphine</t>
  </si>
  <si>
    <t>Gunderson,E. W.;Levin,F. R.;Owen,P.</t>
  </si>
  <si>
    <t>NIHMS171411; Impact of a brief training on medical resident screening for alcohol misuse and illicit drug use</t>
  </si>
  <si>
    <t>Adult;Aged;*Alcoholism/di Diagnosis];Alcoholism/ep Epidemiology];Alcoholism/px Psychology];Comorbidity;Cross-Sectional Studies;Curriculum;Feasibility Studies;Female;Guideline Adherence;Humans;*Inservice Training;*Internship and Residency;Male;Manuals as Topic;*Mass Screening/mt Methods];Middle Aged;New York;*Street Drugs;*Substance-Related Disorders/di Diagnosis];Substance-Related Disorders/ep Epidemiology];Substance-Related Disorders/px Psychology];0 (Street Drugs)</t>
  </si>
  <si>
    <t>Educational initiatives are needed to improve primary care substance use screening. This study assesses the impact on 24 medical residents of a 2.5-day curriculum combining experiential and manual-based training on screening for alcohol misuse and illicit drug use. A retrospective chart review of new primary care outpatients demonstrated that nearly all were asked about current alcohol use before and after curriculum participation. Adherence to national screening guidelines on quantification of alcohol consumption modestly improved (p &lt; .05), as did inquiry about current illicit drug use (p &lt; .05). Continued efforts are needed to enhance educational initiatives for primary care physicians.</t>
  </si>
  <si>
    <t>J2: Am J Addict; Gunderson, Erik W Levin, Frances R Owen, Patricia; ID: 685</t>
  </si>
  <si>
    <t>Gunderson, Erik W. Department of Medicine, Columbia University College of Physicians and Surgeons, New York, New York, USA. eg2009@columbia.edu</t>
  </si>
  <si>
    <t>http://ovidsp.ovid.com/ovidweb.cgi?T=JS&amp;CSC=Y&amp;NEWS=N&amp;PAGE=fulltext&amp;D=med6&amp;AN=18393059</t>
  </si>
  <si>
    <t>https://dx.doi.org/10.1080/10550490701861144</t>
  </si>
  <si>
    <t>MEDLINE; Ovid Technologies; Impact of a brief training on medical resident screening for alcohol misuse and illicit drug use</t>
  </si>
  <si>
    <t>Gunderson,E. W.;Levin,F. R.;Smith,L.</t>
  </si>
  <si>
    <t>Screening and intervention for alcohol and illicit drug abuse:a survey of internal medicine housestaff</t>
  </si>
  <si>
    <t>Adult;*Alcoholism/pc Prevention &amp; Control];Cross-Sectional Studies;Female;*Health Personnel;Humans;*Internal Medicine;Male;*Mass Screening/mt Methods];*Street Drugs;Substance-Related Disorders/pc Prevention &amp; Control];*Surveys and Questionnaires;0 (Street Drugs)</t>
  </si>
  <si>
    <t>This study attempts to determine how internal medicine housestaff screen and intervene for problematic alcohol and illicit drug use, as well as identify factors correlating with favorable practices. A cross-sectional survey was administered to 93 medical housestaff. Of 64 (69%) respondents, 94% reported routinely screening new patients for alcohol or illicit drug use, while only 52% routinely quantified alcohol consumption and 28% routinely used a screening instrument. Housestaff were unfamiliar with national guidelines and felt unprepared to diagnose substance use disorders, particularly prescription drug abuse. Most routinely counseled patients with alcohol (89%) or illicit-drug problems (91%), although only a third of these patients were referred for formal treatment. More thorough screening practices were associated with greater treatment optimism, while favorable referral practices were associated with greater optimism about 12-step program benefit and difficulty with management. These findings suggest areas to be addressed in residency curricula on substance abuse.</t>
  </si>
  <si>
    <t>J2: J Addict Dis; Gunderson, Erik W Levin, Frances R Smith, Lawrence; ID: 863</t>
  </si>
  <si>
    <t>Gunderson, Erik W. Department of Psychiatry, Division on Substance Abuse, Columbia University College of Physicians and Surgeons, New York, NY, USA. eg2009@columbia.edu</t>
  </si>
  <si>
    <t>http://ovidsp.ovid.com/ovidweb.cgi?T=JS&amp;CSC=Y&amp;NEWS=N&amp;PAGE=fulltext&amp;D=med5&amp;AN=15784519</t>
  </si>
  <si>
    <t>MEDLINE; Ovid Technologies; Screening and intervention for alcohol and illicit drug abuse:a survey of internal medicine housestaff</t>
  </si>
  <si>
    <t>Gunn,J.;Hegarty,K.;Nagle,C.;Forster,D.;Brown,S.;Lumley,J.</t>
  </si>
  <si>
    <t>Putting woman-centered care into practice: a new (ANEW) approach to psychosocial risk assessment during pregnancy</t>
  </si>
  <si>
    <t>Birth</t>
  </si>
  <si>
    <t>Adult;Child Abuse/di Diagnosis];*Clinical Competence;*Communication;Depression/di Diagnosis];Domestic Violence;*Education, Medical;Female;Humans;Infant;Infant Care;Infant, Newborn;*Midwifery/ed Education];Mothers/px Psychology];Practice Patterns, Physicians';Pregnancy;*Prenatal Care/st Standards];*Prenatal Diagnosis;Psychometrics;*Risk Assessment;Risk Factors;Substance-Related Disorders/di Diagnosis]</t>
  </si>
  <si>
    <t>BACKGROUND: When antenatal care is provided, identification and management of challenging problems, such as depression, domestic violence, child abuse, and substance abuse, are absent from traditional midwifery and medical training. The main objective of this project was to provide an alternative to psychosocial risk screening in pregnancy by offering a training program (ANEW) in advanced communication skills and common psychosocial issues to midwives and doctors, with the aim of improving identification and support of women with psychosocial issues in pregnancy. METHODS: ANEW used a before-and-after survey design to evaluate the effects of a 6-month educational intervention for health professionals. The setting for the project was the Mercy Hospital for Women in Melbourne, Australia. Surveys covered issues, such as perceived competency and comfort in dealing with specific psychosocial issues, self-rated communication skills, and open-ended questions about participants' experience of the educational program. RESULTS: Educational program participants (n = 22/27) completed both surveys. After the educational intervention, participants were more likely to ask directly about domestic violence (p = 0.05), past sexual abuse (p = 0.05), and concerns about caring for the baby (p = 0.03). They were less likely to report that psychosocial issues made them feel overwhelmed (p = 0.01), and they reported significant gains in knowledge of psychosocial issues, and competence in dealing with them. Participants were highly positive about the experience of participating in the program. CONCLUSIONS: The program increased the self-reported comfort and competency of health professionals to identify and care for women with psychosocial issues.</t>
  </si>
  <si>
    <t>J2: Birth; Gunn, Jane Hegarty, Kelsey Nagle, Cate Forster, Della Brown, Stephanie Lumley, Judith; ID: 817</t>
  </si>
  <si>
    <t>0730-7659</t>
  </si>
  <si>
    <t>Gunn, Jane. Department of General Practice, University of Melbourne, Australia.</t>
  </si>
  <si>
    <t>http://ovidsp.ovid.com/ovidweb.cgi?T=JS&amp;CSC=Y&amp;NEWS=N&amp;PAGE=fulltext&amp;D=med5&amp;AN=16499531</t>
  </si>
  <si>
    <t>MEDLINE; Ovid Technologies; Putting woman-centered care into practice: a new (ANEW) approach to psychosocial risk assessment during pregnancy</t>
  </si>
  <si>
    <t>Gunn,N.;White,C.;Srinivasan,R.</t>
  </si>
  <si>
    <t>Primary care as harm reduction for injection drug users</t>
  </si>
  <si>
    <t>1191, 1195</t>
  </si>
  <si>
    <t>California;*Community Health Services/og Organization &amp; Administration];Humans;*Primary Health Care/og Organization &amp; Administration];Schools, Medical;Students, Medical;*Substance Abuse, Intravenous/pc Prevention &amp; Control]</t>
  </si>
  <si>
    <t>J2: Jama; Gunn, N White, C Srinivasan, R; ID: 1098</t>
  </si>
  <si>
    <t>Gunn, N. University of California at Davis School of Medicine, USA.</t>
  </si>
  <si>
    <t>http://ovidsp.ovid.com/ovidweb.cgi?T=JS&amp;CSC=Y&amp;NEWS=N&amp;PAGE=fulltext&amp;D=med4&amp;AN=9777822</t>
  </si>
  <si>
    <t>MEDLINE; Ovid Technologies; Primary care as harm reduction for injection drug users</t>
  </si>
  <si>
    <t>Guo,F. R.;Hung,L. Y.;Chang,C. J.;Leung,K. K.;Chen,C. Y.</t>
  </si>
  <si>
    <t>The evaluation of a Taiwanese training program in smoking cessation and the trainees' adherence to a practice guideline</t>
  </si>
  <si>
    <t>*Education, Medical, Continuing;*Guideline Adherence;Humans;Physician Incentive Plans;Practice Guidelines as Topic;Program Evaluation;*Smoking Cessation;Taiwan</t>
  </si>
  <si>
    <t>BACKGROUND: The Taiwanese government began reimbursement for smoking cessation in 2002. Certification from a training program was required for physicians who wanted reimbursement. The program certified 6,009 physicians till 2007. The objective of this study is to evaluate the short- and long term efficacy of the training program. METHODS: For short term evaluation, all trainees in 2007 were recruited. For long term evaluation, computer randomly selected 2,000 trainees who received training from 2002 to 2006 were recruited. Course satisfaction, knowledge, confidence in providing smoking cessation services and the adherence to a practice guideline were evaluated by questionnaires. RESULTS: Trainees reported high satisfaction with the training program. There was significant difference between pre- and post-test scores in knowledge. Confidence in providing services was lower in the long term evaluation compared to short term evaluation. For adherence to a practice guideline, 86% asked the status of smoking, 88% advised the smokers to quit, 76% assessed the smoker's willingness to quit, 59% assisted the smokers to quit, and 60% arranged follow-up visits for smokers. The incentive of reimbursement was the most significant factor affecting confidence and adherence. CONCLUSIONS: The training program was satisfactory and effective. Adherence to a practice guideline in our study was better than studies without physician training in other countries.</t>
  </si>
  <si>
    <t>J2: BMC Public Health; Guo, Fei-Ran Hung, Ling-Yu Chang, Chih-Jen Leung, Kai-Kuen Chen, Ching-Yu; ID: 514</t>
  </si>
  <si>
    <t>Guo, Fei-Ran. Division of Geriatric Research, Institute of Population Health Sciences, Department of Family Medicine, National Taiwan University Hospital and College of Medicine, Taipei, Taiwan.</t>
  </si>
  <si>
    <t>http://ovidsp.ovid.com/ovidweb.cgi?T=JS&amp;CSC=Y&amp;NEWS=N&amp;PAGE=fulltext&amp;D=med6&amp;AN=20163745</t>
  </si>
  <si>
    <t>https://dx.doi.org/10.1186/1471-2458-10-77</t>
  </si>
  <si>
    <t>MEDLINE; Ovid Technologies; The evaluation of a Taiwanese training program in smoking cessation and the trainees' adherence to a practice guideline</t>
  </si>
  <si>
    <t>Haagmans,M. L.;Kamphuis,M.</t>
  </si>
  <si>
    <t>School absenteeism as a signal for psychological problems]</t>
  </si>
  <si>
    <t>A7269</t>
  </si>
  <si>
    <t>*Absenteeism;Adolescent;*Anxiety Disorders/di Diagnosis];Diagnosis, Differential;Humans;Male;*Mental Disorders/di Diagnosis];Referral and Consultation;Schools/sn Statistics &amp; Numerical Data];*Students/px Psychology];Students/sn Statistics &amp; Numerical Data]</t>
  </si>
  <si>
    <t>CASE DESCRIPTION: We present two patients with frequent school absences. Patient A is a 12-year-old boy, diagnosed with developmental coordination disorder. When his mother visits the youth community health doctor, he shows signs of an anxiety disorder with stress-related physical symptoms. Patient B is a 15-year-old boy whose teacher suspects a gaming and internet addiction. After consulting the youth community health doctor, he is referred to a psychologist for further diagnosis of a social anxiety disorder. CONCLUSION: Frequent school absenteeism is associated with psychological problems. After excluding physical causes referral for further psychiatric assessment is recommended. As the medical advisor of the school, the youth community health doctor can play a role in this process.</t>
  </si>
  <si>
    <t>J2: Ned Tijdschr Geneeskd; Haagmans, Michele L M Kamphuis, Mascha; OP: Schoolverzuim als signaal van psychosociale problemen; ID: 270</t>
  </si>
  <si>
    <t>Haagmans, Michele L M. Veiligheids- en Gezondheidsregio (GGD) Gelderland Midden, afd. Jeugdgezondheidszorg, Arnhem.</t>
  </si>
  <si>
    <t>http://ovidsp.ovid.com/ovidweb.cgi?T=JS&amp;CSC=Y&amp;NEWS=N&amp;PAGE=fulltext&amp;D=med8&amp;AN=24754929</t>
  </si>
  <si>
    <t>MEDLINE; Ovid Technologies; [School absenteeism as a signal for psychological problems]</t>
  </si>
  <si>
    <t>Haarer,J. G.</t>
  </si>
  <si>
    <t>Source: CLML. 5528:54707:23:191; A physician's report on the Yale summer school of alcohol studies</t>
  </si>
  <si>
    <t>Journal - Michigan State Medical Society</t>
  </si>
  <si>
    <t>*Alcoholism;*Education, Medical;*Ethanol;Humans;*Physicians;*Schools;3K9958V90M (Ethanol)</t>
  </si>
  <si>
    <t>J2: J Mich State Med Soc; HAARER, J G; ID: 941</t>
  </si>
  <si>
    <t>0098-7522</t>
  </si>
  <si>
    <t>http://ovidsp.ovid.com/ovidweb.cgi?T=JS&amp;CSC=Y&amp;NEWS=N&amp;PAGE=fulltext&amp;D=med1&amp;AN=13243064</t>
  </si>
  <si>
    <t>MEDLINE; Ovid Technologies; A physician's report on the Yale summer school of alcohol studies</t>
  </si>
  <si>
    <t>Haber,P. S.</t>
  </si>
  <si>
    <t>International perspectives in postgraduate medical training in addiction medicine</t>
  </si>
  <si>
    <t>*Clinical Medicine/ed Education];*Education, Medical, Graduate/mt Methods];Humans;*Internationality;*Substance Abuse Treatment Centers/ma Manpower];*Substance-Related Disorders</t>
  </si>
  <si>
    <t>J2: Subst Abus; Haber, Paul S; ID: 509</t>
  </si>
  <si>
    <t>http://ovidsp.ovid.com/ovidweb.cgi?T=JS&amp;CSC=Y&amp;NEWS=N&amp;PAGE=fulltext&amp;D=med7&amp;AN=21534127</t>
  </si>
  <si>
    <t>https://dx.doi.org/10.1080/08897077.2011.555695</t>
  </si>
  <si>
    <t>MEDLINE; Ovid Technologies; International perspectives in postgraduate medical training in addiction medicine</t>
  </si>
  <si>
    <t>Haber,P. S.;Murnion,B. P.</t>
  </si>
  <si>
    <t>Training in addiction medicine in Australia</t>
  </si>
  <si>
    <t>Accreditation/st Standards];Australia;*Clinical Medicine/ed Education];Curriculum;Education, Medical, Graduate/mt Methods];*Education, Medical, Graduate/st Standards];Education, Medical, Graduate/sn Statistics &amp; Numerical Data];Educational Measurement/mt Methods];Humans;*Substance Abuse Treatment Centers/ma Manpower];*Substance-Related Disorders</t>
  </si>
  <si>
    <t>Barriers to entering addiction medicine (AM) have led to a persisting workforce shortage. To address this problem, the Chapter of Addiction Medicine (AChAM) was formed in 2001 as a subdivision of the Royal Australasian College of Physicians (RACP). Through consultation, AChAM has identified the scope of practice and offered fellowship to suitable established practitioners. The Chapter successfully applied to the Australian Government for recognition of AM as a medical specialty, which was finalized in November 2009. Specialist reimbursement item numbers were incorporated into that decision process and commence operating in November 2010. AChAM has designed and implemented a training scheme using a model similar to that of the RACP internal medicine training program. This comprises 3 years of basic general medical training post internship followed by 3 years of discipline-specific supervised training. The training is broadly based, with experience in both ambulatory care and inpatient care, and including physical health as well as mental health. Assessment is continuous and competency based. There is no exit examination. The overriding clinical approach rests upon the harm minimization framework consistent with long-established national drug policy in Australia and favors evidence-based treatment.</t>
  </si>
  <si>
    <t>J2: Subst Abus; Haber, Paul S Murnion, Bridin P; ID: 503</t>
  </si>
  <si>
    <t>Haber, Paul S. Drug Health Services, Royal Prince Alfred Hospital and Discipline of Addiction Medicine, University of Sydney, Camperdown, New South Wales, Australia. paul.haber@sydney.edu.au</t>
  </si>
  <si>
    <t>http://ovidsp.ovid.com/ovidweb.cgi?T=JS&amp;CSC=Y&amp;NEWS=N&amp;PAGE=fulltext&amp;D=med7&amp;AN=21534133</t>
  </si>
  <si>
    <t>https://dx.doi.org/10.1080/08897077.2011.555718</t>
  </si>
  <si>
    <t>MEDLINE; Ovid Technologies; Training in addiction medicine in Australia</t>
  </si>
  <si>
    <t>Hagan,H.;Strauss,S. M.;Astone,J. M.;Des Jarlais,D. C.</t>
  </si>
  <si>
    <t>Medical examinations at entry to treatment for drug abuse as an opportunity to initiate care for hepatitis C virus infection</t>
  </si>
  <si>
    <t>Clinical Infectious Diseases</t>
  </si>
  <si>
    <t>40 Suppl 5</t>
  </si>
  <si>
    <t>S297</t>
  </si>
  <si>
    <t>Cross-Sectional Studies;Hepatitis C/co Complications];*Hepatitis C/di Diagnosis];*Hepatitis C/th Therapy];Humans;Physical Examination/st Standards];*Physical Examination/ut Utilization];*Substance Abuse Treatment Centers/st Standards];Substance-Related Disorders/co Complications];*Substance-Related Disorders/rh Rehabilitation];Surveys and Questionnaires</t>
  </si>
  <si>
    <t>Over the course of addiction, a substantial proportion of drug users enter drug abuse treatment programs. Data from a cross-sectional survey of drug abuse treatment programs in the United States were analyzed to describe the scope of the medical examination performed at admission to such programs. All of the methadone programs (n=95) and 50% of drug-free programs (80 of 161) required a medical examination at entry. Most examinations included screening for signs and symptoms of liver disease and liver function testing. Nearly all methadone programs (97%) provided referral to medical care or support for patients with test results positive for antibody to hepatitis C virus (HCV), compared with 75% of drug-free programs (P&lt;.01). Drug-free programs requiring medical examinations provided education about HCV and testing for HCV to a larger proportion of their patients (P&lt;.05). With high dropout rates in the early stages of treatment for drug addiction, these medical visits may be an important opportunity for further monitoring and care for HCV infection and other conditions.</t>
  </si>
  <si>
    <t>J2: Clin Infect Dis; Hagan, Holly Strauss, Shiela M Astone, Janetta M Des Jarlais, Don C; ID: 808</t>
  </si>
  <si>
    <t>1537-6591</t>
  </si>
  <si>
    <t>Hagan, Holly. Center for Drug Use and HIV Research, National Development and Research Institutes, New York, New York 10010, USA. holly.hagan@ndri.org</t>
  </si>
  <si>
    <t>http://ovidsp.ovid.com/ovidweb.cgi?T=JS&amp;CSC=Y&amp;NEWS=N&amp;PAGE=fulltext&amp;D=med5&amp;AN=15768338</t>
  </si>
  <si>
    <t>MEDLINE; Ovid Technologies; Medical examinations at entry to treatment for drug abuse as an opportunity to initiate care for hepatitis C virus infection</t>
  </si>
  <si>
    <t>Hagedorn,H.;Leighton,T.;Heim,L.</t>
  </si>
  <si>
    <t>Assessment of a hepatitis educational group for veterans with substance use disorders</t>
  </si>
  <si>
    <t>Female;*Health Knowledge, Attitudes, Practice;*Hepatitis, Viral, Human/pc Prevention &amp; Control];Humans;Male;Middle Aged;*Patient Education as Topic/mt Methods];Patient Satisfaction;*Program Evaluation;*Substance-Related Disorders/co Complications];United States;United States Department of Veterans Affairs;Veterans;Viral Hepatitis Vaccines;0 (Viral Hepatitis Vaccines)</t>
  </si>
  <si>
    <t>BACKGROUND: In 2005 the substance use disorders (SUD) clinic at the Minneapolis Veterans Affairs Medical Center launched the Liver Health Initiative in an effort to improve hepatitis education, screening, prevention, and treatment referral services for veterans receiving SUD services. One component of the Liver Health Initiative is an hour-long educational group; the Healthy Liver Group. OBJECTIVES: After the Healthy Liver Group was firmly established, an evaluation took place in order to measure: 1) change in patient knowledge, 2) participant satisfaction, and 3) attitudes toward hepatitis A and B vaccinations. METHODS: From August 2007 to May 2008, 102 veterans filled out a paper survey before and after their experience in the Healthy Liver Group. SIGNIFICANCE AND CONCLUSIONS: The results of this survey show an increase in basic knowledge of hepatitis, high levels of patient satisfaction, and strong acceptance of vaccinations for hepatitis A and B. Overall, the survey indicates that the Healthy Liver Group is providing an important service and is generally well accepted by patients.</t>
  </si>
  <si>
    <t>J2: Am J Drug Alcohol Abuse; Hagedorn, Hildi Leighton, Tabitha Heim, LeeAnn; ID: 591</t>
  </si>
  <si>
    <t>Hagedorn, Hildi. Substance Use Disorders Quality Enhancement Research Initiative, Minneapolis Veteran Affairs Medical Center, Minneapolis, Minnesota 55417, USA. hildi.hagedorn@va.gov</t>
  </si>
  <si>
    <t>http://ovidsp.ovid.com/ovidweb.cgi?T=JS&amp;CSC=Y&amp;NEWS=N&amp;PAGE=fulltext&amp;D=med6&amp;AN=20141398</t>
  </si>
  <si>
    <t>https://dx.doi.org/10.3109/00952990903572233</t>
  </si>
  <si>
    <t>MEDLINE; Ovid Technologies; Assessment of a hepatitis educational group for veterans with substance use disorders</t>
  </si>
  <si>
    <t>Hajela,R.</t>
  </si>
  <si>
    <t>Preventing alcohol problems: the challenge for medical education</t>
  </si>
  <si>
    <t>Alcoholism/ep Epidemiology];*Alcoholism/th Therapy];Humans;Incidence;Ontario;Surveys and Questionnaires</t>
  </si>
  <si>
    <t>J2: Cmaj; Hajela, R Comment on: CMAJ. 1990 Nov 15;143(10):1060-9; PMID: 2224674 Comment on: CMAJ. 1990 Nov 15;143(10):1042-7; PMID: 2224671; ID: 1318</t>
  </si>
  <si>
    <t>http://ovidsp.ovid.com/ovidweb.cgi?T=JS&amp;CSC=Y&amp;NEWS=N&amp;PAGE=fulltext&amp;D=med3&amp;AN=1823121</t>
  </si>
  <si>
    <t>MEDLINE; Ovid Technologies; Preventing alcohol problems: the challenge for medical education</t>
  </si>
  <si>
    <t>Haley,N.;Maheux,B.;Rivard,M.;Gervais,A.</t>
  </si>
  <si>
    <t>Unsafe sex, substance abuse, and domestic violence: how do recently trained obstetricians-gynecologists fare at lifestyle risk assessment and counseling on STD prevention?</t>
  </si>
  <si>
    <t>Adult;*Counseling;*Domestic Violence/pc Prevention &amp; Control];Female;*Gynecology/ed Education];Humans;Life Style;Male;Middle Aged;*Obstetrics/ed Education];*Physician's Role;Quebec;Risk Assessment;*Sexual Behavior;*Sexually Transmitted Diseases/pc Prevention &amp; Control];*Smoking Prevention;Surveys and Questionnaires</t>
  </si>
  <si>
    <t>BACKGROUND: Unsafe sexual practices, substance abuse, and domestic violence impact women's health. This study examined whether lifestyle risk assessment during a general medical examination and counseling about sexually transmitted disease during consultations for adolescent contraception and treatment of a sexually transmitted disease were more frequently done by recently trained obstetricians-gynecologists compared to those of obstetrician-gynecologists licensed before 1990. It also documented obstetrician-gynecologists' evaluations of their medical training in that area. METHODS: A pretested anonymous mail survey was conducted in 1995 with all 241 obstetrician-gynecologists practicing in Quebec, Canada; 66% responded (N = 158). RESULTS: Compared to less recently trained obstetrician-gynecologists, recently trained obstetrician-gynecologists reported routinely assessing tobacco use (77 vs 51%, P = 0.01), alcohol use (50 vs 23%, P = 0.004), and illicit drug use (33 vs 17%, P = 0.05) more frequently during a patient's general medical evaluation. However, they did not assess condom use (50%), number of sexual partners, sexual partners' sexually transmitted disease risk (30%), or experiences of sexual abuse or domestic violence (3%) more frequently than less recently trained obstetrician-gynecologists. They were also not more likely to counsel teenagers about sexually transmitted disease prevention during a contraceptive consultation (30-60%) or to discuss human immunodeficiency virus infection (29%) and hepatitis B immunization (13%) during a sexually transmitted disease consultation. CONCLUSION: Although evaluation of substance use was better among recently trained OB-Gyn physicians, little or no improvement has been noted regarding STD prevention or the evaluation of sexual abuse or domestic violence, all important lifestyle risks that directly affect women's health and well-being.</t>
  </si>
  <si>
    <t>J2: Prev Med; Haley, Nancy Maheux, Brigitte Rivard, Michele Gervais, Andre; ID: 978</t>
  </si>
  <si>
    <t>0091-7435</t>
  </si>
  <si>
    <t>Haley, Nancy. Department of Pediatrics, Universite de Montreal, Quebec, Canada. nhaley@santepub-mtl.qc.ca</t>
  </si>
  <si>
    <t>http://ovidsp.ovid.com/ovidweb.cgi?T=JS&amp;CSC=Y&amp;NEWS=N&amp;PAGE=fulltext&amp;D=med4&amp;AN=12052024</t>
  </si>
  <si>
    <t>MEDLINE; Ovid Technologies; Unsafe sex, substance abuse, and domestic violence: how do recently trained obstetricians-gynecologists fare at lifestyle risk assessment and counseling on STD prevention?</t>
  </si>
  <si>
    <t>Halikas,J. A.</t>
  </si>
  <si>
    <t>A model curriculum for substance abuse education in child and adolescent psychiatry training programs</t>
  </si>
  <si>
    <t>Journal of the American Academy of Child &amp; Adolescent Psychiatry</t>
  </si>
  <si>
    <t>Adolescent;*Adolescent Psychiatry/ed Education];Child;*Child Psychiatry/ed Education];Curriculum;Humans;*Internship and Residency;Minnesota;*Substance-Related Disorders/rh Rehabilitation]</t>
  </si>
  <si>
    <t>Child psychiatry training recognizes substance abuse as a problem requiring an educational effort to provide fellows with adequate clinical skills to manage these patients. The components of a substance abuse educational module which may be integrated into existing child psychiatry fellowships are presented, with a discussion of practical problems raised by the expansion of child psychiatry into this neglected area.</t>
  </si>
  <si>
    <t>J2: J Am Acad Child Adolesc Psychiatry; Halikas, J A; ID: 1341</t>
  </si>
  <si>
    <t>0890-8567</t>
  </si>
  <si>
    <t>Halikas, J A. Department of Psychiatry, University of Minnesota, Minneapolis 55455.</t>
  </si>
  <si>
    <t>http://ovidsp.ovid.com/ovidweb.cgi?T=JS&amp;CSC=Y&amp;NEWS=N&amp;PAGE=fulltext&amp;D=med3&amp;AN=2228939</t>
  </si>
  <si>
    <t>MEDLINE; Ovid Technologies; A model curriculum for substance abuse education in child and adolescent psychiatry training programs</t>
  </si>
  <si>
    <t>Hall,M. N.;Pettice,Y. J.;Robinson,M. D.;Alexander,M.</t>
  </si>
  <si>
    <t>Teaching smoking cessation to family practice residents: an experiential approach</t>
  </si>
  <si>
    <t>Adult;Behavior Therapy;Curriculum;*Family Practice/ed Education];Female;Humans;*Internship and Residency;Male;North Carolina;Patient Education as Topic;Problem-Based Learning;Self-Help Groups;*Smoking Cessation</t>
  </si>
  <si>
    <t>BACKGROUND AND OBJECTIVES: Smoking cessation is a complex process influenced by the smoker's motivation to quit and the effective use of external support measures. Understanding the complexities of smoking cessation can be difficult for physicians, many of whom have never smoked. This paper describes an experiential educational approach that exposes family practice residents to the process of smoking cessation through active participation in an American Lung Association (ALA) Freedom From Smoking group. METHODS: We designed and observed a 1-month educational program in which residents co-led a modified ALA group. Ethnography, a qualitative research technique, was used to discover what residents learned. RESULTS: We identified five themes that describe what residents learned through their experience in the ALA Group: 1) the power of nicotine addiction, 2) the power of the smoking cessation group, 3) skills, tips, tools, and tricks to help the smoker quit, 4) the process of redefining success, and 5) the ability to understand the smoker. Residents' recall of their experience remained vivid, even 9 months after the training concluded. CONCLUSIONS: This experiential approach provided a rich, lasting learning experience for the residents we studied.</t>
  </si>
  <si>
    <t>J2: Fam Med; Hall, M N Pettice, Y J Robinson, M D Alexander, M; ID: 1169</t>
  </si>
  <si>
    <t>Hall, M N. Department of Family Practice, Carolinas Medical Center, Charlotte, NC, USA.</t>
  </si>
  <si>
    <t>http://ovidsp.ovid.com/ovidweb.cgi?T=JS&amp;CSC=Y&amp;NEWS=N&amp;PAGE=fulltext&amp;D=med4&amp;AN=8735059</t>
  </si>
  <si>
    <t>MEDLINE; Ovid Technologies; Teaching smoking cessation to family practice residents: an experiential approach</t>
  </si>
  <si>
    <t>Halladay,J. R.;Vu,M.;Ripley-Moffitt,C.;Gupta,S. K.;O'Meara,C.;Goldstein,A. O.</t>
  </si>
  <si>
    <t>Patient perspectives on tobacco use treatment in primary care</t>
  </si>
  <si>
    <t>E14</t>
  </si>
  <si>
    <t>*Counseling/mt Methods];Focus Groups;Humans;Incidence;Motivation;*Primary Health Care/mt Methods];*Smoking/ae Adverse Effects];Smoking/ep Epidemiology];*Smoking Cessation/mt Methods];*Tobacco Use/pc Prevention &amp; Control];United States/ep Epidemiology]</t>
  </si>
  <si>
    <t>INTRODUCTION: Evidence-based tobacco cessation interventions increase quit rates, yet most smokers do not use them. Every primary care visit offers the potential to discuss such options, but communication can be tricky for patients and provider alike. We explored smokers' personal interactions with health care providers to better understand what it is like to be a smoker in an increasingly smoke-free era and the resources needed to support quit attempts and to better define important patient-centered outcomes. METHODS: Three 90-minute focus groups, involving 33 patients from 3 primary care clinics, were conducted. Participants were current or recent (having quit within 6 months) smokers. Topics included tobacco use, quit attempts, and interactions with providers, followed by more pointed questions exploring actions patients want from providers and outcome measures that would be meaningful to patients. RESULTS: Four themes were identified through inductive coding techniques: 1) the experience of being a tobacco user (inconvenience, shame, isolation, risks, and benefits), 2) the medical encounter (expectations of providers, trust and respect, and positive, targeted messaging), 3) high-value actions (consistent dialogue, the addiction model, point-of-care nicotine patches, educational materials, carbon monoxide monitoring, and infrastructure), and 4) patient-centered outcomes. CONCLUSION: Engaged patient-centered smoking cessation counseling requires seeking the patient voice early in the process. Participants desired honest, consistent, and pro-active discussions and actions. Participants also suggested creative patient-centered outcome measures to consider in future research.</t>
  </si>
  <si>
    <t>J2: Prev Chronic Dis; Halladay, Jacqueline R Vu, Maihan Ripley-Moffitt, Carol Gupta, Sachin K O'Meara, Christine Goldstein, Adam O; ID: 221</t>
  </si>
  <si>
    <t>Halladay, Jacqueline R. University of North Carolina at Chapel Hill, Department of Family Medicine, 590 Manning Dr, Chapel Hill, NC 27599. E-mail: jacqueline_halladay@med.unc.edu. Dr Halladay is also affiliated with the Cecil G. Sheps Center for Health Services Research, Chapel Hill, North Carolina. Vu, Maihan. University of North Carolina at Chapel Hill, Chapel Hill, North Carolina. Ripley-Moffitt, Carol. University of North Carolina at Chapel Hill, Chapel Hill, North Carolina. Gupta, Sachin K. Community-Based Family Practice Physicians, Cary, North Carolina. O'Meara, Christine. Community-Based Family Practice Physicians, Cary, North Carolina. Goldstein, Adam O. University of North Carolina at Chapel Hill, Chapel Hill, North Carolina.</t>
  </si>
  <si>
    <t>http://ovidsp.ovid.com/ovidweb.cgi?T=JS&amp;CSC=Y&amp;NEWS=N&amp;PAGE=fulltext&amp;D=med8&amp;AN=25654219</t>
  </si>
  <si>
    <t>https://dx.doi.org/10.5888/pcd12.140408</t>
  </si>
  <si>
    <t>MEDLINE; Ovid Technologies; Patient perspectives on tobacco use treatment in primary care</t>
  </si>
  <si>
    <t>Haller,D. M.;Meynard,A.;Lefebvre,D.;Ukoumunne,O. C.;Narring,F.;Broers,B.</t>
  </si>
  <si>
    <t>Effectiveness of training family physicians to deliver a brief intervention to address excessive substance use among young patients: a cluster randomized controlled trial</t>
  </si>
  <si>
    <t>E263</t>
  </si>
  <si>
    <t>Adolescent;*Alcoholism/pc Prevention &amp; Control];Alcoholism/th Therapy];Attitude of Health Personnel;Cluster Analysis;Confidence Intervals;Female;Humans;Male;Odds Ratio;Patient Education as Topic;*Physicians, Family/ed Education];Pilot Projects;Practice Patterns, Physicians';*Substance-Related Disorders/pc Prevention &amp; Control];Substance-Related Disorders/th Therapy];Switzerland;Treatment Outcome;Young Adult</t>
  </si>
  <si>
    <t>BACKGROUND: Brief interventions delivered by family physicians to address excessive alcohol use among adult patients are effective. We conducted a study to determine whether such an intervention would be similarly effective in reducing binge drinking and excessive cannabis use among young people. METHODS: We conducted a cluster randomized controlled trial involving 33 family physicians in Switzerland. Physicians in the intervention group received training in delivering a brief intervention to young people during the consultation in addition to usual care. Physicians in the control group delivered usual care only. Consecutive patients aged 15-24 years were recruited from each practice and, before the consultation, completed a confidential questionnaire about their general health and substance use. Patients were followed up at 3, 6 and 12 months after the consultation. The primary outcome measure was self-reported excessive substance use (&gt;= 1 episode of binge drinking, or &gt;= 1 joint of cannabis per week, or both) in the past 30 days. RESULTS: Of the 33 participating physicians, 17 were randomly allocated to the intervention group and 16 to the control group. Of the 594 participating patients, 279 (47.0%) identified themselves as binge drinkers or excessive cannabis users, or both, at baseline. Excessive substance use did not differ significantly between patients whose physicians were in the intervention group and those whose physicians were in the control group at any of the follow-up points (odds ratio OR] and 95% confidence interval CI] at 3 months: 0.9 0.6-1.4]; at 6 mo: 1.0 0.6-1.6]; and at 12 mo: 1.1 0.7-1.8]). The differences between groups were also nonsignificant after we restricted the analysis to patients who reported excessive substance use at baseline (OR 1.6, 95% CI 0.9-2.8, at 3 mo; OR 1.7, 95% CI 0.9-3.2, at 6 mo; and OR 1.9, 95% CI 0.9-4.0, at 12 mo). INTERPRETATION: Training family physicians to use a brief intervention to address excessive substance use among young people was not effective in reducing binge drinking and excessive cannabis use in this patient population. TRIAL REGISTRATION: Australian New Zealand Clinical Trials Registry, no. ACTRN12608000432314.</t>
  </si>
  <si>
    <t>J2: Cmaj; Haller, Dagmar M Meynard, Anne Lefebvre, Daniele Ukoumunne, Obioha C Narring, Francoise Broers, Barbara Comment in: CMAJ. 2014 May 13;186(8):565-6; PMID: 24733767; ID: 294</t>
  </si>
  <si>
    <t>http://ovidsp.ovid.com/ovidweb.cgi?T=JS&amp;CSC=Y&amp;NEWS=N&amp;PAGE=fulltext&amp;D=med8&amp;AN=24616136</t>
  </si>
  <si>
    <t>https://dx.doi.org/10.1503/cmaj.131301</t>
  </si>
  <si>
    <t>MEDLINE; Ovid Technologies; Effectiveness of training family physicians to deliver a brief intervention to address excessive substance use among young patients: a cluster randomized controlled trial</t>
  </si>
  <si>
    <t>Haller,J. G.</t>
  </si>
  <si>
    <t>Combating drug abuse in Wyoming</t>
  </si>
  <si>
    <t>Rocky Mountain medical journal</t>
  </si>
  <si>
    <t>Rocky Mt.Med.J.</t>
  </si>
  <si>
    <t>Education, Medical, Continuing;Humans;Jurisprudence;Legislation, Medical;Mental Health;*Substance-Related Disorders;Wyoming</t>
  </si>
  <si>
    <t>J2: Rocky Mt Med J; Haller, J G; ID: 1607</t>
  </si>
  <si>
    <t>0035-760X</t>
  </si>
  <si>
    <t>http://ovidsp.ovid.com/ovidweb.cgi?T=JS&amp;CSC=Y&amp;NEWS=N&amp;PAGE=fulltext&amp;D=med1&amp;AN=5575490</t>
  </si>
  <si>
    <t>MEDLINE; Ovid Technologies; Combating drug abuse in Wyoming</t>
  </si>
  <si>
    <t>Halm,B. M.;Lee,M. T.;Franke,A. A.</t>
  </si>
  <si>
    <t>Improving medical student toxicology knowledge and self-confidence using mannequin simulation</t>
  </si>
  <si>
    <t>Hawaii medical journal</t>
  </si>
  <si>
    <t>Hawaii Med.J.</t>
  </si>
  <si>
    <t>Clinical Competence;Drug Overdose/co Complications];*Drug Overdose/di Diagnosis];*Drug Overdose/th Therapy];*Education, Medical, Undergraduate/mt Methods];Humans;Manikins;*Patient Simulation;Pilot Projects;Self Concept;Unconsciousness/co Complications];Unconsciousness/th Therapy]</t>
  </si>
  <si>
    <t>BACKGROUND: Learning medicine without placing patients at increased risk of complications is of utmost importance in the medical profession. High-fidelity patient simulators can potentially achieve this and are therefore increasingly used in the training of medical students. Preclinical medical students have minimal exposure to clinical rotations and commonly feel anxious and apprehensive when starting their clinical years. OBJECTIVES: The objective of this pilot study was to determine if toxicology knowledge and confidence of preclinical second-year medical students could be augmented with simulation training. METHODS: We designed and implemented a simulation exercise for second-year medical students to enhance learning of Basic Life Support, toxidromes, and management of a semiconscious overdose victim. Groups of 5-6 students were tasked to identify abnormal findings, order tests, and initiate treatment on a mannequin. Faculty observers provided video-assisted feedback immediately afterwards. On-line pre- and posttests were completed in the simulation lab before and after the exercise. RESULTS: This simulation exercise, completed by 52 students, increased test scores on average from 60% to 71% compared to a pre-test. Among the topics tested, students scored worst in identifying normal/abnormal vital signs. Mean confidence increased from 2.0 to 2.6 using a 5-point Likert scale (1-very low to 5-very high). CONCLUSION: This study suggests that simulation exercises for second-year medical students may be a valuable tool to increase knowledge and student self-confidence at a key transition period prior to beginning clerkship experiences. Further research is needed to prove long-term educational benefits of simulation interventions in the preclinical setting.</t>
  </si>
  <si>
    <t>J2: Hawaii Med J; Halm, Brunhild M Lee, Meta T Franke, Adrian A; ID: 593</t>
  </si>
  <si>
    <t>0017-8594</t>
  </si>
  <si>
    <t>Halm, Brunhild M. Emergency Department, Kapi'olani Medical Center for Women and Children, Honolulu, HI 96826, USA. brunhildh@kapiolani.org</t>
  </si>
  <si>
    <t>http://ovidsp.ovid.com/ovidweb.cgi?T=JS&amp;CSC=Y&amp;NEWS=N&amp;PAGE=fulltext&amp;D=med6&amp;AN=20222489</t>
  </si>
  <si>
    <t>MEDLINE; Ovid Technologies; Improving medical student toxicology knowledge and self-confidence using mannequin simulation</t>
  </si>
  <si>
    <t>Hancock,C. M.;Burrow,M. A.</t>
  </si>
  <si>
    <t>OxyContin Use and Abuse</t>
  </si>
  <si>
    <t>Clinical journal of oncology nursing</t>
  </si>
  <si>
    <t>Clin.J.Oncol.Nurs.</t>
  </si>
  <si>
    <t>*Analgesics, Opioid;Education, Medical, Continuing;Humans;Opioid-Related Disorders/pc Prevention &amp; Control];*Opioid-Related Disorders;*Oxycodone;Patient Education as Topic;0 (Analgesics, Opioid);CD35PMG570 (Oxycodone)</t>
  </si>
  <si>
    <t>J2: Clin J Oncol Nurs; Hancock, Christie M Burrow, Melissa A; ID: 982</t>
  </si>
  <si>
    <t>1092-1095</t>
  </si>
  <si>
    <t>http://ovidsp.ovid.com/ovidweb.cgi?T=JS&amp;CSC=Y&amp;NEWS=N&amp;PAGE=fulltext&amp;D=med4&amp;AN=11889673</t>
  </si>
  <si>
    <t>MEDLINE; Ovid Technologies; OxyContin Use and Abuse</t>
  </si>
  <si>
    <t>Hanley,K.;Bereket,S.;Tuchman,E.;More,F. G.;Naegle,M. A.;Kalet,A.;Goldfield,K.;Gourevitch,M. N.</t>
  </si>
  <si>
    <t>Evaluation of the Substance Abuse Research and Education Training (SARET) program: Stimulating health professional students to pursue careers in substance use research</t>
  </si>
  <si>
    <t>BACKGROUND: We developed and implemented the Substance Abuse Research Education and Training (SARET) program for medical, dental, nursing, and social work students to address the dearth of health professionals pursuing research and careers in substance use disorders (SUD). SARET has two main components: (1) A novel online curriculum addressing core SUD research topics, to reach a large number of students. (2) A mentored summer research experience for in-depth exposure. METHODS: Modules were integrated into the curricula of the lead institution, and of five external schools. We assessed the number of web modules completed and their effect on students' interest in SUD research. We also assessed the impact of the mentorship experience on participants' attitudes and early career trajectories, including current involvement in SUD research. RESULTS: Since 2008, over 24,000 modules have been completed by approximately 9,700 individuals. In addition to integration of the modules into curricula at the lead institution, all five health-professional partner schools integrated at least one module and approximately 5,500 modules were completed by individuals outside the lead institution. We found an increase in interest in SUD research after completion of the modules for students in all four disciplines. From 2008-2015, 76 students completed summer mentorships; 8 students completed year-long mentorships; 13 published in SUD-related journals, 18 presented at national conferences, and 3 are actively engaged in SUD-related research. Mentorship participants reported a positive influence on their attitudes towards SUD-related clinical care, research, and inter-professional collaboration, leading in some cases to changes in career plans. CONCLUSIONS: A modular curriculum that stimulates clinical and research interest in SUD can be successfully integrated, into medical, dental, nursing, and social work curricula. The SARET program of mentored research participation fostered early research successes and influenced career choice of some participants. Longer-term follow-up will enable us to assess more distal careers of the program.</t>
  </si>
  <si>
    <t>J2: Subst Abus; Hanley, Kathleen Bereket, Sewit Tuchman, Ellen More, Frederick G Naegle, Madeline A Kalet, Adina Goldfield, Keith Gourevitch, Marc N; ID: 1685</t>
  </si>
  <si>
    <t>Hanley, Kathleen. a Department of Medicine , New York University School of Medicine , New York , New York , USA. Bereket, Sewit. b Department of Population Health , New York University School of Medicine , New York , New York , USA. Tuchman, Ellen. c New York University Silver School of Social Work , New York , New York , USA. More, Frederick G. d Department of Epidemiology &amp; Health Promotion , New York University College of Dentistry , New York , New York , USA. Naegle, Madeline A. e NYU Rory Meyers College of Nursing , New York , New York , USA. Kalet, Adina. f Department of Medicine , New York University School of Medicine , New York , New York , USA. Goldfield, Keith. b Department of Population Health , New York University School of Medicine , New York , New York , USA. Gourevitch, Marc N. b Department of Population Health , New York University School of Medicine , New York , New York , USA.</t>
  </si>
  <si>
    <t>http://ovidsp.ovid.com/ovidweb.cgi?T=JS&amp;CSC=Y&amp;NEWS=N&amp;PAGE=fulltext&amp;D=medp&amp;AN=29565782</t>
  </si>
  <si>
    <t>https://dx.doi.org/10.1080/08897077.2018.1449167</t>
  </si>
  <si>
    <t>MEDLINE; Ovid Technologies; Evaluation of the Substance Abuse Research and Education Training (SARET) program: Stimulating health professional students to pursue careers in substance use research</t>
  </si>
  <si>
    <t>Hanlon,M. J.</t>
  </si>
  <si>
    <t>A review of the recent literature relating to the training of medical students in alcoholism</t>
  </si>
  <si>
    <t>Alcohol Drinking;Alcoholics Anonymous;Alcoholism/th Therapy];*Alcoholism;Attitude of Health Personnel;Clinical Competence;Curriculum;*Education, Medical;Humans;Internship and Residency;Students, Medical;Substance-Related Disorders;United States</t>
  </si>
  <si>
    <t>The author in this paper reviews the recent literature relating to the education of medical students in the area of alcoholism. These articles, from the 1960s, 1970s, and 1980s, are divided into the following topics: attitudes toward alcoholism, measurement of increased knowledge about alcoholism, the status of training in alcoholism, descriptions of alcoholism training programs, and methodological approaches to assessing such programs. While teaching in alcoholism is increasing, the training needs to be expanded even more. The focus of the training should be on experiential/clinical approaches rather than on the more prevalent approach of using lectures in nonclinical settings and should be on changing medical students' attitudes so they will be more understanding of alcoholics and more optimistic about their treatment. References: 27]</t>
  </si>
  <si>
    <t>J2: J Med Educ; Hanlon, M J; ID: 1461</t>
  </si>
  <si>
    <t>http://ovidsp.ovid.com/ovidweb.cgi?T=JS&amp;CSC=Y&amp;NEWS=N&amp;PAGE=fulltext&amp;D=med2&amp;AN=3894664</t>
  </si>
  <si>
    <t>MEDLINE; Ovid Technologies; A review of the recent literature relating to the training of medical students in alcoholism</t>
  </si>
  <si>
    <t>Hannah,K. L.;O'Neil,M.</t>
  </si>
  <si>
    <t>Bringing all the players to the table: the West Virginia Controlled Substance Advisory Board</t>
  </si>
  <si>
    <t>*Advisory Committees/og Organization &amp; Administration];Humans;*Prescription Drugs;*Substance-Related Disorders/pc Prevention &amp; Control];West Virginia;0 (Prescription Drugs)</t>
  </si>
  <si>
    <t>Abuse and diversion of controlled substances are well-known problems in West Virginia and nationally. The costs to our society in both dollars and human capital are substantial. These problems touch groups as diverse as law enforcement, medical professionals, government leaders, addiction specialists, pain specialists, social workers, educators and regulatory boards, among others. The issues these groups face are varied and often unique to each profession, often resulting in a lack of communication and collaboration. This problem has been compounded by the fact that each group often makes decisions based on independent data related to substance abuse and diversion, which historically have not been shared due to privacy and other concerns. The West Virginia Controlled Substance Advisory Board was created to address these and other issues involved in drug diversion and substance abuse in West Virginia.</t>
  </si>
  <si>
    <t>J2: W V Med J; Hannah, Karen L O'Neil, Michael; ID: 489</t>
  </si>
  <si>
    <t>Hannah, Karen L. West Virginia Medical Institute, USA.</t>
  </si>
  <si>
    <t>http://ovidsp.ovid.com/ovidweb.cgi?T=JS&amp;CSC=Y&amp;NEWS=N&amp;PAGE=fulltext&amp;D=med6&amp;AN=21932749</t>
  </si>
  <si>
    <t>MEDLINE; Ovid Technologies; Bringing all the players to the table: the West Virginia Controlled Substance Advisory Board</t>
  </si>
  <si>
    <t>Haque,M.;Rahman,N. A.;Majumder,M. A.;Haque,S. Z.;Kamal,Z. M.;Islam,Z.;Haque,A. E.;Rahman,N. I.;Alattraqchi,A. G.</t>
  </si>
  <si>
    <t>Internet use and addiction among medical students of Universiti Sultan Zainal Abidin, Malaysia</t>
  </si>
  <si>
    <t>Psychology Research &amp; Behavior Management</t>
  </si>
  <si>
    <t>BACKGROUND: The use of Internet has now become indispensable, and the technology has revolutionized the medical education and practice worldwide. Currently, medical students and professionals have an enormous opportunity to keep them always updated with the exponential growth of knowledge because of potential progression of Internet throughout the world that enables them to become a lifelong learner. Internet addiction is a widespread phenomenon among students and academicians at universities in Malaysia. Students use the Internet for recreational purpose and personal and professional development. The Internet has become an integral part of day-to-day life of the university students, including medical students. The aim of the present study was to examine the Internet use and addiction among students of Universiti Sultan Zainal Abidin, Malaysia. METHODS: This was a cross-sectional study in which a questionnaire, Internet Addiction Diagnostic Questionnaire, developed by the Center for Internet Addiction, USA, was used. One hundred forty-nine medical students of Universiti Sultan Zainal Abidin participated in this study. Data were analyzed using Statistical Package for the Social Sciences software. RESULTS: The mean scores were 44.9+/-14.05 and 41.4+/-13.05 for male and female participants, respectively, which indicated that both the genders were suffering from mild Internet addiction. CONCLUSION: This study shows almost similar level of Internet usage among medical students irrespective of their socioeconomic background, with no statistically significant (p&gt;0.05) differences, except among the years of study (p=0.007). Overall, from the research data and having worked with this cohort very closely, Universiti Sultan Zainal Abidin medical students can be labeled as wonted and recurring users of the Internet. Nevertheless, it is very difficult to define as Internet addicts or pathological users of the Internet because of small sample size and cross-sectional study.</t>
  </si>
  <si>
    <t>J2: Psychol; Haque, Mainul Rahman, Nor Azlina A Majumder, Md Anwarul Azim Haque, Seraj Zohurul Kamal, Zubair M Islam, Zakirul Haque, Atm Emdadul Rahman, Nor Iza A Alattraqchi, Ahmed Ghazi; ID: 1673</t>
  </si>
  <si>
    <t>1179-1578</t>
  </si>
  <si>
    <t>Haque, Mainul. Unit of Pharmacology, Faculty of Medicine and Defense Health, National Defense University of Malaysia, Kuala Lumpur. Rahman, Nor Azlina A. Department of Biomedical Science, Kulliyyah of Allied Health Sciences, Kuantan, Malaysia. Majumder, Md Anwarul Azim. Department of Clinical Sciences, School of Medical Sciences, Faculty of Life Sciences, University of Bradford, Bradford. Haque, Seraj Zohurul. School of Medicine, University of Dundee, Ninewells Hospital &amp; Medical School, Dundee, UK. Kamal, Zubair M. Sleep Research Unit, Toronto Western Hospital, University Health Network, Toronto, ON, Canada. Islam, Zakirul. Department of Pharmacology and Therapeutics, Eastern Medical College, Comilla, Bangladesh. Haque, Atm Emdadul. Department of Medical Education, Universiti Kuala Lumpur Royal College of Medicine Perak (UniKL RCMP), Ipoh. Rahman, Nor Iza A. Faculty of Medicine, Universiti Sultan Zainal Abidin, Kuala Terengganu, Malaysia. Alattraqchi, Ahmed Ghazi. Faculty of Medicine, Universiti Sultan Zainal Abidin, Kuala Terengganu, Malaysia.</t>
  </si>
  <si>
    <t>http://ovidsp.ovid.com/ovidweb.cgi?T=JS&amp;CSC=Y&amp;NEWS=N&amp;PAGE=fulltext&amp;D=prem&amp;AN=27881928</t>
  </si>
  <si>
    <t>MEDLINE; Ovid Technologies; Internet use and addiction among medical students of Universiti Sultan Zainal Abidin, Malaysia</t>
  </si>
  <si>
    <t>Harrington,K. F.;Haven,K. M.;Nuno,V. L.;Magruder,T.;Bailey,W. C.;Gerald,L. B.</t>
  </si>
  <si>
    <t>Parent report and electronic medical record agreement on asthma education provided and children's tobacco smoke exposure</t>
  </si>
  <si>
    <t>Journal of Asthma</t>
  </si>
  <si>
    <t>Alabama/ep Epidemiology];*Asthma/ep Epidemiology];Chi-Square Distribution;Child;Cross-Sectional Studies;*Electronic Health Records/sn Statistics &amp; Numerical Data];Female;Humans;Interviews as Topic;Male;Parents;*Patient Education as Topic/sn Statistics &amp; Numerical Data];Socioeconomic Factors;*Tobacco Smoke Pollution/sn Statistics &amp; Numerical Data];0 (Tobacco Smoke Pollution)</t>
  </si>
  <si>
    <t>OBJECTIVE: To examine the concordance between parent report and electronic medical record documentation of asthma health education provided during a single clinic visit and second-hand tobacco smoke exposure among children with asthma. METHODS: Parents of children with asthma were recruited from two types of clinics using different electronic medical record systems: asthma-specialty or general pediatric health department clinics. After their child's outpatient visit, parents were interviewed by trained study staff. Interview data were compared to electronic medical records for agreement in five categories of asthma health education and for the child's environmental tobacco smoke exposure. Kappa statistics were used to identify strength of agreement. Chi square and t-tests were used to examine differences between clinic types. RESULTS: Of 255 parents participating in the study 90.6% were African American and 96.1% were female. Agreement was poor across all clinics but was higher within the asthma specialty clinics than the health department clinics for smoke exposure (kappa=0.410 versus 0.205), asthma diagnosis/disease process (kappa=0.213 versus -0.016) and devices reviewed (kappa=0.253 versus -0.089) with parents generally reporting more education provided. For the 203 children with complete medical records, 40.5% did not have any documentation regarding smoking exposure in the home and 85.2% did not have any documentation regarding exposure elsewhere. CONCLUSIONS: We found low concordance between the parent's report and the electronic medical record for smoke exposure and asthma education provided. Un- or under-documented smoke exposure and health education have the potential to affect continuity of care for pediatric patients with asthma.</t>
  </si>
  <si>
    <t>J2: J Asthma; Harrington, Kathleen F Haven, Kristen M Nuno, Velia Leybas Magruder, Theresa Bailey, William C Gerald, Lynn B; ID: 312</t>
  </si>
  <si>
    <t>1532-4303</t>
  </si>
  <si>
    <t>Harrington, Kathleen F. Division of Pulmonary, Allergy and Critical Care Medicine, Department of Medicine, School of Medicine, University of Alabama , Birmingham, AL , USA .</t>
  </si>
  <si>
    <t>http://ovidsp.ovid.com/ovidweb.cgi?T=JS&amp;CSC=Y&amp;NEWS=N&amp;PAGE=fulltext&amp;D=med7&amp;AN=23883356</t>
  </si>
  <si>
    <t>https://dx.doi.org/10.3109/02770903.2013.828303</t>
  </si>
  <si>
    <t>MEDLINE; Ovid Technologies; Parent report and electronic medical record agreement on asthma education provided and children's tobacco smoke exposure</t>
  </si>
  <si>
    <t>Harris,A.;Boyce,P.;Ajjawi,R.</t>
  </si>
  <si>
    <t>Clinical reasoning sessions: back to the patient</t>
  </si>
  <si>
    <t>The clinical teacher</t>
  </si>
  <si>
    <t>Australia;Behavior, Addictive;*Curriculum;*Diffusion of Innovation;Education, Medical, Undergraduate/mt Methods];Feedback;*Group Processes;Health Knowledge, Attitudes, Practice;Humans;Models, Educational;*Problem-Based Learning/mt Methods];*Psychiatry/ed Education];Risk Assessment/mt Methods];Students, Medical;Surveys and Questionnaires;Teaching</t>
  </si>
  <si>
    <t>BACKGROUND: Problem-based learning (PBL) was developed as a facilitated small group learning process based around a clinical problem. Originally designed for pre-clinical years of medical education, its application across all years poses a number of difficulties, including the risk of reducing patient contact, providing a learning process that is skewed towards an understanding of pathophysiological processes, which may not be well understood in all areas of medicine, and failing to provide exposure to clinically relevant reasoning skills. CONTEXT: Curriculum review identified dissatisfaction with PBLs in the clinical years of the Sydney Medical School's Graduate Medical Program, from both staff and students. A new model was designed and implemented in the Psychiatry and Addiction Medicine rotation, and is currently being evaluated. INNOVATION: We describe an innovative model of small-group, student-generated, case-based learning in psychiatry - clinical reasoning sessions (CRS) - led by expert facilitators. IMPLICATIONS: The CRS format returns the student to the patient, emphasises clinical assessment skills and considers treatment in the real-world context of the patient. Students practise a more sophisticated reasoning process with real patients modelled upon that of their expert tutor. This has increased student engagement compared with the previous PBL programme.</t>
  </si>
  <si>
    <t>J2: Clin Teach; Harris, Anthony Boyce, Phillip Ajjawi, Rola; ID: 528</t>
  </si>
  <si>
    <t>1743-498X</t>
  </si>
  <si>
    <t>Harris, Anthony. Discipline of Psychiatry &amp; Westmead Clinical School, Sydney Medical School, University of Sydney, Australia. anthony.harris@sydney.edu.au</t>
  </si>
  <si>
    <t>http://ovidsp.ovid.com/ovidweb.cgi?T=JS&amp;CSC=Y&amp;NEWS=N&amp;PAGE=fulltext&amp;D=med7&amp;AN=21324066</t>
  </si>
  <si>
    <t>https://dx.doi.org/10.1111/j.1743-498X.2010.00407.x</t>
  </si>
  <si>
    <t>MEDLINE; Ovid Technologies; Clinical reasoning sessions: back to the patient</t>
  </si>
  <si>
    <t>Harris,I. B.;Westermeyer,J.</t>
  </si>
  <si>
    <t>Chemical dependency education within medical schools: supervised clinical experience</t>
  </si>
  <si>
    <t>*Community Mental Health Centers;Counseling;*Curriculum;*Education, Medical;Evaluation Studies as Topic;Feedback;Goals;Humans;Physician's Role;*Substance-Related Disorders</t>
  </si>
  <si>
    <t>Physicians can play a significant role in chemical dependency, including early identification and intervention, referral to treatment resources, patient and community education, and responsible prescribing practices. Some medical schools have begun to provide instruction in the psychology, pharmacology, and physical pathology of chemical dependency; yet surveys indicate that few offer supervised clinical experience with chemically dependent patients. At the University of Minnesota Medical School, chemical dependency treatment centers are used to provide supervised clinical tutorials for all second year students as part of a coordinated chemical dependency curriculum. The authors describe the development, goals, organization, instructional approaches, and assessment of these tutorials. It is argued that chemical dependency treatment centers are a valuable resource in the education of medical students, as well as other professionls, if used with a view to their assets and limitations.</t>
  </si>
  <si>
    <t>J2: Am J Drug Alcohol Abuse; Harris, I B Westermeyer, J; ID: 1524</t>
  </si>
  <si>
    <t>http://ovidsp.ovid.com/ovidweb.cgi?T=JS&amp;CSC=Y&amp;NEWS=N&amp;PAGE=fulltext&amp;D=med1&amp;AN=696707</t>
  </si>
  <si>
    <t>MEDLINE; Ovid Technologies; Chemical dependency education within medical schools: supervised clinical experience</t>
  </si>
  <si>
    <t>Harris,J. M., J.;Sun,H.</t>
  </si>
  <si>
    <t>NIHMS501571; A randomized trial of two e-learning strategies for teaching substance abuse management skills to physicians</t>
  </si>
  <si>
    <t>Adult;Attitude of Health Personnel;*Clinical Competence;Computer Simulation;Decision Making;Education, Distance;Female;Humans;*Internship and Residency/mt Methods];Male;*Patient Simulation;*Physicians, Primary Care/ed Education];Substance-Related Disorders/di Diagnosis];*Substance-Related Disorders/th Therapy];Surveys and Questionnaires;United States</t>
  </si>
  <si>
    <t>PURPOSE: To compare the educational effectiveness of two virtual patient (VP)-based e-learning strategies, versus no training, in improving physicians' substance abuse management knowledge, attitudes, self-reported behaviors, and decision making. METHOD: The 2011-2012 study was a posttest-only, three-arm, randomized controlled trial in 90 resident and 30 faculty physicians from five adult medicine primary care training programs. The intervention was one of two 2-hour VP-based e-learning programs, designed by national experts to teach structured screening, brief interventions, referral, and treatment skills. One used traditional problem solving with feedback (unworked example), and the other incorporated an expert demonstration first, followed by problem solving with feedback (worked example). The main outcome measure was performance on the Physicians' Competence in Substance Abuse Test (P-CSAT, maximum score = 315), a self-administered, previously validated measure of physicians' competence in managing substance abuse. The survey was completed at the outset of the study and two months later. RESULTS: Overall P-CSAT scores were virtually identical (202-211, P &gt; .05) between both intervention groups and the no-training control group at both times. Average faculty P-CSAT scores (221.9, 224.6) were significantly higher (P &lt; .01) than resident scores (203.7, 202.5) at both times. CONCLUSIONS: This study did not provide evidence that a brief, worked example, VP-based e-learning program or a traditional, unworked, VP-based e-learning program was superior to no training in improving physicians' substance abuse management skills. The study did provide additional evidence that the P-CSAT distinguishes between physicians who should possess different levels of substance abuse management skills.</t>
  </si>
  <si>
    <t>J2: Acad Med; Harris, John M Jr Sun, Huaping; ID: 339</t>
  </si>
  <si>
    <t>Harris, John M Jr. University of Arizona College of Medicine, Tucson, AZ 85724-5121, USA. jharris@medadmin.arizona.edu</t>
  </si>
  <si>
    <t>http://ovidsp.ovid.com/ovidweb.cgi?T=JS&amp;CSC=Y&amp;NEWS=N&amp;PAGE=fulltext&amp;D=med7&amp;AN=23887001</t>
  </si>
  <si>
    <t>https://dx.doi.org/10.1097/ACM.0b013e31829e7ec6</t>
  </si>
  <si>
    <t>MEDLINE; Ovid Technologies; A randomized trial of two e-learning strategies for teaching substance abuse management skills to physicians</t>
  </si>
  <si>
    <t>NIHMS337138; The Physicians' Competence in Substance Abuse Test (P-CSAT): a multidimensional educational measurement tool for substance abuse training programs</t>
  </si>
  <si>
    <t>Adult;*Data Collection/st Standards];Education/mt Methods];*Education/st Standards];Educational Measurement/mt Methods];*Educational Measurement/st Standards];Female;Humans;Male;Middle Aged;*Physicians/st Standards];Substance Abuse Detection/mt Methods];*Substance Abuse Detection/st Standards];*Substance-Related Disorders/di Diagnosis];Substance-Related Disorders/px Psychology]</t>
  </si>
  <si>
    <t>BACKGROUND: Efforts to enhance physician substance abuse (SA) management skills lack tools to assess skills and training effectiveness. We sought to develop an easily administered survey to assess SA fact-based skills and clinical decision-making. METHODS: We prepared 60 fact-based items dealing with SA knowledge, attitudes, and behaviors (KAB) and 53 script concordance test (SCT) items assessing SA decision-making. We used expert review and standard psychometric criteria to eliminate discordant or non-contributory survey items. We tested 92 draft items in 117 physicians, including 13 with additional SA training (trained), and 17 recognized SA experts. We assessed final survey internal consistency with Cronbach's alpha and differences in scores between experts, trained physicians, and physicians without SA training (novices) with the Kruskal-Wallis test. RESULTS: Following refinement, the draft survey was reduced to 30 KAB and 33 SCT items. Alpha was 0.901 for the final 63-item survey and 0.887 and 0.797 for the KAB and SCT subscales, respectively. Novices, trained physicians, and experts scored means of 196, 213, and 261 respectively out of 315 possible points on the final survey. The KAB and SCT subscale results showed similar patterns. Score differences for the overall survey and its subscales were highly significant (p&lt;0.001). CONCLUSIONS: This survey, which we have named the Physicians' Competence in Substance Abuse Test (P-CSAT) and placed in the public domain, meets baseline criteria for reliability and validity. Future studies should determine the extent to which the P-CSAT provides consistent results in other practitioner populations and responds to SA educational efforts.</t>
  </si>
  <si>
    <t>J2: Drug Alcohol Depend; Harris, John M Jr Sun, Huaping; ID: 401</t>
  </si>
  <si>
    <t>Harris, John M Jr. Medical Directions, Inc., Tucson, AZ 85712, United States. sharris@md-inc.com</t>
  </si>
  <si>
    <t>http://ovidsp.ovid.com/ovidweb.cgi?T=JS&amp;CSC=Y&amp;NEWS=N&amp;PAGE=fulltext&amp;D=med7&amp;AN=22055011</t>
  </si>
  <si>
    <t>https://dx.doi.org/10.1016/j.drugalcdep.2011.10.006</t>
  </si>
  <si>
    <t>MEDLINE; Ovid Technologies; The Physicians' Competence in Substance Abuse Test (P-CSAT): a multidimensional educational measurement tool for substance abuse training programs</t>
  </si>
  <si>
    <t>Harris,R. T.;McIsaac,W. M.;Fabre,L. F.</t>
  </si>
  <si>
    <t>Research training in alcoholism</t>
  </si>
  <si>
    <t>Alcoholism/pp Physiopathology];Alcoholism/pc Prevention &amp; Control];*Alcoholism;Aldosterone/se Secretion];Animals;Behavior/de Drug Effects];Blood Glucose/me Metabolism];Carbon Isotopes;Central Nervous System/me Metabolism];Curriculum;Disease Models, Animal;*Education, Medical;Ethanol/me Metabolism];Ethanol/pd Pharmacology];Female;Gonads/pp Physiopathology];Haplorhini;Humans;Hypothalamus/pp Physiopathology];Male;Mice;Psychopathology;*Research;Substance Withdrawal Syndrome/pp Physiopathology];0 (Blood Glucose);0 (Carbon Isotopes);3K9958V90M (Ethanol);4964P6T9RB (Aldosterone)</t>
  </si>
  <si>
    <t>J2: Ann N Y Acad Sci; Harris, R T McIsaac, W M Fabre, L F; ID: 1604</t>
  </si>
  <si>
    <t>http://ovidsp.ovid.com/ovidweb.cgi?T=JS&amp;CSC=Y&amp;NEWS=N&amp;PAGE=fulltext&amp;D=med1&amp;AN=4996708</t>
  </si>
  <si>
    <t>MEDLINE; Ovid Technologies; Research training in alcoholism</t>
  </si>
  <si>
    <t>Harris,S. K.;Herr-Zaya,K.;Weinstein,Z.;Whelton,K.;Perfas,F., J.;Castro-Donlan,C.;Straus,J.;Schoneman,K.;Botticelli,M.;Levy,S.</t>
  </si>
  <si>
    <t>Results of a statewide survey of adolescent substance use screening rates and practices in primary care</t>
  </si>
  <si>
    <t>Adolescent;*Adolescent Health Services/sn Statistics &amp; Numerical Data];Attitude of Health Personnel;Child;Data Collection/mt Methods];*Data Collection/sn Statistics &amp; Numerical Data];Female;Guideline Adherence/sn Statistics &amp; Numerical Data];Humans;Male;Massachusetts;Middle Aged;*Practice Patterns, Physicians'/sn Statistics &amp; Numerical Data];*Primary Health Care/sn Statistics &amp; Numerical Data];Substance Abuse Detection/mt Methods];*Substance Abuse Detection/sn Statistics &amp; Numerical Data];Surveys and Questionnaires</t>
  </si>
  <si>
    <t>Professional guidelines recommend annual screening, brief intervention, and referral to treatment (SBIRT) as part of health maintenance for all adolescents, but reported screening rates have been low and no report has documented the techniques being used. The objective of this study was to describe the results of a statewide questionnaire regarding adolescent substance use screening rates and techniques used by primary care physicians practicing in Massachusetts. A questionnaire was mailed to every licensed physician registered as practicing pediatrics (N = 2176), family medicine (N = 1335), or both (N = 8) in the Massachusetts Board of Medicine database. After eliminating physicians who did not provide care for adolescents, the survey response rate was 28% and the final analyzable sample consisted of 743 surveys. Less than half of respondents reported using a validated adolescent screening tool. The majority of respondents used ineffective screening practices for adolescent substance use. Further physician training is recommended to encourage the use of developmentally appropriate screening tools and interventions for adolescents.</t>
  </si>
  <si>
    <t>J2: Subst Abus; Harris, Sion Kim Herr-Zaya, Kathleen Weinstein, Zohar Whelton, Kathleen Perfas, Fernando Jr Castro-Donlan, Carolyn Straus, John Schoneman, Karen Botticelli, Michael Levy, Sharon; ID: 397</t>
  </si>
  <si>
    <t>Harris, Sion Kim. Department of Pediatrics , Harvard Medical School, Boston, Massachusetts, USA.</t>
  </si>
  <si>
    <t>http://ovidsp.ovid.com/ovidweb.cgi?T=JS&amp;CSC=Y&amp;NEWS=N&amp;PAGE=fulltext&amp;D=med7&amp;AN=22989275</t>
  </si>
  <si>
    <t>MEDLINE; Ovid Technologies; Results of a statewide survey of adolescent substance use screening rates and practices in primary care</t>
  </si>
  <si>
    <t>Harwood,H. J.;Kowalski,J.;Ameen,A.</t>
  </si>
  <si>
    <t>The need for substance abuse training among mental health professionals</t>
  </si>
  <si>
    <t>Administration &amp; Policy in Mental Health</t>
  </si>
  <si>
    <t>*Education, Professional;Health Care Surveys;Humans;*Mental Health Services/ma Manpower];*Psychiatry/ed Education];*Psychology/ed Education];*Substance-Related Disorders/rh Rehabilitation];United States</t>
  </si>
  <si>
    <t>This study examines substance abuse as encountered by practitioners in six major mental health professions, from private practice to organizational settings. Respective national professional associations surveyed representative samples of their members, including psychiatrists, psychologists, professional counselors, social workers, marriage and family therapists, and substance abuse counselors. About one in five clients seen in private practice of mental health professionals had substance abuse disorders, with somewhat higher rates in organized mental health treatment settings. For a large majority of clients, substance abuse was secondary to a mental disorder. A significant minority of these practitioners reported having little or no training to address substance abuse, either from formal graduate education, internships, or continuing education.</t>
  </si>
  <si>
    <t>J2: Adm Policy Ment Health; Harwood, Henrick J Kowalski, Jennifer Ameen, Ansari; ID: 884</t>
  </si>
  <si>
    <t>0894-587X</t>
  </si>
  <si>
    <t>Harwood, Henrick J. Practice Services Network Coordinating Center, The Lewin Group, 3130 Fairview Park Drive, Falls Church, VA 22042, USA. rick.harwood@lewin.com</t>
  </si>
  <si>
    <t>http://ovidsp.ovid.com/ovidweb.cgi?T=JS&amp;CSC=Y&amp;NEWS=N&amp;PAGE=fulltext&amp;D=med5&amp;AN=15586850</t>
  </si>
  <si>
    <t>MEDLINE; Ovid Technologies; The need for substance abuse training among mental health professionals</t>
  </si>
  <si>
    <t>Hassan,Z.;DiLorenzo,A.;Sloan,P.</t>
  </si>
  <si>
    <t>Teaching clinical opioid pharmacology with the Human Patient Simulator</t>
  </si>
  <si>
    <t>*Analgesics, Opioid/ae Adverse Effects];*Analgesics, Opioid/tu Therapeutic Use];*Computer Simulation;*Computer-Assisted Instruction;Depression, Chemical;Education, Medical, Undergraduate/mt Methods];Education, Nursing, Graduate/mt Methods];Educational Technology;Humans;*Manikins;Naloxone/tu Therapeutic Use];Narcotic Antagonists/tu Therapeutic Use];*Pain, Postoperative/dt Drug Therapy];*Pharmacology, Clinical/ed Education];Pilot Projects;Postanesthesia Nursing/ed Education];Postoperative Care/ed Education];Program Evaluation;0 (Analgesics, Opioid);0 (Narcotic Antagonists);36B82AMQ7N (Naloxone)</t>
  </si>
  <si>
    <t>OBJECTIVE: Postoperative pain should be aggressively treated to decrease the development of chronic postsurgical pain. There has been an increase in the use of Human Patient Simulator (HPS) for teaching advanced courses in pharmacology to medical students, residents, and nurses. The aim of this educational investigation was to pilot the HPS for the training of medical students and surgical recovery room staff nurses in the pharmacology of opioids for the management of postoperative pain. METHODS: The computerized HPS mannequin is fully monitored with appropriate displays and includes a voice speaker mounted in the head. Medical students and Postanesthesia care unit nurses, led by faculty in the Department of Anesthesiology in small groups of 4-6, participated in a 2- to 3-hour HPS course on the use of opioids for the management of acute postoperative pain. Trainees were asked to treat the acute and severe postoperative pain of a simulated patient. Opioid effects and side effects (such as respiratory depression) were presented on the mannequin in real time to the participants. Side effects of naloxone to reverse opioid depression were presented as a crisis in real time to the participants. Participants completed a 10-item course evaluation using a 5-point Likert scale (1 = strongly disagree; 5 = strongly agree). RESULTS: Twenty-two nurses and nine medical students completed the HPS opioid pharmacology scenario. Almost all participants rated the HPS course very highly and rated every item as either agree or strongly agree. Most participants agreed that the simulator session improved their understanding of opioid pharmacology including opioid side effects and management of opioid complications. Course participants felt most strongly (median, interquartile range) that the simulator session improved their understanding of naloxone pharmacology (5, 0), simulators serve as a useful teaching tool (5, 0), and that they would be pleased to participate in any additional HPS teaching sessions (5, 0). CONCLUSIONS: The HPS provides a novel educational format to teach essential information regarding opioid pharmacology for the management of acute postoperative pain. The HPS provides a realistic format to teach the pharmacology of acute opioid side effects and the management of acute and life-threatening side effects of naloxone therapy.</t>
  </si>
  <si>
    <t>J2: J Opioid Manag; Hassan, Zaki DiLorenzo, Amy Sloan, Paul; ID: 580</t>
  </si>
  <si>
    <t>Hassan, Zaki. Department of Anesthesiology, University of Kentucky Medical Center, Lexington, KY, USA.</t>
  </si>
  <si>
    <t>http://ovidsp.ovid.com/ovidweb.cgi?T=JS&amp;CSC=Y&amp;NEWS=N&amp;PAGE=fulltext&amp;D=med6&amp;AN=20481177</t>
  </si>
  <si>
    <t>MEDLINE; Ovid Technologies; Teaching clinical opioid pharmacology with the Human Patient Simulator</t>
  </si>
  <si>
    <t>Hassanian-Moghaddam,H.;Abolmasoumi,Z.</t>
  </si>
  <si>
    <t>Consequence of body packing of illicit drugs</t>
  </si>
  <si>
    <t>Archives of Iranian Medicine</t>
  </si>
  <si>
    <t>Adult;Cadaver;Chromatography, Thin Layer;*Digestive System;Drug Overdose/et Etiology];Drug Overdose/me Metabolism];*Drug Overdose/mo Mortality];Foreign Bodies/co Complications];Foreign Bodies/me Metabolism];*Foreign Bodies/mo Mortality];Humans;Iran/ep Epidemiology];Male;Middle Aged;Retrospective Studies;Street Drugs/bl Blood];*Street Drugs/po Poisoning];Street Drugs/ur Urine];Substance Abuse Detection/lj Legislation &amp; Jurisprudence];Substance Abuse Detection/mt Methods];0 (Street Drugs)</t>
  </si>
  <si>
    <t>BACKGROUND: During the last decade, increased rates of drug traffic have led the smugglers to use various methods. One of these methods of illicit drug smuggling is body packing. Smuggling by intra-abdominal concealment is called "body packing". In this research, mortality rate was investigated due to body packing in Tehran. METHODS: A descriptive study (case series) was designed on all corpses referred to the Forensic Medicine Organization of Tehran between April 1999 - December 2000. Demographic data such as sex, age, marital status, addiction, job, education level, type of opioid and the weight, number of packets, and results of blood and urine morphine tests by thin-layer chromatographic method were investigated. RESULTS: Continental system of law is used in Iran and 0.06% of the referred corpses to Forensic Medicine Organization of Tehran were body packers. There were 12 cases, all of them were men. The mean age of body packers was 43 years (range 20 - 62). The minimum weight of the packets was 20 g and the maximum weight was 1400 g (mean = 501 g). The minimum number of the packets was one and the maximum number of the packets was 48. Twenty five percent of the corps were putrefied and one corpse was mummified. None of the body packers had academic education nor were employed. Nine of them lived in cities. Twenty five percent of them were intravenous addicts. The corpses were found mostly in terminals (17%), roads (58%), and cities (25%). CONCLUSION: Hospital physicians may neglect this type of gastrointestinal foreign body if they are not aware of the body packer syndrome. Body packing should be suspected in anyone with signs of drug-induced toxic effects after a recent arrival on city terminals or when there is no history of recreational drug use.</t>
  </si>
  <si>
    <t>J2: Arch Iran Med; Hassanian-Moghaddam, Hossein Abolmasoumi, Zahra; ID: 784</t>
  </si>
  <si>
    <t>1029-2977</t>
  </si>
  <si>
    <t>Hassanian-Moghaddam, Hossein. Department of Clinical Toxicology and Forensic Medicine, Shaheed Beheshti University of Medical Sciences, Tehran, Iran. hassanian@sbmu.ac.ir</t>
  </si>
  <si>
    <t>http://ovidsp.ovid.com/ovidweb.cgi?T=JS&amp;CSC=Y&amp;NEWS=N&amp;PAGE=fulltext&amp;D=med5&amp;AN=17198448</t>
  </si>
  <si>
    <t>MEDLINE; Ovid Technologies; Consequence of body packing of illicit drugs</t>
  </si>
  <si>
    <t>Hayes,R. B.;Geller,A.;Churchill,L.;Jolicoeur,D.;Murray,D. M.;Shoben,A.;David,S. P.;Adams,M.;Okuyemi,K.;Fauver,R.;Gross,R.;Leone,F.;Xiao,R.;Waugh,J.;Crawford,S.;Ockene,J. K.</t>
  </si>
  <si>
    <t>NIHMS569966; Teaching tobacco dependence treatment and counseling skills during medical school: rationale and design of the Medical Students helping patients Quit tobacco (MSQuit) group randomized controlled trial</t>
  </si>
  <si>
    <t>Contemporary Clinical Trials</t>
  </si>
  <si>
    <t>Clinical Clerkship/og Organization &amp; Administration];Clinical Competence;*Education, Medical/og Organization &amp; Administration];Humans;Models, Educational;*Research Design;*Smoking Cessation/mt Methods];Students, Medical;*Tobacco Use Disorder/di Diagnosis];*Tobacco Use Disorder/th Therapy]</t>
  </si>
  <si>
    <t>INTRODUCTION: Physician-delivered tobacco treatment using the 5As is clinically recommended, yet its use has been limited. Lack of adequate training and confidence to provide tobacco treatment is cited as leading reasons for limited 5A use. Tobacco dependence treatment training while in medical school is recommended, but is minimally provided. The MSQuit trial (Medical Students helping patients Quit tobacco) aims to determine if a multi-modal and theoretically-guided tobacco educational intervention will improve tobacco dependence treatment skills (i.e. 5As) among medical students. METHODS/DESIGN: 10 U.S. medical schools were pair-matched and randomized in a group-randomized controlled trial to evaluate whether a multi-modal educational (MME) intervention compared to traditional education (TE) will improve observed tobacco treatment skills. MME is primarily composed of TE approaches (i.e. didactics) plus a 1st year web-based course and preceptor-facilitated training during a 3rd year clerkship rotation. The primary outcome measure is an objective score on an Objective Structured Clinical Examination (OSCE) tobacco-counseling smoking case among 3rd year medical students from schools who implemented the MME or TE. DISCUSSION: MSQuit is the first randomized to evaluate whether a tobacco treatment educational intervention implemented during medical school will improve medical students' tobacco treatment skills. We hypothesize that the MME intervention will better prepare students in tobacco dependence treatment as measured by the OSCE. If a comprehensive tobacco treatment educational learning approach is effective, while also feasible and acceptable to implement, then medical schools may substantially influence skill development and use of the 5As among future physicians.</t>
  </si>
  <si>
    <t>J2: Contemp Clin Trials; Hayes, Rashelle B Geller, Alan Churchill, Linda Jolicoeur, Denise Murray, David M Shoben, Abigail David, Sean P Adams, Michael Okuyemi, Kola Fauver, Randy Gross, Robin Leone, Frank Xiao, Rui Waugh, Jonathan Crawford, Sybil Ockene, Judith K S1551-7144(14)00018-4; ID: 267</t>
  </si>
  <si>
    <t>1559-2030</t>
  </si>
  <si>
    <t>Hayes, Rashelle B. Department of Medicine, Division of Preventive and Behavioral Medicine, University of Massachusetts Medical School, Worcester, MA, United States. Electronic address: rashelle.hayes@umassmed.edu. Geller, Alan. Department of Society of Human Development and Health, Harvard School of Public Health, Boston, MA, United States. Electronic address: ageller@hsph.harvard.edu. Churchill, Linda. Department of Medicine, Division of Preventive and Behavioral Medicine, University of Massachusetts Medical School, Worcester, MA, United States. Electronic address: linda.churchill@umassmed.edu. Jolicoeur, Denise. Department of Medicine, Division of Preventive and Behavioral Medicine, University of Massachusetts Medical School, Worcester, MA, United States. Electronic address: denise.jolicoeur@umassmed.edu. Murray, David M. Biostatistics and Bioinformatics Branch, Division of Epidemiology, Statistics, and Prevention Research, Eunice Kennedy Shriver National Institute of Child Health and Human Development, National Institute of Health, Bethesda, MD, United States. Electronic address: david.murray2@nih.gov. Shoben, Abigail. Division of Biostatics, College of Public Health, The Ohio State University, Columbus, OH, United States. Electronic address: ashoben@cph.osu.edu. David, Sean P. Center for Education &amp; Research in Family and Community Medicine, Division of General Medical Disciplines, Department of Medicine, Stanford University School of Medicine, Palo Alto, CA, United States. Electronic address: spdavid@stanford.edu. Adams, Michael. Division of General Internal Medicine, Department of Medicine, Georgetown University Hospital, United States. Electronic address: adams@gunet.georgetown.edu. Okuyemi, Kola. Department of Medicine, University of Minnesota Medical School, Minneapolis, MN, United States. Electronic address: kokuyemi@umn.edu. Fauver, Randy. Center for Education &amp; Research in Family and Community Medicine, Division of General Medical Disciplines,(TRUNCATED)</t>
  </si>
  <si>
    <t>http://ovidsp.ovid.com/ovidweb.cgi?T=JS&amp;CSC=Y&amp;NEWS=N&amp;PAGE=fulltext&amp;D=med8&amp;AN=24486635</t>
  </si>
  <si>
    <t>https://dx.doi.org/10.1016/j.cct.2014.01.008</t>
  </si>
  <si>
    <t>MEDLINE; Ovid Technologies; Teaching tobacco dependence treatment and counseling skills during medical school: rationale and design of the Medical Students helping patients Quit tobacco (MSQuit) group randomized controlled trial</t>
  </si>
  <si>
    <t>Hayes,R. B.;Geller,A. C.;Crawford,S. L.;Jolicoeur,D. G.;Churchill,L. C.;Okuyemi,K. S.;David,S. P.;Adams,M.;Waugh,J.;Allen,S. S.;Leone,F. T.;Fauver,R.;Leung,K.;Liu,Q.;Ockene,J. K.</t>
  </si>
  <si>
    <t>NIHMS653632; Medical school curriculum characteristics associated with intentions and frequency of tobacco dependence treatment among 3rd year U.S. medical students</t>
  </si>
  <si>
    <t>Adult;Clinical Clerkship;*Clinical Competence;Cross-Sectional Studies;*Curriculum;*Education, Medical, Undergraduate;Female;Humans;Male;Middle Aged;Regression Analysis;Self Efficacy;Smoking Cessation/mt Methods];Smoking Cessation/sn Statistics &amp; Numerical Data];*Tobacco Use Disorder/th Therapy];United States;Young Adult</t>
  </si>
  <si>
    <t>OBJECTIVE: Physicians play a critical role in addressing tobacco dependence, yet report limited training. Tobacco dependence treatment curricula for medical students could improve performance in this area. This study identified student and medical school tobacco treatment curricula characteristics associated with intentions and use of the 5As for tobacco treatment among 3rd year U.S. medical students. METHODS: Third year medical students (N=1065, 49.3% male) from 10 U.S. medical schools completed a survey in 2009-2010 assessing student characteristics, including demographics, tobacco treatment knowledge, and self-efficacy. Tobacco curricula characteristics assessed included amount and type of classroom instruction, frequency of tobacco treatment observation, instruction, and perception of preceptors as role models. RESULTS: Greater tobacco treatment knowledge, self-efficacy, and curriculum-specific variables were associated with 5A intentions, while younger age, tobacco treatment self-efficacy, intentions, and each curriculum-specific variable were associated with greater 5A behaviors. When controlling for important student variables, greater frequency of receiving 5A instruction (OR=1.07; 95%CI 1.01-1.12) and perception of preceptors as excellent role models in tobacco treatment (OR=1.35; 95%CI 1.04-1.75) were significant curriculum predictors of 5A intentions. Greater 5A instruction (B=.06 (.03); p&lt;.05) and observation of tobacco treatment (B=.35 (.02); p&lt;.001) were significant curriculum predictors of greater 5A behaviors. CONCLUSIONS: Greater exposure to tobacco treatment teaching during medical school is associated with both greater intentions to use and practice tobacco 5As. Clerkship preceptors, or those physicians who provide training to medical students, may be particularly influential when they personally model and instruct students in tobacco dependence treatment.</t>
  </si>
  <si>
    <t>J2: Prev Med; Hayes, Rashelle B Geller, Alan C Crawford, Sybil L Jolicoeur, Denise G Churchill, Linda C Okuyemi, Kolawole S David, Sean P Adams, Michael Waugh, Jonathan Allen, Sharon S Leone, Frank T Fauver, Randy Leung, Katherine Liu, Qin Ockene, Judith K S0091-7435(14)00517-9; ID: 226</t>
  </si>
  <si>
    <t>Hayes, Rashelle B. Division of Preventive and Behavioral Medicine, Department of Medicine, University of Massachusetts Medical School, Worcester, MA, United States. Electronic address: Rashelle.Hayes@umassmed.edu. Geller, Alan C. Department of Social and Behavioral Sciences, Harvard School of Public Health, Boston, MA, United States. Crawford, Sybil L. Division of Preventive and Behavioral Medicine, Department of Medicine, University of Massachusetts Medical School, Worcester, MA, United States. Jolicoeur, Denise G. Division of Preventive and Behavioral Medicine, Department of Medicine, University of Massachusetts Medical School, Worcester, MA, United States. Churchill, Linda C. Division of Preventive and Behavioral Medicine, Department of Medicine, University of Massachusetts Medical School, Worcester, MA, United States. Okuyemi, Kolawole S. Family Medicine and Community Health, University of Minnesota Medical School, Minneapolis, MN, United States. David, Sean P. Center for Education &amp; Research in Family and Community Medicine, Division of General Medical Disciplines, Department of Medicine, Stanford University School of Medicine, Palo Alto, CA, United States. Adams, Michael. Division of General Internal Medicine, Department of Medicine, Georgetown University Hospital, United States. Waugh, Jonathan. Department of Clinical and Diagnostics Sciences/UAB Lung Health Center, University of Alabama at Birmingham, Birmingham, AL, United States. Allen, Sharon S. Family Medicine and Community Health, University of Minnesota Medical School, Minneapolis, MN, United States. Leone, Frank T. Division of Pulmonary, Allergy and Critical Care Medicine, Perelman School of Medicine, University of Pennsylvania, Philadelphia, PA, United States. Fauver, Randy. Center for Education &amp; Research in Family and Community Medicine, Division of General Medical Disciplines, Department of Medicine, Stanford University School of Medicine, Palo Alto, CA, United States. Leung, Katherine.(TRUNCATED)</t>
  </si>
  <si>
    <t>http://ovidsp.ovid.com/ovidweb.cgi?T=JS&amp;CSC=Y&amp;NEWS=N&amp;PAGE=fulltext&amp;D=med8&amp;AN=25572623</t>
  </si>
  <si>
    <t>https://dx.doi.org/10.1016/j.ypmed.2014.12.035</t>
  </si>
  <si>
    <t>MEDLINE; Ovid Technologies; Medical school curriculum characteristics associated with intentions and frequency of tobacco dependence treatment among 3rd year U.S. medical students</t>
  </si>
  <si>
    <t>Haynes,M.</t>
  </si>
  <si>
    <t>Pharmacist involvement in a chemical-dependency rehabilitation program</t>
  </si>
  <si>
    <t>American Journal of Hospital Pharmacy</t>
  </si>
  <si>
    <t>Am.J.Hosp.Pharm.</t>
  </si>
  <si>
    <t>Education, Pharmacy;Hospital Bed Capacity, under 100;Humans;*Patient Care Team;Patient Education as Topic;*Pharmacists;*Pharmacy Service, Hospital;Students, Pharmacy;*Substance-Related Disorders/rh Rehabilitation];Washington</t>
  </si>
  <si>
    <t>Pharmacist involvement in a small hospital for the treatment and rehabilitation of patients with chemical dependency is described. The pharmacist's primary responsibilities include provision of pharmaceutical services to meet the medical needs of patients during detoxification; development of detoxification protocols for management of withdrawal from drugs of abuse; education of patients and their families, other clinical staff members, and pharmacy students about the pathophysiology of addiction, treatment options, and the foundations of recovery; medication and addiction counseling; and multidisciplinary team support of recovery. To successfully fulfill this complex role, the pharmacist must have specialized education on alcoholism and addiction, develop good communications skills, and learn the dynamics of recovery support groups. The pharmacist employed at this hospital spends about 70% of her time with pharmaceutical services and 30% with counseling services. A pharmacist working in a chemical-dependency rehabilitation program has a unique opportunity to affect positively the physical and emotional health of the recovering individual by taking on responsibilities beyond those traditionally associated with pharmacy practice.</t>
  </si>
  <si>
    <t>J2: Am J Hosp Pharm; Haynes, M; ID: 1394</t>
  </si>
  <si>
    <t>Haynes, M. CareUnit Hospital of Kirkland, WA 98034.</t>
  </si>
  <si>
    <t>http://ovidsp.ovid.com/ovidweb.cgi?T=JS&amp;CSC=Y&amp;NEWS=N&amp;PAGE=fulltext&amp;D=med3&amp;AN=3228081</t>
  </si>
  <si>
    <t>MEDLINE; Ovid Technologies; Pharmacist involvement in a chemical-dependency rehabilitation program</t>
  </si>
  <si>
    <t>Heiligman,R. M.;Nagoshi,C. T.</t>
  </si>
  <si>
    <t>A longitudinal study of family practice residents' attitudes toward alcoholism</t>
  </si>
  <si>
    <t>Adult;*Alcoholism;*Attitude of Health Personnel;*Family Practice;Female;Humans;*Internship and Residency;Longitudinal Studies;Male;Middle Aged;*Program Development;Prospective Studies;Surveys and Questionnaires</t>
  </si>
  <si>
    <t>BACKGROUND AND OBJECTIVES: This study sought to analyze whether the experience of residency training at a public hospital where alcoholism is highly prevalent, combined with a didactic program emphasizing community resources, would result in changes in residents' baseline attitudes. Previous research has suggested that alcoholism-related attitudes are therapeutically important. METHODS: Forty-three family practice residents took the Marcus Alcoholism Questionnaire at the beginning, and at the end, of their 3-year training program. Initial scores were compared with an "expert" sample (Toronto Alcohol and Drug Research Foundation). Residents' initial and final scores were also compared. RESULTS: Residents' entry attitudes were similar to those of the "expert" sample. On six of nine scales, there were no significant changes between entry and exit attitudes. At final testing, however, residents were significantly more likely to agree that a periodic excessive drinker can be an alcoholic (t = -3.15, P &lt; .01), that alcoholism is not an illness (t = -2.57, P &lt; .05), and that alcoholism is a harmless voluntary indulgence (t = 2.08, P &lt; .05). However, exit means for the latter two scales still remained in a functional category, when compared with the expert sample. CONCLUSIONS: Resident attitudes did not show any substantial deterioration during the course of training. The structured curriculum emphasizing community resources and positive role models may have counterbalanced the frustrations of the clinical training site.</t>
  </si>
  <si>
    <t>J2: Fam Med; Heiligman, R M Nagoshi, C T; ID: 1213</t>
  </si>
  <si>
    <t>Heiligman, R M. St Joseph's Hospital and Medical Center, Phoenix.</t>
  </si>
  <si>
    <t>http://ovidsp.ovid.com/ovidweb.cgi?T=JS&amp;CSC=Y&amp;NEWS=N&amp;PAGE=fulltext&amp;D=med3&amp;AN=7926362</t>
  </si>
  <si>
    <t>MEDLINE; Ovid Technologies; A longitudinal study of family practice residents' attitudes toward alcoholism</t>
  </si>
  <si>
    <t>Heller,D.;McCoy,K.;Cunningham,C.</t>
  </si>
  <si>
    <t>An invisible barrier to integrating HIV primary care with harm reduction services: philosophical clashes between the harm reduction and medical models</t>
  </si>
  <si>
    <t>Public health reports</t>
  </si>
  <si>
    <t>Public Health Rep.</t>
  </si>
  <si>
    <t>*Community-Institutional Relations;Cooperative Behavior;Decision Making, Organizational;*Delivery of Health Care, Integrated/og Organization &amp; Administration];HIV Infections/co Complications];*HIV Infections/pc Prevention &amp; Control];*Health Promotion/og Organization &amp; Administration];Health Services Accessibility;Hospitals, Urban/og Organization &amp; Administration];Humans;Interinstitutional Relations;*Models, Organizational;New York City;Organizational Case Studies;Patient-Centered Care;Philosophy, Medical;*Primary Health Care/og Organization &amp; Administration];Social Medicine/ed Education];Social Medicine/og Organization &amp; Administration];Substance Abuse, Intravenous/co Complications];*Substance Abuse, Intravenous/pc Prevention &amp; Control];*Urban Health Services/og Organization &amp; Administration]</t>
  </si>
  <si>
    <t>Overall AIDS mortality in the United States has declined in recent years, but declines have not been consistent across all populations. Due to an array of barriers to care, minorities and poor people who are active substance users have not benefited as others have from advances in the treatment of HIV disease. One way to address this problem is to integrate HIV primary care into harm reduction programs that already effectively serve this population. Such collaborations, however, are difficult to initiate and sustain. Philosophical differences between the medical model and the harm reduction model, which often remain invisible to the parties involved, underlie these difficulties. This article addresses the issue by describing a partnership in the Bronx, NY, between CitiWide Harm Reduction Inc. (CitiWideHR) and the Montefiore Medical Center. It focuses specifically on the sources of philosophical differences between models, and briefly assesses the potential for successful collaborations of this sort.</t>
  </si>
  <si>
    <t>J2: Public Health Rep; Heller, Daliah McCoy, Kate Cunningham, Chinazo; ID: 906</t>
  </si>
  <si>
    <t>0033-3549</t>
  </si>
  <si>
    <t>Heller, Daliah. CitiWide Harm Reduction, Bronx, NY 10451, USA. dheller@citiwidehr.org</t>
  </si>
  <si>
    <t>http://ovidsp.ovid.com/ovidweb.cgi?T=JS&amp;CSC=Y&amp;NEWS=N&amp;PAGE=fulltext&amp;D=med5&amp;AN=15147647</t>
  </si>
  <si>
    <t>MEDLINE; Ovid Technologies; An invisible barrier to integrating HIV primary care with harm reduction services: philosophical clashes between the harm reduction and medical models</t>
  </si>
  <si>
    <t>Helwick,S. A.</t>
  </si>
  <si>
    <t>Substance-abuse education in medical school: past, present, and future</t>
  </si>
  <si>
    <t>Alcoholism;Curriculum;*Education, Medical;Humans;Physician Impairment;*Substance-Related Disorders;United States</t>
  </si>
  <si>
    <t>In this article, the author presents an overview of substance-abuse education in U.S. medical schools. In the early 1970s, two nationwide conferences prompted an awareness of the need for improved medical education in substance abuse. The Council on Mental Health and the Committee on Alcohol and Drug Dependency, both of the American Medical Association, presented general guidelines for a curriculum in substance abuse. During the same era, the federal government sponsored a career teacher training program in drug abuse and alcoholism, and private foundation funding supported educational endeavors that resulted in long-term materials for teaching in medical schools. Three current programs that are improving drug-abuse education are described. These developments are good examples of efforts that should be considered for any medical school curriculum. Goals for the future should include some attempt to modify the institutions, both medical schools and hospitals, where patterns leading to physician impairment may develop.</t>
  </si>
  <si>
    <t>J2: J Med Educ; Helwick, S A; ID: 1460</t>
  </si>
  <si>
    <t>http://ovidsp.ovid.com/ovidweb.cgi?T=JS&amp;CSC=Y&amp;NEWS=N&amp;PAGE=fulltext&amp;D=med2&amp;AN=4032445</t>
  </si>
  <si>
    <t>MEDLINE; Ovid Technologies; Substance-abuse education in medical school: past, present, and future</t>
  </si>
  <si>
    <t>Henriquez,P. C.;Carvalho,A. M.</t>
  </si>
  <si>
    <t>Perceptions of drugs benefits and barriers to quit by undergraduate health students</t>
  </si>
  <si>
    <t>Revista latino-americana de enfermagem</t>
  </si>
  <si>
    <t>Rev.Lat.Am.</t>
  </si>
  <si>
    <t>16 Spec No</t>
  </si>
  <si>
    <t>Adult;*Attitude;*Education, Medical, Undergraduate;Female;Humans;Male;*Students, Medical/sn Statistics &amp; Numerical Data];*Students, Nursing/sn Statistics &amp; Numerical Data];*Substance-Related Disorders;Surveys and Questionnaires;*Tobacco Use Disorder/ep Epidemiology]</t>
  </si>
  <si>
    <t>Several studies have exposed the consumption of drugs by undergraduate students in the health area, who are supposed to be examples of behavior and health educators. This descriptive correlation study aimed to relate the benefits of tobacco consumption and barriers to quit according to the perception of undergraduate students. Eighty third-year students, in three different courses, answered a self-applied questionnaire. The studied variables were: consumption conditions, barriers and benefits regarding drug consumption, family and personal characteristics. One-third of the students reported tobacco use; 5% reported the use of marijuana; 15% alcohol and 6% tranquilizers, more than once a month; 18% reported the consumption of tobacco and 13% reported the use of alcohol even before the age of 15. The perceived benefits were: relaxation, pleasure and social acceptance, whereas barriers for quitting were: habituation and addiction. According to the results, promoting self-responsibility of these future health professionals is recommended in their educational context.</t>
  </si>
  <si>
    <t>J2: Rev Lat Am Enfermagem; Henriquez, Patricia Cid Carvalho, Ana Maria Pimenta de S0104-11692008000700019; ID: 670</t>
  </si>
  <si>
    <t>0104-1169</t>
  </si>
  <si>
    <t>Henriquez, Patricia Cid. Ribeirao Preto, College of Nursing, University of Sao Paulo.</t>
  </si>
  <si>
    <t>http://ovidsp.ovid.com/ovidweb.cgi?T=JS&amp;CSC=Y&amp;NEWS=N&amp;PAGE=fulltext&amp;D=med6&amp;AN=18709285</t>
  </si>
  <si>
    <t>MEDLINE; Ovid Technologies; Perceptions of drugs benefits and barriers to quit by undergraduate health students</t>
  </si>
  <si>
    <t>Hepburn,M. J.;Johnson,J. M.;Ward,J. A.;Longfield,J. N.</t>
  </si>
  <si>
    <t>A survey of smoking cessation knowledge, training, and practice among U.S. Army general medical officers</t>
  </si>
  <si>
    <t>Adult;Clinical Competence;Education, Medical, Continuing;Family Practice/ed Education];*Family Practice/sn Statistics &amp; Numerical Data];Family Practice/td Trends];Female;*Health Knowledge, Attitudes, Practice;Health Surveys;Humans;Male;Middle Aged;Military Medicine/ed Education];*Military Medicine/sn Statistics &amp; Numerical Data];Military Personnel/sn Statistics &amp; Numerical Data];*Practice Patterns, Physicians'/sn Statistics &amp; Numerical Data];Probability;*Smoking Cessation/sn Statistics &amp; Numerical Data];Surveys and Questionnaires;Texas</t>
  </si>
  <si>
    <t>BACKGROUND: Historically, cigarette-smoking rates have been higher among military personnel than among civilians, although recently these rates have decreased. METHODS: In March 1997, a questionnaire assessing (1) training received on smoking cessation, (2) objective knowledge of smoking-cessation techniques, (3) frequency of practice habits, and (4) personal tobacco use among physicians, was successfully mailed to 232 of the total population of 279 Army general medical officers (GMOs). RESULTS: One-hundred-fifty (65%) GMOs returned questionnaires. Of these, 3.3% reported personal cigarette smoking, and 7.3% regularly used smokeless tobacco. During internship, few (13%) GMOs received smoking-cessation training. Primary care programs provided training more frequently than did surgery internship programs. The mean score on the objective knowledge portion was 72%. GMOs had a variable practice pattern in their use of smoking-cessation techniques (percent answering "usually" or "always"): helping patients set quit dates (35%), offering to prescribe the nicotine patch (59%), referring patients to a behavior-modification program (86%). Physicians who received training during internship were significantly more likely (p &lt; 0.01) to help their patients set a quit date. Training did not result in a statistically increased frequency of other practice habits. CONCLUSIONS: GMOs received minimal training on smoking cessation during internship. GMOs refer patients to smoking-cessation classes, reflecting the strategy of the Army Health Promotion program. Strategies to increase the frequency that GMOs prescribe nicotine replacement and assist patients in setting a quit date are needed. Military smoking-cessation efforts may provide valuable lessons for the civilian community.</t>
  </si>
  <si>
    <t>J2: Am J Prev Med; Hepburn, M J Johnson, J M Ward, J A Longfield, J N; ID: 1035</t>
  </si>
  <si>
    <t>Hepburn, M J. Department of Medicine, Brooke Army Medical Center, Fort Sam Houston, Texas, USA. Matthew.Hepburn@AMEDD.Army.Mil</t>
  </si>
  <si>
    <t>http://ovidsp.ovid.com/ovidweb.cgi?T=JS&amp;CSC=Y&amp;NEWS=N&amp;PAGE=fulltext&amp;D=med4&amp;AN=10788732</t>
  </si>
  <si>
    <t>MEDLINE; Ovid Technologies; A survey of smoking cessation knowledge, training, and practice among U.S. Army general medical officers</t>
  </si>
  <si>
    <t>Herie,M.;Connolly,H.;Voci,S.;Dragonetti,R.;Selby,P.</t>
  </si>
  <si>
    <t>Changing practitioner behavior and building capacity in tobacco cessation treatment: the TEACH project</t>
  </si>
  <si>
    <t>Clinical Competence;Curriculum;Diffusion of Innovation;Education, Medical, Continuing;Educational Measurement;Educational Status;*Evidence-Based Medicine;Health Knowledge, Attitudes, Practice;Humans;Ontario;Patient Care Team;*Physician-Patient Relations;*Practice Patterns, Physicians'/sn Statistics &amp; Numerical Data];*Program Development/mt Methods];Program Evaluation;*Smoking Cessation/mt Methods];*Tobacco Use Disorder/pc Prevention &amp; Control]</t>
  </si>
  <si>
    <t>OBJECTIVE: To facilitate interprofessional knowledge transfer to practice by increasing treatment capacity of health care practitioners to deliver evidence-informed smoking cessation counseling. METHODS: TEACH (Training Enhancement in Applied Cessation Counseling and Health) combines diffusion of innovations with principles of adult learning to address the lack of system capacity to implement evidence-based smoking cessation treatments. Participants were professionals from 15 disciplines with commitment from their supervisor to implement the intervention. Pre- and post-training course evaluation surveys assessed the extent to which learning objectives were achieved and guided a continuous quality improvement process. RESULTS: Evaluation of 741 participants that attended the three-day Core Course from June 2007 to January 2009 revealed significant increases in pre- to post-training ratings of feasibility, importance, and confidence in using the intervention. In addition to attitudinal changes, practitioners made changes to practice behavior. At six months post-training, 55% of professionals were implementing the intervention and 91% engaged in knowledge transfer activities in their organizations/communities. CONCLUSION: Findings suggest that TEACH impacted clinical practice and may serve as a model for knowledge translation initiatives in other health behavior domains. PRACTICE IMPLICATIONS: These data demonstrate that it is feasible to operationalize interprofessional knowledge translation models to transfer research findings into practice.</t>
  </si>
  <si>
    <t>J2: Patient Educ Couns; Herie, Marilyn Connolly, Hillary Voci, Sabrina Dragonetti, Rosa Selby, Peter; ID: 460</t>
  </si>
  <si>
    <t>Herie, Marilyn. Nicotine Dependence Clinic, Addictions Program, Centre for Addiction and Mental Health, Toronto, Canada.</t>
  </si>
  <si>
    <t>http://ovidsp.ovid.com/ovidweb.cgi?T=JS&amp;CSC=Y&amp;NEWS=N&amp;PAGE=fulltext&amp;D=med7&amp;AN=21612884</t>
  </si>
  <si>
    <t>https://dx.doi.org/10.1016/j.pec.2011.04.018</t>
  </si>
  <si>
    <t>MEDLINE; Ovid Technologies; Changing practitioner behavior and building capacity in tobacco cessation treatment: the TEACH project</t>
  </si>
  <si>
    <t>Hernandez Rodriguez,V. M.;Scherer,Z. A.</t>
  </si>
  <si>
    <t>Undergraduate students' motivations for the consumption of legal drugs</t>
  </si>
  <si>
    <t>Drug Therapy;*Education, Medical, Undergraduate;Humans;*Motivation;*Students, Nursing/px Psychology];*Substance-Related Disorders/ep Epidemiology]</t>
  </si>
  <si>
    <t>This qualitative research aimed at identifying conceptions held by undergraduate students regarding the term motivation, and motives leading them to the consumption of legal drugs. Data were collected through a questionnaire with four open questions, applied to 15 students of a public university in the central region of Mexico. In order to perform the data analysis, answers were classified in two categories: a) Undergraduate students' conceptions regarding the term motivation and b) Undergraduate students' conceptions regarding the motives for consumption. Such analysis indicated that students identify two types of motivations: external and internal. The external motivation includes family, mass media and friends; whereas internal motivation includes personal characteristics, need of belonging, curiosity, pleasure and idleness.</t>
  </si>
  <si>
    <t>J2: Rev Lat Am Enfermagem; Hernandez Rodriguez, Veronica Margarita Scherer, Zeyne Alves Pires S0104-11692008000700011; ID: 671</t>
  </si>
  <si>
    <t>Hernandez Rodriguez, Veronica Margarita. School of Nursing, University Autonoma of Queretaro, Mexico. covetojo@yahoo.com</t>
  </si>
  <si>
    <t>http://ovidsp.ovid.com/ovidweb.cgi?T=JS&amp;CSC=Y&amp;NEWS=N&amp;PAGE=fulltext&amp;D=med6&amp;AN=18709277</t>
  </si>
  <si>
    <t>MEDLINE; Ovid Technologies; Undergraduate students' motivations for the consumption of legal drugs</t>
  </si>
  <si>
    <t>Herold,R.;Schiekirka,S.;Brown,J.;Bobak,A.;McEwen,A.;Raupach,T.</t>
  </si>
  <si>
    <t>Structured Smoking Cessation Training for Medical Students: A Prospective Study</t>
  </si>
  <si>
    <t>Adult;*Clinical Competence;*Counseling/ed Education];Counseling/mt Methods];Curriculum;Education, Medical, Undergraduate;Female;Germany;Humans;Male;Program Evaluation;Prospective Studies;*Smoking Cessation;Students, Medical</t>
  </si>
  <si>
    <t>INTRODUCTION: Physician adherence to guideline recommendations regarding the provision of counseling and support for smokers willing to quit is low. A lack of training during undergraduate medical education has been identified as a potential cause. This prospective intervention study evaluated a novel teaching module for medical students. METHODS: As part of a 6-week cardiovascular course, 125 fourth-year undergraduate medical students received a multimodal and interactive teaching module on smoking cessation, including online learning material, lectures, seminars, and practical skills training. Short- and medium-term effects on knowledge, skills, attitudes, and self-reported practice were measured using written examinations and an objective structured clinical examination at the end of the module and 6 months later. Results were compared to data obtained from a historical control cohort (n = 70) unexposed to the intervention. RESULTS: At the 6-month follow-up, scores in the knowledge test were significantly higher in the intervention than the control group (61.1% vs. 51.7%; p &lt; .001). A similar pattern was observed in the objective structured clinical examination (71.5% vs. 60.5%; p &lt; .001). More students in the intervention than control group agreed that smoking was a chronic disease (83.1% vs. 68.1%; p = .045). The control group was more likely to report recording smoking status (p = .018), but no group difference was detected regarding the report of advising to quit (p = .154). CONCLUSIONS: A novel teaching module for undergraduate medical students produced a sustained learning outcome in terms of knowledge, skills, and attitudes but not self-reported practice. IMPLICATIONS: Studies across the world have identified considerable knowledge gaps and deficits in practical training with regard to smoking cessation counseling in undergraduate medical students. This paper describes a teaching intervention informed by current recommendations for the design of educational activities aimed at enabling medical students to deliver adequate behavior change counseling. The teaching module was tailored to the needs of a specific healthcare system. Given its effectiveness as demonstrated in this prospective study, a rollout of this intervention in medical schools might have the potential to substantially improve medical students' knowledge, skills, and attitudes in relation to smoking cessation counseling.</t>
  </si>
  <si>
    <t>J2: Nicotine Tob Res; Herold, Ronja Schiekirka, Sarah Brown, Jamie Bobak, Alex McEwen, Andy Raupach, Tobias; ID: 66</t>
  </si>
  <si>
    <t>Herold, Ronja. Department of Cardiology and Pneumology, University Medical Centre Gottingen, Gottingen, Germany. Schiekirka, Sarah. Division of Medical Education Research and Curriculum Development, University Medical Centre Gottingen, Gottingen, Germany. Brown, Jamie. Cancer Research UK Health Behaviour Research Centre, University College London, London, UK. Bobak, Alex. Wandsworth Medical Centre, London, UK. McEwen, Andy. National Centre for Smoking Cessation and Training, London, UK.</t>
  </si>
  <si>
    <t>http://ovidsp.ovid.com/ovidweb.cgi?T=JS&amp;CSC=Y&amp;NEWS=N&amp;PAGE=fulltext&amp;D=medc&amp;AN=27613926</t>
  </si>
  <si>
    <t>MEDLINE; Ovid Technologies; Structured Smoking Cessation Training for Medical Students: A Prospective Study</t>
  </si>
  <si>
    <t>Herzog,D. B.;Borus,J. F.;Hamburg,P.;Ott,I. L.;Concus,A.</t>
  </si>
  <si>
    <t>Substance use, eating behaviors, and social impairment of medical students</t>
  </si>
  <si>
    <t>Adaptation, Psychological;Adult;Depression/px Psychology];Feeding and Eating Disorders/ep Epidemiology];*Feeding and Eating Disorders/px Psychology];Female;Humans;Longitudinal Studies;Male;Psychological Tests;Risk;*Social Behavior;Stress, Psychological;*Students, Medical/px Psychology];Substance-Related Disorders/ep Epidemiology];*Substance-Related Disorders/px Psychology]</t>
  </si>
  <si>
    <t>Self-report instruments assessing substance use, eating behaviors, social adjustment, and depression were distributed to all 329 first- and second-year medical students at a private northeastern university. Two-hundred students (61 percent) completed the questionnaires. Thirty-five students (17.5 percent) were found to be at risk for substance (alcohol and psychoactive drugs) abuse, of whom 13 were found to be at high risk. Thirty-three students (16.5 percent) were found to be at risk for an eating disorder, of whom only one was at high risk. Risk for eating disorders was greater for the female students, but risk for substance abuse was not related to gender. Psychosocial impairment and depression were associated with risk for either eating disorders or substance abuse.</t>
  </si>
  <si>
    <t>J2: J Med Educ; Herzog, D B Borus, J F Hamburg, P Ott, I L Concus, A; ID: 1431</t>
  </si>
  <si>
    <t>http://ovidsp.ovid.com/ovidweb.cgi?T=JS&amp;CSC=Y&amp;NEWS=N&amp;PAGE=fulltext&amp;D=med2&amp;AN=3475473</t>
  </si>
  <si>
    <t>MEDLINE; Ovid Technologies; Substance use, eating behaviors, and social impairment of medical students</t>
  </si>
  <si>
    <t>Hettema,J. E.;Sorensen,J. L.;Uy,M.;Jain,S.</t>
  </si>
  <si>
    <t>NIHMS124433; Motivational enhancement therapy to increase resident physician engagement in substance abuse education</t>
  </si>
  <si>
    <t>Adult;Attitude;Attitude of Health Personnel;Behavior Therapy;*Clinical Competence/sn Statistics &amp; Numerical Data];Counseling/ed Education];Drug Users;Female;Humans;*Internal Medicine/ed Education];*Internship and Residency;Male;*Motivation;Referral and Consultation;*Substance-Related Disorders/di Diagnosis]</t>
  </si>
  <si>
    <t>Rates of screening, brief intervention, and referral to treatment (SBIRT) for alcohol and drug use by physicians remain low, despite evidence of efficacy. Motivational enhancement therapy (MET) may be a promising means to help physicians resolve ambivalence about intervening with alcohol and drug users and take advantage of educational opportunities. In the present study, 9 internal medicine residents received brief MET prior to standard education in SBIRT. Residents' self-reported SBIRT attitudes and behaviors were measured before the intervention and at a 5-week follow-up point. Changes in SBIRT attitudes and behaviors all occurred in the expected direction, although, due to the small sample size, none reached statistical significance. Results suggest that MET may enhance educational opportunities and lead to changes in SBIRT behavior.</t>
  </si>
  <si>
    <t>J2: Subst Abus; Hettema, Jennifer E Sorensen, James L Uy, Manelisa Jain, Sharad; ID: 620</t>
  </si>
  <si>
    <t>Hettema, Jennifer E. Department of Psychiatry and Neurobehavioral Sciences, University of Virginia, Charlottesville, Virginia 23294, USA. jhettema@virginia.edu</t>
  </si>
  <si>
    <t>http://ovidsp.ovid.com/ovidweb.cgi?T=JS&amp;CSC=Y&amp;NEWS=N&amp;PAGE=fulltext&amp;D=med6&amp;AN=19591061</t>
  </si>
  <si>
    <t>https://dx.doi.org/10.1080/08897070903041210</t>
  </si>
  <si>
    <t>MEDLINE; Ovid Technologies; Motivational enhancement therapy to increase resident physician engagement in substance abuse education</t>
  </si>
  <si>
    <t>Hidalgo,J. L.;Bravo,B. N.;Rabadan,F. E.;Pretel,F. A.;Martinez,I. P.;Selva,J. P.;Postigo,J. M.</t>
  </si>
  <si>
    <t>Assessment of medical students' hazardous drinking habits</t>
  </si>
  <si>
    <t>*Alcohol Drinking/ep Epidemiology];Alcohol-Related Disorders/di Diagnosis];*Alcohol-Related Disorders/ep Epidemiology];Alcohol-Related Disorders/pc Prevention &amp; Control];Clinical Competence;Education, Medical/mt Methods];Education, Medical/st Standards];Female;Humans;Male;Spain/ep Epidemiology];Students, Medical/px Psychology];*Students, Medical/sn Statistics &amp; Numerical Data]</t>
  </si>
  <si>
    <t>J2: Med Teach; Hidalgo, Jesus Lopez-Torres Bravo, Beatriz Navarro Rabadan, Francisco Escobar Pretel, Fernando Andres Martinez, Ignacio Parraga Selva, Juan Pedro Serrano Postigo, Jose Miguel Latorre; ID: 603</t>
  </si>
  <si>
    <t>http://ovidsp.ovid.com/ovidweb.cgi?T=JS&amp;CSC=Y&amp;NEWS=N&amp;PAGE=fulltext&amp;D=med6&amp;AN=19824138</t>
  </si>
  <si>
    <t>MEDLINE; Ovid Technologies; Assessment of medical students' hazardous drinking habits</t>
  </si>
  <si>
    <t>Hillman,A.;McCann,B.;Walker,N. P.</t>
  </si>
  <si>
    <t>Specialist alcohol liaison services in general hospitals improve engagement in alcohol rehabilitation and treatment outcome</t>
  </si>
  <si>
    <t>Health bulletin</t>
  </si>
  <si>
    <t>Health Bull.</t>
  </si>
  <si>
    <t>*Alcoholism/rh Rehabilitation];Hospitals, General;Humans;*Patient Care Team;Referral and Consultation;Retrospective Studies;Scotland;Treatment Outcome</t>
  </si>
  <si>
    <t>OBJECTIVE: To examine the impact of providing a specialist addictions trained psychiatric nurse on outcome of alcohol treatment in patients presenting to general medical and surgical wards of a district general hospital. Before introducing the specialist alcohol liaison service, a range of staff including a consultant liaison psychiatrist, junior psychiatrists and community psychiatric nurses trained in liaison psychiatry assessed this patient group. METHOD: A retrospective review of all alcohol liaison referrals with ICD-10 defined alcohol misuse was performed for one year. Comparison data for the first 100 referrals to the specialist alcohol liaison service were obtained prospectively. Indicators included diagnosis at referral, and engagement in and completion of alcohol rehabilitation. RESULTS: The rates of completion of a four to six week period of alcohol rehabilitation were significantly better after introduction of the Specialist Alcohol Liaison Service. Of those who commenced alcohol rehabilitation, 88% completed, compared to 40% in the traditional assessment service (p &lt; 0.0001). CONCLUSION: Specialist addictions trained staff in the assessment and management of alcohol dependent patients in medical and surgical wards produce a better immediate outcome than their non-specialist colleagues. This may have implications for service design.</t>
  </si>
  <si>
    <t>J2: Health Bull (Edinb); Hillman, A McCann, B Walker, N P; ID: 945</t>
  </si>
  <si>
    <t>0374-8014</t>
  </si>
  <si>
    <t>Hillman, A. Renfrewshire and Inverclyde Primary Care NHS Trust, Ravenscraig Hospital, Inverkip Road, Greenock.</t>
  </si>
  <si>
    <t>http://ovidsp.ovid.com/ovidweb.cgi?T=JS&amp;CSC=Y&amp;NEWS=N&amp;PAGE=fulltext&amp;D=med4&amp;AN=12661394</t>
  </si>
  <si>
    <t>MEDLINE; Ovid Technologies; Specialist alcohol liaison services in general hospitals improve engagement in alcohol rehabilitation and treatment outcome</t>
  </si>
  <si>
    <t>Hipple,B.;Nabi-Burza,E.;Hall,N.;Regan,S.;Winickoff,J. P.</t>
  </si>
  <si>
    <t>Distance-based training in two community health centers to address tobacco smoke exposure of children</t>
  </si>
  <si>
    <t>BMC Pediatrics</t>
  </si>
  <si>
    <t>Adolescent;Adult;Aged;Boston;Child;Child Welfare;*Community Health Centers;*Education, Distance;*Education, Medical, Continuing;Female;Humans;Male;Middle Aged;*Parents/ed Education];*Patient Education as Topic;*Pediatrics/ed Education];Poverty;Practice Patterns, Physicians'/sn Statistics &amp; Numerical Data];Self Report;Smoking/th Therapy];Smoking Prevention;Telemedicine;*Tobacco Smoke Pollution/pc Prevention &amp; Control];Young Adult;0 (Tobacco Smoke Pollution)</t>
  </si>
  <si>
    <t>BACKGROUND: The CEASE (Clinical Effort Against Secondhand Smoke Exposure) intervention was developed to help pediatricians routinely and effectively address the harms of family smoking behaviors. Based on paper versions of CEASE, we partnered with the American Academy of Pediatrics' online education department and developed a completely distance-based training, including an online CME training, handouts and education materials for families, and phone and email support. METHODS: The pediatric offices of two low income health clinics with primarily Medicaid populations were selected for the study. Pre and post intervention data by survey of the parents was collected in both practices (Practice 1 n = 470; Practice 2 n = 177). The primary outcome for this study was a comparison of rates of clinician's asking and advising parents about smoking and smoke-free home and cars. RESULTS: Exit surveys of parents revealed statistically significant increases in rates of clinicians asking about parental smoking (22% vs. 41%), smoke-free rules (25% vs. 44%), and asking about other smoking household members (26% vs. 48%). CONCLUSIONS: Through a completely distance based intervention, we were able to train pediatricians who see low income children to ask parents about smoking, smoke-free home and car rules, and whether other household members smoke. Implementing a system to routinely ask about family tobacco use and smoke-free home and car rules is a first step to effectively addressing tobacco in a pediatric office setting. By knowing which family members use tobacco, pediatricians can take the next steps to help families become completely tobacco-free. TRIAL REGISTRATION: Clinical trials number: NCT01087177.</t>
  </si>
  <si>
    <t>J2: BMC Pediatr; Hipple, Bethany Nabi-Burza, Emara Hall, Nicole Regan, Susan Winickoff, Jonathan P; ID: 331</t>
  </si>
  <si>
    <t>1471-2431</t>
  </si>
  <si>
    <t>Hipple, Bethany. Center for Child and Adolescent Health Research and Policy, Massachusetts General Hospital, 50 Staniford Street Suite 901, Boston, MA 02144, USA.</t>
  </si>
  <si>
    <t>http://ovidsp.ovid.com/ovidweb.cgi?T=JS&amp;CSC=Y&amp;NEWS=N&amp;PAGE=fulltext&amp;D=med7&amp;AN=23594832</t>
  </si>
  <si>
    <t>https://dx.doi.org/10.1186/1471-2431-13-56</t>
  </si>
  <si>
    <t>MEDLINE; Ovid Technologies; Distance-based training in two community health centers to address tobacco smoke exposure of children</t>
  </si>
  <si>
    <t>Hirsch,R.</t>
  </si>
  <si>
    <t>Clinicians' self-assessment. Questions and answers in substance abuse treatment</t>
  </si>
  <si>
    <t>Alcohol-Related Disorders/di Diagnosis];Canada;*Education, Medical, Continuing;Humans;Methadone/tu Therapeutic Use];Narcotics/tu Therapeutic Use];Psychiatry/lj Legislation &amp; Jurisprudence];Street Drugs/lj Legislation &amp; Jurisprudence];Substance-Related Disorders/dt Drug Therapy];Substance-Related Disorders/rh Rehabilitation];*Substance-Related Disorders/th Therapy];United States;0 (Narcotics);0 (Street Drugs);UC6VBE7V1Z (Methadone)</t>
  </si>
  <si>
    <t>J2: J Subst Abuse Treat; Hirsch, R; ID: 1050</t>
  </si>
  <si>
    <t>Hirsch, R. Division of Addiction Treatment Services, North Shore-Long Island Jewish Health System, Manhasset, New York, USA.</t>
  </si>
  <si>
    <t>http://ovidsp.ovid.com/ovidweb.cgi?T=JS&amp;CSC=Y&amp;NEWS=N&amp;PAGE=fulltext&amp;D=med4&amp;AN=10531633</t>
  </si>
  <si>
    <t>MEDLINE; Ovid Technologies; Clinicians' self-assessment. Questions and answers in substance abuse treatment</t>
  </si>
  <si>
    <t>Hirsh,J.</t>
  </si>
  <si>
    <t>Alcoholism as a topic of teaching in the undergraduate medical curriculum</t>
  </si>
  <si>
    <t>*Alcoholism;*Curriculum;*Education, Medical;Humans;*Students</t>
  </si>
  <si>
    <t>J2: Q J Stud Alcohol; HIRSH, J; ID: 1093</t>
  </si>
  <si>
    <t>http://ovidsp.ovid.com/ovidweb.cgi?T=JS&amp;CSC=Y&amp;NEWS=N&amp;PAGE=fulltext&amp;D=med1&amp;AN=13714626</t>
  </si>
  <si>
    <t>MEDLINE; Ovid Technologies; Alcoholism as a topic of teaching in the undergraduate medical curriculum</t>
  </si>
  <si>
    <t>Hochberg,M. S.;Berman,R. S.;Kalet,A. L.;Zabar,S. R.;Gillespie,C.;Pachter,H. L.</t>
  </si>
  <si>
    <t>The stress of residency: recognizing the signs of depression and suicide in you and your fellow residents</t>
  </si>
  <si>
    <t>American Journal of Surgery</t>
  </si>
  <si>
    <t>Am.J.Surg.</t>
  </si>
  <si>
    <t>Adult;Alcoholism/et Etiology];Burnout, Professional/et Etiology];*Depression/di Diagnosis];*Depression/et Etiology];Family;Fatigue/et Etiology];Female;Friends;*General Surgery/ed Education];Goals;Humans;*Internship and Residency;Interpersonal Relations;Male;Peer Group;*Stress, Psychological/et Etiology];Substance-Related Disorders/et Etiology];*Suicidal Ideation;*Suicide/pc Prevention &amp; Control];Surveys and Questionnaires</t>
  </si>
  <si>
    <t>BACKGROUND: Stress, depression, and suicide are universal but frequently unrecognized issues for women and men in residency training. Stress affects cognitive and psychomotor performance both inside and outside of the operating room. Stress impairs the 2 key components of a surgeon's responsibilities: intellectual judgment and technical skill. We hypothesized that the recognition of depression, substance abuse, failing personal relationships, and potential suicide is poor among surgeons. If residents can recognize the signs of stress, depression, and suicide among colleagues, we believe it will not only improve their quality of life but also may preserve it. METHODS: We first determined baseline resident knowledge of the signs of surgical stress including fatigue; burn out; depression; physician suicide; drug and alcohol abuse; and their effects on family, friends, and relationships. We then developed a curriculum to identify these signs in first, second, third, and fourth year surgical residents were identified as the target learners. The major topics discussed were depression; physician suicide; drug and alcohol abuse; and the effects of stress on family, friends, and our goals. Secondary objectives included identifying major sources of stress, general self-awareness, understanding professional choices, and creating a framework to manage stress. Residents participated in an interactive seminar with a surgical facilitator. Before and after the seminar, a multiple-choice test was administered with questions to assess knowledge of the signs of stress (eg, fatigue, burn out, and depression). RESULTS: Twenty-one residents participated in this study. Seventeen completed the pretest, and 21 participated in the interactive seminar and completed the post-test. The pretest revealed that surgical residents were correct in 46.8% (standard deviation SD] = 25.4%) of their responses. The postseminar test showed an improvement to 89.7% (SD = 6.1%, P &lt; .001, paired Student t test = 5.37). The same test administered 4 months later to 17 of the 21 learners revealed 76.9% (SD = 18.7%) correct answers, suggesting that the information had been internalized. Cronbach alpha was calculated to be .67 for the pretest and .76 for the post-test, suggesting a moderate to high degree of internal consistency. CONCLUSIONS: Stress is a significant and regularly overlooked component of a surgeon's life. Because its effects often go unrecognized, stress frequently remains unresolved. To prevent its associated consequences such as depression, substance abuse, divorce, and suicide, educating house staff about stress is crucial. This study suggests that the symptoms, causes, and treatment of stress among surgeons can be taught effectively to surgical resident learners.</t>
  </si>
  <si>
    <t>J2: Am J Surg; Hochberg, Mark S Berman, Russell S Kalet, Adina L Zabar, Sondra R Gillespie, Colleen Pachter, H Leon S0002-9610(12)00543-0; ID: 392</t>
  </si>
  <si>
    <t>1879-1883</t>
  </si>
  <si>
    <t>Hochberg, Mark S. Department of Surgery, New York University Medical Center, NY 10016, USA. mark.hochberg@nyumc.org</t>
  </si>
  <si>
    <t>http://ovidsp.ovid.com/ovidweb.cgi?T=JS&amp;CSC=Y&amp;NEWS=N&amp;PAGE=fulltext&amp;D=med7&amp;AN=23246287</t>
  </si>
  <si>
    <t>https://dx.doi.org/10.1016/j.amjsurg.2012.08.003</t>
  </si>
  <si>
    <t>MEDLINE; Ovid Technologies; The stress of residency: recognizing the signs of depression and suicide in you and your fellow residents</t>
  </si>
  <si>
    <t>Hoepfer,M.</t>
  </si>
  <si>
    <t>Medical students tackle adolescent health</t>
  </si>
  <si>
    <t>Pennsylvania medicine</t>
  </si>
  <si>
    <t>Pa.Med.</t>
  </si>
  <si>
    <t>Adolescent;*Adolescent Behavior;Adult;*Health Promotion;Humans;Pennsylvania;*Public Health;*Students, Medical</t>
  </si>
  <si>
    <t>Vincent J. Zarro, MD, PhD, is assistant dean of student affairs and director of the division of addiction medicine in the Department of Medicine at the Medical College of Pennsylvania and Hahnemann University School of Medicine. For the past nine years, he has been involved in university efforts to address public health needs in the Philadelphia area through programs involving medical students.</t>
  </si>
  <si>
    <t>J2: Pa Med; Hoepfer, M; ID: 1183</t>
  </si>
  <si>
    <t>0031-4595</t>
  </si>
  <si>
    <t>http://ovidsp.ovid.com/ovidweb.cgi?T=JS&amp;CSC=Y&amp;NEWS=N&amp;PAGE=fulltext&amp;D=med3&amp;AN=7478668</t>
  </si>
  <si>
    <t>MEDLINE; Ovid Technologies; Medical students tackle adolescent health</t>
  </si>
  <si>
    <t>Hoffman,A. L.;Heinemann,M. E.</t>
  </si>
  <si>
    <t>Substance abuse education in schools of nursing: a national survey</t>
  </si>
  <si>
    <t>Journal of Nursing Education</t>
  </si>
  <si>
    <t>J.Nurs.Educ.</t>
  </si>
  <si>
    <t>*Curriculum;*Education, Nursing;Education, Nursing, Associate;Education, Nursing, Baccalaureate;Education, Nursing, Diploma Programs;Humans;Schools, Nursing;*Substance-Related Disorders;United States</t>
  </si>
  <si>
    <t>A concern whether the expansion of knowledge in substance abuse nursing and the contemporary prevalence of substance use disorders had influenced current educational offerings in schools of nursing provided an impetus for this national survey. The purpose of the study was to obtain information about current curricular offerings in substance abuse by schools of nursing. A total of 1,035 questionnaires were mailed to schools of nursing. Respondents included 336 schools representing a 36% return rate. The sample included 154 baccalaureate (46%), 126 associate degree (38%), and 56 diploma (17%) programs. All but one state (Alaska) of the U.S. were part of the sample. The questionnaire used for this study was adapted from one developed for a survey of alcohol and drug abuse content taught in medical schools (Pokorney &amp; Solomon, 1983). Modifications were limited to placing questions in a nursing context. All responding schools included substance abuse in curricular offerings with the largest number (N = 192; 57%) reporting the teaching of alcohol and drug content in a combined manner. The number of required hours of instruction reported most frequently was one to five (N = 242; 72%), which did not differ significantly for the three types of programs. The relatively small number of required hours of instruction would seem disproportionate to the scope and prevalence of substance abuse problems present in patient populations.</t>
  </si>
  <si>
    <t>J2: J Nurs Educ; Hoffman, A L Heinemann, M E; ID: 1424</t>
  </si>
  <si>
    <t>0148-4834</t>
  </si>
  <si>
    <t>Hoffman, A L. School of Nursing, Department of Psychosocial Nursing, University of Washington, Seattle.</t>
  </si>
  <si>
    <t>http://ovidsp.ovid.com/ovidweb.cgi?T=JS&amp;CSC=Y&amp;NEWS=N&amp;PAGE=fulltext&amp;D=med2&amp;AN=2822872</t>
  </si>
  <si>
    <t>MEDLINE; Ovid Technologies; Substance abuse education in schools of nursing: a national survey</t>
  </si>
  <si>
    <t>Hoffmann,N. G.;Chang,A. J.;Lewis,D. C.</t>
  </si>
  <si>
    <t>Medical student attitudes toward drug addiction policy</t>
  </si>
  <si>
    <t>Adult;*Attitude;*Education, Medical;Female;*Health Policy;Humans;Male;*Students;*Substance-Related Disorders/pc Prevention &amp; Control];Surveys and Questionnaires</t>
  </si>
  <si>
    <t>This study explores the attitudes and perceptions of medical students concerning patients with addictions and policy issues related to drugs. Over 1,250 students from 15 medical schools responded to an anonymous survey concerning their experience and training regarding addictions, and their level of support or opposition for various drug policy approaches. Medical students expressed general support for treatment funding and related demand reduction strategies, but the strength of their support was influenced more by their political orientation than their perception of the effectiveness of the strategy. Students who identified themselves as liberals more strongly favored demand reduction and alternatives strategies such as needle exchange programs and drug courts. Conservatives more strongly favored supply reduction strategies including harsher sanctions for users. Need for additional training in medical school was indicated by the fact that 20% reported no training in addictions.</t>
  </si>
  <si>
    <t>J2: J Addict Dis; Hoffmann, N G Chang, A J Lewis, D C; ID: 1010</t>
  </si>
  <si>
    <t>Hoffmann, N G. Department of Community Health, Brown University, Providence, RI, USA.</t>
  </si>
  <si>
    <t>http://ovidsp.ovid.com/ovidweb.cgi?T=JS&amp;CSC=Y&amp;NEWS=N&amp;PAGE=fulltext&amp;D=med4&amp;AN=11076116</t>
  </si>
  <si>
    <t>MEDLINE; Ovid Technologies; Medical student attitudes toward drug addiction policy</t>
  </si>
  <si>
    <t>Holden,C.</t>
  </si>
  <si>
    <t>The neglected disease in medical education</t>
  </si>
  <si>
    <t>Science</t>
  </si>
  <si>
    <t>*Alcoholism/ed Education];Education, Medical;Humans</t>
  </si>
  <si>
    <t>J2: Science; Holden, C; ID: 1462</t>
  </si>
  <si>
    <t>0036-8075</t>
  </si>
  <si>
    <t>http://ovidsp.ovid.com/ovidweb.cgi?T=JS&amp;CSC=Y&amp;NEWS=N&amp;PAGE=fulltext&amp;D=med2&amp;AN=4023709</t>
  </si>
  <si>
    <t>MEDLINE; Ovid Technologies; The neglected disease in medical education</t>
  </si>
  <si>
    <t>Hollaway,S.</t>
  </si>
  <si>
    <t>Medical student impairment--a growing problem?</t>
  </si>
  <si>
    <t>Ohio Medicine</t>
  </si>
  <si>
    <t>Humans;Ohio;Schools, Medical;*Students, Medical;Substance-Related Disorders/pc Prevention &amp; Control];Substance-Related Disorders/th Therapy];*Substance-Related Disorders</t>
  </si>
  <si>
    <t>J2: Ohio Med; Hollaway, S; ID: 1421</t>
  </si>
  <si>
    <t>0892-2454</t>
  </si>
  <si>
    <t>http://ovidsp.ovid.com/ovidweb.cgi?T=JS&amp;CSC=Y&amp;NEWS=N&amp;PAGE=fulltext&amp;D=med2&amp;AN=3696656</t>
  </si>
  <si>
    <t>MEDLINE; Ovid Technologies; Medical student impairment--a growing problem?</t>
  </si>
  <si>
    <t>Holliday,S.;Magin,P.;Dunbabin,J.;Oldmeadow,C.;Henry,J. M.;Lintzeris,N.;Attia,J.;Goode,S.;Dunlop,A.</t>
  </si>
  <si>
    <t>An evaluation of the prescription of opioids for chronic nonmalignant pain by Australian general practitioners</t>
  </si>
  <si>
    <t>*Analgesics, Opioid/tu Therapeutic Use];Australia/ep Epidemiology];*Chronic Pain/ep Epidemiology];*Chronic Pain/pc Prevention &amp; Control];Female;*General Practitioners/sn Statistics &amp; Numerical Data];Humans;Male;Middle Aged;Neoplasms/ep Epidemiology];Neoplasms/rh Rehabilitation];Pain Measurement/de Drug Effects];Pain Measurement/sn Statistics &amp; Numerical Data];*Practice Patterns, Physicians'/sn Statistics &amp; Numerical Data];*Prescriptions/sn Statistics &amp; Numerical Data];Prevalence;Treatment Outcome;0 (Analgesics, Opioid)</t>
  </si>
  <si>
    <t>OBJECTIVE: Our objective was to evaluate the quality of opioid analgesia prescribing in chronic nonmalignant pain (CNMP) by general practitioners (GPs, family physicians). DESIGN: An anonymous, cross-sectional questionnaire-based survey. SETTING: The setting was five Australian divisions of general practice (geographically based associations of GPs). METHODS: A questionnaire was mailed to all division members. Outcome measures were adherence to individual recommendations of locally derived CNMP practice guidelines. RESULTS: We received 404 responses (response rate 23.3%). In the previous fortnight, GPs prescribed long-term continuous opioids for CNMP for a median of 4 and a mean of 7.1 (+/-8.7) patients with CNMP. Guideline concordance (GLC) was poor, with no GP always compliant with all guideline items, and only 31% GPs usually employing most items. GLC was highest for the avoidance of high dosages or fast-acting formulations. It was lowest for strategies minimizing individual and public health harms, such as the initiation of opioids on a time-limited trial basis, use of contracts, and the preclusion or management of aberrant behaviors. GLC was positively associated with relevant training or qualifications, registration with the Australian Prescription Drug Monitoring Programme, being an opioid substitution therapy prescriber, and female gender. CONCLUSIONS: In this study, long-term opioids were frequently initiated for CNMP without a quality use-of-medicine approach. Potential sequelae are inadequate treatment of pain and escalating opioid-related harms. These data suggest a need for improved resourcing and training in opioid management across pain and addictions.</t>
  </si>
  <si>
    <t>J2: Pain Med; Holliday, Simon Magin, Parker Dunbabin, Janet Oldmeadow, Christopher Henry, Julie-Marie Lintzeris, Nicholas Attia, John Goode, Susan Dunlop, Adrian; ID: 360</t>
  </si>
  <si>
    <t>Holliday, Simon. Albert St Medical Centre, Taree, Australia. simon.holliday@albertstmc.com</t>
  </si>
  <si>
    <t>http://ovidsp.ovid.com/ovidweb.cgi?T=JS&amp;CSC=Y&amp;NEWS=N&amp;PAGE=fulltext&amp;D=med7&amp;AN=23279722</t>
  </si>
  <si>
    <t>https://dx.doi.org/10.1111/j.1526-4637.2012.01527.x</t>
  </si>
  <si>
    <t>MEDLINE; Ovid Technologies; An evaluation of the prescription of opioids for chronic nonmalignant pain by Australian general practitioners</t>
  </si>
  <si>
    <t>Holliday,S.;Morgan,S.;Tapley,A.;Dunlop,A.;Henderson,K.;van Driel,M.;Spike,N.;McArthur,L.;Ball,J.;Oldmeadow,C.;Magin,P.</t>
  </si>
  <si>
    <t>The Pattern of Opioid Management by Australian General Practice Trainees</t>
  </si>
  <si>
    <t>Adult;*Analgesics, Opioid/tu Therapeutic Use];Australia;Cross-Sectional Studies;Female;*General Practitioners/sn Statistics &amp; Numerical Data];Humans;Male;*Pain Management/sn Statistics &amp; Numerical Data];*Practice Patterns, Physicians'/sn Statistics &amp; Numerical Data];0 (Analgesics, Opioid)</t>
  </si>
  <si>
    <t>OBJECTIVE: With escalating opioid prescribing come individual and public health harms. To inform quality improvement measures, understanding of opioid prescribing is essential. We aimed to establish consultation-level prevalence and associations of opioid prescribing. DESIGN: A cross-sectional secondary analysis from a longitudinal multisite cohort study of general practitioner (GP) vocational trainees: "Registrar Clinical Encounters in Training." SETTING: Four of Australia's seventeen GP Regional Training Providers, during 2010-13. SUBJECTS: GP trainees. METHODS: Practice and trainee demographic data were collected as well as patient, clinical and educational data of 60 consecutive consultations of each trainee, each training term. Outcome factors were any opioid analgesic prescription and initial opioid analgesic prescription for a specific problem for the first time. RESULTS: Overall, 645 trainees participated. Opioids comprised 4.3% prescriptions provided for 3.8% of patients. Most frequently prescribed were codeine (39.9%) and oxycodone (33.4%). Prescribing was for acute pain (29.3%), palliative care (2.6%) or other indications (68.1%). Most prescribing involved repeat prescriptions for pre-existing problems (62.7% of total). Other associations included older patients; prescriber and patient male gender; Aboriginal/Torres Strait Islander status; rural and disadvantaged locations; longer consultations; and generation of referrals, follow-up, and imaging requests. Opioid initiation was more likely for new patients with new problems, but otherwise associations were similar. Trainees rarely reported addiction risk-mitigation strategies. CONCLUSIONS: Most opioids were prescribed as maintenance therapy for non-cancer pain. Demographic associations with opioid analgesic prescribing resemble those presenting for opioid dependency treatment. Our findings should inform measures by regulators and medical educators supporting multimodal pain management.</t>
  </si>
  <si>
    <t>J2: Pain Med; Holliday, Simon Morgan, Simon Tapley, Amanda Dunlop, Adrian Henderson, Kim van Driel, Mieke Spike, Neil McArthur, Lawrie Ball, Jean Oldmeadow, Chris Magin, Parker; ID: 164</t>
  </si>
  <si>
    <t>Holliday, Simon. School of Medicine and Public Health, Faculty of Health, University of Newcastle, Newcastle, NSW, Australia. Holliday, Simon. Drug and Alcohol Clinical Services, Hunter New England Local Health District, NSW, Australia. Morgan, Simon. General Practice Training Valley to Coast, Mayfield, NSW, Australia. Tapley, Amanda. General Practice Training Valley to Coast, Mayfield, NSW, Australia. Dunlop, Adrian. School of Medicine and Public Health, Faculty of Health, University of Newcastle, Newcastle, NSW, Australia. Dunlop, Adrian. Drug and Alcohol Clinical Services, Hunter New England Local Health District, NSW, Australia. Henderson, Kim. General Practice Training Valley to Coast, Mayfield, NSW, Australia. van Driel, Mieke. Discipline of General Practice, School of Medicine, The University of Queensland, Brisbane, Queensland, Australia. Spike, Neil. Department of General Practice, The University of Melbourne, Victoria, Australia. Spike, Neil. Director of Medical Education and Training, VMA General Practice Training, Melbourne, Victoria, Australia. McArthur, Lawrie. Director of Medical Education and Training, Adelaide to Outback GP Training, Adelaide, South Australia. Ball, Jean. Clinical Research Design, Information Technology and Statistical Support (CReDITSS), Hunter Medical Research Institute, Newcastle, NSW, Australia. Oldmeadow, Chris. Centre for Clinical Epidemiology and Biostatistics, University of Newcastle, Newcastle, NSW, Australia. Magin, Parker. School of Medicine and Public Health, Faculty of Health, University of Newcastle, Newcastle, NSW, Australia. Magin, Parker. General Practice Training Valley to Coast, Mayfield, NSW, Australia.</t>
  </si>
  <si>
    <t>http://ovidsp.ovid.com/ovidweb.cgi?T=JS&amp;CSC=Y&amp;NEWS=N&amp;PAGE=fulltext&amp;D=med8&amp;AN=26118466</t>
  </si>
  <si>
    <t>https://dx.doi.org/10.1111/pme.12820</t>
  </si>
  <si>
    <t>MEDLINE; Ovid Technologies; The Pattern of Opioid Management by Australian General Practice Trainees</t>
  </si>
  <si>
    <t>Holliday,S. M.;Hayes,C.;Dunlop,A. J.;Morgan,S.;Tapley,A.;Henderson,K. M.;van Driel,M. L.;Holliday,E. G.;Ball,J. I.;Davey,A.;Spike,N. A.;McArthur,L. A.;Magin,P. J.</t>
  </si>
  <si>
    <t>Does brief chronic pain management education change opioid prescribing rates? A pragmatic trial in Australian early-career general practitioners</t>
  </si>
  <si>
    <t>*Analgesics, Opioid/tu Therapeutic Use];Australia;*Chronic Pain/dt Drug Therapy];*Clinical Protocols;Cohort Studies;Drug Prescriptions/st Standards];Drug Prescriptions/sn Statistics &amp; Numerical Data];Female;*General Practitioners/ed Education];General Practitioners/sn Statistics &amp; Numerical Data];Health Knowledge, Attitudes, Practice;Humans;Male;*Pain Management/sn Statistics &amp; Numerical Data];Registries;0 (Analgesics, Opioid)</t>
  </si>
  <si>
    <t>We aimed to evaluate the effect of pain education on opioid prescribing by early-career general practitioners. A brief training workshop was delivered to general practice registrars of a single regional training provider. The workshop significantly reduced "hypothetical" opioid prescribing (in response to paper-based vignettes) in an earlier evaluation. The effect of the training on "actual" prescribing was evaluated using a nonequivalent control group design nested within the Registrar Clinical Encounters in Training (ReCEnT) cohort study: 4 other regional training providers were controls. In ReCEnT, registrars record detailed data (including prescribing) during 60 consecutive consultations, on 3 occasions. Analysis was at the level of individual problem managed, with the primary outcome factor being prescription of an opioid analgesic and the secondary outcome being opioid initiation. Between 2010 and 2015, 168,528 problems were recorded by 849 registrars. Of these, 71% were recorded by registrars in the nontraining group. Eighty-two percentages were before training. Opioid analgesics were prescribed in 4382 (2.5%, 95% confidence interval CI]: 2.40-2.63) problems, with 1665 of these (0.97%, 95% CI: 0.91-1.04) representing a new prescription. There was no relationship between the training and total prescribing after training (interaction odds ratio: 1.01; 95% CI: 0.75-1.35; P value 0.96). There was some evidence of a reduction in initial opioid prescriptions in the training group (interaction odds ratio: 0.74; 95% CI: 0.48-1.16; P value 0.19). This brief training package failed to increase overall opioid cessation. The inconsistency of these actual prescribing results with "hypothetical" prescribing behavior suggests that reducing opioid prescribing in chronic noncancer pain requires more than changing knowledge and attitudes.</t>
  </si>
  <si>
    <t>J2: Pain; Holliday, Simon Mark Hayes, Chris Dunlop, Adrian J Morgan, Simon Tapley, Amanda Henderson, Kim M van Driel, Mieke L Holliday, Elizabeth G Ball, Jean I Davey, Andrew Spike, Neil Allan McArthur, Lawrence Andrew Magin, Parker John; ID: 51</t>
  </si>
  <si>
    <t>1872-6623</t>
  </si>
  <si>
    <t>Holliday, Simon Mark. aSchool of Medicine and Public Health, University of Newcastle, Newcastle NSW, AustraliabDrug and Alcohol Clinical Services, Hunter New England Local Health District, NSW, AustraliacHunter Integrated Pain Service, Hunter New England Local Health District, NSW, AustraliadGP, Elermore Vale General Practice, Newcastle, NSW, AustraliaeNSW and ACT Research and Evaluation Unit, GP Synergy, Newcastle, NSW, Australia,fDiscipline of General Practice, School of Medicine, University of Queensland, Brisbane, QLD, AustraliagPublic Health Program, Hunter Medical Research Institute, Newcastle, NSW, AustraliahCReDITSS, Hunter Medical Research Institute, Newcastle, NSW, AustraliaiEastern Victoria General Practice Training, Hawthorn, VIC, AustraliajDepartment of General Practice, University of Melbourne, Melbourne, VIC, AustraliakRural Clinical School, University of Adelaide, Adelaide, SA, Australia.</t>
  </si>
  <si>
    <t>http://ovidsp.ovid.com/ovidweb.cgi?T=JS&amp;CSC=Y&amp;NEWS=N&amp;PAGE=fulltext&amp;D=med8&amp;AN=28092648</t>
  </si>
  <si>
    <t>https://dx.doi.org/10.1097/j.pain.0000000000000755</t>
  </si>
  <si>
    <t>MEDLINE; Ovid Technologies; Does brief chronic pain management education change opioid prescribing rates? A pragmatic trial in Australian early-career general practitioners</t>
  </si>
  <si>
    <t>Holt,S. R.;Ramos,J.;Harma,M.;Cabrera,F.;Louis-Ashby,C.;Dinh,A.;Fiellin,D. A.;Tetrault,J. M.</t>
  </si>
  <si>
    <t>Physician detection of unhealthy substance use on inpatient teaching and hospitalist medical services</t>
  </si>
  <si>
    <t>Aged;Cross-Sectional Studies;Female;*Hospitalists;Hospitals, Teaching;Humans;*Inpatients/ed Education];Male;Middle Aged;*Physicians;*Professional Competence;Referral and Consultation;*Substance Abuse Detection</t>
  </si>
  <si>
    <t>BACKGROUND: Screening, brief intervention, and referral to treatment for substance use depends on reliable identification. The goal of this study was to determine the rate of detection of unhealthy substance use by physicians on teaching and nonteaching medical services at a community teaching hospital. METHODS: This cross-sectional study was conducted from February to June 2009. All new medicine admissions to the Teaching Service or the nonteaching Hospitalist Service were assessed for unhealthy substance use using the Alcohol Use Disorders Identification Test-Consumption (AUDIT-C) and Drug Abuse Screening Test (DAST). All patients identified with substance use completed the Alcohol, Smoking, and Substance Involvement Screening Test (ASSIST). Medical record review was also performed to assess physician documentation. RESULTS: Of 442 eligible patients, 414 consented to participate. Patients on the Teaching Service were more likely to be male, younger, unmarried, non-white, uninsured or receiving publicly funded insurance, and current smokers (p &lt; .01 for all comparisons). Overall, the detection rate for unhealthy substance use was 64.3% (63 of 98 confirmed cases), with service-specific rates of 73.4% for the Teaching Service, compared with 47.1% for the Hospitalist Service (p = .011). ICD-9 coding accounted for 53.1% of identified cases on the Teaching Service and 14.7% of identified cases on the Hospitalist Service (p &lt; .001). Assignment to the Hospitalist Service, being married, and isolated unhealthy drug use were independently associated with decreased physician detection rates. CONCLUSIONS: Our study suggests that unhealthy substance use is more likely to be detected on a Teaching Service than on a Hospitalist Service.</t>
  </si>
  <si>
    <t>J2: Am J Drug Alcohol Abuse; Holt, Stephen R Ramos, Jorge Harma, Michael Cabrera, Felix Louis-Ashby, Coeurlida Dinh, An Fiellin, David A Tetrault, Jeanette M; ID: 325</t>
  </si>
  <si>
    <t>Holt, Stephen R. Department of Internal Medicine, Yale University School of Medicine, New Haven, CT 06520-8025, USA. stephen.holt@yale.edu</t>
  </si>
  <si>
    <t>http://ovidsp.ovid.com/ovidweb.cgi?T=JS&amp;CSC=Y&amp;NEWS=N&amp;PAGE=fulltext&amp;D=med7&amp;AN=22992028</t>
  </si>
  <si>
    <t>https://dx.doi.org/10.3109/00952990.2012.715703</t>
  </si>
  <si>
    <t>MEDLINE; Ovid Technologies; Physician detection of unhealthy substance use on inpatient teaching and hospitalist medical services</t>
  </si>
  <si>
    <t>Holt,S. R.;Ramos,J.;Harma,M. A.;Cabrera,F.;Louis-Ashby,C.;Dinh,A.;Tetrault,J. M.;Fiellin,D. A.</t>
  </si>
  <si>
    <t>Prevalence of unhealthy substance use on teaching and hospitalist medical services: implications for education</t>
  </si>
  <si>
    <t>Adult;Aged;Aged, 80 and over;*Alcoholism/ep Epidemiology];Connecticut/ep Epidemiology];Cross-Sectional Studies;Female;Hospitalists/ed Education];*Hospitals, Teaching/sn Statistics &amp; Numerical Data];Humans;*Inpatients/px Psychology];Male;Mass Screening;Middle Aged;Substance-Related Disorders/di Diagnosis];*Substance-Related Disorders/ep Epidemiology]</t>
  </si>
  <si>
    <t>The prevalence of unhealthy substance use (USU) among medical inpatients can vary, and prior research has not characterized the prevalence of USU among patients cared for by a teaching service (TS) and a nonteaching hospitalist service (NTHS). The objective of this study was to compare the prevalence of USU among patients cared for by a TS and an NTHS. We conducted a cross-sectional study from February to June 2009 at a community teaching hospital. Within 24 hours of admission, all eligible internal medicine admissions to the TS or NTHS were screened for USU, using the Alcohol Use Disorders Identification Test-Consumption and Drug Abuse Screening Test. Patients screening positive then underwent a diagnostic interview and blinded chart review to increase case finding and to assess whether each patient's admission was related to USU. There were 414 eligible and consenting patients out of 656 patients identified. Patients on the TS were younger and more likely to be current smokers, male, unmarried, non-white, and unemployed (p&lt;.01 for all comparisons). TS patients were more likely to have evidence of USU (29.2% vs. 12.3%; p&lt;.01). Among all admissions to the TS, 22.2% were deemed to be probably or possibly due to USU, as compared with only 3.7% of admissions to the NTHS (p&lt;.01). Medical TSs care for a greater share of patients with USU as compared with an NTHS. These data highlight the need for expanded medical resident training in the diagnosis and management of USU.</t>
  </si>
  <si>
    <t>J2: Am J Addict; Holt, Stephen R Ramos, Jorge Harma, Michael A Cabrera, Felix Louis-Ashby, Coeurlida Dinh, An Tetrault, Jeanette M Fiellin, David A; ID: 451</t>
  </si>
  <si>
    <t>Holt, Stephen R. Department of Internal Medicine, Yale University School of Medicine, New Haven, Connecticut 06520-8025, USA. stephen.holt@yale.edu</t>
  </si>
  <si>
    <t>http://ovidsp.ovid.com/ovidweb.cgi?T=JS&amp;CSC=Y&amp;NEWS=N&amp;PAGE=fulltext&amp;D=med7&amp;AN=22332853</t>
  </si>
  <si>
    <t>https://dx.doi.org/10.1111/j.1521-0391.2011.00207.x</t>
  </si>
  <si>
    <t>MEDLINE; Ovid Technologies; Prevalence of unhealthy substance use on teaching and hospitalist medical services: implications for education</t>
  </si>
  <si>
    <t>Holt,S. R.;Segar,N.;Cavallo,D. A.;Tetrault,J. M.</t>
  </si>
  <si>
    <t>The Addiction Recovery Clinic: A Novel, Primary-Care-Based Approach to Teaching Addiction Medicine</t>
  </si>
  <si>
    <t>Adult;Alcoholism/rh Rehabilitation];Ambulatory Care Facilities;*Curriculum;*Education, Medical, Graduate/mt Methods];Female;Humans;*Internal Medicine/ed Education];Male;Opioid-Related Disorders/rh Rehabilitation];*Primary Health Care;*Substance-Related Disorders/rh Rehabilitation];United States</t>
  </si>
  <si>
    <t>PROBLEM: Substance use is highly prevalent in the United States, but little time in the curriculum is devoted to training internal medicine residents in addiction medicine. APPROACH: In 2014, the authors developed and launched the Addiction Recovery Clinic (ARC) to address this educational gap while also providing outpatient clinical services to patients with substance use disorders. The ARC is embedded within the residency primary care practice and is staffed by three to four internal medicine residents, two board-certified addiction medicine specialists, one chief resident, and one psychologist. Residents spend one half-day per week for four consecutive weeks at the ARC seeing new and returning patients. Services provided include pharmacological and behavioral treatments for opioid, alcohol, and other substance use disorders, with direct referral to local addiction treatment facilities as needed. Visit numbers, a patient satisfaction survey, and an end-of-rotation resident evaluation were used to assess the ARC. OUTCOMES: From 2014 to 2015, 611 patient encounters occurred, representing 97 new patients. Sixty-one (63%) patients were seen for opioid use disorder. According to patient satisfaction surveys, 29 (of 31; 94%) patients reported that the ARC probably or definitely helped them to cope with their substance use. Twenty-eight residents completed the end-of-rotation evaluation; all rated the rotation highly. NEXT STEPS: The ARC offers a unique primary-care-based approach to exposing internal medicine residents to the knowledge and skills necessary to diagnose, treat, and prevent unhealthy substance use. Future research will examine other clinical and educational outcomes.</t>
  </si>
  <si>
    <t>J2: Acad Med; Holt, Stephen R Segar, Nora Cavallo, Dana A Tetrault, Jeanette M; ID: 76</t>
  </si>
  <si>
    <t>Holt, Stephen R. S.R. Holt is assistant professor, Department of Internal Medicine, Yale School of Medicine, New Haven, Connecticut.N. Segar is palliative medicine fellow, Department of Hospital Medicine, Northwestern University Feinberg School of Medicine, Chicago, Illinois.D.A. Cavallo is assistant professor, Department of Psychiatry, Yale School of Medicine, New Haven, Connecticut.J.M. Tetrault is associate professor, Department of Internal Medicine, Yale School of Medicine, New Haven, Connecticut.</t>
  </si>
  <si>
    <t>http://ovidsp.ovid.com/ovidweb.cgi?T=JS&amp;CSC=Y&amp;NEWS=N&amp;PAGE=fulltext&amp;D=med8&amp;AN=28441678</t>
  </si>
  <si>
    <t>https://dx.doi.org/10.1097/ACM.0000000000001480</t>
  </si>
  <si>
    <t>MEDLINE; Ovid Technologies; The Addiction Recovery Clinic: A Novel, Primary-Care-Based Approach to Teaching Addiction Medicine</t>
  </si>
  <si>
    <t>Holwerda,A.;Groothoff,J. W.;de Boer,M. R.;van,der Klink;Brouwer,S.</t>
  </si>
  <si>
    <t>Work-ability assessment in young adults with disabilities applying for disability benefits</t>
  </si>
  <si>
    <t>Disability &amp; Rehabilitation</t>
  </si>
  <si>
    <t>Adolescent;Adult;Cross-Sectional Studies;*Disability Evaluation;Employment;Humans;Netherlands;*Social Security;Social Support;Young Adult</t>
  </si>
  <si>
    <t>PURPOSE: To investigate the impact of diagnosis, co-morbidity, secondary conditions (e.g. learning problems, subclinical mental and somatic complaints, addictions, and socio-emotional and behavioral problems) and problems in social context on work ability as assessed by Insurance Physicians (IPs) in young adults applying for a disability benefit. METHOD: IPs of the Social Security Institute assessed young adults with disabilities (aged 15-27) applying for a disability benefit (n = 1755). Data were analyzed with multilevel ordinal regression techniques. RESULTS: Primary diagnosis, co-morbidity and subclinical mental complaints were associated with IP-assessed work ability. Persons with mental health conditions as primary diagnosis were less likely to reach a higher work ability than persons with somatic diseases. Young adults with two or more co-morbid conditions and those with psychiatric or developmental co-morbidity were less likely to reach a higher work ability level than persons without co-morbidity. Young adults with subclinical mental complaints were half as likely to reach a higher IP-assessed work ability than young adults without this condition. CONCLUSION: Primary diagnosis, type and number of co-morbid conditions and subclinical mental complaints are associated with IP-assessed work ability. Work-ability assessments among adolescents with disabilities applying for disability benefits still focus mainly on medical factors.</t>
  </si>
  <si>
    <t>J2: Disabil Rehabil; Holwerda, Anja Groothoff, Johan W de Boer, Michiel R van der Klink, Jac J L Brouwer, Sandra; ID: 358</t>
  </si>
  <si>
    <t>1464-5165</t>
  </si>
  <si>
    <t>Holwerda, Anja. Department of Health Sciences, Community &amp; Occupational Medicine, University Medical Center Groningen, University of Groningen, The Netherlands. a.holwerda01@umcg.nl</t>
  </si>
  <si>
    <t>http://ovidsp.ovid.com/ovidweb.cgi?T=JS&amp;CSC=Y&amp;NEWS=N&amp;PAGE=fulltext&amp;D=med7&amp;AN=22823955</t>
  </si>
  <si>
    <t>https://dx.doi.org/10.3109/09638288.2012.702846</t>
  </si>
  <si>
    <t>MEDLINE; Ovid Technologies; Work-ability assessment in young adults with disabilities applying for disability benefits</t>
  </si>
  <si>
    <t>Hooten,W. M.;Bruce,B. K.</t>
  </si>
  <si>
    <t>Beliefs and attitudes about prescribing opioids among healthcare providers seeking continuing medical education</t>
  </si>
  <si>
    <t>Analgesics, Opioid/ae Adverse Effects];*Analgesics, Opioid/tu Therapeutic Use];*Attitude of Health Personnel;*Chronic Pain/dt Drug Therapy];Education, Medical, Continuing;Female;Health Knowledge, Attitudes, Practice;Humans;Male;Nurse Practitioners/px Psychology];Opioid-Related Disorders/pc Prevention &amp; Control];Physician Assistants/px Psychology];Physicians/px Psychology];*Practice Patterns, Physicians';Quality of Life;Surveys and Questionnaires;0 (Analgesics, Opioid)</t>
  </si>
  <si>
    <t>OBJECTIVE: The purpose of this study was to assess the beliefs and attitudes of healthcare providers about prescribing opioids for chronic pain. SETTING: The setting was a continuing medical education conference that was specifically designed to deliver content about chronic pain and prescription opioids to providers without specialty expertise in pain medicine. PARTICIPANTS: Conference attendees with prescribing privileges were eligible to participate, including physicians, physician assistants, and advance practice nurses. INTERVENTION: Study participants completed a questionnaire using an electronic response system. MAIN OUTCOME MEASURES: Study participants completed a validated questionnaire that was specifically developed to measure the beliefs and attitudes of healthcare providers about prescribing opioids for chronic pain. RESULTS: The questionnaire was completed by 128 healthcare providers. The majority (58 percent) indicated that they were "likely" to prescribe opioids for chronic pain. A significant proportion of respondents had favorable beliefs and attitudes toward improvements in pain (p &lt; 0.001) and quality of life (p &lt; 0.001) attributed to prescribing opioids. However, a significant proportion had negative beliefs and attitudes about medication abuse (p &lt; 0.001) and addiction (p &lt; 0.001). Respondents also indicated that prescribing opioids could significantly increase the complexity of patient care and could unfavorably impact several administrative aspects of clinical practice. CONCLUSIONS: The beliefs and attitudes identified in this study highlight important educational gaps that exist among healthcare providers about prescribing opioids. Knowledge of these educational gaps could build the capacity of medical educators to develop targeted educational materials that could improve the opioid prescribing practices of healthcare providers.</t>
  </si>
  <si>
    <t>J2: J Opioid Manag; Hooten, W Michael Bruce, Barbara K; ID: 469</t>
  </si>
  <si>
    <t>Hooten, W Michael. Department of Anesthesiology, Mayo Clinic College of Medicine, Rochester, Minnesota, USA.</t>
  </si>
  <si>
    <t>http://ovidsp.ovid.com/ovidweb.cgi?T=JS&amp;CSC=Y&amp;NEWS=N&amp;PAGE=fulltext&amp;D=med7&amp;AN=22320023</t>
  </si>
  <si>
    <t>MEDLINE; Ovid Technologies; Beliefs and attitudes about prescribing opioids among healthcare providers seeking continuing medical education</t>
  </si>
  <si>
    <t>Horien,C.;Athar,W.;Grossetta Nardini,H. K.;Grunschel,B.</t>
  </si>
  <si>
    <t>Substance Use in Medical Trainees: Current Problems and Future Directions</t>
  </si>
  <si>
    <t>J2: Acad Psychiatry; Horien, Corey Athar, Wardah Grossetta Nardini, Holly K Grunschel, Beth; ID: 1623</t>
  </si>
  <si>
    <t>Horien, Corey. Yale University School of Medicine, New Haven, CT, USA. corey.horien@yale.edu. Athar, Wardah. Yale University School of Medicine, New Haven, CT, USA. Grossetta Nardini, Holly K. Yale University School of Medicine, New Haven, CT, USA. Grunschel, Beth. Yale University School of Medicine, New Haven, CT, USA.</t>
  </si>
  <si>
    <t>http://ovidsp.ovid.com/ovidweb.cgi?T=JS&amp;CSC=Y&amp;NEWS=N&amp;PAGE=fulltext&amp;D=prem&amp;AN=29511970</t>
  </si>
  <si>
    <t>https://dx.doi.org/10.1007/s40596-018-0898-2</t>
  </si>
  <si>
    <t>MEDLINE; Ovid Technologies; Substance Use in Medical Trainees: Current Problems and Future Directions</t>
  </si>
  <si>
    <t>Hornor,G.</t>
  </si>
  <si>
    <t>Childhood trauma exposure and toxic stress: what the PNP needs to know</t>
  </si>
  <si>
    <t>Journal of Pediatric Health Care</t>
  </si>
  <si>
    <t>Adolescent;Checklist;Child;*Child Abuse/di Diagnosis];Child Abuse/px Psychology];Child Abuse/rh Rehabilitation];Child, Preschool;*Domestic Violence/px Psychology];*Education, Medical, Continuing;Family Characteristics;Female;Humans;*Life Change Events;Male;*Pediatric Nurse Practitioners;Practice Guidelines as Topic;Risk Factors;*Stress, Psychological/di Diagnosis];*Substance-Related Disorders/di Diagnosis];Substance-Related Disorders/pc Prevention &amp; Control]</t>
  </si>
  <si>
    <t>Trauma exposure in childhood is a major public health problem that can result in lifelong mental and physical health consequences. Pediatric nurse practitioners must improve their skills in the identification of trauma exposure in children and their interventions with these children. This continuing education article will describe childhood trauma exposure (adverse childhood experiences) and toxic stress and their effects on the developing brain and body. Adverse childhood experiences include a unique set of trauma exposures. The adverse childhood experiences or trauma discussed in this continuing education offering will include childhood exposure to emotional abuse, physical abuse, sexual abuse, emotional neglect, physical neglect, domestic violence, household substance abuse, household mental illness, parental separation or divorce, and a criminal household member. Thorough and efficient methods of screening for trauma exposure will be discussed. Appropriate intervention after identification of trauma exposure will be explored.</t>
  </si>
  <si>
    <t>J2: J Pediatr Health Care; Hornor, Gail S0891-5245(14)00344-7; ID: 141</t>
  </si>
  <si>
    <t>1532-656X</t>
  </si>
  <si>
    <t>http://ovidsp.ovid.com/ovidweb.cgi?T=JS&amp;CSC=Y&amp;NEWS=N&amp;PAGE=fulltext&amp;D=med8&amp;AN=25697767</t>
  </si>
  <si>
    <t>https://dx.doi.org/10.1016/j.pedhc.2014.09.006</t>
  </si>
  <si>
    <t>MEDLINE; Ovid Technologies; Childhood trauma exposure and toxic stress: what the PNP needs to know</t>
  </si>
  <si>
    <t>Horton,J.</t>
  </si>
  <si>
    <t>Education programs on smoking prevention and smoking cessation for students and housestaff in U.S. medical schools</t>
  </si>
  <si>
    <t>Cancer Detection &amp; Prevention</t>
  </si>
  <si>
    <t>Canada;Curriculum;*Education, Medical;Humans;Internship and Residency;*Smoking Prevention;United States</t>
  </si>
  <si>
    <t>To determine the extent and characteristics of educational programs relating to smoking in U.S. medical schools, surveys of educational curricula were performed in 1983 and 1984. The first survey showed that 34% of medical schools had no course offerings on smoking for medical students, and very few addressed smoking prevention and smoking cessation. In the following year, the percentage of schools with curriculum courses on smoking prevention and smoking cessation had risen to 64% and 56%, respectively. Planned education programs for housestaff, however, were present in only 30% and 25% of medical school-affiliated programs. Only one housestaff program (5%) was present in the group of medical schools that had no educational programs on smoking prevention or cessation for its medical students. More emphasis on education regarding smoking prevention and smoking cessation in U.S. medical schools and in housestaff training programs is required.</t>
  </si>
  <si>
    <t>J2: Cancer Detect Prev; Horton, J; ID: 1441</t>
  </si>
  <si>
    <t>0361-090X</t>
  </si>
  <si>
    <t>http://ovidsp.ovid.com/ovidweb.cgi?T=JS&amp;CSC=Y&amp;NEWS=N&amp;PAGE=fulltext&amp;D=med2&amp;AN=3779702</t>
  </si>
  <si>
    <t>MEDLINE; Ovid Technologies; Education programs on smoking prevention and smoking cessation for students and housestaff in U.S. medical schools</t>
  </si>
  <si>
    <t>Horvatich,P. K.;Schnoll,S. H.</t>
  </si>
  <si>
    <t>Filling the knowledge gap: a continuing medical education course on prescribing drugs with abuse potential</t>
  </si>
  <si>
    <t>40S</t>
  </si>
  <si>
    <t>42S</t>
  </si>
  <si>
    <t>*Drug Prescriptions;*Education, Medical, Continuing/mt Methods];*Pharmaceutical Preparations/ad Administration &amp; Dosage];Pilot Projects;Substance-Related Disorders;United States;0 (Pharmaceutical Preparations)</t>
  </si>
  <si>
    <t>Learning the components of the task of writing a prescription is not the same as learning when to prescribe what drug, in which quantity, dose, and frequency; how to counsel the patient about taking the drug; what to look for while monitoring the patient; and particularly, in the case of controlled drugs, what to do if a patient abuses a medication. Education about prescribing drugs with abuse potential is very limited in medical school, and little exists in the way of continuing medical education. We have designed a two-day continuing medical education course for primary care practitioners that blends a variety of learning experiences and incorporates innovative approaches. This program emphasizes active participation, even within a traditional large group format. Computerized clinical case simulation activities call on participants to draw on their own medical practice experience, and to apply newly acquired knowledge to solve clinical problems before they leave the classroom. The pilot test of the program reinforced how powerful teaching can be when it is led by credible, skillful experts interacting with individuals face-to-face and when it is complemented by small group discussion. Plans for dissemination of this program are under way.</t>
  </si>
  <si>
    <t>J2: N Y State J Med; Horvatich, P K Schnoll, S H; ID: 1297</t>
  </si>
  <si>
    <t>Horvatich, P K. Division of Substance Abuse Medicine, Medical College of Virginia, Virginia Commonwealth University, Richmond 23298-0109.</t>
  </si>
  <si>
    <t>http://ovidsp.ovid.com/ovidweb.cgi?T=JS&amp;CSC=Y&amp;NEWS=N&amp;PAGE=fulltext&amp;D=med3&amp;AN=1771058</t>
  </si>
  <si>
    <t>MEDLINE; Ovid Technologies; Filling the knowledge gap: a continuing medical education course on prescribing drugs with abuse potential</t>
  </si>
  <si>
    <t>Hosea,D. F.</t>
  </si>
  <si>
    <t>Language and stigmatization in addiction medicine</t>
  </si>
  <si>
    <t>e1</t>
  </si>
  <si>
    <t>Female;*Health Knowledge, Attitudes, Practice;Humans;*Internship and Residency;Male;*Public Health/ed Education];*Social Work/ed Education];*Substance-Related Disorders/di Diagnosis];*Substance-Related Disorders/th Therapy]</t>
  </si>
  <si>
    <t>J2: Am J Public Health; Hosea, Devin F Comment on: Am J Public Health. 2013 Apr;103(4):e1-2; PMID: 23409913; ID: 280</t>
  </si>
  <si>
    <t>1541-0048</t>
  </si>
  <si>
    <t>Hosea, Devin F. Devin F. Hosea is with the Virtual Hospital for Addiction and its parent company, the Virtual Hospital Corporation, Cambridge, MA.</t>
  </si>
  <si>
    <t>http://ovidsp.ovid.com/ovidweb.cgi?T=JS&amp;CSC=Y&amp;NEWS=N&amp;PAGE=fulltext&amp;D=med8&amp;AN=24922156</t>
  </si>
  <si>
    <t>https://dx.doi.org/10.2105/AJPH.2014.302019</t>
  </si>
  <si>
    <t>MEDLINE; Ovid Technologies; Language and stigmatization in addiction medicine</t>
  </si>
  <si>
    <t>Hossain,M.;Ahmed,S. K.</t>
  </si>
  <si>
    <t>A natural response to drug misuse problems: a review of drug-user treatment services of Bangladesh</t>
  </si>
  <si>
    <t>Attitude of Health Personnel;Bangladesh;Cultural Characteristics;*Delivery of Health Care;*Developing Countries;Humans;*Substance-Related Disorders/th Therapy]</t>
  </si>
  <si>
    <t>This paper reviews and describes the natural processes through which the people of a Third World country, Bangladesh, have been trying to provide treatment to drug misusers. As the demand for medical help increases, different organizations develop to cater to the needs. Bangladesh has followed the age-old ashram model and the contemporary medical hospital model to provide services to its addicts. In reality the drug misuse treatment providers are still evolving through different learning stages about the biopsychosocial manifestations of addiction. According to the authors, the stages of learning can be divided into three phases: 1) the early period of confusion and enthusiasm, 2) the period of truism, and 3) the period of pragmatism. The people who have gained experience in running treatment centers in the last decade need to form alliances to share their experiences in order to develop rational models for drug treatment programs in Bangladesh. It is also important that they develop methods to monitor providers' activities and to protect clients' safety and interests.</t>
  </si>
  <si>
    <t>J2: Subst Use Misuse; Hossain, M Ahmed, S K; ID: 1057</t>
  </si>
  <si>
    <t>Hossain, M. Department of Sociology and Social Work, Virginia State University, Petersburg 23806, USA.</t>
  </si>
  <si>
    <t>http://ovidsp.ovid.com/ovidweb.cgi?T=JS&amp;CSC=Y&amp;NEWS=N&amp;PAGE=fulltext&amp;D=med4&amp;AN=10499411</t>
  </si>
  <si>
    <t>MEDLINE; Ovid Technologies; A natural response to drug misuse problems: a review of drug-user treatment services of Bangladesh</t>
  </si>
  <si>
    <t>Hossain,N.;Khan,S.</t>
  </si>
  <si>
    <t>Domestic abuse and the duties of physicians: a case report</t>
  </si>
  <si>
    <t>Indian Journal of Medical Ethics</t>
  </si>
  <si>
    <t>Adult;Asia;Attitude of Health Personnel;Awareness;*Domestic Violence;Female;*Health Services;*Health Services Accessibility;Humans;*Intimate Partner Violence;Mandatory Reporting;Mass Screening;Moral Obligations;*Physicians;*Professional Role</t>
  </si>
  <si>
    <t>Domestic violence against women is a global issue. An earlier report from the Centers for Disease Control and Prevention (CDC), USA, reported that injury caused by domestic violence was the second most common cause of death during pregnancy and in the postpartum period (1). The pregnancy-associated homicide ratio was found to be 1.7 per 100,000 deliveries and firearms were identified as the main source of injury. Domestic violence is more common in developing countries than in the developed world, and rural areas are worse affected than urban ones. The risk factors associated with intimate partner violence include husbands being unemloyed, belonging to a lower socioeconomic group, poor educational status, and alcohol and substance abuse. In a hospital-based study of 500 women, around 12.6% reported physical abuse by their spouses in index pregnancy (2). In another hospital-based study in which women were interviewed during the postpartum period, 23% reported physical abuse during index pregnancy (3). Death as a result of violence is not a new phenomenon. In 1994 the Human Rights Commission of Pakistan reported 372 cases of domestic violence, due to which around 274 women died during an 8-month period. According to a report for the year 2012-13 around 389 cases of domestic violence were reported in the Pakistani media that year. The same report states that in 2013, more than 800 women committed suicide due to domestic violence. In 2013, the Provincial Assembly of Sindh, Pakistan, passed The Domestic Violence (Prevention and Protection) Bill, 2013, which imposes a fine of Rs 20,000 for violent offences against women. Such bills have not been passed in other provincial assemblies of the country. Other countries in South Asia (India, Nepal, Bangladesh, the Maldives, Sri Lanka and Afghanistan) have national laws which make provision for extending medical assistance to women who have suffered domestic violence (4). However, a lot remains to be done to translate these laws into actual practice. In Nepal, special cells have been set up in police stations to offer services to women reporting domestic violence. Among those responsible for the implementation of these services, only a few were found to be aware of the fact that such services were supposed to be provided (5). Only 8% of women knew that such services were available (6). In Bangladesh, crisis centres have been established in tertiary care hospitals to deal with domestic abuse. Manuals have been designed for the attending doctors on how to provide assistance to the women and on the reporting of such events (6). In India, providers of medical care do not consider it their duty to report domestic violence (4).There is a need to sensitise the medical fraternity to this issue, especially since many victims present to hospitals. Health providers also need to be given guidance on the steps they can take when confronted with cases of domestic violence. Around two decades ago, the American Medical Association recommended universal screening for intimate partner violence. This led to a sharp increase of 30% in reporting of intimate partner violence among certain groups of the population (7).</t>
  </si>
  <si>
    <t>J2: Indian J Med Ethics; Hossain, Nazli Khan, Sharmeen; ID: 139</t>
  </si>
  <si>
    <t>0975-5691</t>
  </si>
  <si>
    <t>Hossain, Nazli. Professor, Department of Obstetrics &amp; Gynecology, Unit II, Dow University of Health Sciences, Karachi, Pakistan,. Nazli.hossain@duhs.edu.pk. Khan, Sharmeen. Corporate lawyer, Karachi, Pakistan,. sharmeen@amgen.com.</t>
  </si>
  <si>
    <t>http://ovidsp.ovid.com/ovidweb.cgi?T=JS&amp;CSC=Y&amp;NEWS=N&amp;PAGE=fulltext&amp;D=med8&amp;AN=26592790</t>
  </si>
  <si>
    <t>MEDLINE; Ovid Technologies; Domestic abuse and the duties of physicians: a case report</t>
  </si>
  <si>
    <t>Houston,L. N.;Warner,M.;Corelli,R. L.;Fenlon,C. M.;Hudmon,K. S.</t>
  </si>
  <si>
    <t>Tobacco education in US physician assistant programs</t>
  </si>
  <si>
    <t>Journal of Cancer Education</t>
  </si>
  <si>
    <t>*Health Education/st Standards];*Health Knowledge, Attitudes, Practice;Health Surveys;Humans;*Physician Assistants/ed Education];*Professional Competence/st Standards];Surveys and Questionnaires;*Tobacco Use Cessation;*Tobacco Use Disorder/pc Prevention &amp; Control];United States</t>
  </si>
  <si>
    <t>BACKGROUND: Few health degree programs incorporate sufficient tobacco cessation education in core curricula. METHODS: A national survey of 132 PA programs assessed the extent to which tobacco is addressed, educational methods, perceived importance and adequacy of tobacco education, and perceived barriers to enhancing tobacco-related content. RESULTS: Surveys (n = 99; 75%) revealed a median of 150 minutes of tobacco education throughout the degree program. Key barriers to enhancing training are lack of curriculum time and lack of access to comprehensive, evidence-based resources. Two-thirds expressed interest in participating in a nationwide effort to enhance tobacco cessation training. CONCLUSIONS: Similar to other disciplines, enhanced tobacco education is needed in PA programs to adequately prepare graduates to address the primary known cause of preventable death in the United States.</t>
  </si>
  <si>
    <t>J2: J Cancer Educ; Houston, Lisa N Warner, Mary Corelli, Robin L Fenlon, Christine M Hudmon, Karen Suchanek; ID: 628</t>
  </si>
  <si>
    <t>1543-0154</t>
  </si>
  <si>
    <t>Houston, Lisa N. Yale University, New Haven, Connecticut, USA.</t>
  </si>
  <si>
    <t>http://ovidsp.ovid.com/ovidweb.cgi?T=JS&amp;CSC=Y&amp;NEWS=N&amp;PAGE=fulltext&amp;D=med6&amp;AN=19431026</t>
  </si>
  <si>
    <t>https://dx.doi.org/10.1080/08858190902854475</t>
  </si>
  <si>
    <t>MEDLINE; Ovid Technologies; Tobacco education in US physician assistant programs</t>
  </si>
  <si>
    <t>Huang,L. Y.</t>
  </si>
  <si>
    <t>Smoke and spirits: the substance abuse dilemma</t>
  </si>
  <si>
    <t>*Community Health Services;Humans;Primary Health Care/og Organization &amp; Administration];Risk-Taking;Schools, Medical;*Students, Medical;*Substance-Related Disorders/pc Prevention &amp; Control];United States</t>
  </si>
  <si>
    <t>J2: Jama; Huang, L Y; ID: 1099</t>
  </si>
  <si>
    <t>http://ovidsp.ovid.com/ovidweb.cgi?T=JS&amp;CSC=Y&amp;NEWS=N&amp;PAGE=fulltext&amp;D=med4&amp;AN=9777821</t>
  </si>
  <si>
    <t>MEDLINE; Ovid Technologies; Smoke and spirits: the substance abuse dilemma</t>
  </si>
  <si>
    <t>Huber,E.;Robinson,R. C.;Noe,C. E.;Van Ness,O.</t>
  </si>
  <si>
    <t>Who Benefits from Chronic Opioid Therapy? Rethinking the Question of Opioid Misuse Risk</t>
  </si>
  <si>
    <t>Healthcare</t>
  </si>
  <si>
    <t>Beginning in the late 1990s, a movement began within the pain management field focused upon the underutilization of opioids, thought to be a potentially safe and effective class of pain medication. Concern for addiction and misuse were present at the start of this shift within pain medicine, and an emphasis was placed on developing reliable and valid methods and measures of identifying those at risk for opioid misuse. Since that time, the evidence for the safety and effectiveness of chronic opioid therapy (COT) has not been established. Rather, the harmful, dose-dependent deleterious effects have become clearer, including addiction, increased risk of injuries, respiratory depression, opioid induced hyperalgesia, and death. Still, many individuals on low doses of opioids for long periods of time appear to have good pain control and retain social and occupational functioning. Therefore, we propose that the question, "Who is at risk of opioid misuse?" should evolve to, "Who may benefit from COT?" in light of the current evidence.</t>
  </si>
  <si>
    <t>J2: Healthcare (Basel); Using Smart Source Parsing May Huber, Elizabeth Robinson, Richard C Noe, Carl E Van Ness, Olivia E29; ID: 166</t>
  </si>
  <si>
    <t>2227-9032</t>
  </si>
  <si>
    <t>Huber, Elizabeth. The University of Texas Southwestern Medical Center at Dallas, 5323 Harry Hines Blvd., Dallas, TX 75390, USA. elizabeth.huber@utsouthwestern.edu. Robinson, Richard C. The University of Texas Southwestern Medical Center at Dallas, 5323 Harry Hines Blvd., Dallas, TX 75390, USA. richard.robinson@utsouthwestern.edu. Noe, Carl E. The University of Texas Southwestern Medical Center at Dallas, 5323 Harry Hines Blvd., Dallas, TX 75390, USA. carl.noe@utsouthwestern.edu. Van Ness, Olivia. The University of Texas Southwestern Medical Center at Dallas, 5323 Harry Hines Blvd., Dallas, TX 75390, USA. Olivia.vanness@utsouthwestern.edu.</t>
  </si>
  <si>
    <t>http://ovidsp.ovid.com/ovidweb.cgi?T=JS&amp;CSC=Y&amp;NEWS=N&amp;PAGE=fulltext&amp;D=prem&amp;AN=27417617</t>
  </si>
  <si>
    <t>https://dx.doi.org/10.3390/healthcare4020029</t>
  </si>
  <si>
    <t>MEDLINE; Ovid Technologies; Who Benefits from Chronic Opioid Therapy? Rethinking the Question of Opioid Misuse Risk</t>
  </si>
  <si>
    <t>Hudmon,K. S.;Corelli,R. L.;Chung,E.;Gundersen,B.;Kroon,L. A.;Sakamoto,L. M.;Hemberger,K. K.;Fenlon,C.;Prokhorov,A. V.</t>
  </si>
  <si>
    <t>Development and implementation of a tobacco cessation training program for students in the health professions</t>
  </si>
  <si>
    <t>California;Clinical Competence;Curriculum;*Education, Dental;*Education, Medical;*Education, Pharmacy;Humans;Patient Education as Topic/mt Methods];Program Evaluation;Schools, Pharmacy;*Smoking Cessation/mt Methods]</t>
  </si>
  <si>
    <t>BACKGROUND: A comprehensive tobacco cessation training program, Rx for Change, was developed and implemented as required coursework at all California schools of pharmacy and at the University of California San Francisco Schools of Medicine and Dentistry. RESULTS: Post-training evaluations administered to pharmacy students (n = 544; 89% participation) show a positive impact of the training on students' self-reported abilities for providing tobacco cessation counseling to patients. CONCLUSION: Designed as a vehicle for nationwide dissemination of the U.S. Public Health Service Clinical Practice Guideline for Treating Tobacco Use and Dependence, Rx for Change equips students with skills to intervene with all tobacco users, including patients who are not yet considering quitting.</t>
  </si>
  <si>
    <t>J2: J Cancer Educ; Hudmon, Kareen Suchanek Corelli, Robin L Chung, Eunice Gundersen, Berit Kroon, Lisa A Sakamoto, Leann M Hemberger, Kymberli K Fenlon, Christine Prokhorov, Alexander V; ID: 916</t>
  </si>
  <si>
    <t>0885-8195</t>
  </si>
  <si>
    <t>Hudmon, Kareen Suchanek. School of Pharmacy, University of California San Francisco, 3333 California Street, Suite 420, San Francisco, CA 94118, USA. khudmon@itsa.ucsf.edu</t>
  </si>
  <si>
    <t>http://ovidsp.ovid.com/ovidweb.cgi?T=JS&amp;CSC=Y&amp;NEWS=N&amp;PAGE=fulltext&amp;D=med4&amp;AN=14512261</t>
  </si>
  <si>
    <t>MEDLINE; Ovid Technologies; Development and implementation of a tobacco cessation training program for students in the health professions</t>
  </si>
  <si>
    <t>Hughes,P. H.;Baldwin,D. C., J.;Sheehan,D. V.;Conard,S.;Storr,C. L.</t>
  </si>
  <si>
    <t>Resident physician substance use, by specialty</t>
  </si>
  <si>
    <t>Benzodiazepines;Cocaine;Confidence Intervals;Education, Medical;Emergency Medicine/ed Education];Emergency Medicine/sn Statistics &amp; Numerical Data];Female;Humans;*Internship and Residency/sn Statistics &amp; Numerical Data];Male;Marijuana Abuse/ep Epidemiology];*Medicine/sn Statistics &amp; Numerical Data];*Physician Impairment/sn Statistics &amp; Numerical Data];Plants, Toxic;Prevalence;Psychiatry/ed Education];Psychiatry/sn Statistics &amp; Numerical Data];Smoking/ep Epidemiology];*Specialization;*Substance-Related Disorders/ep Epidemiology];Tobacco;United States/ep Epidemiology];12794-10-4 (Benzodiazepines);I5Y540LHVR (Cocaine)</t>
  </si>
  <si>
    <t>OBJECTIVE: This study compares substance use by medical specialty among resident physicians. METHOD: The authors estimated the prevalence of substance use of 11 medical specialties from a national sample of 1,754 U.S. resident physicians. RESULTS: Emergency medicine and psychiatry residents showed higher rates of substance use than residents in other specialties. Emergency medicine residents reported more current use of cocaine and marijuana, and psychiatry residents reported more current use of benzodiazepines and marijuana. Contrary to recent concerns, anesthesiology residents did not have high rates of substance use. Family/general practice, internal medicine, and obstetrics/gynecology were not among the higher or lower use groups for most substances. Surgeons had lower rates of substance use except for alcohol. Pediatric and pathology residents were least likely to be substance users. CONCLUSIONS: The authors' previous research indicates that residents overall have lower rates of substance use than their age peers in society. Yet resident substance use patterns do differ by specialty. Residents in some specialties are more likely to use specific classes of drugs, to use a greater number of drug classes, and to be daily users of alcohol or cigarettes.</t>
  </si>
  <si>
    <t>J2: Am J Psychiatry; Hughes, P H Baldwin, D C Jr Sheehan, D V Conard, S Storr, C L; ID: 1271</t>
  </si>
  <si>
    <t>Hughes, P H. Institute for Research in Psychiatry, University of South Florida, Tampa.</t>
  </si>
  <si>
    <t>http://ovidsp.ovid.com/ovidweb.cgi?T=JS&amp;CSC=Y&amp;NEWS=N&amp;PAGE=fulltext&amp;D=med3&amp;AN=1530071</t>
  </si>
  <si>
    <t>MEDLINE; Ovid Technologies; Resident physician substance use, by specialty</t>
  </si>
  <si>
    <t>Hughes,P. H.;Conard,S. E.;Baldwin,D. C., J.;Storr,C. L.;Sheehan,D. V.</t>
  </si>
  <si>
    <t>Resident physician substance use in the United States</t>
  </si>
  <si>
    <t>Adult;Age Factors;Alcohol Drinking;Female;Humans;*Internship and Residency/sn Statistics &amp; Numerical Data];Male;Marijuana Abuse;Narcotics;*Physician Impairment/sn Statistics &amp; Numerical Data];Sex Factors;Smoking;Street Drugs;*Substance-Related Disorders/ep Epidemiology];Surveys and Questionnaires;United States/ep Epidemiology];0 (Narcotics);0 (Street Drugs)</t>
  </si>
  <si>
    <t>A national survey was conducted to determine patterns of drug use among 3000 American resident physicians. Sixty percent (1785) of the residents surveyed responded. This report evaluates the prevalence of drug use among the respondents, when they initiated drug use, and their reasons for current use. Substance use rates are compared with other studies of resident physicians and with a sample of their nonphysician age peers surveyed the same year. Heavy substance use patterns were not observed among resident physicians. They had significantly lower rates of use for most psychoactive substances than their peers in the general population but did report higher rates of past-month use of alcohol and benzodiazepines. A sizable minority began using benzodiazepines and prescription opiates during their residency years-the stage in physicians' training when they first receive prescribing privileges. Current users of benzodiazepines and opiates used these drugs primarily for self-treatment rather than recreation. These two substances are often associated with impairment at later stages in the physician's career.</t>
  </si>
  <si>
    <t>J2: Jama; Hughes, P H Conard, S E Baldwin, D C Jr Storr, C L Sheehan, D V Comment in: JAMA. 1991 Apr 24;265(16):2110-1; PMID: 2013931 Comment in: JAMA. 1991 Sep 18;266(11):1512-4; PMID: 1880882; ID: 1321</t>
  </si>
  <si>
    <t>Hughes, P H. Department of Psychiatry and Behavioral Medicine, University of South Florida, Tampa 33613.</t>
  </si>
  <si>
    <t>http://ovidsp.ovid.com/ovidweb.cgi?T=JS&amp;CSC=Y&amp;NEWS=N&amp;PAGE=fulltext&amp;D=med3&amp;AN=2013925</t>
  </si>
  <si>
    <t>MEDLINE; Ovid Technologies; Resident physician substance use in the United States</t>
  </si>
  <si>
    <t>Hughes,P. H.;Storr,C.;Baldwin,D. C., J.;Williams,K. M.;Conard,S.;Sheehan,D.</t>
  </si>
  <si>
    <t>Patterns of substance use in the medical profession</t>
  </si>
  <si>
    <t>Maryland Medical Journal</t>
  </si>
  <si>
    <t>Adult;Alcoholism/ep Epidemiology];Amphetamines;Cannabis;Cocaine;Female;Humans;Internship and Residency;Male;*Physician Impairment/sn Statistics &amp; Numerical Data];Smoking/ep Epidemiology];Students, Medical;*Substance-Related Disorders/ep Epidemiology];United States/ep Epidemiology];0 (Amphetamines);I5Y540LHVR (Cocaine)</t>
  </si>
  <si>
    <t>National drug use surveys of medical students and resident physicians in 1987 found that medical school was not a time when students began to use drugs, nor was it a time when they engaged in heavy use. Medical students and resident physicians reported lower rates of illicit drug use than their age and gender counterparts. Although males generally were more likely to use substances than females, young male and female physicians resembled one another in their current rates of substance use more than they resembled their gender counterparts in society.</t>
  </si>
  <si>
    <t>J2: Md Med J; Hughes, P H Storr, C Baldwin, D C Jr Williams, K M Conard, S Sheehan, D Comment in: Md Med J. 1992 Apr;41(4):284; PMID: 1569833; ID: 1290</t>
  </si>
  <si>
    <t>0886-0572</t>
  </si>
  <si>
    <t>Hughes, P H. Institute for Research in Psychiatry, University of South Florida College of Medicine, Tampa.</t>
  </si>
  <si>
    <t>http://ovidsp.ovid.com/ovidweb.cgi?T=JS&amp;CSC=Y&amp;NEWS=N&amp;PAGE=fulltext&amp;D=med3&amp;AN=1569839</t>
  </si>
  <si>
    <t>MEDLINE; Ovid Technologies; Patterns of substance use in the medical profession</t>
  </si>
  <si>
    <t>Humair,J. P.;Cornuz,J.</t>
  </si>
  <si>
    <t>A new curriculum using active learning methods and standardized patients to train residents in smoking cessation</t>
  </si>
  <si>
    <t>*Counseling/mt Methods];*Curriculum;*Education, Medical, Graduate/mt Methods];Educational Measurement;Female;Humans;Male;Patient Simulation;*Problem-Based Learning;*Smoking Cessation</t>
  </si>
  <si>
    <t>Physicians can play a key role in smoking cessation but often fail to advise smokers effectively, mainly because they lack counseling skills. We need effective training programs starting during residency to improve physicians' smoking cessation interventions and smokers' quit rates. To achieve this goal, we developed a curriculum using active learning methods and the stages-of-change model. A randomized trial demonstrated that this program increased the quality of physician's counseling and smokers' quit rates at 1 year. This paper describes the educational content and methods of this program. Participants learn to assess smokers' stage of change, to use counseling strategies matching the smoker's stage, and to prescribe pharmacological therapy. This 2 half-day training program includes observation of video-clips, interactive workshops, role plays, practice with standardized patients, and written material for physicians and patients. Participants reached learning objectives and appreciated the content and active methods of the program.</t>
  </si>
  <si>
    <t>J2: J Gen Intern Med; Humair, Jean-Paul Cornuz, Jacques; ID: 910</t>
  </si>
  <si>
    <t>Humair, Jean-Paul. Department of Community Medicine, Geneva University Hospital, Geneva, Switzerland. Jean-Paul.Humair@hcuge.ch</t>
  </si>
  <si>
    <t>http://ovidsp.ovid.com/ovidweb.cgi?T=JS&amp;CSC=Y&amp;NEWS=N&amp;PAGE=fulltext&amp;D=med4&amp;AN=14687261</t>
  </si>
  <si>
    <t>MEDLINE; Ovid Technologies; A new curriculum using active learning methods and standardized patients to train residents in smoking cessation</t>
  </si>
  <si>
    <t>Humphreys,K.</t>
  </si>
  <si>
    <t>How to Deliver a More Persuasive Message Regarding Addiction as a Medical Disorder</t>
  </si>
  <si>
    <t>May/Jun</t>
  </si>
  <si>
    <t>*Attitude to Health;*Behavior, Addictive/px Psychology];Behavior, Addictive/th Therapy];Chronic Disease;Crime/px Psychology];Empathy;*Health Education;Humans;*Patient Advocacy;*Professional Role;*Substance-Related Disorders/px Psychology];Substance-Related Disorders/th Therapy];Violence/px Psychology]</t>
  </si>
  <si>
    <t>: Many members of our field are frustrated that the public does not see addiction as a legitimate medical disorder which should be compassionately addressed as a health problem rather than a criminal justice problem. Although some attribute the disconnect to the public's lack of scientific knowledge or attachment to outdated moral views regarding substance use, this commentary suggests that the problem may well be our own messaging. We would be more persuasive if we acknowledged that addiction is different from most medical disorders because of its high negative externalities, and that this understandably makes the public more scared of and angry about addiction than they are about conditions like asthma, type II diabetes, and hypertension. Relatedly, because of the amount of violence and other crimes associated with addiction, we should acknowledge that the public's belief that law enforcement has an important role to play in responding to addiction has a rational basis.</t>
  </si>
  <si>
    <t>J2: J Addict Med; Humphreys, Keith; ID: 25</t>
  </si>
  <si>
    <t>Humphreys, Keith. Veterans Affairs and Stanford University Medical Centers, Menlo Park, CA.</t>
  </si>
  <si>
    <t>http://ovidsp.ovid.com/ovidweb.cgi?T=JS&amp;CSC=Y&amp;NEWS=N&amp;PAGE=fulltext&amp;D=medl&amp;AN=28557959</t>
  </si>
  <si>
    <t>https://dx.doi.org/10.1097/ADM.0000000000000306</t>
  </si>
  <si>
    <t>MEDLINE; Ovid Technologies; How to Deliver a More Persuasive Message Regarding Addiction as a Medical Disorder</t>
  </si>
  <si>
    <t>Hunnekens,H.</t>
  </si>
  <si>
    <t>The drug-dependent adolescent in society]</t>
  </si>
  <si>
    <t>Offentliche Gesundheitswesen</t>
  </si>
  <si>
    <t>Adolescent;Education, Medical, Continuing;Female;Germany, West;Health Education;Humans;Male;Public Health;*Social Adjustment;Social Problems;Substance-Related Disorders/pc Prevention &amp; Control];Substance-Related Disorders/rh Rehabilitation];Substance-Related Disorders/th Therapy];*Substance-Related Disorders</t>
  </si>
  <si>
    <t>J2: Offentl Gesundheitswes; German Hunnekens, H; OP: Der drogenabhangige Jugendliche in der Gesellschaft; ID: 1587</t>
  </si>
  <si>
    <t>0029-8573</t>
  </si>
  <si>
    <t>http://ovidsp.ovid.com/ovidweb.cgi?T=JS&amp;CSC=Y&amp;NEWS=N&amp;PAGE=fulltext&amp;D=med1&amp;AN=4259776</t>
  </si>
  <si>
    <t>MEDLINE; Ovid Technologies; [The drug-dependent adolescent in society]</t>
  </si>
  <si>
    <t>Hutchinson,E.;Catlin,M.;Andrilla,C. H.;Baldwin,L. M.;Rosenblatt,R. A.</t>
  </si>
  <si>
    <t>Barriers to primary care physicians prescribing buprenorphine</t>
  </si>
  <si>
    <t>Annals of Family Medicine</t>
  </si>
  <si>
    <t>Adult;Aged;Aged, 80 and over;*Buprenorphine/tu Therapeutic Use];Female;Humans;Male;Middle Aged;*Narcotic Antagonists/tu Therapeutic Use];*Opioid-Related Disorders/dt Drug Therapy];*Practice Patterns, Physicians'/sn Statistics &amp; Numerical Data];*Primary Health Care;Washington;0 (Narcotic Antagonists);40D3SCR4GZ (Buprenorphine)</t>
  </si>
  <si>
    <t>PURPOSE: Despite the efficacy of buprenorphine-naloxone for the treatment of opioid use disorders, few physicians in Washington State use this clinical tool. To address the acute need for this service, a Rural Opioid Addiction Management Project trained 120 Washington physicians in 2010-2011 to use buprenorphine. We conducted this study to determine what proportion of those trained physicians began prescribing this treatment and identify barriers to incorporating this approach into outpatient practice. METHODS: We interviewed 92 of 120 physicians (77%), obtaining demographic information, current prescribing status, clinic characteristics, and barriers to prescribing buprenorphine. Residents and 7 physicians who were prescribing buprenorphine at the time of the course were excluded from the study. We analyzed the responses of the 78 remaining respondents. RESULTS: Almost all respondents reported positive attitudes toward buprenorphine, but only 22 (28%) reported prescribing buprenorphine. Most (95%, n = 21) new prescribers were family physicians. Physicians who prescribed buprenorphine were more likely to have partners who had received a waiver to prescribe buprenorphine. A lack of institutional support was associated with not prescribing the medication (P = .04). A lack of mental health and psychosocial support was the most frequently cited barrier by both those who prescribe and who do not prescribe buprenorphine. CONCLUSION: Interventions before and after training are needed to increase the number of physicians who offer buprenorphine for treatment of addiction. Targeting physicians in clinics that agree in advance to institute services, coupled with technical assistance after they have completed their training, their clinical teams, and their administrations is likely to help more physicians become active providers of this highly effective outpatient treatment.</t>
  </si>
  <si>
    <t>J2: Ann Fam Med; Hutchinson, Eliza Catlin, Mary Andrilla, C Holly A Baldwin, Laura-Mae Rosenblatt, Roger A; ID: 272</t>
  </si>
  <si>
    <t>1544-1717</t>
  </si>
  <si>
    <t>Hutchinson, Eliza. University of Washington, Department of Family Medicine, Research Section, Seattle, Washington.</t>
  </si>
  <si>
    <t>http://ovidsp.ovid.com/ovidweb.cgi?T=JS&amp;CSC=Y&amp;NEWS=N&amp;PAGE=fulltext&amp;D=med8&amp;AN=24615308</t>
  </si>
  <si>
    <t>https://dx.doi.org/10.1370/afm.1595</t>
  </si>
  <si>
    <t>MEDLINE; Ovid Technologies; Barriers to primary care physicians prescribing buprenorphine</t>
  </si>
  <si>
    <t>Hyde,G. L.;Wolf,J.</t>
  </si>
  <si>
    <t>Alcohol and drug use by surgery residents</t>
  </si>
  <si>
    <t>Journal of the American College of Surgeons</t>
  </si>
  <si>
    <t>J.Am.Coll.Surg.</t>
  </si>
  <si>
    <t>Adult;*Alcohol Drinking/ep Epidemiology];Cocaine;Female;*General Surgery/ed Education];Humans;*Internship and Residency;Male;Physician Impairment;*Substance-Related Disorders/ep Epidemiology];Surveys and Questionnaires;United States;I5Y540LHVR (Cocaine)</t>
  </si>
  <si>
    <t>BACKGROUND: Although the use of alcohol and drugs by surgery residents is of concern, no large-scale studies of this specific population exist. STUDY DESIGN: A one-page, 36-item questionnaire on frequency of use of alcohol and drugs was administered to residents at the conclusion of the American Board of Surgery In-Service Examination. RESULTS: The survey showed that the use of drugs by surgery residents is relatively low when compared to drug use by other physicians. However, alcohol abuse continues to be a problem, and alcohol is the drug of choice of most residents. Cocaine used by surgery residents is generally obtained from hospital sources. CONCLUSIONS: Despite the optimistic findings of the survey, the authors advocate the following: Implementation of educational programs to prevent potential abuse of alcohol and drugs, and establishment of tighter controls on cocaine or use of a cocaine substitute for patient care.</t>
  </si>
  <si>
    <t>J2: J Am Coll Surg; Hyde, G L Wolf, J; ID: 1191</t>
  </si>
  <si>
    <t>1072-7515</t>
  </si>
  <si>
    <t>Hyde, G L. Department of Surgery, University of Kentucky, Lexington, USA.</t>
  </si>
  <si>
    <t>http://ovidsp.ovid.com/ovidweb.cgi?T=JS&amp;CSC=Y&amp;NEWS=N&amp;PAGE=fulltext&amp;D=med3&amp;AN=7599762</t>
  </si>
  <si>
    <t>MEDLINE; Ovid Technologies; Alcohol and drug use by surgery residents</t>
  </si>
  <si>
    <t>Hymowitz,N.</t>
  </si>
  <si>
    <t>Pediatric residency training on tobacco: review and critique of the literature</t>
  </si>
  <si>
    <t>*Curriculum;Humans;*Internship and Residency;*Pediatrics/ed Education];*Smoking Prevention;*Tobacco Use Disorder</t>
  </si>
  <si>
    <t>OBJECTIVE: To review and critique the research literature on training pediatric residents to address tobacco. METHODS: A Medline search was conducted to identify studies that specifically addressed pediatric residency training on tobacco, and Google Scholar was used to identify articles in which the referenced study was cited. RESULTS: Eight studies that specifically addressed training pediatric residents to intervene on tobacco were identified. Most used active as well as passive approaches to training. Baseline data underscored the importance of training future pediatricians to address tobacco. Although the studies differed in size, scope and rigor, they showed that training pediatric residents to address tobacco enhanced residents' ability and likelihood to address tobacco. CONCLUSION: The review documents the importance and value of training pediatric residents to address tobacco, provides suggestions for future research and underscores the need to incorporate training on tobacco into pediatric residency training curriculum. References: 73]</t>
  </si>
  <si>
    <t>J2: J Natl Med Assoc; Hymowitz, Norman; ID: 799</t>
  </si>
  <si>
    <t>Hymowitz, Norman. Department of Psychiatry, University of Medicine and Dentistry of New Jersey, New Jersey Medical School, Nework, NJ 07103, USA. hymowitz@umdnj.edu</t>
  </si>
  <si>
    <t>http://ovidsp.ovid.com/ovidweb.cgi?T=JS&amp;CSC=Y&amp;NEWS=N&amp;PAGE=fulltext&amp;D=med5&amp;AN=17019917</t>
  </si>
  <si>
    <t>MEDLINE; Ovid Technologies; Pediatric residency training on tobacco: review and critique of the literature</t>
  </si>
  <si>
    <t>Hymowitz,N.;Pyle,S. A.;Haddock,C. K.;Schwab,J. V.</t>
  </si>
  <si>
    <t>The pediatric residency training on tobacco project: four-year parent outcome findings</t>
  </si>
  <si>
    <t>Adult;Child;Child, Preschool;Female;Health Surveys;Humans;Infant;*Internship and Residency;Male;New Jersey/ep Epidemiology];New York/ep Epidemiology];*Outcome Assessment (Health Care);*Parents;*Pediatrics/ed Education];*Smoking/ep Epidemiology];Smoking Cessation;Tobacco Smoke Pollution/pc Prevention &amp; Control];0 (Tobacco Smoke Pollution)</t>
  </si>
  <si>
    <t>OBJECTIVE: To assess parent behavioral change and perception of resident intervention on tobacco. METHODS: In a long-term study of the efficacy of training pediatric residents to address tobacco conducted at the New Jersey Medical School, sixteen pediatric training programs were assigned randomly to either special or standard training conditions. Parent surveys were administered in the fall of 2001 and 2005 in order to assess the effects of resident intervention on parent behavior, as well as parent perceptions of resident intervention. RESULTS: The percent of parents who smoke at sites associated with the special training condition, but not of those at sites associated with standard training, who reported that residents advised them to stop smoking, offered to help them quit, and provided quit smoking materials increased significantly from baseline to year 4. The percent of parents in the special training condition who reported quitting smoking in the past year also increased, although the increase was not statistically significant. A majority of the parents associated with each training condition reported receiving intervention for second hand smoke (SHS). For each training condition, the level of intervention to prevent exposure of infants and children to SHS exposure was similar at baseline and year 4, as was the percent of parents who reported having a smoke-free household. CONCLUSION: The results support the efficacy of the special training program and underscore the importance of preparing pediatric residents to address tobacco.</t>
  </si>
  <si>
    <t>J2: Prev Med; Hymowitz, Norman Pyle, Sara A Haddock, C Keith Schwab, Joseph V; ID: 672</t>
  </si>
  <si>
    <t>Hymowitz, Norman. Department of Psychiatry, UMDNJ-New Jersey Medical School, Behavioral Health Sciences Building F-1534, 183 South Orange Avenue, Newark, NJ 07103, USA. hymowitz@umdnj.edu</t>
  </si>
  <si>
    <t>http://ovidsp.ovid.com/ovidweb.cgi?T=JS&amp;CSC=Y&amp;NEWS=N&amp;PAGE=fulltext&amp;D=med6&amp;AN=18585771</t>
  </si>
  <si>
    <t>https://dx.doi.org/10.1016/j.ypmed.2008.05.011</t>
  </si>
  <si>
    <t>MEDLINE; Ovid Technologies; The pediatric residency training on tobacco project: four-year parent outcome findings</t>
  </si>
  <si>
    <t>Hymowitz,N.;Schwab,J.;Eckholdt,H.</t>
  </si>
  <si>
    <t>Pediatric residency training on tobacco</t>
  </si>
  <si>
    <t>E8</t>
  </si>
  <si>
    <t>Adolescent;Child;Female;Health Behavior;*Health Education;Humans;*Internship and Residency/st Standards];Logistic Models;Male;New Jersey;Parents/ed Education];*Patient Education as Topic;*Pediatrics/ed Education];*Physician's Role;Prevalence;*Smoking Cessation;*Smoking Prevention;Surveys and Questionnaires;Tobacco Smoke Pollution/pc Prevention &amp; Control];0 (Tobacco Smoke Pollution)</t>
  </si>
  <si>
    <t>OBJECTIVE: Pediatricians have a unique role to play in the antismoking arena. However, few pediatric residency training programs prepare residents to meet the tobacco challenge. This study evaluates the effects of a comprehensive pediatric residency training program on tobacco on resident tobacco intervention behaviors, as well as on changes in the behavior of patients and their parents/guardians. METHODS: Pediatric residents were exposed to a comprehensive training program on tobacco. Baseline and follow-up surveys of residents, parents/guardians, and patients were used to assess the effects of the training program. A quasi-experimental design permitted unambiguous evaluation of the program's effects on resident intervention behaviors. RESULTS: The comprehensive training program on tobacco led to marked and significant changes in resident intervention on tobacco. Many of these changes were supported by parents' and patients' reports. In turn, resident intervention on tobacco led to a significant increase in the likelihood that parents would maintain a "smoke-free household." Significant changes in the prevalence of parental smoking were not found, although the trend during 3 years of follow-up was in the desired direction. A high proportion of residents reported that they intervened on tobacco in patients at baseline and follow-up, but too few patients were sampled to permit analysis of the impact on changes in smoking. CONCLUSIONS: Comprehensive training on tobacco had a positive and powerful effect on the tobacco intervention behavior of pediatric residents. In turn, intervention on tobacco by pediatric residents may have a significant impact on patients and their parents. These findings underscore the efficacy of pediatric residency training on tobacco, and it is hoped that they will serve as an impetus for other pediatric residency programs to introduce training on tobacco.</t>
  </si>
  <si>
    <t>J2: Pediatrics; Hymowitz, N Schwab, J Eckholdt, H; ID: 998</t>
  </si>
  <si>
    <t>Hymowitz, N. Department of Psychiatry, University of Medicine and Dentistry of New Jersey, New Jersey Medical School, USA.</t>
  </si>
  <si>
    <t>http://ovidsp.ovid.com/ovidweb.cgi?T=JS&amp;CSC=Y&amp;NEWS=N&amp;PAGE=fulltext&amp;D=med4&amp;AN=11433087</t>
  </si>
  <si>
    <t>MEDLINE; Ovid Technologies; Pediatric residency training on tobacco</t>
  </si>
  <si>
    <t>Pediatric residency training on tobacco: training director tobacco survey</t>
  </si>
  <si>
    <t>*Attitude of Health Personnel;Female;Humans;*Internship and Residency;Male;Middle Aged;*Pediatrics/ed Education];Physician Executives;*Smoking Prevention;Surveys and Questionnaires</t>
  </si>
  <si>
    <t>BACKGROUND: Statements from the American Academy of Pediatrics encourage pediatricians to address tobacco. However, most fail to do so and little is known about the preparation to intervene on tobacco they receive during residency training. METHODS: The Pediatric Residency Training Director Tobacco Survey was mailed to all pediatric residency training directors in the United States. The survey assessed the nature of training and supervision on tobacco, barriers to training, and factors that influence the inclusion of tobacco in the residency training curriculum. RESULTS: Seventy percent of the training directors returned the surveys. Relatively few offered training/supervision on tobacco on a formal basis. Training directors were reluctant to treat parents who smoke, were skeptical about third party payer reimbursement, and did not believe that office-based interventions for treating tobacco use among patients were effective. Key barriers to training were competing priorities, lack of training resources, and lack of faculty with expertise on tobacco. CONCLUSION: Residency training is an excellent time to train future pediatricians to intervene on tobacco, but too few pediatric training programs have taken up this charge. Much needs to be done to correct this situation and to prepare future pediatricians to meet the tobacco challenge.</t>
  </si>
  <si>
    <t>J2: Prev Med; Hymowitz, N Schwab, J Eckholdt, H; ID: 992</t>
  </si>
  <si>
    <t>Hymowitz, N. Department of Psychiatry, New Jersey Medical School, Newark, NJ 07103, USA. Hymowitz@umdnj.edu</t>
  </si>
  <si>
    <t>http://ovidsp.ovid.com/ovidweb.cgi?T=JS&amp;CSC=Y&amp;NEWS=N&amp;PAGE=fulltext&amp;D=med4&amp;AN=11716668</t>
  </si>
  <si>
    <t>MEDLINE; Ovid Technologies; Pediatric residency training on tobacco: training director tobacco survey</t>
  </si>
  <si>
    <t>Hymowitz,N.;Schwab,J.;Haddock,C. K.;Burd,K. M.;Pyle,S.</t>
  </si>
  <si>
    <t>The Pediatric Residency Training on Tobacco Project: baseline findings from the resident tobacco survey and observed structured clinical examinations</t>
  </si>
  <si>
    <t>Adolescent;Adult;Attitude of Health Personnel;Child;*Clinical Competence;*Computer-Assisted Instruction;Curriculum;Education, Medical, Graduate;Female;Humans;*Internship and Residency;Male;Pediatrics/ed Education];Prospective Studies;*Smoking Cessation/mt Methods];*Smoking Prevention;Tobacco/ae Adverse Effects];United States</t>
  </si>
  <si>
    <t>BACKGROUND: Residency training is an ideal time to prepare pediatricians to address tobacco, although few programs provide the necessary training. Barriers to training include competing priorities, lack of resources, and unavailability of expertise. Solutions for Smoking, a hybrid CD-ROM and web site training program for pediatric residents, may enable training directors to overcome these barriers and to include training on tobacco in their curriculum. The Pediatric Residency Training on Tobacco Project is a 4-year randomized prospective study that compares the effectiveness of a special training program, with Solutions for Smoking as the main teaching tool, to a standard training program in 15 pediatric residency-training programs. METHODS: Fifteen pediatric residency-training programs were assigned randomly to special and standard training conditions. Evaluation instruments include baseline and follow-up resident tobacco surveys and observed structured clinical examinations (OSCEs), patient tobacco surveys, and parent or guardian tobacco surveys. RESULTS: The present report describes the Pediatric Residency Training on Tobacco Project, the special and standard training conditions, and Solutions for Smoking, a hybrid CD-ROM and web site training program on tobacco for pediatric residents. Data from the baseline resident tobacco survey and OSCEs also are presented. While residents believed that pediatricians should play a leadership role in tobacco prevention and control, few had formal training in tobacco intervention, most were skeptical about the efficacy of intervention, and they were more likely to ask about tobacco and advise change than to help patients and parents to modify their behavior. CONCLUSIONS: The baseline findings underscore the importance of the proposed research, and the special training program may serve as a useful model for training pediatric residents to address tobacco in the future.</t>
  </si>
  <si>
    <t>J2: Prev Med; Hymowitz, Norman Schwab, Joseph Haddock, Christopher Keith Burd, Karen M Pyle, Sara; ID: 878</t>
  </si>
  <si>
    <t>Hymowitz, Norman. Department of Psychiatry, UMDNJ-New Jersey Medical School, Newark, NJ 07103, USA. hymowitz@umdnj.edu</t>
  </si>
  <si>
    <t>http://ovidsp.ovid.com/ovidweb.cgi?T=JS&amp;CSC=Y&amp;NEWS=N&amp;PAGE=fulltext&amp;D=med5&amp;AN=15313090</t>
  </si>
  <si>
    <t>MEDLINE; Ovid Technologies; The Pediatric Residency Training on Tobacco Project: baseline findings from the resident tobacco survey and observed structured clinical examinations</t>
  </si>
  <si>
    <t>Hymowitz,N.;Schwab,J.;Haddock,C. K.;Pyle,S.;Meshberg,S.</t>
  </si>
  <si>
    <t>The pediatric resident training on tobacco project: interim findings</t>
  </si>
  <si>
    <t>Adolescent;*Attitude of Health Personnel;Child;Clinical Competence;Educational Measurement;Humans;*Internship and Residency/st Standards];New Jersey;New York;*Pediatrics/ed Education];*Program Evaluation;*Smoking Cessation/mt Methods];Smoking Cessation/sn Statistics &amp; Numerical Data];*Tobacco Use Disorder/pc Prevention &amp; Control]</t>
  </si>
  <si>
    <t>OBJECTIVES: The Pediatric Residency Training on Tobacco Project is a four-year randomized prospective study of the efficacy of training pediatric residents to intervene on tobacco. At the start of the study (baseline), the pediatric residents uniformly agreed that environmental tobacco smoke (ETS) and tobacco use pose serious threats to the health of young people, and pediatricians should play a leadership role in the antismoking arena. However, very few went beyond advising patients and parents to modify their behavior by providing actual assistance, and many of them lacked necessary tobacco intervention skills and knowledge. We hypothesized that both standard training and special training programs would yield positive changes in intervention skills and activities, although the changes would be greater in residents exposed to the special training condition. In the present report, we present two-year outcome data from the resident tobacco surveys and objective structured clinical examinations (OSCEs) administered to independent waves of third-year residents in each experimental condition at baseline and year 2. METHODS: Fifteen pediatric residency training programs in the New York/New Jersey metropolitan area were assigned randomly to special and standard training conditions (eight to special and seven to standard training). Resident tobacco surveys and OSCEs were administered to third-year residents at the start of the training programs (baseline) and at years 1 and 2 of the study. Comparisons between sequential waves of third-year residents with no (baseline) or two-year exposure to the training programs permitted assessment of changes in resident beliefs, intervention activities and intervention skills within each experimental condition. RESULTS: By year 2, the residents associated with each training condition benefited from the training program, but the annual surveys and OSCEs revealed more significant positive changes for waves of residents in the special training condition. Most important, third-year residents exposed to the special training condition for two years were more likely than comparable residents in the standard training condition to reveal significant increases in the degree to which they provided active assistance for modifying smoking and ETS. CONCLUSIONS: The two-year findings from the pediatric tobacco project are encouraging and suggest that the special training program is efficacious, although aspects of the program in need of improvement were identified.</t>
  </si>
  <si>
    <t>J2: J Natl Med Assoc; Hymowitz, Norman Schwab, Joseph Haddock, Christopher Keith Pyle, Sara Meshberg, Sarah; ID: 818</t>
  </si>
  <si>
    <t>http://ovidsp.ovid.com/ovidweb.cgi?T=JS&amp;CSC=Y&amp;NEWS=N&amp;PAGE=fulltext&amp;D=med5&amp;AN=16708505</t>
  </si>
  <si>
    <t>MEDLINE; Ovid Technologies; The pediatric resident training on tobacco project: interim findings</t>
  </si>
  <si>
    <t>Hymowitz,N.;Schwab,J.;Haddock,Ck;Pyle,S.;Moore,G.;Meshberg,S.</t>
  </si>
  <si>
    <t>The pediatric resident training on tobacco project: baseline findings from the Parent/Guardian Tobacco Survey</t>
  </si>
  <si>
    <t>Adult;Attitude of Health Personnel;Child, Preschool;*Clinical Competence;*Education, Medical, Graduate/mt Methods];Female;Humans;Infant;Infant, Newborn;Internship and Residency;Male;Needs Assessment;Pediatrics/ed Education];Practice Patterns, Physicians';Sensitivity and Specificity;Smoking/ep Epidemiology];*Smoking/px Psychology];*Smoking Cessation/sn Statistics &amp; Numerical Data];*Smoking Prevention;United States</t>
  </si>
  <si>
    <t>BACKGROUND: Pediatricians have an important and unique role to play in the anti-tobacco arena. They may prevent relapse to smoking in women who stopped smoking during pregnancy, encourage parents to protect infants and young children from environmental tobacco smoke (ETS), prevent the onset of smoking in children and adolescents, and help patients and parents who smoke or use other forms of tobacco to quit. Unfortunately, few pediatricians intervene on tobacco use or ETS, and few pediatric residency training programs prepare residents to address tobacco. The Pediatric Residency Training on Tobacco Project is a 4-year randomized prospective study of the effectiveness of training pediatric residents to intervene on tobacco in patients and parents. In this paper, we present findings from the Baseline Parent/Guardian Tobacco Survey. METHODS: Fifteen pediatric residency training programs participated in the Pediatric Residency Training on Tobacco Project, and they were assigned randomly to special and standard training conditions. The Baseline Parent/Guardian Tobacco Survey was administered to 1770 participants, a minimum of 100 from each site. The Parent/Guardian Survey was designed to describe the population under study. It addressed demographic information, family tobacco use, rules concerning smoking in the home and elsewhere, smoking behavior and beliefs, and parent/guardian reports of resident intervention on tobacco. Data analyses described the population served by Continuity Clinics associated with the pediatric residency training programs and determined the degree to which residents addressed tobacco in parents/guardians. RESULTS: The parents/guardians were primarily low-income African American and Hispanic females. Approximately 20% reported that they smoked cigarettes, and about 60% prohibited smoking in their home. Seventy percent of the parents reported that the resident asked about cigarette smoking, and about half indicated that the resident talked with them about ETS. However, only about 10% of the smokers stated that the doctor offered to help them stop smoking, and just 25% of all parents/guardians indicated that the doctor offered to help them stop exposing their children to ETS in the home or elsewhere. CONCLUSIONS: Parents of children brought to Continuity Clinic may benefit from advice and assistance on quitting cigarette smoking and protecting their children from ETS. While pediatric residents offer advice and encouragement, few provide the assistance parents require. These findings underscore the importance of training pediatric residents to address tobacco with the parents/guardians of the patients they serve.</t>
  </si>
  <si>
    <t>J2: Prev Med; Hymowitz, Norman Schwab, Joseph Haddock, Christopher keith Pyle, Sara Moore, Glenisha Meshberg, Sarah; ID: 852</t>
  </si>
  <si>
    <t>http://ovidsp.ovid.com/ovidweb.cgi?T=JS&amp;CSC=Y&amp;NEWS=N&amp;PAGE=fulltext&amp;D=med5&amp;AN=15917030</t>
  </si>
  <si>
    <t>MEDLINE; Ovid Technologies; The pediatric resident training on tobacco project: baseline findings from the Parent/Guardian Tobacco Survey</t>
  </si>
  <si>
    <t>Hymowitz,N.;Schwab,J.;Keith Haddock,C.;Pyle,S.;Meshberg,S.</t>
  </si>
  <si>
    <t>The pediatric residency training on tobacco project: baseline findings from the patient tobacco survey</t>
  </si>
  <si>
    <t>Adolescent;Adult;Attitude of Health Personnel;Child;Clinical Competence;Female;Follow-Up Studies;Health Behavior;Health Knowledge, Attitudes, Practice;Humans;*Internship and Residency/mt Methods];Male;Patient Participation;*Pediatrics/ed Education];*Physician-Patient Relations;Probability;Prospective Studies;Risk-Taking;Smoking/px Psychology];*Smoking Cessation/mt Methods];*Smoking Prevention;*Total Quality Management;United States</t>
  </si>
  <si>
    <t>BACKGROUND: Few pediatricians address tobacco in the patients they treat, and pediatric residency training programs are not preparing them to meet the tobacco challenge. The Pediatric Residency Training on Tobacco Project is a 4-year randomized prospective study of the effectiveness of training pediatric residents to intervene on tobacco in patients and parents. In the present report, we present findings from the Baseline Patient Tobacco Survey. METHODS: Fifteen pediatric residency-training programs were assigned randomly to Special and Standard Training Conditions. The Baseline Patient Tobacco Survey, which was administered to a representative sample of patients, ages 12-21, at the start of the study, addressed background characteristics, family and peer smoking behavior, rules about smoking in the home and elsewhere, patient smoking behavior, attitudes towards quitting, other forms of tobacco use, knowledge and beliefs about smoking, and resident intervention on tobacco. RESULTS: Patients associated with the Special and Standard Training sites were similar with respect to demographic characteristics, smoking behavior, attitudes and knowledge, and receipt of resident intervention on ETS, prevention of smoking onset, and smoking cessation. About 60% of the patients indicated that their resident asked about smoking, 44% indicated their resident talked with them about not starting to smoke, and 23% of the current smokers indicated that their resident offered to help them stop smoking. CONCLUSION: The findings from the Baseline Patient Tobacco Survey describe the characteristics of the population under study, indicate that the two experimental groups were similar at the start of the program, and underscore the need to prepare pediatric residents to address tobacco.</t>
  </si>
  <si>
    <t>J2: Prev Med; Hymowitz, Norman Schwab, Joseph Keith Haddock, Christopher Pyle, Sara Meshberg, Sarah; ID: 853</t>
  </si>
  <si>
    <t>Hymowitz, Norman. Department of Psychiatry, UMDNJ-New Jersey Medical School, Behavioral Health Sciences Building, Room F 1510, 183 South Orange Avenue, Newark, NJ 07103, USA. hymowitz@umdnj.edu</t>
  </si>
  <si>
    <t>http://ovidsp.ovid.com/ovidweb.cgi?T=JS&amp;CSC=Y&amp;NEWS=N&amp;PAGE=fulltext&amp;D=med5&amp;AN=15917007</t>
  </si>
  <si>
    <t>MEDLINE; Ovid Technologies; The pediatric residency training on tobacco project: baseline findings from the patient tobacco survey</t>
  </si>
  <si>
    <t>Hymowitz,N.;Schwab,J. V.</t>
  </si>
  <si>
    <t>Pediatric residency training director tobacco survey II</t>
  </si>
  <si>
    <t>Attitude of Health Personnel;*Curriculum;Female;Health Care Surveys;Humans;*Internship and Residency/mt Methods];Internship and Residency/og Organization &amp; Administration];Male;Middle Aged;*Pediatrics/ed Education];Physician's Role;Smoking/ae Adverse Effects];*Smoking/th Therapy];Smoking Prevention;Tobacco Smoke Pollution/ae Adverse Effects];Tobacco Smoke Pollution/pc Prevention &amp; Control];*Tobacco Use Cessation;Tobacco Use Disorder/pc Prevention &amp; Control];*Tobacco Use Disorder/th Therapy];United States;0 (Tobacco Smoke Pollution)</t>
  </si>
  <si>
    <t>OBJECTIVE: To assess the current status of pediatric residency training on tobacco use and smoke exposure. METHODS: A nationwide survey of all pediatric residency training directors in the United States was conducted from November 2010 to May 2011 via use of surveymonkey.com. The survey assessed training director characteristics, attitudes and beliefs about pediatricians' role in addressing tobacco control in patients and parents, past training in tobacco use and smoke exposure, inclusion of tobacco control in their training curriculum, and barriers to inclusion. Data are presented as percentages, with chi(2) tests of significance. RESULTS: Sixty-five percent of programs included tobacco control in the curriculum, and training directors who received past training in tobacco prevention and control were significantly more likely to include tobacco use and smoke exposure than those without training. The vast majority of training programs focused on health effects as opposed to intervention, failed to employ active learning to teach tobacco intervention skills, did not evaluate resident tobacco knowledge and skills, and did not encourage use of medications to help parents quit smoking. CONCLUSIONS: Pediatric residency training programs must do more to prepare residents to address tobacco use and smoke exposure. Given the many competing priorities of residency training, there is a need to explore new ways of integrating tobacco control into the 3-year curriculum.</t>
  </si>
  <si>
    <t>J2: Pediatrics; Hymowitz, Norman Schwab, Joseph V; ID: 405</t>
  </si>
  <si>
    <t>Hymowitz, Norman. Department of Psychiatry, University of Medicine and Dentistry of New Jersey-New Jersey Medical School, Behavioral Health Science Building, 183 South Orange Ave, Newark, New Jersey, 07103, USA. hymowitz@umdnj.edu</t>
  </si>
  <si>
    <t>http://ovidsp.ovid.com/ovidweb.cgi?T=JS&amp;CSC=Y&amp;NEWS=N&amp;PAGE=fulltext&amp;D=med7&amp;AN=22966026</t>
  </si>
  <si>
    <t>https://dx.doi.org/10.1542/peds.2011-3570</t>
  </si>
  <si>
    <t>MEDLINE; Ovid Technologies; Pediatric residency training director tobacco survey II</t>
  </si>
  <si>
    <t>Hymowitz,N.;Schwab,J. V.;Haddock,C. K.;Pyle,S. A.;Schwab,L. M.</t>
  </si>
  <si>
    <t>NIHMS36480; The pediatric residency training on tobacco project: four-year resident outcome findings</t>
  </si>
  <si>
    <t>Adult;Attitude of Health Personnel;Curriculum;Female;Humans;*Internship and Residency;Male;New Jersey;New York;*Pediatrics/ed Education];Program Evaluation;*Smoking Cessation;*Smoking Prevention;*Tobacco Smoke Pollution/pc Prevention &amp; Control];0 (Tobacco Smoke Pollution)</t>
  </si>
  <si>
    <t>OBJECTIVE: To evaluate the efficacy of a special program for training pediatric residents to address tobacco. METHODS: In a study conducted at the New Jersey Medical School, sixteen pediatric residency training programs in the New York/New Jersey metropolitan area were assigned randomly to either special or standard training conditions. All of the residents were invited to take part in the training. Only second- and third-year residents participated in data collection activities (baseline and follow-up tobacco surveys and objective structured clinical examinations OSCEs]). Baseline data were collected in the spring of 2001, and follow-up data were collected annually through the spring of 2005. Special training consisted of a hybrid website/CD-ROM training program on tobacco, a seminar series, companion intervention material, and clinic mobilization. Standard training residents participated in the seminar series and utilized standard educational and self-help material. RESULTS: The percent of residents in special training, but not of those in standard training, who provided assistance for modifying environmental tobacco smoke, preventing use, and helping patients and parents stop smoking increased significantly from baseline to year 4 of training, as did the percent who felt prepared to address tobacco. Performance on the OSCEs was consistent with survey outcomes as special training residents revealed mastery of key interviewing and intervention skills. CONCLUSION: The special training program, with Solutions for Smoking as its centerpiece, was found to be effective for training pediatric residents to address tobacco, and it may serve as a model for pediatric residency training programs. Ways of improving the program are discussed.</t>
  </si>
  <si>
    <t>J2: Prev Med; Hymowitz, Norman Schwab, Joseph V Haddock, Christopher Keith Pyle, Sara A Schwab, Lisa M; ID: 703</t>
  </si>
  <si>
    <t>Hymowitz, Norman. Department of Psychiatry, UMDNJ-New Jersey Medical School, Behavioral Health Sciences Building, F1510, 183 South Orange Avenue, Newark, NJ 07103, USA. Hymowitz@umdnj.edu</t>
  </si>
  <si>
    <t>http://ovidsp.ovid.com/ovidweb.cgi?T=JS&amp;CSC=Y&amp;NEWS=N&amp;PAGE=fulltext&amp;D=med5&amp;AN=17707898</t>
  </si>
  <si>
    <t>MEDLINE; Ovid Technologies; The pediatric residency training on tobacco project: four-year resident outcome findings</t>
  </si>
  <si>
    <t>Iannucci,R.;Sanders,K.;Greenfield,S. F.</t>
  </si>
  <si>
    <t>NIHMS205453; A 4-year curriculum on substance use disorders for psychiatry residents</t>
  </si>
  <si>
    <t>Adult;Clinical Competence;Curriculum;Faculty, Medical;Humans;*Internship and Residency;Massachusetts;Psychiatric Department, Hospital;*Psychiatry/ed Education];Specialization;Substance-Related Disorders/di Diagnosis];*Substance-Related Disorders/rh Rehabilitation]</t>
  </si>
  <si>
    <t>OBJECTIVE: The authors describe an addiction psychiatry curriculum integrated in a general psychiatry training program to demonstrate comprehensive and practical approaches to educating general psychiatric residents on the recognition and treatment of substance use disorders. METHODS: The Massachusetts General Hospital/McLean Hospital adult psychiatric residency training program provides training in addiction psychiatry in multiple treatment settings during the 4 years of residency. Addiction specialists, nonspecialty psychiatrists, and residents and fellows provide training. RESULTS: Adult psychiatric residencies can provide comprehensive addiction psychiatry training that spans multiple treatment settings and postgraduate years by training general staff psychiatrists, senior residents, and fellows to assist core addiction faculty in providing addiction psychiatry education. CONCLUSION: Substance use disorders are common among patients presenting to general psychiatry treatment settings, and thus it is important that all psychiatric residents be well trained in the screening, diagnosis, and treatment of outpatients with these problems.</t>
  </si>
  <si>
    <t>J2: Acad Psychiatry; Iannucci, Rocco Sanders, Kathy Greenfield, Shelly F; ID: 637</t>
  </si>
  <si>
    <t>Iannucci, Rocco. Department of Psychiatry, Berkshire Medical Center, Pittsfield, Mass., USA.</t>
  </si>
  <si>
    <t>http://ovidsp.ovid.com/ovidweb.cgi?T=JS&amp;CSC=Y&amp;NEWS=N&amp;PAGE=fulltext&amp;D=med6&amp;AN=19349447</t>
  </si>
  <si>
    <t>https://dx.doi.org/10.1176/appi.ap.33.1.60</t>
  </si>
  <si>
    <t>MEDLINE; Ovid Technologies; A 4-year curriculum on substance use disorders for psychiatry residents</t>
  </si>
  <si>
    <t>Idris,I.</t>
  </si>
  <si>
    <t>Appropriate medical care for persons in detention</t>
  </si>
  <si>
    <t>Medical Journal of Malaysia</t>
  </si>
  <si>
    <t>Med.J.Malaysia</t>
  </si>
  <si>
    <t>58 Suppl A</t>
  </si>
  <si>
    <t>*Delivery of Health Care/st Standards];Humans;Malaysia;*Prisoners</t>
  </si>
  <si>
    <t>The people who are in detention are screened by the Medical Officer of the Prison and if they are found to be unwell, these prisoners will be accommodated in the sickbay and medical treatment will be provided. If their sickness needs further investigations and management, they will be sent to the Government Hospital. If the prisoners are found to have infectious or contagious diseases, steps will be taken to prevent the spread of these diseases to other prisoners in the prison. Prisoners are given time to exercise to maintain good health and their clothing are regularly washed to make sure that they will not contract skin diseases, e.g. scabies, ringworm, etc. The Prison Department since 1989 has increasing numbers of HIV positive prisoners. The Department complies with this problem by sending staff for courses, lectures and seminars so that they will be able to handle these prisoners more efficiently in the prison. When these HIV/AIDS prisoners' condition turns bad, they are usually transferred to a Government Hospital. Another of the Prison Department's prominent medical problem among the prisoners is drug addiction. Staff trained with skill and techniques are counselors for the drug related prisoners. Realizing and in anticipation that the sickbays in the prisons are going to be full of HIV/AIDS prisoners and drug related prisoners, special attention will be given to more allocation to upgrade the sickbays in the prison. White attires will be provided to the sick prisoners in the sickbays so that they will look neat and clean. More doctors, medical assistants and nurses will be employed so that appropriate medical care or rather more appropriate medical care can be provided to the sick prisoners in the prisons. The Prison Department is in the process of privatizing medical care for prisoners in the prison and the Department is also trying to convert some prisons to be medical prisons so that adequate medical care can be given to the sick prisoners. References: 0]</t>
  </si>
  <si>
    <t>J2: Med J Malaysia; Idris, I; ID: 922</t>
  </si>
  <si>
    <t>0300-5283</t>
  </si>
  <si>
    <t>Idris, I. Penang Prison, Malaysia.</t>
  </si>
  <si>
    <t>http://ovidsp.ovid.com/ovidweb.cgi?T=JS&amp;CSC=Y&amp;NEWS=N&amp;PAGE=fulltext&amp;D=med4&amp;AN=14556359</t>
  </si>
  <si>
    <t>MEDLINE; Ovid Technologies; Appropriate medical care for persons in detention</t>
  </si>
  <si>
    <t>Ihezue,U. H.</t>
  </si>
  <si>
    <t>Alcohol and drug taking among medical students at a Nigerian university campus: Part 2. Sociodemographic factors of etiologic significance</t>
  </si>
  <si>
    <t>Adolescent;Adult;Alcoholism/ec Economics];*Alcoholism/et Etiology];Female;Humans;Male;Nigeria;Socioeconomic Factors;*Students, Medical;Substance-Related Disorders/ec Economics];*Substance-Related Disorders/et Etiology]</t>
  </si>
  <si>
    <t>In a survey of Nigerian undergraduate medical students, alcohol and drug users were classified as frequent users, casual users, and nonusers. Place of residence during session and family structure recorded no significant contribution to the development of substance abuse. Male sex, poor performance on examinations, drug taking among close friends and peers, and a family background of lower socioeconomic status emerged as sociodemographic factors correlating positively with the presence of substance abuse. Health education, controlled distribution of drugs and alcohol, stringent regulatory provisions against their use, and a permanent Commission on Substance Abuse with full judicial powers are suggested as measures that may help control the abuse of psychoactive substances and the hazard they pose to public health.</t>
  </si>
  <si>
    <t>J2: J Natl Med Assoc; Ihezue, U H; ID: 1386</t>
  </si>
  <si>
    <t>http://ovidsp.ovid.com/ovidweb.cgi?T=JS&amp;CSC=Y&amp;NEWS=N&amp;PAGE=fulltext&amp;D=med3&amp;AN=3241308</t>
  </si>
  <si>
    <t>MEDLINE; Ovid Technologies; Alcohol and drug taking among medical students at a Nigerian university campus: Part 2. Sociodemographic factors of etiologic significance</t>
  </si>
  <si>
    <t>Iliuk,R. D.;Rybakova,K. V.;Kiselev,A. S.;Krupitskii,E. M.</t>
  </si>
  <si>
    <t>Epidemiology, medical and social features of the addiction to beer and strong alcogol]</t>
  </si>
  <si>
    <t>Adult;Aged;Alcoholic Beverages/sn Statistics &amp; Numerical Data];*Alcoholic Beverages/ut Utilization];*Alcoholics/cl Classification];Alcoholics/px Psychology];Alcoholism/di Diagnosis];*Alcoholism/ep Epidemiology];Beer/sn Statistics &amp; Numerical Data];*Beer/ut Utilization];*Ethanol/ad Administration &amp; Dosage];Female;Health;Humans;Incidence;Male;Mental Health;Middle Aged;Russia/ep Epidemiology];Severity of Illness Index;Social Adjustment;3K9958V90M (Ethanol)</t>
  </si>
  <si>
    <t>The comparative study of the addiction to beer and hard liquor was carried out. Despite of the dramatic increase in the beer consumption in the Russian Federation between 1999 and 2009, the incidence and prevalence of alcohol dependence and alcohol psychoses had decreased. The analysis of preference in alcohol consumption revealed that 90.7% of study participants consumed different types of alcohol beverages: beer and hard liquor. Alcohol addiction caused by the consumption of beer or spirits and wine alone was 1.2% and 8.1%, respectively. Our study of case histories demonstrated that alcohol addiction related predominantly to the beer use was associated with the consumption of smaller doses of pure ethanol, less pronounced abstinent syndrome, less frequent complications, such as the convulsive syndrome and alcoholic psychosis, compared to the addiction to hard liquor. The examination of 106 outpatients with alcohol addiction revealed that patients who preferred hard liquor during the last month consumed more alcohol in terms of pure ethanol. Also, the period of hard drinking was longer and patients had more social, legal, and psychological problems as well as somatic and psychopathological disorders. The higher was the consumption of hard liquor, the severe was the course of alcohol addiction. The least number of biopsychosocial problems was noted in patients who consumed only beer.</t>
  </si>
  <si>
    <t>J2: Zh Nevrol Psikhiatr Im S S Korsakova; Russian Iliuk, R D Rybakova, K V Kiselev, A S Krupitskii, E M; ID: 452</t>
  </si>
  <si>
    <t>http://ovidsp.ovid.com/ovidweb.cgi?T=JS&amp;CSC=Y&amp;NEWS=N&amp;PAGE=fulltext&amp;D=med7&amp;AN=22611690</t>
  </si>
  <si>
    <t>MEDLINE; Ovid Technologies; [Epidemiology, medical and social features of the addiction to beer and strong alcogol]</t>
  </si>
  <si>
    <t>Imura,H.;Kato,Y.;Nakai,Y.;Nakao,K.;Tanaka,I.;Jingami,H.;Koh,T.;Yoshimasa,T.;Tsukada,T.;Suda,M.</t>
  </si>
  <si>
    <t>Endogenous opioids and related peptides: from molecular biology to clinical medicine. The Sir Henry Dale lecture for 1985</t>
  </si>
  <si>
    <t>Journal of Endocrinology</t>
  </si>
  <si>
    <t>J.Endocrinol.</t>
  </si>
  <si>
    <t>Animals;Base Sequence;Cloning, Molecular;Endorphins/me Metabolism];*Endorphins/ph Physiology];Enkephalins/me Metabolism];Enkephalins/pd Pharmacology];Female;Humans;Locomotion/de Drug Effects];Male;*Neurotransmitter Agents/ph Physiology];Pituitary Gland/de Drug Effects];Pituitary Gland/me Metabolism];Protein Conformation;Protein Precursors/me Metabolism];Protein Precursors/pd Pharmacology];RNA, Messenger/me Metabolism];Rats;Sexual Behavior, Animal/de Drug Effects];0 (Endorphins);0 (Enkephalins);0 (Neurotransmitter Agents);0 (Protein Precursors);0 (RNA, Messenger);93443-35-7 (preproenkephalin)</t>
  </si>
  <si>
    <t>Advances in techniques in molecular biology have facilitated the research into endogenous opioids and related peptides in several ways. The organization and expression of genes and the primary structure of three precursor proteins of opioid peptides have been elucidated. These studies predicted the presence of potentially bioactive peptides, which has been confirmed by later studies. Advances in techniques in protein chemistry have helped to elucidate the distribution and molecular forms of endogenous opioids and related peptides in the body, and the processing of precursor proteins. Studies on the function of these peptides have shown a broad spectrum of actions. Leumorphin, a newly identified peptide, has been shown to exhibit unique biological activities. In spite of extensive studies, the physiological and pathophysiological significance of opioid peptide systems are not yet completely understood. This is mainly due to the paucity of our knowledge about opioid receptors. Further studies on the subtypes of opioid receptors will help to elucidate all aspects of the function of endogenous opioids and related peptides.</t>
  </si>
  <si>
    <t>J2: J Endocrinol; Imura, H Kato, Y Nakai, Y Nakao, K Tanaka, I Jingami, H Koh, T Yoshimasa, T Tsukada, T Suda, M; ID: 1455</t>
  </si>
  <si>
    <t>0022-0795</t>
  </si>
  <si>
    <t>http://ovidsp.ovid.com/ovidweb.cgi?T=JS&amp;CSC=Y&amp;NEWS=N&amp;PAGE=fulltext&amp;D=med2&amp;AN=2866221</t>
  </si>
  <si>
    <t>MEDLINE; Ovid Technologies; Endogenous opioids and related peptides: from molecular biology to clinical medicine. The Sir Henry Dale lecture for 1985</t>
  </si>
  <si>
    <t>Inada,K.</t>
  </si>
  <si>
    <t>Knowledge regarding Proper Use Guidelines for Benzodiazepines]</t>
  </si>
  <si>
    <t>Yakugaku Zasshi - Journal of the Pharmaceutical Society of Japan</t>
  </si>
  <si>
    <t>*Anti-Anxiety Agents;*Benzodiazepines/ad Administration &amp; Dosage];Benzodiazepines/ae Adverse Effects];*Benzodiazepines/pd Pharmacology];Education;Education, Medical, Continuing;Education, Pharmacy;*GABA-A Receptor Agonists/ad Administration &amp; Dosage];GABA-A Receptor Agonists/ae Adverse Effects];*GABA-A Receptor Agonists/pd Pharmacology];Hospitals, University;Humans;*Hypnotics and Sedatives;*Patient Medication Knowledge;*Practice Guidelines as Topic;*Prescription Drug Misuse/pc Prevention &amp; Control];Substance-Related Disorders/et Etiology];*Substance-Related Disorders/pc Prevention &amp; Control];Tokyo;0 (Anti-Anxiety Agents);0 (GABA-A Receptor Agonists);0 (Hypnotics and Sedatives);12794-10-4 (Benzodiazepines)</t>
  </si>
  <si>
    <t>Benzodiazepines (BZs) work by agonising gamma-aminobutyric acid (GABA)-BZ-receptor complex and thereby produce sedation and anti-anxiety effects. BZs are commonly used in several clinical areas as hypnotics or anti-anxiety drugs. However, these drugs once supplied by medical institutions often lead to abuse and dependence. Thus it is important for institutions to supply and manage BZs properly. At Tokyo Women's Medical University Hospital educational activities about proper use of BZs are performed by not only medical doctors but also pharmacists. We coordinate distribution of leaflets and run an educational workshop. As a result of these activities, the number of patients receiving BZ prescriptions was reduced. Performing these activities, pharmacists were required to work for patients, doctors, and nurses; they acquired knowledge about BZs such as action mechanisms, efficacy, adverse effects, problems about co-prescription, and methods of discontinuing BZs, as well as information on coping techniques other than medication. The most important point to attend the patients is to answer their anxieties.</t>
  </si>
  <si>
    <t>J2: Yakugaku Zasshi; Inada, Ken; ID: 138</t>
  </si>
  <si>
    <t>1347-5231</t>
  </si>
  <si>
    <t>Inada, Ken. Department of Psychiatry, Tokyo Women's Medical University.</t>
  </si>
  <si>
    <t>http://ovidsp.ovid.com/ovidweb.cgi?T=JS&amp;CSC=Y&amp;NEWS=N&amp;PAGE=fulltext&amp;D=med8&amp;AN=26725671</t>
  </si>
  <si>
    <t>https://dx.doi.org/10.1248/yakushi.15-00228-2</t>
  </si>
  <si>
    <t>MEDLINE; Ovid Technologies; [Knowledge regarding Proper Use Guidelines for Benzodiazepines]</t>
  </si>
  <si>
    <t>Ionescu,C.;Mihaescu,T.;Mihaescu,P.</t>
  </si>
  <si>
    <t>Smoking habits among the teachers of a medical teaching institute]</t>
  </si>
  <si>
    <t>Revista medico-chirurgicala a Societatii de Medici si Naturalisti din Iasi</t>
  </si>
  <si>
    <t>Rev.Med.Chir.Soc.Med.Nat.Iasi.</t>
  </si>
  <si>
    <t>Adult;Attitude to Health;Female;Humans;Male;Middle Aged;Romania;*Schools, Medical;*Smoking;Smoking Prevention;Surveys and Questionnaires;*Teaching/ma Manpower]</t>
  </si>
  <si>
    <t>J2: Rev Med Chir Soc Med Nat Iasi; French Ionescu, C Mihaescu, T Mihaescu, P; OP: L'habitude de fumer chez les enseignants d'un institut superieur d'enseignement medical; ID: 1459</t>
  </si>
  <si>
    <t>0048-7848</t>
  </si>
  <si>
    <t>http://ovidsp.ovid.com/ovidweb.cgi?T=JS&amp;CSC=Y&amp;NEWS=N&amp;PAGE=fulltext&amp;D=med2&amp;AN=6537630</t>
  </si>
  <si>
    <t>MEDLINE; Ovid Technologies; [Smoking habits among the teachers of a medical teaching institute]</t>
  </si>
  <si>
    <t>Isaacson,J. H.;Fleming,M.;Kraus,M.;Kahn,R.;Mundt,M.</t>
  </si>
  <si>
    <t>A national survey of training in substance use disorders in residency programs</t>
  </si>
  <si>
    <t>*Alcoholism/rh Rehabilitation];Curriculum;*Education, Medical;Humans;*Internship and Residency;*Specialization;*Substance-Related Disorders/rh Rehabilitation];United States</t>
  </si>
  <si>
    <t>OBJECTIVE: To determine the amount of formal training in substance use disorders that occurs in selected residency programs and to identify the perceived barriers to such training. METHOD: A national survey was conducted of program directors in emergency medicine, family medicine, internal medicine, obstetrics/gynecology, osteopathic medicine, pediatrics and psychiatry. In 1997, program directors were mailed a brief survey to determine the extent to which required training in substance use disorders occurred and the median number of hours devoted to substance use disorders training. Follow-up telephone surveys were conducted with faculty designated in the survey as responsible for substance-related disorders training to determine type of training and barriers to training. RESULTS: Of 1,831 program directors, 1,183 (64.6%) responded to the brief survey. The percentage of programs with required substance use disorders training ranged from 31.8% in pediatrics to 95.0% in psychiatry, with 56.3% for all programs combined. The median number of curricular hours ranged from 3 (emergency medicine and OB/GYN) to 12 (family medicine). Time was perceived to be the most common barrier to additional training. CONCLUSIONS: Consistent training for all residents in the initial diagnosis and management of substance use disorders has not been achieved. New strategies that integrate into existing residency structures are needed to improve substance use disorders training. Faculty development in substance use disorders and review of current substance use disorders training as part of the residency review process should facilitate this endeavor.</t>
  </si>
  <si>
    <t>J2: J; Isaacson, J H Fleming, M Kraus, M Kahn, R Mundt, M; ID: 1015</t>
  </si>
  <si>
    <t>Isaacson, J H. Department of General Internal Medicine, Cleveland Clinic Foundation, &amp; Ohio State University 44195, USA. isaacs@ccf.org</t>
  </si>
  <si>
    <t>http://ovidsp.ovid.com/ovidweb.cgi?T=JS&amp;CSC=Y&amp;NEWS=N&amp;PAGE=fulltext&amp;D=med4&amp;AN=11188498</t>
  </si>
  <si>
    <t>MEDLINE; Ovid Technologies; A national survey of training in substance use disorders in residency programs</t>
  </si>
  <si>
    <t>Isbister,J. D.</t>
  </si>
  <si>
    <t>Proceedings: The Jack Donovan Memorial Lecture</t>
  </si>
  <si>
    <t>Alcoholism/co Complications];*Alcoholism/rh Rehabilitation];Costs and Cost Analysis;Education, Medical;Financing, Government;Humans;Interprofessional Relations;Legislation, Drug;Substance-Related Disorders/co Complications];*Substance-Related Disorders/rh Rehabilitation];United States</t>
  </si>
  <si>
    <t>J2: Am J Drug Alcohol Abuse; Isbister, J D; ID: 1538</t>
  </si>
  <si>
    <t>http://ovidsp.ovid.com/ovidweb.cgi?T=JS&amp;CSC=Y&amp;NEWS=N&amp;PAGE=fulltext&amp;D=med1&amp;AN=937305</t>
  </si>
  <si>
    <t>MEDLINE; Ovid Technologies; Proceedings: The Jack Donovan Memorial Lecture</t>
  </si>
  <si>
    <t>Ishii,T.;Teramoto,S.;Miyashita,A.;Ishigatsubo,Y.;Kimura,H.;Kuwahira,I.;Ueki,J.;Fukuchi,Y.;Ouchi,Y.;Matsuse,T.</t>
  </si>
  <si>
    <t>Questionnaire on the attitude of the physicians in educating the elderly patients with chronic obstructive pulmonary disease about smoking cessation]</t>
  </si>
  <si>
    <t>Nippon Ronen Igakkai Zasshi - Japanese Journal of Geriatrics</t>
  </si>
  <si>
    <t>Aged;*Attitude of Health Personnel;Female;Humans;Male;*Patient Education as Topic;*Physicians/px Psychology];*Pulmonary Disease, Chronic Obstructive;*Smoking Cessation;Surveys and Questionnaires</t>
  </si>
  <si>
    <t>Smoking status, the extent of recognition of the relationship between smoking and COPD, and actual nature of education for smoking cessation by physicians have not yet been fully elucidated. To investigate perceptions about education for smoking cessation in the elderly by physicians who work in the clinic, questionnaires were sent to the 1,012 physicians who belong to the Yokohama City Medical Association. Of these, 311 respond and their data (31%) were included in the analysis. The questionnaire included questions on the importance of smoking cessation in the elderly, on the perception about the relationship between smoking and various diseases, and actual education for smoking cessation. The smoking status of the physicians themselves was also investigated. The distribution of current smokers, ex-smokers, and non-smokers among the physicians was 13%, 33%, and 54%, respectively. Seventy-five percent of ex-smokers answered that their experience of smoking cessation influenced their patient education for smoking cessation, and 39% of smokers answered that their smoking status did not influence it. Only 53% of the physicians replied that they actually performed education for smoking cessation to the elderly, and 8% of them replied that they hardly perform any or do not perform it. Smoking cessation is thought to be the only way to prevent the development of COPD. However, only a half of physicians recognized the importance of smoking cessation for the treatment and control of COPD in the elderly. In addition, less than one third of physicians perform nicotine replacement therapy for smoking cessation. Enlightenment for physicians should be needed to make them perform education for smoking cessation more aggressively.</t>
  </si>
  <si>
    <t>J2: Nippon Ronen Igakkai Zasshi; Japanese Ishii, Takeo Teramoto, Shinji Miyashita, Akira Ishigatsubo, Yoshiaki Kimura, Hiroshi Kuwahira, Ichiro Ueki, Jun Fukuchi, Yoshinosuke Ouchi, Yasuyoshi Matsuse, Tkeshi; ID: 980</t>
  </si>
  <si>
    <t>0300-9173</t>
  </si>
  <si>
    <t>Ishii, Takeo. Department of Geriatric Medicine, University of Tokyo.</t>
  </si>
  <si>
    <t>http://ovidsp.ovid.com/ovidweb.cgi?T=JS&amp;CSC=Y&amp;NEWS=N&amp;PAGE=fulltext&amp;D=med4&amp;AN=12073594</t>
  </si>
  <si>
    <t>MEDLINE; Ovid Technologies; [Questionnaire on the attitude of the physicians in educating the elderly patients with chronic obstructive pulmonary disease about smoking cessation]</t>
  </si>
  <si>
    <t>Islam,M. M.;McRae,I. S.</t>
  </si>
  <si>
    <t>An inevitable wave of prescription drug monitoring programs in the context of prescription opioids: pros, cons and tensions</t>
  </si>
  <si>
    <t>BMC Pharmacology &amp; Toxicology</t>
  </si>
  <si>
    <t>*Analgesics, Opioid/ad Administration &amp; Dosage];*Drug Monitoring;Humans;0 (Analgesics, Opioid)</t>
  </si>
  <si>
    <t>BACKGROUND: In an effort to control non-medical use and/or medical abuse of prescription drugs, particularly prescription opioids, electronic prescription drug monitoring programs (PDMP) have been introduced in North-American countries, Australia and some parts of Europe. Paradoxically, there are simultaneous pressures to increase opioid prescribing for the benefit of individual patients and to reduce it for the sake of public health, and this pressure warrants a delicate balance of appropriate therapeutic uses of these drugs with the risk of developing dependence. This article discusses pros and cons of PDMP in reducing diversion of prescription opioids, without hampering access to those medications for those with genuine needs, and highlights tensions around PDMP implementation. DISCUSSION: PDMPs may help alleviate diversion, over-prescription and fraudulent prescribing/dispensing; prompt drug treatment referrals; avoid awkward drug urine test; and inform spatial changes in prescribing practices and help designing tailored interventions. Fear of legal retribution, privacy and data security, potential confusion about addiction and pseudo-addiction, and potential undue pressure of detecting misuse/diversion - are the major problems. There are tensions about unintended consequence of excessive regulatory enforcements, corresponding collateral damages particularly about inadequate prescribing for patients with genuine needs, and mandatory consultation requirements of PDMP. SUMMARY: In this era of information technology PDMP is likely to flourish and remain with us for a long time. A clear standard of practice against which physicians' care will be judged may expedite the utilisation of PDMP. In addition, adequate training on addiction and pain management along with public awareness, point-of-supply data entry from pharmacy, point-of-care real-time access to data, increasing access to addiction treatment and appropriate regulatory enforcement preferably through healthcare administration, together, may help remove barriers to PDMP use.</t>
  </si>
  <si>
    <t>J2: BMC Pharmacol Toxicol; Islam, M Mofizul McRae, Ian S; ID: 256</t>
  </si>
  <si>
    <t>2050-6511</t>
  </si>
  <si>
    <t>Islam, M Mofizul. Australian Primary Health Care Research Institute, Australian National University, Building 63, corner of Mills &amp; Eggleston Roads, Canberra, ACTON ACT 0200, Australia. mofizul.islam@anu.edu.au.</t>
  </si>
  <si>
    <t>http://ovidsp.ovid.com/ovidweb.cgi?T=JS&amp;CSC=Y&amp;NEWS=N&amp;PAGE=fulltext&amp;D=med8&amp;AN=25127880</t>
  </si>
  <si>
    <t>https://dx.doi.org/10.1186/2050-6511-15-46</t>
  </si>
  <si>
    <t>MEDLINE; Ovid Technologies; An inevitable wave of prescription drug monitoring programs in the context of prescription opioids: pros, cons and tensions</t>
  </si>
  <si>
    <t>Ismail,M. H.;Ho,N. J.;Lara,N. I.</t>
  </si>
  <si>
    <t>Effect of direct physician involvement on tobacco abstinence rates and other variables affecting participants of a freedom from tobacco class</t>
  </si>
  <si>
    <t>Permanente Journal</t>
  </si>
  <si>
    <t>Adult;California;*Counseling/mt Methods];Female;Health Maintenance Organizations;Humans;Male;Middle Aged;Patient Education as Topic/mt Methods];*Physician's Role;Retrospective Studies;Sex Factors;*Tobacco Use/pc Prevention &amp; Control];*Tobacco Use Cessation/mt Methods]</t>
  </si>
  <si>
    <t>CONTEXT: Kaiser Permanente measures how often tobacco users are offered strategies to quit but not the success of such strategies. OBJECTIVE: To compare tobacco abstinence rates for participants of the Kaiser Permanente Riverside (California) Medical Center's Freedom from Tobacco Class in 2008, before direct physician involvement, and in 2009, after direct physician involvement, and to compare other variables affecting these rates. DESIGN: In a retrospective study, participants were divided into two groups based on year of participation. Data were collected using electronic medical records and phone interviews. MAIN OUTCOME MEASURES: Tobacco use status between both groups at 1, 3, 6, and 12 months after the classes started and within groups by sex, number of classes attended, medication received, and class teacher. RESULTS: The 12-month abstinence rates were 27% in 2008 and 33% in 2009 (p = 0.3). The abstinence rate for men improved from 23% to 38% (2008 vs 2009; p = 0.05), whereas for women it was 30% vs 27% (p = 0.7). Abstinence rates decreased over time for the group as a whole (p &lt; 0.001). Attendance of 6 or more classes was associated with higher abstinence rates. There was no significant impact on abstinence rates due to age, body mass index, class teacher, or medications used. CONCLUSION: Direct physician involvement improved men's but not women's abstinence rates among class participants. The relapse rate was significant over the first year after the class. Further research is needed to study the difference between sexes and the factors affecting relapse.</t>
  </si>
  <si>
    <t>J2: Perm; Ismail, Mohamed H Ho, Ngoc J Lara, Nancy Irazu; ID: 327</t>
  </si>
  <si>
    <t>1552-5775</t>
  </si>
  <si>
    <t>Ismail, Mohamed H. Physician in the Preventive Medicine Department, Kaiser Permanente Riverside Medical Center, CA, USA. mohamed.h.ismail@kp.org</t>
  </si>
  <si>
    <t>http://ovidsp.ovid.com/ovidweb.cgi?T=JS&amp;CSC=Y&amp;NEWS=N&amp;PAGE=fulltext&amp;D=med7&amp;AN=23704836</t>
  </si>
  <si>
    <t>https://dx.doi.org/10.7812/TPP/12-063</t>
  </si>
  <si>
    <t>MEDLINE; Ovid Technologies; Effect of direct physician involvement on tobacco abstinence rates and other variables affecting participants of a freedom from tobacco class</t>
  </si>
  <si>
    <t>Iwarson,S.</t>
  </si>
  <si>
    <t>Do we have antibiotic drug abuse?]</t>
  </si>
  <si>
    <t>*Anti-Bacterial Agents/tu Therapeutic Use];*Bacterial Infections/dt Drug Therapy];Education, Medical, Graduate;Humans;*Substance-Related Disorders;0 (Anti-Bacterial Agents)</t>
  </si>
  <si>
    <t>J2: Lakartidningen; Swedish Iwarson, S; OP: Har vi ett antibiotikamissbruk?; ID: 1528</t>
  </si>
  <si>
    <t>http://ovidsp.ovid.com/ovidweb.cgi?T=JS&amp;CSC=Y&amp;NEWS=N&amp;PAGE=fulltext&amp;D=med1&amp;AN=642643</t>
  </si>
  <si>
    <t>MEDLINE; Ovid Technologies; [Do we have antibiotic drug abuse?]</t>
  </si>
  <si>
    <t>Jackson,A. H.;Alford,D. P.;Dube,C. E.;Saitz,R.</t>
  </si>
  <si>
    <t>Internal medicine residency training for unhealthy alcohol and other drug use: recommendations for curriculum design</t>
  </si>
  <si>
    <t>Alcoholism/di Diagnosis];*Alcoholism;Clinical Competence;*Curriculum;Humans;*Internal Medicine/ed Education];*Internship and Residency;Program Development;Substance-Related Disorders/di Diagnosis];*Substance-Related Disorders</t>
  </si>
  <si>
    <t>BACKGROUND: Unhealthy substance use is the spectrum from use that risks harm, to use associated with problems, to the diagnosable conditions of substance abuse and dependence, often referred to as substance abuse disorders. Despite the prevalence and impact of unhealthy substance use, medical education in this area remains lacking, not providing physicians with the necessary expertise to effectively address one of the most common and costly health conditions. Medical educators have begun to address the need for physician training in unhealthy substance use, and formal curricula have been developed and evaluated, though broad integration into busy residency curricula remains a challenge. DISCUSSION: We review the development of unhealthy substance use related competencies, and describe a curriculum in unhealthy substance use that integrates these competencies into internal medicine resident physician training. We outline strategies to facilitate adoption of such curricula by the residency programs. This paper provides an outline for the actual implementation of the curriculum within the structure of a training program, with examples using common teaching venues. We describe and link the content to the core competencies mandated by the Accreditation Council for Graduate Medical Education, the formal accrediting body for residency training programs in the United States. Specific topics are recommended, with suggestions on how to integrate such teaching into existing internal medicine residency training program curricula. SUMMARY: Given the burden of disease and effective interventions available that can be delivered by internal medicine physicians, teaching about unhealthy substance use must be incorporated into internal medicine residency training, and can be done within existing teaching venues.</t>
  </si>
  <si>
    <t>J2: BMC Med Educ; Jackson, Angela H Alford, Daniel P Dube, Catherine E Saitz, Richard; ID: 588</t>
  </si>
  <si>
    <t>Jackson, Angela H. Residency Training Program in Internal Medicine, Boston University School of Medicine, Boston, MA, USA. angela.jackson@bmc.org</t>
  </si>
  <si>
    <t>http://ovidsp.ovid.com/ovidweb.cgi?T=JS&amp;CSC=Y&amp;NEWS=N&amp;PAGE=fulltext&amp;D=med6&amp;AN=20230607</t>
  </si>
  <si>
    <t>https://dx.doi.org/10.1186/1472-6920-10-22</t>
  </si>
  <si>
    <t>MEDLINE; Ovid Technologies; Internal medicine residency training for unhealthy alcohol and other drug use: recommendations for curriculum design</t>
  </si>
  <si>
    <t>Jackson,J. K.;Mykut,M.;Burr,R. C.;Fagan,R. J.</t>
  </si>
  <si>
    <t>The alcoholism training program at the University of Washington School of Medicine</t>
  </si>
  <si>
    <t>*Alcoholism;*Ambulatory Care Facilities;*Hospitals, Special;Humans;*Medicine;*Schools</t>
  </si>
  <si>
    <t>J2: Q J Stud Alcohol; JACKSON, J K MYKUT, M BURR, R C FAGAN, R J; ID: 1094</t>
  </si>
  <si>
    <t>http://ovidsp.ovid.com/ovidweb.cgi?T=JS&amp;CSC=Y&amp;NEWS=N&amp;PAGE=fulltext&amp;D=med1&amp;AN=14406301</t>
  </si>
  <si>
    <t>MEDLINE; Ovid Technologies; The alcoholism training program at the University of Washington School of Medicine</t>
  </si>
  <si>
    <t>Jacques,D.;Zdanowicz,N.;Reynaert,C.;Janne,P.</t>
  </si>
  <si>
    <t>Quit smoking? quit drinking? why not quit both? analysis of perceptions among belgian postgraduates in psychiatry</t>
  </si>
  <si>
    <t>Psychiatria Danubina</t>
  </si>
  <si>
    <t>22 Suppl 1</t>
  </si>
  <si>
    <t>S120</t>
  </si>
  <si>
    <t>Alcoholism/ep Epidemiology];*Alcoholism/px Psychology];*Alcoholism/rh Rehabilitation];*Attitude of Health Personnel;Belgium;Combined Modality Therapy;Comorbidity;Curriculum;*Education, Medical, Graduate;Humans;Motivation;Patient Compliance/px Psychology];*Psychiatry/ed Education];Recurrence;Smoking/ep Epidemiology];Smoking/px Psychology];*Smoking Cessation/px Psychology]</t>
  </si>
  <si>
    <t>INTRODUCTION: cooncurrent alcohol and tobacco dependency appears to be a common phenomenon yet medical literature often focuses on only one substance at a time when examining the question of withdrawal and illustrates that the evaluation of tobacco consumption appears to be overlooked in psychiatry. SUBJECT AND METHODS: in this study, we analyse perceptions among first-year postgraduates in Psychiatry, before and after training in Motivational Interviewing, with regard to the idea of suggesting that patients might consider simultaneous dual alcohol-tobacco withdrawal. RESULTS: the trend is to disregard the systematic history of substance consumption and to not recommend concurrent alcohol-tobacco withdrawal. Motivational interview training tends to reverse this trend. DISCUSSION: the lessening of the therapist's feeling of powerlessness in the face of relapse is one of the explanatory factors behind this change of approach. A study design is proposed focusing on the patient's perceptions. CONCLUSION: guidelines concerning dual alcohol-tobacco withdrawal programs are to be developed.</t>
  </si>
  <si>
    <t>J2: Psychiatr; Jacques, Denis Zdanowicz, Nicolas Reynaert, Christine Janne, Pascal; ID: 540</t>
  </si>
  <si>
    <t>0353-5053</t>
  </si>
  <si>
    <t>Jacques, Denis. Catholic University of Louvain, Mont-Godinne Clinics, psychosomatic unit, 5530 Yvoir, Belgium. denis.jacques@uclouvain.be</t>
  </si>
  <si>
    <t>http://ovidsp.ovid.com/ovidweb.cgi?T=JS&amp;CSC=Y&amp;NEWS=N&amp;PAGE=fulltext&amp;D=med6&amp;AN=21057418</t>
  </si>
  <si>
    <t>MEDLINE; Ovid Technologies; Quit smoking? quit drinking? why not quit both? analysis of perceptions among belgian postgraduates in psychiatry</t>
  </si>
  <si>
    <t>Jalilian,F.;Karami Matin,B.;Ahmadpanah,M.;Ataee,M.;Ahmadi Jouybari,T.;Eslami,A. A.;Mirzaei Alavijeh,M.</t>
  </si>
  <si>
    <t>Socio-demographic characteristics associated with cigarettes smoking, drug abuse and alcohol drinking among male medical university students in Iran</t>
  </si>
  <si>
    <t>Adolescent;Adult;*Alcohol Drinking/ep Epidemiology];Cross-Sectional Studies;Divorce;Educational Status;*Health Behavior;Humans;Iran/ep Epidemiology];Logistic Models;Male;Mothers;Prevalence;Residence Characteristics;Risk Factors;*Smoking/ep Epidemiology];*Students, Medical;*Substance-Related Disorders/ep Epidemiology];*Universities;Young Adult</t>
  </si>
  <si>
    <t>BACKGROUND: Substance abuse is one of the most complicated social problems. Understanding socio-demographic characteristics of those who abuse substances could help deal with this problem more efficiently. The main objective of this study was to determine socio-demographic characteristics associated with alcohol drinking, cigarettes smoking and drug abuse among a sample of male medical university students in Iran. METHODS: This cross-sectional study was conducted in 2014 among 425 male medical college students randomly selected with the proportional to size among different faculties in Isfahan and Kermanshah medical universities in Iran. A self-report written questionnaire was applied to collect data. Data were analyzed by the SPSS-20. RESULTS: Mean age of the respondents was 19.9 yr (ranging from 18 to 22 yr). About 19.4%, 3.9%, and 10.1% of the respondents had history of cigarette smoking, drug use, and alcohol drinking during the past three months, respectively. Logistic regression showed that mother's educational level, living place, economic status, and parents' divorce were the most influential predictive factors on substance abuse. CONCLUSIONS: Considering the high prevalence of substance abuse (especially smoking and alcohol drinking), it seems essential to design educational interventions to prevent substance abuse, paying attention to predictive factors mentioned above, among college students.</t>
  </si>
  <si>
    <t>J2: J; Jalilian, Farzad Karami Matin, Behzad Ahmadpanah, Mohammad Ataee, Mari Ahmadi Jouybari, Touraj Eslami, Ahmad Ali Mirzaei Alavijeh, Mehdi; ID: 211</t>
  </si>
  <si>
    <t>2228-7809</t>
  </si>
  <si>
    <t>Jalilian, Farzad. Substance Abuse Prevention Research Center, Kermanshah University of Medical Sciences, Kermanshah, Iran. Karami Matin, Behzad. Substance Abuse Prevention Research Center, Kermanshah University of Medical Sciences, Kermanshah, Iran. Ahmadpanah, Mohammad. Research Center for Behavioral Disorders and Substances Abuse, Hamadan University of Medical Sciences, Hamadan, Iran. Ataee, Mari. Substance Abuse Prevention Research Center, Kermanshah University of Medical Sciences, Kermanshah, Iran. Ahmadi Jouybari, Touraj. Substance Abuse Prevention Research Center, Kermanshah University of Medical Sciences, Kermanshah, Iran. Eslami, Ahmad Ali. Department of Health Education and Promotion, School of Health, Isfahan University of Medical Sciences, Isfahan, Iran. eslamiaa@gmail.com. Mirzaei Alavijeh, Mehdi. Social Determinants of Health Research Center, Yasuj University of Medical Sciences, Yasuj, Iran.</t>
  </si>
  <si>
    <t>http://ovidsp.ovid.com/ovidweb.cgi?T=JS&amp;CSC=Y&amp;NEWS=N&amp;PAGE=fulltext&amp;D=med8&amp;AN=25821025</t>
  </si>
  <si>
    <t>MEDLINE; Ovid Technologies; Socio-demographic characteristics associated with cigarettes smoking, drug abuse and alcohol drinking among male medical university students in Iran</t>
  </si>
  <si>
    <t>James,B. O.;Omoaregba,J. O.</t>
  </si>
  <si>
    <t>Nigerian medical students' opinions about individuals who use and abuse psychoactive substances</t>
  </si>
  <si>
    <t>Substance use disorders are prevalent in Nigeria. The number of available specialist health providers is inadequate to fill the treatment gap. Interventions can be provided by nonspecialist health providers and have been found to be beneficial. However, attitudes toward substance misuse and misusers can impede the provision of this service. We aimed to determine attitudes of medical trainees toward substance use by utilizing a modified form of the Substance Abuse Attitude Scale (SAAS). Medical students (n = 200) had positive attitudes toward individuals who misuse psychoactive substances. The medial students, however, preferred treatment to be offered by trained specialists and held restrictive views regarding cannabis and alcohol use. More positive attitudes were expressed by participants who were male or had a lifetime history of psychoactive substance use. The role of personal and family-related psychoactive substance use factors are probably associated with attitudinal responses and would require further exploration.</t>
  </si>
  <si>
    <t>J2: Subst Abus; James, Bawo O Omoaregba, Joyce O; ID: 362</t>
  </si>
  <si>
    <t>1178-2218</t>
  </si>
  <si>
    <t>James, Bawo O. Department of Clinical Services, Federal Neuro-Psychiatric Hospital, Benin City, Edo State, Nigeria.</t>
  </si>
  <si>
    <t>http://ovidsp.ovid.com/ovidweb.cgi?T=JS&amp;CSC=Y&amp;NEWS=N&amp;PAGE=fulltext&amp;D=prem&amp;AN=23861587</t>
  </si>
  <si>
    <t>https://dx.doi.org/10.4137/SART.S12129</t>
  </si>
  <si>
    <t>MEDLINE; Ovid Technologies; Nigerian medical students' opinions about individuals who use and abuse psychoactive substances</t>
  </si>
  <si>
    <t>Jamrozik,K.;Fowler,G.</t>
  </si>
  <si>
    <t>Anti-smoking education in Oxfordshire general practices</t>
  </si>
  <si>
    <t>Community Health Nursing;England;*Health Education;Humans;Physician's Role;Physicians, Family;*Smoking Prevention</t>
  </si>
  <si>
    <t>A postal questionnaire survey of 360 Oxfordshire general practitioners and health visitors on the subject of anti-smoking education was conducted in May-June 1980. Two mailings produced a response rate of 87 per cent. Involvement in anti-smoking education was felt to be more relevant for the doctors than for the health visitors. Health visitors thought that health education officers had a major role to play; they were also more likely than doctors to use literature as an aid in counselling smokers. In general, the mass media were not thought to be effective in helping individual smokers to give up the habit. Both doctors and health visitors were in favour of their professional organizations exerting pressure on Parliament, but only one respondent had ever written to an MP about smoking.</t>
  </si>
  <si>
    <t>J2: J R Coll Gen Pract; Jamrozik, K Fowler, G; ID: 1495</t>
  </si>
  <si>
    <t>http://ovidsp.ovid.com/ovidweb.cgi?T=JS&amp;CSC=Y&amp;NEWS=N&amp;PAGE=fulltext&amp;D=med2&amp;AN=7086752</t>
  </si>
  <si>
    <t>MEDLINE; Ovid Technologies; Anti-smoking education in Oxfordshire general practices</t>
  </si>
  <si>
    <t>Jansen,C.;Grinzi,P.;Monheit,B.;Parker,R.</t>
  </si>
  <si>
    <t>Addiction medicine--training for general practice registrars</t>
  </si>
  <si>
    <t>34 Suppl 1</t>
  </si>
  <si>
    <t>Australia;*Family Practice/ed Education];Humans;*Substance-Related Disorders;Victoria</t>
  </si>
  <si>
    <t>INTRODUCTION: Illicit drug use is a significant problem within Australia. However, GPs are reluctant to treat these problems due to a perceived lack of knowledge and confidence. METHOD: All advanced general practice registrars training through the Victorian Metropolitan Alliance in 2004 attended a 1 day pilot addiction medicine workshop, followed by completion of a questionnaire to assess the acceptability of the training and its impact on their knowledge and confidence. RESULTS: Forty-six general practice registrars attended the workshops with all but one (98%) completing the postworkshop questionnaire. More than 90% of registrars agreed that the material presented was relevant to their work and that they felt more confident dealing with addiction issues in practice. DISCUSSION: Addiction medicine training is relevant to the work of doctors training to become GPs and can increase knowledge and confidence. More extensive research is needed to assess whether this increase in knowledge and confidence is sustained over time and is translated into practice.</t>
  </si>
  <si>
    <t>J2: Aust Fam Physician; Jansen, Carreen Grinzi, Paul Monheit, Benny Parker, Rhian; ID: 625</t>
  </si>
  <si>
    <t>Jansen, Carreen. Joint University Centre for Education and Training , University of Melbourne, Victoria.</t>
  </si>
  <si>
    <t>http://ovidsp.ovid.com/ovidweb.cgi?T=JS&amp;CSC=Y&amp;NEWS=N&amp;PAGE=fulltext&amp;D=med5&amp;AN=16369680</t>
  </si>
  <si>
    <t>MEDLINE; Ovid Technologies; Addiction medicine--training for general practice registrars</t>
  </si>
  <si>
    <t>Jarvis,M.;Williams,J.;Hurford,M.;Lindsay,D.;Lincoln,P.;Giles,L.;Luongo,P.;Safarian,T.</t>
  </si>
  <si>
    <t>Appropriate Use of Drug Testing in Clinical Addiction Medicine</t>
  </si>
  <si>
    <t>*Addiction Medicine/mt Methods];Clinical Competence;Humans;Professional-Patient Relations;*Substance Abuse Detection/mt Methods];*Substance-Related Disorders/di Diagnosis];*Substance-Related Disorders/th Therapy]</t>
  </si>
  <si>
    <t>: Biological drug testing is a tool that provides information about an individual's recent substance use. Like any tool, its value depends on using it correctly; that is, on selecting the right test for the right person at the right time. This document is intended to clarify appropriate clinical use of drug testing in addiction medicine and aid providers in their decisions about drug testing for the identification, diagnosis, treatment, and recovery of patients with, or at risk for, addiction. The RAND Corporation (RAND)/University of California, Los Angeles (UCLA) Appropriateness Method (RAM) process for combining scientific evidence with the collective judgment of experts was used to identify appropriate clinical practices and highlight areas where research is needed. Although consensus panels and expert groups have offered guidance on the use of drug testing for patients with addiction, very few addressed considerations for patients across settings and in different levels of care. This document will focus primarily on patients in addiction treatment and recovery, where drug testing is used to assess patients for a substance use disorder, monitor the effectiveness of a treatment plan, and support recovery. Inasmuch as the scope includes the recognition of addiction, which often occurs in general healthcare settings, selected special populations at risk for addiction visiting these settings are briefly included.</t>
  </si>
  <si>
    <t>J2: J Addict Med; Jarvis, Margaret Williams, Jessica Hurford, Matthew Lindsay, Dawn Lincoln, Piper Giles, Leila Luongo, Peter Safarian, Taleen; ID: 26</t>
  </si>
  <si>
    <t>Jarvis, Margaret. American Society of Addiction Medicine, Rockville, MD (MJ, TS); Institute for Research, Education and Training in Addiction (JW, DL, P Lincoln, LG, P Luongo); and Community Care Behavioral Health Organization, Pittsburgh, PA (MH).</t>
  </si>
  <si>
    <t>http://ovidsp.ovid.com/ovidweb.cgi?T=JS&amp;CSC=Y&amp;NEWS=N&amp;PAGE=fulltext&amp;D=medc&amp;AN=28557958</t>
  </si>
  <si>
    <t>https://dx.doi.org/10.1097/ADM.0000000000000323</t>
  </si>
  <si>
    <t>MEDLINE; Ovid Technologies; Appropriate Use of Drug Testing in Clinical Addiction Medicine</t>
  </si>
  <si>
    <t>Jaworowski,S.;Walter,G.;Soh,N.;Freier Dror,Y.;Mergui,J.;Gropp,C.;Haber,P. S.</t>
  </si>
  <si>
    <t>A validated questionnaire to assess the knowledge of psychiatric aspects of alcohol use disorder</t>
  </si>
  <si>
    <t>*Alcohol-Related Disorders/px Psychology];Education, Medical, Undergraduate;*Health Knowledge, Attitudes, Practice;Humans;Psychometrics;Reproducibility of Results;*Students, Medical/px Psychology];*Surveys and Questionnaires</t>
  </si>
  <si>
    <t>BACKGROUND: To the best of our knowledge, there is no validated instrument for measuring knowledge of psychiatric aspects of alcohol use disorder (AUD) amongst medical students. Our aim was to develop an instrument for this purpose and to describe the instrument's psychometric properties. We also investigated whether the instrument could demonstrate a significant change in scores following an educational intervention consisting of a 60-minute PowerPoint lecture on AUD, associated handouts, and role-plays. METHODS: The Knowledge of Psychiatric Aspects of Alcohol Questionnaire (KPAAQ) was developed from the Kaplan and Saddock textbook synopsis chapter on alcohol related disorders. The questionnaire included 6 categories of clinically relevant material: metabolism of alcohol, short-term effects of alcohol, long-term effects of alcohol, AUD, alcohol withdrawal, and alcohol use in pregnancy. The KPAAQ was administered to 75 medical students in Years 4 and 5 from the Hebrew University in Jerusalem, Israel, during a relevant clinical rotation. Following the initial administration of the KPAAQ, the students attended a 60-minute lecture (in Hebrew) based on material from the University of Sydney's learning module on alcohol. The KPAAQ was readministered to the students immediately following the lecture. RESULTS: The KPAAQ demonstrated good reliability (Cronbach alpha =.92 for all questions) and validity r(209) =.674, P &lt;.001. Knowledge of alcohol and alcoholism significantly increased after the educational intervention (F(2, 154) = 151.60, P &lt;.001). Post hoc comparisons using the Scheffe test revealed a significant positive change in knowledge after students received the intervention (mean difference = 33, P &lt;.001). CONCLUSIONS: These initial findings suggest that the KPAAQ is a reliable and valid instrument for assessing medical student knowledge of psychiatric aspects of AUD over 6 clinical categories.</t>
  </si>
  <si>
    <t>J2: Subst Abus; Jaworowski, Sol Walter, Garry Soh, Nerissa Freier Dror, Yossi Mergui, Joseph Gropp, Cornelius Haber, Paul S; ID: 251</t>
  </si>
  <si>
    <t>Jaworowski, Sol. a Department of Consultation and Liaison Psychiatry , Shaare Zedek Medical Centre, Hebrew University , Jerusalem , Israel.</t>
  </si>
  <si>
    <t>http://ovidsp.ovid.com/ovidweb.cgi?T=JS&amp;CSC=Y&amp;NEWS=N&amp;PAGE=fulltext&amp;D=med8&amp;AN=24821351</t>
  </si>
  <si>
    <t>https://dx.doi.org/10.1080/08897077.2013.822053</t>
  </si>
  <si>
    <t>MEDLINE; Ovid Technologies; A validated questionnaire to assess the knowledge of psychiatric aspects of alcohol use disorder</t>
  </si>
  <si>
    <t>Jessee,W. F.</t>
  </si>
  <si>
    <t>The medical student's view of alcoholism education</t>
  </si>
  <si>
    <t>Alcoholism/rh Rehabilitation];*Alcoholism;*Attitude of Health Personnel;Comprehensive Health Care;Curriculum;*Education, Medical;Financing, Government;Health Expenditures;Health Planning;Humans;Personal Health Services/sd Supply &amp; Distribution];Schools, Medical;Social Medicine;*Social Problems;Societies, Medical;*Students, Medical;Teaching;United States</t>
  </si>
  <si>
    <t>J2: Ann N Y Acad Sci; Jessee, W F; ID: 1605</t>
  </si>
  <si>
    <t>http://ovidsp.ovid.com/ovidweb.cgi?T=JS&amp;CSC=Y&amp;NEWS=N&amp;PAGE=fulltext&amp;D=med1&amp;AN=4996707</t>
  </si>
  <si>
    <t>MEDLINE; Ovid Technologies; The medical student's view of alcoholism education</t>
  </si>
  <si>
    <t>Jex,S. M.;Hughes,P.;Storr,C.;Conard,S.;Baldwin,D. C., J.;Sheehan,D. V.</t>
  </si>
  <si>
    <t>Relations among stressors, strains, and substance use among resident physicians</t>
  </si>
  <si>
    <t>Adult;Benzodiazepines/ae Adverse Effects];Female;Humans;*Internship and Residency;*Life Change Events;Male;Middle Aged;*Physician Impairment/px Psychology];Self Medication;*Stress, Psychological/co Complications];Substance-Related Disorders/et Etiology];*Substance-Related Disorders/px Psychology];Workload/px Psychology];12794-10-4 (Benzodiazepines)</t>
  </si>
  <si>
    <t>This study examined the relationship between work-related stress and substance use among resident physicians in the United States. Unlike previous studies of physician stress, this study distinguished between "stressors" (stressful job conditions) and "strains" (reactions to the work environment) and correlated each of these with substance use. Results indicated that relations among stressors, strains, and substance use were not strong. Strains, however, were more strongly related to substance use than stressors. Additionally, benzodiazepines were more strongly related to strains than other substances, suggesting that they may be used for self-treatment. Other implications of these findings and future research needs are discussed.</t>
  </si>
  <si>
    <t>J2: Int J Addict; Jex, S M Hughes, P Storr, C Conard, S Baldwin, D C Jr Sheehan, D V; ID: 1279</t>
  </si>
  <si>
    <t>Jex, S M. Department of Psychology, Central Michigan University, Mt. Pleasant 48859.</t>
  </si>
  <si>
    <t>http://ovidsp.ovid.com/ovidweb.cgi?T=JS&amp;CSC=Y&amp;NEWS=N&amp;PAGE=fulltext&amp;D=med3&amp;AN=1639550</t>
  </si>
  <si>
    <t>MEDLINE; Ovid Technologies; Relations among stressors, strains, and substance use among resident physicians</t>
  </si>
  <si>
    <t>Jha,M. K.;Abele,M. K.;Brown,J. A.;Ibrahim,H.;Wakhlu,S.</t>
  </si>
  <si>
    <t>Attitudes Towards Substance Use Disorders and Association with Motivational Interviewing Education: A Survey of Psychiatry Chief Residents</t>
  </si>
  <si>
    <t>*Attitude of Health Personnel;Curriculum;Humans;*Internship and Residency;Logistic Models;*Motivational Interviewing;*Psychiatry/ed Education];*Substance-Related Disorders;Surveys and Questionnaires</t>
  </si>
  <si>
    <t>J2: Acad Psychiatry; Jha, Manish Kumar Abele, Misoo K Brown, Julie A Ibrahim, Hicham Wakhlu, Sidarth; ID: 120</t>
  </si>
  <si>
    <t>Jha, Manish Kumar. UT Southwestern Medical Center, Dallas, TX, USA. manish.jha@utsouthwestern.edu. Abele, Misoo K. Portland VA HCS, Portland, OR, USA. Brown, Julie A. Portland VA HCS, Portland, OR, USA. Ibrahim, Hicham. UT Southwestern Medical Center, Dallas, TX, USA. Wakhlu, Sidarth. North Texas VA HCS, Dallas, TX, USA.</t>
  </si>
  <si>
    <t>http://ovidsp.ovid.com/ovidweb.cgi?T=JS&amp;CSC=Y&amp;NEWS=N&amp;PAGE=fulltext&amp;D=med8&amp;AN=26976399</t>
  </si>
  <si>
    <t>https://dx.doi.org/10.1007/s40596-016-0525-z</t>
  </si>
  <si>
    <t>MEDLINE; Ovid Technologies; Attitudes Towards Substance Use Disorders and Association with Motivational Interviewing Education: A Survey of Psychiatry Chief Residents</t>
  </si>
  <si>
    <t>Jodati,A. R.;Shakurie,S. K.;Nazari,M.;Raufie,M. B.</t>
  </si>
  <si>
    <t>Students' attitudes and practices towards drug and alcohol use at Tabriz University of Medical Sciences</t>
  </si>
  <si>
    <t>Adolescent;Adult;*Alcohol Drinking/ep Epidemiology];Alcohol Drinking/pc Prevention &amp; Control];Alcohol Drinking/px Psychology];*Attitude of Health Personnel;Health Behavior;*Health Knowledge, Attitudes, Practice;Housing;Humans;Iran;Male;Men/px Psychology];Motivation;Organizational Culture;Schools, Medical/og Organization &amp; Administration];Self-Assessment;*Students, Medical/px Psychology];Students, Medical/sn Statistics &amp; Numerical Data];*Substance-Related Disorders/ep Epidemiology];Substance-Related Disorders/pc Prevention &amp; Control];Substance-Related Disorders/px Psychology];Surveys and Questionnaires;Universities/og Organization &amp; Administration]</t>
  </si>
  <si>
    <t>This questionnaire survey examined attitudes and practices towards alcohol and drug use among male university students living in a dormitory at Tabriz University of Medical Sciences, Islamic Republic of Iran. Of 173 students, about one third (32%) had tried alcohol or drugs at least once in the last 6 months: 16% had tried alcohol, 6% cannabis, 6% opium and 2% heroin. Sixteen students (9%) reported they were abusing alcohol and 16 (9%) other illicit drugs, with 2 using drugs by injection. Many students believed that smoking and drug and alcohol use in the dormitory created disruption and an unpleasant atmosphere.</t>
  </si>
  <si>
    <t>J2: East Mediterr Health J; Jodati, A R Shakurie, S K Nazari, M Raufie, M B; ID: 720</t>
  </si>
  <si>
    <t>Jodati, A R. Research Unit of the Guidance and Consultation Centre, Tabriz University of Medical Sciences, Golestan, Islamic Republic of Iran.</t>
  </si>
  <si>
    <t>http://ovidsp.ovid.com/ovidweb.cgi?T=JS&amp;CSC=Y&amp;NEWS=N&amp;PAGE=fulltext&amp;D=med5&amp;AN=17955780</t>
  </si>
  <si>
    <t>MEDLINE; Ovid Technologies; Students' attitudes and practices towards drug and alcohol use at Tabriz University of Medical Sciences</t>
  </si>
  <si>
    <t>Johansson,K.;Bendtsen,P.;Akerlind,I.</t>
  </si>
  <si>
    <t>Early intervention for problem drinkers: readiness to participate among general practitioners and nurses in Swedish primary health care</t>
  </si>
  <si>
    <t>*Alcoholism/di Diagnosis];Alcoholism/pc Prevention &amp; Control];Attitude of Health Personnel;Clinical Competence;Education, Medical, Continuing;Humans;*Nurses/px Psychology];Physicians, Family/ed Education];*Physicians, Family/px Psychology];*Primary Health Care;Surveys and Questionnaires;Sweden</t>
  </si>
  <si>
    <t>An exploration was made of attitudes and practices of general practitioners (GPs) and nurses concerning early identification of, and intervention for, alcohol-related problems. Sixty-five GPs and 141 nurses in 19 primary health centres in a county in southern Sweden answered a 28-item questionnaire before implementation of an intervention programme. The questionnaire covered experiences with patients with alcohol-related health problems, knowledge and perceived capacity concerning early identification and intervention, attitudes towards the role of primary care staff in early identification and intervention and current intervention methods in use at the health centre. Self-reported frequency of asking about alcohol use was higher among GPs than nurses. Both groups reported more frequently asking about alcohol consumption in cases where they believed that the health status was influenced by alcohol. For both professions, knowledge and skills concerning identification were rated as better understood than that concerning intervention methods. Nurses rated their knowledge and skills less confidently than GPs. The overall attitude was fairly positive towards early identification and intervention, but nurses were more worried than GPs that patients would react negatively to questions about alcohol. Attitudes, self-rated capacity, and practice were related. The low level of early identification and intervention in primary care appears to be related more to insufficient practical skills than to attitudes. Nurses appear to be an unexploited resource, in need of training and support. Nurses may need to be convinced that an active role does not interfere with the nurse-patient relationship. Building teams of GPs and nurses in primary care might enhance the dissemination of alcohol prevention into regular practice.</t>
  </si>
  <si>
    <t>J2: Alcohol Alcohol; Johansson, Kjell Bendtsen, Preben Akerlind, Ingemar; ID: 989</t>
  </si>
  <si>
    <t>Johansson, Kjell. Faculty of Health Sciences, Department of Health and Environment, Division of Preventive and Social Medicine, Linkoping University, S-581 85 Linkoping, Sweden.</t>
  </si>
  <si>
    <t>http://ovidsp.ovid.com/ovidweb.cgi?T=JS&amp;CSC=Y&amp;NEWS=N&amp;PAGE=fulltext&amp;D=med4&amp;AN=11825855</t>
  </si>
  <si>
    <t>MEDLINE; Ovid Technologies; Early intervention for problem drinkers: readiness to participate among general practitioners and nurses in Swedish primary health care</t>
  </si>
  <si>
    <t>Johns,T. L.;Lawrence,E.;Martini,L. E.;Dunn,G. E.;Thompson,Z. J.;Zwygart,K.</t>
  </si>
  <si>
    <t>Smoking cessation in family medicine: effects of an area health education center training program</t>
  </si>
  <si>
    <t>Journal of Graduate Medical Education</t>
  </si>
  <si>
    <t>BACKGROUND AND OBJECTIVES: Many clinicians have not received adequate training in smoking cessation. We examined the effects of a tobacco training program on clinician behavior, attitudes, knowledge, and comfort related to smoking cessation. METHODS: In a prospective cohort study, family medicine residents and faculty completed a pretest, followed by an educational intervention that encompassed presentations on smoking cessation resources, motivational interviewing, and the neurobiology of addiction and pharmacotherapy. After 3 months, participants completed a postintervention survey. Results were analyzed using chi-square tests to examine the effects of training. RESULTS: Thirty-three residents and faculty completed the pretraining survey and 25 completed the posttraining survey. Following training, participants were more familiar and comfortable with Public Health Service Clinical Practice Guidelines (P &lt; .0001). No significant differences were found in performance of the 5 As (Ask, Advise, Assess, Assist, and Arrange) or other behaviors, including providing assistance with counseling, cessation plans, resources, or pharmacotherapy. There were no improvements in knowledge of specific intervention plans or attitudes related to identifying and counseling smokers. CONCLUSION: A multidisciplinary tobacco training program increases clinician familiarity and comfort with practice guidelines, and may contribute to improving care activities that promote a healthy lifestyle. Future research should explore other interventions that have the potential of changing practice patterns on a larger scale. Future studies should also assess the effect of training programs on patient-oriented outcomes.</t>
  </si>
  <si>
    <t>J2: J Grad Med Educ; Johns, Tracy L Lawrence, Elizabeth Martini, Leila E Dunn, Grace E Thompson, Zachary J Zwygart, Kira; ID: 424</t>
  </si>
  <si>
    <t>1949-8357</t>
  </si>
  <si>
    <t>http://ovidsp.ovid.com/ovidweb.cgi?T=JS&amp;CSC=Y&amp;NEWS=N&amp;PAGE=fulltext&amp;D=prem&amp;AN=21975634</t>
  </si>
  <si>
    <t>https://dx.doi.org/10.4300/JGME-D-10-00043.1</t>
  </si>
  <si>
    <t>MEDLINE; Ovid Technologies; Smoking cessation in family medicine: effects of an area health education center training program</t>
  </si>
  <si>
    <t>Johnson,F. Y.</t>
  </si>
  <si>
    <t>A study of substance abuse on two campuses of University of Papua New Guinea</t>
  </si>
  <si>
    <t>Medicine &amp; Law</t>
  </si>
  <si>
    <t>Alcohol Drinking/ep Epidemiology];Alcohol Drinking/pc Prevention &amp; Control];Humans;New Guinea/ep Epidemiology];Smoking/ep Epidemiology];Smoking Prevention;*Students/sn Statistics &amp; Numerical Data];Students, Medical/sn Statistics &amp; Numerical Data];*Substance-Related Disorders/ep Epidemiology];Substance-Related Disorders/pc Prevention &amp; Control]</t>
  </si>
  <si>
    <t>BACKGROUND: Recent research reports indicate that there is a substantial amount of substance abuse on the campuses of the University of Papua New Guinea. OBJECTIVE: To compare the frequency and quantity of alcohol and drug abuse on the two campuses of the University of Papua New Guinea in the National Capital District. METHODS: A purposely designed questionnaire was used to collect data randomly on a total of 90 subjects (45 from each campus). The data was subjected to computer analysis. RESULTS: The results show that abuse of alcohol, tobacco and other drugs is prevalent on the two campuses of the University of Papua New Guinea. CONCLUSION: The results will form the basis of recommendations for substance abuse prevention, through information and education of the University students and staff members.</t>
  </si>
  <si>
    <t>J2: Med Law; Johnson, F Y; ID: 1095</t>
  </si>
  <si>
    <t>0723-1393</t>
  </si>
  <si>
    <t>Johnson, F Y. Department of Clinical Sciences, Faculty of Medicine, University of Papua New Guinea, Boroko, Papua New Guinea.</t>
  </si>
  <si>
    <t>http://ovidsp.ovid.com/ovidweb.cgi?T=JS&amp;CSC=Y&amp;NEWS=N&amp;PAGE=fulltext&amp;D=med4&amp;AN=9757738</t>
  </si>
  <si>
    <t>MEDLINE; Ovid Technologies; A study of substance abuse on two campuses of University of Papua New Guinea</t>
  </si>
  <si>
    <t>Johnson,J. A.;Seale,J. P.;Shellenberger,S.;Hamrick,M.;Lott,R.</t>
  </si>
  <si>
    <t>Impact of system-level changes and training on alcohol screening and brief intervention in a family medicine residency clinic: a pilot study</t>
  </si>
  <si>
    <t>Substance Abuse Treatment, Prevention, &amp; Policy</t>
  </si>
  <si>
    <t>Adult;*Alcohol-Related Disorders/di Diagnosis];Alcohol-Related Disorders/nu Nursing];Alcohol-Related Disorders/pc Prevention &amp; Control];Chi-Square Distribution;Education, Nursing, Continuing;*Family Practice/ed Education];Family Practice/mt Methods];Family Practice/td Trends];Female;Georgia;*Health Behavior;Humans;Internship and Residency/mt Methods];Internship and Residency/td Trends];Male;Mass Screening/mt Methods];Mass Screening/nu Nursing];*Mass Screening/st Standards];Middle Aged;Pilot Projects;Program Evaluation;Surveys and Questionnaires</t>
  </si>
  <si>
    <t>BACKGROUND: Although screening and brief intervention (SBI) are effective in reducing unhealthy alcohol use, major challenges exist in implementing clinician-delivered SBI in primary care settings. This 2006-2007 pilot study describes the impact of systems changes and booster trainings designed to increase SBI rates in a family medicine residency clinic which annually screened adults with a self-administered AUDIT-C questionnaire and used paper prompts to encourage physician interventions for patients with positive screens. METHODS: Investigators added the Single Alcohol Screening Question (SASQ) to nursing vital signs forms, added a checkbox for documenting brief interventions to the clinicians' outpatient encounter form, and conducted one-hour nurse and clinician booster trainings. Impact was measured using chart reviews conducted before implementing systems changes, then six weeks and six months post-implementation. RESULTS: At all three time points screening rates using AUDIT-C plus SASQ exceeded 90%, however AUDIT-C screening decreased to 85% after 6 months (p=.025). Identification of unhealthy alcohol users increased from 4% to 22.9% at six weeks and 18.8% at six months (p=.002) using both screens. Nursing vital signs screening using the SASQ reached 71.4% six weeks after implementation but decreased to 45.5% at six months. Changes in clinician brief intervention rates did not achieve statistical significance. CONCLUSIONS: This is the second study reporting sustained primary care alcohol screening rates of more than 90%. Screening patients with SASQ and/or AUDIT-C identified a higher percentage of patients with unhealthy alcohol use. Dissemination of effective strategies for identifying unhealthy alcohol users should continue, while future research should focus on identifying more effective strategies for increasing intervention rates.</t>
  </si>
  <si>
    <t>J2: Subst Abuse Treat Prev Policy; Johnson, James Aaron Seale, James Paul Shellenberger, Sylvia Hamrick, Maribeth Lott, Robert; ID: 351</t>
  </si>
  <si>
    <t>1747-597X</t>
  </si>
  <si>
    <t>Johnson, James Aaron. Department of Family Medicine, Mercer University School of Medicine and Medical Center of Central Georgia, 3780 Eisenhower Parkway, Suite 3, Macon, GA 31206, USA. Johnson.Aaron@mccg.org</t>
  </si>
  <si>
    <t>http://ovidsp.ovid.com/ovidweb.cgi?T=JS&amp;CSC=Y&amp;NEWS=N&amp;PAGE=fulltext&amp;D=med7&amp;AN=23448579</t>
  </si>
  <si>
    <t>https://dx.doi.org/10.1186/1747-597X-8-9</t>
  </si>
  <si>
    <t>MEDLINE; Ovid Technologies; Impact of system-level changes and training on alcohol screening and brief intervention in a family medicine residency clinic: a pilot study</t>
  </si>
  <si>
    <t>Johnson,N. P.;Lindsay,A. B.;Tumblin,M.</t>
  </si>
  <si>
    <t>Educational factors in substance abuse for physicians</t>
  </si>
  <si>
    <t>Journal - South Carolina Medical Association</t>
  </si>
  <si>
    <t>Attitude of Health Personnel;Clinical Competence;Curriculum;*Education, Medical, Continuing;Humans;*Substance-Related Disorders/pc Prevention &amp; Control]</t>
  </si>
  <si>
    <t>J2: J S C Med Assoc; Johnson, N P Lindsay, A B Tumblin, M; ID: 1365</t>
  </si>
  <si>
    <t>0038-3139</t>
  </si>
  <si>
    <t>Johnson, N P. Department of Neuropsychiatry and Behavioral Science, School of Medicine, University of South Carolina, Columbia 29208.</t>
  </si>
  <si>
    <t>http://ovidsp.ovid.com/ovidweb.cgi?T=JS&amp;CSC=Y&amp;NEWS=N&amp;PAGE=fulltext&amp;D=med3&amp;AN=2308284</t>
  </si>
  <si>
    <t>MEDLINE; Ovid Technologies; Educational factors in substance abuse for physicians</t>
  </si>
  <si>
    <t>Johnson,S.;Thornicroft,G.;Afuwape,S.;Leese,M.;White,I. R.;Hughes,E.;Wanigaratne,S.;Miles,H.;Craig,T.</t>
  </si>
  <si>
    <t>Effects of training community staff in interventions for substance misuse in dual diagnosis patients with psychosis (COMO study): cluster randomised trial</t>
  </si>
  <si>
    <t>British Journal of Psychiatry</t>
  </si>
  <si>
    <t>Clinical Competence;Community Mental Health Services;*Community Psychiatry/ed Education];Diagnosis, Dual (Psychiatry);*Education, Medical, Continuing/mt Methods];Follow-Up Studies;Hospitalization/sn Statistics &amp; Numerical Data];Humans;London;*Psychotic Disorders/th Therapy];*Substance-Related Disorders/th Therapy];Treatment Outcome</t>
  </si>
  <si>
    <t>A cluster randomised controlled trial was used to investigate the effectiveness of training staff in 13 London community mental health teams (CMHTs) to deliver substance misuse interventions to patients with psychosis and comorbid substance misuse ('dual diagnosis'). The primary hypotheses, which were that experimental group patients would spend fewer daysin hospital over 18 months of follow-up and show reduced alcohol and drug consumption, were not confirmed, although confidence intervals were wide for some outcomes. Current UK policy guidance advocates training CMHT professionals to deliver dual diagnosis interventions, but the effectiveness of this strategy has not so far been demonstrated.</t>
  </si>
  <si>
    <t>J2: Br J Psychiatry; Johnson, S Thornicroft, G Afuwape, S Leese, M White, I R Hughes, E Wanigaratne, S Miles, H Craig, T; ID: 701</t>
  </si>
  <si>
    <t>0007-1250</t>
  </si>
  <si>
    <t>Johnson, S. Department of Mental Health Sciences, University College London, 67-73 Riding House Street, London, UK. s.johnson@ucl.ac.uk</t>
  </si>
  <si>
    <t>http://ovidsp.ovid.com/ovidweb.cgi?T=JS&amp;CSC=Y&amp;NEWS=N&amp;PAGE=fulltext&amp;D=med5&amp;AN=17978327</t>
  </si>
  <si>
    <t>MEDLINE; Ovid Technologies; Effects of training community staff in interventions for substance misuse in dual diagnosis patients with psychosis (COMO study): cluster randomised trial</t>
  </si>
  <si>
    <t>Jones,D.</t>
  </si>
  <si>
    <t>Drug addiction on the wards: are junior doctors equipped?</t>
  </si>
  <si>
    <t>Clinical Competence;Humans;*Medical Staff, Hospital/px Psychology];*Physician-Patient Relations;*Substance-Related Disorders</t>
  </si>
  <si>
    <t>J2: Clin Teach; Jones, Daniel; ID: 446</t>
  </si>
  <si>
    <t>http://ovidsp.ovid.com/ovidweb.cgi?T=JS&amp;CSC=Y&amp;NEWS=N&amp;PAGE=fulltext&amp;D=med7&amp;AN=22405375</t>
  </si>
  <si>
    <t>https://dx.doi.org/10.1111/j.1743-498X.2011.00518.x</t>
  </si>
  <si>
    <t>MEDLINE; Ovid Technologies; Drug addiction on the wards: are junior doctors equipped?</t>
  </si>
  <si>
    <t>Jones,G. H.</t>
  </si>
  <si>
    <t>The recognition of alcoholism by psychiatrists in training</t>
  </si>
  <si>
    <t>Psychological medicine</t>
  </si>
  <si>
    <t>Psychol.Med.</t>
  </si>
  <si>
    <t>Adult;*Alcoholism/di Diagnosis];*Diagnostic Errors;*Education, Medical, Graduate;Emergency Services, Psychiatric/st Standards];Humans;Male;*Psychiatry/ed Education]</t>
  </si>
  <si>
    <t>J2: Psychol Med; Jones, G H; ID: 1516</t>
  </si>
  <si>
    <t>0033-2917</t>
  </si>
  <si>
    <t>http://ovidsp.ovid.com/ovidweb.cgi?T=JS&amp;CSC=Y&amp;NEWS=N&amp;PAGE=fulltext&amp;D=med1&amp;AN=515278</t>
  </si>
  <si>
    <t>MEDLINE; Ovid Technologies; The recognition of alcoholism by psychiatrists in training</t>
  </si>
  <si>
    <t>Jones,S. R.;Pannell,J.;Barks,J.;Yanchick,Y. A.;Bratton,T.;Browne,R.;McRee,E.;Smith,J. W.</t>
  </si>
  <si>
    <t>The effect of an educational program upon hospital antibiotic use</t>
  </si>
  <si>
    <t>*Anti-Bacterial Agents;Drug Utilization;Education, Medical;Evaluation Studies as Topic;Hospitals, Veterans;Humans;*Medication Errors;*Personnel, Hospital/ed Education];*Substance-Related Disorders;0 (Anti-Bacterial Agents)</t>
  </si>
  <si>
    <t>The effect of an educational program on the use of antibiotics was studied in a university-affiliated Veterans Administration Hospital. Following an initial survey of antibiotic usage, educational presentations of the collected data were made to the hospital staff which included specific prescribing errors and alternative recommendations. Then, another survey was conducted. Measurable changes following the educational presentations were limited to decreasing costs of unjustified antibiotic use. An effect was noted in decreasing unjustified use of antibiotics in prophylactic situations, but this remained the most common misuse. Thus, an educational program directed at specific prescribing errors produced little noticeable effect on the use of antibiotics in a university-affiliated hospital. The study indicates that more direct measures, such as control of use of particular antibiotics, may be required to produce a meaningful change in prescribing practices.</t>
  </si>
  <si>
    <t>J2: Am J Med Sci; Jones, S R Pannell, J Barks, J Yanchick, Y A Bratton, T Browne, R McRee, E Smith, J W; ID: 1533</t>
  </si>
  <si>
    <t>http://ovidsp.ovid.com/ovidweb.cgi?T=JS&amp;CSC=Y&amp;NEWS=N&amp;PAGE=fulltext&amp;D=med1&amp;AN=557900</t>
  </si>
  <si>
    <t>MEDLINE; Ovid Technologies; The effect of an educational program upon hospital antibiotic use</t>
  </si>
  <si>
    <t>Jonge,P. D.;Zomerdijk,M. M.;Huyse,F. J.;Fink,P.;Herzog,T.;Lobo,A.;Slaets,J. P.;Arolt,V.;Balogh,N.;Cardoso,G.;Rigatelli,M.</t>
  </si>
  <si>
    <t>Mental disturbances and perceived complexity of nursing care in medical inpatients: results from a European study</t>
  </si>
  <si>
    <t>Journal of advanced nursing</t>
  </si>
  <si>
    <t>J.Adv.Nurs.</t>
  </si>
  <si>
    <t>Activities of Daily Living;Aged;Alcoholism/cl Classification];*Alcoholism/di Diagnosis];*Alcoholism/nu Nursing];Anxiety/cl Classification];*Anxiety/di Diagnosis];*Anxiety/nu Nursing];Case Management;Cohort Studies;Depression/cl Classification];*Depression/di Diagnosis];*Depression/nu Nursing];Female;Humans;*Interview, Psychological/st Standards];Male;*Mass Screening/mt Methods];Mass Screening/st Standards];Middle Aged;*Needs Assessment/og Organization &amp; Administration];*Nursing Assessment/mt Methods];Nursing Assessment/st Standards];Nursing Evaluation Research;Predictive Value of Tests;*Psychiatric Status Rating Scales/st Standards];*Severity of Illness Index;Somatoform Disorders/cl Classification];*Somatoform Disorders/di Diagnosis];*Somatoform Disorders/nu Nursing];Surveys and Questionnaires</t>
  </si>
  <si>
    <t>AIMS AND OBJECTIVES: The relationship between mental disturbances - anxiety and depression, somatization and alcohol abuse - on admission to internal medicine units and perceived complexity of care as indicated by the nurse at discharge was studied. The goal was to study the utility of short screeners for mental disturbances to select patients for case-management on admission. DESIGN: The study had a cohort design: patients were included on admission and followed through their hospital stay until discharge. The study was conducted within the framework of the European Biomed 1 Risk Factor study. RESEARCH METHODS AND INSTRUMENTS: In the first 3 days of admission the patients were interviewed by a trained health care professional, who scored the SCL-8D, a somatization questionnaire based on the Whiteley-7 and the CAGE. At discharge, nurses rated the complexity of the patient's care. RESULTS: Patients with high scores on anxiety and depression (SCL-8D) and on somatization received higher ratings on perceived nursing complexity than those with low scores, with and without control for age, severity of illness and chronicity. The actual nursing intensity and medical care utilization, as measured daily by means of a checklist, could not explain these relations. No differences were found between patients with high or low scores on alcohol abuse. CONCLUSIONS: The study shows a potential use of screeners for mental disturbances to detect patients for whom nurses might need additional help. However, mental disturbance is not the sole criterion: functional status and other variables that predict medical and nursing care utilization should be included in a screening strategy for case-management programmes.</t>
  </si>
  <si>
    <t>J2: J Adv Nurs; Jonge, P D Zomerdijk, M M Huyse, F J Fink, P Herzog, T Lobo, A Slaets, J P Arolt, V Balogh, N Cardoso, G Rigatelli, M; ID: 995</t>
  </si>
  <si>
    <t>0309-2402</t>
  </si>
  <si>
    <t>Jonge, P D. Psychiatry Service, Vrije Universiteit Medical Centre, Amsterdam, The Netherlands. p.dejonge@azvu.nl</t>
  </si>
  <si>
    <t>http://ovidsp.ovid.com/ovidweb.cgi?T=JS&amp;CSC=Y&amp;NEWS=N&amp;PAGE=fulltext&amp;D=med4&amp;AN=11686750</t>
  </si>
  <si>
    <t>MEDLINE; Ovid Technologies; Mental disturbances and perceived complexity of nursing care in medical inpatients: results from a European study</t>
  </si>
  <si>
    <t>Jovanovska,T.;Stojcevska,V. P.</t>
  </si>
  <si>
    <t>Education of medical students in Bitola on tobacco use and their role in health promotion activities</t>
  </si>
  <si>
    <t>Medicinski pregled</t>
  </si>
  <si>
    <t>Med.Pregl.</t>
  </si>
  <si>
    <t>Adolescent;Adult;*Curriculum;*Education, Medical, Undergraduate;Female;*Health Promotion;Humans;Male;Patient Education as Topic;Serbia;*Smoking/ae Adverse Effects];*Smoking Cessation;Students, Medical;Young Adult</t>
  </si>
  <si>
    <t>Health professionals should have a key role in health promotion activities regarding reduced tobacco use. This study was aimed at presenting students' level of knowledge on harmful effects of smoking and the level of training they had gained in order to quit smoking. The research was done as an epidemiological, cross sectional study according to the standardized methodology of Global Health Professional Survey. The study sample consisted of a hundred college students. During the educational process, 77.5% of females, and 93.1% of males were educated on harmful and dangerous effects of smoking and 59.2% of females and 62.1% of males were instructed how to give up smoking and the age of 86.6% of them was from 18 to 24 years. It has been concluded that some qualitative changes are needed in the current curricula and syllabi.</t>
  </si>
  <si>
    <t>J2: Med Pregl; Jovanovska, Tanja Stojcevska, Viktorija Prodanovska; ID: 464</t>
  </si>
  <si>
    <t>0025-8105</t>
  </si>
  <si>
    <t>Jovanovska, Tanja. University St. Kliment Ohridski Bitola R. Macedoni Medical College. tanjajovanovska42@yahoo.com</t>
  </si>
  <si>
    <t>http://ovidsp.ovid.com/ovidweb.cgi?T=JS&amp;CSC=Y&amp;NEWS=N&amp;PAGE=fulltext&amp;D=med7&amp;AN=22368994</t>
  </si>
  <si>
    <t>MEDLINE; Ovid Technologies; Education of medical students in Bitola on tobacco use and their role in health promotion activities</t>
  </si>
  <si>
    <t>Jradi,H.;Wewers,M. E.;Pirie,P. L.;Binkley,P. F.;Ferketich,A. K.</t>
  </si>
  <si>
    <t>Tobacco dependence curricula in Middle Eastern and North African medical education</t>
  </si>
  <si>
    <t>Tobacco control</t>
  </si>
  <si>
    <t>Tob.Control</t>
  </si>
  <si>
    <t>Africa, Northern;*Curriculum;*Education, Medical;Humans;Middle East;*Smoking;*Smoking Cessation;*Tobacco Use Disorder</t>
  </si>
  <si>
    <t>J2: Tob Control; Jradi, Hoda Wewers, Mary Ellen Pirie, Phyllis L Binkley, Philip F Ferketich, Amy K; ID: 304</t>
  </si>
  <si>
    <t>1468-3318</t>
  </si>
  <si>
    <t>Jradi, Hoda. College of Public Health and Health Informatics, King Saud bin Abdulaziz University for Health Sciences, Riyadh, Saudi Arabia.</t>
  </si>
  <si>
    <t>http://ovidsp.ovid.com/ovidweb.cgi?T=JS&amp;CSC=Y&amp;NEWS=N&amp;PAGE=fulltext&amp;D=med7&amp;AN=22923480</t>
  </si>
  <si>
    <t>https://dx.doi.org/10.1136/tobaccocontrol-2012-050500</t>
  </si>
  <si>
    <t>MEDLINE; Ovid Technologies; Tobacco dependence curricula in Middle Eastern and North African medical education</t>
  </si>
  <si>
    <t>Juarez-Jimenez,M.;Valverde-Bolivar,F.;Perez-Milena,A.;Moreno-Corredor,A.</t>
  </si>
  <si>
    <t>Characteristics of smoking, nicotine dependence and motivation for change in specialists training in health sciences (residents) in Andalusia (Spain)]</t>
  </si>
  <si>
    <t>Semergen Sociedad Espanola de Medicina Rural y Generalista</t>
  </si>
  <si>
    <t>Adult;Cross-Sectional Studies;Female;Humans;*Internship and Residency/sn Statistics &amp; Numerical Data];Male;*Motivation;*Smoking/ep Epidemiology];Smoking/px Psychology];Smoking Cessation/px Psychology];Spain;Surveys and Questionnaires;*Tobacco Use Disorder/ep Epidemiology];Tobacco Use Disorder/px Psychology];Young Adult</t>
  </si>
  <si>
    <t>OBJECTIVE: As there are few studies on the smoking habits of specialists training in health sciences (residents), it is of interest to determine the prevalence of smoking, nicotine dependence and motivation for change, and their relationship with other variables (personal, work and consumption of other drugs). MATERIAL AND METHODS: A multicentre, cross-sectional study using a questionnaire was conducted in 2012. All the residents who were studying in Teaching Health Centres in Andalusia (Spain) completed a questionnaire, which was sent by e-mail, collecting: age, sex, specialty, country of origin, qualitative-quantitative consumption of tobacco, age of onset/cessation, Fagerstrom test and stage of change (Proschaka). RESULTS: A total of 2667 residents (63% of total) completed the questionnaire. The mean age was 29.1 years (+/- 5.2), 69% female, 89% Spanish, and 86% physicians. Of the 17% who smoked (daily pattern-47%, intermittently-41%, related to leisure-3%), starting at 17.4 years (+/-3.5) and mean of 7.5 cigarettes per day (+/-7.1), higher medical specialties (P=.067 ANOVA), and in men (P=.074, Student-t). More than three-quarters (82%) had a low nicotine dependence, being higher in hospital medical specialties (P=.078 chi(2)). Of the total, 7% were former smokers, and 48% wanted to quit smoking (contemplation 38%, preparation 10%). In the multivariate analysis there was a link between smoking and alcohol consumption (OR 2.84) and illegal drugs (OR 3.57). There were no differences by age or country. CONCLUSIONS: The consumption of tobacco in residents is less than the general population, with a low dependence and better willingness to change. The period of specialised training is a good time to offer tobacco interventions.</t>
  </si>
  <si>
    <t>J2: SEMERGEN, Soc; Spanish Juarez-Jimenez, M V Valverde-Bolivar, F J Perez-Milena, A Moreno-Corredor, A S1138-3593(14)00316-5; OP: Caracteristicas del consumo de tabaco, dependencia y motivacion para el cambio de los especialistas internos residentes de Andalucia (Espana); ID: 113</t>
  </si>
  <si>
    <t>1578-8865</t>
  </si>
  <si>
    <t>Juarez-Jimenez, M V. Medica de Familia, Centro de Salud El Valle, Servicio Andaluz de Salud, Espana. Valverde-Bolivar, F J. Medico de Familia, Unidad Docente de Medicina Familiar y Comunitaria, Distrito Sanitario de Jaen, Servicio Andaluz de Salud, Jaen, Espana. Perez-Milena, A. Doctor en Medicina, Medico de Familia, Centro de Salud El Valle, Servicio Andaluz de Salud, Espana. Electronic address: alejandro.perez.milena.sspa@juntadeandalucia.es. Moreno-Corredor, A. Medico de Familia, Unidad Docente de Medicina Familiar y Comunitaria, Distrito Sanitario de Jaen, Servicio Andaluz de Salud, Jaen, Espana.</t>
  </si>
  <si>
    <t>http://ovidsp.ovid.com/ovidweb.cgi?T=JS&amp;CSC=Y&amp;NEWS=N&amp;PAGE=fulltext&amp;D=med8&amp;AN=25242238</t>
  </si>
  <si>
    <t>https://dx.doi.org/10.1016/j.semerg.2014.07.002</t>
  </si>
  <si>
    <t>MEDLINE; Ovid Technologies; [Characteristics of smoking, nicotine dependence and motivation for change in specialists training in health sciences (residents) in Andalusia (Spain)]</t>
  </si>
  <si>
    <t>Judd,C. R.;Hooker,R.;Morgan,P.</t>
  </si>
  <si>
    <t>Improving physician assistant education and practice in SUD and policy recommendations on substance abuse education for physician assistants</t>
  </si>
  <si>
    <t>*Alcoholism/di Diagnosis];Alcoholism/pc Prevention &amp; Control];Alcoholism/rh Rehabilitation];Certification/lj Legislation &amp; Jurisprudence];Controlled Substances;Curriculum/st Standards];Education, Medical/lj Legislation &amp; Jurisprudence];Education, Medical/st Standards];Education, Medical, Continuing/lj Legislation &amp; Jurisprudence];Education, Medical, Continuing/st Standards];*Health Policy/lj Legislation &amp; Jurisprudence];Humans;*Physician Assistants/ed Education];Physician Assistants/lj Legislation &amp; Jurisprudence];Prescription Drugs;Professional Competence/lj Legislation &amp; Jurisprudence];Quality Assurance, Health Care/lj Legislation &amp; Jurisprudence];*Substance-Related Disorders/di Diagnosis];Substance-Related Disorders/pc Prevention &amp; Control];Substance-Related Disorders/rh Rehabilitation];United States;0 (Controlled Substances);0 (Prescription Drugs)</t>
  </si>
  <si>
    <t>Barriers to improved substance abuse education for PAs include limited time in curricula, a shortage of appropriate clinical training sites, insufficient faculty experience and interest regarding SUD, lack of advanced training opportunities for practicing PAs, and inadequate funding for innovative program and faculty development.</t>
  </si>
  <si>
    <t>J2: Subst Abus; Judd, Catherine R Hooker, Roderick Morgan, Perri; ID: 365</t>
  </si>
  <si>
    <t>Judd, Catherine R. Department of Physician Assistant Studies, University of Texas Allied Health Sciences School, Desoto, TX, USA.</t>
  </si>
  <si>
    <t>http://ovidsp.ovid.com/ovidweb.cgi?T=JS&amp;CSC=Y&amp;NEWS=N&amp;PAGE=fulltext&amp;D=med4&amp;AN=23581001</t>
  </si>
  <si>
    <t>MEDLINE; Ovid Technologies; Improving physician assistant education and practice in SUD and policy recommendations on substance abuse education for physician assistants</t>
  </si>
  <si>
    <t>Kabir,Z.;Ward,B.;Clancy,L.;Tobacco Control Committee of,European Respiratory</t>
  </si>
  <si>
    <t>Attitudes, training and smoking profile of European Respiratory Society members</t>
  </si>
  <si>
    <t>European Respiratory Journal</t>
  </si>
  <si>
    <t>Attitude to Health;Cross-Sectional Studies;Europe;Female;Health Promotion;Health Surveys;Humans;Male;Physician's Role;Physicians;*Pulmonary Medicine/mt Methods];Sex Factors;*Smoking;Societies, Medical;Surveys and Questionnaires</t>
  </si>
  <si>
    <t>J2: Eur Respir J; Kabir, Z Ward, B Clancy, L Tobacco Control Committee of European Respiratory Society; ID: 483</t>
  </si>
  <si>
    <t>1399-3003</t>
  </si>
  <si>
    <t>http://ovidsp.ovid.com/ovidweb.cgi?T=JS&amp;CSC=Y&amp;NEWS=N&amp;PAGE=fulltext&amp;D=med7&amp;AN=21719502</t>
  </si>
  <si>
    <t>https://dx.doi.org/10.1183/09031936.00185410</t>
  </si>
  <si>
    <t>MEDLINE; Ovid Technologies; Attitudes, training and smoking profile of European Respiratory Society members</t>
  </si>
  <si>
    <t>Kacker,R.</t>
  </si>
  <si>
    <t>From no interest to special interest--a personal reflection on the RCGP certificate in substance misuse</t>
  </si>
  <si>
    <t>Attitude of Health Personnel;*Education, Medical, Continuing;*Family Practice/ed Education];Humans;Societies, Medical;*Substance-Related Disorders/th Therapy];United Kingdom</t>
  </si>
  <si>
    <t>J2: Br J Gen Pract; Kacker, Rahul; ID: 958</t>
  </si>
  <si>
    <t>http://ovidsp.ovid.com/ovidweb.cgi?T=JS&amp;CSC=Y&amp;NEWS=N&amp;PAGE=fulltext&amp;D=med4&amp;AN=12392139</t>
  </si>
  <si>
    <t>MEDLINE; Ovid Technologies; From no interest to special interest--a personal reflection on the RCGP certificate in substance misuse</t>
  </si>
  <si>
    <t>Kaddumukasa,M.;Kaddumukasa,M.;Matovu,S.;Katabira,E.</t>
  </si>
  <si>
    <t>The frequency and precipitating factors for breakthrough seizures among patients with epilepsy in Uganda</t>
  </si>
  <si>
    <t>BMC Neurology</t>
  </si>
  <si>
    <t>Adolescent;Adult;Anticonvulsants/tu Therapeutic Use];Cross-Sectional Studies;Epilepsy/dt Drug Therapy];*Epilepsy/ep Epidemiology];*Epilepsy/et Etiology];Epilepsy/mo Mortality];Female;Humans;Male;Precipitating Factors;Prevalence;Retrospective Studies;Risk Factors;Surveys and Questionnaires;Uganda/ep Epidemiology];Young Adult;0 (Anticonvulsants)</t>
  </si>
  <si>
    <t>BACKGROUND: Epilepsy is one of the major brain disorders worldwide. Breakthrough seizures carry a heavy burden of epilepsy, with increased morbidity and risk of premature mortality. Several factors have been suggested to precipitate break through seizures but these have not been studied in our setting. The study sought to determine the prevalence of breakthrough seizures, as well as precipitating factors in adults with epilepsy attending Mulago hospital. METHODS: This study was conducted in Mulago Hospital, using a cross sectional study design between August and December 2009. Subjects with epilepsy and had been receiving anti-epileptics treatment for at least 6 months prior to the study were consecutively enrolled. RESULTS: A total of 256 patients with epilepsy were recruited. Prevalence of breakthrough seizures among epilepsy patients attending Mulago hospital was 75.3%. Factors found to be significantly associated with breakthrough seizures were non compliance to anti-epileptic therapy (p&lt;0.0001); duration of treatment (p&lt;0.0001); infections (p&lt;0.044) and menses among female study participants (p&lt;0.0001). The level of education, sleep deprivation, alcohol and substance abuse, and flickering lights were not associated with breakthrough seizures. CONCLUSIONS: Breakthrough seizures are high in Mulago National referral hospital, with drug non-compliance the commonest cause. The attending physicians need to identify precipitating factors among patients attending Mulago hospital and have them addressed appropriately during patient care.</t>
  </si>
  <si>
    <t>J2: BMC Neurol; Kaddumukasa, Martin Kaddumukasa, Mark Matovu, Steven Katabira, Elly; ID: 308</t>
  </si>
  <si>
    <t>1471-2377</t>
  </si>
  <si>
    <t>Kaddumukasa, Martin. Department of Medicine, College of Health Sciences, Makerere University, P, O, Box 7062, Kampala, Uganda. kaddumark@yahoo.co.uk.</t>
  </si>
  <si>
    <t>http://ovidsp.ovid.com/ovidweb.cgi?T=JS&amp;CSC=Y&amp;NEWS=N&amp;PAGE=fulltext&amp;D=med7&amp;AN=24261551</t>
  </si>
  <si>
    <t>https://dx.doi.org/10.1186/1471-2377-13-182</t>
  </si>
  <si>
    <t>MEDLINE; Ovid Technologies; The frequency and precipitating factors for breakthrough seizures among patients with epilepsy in Uganda</t>
  </si>
  <si>
    <t>Kahan,M.;Gomes,T.;Juurlink,D. N.;Manno,M.;Wilson,L.;Mailis-Gagnon,A.;Srivastava,A.;Reardon,R.;Dhalla,I. A.;Mamdani,M. M.</t>
  </si>
  <si>
    <t>Effect of a course-based intervention and effect of medical regulation on physicians' opioid prescribing</t>
  </si>
  <si>
    <t>e231</t>
  </si>
  <si>
    <t>Adolescent;Adult;Aged;*Analgesics, Opioid/tu Therapeutic Use];Cohort Studies;*Drug Prescriptions/st Standards];*Education, Medical, Continuing;Female;Humans;Male;Middle Aged;Ontario;*Practice Patterns, Physicians'/st Standards];Retrospective Studies;Young Adult;0 (Analgesics, Opioid)</t>
  </si>
  <si>
    <t>OBJECTIVE: To examine the effects of an intensive 2-day course on physicians' prescribing of opioids. DESIGN: Population-based retrospective observational study. SETTING: College of Physicians and Surgeons of Ontario (CPSO) in Toronto. PARTICIPANTS: Ontario physicians who took the course between April 1, 2000, and May 30, 2008. INTERVENTION: A 2-day opioid-prescribing course with a maximum of 12 physician participants. Educational methods included didactic presentations, case discussions, and standardized patients. A detailed syllabus and office materials were provided. MAIN OUTCOME MEASURES: Participants were matched with control physicians using specific variables. The primary outcome was the rate of opioid prescribing, expressed as milligrams of morphine equivalent per quarter. RESULTS: One hundred thirty-eight course participants (120 family physicians, 15 specialists, and 3 physicians whose status was uncertain) were eligible for analysis. Of these, 68.1% were self-referred and 31.9% were referred by the CPSO. Overall, among physicians referred by the CPSO, the rate of opioid prescribing decreased dramatically in the year before course participation compared with matched control physicians. The course had no added effect on the rate of physicians' opioid prescribing in the subsequent 2 years. There was no statistically significant effect on the rate of opioid prescribing observed among the self-referred physicians. Among 15 of the self-referred physicians who, owing to the high quantities of opioids they prescribed, were not matched with control physicians, the rate of opioid prescribing decreased by 43.9% in the year following course completion. CONCLUSION: Physicians markedly reduced the quantities of opioids they prescribed after medical regulators referred them to an opioid-prescribing course. The course itself did not lead to significant additional reductions; however, a subgroup of physicians who prescribed high quantities of opioids might have responded to what was taught in the course.</t>
  </si>
  <si>
    <t>J2: Can Fam Physician; Kahan, Meldon Gomes, Tara Juurlink, David N Manno, Michael Wilson, Lynn Mailis-Gagnon, Angela Srivastava, Anita Reardon, Rhoda Dhalla, Irfan A Mamdani, Muhammad M; ID: 322</t>
  </si>
  <si>
    <t>1715-5258</t>
  </si>
  <si>
    <t>Kahan, Meldon. Department of Family and Community Medicine, University of Toronto (U of T), Ontario, Canada. meldon.kahan@wchospital.ca</t>
  </si>
  <si>
    <t>http://ovidsp.ovid.com/ovidweb.cgi?T=JS&amp;CSC=Y&amp;NEWS=N&amp;PAGE=fulltext&amp;D=med7&amp;AN=23673603</t>
  </si>
  <si>
    <t>MEDLINE; Ovid Technologies; Effect of a course-based intervention and effect of medical regulation on physicians' opioid prescribing</t>
  </si>
  <si>
    <t>Kahan,M.;Midmer,D.;Wilson,L.;Borsoi,D.</t>
  </si>
  <si>
    <t>Medical students' knowledge about alcohol and drug problems: results of the medical council of Canada examination</t>
  </si>
  <si>
    <t>*Alcoholism;Canada;Curriculum;*Education, Medical;Faculty, Medical;Humans;Licensure, Medical;Practice Guidelines as Topic;*Substance Withdrawal Syndrome;*Substance-Related Disorders</t>
  </si>
  <si>
    <t>PURPOSE: To determine knowledge of a national sample of medical students about substance withdrawal, screening and early intervention, medical and psychiatric complications of addiction, and treatment options. METHODS: Based on learning objectives developed by medical faculty, twenty-two questions on addictions were included in the 1998 Canadian licensing examination. RESULTS: The exam was written by 858 medical students. The average score on the addiction questions was 64%. Students showed strong knowledge of the clinical features of medical complications. Specific knowledge gaps were identified for withdrawal treatment protocols, low-risk drinking guidelines, taking an alcohol history, substance-induced psychiatric disorders, and Alcoholics Anonymous. CONCLUSION: Medical students are knowledge-deficient around key learning objectives in addictions. The deficiencies were in areas of basic knowledge that could be learnt with little difficulty.</t>
  </si>
  <si>
    <t>J2: Subst Abus; Kahan, Meldon Midmer, Deana Wilson, Lynn Borsoi, Diane; ID: 745</t>
  </si>
  <si>
    <t>Kahan, Meldon. Center for Addiction and Mental Health, Toronto, ON, Canada. kahanm@stjoe.on.ca</t>
  </si>
  <si>
    <t>http://ovidsp.ovid.com/ovidweb.cgi?T=JS&amp;CSC=Y&amp;NEWS=N&amp;PAGE=fulltext&amp;D=med5&amp;AN=17347120</t>
  </si>
  <si>
    <t>MEDLINE; Ovid Technologies; Medical students' knowledge about alcohol and drug problems: results of the medical council of Canada examination</t>
  </si>
  <si>
    <t>Kahan,M.;Midmer,D.;Wilson,L.;Liu,E.</t>
  </si>
  <si>
    <t>Faculty Rating of Learning Objectives for an Undergraduate Medical Curriculum in Substance Abuse</t>
  </si>
  <si>
    <t>The purpose of this study is to describe medical faculty's ratings of learning objectives related to substance abuse. A comprehensive set of learning objectives was drafted. The Associate Dean at each of Ontario's five medical schools was asked to select two faculty members from each clinical discipline who were involved in undergraduate medical education. The selected faculty were sent a survey asking them to rate 282 objectives according to their importance for undergraduate education in their discipline, using a 5-point scale. Sixty-eight out of 90 surveys were returned. For statistical analysis, disciplines were placed into two groups, Group 1 (internal medicine, surgery, emergency medicine, and anesthesia) and Group 2 (family medicine, psychiatry, and pediatrics). The mean ratings of Group 1 were significantly higher than Group 2 (p &lt; 0.001) for five sets of objectives: attitudes, epidemiology, screening and assessment, nonmedical interventions, and specific populations (women, the elderly, and adolescents). Group 1 gave mean ratings above 4 to all themes except epidemiology, inpatient care, and medical complications. In contrast, Group 2 gave mean ratings above 4 to only three themes: physician substance abuse problems, withdrawal, and medical complications. The marked differences in learning objectives between disciplines suggest that a discipline-specific approach is needed for curricular development in substance abuse.</t>
  </si>
  <si>
    <t>J2: Subst Abus; Kahan, Meldon Midmer, Deana Wilson, Lynn Liu, Eleanor; ID: 1706</t>
  </si>
  <si>
    <t>Kahan, Meldon. Department of Family Medicine, University of Toronto, Ontario, Canada. Addiction Research Foundation Division, Centre for Addiction and Mental Health, Ontario, Canada. Department of Family Medicine, St. Joseph's Health Centre, Ontario, Canada. meldon.kahan@utoronto.ca</t>
  </si>
  <si>
    <t>http://ovidsp.ovid.com/ovidweb.cgi?T=JS&amp;CSC=Y&amp;NEWS=N&amp;PAGE=fulltext&amp;D=medp&amp;AN=12466685</t>
  </si>
  <si>
    <t>MEDLINE; Ovid Technologies; Faculty Rating of Learning Objectives for an Undergraduate Medical Curriculum in Substance Abuse</t>
  </si>
  <si>
    <t>Kahan,M.;Srivastava,A.;Wilson,L.;Gourlay,D.;Midmer,D.</t>
  </si>
  <si>
    <t>Misuse of and dependence on opioids: study of chronic pain patients</t>
  </si>
  <si>
    <t>*Analgesics, Opioid/ae Adverse Effects];Analgesics, Opioid/tu Therapeutic Use];Canada/ep Epidemiology];Chronic Disease;Dose-Response Relationship, Drug;Drug Administration Schedule;Drug Monitoring;Drug Utilization;Drug and Narcotic Control;Education, Medical, Continuing;Family Practice/st Standards];Family Practice/td Trends];Female;Humans;Incidence;Male;*Opioid-Related Disorders/ep Epidemiology];Opioid-Related Disorders/et Etiology];Opioid-Related Disorders/pp Physiopathology];Pain/di Diagnosis];*Pain/dt Drug Therapy];Physician's Role;Risk Assessment;Severity of Illness Index;*Substance Abuse Detection/mt Methods];0 (Analgesics, Opioid)</t>
  </si>
  <si>
    <t>OBJECTIVE: To review the evidence on identifying and managing misuse of and dependence on opioids among primary care patients with chronic pain. QUALITY OF EVIDENCE: MEDLINE was searched using such terms as "opioid misuse" and "addiction." The few studies on the prevalence of opioid dependence in primary care populations were based on retrospective chart reviews (level II evidence). Most recommendations regarding identification and management of opioid misuse in primary care are based on expert opinion (level III evidence). MAIN MESSAGE: Physicians should ask all patients receiving opioid therapy about current, past, and family history of addiction. Physicians should take "universal precautions" that include careful prescribing and ongoing vigilance for signs of misuse. Patients suspected of opioid misuse can be treated with a time-limited trial of structured opioid therapy if they are not acquiring opioids from other sources. The trial should consist of daily to weekly dispensing, regular urine testing, and tapering of doses of opioids. If the trial fails or is not indicated, patients should be referred for methadone or buprenorphine treatment. CONCLUSION: Misuse of and dependence on opioids can be identified and managed successfully in primary care. References: 49]</t>
  </si>
  <si>
    <t>J2: Can Fam Physician; Kahan, Meldon Srivastava, Anita Wilson, Lynn Gourlay, Douglas Midmer, Deana; ID: 783</t>
  </si>
  <si>
    <t>Kahan, Meldon. Addiction Medical Service, St Joseph's Health Centre, Toronto, Ontario, Canada. kahanm@stjoe.on.ca</t>
  </si>
  <si>
    <t>http://ovidsp.ovid.com/ovidweb.cgi?T=JS&amp;CSC=Y&amp;NEWS=N&amp;PAGE=fulltext&amp;D=med5&amp;AN=17279218</t>
  </si>
  <si>
    <t>MEDLINE; Ovid Technologies; Misuse of and dependence on opioids: study of chronic pain patients</t>
  </si>
  <si>
    <t>Kahan,M.;Srivastava,A.;Wilson,L.;Mailis-Gagnon,A.;Midmer,D.</t>
  </si>
  <si>
    <t>Opioids for managing chronic non-malignant pain: safe and effective prescribing</t>
  </si>
  <si>
    <t>Analgesics, Opioid/ae Adverse Effects];*Analgesics, Opioid/tu Therapeutic Use];Canada;Chronic Disease;Dose-Response Relationship, Drug;Drug Administration Schedule;Drug Utilization;Education, Medical, Continuing;Female;Follow-Up Studies;Humans;Male;Opioid-Related Disorders/ep Epidemiology];*Opioid-Related Disorders/pc Prevention &amp; Control];*Pain/dt Drug Therapy];Pain/et Etiology];*Pain/pa Pathology];Pain Measurement;Prevalence;Randomized Controlled Trials as Topic;Risk Assessment;Severity of Illness Index;0 (Analgesics, Opioid)</t>
  </si>
  <si>
    <t>OBJECTIVE: To review the evidence on safe and effective prescribing of opioids for chronic non-malignant pain. QUALITY OF EVIDENCE: MEDLINE was searched using the terms "opioid effectiveness" and "adverse effects." There is strong evidence that opioids are effective for both nociceptive and neuropathic pain, but limited evidence that they are effective for pain disorder. There is little information on their effectiveness at high doses or on the adverse effects of high doses. MAIN MESSAGE: Opioids should be initiated after an adequate trial of acetaminophen or nonsteroidal anti-inflammatory drugs for nociceptive pain and of tricyclic antidepressants or anticonvulsants for neuropathic pain. Patients should be asked to sign treatment agreements and to give informed consent to treatment. Patients should experience a graded analgesic response with each dose increase. Titrate doses of immediate-release opioids slowly upward until pain reduction is achieved, and then switch patients to controlled-release opioids. Most patients with chronic non-malignant pain can be managed with&lt;300 mg/d of morphine (or equivalent). CONCLUSION: Opioids are safe and effective for managing chronic pain. References: 79]</t>
  </si>
  <si>
    <t>J2: Can Fam Physician; Kahan, Meldon Srivastava, Anita Wilson, Lynn Mailis-Gagnon, Angela Midmer, Deana Comment in: Can Fam Physician. 2006 Dec;52(12):1540; author reply 1540; PMID: 17279231; ID: 782</t>
  </si>
  <si>
    <t>http://ovidsp.ovid.com/ovidweb.cgi?T=JS&amp;CSC=Y&amp;NEWS=N&amp;PAGE=fulltext&amp;D=med5&amp;AN=17279219</t>
  </si>
  <si>
    <t>MEDLINE; Ovid Technologies; Opioids for managing chronic non-malignant pain: safe and effective prescribing</t>
  </si>
  <si>
    <t>Kahan,M.;Wilson,L.;Liu,E.;Borsoi,D.;Brewster,J. M.;Sobell,L. C.;Sobell,M. B.</t>
  </si>
  <si>
    <t>Family medicine residents' beliefs, attitudes and performance with problem drinkers: a survey and simulated patient study</t>
  </si>
  <si>
    <t>Adult;*Alcoholism;*Attitude of Health Personnel;*Attitude to Health;*Culture;Female;Humans;*Internship and Residency;Male;Mass Screening;*Primary Health Care;Surveys and Questionnaires</t>
  </si>
  <si>
    <t>Fifty-six second-year family medicine residents completed a survey on their knowledge and beliefs about problem drinkers. Most residents felt responsible for screening and counseling, were confident in their clinical skills in these areas, and scored well on related knowledge questions. However, only 18% felt that problem drinkers would often respond to brief counseling sessions with physicians while 36% felt that moderate drinking was a reasonable goal for patients with severe alcohol dependence. Residents were then visited by unannounced simulated patients (SPs) presenting with alcohol-induced hypertension or insomnia. Residents detected the SP in 45 out of 104 visits. In the 59 undetected SP visits, residents asked about alcohol consumption in 47 visits (80%), discussed the relationship between alcohol use and the presenting complaint in 37 visits (63%), and recommended a specific weekly consumption in 35 visits (59%). Only 31% offered reduced drinking strategies, and most did not ask about features of alcohol dependence. These results suggest that residents have the fundamental clinical skills required to manage the problem drinker who gives a clear history and is receptive to advice. Educational efforts with residents should focus on the importance of systematic screening, taking an alcohol history under more challenging conditions, identifying the subtler presentations of alcohol problems, counselling the less receptive patient at an earlier stage of change, distinguishing the problem drinker from the alcohol-dependent patient, and offering specific behavioral strategies for the problem drinker.</t>
  </si>
  <si>
    <t>J2: Subst Abus; Kahan, Meldon Wilson, Lynn Liu, Eleanor Borsoi, Diane Brewster, Joan M Sobell, Linda C Sobell, Mark B; ID: 874</t>
  </si>
  <si>
    <t>Kahan, Meldon. St. Joseph's Health Centre, Department of Family Medicine, 30 The Queensway, Toronto, ON, Canada. kahanm@stjoe.on.ca</t>
  </si>
  <si>
    <t>http://ovidsp.ovid.com/ovidweb.cgi?T=JS&amp;CSC=Y&amp;NEWS=N&amp;PAGE=fulltext&amp;D=med5&amp;AN=15201111</t>
  </si>
  <si>
    <t>MEDLINE; Ovid Technologies; Family medicine residents' beliefs, attitudes and performance with problem drinkers: a survey and simulated patient study</t>
  </si>
  <si>
    <t>Kahan,M.;Wilson,L.;Midmer,D.;Borsoi,D.;Martin,D.</t>
  </si>
  <si>
    <t>Randomized controlled trial on the effects of a skills-based workshop on medical students' management of problem drinking and alcohol dependence</t>
  </si>
  <si>
    <t>*Alcohol Drinking/th Therapy];*Alcoholism/th Therapy];Clinical Competence/st Standards];*Education, Medical/st Standards];Humans;Ontario;*Patient Simulation;Students, Medical;Teaching</t>
  </si>
  <si>
    <t>The purpose of this study was to determine whether a skills-based workshop will improve medical students' management of problem drinking and alcohol dependence in simulated patients. Seventy-six 3rd and 4th year Ontario medical students were randomized to receive a 3-h workshop on either problem drinking and alcohol dependence or depression (control condition). Students then completed eight simulated office visits (OSCE stations) with simulated patients presenting with depression, problem drinking or alcohol dependence. Examiners completed a checklist of the questions asked and advice given by the student, and simulated patients and examiners completed a global rating scale. Four months later, students were sent a survey on their knowledge, attitudes, and behavior towards patients with alcohol problems. The alcohol group received significantly higher assessment and management checklist scores and global rating scores than did the depression group (p &lt; 0.01) and performed better on almost all aspects of clinical management of both problem drinking and alcohol dependence. On the follow-up survey (n = 55) the alcohol group showed a significant increase in beliefs about self-efficacy in managing alcohol problems (p &lt; 0.05) and had greater knowledge of reduced drinking strategies, but the two groups did not differ on other measures. A skills-based workshop causes marked short-term improvements in medical students' management of problem drinking and alcohol dependence, an increase from baseline to postworkshop in self-efficacy beliefs that was sustained through to follow-up, and greater knowledge of reduced drinking strategies. Repeated reinforcement of clinical skills may be required for a long-term impact on clinical behavior.</t>
  </si>
  <si>
    <t>J2: Subst Abus; Kahan, Meldon Wilson, Lynn Midmer, Deana Borsoi, Diane Martin, Dawn; ID: 940</t>
  </si>
  <si>
    <t>Kahan, Meldon. Department of Family and Community Medicine, University of Toronto, Ontario, Canada. kahanm@stjuoe.on.ca</t>
  </si>
  <si>
    <t>http://ovidsp.ovid.com/ovidweb.cgi?T=JS&amp;CSC=Y&amp;NEWS=N&amp;PAGE=fulltext&amp;D=med4&amp;AN=12652091</t>
  </si>
  <si>
    <t>MEDLINE; Ovid Technologies; Randomized controlled trial on the effects of a skills-based workshop on medical students' management of problem drinking and alcohol dependence</t>
  </si>
  <si>
    <t>Kahn,L. S. P.;Mendel,W. E. M.;Fallin,K. L. M.;Borngraber,E. A. M.;Nochajski,T. H. P.;Rea,W. E. M.;Blondell,R. D. M.</t>
  </si>
  <si>
    <t>A parenting education program for women in treatment for opioid-use disorder at an outpatient medical practice</t>
  </si>
  <si>
    <t>Social work in health care</t>
  </si>
  <si>
    <t>Soc.Work Health Care</t>
  </si>
  <si>
    <t>Adult;*Ambulatory Care Facilities;*Education, Nonprofessional/mt Methods];Female;Humans;Mothers;*Opioid-Related Disorders/th Therapy];Pregnancy;*Pregnancy Complications/th Therapy]</t>
  </si>
  <si>
    <t>Opioid use during pregnancy poses serious risks for the mother and the unborn child. Opioid-use disorder may be managed with medication-assisted treatment (MAT) in an outpatient setting, but few MAT practices specifically address the challenges faced by pregnant women. This article describes a medical office-based educational support group for women in MAT for opioid-use disorder who were pregnant and/or parenting young children. Focus groups were conducted to elicit patient feedback. Women indicated that they found the educational support groups beneficial and offered suggestions. In-office educational support groups for pregnant women in treatment for opioid-use disorder are feasible and well received.</t>
  </si>
  <si>
    <t>J2: Soc Work Health Care; Kahn, Linda S PhD Mendel, Whitney E Msw PhD Fallin, Kyla L Msw Borngraber, Elizabeth A Msw Nochajski, Thomas H PhD Rea, William E Mba Lmsw Blondell, Richard D Md; ID: 3</t>
  </si>
  <si>
    <t>1541-034X</t>
  </si>
  <si>
    <t>Kahn, Linda S PhD. a Department of Family Medicine , Primary Care Research Institute, University at Buffalo , Buffalo , NY , USA. Mendel, Whitney E Msw PhD. b Master of Public Health Program, Daemen College , Amherst , NY , USA. Fallin, Kyla L Msw. c School of Social Work , University at Buffalo , Amherst , NY , USA. Borngraber, Elizabeth A Msw. c School of Social Work , University at Buffalo , Amherst , NY , USA. Nochajski, Thomas H PhD. c School of Social Work , University at Buffalo , Amherst , NY , USA. Rea, William E Mba Lmsw. d Center for Development of Human Services , Institute for Community Health Promotion , Rochester , NY , USA. Blondell, Richard D Md. a Department of Family Medicine , Primary Care Research Institute, University at Buffalo , Buffalo , NY , USA.</t>
  </si>
  <si>
    <t>http://ovidsp.ovid.com/ovidweb.cgi?T=JS&amp;CSC=Y&amp;NEWS=N&amp;PAGE=fulltext&amp;D=medl&amp;AN=28594601</t>
  </si>
  <si>
    <t>https://dx.doi.org/10.1080/00981389.2017.1327470</t>
  </si>
  <si>
    <t>MEDLINE; Ovid Technologies; A parenting education program for women in treatment for opioid-use disorder at an outpatient medical practice</t>
  </si>
  <si>
    <t>Kale,S. A.;Barkin,R. L.</t>
  </si>
  <si>
    <t>Proposal for a medical master class system of medical education for common complex medical entities</t>
  </si>
  <si>
    <t>American Journal of Therapeutics</t>
  </si>
  <si>
    <t>Am.J.Ther.</t>
  </si>
  <si>
    <t>Ambulatory Care/og Organization &amp; Administration];Ambulatory Care/st Standards];*Education, Medical/og Organization &amp; Administration];Education, Medical/st Standards];*Faculty, Medical/og Organization &amp; Administration];Faculty, Medical/st Standards];Humans;Internship and Residency/og Organization &amp; Administration];Internship and Residency/st Standards];*Teaching/og Organization &amp; Administration];Teaching/st Standards];United States</t>
  </si>
  <si>
    <t>It is imperative that the management of complex outpatient medical problems be taught using an apprentice system of education. The implementation of highly experienced and outcome successful "master physicians" to train outpatient practicing clinicians will provide a powerful frame of reference and a highly imitatable model on which clinicians can base their presentations of information and medications to patients with complex medical problems such as type 2 diabetes, cardiovascular disease, chronic pain, obesity, or tobacco addiction. Because doctors have always learned by observation, we must ensure that those who they observe will be "worth watching" and that those watched can provide skills of patient management currently not taught in the Flexnor-styled medical educational system, which effectively ended the apprentice system of training. The reintroduction of a carefully crafted apprentice system will foreseeably improve patient care and reduce morbidity, mortality, medical errors, and medical expenses.</t>
  </si>
  <si>
    <t>J2: Am J Ther; Kale, Scott A Barkin, Robert L; ID: 704</t>
  </si>
  <si>
    <t>1075-2765</t>
  </si>
  <si>
    <t>Kale, Scott A. Kaledoc@aol.com</t>
  </si>
  <si>
    <t>http://ovidsp.ovid.com/ovidweb.cgi?T=JS&amp;CSC=Y&amp;NEWS=N&amp;PAGE=fulltext&amp;D=med6&amp;AN=18223360</t>
  </si>
  <si>
    <t>https://dx.doi.org/10.1097/MJT.0b013e31815fa680</t>
  </si>
  <si>
    <t>MEDLINE; Ovid Technologies; Proposal for a medical master class system of medical education for common complex medical entities</t>
  </si>
  <si>
    <t>Kalet,A.;Gillespie,C.;Naegle,M. A.;More,F.</t>
  </si>
  <si>
    <t>NIHMS489569; Attracting health professional students to substance abuse research</t>
  </si>
  <si>
    <t>*Health Knowledge, Attitudes, Practice;*Health Personnel/ed Education];Humans;New York;Research Design;*Students, Health Occupations/px Psychology];*Substance-Related Disorders</t>
  </si>
  <si>
    <t>J2: Med Educ; Kalet, Adina Gillespie, Colleen Naegle, Madeline A More, Frederick; ID: 604</t>
  </si>
  <si>
    <t>Kalet, Adina. Section of Primary Care, New York University School of Medicine, 550 First Avenue, BCD D401, New York, New York 10016, USA. adina.kalet@nyumc.org</t>
  </si>
  <si>
    <t>http://ovidsp.ovid.com/ovidweb.cgi?T=JS&amp;CSC=Y&amp;NEWS=N&amp;PAGE=fulltext&amp;D=med6&amp;AN=19874512</t>
  </si>
  <si>
    <t>https://dx.doi.org/10.1111/j.1365-2923.2009.03479.x</t>
  </si>
  <si>
    <t>MEDLINE; Ovid Technologies; Attracting health professional students to substance abuse research</t>
  </si>
  <si>
    <t>Kalinowski,P.;Karwat,I. D.</t>
  </si>
  <si>
    <t>The influence of environmental factors and education on tobacco smoking among students of the Faculty of Nursing, Medical University of Lublin</t>
  </si>
  <si>
    <t>Annales Universitatis Mariae Curie-Sklodowska - Sectio d - Medicina</t>
  </si>
  <si>
    <t>Adult;*Education, Nursing;Environment;Female;Health Behavior;Humans;Prevalence;*Smoking/ep Epidemiology];Smoking Prevention;*Students, Nursing</t>
  </si>
  <si>
    <t>Tobacco smoking among medical personnel is a problem concerning not only our country. Nurses and midwives in their work have a close contact with patients allowing influence on their health behaviours. Positive own example is indispensable in this field. Formation of proper attitudes and healthy behaviours should be one of the main goals of academic education of nurses and midwives. The aim of the study was an attempt at analysing the problem of tobacco smoking among the students of the Faculty of Nursing, Medical University of Lublin. The material consisted of 152 anonymous questionnaires filled in by the students in the academic year 2001/2002. There was applied the method of standardized interview using an interview questionnaire. The material was analysed by means of descriptive statistics methods. Women were more prevalent among the respondents (143 persons out of 152), the mean age equalled 29.4 years. The majority were students of nursing (109 persons) and 43 represented midwifery. Twenty-seven percent of all students declared tobacco smoking, 13% quitted the habit and 60% never smoked. The studies proved that medical education and knowledge of harmfulness of tobacco smoking are the main reasons of non-smoking habits of the analysed group of students. The decision about taking up smoking is mostly influenced by smoking peers. This testifies to the need of further educational actions during nursing studies that would promote proper health behaviours in this field.</t>
  </si>
  <si>
    <t>J2: Ann Univ Mariae Curie Sklodowska Med]; Kalinowski, Pawel Karwat, Irena Dorota; ID: 857</t>
  </si>
  <si>
    <t>0066-2240</t>
  </si>
  <si>
    <t>Kalinowski, Pawel. Chair and Department of Epidemiology, Skubiszewski Medical University of Lublin.</t>
  </si>
  <si>
    <t>http://ovidsp.ovid.com/ovidweb.cgi?T=JS&amp;CSC=Y&amp;NEWS=N&amp;PAGE=fulltext&amp;D=med5&amp;AN=16146063</t>
  </si>
  <si>
    <t>MEDLINE; Ovid Technologies; The influence of environmental factors and education on tobacco smoking among students of the Faculty of Nursing, Medical University of Lublin</t>
  </si>
  <si>
    <t>Kalu,N.;Cain,G.;McLaurin-Jones,T.;Scott,D.;Kwagyan,J.;Fassassi,C.;Greene,W.;Taylor,R. E.</t>
  </si>
  <si>
    <t>Impact of a multicomponent screening, brief intervention, and referral to treatment (SBIRT) training curriculum on a medical residency program</t>
  </si>
  <si>
    <t>*Clinical Competence;Curriculum;Humans;*Internship and Residency;*Psychotherapy, Brief/ed Education];*Referral and Consultation;*Substance-Related Disorders/di Diagnosis];*Substance-Related Disorders/th Therapy];United States</t>
  </si>
  <si>
    <t>BACKGROUND: Substance-related disorders are a growing problem in the United States. The patient-provider setting can serve as a crucial environment to detect and prevent at-risk substance use. Screening, brief intervention, and referral to treatment (SBIRT) is an integrated approach to deliver early intervention and treatment services for persons who have or are at risk for substance-related disorders. SBIRT training components can include online modules, in-person instruction, practical experience, and clinical skills assessment. This paper will evaluate the impact of multiple modes of training on acquisition of SBIRT skills as observed in a clinical skills assessment. METHODS: Residents were part of an SBIRT training program, from 2009 through 2013, consisting of lecture, role-play, online modules, patient encounters, and clinical skills assessment (CSA). Differences were assessed across satisfactory and unsatisfactory CSA performance. RESULTS: Seventy percent of the residents satisfactorily completed CSA. Demographics, type of components completed, and number of components completed were similar among residents who demonstrated satisfactory clinical skills compared with those who did not. All components of the training program were accepted equally across specialties and resident matriculation cohorts. CONCLUSION: The authors conclude that the components employed in SBIRT training do not have to be numerous or of a particular mode of training in order to see observable demonstration of SBIRT skills among medical residents. Thus, residency educators who have limited time or resources may utilize as few as 1 mode of training to effectually disseminate SBIRT skills among health care providers. As SBIRT continues to evolve as a promising tool to address at-risk substance-related disorders, it is critical to train medical residents and other health professionals.</t>
  </si>
  <si>
    <t>J2: Subst Abus; Kalu, Nnenna Cain, Gloria McLaurin-Jones, TyWanda Scott, Denise Kwagyan, John Fassassi, Catsim Greene, Wendy Taylor, Robert E; ID: 116</t>
  </si>
  <si>
    <t>Kalu, Nnenna. a SBIRT Medical Residency Program , Howard University , Washington , DC , USA. Cain, Gloria. a SBIRT Medical Residency Program , Howard University , Washington , DC , USA. McLaurin-Jones, TyWanda. b Department of Community and Family Medicine , Howard University , Washington , DC , USA. Scott, Denise. a SBIRT Medical Residency Program , Howard University , Washington , DC , USA. Kwagyan, John. c Georgetown-Howard Universities Center for Clinical and Translation Science (GHUCCTS) , Howard University College of Medicine/Howard University Hospital , Washington , DC , USA. Fassassi, Catsim. d Howard-Hopkins Surgical Outcomes Research Center , Washington , DC , USA. Fassassi, Catsim. e Howard University Hospital Trauma and Critical Care , Washington , DC , USA. Greene, Wendy. e Howard University Hospital Trauma and Critical Care , Washington , DC , USA. Taylor, Robert E. a SBIRT Medical Residency Program , Howard University , Washington , DC , USA.</t>
  </si>
  <si>
    <t>http://ovidsp.ovid.com/ovidweb.cgi?T=JS&amp;CSC=Y&amp;NEWS=N&amp;PAGE=fulltext&amp;D=med8&amp;AN=25961140</t>
  </si>
  <si>
    <t>https://dx.doi.org/10.1080/08897077.2015.1035841</t>
  </si>
  <si>
    <t>MEDLINE; Ovid Technologies; Impact of a multicomponent screening, brief intervention, and referral to treatment (SBIRT) training curriculum on a medical residency program</t>
  </si>
  <si>
    <t>Kamal,R. M.;van Iwaarden,S.;Dijkstra,B. A.;de Jong,C. A.</t>
  </si>
  <si>
    <t>Decision rules for GHB (gamma-hydroxybutyric acid) detoxification: a vignette study</t>
  </si>
  <si>
    <t>Adult;*Behavior, Addictive/di Diagnosis];Behavior, Addictive/th Therapy];Cohort Studies;Decision Making;Female;Humans;*Hydroxybutyrates;Male;Prospective Studies;Psychiatry/mt Methods];*Psychiatry;Substance Abuse Treatment Centers/mt Methods];*Substance Abuse Treatment Centers;Substance Withdrawal Syndrome/di Diagnosis];Substance Withdrawal Syndrome/th Therapy];*Substance-Related Disorders/di Diagnosis];Substance-Related Disorders/th Therapy];Young Adult;0 (Hydroxybutyrates);30IW36W5B2 (4-hydroxybutyric acid)</t>
  </si>
  <si>
    <t>BACKGROUND: GHB dependent patients can suffer from a severe and sometimes life-threatening withdrawal syndrome. Therefore, most of the patients are treated within inpatient settings. However, some prefers an outpatient approach to treatment. The aim of this study was to develop decision rules for addiction physicians to determine whether an outpatient or inpatient setting should be chosen for a safe GHB detoxification. METHODS: A prospective vignette study was performed. Forty addiction medicine specialists from various treatment settings and residents of the Addiction Medicine postgraduate Master training were asked to contribute vignettes of GHB dependent patients. A focus group of 15 psychiatrists and addiction medicine specialists was asked to recommend an outpatient or inpatient setting for GHB detoxification treatment per vignette. Finally, five addiction medicine specialists, experts in GHB dependence treatment in the Netherlands, assessed the bio-psychosocial reasons for the choices of the focus group and formulated the recommended criteria. RESULTS: Based on the bio-psychosocial state of twenty vignette patients, addiction physicians and psychiatrists established the criteria and conditions recommended for the indication of an outpatient GHB detoxification. Intensity of addiction (GHB dose &lt;=32 g/d and frequency of abuse &lt;=2 h) was stated as the primary criterion in determining the setting as well as the complexity of the psychiatric comorbid disorders. The importance of a stable support system was emphasised. CONCLUSION: The vignette study resulted in a set of criteria with which addiction medicine specialists can make a weighted decision as to an outpatient or inpatient setting for GHB detoxification.</t>
  </si>
  <si>
    <t>J2: Drug Alcohol Depend; Kamal, Rama M van Iwaarden, Sjacco Dijkstra, Boukje A G de Jong, Cornelis A J S0376-8716(13)00519-X; ID: 284</t>
  </si>
  <si>
    <t>Kamal, Rama M. Nijmegen Institute for Scientist-Practitioners in Addiction (NISPA), 6525 ED Nijmegen, The Netherlands; Novadic-Kentron Addiction Care Network, 5260 AE Vught, The Netherlands. Electronic address: rama.kamal@novadic-kentron.nl. van Iwaarden, Sjacco. Dimence Mental Health Care, 8012 EN Zwolle, The Netherlands. Dijkstra, Boukje A G. Nijmegen Institute for Scientist-Practitioners in Addiction (NISPA), 6525 ED Nijmegen, The Netherlands; Novadic-Kentron Addiction Care Network, 5260 AE Vught, The Netherlands. de Jong, Cornelis A J. Nijmegen Institute for Scientist-Practitioners in Addiction (NISPA), 6525 ED Nijmegen, The Netherlands.</t>
  </si>
  <si>
    <t>http://ovidsp.ovid.com/ovidweb.cgi?T=JS&amp;CSC=Y&amp;NEWS=N&amp;PAGE=fulltext&amp;D=med8&amp;AN=24380737</t>
  </si>
  <si>
    <t>https://dx.doi.org/10.1016/j.drugalcdep.2013.12.003</t>
  </si>
  <si>
    <t>MEDLINE; Ovid Technologies; Decision rules for GHB (gamma-hydroxybutyric acid) detoxification: a vignette study</t>
  </si>
  <si>
    <t>Kamerow,D. B.;Pincus,H. A.;Macdonald,D. I.</t>
  </si>
  <si>
    <t>Alcohol abuse, other drug abuse, and mental disorders in medical practice. Prevalence, costs, recognition, and treatment</t>
  </si>
  <si>
    <t>Alcoholism/ec Economics];*Alcoholism/ep Epidemiology];Alcoholism/th Therapy];Attitude of Health Personnel;Attitude to Health;Costs and Cost Analysis;Humans;Mental Disorders/ec Economics];*Mental Disorders/ep Epidemiology];Mental Disorders/th Therapy];Mental Health Services/ut Utilization];Primary Health Care;Substance-Related Disorders/ec Economics];*Substance-Related Disorders/ep Epidemiology];Substance-Related Disorders/th Therapy];United States</t>
  </si>
  <si>
    <t>Millions of Americans suffer and die of alcohol abuse, other drug abuse, and mental disorders that go undiagnosed and untreated. Studies showing that up to 19% of the US adult population have these disorders also have found that only one fifth of those affected have sought help for them in the previous six months. Many of these persons have disorders that are treatable with modern medications and therapy. Because more than half of all persons with these disorders obtain all of their care from the general medical sector, a great potential exists in primary care for prevention, detection, treatment, and referral of these patients. Primary care physicians, however, have not been very successful at diagnosing and treating substance abuse and mental disorders because of inadequate training, patients' attitudes, and the constraints of the health care system. Recommendations to improve this situation include continued research, improved physician education, and increased emphasis on care of these disorders by organized medicine. Although tobacco use is also a major health problem, data relating to nicotine addiction were not included in this report.</t>
  </si>
  <si>
    <t>J2: Jama; Kamerow, D B Pincus, H A Macdonald, D I; ID: 1452</t>
  </si>
  <si>
    <t>http://ovidsp.ovid.com/ovidweb.cgi?T=JS&amp;CSC=Y&amp;NEWS=N&amp;PAGE=fulltext&amp;D=med2&amp;AN=3959288</t>
  </si>
  <si>
    <t>MEDLINE; Ovid Technologies; Alcohol abuse, other drug abuse, and mental disorders in medical practice. Prevalence, costs, recognition, and treatment</t>
  </si>
  <si>
    <t>Kaner,E. F.;Heather,N.;McAvoy,B. R.;Lock,C. A.;Gilvarry,E.</t>
  </si>
  <si>
    <t>Intervention for excessive alcohol consumption in primary health care: attitudes and practices of English general practitioners</t>
  </si>
  <si>
    <t>*Alcoholism/di Diagnosis];*Alcoholism/pc Prevention &amp; Control];*Attitude to Health;Education, Medical/st Standards];Health Promotion;Humans;Physician-Patient Relations;*Practice Patterns, Physicians'/st Standards];*Preventive Health Services/sd Supply &amp; Distribution];*Primary Health Care;Surveys and Questionnaires;United Kingdom</t>
  </si>
  <si>
    <t>General practitioners' (GPs') recognition of, attitudes towards, and intervention for, excessive drinking and alcohol problems among their patients were assessed in a postal questionnaire survey. Levels of recognition of, and intervention for, excessive drinking by GPs were low. GPs did not routinely enquire about alcohol and had managed only small numbers of patients specifically for excessive drinking or alcohol problems in the previous year. Enquiry about alcohol issues was elicited mainly by physical symptoms or by new patient registrations. Although 83% of GPs felt prepared to counsel excessive drinkers, only 21% felt effective in helping patients reduce consumption. Over the past 10 years, there appears to have been an increase in numbers of GPs who feel that they should be working with alcohol issues, but fewer GPs perceive themselves as being effective in this work. The main barriers to brief alcohol intervention were given as insufficient time and training, and lack of help from government policy; the main incentives related to availability of appropriate support services and proven efficacy of brief interventions.</t>
  </si>
  <si>
    <t>J2: Alcohol Alcohol; Kaner, E F Heather, N McAvoy, B R Lock, C A Gilvarry, E; ID: 1045</t>
  </si>
  <si>
    <t>Kaner, E F. Department of Primary Health Care, School of Health Sciences, The Medical School, University of Newcastle upon Tyne, UK.</t>
  </si>
  <si>
    <t>http://ovidsp.ovid.com/ovidweb.cgi?T=JS&amp;CSC=Y&amp;NEWS=N&amp;PAGE=fulltext&amp;D=med4&amp;AN=10456584</t>
  </si>
  <si>
    <t>MEDLINE; Ovid Technologies; Intervention for excessive alcohol consumption in primary health care: attitudes and practices of English general practitioners</t>
  </si>
  <si>
    <t>Karakus,G.;Tamam,L.</t>
  </si>
  <si>
    <t>Impulse control disorder comorbidity among patients with bipolar I disorder</t>
  </si>
  <si>
    <t>Comprehensive psychiatry</t>
  </si>
  <si>
    <t>Compr.Psychiatry</t>
  </si>
  <si>
    <t>Adolescent;Adult;Aged;Bipolar Disorder/di Diagnosis];*Bipolar Disorder/ep Epidemiology];Comorbidity;Disruptive, Impulse Control, and Conduct Disorders/di Diagnosis];*Disruptive, Impulse Control, and Conduct Disorders/ep Epidemiology];Female;Humans;Male;Middle Aged;Prevalence;Psychiatric Status Rating Scales;Severity of Illness Index;Surveys and Questionnaires</t>
  </si>
  <si>
    <t>OBJECTIVE: Impulsivity is associated with mood instability, behavioral problems, and action without planning in patients with bipolar disorder. Increased impulsivity levels are reported at all types of mood episodes. This association suggests a high comorbidity between impulse control disorders (ICDs) and bipolar disorder. The aim of this study is to compare the prevalence of ICDs and associated clinical and sociodemographic variables in euthymic bipolar I patients. METHOD: A total of 124 consecutive bipolar I patients who were recruited from regular attendees from the outpatient clinic of our Bipolar Disorder Unit were included in the study. All patients were symptomatically in remission. Diagnosis of bipolar disorder was confirmed using the Structured Clinical Interview for Diagnostic and Statistical Manual of Mental Disorders, Fourth Edition. Impulse control disorders were investigated using the modified version of the Minnesota Impulsive Disorders Interview. Impulsivity was measured with the Barratt Impulsiveness Scale Version 11. Furthermore, all patients completed the Zuckerman Sensation-Seeking Scale Form V. RESULTS: The prevalence rate of all comorbid ICDs in our sample was 27.4% (n = 34). The most common ICD subtype was pathologic skin picking, followed by compulsive buying, intermittent explosive disorder, and trichotillomania. There were no instances of pyromania or compulsive sexual behavior. There was no statistically significant difference between the sociodemographic characteristics of bipolar patients with and without ICDs with regard to age, sex, education level, or marital status. Comorbidity of alcohol/substance abuse and number of suicide attempts were higher in the ICD(+) group than the ICD(-) group. Length of time between mood episodes was higher in the ICD(-) group than the ICD(+) group. There was a statistically significant difference between the total number of mood episodes between the 2 groups, but the number of depressive episodes was higher in the ICD(+) patients as compared with the ICD(-) patients. There was no statistically significant difference between the age of first episode, seasonality, presence of psychotic features, and chronicity of illness. A statistically significant difference was observed between the ICD(+) and ICD(-) groups in terms of total impulsivity, attention, nonplanning, and motor impulsivity scores as determined by the Barratt Impulsiveness Scale Version 11. CONCLUSION: The present study revealed that there is a high comorbidity rate between bipolar disorder and ICDs based on Diagnostic and Statistical Manual of Mental Disorders, Fourth Edition, Text Revision, criteria. Alcohol/substance use disorders, a high number of previous suicide attempts, and depressive episodes should alert the physician to the presence of comorbid ICDs among bipolar patients that could affect the course and treatment of the disorder.</t>
  </si>
  <si>
    <t>J2: Compr Psychiatry; Karakus, Gonca Tamam, Lut; ID: 495</t>
  </si>
  <si>
    <t>1532-8384</t>
  </si>
  <si>
    <t>Karakus, Gonca. Cukurova University, Faculty of Medicine, Department of Psychiatry, Adana, Turkey. goncakaratas78@hotmail.com</t>
  </si>
  <si>
    <t>http://ovidsp.ovid.com/ovidweb.cgi?T=JS&amp;CSC=Y&amp;NEWS=N&amp;PAGE=fulltext&amp;D=med7&amp;AN=21683175</t>
  </si>
  <si>
    <t>https://dx.doi.org/10.1016/j.comppsych.2010.08.004</t>
  </si>
  <si>
    <t>MEDLINE; Ovid Technologies; Impulse control disorder comorbidity among patients with bipolar I disorder</t>
  </si>
  <si>
    <t>Karam-Hage,M.;Brower,K. J.;Mullan,P. B.;Gay,T.;Gruppen,L. D.</t>
  </si>
  <si>
    <t>Web-streamed didactic instruction on substance use disorders compares favorably with live-lecture format.Erratum appears in Acad Psychiatry. 2013 Sep;37(5):351; PMID: 27518084], Erratum appears in Acad Psychiatry. 2013 Sep 1;37(5):351 Note: Maher, Karam-Hage corrected to Karam-Hage, M]]</t>
  </si>
  <si>
    <t>Adult;*Computer-Assisted Instruction/mt Methods];Computer-Assisted Instruction/sn Statistics &amp; Numerical Data];*Curriculum;*Education, Medical/mt Methods];Education, Medical/sn Statistics &amp; Numerical Data];*Educational Measurement/mt Methods];Educational Measurement/sn Statistics &amp; Numerical Data];Female;Humans;*Internet;Male;Michigan;Prospective Studies;*Substance-Related Disorders;Surveys and Questionnaires;Young Adult</t>
  </si>
  <si>
    <t>OBJECTIVE: Education about substance use disorders in medical schools and, subsequently, physicians' identification of and intervention in these diagnoses lag behind that of most other disabling disorders. To reduce barriers and improve access to education about this major public health concern, medical schools are increasingly adopting web-based instruction on substance use and other psychiatric disorders as part of their curricula; however, it is not well known how a web-streamed lecture compares with a traditional one. The authors hypothesized that both these formats would be equally efficacious in terms of knowledge acquisition and student satisfaction. METHOD: Authors conducted a prospective study to test this hypothesis among third-year medical students who received web-streamed lecture on substance use/addiction versus those who received a traditional live lecture. RESULTS: Of the 243 students, significantly more students completed the on-line lecture series. Of the 216 students in the final study sample, 130 (60%) were assigned to the web-streamed lecture and 86 (40%) to the live lecture. Within-subject comparisons of pre- and post-lecture scores for the entire cohort indicated a significant improvement in the percentage of correct answers (21.0% difference). Although no differences in improved scores between the two groups were found, students in the live-lecture group reported small, but significantly higher levels of satisfaction. CONCLUSIONS: This preliminary work supports the hypothesis that a web-streamed lecture can be at least equally efficacious as a traditional lecture in terms of knowledge acquisition. However, attention needs to be paid to the lower satisfaction levels associated with using the web-streamed format.</t>
  </si>
  <si>
    <t>J2: Acad Psychiatry; Karam-Hage, M Brower, Kirk J Mullan, Patricia B Gay, Tamara Gruppen, Larry D; ID: 341</t>
  </si>
  <si>
    <t>Karam-Hage, M. University of Texas, M.D. Anderson Cancer Center, Dept of Psychiatry and Behavioral Science, Houston, TX, USA. maherkaram@mdanderson.org Maher, Karam-Hage. University of Texas, M.D. Anderson Cancer Center, Dept of Psychiatry and Behavioral Science, Houston, TX, USA. maherkaram@mdanderson.org</t>
  </si>
  <si>
    <t>http://ovidsp.ovid.com/ovidweb.cgi?T=JS&amp;CSC=Y&amp;NEWS=N&amp;PAGE=fulltext&amp;D=med7&amp;AN=23632924</t>
  </si>
  <si>
    <t>https://dx.doi.org/10.1176/appi.ap.12010001</t>
  </si>
  <si>
    <t>MEDLINE; Ovid Technologies; Web-streamed didactic instruction on substance use disorders compares favorably with live-lecture format.[Erratum appears in Acad Psychiatry. 2013 Sep;37(5):351; PMID: 27518084], [Erratum appears in Acad Psychiatry. 2(TRUNCATED)</t>
  </si>
  <si>
    <t>Karam-Hage,M.;Nerenberg,L.;Brower,K. J.</t>
  </si>
  <si>
    <t>Modifying residents' professional attitudes about substance abuse treatment and training</t>
  </si>
  <si>
    <t>Adult;*Attitude of Health Personnel;Education, Medical;Female;Health Care Surveys;Humans;*Internship and Residency;Male;Physician's Role;*Substance-Related Disorders/th Therapy]</t>
  </si>
  <si>
    <t>Some physicians have negative attitudes and beliefs towards patients with addiction. Moreover, few residents are inclined towards a subspecialty fellowship in addiction psychiatry. We aimed to determine if a one-day educational conference could facilitate attitudinal change among 52 general psychiatry residents. Significant changes (p &lt; 0.05) in attitudes were reported following the conference, including enhanced beliefs that physicians can motivate their addicted patients to seek treatment and increased physician interest in pursuing advanced addiction training. A one-day educational intervention may be effective in improving professional attitudes toward addiction treatment by reinforcing previously acquired medical education. The duration of these changes remains to be determined.</t>
  </si>
  <si>
    <t>J2: Am J Addict; Karam-Hage, M Nerenberg, L Brower, K J; ID: 1006</t>
  </si>
  <si>
    <t>Karam-Hage, M. Department of Psychiatry and Alcohol Research Center, University of Michigan, 400 E. Eisenhower Pkwy. Suite 2A, Ann Arbor, MI 48108, USA. maherakh@umich.edu</t>
  </si>
  <si>
    <t>http://ovidsp.ovid.com/ovidweb.cgi?T=JS&amp;CSC=Y&amp;NEWS=N&amp;PAGE=fulltext&amp;D=med4&amp;AN=11268827</t>
  </si>
  <si>
    <t>MEDLINE; Ovid Technologies; Modifying residents' professional attitudes about substance abuse treatment and training</t>
  </si>
  <si>
    <t>Karam-Hage,M.;Ouyang,F.;Ghorayeb,J.;Mullan,P.;Brower,K.;Gruppen,L.</t>
  </si>
  <si>
    <t>Stimulating and evaluating acquired knowledge of addiction among residents through repeat testing: a pilot study</t>
  </si>
  <si>
    <t>Adult;*Behavior, Addictive;*Clinical Competence;Curriculum;*Education, Medical, Graduate/mt Methods];*Educational Measurement/mt Methods];Female;Humans;*Internship and Residency/mt Methods];Male;Pilot Projects;*Psychiatry/ed Education];*Substance-Related Disorders</t>
  </si>
  <si>
    <t>BACKGROUND: Addictive disorders receive little attention in medical school and residency program curricula. OBJECTIVE: To evaluate an innovative learning approach encouraging and stimulating residents to focus on key competencies by testing before and after their addiction psychiatry rotation. METHODS: We developed a 50-item test on substance use disorders. Twenty-six general psychiatry residents, post-graduate year I (PGY-I) and II (PGY-II), participated in the pilot study and were divided into three groups. PGY-I residents were divided into Group 1, who were tested the last day of the rotation and again 2 months later, and Group 2, who were tested on the first and the last day of the rotation. Eight of 11 PGY-II residents agreed to participate as controls (Group 3), as they had previously completed their 2-month addiction psychiatry rotation as PGY-I's. All residents were informed that the testing would not affect their individual grade. After taking the first test, all three groups received related study materials. RESULTS: A statistically significant increase in re-test scores occurred in the combined groups (p&lt;.001). The largest changes in scores were among Group 2 (the group taking the test on first and last day of their addiction psychiatry rotation). CONCLUSION: The greatest learning seemed to occur when residents were tested at beginning and end of the rotation. However, all residents' test scores improved to some degree, regardless of their level of training or the timing of the test. SCIENTIFIC SIGNIFICANCE: This study offers support for testing as a learning guide and as a means of stimulating residents' learning.</t>
  </si>
  <si>
    <t>J2: Am J Addict; Karam-Hage, Maher Ouyang, Fangqian Ghorayeb, Jihane Mullan, Patricia Brower, Kirk Gruppen, Larry; ID: 241</t>
  </si>
  <si>
    <t>Karam-Hage, Maher. Department of Behavioral Science, University of Texas MD Anderson Cancer Center, Houston, Texas; Department of Psychiatry, University of Texas MD Anderson Cancer Center, Houston, Texas.</t>
  </si>
  <si>
    <t>http://ovidsp.ovid.com/ovidweb.cgi?T=JS&amp;CSC=Y&amp;NEWS=N&amp;PAGE=fulltext&amp;D=med8&amp;AN=25065389</t>
  </si>
  <si>
    <t>https://dx.doi.org/10.1111/j.1521-0391.2014.12141.x</t>
  </si>
  <si>
    <t>MEDLINE; Ovid Technologies; Stimulating and evaluating acquired knowledge of addiction among residents through repeat testing: a pilot study</t>
  </si>
  <si>
    <t>Karnitschnig,A.</t>
  </si>
  <si>
    <t>Alcoholics anonymous in medical school education</t>
  </si>
  <si>
    <t>*Alcoholics Anonymous;Attitude;Curriculum;*Education, Medical, Undergraduate;Humans;*Schools, Medical;*Students, Medical/px Psychology]</t>
  </si>
  <si>
    <t>The Department of Family and Community Medicine at Eastern Virginia Medical School has implemented a program introducing second-year medical students to Alcoholics Anonymous. This report reflects the results of the students' experience. All students felt they would be able to use Alcoholics Anonymous more effectively in caring for their patients.</t>
  </si>
  <si>
    <t>J2: Fam Med; Karnitschnig, A; ID: 1387</t>
  </si>
  <si>
    <t>Karnitschnig, A. Department of Family and Community Medicine, Eastern Virginia Medical School, Norfolk.</t>
  </si>
  <si>
    <t>http://ovidsp.ovid.com/ovidweb.cgi?T=JS&amp;CSC=Y&amp;NEWS=N&amp;PAGE=fulltext&amp;D=med3&amp;AN=2925031</t>
  </si>
  <si>
    <t>MEDLINE; Ovid Technologies; Alcoholics anonymous in medical school education</t>
  </si>
  <si>
    <t>Kaskutas,L. A.;Marsh,D.;Kohn,A.</t>
  </si>
  <si>
    <t>Didactic and experiential education in substance abuse programs</t>
  </si>
  <si>
    <t>Alcoholism/rh Rehabilitation];Humans;*Patient Education as Topic;Self-Help Groups;Social Environment;*Substance-Related Disorders/rh Rehabilitation]</t>
  </si>
  <si>
    <t>Medical model and social model programs both include client education as part of their service mandate, although the two models may define and accomplish the task of education differently. The role of education in substance abuse recovery has not been clear in either the treatment or recovery models. This paper therefore begins with a debate of the value of "educating" substance abuse clients, using several possible definitions of education and drawing upon a variety of theories from health education and community psychology. We divide these types of education into two broad definitional categories: knowledge acquisition and life skills development. Using data collected during a process evaluation at one medical and two social model programs, we provide examples of how knowledge acquisition and life skills development are accomplished at these sites. Analysis of the observational data pointed to two approaches to education, one didactic, the other experiential. All three sites used a didactic approach to knowledge about addiction. Only the social model sites used an experiential approach to convey knowledge and skills about recovery, and the development of life skills. References: 15]</t>
  </si>
  <si>
    <t>J2: J Subst Abuse Treat; Kaskutas, L A Marsh, D Kohn, A; ID: 1112</t>
  </si>
  <si>
    <t>Kaskutas, L A. Alcohol Research Group, Berkeley, CA 94709-2176, USA.</t>
  </si>
  <si>
    <t>http://ovidsp.ovid.com/ovidweb.cgi?T=JS&amp;CSC=Y&amp;NEWS=N&amp;PAGE=fulltext&amp;D=med4&amp;AN=9534126</t>
  </si>
  <si>
    <t>MEDLINE; Ovid Technologies; Didactic and experiential education in substance abuse programs</t>
  </si>
  <si>
    <t>Kastenholz,K. J.;Agarwal,G.</t>
  </si>
  <si>
    <t>A Qualitative Analysis of Medical Students' Reflection on Attending an Alcoholics Anonymous Meeting: Insights for Future Addiction Curricula</t>
  </si>
  <si>
    <t>*Alcoholics Anonymous;*Alcoholism/rh Rehabilitation];*Attitude of Health Personnel;*Clinical Clerkship;*Curriculum;Humans;*Psychiatry/ed Education];Qualitative Research;*Students, Medical</t>
  </si>
  <si>
    <t>OBJECTIVE: This paper describes medical students' views of alcoholism and their response to attending an Alcoholics Anonymous (AA) meeting during their psychiatry clerkship. This may assist other educators in planning their addiction curricula. METHODS: Medical students were required to attend an AA meeting during their psychiatry clerkship and then to write a reflection piece on this experience. We selected a random sample of 40 pieces and performed a qualitative analysis to identify the prominent ideas and themes in this sample. RESULTS: Medical students found their experience attending an AA meeting to be educationally valuable. They reported their familiarity with AA prior to this experience was largely limited to popular media depictions. Students reported understanding alcoholism as a disease with both biological and psychosocial components. They were often concerned with the presence of religiosity and spirituality at the meetings. Following the experience, students felt more comfortable referring patients to AA and identified empathy, honesty, and openness as crucial contributors to the efficacy of AA. CONCLUSIONS: Students felt that attending an AA meeting during their psychiatry clerkship was an educationally valuable experience. Medical students' familiarity with addiction treatment is limited, and attending an AA meeting may be helpful in increasing their comfort with treating addicted patients in the future. In addition, educators may want to explicitly address the spirituality issue related to some treatment programs to increase the likelihood that future physicians feel comfortable referring their patients to recovery programs.</t>
  </si>
  <si>
    <t>J2: Acad Psychiatry; Kastenholz, Kurt J Agarwal, Gaurava; ID: 124</t>
  </si>
  <si>
    <t>Kastenholz, Kurt J. Northwestern University Feinberg School of Medicine, Chicago, IL, USA. kurt-kastenholz@fsm.northwestern.edu. Agarwal, Gaurava. Northwestern University Feinberg School of Medicine, Chicago, IL, USA.</t>
  </si>
  <si>
    <t>http://ovidsp.ovid.com/ovidweb.cgi?T=JS&amp;CSC=Y&amp;NEWS=N&amp;PAGE=fulltext&amp;D=med8&amp;AN=26108396</t>
  </si>
  <si>
    <t>https://dx.doi.org/10.1007/s40596-015-0380-3</t>
  </si>
  <si>
    <t>MEDLINE; Ovid Technologies; A Qualitative Analysis of Medical Students' Reflection on Attending an Alcoholics Anonymous Meeting: Insights for Future Addiction Curricula</t>
  </si>
  <si>
    <t>Katsumata,M.;Hirata,K.;Nakadai,A.;Inagaki,H.;Kawada,T.</t>
  </si>
  <si>
    <t>The trial of simple gas analysis of tobacco smoke that can be used for medical education]</t>
  </si>
  <si>
    <t>Nippon Eiseigaku Zasshi - Japanese Journal of Hygiene</t>
  </si>
  <si>
    <t>Acetaldehyde/an Analysis];Ammonia/an Analysis];Education, Medical, Undergraduate;Formaldehyde/an Analysis];Hydrogen Cyanide/an Analysis];Nitrogen Oxides/an Analysis];*Tobacco Smoke Pollution/an Analysis];0 (Nitrogen Oxides);0 (Tobacco Smoke Pollution);1HG84L3525 (Formaldehyde);2WTB3V159F (Hydrogen Cyanide);7664-41-7 (Ammonia);GO1N1ZPR3B (Acetaldehyde)</t>
  </si>
  <si>
    <t>OBJECTIVE: The purpose of this study was to check a simple sampling and easy gas analysis of tobacco smoke for effective tobacco intervention in medical education. METHODS: The mainstream of tobacco smoke was sampled by a syringe (50 ml) at five, ten and twenty seconds. The extracted mainstream was moved to a commercial PET bottle (2000 ml), and measured with gas detector tubes. The sidestream, which rises from the tip of the cigarette, was collected into a commercial PET bottle for a duration of 30 or 60 seconds. Formaldehyde, acetaldehyde, ammonia, hydrogen cyanide, and nitrogen oxides (NO, NO2) in the tobacco smoke were measured. Then, these gasses in the tobacco smoke of four brands of cigarettes were compared. This trial was conducted in third-year medical students, and the changes in attitudes to smokers and tobacco itself were investigated. RESULTS: The method of sampling 50 ml for 5 seconds produced the highest concentration of each gas in the mainstream. The gas concentration in the sidestream increased as the sampling time increased. The gas concentration in mainstream of "Lucia" was the highest of the used four brands, and the gas concentrations in the sidestream of "Mild Seven Prime" were higher than those of the other brands. Many medical students obtained knowledge about the toxicity of smoking by this experiment study. CONCLUSION: We studied a simple sampling method of tobacco smoke, and gas analysis with gas detector tubes. This method is recommended for tobacco education and intervention in medical education.</t>
  </si>
  <si>
    <t>J2: Nippon Eiseigaku Zasshi; Japanese Katsumata, Masao Hirata, Kimiko Nakadai, Ari Inagaki, Hirofumi Kawada, Tomoyuki; ID: 856</t>
  </si>
  <si>
    <t>0021-5082</t>
  </si>
  <si>
    <t>Katsumata, Masao. Department of Hygiene and Public Health, Nippon Medical School, Tokyo, Japan. masao-k@nms.ac.jp</t>
  </si>
  <si>
    <t>http://ovidsp.ovid.com/ovidweb.cgi?T=JS&amp;CSC=Y&amp;NEWS=N&amp;PAGE=fulltext&amp;D=med5&amp;AN=16130910</t>
  </si>
  <si>
    <t>MEDLINE; Ovid Technologies; [The trial of simple gas analysis of tobacco smoke that can be used for medical education]</t>
  </si>
  <si>
    <t>Kattapong,V. J.;Locher,T. L.;Secker-Walker,R.;Bell,T. A.</t>
  </si>
  <si>
    <t>American College of Preventive Medicine practice policy. Tobacco-cessation patient counseling</t>
  </si>
  <si>
    <t>*Health Promotion/mt Methods];Humans;*Patient Education as Topic/st Standards];*Preventive Medicine/st Standards];*Tobacco Use Cessation/mt Methods];*Tobacco Use Disorder/pc Prevention &amp; Control];United States</t>
  </si>
  <si>
    <t>J2: Am J Prev Med; Kattapong, V J Locher, T L Secker-Walker, R H Bell, T A; ID: 1091</t>
  </si>
  <si>
    <t>Kattapong, V J. Department of Health Services and Preventive Medicine Residency, School of Public Health and Community Medicine, University of Washington, Seattle 98195, USA.</t>
  </si>
  <si>
    <t>http://ovidsp.ovid.com/ovidweb.cgi?T=JS&amp;CSC=Y&amp;NEWS=N&amp;PAGE=fulltext&amp;D=med4&amp;AN=9713673</t>
  </si>
  <si>
    <t>MEDLINE; Ovid Technologies; American College of Preventive Medicine practice policy. Tobacco-cessation patient counseling</t>
  </si>
  <si>
    <t>Katz,J. L.</t>
  </si>
  <si>
    <t>Training in substance abuse: still a stepchild in psychiatry residencies?</t>
  </si>
  <si>
    <t>Accreditation;Alcoholism/di Diagnosis];*Alcoholism/rh Rehabilitation];Curriculum;Humans;*Internship and Residency;*Psychiatry/ed Education];Substance-Related Disorders/di Diagnosis];*Substance-Related Disorders/rh Rehabilitation];United States</t>
  </si>
  <si>
    <t>J2: J Subst Abuse Treat; Katz, J L; ID: 1128</t>
  </si>
  <si>
    <t>http://ovidsp.ovid.com/ovidweb.cgi?T=JS&amp;CSC=Y&amp;NEWS=N&amp;PAGE=fulltext&amp;D=med4&amp;AN=9258865</t>
  </si>
  <si>
    <t>MEDLINE; Ovid Technologies; Training in substance abuse: still a stepchild in psychiatry residencies?</t>
  </si>
  <si>
    <t>Katzman,J. G.;Comerci,G. D.;Landen,M.;Loring,L.;Jenkusky,S. M.;Arora,S.;Kalishman,S.;Marr,L.;Camarata,C.;Duhigg,D.;Dillow,J.;Koshkin,E.;Taylor,D. E.;Geppert,C. M.</t>
  </si>
  <si>
    <t>Rules and values: a coordinated regulatory and educational approach to the public health crises of chronic pain and addiction</t>
  </si>
  <si>
    <t>*Analgesics, Opioid/tu Therapeutic Use];*Chronic Pain/dt Drug Therapy];Drug Overdose/pc Prevention &amp; Control];Drug Prescriptions;Education, Medical, Continuing/mt Methods];*Education, Medical, Continuing;Humans;New Mexico;*Opioid-Related Disorders/pc Prevention &amp; Control];Pain Management;Public Health;0 (Analgesics, Opioid)</t>
  </si>
  <si>
    <t>Chronic pain and opioid addiction are 2 pressing public health problems, and prescribing clinicians often lack the skills necessary to manage these conditions. Our study sought to address the benefits of a coalition of an academic medical center pain faculty and government agencies in addressing the high unintentional overdose death rates in New Mexico. New Mexico's 2012-2013 mandated chronic pain and addiction education programs studied more than 1000 clinicians. Positive changes were noted in precourse and postcourse surveys of knowledge, self-efficacy, and attitudes. Controlled substance dispensing data from the New Mexico Board of Pharmacy also demonstrated safer prescribing. The total morphine and Valium milligram equivalents dispensed have decreased continually since 2011. There was also a concomitant decline in total drug overdose deaths.</t>
  </si>
  <si>
    <t>J2: Am J Public Health; Katzman, Joanna G Comerci, George D Landen, Michael Loring, Larry Jenkusky, Steven M Arora, Sanjeev Kalishman, Summers Marr, Lisa Camarata, Chris Duhigg, Daniel Dillow, Jennifer Koshkin, Eugene Taylor, Denise E Geppert, Cynthia M A; ID: 281</t>
  </si>
  <si>
    <t>Katzman, Joanna G. Joanna G. Katzman, Cynthia M.A. Geppert, George D. Comerci, Sanjeev Arora, Summers Kalishman, Lisa Marr, Chris Camarata, Daniel Duhigg, Jennifer Dillow, Eugene Koshkin, and Denise E. Taylor are with the University of New Mexico (UNM) Health Sciences Center, Albuquerque. Michael Landen is with the New Mexico Department of Health, Santa Fe. Larry Loring is with the New Mexico Board of Pharmacy, Albuquerque. Steven M. Jenkusky is with the New Mexico Medical Board, Santa Fe.</t>
  </si>
  <si>
    <t>http://ovidsp.ovid.com/ovidweb.cgi?T=JS&amp;CSC=Y&amp;NEWS=N&amp;PAGE=fulltext&amp;D=med8&amp;AN=24922121</t>
  </si>
  <si>
    <t>https://dx.doi.org/10.2105/AJPH.2014.301881</t>
  </si>
  <si>
    <t>MEDLINE; Ovid Technologies; Rules and values: a coordinated regulatory and educational approach to the public health crises of chronic pain and addiction</t>
  </si>
  <si>
    <t>Katzman,J. G.;Fore,C.;Bhatt,S.;Greenberg,N.;Griffin Salvador,J.;Comerci,G. C.;Camarata,C.;Marr,L.;Monette,R.;Arora,S.;Bradford,A.;Taylor,D.;Dillow,J.;Karol,S.</t>
  </si>
  <si>
    <t>Evaluation of American Indian Health Service Training in Pain Management and Opioid Substance Use Disorder</t>
  </si>
  <si>
    <t>Academic Medical Centers/og Organization &amp; Administration];Analgesics, Opioid/ad Administration &amp; Dosage];Analgesics, Opioid/ae Adverse Effects];*Analgesics, Opioid/tu Therapeutic Use];Attitude of Health Personnel;Computer-Assisted Instruction/mt Methods];Cooperative Behavior;*Education, Medical, Continuing/og Organization &amp; Administration];Health Knowledge, Attitudes, Practice;Humans;Indians, North American;Inuits;Opioid-Related Disorders/di Diagnosis];*Opioid-Related Disorders/eh Ethnology];Opioid-Related Disorders/pc Prevention &amp; Control];*Pain Management/mt Methods];Practice Patterns, Physicians';Self Efficacy;United States;*United States Indian Health Service/og Organization &amp; Administration];0 (Analgesics, Opioid)</t>
  </si>
  <si>
    <t>We examined the benefits of a collaboration between the Indian Health Service and an academic medical center to address the high rates of unintentional drug overdose in American Indians/Alaska Natives. In January 2015, the Indian Health Service became the first federal agency to mandate training in pain and opioid substance use disorder for all prescribing clinicians. More than 1300 Indian Health Service clinicians were trained in 7 possible 5-hour courses specific to pain and addiction. We noted positive changes in pre- and postcourse knowledge, self-efficacy, and attitudes as well as thematic responses showing the trainings to be comprehensive, interactive, and convenient.</t>
  </si>
  <si>
    <t>J2: Am J Public Health; Katzman, Joanna G Fore, Chris Bhatt, Snehal Greenberg, Nina Griffin Salvador, Julie Comerci, George C Camarata, Christopher Marr, Lisa Monette, Rebecca Arora, Sanjeev Bradford, Andrea Taylor, Denise Dillow, Jenny Karol, Susan; ID: 86</t>
  </si>
  <si>
    <t>Katzman, Joanna G. Joanna G. Katzman is with the Department of Neurosurgery, University of New Mexico (UNM) School of Medicine, Albuquerque. Christopher Fore is with the Indian Health Service (IHS), Telebehavioral Health Center of Excellence, Albuquerque, NM. Snehal Bhatt and Julie Griffin Salvador are with the Department of Psychiatry, UNM School of Medicine. Nina Greenberg is with the Mathematics and Statistics Department, UNM. George C. Comerci and Lisa Marr are with the Department of Internal Medicine, UNM School of Medicine. Christopher Camarata is with the Department of Family Medicine, UNM School of Medicine. Rebecca Monette, Sanjeev Arora, and Andrea Bradford are with Project ECHO (Extension for Community Healthcare Outcomes), UNM School of Medicine. Denise Taylor is with the Department of Pediatrics, UNM School of Medicine. Jenny Dillow is with the Department of Anesthesia, UNM School of Medicine. Susan Karol is with IHS, US Health and Human Services, Rockville, MD. Fore, Chris. Joanna G. Katzman is with the Department of Neurosurgery, University of New Mexico (UNM) School of Medicine, Albuquerque. Christopher Fore is with the Indian Health Service (IHS), Telebehavioral Health Center of Excellence, Albuquerque, NM. Snehal Bhatt and Julie Griffin Salvador are with the Department of Psychiatry, UNM School of Medicine. Nina Greenberg is with the Mathematics and Statistics Department, UNM. George C. Comerci and Lisa Marr are with the Department of Internal Medicine, UNM School of Medicine. Christopher Camarata is with the Department of Family Medicine, UNM School of Medicine. Rebecca Monette, Sanjeev Arora, and Andrea Bradford are with Project ECHO (Extension for Community Healthcare Outcomes), UNM School of Medicine. Denise Taylor is with the Department of Pediatrics, UNM School of Medicine. Jenny Dillow is with the Department of Anesthesia, UNM School of Medicine. Susan Karol is with IHS, US Health and Human Services, Rockville, MD. Bhatt, Snehal. (TRUNCATED)</t>
  </si>
  <si>
    <t>http://ovidsp.ovid.com/ovidweb.cgi?T=JS&amp;CSC=Y&amp;NEWS=N&amp;PAGE=fulltext&amp;D=med8&amp;AN=27196642</t>
  </si>
  <si>
    <t>https://dx.doi.org/10.2105/AJPH.2016.303193</t>
  </si>
  <si>
    <t>MEDLINE; Ovid Technologies; Evaluation of American Indian Health Service Training in Pain Management and Opioid Substance Use Disorder</t>
  </si>
  <si>
    <t>Kaufman,J. S.;Connell,C. M.;Crusto,C. A.;Gordon,D. M.;Sartor,C. E.;Simon,P.;Strambler,M. J.;Sullivan,T. P.;Ward,N. L.;Weiss,N. H.;Tebes,J. K.</t>
  </si>
  <si>
    <t>Reflections on a Community Psychology Setting and the Future of the Field</t>
  </si>
  <si>
    <t>American Journal of Community Psychology</t>
  </si>
  <si>
    <t>Am.J.Community Psychol.</t>
  </si>
  <si>
    <t>*Community Mental Health Services/og Organization &amp; Administration];*Community Mental Health Services/td Trends];Connecticut;Curriculum/td Trends];Education, Medical/og Organization &amp; Administration];Education, Medical/td Trends];Forecasting;Health Personnel/ed Education];Humans;Interdisciplinary Communication;Intersectoral Collaboration;*Mental Disorders/pc Prevention &amp; Control];Mentors/ed Education];Psychology, Social/ed Education];*Psychology, Social/og Organization &amp; Administration];*Psychology, Social/td Trends];Referral and Consultation/og Organization &amp; Administration];Referral and Consultation/td Trends];Schools, Medical/og Organization &amp; Administration];Schools, Medical/td Trends];*Substance-Related Disorders/pc Prevention &amp; Control]</t>
  </si>
  <si>
    <t>The 50th anniversary of the Swampscott Conference offers an opportunity to reflect on a community psychology setting, The Consultation Center at Yale, that was formed in response to the 1963 Community Mental Health Act and the 1965 Swampscott Conference. The Center has flourished as a community psychology setting for practice, research, and training for 39 of the 50 years since Swampscott. Its creation and existence over this period offers an opportunity for reflection on the types of settings needed to sustain the field into the future.</t>
  </si>
  <si>
    <t>J2: Am J Community Psychol; Kaufman, Joy S Connell, Christian M Crusto, Cindy A Gordon, Derrick M Sartor, Carolyn E Simon, Patricia Strambler, Michael J Sullivan, Tami P Ward, Nadia L Weiss, Nicole Holland Tebes, Jacob Kraemer; ID: 57</t>
  </si>
  <si>
    <t>1573-2770</t>
  </si>
  <si>
    <t>Kaufman, Joy S. The Consultation Center, Division of Prevention and Community Research, Yale University School of Medicine, New Haven, CT, USA. Connell, Christian M. The Consultation Center, Division of Prevention and Community Research, Yale University School of Medicine, New Haven, CT, USA. Crusto, Cindy A. The Consultation Center, Division of Prevention and Community Research, Yale University School of Medicine, New Haven, CT, USA. Gordon, Derrick M. The Consultation Center, Division of Prevention and Community Research, Yale University School of Medicine, New Haven, CT, USA. Sartor, Carolyn E. The Consultation Center, Division of Prevention and Community Research, Yale University School of Medicine, New Haven, CT, USA. Simon, Patricia. The Consultation Center, Division of Prevention and Community Research, Yale University School of Medicine, New Haven, CT, USA. Strambler, Michael J. The Consultation Center, Division of Prevention and Community Research, Yale University School of Medicine, New Haven, CT, USA. Sullivan, Tami P. The Consultation Center, Division of Prevention and Community Research, Yale University School of Medicine, New Haven, CT, USA. Ward, Nadia L. The Consultation Center, Division of Prevention and Community Research, Yale University School of Medicine, New Haven, CT, USA. Weiss, Nicole Holland. The Consultation Center, Division of Prevention and Community Research, Yale University School of Medicine, New Haven, CT, USA. Tebes, Jacob Kraemer. The Consultation Center, Division of Prevention and Community Research, Yale University School of Medicine, New Haven, CT, USA.</t>
  </si>
  <si>
    <t>http://ovidsp.ovid.com/ovidweb.cgi?T=JS&amp;CSC=Y&amp;NEWS=N&amp;PAGE=fulltext&amp;D=medc&amp;AN=27883198</t>
  </si>
  <si>
    <t>https://dx.doi.org/10.1002/ajcp.12108</t>
  </si>
  <si>
    <t>MEDLINE; Ovid Technologies; Reflections on a Community Psychology Setting and the Future of the Field</t>
  </si>
  <si>
    <t>Kaul,P.;Fisher,J. H.;Hanson,J. L.</t>
  </si>
  <si>
    <t>Medical Students' Acquisition of Adolescent Interview Skills after Coached Role Play</t>
  </si>
  <si>
    <t>Journal of Pediatric &amp; Adolescent Gynecology</t>
  </si>
  <si>
    <t>Adolescent;*Adolescent Medicine/ed Education];Clinical Competence;*Education, Medical/mt Methods];Female;Humans;Male;Retrospective Studies;*Role Playing;Students, Medical</t>
  </si>
  <si>
    <t>STUDY OBJECTIVE: To develop and evaluate an educational activity designed to teach the adolescent Home, Education and employment, Eating, Activities, Drugs, Sexuality, Suicide/depression, and Safety (HEADS) examination. DESIGN, SETTING, PARTICIPANTS, INTERVENTIONS, AND MAIN OUTCOME MEASURES: Participants were third-year medical students in their pediatric clerkships. Students received an article on the HEADS interview and attended an adolescent medicine educational session. The session included individualized goal-setting and coached role play. Students' skills in doing a HEADS interview were evaluated through a standardized patient encounter (SPE) with a checklist and a retrospective pre- and post-test survey. The SPE checklist was used to assess whether the students included questions in 6 key areas of a HEADS interview. RESULTS: One hundred fifty-two students participated. During the SPE, 90% of students queried the adolescent's home life, 91% education, 82% activities, 84% drug/substance abuse, 95% sexual history, and 61% symptoms of depression. Pre- and postintervention data were compared using the Kruskal-Wallis Test and showed a statistically significant difference in the students' ability to list key topic areas of the HEADS exam (P &lt; .001) and to use the skills needed for an adolescent interview using the HEADS exam (P &lt; .001). CONCLUSION: After an introduction to the HEADS examination, most students covered almost all of the topic areas of this screening interview during a SPE. Only three-fifths of the students, however, included questions about symptoms of depression. Coached role play with goal-setting facilitated effective learning of this approach to adolescent interviewing.</t>
  </si>
  <si>
    <t>J2: J Pediatr Adolesc Gynecol; Kaul, Paritosh Fisher, Jennifer H Hanson, Janice L S1083-3188(17)30509-0; ID: 7</t>
  </si>
  <si>
    <t>1873-4332</t>
  </si>
  <si>
    <t>Kaul, Paritosh. Section of Adolescent Medicine, University of Colorado School of Medicine, Children's Hospital Colorado, Aurora, Colorado. Electronic address: paritosh.kaul@childrenscolorado.org. Fisher, Jennifer H. University of Colorado Anschutz Medical Campus, College of Nursing, Aurora, Colorado. Hanson, Janice L. Department of Pediatrics, University of Colorado School of Medicine, Children's Hospital Colorado, Aurora, Colorado.</t>
  </si>
  <si>
    <t>http://ovidsp.ovid.com/ovidweb.cgi?T=JS&amp;CSC=Y&amp;NEWS=N&amp;PAGE=fulltext&amp;D=medl&amp;AN=29175430</t>
  </si>
  <si>
    <t>https://dx.doi.org/10.1016/j.jpag.2017.11.003</t>
  </si>
  <si>
    <t>MEDLINE; Ovid Technologies; Medical Students' Acquisition of Adolescent Interview Skills after Coached Role Play</t>
  </si>
  <si>
    <t>Kaye,A. D.;Banister,R. E.;Hoover,J. M.;Baluch,A. R.;Jacobs,S.;Shah,R. V.</t>
  </si>
  <si>
    <t>Chronic pain and ultrarapid opioid detoxification.Expression of Concern in Pain Pract. 2005 Jun;5(2):135; PMID: 17177760]</t>
  </si>
  <si>
    <t>Availability of opiate substances through physicians and on the street has led to a rise in dependence and in addiction resulting in countless numbers of people hooked on these drugs. Long-term use of these agents results in reduction of endogenous supply of opiate replaced by these exogenous compounds. A technique known as Ultrarapid Detoxification (UROD) has been developed and appears more promising than conventional modalities. UROD has been modified over 3 decades resulting in a safe and an effective general anesthetic that results in hemodynamically stable withdrawal without manifestation of central nervous system hyperarousal. A cornerstone of this technique involves clonidine, which stimulates reuptake of catecholamines and allows for large doses of opioid antagonist to be delivered without significant changes in heart rate or blood pressure, displacing the opiate. Though techniques vary from center to center, safety should be paramount with the technique performed in an intensive care unit with trained professional anesthesiologists. Psychosocial issues should be evaluated by a trained addictionalist and most people will succeed from the UROD procedure without experiencing the horrible withdrawal syndrome. Patients must have realistic goals and be prepared to deal with psychosocial issues post-procedure.</t>
  </si>
  <si>
    <t>J2: Pain pract; Kaye, Alan D Banister, Ron E Hoover, Jason M Baluch, Amir R Jacobs, Scott Shah, Rinoo V; ID: 761</t>
  </si>
  <si>
    <t>Kaye, Alan D. Department of Anesthesiology, Rapid Detoxification Center, Louisiana State University School of Medicine, New Orleans, LA 70112, USA.</t>
  </si>
  <si>
    <t>http://ovidsp.ovid.com/ovidweb.cgi?T=JS&amp;CSC=Y&amp;NEWS=N&amp;PAGE=fulltext&amp;D=prem&amp;AN=17156115</t>
  </si>
  <si>
    <t>MEDLINE; Ovid Technologies; Chronic pain and ultrarapid opioid detoxification.[Expression of Concern in Pain Pract. 2005 Jun;5(2):135; PMID: 17177760]</t>
  </si>
  <si>
    <t>Kear,C.;McKeithen,T.;Robertson,S.</t>
  </si>
  <si>
    <t>ER/LA opioid REMS and accredited education: Survey results provide insight into clinical roles, educational needs, and learner preferences</t>
  </si>
  <si>
    <t>Analgesics, Opioid/tu Therapeutic Use];Clinical Competence;Delayed-Action Preparations/tu Therapeutic Use];*Education, Medical, Continuing;Humans;Licensure/sn Statistics &amp; Numerical Data];Pain/dt Drug Therapy];Practice Patterns, Physicians'/sn Statistics &amp; Numerical Data];0 (Analgesics, Opioid);0 (Delayed-Action Preparations)</t>
  </si>
  <si>
    <t>BACKGROUND: The Collaborative for REMS (Risk Evaluation and Mitigation Strategy) Education (CO*RE) includes 13 organizations that provide REMS Program Companies (RPC) grant-supported accredited education on extended-release and long-acting (ER/LA) opioid therapy. This report summarizes results of a survey designed to investigate the impact of participant criteria and to better understand the roles and preferences of continuing medical education/continuing education (CME/CE) participants. METHODS: In April 2015, the authors made an online survey available to an estimated 10,000 clinicians who had completed a CO*RE CME/CE activity since 2013. The purpose of the survey was to (1) examine possible reasons learners may underreport prescribing status, (2) investigate ways in which learners engage in nonprescribing roles relevant to reducing adverse patient outcomes, and (3) determine the acceptability of a potential test-based learning tool that allows participants with mastery to test out in lieu of participating in 2- to 3-hour education. RESULTS: Findings revealed that there was little confusion or reluctance by learners to answer questions about Drug Enforcement Administration (DEA) licensing and whether they prescribed opioids in the past year. REMS "prescriber" education covers opioid management responsibilities that are distributed among team members who play critical nonprescribing roles in reducing serious adverse outcomes from both ER/LA and immediate-release (IR) opioids. Seventy-three percent of study participants would favor a test-based learning tool should future circumstances warrant it. CONCLUSION: The authors concluded the likelihood of underreporting is small, but there is an opportunity to clarify license and prescribing questions; opioid management responsibilities are distributed among nonprescribing team members who play roles in reducing adverse outcomes from both ER/LA and IR opioids, who would therefore benefit from REMS education; and clinicians favor a test-based learning tool, should future circumstances warrant it. These findings could have implications for planning future ER/LA opioid REMS curriculum and for setting and interpreting training goals for the US Food and Drug Administration's (FDA) ER/LA opioid REMS program.</t>
  </si>
  <si>
    <t>J2: Subst Abus; Kear, Cynthia McKeithen, Tom Robertson, Sheila; ID: 13</t>
  </si>
  <si>
    <t>Kear, Cynthia. a California Academy of Family Physicians , San Francisco , California , USA. McKeithen, Tom. b Healthcare Performance Consulting , Statesboro , Georgia , USA. Robertson, Sheila. c Forefront Collaborative , Carmel , Indiana , USA.</t>
  </si>
  <si>
    <t>http://ovidsp.ovid.com/ovidweb.cgi?T=JS&amp;CSC=Y&amp;NEWS=N&amp;PAGE=fulltext&amp;D=medl&amp;AN=28418777</t>
  </si>
  <si>
    <t>https://dx.doi.org/10.1080/08897077.2017.1303422</t>
  </si>
  <si>
    <t>MEDLINE; Ovid Technologies; ER/LA opioid REMS and accredited education: Survey results provide insight into clinical roles, educational needs, and learner preferences</t>
  </si>
  <si>
    <t>Keefe,C. W.;Thompson,M. E.;Wadland,W. C.</t>
  </si>
  <si>
    <t>A comprehensive approach to teaching smoking-cessation strategies</t>
  </si>
  <si>
    <t>Attitude of Health Personnel;*Clinical Clerkship/og Organization &amp; Administration];Clinical Competence/st Standards];Comprehensive Health Care/og Organization &amp; Administration];*Family Practice/ed Education];Humans;Patient Simulation;Physician-Patient Relations;Practice Guidelines as Topic;Program Evaluation;Role Playing;*Smoking Cessation/mt Methods];Smoking Cessation/px Psychology];*Students, Medical/px Psychology];*Teaching/og Organization &amp; Administration];Videotape Recording</t>
  </si>
  <si>
    <t>J2: Acad Med; Keefe, C W Thompson, M E Wadland, W C; ID: 1008</t>
  </si>
  <si>
    <t>Keefe, C W. Office of Medical Education Research and Development, Michigan State University, Lansing, MI 48824, USA. ckeefe@msu.edu</t>
  </si>
  <si>
    <t>http://ovidsp.ovid.com/ovidweb.cgi?T=JS&amp;CSC=Y&amp;NEWS=N&amp;PAGE=fulltext&amp;D=med4&amp;AN=11346559</t>
  </si>
  <si>
    <t>MEDLINE; Ovid Technologies; A comprehensive approach to teaching smoking-cessation strategies</t>
  </si>
  <si>
    <t>Keeley,K. A.;Galanter,M.;Millman,R.;Jackson,G.</t>
  </si>
  <si>
    <t>Clinical fellowships in substance abuse: a new curriculum strategy</t>
  </si>
  <si>
    <t>Community Mental Health Centers/ma Manpower];*Curriculum;Education, Medical, Graduate/ec Economics];*Education, Medical, Graduate;*Fellowships and Scholarships;Humans;New York;Referral and Consultation;*Substance-Related Disorders/th Therapy]</t>
  </si>
  <si>
    <t>Recognizing the effectiveness of substance abuse treatment is made easier when there is a steady supply of newly trained medical professionals who are competent in this specialty. University-based substance abuse treatment facilities have a clear obligation to educate such professionals. This article shows how three different medical colleges were able to establish new clinical fellowships in substance abuse so that teaching activities could be fostered at preexisting treatment sites. Fellowship activities varied from one place to the next, but at all three schools important momentum was generated on behalf of substance abuse education. These experiences provide models for those academicians and administrators who face the task of integrating educational and serivce delivery missions in the substance abuse field.</t>
  </si>
  <si>
    <t>J2: Am J Drug Alcohol Abuse; Keeley, K A Galanter, M Millman, R Jackson, G; ID: 1509</t>
  </si>
  <si>
    <t>http://ovidsp.ovid.com/ovidweb.cgi?T=JS&amp;CSC=Y&amp;NEWS=N&amp;PAGE=fulltext&amp;D=med2&amp;AN=7435482</t>
  </si>
  <si>
    <t>MEDLINE; Ovid Technologies; Clinical fellowships in substance abuse: a new curriculum strategy</t>
  </si>
  <si>
    <t>Kelleher,S.;Cotter,P.</t>
  </si>
  <si>
    <t>A descriptive study on emergency department doctors' and nurses' knowledge and attitudes concerning substance use and substance users</t>
  </si>
  <si>
    <t>International emergency nursing</t>
  </si>
  <si>
    <t>Adult;*Attitude of Health Personnel;Clinical Competence;Drug Users/px Psychology];Emergency Medicine/ed Education];Emergency Medicine/og Organization &amp; Administration];Emergency Nursing/ed Education];Emergency Nursing/og Organization &amp; Administration];Emergency Service, Hospital/og Organization &amp; Administration];*Emergency Service, Hospital;Empathy;Female;*Health Knowledge, Attitudes, Practice;Health Services Needs and Demand;Humans;Ireland;Male;Medical Staff, Hospital/ed Education];Medical Staff, Hospital/px Psychology];*Medical Staff, Hospital;Middle Aged;Nursing Methodology Research;Nursing Staff, Hospital/ed Education];Nursing Staff, Hospital/px Psychology];*Nursing Staff, Hospital;Practice Guidelines as Topic;Professional Role;Stereotyping;Substance-Related Disorders/di Diagnosis];Substance-Related Disorders/px Psychology];Substance-Related Disorders/th Therapy];*Substance-Related Disorders;Surveys and Questionnaires</t>
  </si>
  <si>
    <t>AIM: The aim of this study was to determine emergency department doctors' and nurses' knowledge and attitudes regarding problematic substance use and substance users. METHODS: Data were collected using an adapted survey questionnaire and the Substance Abuse Attitude Survey (SAAS). By means of convenience/opportunistic sampling all emergency department doctors and nurses (N=145) working in three university teaching hospitals in Ireland were asked to fill out the knowledge and attitudes questionnaire. RESULTS: A response rate of 46%, N=66 was achieved. Results indicate that participants' current level of knowledge about alcohol and drug misuse in general, is satisfactory. A particular knowledge deficit in relation to intervention strategies, and other substances was identified. The majority of participants have never received any specific training regarding substance use and this suggests that substance using patients are managed inadequately. The SAAS results indicate that participants exhibited near-optimal attitudes for constructive working with substance using patients. CONCLUSION: There is an urgent need for further in-service training programmes and the development of standard protocols/guidelines for the identification and management of substance using patients who present in the emergency department.</t>
  </si>
  <si>
    <t>J2: Int Emerg Nurs; Kelleher, Sean Cotter, Patrick; ID: 632</t>
  </si>
  <si>
    <t>1878-013X</t>
  </si>
  <si>
    <t>Kelleher, Sean. School of Nursing and Midwifery, Brookfield Health Sciences Complex, University College Cork, Ireland. s.kelleher@ucc.ie</t>
  </si>
  <si>
    <t>http://ovidsp.ovid.com/ovidweb.cgi?T=JS&amp;CSC=Y&amp;NEWS=N&amp;PAGE=fulltext&amp;D=med6&amp;AN=19135010</t>
  </si>
  <si>
    <t>https://dx.doi.org/10.1016/j.ienj.2008.08.003</t>
  </si>
  <si>
    <t>MEDLINE; Ovid Technologies; A descriptive study on emergency department doctors' and nurses' knowledge and attitudes concerning substance use and substance users</t>
  </si>
  <si>
    <t>Keller,D. S.;Galanter,M.;Weinberg,S.</t>
  </si>
  <si>
    <t>Validation of a scale for network therapy: a technique for systematic use of peer and family support in addition treatment</t>
  </si>
  <si>
    <t>Adult;Cognitive Therapy/ed Education];Combined Modality Therapy;Curriculum;Family Therapy/ed Education];*Family Therapy;Female;Humans;Internship and Residency;Male;*Peer Group;*Personality Inventory/sn Statistics &amp; Numerical Data];Psychiatry/ed Education];*Social Support;Substance-Related Disorders/px Psychology];*Substance-Related Disorders/rh Rehabilitation]</t>
  </si>
  <si>
    <t>Substance abuse treatments are increasingly employing standardized formats. This is especially the case for approaches that utilize an individual psychotherapy format but less so for family-based approaches. Network therapy, an approach that involves family members and peers in the patient's relapse prevention efforts, is theoretically and clinically differentiated in this paper from family systems therapy for addiction. Based on these conceptual differences, a Network Therapy Rating Scale (NTRS) was developed to measure the integrity and differentiability of network therapy from other family-based approaches to addiction treatment. Seven addictions faculty and 10 third- and fourth-year psychiatry residents recently trained in the network approach used the NTRS to rate excerpts of network and family systems therapy sessions. Data revealed the NTRS had high internal consistency reliability when utilized by both groups of raters. In addition, network and nonnetwork subscales within the NTRS rated congruent therapy excerpts significantly higher than noncongruent therapy excerpts, indicating that the NTRS subscales measure what they are designed to measure. Implications for research and training are discussed.</t>
  </si>
  <si>
    <t>J2: Am J Drug Alcohol Abuse; Keller, D S Galanter, M Weinberg, S; ID: 1146</t>
  </si>
  <si>
    <t>Keller, D S. Department of Psychiatry, New York University School of Medicine, New York, USA.</t>
  </si>
  <si>
    <t>http://ovidsp.ovid.com/ovidweb.cgi?T=JS&amp;CSC=Y&amp;NEWS=N&amp;PAGE=fulltext&amp;D=med4&amp;AN=9048151</t>
  </si>
  <si>
    <t>MEDLINE; Ovid Technologies; Validation of a scale for network therapy: a technique for systematic use of peer and family support in addition treatment</t>
  </si>
  <si>
    <t>Kelly,C. W.;Davis,J. M.;DiCocco,M.</t>
  </si>
  <si>
    <t>Assessing the current status of tobacco dependence education curricula in U.S. physician assistant programs</t>
  </si>
  <si>
    <t>Curriculum;Guidelines as Topic;*Health Education/mt Methods];Health Surveys;Humans;*Physician Assistants/ed Education];Self Efficacy;Smoking/ae Adverse Effects];*Smoking;*Smoking Cessation;Smoking Prevention;Tobacco/ae Adverse Effects];Tobacco Use Disorder/pc Prevention &amp; Control];*Tobacco Use Disorder;United States</t>
  </si>
  <si>
    <t>PURPOSE: Tobacco use continues to be the single most preventable cause of death and disease in the United States. A paradigm shift is needed in physician assistant (PA) education to address tobacco dependence as a chronic, relapsing disease requiring patient education, counseling, treatment, and follow-up. METHODS: A national study was conducted to assess the existing tobacco dependence education currently offered in U.S. PA programs. An established tobacco dependence curriculum survey was revised and mailed to the 141 accredited PA programs in the United States during the 2008-2009 academic year. The survey asked respondents to report the following with regard to tobacco dependence education content in their PA program; (1) Perceived self-efficacy and barriers; (2) Medical topics covered and minutes spent; (3) Evaluation of students' competency level; (4) Tobacco courses, topics, and resources used; and (5) Level of tobacco-cessation competency expected upon graduation. RESULTS: A total of 79 surveys were returned (56% response rate). Though, on average, over 827 minutes (14 hours) were devoted to tobacco dependence education curriculum, most minutes (223 minutes) were spent on the health effects of tobacco use, with only 42 minutes spent on cessation counseling, 55 minutes on medications, and 13 minutes on integrating tobacco-cessation into clinical practice. CONCLUSIONS: PA educators have the unique opportunity to affect tobacco-related morbidity and mortality. The present study demonstrates that PA instructors are more than adequately teaching students about tobacco use. However, it is not clear if students are being adequately taught how to assist patients to quit using tobacco.</t>
  </si>
  <si>
    <t>J2: J Physician Assist Educ; Kelly, Cheri W Davis, Joan M DiCocco, Margaret; ID: 488</t>
  </si>
  <si>
    <t>Kelly, Cheri W. Southern Illinois University, Physician Assistant Program, Lindegren Hall 10B 600 Agriculture Drive Carbondale, IL 62901-6516, USA. ckelly@siu.edu</t>
  </si>
  <si>
    <t>http://ovidsp.ovid.com/ovidweb.cgi?T=JS&amp;CSC=Y&amp;NEWS=N&amp;PAGE=fulltext&amp;D=med7&amp;AN=22070058</t>
  </si>
  <si>
    <t>MEDLINE; Ovid Technologies; Assessing the current status of tobacco dependence education curricula in U.S. physician assistant programs</t>
  </si>
  <si>
    <t>Kenna,G. A.;Wood,M. D.</t>
  </si>
  <si>
    <t>The prevalence of alcohol, cigarette and illicit drug use and problems among dentists.Erratum appears in J Am Dent Assoc. 2005 Sep;136(9):1224]</t>
  </si>
  <si>
    <t>Journal of the American Dental Association</t>
  </si>
  <si>
    <t>J.Am.Dent.Assoc.</t>
  </si>
  <si>
    <t>Adult;*Alcoholism/ep Epidemiology];Anti-Anxiety Agents;*Dentists;Humans;Interprofessional Relations;Middle Aged;Opioid-Related Disorders/ep Epidemiology];Physicians;Prevalence;Professional Impairment/sn Statistics &amp; Numerical Data];Rhode Island/ep Epidemiology];*Smoking/ep Epidemiology];Social Environment;*Street Drugs/ae Adverse Effects];*Substance-Related Disorders/ep Epidemiology];0 (Anti-Anxiety Agents);0 (Street Drugs)</t>
  </si>
  <si>
    <t>BACKGROUND: Primarily on the basis of qualitative data, use of alcohol and illicit drugs has been speculated to be higher among dentists. The authors conducted a study to assess self-reported substance use by dentists and compare these data with those regarding physicians and the general population (GP). METHODS: A total of 113 dentists (65.3 percent) and 104 physicians (63.4 percent) from a northeastern state responded to a seven-page self-report survey during the summer of 2002. The survey assessed health care professionals' alcohol, cigarette and drug use; consequences of use; disciplinary occurrences and treatment; and professional and social influences. RESULTS: Although about twice as many physicians as dentists reported heavy alcohol use, a greater number of dentists reported heavy episodic alcohol use over the past year and past month, as well as having more alcohol-use problems than physicians. Roughly twice as many physicians and three times the GP reported using anxiolytics than did dentists. More dentists than physicians reported past-year, but not past-month, minor opiate use. While more dentists reported being in social situations in which they were offered alcohol, more physicians reported being offered alcohol by pharmaceutical companies at various functions. CONCLUSIONS: Contrary to previous speculation, there is little evidence from the prevalence data the authors analyzed for this report to suggest that dentists are at a greater risk of developing alcohol- or other drug-use problems than is the GP. PRACTICE IMPLICATIONS: While the findings of this study do not suggest that substance use is more prevalent among dentists, educational institutions and state organizations still must be vigilant in educating, monitoring and encouraging dentists to voluntarily receive treatment.</t>
  </si>
  <si>
    <t>J2: J Am Dent Assoc; Kenna, George A Wood, Mark D; ID: 861</t>
  </si>
  <si>
    <t>Kenna, George A. Community Health, Center for Alcohol and Addiction Studies, Brown University, Providence, RI 02908, USA. George_Kenna@Brown.edu</t>
  </si>
  <si>
    <t>http://ovidsp.ovid.com/ovidweb.cgi?T=JS&amp;CSC=Y&amp;NEWS=N&amp;PAGE=fulltext&amp;D=med5&amp;AN=16060477</t>
  </si>
  <si>
    <t>MEDLINE; Ovid Technologies; The prevalence of alcohol, cigarette and illicit drug use and problems among dentists.[Erratum appears in J Am Dent Assoc. 2005 Sep;136(9):1224]</t>
  </si>
  <si>
    <t>Ketterer,F.;Symons,L.;Lambrechts,M. C.;Mairiaux,P.;Godderis,L.;Peremans,L.;Remmen,R.;Vanmeerbeek,M.</t>
  </si>
  <si>
    <t>What factors determine Belgian general practitioners' approaches to detecting and managing substance abuse? A qualitative study based on the I-Change Model</t>
  </si>
  <si>
    <t>BMC Family Practice</t>
  </si>
  <si>
    <t>Adult;Belgium;Decision Making;Female;*General Practitioners/px Psychology];*Health Knowledge, Attitudes, Practice;Humans;Interviews as Topic;Male;Models, Psychological;Motivation;*Practice Patterns, Physicians'/sn Statistics &amp; Numerical Data];Qualitative Research;Risk Factors;*Substance-Related Disorders/di Diagnosis];*Substance-Related Disorders/th Therapy]</t>
  </si>
  <si>
    <t>BACKGROUND: General practitioners (GPs) are considered to play a major role in detecting and managing substance abuse. However, little is known about how or why they decide to manage it. This study investigated the factors that influence GP behaviours with regard to the abuse of alcohol, illegal drugs, hypnotics, and tranquilisers among working Belgians. METHODS: Twenty Belgian GPs were interviewed. De Vries' Integrated Change Model was used to guide the interviews and qualitative data analyses. RESULTS: GPs perceived higher levels of substance abuse in urban locations and among lower socioeconomic groups. Guidelines, if they existed, were primarily used in Flanders. Specific training was unevenly applied but considered useful. GPs who accepted abuse management cited strong interpersonal skills and available multidisciplinary networks as facilitators.GPs relied on their clinical common sense to detect abuse or initiate management. Specific patients' situations and their social, psychological, or professional dysfunctions were cited as cues to action.GPs were strongly influenced by their personal representations of abuse, which included the balance between their professional responsibilities toward their patients and the patients' responsibilities in managing their own health as well the GPs' abilities to cope with unsatisfying patient outcomes without reaching professional exhaustion. GPs perceived substance abuse along a continuum ranging from a chronic disease (whose management was part of their responsibility) to a moral failing of untrustworthy people. Alcohol and cannabis were more socially acceptable than other drugs. Personal experiences of emotional burdens (including those regarding substance abuse) increased feelings of empathy or rejection toward patients.Multidisciplinary practices and professional experiences were cited as important factors with regard to engaging GPs in substance abuse management. Time constraints and personal investments were cited as important barriers.Satisfaction with treatment was rare. CONCLUSIONS: Motivational factors, including subjective beliefs not supported by the literature, were central in deciding whether to manage cases of substance abuse. A lack of theoretical knowledge and training were secondary to personal attitudes and motivation. Personal development, emotional health, self-awareness, and self-care should be taught to and fostered among GPs to help them maintain a patient-centred focus. Health authorities should support collaborative care.</t>
  </si>
  <si>
    <t>J2: BMC Fam Pract; Ketterer, Frederic Symons, Linda Lambrechts, Marie-Claire Mairiaux, Philippe Godderis, Lode Peremans, Lieve Remmen, Roy Vanmeerbeek, Marc; ID: 265</t>
  </si>
  <si>
    <t>1471-2296</t>
  </si>
  <si>
    <t>Vanmeerbeek, Marc. Department of General Practice/Family Medicine, University of Liege, Avenue de l'Hopital 3, CHU B23, Liege 4000, Belgium. marc.vanmeerbeek@ulg.ac.be.</t>
  </si>
  <si>
    <t>http://ovidsp.ovid.com/ovidweb.cgi?T=JS&amp;CSC=Y&amp;NEWS=N&amp;PAGE=fulltext&amp;D=med8&amp;AN=24927958</t>
  </si>
  <si>
    <t>https://dx.doi.org/10.1186/1471-2296-15-119</t>
  </si>
  <si>
    <t>MEDLINE; Ovid Technologies; What factors determine Belgian general practitioners' approaches to detecting and managing substance abuse? A qualitative study based on the I-Change Model</t>
  </si>
  <si>
    <t>Keuroghlian,A. S.;Barry,A. S.;Weiss,R. D.</t>
  </si>
  <si>
    <t>NIHMS500127; Circadian dysregulation, zolpidem dependence, and withdrawal seizure in a resident physician performing shift work</t>
  </si>
  <si>
    <t>Adult;*Bipolar Disorder/co Complications];Humans;*Hypnotics and Sedatives/ae Adverse Effects];Internship and Residency;Male;Physicians;*Pyridines/ae Adverse Effects];*Seizures/et Etiology];*Sleep Disorders, Circadian Rhythm/co Complications];Sleep Disorders, Circadian Rhythm/dt Drug Therapy];*Substance Withdrawal Syndrome/co Complications];*Substance-Related Disorders/co Complications];0 (Hypnotics and Sedatives);0 (Pyridines);7K383OQI23 (zolpidem)</t>
  </si>
  <si>
    <t>J2: Am J Addict; Keuroghlian, Alex S Barry, Alan S Weiss, Roger D; ID: 385</t>
  </si>
  <si>
    <t>http://ovidsp.ovid.com/ovidweb.cgi?T=JS&amp;CSC=Y&amp;NEWS=N&amp;PAGE=fulltext&amp;D=med7&amp;AN=23082842</t>
  </si>
  <si>
    <t>https://dx.doi.org/10.1111/j.1521-0391.2012.00273.x</t>
  </si>
  <si>
    <t>MEDLINE; Ovid Technologies; Circadian dysregulation, zolpidem dependence, and withdrawal seizure in a resident physician performing shift work</t>
  </si>
  <si>
    <t>Khan,A. A.;Dey,S.;Taha,A. H.;Huq,F. S.;Moussawi,A. H.;Omar,O. S.;Soliman,A. S.</t>
  </si>
  <si>
    <t>NIHMS649768; Attitudes of Cairo University medical students toward smoking: the need for tobacco control programs in medical education</t>
  </si>
  <si>
    <t>Journal of the Egyptian Public Health Association</t>
  </si>
  <si>
    <t>J.Egypt.Public Health Assoc.</t>
  </si>
  <si>
    <t>Attitude;Education, Medical;Health Knowledge, Attitudes, Practice;Humans;Smoking/td Trends];*Smoking;Smoking Cessation;Students, Medical;Surveys and Questionnaires;*Tobacco;Universities</t>
  </si>
  <si>
    <t>BACKGROUND: Tobacco smoking rates are increasing in developing countries and so are tobacco-related chronic diseases. Reported figures from the WHO show rates of smoking in Egypt as high as 20% but limited information is available about smoking specifically among physicians and medical students. MATERIALS AND METHODS: Final-year medical students of Cairo University were surveyed regarding their tobacco behavior and attitudes using a modified Global Health Professions Student Survey. We approached 220 students by randomly selecting clinical units into which they were assigned and requested completion of the survey. RESULTS: Ever users of some form of tobacco comprised 46.7% of students sampled, current users of cigarettes comprised 17.4%, and current users of water pipe 'sheesha' comprised 17.6%. The vast majority (87.7%) of students believed that smoking is a public health problem in Cairo and supported restriction of tobacco. Yet, only 58.5% stated that they were taught it is important for physicians to provide tobacco education materials to patients. Among ever users of cigarettes, 54.4% believed health professionals do not serve as health role models for patients, and only a small percentage of all students (34.2%) stated that they had received some form of training on smoking cessation in their medical curriculum to be able to instruct patients. CONCLUSION AND RECOMMENDATIONS: A high rate of smoking was revealed among medical students in Cairo. Overall, approximately 23.4% of students were currently smoking cigarettes and/or sheesha, and 46.7% were ever users of some form of tobacco. A formal antitobacco program for medical students should be incorporated into their medical curriculum to change the attitudes of medical students and overcome the anticipated increase in chronic diseases in Egypt.</t>
  </si>
  <si>
    <t>J2: J Egypt Public Health Assoc; Khan, Adeel A M Dey, Subhojit Taha, Alaa H Huq, Farhan S Moussawi, Ahmad H Omar, Omar S Soliman, Amr S; ID: 187</t>
  </si>
  <si>
    <t>2090-262X</t>
  </si>
  <si>
    <t>Khan, Adeel A M. University of Michigan Medical School, Ann Arbor, Michigan, USA.</t>
  </si>
  <si>
    <t>http://ovidsp.ovid.com/ovidweb.cgi?T=JS&amp;CSC=Y&amp;NEWS=N&amp;PAGE=fulltext&amp;D=med7&amp;AN=22415329</t>
  </si>
  <si>
    <t>https://dx.doi.org/10.1097/01.EPX.0000411467.14763.0b</t>
  </si>
  <si>
    <t>MEDLINE; Ovid Technologies; Attitudes of Cairo University medical students toward smoking: the need for tobacco control programs in medical education</t>
  </si>
  <si>
    <t>Khenti,A.;Thomas,F. C.;Mohamoud,S.;Diaz,P.;Vaccarino,O.;Dunbar,K.;Sapag,J. C.</t>
  </si>
  <si>
    <t>Mental health and addictions capacity building for community health centres in Ontario</t>
  </si>
  <si>
    <t>e416</t>
  </si>
  <si>
    <t>e424</t>
  </si>
  <si>
    <t>PROBLEM ADDRESSED: In recent years, there has been increased recognition in Canada of the need to strengthen mental health services in primary health care (PHC). Collaborative models, including partnerships between PHC and specialized mental health care providers, have emerged as effective ways for improving access to mental health care and strengthening clinical capacity. Primary health care physicians and other health professionals are well positioned to facilitate the early detection of mental disorders and provide appropriate treatment and follow-up care, helping to tackle stigma toward mental health problems in the process. OBJECTIVE OF PROGRAM: This 4-year mental health and addiction capacity-building initiative for PHC addressed competency needs at the individual, interprofessional, and organizational levels. PROGRAM DESCRIPTION: The program included 5 key components: a needs assessment; interprofessional education; mentoring; development of organizational mental health and addiction action plans for each participating community health centre; and creation of an advanced resource manual to support holistic and culturally competent collaborative mental health care. A comprehensive evaluation framework using a mixed-methods approach was applied from the initiation of the program. A total of 184 health workers in 10 community health centres in Ontario participated in the program, including physicians, nurses, social workers, and administrative staff. CONCLUSION: Evaluation findings demonstrated high satisfaction with the training, improved competencies, and individual behavioural and organizational changes. By building capacity to integrate holistic and culturally appropriate care, this competency-based program is a promising model with strong potential to be adapted and scaled up for PHC organizations nationally and internationally.</t>
  </si>
  <si>
    <t>J2: Can Fam Physician; Khenti, Akwatu Thomas, Fiona C Mohamoud, Sirad Diaz, Pablo Vaccarino, Oriana Dunbar, Kate Sapag, Jaime C; ID: 1657</t>
  </si>
  <si>
    <t>Khenti, Akwatu. Director of the Office of Transformative Global Health (OTGH) in the Institute for Mental Health Policy Research at the Centre for Addiction and Mental Health (CAMH) in Toronto, Ont, and Assistant Professor in the Dalla Lana School of Public Health at the University of Toronto. Thomas, Fiona C. Doctoral student in the Community-Engaged Research on Culture and Health Laboratory in the Department of Psychology at Ryerson University in Toronto and worked closely with the OTGH at CAMH. Mohamoud, Sirad. Senior Policy Advisor at the Ministry of Health and Long-Term Care in Toronto. Diaz, Pablo. Psychiatrist in the Schizophrenia Program at CAMH and is Assistant Professor in the Department of Psychiatry at the University of Toronto. Vaccarino, Oriana. Doctoral student in Applied Social Psychology at the University of Guelph in Ontario and worked closely with the OTGH at CAMH. Dunbar, Kate. Coordinator in this capacity-building initiative in the OTGH in the Institute for Mental Health Policy Research at CAMH. Sapag, Jaime C. Project Scientist in the OTGH at CAMH and Associate Professor in the Department of Public Health and the Department of Family Medicine in the School of Medicine of the Faculty of Medicine at the Pontificia Universidad Catolica de Chile. jaime.sapag@camh.ca.</t>
  </si>
  <si>
    <t>http://ovidsp.ovid.com/ovidweb.cgi?T=JS&amp;CSC=Y&amp;NEWS=N&amp;PAGE=fulltext&amp;D=prem&amp;AN=29025818</t>
  </si>
  <si>
    <t>MEDLINE; Ovid Technologies; Mental health and addictions capacity building for community health centres in Ontario</t>
  </si>
  <si>
    <t>Khidir,H.;Weiner,S. G.</t>
  </si>
  <si>
    <t>A Call for Better Opioid Prescribing Training and Education</t>
  </si>
  <si>
    <t>The Western Journal of Emergency Medicine</t>
  </si>
  <si>
    <t>*Analgesics, Opioid/tu Therapeutic Use];Education, Medical/st Standards];Emergency Service, Hospital;Humans;Opioid-Related Disorders/pc Prevention &amp; Control];*Pain/dt Drug Therapy];Pain Management;*Practice Patterns, Physicians';0 (Analgesics, Opioid)</t>
  </si>
  <si>
    <t>Pain is the most common complaint in the emergency department (ED), and emergency physicians face unique challenges in making opioid-related treatment decisions. Medical students and residents experience significant variation in the quality of education they receive both about opioid prescribing as well as substance-use detection and intervention in the ED. To achieve a better standard of education, clinical educators will need to (a) develop a clearer understanding of the risk for aberrant opioid prescribing in the ED, (b) recognize prescribing bias and promote uptake of evidence-based opioid prescribing guidelines in their EDs, and</t>
  </si>
  <si>
    <t>J2: West J Emerg Med; Khidir, Hazar Weiner, Scott G; ID: 99</t>
  </si>
  <si>
    <t>1936-9018</t>
  </si>
  <si>
    <t>Khidir, Hazar. Harvard Medical School, Boston, Massachusetts. Weiner, Scott G. Harvard Medical School, Brigham and Women's Hospital, Department of Emergency Medicine, Boston, Massachusetts.</t>
  </si>
  <si>
    <t>http://ovidsp.ovid.com/ovidweb.cgi?T=JS&amp;CSC=Y&amp;NEWS=N&amp;PAGE=fulltext&amp;D=med8&amp;AN=27833673</t>
  </si>
  <si>
    <t>MEDLINE; Ovid Technologies; A Call for Better Opioid Prescribing Training and Education</t>
  </si>
  <si>
    <t>Khodadoostan,M.;Ataei,B.;Shavakhi,A.;Tavakoli,T.;Nokhodian,Z.;Yaran,M.</t>
  </si>
  <si>
    <t>The assessment of hepatitis B seroprevalence in persons with intravenous drug use history in the Isfahan province: Community-based study</t>
  </si>
  <si>
    <t>BACKGROUND: Hepatitis B with its complications has become one of the universal problems. Injection drug use is one of the most important risk factors in the transmission of hepatitis B. Therefore, we assessed hepatitis B virus prevalence among cases with a history of intravenous drug use (IVDU) as the first announcement-based study in this regard. MATERIALS AND METHODS: The announcement-based detection of hepatitis B seroprevalence in volunteers with a history of intravenous drug use was conducted in the Isfahan province. A comprehensive community announcement was made in all the public places and to all physicians, in all the regions. One thousand five hundred and eighty-eight volunteers were invited to the Isfahan reference laboratories and serum samples were tested for HBs-Ag, HBc Ab, and HBs-Ab, using the enzyme-linked immunosorbent assay (ELISA) method. RESULTS: In this study, 1588 individuals volunteered, who were estimated to be 50% of all the expected intravenous drug users in the community. HBs Ag was detected in 4.2% of them. HBc Ab and HBs Ab were detected in order in 11.4 and 17.3%, respectively. CONCLUSION: We estimated that the seroprevalence of hepatitis B positivity in intravenous drug users was moderate to high. Therefore, it was suggested that this group be encouraged to prevent acquiring infection by vaccination, education, counseling for risk reduction, and treatment of substance abuse, and finally hepatitis B virus (HBV) screening.</t>
  </si>
  <si>
    <t>J2: J; Khodadoostan, Mahsa Ataei, Behrooz Shavakhi, Ahmad Tavakoli, Tahmine Nokhodian, Zary Yaran, Majid; ID: 310</t>
  </si>
  <si>
    <t>1735-1995</t>
  </si>
  <si>
    <t>Khodadoostan, Mahsa. Department of Gastroenterology and Hepatology, Isfahan University of Medical Sciences, Isfahan, Iran. Ataei, Behrooz. Infectious Diseases and Tropical Medicine, Research Center, Isfahan Nosocomial Infection Research Center, Isfahan University of Medical Sciences, Isfahan, Iran. Shavakhi, Ahmad. Department of Gastroenterology and Hepatology, Isfahan University of Medical Sciences, Isfahan, Iran. Tavakoli, Tahmine. Department of Gastroenterology and Hepatology, Isfahan University of Medical Sciences, Isfahan, Iran. Nokhodian, Zary. Infectious Diseases and Tropical Medicine, Research Center, Isfahan Nosocomial Infection Research Center, Isfahan University of Medical Sciences, Isfahan, Iran. Yaran, Majid. Infectious Diseases and Tropical Medicine, Research Center, Isfahan Nosocomial Infection Research Center, Isfahan University of Medical Sciences, Isfahan, Iran.</t>
  </si>
  <si>
    <t>http://ovidsp.ovid.com/ovidweb.cgi?T=JS&amp;CSC=Y&amp;NEWS=N&amp;PAGE=fulltext&amp;D=prem&amp;AN=24672567</t>
  </si>
  <si>
    <t>MEDLINE; Ovid Technologies; The assessment of hepatitis B seroprevalence in persons with intravenous drug use history in the Isfahan province: Community-based study</t>
  </si>
  <si>
    <t>Khouzam,H. R.</t>
  </si>
  <si>
    <t>Psychiatry Residents' Opinions of a Substance Abuse Rotation in a VA Hospital General Internal Medicine Unit</t>
  </si>
  <si>
    <t>Written optional evaluation forms were devised to gather psychiatry residents' opinions regarding their substance use disorder rotation in a general internal medicine unit. Over a 4-year period 24 residents completed that rotation and 83% (N = 20) completed the form. Of the responding residents, 95% (N = 19) rated an above-average satisfaction with the rotation and 90% (N = 18) would recommend the rotation to other residents. All respondents 100% (N = 20) reported that the rotation met its stated training objectives. Considering the recent changes in the delivery of health care with its focus toward primary care and away from specialty care, these findings raise the possibility of incorporating the substance abuse training of psychiatry residents into the primary care setting of general internal medicine.</t>
  </si>
  <si>
    <t>J2: Subst Abus; Khouzam, Hani Raoul; ID: 1708</t>
  </si>
  <si>
    <t>Khouzam, Hani Raoul. VA Medical Center, Manchester, New Hampshire; Department of Psychiatry, Dartmouth Medical School, Lebanon, New Hampshire; Harvard Medical School, Boston, Massachusetts; and Department of Psychiatry and Behavioral Sciences, University of Oklahoma College of Medicine, Oklahoma City, Oklahoma. khouzam.hani@manchester.va.gov</t>
  </si>
  <si>
    <t>http://ovidsp.ovid.com/ovidweb.cgi?T=JS&amp;CSC=Y&amp;NEWS=N&amp;PAGE=fulltext&amp;D=medp&amp;AN=12466655</t>
  </si>
  <si>
    <t>MEDLINE; Ovid Technologies; Psychiatry Residents' Opinions of a Substance Abuse Rotation in a VA Hospital General Internal Medicine Unit</t>
  </si>
  <si>
    <t>Kim,H.;Heverling,H.;Cordeiro,M.;Vasquez,V.;Stolbach,A.</t>
  </si>
  <si>
    <t>Internet Training Resulted in Improved Trainee Performance in a Simulated Opioid-Poisoned Patient as Measured by Checklist</t>
  </si>
  <si>
    <t>Baltimore;Blood Glucose/an Analysis];*Clinical Competence;Combined Modality Therapy;*Computer-Assisted Instruction;Decision Trees;Drug Overdose/bl Blood];Drug Overdose/dt Drug Therapy];Drug Overdose/pp Physiopathology];*Drug Overdose/th Therapy];Emergency Medicine/ed Education];Emergency Medicine/ma Manpower];Humans;Internet;Internship and Residency/ma Manpower];Medical History Taking;*Naloxone/tu Therapeutic Use];*Narcotic Antagonists/tu Therapeutic Use];Opioid-Related Disorders/bl Blood];Opioid-Related Disorders/dt Drug Therapy];Opioid-Related Disorders/pp Physiopathology];*Opioid-Related Disorders/th Therapy];Patient Simulation;Physical Examination;Point-of-Care Testing;Reflex, Pupillary/de Drug Effects];Respiratory Insufficiency/et Etiology];Respiratory Insufficiency/pc Prevention &amp; Control];Respiratory Rate/de Drug Effects];*Work Performance;0 (Blood Glucose);0 (Narcotic Antagonists);36B82AMQ7N (Naloxone)</t>
  </si>
  <si>
    <t>INTRODUCTION: Opioid overdose is a leading cause of death in the USA. Internet-based teaching can improve medical knowledge among trainees, but there are limited data to show the effect of Internet-based teaching on clinical competence in medical training, including management of opioid poisoning. METHODS: We used an ecological design to assess the effect of an Internet-based teaching module on the management of a simulated opioid-poisoned patient. We enrolled two consecutive classes of post-graduate year-1 residents from a single emergency medicine program. The first group (RA) was instructed to read a toxicology textbook chapter and the second group (IT) took a brief Internet training module. All participants subsequently managed a simulated opioid-poisoned patient. The participants' performance was evaluated with two types of checklist (simple and time-weighted), along with global assessment scores. RESULTS: Internet-trained participants performed better on both checklist scales. The difference between mean simple checklist scores by the IT and RA groups was 0.23 (95 % CI, 0.016-0.44). The difference between mean time-weighted checklist scores was 0.27 (95 % CI, 0.048-0.49). When measured by global assessment, there was no statistically significant difference between RA and IT participants. CONCLUSION: These data suggest that the Internet module taught basic principles of management of the opioid-poisoned patient. In this scenario, global assessment and checklist assessment may not measure the same proficiencies. These encouraging results are not sufficient to show that this Internet tool improves clinical performance. We should assess the impact of the Internet module on performance in a true clinical environment.</t>
  </si>
  <si>
    <t>J2: J Med Toxicol; Kim, Hong Heverling, Harry Cordeiro, Michael Vasquez, Vanessa Stolbach, Andrew; ID: 48</t>
  </si>
  <si>
    <t>Kim, Hong. School of Medicine, University of Maryland, Baltimore, MD, USA. Heverling, Harry. John Hopkins University, Baltimore, MD, USA. Cordeiro, Michael. John Hopkins University, Baltimore, MD, USA. Vasquez, Vanessa. John Hopkins University, Baltimore, MD, USA. Stolbach, Andrew. John Hopkins University, Baltimore, MD, USA. astolba2@jhmi.edu.</t>
  </si>
  <si>
    <t>http://ovidsp.ovid.com/ovidweb.cgi?T=JS&amp;CSC=Y&amp;NEWS=N&amp;PAGE=fulltext&amp;D=medc&amp;AN=27037564</t>
  </si>
  <si>
    <t>https://dx.doi.org/10.1007/s13181-016-0544-x</t>
  </si>
  <si>
    <t>MEDLINE; Ovid Technologies; Internet Training Resulted in Improved Trainee Performance in a Simulated Opioid-Poisoned Patient as Measured by Checklist</t>
  </si>
  <si>
    <t>King,M.;Hindler,C.;Nazareth,I.;Farmer,R.;Gerada,C.;Cohen,J.</t>
  </si>
  <si>
    <t>A controlled evaluation of small-group education of general practitioners in the management of drug users</t>
  </si>
  <si>
    <t>Education, Medical, Continuing;Evaluation Studies as Topic;*Family Practice/ed Education];Humans;*Substance-Related Disorders/th Therapy]</t>
  </si>
  <si>
    <t>We evaluated the effectiveness of small-group education of general practitioners (GPs) in the management of drug users. A total of 40 doctors were trained. Some 28 doctors who were unable to attend and 30 who did not want training participated as comparison groups. Sixteen months after the education, trained doctors notified significantly more drug users to the British Home Office database and more often prescribed methadone at first consultation with a drug user.</t>
  </si>
  <si>
    <t>J2: Br J Gen Pract; King, M Hindler, C Nazareth, I Farmer, R Gerada, C Cohen, J Comment in: Br J Gen Pract. 1998 Jul;48(432):1435; PMID: 9800412; ID: 1108</t>
  </si>
  <si>
    <t>King, M. University Department of Psychiatry, Royal Free Hospital School of Medicine, London.</t>
  </si>
  <si>
    <t>http://ovidsp.ovid.com/ovidweb.cgi?T=JS&amp;CSC=Y&amp;NEWS=N&amp;PAGE=fulltext&amp;D=med4&amp;AN=9667092</t>
  </si>
  <si>
    <t>MEDLINE; Ovid Technologies; A controlled evaluation of small-group education of general practitioners in the management of drug users</t>
  </si>
  <si>
    <t>Kinney,J.;Bergen,B. J.;Price,T. R.</t>
  </si>
  <si>
    <t>A perspective on medical students' perceptions of alcoholics and alcoholism</t>
  </si>
  <si>
    <t>*Alcoholism;*Attitude of Health Personnel;Education, Medical;Humans;Identification (Psychology);Motivation;Physician's Role;*Students, Medical/px Psychology];United States</t>
  </si>
  <si>
    <t>J2: J; Kinney, J Bergen, B J Price, T R; ID: 1491</t>
  </si>
  <si>
    <t>http://ovidsp.ovid.com/ovidweb.cgi?T=JS&amp;CSC=Y&amp;NEWS=N&amp;PAGE=fulltext&amp;D=med2&amp;AN=7144181</t>
  </si>
  <si>
    <t>MEDLINE; Ovid Technologies; A perspective on medical students' perceptions of alcoholics and alcoholism</t>
  </si>
  <si>
    <t>Kinney,J.;Price,T. R.;Bergen,B. J.</t>
  </si>
  <si>
    <t>Impediments to Alcohol Education</t>
  </si>
  <si>
    <t>Alcoholism/co Complications];*Alcoholism/th Therapy];Curriculum;*Education, Medical;*Health Education/mt Methods];Humans;Specialization;United States</t>
  </si>
  <si>
    <t>Two major forces mitigate against alcoholism education within the medical school curriculum. One relates to the structure and organization of academic medicine with its emphasis on disease states and pathophysiology; sophisticated and technologically complex diagnostic and treatment modalities; and an acute illness, cure-oriented focus rather than a chronic illness, adaptational approach to illness. The second constellation of factors relates to the alcoholism field's failure to identify with other issues in medical education that similarly challenge the Flexnerian curriculum; the lack of a conceptual basis for defining the physician-alcoholism specialist in relation to other medical disciplines; the clinical treatment field's competing craft and professional orientations; and the absence of a scientific vocabulary suited to the existing biopsychosocial paradigms. It is suggested that these impediments could be overcome if the alcoholism field defined the model for managing chronic illness that is implicit in alcoholism treatment.</t>
  </si>
  <si>
    <t>J2: J; Kinney, J Price, T R Bergen, B J; ID: 1470</t>
  </si>
  <si>
    <t>http://ovidsp.ovid.com/ovidweb.cgi?T=JS&amp;CSC=Y&amp;NEWS=N&amp;PAGE=fulltext&amp;D=med2&amp;AN=6503291</t>
  </si>
  <si>
    <t>MEDLINE; Ovid Technologies; Impediments to Alcohol Education</t>
  </si>
  <si>
    <t>Kinsella,J. K.;Africano,A.;Rapkin,R. M.;Kleber,H. D.</t>
  </si>
  <si>
    <t>A comprehensive approach to the treatment of drug dependence</t>
  </si>
  <si>
    <t>Adolescent;Adult;Community Mental Health Services;Comprehensive Health Care;Connecticut;Counseling;Day Care, Medical;Health Education;Humans;Long-Term Care;Methadone/tu Therapeutic Use];Naloxone/tu Therapeutic Use];Patient Advocacy;Psychotherapy, Group;Schools, Medical;*Substance-Related Disorders/th Therapy];Therapeutic Community;Vocational Education;36B82AMQ7N (Naloxone);UC6VBE7V1Z (Methadone)</t>
  </si>
  <si>
    <t>J2: Am J Drug Alcohol Abuse; Kinsella, J K Africano, A Rapkin, R M Kleber, H D; ID: 1546</t>
  </si>
  <si>
    <t>http://ovidsp.ovid.com/ovidweb.cgi?T=JS&amp;CSC=Y&amp;NEWS=N&amp;PAGE=fulltext&amp;D=med1&amp;AN=4219715</t>
  </si>
  <si>
    <t>MEDLINE; Ovid Technologies; A comprehensive approach to the treatment of drug dependence</t>
  </si>
  <si>
    <t>Kiraly,D. D.;Sher,L.</t>
  </si>
  <si>
    <t>Suicidal behavior in a medical professional with comorbid depression and substance use disorder: an educational case report</t>
  </si>
  <si>
    <t>International Journal of Adolescent Medicine &amp; Health</t>
  </si>
  <si>
    <t>*Depressive Disorder/ep Epidemiology];Diagnosis, Dual (Psychiatry);Humans;Risk Factors;*Substance-Related Disorders/ep Epidemiology];*Suicidal Ideation;*Suicide/sn Statistics &amp; Numerical Data]</t>
  </si>
  <si>
    <t>Here, we publish a report of a previously practicing nurse practitioner who presented to a community hospital with severely depressed mood and neurovegetative symptoms in the context of recent relapse to alcohol and cocaine abuse. This patient had a long history of depression and polysubstance abuse. Additionally, the patient had a history of multiple previous suicide attempts with a high possibility for lethality. All of his attempts occurred in the setting of depression, escalating substance use, and interpersonal difficulties. Due to his chronic struggles with mental health and substance abuse issues, the patient lost his marriage, many close friends, and, eventually, his license to practice medicine. In this report, we highlight the increased risk of suicidal behavior or completed suicide in patients with co-occurring depressive and substance abuse disorders. We also look to highlight the often unmet need of mental health and substance abuse treatment for healthcare professionals. Studies suggest that healthcare providers experience increasing rates of burnout, mood and anxiety disorders, and substance use disorders, but available treatment resources remain scarce. This is a serious public health issue that will require increased vigilance by the community at large to ensure the safety and wellbeing of both patients and their providers.</t>
  </si>
  <si>
    <t>J2: Int J Adolesc Med Health; Kiraly, Drew D Sher, Leo /j/ijamh.2015.27.issue-2/ijamh-2015-5017/ijamh-2015-5017.xml; ID: 156</t>
  </si>
  <si>
    <t>2191-0278</t>
  </si>
  <si>
    <t>http://ovidsp.ovid.com/ovidweb.cgi?T=JS&amp;CSC=Y&amp;NEWS=N&amp;PAGE=fulltext&amp;D=med8&amp;AN=25411994</t>
  </si>
  <si>
    <t>https://dx.doi.org/10.1515/ijamh-2015-5017</t>
  </si>
  <si>
    <t>MEDLINE; Ovid Technologies; Suicidal behavior in a medical professional with comorbid depression and substance use disorder: an educational case report</t>
  </si>
  <si>
    <t>Kiselev,V. Ia</t>
  </si>
  <si>
    <t>Medical teachers' opinion on various sources of information related to smoking control (data from a questionnaire survey)]</t>
  </si>
  <si>
    <t>Sovetskoe zdravookhranenie</t>
  </si>
  <si>
    <t>Sov.Zdravookhr.</t>
  </si>
  <si>
    <t>Bashkiria;*Faculty, Medical;Female;Health Education/og Organization &amp; Administration];*Health Education/st Standards];Humans;*Information Services/st Standards];Male;*Mass Media/st Standards];*Public Opinion;*Smoking Prevention;Surveys and Questionnaires</t>
  </si>
  <si>
    <t>J2: Sov Zdravookhr; Russian Kiselev, V Ia; OP: Mnenie prepodavatelei meditsinskogo instituta o razlichnykh istochnikakh informatsii po bo'rbe s kureniem (po dannym anketnogo oprosa); ID: 1379</t>
  </si>
  <si>
    <t>0038-5239</t>
  </si>
  <si>
    <t>http://ovidsp.ovid.com/ovidweb.cgi?T=JS&amp;CSC=Y&amp;NEWS=N&amp;PAGE=fulltext&amp;D=med3&amp;AN=3255180</t>
  </si>
  <si>
    <t>MEDLINE; Ovid Technologies; [Medical teachers' opinion on various sources of information related to smoking control (data from a questionnaire survey)]</t>
  </si>
  <si>
    <t>Kiser,K.</t>
  </si>
  <si>
    <t>Putting a face on addiction</t>
  </si>
  <si>
    <t>*Alcoholism/px Psychology];*Alcoholism/rh Rehabilitation];Attitude of Health Personnel;Family Practice/ed Education];Humans;Internship and Residency;Minnesota;*Patient Admission;*Physician-Patient Relations;Specialization;*Substance Abuse Treatment Centers;*Substance-Related Disorders/px Psychology];*Substance-Related Disorders/rh Rehabilitation]</t>
  </si>
  <si>
    <t>J2: Minn Med; Kiser, Kim; ID: 788</t>
  </si>
  <si>
    <t>http://ovidsp.ovid.com/ovidweb.cgi?T=JS&amp;CSC=Y&amp;NEWS=N&amp;PAGE=fulltext&amp;D=med5&amp;AN=17024916</t>
  </si>
  <si>
    <t>MEDLINE; Ovid Technologies; Putting a face on addiction</t>
  </si>
  <si>
    <t>Klamen,D. L.</t>
  </si>
  <si>
    <t>Education and training in addictive diseases</t>
  </si>
  <si>
    <t>80, xi</t>
  </si>
  <si>
    <t>Alcoholism/di Diagnosis];Alcoholism/pc Prevention &amp; Control];Curriculum;*Education, Medical, Continuing/og Organization &amp; Administration];*Education, Medical, Undergraduate/og Organization &amp; Administration];Education, Medical, Undergraduate/td Trends];Female;Humans;*Internship and Residency/og Organization &amp; Administration];Male;Psychiatry/ed Education];*Substance-Related Disorders/di Diagnosis];*Substance-Related Disorders/th Therapy];United States</t>
  </si>
  <si>
    <t>Addiction to alcohol and other drugs is a serious public health problem that is one of the most common disorders seen in medical practice. Although it is an extremely common disorder, it is poorly diagnosed and treated by physicians. Training about addictions must begin early in the medical student's career and continue in a vertically integrated way throughout medical school and residency. The notion of addiction as a disease process must be introduced and integrated into course materials in the preclinical years. Careful attention to the development of positive views toward working with addicted patients must be paid, and students must be indoctrinated early with the idea that physicians have a responsibility to diagnose and manage addicted patients.</t>
  </si>
  <si>
    <t>J2: Psychiatr Clin North Am; Klamen, D L; ID: 1068</t>
  </si>
  <si>
    <t>Klamen, D L. Department of Psychiatry, University of Illinois at Chicago, USA.</t>
  </si>
  <si>
    <t>http://ovidsp.ovid.com/ovidweb.cgi?T=JS&amp;CSC=Y&amp;NEWS=N&amp;PAGE=fulltext&amp;D=medc&amp;AN=10385944</t>
  </si>
  <si>
    <t>MEDLINE; Ovid Technologies; Education and training in addictive diseases</t>
  </si>
  <si>
    <t>Klamen,D. L.;Miller,N. S.</t>
  </si>
  <si>
    <t>Integration in education for addiction medicine</t>
  </si>
  <si>
    <t>*Curriculum;*Education, Medical;Education, Medical, Continuing;Education, Medical, Undergraduate;Humans;Internship and Residency;*Physician's Role;*Substance-Related Disorders;United States</t>
  </si>
  <si>
    <t>Addiction to alcohol and other drugs is a serious public health problem that is one of the most common disorders seen in medical practice. Although it is an extremely common disorder, it is poorly diagnosed and treated by physicians. In order to begin to develop an integrated approach to education and addiction, one must define the many roles of the physician working with addicted patients. Training about addictions must begin early in the medical student's career, and continue in a vertically integrated way throughout medical school. The notion of addiction as a disease process must be introduced and integrated into course materials in the preclinical years. Careful attention must be paid to the development of positive views toward working with addicted patients, and students must be indoctrinated early with the idea that physicians have a responsibility to diagnose and manage addicted patients. Students should be given multiple opportunities to learn and use screening interviews for addiction in preclinical interviewing courses, and while on the clerkships. Residency education and continuing medical education in addictions are also important, so that faculty may become good role models for students in this critical area. References: 27]</t>
  </si>
  <si>
    <t>J2: J Psychoactive Drugs; Klamen, D L Miller, N S; ID: 1125</t>
  </si>
  <si>
    <t>Klamen, D L. Undergraduate Medical Education in Psychiatry, Department of Psychiatry, The University of Illinois at Chicago, 60612-7327, USA.</t>
  </si>
  <si>
    <t>http://ovidsp.ovid.com/ovidweb.cgi?T=JS&amp;CSC=Y&amp;NEWS=N&amp;PAGE=fulltext&amp;D=med4&amp;AN=9339858</t>
  </si>
  <si>
    <t>MEDLINE; Ovid Technologies; Integration in education for addiction medicine</t>
  </si>
  <si>
    <t>Klein,A.;Saphonn,V.;Reid,S.</t>
  </si>
  <si>
    <t>Reaching out and reaching up - developing a low cost drug treatment system in Cambodia</t>
  </si>
  <si>
    <t>Cambodia, confronted by the spread of drug misuse among young people, requested support from international agencies to develop a drug treatment programme in 2000. The initial plan developed by the United Nations Office on Drugs and Crime was to set up a number of conventional drug treatment centres in urban areas. During the planning phase, however, the project was redesigned as a community based outreach programme. Ten Community Counselling Teams have been formed and trained in pilot areas, and within the first year of operation 462 drug and alcohol users contacted. Comprising former drug users, family members affected by drug use and health care staff, they have drug scene credibility, local knowledge and connectivity, and a rudimentary level of medical competence. Crucially, they enjoy the support of village elders, who are involved in the planning and reporting stages. While the Community Counselling Teams with their basic training in addiction counselling are in no position as yet to either provide or refer clients to treatment, they can provide brief interventions, organise self help groups, and most importantly provide an alternative to law enforcement. By taking a development centred approach, with emphasis on community, empowerment and inclusion, it provides a constructive and inclusive alternative to medical approaches and the compulsory drug treatment centres. The paper is based on an evaluation involving interviews with a range of stakeholders and a review of project documents.</t>
  </si>
  <si>
    <t>J2: Harm Reduct J; Klein, Axel Saphonn, Vonthanak Reid, Savanna; ID: 425</t>
  </si>
  <si>
    <t>Klein, Axel. School of Community Health Sciences, University of Nevada at Las Vegas, Las Vegas, USA. inkwell_11@yahoo.com.</t>
  </si>
  <si>
    <t>http://ovidsp.ovid.com/ovidweb.cgi?T=JS&amp;CSC=Y&amp;NEWS=N&amp;PAGE=fulltext&amp;D=prem&amp;AN=22410105</t>
  </si>
  <si>
    <t>https://dx.doi.org/10.1186/1477-7517-9-11</t>
  </si>
  <si>
    <t>MEDLINE; Ovid Technologies; Reaching out and reaching up - developing a low cost drug treatment system in Cambodia</t>
  </si>
  <si>
    <t>Klein,J. D.;Portilla,M.;Goldstein,A.;Leininger,L.</t>
  </si>
  <si>
    <t>Training pediatric residents to prevent tobacco use</t>
  </si>
  <si>
    <t>Adolescent;Attitude of Health Personnel;Attitude to Health;Child;Counseling;Curriculum;Follow-Up Studies;Health Knowledge, Attitudes, Practice;Humans;*Internship and Residency;National Institutes of Health (U.S.);Parents;Patient Education as Topic;*Pediatrics/ed Education];Reproducibility of Results;Smoking/px Psychology];Smoking Cessation;*Smoking Prevention;Teaching/mt Methods];Tobacco Smoke Pollution/pc Prevention &amp; Control];United States;0 (Tobacco Smoke Pollution)</t>
  </si>
  <si>
    <t>OBJECTIVE: To assess the effectiveness and acceptability of incorporating the National Cancer Institute (NCI) Guide to Preventing Tobacco Use During Childhood and Adolescence into pediatric training. DESIGN: Preintervention and postintervention self-reported surveys for residents receiving training and postintervention baseline surveys for those residents not receiving training. Measures include: (1) a self-reported knowledge, attitude, and behavior survey of residents; and (2) physician behavior reports from parent exit interviews. SETTING: A hospital-based pediatric residency program and continuity clinic. SUBJECTS: Pediatric residents and parents of pediatric patients seen for well child examinations. INTERVENTIONS: Structured NCI smoking cessation curriculum modified for delivery during scheduled teaching activities. RESULTS: The NCI training was acceptable and perceived as important by residents. Many did not recall receiving the materials or training. Trained residents who remembered the intervention improved their smoking cessation counseling effectiveness. Most patients' parents think it appropriate for physicians to ask; however, most reported not having been asked about smoking or environmental smoke exposure. CONCLUSIONS: For residents to learn effective prevention counseling strategies, systematic, reinforced preventive educational curricula must become an institutionalized part of residency training.</t>
  </si>
  <si>
    <t>J2: Pediatrics; Klein, J D Portilla, M Goldstein, A Leininger, L; ID: 1187</t>
  </si>
  <si>
    <t>Klein, J D. Department of Pediatrics, University of Rochester School of Medicine, NY 14642, USA.</t>
  </si>
  <si>
    <t>http://ovidsp.ovid.com/ovidweb.cgi?T=JS&amp;CSC=Y&amp;NEWS=N&amp;PAGE=fulltext&amp;D=med3&amp;AN=7630693</t>
  </si>
  <si>
    <t>MEDLINE; Ovid Technologies; Training pediatric residents to prevent tobacco use</t>
  </si>
  <si>
    <t>Klein,R. L.;Stevens,W. C.;Kingston,H. G.</t>
  </si>
  <si>
    <t>Controlled substance dispensing and accountability in United States anesthesiology residency programs</t>
  </si>
  <si>
    <t>Anesthesiology</t>
  </si>
  <si>
    <t>*Anesthesia Department, Hospital/st Standards];*Anesthesiology;*Drug and Narcotic Control/mt Methods];Humans;*Internship and Residency;*Social Responsibility;*Substance-Related Disorders/ep Epidemiology];Surveys and Questionnaires;United States/ep Epidemiology]</t>
  </si>
  <si>
    <t>Controlled substance dependence (CSD) among anesthesiology personnel, particularly residents, has become a matter of increasing concern. Opinions vary as to the effectiveness of controlled substances (CS) accountability in deterring, identifying, or confirming CSD. A survey of program directors of American anesthesiology training programs was conducted in the summer of 1990 to determine the level of CS dispensing and accountability within their programs. The survey demonstrated that CS dispensing and accountability varied considerably among programs, among hospitals associated with individual programs, and within geographically distinct anesthesia delivery areas within the separate hospitals. Nevertheless, most institutions were moving toward improved methods of CS dispensing and providing more and better CS accountability. The presence of significant CSD, particularly among anesthesiology residents, was reconfirmed. We were unable to correlate the level of accountability of CS with the incidence of CSD. It remains to be seen to what extent CS accountability will continue to develop and whether CSD prevalence will then be changed.</t>
  </si>
  <si>
    <t>J2: Anesthesiology; Klein, R L Stevens, W C Kingston, H G Comment in: Anesthesiology. 1992 Oct;77(4):619-22; PMID: 1416157; ID: 1267</t>
  </si>
  <si>
    <t>Klein, R L. Oregon Health Sciences University, Department of Anesthesiology, Portland 97201-3098.</t>
  </si>
  <si>
    <t>http://ovidsp.ovid.com/ovidweb.cgi?T=JS&amp;CSC=Y&amp;NEWS=N&amp;PAGE=fulltext&amp;D=med3&amp;AN=1416177</t>
  </si>
  <si>
    <t>MEDLINE; Ovid Technologies; Controlled substance dispensing and accountability in United States anesthesiology residency programs</t>
  </si>
  <si>
    <t>Klimas,J.</t>
  </si>
  <si>
    <t>Training in addiction medicine should be standardised and scaled up</t>
  </si>
  <si>
    <t>h4027</t>
  </si>
  <si>
    <t>*Behavior, Addictive/th Therapy];Clinical Competence;Fellowships and Scholarships;Health Services Needs and Demand;Humans;*Primary Health Care/og Organization &amp; Administration];*Substance Abuse Treatment Centers/og Organization &amp; Administration];*Substance-Related Disorders/th Therapy]</t>
  </si>
  <si>
    <t>J2: Bmj; Klimas, J; ID: 223</t>
  </si>
  <si>
    <t>1756-1833</t>
  </si>
  <si>
    <t>http://ovidsp.ovid.com/ovidweb.cgi?T=JS&amp;CSC=Y&amp;NEWS=N&amp;PAGE=fulltext&amp;D=med8&amp;AN=26220548</t>
  </si>
  <si>
    <t>https://dx.doi.org/10.1136/bmj.h4027</t>
  </si>
  <si>
    <t>MEDLINE; Ovid Technologies; Training in addiction medicine should be standardised and scaled up</t>
  </si>
  <si>
    <t>Klimas,J.;Ahamad,K.;Fairgrieve,C.;McLean,M.;Mead,A.;Nolan,S.;Wood,E.</t>
  </si>
  <si>
    <t>Impact of a brief addiction medicine training experience on knowledge self-assessment among medical learners</t>
  </si>
  <si>
    <t>*Addiction Medicine/ed Education];Adult;*Education, Medical, Continuing;Female;*Health Knowledge, Attitudes, Practice;*Health Personnel/ed Education];Humans;Male;Self-Assessment</t>
  </si>
  <si>
    <t>BACKGROUND: Implementation of evidence-based approaches to the treatment of various substance use disorders is needed to tackle the existing epidemic of substance use and related harms. Most clinicians, however, lack knowledge and practical experience with these approaches. Given this deficit, the authors examined the impact of an inpatient elective in addiction medicine amongst medical trainees on addiction-related knowledge and medical management. METHODS: Trainees who completed an elective with a hospital-based Addiction Medicine Consult Team (AMCT) in Vancouver, Canada, from May 2015 to May 2016, completed a 9-item self-evaluation scale before and immediately after the elective. RESULTS: A total of 48 participants completed both pre and post AMCT elective surveys. On average, participants were 28 years old (interquartile range IQR] = 27-29) and contributed 20 days (IQR = 13-27) of clinical service. Knowledge of addiction medicine increased significantly post elective (mean difference MD] = 8.63, standard deviation SD] = 18.44; P = .002). The most and the least improved areas of knowledge were relapse prevention and substance use screening, respectively. CONCLUSIONS: Completion of a clinical elective with a hospital-based AMCT appears to improve medical trainees' addiction-related knowledge. Further evaluation and expansion of addiction medicine education is warranted to develop the next generation of skilled addiction care providers.</t>
  </si>
  <si>
    <t>J2: Subst Abus; Klimas, Jan Ahamad, Keith Fairgrieve, Christoper McLean, Mark Mead, Annabel Nolan, Seonaid Wood, Evan; ID: 14</t>
  </si>
  <si>
    <t>Klimas, Jan. a British Columbia Centre for Excellence in HIV/AIDS, St. Paul's Hospital , Vancouver , British Columbia , Canada. Klimas, Jan. c Department of Medicine , University of British Columbia, St. Paul's Hospital , Vancouver , British Columbia , Canada. Klimas, Jan. d School of Medicine , University College Dublin, Coombe Healthcare Centre , Dolphins Barn , Dublin , Ireland. Ahamad, Keith. a British Columbia Centre for Excellence in HIV/AIDS, St. Paul's Hospital , Vancouver , British Columbia , Canada. Ahamad, Keith. b Department of Family Medicine , University of British Columbia , Vancouver , British Columbia , Canada. Fairgrieve, Christoper. a British Columbia Centre for Excellence in HIV/AIDS, St. Paul's Hospital , Vancouver , British Columbia , Canada. Fairgrieve, Christoper. b Department of Family Medicine , University of British Columbia , Vancouver , British Columbia , Canada. McLean, Mark. a British Columbia Centre for Excellence in HIV/AIDS, St. Paul's Hospital , Vancouver , British Columbia , Canada. McLean, Mark. b Department of Family Medicine , University of British Columbia , Vancouver , British Columbia , Canada. Mead, Annabel. a British Columbia Centre for Excellence in HIV/AIDS, St. Paul's Hospital , Vancouver , British Columbia , Canada. Mead, Annabel. b Department of Family Medicine , University of British Columbia , Vancouver , British Columbia , Canada. Nolan, Seonaid. a British Columbia Centre for Excellence in HIV/AIDS, St. Paul's Hospital , Vancouver , British Columbia , Canada. Nolan, Seonaid. b Department of Family Medicine , University of British Columbia , Vancouver , British Columbia , Canada. Wood, Evan. a British Columbia Centre for Excellence in HIV/AIDS, St. Paul's Hospital , Vancouver , British Columbia , Canada. Wood, Evan. c Department of Medicine , University of British Columbia, St. Paul's Hospital , Vancouver , British Columbia , Canada.</t>
  </si>
  <si>
    <t>http://ovidsp.ovid.com/ovidweb.cgi?T=JS&amp;CSC=Y&amp;NEWS=N&amp;PAGE=fulltext&amp;D=medl&amp;AN=28394732</t>
  </si>
  <si>
    <t>https://dx.doi.org/10.1080/08897077.2017.1296055</t>
  </si>
  <si>
    <t>MEDLINE; Ovid Technologies; Impact of a brief addiction medicine training experience on knowledge self-assessment among medical learners</t>
  </si>
  <si>
    <t>Klimas,J.;Cullen,W.</t>
  </si>
  <si>
    <t>Addressing a training gap through addiction research education for medical students: letter to the editor</t>
  </si>
  <si>
    <t>*Curriculum/st Standards];*Health Personnel/ed Education];Humans;*Psychotherapy, Brief;*Referral and Consultation;*Substance Abuse Detection</t>
  </si>
  <si>
    <t>J2: Subst Abus; Klimas, Jan Cullen, Walter Comment on: Subst Abus. 2012;33(3):227-30; PMID: 22737999; ID: 247</t>
  </si>
  <si>
    <t>Klimas, Jan. a School of Medicine and Medical Science , University College Dublin , Dublin , Ireland.</t>
  </si>
  <si>
    <t>http://ovidsp.ovid.com/ovidweb.cgi?T=JS&amp;CSC=Y&amp;NEWS=N&amp;PAGE=fulltext&amp;D=med8&amp;AN=25084806</t>
  </si>
  <si>
    <t>https://dx.doi.org/10.1080/08897077.2014.939802</t>
  </si>
  <si>
    <t>MEDLINE; Ovid Technologies; Addressing a training gap through addiction research education for medical students: letter to the editor</t>
  </si>
  <si>
    <t>Klimas,J.;Egan,M.;Tobin,H.;Coleman,N.;Bury,G.</t>
  </si>
  <si>
    <t>Development and process evaluation of an educational intervention for overdose prevention and naloxone distribution by general practice trainees</t>
  </si>
  <si>
    <t>Administration, Intranasal;Adult;*Caregivers/ed Education];Drug Overdose/di Diagnosis];*Drug Overdose/dt Drug Therapy];Drug Overdose/pc Prevention &amp; Control];Education, Medical, Graduate;Family;Feasibility Studies;Female;Friends;*General Practice/ed Education];Health Education/mt Methods];*Health Knowledge, Attitudes, Practice;Humans;Ireland;Male;Naloxone/ad Administration &amp; Dosage];*Naloxone/tu Therapeutic Use];Narcotic Antagonists/ad Administration &amp; Dosage];Narcotic Antagonists/tu Therapeutic Use];Opioid-Related Disorders/di Diagnosis];*Opioid-Related Disorders/dt Drug Therapy];Pilot Projects;Program Evaluation;0 (Narcotic Antagonists);36B82AMQ7N (Naloxone)</t>
  </si>
  <si>
    <t>BACKGROUND: Overdose is the most common cause of fatalities among opioid users. Naloxone is a life-saving medication for reversing opioid overdose. In Ireland, it is currently available to ambulance and emergency care services, but General Practitioners (GP) are in regular contact with opioid users and their families. This positions them to provide naloxone themselves or to instruct patients how to use it. The new Clinical Practice Guidelines of the Pre-hospital Emergency Care Council of Ireland allows trained bystanders to administer intranasal naloxone. We describe the development and process evaluation of an educational intervention, designed to help GP trainees identify and manage opioid overdose with intranasal naloxone. METHODS: Participants (N=23) from one postgraduate training scheme in Ireland participated in a one-hour training session. The repeated-measures design, using the validated Opioid Overdose Knowledge (OOKS) and Attitudes (OOAS) Scales, examined changes immediately after training. Acceptability and satisfaction with training were measured with a self-administered questionnaire. RESULTS: Knowledge of the risks of overdose and appropriate actions to be taken increased significantly post-training OOKS mean difference, 3.52 (standard deviation 4.45); P&lt;0.001]; attitudes improved too OOAS mean difference, 11.13 (SD 6.38); P&lt;0.001]. The most and least useful delivery methods were simulation and video, respectively. CONCLUSION: Appropriate training is a key requirement for the distribution of naloxone through general practice. In future studies, the knowledge from this pilot will be used to inform a train-the-trainer model, whereby healthcare professionals and other front-line service providers will be trained to instruct opioid users and their families in overdose prevention and naloxone use.</t>
  </si>
  <si>
    <t>J2: BMC Med Educ; Klimas, Jan Egan, Mairead Tobin, Helen Coleman, Neil Bury, Gerard; ID: 169</t>
  </si>
  <si>
    <t>Klimas, Jan. Centre for Emergency Medical Science, School of Medicine and Medical Science, University College Dublin, Dublin, Ireland. jan.klimas@ucd.ie. Klimas, Jan. British Columbia Centre for Excellence in HIV/AIDS, St. Paul's Hospital, 608-1081 Burrard Street, Vancouver, British Columbia, V6Z 1Y6, Canada. jan.klimas@ucd.ie. Klimas, Jan. c/o Coombe Family Practice, Dolphins barn, Dublin, Ireland. jan.klimas@ucd.ie. Egan, Mairead. Centre for Emergency Medical Science, School of Medicine and Medical Science, University College Dublin, Dublin, Ireland. mairead.egan@ucd.ie. Tobin, Helen. Centre for Emergency Medical Science, School of Medicine and Medical Science, University College Dublin, Dublin, Ireland. helen.tobin@ucd.ie. Coleman, Neil. Centre for Emergency Medical Science, School of Medicine and Medical Science, University College Dublin, Dublin, Ireland. neil.coleman@ucd.ie. Bury, Gerard. Centre for Emergency Medical Science, School of Medicine and Medical Science, University College Dublin, Dublin, Ireland. gerard.bury@ucd.ie.</t>
  </si>
  <si>
    <t>http://ovidsp.ovid.com/ovidweb.cgi?T=JS&amp;CSC=Y&amp;NEWS=N&amp;PAGE=fulltext&amp;D=med8&amp;AN=26590066</t>
  </si>
  <si>
    <t>https://dx.doi.org/10.1186/s12909-015-0487-y</t>
  </si>
  <si>
    <t>MEDLINE; Ovid Technologies; Development and process evaluation of an educational intervention for overdose prevention and naloxone distribution by general practice trainees</t>
  </si>
  <si>
    <t>Klimas,J.;McNeil,R.;Ahamad,K.;Mead,A.;Rieb,L.;Cullen,W.;Wood,E.;Small,W.</t>
  </si>
  <si>
    <t>Two birds with one stone: experiences of combining clinical and research training in addiction medicine</t>
  </si>
  <si>
    <t>Attitude of Health Personnel;*Behavior, Addictive/th Therapy];*Biomedical Research/ed Education];Canada;Clinical Competence/st Standards];*Cognitive Neuroscience/ed Education];Curriculum;Education, Medical/og Organization &amp; Administration];*Education, Medical;Educational Measurement;Fellowships and Scholarships/og Organization &amp; Administration];Fellowships and Scholarships/st Standards];Health Services Needs and Demand;Humans;Mentors;Physician's Role;Program Evaluation;Qualitative Research;*Research Personnel/ed Education];Specialization;*Students, Medical;*Substance-Related Disorders/th Therapy]</t>
  </si>
  <si>
    <t>BACKGROUND: Despite a large evidence-base upon which to base clinical practice, most health systems have not combined the training of healthcare providers in addiction medicine and research. As such, addiction care is often lacking, or not based on evidence or best practices. We undertook a qualitative study to assess the experiences of physicians who completed a clinician-scientist training programme in addiction medicine within a hospital setting. METHODS: We interviewed physicians from the St. Paul's Hospital Goldcorp Addiction Medicine Fellowship and learners from the hospital's academic Addiction Medicine Consult Team in Vancouver, Canada (N=26). They included psychiatrists, internal medicine and family medicine physicians, faculty, mentors, medical students and residents. All received both addiction medicine and research training. Drawing on Kirkpatrick's model of evaluating training programmes, we analysed the interviews thematically using qualitative data analysis software (Nvivo 10). RESULTS: We identified five themes relating to learning experience that were influential: (i) attitude, (ii) knowledge, (iii) skill, (iv) behaviour and (v) patient outcome. The presence of a supportive learning environment, flexibility in time lines, highly structured rotations, and clear guidance regarding development of research products facilitated clinician-scientist training. Competing priorities, including clinical and family responsibilities, hindered training. CONCLUSIONS: Combined training in addiction medicine and research is feasible and acceptable for current doctors and physicians in training. However, there are important barriers to overcome and improved understanding of the experience of addiction physicians in the clinician-scientist track is required to improve curricula and research productivity.</t>
  </si>
  <si>
    <t>J2: BMC Med Educ; Klimas, J McNeil, R Ahamad, K Mead, A Rieb, L Cullen, W Wood, E Small, W; ID: 101</t>
  </si>
  <si>
    <t>Klimas, J. British Columbia Centre for Excellence in HIV/AIDS, St. Paul's Hospital, 608-1081 Burrard Street, Vancouver, BC, V6Z 1Y6, Canada. Klimas, J. Department of Medicine, University of British Columbia, St. Paul's Hospital, 608-1081 Burrard Street, Vancouver, BC, V6Z 1Y6, Canada. Klimas, J. School of Medicine, University College Dublin, Belfield, Dublin 4, Ireland. McNeil, R. British Columbia Centre for Excellence in HIV/AIDS, St. Paul's Hospital, 608-1081 Burrard Street, Vancouver, BC, V6Z 1Y6, Canada. McNeil, R. Department of Medicine, University of British Columbia, St. Paul's Hospital, 608-1081 Burrard Street, Vancouver, BC, V6Z 1Y6, Canada. Ahamad, K. British Columbia Centre for Excellence in HIV/AIDS, St. Paul's Hospital, 608-1081 Burrard Street, Vancouver, BC, V6Z 1Y6, Canada. Ahamad, K. Department of Family Practice, University of British Columbia, St. Paul's Hospital, Vancouver, BC, Canada. Ahamad, K. Department of Family and Community Medicine, 1081 Burrard St, Vancouver, BC, V6Z 1Y6, Canada. Mead, A. British Columbia Centre for Excellence in HIV/AIDS, St. Paul's Hospital, 608-1081 Burrard Street, Vancouver, BC, V6Z 1Y6, Canada. Mead, A. Department of Family Practice, University of British Columbia, St. Paul's Hospital, Vancouver, BC, Canada. Mead, A. Department of Family and Community Medicine, 1081 Burrard St, Vancouver, BC, V6Z 1Y6, Canada. Rieb, L. British Columbia Centre for Excellence in HIV/AIDS, St. Paul's Hospital, 608-1081 Burrard Street, Vancouver, BC, V6Z 1Y6, Canada. Rieb, L. Department of Family Practice, University of British Columbia, St. Paul's Hospital, Vancouver, BC, Canada. Rieb, L. Department of Family and Community Medicine, 1081 Burrard St, Vancouver, BC, V6Z 1Y6, Canada. Cullen, W. School of Medicine, University College Dublin, Belfield, Dublin 4, Ireland. Wood, E. British Columbia Centre for Excellence in HIV/AIDS, St. Paul's Hospital, 608-1081 Burrard Street, Vancouver, BC, V6Z 1Y6, Canada. Wood, E. Department of M(TRUNCATED)</t>
  </si>
  <si>
    <t>http://ovidsp.ovid.com/ovidweb.cgi?T=JS&amp;CSC=Y&amp;NEWS=N&amp;PAGE=fulltext&amp;D=med8&amp;AN=28114925</t>
  </si>
  <si>
    <t>https://dx.doi.org/10.1186/s12909-017-0862-y</t>
  </si>
  <si>
    <t>MEDLINE; Ovid Technologies; Two birds with one stone: experiences of combining clinical and research training in addiction medicine</t>
  </si>
  <si>
    <t>Klimas,J.;McNeil,R.;Small,W.;Cullen,W.</t>
  </si>
  <si>
    <t>Clinician-Scientist Training in Addiction Medicine: A Novel Program in a Canadian Setting</t>
  </si>
  <si>
    <t>J2: Acad Med; Klimas, Jan McNeil, Ryan Small, Will Cullen, Walter; ID: 1661</t>
  </si>
  <si>
    <t>Klimas, Jan. Postdoctoral fellow, British Columbia Centre on Substance Use, Department of Medicine, University of British Columbia, St. Paul's Hospital, Vancouver, British Columbia, Canada, and postdoctoral fellow, School of Medicine, University College Dublin, Dublin, Ireland; jklimas@cfenet.ubc.ca; ORCID: http://orcid.org/0000-0002-5179-0052. Research scientist, British Columbia Centre on Substance Use, and assistant professor, Department of Medicine, University of British Columbia, St. Paul's Hospital, Vancouver, British Columbia; ORCID: http://orcid.org/0000-0001-9555-7693. Research scientist, British Columbia Centre on Substance Use, Department of Medicine, University of British Columbia, St. Paul's Hospital, and interim director, Centre for Applied Research in Mental Health and Addiction (CARMHA), and assistant professor, Faculty of Health Sciences, Simon Fraser University, Vancouver, British Columbia, Canada. Professor of urban general practice, School of Medicine, University College Dublin, Health Sciences Centre, Belfield, Dublin, Ireland; ORCID: http://orcid.org/0000-0003-1838-5052.</t>
  </si>
  <si>
    <t>http://ovidsp.ovid.com/ovidweb.cgi?T=JS&amp;CSC=Y&amp;NEWS=N&amp;PAGE=fulltext&amp;D=prem&amp;AN=28952995</t>
  </si>
  <si>
    <t>https://dx.doi.org/10.1097/ACM.0000000000001880</t>
  </si>
  <si>
    <t>MEDLINE; Ovid Technologies; Clinician-Scientist Training in Addiction Medicine: A Novel Program in a Canadian Setting</t>
  </si>
  <si>
    <t>Klimas,J.;Small,W.;Ahamad,K.;Cullen,W.;Mead,A.;Rieb,L.;Wood,E.;McNeil,R.</t>
  </si>
  <si>
    <t>Barriers and facilitators to implementing addiction medicine fellowships: a qualitative study with fellows, medical students, residents and preceptors</t>
  </si>
  <si>
    <t>09 20</t>
  </si>
  <si>
    <t>*Attitude of Health Personnel;*Behavior, Addictive/th Therapy];Canada;*Clinical Competence;*Fellowships and Scholarships/og Organization &amp; Administration];Health Services Needs and Demand;Humans;Specialization;*Substance-Related Disorders/th Therapy]</t>
  </si>
  <si>
    <t>BACKGROUND: Although progress in science has driven advances in addiction medicine, this subject has not been adequately taught to medical trainees and physicians. As a result, there has been poor integration of evidence-based practices in addiction medicine into physician training which has impeded addiction treatment and care. Recently, a number of training initiatives have emerged internationally, including the addiction medicine fellowships in Vancouver, Canada. This study was undertaken to examine barriers and facilitators of implementing addiction medicine fellowships. METHODS: We interviewed trainees and faculty from clinical and research training programmes in addiction medicine at St Paul's Hospital in Vancouver, Canada (N = 26) about barriers and facilitators to implementation of physician training in addiction medicine. We included medical students, residents, fellows and supervising physicians from a variety of specialities. We analysed interview transcripts thematically by using NVivo software. RESULTS: We identified six domains relating to training implementation: (1) organisational, (2) structural, (3) teacher, (4) learner, (5) patient and (6) community related variables either hindered or fostered addiction medicine education, depending on context. Human resources, variety of rotations, peer support and mentoring fostered implementation of addiction training. Money, time and space limitations hindered implementation. Participant accounts underscored how faculty and staff facilitated the implementation of both the clinical and the research training. CONCLUSIONS: Implementation of addiction medicine fellowships appears feasible, although a number of barriers exist. Research into factors within the local/practice environment that shape delivery of education to ensure consistent and quality education scale-up is a priority.</t>
  </si>
  <si>
    <t>J2: Addict Sci Clin Pract; Klimas, J Small, W Ahamad, K Cullen, W Mead, A Rieb, L Wood, E McNeil, R; ID: 23</t>
  </si>
  <si>
    <t>Klimas, J. Department of Medicine, B.C. Centre on Substance Use, St. Paul's Hospital, University of British Columbia, 608-1081 Burrard Street, Vancouver, BC, V6Z 1Y6, Canada. Klimas, J. School of Medicine, Coombe Healthcare Centre, University College Dublin, Dolphins Barn, Dublin 8, Ireland. Small, W. Department of Medicine, B.C. Centre on Substance Use, St. Paul's Hospital, University of British Columbia, 608-1081 Burrard Street, Vancouver, BC, V6Z 1Y6, Canada. Small, W. Faculty of Health Sciences, Simon Fraser University, Blusson Hall, 8888 University Drive, Burnaby, BC, V5A 1S6, Canada. Ahamad, K. Department of Medicine, B.C. Centre on Substance Use, St. Paul's Hospital, University of British Columbia, 608-1081 Burrard Street, Vancouver, BC, V6Z 1Y6, Canada. Ahamad, K. Department of Family Practice, University of British Columbia, 1081 Burrard St., Vancouver, BC, V6Z 1Y6, Canada. Ahamad, K. Department of Family and Community Medicine, St. Paul's Hospital, 1081 Burrard St., Vancouver, BC, V6Z 1Y6, Canada. Cullen, W. School of Medicine, Coombe Healthcare Centre, University College Dublin, Dolphins Barn, Dublin 8, Ireland. Mead, A. Department of Medicine, B.C. Centre on Substance Use, St. Paul's Hospital, University of British Columbia, 608-1081 Burrard Street, Vancouver, BC, V6Z 1Y6, Canada. Mead, A. Department of Family Practice, University of British Columbia, 1081 Burrard St., Vancouver, BC, V6Z 1Y6, Canada. Mead, A. Department of Family and Community Medicine, St. Paul's Hospital, 1081 Burrard St., Vancouver, BC, V6Z 1Y6, Canada. Rieb, L. Department of Medicine, B.C. Centre on Substance Use, St. Paul's Hospital, University of British Columbia, 608-1081 Burrard Street, Vancouver, BC, V6Z 1Y6, Canada. Rieb, L. Department of Family Practice, University of British Columbia, 1081 Burrard St., Vancouver, BC, V6Z 1Y6, Canada. Rieb, L. Department of Family and Community Medicine, St. Paul's Hospital, 1081 Burrard St., Vancouver, BC, V6Z 1Y6, Canada. Wood, E.(TRUNCATED)</t>
  </si>
  <si>
    <t>http://ovidsp.ovid.com/ovidweb.cgi?T=JS&amp;CSC=Y&amp;NEWS=N&amp;PAGE=fulltext&amp;D=medl&amp;AN=28927448</t>
  </si>
  <si>
    <t>https://dx.doi.org/10.1186/s13722-017-0086-9</t>
  </si>
  <si>
    <t>MEDLINE; Ovid Technologies; Barriers and facilitators to implementing addiction medicine fellowships: a qualitative study with fellows, medical students, residents and preceptors</t>
  </si>
  <si>
    <t>Knight,J. R.;Palacios,J.;Shannon,M.</t>
  </si>
  <si>
    <t>Unanticipated reactions to a recent report on alcohol problems among pediatric residents</t>
  </si>
  <si>
    <t>Archives of Pediatrics &amp; Adolescent Medicine</t>
  </si>
  <si>
    <t>Arch.Pediatr.Adolesc.Med.</t>
  </si>
  <si>
    <t>*Alcoholism/ep Epidemiology];Humans;*Internship and Residency/sn Statistics &amp; Numerical Data];Mass Screening/mt Methods];Patient Selection;*Pediatrics/ed Education];Prevalence</t>
  </si>
  <si>
    <t>J2: Arch Pediatr Adolesc Med; Knight, J R Palacios, J Shannon, M Comment on: Arch Pediatr Adolesc Med. 1999 Nov;153(11):1181-3; PMID: 10555722; ID: 1036</t>
  </si>
  <si>
    <t>1072-4710</t>
  </si>
  <si>
    <t>http://ovidsp.ovid.com/ovidweb.cgi?T=JS&amp;CSC=Y&amp;NEWS=N&amp;PAGE=fulltext&amp;D=med4&amp;AN=10850517</t>
  </si>
  <si>
    <t>MEDLINE; Ovid Technologies; Unanticipated reactions to a recent report on alcohol problems among pediatric residents</t>
  </si>
  <si>
    <t>Knight,J. R.;Palacios,J. N.;Shannon,M.</t>
  </si>
  <si>
    <t>Prevalence of alcohol problems among pediatric residents</t>
  </si>
  <si>
    <t>Adult;Alcoholism/di Diagnosis];*Alcoholism/ep Epidemiology];Data Collection;Female;Humans;*Internship and Residency;Male;Mass Screening/mt Methods];*Pediatrics/ed Education];Prevalence</t>
  </si>
  <si>
    <t>OBJECTIVE: To measure the prevalence of alcohol-related problems among pediatric trainees. METHODS: An alcoholism screening test was administered anonymously to participants at a mandatory substance abuse education and prevention program. SETTING: A large urban pediatric residency training program. SUBJECTS: One hundred fifteen pediatric residents attended the program during 3 consecutive years (1996-1998). Eighty-five (74%) screening tests were returned and 81 (70%) were analyzed MAIN OUTCOME MEASURE: The 25-item Michigan Alcoholism Screening Test (MAST). Differential MAST cutpoints have been established to "suggest" or "indicate" a lifetime diagnosis of alcoholism. RESULTS: Twelve residents (15%) had scores suggestive and 6 (7%) indicative of alcoholism. Twenty-eight (35%) admitted to having alcohol-associated amnesia (blackouts), 13 (16%) to "feeling bad" about their drinking, 9 (11%) to drinking before noon, 6 (7%) to getting into fights when drunk, and 2 (2%) to alcohol-related marital problems. However, only 1 (1%) had gone to anyone for help and none admitted to alcohol-related problems at work. CONCLUSIONS: These screening data suggest that alcohol abuse and related problems exist among pediatric trainees at troubling rates. While more than one third of the trainees had experienced a serious consequence from heavy drinking, only 1 had gone for help and problems were not apparent at work. Greater emphasis should be placed on alcohol prevention and early intervention programs as a routine part of pediatric training.</t>
  </si>
  <si>
    <t>J2: Arch Pediatr Adolesc Med; Knight, J R Palacios, J N Shannon, M Comment in: Arch Pediatr Adolesc Med. 2000 Jun;154(6):635; PMID: 10850517; ID: 1048</t>
  </si>
  <si>
    <t>Knight, J R. Division of General Pediatrics, Children's Hospital, Harvard Medical School, Boston, Mass 02115, USA. knightvj@a1.tch.harvard.edu</t>
  </si>
  <si>
    <t>http://ovidsp.ovid.com/ovidweb.cgi?T=JS&amp;CSC=Y&amp;NEWS=N&amp;PAGE=fulltext&amp;D=med4&amp;AN=10555722</t>
  </si>
  <si>
    <t>MEDLINE; Ovid Technologies; Prevalence of alcohol problems among pediatric residents</t>
  </si>
  <si>
    <t>Knights,J. A.;Kennedy,B. J.</t>
  </si>
  <si>
    <t>Medical school selection: Screening for dysfunctional tendencies</t>
  </si>
  <si>
    <t>Adolescent;*Education, Medical, Undergraduate;Female;Humans;*Interpersonal Relations;Male;*Personality Assessment/st Standards];Queensland;*School Admission Criteria;*Schools, Medical;*Students, Medical/px Psychology]</t>
  </si>
  <si>
    <t>AIM: One of the aims of medical selection is to deselect students who have personal characteristics that would impact negatively on their ability to interact with patients, supervisors and peers and impede their ability to cope with the stress of medical training. The arduous requirements of the formal curriculum, the customs and rituals of the socialisation process and the mistreatment and abuse reportedly experienced by students all contribute to stress, mental illness, suicide, lowered self-confidence in clinical ability, decreased ability to learn and alcohol and substance abuse. There has been little research on the effectiveness of the selection interview in deselecting students with negative personal characteristics. Our research profiles the dysfunctional interpersonal tendencies of students already selected into a medical programme through the process of academic merit, application and interview. METHODS: During 2001 and 2002, 159 students enrolled in an Australian undergraduate medical programme completed the Hogan Development Survey (HDS), which is a self-report measure of dysfunctional personality characteristics that inhibit the development of working relationships with others. RESULTS: The HDS identified negative personality characteristics in medical students that were not detected in the selection interview. CONCLUSIONS: The presence of patterns of dysfunctional behaviour in medical training has implications for the selection, teaching and pastoral care of medical students. The HDS has the potential to identify negative personal characteristics that are hard to detect during a selection interview, and may be a valuable adjunct to the interview.</t>
  </si>
  <si>
    <t>J2: Med Educ; Knights, Janice A Kennedy, Barbara J; ID: 772</t>
  </si>
  <si>
    <t>Knights, Janice A. School of Psychology, James Cook University, Queensland, Australia. Janice.Knights@jcu.edu.au</t>
  </si>
  <si>
    <t>http://ovidsp.ovid.com/ovidweb.cgi?T=JS&amp;CSC=Y&amp;NEWS=N&amp;PAGE=fulltext&amp;D=med5&amp;AN=17054614</t>
  </si>
  <si>
    <t>MEDLINE; Ovid Technologies; Medical school selection: Screening for dysfunctional tendencies</t>
  </si>
  <si>
    <t>Knopf,A.;Wakefield,J.</t>
  </si>
  <si>
    <t>Effect of medical education on smoking behaviour</t>
  </si>
  <si>
    <t>British journal of preventive &amp; social medicine</t>
  </si>
  <si>
    <t>Br.J.Prev.Soc.Med.</t>
  </si>
  <si>
    <t>Adult;Attitude to Health;*Education, Medical;England;Female;Humans;Male;*Smoking/ep Epidemiology];*Students;*Students, Medical</t>
  </si>
  <si>
    <t>J2: Br J Prev Soc Med; Knopf, A Wakefield, J; ID: 1558</t>
  </si>
  <si>
    <t>0007-1242</t>
  </si>
  <si>
    <t>http://ovidsp.ovid.com/ovidweb.cgi?T=JS&amp;CSC=Y&amp;NEWS=N&amp;PAGE=fulltext&amp;D=med1&amp;AN=4455343</t>
  </si>
  <si>
    <t>MEDLINE; Ovid Technologies; Effect of medical education on smoking behaviour</t>
  </si>
  <si>
    <t>Knott,D. H.</t>
  </si>
  <si>
    <t>The program at the University of Tennessee College of Medicine</t>
  </si>
  <si>
    <t>*Alcoholism/th Therapy];Attitude of Health Personnel;Comprehensive Health Care;Curriculum;Education, Medical;Ethanol/pd Pharmacology];*Hospitals, Teaching;Humans;Prejudice;*Schools, Medical;Students, Medical;Tennessee;3K9958V90M (Ethanol)</t>
  </si>
  <si>
    <t>J2: Ann N Y Acad Sci; Knott, D H; ID: 1598</t>
  </si>
  <si>
    <t>http://ovidsp.ovid.com/ovidweb.cgi?T=JS&amp;CSC=Y&amp;NEWS=N&amp;PAGE=fulltext&amp;D=med1&amp;AN=5282651</t>
  </si>
  <si>
    <t>MEDLINE; Ovid Technologies; The program at the University of Tennessee College of Medicine</t>
  </si>
  <si>
    <t>Koch,K.;Sogaard,M.;Norgaard,M.;Thomsen,R. W.;Schonheyder,H. C.;Danish,Collaborative Bacteremia</t>
  </si>
  <si>
    <t>Socioeconomic inequalities in risk of hospitalization for community-acquired bacteremia: a Danish population-based case-control study</t>
  </si>
  <si>
    <t>American Journal of Epidemiology</t>
  </si>
  <si>
    <t>Am.J.Epidemiol.</t>
  </si>
  <si>
    <t>Adult;Aged;*Bacteremia/ep Epidemiology];Case-Control Studies;Chronic Disease/ep Epidemiology];Community-Acquired Infections;Denmark/ep Epidemiology];Emigrants and Immigrants;Female;*Health Status Disparities;*Healthcare Disparities/sn Statistics &amp; Numerical Data];*Hospitalization/sn Statistics &amp; Numerical Data];Humans;Male;Middle Aged;Prevalence;Risk Assessment;Socioeconomic Factors;Substance-Related Disorders/ep Epidemiology]</t>
  </si>
  <si>
    <t>In a Danish population-based case-control study, we examined the association between socioeconomic status (SES) and risk of community-acquired bacteremia, as well as the contribution of chronic diseases and substance abuse to differences in bacteremia risk. Analyses were based on 4,117 patients aged 30-65 years who were hospitalized with first-time community-acquired bacteremia during 2000-2008 and 41,170 population controls matched by sex, age, and region of residence. Individual-level information on SES (education and income), chronic diseases, and substance abuse was retrieved from public and medical registries. Conditional logistic regression was used to compute odds ratios for bacteremia. Persons of low SES had a substantially higher risk of bacteremia than those of high SES (for short duration of education vs. long duration, odds ratio = 2.30 (95% confidence interval: 2.10, 2.52); for low income vs. high income, odds ratio = 2.77 (95% confidence interval: 2.54, 3.02)). A higher prevalence of chronic diseases and substance abuse in low-SES individuals versus high-SES individuals explained 43%-48% of the socioeconomic differences in bacteremia risk. In a country with a universal welfare system, differences in the burden of chronic diseases and substance abuse seem to have major importance in explaining inequalities in bacteremia risk.</t>
  </si>
  <si>
    <t>J2: Am J Epidemiol; Koch, Kristoffer Sogaard, Mette Norgaard, Mette Thomsen, Reimar Wernich Schonheyder, Henrik Carl Danish Collaborative Bacteremia Network Ostergaard Andersen C Dahl Knudsen J Arpi M Pinholt M Oren Gradel K Jensen US Koch K Schonheyder HC Sogaard M; ID: 300</t>
  </si>
  <si>
    <t>1476-6256</t>
  </si>
  <si>
    <t>http://ovidsp.ovid.com/ovidweb.cgi?T=JS&amp;CSC=Y&amp;NEWS=N&amp;PAGE=fulltext&amp;D=med8&amp;AN=24682527</t>
  </si>
  <si>
    <t>https://dx.doi.org/10.1093/aje/kwu032</t>
  </si>
  <si>
    <t>MEDLINE; Ovid Technologies; Socioeconomic inequalities in risk of hospitalization for community-acquired bacteremia: a Danish population-based case-control study</t>
  </si>
  <si>
    <t>Koesters,S. C.;Rogers,P. D.;Rajasingham,C. R.</t>
  </si>
  <si>
    <t>MDMA ('ecstasy') and other 'club drugs'. The new epidemic</t>
  </si>
  <si>
    <t>Adolescent;*Adolescent Behavior/px Psychology];Adult;*Disease Outbreaks;Hallucinogens/ae Adverse Effects];*Hallucinogens/pd Pharmacology];Humans;N-Methyl-3,4-methylenedioxyamphetamine/ae Adverse Effects];*N-Methyl-3,4-methylenedioxyamphetamine/pd Pharmacology];*Substance-Related Disorders/pc Prevention &amp; Control];*Substance-Related Disorders/px Psychology];0 (Hallucinogens);KE1SEN21RM (N-Methyl-3,4-methylenedioxyamphetamine)</t>
  </si>
  <si>
    <t>Unfortunately, perceptions that the club drugs can be safe endure. Some groups, such as the Multidisciplinary Association for Psychedelic Study, continue to lobby for the legalization of MDMA for research purposes 76]. DanceSafe is an organization that seeks to educate the "nonaddicted" user to decrease the risks 82]. The DanceSafe Web site offers tips on the safe use of MDMA, such as attention to hydration status and ambient temperature. It also offers free testing of tablets submitted by mail and sells home testing kits to determine the content of pills sold as "ecstasy." Although much remains unknown about the long-term consequences of MDMA and the club drugs, there are clearly enough short-term dangers to prompt more aggressive education and surveillance for its use. Scare tactics and exaggerations often are ignored 53], while Web sites full of anecdotal or incomplete information may lead the unaware user to increased use 113]. Organizations such as DanceSafe imply that proper education decreases addiction and that only uneducated users or addicts suffer the life-altering consequences of drug use. The fallacy in the mission of educating "nonaddicted" users is evident. Peer-based education, with a focus on both he short-term dangers and long-term consequences, may be a more effective approach 9]. Both new and established drugs of abuse continue to plague teens and young adults. Pediatric, family practice, and Med-Peds physicians, and pediatric pharmacologists need to remain vigilant about patterns and trends of drug abuse. MDMA and the other "club drugs" are not benign. Their effects target the brain, alter neurochemistry, and possibly cause irreversible structural damage. What may seem like a harmless drug in a weekend dance club has the potential for major public health problems in years to come 109]. Effective education and timely intervention may prevent these addictive drugs from becoming a way of life, a lifestyle that may have a literal "dead end." References: 116]</t>
  </si>
  <si>
    <t>J2: Pediatr Clin North Am; Koesters, Stephen C Rogers, Peter D Rajasingham, Christiana R; ID: 984</t>
  </si>
  <si>
    <t>Koesters, Stephen C. Department of Internal Medicine, Department of Pediatrics, Ohio State University College of Medicine and Public Health, Columbus Children's Hospital, Columbus, OH, USA.</t>
  </si>
  <si>
    <t>http://ovidsp.ovid.com/ovidweb.cgi?T=JS&amp;CSC=Y&amp;NEWS=N&amp;PAGE=fulltext&amp;D=medc&amp;AN=11993291</t>
  </si>
  <si>
    <t>MEDLINE; Ovid Technologies; MDMA ('ecstasy') and other 'club drugs'. The new epidemic</t>
  </si>
  <si>
    <t>Kokotailo,P. K.;Adger,H., J.</t>
  </si>
  <si>
    <t>Substance use by pregnant adolescents</t>
  </si>
  <si>
    <t>Clinics in perinatology</t>
  </si>
  <si>
    <t>Clin.Perinatol.</t>
  </si>
  <si>
    <t>Adolescent;Female;Humans;Pregnancy;*Pregnancy in Adolescence;Prevalence;Substance-Related Disorders/di Diagnosis];Substance-Related Disorders/ep Epidemiology];Substance-Related Disorders/th Therapy];*Substance-Related Disorders;United States/ep Epidemiology]</t>
  </si>
  <si>
    <t>Alcohol and other drug use by adolescents and adolescent pregnancy are both considered to be major problems in the United States. The risk-taking behaviors of early sexual activity and substance use are associated and are part of a larger problem behavior constellation. Although substance use by adolescents and adolescent pregnancy have both been well documented and studied, substance use by pregnant adolescents is just beginning to be studied systemically. Current studies show significant substance use both by self-report and objective testing among pregnant adolescents, with self-report alone underestimating use. Early risk profiles show several significant risk factors for alcohol and drug use by pregnant adolescents. Future directions for work with substance abuse with pregnant adolescents include changes in practice behavior by physicians and other health providers, and family education and support regarding sexuality and substance use. Further research is needed to determine prevalence of substance use among pregnant adolescents, how better screening and early intervention can be implemented, and the long-term effects of substance use on the adolescent and her baby. References: 37]</t>
  </si>
  <si>
    <t>J2: Clin Perinatol; Kokotailo, P K Adger, H Jr; ID: 1316</t>
  </si>
  <si>
    <t>0095-5108</t>
  </si>
  <si>
    <t>Kokotailo, P K. Department of Pediatrics, University of Wisconsin, Medical School, Madison.</t>
  </si>
  <si>
    <t>http://ovidsp.ovid.com/ovidweb.cgi?T=JS&amp;CSC=Y&amp;NEWS=N&amp;PAGE=fulltext&amp;D=med3&amp;AN=2040113</t>
  </si>
  <si>
    <t>MEDLINE; Ovid Technologies; Substance use by pregnant adolescents</t>
  </si>
  <si>
    <t>Kokotailo,P. K.;Fleming,M. F.;Koscik,R. L.</t>
  </si>
  <si>
    <t>A model alcohol and other drug use curriculum for pediatric residents</t>
  </si>
  <si>
    <t>Adolescent;Adolescent Behavior;*Alcoholism/pc Prevention &amp; Control];Community Medicine/ed Education];Curriculum;Humans;*Internship and Residency/mt Methods];Internship and Residency/st Standards];Models, Educational;*Pediatrics/ed Education];Risk-Taking;*Substance-Related Disorders/pc Prevention &amp; Control];Wisconsin</t>
  </si>
  <si>
    <t>While alcohol and other drug (AOD) use is a major health risk for adolescents in the United States, there is a paucity of AOD training for pediatric residents. In 1991-92, the University of Wisconsin Medical School developed an experiential, community-based AOD curriculum for pediatrics residents. The curriculum included resident participation in a community-based AOD adolescent assessment and intervention program, interactive didactic sessions, role-playing practice, and interviewing skills sessions. The residents who participated in the curriculum (n = 25) were compared with a control group (n = 19). Evaluation included pre- and post-curriculum written tests, objective structured clinical examinations, and residents' ratings of the curriculum components. The residents who participated showed significant gains in AOD knowledge, utilization of screening techniques, and clinical management skills as compared with the controls. The residents gave positive ratings to all curriculum components. This well-received curriculum can serve as a national model both for AOD education in pediatrics and for curriculum development in other areas of adolescent health-risk-taking.</t>
  </si>
  <si>
    <t>J2: Acad Med; Kokotailo, P K Fleming, M F Koscik, R L; ID: 1193</t>
  </si>
  <si>
    <t>Kokotailo, P K. Department of Pediatrics, University of Wisconsin Medical School, Madison, USA.</t>
  </si>
  <si>
    <t>http://ovidsp.ovid.com/ovidweb.cgi?T=JS&amp;CSC=Y&amp;NEWS=N&amp;PAGE=fulltext&amp;D=med3&amp;AN=7786368</t>
  </si>
  <si>
    <t>MEDLINE; Ovid Technologies; A model alcohol and other drug use curriculum for pediatric residents</t>
  </si>
  <si>
    <t>Komaromy,M.;Duhigg,D.;Metcalf,A.;Carlson,C.;Kalishman,S.;Hayes,L.;Burke,T.;Thornton,K.;Arora,S.</t>
  </si>
  <si>
    <t>Project ECHO (Extension for Community Healthcare Outcomes): A new model for educating primary care providers about treatment of substance use disorders</t>
  </si>
  <si>
    <t>*Buprenorphine/tu Therapeutic Use];*Community Health Services/mt Methods];Curriculum;*Education, Medical, Continuing/sn Statistics &amp; Numerical Data];Humans;*Opioid-Related Disorders/dt Drug Therapy];*Primary Health Care/mt Methods];Telecommunications/sn Statistics &amp; Numerical Data];40D3SCR4GZ (Buprenorphine)</t>
  </si>
  <si>
    <t>BACKGROUND: Project ECHO (Extension for Community Healthcare Outcomes) trains and mentors primary care providers (PCPs) in the care of patients with complex conditions. ECHO is a distance education model that connects specialists with numerous PCPs via simultaneous video link for the purpose of facilitating case-based learning. This article describes a teleECHO clinic based at the University of New Mexico Health Sciences Center that is focused on treatment of substance use disorders (SUDs) and behavioral health disorders. METHODS: Since 2005, specialists in treatment of SUDs and behavioral health disorders at Project ECHO have offered a weekly 2-hour Integrated Addictions and Psychiatry (IAP) TeleECHO Clinic focused on supporting PCP evaluation and treatment of SUDs and behavioral health disorders. We tabulate the number of teleECHO clinic sessions, participants, and CME/CEU (continuing medical education/continuing education unit) credits provided annually. This teleECHO clinic has also been used to recruit physicians to participate in DATA-2000 buprenorphine waiver trainings. Using a database of the practice location of physicians who received the buprenorphine waiver since 2002, the number of waivered physicians per capita in US states was calculated. The increase in waivered physicians practicing in underserved areas in New Mexico was evaluated and compared with the rest of the United States. RESULTS: Since 2008, approximately 950 patient cases have been presented during the teleECHO clinic, and more than 9000 hours of CME/CEU have been awarded. Opioids are the substances discussed most commonly (31%), followed by alcohol (21%) and cannabis (12%). New Mexico is near the top among US states in DATA-2000 buprenorphine-waivered physicians per capita, and it has had much more rapid growth in waivered physicians practicing in traditionally underserved areas compared with the rest of the United States since the initiation of the teleECHO clinic focused on SUDs in 2005. CONCLUSION: The ECHO model provides an opportunity to promote expansion of access to treatment for opioid use disorder and other SUDs, particularly in underserved areas.</t>
  </si>
  <si>
    <t>J2: Subst Abus; Komaromy, Miriam Duhigg, Dan Metcalf, Adam Carlson, Cristina Kalishman, Summers Hayes, Leslie Burke, Tom Thornton, Karla Arora, Sanjeev; ID: 114</t>
  </si>
  <si>
    <t>Komaromy, Miriam. a ECHO Institute, University of New Mexico Health Sciences Center , University of New Mexico , Albuquerque , New Mexico , USA. Duhigg, Dan. a ECHO Institute, University of New Mexico Health Sciences Center , University of New Mexico , Albuquerque , New Mexico , USA. Metcalf, Adam. b Truman Clinic, University Hospital , Albuquerque , New Mexico , USA. Carlson, Cristina. a ECHO Institute, University of New Mexico Health Sciences Center , University of New Mexico , Albuquerque , New Mexico , USA. Kalishman, Summers. a ECHO Institute, University of New Mexico Health Sciences Center , University of New Mexico , Albuquerque , New Mexico , USA. Hayes, Leslie. c El Centro Family Health Center , Espanola , New Mexico , USA. Burke, Tom. a ECHO Institute, University of New Mexico Health Sciences Center , University of New Mexico , Albuquerque , New Mexico , USA. Thornton, Karla. a ECHO Institute, University of New Mexico Health Sciences Center , University of New Mexico , Albuquerque , New Mexico , USA. Arora, Sanjeev. a ECHO Institute, University of New Mexico Health Sciences Center , University of New Mexico , Albuquerque , New Mexico , USA.</t>
  </si>
  <si>
    <t>http://ovidsp.ovid.com/ovidweb.cgi?T=JS&amp;CSC=Y&amp;NEWS=N&amp;PAGE=fulltext&amp;D=med8&amp;AN=26848803</t>
  </si>
  <si>
    <t>https://dx.doi.org/10.1080/08897077.2015.1129388</t>
  </si>
  <si>
    <t>MEDLINE; Ovid Technologies; Project ECHO (Extension for Community Healthcare Outcomes): A new model for educating primary care providers about treatment of substance use disorders</t>
  </si>
  <si>
    <t>Kondric,M.;Sekulic,D.;Petroczi,A.;Ostojic,L.;Rodek,J.;Ostojic,Z.</t>
  </si>
  <si>
    <t>Is there a danger for myopia in anti-doping education? Comparative analysis of substance use and misuse in Olympic racket sports calls for a broader approach</t>
  </si>
  <si>
    <t>Adult;*Athletes/px Psychology];Attitude to Health;Dietary Supplements/sn Statistics &amp; Numerical Data];*Doping in Sports/px Psychology];*Doping in Sports/sn Statistics &amp; Numerical Data];Educational Status;Female;Humans;Male;*Racquet Sports/px Psychology];Racquet Sports/sn Statistics &amp; Numerical Data];Sex Characteristics;Slovenia;*Substance-Related Disorders/px Psychology];Surveys and Questionnaires</t>
  </si>
  <si>
    <t>BACKGROUND: Racket sports are typically not associated with doping. Despite the common characteristics of being non-contact and mostly individual, racket sports differ in their physiological demands, which might be reflected in substance use and misuse (SUM). The aim of this study was to investigate SUM among Slovenian Olympic racket sport players in the context of educational, sociodemographic and sport-specific factors. METHODS: Elite athletes (N=187; mean age=22+/-2.3; 64% male) representing one of the three racket sports, table tennis, badminton, and tennis, completed a paper-and-pencil questionnaire on substance use habits. Athletes in this sample had participated in at least one of the two most recent competitions at the highest national level and had no significant difference in competitive achievement or status within their sport. RESULTS: A significant proportion of athletes (46% for both sexes) reported using nutritional supplements. Between 10% and 24% of the studied males would use doping if the practice would help them achieve better results in competition and if it had no negative health consequences; a further 5% to 10% indicated potential doping behaviour regardless of potential health hazards. Females were generally less oriented toward SUM than their male counterparts with no significant differences between sports, except for badminton players. Substances that have no direct effect on sport performance (if timed carefully to avoid detrimental effects) are more commonly consumed (20% binge drink at least once a week and 18% report using opioids), whereas athletes avoid substances that can impair and threaten athletic achievement by decreasing physical capacities (e.g. cigarettes), violating anti-doping codes or potentially transgressing substance control laws (e.g. opiates and cannabinoids). Regarding doping issues, athletes' trust in their coaches and physicians is low. CONCLUSION: SUM in sports spreads beyond doping-prone sports and drugs that enhance athletic performance. Current anti-doping education, focusing exclusively on rules and fair play, creates an increasingly widening gap between sports and the athletes' lives outside of sports. To avoid myopia, anti-doping programmes should adopt a holistic approach to prevent substance use in sports for the sake of the athletes' health as much as for the integrity of sports.</t>
  </si>
  <si>
    <t>J2: Subst Abuse Treat Prev Policy; Kondric, Miran Sekulic, Damir Petroczi, Andrea Ostojic, Ljerka Rodek, Jelena Ostojic, Zdenko; ID: 470</t>
  </si>
  <si>
    <t>Kondric, Miran. Faculty of Sport, University of Ljubljana, Ljubljana, Slovenia.</t>
  </si>
  <si>
    <t>http://ovidsp.ovid.com/ovidweb.cgi?T=JS&amp;CSC=Y&amp;NEWS=N&amp;PAGE=fulltext&amp;D=med7&amp;AN=21988896</t>
  </si>
  <si>
    <t>https://dx.doi.org/10.1186/1747-597X-6-27</t>
  </si>
  <si>
    <t>MEDLINE; Ovid Technologies; Is there a danger for myopia in anti-doping education? Comparative analysis of substance use and misuse in Olympic racket sports calls for a broader approach</t>
  </si>
  <si>
    <t>Koopman,F. A.;Parry,C. D.;Myers,B.;Reagon,G.</t>
  </si>
  <si>
    <t>Addressing alcohol problems in primary care settings: a study of general medical practitioners in Cape Town, South Africa</t>
  </si>
  <si>
    <t>Scandinavian Journal of Public Health</t>
  </si>
  <si>
    <t>Scand.J.Public Health</t>
  </si>
  <si>
    <t>Adult;Alcohol Drinking/ae Adverse Effects];*Alcohol Drinking/pc Prevention &amp; Control];*Alcoholism/pc Prevention &amp; Control];Cross-Sectional Studies;Education, Medical, Continuing;*Family Practice;Humans;Middle Aged;Physician-Patient Relations;Physicians, Family/ed Education];Physicians, Family/px Psychology];*Practice Patterns, Physicians';Risk Factors;South Africa;Surveys and Questionnaires</t>
  </si>
  <si>
    <t>AIMS: To explore alcohol-related practices among general practitioners (GPs) in the Cape Town metropole and to examine barriers to addressing risky drinking among patients. METHOD: A cross-sectional survey of 50 GPs was conducted between November 2004 and April 2005. A questionnaire assessing GPs' alcohol-related practices and barriers to alcohol-related interventions was administered to participating GPs. RESULTS: In the past 12 months, most GPs reported seeing only 11-30 patients for alcohol problems specifically. While only 12% thought that they could effectively help patients reduce their alcohol consumption, 78% of GPs indicated that, given adequate training and support, they could become more effective. Among the barriers that hindered their ability to intervene in patients' alcohol-related problems were difficulties in getting reimbursed for treating patients with alcohol problems, insufficient training, lack of materials with which to do screening and counselling, perceptions of ineffectiveness, and time constraints. CONCLUSIONS: GPs are willing to conduct interventions for risky drinking but require additional training in these interventions as well as appropriate support and intervention tools.</t>
  </si>
  <si>
    <t>J2: Scand J Public Health; Koopman, Fred A Parry, Charles D H Myers, Bronwyn Reagon, Gavin; ID: 688</t>
  </si>
  <si>
    <t>1403-4948</t>
  </si>
  <si>
    <t>Koopman, Fred A. Alcohol and Drug Abuse Research Unit, Medical Research Council, South Africa.</t>
  </si>
  <si>
    <t>http://ovidsp.ovid.com/ovidweb.cgi?T=JS&amp;CSC=Y&amp;NEWS=N&amp;PAGE=fulltext&amp;D=med6&amp;AN=18519300</t>
  </si>
  <si>
    <t>https://dx.doi.org/10.1177/1403494808086914</t>
  </si>
  <si>
    <t>MEDLINE; Ovid Technologies; Addressing alcohol problems in primary care settings: a study of general medical practitioners in Cape Town, South Africa</t>
  </si>
  <si>
    <t>Korcok,M.</t>
  </si>
  <si>
    <t>How can we teach students about alcoholism?</t>
  </si>
  <si>
    <t>Alcoholism/pc Prevention &amp; Control];*Alcoholism;Canada;Curriculum;*Education, Medical;Humans;Social Problems;United States</t>
  </si>
  <si>
    <t>J2: Can Med Assoc J; Korcok, M; ID: 1478</t>
  </si>
  <si>
    <t>http://ovidsp.ovid.com/ovidweb.cgi?T=JS&amp;CSC=Y&amp;NEWS=N&amp;PAGE=fulltext&amp;D=med2&amp;AN=6692216</t>
  </si>
  <si>
    <t>MEDLINE; Ovid Technologies; How can we teach students about alcoholism?</t>
  </si>
  <si>
    <t>Koren,G.;Sarkar,M.;Rosenbaum,C.;Orrbine,E.</t>
  </si>
  <si>
    <t>The maternal drinking history guide: development of a national educational tool</t>
  </si>
  <si>
    <t>e42</t>
  </si>
  <si>
    <t>Alcohol Drinking/ae Adverse Effects];*Alcohol Drinking/ep Epidemiology];Education, Medical, Continuing/mt Methods];Female;*Fetal Alcohol Spectrum Disorders/pc Prevention &amp; Control];Focus Groups;Follow-Up Studies;Health Knowledge, Attitudes, Practice;Humans;*Mass Screening/mt Methods];*Practice Patterns, Physicians';Pregnancy;Surveys and Questionnaires</t>
  </si>
  <si>
    <t>BACKGROUND: The National Taskforce for the development of screening tools for FASD has identified maternal drinking as a critical area that should be screened. We describe the steps of development and implementation of a knowledge translation program for health care providers. The slide presentation is attached in English and French to allow its maximal use. METHODS: In 2010, the National Taskforce for the development of screening tools for FASD identified maternal drinking as a critical area that should be screened. The systematic review and associated recommendations have been published and were included in the toolkit developed by the Canadian Association of Paediatric Health Centres with funding support from the Public Health Agency of Canada. Effective inquiry of maternal drinking can be conducted at three levels: Primary level, as part of practice-based screening; Level 2 use of structured questionnaires; and Level 3 laboratory-based screening. CONCLUSION: It was acknowledged that most physicians do not ask women of reproductive age questions regarding their drinking habits, and the Taskforce was seriously concerned that even an effective guide may not change practice at the primary level. To that end, the Taskforce developed a three phase Knowledge Translation plan, to ensure that the educational program developed will be optimally effective for Canadian healthcare providers.</t>
  </si>
  <si>
    <t>J2: J Popul Ther Clin Pharmacol; Koren, Gideon Sarkar, Moumita Rosenbaum, Charlotte Orrbine, Elaine; ID: 332</t>
  </si>
  <si>
    <t>Koren, Gideon. Motherisk Program, Hospital for Sick Children, University of Toronto. gkoren@sickkids.ca</t>
  </si>
  <si>
    <t>http://ovidsp.ovid.com/ovidweb.cgi?T=JS&amp;CSC=Y&amp;NEWS=N&amp;PAGE=fulltext&amp;D=med7&amp;AN=23429281</t>
  </si>
  <si>
    <t>MEDLINE; Ovid Technologies; The maternal drinking history guide: development of a national educational tool</t>
  </si>
  <si>
    <t>Korenstein,D.;Dunn,A.;McGinn,T.</t>
  </si>
  <si>
    <t>Mixing it up: integrating evidence-based medicine and patient care</t>
  </si>
  <si>
    <t>*Delivery of Health Care, Integrated;Evidence-Based Medicine/ed Education];Female;Humans;Internal Medicine/ed Education];Internship and Residency;Male;*Patient Care;Problem-Based Learning;United States</t>
  </si>
  <si>
    <t>OBJECTIVE: To teach internal medicine residents to use evidence-based medicine (EBM) in their interactions with patients by creating curricula that integrate EBM into clinical topics in internal medicine. DESCRIPTION: The last several years have brought the wide-spread inclusion of EBM in internal medicine training programs in the United States. However, EBM is often taught as an independent topic and is poorly integrated into the clinical teaching of trainees. Most EBM education occurs in a journal-club format, focusing on question development, searching, and critical appraisal. The challenge of discussing the evidence with patients is rarely addressed. We set out to integrate EBM teaching into new curricula in women's health, addiction medicine, and topics in anticoagulation. During the first of two ambulatory blocks of the year, residents participate in an EBM seminar series in which they present cases, generate questions, and critically appraise the evidence. Second-year residents present articles on therapy or diagnosis and third-year residents present articles on diagnosis, meta-analysis, or decision and economic analysis. Both the women's health curriculum and the anticoagulation curriculum are presented during the second ambulatory block of the year as four half-day small-group seminars. The women's health curriculum is presented to the second-year residents and the anticoagulation curriculum is presented to the third-year residents. Both curricula are case-based and emphasize essential skills in patient care, including interview techniques, sensitivity to psychosocial issues, and skills in evidence-based patient care. Teaching EBM is not identified to the residents as a goal of these curricula; instead EBM, psychosocial medicine, and communication skills are woven into the content material and taught in the context of the broader subject matter. Learners are expected to integrate these concepts into actual practice. The curricula utilize clinical vignettes and role-plays to link EBM concepts such as number needed to treat or decision analysis to real-patient decisions. Residents are also asked to apply the evidence in their own patient encounters for further discussion at later sessions. Simpler concepts of therapy and diagnosis are covered during the second year in women's health and the more complex concepts of meta-analysis; decision analysis, and economic analysis are covered during the third year in anti-coagulation. DISCUSSION: The women's health curriculum was introduced in the spring of 2000; the anticoagulation curriculum was introduced in the spring of 2001. Both have been well received and seem to have impacted the ability of our housestaff to incorporate EBM into patient care. Currently under development in this series is a curriculum in addiction medicine for interns that will use a similar approach to provide an overview of EBM topics and their integration into the flow of patient care. We feel that these educational programs have helped EBM to bridge the gap between the classroom and the exam room.</t>
  </si>
  <si>
    <t>J2: Acad Med; Korenstein, Deborah Dunn, Andrew McGinn, Thomas; ID: 972</t>
  </si>
  <si>
    <t>Korenstein, Deborah. Mount Sinai School of Medicine, New York University, New York, NY 10029, USA.</t>
  </si>
  <si>
    <t>http://ovidsp.ovid.com/ovidweb.cgi?T=JS&amp;CSC=Y&amp;NEWS=N&amp;PAGE=fulltext&amp;D=med4&amp;AN=12114160</t>
  </si>
  <si>
    <t>MEDLINE; Ovid Technologies; Mixing it up: integrating evidence-based medicine and patient care</t>
  </si>
  <si>
    <t>Korthuis,P. T.;McCarty,D.;Weimer,M.;Bougatsos,C.;Blazina,I.;Zakher,B.;Grusing,S.;Devine,B.;Chou,R.</t>
  </si>
  <si>
    <t>Primary Care-Based Models for the Treatment of Opioid Use Disorder: A Scoping Review</t>
  </si>
  <si>
    <t>Buprenorphine/tu Therapeutic Use];Combined Modality Therapy;Education, Medical, Continuing;Health Education;Humans;Naltrexone/tu Therapeutic Use];*Narcotic Antagonists/tu Therapeutic Use];*Opiate Substitution Treatment;Opioid-Related Disorders/co Complications];*Opioid-Related Disorders/dt Drug Therapy];*Primary Health Care/og Organization &amp; Administration];Psychotherapy;0 (Narcotic Antagonists);40D3SCR4GZ (Buprenorphine);5S6W795CQM (Naltrexone)</t>
  </si>
  <si>
    <t>Greater integration of medication-assisted treatment (MAT) for opioid use disorder (OUD) in U.S. primary care settings would expand access to treatment for this condition. Models for integrating MAT into primary care vary in structure. This article summarizes findings of a technical report for the Agency for Healthcare Research and Quality describing MAT models of care for OUD, based on a literature review and interviews with key informants in the field. The report describes 12 representative models of care for integrating MAT into primary care settings that could be considered for adaptation across diverse health care settings. Common components of existing care models include pharmacotherapy with buprenorphine or naltrexone, provider and community education, coordination and integration of OUD treatment with other medical and psychological needs, and psychosocial services and interventions. Models vary in how each component is implemented. Decisions about adopting MAT models of care should be individualized to address the unique milieu of each implementation setting.</t>
  </si>
  <si>
    <t>J2: Ann Intern Med; Korthuis, P Todd McCarty, Dennis Weimer, Melissa Bougatsos, Christina Blazina, Ian Zakher, Bernadette Grusing, Sara Devine, Beth Chou, Roger Comment in: Ann Intern Med. 2017 Feb 21;166(4):307-308; PMID: 27919106; ID: 93</t>
  </si>
  <si>
    <t>Korthuis, P Todd. From Oregon Health &amp; Science University, Portland, Oregon, and University of Washington, Seattle, Washington. McCarty, Dennis. From Oregon Health &amp; Science University, Portland, Oregon, and University of Washington, Seattle, Washington. Weimer, Melissa. From Oregon Health &amp; Science University, Portland, Oregon, and University of Washington, Seattle, Washington. Bougatsos, Christina. From Oregon Health &amp; Science University, Portland, Oregon, and University of Washington, Seattle, Washington. Blazina, Ian. From Oregon Health &amp; Science University, Portland, Oregon, and University of Washington, Seattle, Washington. Zakher, Bernadette. From Oregon Health &amp; Science University, Portland, Oregon, and University of Washington, Seattle, Washington. Grusing, Sara. From Oregon Health &amp; Science University, Portland, Oregon, and University of Washington, Seattle, Washington. Devine, Beth. From Oregon Health &amp; Science University, Portland, Oregon, and University of Washington, Seattle, Washington. Chou, Roger. From Oregon Health &amp; Science University, Portland, Oregon, and University of Washington, Seattle, Washington.</t>
  </si>
  <si>
    <t>http://ovidsp.ovid.com/ovidweb.cgi?T=JS&amp;CSC=Y&amp;NEWS=N&amp;PAGE=fulltext&amp;D=medc&amp;AN=27919103</t>
  </si>
  <si>
    <t>https://dx.doi.org/10.7326/M16-2149</t>
  </si>
  <si>
    <t>MEDLINE; Ovid Technologies; Primary Care-Based Models for the Treatment of Opioid Use Disorder: A Scoping Review</t>
  </si>
  <si>
    <t>Kosower,E.;Ernst,A.;Taub,B.;Berman,N.;Andrews,J.;Seidel,J.</t>
  </si>
  <si>
    <t>Tobacco prevention education in a pediatric residency program</t>
  </si>
  <si>
    <t>Adult;Counseling/ed Education];Educational Measurement;Faculty, Medical;Follow-Up Studies;Health Knowledge, Attitudes, Practice;Humans;*Internship and Residency;Los Angeles;*Pediatrics/ed Education];*Smoking Prevention</t>
  </si>
  <si>
    <t>OBJECTIVE: To report the impact of a tobacco intervention in a pediatric residency program. DESIGN: Residents and faculty took pretests and posttests and follow-up surveys 6 months later. SETTING: An urban, university-affiliated, county medical center. INTERVENTION: An educational program of three presentations, written materials, and a bulletin board. RESULTS: Significant improvement in counseling and confidence in counseling. Perceptions of barriers to counseling, specifically expertise, time limitation, and doubts regarding counseling effectiveness diminished. Residents changed less than faculty in particular areas. There were no differences between the posttests and the follow-up survey 6 months later. CONCLUSIONS: Pediatric health professionals in an academic setting, given an educational program, will change their behaviors and attitudes about their role in counseling patients about tobacco use.</t>
  </si>
  <si>
    <t>J2: Arch Pediatr Adolesc Med; Kosower, E Ernst, A Taub, B Berman, N Andrews, J Seidel, J; ID: 1202</t>
  </si>
  <si>
    <t>Kosower, E. Department of Pediatrics, University of California-Los Angeles School of Medicine, Torrance, USA.</t>
  </si>
  <si>
    <t>http://ovidsp.ovid.com/ovidweb.cgi?T=JS&amp;CSC=Y&amp;NEWS=N&amp;PAGE=fulltext&amp;D=med3&amp;AN=7704172</t>
  </si>
  <si>
    <t>MEDLINE; Ovid Technologies; Tobacco prevention education in a pediatric residency program</t>
  </si>
  <si>
    <t>Kosowicz,L. Y.;Pfeiffer,C. A.;Vargas,M.</t>
  </si>
  <si>
    <t>Long-term retention of smoking cessation counseling skills learned in the first year of medical school</t>
  </si>
  <si>
    <t>*Counseling/ed Education];Curriculum;*Education, Medical, Undergraduate;Educational Measurement;Humans;*Retention (Psychology);*Smoking Cessation;*Students, Medical/px Psychology]</t>
  </si>
  <si>
    <t>BACKGROUND: Tobacco use is a significant cause of preventable morbidity and mortality in the United States, yet clinicians underutilize smoking cessation counseling. Medical schools are increasingly including training for smoking cessation skills in preclinical curricula. Information about long-term retention of these skills is needed. OBJECTIVE: To assess retention of smoking cessation counseling skills learned in the first year of medical school. DESIGN: Retrospective review of data collected for routine student and curriculum assessment. PARTICIPANTS: Two cohorts of medical students at the University of Connecticut School of Medicine (total N = 112) in 1999-2001 and 2002-2004. MEASUREMENTS AND MAIN RESULTS: Scores by standardized patients were compared from first and fourth-year assessments, based on checklist items corresponding to the 5 strategies recommended by the U.S. Public Health Service (Ask, Advise, Assess, Assist, Arrange). In study cases, 97% of first-year students "asked" about smoking and retained this skill in fourth year (p = .08). Ninety-four percent of first-year students "assessed" readiness to quit and retained this skill (p = .21). Ninety-six percent of first-year students "advised" smokers to quit and retained this skill (p = .18). Eighty-six percent of first year students "assisted" smokers in quitting and retained this skill (p = 0.10). Eighty-one percent of first year students "arranged" follow-up contact and performance of this strategy improved in the fourth year to 91% (p = .03). CONCLUSIONS: Smoking cessation counseling skills demonstrated by first year medical students were, with brief formal reinforcement in the third year, well retained into the fourth year of medical school. It is appropriate to begin this training early in medical education.</t>
  </si>
  <si>
    <t>J2: J Gen Intern Med; Kosowicz, Lynn Y Pfeiffer, Carol A Vargas, Maximilian; ID: 754</t>
  </si>
  <si>
    <t>Kosowicz, Lynn Y. University of Connecticut School of Medicine, Farmington, Connecticut 06030, USA. Kosowicz@nso1.uchc.edu</t>
  </si>
  <si>
    <t>http://ovidsp.ovid.com/ovidweb.cgi?T=JS&amp;CSC=Y&amp;NEWS=N&amp;PAGE=fulltext&amp;D=med5&amp;AN=17557189</t>
  </si>
  <si>
    <t>MEDLINE; Ovid Technologies; Long-term retention of smoking cessation counseling skills learned in the first year of medical school</t>
  </si>
  <si>
    <t>Kothari,D.;Gourevitch,M. N.;Lee,J. D.;Grossman,E.;Truncali,A.;Ark,T. K.;Kalet,A. L.</t>
  </si>
  <si>
    <t>NIHMS299510; Undergraduate medical education in substance abuse: a review of the quality of the literature</t>
  </si>
  <si>
    <t>*Curriculum;*Education, Medical, Undergraduate/st Standards];Humans;Journal Impact Factor;*Models, Educational;*Periodicals as Topic/st Standards];*Psychiatry/ed Education];*Substance-Related Disorders</t>
  </si>
  <si>
    <t>PURPOSE: To prepare to develop a medical school curriculum on substance abuse disorders (SADs), the authors conducted a review of the quality of the sparse published literature. METHOD: The authors searched MEDLINE (1950 through December 2008) using OVID, PsycINFO, and PubMed to identify all studies of SAD interventions targeted toward undergraduate medical students. Of the 1,084 studies identified initially, 31 reported sufficient data to allow the authors to evaluate quality using Medical Education Research Study Quality Instrument (MERSQI) scores. The authors also determined the impact of the studies by considering three-year citation rate and journal impact factor. A detailed review of the literature provided data on contact hours and intervention content. RESULTS: The three-rater intraclass correlation coefficient for total MERSQI score was 0.82 (95% confidence interval: 0.70-0.90). The mean MERSQI score was 10.42 of a possible 18 (SD 2.59; range: 6.33-14.83). MERSQI scores were higher for more recently published studies and correlated with three-year citation rate but not impact factor. The mean contact time for 26 studies was 29.25 hours (range: 0.83-200 hours). CONCLUSIONS: The literature provides a variety of educational methods to train medical students in SAD detection and intervention skills. This literature is of variable quality and provides limited guidance for development of curricula and medical education policy. Better methods of curriculum evaluation and publication guidelines would help ensure that this literature has a positive impact on educational practice and public health.</t>
  </si>
  <si>
    <t>J2: Acad Med; Kothari, Devyani Gourevitch, Marc N Lee, Joshua D Grossman, Ellie Truncali, Andrea Ark, Tavinder K Kalet, Adina L; ID: 537</t>
  </si>
  <si>
    <t>Kothari, Devyani. Substance Abuse Research and Education Training (SARET) Program, New York University School of Medicine, New York, New York, USA.</t>
  </si>
  <si>
    <t>http://ovidsp.ovid.com/ovidweb.cgi?T=JS&amp;CSC=Y&amp;NEWS=N&amp;PAGE=fulltext&amp;D=med7&amp;AN=21099395</t>
  </si>
  <si>
    <t>https://dx.doi.org/10.1097/ACM.0b013e3181ff92cf</t>
  </si>
  <si>
    <t>MEDLINE; Ovid Technologies; Undergraduate medical education in substance abuse: a review of the quality of the literature</t>
  </si>
  <si>
    <t>Kotlyar,D. S.;Burke,A.;Campbell,M. S.;Weinrieb,R. M.</t>
  </si>
  <si>
    <t>A critical review of candidacy for orthotopic liver transplantation in alcoholic liver disease</t>
  </si>
  <si>
    <t>American Journal of Gastroenterology</t>
  </si>
  <si>
    <t>Am.J.Gastroenterol.</t>
  </si>
  <si>
    <t>43; quiz 744</t>
  </si>
  <si>
    <t>Alcohol Drinking;Humans;Liver Diseases, Alcoholic/px Psychology];*Liver Diseases, Alcoholic/su Surgery];Liver Transplantation/ut Utilization];*Liver Transplantation;Mental Disorders/co Complications];*Patient Selection;Referral and Consultation;Smoking;Tissue and Organ Procurement;Waiting Lists</t>
  </si>
  <si>
    <t>The majority of candidates with end-stage alcoholic liver disease (ESALD) in the United States who are eligible for referral for liver transplantation (LT) are not being referred. There is a lack of firm consensus for the duration of abstinence from alcohol as well as what constitutes good psychosocial criteria for listing for LT. Evidence shows that the general public and the practicing physicians outside the transplant community perceive that patients with a history of alcohol abuse will make poor transplant candidates. However, physicians in the transplant community perceive selected patients with ESALD as good candidates. When considering patients for listing for LT, 3 months of alcohol abstinence may be more ideal than 6 months. Patients with a lack of social support, active smoking, psychotic or personality disorders, or a pattern of nonadherence should be listed only with reservation. Those who have a diagnosis of alcohol abuse as opposed to alcohol dependence may make better transplant candidates. Patients who have regular appointments with a psychiatrist or psychologist in addictions treatment training also seem to do more favorably. References: 71]</t>
  </si>
  <si>
    <t>J2: Am J Gastroenterol; Kotlyar, David S Burke, Anne Campbell, Mical S Weinrieb, Robert M; ID: 693</t>
  </si>
  <si>
    <t>Kotlyar, David S. University of Pennsylvania School of Medicine, Philadelphia, Pennsylvania 19104, USA.</t>
  </si>
  <si>
    <t>http://ovidsp.ovid.com/ovidweb.cgi?T=JS&amp;CSC=Y&amp;NEWS=N&amp;PAGE=fulltext&amp;D=med6&amp;AN=18081918</t>
  </si>
  <si>
    <t>MEDLINE; Ovid Technologies; A critical review of candidacy for orthotopic liver transplantation in alcoholic liver disease</t>
  </si>
  <si>
    <t>Kotz,M.</t>
  </si>
  <si>
    <t>Educating providers for the epidemic: the role of AOAAM</t>
  </si>
  <si>
    <t>Child;Education, Medical/st Standards];*Epidemics;Humans;*Substance-Related Disorders/ep Epidemiology];United States/ep Epidemiology]</t>
  </si>
  <si>
    <t>J2: J Addict Dis; Kotz, Margaret; ID: 296</t>
  </si>
  <si>
    <t>1545-0848</t>
  </si>
  <si>
    <t>Kotz, Margaret. a American Osteopathic Academy of Addiction Medicine.</t>
  </si>
  <si>
    <t>http://ovidsp.ovid.com/ovidweb.cgi?T=JS&amp;CSC=Y&amp;NEWS=N&amp;PAGE=fulltext&amp;D=med7&amp;AN=24325775</t>
  </si>
  <si>
    <t>https://dx.doi.org/10.1080/10550887.2013.859450</t>
  </si>
  <si>
    <t>MEDLINE; Ovid Technologies; Educating providers for the epidemic: the role of AOAAM</t>
  </si>
  <si>
    <t>Koyi,M. B.;Nelliot,A.;MacKinnon,D.;Rastegar,D. A.;Fingerhood,M.;Alvanzo,A.;Feldman,L.;Neufeld,K. J.</t>
  </si>
  <si>
    <t>Change in Medical Student Attitudes Toward Patients with Substance Use Disorders After Course Exposure</t>
  </si>
  <si>
    <t>OBJECTIVE: Negative physician attitudes toward patients with substance use disorders (SUD) pose a significant barrier to treatment. This study tests the overall and intra-individual change in attitudes of second year medical students after exposure to a 15 hour SUD course. METHODS: Two cohorts of second year medical students (2014 and 2015) responded to an anonymous 13-item previously published survey exploring personal views regarding patients with SUD using a four-point Likert scale. Students were surveyed one day before and up to one month after course completion. Survey items were grouped into the following categories: treatment optimism/confidence in intervention, moralism, and stereotyping. The Wilcoxon nonparametric signed-rank test (alpha=0.05) was used to compare the pre- and post- survey responses. RESULTS: In 2014 and 2015 respectively, 118 and 120 students participated in the SUD course with pre- and post-response rates of 89.0% and 75.4% in 2014 and 95.8% and 97.5% in 2015. Of the 13 survey questions, paired responses to eight questions showed a statistically significant positive change in attitudes with a medium (d = 0.5) to large effect size (d = 0.8). Items focused on treatment optimism and confidence in treatment intervention reflected a positive attitude change, as did items associated with stereotyping and moralism. CONCLUSIONS: These results support the hypothesis that exposure to a course on SUD was associated with positive change in medical students' attitudes toward patients with SUD.</t>
  </si>
  <si>
    <t>J2: Acad Psychiatry; Koyi, Makeida B Nelliot, Archana MacKinnon, Dean Rastegar, Darius A Fingerhood, Michael Alvanzo, Anika Feldman, Leonard Neufeld, Karin J; ID: 1634</t>
  </si>
  <si>
    <t>Koyi, Makeida B. Johns Hopkins University School of Medicine, Baltimore, MD, USA. mkoyi1@jhmi.edu. Nelliot, Archana. Johns Hopkins University School of Medicine, Baltimore, MD, USA. MacKinnon, Dean. Johns Hopkins University School of Medicine, Baltimore, MD, USA. Rastegar, Darius A. Johns Hopkins University School of Medicine, Baltimore, MD, USA. Fingerhood, Michael. Johns Hopkins University School of Medicine, Baltimore, MD, USA. Alvanzo, Anika. Johns Hopkins University School of Medicine, Baltimore, MD, USA. Feldman, Leonard. Johns Hopkins University School of Medicine, Baltimore, MD, USA. Neufeld, Karin J. Johns Hopkins University School of Medicine, Baltimore, MD, USA.</t>
  </si>
  <si>
    <t>http://ovidsp.ovid.com/ovidweb.cgi?T=JS&amp;CSC=Y&amp;NEWS=N&amp;PAGE=fulltext&amp;D=prem&amp;AN=28386856</t>
  </si>
  <si>
    <t>https://dx.doi.org/10.1007/s40596-017-0702-8</t>
  </si>
  <si>
    <t>MEDLINE; Ovid Technologies; Change in Medical Student Attitudes Toward Patients with Substance Use Disorders After Course Exposure</t>
  </si>
  <si>
    <t>Kozloff,N.;Stergiopoulos,V.;Adair,C. E.;Cheung,A. H.;Misir,V.;Townley,G.;Bourque,J.;Krausz,M.;Goering,P.</t>
  </si>
  <si>
    <t>The Unique Needs of Homeless Youths With Mental Illness: Baseline Findings From a Housing First Trial</t>
  </si>
  <si>
    <t>Adolescent;Adult;Canada/ep Epidemiology];Female;*Homeless Youth/sn Statistics &amp; Numerical Data];Humans;Male;*Mental Disorders/ep Epidemiology];*Needs Assessment/sn Statistics &amp; Numerical Data];Public Housing;Young Adult</t>
  </si>
  <si>
    <t>OBJECTIVE: Although youth homelessness presents a significant public health problem, the needs of homeless youths with mental illness, as distinct from adults, are not well understood. This study examined the unique demographic, clinical, and service use characteristics of homeless youths. METHODS: At Home/Chez Soi was a large randomized controlled trial of the Housing First model in five cities in Canada. Of 2,255 participants, 7% (N=164) were youths ages 18 to 24. Youths were compared with older participants on baseline demographic, clinical, and service use characteristics. RESULTS: More youths than adults had not finished high school (76% versus 54%), had a drug use disorder (66% versus 52%), and had been assaulted in the past six months (44% versus 36%) (all p&lt;.05). Fewer than half the youths (49%) had a regular medical doctor, 50% reported unmet need for health care, and 61% visited an emergency department in the past six months. CONCLUSIONS: This sample of homeless youths with mental illness had low education, high rates of substance use disorders and victimization, and problems accessing services. These findings suggest that youths have trajectories to homelessness and service needs that are distinct from adults and may guide future planning for this vulnerable population.</t>
  </si>
  <si>
    <t>J2: Psychiatr Serv; Kozloff, Nicole Stergiopoulos, Vicky Adair, Carol E Cheung, Amy H Misir, Vachan Townley, Greg Bourque, Jimmy Krausz, Michael Goering, Paula; ID: 24</t>
  </si>
  <si>
    <t>Kozloff, Nicole. Dr. Kozloff is with the Department of Psychiatry, University of Toronto, Toronto, Ontario, Canada ( e-mail: n.kozloff@mail.utoronto.ca ). Dr. Stergiopoulos is with the Department of Psychiatry, and Mr. Misir is with the Centre for Research on Inner City Health, Li Ka Shing Knowledge Institute, St. Michael's Hospital, Toronto. Dr. Adair is with the Department of Psychiatry and Community Health Sciences, University of Calgary, Calgary, Alberta, Canada. Dr. Cheung is with the Department of Psychiatry, Sunnybrook Health Sciences Center, Toronto. Dr. Townley is with the Department of Psychology, Portland State University, Portland, Oregon. Dr. Bourque is with the Department of Education, Universite de Moncton, Moncton, Ontario. Dr. Krausz is with the Department of Psychiatry, University of British Columbia, Vancouver, British Columbia, Canada. Dr. Goering is with the Centre for Addiction and Mental Health, Toronto. Stergiopoulos, Vicky. Dr. Kozloff is with the Department of Psychiatry, University of Toronto, Toronto, Ontario, Canada ( e-mail: n.kozloff@mail.utoronto.ca ). Dr. Stergiopoulos is with the Department of Psychiatry, and Mr. Misir is with the Centre for Research on Inner City Health, Li Ka Shing Knowledge Institute, St. Michael's Hospital, Toronto. Dr. Adair is with the Department of Psychiatry and Community Health Sciences, University of Calgary, Calgary, Alberta, Canada. Dr. Cheung is with the Department of Psychiatry, Sunnybrook Health Sciences Center, Toronto. Dr. Townley is with the Department of Psychology, Portland State University, Portland, Oregon. Dr. Bourque is with the Department of Education, Universite de Moncton, Moncton, Ontario. Dr. Krausz is with the Department of Psychiatry, University of British Columbia, Vancouver, British Columbia, Canada. Dr. Goering is with the Centre for Addiction and Mental Health, Toronto. Adair, Carol E. Dr. Kozloff is with the Department of Psychiatry, University of Toronto, Toronto, Onta(TRUNCATED)</t>
  </si>
  <si>
    <t>http://ovidsp.ovid.com/ovidweb.cgi?T=JS&amp;CSC=Y&amp;NEWS=N&amp;PAGE=fulltext&amp;D=medl&amp;AN=27247178</t>
  </si>
  <si>
    <t>MEDLINE; Ovid Technologies; The Unique Needs of Homeless Youths With Mental Illness: Baseline Findings From a Housing First Trial</t>
  </si>
  <si>
    <t>Kralikova,E.;Bonevski,B.;Stepankova,L.;Pohlova,L.;Mladkova,N.</t>
  </si>
  <si>
    <t>Postgraduate medical education on tobacco and smoking cessation in Europe</t>
  </si>
  <si>
    <t>Data Collection/mt Methods];*Education, Medical, Continuing/mt Methods];Education, Medical, Continuing/td Trends];Europe/ep Epidemiology];Humans;Physician's Role;Physicians/td Trends];*Physicians;Smoking/th Therapy];*Smoking Cessation/mt Methods];Smoking Prevention;Tobacco Use Disorder/ep Epidemiology];Tobacco Use Disorder/pc Prevention &amp; Control];*Tobacco Use Disorder/th Therapy]</t>
  </si>
  <si>
    <t>ISSUES: Smoking prevalence in European countries is high. Adequately trained physicians can play a key role in reducing smoking rates in Europe. This paper provides an overview of postgraduate smoking cessation training for physicians in Europe. APPROACH: Two methods were used: (i) a review of the Europe-based published and grey literature between 1999 and 2009 on postgraduate education programs for physicians in smoking cessation; and (ii) a survey of key informants identified through two European tobacco control list serves. KEY FINDINGS: A total of nine relevant articles were identified through the literature search which showed over 170 postgraduate training programs offered in Europe in smoking cessation. The survey resulted in a 100% response rate from 38 key informants from 28 European countries. Respondents from all countries except Latvia reported knowledge of the existence of smoking cessation training programs. Course content included brief intervention training (93%), pharmacotherapy (96%), motivational interviewing skills (85%) and training in the stages of change (89%). Participation by physicians in these courses was reported to be low (ranging in total participation estimates from 15 to 1100 per country). IMPLICATIONS: The study showed numerous training opportunities for physicians in Europe. However, postgraduate training in smoking cessation might not be reaching physicians and might not be rigorously evaluated. CONCLUSIONS: It is imperative that the effectiveness of the programs in changing provider practices and patient smoking outcomes is adequately evaluated. Further research is also indicated for methods of disseminating effective educational activities throughout Europe with the intention of increasing participation. References: 28]</t>
  </si>
  <si>
    <t>J2: Drug Alcohol Rev; Kralikova, Eva Bonevski, Billie Stepankova, Lenka Pohlova, Ludmila Mladkova, Nikol; ID: 585</t>
  </si>
  <si>
    <t>1465-3362</t>
  </si>
  <si>
    <t>Kralikova, Eva. Institute of Hygiene and Epidemiology and the 3rd Medical Department First Medical Faculty, Charles University, Prague, Czech Republic.</t>
  </si>
  <si>
    <t>http://ovidsp.ovid.com/ovidweb.cgi?T=JS&amp;CSC=Y&amp;NEWS=N&amp;PAGE=fulltext&amp;D=med6&amp;AN=19737206</t>
  </si>
  <si>
    <t>https://dx.doi.org/10.1111/j.1465-3362.2009.00104.x</t>
  </si>
  <si>
    <t>MEDLINE; Ovid Technologies; Postgraduate medical education on tobacco and smoking cessation in Europe</t>
  </si>
  <si>
    <t>Krantz,M. J.;Mehler,P. S.</t>
  </si>
  <si>
    <t>Treating opioid dependence. Growing implications for primary care</t>
  </si>
  <si>
    <t>Analgesics, Opioid/ae Adverse Effects];Analgesics, Opioid/st Standards];Analgesics, Opioid/tu Therapeutic Use];Arrhythmias, Cardiac/ci Chemically Induced];Buprenorphine/ae Adverse Effects];Buprenorphine/st Standards];Buprenorphine/tu Therapeutic Use];Europe/ep Epidemiology];Humans;Methadone/ae Adverse Effects];Methadone/st Standards];Methadone/tu Therapeutic Use];Methadyl Acetate/ae Adverse Effects];Methadyl Acetate/st Standards];Methadyl Acetate/tu Therapeutic Use];Opioid-Related Disorders/ep Epidemiology];*Opioid-Related Disorders/et Etiology];*Opioid-Related Disorders/rh Rehabilitation];Prevalence;Primary Health Care/st Standards];*Primary Health Care/td Trends];Substance Withdrawal Syndrome/ep Epidemiology];Substance Withdrawal Syndrome/pc Prevention &amp; Control];Substance Withdrawal Syndrome/rh Rehabilitation];United States/ep Epidemiology];0 (Analgesics, Opioid);40D3SCR4GZ (Buprenorphine);L59OC40KWJ (Methadyl Acetate);UC6VBE7V1Z (Methadone)</t>
  </si>
  <si>
    <t>Almost 3 million Americans have abused heroin. The most effective treatment for this concerning epidemic is opioid replacement therapy. Although, from a historical perspective, acceptance of this therapy has been slow, growing evidence supports its efficacy. There are 3 approved medications for opioid maintenance therapy: methadone hydrochloride, levomethadyl acetate, and buprenorphine hydrochloride. Each has unique characteristics that determine its suitability for an individual patient. Cardiac arrhythmias have been reported with methadone and levomethadyl, but not with buprenorphine. Due to concerns about cardiac risk, levomethadyl use has declined and the product may ultimately be discontinued. These recent safety concerns, specifics about opioid detoxification and maintenance, and new federal initiatives were studied. Opioid detoxification has a role in both preventing acute withdrawal and maintaining long-term abstinence. Although only a minority of eligible patients are engaged in treatment, opioid maintenance therapy appears to offer the greatest public health benefits. There is growing interest in expanding treatment into primary care, allowing opioid addiction to be managed like other chronic illnesses. This model has gained wide acceptance in Europe and is now being implemented in the United States. The recent Drug Addiction Treatment Act enables qualified physicians to treat opioid-dependent patients with buprenorphine in an office-based setting. Mainstreaming opioid addiction treatment has many advantages; its success will depend on resolution of ethical and delivery system issues as well as improved and expanded training of physicians in addiction medicine. References: 174]</t>
  </si>
  <si>
    <t>J2: Arch Intern Med; Krantz, Mori J Mehler, Philip S; ID: 917</t>
  </si>
  <si>
    <t>Krantz, Mori J. Department of Medicine, University of Colorado Health Sciences Center, and Denver Health, Denver, CO 80204, USA. mkrantz@dhha.org</t>
  </si>
  <si>
    <t>http://ovidsp.ovid.com/ovidweb.cgi?T=JS&amp;CSC=Y&amp;NEWS=N&amp;PAGE=fulltext&amp;D=med5&amp;AN=14769623</t>
  </si>
  <si>
    <t>MEDLINE; Ovid Technologies; Treating opioid dependence. Growing implications for primary care</t>
  </si>
  <si>
    <t>Kraus,M. L.</t>
  </si>
  <si>
    <t>2008 update on addiction medicine/psychiatry in the state of Connecticut. Part I of II</t>
  </si>
  <si>
    <t>Connecticut medicine</t>
  </si>
  <si>
    <t>Conn.Med.</t>
  </si>
  <si>
    <t>*Community Health Services/og Organization &amp; Administration];Connecticut;Education, Medical, Graduate;Government Agencies;Health Education;*Health Promotion/og Organization &amp; Administration];Humans;*Mental Health Services/og Organization &amp; Administration];*Societies, Medical/og Organization &amp; Administration];Substance-Related Disorders/pc Prevention &amp; Control];*Substance-Related Disorders/rh Rehabilitation];*Substance-Related Disorders/th Therapy]</t>
  </si>
  <si>
    <t>J2: Conn Med; Kraus, Mark L; ID: 687</t>
  </si>
  <si>
    <t>Kraus, Mark L. Yale University School of Medicine, USA.</t>
  </si>
  <si>
    <t>http://ovidsp.ovid.com/ovidweb.cgi?T=JS&amp;CSC=Y&amp;NEWS=N&amp;PAGE=fulltext&amp;D=med6&amp;AN=18478988</t>
  </si>
  <si>
    <t>MEDLINE; Ovid Technologies; 2008 update on addiction medicine/psychiatry in the state of Connecticut. Part I of II</t>
  </si>
  <si>
    <t>2008 update on addiction medicine/psychiatry in the State of Connecticut. Part II of II</t>
  </si>
  <si>
    <t>*Community Health Services/og Organization &amp; Administration];Connecticut;Health Education;Health Promotion;Humans;Insurance Coverage;*Mental Health Services/og Organization &amp; Administration];Substance-Related Disorders/pc Prevention &amp; Control];*Substance-Related Disorders/rh Rehabilitation];*Substance-Related Disorders/th Therapy];Wounds and Injuries/et Etiology];Wounds and Injuries/pc Prevention &amp; Control]</t>
  </si>
  <si>
    <t>No other health or social problem impacts our society so widely and profoundly as substance abuse. Investment in Connecticut's substance abuse service system is an investment in improved health and wellness its cities as well as its citizens. Since 2004 Connecticut's addiction treatment and recovery community have worked together to reduce the pain and suffering of those individuals with addiction disorders. The State of Connecticut is a national leader in addiction medicine scientific research and education, emergencyroom care, and public policy; and the Community of Addiction Recovery (CCAR) has emerged as a national leader for the recovery movement. As Chairperson ofthe CSMS's Committee on Alcohol and Other Drug Dependency Education, I am proud of the accomplishments of the Committee and the work of our statewide addiction medicine/psychiatryleaders and recovery community. I am equally proud and appreciative of the ongoing relationship of the CSMS, the addiction treatment and recovery community with DMHAS. Under the leadership of Commissioner Thomas Kirk, DMHAS has opened its arms to embrace the communities' providers. The work of these leaders is presented here to give readers an update on Addiction Medicine/Psychiatry in the State of Connecticut 2008.</t>
  </si>
  <si>
    <t>J2: Conn Med; Kraus, Mark L; ID: 674</t>
  </si>
  <si>
    <t>http://ovidsp.ovid.com/ovidweb.cgi?T=JS&amp;CSC=Y&amp;NEWS=N&amp;PAGE=fulltext&amp;D=med6&amp;AN=18593064</t>
  </si>
  <si>
    <t>MEDLINE; Ovid Technologies; 2008 update on addiction medicine/psychiatry in the State of Connecticut. Part II of II</t>
  </si>
  <si>
    <t>Kraus,M. L.;Isaacson,J. H.;Kahn,R.;Mundt,M. P.;Manwell,L. B.</t>
  </si>
  <si>
    <t>Medical Education About the Care of Addicted Incarcerated Persons: A National Survey of Residency Programs</t>
  </si>
  <si>
    <t>In June 1998, there were 1.8 million inmates in correctional facilities for adults; 1.2 million in state and federal prisons and 600,000 in municipal/county jails (668 persons per 100,000 U.S. population). Rates of TB, AIDS, mental illness, and substance abuse are 2-13 times higher in persons living in jails and prisons. This study was designed to assess the level of training offered to residents in seven medical specialties in the care of addicted incarcerated persons. The study design involved two stages. The first entailed a mailed survey to 1,831 residency directors in family medicine, internal medicine, osteopathic medicine, pediatrics, obstetrics and gynecology, psychiatry, and emergency medicine. The second stage was a telephone interview, about substance use disorders, of faculty listed by the residency directors as teaching residents. The mailed survey was completed by 1,205 residency directors (66%). The 769 faculty from those identified programs, who participated in the telephone interview, reported that only 14% of their residency programs offered lectures or conferences on the care of incarcerated persons, yet 44% of the programs had residents caring for incarcerated persons with substance abuse problems, in a clinical setting. Only 22% offered clinical experiences for residents in a correctional facility.We recognize that our survey of correctional health and substance abuse training is limited, but as such, a greater number of respondents to our survey do not teach residents addiction medicine topics pertaining to prevention, evaluation, intervention, and management of the addicted criminal offender/patient in a correctional setting or give adequate clinical exposure to this special population. The data suggests a need to develop and implement educational programs on medical care for this high-risk and expanding population.</t>
  </si>
  <si>
    <t>J2: Subst Abus; Kraus, Mark L. Isaacson, J. Harry Kahn, Ruth Mundt, Marlon P. Manwell, Linda Baier; ID: 1707</t>
  </si>
  <si>
    <t>Kraus, Mark L.. Addiction Medicine, Waterbury Hospital, Waterbury, Connecticut. Yale University, School of Medicine, New Haven, Connecticut; marklk@home.com</t>
  </si>
  <si>
    <t>http://ovidsp.ovid.com/ovidweb.cgi?T=JS&amp;CSC=Y&amp;NEWS=N&amp;PAGE=fulltext&amp;D=medp&amp;AN=12466672</t>
  </si>
  <si>
    <t>MEDLINE; Ovid Technologies; Medical Education About the Care of Addicted Incarcerated Persons: A National Survey of Residency Programs</t>
  </si>
  <si>
    <t>Kraus,M. L.;O'Connor,P.;Babor,T. F.;Brunell,R. J.;Fiellin,D. A.;Holmboe,E.;Kirk,T. A.;Leone,P.</t>
  </si>
  <si>
    <t>Connecticut statewide addiction medicine/psychiatry grand rounds</t>
  </si>
  <si>
    <t>Connecticut;*Education, Medical, Continuing;Humans;*Internet;*Substance-Related Disorders</t>
  </si>
  <si>
    <t>J2: Conn Med; Kraus, Mark L O'Connor, Patrick Babor, Thomas F Brunell, Robert J Fiellin, David A Holmboe, Eric Kirk, Thomas A Leone, Patrick; ID: 932</t>
  </si>
  <si>
    <t>Kraus, Mark L. Yale University School of Medicine, New Haven, Conneticut, USA.</t>
  </si>
  <si>
    <t>http://ovidsp.ovid.com/ovidweb.cgi?T=JS&amp;CSC=Y&amp;NEWS=N&amp;PAGE=fulltext&amp;D=med4&amp;AN=12956044</t>
  </si>
  <si>
    <t>MEDLINE; Ovid Technologies; Connecticut statewide addiction medicine/psychiatry grand rounds</t>
  </si>
  <si>
    <t>Krause,L.;Anding,C.;Kamtsiuris,P.;Ki,G. G. S. S.</t>
  </si>
  <si>
    <t>Nutrition, physical activity and substance use in children and adolescents : Representative results of the federal state module Thuringia in KiGGS wave 1]</t>
  </si>
  <si>
    <t>Bundesgesundheitsblatt, Gesundheitsforschung, Gesundheitsschutz</t>
  </si>
  <si>
    <t>Adolescent;*Adolescent Health/sn Statistics &amp; Numerical Data];Age Distribution;Child;*Child Health/sn Statistics &amp; Numerical Data];Child, Preschool;*Exercise;Female;Germany/ep Epidemiology];Health Behavior;Health Care Surveys;Health Status;Humans;Male;*Nutritional Status;Prevalence;*Sports/sn Statistics &amp; Numerical Data];*Substance-Related Disorders/ep Epidemiology];Young Adult</t>
  </si>
  <si>
    <t>The term health behaviour combines both health-promoting and health-risk components. In this study, the health behaviour of children and adolescents in Thuringia is analysed. The database was a representative subsample of the federal state module Thuringia, which was conducted by the Robert Koch Institute as part of the German Health Interview and Examination Survey for Children and Adolescents (KiGGS) wave 1 (2010-2012; n = 4,096; 3-17 years). Health behaviour was described based on nine indicators: fruit and vegetable consumption, soft drink consumption, breakfast at home, physical activity, sport, swimming ability, alcohol consumption, smoking and water pipe consumption (shisha smoking). Prevalence and mean values with 95% confidence intervals were reported, and based on logistic or linear regression, the significance of the group differences was examined. The results show that 43.4% of children and adolescents in Thuringia ate fruits and vegetables daily, 44.5% consumed soft drinks less than once a week, and 67.9% had breakfast at home every weekday. In addition, 31.0% of children and adolescents in Thuringia were physically active at least 60 min a day, 69.8% did sports for at least 2 h a week, and 81.5% can swim. Additionally, 15.9% of adolescents in Thuringia had hazardous alcohol consumption, 14.4% currently smoked, and 20.0% smoked a water pipe. Differences existed with regard to gender, age, socio-economic status (SES) of the family and residence (urban/rural). In summary, many of the children and adolescents in Thuringia demonstrate relatively positive health behaviour. However, the results also indicate groups at higher risk of unhealthy behaviour, such as children and adolescents from families with low SES.</t>
  </si>
  <si>
    <t>J2: Bundesgesundheitsblatt Gesundheitsforschung Gesundheitsschutz; German Krause, Laura Anding, Christine Kamtsiuris, Panagiotis KiGGS Study Group; OP: Ernahrung, Bewegung und Substanzkonsum von Kindern und Jugendlichen : Reprasentative Ergebnisse des Landesmoduls Thuringen in KiGGS Welle 1; ID: 91</t>
  </si>
  <si>
    <t>1437-1588</t>
  </si>
  <si>
    <t>Krause, Laura. Abteilung fur Epidemiologie und Gesundheitsmonitoring, Robert Koch-Institut, General-Pape-Str. 62-66, 12101, Berlin, Deutschland. krausel@rki.de. Anding, Christine. Referat "Medizinische Grundsatzfragen, Heilberufe, Pharmaziewesen", Thuringer Ministerium fur Arbeit, Soziales, Gesundheit, Frauen und Familie, Erfurt, Deutschland. Kamtsiuris, Panagiotis. Abteilung fur Epidemiologie und Gesundheitsmonitoring, Robert Koch-Institut, General-Pape-Str. 62-66, 12101, Berlin, Deutschland.</t>
  </si>
  <si>
    <t>http://ovidsp.ovid.com/ovidweb.cgi?T=JS&amp;CSC=Y&amp;NEWS=N&amp;PAGE=fulltext&amp;D=med8&amp;AN=27351434</t>
  </si>
  <si>
    <t>https://dx.doi.org/10.1007/s00103-016-2386-8</t>
  </si>
  <si>
    <t>MEDLINE; Ovid Technologies; [Nutrition, physical activity and substance use in children and adolescents : Representative results of the federal state module Thuringia in KiGGS wave 1]</t>
  </si>
  <si>
    <t>Kreek,M. J.</t>
  </si>
  <si>
    <t>Rationale for maintenance pharmacotherapy of opiate dependence</t>
  </si>
  <si>
    <t>Research Publications - Association for Research in Nervous &amp; Mental Disease</t>
  </si>
  <si>
    <t>Brain/de Drug Effects];Brain/pp Physiopathology];Combined Modality Therapy;Heroin Dependence/pp Physiopathology];Heroin Dependence/px Psychology];Heroin Dependence/rh Rehabilitation];Humans;*Methadone/tu Therapeutic Use];Neurotransmitter Agents/ph Physiology];Opioid-Related Disorders/pp Physiopathology];Opioid-Related Disorders/px Psychology];*Opioid-Related Disorders/rh Rehabilitation];Receptors, Neurotransmitter/de Drug Effects];Receptors, Neurotransmitter/ph Physiology];Substance Abuse, Intravenous/pp Physiopathology];Substance Abuse, Intravenous/px Psychology];*Substance Abuse, Intravenous/rh Rehabilitation];0 (Neurotransmitter Agents);0 (Receptors, Neurotransmitter);UC6VBE7V1Z (Methadone)</t>
  </si>
  <si>
    <t>At this time, 27 years after the initial studies on development of methadone for the maintenance treatment of opiate addiction were begun, it has been shown that table; see text] methadone meets most criteria for a pharmacologic agent for chronic treatment of an addiction. It is effective after oral dosing: it has a long biological half-life in humans, it causes minimal side effects when used in chronic treatment, and it has no true toxic effects or serious side effects. Also methadone has been shown to be very effective when appropriately used in programs which combine pharmacotherapy with the best elements of "drug free" treatment, that is, counseling and psychological support. In addition to pharmacological treatment, there should be access to, if not on-site, medical and behavioral care as needed, as well as linkage to resources for various aspects of rehabilitation. At this time many of the actions, as well as the specific sites of action, and mechanisms of actions of methadone as used in chronic treatment of opiate addiction have been defined by scientific experimentation, both at the preclinical and clinical levels. It is known that methadone prevents abstinence symptoms, prevents drug hunger or craving, blocks euphorogenic effects of other opiates, and prevents relapse to illicit use of opiates. It is known that the site of action of methadone is at specific opioid receptors. Research to date suggests that there is no demonstrable down-regulation or up-regulation of opioid receptors during chronic opioid agonist perfusion, although chronic administration of the opioid antagonist naltrexone does appear to up-regulate opioid receptors. Clinical studies show that chronic use of methadone allows normalization of release and peripheral levels of one of the classes of endogenous opioids, beta-endorphin, and the related peptides derived from POMC released and processed from the anterior pituitary in humans. Also levels of beta-endorphin in cerebrospinal fluid become normal during chronic maintenance treatment, reflecting apparently normal processing and release of beta-endorphin at brain or hypothalamic sites of POMC production. Available data from studies of beta-endorphin indicate that there is a table; see text] normalization, rather than disruption, of the endogenous opioid system in general during steady state administration of methadone, as contrasted with intermittent dosing and then abrupt withdrawal of short-acting opiates such as heroin. Although there is still much to be learned about the neurobiology of opiate addiction, at this time we do know a great deal about the effects of opiates and opioids.(ABSTRACT TRUNCATED AT 400 WORDS) References: 67]</t>
  </si>
  <si>
    <t>J2: Res Publ Assoc Res Nerv Ment Dis; Kreek, M J; ID: 1295</t>
  </si>
  <si>
    <t>0091-7443</t>
  </si>
  <si>
    <t>Kreek, M J. Rockefeller University, New York, New York 10021.</t>
  </si>
  <si>
    <t>http://ovidsp.ovid.com/ovidweb.cgi?T=JS&amp;CSC=Y&amp;NEWS=N&amp;PAGE=fulltext&amp;D=med3&amp;AN=1346939</t>
  </si>
  <si>
    <t>MEDLINE; Ovid Technologies; Rationale for maintenance pharmacotherapy of opiate dependence</t>
  </si>
  <si>
    <t>Krishel,S.;Richards,C. F.</t>
  </si>
  <si>
    <t>Alcohol and substance abuse training for emergency medicine residents: a survey of U.S. programs</t>
  </si>
  <si>
    <t>Adult;Alcohol-Related Disorders/di Diagnosis];Alcohol-Related Disorders/th Therapy];Counseling/ed Education];Data Collection;*Education, Medical, Graduate/og Organization &amp; Administration];Educational Measurement;*Emergency Medicine/ed Education];Female;Humans;Internship and Residency;Male;Program Evaluation;*Substance-Related Disorders/di Diagnosis];*Substance-Related Disorders/th Therapy];United States</t>
  </si>
  <si>
    <t>J2: Acad Emerg Med; Krishel, S Richards, C F; ID: 1055</t>
  </si>
  <si>
    <t>Krishel, S. Department of Emergency Medicine, University of California, San Diego, Medical Center, USA.</t>
  </si>
  <si>
    <t>http://ovidsp.ovid.com/ovidweb.cgi?T=JS&amp;CSC=Y&amp;NEWS=N&amp;PAGE=fulltext&amp;D=med4&amp;AN=10490263</t>
  </si>
  <si>
    <t>MEDLINE; Ovid Technologies; Alcohol and substance abuse training for emergency medicine residents: a survey of U.S. programs</t>
  </si>
  <si>
    <t>Kristeller,J. L.;Ockene,J. K.</t>
  </si>
  <si>
    <t>Tobacco curriculum for medical students, residents and practicing physicians</t>
  </si>
  <si>
    <t>Indiana Medicine</t>
  </si>
  <si>
    <t>Curriculum;*Education, Medical;*Education, Medical, Continuing;*Family Practice/ed Education];Humans;*Internship and Residency;Patient Education as Topic;Risk Factors;*Smoking/ae Adverse Effects];Smoking Cessation;Smoking Prevention</t>
  </si>
  <si>
    <t>Smoking and other tobacco exposure have been recognized for several decades as the most significant preventable factors in premature morbidity and mortality. Most physicians believe they should address the issue of tobacco intake with their patients but are rarely provided with adequate training or support to do so effectively. Recent research identifies several ways in which physicians can have substantial impact on patient smoking rates, by use of very brief patient-centered counseling and by prescribing nicotine replacement therapies. This paper describes a model curriculum for medical students, residents, medical faculty and community physicians that can be integrated into current training and teaching practices. The goal is to create a "preventive" intervention perspective to smoking that is effective, practical, efficacious and cost-effective.</t>
  </si>
  <si>
    <t>J2: Indiana Med; Kristeller, J L Ockene, J K; ID: 1159</t>
  </si>
  <si>
    <t>0746-8288</t>
  </si>
  <si>
    <t>Kristeller, J L. Department of Psychology, Indiana State University, Terre Haute 47809, USA.</t>
  </si>
  <si>
    <t>http://ovidsp.ovid.com/ovidweb.cgi?T=JS&amp;CSC=Y&amp;NEWS=N&amp;PAGE=fulltext&amp;D=med4&amp;AN=8867424</t>
  </si>
  <si>
    <t>MEDLINE; Ovid Technologies; Tobacco curriculum for medical students, residents and practicing physicians</t>
  </si>
  <si>
    <t>Krizek,T. J.</t>
  </si>
  <si>
    <t>Substance abuse and the surgical health officer</t>
  </si>
  <si>
    <t>*Alcohol Drinking;*General Surgery;Humans;*Internship and Residency;*Physician Impairment;*Substance-Related Disorders</t>
  </si>
  <si>
    <t>J2: J Am Coll Surg; Krizek, T J; ID: 1190</t>
  </si>
  <si>
    <t>http://ovidsp.ovid.com/ovidweb.cgi?T=JS&amp;CSC=Y&amp;NEWS=N&amp;PAGE=fulltext&amp;D=med3&amp;AN=7599777</t>
  </si>
  <si>
    <t>MEDLINE; Ovid Technologies; Substance abuse and the surgical health officer</t>
  </si>
  <si>
    <t>Krull,I.;Lundgren,L.;Beltrame,C.</t>
  </si>
  <si>
    <t>Association between addiction treatment staff professional and educational levels and perceptions of organizational climate and resources</t>
  </si>
  <si>
    <t>Adult;*Attitude of Health Personnel;*Educational Status;Evidence-Based Practice;Female;Health Resources;Humans;Male;Organizational Innovation;*Substance Abuse Treatment Centers/og Organization &amp; Administration];Young Adult</t>
  </si>
  <si>
    <t>BACKGROUND: Research studies have identified addiction treatment staff who have higher levels of education as having more positive attitudes about evidence-based treatment practices, science-based training, and the usefulness of evidence-based practices. This study examined associations between addiction treatment staff level of education and their perceptions of 3 measures of organizational change: organizational stress, training resources and staffing resources in their treatment unit. METHODS: The sample included 588 clinical staff from community-based substance abuse treatment organizations who received Substance Abuse and Mental Health Services Administration (SAMHSA) funding (2003-2008) to implement evidence-based practices (EBPs). Bivariate analysis and regression modeling methods examined the relationship between staff education level (no high school education, high school education, some college, associate's degree, bachelor's degree, master's degree, doctoral degree, and other type of degree such as medical assistant, registered nurse RN], or postdoctoral) and attitudes about organizational climate (stress), training resources, and staffing resources while controlling for staff and treatment unit characteristics. RESULTS: Multivariable models identified staff with lower levels of education as having significantly more positive attitudes about their unit's organizational capacity. These results contradict findings that addiction treatment staff with higher levels of education work in units with greater levels of organizational readiness for change. CONCLUSION: It cannot be inferred that higher levels of education among treatment staff is necessarily associated with high levels of organizational readiness for change.</t>
  </si>
  <si>
    <t>J2: Subst Abus; Krull, Ivy Lundgren, Lena Beltrame, Clelia; ID: 252</t>
  </si>
  <si>
    <t>Krull, Ivy. a Center for Addictions Research and Services , Boston University, School of Social Work , Boston , Massachusetts , USA.</t>
  </si>
  <si>
    <t>http://ovidsp.ovid.com/ovidweb.cgi?T=JS&amp;CSC=Y&amp;NEWS=N&amp;PAGE=fulltext&amp;D=med8&amp;AN=24588286</t>
  </si>
  <si>
    <t>https://dx.doi.org/10.1080/08897077.2013.792313</t>
  </si>
  <si>
    <t>MEDLINE; Ovid Technologies; Association between addiction treatment staff professional and educational levels and perceptions of organizational climate and resources</t>
  </si>
  <si>
    <t>Krupa,A.;Szczyrba,B.;Bargiel-Matusiewicz,K.</t>
  </si>
  <si>
    <t>The need for health promotion of medical students and proposal for prevention of addiction]</t>
  </si>
  <si>
    <t>Wiadomosci Lekarskie</t>
  </si>
  <si>
    <t>57 Suppl 1</t>
  </si>
  <si>
    <t>Attitude of Health Personnel;Behavior, Addictive/px Psychology];*Behavior, Addictive;*Health Education/st Standards];*Health Promotion/st Standards];Humans;Poland;Program Evaluation;Stress, Psychological/et Etiology];*Stress, Psychological/pc Prevention &amp; Control];Students, Medical/px Psychology];*Students, Medical;Substance-Related Disorders/et Etiology];*Substance-Related Disorders/pc Prevention &amp; Control]</t>
  </si>
  <si>
    <t>Alcohol, drug addiction or any other addiction to psychoactive drugs constitutes one of the most serious social problems in Poland. Despite systematic and more professional addiction prophylaxis, increased consumption of psychoactive drugs can be observed among children and youth. Prophylaxis is often limited to giving information on what must not be done and it does not include suggestions connected with constructive ways of coping with problems or of getting satisfaction. The problem of using psychoactive drugs by medical students is often neglected. Only few authors deal with this problem. The aim of the presented project is to educate medical students how to cope with difficult situations, form mutual reliability in a group, better self evaluate and wide the range of learning techniques. References: 15]</t>
  </si>
  <si>
    <t>J2: Wiad Lek; Krupa, Agata Szczyrba, Barbara Bargiel-Matusiewicz, Kamilla; OP: Potrzeba ochrony zdrowia studentow kierunkow medycznych i propozycja programu profilaktyki uzaleznien; ID: 864</t>
  </si>
  <si>
    <t>0043-5147</t>
  </si>
  <si>
    <t>Krupa, Agata. Z Zakladu Psychologii Slaskiej Akademii Medycznej w Katowicach.</t>
  </si>
  <si>
    <t>http://ovidsp.ovid.com/ovidweb.cgi?T=JS&amp;CSC=Y&amp;NEWS=N&amp;PAGE=fulltext&amp;D=med5&amp;AN=15884232</t>
  </si>
  <si>
    <t>MEDLINE; Ovid Technologies; [The need for health promotion of medical students and proposal for prevention of addiction]</t>
  </si>
  <si>
    <t>Krupitsky,E. M.;Horton,N. J.;Williams,E. C.;Lioznov,D.;Kuznetsova,M.;Zvartau,E.;Samet,J. H.</t>
  </si>
  <si>
    <t>NIHMS4058; Alcohol use and HIV risk behaviors among HIV-infected hospitalized patients in St. Petersburg, Russia</t>
  </si>
  <si>
    <t>Adult;Alcoholism/co Complications];*Alcoholism/ep Epidemiology];Female;HIV Infections/co Complications];*HIV Infections/ep Epidemiology];*Hospitalization;Humans;Male;*Risk-Taking;Russia/ep Epidemiology];*Sexual Behavior;Substance Abuse, Intravenous/co Complications];Substance Abuse, Intravenous/ep Epidemiology]</t>
  </si>
  <si>
    <t>PURPOSE: Russia has high per capita alcohol consumption and an injection-drug-use-driven HIV epidemic. However, the role of alcohol in the spread of HIV infection in Russia is largely unexplored. Thus, we assessed recent alcohol use and associated HIV risk behaviors among HIV-infected persons in St. Petersburg, Russia. METHODS: We recruited HIV-infected hospitalized patients from the Botkin Infectious Disease Hospital between June 2001 and March 2002. Interviewers assessed alcohol and drug use with the addiction severity index (ASI) and sex- and drug-risk behaviors with the risk assessment battery (RAB). Lifetime abuse or dependence diagnoses for alcohol and drugs were established by a physician with addiction medicine training. RESULTS: Among 201 subjects, diagnoses of abuse or dependence (AB/DEP) were common: 9% (19/201) had only alcohol AB/DEP; 39% (78/201) had alcohol and drug AB/DEP; 47% (95/201) had only drug AB/DEP; and 4% (9/201) had no diagnosis of alcohol or drug AB/DEP. Sex- and drug-risk behaviors varied significantly by substance use diagnosis. Subjects with any alcohol AB/DEP had higher sex-risk RAB scores than those with drug only AB/DEP (6.1 versus 3.9, p&lt;.0001). Among subjects with any diagnosis of drug AB/DEP, having in addition an alcohol diagnosis was associated with unclean needle use in the last six months (33% (26/78) versus 21% (20/95), p=0.08). CONCLUSIONS: Lifetime alcohol diagnoses of abuse or dependence were present in nearly one-half of hospitalized HIV-infected patients in St. Petersburg, Russia and were associated with significantly higher sex-risk behaviors and borderline significantly higher drug-risk behaviors. As HIV infection spreads rapidly in Russia and Eastern Europe, these data support the need for HIV risk-reduction interventions in alcohol abusing populations and raise the potential of benefit by addressing alcohol use in HIV-infected populations.</t>
  </si>
  <si>
    <t>J2: Drug Alcohol Depend; Krupitsky, Evgeny M Horton, Nicholas J Williams, Emily C Lioznov, Dmitri Kuznetsova, Maria Zvartau, Edwin Samet, Jeffrey H; ID: 822</t>
  </si>
  <si>
    <t>Krupitsky, Evgeny M. St. Petersburg Scientific-Research Center of Addictions and Psychopharmacology, St. Petersburg State Pavlov Medical University, St. Petersburg 197089, Russia.</t>
  </si>
  <si>
    <t>http://ovidsp.ovid.com/ovidweb.cgi?T=JS&amp;CSC=Y&amp;NEWS=N&amp;PAGE=fulltext&amp;D=med5&amp;AN=16002034</t>
  </si>
  <si>
    <t>MEDLINE; Ovid Technologies; Alcohol use and HIV risk behaviors among HIV-infected hospitalized patients in St. Petersburg, Russia</t>
  </si>
  <si>
    <t>Krupski,W. C.;Nguyen,H. T.;Jones,D. N.;Wallace,H.;Whitehill,T. A.;Nehler,M. R.</t>
  </si>
  <si>
    <t>Smoking cessation counseling: a missed opportunity for general surgery trainees</t>
  </si>
  <si>
    <t>Journal of Vascular Surgery</t>
  </si>
  <si>
    <t>62; discussion 262</t>
  </si>
  <si>
    <t>Adult;*Counseling;Family Practice/ed Education];Female;*General Surgery/ed Education];Humans;Internal Medicine/ed Education];*Internship and Residency;Male;Physician's Role;*Smoking Cessation</t>
  </si>
  <si>
    <t>PURPOSE: The purpose of this study was to evaluate and compare the attitudes, practices, technique utilizations, and barrier perceptions of smoking cessation counseling (SCC) in general surgery (GS) and primary care (PC) residents. METHODS: One hundred house staff officers (45 GC and 55 PC residents, consisting of internal medicine and family medicine disciplines) were randomly surveyed. chi(2) and t tests were used for comparative analysis where appropriate. The National Cancer Institute's recommendation that physicians follow the "four A's" for SCC (Ask, Advise, Assist, and Arrange follow-up) was examined with respect to compliance by surgical and medical residents. RESULTS: Fewer GS than PC residents thought physicians were responsible for SCC (64% versus 85%; P &lt;.02), and fewer felt well prepared to counsel their patients (38% versus 58%; P &lt;.05). Nevertheless, about 85% of both groups reported a higher inclination to provide SCC to patients who expressed an interest for cessation. Although many GC residents Ask (89% GS versus 100% PC residents; P &lt;.03) and Advise (64% versus 89%; P &lt;.003) new patients about smoking, they did so less frequently than PC residents. GC residents used fewer SCC techniques than did PC residents (3.96 versus 6.00; P &lt;.001) and Arranged fewer follow-up visits for SCC (7% versus 44%; P &lt;.001). Postgraduate year did not correlate with SCC in either GS or PC residents. Residents from both groups perceived time constraints, lack of patient desire, and poor patient compliance to be the main barriers in SCC. CONCLUSION: In this study, many GC residents agreed that physicians were responsible for SCC, but few followed through by arranging SCC follow-up visits compared with their PC resident counterparts. Behavior does not appear to change as residents mature, despite greater exposure to smoking-related diseases. In every dimension of SCC studied, GS residents played a less assertive role when compared with PC residents. GC residents should be more proactive in SCC because the diseases they treat are often related to cigarette smoking.</t>
  </si>
  <si>
    <t>J2: J Vasc Surg; Krupski, William C Nguyen, Hai T Jones, Darrell N Wallace, Hillary Whitehill, Thomas A Nehler, Mark R; ID: 970</t>
  </si>
  <si>
    <t>0741-5214</t>
  </si>
  <si>
    <t>Krupski, William C. Division of Vascular Surgery, Department of Surgery, University of Colorado Health Sciences Center, Denver, CO 80262, USA. William.Krupski@uchsc.edu</t>
  </si>
  <si>
    <t>http://ovidsp.ovid.com/ovidweb.cgi?T=JS&amp;CSC=Y&amp;NEWS=N&amp;PAGE=fulltext&amp;D=med4&amp;AN=12170206</t>
  </si>
  <si>
    <t>MEDLINE; Ovid Technologies; Smoking cessation counseling: a missed opportunity for general surgery trainees</t>
  </si>
  <si>
    <t>Kuczerowski,R.</t>
  </si>
  <si>
    <t>Internist's aspects of alcoholism]</t>
  </si>
  <si>
    <t>Polski Tygodnik Lekarski</t>
  </si>
  <si>
    <t>14-18</t>
  </si>
  <si>
    <t>Alcoholism/co Complications];Alcoholism/pp Physiopathology];*Alcoholism;Drug Interactions;Humans;Internship and Residency;Poland;Psychoses, Alcoholic</t>
  </si>
  <si>
    <t>J2: Pol Tyg Lek; Kuczerowski, R; OP: Internistyczne aspekty choroby alkoholowej; ID: 1157</t>
  </si>
  <si>
    <t>0032-3756</t>
  </si>
  <si>
    <t>Kuczerowski, R. Katedra i Klinika Chorob Wewnetrznych i Diabetologii AM w Warszawie.</t>
  </si>
  <si>
    <t>http://ovidsp.ovid.com/ovidweb.cgi?T=JS&amp;CSC=Y&amp;NEWS=N&amp;PAGE=fulltext&amp;D=med4&amp;AN=8966173</t>
  </si>
  <si>
    <t>MEDLINE; Ovid Technologies; [Internist's aspects of alcoholism]</t>
  </si>
  <si>
    <t>Kuehn,B. M.</t>
  </si>
  <si>
    <t>FDA opioid safety plan promotes patient, physician education to prevent abuse</t>
  </si>
  <si>
    <t>Analgesics, Opioid/ad Administration &amp; Dosage];*Analgesics, Opioid/po Poisoning];Delayed-Action Preparations;Drug Overdose/pc Prevention &amp; Control];*Education, Medical, Continuing;Humans;*Opioid-Related Disorders/pc Prevention &amp; Control];*Patient Education as Topic;Physicians;Practice Patterns, Physicians';United States;*United States Food and Drug Administration;0 (Analgesics, Opioid);0 (Delayed-Action Preparations)</t>
  </si>
  <si>
    <t>J2: Jama; Kuehn, Bridget M; ID: 565</t>
  </si>
  <si>
    <t>http://ovidsp.ovid.com/ovidweb.cgi?T=JS&amp;CSC=Y&amp;NEWS=N&amp;PAGE=fulltext&amp;D=med6&amp;AN=20736462</t>
  </si>
  <si>
    <t>https://dx.doi.org/10.1001/jama.2010.1200</t>
  </si>
  <si>
    <t>MEDLINE; Ovid Technologies; FDA opioid safety plan promotes patient, physician education to prevent abuse</t>
  </si>
  <si>
    <t>Safety plan for opioids meets resistance: opioid-linked deaths continue to soar</t>
  </si>
  <si>
    <t>*Analgesics, Opioid/po Poisoning];Delayed-Action Preparations;Drug Industry;*Drug Overdose/mo Mortality];Education, Medical, Continuing;Humans;Mortality/td Trends];Physicians;United States/ep Epidemiology];United States Food and Drug Administration;0 (Analgesics, Opioid);0 (Delayed-Action Preparations)</t>
  </si>
  <si>
    <t>J2: Jama; Kuehn, Bridget M; ID: 600</t>
  </si>
  <si>
    <t>http://ovidsp.ovid.com/ovidweb.cgi?T=JS&amp;CSC=Y&amp;NEWS=N&amp;PAGE=fulltext&amp;D=med6&amp;AN=20145218</t>
  </si>
  <si>
    <t>https://dx.doi.org/10.1001/jama.2010.71</t>
  </si>
  <si>
    <t>MEDLINE; Ovid Technologies; Safety plan for opioids meets resistance: opioid-linked deaths continue to soar</t>
  </si>
  <si>
    <t>Centers to weave addiction treatment into medical education</t>
  </si>
  <si>
    <t>*Education, Medical/td Trends];Humans;Substance-Related Disorders/di Diagnosis];Substance-Related Disorders/th Therapy];*Substance-Related Disorders;United States</t>
  </si>
  <si>
    <t>J2: Jama; Kuehn, Bridget M; ID: 767</t>
  </si>
  <si>
    <t>http://ovidsp.ovid.com/ovidweb.cgi?T=JS&amp;CSC=Y&amp;NEWS=N&amp;PAGE=fulltext&amp;D=med5&amp;AN=17456812</t>
  </si>
  <si>
    <t>MEDLINE; Ovid Technologies; Centers to weave addiction treatment into medical education</t>
  </si>
  <si>
    <t>Kulik,T. B.;Kobylecka,E.;Modzelewska,T.;Kachaniuk,H.;Stefanowicz,A.</t>
  </si>
  <si>
    <t>Primary health care physicians' knowledge of prophylactics of drug abuse</t>
  </si>
  <si>
    <t>Education, Medical, Continuing;Humans;*Physicians, Family/ed Education];*Substance-Related Disorders/pc Prevention &amp; Control];Surveys and Questionnaires</t>
  </si>
  <si>
    <t>The purpose of the study was the evaluation of the assumptions of drug addiction prophylactics and its realization in the practice of primary health care physicians as well as determination of the possibilities of introducing changes in the training of physicians which would favour the increase and extension of knowledge in this field. The method applied in the study was a survey based on the questionnaire distributed among 410 primary health care physicians who attended up-dating courses on family medicine organized by the Institute of Rural Medicine in Lublin. The results were statistically analyzed with application of Excel Statistica Stargraf 6.0 software and the authors' own programmes. The results indicate that primary health care physician's basic and limited knowledge on drug abuse originates from university studies and it is limited to information concerning the reasons, mechanisms, medical effects and some methods of treatment. In the procedures created for the practice of primary health care physicians direct activities related to the drug abuse prophylactics are not considered but only a general health care in the region. However, indirectly the primary health care physicians and family physicians realize so called educational care in the region by cooperating with the nurses and midwives employed in the region or in so called practice of a family physician where educational packages are created, ie. prophylactics of addiction.</t>
  </si>
  <si>
    <t>J2: Ann Univ Mariae Curie Sklodowska Med]; Kulik, Teresa Bernadetta Kobylecka, Elzbieta Modzelewska, Teresa Kachaniuk, Hanna Stefanowicz, Agata; ID: 891</t>
  </si>
  <si>
    <t>Kulik, Teresa Bernadetta. Interfaculty Chair and Department of Public Health, Medical University of Lublin.</t>
  </si>
  <si>
    <t>http://ovidsp.ovid.com/ovidweb.cgi?T=JS&amp;CSC=Y&amp;NEWS=N&amp;PAGE=fulltext&amp;D=med4&amp;AN=15323195</t>
  </si>
  <si>
    <t>MEDLINE; Ovid Technologies; Primary health care physicians' knowledge of prophylactics of drug abuse</t>
  </si>
  <si>
    <t>Kulis,S.;Dustman,P. A.;Brown,E. F.;Martinez,M.</t>
  </si>
  <si>
    <t>NIHMS473674; Expanding urban American Indian youths' repertoire of drug resistance skills: pilot results from a culturally adapted prevention program</t>
  </si>
  <si>
    <t>American Indian &amp; Alaska Native Mental Health Research (Online)</t>
  </si>
  <si>
    <t>Adolescent;*Adolescent Behavior/eh Ethnology];Arizona;Child;Curriculum/st Standards];Female;*Health Education/mt Methods];Humans;*Indians, North American/eh Ethnology];Male;Pilot Projects;Schools;Students/px Psychology];*Substance-Related Disorders/pc Prevention &amp; Control];Treatment Outcome;Urban Population</t>
  </si>
  <si>
    <t>This article examines changes in the drug resistance strategies used by urban American Indian (UAI) middle school students during a pilot test of a substance use prevention curriculum designed specifically for UAI youth, Living in 2 Worlds (L2W). L2W teaches four drug resistance strategies (refuse, explain, avoid, leave R-E-A-L]) in culturally appropriate ways. Data come from 57 UAI students (53% female; mean age = 12.5 years) who participated in L2W during an academic enrichment class for Native youth at two Phoenix schools. Students completed a pre-test questionnaire before the L2W lessons and a post-test 7 months later. Questions assessed the use of R-E-A-L and alternative strategies commonly reported by UAI youth (change the subject, use humor). Tests of mean differences from pre-test to post-test showed significant increases in use of refuse, explain, and leave, and an expanding R-E-A-L repertoire. Use of more passive strategies (avoid, use humor) did not change significantly, except for change the subject, which increased. Changes in the use of strategies did not differ significantly by gender, age, school grades, parental education, or length of urban residence. The L2W curriculum appears effective in teaching culturally relevant communication strategies that expand UAI youths' repertoire of drug resistance skills.</t>
  </si>
  <si>
    <t>J2: Am Indian Alsk Native Ment Health Res; Kulis, Stephen Dustman, Patricia A Brown, Eddie F Martinez, Marcos; ID: 307</t>
  </si>
  <si>
    <t>1533-7731</t>
  </si>
  <si>
    <t>Kulis, Stephen. School of Social and Family Dynamics, Arizona State University, Mail code 4320, SIRC, 411, North Central Avenue, Suite 720, Phoenix, AZ 85004-0693, USA. kulis@asu.edu</t>
  </si>
  <si>
    <t>http://ovidsp.ovid.com/ovidweb.cgi?T=JS&amp;CSC=Y&amp;NEWS=N&amp;PAGE=fulltext&amp;D=med7&amp;AN=23529769</t>
  </si>
  <si>
    <t>https://dx.doi.org/10.5820/aian.2001.2013.35</t>
  </si>
  <si>
    <t>MEDLINE; Ovid Technologies; Expanding urban American Indian youths' repertoire of drug resistance skills: pilot results from a culturally adapted prevention program</t>
  </si>
  <si>
    <t>Kunin,C. M.;Tupasi,T.;Craig,W. A.</t>
  </si>
  <si>
    <t>Use of antibiotics. A brief exposition of the problem and some tentative solutions</t>
  </si>
  <si>
    <t>Aminoglycosides/ad Administration &amp; Dosage];*Anti-Bacterial Agents/ad Administration &amp; Dosage];Anti-Bacterial Agents/ae Adverse Effects];Cephalexin/ad Administration &amp; Dosage];Cephalosporins/ad Administration &amp; Dosage];Curriculum;Drug and Narcotic Control;Economics, Hospital;Education, Medical, Undergraduate;Gentamicins/ad Administration &amp; Dosage];Humans;Pharmacology/ed Education];Pharmacy Service, Hospital;Private Practice;*Substance-Related Disorders;United States;United States Food and Drug Administration;Wisconsin;0 (Aminoglycosides);0 (Anti-Bacterial Agents);0 (Cephalosporins);0 (Gentamicins);OBN7UDS42Y (Cephalexin)</t>
  </si>
  <si>
    <t>J2: Ann Intern Med; Kunin, C M Tupasi, T Craig, W A; ID: 1571</t>
  </si>
  <si>
    <t>http://ovidsp.ovid.com/ovidweb.cgi?T=JS&amp;CSC=Y&amp;NEWS=N&amp;PAGE=fulltext&amp;D=med1&amp;AN=4795880</t>
  </si>
  <si>
    <t>MEDLINE; Ovid Technologies; Use of antibiotics. A brief exposition of the problem and some tentative solutions</t>
  </si>
  <si>
    <t>Kunins,H. V.;Sohler,N. L.;Giovanniello,A.;Thompson,D.;Cunningham,C. O.</t>
  </si>
  <si>
    <t>NIHMS509769; A buprenorphine education and training program for primary care residents: implementation and evaluation</t>
  </si>
  <si>
    <t>Adult;*Buprenorphine/tu Therapeutic Use];*Education, Medical, Graduate/mt Methods];Feasibility Studies;Female;Humans;*Internship and Residency;Male;Medication Adherence;Middle Aged;Narcotic Antagonists/tu Therapeutic Use];*Opioid-Related Disorders/dt Drug Therapy];Practice Patterns, Physicians';*Primary Health Care;*Program Evaluation;0 (Narcotic Antagonists);40D3SCR4GZ (Buprenorphine)</t>
  </si>
  <si>
    <t>BACKGROUND: Although substance use disorders are highly prevalent, resident preparation to care for patients with these disorders is frequently insufficient. With increasing rates of opioid abuse and dependence, and the availability of medication-assisted treatment, one strategy to improve resident skills is to incorporate buprenorphine treatment into training settings. METHODS: In this study, esidency faculty delivered the BupEd education and training program to 71 primary care residents. BupEd included (1) a didactic session on buprenorphine, (2) an interactive motivational interviewing session, (3) monthly case conferences, and (4) supervised clinical experience providing buprenorphine treatment. To evaluate BupEd, the authors assessed (1) residents' provision of buprenorphine treatment during residency, (2) residents' provision of buprenorphine treatment after residency, and (3) treatment retention among patients treated by resident versus attending physicians. RESULTS: Of 71 residents, most served as a covering or primary provider to at least 1 buprenorphine-treated patient (84.5 and 66.2%, respectively). Of 40 graduates, 27.5% obtained a buprenorphine waiver and 17.5% prescribed buprenorphine. Treatment retention was similar between patients cared for by resident PCPs versus attending PCPs (90-day retention: 63.6% n = 35] vs. 67.9% n = 152]; P = .55). CONCLUSION: These results show that BupEd is feasible, provides residents with supervised clinical experience in treating opioid-dependent patients, and can serve as a model to prepare primary care physicians to care for patients with opioid dependence.</t>
  </si>
  <si>
    <t>J2: Subst Abus; Kunins, Hillary V Sohler, Nancy L Giovanniello, Angela Thompson, Devin Cunningham, Chinazo O; ID: 301</t>
  </si>
  <si>
    <t>Kunins, Hillary V. Albert Einstein College of Medicine/Montefiore Medical Center, 111 East 210th Street, Bronx, NY 10467, USA.</t>
  </si>
  <si>
    <t>http://ovidsp.ovid.com/ovidweb.cgi?T=JS&amp;CSC=Y&amp;NEWS=N&amp;PAGE=fulltext&amp;D=med7&amp;AN=23844954</t>
  </si>
  <si>
    <t>https://dx.doi.org/10.1080/08897077.2012.752777</t>
  </si>
  <si>
    <t>MEDLINE; Ovid Technologies; A buprenorphine education and training program for primary care residents: implementation and evaluation</t>
  </si>
  <si>
    <t>Kunz,K.;Wiegand,T.</t>
  </si>
  <si>
    <t>Addiction Medicine: Current Status of Certification, Maintenance of Certification, Training, and Practice</t>
  </si>
  <si>
    <t>*Certification/st Standards];Clinical Competence;*Education, Medical, Graduate/st Standards];Fellowships and Scholarships/st Standards];Humans;Internship and Residency/st Standards];*Specialization/st Standards];*Specialty Boards/st Standards];Substance-Related Disorders/di Diagnosis];*Substance-Related Disorders/th Therapy];Toxicology/ed Education];*Toxicology/st Standards]</t>
  </si>
  <si>
    <t>Addiction medicine (ADM) is an emerging medical field. It will soon be recognized by the American Board of Medical Specialties as a multispecialty subspecialty, sponsored by the American Board of Preventive Medicine. Certification and maintenance of certification in ADM are available currently through the American Board of Addiction Medicine (ABAM). There is an urgent need for trained and certified ADM physicians to serve the needs of patients and society. Thirty-seven addiction medicine fellowships of 12 months duration are now available, and their number is increasing. Physicians specializing in medical toxicology have educational, training, and practice overlap with addiction medicine. Medical toxicology physicians usually meet ADM examination eligibility requirements, based on clinical practice experience and continuing medical education activities. Those with fellowship training or in a fellowship bring training experience which has commonalities to ADM fellowship training, and therefore are particularly prepared for examination and practice in ADM. There are opportunities for partnerships in training, practice, and leadership between addiction medicine and medical toxicology.</t>
  </si>
  <si>
    <t>J2: J Med Toxicol; Kunz, Kevin Wiegand, Timothy; ID: 133</t>
  </si>
  <si>
    <t>Kunz, Kevin. The American Board of Addiction Medicine Foundation, Bethesda, MD, USA. kkunz@abam.net. Wiegand, Timothy. The American Board of Addiction Medicine Foundation, Bethesda, MD, USA.</t>
  </si>
  <si>
    <t>http://ovidsp.ovid.com/ovidweb.cgi?T=JS&amp;CSC=Y&amp;NEWS=N&amp;PAGE=fulltext&amp;D=med8&amp;AN=26597980</t>
  </si>
  <si>
    <t>https://dx.doi.org/10.1007/s13181-015-0524-6</t>
  </si>
  <si>
    <t>MEDLINE; Ovid Technologies; Addiction Medicine: Current Status of Certification, Maintenance of Certification, Training, and Practice</t>
  </si>
  <si>
    <t>Kupper,T.;Haavik,J.;Drexler,H.;Ramos-Quiroga,J.;Wermelskirchen,D.;Prutz,C.;Schauble,B.</t>
  </si>
  <si>
    <t>The negative impact of attention-deficit/hyperactivity disorder on occupational health in adults and adolescents</t>
  </si>
  <si>
    <t>International Archives of Occupational &amp; Environmental Health</t>
  </si>
  <si>
    <t>Accidents, Traffic;Adolescent;Adult;*Attention Deficit Disorder with Hyperactivity/co Complications];Attention Deficit Disorder with Hyperactivity/dt Drug Therapy];*Attention Deficit Disorder with Hyperactivity/px Psychology];Crime;Educational Status;*Efficiency;Humans;Irritable Mood;*Occupational Health;*Occupational Injuries/et Etiology];Substance-Related Disorders/co Complications];Unemployment</t>
  </si>
  <si>
    <t>PURPOSE: To review the negative effects of attention-deficit/hyperactivity disorder (ADHD) in adolescence and adulthood on work productivity and occupational health. METHODS: A review of the MEDLINE database was carried out to identify direct and indirect effects of ADHD on work, employment and occupational health. RESULTS: ADHD is associated with higher levels of unemployment versus controls. Adults with ADHD who are employed experience workplace impairment and reduced productivity, as well as behavioural issues such as irritability and low frustration tolerance. Adults with ADHD are also at increased risk of accidents, trauma and workplace injuries, particularly traffic accidents. Indirect effects of ADHD on occupational health include reduced educational achievement and increased rates of substance abuse and criminality. Overall, ADHD in adults has a substantial economic impact as a result of absenteeism and lost productivity. Psychoeducation, combined with stimulant medications if necessary, is recommended as first-line treatment for adults with ADHD. Limited data available suggest that stimulant treatment can improve work productivity and efficacy, and reduce the risks associated with driving, although further studies are necessary. CONCLUSIONS: ADHD can affect the ability to gain and maintain employment and to work safely and productively. As ADHD is a treatable condition, patients, employers and physicians have a role to play in ensuring optimal occupational health.</t>
  </si>
  <si>
    <t>J2: Int Arch Occup Environ Health; Kupper, Thomas Haavik, Jan Drexler, Hans Ramos-Quiroga, Josep Antoni Wermelskirchen, Detlef Prutz, Christin Schauble, Barbara; ID: 384</t>
  </si>
  <si>
    <t>1432-1246</t>
  </si>
  <si>
    <t>Kupper, Thomas. Institute of Occupational &amp; Social Medicine, RWTH Aachen University, Pauwelstr. 30, 52074, Aachen, Germany. tkuepper@ukaachen.de</t>
  </si>
  <si>
    <t>http://ovidsp.ovid.com/ovidweb.cgi?T=JS&amp;CSC=Y&amp;NEWS=N&amp;PAGE=fulltext&amp;D=med7&amp;AN=22752312</t>
  </si>
  <si>
    <t>https://dx.doi.org/10.1007/s00420-012-0794-0</t>
  </si>
  <si>
    <t>MEDLINE; Ovid Technologies; The negative impact of attention-deficit/hyperactivity disorder on occupational health in adults and adolescents</t>
  </si>
  <si>
    <t>Kurpas,D.;Wojtal,M.;Bielska,D.;Kaczorowska,M.;Steciwko,A.</t>
  </si>
  <si>
    <t>Opinion of students of the Medical Department of Wroclaw Medical University on the subject of the fight against tobacco addiction]</t>
  </si>
  <si>
    <t>Adult;Female;*Health Knowledge, Attitudes, Practice;Health Promotion/lj Legislation &amp; Jurisprudence];Health Promotion/mt Methods];Health Promotion/og Organization &amp; Administration];Humans;Male;Poland/ep Epidemiology];Population Surveillance;Program Development/mt Methods];Smoking/ep Epidemiology];*Smoking Prevention;*Students, Medical/sn Statistics &amp; Numerical Data];Surveys and Questionnaires;Tobacco Use Disorder/ep Epidemiology];*Tobacco Use Disorder/pc Prevention &amp; Control];Young Adult</t>
  </si>
  <si>
    <t>Problem of prophylaxis of nicotine-related diseases and leading of programs of the fight against tobacco addiction are being given out to be shared nominative case of main plans led in the framework of health care in majority of European countries. An anonymous questionnaire containing questions concerning students' opinion on the subject of the fight against tobacco addiction was carried amongst students of the 6th year of the Medical Department of Wroclaw Medical University in the academic year 2007/2008. 177 students took part in the study (64% of women, 34% of men). 72.4% of students came from cities with the population above 100 hundred of inhabitants. 64.4% of students is regarding problem of nicotinism in Poland as important. 62.2% of students think that promoting not-smoking in media is most effective method. 76.7% of students is justifying total smoking ban in public places and is behind accepting such regulations in Poland. 1.14% of students is against smoking ban in public places regarding it as limiting their freedom. Majority of students thinks that nicotinism is an essential problem in Poland. Dominating percentage examined thinks that promoting not-smoking in media is most effective method. Majority of students is justifying a total smoking ban in public places and is behind accepting such regulations in Poland. Only scarce percentage examined is against a smoking ban in public places regarding it as limiting their freedom. Undoubtedly students notice problem of tobacco smoking in Poland as important, at the same time rarely taking into consideration keeping anti-tobacco programs on the level of health care--are handing responsibility for realization of these programs to media or government organizations. Students are supporting regulations introducing a ban on smoking in public places.</t>
  </si>
  <si>
    <t>J2: Przegl Lek; Polish Kurpas, Donata Wojtal, Mariola Bielska, Dorota Kaczorowska, Monika Steciwko, Andrzej; OP: Opinia studentow Wydzialu Lekarskiego Akademii Medycznej we Wroclawiu na temat walki z nalogiem palenia tytoniu; ID: 647</t>
  </si>
  <si>
    <t>Kurpas, Donata. Katedra i Zaklad Medycyny Rodzinnej, Akademia Medyczna we Wroclawiu. dkurpas@hotmail.com</t>
  </si>
  <si>
    <t>http://ovidsp.ovid.com/ovidweb.cgi?T=JS&amp;CSC=Y&amp;NEWS=N&amp;PAGE=fulltext&amp;D=med6&amp;AN=19189569</t>
  </si>
  <si>
    <t>MEDLINE; Ovid Technologies; [Opinion of students of the Medical Department of Wroclaw Medical University on the subject of the fight against tobacco addiction]</t>
  </si>
  <si>
    <t>Realization of problems related with tobacco addiction under medical studies]</t>
  </si>
  <si>
    <t>Adult;Female;*Health Knowledge, Attitudes, Practice;Humans;Male;Poland/ep Epidemiology];Population Surveillance;Smoking/ep Epidemiology];*Smoking Cessation/mt Methods];*Smoking Prevention;*Students, Medical/sn Statistics &amp; Numerical Data];Surveys and Questionnaires;Tobacco Use Disorder/ep Epidemiology];*Tobacco Use Disorder/pc Prevention &amp; Control];Young Adult</t>
  </si>
  <si>
    <t>Quitting by current smokers is therefore the only way in which tobacco-related mortality can be reduced in the medium term. An anonymous questionnaire containing questioners on the subject of the realization of problems connected with the tobacco addiction in the route of medical studies was carried amongst students of the 6th year of the Medical Department of Wroclaw Medical University in the academic year 2007/2008. 177 students took part in the study (64% of women, 34% of men). 72.4% of students came from cities with the population above 100 hundred of inhabitants. 8.5% of students isn't regarding the nicotine addiction as illness. 94.4% of students is claiming that problems concerning nicotinism were being brought up on the university. 81.7% of students is judging that he is able to give an anti-smoking advice to a patient. 89.8% of students think that every doctor should ask each patients opinion about smoking cigarettes independently of whether he is an ill or healthy person. It is surprising that persons not regarding nicotine addiction as illness are still amongst students of 6th year of the Medical Department. Not all examined also confirmed that they had met with discussing the problem of nicotinism during medical studies. Majority examined thinks that he is able to give an anti-smoking advice to a patient. Dominating percentage examined thinks that every doctor should ask each of patients' opinion about smoking cigarettes independently of whether he is an ill or healthy person. Knowledge is being passed down to students on the subject of nicotine addiction during main subjects realized during medical studies. However this knowledge seems insufficient in spite of high self-assessment of students.</t>
  </si>
  <si>
    <t>J2: Przegl Lek; Polish Kurpas, Donata Wojtal, Mariola Bielska, Dorota Kaczorowska, Monika Steciwko, Andrzej; OP: Realizacja zagadnien zwiazanych z nalogiem palenia tytoniu w trakcie studiow medycznych; ID: 646</t>
  </si>
  <si>
    <t>http://ovidsp.ovid.com/ovidweb.cgi?T=JS&amp;CSC=Y&amp;NEWS=N&amp;PAGE=fulltext&amp;D=med6&amp;AN=19189571</t>
  </si>
  <si>
    <t>MEDLINE; Ovid Technologies; [Realization of problems related with tobacco addiction under medical studies]</t>
  </si>
  <si>
    <t>Kurpas,D.;Wojtal,M.;Bielska,D.;Rogalska,M.;Sapilak,B.;Steciwko,A.</t>
  </si>
  <si>
    <t>Acting in the framework of the nicotine addiction prevention--the level of knowledge amongst 6th year students of Wroclaw Medical University]</t>
  </si>
  <si>
    <t>Adult;Female;*Health Knowledge, Attitudes, Practice;Humans;Incidence;Male;Medicine/cl Classification];Medicine/sn Statistics &amp; Numerical Data];Poland/ep Epidemiology];*Schools, Medical/sn Statistics &amp; Numerical Data];*Students/sn Statistics &amp; Numerical Data];Tobacco Use Disorder/ep Epidemiology];*Tobacco Use Disorder/pc Prevention &amp; Control];Young Adult</t>
  </si>
  <si>
    <t>It was stated explicitly that smoking was increasing the risk of the death about 25-40% because of cardiovascular diseases, about 30-40% because of malignant tumors and is causing about 70% of deaths from illness of the respiratory system (no cancerous). It was also proved that basic means increasing the effectiveness of taken attempts to limit the smoking were useful and easy to apply by every doctor independently of the medical specialty. An anonymous questionnaire containing questions on the subject of the realization of problems connected with the tobacco addiction in the route of medical studies was carried amongst 6th year students of the Medical Department of Wroclaw Medical University in the academic year 2008/2009. 210 students took part in the study. 62% of examined came from the provincial capital, the 11.4% from the town with the population above 100 hundred of inhabitants, 22.4% of towns with the population below 100 hundred of inhabitants and 3.8% of students--from country centers. Only 78% of students is claiming that problems concerning nicotinism were being brought up on the university. 56.7% of examined is judging that he is able to give an anti-smoking advice to a patient. The correct answer in the question about the Fagerstroma test and describing physical addiction gave 47% of students, only 39.5% examined--in the question about the assessment of motivation test (the Schneider scale), and 37.2% of students responded to the question what is consists in minimum anti-tobacco intervention. An insufficient frequency of bringing up the problem of smoking on medical studies is visible harmfulness, a consequence is a lowering knowledge amongst students. Little over 3 of students is confirming students that problems concerning the nicotinism were being brought up during studies (mainly during classes in the field of internal medicine), however every sixth of examined students is declaring the knowledge in the case of the patient addicted to the nicotine and every fourth has the knowledge. The preparing graduates of the Medical Faculty for the participation in realization of basic schedules of the promotion of the health and the diseases prevention is developing unusually pessimistically towards above data, the fight against the nicotine addiction is filling one of the essential positions, independently on the medical specialty.</t>
  </si>
  <si>
    <t>J2: Przegl Lek; Polish Kurpas, Donata Wojtal, Mariola Bielska, Dorota Rogalska, Monika Sapilak, Bartosz Steciwko, Andrzej; OP: Postepowanie w ramach profilaktyki uzaleznienia od nikotyny--poziom wiedzy wsrod studentow VI roku Akademii Medycznej we Wroclawiu; ID: 575</t>
  </si>
  <si>
    <t>Kurpas, Donata. Katedra i Zaklad Medycyny Rodzinnej, Akademia Medyczna, Wroclaw. dkurpas@hotmail.com</t>
  </si>
  <si>
    <t>http://ovidsp.ovid.com/ovidweb.cgi?T=JS&amp;CSC=Y&amp;NEWS=N&amp;PAGE=fulltext&amp;D=med6&amp;AN=20301945</t>
  </si>
  <si>
    <t>MEDLINE; Ovid Technologies; [Acting in the framework of the nicotine addiction prevention--the level of knowledge amongst 6th year students of Wroclaw Medical University]</t>
  </si>
  <si>
    <t>Kurzman,M. G.</t>
  </si>
  <si>
    <t>First do no harm</t>
  </si>
  <si>
    <t>Curriculum;*Education, Medical;Humans;*Substance-Related Disorders</t>
  </si>
  <si>
    <t>J2: Minn Med; Kurzman, M G; ID: 1576</t>
  </si>
  <si>
    <t>http://ovidsp.ovid.com/ovidweb.cgi?T=JS&amp;CSC=Y&amp;NEWS=N&amp;PAGE=fulltext&amp;D=med1&amp;AN=4734617</t>
  </si>
  <si>
    <t>MEDLINE; Ovid Technologies; First do no harm</t>
  </si>
  <si>
    <t>Kuznetsova,A. V.;Meylakhs,A. Y.;Amirkhanian,Y. A.;Kelly,J. A.;Yakovlev,A. A.;Musatov,V. B.;Amirkhanian,A. G.</t>
  </si>
  <si>
    <t>NIHMS752002 Available on 10/01/17]; Barriers and Facilitators of HIV Care Engagement: Results of a Qualitative Study in St. Petersburg, Russia</t>
  </si>
  <si>
    <t>AIDS &amp; Behavior</t>
  </si>
  <si>
    <t>Adolescent;Adult;*Anti-HIV Agents/tu Therapeutic Use];Continuity of Patient Care/sn Statistics &amp; Numerical Data];Female;*HIV Infections/dt Drug Therapy];HIV Infections/px Psychology];Health Services Accessibility/sn Statistics &amp; Numerical Data];Health Status;Humans;Interviews as Topic;Male;Medication Adherence/sn Statistics &amp; Numerical Data];Middle Aged;*Patient Acceptance of Health Care/sn Statistics &amp; Numerical Data];Qualitative Research;Russia/ep Epidemiology];*Social Stigma;Social Support;*Substance-Related Disorders/co Complications];Substance-Related Disorders/px Psychology];0 (Anti-HIV Agents)</t>
  </si>
  <si>
    <t>Russia has a large HIV epidemic, but medical care engagement is low. Eighty HIV-positive persons in St. Petersburg completed in-depth interviews to identify barriers and facilitators of medical HIV care engagement. The most commonly-reported barriers involved difficulties accessing care providers, dissatisfaction with the quality of services, and negative attitudes of provider staff. Other barriers included not having illness symptoms, life stresses, low value placed on health, internalized stigma and wanting to hide one's HIV status, fears of learning about one's true health status, and substance abuse. Care facilitators were feeling responsible for one's health and one's family, care-related support from other HIV-positive persons, and the onset of health decline and fear of death. Substance use remission facilitated care engagement, as did good communication from providers and trust in one's doctor. Interventions are needed in Russia to address HIV care infrastructural barriers and integrate HIV, substance abuse, care, and psychosocial services.</t>
  </si>
  <si>
    <t>J2: Aids Behav; Kuznetsova, Anna V Meylakhs, Anastasia Y Amirkhanian, Yuri A Kelly, Jeffrey A Yakovlev, Alexey A Musatov, Vladimir B Amirkhanian, Anastasia G; ID: 58</t>
  </si>
  <si>
    <t>1573-3254</t>
  </si>
  <si>
    <t>Kuznetsova, Anna V. Botkin Hospital for Infectious Diseases, Interdisciplinary Center for AIDS Research and Training (ICART), St. Petersburg, Russia. Meylakhs, Anastasia Y. Botkin Hospital for Infectious Diseases, Interdisciplinary Center for AIDS Research and Training (ICART), St. Petersburg, Russia. Amirkhanian, Yuri A. Botkin Hospital for Infectious Diseases, Interdisciplinary Center for AIDS Research and Training (ICART), St. Petersburg, Russia. yuri@mcw.edu. Amirkhanian, Yuri A. Department of Psychiatry and Behavioral Medicine, Medical College of Wisconsin, Center for AIDS Intervention Research (CAIR), 2071 North Summit Avenue, Milwaukee, WI, 53202, USA. yuri@mcw.edu. Kelly, Jeffrey A. Department of Psychiatry and Behavioral Medicine, Medical College of Wisconsin, Center for AIDS Intervention Research (CAIR), 2071 North Summit Avenue, Milwaukee, WI, 53202, USA. Yakovlev, Alexey A. Botkin Hospital for Infectious Diseases, Interdisciplinary Center for AIDS Research and Training (ICART), St. Petersburg, Russia. Yakovlev, Alexey A. Faculty of Medicine, St. Petersburg State University, St. Petersburg, Russia. Musatov, Vladimir B. Botkin Hospital for Infectious Diseases, Interdisciplinary Center for AIDS Research and Training (ICART), St. Petersburg, Russia. Musatov, Vladimir B. Faculty of Medicine, St. Petersburg State University, St. Petersburg, Russia. Amirkhanian, Anastasia G. Botkin Hospital for Infectious Diseases, Interdisciplinary Center for AIDS Research and Training (ICART), St. Petersburg, Russia.</t>
  </si>
  <si>
    <t>http://ovidsp.ovid.com/ovidweb.cgi?T=JS&amp;CSC=Y&amp;NEWS=N&amp;PAGE=fulltext&amp;D=medc&amp;AN=26767534</t>
  </si>
  <si>
    <t>https://dx.doi.org/10.1007/s10461-015-1282-9</t>
  </si>
  <si>
    <t>MEDLINE; Ovid Technologies; Barriers and Facilitators of HIV Care Engagement: Results of a Qualitative Study in St. Petersburg, Russia</t>
  </si>
  <si>
    <t>Kvamme,J. M.;Fauske,S.</t>
  </si>
  <si>
    <t>Education of medical students in substance abuse]</t>
  </si>
  <si>
    <t>Alcoholism;Curriculum;*Education, Medical/td Trends];Humans;Norway;Substance-Related Disorders</t>
  </si>
  <si>
    <t>A substantial amount of resources available to the health services in Norway are spent on alcohol- and drug-related disorders. Physicians play an important role in preventing, diagnosing and treating these disorders. We have reviewed the curricula used at our four Norwegian medical schools for education in this field. The curricula are characterized by lack of specified educational goals and are somewhat limited, seen in relation to the extent of the alcohol- and drug-related problems. With reference to a structured educational programme at Karolinska Sjukhuset, Stockholm, we propose a new Norwegian model for alcohol- and drug related medical education. This model focuses especially on early identification of problems and intervention in harmful alcohol consumption.</t>
  </si>
  <si>
    <t>J2: Tidsskr Nor Laegeforen; Norwegian Kvamme, J M Fauske, S; OP: Rusmiddelundervisning for medisinstudenter; ID: 1361</t>
  </si>
  <si>
    <t>Kvamme, J M. Institutt for allmennmedisin, Bergen.</t>
  </si>
  <si>
    <t>http://ovidsp.ovid.com/ovidweb.cgi?T=JS&amp;CSC=Y&amp;NEWS=N&amp;PAGE=fulltext&amp;D=med3&amp;AN=2321229</t>
  </si>
  <si>
    <t>MEDLINE; Ovid Technologies; [Education of medical students in substance abuse]</t>
  </si>
  <si>
    <t>Labbe,E.;Herbert,D.;Haynes,J.</t>
  </si>
  <si>
    <t>Physicians' attitude and practices in sickle cell disease pain management.Erratum appears in J Palliat Care. 2006 Spring;22(1):64]</t>
  </si>
  <si>
    <t>Journal of palliative care</t>
  </si>
  <si>
    <t>J.Palliat.Care</t>
  </si>
  <si>
    <t>Acute Disease;Adult;Analgesia/ae Adverse Effects];Analgesia/ut Utilization];*Anemia, Sickle Cell/co Complications];*Attitude of Health Personnel;Education, Medical, Continuing;Faculty, Medical/og Organization &amp; Administration];Family Practice/ed Education];Family Practice/og Organization &amp; Administration];Fear;Female;Health Knowledge, Attitudes, Practice;Hematology/ed Education];Hematology/og Organization &amp; Administration];Humans;Male;Medical Staff/ed Education];Medical Staff/px Psychology];Middle Aged;Needs Assessment;Pain/di Diagnosis];Pain/et Etiology];*Pain/pc Prevention &amp; Control];Pain Measurement;*Physicians/px Psychology];*Practice Patterns, Physicians'/og Organization &amp; Administration];Substance-Related Disorders/et Etiology];Substance-Related Disorders/pc Prevention &amp; Control];Surveys and Questionnaires;United States</t>
  </si>
  <si>
    <t>Many physicians believe that patients with sickle cell disease (SCD) are more likely to become addicted to pain medication than are other patient populations. This study hypothesizes that physicians' attitudes towards addiction in patients with SCD affects pain management practices. The Physician Attitudes Survey was sent to 286 physicians at seven National Institutes of Health-funded university-based comprehensive sickle cell centres. The survey assessed demographic information; and physician's attitudes toward and knowledge of pain, pain treatment, and drug addiction and abuse. Significant Pearson product-moment correlations were found between attitudes towards pain and beliefs regarding addiction to prescribed opioids. Physicians reported varied pain management strategies, however, many believe that attitudes toward addiction and to patients in pain crises may result in undertreatment of pain. These results indicate that physicians might benefit from additional education regarding sickle cell disease, addiction to pain medication, the pharmacology of opioids, and the assessment and treatment of pain.</t>
  </si>
  <si>
    <t>J2: J Palliat Care; Labbe, Elise Herbert, Donald Haynes, Johnson; ID: 833</t>
  </si>
  <si>
    <t>0825-8597</t>
  </si>
  <si>
    <t>Labbe, Elise. Department of Psychology, University of South Alabama, Comprehensive Sickle Cell Center, Mobile, USA.</t>
  </si>
  <si>
    <t>http://ovidsp.ovid.com/ovidweb.cgi?T=JS&amp;CSC=Y&amp;NEWS=N&amp;PAGE=fulltext&amp;D=med5&amp;AN=16483093</t>
  </si>
  <si>
    <t>MEDLINE; Ovid Technologies; Physicians' attitude and practices in sickle cell disease pain management.[Erratum appears in J Palliat Care. 2006 Spring;22(1):64]</t>
  </si>
  <si>
    <t>Laberg,J. C.;Fauske,S.;Loberg,T.</t>
  </si>
  <si>
    <t>Reports from research centres--20. Alcohol research at the Hjellestad Clinic</t>
  </si>
  <si>
    <t>Alcoholism/px Psychology];*Alcoholism/rh Rehabilitation];Follow-Up Studies;Humans;Norway;Research;Risk Factors</t>
  </si>
  <si>
    <t>Treatment and research efforts at the Hjellestad Clinic are based on a biobehavioural model of the addictions. The treatment program encompasses life-style changes and relapse prevention, and extensive assessment for the purpose of the treatment choices. The clinic is treating nearly 1500 patients a year. Psychological and medical research projects have included experimental drinking studies, psychopharmacological and biomedical studies, treatment evaluations, studies of neuropsychological assessment, studies of personality subtypes, studies of violence related to alcohol and drugs, and investigations of women alcoholics. A new research laboratory houses an experimental bar, and state-of-the-art facilities for psychophysiological and neuropsychological testing. The Hjellestad Clinic is the only Norwegian centre for clinical and experimental research on the addictions from a psycho-physiological as well as behavioral and cognitive perspective. In addition, a national educational program offers theoretical and practical training for professionals and paraprofessionals in the addictions in co-operation with the University of Bergen. Training in the addictions and internships for psychology students at the University of Bergen is provided at the Clinic. The centre has established connections with centres in Scandinavia, England, Canada and the U.S., through visiting scholars and study trips. (The centre has an especially strong liaison with the Rutgers Center of Alcohol Studies.) References: 90]</t>
  </si>
  <si>
    <t>J2: Br J Addict; Laberg, J C Fauske, S Loberg, T; ID: 1378</t>
  </si>
  <si>
    <t>http://ovidsp.ovid.com/ovidweb.cgi?T=JS&amp;CSC=Y&amp;NEWS=N&amp;PAGE=fulltext&amp;D=med3&amp;AN=2676031</t>
  </si>
  <si>
    <t>MEDLINE; Ovid Technologies; Reports from research centres--20. Alcohol research at the Hjellestad Clinic</t>
  </si>
  <si>
    <t>Labs,S. M.</t>
  </si>
  <si>
    <t>The Career Teacher Grant Program: alcohol and drug abuse education for the health professions</t>
  </si>
  <si>
    <t>Alcoholism/pc Prevention &amp; Control];Curriculum;*Education, Medical, Continuing;*Health Occupations/ed Education];Humans;Substance-Related Disorders/pc Prevention &amp; Control];*Substance-Related Disorders;*Teaching;*Training Support</t>
  </si>
  <si>
    <t>J2: J Med Educ; Labs, S M; ID: 1506</t>
  </si>
  <si>
    <t>http://ovidsp.ovid.com/ovidweb.cgi?T=JS&amp;CSC=Y&amp;NEWS=N&amp;PAGE=fulltext&amp;D=med2&amp;AN=7193739</t>
  </si>
  <si>
    <t>MEDLINE; Ovid Technologies; The Career Teacher Grant Program: alcohol and drug abuse education for the health professions</t>
  </si>
  <si>
    <t>Laes,J. R.</t>
  </si>
  <si>
    <t>The Integration of Medical Toxicology and Addiction Medicine: a New Era in Patient Care</t>
  </si>
  <si>
    <t>Certification;Clinical Competence;*Delivery of Health Care, Integrated/og Organization &amp; Administration];Delivery of Health Care, Integrated/st Standards];Education, Medical, Graduate;Fellowships and Scholarships;Humans;*Patient-Centered Care/og Organization &amp; Administration];Patient-Centered Care/st Standards];Specialization;Substance-Related Disorders/di Diagnosis];Substance-Related Disorders/px Psychology];*Substance-Related Disorders/th Therapy];Toxicology/ed Education];*Toxicology/og Organization &amp; Administration];Toxicology/st Standards]</t>
  </si>
  <si>
    <t>Medical toxicologists are frequently called upon to treat patients who are addicted to alcohol, tobacco, or other substances across many care settings. Medical toxicologists provide service to their patients through the identification, treatment, and prevention of addiction and its co-morbidities, and practice opportunities are quite varied. Training in addiction medicine can be obtained during or after medical toxicology fellowship through resources offered by the American Society of Addiction Medicine. Additionally, the American Board of Addiction Medicine offers certification in the specialty of addiction medicine to candidates across a wide range of medical specialties.</t>
  </si>
  <si>
    <t>J2: J Med Toxicol; Laes, JoAn R; ID: 134</t>
  </si>
  <si>
    <t>Laes, JoAn R. Division of Addiction Medicine, Hennepin County Medical Center, 701 Park Avenue, Mail Code G5, Minneapolis, MN, 55415, USA. joan.laes@hcmed.org.</t>
  </si>
  <si>
    <t>http://ovidsp.ovid.com/ovidweb.cgi?T=JS&amp;CSC=Y&amp;NEWS=N&amp;PAGE=fulltext&amp;D=med8&amp;AN=26576956</t>
  </si>
  <si>
    <t>https://dx.doi.org/10.1007/s13181-015-0523-7</t>
  </si>
  <si>
    <t>MEDLINE; Ovid Technologies; The Integration of Medical Toxicology and Addiction Medicine: a New Era in Patient Care</t>
  </si>
  <si>
    <t>Lafferty,L.</t>
  </si>
  <si>
    <t>Marijuana use prevention: the In-DEPTH model program</t>
  </si>
  <si>
    <t>Adolescent;*Cannabis;*Health Education/og Organization &amp; Administration];Humans;*Models, Educational;*Substance-Related Disorders/pc Prevention &amp; Control]</t>
  </si>
  <si>
    <t>Over the past five years marijuana use has doubled among eighth, 10th and 12th grade students, and in several demographics it has tripled. The recent debate over the legalization of medical marijuana (California's Proposition 215), positive media messages, lack of parent/child discussion, and denial by schools and communities may be contributing factors to the rise of drug use among adolescents. The In-DEPTH program, a unique drug education model that educates, prevents, and provides intervention strategies in adolescent marijuana use, has in small multisite surveys shown initial success in decreasing marijuana use and positively changing beliefs. The program is based on pharmacology, addiction medicine principles, economics and the pharmaceutical sales model, and examines drug dealing as well as drug use.</t>
  </si>
  <si>
    <t>J2: J Psychoactive Drugs; Lafferty, L; ID: 1101</t>
  </si>
  <si>
    <t>http://ovidsp.ovid.com/ovidweb.cgi?T=JS&amp;CSC=Y&amp;NEWS=N&amp;PAGE=fulltext&amp;D=med4&amp;AN=9692383</t>
  </si>
  <si>
    <t>MEDLINE; Ovid Technologies; Marijuana use prevention: the In-DEPTH model program</t>
  </si>
  <si>
    <t>Lambert Passos,S. R.;Alvarenga Americano,do Brasil;Borges,dos Santos;Costa,de Aquino</t>
  </si>
  <si>
    <t>Prevalence of psychoactive drug use among medical students in Rio de Janeiro</t>
  </si>
  <si>
    <t>Adolescent;Adult;Brazil;Cross-Sectional Studies;Female;Humans;Male;*Psychotropic Drugs/tu Therapeutic Use];Schools, Medical/sn Statistics &amp; Numerical Data];*Students, Medical/px Psychology];*Substance-Related Disorders/ep Epidemiology];Substance-Related Disorders/eh Ethnology];Universities/sn Statistics &amp; Numerical Data];0 (Psychotropic Drugs)</t>
  </si>
  <si>
    <t>BACKGROUND: Drug use and abuse may hamper learning capabilities and the development of technical skills in medical students and, therefore, the quality of care offered to patients. The aim of this investigation was to estimate the prevalence of psychoactive drug use among medical students of public universities in Rio de Janeiro, Brazil, and to identify characteristics associated with substance use. METHOD: This was a cross-sectional investigation designed to include all medical students of four universities. The final sample included 1,054 students. Patterns of licit and illicit drug use (at least once in lifetime drug use, drug use in the last 30 days (LTD) and CAGE) before and during medical school were assessed by a multiple-choice, self-administered anonymous questionnaire. RESULTS: Alcohol abuse was more prevalent among male students from higher income families. Alcohol LTD use was more prevalent among male students with college-educated parents. Tobacco, cannabis and inhalant lifetime use was more prevalent among males and tranquillizer use among females. Tobacco, cannabis and tranquillizer lifetime use was more prevalent among students with divorced or dead parents. Inhalant lifetime use was more prevalent among students from higher income families. Students who had college-educated, divorced or dead parents or evidenced tobacco, cocaine or inhalant lifetime use were more prevalent among cannabis users. Male students from higher income families had higher prevalence of cocaine lifetime use. CONCLUSION: Substance use in this group of medical students is not widespread compared to rates reported for developed countries. Preventive efforts should focus on alcohol and cannabis use by medical students.</t>
  </si>
  <si>
    <t>J2: Soc Psychiatry Psychiatr Epidemiol; Lambert Passos, Sonia Regina Alvarenga Americano do Brasil, Pedro Emmanuel Borges dos Santos, Maria Angelica Costa de Aquino, Maria Tereza; ID: 729</t>
  </si>
  <si>
    <t>1433-9285</t>
  </si>
  <si>
    <t>Lambert Passos, Sonia Regina. Dept. of Epidemiology, Evandro Chagas Clinical Research, Oswaldo Cruz Foundation, Rio de Janeiro, Brazil. sonialambert@ipec.fiocruz.br</t>
  </si>
  <si>
    <t>http://ovidsp.ovid.com/ovidweb.cgi?T=JS&amp;CSC=Y&amp;NEWS=N&amp;PAGE=fulltext&amp;D=med5&amp;AN=16969604</t>
  </si>
  <si>
    <t>MEDLINE; Ovid Technologies; Prevalence of psychoactive drug use among medical students in Rio de Janeiro</t>
  </si>
  <si>
    <t>Lambert,M. T.</t>
  </si>
  <si>
    <t>Linking mental health and addiction services: a continuity-of-care team model</t>
  </si>
  <si>
    <t>Journal of Behavioral Health Services &amp; Research</t>
  </si>
  <si>
    <t>J.Behav.Health Serv.Res.</t>
  </si>
  <si>
    <t>*Continuity of Patient Care/og Organization &amp; Administration];Diagnosis, Dual (Psychiatry);Hospital Restructuring;*Hospitals, Veterans/og Organization &amp; Administration];Humans;*Models, Organizational;*Patient Care Team;Patient Discharge/sn Statistics &amp; Numerical Data];Patient Readmission/sn Statistics &amp; Numerical Data];Program Evaluation;*Psychiatric Department, Hospital/og Organization &amp; Administration];Psychiatric Department, Hospital/ut Utilization];*Substance Abuse Treatment Centers/og Organization &amp; Administration];Substance Abuse Treatment Centers/ut Utilization];*Substance-Related Disorders/rh Rehabilitation];Texas;United States;United States Department of Veterans Affairs</t>
  </si>
  <si>
    <t>Reorganization of mental health care delivery services at a Department of Veterans Affairs medical center addressed problems with the coordination of addiction treatment and mental health programming for patients with significant psychiatric and addiction comorbidity. Clinical services were organized into interdisciplinary continuity-of-care teams that follow patients across different levels of care. The teams provide addiction treatment through "universally available" resources such as a partial hospital addiction rehabilitation module. Continuity of care remains within the team structure as clinicians follow patients throughout their rehabilitation course. Patient and staff satisfaction focus on improved accessibility of addiction services and continuity of care providers across time and levels of care. Overall inpatient utilization and recidivism decreased after model implementation.</t>
  </si>
  <si>
    <t>J2: J Behav Health Serv Res; Lambert, Michael T; ID: 961</t>
  </si>
  <si>
    <t>1094-3412</t>
  </si>
  <si>
    <t>Lambert, Michael T. Mental Health Service 116A, VANTHCS, Department of Psychiatry, University of Texas Southwestern Medical School at Dallas, USA. Michael.Lambert2@med.va.gov</t>
  </si>
  <si>
    <t>http://ovidsp.ovid.com/ovidweb.cgi?T=JS&amp;CSC=Y&amp;NEWS=N&amp;PAGE=fulltext&amp;D=med4&amp;AN=12404937</t>
  </si>
  <si>
    <t>MEDLINE; Ovid Technologies; Linking mental health and addiction services: a continuity-of-care team model</t>
  </si>
  <si>
    <t>Lamberti,M.;Napolitano,F.;Napolitano,P.;Arnese,A.;Crispino,V.;Panariello,G.;Di Giuseppe,G.</t>
  </si>
  <si>
    <t>Prevalence of alcohol use disorders among under- and post-graduate healthcare students in Italy</t>
  </si>
  <si>
    <t>e0175719</t>
  </si>
  <si>
    <t>Adult;*Alcohol Drinking/ep Epidemiology];*Alcohol-Related Disorders/ep Epidemiology];Body Mass Index;Cross-Sectional Studies;Female;Health Surveys;Humans;Internship and Residency/sn Statistics &amp; Numerical Data];Italy/ep Epidemiology];Male;Prevalence;Risk-Taking;*Students, Medical/sn Statistics &amp; Numerical Data];Young Adult</t>
  </si>
  <si>
    <t>A cross-sectional study was carried out on 641 medical students, 359 students attending a degree course in the healthcare professions, and 500 resident physicians, all undergoing health surveillance at the ambulatory of the Division of Occupational Medicine, Second University of Naples, Italy. 76.1% of the participants drank alcohol, with 85.5% of medical students, 77.4% of resident physicians, and 63% of healthcare-professions students reporting regular alcohol use. In the whole sample, the mean Audit-C score was 1.6 for men and 1.1 for women; only 5.5% of men and 7.1% of women had a hazardous alcohol consumption with an Audit-C score of respectively &gt;=4 and &gt;=3. Multivariate regression modeling revealed that regular alcohol use was more likely in individuals who were men, were younger, had a lower body-mass index, were active smokers, were habitual coffee drinkers, and who were resident physicians or medical students rather than healthcare-professions students. This finding identifies a need to assess alcohol use in medical-profession workers in order to identify risky behavior early on and to carry out rapidly effective preventive and curative interventions.</t>
  </si>
  <si>
    <t>J2: PLoS ONE; Lamberti, Monica Napolitano, Francesco Napolitano, Paola Arnese, Antonio Crispino, Vincenzo Panariello, Gianclaudio Di Giuseppe, Gabriella; ID: 68</t>
  </si>
  <si>
    <t>Lamberti, Monica. Department of Experimental Medicine, Section of Occupational Medicine, School of Medicine, Second University of Naples, Naples, Italy. Napolitano, Francesco. Department of Experimental Medicine, Section of Hygiene, School of Medicine, Second University of Naples, Naples, Italy. Napolitano, Paola. Department of Experimental Medicine, Section of Hygiene, School of Medicine, Second University of Naples, Naples, Italy. Arnese, Antonio. Department of Experimental Medicine, Section of Hygiene, School of Medicine, Second University of Naples, Naples, Italy. Crispino, Vincenzo. Department of Experimental Medicine, Section of Occupational Medicine, School of Medicine, Second University of Naples, Naples, Italy. Panariello, Gianclaudio. Department of Experimental Medicine, Section of Occupational Medicine, School of Medicine, Second University of Naples, Naples, Italy. Di Giuseppe, Gabriella. Department of Experimental Medicine, Section of Hygiene, School of Medicine, Second University of Naples, Naples, Italy.</t>
  </si>
  <si>
    <t>http://ovidsp.ovid.com/ovidweb.cgi?T=JS&amp;CSC=Y&amp;NEWS=N&amp;PAGE=fulltext&amp;D=med8&amp;AN=28437428</t>
  </si>
  <si>
    <t>https://dx.doi.org/10.1371/journal.pone.0175719</t>
  </si>
  <si>
    <t>MEDLINE; Ovid Technologies; Prevalence of alcohol use disorders among under- and post-graduate healthcare students in Italy</t>
  </si>
  <si>
    <t>Lancaster,M.;McKee,J.;Mahan,A.</t>
  </si>
  <si>
    <t>The chronic pain initiative and community care of North Carolina</t>
  </si>
  <si>
    <t>*Analgesics, Opioid/ae Adverse Effects];*Chronic Pain/dt Drug Therapy];*Community Networks/og Organization &amp; Administration];Community Participation;*Drug Overdose/pc Prevention &amp; Control];Education, Medical, Continuing;Humans;North Carolina;0 (Analgesics, Opioid)</t>
  </si>
  <si>
    <t>The rate of unintentional deaths from opioid poisoning has reached epidemic proportions. One model of successful intervention is Project Lazarus, an integrated-care pilot program in Wilkes County, North Carolina. Community Care of North Carolina, supported by a grant of $1.3 million from the Kate B. Reynolds Charitable Trust and matching funds of $1.3 million from the North Carolina Office of Rural Health and Community Care, is now expanding the Project Lazarus approach statewide.</t>
  </si>
  <si>
    <t>J2: N C Med J; Lancaster, Michael McKee, Jerry Mahan, Amelia; ID: 336</t>
  </si>
  <si>
    <t>Lancaster, Michael. Community Care of North Carolina, Raleigh, North Carolina, USA.</t>
  </si>
  <si>
    <t>http://ovidsp.ovid.com/ovidweb.cgi?T=JS&amp;CSC=Y&amp;NEWS=N&amp;PAGE=fulltext&amp;D=med7&amp;AN=23940897</t>
  </si>
  <si>
    <t>MEDLINE; Ovid Technologies; The chronic pain initiative and community care of North Carolina</t>
  </si>
  <si>
    <t>Lande,R. G.</t>
  </si>
  <si>
    <t>The use and abuse of opioids. President's message</t>
  </si>
  <si>
    <t>*Buprenorphine/tu Therapeutic Use];*Education, Medical, Continuing/mt Methods];Humans;Opiate Substitution Treatment/mt Methods];*Opioid-Related Disorders/dt Drug Therapy];40D3SCR4GZ (Buprenorphine)</t>
  </si>
  <si>
    <t>J2: J Addict Dis; Lande, R Gregory; ID: 544</t>
  </si>
  <si>
    <t>Lande, R Gregory. American Osteopathic Academy of Addiction Medicine, USA.</t>
  </si>
  <si>
    <t>http://ovidsp.ovid.com/ovidweb.cgi?T=JS&amp;CSC=Y&amp;NEWS=N&amp;PAGE=fulltext&amp;D=med6&amp;AN=20924888</t>
  </si>
  <si>
    <t>https://dx.doi.org/10.1080/10550887.2010.510410</t>
  </si>
  <si>
    <t>MEDLINE; Ovid Technologies; The use and abuse of opioids. President's message</t>
  </si>
  <si>
    <t>Lande,R. G.;Marin,B. A.;Chang,A. S.;Mason,S.;Lande,G. R.</t>
  </si>
  <si>
    <t>A survey of alcohol consumption among first-year military medical students</t>
  </si>
  <si>
    <t>Adult;*Alcohol Drinking/ep Epidemiology];Alcohol Drinking/px Psychology];Alcoholic Intoxication/ep Epidemiology];Alcoholic Intoxication/px Psychology];Attitude to Health;Curriculum;Education, Medical, Undergraduate/sn Statistics &amp; Numerical Data];Female;Health Surveys;Humans;Learning;Male;*Military Medicine/sn Statistics &amp; Numerical Data];Schools, Medical/sn Statistics &amp; Numerical Data];Self-Assessment;Sex Factors;Students, Medical/px Psychology];*Students, Medical/sn Statistics &amp; Numerical Data];Substance-Related Disorders/px Psychology];Surveys and Questionnaires</t>
  </si>
  <si>
    <t>First-year medical students (n = 138) at the U.S. Military's Medical School report frequent binge drinking. Nearly one fifth of female and one third of male students report at least one episode of binge drinking in the two weeks preceding a survey of alcohol use. Only one fifth of the medical students reported an interest in an expanded addiction medicine curriculum. The authors' promoted the use of a survey to bridge the gap between self assessment and learning.</t>
  </si>
  <si>
    <t>J2: Am J Drug Alcohol Abuse; Lande, R Gregory Marin, Barbara A Chang, Audrey S Mason, Sarah Lande, Galen R; ID: 750</t>
  </si>
  <si>
    <t>Lande, R Gregory. Army Substance Abuse Program, Walter Reed Army Medical Center, Washington, District of Columbia 20307, USA. rglande@pol.net</t>
  </si>
  <si>
    <t>http://ovidsp.ovid.com/ovidweb.cgi?T=JS&amp;CSC=Y&amp;NEWS=N&amp;PAGE=fulltext&amp;D=med5&amp;AN=17668346</t>
  </si>
  <si>
    <t>MEDLINE; Ovid Technologies; A survey of alcohol consumption among first-year military medical students</t>
  </si>
  <si>
    <t>Lande,R. G.;Wyatt,S. A.;Przekop,P. R., J.</t>
  </si>
  <si>
    <t>Addiction medicine: a model osteopathic medical school curriculum</t>
  </si>
  <si>
    <t>*Clinical Competence;*Curriculum;Health Knowledge, Attitudes, Practice;Humans;Models, Educational;*Osteopathic Medicine/ed Education];Osteopathic Physicians/st Standards];*Osteopathic Physicians;Primary Health Care/og Organization &amp; Administration];Substance-Related Disorders/ec Economics];Substance-Related Disorders/ep Epidemiology];*Substance-Related Disorders/pc Prevention &amp; Control];United States</t>
  </si>
  <si>
    <t>The World Health Organization has identified nicotine, alcohol, and illicit drugs as among the top 10 contributors of morbidity and mortality in the world. Substance use disorders are preventable conditions that are major contributors to poor health, family dysfunction, and various social problems in the United States-problems that have a profound economic impact. The American Osteopathic Academy of Addiction Medicine seeks to promote teaching of addiction medicine at colleges of osteopathic medicine (COMs), which-honoring the osteopathic concepts of holistic medicine and disease prevention-are well poised to develop a model addiction medicine curriculum. Educators and students at COMs can use guidelines from Project MAINSTREAM, a core addiction medicine curriculum designed to improve education of health professionals in substance abuse, for developing addiction medicine curricula and for gauging their professional growth. These guidelines should be incorporated into the first 2 years of osteopathic medical students' basic science didactics. The authors encourage the development of addiction medicine courses and curricula at all COMs.</t>
  </si>
  <si>
    <t>J2: J Am Osteopath Assoc; Lande, R Gregory Wyatt, Stephen A Przekop, Peter R Jr; ID: 571</t>
  </si>
  <si>
    <t>Lande, R Gregory. American Osteopathic Academy of Addiction Medicine, 13826 Bison Ct, Silver Spring, MD 20906-2000, USA. rglande@act85.com</t>
  </si>
  <si>
    <t>http://ovidsp.ovid.com/ovidweb.cgi?T=JS&amp;CSC=Y&amp;NEWS=N&amp;PAGE=fulltext&amp;D=med6&amp;AN=20386021</t>
  </si>
  <si>
    <t>MEDLINE; Ovid Technologies; Addiction medicine: a model osteopathic medical school curriculum</t>
  </si>
  <si>
    <t>Landis,Z. C.;Rolius,R.;Scott,I. U.</t>
  </si>
  <si>
    <t>Practice Patterns Among Eye Care Providers at US Teaching Hospitals With Regard to Assessing and Educating Patients About Smoking</t>
  </si>
  <si>
    <t>American Journal of Ophthalmology</t>
  </si>
  <si>
    <t>Am.J.Ophthalmol.</t>
  </si>
  <si>
    <t>Counseling/ed Education];Cross-Sectional Studies;Female;*Health Personnel/sn Statistics &amp; Numerical Data];Health Surveys;Hospitals, Teaching;Humans;Male;Ophthalmologists/sn Statistics &amp; Numerical Data];Optometry/sn Statistics &amp; Numerical Data];*Patient Education as Topic/mt Methods];*Practice Patterns, Physicians'/sn Statistics &amp; Numerical Data];*Smoking Cessation/mt Methods];*Smoking Prevention;Surveys and Questionnaires;United States</t>
  </si>
  <si>
    <t>PURPOSE: To investigate practice patterns of eye care providers at academic medical centers in the United States (US) with regard to assessing patients' smoking status and exposure, educating patients regarding ocular risks of smoking, and counseling patients about smoking cessation. DESIGN: Cross-sectional survey. METHODS: An anonymous survey including multiple choice and Likert-style questions was constructed on http://www.surveymonkey.com and emailed to the coordinators of all 113 US ophthalmology residency programs, with a request to forward to all faculty, fellows, residents, and optometrists at their institution. Main outcome measures include proportion of eye care providers who assess patients' smoking status, educate patients regarding ocular risks of smoking, and discuss with patients smoking cessation options. RESULTS: Of the 292 respondents, 229 (78%) "always" or "periodically" ask patients about their smoking status, 251 (86%) "seldom" or "never" ask patients about secondhand smoke exposure, 245 (84%) "always" or "periodically" educate patients about ocular diseases associated with smoking, 142 (49%) "seldom" or "never" ask patients who smoke about their willingness to quit smoking, and 249 (85%) "seldom" or "never" discuss potential methods and resources to assist with smoking cessation. CONCLUSIONS: Most eye care providers assess patients' smoking status and educate patients regarding ocular risks of smoking. However, approximately half do not ask, or seldom ask, about patients' willingness to quit smoking, and most do not discuss smoking cessation options.</t>
  </si>
  <si>
    <t>J2: Am J Ophthalmol; Landis, Zachary C Rolius, Ramunas Scott, Ingrid U S0002-9394(17)30225-8; ID: 75</t>
  </si>
  <si>
    <t>1879-1891</t>
  </si>
  <si>
    <t>Landis, Zachary C. Penn State Eye Center, Department of Ophthalmology, Penn State College of Medicine, Hershey, Pennsylvania. Rolius, Ramunas. Penn State Eye Center, Department of Ophthalmology, Penn State College of Medicine, Hershey, Pennsylvania. Scott, Ingrid U. Penn State Eye Center, Department of Ophthalmology, Penn State College of Medicine, Hershey, Pennsylvania; Department of Public Health Sciences, Penn State College of Medicine, Hershey, Pennsylvania. Electronic address: iscott@pennstatehealth.psu.edu.</t>
  </si>
  <si>
    <t>http://ovidsp.ovid.com/ovidweb.cgi?T=JS&amp;CSC=Y&amp;NEWS=N&amp;PAGE=fulltext&amp;D=med8&amp;AN=28579064</t>
  </si>
  <si>
    <t>https://dx.doi.org/10.1016/j.ajo.2017.05.023</t>
  </si>
  <si>
    <t>MEDLINE; Ovid Technologies; Practice Patterns Among Eye Care Providers at US Teaching Hospitals With Regard to Assessing and Educating Patients About Smoking</t>
  </si>
  <si>
    <t>Lang,P.;Marsen-Storz,G.;Rakete,G.;Engelbrecht,J.;German,Federal Medical;German Federal Center,for Health</t>
  </si>
  <si>
    <t>Short intervention in patients with alcohol problems--counseling materials developed by the German Federal Medical Council and the German Federal Center for Health Education]</t>
  </si>
  <si>
    <t>Zeitschrift fur Arztliche Fortbildung und Qualitatssicherung</t>
  </si>
  <si>
    <t>Alcoholism/ep Epidemiology];*Alcoholism/rh Rehabilitation];*Counseling/mt Methods];Counseling/st Standards];Germany/ep Epidemiology];Humans;Pamphlets;Patient Education as Topic/st Standards];Primary Health Care/st Standards];Quality Assurance, Health Care</t>
  </si>
  <si>
    <t>The German Medical Association and the Federal Centre for Health Education have developed counselling material to support physicians in their efforts at counselling and treating persons with alcohol problems. The material consists of a counselling manual for diagnosis and therapy in the framework of ambulatory primary health care and of a brochure for patients on the basis of evidence-based medicine. The counselling manual for general practitioners and the brochure for the patients are both designed around the same core ideas and make a distinction between low risk alcohol consumption and risky alcohol consumption, between alcohol abuse and alcohol addiction and contain supplementary information on the specific offers of the addiction-aid-system.</t>
  </si>
  <si>
    <t>J2: Z Arztl Fortbild Qualitatssich; German Lang, Peter Marsen-Storz, Gisela Rakete, Gerd Engelbrecht, Justina German Federal Medical Council German Federal Center for Health Education; OP: Kurzintervention bei Patienten mit Alkoholproblemen--Beratungsmaterialien der Bundesarztekammer und der BZgA fur die arztliche Praxis; ID: 969</t>
  </si>
  <si>
    <t>1431-7621</t>
  </si>
  <si>
    <t>Lang, Peter. Bundeszentrale fur gesundheitliche Aufklarung (BZgA), Koln. Lang@bzga.de</t>
  </si>
  <si>
    <t>http://ovidsp.ovid.com/ovidweb.cgi?T=JS&amp;CSC=Y&amp;NEWS=N&amp;PAGE=fulltext&amp;D=med4&amp;AN=12168548</t>
  </si>
  <si>
    <t>MEDLINE; Ovid Technologies; [Short intervention in patients with alcohol problems--counseling materials developed by the German Federal Medical Council and the German Federal Center for Health Education]</t>
  </si>
  <si>
    <t>Lank,P. M.</t>
  </si>
  <si>
    <t>Toxicology fellow's perspective: filling a void in medical education regarding opioids</t>
  </si>
  <si>
    <t>Analgesics, Opioid/ae Adverse Effects];*Analgesics, Opioid/pd Pharmacology];Drug-Related Side Effects and Adverse Reactions;*Education, Medical;Pain Management/mt Methods];Prescription Drug Misuse;Risk Factors;*Toxicology/ed Education];0 (Analgesics, Opioid)</t>
  </si>
  <si>
    <t>J2: J Med Toxicol; Lank, Patrick M; ID: 379</t>
  </si>
  <si>
    <t>http://ovidsp.ovid.com/ovidweb.cgi?T=JS&amp;CSC=Y&amp;NEWS=N&amp;PAGE=fulltext&amp;D=med7&amp;AN=22986801</t>
  </si>
  <si>
    <t>https://dx.doi.org/10.1007/s13181-012-0271-x</t>
  </si>
  <si>
    <t>MEDLINE; Ovid Technologies; Toxicology fellow's perspective: filling a void in medical education regarding opioids</t>
  </si>
  <si>
    <t>Lanken,P. N.;Novack,D. H.;Daetwyler,C.;Gallop,R.;Landis,J. R.;Lapin,J.;Subramaniam,G. A.;Schindler,B. A.</t>
  </si>
  <si>
    <t>Efficacy of an internet-based learning module and small-group debriefing on trainees' attitudes and communication skills toward patients with substance use disorders: results of a cluster randomized controlled trial</t>
  </si>
  <si>
    <t>*Attitude of Health Personnel;Clinical Competence;Cluster Analysis;*Communication;*Computer-Assisted Instruction;*Curriculum;Education, Distance;Humans;Internet;*Internship and Residency;Self Efficacy;Self-Assessment;*Substance-Related Disorders/th Therapy]</t>
  </si>
  <si>
    <t>PURPOSE: To examine whether an Internet-based learning module and small-group debriefing can improve medical trainees' attitudes and communication skills toward patients with substance use disorders (SUDs). METHOD: In 2011-2012, 129 internal and family medicine residents and 370 medical students at two medical schools participated in a cluster randomized controlled trial, which assessed the effect of adding a two-part intervention to the SUDs curricula. The intervention included a self-directed, media-rich Internet-based learning module and a small-group, faculty-led debriefing. Primary study outcomes were changes in self-assessed attitudes in the intervention group (I-group) compared with those in the control group (C-group) (i.e., a difference of differences). For residents, the authors used real-time, Web-based interviews of standardized patients to assess changes in communication skills. Statistical analyses, conducted separately for residents and students, included hierarchical linear modeling, adjusted for site, participant type, cluster, and individual scores at baseline. RESULTS: The authors found no significant differences between the I- and C-groups in attitudes for residents or students at baseline. Compared with those in the C-group, residents, but not students, in the I-group had more positive attitudes toward treatment efficacy and self-efficacy at follow-up (P&lt;.006). Likewise, compared with residents in the C-group, residents in the I-group received higher scores on screening and counseling skills during the standardized patient interview at follow-up (P=.0009). CONCLUSIONS: This intervention produced improved attitudes and communication skills toward patients with SUDs among residents. Enhanced attitudes and skills may result in improved care for these patients.</t>
  </si>
  <si>
    <t>J2: Acad Med; Lanken, Paul N Novack, Dennis H Daetwyler, Christof Gallop, Robert Landis, J Richard Lapin, Jennifer Subramaniam, Geetha A Schindler, Barbara A; ID: 250</t>
  </si>
  <si>
    <t>Lanken, Paul N. Dr. Lanken is associate dean for professionalism and humanism and professor of medicine and medical ethics and health policy, Perelman School of Medicine at the University of Pennsylvania, Philadelphia, Pennsylvania. Dr. Novack is associate dean for medical education and professor of medicine, Drexel University College of Medicine, Philadelphia, Pennsylvania. Dr. Daetwyler is associate professor of family medicine and community and preventive medicine and developer of online resources for medical education, Drexel University College of Medicine, Philadelphia, Pennsylvania. Dr. Gallop is instructor in biostatistics, West Chester University, West Chester, Pennsylvania. Dr. Landis is professor and director, Division of Biostatistics, Department of Biostatistics and Epidemiology, and faculty director, Clinical Research Computing Unit, Perelman School of Medicine at the University of Pennsylvania, Philadelphia, Pennsylvania. Dr. Lapin is director of graduate medical education evaluation and research, Office of Evaluation and Assessment, Perelman School of Medicine at the University of Pennsylvania, Philadelphia, Pennsylvania. Dr. Subramaniam is team leader and medical officer, Center for Clinical Trials Network, National Institute on Drug Abuse, Bethesda, Maryland. Dr. Schindler was vice dean for educational and academic affairs, Drexel University College of Medicine, at the time this study was conducted. She remains professor of psychiatry and pediatrics, Drexel University College of Medicine, Philadelphia, Pennsylvania.</t>
  </si>
  <si>
    <t>http://ovidsp.ovid.com/ovidweb.cgi?T=JS&amp;CSC=Y&amp;NEWS=N&amp;PAGE=fulltext&amp;D=med8&amp;AN=25295964</t>
  </si>
  <si>
    <t>https://dx.doi.org/10.1097/ACM.0000000000000506</t>
  </si>
  <si>
    <t>MEDLINE; Ovid Technologies; Efficacy of an internet-based learning module and small-group debriefing on trainees' attitudes and communication skills toward patients with substance use disorders: results of a cluster randomized controlled trial</t>
  </si>
  <si>
    <t>Larson,P. R.</t>
  </si>
  <si>
    <t>Reporting-bias in surveys of sensitive personal information</t>
  </si>
  <si>
    <t>3; author reply 743</t>
  </si>
  <si>
    <t>Attitude of Health Personnel;*Bias;Denial (Psychology);Humans;*Internship and Residency;New Mexico;Patient Acceptance of Health Care;*Substance-Related Disorders/px Psychology];Truth Disclosure</t>
  </si>
  <si>
    <t>J2: Acad Med; Larson, Paul R Comment on: Acad Med. 2009 Feb;84(2):242-50; PMID: 19174679; ID: 572</t>
  </si>
  <si>
    <t>http://ovidsp.ovid.com/ovidweb.cgi?T=JS&amp;CSC=Y&amp;NEWS=N&amp;PAGE=fulltext&amp;D=med6&amp;AN=20520013</t>
  </si>
  <si>
    <t>https://dx.doi.org/10.1097/ACM.0b013e3181d6c6ea</t>
  </si>
  <si>
    <t>MEDLINE; Ovid Technologies; Reporting-bias in surveys of sensitive personal information</t>
  </si>
  <si>
    <t>Lasswell,A. B.;Liepman,M. R.;McQuade,W. H.;Wolfson,M. A.;Levy,S. M.</t>
  </si>
  <si>
    <t>Comparison of primary care residents' confidence and clinical behavior in treating hypertension versus treating alcoholism</t>
  </si>
  <si>
    <t>*Alcoholism/px Psychology];Alcoholism/th Therapy];Family Practice/ed Education];Female;Health Knowledge, Attitudes, Practice;Humans;*Hypertension/px Psychology];Hypertension/th Therapy];Internal Medicine/ed Education];*Internship and Residency;Male;*Physicians/px Psychology];Rhode Island;Self-Assessment</t>
  </si>
  <si>
    <t>PURPOSE: To compare the self-reported confidence and clinical behaviors of primary care residents in treating alcoholism versus hypertension. METHOD: Eighty-five residents, 36 in family medicine and 49 in primary care internal medicine, representing all years of the three-year training programs at two hospitals affiliated with the Brown University School of Medicine, were surveyed in 1988. Self-report questionnaires elicited demographic data and several responses (ranged on scales of 1, not confident or frequent, to 10, very confident or frequent) about the residents' confidence and frequency of use of clinical behaviors with both alcoholic and hypertensive patients. Paired t-tests were used to compare the responses about hypertension with those about alcoholism. RESULTS: Questionnaires were completed by 54 (63.5%) of the residents. No significant difference was found between the residents' responses by sex or program, but there was a significant difference (p &lt; .0001) between the responses with regard to the two disorders. The residents had more confidence about their management of hypertension (a mean score of 8.81 versus 7.95 for alcoholism). They also reported greater use of appropriate clinical behaviors with hypertensive patients (mean scores in the very confident range of 7.5 to 8.2 compared with means in the moderate range of 4.9 to 7.1 for alcoholism). CONCLUSION: Both the family medicine and the internal medicine residents were significantly more confident in managing all aspects of hypertension than in managing alcoholism, and they reported significantly greater frequency in utilizing appropriate clinical behaviors for hypertension than for alcoholism.</t>
  </si>
  <si>
    <t>J2: Acad Med; Lasswell, A B Liepman, M R McQuade, W H Wolfson, M A Levy, S M; ID: 1250</t>
  </si>
  <si>
    <t>Lasswell, A B. Department of Family Medicine, University of Maryland School of Medicine, Baltimore.</t>
  </si>
  <si>
    <t>http://ovidsp.ovid.com/ovidweb.cgi?T=JS&amp;CSC=Y&amp;NEWS=N&amp;PAGE=fulltext&amp;D=med3&amp;AN=8323655</t>
  </si>
  <si>
    <t>MEDLINE; Ovid Technologies; Comparison of primary care residents' confidence and clinical behavior in treating hypertension versus treating alcoholism</t>
  </si>
  <si>
    <t>Lau,J. T.;Tsui,H. Y.;Lam,L. T.;Lau,M.</t>
  </si>
  <si>
    <t>Cross-boundary substance uses among Hong Kong Chinese young adults</t>
  </si>
  <si>
    <t>Journal of Urban Health</t>
  </si>
  <si>
    <t>Adolescent;Adult;China;Cross-Sectional Studies;Drug and Narcotic Control;Female;Hong Kong/ep Epidemiology];Humans;Male;Peer Group;Perception;*Psychotropic Drugs/ad Administration &amp; Dosage];Psychotropic Drugs/ec Economics];Sex Factors;Sexual Behavior/px Psychology];Sexual Behavior/sn Statistics &amp; Numerical Data];Socioeconomic Factors;*Substance-Related Disorders/ep Epidemiology];0 (Psychotropic Drugs)</t>
  </si>
  <si>
    <t>The study documents the characteristics of Hong Kong residents who used substances in mainland China. Characteristics of such users were compared with those using substances elsewhere. A cross-sectional survey was used. Data analyses were stratified by gender, and multivariate analyses were performed. Respondents, Hong Kong adults aged 18-30 (n = 6,528), were interviewed using a mixed interviewer and computerized mobile phone method, at the Hong Kong-mainland China boundary. Cross-border substance users and other types of substance users had characteristics that were quite different (e.g., education level, perceived harmfulness of substance use in general, having friends who frequently used substances in mainland China). Cross-boundary substance users also found it easier to obtain substances in mainland China than in Hong Kong (males: 60.5%, females: 39.6%) and perceived no chance of being arrested in mainland China because of substance use (men: 28.8%, women: 24.5%). They tended to use substances in discos/rave parties together with friends (men: 77%, women: 81%), and substances were often obtained for free (men: 63.2%, women: 78%). Ecstasy and ketamine were often used (men: 86.5% &amp; 79.4%, women: 81% &amp; 70.2%), and multiple uses of different substances were common (men: 81.3%, women: 68.6%). Lower price, peer influence, and better availability were reasons behind cross-boundary substance use behaviors. Cross-boundary substance users have specific characteristics. Prevention policies should take these characteristics into account. Regional collaborations are highly warranted.</t>
  </si>
  <si>
    <t>J2: J Urban Health; Lau, Joseph T F Tsui, Hi Yi Lam, Lawrence T Lau, Mason; ID: 722</t>
  </si>
  <si>
    <t>1099-3460</t>
  </si>
  <si>
    <t>Lau, Joseph T F. Centre for Epidemiology and Biostatistics, School of Public Health, Faculty of Medicine, The Chinese University of Hong Kong, School of Public Health, Prince of Wales Hospital, Shatin, NT, Hong Kong. jlau@cuhk.edu.hk</t>
  </si>
  <si>
    <t>http://ovidsp.ovid.com/ovidweb.cgi?T=JS&amp;CSC=Y&amp;NEWS=N&amp;PAGE=fulltext&amp;D=med5&amp;AN=17610070</t>
  </si>
  <si>
    <t>MEDLINE; Ovid Technologies; Cross-boundary substance uses among Hong Kong Chinese young adults</t>
  </si>
  <si>
    <t>Lavenhar,M. A.;Sheffet,A.;Du Val,H.;Louria,D. B.</t>
  </si>
  <si>
    <t>The New Jersey Medical School Narcotics Case Register: methodology and summary of first four years of operation</t>
  </si>
  <si>
    <t>Addictive Diseases</t>
  </si>
  <si>
    <t>Addict.Dis.</t>
  </si>
  <si>
    <t>Ambulatory Care;Ethnic Groups;Evaluation Studies as Topic;Female;Hospitals, Psychiatric;Humans;Legislation, Drug;Male;New Jersey;*Registries;Residential Treatment;*Schools, Medical;Sex Factors;*Substance-Related Disorders/ep Epidemiology]</t>
  </si>
  <si>
    <t>J2: Addict Dis; Lavenhar, M A Sheffet, A Du Val, H Louria, D B; ID: 1550</t>
  </si>
  <si>
    <t>0094-0267</t>
  </si>
  <si>
    <t>http://ovidsp.ovid.com/ovidweb.cgi?T=JS&amp;CSC=Y&amp;NEWS=N&amp;PAGE=fulltext&amp;D=med1&amp;AN=1163354</t>
  </si>
  <si>
    <t>MEDLINE; Ovid Technologies; The New Jersey Medical School Narcotics Case Register: methodology and summary of first four years of operation</t>
  </si>
  <si>
    <t>Lawner,K.;Doot,M.;Gausas,J.;Doot,J.;See,C.</t>
  </si>
  <si>
    <t>Implementation of CAGE alcohol screening in a primary care practice</t>
  </si>
  <si>
    <t>*Alcoholism/pc Prevention &amp; Control];Chi-Square Distribution;Documentation;Family Practice/st Standards];*Family Practice/sn Statistics &amp; Numerical Data];Humans;*Internship and Residency/st Standards];Longitudinal Studies;Mass Screening/mt Methods];*Mass Screening/ut Utilization];*Professional Practice/st Standards];Program Evaluation</t>
  </si>
  <si>
    <t>BACKGROUND AND OBJECTIVES: Alcoholism is a common problem in primary care. Although the four-question CAGE screening tool was developed for use by primary care physicians, studies show that the questionnaire is still not widely used in clinical practice. This study tested the effectiveness of an intervention to increase physicians' use of the CAGE questions. METHODS: We reviewed medical records charts completed by 15 family practice residents for documented alcoholism screening, both before and after an educational intervention. The intervention included modification of examination forms to include the CAGE questions, as well as written feedback from faculty members regarding residents' documentation of alcohol screening. RESULTS: We reviewed a total of 170 pre- and 227 post-intervention charts. Following educational intervention, documentation of quantity/frequency of alcohol beverage consumption increased from 26.5% to 93%. The use of CAGE screening increased from 5.9% to 76.7%. For post-intervention charts that documented using the four CAGE questions, 12.6% showed one or more positive responses. Of these charts, 27% documented physician intervention such as a warning or referral for treatment of alcohol-related problems. CONCLUSIONS: Our educational intervention was a successful way to improve physicians' use of CAGE questions to screen for alcoholism.</t>
  </si>
  <si>
    <t>J2: Fam Med; Lawner, K Doot, M Gausas, J Doot, J See, C; ID: 1133</t>
  </si>
  <si>
    <t>Lawner, K. Department of Family Practice, Lutheran General Hospital/Advocate, Park Ridge, Ill, USA.</t>
  </si>
  <si>
    <t>http://ovidsp.ovid.com/ovidweb.cgi?T=JS&amp;CSC=Y&amp;NEWS=N&amp;PAGE=fulltext&amp;D=med4&amp;AN=9165285</t>
  </si>
  <si>
    <t>MEDLINE; Ovid Technologies; Implementation of CAGE alcohol screening in a primary care practice</t>
  </si>
  <si>
    <t>Lawson,K. A.;Wilcox,R. E.;Littlefield,J. H.;Pituch,K. A.;Erickson,C. K.</t>
  </si>
  <si>
    <t>Educating treatment professionals about addiction science research: demographics of knowledge and belief changes</t>
  </si>
  <si>
    <t>Adolescent;Adult;Aged;Biomedical Research/td Trends];*Education, Medical, Continuing;Female;*Health Knowledge, Attitudes, Practice;*Health Personnel;Health Policy;Humans;Male;Middle Aged;*Substance-Related Disorders/th Therapy]</t>
  </si>
  <si>
    <t>Communication of accurate, objective, and timely scientific information to treatment professionals is important--especially in the "drug abuse" and addiction field where misinformation and a lack of exposure to new information are common. The purpose of this study was to assess knowledge and belief changes that accompanied educational workshops (3 or 6 hr-long) on addiction science targeted to treatment professionals (N=1403) given in the United States and Puerto Rico between July 2000 and August 2001. Each workshop covered three main concepts: (1) terms and definitions; (2) basic neurochemistry of addiction; and (3) how new neurobiological knowledge will affect the treatment of addictions in the future. Analysis of variance was used to compare mean pretest to posttest change scores among levels of four independent variables: gender, age, occupation/position, and race/ethnicity. Workshop participants achieved a significant improvement in knowledge about addiction with younger groups achieving greater gains. Participants' beliefs shifted in the desired direction. Significant differences in belief shifts occurred among occupational and gender groups, but not among race/ethnicity or age groups. There was also a consistent change in the policy belief subscale that related to how strongly the audience members believed research on addiction was important. We conclude that addiction science education provided to treatment professionals can increase their knowledge and change their beliefs about the causes of addictions. In addition, the workshop participants form a base of constituents who are likely to support greater addiction research funding.</t>
  </si>
  <si>
    <t>J2: Subst Use Misuse; Lawson, Kenneth A Wilcox, Richard E Littlefield, John H Pituch, Keenan A Erickson, Carlton K; ID: 889</t>
  </si>
  <si>
    <t>Lawson, Kenneth A. College of Pharmacy, The University of Texas at Austin, Austin, Texas 78712-0127, USA. kenlawson@mail.utexas.edu</t>
  </si>
  <si>
    <t>http://ovidsp.ovid.com/ovidweb.cgi?T=JS&amp;CSC=Y&amp;NEWS=N&amp;PAGE=fulltext&amp;D=med5&amp;AN=15461020</t>
  </si>
  <si>
    <t>MEDLINE; Ovid Technologies; Educating treatment professionals about addiction science research: demographics of knowledge and belief changes</t>
  </si>
  <si>
    <t>Lazzarino,A. I.;Colzani,E.;Perata,E.</t>
  </si>
  <si>
    <t>Survey of the Council of Residents of the Italian Society of Hygiene (SItI) on the smoking habits of physicians training in Hygiene and Preventive Medicine.]</t>
  </si>
  <si>
    <t>Igiene e Sanita Pubblica</t>
  </si>
  <si>
    <t>Habits;Humans;Hygiene;Physicians;*Smoking;Smoking Prevention;*Surveys and Questionnaires</t>
  </si>
  <si>
    <t>This study was conducted on a sample of physicians training in Hygiene and Preventive medicine to evaluate their: smoking habits, awareness of the effects of cigarette smoke on health and attitudes regarding antismoking legislation. Data was obtained through administration of an anonymous questionnaire. A total of 220 physicians were interviewed: 27% was found to be a smoker while 45% of smokers stated that they did not want to quit smoking. These results are similar to those obtained for the general population. Amongst the residents of the various schools of specialisation, there are large differences in habits, awareness and attitudes towards smoke: a lack of professional training on the subject is present.</t>
  </si>
  <si>
    <t>J2: Ig Sanita Pubbl; Italian Lazzarino, Antonio Ivan Colzani, Edoardo Perata, Edea; OP: Indagine della Consulta degli Specializzandi SItI sul fumo di sigaretta tra i medici in formazione nelle scuole di specializzazione in Igiene e Medicina Preventiva: uno studio trasversale; ID: 186</t>
  </si>
  <si>
    <t>0019-1639</t>
  </si>
  <si>
    <t>Lazzarino, Antonio Ivan. Scuola di Specializzazione in Igiene e Medicina Preventiva - II Facolta di Medicina e Chirurgia - Universita di Roma "La Sapienza". Dipartimento di Scienze di Sanita Pubblica "G. Sanarelli" - Sezione "Sant'Andrea"</t>
  </si>
  <si>
    <t>http://ovidsp.ovid.com/ovidweb.cgi?T=JS&amp;CSC=Y&amp;NEWS=N&amp;PAGE=fulltext&amp;D=med5&amp;AN=17206241</t>
  </si>
  <si>
    <t>MEDLINE; Ovid Technologies; [Survey of the Council of Residents of the Italian Society of Hygiene (SItI) on the smoking habits of physicians training in Hygiene and Preventive Medicine.]</t>
  </si>
  <si>
    <t>Le Foll,B.;Gorelick,D. A.;Goldberg,S. R.</t>
  </si>
  <si>
    <t>The future of endocannabinoid-oriented clinical research after CB1 antagonists</t>
  </si>
  <si>
    <t>Psychopharmacology</t>
  </si>
  <si>
    <t>Psychopharmacology (Berl.)</t>
  </si>
  <si>
    <t>*Cannabinoid Receptor Modulators/me Metabolism];*Clinical Trials as Topic;*Endocannabinoids;Humans;Obesity/dt Drug Therapy];*Receptor, Cannabinoid, CB1/ai Antagonists &amp; Inhibitors];0 (Cannabinoid Receptor Modulators);0 (Endocannabinoids);0 (Receptor, Cannabinoid, CB1)</t>
  </si>
  <si>
    <t>INTRODUCTION: Great interest has been shown by the medical community and the public in the cannabinoid CB(1) receptor antagonists, such as rimonabant, for treatment of obesity, metabolic syndrome, and possibly drug addiction. DISCUSSION: This novel class of drug has therapeutic potential for other disorders, as the endocannabinoid system is involved in various health conditions. However, rimonabant, the first clinically available member of this class of drugs, has been linked to increased risk of anxiety, depression, and suicidality. Due to those risks, the European Medicines Agency called for its withdrawal from the market in October, 2008. Shortly after this decision, several pharmaceutical companies (Sanofi-aventis, Merck, Pfizer, Solvay) announced that they would stop further clinical research on this class of drug. Here, we provide an overview of those events and make several suggestions for continuing such clinical research, while safeguarding the safety of patients and clinical trial subjects.</t>
  </si>
  <si>
    <t>J2: Psychopharmacology (Berl); Le Foll, Bernard Gorelick, David A Goldberg, Steven R; ID: 626</t>
  </si>
  <si>
    <t>1432-2072</t>
  </si>
  <si>
    <t>Le Foll, Bernard. Translational Addiction Research Laboratory, Centre for Addiction and Mental Health, University of Toronto, 33 Russell Street, M5S 2S1, Toronto, ON, Canada. bernard_lefoll@camh.net</t>
  </si>
  <si>
    <t>http://ovidsp.ovid.com/ovidweb.cgi?T=JS&amp;CSC=Y&amp;NEWS=N&amp;PAGE=fulltext&amp;D=medc&amp;AN=19300982</t>
  </si>
  <si>
    <t>https://dx.doi.org/10.1007/s00213-009-1506-7</t>
  </si>
  <si>
    <t>MEDLINE; Ovid Technologies; The future of endocannabinoid-oriented clinical research after CB1 antagonists</t>
  </si>
  <si>
    <t>Le,F.;Ahern,J.;Galea,S.</t>
  </si>
  <si>
    <t>NIHMS214363; Neighborhood education inequality and drinking behavior</t>
  </si>
  <si>
    <t>Adult;Aged;Aged, 80 and over;*Alcohol Drinking/ep Epidemiology];Cohort Studies;*Educational Status;Female;Humans;Income;Interviews as Topic;Male;Middle Aged;New York;*Residence Characteristics;Social Class;Social Environment;Socioeconomic Factors;Young Adult</t>
  </si>
  <si>
    <t>BACKGROUND: The neighborhood distribution of education (education inequality) may influence substance use among neighborhood residents. METHODS: Using data from the New York Social Environment Study (conducted in 2005; n=4000), we examined the associations of neighborhood education inequality (measured using Gini coefficients of education) with alcohol use prevalence and levels of alcohol consumption among alcohol users. Analyses were adjusted for neighborhood education level, income level and income inequality, as well as for individual demographic and socioeconomic characteristics and history of drinking prior to residence in the current neighborhood. Neighborhood social norms about drinking were examined as a possible mediator. RESULTS: In adjusted generalized estimating equation regression models, one-standard-deviation-higher education inequality was associated with 1.18 times higher odds of alcohol use (logistic regression odds ratio=1.18, 95% confidence interval 1.08-1.30) but 0.79 times lower average daily alcohol consumption among alcohol users (Poisson regression relative rate=0.79, 95% confidence interval 0.68-0.92). The results tended to differ in magnitude depending on respondents' individual educational levels. There was no evidence that these associations were mediated by social drinking norms, although norms did vary with education inequality. CONCLUSIONS: Our results provide further evidence of a relation between education inequality and drinking behavior while illustrating the importance of considering different drinking outcomes and heterogeneity between neighborhood subgroups. Future research could fruitfully consider other potential mechanisms, such as alcohol availability or the role of stress; research that considers multiple mechanisms and their combined effects may be most informative.</t>
  </si>
  <si>
    <t>J2: Drug Alcohol Depend; Le, Felice Ahern, Jennifer Galea, Sandro; ID: 533</t>
  </si>
  <si>
    <t>Le, Felice. Division of Epidemiology, University of California, Berkeley School of Public Health, 101 Haviland Hall, Berkeley, CA 94720, USA. felicele@umich.edu</t>
  </si>
  <si>
    <t>http://ovidsp.ovid.com/ovidweb.cgi?T=JS&amp;CSC=Y&amp;NEWS=N&amp;PAGE=fulltext&amp;D=med6&amp;AN=20541875</t>
  </si>
  <si>
    <t>https://dx.doi.org/10.1016/j.drugalcdep.2010.05.005</t>
  </si>
  <si>
    <t>MEDLINE; Ovid Technologies; Neighborhood education inequality and drinking behavior</t>
  </si>
  <si>
    <t>Le,K. B.;Johnson,J. A.;Seale,J. P.;Woodall,H.;Clark,D. C.;Parish,D. C.;Miller,D. P.</t>
  </si>
  <si>
    <t>Primary care residents lack comfort and experience with alcohol screening and brief intervention: a multi-site survey</t>
  </si>
  <si>
    <t>Adult;*Alcohol-Related Disorders/pc Prevention &amp; Control];Cross-Sectional Studies;Early Medical Intervention;Health Surveys;Humans;Internal Medicine;*Internship and Residency/mt Methods];*Mass Screening/mt Methods];*Primary Health Care/mt Methods]</t>
  </si>
  <si>
    <t>BACKGROUND: Approximately one in six adults in the United States (U.S.) binge drinks. The U.S. Preventive Services Task Force recommends that primary care physicians screen patients for such hazardous alcohol use, and when warranted, deliver a brief intervention. OBJECTIVE: We aimed to determine primary care residents' current practices, perceived barriers and confidence with conducting alcohol screening and brief interventions (SBI). DESIGN: This was a multi-site, cross-sectional survey conducted from March 2010 through December 2012. PARTICIPANTS: We invited all residents in six primary care residency programs (three internal medicine programs and three family medicine programs) to participate. Of 244 residents, 210 completed the survey (response rate 86 %). MAIN MEASURES: Our survey assessed residents' alcohol screening practices (instruments used and frequency of screening), perceived barriers to discussing alcohol, brief intervention content, and self-rated ability to help hazardous drinkers. To determine the quality of brief interventions delivered, we examined how often residents reported including the three key recommended elements of feedback, advice, and goal-setting. KEY RESULTS: Most residents (60 %, 125/208) reported "usually" or "always" screening patients for alcohol misuse at the initial clinic visit, but few residents routinely screened patients at subsequent acute-care (17 %, 35/208) or chronic-care visits (33 %, 68/208). Only 19 % (39/210) of residents used screening instruments capable of detecting binge drinking. The most frequently reported barrier to SBI was lack of adequate training (54 %, 108/202), and only 21 % (43/208) of residents felt confident they could help at -risk drinkers. When residents did perform a brief intervention, only 24 % (49/208) "usually" or "always" included the three recommended elements. CONCLUSIONS: A minority of residents in this multi-site study appropriately screen or intervene with at-risk alcohol users. To equip residents to effectively address hazardous alcohol use, there is a critical need for educational and clinic interventions to support alcohol-related SBI.</t>
  </si>
  <si>
    <t>J2: J Gen Intern Med; Le, Kristy Barnes Johnson, J Aaron Seale, J Paul Woodall, Hunter Clark, Denice C Parish, David C Miller, David P; ID: 198</t>
  </si>
  <si>
    <t>Le, Kristy Barnes. Department of Internal Medicine, Wake Forest School of Medicine, Medical Center Boulevard, Winston-Salem, NC, USA, kle@wakehealth.edu.</t>
  </si>
  <si>
    <t>http://ovidsp.ovid.com/ovidweb.cgi?T=JS&amp;CSC=Y&amp;NEWS=N&amp;PAGE=fulltext&amp;D=med8&amp;AN=25666210</t>
  </si>
  <si>
    <t>https://dx.doi.org/10.1007/s11606-015-3184-y</t>
  </si>
  <si>
    <t>MEDLINE; Ovid Technologies; Primary care residents lack comfort and experience with alcohol screening and brief intervention: a multi-site survey</t>
  </si>
  <si>
    <t>Lebedev,B. A.;Vanchakova,N. P.</t>
  </si>
  <si>
    <t>Experience with subinternship in psychiatry and drug abuse (discussion)]</t>
  </si>
  <si>
    <t>Zhurnal Nevropatologii i Psikhiatrii Imeni S - S - Korsakova</t>
  </si>
  <si>
    <t>l37</t>
  </si>
  <si>
    <t>*Clinical Clerkship/td Trends];*Drug and Narcotic Control;Humans;*Internship and Residency/td Trends];*Psychiatry/ed Education];Psychiatry/td Trends];Substance-Related Disorders/pc Prevention &amp; Control];*Substance-Related Disorders/th Therapy];Ussr</t>
  </si>
  <si>
    <t>J2: Zh Nevropatol Psikhiatr Im S S Korsakova; Russian Lebedev, B A Vanchakova, N P; OP: Opyt subordinatury po psikhiatrii i narkologii (obsuzhdenie); ID: 1281</t>
  </si>
  <si>
    <t>0044-4588</t>
  </si>
  <si>
    <t>http://ovidsp.ovid.com/ovidweb.cgi?T=JS&amp;CSC=Y&amp;NEWS=N&amp;PAGE=fulltext&amp;D=med3&amp;AN=1319629</t>
  </si>
  <si>
    <t>MEDLINE; Ovid Technologies; [Experience with subinternship in psychiatry and drug abuse (discussion)]</t>
  </si>
  <si>
    <t>Lecky,J. H.;Aukburg,S. J.;Conahan,T. J., 3;Geer,R. T.;Ominsky,A. J.;Gross,J.;Muravchick,S.;Wollman,H.</t>
  </si>
  <si>
    <t>A departmental policy addressing chemical substance abuse</t>
  </si>
  <si>
    <t>*Anesthesiology/st Standards];Humans;*Physician Impairment;Schools, Medical;*Substance-Related Disorders/ep Epidemiology]</t>
  </si>
  <si>
    <t>Substance abuse is a major socioeconomic problem. However, the ready availability of potent narcotic and sedative drugs probably constitutes a unique risk for anesthesiologists. Until recently, few anesthesia departments were prepared to recognize or safely manage afflicted colleagues. Because we felt it important to educate our staff and residents and to have a response mechanism established prior to the advent of a substance abuse problem, a departmental committee was formed to develop a Substance Abuse Policy. The policy has served to increase our general awareness and to direct our actions effectively when dealing with physician impairment. It is presented here in the belief that other departments might find it useful in tailoring their approach to this problem.</t>
  </si>
  <si>
    <t>J2: Anesthesiology; Lecky, J H Aukburg, S J Conahan, T J 3rd Geer, R T Ominsky, A J Gross, J Muravchick, S Wollman, H; ID: 1442</t>
  </si>
  <si>
    <t>http://ovidsp.ovid.com/ovidweb.cgi?T=JS&amp;CSC=Y&amp;NEWS=N&amp;PAGE=fulltext&amp;D=med2&amp;AN=3767040</t>
  </si>
  <si>
    <t>MEDLINE; Ovid Technologies; A departmental policy addressing chemical substance abuse</t>
  </si>
  <si>
    <t>Lee,B. K.;Yanicki,S. M.;Solowoniuk,J.</t>
  </si>
  <si>
    <t>Value of a health behavior change reflection assignment for health promotion learning</t>
  </si>
  <si>
    <t>Adolescent;Adult;Canada;Education, Medical, Undergraduate;Female;Focus Groups;*Health Promotion;Humans;*Learning;Male;Middle Aged;*Risk Reduction Behavior;*Students, Medical/px Psychology];*Thinking;Young Adult</t>
  </si>
  <si>
    <t>INTRODUCTION: Health promotion is a recognized competency in the preparation and education of Addictions Counseling students. This qualitative study explores the value of a reflection assignment in an undergraduate health promotion course at the University of Lethbridge, Canada, towards developing Addictions Counseling students' health promotion competency. METHOD: In the course, students attempted a health behavior change of their own choosing, reflected on their experiences and completed a reflection paper. Thematic analysis was conducted on students' reflection papers (n=21) and on a transcript of a focus group with four students to generate a description of students' perceived value of the assignment for their learning, personal health, and future health promotion practice in the field of Addictions Counseling. RESULTS: Three themes marked students perceived increased capacity for healthy behavior and health promotion: (1) facilitating the change process; (2) integrating experiential and theoretical learning about health; and (3) growing as a health promotion practitioner and as a person with expanding capacity for health. DISCUSSION: This reflection assignment shows potential as both a learning process supporting future professional practice and as a tool for promoting health among undergraduate students.</t>
  </si>
  <si>
    <t>J2: Educ Health; Lee, B K Yanicki, S M Solowoniuk, J; ID: 463</t>
  </si>
  <si>
    <t>1469-5804</t>
  </si>
  <si>
    <t>Lee, B K. University of Lethbridge, Lethbridge, Alberta, Canada. bonnie.lee@uleth.ca</t>
  </si>
  <si>
    <t>http://ovidsp.ovid.com/ovidweb.cgi?T=JS&amp;CSC=Y&amp;NEWS=N&amp;PAGE=fulltext&amp;D=med7&amp;AN=22081654</t>
  </si>
  <si>
    <t>MEDLINE; Ovid Technologies; Value of a health behavior change reflection assignment for health promotion learning</t>
  </si>
  <si>
    <t>Lee,C. S.;Abrantes,A. M.;Colby,S. M.;Lopez,S. R.;Jordan,T. J.</t>
  </si>
  <si>
    <t>NIHMS193443; Medical student judgments of adolescents with alcohol use disorders (AUD)</t>
  </si>
  <si>
    <t>Adolescent;*Adolescent Behavior/px Psychology];Adult;African Americans/px Psychology];African Americans/sn Statistics &amp; Numerical Data];Alcohol Drinking/px Psychology];*Alcohol-Related Disorders/di Diagnosis];Alcohol-Related Disorders/px Psychology];Alcoholism/di Diagnosis];Alcoholism/px Psychology];*Attitude to Health;Clinical Competence;Curriculum/st Standards];Education, Medical/st Standards];European Continental Ancestry Group/px Psychology];European Continental Ancestry Group/sn Statistics &amp; Numerical Data];Female;Humans;*Judgment;Male;Probability;Sex Factors;*Students, Medical/px Psychology];Surveys and Questionnaires</t>
  </si>
  <si>
    <t>UNLABELLED: The clinical encounter presents opportunities for detection and intervention of adolescent alcohol use disorders (AUDs). AIMS: Investigate (a) identification rate of AUDs, (b) whether AUD identification predicts clinical judgment, and (c) patient characteristics influences on clinical judgment. Medical students (n=123) read a case study and completed questions on diagnosis and clinical judgment. Twenty-five percent of participants identified AUD adolescents, who were more negatively rated than non-AUD adolescents. Prior clinical experience and addiction training predicted AUD identification. Patient race and gender influenced clinical judgment ratings. Addictions training is needed to improve identification rates. Study limitations are noted.</t>
  </si>
  <si>
    <t>J2: Subst Use Misuse; Lee, Christina S Abrantes, Ana M Colby, Suzanne M Lopez, Steven R Jordan, Theresa J; ID: 683</t>
  </si>
  <si>
    <t>Lee, Christina S. Department of Community Health, Center for Alcohol and Addiction Studies, Butler Hospital and Brown Medical School, Brown University, Providence, Rhode Island 02912, USA. Christina_Lee@Brown.edu</t>
  </si>
  <si>
    <t>http://ovidsp.ovid.com/ovidweb.cgi?T=JS&amp;CSC=Y&amp;NEWS=N&amp;PAGE=fulltext&amp;D=med6&amp;AN=18393085</t>
  </si>
  <si>
    <t>https://dx.doi.org/10.1080/10826080701202791</t>
  </si>
  <si>
    <t>MEDLINE; Ovid Technologies; Medical student judgments of adolescents with alcohol use disorders (AUD)</t>
  </si>
  <si>
    <t>Lee,J. D.;Triola,M.;Gillespie,C.;Gourevitch,M. N.;Hanley,K.;Truncali,A.;Zabar,S.;Kalet,A.</t>
  </si>
  <si>
    <t>Working with patients with alcohol problems: a controlled trial of the impact of a rich media web module on medical student performance</t>
  </si>
  <si>
    <t>*Alcoholism/di Diagnosis];Alcoholism/th Therapy];*Computer-Assisted Instruction;*Education, Medical, Undergraduate;Educational Measurement;Humans;*Internet;*Medical History Taking</t>
  </si>
  <si>
    <t>INTRODUCTION/AIMS: We designed an interactive web module to improve medical student competence in screening and interventions for hazardous drinking. We assessed its impact on performance with a standardized patient (SP) vs. traditional lecture. SETTING: First year medical school curriculum. PROGRAM DESCRIPTION: The web module included pre/posttests, Flash(c), and text didactics. It centered on videos of two alcohol cases, each contrasting a novice with an experienced physician interviewer. The learner free-text critiqued each clip then reviewed expert analysis. PROGRAM EVALUATION: First year medical students conveniently assigned to voluntarily complete a web module (N = 82) or lecture (N = 81) were rated by a SP in a later alcohol case. Participation trended higher (82% vs. 72%, p &lt; .07) among web students, with an additional 4 lecture-assigned students crossing to the web module. The web group had higher mean scores on scales of individual components of brief intervention (assessment and decisional balance) and a brief intervention composite score (1-13 pt.; 9 vs. 7.8, p &lt; .02) and self-reported as better prepared for the SP case. CONCLUSIONS: A web module for alcohol use interview skills reached a greater proportion of voluntary learners and was associated with equivalent overall performance scores and higher brief intervention skills scores on a standardized patient encounter.</t>
  </si>
  <si>
    <t>J2: J Gen Intern Med; Lee, Joshua D Triola, Marc Gillespie, Colleen Gourevitch, Marc N Hanley, Kathleen Truncali, Andrea Zabar, Sondra Kalet, Adina; ID: 675</t>
  </si>
  <si>
    <t>Lee, Joshua D. Division of General Internal Medicine, New York University School of Medicine, New York, NY, USA. joshua.lee@med.nyu.edu</t>
  </si>
  <si>
    <t>http://ovidsp.ovid.com/ovidweb.cgi?T=JS&amp;CSC=Y&amp;NEWS=N&amp;PAGE=fulltext&amp;D=med6&amp;AN=18612733</t>
  </si>
  <si>
    <t>https://dx.doi.org/10.1007/s11606-008-0557-5</t>
  </si>
  <si>
    <t>MEDLINE; Ovid Technologies; Working with patients with alcohol problems: a controlled trial of the impact of a rich media web module on medical student performance</t>
  </si>
  <si>
    <t>Lee,K. S.;Conigrave,K. M.;Clough,A. R.;Dobbins,T. A.;Jaragba,M. J.;Patton,G. C.</t>
  </si>
  <si>
    <t>Five-year longitudinal study of cannabis users in three remote Aboriginal communities in Arnhem Land, Northern Territory, Australia</t>
  </si>
  <si>
    <t>Adolescent;Adult;Cannabis;Cohort Studies;Female;Follow-Up Studies;Humans;Longitudinal Studies;Male;*Marijuana Abuse/eh Ethnology];Marijuana Abuse/px Psychology];Marijuana Abuse/th Therapy];Northern Territory/eh Ethnology];*Oceanic Ancestry Group/eh Ethnology];Oceanic Ancestry Group/px Psychology];*Rural Population;Young Adult</t>
  </si>
  <si>
    <t>INTRODUCTION AND AIMS: To examine predictors of cannabis use at 5 year follow up in an Australian Aboriginal cohort. DESIGN AND METHODS: A longitudinal study consisting of two waves of data collection 5 years apart was conducted. Of the 100 Aboriginal residents (aged 13-36 years) interviewed about cannabis use in 2001, 83 were re-interviewed in 2005-2006 from three remote communities in Arnhem Land, Northern Territory, Australia. Self-reported cannabis use was categorised at each time point (none; former use, quit &gt; or = 3 months; lighter use,  or = 6 cones, daily) and summarised as any current use, heavy use, dependence or cessation. Other substance use, employment and involvement in school or training were also compiled. RESULTS: Most respondents who reported cannabis use at baseline again reported use at follow up. A history of petrol sniffing predicted later heavy cannabis use (P &lt; 0.05). Trends were evident for men to have persisting cannabis use, and for employment and/or engagement in school or training to be associated with cannabis cessation. DISCUSSION AND CONCLUSIONS: Ongoing heavy cannabis use is commonplace in this Aboriginal cohort and raises concerns for the physical, social and psychiatric burden on these already vulnerable communities. Prevention, treatment and intervention programs developed with communities are badly needed.</t>
  </si>
  <si>
    <t>J2: Drug Alcohol Rev; Lee, K S Kylie Conigrave, Katherine M Clough, Alan R Dobbins, Timothy A Jaragba, Muriel J Patton, George C; ID: 570</t>
  </si>
  <si>
    <t>Lee, K S Kylie. School of Public Health, Tropical Medicine and Rehabilitation Sciences, James Cook University, Cairns, Australia. kylie.lee@usyd.edu.au</t>
  </si>
  <si>
    <t>http://ovidsp.ovid.com/ovidweb.cgi?T=JS&amp;CSC=Y&amp;NEWS=N&amp;PAGE=fulltext&amp;D=med6&amp;AN=19930015</t>
  </si>
  <si>
    <t>https://dx.doi.org/10.1111/j.1465-3362.2009.00067.x</t>
  </si>
  <si>
    <t>MEDLINE; Ovid Technologies; Five-year longitudinal study of cannabis users in three remote Aboriginal communities in Arnhem Land, Northern Territory, Australia</t>
  </si>
  <si>
    <t>Lee,M. T.</t>
  </si>
  <si>
    <t>Tobacco reduction advocacy and education for Hawaii's physicians-in-training</t>
  </si>
  <si>
    <t>*Curriculum;*Education, Medical;Hawaii;Humans;*Physician's Role;*Tobacco Use Cessation</t>
  </si>
  <si>
    <t>J2: Hawaii Med J; Lee, Meta T; ID: 938</t>
  </si>
  <si>
    <t>Lee, Meta T. Office of Medical Education, John A. Burns School of Medicine (JABSOM), USA.</t>
  </si>
  <si>
    <t>http://ovidsp.ovid.com/ovidweb.cgi?T=JS&amp;CSC=Y&amp;NEWS=N&amp;PAGE=fulltext&amp;D=med4&amp;AN=12806791</t>
  </si>
  <si>
    <t>MEDLINE; Ovid Technologies; Tobacco reduction advocacy and education for Hawaii's physicians-in-training</t>
  </si>
  <si>
    <t>Lee,M. T.;Hishinuma,E. S.;Derauf,C.;Guerrero,A. P.;Iwaishi,L. K.;Kasuya,R. T.</t>
  </si>
  <si>
    <t>Smoking cessation counseling training for pediatric residents in the continuity clinic setting</t>
  </si>
  <si>
    <t>Adolescent;Adult;Analysis of Variance;*Counseling/ed Education];Cross-Over Studies;Female;Hawaii;Humans;*Internship and Residency;Male;Middle Aged;*Pediatrics/ed Education];*Smoking Cessation</t>
  </si>
  <si>
    <t>OBJECTIVE: To determine the effectiveness of a clinic-based smoking cessation counseling curriculum on pediatric resident confidence, knowledge, counseling skills, and provision of counseling. METHODS: Twenty-six residents at a pediatric residency program completed a new smoking cessation counseling curriculum as part of continuity clinic training. We assigned residents to 2 groups (study group, n = 12 vs control group, n = 14) on the basis of clinic site. We used a quasi-experimental, crossover design with pre- and posttests for each group. Control-group residents served as an initial control before the intervention crossover. Residents were tested at baseline and at completion of each group's intervention. Standardized patients measured resident provision of counseling and quality of counseling during resident continuity clinic. Knowledge and confidence were measured by a written exam and self-administered survey. Analysis of variance with a mixed design assessed overall group differences and group performances over time. RESULTS: There were no baseline differences between groups. Across time, there were significant differences between study-group and control-group residents for confidence (F 2, 48] = 11.82; P &lt;.01), knowledge (F 2, 48] = 6.24; P &lt;.01), and provision of counseling (F 2, 48] = 3.60, P &lt;.05) but not counseling skills (F 2, 48] = 2.44; P &lt;.10). After each group's intervention, their confidence, knowledge, counseling skills, and inclusion of counseling increased significantly (P &lt;.01 for all). CONCLUSIONS: Our findings suggest that a clinic-based curriculum in smoking cessation counseling can significantly increase knowledge, confidence, counseling skills, and provision of counseling. Future research should evaluate the long-term impact of such curricula on resident counseling behavior and patient outcomes.</t>
  </si>
  <si>
    <t>J2: Ambul Pediatr; Lee, Meta T Hishinuma, Earl S Derauf, Chris Guerrero, Anthony P S Iwaishi, Louise K Kasuya, Richard T; ID: 901</t>
  </si>
  <si>
    <t>Lee, Meta T. Department of Pediatrics, University of Hawaii John A. Burns School of Medicine, Honolulu, 96826, USA. meta@hawaii.edu</t>
  </si>
  <si>
    <t>http://ovidsp.ovid.com/ovidweb.cgi?T=JS&amp;CSC=Y&amp;NEWS=N&amp;PAGE=fulltext&amp;D=med5&amp;AN=15264961</t>
  </si>
  <si>
    <t>MEDLINE; Ovid Technologies; Smoking cessation counseling training for pediatric residents in the continuity clinic setting</t>
  </si>
  <si>
    <t>Lee,T.</t>
  </si>
  <si>
    <t>Ask the doctor. I am an 84-year-old woman who recently had stents placed in two coronary arteries. The doctors, of course, told me to quit smoking. I told them, as I have told all of my other doctors, that I have tried to quit but just can't. I have tried the patch and Chantix, but neither worked. Support groups aren't for me. I have cut back, but that's as far as so-called willpower goes. Hearing over and over again that I need to quit leaves me feeling depressed and weak. Is there some news about current or future approaches that might give me and others like me some hope?</t>
  </si>
  <si>
    <t>Harvard Heart Letter</t>
  </si>
  <si>
    <t>Aged, 80 and over;Angioplasty, Balloon, Coronary;Attitude to Health;Coronary Artery Disease/th Therapy];Female;Health Promotion/mt Methods];Humans;*Patient Acceptance of Health Care/px Psychology];*Smoking/px Psychology];Smoking Cessation/mt Methods];*Smoking Cessation/px Psychology];Smoking Prevention</t>
  </si>
  <si>
    <t>J2: Harv Heart Lett; Lee, Thomas; ID: 567</t>
  </si>
  <si>
    <t>1051-5313</t>
  </si>
  <si>
    <t>http://ovidsp.ovid.com/ovidweb.cgi?T=JS&amp;CSC=Y&amp;NEWS=N&amp;PAGE=fulltext&amp;D=med6&amp;AN=20593571</t>
  </si>
  <si>
    <t>MEDLINE; Ovid Technologies; Ask the doctor. I am an 84-year-old woman who recently had stents placed in two coronary arteries. The doctors, of course, told me to quit smoking. I told them, as I have told all of my other doctors, that I have trie(TRUNCATED)</t>
  </si>
  <si>
    <t>Lefebvre,L. G.;Ordean,A.;Midmer,D.;Kahan,M.;Tolomiczenko,G.</t>
  </si>
  <si>
    <t>Physicians' knowledge of alcohol, tobacco and folic acid in pregnancy</t>
  </si>
  <si>
    <t>*Attitude of Health Personnel;*Ethanol;Female;*Folic Acid;Health Education;*Health Knowledge, Attitudes, Practice;Humans;Pregnancy;*Professional Competence;Surveys and Questionnaires;*Tobacco;3K9958V90M (Ethanol);935E97BOY8 (Folic Acid)</t>
  </si>
  <si>
    <t>OBJECTIVE: To assess: (1) physicians' knowledge and clinical confidence regarding problematic substance use in pregnancy compared to folic acid, and (2) physicians' desire for education in this area and their preferred learning modalitiestools. DESIGN: Self-administered survey. SETTING: Family Medicine Forum 2004 in Toronto, Canada. PARTICIPANTS: Physicians attending Family Medicine Forum 2004 in Toronto who provide antenatal care. MAIN OUTCOME MEASURES: Knowledge of folic acid, smoking and alcohol in pregnancy. Clinical confidence and interest in resources regarding problematic substance use in pregnancy. RESULTS: Sixty-six surveys completed. Physicians answered 92.3% of folic acid questions correctly, compared to 82.0% for nicotine and 57.1% for alcohol. Scores were higher on questions about effects of nicotine and alcohol use in pregnancy than on questions about treatment options. A perceived inability to influence clinical outcomes and a lack of professional resources regarding substance use in pregnancy were also identified. Physicians were interested in learning more about problematic substance use in pregnancy, particularly from continuing medical education events, websites and pocket cards. CONCLUSION: Participants' level of knowledge regarding substance use in pregnancy was significantly lower than their knowledge of folic acid, as was their clinical confidence. This lack of knowledge was not attributable to disinterest and clearly more educational resources are needed to address this topic.</t>
  </si>
  <si>
    <t>J2: Subst Abus; Lefebvre, L G Ordean, A Midmer, D Kahan, M Tolomiczenko, G; ID: 638</t>
  </si>
  <si>
    <t>Lefebvre, L G. Department of Family and Community Medicine, University of Toronto, Toronto, Ontario, Canada. Lisa.Lefebvre@utoronto.ca</t>
  </si>
  <si>
    <t>http://ovidsp.ovid.com/ovidweb.cgi?T=JS&amp;CSC=Y&amp;NEWS=N&amp;PAGE=fulltext&amp;D=med5&amp;AN=19263558</t>
  </si>
  <si>
    <t>https://dx.doi.org/10.1300/J465v28n01_02</t>
  </si>
  <si>
    <t>MEDLINE; Ovid Technologies; Physicians' knowledge of alcohol, tobacco and folic acid in pregnancy</t>
  </si>
  <si>
    <t>Lehman,D. J.</t>
  </si>
  <si>
    <t>The role of the county medical society in the community drug abuse problem</t>
  </si>
  <si>
    <t>JFMA - Journal of the Florida Medical Association</t>
  </si>
  <si>
    <t>Arizona;Florida;*Health Education;Humans;*Societies, Medical;*Substance-Related Disorders</t>
  </si>
  <si>
    <t>J2: Jfma; Lehman, D J; ID: 1577</t>
  </si>
  <si>
    <t>0091-6757</t>
  </si>
  <si>
    <t>http://ovidsp.ovid.com/ovidweb.cgi?T=JS&amp;CSC=Y&amp;NEWS=N&amp;PAGE=fulltext&amp;D=med1&amp;AN=4734558</t>
  </si>
  <si>
    <t>MEDLINE; Ovid Technologies; The role of the county medical society in the community drug abuse problem</t>
  </si>
  <si>
    <t>Lembke,A.</t>
  </si>
  <si>
    <t>Why doctors prescribe opioids to known opioid abusers</t>
  </si>
  <si>
    <t>*Analgesics, Opioid/tu Therapeutic Use];*Attitude of Health Personnel;Clinical Competence;Drug Prescriptions;Education, Medical, Continuing;Humans;Opioid-Related Disorders/th Therapy];*Opioid-Related Disorders;*Pain/dt Drug Therapy];Pain/px Psychology];*Patient Satisfaction;*Practice Patterns, Physicians';0 (Analgesics, Opioid)</t>
  </si>
  <si>
    <t>J2: N Engl J Med; Lembke, Anna Comment in: N Engl J Med. 2013 Jan 31;368(5):484-5; PMID: 23363517 Comment in: N Engl J Med. 2013 Jan 31;368(5):485; PMID: 23363516; ID: 407</t>
  </si>
  <si>
    <t>Lembke, Anna. Department of Psychiatry, Stanford University, Stanford, CA, USA.</t>
  </si>
  <si>
    <t>http://ovidsp.ovid.com/ovidweb.cgi?T=JS&amp;CSC=Y&amp;NEWS=N&amp;PAGE=fulltext&amp;D=med7&amp;AN=23094719</t>
  </si>
  <si>
    <t>https://dx.doi.org/10.1056/NEJMp1208498</t>
  </si>
  <si>
    <t>MEDLINE; Ovid Technologies; Why doctors prescribe opioids to known opioid abusers</t>
  </si>
  <si>
    <t>Lembke,A.;Humphreys,K.</t>
  </si>
  <si>
    <t>The Opioid Epidemic as a Watershed Moment for Physician Training in Addiction Medicine</t>
  </si>
  <si>
    <t>J2: Acad Psychiatry; Lembke, Anna Humphreys, Keith; ID: 1632</t>
  </si>
  <si>
    <t>Lembke, Anna. Stanford University, Stanford, CA, USA. alembke@stanford.edu. Humphreys, Keith. Stanford University, Stanford, CA, USA.</t>
  </si>
  <si>
    <t>http://ovidsp.ovid.com/ovidweb.cgi?T=JS&amp;CSC=Y&amp;NEWS=N&amp;PAGE=fulltext&amp;D=prem&amp;AN=29536394</t>
  </si>
  <si>
    <t>https://dx.doi.org/10.1007/s40596-018-0892-8</t>
  </si>
  <si>
    <t>MEDLINE; Ovid Technologies; The Opioid Epidemic as a Watershed Moment for Physician Training in Addiction Medicine</t>
  </si>
  <si>
    <t>Lembke,A.;Humphreys,K.;Newmark,J.</t>
  </si>
  <si>
    <t>Weighing the Risks and Benefits of Chronic Opioid Therapy</t>
  </si>
  <si>
    <t>Acute Pain/dt Drug Therapy];*Analgesics, Opioid/ae Adverse Effects];*Analgesics, Opioid/tu Therapeutic Use];Buprenorphine/tu Therapeutic Use];*Chronic Pain/dt Drug Therapy];*Drug Overdose/dt Drug Therapy];*Drug Overdose/pc Prevention &amp; Control];Education, Medical, Continuing;Humans;Male;Naloxone/tu Therapeutic Use];Opioid-Related Disorders/et Etiology];*Opioid-Related Disorders/pc Prevention &amp; Control];Practice Guidelines as Topic;*Practice Patterns, Physicians'/st Standards];Risk Assessment;United States;0 (Analgesics, Opioid);36B82AMQ7N (Naloxone);40D3SCR4GZ (Buprenorphine)</t>
  </si>
  <si>
    <t>Evidence supports the use of opioids for treating acute pain. However, the evidence is limited for the use of chronic opioid therapy for chronic pain. Furthermore, the risks of chronic therapy are significant and may outweigh any potential benefits. When considering chronic opioid therapy, physicians should weigh the risks against any possible benefits throughout the therapy, including assessing for the risks of opioid misuse, opioid use disorder, and overdose. When initiating opioid therapy, physicians should consider buprenorphine for patients at risk of opioid misuse, opioid use disorder, and overdose. If and when opioid misuse is detected, opioids do not necessarily need to be discontinued, but misuse should be noted on the problem list and interventions should be performed to change the patient's behavior. If aberrant behavior continues, opioid use disorder should be diagnosed and treated accordingly. When patients are discontinuing opioid therapy, the dosage should be decreased slowly, especially in those who have intolerable withdrawal. It is not unreasonable for discontinuation of chronic opioid therapy to take many months. Benzodiazepines should not be coprescribed during chronic opioid therapy or when tapering, because some patients may develop cross-dependence. For patients at risk of overdose, naloxone should be offered to the patient and to others who may be in a position to witness and reverse opioid overdose.</t>
  </si>
  <si>
    <t>J2: Am Fam Physician; Lembke, Anna Humphreys, Keith Newmark, Jordan; ID: 109</t>
  </si>
  <si>
    <t>Lembke, Anna. Stanford University School of Medicine, Stanford, CA, USA. Humphreys, Keith. Stanford University School of Medicine, Stanford, CA, USA. Newmark, Jordan. Stanford University School of Medicine, Stanford, CA, USA.</t>
  </si>
  <si>
    <t>http://ovidsp.ovid.com/ovidweb.cgi?T=JS&amp;CSC=Y&amp;NEWS=N&amp;PAGE=fulltext&amp;D=med8&amp;AN=27304767</t>
  </si>
  <si>
    <t>MEDLINE; Ovid Technologies; Weighing the Risks and Benefits of Chronic Opioid Therapy</t>
  </si>
  <si>
    <t>Leone,F. T.;Evers-Casey,S.;Graden,S.;Schnoll,R.;Mallya,G.</t>
  </si>
  <si>
    <t>Academic Detailing Interventions Improve Tobacco Use Treatment among Physicians Working in Underserved Communities</t>
  </si>
  <si>
    <t>Attitude of Health Personnel;Education, Medical, Continuing/mt Methods];Educational Measurement/mt Methods];Female;Health Care Surveys;Humans;Male;Philadelphia;Physicians, Primary Care/ed Education];Physicians, Primary Care/px Psychology];*Physicians, Primary Care;Poverty;*Practice Patterns, Physicians'/st Standards];Primary Health Care/mt Methods];Primary Health Care/st Standards];*Primary Health Care;Quality Improvement;Self Report;Smoking Cessation/mt Methods];Smoking Cessation/px Psychology];*Smoking Cessation;*Tobacco Use Disorder/th Therapy]</t>
  </si>
  <si>
    <t>RATIONALE: Tobacco use disproportionately affects the poor, who are, in turn, least likely to receive cessation treatment from providers. Providers caring for low-income populations perform simple components of tobacco use treatment (e.g., assessing tobacco use) with reasonable frequency. However, performance of complex treatment behaviors, such as pharmacologic prescription and follow-up arrangement, remains suboptimal. OBJECTIVES: Evaluate the influence of academic detailing (AD), a university-based, noncommercial, educational outreach intervention, on primary care physicians' complex treatment practice behaviors within an urban care setting. METHODS: Trained academic detailers made in-person visits to targeted primary care practices, delivering verbal and written instruction emphasizing three key messages related to tobacco treatment. Physicians' self-reported frequency of simple and complex treatment behaviors were assessed using a seven-item questionnaire, before and 2 months after AD. RESULTS: Between May 2011 and March 2012, baseline AD visits were made to 217 physicians, 109 (50%) of whom also received follow-up AD. Mean frequency scores for complex behaviors increased significantly, from 2.63 to 2.92, corresponding to a clinically significant 30% increase in the number of respondents who endorsed "almost always" or "always" (P &lt; 0.001). Improvement in mean simple behavior frequency scores was also noted (3.98 vs. 4.13; P = 0.035). Sex and practice type appear to influence reported complex behavior frequency at baseline, whereas only practice type influenced improvement in complex behavior scores at follow up. CONCLUSIONS: This study demonstrates the feasibility and potential effectiveness of a low-cost and highly disseminable intervention to improve clinician behavior in the context of treating nicotine dependence in underserved communities.</t>
  </si>
  <si>
    <t>J2: Ann Am Thorac Soc; Leone, Frank T Evers-Casey, Sarah Graden, Sarah Schnoll, Robert Mallya, Giridhar; ID: 196</t>
  </si>
  <si>
    <t>Leone, Frank T. 1 Division of Pulmonary and Critical Care Medicine, Leonard Davis Institute of Health Economics. Leone, Frank T. 2 Comprehensive Smoking Treatment Program. Evers-Casey, Sarah. 2 Comprehensive Smoking Treatment Program. Graden, Sarah. 2 Comprehensive Smoking Treatment Program. Schnoll, Robert. 3 Center for Interdisciplinary Research on Nicotine Addiction, Department of Psychiatry, and the Abramson Cancer Center, University of Pennsylvania, Philadelphia, Pennsylvania; and. Mallya, Giridhar. 4 Philadelphia Department of Public Health, Philadelphia, Pennsylvania.</t>
  </si>
  <si>
    <t>http://ovidsp.ovid.com/ovidweb.cgi?T=JS&amp;CSC=Y&amp;NEWS=N&amp;PAGE=fulltext&amp;D=med8&amp;AN=25867533</t>
  </si>
  <si>
    <t>https://dx.doi.org/10.1513/AnnalsATS.201410-466BC</t>
  </si>
  <si>
    <t>MEDLINE; Ovid Technologies; Academic Detailing Interventions Improve Tobacco Use Treatment among Physicians Working in Underserved Communities</t>
  </si>
  <si>
    <t>Leone,F. T.;Evers-Casey,S.;Veloski,J.;Patkar,A. A.;Kanzleiter,L.;Pennsylvania Continuum of Tobacco,Education work</t>
  </si>
  <si>
    <t>Short-, intermediate-, and long-term outcomes of Pennsylvania's continuum of tobacco education pilot project</t>
  </si>
  <si>
    <t>Clinical Clerkship;*Curriculum;Data Collection;*Education, Medical;Health Knowledge, Attitudes, Practice;Humans;Interviews as Topic;*Outcome Assessment (Health Care);Pennsylvania;Physician-Patient Relations;Pilot Projects;*Smoking Cessation</t>
  </si>
  <si>
    <t>INTRODUCTION: The most effective time to introduce formal tobacco use treatment training for physicians is during the medical school experience. However, few medical schools have adopted standardized curricula, missing an important opportunity to influence future physician behavior. The Pennsylvania Continuum of Tobacco Education pilot project was undertaken from spring 2003 through summer 2005 to evaluate a generalizable method of improving students' knowledge, attitudes, and behaviors related to tobacco use treatment. METHODS: Intervention methods included a 1-day intensive multiformat seminar, followed by a reinforcement session 4 weeks later, within an internal medicine clerkship. Outcome measures included changes in students' attitudes, rates of "ask" and "advise" behaviors during clinical encounters, and performance on end-of-year clinical skills examinations. RESULTS: Short, intermediate, and long-term outcomes related to both smoking assessment and counseling improved as a result of the intervention. The percentage of students who obtained tobacco histories and counseled patients in clerkships increased following the seminar compared with the baseline. Nearly, all students demonstrated relevant skills during a clinical skills assessment at the end of the third year. DISCUSSION: The introduction of a standardized tobacco curriculum into medical school training is both feasible and effective. Results were sustained following the intervention, and the effects were reflected across several valid outcomes.</t>
  </si>
  <si>
    <t>J2: Nicotine Tob Res; Leone, Frank T Evers-Casey, Sarah Veloski, Jon Patkar, Ashwin A Kanzleiter, Linda Pennsylvania Continuum of Tobacco Education work group Weibel S Herman J George J Gingrich D Leong SL Mahoney J Clifton M Shiffman S Vitale F; ID: 629</t>
  </si>
  <si>
    <t>Leone, Frank T. Center for Tobacco Research and Treatment, Jefferson Medical College, Thomas Jefferson University, 834 Walnut Street, Suite 650, Philadelphia, PA 19107, USA. frank.leone@jefferson.edu</t>
  </si>
  <si>
    <t>http://ovidsp.ovid.com/ovidweb.cgi?T=JS&amp;CSC=Y&amp;NEWS=N&amp;PAGE=fulltext&amp;D=med6&amp;AN=19351786</t>
  </si>
  <si>
    <t>https://dx.doi.org/10.1093/ntr/ntp017</t>
  </si>
  <si>
    <t>MEDLINE; Ovid Technologies; Short-, intermediate-, and long-term outcomes of Pennsylvania's continuum of tobacco education pilot project</t>
  </si>
  <si>
    <t>Leong,S. L.;Lewis,P. R.;Curry,W. J.;Gingrich,D. L.</t>
  </si>
  <si>
    <t>Tobacco world: evaluation of a tobacco cessation training program for third-year medical students</t>
  </si>
  <si>
    <t>S25</t>
  </si>
  <si>
    <t>Attitude of Health Personnel;*Clinical Clerkship;Clinical Competence;*Curriculum;*Directive Counseling;*Family Practice/ed Education];Humans;Physician's Role;Pilot Projects;Program Evaluation;Self Efficacy;*Smoking Cessation</t>
  </si>
  <si>
    <t>BACKGROUND: Training in tobacco cessation counseling is deficient in medical schools. Tobacco World, a tobacco cessation training program, was implemented in a family medicine clerkship and subsequently evaluated. METHOD: In the pilot year, students were assigned to either standard clerkship training (comparison group) or a group that also received Tobacco World training (intervention group). All students received intervention training in the second year of the study. A 35-item questionnaire was administered before and after the four-week clerkship to assess knowledge, attitude, and confidence regarding tobacco cessation counseling. RESULTS: Intervention training was highly rated. Students in the intervention group from both years demonstrated significant improvements in some key measurements of knowledge, attitude, confidence, and increased frequency of tobacco cessation counseling. CONCLUSIONS: This smoking cessation training program addresses an underrepresented area of medical school education and has the potential to translate into improved smoking cessation counseling by future physicians.</t>
  </si>
  <si>
    <t>J2: Acad Med; Leong, Shou Ling Lewis, Peter R Curry, William J Gingrich, Dennis L; ID: 664</t>
  </si>
  <si>
    <t>Leong, Shou Ling. Penn State College of Medicine, 500 University Drive H-154, Hershey, PA 17033-0850, USA. sleong@hmc.psu.edu</t>
  </si>
  <si>
    <t>http://ovidsp.ovid.com/ovidweb.cgi?T=JS&amp;CSC=Y&amp;NEWS=N&amp;PAGE=fulltext&amp;D=med6&amp;AN=18820494</t>
  </si>
  <si>
    <t>https://dx.doi.org/10.1097/ACM.0b013e318183e271</t>
  </si>
  <si>
    <t>MEDLINE; Ovid Technologies; Tobacco world: evaluation of a tobacco cessation training program for third-year medical students</t>
  </si>
  <si>
    <t>Lerner,W. D.;Forbes,R. O.;Merlin,S. I.;Barr,M. A.</t>
  </si>
  <si>
    <t>A division of substance abuse medicine in a teaching hospital</t>
  </si>
  <si>
    <t>Education, Medical;Hospitals, Teaching/og Organization &amp; Administration];*Hospitals, Teaching;Internship and Residency;*Substance-Related Disorders;Virginia</t>
  </si>
  <si>
    <t>J2: J Med Educ; Lerner, W D Forbes, R O Merlin, S I Barr, M A; ID: 1446</t>
  </si>
  <si>
    <t>http://ovidsp.ovid.com/ovidweb.cgi?T=JS&amp;CSC=Y&amp;NEWS=N&amp;PAGE=fulltext&amp;D=med2&amp;AN=3723576</t>
  </si>
  <si>
    <t>MEDLINE; Ovid Technologies; A division of substance abuse medicine in a teaching hospital</t>
  </si>
  <si>
    <t>Lesmes,G. R.</t>
  </si>
  <si>
    <t>Corporate healthcare costs and smoke-free environments</t>
  </si>
  <si>
    <t>American Journal of Medicine</t>
  </si>
  <si>
    <t>Am.J.Med.</t>
  </si>
  <si>
    <t>48S</t>
  </si>
  <si>
    <t>54S</t>
  </si>
  <si>
    <t>Efficiency/de Drug Effects];*Employer Health Costs;Environmental Health/ec Economics];*Health Care Costs;Humans;Leadership;Risk Factors;Smoking/ae Adverse Effects];*Smoking/ec Economics];Smoking Cessation;*Tobacco Smoke Pollution/ec Economics];Tobacco Smoke Pollution/pc Prevention &amp; Control];0 (Tobacco Smoke Pollution)</t>
  </si>
  <si>
    <t>Results from two studies were combined to assess potential market impact for programs to reduce health risks, as well as to define how small businesses can better control their healthcare operating expenses, widen their profit margins, and increase their productivity. The most effective solutions resulted from partnerships among the medical, business, and patient communities for the joint implementation of intensive smoking-cessation programs. In the first study, the chief executive officers of 1,100 small businesses in the Chicago area were polled regarding their opinions on healthcare costs. During the 4-year study period, 1986-1990, we observed a significant increase in their recognition of the impact of employee smoking on rising healthcare costs. From this study we identified three profile attributes of small-business leaders. First, these leaders possess a weak knowledge base regarding healthcare cost-containment methods; second, they understand the magnitude of the impact-rising healthcare costs have on corporate profitability; and third, they have a strong level of confidence (85%) that lifestyle modification programs for their employees, such as smoking cessation, can help control healthcare costs. In the second study we found that smoking-cessation programs with physician involvement, addiction assessment and treatment, and behavioral training and follow-up are preferred by those who want to stop smoking. Such programs have also enjoyed the highest level of sustained success.</t>
  </si>
  <si>
    <t>J2: Am J Med; Lesmes, G R; ID: 1278</t>
  </si>
  <si>
    <t>Lesmes, G R. Center for Cardiovascular Research, Northeastern Illinois University, Chicago 60625.</t>
  </si>
  <si>
    <t>http://ovidsp.ovid.com/ovidweb.cgi?T=JS&amp;CSC=Y&amp;NEWS=N&amp;PAGE=fulltext&amp;D=med3&amp;AN=1497004</t>
  </si>
  <si>
    <t>MEDLINE; Ovid Technologies; Corporate healthcare costs and smoke-free environments</t>
  </si>
  <si>
    <t>Leukefeld,C.;Webster,J. M.;Staton-Tindall,M.;Duvall,J.</t>
  </si>
  <si>
    <t>Employment and work among drug court clients: 12-month outcomes</t>
  </si>
  <si>
    <t>Adult;*Crime/sn Statistics &amp; Numerical Data];Demography;Educational Status;Employment/lj Legislation &amp; Jurisprudence];*Employment/sn Statistics &amp; Numerical Data];Female;Follow-Up Studies;Humans;Male;Severity of Illness Index;*Substance-Related Disorders/ep Epidemiology];Substance-Related Disorders/rh Rehabilitation];Time Factors</t>
  </si>
  <si>
    <t>Employment contributes to drug abuse treatment success and is an important treatment outcome (Institute of Medicine, 1990). However, few tailored employment interventions are available. This project developed an employment intervention focused on obtaining, maintaining, and upgrading employment. The current study, approved by an IRB, uses 12-month outcomes to examine intervention dosage effects. Participants were 500 clients who entered two Kentucky drug court programs between March 2000 and November 2002. Measures included demographics, drug/alcohol use, criminality, employment, and education measures from the Addiction Severity Index (McLellan, Luborsky, Woody, and O'Brien, 1980) as well as specific employment measures. To examine the intervention, the number of intervention upgrading sessions attended was divided by the number of possible upgrading sessions. Session attendance percentages were then used to median split into a low upgrading group and a high upgrading group and were compared with the no intervention group. These three groups were used in a series of ANOVA and chi-square analyses to examine differences at 12-month follow-up. When employment, legal work, illegal work, and employment problems were examined for one year and 30 days at follow-up, there were significant effects for jobs in the past year, days worked at a legitimate job in both the past year as well as 30 days, and income from a legitimate job in the past year. Participants in the high upgrade group received maximum employment benefits. Since legal earnings increased and illegal earnings decreased, drug-user treatment programs and practitioners should assess and refer clients to employment interventions. Tailored employment interventions should be tested to keep drug users in treatment and to increase treatment outcome. The study's limitations are noted and future needed research is suggested.</t>
  </si>
  <si>
    <t>J2: Subst Use Misuse; Leukefeld, Carl Webster, J Matthew Staton-Tindall, Michele Duvall, Jamieson; ID: 730</t>
  </si>
  <si>
    <t>Leukefeld, Carl. Center on Drug and Alcohol Research, University of Kentucky, Lexington, Kentucky 40506-0350, USA. cdar@uky.edu</t>
  </si>
  <si>
    <t>http://ovidsp.ovid.com/ovidweb.cgi?T=JS&amp;CSC=Y&amp;NEWS=N&amp;PAGE=fulltext&amp;D=med5&amp;AN=17668328</t>
  </si>
  <si>
    <t>MEDLINE; Ovid Technologies; Employment and work among drug court clients: 12-month outcomes</t>
  </si>
  <si>
    <t>Levin,F. R.;Bisaga,A.;Sullivan,M. A.;Williams,A. R.;Cates-Wessel,K.</t>
  </si>
  <si>
    <t>A review of a national training initiative to increase provider use of MAT to address the opioid epidemic</t>
  </si>
  <si>
    <t>Education/mt Methods];Education/og Organization &amp; Administration];*Education;Humans;Medication Therapy Management/ed Education];*Opiate Substitution Treatment/mt Methods];Opioid-Related Disorders/ep Epidemiology];Opioid-Related Disorders/th Therapy];*Opioid-Related Disorders;*Physicians, Primary Care/ed Education];Public Health/mt Methods];United States/ep Epidemiology]</t>
  </si>
  <si>
    <t>BACKGROUND AND OBJECTIVES: The Providers' Clinical Support System for Medication Assisted Treatment (PCSS-MAT) initiative focuses on training and mentoring health professionals in the treatment of opioid use disorders (OUD) using pharmacological strategies. Led by the American Academy of Addiction Psychiatry (AAAP), PCSS-MAT is a consortium representing four of the five national professional organizations authorized by DATA 2,000-AAAP, American Osteopathic Academy of Addiction Medicine, American Psychiatric Association, and American Society of Addiction Medicine. DATA organizations are authorized to train physicians to prescribe buprenorphine for OUD treatment. The primary aim of PCSS-MAT is to substantially increase evidence-based practices with medications for OUD. METHODS: This review describes the development of PCSS-MAT, an ongoing national initiative funded by the Substance Abuse and Mental Health Services Administration (SAMHSA), to address the training needs posed by this critical public health problem. Core initiatives include: (1) Training and mentoring activities for primary care physicians; (2) Outreach to multidisciplinary professional organizations, (3) Creating a resource portal for families, patients, and communities for OUD treatment. RESULTS: Educational outreach to providers addresses the needs of patients with OUD and common co-occurring psychiatric and medical disorders. DISCUSSION AND CONCLUSIONS: The overall scope of PCSS-MAT is to increase access to evidence-based treatment of substance use disorders as a public health priority. Recently enacted legislation requires office-based opioid treatment programs to offer all Food and Drug Administration-approved (FDA) forms of MAT. SCIENTIFIC SIGNIFICANCE: Working with health care providers to effectively deliver MAT is key to integrating behavioral and physical medicine. (Am J Addict 2016;25:603-609).</t>
  </si>
  <si>
    <t>J2: Am J Addict; Levin, Frances R Bisaga, Adam Sullivan, Maria A Williams, Arthur Robin Cates-Wessel, Kathryn; ID: 61</t>
  </si>
  <si>
    <t>Levin, Frances R. New York State Psychiatric Institute &amp; Department of Psychiatry, Columbia University, New York, New York. Bisaga, Adam. New York State Psychiatric Institute &amp; Department of Psychiatry, Columbia University, New York, New York. Sullivan, Maria A. Department of Psychiatry, Columbia University, New York, New York. Sullivan, Maria A. Alkermes, Inc., Waltham, Massachusetts. Williams, Arthur Robin. New York State Psychiatric Institute &amp; Department of Psychiatry, Columbia University, New York, New York. Cates-Wessel, Kathryn. American Academy of Addiction Psychiatry, East Providence, Rhode Island.</t>
  </si>
  <si>
    <t>http://ovidsp.ovid.com/ovidweb.cgi?T=JS&amp;CSC=Y&amp;NEWS=N&amp;PAGE=fulltext&amp;D=med8&amp;AN=28051841</t>
  </si>
  <si>
    <t>https://dx.doi.org/10.1111/ajad.12454</t>
  </si>
  <si>
    <t>MEDLINE; Ovid Technologies; A review of a national training initiative to increase provider use of MAT to address the opioid epidemic</t>
  </si>
  <si>
    <t>Levin,F. R.;Owen,P.;Stinchfield,R.;Rabinowitz,E.;Pace,N.</t>
  </si>
  <si>
    <t>Use of standardized patients to evaluate the physicians in residence program: a substance abuse training approach</t>
  </si>
  <si>
    <t>Adult;Counseling;Humans;*Internship and Residency;Interpersonal Relations;Middle Aged;Professional Competence;Substance Abuse Treatment Centers;*Substance-Related Disorders/th Therapy]</t>
  </si>
  <si>
    <t>The purpose of this study was to evaluate the efficacy of the Physician in Residence (PIR) program at the Hazelden Residential Program of New York City as a substance abuse training approach using standardized patients (SP) and self-report ratings. Using an objective rating scale, two experienced drug counselors evaluated four videotaped interviews carried out by housestaff pre- and post-enrollment in the PIR program. In addition, housestaff completed self-report ratings regarding their knowledge, attitudes, and skills of substance abuse. Of the 23 housestaff who completed both pre- and post-PIR program videotape sessions, significant improvements were noted in both observer and self-reported ratings. Overall, self-report ratings showed a greater percent improvement than the counselor ratings. The PIR program may be an efficacious approach to teach substance abuse clinical skills to housestaff.</t>
  </si>
  <si>
    <t>J2: J Addict Dis; Levin, F R Owen, P Stinchfield, R Rabinowitz, E Pace, N; ID: 1075</t>
  </si>
  <si>
    <t>Levin, F R. Department of Psychiatry, Columbia University/New York State Psychiatric Institute, New York, USA. frl2@columbia.edu</t>
  </si>
  <si>
    <t>http://ovidsp.ovid.com/ovidweb.cgi?T=JS&amp;CSC=Y&amp;NEWS=N&amp;PAGE=fulltext&amp;D=med4&amp;AN=10334374</t>
  </si>
  <si>
    <t>MEDLINE; Ovid Technologies; Use of standardized patients to evaluate the physicians in residence program: a substance abuse training approach</t>
  </si>
  <si>
    <t>Levine,A. I.;Bryson,E. O.</t>
  </si>
  <si>
    <t>Intranasal self-administration of remifentanil as the foray into opioid abuse by an anesthesia resident</t>
  </si>
  <si>
    <t>Administration, Intranasal;Adult;Analgesics, Opioid/ad Administration &amp; Dosage];*Analgesics, Opioid;*Anesthesiology/ed Education];Fentanyl;Humans;*Internship and Residency;Male;*Physician Impairment;Piperidines/ad Administration &amp; Dosage];*Piperidines;*Substance-Related Disorders;0 (Analgesics, Opioid);0 (Piperidines);P10582JYYK (remifentanil);UF599785JZ (Fentanyl)</t>
  </si>
  <si>
    <t>Remifentanil is a potent micro-opioid receptor agonist that produces intense analgesia. This anilidopiperidine analog of fentanyl was approved by the United States Food and Drug Administration and became commercially available in the United States in 1997. Because of its unique chemical structure, remifentanil must be reconstituted; it has a rapid onset, and because of ester hydrolysis, it has a rapid rate of degradation. Although remifentanil's package insert warns against the potential for addiction, because of its rapid rate of degradation there was little concern that health care workers would abuse this drug. Herein, we report a case of intranasal remifentanil abuse by an anesthesiology resident.</t>
  </si>
  <si>
    <t>J2: Anesth Analg; Levine, Adam I Bryson, Ethan O; ID: 605</t>
  </si>
  <si>
    <t>Levine, Adam I. Department of Anesthesiology, Mount Sinai Hospital, New York, New York 10029, USA.</t>
  </si>
  <si>
    <t>http://ovidsp.ovid.com/ovidweb.cgi?T=JS&amp;CSC=Y&amp;NEWS=N&amp;PAGE=fulltext&amp;D=med6&amp;AN=19917624</t>
  </si>
  <si>
    <t>https://dx.doi.org/10.1213/ANE.0b013e3181c5f069</t>
  </si>
  <si>
    <t>MEDLINE; Ovid Technologies; Intranasal self-administration of remifentanil as the foray into opioid abuse by an anesthesia resident</t>
  </si>
  <si>
    <t>Levounis,P.;Zerbo,E.;Aggarwal,R.</t>
  </si>
  <si>
    <t>A "Middle Way": Introducing a Flexible Year-Long Program to Prepare for Certification in Addiction Medicine</t>
  </si>
  <si>
    <t>Certification;*Curriculum;*Education, Medical, Continuing/mt Methods];Gynecology/ed Education];Humans;Internal Medicine/ed Education];*Licensure;Obstetrics/ed Education];Pediatrics/ed Education];*Psychiatry/ed Education];*Specialization;*Substance-Related Disorders/rh Rehabilitation]</t>
  </si>
  <si>
    <t>J2: Acad Psychiatry; Levounis, Petros Zerbo, Erin Aggarwal, Rashi; ID: 122</t>
  </si>
  <si>
    <t>Levounis, Petros. Rutgers New Jersey Medical School, Newark, NJ, USA. levounpe@njms.rutgers.edu. Zerbo, Erin. Rutgers New Jersey Medical School, Newark, NJ, USA. Aggarwal, Rashi. Rutgers New Jersey Medical School, Newark, NJ, USA.</t>
  </si>
  <si>
    <t>http://ovidsp.ovid.com/ovidweb.cgi?T=JS&amp;CSC=Y&amp;NEWS=N&amp;PAGE=fulltext&amp;D=med8&amp;AN=26122351</t>
  </si>
  <si>
    <t>https://dx.doi.org/10.1007/s40596-015-0378-x</t>
  </si>
  <si>
    <t>MEDLINE; Ovid Technologies; A "Middle Way": Introducing a Flexible Year-Long Program to Prepare for Certification in Addiction Medicine</t>
  </si>
  <si>
    <t>Lev-Ran,S.;Adler,L.;Nitzan,U.;Fennig,S.</t>
  </si>
  <si>
    <t>Attitudes towards nicotine, alcohol and drug dependence among physicians in Israel</t>
  </si>
  <si>
    <t>Adult;*Alcoholism/ep Epidemiology];*Attitude of Health Personnel;Clinical Competence;Education, Medical/mt Methods];Female;Health Care Surveys;Humans;Israel/ep Epidemiology];Male;Middle Aged;Practice Patterns, Physicians';*Substance-Related Disorders/ep Epidemiology];Surveys and Questionnaires;*Tobacco Use Disorder/ep Epidemiology];Young Adult</t>
  </si>
  <si>
    <t>Prevalence of substance use and substance use disorders in Israel is similar to those in other developed countries. The aim of this study was to examine attitudes of physicians in Israel towards nicotine, alcohol and drug use and dependence. A national sample of physicians from different fields of medical specialty (n = 208, response rate 26%) responded to a 50-item questionnaire. Questions included general questions regarding substance use and addictions, as well as specific questions focusing on nicotine, alcohol, cannabis and heroin use. The poor response rate in this survey dictates caution in interpretation the results. However, they suggest that among medical specialties, psychiatrists had higher levels of self-reported competency in treating addictions and lower rates of moralism towards addictions. Across substances, the highest rates of moralism and lowest ratings of treatment efficacy were directed towards individuals with alcohol dependence. Physicians generally reported experiencing lower levels of satisfaction and higher levels of aggression when treating individuals with alcohol or drug dependence compared with other patients. Physicians' attitudes towards addictions have a significant role in the care that clients with addictions receive. Medical education programs in Israel should devote provisions towards educating physicians about addictions.</t>
  </si>
  <si>
    <t>J2: J Subst Abuse Treat; Lev-Ran, Shaul Adler, Limor Nitzan, Uri Fennig, Shmuel S0740-5472(12)00076-1; ID: 376</t>
  </si>
  <si>
    <t>1873-6483</t>
  </si>
  <si>
    <t>Lev-Ran, Shaul. Shalvata Mental Health Center, Hod-Hasharon, 45100, Israel. shauli.levran@gmail.com</t>
  </si>
  <si>
    <t>http://ovidsp.ovid.com/ovidweb.cgi?T=JS&amp;CSC=Y&amp;NEWS=N&amp;PAGE=fulltext&amp;D=med7&amp;AN=22579033</t>
  </si>
  <si>
    <t>https://dx.doi.org/10.1016/j.jsat.2012.04.001</t>
  </si>
  <si>
    <t>MEDLINE; Ovid Technologies; Attitudes towards nicotine, alcohol and drug dependence among physicians in Israel</t>
  </si>
  <si>
    <t>Lewis,B. E.;Phelan,A.</t>
  </si>
  <si>
    <t>Health maintenance organizations and the treatment of substance abuse</t>
  </si>
  <si>
    <t>Journal of Ambulatory Care Management</t>
  </si>
  <si>
    <t>J.Ambulatory Care Manage.</t>
  </si>
  <si>
    <t>Age Factors;Day Care, Medical;Education, Medical, Continuing;Employment;Female;*Health Maintenance Organizations/og Organization &amp; Administration];Humans;Male;Massachusetts/ep Epidemiology];Patient Advocacy;*Patient Care Planning/og Organization &amp; Administration];Referral and Consultation;Substance-Related Disorders/ep Epidemiology];*Substance-Related Disorders/th Therapy]</t>
  </si>
  <si>
    <t>The deterioration of substance abusers to the point where they need to be hospitalized generally happens slowly, over a period of years if not decades. During this time, most of their medical care takes place in an ambulatory setting. Primary care physicians are thus in an ideal position to identify and help patients in relatively early stages of the problem. The HMO, with its ability to practice patient-oriented case management and its access to all aspects of the medical care delivery system without additional financial burden to the patient, is particularly suited to provide effective and efficient care. The next challenge for HMOs is to reach patients at much earlier stages of their disease.</t>
  </si>
  <si>
    <t>J2: J Ambulatory Care Manage; Lewis, B E Phelan, A; ID: 1301</t>
  </si>
  <si>
    <t>0148-9917</t>
  </si>
  <si>
    <t>Lewis, B E. Fallon Clinic, West Boylston, MA.</t>
  </si>
  <si>
    <t>http://ovidsp.ovid.com/ovidweb.cgi?T=JS&amp;CSC=Y&amp;NEWS=N&amp;PAGE=fulltext&amp;D=med3&amp;AN=10170872</t>
  </si>
  <si>
    <t>MEDLINE; Ovid Technologies; Health maintenance organizations and the treatment of substance abuse</t>
  </si>
  <si>
    <t>Lewis,D. C.</t>
  </si>
  <si>
    <t>Access to narcotic addiction treatment and medical care: prospects for the expansion of methadone maintenance treatment</t>
  </si>
  <si>
    <t>Health Care Costs;*Health Services Accessibility;Heroin Dependence/ec Economics];*Heroin Dependence/rh Rehabilitation];Humans;*Legislation, Drug;*Methadone/tu Therapeutic Use];*Narcotics/tu Therapeutic Use];Primary Health Care;Public Opinion;0 (Narcotics);UC6VBE7V1Z (Methadone)</t>
  </si>
  <si>
    <t>Methadone maintenance treatment (MMT) for opioid addiction is safe and effective but underutilized because of inaccessibility, under-financing and the stigma generally attached to maintenance therapies. In addition, cumbersome regulation of methadone prescription and treatment impedes the delivery of care and retards expansion of methadone maintenance into office practice settings. Exaggeration of the problem of methadone diversion further hinders development of MMT. Despite obstacles, methadone maintenance has been successfully expanded and extended into primary care settings abroad. Initial trials in the U.S. have shown that methadone maintenance in physician office-based settings yields positive results with some advantages over care in large methadone clinics. Alternatives to methadone, such as buprenorphine, are also being explored in primary care settings. With implementation of the NIH Consensus Statement on Effective Medical Treatment of Heroin Addiction, including training of primary care physicians, methadone maintenance treatment could reach many more patients, achieve higher success rates, and substantially reduce the deleterious effects of opioid addiction in the U.S. References: 82]</t>
  </si>
  <si>
    <t>J2: J Addict Dis; Lewis, D C Comment in: J Addict Dis. 1999;18(2):1-4; PMID: 10334371; ID: 1076</t>
  </si>
  <si>
    <t>Lewis, D C. Brown University Center for Alcohol and Addiction Studies, Providence, RI 02912, USA.</t>
  </si>
  <si>
    <t>http://ovidsp.ovid.com/ovidweb.cgi?T=JS&amp;CSC=Y&amp;NEWS=N&amp;PAGE=fulltext&amp;D=med4&amp;AN=10334372</t>
  </si>
  <si>
    <t>MEDLINE; Ovid Technologies; Access to narcotic addiction treatment and medical care: prospects for the expansion of methadone maintenance treatment</t>
  </si>
  <si>
    <t>The role of internal medicine in addiction medicine</t>
  </si>
  <si>
    <t>Humans;Internal Medicine/ma Manpower];*Internal Medicine;Physician's Role;*Substance-Related Disorders/rh Rehabilitation]</t>
  </si>
  <si>
    <t>Internal Medicine must play an important role in addiction medicine. Although Psychiatry has been the dominant discipline in the addictions field, this article explores how the internist can bring special insight to the understanding of addictions. The article documents how Internal Medicine, historically, has helped define and diversify the field of addiction medicine. A survey of recent history, however, shows that Internal Medicine has only minimally broadened its role in the addiction field, despite the pronouncements of numerous committees, despite the urging of several medical groups that it do so. The article shows that some internists want to play an increased role in the field of addiction medicine, but often feel limited by their lack of knowledge and by the professional biases they confront. In conclusion, new suggestions for improving internist education and increasing their interest and participation in addiction medicine are offered.</t>
  </si>
  <si>
    <t>J2: J Addict Dis; Lewis, D C; ID: 1170</t>
  </si>
  <si>
    <t>Lewis, D C. Center for Alcohol and Addiction Studies, Brown University, Providence, RI 02912, USA. David_Lewis@brown.edu</t>
  </si>
  <si>
    <t>http://ovidsp.ovid.com/ovidweb.cgi?T=JS&amp;CSC=Y&amp;NEWS=N&amp;PAGE=fulltext&amp;D=med4&amp;AN=8729143</t>
  </si>
  <si>
    <t>MEDLINE; Ovid Technologies; The role of internal medicine in addiction medicine</t>
  </si>
  <si>
    <t>Recent advances in health professional training on substance abuse disorders</t>
  </si>
  <si>
    <t>The trainee health professional is influenced by many factors-personal and family experiences, the effectiveness of the teacher as role model, the attitudes in the institution in which training takes place and the cultural norms of society. Adverse experiences, if any, in these areas can negate the input from training programmes. This is particularly true for training in substance use disorders. In designing curricula in this field it is crucial to identify the core competencies expected at the end of training. 'Project Adept', a comprehensive compilation of curriculum materials, is based on such competencies. It emphasizes skills training and an adult learning mode of education. However, to achieve sustained curricular changes, development of a committed faculty is essential. Training must be complemented by systematic programmes of early diagnosis and treatment for substance use disorders in teaching hospitals. The need to train generalist physicians and to focus on early intervention have been endorsed by the recent Institute of Medicine report on the treatment of alcohol problems.</t>
  </si>
  <si>
    <t>J2: Drug Alcohol Rev; Lewis, D C; ID: 433</t>
  </si>
  <si>
    <t>Lewis, D C. Center for Alcohol and Addiction Studies, Brown University, Box G, Providence, RI, 02912, USA.</t>
  </si>
  <si>
    <t>http://ovidsp.ovid.com/ovidweb.cgi?T=JS&amp;CSC=Y&amp;NEWS=N&amp;PAGE=fulltext&amp;D=prem&amp;AN=16840039</t>
  </si>
  <si>
    <t>MEDLINE; Ovid Technologies; Recent advances in health professional training on substance abuse disorders</t>
  </si>
  <si>
    <t>Medical education for alcohol and other drug abuse in the United States</t>
  </si>
  <si>
    <t>*Academic Medical Centers/og Organization &amp; Administration];*Alcoholism/pc Prevention &amp; Control];Clinical Competence/st Standards];Communication;*Curriculum/td Trends];*Education, Medical/og Organization &amp; Administration];Humans;*Physician's Role;Pilot Projects;Program Evaluation;Rhode Island;*Substance-Related Disorders/pc Prevention &amp; Control];United States</t>
  </si>
  <si>
    <t>Initiatives by individuals, private foundations and government have led to improvements in the United States in medical education dealing with alcohol and drug-related problems. Progress has been made, particularly in the past 5 years, in developing new medical school curricula and in faculty development. Greater activity by national professional organizations has helped raise the priority of training in alcohol- and drug-related areas for undergraduate and postgraduate medical education. As an example, Project ADEPT (Alcohol and Drug Education for Physician Training in primary care) at Brown University in Providence, Rhode Island, is described. The importance of positive and motivated faculty role models and of skills training is emphasized. References: 22]</t>
  </si>
  <si>
    <t>J2: Cmaj; Lewis, D C; ID: 1332</t>
  </si>
  <si>
    <t>Lewis, D C. Brown University Center for Alcohol and Addiction Studies, Providence, RI.</t>
  </si>
  <si>
    <t>http://ovidsp.ovid.com/ovidweb.cgi?T=JS&amp;CSC=Y&amp;NEWS=N&amp;PAGE=fulltext&amp;D=med3&amp;AN=2224678</t>
  </si>
  <si>
    <t>MEDLINE; Ovid Technologies; Medical education for alcohol and other drug abuse in the United States</t>
  </si>
  <si>
    <t>Lewis,D. C.;Niven,R. G.;Czechowicz,D.;Trumble,J. G.</t>
  </si>
  <si>
    <t>A review of medical education in alcohol and other drug abuse</t>
  </si>
  <si>
    <t>Alcoholism/hi History];Alcoholism/th Therapy];*Alcoholism;Attitude of Health Personnel;Education, Medical/td Trends];*Education, Medical;Forecasting;History, 18th Century;History, 19th Century;History, 20th Century;Humans;Substance-Related Disorders/hi History];Substance-Related Disorders/th Therapy];*Substance-Related Disorders;United States</t>
  </si>
  <si>
    <t>J2: Jama; Lewis, D C Niven, R G Czechowicz, D Trumble, J G; ID: 1436</t>
  </si>
  <si>
    <t>http://ovidsp.ovid.com/ovidweb.cgi?T=JS&amp;CSC=Y&amp;NEWS=N&amp;PAGE=fulltext&amp;D=med2&amp;AN=3553640</t>
  </si>
  <si>
    <t>MEDLINE; Ovid Technologies; A review of medical education in alcohol and other drug abuse</t>
  </si>
  <si>
    <t>Lewy,R. M.</t>
  </si>
  <si>
    <t>Pre-employment drug testing of housestaff physicians at a large urban hospital</t>
  </si>
  <si>
    <t>Employment;Hospitals, Urban;Humans;*Internship and Residency;*Medical Staff, Hospital;New York City;*Physical Examination;Street Drugs/ur Urine];*Substance Abuse Detection;0 (Street Drugs)</t>
  </si>
  <si>
    <t>In an effort to address drug use and abuse among physicians beginning their graduate medical education. The Presbyterian Hospital at Columbia-Presbyterian Medical Center began a pre-employment drug testing program for housestaff physicians in 1987. Between 1987 and 1990, each of the 791 housestaff physicians beginning training at the hospital received a pre-employment urine toxicology examination. Despite the limitations of pre-employment drug testing, the program did identify two physicians who tested positive for illegal drugs. Based upon their test results and individual clinical evaluations, both physicians were denied a clinical appointment at the hospital. Their clinical training was temporarily interrupted while they received indicated treatment. The author suggests the main value of the program is to provide a focus for addressing issues related to substance abuse during graduate medical education.</t>
  </si>
  <si>
    <t>J2: Acad Med; Lewy, R M; ID: 1312</t>
  </si>
  <si>
    <t>Lewy, R M. Presbyterian Hospital, Columbia-Presbyterian Medical Center, New York, NY 10032.</t>
  </si>
  <si>
    <t>http://ovidsp.ovid.com/ovidweb.cgi?T=JS&amp;CSC=Y&amp;NEWS=N&amp;PAGE=fulltext&amp;D=med3&amp;AN=1910406</t>
  </si>
  <si>
    <t>MEDLINE; Ovid Technologies; Pre-employment drug testing of housestaff physicians at a large urban hospital</t>
  </si>
  <si>
    <t>Leyatikul,P.;Kanato,M.</t>
  </si>
  <si>
    <t>Using Population Based Data on Drugs Abuse to Estimate the Relative Need for Medical Services in Thailand</t>
  </si>
  <si>
    <t>Journal of the Medical Association of Thailand</t>
  </si>
  <si>
    <t>98 Suppl 6</t>
  </si>
  <si>
    <t>Epidemiologic Methods;Factor Analysis, Statistical;*Health Services Needs and Demand/sn Statistics &amp; Numerical Data];Humans;*Needs Assessment/og Organization &amp; Administration];Residence Characteristics;*Substance-Related Disorders/ep Epidemiology];Thailand/ep Epidemiology]</t>
  </si>
  <si>
    <t>BACKGROUND AND OBJECTIVE: Epidemiological background shows a trend in drug abuse and essential need for revising its strategic plans, allocating resources, and advocating services for populations. The relative need for drug abuse prevention and medical services across different geographic areas of Thailand, which has been examined through an analysis of existing population-based datasets and reported routinely. The objective was to develop an indicator of relative need for drug abuse prevention and medical services. MATERIAL AND METHOD: Qualitative data were collected as primary data sources from 10 focus group discussions throughout Thailand. The primary data were integrated into study framework with the result from literature review. Data sets in 2011 were retrieved from the national databank to obtain variables regarding drug abuse. Multiple regression and factor analysis were undertaken using the district as the unit of analysis. RESULTS: A factor analysis, which revealed six factors that explained 64% of the variance in the data set. Factors identified in the analysis were taken as indicators of variation in the need for services as all of the drugs-related variables loaded strongly on these factors. The distribution of ranks for factor scores (determined through regression) obtained for these factors across districts in Thailand showed that scores were highest in urban and suburban areas. CONCLUSION: In terms of practical implications, the study results could be used for resource allocation in medical service plans for community drug abuse.</t>
  </si>
  <si>
    <t>J2: J Med Assoc Thai; Leyatikul, Poonrut Kanato, Manop; ID: 217</t>
  </si>
  <si>
    <t>0125-2208</t>
  </si>
  <si>
    <t>http://ovidsp.ovid.com/ovidweb.cgi?T=JS&amp;CSC=Y&amp;NEWS=N&amp;PAGE=fulltext&amp;D=med8&amp;AN=26434247</t>
  </si>
  <si>
    <t>MEDLINE; Ovid Technologies; Using Population Based Data on Drugs Abuse to Estimate the Relative Need for Medical Services in Thailand</t>
  </si>
  <si>
    <t>Liepman,M. R.;Gilbert,S. S.</t>
  </si>
  <si>
    <t>Continuing medical education in substance abuse, a follow-up study</t>
  </si>
  <si>
    <t>*Alcoholism/di Diagnosis];*Education, Medical, Continuing;Follow-Up Studies;Humans;Michigan;*Substance-Related Disorders/di Diagnosis]</t>
  </si>
  <si>
    <t>J2: Curr Alcohol; Liepman, M R Gilbert, S S; ID: 1515</t>
  </si>
  <si>
    <t>http://ovidsp.ovid.com/ovidweb.cgi?T=JS&amp;CSC=Y&amp;NEWS=N&amp;PAGE=fulltext&amp;D=med1&amp;AN=520045</t>
  </si>
  <si>
    <t>MEDLINE; Ovid Technologies; Continuing medical education in substance abuse, a follow-up study</t>
  </si>
  <si>
    <t>Lin,J. J.;Alfandre,D.;Moore,C.</t>
  </si>
  <si>
    <t>Physician attitudes toward opioid prescribing for patients with persistent noncancer pain</t>
  </si>
  <si>
    <t>*Analgesics, Opioid/sd Supply &amp; Distribution];Analgesics, Opioid/tu Therapeutic Use];Analysis of Variance;*Attitude of Health Personnel;*Drug Prescriptions/sn Statistics &amp; Numerical Data];Female;Humans;Male;Neoplasms/co Complications];Odds Ratio;Pain, Intractable/dt Drug Therapy];Pain, Intractable/ep Epidemiology];Pain, Intractable/et Etiology];*Physicians/px Psychology];*Practice Patterns, Physicians'/sn Statistics &amp; Numerical Data];Retrospective Studies;Surveys and Questionnaires;0 (Analgesics, Opioid)</t>
  </si>
  <si>
    <t>OBJECTIVES: Physicians frequently express dissatisfaction about caring for patients with chronic pain and frequently report that inadequate training and concern about addiction are impediments to prescribing opioids. Elderly patients with chronic pain may be at increased risk of experiencing uncontrolled pain and this patient population is increasingly being cared for by geriatricians rather than internists. We sought to determine if there is a differential impact on internists and geriatricians of the factors that adversely affect attitudes toward opioid prescribing. METHODS: Anonymous survey of geriatric and internal medicine physicians at a large urban academic medical center about their beliefs and behaviors regarding opioid prescribing. RESULTS: One hundred thirty-two of 187 physicians completed the survey for an overall response rate of 71%. Controlling for level of training, internists were more likely to be concerned about illegal diversion (adjusted odds ratio=10.0, P=0.004), were more concerned about causing addiction (38% vs. 0%, P&lt;0.001), and were more likely to be concerned about their inability to prescribe the correct opioid dose (adjusted odds ratio=11.1, P=0.020). DISCUSSION: Factors shown to have an adverse affect on opioid prescribing disproportionately impact on the attitudes of internists compared with geriatricians. Further research is needed to determine if there is also a differential impact on how internists care for their elderly patients with chronic pain.</t>
  </si>
  <si>
    <t>J2: Clin J Pain; Lin, Jenny J Alfandre, David Moore, Carlton; ID: 711</t>
  </si>
  <si>
    <t>Lin, Jenny J. Division of General Internal Medicine, Department of Medicine, Mount Sinai School of Medicine, New York, NY 10029, USA. jennyj.lin@mountsinai.org</t>
  </si>
  <si>
    <t>http://ovidsp.ovid.com/ovidweb.cgi?T=JS&amp;CSC=Y&amp;NEWS=N&amp;PAGE=fulltext&amp;D=med5&amp;AN=18075408</t>
  </si>
  <si>
    <t>MEDLINE; Ovid Technologies; Physician attitudes toward opioid prescribing for patients with persistent noncancer pain</t>
  </si>
  <si>
    <t>Linares-Orama,N.</t>
  </si>
  <si>
    <t>Language-learning disorders and youth incarceration</t>
  </si>
  <si>
    <t>Journal of communication disorders</t>
  </si>
  <si>
    <t>J.Commun.Disord.</t>
  </si>
  <si>
    <t>Humans;*Juvenile Delinquency/sn Statistics &amp; Numerical Data];*Language Disorders/ep Epidemiology];*Learning Disorders/ep Epidemiology];Male;*Prisoners/sn Statistics &amp; Numerical Data];*Verbal Learning</t>
  </si>
  <si>
    <t>UNLABELLED: Many speech-language pathologists are serving delinquent boys with language-learning disorders who are both current and former residents of correctional institutions. These youngsters demonstrate personal maladjustments that have a negative impact on school performance and socialization. Those boys within chaotic families are at risk of poverty, institutionalization, and substance abuse. Boys with language-learning disorders, who have encountered the law, need to be provided with services through collaborative and individualized efforts toward improving language skills, learning, and re-incorporating them into society. Further investigations are needed in order to clarify how the elements of personal, family, neighborhood, school and service conditions serve as either protective or risk factors for a life of incarceration in these individuals. LEARNING OUTCOMES: As a result of this presentation, the reader will understand the complex relationship among language-learning disorders, poverty, poor school performance, and delinquency in boys. The reader will become aware of the elements that should be present in school and correctional services in order to prevent recidivism in boys with language-learning disorders who have had problems with the law.</t>
  </si>
  <si>
    <t>J2: J Commun Disord; Linares-Orama, Nicolas; ID: 860</t>
  </si>
  <si>
    <t>0021-9924</t>
  </si>
  <si>
    <t>Linares-Orama, Nicolas. FILIUS Institute of Disability and Rehabilitation Research, University of Puerto Rico, Speech-Language-Pathology and Audiology, GPO Box 364984, San Juan, PR 00936-5067, USA. nlin@tld.net</t>
  </si>
  <si>
    <t>http://ovidsp.ovid.com/ovidweb.cgi?T=JS&amp;CSC=Y&amp;NEWS=N&amp;PAGE=fulltext&amp;D=med5&amp;AN=15862813</t>
  </si>
  <si>
    <t>MEDLINE; Ovid Technologies; Language-learning disorders and youth incarceration</t>
  </si>
  <si>
    <t>Lindberg,M.;Vergara,C.;Wild-Wesley,R.;Gruman,C.</t>
  </si>
  <si>
    <t>Physicians-in-training attitudes toward caring for and working with patients with alcohol and drug abuse diagnoses</t>
  </si>
  <si>
    <t>Adult;Alcoholism/px Psychology];Alcoholism/th Therapy];*Attitude of Health Personnel;Female;Humans;*Internship and Residency;Male;*Physician-Patient Relations/es Ethics];Substance-Related Disorders/px Psychology];*Substance-Related Disorders/th Therapy];Surveys and Questionnaires</t>
  </si>
  <si>
    <t>INTRODUCTION: Physicians in all specialties commonly encounter patients who abuse alcohol or illegal drugs. Working with these patient populations can be challenging and potentially engender negative attitudes. This study is designed to identify the progression of attitudinal shifts over time of physicians-in-training toward caring for substance abusing patients. METHODS AND MATERIALS: A 31-item survey was designed to capture demographic information of participants, attitudes toward treating patients with substance abuse diagnoses, previous participant education, experience in and comfort with diagnosing and treating substance abuse, and satisfaction achieved in working with this patient population. Medical students in their third and fourth years of education as well as residents in training, years one through four, were surveyed. Responses to the survey's attitudinal items were analyzed across years of training, looking for changes associated with time and experience. RESULTS: Fifty-seven percent of eligible participants anonymously completed the survey. There was general agreement across all years of training that health care professionals should be allowed continued employment in their professions when in recovery from alcohol abuse (P = 0.424) and drug abuse (P = 0.409). Across years of training there was agreement that patients can recuperate and provide meaningful contributions to society when recovering from alcohol (P = 0.847) and drug (P = 0.859) abuse. From medical school years through residency there were enhanced beliefs that alcohol-abusing patients (P = 0.027) and drug-abusing patients (P = 0.009) overutilize health care resources. Most trainees, despite year of education, believe patients who abuse alcohol (P = 0.521 and illegal drugs (P = 0.356) have challenging medical and social issues from which they can learn. There was consistency across years in the perception that providing care to alcohol-abusing patients (P = 0.679) and drug-abusing patients (P = 0.090) is repetitive and detracts from the care of others. All felt their training was adequate to care for alcohol (P = 0.628) and drug-abusing patients (P = 0.484). Satisfaction achieved in caring for alcohol (P = 0.017) and illegal drug-abusing patients (P = 0.015) consistently diminishes over years in training. CONCLUSIONS: There are positive as well as negative aspects for physicians-in-training to caring for patients with alcohol and illegal drug abuse problems. Combining effective education strategies with the needs of physicians at specific points in their education may be effective in reversing the negative trends seen in attitudes toward caring for patients with substance abuse problems.</t>
  </si>
  <si>
    <t>J2: South Med J; Lindberg, Michael Vergara, Cunegundo Wild-Wesley, Rebecca Gruman, Cynthia Comment in: South Med J. 2006 Jan;99(1):11; PMID: 16466111; ID: 835</t>
  </si>
  <si>
    <t>Lindberg, Michael. Department of Medicine, Hartford Hospital, Braceland Center for Mental Health and Aging, Institute of Living, 80 Seymour Street, Hartford, CT 06102, USA. mlindbe@harthosp.org</t>
  </si>
  <si>
    <t>http://ovidsp.ovid.com/ovidweb.cgi?T=JS&amp;CSC=Y&amp;NEWS=N&amp;PAGE=fulltext&amp;D=med5&amp;AN=16466119</t>
  </si>
  <si>
    <t>MEDLINE; Ovid Technologies; Physicians-in-training attitudes toward caring for and working with patients with alcohol and drug abuse diagnoses</t>
  </si>
  <si>
    <t>Lindsay,D. L.;Hagle,H.;Lincoln,P.;Williams,J.;Luongo,P. F.</t>
  </si>
  <si>
    <t>Exploring medical students' conceptions of substance use: A follow-up evaluation</t>
  </si>
  <si>
    <t>BACKGROUND: Despite the devastating impact of alcohol and other drug involvement and misuse within society, medical students still receive very limited exposure to these issues. The Scaife Advanced Medical Student Fellowship in Alcohol and Other Drug Dependency, offered by the Institute for Research, Education and Training in Addictions for over 10 years, offers a unique, 3-week intensive educational experience, including didactic, observation, and experiential learning in these topics to first-year medical students. The goal of this project was to evaluate the impact of the Scaife Fellowship on medical students' attitudes toward patients with alcohol and other drug involvement 1 to 5 years after completion of the experience. METHODS: Past Scaife students and individuals who applied but did not attend were located and recruited to participate in an online attitude survey. RESULTS: Results indicated that Scaife Fellowship students largely retain their sense of role security around working with patients with alcohol and other drug involvement at the follow-up time point. Although therapeutic commitment or the motivation to work with these patients decreased for drug use, the decrease was smaller than that typically noted in the literature. The group of comparison students showed lower scores on both subscales at the evaluation time point compared with Scaife students. CONCLUSIONS: A three-week experiential program significantly improved medical students' Role Security and Therapeutic Commitment toward working with patients with substance use disorders. Moreover, the positive effects gained from the program were sustained over time.</t>
  </si>
  <si>
    <t>J2: Subst Abus; Lindsay, Dawn L Hagle, Holly Lincoln, Piper Williams, Jessica Luongo, Peter F; ID: 1665</t>
  </si>
  <si>
    <t>Lindsay, Dawn L. a Institute for Research, Education and Training in Addictions , Pittsburgh , Pennsylvania , USA. Hagle, Holly. a Institute for Research, Education and Training in Addictions , Pittsburgh , Pennsylvania , USA. Lincoln, Piper. a Institute for Research, Education and Training in Addictions , Pittsburgh , Pennsylvania , USA. Williams, Jessica. a Institute for Research, Education and Training in Addictions , Pittsburgh , Pennsylvania , USA. Luongo, Peter F. a Institute for Research, Education and Training in Addictions , Pittsburgh , Pennsylvania , USA.</t>
  </si>
  <si>
    <t>http://ovidsp.ovid.com/ovidweb.cgi?T=JS&amp;CSC=Y&amp;NEWS=N&amp;PAGE=fulltext&amp;D=prem&amp;AN=28622136</t>
  </si>
  <si>
    <t>https://dx.doi.org/10.1080/08897077.2017.1342735</t>
  </si>
  <si>
    <t>MEDLINE; Ovid Technologies; Exploring medical students' conceptions of substance use: A follow-up evaluation</t>
  </si>
  <si>
    <t>Lindsay,E. A.;Wilson,D. M.;Best,J. A.;Willms,D. G.;Singer,J.;Gilbert,J. R.;Taylor,D. W.</t>
  </si>
  <si>
    <t>A randomized trial of physician training for smoking cessation</t>
  </si>
  <si>
    <t>American Journal of Health Promotion</t>
  </si>
  <si>
    <t>Abstract This randomized controlled trial investigated the effects of a smoking cessation workshop on physician practices and on patients' smoking behavior. Eighty-three community family physicians were randomly allocated by practice to either 1) a Usual Care condition, 2) a group in which physicians were not trained but were asked to address smoking cessation with specific patients, or 3) a condition which included physician training as well as printed resources and in which specific patients were identified as smokers. The intervention taught to the physicians through a four hour training workshop included providing advice about stopping smoking, the setting of a date for stopping, the offer of nicotine gum, take-home materials, and the offer of follow-up visits. The intervention was described, demonstrated, and the physicians practiced with simulated patients. The outcome of the intervention was assessed in terms of physician behavior and patient smoking behavior. Exit interviews with patients demonstrated that patients of trained physicians did not differ from patients of untrained physicians on how willing they were to try to stop smoking nor on their receptiveness to nicotine gum. However, there was a small but statistically significant difference favoring the patients from the trained physician group who successfully stopped smoking.</t>
  </si>
  <si>
    <t>J2: Am J Health Promot; Lindsay, E A Wilson, D M Best, J A Willms, D G Singer, J Gilbert, J R Taylor, D W; ID: 434</t>
  </si>
  <si>
    <t>0890-1171</t>
  </si>
  <si>
    <t>http://ovidsp.ovid.com/ovidweb.cgi?T=JS&amp;CSC=Y&amp;NEWS=N&amp;PAGE=fulltext&amp;D=prem&amp;AN=22206330</t>
  </si>
  <si>
    <t>https://dx.doi.org/10.4278/0890-1171-3.3.11</t>
  </si>
  <si>
    <t>MEDLINE; Ovid Technologies; A randomized trial of physician training for smoking cessation</t>
  </si>
  <si>
    <t>Lindsay-McIntyre,E.;Wilson,D.;Best,J. A.;Gilbert,J. R.;Taylor,W.;Willms,D.;Singer,J.</t>
  </si>
  <si>
    <t>The impact of a continuing education package for smoking cessation on physicians' clinical behavior and patient smoking</t>
  </si>
  <si>
    <t>*Education, Medical, Continuing;Humans;Physician's Role;*Physicians, Family/ed Education];*Smoking Prevention</t>
  </si>
  <si>
    <t>J2: Res Med Educ; Lindsay-McIntyre, E Wilson, D Best, J A Gilbert, J R Taylor, W Willms, D Singer, J; ID: 1407</t>
  </si>
  <si>
    <t>Lindsay-McIntyre, E. McMaster University, Hamilton, Ontario, Canada.</t>
  </si>
  <si>
    <t>http://ovidsp.ovid.com/ovidweb.cgi?T=JS&amp;CSC=Y&amp;NEWS=N&amp;PAGE=fulltext&amp;D=med2&amp;AN=3454577</t>
  </si>
  <si>
    <t>MEDLINE; Ovid Technologies; The impact of a continuing education package for smoking cessation on physicians' clinical behavior and patient smoking</t>
  </si>
  <si>
    <t>Lintzeris,N.;Ritter,A.;Dunlop,A.;Muhleisen,P.</t>
  </si>
  <si>
    <t>Training primary health care professionals to provide buprenorphine and LAAM treatment</t>
  </si>
  <si>
    <t>*Buprenorphine/tu Therapeutic Use];*Education, Medical, Continuing/mt Methods];Education, Medical, Continuing/st Standards];*Education, Pharmacy, Continuing/mt Methods];Education, Pharmacy, Continuing/st Standards];Humans;*Methadyl Acetate/tu Therapeutic Use];*Opioid-Related Disorders/rh Rehabilitation];Pharmacists;Physicians, Family/ed Education];Professional Competence;Quality of Health Care;*Receptors, Opioid/ag Agonists];0 (Receptors, Opioid);40D3SCR4GZ (Buprenorphine);L59OC40KWJ (Methadyl Acetate)</t>
  </si>
  <si>
    <t>This paper describes the development and implementation of training programs for primary care medical practitioners and pharmacists in the delivery of buprenorphine and LAAM treatment in the management of opiate dependence. Separate training programs were developed for each medication. Each training package included learning objectives, training materials, and assessment instruments. Findings of the evaluation of these initiatives and the subsequent Australian postregistration training program for buprenorphine are described.</t>
  </si>
  <si>
    <t>J2: Subst Abus; Lintzeris, Nicholas Ritter, Alison Dunlop, Adrian Muhleisen, Peter; ID: 949</t>
  </si>
  <si>
    <t>Lintzeris, Nicholas. Turning Point Alcohol and Drug Centre, Melbourne, Australia.</t>
  </si>
  <si>
    <t>http://ovidsp.ovid.com/ovidweb.cgi?T=JS&amp;CSC=Y&amp;NEWS=N&amp;PAGE=fulltext&amp;D=med4&amp;AN=12438837</t>
  </si>
  <si>
    <t>MEDLINE; Ovid Technologies; Training primary health care professionals to provide buprenorphine and LAAM treatment</t>
  </si>
  <si>
    <t>Lipp,M.;Tinklenberg,J.;Benson,S.;Melges,F.;Taintor,Z.;Peterson,M.</t>
  </si>
  <si>
    <t>Medical student use of marijuana, alcohol, and cigarettes: a study of four schools</t>
  </si>
  <si>
    <t>*Alcohol Drinking;Attitude of Health Personnel;*Cannabis;Humans;Legislation, Drug;Physicians;Plants, Toxic;Schools, Medical;*Smoking;*Students, Medical;Substance-Related Disorders/ep Epidemiology];*Substance-Related Disorders;Surveys and Questionnaires;Tobacco;United States</t>
  </si>
  <si>
    <t>J2: Int J Addict; Lipp, M Tinklenberg, J Benson, S Melges, F Taintor, Z Peterson, M; ID: 1583</t>
  </si>
  <si>
    <t>http://ovidsp.ovid.com/ovidweb.cgi?T=JS&amp;CSC=Y&amp;NEWS=N&amp;PAGE=fulltext&amp;D=med1&amp;AN=5043831</t>
  </si>
  <si>
    <t>MEDLINE; Ovid Technologies; Medical student use of marijuana, alcohol, and cigarettes: a study of four schools</t>
  </si>
  <si>
    <t>Liu,P. K.;Liu,C. H.</t>
  </si>
  <si>
    <t>Gene targeting MRI: nucleic acid-based imaging and applications</t>
  </si>
  <si>
    <t>Methods in Molecular Biology</t>
  </si>
  <si>
    <t>Animals;Biotinylation;Cerebrum/me Metabolism];DNA, Complementary/ge Genetics];Drug Administration Routes;Fluorescein-5-isothiocyanate/me Metabolism];*Gene Targeting/mt Methods];Humans;*Magnetic Resonance Imaging/mt Methods];Magnetite Nanoparticles/ad Administration &amp; Dosage];Mice;Microscopy, Fluorescence;*Nucleic Acids/me Metabolism];Oligonucleotides/ad Administration &amp; Dosage];Oligonucleotides/bl Blood];Oligonucleotides/cf Cerebrospinal Fluid];Proto-Oncogene Proteins c-fos/me Metabolism];0 (DNA, Complementary);0 (Fosb protein, mouse);0 (Magnetite Nanoparticles);0 (Nucleic Acids);0 (Oligonucleotides);0 (Proto-Oncogene Proteins c-fos);I223NX31W9 (Fluorescein-5-isothiocyanate)</t>
  </si>
  <si>
    <t>Gene action plays a role in neural cell migration, learning processes, stress response, drug addiction, cancer, mental health, psychiatric and neurological disorders, as well as neurodegenerative diseases. Studies also show that upregulation of certain gene activities in neurons may contribute to the development of Alzheimer's disease and other progressive cognitive disorders many decades after the alteration itself occurs. Endogenous, environmental stress-related, or drug-induced chemical imbalances in the brain affect the homeostasis of gene activities in neurons in specific brain regions and contribute to the comorbidity of mental illness and substance dependence. On the other hand, altered gene activities are also a necessary part of repair processes after brain injury. Our general well-being is governed by the highly regulated gene activities in our brains. A better understanding of gene activities and their relationship to the progression of neurological disease can help the research and medical communities develop necessary measures for early intervention, as well as plan more appropriate interventions or new therapeutic approaches that can benefit a broad spectrum of patients who will be or have been affected by brain diseases. We developed a non-invasive imaging technique that allows real-time assessment of gene transcription profiles in live brains. This imaging method has the potential to provide first-hand information about the progression of neurological disorders by gene targeting and cell typing, and it could elucidate a surrogate marker for therapeutic efficacy for future planning of treatments for human diseases. We have established a workable and reproducible MRI technique in live rodent brains.</t>
  </si>
  <si>
    <t>J2: Methods Mol Biol; Liu, Philip K Liu, Christina H; ID: 532</t>
  </si>
  <si>
    <t>1940-6029</t>
  </si>
  <si>
    <t>Liu, Philip K. Department of Radiology, AA Martinos Center for Biomedical Imaging, Massachusetts General Hospital, Charlestown, MA, USA. philipl@nmr.mgh.harvard.edu</t>
  </si>
  <si>
    <t>http://ovidsp.ovid.com/ovidweb.cgi?T=JS&amp;CSC=Y&amp;NEWS=N&amp;PAGE=fulltext&amp;D=med7&amp;AN=21279612</t>
  </si>
  <si>
    <t>https://dx.doi.org/10.1007/978-1-61737-992-5_18</t>
  </si>
  <si>
    <t>MEDLINE; Ovid Technologies; Gene targeting MRI: nucleic acid-based imaging and applications</t>
  </si>
  <si>
    <t>Liu,Q. M.;Ren,Y. J.;Cao,C. J.;Liu,B.;Lv,J.;Li,L. M.</t>
  </si>
  <si>
    <t>Relations between attitude and practice of smoking and the training program regarding tobacco control among community medical staff members in Hangzhou, Zhejiang province]</t>
  </si>
  <si>
    <t>Chung-Hua Liu Hsing Ping Hsueh Tsa Chih Chinese Journal of Epidemiology</t>
  </si>
  <si>
    <t>Adult;*Allied Health Personnel/px Psychology];Female;Health Knowledge, Attitudes, Practice;Humans;*Inservice Training;Male;Medical Staff;*Smoking Cessation/sn Statistics &amp; Numerical Data];*Smoking Prevention;Surveys and Questionnaires</t>
  </si>
  <si>
    <t>OBJECTIVE: To investigate the relations between training and both the attitude and practice on smoking control among community medical staff members in Hangzhou, Zhejiang province. METHODS: Three representative districts including Xiacheng, Gongshu and Westlake were chosen from Hangzhou city. Questionnaire survey was applied to collect information from the related community medical staff members. The survey mainly contained three aspects: knowledge, attitude and practice regarding smoking control involved in the community medical activities. Availability and application of the resources on smoking cessation were also studied. Logistic regression analysis was applied to explore the factors associated with the smoking control training programs. Differences of rates between groups were assessed with chi-square statistics. Wilcoxon rank sum test was used to study the relationships among knowledge, attitude and practice related to smoking control programs, targeted to the community medical staff members. RESULTS: Eight hundred forty-six community medical workers were involved. Sixty-five percent of the community medical staff members had learned related knowledge on smoking control. Proportion of the community medical staff who had taken lessons on smoking control with 3-10 working years was 1.77 times more than the ones with experience less than two years (OR = 1.77, 95% CI: 1.25-2.51). Eighty-eight point seven percent of the medical staff who had received smoking control training programs were identified with the consciousness that they should advise the patients to quit smoking, comparing to the proportion 81.60% (Z=-2.87, P=0.00) in the control group. In terms of the practice regarding smoking control, data showed that 21.62% of the medical staff who had received smoking control training programs would provide 'how to quit smoking' to more than 90% of the smoking patients, while the proportion in the control group was 10.65% (Z = -5.68, P = 0.00). The use of drugs, traditional Chinese medicine therapy and the smoking cessation hotline rate were all less than 30%. CONCLUSION: The training programs being used on smoking control seemed useful in improving the consciousness and practice towards the smoking control programs during their medical activities among the community medical staff members.</t>
  </si>
  <si>
    <t>J2: Chung Hua Liu Hsing Ping Hsueh Tsa Chih; Chinese Liu, Qing-Min Ren, Yan-Jun Cao, Cheng-Jian Liu, Bing Lv, Jun Li, Li-Ming; ID: 249</t>
  </si>
  <si>
    <t>0254-6450</t>
  </si>
  <si>
    <t>Liu, Qing-Min. Hangzhou Center for Disease Control and Prevention, Hangzhou 310021, China. Ren, Yan-Jun. Hangzhou Center for Disease Control and Prevention, Hangzhou 310021, China. Cao, Cheng-Jian. Hangzhou Center for Disease Control and Prevention, Hangzhou 310021, China. Liu, Bing. Hangzhou Center for Disease Control and Prevention, Hangzhou 310021, China. Lv, Jun. Department of Epidemiology and Biostatistics, School of Public Health, Peking University Health Science Center. Li, Li-Ming. Department of Epidemiology and Biostatistics, School of Public Health, Peking University Health Science Center.</t>
  </si>
  <si>
    <t>Chinese</t>
  </si>
  <si>
    <t>http://ovidsp.ovid.com/ovidweb.cgi?T=JS&amp;CSC=Y&amp;NEWS=N&amp;PAGE=fulltext&amp;D=med7&amp;AN=24423760</t>
  </si>
  <si>
    <t>MEDLINE; Ovid Technologies; [Relations between attitude and practice of smoking and the training program regarding tobacco control among community medical staff members in Hangzhou, Zhejiang province]</t>
  </si>
  <si>
    <t>Llambi,L.;Barros,M.;Parodi,C.;Cora,M.;Garces,G.</t>
  </si>
  <si>
    <t>Teaching tobacco cessation to large student cohorts through train-the-trainers and problem based learning strategies</t>
  </si>
  <si>
    <t>May-Aug</t>
  </si>
  <si>
    <t>Curriculum;*Education, Medical, Undergraduate/mt Methods];Female;Humans;Male;*Problem-Based Learning/mt Methods];Schools, Medical;Smoking/ep Epidemiology];*Students, Medical;Surveys and Questionnaires;*Teacher Training/mt Methods];*Tobacco Use Cessation/mt Methods];Uruguay;Young Adult</t>
  </si>
  <si>
    <t>BACKGROUND: Smoking is a leading cause of preventable deaths worldwide. Graduates of medical schools receive limited training on tobacco cessation and are ill-equipped to treat tobacco dependence. In this paper, we describe and present evidence from an educational intervention based on a train-the-trainers model and problem-based learning strategy aimed to educate a large number of first-year medical students on tobacco-related issues. METHODS: A survey assessing students' knowledge, attitudes and beliefs was conducted before and after educational intervention. Tobacco experts from the faculty staff, who are trained problem-based learning tutors, served as facilitators in the problem-based learning setting with 1000 medical students. RESULTS: Significant changes in knowledge and beliefs were observed. Items such as need for further training in cessation, importance, and effectiveness of brief advice showed significant variations after the educational intervention. DISCUSSION: Educational intervention based on a train-the-trainers and problem-based learning approaches are feasible and effective to educate a large cohort of first-year medical students in tobacco issues. Further research is needed to find out whether this intervention improves overall patient care management.</t>
  </si>
  <si>
    <t>J2: Educ Health; Llambi, Laura Barros, Mary Parodi, Carolina Cora, Mariana Garces, Gaston; ID: 84</t>
  </si>
  <si>
    <t>Llambi, Laura. Tobacco Cessation Unit, Internal Medicine Department, Clinics Hospital, Facultad de Medicina, Universidad de la Republica, Uruguay. Barros, Mary. Department of Medical Psychology, Tobacco Cessation Unit, Facultad de Medicina, Universidad de la Republica, Uruguay. Parodi, Carolina. Tobacco Cessation Unit, Internal Medicine Department, Clinics Hospital, Facultad de Medicina, Universidad de la Republica, Uruguay. Cora, Mariana. Department of Medical Education, Facultad de Medicina, Universidad de la Republica, Uruguay. Garces, Gaston. Department of Medical Education, Facultad de Medicina, Universidad de la Republica, Uruguay.</t>
  </si>
  <si>
    <t>http://ovidsp.ovid.com/ovidweb.cgi?T=JS&amp;CSC=Y&amp;NEWS=N&amp;PAGE=fulltext&amp;D=med8&amp;AN=27549645</t>
  </si>
  <si>
    <t>https://dx.doi.org/10.4103/1357-6283.188726</t>
  </si>
  <si>
    <t>MEDLINE; Ovid Technologies; Teaching tobacco cessation to large student cohorts through train-the-trainers and problem based learning strategies</t>
  </si>
  <si>
    <t>Llambi,L.;Esteves,E.;Martinez,E.;Forster,T.;Garcia,S.;Miranda,N.;Arredondo,A. L.;Margolis,A.</t>
  </si>
  <si>
    <t>Teaching tobacco cessation skills to Uruguayan physicians using information and communication technologies</t>
  </si>
  <si>
    <t>Clinical Competence;*Communication;*Computer-Assisted Instruction;Curriculum;*Education, Medical, Continuing/mt Methods];Health Personnel/ed Education];Humans;*Internet;Teaching/mt Methods];*Tobacco Use Cessation;Uruguay</t>
  </si>
  <si>
    <t>INTRODUCTION: Since 2004, with the ratification of the Framework Convention on Tobacco Control, Uruguay has implemented a wide range of legal restrictions designed to reduce the devastating impacts of tobacco. This legal process generated an increase in demand for tobacco cessation treatment, which led to the need to train a large number of physicians. Information and Communication Technologies (ICTs) are evolving constantly, creating new opportunities to make online education more interactive. The evolution of ICTs presents an opportunity to develop innovative continuing medical education (CME) experiences to meet the increasing demand for this topic. METHODS: A blended-learning course on tobacco cessation was developed and implemented, combining face-to-face and online activities. Educational strategy focused on (1) facilitating interaction among generalists and between generalists and experts, and (2) providing high impact CME incorporating multifaceted interventions with wiki-type collaborative construction of practical knowledge. Multiple-choice tests and commitments-to-change were used for evaluation. RESULTS: Three hundred thirty-five health professionals participated in the course. Of these, 145 (43.3%) attended the on-site workshop, 216 (64.5%) participated in the online activities, and 109 (32.5%) completed both phases. Fifty of the 105 (47.6%) participants completing the pretest had a passing score, while 78.1% received a passing score on the final test (p &lt; .001). Differences between mean pretest and posttest scores among those who completed both phases compared with those who only did the online phase were statistically significant (p = .003 and p = .009, respectively). DISCUSSION: The need to train physicians on tobacco cessation skills can be addressed via ICTs and educational activities that include participant interaction.</t>
  </si>
  <si>
    <t>J2: J Contin Educ Health Prof; Llambi, Laura Esteves, Elba Martinez, Elisa Forster, Thais Garcia, Sofia Miranda, Natalia Arredondo, Antonio Lopez Margolis, Alvaro; ID: 519</t>
  </si>
  <si>
    <t>Llambi, Laura. Unidad de Tabaquismo, Universidad de la Republica, Montevideo, 11300, Uruguay. llambil@hc.edu.uy</t>
  </si>
  <si>
    <t>http://ovidsp.ovid.com/ovidweb.cgi?T=JS&amp;CSC=Y&amp;NEWS=N&amp;PAGE=fulltext&amp;D=med7&amp;AN=21425359</t>
  </si>
  <si>
    <t>https://dx.doi.org/10.1002/chp.20100</t>
  </si>
  <si>
    <t>MEDLINE; Ovid Technologies; Teaching tobacco cessation skills to Uruguayan physicians using information and communication technologies</t>
  </si>
  <si>
    <t>Llibre Jde,J.;Valhuerdi,A.;Calvo,M.;Garcia,R. M.;Guerra,M.;Laucerique,T.;Lopez,A. M.;Llibre,J. C.;Noriega,L.;Sanchez,I. Y.;Porto,R.;Arencibia,F.;Marcheco,B.;Moreno,C.</t>
  </si>
  <si>
    <t>Dementia and other chronic diseases in older adults in Havana and Matanzas: the 10/66 study in Cuba</t>
  </si>
  <si>
    <t>MEDICC review</t>
  </si>
  <si>
    <t>Age Factors;Aged;Aged, 80 and over;Cross-Sectional Studies;Cuba/ep Epidemiology];*Dementia/ep Epidemiology];Diabetes Mellitus/ep Epidemiology];Female;Humans;Hypertension/ep Epidemiology];Longitudinal Studies;Male;Myocardial Ischemia/ep Epidemiology];Poisson Distribution;Population Surveillance;Prevalence;Prospective Studies;Risk Factors;Rural Population;Stroke/ep Epidemiology];Urban Population</t>
  </si>
  <si>
    <t>INTRODUCTION: Chronic non-communicable diseases are the leading cause of death worldwide, except in Sub-Saharan Africa. Nonetheless, one of these conditions, dementia, is the major contributor to disability-adjusted life years in people aged &gt;=60 years. Few epidemiological studies exist of the prevalence and impact of dementia and selected chronic diseases in older adults in Latin America. OBJECTIVE: Describe prevalence of dementia, other chronic vascular diseases and cardiovascular risk factors, as well as resulting disabilities and care needs generated in adults aged &gt;=65 years in Havana City and Matanzas provinces, Cuba. METHODS: The 10/66 study is a prospective longitudinal study involving a cohort of 3015 adults aged &gt;=65 years in municipalities of Havana City and Matanzas provinces, divided into two phases: a cross-sectional door-to-door study conducted in 2003-2006, and a follow-up and assessment phase in 2007-2010. This article reports findings from the first phase. Hypertension diagnosis was based on criteria from the International Society for Hypertension; diabetes mellitus on American Diabetes Association criteria; stroke according to WHO definitions; and dementia according to criteria of the American Psychiatric Society's Diagnostic and Statistical Manual of Mental Disorders DSM-IV and the 10/66 International Dementia Research Group. Ischemic heart disease was defined by self-report of previous physician diagnosis. Study variables included age, sex, educational level, substance use (alcohol, tobacco) and dietary habits. A structured physical and neurological exam, including blood pressure measurement, was performed on all participants. Laboratory tests included complete blood count, fasting blood glucose, total cholesterol and lipoprotein fractions, triglycerides and apolipoprotein E genotype. Prevalence and standardized morbidity ratios (crude and adjusted) were calculated for chronic diseases studied with 95% confidence intervals, using a Poisson regression model and indirect standardization. RESULTS: The study assessed 2944 older adults (response rate 97.6%) and found high prevalence of vascular risk factors and of chronic non-communicable diseases: hypertension 73.0% (95% CI 71.4-74.7), diabetes mellitus 24.8% (95% CI 22.9-26.5), ischemic heart disease 14.1% (95% CI 12.9-15.4), dementia 10.8% (95% CI 9.7-12.0) and stroke 7.8% (95% CI 6.9-8.8). The majority of participants (85%) had more than one cardiovascular risk factor. The main cause of disability and dependency in the study population was dementia. CONCLUSION: The high prevalence of chronic diseases observed in the elderly--with the consequent morbidity, disability and dependency--highlights the need for prevention, early diagnosis and risk factor control, particularly given the demographic and epidemiologic transition faced by Cuba and other developing countries.</t>
  </si>
  <si>
    <t>J2: Meicc Rev; Llibre, Juan de Jesus Valhuerdi, Adolfo Calvo, Marina Garcia, Rosa M Guerra, Milagros Laucerique, Tania Lopez, Ana M Llibre, Juan Carlos Noriega, Lisseth Sanchez, Isis Y Porto, Rudbeskia Arencibia, Francis Marcheco, Beatriz Moreno, Carmen; ID: 459</t>
  </si>
  <si>
    <t>1527-3172</t>
  </si>
  <si>
    <t>Llibre, Juan de Jesus. Alzheimer Studies Center, Finlay-Albarran Medical Faculty of the Medical University of Havana, Cuba. mguerra@infomed.sld.cu</t>
  </si>
  <si>
    <t>http://ovidsp.ovid.com/ovidweb.cgi?T=JS&amp;CSC=Y&amp;NEWS=N&amp;PAGE=fulltext&amp;D=med7&amp;AN=22143605</t>
  </si>
  <si>
    <t>MEDLINE; Ovid Technologies; Dementia and other chronic diseases in older adults in Havana and Matanzas: the 10/66 study in Cuba</t>
  </si>
  <si>
    <t>Lobos-Wild,R.</t>
  </si>
  <si>
    <t>The general practitioner's office: jumping-off point and stumbling block for drug addicts]</t>
  </si>
  <si>
    <t>Education, Medical, Continuing;Family Practice/ed Education];Heroin Dependence/rh Rehabilitation];Humans;Physician's Role;*Physician-Patient Relations;Substance-Related Disorders/px Psychology];*Substance-Related Disorders/rh Rehabilitation];Switzerland</t>
  </si>
  <si>
    <t>J2: Rev Med Suisse Romande; French Lobos-Wild, R; OP: Le cabinet du generaliste: point de chute et pierre d'achoppement pour les toxicodependants; ID: 1253</t>
  </si>
  <si>
    <t>http://ovidsp.ovid.com/ovidweb.cgi?T=JS&amp;CSC=Y&amp;NEWS=N&amp;PAGE=fulltext&amp;D=med3&amp;AN=8316721</t>
  </si>
  <si>
    <t>MEDLINE; Ovid Technologies; [The general practitioner's office: jumping-off point and stumbling block for drug addicts]</t>
  </si>
  <si>
    <t>Lockyer,J.;el-Guebaly,N.;Simpson,E.;Gromoff,B.;Toews,J.;Juschka,B.</t>
  </si>
  <si>
    <t>Standardized patients as a measure of change in the ability of family physicians to detect and manage alcohol abuse</t>
  </si>
  <si>
    <t>S1</t>
  </si>
  <si>
    <t>*Alcoholism/di Diagnosis];Analysis of Variance;Canada;*Clinical Competence/st Standards];Clinical Competence/sn Statistics &amp; Numerical Data];Education, Medical, Continuing;Educational Measurement/mt Methods];Educational Measurement/sn Statistics &amp; Numerical Data];Humans;Physicians, Family/ed Education];*Physicians, Family/st Standards];Physicians, Family/sn Statistics &amp; Numerical Data];Videotape Recording</t>
  </si>
  <si>
    <t>J2: Acad Med; Lockyer, J el-Guebaly, N Simpson, E Gromoff, B Toews, J Juschka, B; ID: 1180</t>
  </si>
  <si>
    <t>Lockyer, J. University of Calgary, Alberta, Canada.</t>
  </si>
  <si>
    <t>http://ovidsp.ovid.com/ovidweb.cgi?T=JS&amp;CSC=Y&amp;NEWS=N&amp;PAGE=fulltext&amp;D=med4&amp;AN=8546761</t>
  </si>
  <si>
    <t>MEDLINE; Ovid Technologies; Standardized patients as a measure of change in the ability of family physicians to detect and manage alcohol abuse</t>
  </si>
  <si>
    <t>Lofwall,M. R.;Wunsch,M. J.;Nuzzo,P. A.;Walsh,S. L.</t>
  </si>
  <si>
    <t>Efficacy of continuing medical education to reduce the risk of buprenorphine diversion</t>
  </si>
  <si>
    <t>Behavior, Addictive/pc Prevention &amp; Control];Behavior, Addictive/px Psychology];*Buprenorphine/ad Administration &amp; Dosage];Buprenorphine/ae Adverse Effects];Buprenorphine/tu Therapeutic Use];Drug Administration Schedule;*Education, Medical, Continuing;Humans;Longitudinal Studies;*Narcotic Antagonists/ad Administration &amp; Dosage];Narcotic Antagonists/ae Adverse Effects];Narcotic Antagonists/tu Therapeutic Use];Opiate Substitution Treatment/px Psychology];*Opiate Substitution Treatment;Opioid-Related Disorders/ep Epidemiology];*Opioid-Related Disorders/pc Prevention &amp; Control];*Practice Patterns, Physicians';0 (Narcotic Antagonists);40D3SCR4GZ (Buprenorphine)</t>
  </si>
  <si>
    <t>As office-based opioid dependence treatment (OBOT) has grown in the United States, postmarketing surveillance data reveal increased reports of buprenorphine misuse and diversion. It is important that doctors understand buprenorphine clinical pharmacology and engage in practices to decrease risk of misuse, diversion, and other adverse events. This study evaluated the efficacy of continuing medical education (CME) in two U.S. regions with surveillance signals of buprenorphine misuse/diversion. Four surveys (before, on-site, and 1 and 3 months post CME) evaluated physician characteristics, practice behaviors, and buprenorphine pharmacology and legislative knowledge. The results show that physicians had limited addictions training. Knowledge and practice behaviors significantly improved after the CME, which should enhance the quality of OBOT and may decrease risk of buprenorphine misuse and diversion from their practices. Mandatory CME targeting OBOT-certified physicians could have a positive impact on patient and public health outcomes.</t>
  </si>
  <si>
    <t>J2: J Subst Abuse Treat; Lofwall, Michelle R Wunsch, Martha J Nuzzo, Paul A Walsh, Sharon L; ID: 465</t>
  </si>
  <si>
    <t>Lofwall, Michelle R. Department of Psychiatry, University of Kentucky, Lexington, KY 40509, USA. michelle.lofwall@uky.edu</t>
  </si>
  <si>
    <t>http://ovidsp.ovid.com/ovidweb.cgi?T=JS&amp;CSC=Y&amp;NEWS=N&amp;PAGE=fulltext&amp;D=med7&amp;AN=21664789</t>
  </si>
  <si>
    <t>https://dx.doi.org/10.1016/j.jsat.2011.04.008</t>
  </si>
  <si>
    <t>MEDLINE; Ovid Technologies; Efficacy of continuing medical education to reduce the risk of buprenorphine diversion</t>
  </si>
  <si>
    <t>Lohr,K. M.;Engbring,N. H.</t>
  </si>
  <si>
    <t>Institution-wide program for impaired residents at a major teaching hospital</t>
  </si>
  <si>
    <t>Alcoholism/ec Economics];*Alcoholism/th Therapy];*Hospitals, Teaching/og Organization &amp; Administration];Humans;Insurance, Psychiatric;*Internship and Residency;Outcome and Process Assessment (Health Care);*Physician Impairment;Professional Staff Committees;Substance-Related Disorders/ec Economics];*Substance-Related Disorders/th Therapy];Wisconsin</t>
  </si>
  <si>
    <t>An institution-wide program for residents impaired by alcohol, other drugs, or emotional problems was established in 1983 at the Medical College of Wisconsin Affiliated Hospitals. The goal of the program was to help impaired house staff members to continue their training in a nonpunitive environment. An approach to reviewing allegations of impairment and a legal agreement between the hospital and the recovering resident were implemented. Because no residents were reported for impairment during its first two years, the program's emphasis was shifted from an investigative to an educational, assistive role. Major problems in carrying out the program have been the program's lack of authority to ensure cooperation by program directors and by impaired residents; a widespread unfamiliarity with intervention procedures despite efforts to inform residents, their spouses, faculty members, and administrators about the program; and misconceptions that the program is punitive. Further impediments are lack of a budget to provide educational activities, inadequate socializing between the faculty and the house staff that would enable faculty members to recognize early signs of impairment; and inadequate health insurance coverage for long-term treatment.</t>
  </si>
  <si>
    <t>J2: J Med Educ; Lohr, K M Engbring, N H; ID: 1416</t>
  </si>
  <si>
    <t>Lohr, K M. University of Tennessee, Memphis, College of Medicine.</t>
  </si>
  <si>
    <t>http://ovidsp.ovid.com/ovidweb.cgi?T=JS&amp;CSC=Y&amp;NEWS=N&amp;PAGE=fulltext&amp;D=med3&amp;AN=3346894</t>
  </si>
  <si>
    <t>MEDLINE; Ovid Technologies; Institution-wide program for impaired residents at a major teaching hospital</t>
  </si>
  <si>
    <t>London,E. D.</t>
  </si>
  <si>
    <t>Impulsivity, Stimulant Abuse, and Dopamine Receptor Signaling</t>
  </si>
  <si>
    <t>Advances in pharmacology</t>
  </si>
  <si>
    <t>Adv.Pharmacol.</t>
  </si>
  <si>
    <t>*Amphetamine-Related Disorders/pp Physiopathology];Central Nervous System Stimulants;Corpus Striatum/me Metabolism];Dopamine/me Metabolism];Humans;*Impulsive Behavior/de Drug Effects];*Methamphetamine/ae Adverse Effects];Receptors, Dopamine D2/me Metabolism];Synaptic Transmission;0 (Central Nervous System Stimulants);0 (Receptors, Dopamine D2);44RAL3456C (Methamphetamine);VTD58H1Z2X (Dopamine)</t>
  </si>
  <si>
    <t>The nonmedical use of amphetamine-type stimulants is a worldwide problem, with substantial medical and social consequences. Nonetheless, the identification of a pharmacological treatment for amphetamine use disorder remains elusive. Stimulant users exhibit neurochemical evidence of dopamine-system dysfunction as well as impulsive behaviors that may interfere with the success of treatments for their addiction. This review focuses on the potential role of dopaminergic neurotransmission in impulsivity, both in healthy individuals and chronic stimulant users who meet criteria for methamphetamine dependence. Presented are findings related to the potential contributions of signaling through dopamine D1- and D2-type receptors to self-control impulsivity in methamphetamine- dependent users. The information available points to signaling through striatal D2-type dopamine receptors as a potential therapeutic target for stimulant use disorders, but medications that target D2-type dopamine receptors have not been successful in treating stimulant-use disorders, possibly because D2-type receptors are downregulated. Other means to augment D2-type receptor signaling are therefore under consideration, and one promising approach is the addition of exercise training as an adjunct to behavioral treatment for addiction.</t>
  </si>
  <si>
    <t>J2: Adv Pharmacol; London, E D S1054-3589(16)30001-1; ID: 41</t>
  </si>
  <si>
    <t>1557-8925</t>
  </si>
  <si>
    <t>London, E D. Brain Research Institute, David Geffen School of Medicine at the University of California Los Angeles, Los Angeles, CA, United States. Electronic address: elondon@mednet.ucla.edu.</t>
  </si>
  <si>
    <t>http://ovidsp.ovid.com/ovidweb.cgi?T=JS&amp;CSC=Y&amp;NEWS=N&amp;PAGE=fulltext&amp;D=medl&amp;AN=27288074</t>
  </si>
  <si>
    <t>https://dx.doi.org/10.1016/bs.apha.2016.01.002</t>
  </si>
  <si>
    <t>MEDLINE; Ovid Technologies; Impulsivity, Stimulant Abuse, and Dopamine Receptor Signaling</t>
  </si>
  <si>
    <t>London,J. A.;Battistella,F. D.</t>
  </si>
  <si>
    <t>Testing for substance use in trauma patients: are we doing enough?</t>
  </si>
  <si>
    <t>Archives of Surgery</t>
  </si>
  <si>
    <t>Adolescent;Adult;Alcoholism/di Diagnosis];Cohort Studies;Confidentiality;Continental Population Groups;Female;Glasgow Coma Scale;Humans;Injury Severity Score;Longitudinal Studies;Male;Mass Screening;Middle Aged;Patient Admission;Retrospective Studies;Sex Factors;*Substance Abuse Detection;*Wounds and Injuries/co Complications];Wounds, Nonpenetrating/co Complications];Wounds, Penetrating/co Complications]</t>
  </si>
  <si>
    <t>HYPOTHESIS: Only a fraction of trauma patients are being tested for substance use, and the proportion of those tested may have decreased over time. DESIGN: Retrospective review of longitudinal data. SETTING: National Trauma Data Bank. PATIENTS: Individuals aged 15 to 50 years admitted with injuries from 1998 to 2003. MAIN OUTCOME MEASURES: The primary outcomes of interest are the incidence of drug and alcohol testing and the results of these tests. The primary exposure of interest is year of admission. RESULTS: Half of patients admitted with injuries are being tested for alcohol use, and half of these patients have positive test results. Only 36.3% of patients admitted with injuries are tested for drug use, and 46.5% of these patients have positive test results. There have been no significant trends for either alcohol testing or results in the past 6 years. Compared with 1998, patients are significantly less likely to be tested for drugs, but more likely to have positive test results. CONCLUSIONS: Only a small proportion of patients who are admitted with injuries are tested for substance use. The proportion of patients tested for drugs has decreased significantly during the past 6 years. Routine testing would maximize identification of patients who may benefit from interventions. Several obstacles exist to routine screening, including legal and physician-related barriers. Future efforts to facilitate routine testing of trauma patients for substance use should concentrate on protecting patient confidentiality and educating physicians on the techniques and benefits of brief interventions.</t>
  </si>
  <si>
    <t>J2: Arch Surg; London, Jason A Battistella, Felix D; ID: 751</t>
  </si>
  <si>
    <t>0004-0010</t>
  </si>
  <si>
    <t>London, Jason A. Division of Trauma and Emergency Surgery, Department of Surgery, University of California, Davis Medical Center, Sacramento, CA 95817, USA. jason.london@ucdmc.ucdavis.edu</t>
  </si>
  <si>
    <t>http://ovidsp.ovid.com/ovidweb.cgi?T=JS&amp;CSC=Y&amp;NEWS=N&amp;PAGE=fulltext&amp;D=med5&amp;AN=17638800</t>
  </si>
  <si>
    <t>MEDLINE; Ovid Technologies; Testing for substance use in trauma patients: are we doing enough?</t>
  </si>
  <si>
    <t>Long,P.;Gelfand,G.;McGill,D.</t>
  </si>
  <si>
    <t>Inclusion of alcoholism and drug abuse content in curricula of varied health care professions</t>
  </si>
  <si>
    <t>Journal of the New York State Nurses Association</t>
  </si>
  <si>
    <t>*Alcoholism;*Curriculum;*Education, Dental;*Education, Medical;*Education, Nursing;Humans;New York;Schools, Dental;Schools, Medical;Schools, Nursing;*Substance-Related Disorders;Surveys and Questionnaires</t>
  </si>
  <si>
    <t>Alcoholism and drug abuse are prevalent health problems in the United States. Practitioners in nursing, medicine, and dentistry need to be cognizant of the insidious signs of chemical dependency. A descriptive survey using a researcher-designed questionnaire yielded a sample which consisted of 11 medical schools, 2 dental schools, 25 baccalaureate and higher degree nursing programs, and 38 associate degree nursing programs. The survey findings indicated that the curricula for nursing, medicine, and dentistry were inadequate in chemical dependency content. This survey evidenced the need for a stronger educational effort addressing both knowledge of alcoholism/drug abuse and impaired professional practice in the curricula of the health professional programs examined.</t>
  </si>
  <si>
    <t>J2: J N Y State Nurses Assoc; Long, P Gelfand, G McGill, D; ID: 1306</t>
  </si>
  <si>
    <t>0028-7644</t>
  </si>
  <si>
    <t>http://ovidsp.ovid.com/ovidweb.cgi?T=JS&amp;CSC=Y&amp;NEWS=N&amp;PAGE=fulltext&amp;D=med3&amp;AN=1941272</t>
  </si>
  <si>
    <t>MEDLINE; Ovid Technologies; Inclusion of alcoholism and drug abuse content in curricula of varied health care professions</t>
  </si>
  <si>
    <t>Longman,C.;Temple-Smith,M.;Gilchrist,G.;Lintzeris,N.</t>
  </si>
  <si>
    <t>Reluctant to train, reluctant to prescribe: barriers to general practitioner prescribing of opioid substitution therapy</t>
  </si>
  <si>
    <t>Australian Journal of Primary Health</t>
  </si>
  <si>
    <t>Adult;*Attitude of Health Personnel;Female;Humans;Interviews as Topic;Male;Middle Aged;*Opiate Substitution Treatment/mt Methods];*Physicians, Family;*Practice Patterns, Physicians'/sn Statistics &amp; Numerical Data];Victoria</t>
  </si>
  <si>
    <t>Opioid substitution therapy (OST) is a well-recognised, evidence-based treatment for opioid dependence. Since the early 1990s, Australia has used a community-based general practitioner (GP) model ofprescribing, particularly within the state of Victoria, where over 85% of OST prescribing is undertaken by GPs in community settings. Yet the majority of GPs invited to complete the required OST training decline the offer, while of those who complete training, the majority prescribe to few or no patients. This study aimed to determine the reasons for this. Twenty-two in-depth interviews were conducted with Victorian GPs exploring the reasons why the majority declined training, and for trained GPs, why they prescribed to few or no patients in the first 12 months after training. General practitioners who declined to train were predominantly influenced by negative experiences with drug-seeking patients, although other secondary reasons also affected their decision. Some GPs who completed the training were prevented from prescribing by several structural and operational barriers, many of which could be addressed. Fear of deskilling with time became a further impediment. General practitioners who became regular prescribers were highly committed with lengthy general practice experience. Concerns exist about the recruitment process for OST prescriber training, where nearly all GPs decline the offer of training, and the barriers that prevent GPs prescribing after training. Action is needed to address barriers to GP OST training and prescribing, and further research is necessary to ascertain measures required to facilitate long-term prescribing.</t>
  </si>
  <si>
    <t>J2: Aust J Prim Health; Longman, Christine Temple-Smith, Meredith Gilchrist, Gail Lintzeris, Nicholas; ID: 363</t>
  </si>
  <si>
    <t>1448-7527</t>
  </si>
  <si>
    <t>Longman, Christine. Department of General Practice and Primary Health Care Academic Centre, Faculty of Medicine, Dentistry and Health Sciences, University of Melbourne, 200 Berkeley Street, Carlton, Vic. 3053, Australia. chrislongman22@gmail.com</t>
  </si>
  <si>
    <t>http://ovidsp.ovid.com/ovidweb.cgi?T=JS&amp;CSC=Y&amp;NEWS=N&amp;PAGE=fulltext&amp;D=med7&amp;AN=22950844</t>
  </si>
  <si>
    <t>MEDLINE; Ovid Technologies; Reluctant to train, reluctant to prescribe: barriers to general practitioner prescribing of opioid substitution therapy</t>
  </si>
  <si>
    <t>Loredo,E. S.;de,Souza Matos;da,Silva Ezequiel;Lucchetti,A. L. G.;Lucchetti,G.</t>
  </si>
  <si>
    <t>The Use of Smartphones in Different Phases of Medical School and its Relationship to Internet Addiction and Learning Approaches</t>
  </si>
  <si>
    <t>Journal of medical systems</t>
  </si>
  <si>
    <t>J.Med.Syst.</t>
  </si>
  <si>
    <t>The use of smartphones is revolutionizing the way information is acquired, leading to profound modifications in teaching medicine. Nevertheless, inadvertent use can negatively affect student learning. The present study aims to evaluate smartphone use in the educational context as well as Internet addiction and its repercussions on surface and deep learning and to compare them during the different phases of medical students' education. This is a cross-sectional study involving medical students in all phases of education. Sociodemographic data, type and frequency of smartphone use, degree of digital addiction (Internet Addiction Test - IAT), and surface and deep approaches to learning (Biggs) were analyzed. A total of 710 students were included. Almost all students had a smartphone and a total of 96.8% used it during lectures, classes, and meetings. Less than half of the students (47.3%) reported using a smartphone for more than 10 min for educational purposes, a usage that is higher among clerkship students. At least 95% reported using a smartphone in the classroom for activities not related to medicine (social media and searching for general information) and 68.2% were considered problematic Internet users according to the IAT. The most common reasons for noneducational use were that the class was uninteresting, students needed to receive or make an important call, and the educational strategy was not stimulating. The "frequency of smartphone use" and higher "internet addiction" were correlated to both higher levels of surface learning and lower levels of deep learning. Educators should advise and educate their students about conscientious use of this tool to avoid detrimental impact on the learning process.</t>
  </si>
  <si>
    <t>J2: J Med Syst; Loredo E Silva, Mathias Paulo de Souza Matos, Brenda Dutra da Silva Ezequiel, Oscarina Lucchetti, Alessandra Lamas Granero Lucchetti, Giancarlo; ID: 1627</t>
  </si>
  <si>
    <t>1573-689X</t>
  </si>
  <si>
    <t>Loredo E Silva, Mathias Paulo. School of Medicine, Federal University of Juiz de Fora, Avenida Eugenio do Nascimento s/n - Dom Bosco, Juiz de Fora, Brazil. de Souza Matos, Brenda Dutra. School of Medicine, Federal University of Juiz de Fora, Avenida Eugenio do Nascimento s/n - Dom Bosco, Juiz de Fora, Brazil. da Silva Ezequiel, Oscarina. School of Medicine, Federal University of Juiz de Fora, Avenida Eugenio do Nascimento s/n - Dom Bosco, Juiz de Fora, Brazil. Lucchetti, Alessandra Lamas Granero. School of Medicine, Federal University of Juiz de Fora, Avenida Eugenio do Nascimento s/n - Dom Bosco, Juiz de Fora, Brazil. Lucchetti, Giancarlo. School of Medicine, Federal University of Juiz de Fora, Avenida Eugenio do Nascimento s/n - Dom Bosco, Juiz de Fora, Brazil. g.lucchetti@yahoo.com.br.</t>
  </si>
  <si>
    <t>http://ovidsp.ovid.com/ovidweb.cgi?T=JS&amp;CSC=Y&amp;NEWS=N&amp;PAGE=fulltext&amp;D=prem&amp;AN=29700626</t>
  </si>
  <si>
    <t>https://dx.doi.org/10.1007/s10916-018-0958-x</t>
  </si>
  <si>
    <t>MEDLINE; Ovid Technologies; The Use of Smartphones in Different Phases of Medical School and its Relationship to Internet Addiction and Learning Approaches</t>
  </si>
  <si>
    <t>Lorencatto,F.;Harper,A. M.;Francis,J. J.;Lawrenson,J. G.</t>
  </si>
  <si>
    <t>A survey of UK optometry trainees' smoking cessation training</t>
  </si>
  <si>
    <t>Ophthalmic &amp; Physiological Optics</t>
  </si>
  <si>
    <t>*Attitude of Health Personnel;*Education, Medical, Undergraduate/mt Methods];Female;Humans;Incidence;Male;*Optometry/ed Education];Risk Factors;*Smoking/ep Epidemiology];*Smoking Cessation/mt Methods];United Kingdom/ep Epidemiology]</t>
  </si>
  <si>
    <t>BACKGROUND: Smoking is a risk factor for a number of eye conditions, including age-related macular degeneration, cataracts and thyroid eye disease. Smoking cessation interventions have been shown to be highly cost-effective when delivered by a range of healthcare professionals. Optometrists are well placed to deliver smoking cessation advice to a wide population of otherwise healthy smokers. Yet optometrists remain a relatively neglected healthcare professional group in smoking cessation research and policy. Surveys of UK medical/nursing schools and of optometrists' training internationally demonstrate significant deficits in current curricular coverage regarding smoking cessation. This study aimed to identify the extent of smoking cessation training in UK optometry trainees' undergraduate and pre-registration training. METHODS: All undergraduate optometry schools in the UK (n = 9) were invited to participate in a web-based survey of their curricular coverage and assessment related to smoking cessation, and of perceived barriers to delivering smoking cessation training. A content analysis of the College of Optometrists Scheme for Registration Trainee Handbook 2014 was conducted to identify competence indicators related to smoking cessation. RESULTS: Nine undergraduate optometry schools (100%) responded to the survey. The majority reported dedicating limited hours (0-3) to teaching smoking cessation, and predominantly focused on teaching the harmful effects of smoking (89%). Only one school provides practical skills training for delivering evidence-based smoking cessation interventions, including very brief advice. The majority of schools (78%) reported that they did not formally examine students on their knowledge or skills for supporting smoking cessation, and rated confidence in their graduates' abilities to deliver smoking cessation interventions as 'poor' (78%). Lack of knowledge amongst staff was identified as the key barrier to teaching about smoking cessation support. The pre-registration competency framework does not include any competence indicators related to providing support for quitting smoking. CONCLUSIONS: There are substantial gaps in the current curricula of UK optometry training, particularly regarding practical skills for supporting smoking cessation. Increased curricular coverage of these issues is essential to ensure trainee optometrists are adequately trained and competent in supporting patients to quit smoking.</t>
  </si>
  <si>
    <t>J2: Ophthalmic Physiol Opt; Lorencatto, Fabiana Harper, Alice M Francis, Jill J Lawrenson, John G; ID: 81</t>
  </si>
  <si>
    <t>1475-1313</t>
  </si>
  <si>
    <t>Lorencatto, Fabiana. Centre for Health Services Research, School of Health Sciences, City University London, London, UK. Harper, Alice M. Centre for Health Services Research, School of Health Sciences, City University London, London, UK. Francis, Jill J. Centre for Health Services Research, School of Health Sciences, City University London, London, UK. Lawrenson, John G. Centre for Public Health Research, School of Health Sciences, City University London, London, UK.</t>
  </si>
  <si>
    <t>http://ovidsp.ovid.com/ovidweb.cgi?T=JS&amp;CSC=Y&amp;NEWS=N&amp;PAGE=fulltext&amp;D=med8&amp;AN=26920077</t>
  </si>
  <si>
    <t>https://dx.doi.org/10.1111/opo.12290</t>
  </si>
  <si>
    <t>MEDLINE; Ovid Technologies; A survey of UK optometry trainees' smoking cessation training</t>
  </si>
  <si>
    <t>Lovas,K.;Hadnagy,L.;Jobban,E.;Kullmann,T.</t>
  </si>
  <si>
    <t>Analysis of the accessibility of short acting oral opioids in Hungary]</t>
  </si>
  <si>
    <t>Orvosi hetilap</t>
  </si>
  <si>
    <t>Orv.Hetil.</t>
  </si>
  <si>
    <t>Administration, Oral;Analgesics, Opioid/ad Administration &amp; Dosage];Analgesics, Opioid/ae Adverse Effects];Analgesics, Opioid/pd Pharmacology];*Analgesics, Opioid;Analgesics, Short-Acting/ad Administration &amp; Dosage];Analgesics, Short-Acting/ae Adverse Effects];*Analgesics, Short-Acting;Drug Industry;Education, Medical, Continuing;Fentanyl/ad Administration &amp; Dosage];Government Agencies;Health Services Accessibility/lj Legislation &amp; Jurisprudence];Health Services Accessibility/og Organization &amp; Administration];Health Services Accessibility/sn Statistics &amp; Numerical Data];Health Services Accessibility/td Trends];*Health Services Accessibility;Humans;Hungary;Insurance, Health;Mass Media;*Morphine Dependence/pc Prevention &amp; Control];Morphine Derivatives/ad Administration &amp; Dosage];Morphine Derivatives/ae Adverse Effects];Morphine Derivatives/pd Pharmacology];*Morphine Derivatives;*Pain/dt Drug Therapy];Pain/et Etiology];Practice Patterns, Physicians';Universities;0 (Analgesics, Opioid);0 (Analgesics, Short-Acting);0 (Morphine Derivatives);UF599785JZ (Fentanyl)</t>
  </si>
  <si>
    <t>Short acting oral formulas make part of optimal opioid analgesia. The use of short acting oral morphine has not widely spread in Hungary, and these drugs completely lacked from the market for three years. Since December 2015 short acting morphine-sulphate has again been commercialised. The causes of the market failure are analysed in this article. The aim of the retrospective analysis is to help the accessibility of the medicine to every patient in need. Prescription morphine use depends on the harmonised cooperation of a number of actors. Besides regulating and financing authorities and professional organisations, patients and the opinion forming media are also responsible for building up the right routine.</t>
  </si>
  <si>
    <t>J2: Orv Hetil; Lovas, Kornelia Hadnagy, Laszlo Jobban, Eszter Kullmann, Tamas; OP: A rovid hatasu, szajon at adhato morfinszarmazekok hazai elerhetosegenek elemzese; ID: 163</t>
  </si>
  <si>
    <t>0030-6002</t>
  </si>
  <si>
    <t>Lovas, Kornelia. Man-O Bt. Budakeszi. Hadnagy, Laszlo. Radiologiai Osztaly, Marosvasarhelyi Megyei Surgossegi Klinikai Korhaz Marosvasarhely. Jobban, Eszter. Misszio Egeszsegugyi Kozpont Veresegyhaz. Kullmann, Tamas. Onkoradiologiai Osztaly, Petz Aladar Megyei Oktato Korhaz Gyor, Vasvari Pal u. 2-4., 9024.</t>
  </si>
  <si>
    <t>Hungarian</t>
  </si>
  <si>
    <t>http://ovidsp.ovid.com/ovidweb.cgi?T=JS&amp;CSC=Y&amp;NEWS=N&amp;PAGE=fulltext&amp;D=med8&amp;AN=27106724</t>
  </si>
  <si>
    <t>https://dx.doi.org/10.1556/650.2016.30411</t>
  </si>
  <si>
    <t>MEDLINE; Ovid Technologies; [Analysis of the accessibility of short acting oral opioids in Hungary]</t>
  </si>
  <si>
    <t>Lowenstein,S. R.;Weissberg,M. P.;Terry,D.</t>
  </si>
  <si>
    <t>Alcohol intoxication, injuries, and dangerous behaviors--and the revolving emergency department door</t>
  </si>
  <si>
    <t>Journal of Trauma-Injury Infection &amp; Critical Care</t>
  </si>
  <si>
    <t>Adult;*Alcoholic Intoxication/co Complications];Alcoholism/px Psychology];Alcoholism/th Therapy];Counseling;*Dangerous Behavior;Education, Medical, Continuing;Emergency Medicine/ed Education];Female;Humans;Male;Psychotherapy/mt Methods];Referral and Consultation;Violence;*Wounds and Injuries/et Etiology];Wounds and Injuries/pc Prevention &amp; Control]</t>
  </si>
  <si>
    <t>Suicides, homicides, motor vehicle crashes, and other violent deaths and injuries are linked inextricably to alcoholism. The association of injury and alcoholism should be particularly obvious to Emergency Department (ED) physicians. We sought to determine the extent to which intoxicated patients in an ED were properly diagnosed, counselled, and referred for substance abuse care. We reviewed the charts of 153 consecutive patients seen in a teaching hospital ED who had blood alcohol levels above 100 mg%. Most were male (70%), white (62%), young (mean age, 34 years) and severely intoxicated (mean BAL, 245; range, 109-558 mg%). Forty-six per cent of visits were for trauma; half of the patients were victims of violent assaults. The intoxicated patients received extensive medical and surgical management: an average of five tests or X-rays were performed per patient; 75% received at least one medication; at discharge 48% were referred for followup to medical or surgical clinics. In contrast, few patients were evaluated for dangerous behaviors or referred for treatment of alcoholism: only 19 patients (12.5%) were asked about depression, suicide, or homicide; 15% were advised to stop drinking; 13% received a referral to a psychiatrist, mental health worker, or alcohol rehabilitation facility. Forty-seven per cent of patients received "stat" intravenous thiamine (although the Wernicke-Korsakoff syndrome is rare). In contrast, only 16% received a stat on-site psychiatric consultation (although dangerous behaviors are common in alcoholics). There was a strong, statistically significant negative association between the occurrence of an injury and the decision to initiate treatment and referrals for alcoholism.(ABSTRACT TRUNCATED AT 250 WORDS)</t>
  </si>
  <si>
    <t>J2: J Trauma; Lowenstein, S R Weissberg, M P Terry, D; ID: 1346</t>
  </si>
  <si>
    <t>0022-5282</t>
  </si>
  <si>
    <t>Lowenstein, S R. Emergency Medicine Clinical Research Center, University of Colorado Health Science Center, Denver.</t>
  </si>
  <si>
    <t>http://ovidsp.ovid.com/ovidweb.cgi?T=JS&amp;CSC=Y&amp;NEWS=N&amp;PAGE=fulltext&amp;D=med3&amp;AN=2213933</t>
  </si>
  <si>
    <t>MEDLINE; Ovid Technologies; Alcohol intoxication, injuries, and dangerous behaviors--and the revolving emergency department door</t>
  </si>
  <si>
    <t>Lu,D. P.;Lu,G. P.</t>
  </si>
  <si>
    <t>An Historical Review and Perspective on the Impact of Acupuncture on U.S. Medicine and Society</t>
  </si>
  <si>
    <t>Medical Acupuncture</t>
  </si>
  <si>
    <t>BACKGROUND: It took almost 300 years for Europe and 400 years for the United States to finally appreciate the therapeutic value of acupuncture. Findings from basic medical research that acupuncture stimulation causes release of endorphins, serotonin, enkephalins, and gamma-amino-butyric acid (GABA; a major inhibitory neurotransmitter of the brain), norepinephrine, and dopamine helped to explain the acupuncture effect on a biomedical and pharmacological basis that was acceptable to the Western medical establishment. CONTEXT: In the United States, there is significantly increased familiarity with acupuncture and U.S. patients have sought acupuncture treatment to relieve stress-related syndromes, to enhance the immune system, to reduce insomnia, to improve athletic performance, and to address Alzheimer's disease, as well as for cardiac and poststroke therapy. This article briefly reviews the history of acupuncture in the United States and discusses the potential of this modality in the the future. DISCUSSION: Acupuncture can be combined with conventional Western medicine for pain management in patient with cancer to reduce dosages of narcotic medications, side-effects, adverse reactions, and the possibility of narcotic addiction. Because of acupuncture's increased popularity, acupuncture training schools have been set up in the United States, and some insurance companies cover acupuncture therapy. CONCLUSIONS: By studying both Eastern and Western medicine and using them in a complementary fashion, we open ourselves to many discoveries for the benefit of humanity.</t>
  </si>
  <si>
    <t>J2: Med Acupunct; Lu, Dominic P Lu, Gabriel P; ID: 1702</t>
  </si>
  <si>
    <t>1933-6586</t>
  </si>
  <si>
    <t>Lu, Dominic P. Department of Oral Medicine, University Pennsylvania , Philadelphia, PA. Lu, Gabriel P. Department of Clinical Anesthesiology, Albert Einstein College of Medicine , Bronx, NY.</t>
  </si>
  <si>
    <t>http://ovidsp.ovid.com/ovidweb.cgi?T=JS&amp;CSC=Y&amp;NEWS=N&amp;PAGE=fulltext&amp;D=medp&amp;AN=24761180</t>
  </si>
  <si>
    <t>MEDLINE; Ovid Technologies; An Historical Review and Perspective on the Impact of Acupuncture on U.S. Medicine and Society</t>
  </si>
  <si>
    <t>Lubman,D.;Jurd,S.;Baigent,M.;Krabman,P.</t>
  </si>
  <si>
    <t>Putting 'addiction' back into psychiatry: the RANZCP Section of Addiction Psychiatry</t>
  </si>
  <si>
    <t>*Alcoholism/hi History];Alcoholism/rh Rehabilitation];Australia;Clinical Competence/st Standards];Education, Medical, Continuing/td Trends];Education, Medical, Graduate/td Trends];Forecasting;*Gambling;Health Services Needs and Demand/td Trends];History, 20th Century;History, 21st Century;Humans;Practice Guidelines as Topic;*Psychiatry/hi History];Psychiatry/td Trends];*Societies, Medical/hi History];Societies, Medical/td Trends];*Substance-Related Disorders/hi History];Substance-Related Disorders/rh Rehabilitation]</t>
  </si>
  <si>
    <t>OBJECTIVE: The aim of this paper is to provide an overview of the history and activities of the RANZCP Section of Addiction Psychiatry, as well as its current challenges and opportunities. CONCLUSIONS: From initial exclusion to an active and growing membership, the Section of Addiction Psychiatry continues to ensure that problematic substance use and gambling remain core issues within Australasian psychiatry. In addition to commenting and contributing to ongoing clinical and policy initiatives, the Section has recently introduced an advanced training curriculum and maintains a strong partnership with the relatively new Australasian Chapter of Addiction Medicine. Its active input into education, training, media and policy development within the College guarantees that psychiatry is represented within the addiction field, and that tomorrow's psychiatrists are competent to assess and treat comorbid addiction issues.</t>
  </si>
  <si>
    <t>J2: Australas; Lubman, Dan Jurd, Stephen Baigent, Michael Krabman, Peter; ID: 705</t>
  </si>
  <si>
    <t>Lubman, Dan. ORYGEN Research Centre, Department of Psychiatry, University of Melbourne, Melbourne, Vic, Australia. dan.lubman@mh.org.au</t>
  </si>
  <si>
    <t>http://ovidsp.ovid.com/ovidweb.cgi?T=JS&amp;CSC=Y&amp;NEWS=N&amp;PAGE=fulltext&amp;D=med6&amp;AN=18202932</t>
  </si>
  <si>
    <t>https://dx.doi.org/10.1080/10398560701760227</t>
  </si>
  <si>
    <t>MEDLINE; Ovid Technologies; Putting 'addiction' back into psychiatry: the RANZCP Section of Addiction Psychiatry</t>
  </si>
  <si>
    <t>Lucas,A. C.;Parente,R. C.;Picanco,N. S.;Conceicao,D. A.;Costa,K. R.;Magalhaes,I. R.;Siqueira,J. C.</t>
  </si>
  <si>
    <t>Use of psychoactive drugs by health sciences undergraduate students at the Federal University in Amazonas, Brazil]</t>
  </si>
  <si>
    <t>Cadernos de Saude Publica</t>
  </si>
  <si>
    <t>Adolescent;Adult;Age Distribution;Age Factors;Brazil/ep Epidemiology];*Education, Medical, Undergraduate/sn Statistics &amp; Numerical Data];Female;Humans;Male;Prevalence;*Psychotropic Drugs;Sex Distribution;Sex Factors;Socioeconomic Factors;Students, Medical/px Psychology];*Students, Medical/sn Statistics &amp; Numerical Data];*Substance-Related Disorders/ep Epidemiology];Substance-Related Disorders/pc Prevention &amp; Control];0 (Psychotropic Drugs)</t>
  </si>
  <si>
    <t>A survey was conducted with 521 undergraduate health sciences students from the Federal University in Amazonas, Manaus, Brazil. Lifetime alcohol consumption was reported by 87.7% students, as compared to 30.7% for tobacco, with the latter reported more frequently by males (39.7%). The most common illicit drugs were solvents (11.9%), marijuana (9.4%), amphetamines and anxiolytics (9.2% each), cocaine (2.1%), and hallucinogens (1.2%). The main reason for illicit drug use was curiosity. Lifetime use of anabolic steroids was reported by 2.1% of the students. Alcohol abuse in the previous 30 days was reported by 12.4% of the students. Events following drinking included: fights (4.7%), accidents (2.4%), classroom absenteeism (33.7%), and job absenteeism (11.8%). Another important finding was that 47.3% of students drove after drinking. Opinions on drug abuse and patterns agree with those from similar studies in other regions of Brazil.</t>
  </si>
  <si>
    <t>J2: Cad Saude Publica; Portuguese Lucas, Ana Cyra dos Santos Parente, Rosana Cristina Pereira Picanco, Neila Soares Conceicao, Denis Alvaci Costa, Karen Regina Carim da Magalhaes, Igor Rafael dos Santos Siqueira, Joao Cladirson Alves; OP: Uso de psicotropicos entre universitarios da area da saude da Universidade Federal do Amazonas, Brasil; ID: 811</t>
  </si>
  <si>
    <t>0102-311X</t>
  </si>
  <si>
    <t>Lucas, Ana Cyra dos Santos. Faculdade de Ciencias da Saude, Universidade Federal do Amazonas, Manaus, Brazil. alucas@ufam.edu.br</t>
  </si>
  <si>
    <t>Portuguese</t>
  </si>
  <si>
    <t>http://ovidsp.ovid.com/ovidweb.cgi?T=JS&amp;CSC=Y&amp;NEWS=N&amp;PAGE=fulltext&amp;D=med5&amp;AN=16583110</t>
  </si>
  <si>
    <t>MEDLINE; Ovid Technologies; [Use of psychoactive drugs by health sciences undergraduate students at the Federal University in Amazonas, Brazil]</t>
  </si>
  <si>
    <t>Lucas,J. J.;Loutsch,E.;Frances,R. J.</t>
  </si>
  <si>
    <t>The drug addict as chronic patient</t>
  </si>
  <si>
    <t>Psychiatric medicine</t>
  </si>
  <si>
    <t>Psychiatr.Med.</t>
  </si>
  <si>
    <t>Adolescent;Aged;Chronic Disease;Cognition Disorders/co Complications];Disabled Persons/px Psychology];Ethics;Humans;Mental Disorders/co Complications];Substance-Related Disorders/co Complications];Substance-Related Disorders/px Psychology];*Substance-Related Disorders/th Therapy]</t>
  </si>
  <si>
    <t>From the above discussion, it is clear that the chronic drug addict is in need of a careful diagnostic work-up, a team approach, a highly sophisticated model of illness, and treatment targeted to his or her special needs. . Given the high prevalence and social costs of addictions, it is obvious that increased support for training and research, prevention, and treatment is needed within psychiatry and medicine. References: 56]</t>
  </si>
  <si>
    <t>J2: Psychiatr Med; Lucas, J J Loutsch, E Frances, R J; ID: 1419</t>
  </si>
  <si>
    <t>0732-0868</t>
  </si>
  <si>
    <t>Lucas, J J. Cornell University Medical College, White Plains, New York.</t>
  </si>
  <si>
    <t>http://ovidsp.ovid.com/ovidweb.cgi?T=JS&amp;CSC=Y&amp;NEWS=N&amp;PAGE=fulltext&amp;D=med2&amp;AN=2963353</t>
  </si>
  <si>
    <t>MEDLINE; Ovid Technologies; The drug addict as chronic patient</t>
  </si>
  <si>
    <t>Lucenteforte,E.;Vannacci,A.;Cipollini,F.;Gori,A.;Santini,L.;Franchi,G.;Terrone,R.;Ravaldi,C.;Mugelli,A.;Gensini,G. F.;Lapi,F.</t>
  </si>
  <si>
    <t>Smoking habits among university students in Florence: is a medical degree course the right choice?</t>
  </si>
  <si>
    <t>*Education, Medical;Female;*Health Education;Humans;Italy/ep Epidemiology];Male;*Smoking/ep Epidemiology];Smoking Cessation;Students/px Psychology];*Students/sn Statistics &amp; Numerical Data];Universities</t>
  </si>
  <si>
    <t>J2: Prev Med; Lucenteforte, Ersilia Vannacci, Alfredo Cipollini, Fabrizio Gori, Alessio Santini, Laura Franchi, Giovanna Terrone, Rosangela Ravaldi, Claudia Mugelli, Alessandro Gensini, Gian Franco Lapi, Francesco; ID: 546</t>
  </si>
  <si>
    <t>http://ovidsp.ovid.com/ovidweb.cgi?T=JS&amp;CSC=Y&amp;NEWS=N&amp;PAGE=fulltext&amp;D=med6&amp;AN=20801155</t>
  </si>
  <si>
    <t>https://dx.doi.org/10.1016/j.ypmed.2010.08.009</t>
  </si>
  <si>
    <t>MEDLINE; Ovid Technologies; Smoking habits among university students in Florence: is a medical degree course the right choice?</t>
  </si>
  <si>
    <t>Lutsky,I.;Abram,S. E.;Jacobson,G. R.;Hopwood,M.;Kampine,J. P.</t>
  </si>
  <si>
    <t>Substance abuse by anesthesiology residents</t>
  </si>
  <si>
    <t>Adolescent;Adult;*Anesthesiology/ed Education];Child;Cross-Sectional Studies;Evaluation Studies as Topic;Humans;*Internship and Residency;*Psychotropic Drugs;Stress, Psychological/co Complications];*Substance-Related Disorders/ep Epidemiology];Substance-Related Disorders/pc Prevention &amp; Control];Surveys and Questionnaires;Wisconsin/ep Epidemiology];0 (Psychotropic Drugs)</t>
  </si>
  <si>
    <t>A 1989 cross-sectional substance abuse survey of 260 former anesthesiology residents of the Medical College of Wisconsin (MCW) during the previous 30 years yielded 183 responses (70.3%). Over three-fourths (77.2%) of those who responded reported that they had used alcohol when they were residents; 20.0% had used marijuana; and 15.7% had used cocaine. Forty-three of the 178 respondents had used unprescribed psychoactive drugs. Twenty-nine (15.8%) had been self-admitted problematic substance abusers during their residencies: 23, alcohol dependent and six, drug dependent; among the latter were four with a dual (alcohol and drug) dependency. More than 85% considered the drug policy information available during their residencies had been inadequate; institutional drug-control policies were rated "fair-to-poor" by more than 70%. Thirty-five of the residents had observed their teachers using alcohol and/or other drugs to the detriment of their teaching; approximately one-third of these infractions had gone unreported.</t>
  </si>
  <si>
    <t>J2: Acad Med; Lutsky, I Abram, S E Jacobson, G R Hopwood, M Kampine, J P; ID: 1325</t>
  </si>
  <si>
    <t>Lutsky, I. Department of Anesthesiology, Medical College of Wisconsin, Milwaukee 53226.</t>
  </si>
  <si>
    <t>http://ovidsp.ovid.com/ovidweb.cgi?T=JS&amp;CSC=Y&amp;NEWS=N&amp;PAGE=fulltext&amp;D=med3&amp;AN=1997028</t>
  </si>
  <si>
    <t>MEDLINE; Ovid Technologies; Substance abuse by anesthesiology residents</t>
  </si>
  <si>
    <t>Lutsky,I.;Hopwood,M.;Abram,S. E.;Cerletty,J. M.;Hoffman,R. G.;Kampine,J. P.</t>
  </si>
  <si>
    <t>Use of psychoactive substances in three medical specialties: anaesthesia, medicine and surgery</t>
  </si>
  <si>
    <t>Adult;Age Factors;Aged;Alcoholism/ep Epidemiology];*Anesthesiology/sn Statistics &amp; Numerical Data];Attitude of Health Personnel;Faculty, Medical;Family Health;Female;Humans;Internship and Residency;Male;Marital Status;*Medicine/sn Statistics &amp; Numerical Data];Middle Aged;Physician Impairment/sn Statistics &amp; Numerical Data];*Psychotropic Drugs;*Specialization;*Specialties, Surgical/sn Statistics &amp; Numerical Data];Stress, Physiological/ep Epidemiology];Students, Medical;*Substance-Related Disorders/ep Epidemiology];Wisconsin/ep Epidemiology];0 (Psychotropic Drugs)</t>
  </si>
  <si>
    <t>In order to determine the prevalence of psychoactive substance use in three specialty groupings, 1,624 questionnaires were sent to physicians in medicine, surgery and anaesthesia; all had trained at the same academic institution. A response rate of 57.8% was achieved. Comparison of prevalence of impairment rates showed no differences between Surgery (14.4%), Medicine (19.9%) and Anaesthesia (16.8%). Substance abuse was clearly associated with a family history of abuse; 32.1% of the abusers had a family history of such abuse compared with 11.7% of the non-abusers. Increased stress at various career stages did not appear to increase substance abuse; problem areas during medical life times were similar for each specialty. Substances most frequently used were marijuana (54.7%), amphetamines (32.9%); and benzodiazepines (25.1%). Seventy-three used psychoactive drugs which were non-prescribed. Drug counselling programmes were judged inadequate by most. Use of alcohol and drugs by faculty members was reported by a number of respondents.</t>
  </si>
  <si>
    <t>J2: Can J Anaesth; Lutsky, I Hopwood, M Abram, S E Cerletty, J M Hoffman, R G Kampine, J P; ID: 1217</t>
  </si>
  <si>
    <t>Lutsky, I. Department of Anesthesiology, Medical College of Wisconsin, Milwaukee.</t>
  </si>
  <si>
    <t>http://ovidsp.ovid.com/ovidweb.cgi?T=JS&amp;CSC=Y&amp;NEWS=N&amp;PAGE=fulltext&amp;D=med3&amp;AN=8087901</t>
  </si>
  <si>
    <t>MEDLINE; Ovid Technologies; Use of psychoactive substances in three medical specialties: anaesthesia, medicine and surgery</t>
  </si>
  <si>
    <t>Lutsky,I.;Hopwood,M.;Abram,S. E.;Jacobson,G. R.;Haddox,J. D.;Kampine,J. P.</t>
  </si>
  <si>
    <t>Psychoactive substance use among American anesthesiologists: a 30-year retrospective study</t>
  </si>
  <si>
    <t>Adult;Alcoholism/ep Epidemiology];Alcoholism/et Etiology];Alcoholism/pc Prevention &amp; Control];Anesthesiology/ed Education];*Anesthesiology;Divorce/sn Statistics &amp; Numerical Data];Drug and Narcotic Control;Education, Medical, Continuing;Family Health;Female;Humans;Life Change Events;Male;Middle Aged;Organizational Policy;Physician Impairment/px Psychology];Physician Impairment/sn Statistics &amp; Numerical Data];Prevalence;Psychotropic Drugs/cl Classification];*Psychotropic Drugs;Retrospective Studies;Street Drugs;Stress, Physiological/co Complications];*Substance-Related Disorders/ep Epidemiology];Substance-Related Disorders/et Etiology];Substance-Related Disorders/pc Prevention &amp; Control];Wisconsin/ep Epidemiology];0 (Psychotropic Drugs);0 (Street Drugs)</t>
  </si>
  <si>
    <t>The purpose of this study was to assess the cumulative incidence of substance use among anesthesiologists during training and practice, the effect of stress on drug use, and deterrent efficacy of institutional prevention programmes. The 260 anesthesiologists who had trained at the Medical College of Wisconsin between 1958-1988 were surveyed by mail regarding psychoactive substance use. Analysis of 183 responses focused on demographic and psychosocial factors. Substances used most frequently included: alcohol (91.6%), marijuana (30.8%) and cocaine (9.4%). Twenty-nine (15.8%) anesthesiologists were identified as being substance-dependent: 19 were alcohol-impaired; six were drug-impaired, and four were dependent on both alcohol and drugs. Impairment was more prevalent in anesthesiologists who had completed their training after 1975. Fifty-eight (32%) anesthesiologists had used illicit drugs to "get high"; 11 acknowledged daily use for two weeks or more, with eight admitting dependency. Substance abuse was more common in parents of impaired anesthesiologists (35.7%) than in unimpaired colleagues (8.1%; P &lt; 0.001). The divorce rate for impaired anesthesiologists (24.1%) was greater than for unimpaired anesthesiologists (5.2%; P &lt; 0.001). Increased stress during training was not reflected by increased substance use. Few recalled any drug counseling whatsoever. Seventy percent assessed hospital drug control policies as fair or poor. Younger respondents (born after 1951) were more critical of drug control programmes than their older cohort. Incidents of substance abuse were reported for both residents and faculty. Psychoactive substance abuse remains a serious problem among anesthesiologists.</t>
  </si>
  <si>
    <t>J2: Can J Anaesth; Lutsky, I Hopwood, M Abram, S E Jacobson, G R Haddox, J D Kampine, J P; ID: 1244</t>
  </si>
  <si>
    <t>http://ovidsp.ovid.com/ovidweb.cgi?T=JS&amp;CSC=Y&amp;NEWS=N&amp;PAGE=fulltext&amp;D=med3&amp;AN=8222029</t>
  </si>
  <si>
    <t>MEDLINE; Ovid Technologies; Psychoactive substance use among American anesthesiologists: a 30-year retrospective study</t>
  </si>
  <si>
    <t>Lux,R.;Walter,U.</t>
  </si>
  <si>
    <t>First warnings of the dangers involved in tobacco use. Medical-scientific knowledge and recommendations for prevention in the second half of the 19th century and the first half of the 20th century]</t>
  </si>
  <si>
    <t>Wiener Medizinische Wochenschrift</t>
  </si>
  <si>
    <t>Animal Experimentation/hi History];Animals;Austria;*Biomedical Research/hi History];Child, Preschool;Eye Diseases/et Etiology];Female;France;Germany;History, 18th Century;History, 19th Century;History, 20th Century;Humans;Infant, Newborn;*Internal Medicine/hi History];Italy;Male;Medicine;Mental Disorders/et Etiology];Middle Aged;*Nicotine/ae Adverse Effects];Nicotine/po Poisoning];*Smoking/ae Adverse Effects];Smoking/hi History];*Smoking Prevention;Specialization;Switzerland;*Tobacco Use Disorder/hi History];Tobacco Use Disorder/pc Prevention &amp; Control];United Kingdom;6M3C89ZY6R (Nicotine)</t>
  </si>
  <si>
    <t>References to historical aspects of tobacco research and the ensuing recommendations for the prevention of tobacco-associated diseases can only be found rudimentarily in newer studies. This article systematically reviews the historical literature on the subject, with special attention given to selected journals published between 1850 and 1950. The analysis offers a chronological summary of the knowledge about tobacco ingredients and their effects, about tobacco-attributed diseases as well as of the usually non-institutionalized recommendations for their prevention. The report clearly shows the early knowledge about the toxic effects of tobacco and its products, the causation of ophthalmologic diseases and the effects on the cardiovascular system, the respiratory and nervous systems as well as the reproduction system. The knowledge of the pathogenesis of tobacco-attributable mental disorders, addiction and cancer is also reported. From today's view, some former strategies of prevention are regarded as obsolete; some seem to be very topical. In summary, research concentrating on the characteristics of tobacco and tobacco-associated diseases is witness to a continuity spanning different epochs and political systems. References: 102]</t>
  </si>
  <si>
    <t>J2: Wien Med Wochenschr; Lux, Richard Walter, Ulla; OP: Erste Warnungen vor den Gefahren des Tabakkonsums. Medizinisch-wissenschaftliche Kenntnisse und Vorschlage zur Pravention in der zweiten Halfte des 19. sowie ersten Halfte des 20; ID: 695</t>
  </si>
  <si>
    <t>0043-5341</t>
  </si>
  <si>
    <t>Lux, Richard. Institut fur Epidemiologie, Sozialmedizin und Gesundheitssystemforschung, Medizinische Hochschule Hannover, Carl-Neuberg-Strasse 1, Hannover, Germany. lux.richard@mh-hannover.de</t>
  </si>
  <si>
    <t>http://ovidsp.ovid.com/ovidweb.cgi?T=JS&amp;CSC=Y&amp;NEWS=N&amp;PAGE=fulltext&amp;D=med6&amp;AN=18286250</t>
  </si>
  <si>
    <t>https://dx.doi.org/10.1007/s10354-007-0449-z</t>
  </si>
  <si>
    <t>MEDLINE; Ovid Technologies; [First warnings of the dangers involved in tobacco use. Medical-scientific knowledge and recommendations for prevention in the second half of the 19th century and the first half of the 20th century]</t>
  </si>
  <si>
    <t>Lynch,T.</t>
  </si>
  <si>
    <t>Psychiatric Services in Czechoslovakia</t>
  </si>
  <si>
    <t>Journal of the Irish Medical Association</t>
  </si>
  <si>
    <t>J.Ir.Med.Assoc.</t>
  </si>
  <si>
    <t>*Alcoholism;Child;*Child Guidance;Czechoslovakia;*Education, Medical, Graduate;*Hospitals, Psychiatric;Humans;*Intellectual Disability;*Mental Health Services;*Neurotic Disorders;*Psychiatry</t>
  </si>
  <si>
    <t>J2: J Ir Med Assoc; LYNCH, T; ID: 1161</t>
  </si>
  <si>
    <t>0021-129X</t>
  </si>
  <si>
    <t>http://ovidsp.ovid.com/ovidweb.cgi?T=JS&amp;CSC=Y&amp;NEWS=N&amp;PAGE=fulltext&amp;D=med1&amp;AN=14105267</t>
  </si>
  <si>
    <t>MEDLINE; Ovid Technologies; Psychiatric Services in Czechoslovakia</t>
  </si>
  <si>
    <t>Ma,J.;Yuan,X.;Qu,H.;Zhang,J.;Wang,D.;Sun,X.;Zheng,Q.</t>
  </si>
  <si>
    <t>The role of reactive oxygen species in morphine addiction of SH-SY5Y cells</t>
  </si>
  <si>
    <t>Life Sciences</t>
  </si>
  <si>
    <t>Life Sci.</t>
  </si>
  <si>
    <t>Analgesics, Opioid/ad Administration &amp; Dosage];*Analgesics, Opioid/pd Pharmacology];Antioxidants/pd Pharmacology];Cell Differentiation/de Drug Effects];Cell Line, Tumor;Cyclic AMP/me Metabolism];Dose-Response Relationship, Drug;Humans;Morphine/ad Administration &amp; Dosage];*Morphine/pd Pharmacology];*Morphine Dependence/pp Physiopathology];Naloxone/pd Pharmacology];Narcotic Antagonists/pd Pharmacology];Neuroblastoma/me Metabolism];RNA, Messenger/me Metabolism];*Reactive Oxygen Species/me Metabolism];*Receptors, Opioid, mu/ge Genetics];Time Factors;Tretinoin/pd Pharmacology];0 (Analgesics, Opioid);0 (Antioxidants);0 (Narcotic Antagonists);0 (RNA, Messenger);0 (Reactive Oxygen Species);0 (Receptors, Opioid, mu);36B82AMQ7N (Naloxone);5688UTC01R (Tretinoin);76I7G6D29C (Morphine);E0399OZS9N (Cyclic AMP)</t>
  </si>
  <si>
    <t>AIMS: The alteration of ROS level is frequently observed in the course of morphine addiction, and ROS is proverbially involved in this process. This study aims to explore the relationship among morphine addiction, reactive oxygen species (ROS) and expression of mu-opioid receptor (MOR) in differentiated SH-SY5Y cells. MAIN METHODS: SH-SY5Y cells were induced to differentiation by treatment with retinoic acid (RA); the activity of lactate dehydrogenase (LDH) and the nitro blue tetrazolium (NBT) reduction were assessed by spectrophotometry. Intracellular reactive oxygen species (ROS) was measured with the 2,7-dichlorofluorescin diacetate (DCFH-DA) assay. Cellular cAMP was determined by using a competitive protein binding kit. The mRNA expression of mu-opioid receptor (MOR) was evaluated by qRT-PCR. KEY FINDINGS: Morphine-induced ROS are generated in a concentration- and time-dependent manner and inhibited by naloxone. Exogenous oxidants increase the level of ROS and aggravate morphine addiction, while the exogenous antioxidants efficiently reverse these effects. Morphine decreases the mRNA level of MOR in a concentration-dependent manner. And the mRNA level of MOR is remarkably reduced in the presence of exogenous oxidants and effectively promoted by antioxidants. SIGNIFICANCE: This study indicates that ROS can affect morphine addiction through involving MOR. Treatment with ROS scavenging can serve as a medical therapy for morphine addiction.</t>
  </si>
  <si>
    <t>J2: Life Sci; Ma, Jun Yuan, Xuan Qu, Hengyi Zhang, Juan Wang, Dong Sun, Xiling Zheng, Qiusheng S0024-3205(15)00040-5; ID: 246</t>
  </si>
  <si>
    <t>1879-0631</t>
  </si>
  <si>
    <t>Ma, Jun. Binzhou Medical University, Yantai 264000, Shandong, China; Life Science School, Yantai University, Yantai 264000, Shandong, China. Yuan, Xuan. Key Laboratory of Xinjiang Endemic Phytomedicine Resources, Ministry of Education, School of Pharmacy, Shihezi University, Shihezi 832002, Xinjiang, China. Qu, Hengyi. Binzhou Medical University, Yantai 264000, Shandong, China. Zhang, Juan. Key Laboratory of Xinjiang Endemic Phytomedicine Resources, Ministry of Education, School of Pharmacy, Shihezi University, Shihezi 832002, Xinjiang, China. Wang, Dong. Qianfoshan Hospital of Shandong Province, Jinan 250014, China. Sun, Xiling. Binzhou Medical University, Yantai 264000, Shandong, China. Electronic address: Sunxiling@sohu.com. Zheng, Qiusheng. Binzhou Medical University, Yantai 264000, Shandong, China; Life Science School, Yantai University, Yantai 264000, Shandong, China. Electronic address: zqsyt@sohu.com.</t>
  </si>
  <si>
    <t>http://ovidsp.ovid.com/ovidweb.cgi?T=JS&amp;CSC=Y&amp;NEWS=N&amp;PAGE=fulltext&amp;D=med8&amp;AN=25623851</t>
  </si>
  <si>
    <t>https://dx.doi.org/10.1016/j.lfs.2015.01.003</t>
  </si>
  <si>
    <t>MEDLINE; Ovid Technologies; The role of reactive oxygen species in morphine addiction of SH-SY5Y cells</t>
  </si>
  <si>
    <t>MacDonald,R. A.;MacDonald,B. E.</t>
  </si>
  <si>
    <t>Alcoholism in residency program candidates</t>
  </si>
  <si>
    <t>Alcoholism/px Psychology];*Alcoholism;Humans;*Internship and Residency;*Physician Impairment;Substance-Related Disorders/px Psychology];Surveys and Questionnaires;United States</t>
  </si>
  <si>
    <t>Recognition of physician impairment due to alcoholism and drug dependency is increasing. Medical students who are in the early phases of the disease are being recognized and treated more frequently today. Yet students who achieve sobriety are confronted with a generally hostile reaction from directors of residency training programs. In this article, the authors report on results of a survey of policies and attitudes of a sample group of program directors and suggest that there is a need to adopt policies for accepting residency applicants that take into consideration the fact that favourable outcomes are provided by treatment of alcohol- and drug-dependent medical students and physicians.</t>
  </si>
  <si>
    <t>J2: J Med Educ; MacDonald, R A MacDonald, B E; ID: 1493</t>
  </si>
  <si>
    <t>http://ovidsp.ovid.com/ovidweb.cgi?T=JS&amp;CSC=Y&amp;NEWS=N&amp;PAGE=fulltext&amp;D=med2&amp;AN=7108925</t>
  </si>
  <si>
    <t>MEDLINE; Ovid Technologies; Alcoholism in residency program candidates</t>
  </si>
  <si>
    <t>Mach,R. S.</t>
  </si>
  <si>
    <t>Symposium "Tobacco and Alcohol, Medical and Social Problems: introduction]</t>
  </si>
  <si>
    <t>*Alcoholism/pc Prevention &amp; Control];Congresses as Topic;Humans;*Smoking Prevention;Switzerland</t>
  </si>
  <si>
    <t>J2: Bull Schweiz Akad Med Wiss; French Mach, R S; OP: Symposium "Problemes Medicaux et Sociaux du Tabagisme et de l'Alcoolisme: introduction; ID: 1519</t>
  </si>
  <si>
    <t>http://ovidsp.ovid.com/ovidweb.cgi?T=JS&amp;CSC=Y&amp;NEWS=N&amp;PAGE=fulltext&amp;D=med1&amp;AN=36946</t>
  </si>
  <si>
    <t>MEDLINE; Ovid Technologies; [Symposium "Tobacco and Alcohol, Medical and Social Problems: introduction]</t>
  </si>
  <si>
    <t>MacLeod,J. B.;Hungerford,D. W.;Dunn,C.;Hartzler,B.</t>
  </si>
  <si>
    <t>Evaluation of training of surgery interns to perform brief alcohol interventions for trauma patients</t>
  </si>
  <si>
    <t>Adult;Alcoholism/co Complications];*Alcoholism/di Diagnosis];*Alcoholism/th Therapy];Clinical Competence;Cohort Studies;*Directive Counseling;Female;*General Surgery/ed Education];Humans;*Internship and Residency;Male;Middle Aged;Patient Simulation;Wounds and Injuries/et Etiology];*Wounds and Injuries/px Psychology];Wounds and Injuries/th Therapy]</t>
  </si>
  <si>
    <t>BACKGROUND: Because nearly half of injured patients admitted to trauma centers misuse alcohol, the American College of Surgeons has required that Level I trauma centers have a mechanism for providing brief bedside counseling interventions (BI) to patients with alcohol problems. We hypothesized that with minimal training, surgical interns could become proficient at performing BI. STUDY DESIGN: First-year surgical interns were trained in an 8-hour BI workshop. A group of first-year medicine interns who were not trained in BI served as the comparison group. BI skills of both groups were assessed before and 5 weeks after this training using simulated interviews with standardized patient actors trained to depict a scenario of a challenging patient with an alcohol problem. Audiotapes of those interviews were rated by trained, blinded coders. RESULTS: Before the training, both groups demonstrated similar BI skill levels. Compared with the control group, after training, the surgical interns showed marked improvements in BI skills, including more frequently giving patients feedback on their blood alcohol concentration results (p=0.000), providing guidelines for low-risk drinking (p=0.000), offering patients more than 1 change option (p=0.000), asking permission to discuss drinking (p=0.003), and offering patients hope and encouragement (p=0.003). CONCLUSIONS: After training, surgery interns effectively demonstrated BI skills when challenged to do so in a standardized patient actor scenario. This model of intern screening and brief intervention training constitutes a viable alternative for trauma centers as they look for options to meet the American College of Surgeons' new requirement to provide BI for trauma patients with alcohol problems. Future research should further evaluate surgical interns' ability to routinely implement these skills in their daily clinical environments.</t>
  </si>
  <si>
    <t>J2: J Am Coll Surg; MacLeod, Jana B A Hungerford, Daniel W Dunn, Chris Hartzler, Bryan; ID: 665</t>
  </si>
  <si>
    <t>1879-1190</t>
  </si>
  <si>
    <t>MacLeod, Jana B A. Department of Surgery, Emory University, School of Medicine, Atlanta, GA 30303, USA.</t>
  </si>
  <si>
    <t>http://ovidsp.ovid.com/ovidweb.cgi?T=JS&amp;CSC=Y&amp;NEWS=N&amp;PAGE=fulltext&amp;D=med6&amp;AN=18954774</t>
  </si>
  <si>
    <t>https://dx.doi.org/10.1016/j.jamcollsurg.2008.06.327</t>
  </si>
  <si>
    <t>MEDLINE; Ovid Technologies; Evaluation of training of surgery interns to perform brief alcohol interventions for trauma patients</t>
  </si>
  <si>
    <t>Madden,T. E.;Graham,A. V.;Straussner,S. L.;Saunders,L. A.;Schoener,E.;Henry,R.;Marcus,M. T.;Brown,R. L.</t>
  </si>
  <si>
    <t>Interdisciplinary benefits in Project MAINSTREAM: a promising health professions educational model to address global substance abuse</t>
  </si>
  <si>
    <t>Journal of Interprofessional Care</t>
  </si>
  <si>
    <t>Adult;*Education, Professional/mt Methods];Faculty;Female;Humans;*Interprofessional Relations;Male;Middle Aged;*Models, Educational;*Substance-Related Disorders</t>
  </si>
  <si>
    <t>Our purpose was to evaluate the interdisciplinary aspects of Project MAINSTREAM, a faculty development program that trained 39 competitively selected health professional tutors in substance abuse education. Mid-career faculty fellows (tutors) from 14 different health professions across the US dedicated 20% of their academic time for two years to Project MAINSTREAM. Teams of three fellows carried out curricular enhancement and service-learning field project requirements in mentored Interdisciplinary Faculty Learning Groups (IFLGs). Formative and summative evaluations were conducted via written questionnaires and confidential telephone interviews. The importance of interdisciplinary education was rated positively (mean of 3.57 on 1 - 5 scale). Using 18 parameters, fellows preferred interdisciplinary over single disciplinary teaching (means ranged from 3.40 - 4.86), and reported high levels of benefit from their interdisciplinary collaborations (means ranged from 3.53 - 4.56). Fellows reported that interdisciplinary educational collaborations were feasible (3.31) at their home institutions. The majority (63%) said that their trainees, colleagues, supervisors and institutions valued interdisciplinary training either "highly" or "somewhat", but 22% did not value it. The fellows identified scheduling conflicts (3.46), and lack of faculty rewards (3.46) such as pay or credit toward promotion, as two barriers that they encountered.</t>
  </si>
  <si>
    <t>J2: J Interprof Care; Madden, Theresa E Graham, Antonnette V Straussner, S Lala A Saunders, Laura A Schoener, Eugene Henry, Rebecca Marcus, Marianne T Brown, Richard L; ID: 787</t>
  </si>
  <si>
    <t>1356-1820</t>
  </si>
  <si>
    <t>Madden, Theresa E. School of Dentistry, Oregon Health &amp; Science University, USA. theresa.madden@stonebow.otago.ac.nz</t>
  </si>
  <si>
    <t>http://ovidsp.ovid.com/ovidweb.cgi?T=JS&amp;CSC=Y&amp;NEWS=N&amp;PAGE=fulltext&amp;D=med5&amp;AN=17095443</t>
  </si>
  <si>
    <t>MEDLINE; Ovid Technologies; Interdisciplinary benefits in Project MAINSTREAM: a promising health professions educational model to address global substance abuse</t>
  </si>
  <si>
    <t>Maddux,J. F.;Timmerman,I. M.;Costello,R. M.</t>
  </si>
  <si>
    <t>Use of psychoactive substances by residents</t>
  </si>
  <si>
    <t>Academic Medical Centers;Female;Humans;*Internship and Residency;Male;*Physicians/px Psychology];*Psychotropic Drugs;*Substance-Related Disorders/ep Epidemiology];Texas;0 (Psychotropic Drugs)</t>
  </si>
  <si>
    <t>J2: J Med Educ; Maddux, J F Timmerman, I M Costello, R M; ID: 1427</t>
  </si>
  <si>
    <t>Maddux, J F. Department of Psychiatry, University of Texas Health Science Center at San Antonio.</t>
  </si>
  <si>
    <t>http://ovidsp.ovid.com/ovidweb.cgi?T=JS&amp;CSC=Y&amp;NEWS=N&amp;PAGE=fulltext&amp;D=med2&amp;AN=3656387</t>
  </si>
  <si>
    <t>MEDLINE; Ovid Technologies; Use of psychoactive substances by residents</t>
  </si>
  <si>
    <t>Maher,J.;Peck,T.</t>
  </si>
  <si>
    <t>Helping homeless men begin a new life. A program on Chicago's West Side provides substance abuse rehabilitation and job training</t>
  </si>
  <si>
    <t>Health Progress</t>
  </si>
  <si>
    <t>*African Americans/px Psychology];Catholicism;Chicago;Employment;*Homeless Persons/px Psychology];*Hospitals, Religious/og Organization &amp; Administration];Humans;Male;*Sheltered Workshops;Social Support;Substance-Related Disorders/th Therapy]</t>
  </si>
  <si>
    <t>The MARSEPH program, named for the two principal program collaborators--the Marillac Social Center and Saint Joseph Health Centers and Hospital--provides life and work skills to homeless men who visit a day shelter operated by the Marillac Social Center. Participants gain work experience at Saint Joseph. One of the most important aspects of the MARSEPH program is the removal of obstacles to the newly employed. Each MARSEPH participant receives housing assistance, a uniform, transportation to Saint Joseph Health Centers and Hospital, and a meal pass to the hospital's cafeteria. Through this assistance, the men can get off the streets, get to their jobs, be nourished, and look presentable. The MARSEPH program carefully monitors each participant's progress, to ensure his success. Case workers meet weekly with the men to discuss problems and concerns. Every week case workers also visit each participant's residence to monitor his living conditions and offer emotional support. At the end of the six-month training program, MARSEPH helps graduates find employment.</t>
  </si>
  <si>
    <t>J2: Health Prog; Maher, J Peck, T; ID: 1199</t>
  </si>
  <si>
    <t>0882-1577</t>
  </si>
  <si>
    <t>Maher, J. MARSEPH, Chicago, USA.</t>
  </si>
  <si>
    <t>http://ovidsp.ovid.com/ovidweb.cgi?T=JS&amp;CSC=Y&amp;NEWS=N&amp;PAGE=fulltext&amp;D=med3&amp;AN=10172274</t>
  </si>
  <si>
    <t>MEDLINE; Ovid Technologies; Helping homeless men begin a new life. A program on Chicago's West Side provides substance abuse rehabilitation and job training</t>
  </si>
  <si>
    <t>Maheri,A.;Tol,A.;Sadeghi,R.</t>
  </si>
  <si>
    <t>Assessing the effect of an educational intervention program based on Health Belief Model on preventive behaviors of internet addiction</t>
  </si>
  <si>
    <t>Journal of Education &amp; Health Promotion</t>
  </si>
  <si>
    <t>INTRODUCTION: Internet addiction refers to the excessive use of the internet that causes mental, social, and physical problems. According to the high prevalence of internet addiction among university students, this study aimed to determine the effect of an educational intervention on preventive behaviors of internet addiction among Tehran University of Medical Sciences students. MATERIALS AND METHODS: This study was a quasi-experimental study conducted among female college students who live in the dormitories of Tehran University of Medical Sciences. Two-stage cluster sampling was used for selection of eighty participants in each study groups; data were collected using "Young's Internet Addiction" and unstructured questionnaire. Validity and reliability of unstructured questionnaire were evaluated by expert panel and were reported as Cronbach's alpha. Information of study groups before and 4 months after the intervention was compared using statistical methods by SPSS 16. RESULTS: After the intervention, the mean scores of internet addiction, perceived barriers construct, and the prevalence of internet addiction significantly decreased in the intervention group than that in the control group and the mean scores of knowledge and Health Belief Model (HBM) constructs (susceptibility, severity, benefits, self-efficacy) significantly increased. CONCLUSIONS: Education based on the HBM was effective on the reduction and prevention of internet addiction among female college students, and educational interventions in this field are highly recommended.</t>
  </si>
  <si>
    <t>J2: J; Maheri, Aghbabak Tol, Azar Sadeghi, Roya; ID: 1662</t>
  </si>
  <si>
    <t>2277-9531</t>
  </si>
  <si>
    <t>Maheri, Aghbabak. Department of Health Education and Promotion, School of Public Health, Tehran University of Medical Sciences, Tehran, Iran. Tol, Azar. Department of Health Education and Promotion, School of Public Health, Tehran University of Medical Sciences, Tehran, Iran. Sadeghi, Roya. Department of Health Education and Promotion, School of Public Health, Tehran University of Medical Sciences, Tehran, Iran.</t>
  </si>
  <si>
    <t>http://ovidsp.ovid.com/ovidweb.cgi?T=JS&amp;CSC=Y&amp;NEWS=N&amp;PAGE=fulltext&amp;D=prem&amp;AN=28852654</t>
  </si>
  <si>
    <t>https://dx.doi.org/10.4103/jehp.jehp_129_15</t>
  </si>
  <si>
    <t>MEDLINE; Ovid Technologies; Assessing the effect of an educational intervention program based on Health Belief Model on preventive behaviors of internet addiction</t>
  </si>
  <si>
    <t>Maisto,S. A.;Kirouac,M.;Witkiewitz,K.</t>
  </si>
  <si>
    <t>Alcohol use disorder clinical course research: informing clinicians' treatment planning now and in the future</t>
  </si>
  <si>
    <t>Journal of Studies on Alcohol &amp; Drugs</t>
  </si>
  <si>
    <t>*Alcohol-Related Disorders/di Diagnosis];Alcohol-Related Disorders/ep Epidemiology];*Alcohol-Related Disorders/th Therapy];*Biomedical Research/mt Methods];Biomedical Research/td Trends];*Clinical Protocols;Forecasting;Humans;Physicians/td Trends];*Physicians</t>
  </si>
  <si>
    <t>OBJECTIVE: The clinical course of alcohol use disorder (AUD) has been widely researched over the past half-century and has been used to advance our understanding of the treatment of AUD. Nevertheless, new directions in AUD clinical course research could enhance its value in informing clinical decision-making in patient-centered treatment of AUD. METHOD: An overview, a critical analysis, and a discussion of AUD clinical course research are presented. RESULTS: This article discusses three research directions that promote the advancement of the knowledge regarding the clinical course of AUD to better inform clinical decision-making in patient-centered treatment of AUD. Specifically, we hypothesized that (a) real-time data collection of the clinical course of AUD via ecological momentary assessment would help elucidate near real-time associations between risk factors and alcohol use, (b) future research designs should use person-centered and dynamic analyses of alcohol use over time, and (c) adaptive treatment designs would provide personalized and optimized AUD treatment. Consequently, the field will advance the development of clinical decision-making support systems to better inform clinicians and clients in making informed AUD treatment decisions. In addition, such research would advance clinical practice with more attention to theory and expansion of the study of the clinical course of AUD to include areas of life functioning besides alcohol use. CONCLUSIONS: These research directions have the potential to build a scientific knowledge base that could improve our understanding of AUD among individuals with alcohol problems, would allow providers to predict patient outcomes during and after treatment, and would offer practical strategies regarding steps that could ultimately improve the clinical course of AUD.</t>
  </si>
  <si>
    <t>J2: J Stud Alcohol; Maisto, Stephen A Kirouac, Megan Witkiewitz, Katie; ID: 239</t>
  </si>
  <si>
    <t>1938-4114</t>
  </si>
  <si>
    <t>Maisto, Stephen A. Department of Psychology, Syracuse University, Syracuse, New York. Kirouac, Megan. Department of Psychology, University of New Mexico, Albuquerque, New Mexico. Witkiewitz, Katie. Department of Psychology, University of New Mexico, Albuquerque, New Mexico.</t>
  </si>
  <si>
    <t>http://ovidsp.ovid.com/ovidweb.cgi?T=JS&amp;CSC=Y&amp;NEWS=N&amp;PAGE=fulltext&amp;D=med8&amp;AN=25208198</t>
  </si>
  <si>
    <t>MEDLINE; Ovid Technologies; Alcohol use disorder clinical course research: informing clinicians' treatment planning now and in the future</t>
  </si>
  <si>
    <t>Malarcher,A.;Easton,A.;Husten,C.;Frank,E.</t>
  </si>
  <si>
    <t>Smoking cessation counseling: training and practice among women pediatricians</t>
  </si>
  <si>
    <t>Clinical pediatrics</t>
  </si>
  <si>
    <t>Clin.Pediatr.</t>
  </si>
  <si>
    <t>Adult;Age Factors;Aged;*Counseling/ed Education];*Counseling/sn Statistics &amp; Numerical Data];*Education, Medical/sn Statistics &amp; Numerical Data];Female;Health Care Surveys/sn Statistics &amp; Numerical Data];Humans;Life Change Events;Middle Aged;*Pediatrics/ed Education];*Pediatrics/sn Statistics &amp; Numerical Data];Physician's Role;*Physicians, Women/sn Statistics &amp; Numerical Data];*Practice Patterns, Physicians'/sn Statistics &amp; Numerical Data];Sex Factors;*Smoking Cessation/sn Statistics &amp; Numerical Data]</t>
  </si>
  <si>
    <t>We examined characteristics associated with smoking cessation counseling among a national sample of 579 women pediatricians. Fifty-two percent of women pediatricians had received at least some training in cessation counseling and 41% counseled smoking patients at least once per year. Prevalence of counseling increased by amount of training; 20.7% of those with no training counseled at least once per year versus 62.0% of those with extensive training. Pediatricians 50-70 years of age were 1.8 times as likely as those 30-39 years of age to perform frequent counseling (p&lt;0.01). Programs to promote smoking cessation training and counseling among pediatricians are needed.</t>
  </si>
  <si>
    <t>J2: Clin Pediatr (Phila); Malarcher, Ann Easton, Alyssa Husten, Corinne Frank, Erica; ID: 957</t>
  </si>
  <si>
    <t>Malarcher, Ann. Division of Adult and Community Health, National Center for Chronic Disease Prevention and Health Promotion, Centers for Disease Control and Prevention, Atlanta, GA 30341, USA.</t>
  </si>
  <si>
    <t>http://ovidsp.ovid.com/ovidweb.cgi?T=JS&amp;CSC=Y&amp;NEWS=N&amp;PAGE=fulltext&amp;D=med4&amp;AN=12086200</t>
  </si>
  <si>
    <t>MEDLINE; Ovid Technologies; Smoking cessation counseling: training and practice among women pediatricians</t>
  </si>
  <si>
    <t>Malet,L.;Reynaud,M.;Llorca,P. M.;Falissard,B.</t>
  </si>
  <si>
    <t>Impact of practitioner's training in the management of alcohol dependence: a quasi-experimental 18-month follow-up study</t>
  </si>
  <si>
    <t>Alcoholism/di Diagnosis];Alcoholism/pc Prevention &amp; Control];*Alcoholism/th Therapy];Case-Control Studies;*Clinical Protocols;*Education, Medical, Continuing/mt Methods];Female;Follow-Up Studies;France;Humans;Male;Middle Aged;*Physicians, Family/ed Education];Recurrence;Severity of Illness Index;Treatment Outcome</t>
  </si>
  <si>
    <t>BACKGROUND: In many European countries, medical education on alcohol remains inadequate in terms of both quantity and quality. The expansion of GP training and care protocols would improve the management and outcome of alcoholic patients. Our purpose was to assess the impact of a multifaceted intervention by trained GPs in the management of alcohol-dependent patients. RESULTS AND DISCUSSION: Trained GPs proved better i) in the attempt at abstinence, with 67% patients becoming sober vs. 47% in a comparison sample and ii) in repeat attempt at abstinence in the event of relapse, with an average 2.99 vs. 1.31 attempts per patient. There were no differences in terms of i) relapses, which involved about three in four patients, and ii) prolonged abstinence, which averaged two months. Overall, patients managed by trained GPs remained abstinent 103 days during the 18-month follow-up period vs 68 days for the comparison sample (p = 0.016). METHODS: This 18-month follow-up study had a quasi-experimental design with 24 volunteer trained GPs and a comparison sample of a representative sample of 24 GPs. All GPs included their own already existing DSM-IV alcohol-dependent patients. Patients with depression or anxiety comorbidities were included. Participants were 126 patients in the trained sample and 122 in the comparison sample. The two patient samples were evenly-balanced, averaging 47 years old and 80% males. In the trained sample, consultations were scheduled and management (medication, biological workup) was protocolized, whereas the comparison sample representing standard practice had no obligations. CONCLUSION: Medical education can sharply improve the management of alcohol-dependent patients and short-term outcome. Trained GPs lead more patients to attempt abstinence and more often than in standard practice. However, a strict medical approach remains limited in the maintenance of medium-term abstinence (over two months), providing a strong argument for multidisciplinary management of alcohol-dependent patients.</t>
  </si>
  <si>
    <t>J2: Subst Abuse Treat Prev Policy; Malet, Laurent Reynaud, Michel Llorca, Pierre-Michel Falissard, Bruno; ID: 623</t>
  </si>
  <si>
    <t>Malet, Laurent. CHU Clermont-Ferrand, Clermont-Ferrand, F-63000, France; Inserm, U669, Paris, F-75014, France. lmalet@chu-clermontferrand.fr</t>
  </si>
  <si>
    <t>http://ovidsp.ovid.com/ovidweb.cgi?T=JS&amp;CSC=Y&amp;NEWS=N&amp;PAGE=fulltext&amp;D=med5&amp;AN=16842620</t>
  </si>
  <si>
    <t>MEDLINE; Ovid Technologies; Impact of practitioner's training in the management of alcohol dependence: a quasi-experimental 18-month follow-up study</t>
  </si>
  <si>
    <t>Malhotra,A.;Balaji,M.;Basu,D.;Mattoo,S. K.;Varma,V. K.;Sehgal,S.</t>
  </si>
  <si>
    <t>HIV screening &amp; risk behaviour in psychoactive substance users</t>
  </si>
  <si>
    <t>Indian Journal of Medical Research</t>
  </si>
  <si>
    <t>Indian J.Med.Res.</t>
  </si>
  <si>
    <t>Adolescent;Adult;Female;HIV Antibodies/bl Blood];HIV Infections/di Diagnosis];*HIV Infections/et Etiology];Humans;Male;Middle Aged;Risk;*Substance-Related Disorders/co Complications];0 (HIV Antibodies)</t>
  </si>
  <si>
    <t>Patients admitted to the Drug De-addiction and Treatment Centre, Postgraduate Institute of Medical Education &amp; Research, Chandigarh, were screened for HIV antibodies. Out of 116 patients, 45 (39%) were injecting drug users (IDUs), 29 (25%) were other drug users and 42 (36%) were primary users of alcohol. One IDU was HIV seropositive (2.2% of the IDUs). Analysis of HIV-related risk behaviour showed that the IDUs were at high risk, because of needle sharing as also because of having multiple sex partners. The potential for HIV infection in these persons practising high-risk behaviour calls for timely preventive measures.</t>
  </si>
  <si>
    <t>J2: Indian J Med Res; Malhotra, A Balaji, M Basu, D Mattoo, S K Varma, V K Sehgal, S; ID: 1235</t>
  </si>
  <si>
    <t>0971-5916</t>
  </si>
  <si>
    <t>Malhotra, A. Department of Psychiatry, Postgraduate Institute of Medical Education &amp; Research, Chandigarh.</t>
  </si>
  <si>
    <t>http://ovidsp.ovid.com/ovidweb.cgi?T=JS&amp;CSC=Y&amp;NEWS=N&amp;PAGE=fulltext&amp;D=med3&amp;AN=8144203</t>
  </si>
  <si>
    <t>MEDLINE; Ovid Technologies; HIV screening &amp; risk behaviour in psychoactive substance users</t>
  </si>
  <si>
    <t>Malone,G. P.;Vale Arismendez,S.;Schneegans Warzinski,S.;Amodei,N.;Burge,S. K.;Wathen,P. I.;Conde,M. V.;Palmer,R.;Williams,J. F.</t>
  </si>
  <si>
    <t>South Texas Residency Screening, Brief Intervention, and Referral to Treatment (SBIRT) Training: 12-Month Outcomes</t>
  </si>
  <si>
    <t>Adult;Clinical Competence;Education, Medical, Graduate;Family Practice/ed Education];Female;Humans;Internal Medicine/ed Education];*Internship and Residency;Male;*Mass Screening;Middle Aged;Pediatrics/ed Education];*Psychotherapy, Brief/ed Education];*Referral and Consultation;*Substance-Related Disorders/di Diagnosis];*Substance-Related Disorders/th Therapy];Texas</t>
  </si>
  <si>
    <t>BACKGROUND: Screening, brief intervention, and referral to treatment (SBIRT) is an efficacious and cost-effective skill set when implemented in primary care settings regarding hazardous alcohol use. This study assesses the impact of medical resident SBIRT training across 3 specialties and identifies predictors of change in trainee behavior, attitudes, and knowledge over 12 months. METHODS: This program's substance use SBIRT training was developed and tailored to fit diverse curricular objectives and settings across an array of medical residency programs in South Texas. The 329 residents training in pediatrics, family medicine, and internal medicine during 2009-2012 constituted the trainee group reported in this analysis. Surveys assessing SBIRT-related knowledge, current practice, confidence, role responsibility, attitudes, beliefs, and readiness to change were completed by 234 (71%) trainees at 3 time points: pre-training, then 30 days and 12 months post-initial training. RESULTS: SBIRT-related knowledge, confidence, and practice increased from pre-training to 12-month follow-up. Residents who reported the least amount of pre-training clinical and/or prior academic exposure to substance use reported the greatest SBIRT practice increases. When controlling for demographic and prior exposure variables, the largest contributor to variance in SBIRT practice was attributed to residents' confidence in their SBIRT skills. CONCLUSIONS: SBIRT training that employs diverse educational methodologies as part of customizing the training to residency specialties can similarly enhance SBIRT-related knowledge, confidence, and practice. Trainee report of limited prior clinical or academic exposure to substance use and/or low confidence regarding SBIRT skills and their professional role responsibilities related to substance use predicted trainee success and sustained SBIRT strategy application. When customizing SBIRT training, curriculum developers should consider leveraging and capacity building related to those factors predicting continued use of SBIRT practices.</t>
  </si>
  <si>
    <t>J2: Subst Abus; Malone, Glenn P Vale Arismendez, Shruthi Schneegans Warzinski, Suyen Amodei, Nancy Burge, Sandra K Wathen, Patricia I Conde, Michelle V Palmer, Raymond Williams, Janet F; ID: 145</t>
  </si>
  <si>
    <t>Malone, Glenn P. a Department of Pediatrics , University of Texas Health Science Center at San Antonio , San Antonio , Texas , USA.</t>
  </si>
  <si>
    <t>http://ovidsp.ovid.com/ovidweb.cgi?T=JS&amp;CSC=Y&amp;NEWS=N&amp;PAGE=fulltext&amp;D=med8&amp;AN=25581553</t>
  </si>
  <si>
    <t>https://dx.doi.org/10.1080/08897077.2014.988839</t>
  </si>
  <si>
    <t>MEDLINE; Ovid Technologies; South Texas Residency Screening, Brief Intervention, and Referral to Treatment (SBIRT) Training: 12-Month Outcomes</t>
  </si>
  <si>
    <t>Manchikanti,L.;Boswell,M. V.;Hirsch,J. A.</t>
  </si>
  <si>
    <t>Lessons learned in the abuse of pain-relief medication: a focus on healthcare costs</t>
  </si>
  <si>
    <t>Expert Review of Neurotherapeutics</t>
  </si>
  <si>
    <t>43; quiz 544</t>
  </si>
  <si>
    <t>Analgesics, Opioid/ad Administration &amp; Dosage];*Analgesics, Opioid/ae Adverse Effects];*Chronic Pain/ec Economics];*Chronic Pain/ep Epidemiology];Education, Medical, Continuing;*Health Care Costs;Humans;*Opioid-Related Disorders/ec Economics];*Opioid-Related Disorders/ep Epidemiology];Prevalence;0 (Analgesics, Opioid)</t>
  </si>
  <si>
    <t>The increasing prevalence of chronic pain with its major societal impact and the escalating use of opioids in managing it, along with their misuse, abuse, associated fatalities and costs, are epidemics in modern medicine. Over the past two decades, multiple lessons have been learned addressing various issues of abuse. Multiple measures have already been incorporated and more are expected to be incorporated in the future, which in turn may curtail the abuse of drugs and reduce healthcare costs, but these measures may also jeopardize access to appropriate pain treatment. This manuscript describes the lessons learned from the misuse, abuse and diversion of opioids, escalating healthcare costs and the means to control this epidemic.</t>
  </si>
  <si>
    <t>J2: Expert rev; Manchikanti, Laxmaiah Boswell, Mark V Hirsch, Joshua A; ID: 338</t>
  </si>
  <si>
    <t>1744-8360</t>
  </si>
  <si>
    <t>Manchikanti, Laxmaiah. Pain Management Center of Paducah, Paducah, KY 42003, USA. drlm@thepainmd.com</t>
  </si>
  <si>
    <t>http://ovidsp.ovid.com/ovidweb.cgi?T=JS&amp;CSC=Y&amp;NEWS=N&amp;PAGE=fulltext&amp;D=med7&amp;AN=23621310</t>
  </si>
  <si>
    <t>https://dx.doi.org/10.1586/ern.13.33</t>
  </si>
  <si>
    <t>MEDLINE; Ovid Technologies; Lessons learned in the abuse of pain-relief medication: a focus on healthcare costs</t>
  </si>
  <si>
    <t>Mancini,G. J.</t>
  </si>
  <si>
    <t>Challenges and opportunities to change the course of the opioid epidemic: a surgeon's perspective</t>
  </si>
  <si>
    <t>*Analgesics, Opioid/tu Therapeutic Use];*Attitude of Health Personnel;Humans;Opioid-Related Disorders/ep Epidemiology];*Opioid-Related Disorders/px Psychology];*Opioid-Related Disorders/th Therapy];*Pain, Postoperative/dt Drug Therapy];*Prescription Drug Misuse/sn Statistics &amp; Numerical Data];*Surgeons/px Psychology];United States/ep Epidemiology];0 (Analgesics, Opioid)</t>
  </si>
  <si>
    <t>J2: Postgrad Med; Mancini, Gregory J; ID: 112</t>
  </si>
  <si>
    <t>1941-9260</t>
  </si>
  <si>
    <t>Mancini, Gregory J. a Department of Surgery , University of Tennessee Medical Center , Knoxville , TN , USA.</t>
  </si>
  <si>
    <t>http://ovidsp.ovid.com/ovidweb.cgi?T=JS&amp;CSC=Y&amp;NEWS=N&amp;PAGE=fulltext&amp;D=med8&amp;AN=27915490</t>
  </si>
  <si>
    <t>https://dx.doi.org/10.1080/00325481.2017.1268901</t>
  </si>
  <si>
    <t>MEDLINE; Ovid Technologies; Challenges and opportunities to change the course of the opioid epidemic: a surgeon's perspective</t>
  </si>
  <si>
    <t>Manley,M.;Epps,R. P.;Husten,C.;Glynn,T.;Shopland,D.</t>
  </si>
  <si>
    <t>Clinical interventions in tobacco control. A National Cancer Institute training program for physicians</t>
  </si>
  <si>
    <t>*Education, Medical;Humans;National Institutes of Health (U.S.);Physician's Role;*Smoking Cessation/mt Methods];Training Support;United States</t>
  </si>
  <si>
    <t>J2: Jama; Manley, M Epps, R P Husten, C Glynn, T Shopland, D Comment in: JAMA. 1991 Dec 11;266(22):3183-4; PMID: 1823545; ID: 1304</t>
  </si>
  <si>
    <t>Manley, M. Cancer Control Science Program, National Cancer Institute, Bethesda, Md. 20892.</t>
  </si>
  <si>
    <t>http://ovidsp.ovid.com/ovidweb.cgi?T=JS&amp;CSC=Y&amp;NEWS=N&amp;PAGE=fulltext&amp;D=med3&amp;AN=1956107</t>
  </si>
  <si>
    <t>MEDLINE; Ovid Technologies; Clinical interventions in tobacco control. A National Cancer Institute training program for physicians</t>
  </si>
  <si>
    <t>Manresa Presas,J. M.</t>
  </si>
  <si>
    <t>Alcoholism: a black hole in our medical training]</t>
  </si>
  <si>
    <t>Medicina clinica</t>
  </si>
  <si>
    <t>Med.Clin.</t>
  </si>
  <si>
    <t>*Alcoholism/di Diagnosis];*Education, Medical;Female;Humans;Male</t>
  </si>
  <si>
    <t>J2: Med Clin (Barc); Spanish Manresa Presas, J M Comment on: Med Clin (Barc). 1993 Jan 9;100(1):5-8; PMID: 8094106; OP: Alcoholismo: un agujero negro en nuestra formacion medica; ID: 1261</t>
  </si>
  <si>
    <t>0025-7753</t>
  </si>
  <si>
    <t>http://ovidsp.ovid.com/ovidweb.cgi?T=JS&amp;CSC=Y&amp;NEWS=N&amp;PAGE=fulltext&amp;D=med3&amp;AN=8429700</t>
  </si>
  <si>
    <t>MEDLINE; Ovid Technologies; [Alcoholism: a black hole in our medical training]</t>
  </si>
  <si>
    <t>Mansky,P. A.</t>
  </si>
  <si>
    <t>Issues in the recovery of physicians from addictive illnesses</t>
  </si>
  <si>
    <t>Psychiatric Quarterly</t>
  </si>
  <si>
    <t>Psychiatr.Q.</t>
  </si>
  <si>
    <t>Adult;Aged;Alcohol Drinking/ep Epidemiology];Alcohol Drinking/px Psychology];*Behavior, Addictive/px Psychology];Defense Mechanisms;Female;Genetic Predisposition to Disease;Humans;Male;Middle Aged;New York/ep Epidemiology];*Physician Impairment/px Psychology];Physician Impairment/sn Statistics &amp; Numerical Data];Regional Medical Programs/sn Statistics &amp; Numerical Data];Risk-Taking;Self Medication;Substance-Related Disorders/ep Epidemiology];*Substance-Related Disorders/px Psychology];Substance-Related Disorders/th Therapy];United States/ep Epidemiology]</t>
  </si>
  <si>
    <t>The issues discussed in this article introduce and examine topics related to physicians' health which are salient in their clinical usefulness or their heuristic value in planning future research. Physicians in general possess physical, emotional and intellectual strengths that are needed to face high stress and low social support. Physicians are also less likely to seek routine medical care. With many illnesses physicians are inherently resistant but have higher risk factors. It is postulated that the opposing tendencies cancel each other. Physicians have better intrinsic physical and mental health but live under higher stress and get less routine preventive care. Physicians also may have a tendency to live healthy lives without addiction but have high risk factors for addiction. Adults who have grown up in families with addiction have a tendency to choose health care professions. Genetic composition may predispose to alcoholism and other chemical addictions. Taking into consideration inherent health and risk it is thought that physicians have a similar prevalence of alcoholism and drug dependence as compared to the general population. Physicians have higher access to pharmaceutical drugs but are less inclined to use street drugs. In the New York State Physicians' Health Program, 88% of the participants used alcohol or prescription drugs and only 12 percent used marihuana or Cocaine. Additional risk factors for Substance Use Disorders in Physicians have been postulated to be pharmaco-logical optimism, intellectual strength, strong will, love of challenges, instrumental use of medications and a daily need for denial. These factors require rigorous investigation to establish their role. Clinical approaches and techniques discussed include the incubation period for a Substance Use Disorder, initial high tolerance, state dependent learning, and the signal properties of drugs. As recovery progresses it is postulated that it becomes increasingly important to deal with substitute addictions and family of origin issues.</t>
  </si>
  <si>
    <t>J2: Psychiatr Q; Mansky, P A; ID: 1069</t>
  </si>
  <si>
    <t>0033-2720</t>
  </si>
  <si>
    <t>Mansky, P A. Department of Psychiatry, Albany Medical College, NY, USA.</t>
  </si>
  <si>
    <t>http://ovidsp.ovid.com/ovidweb.cgi?T=JS&amp;CSC=Y&amp;NEWS=N&amp;PAGE=fulltext&amp;D=med4&amp;AN=10392407</t>
  </si>
  <si>
    <t>MEDLINE; Ovid Technologies; Issues in the recovery of physicians from addictive illnesses</t>
  </si>
  <si>
    <t>Marcolina,D.;De Marzo,N.;D'Isep,M. E.</t>
  </si>
  <si>
    <t>Smoking: results of an interventation for health education of young workers attending to the SPISAL Service for pre-employment medical examination]</t>
  </si>
  <si>
    <t>Giornale italiano di medicina del lavoro ed ergonomia</t>
  </si>
  <si>
    <t>G.Ital.Med.Lav.Ergon.</t>
  </si>
  <si>
    <t>Adolescent;Adult;Female;*Health Education;*Health Promotion;Humans;Male;*Occupational Health;*Smoking Prevention</t>
  </si>
  <si>
    <t>Young people who start smoking are constantly increasing and the age of initiation has decreased. This work presents the results of a specific health education programme on smoking that was carried out for a group of 804 young apprentices who came to the Occupational Health Units in Belluno for a check on work fitness. The objective is to induce young non-smoking apprentices to continue as such and smokers to give up smoking. After two years, a telephone follow-up was carried out to see if the smoking habit has changed. The average age of the group was 19 years and the percentage of smokers was 34%; after two years the percentage of smokers was 29.5%. Then, the percentage of smokers has fallen and the percentage of ex smokers has increased, because smokers became non-smokers during the period of observation. This results show the effectiveness of health programme on smoking directed to young apprentices already demonstrated by a previous study and confirm the withdraw rates obtained by counselling methods. Moreover, this study stressed the role of Occupational Health Units in prevention programmes addressed to the young apprentices during work fitness check.</t>
  </si>
  <si>
    <t>J2: G Ital Med Lav Ergon; Italian Marcolina, D De Marzo, N D'Isep, M E; OP: Fumo: risultati di un intervento di educazione alla salute rivolto al giovani lavoratori che si presentano al Servizio SPISAL per la visita di assunzione; ID: 682</t>
  </si>
  <si>
    <t>1592-7830</t>
  </si>
  <si>
    <t>Marcolina, D. Servizio di Prevenzione Igiene e Sicurezza negli Ambienti di Lavoro ULSS n. 1 Belluno Veneto.</t>
  </si>
  <si>
    <t>http://ovidsp.ovid.com/ovidweb.cgi?T=JS&amp;CSC=Y&amp;NEWS=N&amp;PAGE=fulltext&amp;D=med5&amp;AN=18409966</t>
  </si>
  <si>
    <t>MEDLINE; Ovid Technologies; [Smoking: results of an interventation for health education of young workers attending to the SPISAL Service for pre-employment medical examination]</t>
  </si>
  <si>
    <t>Marcus,M. T.;Brown,R. L.;Straussner,S. L.;Schoener,E.;Henry,R.;Graham,A. V.;Madden,T.;Saunders,L. A.</t>
  </si>
  <si>
    <t>Creating change agents: a national substance abuse education project</t>
  </si>
  <si>
    <t>Clinical Competence;Computer-Assisted Instruction;Cooperative Behavior;Curriculum;Education;*Education, Medical;*Faculty, Medical;*Fellowships and Scholarships;Humans;Internet;Interprofessional Relations;Mentors;Substance-Related Disorders/pc Prevention &amp; Control];*Substance-Related Disorders/rh Rehabilitation];United States</t>
  </si>
  <si>
    <t>OBJECTIVE: This study evaluated the effects of a national interdisciplinary faculty development program, Project MAINSTREAM, on creating curriculum enhancement in health professional education. METHOD: Thirty-nine faculty completed a two-year, part-time fellowship program featuring interdisciplinary collaboration, mentoring, training meetings, and Internet-based instructional materials. The main vehicle for curricular change was a required collaborative education project to develop trainees' core competencies in substance abuse prevention services. RESULTS: Fellows used a variety of approaches to implement 123 curricula and provide 66,995 hours of training to 10,170 trainees. Ninety percent of the training hours occurred in required courses, a potential indication of sustainability. Fellows indicated that a majority of the offerings would be sustained beyond the fellowship. CONCLUSION: Project MAINSTREAM shows promise as a model for achieving durable curriculum change in response to the public health crisis associated with a workforce untrained to deliver substance abuse services.</t>
  </si>
  <si>
    <t>J2: Subst Abus; Marcus, Marianne T Brown, Richard L Straussner, S Lala A Schoener, Eugene Henry, Rebecca Graham, Antonnette V Madden, Theresa Saunders, Laura A; ID: 739</t>
  </si>
  <si>
    <t>Marcus, Marianne T. Association for Medical Education and Research in Substance Abuse, Providence, RI 02908, USA.</t>
  </si>
  <si>
    <t>http://ovidsp.ovid.com/ovidweb.cgi?T=JS&amp;CSC=Y&amp;NEWS=N&amp;PAGE=fulltext&amp;D=med5&amp;AN=16837406</t>
  </si>
  <si>
    <t>MEDLINE; Ovid Technologies; Creating change agents: a national substance abuse education project</t>
  </si>
  <si>
    <t>Marshall,E. J.</t>
  </si>
  <si>
    <t>Doctors' health and fitness to practise: treating addicted doctors</t>
  </si>
  <si>
    <t>Adult;Aged;Clinical Competence/st Standards];Female;Humans;Male;Middle Aged;*Occupational Medicine;*Physician Impairment/sn Statistics &amp; Numerical Data];Risk Factors;Substance-Related Disorders/di Diagnosis];Substance-Related Disorders/px Psychology];*Substance-Related Disorders/th Therapy]</t>
  </si>
  <si>
    <t>The literature describing the diagnostic process in the addicted doctor is scant. Figures from North America indicate that the prevalence of alcohol problems in doctors may be no higher than in the population as a whole, whereas high rates of prescription drug use have been recognized. This practice of self-treatment with controlled drugs is a 'unique concern' for doctors. The development of substance misuse problems in doctors cannot be reduced to a single factor: Anxiety and depression, personality problems, stress at work, family stress, bereavement, an injury or accident at work, pain and a non-specific drift into drinking have been implicated. Early diagnosis is critical because doctors are often reluctant to seek help and colleagues reluctant to intervene. Medical schools and continuing medical education programmes must give greater emphasis to addiction and substance misuse in doctors with a view to reducing the incidence of 'impaired physicians' and promoting and encouraging early treatment and rehabilitation. The relationship between the addiction psychiatrist and the occupational physician is key given that these problems occur at the interface between occupational health and regulatory systems. The need for individually tailored back to work programmes requires careful coordination and monitoring and may be difficult to implement without their involvement. Generally, the prognosis for doctors' recovery is good and it is possible to predict which doctors will 'make it'. References: 43]</t>
  </si>
  <si>
    <t>J2: Occup Med (Oxf); Marshall, E Jane; ID: 654</t>
  </si>
  <si>
    <t>Marshall, E Jane. National Addiction Centre, Institute of Psychiatry, King's College London, London, UK. jane.marshall@slam.nhs.uk</t>
  </si>
  <si>
    <t>http://ovidsp.ovid.com/ovidweb.cgi?T=JS&amp;CSC=Y&amp;NEWS=N&amp;PAGE=fulltext&amp;D=med6&amp;AN=18676427</t>
  </si>
  <si>
    <t>https://dx.doi.org/10.1093/occmed/kqn081</t>
  </si>
  <si>
    <t>MEDLINE; Ovid Technologies; Doctors' health and fitness to practise: treating addicted doctors</t>
  </si>
  <si>
    <t>Marshall,K. L.;Deane,F. P.</t>
  </si>
  <si>
    <t>General practitioners' detection and management of patients with a dual diagnosis: implications for education and training</t>
  </si>
  <si>
    <t>Adult;Australia;Comorbidity;Curriculum;Data Collection;Diagnosis, Dual (Psychiatry);Education, Medical, Graduate;*Family Practice/ed Education];Female;Health Knowledge, Attitudes, Practice;Health Services Needs and Demand/sn Statistics &amp; Numerical Data];Humans;Male;Medical Audit;*Mental Disorders/di Diagnosis];Mental Disorders/ep Epidemiology];Mental Disorders/rh Rehabilitation];Middle Aged;Patient Care Team/sn Statistics &amp; Numerical Data];Psychiatry/ed Education];Referral and Consultation/sn Statistics &amp; Numerical Data];*Substance-Related Disorders/di Diagnosis];Substance-Related Disorders/ep Epidemiology];Substance-Related Disorders/rh Rehabilitation];Treatment Outcome</t>
  </si>
  <si>
    <t>General practitioners (GPs) are in a unique position to detect and manage patients with co-morbid mental health and substance use disorders (dual diagnosis). It has been estimated that over 30% of patients presenting to general practice have a diagnosable mental disorder and 12% have dual diagnosis. Unfortunately, between 30 and 50% of these problems go undetected in general practice. Limited GP education and training in mental health may account for this deficit, with a little over 8% of GPs receiving any formal postgraduate training in mental health. Prior to developing an educational resource for GPs, the present study aimed to establish baseline estimates of GP treatment practices with patients who have dual diagnosis. Two GP division-wide surveys of screening, assessment and treatment for dual diagnosis were conducted one year apart. In addition, five GPs conducted a clinical audit of 508 patient consultations. Results indicate that without ongoing targeted interventions, patient management activities such as GP counselling, use of screening devices, referral to specialist services, coordination and use of EPC items are not likely to improve and are at risk of declining.</t>
  </si>
  <si>
    <t>J2: Drug Alcohol Rev; Marshall, Kellie L Deane, Frank P; ID: 876</t>
  </si>
  <si>
    <t>Marshall, Kellie L. Illawarra Division of General Practice Wollongong, Australia.</t>
  </si>
  <si>
    <t>http://ovidsp.ovid.com/ovidweb.cgi?T=JS&amp;CSC=Y&amp;NEWS=N&amp;PAGE=fulltext&amp;D=med5&amp;AN=15763750</t>
  </si>
  <si>
    <t>MEDLINE; Ovid Technologies; General practitioners' detection and management of patients with a dual diagnosis: implications for education and training</t>
  </si>
  <si>
    <t>Marshall,V. J.;McLaurin-Jones,T.;Kalu,N.;Kwagyan,J.;Scott,D. M.;Cain,G.;Greene,W.;Adenuga,B.;Taylor,R. E.</t>
  </si>
  <si>
    <t>NIHMS597914; Screening, brief intervention, and referral to treatment: public health training for primary care</t>
  </si>
  <si>
    <t>e30</t>
  </si>
  <si>
    <t>Adult;Cohort Studies;Female;Follow-Up Studies;*Health Knowledge, Attitudes, Practice;Health Promotion;Humans;*Internship and Residency;Male;Primary Health Care/st Standards];*Public Health/ed Education];Referral and Consultation;*Substance-Related Disorders/di Diagnosis];*Substance-Related Disorders/th Therapy];Surveys and Questionnaires</t>
  </si>
  <si>
    <t>OBJECTIVES: The purpose of this study was to elucidate changes in attitudes, experiences, readiness, and confidence levels of medical residents to perform screening, brief intervention, and referral to treatment (SBIRT) and factors that moderate these changes. METHODS: A cohort of 121 medical residents received an educational intervention. Self-reported experience, readiness, attitude, and confidence toward SBIRT-related skills were measured at baseline and at follow-up. Analyses were conducted to evaluate the effects of medical specialization. RESULTS: The intervention significantly increased experience (P&lt;.001), attitude (P&lt;.05), readiness (P&lt;.001), and confidence (P&lt;.001). Residents were more likely to report that their involvement influenced patients' substance use. However, experience applying SBIRT skills varied by country of birth, specialty, and baseline scores. CONCLUSIONS: This study suggested that SBIRT training was an effective educational tool that increased residents' sense of responsibility. However, application of skills might differ by specialization and other variables. Future studies are needed to explore and evaluate SBIRT knowledge obtained, within the context of cultural awareness and clinical skills.</t>
  </si>
  <si>
    <t>J2: Am J Public Health; Marshall, Vanessa J McLaurin-Jones, TyWanda L Kalu, Nnenna Kwagyan, John Scott, Denise M Cain, Gloria Greene, Wendy Adenuga, Babafemi Taylor, Robert E Comment in: Am J Public Health. 2013 Apr;103(4):e1-2; PMID: 23409913; ID: 423</t>
  </si>
  <si>
    <t>Marshall, Vanessa J. Howard University College of Medicine, Department of Pharmacology, Washington, DC 20059, USA. vjmarshall@howard.edu</t>
  </si>
  <si>
    <t>http://ovidsp.ovid.com/ovidweb.cgi?T=JS&amp;CSC=Y&amp;NEWS=N&amp;PAGE=fulltext&amp;D=med7&amp;AN=22698040</t>
  </si>
  <si>
    <t>https://dx.doi.org/10.2105/AJPH.2012.300802</t>
  </si>
  <si>
    <t>MEDLINE; Ovid Technologies; Screening, brief intervention, and referral to treatment: public health training for primary care</t>
  </si>
  <si>
    <t>Martens</t>
  </si>
  <si>
    <t>Smoking inhibition in continuing education meetings]</t>
  </si>
  <si>
    <t>*Education, Medical, Continuing;Germany, West;Jurisprudence;*Smoking</t>
  </si>
  <si>
    <t>J2: Dtsch Med Wochenschr; German Martens; OP: Rauchverbot bei Fortbildungs-veranstaltungen; ID: 1555</t>
  </si>
  <si>
    <t>0012-0472</t>
  </si>
  <si>
    <t>http://ovidsp.ovid.com/ovidweb.cgi?T=JS&amp;CSC=Y&amp;NEWS=N&amp;PAGE=fulltext&amp;D=med1&amp;AN=1132362</t>
  </si>
  <si>
    <t>MEDLINE; Ovid Technologies; [Smoking inhibition in continuing education meetings]</t>
  </si>
  <si>
    <t>Martin,E.</t>
  </si>
  <si>
    <t>Training in substance abuse is lacking for GPs</t>
  </si>
  <si>
    <t>*Education, Medical, Continuing;*Family Practice/ed Education];Humans;*Substance-Related Disorders;United Kingdom</t>
  </si>
  <si>
    <t>J2: Bmj; Martin, E Comment in: BMJ. 1996 May 4;312(7039):1162; PMID: 8620162 Comment in: BMJ. 1996 May 4;312(7039):1162; PMID: 8620163; ID: 1177</t>
  </si>
  <si>
    <t>http://ovidsp.ovid.com/ovidweb.cgi?T=JS&amp;CSC=Y&amp;NEWS=N&amp;PAGE=fulltext&amp;D=med4&amp;AN=8563569</t>
  </si>
  <si>
    <t>MEDLINE; Ovid Technologies; Training in substance abuse is lacking for GPs</t>
  </si>
  <si>
    <t>Martin,S. L.;Moracco,K. E.;Chang,J. C.;Council,C. L.;Dulli,L. S.</t>
  </si>
  <si>
    <t>Substance abuse issues among women in domestic violence programs: findings from North Carolina</t>
  </si>
  <si>
    <t>Violence Against Women</t>
  </si>
  <si>
    <t>Voilence Against Women</t>
  </si>
  <si>
    <t>Adult;Aged;*Battered Women/sn Statistics &amp; Numerical Data];Community Networks;Female;Humans;Middle Aged;Needs Assessment;North Carolina/ep Epidemiology];Program Evaluation;*Public Housing/st Standards];Socioeconomic Factors;*Substance Abuse Treatment Centers/og Organization &amp; Administration];Substance Abuse Treatment Centers/sn Statistics &amp; Numerical Data];Substance-Related Disorders/ep Epidemiology];*Substance-Related Disorders/th Therapy];*Women's Health;Women's Health Services/og Organization &amp; Administration]</t>
  </si>
  <si>
    <t>This article discusses the results of a survey of North Carolina domestic violence programs that found that substance abuse problems are common among program clients, yet only half of the programs had policies concerning substance-abusing clients, and one fourth had memoranda of agreement with substance abuse treatment providers. Most programs with shelters asked clients about substance use; however, one third of the shelters would not admit women if they were noticeably under the influence of substances while seeking shelter residence, instead referring them to substance abuse programs. Approximately one tenth of the domestic violence programs did not have any staff or volunteers with training in substance abuse issues. Implications are discussed.</t>
  </si>
  <si>
    <t>J2: Violence Against Women; Martin, Sandra L Moracco, Kathryn E Chang, Judy C Council, Carol L Dulli, Lisa S; ID: 666</t>
  </si>
  <si>
    <t>1077-8012</t>
  </si>
  <si>
    <t>Martin, Sandra L. University of North Carolina at Chapel Hill, USA.</t>
  </si>
  <si>
    <t>http://ovidsp.ovid.com/ovidweb.cgi?T=JS&amp;CSC=Y&amp;NEWS=N&amp;PAGE=fulltext&amp;D=med6&amp;AN=18703771</t>
  </si>
  <si>
    <t>https://dx.doi.org/10.1177/1077801208322103</t>
  </si>
  <si>
    <t>MEDLINE; Ovid Technologies; Substance abuse issues among women in domestic violence programs: findings from North Carolina</t>
  </si>
  <si>
    <t>Martinez,S.;Tal,I.;Norcross,W.;Newton,I. G.;Downs,N.;Seay,K.;McGuire,T.;Kirby,B.;Chidley,B.;Tiamson-Kassab,M.;Lee,D.;Hadley,A.;Doran,N.;Jong,P.;Lee,K.;Moutier,C.;Norman,M.;Zisook,S.</t>
  </si>
  <si>
    <t>Alcohol use in an academic medical school environment: A UC San Diego Healer Education Assessment and Referral (HEAR) Report</t>
  </si>
  <si>
    <t>Annals of Clinical Psychiatry</t>
  </si>
  <si>
    <t>*Academic Medical Centers/og Organization &amp; Administration];Adult;*Alcoholism/ep Epidemiology];Alcoholism/px Psychology];California/ep Epidemiology];Depression/ep Epidemiology];Depression/px Psychology];Faculty, Medical/px Psychology];Female;Humans;Internship and Residency;Male;*Referral and Consultation;Risk Assessment;Social Stigma;Students, Medical/px Psychology];Suicidal Ideation;Surveys and Questionnaires</t>
  </si>
  <si>
    <t>BACKGROUND: Medical students and physicians in training and in practice are at risk for excessive alcohol use and abuse, potentially impacting the affected individuals as well as their family members, trainees, and patients. However, several roadblocks to care, including stigma, often keep them from seeking treatment. METHODS: We analyzed data from anonymous questionnaires completed by medical students, house staff, and faculty from 2009 to 2014 as part of a depression awareness and suicide prevention program at a state-supported medical school in the United States. The authors explored associations between self-reported "drinking too much" and depression, suicidal ideation, substance use, intense affective states, and mental health treatment. RESULTS: Approximately one-fifth of the respondents reported "drinking too much." "Drinking too much" was associated with more severe depression and impairment, past suicide attempts and current suicidal ideation, intense affective states, and other substance use. Those who were "drinking too much" were more likely than others to accept referrals for mental health treatment through the anonymous interactive screening program, suggesting that this program may be effective in skirting the stigma barrier for accessing mental health care for this at-risk population. CONCLUSIONS: The self-reported prevalence of "drinking too much" among medical students, house staff, and faculty is high and associated with negative mental health outcomes. Targeted, anonymous screenings may identify at-risk individuals and provide mental health care referrals to those in need.</t>
  </si>
  <si>
    <t>J2: Ann Clin Psychiatry; Martinez, Stephanie Tal, Ilanit Norcross, William Newton, Isabel Gala Downs, Nancy Seay, Kathryn McGuire, Tara Kirby, Brittany Chidley, Brittany Tiamson-Kassab, Maria Lee, Daniel Hadley, Allison Doran, Neal Jong, Pam Lee, Kelly Moutier, Christine Norman, Marc Zisook, Sidney; ID: 22</t>
  </si>
  <si>
    <t>1547-3325</t>
  </si>
  <si>
    <t>Martinez, Stephanie. University of Nevada, Las Vegas, NV, USA.</t>
  </si>
  <si>
    <t>http://ovidsp.ovid.com/ovidweb.cgi?T=JS&amp;CSC=Y&amp;NEWS=N&amp;PAGE=fulltext&amp;D=medl&amp;AN=27285389</t>
  </si>
  <si>
    <t>MEDLINE; Ovid Technologies; Alcohol use in an academic medical school environment: A UC San Diego Healer Education Assessment and Referral (HEAR) Report</t>
  </si>
  <si>
    <t>Martino,S.;Ball,S. A.;Nich,C.;Canning-Ball,M.;Rounsaville,B. J.;Carroll,K. M.</t>
  </si>
  <si>
    <t>NIHMS225881; Teaching community program clinicians motivational interviewing using expert and train-the-trainer strategies</t>
  </si>
  <si>
    <t>Adult;*Clinical Competence;Connecticut;*Education, Medical, Continuing/mt Methods];Educational Measurement/mt Methods];Female;Humans;*Interview, Psychological;Male;Middle Aged;Motivation;Program Development;Program Evaluation;Regression Analysis;Substance Abuse Treatment Centers;*Substance-Related Disorders/th Therapy];*Teaching/mt Methods];Teaching Materials;Technology Transfer</t>
  </si>
  <si>
    <t>AIMS: The effectiveness of expert-led (EX) and train-the-trainer (TT) strategies was compared to a self-study approach (SS) for teaching clinicians motivational interviewing (MI). DESIGN: Twelve community treatment programs were assigned randomly to the three conditions. EX and TT conditions used skill-building workshops and three monthly supervision sessions guided by treatment integrity ratings, performance feedback and coaching techniques. Trainers in TT were first trained and certified in MI and then prepared carefully to deliver the workshops and supervise MI at their programs. Clinicians in SS only received the training materials. SETTING: Licensed out-patient and residential addiction and mental health treatment programs in the US state of Connecticut were involved in the study. PARTICIPANTS: Ninety-two clinicians who provided addiction treatment within these programs and had limited experience with MI participated in the study. MEASUREMENTS: Primary outcomes were the clinicians' MI adherence and competence and the percentage of clinicians meeting clinical trial standards of MI performance. Assessments occurred at baseline, post-workshop, post-supervision and at 12-week follow-up. FINDINGS: The study found EX and TT, in comparison to SS, improved clinicians' adherence and competence significantly, with higher percentages of clinicians reaching clinical trial standards of MI performance and few differences between EX and TT. CONCLUSIONS: This study supports the combined use of workshops and supervision to teach community program clinicians MI and suggests the train-the-trainer approach may be a feasible and effective strategy for disseminating empirically supported treatments.</t>
  </si>
  <si>
    <t>J2: Addiction; Martino, Steve Ball, Samuel A Nich, Charla Canning-Ball, Monica Rounsaville, Bruce J Carroll, Kathleen M; ID: 530</t>
  </si>
  <si>
    <t>Martino, Steve. Department of Psychiatry, Yale University School of Medicine, New Haven, CT, USA. steve.martino@yale.edu</t>
  </si>
  <si>
    <t>http://ovidsp.ovid.com/ovidweb.cgi?T=JS&amp;CSC=Y&amp;NEWS=N&amp;PAGE=fulltext&amp;D=med7&amp;AN=20925684</t>
  </si>
  <si>
    <t>https://dx.doi.org/10.1111/j.1360-0443.2010.03135.x</t>
  </si>
  <si>
    <t>MEDLINE; Ovid Technologies; Teaching community program clinicians motivational interviewing using expert and train-the-trainer strategies</t>
  </si>
  <si>
    <t>Martino,S.;Zimbrean,P.;Forray,A.;Kaufman,J.;Desan,P.;Olmstead,T. A.;Gueorguieva,R.;Howell,H.;McCaherty,A.;Yonkers,K. A.</t>
  </si>
  <si>
    <t>See One, Do One, Order One: a study protocol for cluster randomized controlled trial testing three strategies for implementing motivational interviewing on medical inpatient units</t>
  </si>
  <si>
    <t>Implementation Science</t>
  </si>
  <si>
    <t>Cost-Benefit Analysis;Education, Continuing/og Organization &amp; Administration];*Health Personnel/ed Education];Hospitals, University;Humans;*Inpatients;Inservice Training/og Organization &amp; Administration];*Motivational Interviewing/mt Methods];Nurses;Physician Assistants;Physicians;Referral and Consultation;*Research Design;*Substance-Related Disorders/th Therapy]</t>
  </si>
  <si>
    <t>BACKGROUND: General medical hospitals provide care for a disproportionate share of patients who abuse or are dependent upon substances. This group is among the most costly to treat and has the poorest medical and addiction recovery outcomes. Hospitalization provides a unique opportunity to identify and motivate patients to address their substance use problems in that patients are accessible, have time for an intervention, and are often admitted for complications related to substance use that renders hospitalization a "teachable moment." METHODS/DESIGN: This randomized controlled trial will examine the effectiveness of three different strategies for integrating motivational interviewing (MI) into the practice of providers working within a general medical inpatient hospitalist service: (1) a continuing medical education workshop that provides background and "shows" providers how to conduct MI (See One); (2) an apprenticeship model involving workshop training plus live supervision of bedside practice (Do One); and (3) ordering MI from the psychiatry consultation-liaison (CL) service after learning about it in a workshop (Order One). Thirty providers (physicians, physician assistants, nurses) will be randomized to conditions and then assessed for their provision of MI to 40 study-eligible inpatients. The primary aims of the study are to assess (1) the utilization of MI in each condition; (2) the integrity of MI when providers use it on the medical units; and (3) the relative costs and cost-effectiveness of the three different implementation strategies. DISCUSSION: If implementation of Do One and Order One is successful, the field will have two alternative strategies for supporting medical providers' proficient use of brief behavioral interventions, such as MI, for medical inpatients who use substances problematically. TRIAL REGISTRATION: Clinical Trials.gov ( NCT01825057 ).</t>
  </si>
  <si>
    <t>J2: Implement Sci; Martino, Steve Zimbrean, Paula Forray, Ariadna Kaufman, Joy Desan, Paul Olmstead, Todd A Gueorguieva, Ralitza Howell, Heather McCaherty, Ashley Yonkers, Kimberly A; ID: 173</t>
  </si>
  <si>
    <t>1748-5908</t>
  </si>
  <si>
    <t>Martino, Steve. Psychology Service, VA Connecticut Healthcare System, 950 Campbell Avenue (116B), West Haven, CT, 06516, USA. steve.martino@yale.edu. Martino, Steve. Department of Psychiatry, Yale University School of Medicine, 300 George Street, Suite 901, New Haven, CT, 06511, USA. steve.martino@yale.edu. Zimbrean, Paula. Department of Psychiatry, Yale University School of Medicine, 300 George Street, Suite 901, New Haven, CT, 06511, USA. paula.zimbrean@yale.edu. Forray, Ariadna. Department of Psychiatry, Yale University School of Medicine, 300 George Street, Suite 901, New Haven, CT, 06511, USA. ariadna.forray@yale.edu. Kaufman, Joy. Department of Psychiatry, Yale University School of Medicine, 300 George Street, Suite 901, New Haven, CT, 06511, USA. joy.kaufman@yale.edu. Desan, Paul. Department of Psychiatry, Yale University School of Medicine, 300 George Street, Suite 901, New Haven, CT, 06511, USA. paul.desan@yale.edu. Olmstead, Todd A. Lyndon B. Johnson School of Public Affairs, The University of Texas at Austin, 2300 Red River St., Stop E2700, Sid Richardson Hall, Unit 3, Austin, TX, 78712, USA. tolmstead@austin.utexas.edu. Olmstead, Todd A. Seton/UT Clinical Research Institute, 1400 North IH 35, Austin, TX, 78701, USA. tolmstead@austin.utexas.edu. Gueorguieva, Ralitza. Department of Biostatistics, Yale University School of Medicine, 60 College Street, New Haven, CT, 06510, USA. ralitza.gueorguieva@yale.edu. Howell, Heather. Department of Psychiatry, Yale University School of Medicine, 300 George Street, Suite 901, New Haven, CT, 06511, USA. heather.howell@yale.edu. McCaherty, Ashley. Department of Psychiatry, Yale University School of Medicine, 300 George Street, Suite 901, New Haven, CT, 06511, USA. ashley.mccaherty@yale.edu. Yonkers, Kimberly A. Department of Psychiatry, Yale University School of Medicine, 300 George Street, Suite 901, New Haven, CT, 06511, USA. kimberly.yonkers@yale.edu.</t>
  </si>
  <si>
    <t>http://ovidsp.ovid.com/ovidweb.cgi?T=JS&amp;CSC=Y&amp;NEWS=N&amp;PAGE=fulltext&amp;D=med8&amp;AN=26420671</t>
  </si>
  <si>
    <t>https://dx.doi.org/10.1186/s13012-015-0327-9</t>
  </si>
  <si>
    <t>MEDLINE; Ovid Technologies; See One, Do One, Order One: a study protocol for cluster randomized controlled trial testing three strategies for implementing motivational interviewing on medical inpatient units</t>
  </si>
  <si>
    <t>Martins,S. R.;Paceli,R. B.;Bussacos,M. A.;Fernandes,F. L.;Prado,G. F.;Lombardi,E. M.;Terra-Filho,M.;Santos,U. P.</t>
  </si>
  <si>
    <t>Experimentation with and knowledge regarding water-pipe tobacco smoking among medical students at a major university in Brazil</t>
  </si>
  <si>
    <t>Jornal Brasileiro De Pneumologia: Publicacao Oficial Da Sociedade Brasileira De Pneumologia E Tisilogia</t>
  </si>
  <si>
    <t>Adult;*Attitude to Health;Brazil/ep Epidemiology];Female;Health Knowledge, Attitudes, Practice;Humans;Male;Prevalence;Sex Factors;*Smoking/ep Epidemiology];*Smoking Prevention;*Students, Medical/sn Statistics &amp; Numerical Data];*Substance-Related Disorders/ep Epidemiology];*Substance-Related Disorders/pc Prevention &amp; Control];Surveys and Questionnaires;Tobacco Products/cl Classification];Universities;Young Adult</t>
  </si>
  <si>
    <t>OBJECTIVE: Water-pipe tobacco smoking is becoming increasingly more common among young people. The objective of this study was to estimate the prevalence of the use of water pipes and other forms of tobacco use, including cigarette smoking, among medical students, as well as to examine the attitudes, beliefs, and knowledge of those students regarding this issue. METHODS: We administered a questionnaire to students enrolled in the University of Sao Paulo School of Medicine, in Sao Paulo, Brazil. The respondents were evaluated in their third and sixth years of medical school, between 2008 and 2013. Comparisons were drawn between the two years. RESULTS: We evaluated 586 completed questionnaires. Overall, the prevalence of current cigarette smokers was low, with a decline among males (9.78% vs. 5.26%) and an increase among females (1.43% vs. 2.65%) in the 3rd and 6th year, respectively. All respondents believed that health professionals should advise patients to quit smoking. However, few of the medical students who smoked received physician advice to quit. Experimentation with other forms of tobacco use was more common among males (p&lt;0.0001). Despite their knowledge of its harmful effects, students experimented with water-pipe tobacco smoking in high proportions (47.32% and 46.75% of the third- and sixth-year students, respectively). CONCLUSIONS: The prevalence of experimentation with water-pipe tobacco smoking and other forms of tobacco use is high among aspiring physicians. Our findings highlight the need for better preventive education programs at medical schools, not only to protect the health of aspiring physicians but also to help them meet the challenge posed by this new epidemic.</t>
  </si>
  <si>
    <t>J2: J Bras Pneumol; Martins, Stella Regina Paceli, Renato Batista Bussacos, Marco Antonio Fernandes, Frederico Leon Arrabal Prado, Gustavo Faibischew Lombardi, Elisa Maria Siqueira Terra-Filho, Mario Santos, Ubiratan Paula S1806-37132014000200102; ID: 273</t>
  </si>
  <si>
    <t>1806-3756</t>
  </si>
  <si>
    <t>Martins, Stella Regina. Heart Institute, Hospital das Clinicas, School of Medicine, University of Sao Paulo, Sao Paulo, Brazil. Paceli, Renato Batista. Heart Institute, Hospital das Clinicas, School of Medicine, University of Sao Paulo, Sao Paulo, Brazil. Bussacos, Marco Antonio. Heart Institute, Hospital das Clinicas, School of Medicine, University of Sao Paulo, Sao Paulo, Brazil. Fernandes, Frederico Leon Arrabal. Heart Institute, Hospital das Clinicas, School of Medicine, University of Sao Paulo, Sao Paulo, Brazil. Prado, Gustavo Faibischew. Heart Institute, Hospital das Clinicas, School of Medicine, University of Sao Paulo, Sao Paulo, Brazil. Lombardi, Elisa Maria Siqueira. Heart Institute, Hospital das Clinicas, School of Medicine, University of Sao Paulo, Sao Paulo, Brazil. Terra-Filho, Mario. Heart Institute, Hospital das Clinicas, School of Medicine, University of Sao Paulo, Sao Paulo, Brazil. Santos, Ubiratan Paula. Heart Institute, Hospital das Clinicas, School of Medicine, University of Sao Paulo, Sao Paulo, Brazil.</t>
  </si>
  <si>
    <t>English Portuguese</t>
  </si>
  <si>
    <t>http://ovidsp.ovid.com/ovidweb.cgi?T=JS&amp;CSC=Y&amp;NEWS=N&amp;PAGE=fulltext&amp;D=med8&amp;AN=24831393</t>
  </si>
  <si>
    <t>MEDLINE; Ovid Technologies; Experimentation with and knowledge regarding water-pipe tobacco smoking among medical students at a major university in Brazil</t>
  </si>
  <si>
    <t>Martins,S. R.;Paceli,R. B.;Bussacos,M. A.;Fernandes,F. L. A.;Prado,G. F.;Lombardi,E. M. S.;Terra-Filho,M.;Santos,U. P.</t>
  </si>
  <si>
    <t>Effective tobacco control measures: agreement among medical students</t>
  </si>
  <si>
    <t>Adult;Brazil/ep Epidemiology];Female;*Health Knowledge, Attitudes, Practice;Humans;Male;Prevalence;Self Report;Sex Distribution;Sex Factors;*Smoking/ep Epidemiology];*Smoking Cessation/mt Methods];*Smoking Prevention;*Students, Medical/sn Statistics &amp; Numerical Data];Time Factors;*Tobacco Use Disorder/pc Prevention &amp; Control];Young Adult</t>
  </si>
  <si>
    <t>Objective:: To determine the level of agreement with effective tobacco control measures recommended by the World Health Organization and to assess the attitudes toward, knowledge of, and beliefs regarding smoking among third-year medical students at University of Sao Paulo School of Medicine, located in the city of Sao Paulo, Brazil. Methods:: Between 2008 and 2012, all third-year medical students were invited to complete a self-administered questionnaire based on the Global Health Professionals Student Survey and its additional modules. Results:: The study sample comprised 556 students. The level of agreement with the World Health Organization recommendations was high, except for the components "received smoking cessation training" and "raising taxes is effective to reduce the prevalence of smoking". Most of the students reported that they agree with banning tobacco product sales to minors (95%), believe that physicians are role models to their patients (84%), and believe that they should advise their patients to quit cigarette smoking (96%) and using other tobacco products (94%). Regarding smoking cessation methods, most of the students were found to know more about nicotine replacement therapy than about non-nicotine therapies (93% vs. 53%). Only 37% of the respondents were aware of the importance of educational antismoking materials, and only 31% reported that they believe in the effectiveness of encouraging their patients, during medical visits. In our sample, the prevalence of current cigarette smoking was 5.23%; however, 43.82% of the respondents reported having experimented with water-pipe tobacco smoking. Conclusions:: Our results revealed the need to emphasize to third-year medical students the importance of raising the prices of and taxes on tobacco products. We also need to make students aware of the dangers of experimenting with tobacco products other than cigarettes, particularly water-pipe tobacco smoking. Objetivo:: Determinar o grau de concordancia com medidas eficazes de controle do tabaco recomendadas pela Organizacao Mundial da Saude e avaliar as atitudes, o conhecimento e as crencas a respeito do tabagismo em alunos do terceiro ano de medicina da Faculdade de Medicina da Universidade de Sao Paulo, em Sao Paulo (SP). Metodos:: Entre 2008 e 2012, todos os alunos do terceiro ano de medicina foram convidados a preencher um questionario autoaplicavel baseado na Global Health Professions Student Survey e em seus modulos adicionais. Resultados:: A amostra consistiu em 556 estudantes. O grau de concordancia com as recomendacoes da Organizacao Mundial da Saude foi alto, a excecao de "receberam treinamento a respeito de cessacao do tabagismo" e "aumentar os impostos e uma medida eficaz para reduzir a prevalencia do tabagismo". A maioria dos estudantes relatou que concorda com a proibicao da venda de produtos do tabaco a menores de idade (95%), acredita que os medicos sao modelos de comportamento para seus pacientes (84%) e acredita que deveriam aconselhar seus pacientes a parar de fumar cigarros (96%) e de usar outros produtos do tabaco (94%). No tocante aos metodos de cessacao do tabagismo, observamos que a maioria dos estudantes sabe mais sobre terapia de reposicao da nicotina do que sobre terapias nao nicotinicas (93% vs. 53%). Apenas 37% dos participantes estavam cientes da importancia de material educacional antitabagismo, e apenas 31% relataram que acreditam na eficacia de incentivar seus pacientes, durante as consultas medicas, a parar de fumar. Em nossa amostra, a prevalencia de tabagismo atual foi de 5,23%; entretanto, 43,82% dos participantes relataram ter experimentado fumar tabaco com um narguile. Conclusoes:: Nossos resultados revelaram a necessidade de deixar claro para os alunos do terceiro ano de medicina o quao importante e aumentar os precos e impostos dos produtos do tabaco. E tambem preciso conscientizar os alunos dos perigos de experimentar outros produtos do tabaco que nao os cigarros, particularmente o narguile.</t>
  </si>
  <si>
    <t>J2: J Bras Pneumol; Martins, Stella Regina Paceli, Renato Batista Bussacos, Marco Antonio Fernandes, Frederico Leon Arrabal Prado, Gustavo Faibischew Lombardi, Elisa Maria Siqueira Terra-Filho, Mario Santos, Ubiratan Paula S1806-37132017000300202; ID: 64</t>
  </si>
  <si>
    <t>http://ovidsp.ovid.com/ovidweb.cgi?T=JS&amp;CSC=Y&amp;NEWS=N&amp;PAGE=fulltext&amp;D=med8&amp;AN=28746531</t>
  </si>
  <si>
    <t>https://dx.doi.org/10.1590/S1806-37562015000000316</t>
  </si>
  <si>
    <t>MEDLINE; Ovid Technologies; Effective tobacco control measures: agreement among medical students</t>
  </si>
  <si>
    <t>Matar Boumosleh,J.;Jaalouk,D.</t>
  </si>
  <si>
    <t>Depression, anxiety, and smartphone addiction in university students- A cross sectional study</t>
  </si>
  <si>
    <t>e0182239</t>
  </si>
  <si>
    <t>Adolescent;Adult;*Anxiety Disorders/ep Epidemiology];*Behavior, Addictive/ep Epidemiology];Cross-Sectional Studies;*Depressive Disorder/ep Epidemiology];Female;Humans;Lebanon/ep Epidemiology];Male;*Smartphone/ut Utilization];*Students/px Psychology];Surveys and Questionnaires;Universities;Young Adult</t>
  </si>
  <si>
    <t>OBJECTIVES: The study aims to assess prevalence of smartphone addiction symptoms, and to ascertain whether depression or anxiety, independently, contributes to smartphone addiction level among a sample of Lebanese university students, while adjusting simultaneously for important sociodemographic, academic, lifestyle, personality trait, and smartphone-related variables. METHODS: A random sample of 688 undergraduate university students (mean age = 20.64 +/-1.88 years; 53% men) completed a survey composed of a) questions about socio-demographics, academics, lifestyle behaviors, personality type, and smartphone use-related variables; b) 26-item Smartphone Addiction Inventory (SPAI) Scale; and c) brief screeners of depression and anxiety (PHQ-2 and GAD-2), which constitute the two core DSM-IV items for major depressive disorder and generalized anxiety disorder, respectively. RESULTS: Prevalence rates of smartphone-related compulsive behavior, functional impairment, tolerance and withdrawal symptoms were substantial. 35.9% felt tired during daytime due to late-night smartphone use, 38.1% acknowledged decreased sleep quality, and 35.8% slept less than four hours due to smartphone use more than once. Whereas gender, residence, work hours per week, faculty, academic performance (GPA), lifestyle habits (smoking and alcohol drinking), and religious practice did not associate with smartphone addiction score; personality type A, class (year 2 vs. year 3), younger age at first smartphone use, excessive use during a weekday, using it for entertainment and not using it to call family members, and having depression or anxiety, showed statistically significant associations with smartphone addiction. Depression and anxiety scores emerged as independent positive predictors of smartphone addiction, after adjustment for confounders. CONCLUSION: Several independent positive predictors of smartphone addiction emerged including depression and anxiety. It could be that young adults with personality type A experiencing high stress level and low mood may lack positive stress coping mechanisms and mood management techniques and are thus highly susceptible to smartphone addiction.</t>
  </si>
  <si>
    <t>J2: PLoS ONE; Matar Boumosleh, Jocelyne Jaalouk, Doris; ID: 60</t>
  </si>
  <si>
    <t>Matar Boumosleh, Jocelyne. Department of Nursing and Health Sciences, Notre Dame University-Louaize, Zouk Mosbeh, Lebanon. Jaalouk, Doris. Department of Nursing and Health Sciences, Notre Dame University-Louaize, Zouk Mosbeh, Lebanon.</t>
  </si>
  <si>
    <t>http://ovidsp.ovid.com/ovidweb.cgi?T=JS&amp;CSC=Y&amp;NEWS=N&amp;PAGE=fulltext&amp;D=med8&amp;AN=28777828</t>
  </si>
  <si>
    <t>https://dx.doi.org/10.1371/journal.pone.0182239</t>
  </si>
  <si>
    <t>MEDLINE; Ovid Technologies; Depression, anxiety, and smartphone addiction in university students- A cross sectional study</t>
  </si>
  <si>
    <t>Matheson,C.;Pflanz-Sinclair,C.;Almarzouqi,A.;Bond,C. M.;Lee,A. J.;Batieha,A.;Al Ghaferi,H.;El Kashef,A.</t>
  </si>
  <si>
    <t>A controlled trial of screening, brief intervention and referral for treatment (SBIRT) implementation in primary care in the United Arab Emirates</t>
  </si>
  <si>
    <t>Primary Health Care Research &amp; Development</t>
  </si>
  <si>
    <t>Aim This project evaluated the effectiveness of screening brief intervention and referral for treatment (SBIRT) in primary care in Abu Dhabi to manage patients with problematic substance use. This study aimed to determine whether: (i) training primary care physicians on the SBIRT model increased the identification of patients using substances at a harmful, hazardous or dependent level; (ii) training improved physicians' knowledge, attitudes and beliefs in self-efficacy in managing substance use. BACKGROUND: Substance use is increasing in the United Arab Emirates yet there has been no formal primary care intervention. SBIRT was considered an appropriate model given its endorsement by the WHO. METHODS: A controlled trial (two intervention and two matched control clinics) was undertaken. Intervention physicians (n=17) were trained in SBIRT. Physicians' attitudes were measured before and after training and eight months after implementation. Target recruitment was 900 patients. Inclusion criteria were: consenting UAE national, 18 years, using the 'walk-in' primary care clinic. Patient data was collected by physician-administered questionnaire. Prevalence of drug use was measured through electronic patient records. Findings A total of 906 patients were screened, aged 18-82 years and 496 (55%) were female. Of these, 5.7% reported use of amphetamine, 3.9% alcohol, 3.3%, sedatives, 1.7% opioids and 1.1% cannabis. In all, 21 people had a moderate/high ASSIST score and received a brief intervention, but did not attend follow-up; three high-risk people were referred for specialist treatment. Physicians' attitudes towards patients with problematic substance use and providing treatment improved after training, but returned to pre-training levels after eight months. Including the 21 individuals identified from intervention screening, the prevalence of substance use increased to 0.208% (95% CI 0.154-0.274), significantly higher than in control clinics (P&lt;0.001). In conclusion, physicians were generally positive towards SBIRT and SBIRT increased recorded drug related conditions at a practice level. However, poor patient attendance at follow-up requires investigation.</t>
  </si>
  <si>
    <t>J2: Prim Health Care Res Dev; Matheson, Catriona Pflanz-Sinclair, Christiane Almarzouqi, Amna Bond, Christine M Lee, Amanda J Batieha, Anwar Al Ghaferi, H El Kashef, A; ID: 1644</t>
  </si>
  <si>
    <t>1477-1128</t>
  </si>
  <si>
    <t>Matheson, Catriona. 1Centre for Addiction Services and Research,University of Stirling,Scotland. Pflanz-Sinclair, Christiane. 3Academic Primary Care,University of Aberdeen,Aberdeen,Scotland. Almarzouqi, Amna. 4National Rehabilitation Centre,Abu Dhabi,UAE. Bond, Christine M. 3Academic Primary Care,University of Aberdeen,Aberdeen,Scotland. Lee, Amanda J. 5Applied Health Sciences,University of Aberdeen,Aberdeen,Scotland. Batieha, Anwar. 6Department of Community Medicine,Jordan University of Science and Technology,Irbid,Jordan. Al Ghaferi, H. 4National Rehabilitation Centre,Abu Dhabi,UAE. El Kashef, A. 4National Rehabilitation Centre,Abu Dhabi,UAE.</t>
  </si>
  <si>
    <t>http://ovidsp.ovid.com/ovidweb.cgi?T=JS&amp;CSC=Y&amp;NEWS=N&amp;PAGE=fulltext&amp;D=prem&amp;AN=28988545</t>
  </si>
  <si>
    <t>https://dx.doi.org/10.1017/S1463423617000640</t>
  </si>
  <si>
    <t>MEDLINE; Ovid Technologies; A controlled trial of screening, brief intervention and referral for treatment (SBIRT) implementation in primary care in the United Arab Emirates</t>
  </si>
  <si>
    <t>Matsumura,J. S.</t>
  </si>
  <si>
    <t>Substance abuse and anesthesiology training</t>
  </si>
  <si>
    <t>*Anesthesiology/ed Education];Humans;*Internship and Residency;Physician Impairment;Substance-Related Disorders/rh Rehabilitation];*Substance-Related Disorders</t>
  </si>
  <si>
    <t>J2: Jama; Matsumura, J S Comment on: JAMA. 1990 Jun 13;263(22):3060-2; PMID: 2342218; ID: 1331</t>
  </si>
  <si>
    <t>http://ovidsp.ovid.com/ovidweb.cgi?T=JS&amp;CSC=Y&amp;NEWS=N&amp;PAGE=fulltext&amp;D=med3&amp;AN=2232058</t>
  </si>
  <si>
    <t>MEDLINE; Ovid Technologies; Substance abuse and anesthesiology training</t>
  </si>
  <si>
    <t>Matsumura,J. S.;Berry,A. J.</t>
  </si>
  <si>
    <t>Addicted anesthesiology residents: recommendations after treatment</t>
  </si>
  <si>
    <t>5; author reply 515</t>
  </si>
  <si>
    <t>*Anesthesiology/ed Education];Humans;*Internship and Residency;Physician Impairment;Substance Abuse Detection;*Substance-Related Disorders/th Therapy]</t>
  </si>
  <si>
    <t>J2: Anesth Analg; Matsumura, Jerry S Berry, Arnold J Comment on: Anesth Analg. 2005 Nov;101(5):1457-62; PMID: 16244010; ID: 814</t>
  </si>
  <si>
    <t>http://ovidsp.ovid.com/ovidweb.cgi?T=JS&amp;CSC=Y&amp;NEWS=N&amp;PAGE=fulltext&amp;D=med5&amp;AN=16861473</t>
  </si>
  <si>
    <t>MEDLINE; Ovid Technologies; Addicted anesthesiology residents: recommendations after treatment</t>
  </si>
  <si>
    <t>Matthews,J.;Kadish,W.;Barrett,S. V.;Mazor,K.;Field,D.;Jonassen,J.</t>
  </si>
  <si>
    <t>The impact of a brief interclerkship about substance abuse on medical students' skills</t>
  </si>
  <si>
    <t>Adult;*Clinical Clerkship;*Clinical Competence;*Curriculum;Humans;Students, Medical;*Substance-Related Disorders</t>
  </si>
  <si>
    <t>PURPOSE: To examine the immediate and delayed impact of an intensive one- or two-day interclerkship on substance abuse (SA) for third-year medical students. The program is a response to the problem of inadequacy of substance abuse education in the standard curriculum. METHOD: Each year since 1997-98 all third-year students at the University of Massachusetts Medical School have participated in a one- or two-day SA interclerkship to enhance their knowledge and competence with SA assessment and brief intervention. Students' knowledge, attitudes, and confidence were assessed immediately before and after the interclerkship. In addition, during 1998-99, each student's clinical skills in SA assessment and intervention were evaluated at the completion of the student's six-week psychiatry clerkship using objective standardized clinical examinations (OSCEs) with two simulated patients, one with and one without active SA issues. Students who took the psychiatry clerkship in the first half of the year had not yet participated in the interclerkship. Students' pooled performances before and after the interclerkship were compared. RESULTS: Students' attitudes toward and knowledge about SA disorders and their confidence about SA assessment and intervention all showed significant positive changes immediately after the interclerkship. The OSCE performance data demonstrated a significant sustained improvement in clinical skills in SA assessment and intervention as measured up to six months following the interclerkship. CONCLUSION: These data suggest that brief intensive training in SA during the clinical years of medical school can have a positive and lasting impact on students' clinical performances.</t>
  </si>
  <si>
    <t>J2: Acad Med; Matthews, Julia Kadish, William Barrett, Susan V Mazor, Kathleen Field, Deborah Jonassen, Julie; ID: 983</t>
  </si>
  <si>
    <t>Matthews, Julia. Office of Psychiatric Education and Training, Department of Psychiatry, University of Massachusetts Medical School, Worcester, 01655, USA. julia.matthews@umassmed.edu</t>
  </si>
  <si>
    <t>http://ovidsp.ovid.com/ovidweb.cgi?T=JS&amp;CSC=Y&amp;NEWS=N&amp;PAGE=fulltext&amp;D=med4&amp;AN=12010703</t>
  </si>
  <si>
    <t>MEDLINE; Ovid Technologies; The impact of a brief interclerkship about substance abuse on medical students' skills</t>
  </si>
  <si>
    <t>Matthys,F.;Soyez,V.;van,den Brink;Joostens,P.;Tremmery,S.;Sabbe,B.</t>
  </si>
  <si>
    <t>Barriers to implementation of treatment guidelines for ADHD in adults with substance use disorder</t>
  </si>
  <si>
    <t>Journal of Dual Diagnosis</t>
  </si>
  <si>
    <t>Adult;Aged;Ambulatory Care/mt Methods];*Attention Deficit Disorder with Hyperactivity/co Complications];Attention Deficit Disorder with Hyperactivity/di Diagnosis];*Attention Deficit Disorder with Hyperactivity/th Therapy];Belgium;Caregivers;Comorbidity;Diagnosis, Dual (Psychiatry);Female;Focus Groups;Humans;Male;Middle Aged;Physicians;*Practice Guidelines as Topic;*Substance-Related Disorders/co Complications];*Substance-Related Disorders/th Therapy]</t>
  </si>
  <si>
    <t>OBJECTIVE: Attention deficit hyperactivity disorder (ADHD) is common among adult patients with a substance use disorder, yet often goes undetected. This is a qualitative study to explore implementation barriers to a guideline developed in Belgium for the recognition and treatment of ADHD in adult patients with substance use disorder and to gain a better understanding of the strategies to overcome these barriers. METHODS: Focus groups were conducted with caregivers and patients to explore experiences with comorbid substance use disorder and ADHD. The barriers reported in these focus groups became the subject of further study in focus groups with addiction professionals (physicians, psychiatrists, and psychologists) who had tried the guideline and with psychiatrists specializing in addiction but without experience with ADHD. RESULTS: Our analysis revealed a number of barriers to the implementation of this guideline, including lack of information from the family, pressure from patients and caregivers to make an ADHD diagnosis, and the potential for abuse of ADHD medication. Furthermore, diagnostic instruments for ADHD have not been validated in people with substance use disorder. Although patients with ADHD are usually treated in an outpatient setting, patients with ADHD comorbid with substance use disorder are difficult to identify in an outpatient setting for various reasons. Finally, there is a lack of specific ADHD expertise in substance use treatment organizations. CONCLUSIONS: Despite the availability of an approved guideline for recognizing and treating adult ADHD in patients with a substance use disorder, underdiagnosis and inadequate treatment still persist. As in general substance use treatment, medication only plays a supportive role in the treatment of substance use disorder with comorbid ADHD. An integrated approach and further improvements in the competence of practitioners may help to reduce the resistance to diagnosing ADHD in substance use treatment centers. Practitioners who specialize in addiction medicine and therapists without medical education view the problem from different perspectives and therefore each group needs specific information and training. Targeted interventions need to be developed to keep these patients in treatment.</t>
  </si>
  <si>
    <t>J2: J Dual Diagn; Matthys, Frieda Soyez, Veerle van den Brink, Wim Joostens, Peter Tremmery, Sabine Sabbe, Bernard; ID: 236</t>
  </si>
  <si>
    <t>1550-4271</t>
  </si>
  <si>
    <t>Matthys, Frieda. a Department Psychiatry, Vrije Universiteit Brussel (VUB) , University Hospital, Brussels and MSOC Free Clinic , Antwerp , Belgium.</t>
  </si>
  <si>
    <t>http://ovidsp.ovid.com/ovidweb.cgi?T=JS&amp;CSC=Y&amp;NEWS=N&amp;PAGE=fulltext&amp;D=med8&amp;AN=25392286</t>
  </si>
  <si>
    <t>https://dx.doi.org/10.1080/15504263.2014.926691</t>
  </si>
  <si>
    <t>MEDLINE; Ovid Technologies; Barriers to implementation of treatment guidelines for ADHD in adults with substance use disorder</t>
  </si>
  <si>
    <t>Maude,P.</t>
  </si>
  <si>
    <t>Development of a dual diagnosis undergraduate elective</t>
  </si>
  <si>
    <t>Australian Nursing &amp; Midwifery Journal</t>
  </si>
  <si>
    <t>Curriculum;*Diagnosis, Dual (Psychiatry)/sn Statistics &amp; Numerical Data];*Education, Medical, Undergraduate/og Organization &amp; Administration];Humans;Mental Disorders/co Complications];*Mental Disorders/di Diagnosis];*Psychiatry/ed Education];Schools, Medical/og Organization &amp; Administration];Students, Medical;Substance-Related Disorders/co Complications];*Substance-Related Disorders/di Diagnosis]</t>
  </si>
  <si>
    <t>J2: Aust Nurs Midwifery J; Maude, Phil; ID: 229</t>
  </si>
  <si>
    <t>2202-7114</t>
  </si>
  <si>
    <t>http://ovidsp.ovid.com/ovidweb.cgi?T=JS&amp;CSC=Y&amp;NEWS=N&amp;PAGE=fulltext&amp;D=med8&amp;AN=26255415</t>
  </si>
  <si>
    <t>MEDLINE; Ovid Technologies; Development of a dual diagnosis undergraduate elective</t>
  </si>
  <si>
    <t>Maulen,B.</t>
  </si>
  <si>
    <t>Every life counts : suicide by anesthetists]</t>
  </si>
  <si>
    <t>Anaesthesist</t>
  </si>
  <si>
    <t>*Anesthesiology/ma Manpower];Burnout, Professional/ep Epidemiology];Burnout, Professional/px Psychology];Critical Care;Depressive Disorder/ep Epidemiology];Depressive Disorder/px Psychology];Emergency Medical Services;Humans;Pain Management;Physician Impairment;Physicians;Substance-Related Disorders/ep Epidemiology];Substance-Related Disorders/px Psychology];*Suicide/pc Prevention &amp; Control];*Suicide/px Psychology]</t>
  </si>
  <si>
    <t>This article has its roots in the consternation of head anesthetists over the loss of colleagues. Anesthesia, intensive care medicine, emergency medicine and pain therapy has lost too many first class colleagues through suicide, addiction, severe depression and other causes. It is time to direct attention not exclusively to patients but also to apply an important occupational principle in the rescue service and intensive care medicine to the profession of anesthetists: Every life counts! The following article supplies information on the frequency, methods and possible reasons for suicide by physicians and suggestions for the prevention of suicide as well as treatment of physicians who are at risk of suicide will be presented. References: 32]</t>
  </si>
  <si>
    <t>J2: Anaesthesist; Maulen, B; OP: Jedes Leben zahlt : Suizid von Anasthesisten; ID: 564</t>
  </si>
  <si>
    <t>1432-055X</t>
  </si>
  <si>
    <t>Maulen, B. Institut fur Arztegesundheit, 78050 Villingen, Deutschland. docmaeulen@t-online.de</t>
  </si>
  <si>
    <t>http://ovidsp.ovid.com/ovidweb.cgi?T=JS&amp;CSC=Y&amp;NEWS=N&amp;PAGE=fulltext&amp;D=med6&amp;AN=20094691</t>
  </si>
  <si>
    <t>https://dx.doi.org/10.1007/s00101-009-1660-7</t>
  </si>
  <si>
    <t>MEDLINE; Ovid Technologies; [Every life counts : suicide by anesthetists]</t>
  </si>
  <si>
    <t>May,J. A.;Warltier,D. C.;Pagel,P. S.</t>
  </si>
  <si>
    <t>Attitudes of anesthesiologists about addiction and its treatment: a survey of Illinois and Wisconsin members of the American Society of Anesthesiologists</t>
  </si>
  <si>
    <t>*Anesthesiology;*Attitude of Health Personnel;Data Collection;Female;Humans;Illinois;Male;Middle Aged;*Substance-Related Disorders/px Psychology];Substance-Related Disorders/th Therapy];Wisconsin</t>
  </si>
  <si>
    <t>STUDY OBJECTIVE: To survey practicing anesthesiologists about their attitudes about addiction and its treatment by means of a previously validated instrument. DESIGN: Anonymous mail survey. SETTING: Metropolitan medical college. PARTICIPANTS: Active members of the American Society of Anesthesiologists in Illinois and Wisconsin. MAIN RESULTS: The survey consisted of 50 statements presented in a five item Likert (agreement-disagreement) format that evaluated five attitude factors: permissiveness, nonstereotypes, treatment interventions, treatment optimism, and nonmoralism. Five hundred twelve completed and 21 undeliverable surveys were returned from 1,656 surveys mailed (response rate = 31%). The raw scores for the five attitude factors were permissiveness 25 +/- 6, nonstereotypes 34 +/- 6, treatment interventions 32 +/- 4, treatment optimism 19 +/- 3, and nonmoralism 31 +/- 5 (means +/- SD). Anesthesiologists with a personal history of addiction recorded attitude scores that were significantly (p &lt; 0.05) higher than those of their colleagues. Formal training in substance abuse management, attendance at a Twelve Step meeting as either a participant or an observer, and experience with a friend, relative, or colleague with addiction were also associated with significantly higher attitude scores. The attitude scores of anesthesiologists were consistently below those previously reported for clinicians who regularly care for patients with addiction. CONCLUSIONS: Personal experience with, or education about, addiction contributes to a more positive attitude about addiction. Anesthesiologists have less positive attitudes about addiction than do physicians who regularly manage the disease.</t>
  </si>
  <si>
    <t>J2: J Clin Anesth; May, Judith A Warltier, David C Pagel, Paul S; ID: 968</t>
  </si>
  <si>
    <t>May, Judith A. Department of Anesthesiology, Medical College of Wisconsin, 8701 Watertown Plank Road, Milwaukee, WI 53226, USA.</t>
  </si>
  <si>
    <t>http://ovidsp.ovid.com/ovidweb.cgi?T=JS&amp;CSC=Y&amp;NEWS=N&amp;PAGE=fulltext&amp;D=med4&amp;AN=12088813</t>
  </si>
  <si>
    <t>MEDLINE; Ovid Technologies; Attitudes of anesthesiologists about addiction and its treatment: a survey of Illinois and Wisconsin members of the American Society of Anesthesiologists</t>
  </si>
  <si>
    <t>Mayer,J.;Myerson,D. J.</t>
  </si>
  <si>
    <t>Training the physician in alcoholism therapy</t>
  </si>
  <si>
    <t>*Alcoholism/th Therapy];Attitude of Health Personnel;Boston;*Education, Medical, Continuing;Humans;Psychiatry</t>
  </si>
  <si>
    <t>J2: J Med Educ; Mayer, J Myerson, D J; ID: 1581</t>
  </si>
  <si>
    <t>http://ovidsp.ovid.com/ovidweb.cgi?T=JS&amp;CSC=Y&amp;NEWS=N&amp;PAGE=fulltext&amp;D=med1&amp;AN=5057143</t>
  </si>
  <si>
    <t>MEDLINE; Ovid Technologies; Training the physician in alcoholism therapy</t>
  </si>
  <si>
    <t>Mayor,S.</t>
  </si>
  <si>
    <t>Better training is needed on fetal alcohol disorders, says BMA</t>
  </si>
  <si>
    <t>i735</t>
  </si>
  <si>
    <t>*Alcohol Drinking/ae Adverse Effects];Education, Medical;*Fetal Alcohol Spectrum Disorders/pc Prevention &amp; Control];Health Knowledge, Attitudes, Practice;*Health Personnel/ed Education];Humans;United Kingdom</t>
  </si>
  <si>
    <t>J2: Bmj; Mayor, Susan; ID: 175</t>
  </si>
  <si>
    <t>Mayor, Susan. London.</t>
  </si>
  <si>
    <t>http://ovidsp.ovid.com/ovidweb.cgi?T=JS&amp;CSC=Y&amp;NEWS=N&amp;PAGE=fulltext&amp;D=med8&amp;AN=26851294</t>
  </si>
  <si>
    <t>https://dx.doi.org/10.1136/bmj.i735</t>
  </si>
  <si>
    <t>MEDLINE; Ovid Technologies; Better training is needed on fetal alcohol disorders, says BMA</t>
  </si>
  <si>
    <t>Mazer-Amirshahi,M.;Mullins,P. M.;Sun,C.;Pines,J. M.;Nelson,L. S.;Perrone,J.</t>
  </si>
  <si>
    <t>Trends in Opioid Analgesic Use in Encounters Involving Physician Trainees in U.S. Emergency Departments</t>
  </si>
  <si>
    <t>*Analgesics, Opioid/tu Therapeutic Use];*Emergency Service, Hospital/sn Statistics &amp; Numerical Data];Health Care Surveys;Humans;Internship and Residency;*Practice Patterns, Physicians'/sn Statistics &amp; Numerical Data];United States;0 (Analgesics, Opioid)</t>
  </si>
  <si>
    <t>BACKGROUND: Opioid analgesic use has increased dramatically in emergency departments (EDs), but the relative contribution of physician trainees has not been explored. We assessed trends in opioid utilization focusing on ED encounters where a physician trainee was involved. METHODS: We studied ED visits from the National Hospital Ambulatory Medical Care Survey, 2001-2011. Adult ED visits in which an opioid was administered in the ED or prescribed at discharge were stratified by whether or not there was trainee involvement. Trends in use over time for five common opioids (codeine, hydrocodone, hydromorphone, morphine, oxycodone) were tested using survey-weighted logistic regression. RESULTS: From 2001-02 to 2009-11, the proportion of ED visits where an opioid analgesic was used increased 31.5% from 21.9% (95% CI: 20.3-23.6) of visits to 28.8% (95% CI: 27.5-30.1). Trainee involvement in ED visits was stable, with 9.3% (95% CI: 7.7-11.3) seen by a trainee in 2001-02 vs. 10.2% (95% CI: 8.1-12.7) in 2010-11. Opioid use in visits with trainee involvement did not change significantly over time relative to visits without a trainee (increase of 36.8% compared to 31.2% without trainees, P=0.652). Trends in opioid utilization for trainee visits paralleled non-trainee visits. Hydromorphone had the greatest relative increase in use for all providers. Adjusted for patient- and hospital-level factors, the probability of receiving opioids when a trainee was involved increased to a greater extent than among non-trainee visits (30.9% vs. 24.0%). CONCLUSION: Opioid utilization patterns for visits involving trainees reflect similar trends in attending practice, and highlights the more liberal opioid prescribing climate over time.</t>
  </si>
  <si>
    <t>J2: Pain Med; Mazer-Amirshahi, Maryann Mullins, Peter M Sun, Christie Pines, Jesse M Nelson, Lewis S Perrone, Jeanmarie; ID: 62</t>
  </si>
  <si>
    <t>Mazer-Amirshahi, Maryann. *Department of Emergency Medicine, MedStar Washington Hospital Center, Washington, DC. Mazer-Amirshahi, Maryann. Georgetown University School of Medicine, Washington, DC. Mullins, Peter M. Center for Clinical Practice Innovation, The George Washington University, Washington, DC. Sun, Christie. *Department of Emergency Medicine, MedStar Washington Hospital Center, Washington, DC. Sun, Christie. Georgetown University School of Medicine, Washington, DC. Pines, Jesse M. Center for Clinical Practice Innovation, The George Washington University, Washington, DC. Pines, Jesse M. Department of Emergency Medicine, The George Washington University, Washington, DC. Nelson, Lewis S. Ronald O. Perelman Department of Emergency Medicine, New York University School of Medicine, New York, New York. Nelson, Lewis S. *Department of Emergency Medicine, MedStar Washington Hospital Center, Washington, DC. Perrone, Jeanmarie. Department of Emergency Medicine, Perelman School of Medicine, University of Pennsylvania, Philadelphia, Pennsylvania, USA.</t>
  </si>
  <si>
    <t>http://ovidsp.ovid.com/ovidweb.cgi?T=JS&amp;CSC=Y&amp;NEWS=N&amp;PAGE=fulltext&amp;D=med8&amp;AN=28025373</t>
  </si>
  <si>
    <t>https://dx.doi.org/10.1093/pm/pnw048</t>
  </si>
  <si>
    <t>MEDLINE; Ovid Technologies; Trends in Opioid Analgesic Use in Encounters Involving Physician Trainees in U.S. Emergency Departments</t>
  </si>
  <si>
    <t>BACKGROUND: Opioid analgesic use has increased dramatically in emergency departments (EDs), but the relative contribution of physician trainees has not been explored. We assessed trends in opioid utilization focusing on ED encounters where a physician trainee was involved. METHODS: We studied ED visits from the National Hospital Ambulatory Medical Care Survey, 2001-2011. Adult ED visits in which an opioid was administered in the ED or prescribed at discharge were stratified by whether or not there was trainee involvement. Trends in use over time for five common opioids (codeine, hydrocodone, hydromorphone, morphine, oxycodone) were tested using survey-weighted logistic regression. RESULTS: From 2001-02 to 2009-11, the proportion of ED visits where an opioid analgesic was used increased 31.5% from 21.9% (95% CI: 20.3-23.6) of visits to 28.8% (95% CI: 27.5-30.1). Trainee involvement in ED visits was stable, with 9.3% (95% CI: 7.7-11.3) seen by a trainee in 2001-02 vs. 10.2% (95% CI: 8.1-12.7) in 2010-11. Opioid use in visits with trainee involvement did not change significantly over time relative to visits without a trainee (increase of 36.8% compared to 31.2% without trainees,P=0.652). Trends in opioid utilization for trainee visits paralleled non-trainee visits. Hydromorphone had the greatest relative increase in use for all providers. Adjusted for patient- and hospital-level factors, the probability of receiving opioids when a trainee was involved increased to a greater extent than among non-trainee visits (30.9% vs. 24.0%). CONCLUSION: Opioid utilization patterns for visits involving trainees reflect similar trends in attending practice, and highlights the more liberal opioid prescribing climate over time.</t>
  </si>
  <si>
    <t>J2: Pain Med; Using Smart Source Parsing Apr Mazer-Amirshahi, Maryann Mullins, Peter M Sun, Christie Pines, Jesse M Nelson, Lewis S Perrone, Jeanmarie pnw048; ID: 1697</t>
  </si>
  <si>
    <t>Mazer-Amirshahi, Maryann. *Department of Emergency Medicine, MedStar Washington Hospital Center, Washington, DC Georgetown University School of Medicine, Washington, DC. Mullins, Peter M. Center for Clinical Practice Innovation, The George Washington University, Washington, DC. Sun, Christie. *Department of Emergency Medicine, MedStar Washington Hospital Center, Washington, DC Georgetown University School of Medicine, Washington, DC. Pines, Jesse M. Center for Clinical Practice Innovation, The George Washington University, Washington, DC Department of Emergency Medicine, The George Washington University, Washington, DC. Nelson, Lewis S. Ronald O. Perelman Department of Emergency Medicine, New York University School of Medicine, New York, New York *Department of Emergency Medicine, MedStar Washington Hospital Center, Washington, DC. Perrone, Jeanmarie. Department of Emergency Medicine, Perelman School of Medicine, University of Pennsylvania, Philadelphia, Pennsylvania, USA.</t>
  </si>
  <si>
    <t>http://ovidsp.ovid.com/ovidweb.cgi?T=JS&amp;CSC=Y&amp;NEWS=N&amp;PAGE=fulltext&amp;D=medp&amp;AN=27084413</t>
  </si>
  <si>
    <t>Mazor,K. M.;Jolicoeur,D.;Hayes,R. B.;Geller,A. C.;Churchill,L.;Ockene,J. K.</t>
  </si>
  <si>
    <t>NIHMS744102; Assessing Medical Students' Tobacco Dependence Treatment Skills Using a Detailed Behavioral Checklist</t>
  </si>
  <si>
    <t>*Checklist;*Clinical Competence/st Standards];Counseling;Education, Medical, Undergraduate;Humans;Students, Medical/px Psychology];*Tobacco Use Disorder/th Therapy];Video Recording</t>
  </si>
  <si>
    <t>UNLABELLED: CONSTRUCT: This article describes the development and implementation of an assessment intended to provide objective scores that would be valid indications of medical students' abilities to counsel patients about tobacco dependence. BACKGROUND: Assessing medical students' advanced communication skills, particularly in the context of providing tobacco-dependence treatment, consistently and accurately is challenging; doing so across multiple medical schools is even more difficult. APPROACH: Ten medical schools implemented a tobacco-dependence treatment case as part of an Objective Structured Clinical Examination for 3rd-year medical students. A 33-item checklist with detailed criteria and examples was developed for scoring students' performances. Trained coders viewed and coded 660 videotaped encounters; approximately 10% also were coded by the coding supervisor to check accuracy. RESULTS: Average time required to code an encounter was approximately 31 minutes; accuracy (i.e., agreement with the gold standard coder) was excellent. Overall, students performed an average of 1 in 4 of the 33 behaviors included on the checklist, and only 1 in 10 discussed setting a quit date. Most students (almost 9 in 10) asked how much the patient smoked in a day, and just over 7 in 10 informed the patient that the cough was due to smoking. CONCLUSIONS: The authors developed and implemented a rigorous assessment that will be used to evaluate medical students' tobacco-dependence treatment skills. Operationalizing the specific counseling behaviors, training coders to accurately capture students' performances using a structured checklist, and conducting the coding all required substantial time commitments but will provide confidence in the objectivity of the assessment results. In addition, this assessment can be used to provide formative information on medical students' tobacco-dependence treatment skills and to tailor ongoing training for medical students in this area.</t>
  </si>
  <si>
    <t>J2: Teach Learn Med; Mazor, Kathleen M Jolicoeur, Denise Hayes, Rashelle B Geller, Alan C Churchill, Linda Ockene, Judith K; ID: 184</t>
  </si>
  <si>
    <t>Mazor, Kathleen M. a Meyers Primary Care Institute , Worcester , Massachusetts , USA , and Department of Medicine , University of Massachusetts Medical School , Worcester , Massachusetts , USA.</t>
  </si>
  <si>
    <t>http://ovidsp.ovid.com/ovidweb.cgi?T=JS&amp;CSC=Y&amp;NEWS=N&amp;PAGE=fulltext&amp;D=med8&amp;AN=26158331</t>
  </si>
  <si>
    <t>https://dx.doi.org/10.1080/10401334.2015.1044660</t>
  </si>
  <si>
    <t>MEDLINE; Ovid Technologies; Assessing Medical Students' Tobacco Dependence Treatment Skills Using a Detailed Behavioral Checklist</t>
  </si>
  <si>
    <t>McAuliffe,W. E.;Albert,J.;Cordill-London,G.;McGarraghy,T. K.</t>
  </si>
  <si>
    <t>Contributions to a social conditioning model of cocaine recovery</t>
  </si>
  <si>
    <t>Adaptation, Psychological;Aftercare/ec Economics];Aftercare/og Organization &amp; Administration];*Aftercare/st Standards];Behavior Therapy;*Cocaine;Cost-Benefit Analysis;Cues;Health Services Needs and Demand;Humans;Life Style;*Models, Psychological;Recurrence;Self Care;Social Adjustment;*Substance-Related Disorders/pc Prevention &amp; Control];Substance-Related Disorders/px Psychology];Substance-Related Disorders/th Therapy];Treatment Outcome;I5Y540LHVR (Cocaine)</t>
  </si>
  <si>
    <t>This article describes recent developments in a theory of recovery from drug addiction and in the adaptation of Recovery Training and Self Help (RTSH) to cocaine addiction. RTSH is an example of a new element of treatment known as "relapse prevention" (RP), which is an application of the discovery that addiction follows the laws of operant conditioning. We learned, however, that to understand and to treat cocaine addiction, we had to expand upon the conditioning paradigm to include a sociological analysis of the deviant lifestyle from which cocaine addiction stems. The theory presented here postulates three stages of recovery from cocaine addiction. Cocaine addicts can recover as outpatients by (1) initially building "walls" against drug triggers and supplies, (2) extinguishing addiction in the protective community of recovering persons, and (3) gradually lowering the walls and expanding beyond the recovering community to function more fully in conventional society. We have developed an outpatient group treatment system based on this recovery model. The Cocaine Recovery System includes a month-long cessation program, followed by a six-month recovery program, and active participation in the recovering community. A professional and a recovering person colead both the cessation and recovery programs, which feature Recovery Training sessions designed to help cocaine addicts achieve treatment goals and avoid or cope with threats to recovery. Clients in the recovery program also meet weekly for a support session, a weekend recreational activity, and individual counseling. The program also encourages group members to attend 12-step fellowship meetings. Clients achieve difficult lifestyle changes by taking a series of "commitment steps," which increasingly engage the clients in a recovering lifestyle and make relapse more difficult. References: 101]</t>
  </si>
  <si>
    <t>J2: Int J Addict; McAuliffe, W E Albert, J Cordill-London, G McGarraghy, T K; ID: 1307</t>
  </si>
  <si>
    <t>McAuliffe, W E. Department of Psychiatry, Harvard Medical School, Cambridge Hospital, Massachusetts 02139.</t>
  </si>
  <si>
    <t>http://ovidsp.ovid.com/ovidweb.cgi?T=JS&amp;CSC=Y&amp;NEWS=N&amp;PAGE=fulltext&amp;D=med3&amp;AN=1966681</t>
  </si>
  <si>
    <t>MEDLINE; Ovid Technologies; Contributions to a social conditioning model of cocaine recovery</t>
  </si>
  <si>
    <t>McAuliffe,W. E.;Rohman,M.;Wechsler,H.</t>
  </si>
  <si>
    <t>Alcohol, substance use, and other risk-factors of impairment in a sample of physicians-in-training</t>
  </si>
  <si>
    <t>Advances in Alcohol &amp; Substance Abuse</t>
  </si>
  <si>
    <t>Adv.Alcohol Subst.Abuse</t>
  </si>
  <si>
    <t>Adult;*Alcoholism/px Psychology];Cannabis;Cocaine;Epidemiologic Methods;Female;Health;Humans;Male;Middle Aged;Models, Psychological;*Physician Impairment;Risk;Smoking;Socioeconomic Factors;Stress, Psychological/co Complications];*Students, Medical/px Psychology];*Substance-Related Disorders/px Psychology];I5Y540LHVR (Cocaine)</t>
  </si>
  <si>
    <t>This article examines survey data on alcohol and drug use, stress and other risk factors of impairment in nonclinical samples of physicians and medical students. Previously unpublished data on a sample of physicians-in-training showed they were healthy nonsmokers, experiencing many feelings of job stress, but were generally light drinkers and suffered few adverse effects of drinking. Young physicians and medical students were not very different from comparable non-physician populations in their use of recreational and therapeutic drugs, although the medical professionals had slightly below average use rates. Regression analyses found that recreational drug use and drinking stemmed mainly from sensation seeking, whereas therapeutic drug use was stress-related.</t>
  </si>
  <si>
    <t>J2: Adv Alcohol Subst Abuse; McAuliffe, W E Rohman, M Wechsler, H; ID: 1468</t>
  </si>
  <si>
    <t>0270-3106</t>
  </si>
  <si>
    <t>http://ovidsp.ovid.com/ovidweb.cgi?T=JS&amp;CSC=Y&amp;NEWS=N&amp;PAGE=fulltext&amp;D=med2&amp;AN=6524508</t>
  </si>
  <si>
    <t>MEDLINE; Ovid Technologies; Alcohol, substance use, and other risk-factors of impairment in a sample of physicians-in-training</t>
  </si>
  <si>
    <t>McAvoy,B. R.</t>
  </si>
  <si>
    <t>Alcohol education for general practitioners in the United Kingdom - a window of opportunity?</t>
  </si>
  <si>
    <t>*Alcoholism/pc Prevention &amp; Control];Education, Medical, Continuing/mt Methods];Education, Medical, Continuing/td Trends];*Education, Medical, Continuing;Humans;*Physicians, Family/ed Education];Program Evaluation;United Kingdom</t>
  </si>
  <si>
    <t>Alcohol misuse is a major public health problem. In the UK, general practitioners are perceived as key players in prevention and management of alcohol problems, but may not be prepared sufficiently to undertake this work. A systematic review of the literature by computerized search of the Medline database, hand search of review article citations and a survey of relevant educational and training organizations and agencies were undertaken. Although there is no shortage of educational materials, there has been little evaluation of their effectiveness. A need for more training and support has been identified, but this requires better co-ordination and a more multidisciplinary approach. Forthcoming changes in the National Health Service and the organization of continuing professional development offer a unique opportunity to advance this agenda. References: 48]</t>
  </si>
  <si>
    <t>J2: Alcohol Alcohol; McAvoy, B R; ID: 1023</t>
  </si>
  <si>
    <t>McAvoy, B R. Department of Primary Health Care, School of Health Sciences, The Medical School, Newcastle upon Tyne, UK.</t>
  </si>
  <si>
    <t>http://ovidsp.ovid.com/ovidweb.cgi?T=JS&amp;CSC=Y&amp;NEWS=N&amp;PAGE=fulltext&amp;D=med4&amp;AN=10869239</t>
  </si>
  <si>
    <t>MEDLINE; Ovid Technologies; Alcohol education for general practitioners in the United Kingdom - a window of opportunity?</t>
  </si>
  <si>
    <t>McBeth,B. D.;Ankel,F. K.</t>
  </si>
  <si>
    <t>Don't ask, don't tell: substance use by resident physicians</t>
  </si>
  <si>
    <t>Education, Medical/mt Methods];*Health Knowledge, Attitudes, Practice;Humans;Internship and Residency/sn Statistics &amp; Numerical Data];*Internship and Residency;Prevalence;Risk Factors;Substance-Related Disorders/di Diagnosis];Substance-Related Disorders/ep Epidemiology];*Substance-Related Disorders/pc Prevention &amp; Control];United States/ep Epidemiology]</t>
  </si>
  <si>
    <t>J2: Acad Emerg Med; McBeth, Brian D Ankel, Felix K; ID: 801</t>
  </si>
  <si>
    <t>McBeth, Brian D. brian.d.mcbeth@healthpartners.com</t>
  </si>
  <si>
    <t>http://ovidsp.ovid.com/ovidweb.cgi?T=JS&amp;CSC=Y&amp;NEWS=N&amp;PAGE=fulltext&amp;D=med5&amp;AN=16766741</t>
  </si>
  <si>
    <t>MEDLINE; Ovid Technologies; Don't ask, don't tell: substance use by resident physicians</t>
  </si>
  <si>
    <t>McBeth,B. D.;Ankel,F. K.;Ling,L. J.;Asplin,B. R.;Mason,E. J.;Flottemesch,T. J.;McNamara,R. M.</t>
  </si>
  <si>
    <t>Substance use in emergency medicine training programs</t>
  </si>
  <si>
    <t>Adult;Alcohol Drinking/ep Epidemiology];Caffeine;*Emergency Medicine/ed Education];*Emergency Medicine/sn Statistics &amp; Numerical Data];Female;Health Surveys;Humans;*Internship and Residency/sn Statistics &amp; Numerical Data];Male;Middle Aged;Prevalence;*Substance-Related Disorders/ep Epidemiology];Tobacco Use Disorder/ep Epidemiology];United States/ep Epidemiology];3G6A5W338E (Caffeine)</t>
  </si>
  <si>
    <t>OBJECTIVES: To explore the prevalence of substance use among emergency medicine (EM) residents and compare to a prior study conducted in 1992. METHODS: A voluntary, anonymous survey was distributed in February 2006 to EM residents nationally in the context of the national in-service examination. Data regarding 13 substances, demographics, and perceptions of personal patterns of substance use were collected. RESULTS: A total of 133 of 134 residencies distributed the surveys (99%). The response rate was 56% of the total EM residents who took the in-service examination (2,397/4,281). The reported prevalence of most illicit drug use, including cocaine, heroin, amphetamines, and other opioids, among EM residents are low. Although residents reporting past marijuana use has declined (52.3% in 1992 to 45.0% in 2006; p &lt; 0.001), past-year use (8.8%-11.8%; p &lt; 0.001) and past-month use (2.5%-4.0%; p &lt; 0.001) have increased. Alcohol use appears to be increasing, including an increase in reported daily drinkers from 3.3% to 4.9% (p &lt; 0.001) and an increase in number of residents who indicate that their consumption of alcohol has increased during residency (from 4% to 12.6%; p &lt; 0.001). CONCLUSIONS: Self-reported use of most street drugs remains uncommon among EM residents. Marijuana and alcohol use, however, do appear to be increasing. Educators should be aware of these trends, and this may allow them to target resources for impaired and at-risk residents.</t>
  </si>
  <si>
    <t>J2: Acad Emerg Med; McBeth, Brian D Ankel, Felix K Ling, Louis J Asplin, Brent R Mason, Emily J Flottemesch, Thomas J McNamara, Robert M; ID: 696</t>
  </si>
  <si>
    <t>McBeth, Brian D. Department of Emergency Medicine, San Francisco General Hospital/University of California, San Francisco, CA, USA. bmcbeth@sfghed.ucsf.edu</t>
  </si>
  <si>
    <t>http://ovidsp.ovid.com/ovidweb.cgi?T=JS&amp;CSC=Y&amp;NEWS=N&amp;PAGE=fulltext&amp;D=med6&amp;AN=18211313</t>
  </si>
  <si>
    <t>https://dx.doi.org/10.1111/j.1553-2712.2007.00008.x</t>
  </si>
  <si>
    <t>MEDLINE; Ovid Technologies; Substance use in emergency medicine training programs</t>
  </si>
  <si>
    <t>McCabe,S. E.;Teter,C. J.;Boyd,C. J.</t>
  </si>
  <si>
    <t>NIHMS14394; Medical use, illicit use, and diversion of abusable prescription drugs</t>
  </si>
  <si>
    <t>Adolescent;Adult;Analgesics/ad Administration &amp; Dosage];Anti-Anxiety Agents/ad Administration &amp; Dosage];Central Nervous System Stimulants/ad Administration &amp; Dosage];*Drug Prescriptions/sn Statistics &amp; Numerical Data];Female;*Health Surveys;Humans;Hypnotics and Sedatives/ad Administration &amp; Dosage];Internet;Male;Midwestern United States/ep Epidemiology];Prevalence;*Students/px Psychology];Students/sn Statistics &amp; Numerical Data];*Substance-Related Disorders/ep Epidemiology];Surveys and Questionnaires;*Universities/sn Statistics &amp; Numerical Data];0 (Analgesics);0 (Anti-Anxiety Agents);0 (Central Nervous System Stimulants);0 (Hypnotics and Sedatives)</t>
  </si>
  <si>
    <t>The authors investigated the medical use, illicit use, and diversion of 4 distinct classes of abusable prescription medication (sleeping medication, sedative or anxiety medication, stimulant medication, and pain medication) in a random sample of undergraduate students. In spring 2003, 9,161 undergraduate students attending a large, public, midwestern research university in the United States self-administered a Web-based survey. The prevalence rate for illicit use within the past year was highest for pain medication, followed by stimulant medication, sedative or anxiety medication, and sleeping medication. Women generally reported higher past-year medical use rates. However, undergraduate men reported higher illicit use rates. The illicit use-medical use ratio for stimulant medication was the highest among the 4 classes of prescription drugs. Medical users of stimulants for attention deficit hyperactivity disorder were the most likely to be approached to divert their medication. Multivariate results indicated that illicit users of prescription drugs were more likely to use other drugs than were students who did not use prescription drugs illicitly. The authors provide evidence that prescription drug abuse is a problem among college students.</t>
  </si>
  <si>
    <t>J2: J Am Coll Health; McCabe, Sean Esteban Teter, Christian J Boyd, Carol J; ID: 823</t>
  </si>
  <si>
    <t>McCabe, Sean Esteban. Substance Abuse Research Center, University of Michigan, Ann Arbor 48105-2194, USA. plius@umich.edu</t>
  </si>
  <si>
    <t>http://ovidsp.ovid.com/ovidweb.cgi?T=JS&amp;CSC=Y&amp;NEWS=N&amp;PAGE=fulltext&amp;D=med5&amp;AN=16539219</t>
  </si>
  <si>
    <t>MEDLINE; Ovid Technologies; Medical use, illicit use, and diversion of abusable prescription drugs</t>
  </si>
  <si>
    <t>McCambridge,J.;Strang,J.;Platts,S.;Witton,J.</t>
  </si>
  <si>
    <t>Cannabis use and the GP: brief motivational intervention increases clinical enquiry by GPs in a pilot study</t>
  </si>
  <si>
    <t>Adult;Aged;*Education, Medical, Continuing/mt Methods];Female;Humans;London;Male;*Marijuana Abuse/di Diagnosis];Middle Aged;Motivation;*Physicians, Family/ed Education];Physicians, Family/px Psychology];Pilot Projects;*Substance Abuse Detection</t>
  </si>
  <si>
    <t>This preliminary test of a brief intervention designed to stimulate GP incorporation of cannabis enquiry was followed up after 2-3 months. Intervention comprised face-to-face discussion based on principles of motivational interviewing, with informational adjunct. Substantially more positive attitudes and greater clinical activity were observed following receipt of intervention.</t>
  </si>
  <si>
    <t>J2: Br J Gen Pract; McCambridge, Jim Strang, John Platts, Simon Witton, John; ID: 926</t>
  </si>
  <si>
    <t>McCambridge, Jim. National Addiction Centre, Maudsley/Institute of Psychiatry, Addiction Sciences Building, 4 Windsor Walk, Denmark Hill, London SE5 8AF. J.McCambridge@iop.kcl.ac.uk</t>
  </si>
  <si>
    <t>http://ovidsp.ovid.com/ovidweb.cgi?T=JS&amp;CSC=Y&amp;NEWS=N&amp;PAGE=fulltext&amp;D=med4&amp;AN=14601341</t>
  </si>
  <si>
    <t>MEDLINE; Ovid Technologies; Cannabis use and the GP: brief motivational intervention increases clinical enquiry by GPs in a pilot study</t>
  </si>
  <si>
    <t>McCance-Katz,E.;George,P.;Scott,N. A.;Dollase,R.;Tunkel,A. R.;McDonald,J.</t>
  </si>
  <si>
    <t>Access to treatment for opioid use disorders: Medical student preparation</t>
  </si>
  <si>
    <t>Analgesics, Opioid/tu Therapeutic Use];*Buprenorphine/tu Therapeutic Use];*Education, Medical;*Health Services Accessibility;Humans;*Opiate Substitution Treatment/mt Methods];*Opioid-Related Disorders/dt Drug Therapy];Students, Medical;0 (Analgesics, Opioid);40D3SCR4GZ (Buprenorphine)</t>
  </si>
  <si>
    <t>The current opioid epidemic requires new approaches to increasing access to treatment for patients with opioid use disorders and to improve availability of medication assisted treatment. We propose a model where medical students complete the necessary training to be eligible for the waiver to prescribe opioid medications to treat these disorders by the time of medical school graduation. This plan would increase the number of Drug Abuse Treatment Act of 2000 (DATA 2000) waivered physicians who could gain additional experience in treating substance use disorders during residency and provide the access to clinical care needed for individuals suffering with opioid use disorder. (Am J Addict 2017;26:316-318).</t>
  </si>
  <si>
    <t>J2: Am J Addict; McCance-Katz, Elinore F George, Paul Scott, Nicole Alexander Dollase, Richard Tunkel, Allan R McDonald, James; ID: 36</t>
  </si>
  <si>
    <t>McCance-Katz, Elinore F. The Warren Alpert Medical School of Brown University, Providence, Rhode Island. McCance-Katz, Elinore F. Rhode Island Department of Behavioral Healthcare, Developmental Disabilities and Hospitals, Cranston, Rhode Island. George, Paul. The Warren Alpert Medical School of Brown University, Providence, Rhode Island. Scott, Nicole Alexander. The Warren Alpert Medical School of Brown University, Providence, Rhode Island. Scott, Nicole Alexander. Rhode Island Department of Health, Providence, Rhode Island. Dollase, Richard. The Warren Alpert Medical School of Brown University, Providence, Rhode Island. Tunkel, Allan R. The Warren Alpert Medical School of Brown University, Providence, Rhode Island. McDonald, James. Rhode Island Department of Health, Providence, Rhode Island.</t>
  </si>
  <si>
    <t>http://ovidsp.ovid.com/ovidweb.cgi?T=JS&amp;CSC=Y&amp;NEWS=N&amp;PAGE=fulltext&amp;D=medl&amp;AN=28394437</t>
  </si>
  <si>
    <t>https://dx.doi.org/10.1111/ajad.12550</t>
  </si>
  <si>
    <t>MEDLINE; Ovid Technologies; Access to treatment for opioid use disorders: Medical student preparation</t>
  </si>
  <si>
    <t>McCarberg,B. H.</t>
  </si>
  <si>
    <t>Chronic pain: reducing costs through early implementation of adherence testing and recognition of opioid misuse</t>
  </si>
  <si>
    <t>*Analgesics, Opioid/ec Economics];Analgesics, Opioid/tu Therapeutic Use];Analgesics, Opioid/ur Urine];*Chronic Pain/dt Drug Therapy];Cost Savings;Cost-Benefit Analysis;*Health Care Costs;Humans;*Medication Adherence;*Opioid-Related Disorders/di Diagnosis];Opioid-Related Disorders/ec Economics];Opioid-Related Disorders/et Etiology];*Pain Management/ec Economics];Point-of-Care Systems/ec Economics];*Substance Abuse Detection/ec Economics];Substance Abuse Detection/mt Methods];Urinalysis/ec Economics];Urinalysis/mt Methods];0 (Analgesics, Opioid)</t>
  </si>
  <si>
    <t>OBJECTIVE: To review the literature on costs associated with chronic pain therapy and to identify key contributing factors. Also, to assess the potential cost-saving benefits of monitoring pain treatment adherence using urine drug tests (UDTs), emphasizing their use in opioid therapy. RESULTS: Reduced productivity, compensation costs, and treatment of comorbid conditions related to chronic pain contribute to the substantial financial burden of chronic pain management in the United States. The growing use of opioids for chronic pain increases the risk for drug nonadherence and associated drug abuse, potential addiction, and aberrant drug-related behaviors (ADRBs). Treatment of drug abuse increases health care costs; opioid abusers are 25 times more likely to require hospitalization than nonopioid abusers. Early detection of patient nonadherence using UDTs could significantly reduce costs of chronic pain therapy by allowing the physician to identify and treat patients' ADRBs related to controlled substances and drug addiction and abuse problems. Adherence in chronic pain may be determined by point-of-care (POC) tests, and more sensitive laboratory urine tests employing gas chromatography/mass spectrometry with high-performance liquid chromatography tests (LUTs). Cost-benefit studies suggest that the cost of LUTs to optimize adherence may reduce costs associated with nonadherence, such as inpatient clinical care and patient self-release. Current estimates indicate that appropriate use of LUTs could produce decreases up to 14.8-fold in the cost of chronic pain therapy. CONCLUSIONS: The cost benefits of UDTs can only be fully realized if physicians know how to define and detect various types of drug abuse, addiction, and diversion. Physicians should be educated on the proper implementation of POC tests and LUTs, and interpretation of adherence data. Early monitoring of drug adherence using POC tests and follow-up LUTs may provide substantial cost savings associated with health care issues incurred in nonadherent chronic pain patients, especially those taking opioid therapy.</t>
  </si>
  <si>
    <t>J2: Postgrad Med; McCarberg, Bill H; ID: 482</t>
  </si>
  <si>
    <t>McCarberg, Bill H. Adjunct University of California San Diego, San Diego, CA, USA. bill.h.mccarberg@kp.org</t>
  </si>
  <si>
    <t>http://ovidsp.ovid.com/ovidweb.cgi?T=JS&amp;CSC=Y&amp;NEWS=N&amp;PAGE=fulltext&amp;D=med7&amp;AN=22104462</t>
  </si>
  <si>
    <t>https://dx.doi.org/10.3810/pgm.2011.11.2503</t>
  </si>
  <si>
    <t>MEDLINE; Ovid Technologies; Chronic pain: reducing costs through early implementation of adherence testing and recognition of opioid misuse</t>
  </si>
  <si>
    <t>McCracken,L. M.;Boichat,C.;Eccleston,C.</t>
  </si>
  <si>
    <t>Training for general practitioners in opioid prescribing for chronic pain based on practice guidelines: a randomized pilot and feasibility trial</t>
  </si>
  <si>
    <t>Adult;*Analgesics, Opioid/tu Therapeutic Use];Attitude of Health Personnel;Awareness;*Chronic Pain/th Therapy];*Clinical Competence;Double-Blind Method;Feasibility Studies;Female;General Practitioners/ed Education];General Practitioners/px Psychology];General Practitioners/st Standards];*General Practitioners;*Guidelines as Topic/st Standards];Humans;Male;Middle Aged;Pilot Projects;Prescription Drugs/st Standards];Prescription Drugs/tu Therapeutic Use];*Program Evaluation;United Kingdom;0 (Analgesics, Opioid);0 (Prescription Drugs)</t>
  </si>
  <si>
    <t>UNLABELLED: This study is a pilot and feasibility study that compares 2 training experiences to improve appropriate opioid prescribing for chronic pain. Both training conditions included education in relation to opioid guidelines. Following education, 1 condition included training aimed at improving psychological flexibility and the other included training in practical knowledge and skills related to pain management. Eighty-one general practitioners (GPs) took part in the study, each having been randomly assigned to 1 of the training conditions. It proved easy to recruit GPs to the training. Overall, GPs demonstrated increased knowledge of opioid prescribing for chronic pain and decreases in concerns related to prescribing following training. However, there were no changes observed in reported prescribing practices or in secondary measures of well-being. There were also no significant differences between the training conditions, other than a greater increase in intention to use prescribing guidelines in the psychological flexibility condition. Feasibility and acceptability of the training methods were generally rated high. The psychological flexibility condition was rated higher than the comparison condition in terms of interest and satisfaction. Finally, processes of psychological flexibility before and after training significantly correlated with measures of GP well-being, providing partial support for the relevance of these processes as a focus in GP training. PERSPECTIVE: A training intervention for GPs including education on opioid guidelines for chronic pain and psychological flexibility training increased knowledge of prescribing and reduced concerns but did not change prescribing behavior or well-being. The training was highly acceptable to GPs but may have been too short to produce other effects.</t>
  </si>
  <si>
    <t>J2: J Pain; McCracken, Lance M Boichat, Charlotte Eccleston, Christopher; ID: 461</t>
  </si>
  <si>
    <t>McCracken, Lance M. Centre for Pain Services, Royal National Hospital for Rheumatic Diseases, Bath, United Kingdom. Lance.McCracken@kcl.ac.uk</t>
  </si>
  <si>
    <t>http://ovidsp.ovid.com/ovidweb.cgi?T=JS&amp;CSC=Y&amp;NEWS=N&amp;PAGE=fulltext&amp;D=med7&amp;AN=22112421</t>
  </si>
  <si>
    <t>https://dx.doi.org/10.1016/j.jpain.2011.09.007</t>
  </si>
  <si>
    <t>MEDLINE; Ovid Technologies; Training for general practitioners in opioid prescribing for chronic pain based on practice guidelines: a randomized pilot and feasibility trial</t>
  </si>
  <si>
    <t>McDonald,J.</t>
  </si>
  <si>
    <t>Opioid prescribing: guidelines, laws, rules, regulations, policies, best practices</t>
  </si>
  <si>
    <t>*Analgesics, Opioid/tu Therapeutic Use];*Drug Prescriptions/st Standards];Health Policy;Humans;Legislation, Drug;Practice Guidelines as Topic;Rhode Island;0 (Analgesics, Opioid)</t>
  </si>
  <si>
    <t>Prescription drug abuse, misuse and unintentional overdose deaths are major public health concerns and have captured the attention of regulators at every level. There is no shortage of guidelines, laws, rules, regulations, and policies regarding opioid prescribing. Physicians struggle with their duty to treat pain, and yet balance this against the risk to patients as well as the potential for diversion. There are gaps in policy and resources such as lack of interdisciplinary pain clinics, addiction treatment, and education for prescribers and patients.</t>
  </si>
  <si>
    <t>J2: R I Med; McDonald, James; ID: 230</t>
  </si>
  <si>
    <t>McDonald, James. Chief Administrative Officer of the Board of Medical Licensure and Discipline for the State of Rhode Island.</t>
  </si>
  <si>
    <t>http://ovidsp.ovid.com/ovidweb.cgi?T=JS&amp;CSC=Y&amp;NEWS=N&amp;PAGE=fulltext&amp;D=med7&amp;AN=24187678</t>
  </si>
  <si>
    <t>MEDLINE; Ovid Technologies; Opioid prescribing: guidelines, laws, rules, regulations, policies, best practices</t>
  </si>
  <si>
    <t>McDuff,D. R.;Solounias,B. L.;Beuger,M.;Cohen,A.;Klecz,M.;Weintraub,E.</t>
  </si>
  <si>
    <t>A substance abuse consultation service. Enhancing the care of hospitalized substance abusers and providing training in addiction psychiatry</t>
  </si>
  <si>
    <t>Adult;Female;*Hospitalization;Humans;Male;*Personnel, Hospital/ed Education];Prevalence;*Psychiatric Department, Hospital;*Referral and Consultation;Substance-Related Disorders/di Diagnosis];*Substance-Related Disorders/ep Epidemiology];Substance-Related Disorders/th Therapy]</t>
  </si>
  <si>
    <t>The authors review the literature on the high prevalence but underrecognition of substance abuse among hospitalized patients and the general unavailability of hospital-based substance abuse consultation services. They describe the development, clinical operations, staffing, and teaching activities of a large substance abuse consultation service in one urban academic medical center and detail the service's growth and changing utilization patterns over an 8-year period, reporting the clinical characteristics of 1,819 patients seen over a 1-year period. Differences in patient demographics, patterns of substance use, and diagnoses were highly significant from one referring service to another. The authors discuss the implications of such a service for patient care and teaching. References: 43]</t>
  </si>
  <si>
    <t>J2: Am J Addict; McDuff, D R Solounias, B L Beuger, M Cohen, A Klecz, M Weintraub, E; ID: 1131</t>
  </si>
  <si>
    <t>McDuff, D R. Department of Psychiatry, University of Maryland Medical Center, Baltimore 21201, USA.</t>
  </si>
  <si>
    <t>http://ovidsp.ovid.com/ovidweb.cgi?T=JS&amp;CSC=Y&amp;NEWS=N&amp;PAGE=fulltext&amp;D=med4&amp;AN=9256992</t>
  </si>
  <si>
    <t>MEDLINE; Ovid Technologies; A substance abuse consultation service. Enhancing the care of hospitalized substance abusers and providing training in addiction psychiatry</t>
  </si>
  <si>
    <t>McDuff,D. R.;Tommasello,A. C.;Hoffman,K. J.;Johnson,J. L.</t>
  </si>
  <si>
    <t>Addictions training for physicians and other licensed health care professionals in Maryland</t>
  </si>
  <si>
    <t>*Alcoholism/th Therapy];*Education, Medical;*Health Occupations/ed Education];Humans;Maryland;*Substance-Related Disorders/th Therapy]</t>
  </si>
  <si>
    <t>Physicians and other health care providers have multiple opportunities in the course of a typical practice year to identify and treat individuals who abuse alcohol and other drugs. Although substance abuse is very common in clinical practice, providers routinely fail to intervene in a timely fashion due to negative attitudes, incomplete knowledge, and poorly developed practice skills. Over the past ten years, addictions training of licensed health care providers nationally and in Maryland has improved significantly. This article describes recent national training trends and current educational programs statewide for medical students, physicians in residency and fellowship programs, and licensed providers in dentistry, nursing, pharmacy, psychology, and social work. Several strategies for improving professional training in addictions in the future are discussed and the importance of shifting to an interprofessional training model is emphasized.</t>
  </si>
  <si>
    <t>J2: Md Med J; McDuff, D R Tommasello, A C Hoffman, K J Johnson, J L; ID: 1192</t>
  </si>
  <si>
    <t>McDuff, D R. Division of alcohol and drug abuse, University of Maryland School of Medicine, USA.</t>
  </si>
  <si>
    <t>http://ovidsp.ovid.com/ovidweb.cgi?T=JS&amp;CSC=Y&amp;NEWS=N&amp;PAGE=fulltext&amp;D=med3&amp;AN=7596239</t>
  </si>
  <si>
    <t>MEDLINE; Ovid Technologies; Addictions training for physicians and other licensed health care professionals in Maryland</t>
  </si>
  <si>
    <t>McEachern,J.;Ahamad,K.;Nolan,S.;Mead,A.;Wood,E.;Klimas,J.</t>
  </si>
  <si>
    <t>NIHMS782624 Available on 07/01/17]; A Needs Assessment of the Number of Comprehensive Addiction Care Physicians Required in a Canadian Setting</t>
  </si>
  <si>
    <t>British Columbia/ep Epidemiology];Humans;*Needs Assessment/sn Statistics &amp; Numerical Data];*Physicians/sn Statistics &amp; Numerical Data];Psychiatry/ma Manpower];*Psychiatry/sn Statistics &amp; Numerical Data];*Substance-Related Disorders/ep Epidemiology];Substance-Related Disorders/mo Mortality]</t>
  </si>
  <si>
    <t>OBJECTIVE: Medical professionals adequately trained to prevent and treat substance use disorders are in short supply in most areas of the world. Whereas physician training in addiction medicine can improve patient and public health outcomes, the coverage estimates have not been established. We estimated the extent of the need for medical professionals skilled in addiction medicine in a Canadian setting. METHODS: We used Monte-Carlo simulations to generate medians and 95% credibility intervals for the burden of alcohol and drug use harms, including morbidity and mortality, in British Columbia, by geographic health region. We obtained prevalence estimates for the models from the Medical Services Plan billing, the Discharge Abstract Database data, and the government surveillance data. We calculated a provider availability index (PAI), a ratio of the size of the labor force per 1000 affected individuals, for each geographic health region, using the number of American Board of Addiction Medicine certified physicians in each area. RESULTS: Depending on the data source used for population estimates, the availability of specialized addiction care providers varied across geographic health regions. For drug-related harms, we found the highest PAI of 23.72 certified physicians per 1000 affected individuals, when using the Medical Services Plan and Discharge Abstract Database data. Drawing on the surveillance data, the drug-related PAI dropped to 0.46. The alcohol-related PAI ranged between 0.10 and 86.96 providers, depending on data source used for population estimates. CONCLUSIONS: Our conservative estimates highlight the need to invest in healthcare provider training and to develop innovative approaches for more rural health regions.</t>
  </si>
  <si>
    <t>J2: J Addict Med; McEachern, Jasmine Ahamad, Keith Nolan, Seonaid Mead, Annabel Wood, Evan Klimas, Jan; ID: 98</t>
  </si>
  <si>
    <t>McEachern, Jasmine. BC Centre for Excellence in HIV/AIDS (JM, KA, SN, AM, EW, JK), St. Paul's Hospital; School of Population and Public Health (EW), University of British Columbia; Department of Medicine (JK), University of British Columbia, St. Paul's Hospital, Vancouver, BC, Canada; School of Medicine and Medical Science (JK), University College Dublin, Coombe Healthcare Centre, Dolphins barn, Dublin, Ireland; Department of Family Practice (KA, SN, AM), University of British Columbia, St. Paul's Hospital, Department of Family and Community Medicine; and Raven Song Community Health Centre (JM), Vancouver, BC, Canada.</t>
  </si>
  <si>
    <t>http://ovidsp.ovid.com/ovidweb.cgi?T=JS&amp;CSC=Y&amp;NEWS=N&amp;PAGE=fulltext&amp;D=med8&amp;AN=27183295</t>
  </si>
  <si>
    <t>https://dx.doi.org/10.1097/ADM.0000000000000230</t>
  </si>
  <si>
    <t>MEDLINE; Ovid Technologies; A Needs Assessment of the Number of Comprehensive Addiction Care Physicians Required in a Canadian Setting</t>
  </si>
  <si>
    <t>McGillion,J.;Wanigaratne,S.;Feinmann,C.;Godden,T.;Byrne,A.</t>
  </si>
  <si>
    <t>GPs' attitudes towards the treatment of drug misusers</t>
  </si>
  <si>
    <t>*Attitude of Health Personnel;Education, Medical, Continuing;Humans;London;Physicians, Family/ed Education];*Physicians, Family/px Psychology];*Substance-Related Disorders/th Therapy]</t>
  </si>
  <si>
    <t>General practitioners (GPs) are encouraged to play a major part in the care and treatment of drug users; however, many regularly encounter physical or verbal abuse and feel frustration, disappointment, and disillusionment when treating such patients. Furthermore, communication difficulties between doctor and patient and the advent of HIV serve to intensify these problems. In order to address these issues, a questionnaire survey was carried out to assess what proportion of GPs are commonly employed in the management of drug misusers, and to examine the attitudes towards, and knowledge of, the management of these patients. The results show that this group of GPs are concerned about drug misuse in their immediate geographic area and believe it should be detected in general practice. Despite this, fewer than half of the GPs felt they had adequate knowledge of the issues surrounding opiate misuse. This finding certainly raises the question of the availability of training and education in the area of drug misuse.</t>
  </si>
  <si>
    <t>J2: Br J Gen Pract; McGillion, J Wanigaratne, S Feinmann, C Godden, T Byrne, A Comment in: Br J Gen Pract. 2000 Aug;50(457):665; PMID: 11042926 Comment in: Br J Gen Pract. 2000 Aug;50(457):665; PMID: 11042927; ID: 1025</t>
  </si>
  <si>
    <t>McGillion, J. University College London.</t>
  </si>
  <si>
    <t>http://ovidsp.ovid.com/ovidweb.cgi?T=JS&amp;CSC=Y&amp;NEWS=N&amp;PAGE=fulltext&amp;D=med4&amp;AN=10897536</t>
  </si>
  <si>
    <t>MEDLINE; Ovid Technologies; GPs' attitudes towards the treatment of drug misusers</t>
  </si>
  <si>
    <t>McGovern,M. P.;Angres,D. H.;Shaw,M.;Rawal,P.</t>
  </si>
  <si>
    <t>Gender of physicians with substance use disorders: clinical characteristics, treatment utilization, and post-treatment functioning</t>
  </si>
  <si>
    <t>Adult;Female;Humans;Male;Mental Health Services/ut Utilization];Middle Aged;*Physician Impairment;*Physicians/px Psychology];Professional Competence;Sex Factors;*Substance-Related Disorders/px Psychology];*Substance-Related Disorders/th Therapy]</t>
  </si>
  <si>
    <t>Gender has emerged as an important variable in both the course and treatment of substance-use disorders. This study examines the role of gender in a sample of physicians (n = 73) treated for substance-use disorders. Pilot data gathered on physicians treated during 1995 to 1997, included initial pretreatment characteristics, service utilization, and posttreatment functioning. Although there were many similarities, important differences emerged among the groups. These differences have implications for physician education and training and warrant more systematic clinical research.</t>
  </si>
  <si>
    <t>J2: Subst Use Misuse; McGovern, Mark P Angres, Daniel H Shaw, Matthew Rawal, Purva; ID: 935</t>
  </si>
  <si>
    <t>McGovern, Mark P. Department of Psychiatry, Dartmouth Medical School, Hanover, New Hampshire 03755, USA. mark.p.mcgovern@martmouth.edu</t>
  </si>
  <si>
    <t>http://ovidsp.ovid.com/ovidweb.cgi?T=JS&amp;CSC=Y&amp;NEWS=N&amp;PAGE=fulltext&amp;D=med4&amp;AN=12801152</t>
  </si>
  <si>
    <t>MEDLINE; Ovid Technologies; Gender of physicians with substance use disorders: clinical characteristics, treatment utilization, and post-treatment functioning</t>
  </si>
  <si>
    <t>McKeithen,T.;Robertson,S.;Speight,M.</t>
  </si>
  <si>
    <t>Developing clinical competencies to assess learning needs and outcomes: the experience of the CS2day initiative</t>
  </si>
  <si>
    <t>S21</t>
  </si>
  <si>
    <t>*Benchmarking;*Clinical Competence;Cooperative Behavior;Delivery of Health Care, Integrated;*Education, Medical, Continuing/mt Methods];Educational Measurement;Faculty, Medical;Health Personnel;Humans;Learning;Models, Organizational;*Needs Assessment;Organizational Innovation;*Outcome and Process Assessment (Health Care)/og Organization &amp; Administration];*Practice Guidelines as Topic/st Standards];Quality Indicators, Health Care;*Smoking Cessation/mt Methods];*Tobacco Use Disorder/pc Prevention &amp; Control]</t>
  </si>
  <si>
    <t>An outcomes-based education (OBE) approach was desired for the CS2day initiative, and the size and scope of the initiative compelled a consistent and cohesive framework in order to apply such an approach. A series of competency statements were developed to provide that framework. The competency statements were based on current clinical guidelines, and further refined through stakeholder interviews and expert feedback. These competency statements were utilized throughout the CS2day initiative as the foundation for needs assessments, activity planning and development, and outcomes measurement. The CS2day partners found these competencies useful in developing over 150 educational activities in the initiative. The competencies became the firm linkages between the needs and outcomes measures used for all CS2day activities, and enabled a summative evaluation to be developed for the entire initiative. This article describes the rationale for developing the competencies, the methods used to deploy them, and the tools that incorporated these competencies.</t>
  </si>
  <si>
    <t>J2: J Contin Educ Health Prof; McKeithen, Tom Robertson, Sheila Speight, Mike; ID: 456</t>
  </si>
  <si>
    <t>McKeithen, Tom. Healthcare Performance Consulting, Inc. mckeithen@changingperformance.com</t>
  </si>
  <si>
    <t>http://ovidsp.ovid.com/ovidweb.cgi?T=JS&amp;CSC=Y&amp;NEWS=N&amp;PAGE=fulltext&amp;D=med7&amp;AN=22190097</t>
  </si>
  <si>
    <t>https://dx.doi.org/10.1002/chp.20145</t>
  </si>
  <si>
    <t>MEDLINE; Ovid Technologies; Developing clinical competencies to assess learning needs and outcomes: the experience of the CS2day initiative</t>
  </si>
  <si>
    <t>McMullen,I.;Cartledge,J.;Levine,R.;Iversen,A.</t>
  </si>
  <si>
    <t>Team-based learning for psychiatry residents: a mixed methods study</t>
  </si>
  <si>
    <t>Cooperative Behavior;Educational Measurement;Female;Humans;*Internship and Residency/mt Methods];Interviews as Topic;Male;Problem-Based Learning/mt Methods];Program Evaluation;*Psychiatry/ed Education];Surveys and Questionnaires;Teaching/mt Methods];United Kingdom</t>
  </si>
  <si>
    <t>BACKGROUND: Team-based learning (TBL) is an effective teaching method for medical students. It improves knowledge acquisition and has benefits regarding learner engagement and teamwork skills. In medical education it is predominately used with undergraduates but has potential benefits for training clinicians. The aims of this study were to examine the impact of TBL in a sample of psychiatrists in terms of classroom engagement, attitudes towards teamwork, learner views and experiences of TBL. METHODS: Forty-four psychiatry residents participated in an Addictions Psychiatry TBL module. Mixed-methods were used for evaluation. Self-rated measures of classroom engagement (Classroom Engagement Survey, CES) were compared with conventional lectures, and attitudes regarding the value of teams (Value of Teams Scale, VTS) were compared before and after the module. Independent t-tests were used to compare 'lecture' CES scores with TBL CES scores and pre and post scores for the VTS. Feedback questionnaires were completed. Interviews were conducted with a subset of residents and transcripts analysed using thematic analysis. RESULTS: Twenty-eight residents completed post-course measures (response rate 63.6%). Seven participants volunteered for qualitative interviews-one from each team. There was a significant difference in the mean CES score lectures compared to TBL (p &lt; 0.001) but no difference was found in mean VTS score pre and post for either subscale (p = 0.519; p = 0.809). All items on the feedback questionnaire were positively rated except two regarding session preparation. The qualitative analysis generated seven themes under four domains: 'Learning in teams', 'Impact on the individual learner', 'Relationship with the teacher' and 'Efficiency and effectiveness of the learning process'. CONCLUSIONS: In this group of residents, TBL significantly improved learner-rated classroom engagement and seemed to promote interactivity between learners. TBL was generally well-received, although required learners to prepare for class which was difficult for some. TBL did not change these clinicians' views about teamwork.</t>
  </si>
  <si>
    <t>J2: BMC Med Educ; McMullen, Isabel Cartledge, Jonathan Levine, Ruth Iversen, Amy; ID: 309</t>
  </si>
  <si>
    <t>McMullen, Isabel. Liaison Psychiatry, South London and Maudsley NHS Foundation Trust, Guys Hospital, Weston Street, London SE1 9RT, UK. isabel.mcmullen@kcl.ac.uk.</t>
  </si>
  <si>
    <t>http://ovidsp.ovid.com/ovidweb.cgi?T=JS&amp;CSC=Y&amp;NEWS=N&amp;PAGE=fulltext&amp;D=med7&amp;AN=24025540</t>
  </si>
  <si>
    <t>https://dx.doi.org/10.1186/1472-6920-13-124</t>
  </si>
  <si>
    <t>MEDLINE; Ovid Technologies; Team-based learning for psychiatry residents: a mixed methods study</t>
  </si>
  <si>
    <t>McNamara,R. M.;Margulies,J. L.</t>
  </si>
  <si>
    <t>Chemical dependency in emergency medicine residency programs: perspective of the program directors</t>
  </si>
  <si>
    <t>Data Collection;*Emergency Medicine/ed Education];*Emergency Medicine/ma Manpower];*Health Knowledge, Attitudes, Practice;Health Promotion;Humans;*Internship and Residency/sn Statistics &amp; Numerical Data];Organizational Policy;Physician Executives/ed Education];*Physician Executives/px Psychology];*Physician Impairment/sn Statistics &amp; Numerical Data];Substance-Related Disorders/di Diagnosis];*Substance-Related Disorders/ep Epidemiology];Substance-Related Disorders/pc Prevention &amp; Control];United States/ep Epidemiology]</t>
  </si>
  <si>
    <t>STUDY OBJECTIVE: To evaluate the educational background, knowledge, and experiences regarding chemical dependency among emergency medicine program directors. The program directors' awareness of substance use and alcohol abuse among emergency medicine residents was examined by comparing their estimates with the actual rates reported by the residents. DESIGN: An anonymous survey mailed in March 1992. TYPE OF PARTICIPANTS: The program directors of all 86 Accreditation Council for Graduate Medical Education-approved emergency medicine residencies. INTERVENTIONS: None. MEASUREMENTS AND MAIN RESULTS: The 67 responding program directors represented 1,637 (77%) of the 2,130 emergency medicine residents on duty at the time of the survey. Thirty-three (49%) had suspected chemical dependency in a resident at least once, 22 (33%) had identified a chemically dependent resident, and nine (13%) hired a resident known to be in recovery. Substantial percentages reported no or slight knowledge regarding physician impairment issues. Twenty program directors (30%) received no education or only informal education regarding physician impairment. Compared to a February 1992 survey of emergency medicine residents, the program directors' estimates of resident use rates in the past year for seven substances were fairly accurate. However, the program directors estimated that only 16 (1.0%) of their current residents were impaired by alcohol; the resident survey yielded CAGE scores consistent with presumed or suspected alcoholism in 12.5% of emergency medicine residents. CONCLUSION: Emergency medicine program directors must be more attentive to potential alcohol abuse among emergency medicine residents and should receive additional education regarding chemical dependency.</t>
  </si>
  <si>
    <t>J2: Ann Emerg Med; McNamara, R M Margulies, J L; ID: 1229</t>
  </si>
  <si>
    <t>McNamara, R M. Department of Emergency Medicine, Medical College of Pennsylvania, Philadelphia.</t>
  </si>
  <si>
    <t>http://ovidsp.ovid.com/ovidweb.cgi?T=JS&amp;CSC=Y&amp;NEWS=N&amp;PAGE=fulltext&amp;D=med3&amp;AN=8185102</t>
  </si>
  <si>
    <t>MEDLINE; Ovid Technologies; Chemical dependency in emergency medicine residency programs: perspective of the program directors</t>
  </si>
  <si>
    <t>McNamara,R. M.;Sanders,A. B.;Ling,L.;Witzke,D. B.;Bangs,K. A.</t>
  </si>
  <si>
    <t>Substance use and alcohol abuse in emergency medicine training programs, by resident report. SAEM Residency Survey Task Force</t>
  </si>
  <si>
    <t>Adult;*Alcohol Drinking/ep Epidemiology];Alcoholism/ep Epidemiology];*Emergency Medicine;Humans;*Internship and Residency;*Substance-Related Disorders/ep Epidemiology];United States/ep Epidemiology]</t>
  </si>
  <si>
    <t>OBJECTIVE: To determine the prevalence of substance use and alcohol abuse among emergency medicine residents. METHOD: The study instrument was an anonymous, self-report survey that assessed the use of 13 substances and included the CAGE questions for measuring alcohol abuse. The survey was administered to emergency medicine residents at the time of the American Board of Emergency Medicine's annual In-Service Examination. RESULTS: Alcohol was the substance most commonly used by emergency medicine residents for nonmedical reasons. Using the CAGE score, 4.9% of residents were classified as alcoholic and another 7.6% as suspect for alcoholism, rates similar to those for housestaff of all specialties as reported in earlier studies. Instruction related to physician impairment during training in their emergency medicine residency was reported by only 36% of the respondents. CONCLUSIONS: Emergency medicine residents report a low rate of illicit substance use and do not appear to misuse alcohol differently than other housestaff. Interpretation of these results must be tempered with the potential for underreporting that may occur with a voluntary self-report survey of a sensitive nature.</t>
  </si>
  <si>
    <t>J2: Acad Emerg Med; McNamara, R M Sanders, A B Ling, L Witzke, D B Bangs, K A; ID: 1189</t>
  </si>
  <si>
    <t>McNamara, R M. Medical College of Pennsylvania Department of Emergency Medicine, Philadelphia 19129, USA.</t>
  </si>
  <si>
    <t>http://ovidsp.ovid.com/ovidweb.cgi?T=JS&amp;CSC=Y&amp;NEWS=N&amp;PAGE=fulltext&amp;D=med3&amp;AN=7621153</t>
  </si>
  <si>
    <t>MEDLINE; Ovid Technologies; Substance use and alcohol abuse in emergency medicine training programs, by resident report. SAEM Residency Survey Task Force</t>
  </si>
  <si>
    <t>McNaughton,C. A.</t>
  </si>
  <si>
    <t>Why don't they just quit?</t>
  </si>
  <si>
    <t>South Dakota Medicine: The Journal of the South Dakota State Medical Association</t>
  </si>
  <si>
    <t>Spec No</t>
  </si>
  <si>
    <t>*Behavior, Addictive/px Psychology];Humans;*Smoking/px Psychology];*Smoking Cessation/px Psychology];*Tobacco Use Disorder/px Psychology]</t>
  </si>
  <si>
    <t>There has been increased emphasis on intervention by physicians with their patients concerning smoking and smoking cessation. Yet, many patients do not quit. This article reviews some of the reasons why they don't just quit. The physiologic effects of nicotine addiction, conditioned stimulus-response learning, mood disorders, personality traits and individual genetics impact cessation rates. Guidelines are presented for increasing cessation rates.</t>
  </si>
  <si>
    <t>J2: S D Med; McNaughton, Clifford A; ID: 636</t>
  </si>
  <si>
    <t>0038-3317</t>
  </si>
  <si>
    <t>McNaughton, Clifford A. Department of Psychiatry, Sanford School of Medicine of The University of South Dakota, USA.</t>
  </si>
  <si>
    <t>http://ovidsp.ovid.com/ovidweb.cgi?T=JS&amp;CSC=Y&amp;NEWS=N&amp;PAGE=fulltext&amp;D=med6&amp;AN=19363893</t>
  </si>
  <si>
    <t>MEDLINE; Ovid Technologies; Why don't they just quit?</t>
  </si>
  <si>
    <t>Mechanick,P.;Mintz,J.;Gallagher,J.;Lapid,G.;Rubin,R.;Good,J.</t>
  </si>
  <si>
    <t>Nonmedical drug use among medical students</t>
  </si>
  <si>
    <t>Adult;Amphetamine;Attitude;Barbiturates;Cannabis;Drug and Narcotic Control;Female;Humans;Lysergic Acid Diethylamide;Male;Mescaline;Pennsylvania;Schools, Medical;Social Change;*Students, Medical;*Substance-Related Disorders;0 (Barbiturates);8NA5SWF92O (Lysergic Acid Diethylamide);CK833KGX7E (Amphetamine);RHO99102VC (Mescaline)</t>
  </si>
  <si>
    <t>J2: Arch Gen Psychiatry; Mechanick, P Mintz, J Gallagher, J Lapid, G Rubin, R Good, J; ID: 1572</t>
  </si>
  <si>
    <t>http://ovidsp.ovid.com/ovidweb.cgi?T=JS&amp;CSC=Y&amp;NEWS=N&amp;PAGE=fulltext&amp;D=med1&amp;AN=4711132</t>
  </si>
  <si>
    <t>MEDLINE; Ovid Technologies; Nonmedical drug use among medical students</t>
  </si>
  <si>
    <t>Mejia,R.;Perez Stable,E. J.;Kaplan,C. P.;Gregorich,S. E.;Livaudais-Toman,J.;Pena,L.;Alderete,M.;Schoj,V.;Alderete,E.</t>
  </si>
  <si>
    <t>Effectiveness of an Intervention to Teach Physicians How to Assist Patients to Quit Smoking in Argentina</t>
  </si>
  <si>
    <t>Adult;Argentina;*Education, Medical, Continuing/sn Statistics &amp; Numerical Data];Female;Humans;Male;Middle Aged;Physicians;Smoking Cessation/mt Methods];Smoking Cessation/sn Statistics &amp; Numerical Data];*Smoking Cessation</t>
  </si>
  <si>
    <t>INTRODUCTION: We evaluated an intervention to teach physicians how to help their smoking patients quit compared to usual care in Argentina. METHODS: Physicians were recruited from six clinical systems and randomized to intervention (didactic curriculum in two 3-hour sessions) or usual care. Smoking patients who saw participating physicians within 30 days of the intervention (index clinical visit) were randomly sampled and interviewed by telephone with follow-up surveys at months 6 and 12 after the index clinical visit. Outcomes were tobacco abstinence (main), quit attempt in the past month, use of medications to quit smoking, and cigarettes per day. Repeated measures on the same participants were accommodated via generalized linear mixed models. RESULTS: Two hundred fifty-four physicians were randomized; average age 44.5 years, 53% women and 12% smoked. Of 1378 smoking patients surveyed, 81% were women and 45% had more than 12 years of education. At 1 month, most patients (77%) reported daily smoking, 20% smoked some days and 3% had quit. Mean cigarettes smoked per day was 12.9 (SD = 8.8) and 49% were ready to quit within the year. Intention-to-treat analyses did not show significant group differences in quit rates at 12 months when assuming outcome response was missing at random (23% vs. 24.1%, P = .435). Using missing=smoking imputation rule, quit rates were not different at 12 months (15.6% vs. 16.4% P = .729). Motivated smokers were more likely to quit at 6 months (17.7% vs. 9.6%, P = .03). CONCLUSIONS: Training in tobacco cessation for physicians did not improve abstinence among their unselected smoking patients.</t>
  </si>
  <si>
    <t>J2: Nicotine Tob Res; Mejia, Raul Perez Stable, Eliseo J Kaplan, Celia P Gregorich, Steven E Livaudais-Toman, Jennifer Pena, Lorena Alderete, Mariela Schoj, Veronica Alderete, Ethel; ID: 136</t>
  </si>
  <si>
    <t>Mejia, Raul. Department of Medicine, Centro de Estudios de Estado y Sociedad (CEDES), Argentina, Buenos Aires, Argentina; Department of Medicine, Program in General Internal Medicine, Universidad de Buenos Aires, Buenos Aires, Argentina; Perez Stable, Eliseo J. Division of General Internal Medicine, Department of Medicine, Medical Effectiveness Research Center for Diverse Populations, UCSF, San Francisco, CA; eliseops@medicine.ucsf.edu. Kaplan, Celia P. Division of General Internal Medicine, Department of Medicine, Medical Effectiveness Research Center for Diverse Populations, UCSF, San Francisco, CA; Gregorich, Steven E. Division of General Internal Medicine, Department of Medicine, Medical Effectiveness Research Center for Diverse Populations, UCSF, San Francisco, CA; Livaudais-Toman, Jennifer. Division of General Internal Medicine, Department of Medicine, Medical Effectiveness Research Center for Diverse Populations, UCSF, San Francisco, CA; Pena, Lorena. Department of Medicine, Centro de Estudios de Estado y Sociedad (CEDES), Argentina, Buenos Aires, Argentina; Alderete, Mariela. Fundacion Interamericana del Corazon Argentina, Buenos Aires, Argentina; Consejo Nacional de Investigaciones Cientificas y Tecnicas (CONICET), Universidad Nacional de Jujuy, Jujuy, Argentina. Schoj, Veronica. Fundacion Interamericana del Corazon Argentina, Buenos Aires, Argentina; Alderete, Ethel. Consejo Nacional de Investigaciones Cientificas y Tecnicas (CONICET), Universidad Nacional de Jujuy, Jujuy, Argentina.</t>
  </si>
  <si>
    <t>http://ovidsp.ovid.com/ovidweb.cgi?T=JS&amp;CSC=Y&amp;NEWS=N&amp;PAGE=fulltext&amp;D=medc&amp;AN=26175459</t>
  </si>
  <si>
    <t>https://dx.doi.org/10.1093/ntr/ntv153</t>
  </si>
  <si>
    <t>MEDLINE; Ovid Technologies; Effectiveness of an Intervention to Teach Physicians How to Assist Patients to Quit Smoking in Argentina</t>
  </si>
  <si>
    <t>Meltzer,E. C.;Suppes,A.;Burns,S.;Shuman,A.;Orfanos,A.;Sturiano,C. V.;Charney,P.;Fins,J. J.</t>
  </si>
  <si>
    <t>Stigmatization of substance use disorders among internal medicine residents</t>
  </si>
  <si>
    <t>*Attitude of Health Personnel;Curriculum;Education, Medical, Graduate;Female;Heartburn/px Psychology];Humans;*Internal Medicine/ed Education];*Internship and Residency;Male;Pneumonia/px Psychology];Prospective Studies;*Stereotyping;*Substance-Related Disorders/px Psychology]</t>
  </si>
  <si>
    <t>BACKGROUND: Evidence suggests that some physicians harbor negative attitudes towards patients with substance use disorders (SUDs). The study sought to (1) measure internal medicine residents' attitudes towards patients with SUDs and other conditions; (2) determine whether demographic factors influence regard for patients with SUDs; and (3) assess the efficacy of a 10-hour addiction medicine course for improving attitudes among a subset of residents. METHODS: A prospective cohort study of 128 internal medicine residents at an academic medical center in New York City. Scores from the validated Medical Condition Regard Scale (MCRS) were used to assess attitude towards patients with alcoholism, dependence on narcotic pain medication, heartburn, and pneumonia. Demographic variables included gender, postgraduate training year, and prior addiction education. RESULTS: Mean baseline MCRS scores were lower (less regard) for patients with alcoholism (41.4) and dependence on narcotic pain medication (35.3) than for patients with pneumonia (54.5) and heartburn (48.9) (P &lt; .0001). Scores did not differ based upon gender, prior hours of addiction education, or year of training. After the course, MCRS scores marginally increased for patients with alcoholism (mean increased by 0.16, P = .04 95% confidence interval, CI: 0.004-0.324]) and dependence on narcotic pain medication (mean increased by 0.09, P = .10 95% CI: 0.02-0.22]). CONCLUSIONS: Internal medicine residents demonstrate less regard for patients with SUDs. Participation in a course in addiction medicine was associated with modest attitude improvement; however, other efforts may be necessary to ensure that patients with potentially stigmatized conditions receive optimal care.</t>
  </si>
  <si>
    <t>J2: Subst Abus; Meltzer, Ellen C Suppes, Alexandra Burns, Sam Shuman, Andrew Orfanos, Alex Sturiano, Christopher V Charney, Pamela Fins, Joseph J; ID: 287</t>
  </si>
  <si>
    <t>Meltzer, Ellen C. a Division of Medical Ethics, Department of Public Health , Weill Cornell Medical College , New York , New York , USA.</t>
  </si>
  <si>
    <t>http://ovidsp.ovid.com/ovidweb.cgi?T=JS&amp;CSC=Y&amp;NEWS=N&amp;PAGE=fulltext&amp;D=med7&amp;AN=24159906</t>
  </si>
  <si>
    <t>https://dx.doi.org/10.1080/08897077.2013.815143</t>
  </si>
  <si>
    <t>MEDLINE; Ovid Technologies; Stigmatization of substance use disorders among internal medicine residents</t>
  </si>
  <si>
    <t>Mendelson,J. H.;Hyde,A. P.</t>
  </si>
  <si>
    <t>Alcoholism training in medical schools: some pedagogical and attitudinal issues</t>
  </si>
  <si>
    <t>*Alcoholism;*Attitude of Health Personnel;Comprehensive Health Care;Curriculum;*Education, Medical;Financing, Organized;Humans;Methods;Organization and Administration;Quality of Health Care;*Teaching</t>
  </si>
  <si>
    <t>J2: Ann N Y Acad Sci; Mendelson, J H Hyde, A P; ID: 1594</t>
  </si>
  <si>
    <t>http://ovidsp.ovid.com/ovidweb.cgi?T=JS&amp;CSC=Y&amp;NEWS=N&amp;PAGE=fulltext&amp;D=med1&amp;AN=5282659</t>
  </si>
  <si>
    <t>MEDLINE; Ovid Technologies; Alcoholism training in medical schools: some pedagogical and attitudinal issues</t>
  </si>
  <si>
    <t>Mendelson,J. H.;Mello,N. K.</t>
  </si>
  <si>
    <t>Alcoholism education in the medical curriculum</t>
  </si>
  <si>
    <t>*Alcoholism;Curriculum;*Education, Medical;Humans</t>
  </si>
  <si>
    <t>J2: J Med Educ; Mendelson, J H Mello, N K; ID: 1485</t>
  </si>
  <si>
    <t>http://ovidsp.ovid.com/ovidweb.cgi?T=JS&amp;CSC=Y&amp;NEWS=N&amp;PAGE=fulltext&amp;D=med2&amp;AN=6854601</t>
  </si>
  <si>
    <t>MEDLINE; Ovid Technologies; Alcoholism education in the medical curriculum</t>
  </si>
  <si>
    <t>Mendoza,S.;Rivera-Cabrero,A.;Hansen,H.</t>
  </si>
  <si>
    <t>Shifting blame: Buprenorphine prescribers, addiction treatment, and prescription monitoring in middle-class America</t>
  </si>
  <si>
    <t>Transcultural Psychiatry</t>
  </si>
  <si>
    <t>*Buprenorphine/tu Therapeutic Use];Humans;Interviews as Topic;New York City;Opiate Substitution Treatment/mt Methods];*Opioid-Related Disorders/dt Drug Therapy];Practice Patterns, Physicians';Prescription Drug Monitoring Programs;Social Class;40D3SCR4GZ (Buprenorphine)</t>
  </si>
  <si>
    <t>Growing nonmedical prescription opioid analgesic use among suburban and rural Whites has changed the public's perception of the nature of opioid addiction, and of appropriate interventions. Opioid addiction has been recast as a biological disorder in which patients are victims of their neurotransmitters and opioid prescribers are irresponsible purveyors of dangerous substances requiring controls. This framing has led to a different set of policy responses than the "War on Drugs" that has focused on heroin trade in poor urban communities; in response to prescription opioid addiction, prescription drug monitoring programs and tamper-resistant opioid formulations have arisen as primary interventions in place of law enforcement. Through the analysis of preliminary findings from interviews with physicians who are certified to manage opioid addiction with the opioid pharmaceutical buprenorphine, we argue that an increase in prescriber monitoring has shifted the focus from addicted people to prescribers as a threat, paradoxically driving users to illicit markets and constricting their access to pharmaceutical treatment for opioid addiction. Prescriber monitoring is also altering clinical cultures of care, as general physicians respond to heightened surveillance and the psychosocial complexities of treating addiction with either rejection of opioid dependent patients, or with resourceful attempts to create support systems for their treatment where none exists.</t>
  </si>
  <si>
    <t>J2: Transcult Psychiatry; Mendoza, Sonia Rivera-Cabrero, Allyssa S Hansen, Helena; ID: 21</t>
  </si>
  <si>
    <t>1461-7471</t>
  </si>
  <si>
    <t>Mendoza, Sonia. New York University sonia.mendoza@nyumc.org. Rivera-Cabrero, Allyssa S. New York University. Hansen, Helena. New York University.</t>
  </si>
  <si>
    <t>http://ovidsp.ovid.com/ovidweb.cgi?T=JS&amp;CSC=Y&amp;NEWS=N&amp;PAGE=fulltext&amp;D=medl&amp;AN=27488225</t>
  </si>
  <si>
    <t>https://dx.doi.org/10.1177/1363461516660884</t>
  </si>
  <si>
    <t>MEDLINE; Ovid Technologies; Shifting blame: Buprenorphine prescribers, addiction treatment, and prescription monitoring in middle-class America</t>
  </si>
  <si>
    <t>Menk,E. J.;Baumgarten,R. K.;Kingsley,C. P.;Culling,R. D.;Middaugh,R.</t>
  </si>
  <si>
    <t>Success of reentry into anesthesiology training programs by residents with a history of substance abuse</t>
  </si>
  <si>
    <t>*Anesthesiology/ed Education];Humans;*Internship and Residency;Narcotics;Private Practice;Substance-Related Disorders/mo Mortality];*Substance-Related Disorders/rh Rehabilitation];Surveys and Questionnaires;United States/ep Epidemiology];0 (Narcotics)</t>
  </si>
  <si>
    <t>To determine incidence and outcome of reentry into anesthesiology training programs by residents with histories of substance abuse, a survey was sent to the 159 US anesthesiology training programs. One hundred thirteen (71%) responded, with 82 (73%) submitting at least one case report of substance abuse. A total of 180 case reports were submitted, including 26 in which the resident died as a result of substance abuse. The prevalence of substance abuse among trainees was 2%. Sixty-one (74%) of the responding training programs submitted a total of 113 case reports of resident reentry into anesthesiology training. The success rate of reentry in the parenteral opioid abuser group was 34% (27/79). The success rate of reentry for the nonopioid abuser group was 70% (16/23). There were 14 cases of suicide or lethal overdose among trainees who were allowed to reenter anesthesiology training. Death as the initial relapse symptom occurred in 16% (13/79) of the parenteral opioid abusers who were allowed to reenter anesthesiology training. This study suggests that drug rehabilitation followed by redirection into another specialty may be the most prudent course for the anesthesiology trainee who abuses parenteral opioids.</t>
  </si>
  <si>
    <t>J2: Jama; Menk, E J Baumgarten, R K Kingsley, C P Culling, R D Middaugh, R Comment in: JAMA. 1990 Dec 5;264(21):2741-2; PMID: 2232058; ID: 1356</t>
  </si>
  <si>
    <t>Menk, E J. Department of Anesthesia, Brooke Army Medical Center, Fort Sam Houston, Tex 78234-6200.</t>
  </si>
  <si>
    <t>http://ovidsp.ovid.com/ovidweb.cgi?T=JS&amp;CSC=Y&amp;NEWS=N&amp;PAGE=fulltext&amp;D=med3&amp;AN=2342218</t>
  </si>
  <si>
    <t>MEDLINE; Ovid Technologies; Success of reentry into anesthesiology training programs by residents with a history of substance abuse</t>
  </si>
  <si>
    <t>Merlin,J. S.;Young,S. R.;Starrels,J. L.;Azari,S.;Edelman,E. J.;Pomeranz,J.;Roy,P.;Saini,S.;Becker,W. C.;Liebschutz,J. M.</t>
  </si>
  <si>
    <t>Managing Concerning Behaviors in Patients Prescribed Opioids for Chronic Pain: A Delphi Study</t>
  </si>
  <si>
    <t>BACKGROUND: Current guideline-recommended monitoring of patients prescribed long-term opioid therapy (LTOT) for chronic pain will likely result in increased identification of behaviors of concern for misuse and addiction, but there is a dearth of empiric evidence about how these behaviors should be managed. OBJECTIVE: To establish expert consensus about treatment approaches for common and challenging concerning behaviors that arise among patients on LTOT. DESIGN: We used a Delphi approach, which allows for generation of consensus. PARTICIPANTS: Participants were clinical experts in chronic pain and opioid prescribing recruited from professional societies and other expert groups. MAIN MEASURES: The Delphi process was conducted online, and consisted of an initial brainstorming round to identify common and challenging behaviors, a second round to identify management strategies for each behavior, and two rounds to establish consensus and explore disagreement/uncertainty. KEY RESULTS: Forty-two participants completed round 1, 22 completed round 2, 30 completed round 3, and 28 completed round 4. Half of round 1 participants were female (52%), and the majority were white (83%). Most (71%) were physicians, and most participants practiced in academic primary (40%) or specialty care (19%).The most frequently cited common and challenging behaviors were missing appointments, taking opioids for symptoms other than pain, using more opioid medication than prescribed, asking for an increase in opioid dose, aggressive behavior, and alcohol and other substance use. Across behaviors, participants agreed that patient education and information gathering were important approaches. Participants also agreed that stopping opioids is not important initially, but if initial approaches do not work, tapering opioids and stopping opioids immediately may become important approaches. CONCLUSIONS: This study presents clinical expert consensus on how to manage concerning behaviors among patients on LTOT. Future research is needed to investigate how implementing these management strategies would impact patient outcomes, practice and policy.</t>
  </si>
  <si>
    <t>J2: J Gen Intern Med; Merlin, Jessica S Young, Sarah R Starrels, Joanna L Azari, Soraya Edelman, E Jennifer Pomeranz, Jamie Roy, Payel Saini, Shalini Becker, William C Liebschutz, Jane M; ID: 1629</t>
  </si>
  <si>
    <t>Merlin, Jessica S. Division of Infectious Diseases, University of Alabama at Birmingham, Birmingham, AL, USA. merlinjs@pitt.edu. Merlin, Jessica S. Division of Gerontology, Geriatrics, and Palliative Care, University of Alabama at Birmingham, Birmingham, AL, USA. merlinjs@pitt.edu. Young, Sarah R. Division of Infectious Diseases, University of Alabama at Birmingham, Birmingham, AL, USA. Young, Sarah R. Department of Social Work, College of Community and Public Affairs, Binghamton University, Binghamton, NY, USA. Starrels, Joanna L. Division of General Internal Medicine, Albert Einstein College of Medicine and Montefiore Medical Center, Bronx, NY, USA. Azari, Soraya. Division of General Internal Medicine, San Francisco General Hospital, University of California San Francisco, San Francisco, CA, USA. Edelman, E Jennifer. Department of Internal Medicine, Yale University School of Medicine, New Haven, CT, USA. Pomeranz, Jamie. Department of Occupational Therapy, University of Florida, Gainesville, FL, USA. Roy, Payel. Clinical Addiction Research and Education (CARE) Unit, Section of General Internal Medicine, Boston Medical Center, Boston University School of Medicine, Boston, MA, USA. Saini, Shalini. Department of Medicine, Information Technology, University of Alabama at Birmingham, Birmingham, AL, USA. Becker, William C. Department of Internal Medicine, Yale University School of Medicine, New Haven, CT, USA. Becker, William C. VA Connecticut Healthcare System, West Haven, CT, USA. Liebschutz, Jane M. Clinical Addiction Research and Education (CARE) Unit, Section of General Internal Medicine, Boston Medical Center, Boston University School of Medicine, Boston, MA, USA.</t>
  </si>
  <si>
    <t>http://ovidsp.ovid.com/ovidweb.cgi?T=JS&amp;CSC=Y&amp;NEWS=N&amp;PAGE=fulltext&amp;D=prem&amp;AN=29204977</t>
  </si>
  <si>
    <t>https://dx.doi.org/10.1007/s11606-017-4211-y</t>
  </si>
  <si>
    <t>MEDLINE; Ovid Technologies; Managing Concerning Behaviors in Patients Prescribed Opioids for Chronic Pain: A Delphi Study</t>
  </si>
  <si>
    <t>Merlo,L. J.;Cummings,S. M.;Cottler,L. B.</t>
  </si>
  <si>
    <t>NIHMS504914; Recovering substance-impaired pharmacists' views regarding occupational risks for addiction</t>
  </si>
  <si>
    <t>Journal of the American Pharmacists Association: JAPhA</t>
  </si>
  <si>
    <t>Adult;Aged;*Attitude of Health Personnel;Behavior, Addictive/et Etiology];Behavior, Addictive/pc Prevention &amp; Control];*Behavior, Addictive/px Psychology];Cross-Sectional Studies;Female;*Health Knowledge, Attitudes, Practice;Humans;Male;Middle Aged;Occupational Diseases/et Etiology];Occupational Diseases/pc Prevention &amp; Control];*Occupational Diseases/px Psychology];*Pharmacists;Prescription Drugs/ae Adverse Effects];Risk Factors;Students, Pharmacy;Substance-Related Disorders/et Etiology];Substance-Related Disorders/pc Prevention &amp; Control];*Substance-Related Disorders/px Psychology];0 (Prescription Drugs)</t>
  </si>
  <si>
    <t>OBJECTIVE: To better understand the occupational risks for substance use disorders among pharmacists and possibilities for improved prevention. DESIGN: Descriptive, nonexperimental, cross-sectional study. SETTING: A southeastern state from December 2008 to April 2009. PARTICIPANTS: 32 participants (72.7% men) from the impaired professionals monitoring groups in the geographic regions within the state that had the greatest number of physicians, pharmacists, and allied health professionals currently under monitoring contracts for substance use disorders. INTERVENTION: Guided group discussions regarding substance use among health care providers. MAIN OUTCOME MEASURES: Persistent occupational risks for development of a substance use disorder among pharmacists. RESULTS: Several occupational hazards unique to the pharmacy profession might contribute to the problem of substance use disorders among some members of this population, including increased access to potent drugs of abuse, a stressful/unpleasant working environment, a culture that unofficially condones medication diversion, lack of education related to addiction, and lack of support for individuals seeking treatment. CONCLUSION: These results have important implications for the education of student pharmacists, the continuing education of licensed pharmacists, and the management of pharmacies in which these individuals work. Given the potential occupational risks for substance abuse associated with the pharmacy profession, additional training, monitoring, changes to the work environment, and increased confidential access to treatment may be needed to safeguard pharmacy professionals and the communities they serve.</t>
  </si>
  <si>
    <t>J2: J Am Pharm Assoc (2003); Merlo, Lisa J Cummings, Simone M Cottler, Linda B; ID: 406</t>
  </si>
  <si>
    <t>1544-3450</t>
  </si>
  <si>
    <t>Merlo, Lisa J. School of Medicine, Washington University, St. Louis, MO, USA. lmerlo@ufl.edu</t>
  </si>
  <si>
    <t>http://ovidsp.ovid.com/ovidweb.cgi?T=JS&amp;CSC=Y&amp;NEWS=N&amp;PAGE=fulltext&amp;D=med7&amp;AN=22825228</t>
  </si>
  <si>
    <t>https://dx.doi.org/10.1331/JAPhA.2012.10214</t>
  </si>
  <si>
    <t>MEDLINE; Ovid Technologies; Recovering substance-impaired pharmacists' views regarding occupational risks for addiction</t>
  </si>
  <si>
    <t>Merlo,L. J.;Greene,W. M.;Pomm,R.</t>
  </si>
  <si>
    <t>NIHMS285798; Mandatory naltrexone treatment prevents relapse among opiate-dependent anesthesiologists returning to practice</t>
  </si>
  <si>
    <t>Adult;Anesthesiology/ed Education];*Anesthesiology;Contracts/lj Legislation &amp; Jurisprudence];Drug Evaluation, Preclinical;Female;Florida;Follow-Up Studies;Humans;Internship and Residency;Male;*Mandatory Programs/lj Legislation &amp; Jurisprudence];Middle Aged;Naltrexone/ae Adverse Effects];*Naltrexone/tu Therapeutic Use];Narcotic Antagonists/ae Adverse Effects];*Narcotic Antagonists/tu Therapeutic Use];*Opiate Substitution Treatment/mt Methods];Opioid-Related Disorders/di Diagnosis];*Opioid-Related Disorders/rh Rehabilitation];*Physician Impairment/lj Legislation &amp; Jurisprudence];Physician Impairment/px Psychology];*Rehabilitation, Vocational;Secondary Prevention;0 (Narcotic Antagonists);5S6W795CQM (Naltrexone)</t>
  </si>
  <si>
    <t>OBJECTIVE: Anesthesiologists with opioid use disorders are at high risk for relapse. In 2005, the impaired professionals monitoring program of the State of Florida implemented a policy whereby anesthesiologists referred for opiate use disorders were contractually obligated to take naltrexone for 2 years. Naltrexone ingestion was witnessed and verified via random urine drugs screens or administered via intramuscular injection. METHOD: Charts were reviewed for the 11 anesthesiologists who underwent mandated pharmacotherapy with naltrexone, and 11 anesthesiologists who began monitoring immediately before implementation of this policy. RESULTS: Eight of 11 anesthesiologists who did not take naltrexone experienced a relapse on opiates. Only 1 of 11 anesthesiologists experienced a relapse on opiates after taking naltrexone, whereas another relapsed on an inhalant (nitrous oxide). It is noteworthy that 5 of the 11 anesthesiologists who took naltrexone had relapsed before naltrexone treatment, and 7 of the 11 anesthesiologists who did not take naltrexone experienced multiple documented relapses. Only 1 of the 11 anesthesiologists who did not take naltrexone successfully returned to the practice of anesthesiology. This individual suffered primarily from alcohol dependence, and suspected opiate abuse was never verified. Others who attempted return to anesthesiology (n = 7) suffered a relapse. In comparison, 9 of the 11 anesthesiologists who took naltrexone have returned to the practice of anesthesiology without a relapse (as verified by continued random urine and hair testing). CONCLUSION: Mandatory naltrexone treatment may provide anesthesiologists with an additional safeguard to successfully return to work.</t>
  </si>
  <si>
    <t>J2: J Addict Med; Merlo, Lisa J Greene, William M Pomm, Raymond; ID: 383</t>
  </si>
  <si>
    <t>Merlo, Lisa J. University of Florida, Gainesville, FL, USA. lmerlo@ufl.edu</t>
  </si>
  <si>
    <t>http://ovidsp.ovid.com/ovidweb.cgi?T=JS&amp;CSC=Y&amp;NEWS=N&amp;PAGE=fulltext&amp;D=med7&amp;AN=22107877</t>
  </si>
  <si>
    <t>https://dx.doi.org/10.1097/ADM.0b013e31821852a0</t>
  </si>
  <si>
    <t>MEDLINE; Ovid Technologies; Mandatory naltrexone treatment prevents relapse among opiate-dependent anesthesiologists returning to practice</t>
  </si>
  <si>
    <t>Merrill,J. O.;Rhodes,L. A.;Deyo,R. A.;Marlatt,G. A.;Bradley,K. A.</t>
  </si>
  <si>
    <t>Mutual mistrust in the medical care of drug users: the keys to the "narc" cabinet</t>
  </si>
  <si>
    <t>Adult;Aged;Anthropology, Cultural;Female;Hospitals, Teaching;Humans;Male;Middle Aged;Opioid-Related Disorders/px Psychology];Opioid-Related Disorders/th Therapy];*Physician-Patient Relations;Substance Abuse Treatment Centers;*Substance-Related Disorders/px Psychology];Substance-Related Disorders/th Therapy]</t>
  </si>
  <si>
    <t>OBJECTIVE: Caring for patients who are active drug users is challenging. To better understand the often difficult relationships between illicit drug-using patients and their physicians, we sought to identify major issues that emerge during their interactions in a teaching hospital. DESIGN: Exploratory qualitative analysis of data from direct observation of patient care interactions and interviews with drug-using patients and their physicians. SETTING: The inpatient internal medicine service of an urban public teaching hospital. PARTICIPANTS: Nineteen patients with recent active drug use, primarily opiate use, and their 8 physician teams. RESULTS: Four major themes emerged. First, physicians feared being deceived by drug-using patients. In particular, they questioned whether patients' requests for opiates to treat pain or withdrawal might result from addictive behavior rather than from "medically indicated" need. Second, they lacked a standard approach to commonly encountered clinical issues, especially the assessment and treatment of pain and opiate withdrawal. Because patients' subjective report of symptoms is suspect, physicians struggled to find criteria for appropriate opiate prescription. Third, physicians avoided engaging patients regarding key complaints, and expressed discomfort and uncertainty in their approach to these patients. Fourth, drug-using patients were sensitive to the possibility of poor medical care, often interpreting physician inconsistency or hospital inefficiency as signs of intentional mistreatment. CONCLUSION: Physicians and drug-using patients in the teaching hospital setting display mutual mistrust, especially concerning opiate prescription. Physicians' fear of deception, inconsistency and avoidance interacts with patients' concern that they are mistreated and stigmatized. Medical education should focus greater attention on addiction medicine and pain management.</t>
  </si>
  <si>
    <t>J2: J Gen Intern Med; Merrill, Joseph O Rhodes, Lorna A Deyo, Richard A Marlatt, G Alan Bradley, Katharine A; ID: 975</t>
  </si>
  <si>
    <t>Merrill, Joseph O. Division of General Internal Medicine, Harborview Medical Center, Department of Medicine, University of Washington, Seattle 98104, USA. joem@u.washington.edu</t>
  </si>
  <si>
    <t>http://ovidsp.ovid.com/ovidweb.cgi?T=JS&amp;CSC=Y&amp;NEWS=N&amp;PAGE=fulltext&amp;D=med4&amp;AN=12047728</t>
  </si>
  <si>
    <t>MEDLINE; Ovid Technologies; Mutual mistrust in the medical care of drug users: the keys to the "narc" cabinet</t>
  </si>
  <si>
    <t>Mertl,S.</t>
  </si>
  <si>
    <t>Doctors need education on prescribing opioids</t>
  </si>
  <si>
    <t>*Analgesics, Opioid/tu Therapeutic Use];Canada/ep Epidemiology];Drug Overdose/ep Epidemiology];*Drug Overdose/pc Prevention &amp; Control];*Education, Medical/mt Methods];Humans;Insurance, Liability;Liability, Legal;Opioid-Related Disorders/ep Epidemiology];*Opioid-Related Disorders/pc Prevention &amp; Control];Practice Patterns, Physicians'/lj Legislation &amp; Jurisprudence];*Practice Patterns, Physicians'/sn Statistics &amp; Numerical Data];0 (Analgesics, Opioid)</t>
  </si>
  <si>
    <t>J2: Cmaj; Mertl, Steve; ID: 100</t>
  </si>
  <si>
    <t>Mertl, Steve. Vancouver, BC.</t>
  </si>
  <si>
    <t>http://ovidsp.ovid.com/ovidweb.cgi?T=JS&amp;CSC=Y&amp;NEWS=N&amp;PAGE=fulltext&amp;D=med8&amp;AN=27601601</t>
  </si>
  <si>
    <t>MEDLINE; Ovid Technologies; Doctors need education on prescribing opioids</t>
  </si>
  <si>
    <t>Metcalf,M. P.;Tanner,T. B.</t>
  </si>
  <si>
    <t>An iGen approach to teaching medical students</t>
  </si>
  <si>
    <t>AMIA ..</t>
  </si>
  <si>
    <t>Annual Symposium Proceedings/AMIA Symposium.</t>
  </si>
  <si>
    <t>*Computer-Assisted Instruction/mt Methods];*Education, Medical/mt Methods];Humans;*Internet;North Carolina;Pilot Projects;*Substance-Related Disorders;*Teaching/mt Methods];*User-Computer Interface</t>
  </si>
  <si>
    <t>Medical school class sizes are set to increase, yet resources are not. The use of Internet based supplemental education modules and standardized patients (SP) is one answer to this imbalance. We have prototyped and assessed Internet modules and an SP on the topic of substance abuse. Effectiveness is supported by a small pilot study. A larger study is in process during 2008.</t>
  </si>
  <si>
    <t>J2: AMIA Annu Symp Proc; Metcalf, Mary P Tanner, T Bradley; ID: 609</t>
  </si>
  <si>
    <t>1942-597X</t>
  </si>
  <si>
    <t>Metcalf, Mary P. Clinical Tools, Inc., Chapel Hill, NC, USA.</t>
  </si>
  <si>
    <t>http://ovidsp.ovid.com/ovidweb.cgi?T=JS&amp;CSC=Y&amp;NEWS=N&amp;PAGE=fulltext&amp;D=med6&amp;AN=18998971</t>
  </si>
  <si>
    <t>MEDLINE; Ovid Technologies; An iGen approach to teaching medical students</t>
  </si>
  <si>
    <t>Metlay,G.</t>
  </si>
  <si>
    <t>Federalizing medical campaigns against alcoholism and drug abuse</t>
  </si>
  <si>
    <t>Milbank Quarterly</t>
  </si>
  <si>
    <t>Milbank Q.</t>
  </si>
  <si>
    <t>Alcoholics Anonymous/hi History];*Alcoholism/pc Prevention &amp; Control];Health Policy;*Health Promotion/og Organization &amp; Administration];History, 20th Century;Humans;Lobbying;National Institute of Mental Health (U.S.);National Institute on Alcohol Abuse and Alcoholism (U.S.);Societies;*Substance-Related Disorders/pc Prevention &amp; Control];United States</t>
  </si>
  <si>
    <t>CONTEXT: The formation of the National Institute on Alcohol Abuse and Alcoholism (NIAAA) and the Special Action Office for Drug Abuse Prevention (SAODAP) in the early 1970s dramatically expanded scientific and medical efforts to control alcoholism and drug abuse in the United States. METHODS: Drawing on a variety of primary, secondary, and archival sources, this article describes the creation and early years of these agencies. FINDINGS: I show that while the agencies appeared at roughly the same time, their creation involved separate sets of issues and actors. In addition, I show that SAODAP received more money and resources, even though advocates for alcoholics mobilized a stronger lobbying campaign. CONCLUSIONS: Two factors explain this discrepancy in money and resources: (1) alcoholism was framed as a public health problem, whereas drug abuse was drawn into broader debates about crime and social decline; and (2) alcohol programs relied on congressional support, whereas drug programs found champions at high levels of the Nixon administration. These political and cultural factors help explain why current programs for illegal drugs receive more federal support, despite alcohol's greater public health burden.</t>
  </si>
  <si>
    <t>J2: Milbank Q; Metlay, Grischa; ID: 377</t>
  </si>
  <si>
    <t>1468-0009</t>
  </si>
  <si>
    <t>Metlay, Grischa. Office of NIH History, National Institutes of Health, Bethesda MD, USA. grischa.metlay@nih.gov</t>
  </si>
  <si>
    <t>http://ovidsp.ovid.com/ovidweb.cgi?T=JS&amp;CSC=Y&amp;NEWS=N&amp;PAGE=fulltext&amp;D=med7&amp;AN=23488713</t>
  </si>
  <si>
    <t>https://dx.doi.org/10.1111/milq.12004</t>
  </si>
  <si>
    <t>MEDLINE; Ovid Technologies; Federalizing medical campaigns against alcoholism and drug abuse</t>
  </si>
  <si>
    <t>Michael,Y. L.;Gregg,J.;Amann,T.;Solotaroff,R.;Sve,C.;Bowen,J. L.</t>
  </si>
  <si>
    <t>Evaluation of a community-based, service-oriented social medicine residency curriculum</t>
  </si>
  <si>
    <t>Progress in Community Health Partnerships</t>
  </si>
  <si>
    <t>Attitude of Health Personnel;*Community-Based Participatory Research/og Organization &amp; Administration];Focus Groups;Health Knowledge, Attitudes, Practice;*Health Status Disparities;Humans;*Internal Medicine/ed Education];*Internship and Residency/og Organization &amp; Administration];Medically Underserved Area;Oregon;Poverty Areas;Power (Psychology);*Social Medicine/ed Education]</t>
  </si>
  <si>
    <t>BACKGROUND: Educators can create opportunities for physicians-in-training to learn about the health care needs of the underserved and expose learners to models of care and opportunities for service. OBJECTIVES: We evaluated a community-based, service-oriented Social Medicine curriculum for Internal Medicine interns and residents initiated in 2007. METHODS: Qualitative data were collected through focus groups. CONCLUSIONS: Potent community-based experiential learning with adequate time and encouragement to hear clients' stories allowed residents to gain an understanding of some of the complex factors that contribute to ill health in this population and seemed to influence residents' confidence in their skills in working with an undeserved population, particularly a population struggling with addiction. However, the curriculum did not provide adequate time for facilitated, personal reflection. These data will assist community health partnerships in developing their own curricula to address health needs of the underserved.</t>
  </si>
  <si>
    <t>J2: Prog; Michael, Yvonne L Gregg, Jessica Amann, Ted Solotaroff, Rachel Sve, Chuck Bowen, Judith L; ID: 449</t>
  </si>
  <si>
    <t>1557-0541</t>
  </si>
  <si>
    <t>Michael, Yvonne L. Department of Epidemiology and Biostatistics, Drexel University School of Public Health, USA.</t>
  </si>
  <si>
    <t>http://ovidsp.ovid.com/ovidweb.cgi?T=JS&amp;CSC=Y&amp;NEWS=N&amp;PAGE=fulltext&amp;D=med7&amp;AN=22616211</t>
  </si>
  <si>
    <t>MEDLINE; Ovid Technologies; Evaluation of a community-based, service-oriented social medicine residency curriculum</t>
  </si>
  <si>
    <t>Michaud,P.;Fouilland,P.;Dewost,A. V.;Abesdris,J.;de Rohan,S.;Toubal,S.;Gremy,I.;Fauvel,G.;Heather,N.</t>
  </si>
  <si>
    <t>Early screening and brief intervention among excessive alcohol users: mobilizing general practitioners in an efficient way]</t>
  </si>
  <si>
    <t>Revue du Praticien</t>
  </si>
  <si>
    <t>*Alcoholism/pc Prevention &amp; Control];Data Interpretation, Statistical;Education, Medical, Continuing;Family Practice/ed Education];*Family Practice;France;Humans;Surveys and Questionnaires;Telephone;Time Factors;World Health Organization</t>
  </si>
  <si>
    <t>OBJECTIVE: The program "Boire moins, c'est mieux" (BMCM--"The less alcohol, the better") initiated by the ANPAA offered 550 general practitioners (GPs) in 2003 to follow training courses so as to perform "early screening and brief intervention" (ESBI) in general practice. Phone calls to the medical offices, a financial compensation offer and a media campaign in the immediate environment of general practitioners were used. The study aimed at assessing the respective efficiency of these three methods. METHOD: Mailing was the control mobilization method. Phone calls were used in addition to mailing for one GP out of two, according to a previous draw. Financial compensation (2 + for each questionnaire filled out, and 10 + for each BI delivered) was used when GPs were invited a second time to attend the training. Community-based mobilization only occurred in the site in Saint-Quentin-en-Yvelines (France). The primary endpoint was the actual participation to the training evenings. The secondary endpoints were the registration to trainings and the ESBI activity following the training. RESULTS: Phone calls enabled to multiple by 7 the number of participants attending training sessions, as compared to the impact of mailing only (p &lt; 10-7); phone calls had no proper impact on ESBI activity following the training. Financial compensation had a powerful impact on the level of ESBI activities (p = 10-4); however, announcing it had no effect on registrations and barely modified the impact of phone calls. The proportion of the population benefiting from a screening action doubled in the site where a community-based action occurred (p &lt; 10-7). CONCLUSION: A mere phone call was particularly efficient in increasing the number of trained GPs. Financial incentive led to an activity level very close to systematic screening. Community-based approach increased significantly the proportion of the screened population.</t>
  </si>
  <si>
    <t>J2: Rev Prat; French Michaud, Philippe Fouilland, Patrick Dewost, Anne-Violaine Abesdris, Julie de Rohan, Stella Toubal, Samir Gremy, Isabelle Fauvel, Guillaume Heather, Nick; OP: Reperage precoce et intervention breve aupres des consommateurs excessifs d'alcool; ID: 734</t>
  </si>
  <si>
    <t>0035-2640</t>
  </si>
  <si>
    <t>Michaud, Philippe. Boire moins c'est mieux, Association nationale de prevention en alcoologie et addictologie (ANPAA), 3, avenue Gallieni, 92000 Nanterre. bmcm@anpa.asso.fr</t>
  </si>
  <si>
    <t>http://ovidsp.ovid.com/ovidweb.cgi?T=JS&amp;CSC=Y&amp;NEWS=N&amp;PAGE=fulltext&amp;D=med5&amp;AN=17691267</t>
  </si>
  <si>
    <t>MEDLINE; Ovid Technologies; [Early screening and brief intervention among excessive alcohol users: mobilizing general practitioners in an efficient way]</t>
  </si>
  <si>
    <t>Michels,II;Stover,H.;Gerlach,R.</t>
  </si>
  <si>
    <t>Substitution treatment for opioid addicts in Germany</t>
  </si>
  <si>
    <t>BACKGROUND: After a long and controversial debate methadone maintenance treatment (MMT) was first introduced in Germany in 1987. The number of patients in MMT--first low because of strict admission criteria--increased considerably since the 1990s up to some 65,000 at the end of 2006. In Germany each general practitioner (GP), who has completed an additional training in addiction medicine, is allowed to prescribe substitution drugs to opioid dependent patients. Currently 2,700 GPs prescribe substitution drugs. Psychosocial care should be made available to all MMT patients. RESULTS: The results of research studies and practical experiences clearly indicate that patients benefit substantially from MMT with improvements in physical and psychological health. MMT proves successful in attaining high retention rates (65% to 85% in the first years, up to 50% after more than seven years) and plays a major role in accessing and maintaining ongoing medical treatment for HIV and hepatitis. MMT is also seen as a vital factor in the process of social re-integration and it contributes to the reduction of drug related harms such as mortality and morbidity and to the prevention of infectious diseases. Some 10% of MMT patients become drug-free in the long run. Methadone is the most commonly prescribed substitution medication in Germany, although buprenorphine is attaining rising importance. Access to MMT in rural areas is very patchy and still constitutes a problem. There are only few employment opportunities for patients participating in MMT, although regular employment is considered unanimously as a positive factor of treatment success. Substitution treatment in German prisons is heterogeneous in access and treatment modalities. Access is very patchy and the number of inmates in treatment is limited. Nevertheless, substitution treatment plays a substantial part in the health care system provided to drug users in Germany. CONCLUSION: In Germany, a history of substitution treatment spanning 20 years has meanwhile accumulated a wealth of experience, e.g. in the development of research on health care services, guidelines and the implementation of quality assurance measures. Implementing substitution treatment with concomitant effects and treatment elements such as drug history-taking, dosage setting, co-use of other psychoactive substances (alcohol, benzodiazepines, cocaine), management of 'difficult patient populations', and integration into the social environment has been arranged successfully. Also psychosocial counseling programmes adjuvant to substitution treatment have been established and, in the framework of a pilot project on heroin-based treatment, standardised manuals were developed. Research on allocating opioid users to the 'right' form of therapy at the 'right' point in time is still a challenge, though the pilot project 'heroin-based treatment' brought experience with patients who do not benefit from methadone treatment. There is also expertise in the treatment of specific co-morbidity such as HIV/AIDS, hepatitis and psychiatric disorders. The promotion and involvement of self-help groups plays an important part in the process of successful substitution treatment.</t>
  </si>
  <si>
    <t>J2: Harm Reduct J; Michels, Ingo Ilja Stover, Heino Gerlach, Ralf; ID: 753</t>
  </si>
  <si>
    <t>Michels, Ingo Ilja. Office of the Federal Drug Commissioner, Federal Ministry of Health, Berlin, Germany. ingoiljamichels@gmail.com</t>
  </si>
  <si>
    <t>http://ovidsp.ovid.com/ovidweb.cgi?T=JS&amp;CSC=Y&amp;NEWS=N&amp;PAGE=fulltext&amp;D=prem&amp;AN=17270059</t>
  </si>
  <si>
    <t>MEDLINE; Ovid Technologies; Substitution treatment for opioid addicts in Germany</t>
  </si>
  <si>
    <t>Midmer,D.;Kahan,M.;Kim,T.;Ordean,A.;Graves,L.</t>
  </si>
  <si>
    <t>Efficacy of a physicians' pocket guide about prenatal substance use: a randomized trial</t>
  </si>
  <si>
    <t>Adult;Attitude of Health Personnel;Canada;*Family Practice/mt Methods];Female;Humans;Internship and Residency/mt Methods];Male;*Physicians/px Psychology];*Practice Guidelines as Topic;Pregnancy;Substance-Related Disorders/th Therapy]</t>
  </si>
  <si>
    <t>A pocket guide on management of substance use during pregnancy was developed by a group of Canadian care providers. One hundred and fifteen family medicine residents in 6 Canadian teaching sites were randomized to receive either the pocket guide or a paper summary on similar clinical topics, based on UpToDate, a comprehensive Web-based resource. At baseline, both groups completed a survey containing questions on beliefs, attitudes, experience, and training on pregnancy and substance use. Participants then answered 28 multiple choice questions about substance use in pregnancy, using either the pocket guide or UpToDate. Finally participants were asked to rate ease of use for the 2 resources. The results showed that the pocket guide group had higher knowledge scores than the UpToDate group overall and at each study site (61.27% vs. 42.86%, P &lt; .001). The residents found the pocket guide easier to use than UpToDate (mean = 2.73 vs. 4.36, P &lt; .001), and were more likely to want to use it again (96% for pocket card, 78% for UpToDate, P = .005). It is concluded that the pocket guide is a practical source of clinical information at point of care, particularly for "orphan" subjects such as substance use in pregnancy.</t>
  </si>
  <si>
    <t>J2: Subst Abus; Midmer, Deana Kahan, Meldon Kim, Theresa Ordean, Alice Graves, Lisa; ID: 474</t>
  </si>
  <si>
    <t>Midmer, Deana. Department of Family and Community Medicine, University of Toronto, Toronto, Ontario, Canada.</t>
  </si>
  <si>
    <t>http://ovidsp.ovid.com/ovidweb.cgi?T=JS&amp;CSC=Y&amp;NEWS=N&amp;PAGE=fulltext&amp;D=med7&amp;AN=22014247</t>
  </si>
  <si>
    <t>https://dx.doi.org/10.1080/08897077.2011.598399</t>
  </si>
  <si>
    <t>MEDLINE; Ovid Technologies; Efficacy of a physicians' pocket guide about prenatal substance use: a randomized trial</t>
  </si>
  <si>
    <t>Midmer,D.;Kahan,M.;Marlow,B.</t>
  </si>
  <si>
    <t>Effects of a distance learning program on physicians' opioid- and benzodiazepine-prescribing skills</t>
  </si>
  <si>
    <t>Adult;*Analgesics, Opioid/tu Therapeutic Use];Attitude of Health Personnel;*Benzodiazepines/tu Therapeutic Use];*Clinical Competence;*Drug Prescriptions;Education;*Education, Distance;Electronic Mail;Female;Humans;Male;Ontario;*Practice Patterns, Physicians';Program Evaluation;0 (Analgesics, Opioid);12794-10-4 (Benzodiazepines)</t>
  </si>
  <si>
    <t>INTRODUCTION: Opioid misuse is common among patients with chronic nonmalignant pain. There is a pressing need for physicians to increase their confidence and competence in managing these patients. METHODS: A randomized controlled trial of family physicians (N = 88) attending 1 of 4 continuing medical education events helped to determine the effectiveness of e-mail case discussions in changing physician behavior. Before random assignment, participants completed a pretest and attended a 3-hour didactic session on prescribing opioids and benzodiazepines. The intervention group participated in 10 weeks of e-mail case discussions, with designated participants responding to questions on cases. An addictions physician facilitated the discussion. Several months after the e-mail discussion, participants took part in a mock telephone consultation; a blinded researcher posing as a medical colleague asked for advice about 2 cases involving opioid and benzodiazepine prescribing. Using a checklist, the researcher recorded the questions asked and advice given by the physician. RESULTS: On post-testing, both groups expressed greater optimism about treatment outcomes and were more likely to report using a treatment contract and providing advice about sleep hygiene. There were no significant differences between pretesting and post-testing between the groups on the survey. During the telephone consultation, the intervention group asked significantly more questions and offered more advice than the control group (odds ratio for question items, 1.27 p = .03]; advice items, 1.33 p = .01). DISCUSSION: Facilitated by electronic mail and a medical expert, case discussion is an effective means of improving physician performance. Telephone consultation holds promise as a method for evaluating physicians' assessment and management skills.</t>
  </si>
  <si>
    <t>J2: J Contin Educ Health Prof; Midmer, Deana Kahan, Meldon Marlow, Bernard; ID: 785</t>
  </si>
  <si>
    <t>0894-1912</t>
  </si>
  <si>
    <t>Midmer, Deana. Faculty of Medicine, Department of Family and Community Medicine, University of Toronto, Toronto, Ontario. deana.midmer@utoronto.ca</t>
  </si>
  <si>
    <t>http://ovidsp.ovid.com/ovidweb.cgi?T=JS&amp;CSC=Y&amp;NEWS=N&amp;PAGE=fulltext&amp;D=med5&amp;AN=17163499</t>
  </si>
  <si>
    <t>MEDLINE; Ovid Technologies; Effects of a distance learning program on physicians' opioid- and benzodiazepine-prescribing skills</t>
  </si>
  <si>
    <t>Midmer,D.;Kahan,M.;Wilson,L.</t>
  </si>
  <si>
    <t>Medical students' experiences with addicted patients: a web-based survey</t>
  </si>
  <si>
    <t>*Behavior, Addictive/ep Epidemiology];*Education, Medical, Undergraduate;Humans;*Internet;*Patients/sn Statistics &amp; Numerical Data];*Physician-Patient Relations;*Students, Medical/sn Statistics &amp; Numerical Data];*Surveys and Questionnaires</t>
  </si>
  <si>
    <t>UNLABELLED: Project CREATE was an initiative to strengthen undergraduate medical education in addictions. As part of a needs assessment, forty-six medical students at Ontario's five medical schools completed a bi-weekly, interactive web-based survey about addiction-related learning events. In all, 704 unique events were recorded, for an average of 16.7 entries per student. The most commonly discussed topic was alcohol withdrawal and the complications of alcohol use. The most common learning venues were lectures and clinical encounters in the emergency department or hospital. The proportion of advice-related topics (e.g., advice to drinkers and smokers) to advice plus non-advice related topics (e.g., medical complications) was greater for outpatient and community settings than for acute care and didactic settings (ratio 1.29, chi sq 15.85, p &lt; 0.01). Students reacted strongly to the psychosocial impact of addictions on patients, yet they viewed addiction as a personal choice, not an illness. CONCLUSION: Medical students are not being trained to diagnose addiction or provide advice and counseling. Medical schools need to provide students with positive clinical experiences supervised by physicians experienced in addictions.</t>
  </si>
  <si>
    <t>J2: Subst Abus; Midmer, Deana Kahan, Meldon Wilson, Lynn; ID: 659</t>
  </si>
  <si>
    <t>Midmer, Deana. Department of Family and Community Medicine, University of Toronto, 12 Weatherell St, Toronto, ON, Canada.</t>
  </si>
  <si>
    <t>http://ovidsp.ovid.com/ovidweb.cgi?T=JS&amp;CSC=Y&amp;NEWS=N&amp;PAGE=fulltext&amp;D=med6&amp;AN=19042316</t>
  </si>
  <si>
    <t>https://dx.doi.org/10.1300/J465v29n01_04</t>
  </si>
  <si>
    <t>MEDLINE; Ovid Technologies; Medical students' experiences with addicted patients: a web-based survey</t>
  </si>
  <si>
    <t>Miller,N. S.;Gold,M. S.;Pottash,A. C.</t>
  </si>
  <si>
    <t>A 12-step treatment approach for marijuana (Cannabis) dependence</t>
  </si>
  <si>
    <t>Alcoholics Anonymous;Humans;Marijuana Abuse/px Psychology];*Marijuana Abuse/rh Rehabilitation];*Psychotherapy/mt Methods]</t>
  </si>
  <si>
    <t>Marijuana (Cannabis) dependence (addiction) is a disorder for which treatment is essential and relatively sophisticated. A basic assumption in the treatment model is that marijuana addiction involves pathological processes in the physical, mental (cognitive), and emotional (mood) states of the addicted individual. These pathological processes constitute a disease entity that is diagnosable, treatable, and has a predictable course. One approach for the treatment of marijuana addiction involves physicians, psychologists, counselors, and social workers who treat the disease of marijuana addiction. We present this approach to treatment of marijuana addiction as representative of a popular method but not as the only modality available. References: 70]</t>
  </si>
  <si>
    <t>J2: J Subst Abuse Treat; Miller, N S Gold, M S Pottash, A C; ID: 1371</t>
  </si>
  <si>
    <t>Miller, N S. New York Hospital/Cornell Medical Center, White Plains.</t>
  </si>
  <si>
    <t>http://ovidsp.ovid.com/ovidweb.cgi?T=JS&amp;CSC=Y&amp;NEWS=N&amp;PAGE=fulltext&amp;D=med3&amp;AN=2687482</t>
  </si>
  <si>
    <t>MEDLINE; Ovid Technologies; A 12-step treatment approach for marijuana (Cannabis) dependence</t>
  </si>
  <si>
    <t>Miller,N. S.;Sheppard,L. M.</t>
  </si>
  <si>
    <t>The role of the physician in addiction prevention and treatment</t>
  </si>
  <si>
    <t>Alcoholism/ec Economics];Alcoholism/pc Prevention &amp; Control];Cost-Benefit Analysis;Female;*Health Knowledge, Attitudes, Practice;Humans;Male;Medicine/td Trends];Patient Advocacy;*Physician's Role;Prevalence;Rehabilitation/ec Economics];Specialization;Substance-Related Disorders/di Diagnosis];Substance-Related Disorders/ec Economics];Substance-Related Disorders/ep Epidemiology];*Substance-Related Disorders/pc Prevention &amp; Control];United States/ep Epidemiology]</t>
  </si>
  <si>
    <t>With increasing pressure on general physicians by managed care organizations and the public to treat and advocate for drug and alcohol addicted patients, it is more necessary than ever that physicians have the knowledge and skills to appropriately address this segment of the population. Specifically, physicians need a better understanding of the prevalence of alcohol and drug dependence in a variety of populations, along with increased awareness of the economic impact of addictive illnesses on our society. Routine screening questions should be incorporated into patient encounters, and physicians should be able to identify environments that may pose a risk for the development of addiction. Physicians need training and practice in referring patients to treatment teams, monitoring patients in recovery, and providing interventions that will eliminate or reduce substance abuse before it becomes addiction. The treatment outcomes in abstinence-based programs, particularly those combined with referral to AA, have been encouraging, demonstrating that addiction is a treatable illness and not a character defect. In addition, several studies provide evidence that addiction treatment is cost-beneficial, resulting in reduced medical costs, lowered absenteeism, and increased productivity. Despite these encouraging results, there is still room for improvement. Treatment is not always effective, and it is not sufficiently available to everyone who needs it. Addicted individuals are both stigmatized and marginalized, and many are too ill to advocate for themselves. Widespread recognition in the medical community of addiction as a treatable illness will contribute to a greater understanding of addictive disorders and reduce the stigma attached to the diagnosis and treatment of addiction. For this to occur, better training for physicians in the recognition and management of addictive disorders, starting at the medical school level, is necessary. The approval of addiction medicine as a clinical specialty by the American Medical Association also has helped to advance the legitimacy of addiction as a treatable illness, and provides a focal point for the synthesis and integration of clinical, teaching, and research activities central to addiction medicine. The combination of knowledge, skills, and attitudes outlined in the article will go a long way toward increasing physicians' abilities to assist their patients with recovery from addiction.</t>
  </si>
  <si>
    <t>J2: Psychiatr Clin North Am; Miller, N S Sheppard, L M; ID: 1066</t>
  </si>
  <si>
    <t>Miller, N S. Department of Psychiatry, Michigan State University, East Lansing, USA. norman.miller@ht.msu.edu</t>
  </si>
  <si>
    <t>http://ovidsp.ovid.com/ovidweb.cgi?T=JS&amp;CSC=Y&amp;NEWS=N&amp;PAGE=fulltext&amp;D=medc&amp;AN=10385946</t>
  </si>
  <si>
    <t>MEDLINE; Ovid Technologies; The role of the physician in addiction prevention and treatment</t>
  </si>
  <si>
    <t>Miller,N. S.;Sheppard,L. M.;Colenda,C. C.;Magen,J.</t>
  </si>
  <si>
    <t>Why physicians are unprepared to treat patients who have alcohol- and drug-related disorders</t>
  </si>
  <si>
    <t>*Attitude of Health Personnel;*Clinical Competence/st Standards];*Curriculum/st Standards];*Education, Medical/st Standards];Faculty, Medical;Health Knowledge, Attitudes, Practice;Humans;*Needs Assessment/og Organization &amp; Administration];Organizational Innovation;Physician Executives/px Psychology];*Physicians, Family/ed Education];Physicians, Family/px Psychology];Schools, Medical/og Organization &amp; Administration];Substance-Related Disorders/co Complications];Substance-Related Disorders/di Diagnosis];Substance-Related Disorders/ep Epidemiology];*Substance-Related Disorders/th Therapy];Surveys and Questionnaires;United States/ep Epidemiology]</t>
  </si>
  <si>
    <t>Most primary care physicians do not feel competent to treat alcohol- and drug-related disorders. Physicians generally do not like to work with patients with these disorders and do not find treating them rewarding. Despite large numbers of such patients, the diagnosis and treatment of alcohol- and drug-related disorders are generally considered peripheral to or outside medical matters and ultimately outside medical education. There is substantial evidence that physicians fail even to identify a large percentage of patients with these disorders. Essential role models are lacking for future physicians to develop the attitudes and training they need to adequately approach addiction as a treatable medical illness. Faculty development programs in addictive disorders are needed to overcome the stigma, poor attitudes, and deficient skills among physicians who provide education and leadership for medical students and residents. The lack of parity with other medical disorders gives reimbursement and education for addiction disorders low priority. Medical students and physicians can also be consumers and patients with addiction problems. Their attitudes and abilities to learn about alcohol- and drug-related disorders are impaired without interventions. Curricula lack sufficient instruction and experiences in addiction medicine throughout all years of medical education. Programs that have successfully changed students' attitudes and skills for treatment of addicted patients continue to be exceptional and limited in focus rather than the general practice in U.S. medical schools. The authors review the findings of the literature on these problems, discuss the barriers to educational reform, and propose recommendations for developing an effective medical school curriculum about alcohol- and drug-related disorders. References: 57]</t>
  </si>
  <si>
    <t>J2: Acad Med; Miller, N S Sheppard, L M Colenda, C C Magen, J; ID: 1009</t>
  </si>
  <si>
    <t>Miller, N S. Department of Psychiatry, A-227 East Fee Hall, College of Human Medicine, Michigan State University, East Lansing, MI 48824, USA.</t>
  </si>
  <si>
    <t>http://ovidsp.ovid.com/ovidweb.cgi?T=JS&amp;CSC=Y&amp;NEWS=N&amp;PAGE=fulltext&amp;D=med4&amp;AN=11346513</t>
  </si>
  <si>
    <t>MEDLINE; Ovid Technologies; Why physicians are unprepared to treat patients who have alcohol- and drug-related disorders</t>
  </si>
  <si>
    <t>Milling,T. J.</t>
  </si>
  <si>
    <t>Drug and alcohol use in emergency medicine residency: an impaired resident's perspective</t>
  </si>
  <si>
    <t>Alcoholism/px Psychology];Alcoholism/rh Rehabilitation];*Alcoholism;Emergency Medicine/ed Education];*Emergency Medicine;Humans;*Internship and Residency;Male;Physician Impairment/px Psychology];*Physician Impairment;Substance-Related Disorders/px Psychology];Substance-Related Disorders/rh Rehabilitation];*Substance-Related Disorders;United States</t>
  </si>
  <si>
    <t>We share the personal experience of an impaired resident who successfully completed rehabilitation and is about to graduate from an emergency medicine program and perform a brief literature review on drug and alcohol abuse in emergency medicine residencies. Residents in general are less likely than their same-age peers to abuse drugs, but a significant minority starts using drugs during residency. Emergency medicine residents have higher rates of substance use than residents in other specialties and are more likely to report current use of cocaine and marijuana.</t>
  </si>
  <si>
    <t>J2: Ann Emerg Med; Milling, Truman John; ID: 862</t>
  </si>
  <si>
    <t>Milling, Truman John. Emergency Medicine, New York Methodist Hospital, Brooklyn, NY 11215, USA. tjmilling@yahoo.com</t>
  </si>
  <si>
    <t>http://ovidsp.ovid.com/ovidweb.cgi?T=JS&amp;CSC=Y&amp;NEWS=N&amp;PAGE=fulltext&amp;D=med5&amp;AN=16046944</t>
  </si>
  <si>
    <t>MEDLINE; Ovid Technologies; Drug and alcohol use in emergency medicine residency: an impaired resident's perspective</t>
  </si>
  <si>
    <t>Miotto,K.;Kaufman,A.;Kong,A.;Jun,G.;Schwartz,J.</t>
  </si>
  <si>
    <t>Managing co-occurring substance use and pain disorders</t>
  </si>
  <si>
    <t>Adolescent;Adult;*Analgesics, Non-Narcotic/ad Administration &amp; Dosage];Analgesics, Opioid/ad Administration &amp; Dosage];Analgesics, Opioid/ae Adverse Effects];*Analgesics, Opioid/tu Therapeutic Use];Child;Chronic Pain/co Complications];Chronic Pain/di Diagnosis];*Chronic Pain/dt Drug Therapy];Diagnostic and Statistical Manual of Mental Disorders;Drug Overdose;Humans;Interview, Psychological/mt Methods];Opioid-Related Disorders/co Complications];*Opioid-Related Disorders/di Diagnosis];Opioid-Related Disorders/dt Drug Therapy];*Practice Guidelines as Topic;Risk Factors;Self Medication/ae Adverse Effects];Somatoform Disorders/co Complications];Somatoform Disorders/di Diagnosis];Somatoform Disorders/dt Drug Therapy];Transdermal Patch;United States;0 (Analgesics, Non-Narcotic);0 (Analgesics, Opioid)</t>
  </si>
  <si>
    <t>The safest pain treatment strategy for an individual at risk or recovering from addiction is a nonopioid and benzodiazepine-free approach. If an opioid treatment is necessary, the extent of the risk can be stratified by the use of a biopsychosocial assessment and opioid screening tools. Individuals at high risk should have the greatest amount of structure and monitoring. A written informed consent and treatment agreement can provide a framework for the patient and the patient's family, as well as the clinician. The structure of treatment should specify only that one prescribing physician will write a limited supply of opioids, without refills, until the analgesic efficacy, adverse events, and goals for functional restoration can be assessed. An additional recommendation is that prescriptions should be filled at the same pharmacy with no refill by phone or opportunity for replacement because of loss, damage, or stolen medications. Additionally, random urine drug screens and PDMP reports obtained will help determine if the patient is taking other substances, as well as monitor the patient's medication use patterns. It is important to assess for risk factors in treating chronic pain with opioids; clinicians need to have a realistic appreciation of the resources available to them and the types of patients that can be managed in their practice. Chronic pain treatment with opioids should not be undertaken in patients who are currently addicted to illicit substances or alcohol. With the support of family and friends, ideally the patient can be motivated to participate in an intensive substance abuse treatment. In patients without an immediate risk, precautionary steps should be taken when prescribing opioids. Clinicians and patients need to review the risk factors for opioid-related problems including younger age, benzodiazepine use, and comorbid conditions such as depression, anxiety, and heavy smoking. Both the provider and the patient need a personal investment in the treatment plan and protocol to increase the safety of opioid treatment. New medications and treatment monitoring are being developed to provide maximal relief for the patient while protecting the public health. The optimal ingredients for safe opioid treatment include a strong provider-patient relationship and clinician training in the assessment and treatment of addiction and pain.</t>
  </si>
  <si>
    <t>J2: Psychiatr Clin North Am; Miotto, Karen Kaufman, Aaron Kong, Alexander Jun, Grace Schwartz, Jeffrey; ID: 438</t>
  </si>
  <si>
    <t>Miotto, Karen. Department of Psychiatry and Biobehavioral Sciences, University of California, Los Angeles, Los Angeles, CA 90095-1563, USA. kmiotto@mednet.ucla.edu</t>
  </si>
  <si>
    <t>http://ovidsp.ovid.com/ovidweb.cgi?T=JS&amp;CSC=Y&amp;NEWS=N&amp;PAGE=fulltext&amp;D=med7&amp;AN=22640762</t>
  </si>
  <si>
    <t>https://dx.doi.org/10.1016/j.psc.2012.03.006</t>
  </si>
  <si>
    <t>MEDLINE; Ovid Technologies; Managing co-occurring substance use and pain disorders</t>
  </si>
  <si>
    <t>Mitchell,J.;Brown,J. B.;Smith,C.</t>
  </si>
  <si>
    <t>Interprofessional education: a nurse practitioner impacts family medicine residents' smoking cessation counselling experiences</t>
  </si>
  <si>
    <t>Attitude of Health Personnel;Clinical Competence;*Directive Counseling;Educational Measurement;Educational Status;*Family Practice/ed Education];Health Knowledge, Attitudes, Practice;Humans;*Interdisciplinary Communication;*Internship and Residency/og Organization &amp; Administration];*Nurse Practitioners/ed Education];Ontario;*Patient Care Team/og Organization &amp; Administration];Qualitative Research;*Smoking Cessation</t>
  </si>
  <si>
    <t>This qualitative research paper describes a successful example of interprofessional education with family medicine residents (FMR) by a nurse practitioner (NP) colleague. The educational impact of the NP role in regard to smoking cessation counselling is revealed by the analysis of 16 semi-structured interviews using a phenomenological approach. The key themes depicted the NP as an educator and mentor, encourager and referral resource. Outcomes of improved knowledge, skills, and motivation towards providing smoking cessation counselling are described. This research provides some understanding of how professional students' learning and practice can be affected by a member of another profession through direct and indirect approaches. The experiences identified how interprofessional education and collaborative clinical practice can affect FMRs' attitudes, knowledge and behaviours. This learning can guide us in enhancing the quality of education provided to all health care professionals.</t>
  </si>
  <si>
    <t>J2: J Interprof Care; Mitchell, Joan Brown, Judith Belle Smith, Carrie; ID: 560</t>
  </si>
  <si>
    <t>1469-9567</t>
  </si>
  <si>
    <t>Mitchell, Joan. Byron Family Medical Centre, London, Ontario, Canada. Joan.Mitchell@lhsc.on.ca</t>
  </si>
  <si>
    <t>http://ovidsp.ovid.com/ovidweb.cgi?T=JS&amp;CSC=Y&amp;NEWS=N&amp;PAGE=fulltext&amp;D=med6&amp;AN=19242852</t>
  </si>
  <si>
    <t>https://dx.doi.org/10.1080/13561820802490941</t>
  </si>
  <si>
    <t>MEDLINE; Ovid Technologies; Interprofessional education: a nurse practitioner impacts family medicine residents' smoking cessation counselling experiences</t>
  </si>
  <si>
    <t>Mitchell,M. A.;Broyles,L. M.;Pringle,J. L.;Kraemer,K. L.;Childers,J. W.;Buranosky,R. A.;Gordon,A. J.</t>
  </si>
  <si>
    <t>Education for the mind and the heart? Changing residents' attitudes about addressing unhealthy alcohol use</t>
  </si>
  <si>
    <t>Adult;Alcoholism/di Diagnosis];*Alcoholism/pc Prevention &amp; Control];*Alcoholism/px Psychology];Alcoholism/th Therapy];Education, Medical, Graduate;Female;*Health Knowledge, Attitudes, Practice;Humans;*Internal Medicine/ed Education];*Internship and Residency;Male;Psychotherapy, Brief;Referral and Consultation;Young Adult</t>
  </si>
  <si>
    <t>BACKGROUND: Screening and brief intervention counseling for unhealthy alcohol use are among the top 10 recommended clinical preventive services for US adults. Although federally funded training programs in alcohol screening, brief intervention, and referral to treatment (SBIRT) have focused on increasing physicians' professional readiness to address drinking with their patients, programs typically focus on knowledge and skill acquisition, with less attention to attitudinal change. The purpose of this study was to assess the impact of a multicomponent SBIRT training program on changes in internal medical residents' professional readiness for working with patients with unhealthy alcohol use. METHODS: Between 2011 and 2013, first-year internal medicine residents (n = 80) at a large academic medical center participated in a 16-hour SBIRT training program, consisting of two 3-hour didactic sessions, online modules, and a half-day clinical experience, during the Ambulatory Care month of the residency training year. Residents completed a modified Alcohol and Problems Perceptions Questionnaire (AAPPQ) at the beginning and end of the residency year to assess changes in professional readiness to work with adults with unhealthy alcohol use across 6 domains: Role Adequacy, Role Legitimacy, Role Support, Motivation, Task-Specific Self-esteem, and Satisfaction. Wilcoxon signed-rank tests were used to evaluate changes in the 6 AAPPQ subscale scores over time. RESULTS: Residents reported significant increases in Role Adequacy (alcohol-related knowledge/skills; pre: 34 and post: 39.5; P &lt; .0001) and Role Support (professional support; pre: 16 and post: 18; P = .005) scores. No significant differences in the remaining AAPPQ subscales were detected. CONCLUSIONS: Residents in the SBIRT training program indicated improvements in knowledge, skills, and professional role support but not in motivation, task-specific self-esteem, or satisfaction for working with patients with unhealthy alcohol use. Explicit curricular attention to these domains may be required to facilitate SBIRT skills application and sustained practice change.</t>
  </si>
  <si>
    <t>J2: Subst Abus; Mitchell, Michael A Broyles, Lauren M Pringle, Janice L Kraemer, Kevin L Childers, Julie W Buranosky, Raquel A Gordon, Adam J; ID: 20</t>
  </si>
  <si>
    <t>Mitchell, Michael A. a Advanced Fellowship VA Interdisciplinary Addiction Program for Education and Research (VIPER), VA Pittsburgh Healthcare System , Department of Veterans Affairs , Pittsburgh , Pennsylvania , USA. Mitchell, Michael A. b Center for Health Equity Research and Promotion, VA Pittsburgh Healthcare System , Pittsburgh , Pennsylvania , USA. Broyles, Lauren M. b Center for Health Equity Research and Promotion, VA Pittsburgh Healthcare System , Pittsburgh , Pennsylvania , USA. Broyles, Lauren M. c VISN 4 Mental Illness Research, Education, and Clinical Center, VA Pittsburgh Healthcare System , Pittsburgh , Pennsylvania , USA. Broyles, Lauren M. d Division of General Internal Medicine, Department of Medicine , University of Pittsburgh School of Medicine , Pittsburgh , Pennsylvania , USA. Broyles, Lauren M. e Center for Research on Healthcare, University of Pittsburgh , Pittsburgh , Pennsylvania , USA. Pringle, Janice L. f Program Evaluation and Research Unit, University of Pittsburgh School of Pharmacy , Pittsburgh , Pennsylvania , USA. Kraemer, Kevin L. d Division of General Internal Medicine, Department of Medicine , University of Pittsburgh School of Medicine , Pittsburgh , Pennsylvania , USA. Kraemer, Kevin L. e Center for Research on Healthcare, University of Pittsburgh , Pittsburgh , Pennsylvania , USA. Childers, Julie W. d Division of General Internal Medicine, Department of Medicine , University of Pittsburgh School of Medicine , Pittsburgh , Pennsylvania , USA. Buranosky, Raquel A. d Division of General Internal Medicine, Department of Medicine , University of Pittsburgh School of Medicine , Pittsburgh , Pennsylvania , USA. Gordon, Adam J. a Advanced Fellowship VA Interdisciplinary Addiction Program for Education and Research (VIPER), VA Pittsburgh Healthcare System , Department of Veterans Affairs , Pittsburgh , Pennsylvania , USA. Gordon, Adam J. b Center for Health Equity Research and Promotion, VA Pittsburgh Healthcare System , Pit(TRUNCATED)</t>
  </si>
  <si>
    <t>http://ovidsp.ovid.com/ovidweb.cgi?T=JS&amp;CSC=Y&amp;NEWS=N&amp;PAGE=fulltext&amp;D=medl&amp;AN=27163655</t>
  </si>
  <si>
    <t>https://dx.doi.org/10.1080/08897077.2016.1185076</t>
  </si>
  <si>
    <t>MEDLINE; Ovid Technologies; Education for the mind and the heart? Changing residents' attitudes about addressing unhealthy alcohol use</t>
  </si>
  <si>
    <t>Mitka,M.</t>
  </si>
  <si>
    <t>Teachable moments provide a means for physicians to lower alcohol abuse</t>
  </si>
  <si>
    <t>*Alcohol Drinking/pc Prevention &amp; Control];*Alcoholism/pc Prevention &amp; Control];Humans;Mass Screening;*Physician's Role</t>
  </si>
  <si>
    <t>J2: Jama; Mitka, M; ID: 1109</t>
  </si>
  <si>
    <t>http://ovidsp.ovid.com/ovidweb.cgi?T=JS&amp;CSC=Y&amp;NEWS=N&amp;PAGE=fulltext&amp;D=med4&amp;AN=9628694</t>
  </si>
  <si>
    <t>MEDLINE; Ovid Technologies; "Teachable moments" provide a means for physicians to lower alcohol abuse</t>
  </si>
  <si>
    <t>Mizner,G. L.;Barter,J. T.;Werme,P. H.</t>
  </si>
  <si>
    <t>Patterns of drug use among college students: a preliminary report</t>
  </si>
  <si>
    <t>Adolescent;Adult;Age Factors;Amphetamine;Attitude;Colorado;Drug Utilization;Education, Continuing;Education, Medical;Education, Nursing;Emotions;Female;Humans;Legislation, Drug;Lysergic Acid Diethylamide;Male;Sex Factors;Statistics as Topic;Students;*Substance-Related Disorders;Universities;8NA5SWF92O (Lysergic Acid Diethylamide);CK833KGX7E (Amphetamine)</t>
  </si>
  <si>
    <t>J2: Am J Psychiatry; Mizner, G L Barter, J T Werme, P H; ID: 1613</t>
  </si>
  <si>
    <t>http://ovidsp.ovid.com/ovidweb.cgi?T=JS&amp;CSC=Y&amp;NEWS=N&amp;PAGE=fulltext&amp;D=med1&amp;AN=5426241</t>
  </si>
  <si>
    <t>MEDLINE; Ovid Technologies; Patterns of drug use among college students: a preliminary report</t>
  </si>
  <si>
    <t>Moaouad,J.;Kazour,F.;Haddad,R.;Rouhayem,J.;Chammai,R.;Richa,S.</t>
  </si>
  <si>
    <t>Chemical and behavioural addiction of medical students. Comparative study in Lebanese students]</t>
  </si>
  <si>
    <t>Encephale</t>
  </si>
  <si>
    <t>Adolescent;*Alcoholism/ep Epidemiology];*Alcoholism/eh Ethnology];Alcoholism/px Psychology];*Behavior, Addictive/ep Epidemiology];*Behavior, Addictive/eh Ethnology];Behavior, Addictive/px Psychology];Cross-Sectional Studies;Female;Gambling;Humans;Internet;Lebanon;Male;Schools, Medical/sn Statistics &amp; Numerical Data];Sex Factors;Stress, Psychological/co Complications];*Students, Medical/px Psychology];*Students, Medical/sn Statistics &amp; Numerical Data];*Substance-Related Disorders/ep Epidemiology];*Substance-Related Disorders/eh Ethnology];Substance-Related Disorders/px Psychology];Surveys and Questionnaires;Young Adult</t>
  </si>
  <si>
    <t>OBJECTIVE: Evaluate chemical and behavioural dependence of medical students, and compare it to a control group (students in non-medical faculties), in order to underline the harmful effect of university on medical students' dependence. METHODS: A three-part questionnaire was distributed to a sample of 140 medical students at the Saint-Joseph university of Beirut (USJ), and to 140 students in many other USJ faculties, and filled in anonymously. The first part is about demographic criteria and the second and third parts are respectively about chemical and behavioural dependence, based on DSM IV criteria. RESULTS: There is no statistically significant difference between the two studied populations concerning the dependence on alcohol, cannabis, sedatives, opiates, amphetamines, workaholism, gambling and Internet. However, the prevalence of addiction to caffeine, cocaine, nicotine; sexual addiction, and compulsive buying are significantly lower in medical students when compared to the control group. Men, compared to women, did not show significantly higher levels of dependence on chemical substances. Workaholism is not significantly more prevalent in women. Sexual addiction and compulsive buying are not significantly higher in men. However, pathological gambling and Internet addiction are significantly more prevalent in men. Finally, this study does not show a variation in dependence through the years of medical studies. DISCUSSION: Most studies show that medical students have high levels of dependence on alcohol, opiates and sedatives. The results of our study show greater dependence on caffeine followed by nicotine, alcohol and sedatives. Medical students in our population did not reveal higher dependence rates compared to other university students. Overall, substance addiction in medical students may be related to the stress of medical studies, and easy access to drugs and prescriptions. These factors may be balanced by perfectionist traits, ethical standards and knowledge of adverse effects seen in medical students resulting in more adjusted prevalence of addiction when compared to other university students. CONCLUSION: The prevalence of chemical and behavioural dependency of medical students is not higher than the other population.</t>
  </si>
  <si>
    <t>J2: Encephale; French Moaouad, J Kazour, F Haddad, R Rouhayem, J Chammai, R Richa, S S0013-7006(11)00235-1; OP: La dependance chimique et comportementale chez les etudiants en medecine; ID: 372</t>
  </si>
  <si>
    <t>0013-7006</t>
  </si>
  <si>
    <t>Moaouad, J. Hotel-Dieu de France, Achrafieh, Liban.</t>
  </si>
  <si>
    <t>http://ovidsp.ovid.com/ovidweb.cgi?T=JS&amp;CSC=Y&amp;NEWS=N&amp;PAGE=fulltext&amp;D=med7&amp;AN=23200612</t>
  </si>
  <si>
    <t>https://dx.doi.org/10.1016/j.encep.2011.12.010</t>
  </si>
  <si>
    <t>MEDLINE; Ovid Technologies; [Chemical and behavioural addiction of medical students. Comparative study in Lebanese students]</t>
  </si>
  <si>
    <t>Modlin,T.</t>
  </si>
  <si>
    <t>Physician, don't heal thyself!</t>
  </si>
  <si>
    <t>South African Medical Journal.Suid-Afrikaanse Tydskrif Vir Geneeskunde</t>
  </si>
  <si>
    <t>Education, Medical, Continuing/og Organization &amp; Administration];Health Knowledge, Attitudes, Practice;Humans;*Physician Impairment;Physicians/px Psychology];*Substance-Related Disorders</t>
  </si>
  <si>
    <t>J2: Samj, S; Modlin, T Comment on: S Afr Med J. 1999 Mar;89(3):201; PMID: 10226658; ID: 1054</t>
  </si>
  <si>
    <t>0256-9574</t>
  </si>
  <si>
    <t>http://ovidsp.ovid.com/ovidweb.cgi?T=JS&amp;CSC=Y&amp;NEWS=N&amp;PAGE=fulltext&amp;D=med4&amp;AN=10488351</t>
  </si>
  <si>
    <t>MEDLINE; Ovid Technologies; Physician, don't heal thyself!</t>
  </si>
  <si>
    <t>Molitor,J. A.</t>
  </si>
  <si>
    <t>A Great Gift</t>
  </si>
  <si>
    <t>*Alcoholism/px Psychology];Humans;*Internal Medicine/ed Education];Internship and Residency;Physician-Patient Relations;*Physicians/px Psychology]</t>
  </si>
  <si>
    <t>J2: Ann Intern Med; Molitor, Jerry A; ID: 31</t>
  </si>
  <si>
    <t>Molitor, Jerry A. From University of Minnesota, Minneapolis, Minnesota.</t>
  </si>
  <si>
    <t>http://ovidsp.ovid.com/ovidweb.cgi?T=JS&amp;CSC=Y&amp;NEWS=N&amp;PAGE=fulltext&amp;D=medl&amp;AN=28975330</t>
  </si>
  <si>
    <t>https://dx.doi.org/10.7326/M16-2739</t>
  </si>
  <si>
    <t>MEDLINE; Ovid Technologies; A Great Gift</t>
  </si>
  <si>
    <t>Moller,H. J.;Curtis,V. A.</t>
  </si>
  <si>
    <t>The bipolar spectrum: diagnostic and pharmacologic considerations</t>
  </si>
  <si>
    <t>S3</t>
  </si>
  <si>
    <t>Bipolar Disorder/cl Classification];*Bipolar Disorder/di Diagnosis];Bipolar Disorder/ep Epidemiology];*Bipolar Disorder/pp Physiopathology];Comorbidity;Diagnosis, Differential;Diagnostic and Statistical Manual of Mental Disorders;Follow-Up Studies;Humans;Models, Biological;Personality Disorders/co Complications];Personality Disorders/ep Epidemiology];Predictive Value of Tests;Psychiatric Status Rating Scales</t>
  </si>
  <si>
    <t>Bipolar disorder represents a clinically challenging, episodic, lifelong medical illness that is both disabling and dangerous to the patient and is associated with a high risk of suicide. The prognosis for bipolar patients is likely to worsen with delays in accurate diagnosis and treatment as time is allowed for more extensive complications and morbidity to accrue and for alcohol or other substance use comorbidity to complicate the course of the illness. Physicians face several challenges when diagnosing bipolar disorder, including overlapping symptomatology and comorbidity with other disorders, as well as the somewhat restrictive and categorical approach taken by the Diagnostic and Statistical Manual of Mental Disorders, Fourth Edition (DSM-IV) and the International Statistical Classification of Diseases, 10th Revision (ICD-10) diagnostic criteria. As a result, bipolar disorder is frequently unrecognized and misdiagnosed with considerable clinical and prognostic consequences for the patient. The accuracy of diagnosis of bipolar disorder could be improved through the introduction of a refined procedure for the identification and evaluation of a broader range of symptoms, and by careful attention to the presence of subthreshold symptomatology. A conceptual shift toward acceptance of a 'spectrum' model of bipolar disorder and the development of appropriate clinical diagnostic tools should assist physicians in differentiating bipolar disorder from other Axis I, Axis II, and personality disorders, as well as ensuring early diagnosis and therapeutic intervention. References: 31]</t>
  </si>
  <si>
    <t>J2: Expert rev; Moller, Hans-Jurgen Curtis, Vivienne A; ID: 826</t>
  </si>
  <si>
    <t>Moller, Hans-Jurgen. Psychiatric Department, University of Munich, Nussbaumstr 7, D-80336 Munich, Germany. hans-juergen.moeller@psy.med.uni-muenchen.de</t>
  </si>
  <si>
    <t>http://ovidsp.ovid.com/ovidweb.cgi?T=JS&amp;CSC=Y&amp;NEWS=N&amp;PAGE=fulltext&amp;D=med5&amp;AN=16279864</t>
  </si>
  <si>
    <t>MEDLINE; Ovid Technologies; The bipolar spectrum: diagnostic and pharmacologic considerations</t>
  </si>
  <si>
    <t>Monnat,S. M.;Rigg,K. K.</t>
  </si>
  <si>
    <t>NIHMS713683 Available on 03/01/17]; Examining Rural/Urban Differences in Prescription Opioid Misuse Among US Adolescents</t>
  </si>
  <si>
    <t>Journal of Rural Health</t>
  </si>
  <si>
    <t>Adolescent;Child;Female;Humans;Logistic Models;Male;*Opioid-Related Disorders/ep Epidemiology];Opioid-Related Disorders/px Psychology];Parent-Child Relations;Peer Group;*Prescription Drugs;Religion;*Residence Characteristics/sn Statistics &amp; Numerical Data];Risk Assessment;Risk Factors;*Rural Population/sn Statistics &amp; Numerical Data];Socioeconomic Factors;Substance-Related Disorders/ep Epidemiology];Substance-Related Disorders/px Psychology];United States;*Urban Population/sn Statistics &amp; Numerical Data];0 (Prescription Drugs)</t>
  </si>
  <si>
    <t>PURPOSE: This study examines differences in prescription opioid misuse (POM) among adolescents in rural, small urban, and large urban areas of the United States and identifies several individual, social, and community risk factors contributing to those differences. METHODS: We used nationally representative data from the 2011 and 2012 National Survey on Drug Use and Health and estimated binary logistic regression and formal mediation models to assess past-year POM among 32,036 adolescents aged 12-17. RESULTS: Among adolescents, 6.8% of rural, 6.0% of small urban, and 5.3% of large urban engaged in past-year POM. Net of multiple risk and protective factors, rural adolescents have 35% greater odds and small urban adolescents have 21% greater odds of past-year POM compared to large urban adolescents. The difference between rural and small urban adolescents was not significant. Criminal activity, lower perceived substance use risk, and greater use of emergency medical treatment partially contribute to higher odds among rural adolescents, but they are also partially buffered by less peer substance use, less illicit drug access, and stronger religious beliefs. CONCLUSIONS: Researchers, policy makers, and treatment providers must consider the complex array of individual, social, and community risk and protective factors to understand rural/urban differences in adolescent POM. Potential points of intervention to prevent POM in general and reduce rural disparities include early education about addiction risks, use of family drug courts to link criminal offenders to treatment, and access to nonemergency medical services to reduce rural residents' reliance on emergency departments where opioid prescribing is more likely.</t>
  </si>
  <si>
    <t>J2: J Rural Health; Monnat, Shannon M Rigg, Khary K; ID: 102</t>
  </si>
  <si>
    <t>1748-0361</t>
  </si>
  <si>
    <t>Monnat, Shannon M. Department of Agricultural Economics, Sociology, and Education and The Population Research Institute, The Pennsylvania State University, University Park, Pennsylvania. Rigg, Khary K. Department of Mental Health Law &amp; Policy, Louis de la Parte Florida Mental Health Institute, University of South Florida, Tampa, Florida.</t>
  </si>
  <si>
    <t>http://ovidsp.ovid.com/ovidweb.cgi?T=JS&amp;CSC=Y&amp;NEWS=N&amp;PAGE=fulltext&amp;D=med8&amp;AN=26344571</t>
  </si>
  <si>
    <t>https://dx.doi.org/10.1111/jrh.12141</t>
  </si>
  <si>
    <t>MEDLINE; Ovid Technologies; Examining Rural/Urban Differences in Prescription Opioid Misuse Among US Adolescents</t>
  </si>
  <si>
    <t>Monopolis,S.;Savage,C.</t>
  </si>
  <si>
    <t>Substance abuse, public health and the pediatrician</t>
  </si>
  <si>
    <t>Paediatrician</t>
  </si>
  <si>
    <t>Adolescent;Child;Family;Health Education;Humans;Marijuana Abuse/px Psychology];*Pediatrics;Physician's Role;*Physician-Patient Relations;Public Health;Substance-Related Disorders/pc Prevention &amp; Control];*Substance-Related Disorders/px Psychology];Substance-Related Disorders/rh Rehabilitation];Substance-Related Disorders/th Therapy]</t>
  </si>
  <si>
    <t>Substance abuse is a major public health problem affecting increasing numbers of children and adolescents. It is important to consider the various etiologic factors and the detrimental effects on individuals and social welfare. Intervention refers to early diagnosis, treatment, rehabilitation, and resocialization, as well as prevention, education, and alternatives. Its effectiveness depends on: the recognition of the problem as biopsychosocial; a humanistic/holistic approach; and collaboration of family, school, work, etc., with the physician and the patient. Training in substance abuse will prepare the pediatrician to meets his responsibilities as clinician, school consultant, family counselor, public health worker, and community educator.</t>
  </si>
  <si>
    <t>J2: Paediatrician; Monopolis, S Savage, C; ID: 1496</t>
  </si>
  <si>
    <t>http://ovidsp.ovid.com/ovidweb.cgi?T=JS&amp;CSC=Y&amp;NEWS=N&amp;PAGE=fulltext&amp;D=med2&amp;AN=6979025</t>
  </si>
  <si>
    <t>MEDLINE; Ovid Technologies; Substance abuse, public health and the pediatrician</t>
  </si>
  <si>
    <t>Montalto,N. J.;Ferry,L. H.;Stanhiser,T.</t>
  </si>
  <si>
    <t>Tobacco dependence curricula in undergraduate osteopathic medical education.Erratum appears in J Am Osteopath Assoc. 2004 Sep;104(9):368]</t>
  </si>
  <si>
    <t>Curriculum;*Education, Medical, Undergraduate/mt Methods];Humans;*Osteopathic Medicine/ed Education];*Smoking Cessation/mt Methods];*Tobacco Use Disorder</t>
  </si>
  <si>
    <t>CONTEXT: Tobacco use has been identified as the primary preventable cause of premature deaths and disability, yet results of a previous survey show that undergraduate allopathic medical schools do not adequately address this topic. OBJECTIVE: To assess the content and extent of tobacco education and intervention skills in osteopathic medical schools' curricula. DESIGN: A mailed survey with 19 questions similar to one used for allopathic medical schools. SETTING: Nineteen osteopathic medical schools. PARTICIPANTS: Responses were obtained from each associate dean for medical education or representative. MAIN OUTCOME MEASURES: Curriculum in seven basic science and six clinical science content areas (elective or required), hours of tobacco use intervention education, and resource materials used to design curricula. RESULTS: Average number of total content areas covered was 10.2 (6 +/- 1.6 basic science areas, 4.17 +/- 1.54 clinical areas) with a range of 2 to 13. Nine (47%) schools reported covering all seven basic science areas, and one school reported covering none. Eleven (64.7%) of seventeen schools reported less than 3 hours of training in tobacco dependence treatment techniques during all 4 years. Sixty percent of schools do not require clinical training in smoking cessation techniques. Thirty-six percent require clinical training in an artificial setting without patients. None of the schools require clinical training with live patients. The schools founded after 1920 covered an average of almost twice as many content areas as those founded before 1920 (11.1 vs 6.6; P = .018). CONCLUSIONS: Most US osteopathic medical school graduates are not being adequately educated to treat nicotine dependence as recommended by the National Cancer Institute expert panel and the Public Health Service Clinical Practice Guideline. Specifically, osteopathic medical education is deficient in clinical nicotine dependence treatment during the third and fourth years.</t>
  </si>
  <si>
    <t>J2: J Am Osteopath Assoc; Montalto, Norman J Ferry, Linda H Stanhiser, Tiffany Comment in: J Am Osteopath Assoc. 2005 Feb;105(2):52-3; author reply 53; PMID: 15784926 Comment in: J Am Osteopath Assoc. 2004 Aug;104(8):313; PMID: 15345698; ID: 890</t>
  </si>
  <si>
    <t>Montalto, Norman J. Western Virginia University, USA. nmontalto@hsc.wvu.edu</t>
  </si>
  <si>
    <t>http://ovidsp.ovid.com/ovidweb.cgi?T=JS&amp;CSC=Y&amp;NEWS=N&amp;PAGE=fulltext&amp;D=med5&amp;AN=15345701</t>
  </si>
  <si>
    <t>MEDLINE; Ovid Technologies; Tobacco dependence curricula in undergraduate osteopathic medical education.[Erratum appears in J Am Osteopath Assoc. 2004 Sep;104(9):368]</t>
  </si>
  <si>
    <t>Montalto,N. J.;Priester,T. S.</t>
  </si>
  <si>
    <t>Evidence base presented--and expanding--for investment in tobacco dependence curricula for osteopathic medical education</t>
  </si>
  <si>
    <t>*Curriculum;Education, Medical, Undergraduate;Evidence-Based Medicine;Female;Humans;Male;*Osteopathic Medicine/ed Education];Sensitivity and Specificity;Smoking Cessation;*Tobacco Use Disorder/pc Prevention &amp; Control]</t>
  </si>
  <si>
    <t>J2: J Am Osteopath Assoc; Montalto, Norman J Priester, Tiffany Stanhiser Comment on: J Am Osteopath Assoc. 2005 Feb;105(2):52-3; author reply 53; PMID: 15784926; ID: 849</t>
  </si>
  <si>
    <t>http://ovidsp.ovid.com/ovidweb.cgi?T=JS&amp;CSC=Y&amp;NEWS=N&amp;PAGE=fulltext&amp;D=med5&amp;AN=16239488</t>
  </si>
  <si>
    <t>MEDLINE; Ovid Technologies; Evidence base presented--and expanding--for investment in tobacco dependence curricula for osteopathic medical education</t>
  </si>
  <si>
    <t>Monteiro,K.;Dumenco,L.;Collins,S.;Bratberg,J.;MacDonnell,C.;Jacobson,A.;Dollase,R.;George,P.</t>
  </si>
  <si>
    <t>An interprofessional education workshop to develop health professional student opioid misuse knowledge, attitudes, and skills</t>
  </si>
  <si>
    <t>Mar - Apr</t>
  </si>
  <si>
    <t>S113</t>
  </si>
  <si>
    <t>S117</t>
  </si>
  <si>
    <t>Analgesics, Opioid/ae Adverse Effects];Clinical Competence;*Drug Overdose/dt Drug Therapy];Educational Measurement;*Health Knowledge, Attitudes, Practice;*Health Occupations/ed Education];Humans;Interdisciplinary Studies;Interprofessional Relations;Naloxone/ad Administration &amp; Dosage];Opioid-Related Disorders/co Complications];Opioid-Related Disorders/dt Drug Therapy];*Opioid-Related Disorders/ep Epidemiology];Rhode Island;Students, Health Occupations;0 (Analgesics, Opioid);36B82AMQ7N (Naloxone)</t>
  </si>
  <si>
    <t>OBJECTIVE: To implement and evaluate an interprofessional workshop focused on increasing student knowledge, skills, and attitudes toward opioid misuse. SETTING: The Warren Alpert Medical School of Brown University in Providence, Rhode Island, April 2016. PRACTICE DESCRIPTION: Health professional students from medicine, nursing, pharmacy, social work, and physical therapy participated in an interprofessional education workshop focused on opioid use disorder. PRACTICE INNOVATION: This workshop included 4 main components: a patient panel, a simulated standardized patient encounter, a paper-based case session focused on a homeless individual misusing opioids, and naloxone training. EVALUATION: Direct assessment included a pretest and a posttest adapted from the Opioid Overdose Knowledge Scale administered to medical students measuring knowledge of opioid overdose at baseline and at 12 weeks after the workshop. Indirect assessment included a satisfaction survey administered to medical, nursing, pharmacy, and social work students. RESULTS: Medical students scored a mean of 40.84 out of 54 (SD = 5.36) points at baseline (n = 120) and a mean of 47.94 out of 54 (SD = 3.20) points at 12-week follow-up (n = 72), demonstrating a significant increase in knowledge from pretest to posttest (P &lt;0.001). Student satisfaction data from medicine, nursing, pharmacy, social work, and physical therapy (n = 272) revealed a high degree of satisfaction regarding the overall quality of the training (4.47/5; SD = 0.75), quality of instruction (4.53/5; SD = 0.73), quality of training materials (4.46/5; SD = 0.77), the training experience (4.52/5; SD = 0.75), and the organization of the training (4.50/5; SD = 0.73). CONCLUSION: Our results demonstrate that an interprofessional education workshop focused exclusively on opioid misuse was well received with high levels of satisfaction among health professional students. Workshops such as these can be used in health professions curricula to simulate the complex issues surrounding substance use disorder and to highlight the importance of interprofessional teams.</t>
  </si>
  <si>
    <t>J2: J Am Pharm Assoc (2003); Monteiro, Kristina Dumenco, Luba Collins, Sally Bratberg, Jeffrey MacDonnell, Celia Jacobson, Anita Dollase, Richard George, Paul S1544-3191(16)31009-3; ID: 69</t>
  </si>
  <si>
    <t>http://ovidsp.ovid.com/ovidweb.cgi?T=JS&amp;CSC=Y&amp;NEWS=N&amp;PAGE=fulltext&amp;D=med8&amp;AN=28159503</t>
  </si>
  <si>
    <t>https://dx.doi.org/10.1016/j.japh.2016.12.069</t>
  </si>
  <si>
    <t>MEDLINE; Ovid Technologies; An interprofessional education workshop to develop health professional student opioid misuse knowledge, attitudes, and skills</t>
  </si>
  <si>
    <t>Montgomery,F. A.</t>
  </si>
  <si>
    <t>Alcohol education for family practice residents</t>
  </si>
  <si>
    <t>*Alcoholism;Education, Medical, Continuing;*Family Practice/ed Education];Humans;*Internship and Residency</t>
  </si>
  <si>
    <t>J2: J; Montgomery, F A; ID: 1488</t>
  </si>
  <si>
    <t>http://ovidsp.ovid.com/ovidweb.cgi?T=JS&amp;CSC=Y&amp;NEWS=N&amp;PAGE=fulltext&amp;D=med2&amp;AN=6822790</t>
  </si>
  <si>
    <t>MEDLINE; Ovid Technologies; Alcohol education for family practice residents</t>
  </si>
  <si>
    <t>Montner,P.;Bennett,G.;Brown,C.</t>
  </si>
  <si>
    <t>An evaluation of a smoking cessation training program for medical residents in an inner-city hospital</t>
  </si>
  <si>
    <t>Adult;*Education, Medical, Continuing;Evaluation Studies as Topic;Female;Hospitals, Municipal;Humans;*Internship and Residency;Male;New York City;*Smoking Cessation;Urban Population</t>
  </si>
  <si>
    <t>Thirty-four medical residents at a hospital serving a predominantly black inner-city area were trained to counsel their patients to quit smoking. They were tested before the training session and again 4 months later with questionnaires assessing smoking knowledge, attitude, and clinical practice. The training consisted of two 1-hour lectures, printed materials, and a 1.5-hour Objective Simulated Clinical Exam. Most of the residents were males (88.2%), in internal medicine (87.5%), under the age of 35 (79.4%), and foreign-born (76.5%). Asians (44.1%) comprised the largest racial group, followed by whites (29.4%) and blacks (20.6%). The impact of the training was assessed by comparing the pre- and posttests using paired Student's t tests. Overall score increased from 69.3 to 89.1 (P = .0001) out of a maximum of 131. Scores increased significantly for attitudes and beliefs (38 to 52; P = .0001), knowledge (5.3 to 6.6; P = .0001), and usual practices with smoking patients (25 to 30; P = .002). These data provide evidence that training increased the confidence, motivation, and reported practice of these residents in intervening with their patients, the majority of whom are black. This has special significance because physicians are least likely to advise black patients and those in lower socioeconomic groups to quit smoking. The demographic profile of our residents is characteristic of many inner-city hospitals.</t>
  </si>
  <si>
    <t>J2: J Natl Med Assoc; Montner, P Bennett, G Brown, C; ID: 1208</t>
  </si>
  <si>
    <t>Montner, P. VA Medical Center, New Mexico.</t>
  </si>
  <si>
    <t>http://ovidsp.ovid.com/ovidweb.cgi?T=JS&amp;CSC=Y&amp;NEWS=N&amp;PAGE=fulltext&amp;D=med3&amp;AN=7966429</t>
  </si>
  <si>
    <t>MEDLINE; Ovid Technologies; An evaluation of a smoking cessation training program for medical residents in an inner-city hospital</t>
  </si>
  <si>
    <t>Moore,R. A.</t>
  </si>
  <si>
    <t>Alcoholism: A Community and Medical Responsibility</t>
  </si>
  <si>
    <t>Medical times</t>
  </si>
  <si>
    <t>Med.Times</t>
  </si>
  <si>
    <t>*Alcoholism;*Health Education;Humans;*Residence Characteristics;*Social Behavior</t>
  </si>
  <si>
    <t>J2: Med Times; MOORE, R A; ID: 1162</t>
  </si>
  <si>
    <t>0025-7583</t>
  </si>
  <si>
    <t>http://ovidsp.ovid.com/ovidweb.cgi?T=JS&amp;CSC=Y&amp;NEWS=N&amp;PAGE=fulltext&amp;D=med1&amp;AN=14102960</t>
  </si>
  <si>
    <t>MEDLINE; Ovid Technologies; Alcoholism: A Community and Medical Responsibility</t>
  </si>
  <si>
    <t>Moore,R. D.;Bone,L. R.;Geller,G.;Mamon,J. A.;Stokes,E. J.;Levine,D. M.</t>
  </si>
  <si>
    <t>Prevalence, detection, and treatment of alcoholism in hospitalized patients</t>
  </si>
  <si>
    <t>Adult;Aged;Alcoholism/di Diagnosis];*Alcoholism/ep Epidemiology];Alcoholism/th Therapy];Education, Medical;Educational Status;Female;Hospital Departments;*Hospitalization;Humans;Male;Middle Aged;Smoking/ep Epidemiology];Socioeconomic Factors</t>
  </si>
  <si>
    <t>As part of an institution-wide program to enhance the education of physicians in diagnosing and treating alcohol dependence and abuse, a comprehensive survey was conducted in which all new admissions to the adult inpatient services of The Johns Hopkins Hospital were screened for alcoholism. The prevalence of screen-positive alcoholism, by department, was as follows: medicine (25%), psychiatry (30%), neurology (19%), obstetrics-gynecology (12.5%), and surgery (23%). Detection rates by the house staff and faculty physicians caring for those patients who screened positively were less than 25% in surgery and obstetrics-gynecology, between 25% and 50% in neurology and medicine, and greater than 50% in psychiatry. However, physicians were less likely to identify as alcoholic those patients with higher incomes, higher education, or private medical insurance; women; and those who denied heavy alcohol intake. Physician-instituted treatment rates for those patients diagnosed by the physician as having nonrecovered alcoholism were less than 50% in surgery and obstetrics-gynecology, between 50% and 75% in medicine and neurology, and 100% in psychiatry. The extent to which the physicians intervened while the patient was hospitalized correlated with the patient's reported change in alcohol use after discharge. Recommendations based on these data are being incorporated into the medical education curriculum.</t>
  </si>
  <si>
    <t>J2: Jama; Moore, R D Bone, L R Geller, G Mamon, J A Stokes, E J Levine, D M Comment in: JAMA. 1989 Aug 11;262(6):772; PMID: 2746828; ID: 1402</t>
  </si>
  <si>
    <t>Moore, R D. Department of Medicine, Johns Hopkins University School of Medicine, Baltimore, MD.</t>
  </si>
  <si>
    <t>http://ovidsp.ovid.com/ovidweb.cgi?T=JS&amp;CSC=Y&amp;NEWS=N&amp;PAGE=fulltext&amp;D=med3&amp;AN=2909780</t>
  </si>
  <si>
    <t>MEDLINE; Ovid Technologies; Prevalence, detection, and treatment of alcoholism in hospitalized patients</t>
  </si>
  <si>
    <t>Moore,R. D.;Malitz,F. E.</t>
  </si>
  <si>
    <t>Underdiagnosis of alcoholism by residents in an ambulatory medical practice</t>
  </si>
  <si>
    <t>Alcohol Drinking;*Alcoholism/di Diagnosis];Ambulatory Care;Female;Humans;Hypertension/di Diagnosis];*Internship and Residency;Liver Diseases/di Diagnosis];Male;Middle Aged</t>
  </si>
  <si>
    <t>Alcoholism is a widespread illness which in its early stages can be treated effectively. It is important, therefore, that medical residents be able to diagnose alcoholism prior to end-stage disease and organ damage. To assess the ability of residents to diagnose alcoholism, a survey was conducted of 95 patients from the ambulatory care internal medicine practice of the Johns Hopkins Hospital. The patients' alcohol consumption was measured by a self-report questionnaire, and the patients answered an alcoholism questionnaire, the responses to which have been shown to correlate with alcoholism. The questionnaire contains four questions, one each on cutting down on alcohol consumption, annoyance at criticism of alcohol consumption, guilty feelings about alcohol consumption, and use of alcohol early in the day. The answers to the questionnaire were compared with the residents' diagnoses of alcoholism on the medical record. Alcoholism was diagnosed by the residents in only 11 of the 20 patients (55 percent) who had given three or more yes answers on the alcoholism questionnaire and in only 14 of the 31 patients (45 percent) who had given two or more yes answers. (Yes answers indicate that patients suffer from alcoholism.) The residents' diagnosis of alcoholism correlated with signs of physical damage or dependence. These results demonstrate a moderate underdiagnosis of alcoholism by residents in the ambulatory care setting and suggest that diagnosing alcoholism in early stages of the disease should be made a part of the training curriculum.</t>
  </si>
  <si>
    <t>J2: J Med Educ; Moore, R D Malitz, F E; ID: 1454</t>
  </si>
  <si>
    <t>http://ovidsp.ovid.com/ovidweb.cgi?T=JS&amp;CSC=Y&amp;NEWS=N&amp;PAGE=fulltext&amp;D=med2&amp;AN=3941421</t>
  </si>
  <si>
    <t>MEDLINE; Ovid Technologies; Underdiagnosis of alcoholism by residents in an ambulatory medical practice</t>
  </si>
  <si>
    <t>Morgan,C. J.;Curran,H. V.;Independent Scientific,Committee on</t>
  </si>
  <si>
    <t>Ketamine use: a review</t>
  </si>
  <si>
    <t>Abdominal Pain/ci Chemically Induced];Acute Disease;Anesthetics, Dissociative/ae Adverse Effects];Anesthetics, Dissociative/pd Pharmacology];*Anesthetics, Dissociative/tu Therapeutic Use];Animals;Behavior, Addictive/ep Epidemiology];Behavior, Addictive/px Psychology];Child;Chronic Disease;Cognitive Dysfunction/ci Chemically Induced];*Cystitis/ci Chemically Induced];Educational Status;Humans;Ketamine/ae Adverse Effects];Ketamine/pd Pharmacology];*Ketamine/tu Therapeutic Use];Male;*Memory Disorders/ci Chemically Induced];Rats;Risk-Taking;Substance-Related Disorders/co Complications];*Substance-Related Disorders/ep Epidemiology];Substance-Related Disorders/px Psychology];Young Adult;0 (Anesthetics, Dissociative);690G0D6V8H (Ketamine)</t>
  </si>
  <si>
    <t>AIMS: Ketamine remains an important medicine in both specialist anaesthesia and aspects of pain management. At the same time, its use as a recreational drug has spread in many parts of the world during the past few years. There are now increasing concerns about the harmful physical and psychological consequences of repeated misuse of this drug. The aim of this review was to survey and integrate the research literature on physical, psychological and social harms of both acute and chronic ketamine use. METHOD: The literature on ketamine was systematically searched and findings were classified into the matrix of Nutt et al.'s (2007) rational scale for assessing the harms of psychoactive substances. RESULTS: A major physical harm is ketamine induced ulcerative cystitis which, although its aetiology is unclear, seems particularly associated with chronic, frequent use of the drug. Frequent, daily use is also associated with neurocognitive impairment and, most robustly, deficits in working and episodic memory. Recent studies suggest certain neurological abnormalities which may underpin these cognitive effects. Many frequent users are concerned about addiction and report trying but failing to stop using ketamine. CONCLUSIONS: The implications of these findings are drawn out for treatment of ketamine-induced ulcerative cystitis in which interventions from urologists and from addiction specialists should be coordinated. Neurocognitive impairment in frequent users can impact negatively upon achievement in education and at work, and also compound addiction problems. Prevention and harm minimization campaigns are needed to alert young people to these harmful and potentially chronic effects of ketamine.</t>
  </si>
  <si>
    <t>J2: Addiction; Morgan, Celia J A Curran, H Valerie Independent Scientific Committee on Drugs Comment in: Addiction. 2013 Aug;108(8):1515; PMID: 23714219 Comment in: Addiction. 2013 Aug;108(8):1515-6; PMID: 23714249; ID: 370</t>
  </si>
  <si>
    <t>Morgan, Celia J A. Clinical Psychopharmacology Unit, Clinical Health Psychology, University College London, London, UK.</t>
  </si>
  <si>
    <t>http://ovidsp.ovid.com/ovidweb.cgi?T=JS&amp;CSC=Y&amp;NEWS=N&amp;PAGE=fulltext&amp;D=med7&amp;AN=21777321</t>
  </si>
  <si>
    <t>https://dx.doi.org/10.1111/j.1360-0443.2011.03576.x</t>
  </si>
  <si>
    <t>MEDLINE; Ovid Technologies; Ketamine use: a review</t>
  </si>
  <si>
    <t>Morley-Forster,P.;Clark,A. J.;Speechley,M.;Moulin,D. E.</t>
  </si>
  <si>
    <t>Attitudes toward opioid use for chronic pain: a Canadian physician survey</t>
  </si>
  <si>
    <t>Pain Research &amp; Management</t>
  </si>
  <si>
    <t>*Analgesics, Opioid/tu Therapeutic Use];*Attitude of Health Personnel;Canada;Chronic Disease;Data Collection;Drug Prescriptions;Humans;Interviews as Topic;Opioid-Related Disorders/et Etiology];*Pain/dt Drug Therapy];Pain/px Psychology];Pain Measurement/mt Methods];Palliative Care;*Physicians;0 (Analgesics, Opioid)</t>
  </si>
  <si>
    <t>OBJECTIVES: To measure chronic pain patient volumes seen in primary care practice; to determine what medications physicians choose for the treatment of moderate to severe chronic pain; to identify barriers to the use of opioids in the treatment of chronic pain; and to assess physicians' attitudes toward the current management of chronic pain in Canada. DESIGN: A computer-assisted telephone survey of 100 regionally representative Canadian physicians with a defined interest in palliative care (PC, n=30) or noncancer pain (GP, n=70). SETTING: A survey was conducted by Ipsos-Reid in June 2001. Only physicians who met the eligibility criteria of having written 20 or more prescriptions for moderate to severe pain in the preceding four weeks or having devoted 20% of time to palliative care were eligible to participate. RESULTS: In one month, the average number of patients with moderate to severe chronic pain seen by PCs was 94.2; the average seen by GPs was 44.7. The pain experienced by 83.3% of GP patients was noncancer related. For chronic cancer pain, an opioid analgesic was the treatment of choice of 79% of physicians (48% preferred morphine, 21% codeine, 10% other). For moderate to severe chronic noncancer pain, opioids were the first-line treatment of only 32% of physicians (16% preferred codeine, 16% major opioids) because a significant number preferred either non-steroidal anti-inflammatory drugs (29%) or acetaminophen (16%). Thirty-five per cent of GPs and 23% of PCs would never use opioids for noncancer pain, even when described as severe. Chronic pain was deemed by 68% of physicians to be inadequately managed. Almost 60% thought that pain management could be enhanced by improved physician education. Identified barriers to opioid use included addiction potential (37%) and side effects (25%). Seventeen per cent of GPs and 10% of PCs thought that regulatory sanctions limited opioid prescribing. CONCLUSIONS: Even among physicians experienced in chronic pain treatment, there is a reluctance to use opioids for severe nonmalignant pain. One-half of the survey participants believed that there was a need for improved physician education in pain management, including the use of opioids.</t>
  </si>
  <si>
    <t>J2: Pain Res Manag; Morley-Forster, Patricia K Clark, Alexander J Speechley, Mark Moulin, Dwight E Comment in: Pain Res Manag. 2003 Winter;8(4):187-8; PMID: 14679411; ID: 914</t>
  </si>
  <si>
    <t>1203-6765</t>
  </si>
  <si>
    <t>Morley-Forster, Patricia K. University of Western Ontario Interdisciplinary Pain Program, St. Joseph's Health Care, London, Ontario, Canada. pat.morley-forster@sjhc.london.on.ca</t>
  </si>
  <si>
    <t>http://ovidsp.ovid.com/ovidweb.cgi?T=JS&amp;CSC=Y&amp;NEWS=N&amp;PAGE=fulltext&amp;D=med4&amp;AN=14679412</t>
  </si>
  <si>
    <t>MEDLINE; Ovid Technologies; Attitudes toward opioid use for chronic pain: a Canadian physician survey</t>
  </si>
  <si>
    <t>Morley-Forster,P.;Pergolizzi,J. V.;Taylor,R., J.;Axford-Gatley,R.;Sellers,E. M.</t>
  </si>
  <si>
    <t>Mitigating the risk of opioid abuse through a balanced undergraduate pain medicine curriculum</t>
  </si>
  <si>
    <t>Journal of pain research</t>
  </si>
  <si>
    <t>Chronic pain is highly prevalent in the United States and Canada, occurring in an estimated 30% of the adult population. Despite its high prevalence, US and Canadian medical schools provide very little training in pain management, including training in the safe and effective use of potent analgesics, most notably opioids. In 2005, the International Association for the Study of Pain published recommendations for a core undergraduate pain management curriculum, and several universities have implemented pilot programs based on this curriculum. However, when outcomes have been formally assessed, these initiatives have resulted in only modest improvements in physician knowledge about chronic pain and its treatment. This article discusses strategies to improve undergraduate pain management curricula and proposes areas in which those efforts can be augmented. Emphasis is placed on opioids, which have great potency as analgesics but also substantial risks in terms of adverse events and the risk of abuse and addiction. The authors conclude that the most important element of an undergraduate pain curriculum is clinical experience under mentors who are capable of reinforcing didactic learning by modeling best practices.</t>
  </si>
  <si>
    <t>J2: J Pain Res; Morley-Forster, Patricia K Pergolizzi, Joseph V Taylor, Robert Jr Axford-Gatley, Robert A Sellers, Edward M; ID: 298</t>
  </si>
  <si>
    <t>1178-7090</t>
  </si>
  <si>
    <t>Morley-Forster, Patricia K. Department of Anesthesia and Perioperative Medicine, University of Western Ontario, London, ON, Canada ; Outpatient Pain Clinic, St Joseph's Hospital, London, ON, Canada. Pergolizzi, Joseph V. Department of Medicine, Johns Hopkins University School of Medicine, Baltimore, MD, USA ; Department of Pharmacology, Temple University School of Medicine, Philadelphia, PA, USA ; NEMA Research Inc, Naples, FL, USA. Taylor, Robert Jr. NEMA Research Inc, Naples, FL, USA. Axford-Gatley, Robert A. Clinical Content and Editorial Services, Complete Healthcare Communications, Inc, Chadds Ford, PA, USA. Sellers, Edward M. DL Global Partners Inc, Toronto, ON, Canada.</t>
  </si>
  <si>
    <t>http://ovidsp.ovid.com/ovidweb.cgi?T=JS&amp;CSC=Y&amp;NEWS=N&amp;PAGE=fulltext&amp;D=prem&amp;AN=24353438</t>
  </si>
  <si>
    <t>https://dx.doi.org/10.2147/JPR.S47192</t>
  </si>
  <si>
    <t>MEDLINE; Ovid Technologies; Mitigating the risk of opioid abuse through a balanced undergraduate pain medicine curriculum</t>
  </si>
  <si>
    <t>Morrison,D. M.;Spencer,M. S.;Gillmore,M. R.</t>
  </si>
  <si>
    <t>Source: PIP. 132528 Source: POP. 00276346; Beliefs about substance use among pregnant and parenting adolescents</t>
  </si>
  <si>
    <t>Journal of Research on Adolescence</t>
  </si>
  <si>
    <t>J.Res.Adolesc.</t>
  </si>
  <si>
    <t>*Adolescent;Age Factors;*Alcohol Drinking;Americas;*Attitude;Behavior;Demography;Developed Countries;Family Characteristics;Family Relations;Fertility;*Mothers;North America;Parents;*Perception;Population;Population Characteristics;Population Dynamics;*Pregnancy in Adolescence;*Prevalence;*Prospective Studies;Psychology;Research;Research Design;Sexual Behavior;*Smoking;Social Problems;*Substance-Related Disorders;*Time Factors;United States</t>
  </si>
  <si>
    <t>J2: J Res Adolesc; Morrison, D M Spencer, M S Gillmore, M R; ID: 1105</t>
  </si>
  <si>
    <t>1050-8392</t>
  </si>
  <si>
    <t>http://ovidsp.ovid.com/ovidweb.cgi?T=JS&amp;CSC=Y&amp;NEWS=N&amp;PAGE=fulltext&amp;D=med4&amp;AN=12293637</t>
  </si>
  <si>
    <t>MEDLINE; Ovid Technologies; Beliefs about substance use among pregnant and parenting adolescents</t>
  </si>
  <si>
    <t>Morris-Williams,Z.;Monrouxe,L.;Grant,A.;Edwards,A.</t>
  </si>
  <si>
    <t>Teaching postgraduates about managing drug and alcohol misuse</t>
  </si>
  <si>
    <t>e5816</t>
  </si>
  <si>
    <t>Alcoholism/di Diagnosis];*Alcoholism/th Therapy];Attitude of Health Personnel;*Education, Medical, Graduate;Humans;Substance-Related Disorders/di Diagnosis];*Substance-Related Disorders/th Therapy];Teaching</t>
  </si>
  <si>
    <t>J2: Bmj; Morris-Williams, Zoe Monrouxe, Lynn Grant, Andrew Edwards, Adrian bmj.e5816; ID: 408</t>
  </si>
  <si>
    <t>http://ovidsp.ovid.com/ovidweb.cgi?T=JS&amp;CSC=Y&amp;NEWS=N&amp;PAGE=fulltext&amp;D=med7&amp;AN=22951547</t>
  </si>
  <si>
    <t>https://dx.doi.org/10.1136/bmj.e5816</t>
  </si>
  <si>
    <t>MEDLINE; Ovid Technologies; Teaching postgraduates about managing drug and alcohol misuse</t>
  </si>
  <si>
    <t>Morse,B. A.;Idelson,R. K.;Sachs,W. H.;Weiner,L.;Kaplan,L. C.</t>
  </si>
  <si>
    <t>Pediatricians' perspectives on fetal alcohol syndrome</t>
  </si>
  <si>
    <t>*Attitude of Health Personnel;*Education, Medical, Continuing;Female;*Fetal Alcohol Spectrum Disorders/di Diagnosis];Fetal Alcohol Spectrum Disorders/pc Prevention &amp; Control];Humans;Infant, Newborn;Massachusetts;*Pediatrics/ed Education];Physician-Patient Relations;Pregnancy</t>
  </si>
  <si>
    <t>Since the identification of fetal alcohol syndrome (FAS) in 1973, significant inroads have been made towards understanding the effects of alcohol on fetal development. However, it is not clear if these findings are considered clinically relevant by pediatricians. This survey was designed to assess clinical knowledge, practice, and attitudes concerning alcohol-related birth defects. Data were collected in a questionnaire that was mailed to 234 randomly selected Massachusetts pediatricians. Responses suggest that a substantial proportion of pediatricians have knowledge about the effects of alcohol on pregnancy. However, many considered themselves unprepared to deal with this topic. More physicians suspected FAS/FAE than made the diagnosis. Almost three fourths reported they would find professional education in this area helpful. Broader dissemination of research findings in clinically relevant formats and improving the sense of preparedness among pediatricians have the potential to improve the care of children born to heavily drinking pregnant women.</t>
  </si>
  <si>
    <t>J2: J Subst Abuse; Morse, B A Idelson, R K Sachs, W H Weiner, L Kaplan, L C; ID: 1275</t>
  </si>
  <si>
    <t>Morse, B A. Boston University School of Medicine, MA.</t>
  </si>
  <si>
    <t>http://ovidsp.ovid.com/ovidweb.cgi?T=JS&amp;CSC=Y&amp;NEWS=N&amp;PAGE=fulltext&amp;D=med3&amp;AN=1504642</t>
  </si>
  <si>
    <t>MEDLINE; Ovid Technologies; Pediatricians' perspectives on fetal alcohol syndrome</t>
  </si>
  <si>
    <t>Moulton,E. A.;McMain,S. S.</t>
  </si>
  <si>
    <t>An iceberg in Springfield: using the humanities to explore and challenge the attitudes of general practice (GP) educators towards the management of GP registrars with substance abuse problems</t>
  </si>
  <si>
    <t>Attitude of Health Personnel;Education, Medical/mt Methods];Faculty;Humanities/ed Education];Humans;*Medical Staff, Hospital/px Psychology];*Students, Medical/px Psychology];*Substance-Related Disorders/di Diagnosis]</t>
  </si>
  <si>
    <t>INTRODUCTION: Some general practice registrars (GPRs) have substance abuse problems, and course organisers and trainers need to be vigilant to this possibility. We describe a critical incident involving this type of problem, and how the learning was shared with other GP educators. By using the humanities, we attempted to generate an emotional as well as an intellectual response, with the aim of achieving deeper learning. METHODS: We gave a presentation to a group of GP educators, using a variety of material from the creative arts (visual, auditory and creative writing) to raise awareness of the issues. The presentation was designed to enable participants to experience some of the feelings of surprise and lack of preparedness that we had experienced ourselves. RESULTS: The presentation stimulated an in-depth discussion about the challenges faced by educators when they discover that their learners may have substance abuse problems. Early and late evaluation indicated that awareness of the problem had been raised and attitudes challenged and changed. Participation in the presentation had stimulated educators to consider including this area within their teaching, to be more vigilant to the possibility of registrars with substance abuse problems and to think about developing systems to manage such registrars. CONCLUSION: Diverse educational methods can be effective when teaching within difficult and complex areas that challenge attitudes.</t>
  </si>
  <si>
    <t>J2: Med Educ; Moulton, E A McMain, S S; ID: 913</t>
  </si>
  <si>
    <t>Moulton, E A. St James University Hospital, Leeds LS9 7TF, UK. drlizmoulton@hotmail.com</t>
  </si>
  <si>
    <t>http://ovidsp.ovid.com/ovidweb.cgi?T=JS&amp;CSC=Y&amp;NEWS=N&amp;PAGE=fulltext&amp;D=med5&amp;AN=14871392</t>
  </si>
  <si>
    <t>MEDLINE; Ovid Technologies; An iceberg in Springfield: using the humanities to explore and challenge the attitudes of general practice (GP) educators towards the management of GP registrars with substance abuse problems</t>
  </si>
  <si>
    <t>Muench,J.;Jarvis,K.;Boverman,J.;Hardman,J.;Hayes,M.;Winkle,J.</t>
  </si>
  <si>
    <t>Tilling the soil while sowing the seeds: combining resident education with medical home transformation</t>
  </si>
  <si>
    <t>*Clinical Competence;Curriculum/st Standards];Electronic Health Records;*Family Practice/ed Education];Humans;*Internship and Residency/mt Methods];Oregon;*Patient-Centered Care/mt Methods];Primary Health Care/mt Methods];Program Development;*Psychotherapy, Brief/ed Education];*Referral and Consultation;*Substance Abuse Detection;*Substance-Related Disorders</t>
  </si>
  <si>
    <t>In order to successfully integrate screening, brief intervention, and referral to treatment (SBIRT) into primary care, education of clinicians must be paired with sustainable transformation of the clinical settings in which they practice. The SBIRT Oregon project adopted this strategy in an effort to fully integrate SBIRT into 7 primary care residency clinics. Residents were trained to assess and intervene in their patients' unhealthy substance use, whereas clinic staff personnel were trained to carry out a multistep screening process. Electronic medical record tools were created to further integrate and track SBIRT processes. This article describes how a resident training curriculum complemented and was informed by the transformation of workflow processes within the residents' home clinics.</t>
  </si>
  <si>
    <t>J2: Subst Abus; Muench, John Jarvis, Kelly Boverman, Josh Hardman, Joseph Hayes, Meg Winkle, Jim; ID: 416</t>
  </si>
  <si>
    <t>Muench, John. Department of Family Medicine, Oregon Health and Science University, Portland, Oregon 97239, USA. muenchj@ohsu.edu</t>
  </si>
  <si>
    <t>http://ovidsp.ovid.com/ovidweb.cgi?T=JS&amp;CSC=Y&amp;NEWS=N&amp;PAGE=fulltext&amp;D=med7&amp;AN=22738006</t>
  </si>
  <si>
    <t>https://dx.doi.org/10.1080/08897077.2011.640088</t>
  </si>
  <si>
    <t>MEDLINE; Ovid Technologies; Tilling the soil while sowing the seeds: combining resident education with medical home transformation</t>
  </si>
  <si>
    <t>Mulry,J. T.;Brewer,M. L.;Spencer,D. L.</t>
  </si>
  <si>
    <t>The effect of an inpatient chemical dependency rotation on residents' clinical behavior</t>
  </si>
  <si>
    <t>*Alcoholism;*Clinical Competence;*Family Practice/ed Education];Humans;*Internship and Residency;Medical Audit;*Substance-Related Disorders</t>
  </si>
  <si>
    <t>The effect of a rotation in a chemical dependency unit on subsequent resident diagnoses in the family practice clinic was investigated by clinic audit. A significant increase in diagnoses of alcoholism (56 vs. 18, P less than .05) and chemical dependency (114 vs. 49, P less than .001) was found in the year following initiation of the rotation. An inpatient rotation immediately increases resident recognition of addictive illness in the model clinic.</t>
  </si>
  <si>
    <t>J2: Fam Med; Mulry, J T Brewer, M L Spencer, D L; ID: 1430</t>
  </si>
  <si>
    <t>http://ovidsp.ovid.com/ovidweb.cgi?T=JS&amp;CSC=Y&amp;NEWS=N&amp;PAGE=fulltext&amp;D=med2&amp;AN=3622974</t>
  </si>
  <si>
    <t>MEDLINE; Ovid Technologies; The effect of an inpatient chemical dependency rotation on residents' clinical behavior</t>
  </si>
  <si>
    <t>Mundon,C. R.;Anderson,M. L.;Najavits,L. M.</t>
  </si>
  <si>
    <t>NIHMS747387; Attitudes toward Substance Abuse Clients: An Empirical Study of Clinical Psychology Trainees</t>
  </si>
  <si>
    <t>Adult;*Attitude of Health Personnel;Education, Medical, Graduate;Female;Humans;Male;Middle Aged;*Psychology, Clinical;*Substance-Related Disorders;Young Adult</t>
  </si>
  <si>
    <t>Despite the high prevalence of substance use disorder (SUD) and its frequent comorbidity with mental illness, individuals with SUD are less likely to receive effective SUD treatment from mental health practitioners than SUD counselors. Limited competence and interest in treating this clinical population are likely influenced by a lack of formal training in SUD treatment. Using a factorial survey-vignette design that included three clinical vignettes and a supplementary survey instrument, we investigated whether clinical psychology doctoral students differ in their level of negative emotional reactions toward clients with SUD versus major depressive disorder (MDD); whether they differ in their attributions for SUD versus MDD; and how their negative emotional reactions and attributions impact their interest in pursuing SUD clinical work. Participants were 155 clinical psychology graduate-level doctoral students (72% female). Participants endorsed more negative emotional reactions toward clients with SUD than toward clients with MDD. They were also more likely to identify poor willpower as the cause for SUD than for MDD. More than a third reported interest in working with SUD populations. Highest levels of interest were associated with prior professional and personal experience with SUD, four to six years of clinical experience, and postmodern theoretical orientation.</t>
  </si>
  <si>
    <t>J2: J Psychoactive Drugs; Mundon, Chandra R Anderson, Melissa L Najavits, Lisa M; ID: 199</t>
  </si>
  <si>
    <t>Mundon, Chandra R. a Senior Staff Psychologist , University of Oregon Counseling Center , Eugene , OR. Anderson, Melissa L. b Psychologist and Clinical Researcher, Assistant Professor of Psychiatry , University of Massachusetts Medical School , Worcester , MA. Najavits, Lisa M. c Clinical Psychologist, VA Boston Healthcare System, and Professor of Psychiatry , Boston University School of Medicine , Boston , MA.</t>
  </si>
  <si>
    <t>http://ovidsp.ovid.com/ovidweb.cgi?T=JS&amp;CSC=Y&amp;NEWS=N&amp;PAGE=fulltext&amp;D=med8&amp;AN=26375324</t>
  </si>
  <si>
    <t>https://dx.doi.org/10.1080/02791072.2015.1076090</t>
  </si>
  <si>
    <t>MEDLINE; Ovid Technologies; Attitudes toward Substance Abuse Clients: An Empirical Study of Clinical Psychology Trainees</t>
  </si>
  <si>
    <t>Muramoto,M. L.;Gordon,J. S.;Bell,M. L.;Nichter,M.;Floden,L.;Howerter,A.;Ritenbaugh,C. K.</t>
  </si>
  <si>
    <t>Tobacco Cessation Training for Complementary and Alternative Medicine Practitioners: Results of a Practice-Based Trial</t>
  </si>
  <si>
    <t>e35</t>
  </si>
  <si>
    <t>e44</t>
  </si>
  <si>
    <t>Arizona;*Complementary Therapies;*Education, Continuing;Female;*Health Personnel/ed Education];Humans;Male;Practice Guidelines as Topic;Surveys and Questionnaires;*Tobacco Use Cessation/mt Methods]</t>
  </si>
  <si>
    <t>INTRODUCTION: Brief behavioral intervention (BI) is a tobacco-cessation best practice well established among conventional healthcare practitioners. Complementary and alternative medicine (CAM) practitioners treat significant numbers of tobacco users, but do not systematically receive BI training. The CAM Reach study developed and evaluated a tobacco cessation BI training program/practice system intervention adapted specifically for CAM practitioners, and evaluated in real-world CAM practices. STUDY DESIGN: Single-arm intervention. Data were collected in 2010-2014 and analyzed in 2015. SETTING/PARTICIPANTS: Private practices of 30 chiropractors, 27 acupuncturists, 42 massage therapists (N=99), in metropolitan Tucson, Arizona. INTERVENTION: Eight-hour tobacco cessation BI continuing education workshop, in-office BI skills practice/assessment, and system intervention. Training tailored to the CAM practice setting addressed tobacco cessation best practices from the U.S. Public Health Service Guidelines. MAIN OUTCOME MEASURES: Seventeen items (assessing practitioner behavior, motivation, and self-efficacy with tobacco cessation) comprising three factors, Tobacco Cessation Activity, Tobacco Cessation Motivation, and Non-CAM Tobacco Cessation Comfort, were assessed at baseline and 3, 6, 9, and 12 months post-training by practitioner self-report. Research staff visited practices at approximately the same intervals to directly observe changes in clinical practice systems. RESULTS: At 3 months, there were significant increases in practitioners' tobacco cessation activities, motivation and confidence in helping patients quit tobacco, and comfort with providing information and referrals for guideline-based tobacco cessation aids (p&lt;0.0001). Practitioners significantly increased rates of discussing cessation medications with patients (AOR=3.76, 95% CI=1.84, 7.68), and routinely asking about tobacco use in clinical practice (AOR=2.62, 95% CI=1.11, 6.20). Increases occurred across all three practitioner types and were sustained at 12 months-despite heterogeneity in professional training, practice patterns/organization, and practice business models. CONCLUSIONS: Results suggest CAM practitioners are willing and able to offer BIs, and are an important, yet overlooked channel for promoting tobacco cessation and use of evidence-based cessation aids.</t>
  </si>
  <si>
    <t>J2: Am J Prev Med; Muramoto, Myra L Gordon, Judith S Bell, Melanie L Nichter, Mark Floden, Lysbeth Howerter, Amy Ritenbaugh, Cheryl K S0749-3797(16)00097-0; ID: 28</t>
  </si>
  <si>
    <t>Muramoto, Myra L. Department of Family and Community Medicine, College of Medicine, University of Arizona, Tucson, Arizona. Electronic address: myram@email.arizona.edu. Gordon, Judith S. Department of Family and Community Medicine, College of Medicine, University of Arizona, Tucson, Arizona. Bell, Melanie L. Department of Epidemiology and Biostatistics, Mel and Enid Zuckerman College of Public Health, University of Arizona, Tucson, Arizona. Nichter, Mark. Department of Family and Community Medicine, College of Medicine, University of Arizona, Tucson, Arizona; School of Anthropology, College of Social and Behavioral Sciences, University of Arizona, Tucson, Arizona. Floden, Lysbeth. Department of Family and Community Medicine, College of Medicine, University of Arizona, Tucson, Arizona. Howerter, Amy. Department of Family and Community Medicine, College of Medicine, University of Arizona, Tucson, Arizona. Ritenbaugh, Cheryl K. Department of Family and Community Medicine, College of Medicine, University of Arizona, Tucson, Arizona.</t>
  </si>
  <si>
    <t>http://ovidsp.ovid.com/ovidweb.cgi?T=JS&amp;CSC=Y&amp;NEWS=N&amp;PAGE=fulltext&amp;D=medl&amp;AN=27061892</t>
  </si>
  <si>
    <t>https://dx.doi.org/10.1016/j.amepre.2016.02.017</t>
  </si>
  <si>
    <t>MEDLINE; Ovid Technologies; Tobacco Cessation Training for Complementary and Alternative Medicine Practitioners: Results of a Practice-Based Trial</t>
  </si>
  <si>
    <t>Muramoto,M. L.;Howerter,A.;Eaves,E. R.;Hall,J. R.;Buller,D. B.;Gordon,J. S.</t>
  </si>
  <si>
    <t>Online Tobacco Cessation Training and Competency Assessment for Complementary and Alternative Medicine (CAM) Practitioners: Protocol for the CAM Reach Web Study</t>
  </si>
  <si>
    <t>JMIR Research Protocols</t>
  </si>
  <si>
    <t>e2</t>
  </si>
  <si>
    <t>BACKGROUND: Complementary and alternative medicine (CAM) practitioners, such as chiropractors, acupuncturists, and massage therapists, are a growing presence in the US health care landscape and already provide health and wellness care to significant numbers of patients who use tobacco. For decades, conventional biomedical practitioners have received training to provide evidence-based tobacco cessation brief interventions (BIs) and referrals to cessation services as part of routine clinical care, whereas CAM practitioners have been largely overlooked for BI training. Web-based training has clear potential to meet large-scale training dissemination needs. However, despite the exploding use of Web-based training for health professionals, Web-based evaluation of clinical skills competency remains underdeveloped. OBJECTIVE: In pursuit of a long-term goal of helping CAM practitioners integrate evidence-based practices from US Public Health Service Tobacco Dependence Treatment Guideline into routine clinical care, this pilot protocol aims to develop and test a Web-based tobacco cessation training program tailored for CAM practitioners. METHODS: In preparation for a larger trial to examine the effect of training on CAM practitioner clinical practice behaviors around tobacco cessation, this developmental study will (1) adapt an existing in-person tobacco cessation BI training program that is specifically tailored for CAM therapists for delivery via the Internet; (2) develop a novel, Web-based tool to assess CAM practitioner competence in tobacco cessation BI skills, and conduct a pilot validation study comparing the competency assessment tool to live video role plays with a standardized patient; (3) pilot test the Web-based training with 120 CAM practitioners (40 acupuncturists, 40 chiropractors, 40 massage therapists) for usability, accessibility, acceptability, and effects on practitioner knowledge, self-efficacy, and competency with tobacco cessation; and (4) conduct qualitative and quantitative formative research on factors influencing practitioner tobacco cessation clinical behaviors (eg, practice environment, peer social influence, and insurance reimbursement). RESULTS: Web-training and competency assessment tool development and study enrollment and training activities are complete (N=203 practitioners enrolled). Training completion rates were lower than expected (36.9%, 75/203), necessitating over enrollment to ensure a sufficient number of training completers. Follow-up data collection is in progress. Data analysis will begin immediately after data collection is complete. CONCLUSIONS: To realize CAM practitioners' potential to promote tobacco cessation and use of evidence-based treatments, there is a need to know more about the facilitative and inhibitory factors influencing CAM practitioner tobacco intervention behaviors (eg, social influence and insurance reimbursement). Given marked differences between conventional and CAM practitioners, extant knowledge about factors influencing conventional practitioner adoption of tobacco cessation behaviors cannot be confidently extrapolated to CAM practitioners. The potential impact of this study is to expand tobacco cessation and health promotion infrastructure in a new group of health practitioners who can help combat the continuing epidemic of tobacco use.</t>
  </si>
  <si>
    <t>J2: JMIR Res Protoc; Muramoto, Myra L Howerter, Amy Eaves, Emery R Hall, John R Buller, David B Gordon, Judith S; ID: 206</t>
  </si>
  <si>
    <t>1929-0748</t>
  </si>
  <si>
    <t>Muramoto, Myra L. University of Arizona, Department of Family &amp; Community Medicine, Tucson, AZ, United States. myram@email.arizona.edu.</t>
  </si>
  <si>
    <t>http://ovidsp.ovid.com/ovidweb.cgi?T=JS&amp;CSC=Y&amp;NEWS=N&amp;PAGE=fulltext&amp;D=prem&amp;AN=26740468</t>
  </si>
  <si>
    <t>https://dx.doi.org/10.2196/resprot.5061</t>
  </si>
  <si>
    <t>MEDLINE; Ovid Technologies; Online Tobacco Cessation Training and Competency Assessment for Complementary and Alternative Medicine (CAM) Practitioners: Protocol for the CAM Reach Web Study</t>
  </si>
  <si>
    <t>Murphy,S. A.</t>
  </si>
  <si>
    <t>Interdisciplinary education in the addictions: a commentary on the current status</t>
  </si>
  <si>
    <t>Journal of Addictions Nursing</t>
  </si>
  <si>
    <t>*Education, Professional/mt Methods];Humans;*Interdisciplinary Studies;Interprofessional Relations;Patient Care Team;*Substance-Related Disorders/th Therapy]</t>
  </si>
  <si>
    <t>Educating doctors, nurses, pharmacists, dentists, and social workers in a shared, patient-centered curriculum, let alone in the same classrooms and clinics, would appear impractical at best and as an insurmountable task at worst. Nonetheless, this novel idea is being implemented. This article traces the concept's development. The proceedings of three national conferences held in 2010 and 2011 are briefly summarized. Several model programs are described. Interdisciplinary education in the addictions is in the early phases. Alternative and complementary forms of health care show less progress in interprofessional education. Two concerns are noted. These pertain to the timing of implementation and budget considerations.</t>
  </si>
  <si>
    <t>J2: J Addict Nurs; Murphy, Shirley A; ID: 271</t>
  </si>
  <si>
    <t>1548-7148</t>
  </si>
  <si>
    <t>Murphy, Shirley A. University of Washington, Seattle.</t>
  </si>
  <si>
    <t>http://ovidsp.ovid.com/ovidweb.cgi?T=JS&amp;CSC=Y&amp;NEWS=N&amp;PAGE=fulltext&amp;D=med7&amp;AN=24622524</t>
  </si>
  <si>
    <t>https://dx.doi.org/10.1097/JAN.0b013e31828767b7</t>
  </si>
  <si>
    <t>MEDLINE; Ovid Technologies; Interdisciplinary education in the addictions: a commentary on the current status</t>
  </si>
  <si>
    <t>Murphy,S. A.;Scott,C. S.;Mandel,L. P.</t>
  </si>
  <si>
    <t>Clinical knowledge and skill priorities in substance abuse education: a nursing faculty longitudinal survey</t>
  </si>
  <si>
    <t>*Curriculum;*Education, Nursing;*Faculty, Nursing;Female;*Health Knowledge, Attitudes, Practice;Humans;Longitudinal Studies;Male;Specialties, Nursing/ed Education];Staff Development;*Substance-Related Disorders/nu Nursing]</t>
  </si>
  <si>
    <t>The aims of this study were to: 1) determine which of 16 substance abuse content areas nursing faculty fellows considered important for their professional growth; 2) determine content areas in which faculty fellows planned to obtain knowledge and skill development during the coming year; and 3) to identify content areas faculty fellows thought undergraduate and/or graduate students should be taught. Questionnaires were mailed to the 43 nursing faculty fellows who were recipients of substance abuse federal training during the 1989-1994 academic years. The response rate was 81%. One and a half years later, 66% responded to the same items on a follow-up survey. The results showed that faculty ratings of knowledge and skill development needs for themselves and their students in nursing were stable over time. Findings can be used to guide faculty and curriculum development in alcohol and other substance abuse.</t>
  </si>
  <si>
    <t>J2: J Nurs Educ; Murphy, S A Scott, C S Mandel, L P; ID: 1149</t>
  </si>
  <si>
    <t>Murphy, S A. Department of Psychosocial Nursing, University of Washington, Seattle 98195, USA.</t>
  </si>
  <si>
    <t>http://ovidsp.ovid.com/ovidweb.cgi?T=JS&amp;CSC=Y&amp;NEWS=N&amp;PAGE=fulltext&amp;D=med4&amp;AN=8923311</t>
  </si>
  <si>
    <t>MEDLINE; Ovid Technologies; Clinical knowledge and skill priorities in substance abuse education: a nursing faculty longitudinal survey</t>
  </si>
  <si>
    <t>Murphy,S. M.;Fishman,P. A.;McPherson,S.;Dyck,D. G.;Roll,J. R.</t>
  </si>
  <si>
    <t>Determinants of buprenorphine treatment for opioid dependence</t>
  </si>
  <si>
    <t>Adult;*Analgesics, Opioid/tu Therapeutic Use];*Buprenorphine/tu Therapeutic Use];Cohort Studies;Female;Humans;Male;Middle Aged;*Opioid-Related Disorders/dt Drug Therapy];Retrospective Studies;0 (Analgesics, Opioid);40D3SCR4GZ (Buprenorphine)</t>
  </si>
  <si>
    <t>This study assessed the social, demographic and clinical determinants of whether an opioid-dependent patient received buprenorphine versus an alternative therapy. A retrospective cohort analysis of opioid-dependent adults enrolled in Group Health Cooperative between January 1, 2006 and December 1, 2010 was performed. Increasing the number of physicians with DATA waivers in a region and living in a relatively-populated area increased the likelihood of being treated with buprenorphine, indicating that lack of access is a potential barrier. Comorbidity also appeared to be a factor in receipt of treatment, with the effect varying by diagnosis. Finally, patients with an insurance plan allowing health services to be sought from any provider, with increased cost sharing, were significantly more likely to receive buprenorphine, implying that patient demand is a factor. Programs integrating patient education, physician training, and support from addiction specialists would be likely facilitators of increasing access to this cost-effective treatment.</t>
  </si>
  <si>
    <t>J2: J Subst Abuse Treat; Murphy, Sean M Fishman, Paul A McPherson, Sterling Dyck, Dennis G Roll, John R S0740-5472(13)00221-3; ID: 274</t>
  </si>
  <si>
    <t>Murphy, Sean M. Department of Health Policy and Administration, Washington State University, P.O. Box 1495, Spokane, WA 99210-1495, USA. Electronic address: sean.murphy@wsu.edu. Fishman, Paul A. Group Health Research Institute, Seattle, WA 98101, USA. McPherson, Sterling. College of Nursing, Washington State University, Spokane, WA 99210-1495, USA. Dyck, Dennis G. Washington State University, Spokane, WA 99210-1495, USA. Roll, John R. Washington State University, Spokane, WA 99210-1495, USA.</t>
  </si>
  <si>
    <t>http://ovidsp.ovid.com/ovidweb.cgi?T=JS&amp;CSC=Y&amp;NEWS=N&amp;PAGE=fulltext&amp;D=med8&amp;AN=24209382</t>
  </si>
  <si>
    <t>https://dx.doi.org/10.1016/j.jsat.2013.09.003</t>
  </si>
  <si>
    <t>MEDLINE; Ovid Technologies; Determinants of buprenorphine treatment for opioid dependence</t>
  </si>
  <si>
    <t>Murray,M.;Fleming,M.</t>
  </si>
  <si>
    <t>Prevention and treatment of alcohol-related problems: an international medical education model</t>
  </si>
  <si>
    <t>*Alcoholism/pc Prevention &amp; Control];*Alcoholism/th Therapy];Curriculum;*Education, Medical;Humans;*International Cooperation;*Models, Educational;National Institutes of Health (U.S.);Poland;United States</t>
  </si>
  <si>
    <t>Alcohol abuse and alcoholism are among the world's most pressing public health concerns. Research has shown that while primary care physicians are in a good position to screen for alcohol-use disorders and to aid in treating these problems, they tend to identify only a small percentage of patients with such disorders and they rarely intervene with these persons. This situation is probably attributable to the fact that medical students worldwide are taught very little about alcohol-related problems. Clearly there is an urgent need to educate the world's doctors about preventing, diagnosing, and treating alcohol abuse and addiction. In this paper, the authors describe a model international program for educating physicians about alcohol-related problems that was developed by the National Institute on Alcohol Abuse and Alcoholism (NIAAA) in cooperation with the Center for Addiction Research and Education (CARE) at the University of Wisconsin-Madison. They describe the components of the initiative's "trainer-development" approach and critical issues in implementing the program in other countries. Finally, they discuss how the program was successfully implemented in Poland and describe the NIAAA's plans for introducing the model in several other countries.</t>
  </si>
  <si>
    <t>J2: Acad Med; Murray, M Fleming, M; ID: 1134</t>
  </si>
  <si>
    <t>Murray, M. International Research and Training Program, National Institute on Alcohol Abuse and Alcoholism, Bethesda, Maryland 20892-7033, USA. pmurray@willco.niaaa.nih.gov</t>
  </si>
  <si>
    <t>http://ovidsp.ovid.com/ovidweb.cgi?T=JS&amp;CSC=Y&amp;NEWS=N&amp;PAGE=fulltext&amp;D=med4&amp;AN=9217509</t>
  </si>
  <si>
    <t>MEDLINE; Ovid Technologies; Prevention and treatment of alcohol-related problems: an international medical education model</t>
  </si>
  <si>
    <t>Muvvala,S. B.;Marienfeld,C.;Encandela,J.;Petrakis,I.;Edens,E. L.</t>
  </si>
  <si>
    <t>An Innovative Use of Case Conference to Teach Future Educators in Addiction Psychiatry</t>
  </si>
  <si>
    <t>*Curriculum;*Faculty, Medical/ed Education];*Fellowships and Scholarships;Humans;*Psychiatry/ed Education];Specialization;*Substance-Related Disorders/rh Rehabilitation];*Teacher Training/mt Methods]</t>
  </si>
  <si>
    <t>Objective An innovative course was developed for fellows enrolled in the Yale School of Medicine Addiction Psychiatry program to educate them in key principles of adult learning, apply these principles in a case conference presentation, and to improve skills in providing and receiving feedback. Methods An initial training module on educational skills was followed by individual mentorship to prepare a case presentation. A feedback module provided space to learn and practice skills in feedback delivery. Results The program showed positive results and improved confidence levels of the participants in presenting and providing/receiving feedback. Conclusions Implementing a course designed to improve teaching and feedback skills is feasible in a 1-year Addiction Psychiatry fellowship.</t>
  </si>
  <si>
    <t>J2: Acad Psychiatry; Muvvala, Srinivas B Marienfeld, Carla Encandela, John Petrakis, Ismene Edens, Ellen Lockard; ID: 119</t>
  </si>
  <si>
    <t>Muvvala, Srinivas B. Yale School of Medicine, New Haven, CT, USA. srinivas.muvvala@yale.edu. Marienfeld, Carla. Yale School of Medicine, New Haven, CT, USA. Encandela, John. Yale School of Medicine, New Haven, CT, USA. Petrakis, Ismene. Yale School of Medicine, New Haven, CT, USA. Edens, Ellen Lockard. Yale School of Medicine, New Haven, CT, USA.</t>
  </si>
  <si>
    <t>http://ovidsp.ovid.com/ovidweb.cgi?T=JS&amp;CSC=Y&amp;NEWS=N&amp;PAGE=fulltext&amp;D=med8&amp;AN=27001311</t>
  </si>
  <si>
    <t>https://dx.doi.org/10.1007/s40596-016-0520-4</t>
  </si>
  <si>
    <t>MEDLINE; Ovid Technologies; An Innovative Use of Case Conference to Teach Future Educators in Addiction Psychiatry</t>
  </si>
  <si>
    <t>Muzyk,A. J.;Peedin,E.;Lipetzky,J.;Parker,H.;McEachern,M. P.;Thomas,K.</t>
  </si>
  <si>
    <t>Substance use education in US schools of pharmacy: A systematic review of the literature</t>
  </si>
  <si>
    <t>BACKGROUND: The authors sought to systematically review the quantity and quality of literature describing substance use disorders (SUDs) education in US schools of pharmacy and determine the effectiveness of the educational interventions employed. METHODS: The authors conducted a systematic review of SUDs education studies in US pharmacy schools. All literature database searches were performed on April 30, 2016, in 5 databases: Ovid MEDLINE, Ovid MEDLINE In-Process &amp; Other Non-Indexed Citations, Embase.com, ERIC via FirstSearch, and CINAHL via EBSCOhost. The study authors conducted this systematic review according to the Preferred Reporting Items for Systemic Reviews and Meta-analyses guidelines and registered it with PROSPERO, which is an international prospective register of systematic reviews. The PROSPERO registration number is CRD42016037443. The study authors created a modified data extraction sheet based on the Best Evidence in Medical Education coding sheet. A Medical Education Research Study Quality Instrument (MERSQI) score was calculated for included articles. Results: From the 1626 retrieved records, 7 were included in the present review. The studies assessed students' impressions and abilities regarding SUDs pre- and post-intervention. The mean +/- SD MERSQI score of the 7 studies was 9.86 +/- 1.21 (range: 8-11.5). The included articles assessed pharmacy students at various academic years, with the majority students in either their first or second year of pharmacy school, and described both required and elective courses. The educational interventions varied in design and outcomes measured. Education included nicotine, alcoholism, and SUDs in general. None of the included articles reported on education regarding opioid use disorders. Conclusions: The studies included in this systematic review demonstrate that teaching pharmacy students about SUDs produces a positive impact in their attitudes and knowledge on this subject.</t>
  </si>
  <si>
    <t>J2: Subst Abus; Muzyk, Andrew J Peedin, Emily Lipetzky, Juliana Parker, Haley McEachern, Mark P Thomas, Kelan; ID: 1666</t>
  </si>
  <si>
    <t>Muzyk, Andrew J. a Department of Pharmacy Practice , Campbell University College of Pharmacy and Health Sciences , Buies Creek , North Carolina , USA. Muzyk, Andrew J. b Department of Pharmacy , Duke University Hospital , Durham , North Carolina , USA. Peedin, Emily. b Department of Pharmacy , Duke University Hospital , Durham , North Carolina , USA. Lipetzky, Juliana. c Department of Pharmacy , Durham VA Medical Center , Durham , North Carolina , USA. Parker, Haley. c Department of Pharmacy , Durham VA Medical Center , Durham , North Carolina , USA. McEachern, Mark P. d Taubman Health Sciences Library , University of Michigan , Ann Arbor , Michigan , USA. Thomas, Kelan. e Department of Clinical Sciences , Touro University California College of Pharmacy , Vallejo , California , USA.</t>
  </si>
  <si>
    <t>http://ovidsp.ovid.com/ovidweb.cgi?T=JS&amp;CSC=Y&amp;NEWS=N&amp;PAGE=fulltext&amp;D=prem&amp;AN=28605276</t>
  </si>
  <si>
    <t>https://dx.doi.org/10.1080/08897077.2017.1341448</t>
  </si>
  <si>
    <t>MEDLINE; Ovid Technologies; Substance use education in US schools of pharmacy: A systematic review of the literature</t>
  </si>
  <si>
    <t>Muzyk,A. J.;Tew,C.;Thomas-Fannin,A.;Dayal,S.;Maeda,R.;Schramm-Sapyta,N.;Andolsek,K.;Holmer,S.</t>
  </si>
  <si>
    <t>Utilizing Bloom's taxonomy to design a substance use disorders course for health professions students</t>
  </si>
  <si>
    <t>BACKGROUND: Substance use disorders (SUDs) are a public health problem affecting millions of Americans. Despite their prevalence, there are few health care resources allocated for SUDs treatment. Relatively few health care professionals are exposed to SUDs education in their respective programs, which may be one reason for this resource insufficiency. In hopes of rectifying this gap, the authors developed a SUDs course for health professions students combining classroom learning with practical application to patient care. METHODS: The authors used Bloom's taxonomy of cognitive, affective, and psychomotor learning domains as an educational framework to create numerous opportunities for students to deepen their knowledge, assess their attitudes, and develop their motivational interviewing skills. The primary outcome of the study was a comparison of students' scores on the Substance Abuse Attitude Scale (SAAS) pre- and post-course completion. Secondary outcome was to compare students' self-assessment scores of their patient counseling with residents' assessments of them on the Liverpool Communication Skills Assessment Scale (LCSAS). RESULTS: One hundred twelve students participated in the authors' SUDs course over a 9-month period. Ninety-five students completed both the pre- and post-course SAAS surveys. The total SAAS survey score and individual domain scores for nonmoralizing, treatment optimism, and treatment intervention demonstrated significant improvement post-course. Eighty-nine students completed a motivational interview with a patient. Eighty students had a LCSAS self-assessment paired with a residents' assessment. Mean scores for individual items on the LCSAS for both groups' assessment were approximately 3.5, indicating that students' communication was assessed as "acceptable" to "good." CONCLUSIONS: This study demonstrates that Bloom's taxonomy was a useful educational framework to ensure a systematic development of the authors' SUDs course. Through participation in our course, students touched each of the 3 domains in Bloom's taxonomy. The authors believe their course design may serve as a framework for future SUDs courses.</t>
  </si>
  <si>
    <t>J2: Subst Abus; Muzyk, Andrew J Tew, Chris Thomas-Fannin, Allie Dayal, Sanjai Maeda, Reina Schramm-Sapyta, Nicole Andolsek, Kathryn Holmer, Shelley; ID: 1688</t>
  </si>
  <si>
    <t>Muzyk, Andrew J. a Department of Pharmacy Practice , Campbell University College of Pharmacy and Health Sciences , Buies Creek , North Carolina , USA. Muzyk, Andrew J. b Department of Psychiatry and Behavioral Science , Duke University School of Medicine , Durham , North Carolina , USA. Tew, Chris. b Department of Psychiatry and Behavioral Science , Duke University School of Medicine , Durham , North Carolina , USA. Thomas-Fannin, Allie. c Department of Psychiatry , Good Samaritan Hospital , Vincennes , Indiana , USA. Dayal, Sanjai. b Department of Psychiatry and Behavioral Science , Duke University School of Medicine , Durham , North Carolina , USA. Maeda, Reina. d Department of Psychiatry and Behavioral Sciences , University of Washington School of Medicine , Seattle , Washington , USA. Schramm-Sapyta, Nicole. e Duke Institute of Brain Sciences , Duke University , Durham , North Carolina , USA. Andolsek, Kathryn. f Department of Community and Family Medicine , Duke University School of Medicine , Durham , North Carolina , USA. Holmer, Shelley. b Department of Psychiatry and Behavioral Science , Duke University School of Medicine , Durham , North Carolina , USA.</t>
  </si>
  <si>
    <t>http://ovidsp.ovid.com/ovidweb.cgi?T=JS&amp;CSC=Y&amp;NEWS=N&amp;PAGE=fulltext&amp;D=medp&amp;AN=29400617</t>
  </si>
  <si>
    <t>https://dx.doi.org/10.1080/08897077.2018.1436634</t>
  </si>
  <si>
    <t>MEDLINE; Ovid Technologies; Utilizing Bloom's taxonomy to design a substance use disorders course for health professions students</t>
  </si>
  <si>
    <t>Muzyk,A. J.;Tew,C.;Thomas-Fannin,A.;Dayal,S.;Maeda,R.;Schramm-Sapyta,N.;Andolsek,K. M.;Holmer,S.</t>
  </si>
  <si>
    <t>An Interprofessional Course on Substance Use Disorders for Health Professions Students</t>
  </si>
  <si>
    <t>*Clinical Clerkship;*Curriculum;Humans;*Interprofessional Relations;*Psychiatry/ed Education];Retrospective Studies;*Students, Medical;Substance-Related Disorders/th Therapy];*Substance-Related Disorders;Surveys and Questionnaires;United States</t>
  </si>
  <si>
    <t>PROBLEM: Substance use disorders (SUDs) affect millions of Americans. Nevertheless, there is insufficient health care resource allocation for these patients. One reason may be the lack of education and training about SUDs in health professions programs. APPROACH: The authors developed a required, interprofessional SUDs course for health professions students completing a one-month psychiatry clerkship within the Duke University Health System starting in November 2015. Students participated in six 1-hour class sessions led by an interdisciplinary faculty. Sessions focused on core areas in SUDs education and used either a lecture with discussion or a small-group team-based learning format. Students completed one motivational interview, attended a 12-step recovery meeting, and wrote a reflection paper. On the first and last day of the clerkship, students measured their attitudes toward individuals with SUDs using the Substance Abuse Attitude Scale (SAAS) and toward interprofessionalism using the Interprofessional Attitudes Scale (IPAS). OUTCOMES: Seventy-one students participated in the course from November 2015 to May 2016. Fifty-nine (83%) students had paired pre- and postcourse SAAS and IPAS data. On the SAAS, students showed significant improvement in their median total score and nonmoralizing, treatment optimism, and treatment intervention scores. On the IPAS, students showed significant improvement in their median score on the teamwork, roles, and responsibilities domain. NEXT STEPS: The authors will continue to assess the course. Starting in academic year 2016-2017, the course will include four additional elements, and beginning in July 2016, accelerated bachelor of science in nursing students will participate in the course.</t>
  </si>
  <si>
    <t>J2: Acad Med; Muzyk, Andrew J Tew, Chris Thomas-Fannin, Allie Dayal, Sanjai Maeda, Reina Schramm-Sapyta, Nicole Andolsek, Kathryn M Holmer, Shelley; ID: 35</t>
  </si>
  <si>
    <t>Muzyk, Andrew J. A.J. Muzyk is associate professor, Department of Pharmacy Practice, Campbell University College of Pharmacy and Health Sciences, Buies Creek, North Carolina, and adjunct assistant professor, Department of Psychiatry and Behavioral Science, Duke University School of Medicine, Durham, North Carolina. C. Tew is a licensed addiction specialist, Department of Psychiatry and Behavioral Science, Duke University School of Medicine, Durham, North Carolina. A. Thomas-Fannin is a psychiatrist, Department of Psychiatry, Good Samaritan Hospital, Vincennes, Indiana. S. Dayal is a fourth-year psychiatry resident, Department of Psychiatry and Behavioral Science, Duke University School of Medicine, Durham, North Carolina. R. Maeda is a geriatric psychiatry fellow, Department of Psychiatry and Behavioral Sciences, University of Washington School of Medicine, Seattle, Washington. N. Schramm-Sapyta is assistant professor, Duke Institute of Brain Sciences, Duke University, Durham, North Carolina. K.M. Andolsek is professor, Department of Community and Family Medicine, Duke University School of Medicine, Durham, North Carolina. S. Holmer is assistant professor, Department of Psychiatry and Behavioral Science, Duke University School of Medicine, Durham, North Carolina.</t>
  </si>
  <si>
    <t>http://ovidsp.ovid.com/ovidweb.cgi?T=JS&amp;CSC=Y&amp;NEWS=N&amp;PAGE=fulltext&amp;D=medl&amp;AN=28537951</t>
  </si>
  <si>
    <t>https://dx.doi.org/10.1097/ACM.0000000000001766</t>
  </si>
  <si>
    <t>MEDLINE; Ovid Technologies; An Interprofessional Course on Substance Use Disorders for Health Professions Students</t>
  </si>
  <si>
    <t>Myers,T.;Weiss,E.</t>
  </si>
  <si>
    <t>Substance use by internes and residents: an analysis of personal, social and professional differences</t>
  </si>
  <si>
    <t>Adult;Alcohol Drinking;Female;Humans;*Internship and Residency;Male;Medicine;Ontario;Specialization;*Substance-Related Disorders/ep Epidemiology]</t>
  </si>
  <si>
    <t>J2: Br J Addict; Myers, T Weiss, E; ID: 1422</t>
  </si>
  <si>
    <t>http://ovidsp.ovid.com/ovidweb.cgi?T=JS&amp;CSC=Y&amp;NEWS=N&amp;PAGE=fulltext&amp;D=med2&amp;AN=3479157</t>
  </si>
  <si>
    <t>MEDLINE; Ovid Technologies; Substance use by internes and residents: an analysis of personal, social and professional differences</t>
  </si>
  <si>
    <t>Myllykangas,M.;Ryynanen,O. P.;Kinnunen,J.;Takala,J.</t>
  </si>
  <si>
    <t>Attitudes to cuts in expenditure and increased fees in health care</t>
  </si>
  <si>
    <t>Public health</t>
  </si>
  <si>
    <t>Public Health</t>
  </si>
  <si>
    <t>Adolescent;Adult;Aged;*Attitude to Health;*Fees, Medical;Female;Financing, Personal;Finland;*Health Care Rationing;*Health Expenditures;*Health Priorities;Humans;Male;Middle Aged;Primary Health Care;Social Values;Surveys and Questionnaires</t>
  </si>
  <si>
    <t>The aim of this postal questionnaire study was to measure attitudes to cuts and increased fees in health care in various Finnish population groups. Four groups were identified; a population sample of 2000 subjects, aged 18-70 y; a random sample of 1500 medical doctors of working age; a random sample of 1000 nurses of working age; and a sample of 2200 politicians involved in health and social care administration, mostly at the municipal level (altogether 6700 subjects). The main questionnaire included, among other things, the following questions: (1) Which of 18 specified medical activities at the primary health care level could be cut without causing severe harm to the population? (2) For which of 13 specified medical activities should clients pay at least 50% of the real cost? All the groups indicated the greatest willingness to cut expenditure on health education, occupational health services, hygiene inspection, substance abuse care, rehabilitation services for war veterans, and family planning. All the groups were least willing to make cuts in home care for disabled and elderly people, maternity services and clinics for under-fives. Most respondents in all groups felt that the activities for which clients should pay at least 50% of the cost were visits to physicians, occupational health services and dental services, whereas clinics for under-five and home care for disabled and elderly persons should be kept free of charge. As a conclusion, primary health care and prevention of diseases for small children, mothers, the elderly and disabled persons, were prioritised by all the groups.</t>
  </si>
  <si>
    <t>J2: Public Health; Myllykangas, M Ryynanen, O P Kinnunen, J Takala, J; ID: 1144</t>
  </si>
  <si>
    <t>0033-3506</t>
  </si>
  <si>
    <t>Myllykangas, M. University of Kuopio, Department of Community Health and General Practice, Finland.</t>
  </si>
  <si>
    <t>http://ovidsp.ovid.com/ovidweb.cgi?T=JS&amp;CSC=Y&amp;NEWS=N&amp;PAGE=fulltext&amp;D=medc&amp;AN=9090279</t>
  </si>
  <si>
    <t>MEDLINE; Ovid Technologies; Attitudes to cuts in expenditure and increased fees in health care</t>
  </si>
  <si>
    <t>Nack,B.;Haas,S. E.;Portnof,J.</t>
  </si>
  <si>
    <t>Opioid Use Disorder in Dental Patients: The Latest on How to Identify, Treat, Refer and Apply Laws and Regulations in Your Practice</t>
  </si>
  <si>
    <t>Anesthesia Progress</t>
  </si>
  <si>
    <t>Anesth.Prog.</t>
  </si>
  <si>
    <t>Opioid use disorder is a persistent problem in the United States and has become an important issue to medical and dental professionals. Americans are the largest users of opioids by a large margin. The importance of knowing how to identify, handle, refer, and treat patients with opioid use disorder cannot be understated. This article attempts to educate dental professionals on the current epidemiology of opioid use, explain the physiology of addiction, teach practitioners how to identify chronic opioid users, gives options for treating dental pain, establishes criteria for referring to an addiction specialist, and describes the laws, regulations, and resources available to practitioners. With this article, practitioners should have a greater understanding of the current problem of opioid use disorder and be able to develop a protocol for treating these patients.</t>
  </si>
  <si>
    <t>J2: Anesth Prog; Nack, Bryan Haas, Steven E Portnof, Jason; ID: 1645</t>
  </si>
  <si>
    <t>Nack, Bryan. Resident, Oral and Maxillofacial Surgery Department, Nova Southeastern University College of Dental Medicine, Ft Lauderdale, Florida. Haas, Steven E. Associate Dean of Clinical Services, Nova Southeastern University College of Dental Medicine, Ft Lauderdale, Florida. Portnof, Jason. Director, Pediatric Craniomaxillofacial Surgery, Department of Oral and Maxillofacial Surgery, Nova Southeastern University College of Dental Medicine; Associate Professor of Oral and Maxillofacial Surgery, Oral and Maxillofacial Surgery Department, Nova Southeastern University College of Dental Medicine, Ft Lauderdale, Florida.</t>
  </si>
  <si>
    <t>http://ovidsp.ovid.com/ovidweb.cgi?T=JS&amp;CSC=Y&amp;NEWS=N&amp;PAGE=fulltext&amp;D=prem&amp;AN=28858546</t>
  </si>
  <si>
    <t>https://dx.doi.org/10.2344/anpr-64-03-09</t>
  </si>
  <si>
    <t>MEDLINE; Ovid Technologies; Opioid Use Disorder in Dental Patients: The Latest on How to Identify, Treat, Refer and Apply Laws and Regulations in Your Practice</t>
  </si>
  <si>
    <t>Naegle,M. A.;Hanley,K.;Gourevitch,M. N.;Tuchman,E.;More,F. G.;Bereket,S.</t>
  </si>
  <si>
    <t>Project SARET: An interprofessional education (IPE) lens examines substance use disorders research education for health professional students</t>
  </si>
  <si>
    <t>Journal of Interprofessional Education &amp; Practice</t>
  </si>
  <si>
    <t>The NIDA funded Substance Abuse Education, Research and Training (SARET) Program addresses the compelling need for health professionals prepared to engage in substance use disorders (SUD) research. The goal of this interprofessional project, structured by an Executive Committee of co-investigators from the disciplines of medicine, nursing, social work and dentistry, is to increase the skills of students from each discipline for interprofessional research collaboration and early career-development opportunities in SUD research. The development of web-based modules, interprofessional seminars and a model mentorship program were designed as well, for dissemination and evaluation by other health professional schools. The educational format is 6 interactive web-based learning modules, providing an overview of core content on Substance Use Disorders (SUD), summer or year-long mentored research experiences with NIH-funded researchers and small interprofessional seminars and site visits. Assessment consists of self-reported annual student learning outcomes and external editorial and advisory board project and curricular materials review. These reviews encourages the updating of materials and provide flexibility for participating "champions" at other schools who use the modules. Quantitative and qualitative outcomes of student research activities and data on dissemination of modules support the fit between project content and interprofessional teaching modalities. The learning modules are available without charge to individuals, students, faculty or health professional programs from the project's website.</t>
  </si>
  <si>
    <t>J2: J Interprof Educ Pract; Naegle, Madeline A Hanley, Kathleen Gourevitch, Marc N Tuchman, Ellen More, Frederick G Bereket, Sewit; ID: 1652</t>
  </si>
  <si>
    <t>2405-4526</t>
  </si>
  <si>
    <t>Naegle, Madeline A. NYU Rory Meyers College of Nursing, 433 First Avenue, New York, NY 10010, USA. Hanley, Kathleen. NYU School of Medicine, Department of Medicine, Old Bellevue C and D Building D 401, 27th Street and First Avenue, New York, NY 10016, USA. Gourevitch, Marc N. NYU School of Medicine, Department of Population Health, 550 First Ave, TRB 7th Floor, Room #707, New York, NY 10016 USA. Tuchman, Ellen. NYU Silver School of Social Work, 1 Washington Square North, New York, NY 10003. More, Frederick G. NYU College of Dentistry, Department of Epidemiology &amp; Health Promotion, 433 First Ave, New York, NY 10010 USA. Bereket, Sewit. NYU School of Medicine, Department of Population Health, 550 First Ave, TRB 7th Floor, #754B, New York, NY 10016, USA.</t>
  </si>
  <si>
    <t>http://ovidsp.ovid.com/ovidweb.cgi?T=JS&amp;CSC=Y&amp;NEWS=N&amp;PAGE=fulltext&amp;D=prem&amp;AN=29359199</t>
  </si>
  <si>
    <t>https://dx.doi.org/10.1016/j.xjep.2017.09.002</t>
  </si>
  <si>
    <t>MEDLINE; Ovid Technologies; Project SARET: An interprofessional education (IPE) lens examines substance use disorders research education for health professional students</t>
  </si>
  <si>
    <t>Nair,U. R.;Vidhukumar,K.;Prabhakaran,A.</t>
  </si>
  <si>
    <t>Age at Onset of Alcohol Use and Alcohol Use Disorder: Time-trend Study in Patients Seeking De-addiction Services in Kerala</t>
  </si>
  <si>
    <t>Indian Journal of Psychological Medicine</t>
  </si>
  <si>
    <t>BACKGROUND: Declining age at onset of alcohol consumption over years has been one of the alarming findings in the epidemiology of alcoholism. The study was done to examine whether there was a decline in the age at onset of alcohol use and use disorder in subjects categorized as birth cohorts over the last 60 years seeking de-addiction services from a teaching hospital. MATERIALS AND METHODS: A time-trend study, based on data collected from records, was done among 700 randomly selected subjects seeking de-addiction services. The study was done in a Government Medical College. Besides birth year, family history of alcohol use disorder and psychiatric comorbidity were the main independent variables studied. Trend was tested by linear regression. RESULTS: There was a significant linear decline in the age at onset of alcohol use and use disorder. The mean age at onset of alcohol use and alcohol use disorder declined from 24 to 17 years and 46 to 21 years, respectively, from the pre-1950 birth cohort to the post-1985 birth cohort. Surprisingly, there was a plateau for mean age at onset of alcohol use during 1960s. The trend was significant even after adjusting for variables related to age at onset of alcohol consumption. CONCLUSIONS: The trend of decreasing age at onset of alcohol use and alcohol use disorder over time has policy implications. Further studies are needed for exploring mediating or causal factors for the decline in the age at onset of alcohol use and use disorder.</t>
  </si>
  <si>
    <t>J2: Indian j; Nair, Unnikrishnan Reghukumaran Vidhukumar, K Prabhakaran, Anil; ID: 157</t>
  </si>
  <si>
    <t>0253-7176</t>
  </si>
  <si>
    <t>Nair, Unnikrishnan Reghukumaran. Department of Psychiatry, Government Medical College, Thiruvananthapuram, Kerala, India. Vidhukumar, K. Department of Psychiatry, Government Medical College, Thiruvananthapuram, Kerala, India. Prabhakaran, Anil. Department of Psychiatry, Government Medical College, Thiruvananthapuram, Kerala, India.</t>
  </si>
  <si>
    <t>http://ovidsp.ovid.com/ovidweb.cgi?T=JS&amp;CSC=Y&amp;NEWS=N&amp;PAGE=fulltext&amp;D=prem&amp;AN=27570342</t>
  </si>
  <si>
    <t>https://dx.doi.org/10.4103/0253-7176.185958</t>
  </si>
  <si>
    <t>MEDLINE; Ovid Technologies; Age at Onset of Alcohol Use and Alcohol Use Disorder: Time-trend Study in Patients Seeking De-addiction Services in Kerala</t>
  </si>
  <si>
    <t>Najafi,M.;Mollabashi,R.;Mollabashi,Z.;Mousavi,A.</t>
  </si>
  <si>
    <t>Nejat Briefcase: A tool for drug education</t>
  </si>
  <si>
    <t>BACKGROUND: On account of the prevalence of psychoactive substances and drug abuse and its diversity of forms and methods of use, along with the reduction in the age of drug abuse, a continuing medical educationof physicians with these issues is necessary. Although it is legally forbidden, most physicians have no close contact to these drugs, and this is not effective for training, prevention and treatment of drug addiction. In this regard, offering an educational tool is needed, if in close contact to these drugs. The 'Nejat Briefcase' is a tool designed for the purpose of training and familiarization of psychoactive substances and drugs. The aim of this study is to investigate the points of view of the participants in the continuing medical education program, 'Introduction to types of psychoactive substances and drugs' and about the Nejat Briefcase, in the Isfahan University of Medical Sciences (IUMS). MATERIALS AND METHODS: In this descriptive, cross-sectional study, all the general physicians (108 people) who participated in the continuing medical education program, 'Introducing types of psychoactive substances and drugs,' in the Isfahan University of Medical Sciences (IUMS), in 2012 - 2013, were considered. In this program, in order to introduce various types of psychoactive substances and drugs to the physicians, as well as acquaint them with their forms, methods of use, and prices, the new educational tool (Nejat Briefcase), containing various types of psychoactive substances and drugs and the related educational packages, such as, booklets and brochures, was used. A researcher-made, valid and reliable questionnaire was distributed at the end of program to gather the participants' points of view about the educational program. Data was analyzed by the SPSS and t-test and descriptive statistical tests. RESULTS AND DISCUSSION: The response rate to the questionnaire was 83%. Forty-four people (41%) were women and 64 (59%) were men. The mean total score of the participants' points of view was 4/58 +/- 0/45 (out of 5), which indicated the positive points of view of the participants. Ninety-seven people (90%) were satisfied with the program. CONCLUSIONS: On account of the participants' positive points of view on the Nejat Briefcase and their consent to it, using varied and attractive educational tools for psychoactive substances and drug training and producing tools similar to the Nejat Briefcase are proposed.</t>
  </si>
  <si>
    <t>J2: J; Najafi, Mostafa Mollabashi, Roya Mollabashi, Zahra Mousavi, Arefeh; ID: 222</t>
  </si>
  <si>
    <t>Najafi, Mostafa. Behavioral Sciences Research Center, School of Medicine, Isfahan University of Medical Sciences, Isfahan, Iran. Mollabashi, Roya. Medical Education Research Center, Isfahan University of Medical Sciences, Isfahan, Iran. Mollabashi, Zahra. Department of Microbiology, Qom Branch, Islamic Azad University, Qom, Iran. Mousavi, Arefeh. Department of Disaster and Emergency Health, School of Public Health, Tehran University of Medical Sciences, Tehran, Iran.</t>
  </si>
  <si>
    <t>http://ovidsp.ovid.com/ovidweb.cgi?T=JS&amp;CSC=Y&amp;NEWS=N&amp;PAGE=fulltext&amp;D=prem&amp;AN=26430687</t>
  </si>
  <si>
    <t>https://dx.doi.org/10.4103/2277-9531.162379</t>
  </si>
  <si>
    <t>MEDLINE; Ovid Technologies; Nejat Briefcase: A tool for drug education</t>
  </si>
  <si>
    <t>Naji,L.;Dennis,B. B.;Bawor,M.;Varenbut,M.;Daiter,J.;Plater,C.;Pare,G.;Marsh,D. C.;Worster,A.;Desai,D.;MacKillop,J.;Thabane,L.;Samaan,Z.</t>
  </si>
  <si>
    <t>The association between age of onset of opioid use and comorbidity among opioid dependent patients receiving methadone maintenance therapy</t>
  </si>
  <si>
    <t>03 28</t>
  </si>
  <si>
    <t>Adult;Age of Onset;Analgesics, Opioid/ae Adverse Effects];Comorbidity;Female;*Health Status;Humans;Male;*Methadone/tu Therapeutic Use];*Opiate Substitution Treatment/sn Statistics &amp; Numerical Data];Opioid-Related Disorders/dt Drug Therapy];*Opioid-Related Disorders/ep Epidemiology];Young Adult;0 (Analgesics, Opioid);UC6VBE7V1Z (Methadone)</t>
  </si>
  <si>
    <t>BACKGROUND: Opioid use disorder (OUD) affects approximately 21.9 million people worldwide. This study aims to determine the association between age of onset of opioid use and comorbid disorders, both physical and psychiatric, in patients receiving methadone maintenance treatment (MMT) for OUD. Understanding this association may inform clinical practice about important prognostic factors of patients on MMT, enabling clinicians to identify high-risk patients. METHODS: This study includes data collected between June 2011 and August 2016 for the Genetics of Opioid Addiction research collaborative between McMaster University and the Canadian Addiction Treatment Centers. All patients were interviewed by trained health professionals using the Mini-International Neuropsychiatric Interview and case report forms. Physical comorbidities were verified using patients' electronic medical records. A multi-variable logistic regression model was constructed to determine the strength of the association between age of onset of opioid use and the presence of physical or psychiatric comorbidity while adjusting for current age, sex, body mass index, methadone dose and smoking status. RESULTS: Data from 627 MMT patients with a mean age of 38.8 years (SD = 11.07) were analyzed. Individuals with an age of onset of opioid use younger than 18 years were found to be at higher odds for having a physical or psychiatric comorbid disorder compared to individuals with an age of onset of opioid use of 31 years or older (odds ratio 2.94, 95% confidence interval 1.20, 7.19, p = 0.02). A significant association was not found between the risk of having a comorbidity and an age of onset of opioid use between 18 and 25 years or 26 and 30 years, compared to an age of onset of opioid use of 31 years or older. CONCLUSION: Our study demonstrates that the younger one begins to use opioids, the greater their chance of having a physical or psychiatric co-morbidity. Understanding the risk posed by an earlier onset of opioid use for the later development of comorbid disorders informs clinical practice about important prognostic predictors and aids in the identification of high-risk patients.</t>
  </si>
  <si>
    <t>J2: Addict Sci Clin Pract; Naji, Leen Dennis, Brittany Burns Bawor, Monica Varenbut, Michael Daiter, Jeff Plater, Carolyn Pare, Guillaume Marsh, David C Worster, Andrew Desai, Dipika MacKillop, James Thabane, Lehana Samaan, Zainab; ID: 43</t>
  </si>
  <si>
    <t>Naji, Leen. Michael Degroote School of Medicine, McMaster University, Hamilton, Canada. Dennis, Brittany Burns. St. George's University of London, London, UK. Dennis, Brittany Burns. Department of Clinical Epidemiology and Biostatistics, McMaster University, Hamilton, Canada. Bawor, Monica. St. George's University of London, London, UK. Varenbut, Michael. Canadian Addiction Treatment Centres, Richmond Hill, Canada. Daiter, Jeff. Canadian Addiction Treatment Centres, Richmond Hill, Canada. Plater, Carolyn. Canadian Addiction Treatment Centres, Richmond Hill, Canada. Pare, Guillaume. Department of Clinical Epidemiology and Biostatistics, McMaster University, Hamilton, Canada. Marsh, David C. Canadian Addiction Treatment Centres, Richmond Hill, Canada. Marsh, David C. Northern Ontario School of Medicine, Sudbury, ON, Canada. Worster, Andrew. Canadian Addiction Treatment Centres, Richmond Hill, Canada. Worster, Andrew. Department of Medicine, Hamilton General Hospital, Hamilton, Canada. Desai, Dipika. Population Genomic Program, Chanchalani Research Centre, McMaster University, Hamilton, Canada. MacKillop, James. Peter Boris Centre for Addictions Research, Hamilton, Canada. MacKillop, James. Department of Psychiatry and Behavioural Neuroscience, McMaster University, 100 West 5th Street, Hamilton, ON, L8N 3K7, Canada. Thabane, Lehana. Departments of Pediatrics and Anesthesia, McMaster University, Hamilton, Canada. Thabane, Lehana. Centre for Evaluation of Medicine, St Joseph's Healthcare, Hamilton, Canada. Thabane, Lehana. Biostatistics Unit, Father Sean O'Sullivan Research Centre, St Joseph's Healthcare, Hamilton, Canada. Samaan, Zainab. Department of Clinical Epidemiology and Biostatistics, McMaster University, Hamilton, Canada. samaanz@mcmaster.ca. Samaan, Zainab. Population Genomic Program, Chanchalani Research Centre, McMaster University, Hamilton, Canada. samaanz@mcmaster.ca. Samaan, Zainab. Peter Boris Centre for Addictions Research, Hamilton, Canada. s(TRUNCATED)</t>
  </si>
  <si>
    <t>http://ovidsp.ovid.com/ovidweb.cgi?T=JS&amp;CSC=Y&amp;NEWS=N&amp;PAGE=fulltext&amp;D=medl&amp;AN=28347350</t>
  </si>
  <si>
    <t>https://dx.doi.org/10.1186/s13722-017-0074-0</t>
  </si>
  <si>
    <t>MEDLINE; Ovid Technologies; The association between age of onset of opioid use and comorbidity among opioid dependent patients receiving methadone maintenance therapy</t>
  </si>
  <si>
    <t>Nakayama,H.;Mihara,S.;Higuchi,S.</t>
  </si>
  <si>
    <t>Treatment and risk factors of Internet use disorders</t>
  </si>
  <si>
    <t>Psychiatry &amp; Clinical Neurosciences</t>
  </si>
  <si>
    <t>Antidepressive Agents/tu Therapeutic Use];Behavior, Addictive/dt Drug Therapy];Behavior, Addictive/pc Prevention &amp; Control];*Behavior, Addictive/px Psychology];*Behavior, Addictive/th Therapy];Central Nervous System Stimulants/tu Therapeutic Use];Education, Medical;Humans;*Internet;Psychotherapy;Risk Factors;*Video Games/ae Adverse Effects];*Video Games/px Psychology];0 (Antidepressive Agents);0 (Central Nervous System Stimulants)</t>
  </si>
  <si>
    <t>Recently, many young people have developed Internet use disorders (IUD) as a result of the proliferation of Internet-enabled devices, leading to serious health and social problems worldwide. On occasion, medical and educational institutions, governments, and other groups have sought to take preventive action or treat IUD. In many cases, the preferred treatment for IUD is to set recommendations for appropriate Internet use. Reportedly, psychosocial therapies (including cognitive behavioral therapy, family therapy, and compound therapy) for IUD and pharmacotherapies (including antidepressant drugs and psychostimulants) for comorbid psychiatric or development disorders have been effective at reducing the degree and symptoms of IUD. In some countries, treatment camps have been developed for adolescents with IUD, and preventive education (including lectures and group discussions) has been provided for general adolescents. Such efforts have been effective at reducing the average degree of IUD severity. Some future IUD risk factors (e.g. being male, suffering from attention-deficit hyperactivity disorder, and exhibiting deteriorating psychiatric symptoms) have begun to be identified. However, clinical studies, treatment, and preventive actions are insufficient for treating IUD and standard treatments and preventive systems have yet to be established. Educational and medical institutions, government, families, and others must take greater action and cooperate more effectively in order to treat or prevent IUD.</t>
  </si>
  <si>
    <t>J2: Psychiatry Clin Neurosci; Nakayama, Hideki Mihara, Satoko Higuchi, Susumu; ID: 18</t>
  </si>
  <si>
    <t>1440-1819</t>
  </si>
  <si>
    <t>Nakayama, Hideki. National Hospital Organization Kurihama Medical and Addiction Center, Yokosuka, Japan. Mihara, Satoko. National Hospital Organization Kurihama Medical and Addiction Center, Yokosuka, Japan. Higuchi, Susumu. National Hospital Organization Kurihama Medical and Addiction Center, Yokosuka, Japan.</t>
  </si>
  <si>
    <t>http://ovidsp.ovid.com/ovidweb.cgi?T=JS&amp;CSC=Y&amp;NEWS=N&amp;PAGE=fulltext&amp;D=medl&amp;AN=27987253</t>
  </si>
  <si>
    <t>https://dx.doi.org/10.1111/pcn.12493</t>
  </si>
  <si>
    <t>MEDLINE; Ovid Technologies; Treatment and risk factors of Internet use disorders</t>
  </si>
  <si>
    <t>Namjuntra,P.;Suriyaprom,K.</t>
  </si>
  <si>
    <t>Tobacco Use, Exposure to Secondhand Smoke and Cessation Training among Third-Year Medical Technology Students in Thailand</t>
  </si>
  <si>
    <t>Adult;Attitude to Health;Counseling/sn Statistics &amp; Numerical Data];Female;Humans;Male;Prevalence;Schools, Medical;*Smoking/ep Epidemiology];*Smoking Cessation/sn Statistics &amp; Numerical Data];Smoking Prevention;*Students, Health Occupations/sn Statistics &amp; Numerical Data];Thailand/ep Epidemiology];Tobacco Smoke Pollution/pc Prevention &amp; Control];*Tobacco Smoke Pollution/sn Statistics &amp; Numerical Data];*Tobacco Use Disorder/ep Epidemiology];Tobacco Use Disorder/pc Prevention &amp; Control];Young Adult;0 (Tobacco Smoke Pollution)</t>
  </si>
  <si>
    <t>OBJECTIVE: Compare tobacco use, exposure to second-hand smoke, and smoking cessation training among third-year medical technology students in Thailand between 2006 and 2011. MATERIAL AND METHOD: The medical technology student survey was carried out with Global Health Professions Student Survey (GHPSS) between October and November 2011. The population of the present study was all students in nine medical technology schools. There were 773 students enrolled in this study yielding a response rate of 95.1%. RESULTS: The prevalence of current cigarette smokers had decreased from 2006 to 2011 (4.8% to 1.4%, respectively). Rates of exposure to second-hand smoke at home were 36.3% in 2006 and 39.7% in 2011, while rates of exposure to second-hand smoke in other places did not change. Most students recognized that they should give patients counseling to quit smoking, but only 20.6% in 2006 and 28.4% in 2011 of them had received formal training in tobacco cessation counseling. CONCLUSION: There were low percentages of current cigarette smoking but high percentages of exposure to second-hand smoke among medical technology students. The percentage of cessation training was still low among students. Therefore, medical technology schools should provide formal training in tobacco cessation for all students to help improve their ability in providing advice to patients.</t>
  </si>
  <si>
    <t>J2: J Med Assoc Thai; Namjuntra, Pisit Suriyaprom, Kanjana; ID: 208</t>
  </si>
  <si>
    <t>http://ovidsp.ovid.com/ovidweb.cgi?T=JS&amp;CSC=Y&amp;NEWS=N&amp;PAGE=fulltext&amp;D=med8&amp;AN=26638595</t>
  </si>
  <si>
    <t>MEDLINE; Ovid Technologies; Tobacco Use, Exposure to Secondhand Smoke and Cessation Training among Third-Year Medical Technology Students in Thailand</t>
  </si>
  <si>
    <t>Nardin,R.;Zallman,L.;Frank,C.;Day,B.;Boyd,J. W.</t>
  </si>
  <si>
    <t>US medical students' health insurance coverage for mental health and substance abuse treatment</t>
  </si>
  <si>
    <t>Cost Sharing;Deductibles and Coinsurance;Humans;*Insurance Coverage/sn Statistics &amp; Numerical Data];*Insurance, Health/sn Statistics &amp; Numerical Data];*Mental Disorders/ec Economics];Mental Disorders/th Therapy];Mental Health;Mental Health Services/ec Economics];Patient Acceptance of Health Care;Schools, Medical/ec Economics];*Schools, Medical/sn Statistics &amp; Numerical Data];Stress, Psychological;*Students, Medical/px Psychology];Students, Medical/sn Statistics &amp; Numerical Data];*Substance-Related Disorders/ec Economics];Substance-Related Disorders/th Therapy];United States</t>
  </si>
  <si>
    <t>J2: Jama; Nardin, Rachel Zallman, Leah Frank, Cassie Day, Benjamin Boyd, J Wesley; ID: 502</t>
  </si>
  <si>
    <t>Nardin, Rachel. Department of Medicine, Cambridge Health Alliance, Cambridge, Massachusetts, USA. rnardin@challiance.org</t>
  </si>
  <si>
    <t>http://ovidsp.ovid.com/ovidweb.cgi?T=JS&amp;CSC=Y&amp;NEWS=N&amp;PAGE=fulltext&amp;D=med7&amp;AN=21900132</t>
  </si>
  <si>
    <t>https://dx.doi.org/10.1001/jama.2011.1262</t>
  </si>
  <si>
    <t>MEDLINE; Ovid Technologies; US medical students' health insurance coverage for mental health and substance abuse treatment</t>
  </si>
  <si>
    <t>Naskar,N. N.;Bhattacharya,S. K.</t>
  </si>
  <si>
    <t>A study on drug abuse among the undergraduate medical students in Calcutta</t>
  </si>
  <si>
    <t>Journal of the Indian Medical Association</t>
  </si>
  <si>
    <t>J.Indian Med.Assoc.</t>
  </si>
  <si>
    <t>Adolescent;Adult;Cross-Sectional Studies;*Developing Countries;Education, Medical, Undergraduate;Female;Humans;Incidence;India/ep Epidemiology];Male;*Students, Medical/sn Statistics &amp; Numerical Data];*Substance-Related Disorders/ep Epidemiology];*Urban Population/sn Statistics &amp; Numerical Data]</t>
  </si>
  <si>
    <t>A study conducted during 1993 among undergraduate medical students in 2 medical colleges of Calcutta indicated that the prevalence of total and current drug abusers were 48.9% and 27.9% respectively of the respondent student population. The drug abuse rate gradually increased with advancement of each academic year i.e., from 24% in the first year to 74.4% in the final year, being maximum (84.5%) in the age group of 25-29 years. The prevalence among boys (58.4%) was significantly higher than that among girls (25.9%). Hostellers were found to be more drug users than non-hostellers. In the pattern of drug abuse, 12.6% of students used tobacco only and 3.6% alcohol only. Most commonly used combination was alcohol, tobacco and other drugs which constituted 12.7% of students.</t>
  </si>
  <si>
    <t>J2: J Indian Med Assoc; Naskar, N N Bhattacharya, S K; ID: 1047</t>
  </si>
  <si>
    <t>0019-5847</t>
  </si>
  <si>
    <t>Naskar, N N. Department of Community Medicine, Calcutta National Medical College.</t>
  </si>
  <si>
    <t>http://ovidsp.ovid.com/ovidweb.cgi?T=JS&amp;CSC=Y&amp;NEWS=N&amp;PAGE=fulltext&amp;D=med4&amp;AN=10549182</t>
  </si>
  <si>
    <t>MEDLINE; Ovid Technologies; A study on drug abuse among the undergraduate medical students in Calcutta</t>
  </si>
  <si>
    <t>Nath,K.;Naskar,S.;Victor,R.</t>
  </si>
  <si>
    <t>A Cross-Sectional Study on the Prevalence, Risk Factors, and Ill Effects of Internet Addiction Among Medical Students in Northeastern India</t>
  </si>
  <si>
    <t>The Primary Care Companion to CNS Disorders</t>
  </si>
  <si>
    <t>Adolescent;Adult;*Behavior, Addictive/ep Epidemiology];Behavior, Addictive/px Psychology];Cross-Sectional Studies;Female;Humans;India/ep Epidemiology];*Internet;Male;Prevalence;Psychiatric Status Rating Scales;Risk Factors;Students, Medical/px Psychology];*Students, Medical/sn Statistics &amp; Numerical Data];Time Factors;Young Adult</t>
  </si>
  <si>
    <t>OBJECTIVE: To evaluate Internet addiction among medical students in northeastern India and gain detailed knowledge about the prevalence, risk factors, and ill effects commonly associated with the disorder. METHOD: The cross-sectional study sample comprised 188 medical students from Silchar Medical College and Hospital (Silchar, Assam, India). Students completed a sociodemographic form and an Internet use questionnaire, both created for this study, and the Young's 20-Item Internet Addiction Test after they received brief instructions. Data were collected during a10-day period in June 2015. RESULTS: Of the 188 medical students, 46.8% were at increased risk of Internet addiction. Those who were found to be at increased risk had longer years of Internet exposure (P = .046) and always online status (P = .033). Also, among this group, the men were more prone to develop an online relationship. Excessive Internet usage also led to poor performance in college (P &lt; .0001) and feeling moody, anxious, and depressed (P &lt; .0001). CONCLUSIONS: The ill effects of Internet addiction include withdrawal from real-life relationships, deterioration in academic activities, and a depressed and nervous mood. Internet use for nonacademic purposes is increasing among students, thus there is an immediate need for strict supervision and monitoring at the institutional level. The possibility of becoming addicted to the Internet should be emphasized to students and their parents through awareness campaigns so that interventions and restrictions can be implemented at the individual and family levels.</t>
  </si>
  <si>
    <t>J2: Prim Care Companion CNS Disord; Using Smart Source Parsing Nath, Kamal Naskar, Subrata Victor, Robin; ID: 107</t>
  </si>
  <si>
    <t>2155-7780</t>
  </si>
  <si>
    <t>Nath, Kamal. Department of Psychiatry, Silchar Medical College and Hospital, Silchar, Assam, India. Naskar, Subrata. Department of Psychiatry, Silchar Medical College and Hospital, Silchar, Assam, India. Victor, Robin. Department of Psychiatry, Silchar Medical College and Hospital, Silchar, Assam, India.</t>
  </si>
  <si>
    <t>http://ovidsp.ovid.com/ovidweb.cgi?T=JS&amp;CSC=Y&amp;NEWS=N&amp;PAGE=fulltext&amp;D=med8&amp;AN=27486546</t>
  </si>
  <si>
    <t>https://dx.doi.org/10.4088/PCC.15m01909</t>
  </si>
  <si>
    <t>MEDLINE; Ovid Technologies; A Cross-Sectional Study on the Prevalence, Risk Factors, and Ill Effects of Internet Addiction Among Medical Students in Northeastern India</t>
  </si>
  <si>
    <t>Neelon,B.;O'Malley,A. J.;Normand,S. L.</t>
  </si>
  <si>
    <t>NIHMS197107; A bayesian two-part latent class model for longitudinal medical expenditure data: assessing the impact of mental health and substance abuse parity</t>
  </si>
  <si>
    <t>Biometrics</t>
  </si>
  <si>
    <t>Computer Simulation;Humans;Longitudinal Studies;*Mental Health Services/ec Economics];*Mental Health Services/ut Utilization];*Models, Economic;*Resource Allocation/sn Statistics &amp; Numerical Data];*Substance-Related Disorders/ec Economics];*Substance-Related Disorders/ep Epidemiology];United States/ep Epidemiology]</t>
  </si>
  <si>
    <t>In 2001, the U.S. Office of Personnel Management required all health plans participating in the Federal Employees Health Benefits Program to offer mental health and substance abuse benefits on par with general medical benefits. The initial evaluation found that, on average, parity did not result in either large spending increases or increased service use over the four-year observational period. However, some groups of enrollees may have benefited from parity more than others. To address this question, we propose a Bayesian two-part latent class model to characterize the effect of parity on mental health use and expenditures. Within each class, we fit a two-part random effects model to separately model the probability of mental health or substance abuse use and mean spending trajectories among those having used services. The regression coefficients and random effect covariances vary across classes, thus permitting class-varying correlation structures between the two components of the model. Our analysis identified three classes of subjects: a group of low spenders that tended to be male, had relatively rare use of services, and decreased their spending pattern over time; a group of moderate spenders, primarily female, that had an increase in both use and mean spending after the introduction of parity; and a group of high spenders that tended to have chronic service use and constant spending patterns. By examining the joint 95% highest probability density regions of expected changes in use and spending for each class, we confirmed that parity had an impact only on the moderate spender class.</t>
  </si>
  <si>
    <t>J2: Biometrics; Neelon, Brian O'Malley, A James Normand, Sharon-Lise T; ID: 524</t>
  </si>
  <si>
    <t>1541-0420</t>
  </si>
  <si>
    <t>Neelon, Brian. Nicholas School of the Environment, Duke University, Durham, North Carolina 27708, USA. brian.neelon@duke.edu</t>
  </si>
  <si>
    <t>http://ovidsp.ovid.com/ovidweb.cgi?T=JS&amp;CSC=Y&amp;NEWS=N&amp;PAGE=fulltext&amp;D=med7&amp;AN=20528856</t>
  </si>
  <si>
    <t>https://dx.doi.org/10.1111/j.1541-0420.2010.01439.x</t>
  </si>
  <si>
    <t>MEDLINE; Ovid Technologies; A bayesian two-part latent class model for longitudinal medical expenditure data: assessing the impact of mental health and substance abuse parity</t>
  </si>
  <si>
    <t>Negrete,J. C.</t>
  </si>
  <si>
    <t>Conversation with Juan Carlos Negrete</t>
  </si>
  <si>
    <t>Alcohol Drinking/pc Prevention &amp; Control];Alcohol Drinking/td Trends];Argentina;Biomedical Research/td Trends];Career Choice;Education, Medical, Graduate;Harm Reduction;Humans;*Psychiatry;Substance-Related Disorders/dt Drug Therapy];*Substance-Related Disorders/pc Prevention &amp; Control]</t>
  </si>
  <si>
    <t>Juan Carlos Negrete is Emeritus Professor of Psychiatry, McGill University; Founding Director, Addictions Unit, Montreal General Hospital; former President, Canadian Society of Addiction Medicine; and former WHO/PAHO Consultant on Alcoholism, Drug Addiction and Mental Health.</t>
  </si>
  <si>
    <t>J2: Addiction; Negrete, Juan Carlos; ID: 328</t>
  </si>
  <si>
    <t>http://ovidsp.ovid.com/ovidweb.cgi?T=JS&amp;CSC=Y&amp;NEWS=N&amp;PAGE=fulltext&amp;D=med7&amp;AN=23398302</t>
  </si>
  <si>
    <t>https://dx.doi.org/10.1111/add.12053</t>
  </si>
  <si>
    <t>MEDLINE; Ovid Technologies; Conversation with Juan Carlos Negrete</t>
  </si>
  <si>
    <t>The role of medical schools in the prevention of alcohol-related problems</t>
  </si>
  <si>
    <t>Alcoholics Anonymous;Alcoholism/co Complications];Alcoholism/di Diagnosis];Alcoholism/ep Epidemiology];*Alcoholism/pc Prevention &amp; Control];Alcoholism/px Psychology];Attitude of Health Personnel;Canada;Clinical Competence/st Standards];*Curriculum;Education, Medical/td Trends];Evaluation Studies as Topic;Family Health;Global Health;Health Education;Humans;*Physician's Role;Prevalence;*Schools, Medical/og Organization &amp; Administration];Schools, Medical/td Trends]</t>
  </si>
  <si>
    <t>There is agreement that physicians can play a major role in the prevention of alcohol problems among their patients and that medical schools should prepare physicians for this role by teaching three major subject areas: knowledge, attitudes and clinical skills. Despite this agreement and the acknowledged high prevalence of alcohol problems in clinical populations, medical school coverage of these problems is not proportional to their importance. Barriers to adequate coverage of alcohol problems are traditional attitudes, confusion as to whether such problems are "medical" and lack of adequate faculty role models. These problems could be remedied by encouragement and training of interested faculty members, establishment of substance abuse centres in university medical schools, integration of alcohol-related material with relevant topics in all departments and inclusion of alcohol-related questions on medical qualifying exams.</t>
  </si>
  <si>
    <t>J2: Cmaj; Negrete, J C; ID: 1337</t>
  </si>
  <si>
    <t>Negrete, J C. Alcohol and Drug Dependency Unit, Montreal General Hospital.</t>
  </si>
  <si>
    <t>http://ovidsp.ovid.com/ovidweb.cgi?T=JS&amp;CSC=Y&amp;NEWS=N&amp;PAGE=fulltext&amp;D=med3&amp;AN=2224672</t>
  </si>
  <si>
    <t>MEDLINE; Ovid Technologies; The role of medical schools in the prevention of alcohol-related problems</t>
  </si>
  <si>
    <t>Nelson,H. D.;Matthews,A. M.;Girard,D. E.;Bloom,J. D.</t>
  </si>
  <si>
    <t>Substance-impaired physicians probationary and voluntary treatment programs compared</t>
  </si>
  <si>
    <t>Adult;Age Factors;Aged;Alcoholism/th Therapy];Female;Governing Board;Humans;Internship and Residency;Length of Stay;Male;Medical Staff, Hospital;Mental Disorders;Middle Aged;Oregon;*Physician Impairment;Professional Practice;Recurrence;Referral and Consultation;Retrospective Studies;*Substance-Related Disorders/th Therapy];Treatment Outcome;Voluntary Health Agencies</t>
  </si>
  <si>
    <t>We compared the characteristics and treatment outcomes of substance-impaired physicians monitored by two different programs in Oregon: a probationary program administered by the Oregon Board of Medical Examiners and the confidential, voluntary Diversion Program for Health Professionals. Demographic, substance use, and treatment outcome variables were obtained by a retrospective medical record review from 41 physicians monitored by the Oregon board and 56 physicians monitored by the diversion program during a 3-year study period. Compared with physicians monitored by the Oregon board, physicians in the diversion program were younger, more likely to be in training programs and less likely to be in hospital-based practice settings, more often reported by immediate rather than third-party contacts, more likely to choose in-state inpatient treatment than out-of-state treatment, and less likely to have concurrent mental illness diagnoses (P &lt; .05 for all comparisons). Short-term relapse rates did not differ statistically between the groups (22.0% for the Oregon board group, 14.3% for the diversion program group). The higher number of younger physicians and physicians in training and tendency toward increased reporting by immediate contacts in the diversion program suggested earlier intervention than in the Oregon board group.</t>
  </si>
  <si>
    <t>J2: West J Med; Nelson, H D Matthews, A M Girard, D E Bloom, J D Comment in: West J Med. 1996 Jul-Aug;165(1-2):81-2; PMID: 8855700; ID: 1167</t>
  </si>
  <si>
    <t>Nelson, H D. Department of Medicine, Oregon Health Sciences University, Portland, USA.</t>
  </si>
  <si>
    <t>http://ovidsp.ovid.com/ovidweb.cgi?T=JS&amp;CSC=Y&amp;NEWS=N&amp;PAGE=fulltext&amp;D=med4&amp;AN=8855682</t>
  </si>
  <si>
    <t>MEDLINE; Ovid Technologies; Substance-impaired physicians probationary and voluntary treatment programs compared</t>
  </si>
  <si>
    <t>Nerin,I.;Guillen,D.;Mas,A.;Crucelaegui,A.</t>
  </si>
  <si>
    <t>Evaluation of the influence of medical education on the smoking attitudes of future doctors]</t>
  </si>
  <si>
    <t>Adult;*Education, Medical;Female;*Health Knowledge, Attitudes, Practice;Humans;Male;*Smoking/ep Epidemiology];Smoking/px Psychology];Spain/ep Epidemiology];*Students, Medical/px Psychology]</t>
  </si>
  <si>
    <t>OBJECTIVE: To evaluate whether medical education influences the prevalence, awareness of, and attitudes to smoking of medical students in the first 3 years of their degree. MATERIAL AND METHODS: In this descriptive longitudinal questionnaire-based study of university students, data for medical and veterinary students in their first 3 years were compared. RESULTS: Of the 226 registered first-year medical students, 181 (80%) returned the questionnaire. Of the 180 first-year veterinary students, 161 (89%) replied to the questionnaire. In the third year, 151 questionnaires from medical students and 139 from veterinary students were returned. There were no differences in age or sex between the 2 groups, and both had more women. The prevalence of smokers increased between the first year and the beginning of the third (from 20% to 31% among medical students and from 28% to 32% among veterinary students). An improvement in the awareness of smoking as a risk factor was observed for medical students, but no change in attitude was observed. CONCLUSIONS: The influence of medical education on this health concern is limited as there is no reduction in the prevalence of smoking. Medical education also seems unable to change attitudes to smoking. More students relate smoking to risk factors for certain diseases, showing greater awareness of the health problems caused by smoking.</t>
  </si>
  <si>
    <t>J2: Arch Bronconeumol; Spanish Nerin, I Guillen, D Mas, A Crucelaegui, A; OP: Evaluacion de la influencia que ejerce la facultad de medicina en los futuros medicos respecto al tabaquismo; ID: 892</t>
  </si>
  <si>
    <t>Nerin, I. Unidad de Tabaquismo, Departamento de Medicina y Psiquiatria, Facultad de Medicina, Universidad de Zaragoza, Zaragoza, Spain. isabelne@posta.unizar.es</t>
  </si>
  <si>
    <t>http://ovidsp.ovid.com/ovidweb.cgi?T=JS&amp;CSC=Y&amp;NEWS=N&amp;PAGE=fulltext&amp;D=med5&amp;AN=15274862</t>
  </si>
  <si>
    <t>MEDLINE; Ovid Technologies; [Evaluation of the influence of medical education on the smoking attitudes of future doctors]</t>
  </si>
  <si>
    <t>Nettles,C. D.;Benotsch,E. G.;Uban,K. A.</t>
  </si>
  <si>
    <t>Sexual risk behaviors among men who have sex with men using erectile dysfunction medications</t>
  </si>
  <si>
    <t>AIDS Patient Care &amp; Stds</t>
  </si>
  <si>
    <t>Adult;*Erectile Dysfunction/dt Drug Therapy];*HIV Infections/ep Epidemiology];*Homosexuality, Male;Humans;Male;Middle Aged;*Phosphodiesterase Inhibitors/pd Pharmacology];Risk-Taking;Surveys and Questionnaires;*Unsafe Sex;Young Adult;0 (Phosphodiesterase Inhibitors)</t>
  </si>
  <si>
    <t>This study examined relationships between use of the phosphodiesterase type-5 (PDE-5) inhibitors (erectile dysfunction medications) sildenafil (Viagra), Pfizer, New York, NY), tadalafil (Cialis), Eli Lily, Indianapolis, IN), and/or vardenafil (Levitra), Bayer, Berlin, Germany), substance use, perceptions of risk, and sexual behavior in men who have sex with men (MSM). MSM (N = 342) attending a gay pride festival completed a brief survey assessing sexual behavior, risk perceptions, and substance use, including the use and the source of PDE-5 inhibitors. More than a quarter of the sample (26.3%, n = 89) reported having ever used a PDE-5 inhibitor. Those reporting use of PDE-5 inhibitors had higher rates of sexual risk behaviors and differed in their assessment of the risk of HIV transmission for unprotected anal sex. Users who received PDE-5 inhibitors from their doctors did not report sexual behaviors that differed significantly from those who received PDE-5 inhibitors from nonphysician sources. In a sequential logistic regression analysis, recent PDE-5 inhibitor use was associated with unprotected anal sex after accounting for the influence of age, education, ethnic identity, and substance use. Many MSM users of erectile dysfunction drugs report behaviors that may place their and others' health at risk. Interventions to reduce risk among MSM PDE-5 inhibitor users should be explored.</t>
  </si>
  <si>
    <t>J2: AIDS Patient Care STDS; Nettles, Christopher D Benotsch, Eric G Uban, Kristina A; ID: 599</t>
  </si>
  <si>
    <t>1557-7449</t>
  </si>
  <si>
    <t>Nettles, Christopher D. Department of Psychology, The George Washington University, Washington, D.C. 20052, USA. cdnettle@gwu.edu</t>
  </si>
  <si>
    <t>http://ovidsp.ovid.com/ovidweb.cgi?T=JS&amp;CSC=Y&amp;NEWS=N&amp;PAGE=fulltext&amp;D=med6&amp;AN=19909171</t>
  </si>
  <si>
    <t>https://dx.doi.org/10.1089/apc.2009.0029</t>
  </si>
  <si>
    <t>MEDLINE; Ovid Technologies; Sexual risk behaviors among men who have sex with men using erectile dysfunction medications</t>
  </si>
  <si>
    <t>Neufeld,K. J.;Alvanzo,A.;King,V. L.;Feldman,L.;Hsu,J. H.;Rastegar,D. A.;Colbert,J. M.;MacKinnon,D. F.</t>
  </si>
  <si>
    <t>A collaborative approach to teaching medical students how to screen, intervene, and treat substance use disorders</t>
  </si>
  <si>
    <t>*Clinical Competence;*Cooperative Behavior;*Education, Medical, Undergraduate/mt Methods];Humans;Program Development;*Psychiatry/ed Education];*Psychotherapy, Brief/ed Education];*Referral and Consultation;*Substance Abuse Detection;*Substance-Related Disorders</t>
  </si>
  <si>
    <t>Few medical schools require a stand-alone course to develop knowledge and skills relevant to substance use disorders (SUDs). The authors successfully initiated a new course for second-year medical students that used screening, brief intervention, and referral to treatment (SBIRT) as the course foundation. The 15-hour course (39 faculty teaching hours) arose from collaboration between faculty in Departments of Medicine and Psychiatry and included 5 hours of direct patient interaction during clinical demonstrations and in small-group skills development. Pre- and post-exam results suggest that the course had a significant impact on knowledge about SUDs. The authors' experience demonstrates that collaboration between 2 clinical departments can produce a successful second-year medical student course based in SBIRT principles.</t>
  </si>
  <si>
    <t>J2: Subst Abus; Neufeld, Karin J Alvanzo, Anika King, Van L Feldman, Leonard Hsu, Jeffrey H Rastegar, Darius A Colbert, Jorie M MacKinnon, Dean F; ID: 415</t>
  </si>
  <si>
    <t>Neufeld, Karin J. Department of Psychiatry and Behavioral Sciences, The Johns Hopkins University School of Medicine, Baltimore, Maryland, USA. kneufel2@jhmi.edu</t>
  </si>
  <si>
    <t>http://ovidsp.ovid.com/ovidweb.cgi?T=JS&amp;CSC=Y&amp;NEWS=N&amp;PAGE=fulltext&amp;D=med7&amp;AN=22738007</t>
  </si>
  <si>
    <t>https://dx.doi.org/10.1080/08897077.2011.640090</t>
  </si>
  <si>
    <t>MEDLINE; Ovid Technologies; A collaborative approach to teaching medical students how to screen, intervene, and treat substance use disorders</t>
  </si>
  <si>
    <t>Neufeld,K. J.;Schuckit,M. A.;Hernandez-Avila,C.</t>
  </si>
  <si>
    <t>Alcohol medical scholars program--a mentorship program for improving medical education regarding substance use disorders</t>
  </si>
  <si>
    <t>Adult;Attitude of Health Personnel;Curriculum;Data Collection/sn Statistics &amp; Numerical Data];*Education, Medical, Continuing/mt Methods];*Education, Medical, Continuing/sn Statistics &amp; Numerical Data];*Fellowships and Scholarships;Humans;*Mentors/sn Statistics &amp; Numerical Data];*Program Development;*Program Evaluation/sn Statistics &amp; Numerical Data];Self Report;*Substance-Related Disorders</t>
  </si>
  <si>
    <t>The Alcohol Medical Scholars Program (AMSP) is designed to improve medical education related to substance use disorders (SUDs) through mentorship of junior, full-time academic faculty from medical schools across the United States. Scholarship focuses on literature review and synthesis, lecture development and delivery, increasing SUD education in their medical schools, professional development, and networking. Results are reported from an anonymous survey of self-reported changes in educational involvement by 28 of 33 AMSP graduates. Participation was associated with a 4-fold increase in yearly SUD lecture time and topics, increased numbers of medical disciplines taught and trained in clinical rotations, design of new SUD-related electives and journal clubs, and membership on medical education committees. Sixty percent of scholars reported promotion since involvement in AMSP, with the majority endorsing the organization's contribution to professional development. AMSP is a useful mentorship model for junior faculty and is associated with increasing SUD-related medical education.</t>
  </si>
  <si>
    <t>J2: Subst Abus; Neufeld, Karin J Schuckit, Marc A Hernandez-Avila, Carlos A; ID: 496</t>
  </si>
  <si>
    <t>Neufeld, Karin J. Department of Psychiatry and Behavioral Sciences, Johns Hopkins University, School of Medicine, Baltimore, Maryland, USA. kneufel2@jhmi.edu</t>
  </si>
  <si>
    <t>http://ovidsp.ovid.com/ovidweb.cgi?T=JS&amp;CSC=Y&amp;NEWS=N&amp;PAGE=fulltext&amp;D=med7&amp;AN=21660871</t>
  </si>
  <si>
    <t>https://dx.doi.org/10.1080/08897077.2011.562451</t>
  </si>
  <si>
    <t>MEDLINE; Ovid Technologies; Alcohol medical scholars program--a mentorship program for improving medical education regarding substance use disorders</t>
  </si>
  <si>
    <t>Newman,R. G.</t>
  </si>
  <si>
    <t>The epidemiological approach to drug abuse: its relevance to the teaching of future professionals</t>
  </si>
  <si>
    <t>Epidemiologic Methods;Health Occupations/ed Education];Heroin Dependence/rh Rehabilitation];Humans;Legislation, Medical;Methadone/tu Therapeutic Use];Substance-Related Disorders/ep Epidemiology];*Substance-Related Disorders/et Etiology];United States;UC6VBE7V1Z (Methadone)</t>
  </si>
  <si>
    <t>In most areas of the medical curriculum it is far more important to teach students the approach to problems, rather than to encourage rote learning of the specific diagnostic and therapeutic regimen indicated in every conceivable circumstance. This is especially true in the field of substance abuse, in part because there simply are no clear-cut answers which can be universally applied. Nevertheless, dogmatism has been all too common in the teaching as well as the treatment of addiction, and there is a general tendency to view the problem simplistically and to advocate a specific modality as the solution. Teaching new professionals to apply the holistic perspective of the epidemiologist will enhance the likelihood of establishing realistic program goals, and adopting a comprehensive, balanced approach.</t>
  </si>
  <si>
    <t>J2: Am J Drug Alcohol Abuse; Newman, R G; ID: 1527</t>
  </si>
  <si>
    <t>http://ovidsp.ovid.com/ovidweb.cgi?T=JS&amp;CSC=Y&amp;NEWS=N&amp;PAGE=fulltext&amp;D=med1&amp;AN=1032756</t>
  </si>
  <si>
    <t>MEDLINE; Ovid Technologies; The epidemiological approach to drug abuse: its relevance to the teaching of future professionals</t>
  </si>
  <si>
    <t>Nicholson,S. C.;Evanyo,K.;Salinas,G. D.;Roepke,N.;Burton,B. S.;Susalka,D.</t>
  </si>
  <si>
    <t>Extended-release/long-acting opioid REMS may fill the need for prescribers' appropriate use education</t>
  </si>
  <si>
    <t>*Analgesics, Opioid/ad Administration &amp; Dosage];Analgesics, Opioid/ae Adverse Effects];Delayed-Action Preparations;Drug Industry;Drug Prescriptions;*Drug and Narcotic Control/mt Methods];Education, Medical, Continuing/mt Methods];Health Education;*Health Occupations/ed Education];Humans;Opioid-Related Disorders/pc Prevention &amp; Control];Risk Assessment/mt Methods];*Risk Management/mt Methods];United States;United States Food and Drug Administration;0 (Analgesics, Opioid);0 (Delayed-Action Preparations)</t>
  </si>
  <si>
    <t>The Food and Drug Administration (FDA) is requiring manufacturers of long-acting and extended-release opioids to have a class-wide Risk Evaluation and Mitigation Strategy (REMS). The comprehensive risk management plan will include training for prescribers on the appropriate and safe use of these pain medications. The letter dated April 19, 2011 from FDA to manufacturers outlining the REMS requirements describes voluntary training that should be certified education "where practicable." The current report includes data from a recent comprehensive study of healthcare professionals and patients and highlights key insights that can guide the development of the opioid REMS training.</t>
  </si>
  <si>
    <t>J2: J Opioid Manag; Nicholson, Susan C Evanyo, Kimberly Salinas, Gregory D Roepke, Nancy Burton, B Stephen Susalka, Debi jom.2012.0118; ID: 420</t>
  </si>
  <si>
    <t>Nicholson, Susan C. Janssen Scientific Affairs, LLC, Titusville, New Jersey, USA.</t>
  </si>
  <si>
    <t>http://ovidsp.ovid.com/ovidweb.cgi?T=JS&amp;CSC=Y&amp;NEWS=N&amp;PAGE=fulltext&amp;D=med7&amp;AN=22941848</t>
  </si>
  <si>
    <t>https://dx.doi.org/10.5055/jom.2012.0118</t>
  </si>
  <si>
    <t>MEDLINE; Ovid Technologies; Extended-release/long-acting opioid REMS may fill the need for prescribers' appropriate use education</t>
  </si>
  <si>
    <t>Nicholson,W. K.;Brickhouse,B.;Powe,N. R.;Bronner,Y.</t>
  </si>
  <si>
    <t>Prenatal patients' views of prenatal care services: a medical center-based assessment of knowledge and intent to use support services</t>
  </si>
  <si>
    <t>Ethnicity &amp; disease</t>
  </si>
  <si>
    <t>Ethn.Dis.</t>
  </si>
  <si>
    <t>Academic Medical Centers;Adult;*African Americans/px Psychology];African Americans/sn Statistics &amp; Numerical Data];Counseling/ut Utilization];Cross-Sectional Studies;Female;Health Education/ut Utilization];*Health Knowledge, Attitudes, Practice;Health Services Needs and Demand;Humans;Needs Assessment;Parity;*Patient Acceptance of Health Care/eh Ethnology];Patient Acceptance of Health Care/px Psychology];*Patient-Centered Care/ut Utilization];Poverty;Pregnancy;*Pregnancy, High-Risk/eh Ethnology];Pregnancy, High-Risk/px Psychology];*Prenatal Care/ut Utilization];Referral and Consultation/ut Utilization];*Social Support;Social Work;Socioeconomic Factors;Urban Health Services</t>
  </si>
  <si>
    <t>BACKGROUND: Our objective was to ascertain the priority of prenatal support services from the perspective of high-risk patients. The relationship between patients' needs, and both knowledge of and intent to use services, was examined, while documenting factors associated with the intent to use available support services. METHODS: The authors of this study conducted a cross-sectional survey of 102 African-American women at a university-affiliated, urban-health center. Patients' priority support needs were compared to their knowledge of and intent to use support services using chi-square statistics. Logistic regression was used to determine factors independently associated with patients' intent to use 5 support services (substance abuse counseling, community referrals, health education, nutrition services, and social work services), while adjusting for potential socioeconomic confounding variables, knowledge, and need for services. RESULTS: Knowledge of existing services was independently associated with patient intent to use one or more support services (odds ratio 3.6; confidence interval 1.4-9.4). With each one-unit increase in parity, a 30% less odds (odds ratio 0.7; confidence interval 0.4-0.9) of using one or more support services occurred. CONCLUSIONS: Physicians should ensure prenatal patients' knowledge of support services at healthcare centers. Multiparity is inversely related to women's intent to use support services, independent of their knowledge of service availability.</t>
  </si>
  <si>
    <t>J2: Ethn Dis; Nicholson, Wanda K Brickhouse, Bergina Powe, Neil R Bronner, Yvonne; ID: 905</t>
  </si>
  <si>
    <t>1049-510X</t>
  </si>
  <si>
    <t>Nicholson, Wanda K. Women's and Children's Health Policy Center, Department of Population and Family Health Sciences, Baltimore, Maryland, USA. wnichol@jhmi.edu</t>
  </si>
  <si>
    <t>http://ovidsp.ovid.com/ovidweb.cgi?T=JS&amp;CSC=Y&amp;NEWS=N&amp;PAGE=fulltext&amp;D=med5&amp;AN=15002918</t>
  </si>
  <si>
    <t>MEDLINE; Ovid Technologies; Prenatal patients' views of prenatal care services: a medical center-based assessment of knowledge and intent to use support services</t>
  </si>
  <si>
    <t>Nigwekar,S. U.;Morse,D. S.</t>
  </si>
  <si>
    <t>Educational half day: an innovative way to incorporate substance abuse curriculum into residency training</t>
  </si>
  <si>
    <t>Clinical Competence;Curriculum;Hospitals, General;Humans;*Inservice Training;*Internal Medicine/ed Education];*Internship and Residency;New York;*Substance-Related Disorders</t>
  </si>
  <si>
    <t>Internal medicine residents often come across substance use disorder (SUD) issues; however not all residency programs have curricula to educate residents on management of these issues. We hereby describe a curricular action plan incorporating an innovative method of Educational Half Day (EHD) to address SUD issues in small group settings. We believe that EHD is an effective way of addressing substance abuse issues in the residency curriculum and it has the potential to change the way residents manage their patients with SUD.</t>
  </si>
  <si>
    <t>J2: Subst Abus; Nigwekar, Sagar U Morse, Diane S; ID: 749</t>
  </si>
  <si>
    <t>Nigwekar, Sagar U. Internal Medicine, Rochester General Hospital, Rochester, NY 14621, USA.</t>
  </si>
  <si>
    <t>http://ovidsp.ovid.com/ovidweb.cgi?T=JS&amp;CSC=Y&amp;NEWS=N&amp;PAGE=fulltext&amp;D=med5&amp;AN=17135174</t>
  </si>
  <si>
    <t>MEDLINE; Ovid Technologies; Educational half day: an innovative way to incorporate substance abuse curriculum into residency training</t>
  </si>
  <si>
    <t>Nikolic,N.;Gebauer,E.;Jovanovic,M.;Rakic,D.;Katanic,D.</t>
  </si>
  <si>
    <t>Problems and perspectives in child health care]</t>
  </si>
  <si>
    <t>Child;*Child Health Services;*Child Welfare;Humans;Yugoslavia</t>
  </si>
  <si>
    <t>Health care protection of children in Vojvodina is of particular importance regarding the negative natural birth rate. In spite of difficult economic situation, health care of children in Vojvodina is permanently carried out and would be significantly better in quality if the education of subspecialized personnel, space facilities, technological innovations, computerization and continuous education were available. Introduction of microanalytic laboratory techniques is essential for monitoring of prematures. Propagation of natural nutrition is an obligation of pediatricians. Respiratory diseases are still on the top of morbidity pyramid but tuberculosis is evidently in increase. An important health care problem is the expansion of allergic diseases. The progressive incidence of insulin-dependent diabetes is also evident. The spheres of juvenile gynecological endocrinology and andrology are still underdeveloped and that also applies to adolescent medicine. Toxicology remains an ongoing problem in pediatrics due to an increased number of accidental poisoning. Pediatricians-gastroenterologists are lacking while paediatric hepatology should be brought into more advanced state. Bone marrow and stem cells transplantation is in the responsibility of the Centre for haematology and oncology. Nephrology department lacks children's haemodialysis, ultrasound biopsy of kidneys, urodynamic analyses and new staff facilities. The increased number of survivals in case of children with with sequeles inevitably asks for better development of rehabilitation, prolonged treatment and teamwork. Intensive care and therapy department requires new staff and high technology capacities. Development of children's surgery department inevitably means the reconstruction of space facilities, modern equipment and new subspecializations. Preventive outpatient service is performed through systematic examinations. ultrasound diagnostics of hips, auditive screening and educational program activities related to addiction and veneral diseases. Genetic health of the population is supremely covered by the Center for Medical Genetics, with the tendenca for development of molecular genetics. It is necessary to develop rehabilitation service, prolonged treatment and teamwork. Diagnostic of convulsive conditions should be advanced with more refined diagnostic methods.</t>
  </si>
  <si>
    <t>J2: Med Pregl; Croatian Nikolic, N Gebauer, E Jovanovic, M Rakic, D Katanic, D; OP: Problemi i perspektive zdravstvene zastite dece; ID: 1118</t>
  </si>
  <si>
    <t>Nikolic, N. Institut za zdravstvenu zastitu dece i omladine, Medicinski fakultet, Novi Sad.</t>
  </si>
  <si>
    <t>Croatian</t>
  </si>
  <si>
    <t>http://ovidsp.ovid.com/ovidweb.cgi?T=JS&amp;CSC=Y&amp;NEWS=N&amp;PAGE=fulltext&amp;D=med4&amp;AN=9471520</t>
  </si>
  <si>
    <t>MEDLINE; Ovid Technologies; [Problems and perspectives in child health care]</t>
  </si>
  <si>
    <t>Niu,L.;Luo,D.;Silenzio,V. M.;Xiao,S.;Tian,Y.</t>
  </si>
  <si>
    <t>Are Informing Knowledge and Supportive Attitude Enough for Tobacco Control? A Latent Class Analysis of Cigarette Smoking Patterns among Medical Teachers in China</t>
  </si>
  <si>
    <t>International Journal of Environmental Research &amp; Public Health Electronic Resource]</t>
  </si>
  <si>
    <t>Adult;China/ep Epidemiology];Cross-Sectional Studies;*Education, Medical;*Faculty/sn Statistics &amp; Numerical Data];Female;*Health Knowledge, Attitudes, Practice;Humans;Male;Middle Aged;Prevalence;*Smoking/ep Epidemiology];Smoking Cessation;Surveys and Questionnaires;Tobacco</t>
  </si>
  <si>
    <t>BACKGROUND: This study is one part of a five-year tobacco-control project in China, which aimed to gain insight into the smoking behavior, knowledge, and attitudes among medical teachers in China. METHODS: In May 2010, a cross-sectional survey was conducted among medical teachers of Xiangya Medical School, Central South University, China. RESULTS: A total number of 682 medical teachers completed the surveys. Latent class analysis indicated the sample of smoking patterns was best represented by three latent subgroups of smoking consumption severity levels. Most respondents were informed of smoking related knowledge, but lack of knowledge on smoking cessation. Most of them held a supportive attitude towards their responsibilities among tobacco control, as well as the social significance of smoking. However, both smoking related knowledge and attitude were not correlated with severity of smoking consumption among medical teachers. CONCLUSION: The smoking prevalence among medical teachers in China remains high. Programs on smoking cessation training are required. Future study should also develop targeted interventions for subgroups of smokers based on smoking consumption. Persistent and effective anti-tobacco efforts are needed to achieve the goals of creating smoke-free campuses and hospitals.</t>
  </si>
  <si>
    <t>J2: Int J Environ Res Public Health; Niu, Lu Luo, Dan Silenzio, Vincent M B Xiao, Shuiyuan Tian, Yongquan; ID: 181</t>
  </si>
  <si>
    <t>1660-4601</t>
  </si>
  <si>
    <t>Niu, Lu. Department of Social Medicine and Health Management, School of Public Health, Central South University, Changsha 410078, Hunan, China. vincent_silenzio@urmc.rochester.edu. Niu, Lu. Department of Psychiatry, University of Rochester Medical Center, Rochester, New York, NY 14642, USA. vincent_silenzio@urmc.rochester.edu. Luo, Dan. Department of Social Medicine and Health Management, School of Public Health, Central South University, Changsha 410078, Hunan, China. luodan_csu_2011@126.com. Luo, Dan. Department of Psychiatry, University of Rochester Medical Center, Rochester, New York, NY 14642, USA. luodan_csu_2011@126.com. Silenzio, Vincent M B. Department of Psychiatry, University of Rochester Medical Center, Rochester, New York, NY 14642, USA. vincent_silenzio@urmc.rochester.edu. Xiao, Shuiyuan. Department of Social Medicine and Health Management, School of Public Health, Central South University, Changsha 410078, Hunan, China. xiaosy@csu.edu.cn. Tian, Yongquan. Department of Social Medicine and Health Management, School of Public Health, Central South University, Changsha 410078, Hunan, China. tianyq@csu.edu.cn.</t>
  </si>
  <si>
    <t>http://ovidsp.ovid.com/ovidweb.cgi?T=JS&amp;CSC=Y&amp;NEWS=N&amp;PAGE=fulltext&amp;D=med8&amp;AN=26404331</t>
  </si>
  <si>
    <t>https://dx.doi.org/10.3390/ijerph121012030</t>
  </si>
  <si>
    <t>MEDLINE; Ovid Technologies; Are Informing Knowledge and Supportive Attitude Enough for Tobacco Control? A Latent Class Analysis of Cigarette Smoking Patterns among Medical Teachers in China</t>
  </si>
  <si>
    <t>Noble,E. P.</t>
  </si>
  <si>
    <t>The Sidney Cohen lectureship in drug abuse medicine. Alcohol, brain, and society</t>
  </si>
  <si>
    <t>Alcoholism/pp Physiopathology];Brain/de Drug Effects];*Brain/ph Physiology];Electroencephalography;*Ethanol/pd Pharmacology];Humans;Socioeconomic Factors;3K9958V90M (Ethanol)</t>
  </si>
  <si>
    <t>J2: J Subst Abuse Treat; Noble, E P; ID: 1417</t>
  </si>
  <si>
    <t>Noble, E P. Department of Psychiatry and Biobehavioral Sciences, University of California, Los Angeles 90024.</t>
  </si>
  <si>
    <t>http://ovidsp.ovid.com/ovidweb.cgi?T=JS&amp;CSC=Y&amp;NEWS=N&amp;PAGE=fulltext&amp;D=med2&amp;AN=3437479</t>
  </si>
  <si>
    <t>MEDLINE; Ovid Technologies; The Sidney Cohen lectureship in drug abuse medicine. Alcohol, brain, and society</t>
  </si>
  <si>
    <t>Nocks,J. J.</t>
  </si>
  <si>
    <t>Instructing medical students on alcoholism: what to teach with limited time</t>
  </si>
  <si>
    <t>*Alcoholism/px Psychology];Attitude of Health Personnel;*Curriculum;*Education, Medical;Humans;*Students, Medical/px Psychology];Time Factors;United States</t>
  </si>
  <si>
    <t>Alcoholism in a major health problem which demands a place in the curriculum of medical schools. Yet many schools find there is more to teach than there is time available, especially since students now elect a significant portion of their educational experiences. The author reviews the literature on physicians' attitudes toward alcoholism, the possible reasons for these feelings, and attempts by others to change them through teaching. He concludes that when confronted with limited time in the medical school curriculum to teach on alcoholism, it may be best to emphasize discussion of the various issues related to physicians' attitudes. The author describes a six-hour course devoted to alcoholism in which this is done in a nonthreatening, small-group setting, with apparently positive results.</t>
  </si>
  <si>
    <t>J2: J Med Educ; Nocks, J J; ID: 1510</t>
  </si>
  <si>
    <t>http://ovidsp.ovid.com/ovidweb.cgi?T=JS&amp;CSC=Y&amp;NEWS=N&amp;PAGE=fulltext&amp;D=med2&amp;AN=7420394</t>
  </si>
  <si>
    <t>MEDLINE; Ovid Technologies; Instructing medical students on alcoholism: what to teach with limited time</t>
  </si>
  <si>
    <t>Noga,M.;Gruszczynski,W.</t>
  </si>
  <si>
    <t>Comorbidity in organic depressive disorders in patients Specialist Hospital Dr. J. Babinski in Cracow in the years 2008-2010]</t>
  </si>
  <si>
    <t>Polski Merkuriusz Lekarski</t>
  </si>
  <si>
    <t>Aged;Alcoholism/ep Epidemiology];Cardiovascular Diseases/ep Epidemiology];Comorbidity;Depressive Disorder/di Diagnosis];*Depressive Disorder/ep Epidemiology];Female;Hospitals, Psychiatric/sn Statistics &amp; Numerical Data];Humans;Male;Marital Status/sn Statistics &amp; Numerical Data];Medical History Taking;Mental Disorders/di Diagnosis];*Mental Disorders/ep Epidemiology];Middle Aged;Poland;Retirement/sn Statistics &amp; Numerical Data];Sex Distribution;Sex Factors;Substance-Related Disorders/ep Epidemiology];Surveys and Questionnaires</t>
  </si>
  <si>
    <t>UNLABELLED: With age occurs the aging central nervous system, and therefore increases the risk of mental disorders in this medium, including depressive disorders. In particular, a large proportion of depressive disorders in the organic substrate is observed in people over 65 years of age. Literature says that in this age group as 15-30% of people receiving assistance from family doctors have diagnosed depression. THE AIM OF THE STUDY was to investigate the comorbidity in patients with a diagnosis of organic depression. MATERIALS AND METHODS: We analyzed 227 medical records of diagnosed depressive disorders coexisting with other organic mental disorders in patients hospitalized in 2008-2010 in the Specialist Hospital Dr. J. Babinski in Cracow. We analyzed the medical records of outpatient treatment of the above. Analyses were made medical history by questionnaire of our own design. RESULTS: It has been shown that in the organic comorbidity depressive disorders related in most men, between 60 and 70 years of age. Most were people about the origin of the workers and peasants, mainly in vocational education. Every second person was unmarried. The subjects usually receive disability benefits and retirement. The organic depressive disorders frequently co-exist: the teams dementia, anxiety, personality disorders, delusional teams. The subjects were mainly dependent on alcohol and sedative drugs from the group of benzodiazepines. In every other test persons experienced cardiovascular disease. Among patients diagnosed with alcohol dependence disorder typical of taking psychoactive substances such as liver, pancreas, gastrointestinal tract. The treatment was particularly detrimental in people addicted to drugs. CONCLUSIONS: In the study population were two main groups of comorbid namely to psychoactive drugs and mental disorders not related with dependence on psychoactive substances. Comparative analysis of the dynamics of the disease has a significant adverse course and prognosis in children with addiction. In both groups, somatic concern comorbidity cardiovascular disease and in the control group significantly frequent somatic disorders typical of alcoholics (liver, pancreas).</t>
  </si>
  <si>
    <t>J2: Pol Merkuriusz Lek; Polish Noga, Monika Gruszczynski, Wojciech; OP: Wspolchorobowosc w organicznych zaburzeniach depresyjnych u pacjentow Szpitala Specjalistycznego im. Dr. J; ID: 335</t>
  </si>
  <si>
    <t>1426-9686</t>
  </si>
  <si>
    <t>Noga, Monika. Szpital Specjalistyczny im. dr. J. Babinskiego w Krakowie, Oddzial Leczenia Alkoholowych Zespolow Abstynencyjnych. monika0510@wp.pl</t>
  </si>
  <si>
    <t>http://ovidsp.ovid.com/ovidweb.cgi?T=JS&amp;CSC=Y&amp;NEWS=N&amp;PAGE=fulltext&amp;D=med7&amp;AN=23984605</t>
  </si>
  <si>
    <t>MEDLINE; Ovid Technologies; [Comorbidity in organic depressive disorders in patients Specialist Hospital Dr. J. Babinski in Cracow in the years 2008-2010]</t>
  </si>
  <si>
    <t>Nooromid,M. J.;Mansukhani,N. A.;Deschner,B. W.;Moradian,S.;Issa,N.;Ho,K. J.;Stulberg,J. J.</t>
  </si>
  <si>
    <t>Surgical interns: Preparedness for opioid prescribing before and after a training intervention</t>
  </si>
  <si>
    <t>INTRODUCTION: Exposure to pain management curriculum in medical school is currently variable. This paper reports on formal prescribing education, self-perceived prescribing readiness, and prescribing practices among incoming surgical residents before and after a pain management training session. METHODS: Pre-residency survey of thirty surgical interns at a single urban medical center, followed by a repeat survey after an educational session on prescription writing and opioid abuse. RESULTS: Thirty-three percent of respondents had formal education on prescription writing in medical school. Median subjective preparedness to write an opioid prescription was 1.5 (range 1-10) on a 1-10 Likert scale. Ranges of morphine milligram equivalents (MME) prescribed varied from 420-2700 MME for 8 mock surgical scenarios. Post-training, median subjective preparedness increased to 3.5 (range 1-6) and prescription accuracy (the inclusion of a medication, dose, frequency, and duration) improved from 75% to 97% (p &lt; 0.001). Overall, 90% of interns found the training session useful. CONCLUSION: Most surgical interns were not trained in prescribing narcotics in medical school. Improved pain management curriculum is necessary to assure safe and consistent opioid prescriptions.</t>
  </si>
  <si>
    <t>J2: Am J Surg; Nooromid, Michael J Mansukhani, Neel A Deschner, Benjamin W Moradian, Simon Issa, Nabil Ho, Karen J Stulberg, Jonah J S0002-9610(17)30704-3; ID: 1647</t>
  </si>
  <si>
    <t>Nooromid, Michael J. Department of Surgery, Northwestern University, Chicago, IL, USA. Electronic address: Michael.Nooromid@northwestern.edu. Mansukhani, Neel A. Department of Surgery, Northwestern University, Chicago, IL, USA. Electronic address: Neel.Mansukhani@northwestern.edu. Deschner, Benjamin W. Department of Surgery, Northwestern University, Chicago, IL, USA. Electronic address: Benjamin.Deschner@northwestern.edu. Moradian, Simon. Department of Surgery, Northwestern University, Chicago, IL, USA. Electronic address: Simon.Moradian@northwestern.edu. Issa, Nabil. Department of Surgery, Northwestern University, Chicago, IL, USA. Electronic address: Nabil.Issa@nm.org. Ho, Karen J. Department of Surgery, Northwestern University, Chicago, IL, USA. Electronic address: Kho1@nm.org. Stulberg, Jonah J. Department of Surgery, Northwestern University, Chicago, IL, USA. Electronic address: Jonah.Stulberg@nm.org.</t>
  </si>
  <si>
    <t>http://ovidsp.ovid.com/ovidweb.cgi?T=JS&amp;CSC=Y&amp;NEWS=N&amp;PAGE=fulltext&amp;D=prem&amp;AN=29179909</t>
  </si>
  <si>
    <t>https://dx.doi.org/10.1016/j.amjsurg.2017.11.017</t>
  </si>
  <si>
    <t>MEDLINE; Ovid Technologies; Surgical interns: Preparedness for opioid prescribing before and after a training intervention</t>
  </si>
  <si>
    <t>Norsiah,A.;Whelan,G.;Piterman,L.</t>
  </si>
  <si>
    <t>Training program in the field of addiction medicine - an experience of learning while abroad</t>
  </si>
  <si>
    <t>Malaysian Family Physician</t>
  </si>
  <si>
    <t>This paper illustrates the training program in the field of Addiction Medicine designed for primary care doctors by the Department of General Practice, School of Primary Care at Monash University in Melbourne. The nine month program was based around coursework, field visits and clinical observations. There were five modules that were completed and passed, twenty six Continuous Medical Education sessions attended, twenty nine field visits on Drug &amp; Alcohol services, forty seven clinical visits and a total of three hundred and sixty clinical observations made. The comprehensive training program has benefited the first author in several ways to improve the Drugs &amp; Alcohol services in Malaysia.</t>
  </si>
  <si>
    <t>J2: Malays Fam Physician; Norsiah, A Whelan, G Piterman, L; ID: 264</t>
  </si>
  <si>
    <t>1985-207X</t>
  </si>
  <si>
    <t>Norsiah, A. MD (USM), MMed (Fam Med), Family Medicine Specialist / Fellow in Addiction Medicine, Tampin Health Clinic, 73000 Tampin, Negeri Sembilan, Malaysia. Whelan, G. MBBS, MSc, MD, FRACP, FAFPHM, FAChAM, Professor of Addiction Medicine, School of Primary Health Care, Faculty of Medicine, Nursing and Health Sciences, Monash University, Melbourne, Victoria, Australia (First supervisor for the training program). Piterman, L. MBBS, MMed,MEdSt, MRCP(UK), FRACGP, Professor of General Practice &amp; Head, School of Primary Health Care, Faculty of Medicine, Nursing and Health Sciences, Monash University, Melbourne, Victoria, Australia (Second supervisor for the training program).</t>
  </si>
  <si>
    <t>http://ovidsp.ovid.com/ovidweb.cgi?T=JS&amp;CSC=Y&amp;NEWS=N&amp;PAGE=fulltext&amp;D=prem&amp;AN=25606116</t>
  </si>
  <si>
    <t>MEDLINE; Ovid Technologies; Training program in the field of addiction medicine - an experience of learning while abroad</t>
  </si>
  <si>
    <t>Oberleitner,L. M.;Tzilos,G. K.;Zumberg,K. M.;Grekin,E. R.</t>
  </si>
  <si>
    <t>Psychotropic drug use among college students: patterns of use, misuse, and medical monitoring</t>
  </si>
  <si>
    <t>Adult;Chi-Square Distribution;Depression/di Diagnosis];Diagnostic and Statistical Manual of Mental Disorders;Female;*Health Services Accessibility;Health Services Needs and Demand;Humans;Male;Mental Health;Mental Health Services;Psychometrics;*Psychotropic Drugs;*Street Drugs;*Students/px Psychology];*Substance-Related Disorders/ep Epidemiology];Suicidal Ideation;*Universities;Young Adult;0 (Psychotropic Drugs);0 (Street Drugs)</t>
  </si>
  <si>
    <t>OBJECTIVE: To assess whether college students who use psychotropic drugs are (1) aware of potential side effects, (2) appropriately monitored by prescribing physicians, and (3) taking medications as prescribed. PARTICIPANTS: Fifty-five college students, currently taking psychotropic medications, were recruited between Summer 2008 and Fall 2009. METHODS: Participants were given interviews assessing (1) interactions with prescribing physicians, (2) patterns of psychotropic drug use, and (3) Diagnostic and Statistical Manual of Mental Disorders Fourth Edition (DSM-IV) substance use disorders. RESULTS: Twenty-five percent of participants did not remember being assessed for suicidal ideation. A large number of participants took their medications in different quantities or frequencies than prescribed and 35% of participants met DSM criteria for substance dependence. CONCLUSIONS: Many students are misusing psychotropic medications and this misuse is not being communicated with prescribing physicians.</t>
  </si>
  <si>
    <t>J2: J Am Coll Health; Oberleitner, Lindsay M S Tzilos, Golfo K Zumberg, Kathryn M Grekin, Emily R; ID: 487</t>
  </si>
  <si>
    <t>1940-3208</t>
  </si>
  <si>
    <t>Oberleitner, Lindsay M S. Department of Psychology, Wayne State University, Detroit, Michigan 48202, USA. lsander@wayne.edu</t>
  </si>
  <si>
    <t>http://ovidsp.ovid.com/ovidweb.cgi?T=JS&amp;CSC=Y&amp;NEWS=N&amp;PAGE=fulltext&amp;D=med7&amp;AN=21823962</t>
  </si>
  <si>
    <t>https://dx.doi.org/10.1080/07448481.2010.521960</t>
  </si>
  <si>
    <t>MEDLINE; Ovid Technologies; Psychotropic drug use among college students: patterns of use, misuse, and medical monitoring</t>
  </si>
  <si>
    <t>O'Brien,C. P.</t>
  </si>
  <si>
    <t>Medical education and treatment of addictive disorders</t>
  </si>
  <si>
    <t>Medgenmed Computer File]: Medscape General Medicine</t>
  </si>
  <si>
    <t>*Education, Medical;Humans;*Substance-Related Disorders/dt Drug Therapy]</t>
  </si>
  <si>
    <t>J2: MedGenMed; O'Brien, Charles P; ID: 786</t>
  </si>
  <si>
    <t>1531-0132</t>
  </si>
  <si>
    <t>http://ovidsp.ovid.com/ovidweb.cgi?T=JS&amp;CSC=Y&amp;NEWS=N&amp;PAGE=fulltext&amp;D=med5&amp;AN=16915151</t>
  </si>
  <si>
    <t>MEDLINE; Ovid Technologies; Medical education and treatment of addictive disorders</t>
  </si>
  <si>
    <t>O'Brien,S.;Cullen,W.</t>
  </si>
  <si>
    <t>Undergraduate medical education in substance use in Ireland: a review of the literature and discussion paper</t>
  </si>
  <si>
    <t>Irish journal of medical science</t>
  </si>
  <si>
    <t>Ir.J.Med.Sci.</t>
  </si>
  <si>
    <t>*Education, Medical, Undergraduate;Humans;Ireland;*Substance-Related Disorders/di Diagnosis];*Substance-Related Disorders/th Therapy]</t>
  </si>
  <si>
    <t>BACKGROUND: Medical complications of substance use are a considerable cause of morbidity and the role of the physician in the care of such problems has consistently been demonstrated. Appropriate knowledge and skills are necessary to carry out this role. AIMS: To review the literature on training undergraduate medical students in identifying and managing substance misuse and to discuss the implications of this literature for Irish medical education. METHODS: A search of the literature was performed using keywords; "substance-related disorders", "undergraduate" and "curriculum". All abstracts were reviewed and the full text of relevant abstracts was studied and references reviewed for further articles. RESULTS: Despite an increase in prevalence of the problem of drug and alcohol use in Ireland and the UK, this has not been reflected in undergraduate medical curricula. In the UK, minimal time is devoted to formal teaching of medical undergraduates in the area of substance misuse and many doctors do not have the appropriate knowledge, skills, attitudes and confidence to treat patients with such problems. In Ireland, no data has reported formal undergraduate teaching hours in the area of drug and alcohol misuse. Internationally, substance abuse curricula have been developed and implemented in medical schools in the United States and Australia. CONCLUSION: While substance misuse is increasing in prevalence, this is not reflected in the composition of medical curricula, especially in Ireland. International best practice whereby undergraduate curricula that adequately address substance misuse and related issues are systematically developed and implemented, is recommended for adoption by Irish medical schools.</t>
  </si>
  <si>
    <t>J2: Ir J Med Sci; O'Brien, S Cullen, W; ID: 466</t>
  </si>
  <si>
    <t>1863-4362</t>
  </si>
  <si>
    <t>O'Brien, S. UCD General Practice, UCD School of Medicine and Medical Science, Coombe Healthcare Centre, Dolphins Barn, Dublin 8, Ireland. sarahob17@gmail.com</t>
  </si>
  <si>
    <t>http://ovidsp.ovid.com/ovidweb.cgi?T=JS&amp;CSC=Y&amp;NEWS=N&amp;PAGE=fulltext&amp;D=med7&amp;AN=21805088</t>
  </si>
  <si>
    <t>https://dx.doi.org/10.1007/s11845-011-0736-y</t>
  </si>
  <si>
    <t>MEDLINE; Ovid Technologies; Undergraduate medical education in substance use in Ireland: a review of the literature and discussion paper</t>
  </si>
  <si>
    <t>Ockene,J. K.;Hayes,R. B.;Churchill,L. C.;Crawford,S. L.;Jolicoeur,D. G.;Murray,D. M.;Shoben,A. B.;David,S. P.;Ferguson,K. J.;Huggett,K. N.;Adams,M.;Okuliar,C. A.;Gross,R. L.;Bass,P. F., 3;Greenberg,R. B.;Leone,F. T.;Okuyemi,K. S.;Rudy,D. W.;Waugh,J. B.;Geller,A. C.</t>
  </si>
  <si>
    <t>Teaching Medical Students to Help Patients Quit Smoking: Outcomes of a 10-School Randomized Controlled Trial</t>
  </si>
  <si>
    <t>Clinical Clerkship;Clinical Competence;Computer-Assisted Instruction/mt Methods];Counseling/ed Education];Curriculum;*Education, Medical, Undergraduate/mt Methods];Humans;Outcome Assessment (Health Care);Self Efficacy;*Smoking Cessation/mt Methods];Students, Medical;*Tobacco Use Disorder/rh Rehabilitation];United States</t>
  </si>
  <si>
    <t>BACKGROUND: Early in medical education, physicians must develop competencies needed for tobacco dependence treatment. OBJECTIVE: To assess the effect of a multi-modal tobacco dependence treatment curriculum on medical students' counseling skills. DESIGN: A group-randomized controlled trial (2010-2014) included ten U.S. medical schools that were randomized to receive either multi-modal tobacco treatment education (MME) or traditional tobacco treatment education (TE). SETTING/PARTICIPANTS: Students from the classes of 2012 and 2014 at ten medical schools participated. Students from the class of 2012 (N=1345) completed objective structured clinical examinations (OSCEs), and 50 % (N=660) were randomly selected for pre-intervention evaluation. A total of 72.9 % of eligible students (N=1096) from the class of 2014 completed an OSCE and 69.7 % (N=1047) completed pre and post surveys. INTERVENTIONS: The MME included a Web-based course, a role-play classroom demonstration, and a clerkship booster session. Clerkship preceptors in MME schools participated in an academic detailing module and were encouraged to be role models for third-year students. MEASUREMENTS: The primary outcome was student tobacco treatment skills using the 5As measured by an objective structured clinical examination (OSCE) scored on a 33-item behavior checklist. Secondary outcomes were student self-reported skills for performing 5As and pharmacotherapy counseling. RESULTS: Although the difference was not statistically significant, MME students completed more tobacco counseling behaviors on the OSCE checklist (mean 8.7 SE 0.6] vs. mean8.0 SE 0.6], p=0.52) than TE students. Several of the individual Assist and Arrange items were significantly more likely to have been completed by MME students, including suggesting behavioral strategies (11.8 % vs. 4.5 %, p&lt;0.001) and providing information regarding quitline (21.0 % vs. 3.8 %, p&lt;0.001). MME students reported higher self-efficacy for Assist, Arrange, and Pharmacotherapy counseling items (ps&lt;=0.05). LIMITATIONS: Inclusion of only ten schools limits generalizability. CONCLUSIONS: Subsequent interventions should incorporate lessons learned from this first randomized controlled trial of a multi-modal longitudinal tobacco treatment curriculum in multiple U.S. medical schools. NIH Trial Registry Number: NCT01905618.</t>
  </si>
  <si>
    <t>J2: J Gen Intern Med; Ockene, Judith K Hayes, Rashelle B Churchill, Linda C Crawford, Sybil L Jolicoeur, Denise G Murray, David M Shoben, Abigail B David, Sean P Ferguson, Kristi J Huggett, Kathryn N Adams, Michael Okuliar, Catherine A Gross, Robin L Bass, Pat F 3rd Greenberg, Ruth B Leone, Frank T Okuyemi, Kola S Rudy, David W Waugh, Jonathan B Geller, Alan C Comment in: J Gen Intern Med. 2016 Feb;31(2):144-6; PMID: 26747628; ID: 130</t>
  </si>
  <si>
    <t>Ockene, Judith K. Division of Preventive and Behavioral Medicine, Department of Medicine, University of Massachusetts Medical School, 55 Lake Avenue North, Worcester, MA, 01655, USA. Judith.Ockene@umassmed.edu. Hayes, Rashelle B. Division of Preventive and Behavioral Medicine, Department of Medicine, University of Massachusetts Medical School, 55 Lake Avenue North, Worcester, MA, 01655, USA. Churchill, Linda C. Division of Preventive and Behavioral Medicine, Department of Medicine, University of Massachusetts Medical School, 55 Lake Avenue North, Worcester, MA, 01655, USA. Crawford, Sybil L. Division of Preventive and Behavioral Medicine, Department of Medicine, University of Massachusetts Medical School, 55 Lake Avenue North, Worcester, MA, 01655, USA. Jolicoeur, Denise G. Division of Preventive and Behavioral Medicine, Department of Medicine, University of Massachusetts Medical School, 55 Lake Avenue North, Worcester, MA, 01655, USA. Murray, David M. Biostatistics and Bioinformatics Branch; Division of Intramural Population Health Research, Eunice Kennedy Shriver National Institute of Child Health and Human Development, National Institutes of Health, Bethesda, MD, USA. Shoben, Abigail B. Division of Biostatistics, College of Public Health, The Ohio State University, Columbus, OH, USA. David, Sean P. Center for Education &amp; Research in Family and Community Medicine, Division of General Medical Disciplines, Department of Medicine, Stanford University School of Medicine, Palo Alto, CA, USA. Ferguson, Kristi J. University of Iowa Carver College of Medicine, Iowa City, IA, USA. Huggett, Kathryn N. Department of Medicine, Creighton University School of Medicine, Omaha, NE, USA. Adams, Michael. Department of Medicine, Georgetown University Hospital, Washington, DC, USA. Okuliar, Catherine A. Department of Medicine, Georgetown University Hospital, Washington, DC, USA. Gross, Robin L. Department of Medicine, Georgetown University Hospital, Washington, DC, USA. Ba(TRUNCATED)</t>
  </si>
  <si>
    <t>http://ovidsp.ovid.com/ovidweb.cgi?T=JS&amp;CSC=Y&amp;NEWS=N&amp;PAGE=fulltext&amp;D=med8&amp;AN=26391030</t>
  </si>
  <si>
    <t>https://dx.doi.org/10.1007/s11606-015-3508-y</t>
  </si>
  <si>
    <t>MEDLINE; Ovid Technologies; Teaching Medical Students to Help Patients Quit Smoking: Outcomes of a 10-School Randomized Controlled Trial</t>
  </si>
  <si>
    <t>Ockene,J. K.;Quirk,M. E.;Goldberg,R. J.;Kristeller,J. L.;Donnelly,G.;Kalan,K. L.;Gould,B.;Greene,H. L.;Harrison-Atlas,R.;Pease,J.</t>
  </si>
  <si>
    <t>A residents' training program for the development of smoking intervention skills</t>
  </si>
  <si>
    <t>Attitude of Health Personnel;Family Practice/ed Education];*Health Promotion/ed Education];Humans;*Internship and Residency;Massachusetts;*Physician's Role;*Role;*Smoking Prevention</t>
  </si>
  <si>
    <t>This article describes the results of a three-hour training program that teaches residents a patient-centered counseling approach to smoking cessation, emphasizing questioning and exploring feelings, rather than providing information. Fifty internal medicine and family practice residents affiliated with a university medical center were assessed before and after training using questionnaires and videotape documenting changes in their knowledge about smoking, attitudes concerning intervention, and intervention skills. The residents showed a significant increase in knowledge and perceived themselves as having significantly more influence on their patients who smoke after completion of the training program. Counseling skills improved significantly in the use of questions and exploring feelings as judged by blind evaluation of videotapes. The results of this three-hour training program suggest that physicians in training are responsive to the teaching of specialized skills deemed important for promoting health behavior changes in their patients.</t>
  </si>
  <si>
    <t>J2: Arch Intern Med; Ockene, J K Quirk, M E Goldberg, R J Kristeller, J L Donnelly, G Kalan, K L Gould, B Greene, H L Harrison-Atlas, R Pease, J Comment in: Arch Intern Med. 1990 Jan;150(1):225; PMID: 2297293; ID: 1413</t>
  </si>
  <si>
    <t>Ockene, J K. Department of Medicine, University of Massachusetts Medical School, Worcester 01655.</t>
  </si>
  <si>
    <t>http://ovidsp.ovid.com/ovidweb.cgi?T=JS&amp;CSC=Y&amp;NEWS=N&amp;PAGE=fulltext&amp;D=med3&amp;AN=3365074</t>
  </si>
  <si>
    <t>MEDLINE; Ovid Technologies; A residents' training program for the development of smoking intervention skills</t>
  </si>
  <si>
    <t>O'Connor,A.;Alto,W.;Musgrave,K.;Gibbons,D.;Llanto,L.;Holden,S.;Karnes,J.</t>
  </si>
  <si>
    <t>Observational study of buprenorphine treatment of opioid-dependent pregnant women in a family medicine residency: reports on maternal and infant outcomes</t>
  </si>
  <si>
    <t>Adult;*Buprenorphine/tu Therapeutic Use];Family Practice;Female;Humans;Infant, Newborn;Internship and Residency;*Narcotic Antagonists/tu Therapeutic Use];*Neonatal Abstinence Syndrome/pc Prevention &amp; Control];Opiate Substitution Treatment;*Opioid-Related Disorders/dt Drug Therapy];Pregnancy;*Pregnancy Complications/dt Drug Therapy];Retrospective Studies;Treatment Outcome;Young Adult;0 (Narcotic Antagonists);40D3SCR4GZ (Buprenorphine)</t>
  </si>
  <si>
    <t>PURPOSE: Within a family medicine residency, an outpatient buprenorphine treatment program was provided for pregnant women who were dependent on opioids. The purpose of this study was to investigate the outcomes of infants who were exposed to a range of doses of buprenorphine in utero and to determine how closely observed maternal/fetal outcomes (eg, method of delivery and infants requiring treatment for neonatal abstinence syndrome NAS]) match those previously reported in the literature. METHODS: This study consists of a retrospective case series of 23 infants born to 22 pregnant women who were dependent on opioids and who were treated with buprenorphine during a 31-month period. RESULTS: Thirty-five percent of infants (8 of 23) required treatment for NAS. There was no significant relationship between maternal dose of buprenorphine and birth weight, NAS severity (ie, peak NAS score), or time to first peak NAS score. Infants born to tobacco users had a significantly lower birth weight (P = .0136) than infants born to nonusers. Seventy percent of infants (16 of 23) were breastfeeding at the time of discharge from the hospital. CONCLUSIONS: The observations made in this case series are consistent with data previously reported in the literature. Infants in this study were more likely to be breastfed than those previously described by others, but further analysis is necessary to determine whether this finding is significant.</t>
  </si>
  <si>
    <t>J2: J Am Board Fam Med; O'Connor, Alane Alto, William Musgrave, Katje Gibbons, Daniel Llanto, Lalaine Holden, Selma Karnes, Jonathan; ID: 526</t>
  </si>
  <si>
    <t>1558-7118</t>
  </si>
  <si>
    <t>O'Connor, Alane. the Maine Dartmouth Family Medicine Residency, Augusta, ME 04330. aoconnor@mainegeneral.org</t>
  </si>
  <si>
    <t>http://ovidsp.ovid.com/ovidweb.cgi?T=JS&amp;CSC=Y&amp;NEWS=N&amp;PAGE=fulltext&amp;D=med7&amp;AN=21383220</t>
  </si>
  <si>
    <t>https://dx.doi.org/10.3122/jabfm.2011.02.100155</t>
  </si>
  <si>
    <t>MEDLINE; Ovid Technologies; Observational study of buprenorphine treatment of opioid-dependent pregnant women in a family medicine residency: reports on maternal and infant outcomes</t>
  </si>
  <si>
    <t>O'Connor,P. G.;Bigby,J.;Gallagher,D.</t>
  </si>
  <si>
    <t>Substance abuse and AIDS: a faculty development program for primary care providers</t>
  </si>
  <si>
    <t>*Acquired Immunodeficiency Syndrome;Connecticut;*Faculty, Medical;Humans;Massachusetts;Physician-Patient Relations;*Physicians, Family/ed Education];Physicians, Family/px Psychology];Program Development;Program Evaluation;*Staff Development;*Substance-Related Disorders</t>
  </si>
  <si>
    <t>The authors implemented a three-day faculty development program on substance abuse and AIDS for primary care faculty. Objectives included: 1) increased knowledge concerning clinical issues; 2) skill development focusing on provider-patient interactions; and 3) the development of educational approaches for teaching about substance abuse and AIDS. Teaching formats included didactic (40%) and experimental (60%) sessions emphasizing role playing with patients affected by both substance abuse and HIV infection. Four courses have been given to 109 participants, who have rated the course highly in terms of its educational quality (4.4/5.0) and usefulness (4.2/5.0). At six-month follow-up, 75% of the participants reported enhanced teaching as a result of this faculty development program.</t>
  </si>
  <si>
    <t>J2: J Gen Intern Med; O'Connor, P G Bigby, J Gallagher, D; ID: 1257</t>
  </si>
  <si>
    <t>O'Connor, P G. Department of Internal Medicine, Yale University School of Medicine, New Haven, CT 06510.</t>
  </si>
  <si>
    <t>http://ovidsp.ovid.com/ovidweb.cgi?T=JS&amp;CSC=Y&amp;NEWS=N&amp;PAGE=fulltext&amp;D=med3&amp;AN=8505687</t>
  </si>
  <si>
    <t>MEDLINE; Ovid Technologies; Substance abuse and AIDS: a faculty development program for primary care providers</t>
  </si>
  <si>
    <t>O'Connor,P. G.;Nyquist,J. G.;McLellan,A. T.</t>
  </si>
  <si>
    <t>Integrating addiction medicine into graduate medical education in primary care: the time has come</t>
  </si>
  <si>
    <t>Academic Medical Centers/og Organization &amp; Administration];*Curriculum;*Education, Medical, Graduate;Faculty, Medical/st Standards];*Family Practice/ed Education];Humans;*Internal Medicine/ed Education];*Internship and Residency;Organizational Innovation;Organizational Objectives;*Substance-Related Disorders;Teaching/st Standards]</t>
  </si>
  <si>
    <t>Substance use disorders create an enormous burden of medical, behavioral, and social problems and pose a major and costly public health challenge. Despite the high prevalence of substance use and its consequences, physicians often do not recognize these conditions and, as a result, provide inadequate patient care. At the center of this failure is insufficient training for physicians about substance use disorders. To address this deficit, the Betty Ford Institute convened a meeting of experts who developed the following 5 recommendations focused on improving training in substance abuse in primary care residency programs in internal medicine and family medicine: 1) integrating substance abuse competencies into training, 2) assigning substance abuse teaching the same priority as teaching about other chronic diseases, 3) enhancing faculty development, 4) creating addiction medicine divisions or programs in academic medical centers, and 5) making substance abuse screening and management routine care in new models of primary care practice. This enhanced primary care residency training should represent a major step forward in improving patient care.</t>
  </si>
  <si>
    <t>J2: Ann Intern Med; O'Connor, Patrick G Nyquist, Julie G McLellan, A Thomas; ID: 547</t>
  </si>
  <si>
    <t>O'Connor, Patrick G. Yale University School of Medicine, New Haven, Connecticut 06520-8093, USA. patrick.oconnor@yale.edu</t>
  </si>
  <si>
    <t>http://ovidsp.ovid.com/ovidweb.cgi?T=JS&amp;CSC=Y&amp;NEWS=N&amp;PAGE=fulltext&amp;D=med7&amp;AN=21200039</t>
  </si>
  <si>
    <t>https://dx.doi.org/10.7326/0003-4819-154-1-201101040-00008</t>
  </si>
  <si>
    <t>MEDLINE; Ovid Technologies; Integrating addiction medicine into graduate medical education in primary care: the time has come</t>
  </si>
  <si>
    <t>O'Connor,P. G.;Spickard,A., J.</t>
  </si>
  <si>
    <t>Physician impairment by substance abuse</t>
  </si>
  <si>
    <t>Medical Clinics of North America</t>
  </si>
  <si>
    <t>Med.Clin.North Am.</t>
  </si>
  <si>
    <t>Alcoholism/di Diagnosis];Alcoholism/th Therapy];*Alcoholism;Diagnosis, Differential;Humans;Internship and Residency;Physician Impairment/sn Statistics &amp; Numerical Data];*Physician Impairment;Recurrence;Risk Factors;Students, Medical;Substance-Related Disorders/di Diagnosis];Substance-Related Disorders/th Therapy];*Substance-Related Disorders</t>
  </si>
  <si>
    <t>Physician impairment by substance abuse represents a significant challenge to physicians, patients, and society as a whole. Although data is sparse, the prevalence of alcohol and illicit drug abuse among physicians is probably similar to that of the general population, while abuse of prescription drugs may be more prevalent. From a medicolegal standpoint, these issues are managed mostly at the state level and substance abuse is of increasing interest to credentialling organizations such as hospitals and managed care organizations. A variety of concrete steps can be taken to identify physicians with substance abuse problems and treatment approaches have been designed specifically for impaired physicians. With improved attention to the problem of physician impairment by substance abuse, the well-being of both physicians and their patients can be enhanced. References: 49]</t>
  </si>
  <si>
    <t>J2: Med Clin North Am; O'Connor, P G Spickard, A Jr; ID: 1136</t>
  </si>
  <si>
    <t>0025-7125</t>
  </si>
  <si>
    <t>O'Connor, P G. Department of Medicine, Yale University School of Medicine, New Haven, Connecticut, USA.</t>
  </si>
  <si>
    <t>http://ovidsp.ovid.com/ovidweb.cgi?T=JS&amp;CSC=Y&amp;NEWS=N&amp;PAGE=fulltext&amp;D=medc&amp;AN=9222267</t>
  </si>
  <si>
    <t>MEDLINE; Ovid Technologies; Physician impairment by substance abuse</t>
  </si>
  <si>
    <t>O'Donnell,J. J.</t>
  </si>
  <si>
    <t>An alcohol and drug abuse minimester model in a medical school</t>
  </si>
  <si>
    <t>*Alcoholism;*Curriculum;Humans;Maryland;*Schools, Medical;*Substance-Related Disorders</t>
  </si>
  <si>
    <t>J2: Md State Med J; O'Donnell, J J; ID: 1530</t>
  </si>
  <si>
    <t>http://ovidsp.ovid.com/ovidweb.cgi?T=JS&amp;CSC=Y&amp;NEWS=N&amp;PAGE=fulltext&amp;D=med1&amp;AN=562958</t>
  </si>
  <si>
    <t>MEDLINE; Ovid Technologies; An alcohol and drug abuse minimester model in a medical school</t>
  </si>
  <si>
    <t>O'Hanrahan,T.;Glick,I. D.</t>
  </si>
  <si>
    <t>Drug abuse and function in graduate students</t>
  </si>
  <si>
    <t>*Achievement;Adult;Education, Medical, Graduate;Educational Measurement;Female;Hallucinogens;Humans;Male;Narcotics;Personality;Social Behavior;*Students, Medical;*Substance-Related Disorders;0 (Hallucinogens);0 (Narcotics)</t>
  </si>
  <si>
    <t>J2: Compr Psychiatry; O'Hanrahan, T Glick, I D; ID: 1573</t>
  </si>
  <si>
    <t>0010-440X</t>
  </si>
  <si>
    <t>http://ovidsp.ovid.com/ovidweb.cgi?T=JS&amp;CSC=Y&amp;NEWS=N&amp;PAGE=fulltext&amp;D=medc&amp;AN=4710311</t>
  </si>
  <si>
    <t>MEDLINE; Ovid Technologies; Drug abuse and function in graduate students</t>
  </si>
  <si>
    <t>O'Kane Martin,K.;Mazmanian,P. E.</t>
  </si>
  <si>
    <t>Physician substance abuse: prevention through reeducation</t>
  </si>
  <si>
    <t>Attitude of Health Personnel;*Education, Medical, Continuing;Humans;*Medical Staff, Hospital/px Psychology];*Physician Impairment;*Substance-Related Disorders/pc Prevention &amp; Control];United States</t>
  </si>
  <si>
    <t>Physicians may be far more likely than other professionals and the general public to experience problems with drug and alcohol dependence. The availability of drugs, difficulty of detection, reluctance to confront addictive behaviors, unwillingness to admit weakness, and the lack of ways to detect and manage impaired physicians exacerbate the complexities of preventing and treating the problem. This literature review explores the complicating factors and suggests that prevention can be enhanced through medical education, candid disclosure of facts, acceptance, and understanding of substance abuse as a medical disorder.</t>
  </si>
  <si>
    <t>J2: J Contin Educ Health Prof; O'Kane Martin, K Mazmanian, P E; ID: 1355</t>
  </si>
  <si>
    <t>O'Kane Martin, K. Virginia Commonwealth University, Richmond 23298.</t>
  </si>
  <si>
    <t>http://ovidsp.ovid.com/ovidweb.cgi?T=JS&amp;CSC=Y&amp;NEWS=N&amp;PAGE=fulltext&amp;D=med3&amp;AN=10170547</t>
  </si>
  <si>
    <t>MEDLINE; Ovid Technologies; Physician substance abuse: prevention through reeducation</t>
  </si>
  <si>
    <t>Oldham,S. B.;Sipe,F.</t>
  </si>
  <si>
    <t>An experiential training program and medical students' attitudes toward patients with chemical dependency</t>
  </si>
  <si>
    <t>*Attitude of Health Personnel;California;Curriculum;Education, Medical;Humans;*Students, Medical/px Psychology];*Substance-Related Disorders</t>
  </si>
  <si>
    <t>J2: Acad Med; Oldham, S B Sipe, F; ID: 1352</t>
  </si>
  <si>
    <t>Oldham, S B. Department of Medicine, University of Southern California, School of Medicine, Los Angeles.</t>
  </si>
  <si>
    <t>http://ovidsp.ovid.com/ovidweb.cgi?T=JS&amp;CSC=Y&amp;NEWS=N&amp;PAGE=fulltext&amp;D=med3&amp;AN=2372362</t>
  </si>
  <si>
    <t>MEDLINE; Ovid Technologies; An experiential training program and medical students' attitudes toward patients with chemical dependency</t>
  </si>
  <si>
    <t>Olive,M. F.</t>
  </si>
  <si>
    <t>NIHMS193466; Cognitive effects of Group I metabotropic glutamate receptor ligands in the context of drug addiction</t>
  </si>
  <si>
    <t>European journal of pharmacology</t>
  </si>
  <si>
    <t>Eur.J.Pharmacol.</t>
  </si>
  <si>
    <t>Animals;*Cognition/de Drug Effects];Cognition/ph Physiology];Humans;Ligands;Neuronal Plasticity/de Drug Effects];Neuronal Plasticity/ph Physiology];Receptors, Metabotropic Glutamate/ai Antagonists &amp; Inhibitors];*Receptors, Metabotropic Glutamate/me Metabolism];Street Drugs/ae Adverse Effects];Street Drugs/po Poisoning];Substance-Related Disorders/dt Drug Therapy];*Substance-Related Disorders/me Metabolism];Substance-Related Disorders/pp Physiopathology];*Substance-Related Disorders/px Psychology];0 (Ligands);0 (Receptors, Metabotropic Glutamate);0 (Street Drugs);0 (metabotropic glutamate receptor type 1)</t>
  </si>
  <si>
    <t>Glutamate plays a pivotal role in regulating drug self-administration and drug-seeking behavior, and the past decade has witnessed a substantial surge of interest in the role of Group I metabotropic glutamate receptors (mGlu(1) and mGlu(5) receptors) in mediating these behaviors. As will be reviewed here, Group I mGlu receptors are involved in normal and drug-induced synaptic plasticity, drug reward, reinforcement and relapse-like behaviors, and addiction-related cognitive processes such as maladaptive learning and memory, behavioral inflexibility, and extinction learning. Animal models of addiction have revealed that antagonists of Group I mGlu receptors, particularly the mGlu(5) receptor, reduce self-administration of virtually all drugs of abuse. Since inhibitors of mGlu5 receptor function have now entered clinical trials for other medical conditions and appear to be well-tolerated, a key question that remains unanswered is - what changes in cognition are produced by these compounds that result in reduced drug intake and drug-seeking behavior? Finally, in contrast to mGlu(5) receptor antagonists, recent studies have indicated that positive allosteric modulation of mGlu(5) receptors actually enhances synaptic plasticity and improves various aspects of cognition, including spatial learning, behavioral flexibility, and extinction of drug-seeking behavior. Thus, while inhibition of Group I mGlu receptor function may reduce drug reward, reinforcement, and relapse-related behaviors, positive allosteric modulation of the mGlu5 receptor subtype may actually enhance cognition and potentially reverse some of the cognitive deficits associated with chronic drug use.</t>
  </si>
  <si>
    <t>J2: Eur J Pharmacol; Olive, M Foster; ID: 556</t>
  </si>
  <si>
    <t>1879-0712</t>
  </si>
  <si>
    <t>Olive, M Foster. Center for Drug and Alcohol Programs, Department of Psychiatry, Medical University of South Carolina, 67 President Street, MSC 861, Charleston, SC 29425, USA. olive@musc.edu</t>
  </si>
  <si>
    <t>http://ovidsp.ovid.com/ovidweb.cgi?T=JS&amp;CSC=Y&amp;NEWS=N&amp;PAGE=fulltext&amp;D=med6&amp;AN=20371237</t>
  </si>
  <si>
    <t>https://dx.doi.org/10.1016/j.ejphar.2010.01.029</t>
  </si>
  <si>
    <t>MEDLINE; Ovid Technologies; Cognitive effects of Group I metabotropic glutamate receptor ligands in the context of drug addiction</t>
  </si>
  <si>
    <t>Oliveira,L. G.;Barroso,L. P.;Wagner,G. A.;Ponce Jde,C.;Malbergier,A.;Stempliuk Vde,A.;Andrade,A. G.</t>
  </si>
  <si>
    <t>Drug consumption among medical students in Sao Paulo, Brazil: influences of gender and academic year</t>
  </si>
  <si>
    <t>Revista Brasileira de Psiquiatria</t>
  </si>
  <si>
    <t>Adolescent;Adult;Brazil/ep Epidemiology];Cross-Sectional Studies;*Education, Medical, Undergraduate;Female;Humans;Income;Male;Marital Status;Sex Distribution;Sex Factors;*Street Drugs/ae Adverse Effects];Stress, Psychological/et Etiology];Students, Medical/px Psychology];*Students, Medical/sn Statistics &amp; Numerical Data];*Substance-Related Disorders/ep Epidemiology];Substance-Related Disorders/pc Prevention &amp; Control];Young Adult;0 (Street Drugs)</t>
  </si>
  <si>
    <t>OBJECTIVE: To analyze alcohol, tobacco and other drug use among medical students. METHOD: Over a five-year period (1996-2001), we evaluated 457 students at the Universidade de Sao Paulo School of Medicine, located in Sao Paulo, Brazil. The students participated by filling out an anonymous questionnaire on drug use (lifetime, previous 12 months and previous 30 days). The influence that gender and academic year have on drug use was also analyzed. RESULTS: During the study period, there was an increase in the use of illicit drugs, especially inhalants and amphetamines, among the medical students evaluated. Drug use (except that of marijuana and inhalants) was comparable between the genders, and academic year was an important influencing factor. DISCUSSION: Increased inhalant use was observed among the medical students, especially among males and students in the early undergraduate years. This is suggestive of a specific behavioral pattern among medical students. Our findings corroborate those of previous studies. CONCLUSION: Inhalant use is on the rise among medical students at the Universidade de Sao Paulo School of Medicine. Because of the negative health effects of illicit drug use, further studies are needed in order to deepen the understanding of this phenomenon and to facilitate the development of preventive measures.</t>
  </si>
  <si>
    <t>J2: Rev Bras Psiquiatr; Oliveira, Lucio Garcia de Barroso, Lucia Pereira Wagner, Gabriela Arantes Ponce, Julio de Carvalho Malbergier, Andre Stempliuk, Vladimir de Andrade Andrade, Arthur Guerra de S1516-44462009000300008; ID: 606</t>
  </si>
  <si>
    <t>1516-4446</t>
  </si>
  <si>
    <t>Oliveira, Lucio Garcia de. Department of Psychiatry, Medical School, School of Medicine, Universidade de Sao Paulo, Brazil. lucio@cisa.org.br</t>
  </si>
  <si>
    <t>http://ovidsp.ovid.com/ovidweb.cgi?T=JS&amp;CSC=Y&amp;NEWS=N&amp;PAGE=fulltext&amp;D=med6&amp;AN=19784490</t>
  </si>
  <si>
    <t>MEDLINE; Ovid Technologies; Drug consumption among medical students in Sao Paulo, Brazil: influences of gender and academic year</t>
  </si>
  <si>
    <t>Olsen,Y.;Daumit,G. L.</t>
  </si>
  <si>
    <t>Opioid prescribing for chronic nonmalignant pain in primary care: challenges and solutions</t>
  </si>
  <si>
    <t>Advances in Psychosomatic Medicine</t>
  </si>
  <si>
    <t>Adv.Psychosom.Med.</t>
  </si>
  <si>
    <t>*Analgesics, Opioid/tu Therapeutic Use];Chronic Disease;Criminal Law/lj Legislation &amp; Jurisprudence];*Drug Prescriptions;Florida;Humans;*Pain/dt Drug Therapy];*Primary Health Care;United States;0 (Analgesics, Opioid)</t>
  </si>
  <si>
    <t>Evaluating and treating patients with chronic nonmalignant pain, especially with opioid medications, often causes discomfort on the part of primary care physicians. A number of patient-, physician-, and system-related issues converge to make treating chronic pain a complex matter. Patient-related issues include an inability to define a clear anatomic cause for patients' pain, comorbid psychiatric conditions, and past and current substance abuse. Physicians lack training on the appropriate evaluation and treatment of chronic nonmalignant pain, fear creating addicts, and often face intense pharmaceutical industry pressure to prescribe medications. A paucity of practical clinical practice guidelines, controversy over the effectiveness of opioids on chronic nonmalignant pain, and concern about potential legal and regulatory ramifications add to the complexity of caring for these patients. Possible multifaceted solutions exist to minimize provider discomfort and improve their ability to treat patients appropriately. Examples include comprehensive, practical multidimensional guidelines on the evaluation and treatment of chronic nonmalignant pain, Web-based teleconferenced consultations with subspecialists, reduced pharmaceutical pressure, enhanced continuing medical education and pregraduate training, multispecialty coordinated care of patients with adequate reimbursement for such care, and physician access to state-based systems to track opioid prescriptions. References: 54]</t>
  </si>
  <si>
    <t>J2: Adv Psychosom Med; Olsen, Yngvild Daumit, Gail L; ID: 895</t>
  </si>
  <si>
    <t>0065-3268</t>
  </si>
  <si>
    <t>Olsen, Yngvild. Division of General Internal Medicine, Department of Medicine, Johns Hopkins University School of Medicine, Baltimore, Md. 21287, USA. yolsen@jhsph.edu</t>
  </si>
  <si>
    <t>http://ovidsp.ovid.com/ovidweb.cgi?T=JS&amp;CSC=Y&amp;NEWS=N&amp;PAGE=fulltext&amp;D=med5&amp;AN=15248372</t>
  </si>
  <si>
    <t>MEDLINE; Ovid Technologies; Opioid prescribing for chronic nonmalignant pain in primary care: challenges and solutions</t>
  </si>
  <si>
    <t>Omori,J. S.;Kramer,K.</t>
  </si>
  <si>
    <t>Medical School Hotline: Tobacco dependence and the management of tobacco-related disorders: how John A. Burns School of Medicine is preparing our future physicians</t>
  </si>
  <si>
    <t>*Clinical Competence;Community-Institutional Relations;*Curriculum;Female;Humans;Male;Registries;*Schools, Medical;*Smoking/ep Epidemiology];*Students, Medical;Tobacco;*Tobacco Use Disorder/ep Epidemiology];United States/ep Epidemiology]</t>
  </si>
  <si>
    <t>J2: Hawaii Med J; Omori, Jill S M Kramer, Kenton; ID: 388</t>
  </si>
  <si>
    <t>Omori, Jill S M. Office of Medical Education, John A. Burns School of Medicine, University of Hawai'i, USA.</t>
  </si>
  <si>
    <t>http://ovidsp.ovid.com/ovidweb.cgi?T=JS&amp;CSC=Y&amp;NEWS=N&amp;PAGE=fulltext&amp;D=med7&amp;AN=22162598</t>
  </si>
  <si>
    <t>MEDLINE; Ovid Technologies; Medical School Hotline: Tobacco dependence and the management of tobacco-related disorders: how John A. Burns School of Medicine is preparing our future physicians</t>
  </si>
  <si>
    <t>Oral,R.;Koc,F.;Jogerst,K.;Bayman,L.;Austin,A.;Sullivan,S.;Bayman,E. O.</t>
  </si>
  <si>
    <t>Staff training makes a difference: improvements in neonatal illicit drug testing and intervention at a tertiary hospital</t>
  </si>
  <si>
    <t>Journal of Maternal-Fetal &amp; Neonatal Medicine</t>
  </si>
  <si>
    <t>*Education, Medical, Continuing/mt Methods];*Education, Nursing, Continuing/mt Methods];Female;Humans;Infant, Newborn;*Neonatal Screening/ut Utilization];Outcome and Process Assessment (Health Care);Pregnancy;*Pregnancy Complications/di Diagnosis];Retrospective Studies;Risk Assessment;Substance Abuse Detection/sn Statistics &amp; Numerical Data];*Substance Abuse Detection/ut Utilization];*Substance-Related Disorders/di Diagnosis];Tertiary Care Centers</t>
  </si>
  <si>
    <t>OBJECTIVE: This project explored the impact of staff training on the rates of perinatal maternal and neonatal illicit drug testing. METHODS: Controlled, retrospective chart review on 1186 newborn and mother dyads from 2006 (pre-training control group) and on 1861 dyads from 2009 (post-training study group) was completed. Differences between rates of infant and mother drug testing were compared. RESULTS: Increased drug testing rates for the mothers and infants led to increased case finding that tripled both for the mothers (13-3.7%, p&lt;0.001) and for the infants (0.9-2.9%, p&lt;0.001). Missed opportunities for newborn testing was reduced by 35 times (20.9-0.6%, p&lt;0.001). CONCLUSION: This retrospective study led to an increase in the number of documented drug-exposed newborns. This research emphasizes the importance of and encourages other hospitals to analyze the efficacy of their current protocol and staff training practices in place to ensure the best child protection services.</t>
  </si>
  <si>
    <t>J2: J Matern Fetal Neonatal Med; Oral, Resmiye Koc, Feyza Jogerst, Kristen Bayman, Levent Austin, Andrea Sullivan, Shannon Bayman, Emine Ozgur; ID: 263</t>
  </si>
  <si>
    <t>1476-4954</t>
  </si>
  <si>
    <t>Oral, Resmiye. Department of Pediatrics, University of Iowa, Carver College of Medicine , Iowa City, IA , USA .</t>
  </si>
  <si>
    <t>http://ovidsp.ovid.com/ovidweb.cgi?T=JS&amp;CSC=Y&amp;NEWS=N&amp;PAGE=fulltext&amp;D=med8&amp;AN=24060204</t>
  </si>
  <si>
    <t>https://dx.doi.org/10.3109/14767058.2013.847418</t>
  </si>
  <si>
    <t>MEDLINE; Ovid Technologies; Staff training makes a difference: improvements in neonatal illicit drug testing and intervention at a tertiary hospital</t>
  </si>
  <si>
    <t>Ordonez,A. C.</t>
  </si>
  <si>
    <t>Use and abuse of psycho-stimulants and other drugs in the university environment (apropos of a survey)]</t>
  </si>
  <si>
    <t>Actas Luso-Espanolas de Neurologia y Psiquiatria</t>
  </si>
  <si>
    <t>Actas Luso.Esp.Neurol.Psiquiatr.</t>
  </si>
  <si>
    <t>Adolescent;*Amphetamine;Female;Humans;Male;Schools, Medical;Spain;*Students;*Substance-Related Disorders/ep Epidemiology];*Universities;CK833KGX7E (Amphetamine)</t>
  </si>
  <si>
    <t>J2: Actas Luso Esp Neurol Psiquiatr; Spanish Ordonez, A C; OP: Uso y abuso de psicoestimulantes y otras drogas en el medio universitario (a proposito de una encuesta; ID: 1588</t>
  </si>
  <si>
    <t>http://ovidsp.ovid.com/ovidweb.cgi?T=JS&amp;CSC=Y&amp;NEWS=N&amp;PAGE=fulltext&amp;D=med1&amp;AN=5145188</t>
  </si>
  <si>
    <t>MEDLINE; Ovid Technologies; [Use and abuse of psycho-stimulants and other drugs in the university environment (apropos of a survey)]</t>
  </si>
  <si>
    <t>O'Regan,A.;Schaffalitzky,E.;Cullen,W.</t>
  </si>
  <si>
    <t>Educational interventions: equipping general practice for youth mental health and substance abuse. A discussion paper</t>
  </si>
  <si>
    <t>Adolescent;Adolescent Health Services/st Standards];*Education, Medical, Graduate;*General Practice/ed Education];Humans;Ireland;*Mental Health/ed Education];Mental Health Services/st Standards];Patient Acceptance of Health Care;Patient Care Team;Primary Health Care/st Standards];Research Design;*Substance-Related Disorders/th Therapy]</t>
  </si>
  <si>
    <t>BACKGROUND: Youth mental health issues and substance abuse are important causes of morbidity and mortality in Ireland. General practice is a frequent point of contact for young people, however, reluctance amongst this population group to disclose mental health issues and a lack of confidence amongst GPs in dealing with them have been reported. Focussed training interventions with formal evaluation of their acceptability and effectiveness in achieving learning, behavioural change and impact on clinical practice are needed. AIMS: This paper aims to examine the literature on general practice in youth mental health, specifically, factors for an educational intervention for those working with young people in the community. METHODS: This review paper was carried out by an online search of PubMed on the recent literature on mental health and on educational interventions for health care workers in primary care. RESULTS: A number of papers describing educational interventions for GPs and primary care workers were found and analysed. Key areas to be addressed when identifying and treating mental health problems were prevention, assessment, treatment, interaction with other services and ongoing support. Important elements of an educational intervention were identified. DISCUSSION: Several barriers exist that prevent the identification and treatment of these problems in primary care. An educational intervention should help GPs address these issues. Any intervention should be rigorously evaluated. CONCLUSION: With the shift in services to the community in Irish health policy, the GP with appropriate training could take the lead in early intervention in youth mental health and addiction.</t>
  </si>
  <si>
    <t>J2: Ir J Med Sci; O'Regan, A Schaffalitzky, E Cullen, W; ID: 197</t>
  </si>
  <si>
    <t>O'Regan, A. University of Limerick Graduate Entry Medical School, Limerick, Ireland, andrew.oregan@ul.ie.</t>
  </si>
  <si>
    <t>http://ovidsp.ovid.com/ovidweb.cgi?T=JS&amp;CSC=Y&amp;NEWS=N&amp;PAGE=fulltext&amp;D=med8&amp;AN=25876751</t>
  </si>
  <si>
    <t>https://dx.doi.org/10.1007/s11845-015-1285-6</t>
  </si>
  <si>
    <t>MEDLINE; Ovid Technologies; Educational interventions: equipping general practice for youth mental health and substance abuse. A discussion paper</t>
  </si>
  <si>
    <t>O'Rourke,M.;Richardson,L. D.;Wilets,I.;D'Onofrio,G.</t>
  </si>
  <si>
    <t>Alcohol-related problems: emergency physicians' current practice and attitudes</t>
  </si>
  <si>
    <t>Adult;*Alcoholism/pc Prevention &amp; Control];*Attitude of Health Personnel;*Emergency Service, Hospital;Humans;Internship and Residency;*Practice Patterns, Physicians';Psychotherapy, Brief;Surveys and Questionnaires;United States</t>
  </si>
  <si>
    <t>To determine whether emergency physicians' (EPs) attitudes affect their support and practice of brief intervention in the Emergency Department (ED), EPs completed an anonymous survey. EPs were asked about their attitudes toward patients with alcohol problems, current ED screening, use of brief intervention, and barriers to use of brief intervention. Chi-square analysis was used and a step-wise regression model was constructed. Respondents reported a high prevalence of patients with alcohol-related problems: 18% in a typical shift. Eighty-one percent said it is important to advise patients to change behavior; half said using a brief intervention is important. Attending physicians had significantly less alcohol education than residents, but were significantly more likely to support the use of brief intervention. Support was not associated with gender, race, census, hours of education, or personal experience. EPs who felt that brief intervention was an integral part of their job were more likely to use it in their daily practice.</t>
  </si>
  <si>
    <t>J2: J Emerg Med; O'Rourke, Maria Richardson, Lynne D Wilets, Ilene D'Onofrio, Gail; ID: 806</t>
  </si>
  <si>
    <t>O'Rourke, Maria. Department of Emergency Medicine, Mount Sinai School of Medicine, New York, NY, USA.</t>
  </si>
  <si>
    <t>http://ovidsp.ovid.com/ovidweb.cgi?T=JS&amp;CSC=Y&amp;NEWS=N&amp;PAGE=fulltext&amp;D=med5&amp;AN=16677975</t>
  </si>
  <si>
    <t>MEDLINE; Ovid Technologies; Alcohol-related problems: emergency physicians' current practice and attitudes</t>
  </si>
  <si>
    <t>Orr,D. P.;Weiser,S. P.;Dian,D. A.;Maurana,C. A.</t>
  </si>
  <si>
    <t>Adolescent health care: perceptions and needs of the practicing physician</t>
  </si>
  <si>
    <t>Journal of Adolescent Health Care</t>
  </si>
  <si>
    <t>Adolescent;Adolescent Medicine/ed Education];*Adolescent Medicine;Adult;Child;Counseling;Education, Medical, Continuing;Family Planning Services/ed Education];Family Practice;Gynecology;Humans;Internal Medicine;Obstetrics;Pediatrics;*Physicians;Psychiatry</t>
  </si>
  <si>
    <t>Three hundred thirty-one Indiana physicians practicing general-family medicine (GP-FP), obstetrics-gynecology (OB-GYN), pediatrics (PED), internal medicine (IM), and psychiatry (PSYCH) were surveyed as to their perceptions about adolescent health and their perceived need for specific adolescent services and Continuing Medical Education (CME). Significant differences were noted in all specialty areas that were not accounted for by the sex or age of the physician. The majority of GP-FP and PED reported that adolescents (aged 11-19 years) made up at least 10% of their practice compared to fewer than 5% of IM practices. Fewer than 7% of the respondents had had no training about adolescent medicine; most (47.5%) had received some CME in adolescent medicine. Family planning was the service least likely to be: provided by PED, IM, and PSYCH, (p less than 0.0001); considered serious for these physicians' adolescent patients (p less than 0.0001); and of interest for CME by all physicians (p less than 0.0001). All specialities believed their adolescent patients to be minimally troubled by the most common problems of youth (p less than 0.0001), but did accurately perceive youth as having psychosocial and medical problems. Training about substance abuse, counseling, learning problems, and eating disorders were most desired. Few respondents wanted individualized, in-person training. The implications of these results are discussed.</t>
  </si>
  <si>
    <t>J2: J Adolesc Health Care; Orr, D P Weiser, S P Dian, D A Maurana, C A; ID: 1434</t>
  </si>
  <si>
    <t>0197-0070</t>
  </si>
  <si>
    <t>http://ovidsp.ovid.com/ovidweb.cgi?T=JS&amp;CSC=Y&amp;NEWS=N&amp;PAGE=fulltext&amp;D=med2&amp;AN=3583874</t>
  </si>
  <si>
    <t>MEDLINE; Ovid Technologies; Adolescent health care: perceptions and needs of the practicing physician</t>
  </si>
  <si>
    <t>Osborne,M. P.</t>
  </si>
  <si>
    <t>William Stewart Halsted: his life and contributions to surgery</t>
  </si>
  <si>
    <t>Lancet Oncology</t>
  </si>
  <si>
    <t>*General Surgery/hi History];History, 19th Century;History, 20th Century;New York</t>
  </si>
  <si>
    <t>William Stewart Halsted was a pioneer of surgery in the USA and made many wide-ranging contributions, including the surgical treatment of breast cancer. He changed the training of surgeons from a disorganised apprenticeship to the residency training programmes used today. Halsted's research developed a better understanding of surgically amenable disease and a multitude of new techniques and operations. Over a 40-year career, beginning in New York and continuing at Johns Hopkins University Hospital in Baltimore, he endured a terrible struggle resulting from an accidental addiction, acquired in the course of his research. Despite this, his legacy to medicine and human health is one of the greatest left by any individual surgeon in history and remains an inspiration today.</t>
  </si>
  <si>
    <t>J2: Lancet Oncol; Osborne, Michael P; ID: 770</t>
  </si>
  <si>
    <t>1470-2045</t>
  </si>
  <si>
    <t>Osborne, Michael P. Breast Service, New York Presbyterian Hospital, New York, NY 10021, USA. mpo2002@med.cornell.edu</t>
  </si>
  <si>
    <t>http://ovidsp.ovid.com/ovidweb.cgi?T=JS&amp;CSC=Y&amp;NEWS=N&amp;PAGE=fulltext&amp;D=med5&amp;AN=17329196</t>
  </si>
  <si>
    <t>MEDLINE; Ovid Technologies; William Stewart Halsted: his life and contributions to surgery</t>
  </si>
  <si>
    <t>Oser,C.;Biebel,E.;Harris,M.;Klein,E.;Leukefeld,C.</t>
  </si>
  <si>
    <t>NIHMS181240; Gender differences in provider's use of a standardized screening tool for prenatal substance use</t>
  </si>
  <si>
    <t>Adult;*Attitude of Health Personnel;Data Collection;Female;Guideline Adherence/st Standards];Gynecology;Health Services Research;Humans;Kentucky;Male;*Mass Screening/st Standards];Middle Aged;Obstetrics;Pregnancy;*Pregnancy Complications/di Diagnosis];*Prenatal Care/sn Statistics &amp; Numerical Data];Sex Factors;*Substance-Related Disorders/di Diagnosis]</t>
  </si>
  <si>
    <t>OBJECTIVES: Prenatal substance use contributes birth defects, prematurity, and infant mortality in the U.S. As such, it is critical that medical professionals receive appropriate education and actively engage in screening patients; however, a physician's gender may influence differences in screening practices. The purpose of this study is to examine male and female Ob/Gyn physician's beliefs and practices related to perinatal substance use screening and to identify the significant correlates of using a standardized screening tool. METHODS: Data were collected from 131 Ob/Gyn physician's in Kentucky using a web-based survey. Chi-square and t-tests were used to distinguish differences between male (n=84) and female (n=47) providers. Binary logistic regression was also used to assess the independent correlates of the use of a standardized screening tool. RESULTS: Female Ob/Gyn physician's were more likely to "believe in" the effectiveness of screening, to discuss sensitive topics with patients, and were motivated to screen as a part of comprehensive care or because screening could produce a behavioral change. Female providers were also more likely to use a screening tool in a multivariate model; however, being female was no longer significant after additional variables were included in the model. Specifically, younger Ob/Gyn physicians who frequently discussed mental health issues with female patients of childbearing age, and were motivated to screen because it is part of comprehensive care were significantly more likely to use a standardized substance use screening tool. CONCLUSIONS: In summary, less than half of Ob/Gyn physicians were using a standardized screening tool and the majority of physicians were using the CAGE. This suggests additional training is needed to increase their use of substance use screening tools, especially those geared towards pregnant women.</t>
  </si>
  <si>
    <t>J2: J Addict Med; Oser, Carrie Biebel, Elizabeth Harris, Melissa Klein, Elisa Leukefeld, Carl; ID: 510</t>
  </si>
  <si>
    <t>Oser, Carrie. Department of Sociology, University of Kentucky, Lexington, KY 40506, USA. cboser0@uky.edu</t>
  </si>
  <si>
    <t>http://ovidsp.ovid.com/ovidweb.cgi?T=JS&amp;CSC=Y&amp;NEWS=N&amp;PAGE=fulltext&amp;D=med7&amp;AN=21359106</t>
  </si>
  <si>
    <t>https://dx.doi.org/10.1097/ADM.0b013e3181ccec2e</t>
  </si>
  <si>
    <t>MEDLINE; Ovid Technologies; Gender differences in provider's use of a standardized screening tool for prenatal substance use</t>
  </si>
  <si>
    <t>O'Sullivan,M. M.;Hoskote,S. S.;Lesko,M. B.;Mallozzi,C. M.;Lee,Y. I.;Fayanju,O. A.;Haller,D.;Rashad,M. A.;Khusainova,E.;Fortune,D.;Mathew,R.;Van Tassel,C.;Fried,E. D.</t>
  </si>
  <si>
    <t>Rotation in a Smoking Cessation Clinic Improves Nicotine Dependence Treatment Provided by First-Year Internal Medicine Trainees</t>
  </si>
  <si>
    <t>Ambulatory Care Facilities;Counseling/mt Methods];Hospitalization;Humans;*Internal Medicine/ed Education];Physicians;Prospective Studies;*Smoking Cessation/sn Statistics &amp; Numerical Data];*Smoking Prevention;Surveys and Questionnaires;*Tobacco Use Disorder/th Therapy];*Training Support</t>
  </si>
  <si>
    <t>BACKGROUND AND OBJECTIVES: Over 70% of smokers visit a physician annually, and physicians are well-positioned to assist patients in smoking cessation. Residency offers the ideal setting to train physicians in best practices for treatment of nicotine dependence. We hypothesized that experiential learning during a smoking cessation medical clinic (SCMC) rotation would be associated with an improvement in smoking cessation practice of internal medicine (IM) interns in outpatient primary care and inpatient settings. METHODS: This was a prospective study performed at a large university-affiliated hospital. Forty IM interns rotated through SCMC. After a lecture on nicotine addiction and treatment, interns treated SCMC patients under direct supervision of an attending pulmonologist. Interns' smoking cessation practices before and after SCMC rotation were evaluated through chart review over 1 year. Upon study completion, a survey to assess confidence was administered. Paired t tests measured changes in rates of identifying smokers, offering pharmacological treatment and counseling. RESULTS: A total of 5,622 outpatient and 683 inpatient charts of interns' encounters with patients were reviewed. Following SCMC rotation, there was an increase in identifying active smokers (7.1% versus 18.7%), prescribing therapy for smoking cessation (6.5% versus 18.0%), and providing counseling (30.9% versus 42.3%) to outpatients. For inpatients, there was an increase in nicotine replacement during admission (12.9% versus 37.4%) and prescription of therapy upon discharge (5.7% versus 16.1%). Interns reported confidence in providing appropriate counseling and treatment. CONCLUSIONS: SCMC experience positively impacted smoking cessation treatment by IM interns, causing a measurable change in their practice.</t>
  </si>
  <si>
    <t>J2: Fam Med; O'Sullivan, Mary M Hoskote, Sumedh S Lesko, Melissa B Mallozzi, Cristina M Lee, Young I Fayanju, Oluseyi A Haller, Deborah Rashad, Muhammad A Khusainova, Elvina Fortune, Diandra Mathew, Roshen Van Tassel, Chloe Fried, Ethan D; ID: 79</t>
  </si>
  <si>
    <t>O'Sullivan, Mary M. Department of Medicine, Division of Pulmonary and Critical Care Medicine, Mount Sinai St Luke's and Mount Sinai Roosevelt, New York, NY.</t>
  </si>
  <si>
    <t>http://ovidsp.ovid.com/ovidweb.cgi?T=JS&amp;CSC=Y&amp;NEWS=N&amp;PAGE=fulltext&amp;D=med8&amp;AN=27272425</t>
  </si>
  <si>
    <t>MEDLINE; Ovid Technologies; Rotation in a Smoking Cessation Clinic Improves Nicotine Dependence Treatment Provided by First-Year Internal Medicine Trainees</t>
  </si>
  <si>
    <t>O'Sullivan,P. S.;Yuan,P.;Satre,D. D.;Wamsley,M.;Satterfield,J.</t>
  </si>
  <si>
    <t>A Sequential Implementation Model for Workforce Development: A Case Study of Medical Residency Training for Substance Use Concerns</t>
  </si>
  <si>
    <t>PROBLEM: In graduate medical education, residency programs are often educationally isolated from each other, with varying needs and patient populations, so strategies are needed when attempting to implement training in evidence-based practices across multiple residencies. INTERVENTION: Using implementation science as a guide, we adapted a community development model to sequentially implement an evidence-based intervention, Screening, Brief Intervention, and Referral to Treatment (SBIRT) for alcohol and drug use problems, across internal medicine, pediatrics, emergency medicine, psychiatry, and obstetrics and gynecology residency programs. CONTEXT: A grant-funded "executive" team coordinated the implementation, enrolled a new residency program annually, and served as the consultative team to span the programs. The team was attentive to aligning implementation with the needs of each program. To assist in planning, the team included a program champion 1 year prior to SBIRT implementation to provide the opportunity to develop resources and work with peers. We evaluated this model through an implementation science lens using a case study approach that included interviews and quantitative tabulation of products and resident perceptions. OUTCOME: We successfully instituted SBIRT training in all 5 residency programs through the use of a supported local champion model. Teams developed 90 curricular products and had 57 presentations and publications. Residents reported satisfaction with the SBIRT activities. Champions reported that SBIRT was a useful approach and that they gained valuable knowledge and relationships from working with the executive team when designing learning materials appropriate for their residency. Champions successfully incorporated SBIRT into routine clinical practice. LESSONS LEARNED: Having a strong team to support subsequent SBIRT champions was essential for implementation. The champions needed financial support to have the necessary time to implement training. The strategy of building a peer network across programs was critical for sustaining the implementation. Collecting and sharing resources aided the champions in developing their materials.</t>
  </si>
  <si>
    <t>J2: Teach Learn Med; O'Sullivan, Patricia S Yuan, Patrick Satre, Derek D Wamsley, Maria Satterfield, Jason; ID: 1653</t>
  </si>
  <si>
    <t>O'Sullivan, Patricia S. a Department of Medicine , University of California San Francisco , San Francisco , California , USA. O'Sullivan, Patricia S. b Center for Faculty Educators, University of California San Francisco , San Francisco , California , USA. Yuan, Patrick. b Center for Faculty Educators, University of California San Francisco , San Francisco , California , USA. Satre, Derek D. c Department of Psychiatry , University of California San Francisco , San Francisco , California , USA. Satre, Derek D. d Division of Research , Kaiser Permanente Northern California , Oakland , California , USA. Wamsley, Maria. a Department of Medicine , University of California San Francisco , San Francisco , California , USA. Satterfield, Jason. a Department of Medicine , University of California San Francisco , San Francisco , California , USA.</t>
  </si>
  <si>
    <t>http://ovidsp.ovid.com/ovidweb.cgi?T=JS&amp;CSC=Y&amp;NEWS=N&amp;PAGE=fulltext&amp;D=prem&amp;AN=28498004</t>
  </si>
  <si>
    <t>https://dx.doi.org/10.1080/10401334.2017.1314216</t>
  </si>
  <si>
    <t>MEDLINE; Ovid Technologies; A Sequential Implementation Model for Workforce Development: A Case Study of Medical Residency Training for Substance Use Concerns</t>
  </si>
  <si>
    <t>Ott-Gerlach,G.</t>
  </si>
  <si>
    <t>Structural characteristics of alcohol prevention in occupational medical care]</t>
  </si>
  <si>
    <t>53 Suppl 1</t>
  </si>
  <si>
    <t>*Alcoholism/pc Prevention &amp; Control];*Health Education/td Trends];Humans;*Occupational Diseases/pc Prevention &amp; Control];Occupational Diseases/rh Rehabilitation];*Occupational Health Services/td Trends];*Physician's Role</t>
  </si>
  <si>
    <t>Company doctors or industrial health officers are involved in alcohol prevention in different ways. The measures to be taken range from direct aid to alcohol-dependent employees to educational work directed at the employees as a whole. It often transpires that this preventive range of action is a highly sensitive area within the doctor's medical activism the company. For example, measures to be taken within the framework of an agreement between management and labour may negatively affect the atmosphere of confidence between doctor and workers. The article also points out how important it is for honorary addiction helpers in a company to be supported by the company doctor in their task.</t>
  </si>
  <si>
    <t>J2: Offentl Gesundheitswes; German Ott-Gerlach, G; OP: Strukturmerkmale der Alkoholpravention in der betriebsarztlichen Betreuung; ID: 1303</t>
  </si>
  <si>
    <t>http://ovidsp.ovid.com/ovidweb.cgi?T=JS&amp;CSC=Y&amp;NEWS=N&amp;PAGE=fulltext&amp;D=med3&amp;AN=1835774</t>
  </si>
  <si>
    <t>MEDLINE; Ovid Technologies; [Structural characteristics of alcohol prevention in occupational medical care]</t>
  </si>
  <si>
    <t>Pade,P. A.;Cardon,K. E.;Hoffman,R. M.;Geppert,C. M.</t>
  </si>
  <si>
    <t>Prescription opioid abuse, chronic pain, and primary care: a Co-occurring Disorders Clinic in the chronic disease model</t>
  </si>
  <si>
    <t>Adult;Aged;Analgesics, Opioid/ad Administration &amp; Dosage];Analgesics, Opioid/ae Adverse Effects];Analgesics, Opioid/tu Therapeutic Use];Buprenorphine/ad Administration &amp; Dosage];*Buprenorphine/tu Therapeutic Use];Buprenorphine, Naloxone Drug Combination;Chronic Pain/co Complications];*Chronic Pain/dt Drug Therapy];Female;Humans;Male;Middle Aged;Naloxone/ad Administration &amp; Dosage];*Naloxone/tu Therapeutic Use];Narcotic Antagonists/ad Administration &amp; Dosage];Narcotic Antagonists/tu Therapeutic Use];Opioid-Related Disorders/co Complications];*Opioid-Related Disorders/rh Rehabilitation];Pain Measurement;Prescription Drugs/ae Adverse Effects];Primary Health Care/og Organization &amp; Administration];Quality Improvement;Retrospective Studies;Treatment Outcome;0 (Analgesics, Opioid);0 (Buprenorphine, Naloxone Drug Combination);0 (Narcotic Antagonists);0 (Prescription Drugs);36B82AMQ7N (Naloxone);40D3SCR4GZ (Buprenorphine)</t>
  </si>
  <si>
    <t>Abuse of opioids has become a public health crisis. The historic separation between the addiction and pain communities and a lack of training in medical education have made treatment difficult to provide, especially in primary care. The Co-occurring Disorders Clinic (COD) was established to treat patients with co-morbid chronic pain and addiction. This retrospective chart review reports results of a quality improvement project using buprenorphine/naloxone to treat co-occurring chronic non-cancer pain (CNCP) and opioid dependence in a primary care setting. Data were collected for 143 patients who were induced with buprenorphine/naloxone (BUP/NLX) between June 2009 and November 2011. Ninety-three patients (65%) continued to be maintained on the medication and seven completed treatment and were no longer taking any opioid (5%). Pain scores showed a modest, but statistically significant improvement on BUP/NLX, which was contrary to our expectations and may be an important factor in treatment retention for this challenging population.</t>
  </si>
  <si>
    <t>J2: J Subst Abuse Treat; Pade, Patricia A Cardon, Karen E Hoffman, Richard M Geppert, Cynthia M A S0740-5472(12)00145-6; ID: 381</t>
  </si>
  <si>
    <t>Pade, Patricia A. Raymond G. Murphy New Mexico Veterans' Affairs Health Care System, Albuquerque, NM 87108, USA. patricia.pade@va.gov</t>
  </si>
  <si>
    <t>http://ovidsp.ovid.com/ovidweb.cgi?T=JS&amp;CSC=Y&amp;NEWS=N&amp;PAGE=fulltext&amp;D=med7&amp;AN=22980449</t>
  </si>
  <si>
    <t>https://dx.doi.org/10.1016/j.jsat.2012.08.010</t>
  </si>
  <si>
    <t>MEDLINE; Ovid Technologies; Prescription opioid abuse, chronic pain, and primary care: a Co-occurring Disorders Clinic in the chronic disease model</t>
  </si>
  <si>
    <t>Paley,B.;O'Connor,M. J.;Baillie,S. J.;Guiton,G.;Stuber,M. L.</t>
  </si>
  <si>
    <t>NIHMS307616; Integrating case topics in medical school curriculum to enhance multiple skill learning: using fetal alcohol spectrum disorders as an exemplary case</t>
  </si>
  <si>
    <t>Attitude of Health Personnel;*Clinical Clerkship;Clinical Competence;Curriculum;Data Collection;Education;*Education, Medical;Female;*Fetal Alcohol Spectrum Disorders;Humans;Infant, Newborn;Los Angeles;*Neurosciences/ed Education];Patient Simulation;Pregnancy;*Problem-Based Learning;*Psychiatry/ed Education];Schools, Medical</t>
  </si>
  <si>
    <t>OBJECTIVES: This article describes the use of fetal alcohol spectrum disorders (FASDs) as a theme to connect the learning of basic neurosciences with clinical applications across the age span within a systems-based, integrated curricular structure that emphasizes problem-based learning. METHODS: In collaboration with the Centers for Disease Control and Prevention (CDC) and the National Organization on Fetal Alcohol Syndrome, the Western Regional Training Center for Fetal Alcohol Exposure at UCLA developed and integrated educational materials on FASDs into the curriculum for first-year medical students. RESULTS: Quantitative and qualitative evaluations suggested materials were effective in enhancing student knowledge and skills related to FASDs, as well as embryology, brain development, substance abuse, developmental psychopathology, and medical ethics. CONCLUSION: The use of a unifying theme integrating basic science and clinical information and skills is effective for medical student training in the prevention and treatment of common medical problems.</t>
  </si>
  <si>
    <t>J2: Acad Psychiatry; Paley, Blair O'Connor, Mary J Baillie, Susan J Guiton, Gretchen Stuber, Margaret L; ID: 633</t>
  </si>
  <si>
    <t>Paley, Blair. Department of Psychiatry and Biobehavioral Sciences, David Geffen School of Medicine at University of California, Los Angeles, CA 90024, USA. bpaley@mednet.ucla.edu</t>
  </si>
  <si>
    <t>http://ovidsp.ovid.com/ovidweb.cgi?T=JS&amp;CSC=Y&amp;NEWS=N&amp;PAGE=fulltext&amp;D=med6&amp;AN=19398629</t>
  </si>
  <si>
    <t>https://dx.doi.org/10.1176/appi.ap.33.2.143</t>
  </si>
  <si>
    <t>MEDLINE; Ovid Technologies; Integrating case topics in medical school curriculum to enhance multiple skill learning: using fetal alcohol spectrum disorders as an exemplary case</t>
  </si>
  <si>
    <t>Palma,N.</t>
  </si>
  <si>
    <t>A Medical Student's Education in Addiction</t>
  </si>
  <si>
    <t>Adult;*Education, Medical/st Standards];Female;Humans;Male;*Students, Medical;*Substance-Related Disorders</t>
  </si>
  <si>
    <t>J2: Acad Psychiatry; Palma, Nadia; ID: 205</t>
  </si>
  <si>
    <t>Palma, Nadia. University of Florida College of Medicine, Gainesville, FL, USA, npalma@ufl.edu.</t>
  </si>
  <si>
    <t>http://ovidsp.ovid.com/ovidweb.cgi?T=JS&amp;CSC=Y&amp;NEWS=N&amp;PAGE=fulltext&amp;D=med8&amp;AN=25416610</t>
  </si>
  <si>
    <t>https://dx.doi.org/10.1007/s40596-014-0246-0</t>
  </si>
  <si>
    <t>MEDLINE; Ovid Technologies; A Medical Student's Education in Addiction</t>
  </si>
  <si>
    <t>Palmer,R. F.</t>
  </si>
  <si>
    <t>Drug misuse and physician education</t>
  </si>
  <si>
    <t>Clinical Pharmacology &amp; Therapeutics</t>
  </si>
  <si>
    <t>Education, Medical;*Education, Medical, Continuing;Education, Pharmacy;Education, Pharmacy, Continuing;Humans;*Pharmacology/ed Education];*Substance-Related Disorders;*Toxicology/ed Education]</t>
  </si>
  <si>
    <t>J2: Clin Pharmacol Ther; Palmer, R F; ID: 1615</t>
  </si>
  <si>
    <t>http://ovidsp.ovid.com/ovidweb.cgi?T=JS&amp;CSC=Y&amp;NEWS=N&amp;PAGE=fulltext&amp;D=med1&amp;AN=5812738</t>
  </si>
  <si>
    <t>MEDLINE; Ovid Technologies; Drug misuse and physician education</t>
  </si>
  <si>
    <t>Palmisano,P.;Edelstein,J.</t>
  </si>
  <si>
    <t>Teaching drug promotion abuses to health profession students</t>
  </si>
  <si>
    <t>Curriculum;*Drug Prescriptions;*Education, Medical;Humans;*Substance-Related Disorders;Teaching/mt Methods]</t>
  </si>
  <si>
    <t>J2: J Med Educ; Palmisano, P Edelstein, J; ID: 1511</t>
  </si>
  <si>
    <t>http://ovidsp.ovid.com/ovidweb.cgi?T=JS&amp;CSC=Y&amp;NEWS=N&amp;PAGE=fulltext&amp;D=med2&amp;AN=7381888</t>
  </si>
  <si>
    <t>MEDLINE; Ovid Technologies; Teaching drug promotion abuses to health profession students</t>
  </si>
  <si>
    <t>Panas,M.;Brandys,J.</t>
  </si>
  <si>
    <t>Preparing pharmacists for participating in health promotion programs as exemplified by the smoking prevention program]</t>
  </si>
  <si>
    <t>*Education, Pharmacy;*Health Promotion/ma Manpower];Humans;*Pharmaceutical Services/ma Manpower];*Pharmacists;Professional-Patient Relations;*Smoking Prevention</t>
  </si>
  <si>
    <t>Health promotion is an interdisciplinary subject which glue together such sciences as medicine, psychology, sociology, social politics and many others. It appears to be the most interesting theme for the pharmacists. One of the most important problem carried in the drug-stores is the fight against the nicotine dependency, which gives the pharmacists a large field to show his knowledge and competence in helping people with the smoking problem. To make the pharmacist-patient cooperation happen, we need to instruct chemists at pre-, and postgradual courses about treating the nicotine addiction. We cannot underestimate the pharmacists' role in the whole fighting nicotine dependency process. Modern pharmacist is fully qualified to give tips or guide patient who get to finish his addiction. References: 10]</t>
  </si>
  <si>
    <t>J2: Przegl Lek; Panas, Malgorzata Brandys, Jerzy; OP: Przygotowanie farmaceutow do udzialu w programach promocji zdrowia na przykladzie prewencji palenia tytoniu; ID: 866</t>
  </si>
  <si>
    <t>Panas, Malgorzata. Katedra Toksykologii Collegium Medicum Uniwersytetu Jagiellonskiego w Krakowie. mfpanas@cyf-kr.edu.pl</t>
  </si>
  <si>
    <t>http://ovidsp.ovid.com/ovidweb.cgi?T=JS&amp;CSC=Y&amp;NEWS=N&amp;PAGE=fulltext&amp;D=med5&amp;AN=15794290</t>
  </si>
  <si>
    <t>MEDLINE; Ovid Technologies; [Preparing pharmacists for participating in health promotion programs as exemplified by the smoking prevention program]</t>
  </si>
  <si>
    <t>Papadakis,M. A.;Croughan-Minihane,M.;Fromm,L. J.;Wilkie,H. A.;Ernster,V. L.</t>
  </si>
  <si>
    <t>A comparison of two methods to teach smoking-cessation techniques to medical students</t>
  </si>
  <si>
    <t>Education, Medical, Undergraduate/ec Economics];*Education, Medical, Undergraduate/mt Methods];Humans;*Patient Simulation;*Role Playing;San Francisco;*Smoking Cessation/mt Methods]</t>
  </si>
  <si>
    <t>PURPOSE: To evaluate two smoking-cessation practice exercises, one using standardized patients (SPs), the other using role playing by medical students. METHOD: In the spring of 1994 all 120 first-year University of California, San Francisco, School of Medicine Students were given lectures on the health effects of smoking and how physicians can help patients quit. Afterward some of the students were randomly assigned to two groups in which to practice counseling patients: Group 1 (n = 35) used SPs, Group 2 (n = 37) used role playing. Each of the Group 1 students practiced smoking-cessation techniques with an SP; the SP evaluated the student on cognitive and communication skills, assigned an overall rating, and provide feedback using a standardized form. The Group 2 students (as well as the 48 students not assigned to a group) role-played in pairs and used the same form to provide feedback. All the students evaluated their respective practice practices. Two weeks later 24 Group 1 and 31 Group 2 students participated in a clinic-skills-assessment exercise using SPs. As in the Group 1 practice exercise, each student was evaluated by an SP on cognitive and communication skills and assigned an overall rating. Data were analyzed through a number of statistical methods. The cost of the SP program was determined. RESULTS: The Group 1 students rated their practice exercise much more favorably than did the Group 2 students. However, there was no significant difference between the groups in their ratings by the SPs on the clinical-skills-assessment exercise. The use of SPs cost a great deal more than did the use of role playing. CONCLUSION: Although the students rated the SPs higher than they did the role playing, the two tools produced similar levels of skills attainment. The data suggest that having students practice smoking-cessation techniques through role playing may be as effective as using the more extensive SPs.</t>
  </si>
  <si>
    <t>J2: Acad Med; Papadakis, M A Croughan-Minihane, M Fromm, L J Wilkie, H A Ernster, V L; ID: 1132</t>
  </si>
  <si>
    <t>Papadakis, M A. Department of Medicine, University of California, San Francisco, School of Medicine 94143, USA. maxine_papadakis@ucsfdom.ucsf.edu</t>
  </si>
  <si>
    <t>http://ovidsp.ovid.com/ovidweb.cgi?T=JS&amp;CSC=Y&amp;NEWS=N&amp;PAGE=fulltext&amp;D=med4&amp;AN=9282151</t>
  </si>
  <si>
    <t>MEDLINE; Ovid Technologies; A comparison of two methods to teach smoking-cessation techniques to medical students</t>
  </si>
  <si>
    <t>Parish,S. J.;Ramaswamy,M.;Stein,M. R.;Kachur,E. K.;Arnsten,J. H.</t>
  </si>
  <si>
    <t>Teaching about Substance Abuse with Objective Structured Clinical Exams</t>
  </si>
  <si>
    <t>*Clinical Competence;*Educational Measurement/mt Methods];Family Practice/ed Education];Humans;Internal Medicine/ed Education];*Internship and Residency/mt Methods];Medical History Taking;Physical Examination;Physician-Patient Relations;Substance-Related Disorders/di Diagnosis];Substance-Related Disorders/th Therapy];*Substance-Related Disorders;*Teaching/mt Methods]</t>
  </si>
  <si>
    <t>BACKGROUND: Although residents commonly manage substance abuse disorders, optimal approaches to teaching these specialized interviewing and intervention skills are unknown. OBJECTIVE: We developed a Substance Abuse Objective Structured Clinical Exam (OSCE) to teach addiction medicine competencies using immediate feedback. In this study we evaluated OSCE performance, examined associations between performance and self-assessed interest and competence in substance abuse, and assessed learning during the OSCE. DESIGN: Five-station OSCE, including different substance abuse disorders and readiness to change stages, administered during postgraduate year-3 ambulatory rotations for 2 years. PARTICIPANTS: One hundred and thirty-one internal and family medicine residents. MEASUREMENTS: Faculty and standardized patients (SPs) assessed residents' general communication, assessment, management, and global skills using 4-point scales. Residents completed a pre-OSCE survey of experience, interest and competence in substance abuse, and a post-OSCE survey evaluating its educational value. Learning during the OSCE was also assessed by measuring performance improvement from the first to the final OSCE station. RESULTS: Residents performed better (P&lt;.001) in general communication (mean+/-SD across stations=3.12+/-0.35) than assessment (2.65+/-0.32) or management (2.58+/-0.44), and overall ratings were lowest in the contemplative alcohol abuse station (2.50+/-0.83). Performance was not associated with residents' self-assessed interest or competence. Perceived educational value of the OSCE was high, and feedback improved subsequent performance. CONCLUSIONS: Although internal and family medicine residents require additional training in specialized substance abuse skills, immediate feedback provided during an OSCE helped teach needed skills for assessing and managing substance abuse disorders.</t>
  </si>
  <si>
    <t>J2: J Gen Intern Med; Parish, Sharon J Ramaswamy, Megha Stein, Melissa R Kachur, Elizabeth K Arnsten, Julia H; ID: 812</t>
  </si>
  <si>
    <t>Parish, Sharon J. Division of General Internal Medicine, Department of Medicine, Albert Einstein College of Medicine, Montefiore Medical Center, Bronx, NY, USA. sparish@montefiore.org</t>
  </si>
  <si>
    <t>http://ovidsp.ovid.com/ovidweb.cgi?T=JS&amp;CSC=Y&amp;NEWS=N&amp;PAGE=fulltext&amp;D=med5&amp;AN=16704387</t>
  </si>
  <si>
    <t>MEDLINE; Ovid Technologies; Teaching about Substance Abuse with Objective Structured Clinical Exams</t>
  </si>
  <si>
    <t>Parish,S. J.;Stein,M. R.;Hahn,S. R.;Goldberg,U.;Arnsten,J. H.</t>
  </si>
  <si>
    <t>NIHMS463457; Teaching and assessing residents' skills in managing heroin addiction with objective structured clinical examinations (OSCEs)</t>
  </si>
  <si>
    <t>*Clinical Competence;*Education, Medical, Graduate;*Family Practice/ed Education];*Heroin Dependence/th Therapy];Humans;*Internal Medicine/ed Education];*Internship and Residency</t>
  </si>
  <si>
    <t>BACKGROUND: Heroin-abusing patients present a significant challenge. Objective Structured Clinical Examinations (OSCEs) allow evaluation of residents' clinical skills. The objective of this study was to examine residents' OSCE performance assessing and managing heroin abuse. METHODS: Evaluation and comparison of heroin-specific communication, assessment, and management skills in a 5-station postgraduate year 3 (PGY3) substance abuse OSCE. Faculty used a 4-point Likert scale to assess residents' skills; standardized patients provided written comments. RESULTS: Two hundred sixty-five internal and family medicine residents in an urban university hospital participated over 5 years. In the heroin station, residents' skills were better (P &lt; .001 for both comparisons) in communication (mean overall score: 316 +/- 0.51) than in either assessment (mean overall score: 2.66 +/- 0.60) or management (mean overall score: 2.50 +/- 0.73). The mean score for assessing specific high-risk behaviors was lower than the mean overall assessment score (222 +/- 1.01 vs. 2.74 +/- .59; P &lt; .0001), and the mean score for recommending appropriate harm reduction management strategies was lower than the mean overall management score (2.39 +/- .89 vs. 2.54 +/- .74; P &lt; .005). Standardized patients' comments reflected similar weaknessess in residents' skills. CONCLUSIONS: Assessment and management of heroin abuse were more challenging for residents than general communication. Additional training is required for residents to assess and counsel patients about high-risk behaviors.</t>
  </si>
  <si>
    <t>J2: Subst Abus; Parish, Sharon J Stein, Melissa R Hahn, Steven R Goldberg, Uri Arnsten, Julia H; ID: 286</t>
  </si>
  <si>
    <t>Parish, Sharon J. a Division of General Internal Medicine, Department of Medicine , Albert Einstein College of Medicine and Montefiore Medical Center , Bronx , New York , USA.</t>
  </si>
  <si>
    <t>http://ovidsp.ovid.com/ovidweb.cgi?T=JS&amp;CSC=Y&amp;NEWS=N&amp;PAGE=fulltext&amp;D=med7&amp;AN=24159905</t>
  </si>
  <si>
    <t>https://dx.doi.org/10.1080/08897077.2013.776658</t>
  </si>
  <si>
    <t>MEDLINE; Ovid Technologies; Teaching and assessing residents' skills in managing heroin addiction with objective structured clinical examinations (OSCEs)</t>
  </si>
  <si>
    <t>Parthasarathy,S.;Mertens,J.;Moore,C.;Weisner,C.</t>
  </si>
  <si>
    <t>Utilization and cost impact of integrating substance abuse treatment and primary care</t>
  </si>
  <si>
    <t>Adult;California;Cohort Studies;Comorbidity;*Delivery of Health Care, Integrated/ec Economics];Female;Health Care Costs/sn Statistics &amp; Numerical Data];Health Care Costs/td Trends];Health Maintenance Organizations/ec Economics];*Health Maintenance Organizations/og Organization &amp; Administration];Health Maintenance Organizations/ut Utilization];Health Services Research;Humans;Male;Primary Health Care/ec Economics];*Primary Health Care/og Organization &amp; Administration];Primary Health Care/ut Utilization];Substance-Related Disorders/ec Economics];*Substance-Related Disorders/rh Rehabilitation];Utilization Review</t>
  </si>
  <si>
    <t>OBJECTIVE: To examine the impact of integrating medical and substance abuse treatment on health care utilization and cost. RESEARCH DESIGN: Randomized clinical trial assigning patients to one of two treatment modalities: an Integrated Care model where primary health care is provided along with substance abuse treatment within the unit and an Independent Care model where medical care is provided in the HMO's primary care clinics independently from substance abuse treatment. SUBJECTS: Adult patients entering treatment at the outpatient Chemical Dependency Recovery Program in Kaiser Sacramento. MEASURES: Medical utilization and cost for 12 months pretreatment and 12 months after treatment entry. RESULTS: For the full, randomized cohort, there were no statistically significant differences between the two treatment groups over time. However, among the subset of patients with substance abuse related medical conditions (SAMC), Integrated Care patients had significant decreases in hospitalization rates (P = 0.04), inpatient days (P = 0.05) and ER use (P = 0.02). Total medical costs per member-month declined from 431.12 US dollars to 200.03 US dollars (P = 0.02). Among SAMC Independent Care patients, there was a downward trend in inpatient days (P = 0.08) and ER costs (P = 0.05) but no statistically significant decrease in total medical cost. CONCLUSIONS: (Non)findings for the full sample suggest that integrating substance abuse treatment with primary care, may not be necessary or appropriate for all patients. However, it may be beneficial to refer patients with substance abuse related medical conditions to a provider also trained in addiction medicine. There appear to be large cost impacts of providing integrated care for such patients.</t>
  </si>
  <si>
    <t>J2: Med Care; Parthasarathy, Sujaya Mertens, Jennifer Moore, Charles Weisner, Constance; ID: 946</t>
  </si>
  <si>
    <t>Parthasarathy, Sujaya. Division of Research, Kaiser Permanente Medical Care Program, Oakland, California 94612, USA.</t>
  </si>
  <si>
    <t>http://ovidsp.ovid.com/ovidweb.cgi?T=JS&amp;CSC=Y&amp;NEWS=N&amp;PAGE=fulltext&amp;D=med4&amp;AN=12618639</t>
  </si>
  <si>
    <t>MEDLINE; Ovid Technologies; Utilization and cost impact of integrating substance abuse treatment and primary care</t>
  </si>
  <si>
    <t>Pasquale,M. K.;Sheer,R. L.;Mardekian,J.;Masters,E. T.;Patel,N. C.;Hurwitch,A. R.;Weber,J. J.;Jorga,A.;Roland,C. L.</t>
  </si>
  <si>
    <t>Educational intervention for physicians to address the risk of opioid abuse</t>
  </si>
  <si>
    <t>Administrative Claims, Healthcare;Aged;*Analgesics, Opioid/ae Adverse Effects];Chronic Pain/di Diagnosis];*Chronic Pain/dt Drug Therapy];Chronic Pain/px Psychology];Drug Prescriptions;Drug Users/px Psychology];*Education, Medical, Continuing/mt Methods];Female;Humans;*Inservice Training/mt Methods];Logistic Models;Male;Medicare;Middle Aged;Multivariate Analysis;Opioid-Related Disorders/di Diagnosis];*Opioid-Related Disorders/et Etiology];Opioid-Related Disorders/pc Prevention &amp; Control];Opioid-Related Disorders/px Psychology];*Pain Management/ae Adverse Effects];*Pain Management/mt Methods];*Physicians/px Psychology];Pilot Projects;Practice Patterns, Physicians';Risk Assessment;Risk Factors;Substance-Related Disorders/di Diagnosis];*Substance-Related Disorders/et Etiology];Substance-Related Disorders/pc Prevention &amp; Control];Substance-Related Disorders/px Psychology];Time Factors;Treatment Outcome;United States;0 (Analgesics, Opioid)</t>
  </si>
  <si>
    <t>OBJECTIVE: To evaluate the impact of a pilot intervention for physicians to support their treatment of patients at risk for opioid abuse. SETTING, DESIGN AND PATIENTS, PARTICIPANTS: Patients at risk for opioid abuse enrolled in Medicare plans were identified from July 1, 2012 to April 30, 2014 (N = 2,391), based on a published predictive model, and linked to 4,353 opioid-prescribing physicians. Patient-physician clusters were randomly assigned to one of four interventions using factorial design. INTERVENTIONS: Physicians received one of the following: Arm 1, patient information; Arm 2, links to educational materials for diagnosis and management of pain; Arm 3, both patient information and links to educational materials; or Arm 4, no communication. MAIN OUTCOME MEASURES: Difference-in-difference analyses compared opioid and pain prescriptions, chronic high-dose opioid use, uncoordinated opioid use, and opioid-related emergency department (ED) visits. Logistic regression compared diagnosis of opioid abuse between cases and controls postindex. RESULTS: Mailings had no significant impact on numbers of opioid or pain medications filled, chronic high-dose opioid use, uncoordinated opioid use, ED visits, or rate of diagnosed opioid abuse. Relative to Arm 4, odds ratios (95% CI) for diagnosed opioid abuse were Arm 1, 0.95(0.63-1.42); Arm 2, 0.83(0.55-1.27); Arm 3, 0.72(0.46-1.13). While 84.7 percent had &gt;=1 psychiatric diagnoses during preindex (p = 0.89 between arms), only 9.5 percent had &gt;=1 visit with mental health specialists (p = 0.53 between arms). CONCLUSIONS: Although this intervention did not affect pain-related outcomes, future interventions involving care coordination across primary care and mental health may impact opioid abuse and improve quality of life of patients with pain.</t>
  </si>
  <si>
    <t>J2: J Opioid Manag; Pasquale, Margaret K Sheer, Richard L Mardekian, Jack Masters, Elizabeth T Patel, Nick C Hurwitch, Amy R Weber, Jennifer J Jorga, Anamaria Roland, Carl L jom.2017.0399; ID: 6</t>
  </si>
  <si>
    <t>Pasquale, Margaret K. Research Manager, Comprehensive Health Insights, Inc., Louisville, Kentucky. Sheer, Richard L. Principal Researcher, Comprehensive Health Insights, Inc., Louisville, Kentucky. Mardekian, Jack. Senior Director, Statistics, Pfizer Inc., New York, New York. Masters, Elizabeth T. Director, Outcomes &amp; Evidence, Pfizer Inc., New York, New York. Patel, Nick C. Research Manager, Comprehensive Health Insights, Inc., Louisville, Kentucky. Hurwitch, Amy R. Program Manager, Adverse Events Pharmacy Patient Safety Programs Humana Pharmacy Solutions, Louisville, Kentucky. Weber, Jennifer J. Managing Pharmacist, Pharmacy Patient Safety Programs Humana Pharmacy Solutions, Louisville, Kentucky. Jorga, Anamaria. Medical Director, US Medical Affairs, Pfizer Inc., New York, New York. Roland, Carl L. Senior Director, Global Innovative Pharma Business Clinical Sciences and Outcomes and Evidence Pfizer Inc., Durham, North Carolina.</t>
  </si>
  <si>
    <t>http://ovidsp.ovid.com/ovidweb.cgi?T=JS&amp;CSC=Y&amp;NEWS=N&amp;PAGE=fulltext&amp;D=medl&amp;AN=29199396</t>
  </si>
  <si>
    <t>https://dx.doi.org/10.5055/jom.2017.0399</t>
  </si>
  <si>
    <t>MEDLINE; Ovid Technologies; Educational intervention for physicians to address the risk of opioid abuse</t>
  </si>
  <si>
    <t>Passik,S. D.;Kirsh,K. L.;Whitcomb,L.;Dickerson,P. K.;Theobald,D. E.</t>
  </si>
  <si>
    <t>Pain clinicians' rankings of aberrant drug-taking behaviors</t>
  </si>
  <si>
    <t>Journal of Pain &amp; Palliative Care Pharmacotherapy</t>
  </si>
  <si>
    <t>*Analgesics, Opioid;*Attitude of Health Personnel;*Behavior, Addictive/cl Classification];*Health Knowledge, Attitudes, Practice;Humans;Medicine;*Pain/dt Drug Therapy];Pilot Projects;*Practice Patterns, Physicians'/sn Statistics &amp; Numerical Data];Specialization;Surveys and Questionnaires;0 (Analgesics, Opioid)</t>
  </si>
  <si>
    <t>A pilot study was conducted to examine experienced pain physicians' perceptions of aberrant drug taking behaviors. One hundred pain physicians attending a meeting on pain management were asked to rank order (from most aberrant = 1 to least aberrant = 13) a list of aberrant drug-taking behaviors. The sample was comprised mainly of anesthesiologists (50%) and half of the group had 10 or more years of pain management experience. The group prescribed an average of 19-96 opioid medications per week. Practice variables were not related to the rank ordering of the behaviors. All of the various behaviors appeared in all 13 of the rank ordering slots, suggesting a great deal of individual difference in the perception of these behaviors. By examining the average ranking of the behaviors, we noted that physicians' focus on illegal behaviors as the most aberrant followed by the alteration of route of delivery and self-escalation of dose. This survey suggests that an experienced group of pain clinicians does not view aberrant drug related behaviors uniformly. Average rankings suggest clinicians seem to view illegal behavior as the most worrisome. These results must be interpreted with caution due to the small convenience sample, the lack of data on the level of addiction medicine training of the respondents and the lack of data on those physicians who chose not to respond. Further inquiry could be used to guide clinicians' responses to aberrant behaviors when encountered in patients on controlled substances for pain.</t>
  </si>
  <si>
    <t>J2: J Pain Pall Care Pharmacother; Passik, Steven D Kirsh, Kenneth L Whitcomb, Laurie Dickerson, Pamela K Theobald, Dale E; ID: 923</t>
  </si>
  <si>
    <t>1536-0288</t>
  </si>
  <si>
    <t>Passik, Steven D. Chandler Medical College, and Marky Cancer Center, University of Kentucky, Lexington, KY 40536-0093, USA. spassik@uky.edu</t>
  </si>
  <si>
    <t>http://ovidsp.ovid.com/ovidweb.cgi?T=JS&amp;CSC=Y&amp;NEWS=N&amp;PAGE=fulltext&amp;D=med4&amp;AN=14635824</t>
  </si>
  <si>
    <t>MEDLINE; Ovid Technologies; Pain clinicians' rankings of aberrant drug-taking behaviors</t>
  </si>
  <si>
    <t>Patch,V.;Ferneau,E.</t>
  </si>
  <si>
    <t>Attitudes regarding alcoholism: he first-year psychiatric resident</t>
  </si>
  <si>
    <t>*Alcoholism;Education, Medical, Graduate;Humans;Psychiatric Status Rating Scales;*Psychiatry</t>
  </si>
  <si>
    <t>J2: Br J Addict Alcohol Other Drugs; Patch, V Ferneau, E; ID: 1609</t>
  </si>
  <si>
    <t>http://ovidsp.ovid.com/ovidweb.cgi?T=JS&amp;CSC=Y&amp;NEWS=N&amp;PAGE=fulltext&amp;D=med1&amp;AN=5275900</t>
  </si>
  <si>
    <t>MEDLINE; Ovid Technologies; Attitudes regarding alcoholism: he first-year psychiatric resident</t>
  </si>
  <si>
    <t>Pati,S.</t>
  </si>
  <si>
    <t>Putting tobacco cessation and prevention into undergraduate medical education</t>
  </si>
  <si>
    <t>International Journal of Preventive Medicine</t>
  </si>
  <si>
    <t>BACKGROUND: Training medical students in tobacco prevention and cessation skills is critical to have competent physicians who are prepared to address the grave levels of morbidity and mortality associated with tobacco use. However, in India, enough attention has not been given to elicit the active participation of physicians in tobacco control. Keeping this in view, a program was undertaken to develop the skills and competence of medical students with the objective of improving medical student inquiry into smoking and the delivery of advice accordingly for patients in their clinical year's routine consultations. METHODS: The targeted learners were 149 1(st)-year medical and dental students of SCB Medical College, Cuttack, Orissa, India, who had appeared the second semester examination; 84 of the participants were male. Students were allowed to appear a test before the training session on knowledge of tobacco cessation and post test was done after 1.5 months of training. The knowledge score was evaluated to evaluate the learning outcome. RESULTS: We observed that a curriculum on tobacco intervention could improve relevant knowledge, attitudes and self-confidence and be applied in students early clinical experiences. CONCLUSIONS: There is need of joint action by practicing clinicians, the medical faculty and the curriculum planners of the country to incorporate tobacco cessation into the curriculum.</t>
  </si>
  <si>
    <t>J2: Int J Prev Med; Pati, Sanghamitra; ID: 318</t>
  </si>
  <si>
    <t>2008-7802</t>
  </si>
  <si>
    <t>Pati, Sanghamitra. Indian Institute of Public Health, Bhubaneswar, Public Health Foundation of India, Bhubaneswar, Orissa, India.</t>
  </si>
  <si>
    <t>http://ovidsp.ovid.com/ovidweb.cgi?T=JS&amp;CSC=Y&amp;NEWS=N&amp;PAGE=fulltext&amp;D=prem&amp;AN=24554994</t>
  </si>
  <si>
    <t>MEDLINE; Ovid Technologies; Putting tobacco cessation and prevention into undergraduate medical education</t>
  </si>
  <si>
    <t>Patil,D.;Andry,T.</t>
  </si>
  <si>
    <t>Molding young minds: The importance of residency training in shaping residents' attitudes toward substance use disorders</t>
  </si>
  <si>
    <t>J2: Am J Addict; Patil, Dustin Andry, Tiffany; ID: 1669</t>
  </si>
  <si>
    <t>Patil, Dustin. Department of Psychiatry, Boston University Medical Center, Boston, Massachusetts. Andry, Tiffany. Menninger Department of Psychiatry and Behavioral Sciences, Baylor College of Medicine, Houston, Texas.</t>
  </si>
  <si>
    <t>http://ovidsp.ovid.com/ovidweb.cgi?T=JS&amp;CSC=Y&amp;NEWS=N&amp;PAGE=fulltext&amp;D=prem&amp;AN=28000984</t>
  </si>
  <si>
    <t>https://dx.doi.org/10.1111/ajad.12484</t>
  </si>
  <si>
    <t>MEDLINE; Ovid Technologies; Molding young minds: The importance of residency training in shaping residents' attitudes toward substance use disorders</t>
  </si>
  <si>
    <t>Paton,A.</t>
  </si>
  <si>
    <t>Thoughts on 'alcohol problems into the next century'</t>
  </si>
  <si>
    <t>Alcoholism/di Diagnosis];*Alcoholism/ep Epidemiology];Alcoholism/rh Rehabilitation];Curriculum/td Trends];*Education, Medical/td Trends];Female;Forecasting;Humans;Male;Physician's Role;Primary Health Care/td Trends];United Kingdom/ep Epidemiology]</t>
  </si>
  <si>
    <t>Since alcohol misuse is responsible for a good deal of physical as well as social harm in Britain, doctors should receive proper education and training about alcohol. We should approach the 21st century with this and the following goals in mind. The ability to take a drinking history in the majority of patients should be a first priority. This can be done in a few minutes. Doctors should be alert to the many ways in which misuse causes problems that are potentially reversible, rather than concentrating on serious physical harm and dependency. They should be able to undertake brief intervention in heavy drinkers, a valuable tool in both primary care and hospital practice. They should understand the value of community detoxification in patients with withdrawal symptoms; they need to foster links with local alcohol services which have the expertise to help with patients (and their families) who require further supervision. A less pessimistic attitude among doctors to the treatment of alcohol problems needs to be encouraged. The current development of drugs which reduce craving could well provide the means of treating even the most severely affected patients.</t>
  </si>
  <si>
    <t>J2: Alcohol Alcohol; Paton, A; ID: 1153</t>
  </si>
  <si>
    <t>Paton, A. Knollbury, Chadlington, Oxon, UK.</t>
  </si>
  <si>
    <t>http://ovidsp.ovid.com/ovidweb.cgi?T=JS&amp;CSC=Y&amp;NEWS=N&amp;PAGE=fulltext&amp;D=med4&amp;AN=8844027</t>
  </si>
  <si>
    <t>MEDLINE; Ovid Technologies; Thoughts on 'alcohol problems into the next century'</t>
  </si>
  <si>
    <t>Barriers to education about alcohol</t>
  </si>
  <si>
    <t>Alcoholism/di Diagnosis];Alcoholism/px Psychology];Alcoholism/rh Rehabilitation];Alcoholism/th Therapy];*Alcoholism;Attitude of Health Personnel;Attitude to Health;*Education, Medical, Undergraduate;Health Promotion;Humans</t>
  </si>
  <si>
    <t>J2: J R Soc Med; Paton, A; ID: 1268</t>
  </si>
  <si>
    <t>Paton, A. Chilton Clinic, Warneford Hospital, Oxford.</t>
  </si>
  <si>
    <t>http://ovidsp.ovid.com/ovidweb.cgi?T=JS&amp;CSC=Y&amp;NEWS=N&amp;PAGE=fulltext&amp;D=med3&amp;AN=1404198</t>
  </si>
  <si>
    <t>MEDLINE; Ovid Technologies; Barriers to education about alcohol</t>
  </si>
  <si>
    <t>Alcohol education for doctors</t>
  </si>
  <si>
    <t>*Alcoholism/th Therapy];Counseling/ed Education];*Education, Medical, Continuing;Humans;United Kingdom</t>
  </si>
  <si>
    <t>J2: Postgrad Med J; Paton, A; ID: 1429</t>
  </si>
  <si>
    <t>http://ovidsp.ovid.com/ovidweb.cgi?T=JS&amp;CSC=Y&amp;NEWS=N&amp;PAGE=fulltext&amp;D=med2&amp;AN=3628158</t>
  </si>
  <si>
    <t>MEDLINE; Ovid Technologies; Alcohol education for doctors</t>
  </si>
  <si>
    <t>Pauly,J. B.;Vartan,C. M.;Brooks,A. T.</t>
  </si>
  <si>
    <t>Implementation and evaluation of an opioid overdose education and naloxone distribution (OEND) program at a Veterans Affairs Medical Center</t>
  </si>
  <si>
    <t>BACKGROUND: In recognition of the importance of safe and effective pain management, the Department of Veterans Affairs and the Office of the Under Secretary for Health have encouraged implementation of opioid overdose education and naloxone distribution (OEND) programs at Veterans Affairs Medical Centers (VAMCs). METHODS: An OEND program was developed in August 2015 and implemented in September 2015 at a VAMC which allowed for pharmacist-lead individual and group patient education. An OEND consult service was developed to streamline referrals of patients for naloxone education and distribution. At the conclusion of the class, participants were ordered a naloxone auto-injector or nasal spray kit. To evaluate the utility of this quality-improvement initiative, data was collected from September 2015 until May 2016. Examples of data collected included participant satisfaction with education, risk for accidental overdose, and number of naloxone kits dispensed to participants. RESULTS: Of a total of 243 consults placed, 71 individuals participated in OEND education. A large quantity of consults were discontinued due to patients no-showing education. Sixty-four consult referrals were identified to have a mental health diagnosis. Most participants who received education had a risk for accidental opioid overdose of 14%. Sixty-nine education participants were provided a naloxone kit. Based on the OEND class survey, participants felt that their knowledge of accidental opioid overdose increased and were generally satisfied with the education. CONCLUSION: OEND educated 30% of the Veterans referred into the program via the consult service, the majority of whom were at a relatively low risk for opioid overdose.</t>
  </si>
  <si>
    <t>J2: Subst Abus; Pauly, Julienne B Vartan, Christine M Brooks, Abigail T; ID: 1686</t>
  </si>
  <si>
    <t>Pauly, Julienne B. a Clinical Pharmacy Specialist, Primary Care Mental Health Integration, South Texas Veterans Health Care System , 4610 East Southcross Blvd Suite 105, San Antonio , TX 78222. Vartan, Christine M. b Clinical Pharmacy Specialist, Pain Management, Associate Director, PGY2 Pain &amp; Palliative Care Pharmacy Residency, West Palm Beach Veterans Affairs Medical Center, 7305 North Military Trail (119) , West Palm Beach , FL 33410. Brooks, Abigail T. c Clinical Pharmacy Specialist, Pain Management, Associate Director, PGY2 Pain &amp; Palliative Care Pharmacy Residency, West Palm Beach Veterans Affairs Medical Center, 7305 North Military Trail (119) , West Palm Beach , FL 33410.</t>
  </si>
  <si>
    <t>http://ovidsp.ovid.com/ovidweb.cgi?T=JS&amp;CSC=Y&amp;NEWS=N&amp;PAGE=fulltext&amp;D=medp&amp;AN=29565760</t>
  </si>
  <si>
    <t>https://dx.doi.org/10.1080/08897077.2018.1449174</t>
  </si>
  <si>
    <t>MEDLINE; Ovid Technologies; Implementation and evaluation of an opioid overdose education and naloxone distribution (OEND) program at a Veterans Affairs Medical Center</t>
  </si>
  <si>
    <t>Payne,J. M.;France,K. E.;Henley,N.;D'Antoine,H. A.;Bartu,A. E.;Mutch,R. C.;Elliott,E. J.;Bower,C.</t>
  </si>
  <si>
    <t>Paediatricians' knowledge, attitudes and practice following provision of educational resources about prevention of prenatal alcohol exposure and Fetal Alcohol Spectrum Disorder</t>
  </si>
  <si>
    <t>Journal of Paediatrics &amp; Child Health</t>
  </si>
  <si>
    <t>*Education, Medical, Continuing;*Educational Measurement;Female;*Fetal Alcohol Spectrum Disorders/pc Prevention &amp; Control];Health Care Surveys;*Health Knowledge, Attitudes, Practice;Humans;*Pediatrics;*Physicians;Pregnancy;*Prenatal Care;Western Australia</t>
  </si>
  <si>
    <t>AIM: The study aims to provide paediatricians in Western Australia (WA) with educational resources (http://www.ichr.uwa.edu.au/alcoholandpregnancy) about the prevention of prenatal alcohol exposure and fetal alcohol spectrum disorder, and assess changes in their knowledge, attitudes and practice about fetal alcohol syndrome (FAS) and alcohol consumption in pregnancy. METHODS: Following our 2004 survey of paediatricians, we developed and distributed educational resources to 159 paediatricians in WA in 2007. Six months later, we surveyed these paediatricians and compared their responses with results from 2004 using prevalence rate ratios (PRRs) and 95% confidence intervals (CIs). RESULTS: Of 133 eligible paediatricians, 82 (61.7%) responded: 65.9% had seen the resources, of these 66.7% had used them and 29.6% said the resources had helped them change, or influenced their intent to change, their practice. There was no change in the proportion that knew all the essential features of FAS (18.3% in 2007; 20.0% in 2004) or had diagnosed FAS (58.5% in 2007; 58.9% in 2004). An increased proportion (75.6% in 2007; 48.9% in 2004) agreed that pregnant women should completely abstain from consuming alcohol (PRR 1.55, 95% CI 1.21-1.97). Only 21.7% (no increase from 2004) routinely asked about alcohol use when taking a pregnancy history. CONCLUSIONS: We recommend that asking about alcohol use during pregnancy should be emphasised in paediatric training. Unless paediatricians' capacity to ask about alcohol consumption when taking a pregnancy history and to diagnose FAS is increased, FAS will remain under-diagnosed in Australia and opportunities for management, early intervention and prevention will be overlooked.</t>
  </si>
  <si>
    <t>J2: J Paediatr Child Health; Payne, Janet M France, Kathryn E Henley, Nadine D'Antoine, Heather A Bartu, Anne E Mutch, Raewyn C Elliott, Elizabeth J Bower, Carol; ID: 467</t>
  </si>
  <si>
    <t>1440-1754</t>
  </si>
  <si>
    <t>Payne, Janet M. Telethon Institute for Child Health Research, Centre for Child Health Research, The University of Western Australia, Perth, Australia.</t>
  </si>
  <si>
    <t>http://ovidsp.ovid.com/ovidweb.cgi?T=JS&amp;CSC=Y&amp;NEWS=N&amp;PAGE=fulltext&amp;D=med7&amp;AN=21449899</t>
  </si>
  <si>
    <t>https://dx.doi.org/10.1111/j.1440-1754.2011.02037.x</t>
  </si>
  <si>
    <t>MEDLINE; Ovid Technologies; Paediatricians' knowledge, attitudes and practice following provision of educational resources about prevention of prenatal alcohol exposure and Fetal Alcohol Spectrum Disorder</t>
  </si>
  <si>
    <t>Pbert,L.</t>
  </si>
  <si>
    <t>Healthcare provider training in tobacco treatment: building competency</t>
  </si>
  <si>
    <t>Certification;*Clinical Competence;Education, Medical;Education, Medical, Continuing;*Health Personnel/ed Education];Humans;Massachusetts;Practice Guidelines as Topic;Smoking Cessation;*Tobacco Use Disorder/th Therapy]</t>
  </si>
  <si>
    <t>One of the most effective disease prevention and health promotion strategies available is the treatment of tobacco dependence. The Agency for Healthcare Research and Quality (AHRQ) clinical practice guideline for treating tobacco use and dependence provides a number of recommendations for interventions by health care systems and providers, including that treatment be reimbursed, identification of tobacco users be institutionalized, and all patients be offered brief treatment and have more intensive treatment available to them. Unfortunately, these recommended interventions have not been routinely implemented. As part of a comprehensive approach to improving implementation, provider training is needed. Three models for training healthcare providers in brief tobacco treatment intervention (medical education, professional education, and community-based education) are described, a model for training providers in intensive tobacco treatment interventions is presented, and a rationale for a national training and certification program is made. References: 25]</t>
  </si>
  <si>
    <t>J2: Am J Med Sci; Pbert, Lori; ID: 927</t>
  </si>
  <si>
    <t>Pbert, Lori. Division of Preventive and Behavioral Medicine, University of Massachusetts Medical School, Worcester, Massachusetts 01655, USA. lori.pbert@umassmed.edu</t>
  </si>
  <si>
    <t>http://ovidsp.ovid.com/ovidweb.cgi?T=JS&amp;CSC=Y&amp;NEWS=N&amp;PAGE=fulltext&amp;D=med4&amp;AN=14557743</t>
  </si>
  <si>
    <t>MEDLINE; Ovid Technologies; Healthcare provider training in tobacco treatment: building competency</t>
  </si>
  <si>
    <t>Pbert,L.;Ockene,J. K.;Ewy,B. M.;Leicher,E. S.;Warner,D.</t>
  </si>
  <si>
    <t>Development of a state wide tobacco treatment specialist training and certification programme for Massachusetts</t>
  </si>
  <si>
    <t>Adult;*Certification;*Education;*Education, Medical;Female;*Health Personnel/ed Education];*Health Promotion;Humans;Male;Massachusetts;*Mental Health Services/sd Supply &amp; Distribution];Middle Aged;*Smoking/th Therapy];*Specialization</t>
  </si>
  <si>
    <t>OBJECTIVE: To describe the research conducted to structure and develop a statewide tobacco training and certification programme for tobacco treatment specialists (TTSs) in Massachusetts. DESIGN: Qualitative research strategies were used to obtain information on certification development and opinions regarding TTS training and certification from key informants. A role definition and validation study was then conducted to determine the core competencies for TTSs. A comprehensive training programme was developed, piloted, and finalised, and a certification programme was initiated. PARTICIPANTS: Key informants included: individuals involved in the development of their professional certification programmes; tobacco treatment providers from across Massachusetts; and national tobacco treatment experts. MAIN OUTCOME MEASURES: Participants' opinions about the need for and structure of a training and certification programme for individuals specialising in the provision of moderate to intensive tobacco treatment; delineation of core competencies for TTSs, using the Agency for Health Care Policy and Research (now the Agency for Healthcare Research and Quality) clinical practice guideline as a foundation for the development of evidence based standards of practice for the treatment of nicotine dependence. RESULTS: The data support a comprehensive training and certification programme for TTSs in Massachusetts. Main concerns include the cost of obtaining certification, the potential to exclude uncertified healthcare professionals from delivering basic tobacco treatment, and the role of the TTS in the healthcare delivery system and the community. The training programme developed for Massachusetts was piloted, and the structure of a statewide training and certification programme for TTSs was finalised. CONCLUSIONS: The research provides support for the need and acceptance of a training and certification programme for TTSs in Massachusetts, and presents the challenges to be addressed. We demonstrated the feasibility of developing and implementing an evidence based training programme, and of initiating a statewide certification programme in Massachusetts. This work will add to a national dialogue on the development of a training and certification programme for tobacco treatment providers and encourage further research into the potential impact of statewide and national certification.</t>
  </si>
  <si>
    <t>J2: Tob Control; Pbert, L Ockene, J K Ewy, B M Leicher, E S Warner, D Comment in: Tob Control. 2000 Dec;9(4):355-8; PMID: 11106697; ID: 1016</t>
  </si>
  <si>
    <t>0964-4563</t>
  </si>
  <si>
    <t>Pbert, L. University of Massachusetts Medical School, Division of Preventive and Behavioral Medicine, Worcester, Massachusetts 01655, USA. lori.pbert@umassmed.edu</t>
  </si>
  <si>
    <t>http://ovidsp.ovid.com/ovidweb.cgi?T=JS&amp;CSC=Y&amp;NEWS=N&amp;PAGE=fulltext&amp;D=med4&amp;AN=11106706</t>
  </si>
  <si>
    <t>MEDLINE; Ovid Technologies; Development of a state wide tobacco treatment specialist training and certification programme for Massachusetts</t>
  </si>
  <si>
    <t>Pearlman,J.</t>
  </si>
  <si>
    <t>Combatting Massachusetts's Opioid Epidemic: Reducing the Social Stigma of Addiction Through Increased Access to Voluntary Treatment Services and Expansion of Mandatory Clinician Education Programs</t>
  </si>
  <si>
    <t>American Journal of Law &amp; Medicine</t>
  </si>
  <si>
    <t>Am.J.Law Med.</t>
  </si>
  <si>
    <t>Analgesics, Opioid;Drug Prescriptions;*Education, Medical, Continuing;*Health Services Accessibility;Humans;Massachusetts;*Opioid-Related Disorders/pc Prevention &amp; Control];*Opioid-Related Disorders/rh Rehabilitation];Prescription Drug Misuse/pc Prevention &amp; Control];Social Stigma;*Substance Abuse Treatment Centers;0 (Analgesics, Opioid)</t>
  </si>
  <si>
    <t>J2: Am J Law Med; Pearlman, Julie; ID: 10</t>
  </si>
  <si>
    <t>0098-8588</t>
  </si>
  <si>
    <t>Pearlman, Julie. J.D. candidate, Boston University School of Law, 2017; B.A. Political Science, University of Rochester, 2012.</t>
  </si>
  <si>
    <t>http://ovidsp.ovid.com/ovidweb.cgi?T=JS&amp;CSC=Y&amp;NEWS=N&amp;PAGE=fulltext&amp;D=medl&amp;AN=29086651</t>
  </si>
  <si>
    <t>https://dx.doi.org/10.1177/0098858817701962</t>
  </si>
  <si>
    <t>MEDLINE; Ovid Technologies; Combatting Massachusetts's Opioid Epidemic: Reducing the Social Stigma of Addiction Through Increased Access to Voluntary Treatment Services and Expansion of Mandatory Clinician Education Programs</t>
  </si>
  <si>
    <t>Pedersen,M. U.;Elmeland,K.;Frank,V. A.</t>
  </si>
  <si>
    <t>Addiction research centres and the nurturing of creativity. The Centre for Alcohol and Drug Research: social science alcohol and drug research in Denmark</t>
  </si>
  <si>
    <t>*Academies and Institutes/og Organization &amp; Administration];Academies and Institutes/td Trends];Alcohol Drinking/lj Legislation &amp; Jurisprudence];Alcohol-Related Disorders/pc Prevention &amp; Control];Alcohol-Related Disorders/rh Rehabilitation];*Behavior, Addictive;Creativity;Denmark;Drug and Narcotic Control/og Organization &amp; Administration];Education, Medical, Graduate;Female;Government Agencies/og Organization &amp; Administration];Humans;Male;Organizational Objectives;Policy Making;*Research/og Organization &amp; Administration];Research Support as Topic;*Social Sciences;Substance-Related Disorders/pc Prevention &amp; Control];Substance-Related Disorders/px Psychology];*Substance-Related Disorders/rh Rehabilitation]</t>
  </si>
  <si>
    <t>AIMS: The purpose of this paper is to introduce the social science alcohol and drug research undertaken by the Centre for Alcohol and Drug Research (CRF) and at the same time offer an insight into the development in Danish alcohol and drug research throughout the past 15-20 years. METHOD: A review of articles, books and reports published by researcher from CRF from the mid-1990s until today and an analysis of the policy-making in the Danish substance use and misuse area. RESULTS: CRF is a result of the discussions surrounding social, health and allocation policy questions since the mid-1980s. Among other things, these discussions led to the formal establishment of the Centre in 1991 under the Aarhus University, the Faculty of Social Science. Since 2001 the Centre has received a permanent basic allocation, which has made it possible to appoint tenured senior researchers; to work under a more long-term research strategy; to function as a milieu for educating PhD students; and to diversify from commissioned research tasks to initiating projects involving more fundamental research. Research at the Centre is today pivoted around four core areas: consumption, policy, prevention and treatment. CONCLUSION: The emergence, continuation, financing and character of the research taking place at CRF can be linked closely to the specific Danish drug and alcohol discourse and to the division of the responsibility for alcohol and drug research into separate Ministries.</t>
  </si>
  <si>
    <t>J2: Addiction; Pedersen, Mads U Elmeland, Karen Frank, Vibeke A; ID: 480</t>
  </si>
  <si>
    <t>Pedersen, Mads U. Centre for Alcohol and Drug Research, Nobelparken bygn. 1453, Jens Chr. Skousvej 3, Aarhus University, Arhus, Denmark. mup@crf.au.dk</t>
  </si>
  <si>
    <t>http://ovidsp.ovid.com/ovidweb.cgi?T=JS&amp;CSC=Y&amp;NEWS=N&amp;PAGE=fulltext&amp;D=med7&amp;AN=20955214</t>
  </si>
  <si>
    <t>https://dx.doi.org/10.1111/j.1360-0443.2010.03152.x</t>
  </si>
  <si>
    <t>MEDLINE; Ovid Technologies; Addiction research centres and the nurturing of creativity. The Centre for Alcohol and Drug Research: social science alcohol and drug research in Denmark</t>
  </si>
  <si>
    <t>Pederson,L. L.;Blumenthal,D. S.;Dever,A.;McGrady,G.</t>
  </si>
  <si>
    <t>A web-based smoking cessation and prevention curriculum for medical students: why, how, what, and what next</t>
  </si>
  <si>
    <t>Adult;*Computer-Assisted Instruction;Counseling/ed Education];Curriculum;*Education, Medical;Female;Georgia;Humans;*Internet;Male;Patient Education as Topic;Practice Guidelines as Topic;Program Evaluation;*Smoking Cessation;*Smoking Prevention</t>
  </si>
  <si>
    <t>This paper summarises some major developments in medical education relating to the health risks of tobacco and to training in tobacco cessation and prevention strategies, and discusses some of the barriers to training. We also describe a project whose purpose was to design, implement and evaluate a web-based self-study tobacco curriculum for medical students to teach medical students to assist smokers to quit and to counsel non-smoking adolescents not to start smoking. This curriculum addresses some of the barriers, namely lack of curriculum time, lack of access to materials and experts, and relevance of the materials. The project was designed and evaluated at two medical schools in Georgia: Morehouse School of Medicine and Mercer University School of Medicine. A curriculum on tobacco control strategies and techniques designed for use in clinical settings was made available to first-year medical students as interactive computer-based tutorials. The curriculum, based on the US Public Health Service Clinical Guideline for Treating Tobacco Use and Dependence, was divided into two parts: the tutorial and practicum sections. Pre- and post-exposure measures were collected for the evaluation. The mean differences for correctly answered knowledge items in the two schools were similar: mean for Morehouse was +2.07 and for Mercer +1.67, indicating improvements in knowledge for both schools. There were statistically significant improvements in all categories of self-rated ability to perform six counselling skills, except for Mercer students for the 'Ask' skill category (p=0.069). The amount of exposure (measured only at Morehouse) was not related to overall change in scores but was associated with self-reported improvement in skill in assisting patients to quit smoking, confidence in counselling patients not interested in quitting, and confidence in counselling teens. The web-based curriculum successfully improved the students' self-rated counselling skills. Given the need and desire on the part of practitioners for training, the curriculum may be found useful by practising physicians and other health-care professionals who wish to improve their skills in smoking prevention and cessation.</t>
  </si>
  <si>
    <t>J2: Drug Alcohol Rev; Pederson, Linda L Blumenthal, Daniel S Dever, Alan McGrady, Gene; ID: 807</t>
  </si>
  <si>
    <t>Pederson, Linda L. Community Health and Preventive Medicine, Morehouse School of Medicine, Atlanta, GA 30310, USA.</t>
  </si>
  <si>
    <t>http://ovidsp.ovid.com/ovidweb.cgi?T=JS&amp;CSC=Y&amp;NEWS=N&amp;PAGE=fulltext&amp;D=med5&amp;AN=16492576</t>
  </si>
  <si>
    <t>MEDLINE; Ovid Technologies; A web-based smoking cessation and prevention curriculum for medical students: why, how, what, and what next</t>
  </si>
  <si>
    <t>Pelletier,L. R.;Hoffman,J. A.</t>
  </si>
  <si>
    <t>NIHMS3483; A framework for selecting performance measures for opioid treatment programs</t>
  </si>
  <si>
    <t>Journal for Healthcare Quality</t>
  </si>
  <si>
    <t>Accreditation/st Standards];Cost of Illness;Documentation;Education, Medical, Continuing;Employment;Guideline Adherence;Health Status;Humans;Methadone/tu Therapeutic Use];National Academies of Science, Engineering, and Medicine (U.S.) Health and Medicine Division;Opioid-Related Disorders/cl Classification];Opioid-Related Disorders/rh Rehabilitation];*Opioid-Related Disorders/th Therapy];*Outcome and Process Assessment (Health Care);*Quality Indicators, Health Care;Reproducibility of Results;Severity of Illness Index;Substance Abuse Treatment Centers/lj Legislation &amp; Jurisprudence];*Substance Abuse Treatment Centers/st Standards];Total Quality Management/mt Methods];*Total Quality Management/og Organization &amp; Administration];United States;UC6VBE7V1Z (Methadone)</t>
  </si>
  <si>
    <t>As a result of new federal regulations released in early 2001 that move the monitoring and evaluation of opioid treatment programs from a government regulation to an accreditation model, program staff members are now being challenged to develop performance measurement systems that improve care and service. Using measurement selection criteria is the first step in developing a performance measurement system as a component of an overall quality management (QM) strategy. Opioid treatment programs can "leapfrog" the development of such systems by using lessons learned from the healthcare quality industry. This article reviews performance measurement definitions, proposes performance measurement selection criteria, and makes a business case for Internet automation and accessibility. Performance measurement sets that are appropriate for opioid treatment programs are proposed, followed by a discussion on how performance measurement can be used within a comprehensive QM program. It is hoped that through development, adoption, and implementation of such a performance measurement program, treatment for clients and their families will continuously improve.</t>
  </si>
  <si>
    <t>J2: J Healthc Qual; Pelletier, Luc R Hoffman, Jeffrey A; ID: 920</t>
  </si>
  <si>
    <t>1062-2551</t>
  </si>
  <si>
    <t>Pelletier, Luc R. lucpell@ix.netcom.com</t>
  </si>
  <si>
    <t>http://ovidsp.ovid.com/ovidweb.cgi?T=JS&amp;CSC=Y&amp;NEWS=N&amp;PAGE=fulltext&amp;D=med4&amp;AN=14692185</t>
  </si>
  <si>
    <t>MEDLINE; Ovid Technologies; A framework for selecting performance measures for opioid treatment programs</t>
  </si>
  <si>
    <t>Penick,E. C.;Norton,J. C.;Sauers,C. A.;Powell,B. J.;Read,M. R.</t>
  </si>
  <si>
    <t>Medical problems of the alcoholic in nonmedical treatment</t>
  </si>
  <si>
    <t>Health &amp; social work</t>
  </si>
  <si>
    <t>Health Soc.Work</t>
  </si>
  <si>
    <t>Adult;*Alcoholism/co Complications];*Alcoholism/th Therapy];Attitude of Health Personnel;*Attitude to Health;Curriculum;Education, Medical/st Standards];Follow-Up Studies;*Health Status Indicators;*Health Surveys;Humans;Male;Middle Aged;Models, Psychological;Patient Compliance;Professional-Patient Relations;Risk;Social Work;United States</t>
  </si>
  <si>
    <t>The ambivalence about chronic alcohol abuse among health and related professionals can result in their failure to appreciate medical complications frequently associated with this disorder. Data from 81 male alcoholics are presented in this article to illustrate their increased risk of physical illness and premature death. The authors point to the need for more effective screening and monitoring procedures in alcoholism programs as well as improved training of professionals.</t>
  </si>
  <si>
    <t>J2: Health Soc Work; Penick, E C Norton, J C Sauers, C A Powell, B J Read, M R; ID: 1525</t>
  </si>
  <si>
    <t>0360-7283</t>
  </si>
  <si>
    <t>http://ovidsp.ovid.com/ovidweb.cgi?T=JS&amp;CSC=Y&amp;NEWS=N&amp;PAGE=fulltext&amp;D=med1&amp;AN=689545</t>
  </si>
  <si>
    <t>MEDLINE; Ovid Technologies; Medical problems of the alcoholic in nonmedical treatment</t>
  </si>
  <si>
    <t>Peniston,J. H.</t>
  </si>
  <si>
    <t>A review of pharmacotherapy for chronic low back pain with considerations for sports medicine</t>
  </si>
  <si>
    <t>Physician &amp; Sportsmedicine</t>
  </si>
  <si>
    <t>*Analgesics, Opioid/tu Therapeutic Use];*Anti-Inflammatory Agents, Non-Steroidal/tu Therapeutic Use];Chronic Pain;Evidence-Based Medicine;Humans;*Low Back Pain/dt Drug Therapy];Low Back Pain/et Etiology];*Pain Measurement/mt Methods];*Sports Medicine/mt Methods];0 (Analgesics, Opioid);0 (Anti-Inflammatory Agents, Non-Steroidal)</t>
  </si>
  <si>
    <t>Up to 30% of athletes experience low back pain (LBP) depending on sport type, sex, training intensity and frequency, and technique. United States clinical guidelines define back pain as chronic if it persists for &gt;= 12 weeks, and subacute if it persists 4 to &lt; 12 weeks. Certain sports injuries are likely to lead to chronic pain. Persistent or chronic symptoms are frequently associated with degenerative lumbar disc disease or spondylolytic stress lesions. Exercise therapy is widely used and is the most conservative form of treatment for chronic LBP (cLBP). Pharmacotherapies for cLBP include acetaminophen, nonsteroidal anti-inflammatory drugs, and opioids. Acetaminophen is a well-tolerated first-line pharmacotherapy, but high-dose, long-term use is associated with hepatic toxicity. Nonsteroidal anti-inflammatory drugs can be an effective second-line option if acetaminophen proves inadequate but they have well-known risks of gastrointestinal, cardiovascular, and other systemic adverse effects that increase with patient age, dose amount, and duration of use. The serotonin-norepinephrine reuptake inhibitor, duloxetine, has demonstrated modest efficacy and is associated with systematic adverse events, including serotonin syndrome, which can be dose related or result from interaction with other analgesics. Opioids may be an effective choice for moderate to severe pain but also have significant risks of adverse events and carry a substantial risk of addiction and abuse. Because the course of cLBP may be protracted, patients may require treatment over years or decades, and it is critical that the risk/benefit profiles of pharmacotherapies are closely evaluated to ensure that short- and long-term treatments are optimized for each patient. This article reviews the clinical evidence and the guideline recommendations for pharmacotherapy of cLBP.</t>
  </si>
  <si>
    <t>J2: Phys Sportsmed; Peniston, John H; ID: 393</t>
  </si>
  <si>
    <t>0091-3847</t>
  </si>
  <si>
    <t>Peniston, John H. Feasterville Family Health Care Center, Feasterville, PA, USA. jhpdo@aol.com</t>
  </si>
  <si>
    <t>http://ovidsp.ovid.com/ovidweb.cgi?T=JS&amp;CSC=Y&amp;NEWS=N&amp;PAGE=fulltext&amp;D=med7&amp;AN=23306412</t>
  </si>
  <si>
    <t>https://dx.doi.org/10.3810/psm.2012.11.1985</t>
  </si>
  <si>
    <t>MEDLINE; Ovid Technologies; A review of pharmacotherapy for chronic low back pain with considerations for sports medicine</t>
  </si>
  <si>
    <t>Pereira,C. A.;Wen,C. L.;Tavares,H.</t>
  </si>
  <si>
    <t>Alcohol abuse management in primary care: an e-learning course</t>
  </si>
  <si>
    <t>Telemedicine Journal &amp; E-Health</t>
  </si>
  <si>
    <t>*Alcoholism/pc Prevention &amp; Control];*Alcoholism/th Therapy];Brazil;Computer-Assisted Instruction/mt Methods];Disease Management;*Education, Distance/og Organization &amp; Administration];Education, Medical/mt Methods];*Educational Measurement;Female;Humans;Internet/ut Utilization];Male;*Primary Health Care/og Organization &amp; Administration];Program Evaluation;Students, Medical/sn Statistics &amp; Numerical Data];Telemedicine</t>
  </si>
  <si>
    <t>BACKGROUND: The mental health knowledge gap challenges public health. The Alcohol Abuse Management in Primary Care (AAMPC) is an e-learning course designed to cover alcohol-related problems from the primary care perspective. The goal of this study was to verify if the AAMPC was able to enhance healthcare professionals' alcohol-related problems knowledge. MATERIALS AND METHODS: One hundred subscriptions for the AAMPC were offered through the federal telehealth program. The course was instructor-led and had nine weekly classes, delivered synchronously or asynchronously, at the students' convenience, using a varied array of learning tools. At the beginning, students took a test that provided a positive score, related to critical knowledge for clinical management, and a negative score, related to misconceptions about alcohol-related problems. The test was repeated 2 months after course completion. RESULTS: Thirty-three students completed the course. The positive score improved significantly (p&lt;0.001), but not the negative score. Students with previous experience with e-courses presented greater improvement on the positive score (p&lt;0.036). Eighty-percent of the students thought the course excelled in meeting its objectives. Web conferences and video and audio recordings were the most appreciated learning tools. Course satisfaction was negatively related to frequency of Internet access (Spearman's rho=-0.455, p=0.022). CONCLUSIONS: E-learning was highly appreciated as a learning tool, especially by students with the least frequency of Internet use. Nonetheless, it worked better for those previously familiar with e-courses. The AAMPC e-course provided effective knowledge transmission and retention. Complementary strategies to reduce misconceptions about alcohol-related problems must be developed for the training of primary care staff.</t>
  </si>
  <si>
    <t>J2: Telemed J E Health; Pereira, Celina Andrade Wen, Chao Lung Tavares, Hermano; ID: 142</t>
  </si>
  <si>
    <t>1556-3669</t>
  </si>
  <si>
    <t>Pereira, Celina Andrade. 1 Department of Psychiatry, University of Sao Paulo Medical School , Sao Paulo, Brazil .</t>
  </si>
  <si>
    <t>http://ovidsp.ovid.com/ovidweb.cgi?T=JS&amp;CSC=Y&amp;NEWS=N&amp;PAGE=fulltext&amp;D=med8&amp;AN=25599269</t>
  </si>
  <si>
    <t>https://dx.doi.org/10.1089/tmj.2014.0042</t>
  </si>
  <si>
    <t>MEDLINE; Ovid Technologies; Alcohol abuse management in primary care: an e-learning course</t>
  </si>
  <si>
    <t>Pereira-Lima,K.;Loureiro,S. R.;Crippa,J. A.</t>
  </si>
  <si>
    <t>Mental health in medical residents: relationship with personal, work-related, and sociodemographic variables</t>
  </si>
  <si>
    <t>Adult;*Alcoholism/ep Epidemiology];Alcoholism/px Psychology];*Anxiety Disorders/ep Epidemiology];Anxiety Disorders/px Psychology];Brazil/ep Epidemiology];*Burnout, Professional/ep Epidemiology];Burnout, Professional/px Psychology];*Depressive Disorder/ep Epidemiology];Depressive Disorder/px Psychology];Female;Humans;*Internship and Residency/sn Statistics &amp; Numerical Data];Logistic Models;Male;*Mental Health;Multivariate Analysis;Personality Inventory;Socioeconomic Factors;Surveys and Questionnaires;Workload</t>
  </si>
  <si>
    <t>Objective:: To examine association of sociodemographic characteristics, personality traits, social skills, and work variables with anxiety, depression, and alcohol dependence in medical residents. Methods:: A total of 270 medical residents completed the following self-report instruments: sociodemographic and work questionnaire, Patient Health Questionnaire-4 (PHQ-4), Alcohol Use Disorders Identification Test-3 (AUDIT-3), Revised NEO-Five Factor Inventory (NEO-FFI-R), and Social Skills Inventory (SSI-Del-Prette). Data were analyzed using descriptive statistics and univariate and multivariate logistic regression analyses. Results:: Multivariate analysis showed an association of neuroticism (odds ratio OR] 2.60, p &lt; 0.001), social skills (OR 0.41, p &lt; 0.01), and number of shifts (OR 1.91, p = 0.03) with anxiety or depression, and of male sex (OR 3.14, p = 0.01), surgical residency (OR 4.40, p = 0.001), extraversion (OR 1.80, p &lt; 0.01), and number of shifts (OR 2.32, p = 0.04) with alcohol dependence. Conclusion:: The findings support a multidetermined nature of mental health problems in medical residents, in addition to providing data that may assist in the design of preventive measures to protect the mental health of this group.</t>
  </si>
  <si>
    <t>J2: Rev Bras Psiquiatr; Pereira-Lima, Karina Loureiro, Sonia R Crippa, Jose A S1516-44462016000400318; ID: 95</t>
  </si>
  <si>
    <t>1809-452X</t>
  </si>
  <si>
    <t>Pereira-Lima, Karina. Programa de Pos-Graduacao em Saude Mental, Departamento de Neurociencias e Ciencias do Comportamento, Faculdade de Medicina de Ribeirao Preto, Universidade de Sao Paulo (USP), Ribeirao Preto, SP, Brazil. Loureiro, Sonia R. Programa de Pos-Graduacao em Saude Mental, Departamento de Neurociencias e Ciencias do Comportamento, Faculdade de Medicina de Ribeirao Preto, Universidade de Sao Paulo (USP), Ribeirao Preto, SP, Brazil. Crippa, Jose A. Programa de Pos-Graduacao em Saude Mental, Departamento de Neurociencias e Ciencias do Comportamento, Faculdade de Medicina de Ribeirao Preto, Universidade de Sao Paulo (USP), Ribeirao Preto, SP, Brazil.</t>
  </si>
  <si>
    <t>http://ovidsp.ovid.com/ovidweb.cgi?T=JS&amp;CSC=Y&amp;NEWS=N&amp;PAGE=fulltext&amp;D=med8&amp;AN=27192216</t>
  </si>
  <si>
    <t>https://dx.doi.org/10.1590/1516-4446-2015-1882</t>
  </si>
  <si>
    <t>MEDLINE; Ovid Technologies; Mental health in medical residents: relationship with personal, work-related, and sociodemographic variables</t>
  </si>
  <si>
    <t>Perrone,J.;De Roos,F.;Jayaraman,S.;Hollander,J. E.</t>
  </si>
  <si>
    <t>Drug screening versus history in detection of substance use in ED psychiatric patients</t>
  </si>
  <si>
    <t>American Journal of Emergency Medicine</t>
  </si>
  <si>
    <t>Am.J.Emerg.Med.</t>
  </si>
  <si>
    <t>Adult;Cross-Sectional Studies;Emergency Service, Hospital;Humans;*Mental Disorders/dt Drug Therapy];Prospective Studies;*Substance Abuse Detection/mt Methods];*Substance-Related Disorders/ep Epidemiology]</t>
  </si>
  <si>
    <t>Because self-reporting of substance use may not be reliable, physicians rely on drug screening. We tested the hypothesis that drug screening alone is sufficient to detect substance use in ED psychiatric patients. We prospectively evaluated patients receiving psychiatric consultation over 6 months ending in April 1998 in an urban medical/psychiatric ED with 42,000 annual visits. After informed consent, patients underwent a structured interview by trained research associates who queried regarding substance use in the past 3 days. This self-report was compared with urine drug screen results for 11 substances of abuse. Standard descriptive statistical techniques were used. Kappa statistics were used to assess concordance between history and drug screens. Two hundred eighteen patients participated, 124 had a urine drug screen obtained. Patients with and without urine drug screens were similar with respect to age (34.9 versus 34.9 years, P =.3) and psychiatric diagnosis (P =.24). Overall, there was only fair concordance between history and drug screens (kappa = 0.46). History alone detected substance use in 70 patients (57%); drug screening alone detected substance use in 77 patients (62%). The combination of history and drug screening more often detected substance use than either alone (90 pts (73%); P &lt;.05 for both comparisons). Depending on the particular drug, there was wide variation in concordance between history and drug screen (kappa's varied from 0.07 for ethanol to 0. 79 for cocaine). History was better than drug screening for ethanol use (40 versus 10 patients), and THC (28 versus 15 pts). Drug testing alone was never significantly better than history. Although self-reporting of substance use is not reliable, reliance on drug screening alone is also flawed. Optimal identification of drug use in emergency department psychiatric patients requires both history and drug screening.</t>
  </si>
  <si>
    <t>J2: Am J Emerg Med; Perrone, J De Roos, F Jayaraman, S Hollander, J E; ID: 1014</t>
  </si>
  <si>
    <t>0735-6757</t>
  </si>
  <si>
    <t>Perrone, J. Department of Emergency Medicine, University of Pennsylvania, Philadelphia, PA 19104, USA. Jeanmari@mail.med.upenn.edu</t>
  </si>
  <si>
    <t>http://ovidsp.ovid.com/ovidweb.cgi?T=JS&amp;CSC=Y&amp;NEWS=N&amp;PAGE=fulltext&amp;D=med4&amp;AN=11146019</t>
  </si>
  <si>
    <t>MEDLINE; Ovid Technologies; Drug screening versus history in detection of substance use in ED psychiatric patients</t>
  </si>
  <si>
    <t>Perry,T. L.</t>
  </si>
  <si>
    <t>Antibiotic abuse: the testimony of medical students</t>
  </si>
  <si>
    <t>Ampicillin/tu Therapeutic Use];*Anti-Infective Agents/tu Therapeutic Use];Bacterial Infections/di Diagnosis];*Bacterial Infections/dt Drug Therapy];British Columbia;Clindamycin/tu Therapeutic Use];Cloxacillin/tu Therapeutic Use];Education, Medical, Undergraduate;Erythromycin/tu Therapeutic Use];Humans;Neomycin/tu Therapeutic Use];Penicillin G/tu Therapeutic Use];Penicillin Resistance;Penicillin V/tu Therapeutic Use];*Student Health Services/st Standards];*Students, Medical;*Substance-Related Disorders/ep Epidemiology];Sulfonamides/tu Therapeutic Use];Tetracycline/tu Therapeutic Use];0 (Anti-Infective Agents);0 (Sulfonamides);1404-04-2 (Neomycin);3U02EL437C (Clindamycin);63937KV33D (Erythromycin);7C782967RD (Ampicillin);F8VB5M810T (Tetracycline);O6X5QGC2VB (Cloxacillin);Q42T66VG0C (Penicillin G);Z61I075U2W (Penicillin V)</t>
  </si>
  <si>
    <t>Surveys of the use of antimicrobial drugs on students during antimicrobial drugs on students during their first 15 months in medical or dental school indicate that they have been treated with these agents at least three times as frequently as seems reasonable, and that the tetracyclines, ampicillin, penicillin G and erythromycin are the chief drugs overused. Antimicrobiol therapy is frequently instituted for probable viral respiratory tract infections and without any attempt to establish a bacteriologic diagnosis. It is likely that anitmicrobiol agents are used more widely in treating the general public in Canada than in treating medical students. Improvements in the rational use of this important group of drugs could increase the quality and probably reduced the cost of medical care.</t>
  </si>
  <si>
    <t>J2: Can Med Assoc J; Perry, T L; ID: 1554</t>
  </si>
  <si>
    <t>http://ovidsp.ovid.com/ovidweb.cgi?T=JS&amp;CSC=Y&amp;NEWS=N&amp;PAGE=fulltext&amp;D=med1&amp;AN=806341</t>
  </si>
  <si>
    <t>MEDLINE; Ovid Technologies; Antibiotic abuse: the testimony of medical students</t>
  </si>
  <si>
    <t>Peteet,J. R.;Brenner,S.;Curtiss,D.;Ferrigno,M.;Kauffman,J.</t>
  </si>
  <si>
    <t>A stage of change approach to addiction in the medical setting</t>
  </si>
  <si>
    <t>General hospital psychiatry</t>
  </si>
  <si>
    <t>Gen.Hosp.Psychiatry</t>
  </si>
  <si>
    <t>Adult;Alcoholism/px Psychology];*Alcoholism/rh Rehabilitation];Defense Mechanisms;Denial (Psychology);Female;Humans;Male;Outcome and Process Assessment (Health Care);*Patient Care Team;Patient Compliance/px Psychology];Substance-Related Disorders/px Psychology];*Substance-Related Disorders/rh Rehabilitation]</t>
  </si>
  <si>
    <t>Despite recent advances in its understanding and treatment, addiction remains a difficult challenge for clinicians within medical settings such as the general hospital. The use of single, traditional paradigms (disciplinary, therapeutic, educational, or libertarian) for approaching addiction-related problems have often failed to embrace the complexity of the patients' motivation to change. Prochaska and DiClemente's 7] stage of change model offers a realistic, practical, and broadly applicable means by which clinicians can facilitate behavioral change from the stage of denial (precontemplation) through that of sustained recovery (maintenance). Clinicians can help addicted individuals to move from precontemplation to contemplation by enhancing their ambivalence; from contemplation to preparation by considering their history of change; from preparation to action by flexibly intervening based on this understanding; and from action to maintenance by evaluating the outcomes of these interventions. A stage of change model is also useful in understanding the process of change in clinicians' own approaches to patients with substance use disorders. References: 13]</t>
  </si>
  <si>
    <t>J2: Gen Hosp Psychiatry; Peteet, J R Brenner, S Curtiss, D Ferrigno, M Kauffman, J; ID: 1086</t>
  </si>
  <si>
    <t>0163-8343</t>
  </si>
  <si>
    <t>Peteet, J R. Brigham and Women's Hospital, Boston, Massachusetts 02115, USA.</t>
  </si>
  <si>
    <t>http://ovidsp.ovid.com/ovidweb.cgi?T=JS&amp;CSC=Y&amp;NEWS=N&amp;PAGE=fulltext&amp;D=med4&amp;AN=9788026</t>
  </si>
  <si>
    <t>MEDLINE; Ovid Technologies; A stage of change approach to addiction in the medical setting</t>
  </si>
  <si>
    <t>Peters,C.;Wilson,D.;Bruneau,A.;Butt,P.;Hart,S.;Mayhew,J.</t>
  </si>
  <si>
    <t>Alcohol risk assessment and intervention for family physicians. Project of the College of Family Physicians of Canada</t>
  </si>
  <si>
    <t>*Alcoholism/di Diagnosis];*Alcoholism/th Therapy];Canada;*Education, Medical, Continuing;*Family Practice/ed Education];*Family Practice/mt Methods];Humans;Mass Screening;Physician's Role;Risk Assessment;Risk Factors;Societies, Medical;Surveys and Questionnaires;Teaching Materials</t>
  </si>
  <si>
    <t>At-risk and problem drinkers (excluding those with severe dependency) are estimated to be 20% of the Canadian population. With minimal training family physicians can effectively manage patients with alcohol problems. The Alcohol Risk Assessment and Intervention Project of the College of Family Physicians of Canada has developed materials and training for family physicians to use in helping their patients reduce the risks of alcohol-related harm. References: 31]</t>
  </si>
  <si>
    <t>J2: Can Fam Physician; Peters, C Wilson, D Bruneau, A Butt, P Hart, S Mayhew, J; ID: 1172</t>
  </si>
  <si>
    <t>Peters, C. Hotel Dieu Family, Medicine Centre Queen's University, Kingston, Ont.</t>
  </si>
  <si>
    <t>http://ovidsp.ovid.com/ovidweb.cgi?T=JS&amp;CSC=Y&amp;NEWS=N&amp;PAGE=fulltext&amp;D=med4&amp;AN=8653036</t>
  </si>
  <si>
    <t>MEDLINE; Ovid Technologies; Alcohol risk assessment and intervention for family physicians. Project of the College of Family Physicians of Canada</t>
  </si>
  <si>
    <t>Peters,S. M.;Pabelick,C. M.;Warner,D. O.</t>
  </si>
  <si>
    <t>Tobacco control education in pediatric anesthesiology fellowships</t>
  </si>
  <si>
    <t>Paediatric anaesthesia</t>
  </si>
  <si>
    <t>Paediatr.Anaesth.</t>
  </si>
  <si>
    <t>Adult;Age Factors;*Anesthesiology/ed Education];Child;Data Collection;Fellowships and Scholarships;Female;*Health Education/mt Methods];Health Knowledge, Attitudes, Practice;Humans;Male;Middle Aged;Pediatrics;Sex Factors;Smoking Cessation;*Tobacco;Tobacco Smoke Pollution/pc Prevention &amp; Control];*Tobacco Use/pc Prevention &amp; Control];0 (Tobacco Smoke Pollution)</t>
  </si>
  <si>
    <t>BACKGROUND: Cigarette smoking and secondhand smoke exposure (SHS) increase the risk of perioperative complications. Traditionally, anesthesiologists have limited involvement in tobacco control. OBJECTIVE: To develop and disseminate an educational curriculum that educates pediatric anesthesia fellows in tobacco control. METHODS: After IRB approval, an online survey was disseminated to pediatric anesthesiology fellowship directors. RESULTS: Thirty-one surveys were completed. Most report that they ask pediatric patients about tobacco use. A majority advise their patients who smoke about the health effects of smoking, but only 40% advise children to quit, and the majority never provide educational materials to assist in smoking cessation. Half reported that they sometimes or always ask about SHS. Approximately one-third never advise about the ill effects of SHS, nearly half never advise parents to stop smoking, and the majority never provide educational material about quitting to parents. Two-thirds felt that it is their responsibility to advise pediatric patients not to smoke, but less than half felt the same sense of responsibility about advising parents not to smoke. Approximately two-thirds believe that fellowship programs should provide education about the effects of smoking in the perioperative period and the effects of SHS exposure, but few programs do. Almost all would implement a free teaching module about SHS exposure and tobacco control as part of fellowship education. CONCLUSIONS: Many pediatric anesthesiology fellowship directors agree that exposure to cigarette smoke adversely impacts patients in the perioperative period, but few participate in tobacco control, and issues germane to tobacco control are not consistently addressed.</t>
  </si>
  <si>
    <t>J2: Paediatr Anaesth; Peters, Shannon M Pabelick, Christina M Warner, David O; ID: 292</t>
  </si>
  <si>
    <t>1460-9592</t>
  </si>
  <si>
    <t>Peters, Shannon M. Department of Anesthesiology, Mayo Clinic, Rochester, MN, USA.</t>
  </si>
  <si>
    <t>http://ovidsp.ovid.com/ovidweb.cgi?T=JS&amp;CSC=Y&amp;NEWS=N&amp;PAGE=fulltext&amp;D=med7&amp;AN=24383603</t>
  </si>
  <si>
    <t>https://dx.doi.org/10.1111/pan.12277</t>
  </si>
  <si>
    <t>MEDLINE; Ovid Technologies; Tobacco control education in pediatric anesthesiology fellowships</t>
  </si>
  <si>
    <t>Petersen,T.;Fava,M.;Alpert,J. E.;Vorono,S.;Sanders,K. M.;Mischoulon,D.</t>
  </si>
  <si>
    <t>Does psychiatry residency training reflect the "real world" of psychiatry practice? A survey of residency graduates</t>
  </si>
  <si>
    <t>*Attitude of Health Personnel;Clinical Competence;Cohort Studies;Curriculum;Data Collection;*Education, Medical, Graduate;Fellowships and Scholarships;Hospitals, General;Humans;*Internship and Residency;Massachusetts;Physician's Role;Program Evaluation;Psychiatric Department, Hospital;*Psychiatry/ed Education]</t>
  </si>
  <si>
    <t>OBJECTIVE: The authors determine whether Massachusetts General Hospital's residency graduates believed their training reflected their current practice activities. METHOD: The authors surveyed 134 graduates from MGH and MGH-McLean residency classes from 1983 to 2003. Subjects ranked their satisfaction with different components of training on a scale of 1 to 6 and listed areas they wanted emphasized during residency. RESULTS: Sixty-six subjects (49%) returned surveys. Twenty respondents graduated in the 1980s (Cohort 1), 27 in the 1990s (Cohort 2), and 16 in the 2000s (Cohort 3). The most common activities included psychopharmacology, teaching, supervision, research, administration, psychodynamic therapy, and supportive therapy. Least common activities included geriatrics, addiction, and psychoanalysis. Satisfaction with training was high, as was relevance of training. CONCLUSIONS: Our graduates from 1983 to 2003 considered residency good preparation for the world of practice and reported that psychopharmacology should be emphasized during training. Respondents expressed a strong desire for continued training in psychodynamic therapy, despite growing emphasis on short-term therapies and biological treatments.</t>
  </si>
  <si>
    <t>J2: Acad Psychiatry; Petersen, Timothy Fava, Maurizio Alpert, Jonathan E Vorono, Sienna Sanders, Kathy M Mischoulon, David; ID: 731</t>
  </si>
  <si>
    <t>Petersen, Timothy. Department of Psychiatry, Massachusetts General Hospital, Boston, MA 02114, USA.</t>
  </si>
  <si>
    <t>http://ovidsp.ovid.com/ovidweb.cgi?T=JS&amp;CSC=Y&amp;NEWS=N&amp;PAGE=fulltext&amp;D=med5&amp;AN=17626190</t>
  </si>
  <si>
    <t>MEDLINE; Ovid Technologies; Does psychiatry residency training reflect the "real world" of psychiatry practice? A survey of residency graduates</t>
  </si>
  <si>
    <t>Peterson,M.;Johnstone,B. M.</t>
  </si>
  <si>
    <t>The Atwood Hall Health Promotion Program, Federal Medical Center, Lexington, KY. Effects on drug-involved federal offenders</t>
  </si>
  <si>
    <t>Alcoholism/px Psychology];Alcoholism/rh Rehabilitation];Cognitive Therapy;Combined Modality Therapy;Female;Health Knowledge, Attitudes, Practice;*Health Promotion;Humans;Kentucky;*Life Style;*Patient Admission;Physical Fitness/px Psychology];*Prisoners/px Psychology];*Psychotropic Drugs;Self Concept;*Street Drugs;Substance-Related Disorders/px Psychology];*Substance-Related Disorders/rh Rehabilitation];0 (Psychotropic Drugs);0 (Street Drugs)</t>
  </si>
  <si>
    <t>There is a critical need for the development of effective substance abuse and dependence treatment programs in prisons and jails. One aspect of treatment provision within this population that has received insufficient research attention is the inclusion of health promotion or wellness programs, including exercise and other health-related lifestyle modification training. Little is known about either the physiological or psychological consequences of such lifestyle modification programs among prisoners with substance use disorders. This study reports the effectiveness of an experimental wellness program included as part of a residential treatment unit in a federal correctional institute in the United States. A sample of 43 female offenders with a history of polysubstance abuse or dependence, who had volunteered to be part of a residential drug treatment program, were evaluated. Changes in health status and perceived psychological well-being between entry into the program and exit after maintaining participation for a minimum of 9 months were assessed. Pretest-posttest comparisons on a variety of physiological parameters indicated that significant improvements had occurred in the physical fitness of the group. Thematic analysis of qualitative self-reports by inmates exiting the program suggested that participants had also experienced significant enhancements in a number of areas pertaining to psychological well-being, including self-esteem, health awareness and concerns, healthy lifestyle adoption, and relapse prevention skills. These results suggest that including health promotion training in drug treatment programs for incarcerated offenders may have beneficial results.</t>
  </si>
  <si>
    <t>J2: J Subst Abuse Treat; Peterson, M Johnstone, B M; ID: 1197</t>
  </si>
  <si>
    <t>Peterson, M. Department of Health and Physical Education, State University of New York at Oswego, USA.</t>
  </si>
  <si>
    <t>http://ovidsp.ovid.com/ovidweb.cgi?T=JS&amp;CSC=Y&amp;NEWS=N&amp;PAGE=fulltext&amp;D=med3&amp;AN=7752297</t>
  </si>
  <si>
    <t>MEDLINE; Ovid Technologies; The Atwood Hall Health Promotion Program, Federal Medical Center, Lexington, KY. Effects on drug-involved federal offenders</t>
  </si>
  <si>
    <t>Petroianu,A.;Reis,D. C.;Cunha,B. D.;Souza,D. M.</t>
  </si>
  <si>
    <t>Prevalence of alcohol, tobacco and psychotropic drug use among medical students at the Universidade Federal de Minas Gerais</t>
  </si>
  <si>
    <t>Revista da Associacao Medica Brasileira</t>
  </si>
  <si>
    <t>Rev.Assoc.Med.Bras.</t>
  </si>
  <si>
    <t>Adolescent;Adult;*Alcohol Drinking/ep Epidemiology];Brazil/ep Epidemiology];Chi-Square Distribution;Female;Humans;Male;Marijuana Smoking/ep Epidemiology];Prevalence;*Psychotropic Drugs/ad Administration &amp; Dosage];Risk Factors;Schools, Medical;Sex Distribution;*Smoking/ep Epidemiology];*Students, Medical/sn Statistics &amp; Numerical Data];*Substance-Related Disorders/ep Epidemiology];Young Adult;0 (Psychotropic Drugs)</t>
  </si>
  <si>
    <t>OBJECTIVE: The purpose of this study was to assess the prevalence of alcohol, tobacco and psychotropic drug consumption by students of the Medical School of the Federal University of Minas Gerais, Brazil, and to verify aspects related to those addictions. METHODS: This study was carried out with students of all years of the medical course invited to participate anonymously, by answering a self-applied questionnaire which was previously evaluated and adapted to Brazilian reality. It was based upon the World Health Organization's Guidelines for Student Substance Use Survey and included 25 questions about drug addiction. Student's t test and chi-square test were applied to assess differences between the mean and proportions of data. RESULTS: Alcohol and tobacco were the more frequently used by the students, 85.2% and 16.3% respectively. Among psychotropic drugs, marijuana was reported by 16.5% of students, LSD by 6.9%, sedatives by 12%, amphetamines by 7.5% and inhalant substances by 16.8%. Cocaine, crack, opiates, anticholinergics and anabolics consumption were rarely mentioned. CONCLUSION: Alcohol was the drug most used and was related to other drug addictions. Drugs were most frequently used by single, male students, who live alone and do not support themselves.</t>
  </si>
  <si>
    <t>J2: Rev Assoc Med Bras; Petroianu, Andy Reis, Daniel Cruz Ferreira dos Cunha, Breno Dayrell Silva Souza, Davi Machado de S0104-42302010000500019; ID: 494</t>
  </si>
  <si>
    <t>1806-9282</t>
  </si>
  <si>
    <t>Petroianu, Andy. Departamento de Cirurgia da Faculdade de Medicina da Universidade Federal de Minas Gerais - UFMG, Belo Horizonte, MG, Brazil.</t>
  </si>
  <si>
    <t>http://ovidsp.ovid.com/ovidweb.cgi?T=JS&amp;CSC=Y&amp;NEWS=N&amp;PAGE=fulltext&amp;D=med6&amp;AN=21152830</t>
  </si>
  <si>
    <t>MEDLINE; Ovid Technologies; Prevalence of alcohol, tobacco and psychotropic drug use among medical students at the Universidade Federal de Minas Gerais</t>
  </si>
  <si>
    <t>Pettinati,H. M.;Weiss,R. D.;Dundon,W.;Miller,W. R.;Donovan,D.;Ernst,D. B.;Rounsaville,B. J.</t>
  </si>
  <si>
    <t>A structured approach to medical management: a psychosocial intervention to support pharmacotherapy in the treatment of alcohol dependence</t>
  </si>
  <si>
    <t>Journal of Studies on Alcohol - Supplement</t>
  </si>
  <si>
    <t>8; discussion 168-9</t>
  </si>
  <si>
    <t>Alcoholism/dt Drug Therapy];*Alcoholism/th Therapy];*Behavior Therapy/mt Methods];*Clinical Competence;Combined Modality Therapy;*Drug Therapy/mt Methods];Goals;Health Personnel/st Standards];Health Status;Humans;Research Design;Treatment Outcome</t>
  </si>
  <si>
    <t>OBJECTIVE: Given the national trend toward integrating substance abuse treatment into medical practice, experts in the field of alcoholism designed a psychosocial, medically based intervention to be used with pharmacotherapy in the COMBINE multisite national study, supported by the National Institute on Alcohol Abuse and Alcoholism. A main purpose of the COMBINE Study is to investigate optimal treatment for patients with alcohol dependence by combining pharmacotherapy and psychosocial interventions. METHOD: The medically based intervention, called Medical Management (MM), was specifically constructed to be implemented by medically trained practitioners in nonspecialty settings. Each visit includes evaluations of medication safety and adherence, monitoring of alcohol use and direct advice to the patient for achieving full recovery. RESULTS: There are several themes implicit in MM. Patient education about the disorder and about the treatment being provided are both essential. The clinician also educates the patient about how he or she has been affected by alcohol dependence. Information is given on how to take the medication(s) as prescribed, what the patient should expect from the medication(s) and what kinds of events the clinician will need to know about during treatment. Finally, the clinician and patient discuss strategies for ensuring medication safety and adherence to the prescribed regimen. CONCLUSIONS: MM was easily implemented in the COMBINE Study with the aid of the MM Treatment Manual.</t>
  </si>
  <si>
    <t>J2: J Stud Alcohol Suppl; Pettinati, Helen M Weiss, Roger D Dundon, William Miller, William R Donovan, Dennis Ernst, Denise B Rounsaville, Bruce J; ID: 842</t>
  </si>
  <si>
    <t>0363-468X</t>
  </si>
  <si>
    <t>Pettinati, Helen M. Addiction Treatment Research Center, University of Pennsylvania, 3900 Chestnut Street, Philadelphia, Pennsylvania 19104, USA. Pettinati_h@mail.trc.upenn.edu</t>
  </si>
  <si>
    <t>http://ovidsp.ovid.com/ovidweb.cgi?T=JS&amp;CSC=Y&amp;NEWS=N&amp;PAGE=fulltext&amp;D=med5&amp;AN=16223068</t>
  </si>
  <si>
    <t>MEDLINE; Ovid Technologies; A structured approach to medical management: a psychosocial intervention to support pharmacotherapy in the treatment of alcohol dependence</t>
  </si>
  <si>
    <t>Piccoli,G. B.;Soragna,G.;Putaggio,S.;Consiglio,V.;Mezza,E.;Bonetto,A.;Geuna,S.</t>
  </si>
  <si>
    <t>Drug use and kidney donation: what are high-risk behaviors today?</t>
  </si>
  <si>
    <t>Transplantation proceedings</t>
  </si>
  <si>
    <t>Transplant.Proc.</t>
  </si>
  <si>
    <t>Adolescent;Adult;Attitude to Health;Education, Medical, Continuing;Humans;Italy/ep Epidemiology];Middle Aged;*Patient Selection;Risk-Taking;Students;Students, Medical;Students, Nursing;*Substance-Related Disorders/ep Epidemiology];Substance-Related Disorders/px Psychology];Surveys and Questionnaires;*Tissue Donors/sn Statistics &amp; Numerical Data];Tissue Donors/sd Supply &amp; Distribution]</t>
  </si>
  <si>
    <t>BACKGROUND: "Social risk behaviors" are usually considered as contraindications for organ donation. The organ shortage, however, necessitates expansion of the donor pool. Reconsideration of the policy toward substance abusers may be important. Opinions of the overall population may be of use to define this cultural-sensitive issue. METHODS: A semistructured questionnaire on organ donation, including opinions on drug use (cannabis and cocaine), was administered to various groups of the general public and caregivers: high school students (liceo classico: 59 students, median age 18 years; istituto tecnico: 108, age 17); first- and fourth-year medical school (77, age 19; 46, age 22); continuing medical education (44, age 32); third-year nursing school (31, age 23); "senior citizen university" (51, age 63). RESULTS: Cannabis use was mainly accepted for kidney donation (48.6% yes, 26.6% no, 29.8% uncertain/blank), but cocaine use was not (22.1% yes, 44.2% no, 33.7% uncertain/blank). In the univariate analysis, opinions differed according to age, sex, and belonging to the health care teams upon multivariate analysis being a member of the health care team was the strongest predictor of responses (P&lt;.01). CONCLUSION: It is difficult to define social risk behaviors. Since opinions are important for organ donation, further studies and discussion are needed to periodically analyze our policies.</t>
  </si>
  <si>
    <t>J2: Transplant Proc; Piccoli, G B Soragna, G Putaggio, S Consiglio, V Mezza, E Bonetto, A Geuna, S; ID: 813</t>
  </si>
  <si>
    <t>0041-1345</t>
  </si>
  <si>
    <t>Piccoli, G B. Nephrology, University of Torino, Torino, Italy. gbpiccoli@yahoo.it</t>
  </si>
  <si>
    <t>http://ovidsp.ovid.com/ovidweb.cgi?T=JS&amp;CSC=Y&amp;NEWS=N&amp;PAGE=fulltext&amp;D=med5&amp;AN=16797268</t>
  </si>
  <si>
    <t>MEDLINE; Ovid Technologies; Drug use and kidney donation: what are high-risk behaviors today?</t>
  </si>
  <si>
    <t>Piko,B.</t>
  </si>
  <si>
    <t>Study of smoking behavior and smoking-related attitudes among preclinical medical students]</t>
  </si>
  <si>
    <t>*Attitude to Health;*Education, Medical, Undergraduate;Female;Humans;Hungary/ep Epidemiology];Male;Physician's Role;*Smoking/ep Epidemiology];Smoking Cessation;*Students, Medical/sn Statistics &amp; Numerical Data];Surveys and Questionnaires;Young Adult</t>
  </si>
  <si>
    <t>UNLABELLED: Despite the well-known fact that smoking is the most important cause of premature death, prevention of smoking in young people is still an unresolved public health problem. Smoking among medical students in particular should receive a special attention since smoking-related attitudes among health care professionals may act as role models among the patients. OBJECTIVE: The main goal of the present study was to detect preclinical (year 1 and year 2) medical students' smoking status, smoking frequencies and smoking-related attitudes in Szeged. METHOD: The whole sample consisted of 212 students, approximately 50% of the grades reported on their smoking status and smoking-related attitudes. Attitudes were measured by using a scale of The Students' Health and Lifestyle Study, The University of Western Ontario (Canada) that previously had been adapted. RESULTS: The data show that frequency of smokers did not decrease but slightly increased as compared to the research results from the 1990s. Neither year 1 nor year 2 students showed gender differences according to their smoking status. More nonsmoking students accepted their own role model. CONCLUSIONS: Besides interdisciplinary courses on the addictions, more practice-oriented and patient-centered courses are also needed to get the students familiar with basic principles of devices for smoking cessation. In addition, there is also a need for a program helping smoking medical students stop smoking.</t>
  </si>
  <si>
    <t>J2: Orv Hetil; Hungarian Piko, Bettina; OP: Preklinikai orvostanhallgatok dohanyzasanak es dohanyzassal kapcsolatos attitudjeinek vizsgalata; ID: 651</t>
  </si>
  <si>
    <t>Piko, Bettina. Szegedi Tudomanyegyetem, Altalanos Orvostudomanyi Kar, Magatartas-tudomanyi Intezet, Szeged. pikobettina@yahoo.com</t>
  </si>
  <si>
    <t>http://ovidsp.ovid.com/ovidweb.cgi?T=JS&amp;CSC=Y&amp;NEWS=N&amp;PAGE=fulltext&amp;D=med6&amp;AN=19087915</t>
  </si>
  <si>
    <t>https://dx.doi.org/10.1556/OH.2008.28516</t>
  </si>
  <si>
    <t>MEDLINE; Ovid Technologies; [Study of smoking behavior and smoking-related attitudes among preclinical medical students]</t>
  </si>
  <si>
    <t>Pinget,C.;Martin,E.;Wasserfallen,J. B.;Humair,J. P.;Cornuz,J.</t>
  </si>
  <si>
    <t>Cost-effectiveness analysis of a European primary-care physician training in smoking cessation counseling</t>
  </si>
  <si>
    <t>European Journal of Cardiovascular Prevention &amp; Rehabilitation</t>
  </si>
  <si>
    <t>Adult;Computer Simulation;Cost-Benefit Analysis;*Directive Counseling/ec Economics];*Education, Medical, Graduate/ec Economics];Feasibility Studies;Female;*Health Care Costs;Humans;*Internship and Residency/ec Economics];Male;Markov Chains;Middle Aged;Models, Economic;*Physicians/ec Economics];*Primary Health Care/ec Economics];Quality-Adjusted Life Years;Referral and Consultation/ec Economics];*Smoking Cessation/ec Economics];Switzerland</t>
  </si>
  <si>
    <t>BACKGROUND: Physician training in smoking cessation counseling has been shown to be effective as a means to increase quit success. We assessed the cost-effectiveness ratio of a smoking cessation counseling training programme. Its effectiveness was previously demonstrated in a cluster randomized, control trial performed in two Swiss university outpatients clinics, in which residents were randomized to receive training in smoking interventions or a control educational intervention. DESIGN AND METHODS: We used a Markov simulation model for effectiveness analysis. This model incorporates the intervention efficacy, the natural quit rate, and the lifetime probability of relapse after 1-year abstinence. We used previously published results in addition to hospital service and outpatient clinic cost data. The time horizon was 1 year, and we opted for a third-party payer perspective. RESULTS: The incremental cost of the intervention amounted to US$2.58 per consultation by a smoker, translating into a cost per life-year saved of US$25.4 for men and 35.2 for women. One-way sensitivity analyses yielded a range of US$4.0-107.1 in men and US$9.7-148.6 in women. Variations in the quit rate of the control intervention, the length of training effectiveness, and the discount rate yielded moderately large effects on the outcome. Variations in the natural cessation rate, the lifetime probability of relapse, the cost of physician training, the counseling time, the cost per hour of physician time, and the cost of the booklets had little effect on the cost-effectiveness ratio. CONCLUSIONS: Training residents in smoking cessation counseling is a very cost-effective intervention and may be more efficient than currently accepted tobacco control interventions.</t>
  </si>
  <si>
    <t>J2: Eur J Cardiovasc Prev Rehabil; Pinget, Christophe Martin, Erika Wasserfallen, Jean-Blaise Humair, Jean-Paul Cornuz, Jacques; ID: 756</t>
  </si>
  <si>
    <t>1741-8267</t>
  </si>
  <si>
    <t>Pinget, Christophe. Health Technology Assessment Unit, Lausanne University Hospital, Switzerland. Christophe.Pinget@chuv.ch</t>
  </si>
  <si>
    <t>http://ovidsp.ovid.com/ovidweb.cgi?T=JS&amp;CSC=Y&amp;NEWS=N&amp;PAGE=fulltext&amp;D=med5&amp;AN=17568248</t>
  </si>
  <si>
    <t>MEDLINE; Ovid Technologies; Cost-effectiveness analysis of a European primary-care physician training in smoking cessation counseling</t>
  </si>
  <si>
    <t>Pinkofsky,H. B.;Reeves,R. R.</t>
  </si>
  <si>
    <t>Mnemonics for DSM-IV substance-related disorders</t>
  </si>
  <si>
    <t>*Abbreviations as Topic;Diagnosis, Differential;*Education, Medical, Continuing/mt Methods];Humans;*Substance-Related Disorders/di Diagnosis];*Substance-Related Disorders/et Etiology];Substance-Related Disorders/pp Physiopathology];Substance-Related Disorders/px Psychology]</t>
  </si>
  <si>
    <t>A series of acronyms was developed to assist in recalling the DSM-IV diagnostic criteria for substance-related disorders. In order to facilitate recall, most of the mnemonics are related in some way to the disorder itself. In general, each letter of the acronym relates to an element of the diagnostic criteria. These mnemonics are intended to be helpful in a variety of academic and medical settings.</t>
  </si>
  <si>
    <t>J2: Gen Hosp Psychiatry; Pinkofsky, H B Reeves, R R; ID: 1083</t>
  </si>
  <si>
    <t>Pinkofsky, H B. Department of Psychiatry, Louisiana State University Medical Center, Shreveport 71130, USA.</t>
  </si>
  <si>
    <t>http://ovidsp.ovid.com/ovidweb.cgi?T=JS&amp;CSC=Y&amp;NEWS=N&amp;PAGE=fulltext&amp;D=med4&amp;AN=9854649</t>
  </si>
  <si>
    <t>MEDLINE; Ovid Technologies; Mnemonics for DSM-IV substance-related disorders</t>
  </si>
  <si>
    <t>Pinxten,W. J.;De Jong,C.;Hidayat,T.;Istiqomah,A. N.;Achmad,Y. M.;Raya,R. P.;Norviatin,D.;Siregar,I. M.</t>
  </si>
  <si>
    <t>Developing a competence-based addiction medicine curriculum in Indonesia: the training needs assessment</t>
  </si>
  <si>
    <t>Adult;Attitude of Health Personnel;*Clinical Medicine;*Competency-Based Education/st Standards];*Education, Medical, Graduate/st Standards];*Evidence-Based Medicine/ed Education];Female;Humans;Indonesia;Male;Middle Aged;*Needs Assessment/sn Statistics &amp; Numerical Data];*Substance Abuse Treatment Centers/ma Manpower];*Substance-Related Disorders</t>
  </si>
  <si>
    <t>Indonesia has one of the fastest growing, injecting drugs user-driven, human immunodeficiency virus (HIV) epidemics in Asia. Coverage of needle and syringe programs (NSPs), opioid substitution therapy (OST), and antiretroviral treatment (ART) is increasing, but is still low, whereas professional training in addiction medicine is not yet established. Urgent development and scaling-up of professional capacity in comprehensive, evidence-based addiction medicine is needed. In this article the results of the first step is presented, being the training needs assessment (TNA) and the process of further developing a national evidence- and competence-based addiction medicine curriculum in Indonesia.</t>
  </si>
  <si>
    <t>J2: Subst Abus; Pinxten, W J L De Jong, C Hidayat, T Istiqomah, A N Achmad, Y M Raya, R P Norviatin, D Siregar, I M P; ID: 505</t>
  </si>
  <si>
    <t>Pinxten, W J L. IMPACT, Bandung, Indonesia. lpinxten@yahoo.com</t>
  </si>
  <si>
    <t>http://ovidsp.ovid.com/ovidweb.cgi?T=JS&amp;CSC=Y&amp;NEWS=N&amp;PAGE=fulltext&amp;D=med7&amp;AN=21534131</t>
  </si>
  <si>
    <t>https://dx.doi.org/10.1080/08897077.2011.555710</t>
  </si>
  <si>
    <t>MEDLINE; Ovid Technologies; Developing a competence-based addiction medicine curriculum in Indonesia: the training needs assessment</t>
  </si>
  <si>
    <t>Pitchenik,A. E.;O'Connell,M.;Wiener,D.</t>
  </si>
  <si>
    <t>Tobacco awareness curricula in medical schools</t>
  </si>
  <si>
    <t>Adolescent;Adolescent Behavior;*Curriculum;Florida;Humans;Pilot Projects;*Schools, Medical;Smoking Cessation/mt Methods];Students, Medical</t>
  </si>
  <si>
    <t>J2: Ann Intern Med; Pitchenik, A E O'Connell, M Wiener, D; ID: 1027</t>
  </si>
  <si>
    <t>http://ovidsp.ovid.com/ovidweb.cgi?T=JS&amp;CSC=Y&amp;NEWS=N&amp;PAGE=fulltext&amp;D=med4&amp;AN=10929188</t>
  </si>
  <si>
    <t>MEDLINE; Ovid Technologies; Tobacco awareness curricula in medical schools</t>
  </si>
  <si>
    <t>Pittman,D. J.;Staudenmeier,W. J., J.;Kaplan,A.</t>
  </si>
  <si>
    <t>Alcohol and other drugs: the response of the political and medical institutions</t>
  </si>
  <si>
    <t>*Alcoholism/pc Prevention &amp; Control];Alcoholism/px Psychology];Female;*Health Behavior;Humans;Infant, Newborn;*Politics;Pregnancy;Smoking/px Psychology];*Smoking Prevention;Social Control, Formal;Social Control, Informal;*Substance-Related Disorders/pc Prevention &amp; Control];Substance-Related Disorders/px Psychology]</t>
  </si>
  <si>
    <t>Formal and informal social control in shaping individual behaviors toward the use of alcohol and other drugs is discussed. Emphasis is placed on formal social control as it occurs in two major institutions. The state, which embodies the political and legal structures of the society is discussed in terms of the social control of some of the consequences of drinking, such as public drunkenness, alcoholism, operating vehicles with specific blood alcohol levels, and crime and alcohol use. The medical institution's involvement in alcohol and drug control is discussed in terms of the physician's role in diagnosing alcohol and drug dependent individuals. Two contemporary cases, those of pregnant addicts and alcohol-related organ transplant patients, illustrate the significant interactions between the responses of the political and medical institutions, and the broader influences that help shape these responses.</t>
  </si>
  <si>
    <t>J2: Br J Addict; Pittman, D J Staudenmeier, W J Jr Kaplan, A; ID: 1311</t>
  </si>
  <si>
    <t>Pittman, D J. Department of Psychology, Washington University, St. Louis, MO 63130.</t>
  </si>
  <si>
    <t>http://ovidsp.ovid.com/ovidweb.cgi?T=JS&amp;CSC=Y&amp;NEWS=N&amp;PAGE=fulltext&amp;D=med3&amp;AN=1912751</t>
  </si>
  <si>
    <t>MEDLINE; Ovid Technologies; Alcohol and other drugs: the response of the political and medical institutions</t>
  </si>
  <si>
    <t>Pittman,J. A., J.;Scott,C. W.</t>
  </si>
  <si>
    <t>University of Alabama School of Medicine. Policy on impaired students and faculty with special reference to substance abuse</t>
  </si>
  <si>
    <t>Alabama Journal of Medical Sciences</t>
  </si>
  <si>
    <t>Ala.J.Med.Sci.</t>
  </si>
  <si>
    <t>Alabama;*Faculty, Medical;Humans;*Policy Making;*Schools, Medical/og Organization &amp; Administration];*Students, Medical;*Substance-Related Disorders</t>
  </si>
  <si>
    <t>J2: Ala J Med Sci; Pittman, J A Jr Scott, C W; ID: 1418</t>
  </si>
  <si>
    <t>http://ovidsp.ovid.com/ovidweb.cgi?T=JS&amp;CSC=Y&amp;NEWS=N&amp;PAGE=fulltext&amp;D=med3&amp;AN=3344930</t>
  </si>
  <si>
    <t>MEDLINE; Ovid Technologies; University of Alabama School of Medicine. Policy on impaired students and faculty with special reference to substance abuse</t>
  </si>
  <si>
    <t>Placzkiewicz,D.;Puzniak,M.;Kleinrok,A.</t>
  </si>
  <si>
    <t>Prevalence of hypertension and major cardiovascular risk factors in healthy residents of a rural region in south-eastern Poland - 1997-2008/9</t>
  </si>
  <si>
    <t>Annals of Agricultural &amp; Environmental Medicine</t>
  </si>
  <si>
    <t>Adult;Aged;Aged, 80 and over;*Cardiovascular Diseases/ep Epidemiology];Cardiovascular Diseases/et Etiology];Female;Follow-Up Studies;Humans;*Hypertension/ep Epidemiology];Hypertension/et Etiology];Male;Middle Aged;Poland/ep Epidemiology];Prevalence;Risk Factors;Rural Population/sn Statistics &amp; Numerical Data];Young Adult</t>
  </si>
  <si>
    <t>INTRODUCTION AND OBJECTIVE: The aim of this study was to show the prevalence of hypertension and major risk factors of cardiovascular disease among healthy adults in an agricultural region of south-eastern Poland, and the changes which have occurred in this area during the 12-year follow-up. MATERIALS AND METHOD: 1,233, mostly rural inhabitants of Zamosc County without previous history of diabetes and CVD were subjected to analysis. Prevalence of hypertension and major cardiovascular risk factors were evaluated. Changes in the prevalence of risk factors between 1997 - 2008 were analyzed. RESULTS: 33.0% of the examined population are active smokers, and there was a 1.8-fold increase (p = 0.0009). The percentage of people with hypercholesterolemia between 1997 - 2008/9 increased almost 2-fold (p=5%) almost tripled in the general population (p=0.0183) and increased 4-fold in men (p=0.0145). CONCLUSIONS: Detection of hypertension in the rural region in which the survey was carried out is still too low. Actions against tobacco addiction should be a major component of health-education programmes for the rural areas of south-eastern Poland.</t>
  </si>
  <si>
    <t>J2: Ann Agric Environ Med; Placzkiewicz, Daniel Puzniak, Marek Kleinrok, Andrzej; ID: 129</t>
  </si>
  <si>
    <t>1898-2263</t>
  </si>
  <si>
    <t>Placzkiewicz, Daniel. Department of Cardiology, The Pope John Paul II Hospital, Zamosc, Poland. Puzniak, Marek. Department of Cardiology, The Pope John Paul II Hospital, Zamosc, Poland. Kleinrok, Andrzej. Department of Cardiology, The Pope John Paul II Hospital, Zamosc, Poland. Department of Physiotherapy and Pedagogy, Zamosc University of Management and Administration, Poland.</t>
  </si>
  <si>
    <t>http://ovidsp.ovid.com/ovidweb.cgi?T=JS&amp;CSC=Y&amp;NEWS=N&amp;PAGE=fulltext&amp;D=med8&amp;AN=27660872</t>
  </si>
  <si>
    <t>https://dx.doi.org/10.5604/12321966.1219191</t>
  </si>
  <si>
    <t>MEDLINE; Ovid Technologies; Prevalence of hypertension and major cardiovascular risk factors in healthy residents of a rural region in south-eastern Poland - 1997-2008/9</t>
  </si>
  <si>
    <t>Plat,A.;Lejeune,O.</t>
  </si>
  <si>
    <t>Several good reasons for hepatogastroenterologists to practice addictology: a motivating challenge!]</t>
  </si>
  <si>
    <t>Gastroenterologie clinique et biologique</t>
  </si>
  <si>
    <t>Gastroenterol.Clin.Biol.</t>
  </si>
  <si>
    <t>Education, Medical, Continuing;*Gastroenterology;Humans;*Substance Abuse Detection;*Substance-Related Disorders/di Diagnosis];*Substance-Related Disorders/th Therapy]</t>
  </si>
  <si>
    <t>J2: Gastroenterol Clin Biol; French Plat, Arnaud Lejeune, Olivier; OP: Quelques bonnes raisons pour les hepatogastroenterologues de pratiquer l'addictologie; ID: 872</t>
  </si>
  <si>
    <t>0399-8320</t>
  </si>
  <si>
    <t>http://ovidsp.ovid.com/ovidweb.cgi?T=JS&amp;CSC=Y&amp;NEWS=N&amp;PAGE=fulltext&amp;D=med5&amp;AN=15864176</t>
  </si>
  <si>
    <t>MEDLINE; Ovid Technologies; [Several good reasons for hepatogastroenterologists to practice addictology: a motivating challenge!]</t>
  </si>
  <si>
    <t>Plunk,A. D.;Agrawal,A.;Harrell,P. T.;Tate,W. F.;Will,K. E.;Mellor,J. M.;Grucza,R. A.</t>
  </si>
  <si>
    <t>The impact of adolescent exposure to medical marijuana laws on high school completion, college enrollment and college degree completion</t>
  </si>
  <si>
    <t>11 01</t>
  </si>
  <si>
    <t>Adolescent;*Educational Status;Female;Humans;Male;*Marijuana Abuse/ep Epidemiology];*Marijuana Smoking/lj Legislation &amp; Jurisprudence];*Medical Marijuana;Probability;Risk-Taking;*Schools/sn Statistics &amp; Numerical Data];Surveys and Questionnaires;United States/ep Epidemiology];*Universities/sn Statistics &amp; Numerical Data];0 (Medical Marijuana)</t>
  </si>
  <si>
    <t>BACKGROUND: There is concern that medical marijuana laws (MMLs) could negatively affect adolescents. To better understand these policies, we assess how adolescent exposure to MMLs is related to educational attainment. METHODS: Data from the 2000 Census and 2001-2014 American Community Surveys were restricted to individuals who were of high school age (14-18) between 1990 and 2012 (n=5,483,715). MML exposure was coded as: (i) a dichotomous "any MML" indicator, and (ii) number of years of high school age exposure. We used logistic regression to model whether MMLs affected: (a) completing high school by age 19; (b) beginning college, irrespective of completion; and (c) obtaining any degree after beginning college. A similar dataset based on the Youth Risk Behavior Survey (YRBS) was also constructed for confirmatory analyses assessing marijuana use. RESULTS: MMLs were associated with a 0.40 percentage point increase in the probability of not earning a high school diploma or GED after completing the 12th grade (from 3.99% to 4.39%). High school MML exposure was also associated with a 1.84 and 0.85 percentage point increase in the probability of college non-enrollment and degree non-completion, respectively (from 31.12% to 32.96% and 45.30% to 46.15%, respectively). Years of MML exposure exhibited a consistent dose response relationship for all outcomes. MMLs were also associated with 0.85 percentage point increase in daily marijuana use among 12th graders (up from 1.26%). CONCLUSIONS: Medical marijuana law exposure between age 14 to 18 likely has a delayed effect on use and education that persists over time.</t>
  </si>
  <si>
    <t>J2: Drug Alcohol Depend; Plunk, Andrew D Agrawal, Arpana Harrell, Paul T Tate, William F Will, Kelli England Mellor, Jennifer M Grucza, Richard A S0376-8716(16)30882-1; ID: 54</t>
  </si>
  <si>
    <t>Plunk, Andrew D. Department of Pediatrics, Eastern Virginia Medical School, Norfolk, VA, USA. Electronic address: plunkad@evms.edu. Agrawal, Arpana. Department of Psychiatry, Washington University School of Medicine, St. Louis, MO, USA. Harrell, Paul T. Department of Pediatrics, Eastern Virginia Medical School, Norfolk, VA, USA. Tate, William F. Department of Education, Washington University in St. Louis, St. Louis, MO, USA. Will, Kelli England. Department of Pediatrics, Eastern Virginia Medical School, Norfolk, VA, USA. Mellor, Jennifer M. Department of Economics, College of William and Mary, Williamsburg, VA, USA. Grucza, Richard A. Department of Psychiatry, Washington University School of Medicine, St. Louis, MO, USA.</t>
  </si>
  <si>
    <t>http://ovidsp.ovid.com/ovidweb.cgi?T=JS&amp;CSC=Y&amp;NEWS=N&amp;PAGE=fulltext&amp;D=medc&amp;AN=27742490</t>
  </si>
  <si>
    <t>https://dx.doi.org/10.1016/j.drugalcdep.2016.09.002</t>
  </si>
  <si>
    <t>MEDLINE; Ovid Technologies; The impact of adolescent exposure to medical marijuana laws on high school completion, college enrollment and college degree completion</t>
  </si>
  <si>
    <t>Pohl,H.</t>
  </si>
  <si>
    <t>Smoking prohibition during courses on radiation protection according to the legislation on radiation. Decision of the Schleswig-Holstein administrative court from September 20, 1974--10A111/74]</t>
  </si>
  <si>
    <t>Zahnarztliche Mitteilungen</t>
  </si>
  <si>
    <t>Zahnarztl.Mitt.</t>
  </si>
  <si>
    <t>Air Pollution;*Education, Medical, Continuing;Germany, West;Legislation as Topic;Radiation Protection;*Smoking</t>
  </si>
  <si>
    <t>J2: Zahnarztl; German Pohl, H; OP: Rauchverbot bei Veranstaltungen uber den Strahlenschutz nach der Rontgenverordnung. Urteil des Schleswig-Holsteinischen Verwaltungsgerichts vom 20; ID: 1540</t>
  </si>
  <si>
    <t>0044-1643</t>
  </si>
  <si>
    <t>http://ovidsp.ovid.com/ovidweb.cgi?T=JS&amp;CSC=Y&amp;NEWS=N&amp;PAGE=fulltext&amp;D=med1&amp;AN=1060282</t>
  </si>
  <si>
    <t>MEDLINE; Ovid Technologies; [Smoking prohibition during courses on radiation protection according to the legislation on radiation. Decision of the Schleswig-Holstein administrative court from September 20, 1974--10A111/74]</t>
  </si>
  <si>
    <t>Pokorny,A.;Putnam,P.;Fryer,J.</t>
  </si>
  <si>
    <t>Drug abuse and alcoholism teaching in U.S. medical and osteopathic schools</t>
  </si>
  <si>
    <t>*Alcoholism;*Curriculum;*Education, Medical, Undergraduate;Humans;*Osteopathic Medicine/ed Education];*Substance-Related Disorders;Time Factors;United States</t>
  </si>
  <si>
    <t>This is a report of the principal findings of a survey of drug abuse and alcoholism teaching in U.S. medical and osteopathic schools. It was found that required teaching activities during all four years of medical school averaged 25.7 hours, with a range of 0 to 126. The proportion of the total required hours devoted to substance abuse was 0.0 to 3.1 percent, with a mean of 0.6 percent. Schools also differed widely in the number and type of electives offered in drug abuse and alcoholism, as well as in number of clinical assignments available. Findings in osteopathic schools were generally similar. Two factors which were significantly related to the number of required hours were the presence of a career teacher in the addictions and the size of the school.</t>
  </si>
  <si>
    <t>J2: J Med Educ; Pokorny, A Putnam, P Fryer, J; ID: 1523</t>
  </si>
  <si>
    <t>http://ovidsp.ovid.com/ovidweb.cgi?T=JS&amp;CSC=Y&amp;NEWS=N&amp;PAGE=fulltext&amp;D=med1&amp;AN=581388</t>
  </si>
  <si>
    <t>MEDLINE; Ovid Technologies; Drug abuse and alcoholism teaching in U.S. medical and osteopathic schools</t>
  </si>
  <si>
    <t>Pokorny,A. D.;Solomon,J.</t>
  </si>
  <si>
    <t>A follow-up survey of drug abuse and alcoholism teaching in medical schools</t>
  </si>
  <si>
    <t>*Alcoholism;Curriculum;*Education, Medical;Follow-Up Studies;Humans;Schools, Medical;*Substance-Related Disorders;Surveys and Questionnaires;Teaching;United States</t>
  </si>
  <si>
    <t>The authors sent a questionnaire regarding the teaching of drug abuse and alcoholism to a stratified random sample of 40 U.S. medical schools, and 35 provided usable replies. The findings are summarized and are contrasted with replies received five years earlier from the same schools. During these five years, there were notable improvements in the teaching of these topics, as reflected by increases in required teaching hours, percentage of total required hours, number of elective courses offered, and number of affiliated clinical programs. The effect of the presence of a career teacher in the addictions is also evaluated.</t>
  </si>
  <si>
    <t>J2: J Med Educ; Pokorny, A D Solomon, J; ID: 1487</t>
  </si>
  <si>
    <t>http://ovidsp.ovid.com/ovidweb.cgi?T=JS&amp;CSC=Y&amp;NEWS=N&amp;PAGE=fulltext&amp;D=med2&amp;AN=6834409</t>
  </si>
  <si>
    <t>MEDLINE; Ovid Technologies; A follow-up survey of drug abuse and alcoholism teaching in medical schools</t>
  </si>
  <si>
    <t>Polydorou,S.;Gunderson,E. W.;Levin,F. R.</t>
  </si>
  <si>
    <t>NIHMS129773; Training physicians to treat substance use disorders</t>
  </si>
  <si>
    <t>Current psychiatry reports</t>
  </si>
  <si>
    <t>Curr.Psychiatry Rep.</t>
  </si>
  <si>
    <t>Alcoholism/di Diagnosis];*Alcoholism/rh Rehabilitation];Clinical Competence;Curriculum;*Education, Medical;Education, Medical, Continuing;Education, Medical, Graduate;Humans;Internship and Residency;Mass Screening;Psychiatry/ed Education];Specialization;Substance-Related Disorders/di Diagnosis];*Substance-Related Disorders/rh Rehabilitation]</t>
  </si>
  <si>
    <t>The importance of training physicians to effectively assess and manage substance use disorders has become increasingly recognized. Studies highlighting the effort to enhance curricula are described and common practices identified. Preferable curricula incorporate interactive teaching methods along with experiential and didactic components. Addiction specialists serve an important role in training programs designed for medical students and residents (ie, role models) and practicing physicians (ie, clinical support). Further integration of online training into current programs may expand and enhance training opportunities. References: 53]</t>
  </si>
  <si>
    <t>J2: Curr Psychiatry Rep; Polydorou, Soteri Gunderson, Erik W Levin, Frances R; ID: 649</t>
  </si>
  <si>
    <t>1535-1645</t>
  </si>
  <si>
    <t>Polydorou, Soteri. Columbia University Medical Center/New York State Psychiatric Institute, 1051 Riverside Drive, Unit 66, New York, NY 10032, USA.</t>
  </si>
  <si>
    <t>http://ovidsp.ovid.com/ovidweb.cgi?T=JS&amp;CSC=Y&amp;NEWS=N&amp;PAGE=fulltext&amp;D=med6&amp;AN=18803913</t>
  </si>
  <si>
    <t>MEDLINE; Ovid Technologies; Training physicians to treat substance use disorders</t>
  </si>
  <si>
    <t>Poplas Susic,T.;Kersnik,J.;Kolsek,M.</t>
  </si>
  <si>
    <t>Why do general practitioners not screen and intervene regarding alcohol consumption in Slovenia? A focus group study</t>
  </si>
  <si>
    <t>122 Suppl 2</t>
  </si>
  <si>
    <t>Alcohol Drinking/ae Adverse Effects];*Alcoholism/di Diagnosis];*Alcoholism/ep Epidemiology];Alcoholism/rh Rehabilitation];Attitude of Health Personnel;Cross-Sectional Studies;Curriculum;Education, Medical, Continuing;Family Practice/ed Education];Female;Focus Groups;Humans;Male;*Mass Screening;Patient Education as Topic;*Physician's Role;Practice Guidelines as Topic;Slovenia;Smoking/ae Adverse Effects]</t>
  </si>
  <si>
    <t>AIM: To identify barriers influencing general practitioners' decisions regarding alcohol screening and brief intervention (SBI) in Slovenia. BACKGROUND: Slovenia occupies third place in a league of 51 European countries with respect to alcohol consumption. General practitioners in Slovenia have the majority of contacts with patients in primary healthcare but they rarely or never ask patients about their drinking habits. METHOD: Six focus groups with a total of 32 general practitioners from different parts of the country were set up. Participants discussed varied topics and the most significant barriers were identified through qualitative analysis. RESULTS: The identified barriers were lack of funding, absence of societal support, lack of knowledge and guidelines, inadequate counselling skills, different interpretations regarding definitions of what constitutes an alcoholic beverage, lack of time, alcohol screening not considered to be an integral part of general practice, personal characteristics of general practitioners, patients' unwillingness to participate in SBI, and ethical dilemmas. CONCLUSION: Lack of knowledge and guidelines, and inadequate counselling skills can be solved through educational programs. In order to change drinking habits, substantial changes in public and personal attitudes towards alcohol consumption, involving many partners, are necessary.</t>
  </si>
  <si>
    <t>J2: Wien Klin Wochenschr; Poplas Susic, Tonka Kersnik, Janko Kolsek, Marko; ID: 557</t>
  </si>
  <si>
    <t>1613-7671</t>
  </si>
  <si>
    <t>Poplas Susic, Tonka. Faculty of Medicine, Department of Family Medicine, Ljubljana, Slovenia. tonka.poplas-susic@mf.uni-lj.si</t>
  </si>
  <si>
    <t>http://ovidsp.ovid.com/ovidweb.cgi?T=JS&amp;CSC=Y&amp;NEWS=N&amp;PAGE=fulltext&amp;D=med6&amp;AN=20517676</t>
  </si>
  <si>
    <t>https://dx.doi.org/10.1007/s00508-010-1335-z</t>
  </si>
  <si>
    <t>MEDLINE; Ovid Technologies; Why do general practitioners not screen and intervene regarding alcohol consumption in Slovenia? A focus group study</t>
  </si>
  <si>
    <t>Popper,H.</t>
  </si>
  <si>
    <t>The program at Mount Sinai School of Medicine and implications for teaching alcoholic liver disease</t>
  </si>
  <si>
    <t>*Alcoholism/co Complications];Alcoholism/ep Epidemiology];Curriculum;Education, Medical;Europe;*Hospitals, Teaching;Humans;Liver Cirrhosis/di Diagnosis];Liver Cirrhosis/ep Epidemiology];*Liver Cirrhosis/et Etiology];Liver Cirrhosis/pc Prevention &amp; Control];Liver Diseases/th Therapy];New York City;*Schools, Medical;Socioeconomic Factors;Teaching;United States</t>
  </si>
  <si>
    <t>J2: Ann N Y Acad Sci; Popper, H; ID: 1597</t>
  </si>
  <si>
    <t>http://ovidsp.ovid.com/ovidweb.cgi?T=JS&amp;CSC=Y&amp;NEWS=N&amp;PAGE=fulltext&amp;D=med1&amp;AN=5282652</t>
  </si>
  <si>
    <t>MEDLINE; Ovid Technologies; The program at Mount Sinai School of Medicine and implications for teaching alcoholic liver disease</t>
  </si>
  <si>
    <t>Post,S. G.</t>
  </si>
  <si>
    <t>Grass-roots reflections on substance abuse. A community dialogue approach</t>
  </si>
  <si>
    <t>Second Opinion</t>
  </si>
  <si>
    <t>Adolescent;*Community Health Services;*Community Participation;*Ethics, Medical;Health Planning Councils;*Health Priorities;Humans;Ohio;Public Opinion;Schools, Medical;Social Responsibility;Street Drugs/ae Adverse Effects];*Substance-Related Disorders/pc Prevention &amp; Control];Substance-Related Disorders/px Psychology];Substance-Related Disorders/rh Rehabilitation];0 (Street Drugs)</t>
  </si>
  <si>
    <t>The Greater Cleveland Dialogue brings together people from all walks of life to express their sufferings and opinions. Professional ethicists have a role to play in this process, but chiefly as listeners and interpreters rather than as theoreticians. The ethics that arises from this process is at least as useful as the conclusions that descend deductively from the many rival "first principles" of a more theory-driven approach. If community dialogues provide a partial answer to questions of ethics and health care, they do so because they include the public. Policies related to health care affect the public and must be in tune with public sentiment if they are to be effective. Moreover, a different style of health care ethics emerges from the dialogue process. My view is that a truly public bioethics is ultimately necessary, since the policies our society develops in the area of health care can be meaningful only if they are grounded in the general will. We need to work harder at widening the umbrella of bioethics to include the public, for the sake of the community and for our own education as professionals. Certainly major questions for the future surround the nature of consensus and the process of achieving it.</t>
  </si>
  <si>
    <t>J2: Second Opin; Post, S G; ID: 1272</t>
  </si>
  <si>
    <t>0890-1570</t>
  </si>
  <si>
    <t>Post, S G. Case Western Reserve University, Cleveland, OH.</t>
  </si>
  <si>
    <t>http://ovidsp.ovid.com/ovidweb.cgi?T=JS&amp;CSC=Y&amp;NEWS=N&amp;PAGE=fulltext&amp;D=med3&amp;AN=10171090</t>
  </si>
  <si>
    <t>MEDLINE; Ovid Technologies; Grass-roots reflections on substance abuse. A community dialogue approach</t>
  </si>
  <si>
    <t>Potter,B.;Fleming,M. F.</t>
  </si>
  <si>
    <t>Obstetrics and gynecology resident education in tobacco, alcohol, and drug use disorders</t>
  </si>
  <si>
    <t>Obstetrics &amp; Gynecology Clinics of North America</t>
  </si>
  <si>
    <t>99, viii</t>
  </si>
  <si>
    <t>*Education, Medical, Graduate/mt Methods];Female;*Gynecology/ed Education];Humans;Internship and Residency/mt Methods];Male;*Obstetrics/ed Education];Physician's Role;Pregnancy;*Substance-Related Disorders/di Diagnosis];*Substance-Related Disorders/th Therapy]</t>
  </si>
  <si>
    <t>Substance use disorders are common problems that all primary care physicians will encounter. These disorders have a significant impact on the health of all affected women throughout their lifespan. It is important to know the effects of drug use on women, so primary care residents need to be prepared to discuss substance use disorders with their patients. Residents also need to know that brief interventions can reduce risky behaviors even if they do not result in abstinence.</t>
  </si>
  <si>
    <t>J2: Obstet Gynecol Clin North Am; Potter, Beth Fleming, Michael F; ID: 921</t>
  </si>
  <si>
    <t>0889-8545</t>
  </si>
  <si>
    <t>Potter, Beth. Department of Family Medicine, University of Wisconsin Medical School, 777 South Mills Street, Madison, WI 53715, USA. bpotter@fammed.wisc.edu</t>
  </si>
  <si>
    <t>http://ovidsp.ovid.com/ovidweb.cgi?T=JS&amp;CSC=Y&amp;NEWS=N&amp;PAGE=fulltext&amp;D=medc&amp;AN=14664328</t>
  </si>
  <si>
    <t>MEDLINE; Ovid Technologies; Obstetrics and gynecology resident education in tobacco, alcohol, and drug use disorders</t>
  </si>
  <si>
    <t>Powers,C. A.;Zapka,J.;Biello,K. B.;O'Donnell,J.;Prout,M.;Geller,A.</t>
  </si>
  <si>
    <t>Cultural competency and tobacco control training in US medical schools: many but missed opportunities</t>
  </si>
  <si>
    <t>*Counseling/ed Education];*Cultural Competency;Curriculum/td Trends];Education, Medical/td Trends];Health Knowledge, Attitudes, Practice;Humans;*Schools, Medical/sn Statistics &amp; Numerical Data];*Smoking Cessation;*Smoking Prevention;United States</t>
  </si>
  <si>
    <t>Tobacco-related morbidity and mortality disproportionately burdens America's most vulnerable populations, and many physicians in the USA are untrained in smoking cessation skills with patients of various literacy levels and races and ethnicities. An anonymous survey was administered to 860 second year and 827 fourth year students at 12 medical schools. A faculty representative at each of the schools completed an assessment of the curriculum and rated medical students' knowledge and skills for cultural competency. Report of experience in tobacco counseling for persons of various literacy levels and ethnicities rose from 42% (second year students) to 82% (fourth year students) and 48% (second year students) to 91% (fourth year students), respectively. However, only 37% of second year students and 40% of fourth year students reported that they had ever been taught to employ culturally competent strategies for tobacco cessation. This study found that almost two thirds of students in 12 medical schools reported no exposure to teaching about cultural competency and tobacco cessation, and approximately one third reported no practical experience with tobacco cessation counseling persons of various races and ethnicities. Effective cultural competency training for tobacco control should include teaching the social constructs of race, ethnicity, and socio-cultural concepts within a medical context. Additionally, students should receive supervised clinical opportunities to practice counseling, including opportunities to discuss and reflect on their experiences.</t>
  </si>
  <si>
    <t>J2: J Cancer Educ; Powers, Catherine A Zapka, Jane Biello, Katie B O'Donnell, Joseph Prout, Marianne Geller, Alan; ID: 545</t>
  </si>
  <si>
    <t>Powers, Catherine A. Office for Diversity and Community Partnership, Harvard Medical School, Boston, MA, USA.</t>
  </si>
  <si>
    <t>http://ovidsp.ovid.com/ovidweb.cgi?T=JS&amp;CSC=Y&amp;NEWS=N&amp;PAGE=fulltext&amp;D=med6&amp;AN=20559787</t>
  </si>
  <si>
    <t>https://dx.doi.org/10.1007/s13187-010-0090-1</t>
  </si>
  <si>
    <t>MEDLINE; Ovid Technologies; Cultural competency and tobacco control training in US medical schools: many but missed opportunities</t>
  </si>
  <si>
    <t>Powers,C. A.;Zapka,J.;Phelan,S.;Ozcan,T.;Biello,K. B.;O'Donnell,J.;Geller,A.</t>
  </si>
  <si>
    <t>Tobacco education and counseling in obstetrics and gynecology clerkships: a survey of medical school program directors</t>
  </si>
  <si>
    <t>Maternal &amp; Child Health Journal</t>
  </si>
  <si>
    <t>Administrative Personnel;*Clinical Clerkship;*Counseling/ed Education];Data Collection;*Gynecology/ed Education];*Health Education;Humans;*Obstetrics/ed Education];Schools, Medical;*Smoking Cessation;United States</t>
  </si>
  <si>
    <t>The 16,000 medical students completing OB/GYN clerkship programs each year provide a unique opportunity to motivate and mentor students in facilitating tobacco cessation. To determine the scope of current tobacco teaching in obstetrics/gynecology (OB/GYN) education at US medical schools and to assess opportunities for including new tobacco teaching, a 28-question survey was administered to directors and assistant directors at US medical school OB/GYN clerkship programs. Surveys were completed at 71% of schools. Only 9% reported having at least 15 min of dedicated teaching time for improving tobacco cessation skills. Nearly three-fourths of respondents reported teaching students how to intervene to reduce smoking during a work-up in the OB/GYN clinic, but only 43% reported that students would know where to refer someone wishing to quit. Only a third of respondents reported teaching students both to intervene with and refer OB/GYN patients who smoke. These findings suggest that although medical students see many OB and GYN patients who smoke, they have few opportunities to learn comprehensive cessation skills during their clerkships.</t>
  </si>
  <si>
    <t>J2: Matern Child Health J; Powers, Catherine A Zapka, Jane Phelan, Sharon Ozcan, Tulin Biello, Katie Brooks O'Donnell, Joseph Geller, Alan; ID: 471</t>
  </si>
  <si>
    <t>1573-6628</t>
  </si>
  <si>
    <t>Powers, Catherine A. Division of Pharmacoepidemiology and Pharmacoeconomics, Brigham and Women's Hospital, and Harvard School of Public Health, Boston, MA 02115, USA.</t>
  </si>
  <si>
    <t>http://ovidsp.ovid.com/ovidweb.cgi?T=JS&amp;CSC=Y&amp;NEWS=N&amp;PAGE=fulltext&amp;D=med7&amp;AN=20842522</t>
  </si>
  <si>
    <t>https://dx.doi.org/10.1007/s10995-010-0679-3</t>
  </si>
  <si>
    <t>MEDLINE; Ovid Technologies; Tobacco education and counseling in obstetrics and gynecology clerkships: a survey of medical school program directors</t>
  </si>
  <si>
    <t>Powers,C. A.;Zapka,J. G.;Bognar,B.;Dube,C.;Hyder Ferry,L.;Ferguson,K. J.;O'Donnell J,F.;Rigotti,N.;Conley Thomson,C.;White,M.;Wilkerson,L.;Geller,A. C.;McIntosh,S.</t>
  </si>
  <si>
    <t>Evaluation of current tobacco curriculum at 12 US medical schools</t>
  </si>
  <si>
    <t>*Curriculum;*Education, Medical;Health Promotion;Humans;*Schools, Medical;Smoking Cessation;Teaching/mt Methods];Time Factors;Tobacco Use Disorder/pc Prevention &amp; Control];*Tobacco Use Disorder;United States</t>
  </si>
  <si>
    <t>BACKGROUND: Training medical students in tobacco prevention and treatment skills is critical if we are to have competent physicians prepared to address the grave levels of morbidity and mortality associated with tobacco use. Tobacco Prevention and Cessation Education at US Medical Schools (PACE), a National Cancer Institute funded project, was launched to assess and improve curriculum content and teaching at 12 US medical schools. METHODS: The 2003 survey was completed by faculty and administrators. The survey was divided into four main sections: tobacco content and skills, curricular evaluation, faculty perceptions of barriers and promoters, and educational vision. RESULTS: Thirty-six percent of all medical school courses had some tobacco-related content. Five schools provided a total of between 4 and 8 hours of teaching, 5 schools provided 10-13 hours, and 2 schools provided 17 and 18 hours of teaching. Of the 12 schools, 8 had fewer hours devoted to tobacco teaching in the clerkships than during the 1st-year courses. Only 2 schools noted any tobacco content for Obstetrics/Gynecology clerkships, and only 4 schools provided teaching in the pediatric setting (range 5-201 minutes). CONCLUSION: In comparison to earlier studies, it appears that more tobacco content is now integrated into medical school courses. More improvement is necessary, however, particularly in tobacco use prevention. Institutions need to examine the role of faculty in prioritizing tobacco information and promoting a culture that builds competency in tobacco control and treatment.</t>
  </si>
  <si>
    <t>J2: J Cancer Educ; Powers, Catherine A Zapka, Jane G Bognar, Bryan Dube, Catherine Hyder Ferry, Linda Ferguson, Kristi J O'donnell, Joseph F Rigotti, Nancy Conley Thomson, Carey White, Maryjo Wilkerson, Luann Geller, Alan C McIntosh, Scott; ID: 871</t>
  </si>
  <si>
    <t>Powers, Catherine A. Boston University School of Medicine, Boston, MA 02118, USA. powersoz@bu.edu</t>
  </si>
  <si>
    <t>http://ovidsp.ovid.com/ovidweb.cgi?T=JS&amp;CSC=Y&amp;NEWS=N&amp;PAGE=fulltext&amp;D=med5&amp;AN=15725638</t>
  </si>
  <si>
    <t>MEDLINE; Ovid Technologies; Evaluation of current tobacco curriculum at 12 US medical schools</t>
  </si>
  <si>
    <t>Poze,R. S.</t>
  </si>
  <si>
    <t>Heroin addicts in a community mental health inpatient unit</t>
  </si>
  <si>
    <t>Adult;California;*Community Mental Health Services;Female;*Heroin;Hospitalization;Hospitals, Teaching;Humans;Internship and Residency;Length of Stay;Male;Methadone/tu Therapeutic Use];*Morphine Dependence/th Therapy];Psychiatric Department, Hospital;Psychiatry/ed Education];Referral and Consultation;Substance Withdrawal Syndrome/pc Prevention &amp; Control];70D95007SX (Heroin);UC6VBE7V1Z (Methadone)</t>
  </si>
  <si>
    <t>J2: Am J Psychiatry; Poze, R S; ID: 1584</t>
  </si>
  <si>
    <t>http://ovidsp.ovid.com/ovidweb.cgi?T=JS&amp;CSC=Y&amp;NEWS=N&amp;PAGE=fulltext&amp;D=med1&amp;AN=5041062</t>
  </si>
  <si>
    <t>MEDLINE; Ovid Technologies; Heroin addicts in a community mental health inpatient unit</t>
  </si>
  <si>
    <t>Prabandari,Y. S.;Nichter,M.;Nichter,M.;Padmawathi,R. S.;Muramoto,M.</t>
  </si>
  <si>
    <t>Laying the groundwork for Tobacco Cessation Education in Medical Colleges in Indonesia</t>
  </si>
  <si>
    <t>Sep-Dec</t>
  </si>
  <si>
    <t>*Curriculum;*Education, Medical, Undergraduate;Focus Groups;Humans;Indonesia;Interviews as Topic;*Schools, Medical;*Tobacco Use Cessation</t>
  </si>
  <si>
    <t>BACKGROUND: This paper describes a pioneering effort to introduce smoking cessation into Indonesia's medical school curriculum, and the first ever attempt to fully integrate tobacco control in all four years of medical school anywhere in Southeast Asia. The development, pretesting, and piloting of an innovative modular tobacco curriculum are discussed as well as the challenges that face implementation. METHODS: In-depth interviews were conducted with medical school administrators and faculty in four medical colleges to determine interest in and willingness to fully integrate tobacco cessation into the college curriculum. A tobacco focused curriculum review, student focus groups, and a survey of medical students (n = 579) assessed current exposure to information about tobacco and interest in learning cessation skills. A modular tobacco curriculum was developed and was pretested, modified, piloted, and evaluated. Qualitative research was conducted to identify potential challenges to future curriculum implementation. RESULTS: Fifteen modules were successfully developed focusing on the relationship between tobacco and specific organ systems, diseases related to smoking, the impact of tobacco on medication effectiveness, and information on how to explain to patients about effects of tobacco on their health condition. Lecturers and students positively evaluated the curriculum as increasing their competency to support cessation during illness as a teachable moment. Systemic challenges to implementing the curriculum were identified including shifts in pedagogy, decentralized curriculum decision-making, and frequent lecturer turnover. DISCUSSION: A fully integrated tobacco curriculum for medical schools was piloted and is now freely available online. An important lesson learned in Indonesia was that a tobacco curriculum must be flexible enough to be adjusted when shifts in medical education take place. The curriculum is a resource for medical colleges and expert committees in Southeast Asia deliberating how best to address lifestyle factors undermining population health.</t>
  </si>
  <si>
    <t>J2: Educ Health; Prabandari, Yayi Suryo Nichter, Mark Nichter, Mimi Padmawathi, Retna Siwi Muramoto, Myra; ID: 149</t>
  </si>
  <si>
    <t>Nichter, Mark. University of Arizona, School of Anthropology and College of Public Health, Tucson, USA.</t>
  </si>
  <si>
    <t>http://ovidsp.ovid.com/ovidweb.cgi?T=JS&amp;CSC=Y&amp;NEWS=N&amp;PAGE=fulltext&amp;D=med8&amp;AN=26996640</t>
  </si>
  <si>
    <t>https://dx.doi.org/10.4103/1357-6283.178602</t>
  </si>
  <si>
    <t>MEDLINE; Ovid Technologies; Laying the groundwork for Tobacco Cessation Education in Medical Colleges in Indonesia</t>
  </si>
  <si>
    <t>Pramanik,T.;Sherpa,M. T.;Shrestha,R.</t>
  </si>
  <si>
    <t>Internet addiction in a group of medical students: a cross sectional study</t>
  </si>
  <si>
    <t>Nepal Medical College Journal: NMCJ</t>
  </si>
  <si>
    <t>Adult;*Behavior, Addictive/ep Epidemiology];*Behavior, Addictive/px Psychology];Cross-Sectional Studies;Female;Humans;*Internet/ut Utilization];Male;Nepal/ep Epidemiology];*Students, Medical/px Psychology]</t>
  </si>
  <si>
    <t>The use of Internet for education, recreation and communication is increasing day by day. Nevertheless, the possibility of exploitation and addiction leading to impairment in academic performance and emotional balance cannot be denied, especially among young population. The study was aimed to measure the degree of Internet addiction among a group of medical students. Internet addiction test questionnaire developed by Young was used to assess mild, moderate and severe addiction. Amongst the study population (n=130, age 19-23 years), 40% had mild addiction. Moderate and severe addiction was found in 41.53% and 3.07% of the participants respectively. The study revealed that 24% often and 19.2% always found themselves using Internet longer than they had planned or thought. Late night Internet surfing leading to sleep deprivation was found in 31.53% of the participants. Almost one fourth of them (25.38%) occasionally tried to cut down the time they spent on the Internet but failed and 31.53% sometimes experienced restlessness when deprived of Internet access. Results reflected that a significant number of participants suffered from mild to moderate addiction. The role of counseling and education should be emphasized for prevention of Internet addiction.</t>
  </si>
  <si>
    <t>J2: Nepal Med Coll J; Pramanik, T Sherpa, M T Shrestha, R; ID: 387</t>
  </si>
  <si>
    <t>Pramanik, T. Department of Physiology, Nepal Medical College, Kathmandu, Nepal. drpramanik@hotmail.com</t>
  </si>
  <si>
    <t>http://ovidsp.ovid.com/ovidweb.cgi?T=JS&amp;CSC=Y&amp;NEWS=N&amp;PAGE=fulltext&amp;D=med7&amp;AN=23441494</t>
  </si>
  <si>
    <t>MEDLINE; Ovid Technologies; Internet addiction in a group of medical students: a cross sectional study</t>
  </si>
  <si>
    <t>Primm,A. B.;Brown,L. S.</t>
  </si>
  <si>
    <t>Beny J. Primm, MD: pioneer physician, educator, and advocate for people with addictions and HIV/AIDS</t>
  </si>
  <si>
    <t>Journal of Health Care for the Poor &amp; Underserved</t>
  </si>
  <si>
    <t>*HIV Infections;History, 20th Century;History, 21st Century;Humans;*Patient Advocacy;*Substance-Related Disorders</t>
  </si>
  <si>
    <t>J2: J Health Care Poor Underserved; Primm, Annelle B Brown, Lawrence S; ID: 840</t>
  </si>
  <si>
    <t>1049-2089</t>
  </si>
  <si>
    <t>Primm, Annelle B. American Psychiatric Association, Arlington, VA, USA.</t>
  </si>
  <si>
    <t>http://ovidsp.ovid.com/ovidweb.cgi?T=JS&amp;CSC=Y&amp;NEWS=N&amp;PAGE=fulltext&amp;D=med5&amp;AN=16327103</t>
  </si>
  <si>
    <t>MEDLINE; Ovid Technologies; Beny J. Primm, MD: pioneer physician, educator, and advocate for people with addictions and HIV/AIDS</t>
  </si>
  <si>
    <t>Pringle,J. L.;Kowalchuk,A.;Meyers,J. A.;Seale,J. P.</t>
  </si>
  <si>
    <t>Equipping Residents to Address Alcohol and Drug Abuse: The National SBIRT Residency Training Project</t>
  </si>
  <si>
    <t>BACKGROUND: The Screening, Brief Intervention and Referral to Treatment (SBIRT) service for unhealthy alcohol use has been shown to be one of the most cost-effective medical preventive services and has been associated with long-term reductions in alcohol use and health care utilization. Recent studies also indicate that SBIRT reduces illicit drug use. In 2008 and 2009, the Substance Abuse Mental Health Service Administration funded 17 grantees to develop and implement medical residency training programs that teach residents how to provide SBIRT services for individuals with alcohol and drug misuse conditions. This paper presents the curricular activities associated with this initiative. METHODS: We used an online survey delivery application (Qualtrics) to e-mail a survey instrument developed by the project directors of 4 SBIRT residency programs to each residency grantee's director. The survey included both quantitative and qualitative data. RESULTS: All 17 (100%) grantees responded. Respondents encompassed residency programs in emergency medicine, family medicine, pediatrics, obstetrics-gynecology, psychiatry, surgery, and preventive medicine. Thirteen of 17 (76%) grantee programs used both online and in-person approaches to deliver the curriculum. All 17 grantees incorporated motivational interviewing and validated screening instruments in the curriculum. As of June 2011, 2867 residents had been trained, and project directors reported all residents were incorporating SBIRT into their practices. Consistently mentioned challenges in implementing an SBIRT curriculum included finding time in residents' schedules for the modules and the need for trained faculty to verify resident competence. CONCLUSIONS: The SBIRT initiative has resulted in rapid development of educational programs and a cohort of residents who utilize SBIRT in practice. Skills verification, program dissemination, and sustainability after grant funding ends remain ongoing challenges.</t>
  </si>
  <si>
    <t>J2: J Grad Med Educ; Pringle, Janice L Kowalchuk, Alicia Meyers, Jessica Adams Seale, J Paul; ID: 394</t>
  </si>
  <si>
    <t>1949-8349</t>
  </si>
  <si>
    <t>http://ovidsp.ovid.com/ovidweb.cgi?T=JS&amp;CSC=Y&amp;NEWS=N&amp;PAGE=fulltext&amp;D=prem&amp;AN=23451308</t>
  </si>
  <si>
    <t>https://dx.doi.org/10.4300/JGME-D-11-00019.1</t>
  </si>
  <si>
    <t>MEDLINE; Ovid Technologies; Equipping Residents to Address Alcohol and Drug Abuse: The National SBIRT Residency Training Project</t>
  </si>
  <si>
    <t>Pringle,J. L.;Melczak,M.;Johnjulio,W.;Campopiano,M.;Gordon,A. J.;Costlow,M.</t>
  </si>
  <si>
    <t>Pennsylvania SBIRT Medical and Residency Training: developing, implementing, and evaluating an evidenced-based program</t>
  </si>
  <si>
    <t>*Clinical Competence;Cooperative Behavior;Curriculum/st Standards];*Evidence-Based Medicine/ed Education];Humans;*Internship and Residency/mt Methods];Pennsylvania;Program Development;*Psychotherapy, Brief/ed Education];*Referral and Consultation;*Substance Abuse Detection;*Substance-Related Disorders</t>
  </si>
  <si>
    <t>Medical residents do not receive adequate training in screening, brief intervention, and referral to treatment (SBIRT) for alcohol and other drug use disorders. The federally funded Pennsylvania SBIRT Medical and Residency Training program (SMaRT) is an evidence-based curriculum with goals of training residents in SBIRT knowledge and skills and disseminating the curriculum throughout the medical residency programs. The SMaRT program collaborates with 4 hospital systems and 7 residency sites, with a target of 1147 residents to be trained. This brief report describes the design of the SMaRT program curriculum, implementation across settings and programs, and its evaluation methods.</t>
  </si>
  <si>
    <t>J2: Subst Abus; Pringle, Janice L Melczak, Michael Johnjulio, William Campopiano, Melinda Gordon, Adam J Costlow, Monica; ID: 414</t>
  </si>
  <si>
    <t>Pringle, Janice L. PERU, School of Pharmacy, University of Pittsburgh, Pittsburgh, Pennsylvania 15213, USA. jlp127@pitt.edu</t>
  </si>
  <si>
    <t>http://ovidsp.ovid.com/ovidweb.cgi?T=JS&amp;CSC=Y&amp;NEWS=N&amp;PAGE=fulltext&amp;D=med7&amp;AN=22738008</t>
  </si>
  <si>
    <t>https://dx.doi.org/10.1080/08897077.2011.640091</t>
  </si>
  <si>
    <t>MEDLINE; Ovid Technologies; Pennsylvania SBIRT Medical and Residency Training: developing, implementing, and evaluating an evidenced-based program</t>
  </si>
  <si>
    <t>Prislin,M.;Shultz,G. N.;Singleton,V.</t>
  </si>
  <si>
    <t>Improving education about substance abuse</t>
  </si>
  <si>
    <t>Alcoholism;Attitude of Health Personnel;Clinical Clerkship;Curriculum;*Education, Medical;Family Health;Humans;Marijuana Smoking;Morals;Physician-Patient Relations;Stereotyping;Substance-Related Disorders/di Diagnosis];Substance-Related Disorders/th Therapy];*Substance-Related Disorders;Treatment Outcome</t>
  </si>
  <si>
    <t>J2: Acad Med; Prislin, M Shultz, G N Singleton, V; ID: 1063</t>
  </si>
  <si>
    <t>http://ovidsp.ovid.com/ovidweb.cgi?T=JS&amp;CSC=Y&amp;NEWS=N&amp;PAGE=fulltext&amp;D=med4&amp;AN=10429578</t>
  </si>
  <si>
    <t>MEDLINE; Ovid Technologies; Improving education about substance abuse</t>
  </si>
  <si>
    <t>Prochaska,J. J.;Fromont,S. C.;Banys,P.;Eisendrath,S. J.;Horowitz,M. J.;Jacobs,M. H.;Hall,S. M.</t>
  </si>
  <si>
    <t>Addressing nicotine dependence in psychodynamic psychotherapy: perspectives from residency training</t>
  </si>
  <si>
    <t>Attitude of Health Personnel;Clinical Competence;Education, Medical, Graduate/mt Methods];Faculty, Medical;Female;Focus Groups;Humans;*Internship and Residency/mt Methods];Interviews as Topic;Male;*Psychiatry/ed Education];Psychiatry/mt Methods];*Psychotherapy/mt Methods];Tobacco Use Disorder/px Psychology];*Tobacco Use Disorder/th Therapy];United States</t>
  </si>
  <si>
    <t>OBJECTIVE: According to APA treatment recommendations, psychiatrists should assess and intervene in tobacco use with all of their patients who smoke. The ease with which this occurs may vary by treatment model. This study examined perspectives in residency training to identify a framework for addressing nicotine dependence within psychodynamic psychotherapy. METHOD: The authors collected data from a focus group of psychiatry residents and interviews with psychiatry residency faculty with expertise in psychodynamic psychotherapy. The transcribed interviews were analyzed for key themes and synthesized. RESULTS: Though the residents reported hesitancy to address patients' tobacco use, specifically in psychodynamic psychotherapy, the consensus from the expert faculty consultants was that tobacco interventions can and should be incorporated. The faculty provided suggestions, consistent with a psychodynamic formulation, for assessing patients' tobacco use and their interest in quitting, providing cessation treatment and/or referrals, and following up with patients to address relapse. CONCLUSIONS: The findings provide a useful framework, consistent with a psychodynamic model, for assessing and treating tobacco use with patients. Additional training and supervision likely are needed to increase residents' confidence and comfort with implementing these strategies.</t>
  </si>
  <si>
    <t>J2: Acad Psychiatry; Prochaska, Judith J Fromont, Sebastien C Banys, Peter Eisendrath, Stuart J Horowitz, Mardi J Jacobs, Marc H Hall, Sharon M; ID: 773</t>
  </si>
  <si>
    <t>Prochaska, Judith J. Department of Psychiatry, University of California, San Francisco, CA, USA. JProchaska@lppi.ucsf.edu</t>
  </si>
  <si>
    <t>http://ovidsp.ovid.com/ovidweb.cgi?T=JS&amp;CSC=Y&amp;NEWS=N&amp;PAGE=fulltext&amp;D=med5&amp;AN=17242046</t>
  </si>
  <si>
    <t>MEDLINE; Ovid Technologies; Addressing nicotine dependence in psychodynamic psychotherapy: perspectives from residency training</t>
  </si>
  <si>
    <t>Prochaska,J. J.;Fromont,S. C.;Hall,S. M.</t>
  </si>
  <si>
    <t>How prepared are psychiatry residents for treating nicotine dependence?</t>
  </si>
  <si>
    <t>*Clinical Competence;Humans;*Internship and Residency;*Psychiatry/ed Education];*Smoking Cessation/mt Methods];Surveys and Questionnaires;*Teaching/mt Methods];*Tobacco Use Disorder/th Therapy]</t>
  </si>
  <si>
    <t>OBJECTIVE: Nicotine dependence is the most prevalent substance abuse disorder among adult psychiatric patients and a leading cause of death and disability. The authors examined the extent to which psychiatry residents are prepared to treat nicotine dependence in clinical practice. METHODS: Residents from five psychiatry residency programs in northern California completed an anonymous survey of their knowledge, attitudes, and behaviors regarding treating nicotine dependence among their patients. RESULTS: Respondents (N = 105, 60% female) represented all 4 years of residency training. Residents' smoking status was 11% current, 17% former, and 72% never. Knowledge scores averaged 54% correct. Confidence ratings averaged 3 (SD = 0.6) on a 5-point scale. Seventy six percent rated their overall ability to help patients quit using tobacco as fair or poor. The percent reporting often or always engaging in the National Cancer Institute's 5-A intervention for smoking cessation was: 58% ask; 29% advise; 17% assess; 18% assist; and 13% arrange follow up. Most residents reported none or inadequate tobacco cessation training during medical school (74%) or residency (79%), and nearly all (94%) reported moderate to high interest in learning more about helping patients quit smoking. CONCLUSION: Psychiatry residents appear unprepared to treat nicotine dependence, but report considerable interest in this area. The findings demonstrate the need for and interest in tobacco cessation curricula in psychiatry residency training.</t>
  </si>
  <si>
    <t>J2: Acad Psychiatry; Prochaska, Judith J Fromont, Sebastien C Hall, Sharon M; ID: 844</t>
  </si>
  <si>
    <t>Prochaska, Judith J. Department of Psychiatry, University of California San Francisco School of Medicine, San Francisco, CA 94143-0984, USA. JProchaska@lppi.ucsf.edu</t>
  </si>
  <si>
    <t>http://ovidsp.ovid.com/ovidweb.cgi?T=JS&amp;CSC=Y&amp;NEWS=N&amp;PAGE=fulltext&amp;D=med5&amp;AN=16141120</t>
  </si>
  <si>
    <t>MEDLINE; Ovid Technologies; How prepared are psychiatry residents for treating nicotine dependence?</t>
  </si>
  <si>
    <t>Prochaska,J. J.;Fromont,S. C.;Leek,D.;Hudmon,K. S.;Louie,A. K.;Jacobs,M. H.;Hall,S. M.</t>
  </si>
  <si>
    <t>NIHMS122178; Evaluation of an evidence-based tobacco treatment curriculum for psychiatry residency training programs</t>
  </si>
  <si>
    <t>California;*Curriculum;Education/ec Economics];*Education;*Evidence-Based Medicine/ed Education];*Evidence-Based Medicine/mt Methods];Female;Humans;*Internship and Residency;Male;Psychiatry/ec Economics];*Psychiatry/ed Education]</t>
  </si>
  <si>
    <t>OBJECTIVE: Smokers with mental illness and addictive disorders account for nearly one in two cigarettes sold in the United States and are at high risk for smoking-related deaths and disability. Psychiatry residency programs provide a unique arena for disseminating tobacco treatment guidelines, influencing professional norms, and increasing access to tobacco cessation services among smokers with mental illness. The current study evaluated the Rx for Change in Psychiatry curriculum, developed for psychiatry residency programs and focused on identifying and treating tobacco dependence among individuals with mental illness. METHODS: The 4-hour curriculum emphasized evidence-based, patient-oriented cessation treatments relevant for all tobacco users, including those not yet ready to quit. The curriculum was informed by comprehensive literature review, consultation with an expert advisory group, faculty interviews, and a focus group with psychiatry residents. This study reports on evaluation of the curriculum in 2005-2006, using a quasi-experimental design, with 55 residents in three psychiatry residency training programs in Northern California. RESULTS: The curriculum was associated with improvements in psychiatry residents' knowledge, attitudes, confidence, and counseling behaviors for treating tobacco use among their patients, with initial changes from pre- to posttraining sustained at 3-months' follow-up. Residents' self-reported changes in treating patients' tobacco use were substantiated through systematic chart review. CONCLUSION: The evidence-based Rx for Change in Psychiatry curriculum is offered as a model tobacco treatment curriculum that can be implemented in psychiatry residency training programs and disseminated widely, thereby effectively reaching a vulnerable and costly population of smokers.</t>
  </si>
  <si>
    <t>J2: Acad Psychiatry; Prochaska, Judith J Fromont, Sebastien C Leek, Desiree Hudmon, Karen Suchanek Louie, Alan K Jacobs, Marc H Hall, Sharon M; ID: 645</t>
  </si>
  <si>
    <t>Prochaska, Judith J. Department of Psychiatry, University of California, San Francisco, CA 94143-0984, USA. JProchaska@ucsf.edu</t>
  </si>
  <si>
    <t>http://ovidsp.ovid.com/ovidweb.cgi?T=JS&amp;CSC=Y&amp;NEWS=N&amp;PAGE=fulltext&amp;D=med6&amp;AN=19190293</t>
  </si>
  <si>
    <t>https://dx.doi.org/10.1176/appi.ap.32.6.484</t>
  </si>
  <si>
    <t>MEDLINE; Ovid Technologies; Evaluation of an evidence-based tobacco treatment curriculum for psychiatry residency training programs</t>
  </si>
  <si>
    <t>Prochaska,J. J.;Fromont,S. C.;Louie,A. K.;Jacobs,M. H.;Hall,S. M.</t>
  </si>
  <si>
    <t>Training in tobacco treatments in psychiatry: a national survey of psychiatry residency training directors</t>
  </si>
  <si>
    <t>Adult;Curriculum/st Standards];*Data Collection;*Education/ma Manpower];*Education/st Standards];Female;Humans;*Internship and Residency;Male;Psychiatry/ed Education];Psychiatry/ma Manpower];Psychiatry/mt Methods];*Psychiatry;*Teaching/mt Methods];*Tobacco Use Disorder/th Therapy];United States</t>
  </si>
  <si>
    <t>OBJECTIVE: Nicotine dependence is the most prevalent substance abuse disorder among adult psychiatric patients and is a leading cause of death and disability. This study examines training in tobacco treatment in psychiatry residency programs across the United States. METHOD: The authors recruited training directors to complete a survey of their program's curriculum related to tobacco treatment, attitudes related to treating tobacco in psychiatry, and perceptions of residents' skills for addressing nicotine dependence in psychiatric patients. RESULTS: Respondents were representative of the national pool. Half of the programs provided training in tobacco treatments for a median duration of 1 hour. Content areas covered varied greatly. Programs with tobacco-related training expressed more favorable attitudes toward addressing tobacco in psychiatry and were more likely to report confidence in their residents' skills for treating nicotine dependence. Programs without tobacco training reported a lack of faculty expertise on tobacco treatments. Most training directors reported moderate to high interest in evaluating a model tobacco curriculum for psychiatry and stated they would dedicate an average of 4 hours of curriculum time. CONCLUSIONS: The findings demonstrate the need for and interest in a model tobacco treatment curriculum for psychiatry residency training. Training psychiatrists offers the potential of delivering treatment to one of the largest remaining groups of smokers: patients with mental disorders.</t>
  </si>
  <si>
    <t>J2: Acad Psychiatry; Prochaska, Judith J Fromont, Sebastien C Louie, Alan K Jacobs, Marc H Hall, Sharon M; ID: 792</t>
  </si>
  <si>
    <t>Prochaska, Judith J. Department of Psychiatry, University of California, San Francisco, CA 94143, USA. JProchaska@LPPI.UCSF.EDU</t>
  </si>
  <si>
    <t>http://ovidsp.ovid.com/ovidweb.cgi?T=JS&amp;CSC=Y&amp;NEWS=N&amp;PAGE=fulltext&amp;D=med5&amp;AN=17021144</t>
  </si>
  <si>
    <t>MEDLINE; Ovid Technologies; Training in tobacco treatments in psychiatry: a national survey of psychiatry residency training directors</t>
  </si>
  <si>
    <t>Prochazka,A.;Koziol-McLain,J.;Tomlinson,D.;Lowenstein,S. R.</t>
  </si>
  <si>
    <t>Smoking cessation counseling by emergency physicians: opinions, knowledge, and training needs</t>
  </si>
  <si>
    <t>Adult;Aged;Chi-Square Distribution;Counseling/ed Education];Emergency Medicine/ed Education];*Emergency Medicine;Emergency Service, Hospital;Female;Health Knowledge, Attitudes, Practice;Humans;Male;Middle Aged;Smoking/px Psychology];Smoking Cessation/mt Methods];*Smoking Cessation;*Smoking Prevention</t>
  </si>
  <si>
    <t>OBJECTIVES: To determine: 1) the extent of emergency physicians' (EPs') training in smoking cessation counseling; 2) their understanding of counseling and pharmacologic treatment techniques; 3) their current practices in screening, counseling, and referring patients who smoke; and 4) perceived barriers to routine smoking cessation counseling in emergency medical practice. METHODS: A 26-item questionnaire addressing the above issues was mailed to all 256 members of the Colorado Chapter of the American College of Emergency Physicians. RESULTS: Completed questionnaires were returned by 196 physicians (77% response rate). The majority of respondents were men (80%), practiced in urban settings (87%), and were board-certified in emergency medicine (82%). Most EPs lacked formal smoking cessation training (55%) and felt poorly prepared to counsel patients about smoking cessation (65%). A minority (27%) of the physicians reported routinely asking patients to quit smoking. The physicians with formal smoking cessation training were more likely to counsel and refer patients routinely (34% vs 20%, p = 0.03). The physicians cited the following barriers to routine smoking cessation counseling: a lack of time; a perception that patients are not interested; a belief that the ED setting is inappropriate for counseling; and a sense that counseling is ineffective. Lack of reimbursement was cited by only 13% of the respondents. The physicians who had formal smoking cessation training perceived fewer barriers to ED-based counseling. CONCLUSIONS: Emergency physicians have received little training in smoking cessation and perceive many barriers to ED-based smoking cessation interventions. Not surprisingly, they infrequently take action to encourage or assist their patients to quit smoking.</t>
  </si>
  <si>
    <t>J2: Acad Emerg Med; Prochazka, A Koziol-McLain, J Tomlinson, D Lowenstein, S R; ID: 1182</t>
  </si>
  <si>
    <t>Prochazka, A. Veterans Affairs Medical Center, Denver, CO, USA.</t>
  </si>
  <si>
    <t>http://ovidsp.ovid.com/ovidweb.cgi?T=JS&amp;CSC=Y&amp;NEWS=N&amp;PAGE=fulltext&amp;D=med3&amp;AN=7497036</t>
  </si>
  <si>
    <t>MEDLINE; Ovid Technologies; Smoking cessation counseling by emergency physicians: opinions, knowledge, and training needs</t>
  </si>
  <si>
    <t>Proude,E. M.;Conigrave,K. M.;Haber,P. S.</t>
  </si>
  <si>
    <t>Effectiveness of skills-based training using the Drink-less package to increase family practitioner confidence in intervening for alcohol use disorders</t>
  </si>
  <si>
    <t>Accidents, Traffic/pc Prevention &amp; Control];Adult;*Alcoholism/di Diagnosis];*Alcoholism/th Therapy];*Attitude of Health Personnel;Automobile Driving;*Clinical Competence;Computer-Assisted Instruction/is Instrumentation];*Computer-Assisted Instruction/mt Methods];Counseling/ed Education];*Education, Medical, Continuing/mt Methods];Educational Technology;*Family Practice/ed Education];Humans;Middle Aged;New South Wales;Program Evaluation</t>
  </si>
  <si>
    <t>BACKGROUND: Misuse of alcohol is second only to tobacco as a leading cause of preventable death in Australia. There is an opportunity in family practice to detect problems and intervene with people at risk of alcohol-related harm before complications occur. However, family practitioners (FPs) report low levels of confidence in managing patients with drinking problems. The aim of this study was to determine whether the interactive training session using the 'Drink-less' package led to improvement in FPs' self-reported level of confidence in detecting and providing interventions for risky alcohol consumption. METHOD: FPs in urban and rural New South Wales were invited to training sessions in their local area. An introductory overview preceded a practical skills- based session, using the Drink-less package. Participants completed before and after evaluation forms. RESULTS: While 49% (CI 43-55) of the attending FPs indicated at baseline that they felt confident in identifying at-risk drinkers, this proportion rose to 90% (95% CI: 87-93) post-session, and they also reported increases in confidence from 36% (95% CI: 31-41) to 90% in their ability to advise patients. Urban FPs reported lower levels of confidence than rural FPs, both pre- and post-session. CONCLUSION: Training sessions in the Drink-less intervention resulted in increased self-reported confidence in detection and brief intervention for alcohol problems. Further research is needed to determine the duration of this effect and its influence on practice behaviour.</t>
  </si>
  <si>
    <t>J2: BMC Med Educ; Proude, Elizabeth M Conigrave, Katherine M Haber, Paul S; ID: 831</t>
  </si>
  <si>
    <t>Proude, Elizabeth M. Drug Health Services, Royal Prince Alfred Hospital, Camperdown, New South Wales, Australia. elizabeth.proude@email.cs.nsw.gov.au</t>
  </si>
  <si>
    <t>http://ovidsp.ovid.com/ovidweb.cgi?T=JS&amp;CSC=Y&amp;NEWS=N&amp;PAGE=fulltext&amp;D=med5&amp;AN=16457737</t>
  </si>
  <si>
    <t>MEDLINE; Ovid Technologies; Effectiveness of skills-based training using the Drink-less package to increase family practitioner confidence in intervening for alcohol use disorders</t>
  </si>
  <si>
    <t>Prozialeck,W. C.</t>
  </si>
  <si>
    <t>Addressing substance abuse in medical school curricula</t>
  </si>
  <si>
    <t>6; author reply 426</t>
  </si>
  <si>
    <t>Chicago;*Curriculum;Education, Medical, Undergraduate;Humans;*Osteopathic Medicine/ed Education];*Substance-Related Disorders</t>
  </si>
  <si>
    <t>J2: J Am Osteopath Assoc; Prozialeck, Walter C Comment on: J Am Osteopath Assoc. 2005 Jun;105(6 Suppl 3):S18-25; PMID: 16118358; ID: 803</t>
  </si>
  <si>
    <t>http://ovidsp.ovid.com/ovidweb.cgi?T=JS&amp;CSC=Y&amp;NEWS=N&amp;PAGE=fulltext&amp;D=med5&amp;AN=16912344</t>
  </si>
  <si>
    <t>MEDLINE; Ovid Technologies; Addressing substance abuse in medical school curricula</t>
  </si>
  <si>
    <t>Puljevic,C.;Learmonth,D.</t>
  </si>
  <si>
    <t>Substance abuse prevention in Cape Town's peri-urban settlements: local health trainers' perspectives</t>
  </si>
  <si>
    <t>Health Psychology &amp; Behavioral Medicine</t>
  </si>
  <si>
    <t>South Africa currently experiences high levels of alcohol and other drug (AOD) abuse. As a result there is a need for the initiation of regional AOD abuse prevention programmes with a specific focus on youth prevention strategies. The Medical Knowledge Institute (MKI) is a non-profit organisation which develops and facilitates health information workshops to members of disadvantaged peri-urban communities in South Africa. This research investigated the views of eight local MKI health trainers on factors contributing to AOD abuse in their communities. Although the expected focus of the discussion was on prevention strategies and effective interventions, the trainers placed more emphasis on the individual and community factors influencing AOD abuse. The themes which emerged through the research included: status, government, (di)stress, gender, recreation, consequences and community. This research holds significance as it has the potential to assist further development of community-based AOD prevention workshops and to guide public health policy and service development for AOD abuse.</t>
  </si>
  <si>
    <t>J2: Health psychol; Puljevic, Cheneal Learmonth, Despina; ID: 1700</t>
  </si>
  <si>
    <t>2164-2850</t>
  </si>
  <si>
    <t>Puljevic, Cheneal. Psychology Department, University of Cape Town , PD Hahn Building, Cape Town , South Africa. Learmonth, Despina. Psychology Department, University of Cape Town , PD Hahn Building, Cape Town , South Africa.</t>
  </si>
  <si>
    <t>http://ovidsp.ovid.com/ovidweb.cgi?T=JS&amp;CSC=Y&amp;NEWS=N&amp;PAGE=fulltext&amp;D=medp&amp;AN=25750776</t>
  </si>
  <si>
    <t>MEDLINE; Ovid Technologies; Substance abuse prevention in Cape Town's peri-urban settlements: local health trainers' perspectives</t>
  </si>
  <si>
    <t>Pursch,J. A.</t>
  </si>
  <si>
    <t>Physicians' attitudinal changes in alcoholism</t>
  </si>
  <si>
    <t>Alcoholism/th Therapy];*Alcoholism;*Attitude of Health Personnel;Defense Mechanisms;Education, Medical;Humans;Life Change Events;*Naval Medicine;*Physicians;Psychotherapy, Group;United States</t>
  </si>
  <si>
    <t>A man is the sum of all the moments of his life, and his attitudes are the product of repeated experience. A physician's attitude toward alcoholics is a product of all of his alcohol-related experiences, including family and societal feelings assimilated in childhood and lessons, impressions, and experiences acquired during medical training and practice.</t>
  </si>
  <si>
    <t>J2: Alcohol Clin Exp Res; Pursch, J A; ID: 1521</t>
  </si>
  <si>
    <t>http://ovidsp.ovid.com/ovidweb.cgi?T=JS&amp;CSC=Y&amp;NEWS=N&amp;PAGE=fulltext&amp;D=med1&amp;AN=367205</t>
  </si>
  <si>
    <t>MEDLINE; Ovid Technologies; Physicians' attitudinal changes in alcoholism</t>
  </si>
  <si>
    <t>From Quonset hut to naval hospital. The story of an alcoholism rehabilitation service</t>
  </si>
  <si>
    <t>Alcoholics Anonymous;*Alcoholism/rh Rehabilitation];California;Counseling;Education, Medical;Health Education;History of Medicine;*Hospitals, Veterans;Humans;*Military Psychiatry;Outpatient Clinics, Hospital;Psychodrama;Psychology, Clinical/ed Education];Psychotherapy;Recreation;Referral and Consultation;*Rehabilitation Centers/hi History]</t>
  </si>
  <si>
    <t>The history and treatment methods of the first Navy Alcoholism Rehabilitation Service are described.</t>
  </si>
  <si>
    <t>J2: J; Pursch, J A; ID: 1536</t>
  </si>
  <si>
    <t>http://ovidsp.ovid.com/ovidweb.cgi?T=JS&amp;CSC=Y&amp;NEWS=N&amp;PAGE=fulltext&amp;D=med1&amp;AN=794590</t>
  </si>
  <si>
    <t>MEDLINE; Ovid Technologies; From Quonset hut to naval hospital. The story of an alcoholism rehabilitation service</t>
  </si>
  <si>
    <t>Puschel,K.</t>
  </si>
  <si>
    <t>Drug-related death--an update</t>
  </si>
  <si>
    <t>Forensic science international</t>
  </si>
  <si>
    <t>Forensic Sci.Int.</t>
  </si>
  <si>
    <t>Alcoholism/bl Blood];Alcoholism/co Complications];*Alcoholism/ep Epidemiology];Cause of Death;Cohort Studies;Female;Forensic Medicine;Germany/ep Epidemiology];*HIV Seroprevalence;*Hiv-1;*Hepatitis B/ep Epidemiology];Hepatitis B/et Etiology];*Hepatitis C/ep Epidemiology];Hepatitis C/et Etiology];Humans;Male;Mass Screening;Multicenter Studies as Topic;*Population Surveillance;Prevalence;Prospective Studies;Substance Abuse, Intravenous/co Complications];*Substance Abuse, Intravenous/mo Mortality];Substance Abuse, Intravenous/pc Prevention &amp; Control];Urban Population</t>
  </si>
  <si>
    <t>Some epidemiological, morphological and toxicological aspects from a continuous prospective study of drug-related fatalities in Hamburg are described. The lethal risk for intravenous drug addicts (IVDA) has increased (1990: n = 136 drug-related fatalities in Hamburg; 1991: n = 184). Infectious diseases are common. From the epidemiological point of view the HIV-1 prevalence is decreasing; hepatitis C turned out to be a serious medical problem for IVDA. The fatal course of the addiction is mostly caused by heroin overdosage (sometimes in combination with ethyl-alcohol, benzodiazepines and barbiturates); about 40% of the fatalities were alcoholized (20% with a blood alcohol concentration of more than 1%). References: 26]</t>
  </si>
  <si>
    <t>J2: Forensic Sci Int; Puschel, K; ID: 1240</t>
  </si>
  <si>
    <t>0379-0738</t>
  </si>
  <si>
    <t>Puschel, K. Institut fur Rechtszmedizin, Universitat Hamburg, Germany.</t>
  </si>
  <si>
    <t>http://ovidsp.ovid.com/ovidweb.cgi?T=JS&amp;CSC=Y&amp;NEWS=N&amp;PAGE=fulltext&amp;D=med3&amp;AN=8300023</t>
  </si>
  <si>
    <t>MEDLINE; Ovid Technologies; Drug-related death--an update</t>
  </si>
  <si>
    <t>Pylkas,A.</t>
  </si>
  <si>
    <t>Moving addiction treatment into the 21st century. Our treatment system needs an overhaul</t>
  </si>
  <si>
    <t>Alcoholism/di Diagnosis];Alcoholism/ec Economics];*Alcoholism/rh Rehabilitation];Cost-Benefit Analysis;Curriculum;*Evidence-Based Practice/ec Economics];Humans;Internship and Residency;Mass Screening/ec Economics];Minnesota;Primary Health Care;Referral and Consultation/ec Economics];Substance-Related Disorders/di Diagnosis];Substance-Related Disorders/ec Economics];*Substance-Related Disorders/rh Rehabilitation]</t>
  </si>
  <si>
    <t>J2: Minn Med; Pylkas, Anne; ID: 348</t>
  </si>
  <si>
    <t>Pylkas, Anne. Hennepin County Medical Center, USA.</t>
  </si>
  <si>
    <t>http://ovidsp.ovid.com/ovidweb.cgi?T=JS&amp;CSC=Y&amp;NEWS=N&amp;PAGE=fulltext&amp;D=med7&amp;AN=23930466</t>
  </si>
  <si>
    <t>MEDLINE; Ovid Technologies; Moving addiction treatment into the 21st century. Our treatment system needs an overhaul</t>
  </si>
  <si>
    <t>Raber,I.;Ball,A.;Papac,J.;Aggarwal,A.;Sussman,R.;Basaviah,P.;Newmark,J.;Lembke,A.</t>
  </si>
  <si>
    <t>Qualitative Assessment of Clerkship Students' Perspectives of the Topics of Pain and Addiction in their Preclinical Curriculum</t>
  </si>
  <si>
    <t>OBJECTIVE: A majority of physicians feel poorly trained in the treatment of chronic pain and addiction. As such, it is critical that medical students receive appropriate education in both pain management and addiction. The purpose of this study was to assess the pre-clinical curriculum in pain medicine and addiction from the perspective of students after they had completed their pre-clinical training and to assess what they perceived as the strengths and weaknesses of their training. METHODS: The authors conducted focused interviews among clinical medical students who had completed at least 6 months of clerkships. The interviews targeted the students' retrospective opinions about the pre-clinical curriculum and their preparedness for clinical encounters with either pain or addiction-related issues during their rotations. Coders thematically analyzed the de-identified interview transcripts, with consensus reached through discussion and code modification. RESULTS: Themes that emerged through the focused interviews included: fragmented curricular structure (and insufficient time) for pain and addiction medicine, not enough specific treatment strategies for pain or addiction, especially for complex clinical scenarios, and lack of a trained work-force to provide guidance in the management of pain and addiction. CONCLUSION: This study demonstrated the feasibility of gathering student perspectives to inform changes to improve the pre-clinical curriculum in pain and addiction medicine. Students identified multiple areas for improvement at the pre-clerkship level, which have informed updates to the curriculum. More research is needed to determine if curricular changes based on student feedback lead to improved learning outcomes.</t>
  </si>
  <si>
    <t>J2: Acad Psychiatry; Using Smart Source Parsing Apr Raber, Inbar Ball, Alexander Papac, Jennifer Aggarwal, Anuj Sussman, Rachel Basaviah, Preetha Newmark, Jordan Lembke, Anna; ID: 1679</t>
  </si>
  <si>
    <t>Raber, Inbar. Beth Israel Deaconess Medical Center, Boston, MA, USA. iraber@bidmc.harvard.edu. Ball, Alexander. Stanford University School of Medicine, Stanford, CA, USA. Papac, Jennifer. Stanford University School of Medicine, Stanford, CA, USA. Aggarwal, Anuj. Stanford University School of Medicine, Stanford, CA, USA. Sussman, Rachel. Stanford University School of Medicine, Stanford, CA, USA. Basaviah, Preetha. Stanford University School of Medicine, Stanford, CA, USA. Newmark, Jordan. Stanford University School of Medicine, Stanford, CA, USA. Lembke, Anna. Stanford University School of Medicine, Stanford, CA, USA.</t>
  </si>
  <si>
    <t>http://ovidsp.ovid.com/ovidweb.cgi?T=JS&amp;CSC=Y&amp;NEWS=N&amp;PAGE=fulltext&amp;D=medp&amp;AN=29704194</t>
  </si>
  <si>
    <t>https://dx.doi.org/10.1007/s40596-018-0927-1</t>
  </si>
  <si>
    <t>MEDLINE; Ovid Technologies; Qualitative Assessment of Clerkship Students' Perspectives of the Topics of Pain and Addiction in their Preclinical Curriculum</t>
  </si>
  <si>
    <t>Rabiner,D. L.;Anastopoulos,A. D.;Costello,E. J.;Hoyle,R. H.;McCabe,S. E.;Swartzwelder,H. S.</t>
  </si>
  <si>
    <t>The misuse and diversion of prescribed ADHD medications by college students</t>
  </si>
  <si>
    <t>Journal of Attention Disorders</t>
  </si>
  <si>
    <t>Achievement;Administration, Intranasal;Adolescent;Alcohol Drinking/ep Epidemiology];Alcohol Drinking/px Psychology];Attention/de Drug Effects];Attention Deficit Disorder with Hyperactivity/di Diagnosis];*Attention Deficit Disorder with Hyperactivity/dt Drug Therapy];*Attention Deficit Disorder with Hyperactivity/ep Epidemiology];Attention Deficit Disorder with Hyperactivity/px Psychology];Central Nervous System Stimulants/ad Administration &amp; Dosage];Central Nervous System Stimulants/ae Adverse Effects];*Central Nervous System Stimulants;Comorbidity;Cross-Sectional Studies;Dose-Response Relationship, Drug;Drug Administration Schedule;Female;Health Surveys;Humans;Male;Medication Adherence/px Psychology];Motivation;Peer Group;Prescription Drugs/ae Adverse Effects];Prescription Drugs/tu Therapeutic Use];*Prescription Drugs;Social Environment;Southwestern United States;*Students/sn Statistics &amp; Numerical Data];Substance-Related Disorders/di Diagnosis];*Substance-Related Disorders/ep Epidemiology];Substance-Related Disorders/px Psychology];Young Adult;0 (Central Nervous System Stimulants);0 (Prescription Drugs)</t>
  </si>
  <si>
    <t>OBJECTIVE: This study assesses the misuse and diversion of prescribed attention-deficit/hyperactivity disorder (ADHD) medications. METHOD: One hundred fifteen students, attending two universities, with prescriptions for ADHD medications completed a Web survey in spring 2007. RESULTS: Eighty-nine of 115 students (69%) used their ADHD medications as prescribed, whereas 36 (31%) had misused during college by taking larger or more frequent doses than prescribed or by using someone else's medication. Nine students (8%) reported intranasal use during the previous 6 months, and 30 (26%) had diverted medications to peers. Misuse was associated with impulsivity and with other substance use. Enhancing the ability to study outside of class was students' primary motive for misuse, but nonacademic reasons were also reported. Students who misused ADHD medications generally felt that doing so was helpful. CONCLUSIONS: Although most students use their ADHD medication as prescribed, misuse and diversion is not uncommon. Because enhancing academic performance was the primary motive for misuse, the results raise questions about whether undergraduates with ADHD perceive their treatment as adequate and the extent to which physicians and students communicate about issues related to medication adjustments.</t>
  </si>
  <si>
    <t>J2: J Atten Disord; Rabiner, David L Anastopoulos, Arthur D Costello, E Jane Hoyle, Rick H McCabe, Sean Esteban Swartzwelder, H Scott; ID: 616</t>
  </si>
  <si>
    <t>1087-0547</t>
  </si>
  <si>
    <t>Rabiner, David L. Center for Child and Family Policy, Department of Psychology and Neuroscience, Duke University, Durham, NC, USA. drabiner@duke.edu</t>
  </si>
  <si>
    <t>http://ovidsp.ovid.com/ovidweb.cgi?T=JS&amp;CSC=Y&amp;NEWS=N&amp;PAGE=fulltext&amp;D=med6&amp;AN=19448150</t>
  </si>
  <si>
    <t>https://dx.doi.org/10.1177/1087054708320414</t>
  </si>
  <si>
    <t>MEDLINE; Ovid Technologies; The misuse and diversion of prescribed ADHD medications by college students</t>
  </si>
  <si>
    <t>Ragucci,K. R.;Shrader,S. P.</t>
  </si>
  <si>
    <t>A method for educating patients and documenting smoking status in an electronic medical record</t>
  </si>
  <si>
    <t>Annals of Pharmacotherapy</t>
  </si>
  <si>
    <t>Ann.Pharmacother.</t>
  </si>
  <si>
    <t>Aged;Ambulatory Care/og Organization &amp; Administration];Anticoagulants/tu Therapeutic Use];Diabetes Mellitus/th Therapy];Documentation/mt Methods];*Electronic Health Records;Female;Humans;Male;Middle Aged;Models, Theoretical;*Patient Education as Topic/mt Methods];Pharmaceutical Services/og Organization &amp; Administration];*Pharmacists/og Organization &amp; Administration];Professional Role;*Smoking Cessation/mt Methods];South Carolina;0 (Anticoagulants)</t>
  </si>
  <si>
    <t>BACKGROUND: Published evidence demonstrates benefit from pharmacist smoking cessation interventions; however, there is limited research evaluating the impact of a template within an electronic medical record used at pharmacy disease state management visits. OBJECTIVE: To determine the rates of smoking cessation and movement along the transtheoretical model of change after implementation of a template into existing pharmacy-related progress notes within the electronic medical record. METHODS: Patients who were routinely followed by clinical pharmacists for anticoagulation and diabetes mellitus education at 3 clinics at the Medical University of South Carolina were included. At each visit, the pharmacist would document patient smoking information in a newly designed template within the existing progress note. In addition, pharmacists would educate patients on the benefits of smoking cessation and pharmacologic options that may be available to them. Data were collected between April 2007 and March 2008. Baseline demographic data and smoking cessation rates and products were compared using descriptive statistics. The McNemar chi(2) test was used to compare the groups of patients achieving smoking cessation pre- and postintervention. RESULTS: Of the 90 current smokers, 38 (42%) achieved smoking cessation postintervention. Movement along the transtheoretical model of change was also seen, with 52 (58%) patients progressing to at least the next stage. Thirty-four patients in the contemplation/preparation stage and 4 patients in the precontemplation stage moved to the action or maintenance stage by the end of the study period (p = 0.03). A variety of pharmacologic therapies were used in individuals who stopped smoking, although varenicline was most common. Thirty-nine percent of the patients used no medications to achieve cessation. CONCLUSIONS: Incorporating a smoking cessation template into existing progress notes and providing education during existing pharmacy referral visits is a simple and effective method to assist patients in achieving smoking cessation.</t>
  </si>
  <si>
    <t>J2: Ann Pharmacother; Ragucci, Kelly R Shrader, Sarah P; ID: 610</t>
  </si>
  <si>
    <t>1542-6270</t>
  </si>
  <si>
    <t>Ragucci, Kelly R. Clinical Pharmacy and Outcome Sciences/Family Medicine, Associate Graduate Pharmacy Education, South Carolina College of Pharmacy, Medical University of South Carolina Campus, Charleston, SC 29425, USA. raguccik@musc.edu</t>
  </si>
  <si>
    <t>http://ovidsp.ovid.com/ovidweb.cgi?T=JS&amp;CSC=Y&amp;NEWS=N&amp;PAGE=fulltext&amp;D=med6&amp;AN=19737992</t>
  </si>
  <si>
    <t>https://dx.doi.org/10.1345/aph.1M301</t>
  </si>
  <si>
    <t>MEDLINE; Ovid Technologies; A method for educating patients and documenting smoking status in an electronic medical record</t>
  </si>
  <si>
    <t>Ram,A.;Chisolm,M. S.</t>
  </si>
  <si>
    <t>The Time is Now: Improving Substance Abuse Training in Medical Schools</t>
  </si>
  <si>
    <t>*Attitude of Health Personnel;*Clinical Competence;*Curriculum;*Education, Medical, Undergraduate/mt Methods];Education, Medical, Undergraduate/st Standards];Health Services Needs and Demand;Humans;*Psychiatry/ed Education];Quality Improvement;Schools, Medical;Substance-Related Disorders/pc Prevention &amp; Control];*Substance-Related Disorders/th Therapy]</t>
  </si>
  <si>
    <t>This commentary highlights the growing demand for substance abuse prevention and treatment, summarizes the literature regarding the current insufficiencies in substance abuse training in medical schools, and suggests strategies to address this gap in physician education. The authors describe how the combination of mandated coverage for substance abuse services and expanding treatment needs means that more physicians, regardless of their patient populations, will be faced with addressing the problem of substance use. The authors review the literature on substance abuse training in medical schools, which indicates insufficient exposure to this topic. The authors describe how current substance abuse training at medical schools is focused on transmitting scientific knowledge with relatively little education or training in attitudes and skills central to effective prevention and treatment. Given the gap between clinical need and physician education, the authors suggest several strategies for medical schools to increase training in substance abuse knowledge, attitudes, and skills, which will enhance the practice of evidence-based care. The authors posit that medical curricular reform, combined with initiatives to change clinical culture around substance abuse, will translate into improved rates of screening, shorter overall length of treatment, effective referrals for continued treatment, and increased access to care for individuals who use substances and so reduce the morbidity and mortality associated with substance use.</t>
  </si>
  <si>
    <t>J2: Acad Psychiatry; Ram, Anita Chisolm, Margaret S; ID: 127</t>
  </si>
  <si>
    <t>Ram, Anita. Johns Hopkins University School of Medicine, Baltimore, MD, USA. Chisolm, Margaret S. Department of Psychiatry and Behavioral Sciences, Johns Hopkins University School of Medicine, Baltimore, MD, USA. mchisol1@jhmi.edu.</t>
  </si>
  <si>
    <t>http://ovidsp.ovid.com/ovidweb.cgi?T=JS&amp;CSC=Y&amp;NEWS=N&amp;PAGE=fulltext&amp;D=med8&amp;AN=25749922</t>
  </si>
  <si>
    <t>https://dx.doi.org/10.1007/s40596-015-0314-0</t>
  </si>
  <si>
    <t>MEDLINE; Ovid Technologies; The Time is Now: Improving Substance Abuse Training in Medical Schools</t>
  </si>
  <si>
    <t>Ramirez-Cacho,W.;Strickland,L.;Beraun,C.;Meng,C.;Rayburn,W. F.</t>
  </si>
  <si>
    <t>Medical students' attitudes toward pregnant women with substance use disorders</t>
  </si>
  <si>
    <t>American Journal of Obstetrics &amp; Gynecology</t>
  </si>
  <si>
    <t>*Attitude;*Clinical Clerkship;Female;Humans;Male;Pregnancy;*Pregnancy Complications;Prospective Studies;*Students, Medical/px Psychology];*Substance-Related Disorders;Surveys and Questionnaires</t>
  </si>
  <si>
    <t>OBJECTIVE: The objective of this study was to determine whether medical students' attendance at a clinic designed for pregnant substance users would yield changes in their attitudes toward the special needs of this population. STUDY DESIGN: This prospective study involved 104 consecutive third-year students rotating on our obstetrics-gynecology clerkship. Students were assigned to attend either a half day prenatal clinic designed specifically for women with substance use disorders during the first 4 weeks (study group) or during the second 4 weeks (control group). Each answered a confidential 24-question survey (using a 5-point scale from "strongly agree" to "strongly disagree"), dealing with comfort levels and attitudes, at the beginning and midway points of the 8-week clerkship. Student t tests were used for comparisons of averaged scores. RESULTS: At the beginning of the clerkship, no differences were found between the study (n = 52) and control groups (n = 52) in their responses to the survey. Regardless of gender, students who attended the clinic reported they became more comfortable in talking with patients about their substance use (P &lt; .001) and more nonjudgmental in treating these patients (P &lt; .02). Compared with before the clerkship, the control group became less comfortable in talking with these patients about their habits (P &lt; .01), less aware about the prevalence of substance abuse during pregnancy (P &lt; .02), and less aware about the efficacy of counselors (P &lt; .05). CONCLUSION: Medical students became more comfortable and better informed about pregnant women with substance use disorders after attending a clinic dedicated toward this population's special needs.</t>
  </si>
  <si>
    <t>J2: Am J Obstet Gynecol; Ramirez-Cacho, William A Strickland, Lisa Beraun, Cristina Meng, Chen Rayburn, William F; ID: 781</t>
  </si>
  <si>
    <t>1097-6868</t>
  </si>
  <si>
    <t>Ramirez-Cacho, William A. Department of Obstetrics and Gynecology, School of Medicine, University of New Mexico, Albuquerque, NM 87131, USA.</t>
  </si>
  <si>
    <t>http://ovidsp.ovid.com/ovidweb.cgi?T=JS&amp;CSC=Y&amp;NEWS=N&amp;PAGE=fulltext&amp;D=med5&amp;AN=17240247</t>
  </si>
  <si>
    <t>MEDLINE; Ovid Technologies; Medical students' attitudes toward pregnant women with substance use disorders</t>
  </si>
  <si>
    <t>Rankin,J.</t>
  </si>
  <si>
    <t>Conversation with Jim Rankin</t>
  </si>
  <si>
    <t>Canada;Education, Medical/og Organization &amp; Administration];Humans;New South Wales;*Substance Abuse Treatment Centers/og Organization &amp; Administration];*Substance-Related Disorders/pc Prevention &amp; Control]</t>
  </si>
  <si>
    <t>J2: Addiction; Rankin, J; ID: 1028</t>
  </si>
  <si>
    <t>http://ovidsp.ovid.com/ovidweb.cgi?T=JS&amp;CSC=Y&amp;NEWS=N&amp;PAGE=fulltext&amp;D=med4&amp;AN=10885041</t>
  </si>
  <si>
    <t>MEDLINE; Ovid Technologies; Conversation with Jim Rankin</t>
  </si>
  <si>
    <t>Rankin,J. G.</t>
  </si>
  <si>
    <t>The development of medical education on alcohol- and drug-related problems at the University of Toronto</t>
  </si>
  <si>
    <t>*Academic Medical Centers;*Alcoholism/pc Prevention &amp; Control];*Curriculum/td Trends];*Education, Medical/og Organization &amp; Administration];Education, Medical, Graduate/og Organization &amp; Administration];Education, Medical, Undergraduate/og Organization &amp; Administration];Humans;Internship and Residency/og Organization &amp; Administration];Ontario;*Physician's Role;Social Responsibility;*Substance-Related Disorders/pc Prevention &amp; Control];Time Factors</t>
  </si>
  <si>
    <t>Medical education on alcohol- and drug-related problems at the University of Toronto covers undergraduate, residency and graduate programs, a result of collaboration since 1959 between the university and the Addiction Research Foundation of Ontario. An undergraduate core curriculum, developed in the early 1970s, is offered in year 2; it has been supplemented by electives, selectives and comprehensive clinics. The undergraduate program is rated highly by students; since 1978, 3024 have completed the core program. Residency training started in 1974 and is available through electives lasting from 1 to 12 months in internal medicine, psychiatry, and family and community medicine. To date, 370 residents have completed one of these electives; 129 have completed graduate programs in which their theses concerned alcohol- and drug-related topics, and there have been an additional 13 research and postdoctoral fellows. Despite the progress, there is still a need to improve and expand the undergraduate and residency programs and to develop an effective program of continuing medical education. The goals should be to ensure that, as far as possible, all medical graduates from the University of Toronto have the knowledge, attitudes, skills and behaviours needed to contribute effectively to the prevention and treatment of alcohol- and drug-related problems in their chosen field of practice and to avoid problems from their personal use of alcohol and other drugs.</t>
  </si>
  <si>
    <t>J2: Cmaj; Rankin, J G; ID: 1334</t>
  </si>
  <si>
    <t>Rankin, J G. Addiction Research Foundation Clinical Institute, Toronto, Ont.</t>
  </si>
  <si>
    <t>http://ovidsp.ovid.com/ovidweb.cgi?T=JS&amp;CSC=Y&amp;NEWS=N&amp;PAGE=fulltext&amp;D=med3&amp;AN=2224677</t>
  </si>
  <si>
    <t>MEDLINE; Ovid Technologies; The development of medical education on alcohol- and drug-related problems at the University of Toronto</t>
  </si>
  <si>
    <t>Rankin,J. G.;Ashley,M. J.;Brewster,J. M.;Chow,Y. C.;Single,E.;Skinner,H. A.</t>
  </si>
  <si>
    <t>Preventing alcohol problems: preparing physicians for their roles and responsibilities</t>
  </si>
  <si>
    <t>*Alcoholism/pc Prevention &amp; Control];*Attitude of Health Personnel;Canada;Education, Medical;Humans;*Physician's Role;*Social Responsibility</t>
  </si>
  <si>
    <t>J2: Cmaj; Rankin, J G Ashley, M J Brewster, J M Chow, Y C Single, E Skinner, H A; ID: 1338</t>
  </si>
  <si>
    <t>http://ovidsp.ovid.com/ovidweb.cgi?T=JS&amp;CSC=Y&amp;NEWS=N&amp;PAGE=fulltext&amp;D=med3&amp;AN=2224665</t>
  </si>
  <si>
    <t>MEDLINE; Ovid Technologies; Preventing alcohol problems: preparing physicians for their roles and responsibilities</t>
  </si>
  <si>
    <t>Rastegar,D. A.;Bertram,A.;Sisson,S. D.</t>
  </si>
  <si>
    <t>Use of an internet-based curriculum to teach internal medicine residents about addiction</t>
  </si>
  <si>
    <t>OBJECTIVES: : Addiction is an important and common health problem. Many internal medicine training programs do not offer structured training in addiction; as a result, residents often report feeling unprepared in caring for patients with this problem. We developed an Internet-based curriculum to teach internal medicine residents about evaluating and treating patients with substance use disorders. METHODS: : Three educational modules on addiction were developed and posted on an established Web site that provides an internal medicine curriculum for training programs throughout the United States. Baseline and posttest questions were tested and validated by having house officers and addiction medicine faculty members complete the tests. We compared baseline pretest scores between first (PGY-1) and third year (PGY-3) residents to assess baseline knowledge and pretest and posttest scores for the entire cohort to assess the impact of the modules. RESULTS: : Each module was completed by over 1200 residents at 86 different training programs. Although overall baseline pretest scores were better among PGY-3 than PGY-1 residents (mean 58% vs 55%; P &lt; 0.05), the difference between the 2 groups for individual modules was not significant. The mean baseline pretest score was 56.4% and posttest score was 74.8%, a difference that was statistically significant (P &lt; 0.001). When asked to rate the educational value of the program, the residents gave it a mean score of 4.2 on a 5-point Likert scale (1 = not instructive; 5 = highly instructive). CONCLUSIONS: : Internet-based curricula can be an effective tool to disseminate knowledge on addiction to trainees. Learners show an improvement in testing scores and rate these programs highly.</t>
  </si>
  <si>
    <t>J2: J Addict Med; Rastegar, Darius A Bertram, Amanda Sisson, Stephen D; ID: 427</t>
  </si>
  <si>
    <t>Rastegar, Darius A. From the Department of Medicine, Johns Hopkins University School of Medicine, Baltimore, MD.</t>
  </si>
  <si>
    <t>http://ovidsp.ovid.com/ovidweb.cgi?T=JS&amp;CSC=Y&amp;NEWS=N&amp;PAGE=fulltext&amp;D=prem&amp;AN=21769041</t>
  </si>
  <si>
    <t>https://dx.doi.org/10.1097/ADM.0b013e3181cc9fc7</t>
  </si>
  <si>
    <t>MEDLINE; Ovid Technologies; Use of an internet-based curriculum to teach internal medicine residents about addiction</t>
  </si>
  <si>
    <t>Rastegar,D. A.;Fingerhood,M. I.;Jasinski,D. R.</t>
  </si>
  <si>
    <t>A resident clerkship that combines inpatient and outpatient training in substance abuse and HIV care</t>
  </si>
  <si>
    <t>*Ambulatory Care;Attitude of Health Personnel;Baltimore;*Clinical Clerkship;Clinical Competence;Comorbidity;Curriculum;HIV Infections/ep Epidemiology];HIV Infections/px Psychology];*HIV Infections/rh Rehabilitation];*Hospitalization;Humans;*Internship and Residency;Prejudice;Substance Abuse Treatment Centers;Substance-Related Disorders/ep Epidemiology];Substance-Related Disorders/px Psychology];*Substance-Related Disorders/rh Rehabilitation]</t>
  </si>
  <si>
    <t>Substance abuse and HIV infection are important medical problems that receive comparatively little attention in residency training programs and residents often feel unprepared to deal with them. We developed a month-long rotation that combined outpatient care for patients with HIV infection and addiction, with inpatient care for medically-ill patients on a detoxification unit. At the end of the rotation, residents reported greater comfort with caring for these patients and improved self-rated competence. They also rated the rotation highly. Our experience shows that a rotation combining inpatient and outpatient substance abuse and HIV care was valued by residents and increased their comfort and proficiency with caring for these underserved and stigmatized populations.</t>
  </si>
  <si>
    <t>J2: Subst Abus; Rastegar, Darius A Fingerhood, Michael I Jasinski, Donald R; ID: 742</t>
  </si>
  <si>
    <t>Rastegar, Darius A. Division of Chemical Dependence, John Hopkins Bayview Medical Center, Baltimore, MD 21224, USA. drastega@jhmi.edu</t>
  </si>
  <si>
    <t>http://ovidsp.ovid.com/ovidweb.cgi?T=JS&amp;CSC=Y&amp;NEWS=N&amp;PAGE=fulltext&amp;D=med5&amp;AN=16172088</t>
  </si>
  <si>
    <t>MEDLINE; Ovid Technologies; A resident clerkship that combines inpatient and outpatient training in substance abuse and HIV care</t>
  </si>
  <si>
    <t>Rasyidi,E.;Wilkins,J. N.;Danovitch,I.</t>
  </si>
  <si>
    <t>Training the next generation of providers in addiction medicine</t>
  </si>
  <si>
    <t>Adolescent;Adult;*Behavior, Addictive/th Therapy];Child;Clinical Competence;Curriculum;Education, Medical/mt Methods];*Education, Medical/og Organization &amp; Administration];Education, Medical/st Standards];Educational Measurement;Fellowships and Scholarships;Female;Guidelines as Topic;Health Services Needs and Demand;Humans;Internship and Residency/og Organization &amp; Administration];Internship and Residency/st Standards];Patient-Centered Care/og Organization &amp; Administration];Physician's Role;*Primary Health Care;*Psychiatry/ed Education];Psychiatry/ma Manpower];*Specialization;Substance-Related Disorders/ec Economics];*Substance-Related Disorders/th Therapy];Teaching/mt Methods];United States;Young Adult</t>
  </si>
  <si>
    <t>Within the United States there exists a profound discrepancy between the significant public health problem of substance abuse and the access to treatment for addicted individuals. Part of the insufficient access to treatment is a function of relatively low levels or professional experts in addiction medicine. Part of the low levels of professional addiction experts is the result of inadequate addiction medicine training of medical students and residents. This article outlines deficits in addiction medicine training among medical students and residents, yet real change in the addiction medicine training process will always be subject to the complexity of producing alterations across multiple credentialing institutions as well as the keen competition between educators for "more time" for their particular subject. Other hurdles include the broad-based issue of stigma regarding alcoholism and other substance abuse that likely impact all systems that regulate physician addiction medicine training. As noted in the discussion of psychiatry residency, even psychiatry residents manifest stigma regarding substance abusing patients. Five currently active processes may allow for fundamental change to the inertia in physician addiction medicine training while also potentially impacting stigma: 1. We appear to be at the beginning of the integration of addiction into traditional medicine through the formation of a legitimized addiction medicine subspecialty. 2. The training of primary care trainees and practitioners in the use of SBIRT is accelerating, thus creating another process of addiction integration into traditional medicine. 3. The PCMH is being established as a model for primary care 4. The Paul Wellstone and Pete Domenici Mental Health Parity and Addiction Equity Act of 2008 (MHPAEA) became effective for group health care plan years beginning on or after July 1, 2010; thereby, substance abuse benefits and cost are to be the same as general medical or surgical benefits. 5. The equalizer is prescription drug abuse, which is increasing recognition of addiction among populations where it was previously ignored or denied. The first three activities will create a medical office "experience" that is largely unknown but carries the power to change the perception of addiction: patients visiting their primary care physicians, who then screen them for addiction problems and give the same attention to treatment and prevention of addiction problems as they might give to treatment and prevention of cardiovascular disease and other medical issues. The personal experience of the aforementioned medical scene by members of US society may also provide a very positive impact on psychiatrists, including those who specialize in addiction medicine. It is quite possible that the recognition of addiction medicine as a traditional medical subspecialty as well as the integration of addiction throughout medicine will precede any substantive change in the integration of mental health care with the rest of medicine. Yet, any integration of addiction within the entire field of medicine may open a path for mental health to follow. Psychiatrists, including those who are addiction experts, need to be a part of this new medical integration process. Being a part of new treatment models is why we proposed six future skillsets for psychiatrists who specialize in addiction. The selection of these proposed skillsets anticipates an integrated health care team utilizing some form of a patient-centered approach-three are skillsets that are already required, while the last three address new skillsets that will be helpful in working with the integrative health care team model. Whatever form the future of addiction care takes, psychiatrists who specialize in addiction medicine can provide positive and core contributions as expert addiction and mental health consultants including: 1. How does one screen for major depression and/or an anxiety disorder and also determine a diagnosis? 2. In prescribing, what constitutes legitimate follow-up of patients on antidepressan</t>
  </si>
  <si>
    <t>J2: Psychiatr Clin North Am; Rasyidi, Ernest Wilkins, Jeffery N Danovitch, Itai; ID: 437</t>
  </si>
  <si>
    <t>Rasyidi, Ernest. Department of Psychiatry and Behavioral Neurosciences, Cedars-Sinai Medical Center, Los Angeles, CA 90048, USA. Ernest.Rasyidi@cshs.org</t>
  </si>
  <si>
    <t>http://ovidsp.ovid.com/ovidweb.cgi?T=JS&amp;CSC=Y&amp;NEWS=N&amp;PAGE=fulltext&amp;D=med7&amp;AN=22640766</t>
  </si>
  <si>
    <t>https://dx.doi.org/10.1016/j.psc.2012.04.001</t>
  </si>
  <si>
    <t>MEDLINE; Ovid Technologies; Training the next generation of providers in addiction medicine</t>
  </si>
  <si>
    <t>Ratycz,M. C.;Papadimos,T. J.;Vanderbilt,A. A.</t>
  </si>
  <si>
    <t>Addressing the growing opioid and heroin abuse epidemic: a call for medical school curricula</t>
  </si>
  <si>
    <t>Substance abuse is a growing public health concern in the USA (US), especially now that the US faces a national drug overdose epidemic. Over the past decade, the number of drug overdose deaths has rapidly grown, largely driven by increases in prescription opioid-related overdoses. In recent years, increased heroin and illicitly manufactured fentanyl overdoses have substantially contributed to the rise of overdose deaths. Given the role of physicians in interacting with patients who are at risk for or currently abusing opioids and heroin, it is essential that physicians are aware of this issue and know how to respond. Unfortunately, medical school curricula do not devote substantial time to addiction education and many physicians lack knowledge regarding assessment and management of opioid addiction. While some schools have modified curricula to include content related to opioid prescription techniques and pain management, an added emphasis about the growing role of heroin and fentanyl is needed to adequately address the epidemic. By adapting curricula to address the rising opioid and heroin epidemic, medical schools have the potential to ensure that our future physicians can effectively recognize the signs, symptoms, and risks of opioid/heroin abuse and improve patient outcomes. This article proposes ways to include heroin and fentanyl education into medical school curricula and highlights the potential of simulation-based medical education to enable students to develop the skillset and emotional intelligence necessary to work with patients struggling with opioid and heroin addiction. This will result in future doctors who are better prepared to both prevent and recognize opioid and heroin addiction in patients, an important step in helping reduce the number of addicted patients and address the drug overdose epidemic.</t>
  </si>
  <si>
    <t>J2: Med; Ratycz, Madison C Papadimos, Thomas J Vanderbilt, Allison A; ID: 1626</t>
  </si>
  <si>
    <t>Ratycz, Madison C. a College of Medicine and Life Sciences , University of Toledo , Toledo , OH , USA. Papadimos, Thomas J. b Simulation Center Department of Anesthesiology, College of Medicine and the Life Sciences , University of Toledo , Toledo , OH , USA. Vanderbilt, Allison A. c Curriculum Evaluation and Innovation, Family Medicine, College of Medicine and Life Sciences , University of Toledo , Toledo , OH , USA.</t>
  </si>
  <si>
    <t>http://ovidsp.ovid.com/ovidweb.cgi?T=JS&amp;CSC=Y&amp;NEWS=N&amp;PAGE=fulltext&amp;D=prem&amp;AN=29708863</t>
  </si>
  <si>
    <t>https://dx.doi.org/10.1080/10872981.2018.1466574</t>
  </si>
  <si>
    <t>MEDLINE; Ovid Technologies; Addressing the growing opioid and heroin abuse epidemic: a call for medical school curricula</t>
  </si>
  <si>
    <t>Raupach,T.;Al-Harbi,G.;McNeill,A.;Bobak,A.;McEwen,A.</t>
  </si>
  <si>
    <t>Smoking cessation education and training in U.K. medical schools: a national survey</t>
  </si>
  <si>
    <t>*Counseling/ed Education];Cross-Sectional Studies/mt Methods];*Education, Medical, Undergraduate/mt Methods];Female;Humans;Male;*Schools, Medical;Smoking/ep Epidemiology];Smoking/th Therapy];*Smoking Cessation/mt Methods];United Kingdom/ep Epidemiology]</t>
  </si>
  <si>
    <t>INTRODUCTION: Smoking cessation is one of the most cost-effective of all health interventions. Physicians are in a strong position to encourage smokers to make a quit attempt and to help them achieve long-term abstinence. Formal teaching on tobacco-related disease, the evidence base of smoking cessation, and practical skills training regarding cessation advice and counseling are therefore important parts of undergraduate medical education. A survey of U.K. medical schools conducted 11 years ago revealed substantial deficits in the curricular coverage of these topics. This study aimed at establishing whether the situation has improved since then. METHODS: In 2013, all U.K. medical schools were invited to participate in an online survey of their curricular coverage of tobacco addiction and smoking cessation. RESULTS: Of the 33 medical schools, 22 (67%) schools responded. Health effects of smoking were addressed in more than 90% of curricula, and factual knowledge on nicotine addiction and withdrawal symptoms was covered in 50% of curricula. Only 1 in 3 medical schools offered practical skills training in artificial (i.e., role play) or clinical settings, and 50% of schools did not address smoking in summative assessments. CONCLUSIONS: Practical skills training regarding cessation counseling is insufficient at most U.K. medical schools and may have become worse during the last 11 years. Increased curricular coverage-including summative assessments-of these topics would ensure that future physicians are adequately equipped to encourage and support effective evidence-based quit attempts in their patients.</t>
  </si>
  <si>
    <t>J2: Nicotine Tob Res; Raupach, Tobias Al-Harbi, Ghada McNeill, Ann Bobak, Alex McEwen, Andy; ID: 231</t>
  </si>
  <si>
    <t>Raupach, Tobias. Department of Epidemiology and Public Health, Cancer Research UK Health Behaviour Research Centre, University College London, London, UK; Department of Cardiology and Pneumology, University Medical Centre Gottingen, Gottingen, Germany; raupach@med.uni-goettingen.de. Al-Harbi, Ghada. Department of Service Development and Health Promotion, Primary Health Care Corporation, Doha, Qatar; McNeill, Ann. National Addiction Centre, Institute of Psychiatry, King's College London, UK Centre for Tobacco and Alcohol Studies, London,UK; Bobak, Alex. Wandsworth Medical Centre, London, UK; McEwen, Andy. Department of Epidemiology and Public Health, Cancer Research UK Health Behaviour Research Centre, University College London, London, UK; National Centre for Smoking Cessation and Training, London, UK.</t>
  </si>
  <si>
    <t>http://ovidsp.ovid.com/ovidweb.cgi?T=JS&amp;CSC=Y&amp;NEWS=N&amp;PAGE=fulltext&amp;D=med8&amp;AN=25257981</t>
  </si>
  <si>
    <t>https://dx.doi.org/10.1093/ntr/ntu199</t>
  </si>
  <si>
    <t>MEDLINE; Ovid Technologies; Smoking cessation education and training in U.K. medical schools: a national survey</t>
  </si>
  <si>
    <t>Raupach,T.;Krampe,H.;Brown,J.</t>
  </si>
  <si>
    <t>Does research into medical education on tobacco and alcohol get the respect it deserves?</t>
  </si>
  <si>
    <t>*Alcohol Drinking/pc Prevention &amp; Control];*Biomedical Research;*Education, Medical;Global Health;Humans;*Smoking Prevention</t>
  </si>
  <si>
    <t>Implementation of effective clinical interventions as part of routine medical care to combat problem drinking and tobacco use is recognized to be low. Insufficient training is an important barrier preventing physicians from delivering interventions recommended in current guidelines. High-impact medical journals publish almost nothing on how to address this. If they start to take an interest perhaps we will see more progress and many thousands of lives saved at minimal cost.</t>
  </si>
  <si>
    <t>J2: Addiction; Raupach, Tobias Krampe, Henning Brown, Jamie; ID: 255</t>
  </si>
  <si>
    <t>Raupach, Tobias. Department of Cardiology and Pneumology, University Hospital Gottingen, Robert-Koch-Strase 40, D-37075, Gottingen, Germany; Cancer Research UK Health Behaviour Research Centre, University College London, London, UK. raupach@med.uni-goettingen.de.</t>
  </si>
  <si>
    <t>http://ovidsp.ovid.com/ovidweb.cgi?T=JS&amp;CSC=Y&amp;NEWS=N&amp;PAGE=fulltext&amp;D=med8&amp;AN=24164582</t>
  </si>
  <si>
    <t>https://dx.doi.org/10.1111/add.12357</t>
  </si>
  <si>
    <t>MEDLINE; Ovid Technologies; Does research into medical education on tobacco and alcohol get the respect it deserves?</t>
  </si>
  <si>
    <t>Rawson,R. A.;Woody,G.;Kresina,T. F.;Gust,S.</t>
  </si>
  <si>
    <t>NIHMS644385; The globalization of addiction research: capacity-building mechanisms and selected examples</t>
  </si>
  <si>
    <t>*Behavior, Addictive/th Therapy];*Biomedical Research/td Trends];Capacity Building;Clinical Trials as Topic;Cooperative Behavior;Health Services Research;Humans;*Internationality;*National Institute on Drug Abuse (U.S.)/og Organization &amp; Administration];*Substance-Related Disorders/th Therapy];United States</t>
  </si>
  <si>
    <t>Over the past decade, the amount and variety of addiction research around the world has increased substantially. Researchers in Australia, Canada, United Kingdom, United States, and western Europe have significantly contributed to knowledge about addiction and its treatment. However, the nature and context of substance use disorders and the populations using drugs are far more diverse than is reflected in studies done in Western cultures. To stimulate new research from a diverse set of cultural perspectives, the National Institute on Drug Abuse (NIDA) has promoted the development of addiction research capacity and skills around the world for over 25 years. This review will describe the programs NIDA has developed to sponsor international research and research fellows and will provide some examples of the work NIDA has supported. NIDA fellowships have allowed 496 individuals from 96 countries to be trained in addiction research. The United Arab Emirates and Saudi Arabia have recently developed funding to support addiction research to study, with advice from NIDA, the substance use disorder problems that affect their societies. Examples from Malaysia, Tanzania, Brazil, Russian Federation, Ukraine, Republic of Georgia, Iceland, China, and Vietnam are used to illustrate research being conducted with NIDA support. Health services research, collaboratively funded by the U.S. National Institutes of Health and Department of State, addresses a range of addiction service development questions in low- and middle-income countries. Findings have expanded the understanding of addiction and its treatment, and are enhancing the ability of practitioners and policy makers to address substance use disorders.</t>
  </si>
  <si>
    <t>J2: Harv Rev Psychiatry; Rawson, Richard A Woody, George Kresina, Thomas F Gust, Steven; ID: 212</t>
  </si>
  <si>
    <t>Rawson, Richard A. From Semel Institute for Neuroscience and Human Behavior and UCLA Integrated Substance Abuse Programs, David Geffen School of Medicine, University of California at Los Angeles (Dr. Rawson); Department of Psychiatry, Perelman School of Medicine, University of Pennsylvania (Dr. Woody); Division of Pharmacologic Therapies, Center for Substance Abuse Treatment, Substance Abuse and Mental Health Services Administration (Dr. Kresina); and International Program, National Institute on Drug Abuse (Dr. Gust).</t>
  </si>
  <si>
    <t>http://ovidsp.ovid.com/ovidweb.cgi?T=JS&amp;CSC=Y&amp;NEWS=N&amp;PAGE=fulltext&amp;D=med8&amp;AN=25747927</t>
  </si>
  <si>
    <t>https://dx.doi.org/10.1097/HRP.0000000000000067</t>
  </si>
  <si>
    <t>MEDLINE; Ovid Technologies; The globalization of addiction research: capacity-building mechanisms and selected examples</t>
  </si>
  <si>
    <t>Reading,A. J.;Brown,T. C.</t>
  </si>
  <si>
    <t>Interdisciplinary alcoholism education for medical and paramedical personnel</t>
  </si>
  <si>
    <t>*Alcoholism;*Allied Health Personnel/ed Education];*Education, Medical;Humans;Maryland</t>
  </si>
  <si>
    <t>J2: Md State Med J; Reading, A J Brown, T C; ID: 1608</t>
  </si>
  <si>
    <t>http://ovidsp.ovid.com/ovidweb.cgi?T=JS&amp;CSC=Y&amp;NEWS=N&amp;PAGE=fulltext&amp;D=med1&amp;AN=5545360</t>
  </si>
  <si>
    <t>MEDLINE; Ovid Technologies; Interdisciplinary alcoholism education for medical and paramedical personnel</t>
  </si>
  <si>
    <t>Redding,B. A.;Selleck,C. S.</t>
  </si>
  <si>
    <t>Perinatal Substance Abuse Education: A Review of Existing Curricula</t>
  </si>
  <si>
    <t>The magnitude of the substance abuse problem in this country requires that health care professionals be appropriately and adequately trained to recognize and care for substance abusing patients, yet didactic and clinical curricular content on the topic remains limited for most of them. Efforts have been made over the past 25 years to develop faculty who have expertise in alcohol, tobacco, and other drug abuse and who can provide leadership in curricular development. Through these efforts, pockets of faculty expertise developed in nursing, medicine, social work, and psychology programs around the country. In addition, a number of printed substance abuse curricula were developed. The purpose of this article is to address issues regarding the substance abuse information needed by health professionals and to review the available educationial curricula, especially as they relate to perinatal substance abuse. Discussion of methods to update information as substance abuse knowledge expands is also included.</t>
  </si>
  <si>
    <t>J2: Subst Abus; Redding, Barbara A. Selleck, Cynthia S.; ID: 1713</t>
  </si>
  <si>
    <t>Redding, Barbara A.. University of South Florida, College of Nursing, 12901 Bruce B. Downs Boulevard, Tampa, Florida 33612-4799.</t>
  </si>
  <si>
    <t>http://ovidsp.ovid.com/ovidweb.cgi?T=JS&amp;CSC=Y&amp;NEWS=N&amp;PAGE=fulltext&amp;D=medp&amp;AN=12511818</t>
  </si>
  <si>
    <t>MEDLINE; Ovid Technologies; Perinatal Substance Abuse Education: A Review of Existing Curricula</t>
  </si>
  <si>
    <t>Regan-Smith,M.;West,D. A.</t>
  </si>
  <si>
    <t>Teaching critical thinking in the context of substance abuse in a psychiatry clerkship.Erratum appears in Acad Med 1990 Apr;65(4):233]</t>
  </si>
  <si>
    <t>*Clinical Clerkship;*Education, Medical, Undergraduate;Humans;*Psychiatry/ed Education];*Substance-Related Disorders/di Diagnosis];Thinking</t>
  </si>
  <si>
    <t>J2: Acad Med; Regan-Smith, M G West, D A; ID: 1366</t>
  </si>
  <si>
    <t>http://ovidsp.ovid.com/ovidweb.cgi?T=JS&amp;CSC=Y&amp;NEWS=N&amp;PAGE=fulltext&amp;D=med3&amp;AN=2302305</t>
  </si>
  <si>
    <t>MEDLINE; Ovid Technologies; Teaching critical thinking in the context of substance abuse in a psychiatry clerkship.[Erratum appears in Acad Med 1990 Apr;65(4):233]</t>
  </si>
  <si>
    <t>Reid,L.</t>
  </si>
  <si>
    <t>Scientism in Medical Education and the Improvement of Medical Care: Opioids, Competencies, and Social Accountability</t>
  </si>
  <si>
    <t>Health Care Analysis</t>
  </si>
  <si>
    <t>Scientism in medical education distracts educators from focusing on the content of learning; it focuses attention instead on individual achievement and validity in its measurement. I analyze the specific form that scientism takes in medicine and in medical education. The competencies movement attempts to challenge old "scientistic" views of the role of physicians, but in the end it has invited medical educators to focus on validity in the measurement of individual performance for attitudes and skills that medicine resists conceptualizing as objective. Academic medicine should focus its efforts instead on quality and relevance of care. The social accountability movement proposes to shift the focus of academic medicine to the goal of high quality and relevant care in the context of community service and partnership with the institutions that together with medicine create and cope with health and with health deficits. I make the case for this agenda through a discussion of the linked histories of the opioid prescribing crisis and the professionalism movement.</t>
  </si>
  <si>
    <t>J2: Health Care Anal; Reid, Lynette; ID: 1628</t>
  </si>
  <si>
    <t>1573-3394</t>
  </si>
  <si>
    <t>Reid, Lynette. Department of Bioethics, Dalhousie University, PO Box 15000, Halifax, NS, B3H 4R2, Canada. Lynette.Reid@dal.ca.</t>
  </si>
  <si>
    <t>http://ovidsp.ovid.com/ovidweb.cgi?T=JS&amp;CSC=Y&amp;NEWS=N&amp;PAGE=fulltext&amp;D=prem&amp;AN=28986710</t>
  </si>
  <si>
    <t>https://dx.doi.org/10.1007/s10728-017-0351-9</t>
  </si>
  <si>
    <t>MEDLINE; Ovid Technologies; Scientism in Medical Education and the Improvement of Medical Care: Opioids, Competencies, and Social Accountability</t>
  </si>
  <si>
    <t>Reif,S.;Golin,C. E.;Smith,S. R.</t>
  </si>
  <si>
    <t>Barriers to accessing HIV/AIDS care in North Carolina: rural and urban differences</t>
  </si>
  <si>
    <t>*Acquired Immunodeficiency Syndrome/th Therapy];Adult;Attitude of Health Personnel;*Delivery of Health Care/og Organization &amp; Administration];Female;*Health Services Accessibility/st Standards];Health Services Needs and Demand;Humans;Male;North Carolina;Rural Health Services/og Organization &amp; Administration];*Rural Health Services;Surveys and Questionnaires;Urban Health Services/og Organization &amp; Administration];*Urban Health Services</t>
  </si>
  <si>
    <t>Many HIV-positive individuals face multiple barriers to care and therefore frequently experience unmet medical and support services needs. Rural areas often lack the infrastructure to support the delivery of comprehensive HIV services; however, few studies have examined service barriers faced by rural residents with HIV/AIDS, particularly in the South where two-thirds of people living with HIV/AIDS in rural areas reside. We surveyed North Carolina HIV/AIDS case managers (N = 111) employed at state-certified agencies regarding barriers to medical and support services that influence medication adherence for their rural and urban-living clients. For each of the seven barriers assessed (long travel for care, HIV-related stigma, and a lack of transportation; HIV-trained medical practitioners; housing; mental health services and substance abuse treatment), a substantial proportion of case managers (29-67%) reported it was a 'major problem'. For five of the seven barriers, rural case managers were significantly more likely to identify the barrier as a 'major problem'. Multivariate analysis revealed that rural case managers and case managers with more female clients reported a greater number of barriers. Because unmet medical and support service needs may result in poorer outcomes for HIV-positive individuals, barriers to these services must be identified and addressed, particularly in rural areas which may be highly underserved.</t>
  </si>
  <si>
    <t>J2: AIDS Care; Reif, S Golin, C E Smith, S R; ID: 854</t>
  </si>
  <si>
    <t>Reif, S. Duke University Center for Health Policy, Law and Management, Charlotte, NC 28207, USA. sreif@hpolicy.duke.edu</t>
  </si>
  <si>
    <t>http://ovidsp.ovid.com/ovidweb.cgi?T=JS&amp;CSC=Y&amp;NEWS=N&amp;PAGE=fulltext&amp;D=med5&amp;AN=16036242</t>
  </si>
  <si>
    <t>MEDLINE; Ovid Technologies; Barriers to accessing HIV/AIDS care in North Carolina: rural and urban differences</t>
  </si>
  <si>
    <t>Renner,J. A., J.</t>
  </si>
  <si>
    <t>How to train residents to identify and treat dual diagnosis patients</t>
  </si>
  <si>
    <t>Biological psychiatry</t>
  </si>
  <si>
    <t>Biol.Psychiatry</t>
  </si>
  <si>
    <t>Curriculum;Diagnosis, Dual (Psychiatry);Guidelines as Topic;Health Knowledge, Attitudes, Practice;Humans;*Internship and Residency/mt Methods];*Mental Disorders/th Therapy];*Psychiatry/ed Education];*Substance-Related Disorders/th Therapy]</t>
  </si>
  <si>
    <t>Medical training has failed to address the needs of patients with comorbid substance use and psychiatric disorders. Addiction teaching is limited and often fails to change the negative attitudes of many physicians. In many psychiatry residencies, addiction training occurs on inpatient or detoxification units and the focus is on screening, detoxification, and referral. Most residents do not gain adequate experience in the long-term management of dual-diagnosis patients. Successful clinical care is based on three critical elements (the "clinician's triad"): an adequate knowledge base, a positive attitude toward the patient and the benefits of treatment, and a sense of responsibility for the clinical problem. The Boston University Psychiatry Residency has designed an addiction training program to address these three issues. In addition to a comprehensive addiction seminar series, there are several unique features. The required clinical rotation occurs in an outpatient dual-diagnosis clinic and permits residents to follow a caseload of patients for 12 months. Extensive experience is gained in motivational interviewing, cognitive behavioral therapy, and pharmacotherapy. Self-directed learning approaches are used to maximize the educational experience on services that lack addiction faculty. Guidelines are provided for establishing a similar program and for more effective approaches to resident teaching. References: 44]</t>
  </si>
  <si>
    <t>J2: Biol Psychiatry; Renner, John A Jr; ID: 886</t>
  </si>
  <si>
    <t>Renner, John A Jr. Division of Psychiatry, Boston University School of Medicine, Boston, Massachusetts 02114, USA.</t>
  </si>
  <si>
    <t>http://ovidsp.ovid.com/ovidweb.cgi?T=JS&amp;CSC=Y&amp;NEWS=N&amp;PAGE=fulltext&amp;D=med5&amp;AN=15556127</t>
  </si>
  <si>
    <t>MEDLINE; Ovid Technologies; How to train residents to identify and treat dual diagnosis patients</t>
  </si>
  <si>
    <t>Renner,J. A., J.;Karam-Hage,M.;Levinson,M.;Craig,T.;Eld,B.</t>
  </si>
  <si>
    <t>What do psychiatric residents think of addiction psychiatry as a career?</t>
  </si>
  <si>
    <t>*Attitude of Health Personnel;*Career Choice;Data Collection;Fellowships and Scholarships;Humans;*Internship and Residency;Motivation;*Psychiatry/ed Education];*Specialization;*Substance-Related Disorders;United States</t>
  </si>
  <si>
    <t>OBJECTIVE: The authors attempt to better understand the recent decline in the number of applicants to addiction psychiatry training. METHODS: The Corresponding Committee on Training and Education in Addiction Psychiatry of APA's Council on Addiction Psychiatry sent out a 14-question anonymous e-mail survey to all postgraduate-year 2 (PGY-2) through PGY-4 APA Members-in-Training. The questions explored residents' beliefs and attitudes toward addiction psychiatry and sought their opinion on how training in addiction psychiatry can be made more attractive to them. RESULTS: Of 2,511 eligible psychiatric residents surveyed nationally, 276 (10.6%) residents responded to the survey. Residents who responded had a generally positive impression of addiction psychiatrists but expressed much less favorable attitudes toward the practice of addiction psychiatry. Respondents provided three major subsets of suggestions: employment security and compensation, optimize PGY-1-4 addiction training, and fellowship training issues. CONCLUSION: These findings may be used to improve addiction psychiatry training and recruitment.</t>
  </si>
  <si>
    <t>J2: Acad Psychiatry; Renner, John A Jr Karam-Hage, Maher Levinson, Marjorie Craig, Thomas Eld, Beatrice; ID: 634</t>
  </si>
  <si>
    <t>Renner, John A Jr. Boston University, Boston, MA, USA. John.Renner@va.gov</t>
  </si>
  <si>
    <t>http://ovidsp.ovid.com/ovidweb.cgi?T=JS&amp;CSC=Y&amp;NEWS=N&amp;PAGE=fulltext&amp;D=med6&amp;AN=19398628</t>
  </si>
  <si>
    <t>https://dx.doi.org/10.1176/appi.ap.33.2.139</t>
  </si>
  <si>
    <t>MEDLINE; Ovid Technologies; What do psychiatric residents think of addiction psychiatry as a career?</t>
  </si>
  <si>
    <t>Renner,J. A., J.;Quinones,J.;Wilson,A.</t>
  </si>
  <si>
    <t>Training psychiatrists to diagnose and treat substance abuse disorders</t>
  </si>
  <si>
    <t>Curriculum;Diagnosis, Differential;Health Knowledge, Attitudes, Practice;Humans;*Internship and Residency;Outpatients;Professional Competence;*Psychiatry/ed Education];*Substance-Related Disorders/di Diagnosis]</t>
  </si>
  <si>
    <t>Addiction training in psychiatric residency programs needs expansion. Epidemiology research has shown that patients with substance use disorders and co-occurring mental health disorders are the norm in nearly all clinical settings. Unfortunately, traditional training approaches built around brief rotations on detoxification or intensive substance abuse rehabilitation units do not adequately train psychiatrists in long-term management skills, and may reinforce misperceptions that these patients do not respond to treatment. An enhanced addiction curriculum coupled with an extended outpatient clinic rotation is an ideal model for teaching the skills needed to successfully care for these patients. Training must include an adequate knowledge base, an opportunity to cultivate positive attitudes toward these patients, and recognition that psychiatrists must take responsibility for treating the addiction problem and any co-occurring psychiatric disorders. The program developed at Boston University Medical Center successfully integrates expanded addiction psychiatry training into the general psychiatry residency.</t>
  </si>
  <si>
    <t>J2: Curr Psychiatry Rep; Renner, John A Jr Quinones, Janice Wilson, Amanda; ID: 847</t>
  </si>
  <si>
    <t>1523-3812</t>
  </si>
  <si>
    <t>Renner, John A Jr. VA Outpatient Clinic, 251 Causeway Street, Boston, MA 02114, USA. john.renner@med.va.gov</t>
  </si>
  <si>
    <t>http://ovidsp.ovid.com/ovidweb.cgi?T=JS&amp;CSC=Y&amp;NEWS=N&amp;PAGE=fulltext&amp;D=med5&amp;AN=16216153</t>
  </si>
  <si>
    <t>MEDLINE; Ovid Technologies; Training psychiatrists to diagnose and treat substance abuse disorders</t>
  </si>
  <si>
    <t>Reutfors,J.;Brandt,L.;Stephansson,O.;Kieler,H.;Andersen,M.;Boden,R.</t>
  </si>
  <si>
    <t>Antipsychotic prescription filling in patients with schizophrenia or schizoaffective disorder</t>
  </si>
  <si>
    <t>Journal of clinical psychopharmacology</t>
  </si>
  <si>
    <t>J.Clin.Psychopharmacol.</t>
  </si>
  <si>
    <t>Adult;Antipsychotic Agents/ad Administration &amp; Dosage];*Antipsychotic Agents/tu Therapeutic Use];Cohort Studies;Female;Hospitalization/sn Statistics &amp; Numerical Data];Humans;Length of Stay;Male;*Medication Adherence/sn Statistics &amp; Numerical Data];Proportional Hazards Models;*Psychotic Disorders/dt Drug Therapy];Registries;Regression Analysis;*Schizophrenia/dt Drug Therapy];Sweden;Time Factors;Young Adult;0 (Antipsychotic Agents)</t>
  </si>
  <si>
    <t>OBJECTIVE: Assessment of factors influencing antipsychotic prescription fills in the early phase of schizophrenia or schizoaffective disorder. METHODS: We used the Swedish Patient Register to identify patients younger than 45 years with a first hospitalization for schizophrenia or schizoaffective disorder between 2006 and 2007 (904 patients). Data on medication were obtained from the Prescribed Drug Register. Filling a prescription of an antipsychotic drug after discharge was used to estimate medication adherence. In Cox regression models, we studied sex, country of birth, metropolitan residence, educational level, age, duration of hospitalization, history of substance use disorder, and previous use of antipsychotic drugs as predictors for antipsychotic fills. RESULTS: Among all patients, 53.1% (95% confidence interval CI] 49.9%-56.4%) had filled an antipsychotic prescription within 1 week from discharge. After 6 months, the proportion had increased to 80.2% (95% CI, 77.4%-82.8%) with no further increase thereafter. Prescription filling of an antipsychotic drug was primarily associated with antipsychotic use before the hospitalization (hazard ratio, 1.64; 95% CI, 1.33-2.03; for patients with access to antipsychotic drugs at admission compared with no previous use) and with longer hospitalization (hazard ratio, 1.60; 95% CI, 1.27-2.02 for 15-28 days compared with shorter hospitalization). CONCLUSIONS: Among patients who filled a prescription of an antipsychotic drug after discharge, the majority did so within 1 week. Previous adherent use of antipsychotic drugs and longer hospitalization may be predictors of primary adherence to antipsychotic drug treatment in schizophrenia or schizoaffective disorder.</t>
  </si>
  <si>
    <t>J2: J Clin Psychopharmacol; Reutfors, Johan Brandt, Lena Stephansson, Olof Kieler, Helle Andersen, Morten Boden, Robert; ID: 283</t>
  </si>
  <si>
    <t>1533-712X</t>
  </si>
  <si>
    <t>Reutfors, Johan. From the *Centre for Pharmacoepidemiology, Department of Medicine Solna, Karolinska Institutet, Stockholm; and +Department of Neuroscience, Psychiatry, Uppsala University, Uppsala, Sweden.</t>
  </si>
  <si>
    <t>http://ovidsp.ovid.com/ovidweb.cgi?T=JS&amp;CSC=Y&amp;NEWS=N&amp;PAGE=fulltext&amp;D=med7&amp;AN=24126686</t>
  </si>
  <si>
    <t>https://dx.doi.org/10.1097/JCP.0b013e3182a1cd2e</t>
  </si>
  <si>
    <t>MEDLINE; Ovid Technologies; Antipsychotic prescription filling in patients with schizophrenia or schizoaffective disorder</t>
  </si>
  <si>
    <t>Reynolds,P. P.</t>
  </si>
  <si>
    <t>Title VII innovations in American medical and dental education: responding to 21st century priorities for the health of the American public</t>
  </si>
  <si>
    <t>Academic Medical Centers/ec Economics];Education, Medical, Graduate/ec Economics];Education, Medical, Undergraduate/ec Economics];Education, Medical, Undergraduate/mt Methods];Family Practice/ec Economics];*Family Practice/ed Education];Financing, Government/lj Legislation &amp; Jurisprudence];General Practice, Dental/ec Economics];*General Practice, Dental/ed Education];Humans;*Medically Underserved Area;*Patient Care Team;Patient-Centered Care;*Professional Competence;*Training Support/lj Legislation &amp; Jurisprudence];United States</t>
  </si>
  <si>
    <t>The Title VII Training in Primary Care Medicine and Dentistry grant program has been an engine for innovation by providing funds to develop and implement new curricula, new models of care delivery, and new methods of fellowship and faculty development. During period one, 1963-1975, the disciplines of family medicine and physicians assistants (PAs) first received funding to establish residency programs in family medicine and student training for PAs. Other innovations included interdisciplinary training and curricula in substance abuse and nutrition. During period two, 1976-1991, Title VII funds supported implementation of general dental residency programs. In family medicine, general internal medicine, and general pediatrics, ambulatory care training was expanded with a focus on community-oriented primary care and preventive medicine, as well as curricula in ethics, distance learning, behavioral health, and what is now called evidence-based medicine. During period two, Title VII also helped build the infrastructure of primary care through funding to recruit faculty, to expand training sites into community settings, and to incorporate topics relevant to primary care. During period three, 1992-present, innovations shifted to areas of clinical relevance or national priority, training in the care of vulnerable populations, and design of educational strategies to eliminate health disparities, often through collaborative partnerships between medicine, dentistry, and public health. This article focuses on three areas that reflect much of the current work of Title VII grantees: clinical skills and practice improvement, interdisciplinary models of training and patient care, and care of vulnerable and underserved populations.This article is part of a theme issue of Academic Medicine on the Title VII health professions training programs.</t>
  </si>
  <si>
    <t>J2: Acad Med; Reynolds, P Preston; ID: 663</t>
  </si>
  <si>
    <t>Reynolds, P Preston. Division of General Medicine, Geriatrics and Palliative Care, Department of Medicine, University of Virginia Center for Biomedical Ethics and Humanities, Charlottesville, Virginia, USA. ppr8q@virginia.edu</t>
  </si>
  <si>
    <t>http://ovidsp.ovid.com/ovidweb.cgi?T=JS&amp;CSC=Y&amp;NEWS=N&amp;PAGE=fulltext&amp;D=med6&amp;AN=18971651</t>
  </si>
  <si>
    <t>https://dx.doi.org/10.1097/ACM.0b013e3181892966</t>
  </si>
  <si>
    <t>MEDLINE; Ovid Technologies; Title VII innovations in American medical and dental education: responding to 21st century priorities for the health of the American public</t>
  </si>
  <si>
    <t>Richman,J. A.;Flaherty,J. A.</t>
  </si>
  <si>
    <t>Alcohol-related problems of future physicians prior to medical training</t>
  </si>
  <si>
    <t>Adult;*Alcohol Drinking;Cohort Studies;*Education, Medical, Graduate;Female;Humans;Life Change Events;Male;Parent-Child Relations;Personality;*Physician Impairment;Sex Factors;Social Support;Surveys and Questionnaires</t>
  </si>
  <si>
    <t>Time 1 data are presented from an ongoing longitudinal study of drinking patterns and problems of future physicians from medical school entrance through 2.5 years of training. The data in this report address the prevalence and psychosocial correlates of alcohol-related problems experienced prior to medical school training. A group of 167 students (91% of the cohort) was surveyed. Self-report questionnaires included: alcohol-related problems (the MAST), earlier parent-child relationships, personality characteristics (external locus of control, self-esteem, dependency, masculinity-femininity), life events, social supports, motivations for drinking and symptomatic distress. The male students manifested a higher mean level of alcohol problems, and the sexes differed at the trend level when the MAST was scored to distinguish "problem" from "nonproblem" drinkers (with 18.4% of the students reporting 5 or more problem points and 7.4% reporting 4 problem points). The significant correlates of alcohol problems included: perceived lack of earlier maternal affectivity (for men) and perceived lack of earlier paternal affectivity (for women), and lack of emotional support (for men). Moreover, escape motives for men were the motives most highly correlated with alcohol problems. Symptomatic distress (anxiety and hostility) was significantly correlated with alcohol-related problems in men but not women. Future reports will depict the psychosocial experiences and alcohol-related problems manifested by this cohort during medical training.</t>
  </si>
  <si>
    <t>J2: J; Richman, J A Flaherty, J A; ID: 1354</t>
  </si>
  <si>
    <t>Richman, J A. Department of Psychiatry, University of Illinois, Chicago 60612.</t>
  </si>
  <si>
    <t>http://ovidsp.ovid.com/ovidweb.cgi?T=JS&amp;CSC=Y&amp;NEWS=N&amp;PAGE=fulltext&amp;D=med3&amp;AN=2359301</t>
  </si>
  <si>
    <t>MEDLINE; Ovid Technologies; Alcohol-related problems of future physicians prior to medical training</t>
  </si>
  <si>
    <t>Richman,J. A.;Flaherty,J. A.;Pyskoty,C.</t>
  </si>
  <si>
    <t>Shifts in problem drinking during a life transition: adaptation to medical school training</t>
  </si>
  <si>
    <t>*Adaptation, Psychological;Adult;Alcohol Drinking/ep Epidemiology];*Alcohol Drinking/px Psychology];Alcoholism/ep Epidemiology];Alcoholism/px Psychology];Child of Impaired Parents/px Psychology];Cohort Studies;Cross-Sectional Studies;Female;Follow-Up Studies;Gender Identity;Humans;Incidence;*Life Change Events;Logistic Models;Male;Personality Development;Social Environment;*Students, Medical/px Psychology];United States/ep Epidemiology]</t>
  </si>
  <si>
    <t>This study addresses the course of alcohol-related problems in future physicians from the perspectives of occupational stress versus selection and life-span developmental frameworks. A cohort of medical students was surveyed at medical school entrance and during the early fall of the second training year. Self-report questionnaires assessed: alcohol-related problems (using a modified time-linked version of the MAST), pretraining psychosocial and psychopathological characteristics and experiences (symptomatic distress, motivations for drinking, personality attributes/deficits, familial history of problem drinking, family disruption and earlier parental bonding) and medical-training characteristics (perceived stressors and levels of social support). On the basis of MAST scores, respondents manifested the following drinking patterns: consistent nonproblem drinking (67.4%), problem exit or remission during medical training (19.4%), problem entrance or onset during medical training (6.3%) and problem chronicity involving problems before and during medical training (6.9%). Female students were overrepresented in the consistent nonproblem group. The major predictors of Time 2 problem onset and chronicity as opposed to problem remission involved pretraining factors: familial history of alcohol problems, Time 1 symptomatic distress and escape motives for drinking. Future reports will depict the prevalence and etiology of problem drinking manifested during the clinical portion of medical training.</t>
  </si>
  <si>
    <t>J2: J; Richman, J A Flaherty, J A Pyskoty, C; ID: 1292</t>
  </si>
  <si>
    <t>http://ovidsp.ovid.com/ovidweb.cgi?T=JS&amp;CSC=Y&amp;NEWS=N&amp;PAGE=fulltext&amp;D=med3&amp;AN=1556853</t>
  </si>
  <si>
    <t>MEDLINE; Ovid Technologies; Shifts in problem drinking during a life transition: adaptation to medical school training</t>
  </si>
  <si>
    <t>Richman,J. A.;Flaherty,J. A.;Rospenda,K. M.</t>
  </si>
  <si>
    <t>Perceived workplace harassment experiences and problem drinking among physicians: broadening the stress/alienation paradigm</t>
  </si>
  <si>
    <t>Adult;*Alcoholism/px Psychology];Cohort Studies;Female;Gender Identity;Humans;Internship and Residency;Male;*Physician Impairment/px Psychology];Risk Factors;Sexual Harassment/px Psychology];*Social Alienation;*Workload/px Psychology];*Workplace</t>
  </si>
  <si>
    <t>Sociologists who embrace the stress or alienation paradigms generally focus on explaining problem drinking in low status occupations. By contrast, this paper argues that a broadened conceptualization of stress and alienation which incorporates abusive work relationships has utility for explaining male and female drinking outcomes in both high and low status occupations. We provide empirical data on the relationship between perceived abusive experiences and drinking outcomes in a cohort of male and female physicians in their internship year of training. The data show that perceived sexual harassment, discriminatory treatment and psychological humiliation relate to various drinking outcomes in men and women, controlling for drinking prior to the internship year. While females were more likely to report experiencing abuse, these perceived experiences had deleterious effects on drinking outcomes for both genders. Personal vulnerability (narcissism) brought into the training environment somewhat influenced the later reporting of abusive experiences by males but not by females. Regression analyses showed that, for both males and females, work-place abusive experiences in interaction with personality vulnerability best explained drinking outcomes. The implications of these results for the design of future alcohol-related work-place studies are discussed.</t>
  </si>
  <si>
    <t>J2: Addiction; Richman, J A Flaherty, J A Rospenda, K M; ID: 1163</t>
  </si>
  <si>
    <t>Richman, J A. Department of Psychiatry, University of Illinois at Chicago 60612, USA.</t>
  </si>
  <si>
    <t>http://ovidsp.ovid.com/ovidweb.cgi?T=JS&amp;CSC=Y&amp;NEWS=N&amp;PAGE=fulltext&amp;D=med4&amp;AN=8867201</t>
  </si>
  <si>
    <t>MEDLINE; Ovid Technologies; Perceived workplace harassment experiences and problem drinking among physicians: broadening the stress/alienation paradigm</t>
  </si>
  <si>
    <t>Richman,J. A.;Rospenda,K. M.</t>
  </si>
  <si>
    <t>Gender roles and alcohol abuse. Costs of noncaring for future physicians</t>
  </si>
  <si>
    <t>Journal of Nervous &amp; Mental Disease</t>
  </si>
  <si>
    <t>Alcoholism/ep Epidemiology];*Alcoholism/et Etiology];Attitude of Health Personnel;Cohort Studies;Education, Medical;Female;*Gender Identity;Humans;Interpersonal Relations;Male;Models, Psychological;Narcissism;Personality Inventory;Sex Factors;Social Support;Students, Medical/px Psychology]</t>
  </si>
  <si>
    <t>Psychiatric epidemiological research has focused disproportionate attention on traditionally female disorders such as depression. This paper shifts epidemiological gears to elaborate and test an etiological model of a traditionally male disorder, that of alcohol abuse. We argue that social-relational deficits (narcissistic orientations) lead to abuse of alcohol for stress reduction purposes, given interpersonally oriented stressors and the incapacity to form social supports. The model was tested in the context of training for a traditionally male occupation encompassing both social-relational demands and limited social supports. A cohort of medical students was surveyed from medical school entrance through a portion of clinical training. Time 1 social-relational deficits were predictive of time 3 alcohol abuse, partially as a function of social support deficits and, to a lesser extent, patient care-related stressors. Moreover, there was an initial gender difference in social-relational deficits and a trend-level gender difference in alcohol abuse that disappeared when social-relational deficits were held constant. By time 3, women did not differ from men in social-relational deficits or alcohol abuse.</t>
  </si>
  <si>
    <t>J2: J Nerv Ment Dis; Richman, J A Rospenda, K M; ID: 1270</t>
  </si>
  <si>
    <t>0022-3018</t>
  </si>
  <si>
    <t>http://ovidsp.ovid.com/ovidweb.cgi?T=JS&amp;CSC=Y&amp;NEWS=N&amp;PAGE=fulltext&amp;D=med3&amp;AN=1402839</t>
  </si>
  <si>
    <t>MEDLINE; Ovid Technologies; Gender roles and alcohol abuse. Costs of noncaring for future physicians</t>
  </si>
  <si>
    <t>Richmond,R.</t>
  </si>
  <si>
    <t>The process of introducing a tobacco curriculum in medical school</t>
  </si>
  <si>
    <t>Respirology</t>
  </si>
  <si>
    <t>China;*Curriculum;*Education, Medical;Humans;Models, Educational;New South Wales;Patient Education as Topic;Smoking Cessation;*Smoking Prevention;Students, Medical/sn Statistics &amp; Numerical Data]</t>
  </si>
  <si>
    <t>Medical students have poor knowledge of cigarette-related diseases and tend to increase tobacco use as they progress through their course. The aims of this review are to describe the process of developing a tobacco curriculum, present a model of implementation, and apply the model to China. The process of developing, revising and implementing a tobacco curriculum called the Smokescreen Education Program (SEP) for medical students is described. It comprises a lecture and six-part tutorial. Dissemination of the SEP occurred through doctors who translated and introduced the tobacco curriculum into different countries and through the conduct of workshops. A six-point model of implementation was developed that included defining the extent of the tobacco problem in medical schools, developing a flexible curriculum on tobacco, developing networks in countries, working as a resource, and following up after training and evaluating success. The model is applied to China. The SEP was developed over a decade and has led to the development of a practical model of dissemination.</t>
  </si>
  <si>
    <t>J2: Respirology; Richmond, Robyn; ID: 893</t>
  </si>
  <si>
    <t>1323-7799</t>
  </si>
  <si>
    <t>Richmond, Robyn. School of Public Health and Community Medicine, University of New South Wales, Kensington, New South Wales, Australia. R.Richmond@unsw.edu.au</t>
  </si>
  <si>
    <t>http://ovidsp.ovid.com/ovidweb.cgi?T=JS&amp;CSC=Y&amp;NEWS=N&amp;PAGE=fulltext&amp;D=med5&amp;AN=15182265</t>
  </si>
  <si>
    <t>MEDLINE; Ovid Technologies; The process of introducing a tobacco curriculum in medical school</t>
  </si>
  <si>
    <t>Teaching medical students about tobacco</t>
  </si>
  <si>
    <t>Thorax</t>
  </si>
  <si>
    <t>Curriculum;*Education, Medical, Undergraduate/mt Methods];Female;Health Knowledge, Attitudes, Practice;Humans;Male;Program Development;Smoking/ae Adverse Effects];Smoking/ep Epidemiology];*Smoking;Smoking Cessation;Students, Medical/px Psychology];Students, Medical/sn Statistics &amp; Numerical Data];*Students, Medical;Teaching/mt Methods]</t>
  </si>
  <si>
    <t>J2: Thorax; Richmond, R Comment in: Thorax. 1999 Jan;54(1):2; PMID: 10343622 Comment in: Thorax. 1999 Jul;54(7):657-8; PMID: 10438309 Comment in: Thorax. 1999 Jun;54(6):564; PMID: 10866576; ID: 1078</t>
  </si>
  <si>
    <t>0040-6376</t>
  </si>
  <si>
    <t>Richmond, R. School of Community Medicine, University of New South Wales, Sydney, Australia.</t>
  </si>
  <si>
    <t>http://ovidsp.ovid.com/ovidweb.cgi?T=JS&amp;CSC=Y&amp;NEWS=N&amp;PAGE=fulltext&amp;D=med4&amp;AN=10343637</t>
  </si>
  <si>
    <t>MEDLINE; Ovid Technologies; Teaching medical students about tobacco</t>
  </si>
  <si>
    <t>Richmond,R.;Mendelsohn,C.;Kehoe,L.</t>
  </si>
  <si>
    <t>Family physicians' utilization of a brief smoking cessation program following reinforcement contact after training: a randomized trial</t>
  </si>
  <si>
    <t>Adult;Education, Medical, Continuing;Family Practice;Female;Humans;Male;Middle Aged;Outcome and Process Assessment (Health Care);Patient Education as Topic/mt Methods];Physician's Role;Physicians, Family/ed Education];*Physicians, Family;Reinforcement (Psychology);Smoking Cessation/mt Methods];*Smoking Cessation/sn Statistics &amp; Numerical Data];Surveys and Questionnaires</t>
  </si>
  <si>
    <t>BACKGROUND: Previous studies have examined methods of delivery of brief interventions and reinforcement contact and their effects on physicians' utilization of smoking cessation interventions. In this study the objectives were: (1) to determine the ongoing utilization by family physicians of a brief smoking cessation intervention 6 months after a training workshop and (2) to examine the effect of reinforcement contact on physician utilization. A supplementary aim was to assess point prevalence abstinence among patients identified as ready to quit smoking. METHODS: This was a randomized controlled trial of family physicians (98 in the Contact and 100 in the Noncontact group). Training was conducted in a 2-hr workshop. Doctors in the Contact group received three brief telephone calls at 2 weeks, 2 months, and 4 months after training. Main outcome measures were: (1) utilization, determined by responses to a mailed questionnaire about use of the program, and (2) the number of booklets distributed by full-time doctors, collected by practice secretaries or research assistant. RESULTS: At 6 months 88% of physicians (93% of the Contact group and 84% of the Noncontact group, P = 0.06) were current users of the smoking cessation intervention. Full-time physicians in the Contact group distributed significantly more booklets (40.1) over 6 months than those in the Noncontact group (32.8) (P &lt; 0.05). Twenty-one percent of patients reported not smoking at follow-up at an average of 9.9 months after intervention. CONCLUSIONS: Most doctors continued to use the program 6 months after training and reinforcement contact encouraged greater recruitment of patients.</t>
  </si>
  <si>
    <t>J2: Prev Med; Richmond, R Mendelsohn, C Kehoe, L; ID: 1117</t>
  </si>
  <si>
    <t>Richmond, R. School of Community Medicine, University of New South Wales, Sydney, Australia. R.Richmond@unsw.edu.au</t>
  </si>
  <si>
    <t>http://ovidsp.ovid.com/ovidweb.cgi?T=JS&amp;CSC=Y&amp;NEWS=N&amp;PAGE=fulltext&amp;D=med4&amp;AN=9465357</t>
  </si>
  <si>
    <t>MEDLINE; Ovid Technologies; Family physicians' utilization of a brief smoking cessation program following reinforcement contact after training: a randomized trial</t>
  </si>
  <si>
    <t>Richmond,R.;Taylor,R.</t>
  </si>
  <si>
    <t>Global dissemination of a tobacco curriculum in medical schools</t>
  </si>
  <si>
    <t>*Curriculum;*Information Dissemination;*Schools, Medical/og Organization &amp; Administration];*Smoking;Smoking Cessation;*Tobacco</t>
  </si>
  <si>
    <t>OBJECTIVE: To identify medical schools who had received, and were using, the tobacco curriculum called the Smokescreen Education Programme (SEP) and to determine the factors related to its introduction into medical schools. DESIGN: This was a worldwide survey of university-based medical schools who had previously requested copies of the SEP. A questionnaire asking about receipt and use of the SEP (Q1) was mailed to 129 medical schools (response rate 71%). Respondents to Q1 who had received the SEP and agreed to complete a further questionnaire were sent Questionnaire 2 (Q2). RESULTS: Seventy-four per cent of medical schools who had received the SEP stated that they were using it. Over three quarters of medical schools that responded to Q2 had addressed the teaching of tobacco and related diseases and were using the SEP. The majority reported that the SEP had greater benefits over current methods of teaching about tobacco. CONCLUSIONS: Progress has been made in addressing the teaching of tobacco and related diseases in a self-selected number of medical schools worldwide. The SEP is a curriculum that appears to have utility across countries and cultures, providing the flexibility to incorporate pertinent information.</t>
  </si>
  <si>
    <t>J2: Int J Tuberc Lung Dis; Richmond, R Taylor, R; ID: 800</t>
  </si>
  <si>
    <t>Richmond, R. Department of Public Health and Community Medicine, University of New South Wales, Sydney, Australia. r.richmond@unsw.edu.au</t>
  </si>
  <si>
    <t>http://ovidsp.ovid.com/ovidweb.cgi?T=JS&amp;CSC=Y&amp;NEWS=N&amp;PAGE=fulltext&amp;D=med5&amp;AN=16848336</t>
  </si>
  <si>
    <t>MEDLINE; Ovid Technologies; Global dissemination of a tobacco curriculum in medical schools</t>
  </si>
  <si>
    <t>Richmond,R.;Zwar,N.;Taylor,R.;Hunnisett,J.;Hyslop,F.</t>
  </si>
  <si>
    <t>Teaching about tobacco in medical schools: a worldwide study</t>
  </si>
  <si>
    <t>Cross-Sectional Studies;Curriculum/td Trends];*Curriculum;*Global Health;Humans;Internationality;Schools, Medical/td Trends];*Schools, Medical;Smoking Cessation/mt Methods];Students, Medical;Teaching/mt Methods];Teaching/td Trends];*Tobacco Use Disorder/ep Epidemiology];*Tobacco Use Disorder/pc Prevention &amp; Control]</t>
  </si>
  <si>
    <t>INTRODUCTION AND AIMS: As medical practitioners of the future, medical students should be taught about tobacco control strategies and smoking cessation interventions. By including education about tobacco in the medical curricula, they can be informed about the health effects of tobacco use and learn to assist smokers to quit. Our study aimed to estimate the extent of teaching about tobacco and smoking cessation techniques in medical schools worldwide and compare with results we reported 10 years ago, to determine the content of curricula and range of teaching formats and to identify barriers to teaching about tobacco in medical schools and solutions. DESIGN AND METHODS: A cross-sectional survey of all existing medical schools (n = 2090) in 171 countries was conducted. A questionnaire was designed, translated and sent to all medical schools. Main outcome measures included whether and how tobacco is taught; comparisons with the survey conducted 10 years ago; tobacco content in the curriculum; format of teaching; and barriers to teaching and solutions. RESULTS: 665 medical schools from 109 countries completed the full questionnaire, with a response rate of 31.8% from medical schools and 64% of countries and consisting of 39% of medical schools in developed and 28% in less developed countries. A further 67 medical schools responded to a single question on whether they taught about tobacco. The total response rate was 35%. Of 561 medical schools responding to questions on teaching options, 27% of medical schools taught a specific module on tobacco compared with only 11% in our survey of medical schools conducted a decade ago; 77% integrated teaching on tobacco with other topics compared with 40% 10 years ago; 31% taught about tobacco informally as the topic arose (vs. 58%) and 4% did not teach about tobacco (vs. 12%). Most common topics taught were: health effects of smoking (94%), health effects of passive smoking (84.5%), epidemiology of tobacco use (81%), nicotine dependence (78%) and taking a smoking history (75%). Most popular method of teaching was by lectures (78%), case study discussions and problem-based learning exercises (51%), class readings 46%, in the clinical setting with real patients (45%), special projects and assignments (45%) and patient-centred teaching approaches, such as role plays (31%). Significantly, more barriers to teaching were identified by less developed countries (&gt;60%) including: lack of available teaching time in the medical program, limited organisational ability to include new subjects, lack of staff resources to teach, lack of current plans to introduce a tobacco curriculum, lack of a key person to champion and organise teaching, lack of financial resources and lack of incentives or advantages to teach. A majority described solutions to these problems. A case study of education on tobacco throughout the medical curriculum is presented. DISCUSSION AND CONCLUSIONS: We found an encouraging increase in the extent of teaching on tobacco in medical schools over 10 years. We report that although progress has been made to address the teaching of tobacco in medical schools worldwide, there is a great deal more effort required so that education on tobacco is an ongoing part of medical curricula. The teaching content is generally based on evidence-based smoking cessation guidelines</t>
  </si>
  <si>
    <t>J2: Drug Alcohol Rev; Richmond, Robyn Zwar, Nicholas Taylor, Rachel Hunnisett, Joanne Hyslop, Fran; ID: 584</t>
  </si>
  <si>
    <t>Richmond, Robyn. School of Public Health and Community Medicine, University of NSW, Kensington, Australia. r.richmond@unsw.edu.au</t>
  </si>
  <si>
    <t>http://ovidsp.ovid.com/ovidweb.cgi?T=JS&amp;CSC=Y&amp;NEWS=N&amp;PAGE=fulltext&amp;D=med6&amp;AN=19737207</t>
  </si>
  <si>
    <t>https://dx.doi.org/10.1111/j.1465-3362.2009.00105.x</t>
  </si>
  <si>
    <t>MEDLINE; Ovid Technologies; Teaching about tobacco in medical schools: a worldwide study</t>
  </si>
  <si>
    <t>Richmond,R. L.;Debono,D. S.;Larcos,D.;Kehoe,L.</t>
  </si>
  <si>
    <t>Worldwide survey of education on tobacco in medical schools</t>
  </si>
  <si>
    <t>Cross-Sectional Studies;*Education, Medical;Global Health;*Health Education;Humans;Smoking Cessation;*Smoking Prevention;Surveys and Questionnaires</t>
  </si>
  <si>
    <t>OBJECTIVES: To determine the extent of teaching about tobacco, tobacco-related diseases, and smoking cessation techniques in medical schools around the world; and to ascertain the problems of getting the teaching about tobacco onto the medical curriculum. DESIGN: Cross-sectional survey. Questionnaires were sent to the 1353 medical schools in 143 countries around the world using the World Health Organization's Directory of Medical Schools. The questionnaire was translated from English into French, Russian, Mandarin, and Japanese. SUBJECTS: Deans of medical schools worldwide, or their nominees. MAIN OUTCOME MEASURES: Extent and format of teaching about tobacco in the medical curriculum, objectives and content of the courses on tobacco, and problems encountered in introducing the topic of tobacco. RESULTS: 493 medical schools responded, representing 64% of countries and 36% of schools. Only 12% of medical schools did not cover the topic of tobacco in the medical curriculum. 58% of medical schools taught about tobacco during the teaching of other subjects. 40% taught tobacco by systematically integrating teaching with other modules. 11% had a specific module on tobacco. The medical schools reported on the objectives and content of their courses on tobacco, which commonly included knowledge about tobacco-related diseases and pharmacological issues. Only a third taught about smoking cessation techniques. 22% had encountered problems in introducing the topic of tobacco, and respondents offered solutions to overcome these problems. CONCLUSIONS: Medical schools need continued encouragement to include tobacco issues in their curricula, with particular emphasis on teaching about smoking cessation techniques.</t>
  </si>
  <si>
    <t>J2: Tob Control; Richmond, R L Debono, D S Larcos, D Kehoe, L; ID: 1082</t>
  </si>
  <si>
    <t>Richmond, R L. School of Community Medicine, University of New South Wales, Kensington NSW, Australia. R.Richmond@unsw.edu.au</t>
  </si>
  <si>
    <t>http://ovidsp.ovid.com/ovidweb.cgi?T=JS&amp;CSC=Y&amp;NEWS=N&amp;PAGE=fulltext&amp;D=med4&amp;AN=9825419</t>
  </si>
  <si>
    <t>MEDLINE; Ovid Technologies; Worldwide survey of education on tobacco in medical schools</t>
  </si>
  <si>
    <t>Richmond,R. L.;K,G. N.;Kehoe,L.;Calfas,G.;Mendelsohn,C. P.;Wodak,A.</t>
  </si>
  <si>
    <t>Effect of training on general practitioners' use of a brief intervention for excessive drinkers</t>
  </si>
  <si>
    <t>Australian &amp; New Zealand Journal of Public Health</t>
  </si>
  <si>
    <t>Adolescent;Adult;Aged;*Alcoholism/th Therapy];Attitude of Health Personnel;*Education, Medical, Continuing/mt Methods];Evaluation Studies as Topic;Family Practice;Female;Health Knowledge, Attitudes, Practice;Humans;Male;Middle Aged;New South Wales;Surveys and Questionnaires</t>
  </si>
  <si>
    <t>OBJECTIVE: To determine among general practitioners (GPs) the effect of three different types of training on utilisation of a brief, controlled drinking intervention. DESIGN: A non-randomised intervention study. Setting, participants: 96 GPs (64%) within the South Eastern Sydney Division of General Practice participated; 35 chose workshop training, 39 one-to-one training and 22 received a special kit by mail. MAIN OUTCOME MEASURES: Identification by GPs of excessive drinkers by practice audits; use of the program determined by the number of patients recruited in 3 months and by GPs' use of the intervention 6 months after training. RESULTS: 41 (43%) GPs conducted practice audits, identifying 15.1% of males and 6.6% of females as excessive drinkers (regular excessive weekly consumption and/or binge). 179 patients were recruited by 36 GPs over 3 months, and 32% of these patients reported a reduction of alcohol consumption. 63% who attended workshop training, 57% who received one-to-one training, and 36% who received the kit by mail reported they were current users of the program at 6 months. Significantly fewer GPs who received the kit by mail reported ever using the program (59%) compared to the other groups (p &lt; 0.01). CONCLUSION: This naturalistic study found that workshops and one-to-one training sessions in doctors' surgeries achieved greater uptake of a brief intervention for problem drinkers than distribution of a special kit by mail.</t>
  </si>
  <si>
    <t>J2: Aust N Z J Public Health; Richmond, R L G-Novak, K Kehoe, L Calfas, G Mendelsohn, C P Wodak, A; ID: 1100</t>
  </si>
  <si>
    <t>1326-0200</t>
  </si>
  <si>
    <t>Richmond, R L. School of Community Medicine, University of New South Wales, St Vincent's Hospital, Darlinghurst.</t>
  </si>
  <si>
    <t>http://ovidsp.ovid.com/ovidweb.cgi?T=JS&amp;CSC=Y&amp;NEWS=N&amp;PAGE=fulltext&amp;D=med4&amp;AN=9744177</t>
  </si>
  <si>
    <t>MEDLINE; Ovid Technologies; Effect of training on general practitioners' use of a brief intervention for excessive drinkers</t>
  </si>
  <si>
    <t>Riggs,P.</t>
  </si>
  <si>
    <t>Non-medical use and abuse of commonly prescribed medications</t>
  </si>
  <si>
    <t>Adolescent;Adult;Aged;Aged, 80 and over;Child;*Drug Prescriptions;Drug-Related Side Effects and Adverse Reactions;*Education, Continuing;Education, Medical, Continuing;Epidemiologic Studies;Female;*Health Knowledge, Attitudes, Practice;Health Surveys;Humans;Male;Middle Aged;Patient Education as Topic;*Practice Patterns, Physicians'/sn Statistics &amp; Numerical Data];Public Health;Risk Factors;*Substance-Related Disorders/ep Epidemiology];United States/ep Epidemiology]</t>
  </si>
  <si>
    <t>BACKGROUND: The steep escalation in non-medical use and abuse of prescription medications in recent years has begun to seriously affect public health, calling for increased clinician awareness. Effective action and collaborative efforts are required to reduce prescription drug abuse while ensuring that availability of needed prescription medications for the majority of patients who use them appropriately is not inadvertently diminished. OBJECTIVE: To educate physicians, clinicians, and other healthcare providers about the scope of non-medical prescription drug abuse and effective clinical management strategies to reduce abuse and diversion of prescription medications. RESEARCH DESIGN AND METHODS: Articles were identified through PubMed and PsycINFO searches (January 2000 to November 2007). Search terms included combinations of 'prescription drug abuse', 'substance abuse', and 'non-medical use of prescription drugs'. Government agency Web sites were searched for additional references. RESULTS: Data from recent national surveys and other published reports indicate that the lifetime prevalence of non-medical prescription drug use/abuse in the United States is approximately 20% (48 million persons aged &gt; or = 12 years). Public health concern is further heightened by a significant increase in past-month use among adolescents (3.3% of 12-17 year olds) and young adults (6.4% of 18-25 year olds) and the vulnerability of a growing elderly population. CONCLUSIONS: Increased clinician awareness of the scope, demographics, and current trends in prescription medication abuse can be used to enhance screening and effective clinical management skills and strategies to reduce abuse and diversion of prescription drugs without compromising access to needed medications for the majority of patients who use them appropriately.</t>
  </si>
  <si>
    <t>J2: Curr Med Res Opin; Riggs, Paula; ID: 691</t>
  </si>
  <si>
    <t>Riggs, Paula. Department of Psychiatry, University of Colorado School of Medicine, Denver, CO 80262, USA. paula.riggs@uchsc.edu</t>
  </si>
  <si>
    <t>http://ovidsp.ovid.com/ovidweb.cgi?T=JS&amp;CSC=Y&amp;NEWS=N&amp;PAGE=fulltext&amp;D=med6&amp;AN=18267053</t>
  </si>
  <si>
    <t>https://dx.doi.org/10.1185/030079908X273435</t>
  </si>
  <si>
    <t>MEDLINE; Ovid Technologies; Non-medical use and abuse of commonly prescribed medications</t>
  </si>
  <si>
    <t>Rigotti,N. A.</t>
  </si>
  <si>
    <t>Training Future Physicians to Deliver Tobacco Cessation Treatment</t>
  </si>
  <si>
    <t>Humans;Physicians;Smoking;*Smoking Cessation;*Tobacco</t>
  </si>
  <si>
    <t>J2: J Gen Intern Med; Rigotti, Nancy A Comment on: J Gen Intern Med. 2016 Feb;31(2):172-81; PMID: 26391030; ID: 97</t>
  </si>
  <si>
    <t>Rigotti, Nancy A. Tobacco Research and Treatment Center, Division of General Internal Medicine, Department of Medicine, Massachusetts General Hospital and Harvard Medical School, Boston, MA, USA. nrigotti@partners.org.</t>
  </si>
  <si>
    <t>http://ovidsp.ovid.com/ovidweb.cgi?T=JS&amp;CSC=Y&amp;NEWS=N&amp;PAGE=fulltext&amp;D=med8&amp;AN=26747628</t>
  </si>
  <si>
    <t>https://dx.doi.org/10.1007/s11606-015-3560-7</t>
  </si>
  <si>
    <t>MEDLINE; Ovid Technologies; Training Future Physicians to Deliver Tobacco Cessation Treatment</t>
  </si>
  <si>
    <t>Rimer,B. K.;Strecher,V. J.;Keintz,M. K.;Engstrom,P. F.</t>
  </si>
  <si>
    <t>A survey of physicians' views and practices on patient education for smoking cessation</t>
  </si>
  <si>
    <t>Chewing Gum;Humans;*Patient Education as Topic/mt Methods];*Physician's Role;*Role;*Smoking Prevention;Surveys and Questionnaires;0 (Chewing Gum)</t>
  </si>
  <si>
    <t>A two-wave panel survey of physicians in southeastern Pennsylvania assessed the smoking intervention strategies physicians use with their patients, their intention to prescribe nicotine chewing gum (Nicorette), and their subsequent prescribing of Nicorette. The most frequently employed health education strategies were counseling, counseling in combination with written materials or referral, and recommendation to stop smoking, with significant differences among specialty groups. Most of the responding physicians (87%) were aware of nicotine chewing gum; of those aware, 71% reported an intention to prescribe it for their patients who smoke. Physicians' prescription patterns differed by specialty: family practitioners were most inclined to prescribe Nicorette. Forty-seven percent of physicians had no follow-up data on the patients for whom they had prescribed Nicorette. The survey data reported here demonstrate that physicians are willing to adopt a new smoking cessation practice. The challenge is to incorporate this practice into a cost-effective smoking cessation intervention which can be integrated into the routine of patient care.</t>
  </si>
  <si>
    <t>J2: Prev Med; Rimer, B K Strecher, V J Keintz, M K Engstrom, P F; ID: 1449</t>
  </si>
  <si>
    <t>http://ovidsp.ovid.com/ovidweb.cgi?T=JS&amp;CSC=Y&amp;NEWS=N&amp;PAGE=fulltext&amp;D=med2&amp;AN=3714663</t>
  </si>
  <si>
    <t>MEDLINE; Ovid Technologies; A survey of physicians' views and practices on patient education for smoking cessation</t>
  </si>
  <si>
    <t>Rios-Espinosa,E.;Martinez-Salgado,H.;Ruiz-Tapia,R.;Dominguez-Cherit,L.</t>
  </si>
  <si>
    <t>An evaluation of a symposium via satellite on alcoholism and drug dependence]</t>
  </si>
  <si>
    <t>*Alcoholism;Congresses as Topic/sn Statistics &amp; Numerical Data];*Congresses as Topic;Education, Medical, Continuing/mt Methods];Education, Medical, Continuing/sn Statistics &amp; Numerical Data];Evaluation Studies as Topic;Humans;Mexico;Satellite Communications/sn Statistics &amp; Numerical Data];*Satellite Communications;*Substance-Related Disorders;Surveys and Questionnaires</t>
  </si>
  <si>
    <t>Results of a test given to participants in a symposium on alcoholism and drug abuse are presented. The symposium was broadcast via satellite simultaneously to five cities in Mexico, and included 8 pretaped panels covering topics on alcoholism and drug abuse. The methodology used for broadcasting the symposium allowed the interactive exchange of information between expert lecturers and participants. The quantitative and qualitative evaluation used the pretest-posttest design. Most of the participants were physicians (28.9%) followed by psychologists (25.7%) and social workers (18.1%). The global cognitive change among participants was 6 per cent. Almost 77 per cent of participants had scores between 51 and 70 points (over a possible maximum score of 100) in the pre-evaluation test, and 76.4 per cent had scores between 61 and 80 points in the postevaluation test. Health professionals with 1-3 years of experience had the largest change in scores (9%), followed by those with 3 to 5 years experience (8%). Professionals with 5 to 10 years of experience had a change of 5 per cent. Physicians showed the greatest cognitive change (7%) followed by psychologists and social workers with 5 per cent change. In the qualitative evaluation, 87.6 per cent of participants thought that the educational method used was "Excellent" of "Good". With respect to the satellite transmission, 79.4 per cent of participants thought it was "Excellent" or "Good". It is concluded that this type of educational events are useful in reaching health professionals who otherwise would not have access to specialized and updated information.(ABSTRACT TRUNCATED AT 250 WORDS)</t>
  </si>
  <si>
    <t>J2: Salud Publica Mex; Spanish Rios-Espinosa, E Martinez-Salgado, H Ruiz-Tapia, R Dominguez-Cherit, L; OP: Evaluacion de un simposio via satelite sobre alcoholismo y farmacodependencia; ID: 1245</t>
  </si>
  <si>
    <t>Rios-Espinosa, E. Instituto Nacional de la Nutricion Salvador Zubiran, Mexico.</t>
  </si>
  <si>
    <t>http://ovidsp.ovid.com/ovidweb.cgi?T=JS&amp;CSC=Y&amp;NEWS=N&amp;PAGE=fulltext&amp;D=med3&amp;AN=8235897</t>
  </si>
  <si>
    <t>MEDLINE; Ovid Technologies; [An evaluation of a symposium via satellite on alcoholism and drug dependence]</t>
  </si>
  <si>
    <t>Ritson,B.</t>
  </si>
  <si>
    <t>Training in substance misuse for GPs. Services need to be adequately resourced</t>
  </si>
  <si>
    <t>*Education, Medical, Continuing;*Family Practice/ed Education];Health Care Rationing;Humans;*Substance-Related Disorders/di Diagnosis];United Kingdom</t>
  </si>
  <si>
    <t>J2: Bmj; Ritson, B Comment on: BMJ. 1996 Jan 20;312(7024):186-7; PMID: 8563569; ID: 1174</t>
  </si>
  <si>
    <t>http://ovidsp.ovid.com/ovidweb.cgi?T=JS&amp;CSC=Y&amp;NEWS=N&amp;PAGE=fulltext&amp;D=med4&amp;AN=8620163</t>
  </si>
  <si>
    <t>MEDLINE; Ovid Technologies; Training in substance misuse for GPs. Services need to be adequately resourced</t>
  </si>
  <si>
    <t>Ritson,E. B.</t>
  </si>
  <si>
    <t>Undergraduate alcohol education</t>
  </si>
  <si>
    <t>Alcoholism/co Complications];Alcoholism/pc Prevention &amp; Control];*Alcoholism;*Attitude of Health Personnel;Curriculum;*Education, Medical, Undergraduate;Humans</t>
  </si>
  <si>
    <t>J2: Alcohol Alcohol; Ritson, E B; ID: 1305</t>
  </si>
  <si>
    <t>http://ovidsp.ovid.com/ovidweb.cgi?T=JS&amp;CSC=Y&amp;NEWS=N&amp;PAGE=fulltext&amp;D=med3&amp;AN=1930359</t>
  </si>
  <si>
    <t>MEDLINE; Ovid Technologies; Undergraduate alcohol education</t>
  </si>
  <si>
    <t>Teaching medical students about alcohol</t>
  </si>
  <si>
    <t>*Alcoholism;*Attitude of Health Personnel;*Education, Medical, Undergraduate;Humans;Teaching;United Kingdom</t>
  </si>
  <si>
    <t>J2: Bmj; Ritson, E B; ID: 1349</t>
  </si>
  <si>
    <t>http://ovidsp.ovid.com/ovidweb.cgi?T=JS&amp;CSC=Y&amp;NEWS=N&amp;PAGE=fulltext&amp;D=med3&amp;AN=2390596</t>
  </si>
  <si>
    <t>MEDLINE; Ovid Technologies; Teaching medical students about alcohol</t>
  </si>
  <si>
    <t>Robb,N.</t>
  </si>
  <si>
    <t>Teaching on addiction issues lacking in medical school, specialists told</t>
  </si>
  <si>
    <t>Canada;*Education, Medical;Humans;*Substance-Related Disorders</t>
  </si>
  <si>
    <t>During the 1997 annual scientific meeting of the Canadian Society of Addiction Medicine, a medical student complained that medical schools do not provide enough education on addiction-related issues. April Boyd said most students want the information because they think they will face these issues when they enter practice.</t>
  </si>
  <si>
    <t>J2: Cmaj; Robb, N; ID: 1116</t>
  </si>
  <si>
    <t>http://ovidsp.ovid.com/ovidweb.cgi?T=JS&amp;CSC=Y&amp;NEWS=N&amp;PAGE=fulltext&amp;D=med4&amp;AN=9526484</t>
  </si>
  <si>
    <t>MEDLINE; Ovid Technologies; Teaching on addiction issues lacking in medical school, specialists told</t>
  </si>
  <si>
    <t>Roberman,D.;Ahmad,M.;Green,M. S.</t>
  </si>
  <si>
    <t>The effect of training level on opioid utilization efficiency</t>
  </si>
  <si>
    <t>*Analgesics, Opioid/tu Therapeutic Use];*Anesthesiology/ed Education];Humans;*Internship and Residency;Retrospective Studies;0 (Analgesics, Opioid)</t>
  </si>
  <si>
    <t>STUDY OBJECTIVE: This study focuses on residents' ability to predict opioid administration requirements and if improvement is made as learners progress. Residents request opioid from the pharmacy at the start of the day based on clinical assignment. Unused and wasted opioids are returned at the end of the day. The labor and cost associated with this process are not trivial nor is the risk of excess opioid access. We examined if estimation of daily opioid use by residents increased in accuracy as progression through the program occurred. MATERIALS AND METHODS: We conducted a retrospective analysis in the setting of the operating room examining pharmacy opioid usage. The measurements included the number of vials requested, the number of vials dispensed, and the number of vials returned. Information was stratified in our database by the level of training. The set inclusion criterion was any surgery performed in the operating rooms that required the use of opioids. The exclusion criteria included anesthesia that required a regional block, cardiac surgeries, emergent cases, and obstetric cases. MAIN RESULTS: A total of 104 opioid requests were made that met our criteria. Comparing CA-1 and CA-3 residents and CA-2 and CA-3 residents, a statistically significant difference exists between the number of vials requested and the number returned. Our data show a statistically significant difference in efficiency as residents progress from their CA-1 year to CA-3 year. CONCLUSION: In summary, our findings support the idea that residents are able to better predict opioid requirements for cases as they progress through training. Closely monitoring such patterns can serve a useful educational purpose and allow for identification of misuse. Improvement in cost-effective care and limiting waste while working in a complex integrated health care environment are additional benefits.</t>
  </si>
  <si>
    <t>J2: J Clin Anesth; Roberman, Dmitry Ahmad, Mian Green, Michael S S0952-8180(14)00415-2; ID: 203</t>
  </si>
  <si>
    <t>Roberman, Dmitry. Drexel University College of Medicine/Hahnemann University Hospital, Philadelphia, PA, USA 19102. Ahmad, Mian. Drexel University College of Medicine/Hahnemann University Hospital, Philadelphia, PA, USA 19102. Green, Michael S. Drexel University College of Medicine/Hahnemann University Hospital, Philadelphia, PA, USA 19102. Electronic address: Michael.Green@Drexelmed.edu.</t>
  </si>
  <si>
    <t>http://ovidsp.ovid.com/ovidweb.cgi?T=JS&amp;CSC=Y&amp;NEWS=N&amp;PAGE=fulltext&amp;D=med8&amp;AN=25657066</t>
  </si>
  <si>
    <t>https://dx.doi.org/10.1016/j.jclinane.2014.12.003</t>
  </si>
  <si>
    <t>MEDLINE; Ovid Technologies; The effect of training level on opioid utilization efficiency</t>
  </si>
  <si>
    <t>Roberts,L. W.;Warner,T. D.;Lyketsos,C.;Frank,E.;Ganzini,L.;Carter,D.</t>
  </si>
  <si>
    <t>Perceptions of academic vulnerability associated with personal illness: a study of 1,027 students at nine medical schools. Collaborative Research Group on Medical Student Health</t>
  </si>
  <si>
    <t>Adult;*Attitude of Health Personnel;Confidentiality;Cross-Sectional Studies;*Educational Status;Female;Health Surveys;Humans;Incidence;Male;Mental Disorders/ep Epidemiology];*Mental Disorders/px Psychology];*Needs Assessment/sn Statistics &amp; Numerical Data];Patient Acceptance of Health Care/px Psychology];Patient Acceptance of Health Care/sn Statistics &amp; Numerical Data];*Sick Role;*Students, Medical/px Psychology];Students, Medical/sn Statistics &amp; Numerical Data];Substance-Related Disorders/ep Epidemiology];*Substance-Related Disorders/px Psychology];United States/ep Epidemiology]</t>
  </si>
  <si>
    <t>About one quarter of the more than 69,000 medical students in this country suffer symptoms of mental illness, including 7% to 18% with substance use disorders. Subjective distress and physical health needs of medical students are also common and have been linked to training stresses. This first large-scale study of medical student health care examined students' physical and mental health concerns and their perceptions of academic vulnerability associated with personal illness. A 7-page, confidential written survey was given to 1,964 students at nine US medical schools in 1996 and 1997. A total of 1,027 students participated (52% response rate). Nearly all (90%) reported needing care for various health concerns, including 47% having at least one mental health or substance-related health issue. A majority of students expressed a preference for health care outside their training institution, largely due to confidentiality concerns, and 90% preferred health insurance allowing off-site care. Students expressed varying levels of concern about academic jeopardy in association with personal illness, with physical health problems such as arthritis causing the least concern and alcohol and drug abuse triggering the most concern. Consistent differences were detected in these views based on respondent's gender, training level, and institution. Most medical students perceive the need for personal health care. Nevertheless, fear of academic reprisal may prevent medical students from seeking necessary care for their health problems during training. This phenomenon may be linked in important but poorly recognized ways to emerging illness and to impairment among medical students and physicians. Women, minority, and clinical students appear more sensitive to the connection between health and academic vulnerability. Constructive implications for medical school curricula, policies, and health care services are discussed.</t>
  </si>
  <si>
    <t>J2: Compr Psychiatry; Roberts, L W Warner, T D Lyketsos, C Frank, E Ganzini, L Carter, D; ID: 1001</t>
  </si>
  <si>
    <t>Roberts, L W. Department of Psychiatry, University of New Mexico School of Medicine, Albuquerque 87131, USA.</t>
  </si>
  <si>
    <t>http://ovidsp.ovid.com/ovidweb.cgi?T=JS&amp;CSC=Y&amp;NEWS=N&amp;PAGE=fulltext&amp;D=med4&amp;AN=11154710</t>
  </si>
  <si>
    <t>MEDLINE; Ovid Technologies; Perceptions of academic vulnerability associated with personal illness: a study of 1,027 students at nine medical schools. Collaborative Research Group on Medical Student Health</t>
  </si>
  <si>
    <t>Robinson,A. C.;Knowlton,A. R.;Gielen,A. C.;Gallo,J. J.</t>
  </si>
  <si>
    <t>Substance use, mental illness, and familial conflict non-negotiation among HIV-positive African-Americans: latent class regression and a new syndemic framework</t>
  </si>
  <si>
    <t>Journal of Behavioral Medicine</t>
  </si>
  <si>
    <t>J.Behav.Med.</t>
  </si>
  <si>
    <t>Adult;African Americans;Comorbidity;*Family Relations/px Psychology];Female;*HIV Infections/ep Epidemiology];HIV Infections/px Psychology];Humans;Male;*Mental Disorders/ep Epidemiology];Mental Disorders/px Psychology];Middle Aged;Sex Factors;Socioeconomic Factors;*Substance-Related Disorders/ep Epidemiology];Substance-Related Disorders/px Psychology];United States</t>
  </si>
  <si>
    <t>We evaluated a synergistic epidemic (syndemic) of substance use, mental illness, and familial conflict non-negotiation among HIV-positive injection drug users (IDU). Baseline BEACON study data was utilized. Latent class analyses identified syndemic classes. These classes were regressed on sex, viral suppression, and acute care non-utilization. Females were hypothesized to have higher syndemic burden, and worse health outcomes than males. Nine percent of participants had high substance use/mental illness prevalence (Class 4); 23 % had moderate levels of all factors (Class 3); 25 % had high mental illness (Class 2); 43 % had moderate substance use/mental illness (Class 1; N = 331). Compared to Classes 1-3, Class 4 was mostly female (p &lt; .05), less likely to achieve viral suppression, and more likely to utilize acute care (p &lt; .05). Interventions should target African-American IDU females to improve their risk of negative medical outcomes. Findings support comprehensive syndemic approaches to HIV interventions, rather than singular treatment methods.</t>
  </si>
  <si>
    <t>J2: J Behav Med; Robinson, Allysha C Knowlton, Amy R Gielen, Andrea C Gallo, Joseph J; ID: 153</t>
  </si>
  <si>
    <t>1573-3521</t>
  </si>
  <si>
    <t>Robinson, Allysha C. Department of Surgery, Brigham and Women's Hospital, Harvard Schools of Medicine and Public Health, Center for Surgery and Public Health, One Brigham Circle, 1620 Tremont Street, Suite BC-4-020-U, Boston, MA, 02134, USA. arobinson21@bwh.harvard.edu. Knowlton, Amy R. Department of Health, Behavior and Society, Johns Hopkins Bloomberg School of Public Health, Baltimore, MD, USA. Gielen, Andrea C. Department of Health, Behavior and Society, Johns Hopkins Bloomberg School of Public Health, Baltimore, MD, USA. Gallo, Joseph J. Department of Mental Health, Johns Hopkins Bloomberg School of Public Health, Baltimore, MD, USA.</t>
  </si>
  <si>
    <t>http://ovidsp.ovid.com/ovidweb.cgi?T=JS&amp;CSC=Y&amp;NEWS=N&amp;PAGE=fulltext&amp;D=med8&amp;AN=26296521</t>
  </si>
  <si>
    <t>https://dx.doi.org/10.1007/s10865-015-9670-1</t>
  </si>
  <si>
    <t>MEDLINE; Ovid Technologies; Substance use, mental illness, and familial conflict non-negotiation among HIV-positive African-Americans: latent class regression and a new syndemic framework</t>
  </si>
  <si>
    <t>Roche,A.;Saunders,J. B.</t>
  </si>
  <si>
    <t>Alcohol and medical education</t>
  </si>
  <si>
    <t>*Alcoholism;*Attitude of Health Personnel;Australia;*Education, Medical, Graduate;*Education, Medical, Undergraduate;Humans</t>
  </si>
  <si>
    <t>J2: Lancet; Roche, A Saunders, J B; ID: 1425</t>
  </si>
  <si>
    <t>http://ovidsp.ovid.com/ovidweb.cgi?T=JS&amp;CSC=Y&amp;NEWS=N&amp;PAGE=fulltext&amp;D=med2&amp;AN=2889936</t>
  </si>
  <si>
    <t>MEDLINE; Ovid Technologies; Alcohol and medical education</t>
  </si>
  <si>
    <t>Roche,A. M.</t>
  </si>
  <si>
    <t>Drug and alcohol medical education: evaluation of a national programme</t>
  </si>
  <si>
    <t>*Alcoholism;Australia;Curriculum/td Trends];*Education, Medical/td Trends];Humans;*Psychotropic Drugs;Research;*Street Drugs;*Substance-Related Disorders;0 (Psychotropic Drugs);0 (Street Drugs)</t>
  </si>
  <si>
    <t>In recognition of inadequacies in drug and alcohol medical education, funds were allocated to all Australian medical schools in 1988 to appoint co-ordinators to develop and implement drug and alcohol curricula. This programme was broadly modelled on the Career Teacher Programme successfully implemented in North America in the 1970s and early 1980s. During 1989 all but one of Australia's 10 medical schools made drug and alcohol co-ordinator appointments. Appointees came from diverse backgrounds including general practice, psychiatry, internal medicine, psychology and social work. The present study is a process evaluation and forms the first examination of the programme. Overall, findings indicated the programme to have achieved a 158% increase in drug and alcohol teaching hours, a 383% increase in the number of electives and a 109% increase in student places for electives. These effects occurred even though the average duration of co-ordinators' appointments was only 15 months. Implications of these recent developments are discussed in terms of teaching strategies, clinical experience and the inclusion of key educational issues such as early intervention. Recommendations are made for a continuation of the programme and for future outcome evaluation.</t>
  </si>
  <si>
    <t>J2: Br J Addict; Roche, A M; ID: 1277</t>
  </si>
  <si>
    <t>Roche, A M. Early Intervention Unit, Royal Prince Alfred Hospital, Camperdown, Sydney, Australia.</t>
  </si>
  <si>
    <t>http://ovidsp.ovid.com/ovidweb.cgi?T=JS&amp;CSC=Y&amp;NEWS=N&amp;PAGE=fulltext&amp;D=med3&amp;AN=1643397</t>
  </si>
  <si>
    <t>MEDLINE; Ovid Technologies; Drug and alcohol medical education: evaluation of a national programme</t>
  </si>
  <si>
    <t>Drug and alcohol medical education in Australia: on the map at last</t>
  </si>
  <si>
    <t>*Alcoholism;Australia;*Education, Medical;Humans;*Substance-Related Disorders</t>
  </si>
  <si>
    <t>J2: Med J Aust; Roche, A M; ID: 1351</t>
  </si>
  <si>
    <t>http://ovidsp.ovid.com/ovidweb.cgi?T=JS&amp;CSC=Y&amp;NEWS=N&amp;PAGE=fulltext&amp;D=med3&amp;AN=2381350</t>
  </si>
  <si>
    <t>MEDLINE; Ovid Technologies; Drug and alcohol medical education in Australia: on the map at last</t>
  </si>
  <si>
    <t>Roche,A. M.;Eccleston,P.;Sanson-Fisher,R.</t>
  </si>
  <si>
    <t>Teaching smoking cessation skills to senior medical students: a block-randomized controlled trial of four different approaches</t>
  </si>
  <si>
    <t>Adult;Analysis of Variance;Australia;Clinical Competence;*Education, Medical;Female;Humans;Male;Medical History Taking;Observer Variation;Physician-Patient Relations;*Preventive Medicine/ed Education];*Smoking Cessation;*Teaching/mt Methods];Videotape Recording</t>
  </si>
  <si>
    <t>BACKGROUND: Medical practitioners have considerable untapped potential to assist patients in stopping smoking. However, marked deficits have been found in the amount and type of training medical practitioners receive in smoking cessation counseling with little attention paid to determination of effective training methods. METHOD: A randomized controlled trial was conducted to examine the relative effectiveness of four different educational programs in teaching smoking cessation skills to 5th-year medical students in an Australian medical school. The four programs comprised: (a) a traditional didactic lecture mode (control group), (b) audio feedback through the use of audiotaped role plays, (c) role plays with peer feedback, and (d) video feedback. Students' smoking cessation intervention skills were assessed prior to training and at the end of term via videotaped interviews with simulated patients. RESULTS: Senior medical students demonstrated significantly improved skills in smoking intervention when exposed to any of the educational approaches other than traditional didactic teaching. No overall differences in smoking intervention skills were found between the three experimental training methods. CONCLUSIONS: Specific training in smoking cessation techniques is necessary to increase the intervention skills of medical students. Traditional teaching methods are ineffective in developing smoking cessation intervention skills. Enhanced teaching, of an appropriate nature, at undergraduate and postgraduate levels is needed.</t>
  </si>
  <si>
    <t>J2: Prev Med; Roche, A M Eccleston, P Sanson-Fisher, R; ID: 1168</t>
  </si>
  <si>
    <t>Roche, A M. Royal Prince Alfred Hospital, Sydney, New South Wales, Australia.</t>
  </si>
  <si>
    <t>http://ovidsp.ovid.com/ovidweb.cgi?T=JS&amp;CSC=Y&amp;NEWS=N&amp;PAGE=fulltext&amp;D=med4&amp;AN=8781002</t>
  </si>
  <si>
    <t>MEDLINE; Ovid Technologies; Teaching smoking cessation skills to senior medical students: a block-randomized controlled trial of four different approaches</t>
  </si>
  <si>
    <t>Roche,A. M.;Parle,M. D.;Campbell,J.;Saunders,J. B.</t>
  </si>
  <si>
    <t>Substance abuse disorders: psychiatric trainees' knowledge, diagnostic skills and attitudes</t>
  </si>
  <si>
    <t>Australian &amp; New Zealand Journal of Psychiatry</t>
  </si>
  <si>
    <t>Adult;Alcoholism/di Diagnosis];Alcoholism/px Psychology];*Alcoholism/rh Rehabilitation];*Attitude of Health Personnel;Clinical Competence;Curriculum;Female;Humans;*Internship and Residency;Male;New South Wales;Patient Care Team;*Psychiatry/ed Education];*Psychotropic Drugs;*Street Drugs;Substance-Related Disorders/di Diagnosis];Substance-Related Disorders/px Psychology];*Substance-Related Disorders/rh Rehabilitation];0 (Psychotropic Drugs);0 (Street Drugs)</t>
  </si>
  <si>
    <t>OBJECTIVE: The drug and alcohol related knowledge and attitudes of trainee psychiatrists were examined to obtain a baseline measure of these factors in order to determine whether current training is appropriate and adequate. METHOD: A questionnaire was distributed to trainees enrolled in the training program of the Royal Australian and New Zealand College of Psychiatrists in New South Wales, Victoria, Queensland and South Australia (N = 425). Questions were asked relating to theoretical knowledge, diagnostic and problem solving skills for a number of drug groups; further questions concerned the respondents' attitudes and opinions on aspects of management. RESULTS: Sixty per cent of recipients returned the questionnaire. Theoretical and applied knowledge levels were of an adequate standard overall, but highly variable. Notable areas of weakness included knowledge of opiates, barbiturates and stimulants. Trainees' views regarding treatment options were also variable. Alcoholics Anonymous was considered the best supported form of treatment from evidence from controlled trials. Low levels of self efficacy and little support were recognised for early intervention strategies. CONCLUSIONS: While positive views were generally expressed towards involvement with patients with alcohol and drug problems, specific strategies to enhance training and performance are needed. Findings are discussed in terms of continuing education. It is recommended that if sufficient training in this area is not provided then psychiatrists will have little confidence in appropriate therapeutic approaches in treating substance misusers.</t>
  </si>
  <si>
    <t>J2: Aust N Z J Psychiatry; Roche, A M Parle, M D Campbell, J Saunders, J B; ID: 1158</t>
  </si>
  <si>
    <t>Roche, A M. Centre for Drug and Alcohol Studies, Royal Prince Alfred Hospital, Sydney, New South Wales.</t>
  </si>
  <si>
    <t>http://ovidsp.ovid.com/ovidweb.cgi?T=JS&amp;CSC=Y&amp;NEWS=N&amp;PAGE=fulltext&amp;D=med3&amp;AN=8825828</t>
  </si>
  <si>
    <t>MEDLINE; Ovid Technologies; Substance abuse disorders: psychiatric trainees' knowledge, diagnostic skills and attitudes</t>
  </si>
  <si>
    <t>Roche,A. M.;Parle,M. D.;Saunders,J. B.</t>
  </si>
  <si>
    <t>Managing alcohol and drug problems in general practice: a survey of trainees' knowledge, attitudes and educational requirements</t>
  </si>
  <si>
    <t>Adult;*Alcoholism/pc Prevention &amp; Control];Australia;*Family Practice/ed Education];Female;*Health Knowledge, Attitudes, Practice;Humans;Male;*Students, Medical/px Psychology];*Substance-Related Disorders/pc Prevention &amp; Control]</t>
  </si>
  <si>
    <t>To establish baseline data on Family Medicine Programme trainees' knowledge of and attitudes to drug and alcohol problems, we posted questionnaires to all trainees in New South Wales, Queensland, Victoria and South Australia. A total of 1647 trainees was surveyed, with a response rate of 55 per cent (n = 908). The mean age of respondents was 29 years and 54 per cent were female. The majority of respondents (58 per cent) were in their final year of training. Overall knowledge levels were reasonably good (the mean score was 76 per cent), but there were significant areas of deficit. Senior trainees generally performed better than their junior counterparts. Knowledge was best for alcohol and weakest for opiates. Attitudes towards involvement with drug and alcohol problems were very positive; however, confidence in the efficacy of various interventions was mixed.</t>
  </si>
  <si>
    <t>J2: Aust N Z J Public Health; Roche, A M Parle, M D Saunders, J B; ID: 1156</t>
  </si>
  <si>
    <t>Roche, A M. Department of Psychiatry, University of Sydney.</t>
  </si>
  <si>
    <t>http://ovidsp.ovid.com/ovidweb.cgi?T=JS&amp;CSC=Y&amp;NEWS=N&amp;PAGE=fulltext&amp;D=med4&amp;AN=8908764</t>
  </si>
  <si>
    <t>MEDLINE; Ovid Technologies; Managing alcohol and drug problems in general practice: a survey of trainees' knowledge, attitudes and educational requirements</t>
  </si>
  <si>
    <t>Roche,A. M.;Stubbs,J. M.;Sanson-Fisher,R.;Saunders,J. B.</t>
  </si>
  <si>
    <t>A controlled trial of educational strategies to teach medical students brief intervention skills for alcohol problems</t>
  </si>
  <si>
    <t>Adult;*Alcoholism/rh Rehabilitation];*Education, Medical, Graduate;Educational Measurement;Female;Humans;Interviews as Topic;Male;Middle Aged;*Psychotherapy, Brief/ed Education];Regression Analysis;Statistics, Nonparametric;*Teaching/mt Methods];Videotape Recording</t>
  </si>
  <si>
    <t>OBJECTIVES: Comparatively little is known about the most effective educational strategies to train medical students to successfully intervene in their patients' alcohol problems. The relative effectiveness of two educational programs to teach medical students brief intervention skills for managing alcohol problems was examined. METHODS: Teaching took place over 3 hr and was either the traditional didactic teaching program on the principles and practice of brief and early intervention or an interactive program involving a shortened lecture, clinical practice, and small group feedback on clinical performance. Students were assessed on a 10-min videotaped encounter with a simulated patient before and after teaching according to how they addressed alcohol-related issues and on their general interactional skills. RESULTS: Performance on alcohol-related issues and interactional skills were significantly improved after teaching, although still poor in terms of clinical performance. A between-groups comparison on pre/ postteaching difference scores indicated interactive training was no more effective than traditional didactic lectures in developing the knowledge and skills needed for a brief alcohol intervention. CONCLUSION: The need for more detailed teaching sessions on sensitive areas such as alcohol use in indicated.</t>
  </si>
  <si>
    <t>J2: Prev Med; Roche, A M Stubbs, J M Sanson-Fisher, R W Saunders, J B; ID: 1145</t>
  </si>
  <si>
    <t>Roche, A M. Department of Psychiatry, University of Syndey, New South Wales, Australia.</t>
  </si>
  <si>
    <t>http://ovidsp.ovid.com/ovidweb.cgi?T=JS&amp;CSC=Y&amp;NEWS=N&amp;PAGE=fulltext&amp;D=med4&amp;AN=9010901</t>
  </si>
  <si>
    <t>MEDLINE; Ovid Technologies; A controlled trial of educational strategies to teach medical students brief intervention skills for alcohol problems</t>
  </si>
  <si>
    <t>Rockwell,D. A.</t>
  </si>
  <si>
    <t>Mistreatment and maladaptations during medical internship</t>
  </si>
  <si>
    <t>699; author reply 700</t>
  </si>
  <si>
    <t>Humans;*Internship and Residency;*Physician Impairment;*Substance-Related Disorders</t>
  </si>
  <si>
    <t>J2: Jama; Rockwell, D A Comment on: JAMA. 1998 Apr 15;279(15):1194-9; PMID: 9555759; ID: 1104</t>
  </si>
  <si>
    <t>http://ovidsp.ovid.com/ovidweb.cgi?T=JS&amp;CSC=Y&amp;NEWS=N&amp;PAGE=fulltext&amp;D=med4&amp;AN=9728638</t>
  </si>
  <si>
    <t>MEDLINE; Ovid Technologies; Mistreatment and maladaptations during medical internship</t>
  </si>
  <si>
    <t>Roddy,E.;Rubin,P.;Britton,J.;Tobacco Advisory Group of the Royal,College of</t>
  </si>
  <si>
    <t>A study of smoking and smoking cessation on the curricula of UK medical schools</t>
  </si>
  <si>
    <t>Curriculum;*Education, Medical, Undergraduate;Humans;Schools, Medical;*Smoking/ae Adverse Effects];*Smoking Cessation;United Kingdom</t>
  </si>
  <si>
    <t>OBJECTIVES: To identify current practice in teaching on smoking and smoking cessation in UK medical schools, and establish whether newly qualified UK doctors feel prepared to deliver smoking cessation interventions. DESIGN: Search of published curricula from all UK medical schools; questionnaire surveys of all UK medical school deans and UK qualified pre-registration house officers (PRHOs). PARTICIPANTS: Deans or nominated representatives from all 24 UK medical schools with current undergraduates, and all UK qualified PRHOs. MAIN OUTCOME MEASURES: Inclusion and organisation in curriculum of 15 predefined core topics related to smoking (deans); perceived readiness to deliver smoking cessation interventions (PRHOs). RESULTS: There was no mention of smoking or smoking cessation in the published curriculum material of 10 (42%) medical schools. Deans reported compulsory teaching on a mean (SD) of 9.5 (2.8) core topics, while PRHOs recalled compulsory teaching in only 6.6 (3.2). Training in clinical aspects of smoking cessation was particularly neglected, with 60% of PRHOs reporting that they graduated unable to deliver smoking cessation interventions in accordance with national guidelines. Only 17% of PRHOs felt well prepared to deliver advice on using nicotine replacement therapy, and 5% on bupropion. CONCLUSIONS: Teaching on smoking cessation in UK medical schools is inadequate.</t>
  </si>
  <si>
    <t>J2: Tob Control; Roddy, E Rubin, P Britton, J Tobacco Advisory Group of the Royal College of Physicians; ID: 887</t>
  </si>
  <si>
    <t>Roddy, E. Division of Respiratory Medicine, School of Medical and Surgical Sciences, University of Nottingham, Nottingham, UK. elin.roddy@nottingham.ac.uk</t>
  </si>
  <si>
    <t>http://ovidsp.ovid.com/ovidweb.cgi?T=JS&amp;CSC=Y&amp;NEWS=N&amp;PAGE=fulltext&amp;D=med5&amp;AN=14985601</t>
  </si>
  <si>
    <t>MEDLINE; Ovid Technologies; A study of smoking and smoking cessation on the curricula of UK medical schools</t>
  </si>
  <si>
    <t>Roncero,C.;Rodriguez-Cintas,L.;Egido,A.;Barral,C.;Perez-Pazos,J.;Collazos,F.;Grau-Lopez,L.;Casas,M.</t>
  </si>
  <si>
    <t>The influence of medical student gender and drug use on the detection of addiction in patients</t>
  </si>
  <si>
    <t>*Alcohol Drinking/ep Epidemiology];Female;Humans;Male;Sex Factors;*Smoking/ep Epidemiology];Spain/ep Epidemiology];*Students, Medical/sn Statistics &amp; Numerical Data];*Substance Abuse Detection;*Substance-Related Disorders/ep Epidemiology]</t>
  </si>
  <si>
    <t>Little is known about medical students' interest in their training on drug addiction, their personal experience of consumption, and whether these aspects influence the detection of addiction in patients. Eighty-eight and one half percent considered that drug dependence issues are important to their professional future. The students report consuming alcohol (69%), cigarettes (19.5%), and illegal drugs (15.8%). Female students consumed fewer illegal drugs than the men (p =.022). Male students consumed more illegal drugs more frequently (p =.005), knew more consumers (p =.023), and those who drink alcohol consumed more illegal drugs than women who drink alcohol (p &lt;.005). Drug and alcohol consumption among medical students may serve to normalize consumption and thus, may prevent the detection of addicts. It is important to educate and raise awareness about drugs and alcohol use, as this may influence detection. The focus should be particularly on the male group.</t>
  </si>
  <si>
    <t>J2: J Addict Dis; Roncero, Carlos Rodriguez-Cintas, Laia Egido, Angel Barral, Carmen Perez-Pazos, Jesus Collazos, Francisco Grau-Lopez, Lara Casas, Miquel; ID: 234</t>
  </si>
  <si>
    <t>Roncero, Carlos. a Outpatient Drug Clinic (CAS) Vall Hebron, Psychiatry Services Hospital , Universitario Vall Hebron-ASPB , Barcelona , Spain.</t>
  </si>
  <si>
    <t>http://ovidsp.ovid.com/ovidweb.cgi?T=JS&amp;CSC=Y&amp;NEWS=N&amp;PAGE=fulltext&amp;D=med8&amp;AN=25299484</t>
  </si>
  <si>
    <t>https://dx.doi.org/10.1080/10550887.2014.969600</t>
  </si>
  <si>
    <t>MEDLINE; Ovid Technologies; The influence of medical student gender and drug use on the detection of addiction in patients</t>
  </si>
  <si>
    <t>Roosa,M. W.;White,R. M.;Zeiders,K. H.;Tein,J. Y.</t>
  </si>
  <si>
    <t>An Examination of the Role of Perceptions in Neighborhood Research</t>
  </si>
  <si>
    <t>Journal of community psychology</t>
  </si>
  <si>
    <t>J.Community Psychol.</t>
  </si>
  <si>
    <t>Accumulating research demonstrates that both archival indicators and residents' self-reports of neighborhood conditions are useful predictors of a variety of physical health, mental health, substance use, criminal, and educational outcomes. Although studies have shown these two types of measures are often related, no research has systematically examined their relationship. With a sample of Mexican Americans, this study examined this relationship and demographic factors that might account for variations of residents' perceptions of their neighborhoods. Results showed that country of birth, social class, family structure, and gender moderated relations between archival variables and adults' perceptions of danger. Thus using information from both archival data and self-reports should improve the ability of neighborhood researchers to understand individual differences in responses to neighborhood conditions.</t>
  </si>
  <si>
    <t>J2: J Community Psychol; Roosa, Mark W White, Rebecca M B Zeiders, Katharine H Tein, Jenn-Yun; ID: 1704</t>
  </si>
  <si>
    <t>0090-4392</t>
  </si>
  <si>
    <t>Roosa, Mark W. All authors were affiliated with Arizona State University's Prevention Research Center. Roosa, and Zeiders are in the School of Social and Family Dynamics; White is in the School of Health Management and Policy; Tein is affiliated with the Psychology Department.</t>
  </si>
  <si>
    <t>http://ovidsp.ovid.com/ovidweb.cgi?T=JS&amp;CSC=Y&amp;NEWS=N&amp;PAGE=fulltext&amp;D=medp&amp;AN=20161028</t>
  </si>
  <si>
    <t>MEDLINE; Ovid Technologies; An Examination of the Role of Perceptions in Neighborhood Research</t>
  </si>
  <si>
    <t>Rose,A. J.;Stein,M. R.;Arnsten,J. H.;Saitz,R.</t>
  </si>
  <si>
    <t>NIHMS17736; Teaching internal medicine resident physicians about Alcoholics Anonymous: a pilot study of an educational intervention</t>
  </si>
  <si>
    <t>Adult;*Alcoholics Anonymous;Curriculum;Female;Health Knowledge, Attitudes, Practice;Humans;*Inservice Training;*Internal Medicine/ed Education];*Internship and Residency;Male;New York City;Pilot Projects;Referral and Consultation</t>
  </si>
  <si>
    <t>Greater physician confidence in treating alcoholism is associated with a higher frequency of referring alcoholic patients for treatment, but many physicians have limited experience with Alcoholics Anonymous. We implemented a brief, didactic and experiential educational intervention about AA and evaluated its effect on knowledge and attitudes, using a before-after repeated measures study design. Thirty-six first-year internal medicine resident physicians received an educational intervention, which consisted of a 45-minute lecture about AA, a visit to an AA meeting, and a 30-minute debriefing session the next day. Residents' knowledge and attitudes were assessed by a brief written anonymous survey before and after the educational intervention. Residents reported increases in self-perceived knowledge about AA and had more favorable attitudes towards AA after the intervention. Our pilot study shows that a brief, didactic and experiential course can improve physician knowledge and attitudes about AA, and holds promise for improving physician interface with this commonly used intervention.</t>
  </si>
  <si>
    <t>J2: Subst Abus; Rose, Adam J Stein, Melissa R Arnsten, Julia H Saitz, Richard; ID: 748</t>
  </si>
  <si>
    <t>Rose, Adam J. Section of General Internal Medicine &amp;Boston University School of Medicine and Boston Veterans Administration Medical Center, Boston, MA 02118-2644, USA. adamrose@bu.edu</t>
  </si>
  <si>
    <t>http://ovidsp.ovid.com/ovidweb.cgi?T=JS&amp;CSC=Y&amp;NEWS=N&amp;PAGE=fulltext&amp;D=med5&amp;AN=17135175</t>
  </si>
  <si>
    <t>MEDLINE; Ovid Technologies; Teaching internal medicine resident physicians about Alcoholics Anonymous: a pilot study of an educational intervention</t>
  </si>
  <si>
    <t>Rosen,J. B.;Olson,M. H.;Kelly,M.</t>
  </si>
  <si>
    <t>Collegiate-based emergency medical service: impact on alcohol-related emergency department transports at a small liberal arts college</t>
  </si>
  <si>
    <t>Acute Disease;*Alcohol Drinking/ae Adverse Effects];*Alcoholic Intoxication/co Complications];Chi-Square Distribution;Emergency Service, Hospital/og Organization &amp; Administration];*Emergency Service, Hospital/sn Statistics &amp; Numerical Data];Emergency Service, Hospital/ut Utilization];Humans;Organizational Culture;Retrospective Studies;Students/px Psychology];*Students/sn Statistics &amp; Numerical Data];*Transportation of Patients/mt Methods];United States/ep Epidemiology];*Universities/sn Statistics &amp; Numerical Data]</t>
  </si>
  <si>
    <t>OBJECTIVE: The authors examined the impact of a collegiate-based emergency medical service (CBEMS) on the frequency of emergency department (ED) transports. PARTICIPANTS: Students transported to the ED for acute alcohol intoxication during the Fall 2008 and the Fall 2009 semesters (N = 50). METHODS: The frequency of students receiving transportation to a hospital ED and the reported blood alcohol content (BAC) levels during the initial operational semester of the CBEMS were compared to those values over the same time period the previous year. RESULTS: More than twice the number of students was transported to the ED following the introduction of CBEMS. There was no change in mean BAC levels. CONCLUSIONS: CBEMS could promote a culture conducive to increased reporting behavior, which makes the campus safer. Similar BAC levels suggest that the degree of intoxication was similar for the 2 reporting periods, but students sought emergency assistance more frequently following the inception of CBEMS.</t>
  </si>
  <si>
    <t>J2: J Am Coll Health; Rosen, Joshua B Olson, Mark H Kelly, Marianne; ID: 445</t>
  </si>
  <si>
    <t>Rosen, Joshua B. Franklin and Marshall College, Lancaster, PA, USA. jbfrosen@gmail.com</t>
  </si>
  <si>
    <t>http://ovidsp.ovid.com/ovidweb.cgi?T=JS&amp;CSC=Y&amp;NEWS=N&amp;PAGE=fulltext&amp;D=med7&amp;AN=22420705</t>
  </si>
  <si>
    <t>https://dx.doi.org/10.1080/07448481.2011.599353</t>
  </si>
  <si>
    <t>MEDLINE; Ovid Technologies; Collegiate-based emergency medical service: impact on alcohol-related emergency department transports at a small liberal arts college</t>
  </si>
  <si>
    <t>Rosenberg,H.;Orkin,F. K.;Springstead,J.</t>
  </si>
  <si>
    <t>Abuse of nitrous oxide</t>
  </si>
  <si>
    <t>Education, Dental;Education, Medical;Humans;*Nitrous Oxide;Social Environment;*Substance-Related Disorders;Surveys and Questionnaires;K50XQU1029 (Nitrous Oxide)</t>
  </si>
  <si>
    <t>The results of an anonymous questionnaire showed that up to 20% of medical and dental students have utilized nitrous oxide in a social setting to produce a "high." Nitrous oxide was obtained from a variety of sources, most often from cylinders used in the production of whipped cream. Although none of the 524 respondents described personal injury with the use of nitrous oxide, a few individuals reported cyanosis, nausea, and syncope.</t>
  </si>
  <si>
    <t>J2: Anesth Analg; Rosenberg, H Orkin, F K Springstead, J; ID: 1520</t>
  </si>
  <si>
    <t>http://ovidsp.ovid.com/ovidweb.cgi?T=JS&amp;CSC=Y&amp;NEWS=N&amp;PAGE=fulltext&amp;D=med1&amp;AN=571232</t>
  </si>
  <si>
    <t>MEDLINE; Ovid Technologies; Abuse of nitrous oxide</t>
  </si>
  <si>
    <t>Rosenberg,K. P.;Carnes,P.;O'Connor,S.</t>
  </si>
  <si>
    <t>Evaluation and treatment of sex addiction</t>
  </si>
  <si>
    <t>Journal of sex &amp; marital therapy</t>
  </si>
  <si>
    <t>J.Sex Marital Ther.</t>
  </si>
  <si>
    <t>Adult;Behavior, Addictive/di Diagnosis];Behavior, Addictive/pp Physiopathology];Behavior, Addictive/px Psychology];*Behavior, Addictive/th Therapy];Brain/pp Physiopathology];Comorbidity;Diagnosis, Differential;Disruptive, Impulse Control, and Conduct Disorders/di Diagnosis];Disruptive, Impulse Control, and Conduct Disorders/pp Physiopathology];Disruptive, Impulse Control, and Conduct Disorders/px Psychology];Disruptive, Impulse Control, and Conduct Disorders/th Therapy];Humans;Internet;Male;Motivation/ph Physiology];Nerve Net/ph Physiology];Object Attachment;Obsessive-Compulsive Disorder/di Diagnosis];Obsessive-Compulsive Disorder/pp Physiopathology];Obsessive-Compulsive Disorder/px Psychology];Obsessive-Compulsive Disorder/th Therapy];Psychometrics/sn Statistics &amp; Numerical Data];Reproducibility of Results;*Sexual Behavior/px Psychology];Surveys and Questionnaires;Treatment Outcome</t>
  </si>
  <si>
    <t>There have been several diagnostic labels for persistent, excessive sexual behaviors, often referred in the popular media as sex addiction. Two related diagnoses, Internet addictive disorder and hypersexual disorder, were considered for, but not included in the 5th edition of the Diagnostic and Statistical Manual of Mental Disorders. However, most clinicians, even those trained in sexual disorders or addiction medicine, have little to no training in treating sexual compulsivity and cybersex addiction. The authors present the historical context, proposed diagnostic criteria, evaluation protocols, comorbid disorders, speculations about the neuroscience, and treatment recommendations.</t>
  </si>
  <si>
    <t>J2: J Sex Marital Ther; Rosenberg, Kenneth Paul Carnes, Patrick O'Connor, Suzanne; ID: 278</t>
  </si>
  <si>
    <t>1521-0715</t>
  </si>
  <si>
    <t>Rosenberg, Kenneth Paul. a Department of Psychiatry , Weill Cornell Medical College , New York , New York , USA.</t>
  </si>
  <si>
    <t>http://ovidsp.ovid.com/ovidweb.cgi?T=JS&amp;CSC=Y&amp;NEWS=N&amp;PAGE=fulltext&amp;D=med8&amp;AN=23790248</t>
  </si>
  <si>
    <t>https://dx.doi.org/10.1080/0092623X.2012.701268</t>
  </si>
  <si>
    <t>MEDLINE; Ovid Technologies; Evaluation and treatment of sex addiction</t>
  </si>
  <si>
    <t>Rosenberg,M.</t>
  </si>
  <si>
    <t>Drug abuse in oral and maxillofacial training programs</t>
  </si>
  <si>
    <t>Anesthetics;Humans;Hypnotics and Sedatives;*Internship and Residency;*Occupational Diseases/et Etiology];Occupational Diseases/rh Rehabilitation];*Substance-Related Disorders/et Etiology];Substance-Related Disorders/rh Rehabilitation];Surgery, Oral/ed Education];*Surgery, Oral;Time Factors;United States;0 (Anesthetics);0 (Hypnotics and Sedatives)</t>
  </si>
  <si>
    <t>Concern about drug dependence in other medical specialties involving constant exposure to anesthetic and sedative drugs prompted a survey of oral and maxillofacial surgery programs. One hundred sixteen programs were surveyed; 78.5% responded, and 51% of the responding programs reported at least one suspected incident of drug dependence. Twenty-six confirmed cases were reported. Meperidine and fentanyl were the most frequently abused substances. Behavioral changes and information supplied by co-workers were the most frequent reasons for confrontation of residents suspected of drug abuse by superiors. Detailed follow-up information was often sketchy and unavailable. Drug abuse may be more common than usually thought in oral and maxillofacial surgery programs and on the same level as that observed in anesthesia training programs.</t>
  </si>
  <si>
    <t>J2: J Oral Maxillofac Surg; Rosenberg, M; ID: 1450</t>
  </si>
  <si>
    <t>0278-2391</t>
  </si>
  <si>
    <t>http://ovidsp.ovid.com/ovidweb.cgi?T=JS&amp;CSC=Y&amp;NEWS=N&amp;PAGE=fulltext&amp;D=med2&amp;AN=3457928</t>
  </si>
  <si>
    <t>MEDLINE; Ovid Technologies; Drug abuse in oral and maxillofacial training programs</t>
  </si>
  <si>
    <t>Rosenblatt,R. A.;Andrilla,C. H.;Catlin,M.;Larson,E. H.</t>
  </si>
  <si>
    <t>Geographic and specialty distribution of US physicians trained to treat opioid use disorder</t>
  </si>
  <si>
    <t>Adult;*Buprenorphine/tu Therapeutic Use];Buprenorphine, Naloxone Drug Combination;*Education, Medical;Family Practice/ed Education];Family Practice/ma Manpower];Female;Humans;Internal Medicine/ed Education];Internal Medicine/ma Manpower];Male;Middle Aged;*Naloxone/tu Therapeutic Use];*Narcotic Antagonists/tu Therapeutic Use];Opiate Substitution Treatment;*Opioid-Related Disorders/dt Drug Therapy];Opioid-Related Disorders/ep Epidemiology];Physical and Rehabilitation Medicine/ed Education];Physical and Rehabilitation Medicine/ma Manpower];*Physicians/sd Supply &amp; Distribution];Psychiatry/ed Education];Psychiatry/ma Manpower];Rural Population;United States/ep Epidemiology];Urban Population;0 (Buprenorphine, Naloxone Drug Combination);0 (Narcotic Antagonists);36B82AMQ7N (Naloxone);40D3SCR4GZ (Buprenorphine)</t>
  </si>
  <si>
    <t>PURPOSE: The United States is experiencing an epidemic of opioid-related deaths driven by excessive prescribing of opioids, misuse of prescription drugs, and increased use of heroin. Buprenorphine-naloxone is an effective treatment for opioid use disorder and can be provided in office-based settings, but this treatment is unavailable to many patients who could benefit. We sought to describe the geographic distribution and specialties of physicians obtaining waivers from the Drug Enforcement Administration (DEA) to prescribe buprenorphine-naloxone to treat opioid use disorder and to identify potential shortages of physicians. METHODS: We linked physicians authorized to prescribe buprenorphine on the July 2012 DEA Drug Addiction Treatment Act (DATA) Waived Physician List to the American Medical Association Physician Masterfile to determine their age, specialty, rural-urban status, and location. We then mapped the location of these physicians and determined their supply for all US counties. RESULTS: Sixteen percent of psychiatrists had received a DEA DATA waiver (41.6% of all physicians with waivers) but practiced primarily in urban areas. Only 3.0% of primary care physicians, the largest group of physicians in rural America, had received waivers. Most US counties therefore had no physicians who had obtained waivers to prescribe buprenorphine-naloxone, resulting in more than 30 million persons who were living in counties without access to buprenorphine treatment. CONCLUSIONS: In the United States opioid use and related unintentional lethal overdoses continue to rise, particularly in rural areas. Increasing access to office-based treatment of opioid use disorder--particularly in rural America--is a promising strategy to address rising rates of opioid use disorder and unintentional lethal overdoses.</t>
  </si>
  <si>
    <t>J2: Ann Fam Med; Rosenblatt, Roger A Andrilla, C Holly A Catlin, Mary Larson, Eric H; ID: 228</t>
  </si>
  <si>
    <t>Rosenblatt, Roger A. WWAMI Rural Health Research Center, Department of Family Medicine, University of Washington School of Medicine, Seattle, Washington. Andrilla, C Holly A. WWAMI Rural Health Research Center, Department of Family Medicine, University of Washington School of Medicine, Seattle, Washington hollya@uw.edu. Catlin, Mary. WWAMI Rural Health Research Center, Department of Family Medicine, University of Washington School of Medicine, Seattle, Washington Group Health Cooperative of Puget Sound, Seattle, Washington. Larson, Eric H. WWAMI Rural Health Research Center, Department of Family Medicine, University of Washington School of Medicine, Seattle, Washington.</t>
  </si>
  <si>
    <t>http://ovidsp.ovid.com/ovidweb.cgi?T=JS&amp;CSC=Y&amp;NEWS=N&amp;PAGE=fulltext&amp;D=med8&amp;AN=25583888</t>
  </si>
  <si>
    <t>https://dx.doi.org/10.1370/afm.1735</t>
  </si>
  <si>
    <t>MEDLINE; Ovid Technologies; Geographic and specialty distribution of US physicians trained to treat opioid use disorder</t>
  </si>
  <si>
    <t>Rosenstock,J.</t>
  </si>
  <si>
    <t>Comment on "A Qualitative Analysis of Medical students? Reflection on Attending an Alcoholics Anonymous Meeting: Insights for Future Addiction Curricula"</t>
  </si>
  <si>
    <t>*Alcoholics Anonymous;Alcoholism;*Behavior, Addictive;Cognitive Therapy;*Curriculum;Humans;*Students, Medical/px Psychology]</t>
  </si>
  <si>
    <t>J2: Acad Psychiatry; Rosenstock, Jason; ID: 110</t>
  </si>
  <si>
    <t>Rosenstock, Jason. University of Pittsburgh, Pittsburgh, PA, USA. rosenstockjb@upmc.edu.</t>
  </si>
  <si>
    <t>http://ovidsp.ovid.com/ovidweb.cgi?T=JS&amp;CSC=Y&amp;NEWS=N&amp;PAGE=fulltext&amp;D=med8&amp;AN=27757928</t>
  </si>
  <si>
    <t>https://dx.doi.org/10.1007/s40596-016-0597-9</t>
  </si>
  <si>
    <t>MEDLINE; Ovid Technologies; Comment on "A Qualitative Analysis of Medical students? Reflection on Attending an Alcoholics Anonymous Meeting: Insights for Future Addiction Curricula"</t>
  </si>
  <si>
    <t>Rosmann,M. R.</t>
  </si>
  <si>
    <t>Sowing the seeds of hope: providing regional behavioral health supports to the agricultural population</t>
  </si>
  <si>
    <t>Journal of Agricultural Safety &amp; Health</t>
  </si>
  <si>
    <t>*Community Mental Health Services/og Organization &amp; Administration];Community Mental Health Services/sn Statistics &amp; Numerical Data];Counseling;Humans;Insurance, Health;Mental Health;Program Evaluation;*Rural Health;*Rural Health Services/og Organization &amp; Administration];Rural Health Services/sn Statistics &amp; Numerical Data];United States</t>
  </si>
  <si>
    <t>In 1999, project leaders from seven states (i.e., Iowa, Kansas, Minnesota, Nebraska, North Dakota, South Dakota, and Wisconsin) began to share ideas and resources for providing behavioral health assistance (i.e., mental health counseling and addictions services) to stressed farmers, ranchers, farm workers, and their families. The seven states are among those most impacted by the farm crisis of the 1980s and again by low commodity prices and disasters such as droughts and floods in the 1990s. Project leaders conferred in monthly telephone conference calls and by 2001 began meeting in semi-annual face-to-face meetings to formally agree on a mission, program components, and management structure. Administrative functions were transferred from the Wisconsin Office of Rural Health and Wisconsin Primary Healthcare Association, to AgriWellness, Inc., a regional nonprofit corporation founded to provide technical assistance, grant writing, training of service providers, and other administrative supports. The Sowing the Seeds of Hope program has become a model for the provision of behavioral health supports for the agricultural population, including development of farm stress telephone hotlines, provision of confidential and affordable outpatient mental health and substance abuse counseling, training of professional providers in agricultural behavioral health, training of indigenous farm and rural residents as outreach workers who can respond to disasters of all types, and weekend educational retreats for farm residents. The program has achieved economy of scale by sharing expertise across state boundaries and the formation of a regional administrative structure. Yet, many challenges exist, the greatest of which is obtaining ongoing permanent support for the increasing numbers of uninsured and underinsured people involved in agriculture.</t>
  </si>
  <si>
    <t>J2: J Agric Saf Health; Rosmann, M R; ID: 841</t>
  </si>
  <si>
    <t>1074-7583</t>
  </si>
  <si>
    <t>Rosmann, M R. AgriWellness Inc, Harlan, Iowa 51537, USA. info@agriwellness.org</t>
  </si>
  <si>
    <t>http://ovidsp.ovid.com/ovidweb.cgi?T=JS&amp;CSC=Y&amp;NEWS=N&amp;PAGE=fulltext&amp;D=med5&amp;AN=16381164</t>
  </si>
  <si>
    <t>MEDLINE; Ovid Technologies; Sowing the seeds of hope: providing regional behavioral health supports to the agricultural population</t>
  </si>
  <si>
    <t>Rosselli,D.;Rey,O.;Calderon,C.;Rodriguez,M. N.</t>
  </si>
  <si>
    <t>Smoking in Colombian medical schools: the hidden curriculum</t>
  </si>
  <si>
    <t>Adolescent;Adult;Colombia/ep Epidemiology];Education, Medical;Female;*Health Knowledge, Attitudes, Practice;Humans;Male;Prevalence;*Smoking/ep Epidemiology];Smoking Prevention;*Students, Medical/sn Statistics &amp; Numerical Data];*Tobacco Use Disorder/ep Epidemiology];Tobacco Use Disorder/pc Prevention &amp; Control]</t>
  </si>
  <si>
    <t>BACKGROUND: Tobacco companies are focusing their interest in less developed countries. In the absence of governmental opposition, physicians are expected to lead tobacco control efforts. We studied Colombian medical students' smoking prevalence and tobacco attitudes. METHODS: First- and fifth-year students from 11 medical schools in seven Colombian cities answered anonymous, self-administered, 38-item questionnaires. Additionally, smokers answered the Fagerstrom Test for Nicotine Dependence (FTND). RESULTS: Two thousand twenty-one students (males 50.6%; age 15-44, median 19) completed the survey; average response rate was 89.9%. Globally 25.9% of students were current smokers (males 27.9%, females 24.0%). Living at higher altitude and attending private universities were associated with higher prevalence (P &lt; 0.001). Males had a higher chance of having given up smoking (P &lt; 0.05); 91.3% of current smokers would like to quit; 67.3% of all smokers and 44.8% of daily smokers scored 0 in the FTND. Prevalence was similar among first- and fifth-years, but fifth-year students were more complacent with smoking in health centers and showed a lesser desire to quit. CONCLUSIONS: Medical students' smoking prevalence is similar to that of the general population. Tobacco control strategies need to be included in the curriculum. Nicotine addiction does not seem to be the main perpetuating factor.</t>
  </si>
  <si>
    <t>J2: Prev Med; Rosselli, D Rey, O Calderon, C Rodriguez, M N; ID: 999</t>
  </si>
  <si>
    <t>Rosselli, D. Clinical Epidemiology and Biostatistics Unit, Universidad Javeriana Medical School, Carrera 7 No. 40-62, Bogota, Colombia. diego_rosselli@post.harvard.edu</t>
  </si>
  <si>
    <t>http://ovidsp.ovid.com/ovidweb.cgi?T=JS&amp;CSC=Y&amp;NEWS=N&amp;PAGE=fulltext&amp;D=med4&amp;AN=11522157</t>
  </si>
  <si>
    <t>MEDLINE; Ovid Technologies; Smoking in Colombian medical schools: the hidden curriculum</t>
  </si>
  <si>
    <t>Rossier,V.;Zimmrmann,G.;Monnat,M.</t>
  </si>
  <si>
    <t>Risk reduction among cocaine users: a motivational approach in the GP's office]</t>
  </si>
  <si>
    <t>Behavior Therapy/mt Methods];*Cocaine-Related Disorders/pc Prevention &amp; Control];Cocaine-Related Disorders/px Psychology];Communication;Education, Medical, Continuing;Family Practice/ed Education];*Family Practice;Health Education;Health Promotion;Humans;Motivation;*Physician's Role;*Risk Reduction Behavior</t>
  </si>
  <si>
    <t>Today, cocaine use is a public health issue. Cocaine is a powerfully addictive stimulant drug which use is increasing among some part of the population. After a brief description of the physical and psychological effects of cocaine use, the article presents a motivational way for general practitioners to deal with risk-reduction issues. Based on the Transtheoretical Model of human behavior change and providing clinical examples, the article focuses particularly on the two earliest stages of change: "pre-contemplation" and "contemplation". References: 15]</t>
  </si>
  <si>
    <t>J2: Rev Med Suisse; Rossier, Valerie Zimmrmann, Gregoire Monnat, Martine; OP: Reduction des risques au cabinet du generaliste chez les consommateurs de cocaine: une perspective motivationnelle; ID: 630</t>
  </si>
  <si>
    <t>Rossier, Valerie. Centre Saint-Martin, Unite de toxicodependance, Service de psychiatrie communautaire, Departement de psychiatrie, CHUV, Rue Saint-Martin 7 1003 Lausanne. valerie.rossier@chuv.ch</t>
  </si>
  <si>
    <t>http://ovidsp.ovid.com/ovidweb.cgi?T=JS&amp;CSC=Y&amp;NEWS=N&amp;PAGE=fulltext&amp;D=med6&amp;AN=19438094</t>
  </si>
  <si>
    <t>MEDLINE; Ovid Technologies; [Risk reduction among cocaine users: a motivational approach in the GP's office]</t>
  </si>
  <si>
    <t>Rossow,I.</t>
  </si>
  <si>
    <t>Intoxication and dependence--a neglected topic in the education of health professionals]</t>
  </si>
  <si>
    <t>Curriculum;*Education, Dental;*Education, Medical;Humans;Norway;*Psychology/ed Education];Substance-Related Disorders/ep Epidemiology];Substance-Related Disorders/pc Prevention &amp; Control];Substance-Related Disorders/th Therapy];*Substance-Related Disorders</t>
  </si>
  <si>
    <t>J2: Tidsskr Nor Laegeforen; Norwegian Rossow, Ingeborg; OP: Rus og avhengighet--et forsomt tema i undervisningen i helsefagene; ID: 885</t>
  </si>
  <si>
    <t>0807-7096</t>
  </si>
  <si>
    <t>Rossow, Ingeborg. Statens institutt for rusmiddelforskning, Postboks 565 Sentrum, 0105 Oslo. ir@sirus.no</t>
  </si>
  <si>
    <t>http://ovidsp.ovid.com/ovidweb.cgi?T=JS&amp;CSC=Y&amp;NEWS=N&amp;PAGE=fulltext&amp;D=med5&amp;AN=15643467</t>
  </si>
  <si>
    <t>MEDLINE; Ovid Technologies; [Intoxication and dependence--a neglected topic in the education of health professionals]</t>
  </si>
  <si>
    <t>Rostaing-Rigattieri,S.;Rousselot,H.;Krakowski,I.;Theobald,S.;Collin,E.;Vuillemin,N.;Balp,L.;Torloting,G.;Fergane,B.;Richard,B.;Duclos,R.;Eschalier,A.;Delorme,T.;Minello,C.;Toussaint,S.;Richard,A.;Magnet,M.;Chvetzoff,G.;Larue,F.;Navez,M. L.;Collard,O.;Bonnefoi,M. P.;Couturier,M.;Santolaria,N.;Wagner,J. P.;Fabre,N.</t>
  </si>
  <si>
    <t>Standards, options and recommendations for the use of medical analgesics for the treatment of pain arising from excess nociception in adults with cancer (update 2002): opioid analgesics with the exception of morphine by mouth and the rotation]</t>
  </si>
  <si>
    <t>Bulletin du cancer</t>
  </si>
  <si>
    <t>Bull.Cancer</t>
  </si>
  <si>
    <t>Aug-Sep</t>
  </si>
  <si>
    <t>Analgesics, Opioid/ad Administration &amp; Dosage];Analgesics, Opioid/ae Adverse Effects];*Analgesics, Opioid/tu Therapeutic Use];France;Humans;*Neoplasms/pp Physiopathology];*Pain/dt Drug Therapy];0 (Analgesics, Opioid)</t>
  </si>
  <si>
    <t>CONTEXT: The "Standards, Options and Recommendations" (SOR) project, started in 1993, is a collaboration between the federation of French Cancer Centers (FNCLCC), the 20 French cancer centers, and specialists from French public universities, general hospitals and private clinics. The main objective is the development of clinical practice guidelines to improve the quality of health care and the outcome of cancer patients. The methodology is based on a literature review and critical appraisal by a multidisciplinary group of experts, with feedback from specialists in cancer care delivery. OBJECTIVES: To develop clinical practice guidelines for the use of opioid analgesics with the exception of oral morphine and for opioid rotation related to the treatment of nociceptive pain in adults with cancer according to the definitions of the Standards, Options and Recommendations project. METHODS: In 1996, a working group, set up by the FNCLCC published clinical practice guidelines for pain management in adult and paediatric patients with cancer: In the light of the evolution of knowledge, and practice these guidelines need to be updated The section on "medical analgesic treatments" in the document published in 1996 was examined by the working group to identify which questions should be updated. These questions and the relevant key words were used to develop a search strategy which was used to search Medline, and for particular questions, Embase, from January 1994 to March 1999, for relevant references, published in English or French. RESULTS: For this update, only a few randomised clinical trials were identified, and their conclusions were generally weak. Thus much of the information in this document is based on the World Health Organisation (WHO) guidelines and represents the "state of the art" on this subject in France and is supported by expert agreement. Some changes to the original SOR are presented, particularly for the prescription of new opioids and opioid rotation. The full text of this SOR is available on the FNCLCC web site (http ://www.fnclcc.fr).</t>
  </si>
  <si>
    <t>J2: Bull Cancer; French Rostaing-Rigattieri, Sylvie Rousselot, Hubert Krakowski, Ivan Theobald, Serge Collin, Elisabeth Vuillemin, Nicole Balp, Laurent Torloting, Gerard Fergane, Bernard Richard, Bruno Duclos, Roseline Eschalier, Alain Delorme, Thierry Minello, Christian Toussaint, Sophie Richard, Anne Magnet, Marc Chvetzoff, Giselle Larue, Francois Navez, Marie-Louise Collard, Olivier Bonnefoi, Marie-Pierre Couturier, Monique Santolaria, Nadia Wagner, Jean-Philippe Fabre, Nicolas; OP: Standards, Options et Recommandations 2002 pour les traitements antalgiques medicamenteux des douleurs cancereuses par exces de nociception chez l'adulte, mise a jour : place des opioides forts (morphine orale exclue) et rotation des opioides; ID: 924</t>
  </si>
  <si>
    <t>Rostaing-Rigattieri, Sylvie. Hopital St Antoine, Paris, France.</t>
  </si>
  <si>
    <t>http://ovidsp.ovid.com/ovidweb.cgi?T=JS&amp;CSC=Y&amp;NEWS=N&amp;PAGE=fulltext&amp;D=med4&amp;AN=14609771</t>
  </si>
  <si>
    <t>MEDLINE; Ovid Technologies; [Standards, options and recommendations for the use of medical analgesics for the treatment of pain arising from excess nociception in adults with cancer (update 2002): opioid analgesics with the exception of morphine(TRUNCATED)</t>
  </si>
  <si>
    <t>Rowan,M. S.;Galasso,C. S.</t>
  </si>
  <si>
    <t>Identifying office resource needs of Canadian physicians to help prevent, assess and treat patients with substance use and pathological gambling disorders</t>
  </si>
  <si>
    <t>Canada;Education, Medical, Continuing;*Gambling/px Psychology];*Health Resources;Humans;*Needs Assessment;Primary Health Care;Substance-Related Disorders/di Diagnosis];Substance-Related Disorders/pc Prevention &amp; Control];*Substance-Related Disorders/rh Rehabilitation]</t>
  </si>
  <si>
    <t>A study was conducted to determine whether there is a need for office-based resources to assist physicians in the prevention, assessment and/or management of patients, self and peers with substance use (excluding alcohol and tobacco) or pathological gambling disorders. The needs assessment was undertaken in three parts. Survey information was collected from 54 respondents including Executive Directors of the Canadian Medical Association's national affiliates and provincial/territorial Divisions, Deputy Ministers of Health, Registrars of provincial/territorial licensing bodies and Deans or Associate Deans of Continuing Medical Education programs in universities. Key informant interviews were conducted with 22 "experts" in the field of substance use and/or pathological gambling disorders. Focus groups were held in Vancouver, Toronto, Ottawa, Montreal and Halifax with 34 physicians who are interested in and whose caseload included patients with substance use and/or gambling disorders. Results suggest that current resources for both substance use and pathological gambling disorders are inadequate for physicians because there are gaps in the types activities and resources available, existing resources have not been effectively diffused or disseminated to physicians and training is needed to complement these resources to encourage proper implementation.</t>
  </si>
  <si>
    <t>J2: J Addict Dis; Rowan, M S Galasso, C S; ID: 1026</t>
  </si>
  <si>
    <t>Rowan, M S. Department of Family Medicine, Dalhousie University, Halifax, Nova Scotia, Canada.</t>
  </si>
  <si>
    <t>http://ovidsp.ovid.com/ovidweb.cgi?T=JS&amp;CSC=Y&amp;NEWS=N&amp;PAGE=fulltext&amp;D=med4&amp;AN=10809519</t>
  </si>
  <si>
    <t>MEDLINE; Ovid Technologies; Identifying office resource needs of Canadian physicians to help prevent, assess and treat patients with substance use and pathological gambling disorders</t>
  </si>
  <si>
    <t>Rowland,N.;Maynard,A. K.;Kennedy,P. F.;Wintersgill,W.;Stone,W. D.</t>
  </si>
  <si>
    <t>Teaching doctors to take alcohol histories: a limited success story</t>
  </si>
  <si>
    <t>*Alcoholism/di Diagnosis];*Education, Medical, Continuing;England;Female;Humans;Male;*Medical History Taking;Medical Staff, Hospital</t>
  </si>
  <si>
    <t>Doctors often lack the knowledge and skills to identify and assess those who drink to excess and are unsure of what their preventive and educational role should be. As part of a prospective study of early identification and intervention with general hospital patients who drink to excess, we were interested to discover whether brief education about alcohol-related problems and training in the use of a quick and efficient alcohol screening questionnaire would improve doctors' alcohol history-taking and thus their identification of those at risk. The case notes of every fifth admission to orthopaedic and medical wards at the York District Hospital were studied before and after doctor education. Recorded information on both alcohol and tobacco increased over the period reviewed, reflecting perhaps doctors' growing awareness of the health-threatening aspects of these drugs. While there was no major change in doctors' alcohol history-taking, with two thirds of case notes making no mention, or only vague mention, of alcohol, there was a significant post-education increase in the number of patients for whom detailed drinking histories were recorded, but no significant changes in tobacco histories. Small but significant improvements such as these are important in view of the size of the medical problems arising from the use of alcohol.</t>
  </si>
  <si>
    <t>J2: Med Educ; Rowland, N Maynard, A K Kennedy, P F Wintersgill, W Stone, W D; ID: 1392</t>
  </si>
  <si>
    <t>Rowland, N. Centre for Health Economics, University of York, UK.</t>
  </si>
  <si>
    <t>http://ovidsp.ovid.com/ovidweb.cgi?T=JS&amp;CSC=Y&amp;NEWS=N&amp;PAGE=fulltext&amp;D=med3&amp;AN=3226349</t>
  </si>
  <si>
    <t>MEDLINE; Ovid Technologies; Teaching doctors to take alcohol histories: a limited success story</t>
  </si>
  <si>
    <t>Rowley,B. D.;Baldwin,D. C., J.</t>
  </si>
  <si>
    <t>Substance abuse policies and programs at U.S. medical schools</t>
  </si>
  <si>
    <t>*Health Policy;Humans;Puerto Rico;*Schools, Medical/og Organization &amp; Administration];Student Health Services/og Organization &amp; Administration];Substance-Related Disorders/pc Prevention &amp; Control];Substance-Related Disorders/th Therapy];*Substance-Related Disorders;United States</t>
  </si>
  <si>
    <t>J2: J Med Educ; Rowley, B D Baldwin, D C Jr; ID: 1404</t>
  </si>
  <si>
    <t>Rowley, B D. Office of Education Research, American Medical Association, Chicago, Illinois.</t>
  </si>
  <si>
    <t>http://ovidsp.ovid.com/ovidweb.cgi?T=JS&amp;CSC=Y&amp;NEWS=N&amp;PAGE=fulltext&amp;D=med3&amp;AN=3172155</t>
  </si>
  <si>
    <t>MEDLINE; Ovid Technologies; Substance abuse policies and programs at U.S. medical schools</t>
  </si>
  <si>
    <t>Roy,E.;Cote,R. J.;Hamel,D.;Dube,P. A.;Langlois,E.;Labesse,M. E.;Thibault,C.;Boulanger,A.</t>
  </si>
  <si>
    <t>Opioid Prescribing Practices and Training Needs of Quebec Family Physicians for Chronic Noncancer Pain</t>
  </si>
  <si>
    <t>Adult;Aged;*Analgesics, Opioid/tu Therapeutic Use];*Chronic Pain/dt Drug Therapy];Female;Humans;Male;Middle Aged;Opioid-Related Disorders/pc Prevention &amp; Control];Pain Management;Physicians, Family/ed Education];*Physicians, Family;*Practice Patterns, Physicians';Quebec;Surveys and Questionnaires;0 (Analgesics, Opioid)</t>
  </si>
  <si>
    <t>AIM: To examine medical practices and training needs of Quebec family physicians with respect to pain management and opioid prescription for chronic noncancer pain (CNCP). METHODOLOGY: An online survey was carried out in 2016. RESULTS: Of 636 respondents (43.0% men; 54.3% &gt;= 50 years old), 15.2% and 70.9% felt very or somewhat confident that they could properly prescribe opioids for CNCP. Concerns related to abuse (72.5% strongly/somewhat agree), dependence (73.2%), and lack of support (75.4%) were the main barriers reported. Only 19.7% always/often screened their patients for risks of abuse and dependence using a screening tool. About two-thirds of participants (65.7%) had recently (last five years) taken part in continuing education programs on opioid use for CNCP and 73.4% on CNCP management. Patient evaluation and differential diagnoses of chronic pain syndromes were rated as a top priority for further training. CONCLUSIONS: This study provides insights into Quebec family physicians' concerns, practices, and needs with respect to the management of CNCP. Physicians' difficulties around the application of strategies to mitigate the problem of opioid abuse and addiction are worrying. The need to better train physicians in the field of pain and addiction cannot be emphasized enough.</t>
  </si>
  <si>
    <t>J2: Pain Res Manag; Roy, Elise Cote, Richard J Hamel, Denis Dube, Pierre-Andre Langlois, Eric Labesse, Maud Emmanuelle Thibault, Christiane Boulanger, Aline; ID: 1</t>
  </si>
  <si>
    <t>1918-1523</t>
  </si>
  <si>
    <t>Roy, Elise. Faculte de Medecine et des Sciences de la Sante, Universite de Sherbrooke, Campus de Longueuil, 150 place Charles-Le Moyne, Room 200, Longueuil, QC, Canada J4K 0A8. Cote, Richard J. Direction des Risques Biologiques et de la Sante au Travail, Institut National de Sante Publique du Quebec, 190 Cremazie Est., Montreal, QC, Canada H2P 1E2. Hamel, Denis. Bureau d'Information et d'Etudes en Sante des Populations, Institut National de Sante Publique du Quebec, 945 avenue Wolfe, Quebec City, QC, Canada G1B5 5V3. Dube, Pierre-Andre. Direction de la Sante Environnementale et de la Toxicologie, Institut National de Sante Publique du Quebec, 945 avenue Wolfe, Quebec City, QC, Canada G1B5 5V3. Langlois, Eric. Direction de la Sante Environnementale et de la Toxicologie, Institut National de Sante Publique du Quebec, 190 Cremazie Est., Montreal, QC, Canada H2P 1E2. Labesse, Maud Emmanuelle. Direction de la Sante Environnementale et de la Toxicologie, Institut National de Sante Publique du Quebec, 190 Cremazie Est., Montreal, QC, Canada H2P 1E2. Thibault, Christiane. Direction de la Sante Environnementale et de la Toxicologie, Institut National de Sante Publique du Quebec, 190 Cremazie Est., Montreal, QC, Canada H2P 1E2. Boulanger, Aline. Clinique Antidouleur du Centre Hospitalier de l'Universite de Montreal, 1560 rue Sherbrooke Est., Montreal, QC, Canada H2L 4M1.</t>
  </si>
  <si>
    <t>http://ovidsp.ovid.com/ovidweb.cgi?T=JS&amp;CSC=Y&amp;NEWS=N&amp;PAGE=fulltext&amp;D=medl&amp;AN=28831278</t>
  </si>
  <si>
    <t>https://dx.doi.org/10.1155/2017/1365910</t>
  </si>
  <si>
    <t>MEDLINE; Ovid Technologies; Opioid Prescribing Practices and Training Needs of Quebec Family Physicians for Chronic Noncancer Pain</t>
  </si>
  <si>
    <t>Rudder,M.;Tsao,L.;Jack,H. E.</t>
  </si>
  <si>
    <t>Shared Responsibility: Massachusetts Legislators, Physicians, and An Act Relative to Substance Use Treatment, Education, and Prevention</t>
  </si>
  <si>
    <t>AMA Journal of Ethics</t>
  </si>
  <si>
    <t>*Analgesics, Opioid/tu Therapeutic Use];Delivery of Health Care/lj Legislation &amp; Jurisprudence];Education;*Government Regulation;Health Policy;Humans;Legislation as Topic;Massachusetts;*Pain/dt Drug Therapy];Pain Management;*Practice Patterns, Physicians'/lj Legislation &amp; Jurisprudence];Public Health/lj Legislation &amp; Jurisprudence];Self-Control;*Social Responsibility;*State Government;Substance-Related Disorders/dt Drug Therapy];*Substance-Related Disorders/pc Prevention &amp; Control];0 (Analgesics, Opioid)</t>
  </si>
  <si>
    <t>Recent passage of the Massachusetts law, An Act Relative to Substance Use, Treatment, Education, and Prevention, represents an admirable public health approach to substance use disorder (SUD), a stigmatized chronic disease that affects some of society's most vulnerable people. With its seven-day supply limit on first-time opioid prescriptions, this legislation takes an unusual approach to state government involvement in health care. By intervening in individual physicians' practices, state legislators have entered a space traditionally reserved for clinical teams. The seven-day supply limit and the process through which it was developed highlight competing priorities and dialogue between physicians and legislators, limits of physician self-regulation, and standards of evidence in policy making and health care. Addressing these issues requires both physicians and legislators to recognize and fulfill new responsibilities in order to better assist the populations they serve.</t>
  </si>
  <si>
    <t>J2: AMA J Ethics; Rudder, Meghan Tsao, Lulu Jack, Helen E journalofethics.2016.18.9.pfor2-1609; ID: 106</t>
  </si>
  <si>
    <t>2376-6980</t>
  </si>
  <si>
    <t>Rudder, Meghan. Resident in the internal medicine primary care program at Brigham and Women's Hospital in Boston and a graduate of Harvard Medical School. Tsao, Lulu. Internal medicine resident at the University of California, San Francisco.</t>
  </si>
  <si>
    <t>http://ovidsp.ovid.com/ovidweb.cgi?T=JS&amp;CSC=Y&amp;NEWS=N&amp;PAGE=fulltext&amp;D=med8&amp;AN=27669141</t>
  </si>
  <si>
    <t>https://dx.doi.org/10.1001/journalofethics.2016.18.9.pfor2-1609</t>
  </si>
  <si>
    <t>MEDLINE; Ovid Technologies; Shared Responsibility: Massachusetts Legislators, Physicians, and An Act Relative to Substance Use Treatment, Education, and Prevention</t>
  </si>
  <si>
    <t>Ruetsch,C.</t>
  </si>
  <si>
    <t>Practice strategies to improve compliance and patient self-management</t>
  </si>
  <si>
    <t>Journal of Managed Care Pharmacy</t>
  </si>
  <si>
    <t>S26</t>
  </si>
  <si>
    <t>*Analgesics, Opioid/ae Adverse Effects];Behavior Therapy;Chronic Disease;Combined Modality Therapy;*Health Knowledge, Attitudes, Practice;Humans;*Opioid-Related Disorders/th Therapy];*Pain/dt Drug Therapy];Patient Care Team;*Patient Compliance;*Patient Education as Topic;*Self Care;Treatment Outcome;0 (Analgesics, Opioid)</t>
  </si>
  <si>
    <t>BACKGROUND: Failure in treating opioid dependence is costly to the patient, the employer, managed care organizations, and the overall health care system. Opioid dependent patients tend to be less productive at work and in society and utilize a great many health care resources. Optimizing outcomes is essential. OBJECTIVE: To introduce the benefit of integrated strategies and patient support in the treatment of opioid dependence. SUMMARY: Health Analytics is currently studying the benefit of HereToHelp, a behavioral support program in which registered nurses or addiction treatment counselors with specialized training in addiction education provide information and encouragement to patients receiving pharmacologic treatment for opioid dependence. A total of 470 physicians in 41 states have been enlisted to participate in this patient support study. The study hypothesis is that patients who receive behavioral support and encouragement will be more compliant with their opioid replacement therapy, leading to better outcomes. Additional treatment strategies are also being developed to minimize the risk of abuse and diversion. Prodrugs and vaccines are also being investigated. CONCLUSION: A coordinated team approach is essential in treating pain patients and opioid-dependent patients. Offering behavior modification in addition to pharmacotherapy and utilizing strategies such as prescription monitoring programs, pain contracts, and screening are all vital components necessary for positive outcomes. References: 4]</t>
  </si>
  <si>
    <t>J2: J Manage Care Pharm; Ruetsch, Charles; ID: 594</t>
  </si>
  <si>
    <t>1083-4087</t>
  </si>
  <si>
    <t>Ruetsch, Charles. Health Analytics, LLC, 9250 BendixnRd. N., Ste. 240, Columbia, MD 21045, USA. Charles.Ruetsch@healthanalytic.com.</t>
  </si>
  <si>
    <t>http://ovidsp.ovid.com/ovidweb.cgi?T=JS&amp;CSC=Y&amp;NEWS=N&amp;PAGE=fulltext&amp;D=med6&amp;AN=20146552</t>
  </si>
  <si>
    <t>MEDLINE; Ovid Technologies; Practice strategies to improve compliance and patient self-management</t>
  </si>
  <si>
    <t>Ruf,D.;Berner,M.;Kriston,L.;Lohmann,M.;Mundle,G.;Lorenz,G.;Niebling,W.;Harter,M.</t>
  </si>
  <si>
    <t>Cluster-randomized controlled trial of dissemination strategies of an online quality improvement programme for alcohol-related disorders</t>
  </si>
  <si>
    <t>*Alcohol-Related Disorders/di Diagnosis];*Education, Medical, Continuing/mt Methods];Education, Nursing/mt Methods];Evidence-Based Practice/mt Methods];*Family Practice/ed Education];Family Practice/mt Methods];Female;Humans;*Information Dissemination/mt Methods];Male;Middle Aged;Nurses;*Online Systems;Program Evaluation;*Quality of Health Care</t>
  </si>
  <si>
    <t>AIMS: This project investigated different dissemination strategies of an online quality improvement programme for alcohol-related disorders into routine care in South Baden and South Wurttemberg in Germany. METHODS: In a cluster-randomized controlled trial, 112 general practices were randomized into three groups. The first group (n = 43) received access to the online system and a training programme for the general practitioners (GPs). The second group (n = 42) additionally received education for the whole practice team. The third group (n = 27) acted as control and received only access to the online system. RESULTS: Two thousand six hundred and forty-seven practitioners were asked to take part in the study, and it was possible to randomize 112 (4%) practices. There were no significant differences concerning the use of the system between the groups: 41.9% of the GPs in the first group, 42.9% in the second group and 44.4% in the control group used the system. In terms of only the system users, 55.6% of the GPs in the first group, 33.3% in the second group and 8.3% in the control group used the system six times or more (P = 0.019). Diagnostic assessments made by the GPs in the groups differed substantially: 72.2% of diagnoses in the first group were correct, while this figure lay at 69.7% in the second group and 36.4% in the control group (P = 0.034). CONCLUSIONS: No effect of the additional training on the primary outcome (acceptance) was identified, but on two of the secondary outcomes. Further cost-effectiveness studies should investigate whether the effort involved in providing training additionally to the system is justifiable. The study is registered at ClinicalTrials.gov: NCT00314067. This article conforms to the guidelines in the Consolidated Standards of Reporting Trials (CONSORT) statement (Moher et al., 2001; Campbell et al., 2004).</t>
  </si>
  <si>
    <t>J2: Alcohol Alcohol; Ruf, D Berner, M Kriston, L Lohmann, M Mundle, G Lorenz, G Niebling, W Harter, M; ID: 597</t>
  </si>
  <si>
    <t>1464-3502</t>
  </si>
  <si>
    <t>Ruf, D. Department of Psychiatry and Psychotherapy, Section of Clinical Epidemiology and Health Services Research, University Medical Centre Freiburg, D-79104 Freiburg, Germany. daniela.ruf@uniklinik-freiburg.de</t>
  </si>
  <si>
    <t>http://ovidsp.ovid.com/ovidweb.cgi?T=JS&amp;CSC=Y&amp;NEWS=N&amp;PAGE=fulltext&amp;D=med6&amp;AN=19889887</t>
  </si>
  <si>
    <t>https://dx.doi.org/10.1093/alcalc/agp079</t>
  </si>
  <si>
    <t>MEDLINE; Ovid Technologies; Cluster-randomized controlled trial of dissemination strategies of an online quality improvement programme for alcohol-related disorders</t>
  </si>
  <si>
    <t>Ruff,A. L.;Alford,D. P.;Butler,R.;Isaacson,J. H.</t>
  </si>
  <si>
    <t>Training internal medicine residents to manage chronic pain and prescription opioid misuse</t>
  </si>
  <si>
    <t>Analgesics, Opioid/tu Therapeutic Use];Chronic Pain/dt Drug Therapy];Curriculum;*Health Knowledge, Attitudes, Practice;Humans;*Internship and Residency;*Prescription Drug Misuse/pc Prevention &amp; Control];0 (Analgesics, Opioid)</t>
  </si>
  <si>
    <t>BACKGROUND: Residents feel unprepared to care for patients with chronic pain on long-term opioids who exhibit signs of prescription opioid misuse. OBJECTIVE: Describe an educational intervention for internal medicine residents to improve confidence, practices, attitudes, and self-reported knowledge of resources for chronic pain and opioid misuse. METHODS: The intervention included 2 sessions. Session 1 (3 hours): a lecture on chronic pain, prescription opioid misuse, and opioid use disorders and communication skills practice. The residents were asked to use one of these skills during the following week. Session 2 (1.5 hours): debriefing of patient encounters and overview of: prescription opioid monitoring strategies, discontinuation of prescription opioids when appropriate, and treatment for opioid use disorders. Pre- and post-assessments evaluated change in residents' safe opioid prescribing confidence, self-reported practices, attitudes, and self-reported knowledge of available patient resources. RESULTS: Ninety-one residents completed the intervention, with 44 and 43 completing the pre- and post-assessments, respectively. Utilizing a 4-point Likert scale (1 = strongly disagree, 2 = disagree, 3 = agree 4 = strongly agree), residents reported improved confidence in skills managing patients with chronic pain (3.0 vs. 2.4, P &lt; .0001), skills identifying which patients with chronic pain have developed an opioid use disorder (3.0 vs. 2.4, P &lt; .0001), and understanding how to monitor for benefit versus harm (3.0 vs. 2.5, P &lt; .0005). They also noted improved ability identifying resources for patients with chronic pain and opioid use disorders. There was a nonsignificant improvement in resident reported comfort talking to patients about the need to discontinue opioids. Residents did not report an increase in use of safe opioid prescribing monitoring strategies or feelings of support in their prescribing decisions by preceptors. CONCLUSIONS: A brief training can improve residents' self-reported knowledge and confidence in managing patients with chronic pain and safe opioid prescribing practices. How this change in confidence affects patient care requires further study.</t>
  </si>
  <si>
    <t>J2: Subst Abus; Ruff, Allison L Alford, Daniel P Butler, Robert Isaacson, J Henry; ID: 15</t>
  </si>
  <si>
    <t>Ruff, Allison L. a University of Michigan Medical School , Ann Arbor , Michigan , USA. Alford, Daniel P. b Boston University School of Medicine, Boston Medical Center , Boston , Massachusetts , USA. Butler, Robert. c Cleveland Clinic Foundation , Cleveland , Ohio , USA. Isaacson, J Henry. c Cleveland Clinic Foundation , Cleveland , Ohio , USA.</t>
  </si>
  <si>
    <t>http://ovidsp.ovid.com/ovidweb.cgi?T=JS&amp;CSC=Y&amp;NEWS=N&amp;PAGE=fulltext&amp;D=medl&amp;AN=28394733</t>
  </si>
  <si>
    <t>https://dx.doi.org/10.1080/08897077.2017.1296526</t>
  </si>
  <si>
    <t>MEDLINE; Ovid Technologies; Training internal medicine residents to manage chronic pain and prescription opioid misuse</t>
  </si>
  <si>
    <t>Rule,J. C.;Samuel,P.</t>
  </si>
  <si>
    <t>Teaching family medicine residents brief interventions for alcohol misuse</t>
  </si>
  <si>
    <t>Alcohol-Related Disorders/di Diagnosis];Alcohol-Related Disorders/th Therapy];Alcoholism/di Diagnosis];*Alcoholism/th Therapy];Curriculum;*Family Practice/ed Education];Humans;Mass Screening;*Motivational Interviewing/mt Methods];*Primary Health Care</t>
  </si>
  <si>
    <t>Across the lifespan, alcohol misuse affects a large percentage of patients seen in primary care clinics. It can lead to alcohol use disorders, ranging from risky use to alcohol dependence. Alcohol use disorders frequently complicate acute and chronic illnesses of patients seen in FM clinics. Screening patients for alcohol and substance use has become a standard of practice in most primary care settings. This report describes how a family medicine residency program solidified a residency curriculum in substance abuse screening, assessment, and brief intervention by merging three presentation-style didactics into a blended approach. The curriculum combines didactic teaching, motivational interviewing, and behavioral rehearsal of clinical practice skills. Qualitative feedback suggests that the curriculum has been successful in exposing residents to a variety of practical assessment methods and, through rehearsal, has improved resident confidence in addressing alcohol use and misuse in a primary care population.</t>
  </si>
  <si>
    <t>J2: Int J Psychiatry Med; Rule, J Chris Samuel, Pearl; ID: 220</t>
  </si>
  <si>
    <t>Rule, J Chris. Department of Psychiatry, University of Arkansas for Medical Sciences, Little Rock, AR, USA Department of Family and Preventive Medicine, University of Arkansas for Medical Sciences, Little Rock, AR, USA JCRule@uams.edu. Samuel, Pearl. Department of Family and Preventive Medicine, University of Arkansas for Medical Sciences, Little Rock, AR, USA.</t>
  </si>
  <si>
    <t>http://ovidsp.ovid.com/ovidweb.cgi?T=JS&amp;CSC=Y&amp;NEWS=N&amp;PAGE=fulltext&amp;D=med8&amp;AN=26130770</t>
  </si>
  <si>
    <t>https://dx.doi.org/10.1177/0091217415592363</t>
  </si>
  <si>
    <t>MEDLINE; Ovid Technologies; Teaching family medicine residents brief interventions for alcohol misuse</t>
  </si>
  <si>
    <t>Runge,J. W.</t>
  </si>
  <si>
    <t>Training physicians about impaired drivers</t>
  </si>
  <si>
    <t>*Accident Prevention;*Accidents, Traffic/pc Prevention &amp; Control];*Alcoholism/di Diagnosis];*Education, Medical/og Organization &amp; Administration];Female;Humans;Male;Mass Screening/mt Methods];*Physician's Role;Program Development;Program Evaluation;Risk Factors;United States</t>
  </si>
  <si>
    <t>J2: Ann Emerg Med; Runge, J W; ID: 1018</t>
  </si>
  <si>
    <t>Runge, J W. Department of Emergency Medicine, George Washington University, Washington, DC, USA.</t>
  </si>
  <si>
    <t>http://ovidsp.ovid.com/ovidweb.cgi?T=JS&amp;CSC=Y&amp;NEWS=N&amp;PAGE=fulltext&amp;D=med4&amp;AN=11097707</t>
  </si>
  <si>
    <t>MEDLINE; Ovid Technologies; Training physicians about impaired drivers</t>
  </si>
  <si>
    <t>Rush,B.;Bass,M.;Stewart,M.;McCracken,E.;Labreque,M.;Bondy,S.</t>
  </si>
  <si>
    <t>Detecting, preventing, and managing patients' alcohol problems</t>
  </si>
  <si>
    <t>Alcohol Drinking/pc Prevention &amp; Control];Alcohol Drinking/px Psychology];Alcohol Drinking/th Therapy];Alcoholic Intoxication/di Diagnosis];Alcoholic Intoxication/pc Prevention &amp; Control];Alcoholic Intoxication/px Psychology];Alcoholic Intoxication/th Therapy];Alcoholism/di Diagnosis];Alcoholism/pc Prevention &amp; Control];*Alcoholism/px Psychology];Alcoholism/th Therapy];*Attitude of Health Personnel;Attitude to Health;Canada;Clinical Competence;Cross-Sectional Studies;Education, Medical, Continuing;Family Practice/ed Education];*Family Practice;Female;Health Behavior;Health Promotion;Humans;Male;*Physician-Patient Relations;Professional Practice;Social Support</t>
  </si>
  <si>
    <t>OBJECTIVE: To examine Canadian family physicians' attitudes, beliefs, and practices regarding alcohol use and alcohol-related problems among their patients. DESIGN: A self-administered questionnaire mailed to a random sample of 2883 family physicians. The survey was conducted using a modified Dillman method. PARTICIPANTS: Canadian physicians in active office-based practice during 1989. Sample included certificated and noncertificated members of the College of Family Physicians of Canada, as well as non-members of the College. MAIN OUTCOME MEASURES: Perceived importance of various health-promotion behaviours; attitudes and beliefs about working with problem drinkers; current knowledge and practices regarding identifying and managing problem drinkers; and demographic characteristics. RESULTS: Respondents had a strong sense of role legitimacy in working with problem drinkers, but predominantly negative and pessimistic attitudes. Half the respondents felt they had failed in their work with problem drinkers. More physicians agreed on a psychosocial etiology for alcoholism than on a biological origin. Three quarters of respondents said they "almost always" ask patients about quantity and frequency of alcohol use, and just over one third "almost always" ask about problems related to drinking. Data also suggest doctors have relatively few patients with alcohol problems, and they need help in responding to such patients. CONCLUSION: Physicians need more training for their role in identifying and managing patients with alcohol problems.</t>
  </si>
  <si>
    <t>J2: Can Fam Physician; Rush, B Bass, M Stewart, M McCracken, E Labreque, M Bondy, S Comment in: Can Fam Physician. 1994 Sep;40:1492-5, 1498-501; PMID: 7920035; ID: 1211</t>
  </si>
  <si>
    <t>Rush, B. Addiction Research Foundation of Ontario, London.</t>
  </si>
  <si>
    <t>http://ovidsp.ovid.com/ovidweb.cgi?T=JS&amp;CSC=Y&amp;NEWS=N&amp;PAGE=fulltext&amp;D=med3&amp;AN=7920049</t>
  </si>
  <si>
    <t>MEDLINE; Ovid Technologies; Detecting, preventing, and managing patients' alcohol problems</t>
  </si>
  <si>
    <t>Rush,B.;Ellis,K.;Crowe,T.;Powell,L.</t>
  </si>
  <si>
    <t>How general practitioners view alcohol use. Clearing up the confusion</t>
  </si>
  <si>
    <t>Alcohol Drinking/pc Prevention &amp; Control];Alcohol Drinking/px Psychology];Alcohol Drinking/th Therapy];Alcoholic Intoxication/di Diagnosis];Alcoholic Intoxication/pc Prevention &amp; Control];Alcoholic Intoxication/px Psychology];Alcoholic Intoxication/th Therapy];Alcoholism/di Diagnosis];Alcoholism/pc Prevention &amp; Control];*Alcoholism/px Psychology];Alcoholism/th Therapy];*Attitude of Health Personnel;Counseling;Cross-Sectional Studies;Education, Medical, Continuing;Family Practice/ed Education];*Family Practice;Female;Focus Groups;Health Behavior;Health Promotion;Humans;Male;Patient Education as Topic;*Physician-Patient Relations;Program Development;Risk Factors</t>
  </si>
  <si>
    <t>This paper reviews the findings of qualitative and quantitative research into family physicians' attitudes, beliefs, and experience with patients with alcohol problems. The implications of the findings are discussed in the context of the need for educational programs to improve physicians' work with these patients.</t>
  </si>
  <si>
    <t>J2: Can Fam Physician; Rush, B Ellis, K Crowe, T Powell, L; ID: 1210</t>
  </si>
  <si>
    <t>Rush, B. Addiction Research Foundation, University of Western Ontario Research Park, London.</t>
  </si>
  <si>
    <t>http://ovidsp.ovid.com/ovidweb.cgi?T=JS&amp;CSC=Y&amp;NEWS=N&amp;PAGE=fulltext&amp;D=med3&amp;AN=7920050</t>
  </si>
  <si>
    <t>MEDLINE; Ovid Technologies; How general practitioners view alcohol use. Clearing up the confusion</t>
  </si>
  <si>
    <t>Ruzic,M.;Milotka,F.;Klasnja,B.;Pobor,M.;Svarc,D.;Jovelic,A.;Fabri,I.</t>
  </si>
  <si>
    <t>Efficacy of combined antiviral therapy with pegylated interferon alpha-2a and ribavirin for chronic hepatitis C infection in intravenous drug users]</t>
  </si>
  <si>
    <t>Srpski arhiv za celokupno lekarstvo</t>
  </si>
  <si>
    <t>Srp.Arh.Celok.Lek.</t>
  </si>
  <si>
    <t>Adult;*Antiviral Agents/ad Administration &amp; Dosage];Drug Therapy, Combination;Female;*Hepatitis C, Chronic/dt Drug Therapy];Hepatitis C, Chronic/et Etiology];Humans;*Interferon-alpha/ad Administration &amp; Dosage];Male;Middle Aged;*Polyethylene Glycols/ad Administration &amp; Dosage];Recombinant Proteins;*Ribavirin/ad Administration &amp; Dosage];*Substance Abuse, Intravenous/co Complications];0 (Antiviral Agents);0 (Interferon-alpha);0 (Recombinant Proteins);30IQX730WE (Polyethylene Glycols);47RRR83SK7 (interferon alfa-2a);49717AWG6K (Ribavirin);Q46947FE7K (peginterferon alfa-2a)</t>
  </si>
  <si>
    <t>INTRODUCTION: Hepatitis C Virus infection represents not just a medical, but also a socio-economic problem. It is estimated that among 170 million infected, 60% belongs to the category of intravenous drug users (IDUs). OBJECTIVE: The aim of this paper was to compare the response to the combined therapy of pegylated interferon alfa 2a and ribavirin, in the group of patients with HCV infection who were intravenous drug users (IDUs) and in patients who were identified in the other way of transmission of HCV. Also to identify the influence of the therapy on diseases of addiction, during the course of HCV infection and on the effects of the combined therapy of pegylated interferon alfa 2a and ribavirin. METHODS: We conducted a retrospective-prospective study, on 60 patients, treated with combined antiviral therapy--pegylated interferon alfa 2a and ribavirin. 30 patients were from the group of IDUs, and 30 patients from other epidemiological groups. RESULTS: There were significant differences between the age of the patients (30.2 +/- 7.1 vs. 39.3 +/- 11.2 years; p = 0.002), but no significant difference in the duration of the HCV infection between the two groups of patients (8.9 +/- 7.4 vs. 13.1 +/- 7.0 years; p &gt; 0.05). A large number of the patients in the group of IDUs had a problem with the abstinence of the drug abuse. In this group, there was the influence of alcohol (30%) and other substances with potential hepatotoxicity: marihuana (23.3%) and psychoactive drugs (73.6%). Staging of the liver fibrosis was not influenced by those two parameters and was similar in both groups (p &gt; 0.05). The genotype 3a was dominant in intravenous drug users (50.0%) and genotype 1b in the control group of the patients (76.6%). In both groups, SVR was achieved at a higher percentage (86% vs. 70.00%; p &gt; 0.05), but among the intravenous drug users the relapses of HCV infection were at a lower percentage (3.3% vs. 20.0%; p = 0.044). Side effects were noticed in solitary cases in both of the examined groups, but severe side effects were found only in the control group of the patients. Relapse of drug abuse was noticed in 6.66% of cases. CONCLUSION: We have registered that the group of intravenous drug users has the same or even better response to the antiviral therapy than other epidemiological groups and that the use of drugs does not change the course of HCV infection.</t>
  </si>
  <si>
    <t>J2: Srp Arh Celok Lek; Serbian Ruzic, Maja Milotka, Fabri Klasnja, Biljana Pobor, Marta Svarc, Daniela Jovelic, Aleksandra Fabri, Izabella; ID: 583</t>
  </si>
  <si>
    <t>0370-8179</t>
  </si>
  <si>
    <t>Serbian</t>
  </si>
  <si>
    <t>http://ovidsp.ovid.com/ovidweb.cgi?T=JS&amp;CSC=Y&amp;NEWS=N&amp;PAGE=fulltext&amp;D=med6&amp;AN=20425908</t>
  </si>
  <si>
    <t>MEDLINE; Ovid Technologies; [Efficacy of combined antiviral therapy with pegylated interferon alpha-2a and ribavirin for chronic hepatitis C infection in intravenous drug users]</t>
  </si>
  <si>
    <t>Safa,M.;Boroujerdi,F. G.;Talischi,F.;Masjedi,M. R.</t>
  </si>
  <si>
    <t>Relationship of Coping Styles with Suicidal Behavior in Hospitalized Asthma and Chronic Obstructive Pulmonary Disease Patients: Substance Abusers versus Non- Substance Abusers</t>
  </si>
  <si>
    <t>Tanaffus</t>
  </si>
  <si>
    <t>BACKGROUND: Treatment of patients with chronic conditions requiring hospitalization requires patient acceptance and cooperation and adoption of coping strategies. Inappropriate coping strategies such as substance abuse are concerning in the course of treatment. This study sought to explore the association of coping strategies with suicidal behavior in substance abusers and non substance abuser patients with chronic pulmonary diseases namely asthma and chronic obstructive pulmonary disease (COPD). MATERIALS AND METHODS: This comparative study was performed on 100 patients with asthma and COPD selected via convenience sampling. Subjects with and without substance abuse were separated into two groups of 50 patients each. Ways of Coping Questionnaire of Lazarus (WOCQ) and Suicide Behavior Questionnaire-Revised (SBQ-R) were completed by them. Five Persian speaking patients rated this questionnaire to be easily understandable in the pre-test stage. Cronbach's alpha was calculated to measure the internal consistency. RESULTS: The mean (+/-standard deviation) age of participants was 40 (+/-14) years; 58% of individuals were men; 62% had chosen problem-focused coping. The most abused substances were cigarettes (78%) and opium (42%); 6% of substance abusers had thought about suicide five times or more in the past year; 5% of substance abusers had seriously attempted suicide. Tendency to commit suicide was greater in men, substance abusers and participants who had chosen emotion-focused coping strategies, based on a regression model. Average score of suicide tendency was significantly higher in substance abusers (B=2.196, P =0.007). CONCLUSION: Chronic disease is a crisis and patients need to acquire appropriate coping strategies to deal with it, especially in substance abusers and suicidal patients. Precise recognition of coping strategies in chronic pulmonary patients with substance abuse is necessary via a team cooperation among psychiatrics, psychologists and an internal physician in hospitals because medical treatment alone is not sufficient in such cases.</t>
  </si>
  <si>
    <t>J2: Tanaffos; Safa, Mitra Boroujerdi, Fatemeh Ghassem Talischi, Firouzeh Masjedi, Mohammad Reza; ID: 258</t>
  </si>
  <si>
    <t>1735-0344</t>
  </si>
  <si>
    <t>Safa, Mitra. Clinical Tuberculosis and Epidemiology Research Center, National Research Institute of Tuberculosis and Lung Diseases (NRITLD), Shahid Beheshti University of Medical Sciences, Tehran, Iran. Boroujerdi, Fatemeh Ghassem. Chronic Respiratory Diseases Research Center, National Research Institute of Tuberculosis and Lung Diseases (NRITLD), Shahid Beheshti University of Medical Sciences, Tehran, Iran. Talischi, Firouzeh. Nursing and Respiratory Health Management Research Center, National Research Institute of Tuberculosis and Lung Diseases (NRITLD), Shahid Beheshti University of Medical Sciences, Tehran, Iran. Masjedi, Mohammad Reza. Telemedicine Research Center, National Research Institute of Tuberculosis and Lung Diseases (NRITLD), Shahid Beheshti University of Medical Sciences, Tehran, Iran.</t>
  </si>
  <si>
    <t>http://ovidsp.ovid.com/ovidweb.cgi?T=JS&amp;CSC=Y&amp;NEWS=N&amp;PAGE=fulltext&amp;D=prem&amp;AN=25713588</t>
  </si>
  <si>
    <t>MEDLINE; Ovid Technologies; Relationship of Coping Styles with Suicidal Behavior in Hospitalized Asthma and Chronic Obstructive Pulmonary Disease Patients: Substance Abusers versus Non- Substance Abusers</t>
  </si>
  <si>
    <t>Saito,T.</t>
  </si>
  <si>
    <t>Care of patients with substance-induced mental disorders]</t>
  </si>
  <si>
    <t>Seishin Shinkeigaku Zasshi - Psychiatria et Neurologia Japonica</t>
  </si>
  <si>
    <t>Community Mental Health Services;Education, Medical;Health Education;Humans;*Psychoses, Substance-Induced/rh Rehabilitation];Self-Help Groups;Substance Abuse Treatment Centers;Substance-Related Disorders</t>
  </si>
  <si>
    <t>J2: Seishin Shinkeigaku Zasshi; Japanese Saito, T; ID: 1003</t>
  </si>
  <si>
    <t>0033-2658</t>
  </si>
  <si>
    <t>http://ovidsp.ovid.com/ovidweb.cgi?T=JS&amp;CSC=Y&amp;NEWS=N&amp;PAGE=fulltext&amp;D=med4&amp;AN=11383146</t>
  </si>
  <si>
    <t>MEDLINE; Ovid Technologies; [Care of patients with substance-induced mental disorders]</t>
  </si>
  <si>
    <t>Saitz,R.;Friedmann,P. D.;Sullivan,L. M.;Winter,M. R.;Lloyd-Travaglini,C.;Moskowitz,M. A.;Samet,J. H.</t>
  </si>
  <si>
    <t>Professional satisfaction experienced when caring for substance-abusing patients: faculty and resident physician perspectives</t>
  </si>
  <si>
    <t>Adult;*Attitude of Health Personnel;Boston;Clinical Competence;Data Collection;*Faculty, Medical;Female;Hospitals, Teaching;Humans;*Internship and Residency;*Job Satisfaction;Male;Substance-Related Disorders/px Psychology];*Substance-Related Disorders/th Therapy]</t>
  </si>
  <si>
    <t>This survey aimed to describe and compare resident and faculty physician satisfaction, attitudes, and practices regarding patients with addictions. Of 144 primary care physicians, 40% used formal screening tools; 24% asked patients' family history. Physicians were less likely (P &lt;.05) to experience at least a moderate amount of professional satisfaction caring for patients with alcohol (32% of residents, 49% of faculty) or drug (residents 30%, faculty 31%) problems than when managing hypertension (residents 76%, faculty 79%). Interpersonal experience with addictions was common (85% of faculty, 72% of residents) but not associated with attitudes, practices, or satisfaction. Positive attitudes toward addiction treatment (adjusted odds ratio AOR], 4.60; 95% confidence interval 95% CI], 1.59 to 13.29), confidence in assessment and intervention (AOR, 2.49; 95% CI, 1.09 to 5.69), and perceived responsibility for addressing substance problems (AOR, 5.59; CI, 2.07 to 15.12) were associated with greater satisfaction. Professional satisfaction caring for patients with substance problems is lower than that for other illnesses. Addressing physician satisfaction may improve care for patients with addictions.</t>
  </si>
  <si>
    <t>J2: J Gen Intern Med; Saitz, Richard Friedmann, Peter D Sullivan, Lisa M Winter, Michael R Lloyd-Travaglini, Christine Moskowitz, Mark A Samet, Jeffrey H; ID: 973</t>
  </si>
  <si>
    <t>Saitz, Richard. Clinical Addiction Research and Education Unit, Section of General Internal Medicine, Department of Medicine, Boston University School of Medicine and Boston Medical Center, MA 02118-2393, USA. rsaitz@bu.edu</t>
  </si>
  <si>
    <t>http://ovidsp.ovid.com/ovidweb.cgi?T=JS&amp;CSC=Y&amp;NEWS=N&amp;PAGE=fulltext&amp;D=med4&amp;AN=12047735</t>
  </si>
  <si>
    <t>MEDLINE; Ovid Technologies; Professional satisfaction experienced when caring for substance-abusing patients: faculty and resident physician perspectives</t>
  </si>
  <si>
    <t>Saitz,R.;Sullivan,L. M.;Samet,J. H.</t>
  </si>
  <si>
    <t>Training Community-Based Clinicians in Screening and Brief Intervention for Substance Abuse Problems: Translating Evidence into Practice</t>
  </si>
  <si>
    <t>Screening and brief intervention in general health care settings are efficacious but have not been widely adopted. Our objective was to assess the effect of an educational intervention on clinicians' substance abuse-related clinical practices. The study was a telephone survey of practicing physicians, nurses, psychologists, physician's assistants, and social workers who attended a half-day continuing education course on one of four occasions. The course covered the stages of behavioral change and motivational counseling, using primarily role play with standardized patients. Of 87 course attendees, 70 (80%) completed the interview. Months to years after the course, most (91%) reported that the course made an impact on their practice. Most (78%) of respondents reported that they frequently or always asked new patients who drank alcohol a formal screening questionnaire such as the CAGE, and 94% frequently or always assessed their substance abusing patients' readiness to change. Most respondents reported that since taking the course they were more likely (1) to screen patients for alcohol or drug related problems (86%) and (2) to ask patients about their substance abuse on a follow-up visit (96%). After exposure to an active-learning half-day continuing education course, clinicians reported improvement with and high rates of desirable substance abuse-related clinical practices up to 5 years later. Continuing education efforts that incorporate active learning directed toward practicing clinicians show promise for improving rates of brief intervention for alcohol and other drug abuse.</t>
  </si>
  <si>
    <t>J2: Subst Abus; Saitz, Richard Sullivan, Lisa M. Samet, Jeffrey H.; ID: 1711</t>
  </si>
  <si>
    <t>Saitz, Richard. Clinical Addictions Research and Education (CARE) Unit, Section of General Internal Medicine, Department of Medicine, Boston University School of Medicine and Boston Medical Center, 91 East Concord Street, Suite 200, Boston, Massachusetts 02118-2393.</t>
  </si>
  <si>
    <t>http://ovidsp.ovid.com/ovidweb.cgi?T=JS&amp;CSC=Y&amp;NEWS=N&amp;PAGE=fulltext&amp;D=medp&amp;AN=12466645</t>
  </si>
  <si>
    <t>MEDLINE; Ovid Technologies; Training Community-Based Clinicians in Screening and Brief Intervention for Substance Abuse Problems: Translating Evidence into Practice</t>
  </si>
  <si>
    <t>Salehi,M.;Norozi Khalili,M.;Hojjat,S. K.;Salehi,M.;Danesh,A.</t>
  </si>
  <si>
    <t>Prevalence of internet addiction and associated factors among medical students from mashhad, iran in 2013</t>
  </si>
  <si>
    <t>Iranian Red Crescent Medical Journal</t>
  </si>
  <si>
    <t>e17256</t>
  </si>
  <si>
    <t>BACKGROUND: Problematic internet use is on the increase and has caused serious problems in many areas. This issue seems to be more important for medical students. OBJECTIVES: This study was designed to explore the prevalence of internet addiction and its related factors among the students of Mashhad University of Medical Sciences. MATERIALS AND METHODS: A cross sectional study was conducted on 383 medical students of Mashhad in 2013. Four hundred participants were selected through two-stage stratified sampling method proportional to the number of students in each stage of education. Data Collection was done through using the Chen Internet Addiction Scale (CIAS) and a checklist of demographic details and characteristics of internet usage behavior. RESULTS: It was found that 2.1% of the studied population were at risk and 5.2% were addicted users. Chatting with new people, communicating with friends and families, and playing games were the most popular activities in these groups. The factors related to internet addiction included: male sex, stage of education, daily time spent on using internet, most frequent time of internet use, monthly cost of use, and tea consumption. CONCLUSIONS: Although our study showed the prevalence of internet addiction was not more than other populations and universities, since the prevalence of internet addiction is rapidly increasing worldwide, this population might also be at risk of addiction. Thus, focusing on related factors can help us in designing more effective interventions and treatments for this susceptible group.</t>
  </si>
  <si>
    <t>J2: Iran; Salehi, Maryam Norozi Khalili, Mina Hojjat, Seyed Kaveh Salehi, Mahta Danesh, Ali; ID: 295</t>
  </si>
  <si>
    <t>2074-1804</t>
  </si>
  <si>
    <t>Salehi, Maryam. Department of Community Medicine, School of Medicine, Mashhad University of Medical Sciences, Mashhad, IR Iran ; Research Center for Patient Safety, School of Medicine, Mashhad University of Medical Sciences, Mashhad, IR Iran. Norozi Khalili, Mina. Department of Community Medicine, School of Medicine, Mashhad University of Medical Sciences, Mashhad, IR Iran. Hojjat, Seyed Kaveh. Department of Psychiatry, North Khorasan University of Medical Sciences, Bojnurd, IR Iran ; Addiction and Behavioral Sciences Research Center, North Khorasan University of Medical Sciences, Bojnurd, IR Iran. Salehi, Mahta. School of Medicine, Mashhad University of Medical Sciences, Mashhad, IR Iran. Danesh, Ali. School of Medicine, Mashhad University of Medical Sciences, Mashhad, IR Iran.</t>
  </si>
  <si>
    <t>http://ovidsp.ovid.com/ovidweb.cgi?T=JS&amp;CSC=Y&amp;NEWS=N&amp;PAGE=fulltext&amp;D=prem&amp;AN=25031856</t>
  </si>
  <si>
    <t>https://dx.doi.org/10.5812/ircmj.17256</t>
  </si>
  <si>
    <t>MEDLINE; Ovid Technologies; Prevalence of internet addiction and associated factors among medical students from mashhad, iran in 2013</t>
  </si>
  <si>
    <t>Saloojee,Y.;Steyn,K.</t>
  </si>
  <si>
    <t>Educating medical students about tobacco</t>
  </si>
  <si>
    <t>Curriculum;*Education, Medical, Undergraduate;Humans;*Physician's Role;*Public Health;*Smoking/ae Adverse Effects];Smoking Prevention</t>
  </si>
  <si>
    <t>J2: Samj, S; Saloojee, Y Steyn, K; ID: 869</t>
  </si>
  <si>
    <t>http://ovidsp.ovid.com/ovidweb.cgi?T=JS&amp;CSC=Y&amp;NEWS=N&amp;PAGE=fulltext&amp;D=med5&amp;AN=15931446</t>
  </si>
  <si>
    <t>MEDLINE; Ovid Technologies; Educating medical students about tobacco</t>
  </si>
  <si>
    <t>Salvalaggio,G.;Dong,K.;Vandenberghe,C.;Kirkland,S.;Mramor,K.;Brown,T.;Taylor,M.;McKim,R.;Cummings,G. G.;Wild,T. C.</t>
  </si>
  <si>
    <t>Enhancing screening, brief intervention, and referral to treatment among socioeconomically disadvantaged patients: study protocol for a knowledge exchange intervention involving patients and physicians</t>
  </si>
  <si>
    <t>Alberta;Alcoholism/di Diagnosis];Alcoholism/th Therapy];Humans;*Mass Screening;*Physician-Patient Relations;*Poverty Areas;*Referral and Consultation;Self Report;Substance-Related Disorders/di Diagnosis];Substance-Related Disorders/th Therapy];*Substance-Related Disorders</t>
  </si>
  <si>
    <t>BACKGROUND: Screening, Brief Intervention, and Referral for Treatment (SBIRT) is an effective approach for managing alcohol and other drug misuse in primary care; however, uptake into routine care has been limited. Uptake of SBIRT by healthcare providers may be particularly problematic for disadvantaged populations exhibiting alcohol and other drug problems, and requires creative approaches to enhance patient engagement. This knowledge translation project developed and evaluated a group of patient and health care provider resources designed to enhance the capacity of health care providers to use SBIRT and improve patient engagement with health care. METHODS/DESIGN: A nonrandomized, two-group, pre-post, quasi-experimental intervention design was used, with baseline, 6-, and 12-month follow-ups. Low income patients using alcohol and other drugs and who sought care in family medicine and emergency medicine settings in Edmonton, Canada, along with physicians providing care in these settings, were recruited. Patients and physicians were allocated to the intervention or control condition by geographic location of care. Intervention patients received a health care navigation booklet developed by inner city community members and also had access to an experienced community member for consultation on health service navigation. Intervention physicians had access to online educational modules, accompanying presentations, point of care resources, addiction medicine champions, and orientations to the inner city. Resource development was informed by a literature review, needs assessment, and iterative consultation with an advisory board and other content experts. Participants completed baseline and follow-up questionnaires (6 months for patients, 6 and 12 months for physicians) and administrative health service data were also retrieved for consenting patients. Control participants were provided access to all resources after follow-up data collection was completed. The primary outcome measure was patient satisfaction with care; secondary outcome measures included alcohol and drug use, health care and addiction treatment use, uptake of SBIRT strategies, and physician attitudes about addiction. DISCUSSION: Effective knowledge translation requires careful consideration of the intended knowledge recipient's context and needs. Knowledge translation in disadvantaged settings may be optimized by using a community-based participatory approach to resource development that takes into account relevant patient engagement issues. TRIAL REGISTRATION: Northern Alberta Clinical Trials and Research Centre #30094.</t>
  </si>
  <si>
    <t>J2: BMC Health Serv Res; Salvalaggio, Ginetta Dong, Kathryn Vandenberghe, Christine Kirkland, Scott Mramor, Kelsey Brown, Taryn Taylor, Marliss McKim, Robert Cummings, Greta G Wild, T Cameron; ID: 347</t>
  </si>
  <si>
    <t>Salvalaggio, Ginetta. Department of Family Medicine, University of Alberta, 1702 College Plaza, Edmonton, AB T6G 2C8, Canada. ginetta@ualberta.ca</t>
  </si>
  <si>
    <t>http://ovidsp.ovid.com/ovidweb.cgi?T=JS&amp;CSC=Y&amp;NEWS=N&amp;PAGE=fulltext&amp;D=med7&amp;AN=23517813</t>
  </si>
  <si>
    <t>https://dx.doi.org/10.1186/1472-6963-13-108</t>
  </si>
  <si>
    <t>MEDLINE; Ovid Technologies; Enhancing screening, brief intervention, and referral to treatment among socioeconomically disadvantaged patients: study protocol for a knowledge exchange intervention involving patients and physicians</t>
  </si>
  <si>
    <t>Samet,J. H.;Galanter,M.;Bridden,C.;Lewis,D. C.</t>
  </si>
  <si>
    <t>Association for medical education and research in substance abuse</t>
  </si>
  <si>
    <t>Awards and Prizes;Curriculum;*Education, Medical/mt Methods];Financing, Organized/mt Methods];Health Education/mt Methods];Health Personnel/ed Education];Humans;Leadership;Mental Health Associations/ec Economics];*Mental Health Associations;Periodicals as Topic;*Research;*Staff Development/mt Methods];*Substance-Related Disorders;*Teaching/og Organization &amp; Administration];United States</t>
  </si>
  <si>
    <t>The Association for Medical Education and Research in Substance Abuse (AMERSA) is a multi-disciplinary organization committed to health professional faculty development in substance abuse. In 1976, members of the Career Teachers Training Program in Alcohol and Drug Abuse, a US federally funded multi-disciplinary faculty development program, formed AMERSA. The organization grew from 59 founding members, who were primarily medical school faculty, to over 300 health professionals from a spectrum of disciplines including physicians, nurses, social workers, dentists, allied health professionals, psychologists and other clinical educators who are responsible for advancing substance abuse education. AMERSA members promote substance abuse education among health professionals by developing curricula, promulgating relevant policy and training health professional faculty to become excellent teachers in this field. AMERSA influences public policy by offering standards for improving substance abuse education. The organization publishes a peer-reviewed, quarterly journal, Substance Abuse, which emphasizes research on the education and training of health professions and also includes original clinical and prevention research. Each year, the AMERSA National Conference brings together researchers and health professional educators to learn about scientific advances and exemplary teaching approaches. In the future, AMERSA will continue to pursue this mission of advancing and supporting health professional faculty who educate students and trainees to address substance abuse in patients and clients.</t>
  </si>
  <si>
    <t>J2: Addiction; Samet, Jeffrey H Galanter, Marc Bridden, Carly Lewis, David C; ID: 827</t>
  </si>
  <si>
    <t>Samet, Jeffrey H. Clinical Addiction Research and Education Unit (CARE) Unit, Section of General Internal Medicine, Department of Medicine, Boston University School of Medicine, Boston Medical Center, MA 02118, USA. jsamet@bu.edu</t>
  </si>
  <si>
    <t>http://ovidsp.ovid.com/ovidweb.cgi?T=JS&amp;CSC=Y&amp;NEWS=N&amp;PAGE=fulltext&amp;D=med5&amp;AN=16393188</t>
  </si>
  <si>
    <t>MEDLINE; Ovid Technologies; Association for medical education and research in substance abuse</t>
  </si>
  <si>
    <t>Samokhvalov,A. V.;Paton-Gay,C.;Balchand,K.;Rehm,J.</t>
  </si>
  <si>
    <t>Phenibut dependence</t>
  </si>
  <si>
    <t>BMJ Case Reports</t>
  </si>
  <si>
    <t>Adult;*Baclofen/tu Therapeutic Use];*GABA-B Receptor Agonists/tu Therapeutic Use];Humans;*Hypnotics and Sedatives;Male;Russia;*Substance-Related Disorders/dt Drug Therapy];*gamma-Aminobutyric Acid/aa Analogs &amp; Derivatives];0 (GABA-B Receptor Agonists);0 (Hypnotics and Sedatives);56-12-2 (gamma-Aminobutyric Acid);H789N3FKE8 (Baclofen);T2M58D6LA8 (4-amino-3-phenylbutyric acid)</t>
  </si>
  <si>
    <t>Phenibut is a gamma-aminobutyric acid (GABA) agonist designed and used as an anxiolytic in Russia. In Western countries, phenibut is not a registered medication but is available through online stores as a supplement. We present a case of a patient who used phenibut to self-medicate anxiety, insomnia and cravings for alcohol. While phenibut was helpful initially, the patient developed dependence including tolerance, significant withdrawal symptoms within 3-4 h of last use and failure to fulfil his roles at work and at home. He finally sought medical assistance in our addictions clinic. We have gradually, over the course of 9 weeks, substituted phenibut with baclofen, which has similar pharmacological properties, and then successfully tapered the patient off baclofen. This required approximately 10 mg of baclofen for each gram of phenibut.</t>
  </si>
  <si>
    <t>J2: BMJ Case Rep; Using Smart Source Parsing 2013 Feb Samokhvalov, Andriy V Paton-Gay, C Lindsay Balchand, Kam Rehm, Jurgen bcr2012008381; ID: 350</t>
  </si>
  <si>
    <t>1757-790X</t>
  </si>
  <si>
    <t>Samokhvalov, Andriy V. Centre for Addiction and Mental Health, Toronto, Ontario, Canada.</t>
  </si>
  <si>
    <t>http://ovidsp.ovid.com/ovidweb.cgi?T=JS&amp;CSC=Y&amp;NEWS=N&amp;PAGE=fulltext&amp;D=med7&amp;AN=23391959</t>
  </si>
  <si>
    <t>https://dx.doi.org/10.1136/bcr-2012-008381</t>
  </si>
  <si>
    <t>MEDLINE; Ovid Technologies; Phenibut dependence</t>
  </si>
  <si>
    <t>Sanchez-Ramirez,J.;Gakhal,R.;Oakman,S. A.</t>
  </si>
  <si>
    <t>Addiction Psychiatry in PGY-3: Use of the Intensive Outpatient Treatment Setting to Train Senior Residents</t>
  </si>
  <si>
    <t>*Ambulatory Care;Curriculum;*Education, Medical, Graduate/mt Methods];Humans;*Internship and Residency;*Psychiatry/ed Education];*Residential Treatment;*Substance-Related Disorders/rh Rehabilitation]</t>
  </si>
  <si>
    <t>J2: Acad Psychiatry; Sanchez-Ramirez, Juan P Gakhal, Ramandeep Oakman, Scott A; ID: 123</t>
  </si>
  <si>
    <t>Sanchez-Ramirez, Juan P. Hennepin-Regions Psychiatry Training Program, Minneapolis, MN, USA. Gakhal, Ramandeep. Hennepin-Regions Psychiatry Training Program, Minneapolis, MN, USA. Oakman, Scott A. Hennepin-Regions Psychiatry Training Program, Minneapolis, MN, USA. scott.a.oakman@healthpartners.com. Oakman, Scott A. Regions Behavioral Health, St. Paul, MN, 55101, USA. scott.a.oakman@healthpartners.com.</t>
  </si>
  <si>
    <t>http://ovidsp.ovid.com/ovidweb.cgi?T=JS&amp;CSC=Y&amp;NEWS=N&amp;PAGE=fulltext&amp;D=med8&amp;AN=26108398</t>
  </si>
  <si>
    <t>https://dx.doi.org/10.1007/s40596-015-0386-x</t>
  </si>
  <si>
    <t>MEDLINE; Ovid Technologies; Addiction Psychiatry in PGY-3: Use of the Intensive Outpatient Treatment Setting to Train Senior Residents</t>
  </si>
  <si>
    <t>Sandlow,L. J.;Dos Santos,S. R.</t>
  </si>
  <si>
    <t>Addiction medicine and continuing medical education</t>
  </si>
  <si>
    <t>*Education, Medical, Continuing;*Family Practice/ed Education];Family Practice/st Standards];Guidelines as Topic;Humans;*Substance-Related Disorders;United States</t>
  </si>
  <si>
    <t>Addictive disorders are one of the most common problems encountered by primary care physicians. In the last decades there has been a significant effort by organizations, universities, and private foundations to increase the teaching of alcohol and drug abuse issues to medical students, residents and practitioners. Still, up to now, the subject has not been presented appropriately at either the undergraduate or graduate medical education level and the majority of physicians in practice have not been adequately instructed in addiction medicine. This article reviews the literature on addictive disorders and medical education, exploring issues concerning continuing medical education (CME) in particular. The authors discuss the problems relative to this subject and the educational techniques and methods most appropriate to changing attitudes and behaviors of physicians. They also design an approach to a CME program on addictive disorders for primary care physicians that incorporates multiple teaching/learning methodologies. References: 70]</t>
  </si>
  <si>
    <t>J2: J Psychoactive Drugs; Sandlow, L J Dos Santos, S R; ID: 1123</t>
  </si>
  <si>
    <t>Sandlow, L J. Department of Medical Education, University of Illinois at Chicago, 60612, USA.</t>
  </si>
  <si>
    <t>http://ovidsp.ovid.com/ovidweb.cgi?T=JS&amp;CSC=Y&amp;NEWS=N&amp;PAGE=fulltext&amp;D=med4&amp;AN=9339860</t>
  </si>
  <si>
    <t>MEDLINE; Ovid Technologies; Addiction medicine and continuing medical education</t>
  </si>
  <si>
    <t>Sands,G. H.;Mulloy,K.</t>
  </si>
  <si>
    <t>Wernicke's syndrome: what we don't teach</t>
  </si>
  <si>
    <t>Educational Measurement;Humans;*Internship and Residency;*Nutrition Disorders/co Complications];*Wernicke Encephalopathy/di Diagnosis];Wernicke Encephalopathy/et Etiology]</t>
  </si>
  <si>
    <t>J2: Jama; Sands, G H Mulloy, K; ID: 1423</t>
  </si>
  <si>
    <t>http://ovidsp.ovid.com/ovidweb.cgi?T=JS&amp;CSC=Y&amp;NEWS=N&amp;PAGE=fulltext&amp;D=med2&amp;AN=3669224</t>
  </si>
  <si>
    <t>MEDLINE; Ovid Technologies; Wernicke's syndrome: what we don't teach</t>
  </si>
  <si>
    <t>Satre,D. D.;McCance-Katz,E.;Moreno-John,G.;Julian,K. A.;O'Sullivan,P. S.;Satterfield,J. M.</t>
  </si>
  <si>
    <t>NIHMS765935; Using needs assessment to develop curricula for screening, brief intervention, and referral to treatment (SBIRT) in academic and community health settings</t>
  </si>
  <si>
    <t>Academic Medical Centers/mt Methods];*Clinical Competence;*Community Health Workers/ed Education];Curriculum/st Standards];Faculty, Medical;Humans;*Internship and Residency/mt Methods];Interviews as Topic/mt Methods];Motivation;*Needs Assessment/sn Statistics &amp; Numerical Data];*Psychotherapy, Brief/ed Education];*Referral and Consultation;San Francisco;*Substance Abuse Detection;*Substance-Related Disorders</t>
  </si>
  <si>
    <t>This article describes the use of a brief needs assessment survey in the development of alcohol and drug screening, brief intervention, and referral to treatment (SBIRT) curricula in 2 health care settings in the San Francisco Bay Area. The samples included university medical center faculty (n = 27) and nonphysician community health and social service providers in a nearby suburban county (n = 21). Informed by curriculum development theory and motivational interviewing strategies, questions regarding clinical and educational priorities, perceived importance and confidence with screening and intervention techniques, and referral resource availability were included. Medical center faculty expressed greater concern about limited appointment time (P = .003), adequacy of training (P = .025), and provider confidence (P = .038) as implementation obstacles and had lower confidence in delivering SBIRT (P = .046) and providing treatment referrals (P = .054) than community providers. The authors describe their approach to integrating needs assessment results into subsequent curriculum development. Findings highlight potential differences between physician and nonphysician training needs.</t>
  </si>
  <si>
    <t>J2: Subst Abus; Satre, Derek D McCance-Katz, Elinore F Moreno-John, Gina Julian, Katherine A O'Sullivan, Patricia S Satterfield, Jason M; ID: 413</t>
  </si>
  <si>
    <t>Satre, Derek D. Department of Psychiatry, University of California-San Francisco, San Francisco, California 94143, USA. dereks@lppi.ucsf.edu</t>
  </si>
  <si>
    <t>http://ovidsp.ovid.com/ovidweb.cgi?T=JS&amp;CSC=Y&amp;NEWS=N&amp;PAGE=fulltext&amp;D=med7&amp;AN=22738009</t>
  </si>
  <si>
    <t>https://dx.doi.org/10.1080/08897077.2011.640100</t>
  </si>
  <si>
    <t>MEDLINE; Ovid Technologies; Using needs assessment to develop curricula for screening, brief intervention, and referral to treatment (SBIRT) in academic and community health settings</t>
  </si>
  <si>
    <t>Sattar,S. P.;Madison,J.;Markert,R. J.;Bhatia,S. C.;Petty,F.</t>
  </si>
  <si>
    <t>Addiction training scale: pilot study of a self-report evaluation tool for psychiatry residents</t>
  </si>
  <si>
    <t>*Education;Humans;*Internship and Residency/st Standards];Pilot Projects;*Professional Competence;*Psychiatry/ed Education];*Psychiatry/st Standards];*Self-Assessment;Substance-Related Disorders/th Therapy];Surveys and Questionnaires</t>
  </si>
  <si>
    <t>OBJECTIVE: Alcohol and drug dependence disorders have become common public health hazards. Psychiatrists encounter these problems in a major portion of their patients. However, recent data suggest that their training does not provide them the confidence to treat these disorders. Current methods of evaluating residents fail to adequately ascertain the lack of confidence in substance abuse training. Here, we present the Addiction Training Scale (ATS) that we developed to help trainers identify deficits in residents' substance abuse training. METHOD: We developed the ATS and conducted a pilot study with the psychiatry residents at the Creighton University Department of Psychiatry, to test the validity of the ATS as a self-report evaluation tool to measure the level of psychiatry residents' preparedness in treating substance abuse disorders. RESULTS: Our results suggest that the ATS is related to the confidence and preparedness that residents express in their ability to treat substance abuse problems. CONCLUSION: The ATS may be beneficial in assessing psychiatry residents' substance abuse training and identifying deficits, which may be addressed during training.</t>
  </si>
  <si>
    <t>J2: Acad Psychiatry; Sattar, S Pirzada Madison, James Markert, Ronald J Bhatia, Subhash C Petty, Frederick; ID: 881</t>
  </si>
  <si>
    <t>Sattar, S Pirzada. Creighton University School of Medicine, Omaha, Nebraska 68131, USA. syed.sattar@med.va.gov</t>
  </si>
  <si>
    <t>http://ovidsp.ovid.com/ovidweb.cgi?T=JS&amp;CSC=Y&amp;NEWS=N&amp;PAGE=fulltext&amp;D=med5&amp;AN=15507555</t>
  </si>
  <si>
    <t>MEDLINE; Ovid Technologies; Addiction training scale: pilot study of a self-report evaluation tool for psychiatry residents</t>
  </si>
  <si>
    <t>Satterfield,J. M.;O'Sullivan,P.;Satre,D. D.;Tsoh,J. Y.;Batki,S. L.;Julian,K.;McCance-Katz,E.;Wamsley,M.</t>
  </si>
  <si>
    <t>Using standardized patients to evaluate screening, brief intervention, and referral to treatment (SBIRT) knowledge and skill acquisition for internal medicine residents</t>
  </si>
  <si>
    <t>Adult;*Clinical Competence;Curriculum/st Standards];*Diagnostic Tests, Routine/st Standards];Female;Humans;*Internal Medicine/ed Education];*Internship and Residency/mt Methods];Male;Pilot Projects;Primary Health Care/mt Methods];*Psychotherapy, Brief/ed Education];*Referral and Consultation;*Substance Abuse Detection;*Substance-Related Disorders</t>
  </si>
  <si>
    <t>Comprehensive clinical competency curricula for hazardous drinking and substance use disorders (SUDs) exists for medical students, residents, and practicing health care providers. Evaluations of these curricula typically focus on learner attitudes and knowledge, although changes in clinical skills are of greater interest and utility. The authors present a pre-post clinical skill evaluation of a 10-hour screening, brief intervention, and referral to treatment (SBIRT) curriculum for hazardous drinking and SUDs for primary care internal medicine residents using standardized patient examinations to better determine the impact of SBIRT training on clinical practice. Residents had large improvements in history taking, substance use screening skills, SUD assessment and diagnostic skills, and in SBIRT knowledge, including documentation, systems, and diversity issues. Residents made moderate improvements in brief intervention skills. Future SBIRT curricular evaluations would ideally include a controlled comparison with larger samples from multiple institutions.</t>
  </si>
  <si>
    <t>J2: Subst Abus; Satterfield, Jason M O'Sullivan, Patricia Satre, Derek D Tsoh, Janice Y Batki, Steven L Julian, Kathy McCance-Katz, Elinore F Wamsley, Maria; ID: 412</t>
  </si>
  <si>
    <t>Satterfield, Jason M. Division of General Internal Medicine, University of California-San Francisco, San Francisco, California 94143, USA. Jsatter@medicine.ucsf.edu</t>
  </si>
  <si>
    <t>http://ovidsp.ovid.com/ovidweb.cgi?T=JS&amp;CSC=Y&amp;NEWS=N&amp;PAGE=fulltext&amp;D=med7&amp;AN=22738010</t>
  </si>
  <si>
    <t>https://dx.doi.org/10.1080/08897077.2011.640103</t>
  </si>
  <si>
    <t>MEDLINE; Ovid Technologies; Using standardized patients to evaluate screening, brief intervention, and referral to treatment (SBIRT) knowledge and skill acquisition for internal medicine residents</t>
  </si>
  <si>
    <t>Saud,M.;Madhu,B.;Srinath,K. M.;Ashok,N. C.;Renuka,M.</t>
  </si>
  <si>
    <t>Physician's practices and perspectives regarding tobacco cessation in a teaching hospital in Mysore City, Karnataka</t>
  </si>
  <si>
    <t>Indian Journal of Psychiatry</t>
  </si>
  <si>
    <t>CONTEXT: Tobacco is a leading cause of disease and premature death. Most of the smokers visit a doctor for various health related ailments and thus such clinic visits provide many opportunities for interventions and professional tobacco cessation advice. AIMS: The primary aim of the following study is to assess the physician practices, perspectives, resources, barriers and education relating to tobacco cessation and their perceived need for training for the same. The secondary aim is to compare the physician's cessation practices from patient's perspective. SETTINGS AND DESIGN: A descriptive study was conducted in a hospital attached to Medical College in Mysore city, Karnataka. MATERIALS AND METHODS: Information about doctor's practices, perspectives and their perceived need for training in tobacco cessation were collected using pre-structured self-administered Questionnaire, which were distributed in person. Patient's practices and perspectives were assessed using a pre-structured Oral Questionnaire. RESULTS: Almost 95% of physicians said that they ask patients about their smoking status and 94% advise them to quit smoking, but only 50% assist the patient to quit smoking and only 28% arrange follow-up visits. Thus, they do not regularly provide assistance to help patients quit, even though 98% of the physicians believed that helping patients to quit was a part of their role. Only 18% and 35% of the physicians said that Undergraduate Medical Education and Post Graduate Medical Education respectively prepared them very well to participate in smoking cessation activities. CONCLUSIONS: Tobacco cessation requires repeated and regular assistance. Such assistance is not being provided to patients by attending doctors. Our medical education system is failing to impart the necessary skills to doctors, needed to help patients quit smoking. Reforms in education are needed so as to prepare the physician to effectively address this problem.</t>
  </si>
  <si>
    <t>J2: Indian J Psychiatry; Saud, Mohammed Madhu, B Srinath, K M Ashok, N C Renuka, M; ID: 316</t>
  </si>
  <si>
    <t>0019-5545</t>
  </si>
  <si>
    <t>Saud, Mohammed. MBBS Student, JSS Medical College (JSS University), Mysore, Karnataka, India. Madhu, B. Department of Community Medicine, JSS Medical College (JSS University), Mysore, Karnataka, India. Srinath, K M. Department of Medicine, JSS Medical College (JSS University), Mysore, Karnataka, India. Ashok, N C. Department of Community Medicine, JSS Medical College (JSS University), Mysore, Karnataka, India. Renuka, M. Department of Community Medicine, JSS Medical College (JSS University), Mysore, Karnataka, India.</t>
  </si>
  <si>
    <t>http://ovidsp.ovid.com/ovidweb.cgi?T=JS&amp;CSC=Y&amp;NEWS=N&amp;PAGE=fulltext&amp;D=prem&amp;AN=24574555</t>
  </si>
  <si>
    <t>https://dx.doi.org/10.4103/0019-5545.124710</t>
  </si>
  <si>
    <t>MEDLINE; Ovid Technologies; Physician's practices and perspectives regarding tobacco cessation in a teaching hospital in Mysore City, Karnataka</t>
  </si>
  <si>
    <t>Saulle,R.;Bontempi,C.;Baldo,V.;Boccia,G.;Bonaccorsi,G.;Brusaferro,S.;Donato,F.;Firenze,A.;Gregorio,P.;Pelissero,G.;Sella,A.;Siliquini,R.;Boccia,A.;La Torre,G.</t>
  </si>
  <si>
    <t>GHPSS multicenter Italian survey: smoking prevalence, knowledge and attitudes, and tobacco cessation training among third-year medical students</t>
  </si>
  <si>
    <t>Tumori</t>
  </si>
  <si>
    <t>Adult;*Attitude of Health Personnel;Curriculum;Education, Medical, Undergraduate;Female;*Health Knowledge, Attitudes, Practice;Humans;Italy/ep Epidemiology];Logistic Models;Male;Multivariate Analysis;Odds Ratio;*Physician's Role;Prevalence;*Smoking/ep Epidemiology];Smoking Cessation/mt Methods];Smoking Cessation/sn Statistics &amp; Numerical Data];*Smoking Cessation;Smoking Prevention;*Students, Medical/sn Statistics &amp; Numerical Data];Surveys and Questionnaires</t>
  </si>
  <si>
    <t>AIMS AND BACKGROUND: Healthcare professionals have an important role to play both as advisers - influencing smoking cessation - and as role models. The aims of this study were to examine smoking prevalence, knowledge and attitudes among Italian university students attending medical schools using the Global Health Professions Student Survey (GHPSS) approach. METHODS AND STUDY DESIGN: A multicenter cross-sectional study was conducted among University students of 9 Italian medical schools (age ranging between 19 and 29 years). The GHPSS questionnaire was self-administered. A logistic regression model was used to identify possible factors associated with tobacco smoking status. Data were analyzed with the software SPSS 19.0 for Windows. RESULTS: Seven hundred thirty medical students (response rate 100%) were enrolled. The prevalence of current smokers was 20.4% (males 22.4%, females 19.1%). Of the total sample, 87.7% believed that health professionals should receive specific training in techniques to quit smoking, and 65% believed that health professionals had a role in giving advice or information about smoking cessation. However, 89.4% answered that they had not received specific training on smoking cessation techniques. Multivariate analysis showed that students belonging to universities in southern Italy were more likely to be smokers (OR = 2.00; 95% CI: 1.03-3.97). CONCLUSIONS: This Italian multicenter survey found that one fifth of future medical doctors are smokers. There is a need to adopt a standard undergraduate curriculum containing comprehensive tobacco prevention and cessation training to improve their effectiveness as role models.</t>
  </si>
  <si>
    <t>J2: Tumori; Saulle, Rosella Bontempi, Claudio Baldo, Vincenzo Boccia, Giovanni Bonaccorsi, Guglielmo Brusaferro, Silvio Donato, Francesco Firenze, Alberto Gregorio, Pasquale Pelissero, Gabriele Sella, Alberto Siliquini, Roberta Boccia, Antonio La Torre, Giuseppe; ID: 373</t>
  </si>
  <si>
    <t>2038-2529</t>
  </si>
  <si>
    <t>Saulle, Rosella. Department of Public Health and Infectious Diseases, Sapienza University, Rome, Italy.</t>
  </si>
  <si>
    <t>http://ovidsp.ovid.com/ovidweb.cgi?T=JS&amp;CSC=Y&amp;NEWS=N&amp;PAGE=fulltext&amp;D=medc&amp;AN=23548994</t>
  </si>
  <si>
    <t>https://dx.doi.org/10.1700/1248.13782</t>
  </si>
  <si>
    <t>MEDLINE; Ovid Technologies; GHPSS multicenter Italian survey: smoking prevalence, knowledge and attitudes, and tobacco cessation training among third-year medical students</t>
  </si>
  <si>
    <t>Saunders,J. B.;Roche,A. M.</t>
  </si>
  <si>
    <t>Medical education in substance use disorders</t>
  </si>
  <si>
    <t>This paper outlines recent developments in drug and alcohol medical education, and highlights improved prospects for prevention and appropriate management of substance use disorders. The paper also presents a model of effective drug and alcohol medical education designed to induce both clinical competence and effective practice behaviour. Of particular note is the trend towards greater emphasis on skills development, especially clinical interaction skills. This emphasis is underpinned by an increasingly behavioural orientation, whereby concern is focused on fostering clinical competence in specific skills, e.g. identification, history taking and interventions. Practical examples of the application of such approaches are noted. In addition, relevance of concepts, such as self-efficacy and role legitimacy, to the area of drug and alcohol medical education is highlighted. Together with recent data on early intervention, and the widespread recognition and support for medical practitioners' involvement in drug and alcohol problems, future prospects are viewed as very encouraging.</t>
  </si>
  <si>
    <t>J2: Drug Alcohol Rev; Saunders, J B Roche, A M; ID: 432</t>
  </si>
  <si>
    <t>Saunders, J B. New South Wales Medical Education Unit on Alcohol and Other Drugs, Centre for Drug and Alcohol Studies, Royal Prince Alfred Hospital, Camperdown, Sydney, NSW, 2050, Australia.</t>
  </si>
  <si>
    <t>http://ovidsp.ovid.com/ovidweb.cgi?T=JS&amp;CSC=Y&amp;NEWS=N&amp;PAGE=fulltext&amp;D=prem&amp;AN=16840056</t>
  </si>
  <si>
    <t>MEDLINE; Ovid Technologies; Medical education in substance use disorders</t>
  </si>
  <si>
    <t>Savage,R. J.;Durant,N.;Clark,C. B.;Nair,P.;Cropsey,K.</t>
  </si>
  <si>
    <t>The Adverse Effects of Motherhood on Substance Use Treatment Program Outcomes Among Adolescent Women</t>
  </si>
  <si>
    <t>Adolescent;Adult;Case Management;*Criminals/px Psychology];Diagnostic and Statistical Manual of Mental Disorders;Drug-Related Side Effects and Adverse Reactions;Female;Humans;Logistic Models;*Parenting/px Psychology];*Substance-Related Disorders/th Therapy];United States;Young Adult</t>
  </si>
  <si>
    <t>OBJECTIVES: Adolescent mothers have differing risks and responsibilities compared to adolescent women without children that may impact substance use treatment. This study sought to describe characteristics of adolescent women in a substance use treatment program and determine the effect of adolescent motherhood on treatment program outcomes. METHODS: Data were collected from standardized interviews of female adolescents in a case management criminal justice diversion program for substance-using adolescents and adults. Variables included sociodemographic factors (ie, race/ethnicity, age, financial support, education, insurance, marital status, sexual abuse), Diagnostic and Statistical Manual-IV (DSM-IV) substance use disorder diagnoses, and motherhood (ie, childbirth and residence with a child). Treatment program outcome was documented by case workers at the end of the participants' time in the program. Chi-square analyses and analysis of variances determined associations between variables. Logistic regression was used to assess characteristics associated with negative treatment program outcome. RESULTS: Data from 1080 adolescent women aged 16-21 years (mean 19.7 years, SD = 1.16) were analyzed; 403 (37%) were mothers. After controlling for sociodemographic factors and substance use disorder diagnoses, adolescent mothers were less likely to successfully complete the treatment program than nonmothers. Adolescent women with reliance on family or friends for financial support, lower education status, and cannabis and cocaine use disorders had worse treatment program outcomes. CONCLUSIONS: Childbirth and parenting adversely affect substance use treatment outcomes for adolescent women in the criminal justice system. Future research should explore tailored substance use treatments for adolescents with children. Job training and educational support may improve outcomes.</t>
  </si>
  <si>
    <t>J2: J Addict Med; Savage, Rebekah J Durant, Nefertiti Clark, C Brendan Nair, Parvathy Cropsey, Karen; ID: 159</t>
  </si>
  <si>
    <t>Savage, Rebekah J. Department of Pediatrics (R.J.S., N.D.), University of Alabama at Birmingham, Birmingham, AL; Department of Psychiatry (C.B.C., P.N., K.C.), University of Alabama at Birmingham Sparks Center, Birmingham, AL; Department of Child and Adolescent Psychiatry (P.N.), Johns Hopkins Hospital, Baltimore, MD.</t>
  </si>
  <si>
    <t>http://ovidsp.ovid.com/ovidweb.cgi?T=JS&amp;CSC=Y&amp;NEWS=N&amp;PAGE=fulltext&amp;D=med8&amp;AN=26426518</t>
  </si>
  <si>
    <t>https://dx.doi.org/10.1097/ADM.0000000000000165</t>
  </si>
  <si>
    <t>MEDLINE; Ovid Technologies; The Adverse Effects of Motherhood on Substance Use Treatment Program Outcomes Among Adolescent Women</t>
  </si>
  <si>
    <t>Savin,M. K.;Paul,D. A.</t>
  </si>
  <si>
    <t>Opioid Exposed Mothers and Infants in Delaware: Clinical and Legal Considerations</t>
  </si>
  <si>
    <t>Delaware medical journal</t>
  </si>
  <si>
    <t>Del.Med.J.</t>
  </si>
  <si>
    <t>Adult;*Analgesics, Opioid/ae Adverse Effects];Delaware/ep Epidemiology];*Drug and Narcotic Control/lj Legislation &amp; Jurisprudence];Female;Humans;Infant, Newborn;Male;Mandatory Reporting;Maternal-Fetal Exchange;Mother-Child Relations;*Neonatal Abstinence Syndrome/ep Epidemiology];*Neonatal Abstinence Syndrome/th Therapy];Opioid-Related Disorders/co Complications];*Opioid-Related Disorders/ep Epidemiology];*Opioid-Related Disorders/th Therapy];Pregnancy;*Pregnancy Complications/ep Epidemiology];*Pregnancy Complications/th Therapy];United States/ep Epidemiology];0 (Analgesics, Opioid)</t>
  </si>
  <si>
    <t>Drug use is on the rise in Delaware, as demonstrated by the continued increase in infants born with neonatal abstinence syndrome. Thoughtful, evidence-based, and coordinated approaches are necessary to impact this problem. There is solid evidence that mothers and infants who remain together have improved outcomes. Professional medical and nursing societies are unanimous in support of non-punitive approaches to care. Medical professionals, legislators, and society in general would benefit from ongoing education on the addiction disease process in order to best care for the increasing number of mother/baby dyads with neonatal abstinence syndrome.</t>
  </si>
  <si>
    <t>J2: Del Med J; Savin, Michele K Paul, David A; ID: 171</t>
  </si>
  <si>
    <t>http://ovidsp.ovid.com/ovidweb.cgi?T=JS&amp;CSC=Y&amp;NEWS=N&amp;PAGE=fulltext&amp;D=med8&amp;AN=27263243</t>
  </si>
  <si>
    <t>MEDLINE; Ovid Technologies; Opioid Exposed Mothers and Infants in Delaware: Clinical and Legal Considerations</t>
  </si>
  <si>
    <t>Sawyer,S. M.;Cooke,R.;Conn,J.;Marks,M. K.;Roseby,R.;Cerritelli,B.</t>
  </si>
  <si>
    <t>Improving medical student performance in smoking health promotion: effect of a vertically integrated curriculum</t>
  </si>
  <si>
    <t>e135</t>
  </si>
  <si>
    <t>Adolescent;*Adolescent Behavior;Cohort Studies;*Curriculum;*Education, Medical, Undergraduate;*Educational Measurement;*Health Promotion;Humans;*Smoking/ae Adverse Effects];*Students, Medical;Teaching</t>
  </si>
  <si>
    <t>The majority of medical schools have curricula that address the health effects of smoking. However, there are many gaps in smoking education, especially in relationship to vertical integration. The authors aimed to determine whether medical students would better address adolescent smoking within a vertically integrated curriculum in comparison with the previous traditional curriculum. They studied two groups of fifth-year students; one group received a specific smoking intervention. Each group consisted of the entire cohort of students within the Child and Adolescent Health rotation of a newly designed medical curriculum. Two groups of students from the previous traditional undergraduate curriculum were available for direct comparison, one of which had received the same teaching on adolescent smoking. An objective structured clinical examination station was used to measure adolescent smoking enquiry. Intervention students in the new curriculum were more likely to enquire about smoking in the objective structured clinical examination than students who did not receive the intervention (p &lt; 0.005). New curriculum students performed better than students from the previous curriculum, whether or not they had received the smoking intervention (p &lt; 0.001). This study suggests that integrated undergraduate teaching can improve student clinical behaviours with regard to opportunistic smoking enquiry in adolescents.</t>
  </si>
  <si>
    <t>J2: Med Teach; Sawyer, S M Cooke, R Conn, J Marks, M K Roseby, R Cerritelli, B; ID: 805</t>
  </si>
  <si>
    <t>Sawyer, S M. Royal Children's Hospital, Parkville, Australia. susan.sawyer@rch.org.au</t>
  </si>
  <si>
    <t>http://ovidsp.ovid.com/ovidweb.cgi?T=JS&amp;CSC=Y&amp;NEWS=N&amp;PAGE=fulltext&amp;D=med5&amp;AN=16973447</t>
  </si>
  <si>
    <t>MEDLINE; Ovid Technologies; Improving medical student performance in smoking health promotion: effect of a vertically integrated curriculum</t>
  </si>
  <si>
    <t>Schackman,B. R.;Merrill,J. O.;McCarty,D.;Levi,J.;Lubinski,C.</t>
  </si>
  <si>
    <t>Overcoming policy and financing barriers to integrated buprenorphine and HIV primary care</t>
  </si>
  <si>
    <t>43 Suppl 4</t>
  </si>
  <si>
    <t>S247</t>
  </si>
  <si>
    <t>Antiretroviral Therapy, Highly Active/ec Economics];Buprenorphine/ec Economics];*Buprenorphine/tu Therapeutic Use];*Delivery of Health Care, Integrated/ec Economics];Delivery of Health Care, Integrated/mt Methods];Female;Financing, Government;HIV Infections/di Diagnosis];*HIV Infections/dt Drug Therapy];HIV Infections/ec Economics];Health Care Costs;Health Policy;*Health Resources;Humans;Insurance, Health, Reimbursement/ec Economics];Male;Narcotic Antagonists/ec Economics];*Narcotic Antagonists/tu Therapeutic Use];Opioid-Related Disorders/di Diagnosis];*Opioid-Related Disorders/dt Drug Therapy];Opioid-Related Disorders/ec Economics];Primary Health Care/ec Economics];Quality of Health Care;United States;0 (Narcotic Antagonists);40D3SCR4GZ (Buprenorphine)</t>
  </si>
  <si>
    <t>Treatment for substance abuse and human immunodeficiency virus (HIV) infection historically have come from different providers, often in separate locations, and have been reimbursed through separate funding streams. We describe policy and financing challenges faced by health care providers seeking to integrate buprenorphine, a new treatment for opioid dependence, into HIV primary care. Regulatory challenges include licensing and training restrictions imposed by the Drug Addiction Treatment Act of 2000 and confidentiality regulations for alcohol and drug treatment records. Potential responses include the development of local training programs and electronic medical records. Addressing the complexity of funding sources for integrated care will require administrative support, up-front investments, and federal and state leadership. A policy and financing research agenda should address evidence gaps in the rationales for regulatory restrictions and should include cost-effectiveness studies that quantify the "value for money" of investments in integrated care to improve health outcomes for HIV-infected patients with opioid dependence. References: 27]</t>
  </si>
  <si>
    <t>J2: Clin Infect Dis; Schackman, Bruce R Merrill, Joseph O McCarty, Dennis Levi, Jeffrey Lubinski, Christine; ID: 768</t>
  </si>
  <si>
    <t>Schackman, Bruce R. Department of Public Health, Weill Medical College of Cornell University, New York, NY 10021, USA. brs2006@med.cornell.edu</t>
  </si>
  <si>
    <t>http://ovidsp.ovid.com/ovidweb.cgi?T=JS&amp;CSC=Y&amp;NEWS=N&amp;PAGE=fulltext&amp;D=med5&amp;AN=17109311</t>
  </si>
  <si>
    <t>MEDLINE; Ovid Technologies; Overcoming policy and financing barriers to integrated buprenorphine and HIV primary care</t>
  </si>
  <si>
    <t>Schiff,D. M.;Zuckerman,B.;Wachman,E. M.;Bair-Merritt,M.</t>
  </si>
  <si>
    <t>Trainees' knowledge, attitudes, and practices towards caring for the substance-exposed mother-infant dyad</t>
  </si>
  <si>
    <t>BACKGROUND: As rates of substance use disorder during pregnancy rise, pediatric trainees are increasingly caring for infants with neonatal abstinence syndrome (NAS). This study evaluated the knowledge, attitudes, and practices of trainees caring for substance-exposed newborns and their families, comparing differences by level and type of training, and personal experience with addiction or trauma. METHODS: A cross-sectional survey of medical students and pediatric, medicine/pediatric, and family medicine residents in 2015-2106. Measures included knowledge about NAS, attitudes towards mothers who use drugs, and practices around discussing addiction and trauma with families. Descriptive and bivariate analyses were conducted. RESULTS: The overall response rate was 70%, with 229 trainees included in the final sample (99 students, 130 residents). Fifty percent of trainees endorsed personal experience with addiction, 50% with trauma, and 35% with both addiction and trauma. Increasing years of pediatric training was associated with greater comfort in managing symptoms of NAS but decreased comfort discussing addiction and trauma. Family medicine and medicine/pediatric residents were more comfortable discussing addiction and trauma than categorical pediatric residents (P &lt; .01). Twenty-two percent of trainees felt confident that mothers would disclose illicit drug use, 39% felt that they would actively care for their infants with NAS, and 43% felt that mothers would not make unreasonable demands. Personal experience with addiction or trauma did not significantly impact trainees' attitudes towards women with substance use disorder. CONCLUSIONS: Trainees may benefit from educational interventions focused on developing a 2-generational model of trauma-informed care to improve attitudes and ultimately the care of substance-exposed infants and their families.</t>
  </si>
  <si>
    <t>J2: Subst Abus; Schiff, Davida M Zuckerman, Barry Wachman, Elisha M Bair-Merritt, Megan; ID: 1664</t>
  </si>
  <si>
    <t>Schiff, Davida M. a Department of Pediatrics , Boston Medical Center , Boston , Massachusetts , USA. Schiff, Davida M. b Boston University School of Medicine , Boston , Massachusetts , USA. Zuckerman, Barry. a Department of Pediatrics , Boston Medical Center , Boston , Massachusetts , USA. Zuckerman, Barry. b Boston University School of Medicine , Boston , Massachusetts , USA. Wachman, Elisha M. a Department of Pediatrics , Boston Medical Center , Boston , Massachusetts , USA. Wachman, Elisha M. b Boston University School of Medicine , Boston , Massachusetts , USA. Wachman, Elisha M. c Division of Neonatology , Boston Medical Center , Boston , Massachusetts , USA. Bair-Merritt, Megan. a Department of Pediatrics , Boston Medical Center , Boston , Massachusetts , USA. Bair-Merritt, Megan. b Boston University School of Medicine , Boston , Massachusetts , USA.</t>
  </si>
  <si>
    <t>http://ovidsp.ovid.com/ovidweb.cgi?T=JS&amp;CSC=Y&amp;NEWS=N&amp;PAGE=fulltext&amp;D=prem&amp;AN=28715290</t>
  </si>
  <si>
    <t>https://dx.doi.org/10.1080/08897077.2017.1356423</t>
  </si>
  <si>
    <t>MEDLINE; Ovid Technologies; Trainees' knowledge, attitudes, and practices towards caring for the substance-exposed mother-infant dyad</t>
  </si>
  <si>
    <t>Schinke,S. P.;Tepavac,L.;Cole,K. C.</t>
  </si>
  <si>
    <t>Preventing substance use among Native American youth: three-year results</t>
  </si>
  <si>
    <t>Catchment Area (Health);Child;Culture;Female;Follow-Up Studies;Health Promotion;Humans;*Indians, North American/px Psychology];Male;Random Allocation;*Substance-Related Disorders/eh Ethnology];*Substance-Related Disorders/pc Prevention &amp; Control];United States/ep Epidemiology]</t>
  </si>
  <si>
    <t>This study developed and tested skills- and community-based approaches to prevent substance abuse among Native American youth. After completing pretest measurements, 1,396 third- through fifth-grade Native American students from 27 elementary schools in five states were divided randomly by school into two intervention arms and one control arm. Following intervention delivery, youths in all arms completed posttest measurements and three annual follow-up measurements. Youths in schools assigned to the intervention arms learned cognitive and behavioral skills for substance abuse prevention. One intervention arm additionally engaged local community residents in efforts to prevent substance use among Native American youth. Outcome assessment batteries measured youths' reported use of smoked and smokeless tobacco, alcohol, and marijuana. Over the course of the 3.5-year study, increased rates of tobacco, alcohol, and marijuana use were reported by youths across the three arms of the study. Though cigarette use was unaffected by intervention, follow up rates of smokeless tobacco, alcohol, and marijuana use were lower for youths who received skills intervention than for youths in the control arm. Community intervention components appeared to exert no added beneficial influence on youths' substance use, beyond the impact of skills intervention components alone. Finally, gender differences were apparent across substances, measurements, and study arms, with girls smoking more cigarettes and boys using more smokeless tobacco, alcohol, and marijuana.</t>
  </si>
  <si>
    <t>J2: Addict Behav; Schinke, S P Tepavac, L Cole, K C; ID: 1019</t>
  </si>
  <si>
    <t>Schinke, S P. Columbia University School of Social Work, USA. schinke@columbia.edu</t>
  </si>
  <si>
    <t>http://ovidsp.ovid.com/ovidweb.cgi?T=JS&amp;CSC=Y&amp;NEWS=N&amp;PAGE=fulltext&amp;D=med4&amp;AN=10890292</t>
  </si>
  <si>
    <t>MEDLINE; Ovid Technologies; Preventing substance use among Native American youth: three-year results</t>
  </si>
  <si>
    <t>Schkrohowsky,J. G.;Kalesan,B.;Alberg,A. J.</t>
  </si>
  <si>
    <t>Tobacco awareness in three U.S. medical schools</t>
  </si>
  <si>
    <t>Adult;Attitude to Health;*Awareness;Cross-Sectional Studies;Culture;Female;Humans;Male;*Schools, Medical/sn Statistics &amp; Numerical Data];Smoking Cessation/mt Methods];Surveys and Questionnaires;*Tobacco Use Disorder/ep Epidemiology];Tobacco Use Disorder/rh Rehabilitation];United States/ep Epidemiology]</t>
  </si>
  <si>
    <t>PURPOSE: To evaluate the attitudes, knowledge, and beliefs of future physicians regarding smoking cessation and tobacco-related issues and the development of these attributes during the course of medical education. METHODS: In a cross-sectional survey, questionnaires were completed by 298 first- and fourth-year medical students at three medical schools from 2003 through 2004. The primary outcomes were knowledge of the health effects of tobacco and smoking cessation strategies, attitudes toward smoking cessation, and anticipated clinical behavior with respect to addressing smoking behavior and cessation with future patients. RESULTS: Fourth-year medical students had knowledge scores that were 13% higher than first-year students for smoking-caused morbidity and mortality and understanding the physician's /role in smoking cessation. The average proportion of correct responses for specific knowledge of smoking cessation was only 64% and did not differ significantly between fourth- and first-year medical students. Three-quarters of fourth-year students felt they needed further training in counseling patients to stop smoking. CONCLUSION: In this study, medical students had not received adequate education to provide effective and appropriate smoking cessation counseling to their patients. In general, this indicates a need for medical schools to place greater emphasis on developing the knowledge-base and skills required for future physicians to effectively guide their nicotine-dependent patients to stop smoking.</t>
  </si>
  <si>
    <t>J2: J Addict Dis; Schkrohowsky, Joshua G Kalesan, Bindu Alberg, Anthony J; ID: 714</t>
  </si>
  <si>
    <t>Schkrohowsky, Joshua G. The Johns Hopkins University School of Medicine, Baltimore, MD, USA.</t>
  </si>
  <si>
    <t>http://ovidsp.ovid.com/ovidweb.cgi?T=JS&amp;CSC=Y&amp;NEWS=N&amp;PAGE=fulltext&amp;D=med5&amp;AN=18018813</t>
  </si>
  <si>
    <t>MEDLINE; Ovid Technologies; Tobacco awareness in three U.S. medical schools</t>
  </si>
  <si>
    <t>Schnoll,R. A.;Engstrom,P. F.</t>
  </si>
  <si>
    <t>Tobacco control in the physician's office: a matter of adequate training and resources</t>
  </si>
  <si>
    <t>Journal of the National Cancer Institute</t>
  </si>
  <si>
    <t>J.Natl.Cancer Inst.</t>
  </si>
  <si>
    <t>Attitude of Health Personnel;Direct Service Costs;Health Resources;Humans;Patient Education as Topic/ec Economics];*Patient Education as Topic;*Physicians' Offices/st Standards];Research Design;*Smoking/th Therapy];Smoking Cessation/ec Economics];*Smoking Cessation</t>
  </si>
  <si>
    <t>J2: J Natl Cancer Inst; Schnoll, Robert A Engstrom, Paul F Comment on: J Natl Cancer Inst. 2004 Apr 21;96(8):594-603; PMID: 15100337; ID: 909</t>
  </si>
  <si>
    <t>1460-2105</t>
  </si>
  <si>
    <t>http://ovidsp.ovid.com/ovidweb.cgi?T=JS&amp;CSC=Y&amp;NEWS=N&amp;PAGE=fulltext&amp;D=med5&amp;AN=15100328</t>
  </si>
  <si>
    <t>MEDLINE; Ovid Technologies; Tobacco control in the physician's office: a matter of adequate training and resources</t>
  </si>
  <si>
    <t>Schnoll,R. A.;Rukstalis,M.;Wileyto,E. P.;Shields,A. E.</t>
  </si>
  <si>
    <t>Smoking cessation treatment by primary care physicians: An update and call for training</t>
  </si>
  <si>
    <t>Female;Humans;Male;Middle Aged;*Physician's Role;*Physicians, Family;*Practice Patterns, Physicians';*Smoking Cessation/mt Methods];United States</t>
  </si>
  <si>
    <t>BACKGROUND: Public health and government organizations have invested considerably to increase physician adherence to smoking-cessation practice guidelines. METHODS: A random sample of 2000 U.S. primary care physicians was ascertained from the American Medical Association (AMA) in 2002. Respondents (n = 1120, 62.3%) provided self-reported data about individual and practice characteristics and smoking-cessation practices. Data were analyzed in 2005. RESULTS: Most primary care physicians (75%) advised cessation, 64% recommended nicotine patches, 67% recommended bupropion, 32% recommended nicotine gum, 10% referred to cessation experts, and 26% referred to cessation programs "often or always." Advising cessation was related to being older, having a faculty appointment, having trained staff for smoking counseling, and having confidence to counsel patients about smoking. Physicians who were internists, younger, and those with greater confidence to counsel patients about smoking recommended nicotine replacement more often. Prescribing bupropion was less common among older physicians, in the Northeast, with trained staff available for counseling, and with a greater proportion of minority or Medicaid patients. Prescribing bupropion was more common among AMA-member physicians and physicians with greater confidence to counsel patients about smoking. Providing a referral to an outside expert or program was more common among female physicians, and physicians in the Northeast or West, with larger clinical practices, and with trained staff for cessation counseling. CONCLUSIONS: Current physician self-reported practices for smoking cessation suggest opportunity for improvement. Targeted efforts to educate and support subsets of primary care physicians may improve physician adherence and smoking outcomes.</t>
  </si>
  <si>
    <t>J2: Am J Prev Med; Schnoll, Robert A Rukstalis, Margaret Wileyto, E Paul Shields, Alexandra E Comment in: Am J Prev Med. 2007 Apr;32(4):358-9; PMID: 17383570; ID: 797</t>
  </si>
  <si>
    <t>Schnoll, Robert A. Transdisciplinary Tobacco Use Research Center, Department of Psychiatry, University of Pennsylvania, Philadelphia, Pennsylvania 19104, USA. schnoll@mail.med.upenn.edu</t>
  </si>
  <si>
    <t>http://ovidsp.ovid.com/ovidweb.cgi?T=JS&amp;CSC=Y&amp;NEWS=N&amp;PAGE=fulltext&amp;D=med5&amp;AN=16905034</t>
  </si>
  <si>
    <t>MEDLINE; Ovid Technologies; Smoking cessation treatment by primary care physicians: An update and call for training</t>
  </si>
  <si>
    <t>Schnoll,S.;Durburg,J.;Griffin,J.;Gitlow,S.;Hunter,R. B.;Sack,J.;Stimmel,B.;deWit,H.;Jara,G. B.</t>
  </si>
  <si>
    <t>Physician certification in addiction medicine 1986-1990: a four-year experience. The Examination Committee of ASAM</t>
  </si>
  <si>
    <t>*Alcoholism;*Certification/td Trends];Curriculum/td Trends];*Education, Medical/td Trends];Humans;*Substance-Related Disorders;United States</t>
  </si>
  <si>
    <t>J2: J Addict Dis; Schnoll, S Durburg, J Griffin, J Gitlow, S Hunter, R B Sack, J Stimmel, B deWit, H Jara, G B; ID: 1262</t>
  </si>
  <si>
    <t>http://ovidsp.ovid.com/ovidweb.cgi?T=JS&amp;CSC=Y&amp;NEWS=N&amp;PAGE=fulltext&amp;D=med3&amp;AN=8424964</t>
  </si>
  <si>
    <t>MEDLINE; Ovid Technologies; Physician certification in addiction medicine 1986-1990: a four-year experience. The Examination Committee of ASAM</t>
  </si>
  <si>
    <t>Schnoll,S. H.;Finch,J.</t>
  </si>
  <si>
    <t>Medical education for pain and addiction: making progress toward answering a need</t>
  </si>
  <si>
    <t>Journal of Law, Medicine &amp; Ethics</t>
  </si>
  <si>
    <t>Curriculum;*Education, Medical;Humans;Pain/dt Drug Therapy];*Pain;Pharmacology/ed Education];Physician-Patient Relations;*Substance-Related Disorders;United States</t>
  </si>
  <si>
    <t>J2: J Law Med Ethics; Schnoll, S H Finch, J; ID: 1196</t>
  </si>
  <si>
    <t>1073-1105</t>
  </si>
  <si>
    <t>http://ovidsp.ovid.com/ovidweb.cgi?T=JS&amp;CSC=Y&amp;NEWS=N&amp;PAGE=fulltext&amp;D=med3&amp;AN=7749481</t>
  </si>
  <si>
    <t>MEDLINE; Ovid Technologies; Medical education for pain and addiction: making progress toward answering a need</t>
  </si>
  <si>
    <t>Schorling,J. B.;Klas,P. T.;Willems,J. P.;Everett,A. S.</t>
  </si>
  <si>
    <t>Addressing alcohol use among primary care patients: differences between family medicine and internal medicine residents</t>
  </si>
  <si>
    <t>*Alcoholism/di Diagnosis];Alcoholism/ep Epidemiology];*Attitude of Health Personnel;Cross-Sectional Studies;*Family Practice/ed Education];Female;Humans;*Internal Medicine/ed Education];*Internship and Residency;Male;Medical History Taking;Middle Aged;Outpatient Clinics, Hospital;Physician-Patient Relations;Regression Analysis</t>
  </si>
  <si>
    <t>OBJECTIVES: To determine whether rates of addressing alcohol use differed between family medicine and internal medicine residents, and to determine whether attitudes, confidence, and perceptions affected these relationships. SETTING: Two university outpatient clinics, one staffed by family medicine and the other by primary care and categorical internal medicine residents. DESIGN: Cross-sectional study of consecutive patients who had been followed by second- and third-year residents for at least one year. MEASUREMENTS: Alcohol abuse was determined using the Michigan Alcoholism Screening Test (MAST), with a score &gt; or = 5 considered positive. Rates of addressing alcohol use in the preceding year were determined by patient report and chart review. Attitudes were assessed using the Substance Abuse Attitude Survey (SAAS). RESULTS: 334 patients of 49 residents completed the MAST. Rates of alcoholism among the patient groups were: family medicine, 8.3%; primary care, 29.1%; and categorical medicine, 18.0% (p &lt; 0.001). Screening behavior varied by type of residency: 47% of the family medicine, 71% of the primary care, and 65% of the categorical residents' patients reported being asked about alcohol use in the preceding year (p &lt; 0.001); chart documentation was present for 15% of the family medicine, 38% of the primary care, and 24% of the categorical residents' patients (p &lt; 0.001). Perceived prevalence of alcohol abuse, confidence in intervening, and several scales on the SAAS were related to residency type and to addressing alcohol use, but controlling for these variables did not affect the association between residency type and either patient report or chart documentation of screening. CONCLUSION: Rates of addressing alcohol use differed for internal medicine and family medicine residents, but were not due to differences in resident perceptions and attitudes.</t>
  </si>
  <si>
    <t>J2: J Gen Intern Med; Schorling, J B Klas, P T Willems, J P Everett, A S Comment in: J Gen Intern Med. 1994 May;9(5):296-8; PMID: 8046535; ID: 1224</t>
  </si>
  <si>
    <t>Schorling, J B. Department of Internal Medicine, University of Virginia Health Sciences Center, Charlottesville 22908.</t>
  </si>
  <si>
    <t>http://ovidsp.ovid.com/ovidweb.cgi?T=JS&amp;CSC=Y&amp;NEWS=N&amp;PAGE=fulltext&amp;D=med3&amp;AN=8046526</t>
  </si>
  <si>
    <t>MEDLINE; Ovid Technologies; Addressing alcohol use among primary care patients: differences between family medicine and internal medicine residents</t>
  </si>
  <si>
    <t>Schram,P.;Harris,S. K.;Van Hook,S.;Forman,S.;Mezzacappa,E.;Pavlyuk,R.;Levy,S.</t>
  </si>
  <si>
    <t>Implementing Adolescent Screening, Brief Intervention, and Referral to Treatment (SBIRT) Education in a Pediatric Residency Curriculum</t>
  </si>
  <si>
    <t>Adolescent;Adolescent Behavior;Adult;*Child Psychiatry/ed Education];Clinical Competence;*Curriculum;Female;Health Knowledge, Attitudes, Practice;Humans;*Internship and Residency;Male;*Mass Screening;*Pediatrics/ed Education];*Psychotherapy, Brief/ed Education];*Referral and Consultation;Self Efficacy;Substance-Related Disorders/di Diagnosis];Substance-Related Disorders/th Therapy];*Substance-Related Disorders</t>
  </si>
  <si>
    <t>BACKGROUND: Screening, brief intervention, and referral to treatment (SBIRT) is recommended as part of routine health care for adolescents as well as adults. In an effort to promote universal SBIRT, the Substance Abuse and Mental Health Services Administration awarded funding to residency programs to develop and implement SBIRT education and training. Our project focused on creating scientifically based, developmentally appropriate strategies and teaching materials for the adolescent age range. This paper describes curriculum development and implementation and presents evaluation data. METHODS: Pediatric and child psychiatry residents were trained. The training consisted of 4 activities: (1) case-based teaching modules, (2) role-play of motivational interviewing and brief interventions, (3) mock interviews with trained adolescents, and (4) supervised "hands-on" screening and brief interventions. Main outcome measures included trainee satisfaction, and SBIRT knowledge, perceived self-efficacy, and self- and observer report of use of the SBIRT algorithm. RESULTS: Among 150 total participants completing the SBIRT training modules, nearly all (92.3%) were satisfied/very satisfied with the training modules. Knowledge accuracy immediately post training was high, but declined significantly by the end of the first residency year, with little change across subsequent years of residency. Confidence ratings also declined over time. Use of the SBIRT algorithm during the Adolescent Medicine rotation was high according to trainee self- and faculty observer report. CONCLUSIONS: We found evidence of training satisfaction, increased confidence in talking to adolescents about substance use, and widespread use of recommended practices immediately following training. Use of a highly structured algorithm to guide practice, and simple, highly structured brief interventions was a successful training approach, as residents self-reported accurate use of the SBIRT algorithm immediately after training. Knowledge and self-confidence declined over time. It is possible that "booster" sessions and ongoing opportunities to review materials could help residents retain knowledge and skills.</t>
  </si>
  <si>
    <t>J2: Subst Abus; Schram, Patricia Harris, Sion K Van Hook, Shari Forman, Sara Mezzacappa, Enrico Pavlyuk, Roman Levy, Sharon; ID: 147</t>
  </si>
  <si>
    <t>Schram, Patricia. a Department of Pediatrics , Harvard Medical School , Boston , Massachusetts , USA.</t>
  </si>
  <si>
    <t>http://ovidsp.ovid.com/ovidweb.cgi?T=JS&amp;CSC=Y&amp;NEWS=N&amp;PAGE=fulltext&amp;D=med8&amp;AN=25036267</t>
  </si>
  <si>
    <t>https://dx.doi.org/10.1080/08897077.2014.936576</t>
  </si>
  <si>
    <t>MEDLINE; Ovid Technologies; Implementing Adolescent Screening, Brief Intervention, and Referral to Treatment (SBIRT) Education in a Pediatric Residency Curriculum</t>
  </si>
  <si>
    <t>Schroder,R.;Sellman,D.;Elmslie,J.</t>
  </si>
  <si>
    <t>Addictive overeating: lessons learned from medical students' perceptions of Overeaters Anonymous</t>
  </si>
  <si>
    <t>New Zealand Medical Journal</t>
  </si>
  <si>
    <t>N.Z.Med.J.</t>
  </si>
  <si>
    <t>*Attitude of Health Personnel;Attitude to Health;*Behavior, Addictive;*Feeding Behavior/px Psychology];Female;*Food;Humans;Male;*Motivation/ph Physiology];Retrospective Studies;*Students, Medical/px Psychology];*Surveys and Questionnaires</t>
  </si>
  <si>
    <t>AIM: To explore medical students' perceptions of Overeaters Anonymous (OA). METHOD: 72 fifth-year medical students' reports of their experiences of attending OA meetings were analysed using thematic analysis. Students were required to submit these reports in order to complete a compulsory component of the Addiction Medicine run in their medical training at the University of Otago, Christchurch during 2002-2007. RESULTS: Analysis of the students' reports highlights an emerging understanding of the concepts of addiction in general and addictive overeating in particular. This understanding is reflected in the students' acceptance of addictive overeating as a potential disorder and their increased empathy and confidence in working with patients with this disorder. CONCLUSIONS: Improving treatment for people with obesity is a major contemporary health challenge. Addictive overeating could be a critical element in understanding the nature of obesity but has not been the subject of extensive research to date. Medical students in this study discovered that addiction to food is not just a theoretical construct but fits with the actual experience of people. The poignancy of these narratives illustrates how such information can promote greater understanding of medical and other life issues which may benefit their identification and treatment.</t>
  </si>
  <si>
    <t>J2: N Z Med J; Schroder, Ria Sellman, Doug Elmslie, Jane; ID: 578</t>
  </si>
  <si>
    <t>1175-8716</t>
  </si>
  <si>
    <t>Schroder, Ria. National Addiction Centre, Department of Psychological Medicine, University of Otago, Christchurch, PO Box 4345, Christchurch Mail Centre, Christchurch 8140, New Zealand. ria.schroder@otago.ac.nz</t>
  </si>
  <si>
    <t>http://ovidsp.ovid.com/ovidweb.cgi?T=JS&amp;CSC=Y&amp;NEWS=N&amp;PAGE=fulltext&amp;D=med6&amp;AN=20360792</t>
  </si>
  <si>
    <t>MEDLINE; Ovid Technologies; Addictive overeating: lessons learned from medical students' perceptions of Overeaters Anonymous</t>
  </si>
  <si>
    <t>Schuckit,M. A.;Berger,F.</t>
  </si>
  <si>
    <t>The integration of an educational program into a treatment facility</t>
  </si>
  <si>
    <t>Alcoholism/rh Rehabilitation];*Alcoholism/th Therapy];California;*Education, Medical;Education, Medical, Undergraduate;Humans;Internship and Residency;*Psychiatry/ed Education];Students, Medical</t>
  </si>
  <si>
    <t>This paper reviews the integration of an active teaching program into a busy treatment facility. All first and second year medical students at the University of California, San Diego take part in a series of didactic lectures and small group discussions, while third and fourth year students have the opportunity of joining a treatment team for 4 to 6 weeks. All psychiatric residents spend a minimum of 8 weeks working on the unit, and one fourth year resident is chosen to work with the staff for a year. The interactions between treatment teams and students in various stages of development help maximize enthusiasm and the commitment to the best patient care possible.</t>
  </si>
  <si>
    <t>J2: Br J Addict; Schuckit, M A Berger, F; ID: 1383</t>
  </si>
  <si>
    <t>http://ovidsp.ovid.com/ovidweb.cgi?T=JS&amp;CSC=Y&amp;NEWS=N&amp;PAGE=fulltext&amp;D=med3&amp;AN=2720183</t>
  </si>
  <si>
    <t>MEDLINE; Ovid Technologies; The integration of an educational program into a treatment facility</t>
  </si>
  <si>
    <t>Schuit,K. W.;Otter,R.;Stewart,R.;Sleijfer,D. T.;Meijler,W. J.;Meyboom-De Jong,B.</t>
  </si>
  <si>
    <t>The effects of a postgraduate course on opioid-prescribing patterns of general practitioners</t>
  </si>
  <si>
    <t>*Drug Utilization;*Education, Medical, Continuing;*Family Practice/ed Education];Fentanyl/tu Therapeutic Use];Humans;Morphine/tu Therapeutic Use];*Narcotics/tu Therapeutic Use];Netherlands;Odds Ratio;*Palliative Care/ut Utilization];Practice Guidelines as Topic;*Practice Patterns, Physicians';0 (Narcotics);76I7G6D29C (Morphine);UF599785JZ (Fentanyl)</t>
  </si>
  <si>
    <t>BACKGROUND: The objective of this study is to evaluate whether a single palliative cancer care workshop, which included information about drug prescribing, had an effect on the opioid-prescription patterns of general practitioners in daily practice. METHOD: The opioid-prescription figures of 68 general practitioners who had participated in the workshop were aggregated from the computer system of the Regional Sick Fund. The prescription figures of a year before and a year after the workshop were compared and a control group of non-participants was included. RESULTS: This study showed a limited efficacy of a palliative cancer care workshop on the morphine-prescription figures of the general practitioners in daily practice. This limited effect did not accord with the results of a pre- and post-workshop questionnaire evaluating the attitudes of the same practitioners. CONCLUSION: A single workshop can not effectuate substantial changes in prescription behaviors. Possibilities for more reinforcements are discussed.</t>
  </si>
  <si>
    <t>J2: J Cancer Educ; Schuit, K W Otter, R Stewart, R Sleijfer, D T Meijler, W J Meyboom-De Jong, B; ID: 1013</t>
  </si>
  <si>
    <t>Schuit, K W. Comprehensive Cancer Center North Netherlands, Groningen.</t>
  </si>
  <si>
    <t>http://ovidsp.ovid.com/ovidweb.cgi?T=JS&amp;CSC=Y&amp;NEWS=N&amp;PAGE=fulltext&amp;D=med4&amp;AN=11199238</t>
  </si>
  <si>
    <t>MEDLINE; Ovid Technologies; The effects of a postgraduate course on opioid-prescribing patterns of general practitioners</t>
  </si>
  <si>
    <t>Schultz,C. R.;Benson,J. J.;Cook,D. A.;Warner,D. O.</t>
  </si>
  <si>
    <t>Training for perioperative smoking cessation interventions: a national survey of anesthesiology program directors and residents</t>
  </si>
  <si>
    <t>*Anesthesiology/ed Education];Attitude of Health Personnel;Clinical Competence;*Education, Medical, Graduate/og Organization &amp; Administration];*Health Promotion/mt Methods];Humans;Internship and Residency;*Perioperative Care/ed Education];Perioperative Care/mt Methods];*Smoking Cessation;Smoking Prevention;United States</t>
  </si>
  <si>
    <t>STUDY OBJECTIVE: To ascertain current knowledge, attitudes, and practices of anesthesiology residents regarding tobacco control, and to determine the characteristics of current residency training offered in tobacco control. DESIGN: Electronically distributed survey instrument of anesthesiology residency program directors and residents. SETTING: University medical center. MEASUREMENTS AND MAIN RESULTS: The program director and resident response rates were 75/131 (57.3%) and 490/1182 (41.4%), respectively. Programs currently provide education regarding the perioperative consequences of smoking and, with the exception of the effect of smoking cessation shortly before surgery, resident knowledge reflected this curricular emphasis. However, the strong majority of programs did not offer education on how to ask about smoking status and advise cessation (79.5%) or help tobacco users quit before surgery (89.0%), though both program directors and residents felt these topics should be covered. A strong majority of residents (87.8%) felt the perioperative period was an effective time to assist in long-term smoking cessation, and desired education on tobacco control. Barriers to helping patients quit preoperatively included lack of time and low confidence in counseling abilities. CONCLUSIONS: A need exists for expanded formal education on perioperative tobacco cessation interventions for anesthesiology residents.</t>
  </si>
  <si>
    <t>J2: J Clin Anesth; Schultz, Caleb R Benson, Jeffrey J Cook, David A Warner, David O S0952-8180(14)00179-2; ID: 235</t>
  </si>
  <si>
    <t>Schultz, Caleb R. Department of Anesthesiology, Mayo Clinic, Rochester, MN 55905, USA. Electronic address: caleb.r.schultz@gmail.com. Benson, Jeffrey J. Department of Anesthesiology, Mayo Clinic, Rochester, MN 55905, USA. Cook, David A. Department of Internal Medicine, Mayo Clinic, Rochester, MN 55905, USA. Warner, David O. Department of Internal Medicine, Mayo Clinic, Rochester, MN 55905, USA.</t>
  </si>
  <si>
    <t>http://ovidsp.ovid.com/ovidweb.cgi?T=JS&amp;CSC=Y&amp;NEWS=N&amp;PAGE=fulltext&amp;D=med8&amp;AN=25439420</t>
  </si>
  <si>
    <t>https://dx.doi.org/10.1016/j.jclinane.2014.04.008</t>
  </si>
  <si>
    <t>MEDLINE; Ovid Technologies; Training for perioperative smoking cessation interventions: a national survey of anesthesiology program directors and residents</t>
  </si>
  <si>
    <t>Schuurmans,M. M.;Bussinger,C.;Muller,V.;Burkhalter,A. K.;Bolliger,C. T.</t>
  </si>
  <si>
    <t>Smoking cessation training for physicians and other health professionals in Switzerland]</t>
  </si>
  <si>
    <t>Therapeutische Umschau</t>
  </si>
  <si>
    <t>Cross-Sectional Studies;Curriculum;Documentation/mt Methods];Education;*Education, Medical, Continuing;*Health Personnel/ed Education];Humans;Physician-Patient Relations;Smoking/ep Epidemiology];*Smoking Cessation;Smoking Prevention;Switzerland</t>
  </si>
  <si>
    <t>Almost one third of the Swiss population smokes. Of these persons a large percentage would like to quit smoking each year. It is well known that the odds to quit successfully are improved by professional counseling and medication support. In order to counsel the numerous smokers interested in quitting a sufficient number of professionals needs to be trained in smoking cessation. For this training a short and extended course in smoking cessation for physicians is available (Frei von Tabak project). For non-physician health professionals there is a postgraduate course in tobacco prevention and smoking cessation and for both groups of professionals there is the Hospital QuitSupport workshop, which aims to support and promote hospital-based smoking cessation counseling. Smoking cessation counseling by physicians is remunerated in the outpatient setting. For non-physician smoking cessation counselling, however, there is no such tarif for remuneration. This drawback presents a considerable obstacle for the establishment of a large-scale smoking cessation counseling network in Switzerland.</t>
  </si>
  <si>
    <t>J2: Ther Umsch; German Schuurmans, Mace M Bussinger, Claudia Muller, Vera Burkhalter, Anne Katharina Bolliger, Chris T; OP: Rauchstopp-Weiterbildung fur Arzte und nicht-arztliche Fachpersonen in der Schweiz; ID: 562</t>
  </si>
  <si>
    <t>0040-5930</t>
  </si>
  <si>
    <t>Schuurmans, Mace M. Pneumologie, Universitatsspital Zurich, Zurich. maceschuurmans@yahoo.com</t>
  </si>
  <si>
    <t>http://ovidsp.ovid.com/ovidweb.cgi?T=JS&amp;CSC=Y&amp;NEWS=N&amp;PAGE=fulltext&amp;D=med6&amp;AN=20687043</t>
  </si>
  <si>
    <t>https://dx.doi.org/10.1024/0040-5930/a000072</t>
  </si>
  <si>
    <t>MEDLINE; Ovid Technologies; [Smoking cessation training for physicians and other health professionals in Switzerland]</t>
  </si>
  <si>
    <t>Schwartz,B.;Wetzler,S.;Swanson,A.;Sung,S. C.</t>
  </si>
  <si>
    <t>Subtyping of substance use disorders in a high-risk welfare-to-work sample: a latent class analysis</t>
  </si>
  <si>
    <t>Adolescent;Adult;Aged;Case Management;Chi-Square Distribution;Databases, Factual;Diagnosis, Dual (Psychiatry);Female;Humans;Male;Middle Aged;*Models, Statistical;Poverty;*Public Assistance/sn Statistics &amp; Numerical Data];Retrospective Studies;Severity of Illness Index;Substance-Related Disorders/ec Economics];*Substance-Related Disorders/ep Epidemiology];Substance-Related Disorders/pp Physiopathology];United States;Young Adult</t>
  </si>
  <si>
    <t>The goals of this study were (a) to investigate the existence of substance abuse/dependence subtypes in a diverse low-income welfare to work sample and (b) to explore subtype differences in rates of comorbid psychiatric and medical conditions. Data for all demographic and clinical variables were extracted from deidentified case records of 4,977 clients enrolled in a comprehensive case management program for welfare recipients with substance use disorders. Latent class analysis supported a five-class model made up of a multiple abuse/dependence class (n = 1,133), a cocaine/alcohol class (n = 2,120), an opioids class (n = 1,346), a cannabis class (n = 362), and a small polysubstance/none primary class (n = 16). Post hoc chi-square analyses revealed several between-class differences, perhaps reflecting differing levels of severity and service needs. All five classes were characterized by high rates of medical and psychiatric comorbidity.</t>
  </si>
  <si>
    <t>J2: J Subst Abuse Treat; Schwartz, Bruce Wetzler, Scott Swanson, Arthur Sung, Sharon C; ID: 569</t>
  </si>
  <si>
    <t>Schwartz, Bruce. Department of Psychiatry and Behavioral Sciences, Montefiore Medical Center/Albert Einstein College of Medicine, Bronx, NY 10467, USA.</t>
  </si>
  <si>
    <t>http://ovidsp.ovid.com/ovidweb.cgi?T=JS&amp;CSC=Y&amp;NEWS=N&amp;PAGE=fulltext&amp;D=med6&amp;AN=20362407</t>
  </si>
  <si>
    <t>https://dx.doi.org/10.1016/j.jsat.2010.03.001</t>
  </si>
  <si>
    <t>MEDLINE; Ovid Technologies; Subtyping of substance use disorders in a high-risk welfare-to-work sample: a latent class analysis</t>
  </si>
  <si>
    <t>Schwartz,R. H.;Johnson,N. P.;Hornung,C. A.;Phelps,G. L.;Berg,E. W.</t>
  </si>
  <si>
    <t>Awareness of substance abuse in orthopedic patients: a survey of orthopedic surgeons</t>
  </si>
  <si>
    <t>Alcoholism/di Diagnosis];*Alcoholism;*Analgesics;*Benzodiazepines;Drug Prescriptions;Education, Medical, Continuing;Female;Humans;Male;Middle Aged;*Orthopedics;Patients;Professional Practice;*Substance-Related Disorders;Surveys and Questionnaires;0 (Analgesics);12794-10-4 (Benzodiazepines)</t>
  </si>
  <si>
    <t>We surveyed 178 orthopedic physicians in the Washington, DC, area to ascertain the effect on patient care of previous education in the area of drug and alcohol issues. The return rate was 75%. Of the respondents, 99% were male, average age was 46.7 years (+/- 9.3), and average number of years in practice was 15.2 (+/- 9.6). A majority of respondents indicated that they did not have training in the abuse potential of analgesics (92 69%]), characteristics of benzodiazepine abuse (77 58%]), or when to seek the assistance of an addiction medicine specialist for patients with chronic pain (106 80%]). Only 41 (31%) of the orthopedists indicated that they inquire about alcohol and drug use before prescribing opiates for more than a week. We offer suggestions for self-education for interested physicians.</t>
  </si>
  <si>
    <t>J2: South Med J; Schwartz, R H Johnson, N P Hornung, C A Phelps, G L Berg, E W; ID: 1302</t>
  </si>
  <si>
    <t>Schwartz, R H. Department of Pediatrics, Fairfax Hospital, Falls Church, Va.</t>
  </si>
  <si>
    <t>http://ovidsp.ovid.com/ovidweb.cgi?T=JS&amp;CSC=Y&amp;NEWS=N&amp;PAGE=fulltext&amp;D=med3&amp;AN=1749977</t>
  </si>
  <si>
    <t>MEDLINE; Ovid Technologies; Awareness of substance abuse in orthopedic patients: a survey of orthopedic surgeons</t>
  </si>
  <si>
    <t>Schwartz,R. H.;Lewis,D. C.;Hoffmann,N. G.;Kyriazi,N.</t>
  </si>
  <si>
    <t>Cocaine and marijuana use by medical students before and during medical school.Erratum appears in Arch Intern Med 1991 Jan;151(1):196]</t>
  </si>
  <si>
    <t>Alcoholism/ep Epidemiology];*Cocaine;District of Columbia/ep Epidemiology];Female;Humans;Male;*Marijuana Smoking/ep Epidemiology];Schools, Medical;Smoking/ep Epidemiology];*Students, Medical;*Substance-Related Disorders/ep Epidemiology];Surveys and Questionnaires;I5Y540LHVR (Cocaine)</t>
  </si>
  <si>
    <t>A survey of alcohol and other drug-use patterns of 300 second- and third-year students at a mid-Atlantic private medical school was undertaken in 1987. Two hundred sixty-three (88%) of the medical students surveyed completed the anonymous questionnaire. Tobacco use decreased from 11% before to 4% during medical school. Before entry into medical school, 21% of the respondents had smoked marijuana 10 times or more, usually at least monthly, while 9% had smoked marijuana 10 times or more during medical school. Six percent had smoked marijuana daily in high school or college, while 1% smoked marijuana daily in medical school. Few students who used cocaine before medical school abstained from it during medical school. Cocaine was used by 17% of the respondents before and during medical school. Frequent use of cocaine (greater than 10 times) during medical school, reported by 5% of the students, was directly related to excessive alcohol intake, tobacco dependence, frequent use of marijuana before and during medical school, and medical and behavioral problems related to alcohol and other drug use. Less than 25% of medical schools have a formal policy aimed at identifying impaired students, and only 12% have formal treatment protocols for helping impaired students. We propose that all medical schools initiate programs to diagnose alcohol and other drug-abuse problems in medical student candidates and in the students themselves, and that intervention for any alcohol or other drug problem be encouraged and supported by formal medical school policies designed to help the impaired student.</t>
  </si>
  <si>
    <t>J2: Arch Intern Med; Schwartz, R H Lewis, D C Hoffmann, N G Kyriazi, N; ID: 1359</t>
  </si>
  <si>
    <t>Schwartz, R H. Department of Child Health and Development, George Washington University Health Science Center, Washington, DC.</t>
  </si>
  <si>
    <t>http://ovidsp.ovid.com/ovidweb.cgi?T=JS&amp;CSC=Y&amp;NEWS=N&amp;PAGE=fulltext&amp;D=med3&amp;AN=2327847</t>
  </si>
  <si>
    <t>MEDLINE; Ovid Technologies; Cocaine and marijuana use by medical students before and during medical school.[Erratum appears in Arch Intern Med 1991 Jan;151(1):196]</t>
  </si>
  <si>
    <t>Schwartz,R. H.;Luxenberg,M. G.;Hoffmann,N. G.</t>
  </si>
  <si>
    <t>Crack use by American middle-class adolescent polydrug abusers</t>
  </si>
  <si>
    <t>Journal of Pediatrics</t>
  </si>
  <si>
    <t>J.Pediatr.</t>
  </si>
  <si>
    <t>Adolescent;Adult;Cocaine/ae Adverse Effects];*Cocaine/aa Analogs &amp; Derivatives];Female;Humans;Male;Substance-Related Disorders/co Complications];*Substance-Related Disorders/ep Epidemiology];Substance-Related Disorders/et Etiology];Substance-Related Disorders/px Psychology];United States/ep Epidemiology];I5Y540LHVR (Cocaine)</t>
  </si>
  <si>
    <t>A 77-item questionnaire on cocaine and "crack" use patterns, and on the addictive, medical, and criminal consequences of such use, was completed by 464 largely white, middle-class, suburban, teenage drug abusers registered in seven geographically disparate outpatient treatment facilities. Of the 130 (28%) who smoked crack, 87 (67%) were designated as "experimenters" (use of crack 1 to 9 times); 20 (15%) were in an intermediate group (smoked crack 10 to 50 times); and 23 (18%) were heavy users (smoked crack more than 50 times). Sixty percent of heavy users progressed from initiation of crack use to its use at least once a week in less than 3 months. Almost 50% of the 87 experimenters and nearly all the 23 heavy users recalled preoccupation with thoughts of crack, rapid loss of the ability to modulate their use of the drug, and rapid development of pharmacologic tolerance. Suspiciousness, mistrust, and depressed mood were associated with the increasing use of crack. Seizures occurred in none of those who used cocaine by snorting it intranasally (without ever smoking crack), in contrast to 1% of the experimenters and 9% of the 43 respondents who had smoked crack at least 10 times. Seven percent of the 87 experimenters versus almost one fourth of the 43 who smoked crack more frequently had injected cocaine intravenously. The use of crack by middle-class adolescents is associated with rapid addiction and with serious behavioral and medical complications.</t>
  </si>
  <si>
    <t>J2: J Pediatr; Schwartz, R H Luxenberg, M G Hoffmann, N G; ID: 1329</t>
  </si>
  <si>
    <t>0022-3476</t>
  </si>
  <si>
    <t>Schwartz, R H. Department of Pediatrics, Fairfax Hospital, Falls Church, Virginia.</t>
  </si>
  <si>
    <t>http://ovidsp.ovid.com/ovidweb.cgi?T=JS&amp;CSC=Y&amp;NEWS=N&amp;PAGE=fulltext&amp;D=med3&amp;AN=1986085</t>
  </si>
  <si>
    <t>MEDLINE; Ovid Technologies; "Crack" use by American middle-class adolescent polydrug abusers</t>
  </si>
  <si>
    <t>Scotch,F. L.;Fleger-Berman,L.;Shaffer,H. J.</t>
  </si>
  <si>
    <t>Evaluating the impact of a clinical training program in the addictions</t>
  </si>
  <si>
    <t>Adult;*Alcoholism/rh Rehabilitation];Career Choice;Curriculum;*Fellowships and Scholarships;Female;Humans;*Internship and Residency;Male;Massachusetts;*Substance-Related Disorders/rh Rehabilitation]</t>
  </si>
  <si>
    <t>This research examined students who were enrolled in a specialized addiction treatment training program to evaluate the impact of this year-long internship experience on their professional lives. Achieving an 87.5% survey completion rate, the vast majority of program graduates assessed the overall training program and its component activities very positively. The topics and activities associated with "drug dependence" were evaluated more positively than the training events associated with pathological gambling. Furthermore, the majority of program graduates obtained jobs in the addiction field. As a result of the training program, approximately 74.5% of respondents stated that they had changed their beliefs about addiction. In addition, many respondents commented that their participation in the program changed their stereotypes of people with addiction. The findings provide suggestions and guidance for other clinical training programs that can gain from the experiences of fellows who studied at the Norman E. Zinberg Center for Addiction Studies.</t>
  </si>
  <si>
    <t>J2: Subst Use Misuse; Scotch, F L Fleger-Berman, L Shaffer, H J; ID: 1127</t>
  </si>
  <si>
    <t>Scotch, F L. Division on Addictions, Harvard Medical School, Boston, Massachusetts 02115, USA.</t>
  </si>
  <si>
    <t>http://ovidsp.ovid.com/ovidweb.cgi?T=JS&amp;CSC=Y&amp;NEWS=N&amp;PAGE=fulltext&amp;D=med4&amp;AN=9286003</t>
  </si>
  <si>
    <t>MEDLINE; Ovid Technologies; Evaluating the impact of a clinical training program in the addictions</t>
  </si>
  <si>
    <t>Scott,C. S.;Neighbor,W. E.;Brock,D. M.</t>
  </si>
  <si>
    <t>Physicians' attitudes toward preventive care services: a seven-year prospective cohort study</t>
  </si>
  <si>
    <t>*Attitude of Health Personnel;*Attitude to Health;Cohort Studies;Humans;Internship and Residency;Patient Education as Topic;*Physicians/px Psychology];Physicians/sn Statistics &amp; Numerical Data];Physicians, Family/px Psychology];Physicians, Family/sn Statistics &amp; Numerical Data];*Preventive Health Services/sn Statistics &amp; Numerical Data];Prospective Studies;Surveys and Questionnaires;Time Factors;Washington</t>
  </si>
  <si>
    <t>We report results of a seven-year prospective cohort study of physicians' attitudes about and intentions to provide 27 preventive care services in their future practices. Respondents in the cohort were surveyed three times: first, during orientation to medical school; second, during their third year of medical school; and finally, following completion of their third-year of residency training. The majority of preventive care services were viewed as more important to clinical practice in primary care than in non-primary care specialties. Positive attitudes toward preventive care services generally persisted among both primary and non-primary care physicians. Respondents expressed only fair to medium levels of confidence in the ability of physicians in their specialty areas to provide any of the preventive services examined. Respondents reported low levels of confidence in the ability of primary care physicians to provide nutritional counseling, though they ranked it as important. Respondents were fairly or moderately confident in the ability of primary care physicians to provide counseling about smoking cessation, health, AIDS education, and substance abuse. Participants ranked smoking cessation counseling, health counseling, AIDS education, cancer detection education, and substance abuse counseling and education as very important. In general, physicians were less likely to plan on providing preventive services than they were to expect their residency programs to prepare most or all to provide the services. Findings document the need to prepare physicians better to provide preventive services.</t>
  </si>
  <si>
    <t>J2: Am J Prev Med; Scott, C S Neighbor, W E Brock, D M; ID: 1273</t>
  </si>
  <si>
    <t>Scott, C S. Department of Medical Education, University of Washington School of Medicine, Seattle 98195.</t>
  </si>
  <si>
    <t>http://ovidsp.ovid.com/ovidweb.cgi?T=JS&amp;CSC=Y&amp;NEWS=N&amp;PAGE=fulltext&amp;D=med3&amp;AN=1524861</t>
  </si>
  <si>
    <t>MEDLINE; Ovid Technologies; Physicians' attitudes toward preventive care services: a seven-year prospective cohort study</t>
  </si>
  <si>
    <t>Scott,D. M.;McLaurin-Jones,T.;Brown,F. D.;Newton,R.;Marshall,V. J.;Kalu,N.;Cain,G. E.;Taylor,R. E.</t>
  </si>
  <si>
    <t>Institutional incorporation of screening, brief intervention, and referral to treatment (SBIRT) in residency training: achieving a sustainable curriculum</t>
  </si>
  <si>
    <t>*Clinical Competence;Cultural Competency/ed Education];*Curriculum/st Standards];Evidence-Based Medicine/ed Education];Humans;*Internal Medicine/ed Education];*Internship and Residency/mt Methods];Program Development/mt Methods];*Psychotherapy, Brief/ed Education];*Referral and Consultation;*Substance Abuse Detection;*Substance-Related Disorders</t>
  </si>
  <si>
    <t>The success of implementing a screening, brief intervention and referral to treatment (SBIRT) program within a medical residency program for sustainability is contingent upon a well-crafted training curriculum that incorporates substance abuse education and clinical practice skills. The goal of the Howard University (HU) SBIRT program is to train residents in providing culturally competent evidence-based screening, brief intervention and referral to treatment for patients who have a substance use disorder or who are at risk for developing the disorder. Utilizing the Office of Graduate Medical Education (GME) allows all residents to be trained in SBIRT techniques and receive continuing education in SBIRT and SBIRT-related topics through new resident orientation and the core lecture series. The utilization of Graduate Medical Education office has allowed a robust SBIRT training program to be implemented into medical residency education, contributing to the sustainability of SBIRT as a component of patient care.</t>
  </si>
  <si>
    <t>J2: Subst Abus; Scott, Denise M McLaurin-Jones, TyWanda Brown, Fannie D Newton, Robin Marshall, Vanessa J Kalu, Nnenna Cain, Gloria E Taylor, Robert E; ID: 411</t>
  </si>
  <si>
    <t>Scott, Denise M. Department of Pediatrics, Howard University, Washington, DC 20059, USA. d_m_scott2@howard.edu</t>
  </si>
  <si>
    <t>http://ovidsp.ovid.com/ovidweb.cgi?T=JS&amp;CSC=Y&amp;NEWS=N&amp;PAGE=fulltext&amp;D=med7&amp;AN=22738011</t>
  </si>
  <si>
    <t>https://dx.doi.org/10.1080/08897077.2011.640135</t>
  </si>
  <si>
    <t>MEDLINE; Ovid Technologies; Institutional incorporation of screening, brief intervention, and referral to treatment (SBIRT) in residency training: achieving a sustainable curriculum</t>
  </si>
  <si>
    <t>Seale,J. P.;Amodei,N.;Littlefield,J.;Ortiz,E.;Bedolla,M.;Yuan,C. H.</t>
  </si>
  <si>
    <t>An instrument to evaluate alcohol-abuse interviewing and intervention skills</t>
  </si>
  <si>
    <t>*Alcoholism/di Diagnosis];Alcoholism/th Therapy];*Clinical Competence/st Standards];*Education, Medical/st Standards];*Educational Measurement/mt Methods];Educational Measurement/st Standards];Factor Analysis, Statistical;Humans;*Interview, Psychological/st Standards];Observer Variation;Reproducibility of Results;Videotape Recording/ut Utilization]</t>
  </si>
  <si>
    <t>At the University of Texas Health Science Center at San Antonio from 1988 through 1990, the authors developed the Alcoholism Intervention Performance Evaluation (AIPE), a rating instrument for the evaluation of alcohol-abuse interviewing and intervention skills. Factor analysis of 51 rating items identified seven factors that accounted for most of the variability among the items; 35 were retained and assigned to the factor with which they correlated most highly, thus resulting in a seven-factor instrument with 35 items. The AIPE overall score had an interrater reliability of .73 (for four raters each rating approximately 30 videotaped simulated-patient interviews) and a test-retest reliability of .89 (for one rater rescoring 20 interviews after one month). The authors suggest that the individual scores for the seven factors can be used to provide instructional feedback to trainees and that the overall score can be used to certify interviewer proficiency.</t>
  </si>
  <si>
    <t>J2: Acad Med; Seale, J P Amodei, N Littlefield, J Ortiz, E Bedolla, M Yuan, C H; ID: 1280</t>
  </si>
  <si>
    <t>Seale, J P. Department of Family Practice (DFP), University of Texas Health Science Center, (UTHSC), San Antonio 78284-7818.</t>
  </si>
  <si>
    <t>http://ovidsp.ovid.com/ovidweb.cgi?T=JS&amp;CSC=Y&amp;NEWS=N&amp;PAGE=fulltext&amp;D=med3&amp;AN=1616568</t>
  </si>
  <si>
    <t>MEDLINE; Ovid Technologies; An instrument to evaluate alcohol-abuse interviewing and intervention skills</t>
  </si>
  <si>
    <t>Seale,J. P.;Johnson,J. A.;Clark,D. C.;Shellenberger,S.;Pusser,A. T.;Dhabliwala,J.;Sigman,E. J.;Dittmer,T.;Barnes Le,K.;Miller,D. P.;Clemow,D.</t>
  </si>
  <si>
    <t>A Multisite Initiative to Increase the Use of Alcohol Screening and Brief Intervention Through Resident Training and Clinic Systems Changes</t>
  </si>
  <si>
    <t>Adult;*Alcoholism/di Diagnosis];Alcoholism/ep Epidemiology];Ambulatory Care Facilities/og Organization &amp; Administration];Chi-Square Distribution;*Clinical Competence;Curriculum;Education, Medical, Graduate/mt Methods];Evidence-Based Medicine;*Family Practice/ed Education];Female;Humans;*Internship and Residency/og Organization &amp; Administration];Male;Mass Screening/mt Methods];Medical History Taking/mt Methods];Primary Health Care/mt Methods];Program Evaluation;United States</t>
  </si>
  <si>
    <t>PURPOSE: Screening and brief intervention (SBI) is a seldom-used evidence-based practice for reducing unhealthy alcohol use among primary care patients. This project assessed the effectiveness of a regional consortium's training efforts in increasing alcohol SBI. METHOD: Investigators combined alcohol SBI residency training efforts with clinic SBI implementation processes and used chart reviews to assess impact on SBI rates in four residency clinics. Data were derived from a random sample of patient charts collected before (2010; n = 662) and after (2011; n = 656) resident training/clinic implementation. Patient charts were examined for evidence that patients were asked about alcohol use by a validated screening instrument, the screening result (positive or negative), evidence that patients received a brief intervention, prescriptions for medications to assist abstinence, and referrals to alcohol treatment. Chi-square analyses identified differences in pre- and posttraining implementation of SBI practices. RESULTS: Following program implementation, screening with validated instruments increased from 151/662 (22.8%) at baseline to 543/656 (82.8%, P &lt; .01), and identification of unhealthy alcohol use increased from 12/662 (1.8%) to 41/656 (6.3%, P &lt; .01). Performance of brief interventions more than doubled (10/662 1.5%] versus 24/656 3.7%], P &lt; .01). There were no increases in the use of medications or referrals to treatment. CONCLUSIONS: Resident training combined with clinic implementation efforts can increase the delivery of evidence-based practices such as alcohol SBI in residency clinics.</t>
  </si>
  <si>
    <t>J2: Acad Med; Seale, J Paul Johnson, J Aaron Clark, Denice Crowe Shellenberger, Sylvia Pusser, Andrea T Dhabliwala, Jason Sigman, Erika J Dittmer, Trenton Barnes Le, Kristy Miller, David P Clemow, Diana; ID: 189</t>
  </si>
  <si>
    <t>Seale, J Paul. J.P. Seale is professor and director of research, Department of Family Medicine, Navicent Health and Mercer University School of Medicine, Macon, Georgia. J.A. Johnson is associate professor, Institute of Public and Preventive Health and Department of Psychology, Georgia Regents University, Augusta, Georgia. D.C. Clark is project coordinator, Department of Family Medicine, Navicent Health and Mercer University School of Medicine, Macon, Georgia. S. Shellenberger is professor and director of behavioral sciences, Department of Family Medicine, Navicent Health and Mercer University School of Medicine, Macon, Georgia. A.T. Pusser is graduate research assistant, Department of Family Medicine, Mercer University School of Medicine, Macon, Georgia. J. Dhabliwala is research assistant, Department of Family Medicine, Mercer University School of Medicine, Macon, Georgia. E.J. Sigman is a third-year medical student, Mercer University School of Medicine, Macon, Georgia. T. Dittmer is a third-year medical student, Mercer University School of Medicine, Macon, Georgia. K.B. Le is assistant professor, Department of Internal Medicine, Wake Forest School of Medicine, Winston-Salem, North Carolina. D.P. Miller is associate professor, Department of Internal Medicine, Wake Forest School of Medicine, Winston-Salem, North Carolina. D. Clemow is assistant professor, AnMed Health Family Medicine Residency Program, Anderson, South Carolina.</t>
  </si>
  <si>
    <t>http://ovidsp.ovid.com/ovidweb.cgi?T=JS&amp;CSC=Y&amp;NEWS=N&amp;PAGE=fulltext&amp;D=med8&amp;AN=26200578</t>
  </si>
  <si>
    <t>https://dx.doi.org/10.1097/ACM.0000000000000846</t>
  </si>
  <si>
    <t>MEDLINE; Ovid Technologies; A Multisite Initiative to Increase the Use of Alcohol Screening and Brief Intervention Through Resident Training and Clinic Systems Changes</t>
  </si>
  <si>
    <t>Seale,J. P.;Shellenberger,S.;Boltri,J. M.;Okosun,I. S.;Barton,B.</t>
  </si>
  <si>
    <t>Effects of screening and brief intervention training on resident and faculty alcohol intervention behaviours: a pre- post-intervention assessment</t>
  </si>
  <si>
    <t>Adult;Alcoholism/di Diagnosis];*Alcoholism/pc Prevention &amp; Control];Clinical Competence;Counseling/ut Utilization];*Counseling;Education, Medical, Continuing;*Faculty, Medical/st Standards];*Family Practice/ed Education];Family Practice/st Standards];Female;Georgia;Humans;*Internship and Residency/st Standards];Male;Mass Screening/ut Utilization];*Mass Screening;Middle Aged;Pilot Projects;*Practice Patterns, Physicians'/sn Statistics &amp; Numerical Data];Program Evaluation;Surveys and Questionnaires</t>
  </si>
  <si>
    <t>BACKGROUND: Many hazardous and harmful drinkers do not receive clinician advice to reduce their drinking. Previous studies suggest under-detection and clinician reluctance to intervene despite awareness of problem drinking (PD). The Healthy Habits Project previously reported chart review data documenting increased screening and intervention with hazardous and harmful drinkers after training clinicians and implementing routine screening. This report describes the impact of the Healthy Habits training program on clinicians' rates of identification of PD, level of certainty in identifying PD and the proportion of patients given advice to reduce alcohol use, based on self-report data using clinician exit questionnaires. METHODS: 28 residents and 10 faculty in a family medicine residency clinic completed four cycles of clinician exit interview questionnaires before and after screening and intervention training. Rates of identifying PD, level of diagnostic certainty, and frequency of advice to reduce drinking were compared across intervention status (pre vs. post). Findings were compared with rates of PD and advice to reduce drinking documented on chart review. RESULTS: 1,052 clinician exit questionnaires were collected. There were no significant differences in rates of PD identified before and after intervention (9.8% vs. 7.4%, p = .308). Faculty demonstrated greater certainty in PD diagnoses than residents (p = .028) and gave more advice to reduce drinking (p = .042) throughout the program. Faculty and residents reported higher levels of diagnostic certainty after training (p = .039 and .030, respectively). After training, residents showed greater increases than faculty in the percentage of patients given advice to reduce drinking (p = .038), and patients felt to be problem drinkers were significantly more likely to receive advice to reduce drinking by all clinicians (50% vs. 75%, p = .047). The number of patients receiving advice to reduce drinking after program implementation exceeded the number of patients felt to be problem drinkers. Recognition rates of PD were four to eight times higher than rates documented on chart review (p = .028). CONCLUSION: This program resulted in greater clinician certainty in diagnosing PD and increases in the number of patients with PD who received advice to reduce drinking. Future programs should include booster training sessions and emphasize documentation of PD and brief intervention.</t>
  </si>
  <si>
    <t>J2: BMC Fam Pract; Seale, J Paul Shellenberger, Sylvia Boltri, John M Okosun, I S Barton, Barbara; ID: 846</t>
  </si>
  <si>
    <t>Seale, J Paul. Department of Family Medicine, Mercer University School of Medicine, Medical Center of Central Georgia, Macon, GA 31210, USA. seale.paul@mccg.org</t>
  </si>
  <si>
    <t>http://ovidsp.ovid.com/ovidweb.cgi?T=JS&amp;CSC=Y&amp;NEWS=N&amp;PAGE=fulltext&amp;D=med5&amp;AN=16271146</t>
  </si>
  <si>
    <t>MEDLINE; Ovid Technologies; Effects of screening and brief intervention training on resident and faculty alcohol intervention behaviours: a pre- post-intervention assessment</t>
  </si>
  <si>
    <t>Seale,J. P.;Shellenberger,S.;Clark,D. C.</t>
  </si>
  <si>
    <t>Providing competency-based family medicine residency training in substance abuse in the new millennium: a model curriculum</t>
  </si>
  <si>
    <t>*Family Practice/ed Education];Humans;Internship and Residency/ec Economics];*Internship and Residency;*Models, Organizational;Problem-Based Learning/ec Economics];*Problem-Based Learning/og Organization &amp; Administration];*Substance-Related Disorders;Surveys and Questionnaires</t>
  </si>
  <si>
    <t>BACKGROUND: This article, developed for the Betty Ford Institute Consensus Conference on Graduate Medical Education (December, 2008), presents a model curriculum for Family Medicine residency training in substance abuse. METHODS: The authors reviewed reports of past Family Medicine curriculum development efforts, previously-identified barriers to education in high risk substance use, approaches to overcoming these barriers, and current training guidelines of the Accreditation Council for Graduate Medical Education (ACGME) and their Family Medicine Residency Review Committee. A proposed eight-module curriculum was developed, based on substance abuse competencies defined by Project MAINSTREAM and linked to core competencies defined by the ACGME. The curriculum provides basic training in high risk substance use to all residents, while also addressing current training challenges presented by U.S. work hour regulations, increasing international diversity of Family Medicine resident trainees, and emerging new primary care practice models. RESULTS: This paper offers a core curriculum, focused on screening, brief intervention and referral to treatment, which can be adapted by residency programs to meet their individual needs. The curriculum encourages direct observation of residents to ensure that core skills are learned and trains residents with several "new skills" that will expand the basket of substance abuse services they will be equipped to provide as they enter practice. CONCLUSIONS: Broad-based implementation of a comprehensive Family Medicine residency curriculum should increase the ability of family physicians to provide basic substance abuse services in a primary care context. Such efforts should be coupled with faculty development initiatives which ensure that sufficient trained faculty are available to teach these concepts and with efforts by major Family Medicine organizations to implement and enforce residency requirements for substance abuse training.</t>
  </si>
  <si>
    <t>J2: BMC Med Educ; Seale, J Paul Shellenberger, Sylvia Clark, Denice Crowe; ID: 559</t>
  </si>
  <si>
    <t>Seale, J Paul. Department of Family Medicine, Mercer University School of Medicine &amp; Medical Center of Central Georgia, 3780 Eisenhower Parkway, Macon, GA 31206, USA. seale.paul@mccg.org</t>
  </si>
  <si>
    <t>http://ovidsp.ovid.com/ovidweb.cgi?T=JS&amp;CSC=Y&amp;NEWS=N&amp;PAGE=fulltext&amp;D=med6&amp;AN=20459842</t>
  </si>
  <si>
    <t>https://dx.doi.org/10.1186/1472-6920-10-33</t>
  </si>
  <si>
    <t>MEDLINE; Ovid Technologies; Providing competency-based family medicine residency training in substance abuse in the new millennium: a model curriculum</t>
  </si>
  <si>
    <t>Seale,J. P.;Shellenberger,S.;Tillery,W. K.;Boltri,J.;Vogel,R.;Barton,B.;McCauley,M.</t>
  </si>
  <si>
    <t>Implementing alcohol screening and intervention in a family medicine residency clinic</t>
  </si>
  <si>
    <t>Adult;*Alcoholism/di Diagnosis];Alcoholism/ep Epidemiology];Alcoholism/rh Rehabilitation];Counseling;Cross-Sectional Studies;Curriculum;*Family Practice/ed Education];Georgia;*Health Plan Implementation;Humans;*Internship and Residency;*Mass Screening;Outpatient Clinics, Hospital;Pamphlets;Program Evaluation;Surveys and Questionnaires</t>
  </si>
  <si>
    <t>The purpose of this study was to evaluate the impact of simultaneous systems interventions and clinician training on management of hazardous and harmful drinking in a residency clinic. Systems interventions included forming a multi-disciplinary implementation team, training registration clerks to distribute health risk questionnaires using the AUDIT-C alcohol screen, and training nurses to score the AUDIT-C and administer the AUDIT to screen-positive patients. Clinicians were trained to perform brochure-based interventions on screen-positive patients. Research staff provided compliance feedback. Over 12 months, 8.0% (241/3014) of patients screened positive and 3.8% (115/3014) received brief interventions. For screen-positive patients, comparisons with baseline measurements found increased rates of alcohol assessment (50% vs. 0%, p &lt; .0001) and intervention (48.1% vs. 9.4%, p &lt; .0001). Clinicians intervened more often when prompted with completed AUDITs (72% vs. 23%, p &lt; .0001). Program modifications resulted in progressive increases in numbers of patients screened. This model shows promise for use in other residency programs.</t>
  </si>
  <si>
    <t>J2: Subst Abus; Seale, J Paul Shellenberger, Sylvia Tillery, Wanda Kaye Boltri, John Vogel, Robert Barton, Barbara McCauley, Megan; ID: 740</t>
  </si>
  <si>
    <t>Seale, J Paul. Department of Family Medicine, Medical Center of Central Georgia and Mercer University School of Medicine, Macon, GA 31206, USA. seale.paul@mccg.org</t>
  </si>
  <si>
    <t>http://ovidsp.ovid.com/ovidweb.cgi?T=JS&amp;CSC=Y&amp;NEWS=N&amp;PAGE=fulltext&amp;D=med5&amp;AN=16492660</t>
  </si>
  <si>
    <t>MEDLINE; Ovid Technologies; Implementing alcohol screening and intervention in a family medicine residency clinic</t>
  </si>
  <si>
    <t>Seale,J. P.;Velasquez,M. M.;Johnson,J. A.;Shellenberger,S.;von Sternberg,K.;Dodrill,C.;Boltri,J. M.;Takei,R.;Clark,D.;Grace,D.</t>
  </si>
  <si>
    <t>NIHMS385623; Skills-based residency training in alcohol screening and brief intervention: results from the Georgia-Texas "Improving Brief Intervention" Project</t>
  </si>
  <si>
    <t>Adult;*Alcoholism;Clinical Competence;Curriculum/st Standards];Family Practice/ed Education];Female;Georgia;Humans;*Internship and Residency/st Standards];Male;Middle Aged;Psychotherapy, Brief/ed Education];*Psychotherapy, Brief;*Substance Abuse Detection;Texas</t>
  </si>
  <si>
    <t>Alcohol screening and brief intervention (SBI) is recommended for all primary care patients but is underutilized. This project trained 111 residents and faculty in 8 family medicine residencies to conduct SBI and implement SBI protocols in residency clinics, then assessed changes in self-reported importance and confidence in performing SBI and brief intervention (BI) rates. Clinicians reported significant increases in role security, confidence, and ability to help drinkers reduce drinking and decreased importance of factors that might dissuade them from performing SBI. Stage of change measures indicated 37% of clinicians progressed toward action or maintenance in performing SBI; however, numbers of reported BIs did not increase. At all time points, 33% to 36% of clinicians reported BIs with &gt;=10% of the last 50 patients. Future studies should focus on increasing intervention rates using more patient-centered BI approaches, quality improvement approaches, and systems changes that could increase opportunities for performing BIs.</t>
  </si>
  <si>
    <t>J2: Subst Abus; Seale, J Paul Velasquez, Mary M Johnson, J Aaron Shellenberger, Sylvia von Sternberg, Kirk Dodrill, Carrie Boltri, John M Takei, Roy Clark, Denice Grace, Daniel; ID: 418</t>
  </si>
  <si>
    <t>Seale, J Paul. Department of Family Medicine, Medical Center of Central Georgia and Mercer University School of Medicine, Macon, Georgia, USA. seale.paul@mccg.org</t>
  </si>
  <si>
    <t>http://ovidsp.ovid.com/ovidweb.cgi?T=JS&amp;CSC=Y&amp;NEWS=N&amp;PAGE=fulltext&amp;D=med7&amp;AN=22738003</t>
  </si>
  <si>
    <t>https://dx.doi.org/10.1080/08897077.2011.640187</t>
  </si>
  <si>
    <t>MEDLINE; Ovid Technologies; Skills-based residency training in alcohol screening and brief intervention: results from the Georgia-Texas "Improving Brief Intervention" Project</t>
  </si>
  <si>
    <t>Secker-Walker,R.;Solomon,L. J.;Flynn,B. S.;LePage,S. S.;Crammond,J. E.;Worden,J. K.;Mead,P. B.</t>
  </si>
  <si>
    <t>Training obstetric and family practice residents to give smoking cessation advice during prenatal care</t>
  </si>
  <si>
    <t>*Family Practice/ed Education];Female;Humans;*Internship and Residency;*Obstetrics/ed Education];Physician's Role;Pregnancy;*Prenatal Care;*Smoking Cessation</t>
  </si>
  <si>
    <t>OBJECTIVE: Our objective was to determine the effectiveness of training obstetric and family practice residents to provide smoking cessation advice. STUDY DESIGN: The effectiveness of the trained residents' advice was assessed from exit interviews of pregnant smokers taking part in a randomized, controlled trial of smoking cessation advice. Exit interview responses were compared by chi 2 analysis. RESULTS: Training resulted in significant changes in the advice provided by the residents, with greater emphasis on gaining a commitment to smoking behavior change, but not in the average time providing the advice, approximately 3 minutes. Adherence to the protocol was maintained at 80%. Significantly more women who received the brief structured advice agreed to stop smoking (54%) or cut down their cigarette consumption (28%) compared with women in the control group (14% and 6%, respectively), p = 0.0001. CONCLUSION: The structured advice consistently provided by the trained residents was effective in gaining commitments from pregnant smokers to change their smoking behavior.</t>
  </si>
  <si>
    <t>J2: Am J Obstet Gynecol; Secker-Walker, R H Solomon, L J Flynn, B S LePage, S S Crammond, J E Worden, J K Mead, P B; ID: 1285</t>
  </si>
  <si>
    <t>Secker-Walker, R H. Office of Health Promotion Research, University of Vermont, Burlington 05405.</t>
  </si>
  <si>
    <t>http://ovidsp.ovid.com/ovidweb.cgi?T=JS&amp;CSC=Y&amp;NEWS=N&amp;PAGE=fulltext&amp;D=med3&amp;AN=1595791</t>
  </si>
  <si>
    <t>MEDLINE; Ovid Technologies; Training obstetric and family practice residents to give smoking cessation advice during prenatal care</t>
  </si>
  <si>
    <t>Sedlacek,D. A.</t>
  </si>
  <si>
    <t>Alcoholism education</t>
  </si>
  <si>
    <t>*Alcoholism;*Education, Medical;Humans</t>
  </si>
  <si>
    <t>J2: J Med Educ; Sedlacek, D A; ID: 1498</t>
  </si>
  <si>
    <t>http://ovidsp.ovid.com/ovidweb.cgi?T=JS&amp;CSC=Y&amp;NEWS=N&amp;PAGE=fulltext&amp;D=med2&amp;AN=7069773</t>
  </si>
  <si>
    <t>MEDLINE; Ovid Technologies; Alcoholism education</t>
  </si>
  <si>
    <t>Seear,K.</t>
  </si>
  <si>
    <t>The emerging role of lawyers as addiction 'quasi-experts'</t>
  </si>
  <si>
    <t>Australia;Canada;Female;Humans;*Jurisprudence;*Lawyers;Male;Qualitative Research;*Substance-Related Disorders</t>
  </si>
  <si>
    <t>This paper examines a discrete set of issues pertaining to the constitution of addiction in law. Based on qualitative interviews undertaken with lawyers in Australia and Canada, I examine how addiction figures in lawyers' daily practice. Drawing on ideas from science and technology studies scholars Sheila Jasanoff, Michael Lynch and Bruno Latour, and building on recent research I undertook on legal addiction veridiction, I explore the constitution of addiction 'facts' in law. I examine how and when lawyers claim to make decisions about addiction in the course of their legal practice. Lawyers report playing a central role in the making of decisions about addiction, at multiple stages of the legal process including: before taking cases on, while running cases in court, and while negotiating and/or settling cases. I argue that these decisions can be properly described as 'quasi-expert' determinations with important parallels to scientific, technological and medical claims often made in legal settings by more conventional 'expert witnesses'. I call these 'quasi-expert' decisions because they are decisions of the kind that might be assumed to be the purview of scientific or medical experts and because they have tangible implications for clients. Lawyers uniquely constitute addiction in unique ways, drawing on a combination of factors, including their own experience with and observations about addiction, the experiences of family members who have experienced alcohol and other drug problems, relevant legal concepts and frameworks, popular and scientific claims about addiction, emotions and values, including the gender politics of alcohol and other drug addiction. These addiction 'facts' can have a range of material and discursive effects, including potentially adverse implications for people characterised as 'addicts'. I conclude the paper with a discussion of some implications of these practices, and with reflections on how we might address these issues in future research.</t>
  </si>
  <si>
    <t>J2: Int J Drug Policy; Seear, Kate S0955-3959(17)30112-3; ID: 9</t>
  </si>
  <si>
    <t>Seear, Kate. Faculty of Law, Monash University, Clayton, Victoria 3800, Australia; Social Studies of Addiction Concepts Research Program, National Drug Research Institute, Faculty of Health Sciences, Fitzroy Campus, Victoria 3065, Australia. Electronic address: Kate.Seear@monash.edu.</t>
  </si>
  <si>
    <t>http://ovidsp.ovid.com/ovidweb.cgi?T=JS&amp;CSC=Y&amp;NEWS=N&amp;PAGE=fulltext&amp;D=medl&amp;AN=28559120</t>
  </si>
  <si>
    <t>https://dx.doi.org/10.1016/j.drugpo.2017.05.008</t>
  </si>
  <si>
    <t>MEDLINE; Ovid Technologies; The emerging role of lawyers as addiction 'quasi-experts'</t>
  </si>
  <si>
    <t>Seide,M.;Eagle,C. J.</t>
  </si>
  <si>
    <t>Hospital confrontation: a cry for help and technique for change</t>
  </si>
  <si>
    <t>American Journal of Orthopsychiatry</t>
  </si>
  <si>
    <t>Am.J.Orthopsychiatry</t>
  </si>
  <si>
    <t>Administrative Personnel;Community Mental Health Services;*Community Participation;Delivery of Health Care;Hospital Administration;*Hospitals, Teaching;Humans;Psychiatric Department, Hospital;Schools, Medical;*Substance-Related Disorders</t>
  </si>
  <si>
    <t>J2: Am J Orthopsychiatry; Seide, M Eagle, C J; ID: 1574</t>
  </si>
  <si>
    <t>http://ovidsp.ovid.com/ovidweb.cgi?T=JS&amp;CSC=Y&amp;NEWS=N&amp;PAGE=fulltext&amp;D=med1&amp;AN=4705919</t>
  </si>
  <si>
    <t>MEDLINE; Ovid Technologies; Hospital confrontation: a cry for help and technique for change</t>
  </si>
  <si>
    <t>Seim,H. C.;Verhoye,J. R.</t>
  </si>
  <si>
    <t>Comparison of training techniques using a patient-centered approach to smoking cessation</t>
  </si>
  <si>
    <t>*Education, Medical, Undergraduate;*Health Education;Humans;*Patient Participation;*Smoking Cessation;*Teaching/mt Methods];United States</t>
  </si>
  <si>
    <t>This study compared the use of 2 1/2-hour multimedia workshop with distribution of an algorithm on the ability of fourth-year medical students to present a stop-smoking plan to a simulated patient. Results showed that students who participated in the workshop performed statistically significantly better on the skill areas of providing information, eliciting and responding to feeling and on content areas of past experience with quitting, resources available for change and negotiating a plan. There were no significant differences in the skill area of eliciting information and the content areas of motivation to stop smoking, factors that inhibit change and problems affecting the plan. Neither of the groups performed very well. The highest number of available points obtained by both groups was in eliciting information (53% in the algorithm group and 64% in the formal training group); however, most of the values were in the range of 10%-25% of possible points. Suggested reasons for the low values may be due to the specific items rated, the teaching methods or the time needed to assimilate new skills.</t>
  </si>
  <si>
    <t>J2: Med Educ; Seim, H C Verhoye, J R; ID: 1188</t>
  </si>
  <si>
    <t>Seim, H C. Department of Family Practice and Community Health, Medical School, University of Minnesota, Minneapolis 55414, USA.</t>
  </si>
  <si>
    <t>http://ovidsp.ovid.com/ovidweb.cgi?T=JS&amp;CSC=Y&amp;NEWS=N&amp;PAGE=fulltext&amp;D=med3&amp;AN=7623701</t>
  </si>
  <si>
    <t>MEDLINE; Ovid Technologies; Comparison of training techniques using a patient-centered approach to smoking cessation</t>
  </si>
  <si>
    <t>Seixas,F. A.</t>
  </si>
  <si>
    <t>Editorial: Better treatment of alcoholism</t>
  </si>
  <si>
    <t>Alcoholics Anonymous;*Alcoholism/th Therapy];*Attitude to Health;Counseling;Education, Medical, Undergraduate;Government Agencies;Humans;*Physician-Patient Relations;Societies;United States</t>
  </si>
  <si>
    <t>J2: Ann Intern Med; Seixas, F A; ID: 1564</t>
  </si>
  <si>
    <t>http://ovidsp.ovid.com/ovidweb.cgi?T=JS&amp;CSC=Y&amp;NEWS=N&amp;PAGE=fulltext&amp;D=med1&amp;AN=4859284</t>
  </si>
  <si>
    <t>MEDLINE; Ovid Technologies; Editorial: Better treatment of alcoholism</t>
  </si>
  <si>
    <t>Professional training on alcoholism. Introduction</t>
  </si>
  <si>
    <t>*Alcoholism/rh Rehabilitation];Curriculum;*Education, Medical;Health Manpower;*Health Occupations/ed Education];Health Planning;Humans;Schools, Medical;United States</t>
  </si>
  <si>
    <t>J2: Ann N Y Acad Sci; Seixas, F A; ID: 1595</t>
  </si>
  <si>
    <t>http://ovidsp.ovid.com/ovidweb.cgi?T=JS&amp;CSC=Y&amp;NEWS=N&amp;PAGE=fulltext&amp;D=med1&amp;AN=5282655</t>
  </si>
  <si>
    <t>MEDLINE; Ovid Technologies; Professional training on alcoholism. Introduction</t>
  </si>
  <si>
    <t>Medical education and a community approach to alcoholism</t>
  </si>
  <si>
    <t>3 passim</t>
  </si>
  <si>
    <t>*Alcoholism;*Comprehensive Health Care;*Education, Medical;Humans</t>
  </si>
  <si>
    <t>J2: R I Med J; Seixas, F A; ID: 1612</t>
  </si>
  <si>
    <t>http://ovidsp.ovid.com/ovidweb.cgi?T=JS&amp;CSC=Y&amp;NEWS=N&amp;PAGE=fulltext&amp;D=med1&amp;AN=5269668</t>
  </si>
  <si>
    <t>MEDLINE; Ovid Technologies; Medical education and a community approach to alcoholism</t>
  </si>
  <si>
    <t>Selby,P.;Goncharenko,K.;Barker,M.;Fahim,M.;Timothy,V.;Dragonetti,R.;Kemper,K.;Herie,M.;Hays,J. T.</t>
  </si>
  <si>
    <t>Review and evaluation of online tobacco dependence treatment training programs for health care practitioners</t>
  </si>
  <si>
    <t>e97</t>
  </si>
  <si>
    <t>Adult;*Education, Continuing/mt Methods];*Education, Distance;Education, Medical, Continuing/mt Methods];Female;Health Personnel;Humans;*Internet;*Smoking Cessation;*Tobacco Use Disorder/th Therapy]</t>
  </si>
  <si>
    <t>BACKGROUND: Training health care professionals is associated with increased capacity to deliver evidence-based smoking cessation interventions and increased quit rates among their patients. Online training programs hold promise to provide training but questions remain regarding the quality and usability of available programs. OBJECTIVE: The aim was to assess the quality of English-language online courses in tobacco dependence treatment using a validated instrument. METHODS: An environmental scan was conducted using the Google search engine to identify available online tobacco dependence treatment courses. The identified courses were then evaluated using the Peer Review Rubric for Online Learning, which was selected based on its ability to evaluate instructional design. It also has clear and concise criteria descriptions to ensure uniformity of evaluations by trained experts. RESULTS: A total of 39 courses were identified, of which 24 unique courses were assessed based on their accessibility and functionality during the period of evaluation. Overall, the course ratings indicated that 17 of 24 courses evaluated failed to meet minimal quality standards and none of the courses evaluated could be ranked as superior. However, many excelled in providing effective navigation, course rationale, and content. Many were weak in the use of instructional design elements, such as teaching effectiveness, learning strategies, instructor's role, and assessment and evaluation. Evaluation results and suggestions for improvement were shared with course administrators. CONCLUSIONS: Based on the courses evaluated in this review, course developers are encouraged to employ best practices in instructional design, such as cohesiveness of material, linearity of design, practice exercises, problem solving, and ongoing evaluation to improve existing courses and in the design of new online learning opportunities.</t>
  </si>
  <si>
    <t>J2: J Med Internet Res; Selby, Peter Goncharenko, Karina Barker, Megan Fahim, Myra Timothy, Valerie Dragonetti, Rosa Kemper, Katherine Herie, Marilyn Hays, J Taylor; ID: 216</t>
  </si>
  <si>
    <t>Selby, Peter. Centre for Addiction and Mental Health, Addictions Division, Toronto, ON, Canada. peter.selby@camh.ca.</t>
  </si>
  <si>
    <t>http://ovidsp.ovid.com/ovidweb.cgi?T=JS&amp;CSC=Y&amp;NEWS=N&amp;PAGE=fulltext&amp;D=med8&amp;AN=25887187</t>
  </si>
  <si>
    <t>https://dx.doi.org/10.2196/jmir.3284</t>
  </si>
  <si>
    <t>MEDLINE; Ovid Technologies; Review and evaluation of online tobacco dependence treatment training programs for health care practitioners</t>
  </si>
  <si>
    <t>Sellers,B.;Galanter,M.;Dermatis,H.;Nachbar,M.</t>
  </si>
  <si>
    <t>Enhancing physicians' use of Alcoholics Anonymous: Internet-based training</t>
  </si>
  <si>
    <t>*Alcoholics Anonymous;*Alcoholism/rh Rehabilitation];Attitude of Health Personnel;*Computer-Assisted Instruction;Curriculum;Education, Medical;*Education, Medical, Continuing;Humans;*Internet;*Opioid-Related Disorders/rh Rehabilitation];*Psychiatry/ed Education];Specialization;United States</t>
  </si>
  <si>
    <t>INTRODUCTION: Alcoholics Anonymous is not yet fully employed by the medical community as a means to enhance patient outcome. The purpose of this study was to evaluate visitors' use of an Internet course on Alcoholics Anonymous, and to compare how various disciplines learned about, gained access to and participated in the course. METHODS: Demographic information was collected from 414 visitors to the course. RESULTS: 64% of the 414 respondents received their last educational degree within the last 10 years, and had an interest in the topic of addiction prior to their accessing the site. 294 (71%) of those who accessed the course completed it, and those who accessed it learned about it from various sources other than print advertisement in professional journals. Within the 230 physician respondents, 143 (62%) were psychiatrists, 82 (78%) of whom learned about the Internet course via professional journal. DISCUSSION: Given the need for further training among physicians in the use of Alcoholics Anonymous, the Internet can be utilized to make information available to a large number of people. Because it allows the user to access information outside the traditional means, the barriers to its use are minimal, and it has the potential to effectively convey useful clinical information.</t>
  </si>
  <si>
    <t>J2: J Addict Dis; Sellers, Brealyn Galanter, Marc Dermatis, Helen Nachbar, Martin; ID: 839</t>
  </si>
  <si>
    <t>Sellers, Brealyn. Division of Alcoholism and Drug Abuse, New York University Medical School, New York, NY 10016, USA.</t>
  </si>
  <si>
    <t>http://ovidsp.ovid.com/ovidweb.cgi?T=JS&amp;CSC=Y&amp;NEWS=N&amp;PAGE=fulltext&amp;D=med5&amp;AN=16186084</t>
  </si>
  <si>
    <t>MEDLINE; Ovid Technologies; Enhancing physicians' use of Alcoholics Anonymous: Internet-based training</t>
  </si>
  <si>
    <t>Sells,K. W.;Gorby,W. G.</t>
  </si>
  <si>
    <t>Helping-not hurting--residents with substance use disorders</t>
  </si>
  <si>
    <t>Humans;*Internship and Residency;*Osteopathic Medicine;*Professional Impairment;*Substance-Related Disorders/pc Prevention &amp; Control]</t>
  </si>
  <si>
    <t>J2: J Am Osteopath Assoc; Sells, K W Gorby, W G Comment on: J Am Osteopath Assoc. 1993 Feb;93(2):217-20; PMID: 8240473; ID: 1248</t>
  </si>
  <si>
    <t>http://ovidsp.ovid.com/ovidweb.cgi?T=JS&amp;CSC=Y&amp;NEWS=N&amp;PAGE=fulltext&amp;D=med3&amp;AN=8349479</t>
  </si>
  <si>
    <t>MEDLINE; Ovid Technologies; Helping-not hurting--residents with substance use disorders</t>
  </si>
  <si>
    <t>Serafini,K.;Bryant,K.;Ikomi,J.;LaPaglia,D.</t>
  </si>
  <si>
    <t>NIHMS675977; Training Psychiatry Addiction Fellows in Acupuncture</t>
  </si>
  <si>
    <t>*Acupuncture/ed Education];Acupuncture Therapy/mt Methods];*Attitude of Health Personnel;*Curriculum;*Education, Medical, Graduate;*Fellowships and Scholarships;Humans;*Psychiatry/ed Education];Specialization;*Substance-Related Disorders/rh Rehabilitation]</t>
  </si>
  <si>
    <t>OBJECTIVE: Acupuncture has been studied as an adjunct for addiction treatments. Because many hospitals, outpatient clinics, and facilities are integrating acupuncture treatment, it is important that psychiatrists remain informed about this treatment. This manuscript describes the National Acupuncture Detoxification Association (NADA) protocol and its inclusion as part of the curriculum for psychiatry addictions fellows. METHODS: Psychiatry and psychology fellows completed the NADA training (n=20) and reported on their satisfaction with the training. RESULTS: Overall, participants stated that they found the training beneficial and many were integrating acupuncture within their current practice. CONCLUSIONS: Results support the acceptability of acupuncture training among psychiatry fellows in this program.</t>
  </si>
  <si>
    <t>J2: Acad Psychiatry; Serafini, Kelly Bryant, Katurah Ikomi, Jolomi LaPaglia, Donna; ID: 125</t>
  </si>
  <si>
    <t>Serafini, Kelly. Yale School of Medicine, New Haven, CT, USA. kelly.serafini@yale.edu. Bryant, Katurah. Department of Mental Health and Addiction Services, Hartford, CT, USA. Ikomi, Jolomi. University of Cincinnati, Cincinnati, OH, USA. LaPaglia, Donna. Yale School of Medicine, New Haven, CT, USA.</t>
  </si>
  <si>
    <t>http://ovidsp.ovid.com/ovidweb.cgi?T=JS&amp;CSC=Y&amp;NEWS=N&amp;PAGE=fulltext&amp;D=med8&amp;AN=26048457</t>
  </si>
  <si>
    <t>https://dx.doi.org/10.1007/s40596-015-0342-9</t>
  </si>
  <si>
    <t>MEDLINE; Ovid Technologies; Training Psychiatry Addiction Fellows in Acupuncture</t>
  </si>
  <si>
    <t>Serraino,D.;Talamini,R.;Franceschi,S.</t>
  </si>
  <si>
    <t>Determinants of smoking cessation among physicians and teachers from northeastern Italy</t>
  </si>
  <si>
    <t>Adult;Age Factors;Female;Humans;Italy;Male;Middle Aged;*Physicians;Sex Factors;*Smoking/ep Epidemiology];Surveys and Questionnaires;*Teaching</t>
  </si>
  <si>
    <t>Determinants of smoking cessation among 909 physicians and teachers from the Northeast of Italy were investigated between March and November 1985. Men were heavier smokers than women and showed a larger cessation rate (46% of men and 32% of women who had ever smoked were ex-smokers). The stronger determinants of smoking cessation turned out to be a high number of cigarettes smoked per day, and (especially for men) a relatively old age. From the study, it appears that smoking cessation in Italy is not motivated by disease prevention considerations but is the result of disease-linked symptoms. Antismoking campaigns should, therefore, more strongly emphasize the advantages (especially short-term ones) of quitting smoking while one is still well. For their exemplar role, physicians and teachers are on the front line of antismoking action: convincing them to stop smoking is, thus, an obvious priority.</t>
  </si>
  <si>
    <t>J2: Rev Epidemiol Sante Publique; Serraino, D Talamini, R Franceschi, S; ID: 1420</t>
  </si>
  <si>
    <t>Serraino, D. Servizio di Epidemiologia, Centro di Riferimento Oncologico, Aviano, Italy.</t>
  </si>
  <si>
    <t>http://ovidsp.ovid.com/ovidweb.cgi?T=JS&amp;CSC=Y&amp;NEWS=N&amp;PAGE=fulltext&amp;D=med2&amp;AN=3432709</t>
  </si>
  <si>
    <t>MEDLINE; Ovid Technologies; Determinants of smoking cessation among physicians and teachers from northeastern Italy</t>
  </si>
  <si>
    <t>Sethi,B. B.;Manchanda,R.</t>
  </si>
  <si>
    <t>Drug abuse among resident doctors</t>
  </si>
  <si>
    <t>Alcohol Drinking;Female;Humans;India;Internship and Residency;Male;Marriage;*Physicians;Sex Factors;*Substance-Related Disorders/ep Epidemiology]</t>
  </si>
  <si>
    <t>240 young doctors undergoing a residency programme in a medical school in India were individually interviewed for pattern and extent of drug abuse. Drug abuse was operationally defined as "Indulgence in a drug with a frequency of at least once a month without medical prescription". Of the doctors 30.4% were categorised as drug abusers currently, 14.2% had used one or the other drug in the past, and 17.9% had never used any drug. A significantly higher level of abuse was observed among male doctors (37.1%) than female doctors (2.2%). Alcohol was most commonly abused (17.9%). Minor tranquilizers were abused by 17.5%. None of the doctors was abusing any substances on a daily basis. No hard drugs were abused. Common reasons for alcohol intake were for the sake of company and curiosity. Minor tranquilizers and amphetamines were taken for their pharmacological effects.</t>
  </si>
  <si>
    <t>J2: Acta Psychiatr Scand; Sethi, B B Manchanda, R; ID: 1505</t>
  </si>
  <si>
    <t>http://ovidsp.ovid.com/ovidweb.cgi?T=JS&amp;CSC=Y&amp;NEWS=N&amp;PAGE=fulltext&amp;D=med2&amp;AN=7211429</t>
  </si>
  <si>
    <t>MEDLINE; Ovid Technologies; Drug abuse among resident doctors</t>
  </si>
  <si>
    <t>Seybold,D.;Calhoun,B.;Burgess,D.;Lewis,T.;Gilbert,K.;Casto,A.</t>
  </si>
  <si>
    <t>Evaluation of a Training to Reduce Provider Bias Toward Pregnant Patients With Substance Abuse</t>
  </si>
  <si>
    <t>Journal of Social Work Practice in the Addictions</t>
  </si>
  <si>
    <t>The objective of this article is not to present a scientific or systematic study, but to provide an initial framework for designing a training workshop to enhance health practitioners' (nurses, social workers, physicians, etc.) knowledge regarding substance abuse treatment and to decrease their bias toward substance-abusing women, particularly pregnant women in rural communities. We incorporated the 4 Transdisciplinary Foundations from the Substance Abuse and Mental Health Services Administration Competencies Model, with specific competencies targeted that related to provider bias. After the conference, 52 of the 70 participants completed a questionnaire to self-assess knowledge level and confidence in skill related to substance abuse management. Participant mean scores were statistically significantly higher following the conference than 1 week prior ( p &lt; .001) in the area of "gender difference with substance abuse," moving from an average of 2.6 to 4.5 on a 5-point Likert scale. Our conference was successful in increasing attendees' knowledge about gender difference and substance abuse among pregnant patients.</t>
  </si>
  <si>
    <t>J2: J Soc Work Pract Addict; Seybold, Dara Calhoun, Byron Burgess, Denise Lewis, Tammi Gilbert, Kelly Casto, Angie; ID: 1699</t>
  </si>
  <si>
    <t>1533-256X</t>
  </si>
  <si>
    <t>Seybold, Dara. CAMC Health Education and Research Institute, Charleston, West Virginia, USA. Calhoun, Byron. Department of Obstetrics &amp; Gynecology, West Virginia University-Charleston, Charleston, West Virginia, USA. Burgess, Denise. CAMC Women and Children's Hospital, Charleston, West Virginia, USA. Lewis, Tammi. CAMC Family Resource Center, Charleston, West Virginia, USA. Gilbert, Kelly. CAMC Family Resource Center, Charleston, West Virginia, USA. Casto, Angie. CAMC Women and Children's Hospital, Charleston, West Virginia, USA.</t>
  </si>
  <si>
    <t>http://ovidsp.ovid.com/ovidweb.cgi?T=JS&amp;CSC=Y&amp;NEWS=N&amp;PAGE=fulltext&amp;D=medp&amp;AN=26207103</t>
  </si>
  <si>
    <t>MEDLINE; Ovid Technologies; Evaluation of a Training to Reduce Provider Bias Toward Pregnant Patients With Substance Abuse</t>
  </si>
  <si>
    <t>Shainker,S. A.;Saia,K.;Lee-Parritz,A.</t>
  </si>
  <si>
    <t>Opioid addiction in pregnancy</t>
  </si>
  <si>
    <t>Analgesics, Opioid/tu Therapeutic Use];Breast Feeding;Buprenorphine/tu Therapeutic Use];Female;Humans;Infant, Newborn;Methadone/tu Therapeutic Use];*Neonatal Abstinence Syndrome/et Etiology];Opiate Substitution Treatment;Opioid-Related Disorders/co Complications];*Opioid-Related Disorders/dt Drug Therapy];Pain Management;Pregnancy;*Pregnancy Complications/dt Drug Therapy];0 (Analgesics, Opioid);40D3SCR4GZ (Buprenorphine);UC6VBE7V1Z (Methadone)</t>
  </si>
  <si>
    <t>UNLABELLED: The purpose of this review is to discuss the incidence, risks, pregnancy complications, and maintenance options for treatment of opioid addiction in pregnancy. SUMMARY: Opioid dependence in pregnancy carries clear identifiable maternal and fetal risk. Providing care for patients with dependence is best done in a multidisciplinary care model addressing the particular needs of this population. There are limited data on maternal detoxification, with data still emerging surrounding the safety profile of this practice. Historically, methadone has been the recommended maintenance treatment; however, recent data on buprenorphine identify this as a safe and effective option. The majority of births from women with opioid dependence result in neonatal abstinence syndrome requiring prolonged neonatal hospitalization. Intrapartum pain management should not differ from the general obstetric population. Postpartum pain is magnified in this population, and particular attention should be focused on this issue. Breast-feeding is recommended regardless of maintenance dose, unless other conditions restricting breast-feeding are present. Comprehensive postpartum care and transition of care to addiction specialists are highly recommended. TARGET AUDIENCE: Obstetricians and gynecologists, family physicians, addiction specialists. LEARNING OBJECTIVES: After completing this CME activity, physicians should be better able to assess the treatment options available to patients with opioid addiction during pregnancy, compare the risk/safety profiles of methadone and buprenorphine, and evaluate the recommendations and current data surrounding breast-feeding while on opioid maintenance treatment.</t>
  </si>
  <si>
    <t>J2: Obstet Gynecol Surv; Shainker, Scott A Saia, Kelley Lee-Parritz, Aviva; ID: 371</t>
  </si>
  <si>
    <t>Shainker, Scott A. Boston University School of Medicine, Department of Obstetrics and Gynecology, Boston Medical Center, Boston, MA 02118, USA. scott.shainker@bmc.org</t>
  </si>
  <si>
    <t>http://ovidsp.ovid.com/ovidweb.cgi?T=JS&amp;CSC=Y&amp;NEWS=N&amp;PAGE=fulltext&amp;D=med7&amp;AN=23233054</t>
  </si>
  <si>
    <t>https://dx.doi.org/10.1097/OGX.0b013e3182788e8c</t>
  </si>
  <si>
    <t>MEDLINE; Ovid Technologies; Opioid addiction in pregnancy</t>
  </si>
  <si>
    <t>Shakeshaft,A.;Nassirimanesh,B.;Day,C.;Dolan,K. A.</t>
  </si>
  <si>
    <t>Perceptions of substance use, treatment options and training needs among Iranian primary care physicians</t>
  </si>
  <si>
    <t>International Journal for Equity in Health</t>
  </si>
  <si>
    <t>In order to be optimally effective, continuing training programmes for health-care professionals need to be tailored so that they target specific knowledge deficits, both in terms of topic content and appropriate intervention strategies. A first step in designing tailored treatment programmes is to identify the characteristics of the relevant health-care professional group, their current levels of content and treatment knowledge, the estimated prevalence of drug and alcohol problems among their patients and their preferred options for receiving continuing education and training. This study reports the results of a survey of 53 primary care physicians working in Iran. The majority were male, had a mean age of 44 years and saw approximately 94 patients per week. In terms of their patients' drug use, primary care physicians thought most patients with a substance use problem were male, women were most likely to use tobacco (52%), opium (32%) and marijuana/hashish and young people were most likely to use tobacco, alcohol, marijuana and heroin. Counselling and nicotine patches were the treatments most commonly provided. Although the majority (55%) reported referring patients to other services, more than a third did not. Most primary care physicians reported being interested in attending further training on substance abuse issues. The implications of these data for ongoing education and training of primary care physicians in Iran are discussed.</t>
  </si>
  <si>
    <t>J2: Intern; Shakeshaft, Anthony Nassirimanesh, Bijan Day, Carolyn Dolan, Kate A; ID: 1705</t>
  </si>
  <si>
    <t>1475-9276</t>
  </si>
  <si>
    <t>Shakeshaft, Anthony. Program of International Research and Training (PIRT), National Drug and Alcohol Research Centre (NDARC), University of New South Wales, Sydney, Australia. k.dolan@unsw.edu.au.</t>
  </si>
  <si>
    <t>http://ovidsp.ovid.com/ovidweb.cgi?T=JS&amp;CSC=Y&amp;NEWS=N&amp;PAGE=fulltext&amp;D=medp&amp;AN=15955255</t>
  </si>
  <si>
    <t>MEDLINE; Ovid Technologies; Perceptions of substance use, treatment options and training needs among Iranian primary care physicians</t>
  </si>
  <si>
    <t>Shanahan,M.;Shakeshaft,A.;Mattick,R. P.</t>
  </si>
  <si>
    <t>Modelling the costs and outcomes of changing rates of screening for alcohol misuse by GPs in the Australian context</t>
  </si>
  <si>
    <t>Applied Health Economics &amp; Health Policy</t>
  </si>
  <si>
    <t>Adult;Aged;Alcoholism/di Diagnosis];Alcoholism/ep Epidemiology];*Alcoholism/pc Prevention &amp; Control];Australia/ep Epidemiology];Cost-Benefit Analysis/sn Statistics &amp; Numerical Data];Counseling/ec Economics];Education, Medical, Continuing/ec Economics];Education, Medical, Continuing/mt Methods];Family Practice/ed Education];*Family Practice/st Standards];Female;Humans;Male;*Mass Screening/ec Economics];*Mass Screening/ut Utilization];Medical Audit/ec Economics];Middle Aged;Models, Statistical;Outcome Assessment (Health Care);*Practice Patterns, Physicians'/sn Statistics &amp; Numerical Data];Program Evaluation;Reminder Systems/ec Economics];Risk-Taking</t>
  </si>
  <si>
    <t>AIM: To assess the relative cost effectiveness of four strategies (academic detailing, computerised reminder systems, target payments and interactive continuing medical education) to increase the provision of screening and brief interventions by Australian GPs with the ultimate goal of decreasing risky alcohol consumption among their patients. METHODS: This project used a modelling approach to combine information on the effectiveness and costs of four separate strategies to change GP behaviours to estimate their relative cost effectiveness. RESULTS: The computerised reminder system and academic detailing appear most effective in achieving a decrease in the number of standard drinks consumed by risky drinkers. CONCLUSION: Regardless of the assumptions made, the targeted payment strategy appeared to be the least cost-effective method to achieve a decrease in risky alcohol consumption while the other three strategies appear reasonably comparable.</t>
  </si>
  <si>
    <t>J2: Appl Health Econ Health Policy; Shanahan, Marian Shakeshaft, Anthony Mattick, Richard P; ID: 771</t>
  </si>
  <si>
    <t>1175-5652</t>
  </si>
  <si>
    <t>Shanahan, Marian. National Drug and Alcohol Research Centre, University of New South Wales, Sydney, New South Wales, Australia. M.Shanahan@med.unsw.edu.au</t>
  </si>
  <si>
    <t>http://ovidsp.ovid.com/ovidweb.cgi?T=JS&amp;CSC=Y&amp;NEWS=N&amp;PAGE=fulltext&amp;D=med5&amp;AN=17132030</t>
  </si>
  <si>
    <t>MEDLINE; Ovid Technologies; Modelling the costs and outcomes of changing rates of screening for alcohol misuse by GPs in the Australian context</t>
  </si>
  <si>
    <t>Shankar,P. R.;Palaian,S.;Gyawali,S.;Mishra,P.;Mohan,L.</t>
  </si>
  <si>
    <t>Personal drug selection: problem-based learning in pharmacology: experience from a medical school in Nepal</t>
  </si>
  <si>
    <t>e524</t>
  </si>
  <si>
    <t>*Drug Evaluation, Preclinical/mt Methods];Drug Evaluation, Preclinical/st Standards];*Education, Medical, Undergraduate;Female;Humans;Male;Nepal;*Pharmacology, Clinical/ed Education];*Problem-Based Learning;Schools, Medical;*Students, Medical/px Psychology];Teaching</t>
  </si>
  <si>
    <t>BACKGROUND: At the Manipal College of Medical Sciences, Pokhara, Nepal, Pharmacology is taught during the first four semesters of the undergraduate medical course. Personal or P-drug selection is an important exercise. The present study was carried out to obtain student opinion about the P-drug learning sessions, the assessment examinations, and on the small group dynamics. METHOD: The practical sessions on P-drug selection are carried out in small groups. Student feedback about the session was obtained using focus group discussions. The focus groups were selected to represent both genders and the three main nationalities, Nepalese, Indians, and Sri Lankans. There were four Nepalese, five Indians, and three Sri Lankans. Within each nationality and gender category the students were randomly selected. The respondents were explained the objectives of the study and were invited to participate. Written informed consent was obtained. The discussion lasted around two hours and was conducted in the afternoon in two groups of six students each. The first author (PRS) acted as a facilitator. The responses were recorded and analyzed qualitatively. RESULTS: The overall student opinion was positive. Around 25% (3 respondents) of respondents were confused about whether P-drugs were for a disease or a patient. Group consensus was commonly used to give numerical values for the different criteria. The large number of brands created problems in calculating cost. The students wanted more time for the exercise in the examination. Formative assessment during the learning sessions may be considered. The group members usually got along well. Absenteeism was a problem and not all members put in their full effort. The physical working environment should be improved. CONCLUSIONS: Based on what the students say, the sessions on P-drugs should be continued and strengthened. Modifications in the sessions are required. Sessions during the clinical years and internship training can be considered.</t>
  </si>
  <si>
    <t>J2: PLoS ONE; Shankar, P Ravi Palaian, Subish Gyawali, Sudesh Mishra, Pranaya Mohan, Lalit; ID: 590</t>
  </si>
  <si>
    <t>Shankar, P Ravi. Department of Pharmacology, Manipal College of Medical Sciences, Pokhara, Nepal. ravi.dr.shankar@gmail.com</t>
  </si>
  <si>
    <t>http://ovidsp.ovid.com/ovidweb.cgi?T=JS&amp;CSC=Y&amp;NEWS=N&amp;PAGE=fulltext&amp;D=med5&amp;AN=17565377</t>
  </si>
  <si>
    <t>MEDLINE; Ovid Technologies; Personal drug selection: problem-based learning in pharmacology: experience from a medical school in Nepal</t>
  </si>
  <si>
    <t>Sharma,T. R.;Kablinger,A. S.</t>
  </si>
  <si>
    <t>Training general psychiatry residents to prescribe buprenorphine in treatment of patients with opioid dependence</t>
  </si>
  <si>
    <t>J2: J Grad Med Educ; Sharma, Taral R Kablinger, Anita S; ID: 353</t>
  </si>
  <si>
    <t>Sharma, Taral R. Chief Resident in Psychiatry, Psychiatry Residency Program, Carilion School of Medicine.</t>
  </si>
  <si>
    <t>http://ovidsp.ovid.com/ovidweb.cgi?T=JS&amp;CSC=Y&amp;NEWS=N&amp;PAGE=fulltext&amp;D=prem&amp;AN=23997892</t>
  </si>
  <si>
    <t>https://dx.doi.org/10.4300/JGME-D-12-00046.1</t>
  </si>
  <si>
    <t>MEDLINE; Ovid Technologies; Training general psychiatry residents to prescribe buprenorphine in treatment of patients with opioid dependence</t>
  </si>
  <si>
    <t>Sharpe,T. T.;Alexander,M.;Hutcherson,J.;Floyd,R. L.;Brimacombe,M.;Levine,R.;Mengel,M.;Stuber,M.</t>
  </si>
  <si>
    <t>Report from the CDC. Physician and allied health professionals' training and fetal alcohol syndrome</t>
  </si>
  <si>
    <t>Journal of Women's Health</t>
  </si>
  <si>
    <t>Adult;Alcoholism/pc Prevention &amp; Control];*Allied Health Occupations/st Standards];Centers for Disease Control and Prevention (U.S.)/st Standards];Clinical Competence;*Education, Medical, Continuing;Ethanol/ae Adverse Effects];*Family Practice/st Standards];Female;*Fetal Alcohol Spectrum Disorders/pc Prevention &amp; Control];Humans;*Inservice Training;Pregnancy;Pregnancy Complications/pc Prevention &amp; Control];*Prenatal Exposure Delayed Effects;United States;3K9958V90M (Ethanol)</t>
  </si>
  <si>
    <t>Maternal prenatal alcohol use is one of the leading preventable causes of birth defects and developmental disabilities. On the severe end of the spectrum of conditions related to drinking during pregnancy is fetal alcohol syndrome (FAS). Physicians and other health practitioners play a critical role in diagnosing FAS and in screening women of childbearing age for alcohol use during pregnancy. The Fetal Alcohol Syndrome Prevention Team at CDC's National Center on Birth Defects and Developmental Disabilities awarded funds to four medical school partners (Meharry and Morehouse Medical Colleges, St. Louis University, the University of Medicine and Dentistry of New Jersey, and the University of California at Los Angeles) to develop FAS regional training centers (RTCs). The RTCs are developing, implementing, evaluating, and disseminating educational curricula for medical and allied health students and practitioners that incorporate evidence-based diagnostic guidelines for FAS and other prenatal alcohol-related disorders.</t>
  </si>
  <si>
    <t>J2: J Womens Health (Larchmt); Sharpe, Tanya T Alexander, Martha Hutcherson, Johnni Floyd, R Louise Brimacombe, Michael Levine, Robert Mengel, Mark Stuber, Margaret; ID: 902</t>
  </si>
  <si>
    <t>1540-9996</t>
  </si>
  <si>
    <t>Sharpe, Tanya T. Centers for Disease Control and Prevention, National Center on Birth Defects and Developmental Disabilities, Fetal Alcohol Syndrome Prevention Team, Regional Training Centers, Atlanta, Georgia 30333, USA. tqs3@cdc.gov</t>
  </si>
  <si>
    <t>http://ovidsp.ovid.com/ovidweb.cgi?T=JS&amp;CSC=Y&amp;NEWS=N&amp;PAGE=fulltext&amp;D=med5&amp;AN=15072726</t>
  </si>
  <si>
    <t>MEDLINE; Ovid Technologies; Report from the CDC. Physician and allied health professionals' training and fetal alcohol syndrome</t>
  </si>
  <si>
    <t>Shcherbina,E. A.;Komissarova,R. A.</t>
  </si>
  <si>
    <t>Changes in the profile of teaching psychiatry and narcotism to medical students]</t>
  </si>
  <si>
    <t>Curriculum;*Drug and Narcotic Control;*Education, Medical;Humans;*Internship and Residency;Medicine/td Trends];*Opioid-Related Disorders/px Psychology];*Psychiatry/ed Education];Psychiatry/td Trends];*Specialization;Teaching/mt Methods];*Teaching/td Trends];Ussr</t>
  </si>
  <si>
    <t>J2: Zh Nevropatol Psikhiatr Im S S Korsakova; Russian Shcherbina, E A Komissarova, R A; OP: Ob izmenenii profilia prepodavaniia psikhiatrii i narkologii studentam lechebnykh spetsial'nostei; ID: 1330</t>
  </si>
  <si>
    <t>http://ovidsp.ovid.com/ovidweb.cgi?T=JS&amp;CSC=Y&amp;NEWS=N&amp;PAGE=fulltext&amp;D=med3&amp;AN=2176030</t>
  </si>
  <si>
    <t>MEDLINE; Ovid Technologies; [Changes in the profile of teaching psychiatry and narcotism to medical students]</t>
  </si>
  <si>
    <t>Shek,D. T.;Lam,C. M.</t>
  </si>
  <si>
    <t>Adolescent cough medicine abuse in Hong Kong: implications for the design of positive youth development programs in Hong Kong</t>
  </si>
  <si>
    <t>Adolescent;*Adolescent Development;*Concept Formation;*Cough/dt Drug Therapy];Culture;*Curriculum;Data Collection;Female;Focus Groups;Hong Kong;Humans;Male;Sex Factors;*Substance-Related Disorders</t>
  </si>
  <si>
    <t>This study examines the phenomenon of adolescent cough medicine abuse in Hong Kong. Quantitative data obtained from questionnaire survey with 225 adolescents showed that there were personal, peer, family and community factors influencing adolescent cough medicine abuse. Part 2 of the study obtained qualitative data from focus group interviews with cough medicine abusers (N = 8), their family members (N = 5) and service providers (N = 6). The accounts of the participants revealed that the primary factors accounting for adolescent cough medicine abuse were social pressure (peer and environmental influences), family (difficult relationships or harmful incidents), availability (ease of access), and ignorance (unaware of the consequence of cough medicine use and belief that cough medicine was non-addictive). The present findings provide useful pointers for the development of the positive youth development program supported by the Hong Kong Jockey Club Charities Trust.</t>
  </si>
  <si>
    <t>J2: Int J Adolesc Med Health; Shek, Daniel T L Lam, Ching-man; ID: 790</t>
  </si>
  <si>
    <t>0334-0139</t>
  </si>
  <si>
    <t>Shek, Daniel T L. Social Welfare Practice and Research Centre, Department of Social Work, The Chinese University of Hong Kong, Shatin. DANIELSHEK@CUHK.EDU.HK</t>
  </si>
  <si>
    <t>http://ovidsp.ovid.com/ovidweb.cgi?T=JS&amp;CSC=Y&amp;NEWS=N&amp;PAGE=fulltext&amp;D=med5&amp;AN=17068932</t>
  </si>
  <si>
    <t>MEDLINE; Ovid Technologies; Adolescent cough medicine abuse in Hong Kong: implications for the design of positive youth development programs in Hong Kong</t>
  </si>
  <si>
    <t>Shellenberger,S.;Seale,J. P.;Harris,D. L.;Johnson,J. A.;Dodrill,C. L.;Velasquez,M. M.</t>
  </si>
  <si>
    <t>Applying team-based learning in primary care residency programs to increase patient alcohol screenings and brief interventions</t>
  </si>
  <si>
    <t>*Alcoholism/di Diagnosis];*Education, Medical, Graduate/og Organization &amp; Administration];Feasibility Studies;Humans;*Internship and Residency/og Organization &amp; Administration];*Mass Screening/ut Utilization];*Patient Care Team;*Primary Health Care;Program Development;Program Evaluation;Reinforcement (Psychology)</t>
  </si>
  <si>
    <t>PURPOSE: Educational research demonstrates little evidence of long-term retention from traditional lectures in residency programs. Team-based learning (TBL), an alternative, active learning technique, incites competition and generates discussion. This report presents data evaluating the ability of TBL to reinforce and enhance concepts taught during initial training in a National Institutes of Health-funded alcohol screening and brief intervention (SBI) program conducted in eight residency programs from 2005 to 2007 under the auspices of Mercer University School of Medicine. METHOD: After initial training of three hours, the authors conducted three TBL booster sessions of one and a quarter hours, spaced four months apart at each site. They assessed feasibility through the amount of preparation time for faculty and staff, residents' evaluations of their training, self-reported use of SBI, residents' performance on individual quizzes compared with group quizzes, booster session evaluations, and levels of confidence in conducting SBI. RESULTS: After initial training and three TBL reinforcement sessions, 42 residents (63%) reported that they performed SBI and that their levels of confidence in performing interventions in their current and future practices was moderately high. Participants preferred TBL formats over lectures. Group performance was superior to individual performance on initial assessments. When invited to select a model for conducting SBI in current and future practices, all residents opted for procedures that included clinician involvement. Faculty found TBL to be efficient but labor-intensive for training large groups. CONCLUSIONS: TBL was well received by residents and helped maintain a newly learned clinical skill. Future research should compare TBL to other learning methods.</t>
  </si>
  <si>
    <t>J2: Acad Med; Shellenberger, Sylvia Seale, J Paul Harris, Dona L Johnson, J Aaron Dodrill, Carrie L Velasquez, Mary M; ID: 643</t>
  </si>
  <si>
    <t>Shellenberger, Sylvia. Medical Center of Central Georgia &amp; Mercer University School of Medicine, Macon, Georgia 31206, USA. Shellenberger.Sylvia@mccg.org</t>
  </si>
  <si>
    <t>http://ovidsp.ovid.com/ovidweb.cgi?T=JS&amp;CSC=Y&amp;NEWS=N&amp;PAGE=fulltext&amp;D=med6&amp;AN=19240441</t>
  </si>
  <si>
    <t>https://dx.doi.org/10.1097/ACM.0b013e3181972855</t>
  </si>
  <si>
    <t>MEDLINE; Ovid Technologies; Applying team-based learning in primary care residency programs to increase patient alcohol screenings and brief interventions</t>
  </si>
  <si>
    <t>Shellow,R. A.;Coleman,P. G.</t>
  </si>
  <si>
    <t>Fitness to practice medicine. A question of conduct, not mental illness</t>
  </si>
  <si>
    <t>Journal of the Florida Medical Association</t>
  </si>
  <si>
    <t>J.Fla.Med.Assoc.</t>
  </si>
  <si>
    <t>*Clinical Competence/lj Legislation &amp; Jurisprudence];Disabled Persons/lj Legislation &amp; Jurisprudence];Florida;Human Rights/lj Legislation &amp; Jurisprudence];Humans;*Licensure, Medical/lj Legislation &amp; Jurisprudence];Mental Disorders/th Therapy];*Mental Disorders;*Professional Competence/lj Legislation &amp; Jurisprudence];Psychotherapy;Substance-Related Disorders/th Therapy];*Substance-Related Disorders;United States</t>
  </si>
  <si>
    <t>The Florida Board of Medicine questions applicants about history of and psychotherapy for mental illness and substance abuse. These questions are examined in light of knowledge of psychiatric disorders and restrictions on inquiries by the Americans With Disabilities Act. They are probably illegal under the Act and should be deleted from the application. Responses do not reveal enough about behavior likely to impair ability to practice medicine with skill and safety to justify invasion of privacy. Problems related to mental illness represent a small number of disciplinary actions taken by the Board. Suggestions are made for inquiries which may aid the Board in determining fitness to practice and comply with the Act.</t>
  </si>
  <si>
    <t>J2: J Fla Med Assoc; Shellow, R A Coleman, P G; ID: 1232</t>
  </si>
  <si>
    <t>0015-4148</t>
  </si>
  <si>
    <t>Shellow, R A. University of Miami School of Medicine.</t>
  </si>
  <si>
    <t>http://ovidsp.ovid.com/ovidweb.cgi?T=JS&amp;CSC=Y&amp;NEWS=N&amp;PAGE=fulltext&amp;D=med3&amp;AN=8169583</t>
  </si>
  <si>
    <t>MEDLINE; Ovid Technologies; Fitness to practice medicine. A question of conduct, not mental illness</t>
  </si>
  <si>
    <t>Sheridan,D. P.;Hornung,C. A.;McCutcheon,E. P.;Wheeler,F. C.</t>
  </si>
  <si>
    <t>Demographic and educational differences in smoking in a tobacco-growing state</t>
  </si>
  <si>
    <t>Adolescent;Adult;*African Americans;Age Factors;Aged;Agriculture;Counseling;Demography;*Educational Status;*European Continental Ancestry Group;Female;Health Education;Humans;Life Style;Male;Middle Aged;Physicians;Plants, Toxic;Prevalence;*Smoking/ep Epidemiology];Smoking Cessation;Smoking Prevention;South Carolina/ep Epidemiology];Tobacco</t>
  </si>
  <si>
    <t>National studies have documented an excessive rate of cigarette smoking in black men; however, a 1987 survey conducted in two urban areas in South Carolina documents a high rate of smoking in young white men with fewer than 12 years of education (67%; 95% confidence interval CI] = 58.3, 75.7). Differences in smoking rates by educational level were significant only for those younger than 40. Young blacks were less likely to smoke and smoked fewer cigarettes than whites. As a result, the population burden of cigarettes in young black men with fewer than 12 years of education was only 27% of the burden carried by their white peers. Television, physicians, and radio were all seen as likely sources of health information to prevent heart disease, but newspapers were less likely to be cited by those younger than 40 or by those with fewer than 12 years of education. Reported physician counseling for smoking cessation did not differ significantly by race, sex, or educational level of the patient, but reported counseling was higher for individuals with a personal history of cardiovascular disease (odds ratio OR] = 2.32, CI = 1.27, 4.25) and somewhat lower for the elderly. We highlight the population burden of cigarettes, a predictor of the eventual disease burden attributable to smoking, as a useful priority measure for smoking intervention efforts.</t>
  </si>
  <si>
    <t>J2: Am J Prev Med; Sheridan, D P Hornung, C A McCutcheon, E P Wheeler, F C; ID: 1247</t>
  </si>
  <si>
    <t>Sheridan, D P. University of South Carolina School of Medicine, Department of Family and Preventive Medicine, Columbia 29208.</t>
  </si>
  <si>
    <t>http://ovidsp.ovid.com/ovidweb.cgi?T=JS&amp;CSC=Y&amp;NEWS=N&amp;PAGE=fulltext&amp;D=med3&amp;AN=8347366</t>
  </si>
  <si>
    <t>MEDLINE; Ovid Technologies; Demographic and educational differences in smoking in a tobacco-growing state</t>
  </si>
  <si>
    <t>Shershneva,M.;Cohen,A.;Larrison,C.;Detzler,K.;Ales,M.</t>
  </si>
  <si>
    <t>Smoking cessation: a community-based approach to continuing medical education</t>
  </si>
  <si>
    <t>Translational Behavioral Medicine</t>
  </si>
  <si>
    <t>Continuing medical education can help close the gaps between current and desired tobacco cessation practices. This paper reports a case of an innovative community-based continuing education approach implemented by a multi-organizational initiative aimed at increasing smoking cessation rates among adults in the USA. The approach involved collaborative partnerships with healthcare professionals and other stakeholders in 14 communities where smoking cessation was an established priority. The centralized evidence-based educational curriculum was delivered locally to more than 15,600 clinicians. Evaluation provided evidence of positive impact on clinicians, healthcare systems, and communities. A collaborative, community-based approach to continuing medical education has potential to increase tobacco cessation rates by leveraging efforts of multiple stakeholders operating at the community level into more effective and sustainable tobacco cessation projects. Future research is needed to study effectiveness of and appropriate evaluation frameworks for this approach.</t>
  </si>
  <si>
    <t>J2: Transl Behav Med; Shershneva, Marianna Cohen, Adele Larrison, Christopher Detzler, Katie Ales, Mary; ID: 266</t>
  </si>
  <si>
    <t>1869-6716</t>
  </si>
  <si>
    <t>Shershneva, Marianna. University of Wisconsin Office of Continuing Professional Development in Medicine and Public Health, Madison, WI USA ; CME Enterprise, Carmel, IN USA. Cohen, Adele. Physicians' Institute for Excellence in Medicine, Atlanta, GA USA. Larrison, Christopher. Healthcare Performance Consulting, Inc., Zionsville, IN USA. Detzler, Katie. CME Enterprise, Carmel, IN USA. Ales, Mary. Interstate Postgraduate Medical Association, Madison, WI USA.</t>
  </si>
  <si>
    <t>http://ovidsp.ovid.com/ovidweb.cgi?T=JS&amp;CSC=Y&amp;NEWS=N&amp;PAGE=fulltext&amp;D=prem&amp;AN=25584088</t>
  </si>
  <si>
    <t>https://dx.doi.org/10.1007/s13142-014-0288-6</t>
  </si>
  <si>
    <t>MEDLINE; Ovid Technologies; Smoking cessation: a community-based approach to continuing medical education</t>
  </si>
  <si>
    <t>Shershneva,M. B.;Larrison,C.;Robertson,S.;Speight,M.</t>
  </si>
  <si>
    <t>Evaluation of a collaborative program on smoking cessation: translating outcomes framework into practice</t>
  </si>
  <si>
    <t>S28</t>
  </si>
  <si>
    <t>Algorithms;Attitude of Health Personnel;*Benchmarking/mt Methods];*Clinical Competence/st Standards];Cooperative Behavior;Education, Medical, Continuing/st Standards];Health Personnel/cl Classification];Health Personnel/px Psychology];Health Personnel/sn Statistics &amp; Numerical Data];*Health Personnel;Humans;*Interprofessional Relations;Models, Organizational;Outcome Assessment (Health Care)/cl Classification];*Outcome Assessment (Health Care)/og Organization &amp; Administration];Outcome Assessment (Health Care)/st Standards];Practice Guidelines as Topic/st Standards];*Program Evaluation;Quality Improvement/st Standards];*Smoking Cessation/mt Methods];Surveys and Questionnaires;*Tobacco Use Disorder/pc Prevention &amp; Control];United States</t>
  </si>
  <si>
    <t>INTRODUCTION: Although evaluating at multiple outcome levels has been proposed for continuing education activities and programs, it is a complex undertaking and is not done routinely, especially in collaborative, multicomponent programs. This article reports on strategies used and results obtained in an evaluation project that examined multiple outcomes of a US-based collaborative, multicomponent smoking cessation educational program for clinicians. METHODS: Evaluation was organized conceptually around the 6 levels of an outcomes-based evaluation model and was conducted using registration data, postactivity evaluations, clinical vignettes with questions assessing knowledge and competence in participants and in a comparison group, a commitment to change approach, data from patient charts to assess clinician compliance on 8 performance measures, and tobacco cessation rates. Additional methods included a success case method study of 9 practices participating in performance improvement (PI) activities and assessment of partner collaboration using a written survey and interviews. RESULTS: The program reached more than 43,000 clinicians who participated in a variety of activities. Participants indicated a high level of satisfaction with the program's educational activities and demonstrated higher scores than a comparison group on 6 of 7 competencies. The majority of participants who responded to commitment to change questions reported intended and implemented practice changes consistent with desired outcomes. Performance outcomes of 3 PI activities varied, with greater improvements observed in 1 activity (9.0% to 36.2% improvement across 8 measures). Lower performance outcomes, but a smoking quit rate of 46.8%, was observed in 2 other PI activities. DISCUSSION: The program had an overall positive impact on the measured variables for clinicians and their patients. Use of 1 outcomes assessment framework acceptable to all members of the collaborative, common measures and evaluation techniques, and centralized data repositories contributed to the success of the program evaluation reported here and is recommended to others who are considering a collaborative program evaluation.</t>
  </si>
  <si>
    <t>J2: J Contin Educ Health Prof; Shershneva, Marianna B Larrison, Christopher Robertson, Sheila Speight, Mike; ID: 455</t>
  </si>
  <si>
    <t>Shershneva, Marianna B. Office of Continuing Professional Development in Medicine and Public Health, University of Wisconsin-Madison, USA. mbshershneva@ocpd.wisc.edu</t>
  </si>
  <si>
    <t>http://ovidsp.ovid.com/ovidweb.cgi?T=JS&amp;CSC=Y&amp;NEWS=N&amp;PAGE=fulltext&amp;D=med7&amp;AN=22190098</t>
  </si>
  <si>
    <t>https://dx.doi.org/10.1002/chp.20146</t>
  </si>
  <si>
    <t>MEDLINE; Ovid Technologies; Evaluation of a collaborative program on smoking cessation: translating outcomes framework into practice</t>
  </si>
  <si>
    <t>Shetty,V.;Murphy,D. A.;Zigler,C.;Resell,J.;Yamashita,D. D.</t>
  </si>
  <si>
    <t>NIHMS57014; Accuracy of data collected by surgical residents</t>
  </si>
  <si>
    <t>Adult;*Data Collection;Demography;Ethnic Groups;Female;Health Status Disparities;Humans;*Internship and Residency/st Standards];Interviews as Topic;Los Angeles;Male;Maxillofacial Injuries/su Surgery];*Maxillofacial Injuries;*Medical Records/st Standards];Observer Variation;Reproducibility of Results;Socioeconomic Factors;Substance-Related Disorders;Surgery, Oral/ed Education];*Surgery, Oral</t>
  </si>
  <si>
    <t>PURPOSE: Clinician records are the primary information source for assessing the quality of facial injury care, billing, risk management, planning of health services, and health-system management and reporting. Inaccuracies obscure outcomes assessment and affect the planning of health services. We sought to determine the accuracy of the clinician collected data by comparing them to similar information elicited by professional interviewers. MATERIALS AND METHODS: We abstracted admissions data from the medical records of 185 patients treated for orofacial injury between January 2005 and January 2007. Clinician data on sociodemographics and substance use were compared with similar information elicited by trained research staff as part of a prospective study. RESULTS: The accuracy of the clinician data sets varied considerably depending on the variable. Concordance with the interviewer data sets was highest for age (paired t test P = .09), gender (kappa = 1), and ethnicity (kappa = .84) but dropped off considerably for marital status (kappa = .22) and alcohol (kappa = .18) and drug use (kappa = .16). The missing data per variable ranged from 4.5% (gender) to 46.9% (employment and education). CONCLUSIONS: Although more research is needed to evaluate the cause of inaccuracies and the relative contributions of patient, provider, and system level effects, it seems that significant inaccuracies in administrative data are common. In particular, patient information collected by surgical residents under-reports substance use behaviors. Interventions aimed at identifying the sources and correcting these errors are necessary.</t>
  </si>
  <si>
    <t>J2: J Oral Maxillofac Surg; Shetty, Vivek Murphy, Debra A Zigler, Cory Resell, Judith Yamashita, Dennis Duke; ID: 686</t>
  </si>
  <si>
    <t>Shetty, Vivek. Section of Oral and Maxillofacial Surgery, University of California at Los Angeles, Los Angeles, CA 90095-1668, USA. vshetty@ucla.edu</t>
  </si>
  <si>
    <t>http://ovidsp.ovid.com/ovidweb.cgi?T=JS&amp;CSC=Y&amp;NEWS=N&amp;PAGE=fulltext&amp;D=med6&amp;AN=18571014</t>
  </si>
  <si>
    <t>https://dx.doi.org/10.1016/j.joms.2008.01.065</t>
  </si>
  <si>
    <t>MEDLINE; Ovid Technologies; Accuracy of data collected by surgical residents</t>
  </si>
  <si>
    <t>Shin,S. S.;Livchits,V.;Nelson,A. K.;Lastimoso,C. S.;Yanova,G. V.;Yanov,S. A.;Mishustin,S. P.;Connery,H. S.;Greenfield,S. F.</t>
  </si>
  <si>
    <t>NIHMS363267; Implementing evidence-based alcohol interventions in a resource-limited setting: novel delivery strategies in Tomsk, Russia</t>
  </si>
  <si>
    <t>Alcoholism/co Complications];Alcoholism/di Diagnosis];*Alcoholism/th Therapy];Combined Modality Therapy;Counseling;Delivery of Health Care/mt Methods];Delivery of Health Care/og Organization &amp; Administration];Education, Medical, Continuing/mt Methods];Humans;Medically Underserved Area;Naltrexone/tu Therapeutic Use];Narcotic Antagonists/tu Therapeutic Use];Patient Compliance;Program Development/mt Methods];Russia;Treatment Outcome;Tuberculosis, Pulmonary/co Complications];Tuberculosis, Pulmonary/th Therapy];0 (Narcotic Antagonists);5S6W795CQM (Naltrexone)</t>
  </si>
  <si>
    <t>Effective implementation of evidence-based interventions in "real-world" settings can be challenging. Interventions based on externally valid trial findings can be even more difficult to apply in resource-limited settings, given marked differences-in provider experience, patient population, and health systems-between those settings and the typical clinical trial environment. Under the auspices of the Integrated Management of Physician-Delivered Alcohol Care for Tuberculosis Patients (IMPACT) study, a randomized, controlled effectiveness trial, and as an integrated component of tuberculosis treatment in Tomsk, Russia, we adapted two proven alcohol interventions to the delivery of care to 200 patients with alcohol use disorders. Tuberculosis providers performed screening for alcohol use disorders and also delivered naltrexone (with medical management) or a brief counseling intervention either independently or in combination as a seamless part of routine care. We report the innovations and challenges to intervention design, training, and delivery of both pharmacologic and behavioral alcohol interventions within programmatic tuberculosis treatment services. We also discuss the implications of these lessons learned within the context of meeting the challenge of providing evidence-based care in resource-limited settings.</t>
  </si>
  <si>
    <t>J2: Harv Rev Psychiatry; Shin, Sonya S Livchits, Viktoriya Nelson, Adrianne K Lastimoso, Charmaine S Yanova, Galina V Yanov, Sergey A Mishustin, Sergey P Connery, Hilary S Greenfield, Shelly F; ID: 450</t>
  </si>
  <si>
    <t>Shin, Sonya S. Harvard Medical School, Division of Global Health Equity, Brigham &amp; Women's Hospital, Boston, MA 02115, USA. sshin@partners.org</t>
  </si>
  <si>
    <t>http://ovidsp.ovid.com/ovidweb.cgi?T=JS&amp;CSC=Y&amp;NEWS=N&amp;PAGE=fulltext&amp;D=med7&amp;AN=22335183</t>
  </si>
  <si>
    <t>https://dx.doi.org/10.3109/10673229.2012.649121</t>
  </si>
  <si>
    <t>MEDLINE; Ovid Technologies; Implementing evidence-based alcohol interventions in a resource-limited setting: novel delivery strategies in Tomsk, Russia</t>
  </si>
  <si>
    <t>Shine,D.;Demas,P.</t>
  </si>
  <si>
    <t>Knowledge of medical students, residents, and attending physicians about opiate abuse</t>
  </si>
  <si>
    <t>Analysis of Variance;Attitude of Health Personnel;Educational Measurement;Hospitals, Teaching;Humans;*Internship and Residency;*Medical Staff, Hospital/px Psychology];Medicine;New York City;*Opioid-Related Disorders/px Psychology];Specialization;*Students, Medical/px Psychology];Urban Population</t>
  </si>
  <si>
    <t>A questionnaire concerning knowledge of opiate abuse and attitudes about abusers was administered to 94 randomly selected physicians and medical students at a large urban teaching hospital. Physicians from four clinical departments and at each level of residency training and medical students in the final year were represented. The mean knowledge score was 3.3 out of a possible 12. Neither the level of training nor specialty was related to test score for the group as a whole. However, family practitioners gained knowledge with increasing experience, while medical and surgical specialists scored lower as they advanced in training. On the attitude section, physicians had strong but individualistic views about drug abuse. Level of training, specialty, and knowledge test score were on the whole unrelated to attitude. The results indicated that physicians at every level of training might benefit from improved teaching in the area of opiate abuse.</t>
  </si>
  <si>
    <t>J2: J Med Educ; Shine, D Demas, P; ID: 1476</t>
  </si>
  <si>
    <t>http://ovidsp.ovid.com/ovidweb.cgi?T=JS&amp;CSC=Y&amp;NEWS=N&amp;PAGE=fulltext&amp;D=med2&amp;AN=6726770</t>
  </si>
  <si>
    <t>MEDLINE; Ovid Technologies; Knowledge of medical students, residents, and attending physicians about opiate abuse</t>
  </si>
  <si>
    <t>Shishani,K.;Nawafleh,H.;Sivarajan Froelicher,E.</t>
  </si>
  <si>
    <t>Jordanian nurses' and physicians' learning needs for promoting smoking cessation</t>
  </si>
  <si>
    <t>Progress in cardiovascular nursing</t>
  </si>
  <si>
    <t>Prog.Cardiovasc.Nurs.</t>
  </si>
  <si>
    <t>Adult;Aged;*Attitude of Health Personnel;Chi-Square Distribution;Clinical Competence;Cross-Sectional Studies;Female;Health Knowledge, Attitudes, Practice;*Health Promotion;Humans;Jordan/ep Epidemiology];Logistic Models;Male;Medical Staff, Hospital/ed Education];Medical Staff, Hospital/px Psychology];Medical Staff, Hospital/sn Statistics &amp; Numerical Data];*Medical Staff, Hospital;Middle Aged;Multivariate Analysis;*Needs Assessment/og Organization &amp; Administration];Nursing Methodology Research;Nursing Staff, Hospital/ed Education];Nursing Staff, Hospital/px Psychology];Nursing Staff, Hospital/sn Statistics &amp; Numerical Data];*Nursing Staff, Hospital;Prevalence;Self Efficacy;Sex Distribution;Smoking/ep Epidemiology];*Smoking;Smoking Cessation;Smoking Prevention;Surveys and Questionnaires</t>
  </si>
  <si>
    <t>Smoking causes many health problems, including myocardial infarction, stroke, and peripheral vascular disease, and has devastating effects on the cardiovascular system. This study was performed to assess: (1) the prevalence of smoking among Jordanian nurses and physicians, (2) the differences in prevalence of smoking by sex, and 3) nurses' and physicians' learning needs for promoting smoking cessation. A descriptive cross-sectional design was used. Five Jordanian hospitals were randomly selected; 164 nurses (65.3%) and 87 physicians (34.7%) participated in the study. Prevalence of smoking among nurses and physicians was 41.5% (n = 66) and 43.6% (n = 38), respectively, and significantly more men than women smoked (odds ratio, 5.45; confidence interval, 2.52-11.74 P = .00]). Many Jordanian nurses and physicians do not recognize the addictive aspect of smoking, and health professionals receive no formal training in smoking cessation approaches to use with patients. Most nurses and physicians recognize that University curricula must include information about smoking cessation.</t>
  </si>
  <si>
    <t>J2: Prog Cardiovasc Nurs; Shishani, Kawkab Nawafleh, Hani Sivarajan Froelicher, Erika; ID: 669</t>
  </si>
  <si>
    <t>0889-7204</t>
  </si>
  <si>
    <t>Shishani, Kawkab. Faculty of Nursing, The Hashemite University, PO Box 150459, Zarqa, 13115 Jordan. kawkab.shishani@gmail.com</t>
  </si>
  <si>
    <t>http://ovidsp.ovid.com/ovidweb.cgi?T=JS&amp;CSC=Y&amp;NEWS=N&amp;PAGE=fulltext&amp;D=med6&amp;AN=18843829</t>
  </si>
  <si>
    <t>MEDLINE; Ovid Technologies; Jordanian nurses' and physicians' learning needs for promoting smoking cessation</t>
  </si>
  <si>
    <t>Short,G. J.;Ricer,R. E.;Filak,A. T., J.</t>
  </si>
  <si>
    <t>Overcoming barriers to creating a tobacco-use curriculum</t>
  </si>
  <si>
    <t>*Curriculum;*Education, Medical, Undergraduate;Humans;Ohio;Patient Education as Topic;Schools, Medical;*Tobacco Use Disorder/pc Prevention &amp; Control]</t>
  </si>
  <si>
    <t>J2: Acad Med; Short, G J Ricer, R E Filak, A T Jr; ID: 1046</t>
  </si>
  <si>
    <t>Short, G J. University of Cincinnati School of Medicine, Ohio, USA.</t>
  </si>
  <si>
    <t>http://ovidsp.ovid.com/ovidweb.cgi?T=JS&amp;CSC=Y&amp;NEWS=N&amp;PAGE=fulltext&amp;D=med4&amp;AN=10587676</t>
  </si>
  <si>
    <t>MEDLINE; Ovid Technologies; Overcoming barriers to creating a tobacco-use curriculum</t>
  </si>
  <si>
    <t>Shorter,D.;Dermatis,H.</t>
  </si>
  <si>
    <t>Addiction training in general psychiatry residency: a national survey</t>
  </si>
  <si>
    <t>*Data Collection/sn Statistics &amp; Numerical Data];Humans;*Internship and Residency/mt Methods];Internship and Residency/sn Statistics &amp; Numerical Data];*Psychiatry/ed Education];*Psychiatry/st Standards];*Substance-Related Disorders;United States</t>
  </si>
  <si>
    <t>J2: Subst Abus; Shorter, Daryl Dermatis, Helen; ID: 395</t>
  </si>
  <si>
    <t>http://ovidsp.ovid.com/ovidweb.cgi?T=JS&amp;CSC=Y&amp;NEWS=N&amp;PAGE=fulltext&amp;D=med7&amp;AN=22989284</t>
  </si>
  <si>
    <t>MEDLINE; Ovid Technologies; Addiction training in general psychiatry residency: a national survey</t>
  </si>
  <si>
    <t>Shyangwa,P. M.;Joshi,D.;Lal,R.</t>
  </si>
  <si>
    <t>Alcohols and other substance use/abuse among junior doctors and medical students in a teaching institute</t>
  </si>
  <si>
    <t>Jnma, Journal of the Nepal Medical Association</t>
  </si>
  <si>
    <t>Adolescent;Adult;*Alcoholism/ep Epidemiology];Female;Hospitals, Teaching;Humans;Male;*Medical Staff, Hospital/sn Statistics &amp; Numerical Data];Nepal;*Physician Impairment/sn Statistics &amp; Numerical Data];*Students, Medical/sn Statistics &amp; Numerical Data];*Substance-Related Disorders/ep Epidemiology]</t>
  </si>
  <si>
    <t>Substance related disorders have become matters of global concern because of its negative impact on individual health, familial, social and professional life. This study aims to assess prevalence of alcohol and other substance use among students and junior doctors at teaching institute. This descriptive study conducted on medical students, following convenient sampling method. Results revealed the prevalence rates of 'ever used', 'last year used' and 'last month used' were 63.5%, 56.5% and 42.5% respectively. The most preferred substance was alcohol (90.9%) and only 32.2% females 'ever used' substance. Cannabis use was seen exclusively among male (15.0%) students and opioid use was not found. Alcohol is most prevalent substance of use/abuse and was common among house officers and medical students.</t>
  </si>
  <si>
    <t>J2: Jnm; Shyangwa, P M Joshi, D Lal, R; ID: 699</t>
  </si>
  <si>
    <t>0028-2715</t>
  </si>
  <si>
    <t>Shyangwa, P M. B.P. Koirala Institute of Health Sciences, Dharan, Nepal. pshyangwa@yahoo.com</t>
  </si>
  <si>
    <t>http://ovidsp.ovid.com/ovidweb.cgi?T=JS&amp;CSC=Y&amp;NEWS=N&amp;PAGE=fulltext&amp;D=med5&amp;AN=18274568</t>
  </si>
  <si>
    <t>MEDLINE; Ovid Technologies; Alcohols and other substance use/abuse among junior doctors and medical students in a teaching institute</t>
  </si>
  <si>
    <t>Sidorov,P. I.;Solov'ev,A. G.;Tevlina,V. V.</t>
  </si>
  <si>
    <t>Factors of social workers' training in a medical school for work in psychiatric and substance abuse rehabilitation clinics]</t>
  </si>
  <si>
    <t>*Education, Medical;*Health Personnel/ed Education];Humans;*Mental Health Services/ma Manpower];*Psychiatry/ed Education];Russia;*Social Work/ed Education];*Substance Abuse Treatment Centers</t>
  </si>
  <si>
    <t>The paper presents experience in training and advanced training of experts for the institutions that provide psychiatric and narcological aid on the basis of the Arkhangelsk State Medical Academy. The necessity of the interdisciplinary methodological approach taking into consideration the international experience of the Scandinavian countries is emphasized.</t>
  </si>
  <si>
    <t>J2: Zh Nevrol Psikhiatr Im S S Korsakova; Russian Sidorov, P I Solov'ev, A G Tevlina, V V; OP: Osobennosti podgotovki v meditsinskom vuze sotsial'nykh rabotnikov dlia psikhiatricheskikh i narkologicheskikh uchrezhdenii; ID: 1073</t>
  </si>
  <si>
    <t>http://ovidsp.ovid.com/ovidweb.cgi?T=JS&amp;CSC=Y&amp;NEWS=N&amp;PAGE=fulltext&amp;D=med4&amp;AN=10358917</t>
  </si>
  <si>
    <t>MEDLINE; Ovid Technologies; [Factors of social workers' training in a medical school for work in psychiatric and substance abuse rehabilitation clinics]</t>
  </si>
  <si>
    <t>Siegal,H.;Rudisill,J. R.</t>
  </si>
  <si>
    <t>Teaching medical students about substance abuse in a weekend intervention program</t>
  </si>
  <si>
    <t>Alcoholism/th Therapy];Counseling;*Education, Medical;Humans;Students, Medical;Substance-Related Disorders/th Therapy];*Substance-Related Disorders;Teaching</t>
  </si>
  <si>
    <t>The authors of this article describe a new approach, called the Weekend Intervention Program, used to teach about alcoholism and substance abuse. The new program makes it possible for medical students to see the process of treatment and intervention unfold. The program places medical students under professional supervision in close, intense contact with drug and alcohol abusers. The program strongly reinforces the instruction presented in both basic science and clinical courses. More than 100 students have participated in the program, and they report it to be an intensely rewarding, valuable experience. The program requires no new resources and is cost-effective.</t>
  </si>
  <si>
    <t>J2: J Med Educ; Siegal, H Rudisill, J R; ID: 1486</t>
  </si>
  <si>
    <t>http://ovidsp.ovid.com/ovidweb.cgi?T=JS&amp;CSC=Y&amp;NEWS=N&amp;PAGE=fulltext&amp;D=med2&amp;AN=6834410</t>
  </si>
  <si>
    <t>MEDLINE; Ovid Technologies; Teaching medical students about substance abuse in a weekend intervention program</t>
  </si>
  <si>
    <t>Siegal,H. A.</t>
  </si>
  <si>
    <t>The intervention approach to drunk driver rehabilitation. Part I. Its evolution, operations, and impact</t>
  </si>
  <si>
    <t>Accidents, Traffic/pc Prevention &amp; Control];Alcoholism/di Diagnosis];*Alcoholism/rh Rehabilitation];*Automobile Driving;Combined Modality Therapy;Counseling;Crisis Intervention;Curriculum;Education, Medical;Humans</t>
  </si>
  <si>
    <t>In the campaign against drunk driving, the "third-generation" Weekend Intervention Program (WIP) met its clinical goals and was superior to education and treatment programs when treating DWI recidivists. Even in the face of the harsher legal climate in the case of WIP, this new intervention approach produced a lower recidivism rate than the control group. These positive findings suggest the need for further research with larger cell samples.</t>
  </si>
  <si>
    <t>J2: Int J Addict; Siegal, H A; ID: 1457</t>
  </si>
  <si>
    <t>http://ovidsp.ovid.com/ovidweb.cgi?T=JS&amp;CSC=Y&amp;NEWS=N&amp;PAGE=fulltext&amp;D=med2&amp;AN=4044079</t>
  </si>
  <si>
    <t>MEDLINE; Ovid Technologies; The intervention approach to drunk driver rehabilitation. Part I. Its evolution, operations, and impact</t>
  </si>
  <si>
    <t>Siegal,H. A.;Cole,P. A.;Li,L.;Eddy,M. F.</t>
  </si>
  <si>
    <t>Can a brief clinical practicum influence physicians' communications with patients about alcohol and drug problems? Results of a long-term follow-up</t>
  </si>
  <si>
    <t>*Alcoholism;*Communication;Curriculum;Data Interpretation, Statistical;*Education, Medical;European Continental Ancestry Group;Female;Follow-Up Studies;Humans;Male;Multivariate Analysis;Odds Ratio;*Physician-Patient Relations;Primary Health Care;*Substance-Related Disorders;Surveys and Questionnaires;Time Factors</t>
  </si>
  <si>
    <t>BACKGROUND: A survey was conducted in 1996 to assess the perceptions of medical school graduates concerning alcohol and drug problems among their patients, and their attitudes and comfort toward addressing these issues. Survey questionnaires were sent to all individuals who graduated from Wright State University School of Medicine, Dayton, Ohio, between 1982 and 1990. PURPOSE: The study aimed to assess the long-term impact that participation in a brief clinical experience in tandem with a standard didactic substance abuse curriculum material had on former medical students now in practice. The study examined how these physicians perceived their skills in communicating with their patients about alcohol and drug use, and attendant problems. METHODS: An Alcohol and Drug Use Communication (ADUC) scale was developed by combining several survey items. Data analyses included correlation assessments of the ADUC scale and other variables, and multiple-regression analyses for identifying factors independently associated with the ADUC scale although other factors were controlled. RESULTS: Former students who participated in the brief clinical program, known as the Weekend Intervention Program, as part of their medical school curriculum were more likely to report having better communication concerning alcohol and drug use with their patients than students who only had didactic education. Also, additional training in addictions after graduation was significantly associated with better alcohol and drug use communication between physician and patient. Former students who participated in the Weekend Intervention Program were more than twice as likely as those without the experience to report confronting at least 10% of their patients about their concerns about the patients' alcohol or drug use. CONCLUSIONS: The results of this study suggest that undergraduate medical students' participation in a modest clinical program can enhance substance abuse education. Through increased training in substance abuse, physicians reported greater confidence in their ability to relate to patients with substance abuse problems.</t>
  </si>
  <si>
    <t>J2: Teach Learn Med; Siegal, H A Cole, P A Li, L Eddy, M F; ID: 1012</t>
  </si>
  <si>
    <t>Siegal, H A. Substance Abuse Intervention Programs, Wright State University School of Medicine, 216 Medical Sciences Building, Dayton, OH 45435, USA. harvey.siegal@wright.edu</t>
  </si>
  <si>
    <t>http://ovidsp.ovid.com/ovidweb.cgi?T=JS&amp;CSC=Y&amp;NEWS=N&amp;PAGE=fulltext&amp;D=med4&amp;AN=11228680</t>
  </si>
  <si>
    <t>MEDLINE; Ovid Technologies; Can a brief clinical practicum influence physicians' communications with patients about alcohol and drug problems? Results of a long-term follow-up</t>
  </si>
  <si>
    <t>Siegal,H. A.;Markert,R. J.;Vojtech,D. L.</t>
  </si>
  <si>
    <t>Evaluation of a program to teach medical students about alcoholism</t>
  </si>
  <si>
    <t>*Alcoholism;*Education, Medical;Humans;Students, Medical</t>
  </si>
  <si>
    <t>J2: J Med Educ; Siegal, H A Markert, R J Vojtech, D L; ID: 1453</t>
  </si>
  <si>
    <t>http://ovidsp.ovid.com/ovidweb.cgi?T=JS&amp;CSC=Y&amp;NEWS=N&amp;PAGE=fulltext&amp;D=med2&amp;AN=3941426</t>
  </si>
  <si>
    <t>MEDLINE; Ovid Technologies; Evaluation of a program to teach medical students about alcoholism</t>
  </si>
  <si>
    <t>Siegal,H. A.;Moore,D. C.</t>
  </si>
  <si>
    <t>The weekend intervention program at Wright State University School of Medicine, Dayton, Ohio</t>
  </si>
  <si>
    <t>*Alcoholic Intoxication/rh Rehabilitation];*Automobile Driving;Counseling;Health Education;Humans;Ohio;Referral and Consultation;Schools, Medical</t>
  </si>
  <si>
    <t>J2: J Subst Abuse Treat; Siegal, H A Moore, D C; ID: 1451</t>
  </si>
  <si>
    <t>http://ovidsp.ovid.com/ovidweb.cgi?T=JS&amp;CSC=Y&amp;NEWS=N&amp;PAGE=fulltext&amp;D=med2&amp;AN=3834105</t>
  </si>
  <si>
    <t>MEDLINE; Ovid Technologies; The weekend intervention program at Wright State University School of Medicine, Dayton, Ohio</t>
  </si>
  <si>
    <t>Siegel,B. J.;Fitzgerald,F. T.</t>
  </si>
  <si>
    <t>*Alcoholics Anonymous;*Alcoholism/th Therapy];*Education, Medical;Humans;United States</t>
  </si>
  <si>
    <t>J2: J Med Educ; Siegel, B J Fitzgerald, F T; ID: 1415</t>
  </si>
  <si>
    <t>http://ovidsp.ovid.com/ovidweb.cgi?T=JS&amp;CSC=Y&amp;NEWS=N&amp;PAGE=fulltext&amp;D=med3&amp;AN=3346898</t>
  </si>
  <si>
    <t>Sieminska,A.;Jassem,J. M.;Uherek,M.;Wilanowski,T.;Nowak,R.;Jassem,E.</t>
  </si>
  <si>
    <t>Tobacco smoking among the first-year medical students]</t>
  </si>
  <si>
    <t>Pneumonologia i Alergologia Polska</t>
  </si>
  <si>
    <t>Adult;Attitude to Health;Female;*Health Education;Humans;Male;Poland/ep Epidemiology];Prevalence;Sex Distribution;*Smoking/ep Epidemiology];Smoking/px Psychology];Smoking Prevention;Socioeconomic Factors;Students, Medical/px Psychology];*Students, Medical/sn Statistics &amp; Numerical Data];Surveys and Questionnaires;*Tobacco Smoke Pollution/sn Statistics &amp; Numerical Data];*Tobacco Use Disorder/ep Epidemiology];Tobacco Use Disorder/pc Prevention &amp; Control];Tobacco Use Disorder/px Psychology];Universities;0 (Tobacco Smoke Pollution)</t>
  </si>
  <si>
    <t>UNLABELLED: The studies have shown that despite studying medicine the rate of tobacco smokers among students is still high. Moreover, in Poland the incidence of smoking is increasing among the youngsters. The study was designed to assess the rate of smokers among the first-year students of two consecutive courses at the Medical University of Gdansk and define their attitudes towards tobacco smoking. The voluntary, multiple-choice questionnaires were distributed among 412 students. The rate of response was 100%. Twenty one percent of responders were current smokers (17% females and 28% men), whereas 7% declared previous smoking. There was no correlation between incidence of smoking among students and their parents (p=0.11). 61% of smokers declared the will to give up their habit and of those 94% were aware of the negative impact of cigarettes on their health. In the group which did not declare the will to quit smoking only 75% knew what the impact of cigarettes on their health was; p=0.02. Only 23% of smokers considered anti-nicotine therapy effective. Almost a half of smokers considered nicotine replacement therapy ineffective for them in quitting cigarette smoking. CONCLUSION: The rate of smokers among the first-year medical students is lower than in general population, but it is still relatively high. However more than a half of smokers wants to give up their habit. Of those who are not willing to, 25% is not aware of the cigarettes' impact on their health. These results call for further anti-nicotine actions.</t>
  </si>
  <si>
    <t>J2: Pneumonol Alergol Pol; Polish Sieminska, Alicja Jassem, Joanna M Uherek, Maja Wilanowski, Tomasz Nowak, Radoslaw Jassem, Ewa; OP: Postawy wobec palenia tytoniu wsrod studentow pierwszego roku medycyny; ID: 752</t>
  </si>
  <si>
    <t>0867-7077</t>
  </si>
  <si>
    <t>Sieminska, Alicja. Klinika Alergologii Akademii Medycznej w Gdansku, Poland.</t>
  </si>
  <si>
    <t>http://ovidsp.ovid.com/ovidweb.cgi?T=JS&amp;CSC=Y&amp;NEWS=N&amp;PAGE=fulltext&amp;D=med5&amp;AN=17427146</t>
  </si>
  <si>
    <t>MEDLINE; Ovid Technologies; [Tobacco smoking among the first-year medical students]</t>
  </si>
  <si>
    <t>Silins,E.;Conigrave,K. M.;Rakvin,C.;Dobbins,T.;Curry,K.</t>
  </si>
  <si>
    <t>The influence of structured education and clinical experience on the attitudes of medical students towards substance misusers</t>
  </si>
  <si>
    <t>Adult;*Attitude of Health Personnel;*Clinical Competence;Female;Humans;Male;Motivation;*Patient Education as Topic/og Organization &amp; Administration];*Professional-Patient Relations;*Students, Medical/sn Statistics &amp; Numerical Data];*Substance-Related Disorders;Surveys and Questionnaires</t>
  </si>
  <si>
    <t>Negative attitudes to patients with substance misuse disorders form a well-recognised barrier to the implementation of best practice. The influence of structured education and clinical experience on the attitudes of medical students towards substance misusers was investigated at an Australian university. First-year students were surveyed before and after 3 weeks of drug and alcohol education and in the same year, fourth-year students were surveyed before and after a 9-week block. Males, older students and those with prior clinical experience tended to have more negative attitudes. Attitudes improved significantly after exposure to interactive learning modules which included contact with patients with substance dependence, including individuals in remission. The level of dislike of problem drinkers significantly decreased after teaching. After fourth-year education, students reported a greater sense of responsibility towards providing intervention and less anticipation of discomfort working with these patients. In particular, confidence and attitudes towards heroin users improved near the end of training after contact with illicit drug users in the small group or individual interview setting. By the end of drug and alcohol education, less than half (42%) of students reported they could not imagine working with substance misusers as a career. Findings support the provision of structured drug and alcohol education and supported clinical experience for every medical student if appropriate evidence-based treatment is to be provided.</t>
  </si>
  <si>
    <t>J2: Drug Alcohol Rev; Silins, Edmund Conigrave, Katherine M Rakvin, Christine Dobbins, Timothy Curry, Kenneth; ID: 766</t>
  </si>
  <si>
    <t>Silins, Edmund. School of Public Health, University of Sydney, Sydney, Australia. e.silins@unsw.edu.au</t>
  </si>
  <si>
    <t>http://ovidsp.ovid.com/ovidweb.cgi?T=JS&amp;CSC=Y&amp;NEWS=N&amp;PAGE=fulltext&amp;D=med5&amp;AN=17364855</t>
  </si>
  <si>
    <t>MEDLINE; Ovid Technologies; The influence of structured education and clinical experience on the attitudes of medical students towards substance misusers</t>
  </si>
  <si>
    <t>Simbirtsev,S. A.;Bederova,N. A.</t>
  </si>
  <si>
    <t>Role of institutes for advanced training in raising physician competence in narcology]</t>
  </si>
  <si>
    <t>*Alcoholism/pc Prevention &amp; Control];*Education, Medical, Continuing/td Trends];Humans;*Psychiatry/ed Education];Schools, Medical;Ussr</t>
  </si>
  <si>
    <t>J2: Sov Zdravookhr; Russian Simbirtsev, S A Bederova, N A; OP: Rol' institutov usovershenstvovaniia v povyshenii kvalifikatsii vrachei po voprosam narkologii; ID: 1438</t>
  </si>
  <si>
    <t>http://ovidsp.ovid.com/ovidweb.cgi?T=JS&amp;CSC=Y&amp;NEWS=N&amp;PAGE=fulltext&amp;D=med2&amp;AN=3563631</t>
  </si>
  <si>
    <t>MEDLINE; Ovid Technologies; [Role of institutes for advanced training in raising physician competence in narcology]</t>
  </si>
  <si>
    <t>Simmons,K.</t>
  </si>
  <si>
    <t>Learning to treat those with alcohol problems</t>
  </si>
  <si>
    <t>1, 1835</t>
  </si>
  <si>
    <t>*Alcoholism/th Therapy];*Education, Medical;Humans;United States</t>
  </si>
  <si>
    <t>J2: Jama; Simmons, K; ID: 1474</t>
  </si>
  <si>
    <t>http://ovidsp.ovid.com/ovidweb.cgi?T=JS&amp;CSC=Y&amp;NEWS=N&amp;PAGE=fulltext&amp;D=med2&amp;AN=6471307</t>
  </si>
  <si>
    <t>MEDLINE; Ovid Technologies; Learning to treat those with alcohol problems</t>
  </si>
  <si>
    <t>Simson,J. M.</t>
  </si>
  <si>
    <t>Alcohol and substance abuse among medical residents</t>
  </si>
  <si>
    <t>Alcohol-Related Disorders/di Diagnosis];Alcohol-Related Disorders/ep Epidemiology];Humans;Internship and Residency/sn Statistics &amp; Numerical Data];*Internship and Residency;Substance-Related Disorders/di Diagnosis];*Substance-Related Disorders/ep Epidemiology];United States/ep Epidemiology]</t>
  </si>
  <si>
    <t>J2: Jama; Simson, J M Comment on: JAMA. 1990 Nov 21;264(19):2511-8; PMID: 2232018 Comment on: JAMA. 2000 Sep 6;284(9):1099-104; PMID: 10974688; ID: 1017</t>
  </si>
  <si>
    <t>http://ovidsp.ovid.com/ovidweb.cgi?T=JS&amp;CSC=Y&amp;NEWS=N&amp;PAGE=fulltext&amp;D=med4&amp;AN=11147982</t>
  </si>
  <si>
    <t>MEDLINE; Ovid Technologies; Alcohol and substance abuse among medical residents</t>
  </si>
  <si>
    <t>Sinha,D. N.;Rinchen,S.;Palipudi,K. M.;Naing Shein,N. N.;de Silva,P.;Khadka,B. B.;Pednekar,M.;Singh,G.;Pitayarangsarit,S.;Bhattad,V. B.;Lee,K. A.;Asma,S.;Singh,P. K.</t>
  </si>
  <si>
    <t>Tobacco use, exposure to second-hand smoke, and cessation training among the third-year medical and dental students in selected Member States of South-East Asia region: a trend analysis on data from the Global Health Professions Student Survey, 2005-2011</t>
  </si>
  <si>
    <t>Indian journal of cancer</t>
  </si>
  <si>
    <t>Indian J.Cancer</t>
  </si>
  <si>
    <t>Asia, Southeastern/ep Epidemiology];Data Collection;Environmental Exposure/ae Adverse Effects];Female;Health Occupations;Humans;Male;Prevalence;Smoke-Free Policy;*Smoking Cessation/mt Methods];Students, Dental;Students, Medical;*Tobacco;Tobacco Smoke Pollution/ae Adverse Effects];*Tobacco Smoke Pollution/pc Prevention &amp; Control];Tobacco Smoke Pollution/sn Statistics &amp; Numerical Data];*Tobacco Use Disorder/ep Epidemiology];*Tobacco Use Disorder/pc Prevention &amp; Control];0 (Tobacco Smoke Pollution)</t>
  </si>
  <si>
    <t>BACKGROUND: The Medical and Dental Global Health Professions Student Surveys (GHPSS) are surveys based in schools that collect self-administered data from students on the prevalence of tobacco use, exposure to second-hand smoke, and tobacco cessation training, among the third-year medical and dental students. MATERIALS AND METHODS: Two rounds of medical and dental GHPSS have been conducted in Bangladesh, India, Myanmar, Nepal, Sri Lanka, and Thailand, among the third-year medical and dental students, between 2005 and 2006 and 2009 and 2011. RESULTS: The prevalence of any tobacco use among third-year male and female medical students did not change in Bangladesh, India, and Nepal between 2005 and 2006 and 2009 and 2011; however, it reduced significantly among females in Myanmar (3.3% in 2006 to 1.8% in 2009) and in Sri Lanka (2.5% in 2006 to 0.6% in 2011). The prevalence of any tobacco use among third-year male dental students did not change in Bangladesh, India, Nepal, and Thailand between 2005 and 2006 and 2009 and 2011; however, in Myanmar, the prevalence increased significantly (35.6% in 2006 to 49.5% in 2009). Among the third-year female students, a significant increase in prevalence was noticed in Bangladesh (4.0% in 2005 to 22.2% in 2009) and Thailand (0.7% in 2006 to 2.1% in 2011). It remained unchanged in the other three countries. Prevalence of exposure to second-hand smoke (SHS) both at home and in public places, among medical students, decreased significantly in Myanmar and Sri Lanka between 2006 and 2009 and in 2011. Among dental students, the prevalence of SHS exposure at home reduced significantly in Bangladesh, India, and Myanmar, and in public places in India. However, there was an increase of SHS exposure among dental students in Nepal, both at home and in public places, between 2005 and 2011. Medical students in Myanmar, Nepal, and Sri Lanka reported a declining trend in schools, with a smoking ban policy in place, between 2005 and 2006 and 2009 and 2011, while proportions of dental students reported that schools with a smoking ban policy have increased significantly in Bangladesh and Myanmar. Ever receiving cessation training increased significantly among medical students in Sri Lanka only, whereas, among dental students, it increased in India, Nepal, and Thailand. CONCLUSION: Trends of tobacco use and exposure to SHS among medical and dental students in most countries of the South-East Asia Region had changed only relatively between the two rounds of GHPSS (2005-2006 and 2009-2011). No significant improvement was observed in the trend in schools with a policy banning smoking in school buildings and clinics. Almost all countries in the SEA Region that participated in GHPSS showed no significant change in ever having received formal training on tobacco cessation among medical and dental students.</t>
  </si>
  <si>
    <t>J2: Indian J Cancer; Sinha, D N Rinchen, S Palipudi, K M Naing Shein, Nang Naing de Silva, P Khadka, B B Pednekar, M Singh, G Pitayarangsarit, S Bhattad, V B Lee, K A Asma, S Singh, P K; ID: 330</t>
  </si>
  <si>
    <t>1998-4774</t>
  </si>
  <si>
    <t>Sinha, D N. World Health Organization, Regional Office for South-East Asia, New Delhi, India. sinhad@who.int</t>
  </si>
  <si>
    <t>http://ovidsp.ovid.com/ovidweb.cgi?T=JS&amp;CSC=Y&amp;NEWS=N&amp;PAGE=fulltext&amp;D=med7&amp;AN=23442402</t>
  </si>
  <si>
    <t>https://dx.doi.org/10.4103/0019-509X.107743</t>
  </si>
  <si>
    <t>MEDLINE; Ovid Technologies; Tobacco use, exposure to second-hand smoke, and cessation training among the third-year medical and dental students in selected Member States of South-East Asia region: a trend analysis on data from the Global Health (TRUNCATED)</t>
  </si>
  <si>
    <t>Sitarek,K.;Szymczak,W.;Berlinska,B.</t>
  </si>
  <si>
    <t>Evaluation of reproductive disorders in men occupational exposed to lead]</t>
  </si>
  <si>
    <t>Medycyna pracy</t>
  </si>
  <si>
    <t>Med.Pr.</t>
  </si>
  <si>
    <t>Adult;Case-Control Studies;Cross-Sectional Studies;Environmental Monitoring;Epidemiological Monitoring;Humans;*Infertility, Male/ep Epidemiology];Infertility, Male/et Etiology];Lead Poisoning/co Complications];*Lead Poisoning/ep Epidemiology];Male;Occupational Diseases/co Complications];*Occupational Diseases/ep Epidemiology];Occupational Exposure/an Analysis];Poland/ep Epidemiology];Prevalence</t>
  </si>
  <si>
    <t>The objective of the study was to define the prevalence of reproductive disorders in men occupationally exposed to lead in concentrations occurring usually in the work environment. The period of time preceding the conception in couples in which men were occupationally exposed to lead was adopted as the measure of the disorder. A cross-section survey was performed. Men of selected plants of Upper Silesia and Glogow responded to questions included in the questionnaire regarding age, education, occupation, occupational exposure, health condition, addictions, the situation in the family as well as questions concerning the respondent's spouse (age, education, occupation, addictions, health condition). The blood lead concentrations in persons exposed to this metal in the period preceding the conception were defined on the basis of medical data stored by the plant occupational outpatient clinics. The control group consisted of workers of the metallurgic industry, living in Lodz or its vicinity, and non-occupationally exposed men living in Silesia. In total 341 exposed men and 510 non-exposed controls participated in the study. The investigated groups were rather homogeneous as to the age of those under study and their spouses, education, addictions and the number of children. The analysis of the survey results indicated that in 5% of couples in the control group the time before conception exceeded one year. A similar occurrence of reproductive disorders was found in couples in which man was occupationally exposed to lead. The proportion of couples with reproductive disorders in this group (regardless of the size of Pb exposure) was 6%. The stratification of the Pb-exposed groups, taking into account the exposure size in accordance with the WHO criteria (group 1-220 micrograms/l, that is below the accepted value above which the ZnPP level increases; group II-PbB 200-400 micrograms/l that is up to the level recommended as the highest level for the population occupationally exposed to lead; and group III-PbB above 400 micrograms/l) allowed the analysis of the frequency of reproductive disorders depending on the size of the exposure. The percentage of couples with delayed conception accounted for 4.5% in group I; 8.7% in group II, and in group III did not differ significantly from that in the control group. These results show that men's occupational exposure to lead below allowable concentration in the biological material (500 micrograms/Pb/l blood in Poland or 400 micrograms/Pbl recommended by WHO) does not pose the risk for prolonged period preceding the conception in their partners.</t>
  </si>
  <si>
    <t>J2: Med Pr; Polish Sitarek, K Szymczak, W Berlinska, B; OP: Ocena zaburzen plodnosci mezczyzn narazonych zawodowo na olow; ID: 1097</t>
  </si>
  <si>
    <t>0465-5893</t>
  </si>
  <si>
    <t>Sitarek, K. Zakladu Toksykologii i Kancerogenezy, Instytutu Medycyny Pracy im., Lodzi.</t>
  </si>
  <si>
    <t>http://ovidsp.ovid.com/ovidweb.cgi?T=JS&amp;CSC=Y&amp;NEWS=N&amp;PAGE=fulltext&amp;D=med4&amp;AN=9695061</t>
  </si>
  <si>
    <t>MEDLINE; Ovid Technologies; [Evaluation of reproductive disorders in men occupational exposed to lead]</t>
  </si>
  <si>
    <t>Skrzypczak,M.;Szwed,A.;Pawlinska-Chmara,R.;Skrzypulec,V.</t>
  </si>
  <si>
    <t>Body mass index, waist to hip ratio and waist/height in adult Polish women in relation to their education, place of residence, smoking and alcohol consumption</t>
  </si>
  <si>
    <t>Homo</t>
  </si>
  <si>
    <t>Adult;Aged;Aged, 80 and over;Alcohol Drinking;*Body Height;*Body Mass Index;Educational Status;Female;Humans;Middle Aged;*Obesity/et Etiology];Obesity/pa Pathology];Poland;Smoking;Surveys and Questionnaires;*Waist-Hip Ratio</t>
  </si>
  <si>
    <t>Obesity is a complex, multifactorial disorder that develops from genotype and environmental interactions. The aim of this study is to describe the variability of body mass index (BMI), waist to hip ratio (WHR) and waist to height (W/Ht) in adult Polish women, and to determine relationships between these variables and factors such as education, place of residence, smoking and alcohol drinking. The tested group consisted of 10,254 women aged 25-95 years, who voluntarily filled in questionnaires and participated in anthropometric measurements (body height and mass, waist and hip circumferences). The BMI, WHR and W/Ht values were calculated based on these measurements. The participants were differentiated in terms of education, residence and lifestyle (smoking, alcohol drinking). Chi-squared test, product-moment correlations, ANOVA, multiple correspondence analysis (MCA) and logistic regression with backward elimination were used to evaluate associations between social and lifestyle factors and BMI, WHR and W/Ht. The results confirm (1) the relationship between low social status and the risk of overweight and obesity as observed in developed countries; (2) higher susceptibility to environmental factors such as education, place of residence, smoking and alcohol drinking in younger (premenopausal) women; (3) the usefulness of simple and practical anthropometric indicators such as WHR and W/Ht for the identification of the higher risk of future metabolic diseases in obese people and those with a normal body mass.</t>
  </si>
  <si>
    <t>J2: Homo; Skrzypczak, M Szwed, A Pawlinska-Chmara, R Skrzypulec, V; ID: 667</t>
  </si>
  <si>
    <t>0018-442X</t>
  </si>
  <si>
    <t>Skrzypczak, M. Department of Human Biological Development, Institute of Anthropology, Faculty of Biology, Adam Mickiewicz University, Umultowska 89, 61-614 Poznan, Poland. maskrz@amu.edu.pl</t>
  </si>
  <si>
    <t>http://ovidsp.ovid.com/ovidweb.cgi?T=JS&amp;CSC=Y&amp;NEWS=N&amp;PAGE=fulltext&amp;D=med6&amp;AN=18675976</t>
  </si>
  <si>
    <t>https://dx.doi.org/10.1016/j.jchb.2008.06.003</t>
  </si>
  <si>
    <t>MEDLINE; Ovid Technologies; Body mass index, waist to hip ratio and waist/height in adult Polish women in relation to their education, place of residence, smoking and alcohol consumption</t>
  </si>
  <si>
    <t>Skutar,C.</t>
  </si>
  <si>
    <t>Substance abuse education. Physician/lawyer teams in schools complement MSMS efforts</t>
  </si>
  <si>
    <t>Child;Humans;Michigan;*Physicians;*School Health Services/ma Manpower];*Substance-Related Disorders/pc Prevention &amp; Control]</t>
  </si>
  <si>
    <t>J2: Mich Med; Skutar, C; ID: 1319</t>
  </si>
  <si>
    <t>http://ovidsp.ovid.com/ovidweb.cgi?T=JS&amp;CSC=Y&amp;NEWS=N&amp;PAGE=fulltext&amp;D=med3&amp;AN=2014009</t>
  </si>
  <si>
    <t>MEDLINE; Ovid Technologies; Substance abuse education. Physician/lawyer teams in schools complement MSMS efforts</t>
  </si>
  <si>
    <t>Slovinec D'Angelo,M. E.;Reid,R. D.;Hotz,S.;Irvine,J.;Segal,R. J.;Blanchard,C. M.;Pipe,A.</t>
  </si>
  <si>
    <t>Is stress management training a useful addition to physician advice and nicotine replacement therapy during smoking cessation in women? Results of a randomized trial</t>
  </si>
  <si>
    <t>Adult;Aged;Female;Humans;Middle Aged;Ontario;*Referral and Consultation;*Smoking Cessation/mt Methods];*Stress, Psychological/th Therapy];*Tobacco Use Disorder/th Therapy]</t>
  </si>
  <si>
    <t>PURPOSE: To determine whether a stress management (SM) program could improve cessation rates when added to usual care (UC) among women attempting to quit smoking. DESIGN: Randomized controlled trial conducted during a 12-month period. SETTING: Smoking cessation clinics located within two tertiary care centers in Ottawa, Ontario. SUBJECTS: A total of 332 women smokers 19 years or older who smoked 10 or more cigarettes per day were recruited via advertisements. INTERVENTION. Either UC (physician advice and nicotine replacement therapy) or UC plus an eight-session group SM training program (coping skills development relevant to smoking-specific and generic stressors). MEASURES: Point prevalence abstinence 2 and 12 months after study intake. A secondary outcome of interest was change in perceived stress during the intervention period. RESULTS: On an intent-to-treat basis, the addition of SM to UC had no incremental effect on 2- or 12-month abstinence rates. Abstinence rates at 2 months were 26.2% vs. 31.7% in the UC and SM groups, respectively (p = .59). At 12 months, the rates were 18.5% vs. 20.7% (p = .86). When quit rates were compared including only participants who demonstrated adequate adherence to the intervention protocol, there was a significant difference between the UC and SM groups at 2 months (34.9% vs. 48.7%; adjusted odds ratio, 1.88; 95% confidence interval, 1.04-3.42; p = .04) but not at 12 months (23.0% vs. 28.2%; adjusted odds ratio, 1.24; 95% confidence interval, .64-2.41; p = .53). There was a significant reduction in perceived stress from preintervention to postintervention; however, this decrease was not moderated by group assignment. CONCLUSION: The addition of SM in our setting neither increased abstinence rates nor reduced perceived stress over and above UC in women motivated to quit smoking. Poor attendance at the SM intervention undermined its effectiveness.</t>
  </si>
  <si>
    <t>J2: Am J Health Promot; Slovinec D'Angelo, Monika E Reid, Robert D Hotz, Stephen Irvine, Jane Segal, Roanne J Blanchard, Chris M Pipe, Andrew; ID: 848</t>
  </si>
  <si>
    <t>Slovinec D'Angelo, Monika E. Prevention and Rehabilitation Centre, University of Ottawa Heart Institute, Ontario, Canada. mslovinec@ottawaheart.ca</t>
  </si>
  <si>
    <t>http://ovidsp.ovid.com/ovidweb.cgi?T=JS&amp;CSC=Y&amp;NEWS=N&amp;PAGE=fulltext&amp;D=medc&amp;AN=16295704</t>
  </si>
  <si>
    <t>MEDLINE; Ovid Technologies; Is stress management training a useful addition to physician advice and nicotine replacement therapy during smoking cessation in women? Results of a randomized trial</t>
  </si>
  <si>
    <t>Small,P. A., J.</t>
  </si>
  <si>
    <t>We must turn our disease treatment centers into true health centers</t>
  </si>
  <si>
    <t>Pharos of Alpha Omega Alpha Honor Medical Society</t>
  </si>
  <si>
    <t>Alcohol Drinking/ae Adverse Effects];Alcohol Drinking/pc Prevention &amp; Control];*Clinical Competence/st Standards];*Comprehensive Health Care/st Standards];Education, Medical/st Standards];*Health Education/st Standards];Humans;Obesity/co Complications];Obesity/pc Prevention &amp; Control];*Primary Prevention/st Standards];Smoking/ae Adverse Effects];Smoking Prevention;*Substance-Related Disorders/pc Prevention &amp; Control];United States</t>
  </si>
  <si>
    <t>J2: Pharos; Small, Parker A Jr; ID: 873</t>
  </si>
  <si>
    <t>0031-7179</t>
  </si>
  <si>
    <t>Small, Parker A Jr. Department of Pathology, Immunology and Laboratory Medicine, University of Florida, College of Medicine, Gainesville 32610, USA. small@pathology.ufl.edu</t>
  </si>
  <si>
    <t>http://ovidsp.ovid.com/ovidweb.cgi?T=JS&amp;CSC=Y&amp;NEWS=N&amp;PAGE=fulltext&amp;D=med5&amp;AN=15792076</t>
  </si>
  <si>
    <t>MEDLINE; Ovid Technologies; We must turn our disease treatment centers into true health centers</t>
  </si>
  <si>
    <t>Smith,C. M.</t>
  </si>
  <si>
    <t>Clinical geriatric psychopharmacology: drugs and neuropsychiatric symptoms. A clinical pharmacology problem solving unit</t>
  </si>
  <si>
    <t>Aged;Drug-Related Side Effects and Adverse Reactions;*Education, Medical;*Geriatrics/td Trends];Hospitalization;Humans;Nursing Homes;Pharmacology, Clinical/ed Education];*Pharmacology, Clinical/td Trends];Problem Solving;Substance-Related Disorders/dt Drug Therapy];Substance-Related Disorders/et Etiology];*Substance-Related Disorders</t>
  </si>
  <si>
    <t>J2: J Clin Pharmacol; Smith, C M; ID: 1150</t>
  </si>
  <si>
    <t>Smith, C M. Department of Pharmacology and Toxicology, School of Medicine and Biomedical Sciences, State University of New York at Buffalo 14214, USA.</t>
  </si>
  <si>
    <t>http://ovidsp.ovid.com/ovidweb.cgi?T=JS&amp;CSC=Y&amp;NEWS=N&amp;PAGE=fulltext&amp;D=med4&amp;AN=8877671</t>
  </si>
  <si>
    <t>MEDLINE; Ovid Technologies; Clinical geriatric psychopharmacology: drugs and neuropsychiatric symptoms. A clinical pharmacology problem solving unit</t>
  </si>
  <si>
    <t>Smith,C. S.;Phister,J.;Lee,D. K.;Kilfoyle,M.</t>
  </si>
  <si>
    <t>The elephant in the waiting room: an alcoholism-awareness tool for medical curricula</t>
  </si>
  <si>
    <t>*Alcoholism/di Diagnosis];Curriculum;*Education, Medical, Undergraduate;Humans</t>
  </si>
  <si>
    <t>J2: Acad Med; Smith, C S Phister, J Lee, D K Kilfoyle, M; ID: 1246</t>
  </si>
  <si>
    <t>http://ovidsp.ovid.com/ovidweb.cgi?T=JS&amp;CSC=Y&amp;NEWS=N&amp;PAGE=fulltext&amp;D=med3&amp;AN=8397612</t>
  </si>
  <si>
    <t>MEDLINE; Ovid Technologies; The elephant in the waiting room: an alcoholism-awareness tool for medical curricula</t>
  </si>
  <si>
    <t>Smith,D. E.;Lee,D. R.;Davidson,L. D.</t>
  </si>
  <si>
    <t>Health care equality and parity for treatment of addictive disease</t>
  </si>
  <si>
    <t>Cost Sharing/ec Economics];Cost Sharing/lj Legislation &amp; Jurisprudence];Cost Sharing/mt Methods];*Cost Sharing;*Health Services Accessibility;Humans;*Insurance Coverage;*Substance-Related Disorders/ec Economics];*Substance-Related Disorders/th Therapy]</t>
  </si>
  <si>
    <t>Substance abuse represents a significant underlying cause of the health issues faced in the United States, which severely impacts the nation's health care system and economy. Recently enacted parity legislation mandates that benefits for addiction and mental health treatment be provided on an equal footing with those for treatment for physical health. Diversion and abuse of prescription medications is growing in young people, with much of the diversion occurring between family and friends. Addiction has been accepted by mainstream medicine as a brain disease, and is associated with many other medical disorders. Early intervention and treatment for addiction provides extraordinary cost-benefit outcomes. Additional training for addiction professionals will be necessary. Stigmatization of substance abusers continues to exist at the state and federal levels, although research during the past 10 years indicates that patient compliance and relapse rates for substance abusers are not significantly different than those for individuals with other chronic diseases, e.g. diabetes, hypertension, and cardiac issues. While parity for addiction treatment has become policy at the federal level, great challenges lie ahead in funding access, facilities, and training, as well as redirecting societal perceptions and legislated penalties.</t>
  </si>
  <si>
    <t>J2: J Psychoactive Drugs; Smith, David E Lee, Dorothy R Davidson, Leigh Dickerson; ID: 566</t>
  </si>
  <si>
    <t>Smith, David E. Buxton-Smith Center for Research on Addiction Medicine, Free Clinic Movement, 856 Stanyan Street, San Francisco 94117, USA.</t>
  </si>
  <si>
    <t>http://ovidsp.ovid.com/ovidweb.cgi?T=JS&amp;CSC=Y&amp;NEWS=N&amp;PAGE=fulltext&amp;D=med6&amp;AN=20648907</t>
  </si>
  <si>
    <t>MEDLINE; Ovid Technologies; Health care equality and parity for treatment of addictive disease</t>
  </si>
  <si>
    <t>Smith,J. A.;Strough,L. C.;Wittson,C.;Mansfield,E.</t>
  </si>
  <si>
    <t>Source: CLML. 5935:24625:20:485; A program for the psychiatric training of general practitioners while utilizing their offices as an outpatient facility</t>
  </si>
  <si>
    <t>*Alcoholism/th Therapy];*Education, Medical;*General Practitioners;Humans;*Outpatients;*Psychiatry/ed Education]</t>
  </si>
  <si>
    <t>J2: Am J Psychiatry; SMITH, J A STROUGH, L C WITTSON, C MANSFIELD, E; ID: 1034</t>
  </si>
  <si>
    <t>http://ovidsp.ovid.com/ovidweb.cgi?T=JS&amp;CSC=Y&amp;NEWS=N&amp;PAGE=fulltext&amp;D=med1&amp;AN=13595129</t>
  </si>
  <si>
    <t>MEDLINE; Ovid Technologies; A program for the psychiatric training of general practitioners while utilizing their offices as an outpatient facility</t>
  </si>
  <si>
    <t>Smith,M. O.;Khan,I.</t>
  </si>
  <si>
    <t>An acupuncture programme for the treatment of drug-addicted persons</t>
  </si>
  <si>
    <t>Bulletin on narcotics</t>
  </si>
  <si>
    <t>Bull.Narc.</t>
  </si>
  <si>
    <t>*Acupuncture Therapy;Alcoholism/th Therapy];Education, Medical;Homeostasis;Hospitals, Municipal;Humans;New York;Societies;Substance Withdrawal Syndrome/th Therapy];*Substance-Related Disorders/th Therapy]</t>
  </si>
  <si>
    <t>Over the past 13 years, Lincoln Hospital, New York City, has used acupuncture as the primary method of treatment for drug-addicted persons. The programme receives, on a daily out-patient basis, 200 drug-addicted persons for detoxification. Acupuncture relieves withdrawal symptoms, prevents the craving for drugs and increases the rate of participation of patients in long-term treatment programmes. The best results have been obtained by treating patients in an open-group setting, using acupuncture points in the external ear with needles without electrical stimulation. The same points are used at each visit, regardless of the type of drug to which the person is addicted. This method is also used for the treatment of persons suffering from stress. The National Acupuncture Detoxification Association (NADA) has conducted successful training programmes for physicians and related staff in using the technique and philosophy of traditional Chinese acupuncture. These training programmes usually include courses in counseling skills, ethical responsibilities and sterilization procedures that are appropriate to local conditions. NADA has begun to operate a pilot programme to treat approximately 1,000 drug abusers and people who are under a high level of stress, which may lead them to the abuse of drugs. It is assumed that acupuncture, in conjunction with other drug-demand reduction programmes, can make a significant impact on the illicit demand for drugs by reaching this entire range of patients.</t>
  </si>
  <si>
    <t>J2: Bull Narc; Smith, M O Khan, I; ID: 1396</t>
  </si>
  <si>
    <t>0007-523X</t>
  </si>
  <si>
    <t>Smith, M O. Substance Abuse Division, Lincoln Hospital, New York, New York.</t>
  </si>
  <si>
    <t>http://ovidsp.ovid.com/ovidweb.cgi?T=JS&amp;CSC=Y&amp;NEWS=N&amp;PAGE=fulltext&amp;D=med3&amp;AN=3219455</t>
  </si>
  <si>
    <t>MEDLINE; Ovid Technologies; An acupuncture programme for the treatment of drug-addicted persons</t>
  </si>
  <si>
    <t>Smith,P. O.;Griebler,J.;Payne,T. J.;Crews,K. M.</t>
  </si>
  <si>
    <t>Physician-based tobacco dependence interventions: review and clinical practice recommendations</t>
  </si>
  <si>
    <t>Journal of the Mississippi State Medical Association</t>
  </si>
  <si>
    <t>J.Miss.State Med.Assoc.</t>
  </si>
  <si>
    <t>Adult;Aged;Curriculum;Education, Medical, Continuing/og Organization &amp; Administration];Female;Humans;Male;Middle Aged;Mississippi;Patient Education as Topic;*Physician's Role;Physician-Patient Relations;Plants, Toxic;*Practice Guidelines as Topic;Practice Patterns, Physicians';Program Development;Sensitivity and Specificity;*Smoking Cessation/mt Methods];Tobacco/ae Adverse Effects];*Tobacco Use Disorder/pc Prevention &amp; Control]</t>
  </si>
  <si>
    <t>J2: J Miss State Med Assoc; Smith, P O Griebler, J Payne, T J Crews, K M; ID: 1020</t>
  </si>
  <si>
    <t>0026-6396</t>
  </si>
  <si>
    <t>Smith, P O. Department of Family Medicine, University of Mississippi Medical Center, Jackson 39211, USA.</t>
  </si>
  <si>
    <t>http://ovidsp.ovid.com/ovidweb.cgi?T=JS&amp;CSC=Y&amp;NEWS=N&amp;PAGE=fulltext&amp;D=med4&amp;AN=11014057</t>
  </si>
  <si>
    <t>MEDLINE; Ovid Technologies; Physician-based tobacco dependence interventions: review and clinical practice recommendations</t>
  </si>
  <si>
    <t>Smith,R. J.;Kilaru,A. S.;Perrone,J.;Paciotti,B.;Barg,F. K.;Gadsden,S. M.;Meisel,Z. F.</t>
  </si>
  <si>
    <t>NIHMS658889; How, why, and for whom do emergency medicine providers use prescription drug monitoring programs?</t>
  </si>
  <si>
    <t>Adult;Congresses as Topic/st Standards];Drug Monitoring/mt Methods];Drug Monitoring/st Standards];*Emergency Medicine/st Standards];Female;Humans;*Inappropriate Prescribing/pc Prevention &amp; Control];Male;Middle Aged;*Physicians/st Standards];*Prescription Drug Misuse;Prescription Drugs/tu Therapeutic Use];Substance Abuse Detection/mt Methods];*Substance Abuse Detection/st Standards];Surveys and Questionnaires;0 (Prescription Drugs)</t>
  </si>
  <si>
    <t>OBJECTIVE: The prescription opioid epidemic is currently responsible for the greatest number of unintentional deaths in the United States. One potential strategy for decreasing this epidemic is implementation of state-based Prescription Drug Monitoring Programs (PDMPs), which are designed for providers to identify patients who "doctor shop" for prescriptions. Emergency medicine physicians are some of the most frequent PDMP users and opioid prescribers, but little is known about how they actually use PDMPs, for which patients, and for what reasons. METHODS: We conducted and transcribed semistructured qualitative interviews with 61 physicians at a national academic conference in October 2012. Deidentified transcripts were entered into QSR NVivo 10.0, coded, and analyzed for themes using modified grounded theory. RESULTS: There is variation in pattern and frequency of PDMP access by emergency physicians. Providers rely on both structural characteristics of the PDMP, such as usability, and also their own clinical gestalt impression when deciding to use PDMPs for a given patient encounter. Providers use the information in PDMPs to alter clinical decisions and guide opioid prescribing patterns. Physicians describe alternative uses for the databases, such as improving their ability to facilitate discussions on addiction and provide patient education. CONCLUSION: PDMPs are used for multiple purposes, including identifying opioid misuse and enhancing provider-patient communication. Given variation in practice, standards may help direct indication and manner of physician use. Steps to minimize administrative barriers to PDMP access are warranted. Finally, alternative PDMP uses should be further studied to determine their appropriateness and potentially expand their role in clinical practice.</t>
  </si>
  <si>
    <t>J2: Pain Med; Smith, Robert J Kilaru, Austin S Perrone, Jeanmarie Paciotti, Breah Barg, Frances K Gadsden, Sarah M Meisel, Zachary F; ID: 194</t>
  </si>
  <si>
    <t>Smith, Robert J. Department of Emergency Medicine, Center for Emergency Care Policy &amp; Research, Perelman School of Medicine at the University of Pennsylvania, Philadelphia, Pennsylvania. Kilaru, Austin S. Department of Emergency Medicine, Center for Emergency Care Policy &amp; Research, Perelman School of Medicine at the University of Pennsylvania, Philadelphia, Pennsylvania. Kilaru, Austin S. Department of Emergency Medicine, Highland Hospital, Oakland, California. Perrone, Jeanmarie. Department of Emergency Medicine, Center for Emergency Care Policy &amp; Research, Perelman School of Medicine at the University of Pennsylvania, Philadelphia, Pennsylvania. Perrone, Jeanmarie. Division of Medical Toxicology, Department of Emergency Medicine, Perelman School of Medicine at the University of Pennsylvania, Philadelphia, Pennsylvania. Paciotti, Breah. Department of Emergency Medicine, Center for Emergency Care Policy &amp; Research, Perelman School of Medicine at the University of Pennsylvania, Philadelphia, Pennsylvania. Barg, Frances K. Mixed Methods Research Lab, Department of Family Medicine and Community Health, Perelman School of Medicine, University of Pennsylvania, Philadelphia, Pennsylvania. Gadsden, Sarah M. Mixed Methods Research Lab, Department of Family Medicine and Community Health, Perelman School of Medicine, University of Pennsylvania, Philadelphia, Pennsylvania. Meisel, Zachary F. Department of Emergency Medicine, Center for Emergency Care Policy &amp; Research, Perelman School of Medicine at the University of Pennsylvania, Philadelphia, Pennsylvania.</t>
  </si>
  <si>
    <t>http://ovidsp.ovid.com/ovidweb.cgi?T=JS&amp;CSC=Y&amp;NEWS=N&amp;PAGE=fulltext&amp;D=med8&amp;AN=25688454</t>
  </si>
  <si>
    <t>https://dx.doi.org/10.1111/pme.12700</t>
  </si>
  <si>
    <t>MEDLINE; Ovid Technologies; How, why, and for whom do emergency medicine providers use prescription drug monitoring programs?</t>
  </si>
  <si>
    <t>Smith,V. C.;Matthias,P.;Senturias,Y. N.;Turchi,R. M.;Williams,J. F.</t>
  </si>
  <si>
    <t>Fetal Alcohol Research Caring for Patients with Prenatal Alcohol Exposure: A Needs Assessment</t>
  </si>
  <si>
    <t>e25</t>
  </si>
  <si>
    <t>e39</t>
  </si>
  <si>
    <t>Checklist;Education, Medical, Continuing;Female;*Fetal Alcohol Spectrum Disorders/di Diagnosis];*Health Knowledge, Attitudes, Practice;*Health Personnel/px Psychology];Humans;Needs Assessment;Nurse Practitioners/px Psychology];Patient Education as Topic;Pediatrics;Pregnancy;Referral and Consultation;Risk Assessment;Risk Factors;United States</t>
  </si>
  <si>
    <t>BACKGROUND: Prenatal alcohol exposure (PAE) is the United States' most common preventable cause of birth defects and intellectual and developmental disabilities collectively referred to as Fetal Alcohol Spectrum Disorders (FASD). OBJECTIVES: This study was designed to identify gaps in pediatric providers' knowledge and practices regarding FASD patient identification, diagnosis, management and referral, and to inform needs-based FASD resource development. METHODS: Pediatric providers (pediatricians, trainees, nurse practitioners) were exposed to survey links embedded in newsletters electronically distributed to the membership of two national professional societies. Survey responses were compiled and analyzed using descriptive statistics. RESULTS: Of the 436 respondents, 71% were pediatricians and 88.2% suspected that a child in their practice could have an FASD. Only 29.2% of respondents felt "very comfortable" diagnosing or referring an individual with suspected FASD. Merely 11.5% were satisfied with their current FASD knowledge base and practice behaviour. Most respondents (89.6%) indicated online continuing education courses as preferred learning method and suggested their knowledge and practices would be best enhanced through FASD-specific diagnostic and referral checklists or algorithms, and patient education brochures and fact sheets. CONCLUSIONS: This study showed that few respondents were satisfied with their current FASD knowledge or practice behaviours. Continuing FASD education, particularly through online courses, was strongly desired. To maximize FASD recognition and optimize care for patients with FASDs, pediatric care providers must ensure that their FASD knowledge base, practice skills and provision of medical home care remain current.</t>
  </si>
  <si>
    <t>J2: J Popul Ther Clin Pharmacol; Smith, Vincent C Matthias, Phillip Senturias, Yasmin N Turchi, Renee M Williams, Janet F; ID: 73</t>
  </si>
  <si>
    <t>Smith, Vincent C. Department of Neonatology, Beth Israel Deaconess Medical Center, Harvard Medical School, Boston, MA. Matthias, Phillip. Alaska Neurodevelopmental Consultation, Soldotna, AK. Senturias, Yasmin N. Developmental and Behavioral Pediatrics Division, Carolinas Healthcare System, Charlotte, NC. Senturias, Yasmin N. Department of Pediatrics, University of North Carolina at Chapel Hill, Chapel Hill, NC. Turchi, Renee M. Department of Pediatrics, St. Christopher's Hospital for Children, Community Health and Prevention, Drexel University School of Public Health, Philadelphia, PA. Williams, Janet F. Department of Pediatrics, University of Texas School of Medicine, San Antonio, Texas.</t>
  </si>
  <si>
    <t>http://ovidsp.ovid.com/ovidweb.cgi?T=JS&amp;CSC=Y&amp;NEWS=N&amp;PAGE=fulltext&amp;D=med8&amp;AN=28186713</t>
  </si>
  <si>
    <t>https://dx.doi.org/10.22374/1710-6222.24.1.4</t>
  </si>
  <si>
    <t>MEDLINE; Ovid Technologies; Fetal Alcohol Research Caring for Patients with Prenatal Alcohol Exposure: A Needs Assessment</t>
  </si>
  <si>
    <t>Sobol,I.</t>
  </si>
  <si>
    <t>Alcoholism in medical school curricula</t>
  </si>
  <si>
    <t>*Alcoholism;Canada;*Curriculum;*Education, Medical, Undergraduate;Humans</t>
  </si>
  <si>
    <t>J2: Can Med Assoc J; Sobol, I; ID: 1477</t>
  </si>
  <si>
    <t>http://ovidsp.ovid.com/ovidweb.cgi?T=JS&amp;CSC=Y&amp;NEWS=N&amp;PAGE=fulltext&amp;D=med2&amp;AN=6692220</t>
  </si>
  <si>
    <t>MEDLINE; Ovid Technologies; Alcoholism in medical school curricula</t>
  </si>
  <si>
    <t>Soffin,E. M.;Waldman,S. A.;Stack,R. J.;Liguori,G. A.</t>
  </si>
  <si>
    <t>An Evidence-Based Approach to the Prescription Opioid Epidemic in Orthopedic Surgery</t>
  </si>
  <si>
    <t>*Analgesics, Opioid/ad Administration &amp; Dosage];Analgesics, Opioid/ae Adverse Effects];Attitude of Health Personnel;Clinical Decision-Making;Decision Support Techniques;Education, Medical, Continuing;Guideline Adherence;Habits;Health Knowledge, Attitudes, Practice;Humans;Opioid-Related Disorders/di Diagnosis];Opioid-Related Disorders/ep Epidemiology];*Opioid-Related Disorders/pc Prevention &amp; Control];*Orthopedic Procedures/ae Adverse Effects];Orthopedic Procedures/st Standards];Pain, Postoperative/di Diagnosis];Pain, Postoperative/ep Epidemiology];*Pain, Postoperative/pc Prevention &amp; Control];Patient Education as Topic;Patient Selection;Practice Guidelines as Topic;Practice Patterns, Physicians'/st Standards];*Practice Patterns, Physicians';*Prescription Drug Misuse/pc Prevention &amp; Control];Risk Assessment;Risk Factors;Treatment Outcome;0 (Analgesics, Opioid)</t>
  </si>
  <si>
    <t>Orthopedic surgery is associated with significant perioperative pain. Providing adequate analgesia is a critical component of patient care and opioids play a vital role in the acute postoperative setting. However, opioid prescribing for patients undergoing orthopedic procedures has recently been identified as a major contributor to the current opioid epidemic. As opioid usage and related morbidity and mortality continue to rise nationwide, opioid-prescribing practices are under increased scrutiny. Here, we update the evidence base and recommendations behind a set of interventions developed at the Hospital for Special Surgery to address the national epidemic at the local level. The main components of our program include (1) guidelines for managing patients who are opioid tolerant and/or have a substance abuse disorder; (2) education programs for patients, emphasizing the role of opioids in recovery after elective orthopedic surgery; (3) education programs for prescribers of controlled substances, including clinical and regulatory aspects; (4) the development of surgery-specific prescribing recommendations for opioid-naive patients; and (5) mechanisms to modify prescribing habits to limit unnecessary prescribing of controlled substances.</t>
  </si>
  <si>
    <t>J2: Anesth Analg; Soffin, Ellen M Waldman, Seth A Stack, Roberta J Liguori, Gregory A; ID: 52</t>
  </si>
  <si>
    <t>Soffin, Ellen M. From the Department of Anesthesiology, Hospital for Special Surgery, New York, New York.</t>
  </si>
  <si>
    <t>http://ovidsp.ovid.com/ovidweb.cgi?T=JS&amp;CSC=Y&amp;NEWS=N&amp;PAGE=fulltext&amp;D=med8&amp;AN=29049115</t>
  </si>
  <si>
    <t>https://dx.doi.org/10.1213/ANE.0000000000002433</t>
  </si>
  <si>
    <t>MEDLINE; Ovid Technologies; An Evidence-Based Approach to the Prescription Opioid Epidemic in Orthopedic Surgery</t>
  </si>
  <si>
    <t>Solomon,D. A.</t>
  </si>
  <si>
    <t>Not my place?</t>
  </si>
  <si>
    <t>Adult;*Confidentiality;*Hepatitis, Alcoholic/px Psychology];Humans;*Internship and Residency;Male;*Physician's Role;*Physician-Patient Relations</t>
  </si>
  <si>
    <t>J2: Ann Intern Med; Solomon, Daniel A; ID: 237</t>
  </si>
  <si>
    <t>http://ovidsp.ovid.com/ovidweb.cgi?T=JS&amp;CSC=Y&amp;NEWS=N&amp;PAGE=fulltext&amp;D=med8&amp;AN=25938998</t>
  </si>
  <si>
    <t>https://dx.doi.org/10.7326/M14-2139</t>
  </si>
  <si>
    <t>MEDLINE; Ovid Technologies; Not my place?</t>
  </si>
  <si>
    <t>Solomon,J.;Davis,D. I.</t>
  </si>
  <si>
    <t>An update on medical education in alcohol and drug abuse</t>
  </si>
  <si>
    <t>*Alcoholism;Attitude of Health Personnel;Curriculum;*Education, Medical, Undergraduate;Faculty, Medical;Humans;*Substance-Related Disorders;*Teaching/mt Methods];United States</t>
  </si>
  <si>
    <t>J2: J Med Educ; Solomon, J Davis, D I; ID: 1526</t>
  </si>
  <si>
    <t>http://ovidsp.ovid.com/ovidweb.cgi?T=JS&amp;CSC=Y&amp;NEWS=N&amp;PAGE=fulltext&amp;D=med1&amp;AN=671505</t>
  </si>
  <si>
    <t>MEDLINE; Ovid Technologies; An update on medical education in alcohol and drug abuse</t>
  </si>
  <si>
    <t>Solomon,L. R.</t>
  </si>
  <si>
    <t>Treatment and prevention of pain due to vaso-occlusive crises in adults with sickle cell disease: an educational void</t>
  </si>
  <si>
    <t>Blood</t>
  </si>
  <si>
    <t>Acute Disease;Analgesics, Opioid/ae Adverse Effects];Analgesics, Opioid/tu Therapeutic Use];*Anemia, Sickle Cell/co Complications];Anemia, Sickle Cell/dt Drug Therapy];Clinical Competence;Humans;Hydroxyurea/bl Blood];Opioid-Related Disorders/co Complications];*Pain/dt Drug Therapy];Pain/et Etiology];*Pain/pc Prevention &amp; Control];Physicians;Practice Guidelines as Topic/st Standards];*Practice Guidelines as Topic;0 (Analgesics, Opioid);X6Q56QN5QC (Hydroxyurea)</t>
  </si>
  <si>
    <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t>
  </si>
  <si>
    <t>J2: Blood; Solomon, Lawrence R; ID: 706</t>
  </si>
  <si>
    <t>Solomon, Lawrence R. Adult Sickle Cell Disease Program, Section of Hematology, Department of Medicine, Yale University School of Medicine, New Haven, CT 06520-8021, USA. lawrence.solomon@yale.edu</t>
  </si>
  <si>
    <t>http://ovidsp.ovid.com/ovidweb.cgi?T=JS&amp;CSC=Y&amp;NEWS=N&amp;PAGE=fulltext&amp;D=med6&amp;AN=17940207</t>
  </si>
  <si>
    <t>MEDLINE; Ovid Technologies; Treatment and prevention of pain due to vaso-occlusive crises in adults with sickle cell disease: an educational void</t>
  </si>
  <si>
    <t>Soyka,M.;Gorelick,D. A.</t>
  </si>
  <si>
    <t>Why should addiction medicine be an attractive field for young physicians?</t>
  </si>
  <si>
    <t>*Career Choice;Education, Medical;Humans;Psychiatry/td Trends];*Psychiatry;Substance-Related Disorders/th Therapy];*Substance-Related Disorders</t>
  </si>
  <si>
    <t>AIMS: The clinical practice and science of addiction are increasingly active fields, which are attracting professionals from diverse disciplines such as psychology and neurobiology. Our scientific knowledge of the pathophysiology of addiction is rapidly growing, along with the variety of effective treatments available to clinicians. Yet, we believe that the medical specialties of addiction medicine/psychiatry are not attracting the interest and enthusiasm of young physicians. What can be done? METHODS: We offer the opinions of two experience addiction psychiatrists. RESULTS: In the US, there has been a decline in the number of psychiatrists seeking training or board certification in addiction psychiatry; about one-third of graduates with such training are not practicing in an addiction psychiatry setting. There is widespread neglect of addiction medicine/psychiatry among the medical profession, academia and national health authorities. This neglect is unfortunate, given the enormous societal costs of addiction (3-5% of the gross domestic product in some developed countries), the substantial unmet need for addiction treatment, and the highly favourable benefit to cost yield (at least 7:1) from treatment. CONCLUSIONS: We believe that addiction medicine/psychiatry can be made more attractive for young physicians. Helpful steps include widening acceptance as a medical specialty or subspecialty, reducing the social stigma against people with substance use disorders, expanding insurance coverage and increasing the low rates of reimbursement for physicians. These steps would be easier to take with broader societal (and political) recognition of substance use disorders as a major cause of premature death, morbidity and economic burden.</t>
  </si>
  <si>
    <t>J2: Addiction; Soyka, Michael Gorelick, David A Comment in: Addiction. 2009 Feb;104(2):176-7; discussion 177-8; PMID: 19149809 Comment in: Addiction. 2009 Jul;104(7):1258-9; PMID: 19563568 Comment in: Addiction. 2009 Feb;104(2):174-6; discussion 177-8; PMID: 19149808 Comment in: Addiction. 2009 Feb;104(2):173-4; discussion 177-8; PMID: 19149807; ID: 641</t>
  </si>
  <si>
    <t>Soyka, Michael. Psychiatric Hospital, University of Munich, Munich, Germany.</t>
  </si>
  <si>
    <t>http://ovidsp.ovid.com/ovidweb.cgi?T=JS&amp;CSC=Y&amp;NEWS=N&amp;PAGE=fulltext&amp;D=med6&amp;AN=18778386</t>
  </si>
  <si>
    <t>https://dx.doi.org/10.1111/j.1360-0443.2008.02330.x</t>
  </si>
  <si>
    <t>MEDLINE; Ovid Technologies; Why should addiction medicine be an attractive field for young physicians?</t>
  </si>
  <si>
    <t>Spangler,J.;Foley,K. L.;Crandall,S.;Lane,C.;Walker,K.;MacRae,M.;Vaden,K.;Marion,G.</t>
  </si>
  <si>
    <t>NIHMS696171; Implementing smokeless tobacco instruction into medical student education: addressing the gap</t>
  </si>
  <si>
    <t>Adolescent;*Counseling/ed Education];*Curriculum;Education, Medical, Undergraduate;Female;Humans;Internet;Male;*Students, Medical;*Tobacco Use Cessation;Young Adult</t>
  </si>
  <si>
    <t>BACKGROUND: Despite the unique health and epidemiological aspects of smokeless tobacco use, medical education regarding this topic is virtually lacking. DESCRIPTION: The purpose of this study is to develop a comprehensive tobacco curriculum that includes smokeless tobacco education. A thorough review of the literature was carried out to develop includes 8 modules in basic and clinical sciences that are evaluated by pretest/posttest increases in knowledge as well as standardized patient encounters and process evaluation. EVALUATION: Pretest/posttest data indicate that students increased knowledge on specific smokeless tobacco questions. Students also scored well on interactions with standardized patients using the Tobacco Intervention Risk Factor Interview Scale, a validated instrument to assess medical students' tobacco counseling skills. Process evaluation data indicate that modules were generally well received. CONCLUSIONS: This Web-based, comprehensive curriculum-the only curriculum we are aware of treating the topic of smokeless tobacco use-appears to be effective and well received. Smokeless tobacco should be included in medical education.</t>
  </si>
  <si>
    <t>J2: Teach Learn Med; Spangler, John Foley, Kristie Long Crandall, Sonia Lane, Chan Walker, Kathy MacRae, Marla Vaden, Karen Marion, Gail; ID: 644</t>
  </si>
  <si>
    <t>Spangler, John. Department of Family and Community Medicine, Wake Forest University School of Medicine, Winston-Salem, North Carolina 27157, USA. jspangle@wfubmc.edu</t>
  </si>
  <si>
    <t>http://ovidsp.ovid.com/ovidweb.cgi?T=JS&amp;CSC=Y&amp;NEWS=N&amp;PAGE=fulltext&amp;D=med6&amp;AN=19130384</t>
  </si>
  <si>
    <t>https://dx.doi.org/10.1080/10401330802573944</t>
  </si>
  <si>
    <t>MEDLINE; Ovid Technologies; Implementing smokeless tobacco instruction into medical student education: addressing the gap</t>
  </si>
  <si>
    <t>Spangler,J. G.;Enarson,C.;Eldridge,C.</t>
  </si>
  <si>
    <t>An integrated approach to a tobacco-dependence curriculum</t>
  </si>
  <si>
    <t>*Clinical Clerkship/og Organization &amp; Administration];Clinical Competence/st Standards];*Curriculum;*Family Practice/ed Education];Humans;Medical History Taking;Models, Educational;North Carolina;Patient Simulation;Physical Examination;Program Evaluation;*Smoking Cessation/mt Methods];*Students, Medical/px Psychology];Tobacco Use Disorder/di Diagnosis];*Tobacco Use Disorder/pc Prevention &amp; Control]</t>
  </si>
  <si>
    <t>J2: Acad Med; Spangler, J G Enarson, C Eldridge, C; ID: 1007</t>
  </si>
  <si>
    <t>Spangler, J G. Wake Forest University School of Medicine, Medical Center Blvd, Winston-Salem, NC 27157, USA. jspangle@wfubmc.edu</t>
  </si>
  <si>
    <t>http://ovidsp.ovid.com/ovidweb.cgi?T=JS&amp;CSC=Y&amp;NEWS=N&amp;PAGE=fulltext&amp;D=med4&amp;AN=11346561</t>
  </si>
  <si>
    <t>MEDLINE; Ovid Technologies; An integrated approach to a tobacco-dependence curriculum</t>
  </si>
  <si>
    <t>Spangler,J. G.;George,G.;Foley,K. L.;Crandall,S. J.</t>
  </si>
  <si>
    <t>Tobacco intervention training: current efforts and gaps in US medical schools</t>
  </si>
  <si>
    <t>Counseling;*Curriculum;*Education, Medical, Undergraduate;Health Promotion;Humans;*Schools, Medical;Smoking;*Smoking Cessation;*Teaching/mt Methods];*Tobacco Use Disorder/pc Prevention &amp; Control];Tobacco, Smokeless;United States</t>
  </si>
  <si>
    <t>CONTEXT: Research has documented that US medical schools inadequately teach tobacco intervention skills. OBJECTIVE: To examine effective training methods for tobacco intervention in undergraduate medical education. DATA SOURCES: Using indexing terms related to tobacco intervention and medical education, we searched MEDLINE (1966-June 2002) and the Cochrane Database of Systematic Reviews (through issue 2, 2002). Reference lists of relevant articles were also read to identify additional articles. Because of their importance to tobacco intervention, we also reviewed Ockene and colleagues' tobacco education research and the tobacco treatment guidelines of the United States Public Health Service and the United States Preventive Services Task Force. STUDY SELECTION: All study designs that incorporated process or outcome evaluation of tobacco intervention educational methods for medical students were included in this review. Of an initial 1241 articles retrieved, 82 included medical students. Reviewing abstracts and references of these articles identified 13 pertinent studies. DATA EXTRACTION: Quality criteria for inclusion consisted of explicit evaluation of the educational methods used. Data extraction identified all evaluations and any problems in program implementation. DATA SYNTHESIS: Enhanced instructional methods (eg, the use of patient-centered counseling, standardized patient instructors, role playing, or a combination of these) are more effective for teaching tobacco intervention than are traditional didactic methods alone and can be effectively inserted into medical school curricula. CONCLUSIONS: Various educational methods have been used to train medical students in tobacco intervention. Nonetheless, gaps still exist within undergraduate medical education, including a lack of integration of tobacco dependence information throughout all 4 years of medical school curricula, specific training in smokeless tobacco intervention, tobacco intervention training that addresses cultural issues, and long-term studies showing that such training is retained.</t>
  </si>
  <si>
    <t>J2: Jama; Spangler, John G George, Geeta Foley, Kristie Long Crandall, Sonia J; ID: 967</t>
  </si>
  <si>
    <t>Spangler, John G. Department of Family and Community Medicine, Wake Forest University School of Medicine, Medical Center Boulevard, Winston-Salem, NC 27157-1084, USA. jspangle@wfubmc.edu</t>
  </si>
  <si>
    <t>http://ovidsp.ovid.com/ovidweb.cgi?T=JS&amp;CSC=Y&amp;NEWS=N&amp;PAGE=fulltext&amp;D=med4&amp;AN=12204079</t>
  </si>
  <si>
    <t>MEDLINE; Ovid Technologies; Tobacco intervention training: current efforts and gaps in US medical schools</t>
  </si>
  <si>
    <t>Specker,S.;Westermeyer,J.;Thuras,P.</t>
  </si>
  <si>
    <t>Course and Severity of Substance Abuse in Women with Comorbid Eating Disorder</t>
  </si>
  <si>
    <t>The objective of this study is to ascertain whether the course and severity of Substance Abuse among female patients with comorbid Substance Related Disorder and Eating Disorder (SRD-ED) is similar to or different from the course and severity of SRD among female patients with Substance Related Disorder but no Eating Disorder (SRD). Subjects were voluntary patients, obtained in two addiction programs located within departments of psychiatry in two state university medical centers, and included 66 women with SRD-ED and 211 women with SRD. Data were collected on demography, course and severity of SRD, and associated biomedical conditions. SRD-ED patients were significantly younger and more apt to be single, more highly educated, living with family and friends, employed, and of higher socioeconomic status. SRD-ED and SRD patients were more similar than different on most indicators of course and severity, although several clinical differences prevailed. These clinical differences were primarily ascribed to age. In most respects, patients with comorbid SRD-ED manifest course and severity of SRD similar to patients with SRD. Demographic differences between the two groups can mostly be ascribed to the younger mean age of SRD-ED patients rather than to the comorbid ED. Some biomedical problems are related to the specific consequences of ED.</t>
  </si>
  <si>
    <t>J2: Subst Abus; Specker, Sheila Westermeyer, Joseph Thuras, Paul; ID: 1709</t>
  </si>
  <si>
    <t>Specker, Sheila. Substance Abuse Program, University-Fairview Hospital, Minneapolis, Minnesota. Department of Psychiatry, University of Minnesota, Minneapolis, Minnesota.</t>
  </si>
  <si>
    <t>http://ovidsp.ovid.com/ovidweb.cgi?T=JS&amp;CSC=Y&amp;NEWS=N&amp;PAGE=fulltext&amp;D=medp&amp;AN=12466654</t>
  </si>
  <si>
    <t>MEDLINE; Ovid Technologies; Course and Severity of Substance Abuse in Women with Comorbid Eating Disorder</t>
  </si>
  <si>
    <t>Spence,D.</t>
  </si>
  <si>
    <t>Reefer madness: doctors need more drugs training</t>
  </si>
  <si>
    <t>f4105</t>
  </si>
  <si>
    <t>*Education, Medical, Continuing;Humans;*Street Drugs;Substance-Related Disorders/di Diagnosis];Substance-Related Disorders/ep Epidemiology];Substance-Related Disorders/th Therapy];*Substance-Related Disorders;0 (Street Drugs)</t>
  </si>
  <si>
    <t>J2: Bmj; Spence, Des bmj.f4105; ID: 352</t>
  </si>
  <si>
    <t>Spence, Des. destwo@yahoo.co.uk</t>
  </si>
  <si>
    <t>http://ovidsp.ovid.com/ovidweb.cgi?T=JS&amp;CSC=Y&amp;NEWS=N&amp;PAGE=fulltext&amp;D=med7&amp;AN=23814068</t>
  </si>
  <si>
    <t>https://dx.doi.org/10.1136/bmj.f4105</t>
  </si>
  <si>
    <t>MEDLINE; Ovid Technologies; Reefer madness: doctors need more drugs training</t>
  </si>
  <si>
    <t>Spickard,W. A.;Tucker,P. J.</t>
  </si>
  <si>
    <t>An approach to alcoholism in a university medical center complex</t>
  </si>
  <si>
    <t>*Academic Medical Centers;Adult;Alcoholism/di Diagnosis];*Alcoholism/rh Rehabilitation];Education, Medical;Education, Nursing;Faculty;Female;Humans;Male;Middle Aged;*Occupational Health Services;Tennessee</t>
  </si>
  <si>
    <t>We developed a three-part approach to the problem of alcoholism among the employees and faculty of the Vanderbilt University and Medical Center. This included identification of faculty and staff with problem drinking, guidance of those identified for rehabilitation, and an educational program for students. Forty university employees (37 staff and three faculty) with problem drinking were identified and referred for rehabilitation. The principles of employee assistance used successfully in industry were applied in this employee group. The 65% "job rehabilitation" rate is comparable with that achieved in industrial employee assistance programs. Identification and rehabilitation of faculty in the university required special approaches. The educational program for students as part of the medical school elective curriculum was attended by most of the first- and second-year medical students.</t>
  </si>
  <si>
    <t>J2: Jama; Spickard, W A Tucker, P J; ID: 1473</t>
  </si>
  <si>
    <t>http://ovidsp.ovid.com/ovidweb.cgi?T=JS&amp;CSC=Y&amp;NEWS=N&amp;PAGE=fulltext&amp;D=med2&amp;AN=6471320</t>
  </si>
  <si>
    <t>MEDLINE; Ovid Technologies; An approach to alcoholism in a university medical center complex</t>
  </si>
  <si>
    <t>Spinelli,S.</t>
  </si>
  <si>
    <t>Repress the abuse, don't proscribe the use]</t>
  </si>
  <si>
    <t>Ospedale Maggiore</t>
  </si>
  <si>
    <t>*Education, Medical;*Hospitals;Humans;*Mental Disorders;*Substance-Related Disorders</t>
  </si>
  <si>
    <t>J2: Osp Maggiore; Italian SPINELLI, S; ID: 1092</t>
  </si>
  <si>
    <t>0369-7843</t>
  </si>
  <si>
    <t>http://ovidsp.ovid.com/ovidweb.cgi?T=JS&amp;CSC=Y&amp;NEWS=N&amp;PAGE=fulltext&amp;D=med1&amp;AN=13990152</t>
  </si>
  <si>
    <t>MEDLINE; Ovid Technologies; [Repress the abuse, don't proscribe the use]</t>
  </si>
  <si>
    <t>Springer,C. M.;Tannert Niang,K. M.;Matte,T. D.;Miller,N.;Bassett,M. T.;Frieden,T. R.</t>
  </si>
  <si>
    <t>Do medical students know enough about smoking to help their future patients? Assessment of New York City fourth-year medical students' knowledge of tobacco cessation and treatment for nicotine addiction</t>
  </si>
  <si>
    <t>Adult;Analysis of Variance;*Clinical Competence/sn Statistics &amp; Numerical Data];Cross-Sectional Studies;*Education, Medical, Undergraduate;Educational Measurement;Female;Forecasting;*Health Knowledge, Attitudes, Practice;Humans;Male;New York City;Patient Education as Topic/mt Methods];Physician-Patient Relations;Population Surveillance;Probability;*Smoking Cessation/mt Methods];Smoking Prevention;*Students, Medical/sn Statistics &amp; Numerical Data];Surveys and Questionnaires;Tobacco Use Disorder/pc Prevention &amp; Control];*Tobacco Use Disorder/th Therapy]</t>
  </si>
  <si>
    <t>PURPOSE: Practicing physicians underutilize U.S. Department of Health and Human Services evidence-based approaches to nicotine addiction and treatment. Few studies have assessed medical student knowledge in this area. This study examined New York City fourth-year medical students' knowledge of tobacco cessation and treatment of nicotine addiction. METHOD: The authors conducted a Web-based survey, comprising 27 closed- and open-ended questions, of six of seven New York City medical schools in the spring of 2004. They drew questions from international, national, and local surveys on tobacco and health, U.S. Department of Health and Human Services tobacco treatment guidelines, and prior studies. Primary outcome measures were knowledge of the epidemiology of smoking, benefits of cessation and treatment of nicotine addiction, clinical cessation practices, and students' use of tobacco and intentions to stop smoking. RESULTS: Of 943 fourth-year medical students, 469 (50%) completed an online survey. Students had good knowledge of the epidemiology of smoking, including its prevalence and health effects, with most responding correctly to relevant questions (mean correct response 79%; SD = 9.4). Students demonstrated a fair understanding of the benefits of cessation (mean correct response, 67%; SD = 19.2) and treatment of nicotine addiction (mean correct response, 61%; SD = 13.2). Three hundred students (64%) rated their own preparation to assist patients to quit as less than adequate. CONCLUSIONS: Fourth-year medical students at the participating schools in New York City understood the harms of smoking but needed more information on the benefits of stopping smoking and treatment of nicotine addiction.</t>
  </si>
  <si>
    <t>J2: Acad Med; Springer, Carolyn M Tannert Niang, Kathryn M Matte, Thomas D Miller, Nancy Bassett, Mary T Frieden, Thomas R; ID: 673</t>
  </si>
  <si>
    <t>Springer, Carolyn M. Adelphi University, Derner Institute of Advanced Psychological Studies, Garden City, New York, USA.</t>
  </si>
  <si>
    <t>http://ovidsp.ovid.com/ovidweb.cgi?T=JS&amp;CSC=Y&amp;NEWS=N&amp;PAGE=fulltext&amp;D=med6&amp;AN=18820533</t>
  </si>
  <si>
    <t>https://dx.doi.org/10.1097/ACM.0b013e3181850b68</t>
  </si>
  <si>
    <t>MEDLINE; Ovid Technologies; Do medical students know enough about smoking to help their future patients? Assessment of New York City fourth-year medical students' knowledge of tobacco cessation and treatment for nicotine addiction</t>
  </si>
  <si>
    <t>Springer,J.</t>
  </si>
  <si>
    <t>A slice of bread</t>
  </si>
  <si>
    <t>*Acidosis, Lactic/et Etiology];*Acidosis, Lactic/pc Prevention &amp; Control];*Alcoholism/co Complications];Bicarbonates/ad Administration &amp; Dosage];Fatal Outcome;Fluid Therapy;*Food;Humans;Internship and Residency;Male;*Medical Errors;Middle Aged;Oxygen Inhalation Therapy;0 (Bicarbonates)</t>
  </si>
  <si>
    <t>J2: Lancet; Springer, Jackie; ID: 979</t>
  </si>
  <si>
    <t>Springer, Jackie. American Academy of Clinical Endocrinologists, Overland Park, KS 66210, USA.</t>
  </si>
  <si>
    <t>http://ovidsp.ovid.com/ovidweb.cgi?T=JS&amp;CSC=Y&amp;NEWS=N&amp;PAGE=fulltext&amp;D=med4&amp;AN=12047985</t>
  </si>
  <si>
    <t>MEDLINE; Ovid Technologies; A slice of bread</t>
  </si>
  <si>
    <t>Sreeramareddy,C. T.;Suri,S.;Menezes,R. G.;Kumar,H. N.;Rahman,M.;Islam,M. R.;Pereira,X. V.;Shah,M.;Sathian,B.;Shetty,U.;Vaswani,V. R.</t>
  </si>
  <si>
    <t>Self-reported tobacco smoking practices among medical students and their perceptions towards training about tobacco smoking in medical curricula: A cross-sectional, questionnaire survey in Malaysia, India, Pakistan, Nepal, and Bangladesh</t>
  </si>
  <si>
    <t>Asia, Western/ep Epidemiology];*Attitude;Cross-Sectional Studies;*Curriculum;Female;Humans;Malaysia/ep Epidemiology];Male;*Smoking/ep Epidemiology];*Students, Medical/px Psychology];*Surveys and Questionnaires;Young Adult</t>
  </si>
  <si>
    <t>BACKGROUND: Tobacco smoking issues in developing countries are usually taught non-systematically as and when the topic arose. The World Health Organisation and Global Health Professional Student Survey (GHPSS) have suggested introducing a separate integrated tobacco module into medical school curricula. Our aim was to assess medical students' tobacco smoking habits, their practices towards patients' smoking habits and attitude towards teaching about smoking in medical schools. METHODS: A cross-sectional questionnaire survey was carried out among final year undergraduate medical students in Malaysia, India, Nepal, Pakistan, and Bangladesh. An anonymous, self-administered questionnaire included items on demographic information, students' current practices about patients' tobacco smoking habits, their perception towards tobacco education in medical schools on a five point Likert scale. Questions about tobacco smoking habits were adapted from GHPSS questionnaire. An 'ever smoker' was defined as one who had smoked during lifetime, even if had tried a few puffs once or twice. 'Current smoker' was defined as those who had smoked tobacco product on one or more days in the preceding month of the survey. Descriptive statistics were calculated. RESULTS: Overall response rate was 81.6% (922/1130). Median age was 22 years while 50.7% were males and 48.2% were females. The overall prevalence of 'ever smokers' and 'current smokers' was 31.7% and 13.1% respectively. A majority (&gt; 80%) of students asked the patients about their smoking habits during clinical postings/clerkships. Only a third of them did counselling, and assessed the patients' willingness to quit. Majority of the students agreed about doctors' role in tobacco control as being role models, competence in smoking cessation methods, counseling, and the need for training about tobacco cessation in medical schools. About 50% agreed that current curriculum teaches about tobacco smoking but not systematically and should be included as a separate module. Majority of the students indicated that topics about health effects, nicotine addiction and its treatment, counselling, prevention of relapse were important or very important in training about tobacco smoking. CONCLUSION: Medical educators should consider revising medical curricula to improve training about tobacco smoking cessation in medical schools. Our results should be supported by surveys from other medical schools in developing countries of Asia.</t>
  </si>
  <si>
    <t>J2: Subst Abuse Treat Prev Policy; Sreeramareddy, Chandrashekhar T Suri, Sushil Menezes, Ritesh G Kumar, H N Harsha Rahman, Mahbubur Islam, Md R Pereira, Xavier V Shah, Mohsin Sathian, Brijesh Shetty, Ullasa Vaswani, Vina R; ID: 543</t>
  </si>
  <si>
    <t>Sreeramareddy, Chandrashekhar T. Department of Community Medicine, Melaka Manipal Medical College, Melaka, Malaysia. chandrashekharats@yahoo.com</t>
  </si>
  <si>
    <t>http://ovidsp.ovid.com/ovidweb.cgi?T=JS&amp;CSC=Y&amp;NEWS=N&amp;PAGE=fulltext&amp;D=med6&amp;AN=21080923</t>
  </si>
  <si>
    <t>https://dx.doi.org/10.1186/1747-597X-5-29</t>
  </si>
  <si>
    <t>MEDLINE; Ovid Technologies; Self-reported tobacco smoking practices among medical students and their perceptions towards training about tobacco smoking in medical curricula: A cross-sectional, questionnaire survey in Malaysia, India, Pakistan, N(TRUNCATED)</t>
  </si>
  <si>
    <t>Srivastava,A.;Kahan,M.;Jiwa,A.</t>
  </si>
  <si>
    <t>Prescription opioid use and misuse: piloting an educational strategy for rural primary care physicians</t>
  </si>
  <si>
    <t>e210</t>
  </si>
  <si>
    <t>Adult;*Analgesics, Opioid/tu Therapeutic Use];*Chronic Pain/dt Drug Therapy];Clinical Competence;Cohort Studies;Feasibility Studies;Female;Humans;Inappropriate Prescribing/pc Prevention &amp; Control];*Indians, North American;Male;Middle Aged;*Physicians, Family/ed Education];Pilot Projects;*Practice Patterns, Physicians';Prospective Studies;*Rural Population;*Substance-Related Disorders/di Diagnosis];Surveys and Questionnaires;0 (Analgesics, Opioid)</t>
  </si>
  <si>
    <t>OBJECTIVE: To evaluate the feasibility and effectiveness of a multifaceted educational intervention to improve the opioid prescribing practices of rural family physicians in a remote First Nations community. DESIGN: Prospective cohort study. SETTING: Sioux Lookout, Ont. PARTICIPANTS: Family physicians. INTERVENTIONS: Eighteen family physicians participated in a 1-year study of a series of educational interventions on safe opioid prescribing. Interventions included a main workshop with a lecture and interactive case discussions, an online chat room, video case conferencing, and consultant support. MAIN OUTCOME MEASURES: Responses to questionnaires at baseline and after 1 year on knowledge, attitudes, and practices related to opioid prescribing. RESULTS: The main workshop was feasible and was well received by primary care physicians in remote communities. At 1 year, physicians were less concerned about getting patients addicted to opioids and more comfortable with opioid dosing. CONCLUSION: Multifaceted education and consultant support might play an important role in improving family physician comfort with opioid prescribing, and could improve the treatment of chronic pain while minimizing the risk of addiction.</t>
  </si>
  <si>
    <t>J2: Can Fam Physician; Srivastava, Anita Kahan, Meldon Jiwa, Ashifa; ID: 409</t>
  </si>
  <si>
    <t>Srivastava, Anita. Department of Family and Community Medicine, University of Toronto. mail anita_srivastava@camh.net</t>
  </si>
  <si>
    <t>http://ovidsp.ovid.com/ovidweb.cgi?T=JS&amp;CSC=Y&amp;NEWS=N&amp;PAGE=fulltext&amp;D=med7&amp;AN=22611608</t>
  </si>
  <si>
    <t>MEDLINE; Ovid Technologies; Prescription opioid use and misuse: piloting an educational strategy for rural primary care physicians</t>
  </si>
  <si>
    <t>Stack,K. M.;Fore Arcand,L. G.;Briscoe,G.</t>
  </si>
  <si>
    <t>Use of alcoholics anonymous as part of medical school education: students' and educators' perspectives</t>
  </si>
  <si>
    <t>*Alcoholics Anonymous;Attitude of Health Personnel;Curriculum;Education, Medical, Undergraduate/mt Methods];Education, Medical, Undergraduate/sn Statistics &amp; Numerical Data];Faculty, Medical/sn Statistics &amp; Numerical Data];Female;Humans;Male;*Psychiatry/ed Education];*Students, Medical/px Psychology];Surveys and Questionnaires</t>
  </si>
  <si>
    <t>The objective of this study was to discover the utility, barriers, and experiences with the use of Alcoholics Anonymous (AA) as a learning resource in the medical school curriculum. A third-year medical student cohort and a psychiatric educator group were queried about learned experiential lessons, attendance requirements, attitudes, and obstacles encountered. Forty-three educators, whose familiarity with AA varied widely, responded to the survey. Forty-seven percent required AA attendance and reported it was a positive experience for their students. Eighty-four percent felt students should attend AA and identified obstacles to its implementation. Separately, descriptive impressions of students (N = 95) who attended AA meetings were collected. Their responses were positive 46%, neutral 43%, or negative 11%. Respondents found AA meeting experiences generally positive, and although impediments to implementation of this experience still exist, they may be overcome with concerted efforts of psychiatric educators.</t>
  </si>
  <si>
    <t>J2: Subst Abus; Stack, Kathleen Marie Fore Arcand, Lisa G Briscoe, Greg; ID: 396</t>
  </si>
  <si>
    <t>Stack, Kathleen Marie. Veterans Affairs Medical Center, Hampton, Virginia 23667, USA. kathleen.stack@va.gov</t>
  </si>
  <si>
    <t>http://ovidsp.ovid.com/ovidweb.cgi?T=JS&amp;CSC=Y&amp;NEWS=N&amp;PAGE=fulltext&amp;D=med7&amp;AN=22989283</t>
  </si>
  <si>
    <t>MEDLINE; Ovid Technologies; Use of alcoholics anonymous as part of medical school education: students' and educators' perspectives</t>
  </si>
  <si>
    <t>Stanek,J. J.;Renslow,M. A.;Kalliainen,L. K.</t>
  </si>
  <si>
    <t>The effect of an educational program on opioid prescription patterns in hand surgery: a quality improvement program</t>
  </si>
  <si>
    <t>Journal of Hand Surgery - American Volume</t>
  </si>
  <si>
    <t>Adult;Analgesics, Opioid/ae Adverse Effects];*Analgesics, Opioid/tu Therapeutic Use];Dose-Response Relationship, Drug;Drug Administration Schedule;*Education, Medical, Continuing;Guideline Adherence;*Hand/su Surgery];Humans;*Orthopedic Procedures/ed Education];*Pain Management/st Standards];*Pain, Postoperative/dt Drug Therapy];Patient Education as Topic;*Practice Patterns, Physicians';*Quality Improvement;0 (Analgesics, Opioid)</t>
  </si>
  <si>
    <t>PURPOSE: To assess the variability of opioid prescription patterns among hand surgeons in a single practice and to attempt to standardize postoperative prescription sizes based on the patient's surgical procedure. METHODS: We performed a preliminary chart review to assess the range of prescription sizes for 4 common hand surgery procedures. A group of hand surgeons agreed to write postoperative opioid prescriptions based on an evaluation of historical prescription patterns. An educational assist device (the pink card) was created to serve as a memory prompt and was given to physicians, midlevel practitioners, and trainees. Subsequent chart reviews of number of pills prescribed were done 3 and 15 months later. RESULTS: After implementation of the pink card, the average postoperative prescription size decreased for all 4 case types by 15% to 48%, reaching statistical significance for 2 of the procedures. Variability in prescription sizes decreased in all cases. There was a trend toward a decreasing number of prescription refills over the course of the study. There was no evidence that patients were obtaining refills from other sources within our multigroup practice. CONCLUSIONS: Although generalized opioid prescription guidelines exist, they lack specificity. Our multimodal approach using a simple educational-assist device and changes to postoperative order sets significantly affected surgeon behavior without evidence of inadequate treatment of pain. TYPE OF STUDY/LEVEL OF EVIDENCE: Therapeutic III.</t>
  </si>
  <si>
    <t>J2: J Hand Surg Am]; Stanek, Joel J Renslow, Mark A Kalliainen, Loree K S0363-5023(14)01506-8; ID: 200</t>
  </si>
  <si>
    <t>1531-6564</t>
  </si>
  <si>
    <t>Stanek, Joel J. Department of Plastic and Hand Surgery, Institute for Education and Research, Regions Hospital, St. Paul, MN; HealthPartners, Bloomington, MN; Office of Education, University of Minnesota School of Medicine, Minneapolis, MN. Renslow, Mark A. Department of Plastic and Hand Surgery, Institute for Education and Research, Regions Hospital, St. Paul, MN; HealthPartners, Bloomington, MN; Office of Education, University of Minnesota School of Medicine, Minneapolis, MN. Kalliainen, Loree K. Department of Plastic and Hand Surgery, Institute for Education and Research, Regions Hospital, St. Paul, MN; HealthPartners, Bloomington, MN; Office of Education, University of Minnesota School of Medicine, Minneapolis, MN. Electronic address: lkkllnn@aol.com.</t>
  </si>
  <si>
    <t>http://ovidsp.ovid.com/ovidweb.cgi?T=JS&amp;CSC=Y&amp;NEWS=N&amp;PAGE=fulltext&amp;D=med8&amp;AN=25542435</t>
  </si>
  <si>
    <t>https://dx.doi.org/10.1016/j.jhsa.2014.10.054</t>
  </si>
  <si>
    <t>MEDLINE; Ovid Technologies; The effect of an educational program on opioid prescription patterns in hand surgery: a quality improvement program</t>
  </si>
  <si>
    <t>Stange,K.;Kruger,M.;Janke,E.;Lichtinghagen,R.;Bleich,S.;Hillemacher,T.;Heberlein,A.</t>
  </si>
  <si>
    <t>Positive association of personal distress with testosterone in opiate-addicted patients</t>
  </si>
  <si>
    <t>Adult;Biomarkers/an Analysis];Cognition;Cross-Sectional Studies;*Empathy;Factor Analysis, Statistical;Germany;Humans;Male;Middle Aged;*Opioid-Related Disorders/pp Physiopathology];*Opioid-Related Disorders/px Psychology];Psychiatric Status Rating Scales;Saliva;Schools, Medical;*Stress, Physiological;*Stress, Psychological/px Psychology];*Testosterone/an Analysis];0 (Biomarkers);3XMK78S47O (Testosterone)</t>
  </si>
  <si>
    <t>Clinical studies report that substance addictions are associated with sociocognitive impairments. Regarding opiate-addicted patients, the few existing studies point to deficits in empathic abilities. Previous research suggests that testosterone might be a relevant biomarker of these impairments. The authors aimed to investigate whether opiate-addicted patients show specific impairments in emotional (empathic concern, personal distress) and cognitive empathy compared to healthy controls. Furthermore, the authors aimed to assess possible associations of testosterone levels with impaired empathic abilities in the patients' group. In this cross-sectional study, 27 opiate-addicted, diacetylmorphine-maintained patients (21 males, age mean 41.67 years, standard deviation 8.814) and 31 healthy controls (23 males, age mean 40.77 years, standard deviation 8.401) matched in age, sex, and educational level were examined. Cognitive and emotional empathy were measured via the German version of the Interpersonal Reactivity Index and salivary testosterone levels were assessed. The authors found higher personal distress scores (p &lt; 0.01, d = 0.817) and higher testosterone (p &lt; 0.001, d = 1.093) in the patients' group compared to controls. Moreover, a positive correlation was found between testosterone and personal distress among the patients' group (r = 0.399, p &lt; 0.05). Opiate-addicted patients show specific impairments in emotional empathy, namely higher personal distress, which has clinical implications regarding social cognition rehabilitation and relapse prevention. The current data point toward testosterone as a possible biomarker for these sociocognitive impairments and suggest that high personal distress and high testosterone during withdrawal are possible markers for severe opiate addiction.</t>
  </si>
  <si>
    <t>J2: J Addict Dis; Stange, Katrin Kruger, Mathias Janke, Eva Lichtinghagen, Ralf Bleich, Stefan Hillemacher, Thomas Heberlein, Annemarie; ID: 4</t>
  </si>
  <si>
    <t>Stange, Katrin. a Center for Addiction Research (CARe) , Department of Psychiatry, Social Psychiatry and Psychotherapy, Hanover Medical School , Germany. Kruger, Mathias. b Department of Psychology , University of Bonn , Germany. Janke, Eva. a Center for Addiction Research (CARe) , Department of Psychiatry, Social Psychiatry and Psychotherapy, Hanover Medical School , Germany. Lichtinghagen, Ralf. c Institute for Clinical Chemistry , Hanover Medical School , Germany. Bleich, Stefan. a Center for Addiction Research (CARe) , Department of Psychiatry, Social Psychiatry and Psychotherapy, Hanover Medical School , Germany. Hillemacher, Thomas. a Center for Addiction Research (CARe) , Department of Psychiatry, Social Psychiatry and Psychotherapy, Hanover Medical School , Germany. Heberlein, Annemarie. a Center for Addiction Research (CARe) , Department of Psychiatry, Social Psychiatry and Psychotherapy, Hanover Medical School , Germany.</t>
  </si>
  <si>
    <t>http://ovidsp.ovid.com/ovidweb.cgi?T=JS&amp;CSC=Y&amp;NEWS=N&amp;PAGE=fulltext&amp;D=medl&amp;AN=28281909</t>
  </si>
  <si>
    <t>https://dx.doi.org/10.1080/10550887.2017.1303980</t>
  </si>
  <si>
    <t>MEDLINE; Ovid Technologies; Positive association of personal distress with testosterone in opiate-addicted patients</t>
  </si>
  <si>
    <t>Stanley,A. H.</t>
  </si>
  <si>
    <t>Primary care and addiction treatment: lessons learned from building bridges across traditions</t>
  </si>
  <si>
    <t>*Delivery of Health Care;Health Care Costs;Health Services Accessibility;Humans;Interinstitutional Relations;Primary Health Care/ec Economics];Primary Health Care/td Trends];*Primary Health Care;*Substance Abuse Treatment Centers;Substance-Related Disorders/ec Economics];*Substance-Related Disorders/th Therapy]</t>
  </si>
  <si>
    <t>A primary care unit combined with residential addiction treatment allows patients with addictive disease and chronic medical or psychiatric problems to successfully complete the treatment. These are patients who would otherwise fail treatment or fail to be considered candidates for treatment. Health care providers should have a background in primary care and have the potential to respond professionally to clinical problems in behavioral medicine. Ongoing professional training and statistical quality management principles can maintain morale and productivity. Health education is an integral part of primary care. The costs of such concurrent care when viewed in the context of the high societal and economic costs of untreated addictive disease and untreated chronic medical problems are low. The principles used to develop this primary care unit can be used to develop health care units for other underserved populations. These principles include identification of specific health care priorities and continuity of rapport with the target population and with addiction treatment staff.</t>
  </si>
  <si>
    <t>J2: J Addict Dis; Stanley, A H; ID: 1074</t>
  </si>
  <si>
    <t>Stanley, A H. New Jersey Substance Abuse Treatment Campus Project, USA.</t>
  </si>
  <si>
    <t>http://ovidsp.ovid.com/ovidweb.cgi?T=JS&amp;CSC=Y&amp;NEWS=N&amp;PAGE=fulltext&amp;D=med4&amp;AN=10334377</t>
  </si>
  <si>
    <t>MEDLINE; Ovid Technologies; Primary care and addiction treatment: lessons learned from building bridges across traditions</t>
  </si>
  <si>
    <t>Steed,H.;Groome,M.;Rice,P.;Simpson,K.;Day,A.;Ker,J.</t>
  </si>
  <si>
    <t>A brief report on perceptions of alcohol and society among Scottish medical students</t>
  </si>
  <si>
    <t>Alcohol Drinking/ep Epidemiology];Alcohol Drinking/pc Prevention &amp; Control];Alcoholism/di Diagnosis];*Alcoholism/ep Epidemiology];*Alcoholism/pc Prevention &amp; Control];*Attitude of Health Personnel;Curriculum/td Trends];Female;Humans;Male;Research Report;Scotland/ep Epidemiology];*Social Perception;*Students, Medical/px Psychology];Surveys and Questionnaires</t>
  </si>
  <si>
    <t>AIMS: To assess perceptions on alcohol misuse and addiction among medical students prior to in-depth training in order to determine areas of the curriculum that need to be reshaped or focused on. METHODS: A questionnaire assessment of first- and second-year medical students' perceptions of alcohol misuse. RESULTS: Students had some misconceptions about current alcohol misuse rates, including a perception that addiction is common among health professionals, that the under-25s had the fastest increasing rate of alcohol addiction and that British women had a more rapidly increasing rate of alcohol addiction than British men. CONCLUSION: Encouragingly, students overwhelmingly felt that alcohol addiction was something to which they could make a difference. It highlights that early education about alcohol misuse is important in terms of teaching students how to recognize hazardous and harmful drinkers and how to manage them.</t>
  </si>
  <si>
    <t>J2: Alcohol Alcohol; Steed, H Groome, M Rice, P Simpson, K Day, A Ker, J; ID: 443</t>
  </si>
  <si>
    <t>Steed, H. Department of Gastroenterology, Ninewells Hospital and Medical School, Dundee, UK.</t>
  </si>
  <si>
    <t>http://ovidsp.ovid.com/ovidweb.cgi?T=JS&amp;CSC=Y&amp;NEWS=N&amp;PAGE=fulltext&amp;D=med7&amp;AN=22085525</t>
  </si>
  <si>
    <t>https://dx.doi.org/10.1093/alcalc/agr139</t>
  </si>
  <si>
    <t>MEDLINE; Ovid Technologies; A brief report on perceptions of alcohol and society among Scottish medical students</t>
  </si>
  <si>
    <t>Evaluation of a new core curriculum on alcohol use disorders for undergraduate medical students</t>
  </si>
  <si>
    <t>*Alcohol-Related Disorders;*Curriculum;*Education, Medical, Undergraduate/mt Methods];Female;Humans;Male;Surveys and Questionnaires;Teaching</t>
  </si>
  <si>
    <t>AIMS: This study was aimed to review and rewrite the undergraduate curriculum on alcohol use disorders, implement the changes and assess for any early evidence of an improvement in knowledge. METHODS: A three-stage process was used to review the old curriculum and a new one was designed around the five undergraduate years. Students' opinions were sought about the acceptability of the new curriculum using a questionnaire, to which 93 responded and 70 volunteers were objectively assessed using an examination based on questions from the text of the Medical Students' Handbook on Alcohol and Health. RESULTS: There was no evidence of any improvement in the students' knowledge using the old curriculum. After teaching with the new curriculum, examination scores significantly increased (P &lt; 0.0001). There was no difference between the sexes. The new curriculum was assessed as acceptable to the students. CONCLUSION: This new curriculum reflects the need for a new teaching method and not only offers improved teaching, but also produces a generation of doctors equipped to identify alcohol-related problems and to deliver brief interventions, helping to reduce the projected consequences of alcohol abuse and the associated burden on the health service.</t>
  </si>
  <si>
    <t>J2: Alcohol Alcohol; Steed, H Groome, M Rice, P Simpson, K Day, A Ker, J; ID: 558</t>
  </si>
  <si>
    <t>Steed, H. Department of Gastroenterology, Ninewells Hospital, Dundee DD1 9SY, UK.</t>
  </si>
  <si>
    <t>http://ovidsp.ovid.com/ovidweb.cgi?T=JS&amp;CSC=Y&amp;NEWS=N&amp;PAGE=fulltext&amp;D=med6&amp;AN=20501550</t>
  </si>
  <si>
    <t>https://dx.doi.org/10.1093/alcalc/agq024</t>
  </si>
  <si>
    <t>MEDLINE; Ovid Technologies; Evaluation of a new core curriculum on alcohol use disorders for undergraduate medical students</t>
  </si>
  <si>
    <t>Steffen,P. D.;Dailey,R. H.</t>
  </si>
  <si>
    <t>Appropriate management of chemical dependency in emergency medicine residents</t>
  </si>
  <si>
    <t>Algorithms;*Emergency Medicine;Humans;Internship and Residency;Physician Impairment/px Psychology];Stress, Psychological;Substance-Related Disorders/rh Rehabilitation];*Substance-Related Disorders/th Therapy]</t>
  </si>
  <si>
    <t>When chemical dependency is suspected in an emergency medicine resident physician, prompt and appropriate action must be taken to ensure the best possible outcome for all involved. Although residency program accreditation requires that program directors be able to appropriately deal with a chemically dependent resident, few programs have a formal policy in place, and little if any information exists for the formulation of such a policy. Presented here is a discussion of the disease of chemical dependency and how it affects emergency medicine residents, along with practical recommendations for appropriate management.</t>
  </si>
  <si>
    <t>J2: Ann Emerg Med; Steffen, P D Dailey, R H; ID: 1289</t>
  </si>
  <si>
    <t>Steffen, P D. School of Medicine, Department of Medicine, University of California San Francisco.</t>
  </si>
  <si>
    <t>http://ovidsp.ovid.com/ovidweb.cgi?T=JS&amp;CSC=Y&amp;NEWS=N&amp;PAGE=fulltext&amp;D=med3&amp;AN=1570914</t>
  </si>
  <si>
    <t>MEDLINE; Ovid Technologies; Appropriate management of chemical dependency in emergency medicine residents</t>
  </si>
  <si>
    <t>Steg,J. A.;Mann,L. S.;Schwartz,R. H.;Wise,T. N.;Bailey,G. W.</t>
  </si>
  <si>
    <t>Comparison of child psychiatry residents' and training directors' perceptions of training for alcohol and substance abuse treatment</t>
  </si>
  <si>
    <t>Residents anddirectors of accredited child and adolescent psychiatry programs (N = 117) in the United States were surveyed (with a response rate of 89% and 76.9%, respectively) to determine the extent and adequacy of training offered for the identification and management of substance abuse disorders. Of the responders, 24% of the residents indicated some exposure (&gt;=1 hour) to an adolescent drug abuse treatment facility during their training. In contrast, 46% of the directors reported that their residents had such exposure. Residents consistently reported training to be less adequate than did directors. Only half of the residents reported that they felt adequately prepared to identify and initially manage a substance-abusing adolescent, whereas a somewhat higher percentage of the directors (59%) felt that their residents were adequately prepared for this function.</t>
  </si>
  <si>
    <t>J2: Acad Psychiatry; Steg, J A Mann, L S Schwartz, R H Wise, T N Bailey, G W; ID: 320</t>
  </si>
  <si>
    <t>Steg, J A. The Kellar Center, Fairfax, VA, USA.</t>
  </si>
  <si>
    <t>http://ovidsp.ovid.com/ovidweb.cgi?T=JS&amp;CSC=Y&amp;NEWS=N&amp;PAGE=fulltext&amp;D=prem&amp;AN=24443155</t>
  </si>
  <si>
    <t>https://dx.doi.org/10.1007/BF03341376</t>
  </si>
  <si>
    <t>MEDLINE; Ovid Technologies; Comparison of child psychiatry residents' and training directors' perceptions of training for alcohol and substance abuse treatment</t>
  </si>
  <si>
    <t>Alcoholism and substance abuse teaching in child psychiatry residency programs</t>
  </si>
  <si>
    <t>*Adolescent Psychiatry/ed Education];*Alcoholism/rh Rehabilitation];Child;*Child Psychiatry/ed Education];Curriculum;Humans;*Internship and Residency;*Substance-Related Disorders/rh Rehabilitation];Virginia</t>
  </si>
  <si>
    <t>In order to determine the needs and goals of substance abuse teaching, vis-a-vis child psychiatry training, a questionnaire was sent to the training directors at every child psychiatry program accredited by the Accreditation Council of Graduate Medical Examination. The results demonstrated that most child psychiatry programs schedule at least some didactic time specifically for substance abuse topics. However, only 59% of the training directors felt that their fellows were adequately educated to identify and at least initially manage a drug abusing adolescent.</t>
  </si>
  <si>
    <t>J2: J Am Acad Child Adolesc Psychiatry; Steg, J A Mann, L S Schwartz, R H Wise, T N Bailey, G W; ID: 1342</t>
  </si>
  <si>
    <t>Steg, J A. Department of Psychiatry, Fairfax Hospital, Falls Church, Virginia 22046.</t>
  </si>
  <si>
    <t>http://ovidsp.ovid.com/ovidweb.cgi?T=JS&amp;CSC=Y&amp;NEWS=N&amp;PAGE=fulltext&amp;D=med3&amp;AN=2228938</t>
  </si>
  <si>
    <t>MEDLINE; Ovid Technologies; Alcoholism and substance abuse teaching in child psychiatry residency programs</t>
  </si>
  <si>
    <t>Stein,J.;Glass,K.;Coburn,K.;Sisson,J.;Birnkrant,J.;Bravo,A.;Green,A.;O'Donnell,J. F.</t>
  </si>
  <si>
    <t>A medical school's plan for anti-tobacco-use education in community schools and hospitals</t>
  </si>
  <si>
    <t>Adolescent;Adult;Ambulatory Care Facilities;Child;Counseling;Curriculum;Education, Medical;Female;*Health Education;*Hospitals;Humans;Male;New Hampshire;Preventive Medicine/ed Education];Primary Prevention;*Schools;*Schools, Medical;*Smoking Cessation;*Smoking Prevention;Students, Medical</t>
  </si>
  <si>
    <t>BACKGROUND: Tobacco use in the United States remains a significant health concern. In 1992, students at Dartmouth Medical School began a community service program that targeted the prevention of local tobacco use. METHODS: The program combined primary prevention, through education of school-aged children, with secondary prevention, through smoking cessation clinics. RESULTS: The program has received widespread community as well as national support for its actions. The program is in its initial stages of gathering data to determine whether there has been a significant impact on the tobacco use of the community. CONCLUSIONS: This paper is an introduction to the program's efforts, and a potential template for other medical schools to follow.</t>
  </si>
  <si>
    <t>J2: J Cancer Educ; Stein, J Glass, K Coburn, K Sisson, J Birnkrant, J Bravo, A Green, A O'Donnell, J F; ID: 1126</t>
  </si>
  <si>
    <t>Stein, J. Dartmouth Medical School, Hanover, New Hampshire 03755-3837, USA.</t>
  </si>
  <si>
    <t>http://ovidsp.ovid.com/ovidweb.cgi?T=JS&amp;CSC=Y&amp;NEWS=N&amp;PAGE=fulltext&amp;D=med4&amp;AN=9376253</t>
  </si>
  <si>
    <t>MEDLINE; Ovid Technologies; A medical school's plan for anti-tobacco-use education in community schools and hospitals</t>
  </si>
  <si>
    <t>Stein,M. R.;Arnsten,J. H.;Parish,S. J.;Kunins,H. V.</t>
  </si>
  <si>
    <t>NIHMS355921; Evaluation of a substance use disorder curriculum for internal medicine residents</t>
  </si>
  <si>
    <t>Adult;*Clinical Competence;*Curriculum;Female;Humans;*Internal Medicine/ed Education];*Internship and Residency/mt Methods];Male;*Substance-Related Disorders/px Psychology]</t>
  </si>
  <si>
    <t>Teaching about diagnosis, treatment, and sequelae of substance use disorders (SUDs) is insufficient in most Internal Medicine residency programs. To address this, the authors developed, implemented, and evaluated a novel and comprehensive SUD curriculum for first year residents (interns) in Internal Medicine, which anchors the ensuing 3-year longitudinal SUD curriculum. This intern curriculum includes didactic and experiential elements and allows skills practice. Topics include local epidemiology of substance abuse, neurobiology of SUDs, and screening, treatment, and referral. The entire curriculum is delivered over 7 hours during a month-long ambulatory rotation. Among 58 interns who have completed a pre-post evaluation of the curriculum, the majority reported an increased sense of responsibility for and confidence in treating patients with SUDs.</t>
  </si>
  <si>
    <t>J2: Subst Abus; Stein, Melissa R Arnsten, Julia H Parish, Sharon J Kunins, Hillary V; ID: 473</t>
  </si>
  <si>
    <t>Stein, Melissa R. Department of Medicine, Albert Einstein College of Medicine and Montefiore Medical Center, Bronx, New York, USA. mstein@montefiore.org</t>
  </si>
  <si>
    <t>http://ovidsp.ovid.com/ovidweb.cgi?T=JS&amp;CSC=Y&amp;NEWS=N&amp;PAGE=fulltext&amp;D=med7&amp;AN=22014252</t>
  </si>
  <si>
    <t>https://dx.doi.org/10.1080/08897077.2011.598408</t>
  </si>
  <si>
    <t>MEDLINE; Ovid Technologies; Evaluation of a substance use disorder curriculum for internal medicine residents</t>
  </si>
  <si>
    <t>Stein,M. R.;Parish,S. J.;Arnsten,J. H.</t>
  </si>
  <si>
    <t>NIHMS112879; The OSCE as a formative evaluation tool for substance abuse teaching</t>
  </si>
  <si>
    <t>*Educational Measurement/mt Methods];*Internship and Residency/mt Methods];New York City;*Substance-Related Disorders;*Teaching/mt Methods]</t>
  </si>
  <si>
    <t>J2: Med Educ; Stein, Melissa R Parish, Sharon J Arnsten, Julia H; ID: 867</t>
  </si>
  <si>
    <t>Stein, Melissa R. Hub 2 Clinic, Bronx, New York, New York 10455, USA. mstein@montefriore.org</t>
  </si>
  <si>
    <t>http://ovidsp.ovid.com/ovidweb.cgi?T=JS&amp;CSC=Y&amp;NEWS=N&amp;PAGE=fulltext&amp;D=med5&amp;AN=15842715</t>
  </si>
  <si>
    <t>MEDLINE; Ovid Technologies; The OSCE as a formative evaluation tool for substance abuse teaching</t>
  </si>
  <si>
    <t>Stein,W.</t>
  </si>
  <si>
    <t>I. Obligatory continuing education for all college graduate cadres in public and social health care facilities 1972. Selective subjects for physicians, dentists and pharmacists. Drug abuse and iatrogenic diseases (liver, kidney, blood). Iatrogenic liver diseases]</t>
  </si>
  <si>
    <t>Chemical and Drug Induced Liver Injury/et Etiology];*Chemical and Drug Induced Liver Injury;Drug Hypersensitivity;Drug-Related Side Effects and Adverse Reactions;Education, Dental, Continuing;Education, Medical, Continuing;Education, Pharmacy, Continuing;Germany, East;Humans;*Iatrogenic Disease;Liver Diseases/et Etiology];State Medicine;Substance-Related Disorders/co Complications]</t>
  </si>
  <si>
    <t>J2: Z Arztl Fortbild (Jena); German Stein, W; OP: I. Obligatorische Fortbildung fur alle Hochschulkader in den Einrichtungen des Gesundheits- und Sozialwesens 1972. Wahlthema Nr. 2 fur Arzte, Zahnarzte und Apotheker. Arzneimittelabusus und iatrogene Krankheiten (Leber, Nieren, Blut); ID: 1579</t>
  </si>
  <si>
    <t>http://ovidsp.ovid.com/ovidweb.cgi?T=JS&amp;CSC=Y&amp;NEWS=N&amp;PAGE=fulltext&amp;D=med1&amp;AN=4636962</t>
  </si>
  <si>
    <t>MEDLINE; Ovid Technologies; [I. Obligatory continuing education for all college graduate cadres in public and social health care facilities 1972. Selective subjects for physicians, dentists and pharmacists. Drug abuse and iatrogenic diseases (li(TRUNCATED)</t>
  </si>
  <si>
    <t>Steinemann,S.;Roytman,T.;Chang,J.;Holzman,J.;Hishinuma,E.;Nagoshi,M.;Tam,E.;Murakami,S.;Wong,J.</t>
  </si>
  <si>
    <t>Impact of education on smoking cessation counseling by surgical residents</t>
  </si>
  <si>
    <t>*Counseling;*Education, Medical, Continuing;*General Surgery/ed Education];Humans;*Internship and Residency;*Physician's Role;Role Playing;*Smoking Cessation</t>
  </si>
  <si>
    <t>BACKGROUND: Surgeons infrequently provide smoking cessation counseling for patients, in part because they lack training to do so. We investigated the efficacy of 2 methods of teaching smoking cessation counseling to surgical residents. METHODS: Residents' knowledge and attitude toward smoking cessation counseling were assessed by written test. Counseling skills were assessed with standardized patients. Residents were randomized for smoking cessation education: a "Role-play" group received a 1-hour lecture plus an hour of role-playing. An evidence-based medicine (EBM) group attended a 1- hour EBM journal club on related articles. Changes in residents' knowledge, attitude, and skills were assessed after education. RESULTS: Sixteen residents completed the study. After either form of education, residents demonstrated significant improvements in knowledge, attitude, and skills in smoking cessation counseling. There was no significant difference in improvement between the EBM and Role-play groups. CONCLUSIONS: A brief educational intervention can significantly improve residents' knowledge, attitude, and counseling skills for smoking cessation.</t>
  </si>
  <si>
    <t>J2: Am J Surg; Steinemann, Susan Roytman, Timur Chang, Janice Holzman, Jennifer Hishinuma, Earl Nagoshi, Michael Tam, Elizabeth Murakami, Sara Wong, Jan; ID: 880</t>
  </si>
  <si>
    <t>Steinemann, Susan. Department of Surgery, University of Hawaii, John A. Burns School of Medicine, 1356 Lusitana St., 6th Floor, Honolulu, HI 96813, USA. steine@hawaii.edu</t>
  </si>
  <si>
    <t>http://ovidsp.ovid.com/ovidweb.cgi?T=JS&amp;CSC=Y&amp;NEWS=N&amp;PAGE=fulltext&amp;D=med5&amp;AN=15701489</t>
  </si>
  <si>
    <t>MEDLINE; Ovid Technologies; Impact of education on smoking cessation counseling by surgical residents</t>
  </si>
  <si>
    <t>Steingrimsdottir,L.;Olafsdottir,E. J.;Jonsdottir,L. S.;Sigurdsson,R.;Tryggvadottir,L.</t>
  </si>
  <si>
    <t>Smoking, obesity and education of Icelandic women by rural-urban residence]</t>
  </si>
  <si>
    <t>Laeknabladid</t>
  </si>
  <si>
    <t>Adolescent;Adult;Chi-Square Distribution;Cross-Sectional Studies;*Educational Status;Female;Health Surveys;Humans;Iceland/ep Epidemiology];Logistic Models;Middle Aged;*Obesity/ep Epidemiology];Obesity/et Etiology];Odds Ratio;Prevalence;*Residence Characteristics;Risk Assessment;Risk Factors;*Rural Population;Smoking/ae Adverse Effects];*Smoking/ep Epidemiology];Surveys and Questionnaires;*Urban Population;*Women's Health;Young Adult</t>
  </si>
  <si>
    <t>OBJECTIVE: To assess the prevalence of obesity and the association with smoking and education among young Icelandic women residing within and outside the capital area. MATERIALS AND METHODS: A self-administered questionnaire was sent to 28.000 Icelandic women, 18-45 years-old, in the period November 2004 to June 2005. The sample was randomly selected from The National Registry, response rate being 54.6%. The study was part of a large Nordic population-based cross-sectional study. Logistic regression was used for assessing the odds ratio of obesity (BMI &gt; or = 30) in a multivariate analysis according to smoking and education, taking also into account age and alcohol consumption. The chi-square test was used for comparing percentages. RESULTS: Thirteen percent of women residing in the capital area were obese compared with 21% outside the capital. In the multivariate analysis obesity was increased among women living outside the capital (OR = 1.66; 95% CI 1,50-1,83), among smokers (OR=1,13; 95% CI 1.01-1.28), and among women who did not have university education (OR=1.53; 95%CI 1.36-1.71). Daily smokers within the capital area were more likely to be obese (OR=1.27; 95%CI 1.07-1.49) but not smokers outside the capital (OR=1.0). . CONCLUSIONS: Residence outside the capital area, daily smoking and non-university education are associated with an increased risk of obesity among young Icelandic women. The relationship between these factors is complex and differs between women residing within and outside the capital area.</t>
  </si>
  <si>
    <t>J2: Laeknabladid; Icelandic Steingrimsdottir, Laufey Olafsdottir, Elinborg J Jonsdottir, Lilja Sigrun Sigurdsson, Rafn Tryggvadottir, Laufey; OP: Reykingar, holdafar og menntun kvenna i borg og bae; ID: 587</t>
  </si>
  <si>
    <t>0023-7213</t>
  </si>
  <si>
    <t>Steingrimsdottir, Laufey. laufey@hi.is</t>
  </si>
  <si>
    <t>Icelandic</t>
  </si>
  <si>
    <t>http://ovidsp.ovid.com/ovidweb.cgi?T=JS&amp;CSC=Y&amp;NEWS=N&amp;PAGE=fulltext&amp;D=med6&amp;AN=20339165</t>
  </si>
  <si>
    <t>MEDLINE; Ovid Technologies; [Smoking, obesity and education of Icelandic women by rural-urban residence]</t>
  </si>
  <si>
    <t>Stempliuk Vde,A.;Barroso,L. P.;Andrade,A. G.;Nicastri,S.;Malbergier,A.</t>
  </si>
  <si>
    <t>Comparative study of drug use among undergraduate students at the University of Sao Paulo--Sao Paulo campus in 1996 and 2001</t>
  </si>
  <si>
    <t>Adult;Alcohol Drinking/ep Epidemiology];Brazil/ep Epidemiology];Confidence Intervals;Cross-Sectional Studies;*Education, Medical, Undergraduate;Female;Humans;Male;Marijuana Abuse/ep Epidemiology];Prevalence;*Students, Medical/sn Statistics &amp; Numerical Data];*Substance-Related Disorders/ep Epidemiology];Surveys and Questionnaires</t>
  </si>
  <si>
    <t>OBJECTIVE: To compare the rate of drug use prevalence and to investigate opinions regarding such use among undergraduate students at the University of Sao Paulo--Sao Paulo campus in 1996 and again in 2001. METHODS: Both studies followed the same procedures of sampling and data collection. A random sample of undergraduate students, divided into the areas Humanities, Exact Sciences and Biologic Sciences, responded to an anonymous and self-report survey regarding the use of licit and illicit drugs within the last 30 days, within the last 12 months and over the lifetime of the subject. The two surveys were compared through the construction of (95%) confidence intervals for the prevalence differences for each substance by area and by total number of students. The Wald test for homogeneity was applied in order to compare the prevalences. RESULTS: High approval of regularly trying and using cocaine, crack, amphetamines and inhalants was observed. The drugs that showed statistic significant increasing were:lifetime use: alcohol, tobacco, marijuana, inhalants, hallucinogens, amphetamines, anti cholines, barbiturics and any illicit drug;last-12-month use: marijuana, inhalants, amphetamines, hallucinogens and any illicit drug;last-30-day use: marijuana, inhalants, amphetamines and any illicit drug. DISCUSSION: The observed difference in the use of some drugs between the two surveys appears to be a consequence of the higher rates of favorable opinions regarding trying and regularly using some psychoactive substances, a finding that mirrors global trends in drug use.</t>
  </si>
  <si>
    <t>J2: Rev Bras Psiquiatr; Stempliuk, Vladimir de Andrade Barroso, Lucia Pereira Andrade, Arthur Guerra de Nicastri, Sergio Malbergier, Andre Comment in: Rev Bras Psiquiatr. 2006 Mar;28(1):83; author reply 83-4; PMID: 16612500; ID: 830</t>
  </si>
  <si>
    <t>Stempliuk, Vladimir de Andrade. Department of Psychiatry, Universidade de Sao Paulo, Sao Paulo, SP, Brazil. vladimir.stempliuk@planalto.gov.br</t>
  </si>
  <si>
    <t>http://ovidsp.ovid.com/ovidweb.cgi?T=JS&amp;CSC=Y&amp;NEWS=N&amp;PAGE=fulltext&amp;D=med5&amp;AN=16224605</t>
  </si>
  <si>
    <t>MEDLINE; Ovid Technologies; Comparative study of drug use among undergraduate students at the University of Sao Paulo--Sao Paulo campus in 1996 and 2001</t>
  </si>
  <si>
    <t>Stergiopoulos,V.;Maggi,J.;Sockalingam,S.</t>
  </si>
  <si>
    <t>Teaching the physician-manager role to psychiatric residents: development and implementation of a pilot curriculum</t>
  </si>
  <si>
    <t>Achievement;Attitude of Health Personnel;Career Choice;Career Mobility;Curriculum;Education;*Education, Medical, Graduate;Hospitals, University;Humans;*Internship and Residency;Leadership;Ontario;*Physician Executives/ed Education];Pilot Projects;Psychiatric Department, Hospital;*Psychiatry/ed Education]</t>
  </si>
  <si>
    <t>OBJECTIVE: The authors describe a pilot physician-manager curriculum designed to address the learning needs of psychiatric residents in administrative psychiatry and health systems. METHODS: The pilot curriculum includes a junior and a senior toolkit of four workshops each. The junior toolkit introduces postgraduate-year two (PGY-2) residents to the principles of teamwork, conflict resolution, quality improvement, and program planning and evaluation. The senior toolkit exposes PGY-4 residents to leadership and change management, organizational structures, mental health and addictions reform, and self and career development. Following curriculum implementation at the University of Toronto, residents rated the importance and clinical relevance of curriculum objectives and commented on the strengths and weaknesses of the workshops and areas needing improvement. RESULTS: The pilot curriculum was successfully introduced at the University of Toronto in 2006. Residents rated the curriculum very highly and commented that interactive learning and contextually relevant topics are essential in meeting their needs. CONCLUSION: It is possible to successfully introduce a physician-manager curriculum early during psychiatric residency training, to match the specific needs of clinical rotations. Interactive techniques and clinical illustrations may be crucial in facilitating teaching and learning the physician-manager role. The authors discuss barriers, facilitators, and critical success factors in implementing such a curriculum.</t>
  </si>
  <si>
    <t>J2: Acad Psychiatry; Stergiopoulos, Vicky Maggi, Julie Sockalingam, Sanjeev; ID: 635</t>
  </si>
  <si>
    <t>Stergiopoulos, Vicky. Department of Psychiatry, University of Toronto, Ontario M5B 1W8, Canada. stergiopoulosv@smh.toronto.on.ca</t>
  </si>
  <si>
    <t>http://ovidsp.ovid.com/ovidweb.cgi?T=JS&amp;CSC=Y&amp;NEWS=N&amp;PAGE=fulltext&amp;D=med6&amp;AN=19398625</t>
  </si>
  <si>
    <t>https://dx.doi.org/10.1176/appi.ap.33.2.125</t>
  </si>
  <si>
    <t>MEDLINE; Ovid Technologies; Teaching the physician-manager role to psychiatric residents: development and implementation of a pilot curriculum</t>
  </si>
  <si>
    <t>Steurer,J.</t>
  </si>
  <si>
    <t>Free of benzodiazepines with an in general practice feasible intervention]</t>
  </si>
  <si>
    <t>Praxis</t>
  </si>
  <si>
    <t>*Benzodiazepinones;Dose-Response Relationship, Drug;Drug Administration Schedule;Education, Medical, Continuing;Follow-Up Studies;General Practice/ed Education];Humans;Randomized Controlled Trials as Topic;Referral and Consultation;Spain;*Substance-Related Disorders/rh Rehabilitation];0 (Benzodiazepinones)</t>
  </si>
  <si>
    <t>J2: Praxis (Bern 1994); German Steurer, Johann; OP: Frei von Benzodiazepinen mit einer in der Allgemeinpraxis praktikablen Intervention; ID: 282</t>
  </si>
  <si>
    <t>1661-8157</t>
  </si>
  <si>
    <t>Steurer, Johann. Horten-Zentrum fur praxisorientierte Forschung und Wissenstransfer, Universitatsspital Zurich.</t>
  </si>
  <si>
    <t>http://ovidsp.ovid.com/ovidweb.cgi?T=JS&amp;CSC=Y&amp;NEWS=N&amp;PAGE=fulltext&amp;D=med8&amp;AN=25097167</t>
  </si>
  <si>
    <t>https://dx.doi.org/10.1024/1661-8157/a001736</t>
  </si>
  <si>
    <t>MEDLINE; Ovid Technologies; [Free of benzodiazepines with an in general practice feasible intervention]</t>
  </si>
  <si>
    <t>Steven,I. D.;Montanaro,P.</t>
  </si>
  <si>
    <t>Introducing the Sick of Smoking Program to South Australian GPs. The results of peer-led small group educational sessions</t>
  </si>
  <si>
    <t>Australia;*Family Practice/td Trends];Humans;*Physicians, Family/ed Education];Program Development;*Smoking Cessation</t>
  </si>
  <si>
    <t>In South Australia 288 general practitioners were trained in the use of a minimal intervention stop smoking program. Follow up 8 months later indicated widespread incorporation into practice. It was estimated that use of the program resulted in a cost of less than $24 for each smoker who ceased.</t>
  </si>
  <si>
    <t>J2: Aust Fam Physician; Steven, I D Montanaro, P; ID: 1186</t>
  </si>
  <si>
    <t>http://ovidsp.ovid.com/ovidweb.cgi?T=JS&amp;CSC=Y&amp;NEWS=N&amp;PAGE=fulltext&amp;D=med3&amp;AN=7661780</t>
  </si>
  <si>
    <t>MEDLINE; Ovid Technologies; Introducing the Sick of Smoking Program to South Australian GPs. The results of peer-led small group educational sessions</t>
  </si>
  <si>
    <t>Stevens,K. D.</t>
  </si>
  <si>
    <t>Stemming needless deaths: "medicalizing" the problem of injection drug use</t>
  </si>
  <si>
    <t>Canada/ep Epidemiology];Curriculum;Education, Medical, Undergraduate;Humans;Morals;Physician-Patient Relations;Risk Factors;*Substance Abuse, Intravenous/pc Prevention &amp; Control];Substance-Related Disorders/ep Epidemiology];Substance-Related Disorders/pc Prevention &amp; Control]</t>
  </si>
  <si>
    <t>J2: Cmaj; Stevens, K D Comment in: CMAJ. 2000 Sep 19;163(6):697; PMID: 11022581; ID: 1031</t>
  </si>
  <si>
    <t>Stevens, K D. University of British Columbia, Vancouver. kyledstevens@home.com</t>
  </si>
  <si>
    <t>http://ovidsp.ovid.com/ovidweb.cgi?T=JS&amp;CSC=Y&amp;NEWS=N&amp;PAGE=fulltext&amp;D=med4&amp;AN=10870498</t>
  </si>
  <si>
    <t>MEDLINE; Ovid Technologies; Stemming needless deaths: "medicalizing" the problem of injection drug use</t>
  </si>
  <si>
    <t>Stevens,N. G.;McCormick,T. R.</t>
  </si>
  <si>
    <t>Source: KIE. 44584; What are students thinking when we present ethics cases?: an example focusing on confidentiality and substance abuse</t>
  </si>
  <si>
    <t>Adult;Alcoholism/dt Drug Therapy];*Attitude to Health;Beneficence;Bioethical Issues;*Confidentiality;Disclosure;*Ethics, Medical/ed Education];Humans;Middle Aged;Mother-Child Relations;Paternalism;Personal Autonomy;*Students, Medical/px Psychology];Teaching/mt Methods]</t>
  </si>
  <si>
    <t>As part of an ethics course, health professions students were asked to identify ethical issues and to propose resolutions before and after a class discussion of a case involving confidentiality and substance abuse. Students listed an average of 2.4 issues before and 3.6 issues after the discussion. After discussion 50 per cent of students made explicit changes in their proposed resolution. Opinions varied widely on breaching confidentiality and the responsibility for protecting the patient's health. After the discussion almost 20 per cent of the class felt it was acceptable to breach confidentiality as long as the patient was unaware. Many students identified more with the health care provider than with the patient. The presence of substance abuse altered many students' views on confidentiality. In this experience students were less rigorous in their application of principles, creating an excellent opportunity for teaching through exploration of the complexity of ethical decision-making in a specific case.</t>
  </si>
  <si>
    <t>J2: J Med Ethics; Stevens, N G McCormick, T R; ID: 1218</t>
  </si>
  <si>
    <t>0306-6800</t>
  </si>
  <si>
    <t>Stevens, N G. University of Washington.</t>
  </si>
  <si>
    <t>http://ovidsp.ovid.com/ovidweb.cgi?T=JS&amp;CSC=Y&amp;NEWS=N&amp;PAGE=fulltext&amp;D=med3&amp;AN=8083872</t>
  </si>
  <si>
    <t>MEDLINE; Ovid Technologies; What are students thinking when we present ethics cases?: an example focusing on confidentiality and substance abuse</t>
  </si>
  <si>
    <t>Stewart,S. L.;Baiden,P.;den Dunnen,W.</t>
  </si>
  <si>
    <t>Prescription medication misuse among adolescents with severe mental health problems in Ontario, Canada</t>
  </si>
  <si>
    <t>Adolescent;*Adolescent Behavior/px Psychology];Child;Female;Humans;Male;*Mental Disorders/ep Epidemiology];Mental Disorders/px Psychology];Ontario/ep Epidemiology];*Prescription Drug Misuse/sn Statistics &amp; Numerical Data];Prevalence;Risk Factors;*Substance-Related Disorders/ep Epidemiology];Substance-Related Disorders/px Psychology]</t>
  </si>
  <si>
    <t>The purpose of this study was to examine the prevalence of prescription medication misuse among adolescents with severe mental health problems in Ontario, Canada, and to explore some of the factors that influence the misuse of prescription medication. Data were obtained from the Resident Assessment Instrument for Mental Health. A total of 2,677 adolescents between the ages of 12 and 18 years who were admitted into adult mental health beds were analyzed. Logistic regression was used in estimating the likelihood of misusing prescription medication. Overall, 17% of adolescent inpatients misused prescription medication. In the multivariate model, the following were found to be associated with misuse: being female, having multiple psychiatric admissions, education, threat or danger to self, problem with addiction, history of emotional abuse, use of alcohol, past year use of opiates and cannabis, as well as symptoms of depression. Misuse of prescription medication was less likely to occur among adolescents with a diagnosis of schizophrenia and adolescents who were admitted as a result of posing a threat or danger to others. Implications of the findings are discussed with suggestions for future research.</t>
  </si>
  <si>
    <t>J2: Subst Use Misuse; Stewart, Shannon L Baiden, Philip den Dunnen, Wendy; ID: 254</t>
  </si>
  <si>
    <t>Stewart, Shannon L. Applied Research and Education, Child and Parent Resource Institute, London, Ontario, Canada. shannon.stewart@ontario.ca</t>
  </si>
  <si>
    <t>http://ovidsp.ovid.com/ovidweb.cgi?T=JS&amp;CSC=Y&amp;NEWS=N&amp;PAGE=fulltext&amp;D=med7&amp;AN=23461668</t>
  </si>
  <si>
    <t>https://dx.doi.org/10.3109/10826084.2013.765482</t>
  </si>
  <si>
    <t>MEDLINE; Ovid Technologies; Prescription medication misuse among adolescents with severe mental health problems in Ontario, Canada</t>
  </si>
  <si>
    <t>Stiazhkin,V. D.;Vanchakova,N. P.;Solov'eva,S. L.</t>
  </si>
  <si>
    <t>Experience with the medical psychology instruction of students and interns in psychiatry and the drug abuse field]</t>
  </si>
  <si>
    <t>Curriculum;Humans;*Internship and Residency;*Psychiatry/ed Education];*Psychology, Medical/ed Education];Russia;*Substance-Related Disorders/px Psychology];*Teaching</t>
  </si>
  <si>
    <t>J2: Zh Nevrol Psikhiatr Im S S Korsakova; Russian Stiazhkin, V D Vanchakova, N P Solov'eva, S L; OP: Opyt obucheniia meditsinskoi psikhologii studentov i subordinatorov po psikhiatrii i narkologii; ID: 1198</t>
  </si>
  <si>
    <t>http://ovidsp.ovid.com/ovidweb.cgi?T=JS&amp;CSC=Y&amp;NEWS=N&amp;PAGE=fulltext&amp;D=med3&amp;AN=7740892</t>
  </si>
  <si>
    <t>MEDLINE; Ovid Technologies; [Experience with the medical psychology instruction of students and interns in psychiatry and the drug abuse field]</t>
  </si>
  <si>
    <t>Stiegler,A.;Bieber,L.;Karacay,K.;Wernz,F.;Batra,A.</t>
  </si>
  <si>
    <t>Barriers to Addressing Pregnant Patients' Cigarette and Alcohol Use: A Focus Group Study with Gynecologists]</t>
  </si>
  <si>
    <t>Gesundheitswesen</t>
  </si>
  <si>
    <t>Adult;Alcohol Drinking/pc Prevention &amp; Control];*Alcohol Drinking/px Psychology];Communication;Female;Focus Groups;Germany/ep Epidemiology];*Gynecology/mt Methods];Health Promotion/sn Statistics &amp; Numerical Data];Humans;Informed Consent/px Psychology];Informed Consent/sn Statistics &amp; Numerical Data];Middle Aged;Patient Participation/px Psychology];Patient Participation/sn Statistics &amp; Numerical Data];Physician's Role/px Psychology];*Physician-Patient Relations;Practice Patterns, Physicians';Pregnancy;*Prenatal Exposure Delayed Effects/pc Prevention &amp; Control];*Prenatal Exposure Delayed Effects/px Psychology];*Smoking/px Psychology];Smoking Prevention;Young Adult</t>
  </si>
  <si>
    <t>Objectives/Purpose: Alcohol drinking and tobacco smoking pose high health risks for the unborn child. Even though routine testing during the course of pregnancy facilitates early intervention, addressing substance use in pregnancy seems to be more difficult. The aim of the study was to identify barriers to addressing pregnant patients' cigarette and alcohol use. Methods: 2 focus groups (in total N=10 participants) were conducted with gynaecologists. The transcripts of the discussions were analysed using Mayring's approach of qualitative text analysis. Results: Avoidance of addressing substance abuse directly, the social and educational background of patients influencing the communication in this matter and the physicians' ambivalence about their limits of responsibility were barriers often mentioned by the participants. Conclusion: In view of the several structural and individual barriers among gynaecologists identified in this study, gynaecologists obviously cannot be the only health professionals taking responsibility for coping with substance abuse among pregnant women. Strategies should be designed, e.g., to standardise the identification, counselling and referral process. Physicians should receive more support in improving their competences, and effective low-threshold treatment programmes for the women affected are required.</t>
  </si>
  <si>
    <t>J2: Gesundheitswesen; German Stiegler, A Bieber, L Karacay, K Wernz, F Batra, A; OP: Barrieren in der Thematisierung des Tabak- und Alkoholkonsums Schwangerer in der gynakologischen Praxis; ID: 70</t>
  </si>
  <si>
    <t>1439-4421</t>
  </si>
  <si>
    <t>Stiegler, A. Universitatsklinikum Tubingen, Universitatsklinik fur Psychiatrie und Psychotherapie, Tubingen. Bieber, L. Universitatsklinikum Tubingen, Universitatsklinik fur Psychiatrie und Psychotherapie, Tubingen. Karacay, K. Universitatsklinikum Tubingen, Universitatsklinik fur Psychiatrie und Psychotherapie, Tubingen. Wernz, F. Universitatsklinikum Tubingen, Universitatsklinik fur Psychiatrie und Psychotherapie, Tubingen. Batra, A. Universitatsklinikum Tubingen, Universitatsklinik fur Psychiatrie und Psychotherapie, Tubingen.</t>
  </si>
  <si>
    <t>http://ovidsp.ovid.com/ovidweb.cgi?T=JS&amp;CSC=Y&amp;NEWS=N&amp;PAGE=fulltext&amp;D=med8&amp;AN=28008576</t>
  </si>
  <si>
    <t>https://dx.doi.org/10.1055/s-0035-1548935</t>
  </si>
  <si>
    <t>MEDLINE; Ovid Technologies; [Barriers to Addressing Pregnant Patients' Cigarette and Alcohol Use: A Focus Group Study with Gynecologists]</t>
  </si>
  <si>
    <t>Stimmel,B.</t>
  </si>
  <si>
    <t>The development of a curriculum in drug dependency</t>
  </si>
  <si>
    <t>Behavioral Sciences;*Curriculum;Education, Medical;Humans;New York City;*Schools, Medical;Social Medicine;*Substance-Related Disorders;Time Factors</t>
  </si>
  <si>
    <t>J2: J Med Educ; Stimmel, B; ID: 1568</t>
  </si>
  <si>
    <t>http://ovidsp.ovid.com/ovidweb.cgi?T=JS&amp;CSC=Y&amp;NEWS=N&amp;PAGE=fulltext&amp;D=med1&amp;AN=4855584</t>
  </si>
  <si>
    <t>MEDLINE; Ovid Technologies; The development of a curriculum in drug dependency</t>
  </si>
  <si>
    <t>The role of a medical school in methadone maintenance</t>
  </si>
  <si>
    <t>Proceedings - National Conference on Methadone Treatment</t>
  </si>
  <si>
    <t>*Heroin Dependence/dt Drug Therapy];Humans;*Methadone/tu Therapeutic Use];New York City;Organization and Administration;*Rehabilitation Centers/ma Manpower];*Schools, Medical;Substance-Related Disorders;UC6VBE7V1Z (Methadone)</t>
  </si>
  <si>
    <t>J2: Proc Natl Conf Methadone Treat; Stimmel, B; ID: 1561</t>
  </si>
  <si>
    <t>0360-263X</t>
  </si>
  <si>
    <t>http://ovidsp.ovid.com/ovidweb.cgi?T=JS&amp;CSC=Y&amp;NEWS=N&amp;PAGE=fulltext&amp;D=med1&amp;AN=4808151</t>
  </si>
  <si>
    <t>MEDLINE; Ovid Technologies; The role of a medical school in methadone maintenance</t>
  </si>
  <si>
    <t>Stolz,D.;Langewitz,W.;Meyer,A.;Pierer,K.;Tschudi,P.;S'Ng C,T.;Strobel,W.;Perruchoud,A. P.;Fagerstrom,K.;Tamm,M.</t>
  </si>
  <si>
    <t>Enhanced didactic methods of smoking cessation training for medical students--a randomized study</t>
  </si>
  <si>
    <t>Computer-Assisted Instruction;*Counseling/ed Education];Counseling/mt Methods];Curriculum;*Education, Medical/mt Methods];Educational Measurement;Female;Humans;Internet;Male;Program Evaluation/mt Methods];Prospective Studies;Random Allocation;Role;Self-Assessment;*Smoking Cessation/mt Methods];*Smoking Prevention;*Students, Medical/px Psychology]</t>
  </si>
  <si>
    <t>BACKGROUND: It is essential that medical students are adequately trained in smoking cessation. A web-based tobacco abstinence training program might supplement or replace traditional didactic methods. METHODS: One-hundred and forty third-year medical students were all provided access to a self-directed web-based learning module on smoking cessation. Thereafter, they were randomly allocated to attend 1 of 4 education approaches: (a) web-based training using the same tool, (b) lecture, (c) role playing, and (d) supervised interaction with real patients. RESULTS: Success of the intervention was measured in an objective structured clinical examination. Scores were highest in Group 4 (35.9 +/- 8.7), followed by Groups 3 (35.7 +/- 6.5), 2 (33.5 +/- 9.4), and 1 (28.0 +/- 9.6; p = .007). Students in Groups 4 (60.7%) and 3 (57.7%) achieved adequate counseling skills more frequently than those in Groups 2 (34.8%) and 1 (30%; p = .043). There was no difference in the scores reflecting theoretical knowledge (p = .439). Self-assessment of cessation skills and students' satisfaction with training was significantly better in Groups 3 and 4 as compared with 1 and 2 (p &lt; .001 and p = .006, respectively). CONCLUSIONS: Role playing and interaction with real patients are equally efficient and both more powerful learning tools than web-based learning with or without a lecture.</t>
  </si>
  <si>
    <t>J2: Nicotine Tob Res; Stolz, Daiana Langewitz, Wolf Meyer, Anja Pierer, Karen Tschudi, Peter S'ng, Ching T Strobel, Werner Perruchoud, Andre P Fagerstrom, Karl Tamm, Michael; ID: 454</t>
  </si>
  <si>
    <t>Stolz, Daiana. Clinic of Pulmonary Medicine and Respiratory Cell Research, University Hospital Basel, Petersgraben 4, CH-4031 Basel, Switzerland. dstolz@uhbs.ch</t>
  </si>
  <si>
    <t>http://ovidsp.ovid.com/ovidweb.cgi?T=JS&amp;CSC=Y&amp;NEWS=N&amp;PAGE=fulltext&amp;D=med7&amp;AN=22090454</t>
  </si>
  <si>
    <t>https://dx.doi.org/10.1093/ntr/ntr186</t>
  </si>
  <si>
    <t>MEDLINE; Ovid Technologies; Enhanced didactic methods of smoking cessation training for medical students--a randomized study</t>
  </si>
  <si>
    <t>Stone,A.;Wamsley,M.;O'Sullivan,P.;Satterfield,J.;Satre,D. D.;Julian,K.</t>
  </si>
  <si>
    <t>Faculty development efforts to promote screening, brief intervention, and referral to treatment (SBIRT) in an internal medicine faculty-resident practice</t>
  </si>
  <si>
    <t>Clinical Competence;Cross-Sectional Studies;Curriculum;*Education, Medical, Graduate;*Faculty/px Psychology];*Health Knowledge, Attitudes, Practice;Humans;*Internal Medicine/ed Education];*Internship and Residency;Psychotherapy, Brief;Referral and Consultation;Substance-Related Disorders/di Diagnosis];Substance-Related Disorders/th Therapy];*Substance-Related Disorders</t>
  </si>
  <si>
    <t>BACKGROUND: Screening, brief intervention, and referral to treatment (SBIRT) is a practical means to address substance misuse in primary care. Important barriers to implementing SBIRT include adequacy of training and provider confidence as well as logistical hurdles and time constraints. A faculty development initiative aimed at increasing SBIRT knowledge and treatment of substance use disorders (SUDs) should lead to increased use of SBIRT by faculty and the residents they teach. This study examined how a faculty development program to promote SBIRT influenced faculty practice and resident teaching. METHODS: This was a cross-sectional study of faculty exposed to multiple SBIRT educational interventions over a 5-year period in an academic faculty-resident general medicine practice. Participants completed a brief online survey followed by a semistructured interview. Quantitative responses were examined descriptively. Qualitative questions were reviewed to identify key themes. RESULTS: Fifteen of 29 faculty (52%) completed the survey and 13 (45%) completed the interviews regarding faculty development interventions. Faculty thought that SBIRT was an important skill and had confidence in screening for substance use disorders, although confidence in making treatment referrals and prescribing pharmacotherapy were rated lower. Many faculty reported screening more frequently for SUDs after attending faculty development sessions. However, several reported that the training did not improve their SBIRT teaching to residents during clinic precepting sessions. To improve uptake of SBIRT, a majority of faculty recommended electronic health record (EHR) alerts. CONCLUSIONS: SBIRT is a highly valued set of skills, and training may enhance rates of screening for substance misuse. However, participants did not report a substantial change in SBIRT teaching as a result of faculty development. In the future, small, targeted faculty development sessions, potentially involving strategies for using the electronic health record (EHR), may be an effective way to enhance primary care SBIRT skills.</t>
  </si>
  <si>
    <t>J2: Subst Abus; Stone, Alanna Wamsley, Maria O'Sullivan, Patricia Satterfield, Jason Satre, Derek D Julian, Katherine; ID: 19</t>
  </si>
  <si>
    <t>Stone, Alanna. a Division of General Medicine and Geriatrics, Department of Medicine , Emory University , Atlanta , Georgia , USA. Wamsley, Maria. b Division of General Internal Medicine, Department of Medicine , University of California , San Francisco, San Francisco , California , USA. O'Sullivan, Patricia. b Division of General Internal Medicine, Department of Medicine , University of California , San Francisco, San Francisco , California , USA. Satterfield, Jason. b Division of General Internal Medicine, Department of Medicine , University of California , San Francisco, San Francisco , California , USA. Satre, Derek D. c Department of Psychiatry , University of California , San Francisco, San Francisco , California , USA. Satre, Derek D. d Division of Research , Kaiser Permanente Northern California Region , Oakland , California , USA. Julian, Katherine. b Division of General Internal Medicine, Department of Medicine , University of California , San Francisco, San Francisco , California , USA.</t>
  </si>
  <si>
    <t>http://ovidsp.ovid.com/ovidweb.cgi?T=JS&amp;CSC=Y&amp;NEWS=N&amp;PAGE=fulltext&amp;D=medl&amp;AN=27897470</t>
  </si>
  <si>
    <t>https://dx.doi.org/10.1080/08897077.2016.1264533</t>
  </si>
  <si>
    <t>MEDLINE; Ovid Technologies; Faculty development efforts to promote screening, brief intervention, and referral to treatment (SBIRT) in an internal medicine faculty-resident practice</t>
  </si>
  <si>
    <t>Stoner,S. A.;Mikko,A. T.;Carpenter,K. M.</t>
  </si>
  <si>
    <t>NIHMS622222; Web-based training for primary care providers on screening, brief intervention, and referral to treatment (SBIRT) for alcohol, tobacco, and other drugs</t>
  </si>
  <si>
    <t>*Education, Medical, Continuing/mt Methods];Humans;*Internet;Mass Screening;*Primary Health Care;*Referral and Consultation;Self Efficacy;*Substance-Related Disorders/di Diagnosis];Substance-Related Disorders/th Therapy]</t>
  </si>
  <si>
    <t>This project evaluated a Web-based multimedia training for primary care providers in screening, brief intervention, and referral to treatment (SBIRT) for unhealthy use of alcohol, tobacco, and other drugs. Physicians (n = 37), physician assistants (n = 35), and nurse practitioners (n = 20) were recruited nationally by email and randomly assigned to online access to either the multimedia training or comparable reading materials. At baseline, compared to non-physicians, physicians reported lower self-efficacy for counseling patients regarding substance use and doing so less frequently. All provider types in both conditions showed significant increases in SBIRT-related knowledge, self-efficacy, and clinical practices. Although the multimedia training was not superior to the reading materials with regard to these outcomes, the multimedia training was more likely to be completed and rated more favorably. Findings indicate that SBIRT training does not have to be elaborate to be effective. However, multimedia training may be more appealing to the target audiences.</t>
  </si>
  <si>
    <t>J2: J Subst Abuse Treat; Stoner, Susan A Mikko, A Tasha Carpenter, Kelly M S0740-5472(14)00119-6; ID: 242</t>
  </si>
  <si>
    <t>Stoner, Susan A. Talaria, Inc., Seattle, Washington; The Alcohol and Drug Abuse Institute, University of Washington, Seattle, Washington. Electronic address: sastoner@uw.edu. Mikko, A Tasha. Talaria, Inc., Seattle, Washington. Carpenter, Kelly M. Talaria, Inc., Seattle, Washington.</t>
  </si>
  <si>
    <t>http://ovidsp.ovid.com/ovidweb.cgi?T=JS&amp;CSC=Y&amp;NEWS=N&amp;PAGE=fulltext&amp;D=med8&amp;AN=25115136</t>
  </si>
  <si>
    <t>https://dx.doi.org/10.1016/j.jsat.2014.06.009</t>
  </si>
  <si>
    <t>MEDLINE; Ovid Technologies; Web-based training for primary care providers on screening, brief intervention, and referral to treatment (SBIRT) for alcohol, tobacco, and other drugs</t>
  </si>
  <si>
    <t>Storla,D. G.;Yimer,S.;Bjune,G. A.</t>
  </si>
  <si>
    <t>A systematic review of delay in the diagnosis and treatment of tuberculosis</t>
  </si>
  <si>
    <t>Diagnostic Errors;Female;HIV Infections/co Complications];Humans;Male;Observation;Patient Acceptance of Health Care;Risk Factors;Socioeconomic Factors;Time Factors;Tuberculosis, Pulmonary/co Complications];*Tuberculosis, Pulmonary/di Diagnosis];*Tuberculosis, Pulmonary/dt Drug Therapy]</t>
  </si>
  <si>
    <t>BACKGROUND: Early diagnosis and immediate initiation of treatment are essential for an effective tuberculosis (TB) control program. Delay in diagnosis is significant to both disease prognosis at the individual level and transmission within the community. Most transmissions occur between the onset of cough and initiation of treatment. METHODS: A systematic review of 58 studies addressing delay in diagnosis and treatment of TB was performed. We found different definitions of, for example, debut of symptoms, first appropriate health care provider, time to diagnosis, and start of treatment. Rather than excluding studies that failed to meet strict scientific criteria (like in a meta-analysis), we tried to extract the "solid findings" from all of them to arrive on a more global understanding of diagnostic delay in TB. RESULTS: The main factors associated with diagnostic delay included human immunodeficiency virus; coexistence of chronic cough and/or other lung diseases; negative sputum smear; extrapulmonary TB; rural residence; low access (geographical or sociopsychological barriers); initial visitation of a government low-level healthcare facility, private practitioner, or traditional healer; old age; poverty; female sex; alcoholism and substance abuse; history of immigration; low educational level; low awareness of TB; incomprehensive beliefs; self-treatment; and stigma. CONCLUSION: The core problem in delay of diagnosis and treatment seemed to be a vicious cycle of repeated visits at the same healthcare level, resulting in nonspecific antibiotic treatment and failure to access specialized TB services. Once generation of a specific diagnosis was in reach, TB treatment was initiated within a reasonable period of time. References: 57]</t>
  </si>
  <si>
    <t>J2: BMC Public Health; Storla, Dag Gundersen Yimer, Solomon Bjune, Gunnar Aksel; ID: 700</t>
  </si>
  <si>
    <t>Storla, Dag Gundersen. Department of International Health, Institute of General Practice and Community Medicine, University of Oslo, PO Box 1130 Blindern, N-0318 Oslo, Norway. dgstorla@online.no</t>
  </si>
  <si>
    <t>http://ovidsp.ovid.com/ovidweb.cgi?T=JS&amp;CSC=Y&amp;NEWS=N&amp;PAGE=fulltext&amp;D=med6&amp;AN=18194573</t>
  </si>
  <si>
    <t>https://dx.doi.org/10.1186/1471-2458-8-15</t>
  </si>
  <si>
    <t>MEDLINE; Ovid Technologies; A systematic review of delay in the diagnosis and treatment of tuberculosis</t>
  </si>
  <si>
    <t>Strand,E. B.;Brandt,J.;Rogers,K.;Fonken,L.;Chun,R.;Conlon,P.;Lord,L.</t>
  </si>
  <si>
    <t>Adverse Childhood Experiences among Veterinary Medical Students: A Multi-Site Study</t>
  </si>
  <si>
    <t>Journal of Veterinary Medical Education</t>
  </si>
  <si>
    <t>Adult;Child;*Child Abuse;*Education, Veterinary;Female;Humans;Male;Middle Aged;*Students, Medical/px Psychology];*Substance-Related Disorders;Surveys and Questionnaires;United States;Young Adult</t>
  </si>
  <si>
    <t>This research explores Adverse Childhood Experiences (ACEs) among veterinary medical students across six academic institutions of veterinary medicine, and their relationship with depression, stress, and desire to become a veterinarian. Between April 1, 2016, and May 23, 2016, 1,118 veterinary medical students in all 4 years of the curriculum (39% response rate) completed an anonymous web-based questionnaire about ACEs, depression using the Center for Epidemiological Studies Depression scale (CESD), stress using the Perceived Stress Scale (PSS), and the age at which they wanted to become a veterinarian. Sixty-one percent (677) of respondents reported having at least one ACE. The most prevalent ACE reported was living with a household member with a mental illness (31%). Students who had experienced four or more ACEs had an approximately threefold increase in signs of clinical depression and higher than average stress when compared to students who had experienced no ACEs. The number of ACEs showed an overall graded relationship to signs of clinical depression and higher than average stress. There was no statistically significant relationship between age at which a student wanted to become a veterinarian and exposure to ACEs. Veterinary students report being exposed to ACEs before age 18 at a rate similar to that of other population-based studies. These findings do not suggest that veterinary students enter the veterinary medical education system more at risk for poor mental health due to ACEs than the general population.</t>
  </si>
  <si>
    <t>J2: J Vet Med Educ; Strand, Elizabeth B Brandt, Jennifer Rogers, Kenita Fonken, Laurie Chun, Ruthanne Conlon, Peter Lord, Linda; ID: 72</t>
  </si>
  <si>
    <t>0748-321X</t>
  </si>
  <si>
    <t>http://ovidsp.ovid.com/ovidweb.cgi?T=JS&amp;CSC=Y&amp;NEWS=N&amp;PAGE=fulltext&amp;D=med8&amp;AN=28346049</t>
  </si>
  <si>
    <t>https://dx.doi.org/10.3138/jvme.0816-123R</t>
  </si>
  <si>
    <t>MEDLINE; Ovid Technologies; Adverse Childhood Experiences among Veterinary Medical Students: A Multi-Site Study</t>
  </si>
  <si>
    <t>Strang,J.;Hunt,C.;Gerada,C.;Marsden,J.</t>
  </si>
  <si>
    <t>What difference does training make? A randomized trial with waiting-list control of general practitioners seeking advanced training in drug misuse</t>
  </si>
  <si>
    <t>Adult;Attitude of Health Personnel;*Clinical Competence/st Standards];Education, Medical, Continuing/ec Economics];*Education, Medical, Continuing/st Standards];England;*Family Practice/st Standards];Female;Humans;Male;Middle Aged;Patient Satisfaction;*Physician's Role;Physician-Patient Relations/es Ethics];*Substance-Related Disorders/pc Prevention &amp; Control]</t>
  </si>
  <si>
    <t>AIM: To measure changes in knowledge, attitudes and clinical practice of general practitioners (GPs) enrolled to receive training in the management of drug misusers. DESIGN: Two-group randomized trial with training (T) and waiting-list (WL) control comparison conditions. SETTING AND PARTICIPANTS: A total of 112 GPs working in primary care practices in England. INTERVENTIONS: A 6-month, part-time, mixed-methods training course provided by the Royal College of General Practitioners. GPs randomized to the WL control received no special training or guidance during the study period. OUTCOME MEASURES AND ANALYSIS: Knowledge, therapeutic attitudes (commitment, role security, situational constraints and prescribing confidence) and clinical practice behaviour change (numbers of drug misusers seen, treated). Intention-to-treat/train (ITT) analysis, supplemented by treatment/training received (TR) analysis. FINDINGS: Training applicants had positive attitudes towards and were already involved in the care of drug misusers. Improvements in attitudes and behaviour were greatest among the T group, although only 'role security' and 'situational constraint' reached statistical significance (ITT). A subgroup in the WL group circumvented their allocation and received training, prompting supplementary analysis by TR. Overall, GPs who received training showed markedly greater improvements in knowledge, attitudinal and prescribing confidence measures and remained more actively involved in treating drug misusers than GPs who remained in the WL control group (TR analysis). CONCLUSIONS: GPs seeking special training for the care of drug misusers are both positively disposed to this patient population and clinically active. Benefits unambiguously attributable to the course were modest. While a TR effect was observed, strict adherence to ITT analysis failed to identify significant benefits observed with the training provided. Randomisation and waiting-list controls design are insufficient as a research method for training evaluation studies if ITT analysis is used exclusively.</t>
  </si>
  <si>
    <t>J2: Addiction; Strang, John Hunt, Claire Gerada, Clare Marsden, John; ID: 719</t>
  </si>
  <si>
    <t>Strang, John. National Addiction Centre, Institute of Psychiatry and the Maudsley, King's College London, London, UK. j.strang@iop.kcl.ac.uk</t>
  </si>
  <si>
    <t>http://ovidsp.ovid.com/ovidweb.cgi?T=JS&amp;CSC=Y&amp;NEWS=N&amp;PAGE=fulltext&amp;D=med5&amp;AN=17662105</t>
  </si>
  <si>
    <t>MEDLINE; Ovid Technologies; What difference does training make? A randomized trial with waiting-list control of general practitioners seeking advanced training in drug misuse</t>
  </si>
  <si>
    <t>Straussner,S. L.;Marcus,M. T.;Brown,R. L.;Madden,T.;Graham,A. V.;Schoener,E. P.</t>
  </si>
  <si>
    <t>Interdisciplinary service-learning substance abuse projects: processes and outcomes</t>
  </si>
  <si>
    <t>Adolescent;Adult;Alcoholism/pc Prevention &amp; Control];*Alcoholism/rh Rehabilitation];Child;*Cooperative Behavior;Curriculum;*Faculty;Faculty, Medical;Family Practice/ed Education];*Fellowships and Scholarships;Health Education;*Health Personnel/ed Education];Health Services Needs and Demand;Humans;*Interprofessional Relations;Mass Screening;Program Development;*Smoking Prevention;Substance-Related Disorders/pc Prevention &amp; Control];*Substance-Related Disorders/rh Rehabilitation]</t>
  </si>
  <si>
    <t>The purpose of this paper is to describe the development and implementation of community-based, service-learning field projects by 30 health professional faculty fellows of Project MAINSTREAM, a faculty development program on substance abuse. The fellows worked together for two years in 10 Interdisciplinary Faculty Learning Groups (IFLGs), which consisted of three academics of different disciplines. The ten projects are viewed within the context of service- learning and are based on a balance between the provision of services to the community and furthering the learning objectives of Project MAINSTREAM.</t>
  </si>
  <si>
    <t>J2: Subst Abus; Straussner, S Lala A Marcus, Marianne T Brown, Richard L Madden, Theresa Graham, Antonnette V Schoener, Eugene P; ID: 738</t>
  </si>
  <si>
    <t>Straussner, S Lala A. New York University School of Social Work, New York, NY 10003, USA. lala.straussner@nyu.edu</t>
  </si>
  <si>
    <t>http://ovidsp.ovid.com/ovidweb.cgi?T=JS&amp;CSC=Y&amp;NEWS=N&amp;PAGE=fulltext&amp;D=med5&amp;AN=16837407</t>
  </si>
  <si>
    <t>MEDLINE; Ovid Technologies; Interdisciplinary service-learning substance abuse projects: processes and outcomes</t>
  </si>
  <si>
    <t>Strecher,V. J.;O'Malley,M. S.;Villagra,V. G.;Campbell,E. E.;Gonzalez,J. J.;Irons,T. G.;Kenney,R. D.;Turner,R. C.;Rogers,C. S.;Lyles,M. F.</t>
  </si>
  <si>
    <t>Can residents be trained to counsel patients about quitting smoking? Results from a randomized trial</t>
  </si>
  <si>
    <t>*Counseling/ed Education];Evaluation Studies as Topic;Family Practice/ed Education];Humans;Internal Medicine/ed Education];*Internship and Residency;Pediatrics/ed Education];*Physician-Patient Relations;*Smoking Prevention;*Teaching/mt Methods]</t>
  </si>
  <si>
    <t>STUDY OBJECTIVE: To evaluate the effectiveness of two teaching interventions to increase residents' performance of smoking cessation counseling. DESIGN: Randomized controlled factorial trial. SETTING: Eleven residency programs, in internal medicine (six), family medicine (three), and pediatrics (two). Programs were located in three university medical centers and four university-affiliated community hospitals. PARTICIPANTS: 261 residents who saw ambulatory care patients at least one half-day per week, and 937 returning patients aged 17 to 75 years who reported having smoked five or more cigarettes in the preceding seven days. Of the 937, 843 were eligible for follow-up, and 659 (78%) were interviewed by phone at six months. INTERVENTIONS: Two interventions (tutorial and prompt) and four groups. The tutorial was a two-hour educational program in minimal-contact smoking cessation counseling for residents. The prompt was a chart-based reminder to assist physician counseling. One group of residents received the tutorial; one, the prompt; and one, both. A fourth group received no intervention. MEASUREMENT AND RESULTS: Six months after the intervention, physician self-reports showed that residents in the tutorial + prompt and tutorial-only groups had used more counseling techniques (1.5-1.9) than had prompt-only or control residents (0.9). Residents in all three intervention groups advised more patients to quit smoking (76-79%) than did control group residents (69%). The tutorial had more effect on counseling practices than did the prompt. Physician confidence, perceived preparedness, and perceived success followed similar patterns. Exit interviews with 937 patients corroborated physician self-reports of counseling practices. Six months later, self-reported and biochemically verified patient quitting rates for residents in the three intervention groups (self-reported: 5.3-8.2%; biochemically verified: 3.4-5.7%) were higher than those for residents in the control group (self-reported: 5.2%; biochemically verified: 1.7%), though the differences were not statistically significant. CONCLUSION: A simple and feasible educational intervention can increase residents' smoking cessation counseling.</t>
  </si>
  <si>
    <t>J2: J Gen Intern Med; Strecher, V J O'Malley, M S Villagra, V G Campbell, E E Gonzalez, J J Irons, T G Kenney, R D Turner, R C Rogers, C S Lyles, M F Comment in: J Gen Intern Med. 1991 Jan-Feb;6(1):94-5; PMID: 1999753; ID: 1323</t>
  </si>
  <si>
    <t>Strecher, V J. Department of Medicine, School of Medicine, University of North Carolina, Chapel Hill 27599-7400.</t>
  </si>
  <si>
    <t>http://ovidsp.ovid.com/ovidweb.cgi?T=JS&amp;CSC=Y&amp;NEWS=N&amp;PAGE=fulltext&amp;D=med3&amp;AN=1999752</t>
  </si>
  <si>
    <t>MEDLINE; Ovid Technologies; Can residents be trained to counsel patients about quitting smoking? Results from a randomized trial</t>
  </si>
  <si>
    <t>Striegel,H.;Simon,P.;Frisch,S.;Roecker,K.;Dietz,K.;Dickhuth,H. H.;Ulrich,R.</t>
  </si>
  <si>
    <t>Anabolic ergogenic substance users in fitness-sports: a distinct group supported by the health care system</t>
  </si>
  <si>
    <t>Adult;Alcohol Drinking/ep Epidemiology];Alcohol Drinking/pc Prevention &amp; Control];Anabolic Agents/ae Adverse Effects];Anabolic Agents/sd Supply &amp; Distribution];*Anabolic Agents;Body Mass Index;Central Nervous System Stimulants/ae Adverse Effects];*Central Nervous System Stimulants;Cocaine-Related Disorders/ep Epidemiology];Cocaine-Related Disorders/pc Prevention &amp; Control];Comorbidity;Cross-Sectional Studies;Doping in Sports/pc Prevention &amp; Control];*Doping in Sports/sn Statistics &amp; Numerical Data];Female;Fitness Centers/sn Statistics &amp; Numerical Data];Germany;Humans;Male;*National Health Programs/ut Utilization];Patient Education as Topic/sn Statistics &amp; Numerical Data];Physical Fitness;Referral and Consultation/ut Utilization];Smoking/ep Epidemiology];Smoking Prevention;Socioeconomic Factors;Statistics as Topic;Street Drugs/ae Adverse Effects];*Street Drugs;*Substance-Related Disorders/ep Epidemiology];Substance-Related Disorders/pc Prevention &amp; Control];Utilization Review/sn Statistics &amp; Numerical Data];0 (Anabolic Agents);0 (Central Nervous System Stimulants);0 (Street Drugs)</t>
  </si>
  <si>
    <t>BACKGROUND: Anabolic ergogenic substance use, in particular the use of anabolic androgenic steroids, is a serious problem in general. Nevertheless, it is subject to debate whether ergogenic substance users exhibit similar features as multiple substance users or whether they constitute a discrete group. METHODS: One thousand eight hundred and two standardized, anonymous questionnaires were distributed among visitors of 113 fitness centers. Questions were asked concerning biometric parameters, social indicators, physical fitness, use of natural stimulants, general illicit drugs and ergogenic substances. With logistic regression analysis, multivariate odds ratios were estimated to investigate the association of anabolic ergogenic substance or general illicit drug use with other parameters. RESULTS: 13.5% of all participants confessed to having used anabolic ergogenic substances at some point in time. Anabolic ergogenic substance use was positively related with cocaine use, training years, training frequency, negatively related to the level of education, alcohol intake and less frequently used by Germans than by non-Germans. General illicit drug use, however, was positively related with alcohol intake, smoking and a university degree and negatively with having children. In addition, anabolic ergogenic substance use was significantly related with the use of general illicit drugs based on the strong relation with the use of cocaine, which is an ergogenic substance itself. The health care system supplies 48.1% of the anaolic ergogenic substance users with their substances and 32.1% are even monitored by a physician. CONCLUSIONS: The results of this study strengthen the notion that anabolic ergogenic substance users constitute a specific body-oriented substance user group. Uncommon for general illicit drug use, the health care system is a major sponsor of anabolic ergogenic substance users. These findings suggest the need for alternative approaches for successful prevention and intervention programs.</t>
  </si>
  <si>
    <t>J2: Drug Alcohol Depend; Striegel, Heiko Simon, Perikles Frisch, Steffen Roecker, Kai Dietz, Klaus Dickhuth, Hans-Hermann Ulrich, Rolf; ID: 829</t>
  </si>
  <si>
    <t>Striegel, Heiko. Department Sports Medicine, University of Tuebingen, Silchertrasse 5, 72076 Tuebingen, Germany. heiko.striegel@uni-tuebingen.de</t>
  </si>
  <si>
    <t>http://ovidsp.ovid.com/ovidweb.cgi?T=JS&amp;CSC=Y&amp;NEWS=N&amp;PAGE=fulltext&amp;D=med5&amp;AN=16009506</t>
  </si>
  <si>
    <t>MEDLINE; Ovid Technologies; Anabolic ergogenic substance users in fitness-sports: a distinct group supported by the health care system</t>
  </si>
  <si>
    <t>Strobbe,S.;Crowley,M.</t>
  </si>
  <si>
    <t>Substance Use Among Nurses and Nursing Students: A Joint Position Statement of the Emergency Nurses Association and the International Nurses Society on Addictions</t>
  </si>
  <si>
    <t>Apr/Jun</t>
  </si>
  <si>
    <t>Adolescent;Female;Humans;Male;*Nurses/px Psychology];Organizational Policy;Societies, Nursing;*Students, Nursing/px Psychology];*Substance Abuse Detection;*Substance-Related Disorders/ep Epidemiology];Substance-Related Disorders/nu Nursing];Substance-Related Disorders/pc Prevention &amp; Control];Substance-Related Disorders/rh Rehabilitation];Young Adult</t>
  </si>
  <si>
    <t>Alcohol and other substance use by nurses potentially places patients, the public, and nurses themselves at risk for serious injury or death. Nursing students are also at risk for problems related to substance use. When viewed and treated as a chronic medical illness, treatment outcomes for substance use disorders are comparable with those of other diseases and can result in lasting benefits. Professional monitoring programs that employ an alternative-to-discipline approach have been shown to be effective in the treatment of health professionals with substance use disorders and are considered a standard for recovery, with high rates of completion and return to practice. It is the position of the Emergency Nurses Association and the International Nurses Society on Addictions that 1. health care facilities provide education to nurses and other employees regarding alcohol and other drug use and establish policies, procedures, and practices to promote safe, supportive, drug-free workplaces; 2. health care facilities and schools of nursing adopt alternative-to-discipline approaches to treating nurses and nursing students with substance use disorders, with stated goals of retention, rehabilitation, and reentry into safe, professional practice; 3. drug diversion, in the context of personal use, is viewed primarily as a symptom of a serious and treatable disease and not exclusively as a crime; and 4. nurses and nursing students are aware of the risks associated with substance use, impaired practice, and drug diversion and have the responsibility and means to report suspected or actual concerns.</t>
  </si>
  <si>
    <t>J2: J Addict Nurs; Strobbe, Stephen Crowley, Melanie; ID: 56</t>
  </si>
  <si>
    <t>Strobbe, Stephen. Stephen Strobbe, PhD, RN, PMHCNS-BC, CARN-AP, FIAAN, University of Michigan School of Nursing, Ann Arbor. Melanie Crowley, MSN, RN, CEN, Emergency Nurses Association.</t>
  </si>
  <si>
    <t>http://ovidsp.ovid.com/ovidweb.cgi?T=JS&amp;CSC=Y&amp;NEWS=N&amp;PAGE=fulltext&amp;D=med8&amp;AN=28463852</t>
  </si>
  <si>
    <t>https://dx.doi.org/10.1097/JAN.0000000000000150</t>
  </si>
  <si>
    <t>MEDLINE; Ovid Technologies; Substance Use Among Nurses and Nursing Students: A Joint Position Statement of the Emergency Nurses Association and the International Nurses Society on Addictions</t>
  </si>
  <si>
    <t>Strobel,L.;Schneider,N. K.;Krampe,H.;Beisbarth,T.;Pukrop,T.;Anders,S.;West,R.;Aveyard,P.;Raupach,T.</t>
  </si>
  <si>
    <t>German medical students lack knowledge of how to treat smoking and problem drinking</t>
  </si>
  <si>
    <t>*Alcohol-Related Disorders/pc Prevention &amp; Control];*Clinical Competence/st Standards];Cross-Sectional Studies;Curriculum/st Standards];*Education, Medical, Undergraduate/st Standards];Germany;Humans;*Psychiatry/ed Education];*Smoking Prevention;*Students, Medical/px Psychology];Teaching/st Standards]</t>
  </si>
  <si>
    <t>AIM: To assess the extent of undergraduate medical training on alcohol use disorders (AUD) and smoking, and medical students' perceived knowledge regarding consequences of, and treatment options for, these disorders compared with other chronic conditions. DESIGN: Cross-sectional survey assessing teaching and perceived knowledge of health consequences and treatment options for AUD and smoking compared with diabetes and hypertension. SETTING: Medical schools in Germany. PARTICIPANTS: Twenty-five of 36 medical school offices (response rate 69.4%) and 19 526 of 39 358 students from 27 medical schools (response rate 49.6%). MEASUREMENT: Medical schools were asked to provide information on curricular coverage of the four conditions. Students reported their year of study and perceived knowledge about the consequences of all four disorders and perceived knowledge of treatment options. FINDINGS: Courses time-tabled approximately half as many teaching hours on AUD and tobacco as on diabetes or hypertension. Final-year students reported high levels of knowledge of consequences of all four conditions and how to treat diabetes and hypertension, but only 20% believed they knew how to treat alcohol use disorders or smoking. CONCLUSIONS: Curriculum coverage in German medical schools of alcohol use disorders and smoking is half that of diabetes and hypertension, and in the final year of their undergraduate training most students reported inadequate knowledge of how to intervene to address them.</t>
  </si>
  <si>
    <t>J2: Addiction; Strobel, Lisa Schneider, Nick K Krampe, Henning Beisbarth, Tim Pukrop, Tobias Anders, Sven West, Robert Aveyard, Paul Raupach, Tobias; ID: 400</t>
  </si>
  <si>
    <t>Strobel, Lisa. Department of Cardiology and Pneumology, University Hospital Gottingen, Gottingen, Germany, German.</t>
  </si>
  <si>
    <t>http://ovidsp.ovid.com/ovidweb.cgi?T=JS&amp;CSC=Y&amp;NEWS=N&amp;PAGE=fulltext&amp;D=med7&amp;AN=22551065</t>
  </si>
  <si>
    <t>https://dx.doi.org/10.1111/j.1360-0443.2012.03907.x</t>
  </si>
  <si>
    <t>MEDLINE; Ovid Technologies; German medical students lack knowledge of how to treat smoking and problem drinking</t>
  </si>
  <si>
    <t>Sugimoto,Y.</t>
  </si>
  <si>
    <t>Opioid rotation in the home medical care service]</t>
  </si>
  <si>
    <t>Gan to Kagaku Ryoho Japanese Journal of Cancer &amp; Chemotherapy]</t>
  </si>
  <si>
    <t>36 Suppl 1</t>
  </si>
  <si>
    <t>*Analgesics, Opioid/ad Administration &amp; Dosage];Analgesics, Opioid/tu Therapeutic Use];*Home Care Services;Humans;*Morphine/ad Administration &amp; Dosage];Morphine/tu Therapeutic Use];Neoplasms/co Complications];*Neoplasms/th Therapy];*Pain/dt Drug Therapy];Pain/et Etiology];Patient Care Team;Terminal Care;0 (Analgesics, Opioid);76I7G6D29C (Morphine)</t>
  </si>
  <si>
    <t>Pain relief is a quite important subject for maintaining the home medical care of patients with terminal cancer. Therefore, the opioid rotation should be made in conjunction with an individual medical condition, which is of growing importance in a proper pain management. We considered what opioid rotation is desirable in the home medical care service by analyzing the cases at our clinic. The most important thing in the opioid rotation at home is to perform a rotation before exacerbation of pain becomes apparent. For this purpose, morphine hydrochloride injection is thought to be the best dosage form because it has advantages of: (1) quickness in varying the amount, (2) immediate rescue efficacy, and (3) usefulness in case of ingestion.</t>
  </si>
  <si>
    <t>J2: Gan To Kagaku Ryoho; Japanese Sugimoto, Yuka; ID: 581</t>
  </si>
  <si>
    <t>0385-0684</t>
  </si>
  <si>
    <t>Sugimoto, Yuka. Sugimoto Home Care Clinic.</t>
  </si>
  <si>
    <t>http://ovidsp.ovid.com/ovidweb.cgi?T=JS&amp;CSC=Y&amp;NEWS=N&amp;PAGE=fulltext&amp;D=med6&amp;AN=20443412</t>
  </si>
  <si>
    <t>MEDLINE; Ovid Technologies; [Opioid rotation in the home medical care service]</t>
  </si>
  <si>
    <t>Sullivan,L. E.;Tetrault,J.;Bangalore,D.;Fiellin,D. A.</t>
  </si>
  <si>
    <t>Training HIV physicians to prescribe buprenorphine for opioid dependence</t>
  </si>
  <si>
    <t>Adult;Aged;Antiretroviral Therapy, Highly Active/ae Adverse Effects];Buprenorphine/ae Adverse Effects];*Buprenorphine/tu Therapeutic Use];Comorbidity;Cross-Sectional Studies;Curriculum;Drug Interactions;Drug Prescriptions;Female;*HIV Infections/ep Epidemiology];HIV Infections/rh Rehabilitation];Humans;*Inservice Training;Male;Middle Aged;Narcotics/ae Adverse Effects];*Narcotics/tu Therapeutic Use];New York;*Opioid-Related Disorders/ep Epidemiology];Opioid-Related Disorders/rh Rehabilitation];Specialization;0 (Narcotics);40D3SCR4GZ (Buprenorphine)</t>
  </si>
  <si>
    <t>Few HIV physicians are trained to provide buprenorphine treatment. We conducted a cross-sectional survey to assess the impact of an eight-hour course on the treatment of opioid dependence on HIV physicians' preparedness to prescribe buprenorphine. 113 of 257 trained physicians (44%) provided HIV care. Post-course, the majority of both HIV physicians and non-HIV physicians (66% vs. 67%, P = .8) planned to pursue a registration to prescribe buprenorphine. The most common reason for not planning to do so was lack of experience (9% vs. 15%, P = .19). 52 of the 113 (46%) HIV physicians had concerns about prescribing buprenorphine. 30 of the 52 (58%) indicated that interactions between buprenorphine and HAART was their primary concern. Following training, most physicians feel prepared and plan to obtain a registration to prescribe buprenorphine. HIV physicians' concerns regarding interactions between buprenorphine and HAART need to be addressed in future training efforts.</t>
  </si>
  <si>
    <t>J2: Subst Abus; Sullivan, Lynn E Tetrault, Jeanette Bangalore, Deepa Fiellin, David A; ID: 747</t>
  </si>
  <si>
    <t>Sullivan, Lynn E. Department of Internal Medicine, Yale University School of Medicine, New Haven, CT 6520-8025, USA. lynn.sullivan@yale.edu</t>
  </si>
  <si>
    <t>http://ovidsp.ovid.com/ovidweb.cgi?T=JS&amp;CSC=Y&amp;NEWS=N&amp;PAGE=fulltext&amp;D=med5&amp;AN=17135176</t>
  </si>
  <si>
    <t>MEDLINE; Ovid Technologies; Training HIV physicians to prescribe buprenorphine for opioid dependence</t>
  </si>
  <si>
    <t>Sullivan,M. D.;Gaster,B.;Russo,J.;Bowlby,L.;Rocco,N.;Sinex,N.;Livovich,J.;Jasti,H.;Arnold,R.</t>
  </si>
  <si>
    <t>Randomized trial of web-based training about opioid therapy for chronic pain</t>
  </si>
  <si>
    <t>*Analgesics, Opioid/tu Therapeutic Use];Attitude to Health;Chi-Square Distribution;Chronic Disease/dt Drug Therapy];*Clinical Trials as Topic/mt Methods];Humans;*Internal Medicine/ed Education];*Internet;*Internship and Residency;Outcome Assessment (Health Care)/mt Methods];*Pain/dt Drug Therapy];0 (Analgesics, Opioid)</t>
  </si>
  <si>
    <t>OBJECTIVES: The treatment of chronic noncancer pain with chronic opioid therapy has increased rapidly, but medicine residents receive little training concerning this therapy. Therefore we conducted a trial to determine if an interactive web-based training focusing on shared decision-making for chronic opioid therapy improves knowledge and competence compared with exposure to practice guidelines. METHODS: A randomized controlled educational trial of 213 internal medicine residents from 5 medicine residencies participating in the Residency Review Committee for Internal Medicine's Educational Innovations Project comparing access to interactive web-based training (COPE: Collaborative Opioid Prescribing Education) or access to the Veterans Affairs/Department of Defense Clinical Practice Guideline for the Management of Opioid Therapy for Chronic Pain. Pretraining and immediate posttraining knowledge test; pretraining and 60-day posttraining self-reported competence, satisfaction, patient-centeredness, and selected clinical behaviors were analyzed using t tests, Pearson chi, and Generalized Estimating Equations. RESULTS: The web training group had greater increase in knowledge with training (chi(2)=72.06, P&lt;0.00001) and greater self-rated competence in the management of outpatients with chronic pain (chi(2)=6.48, P=0.01), and specifically in the use of opioids in this management (chi(2)=5.17, P=0.02). Residents in both groups reported more satisfaction with managing chronic pain care after training (chi(2)=52.72, P&lt;0.0001), though the web training was superior on subscales concerning training adequacy (chi(2)=4.94, P=0.026) and relationship quality (chi(2)=5.79, P=0.016). CONCLUSIONS: Exposure to an interactive web-based training focused on shared decision-making and communication skills was more effective than exposure to compatible practice guidelines for knowledge and self-reported competence in the management of chronic noncancer pain.</t>
  </si>
  <si>
    <t>J2: Clin J Pain; Sullivan, Mark D Gaster, Barak Russo, Joan Bowlby, Lynn Rocco, Nicole Sinex, Noelle Livovich, Jeffrey Jasti, Harish Arnold, Robert Comment in: Curr Pain Headache Rep. 2011 Apr;15(2):88-90; PMID: 21271307; ID: 563</t>
  </si>
  <si>
    <t>1536-5409</t>
  </si>
  <si>
    <t>Sullivan, Mark D. Department of Psychiatry &amp; Behavioral Sciences, University of Washington, Seattle, WA 98195, USA. sullimar@u.washington.edu</t>
  </si>
  <si>
    <t>http://ovidsp.ovid.com/ovidweb.cgi?T=JS&amp;CSC=Y&amp;NEWS=N&amp;PAGE=fulltext&amp;D=med6&amp;AN=20551726</t>
  </si>
  <si>
    <t>https://dx.doi.org/10.1097/AJP.0b013e3181dc7adc</t>
  </si>
  <si>
    <t>MEDLINE; Ovid Technologies; Randomized trial of web-based training about opioid therapy for chronic pain</t>
  </si>
  <si>
    <t>Sunder,P. K.;Grady,J. J.;Wu,Z. H.</t>
  </si>
  <si>
    <t>Neighborhood and individual factors in marijuana and other illicit drug use in a sample of low-income women</t>
  </si>
  <si>
    <t>Adolescent;Adult;Female;Humans;*Marijuana Abuse/ep Epidemiology];Psychology;*Residence Characteristics;Risk Factors;Rural Population/sn Statistics &amp; Numerical Data];*Social Environment;Socioeconomic Factors;*Street Drugs;0 (Street Drugs)</t>
  </si>
  <si>
    <t>Few studies have systematically evaluated whether contextual variables differ in their ability to explain the use of different drugs in the same sample. Our objective was to examine correlates of use for different illicit drugs at the individual and neighborhood level in a tri-ethnic sample of low-income women, an underrepresented sample in drug research. Women 18-31 were recruited from a low-cost family planning clinic in southeast Texas from December 2001 to May 2003. Neighborhood level indicators of disadvantage, family structure, and nativity status from U.S. Census 2000 were linked with individual survey data. Multilevel logistic regression was used to examine the effect of individual and neighborhood level measures on lifetime use of marijuana only and of other illicit drugs in 594 women. Only individual level variables (younger age, non-Hispanic White ethnicity, not being married, greater peer acceptance of substance use) increased odds of exclusive marijuana use, controlling for neighborhood level factors. However, both neighborhood and individual level variables significantly predicted other illicit drug use. Residence in less disadvantaged neighborhoods, non-Hispanic White ethnicity, higher levels of education, greater acceptance of substance use by peers, and a larger number of perceived neighborhood problems increased odds of illicit drug use. Use of other illicit drugs with or without marijuana may be more closely tied to area level factors whereas factors driving exclusive marijuana use may not rely on localized structures to the same extent. Thus, community-level interventions may need to customize their approaches according to the type of drug use targeted. The implication of using neighborhood level variables in substance use research is also discussed.</t>
  </si>
  <si>
    <t>J2: Am J Community Psychol; Sunder, Punita K Grady, James J Wu, Z Helen; ID: 709</t>
  </si>
  <si>
    <t>0091-0562</t>
  </si>
  <si>
    <t>Sunder, Punita K. Baylor College of Medicine, One Baylor Plaza, Houston, TX 77030, USA. sunder@bcm.tmc.edu</t>
  </si>
  <si>
    <t>http://ovidsp.ovid.com/ovidweb.cgi?T=JS&amp;CSC=Y&amp;NEWS=N&amp;PAGE=fulltext&amp;D=med5&amp;AN=17924186</t>
  </si>
  <si>
    <t>MEDLINE; Ovid Technologies; Neighborhood and individual factors in marijuana and other illicit drug use in a sample of low-income women</t>
  </si>
  <si>
    <t>Sutton,J. Y.</t>
  </si>
  <si>
    <t>Professional training on alcoholism. Preface</t>
  </si>
  <si>
    <t>*Alcoholism/rh Rehabilitation];*Curriculum;*Education, Medical;Female;*Health Occupations/ed Education];Humans;Male;*Research;United States</t>
  </si>
  <si>
    <t>J2: Ann N Y Acad Sci; Sutton, J Y; ID: 1596</t>
  </si>
  <si>
    <t>http://ovidsp.ovid.com/ovidweb.cgi?T=JS&amp;CSC=Y&amp;NEWS=N&amp;PAGE=fulltext&amp;D=med1&amp;AN=5282653</t>
  </si>
  <si>
    <t>MEDLINE; Ovid Technologies; Professional training on alcoholism. Preface</t>
  </si>
  <si>
    <t>Site visits to six active alcoholism programs in the New York City Area</t>
  </si>
  <si>
    <t>*Alcoholism/rh Rehabilitation];Health Facilities/sd Supply &amp; Distribution];*Hospital Departments;Hospitals, General;Hospitals, Psychiatric;Hospitals, Teaching;Humans;New York City;*Outpatient Clinics, Hospital;*Rehabilitation Centers;Schools, Medical</t>
  </si>
  <si>
    <t>J2: Ann N Y Acad Sci; Sutton, J Y; ID: 1603</t>
  </si>
  <si>
    <t>http://ovidsp.ovid.com/ovidweb.cgi?T=JS&amp;CSC=Y&amp;NEWS=N&amp;PAGE=fulltext&amp;D=med1&amp;AN=5282645</t>
  </si>
  <si>
    <t>MEDLINE; Ovid Technologies; Site visits to six active alcoholism programs in the New York City Area</t>
  </si>
  <si>
    <t>Sutton,M. J.;Payne,T. J.;Gaughf,N. W.;Crews,K. M.;Elci,O. U.;Peck,S. B.;Schweinfurth,J.</t>
  </si>
  <si>
    <t>Tobacco dependence treatment: influence of training experiences on clinical activities among otolaryngologists</t>
  </si>
  <si>
    <t>Laryngoscope</t>
  </si>
  <si>
    <t>Adult;Aged;Aged, 80 and over;*Clinical Competence;*Delivery of Health Care/st Standards];*Education, Medical, Continuing/mt Methods];Female;Humans;Male;Middle Aged;*Otolaryngology/ed Education];Surveys and Questionnaires;*Tobacco Use Disorder/th Therapy];United States;Young Adult</t>
  </si>
  <si>
    <t>OBJECTIVES/HYPOTHESIS: Although one in five U.S. adults continue to smoke, healthcare providers often fail to provide basic, effective interventions. This is particularly true for physician specialists. This study sought to investigate perceived role, self-efficacy, practice behaviors, and attitudes among otolaryngologists as they relate to the delivery of tobacco treatment services. STUDY DESIGN: This study involved a single administration of a survey questionnaire to current members of the American Academy of Otolaryngology Head and Neck Surgery (AAO-HNS). METHODS: A questionnaire was mailed up to three times to active members. RESULTS: Survey response rate was 39% (N = 2127). Based on an evaluation of treatment factors categorized according to the National Cancer Institute's 5A's approach, trained providers generally rated themselves consistently higher than untrained providers across areas of clinical activity. Minimal differences were noted for Ask and Advise, moderate for Assess, and the greatest for Assist and Arrange. Trained providers also indicated more positive attitudes towards treatment. CONCLUSIONS: While the level of performance was reasonable for otolaryngologists relative to other specialists in the published literature, overall tobacco treatment activity remains unacceptably low. This study suggests the positive impact of training and the potential value of making such experiences widely available.</t>
  </si>
  <si>
    <t>J2: Laryngoscope; Sutton, Monica J Payne, Thomas J Gaughf, Natalie W Crews, Karen M Elci, Okan U Peck, Shannon B Schweinfurth, John; ID: 311</t>
  </si>
  <si>
    <t>1531-4995</t>
  </si>
  <si>
    <t>Sutton, Monica J. Department of Pediatrics, University of Mississippi Medical Center, Jackson, Mississippi, U.S.A.</t>
  </si>
  <si>
    <t>http://ovidsp.ovid.com/ovidweb.cgi?T=JS&amp;CSC=Y&amp;NEWS=N&amp;PAGE=fulltext&amp;D=med7&amp;AN=24122575</t>
  </si>
  <si>
    <t>https://dx.doi.org/10.1002/lary.23513</t>
  </si>
  <si>
    <t>MEDLINE; Ovid Technologies; Tobacco dependence treatment: influence of training experiences on clinical activities among otolaryngologists</t>
  </si>
  <si>
    <t>Suydam,L.;Garcia,A.</t>
  </si>
  <si>
    <t>School nurses connect schools and parents from home to homeroom to prevent teen medicine abuse</t>
  </si>
  <si>
    <t>NASN school nurse</t>
  </si>
  <si>
    <t>Adolescent;*Health Education;Humans;*Nonprescription Drugs;Parents;*Prescription Drugs;Professional-Family Relations;*School Nursing;*Substance-Related Disorders/pc Prevention &amp; Control];United States;0 (Nonprescription Drugs);0 (Prescription Drugs)</t>
  </si>
  <si>
    <t>J2: NASN Sch Nurse; Suydam, Linda Garcia, Amy; ID: 568</t>
  </si>
  <si>
    <t>1942-602X</t>
  </si>
  <si>
    <t>Suydam, Linda. Consumer Healthcare Products Association, Washington, DC, USA.</t>
  </si>
  <si>
    <t>http://ovidsp.ovid.com/ovidweb.cgi?T=JS&amp;CSC=Y&amp;NEWS=N&amp;PAGE=fulltext&amp;D=med6&amp;AN=20645589</t>
  </si>
  <si>
    <t>MEDLINE; Ovid Technologies; School nurses connect schools and parents from home to homeroom to prevent teen medicine abuse</t>
  </si>
  <si>
    <t>Suzuki,J.;Connery,H. S.;Ellison,T. V.;Renner,J. A.</t>
  </si>
  <si>
    <t>NIHMS674220; Preliminary survey of office-based opioid treatment practices and attitudes among psychiatrists never receiving buprenorphine training to those who received training during residency</t>
  </si>
  <si>
    <t>Adult;Ambulatory Care;*Attitude of Health Personnel;*Buprenorphine/tu Therapeutic Use];Female;Humans;*Internship and Residency/sn Statistics &amp; Numerical Data];Male;*Narcotic Antagonists/tu Therapeutic Use];*Opiate Substitution Treatment;*Opioid-Related Disorders/dt Drug Therapy];*Practice Patterns, Physicians'/sn Statistics &amp; Numerical Data];Psychiatry/ed Education];*Psychiatry/sn Statistics &amp; Numerical Data];0 (Narcotic Antagonists);40D3SCR4GZ (Buprenorphine)</t>
  </si>
  <si>
    <t>OBJECTIVE: To compare the characteristics, attitudes, and current prescribing practices of recently graduating psychiatrists who completed buprenorphine training during residency to those who never completed any training. METHODS: A total of 359 psychiatrists completing residency training between 2008 and 2011 were recruited to complete an on-line survey. RESULTS: Responses from 93 psychiatrists were included for a response rate of 25.9%. Psychiatrists completing any buprenorphine training during residency were more likely to be male and report more favorable views of OBOT with buprenorphine than compared to those who never completed any training. Twenty (38.5%) of those psychiatrists who completed training during residency reported the current prescribing of buprenorphine. CONCLUSIONS: Completion of buprenorphine training during residency may be a factor in shaping future attitudes towards OBOT and buprenorphine prescribing practices. Further research is needed to clarify the impact of buprenorphine training during residency. SCIENTIFIC SIGNIFICANCE: Buprenorphine training during residency training may be a contributing factor in shaping future physician attitudes towards office-based opioid treatment and buprenorphine prescribing practices.</t>
  </si>
  <si>
    <t>J2: Am J Addict; Suzuki, Joji Connery, Hilary S Ellison, Tatyana V Renner, John A; ID: 240</t>
  </si>
  <si>
    <t>Suzuki, Joji. Brigham and Women's Hospital, Boston, Massachusetts; Harvard Medical School, Boston, Massachusetts.</t>
  </si>
  <si>
    <t>http://ovidsp.ovid.com/ovidweb.cgi?T=JS&amp;CSC=Y&amp;NEWS=N&amp;PAGE=fulltext&amp;D=med8&amp;AN=25065457</t>
  </si>
  <si>
    <t>https://dx.doi.org/10.1111/j.1521-0391.2014.12143.x</t>
  </si>
  <si>
    <t>MEDLINE; Ovid Technologies; Preliminary survey of office-based opioid treatment practices and attitudes among psychiatrists never receiving buprenorphine training to those who received training during residency</t>
  </si>
  <si>
    <t>Suzuki,J.;Ellison,T. V.;Connery,H. S.;Surber,C.;Renner,J. A.</t>
  </si>
  <si>
    <t>Training in Buprenorphine and Office-Based Opioid Treatment: A Survey of Psychiatry Residency Training Programs</t>
  </si>
  <si>
    <t>Ambulatory Care;*Analgesics, Opioid/tu Therapeutic Use];*Buprenorphine/tu Therapeutic Use];*Curriculum;Education, Medical, Graduate;Humans;Internship and Residency;*Opiate Substitution Treatment/mt Methods];*Opioid-Related Disorders/rh Rehabilitation];*Psychiatry/ed Education];Surveys and Questionnaires;United States;0 (Analgesics, Opioid);40D3SCR4GZ (Buprenorphine)</t>
  </si>
  <si>
    <t>OBJECTIVE: Psychiatrists are well suited to provide office-based opioid treatment (OBOT), but the extent to which psychiatry residents are exposed to buprenorphine training and OBOT during residency remains unknown. METHODS: Psychiatry residency programs in the USA were recruited to complete a survey. RESULTS: Forty-one programs were included in the analysis for a response rate of 23.7 %. In total, 75.6 % of the programs currently offered buprenorphine waiver training and 78.1 % provided opportunities to treat opioid dependence with buprenorphine under supervision. Programs generally not only reported favorable beliefs about OBOT and buprenorphine waiver training but also reported numerous barriers. CONCLUSIONS: The majority of psychiatry residency training programs responding to this survey offer buprenorphine waiver training and opportunities to treat opioid-dependent patients, but numerous barriers continue to be cited. More research is needed to understand the role residency training plays in impacting future practice of psychiatrists.</t>
  </si>
  <si>
    <t>J2: Acad Psychiatry; Suzuki, Joji Ellison, Tatyana V Connery, Hilary S Surber, Charles Renner, John A; ID: 126</t>
  </si>
  <si>
    <t>Suzuki, Joji. Brigham and Women's Hospital, Boston, MA, USA. jsuzuki2@partners.org. Ellison, Tatyana V. Kaiser Permanente Southern California, Ontario, CA, USA. Connery, Hilary S. McLean Hospital, Belmont, MA, USA. Surber, Charles. University of Michigan, Ann Arbor, MI, USA. Renner, John A. VA Boston HealthCare System, Boston, MA, USA.</t>
  </si>
  <si>
    <t>http://ovidsp.ovid.com/ovidweb.cgi?T=JS&amp;CSC=Y&amp;NEWS=N&amp;PAGE=fulltext&amp;D=med8&amp;AN=26017618</t>
  </si>
  <si>
    <t>https://dx.doi.org/10.1007/s40596-015-0313-1</t>
  </si>
  <si>
    <t>MEDLINE; Ovid Technologies; Training in Buprenorphine and Office-Based Opioid Treatment: A Survey of Psychiatry Residency Training Programs</t>
  </si>
  <si>
    <t>Suzuki,J.;Gitlin,D. F.;Chang,G.</t>
  </si>
  <si>
    <t>Survey of psychosomatic medicine fellowships: training in substance use disorders</t>
  </si>
  <si>
    <t>Psychosomatics</t>
  </si>
  <si>
    <t>Data Collection;*Fellowships and Scholarships/sn Statistics &amp; Numerical Data];Humans;*Psychosomatic Medicine/ed Education];*Substance-Related Disorders;United States</t>
  </si>
  <si>
    <t>J2: Psychosomatics; Suzuki, Joji Gitlin, David F Chang, Grace; ID: 501</t>
  </si>
  <si>
    <t>1545-7206</t>
  </si>
  <si>
    <t>http://ovidsp.ovid.com/ovidweb.cgi?T=JS&amp;CSC=Y&amp;NEWS=N&amp;PAGE=fulltext&amp;D=med7&amp;AN=21565606</t>
  </si>
  <si>
    <t>https://dx.doi.org/10.1016/j.psym.2011.01.005</t>
  </si>
  <si>
    <t>MEDLINE; Ovid Technologies; Survey of psychosomatic medicine fellowships: training in substance use disorders</t>
  </si>
  <si>
    <t>Swarna Nantha,Y.</t>
  </si>
  <si>
    <t>Addiction to sugar and its link to health morbidity: a primer for newer primary care and public health initiatives in Malaysia</t>
  </si>
  <si>
    <t>Journal of Primary Care &amp; Community Health</t>
  </si>
  <si>
    <t>Behavior, Addictive/th Therapy];*Behavior, Addictive;Cardiovascular Diseases/et Etiology];Cardiovascular Diseases/pc Prevention &amp; Control];Diabetes Mellitus, Type 2/et Etiology];Diabetes Mellitus, Type 2/pc Prevention &amp; Control];*Dietary Sucrose/ae Adverse Effects];Health Policy;Health Promotion;Humans;Malaysia;Obesity/et Etiology];Obesity/pc Prevention &amp; Control];*Primary Health Care/mt Methods];Public Health;0 (Dietary Sucrose)</t>
  </si>
  <si>
    <t>OBJECTIVES: The average consumption of sugar in the Malaysian population has reached an alarming rate, exceeding the benchmark recommended by experts. This article argues the need of a paradigm shift in the management of sugar consumption in the country through evidence derived from addiction research. METHODS: "Food addiction" could lead to high levels of sugar consumption. This probable link could accelerate the development of diabetes and obesity in the community. A total of 94 reports and studies that describe the importance of addiction theory-based interventions were found through a search on PubMed, Google Scholar, and Academic Search Complete. RESULTS: Research in the field of addiction medicine has revealed the addictive potential of high levels of sugar intake. Preexisting health promotion strategies could benefit from the integration of the concept of sugar addiction. A targeted intervention could yield more positive results in health outcomes within the country. CONCLUSION: Current literature seems to support food environment changes, targeted health policies, and special consultation skills as cost-effective remedies to curb the rise of sugar-related health morbidities.</t>
  </si>
  <si>
    <t>J2: J; Swarna Nantha, Yogarabindranath; ID: 248</t>
  </si>
  <si>
    <t>2150-1327</t>
  </si>
  <si>
    <t>Swarna Nantha, Yogarabindranath. Seremban Primary Care Health Clinic, Seremban, Malaysia yogarabin@gmail.com.</t>
  </si>
  <si>
    <t>http://ovidsp.ovid.com/ovidweb.cgi?T=JS&amp;CSC=Y&amp;NEWS=N&amp;PAGE=fulltext&amp;D=med8&amp;AN=24879656</t>
  </si>
  <si>
    <t>https://dx.doi.org/10.1177/2150131914536988</t>
  </si>
  <si>
    <t>MEDLINE; Ovid Technologies; Addiction to sugar and its link to health morbidity: a primer for newer primary care and public health initiatives in Malaysia</t>
  </si>
  <si>
    <t>Szpringer,M.;Blaszczyk,B.</t>
  </si>
  <si>
    <t>Addiction prevention programs in schools and welfare-educational institutions]</t>
  </si>
  <si>
    <t>55 Suppl 1</t>
  </si>
  <si>
    <t>Adolescent;Adolescent Behavior/px Psychology];Attitude to Health;Child;Child Behavior/px Psychology];Child Welfare;Evaluation Studies as Topic;Health Education/mt Methods];Health Education/sn Statistics &amp; Numerical Data];*Health Education;Health Promotion/mt Methods];Health Promotion/sn Statistics &amp; Numerical Data];*Health Promotion;Humans;Poland/ep Epidemiology];Risk Factors;*School Health Services/st Standards];School Health Services/sn Statistics &amp; Numerical Data];Socioeconomic Factors;Substance-Related Disorders/ep Epidemiology];*Substance-Related Disorders/pc Prevention &amp; Control];Surveys and Questionnaires</t>
  </si>
  <si>
    <t>Results of research on the functioning of addictions prevention at schools, as well as in welfare-educational institutions have been presented in the study. The survey covered 861 teachers and form tutors from institutions situated all over Poland. The results of studied documents have been also used in the analyses. During last years, systematic growth of social pathology among groups of children and school children has been observed. Pathologies of family life are considered to be the main reason. 79.2% of those participating in the survey bear it out. Negative influence of violence in programmes presented in mass media appears to be another reason (23.7%). As many as 68.1% of being surveyed point to other causes: among them demoralizing influence of a place of residence, acquaintances, lack of possibilities to spend leisure time. A huge role in averting the social pathology growth is attributed to prevention, also to prevention carried out at schools. 35.7% of those under the survey think that prevention is carried out at Polish schools. However, its efficiency is low because it is done on irregular basis, mainly during so called weekly class meetings. In practice, programme contents included in different subjects are used to the limited extent during prevention actions. Thus, there appears an urgent need to promote prevention programmes designed by central, provincial and council institutions, as well as schools.</t>
  </si>
  <si>
    <t>J2: Wiad Lek; Polish Szpringer, Monika Blaszczyk, Barbara; OP: Promocja profilaktyki uzaleznien w szkolach i placowkach opiekunczo-wychowawczych; ID: 907</t>
  </si>
  <si>
    <t>Szpringer, Monika. Instytutu Ksztalcenia, Medycznego Akademii Swietokrzyskiej w Kielcach. ikm@pu.kielce.pl</t>
  </si>
  <si>
    <t>http://ovidsp.ovid.com/ovidweb.cgi?T=JS&amp;CSC=Y&amp;NEWS=N&amp;PAGE=fulltext&amp;D=med4&amp;AN=15002292</t>
  </si>
  <si>
    <t>MEDLINE; Ovid Technologies; [Addiction prevention programs in schools and welfare-educational institutions]</t>
  </si>
  <si>
    <t>Talbot,K.</t>
  </si>
  <si>
    <t>The medical profession has achieved a major change in its smoking behaviour; how might undergraduate medical education achieve a similar change in doctors' drinking habits?</t>
  </si>
  <si>
    <t>*Alcoholism/pc Prevention &amp; Control];*Curriculum;*Education, Medical;England;Health Behavior;Humans;Interpersonal Relations;Male;*Physicians;*Smoking</t>
  </si>
  <si>
    <t>J2: Alcohol Alcohol; Talbot, K; ID: 1377</t>
  </si>
  <si>
    <t>Talbot, K. Dean's Office, Charing Cross and Westminster Medical School, London, U.K.</t>
  </si>
  <si>
    <t>http://ovidsp.ovid.com/ovidweb.cgi?T=JS&amp;CSC=Y&amp;NEWS=N&amp;PAGE=fulltext&amp;D=med3&amp;AN=2789524</t>
  </si>
  <si>
    <t>MEDLINE; Ovid Technologies; The medical profession has achieved a major change in its smoking behaviour; how might undergraduate medical education achieve a similar change in doctors' drinking habits?</t>
  </si>
  <si>
    <t>Taliaferro,E. H.;Rund,D. A.;Brown,C. G.;Goldfrank,L. R.;Jorden,R. C.;Ling,L. J.;Gallery,M. E.</t>
  </si>
  <si>
    <t>Substance abuse education in residency training programs in emergency medicine. NIAAA Task Force of the American College of Emergency Physicians</t>
  </si>
  <si>
    <t>Attitude of Health Personnel;Curriculum;*Emergency Medicine/ed Education];Humans;*Internship and Residency;*Substance-Related Disorders;Surveys and Questionnaires</t>
  </si>
  <si>
    <t>The emergency department is the focal point for many social ills, not the least of which is substance abuse. We conducted a study to determine to what degree substance abuse education is taught in emergency medicine residency training programs. A set of educational objectives was developed by a task force composed of representatives of the American College of Emergency Physicians, the Society of Teachers of Emergency Medicine, and the University Association for Emergency Medicine. A questionnaire then was sent to the directors of all emergency medicine residency programs accredited by the Accreditation Council for Graduate Medical Education to determine the degree to which those objectives are covered in residency training. A 62% response rate was achieved. The data revealed that such topics as narcotic prescription law, patterns of risk, and issues pertaining to substance abuse by physicians were covered by fewer than half of the programs responding. Respondents were generally satisfied with the adequacy of training of residents and faculty in the area of substance abuse; however, they were dissatisfied with the adequacy of available training materials. Recommendations for changes in graduate curriculum as well as avenues for further research are provided.</t>
  </si>
  <si>
    <t>J2: Ann Emerg Med; Taliaferro, E H Rund, D A Brown, C G Goldfrank, L R Jorden, R C Ling, L J Gallery, M E; ID: 1372</t>
  </si>
  <si>
    <t>Taliaferro, E H. NIAAA Task Force of the American College of Emergency Physicians, Dallas, Texas 75261-9911.</t>
  </si>
  <si>
    <t>http://ovidsp.ovid.com/ovidweb.cgi?T=JS&amp;CSC=Y&amp;NEWS=N&amp;PAGE=fulltext&amp;D=med3&amp;AN=2589703</t>
  </si>
  <si>
    <t>MEDLINE; Ovid Technologies; Substance abuse education in residency training programs in emergency medicine. NIAAA Task Force of the American College of Emergency Physicians</t>
  </si>
  <si>
    <t>Tan,P. D.;Barclay,J. S.;Blackhall,L. J.</t>
  </si>
  <si>
    <t>Do Palliative Care Clinics Screen for Substance Abuse and Diversion? Results of a National Survey</t>
  </si>
  <si>
    <t>Journal of palliative medicine</t>
  </si>
  <si>
    <t>J.Palliat.Med.</t>
  </si>
  <si>
    <t>Humans;Organizational Policy;*Pain/dt Drug Therapy];*Palliative Care;Palliative Medicine/ed Education];Prescription Drug Diversion;Risk Factors;*Substance Abuse Detection/sn Statistics &amp; Numerical Data];*Substance-Related Disorders/ep Epidemiology];Surveys and Questionnaires;United States/ep Epidemiology]</t>
  </si>
  <si>
    <t>BACKGROUND: Opioids are the mainstay of treatment of cancer pain. With increased use there have been concerns about rising rates of prescription drug abuse and diversion. Although there has been an increase in research and practice guidelines about the scope of the problem for chronic, nonmalignant pain, less information is available about both the frequency of the problem and current practices regarding screening for substance abuse and diversion in patients and family members seen in palliative care clinics. OBJECTIVE: The aim of this study was to evaluate the degree to which palliative programs felt that substance abuse and diversion was an issue, and to identify practices regarding care of patients with potential substance misuse issues. METHODS: We sent a survey regarding substance abuse perception, policies, training, and screening to 94 accredited palliative medicine fellowship program directors as obtained by the Accreditation Council for Graduate Medical Education (ACGME) directory. RESULTS: We received usable responses from 38 (40.4%) programs. Policies for screening patients (40.5%) or family members (16.2%), dealing with diversion (27%), and use of a screening tool (32.4%) were reported infrequently. Despite this, one-half of respondents indicated that substance abuse and diversion was an issue for their clinics, with only 25% indicating substance abuse was not an issue. Additionally, the majority of fellows (83%) and about half (47%) of staff received mandatory training for dealing with substance misuse. All programs provided some screening of patients, with 48.7% screening all patients for abuse. Screening of family members was relatively rare, as was routine use of the urine drug screen (UDS). CONCLUSION: Despite increased concerns about substance abuse, the majority of programs did not have substance abuse and diversion policies or report screening all patients, with screening of caregivers rarely reported. Consensus guidelines addressing substance abuse and diversion for palliative patients are needed to address this growing problem.</t>
  </si>
  <si>
    <t>J2: J Palliat Med; Tan, Paul D Barclay, Joshua S Blackhall, Leslie J Comment in: J Palliat Med. 2016 Mar;19(3):254; PMID: 26788763; ID: 178</t>
  </si>
  <si>
    <t>1557-7740</t>
  </si>
  <si>
    <t>Tan, Paul D. 1 Department of Medicine, Division of General Medicine, Geriatrics, and Palliative Care, University of Virginia , Charlottesville, Virginia. Tan, Paul D. 2 Department of Medicine, Eastern Maine Medical Center , Veazie, Maine. Barclay, Joshua S. 1 Department of Medicine, Division of General Medicine, Geriatrics, and Palliative Care, University of Virginia , Charlottesville, Virginia. Blackhall, Leslie J. 1 Department of Medicine, Division of General Medicine, Geriatrics, and Palliative Care, University of Virginia , Charlottesville, Virginia.</t>
  </si>
  <si>
    <t>http://ovidsp.ovid.com/ovidweb.cgi?T=JS&amp;CSC=Y&amp;NEWS=N&amp;PAGE=fulltext&amp;D=med8&amp;AN=26302425</t>
  </si>
  <si>
    <t>https://dx.doi.org/10.1089/jpm.2015.0098</t>
  </si>
  <si>
    <t>MEDLINE; Ovid Technologies; Do Palliative Care Clinics Screen for Substance Abuse and Diversion? Results of a National Survey</t>
  </si>
  <si>
    <t>Tang,S. Y.;Browne,A. J.</t>
  </si>
  <si>
    <t>'Race' matters: racialization and egalitarian discourses involving Aboriginal people in the Canadian health care context</t>
  </si>
  <si>
    <t>Ethnicity &amp; health</t>
  </si>
  <si>
    <t>Ethn.Health</t>
  </si>
  <si>
    <t>Attitude of Health Personnel/eh Ethnology];Attitude to Health/eh Ethnology];Canada;Emergency Service, Hospital;Female;*Health Services Accessibility;Health Services Needs and Demand;*Health Services, Indigenous;*Healthcare Disparities;Humans;Interviews as Topic;*Inuits;Male;*Prejudice</t>
  </si>
  <si>
    <t>The major purpose of this paper is to examine how 'race' and racialization operate in health care. To do so, we draw upon data from an ethnographic study that examines the complex issues surrounding health care access for Aboriginal people in an urban center in Canada. In our analysis, we strategically locate our critical examination of racialization in the 'tension of difference' between two emerging themes, namely the health care rhetoric of 'treating everyone the same,' and the perception among many Aboriginal patients that they were 'being treated differently' by health care providers because of their identity as Aboriginal people, and because of their low socio-economic status. Contrary to the prevailing discourse of egalitarianism that paints health care and other major institutions as discrimination-free, we argue that 'race' matters in health care as it intersects with other social categories including class, substance use, and history to organize inequitable access to health and health care for marginalized populations. Specifically, we illustrate how the ideological process of racialization can shape the ways that health care providers 'read' and interact with Aboriginal patients, and how some Aboriginal patients avoid seeking health care based on their expectation of being treated differently. We conclude by urging those of us in positions of influence in health care, including doctors and nurses, to critically reflect upon our own positionality and how we might be complicit in perpetuating social inequities by avoiding a critical discussion of racialization.</t>
  </si>
  <si>
    <t>J2: Ethn Health; Tang, Sannie Y Browne, Annette J; ID: 677</t>
  </si>
  <si>
    <t>1355-7858</t>
  </si>
  <si>
    <t>Tang, Sannie Y. School of Nursing, University of British Columbia, Vancouver, Canada. sytang@interchange.ubc.ca</t>
  </si>
  <si>
    <t>http://ovidsp.ovid.com/ovidweb.cgi?T=JS&amp;CSC=Y&amp;NEWS=N&amp;PAGE=fulltext&amp;D=med6&amp;AN=18425710</t>
  </si>
  <si>
    <t>https://dx.doi.org/10.1080/13557850701830307</t>
  </si>
  <si>
    <t>MEDLINE; Ovid Technologies; 'Race' matters: racialization and egalitarian discourses involving Aboriginal people in the Canadian health care context</t>
  </si>
  <si>
    <t>Tang,Y. L.;Wiste,A.;Mao,P. X.;Hou,Y. Z.</t>
  </si>
  <si>
    <t>Attitudes, knowledge, and perceptions of Chinese doctors toward drug abuse</t>
  </si>
  <si>
    <t>*Attitude of Health Personnel;China/eh Ethnology];Clinical Competence;Education, Medical;Humans;*Physicians;*Social Perception;Substance-Related Disorders/eh Ethnology];*Substance-Related Disorders/px Psychology];Surveys and Questionnaires</t>
  </si>
  <si>
    <t>We assessed the attitudes, knowledge, and perceptions of Chinese doctors who worked with drug abusers to provide direction for planned drug and alcohol education and training. A 34-item questionnaire was developed; 523 copies were distributed and 446 (84.5%) validated copies were collected. Half of the respondents (50.0%) had no formal training before they started treating drug abusers. Among them, only 16.6% were psychiatrists. Less than half of the respondents agreed that drug abuse (addiction) is a brain disorder. Male and female doctors and doctors from different facilities tended to have different opinions on reasons for relapse, efficacy of treatments, and awareness of treatment modalities, among others. Doctors from involuntary facilities were more likely to disagree with the idea that drug addiction is a brain disorder and favored compulsory treatment. Doctors involved in drug abuse treatment in China are not well prepared or experienced in drug abuse treatment and have negative attitudes toward drug abuse and abusers.</t>
  </si>
  <si>
    <t>J2: J Subst Abuse Treat; Tang, Yi-lang Wiste, Anna Mao, Pei-xian Hou, Ye-zhi; ID: 819</t>
  </si>
  <si>
    <t>Tang, Yi-lang. Beijing Anding Hospital, Capital University of Medical Sciences, Beijing, China. ytang@genetics.emory.edu</t>
  </si>
  <si>
    <t>http://ovidsp.ovid.com/ovidweb.cgi?T=JS&amp;CSC=Y&amp;NEWS=N&amp;PAGE=fulltext&amp;D=med5&amp;AN=16183470</t>
  </si>
  <si>
    <t>MEDLINE; Ovid Technologies; Attitudes, knowledge, and perceptions of Chinese doctors toward drug abuse</t>
  </si>
  <si>
    <t>Tanksley,A. L.;Farnan,J. M.;Arora,V. M.</t>
  </si>
  <si>
    <t>A Solution to the Problem of Sustainability of Opioid Initiatives in Graduate Medical Education</t>
  </si>
  <si>
    <t>J2: J Grad Med Educ; Tanksley, Audrey L Farnan, Jeanne M Arora, Vineet M Comment on: J Grad Med Educ. 2016 Jul;8(3):390-7; PMID: 27413443; ID: 1650</t>
  </si>
  <si>
    <t>Tanksley, Audrey L. Assistant Professor of Medicine, University of Chicago Medical Center. Farnan, Jeanne M. Associate Professor, Department of Medicine, University of Chicago Pritzker School of Medicine. Arora, Vineet M. Associate Professor and Director of Graduate Medical Education Clinical Learning Environment Innovation, Department of Medicine, University of Chicago Pritzker School of Medicine.</t>
  </si>
  <si>
    <t>http://ovidsp.ovid.com/ovidweb.cgi?T=JS&amp;CSC=Y&amp;NEWS=N&amp;PAGE=fulltext&amp;D=prem&amp;AN=28261411</t>
  </si>
  <si>
    <t>https://dx.doi.org/10.4300/JGME-D-16-00514.1</t>
  </si>
  <si>
    <t>MEDLINE; Ovid Technologies; A Solution to the Problem of Sustainability of Opioid Initiatives in Graduate Medical Education</t>
  </si>
  <si>
    <t>Tanner,T. B.;Wilhelm,S. E.;Rossie,K. M.;Metcalf,M. P.</t>
  </si>
  <si>
    <t>NIHMS385598; Web-based SBIRT skills training for health professional students and primary care providers</t>
  </si>
  <si>
    <t>*Clinical Competence;Education, Medical, Undergraduate/mt Methods];Education, Nursing, Baccalaureate/mt Methods];*Health Personnel/ed Education];Humans;*Internet;*Primary Health Care/mt Methods];Program Development;*Psychotherapy, Brief/ed Education];*Referral and Consultation;*Substance Abuse Detection;*Substance-Related Disorders</t>
  </si>
  <si>
    <t>The authors have developed and assessed 2 innovative, case-based, interactive training programs on substance abuse, one for health professional students on alcohol and one for primary care providers on screening, brief intervention, and referral to treatment (SBIRT). Both programs build skills in substance abuse SBIRT. Real-world effectiveness trials involving medical students (n = 10) and nursing students (n = 60) were completed; trials involving primary care providers (n = 65) are in progress during 2011. Medical students and nursing students had similarly low baseline scores on assessments that benefited from training: knowledge, confidence, and clinical performance measured via an online standardized patient case and encounter note all improved post-training. Preliminary results indicate that practicing providers improved on knowledge, attitude, and brief intervention skill performance after a similar training. Results suggest that SBIRT skills can be improved with this model for case-based interactive training programs, and thus, that this training has the potential to impact patient outcomes.</t>
  </si>
  <si>
    <t>J2: Subst Abus; Tanner, T Bradley Wilhelm, Susan E Rossie, Karen M Metcalf, Mary P; ID: 410</t>
  </si>
  <si>
    <t>Tanner, T Bradley. Clinical Tools, Inc., Chapel Hill, North Carolina 27514, USA.</t>
  </si>
  <si>
    <t>http://ovidsp.ovid.com/ovidweb.cgi?T=JS&amp;CSC=Y&amp;NEWS=N&amp;PAGE=fulltext&amp;D=med7&amp;AN=22738013</t>
  </si>
  <si>
    <t>https://dx.doi.org/10.1080/08897077.2011.640151</t>
  </si>
  <si>
    <t>MEDLINE; Ovid Technologies; Web-based SBIRT skills training for health professional students and primary care providers</t>
  </si>
  <si>
    <t>Tarigopula,R.;Tyagi,N. K.;Jackson,J.;Gupte,C.;Raju,P.;LaRosa,J.</t>
  </si>
  <si>
    <t>Health care workers and ICU pain perceptions</t>
  </si>
  <si>
    <t>Adult;Aged;*Attitude of Health Personnel;Female;*Health Personnel/px Psychology];Humans;*Intensive Care Units;Male;Middle Aged;Pain Measurement/mt Methods];*Pain Measurement/px Psychology];*Pain Perception;Prospective Studies;Surveys and Questionnaires;Young Adult</t>
  </si>
  <si>
    <t>OBJECTIVE: Our study examined the effect of health care workers' personal characteristics on how they perceive and intend to treat patients' pain in the intensive care unit. Though pain perceptions have been well established from the patient's perspective, less is known about how variations in health care workers may affect their perceptions of pain. DESIGN: This study consisted of a 28-item questionnaire distributed to 122 medical staff personnel over a 12-month period. The questionnaire included items regarding respondent characteristics such as age, gender, race, ethnicity, and level of training. SUBJECTS AND SETTING: The questionnaire was distributed to physicians and nurses working in the critical care setting. METHODS: Responses were provided using a Likert scale and scored on subscales of hemodynamic instability, addiction and tolerance, pain expression, legal issues, and education. RESULTS: The results demonstrated that characteristics such as age and race were significant predictors of perceptions regarding addiction subscale scores (beta=-0.256, P=0.006 and beta=0.183, P=0.053, respectively). Race proved to be a significant factor in pain expression scores (beta=0.183, P=0.053). Work-related variables, such as being in or out of active medical training and being within the critical care specialty itself, were significant predictors of addiction subscale scores as well (beta=-0.238, P=0.012 and beta=0.191, P=0.050, respectively). CONCLUSION: Health care providers' race, age, level of education, and medical subspecialty were significant factors affecting their perceptions of pain management and intended treatment.</t>
  </si>
  <si>
    <t>J2: Pain Med; Tarigopula, Ravali Tyagi, Naveen K Jackson, Jill Gupte, Chaitali Raju, Pooja LaRosa, Jennifer; ID: 260</t>
  </si>
  <si>
    <t>Tarigopula, Ravali. Department of Pulmonary and Critical Care Medicine, Newark Beth Israel Medical Center, Newark, USA.</t>
  </si>
  <si>
    <t>http://ovidsp.ovid.com/ovidweb.cgi?T=JS&amp;CSC=Y&amp;NEWS=N&amp;PAGE=fulltext&amp;D=med8&amp;AN=24738494</t>
  </si>
  <si>
    <t>https://dx.doi.org/10.1111/pme.12423</t>
  </si>
  <si>
    <t>MEDLINE; Ovid Technologies; Health care workers and ICU pain perceptions</t>
  </si>
  <si>
    <t>Taverner,D.;Dodding,C. J.;White,J. M.</t>
  </si>
  <si>
    <t>Comparison of methods for teaching clinical skills in assessing and managing drug-seeking patients</t>
  </si>
  <si>
    <t>*Clinical Competence;*Clinical Medicine/ed Education];Computer-Assisted Instruction;*Education, Medical, Undergraduate/mt Methods];Humans;*Patient Acceptance of Health Care;Patient Simulation;*Physician-Patient Relations;*Substance-Related Disorders/rh Rehabilitation];Video Recording</t>
  </si>
  <si>
    <t>AIMS: New medical graduates lack clinical skills in assessing and managing patients seeking drugs of dependence. This study compares the effectiveness of three different clinical skills training methods, with similar content, which were developed to teach these skills to senior medical students. METHODS: A preliminary survey indicated that common problems seen by primary care practitioners included both new and previously known patients seeking either benzodiazepines or opiates. The common content of the teaching was determined from this survey. A didactic small group tutorial (DT), a video-based tutorial (VBT) using professional actors, and a computer-aided instruction package using digitized video (CAI) were developed with this common content, and trialled with undergraduate medical students over 2 years in a parallel-group design. Outcome was assessed by student feedback, performance on a case-based written examination and by a structured evaluation of interviews with simulated patients requesting drugs. Comparison was also made between methods on the basis of knowledge tests. RESULTS: No difference was seen in written examination and simulated patient outcomes between the three groups. However, the VBT was thought by the students to be preferable to other methods. The estimated development costs of CAI were higher, but total costs over a 6-year period were lower than for the DT and VBT. The results suggest that clinical skills can be taught equally effectively through several different methods. Collaboration between institutions in the development of widely applicable CAI tools should be an efficient and economical mode of teaching with a wide range of applications.</t>
  </si>
  <si>
    <t>J2: Med Educ; Taverner, D Dodding, C J White, J M; ID: 1029</t>
  </si>
  <si>
    <t>Taverner, D. Department of Clinical and Experimental Pharmacology, University of Adelaide, Adelaide, Australia.</t>
  </si>
  <si>
    <t>http://ovidsp.ovid.com/ovidweb.cgi?T=JS&amp;CSC=Y&amp;NEWS=N&amp;PAGE=fulltext&amp;D=med4&amp;AN=10733725</t>
  </si>
  <si>
    <t>MEDLINE; Ovid Technologies; Comparison of methods for teaching clinical skills in assessing and managing drug-seeking patients</t>
  </si>
  <si>
    <t>Taylor,J. L.;Rapoport,A. B.;Rowley,C. F.;Mukamal,K. J.;Stead,W.</t>
  </si>
  <si>
    <t>An opioid overdose curriculum for medical residents: Impact on naloxone prescribing, knowledge, and attitudes</t>
  </si>
  <si>
    <t>BACKGROUND: Despite escalating opioid overdose death rates, addiction medicine is underrepresented in residency curricula. Providing naloxone to at-risk patients, relatives, and first responders reduces overdose deaths, but rates of naloxone prescribing remain low. The goal of this study is to examine the impact of a brief curricular intervention for internal medicine residents on naloxone prescribing rates, knowledge, and attitudes. METHODS: Internal medicine residents (N = 160) at an urban, tertiary care medical center received two 1-hour didactic sessions addressing overdose prevention, including intranasal naloxone. The number of naloxone prescriptions generated by residents was compared to faculty, who received no similar intervention, in the 3-month periods before and after the curriculum. Resident knowledge and attitudes, as assessed by pre- and post-intervention surveys, were compared. RESULTS: The resident naloxone prescribing rate increased from 420 to 1270 per 100,000 inpatient discharges (P = .01) and from 0 to 370 per 100,000 ambulatory visits (P &lt; .001) post-intervention. Similar increases were not observed among inpatient faculty, whose prescribing rate decreased from 1150 to 880 per 100,000 discharges (P = .08), or among outpatient faculty, whose rate increased from 30 to 180 per 100,000 ambulatory visits (P &lt; .001) but was lower than the post-intervention resident rate (P = .01). Residents demonstrated high baseline knowledge about naloxone, but just 13% agreed that they were adequately trained to prescribe pre-intervention. Post-intervention, residents were more likely to agree that they were adequately trained to prescribe (Likert mean 2.5 vs. 3.9, P &lt; .001), to agree that treating addiction is rewarding (Likert mean 2.9 vs. 3.3, P = .03), and to attain a perfect score on the knowledge composite (57% vs. 33%, P = .05). CONCLUSIONS: A brief curricular intervention improved resident knowledge and attitudes regarding intranasal naloxone for opioid overdose reversal and significantly increased prescribing rates.</t>
  </si>
  <si>
    <t>J2: Subst Abus; Taylor, Jessica L Rapoport, Alison B Rowley, Christopher F Mukamal, Kenneth J Stead, Wendy; ID: 1677</t>
  </si>
  <si>
    <t>Taylor, Jessica L. a Section of General Internal Medicine, Boston Medical Center , Boston , Massachusetts , USA. Rapoport, Alison B. b Division of Infectious Diseases, Beth Israel Deaconess Medical Center , Boston , Massachusetts , USA. Rowley, Christopher F. b Division of Infectious Diseases, Beth Israel Deaconess Medical Center , Boston , Massachusetts , USA. Mukamal, Kenneth J. c General Internal Medicine, Beth Israel Deaconess Medical Center , Boston , Massachusetts , USA. Stead, Wendy. b Division of Infectious Diseases, Beth Israel Deaconess Medical Center , Boston , Massachusetts , USA.</t>
  </si>
  <si>
    <t>http://ovidsp.ovid.com/ovidweb.cgi?T=JS&amp;CSC=Y&amp;NEWS=N&amp;PAGE=fulltext&amp;D=medp&amp;AN=29432074</t>
  </si>
  <si>
    <t>https://dx.doi.org/10.1080/08897077.2018.1439800</t>
  </si>
  <si>
    <t>MEDLINE; Ovid Technologies; An opioid overdose curriculum for medical residents: Impact on naloxone prescribing, knowledge, and attitudes</t>
  </si>
  <si>
    <t>Tecco,J.;Jacques,D.;Annemans,L.</t>
  </si>
  <si>
    <t>The cost of alcohol in the workplace in Belgium</t>
  </si>
  <si>
    <t>25 Suppl 2</t>
  </si>
  <si>
    <t>S118</t>
  </si>
  <si>
    <t>*Alcoholism/ec Economics];Belgium;Efficiency, Organizational/ec Economics];Efficiency, Organizational/lj Legislation &amp; Jurisprudence];*Efficiency, Organizational/sn Statistics &amp; Numerical Data];Humans;Industry/ec Economics];Industry/lj Legislation &amp; Jurisprudence];*Industry/sn Statistics &amp; Numerical Data];Occupational Health/ec Economics];Occupational Health/lj Legislation &amp; Jurisprudence];*Occupational Health/sn Statistics &amp; Numerical Data];Workplace/px Psychology]</t>
  </si>
  <si>
    <t>BACKGROUND: It has been suggested that alcohol problems have a major impact in the workplace. It has long been recognized that misuse can have serious consequences for the productivity of workers. The extent of the problem is still an uncalculated cost. Few studies provide clear evidence of a cause, effect or relationship between substance abuse and workplace costs and valuable guidance to employers in evaluating the cost of substance abuse in their workplaces is missing. OBJECTIVE: To estimate the awareness, policies and cost to employers of drinking in the workplace in Belgium and to illustrate the potential gains from drinking cessation provision. Costs vary with type of industry and policy in place; therefore, to estimate these costs, results from a survey were combined with evidence drawn from a review of literature. STUDY DESIGN: An Internet survey of 216 workplaces in Belgium, based on a stratified random sample of workplaces with 50 or more employees, was conducted in 2005. Further information was collected from 150 occupational physicians. Additional evidence was compiled from a review of the literature of drinking-related costs. RESULTS: 216 General Directors or HR Directors completed a questionnaire related to awareness, policy and costs. 150 occupational physicians completed a questionnaire related to awareness and policy. Companies are unaware or underestimate alcohol misuse among their employees. At least 84% of companies have no education or information policy about substance abuse. Absenteeism, accidents and turnover account for 0.87% of the wage bill. Reduced productivity/ (presenteeism accounts for 2.8%. The construction industry, postal services, hospitality industry (hotel/restaurants and catering) and sanitation industry (collection, street cleaning) are the most problematic sectors. CONCLUSION: Awareness: many companies are totally unaware of the impact of substance abuse and those that are aware underestimate the problem. Sectors are heterogeneous; some are more problematic than others. Policy: although there is a link between policy and consumption, few companies have a clear substance abuse policy. Cost: reduced productivity is perceived as the most important cost.</t>
  </si>
  <si>
    <t>J2: Psychiatr; Tecco, Juan Jacques, Denis Annemans, Lieven; ID: 317</t>
  </si>
  <si>
    <t>Tecco, Juan. Department of Psychiatry, CHUP-MB, 2 Bd Kennedy, 7000 Mons, Belgium, JuanMartin.Tecco@hap.be.</t>
  </si>
  <si>
    <t>http://ovidsp.ovid.com/ovidweb.cgi?T=JS&amp;CSC=Y&amp;NEWS=N&amp;PAGE=fulltext&amp;D=med7&amp;AN=23995159</t>
  </si>
  <si>
    <t>MEDLINE; Ovid Technologies; The cost of alcohol in the workplace in Belgium</t>
  </si>
  <si>
    <t>Tekin Uludag,Y.;Gulec,G.</t>
  </si>
  <si>
    <t>Prevalence of Substance Use in Patients Diagnosed with Schizophrenia</t>
  </si>
  <si>
    <t>Noropsikiyatri Arsivi</t>
  </si>
  <si>
    <t>INTRODUCTION: Substance abuse among schizophrenic patients is a growing clinical concern. Substance use disorders and their effects on the course of schizophrenia have made the identification and treatment of schizophrenic patients a high priority. This study aimed to investigate the prevalence of substance use, preferred types of substances, sociodemographic characteristics and clinical features of schizophrenia, and substance use impact in schizophrenic patients. METHODS: Hundred patients who were consecutively admitted to the psychiatry clinic and were diagnosed with schizophrenia according to the DSM-IV criteria were enrolled in this study. Individual interviews were conducted during the patients. In order to evaluate substance abuse disorder (SAD) as per DSM-IV criteria, the substance use disorder section of the structured clinical interview for DSM disorders-II (SCID-II) form was used. In addition, the following were applied to schizophren-ic patients: sociodemographic data form, medical history form, Brief Disability Questionnaire (BDQ), UKU Side Effect Rating Scale (UKUSERS), Insight Rating Scale (IRS), Alcohol Use Dis-orders Identification Test (AUDIT), Fagerstrom Nicotine Dependence Test (FNDT), Global As-sessment of Functioning Scale (GAF), Scale for the Assessment of Positive Symptoms (SAPS), Scale for the Assessment of Negative Symptoms (SANS), and Calgary Depression Scale (CDS). RESULTS: Schizophrenia and alcohol and drug use were more common in males, and younger age was found to have no association with substance use. Unemployment, low education levels, rural survival rates, age at disease onset, the doctor first age of the applicant, the first inpatient years, legal issues, harm caused by others and suicidal behavior, SAPS, SANS, CDS received from their scores significant difference was detected. Schizophrenic patients with substance use had higher side effects of drugs, disability, and psychopathology scores than schizophrenic patients without substance use. The functioning of schizophrenic patients with substance use was worse, and the total length of stay was longer. Nicotine, alcohol, biperiden, cannabis, and volatile substances were the preferred materials most commonly used by schizophrenic patients. CONCLUSION: In our country, limited research has been conducted on the prevalence of substance use in schizophrenic patients. Therefore, we believe that this study will contribute to the literature on the subject. More sample groups and first-episode patients as well as follow-up studies will contribute to a better understanding of the effect of substance use on the clinical course of schizophrenia.</t>
  </si>
  <si>
    <t>J2: Noropsikiyatr; Tekin Uludag, Yasemin Gulec, Gulcan; ID: 1670</t>
  </si>
  <si>
    <t>1300-0667</t>
  </si>
  <si>
    <t>Tekin Uludag, Yasemin. Clinic of Psychiatry, Eskisehir State Hospital, Eskisehir, Turkey. Gulec, Gulcan. Department of Psychiatry, Eskisehir Osmangazi University School of Medicine, Eskisehir, Turkey.</t>
  </si>
  <si>
    <t>http://ovidsp.ovid.com/ovidweb.cgi?T=JS&amp;CSC=Y&amp;NEWS=N&amp;PAGE=fulltext&amp;D=prem&amp;AN=28360758</t>
  </si>
  <si>
    <t>https://dx.doi.org/10.5152/npa.2015.8827</t>
  </si>
  <si>
    <t>MEDLINE; Ovid Technologies; Prevalence of Substance Use in Patients Diagnosed with Schizophrenia</t>
  </si>
  <si>
    <t>Tektas,O. Y.;Paulsen,F.;Sel,S.</t>
  </si>
  <si>
    <t>Test anxiety among German medical students and its impact on lifestyle and substance abuse</t>
  </si>
  <si>
    <t>*Anxiety/ep Epidemiology];Anxiety/px Psychology];Cross-Sectional Studies;*Educational Measurement;Germany/ep Epidemiology];Humans;*Life Style;*Students, Medical/px Psychology];*Substance-Related Disorders/ep Epidemiology];Substance-Related Disorders/px Psychology];Test Anxiety Scale</t>
  </si>
  <si>
    <t>J2: Med Teach; Tektas, Ozan Yuksel Paulsen, Friedrich Sel, Saadetin; ID: 297</t>
  </si>
  <si>
    <t>Tektas, Ozan Yuksel. Department of Anatomy II, Friedrich-Alexander-University of Erlangen-Nuremberg , Erlangen , Germany.</t>
  </si>
  <si>
    <t>http://ovidsp.ovid.com/ovidweb.cgi?T=JS&amp;CSC=Y&amp;NEWS=N&amp;PAGE=fulltext&amp;D=med7&amp;AN=23607520</t>
  </si>
  <si>
    <t>https://dx.doi.org/10.3109/0142159X.2013.786813</t>
  </si>
  <si>
    <t>MEDLINE; Ovid Technologies; Test anxiety among German medical students and its impact on lifestyle and substance abuse</t>
  </si>
  <si>
    <t>Tercyak,K. P.;Peshkin,B. N.;Abraham,A.;Wine,L.;Walker,L. R.</t>
  </si>
  <si>
    <t>NIHMS26037; Interest in genetic counseling and testing for adolescent nicotine addiction susceptibility among a sample of adolescent medicine providers attending a scientific conference on adolescent health</t>
  </si>
  <si>
    <t>Adolescent;*Adolescent Medicine/mt Methods];*Attitude of Health Personnel;Education, Medical, Continuing;*Genetic Counseling;Genetic Predisposition to Disease;*Genetic Testing;Humans;*Physicians/px Psychology];*Tobacco Use Disorder/ge Genetics];*Tobacco Use Disorder/pc Prevention &amp; Control]</t>
  </si>
  <si>
    <t>PURPOSE: Preventing adolescents from smoking and becoming addicted to nicotine is an important public health issue. New research on the genetics of susceptibility to nicotine addition is emerging and may eventually help to identify adolescents at high risk. Over time, genetic counseling and testing for nicotine addiction susceptibility may become incorporated into tobacco control practice, and providers in primary care settings are likely to be at the forefront of these services. As such, it is important to understand the attitudes and practices of adolescent medicine providers toward tobacco control and genetic testing to anticipate better the needs and interests of these individuals and prepare for the future. This study describes adolescent medicine providers' interest, and correlates of their interest, in genetic counseling and testing for nicotine addiction susceptibility among their adolescent patients--a test that is not yet clinically available. METHODS: Adolescent medicine providers attending a national scientific conference (N = 232) completed a survey about their patient tobacco control and other screening behaviors, perceptions of their patients' attitudes and beliefs toward tobacco control, and their own attitudes and beliefs about smoking and genetics. RESULTS: Providers who engaged in more regular tobacco screening behaviors with their adolescent patients (odds ratio OR] = 4.07, 95% confidence interval CI] = 2.20, 7.751, p = .00) and those who were more optimistic that biobehavioral research would lead to significant improvements in adolescent smoking prevention and treatment (OR = 2.47, 95% CI = 1.40, 4.37, p = .00), were more interested in counseling and testing. CONCLUSIONS: In the future, adolescent wellness visits may present an opportunity to offer genetic counseling and testing for nicotine addiction susceptibility. Implementation at the provider level may depend on tobacco screening behavior and research optimism. Educating providers about safe and effective adolescent tobacco control strategies incorporating genetics will be essential.</t>
  </si>
  <si>
    <t>J2: J Adolesc Health; Tercyak, Kenneth P Peshkin, Beth N Abraham, Anisha Wine, Lauren Walker, Leslie R; ID: 760</t>
  </si>
  <si>
    <t>Tercyak, Kenneth P. Lombardi Comprehensive Cancer Center, Georgetown University Medical Center, Washington, DC 20007, USA. tercyakk@georgetown.edu</t>
  </si>
  <si>
    <t>http://ovidsp.ovid.com/ovidweb.cgi?T=JS&amp;CSC=Y&amp;NEWS=N&amp;PAGE=fulltext&amp;D=med5&amp;AN=17577533</t>
  </si>
  <si>
    <t>MEDLINE; Ovid Technologies; Interest in genetic counseling and testing for adolescent nicotine addiction susceptibility among a sample of adolescent medicine providers attending a scientific conference on adolescent health</t>
  </si>
  <si>
    <t>Tesema,L.;Marshall,J.;Hathaway,R.;Pham,C.;Clarke,C.;Bergeron,G.;Yeh,J.;Soliman,M.;McCormick,D.</t>
  </si>
  <si>
    <t>Training in office-based opioid treatment with buprenorphine in US residency programs: A national survey of residency program directors</t>
  </si>
  <si>
    <t>BACKGROUND: The prevalence of opioid use disorder (OUD) has increased sharply. Office-based opioid treatment with buprenorphine (OBOT) is effective but often underutilized because of physicians' lack of experience prescribing this therapy. Little is known about US residency training programs' provision of OBOT and addiction medicine training. METHODS: The authors conducted a survey of residency program directors (RPDs) at all US residency programs in internal medicine, family medicine, and psychiatry to assess the frequency with which their residents provide care for OUD, presence and features of curricula in OBOT and addiction medicine, RPDs' beliefs about OBOT, and potential barriers to providing OBOT training. RESULTS: The response rate was 49.5% (476 of 962). Although 76.9% of RPDs reported that residents frequently manage patients with OUD, only 23.5% reported that their program dedicates 12 or more hours of curricular time to addiction medicine, 35.9% reported that their program encourages/requires training in OBOT, and 22.6% reported that their program encourages/requires obtaining a Drug Enforcement Administration (DEA) waiver to prescribe buprenorphine. Most RPDs believe that OBOT is an important treatment option for OUD (88.1%) and that increased residency training in OBOT would improve access to OBOT (73.7%). The authors also found that programs whose RPD had favorable views of OBOT were more likely to provide OBOT and addiction medicine training. Psychiatry programs were most likely to provide OBOT training and their RPDs most likely to have beliefs about OBOT that were positive. Commonly cited barriers to implementing OBOT training include a lack of waivered preceptors (76.9%), competing curricular priorities (64.1%), and a lack of support (social work and counseling) services (54.0%). CONCLUSIONS: Internal medicine, family medicine, and psychiatry residents often care for patients with OUD, and most RPDs believe that increased residency training in OBOT would increase access to this treatment. Yet, only a minority of programs offer training in OBOT.</t>
  </si>
  <si>
    <t>J2: Subst Abus; Tesema, Lello Marshall, Jeffrey Hathaway, Rachel Pham, Christina Clarke, Camille Bergeron, Genevieve Yeh, James Soliman, Michael McCormick, Danny; ID: 1678</t>
  </si>
  <si>
    <t>Tesema, Lello. a Los Angeles County Department of Health Services , Los Angeles , California , USA. Marshall, Jeffrey. b Department of Pulmonary and Critical Care Medicine , Yale University , New Haven , Connecticut , USA. Hathaway, Rachel. c Department of Medicine , Cambridge Health Alliance , Cambridge , Massachusetts , USA. Pham, Christina. d Department of Medicine , University of California , San Francisco , California , USA. Clarke, Camille. e Department of Medicine, School of Medicine , Loma Linda University , Loma Linda , California , USA. Bergeron, Genevieve. c Department of Medicine , Cambridge Health Alliance , Cambridge , Massachusetts , USA. Yeh, James. f Department of Medicine , Brigham and Women's Hospital , Boston , Massachusetts , USA. Soliman, Michael. g Department of Medicine , Beth Israel Deaconess Medical Center , Boston , Massachusetts , USA. McCormick, Danny. c Department of Medicine , Cambridge Health Alliance , Cambridge , Massachusetts , USA.</t>
  </si>
  <si>
    <t>http://ovidsp.ovid.com/ovidweb.cgi?T=JS&amp;CSC=Y&amp;NEWS=N&amp;PAGE=fulltext&amp;D=medp&amp;AN=29513136</t>
  </si>
  <si>
    <t>https://dx.doi.org/10.1080/08897077.2018.1449047</t>
  </si>
  <si>
    <t>MEDLINE; Ovid Technologies; Training in office-based opioid treatment with buprenorphine in US residency programs: A national survey of residency program directors</t>
  </si>
  <si>
    <t>Tetrault,J. M.;Green,M. L.;Martino,S.;Thung,S. F.;Degutis,L. C.;Ryan,S. A.;Martel,S.;Pantalon,M. V.;Bernstein,S. L.;O'Connor,P. G.;Fiellin,D. A.;D'Onofrio,G.</t>
  </si>
  <si>
    <t>Developing and implementing a multispecialty graduate medical education curriculum on Screening, Brief Intervention, and Referral to Treatment (SBIRT)</t>
  </si>
  <si>
    <t>*Alcoholism/di Diagnosis];Alcoholism/th Therapy];*Curriculum;*Education, Medical, Graduate/mt Methods];Feasibility Studies;Humans;*Internship and Residency/mt Methods];*Mass Screening/og Organization &amp; Administration];Program Evaluation;Referral and Consultation;*Substance-Related Disorders/di Diagnosis];Substance-Related Disorders/pc Prevention &amp; Control];United States;United States Substance Abuse and Mental Health Services Administration</t>
  </si>
  <si>
    <t>The authors sought to evaluate the feasibility and acceptability of initiating a Screening, Brief Intervention, and Referral to Treatment (SBIRT) for alcohol and other drug use curriculum across multiple residency programs. SBIRT project faculty in the internal medicine (traditional, primary care internal medicine, medicine/pediatrics), psychiatry, obstetrics and gynecology, emergency medicine, and pediatrics programs were trained in performing and teaching SBIRT. The SBIRT project faculty trained the residents in their respective disciplines, accommodating discipline-specific implementation issues and developed a SBIRT training Web site. Post-training, residents were observed performing SBIRT with a standardized patient. Measurements included number of residents trained, performance of SBIRT in clinical practice, and training satisfaction. One hundred and ninety-nine residents were trained in SBIRT: 98 internal medicine, 35 psychiatry, 18 obstetrics and gynecology, 21 emergency medicine, and 27 pediatrics residents. To date, 338 self-reported SBIRT clinical encounters have occurred. Of the 196 satisfaction surveys completed, the mean satisfaction score for the training was 1.60 (1 = very satisfied to 5 = very dissatisfied). Standardized patient sessions with SBIRT project faculty supervision were the most positive aspect of the training and length of training was a noted weakness. Implementation of a graduate medical education SBIRT curriculum in a multispecialty format is feasible and acceptable. Future efforts focusing on evaluation of resident SBIRT performance and sustainability of SBIRT are needed.</t>
  </si>
  <si>
    <t>J2: Subst Abus; Tetrault, Jeanette M Green, Michael L Martino, Steve Thung, Stephen F Degutis, Linda C Ryan, Sheryl A Martel, Shara Pantalon, Michael V Bernstein, Steven L O'Connor, Patrick G Fiellin, David A D'Onofrio, Gail; ID: 442</t>
  </si>
  <si>
    <t>Tetrault, Jeanette M. Department of Internal Medicine, Yale University School of Medicine, New Haven, Connecticut 06510, USA. jeanette.tetrault@yale.edu</t>
  </si>
  <si>
    <t>http://ovidsp.ovid.com/ovidweb.cgi?T=JS&amp;CSC=Y&amp;NEWS=N&amp;PAGE=fulltext&amp;D=med7&amp;AN=22489589</t>
  </si>
  <si>
    <t>https://dx.doi.org/10.1080/08897077.2011.640220</t>
  </si>
  <si>
    <t>MEDLINE; Ovid Technologies; Developing and implementing a multispecialty graduate medical education curriculum on Screening, Brief Intervention, and Referral to Treatment (SBIRT)</t>
  </si>
  <si>
    <t>Tetrault,J. M.;Petrakis,I. L.</t>
  </si>
  <si>
    <t>Partnering with Psychiatry to Close the Education Gap: An Approach to the Addiction Epidemic</t>
  </si>
  <si>
    <t>Addiction has reached epidemic proportions in the U.S., yet the workforce prepared to care for this population is woefully inadequate. Of the 23 million Americans suffering from addiction, only 11% receive treatment, creating a substantial treatment gap. There have been calls to improve addiction education at all levels of training in order to prepare medical providers with the skills to identify patients with substance use, briefly treat if indicated, and/or refer more complex cases to specialty care. These calls have been put forth to address the education gap, wherein physicians in training are exposed to numerous patients who are suffering from addiction but have few curricular hours dedicated to the identification and management of this population. We propose that strategic partnerships between psychiatry and internal medicine can address the education gap that exists with regard to addiction, ultimately addressing the treatment gap which is plaguing this country.</t>
  </si>
  <si>
    <t>J2: J Gen Intern Med; Tetrault, Jeanette M Petrakis, Ismene L; ID: 1658</t>
  </si>
  <si>
    <t>Tetrault, Jeanette M. Department of Internal Medicine, Yale University School of Medicine, 367 Cedar Street, Suite 305, New Haven, CT, 06510, USA. jeanette.tetrault@yale.edu. Petrakis, Ismene L. Department of Psychiatry, Yale University School of Medicine, New Haven, CT, USA. Petrakis, Ismene L. VA Connecticut Healthcare System, West Haven, CT, USA.</t>
  </si>
  <si>
    <t>http://ovidsp.ovid.com/ovidweb.cgi?T=JS&amp;CSC=Y&amp;NEWS=N&amp;PAGE=fulltext&amp;D=prem&amp;AN=28766126</t>
  </si>
  <si>
    <t>https://dx.doi.org/10.1007/s11606-017-4140-9</t>
  </si>
  <si>
    <t>MEDLINE; Ovid Technologies; Partnering with Psychiatry to Close the Education Gap: An Approach to the Addiction Epidemic</t>
  </si>
  <si>
    <t>Tetzlaff,J. E.;Collins,G. B.</t>
  </si>
  <si>
    <t>Reentry of anesthesiology residents after treatment of chemical dependency--is it rational?</t>
  </si>
  <si>
    <t>Anesthesiology/ed Education];Humans;Internship and Residency;*Physician Impairment;*Substance-Related Disorders/rh Rehabilitation];Treatment Outcome</t>
  </si>
  <si>
    <t>J2: J Clin Anesth; Tetzlaff, John E Collins, Gregory B Comment on: J Clin Anesth. 2008 Aug;20(5):397-400; PMID: 18761254; ID: 656</t>
  </si>
  <si>
    <t>http://ovidsp.ovid.com/ovidweb.cgi?T=JS&amp;CSC=Y&amp;NEWS=N&amp;PAGE=fulltext&amp;D=med6&amp;AN=18761237</t>
  </si>
  <si>
    <t>https://dx.doi.org/10.1016/j.jclinane.2008.04.001</t>
  </si>
  <si>
    <t>MEDLINE; Ovid Technologies; Reentry of anesthesiology residents after treatment of chemical dependency--is it rational?</t>
  </si>
  <si>
    <t>Thankappan,K. R.;Yamini,T. R.;Mini,G. K.;Arthur,C.;Sairu,P.;Leelamoni,K.;Sani,M.;Unnikrishnan,B.;Basha,S. R.;Nichter,M.</t>
  </si>
  <si>
    <t>Assessing the readiness to integrate tobacco control in medical curriculum: experiences from five medical colleges in Southern India</t>
  </si>
  <si>
    <t>National Medical Journal of India</t>
  </si>
  <si>
    <t>Natl.Med.J.India</t>
  </si>
  <si>
    <t>Cross-Sectional Studies;Curriculum;*Education, Medical;*Faculty, Medical;Female;Humans;India;Male;Smoking;*Smoking Cessation;*Students, Medical/px Psychology]</t>
  </si>
  <si>
    <t>BACKGROUND: Making tobacco cessation a normative part of all clinical practice is the only way to substantially reduce tobacco-related deaths and the burden of tobacco-related morbidity in the short term. This study was undertaken because information on receptivity to integrate tobacco control education in the medical curriculum is extremely limited in low- and middle-income countries. METHODS: From five medical colleges (two government) in southern India, 713 (men 59%) faculty and 2585 (men 48%) students participated in our cross-sectional survey. Information on self-reported tobacco use and readiness to integrate tobacco control education in the medical curriculum was collected from both the faculty and students using a pretested structured questionnaire. Multiple logistic regression analysis was done to find the associated factors. RESULTS: Current smoking was reported by 9.0% (95% CI 6.6-12.1) of men faculty and 13.7% (CI 11.8-15.9) by men students. Faculty who were teaching tobacco-related topics odds ratio (OR) 2.29; 95% CI 1.65-3.20] compared to those who were not, faculty in government colleges (OR 1.69; CI 1.22-2.35) compared to those in private colleges and medical pecialists (OR 1.79; CI 1.23-2.59) compared to surgical and non-clinical specialists were more likely to be ready to integrate tobacco control education in the medical curriculum. Non-smoking students (OR 2.58; CI 2.01-3.33) compared to smokers, and women students (OR 1.80; CI 1.50-2.17) compared to men were more likely to be ready to integrate a tobacco control education in the curriculum. CONCLUSION: Faculty and students are receptive to introduce tobacco control in the medical curriculum. Government faculty, medical specialists and faculty who already teach tobacco-related topics are likely to be early introducers of this new curriculum.</t>
  </si>
  <si>
    <t>J2: Natl Med J India; Thankappan, K R Yamini, T R Mini, G K Arthur, C Sairu, P Leelamoni, K Sani, M Unnikrishnan, B Basha, S R Nichter, M; ID: 326</t>
  </si>
  <si>
    <t>0970-258X</t>
  </si>
  <si>
    <t>Thankappan, K R. Achutha Menon Centre for Health Science Studies (AMCHSS), Sree Chitra Tirunal Institute for Medical Science and Technology (SCTIMST), Thiruvananthapuram 695011, Kerala, India. Quit Tobacco India Project.</t>
  </si>
  <si>
    <t>http://ovidsp.ovid.com/ovidweb.cgi?T=JS&amp;CSC=Y&amp;NEWS=N&amp;PAGE=fulltext&amp;D=med7&amp;AN=24066988</t>
  </si>
  <si>
    <t>MEDLINE; Ovid Technologies; Assessing the readiness to integrate tobacco control in medical curriculum: experiences from five medical colleges in Southern India</t>
  </si>
  <si>
    <t>Thomas,S. E.;Miller,P. M.;Randall,P. K.;Book,S. W.</t>
  </si>
  <si>
    <t>NIHMS71151; Improving acceptance of naltrexone in community addiction treatment centers: a pilot study</t>
  </si>
  <si>
    <t>Adult;*Alcoholism/rh Rehabilitation];Community Health Services;Data Collection;Female;Follow-Up Studies;*Health Knowledge, Attitudes, Practice;Humans;Inservice Training;Male;Middle Aged;*Naltrexone/tu Therapeutic Use];*Narcotic Antagonists/tu Therapeutic Use];Pilot Projects;Substance Abuse Treatment Centers;0 (Narcotic Antagonists);5S6W795CQM (Naltrexone)</t>
  </si>
  <si>
    <t>Alcoholism pharmacotherapies are underused in community addiction treatment settings, in part because individuals who practice in these settings--nonmedical addiction counselors and administrators--lack knowledge about and confidence in the value of adjunctive alcohol pharmacotherapies. We developed and tested an intervention to improve knowledge and attitudes about naltrexone. A team of researchers, physicians, addiction treatment counselors, and administrators collaborated to develop a naltrexone educational intervention designed for nonmedical addiction professionals. The intervention was compared with a control condition in a pilot study with 6 addiction treatment agencies (3 agencies per group). Participants (counselors and administrators, N = 84) were assessed before and 6 months after the intervention. Results revealed that the intervention significantly improved naltrexone knowledge, and participants who received the intervention reported greater satisfaction with the education they received, as well as greater use of the information. The effect of the intervention on attitudes about naltrexone was encouraging but did not to reach statistical significance. This study is the first reported attempt to develop and test an intervention specifically to improve acceptance of adjunctive medications for alcoholism among nonmedical addiction professionals.</t>
  </si>
  <si>
    <t>J2: J Subst Abuse Treat; Thomas, Suzanne E Miller, Peter M Randall, Patrick K Book, Sarah W; ID: 661</t>
  </si>
  <si>
    <t>Thomas, Suzanne E. Center for Drug and Alcohol Programs, Charleston Alcohol Research Center, Department of Psychiatry and Behavioral Sciences, Medical University of South Carolina, Charleston, SC 29425, USA. thomass@musc.edu</t>
  </si>
  <si>
    <t>http://ovidsp.ovid.com/ovidweb.cgi?T=JS&amp;CSC=Y&amp;NEWS=N&amp;PAGE=fulltext&amp;D=med6&amp;AN=18329227</t>
  </si>
  <si>
    <t>https://dx.doi.org/10.1016/j.jsat.2007.11.001</t>
  </si>
  <si>
    <t>MEDLINE; Ovid Technologies; Improving acceptance of naltrexone in community addiction treatment centers: a pilot study</t>
  </si>
  <si>
    <t>Thompson,C.;Dogra,N.;McKinley,R.</t>
  </si>
  <si>
    <t>A survey of general practitioners' opinions and perceived competencies in teaching undergraduate psychiatry</t>
  </si>
  <si>
    <t>Education for Primary Care</t>
  </si>
  <si>
    <t>Adult;Aged;Attitude of Health Personnel;Data Collection;*Education, Medical, Undergraduate;Female;Humans;Male;Middle Aged;*Physicians, Family/px Psychology];*Psychiatry/ed Education];*Self Efficacy;*Teaching</t>
  </si>
  <si>
    <t>INTRODUCTION: There have been increasing numbers of suggestions that general practitioners (GPs) should be more involved in undergraduate teaching. This study looks at GPs' opinions regarding those best placed to deliver undergraduate psychiatry teaching and what areas of the curriculum GPs feel competent to teach. The study aims to inform decisions about the contribution of GPs to the delivery of undergraduate teaching in psychiatry. METHOD: A questionnaire asked GPs about teaching undergraduate psychiatry in both general and specialist areas. RESULTS: The response rate was 61%. Over a third of GPs felt competent to teach psychiatry to undergraduates in a general practice setting, and the vast majority thought psychiatry should be taught by a combination of GPs and psychiatrists. GPs felt least confident about teaching child psychiatry and addiction. CONCLUSIONS: Many GPs would like to be involved in teaching psychiatry and would welcome further training. The study suggests that there is capacity for increasing teaching in collaboration with GPs.</t>
  </si>
  <si>
    <t>J2: Educ; Thompson, Catherine Dogra, Nisha McKinley, Robert; ID: 579</t>
  </si>
  <si>
    <t>1473-9879</t>
  </si>
  <si>
    <t>Thompson, Catherine. Harplands Hospital, Hilton Road, Stoke on Trent ST4 6TH, UK. catherine.thompson@northstaffs.nhs.uk</t>
  </si>
  <si>
    <t>http://ovidsp.ovid.com/ovidweb.cgi?T=JS&amp;CSC=Y&amp;NEWS=N&amp;PAGE=fulltext&amp;D=med6&amp;AN=20202317</t>
  </si>
  <si>
    <t>MEDLINE; Ovid Technologies; A survey of general practitioners' opinions and perceived competencies in teaching undergraduate psychiatry</t>
  </si>
  <si>
    <t>Thompson,C. R.;Del-Pan,N.;Beckson,M.;Weinstock,R.</t>
  </si>
  <si>
    <t>Adolescent substance use disorders and psychiatrists: competent assessment and treatment?</t>
  </si>
  <si>
    <t>Adolescent;*Adolescent Psychiatry/ed Education];Alcoholism/di Diagnosis];Alcoholism/px Psychology];Alcoholism/rh Rehabilitation];Attitude of Health Personnel;*Child Psychiatry/ed Education];Clinical Competence;Comorbidity;Curriculum;Data Collection;Education, Medical, Continuing;Fellowships and Scholarships;Humans;Mass Screening;Mental Disorders/di Diagnosis];Mental Disorders/px Psychology];Mental Disorders/rh Rehabilitation];Substance-Related Disorders/di Diagnosis];Substance-Related Disorders/px Psychology];*Substance-Related Disorders/rh Rehabilitation];United States</t>
  </si>
  <si>
    <t>J2: Am J Addict; Thompson, Christopher R Del-Pan, Nadia Beckson, Mace Weinstock, Robert; ID: 684</t>
  </si>
  <si>
    <t>http://ovidsp.ovid.com/ovidweb.cgi?T=JS&amp;CSC=Y&amp;NEWS=N&amp;PAGE=fulltext&amp;D=med6&amp;AN=18464003</t>
  </si>
  <si>
    <t>https://dx.doi.org/10.1080/10550490802020053</t>
  </si>
  <si>
    <t>MEDLINE; Ovid Technologies; Adolescent substance use disorders and psychiatrists: competent assessment and treatment?</t>
  </si>
  <si>
    <t>Thompson,E. L.;Rao,P. S. S.;Hayes,C.;Purtill,C.</t>
  </si>
  <si>
    <t>Dispensing Naloxone Without a Prescription: Survey Evaluation of Ohio Pharmacists</t>
  </si>
  <si>
    <t>Journal of Pharmacy Practice</t>
  </si>
  <si>
    <t>BACKGROUND: The Centers for Disease Control and Prevention (CDC) reports a 200% escalation in the rate of opioid overdose deaths in the United States. Unfortunately, Ohio has been deemed the epicenter of the nation's opioid epidemic. In 2015, Ohio passed a bill that permits a pharmacist to distribute naloxone without a prescription. OBJECTIVES: This survey was aimed to discover pharmacists' knowledge of naloxone and Ohio law, perceived barriers that may prohibit naloxone dispensing, and Ohio pharmacists' general confidence, comfort, perception, and experience dispensing naloxone per physician protocol. METHODS: Pharmacists' knowledge of naloxone and Ohio law pertaining to dispensing naloxone; perceived barriers to naloxone distribution; and overall experience, willingness, comfort, and perceptions of personally supplying naloxone were assessed using multiple-choice and Likert-type scale questions through an e-mail survey. RESULTS: Overall, Ohio pharmacists were knowledgeable about naloxone and displayed confidence in their training and ability to provide patient education on naloxone. Pharmacists were less certain about Ohio law pertaining to naloxone distribution, especially those who have been in practice longer. Pharmacists indicated several barriers to dispensing naloxone and the need for more training. Younger pharmacists were more likely to report a concern with clientele who would frequent their pharmacy and moral and ethical concerns as barriers to dispensing naloxone. CONCLUSION: Additional educational programs should be delivered to Ohio pharmacists to inform them of the state law and policies. Continuing education programs that review substance abuse and attempt to reduce social stigma may assist with increasing naloxone distribution to those in need, especially, if directed toward younger pharmacists in Ohio.</t>
  </si>
  <si>
    <t>J2: J Pharm Pract; Thompson, Erin L Rao, P S S Hayes, Christopher Purtill, Catherine; ID: 1690</t>
  </si>
  <si>
    <t>1531-1937</t>
  </si>
  <si>
    <t>Thompson, Erin L. 1 Department of Pharmacy Practice, The University of Findlay, Findlay, OH, USA. Rao, P S S. 2 Department of Pharmaceutical Sciences, The University of Findlay, Findlay, OH, USA. Hayes, Christopher. 3 College of Pharmacy, The University of Findlay, Findlay, OH, USA. Purtill, Catherine. 3 College of Pharmacy, The University of Findlay, Findlay, OH, USA.</t>
  </si>
  <si>
    <t>http://ovidsp.ovid.com/ovidweb.cgi?T=JS&amp;CSC=Y&amp;NEWS=N&amp;PAGE=fulltext&amp;D=medp&amp;AN=29478362</t>
  </si>
  <si>
    <t>https://dx.doi.org/10.1177/0897190018759225</t>
  </si>
  <si>
    <t>MEDLINE; Ovid Technologies; Dispensing Naloxone Without a Prescription: Survey Evaluation of Ohio Pharmacists</t>
  </si>
  <si>
    <t>Ti,L.;Milloy,M. J.;Turje,R. B.;Montaner,J.;Wood,E.;Kerr,T.</t>
  </si>
  <si>
    <t>The impact of an HIV/AIDS adult integrated health program on leaving hospital against medical advice among HIV-positive people who use illicit drugs</t>
  </si>
  <si>
    <t>Journal of Public Health</t>
  </si>
  <si>
    <t>e33</t>
  </si>
  <si>
    <t>*Acquired Immunodeficiency Syndrome/px Psychology];Adult;Cohort Studies;*Drug Users/ed Education];*Drug Users/px Psychology];Female;*HIV Infections/px Psychology];Humans;Male;Middle Aged;*Patient Discharge/sn Statistics &amp; Numerical Data];*Patient Education as Topic;*Substance-Related Disorders/px Psychology]</t>
  </si>
  <si>
    <t>Background: Leaving hospital against medical advice (AMA) is a major source of avoidable morbidity, mortality and healthcare expenditure. The objective of this study was to assess the impact of an innovative HIV/AIDS adult integrated health program on leaving hospital AMA among HIV-positive people who use illicit drugs (PWUD). Methods: Using generalized estimating equations, we examined the relationship between being a participant of the Dr. Peter Centre (DPC), a specialty HIV/AIDS-focused adult integrated health program, and leaving hospital AMA among a cohort of HIV-positive PWUD patients. Results: Between July 2005 and July 2011, 181 HIV-positive PWUD who experienced &gt;=1 hospitalization were recruited into the study. Of the 406 hospital admissions among these individuals, 73 (39.9%) participants left the hospital AMA. In a multivariable model adjusted for confounders, being a participant of the DPC was independently associated with lower odds of leaving hospital AMA (adjusted odds ratio = 0.42; 95% confidence interval: 0.19-0.89). Conclusions: Our findings suggest that the provision of a broad range of clinical, harm reduction and support services through an innovative HIV/AIDS-focused adult integrated health program operating in proximity to a hospital may curb the rate at which individuals leave hospital prematurely.</t>
  </si>
  <si>
    <t>J2: J Public Health (Oxf); Ti, Lianping Milloy, M-J Turje, Rosalind Baltzer Montaner, Julio Wood, Evan Kerr, Thomas; ID: 2</t>
  </si>
  <si>
    <t>1741-3850</t>
  </si>
  <si>
    <t>Ti, Lianping. British Columbia Centre for Excellence in HIV/AIDS, St. Paul's Hospital, 1081 Burrard Street, Vancouver, BC, Canada V6Z 1Y6. Ti, Lianping. Department of Medicine, University of British Columbia, 2775 Laurel Street, Vancouver, BC, Canada V5Z 1M9. Milloy, M-J. British Columbia Centre for Excellence in HIV/AIDS, St. Paul's Hospital, 1081 Burrard Street, Vancouver, BC, Canada V6Z 1Y6. Milloy, M-J. Department of Medicine, University of British Columbia, 2775 Laurel Street, Vancouver, BC, Canada V5Z 1M9. Turje, Rosalind Baltzer. Dr. Peter AIDS Foundation, 1110 Comox Street, Vancouver, BC, CanadaV6E 1K5. Montaner, Julio. British Columbia Centre for Excellence in HIV/AIDS, St. Paul's Hospital, 1081 Burrard Street, Vancouver, BC, Canada V6Z 1Y6. Montaner, Julio. Department of Medicine, University of British Columbia, 2775 Laurel Street, Vancouver, BC, Canada V5Z 1M9. Wood, Evan. British Columbia Centre for Excellence in HIV/AIDS, St. Paul's Hospital, 1081 Burrard Street, Vancouver, BC, Canada V6Z 1Y6. Wood, Evan. Department of Medicine, University of British Columbia, 2775 Laurel Street, Vancouver, BC, Canada V5Z 1M9. Kerr, Thomas. British Columbia Centre for Excellence in HIV/AIDS, St. Paul's Hospital, 1081 Burrard Street, Vancouver, BC, Canada V6Z 1Y6. Kerr, Thomas. Department of Medicine, University of British Columbia, 2775 Laurel Street, Vancouver, BC, Canada V5Z 1M9.</t>
  </si>
  <si>
    <t>http://ovidsp.ovid.com/ovidweb.cgi?T=JS&amp;CSC=Y&amp;NEWS=N&amp;PAGE=fulltext&amp;D=medl&amp;AN=27412179</t>
  </si>
  <si>
    <t>https://dx.doi.org/10.1093/pubmed/fdw057</t>
  </si>
  <si>
    <t>MEDLINE; Ovid Technologies; The impact of an HIV/AIDS adult integrated health program on leaving hospital against medical advice among HIV-positive people who use illicit drugs</t>
  </si>
  <si>
    <t>Timisjarvi,J.;Jarvensivu,P.;Hirvonen,L.</t>
  </si>
  <si>
    <t>Tobacco smoking and educational achievement]</t>
  </si>
  <si>
    <t>Nordisk Medicin</t>
  </si>
  <si>
    <t>Nord.Med.</t>
  </si>
  <si>
    <t>*Educational Measurement;Female;Finland;Humans;Male;Smoking/ep Epidemiology];*Smoking;*Students;Students, Medical</t>
  </si>
  <si>
    <t>J2: Nord Med; Swedish Timisjarvi, J Jarvensivu, P Hirvonen, L; OP: Tobaksrokning och studieframgang; ID: 1557</t>
  </si>
  <si>
    <t>0029-1420</t>
  </si>
  <si>
    <t>http://ovidsp.ovid.com/ovidweb.cgi?T=JS&amp;CSC=Y&amp;NEWS=N&amp;PAGE=fulltext&amp;D=med1&amp;AN=4457830</t>
  </si>
  <si>
    <t>MEDLINE; Ovid Technologies; [Tobacco smoking and educational achievement]</t>
  </si>
  <si>
    <t>Tinsley,J. A.</t>
  </si>
  <si>
    <t>Workforce information on addiction psychiatry graduates</t>
  </si>
  <si>
    <t>*Accreditation;Data Collection;*Education, Medical/st Standards];Medicine;*Psychiatry/ed Education];*Psychiatry/ma Manpower];Specialization;*Substance-Related Disorders;United States</t>
  </si>
  <si>
    <t>OBJECTIVE: The aim of this paper is to report workforce information about graduates from accredited training programs in addiction psychiatry. METHODS: As of June 30, 2002 there were 44 ACGME-accredited addiction psychiatry programs. The author asked the directors of these programs to complete a workforce survey about their graduates. RESULTS: Seventy-three percent of program directors responded, providing information about 186 addiction psychiatrists. Forty-one percent of the graduates were employed in academic settings. Sixty-four percent of graduates employed in clinical settings dealt primarily with substance abuse patients. A majority of respondents described graduates as satisfied with compensation packages. CONCLUSION: Addiction psychiatry offers opportunities in a variety of settings that allow new graduates to utilize their subspecialty training.</t>
  </si>
  <si>
    <t>J2: Acad Psychiatry; Tinsley, Joyce A; ID: 900</t>
  </si>
  <si>
    <t>Tinsley, Joyce A. University of Connecticut, Farmington, Connecticut, USA. tinsley@psychiatry.uchc.edu</t>
  </si>
  <si>
    <t>http://ovidsp.ovid.com/ovidweb.cgi?T=JS&amp;CSC=Y&amp;NEWS=N&amp;PAGE=fulltext&amp;D=med5&amp;AN=15140809</t>
  </si>
  <si>
    <t>MEDLINE; Ovid Technologies; Workforce information on addiction psychiatry graduates</t>
  </si>
  <si>
    <t>Tipton,C. M.</t>
  </si>
  <si>
    <t>Sports medicine: a century of progress</t>
  </si>
  <si>
    <t>Journal of Nutrition</t>
  </si>
  <si>
    <t>J.Nutr.</t>
  </si>
  <si>
    <t>878S</t>
  </si>
  <si>
    <t>885S</t>
  </si>
  <si>
    <t>Doping in Sports;Exercise;Female;History, 19th Century;History, 20th Century;Humans;Male;Nutritional Physiological Phenomena;Physical Endurance;*Sports;*Sports Medicine/hi History]</t>
  </si>
  <si>
    <t>According to the international Olympic Committee, it is the responsibility of the sports medicine profession to care for the health and welfare of Olympic athletes, treat and prevent injuries, conduct medical examinations, evaluate performance capacity, provide nutritional advice, prescribe and supervise training programs, and to monitor substance use. Implicit in these functions is to assist Olympic athletes in achieving the objectives of the Olympic Motto (Citius, Altius, Fortius), which is to become faster, higher, and stronger. During the past Olympiads, athletic performance has increased, as indicated by times for the men's marathon (-28%) or by the distance covered in the women's javelin throw (+80%). However, the fulfillment of these responsibilities was a slow and protracted process, as demonstrated by the facts that medical examinations were not required until 1920, that 28 years elapsed before an official team physician was appointed, and that women had to wait until 1984 before sanction was given to compete in the marathon race. Doping was not defined until 1964, and monitoring of substance abuse did not materialize until after 1972. Although individuals have prepared for athletic competition since the ancient Olympics, the scientific foundations for various training prescriptions were not firmly established until the 1960s and 1970s. It was speculated that performance records will continue to improve in the next century because more scientific sports medicine information would be available and because such information would be better disseminated to athletes.</t>
  </si>
  <si>
    <t>J2: J Nutr; Tipton, C M; ID: 1141</t>
  </si>
  <si>
    <t>0022-3166</t>
  </si>
  <si>
    <t>Tipton, C M. Department of Physiology, University of Arizona, Tucson 85271-0093, USA.</t>
  </si>
  <si>
    <t>http://ovidsp.ovid.com/ovidweb.cgi?T=JS&amp;CSC=Y&amp;NEWS=N&amp;PAGE=fulltext&amp;D=med4&amp;AN=9164256</t>
  </si>
  <si>
    <t>MEDLINE; Ovid Technologies; Sports medicine: a century of progress</t>
  </si>
  <si>
    <t>Tischler,V.</t>
  </si>
  <si>
    <t>Dr Junkie. The Doctor Addict in Bulgakov's Morphine: What are the Lessons for Contemporary Medical Practice?</t>
  </si>
  <si>
    <t>Journal of Medical Humanities</t>
  </si>
  <si>
    <t>J.Med.Humanit.</t>
  </si>
  <si>
    <t>*Education, Medical;Health Knowledge, Attitudes, Practice;Humanities;Humans;*Morphine Dependence;Narration;*Physician Impairment;United States</t>
  </si>
  <si>
    <t>Historical, cultural and professional factors have contributed to stigma and secrecy regarding addiction in the medical profession and there are calls to improve education in this area. This paper argues that physician-penned literature plays an important role in raising awareness of substance misuse in the medical profession. Bulgakov's short story Morphine documents the decline of Dr Polyakov and illustrates a number of salient professional issues such as self-medication, abuse of authority and risks to patients. Physician-penned literature such as Morphine is of value in medical education as it offers a route into sensitive topics and an authoritative and insider perspective that is attractive to students and physicians alike.</t>
  </si>
  <si>
    <t>J2: J Med Humanit; Tischler, Victoria; ID: 128</t>
  </si>
  <si>
    <t>1573-3645</t>
  </si>
  <si>
    <t>Tischler, Victoria. Division of Psychiatry and Applied Psychology, Institute of Mental Health, University of Nottingham, Triumph Road, Nottingham, NG7 2TU, UK. victoria.tischler@nottingham.ac.uk.</t>
  </si>
  <si>
    <t>http://ovidsp.ovid.com/ovidweb.cgi?T=JS&amp;CSC=Y&amp;NEWS=N&amp;PAGE=fulltext&amp;D=med8&amp;AN=24221860</t>
  </si>
  <si>
    <t>https://dx.doi.org/10.1007/s10912-013-9259-z</t>
  </si>
  <si>
    <t>MEDLINE; Ovid Technologies; Dr Junkie. The Doctor Addict in Bulgakov's Morphine: What are the Lessons for Contemporary Medical Practice?</t>
  </si>
  <si>
    <t>Tober,G.</t>
  </si>
  <si>
    <t>The Society for the Study of Addiction (SSA)</t>
  </si>
  <si>
    <t>Behavior, Addictive/hi History];*Behavior, Addictive/pc Prevention &amp; Control];Biomedical Research;History, 19th Century;History, 20th Century;Humans;London;Societies, Medical/hi History];*Societies, Medical/og Organization &amp; Administration];Substance-Related Disorders/hi History];*Substance-Related Disorders/pc Prevention &amp; Control]</t>
  </si>
  <si>
    <t>The Society for the Study of Addiction (SSA) is a learned society which is a company limited by guarantee with charitable status, an independent organization promoting the cause of research, public policy and treatment of addiction. Founded in London in 1884 with the aim of promoting a research-based understanding of inebriety, it is the oldest society of its kind. The pursuit and enhancement of evidence-based policy and treatment informed its work in the early days and has remained its organizing principle throughout its history. Led initially by medical political interests, the Society has grown to encompass a broader disciplinary base, reflecting the expansion of interest in addiction from biological, psychological and social science into nursing, social work, probation, other arms of criminal justice work and voluntary sector professionals. Today its membership is made up of researchers, practitioners and policy makers from all these disciplines, the majority of whom reside and work in the United Kingdom; its international membership makes up nearly one-third of the total membership and there are current endeavours to expand collaboration with other national societies in the field. Its activities are focused upon the Society journals, Addiction and Addiction Biology, other publishing activities, the annual symposium and a number of policy initiatives.</t>
  </si>
  <si>
    <t>J2: Addiction; Tober, Gillian; ID: 898</t>
  </si>
  <si>
    <t>Tober, Gillian. Leeds Addiction Unit, Leeds, UK. gillian.tober@nhs.net</t>
  </si>
  <si>
    <t>http://ovidsp.ovid.com/ovidweb.cgi?T=JS&amp;CSC=Y&amp;NEWS=N&amp;PAGE=fulltext&amp;D=med5&amp;AN=15139866</t>
  </si>
  <si>
    <t>MEDLINE; Ovid Technologies; The Society for the Study of Addiction (SSA)</t>
  </si>
  <si>
    <t>Tober,G.;Raistrick,D.</t>
  </si>
  <si>
    <t>Development of a district training strategy</t>
  </si>
  <si>
    <t>Alcoholism/pc Prevention &amp; Control];*Alcoholism/rh Rehabilitation];Curriculum;Humans;*Physicians, Family/ed Education];*Psychiatry/ed Education];Substance-Related Disorders/pc Prevention &amp; Control];*Substance-Related Disorders/rh Rehabilitation];United Kingdom</t>
  </si>
  <si>
    <t>This paper reiterates the need for training in addiction for primary care workers and proposes motivational and structural explanatory frameworks to further our understanding of the difficulties in recruitment of staff from the variety of occupational groups to substance misuse training. This analysis is applied to inform the design and delivery of training locally. The basic tenets of a district training strategy are derived from this analysis and the training strategy for the two Leeds District Health Authorities is described. The strategy is based upon identification of the specific occupational needs of each primary care worker group at each stage of their career, and upon the utilization of available resources to fulfil their training needs in the occupation specific context. The different occupational groups have different roles to play in the prevention and management of substance misuse and the specific skills required will be closely tied into their particular role and based upon pre-existing skills. The resources for and methods of implementing the strategy are described.</t>
  </si>
  <si>
    <t>J2: Br J Addict; Tober, G Raistrick, D; ID: 1326</t>
  </si>
  <si>
    <t>Tober, G. Leeds Addiction Unit, UK.</t>
  </si>
  <si>
    <t>http://ovidsp.ovid.com/ovidweb.cgi?T=JS&amp;CSC=Y&amp;NEWS=N&amp;PAGE=fulltext&amp;D=med3&amp;AN=2289055</t>
  </si>
  <si>
    <t>MEDLINE; Ovid Technologies; Development of a district training strategy</t>
  </si>
  <si>
    <t>Tobin,H.;Klimas,J.;Barry,T.;Egan,M.;Bury,G.</t>
  </si>
  <si>
    <t>Opiate use disorders and overdose: Medical students' experiences, satisfaction with learning, and attitudes toward community naloxone provision</t>
  </si>
  <si>
    <t>INTRODUCTION: Opiate use disorder is a common condition in healthcare services in Ireland, where over 200 opiate overdose deaths occur annually. There is limited addiction medicine education at undergraduate level and medical graduates may not be adequately prepared to diagnose and manage opioid use disorders and emergency drug overdose presentations. Therefore, we examined final-year medical students' learning experiences and attitudes toward opioid use disorder, overdose and community naloxone provision as an emerging overdose treatment. METHODS: We administered an anonymous paper-based survey to 243 undergraduate medical students undertaking their final professional completion module prior to graduation from University College Dublin, Ireland. Results were compared with parallel surveys of General Practitioners (GPs) and GP trainees. RESULTS: A total of 197 (82.1%) completed the survey. Just under half were male, and most were aged under 25 (63.3%) and of Irish nationality (76.7%). The students felt moderately prepared to recognise opioid use disorder, but felt less prepared to manage other aspects of its care. Most had taken a history from a patient with an opioid use disorder (82.8%), and a third had witnessed at least one opioid overdose. Although 10.3% had seen naloxone administered, most had never administered naloxone themselves (98.5%). Half supported wider naloxone availability; this was lower than support rates among GPs (63.6%) and GP trainees (66.1%). CONCLUSIONS: Our findings suggest an unmet learning need in undergraduate training on opioid use disorder, with potential consequences for patient care.</t>
  </si>
  <si>
    <t>J2: Addict Behav; Using Smart Source Parsing Nov Tobin, H Klimas, J Barry, T Egan, M Bury, G S0306-4603(17)30436-7; ID: 1693</t>
  </si>
  <si>
    <t>Tobin, H. UCD Centre for Emergency Medical Science, School of Medicine, Health Sciences Centre, University College Dublin, Belfield, Dublin 4, Ireland. Electronic address: helen.tobin@ucd.ie. Klimas, J. UCD Centre for Emergency Medical Science, School of Medicine, Health Sciences Centre, University College Dublin, Belfield, Dublin 4, Ireland; British Columbia Centre for Excellence in HIV/AIDS, St. Paul's Hospital, 608-1081 Burrard Street, Vancouver, BC V6Z 1Y6, Canada; Department of Medicine, University of British Columbia, St. Paul's Hospital, 608-1081 Burrard Street, Vancouver, BC V6Z 1Y6, Canada. Barry, T. UCD Centre for Emergency Medical Science, School of Medicine, Health Sciences Centre, University College Dublin, Belfield, Dublin 4, Ireland. Egan, M. UCD Centre for Emergency Medical Science, School of Medicine, Health Sciences Centre, University College Dublin, Belfield, Dublin 4, Ireland. Bury, G. UCD Centre for Emergency Medical Science, School of Medicine, Health Sciences Centre, University College Dublin, Belfield, Dublin 4, Ireland.</t>
  </si>
  <si>
    <t>http://ovidsp.ovid.com/ovidweb.cgi?T=JS&amp;CSC=Y&amp;NEWS=N&amp;PAGE=fulltext&amp;D=medp&amp;AN=29198489</t>
  </si>
  <si>
    <t>https://dx.doi.org/10.1016/j.addbeh.2017.11.028</t>
  </si>
  <si>
    <t>MEDLINE; Ovid Technologies; Opiate use disorders and overdose: Medical students' experiences, satisfaction with learning, and attitudes toward community naloxone provision</t>
  </si>
  <si>
    <t>Todd,M. C.</t>
  </si>
  <si>
    <t>II. Brown University Alcoholism Conference: Keynote address: How future physicians must see the alcoholic</t>
  </si>
  <si>
    <t>90, 401</t>
  </si>
  <si>
    <t>*Alcoholism;Education, Medical;Humans;*Physicians</t>
  </si>
  <si>
    <t>J2: R I Med J; Todd, M C; ID: 1544</t>
  </si>
  <si>
    <t>http://ovidsp.ovid.com/ovidweb.cgi?T=JS&amp;CSC=Y&amp;NEWS=N&amp;PAGE=fulltext&amp;D=med1&amp;AN=127374</t>
  </si>
  <si>
    <t>MEDLINE; Ovid Technologies; II. Brown University Alcoholism Conference: Keynote address: How future physicians must see the alcoholic</t>
  </si>
  <si>
    <t>Tompkins-Dobbs,K.;Schiefelbein,J.</t>
  </si>
  <si>
    <t>Emergency department policies and procedures for treatment of patients abusing methamphetamine</t>
  </si>
  <si>
    <t>Journal of Emergency Nursing</t>
  </si>
  <si>
    <t>Education, Medical, Continuing;*Emergency Service, Hospital/st Standards];Female;*Health Policy;Hospitals, Rural;Hospitals, Urban;Humans;*Methamphetamine/ae Adverse Effects];Nursing Research;Patient Care Team/og Organization &amp; Administration];Policy Making;Practice Patterns, Nurses'/st Standards];Practice Patterns, Nurses'/td Trends];Risk Assessment;Substance-Related Disorders/di Diagnosis];Substance-Related Disorders/ep Epidemiology];Substance-Related Disorders/nu Nursing];*Substance-Related Disorders/th Therapy];*Surveys and Questionnaires;Treatment Outcome;United States;44RAL3456C (Methamphetamine)</t>
  </si>
  <si>
    <t>J2: J Emerg Nurs; Tompkins-Dobbs, Karen Schiefelbein, Janis; ID: 485</t>
  </si>
  <si>
    <t>1527-2966</t>
  </si>
  <si>
    <t>Tompkins-Dobbs, Karen. School of Nursing, Pittsburg State University, Pittsburg KS, USA. ktompkinsdobbs@kumc.edu</t>
  </si>
  <si>
    <t>http://ovidsp.ovid.com/ovidweb.cgi?T=JS&amp;CSC=Y&amp;NEWS=N&amp;PAGE=fulltext&amp;D=med7&amp;AN=21889651</t>
  </si>
  <si>
    <t>https://dx.doi.org/10.1016/j.jen.2010.07.001</t>
  </si>
  <si>
    <t>MEDLINE; Ovid Technologies; Emergency department policies and procedures for treatment of patients abusing methamphetamine</t>
  </si>
  <si>
    <t>Tong,S.;Sabo,R.;Aycock,R.;Prasad,R.;Etz,R.;Kuzel,A.;Krist,A.</t>
  </si>
  <si>
    <t>Assessment of Addiction Medicine Training in Family Medicine Residency Programs: A CERA Study</t>
  </si>
  <si>
    <t>BACKGROUND AND OBJECTIVES: Substance use disorder (SUD) is a widespread problem but physicians may feel inadequately prepared to provide addiction care. We sought to assess current addiction medicine curricula in US family medicine residencies (FMRs) and evaluate barriers to improving or implementing addiction medicine curricula. METHODS: Questions regarding addiction medicine training were added to the December 2015 Council of Academic Family Medicine Educational Research Alliance (CERA) survey to US FMR program directors to evaluate each FMR's curriculum, potential workforce production, perceived barriers to improving or implementing curricula and faculty training in addiction medicine. RESULTS: Of 461 FMR directors, 227 (49.2%) responded; 28.6% reported a required addiction medicine curricula. Regional variations of having a required curriculum ranged from 41.3% in the Northeast to 20.0% in the South (P=0.07). Of residencies, 31.2% had at least one graduate obtain a buprenorphine prescription waiver in the past year and 8.6% had at least one graduate pursue an addiction medicine fellowship in the past 5 years. Lack of faculty expertise was the most commonly cited barrier to having a curriculum, with only 36.2% of programs having at least one buprenorphine waivered faculty member, 9.4% an addiction medicine board certified faculty, and 5.5% a fellowship trained faculty. CONCLUSIONS: Few FMRs have addiction medicine curricula and most graduates do not seek additional training. Multifaceted efforts, including developing model national curricula, training existing faculty, and recruiting addiction trained faculty, may improve addiction medicine training in family medicine residencies to better address the growing SUD epidemic.</t>
  </si>
  <si>
    <t>J2: Fam Med; Tong, Sebastian Sabo, Roy Aycock, Rebecca Prasad, Ramakrishna Etz, Rebecca Kuzel, Anton Krist, Alex; ID: 1663</t>
  </si>
  <si>
    <t>Tong, Sebastian. Virginia Commonwealth University.</t>
  </si>
  <si>
    <t>http://ovidsp.ovid.com/ovidweb.cgi?T=JS&amp;CSC=Y&amp;NEWS=N&amp;PAGE=fulltext&amp;D=prem&amp;AN=28724151</t>
  </si>
  <si>
    <t>MEDLINE; Ovid Technologies; Assessment of Addiction Medicine Training in Family Medicine Residency Programs: A CERA Study</t>
  </si>
  <si>
    <t>Tonies,H.;Maier,M.;Bawert,A.</t>
  </si>
  <si>
    <t>Medical quality circles for drug replacement therapy]</t>
  </si>
  <si>
    <t>15-16</t>
  </si>
  <si>
    <t>Austria;Curriculum;Education, Medical, Continuing;Family Practice/ed Education];Humans;*Management Quality Circles;*Narcotics/tu Therapeutic Use];Opioid-Related Disorders/di Diagnosis];Opioid-Related Disorders/px Psychology];*Opioid-Related Disorders/rh Rehabilitation];Program Evaluation;Substance Abuse Treatment Centers;0 (Narcotics)</t>
  </si>
  <si>
    <t>Drug replacement therapy using synthetic opioids is in Vienna mostly carried out by primary care physicians. Group teaching in quality assurance groups has been installed in order to give these doctors the necessary personal and informational assistance. Evaluation has shown that: 1. 90% of the doctors were highly or well satisfied with the teaching. Only 10% were slightly critical. 2. They could better communicate with, and were able to show more tolerance towards, the "difficult" patients. 3. Specialized knowledge increased (risk of infection, "management of hepatitis", contact with authorities, co-medication). 4. Some critical remarks pointed towards ways in which this particular further education could in future be better organized and dealt with more intensively.</t>
  </si>
  <si>
    <t>J2: Wien Med Wochenschr; German Tonies, Hans Maier, Manfred Bawert, Andjela; OP: Verbesserte Umsetzung der Substitutionstherapie bei Drogenabhangigen durch Qualitatszirkel fur Arzte; ID: 794</t>
  </si>
  <si>
    <t>Tonies, Hans. Abteilung fur Allgemeinmedizin am Zentrum fur Public Health der Medizinischen Universitat Wien, Wien, Austria. hans.toenies@meduniwien.ac.at</t>
  </si>
  <si>
    <t>http://ovidsp.ovid.com/ovidweb.cgi?T=JS&amp;CSC=Y&amp;NEWS=N&amp;PAGE=fulltext&amp;D=med5&amp;AN=17041770</t>
  </si>
  <si>
    <t>MEDLINE; Ovid Technologies; [Medical quality circles for drug replacement therapy]</t>
  </si>
  <si>
    <t>Tontchev,G. V.;Housel,T. R.;Callahan,J. F.;Kunz,K. B.;Miller,M. M.;Blondell,R. D.</t>
  </si>
  <si>
    <t>NIHMS292343; Specialized training on addictions for physicians in the United States</t>
  </si>
  <si>
    <t>*Clinical Medicine/ed Education];Education, Medical, Graduate/mt Methods];*Education, Medical, Graduate/og Organization &amp; Administration];*Education, Medical, Graduate/sn Statistics &amp; Numerical Data];*Fellowships and Scholarships/sn Statistics &amp; Numerical Data];Humans;*Substance Abuse Treatment Centers/ma Manpower];*Substance-Related Disorders;United States</t>
  </si>
  <si>
    <t>In the United States accredited residency programs in addiction exist only for psychiatrists specializing in addiction psychiatry (ADP); nonpsychiatrists seeking training in addiction medicine (ADM) can train in nonaccredited "fellowships," or can receive training in some ADP programs, only to not be granted a certificate of completion of accredited training. Information about ADP residency programs has been tabulated, but it is not available for ADM fellowships. The authors conducted a national survey to compile information about the location, structure, curriculum, and other characteristics of active ADM fellowships. Of the 40 accredited ADP residency programs, 7 offered training in addiction to nonpsychiatrists. The authors identified 14 nonaccredited ADM fellowships. In 2009 and 2010, there were approximately 15 nonpsychiatrists in ADP programs and 25 in ADM fellowships. Clinical experiences included inpatient services, outpatient treatment services such as methadone maintenance or buprenorphine maintenance, and providing addiction consult services. The most common academic activities included weekly lectures and the teaching of medical students.</t>
  </si>
  <si>
    <t>J2: Subst Abus; Tontchev, Gramen V Housel, Timothy R Callahan, James F Kunz, Kevin B Miller, Michael M Blondell, Richard D; ID: 507</t>
  </si>
  <si>
    <t>Tontchev, Gramen V. Department of Family Medicine, University at Buffalo, Buffalo, New York 14215, USA.</t>
  </si>
  <si>
    <t>http://ovidsp.ovid.com/ovidweb.cgi?T=JS&amp;CSC=Y&amp;NEWS=N&amp;PAGE=fulltext&amp;D=med7&amp;AN=21534129</t>
  </si>
  <si>
    <t>https://dx.doi.org/10.1080/08897077.2011.555702</t>
  </si>
  <si>
    <t>MEDLINE; Ovid Technologies; Specialized training on addictions for physicians in the United States</t>
  </si>
  <si>
    <t>Torabi,M. R.;Tao,R.;Jay,S. J.;Olcott,C.</t>
  </si>
  <si>
    <t>A cross-sectional survey on the inclusion of tobacco prevention/cessation, nutrition/ diet, and exercise physiology/fitness education in medical school curricula</t>
  </si>
  <si>
    <t>Adult;Cross-Sectional Studies;*Curriculum;*Education, Medical, Undergraduate/og Organization &amp; Administration];*Exercise;Female;Health Promotion;Humans;Male;Middle Aged;*Nutritional Sciences/ed Education];Physical Fitness;*Primary Prevention;Schools, Medical;*Smoking Cessation;Surveys and Questionnaires;*Tobacco Use Disorder/pc Prevention &amp; Control];United States</t>
  </si>
  <si>
    <t>Chronic diseases are currently the major cause of death and disability worldwide. Addressing the main causes of chronic diseases from a preventive perspective is imperative for half ing a continual increase in premature deaths. Physicians occupy a unique position to assist individuals with chronic disease prevention. Hence, medical school is an opportunity to prepare physicians for preventive interventions with patients at risk for developing chronic diseases. This study asserts that education on chronic disease prevention that targets tobacco cessation/prevention, nutrition/ diet, and exercise physiology/fitness is a key aspect of medical school curricula. However, many US medical schools do not include all 3 components in their curricula. This study investigates the extent to which medical school curricula include the above 3 areas. Two methods were utilized for the study: (1) a cross-sectional survey was given to the associate dean of academic affairs of 129 US medical schools and (2) relevant data were retrieved from the Association of American Medical Colleges. Findings support the notion that medical schools are in need of increased curricula covering tobacco prevention/cessation, nutrition/diet, and exercise physiology/fitness. Results indicate that exercise physiology/fitness was the area receiving the least attention in medical schools. Ultimately, this study's purpose was to provide a basis for determining whether inclusion of these 3 subjects in medical school curricula has any significant effect on training future doctors to meet the needs of growing numbers of individuals with chronic disease.</t>
  </si>
  <si>
    <t>J2: J Natl Med Assoc; Torabi, Mohammad R Tao, Ran Jay, Stephen J Olcott, Courtney; ID: 498</t>
  </si>
  <si>
    <t>Torabi, Mohammad R. Department of Applied Health Science, Indiana University, Bloomington, IN 47405, USA. torabi@indiana.edu</t>
  </si>
  <si>
    <t>http://ovidsp.ovid.com/ovidweb.cgi?T=JS&amp;CSC=Y&amp;NEWS=N&amp;PAGE=fulltext&amp;D=med7&amp;AN=21809789</t>
  </si>
  <si>
    <t>MEDLINE; Ovid Technologies; A cross-sectional survey on the inclusion of tobacco prevention/cessation, nutrition/ diet, and exercise physiology/fitness education in medical school curricula</t>
  </si>
  <si>
    <t>Toraker,P.;Rydberg,U. S.</t>
  </si>
  <si>
    <t>New mandatory course in alcohol and drug dependence for medical students at the Karolinska Institute</t>
  </si>
  <si>
    <t>*Alcoholism/rh Rehabilitation];Attitude of Health Personnel;Curriculum;*Education, Medical;Humans;*Substance-Related Disorders/rh Rehabilitation];Sweden</t>
  </si>
  <si>
    <t>Traditionally, instruction concerning alcohol and drug dependence has been insignificant in medical schools. The Karolinska Institute in Stockholm, Sweden, decided to introduce a special course starting in the academic year of 1983-84. It is given 4 times a year and is of a comprehensive nature. It comprises 2 weeks, 1 week of lectures and 1 week of clinical training and is followed by a separate examination. The first 7 courses from the fall of 1983 to the spring of 1985 are described and evaluated here. Evidently, the new course is much appreciated by the students and there is also a marked shift in opinion towards a more positive attitude in coping with these problems.</t>
  </si>
  <si>
    <t>J2: Adv Alcohol Subst Abuse; Toraker, P Rydberg, U S; ID: 1385</t>
  </si>
  <si>
    <t>Toraker, P. Karolinska Institute, Department of Psychiatry, Huddinge University Hospital, Sweden.</t>
  </si>
  <si>
    <t>http://ovidsp.ovid.com/ovidweb.cgi?T=JS&amp;CSC=Y&amp;NEWS=N&amp;PAGE=fulltext&amp;D=med3&amp;AN=2711914</t>
  </si>
  <si>
    <t>MEDLINE; Ovid Technologies; New mandatory course in alcohol and drug dependence for medical students at the Karolinska Institute</t>
  </si>
  <si>
    <t>Torregrossa,M. M.;Taylor,J. R.</t>
  </si>
  <si>
    <t>Neuroscience of learning and memory for addiction medicine: from habit formation to memory reconsolidation</t>
  </si>
  <si>
    <t>Behavior, Addictive/pp Physiopathology];*Behavior, Addictive/px Psychology];*Cues;*Habits;Humans;*Learning/ph Physiology];*Memory/ph Physiology];Substance-Related Disorders/pp Physiopathology];*Substance-Related Disorders/px Psychology]</t>
  </si>
  <si>
    <t>Identifying effective pharmacological treatments for addictive disorders has remained an elusive goal. Many different classes of drugs have shown some efficacy in preclinical models, but the number of effective clinical therapeutics has remained stubbornly low. The persistence of drug use and the high frequency of relapse is at least partly attributable to the enduring ability of environmental stimuli associated with drug use to maintain behavioral patterns of drug use and induce craving during abstinence. We propose that stimuli associated with drug use exert such powerful control over behavior through the development of abnormally strong memories, and their ability to initiate subconscious sequences of motor actions (habits) that promote uncontrolled drug use. In this chapter, we will review the evidence suggesting that drugs of abuse strengthen associations with cues in the environment and facilitate habit formation. We will also discuss potential mechanisms for disrupting memories associated with drug use to help improve treatments for addiction.</t>
  </si>
  <si>
    <t>J2: Prog Brain Res; Torregrossa, Mary M Taylor, Jane R S0079-6123(15)00112-0; ID: 104</t>
  </si>
  <si>
    <t>Torregrossa, Mary M. Department of Psychiatry, University of Pittsburgh, Pittsburgh, PA, USA. Electronic address: torregrossam@upmc.edu. Taylor, Jane R. Department of Psychiatry, Yale University, New Haven, CT, USA.</t>
  </si>
  <si>
    <t>http://ovidsp.ovid.com/ovidweb.cgi?T=JS&amp;CSC=Y&amp;NEWS=N&amp;PAGE=fulltext&amp;D=med8&amp;AN=26806773</t>
  </si>
  <si>
    <t>https://dx.doi.org/10.1016/bs.pbr.2015.07.006</t>
  </si>
  <si>
    <t>MEDLINE; Ovid Technologies; Neuroscience of learning and memory for addiction medicine: from habit formation to memory reconsolidation</t>
  </si>
  <si>
    <t>Torrens,P. R.;Lynch,B. S.;Bonnie,R. J.</t>
  </si>
  <si>
    <t>From the Institute of Medicine</t>
  </si>
  <si>
    <t>Adolescent;*Adolescent Behavior;*Health Promotion;Humans;National Academies of Science, Engineering, and Medicine (U.S.) Health and Medicine Division;*Smoking Prevention;*Tobacco Use Disorder/pc Prevention &amp; Control];United States</t>
  </si>
  <si>
    <t>J2: Jama; Torrens, P R Lynch, B S Bonnie, R J; ID: 1201</t>
  </si>
  <si>
    <t>Torrens, P R. Committee on Preventing Nicotine Addiction in Children and Youths.</t>
  </si>
  <si>
    <t>http://ovidsp.ovid.com/ovidweb.cgi?T=JS&amp;CSC=Y&amp;NEWS=N&amp;PAGE=fulltext&amp;D=med3&amp;AN=7715049</t>
  </si>
  <si>
    <t>MEDLINE; Ovid Technologies; From the Institute of Medicine</t>
  </si>
  <si>
    <t>Toth,A. R.;Possidente,C. J.;Sawyer,L. M.;DiParlo,M. A.;Fanciullo,G. J.</t>
  </si>
  <si>
    <t>National and Northern New England Opioid Prescribing Patterns, 2013-2014</t>
  </si>
  <si>
    <t>Objective: To evaluate current opioid prescribing patterns nationally and regionally across several northern New England states and compare with prescription data on an institutional level over a two-year period, between 2013 and 2014. Design, Setting, and Subjects: The IMS Health National Prescription Audit (NPA) database was used to obtain prescription data from US retail pharmacies between 2013 and 2014. Methods: Our study compared noninjectable opioid dispensing between two time periods: January-June 2013 and July-December 2014. Opioid prescription data were obtained nationally and in New Hampshire, Vermont, Maine, and Massachusetts. Institutional prescription data were supplied by Dartmouth Hitchcock Medical Center (DHMC) and University of Vermont Medical Center (UVMC) pharmacies. Results: There was a 3.4% ( P =0.81) decrease in opioid prescriptions filled nationally. Among New England states, opioid prescribing decreased in Maine (-5.20%, P =0.72), Massachusetts (-4.4%, P =0.78), and Vermont (-2.2%, P =0.89) but increased in New Hampshire by 1.3% ( P =0.94). Examination of local institutional opioid utilization revealed a 13.6% decline in prescriptions filled at UVMC, and only a 0.4% decrease at DHMC. Conclusions: The review of opioid prescriptions filled in 2013-14 suggests that national opioid utilization may be reaching a plateau. Initiatives such as prescription monitoring programs, prescriber opioid education, addiction treatment programs, public addiction awareness, and availability of medical cannabis may play a role in interstate variability of opioid use. National and regional data served as a benchmark for local institutional comparison, laying groundwork for efforts to explore areas where opioids can be prescribed more judiciously.</t>
  </si>
  <si>
    <t>J2: Pain Med; Toth, Adam R Possidente, Carl J Sawyer, Linda M DiParlo, Mark A Fanciullo, Gilbert J; ID: 1640</t>
  </si>
  <si>
    <t>Toth, Adam R. Anesthesiology. Possidente, Carl J. Medical Outcomes, Pfizer Inc., Jericho, Vermont. Sawyer, Linda M. Pharmacy. DiParlo, Mark A. Pharmacy, University of Vermont Fletcher Allen Health Care, Burlington, Vermont, USA. Fanciullo, Gilbert J. Pain Management Center, Dartmouth Hitchcock Medical Center, Lebanon, New Hampshire.</t>
  </si>
  <si>
    <t>http://ovidsp.ovid.com/ovidweb.cgi?T=JS&amp;CSC=Y&amp;NEWS=N&amp;PAGE=fulltext&amp;D=prem&amp;AN=27794547</t>
  </si>
  <si>
    <t>https://dx.doi.org/10.1093/pm/pnw231</t>
  </si>
  <si>
    <t>MEDLINE; Ovid Technologies; National and Northern New England Opioid Prescribing Patterns, 2013-2014</t>
  </si>
  <si>
    <t>Touchet,B. K.;Yates,W. R.;Coon,K. A.</t>
  </si>
  <si>
    <t>Opioid contract use is associated with physician training level and practice specialty</t>
  </si>
  <si>
    <t>*Analgesics, Opioid/tu Therapeutic Use];*Contracts;Data Collection;*Education, Medical/sn Statistics &amp; Numerical Data];Humans;*Medicine/sn Statistics &amp; Numerical Data];*Pain/dt Drug Therapy];*Practice Patterns, Physicians'/sn Statistics &amp; Numerical Data];*Specialization;Surveys and Questionnaires;0 (Analgesics, Opioid)</t>
  </si>
  <si>
    <t>Opioid contracts are widely used to manage opioid prescribing in the treatment of pain conditions, but they are not well studied. A notable gap in our knowledge of opioid contracts involves the factors that determine their use. As an initial inquiry, this study evaluated the responses of a Web-based survey of trainees and faculty in an academic medical training context to determine correlates of opioid contract use. All paid faculty, third- and fourth-year medical students, and residents in The University of Oklahoma College of Medicine were invited via email to participate in a Web-based survey of their attitudes and prescribing practices related to controlled prescription drugs. Respondents composing a subgroup of those who replied to the survey were identified by their prescription of opioids and by their designation that pain was the most likely diagnosis for which they would prescribe a controlled drug. Chi-square analysis was used to determine any correlation between contract use and respondents' demographic variables and categorical survey responses. Analysis of variance was used to determine any correlation between contract use and survey responses that involved continuous variables. Our results showed that opioid contract use was significantly associated with resident status, primary care specialty, participant estimation of alcohol and illicit drug abuse by patients, and the participant's assessment of the risks in general of prescribing controlled drugs. A majority of contract users reported that the use of this tool increased their sense of mastery and comfort with prescribing controlled drugs. The factors associated with opioid contract use found in this study suggest there are significant prescriber-specific determinants of the use of the tool, including training level, medical specialty, and risk appraisals. Opioid contracts' effects on mastery and comfort of the physician with prescribing opioids suggest that they may play an important role in facilitating appropriate pain management with opioids. Further study is needed to elucidate environmental and patient-specific factors that may influence opioid contract use.</t>
  </si>
  <si>
    <t>J2: J Opioid Manag; Touchet, Bryan Keith Yates, William Robert Coon, Kim Annette; ID: 779</t>
  </si>
  <si>
    <t>Touchet, Bryan Keith. The University of Oklahoma College of Medicine-Tulsa, USA.</t>
  </si>
  <si>
    <t>http://ovidsp.ovid.com/ovidweb.cgi?T=JS&amp;CSC=Y&amp;NEWS=N&amp;PAGE=fulltext&amp;D=med5&amp;AN=17315546</t>
  </si>
  <si>
    <t>MEDLINE; Ovid Technologies; Opioid contract use is associated with physician training level and practice specialty</t>
  </si>
  <si>
    <t>Townes,P. N.;Harkley,A. L.</t>
  </si>
  <si>
    <t>Alcohol screening practices of primary care physicians in eastern North Carolina</t>
  </si>
  <si>
    <t>*Alcohol Drinking;*Alcoholism/pc Prevention &amp; Control];Attitude of Health Personnel;Humans;North Carolina;Physicians, Family;Practice Patterns, Physicians';*Primary Health Care;Surveys and Questionnaires</t>
  </si>
  <si>
    <t>In our study, 616 primary care physicians of eastern North Carolina were surveyed for screening practices for detection of alcoholism in their patient population. We defined primary care as Family Medicine, Internal Medicine, Obstetrics and Gynecology, Pediatrics and Psychiatry. We defined eastern North Carolina as the 29 counties that Pitt County Memorial Hospital serves. In our survey we found that eastern North Carolina is medically underserved as well as having less resources for referral and consultation. In response to the questionnaire, we found that most physicians agreed on some numerical value for drinks per day, social drinks, and drinks per week while pregnant. Values for drinks per week and weekend binges generally reflected significant tolerance for heavy drinking behavior. We also found that physicians of the same specialty commonly agreed on answers but when compared to other specialties they differed. Physicians preferred personal and clinical screening methods to questionnaires such as CAGE. Most physicians did not prescribe Antabuse but did suggest to their patients to cut down on drinking. Physicians felt that their patients needed more education and support from the community as well as intervention at an early age. We conclude that physicians should receive more education concerning alcoholism and substance abuse.</t>
  </si>
  <si>
    <t>J2: Alcohol; Townes, P N Harkley, A L; ID: 1203</t>
  </si>
  <si>
    <t>Townes, P N. Department of Psychiatry, School of Medicine, East Carolina University, Greenville, NC 27858.</t>
  </si>
  <si>
    <t>http://ovidsp.ovid.com/ovidweb.cgi?T=JS&amp;CSC=Y&amp;NEWS=N&amp;PAGE=fulltext&amp;D=med3&amp;AN=7865149</t>
  </si>
  <si>
    <t>MEDLINE; Ovid Technologies; Alcohol screening practices of primary care physicians in eastern North Carolina</t>
  </si>
  <si>
    <t>Traynor,K.</t>
  </si>
  <si>
    <t>Manufacturers argue against mandatory training for opioid prescribers</t>
  </si>
  <si>
    <t>American Journal of Health-System Pharmacy</t>
  </si>
  <si>
    <t>Analgesics, Opioid/ad Administration &amp; Dosage];*Analgesics, Opioid/tu Therapeutic Use];Delayed-Action Preparations;*Drug Industry;*Drug Prescriptions;*Education, Medical, Continuing;Humans;*Opioid-Related Disorders/pc Prevention &amp; Control];United States;United States Food and Drug Administration;0 (Analgesics, Opioid);0 (Delayed-Action Preparations)</t>
  </si>
  <si>
    <t>J2: Am J Health-Syst Pharm; Traynor, Kate; ID: 598</t>
  </si>
  <si>
    <t>1535-2900</t>
  </si>
  <si>
    <t>http://ovidsp.ovid.com/ovidweb.cgi?T=JS&amp;CSC=Y&amp;NEWS=N&amp;PAGE=fulltext&amp;D=med6&amp;AN=20065261</t>
  </si>
  <si>
    <t>https://dx.doi.org/10.2146/news100007</t>
  </si>
  <si>
    <t>MEDLINE; Ovid Technologies; Manufacturers argue against mandatory training for opioid prescribers</t>
  </si>
  <si>
    <t>Tringale,R.;Reilly,J. M.</t>
  </si>
  <si>
    <t>Putting a face to opiate addiction for students at a needle exchange programme</t>
  </si>
  <si>
    <t>J2: Med Educ; Tringale, Rolando Reilly, Jo Marie; ID: 1667</t>
  </si>
  <si>
    <t>http://ovidsp.ovid.com/ovidweb.cgi?T=JS&amp;CSC=Y&amp;NEWS=N&amp;PAGE=fulltext&amp;D=prem&amp;AN=28394056</t>
  </si>
  <si>
    <t>https://dx.doi.org/10.1111/medu.13318</t>
  </si>
  <si>
    <t>MEDLINE; Ovid Technologies; Putting a face to opiate addiction for students at a needle exchange programme</t>
  </si>
  <si>
    <t>Trinkoff,A. M.;Storr,C. L.</t>
  </si>
  <si>
    <t>Substance use among nurses: differences between specialties</t>
  </si>
  <si>
    <t>Adult;Female;Health Surveys;Humans;Male;*Nurses/sn Statistics &amp; Numerical Data];Odds Ratio;Prevalence;*Professional Impairment/sn Statistics &amp; Numerical Data];Regression Analysis;Risk Factors;Sampling Studies;Socioeconomic Factors;*Specialties, Nursing/sn Statistics &amp; Numerical Data];*Substance-Related Disorders/ep Epidemiology];Surveys and Questionnaires;United States/ep Epidemiology]</t>
  </si>
  <si>
    <t>OBJECTIVES: Valid data on factors that increase a health care worker's likelihood of substance use are integral in ensuring professional standards and quality health care for consumers. This study explored the association between nursing specialty and past-year substance use. METHODS: In an anonymous mailed survey, a balanced stratified sample of registered nurses (n = 4438) reported their use of marijuana, cocaine, and prescription-type drugs, as well as cigarette smoking and binge drinking. RESULTS: Prevalence of use of all substances was 32%. Rates varied by specialty, even when sociodemographics were controlled. Compared with nurses in women's health, pediatrics, and general practice, emergency nurses were 3.5 times as likely to use marijuana or cocaine (odds ratio OR] = 3.5; 95% confidence interval CI] = 1.5, 8.2); oncology and administration nurses were twice as likely to engage in binge drinking; and psychiatric nurses were most likely to smoke (OR = 2.4; 95% CI = 1.6, 3.8). No specialty differences appeared for prescription-type drug use. CONCLUSIONS: Certain nursing specialties were more likely than others to be associated with substance use. The differences were not explained by demographic characteristics. Inasmuch as a comparison of these results for nurses with prior work on physicians found considerable agreement by specialty, preventive initiatives should consider inter-disciplinary approaches to substance use education.</t>
  </si>
  <si>
    <t>J2: Am J Public Health; Trinkoff, A M Storr, C L; ID: 1114</t>
  </si>
  <si>
    <t>Trinkoff, A M. Department of Psychiatric, Community and Adult Primary Care Nursing, University of Maryland School of Nursing, Baltimore, USA. trinkoff@nurse-1.ab.umd.edu</t>
  </si>
  <si>
    <t>http://ovidsp.ovid.com/ovidweb.cgi?T=JS&amp;CSC=Y&amp;NEWS=N&amp;PAGE=fulltext&amp;D=med4&amp;AN=9550998</t>
  </si>
  <si>
    <t>MEDLINE; Ovid Technologies; Substance use among nurses: differences between specialties</t>
  </si>
  <si>
    <t>Trofor,A.;Mihaescu,T.</t>
  </si>
  <si>
    <t>Smoking cessation--a "must have" in medical curricula. The European HERMES project--a supportive argument]</t>
  </si>
  <si>
    <t>Pneumologia (Bucharest, Romania)</t>
  </si>
  <si>
    <t>Pneumologia</t>
  </si>
  <si>
    <t>Consumer Health Information/og Organization &amp; Administration];Counseling/mt Methods];*Curriculum;*Education, Medical/og Organization &amp; Administration];Education, Medical, Continuing/og Organization &amp; Administration];Education, Medical, Graduate/og Organization &amp; Administration];Education, Medical, Undergraduate/og Organization &amp; Administration];European Union;Humans;Pilot Projects;*Pulmonary Medicine/ed Education];*Pulmonary Medicine/og Organization &amp; Administration];Pulmonary Medicine/st Standards];Pulmonary Medicine/td Trends];Romania;*Smoking Cessation</t>
  </si>
  <si>
    <t>Respiratory Medicine is a complex domain of activity, moreover has enlarged its content in last decades by numerous areas of expertise, among which also smoking cessation, a field aiming to assist individuals to quit or prevent tobacco use. Introducing routinely this preoccupation in Romanian doctors' work is supposed to legitimate nicotine dependence as a disease, as already classified by world medical organizations. In agreement with HERMES project, an European Respiratory Society initiative to harmonize education in respiratory medicine across Europe, we recommend smoking cessation to be mandatory in Romanian medical curricula. Thus, students will earn theoretical, practical and behavioral skills to approach health effects of tobacco use, treatment and approach of smokers. Yet, considering real life situation in our country, for actual generations of practitioners we suggest intensive training in two modules: a basic one to cover lack of elementary knowledge during previous years and an advanced module for specialists. To future generations, a continuous, more coherent approach is to be settled, aiming to create brief advice expertise during medical university years of study. When graduating, future doctors willing to become smoking cessation experts will be provided postgraduate training to achieve this degree. Hopefully, within next two generations, many Romanian doctors will become capable to routinely deliver smoking cessation interventions, at European standards.</t>
  </si>
  <si>
    <t>J2: Pneumologia; Romanian Trofor, Antigona Mihaescu, Traian; OP: Consilierea in vederea renuntarii la fumat--un "must have" al curriculei medicale; ID: 613</t>
  </si>
  <si>
    <t>2067-2993</t>
  </si>
  <si>
    <t>Trofor, Antigona. Clinica Pneumologica Iasi, Universitatea de Medicina si Farmacie "Gr.T.Popa", Iasi, Romania. atrofor@yahoo.com</t>
  </si>
  <si>
    <t>Romanian</t>
  </si>
  <si>
    <t>http://ovidsp.ovid.com/ovidweb.cgi?T=JS&amp;CSC=Y&amp;NEWS=N&amp;PAGE=fulltext&amp;D=med6&amp;AN=19817311</t>
  </si>
  <si>
    <t>MEDLINE; Ovid Technologies; [Smoking cessation--a "must have" in medical curricula. The European HERMES project--a supportive argument]</t>
  </si>
  <si>
    <t>Trostler,M.;Li,Y.;Plankey,M. W.</t>
  </si>
  <si>
    <t>Prevalence of binge drinking and associated co-factors among medical students in a U.S. Jesuit University</t>
  </si>
  <si>
    <t>Adolescent;Adult;*Alcohol Drinking/ep Epidemiology];*Binge Drinking/ep Epidemiology];Female;Humans;Male;Prevalence;Risk Factors;Sex Factors;*Students, Medical/sn Statistics &amp; Numerical Data];United States;*Universities/sn Statistics &amp; Numerical Data];Young Adult</t>
  </si>
  <si>
    <t>BACKGROUND: Alcohol consumption is the third leading cause of preventable death in the U.S. Limited research has been conducted examining drinking habits of medical students. OBJECTIVE: This study was designed to measure the prevalence and associated risk factors of binge drinking among a sample of medical students. METHODS: A total of 485 medical students at a private, Jesuit medical school in the US participated in a confidential web-based survey in April 2011. Univariate and multivariate generalized linear regressions with robust error variance were performed for estimated prevalence ratio (PR) of binge drinking. RESULTS: The prevalence of binge drinking was 58.1% among the sampled medical students with the majority being white (67.0%) and between 18 and 25 years old (60.0%). After adjusting for age, gender, race/ethnicity, and year in medical school, there were statistically significant (p28, p&lt;0.01) compared to those of 18-25 years old. CONCLUSION: Binge drinking was highly prevalent among the sampled medical students, especially during an after-exam party. Identifying healthy coping strategies among medical students is warranted to reduce binge drinking.</t>
  </si>
  <si>
    <t>J2: Am J Drug Alcohol Abuse; Trostler, Michael Li, Ying Plankey, Michael W; ID: 259</t>
  </si>
  <si>
    <t>Trostler, Michael. Office of Medical Education, Georgetown University School of Medicine , Washington, DC and.</t>
  </si>
  <si>
    <t>http://ovidsp.ovid.com/ovidweb.cgi?T=JS&amp;CSC=Y&amp;NEWS=N&amp;PAGE=fulltext&amp;D=med8&amp;AN=24809369</t>
  </si>
  <si>
    <t>https://dx.doi.org/10.3109/00952990.2014.907302</t>
  </si>
  <si>
    <t>MEDLINE; Ovid Technologies; Prevalence of binge drinking and associated co-factors among medical students in a U.S. Jesuit University</t>
  </si>
  <si>
    <t>Trotter Davis,M.;Bateman,B.;Avorn,J.</t>
  </si>
  <si>
    <t>Educational Outreach to Opioid Prescribers: The Case for Academic Detailing</t>
  </si>
  <si>
    <t>S147</t>
  </si>
  <si>
    <t>S151</t>
  </si>
  <si>
    <t>*Analgesics, Opioid/tu Therapeutic Use];Humans;Physicians;Practice Patterns, Physicians';*Prescription Drugs;Reimbursement, Incentive;0 (Analgesics, Opioid);0 (Prescription Drugs)</t>
  </si>
  <si>
    <t>Nonmedical use of opioid medications constitutes a serious health threat as the rates of addiction, overdoses, and deaths have risen in recent years. Increasingly, inappropriate and excessively liberal prescribing of opioids by physicians is understood to be a central part of the crisis. Public health officials, hospital systems, and legislators are developing programs and regulations to address the problem in sustained and systematic ways that both insures effective treatment of pain and appropriate limits on the availability of opioids. Three approaches have obtained prominence as means of avoiding excessive and inappropriate prescribing, including: providing financial incentives to physicians to change their clinical decision through pay-for-performance contracts, monitoring patient medications through Prescription Drug Monitoring Programs, and educational outreach to physicians. A promising approach to educational outreach to physicians is an intervention known as "academic detailing." It was developed in the 1980s to provide one-on-one educational outreach to physicians using similar methods as the pharmaceutical industry that sends "detailers" to market their products to physician practices. Core to academic detailing, however, is the idea that medical decisions should be based on evidence-based information, including managing conditions with updated assessment measures, behavioral, and nonpharmacological interventions. With the pharmaceutical industry spending billions of dollars to advertise their products, individual practitioners can have difficulty gathering unbiased information, especially as the number of approved medications grows each year. Academic detailing has successfully affected the management of health conditions, such as atrial fibrillation, chronic obstructive pulmonary disease, and recently, has targeted physicians who prescribe opioids. This article discusses the approach as a potentially effective preventative intervention to address the epidemic of opioid overuse.Key words: Opioid abuse, opioid misuse, academic detailing, health policy, interactive education,prevention.</t>
  </si>
  <si>
    <t>J2: Pain physician; Trotter Davis, Margot Bateman, Brian Avorn, Jerry; ID: 77</t>
  </si>
  <si>
    <t>2150-1149</t>
  </si>
  <si>
    <t>Trotter Davis, Margot. Brandeis University, Heller School for Social Policy and Management. Bateman, Brian. Division of Pharmacoeconomics, Dept. of Medicine, Brigham and Women's Hospital. Avorn, Jerry. Division of Pharmacoeconomics, Dept of Medicine, Brigham and Women's Hospital, Boston, MA; Harvard Medical School, Boston, MA.</t>
  </si>
  <si>
    <t>http://ovidsp.ovid.com/ovidweb.cgi?T=JS&amp;CSC=Y&amp;NEWS=N&amp;PAGE=fulltext&amp;D=med8&amp;AN=28226336</t>
  </si>
  <si>
    <t>MEDLINE; Ovid Technologies; Educational Outreach to Opioid Prescribers: The Case for Academic Detailing</t>
  </si>
  <si>
    <t>Trova,A. C.;Paparrigopoulos,T.;Liappas,I.;Ginieri-Coccossis,M.</t>
  </si>
  <si>
    <t>Prevention of alcohol dependence]</t>
  </si>
  <si>
    <t>Psychiatriki</t>
  </si>
  <si>
    <t>Alcoholism/di Diagnosis];Alcoholism/pp Physiopathology];Alcoholism/px Psychology];Alcoholism/th Therapy];*Alcoholism;Chronic Disease/px Psychology];Chronic Disease/th Therapy];*Chronic Disease;*Early Medical Intervention/mt Methods];Health Knowledge, Attitudes, Practice;Humans;*Psychological Techniques;*Quality of Life;Secondary Prevention;Substance Abuse Detection/mt Methods]</t>
  </si>
  <si>
    <t>With the exception of cardiovascular diseases, no other medical condition causes more serious dysfunction or premature deaths than alcohol-related problems. Research results indicate that alcohol dependent individuals present an exceptionally poor level of quality of life. This is an outcome that highlights the necessity of planning and implementing preventive interventions on biological, psychological or social level, to be provided to individuals who make alcohol abuse, as well as to their families. Preventive interventions can be considered on three levels of prevention: (a) primary prevention, which is focused on the protection of healthy individuals from alcohol abuse and dependence, and may be provided on a universal, selective or indicated level, (b) secondary prevention, which aims at the prevention of deterioration regarding alcoholic dependence and relapse, in the cases of individuals already diagnosed with the condition and (c) tertiary prevention, which is focused at minimizing deterioration of functioning in chronically sufferers from alcoholic dependence. The term "quaternary prevention" can be used for the prevention of relapse. As for primary prevention, interventions focus on assessing the risk of falling into problematic use, enhancing protective factors and providing information and health education in general. These interventions can be delivered in schools or in places of work and recreation for young people. In this context, various programs have been applied in different countries, including Greece with positive results (Preventure, Alcolocks, LST, SFP, Alcohol Ignition Interlock Device). Secondary prevention includes counseling and structured help with the delivery of programs in schools and in high risk groups for alcohol dependence (SAP, LST). These programs aim at the development of alcohol refusal skills and behaviors, the adoption of models of behaviors resisting alcohol use, as well as reinforcement of general social skills. In the context of relevant interventions, various techniques are used, such as role playing. At the level of social policy, different measures may contribute to increase the effectiveness of preventive programs (e.g. prohibition of sale of alcohol in young people). Interventions of tertiary prevention aim at the development of motivation for abstinence in alcohol dependent individuals and the prevention of relapse, as well as the acquisition of new behaviors, which support modification of the problem of alcohol dependence. These interventions can take place in the context of psychotherapeutic follow-up provided to alcohol dependent individuals, and may include various short-term interventions, such as motivational interviewing, but also alternative forms of treatment (e.g. acupuncture, meditation). Elements of prevention in combination with elements of promotion of mental health may be incorporated in the same programme for alcohol dependence, endorsing similar or different activities, which may be complementary and may reinforce the effectiveness of the prevention program. Finally, it is necessary to raise the awareness of mental health professionals regarding prevention and provide specialized education to those who work in drug addiction programmes. Mental health professionals may act as therapists and as intervention coordinators, and performing these roles, they may contribute to the effectiveness of preventive programs and more generally to the treatment of disorders connected with alcohol use.</t>
  </si>
  <si>
    <t>J2: Psuhiatrike; Greek Trova, A C Paparrigopoulos, Th Liappas, I Ginieri-Coccossis, M; ID: 140</t>
  </si>
  <si>
    <t>1105-2333</t>
  </si>
  <si>
    <t>Trova, A C. 1st Department of Psychiatry, University of Athens, "ATHENA" Programme, Athens, Greece. Paparrigopoulos, Th. 1st Department of Psychiatry, University of Athens, "ATHENA" Programme, Athens, Greece. Liappas, I. 1st Department of Psychiatry, University of Athens, "ATHENA" Programme, Athens, Greece. Ginieri-Coccossis, M. 1st Department of Psychiatry, University of Athens, "ATHENA" Programme, Athens, Greece.</t>
  </si>
  <si>
    <t>Greek</t>
  </si>
  <si>
    <t>http://ovidsp.ovid.com/ovidweb.cgi?T=JS&amp;CSC=Y&amp;NEWS=N&amp;PAGE=fulltext&amp;D=med8&amp;AN=26197102</t>
  </si>
  <si>
    <t>MEDLINE; Ovid Technologies; [Prevention of alcohol dependence]</t>
  </si>
  <si>
    <t>Truncali,A.;Kalet,A. L.;Gillespie,C.;More,F.;Naegle,M.;Lee,J. D.;Huben,L.;Kerr,D.;Gourevitch,M. N.</t>
  </si>
  <si>
    <t>NIHMS386317; Engaging health professional students in substance abuse research: development and early evaluation of the SARET program</t>
  </si>
  <si>
    <t>Computer-Assisted Instruction;Cooperative Behavior;Curriculum;*Education, Dental;*Education, Medical;*Education, Nursing;Humans;Interdisciplinary Communication;Internet;*Mentors;Program Evaluation;*Research;Research Support as Topic;*Substance-Related Disorders</t>
  </si>
  <si>
    <t>OBJECTIVE: There is a need to build the ranks of health care professionals engaged in substance abuse (SA)-focused clinical research. The authors simultaneously developed and evaluated SARET, the Substance Abuse Research Education and Training program. The fundamental goal of this interprofessional program is to stimulate medical, dental, and nursing student interest and experience in SA research. Evaluation aims to understand program feasibility and acceptability and to assess short-term impact. METHODS: SARET comprises 2 main components: stipend-supported research mentorships and a Web-based module series, consisting of 6, interactive, multimedia modules addressing core SA research topics, delivered via course curricula and in the research mentorships. Authors assessed program feasibility and impact on student interest in conducting SA research by tracking participation and conducting participant focus groups and online surveys. RESULTS: Thirty early health care professional students completed mentorships (25 summer, 5 yearlong) and 1324 completed at least 1 Web-module. SARET was considered attractive for the opportunity to conduct clinically oriented research and to work with health care professionals across disciplines. Mentorship students reported positive impact on their vision of SA-related clinical care, more positive attitudes about research, and, in some cases, change in career plans. Web-based modules were associated with enhanced interest in SA (35% increase, P = 0.005, in those somewhat/very interested for neurobiology module) and SA research (+38%, P &lt; 0.001 for activation, +45%, P &lt; 0.001 for personal impact, +7%, P = 0.089 for neurobiology). CONCLUSIONS: The SARET program stimulates SA clinical and research interest among students of nursing, medicine, and dentistry and may lend itself to dissemination.</t>
  </si>
  <si>
    <t>J2: J Addict Med; Truncali, Andrea Kalet, Adina L Gillespie, Colleen More, Frederick Naegle, Madeline Lee, Joshua D Huben, Laura Kerr, David Gourevitch, Marc N; ID: 389</t>
  </si>
  <si>
    <t>Truncali, Andrea. Martin's Point Health Center, 331 Veranda St, Portland, ME 04102, USA. andreatruncali@yahoo.com</t>
  </si>
  <si>
    <t>http://ovidsp.ovid.com/ovidweb.cgi?T=JS&amp;CSC=Y&amp;NEWS=N&amp;PAGE=fulltext&amp;D=med7&amp;AN=22864401</t>
  </si>
  <si>
    <t>https://dx.doi.org/10.1097/ADM.0b013e31825f77db</t>
  </si>
  <si>
    <t>MEDLINE; Ovid Technologies; Engaging health professional students in substance abuse research: development and early evaluation of the SARET program</t>
  </si>
  <si>
    <t>Truncali,A.;Lee,J. D.;Ark,T. K.;Gillespie,C.;Triola,M.;Hanley,K.;Gourevitch,M. N.;Kalet,A. L.</t>
  </si>
  <si>
    <t>Teaching physicians to address unhealthy alcohol use: a randomized controlled trial assessing the effect of a Web-based module on medical student performance</t>
  </si>
  <si>
    <t>Alcohol Drinking/pc Prevention &amp; Control];Alcohol-Related Disorders/di Diagnosis];*Alcohol-Related Disorders/th Therapy];Clinical Competence;Computer-Assisted Instruction;*Education, Medical/mt Methods];Educational Measurement;*Health Knowledge, Attitudes, Practice;Humans;*Internet;Mass Screening/mt Methods];Practice Patterns, Physicians';Psychotherapy, Brief/mt Methods];Students, Medical</t>
  </si>
  <si>
    <t>BACKGROUND: The authors developed and evaluated an interactive, Web-based module to train medical students in screening and brief intervention (SBI) for unhealthy alcohol use. METHODS: First-year students were randomized to module versus lecture. Change in knowledge, attitudes, and confidence were compared. Performance was assessed by objective structured clinical examination (OSCE) and analyzed by intention to treat and treatment received. RESULTS: Of 141 consenting students, 64% (n = 90) completed an intervention (54% lecture vs. 70% Web assigned). Knowledge, confidence, and attitudes improved in both groups, with more improvement in Advise-Assist knowledge for Web students (14% vs. -3%, p = .003). Web students outperformed their lecture peers in both general communication (65% vs. 51% items well done, p = .004) and alcohol-specific tasks (54% vs. 41%, p = .021) on OSCE. Analysis by treatment received enhanced between-group differences. CONCLUSION: Use of a Web-based module to teach SBI is associated with greater knowledge gain and skills performance compared with a lecture covering similar content. The module provides an efficient means for training in this area.</t>
  </si>
  <si>
    <t>J2: J Subst Abuse Treat; Truncali, Andrea Lee, Joshua D Ark, Tavinder K Gillespie, Colleen Triola, Marc Hanley, Kathleen Gourevitch, Marc N Kalet, Adina L; ID: 531</t>
  </si>
  <si>
    <t>Truncali, Andrea. Department of Medicine, New York University School of Medicine, New York, NY 10016, USA. andrea.truncali@nyumc.org</t>
  </si>
  <si>
    <t>http://ovidsp.ovid.com/ovidweb.cgi?T=JS&amp;CSC=Y&amp;NEWS=N&amp;PAGE=fulltext&amp;D=med7&amp;AN=21094015</t>
  </si>
  <si>
    <t>https://dx.doi.org/10.1016/j.jsat.2010.09.002</t>
  </si>
  <si>
    <t>MEDLINE; Ovid Technologies; Teaching physicians to address unhealthy alcohol use: a randomized controlled trial assessing the effect of a Web-based module on medical student performance</t>
  </si>
  <si>
    <t>Tuchman,E.;Hanley,K.;Naegle,M.;More,F.;Bereket,S.;Gourevitch,M. N.</t>
  </si>
  <si>
    <t>Integration and Evaluation of Substance Abuse Research Education Training (SARET) into a Master of Social Work program</t>
  </si>
  <si>
    <t>Curriculum;*Education, Medical, Graduate;Female;Focus Groups;Humans;Male;*Program Development;*Program Evaluation;*Research/ed Education];*Social Work/ed Education];*Substance-Related Disorders</t>
  </si>
  <si>
    <t>BACKGROUND: The Substance Abuse Research and Education Training (SARET) program is funded by the National Institutes of Drug Abuse in 2006 as a novel approach to spark interest in substance abuse research among medical, dental, nursing, and social work graduate students through a Web-based curriculum and research mentorships. This report presents the initial integration of the intervention in a Master of Social Work (MSW) program, the components of the program, and the mixed-methods evaluation of its effect on students' attitudes towards substance abuse research and treatment. METHODS: SARET comprises 2 main components: stipend-supported research mentorships and a Web-based module series, consisting of 6 interactive, multimedia modules addressing core SA research topics, delivered via course curricula and in the research mentorships. An initial evaluation was designed to assess SARET's acceptability and short-term impact on participants' interest in SA research. The components of this Web-based curriculum evaluation include focus group feedback on the relevance of the modules to SW students, number of courses into which the modules were integrated with number of module completions, changes in interest in SA research associated with module completion. RESULTS: The full series of Web-based modules has been integrated across several courses in the social work curriculum, and social work students have become integral participants in the summer mentored research experience. One hundred eighteen students completed at least 1 module and 42 students completed all 6 modules. Neurobiology, Screening, and Epidemiology were the most widely viewed modules. Students reported positive impact on their vision of SA-related clinical care, more positive attitudes about conducting research, and in some cases, change in career. CONCLUSIONS: The SARET program's modules and summer mentored research increased clinical and research interest related to SUDs, as well as interprofessional attitudes among social work students. Participants have shown some early research success. Longer-term follow-up will enable us to continue to assess the effectiveness of the program.</t>
  </si>
  <si>
    <t>J2: Subst Abus; Tuchman, Ellen Hanley, Kathleen Naegle, Madeline More, Frederick Bereket, Sewit Gourevitch, Marc N; ID: 16</t>
  </si>
  <si>
    <t>Tuchman, Ellen. a New York University Silver School of Social Work , New York , New York , USA. Hanley, Kathleen. b Department of Medicine , New York University School of Medicine , New York , New York , USA. Naegle, Madeline. c New York University Meyers College of Nursing , New York , New York , USA. More, Frederick. d Department of Epidemiology &amp; Health Promotion, Department of Pediatric Dentistry , New York University College of Dentistry , New York , New York , USA. Bereket, Sewit. e Department of Population Health , New York University School of Medicine , New York , New York , USA. Gourevitch, Marc N. e Department of Population Health , New York University School of Medicine , New York , New York , USA.</t>
  </si>
  <si>
    <t>http://ovidsp.ovid.com/ovidweb.cgi?T=JS&amp;CSC=Y&amp;NEWS=N&amp;PAGE=fulltext&amp;D=medl&amp;AN=28328306</t>
  </si>
  <si>
    <t>https://dx.doi.org/10.1080/08897077.2017.1291465</t>
  </si>
  <si>
    <t>MEDLINE; Ovid Technologies; Integration and Evaluation of Substance Abuse Research Education Training (SARET) into a Master of Social Work program</t>
  </si>
  <si>
    <t>Turhan,E.;Inandi,T.;Col,M.;Bugdayci,R.;Eker,O.;Ilhan,M.</t>
  </si>
  <si>
    <t>Smoking Cessation and Attitudes, Belief, Observation, and Education of Medical Students, in Turkey</t>
  </si>
  <si>
    <t>INTRODUCTION: Tobacco use is an important public health problem around the world.Aim of this study is to assess attitudes,belief and observation of the students on smoking cessation and medical education. METHODS: This study is part of a multi-country study called "Global Health Profession Student Survey". The study population consisted of third year medical students in Turkey. The sample consisted of a total of 1834 medical students from randomly selected 12 medical schools. RESULTS: Of the students, 1209 (92.1%)thought that health professionals should get specific training on cessation techniques, and that health professionals should serve as "role models" for their patients and the public. The percentage of the students who answered "Health professionals should routinely advise their patients who smoke to quit smoking" was 1211 (93.3%). Of the students, 1204 (60.8%) responded that health professionals who use other tobacco products were less likely to advise patients to stop smoking. The percentage of the students who had received a formal training on smoking cessation approaches was 48.2% (1196). Of the students, 91.5% (1203) had heard of nicotine replacement therapies in tobacco cessation programs. More than half of smokers tried to quit smoking last year, and majority of them did not take professional help or advice. CONCLUSIONS: Majority of students are aware of health professionals' role on smoking cessation. Most of the students are willingness to take specific formal training on tobacco. Student's behaviours and attitudes were different by gender and smoking status.Improvement of tobacco cessation issues in medical curricula will be beneficial.</t>
  </si>
  <si>
    <t>J2: Jnm; Turhan, E Inandi, T Col, M Bugdayci, R Eker, O Ilhan, M; ID: 1672</t>
  </si>
  <si>
    <t>Turhan, E. Izmir Public Health Directorate, IZMIR, Turkey. Inandi, T. Mustafa Kemal University, Faculty of Medicine, Department of Public Health, Antakya, Hatay, Turkey. Col, M. Ankara University, Faculty of Medicine, Department of Public Health, Ankara, Turkey. Bugdayci, R. Mersin University, Faculty of Medicine, Department of Public Health, Mersin, Turkey. Eker, O. Seyhan Community Health Center, Adana, Turkey. Ilhan, M. Gazi University, Faculty of Medicine, Department of Public Health, Ankara, Turkey.</t>
  </si>
  <si>
    <t>http://ovidsp.ovid.com/ovidweb.cgi?T=JS&amp;CSC=Y&amp;NEWS=N&amp;PAGE=fulltext&amp;D=prem&amp;AN=27935924</t>
  </si>
  <si>
    <t>MEDLINE; Ovid Technologies; Smoking Cessation and Attitudes, Belief, Observation, and Education of Medical Students, in Turkey</t>
  </si>
  <si>
    <t>Turker,Y.;Aydin,L. Y.;Baltaci,D.;Erdem,O.;Tanriverdi,M. H.;Sariguzel,Y.;Alasan,F.</t>
  </si>
  <si>
    <t>Evaluation of post-graduate training effect on smoking cessation practice and attitudes of family physicians towards tobacco control</t>
  </si>
  <si>
    <t>International journal of clinical and experimental medicine</t>
  </si>
  <si>
    <t>OBJECTIVE: Family physicians (FPs) are cornerstone for tobacco control. It was aimed to compare the effect of training on their smoking cessation practice, knowledge level and attitudes towards smoking and tobacco control. METHODS AND MATERIALS: The cross-sectional and multi-centered study was carried out using structured survey modified WHO based questionnaire. It was delivered to 1500 FPs randomly selected among approximately 23000 family physicians across the country. The study survey was self-reported by FPs, assessing their knowledge, attitudes, status of post-graduate training, and practice about tobacco control. Participants were assigned into two groups as non-trainee groups (Group 1) and post-graduate trainee (Group 2). RESULTS: The mean age was 38.4 +/- 7.1 years-old. The percentage of male and female FPs in the study was 53.1% and 46.9%. The ratio of family physicians who participated in training program Group 2) was 26.5% (n = 327). The ratio of female FPs who participated the SCP training course was significantly higher than that of male FPs (27.3% versus 22.5%, p = 0.035). There was no significant difference for smoking status between groups (p = 0.686). When the number FPs whose consulted by the smokers over &gt;= 5 a week was compared, the ratio of FPs was significantly higher in group 2 than group 1 (p &lt; 0.001), but overall ratio of FPs (2.8%) who consulted within a week smokers was considerably lower Statements of Competence and confidence items stated by all FPs were 24.2% and 32.2%, respectively. Physicians who had attended post-graduate training on SCP were more competent and confident, compared to non-trained FPs (p = 0.002 and p = 0.001). CONCLUSION: Post-graduate training on tobacco control improved self-confidence and competence of FPs. With post-graduate training, significant improvement was seen in practical skills of physicians. A continuing training program should be introduced to FPs, to engage them for smoking cessation practice.</t>
  </si>
  <si>
    <t>J2: Int J Clin Exp Med; Turker, Yasemin Aydin, Leyla Yilmaz Baltaci, Davut Erdem, Ozgur Tanriverdi, Mehmet Halis Sariguzel, Yunus Alasan, Fatih; ID: 275</t>
  </si>
  <si>
    <t>1940-5901</t>
  </si>
  <si>
    <t>Turker, Yasemin. Family Health Center No. 3 Duzce, Turkey. Aydin, Leyla Yilmaz. Department of Chest Diseases, School of Medicine, Duzce University Duzce, Turkey. Baltaci, Davut. Department of Family Medicine, School of Medicine, Duzce University Duzce, Turkey. Erdem, Ozgur. Kayapinar No. 9 Family Health Center Kayapinar, Diyarbakir, Turkey. Tanriverdi, Mehmet Halis. Department of Family Medicine, School of Medicine, Dicle University Diyarbakir, Turkey. Sariguzel, Yunus. Department of Family Medicine, School of Medicine, Duzce University Duzce, Turkey. Alasan, Fatih. Department of Chest Diseases, School of Medicine, Duzce University Duzce, Turkey.</t>
  </si>
  <si>
    <t>http://ovidsp.ovid.com/ovidweb.cgi?T=JS&amp;CSC=Y&amp;NEWS=N&amp;PAGE=fulltext&amp;D=prem&amp;AN=25356137</t>
  </si>
  <si>
    <t>MEDLINE; Ovid Technologies; Evaluation of post-graduate training effect on smoking cessation practice and attitudes of family physicians towards tobacco control</t>
  </si>
  <si>
    <t>Turner,B. J.;Laine,C.;Lin,Y. T.;Lynch,K.</t>
  </si>
  <si>
    <t>Barriers and facilitators to primary care or human immunodeficiency virus clinics providing methadone or buprenorphine for the management of opioid dependence</t>
  </si>
  <si>
    <t>Aug 8-22</t>
  </si>
  <si>
    <t>*Buprenorphine/tu Therapeutic Use];HIV Infections/th Therapy];*Health Services Accessibility/sn Statistics &amp; Numerical Data];Humans;*Methadone/tu Therapeutic Use];Multivariate Analysis;*Narcotic Antagonists/tu Therapeutic Use];New York;*Opioid-Related Disorders/rh Rehabilitation];Primary Health Care/sn Statistics &amp; Numerical Data];*Primary Health Care;0 (Narcotic Antagonists);40D3SCR4GZ (Buprenorphine);UC6VBE7V1Z (Methadone)</t>
  </si>
  <si>
    <t>BACKGROUND: Federal initiatives aim to increase office-based treatment of opioid dependence, but, to our knowledge, factors associated with willingness to deliver this care have not been defined. The objective of this study was to describe clinics' willingness to provide methadone hydrochloride or buprenorphine hydrochloride for opioid dependence. METHODS: The design of the study was a survey conducted in New York State. Two hundred sixty-one directors of primary care and/or human immunodeficiency virus specialty clinics (response rate, 61.1%) that serve Medicaid enrollees were questioned. Outcomes were willingness to provide methadone and buprenorphine. Predictors included clinic characteristics, attitudes about drug users and their treatment, and reported barriers and facilitators to treatment. RESULTS: Clinics were more willing to provide buprenorphine than methadone treatment (59.8% vs 32.6%; P &lt; .001). Clinics offering human immunodeficiency virus specialty care (adjusted odds ratio AOR], 2.16; 95% confidence interval CI], 1.18-3.95) or a safe location to store narcotics (AOR, 2.99; 95% CI, 1.57-5.70) were more willing to prescribe buprenorphine and more willing to provide methadone. Willingness was positively associated with continuing medical education credits for training, but negatively associated with greater concern about medication abuse. Immediate telephone access to an addiction expert was associated with willingness to provide buprenorphine (AOR, 2.08; 95% CI, 1.15-3.76). Greater willingness to provide methadone was associated with a belief that methadone-treated patients should be seen along with other patients (AOR, 6.20; 95% CI, 1.78-21.64), methadone program affiliation (AOR, 4.76; 95% CI, 1.64-13.82), and having more patients with chronic pain in the clinic (AOR, 2.80; 95% CI, 1.44-5.44). CONCLUSIONS: These clinics serving Medicaid enrollees were more receptive to buprenorphine than methadone treatment. Willingness to provide this care was greater in clinics offering human immunodeficiency virus services, treating more chronic pain, or affiliated with methadone programs. Accessible addiction experts and continuing medical education for training may facilitate adoption of this care.</t>
  </si>
  <si>
    <t>J2: Arch Intern Med; Turner, Barbara J Laine, Christine Lin, Yi-Ting Lynch, Kevin; ID: 859</t>
  </si>
  <si>
    <t>Turner, Barbara J. Division of General Internal Medicine, Department of Medicine, University of Pennsylvania School of Medicine, Philadelphia, PA 19104-6021, USA. bturner@mail.med.upenn.edu</t>
  </si>
  <si>
    <t>http://ovidsp.ovid.com/ovidweb.cgi?T=JS&amp;CSC=Y&amp;NEWS=N&amp;PAGE=fulltext&amp;D=med5&amp;AN=16087826</t>
  </si>
  <si>
    <t>MEDLINE; Ovid Technologies; Barriers and facilitators to primary care or human immunodeficiency virus clinics providing methadone or buprenorphine for the management of opioid dependence</t>
  </si>
  <si>
    <t>Turner,S. R.;Lai,H.;Bedard,E. L.</t>
  </si>
  <si>
    <t>Smoking cessation counseling by surgical and nonsurgical residents: opportunities for health promotion education</t>
  </si>
  <si>
    <t>Alberta;*Counseling;*Health Knowledge, Attitudes, Practice;*Health Promotion;Humans;Internet;*Internship and Residency;*Smoking Cessation;Surveys and Questionnaires</t>
  </si>
  <si>
    <t>BACKGROUND: Cigarette smoking is the leading cause of preventable death in North America and a major contributor to surgically treated diseases and operative complications. Counseling by residents can be an effective means of helping patients to quit smoking, and with the introduction of the Accreditation Council for Graduate Medical Education and CanMEDS competency frameworks, health promotion is a required component of residency training. However, past studies have found that smoking cessation counseling by residents, and in particular surgical residents, is lacking. In light of the introduction of health promotion as a core competency in residency training, this study was designed to examine the attitudes and practices of residents at our institution regarding smoking cessation counseling, comparing surgical and nonsurgical residents and seeking to identify barriers to resident counseling. METHODS: An internet-based questionnaire was distributed to all residents at the University of Alberta in the fall of 2012. Items examined residents' attitudes and practices related to smoking cessation counseling and barriers to counseling. RESULTS: Although almost all residents believed that smoking cessation was important and that counseling was part of their job as a resident, far fewer routinely practiced the counseling behaviors examined. Surgical residents were less likely to perform counseling and more likely to think that counseling was not part of their job. Surgical residents were also more likely to identify obstacles to counseling such as a lack of time and formal training. DISCUSSION: Residents, and surgical residents in particular, are missing opportunities to help their patients quit smoking and improve their health. Given their positive attitudes toward counseling, it may be possible to improve their counseling practices through simple means. By identifying obstacles to counseling and tools that may increase residents' tendency to perform counseling, this study can help to guide training programs aimed at improving resident competency in health promotion.</t>
  </si>
  <si>
    <t>J2: J Surg Educ; Turner, Simon R Lai, Hollis Bedard, Eric L R S1931-7204(14)00096-8; ID: 232</t>
  </si>
  <si>
    <t>Turner, Simon R. Department of Surgery, University of Alberta, Edmonton, Alberta, Canada. Lai, Hollis. Department of Undergraduate Medical Education, University of Alberta, Edmonton, Alberta, Canada. Bedard, Eric L R. Department of Surgery, University of Alberta, Edmonton, Alberta, Canada. Electronic address: elbedard@gmail.com.</t>
  </si>
  <si>
    <t>http://ovidsp.ovid.com/ovidweb.cgi?T=JS&amp;CSC=Y&amp;NEWS=N&amp;PAGE=fulltext&amp;D=med8&amp;AN=24818539</t>
  </si>
  <si>
    <t>https://dx.doi.org/10.1016/j.jsurg.2014.03.011</t>
  </si>
  <si>
    <t>MEDLINE; Ovid Technologies; Smoking cessation counseling by surgical and nonsurgical residents: opportunities for health promotion education</t>
  </si>
  <si>
    <t>Twardella,D.;Brenner,H.</t>
  </si>
  <si>
    <t>Effects of practitioner education, practitioner payment and reimbursement of patients' drug costs on smoking cessation in primary care: a cluster randomised trial</t>
  </si>
  <si>
    <t>Adult;Aged;Cluster Analysis;Cotinine/bl Blood];Delivery of Health Care/ec Economics];*Delivery of Health Care/mt Methods];Family Practice;Female;Germany;Health Expenditures;Humans;Logistic Models;Male;Middle Aged;Physicians, Family/ed Education];Primary Health Care;Self Disclosure;Smoking Cessation/ec Economics];*Smoking Cessation/sn Statistics &amp; Numerical Data];K5161X06LL (Cotinine)</t>
  </si>
  <si>
    <t>OBJECTIVE: To evaluate new strategies to enhance the promotion of smoking cessation in general practice. DESIGN: Cluster randomised trial, 2x2 factorial design. SETTING: 82 medical practices in Germany, including 94 general practitioners. PARTICIPANTS: 577 patients who smoked at least 10 cigarettes per day (irrespective of their intention to stop smoking) and were aged 36-75 years. INTERVENTIONS: Provision of a 2-h physician group training in smoking cessation methods and direct physician payments for every participant not smoking 12 months after recruitment (TI, training+incentive); provision of the same training and direct participant reimbursements for pharmacy costs associated with nicotine replacement therapy or bupropion treatment (TM, training+medication). MAIN OUTCOME MEASURE: Self-reported smoking abstinence obtained at 12 months follow-up and validated by serum cotinine. RESULTS: In intention-to-treat analysis, smoking abstinence at 12 months follow-up was 3% (2/74), 3% (5/144), 12% (17/140) and 15% (32/219) in the usual care, and interventions TI, TM and TI+TM, respectively. Applying a mixed logistic regression model, no effect was identified for intervention TI (odds ratio (OR) 1.26, 95% confidence interval (CI) 0.65 to 2.43), but intervention TM strongly increased the odds of cessation (OR 4.77, 95% CI 2.03 to 11.22). CONCLUSION: Providing cost-free effective drugs to patients along with improved training opportunities for general practitioners could be an effective measure to achieve successful promotion of smoking cessation in general practice.</t>
  </si>
  <si>
    <t>J2: Tob Control; Twardella, Dorothee Brenner, Hermann; ID: 724</t>
  </si>
  <si>
    <t>Twardella, Dorothee. Department of Epidemiology, German Center for Research on Ageing, Heidelberg, Germany.</t>
  </si>
  <si>
    <t>http://ovidsp.ovid.com/ovidweb.cgi?T=JS&amp;CSC=Y&amp;NEWS=N&amp;PAGE=fulltext&amp;D=med5&amp;AN=17297068</t>
  </si>
  <si>
    <t>MEDLINE; Ovid Technologies; Effects of practitioner education, practitioner payment and reimbursement of patients' drug costs on smoking cessation in primary care: a cluster randomised trial</t>
  </si>
  <si>
    <t>Lack of training as a central barrier to the promotion of smoking cessation: a survey among general practitioners in Germany</t>
  </si>
  <si>
    <t>European journal of public health</t>
  </si>
  <si>
    <t>Eur.J.Public Health</t>
  </si>
  <si>
    <t>Adult;Aged;Counseling;Data Collection;Female;Germany/ep Epidemiology];*Health Knowledge, Attitudes, Practice;Health Promotion;Humans;Male;Middle Aged;Physician-Patient Relations;*Physicians, Family/ed Education];*Smoking Cessation/sn Statistics &amp; Numerical Data]</t>
  </si>
  <si>
    <t>BACKGROUND: General practitioners (GPs) can contribute substantially to the promotion of smoking cessation in the general population. However, engagement of GPs in helping their patients to quit remains very limited in many countries, including Germany. Therefore, new strategies to foster implementation of evidence-based methods in smoking cessation assistance have to be identified, and data for current practice of and barriers against smoking cessation promotion in general practice are needed. METHODS: A cross-sectional survey among all 657 general practitioners practising in the Rhein-Neckar Region of Germany was conducted in spring 2002 using a postal questionnaire (response rate 48%). RESULTS: The majority (54%) of GPs reported having treated less than 10 patients for smoking cessation (by any means including mere advice to quit) within the last three months, 23% of GPs never received any education or training in smoking cessation promotion, and only one-third of GPs rated their training as adequate. The factor most strongly associated with low activity in smoking cessation promotion (defined as having treated less than 10 patients within the last three months) was perceived lack of training (odds ratio 2.70, 95% confidence interval 1.68 - 4.32), followed by perceived lack of demonstration material (2.10, 1.31 - 3.39) and perceived lack of time (1.65, 1.02 - 2.66). Furthermore, there was a clear dose-response relationship between the time spent on training and the activity in smoking cessation promotion. CONCLUSION: Adequate training may be a key factor to enhance engagement of general practitioners in the promotion of smoking cessation.</t>
  </si>
  <si>
    <t>J2: Eur J Public Health; Twardella, Dorothee Brenner, Hermann; ID: 855</t>
  </si>
  <si>
    <t>1101-1262</t>
  </si>
  <si>
    <t>Twardella, Dorothee. Department of Epidemiology, German Centre for Research on Ageing, Heidelberg, Germany.</t>
  </si>
  <si>
    <t>http://ovidsp.ovid.com/ovidweb.cgi?T=JS&amp;CSC=Y&amp;NEWS=N&amp;PAGE=fulltext&amp;D=med5&amp;AN=15941758</t>
  </si>
  <si>
    <t>MEDLINE; Ovid Technologies; Lack of training as a central barrier to the promotion of smoking cessation: a survey among general practitioners in Germany</t>
  </si>
  <si>
    <t>Uchtenhagen,A.;Stamm,R.;Huber,J.;Vuille,R.</t>
  </si>
  <si>
    <t>A review of systems for continued education and training in the substance abuse field</t>
  </si>
  <si>
    <t>Curriculum;*Education/og Organization &amp; Administration];*Education, Medical, Continuing;Humans;*Substance-Related Disorders/rh Rehabilitation];*Teaching/mt Methods]</t>
  </si>
  <si>
    <t>Continued education of professionals is a major factor for service improvement and evidence-based good practice. This project explores the strategies used for this purpose across countries (CET = continued education and training in the substance abuse field). A structured questionnaire was circulated internationally by an expert committee of the Swiss Federal Office of Public Health. Reports from 11 countries were collected in 2005. The following review is based on these reports and structured according to the questionnaire (questions in italics). The authors of the reports are listed in the acknowledgements. The countries are Australia, Austria, Finland, France, Germany, Greece, Italy, The Netherlands, Scotland, Switzerland, and the United States. As a result of this project, an international think tank on continued education and training was established and is briefly described.</t>
  </si>
  <si>
    <t>J2: Subst Abus; Uchtenhagen, Ambros Stamm, Rene Huber, Jakob Vuille, Rodolphe; ID: 657</t>
  </si>
  <si>
    <t>Uchtenhagen, Ambros. Research Institute for Public Health and Addiction, Zurich University, Zurich. uchtenhagen@isgf.uzh.ch</t>
  </si>
  <si>
    <t>http://ovidsp.ovid.com/ovidweb.cgi?T=JS&amp;CSC=Y&amp;NEWS=N&amp;PAGE=fulltext&amp;D=med6&amp;AN=19042211</t>
  </si>
  <si>
    <t>https://dx.doi.org/10.1080/08897070802219263</t>
  </si>
  <si>
    <t>MEDLINE; Ovid Technologies; A review of systems for continued education and training in the substance abuse field</t>
  </si>
  <si>
    <t>Ulbricht,S.;Gross,B.;Kunstmann,W.;Meyer,C.;John,U.</t>
  </si>
  <si>
    <t>The manual "Problematic use and dependence of prescipted drugs" in daily routine care - a study among participants in a training to qualify in "primary addiction treatment"]</t>
  </si>
  <si>
    <t>Adult;Attitude of Health Personnel;Cross-Sectional Studies;Curriculum;Education, Medical, Continuing;Female;General Practice/ed Education];Germany;Humans;Interviews as Topic;Male;*Manuals as Topic;Medicine;Middle Aged;Practice Patterns, Physicians';*Prescription Drugs;*Psychotropic Drugs;Substance-Related Disorders/di Diagnosis];Substance-Related Disorders/ep Epidemiology];Substance-Related Disorders/pc Prevention &amp; Control];*Substance-Related Disorders/rh Rehabilitation];0 (Prescription Drugs);0 (Psychotropic Drugs)</t>
  </si>
  <si>
    <t>BACKGROUND: To strengthen the position of physicians regarding problematic use and dependence of prescripted drugs a manual was issued by the German Medical Association in 2007. A study among participants in a training to qualify in "primary addiction treatment" was conducted. The utilisation of the manual, its relevance for routine care and self-estimated changes in drug prescription were examined. METHODS: All 542 participants in training courses between 1.9.2008 and 31.12.2009 were asked about participation in a survey 12 weeks later. A number of 267 took part in this investigation. RESULTS: A proportion of 60,7 % among GPs that received the manual dealt with them beyond the training course. From 178 physicians, who confirmed the provision of drug prescription, a number of 56 stated changes in their drug prescription. A higher probabilty for changes in drug prescription was given in case of a high percentage of new informations that could be culled from the manual. CONCLUSION: The interest for the manual beyond the training course and the amount of self-estimated changes in drug prescription should encourage to use this within training measures in a systematic way.</t>
  </si>
  <si>
    <t>J2: Dtsch Med Wochenschr; German Ulbricht, S Gross, B Kunstmann, W Meyer, C John, U; OP: Der Leitfaden "Medikamente - schadlicher Gebrauch und Abhangigkeit" im arztlichen Arbeitsalltag; ID: 481</t>
  </si>
  <si>
    <t>Ulbricht, S. Universitatsmedizin Greifswald, Institut fur Epidemiologie und Sozialmedizin. ulbricht@uni-greifswald.de</t>
  </si>
  <si>
    <t>http://ovidsp.ovid.com/ovidweb.cgi?T=JS&amp;CSC=Y&amp;NEWS=N&amp;PAGE=fulltext&amp;D=med7&amp;AN=22131073</t>
  </si>
  <si>
    <t>https://dx.doi.org/10.1055/s-0031-1292834</t>
  </si>
  <si>
    <t>MEDLINE; Ovid Technologies; [The manual "Problematic use and dependence of prescipted drugs" in daily routine care - a study among participants in a training to qualify in "primary addiction treatment"]</t>
  </si>
  <si>
    <t>Ulbricht,S.;Meyer,C.;Schumann,A.;Rumpf,H. J.;Hapke,U.;John,U.</t>
  </si>
  <si>
    <t>Provision of smoking cessation counseling by general practitioners assisted by training and screening procedure</t>
  </si>
  <si>
    <t>Adolescent;Adult;Aged;Attitude of Health Personnel;Attitude to Health;Communication;Counseling/ed Education];Counseling/mt Methods];*Counseling;*Education, Medical, Continuing/og Organization &amp; Administration];Feasibility Studies;Female;Germany;Humans;Logistic Models;Male;*Mass Screening/mt Methods];Middle Aged;Motivation;Needs Assessment;Physician's Role/px Psychology];Physician-Patient Relations;Physicians, Family/ed Education];Physicians, Family/og Organization &amp; Administration];Physicians, Family/px Psychology];*Physicians, Family;Practice Patterns, Physicians'/og Organization &amp; Administration];Program Evaluation;*Smoking Cessation/mt Methods];Smoking Cessation/px Psychology];Surveys and Questionnaires;Time Factors</t>
  </si>
  <si>
    <t>OBJECTIVE: To examine which counseling behavior among GPs can be achieved after counseling training when organizational support is provided. METHODS: A random sample of 39 general practices was drawn, 34 took part. GPs received a pre-study assessment followed by a training session for smoking counseling. All patients showing up during a period of 1 week were asked about smoking status. Current smokers, aged 18-70 years were eligible (N=551), 81.8% participated. A documentation sheet, filled in by a study nurse transferred smoking-related information about patient to the GP. GPs were advised to fill in a post-counseling assessment for every patient. A post-study assessment with the GPs was conducted. RESULTS: Frequent barriers for smoking counseling were lack of time and the assumption that patients were not motivated to quit. The GP's documented smoking counseling in 96.0%. The patients (87.8%) could be thoroughly counseled. Younger age of the GP, a high number of patients and the contemplation stage quitting smoking were predictors for realizing counseling. 79.3% of the GPs assessed the procedure to be practicable. CONCLUSIONS: Smoking counseling in the general practice is feasible. PRACTICE IMPLICATION: Involving staff in the screening procedure may support counseling activity of the GP.</t>
  </si>
  <si>
    <t>J2: Patient Educ Couns; Ulbricht, Sabina Meyer, Christian Schumann, Anja Rumpf, Hans-Jurgen Hapke, Ulfert John, Ulrich; ID: 795</t>
  </si>
  <si>
    <t>0738-3991</t>
  </si>
  <si>
    <t>Ulbricht, Sabina. Institute of Epidemiology and Social Medicine, University of Greifswald, Walther-Rathenau-Str. 48, 17487 Greifswald, Germany. ulbricht@uni-greifswald.de</t>
  </si>
  <si>
    <t>http://ovidsp.ovid.com/ovidweb.cgi?T=JS&amp;CSC=Y&amp;NEWS=N&amp;PAGE=fulltext&amp;D=med5&amp;AN=16531000</t>
  </si>
  <si>
    <t>MEDLINE; Ovid Technologies; Provision of smoking cessation counseling by general practitioners assisted by training and screening procedure</t>
  </si>
  <si>
    <t>Umashanker,R.</t>
  </si>
  <si>
    <t>Continuing Medical Education Questions: February 2018: ACG Clinical Guideline: Alcoholic Liver Disease</t>
  </si>
  <si>
    <t>J2: Am J Gastroenterol; Umashanker, Renuka; ID: 1646</t>
  </si>
  <si>
    <t>1572-0241</t>
  </si>
  <si>
    <t>Umashanker, Renuka. Gastroenterology of CT, Hamden, CT.</t>
  </si>
  <si>
    <t>http://ovidsp.ovid.com/ovidweb.cgi?T=JS&amp;CSC=Y&amp;NEWS=N&amp;PAGE=fulltext&amp;D=prem&amp;AN=29467531</t>
  </si>
  <si>
    <t>https://dx.doi.org/10.1038/ajg.2018.4</t>
  </si>
  <si>
    <t>MEDLINE; Ovid Technologies; Continuing Medical Education Questions: February 2018: ACG Clinical Guideline: Alcoholic Liver Disease</t>
  </si>
  <si>
    <t>Ungerleider,J. T.;Pechnick,R. N.;Wallbom,A. S.;Siegel,N.;Fairbanks,L.;Ziedonis,D. M.</t>
  </si>
  <si>
    <t>Interactive teaching, medical students, and substance abuse : university and community come together in a new endeavor</t>
  </si>
  <si>
    <t>The authors present an innovative approach for providing freshman and sophomore medical students with their initial exposure to the problems of alcohol and other drug abuse. Students in small interactive group seminars teach each other about the major areas of substance abuse: treatment, prevention/education, research, and law enforcement. They are aided by group moderators, by resource professionals, and by recovery teachers as they make field trips, attend 12-step meetings, and get background material. They utilize audiovisuals, role-plays, and programmed patients in a report/debate format. Effects of this seminar on their attitudes have been measured and are presented.</t>
  </si>
  <si>
    <t>J2: Acad Psychiatry; Ungerleider, J T Pechnick, R N Wallbom, A S Siegel, N Fairbanks, L Ziedonis, D M; ID: 323</t>
  </si>
  <si>
    <t>Ungerleider, J T. UCLA School of Medicine, Los Angeles, CA, USA.</t>
  </si>
  <si>
    <t>http://ovidsp.ovid.com/ovidweb.cgi?T=JS&amp;CSC=Y&amp;NEWS=N&amp;PAGE=fulltext&amp;D=prem&amp;AN=24435350</t>
  </si>
  <si>
    <t>https://dx.doi.org/10.1007/BF03341386</t>
  </si>
  <si>
    <t>MEDLINE; Ovid Technologies; Interactive teaching, medical students, and substance abuse : university and community come together in a new endeavor</t>
  </si>
  <si>
    <t>Upadhayay,N.;Guragain,S.</t>
  </si>
  <si>
    <t>Internet use and its addiction level in medical students</t>
  </si>
  <si>
    <t>Advances in Medical Education &amp; Practice</t>
  </si>
  <si>
    <t>OBJECTIVE: To compare the Internet addiction levels between male and female medical students. METHODS: One hundred medical students (male: 50, female: 50) aged 17-30 years were included in a cross-sectional study. A standardized questionnaire was used to assess their Internet addiction level. Additionally, a self-designed questionnaire was used to identify the various purposes of Internet use among the students. The Internet addiction score (based on the Internet Addiction Test) was compared between male and female students by using the Mann-Whitney U test (p&lt;=0.05). After knowing their addiction level, we interviewed students to know if Internet use had any bad/good impact on their life. RESULTS: The Internet Addiction Test scores obtained by the students were in the range of 11-70. Out of 100 students, 21 (male: 13, female: 8) were found to be slightly addicted to the Internet. The remaining 79 students were average online users. There was no significant difference between male and female students in the addiction level (score). However, males were more addicted than females. The major use of Internet was to download and watch movies and songs and to communicate with friends and family (76/100). Some students (24/100) used the Internet to assess information that helped them in their educational and learning activities. Some students mentioned that overuse of the Internet lead to insufficient amounts of sleep and affected their concentration levels in the classroom during lectures. CONCLUSION: Medical students are experiencing problems due to Internet overuse. They experience poor academic progress and lack of concentration while studying. The main use of the Internet was for entertainment and to communicate with friends and family.</t>
  </si>
  <si>
    <t>J2: Adv Med Educ Pract; Upadhayay, Namrata Guragain, Sanjeev; ID: 1660</t>
  </si>
  <si>
    <t>1179-7258</t>
  </si>
  <si>
    <t>Upadhayay, Namrata. Department of Physiology. Guragain, Sanjeev. Department of Pharmacology, Gandaki Medical College, Pokhara Lekhnath, Nepal.</t>
  </si>
  <si>
    <t>http://ovidsp.ovid.com/ovidweb.cgi?T=JS&amp;CSC=Y&amp;NEWS=N&amp;PAGE=fulltext&amp;D=prem&amp;AN=28989293</t>
  </si>
  <si>
    <t>https://dx.doi.org/10.2147/AMEP.S142199</t>
  </si>
  <si>
    <t>MEDLINE; Ovid Technologies; Internet use and its addiction level in medical students</t>
  </si>
  <si>
    <t>Ury,W. A.;Rahn,M.;Tolentino,V.;Pignotti,M. G.;Yoon,J.;McKegney,P.;Sulmasy,D. P.</t>
  </si>
  <si>
    <t>Can a pain management and palliative care curriculum improve the opioid prescribing practices of medical residents?</t>
  </si>
  <si>
    <t>Aged;Analgesics, Non-Narcotic/tu Therapeutic Use];*Analgesics, Opioid/ad Administration &amp; Dosage];Analgesics, Opioid/ae Adverse Effects];Anti-Inflammatory Agents, Non-Steroidal/tu Therapeutic Use];Chronic Disease;*Curriculum/st Standards];Drug Prescriptions;*Drug Utilization Review;Female;Hospitals, Teaching;Humans;*Internship and Residency/st Standards];Logistic Models;Male;Meperidine/ae Adverse Effects];Middle Aged;*Pain/dt Drug Therapy];Palliative Care;Polypharmacy;0 (Analgesics, Non-Narcotic);0 (Analgesics, Opioid);0 (Anti-Inflammatory Agents, Non-Steroidal);9E338QE28F (Meperidine)</t>
  </si>
  <si>
    <t>BACKGROUND: Although opioids are central to acute pain management, numerous studies have shown that many physicians prescribe them incorrectly, resulting in inadequate pain management and side effects. We assessed whether a case-based palliative medicine curriculum could improve medical house staff opioid prescribing practices. DESIGN: Prospective chart review of consecutive pharmacy and billing records of patients who received an opioid during hospitalization before and after the implementation of a curricular intervention, consisting of 10 one-hour case-based modules, including 2 pain management seminars. MEASUREMENTS: Consecutive pharmacy and billing records of patients who were cared for by medical residents (n = 733) and a comparison group of neurology and rehabilitative medicine patients (n = 273) that received an opioid during hospitalization in 8-month periods before (1/1/97 to 4/30/97) and after (1/1/99 to 4/30/99) the implementation of the curriculum on the medical service were reviewed. Three outcomes were measured: 1) percent of opioid orders for meperidine; 2) percent of opioid orders with concomminant bowel regimen; and 3) percent of opioid orders using adjuvant nonsteroidal anti-inflammatory drugs (NSAIDs). MAIN RESULTS: The percentage of patients receiving meperidine decreased in the study group, but not in the comparison group. The percentages receiving NSAIDs and bowel medications increased in both groups. In multivariate logistic models controlling for age and race, the odds of an experimental group patient receiving meperidine in the post-period decreased to 0.55 (95% confidence interval 95% CI], 0.32 to 0.96), while the odds of receiving a bowel medication or NSAID increased to 1.48 (95% CI, 1.07 to 2.03) and 1.53 (95% CI, 1.01 to 2.32), respectively. In the comparison group models, the odds of receiving a NSAID in the post-period increased significantly to 2.27 (95% CI, 1.10 to 4.67), but the odds of receiving a bowel medication (0.45; 95% CI, 0.74 to 2.00) or meperidine (0.85; 95% CI, 0.51 to 2.30) were not significantly different from baseline. CONCLUSIONS: This palliative care curriculum was associated with a sustained (&gt;6 months) improvement in medical residents' opioid prescribing practices. Further research is needed to understand the changes that occurred and how they can be translated into improved patient outcomes.</t>
  </si>
  <si>
    <t>J2: J Gen Intern Med; Ury, Wayne A Rahn, Maike Tolentino, Victorio Pignotti, Monica G Yoon, Janet McKegney, Patrick Sulmasy, Daniel P; ID: 964</t>
  </si>
  <si>
    <t>Ury, Wayne A. Saint Vincent's Catholic Medical Centers of New York, Manhattan Campus, New York, NY 10011, USA. WURY@AOL.COM</t>
  </si>
  <si>
    <t>http://ovidsp.ovid.com/ovidweb.cgi?T=JS&amp;CSC=Y&amp;NEWS=N&amp;PAGE=fulltext&amp;D=med4&amp;AN=12213144</t>
  </si>
  <si>
    <t>MEDLINE; Ovid Technologies; Can a pain management and palliative care curriculum improve the opioid prescribing practices of medical residents?</t>
  </si>
  <si>
    <t>Usatine,R. P.;Wilkes,M.;Slavin,S.;Wilkerson,L.</t>
  </si>
  <si>
    <t>A model smoking-intervention curriculum for medical school</t>
  </si>
  <si>
    <t>S96</t>
  </si>
  <si>
    <t>Analysis of Variance;Faculty, Medical/sn Statistics &amp; Numerical Data];Humans;Los Angeles;*Models, Educational;Motivation;*Problem-Based Learning;Program Evaluation/mt Methods];Program Evaluation/sn Statistics &amp; Numerical Data];Smoking/px Psychology];*Smoking Cessation/mt Methods];Smoking Cessation/px Psychology];Smoking Cessation/sn Statistics &amp; Numerical Data];*Smoking Prevention;Students, Medical/sn Statistics &amp; Numerical Data]</t>
  </si>
  <si>
    <t>J2: Acad Med; Usatine, R P Wilkes, M Slavin, S Wilkerson, L; ID: 1179</t>
  </si>
  <si>
    <t>http://ovidsp.ovid.com/ovidweb.cgi?T=JS&amp;CSC=Y&amp;NEWS=N&amp;PAGE=fulltext&amp;D=med4&amp;AN=8546797</t>
  </si>
  <si>
    <t>MEDLINE; Ovid Technologies; A model smoking-intervention curriculum for medical school</t>
  </si>
  <si>
    <t>Utku,F.;Checinski,K.</t>
  </si>
  <si>
    <t>Doctors' health. Medical students and alcohol</t>
  </si>
  <si>
    <t>a2798</t>
  </si>
  <si>
    <t>Curriculum;*Education, Medical, Undergraduate;Health Behavior;London;*Substance-Related Disorders</t>
  </si>
  <si>
    <t>J2: Bmj; Utku, Ferhal Checinski, Ken 337/dec02_1/a2798; ID: 658</t>
  </si>
  <si>
    <t>http://ovidsp.ovid.com/ovidweb.cgi?T=JS&amp;CSC=Y&amp;NEWS=N&amp;PAGE=fulltext&amp;D=med6&amp;AN=19050025</t>
  </si>
  <si>
    <t>https://dx.doi.org/10.1136/bmj.a2798</t>
  </si>
  <si>
    <t>MEDLINE; Ovid Technologies; Doctors' health. Medical students and alcohol</t>
  </si>
  <si>
    <t>Uva,J. L.</t>
  </si>
  <si>
    <t>Substance abuse education: an essential supplement to medical school's curriculum.Erratum appears in Ohio Med 1991 Apr;87(4):170]</t>
  </si>
  <si>
    <t>Curriculum;*Education, Medical, Undergraduate;Humans;*Substance-Related Disorders</t>
  </si>
  <si>
    <t>J2: Ohio Med; Uva, J L; ID: 1322</t>
  </si>
  <si>
    <t>http://ovidsp.ovid.com/ovidweb.cgi?T=JS&amp;CSC=Y&amp;NEWS=N&amp;PAGE=fulltext&amp;D=med3&amp;AN=2000211</t>
  </si>
  <si>
    <t>MEDLINE; Ovid Technologies; Substance abuse education: an essential supplement to medical school's curriculum.[Erratum appears in Ohio Med 1991 Apr;87(4):170]</t>
  </si>
  <si>
    <t>Vakkur,M.;Broadhead,W. E.;Andolsek,K. M.;Magruder,K.</t>
  </si>
  <si>
    <t>Impact of a substance abuse curriculum on primary care physicians' attitudes</t>
  </si>
  <si>
    <t>*Attitude of Health Personnel;Curriculum;Female;Humans;Male;*Primary Health Care;*Substance-Related Disorders/px Psychology]</t>
  </si>
  <si>
    <t>J2: Acad Med; Vakkur, M Broadhead, W E Andolsek, K M Magruder, K; ID: 1284</t>
  </si>
  <si>
    <t>Vakkur, M. Duke University School of Medicine, Durham, North Carolina.</t>
  </si>
  <si>
    <t>http://ovidsp.ovid.com/ovidweb.cgi?T=JS&amp;CSC=Y&amp;NEWS=N&amp;PAGE=fulltext&amp;D=med3&amp;AN=1596346</t>
  </si>
  <si>
    <t>MEDLINE; Ovid Technologies; Impact of a substance abuse curriculum on primary care physicians' attitudes</t>
  </si>
  <si>
    <t>Valera,R. J.;Sawyer,R. G.;Schiraldi,G. R.</t>
  </si>
  <si>
    <t>Perceived health needs of inner-city street prostitutes: a preliminary study</t>
  </si>
  <si>
    <t>American Journal of Health Behavior</t>
  </si>
  <si>
    <t>Am.J.Health Behav.</t>
  </si>
  <si>
    <t>Adolescent;Adult;District of Columbia/ep Epidemiology];Female;*Health Services Needs and Demand;Health Status;Homeless Persons/sn Statistics &amp; Numerical Data];Humans;Male;Middle Aged;Motivation;*Poverty Areas;*Preventive Health Services;Sex Work/px Psychology];*Sex Work;*Social Work;Stress Disorders, Post-Traumatic/ep Epidemiology];Substance-Related Disorders/ep Epidemiology];Violence/sn Statistics &amp; Numerical Data]</t>
  </si>
  <si>
    <t>OBJECTIVE: To survey inner-city prostitutes' perceived health needs. METHODS: One hundred forty street prostitutes in Washington DC, were surveyed to determine their perceived health needs, in addition to levels of post traumatic stress disorder (PTSD). RESULTS: The final sample comprised 100 individuals, representing 3 subgroups of prostitutes, female, male, and transgender male. Major health needs included protection from physical and sexual assault, social support, counseling, addictions treatment, job training, and medical care. Over 42% of the population was identified as meeting established criteria for PTSD. CONCLUSION: Effective program development for inner-city prostitutes needs to acknowledge the presence of distinct subpopulations and the pervasive influence of PTSD on health status.</t>
  </si>
  <si>
    <t>J2: Am J Health Behav; Valera, R J Sawyer, R G Schiraldi, G R; ID: 1011</t>
  </si>
  <si>
    <t>1087-3244</t>
  </si>
  <si>
    <t>Valera, R J. Department of Health Education, University of Maryland, College Park 20742, USA.</t>
  </si>
  <si>
    <t>http://ovidsp.ovid.com/ovidweb.cgi?T=JS&amp;CSC=Y&amp;NEWS=N&amp;PAGE=fulltext&amp;D=med4&amp;AN=11289729</t>
  </si>
  <si>
    <t>MEDLINE; Ovid Technologies; Perceived health needs of inner-city street prostitutes: a preliminary study</t>
  </si>
  <si>
    <t>Valle,R.;Sanchez,E.;Perales,A.</t>
  </si>
  <si>
    <t>Depressive symptomatology and alcohol-related problems during the academic training of medical students]</t>
  </si>
  <si>
    <t>Revista Peruana de Medicina Experimental y Salud Publica</t>
  </si>
  <si>
    <t>Adolescent;*Alcohol-Related Disorders/ep Epidemiology];Cross-Sectional Studies;*Depression/ep Epidemiology];Female;Humans;Male;*Students, Medical;Young Adult</t>
  </si>
  <si>
    <t>In order to evaluate the frequency of depressive symptomatology (DS) and alcohol-related problems (ARP) during the academic training of medical students from Universidad Nacional Mayor de San Marcos, a cross-sectional study was conducted among students from first to sixth year of career. The Zung Self-Rating depression scale was used to evaluate DS and the CAGE questionnaire to evaluate ARP. 23.3% of participants had DS, and 7.3% had ARP. We found that the frequency of DS and ARP was higher among students in the first years of career. We recommend it is necessary to take action in the prevention and detection of these disorders from the first years of training of medical students.</t>
  </si>
  <si>
    <t>J2: Rev; Spanish Valle, Ruben Sanchez, Elard Perales, Alberto S1726-46342013000100011; OP: Sintomatologia depresiva y problemas relacionados al consumo de alcohol durante la formacion academica de estudiantes de medicina; ID: 305</t>
  </si>
  <si>
    <t>1726-4642</t>
  </si>
  <si>
    <t>Valle, Ruben. Facultad de Medicina Humana San Fernando, Universidad Nacional Mayor de San Marcos, Lima, Peru. ruben_vr12@hotmail.com</t>
  </si>
  <si>
    <t>http://ovidsp.ovid.com/ovidweb.cgi?T=JS&amp;CSC=Y&amp;NEWS=N&amp;PAGE=fulltext&amp;D=med7&amp;AN=23612813</t>
  </si>
  <si>
    <t>MEDLINE; Ovid Technologies; [Depressive symptomatology and alcohol-related problems during the academic training of medical students]</t>
  </si>
  <si>
    <t>Valverde Bolivar,F. J.;Perez Milena,A.;Moreno Corredor,A.</t>
  </si>
  <si>
    <t>Drugs consumption among Intern Specialists in Jaen (Spain) and their relationship to clinical counseling]</t>
  </si>
  <si>
    <t>Adult;*Counseling/sn Statistics &amp; Numerical Data];Cross-Sectional Studies;Female;Humans;*Internship and Residency;Male;Spain;*Substance-Related Disorders/ep Epidemiology]</t>
  </si>
  <si>
    <t>There are few studies on the prevalence of alcohol, tobacco and illegal drugs consumption among Specialist Interns (EIR) and their counseling to the patients. A multicenter cross-sectional study is carried out, consisting in a self-administered validated questionnaire to describe the consumption of the EIR of 17 health centers in Jaen (Andalusia) (4 hospitals, 13 primary care) and their relationship with their counseling. 215 EIR participate with 81% of valid questionnaires: mean age 31.2 years (+/- 0.7), 70% women, 13% foreigners, only 6% nursing. Of them 78% consumed alcohol (onset age 16.8 years +/- 0.3), 81% occasionally and 17% weekend. The alcohol average weekly intake was 5.9 (+/- 5.8) UBE, especially beer and cocktails; 17% show a binge-drinking pattern (more frequent in men, p = .001 x 2). 19% smoke. A total of 71% smoke on a daily bases (mean of 8.9 +/- 1.6 cigarettes/day); the nicotine dependence is low (68%) and two thirds have tried to quit. Only 3% use cannabis. A fifth part of EIR does not usually advise against smoking use (21%), a third part does not advise against alcohol (34%) and almost half of them neither advises against drugs (44%) (p = .001 x 2). Logistic regression shows greater clinical advice from older EIR. Advice against drinking alcohol provided by EIR women is more frequent (OR 2.93) and, probably, even more in EIR that binge drink (OR 2.32). Late smoking onset is related to less clinical advice against illegal drugs (OR 0.76).</t>
  </si>
  <si>
    <t>J2: Adicciones; Spanish Valverde Bolivar, Francisco Javier Perez Milena, Alejandro Moreno Corredor, Andres; OP: Consumo de drogas entre los Especialistas Internos Residentes de Jaen (Espana) y su relacion con el consejo clinico; ID: 293</t>
  </si>
  <si>
    <t>Valverde Bolivar, Francisco Javier. Unidad Docente de Medicina Familiar y Comunitaria de Jaen, Complejo Hospitalario de Jaen, Jaen. franciscoj.valverde.sspa@juntadeandalucia.es</t>
  </si>
  <si>
    <t>http://ovidsp.ovid.com/ovidweb.cgi?T=JS&amp;CSC=Y&amp;NEWS=N&amp;PAGE=fulltext&amp;D=med7&amp;AN=23880837</t>
  </si>
  <si>
    <t>MEDLINE; Ovid Technologies; [Drugs consumption among Intern Specialists in Jaen (Spain) and their relationship to clinical counseling]</t>
  </si>
  <si>
    <t>van Brussel,G. H.</t>
  </si>
  <si>
    <t>Strengthening the medical aspect of addiction care]</t>
  </si>
  <si>
    <t>Certification;*Delivery of Health Care/ec Economics];*Delivery of Health Care/st Standards];Humans;Medicine;Netherlands;Patient Care Team;*Quality of Health Care;Specialization;*Substance-Related Disorders/th Therapy]</t>
  </si>
  <si>
    <t>The Dutch Association for Addiction Medicine and the umbrella organisation GGZ Nederland (sector organisation for mental health and addiction care) have compiled a report entitled 'Strengthening medical care in the addiction care sector'. The report argues why medical care needs to be strengthened and provides guidance as to how the present shortcomings in quality and quantity can be dealt with. Addiction is now considered to be a medical condition with patients instead of clients. This means that the care, including the financial aspects, needs to be organised in the same way as all other forms of regular health care. Furthermore, the training in addiction medicine needs to be given a clearer status in the form of departments, professorships, training institutes and certification. Within the context of this report the responsibility of addiction centres needs to be emphasised. Vacancies in the many forms of social work could be exchanged for well-trained nurses and physicians, without the need for extra financial assistance.</t>
  </si>
  <si>
    <t>J2: Ned Tijdschr Geneeskd; Dutch van Brussel, G H Comment in: Ned Tijdschr Geneeskd. 2003 Aug 23;147(34):1625-7; PMID: 12966625; OP: De versterking van het medische aspect van de verslavingszorg; ID: 931</t>
  </si>
  <si>
    <t>0028-2162</t>
  </si>
  <si>
    <t>van Brussel, G H. GG&amp;GD, Maatschappelijke en Geestelijke Gezondheidszorg, Postbus 2200, 1000 CE Amsterdam.</t>
  </si>
  <si>
    <t>http://ovidsp.ovid.com/ovidweb.cgi?T=JS&amp;CSC=Y&amp;NEWS=N&amp;PAGE=fulltext&amp;D=med4&amp;AN=12966626</t>
  </si>
  <si>
    <t>MEDLINE; Ovid Technologies; [Strengthening the medical aspect of addiction care]</t>
  </si>
  <si>
    <t>Vanchakova,N. P.;Miager,V. K.</t>
  </si>
  <si>
    <t>The teaching of psychotherapy in a residency course on psychiatry and drug abuse]</t>
  </si>
  <si>
    <t>Humans;*Internship and Residency;*Psychiatry/ed Education];*Psychotherapy/ed Education];Russia;*Substance-Related Disorders/th Therapy];*Teaching</t>
  </si>
  <si>
    <t>J2: Zh Nevrol Psikhiatr Im S S Korsakova; Russian Vanchakova, N P Miager, V K; OP: O prepodavanii psikhoterapii v kurse subordinatury po psikhiatrii i narkologii; ID: 1176</t>
  </si>
  <si>
    <t>http://ovidsp.ovid.com/ovidweb.cgi?T=JS&amp;CSC=Y&amp;NEWS=N&amp;PAGE=fulltext&amp;D=med3&amp;AN=8585389</t>
  </si>
  <si>
    <t>MEDLINE; Ovid Technologies; [The teaching of psychotherapy in a residency course on psychiatry and drug abuse]</t>
  </si>
  <si>
    <t>Vanderhoek,A. J.;Hammal,F.;Chappell,A.;Wild,T. C.;Raupach,T.;Finegan,B. A.</t>
  </si>
  <si>
    <t>Future physicians and tobacco: an online survey of the habits, beliefs and knowledge base of medical students at a Canadian University</t>
  </si>
  <si>
    <t>Tobacco Induced Diseases</t>
  </si>
  <si>
    <t>BACKGROUND: Little is known about the knowledge and attitudes towards tobacco use among medical students in Canada. Our objectives were to estimate the prevalence of tobacco use among medical students, assess their perceived level of education about tobacco addiction management and their preparedness to address tobacco use with their future patients. METHODS: A cross-sectional online survey was administered to University of Alberta undergraduate medical school trainees. The 32-question survey addressed student demographics, tobacco use, knowledge and attitudes around tobacco and waterpipe smoking, tobacco education received in medical school, as well as knowledge and competency regarding tobacco cessation interventions. RESULTS: Of 681 polled students, 301 completed the survey. Current (defined as "use within the last 30 days") cigarette, cigar/cigarillo and waterpipe smoking prevalence was 3.3%, 6% and 6%, respectively. One third of the respondents had ever smoked a cigarette, but 41% had tried cigars/cigarillos and 40% had smoked a waterpipe at some time in the past. Students reported moderate levels of education on a variety of tobacco-related subjects but were well-informed on the role of tobacco in disease causation. The majority of students in their final two years of training felt competent to provide tobacco cessation interventions, but only 10% definitively agreed that they had received enough training in this area. CONCLUSIONS: Waterpipe exposure/current use was surprisingly high among this sample of medical students, a population well educated about the role of tobacco in disease causation. The majority of respondents appeared to be adequately prepared to manage tobacco addiction but education could be improved, particularly training in behavioral modification techniques used in tobacco use cessation.</t>
  </si>
  <si>
    <t>J2: Tob; Vanderhoek, Amanda J Hammal, Fadi Chappell, Alyssa Wild, T Cameron Raupach, Tobias Finegan, Barry A; ID: 302</t>
  </si>
  <si>
    <t>2070-7266</t>
  </si>
  <si>
    <t>Vanderhoek, Amanda J. Department of Anesthesiology and Pain Medicine, University of Alberta, Edmonton, Canada. Hammal, Fadi. Department of Anesthesiology and Pain Medicine, University of Alberta, Edmonton, Canada. Chappell, Alyssa. Department of Anesthesiology and Pain Medicine, University of Alberta, Edmonton, Canada. Wild, T Cameron. School of Public Health, University of Alberta, Edmonton, Canada. Raupach, Tobias. Department of Cardiology and Pneumology, University Hospital Gottingen, Gottingen, Germany. Finegan, Barry A. Department of Anesthesiology and Pain Medicine, University of Alberta, Edmonton, Canada.</t>
  </si>
  <si>
    <t>http://ovidsp.ovid.com/ovidweb.cgi?T=JS&amp;CSC=Y&amp;NEWS=N&amp;PAGE=fulltext&amp;D=prem&amp;AN=23557392</t>
  </si>
  <si>
    <t>https://dx.doi.org/10.1186/1617-9625-11-9</t>
  </si>
  <si>
    <t>MEDLINE; Ovid Technologies; Future physicians and tobacco: an online survey of the habits, beliefs and knowledge base of medical students at a Canadian University</t>
  </si>
  <si>
    <t>Vansel,N. A.</t>
  </si>
  <si>
    <t>Education for drug abuse and alcoholism</t>
  </si>
  <si>
    <t>Arizona Medicine</t>
  </si>
  <si>
    <t>Ariz.Med.</t>
  </si>
  <si>
    <t>*Alcoholism/th Therapy];Arizona;Curriculum;*Education, Medical;Humans;*Substance-Related Disorders</t>
  </si>
  <si>
    <t>J2: Ariz Med; Vansel, N A; ID: 1539</t>
  </si>
  <si>
    <t>0004-1556</t>
  </si>
  <si>
    <t>http://ovidsp.ovid.com/ovidweb.cgi?T=JS&amp;CSC=Y&amp;NEWS=N&amp;PAGE=fulltext&amp;D=med1&amp;AN=1217989</t>
  </si>
  <si>
    <t>MEDLINE; Ovid Technologies; Education for drug abuse and alcoholism</t>
  </si>
  <si>
    <t>Varga,M.;Buris,L.</t>
  </si>
  <si>
    <t>Drinking habits of medical students call for better integration of teaching about alcohol into the medical curriculum</t>
  </si>
  <si>
    <t>Adult;*Alcoholism/ep Epidemiology];Alcoholism/pc Prevention &amp; Control];Alcoholism/rh Rehabilitation];Attitude of Health Personnel;Cross-Sectional Studies;Curriculum;*Education, Medical;Female;Health Education;Humans;Hungary/ep Epidemiology];Incidence;Male;Personality Inventory;*Students, Medical/sn Statistics &amp; Numerical Data];Substance Abuse Treatment Centers</t>
  </si>
  <si>
    <t>A study was conducted with medical students to observe their drinking habits and alcohol misuse. The students completed questionnaires composed of AUDIT and SMAST questions. A significant proportion (33%) of students drank more than the recommended safe limit and screened positive at the AUDIT cut-off score of 11. The high scores of DSM-III criterion questions indicate that problem drinking on college campuses continues to be a significant public health concern. Our opinion is that prevention of alcohol misuse should be started at medical universities. The medical school curriculum must integrate education about alcohol. First the attitude of medical professionals should be changed so that we can achieve results in alcohol misuse prevention in society as a whole.</t>
  </si>
  <si>
    <t>J2: Alcohol Alcohol; Varga, M Buris, L; ID: 1207</t>
  </si>
  <si>
    <t>Varga, M. Department of Forensic Medicine, University Medical School of Debrecen, Hungary.</t>
  </si>
  <si>
    <t>http://ovidsp.ovid.com/ovidweb.cgi?T=JS&amp;CSC=Y&amp;NEWS=N&amp;PAGE=fulltext&amp;D=med3&amp;AN=7811343</t>
  </si>
  <si>
    <t>MEDLINE; Ovid Technologies; Drinking habits of medical students call for better integration of teaching about alcohol into the medical curriculum</t>
  </si>
  <si>
    <t>Varra,A. A.;Hayes,S. C.;Roget,N.;Fisher,G.</t>
  </si>
  <si>
    <t>A randomized control trial examining the effect of acceptance and commitment training on clinician willingness to use evidence-based pharmacotherapy</t>
  </si>
  <si>
    <t>Journal of Consulting &amp; Clinical Psychology</t>
  </si>
  <si>
    <t>Combined Modality Therapy;*Drug Therapy/mt Methods];*Education, Medical;Ethnic Groups/sn Statistics &amp; Numerical Data];*Evidence-Based Medicine/mt Methods];Female;Humans;*Intention;Male;Middle Aged;*Motivation;*Patient Acceptance of Health Care/sn Statistics &amp; Numerical Data];*Psychotherapy/mt Methods];Social Support;Substance-Related Disorders/eh Ethnology];*Substance-Related Disorders/th Therapy];*Teaching/mt Methods]</t>
  </si>
  <si>
    <t>This study evaluated the effectiveness of acceptance and commitment training (ACT) for increasing drug and alcohol counselors' willingness to use evidence-based agonist and antagonist pharmacotherapy. Fifty-nine drug and alcohol counselors were randomly assigned to either a 1-day ACT workshop or a 1-day educational control workshop. Both groups then attended a 2-day workshop on empirically supported treatments for substance abuse. Measures were taken at pre- and posttraining and 3-month follow-up on reported use of pharmacotherapy, willingness to use pharmacotherapy, perceived barriers to implementing new treatments, and general acceptance. As compared with those in the education alone condition, participants in the ACT condition showed significantly higher rates of referrals to pharmacotherapy at follow-up, rated barriers to learning new treatments as less believable at posttraining and follow-up, and showed greater psychological flexibility at posttraining and follow-up. Mediational analyses indicated that reduced believability of barriers and greater psychological flexibility mediated the impact of the intervention. Results support the idea that acceptance-based interventions may be helpful in addressing the psychological factors related to poor adoption of evidence-based treatments.</t>
  </si>
  <si>
    <t>J2: J Consult Clin Psychol; Varra, Alethea A Hayes, Steven C Roget, Nancy Fisher, Gary; ID: 681</t>
  </si>
  <si>
    <t>0022-006X</t>
  </si>
  <si>
    <t>Varra, Alethea A. Veterans Affairs Puget Sound Healthcare System, Mental Health Service, Seattle, WA 98108, USA. alethea.varra@va.gov</t>
  </si>
  <si>
    <t>http://ovidsp.ovid.com/ovidweb.cgi?T=JS&amp;CSC=Y&amp;NEWS=N&amp;PAGE=fulltext&amp;D=med6&amp;AN=18540738</t>
  </si>
  <si>
    <t>https://dx.doi.org/10.1037/0022-006X.76.3.449</t>
  </si>
  <si>
    <t>MEDLINE; Ovid Technologies; A randomized control trial examining the effect of acceptance and commitment training on clinician willingness to use evidence-based pharmacotherapy</t>
  </si>
  <si>
    <t>Vaughn,M. G.;Delisi,M.;Gunterbh,T.;Fu,Q.;Beaver,K. M.;Perron,B. E.;Howard,M. O.</t>
  </si>
  <si>
    <t>The Severe 5%: A Latent Class Analysis of the Externalizing Behavior Spectrum in the United States</t>
  </si>
  <si>
    <t>Journal of Criminal Justice</t>
  </si>
  <si>
    <t>OBJECTIVE: Criminological research consistently demonstrates that approximately 5% of study populations are comprised of pathological offenders who account for a preponderance of antisocial behavior and violent crime. Unfortunately, there have been no nationally representative epidemiological studies characterizing the severe 5% group. MATERIALS AND METHODS: Data from the 2001-2002 National Epidemiologic Survey on Alcohol and Related Conditions (NESARC), a nationally representative sample of 43,093 non-institutionalized U.S. residents aged 18 years and older were analyzed using latent class analysis to assess sociodemographic, psychiatric, and behavioral characteristics. RESULTS: Four-classes of respondents were identified vis-a-vis lifetime externalizing behaviors. A normative class (66.1% of respondents) demonstrated little involvement in antisocial conduct. A low substance use/high antisocial behavior class (20.7% of respondents) and high substance use/moderate antisocial behavior (8.0% of respondents) class evinced diverse externalizing and psychiatric symptoms. Finally, a severe class (5.3% of respondents) was characterized by pathological involvement in more varied and intensive forms of antisocial and externalizing behaviors and extensive psychiatric disturbance. CONCLUSIONS: The current study is the first nationally representative epidemiological study of criminal careers/externalizing behavior spectrum in the United States and validates the existence of the 5% pathological group demonstrated by prior research.</t>
  </si>
  <si>
    <t>J2: J crim justice; Vaughn, Michael G Delisi, Matt Gunterbh, Tracy Fu, Qiang Beaver, Kevin M Perron, Brian E Howard, Matthew O; ID: 1703</t>
  </si>
  <si>
    <t>0047-2352</t>
  </si>
  <si>
    <t>Vaughn, Michael G. Saint Louis University.</t>
  </si>
  <si>
    <t>http://ovidsp.ovid.com/ovidweb.cgi?T=JS&amp;CSC=Y&amp;NEWS=N&amp;PAGE=fulltext&amp;D=medp&amp;AN=22942480</t>
  </si>
  <si>
    <t>MEDLINE; Ovid Technologies; The Severe 5%: A Latent Class Analysis of the Externalizing Behavior Spectrum in the United States</t>
  </si>
  <si>
    <t>Velez,C. M.;Nicolaidis,C.;Korthuis,P. T.;Englander,H.</t>
  </si>
  <si>
    <t>It's been an Experience, a Life Learning Experience: A Qualitative Study of Hospitalized Patients with Substance Use Disorders</t>
  </si>
  <si>
    <t>Academic Medical Centers;Adult;Female;*Hospitalization;Humans;Male;Middle Aged;*Patient Acceptance of Health Care/px Psychology];Professional-Patient Relations;Qualitative Research;Substance-Related Disorders/px Psychology];*Substance-Related Disorders/th Therapy]</t>
  </si>
  <si>
    <t>BACKGROUND: Individuals with substance use disorders (SUD) have high rates of chronic illness and readmission, yet few are engaged in addiction treatment. Hospitalization may be a reachable moment for initiating and coordinating addiction care, but little is known about motivation for change in the inpatient setting. OBJECTIVE: To explore the experiences of hospitalized adults with SUD and to better understand patient and system level factors impacting readiness for change. DESIGN: We performed a qualitative study using individual interviews. The study was nested within a larger mixed-methods needs assessment. PARTICIPANTS AND SETTING: Hospitalized adults admitted to medical or surgical units at an urban academic medical center who reported high-risk alcohol or drug use on AUDIT-C or single-item drug use screener. APPROACH: We conducted a thematic analysis, using an inductive approach at a semantic level. KEY RESULTS: Thirty-two patients participated. The mean age was 43 years; 75% were men, and 68% identified as white. Participants reported moderate to high-risk alcohol (39%), amphetamine (46%), and opioid (65%) use. Emergent themes highlight the influence of hospitalization at the patient, provider, and health system levels. Many patients experienced hospitalization as a wake-up call, where mortality was motivation for change and hospitalization disrupted substance use. However, many participants voiced complex narratives of social chaos, trauma, homelessness, and chronic pain. Participants valued providers who understood SUD and the importance of treatment choice. Patient experience suggests the importance of peers in the hospital setting, access to medication-assisted treatment, and coordinated care post-discharge. CONCLUSIONS: This study supports that hospitalization offers an opportunity to initiate and coordinate addiction care, and provides insights into patient, provider, and health system factors which can leverage the reachability of this moment.</t>
  </si>
  <si>
    <t>J2: J Gen Intern Med; Velez, Christine M Nicolaidis, Christina Korthuis, P Todd Englander, Honora; ID: 32</t>
  </si>
  <si>
    <t>Velez, Christine M. Clinical Integration, Oregon Health &amp; Science University, 3181 SW Sam Jackson Park Road, Portland, OR, 97239, USA. Velez, Christine M. School of Social Work, Portland State University, Portland, OR, USA. Nicolaidis, Christina. School of Social Work, Portland State University, Portland, OR, USA. Nicolaidis, Christina. Division of General Internal Medicine, Oregon Health &amp; Science University, Portland, OR, USA. Korthuis, P Todd. Division of General Internal Medicine, Oregon Health &amp; Science University, Portland, OR, USA. Englander, Honora. Clinical Integration, Oregon Health &amp; Science University, 3181 SW Sam Jackson Park Road, Portland, OR, 97239, USA. englandh@ohsu.edu. Englander, Honora. Division of Hospital Medicine, Oregon Health &amp; Science University, Portland, OR, USA. englandh@ohsu.edu.</t>
  </si>
  <si>
    <t>http://ovidsp.ovid.com/ovidweb.cgi?T=JS&amp;CSC=Y&amp;NEWS=N&amp;PAGE=fulltext&amp;D=medl&amp;AN=27957661</t>
  </si>
  <si>
    <t>https://dx.doi.org/10.1007/s11606-016-3919-4</t>
  </si>
  <si>
    <t>MEDLINE; Ovid Technologies; "It's been an Experience, a Life Learning Experience": A Qualitative Study of Hospitalized Patients with Substance Use Disorders</t>
  </si>
  <si>
    <t>Velvart,J.;Lorent,J. P.;Gujer,H. R.</t>
  </si>
  <si>
    <t>Fatal kidney diseases due to analogesic abuse in Switzerland]</t>
  </si>
  <si>
    <t>Sozial- und Praventivmedizin</t>
  </si>
  <si>
    <t>Soz.Praventivmed.</t>
  </si>
  <si>
    <t>Adolescent;Adult;Aged;*Analgesics, Opioid/ae Adverse Effects];Female;Humans;*Kidney Diseases/ci Chemically Induced];Male;Middle Aged;Occupations;Parity;Rural Population;Statistics as Topic;Substance-Related Disorders;Switzerland;Urban Population;0 (Analgesics, Opioid)</t>
  </si>
  <si>
    <t>As part of an investigation into death by poisoning in Switzerland we were able to examine the register of deaths at the Swiss Federal Bureau of Statistics. All the medical reports which named analgesic nephropathy as being the basic illness and the main cause of death have been taken into consideration in this work. 331 deaths occurred in the five year period 1967-1971, and were studied as closely as the documents allowed. The earliest cases of death arose in the thirties, the maximum number however occurring between the age of 60 and 70. Between the onset of kidney damage and the actual death elapses a period of about 10 years. The ratio from woman to man is almost 2,8:1. The occurrence is particularly frequent among childless housewives. The victims are people of widely different occupations and social classes. The analgesic nephropathy resulting from addiction and leading to death is most frequently encountered among the population of the cities, and the German Swiss Cantons, as well as among people of protestant faith. The shocking number of 331 deaths in five years (in 1973 there were a further 79 cases) bears witness to the need for adequate preventive measures.</t>
  </si>
  <si>
    <t>J2: Soz Praventivmed; German Velvart, J Lorent, J P Gujer, H R; OP: Todlich Nierenerkrankungen als Folge des Schmerzmittelmissbrauchs in der Schweiz; ID: 1537</t>
  </si>
  <si>
    <t>0303-8408</t>
  </si>
  <si>
    <t>http://ovidsp.ovid.com/ovidweb.cgi?T=JS&amp;CSC=Y&amp;NEWS=N&amp;PAGE=fulltext&amp;D=med1&amp;AN=9752</t>
  </si>
  <si>
    <t>MEDLINE; Ovid Technologies; [Fatal kidney diseases due to analogesic abuse in Switzerland]</t>
  </si>
  <si>
    <t>Verbiest,M. E.;Crone,M. R.;Scharloo,M.;Chavannes,N. H.;van,der Meer;Kaptein,A. A.;Assendelft,W. J.</t>
  </si>
  <si>
    <t>One-hour training for general practitioners in reducing the implementation gap of smoking cessation care: a cluster-randomized controlled trial</t>
  </si>
  <si>
    <t>Adult;Counseling;Female;*General Practitioners/ed Education];*General Practitioners/px Psychology];Humans;Male;Middle Aged;*Smoking Cessation</t>
  </si>
  <si>
    <t>INTRODUCTION: This study examined the effectiveness of low-intensity, practice-tailored training for general practitioners (GPs) aimed at personal and organizational barriers that arise when routinely asking patients' smoking status, advising to quit, and arranging follow-up. METHODS: A cluster-randomized controlled trial with 49 GPs and 3,401 patients (677 smokers). Two patient groups participated: 2,068 patients (433 smokers) at baseline and 1,333 patients (244 smokers) postintervention. At follow-up, 225 smokers of both groups participated. The primary outcome was GP smoking cessation counseling (asking about smoking status, advising to quit, prescribing pharmacotherapy, and referring for behavioral support). Secondary outcomes were GPs' attitudes toward smoking cessation care, patients' intention to quit, and long-term quit rates. Outcomes were measured with GP self-report and patient report. RESULTS: Patients of trained GPs reported more often being asked about smoking behavior compared with patients of untrained GPs (OR = 1.94, 95% CI = 1.45-2.60). According to GP self-report, the training increased the provision of quit-smoking advices (difference 0.56 advice per day; 95% CI = 0.13-0.98) and the ability and intention of providing smoking cessation care. We found no effect on GPs' arrangement of follow-up, smokers' intention to quit, and long-term quit rates. CONCLUSIONS: After 1 hour of training, we found significant differences between trained and untrained GPs on the frequency in which they asked about smoking (patient reported) and advised smokers to quit (GP self-reported). The training did not increase prescriptions of pharmacotherapy, referrals to behavioral support, or quit rates. Future training methods should focus on the GPs' ability, tools, and skills to arrange follow-up to ensure intensive smoking cessation support.</t>
  </si>
  <si>
    <t>J2: Nicotine Tob Res; Verbiest, Marjolein E A Crone, Mathilde R Scharloo, Margreet Chavannes, Niels H van der Meer, Victor Kaptein, Ad A Assendelft, Willem J J; ID: 290</t>
  </si>
  <si>
    <t>Verbiest, Marjolein E A. Department of Public Health and Primary Care, Leiden University Medical Centre, Leiden, The Netherlands;</t>
  </si>
  <si>
    <t>http://ovidsp.ovid.com/ovidweb.cgi?T=JS&amp;CSC=Y&amp;NEWS=N&amp;PAGE=fulltext&amp;D=med8&amp;AN=23873981</t>
  </si>
  <si>
    <t>https://dx.doi.org/10.1093/ntr/ntt100</t>
  </si>
  <si>
    <t>MEDLINE; Ovid Technologies; One-hour training for general practitioners in reducing the implementation gap of smoking cessation care: a cluster-randomized controlled trial</t>
  </si>
  <si>
    <t>Verner,I.</t>
  </si>
  <si>
    <t>Opium lecture for Medical Society of London</t>
  </si>
  <si>
    <t>Transactions of the Medical Society of London</t>
  </si>
  <si>
    <t>Trans.Med.Soc.Lond.</t>
  </si>
  <si>
    <t>China;Commerce/hi History];History, 17th Century;History, 18th Century;History, 19th Century;Humans;*Opioid-Related Disorders/hi History];*Opium/hi History];United Kingdom;8008-60-4 (Opium)</t>
  </si>
  <si>
    <t>J2: Trans Med Soc Lond; Verner, I; ID: 1038</t>
  </si>
  <si>
    <t>0076-6011</t>
  </si>
  <si>
    <t>http://ovidsp.ovid.com/ovidweb.cgi?T=JS&amp;CSC=Y&amp;NEWS=N&amp;PAGE=fulltext&amp;D=med4&amp;AN=10824255</t>
  </si>
  <si>
    <t>MEDLINE; Ovid Technologies; Opium lecture for Medical Society of London</t>
  </si>
  <si>
    <t>Verthein,U.;Martens,M. S.;Raschke,P.;Holzbach,R.</t>
  </si>
  <si>
    <t>Long-term prescription of benzodiazepines and non-benzodiazepines]</t>
  </si>
  <si>
    <t>Adolescent;Adult;Aged;Aged, 80 and over;*Benzodiazepines;*Drug Utilization Review;Female;Germany/ep Epidemiology];Guideline Adherence;Humans;*Inappropriate Prescribing/sn Statistics &amp; Numerical Data];Male;Middle Aged;Practice Guidelines as Topic;*Prescriptions/st Standards];*Prescriptions/sn Statistics &amp; Numerical Data];*Registries;*Tranquilizing Agents;Young Adult;0 (Tranquilizing Agents);12794-10-4 (Benzodiazepines)</t>
  </si>
  <si>
    <t>BACKGROUND: The number of persons with a dependence on prescription drugs such as sedatives or tranquilizers in Germany is estimated at between 1.4 and 1.9 million. According to national addiction treatment documentations only very few of them seek help in specialised treatment services. The majority of prescription drug-dependent people use benzodiazepines. This medication is usually prescribed by physicians and according to German guidelines it should be prescribed only for limited, short periods and in low doses. OBJECTIVE: This study aims to determine the extent of the problematic prescription of benzodiazepines and non-benzodiazepines. METHODS: We used prescription data from the Northern Germany Computing Centre for Pharmacies registered between 2005 and 2007. For the German regions of Hamburg, Bremen and Schleswig-Holstein, benzodiazepine prescriptions during an individual prospective period of 12 months were analysed. RESULTS: From July 2005 to June 2006, 294 143 prescriptions of benzodiazepines and non-benzodiazepines were recorded for 78 456 citizens of Hamburg and billed at the expenses of the governmental health insurance funds. In the course of one observed patient year, 51.1% of benzodiazepine prescriptions were in accordance with the German guidelines. 15.6% of the patients were supplied on a long-term basis (0.5-1 DDD during at least 2 months). Prescriptions for women and persons older than 70 years were disproportionately high. Compared with the Federal states of Bremen and Schleswig-Holstein, Hamburg does not show an exceptional position. CONCLUSION: The prescription of benzodiazepines which is not in accordance with the relevant national guidelines is widespread and calls for discussion and education among physicians and pharmacists. Furthermore, professional addiction services should reconsider ways to help and attract prescription drug-dependent people to cover their needs, as their numbers will grow in an aging society.</t>
  </si>
  <si>
    <t>J2: Gesundheitswesen; German Verthein, U Martens, M S Raschke, P Holzbach, R; OP: Langzeitverschreibung von Benzodiazepinen und Non-Benzodiazepinen; ID: 315</t>
  </si>
  <si>
    <t>Verthein, U. Zentrum fur Interdisziplinare Suchtforschung der Universitat Hamburg, Universitatsklinikum Hamburg-Eppendorf, Hamburg. u.verthein@uke.uni-hamburg.de</t>
  </si>
  <si>
    <t>http://ovidsp.ovid.com/ovidweb.cgi?T=JS&amp;CSC=Y&amp;NEWS=N&amp;PAGE=fulltext&amp;D=med7&amp;AN=22864843</t>
  </si>
  <si>
    <t>https://dx.doi.org/10.1055/s-0032-1321756</t>
  </si>
  <si>
    <t>MEDLINE; Ovid Technologies; [Long-term prescription of benzodiazepines and non-benzodiazepines]</t>
  </si>
  <si>
    <t>Viana,M. C.;Andrade,L. H.</t>
  </si>
  <si>
    <t>Lifetime Prevalence, age and gender distribution and age-of-onset of psychiatric disorders in the Sao Paulo Metropolitan Area, Brazil: results from the Sao Paulo Megacity Mental Health Survey</t>
  </si>
  <si>
    <t>Adolescent;Adult;Age Distribution;Age of Onset;Aged;Brazil/ep Epidemiology];Educational Status;Epidemiologic Methods;Female;Humans;Male;Mental Disorders/di Diagnosis];*Mental Disorders/ep Epidemiology];Middle Aged;Sex Distribution;Young Adult</t>
  </si>
  <si>
    <t>OBJECTIVES: To estimate prevalence, age-of-onset, gender distribution and identify correlates of lifetime psychiatric disorders in the Sao Paulo Metropolitan Area (SPMA). METHODS: The Sao Paulo Megacity Mental Health Survey assessed psychiatric disorders on a probabilistic sample of 5,037 adult residents in the SPMA, using the World Mental Health Survey Version of the Composite International Diagnostic Interview. Response rate was 81.3%. RESULTS: Lifetime prevalence for any disorder was 44.8%; estimated risk at age 75 was 57.7%; comorbidity was frequent. Major depression, specific phobias and alcohol abuse were the most prevalent across disorders; anxiety disorders were the most frequent class. Early age-of-onset for phobic and impulse-control disorders and later age-of-onset for mood disorders were observed. Women were more likely to have anxiety and mood disorders, whereas men, substance use disorders. Apart from conduct disorders, more frequent in men, there were no gender differences in impulse-control disorders. There was a consistent trend of higher prevalence in the youngest cohorts. Low education level was associated to substance use disorders. CONCLUSIONS: Psychiatric disorders are highly prevalent among the general adult population in the SPMA, with frequent comorbidity, early age-of-onset for most disorders, and younger cohorts presenting higher rates of morbidity. Such scenario calls for vigorous public health action.</t>
  </si>
  <si>
    <t>J2: Rev Bras Psiquiatr; Viana, Maria Carmen Andrade, Laura Helena Comment in: Rev Bras Psiquiatr. 2012 Oct;34(3):241-2; PMID: 23429768 S1516-44462012000300004; ID: 364</t>
  </si>
  <si>
    <t>Viana, Maria Carmen. Department of Social Medicine Post-Graduate Program in Public Health, Health Sciences Center, Universidade Federal do Espirito Santo, Vitoria, Brazil. mcviana@uol.com.br</t>
  </si>
  <si>
    <t>http://ovidsp.ovid.com/ovidweb.cgi?T=JS&amp;CSC=Y&amp;NEWS=N&amp;PAGE=fulltext&amp;D=med7&amp;AN=23429770</t>
  </si>
  <si>
    <t>MEDLINE; Ovid Technologies; Lifetime Prevalence, age and gender distribution and age-of-onset of psychiatric disorders in the Sao Paulo Metropolitan Area, Brazil: results from the Sao Paulo Megacity Mental Health Survey</t>
  </si>
  <si>
    <t>Victor,J. C.;Brewster,J. M.;Ferrence,R.;Ashley,M. J.;Cohen,J. E.;Selby,P.</t>
  </si>
  <si>
    <t>Tobacco-related medical education and physician interventions with parents who smoke: Survey of Canadian family physicians and pediatricians</t>
  </si>
  <si>
    <t>Adult;Canada;Child;*Clinical Competence;Counseling;Data Collection;*Education, Medical, Continuing;Health Knowledge, Attitudes, Practice;Humans;*Parents;Pediatrics/ed Education];*Pediatrics;Physicians, Family/ed Education];*Physicians, Family;*Professional-Family Relations;Risk Factors;Smoking/ae Adverse Effects];*Smoking;Smoking Cessation;Smoking Prevention;Surveys and Questionnaires</t>
  </si>
  <si>
    <t>OBJECTIVE: To examine the relationship between physicians' tobacco-related medical training and physicians' confidence in their tobacco-related skills and smoking-related interventions with parents of child patients. DESIGN: Mailed survey. SETTING: Canada. PARTICIPANTS: The survey was mailed to 800 family physicians and 800 pediatricians across Canada, with a corrected response rate of 65% (N = 900). MAIN OUTCOME MEASURES: Physicians' self-reported tobacco-related education, knowledge, and skills, as well as smoking-related interventions with parents of child patients. Cochran-Mantel-Haenszel chi(2) tests were used to examine relationships between variables, controlling for tobacco-control involvement and physician specialty. Data analysis was conducted in 2008. RESULTS: Physicians reporting tobacco-related medical education were more likely to report being "very confident" in advising parents about the effects of smoking and the use of a variety of cessation strategies (P &lt; .05). Furthermore, physicians with tobacco-related training were more likely to help parents of child patients quit smoking whether or not the children had respiratory problems (P &lt; .05). Physicians with continuing medical education in this area were more likely to report confidence in their tobacco-related skills and to practise more smoking-related interventions than physicians with other forms of training. CONCLUSION: There is a strong relationship between medical education and physicians' confidence and practices in protecting children from secondhand smoke. Physicians with continuing medical education training are more confident in their tobacco-related skills and are more likely to practise smoking-related interventions than physicians with other tobacco-related training.</t>
  </si>
  <si>
    <t>J2: Can Fam Physician; Victor, J Charles Brewster, Joan M Ferrence, Roberta Ashley, Mary Jane Cohen, Joanna E Selby, Peter; ID: 515</t>
  </si>
  <si>
    <t>Victor, J Charles. Institute for Clinical Evaluative Sciences, Toronto, ON M4N 3M5. charles.victor@ices.on.ca</t>
  </si>
  <si>
    <t>http://ovidsp.ovid.com/ovidweb.cgi?T=JS&amp;CSC=Y&amp;NEWS=N&amp;PAGE=fulltext&amp;D=med6&amp;AN=20154251</t>
  </si>
  <si>
    <t>MEDLINE; Ovid Technologies; Tobacco-related medical education and physician interventions with parents who smoke: Survey of Canadian family physicians and pediatricians</t>
  </si>
  <si>
    <t>Vignau,J.;Duhamel,A.;Catteau,J.;Legal,G.;Pho,A. H.;Grailles,I.;Beauvillain,J.;Petit,P.;Beauvillain,P.;Parquet,P. J.</t>
  </si>
  <si>
    <t>Practice-based buprenorphine maintenance treatment (BMT): how do French healthcare providers manage the opiate-addicted patients?</t>
  </si>
  <si>
    <t>Adult;*Buprenorphine/tu Therapeutic Use];Drug Utilization Review;Family Practice/lj Legislation &amp; Jurisprudence];*Family Practice/sn Statistics &amp; Numerical Data];Female;France;*Heroin Dependence/rh Rehabilitation];Humans;Male;*Narcotic Antagonists/tu Therapeutic Use];National Health Programs/lj Legislation &amp; Jurisprudence];Outcome Assessment (Health Care);Pharmacies/lj Legislation &amp; Jurisprudence];*Pharmacies/sn Statistics &amp; Numerical Data];Retrospective Studies;Surveys and Questionnaires;0 (Narcotic Antagonists);40D3SCR4GZ (Buprenorphine)</t>
  </si>
  <si>
    <t>UNLABELLED: France was the first country to promote the extensive use of buprenorphine for the treatment of drug-addicted subjects through the primary care system. To assess both professional commitment and patients' characteristics, all the physicians and pharmacists of a French area having prescribed/dispensed buprenorphine from 2/12/96 (the official release date) to 1/31/98 were identified from data files of the Health Insurance and then interviewed. During the first 61 weeks of buprenorphine maintenance treatment (BMT), 27.5% of physicians and 51.2% of pharmacists of that area were involved; 142 patient records were documented. Features of the clinical routines spontaneously implemented for practice-based BMT were: a high level of on-site supervised dispensation by the pharmacist (71% at treatment induction and 23% thereafter); the absence of objective measurement of illicit drug use; and a low buprenorphine dosage. These features are consistent with the lack of physicians' experience and training, and also the relatively good status of the population treated (no HIV-positives, heroin use duration averaging 4.2 +/- 3.1 years, and 81.7% with stable accommodations). Despite liberal regulations guiding BMT, a negligible proportion of cases had a "nomadic" attitude (multiple buprenorphine prescribers/deliverers). The treatment outcomes (no deaths, three drug overdoses, improvement in occupational status) are encouraging. CONCLUSION: Practice-based BMT appears to be a safe and acceptable response to moderate heroin addiction, but further training of the professionals involved and longitudinal investigations of individual outcomes are needed.</t>
  </si>
  <si>
    <t>J2: J Subst Abuse Treat; Vignau, J Duhamel, A Catteau, J Legal, G Pho, A H Grailles, I Beauvillain, J Petit, P Beauvillain, P Parquet, P J; ID: 993</t>
  </si>
  <si>
    <t>Vignau, J. University Hospital, Lille, France. jvignau@nordnet.fr</t>
  </si>
  <si>
    <t>http://ovidsp.ovid.com/ovidweb.cgi?T=JS&amp;CSC=Y&amp;NEWS=N&amp;PAGE=fulltext&amp;D=med4&amp;AN=11728787</t>
  </si>
  <si>
    <t>MEDLINE; Ovid Technologies; Practice-based buprenorphine maintenance treatment (BMT): how do French healthcare providers manage the opiate-addicted patients?</t>
  </si>
  <si>
    <t>Villagra,V. G.;Sidorov,J. E.;Traugh,D.</t>
  </si>
  <si>
    <t>Smoking cessation training for medicine residents</t>
  </si>
  <si>
    <t>Humans;*Internship and Residency;*Smoking Prevention</t>
  </si>
  <si>
    <t>J2: Arch Intern Med; Villagra, V G Sidorov, J E Traugh, D Comment on: Arch Intern Med. 1988 May;148(5):1039-45; PMID: 3365074; ID: 1369</t>
  </si>
  <si>
    <t>http://ovidsp.ovid.com/ovidweb.cgi?T=JS&amp;CSC=Y&amp;NEWS=N&amp;PAGE=fulltext&amp;D=med3&amp;AN=2297293</t>
  </si>
  <si>
    <t>MEDLINE; Ovid Technologies; Smoking cessation training for medicine residents</t>
  </si>
  <si>
    <t>Vitali,M.;Napolitano,C.;Berman,M. O.;Minuto,S. F.;Battagliese,G.;Attilia,M. L.;Braverman,E. R.;Romeo,M.;Blum,K.;Ceccanti,M.</t>
  </si>
  <si>
    <t>Neurophysiological Measures and Alcohol Use Disorder (AUD): Hypothesizing Links between Clinical Severity Index and Molecular Neurobiological Patterns</t>
  </si>
  <si>
    <t>Journal of Addiction Research &amp; Therapy</t>
  </si>
  <si>
    <t>BACKGROUND: In 1987, Cloninger proposed a clinical description and classification of different personality traits genetically defined and independent from each other. Moreover, he elaborated a specific test the TCI to investigate these traits/states. The study of craving in Alcohol Use Disorder (AUD) assumed a greater significance, since ever more data seems to suggest a direct correlation between high levels of craving and a higher risk of relapse in alcoholics. Thus, our study aim is to explore the possible correlations among TCI linked molecular neurobiological pattern (s), craving and alcohol addiction severity measures in a sample of Italian alcoholics. MATERIALS AND METHODS: 191 alcoholics were recruited in a Day Hospital (DH) setting at the Alcohol Addiction Program Latium Region Referral Center, Sapienza University of Rome. After 7 days detoxification treatment a psychodiagnostic protocol was administered, including TCI, VAS-C, ASI and SADQ. All patients signed an Institutional Review Board (IRB) approved informed consent. RESULTS: Principally, we detected a significant positive correlation between HA-scale scores and the VAS scale: increasing in HA-scale corresponds to an increase in craving perception for both intensity (r=0.310; p &lt;= 0.001) and frequency (r=0.246; p &lt;= 0.001). Moreover, perception of dependence severity, measured with SADQ was also found to be significantly associated positively to both HA-scale (r=0.246; p &lt;= 0.001) and NS-scale (r=0.224; p &lt;= 0.01). While, for character scales, Persistence (r=-0.195; p=.008) and Self-directedness (r=-0.294; p &lt;= 0.001) was negatively associated with ASI linked to alcohol problems. Self-directedness was also negatively correlated with ASI linked to family and social problems (r=-0.349; p &lt;= 0.001), employment and support problems (r=-0.220; p=0.003) and psychiatric problems (r=-0.358; p &lt;= 0.001). Cooperativeness was a negative correlate with Legal Problems (r=-0.173; p=0.019). and Self-Transcendence was positive correlated with Medical Problems (r=0.276; p &lt;= 0.001). CONCLUSIONS: In view of recent addiction neurobiological theories, such as the "Reward Deficiency Syndrome (RDS)" and the Koob model, our data could suggest that our cohort of patients could possibly be in a particular stage of the course of their addiction history. Thus, if our hypothesis will be confirmed, the TCI-based assessment of alcoholics would allow an optimization of the treatment. Clinicians understanding these newer concepts will be able to translate this information to their patients and potentially enhance clinical outcome (s), because it could suggest a functional hypothesis of neurotransmitter circuits that helps to frame the patient in his/her history of addiction.</t>
  </si>
  <si>
    <t>J2: J Addict Res Ther; Using Smart Source Parsing Vitali, Mario Napolitano, Carmen Berman, Marlene Oscar Minuto, Simona Flamminii Battagliese, Gemma Attilia, Maria Luisa Braverman, Eric R Romeo, Marina Blum, Kenneth Ceccanti, Mauro 182; ID: 1635</t>
  </si>
  <si>
    <t>2155-6105</t>
  </si>
  <si>
    <t>Vitali, Mario. Alcohol Addiction Program Latium Region Referral Center, Sapienza University of Rome. Napolitano, Carmen. Alcohol Addiction Program Latium Region Referral Center, Sapienza University of Rome. Berman, Marlene Oscar. Department of Psychiatry and Neurology, Boston University School of Medicine and Veterans Administration System, Boston, Massachusetts, USA. Minuto, Simona Flamminii. Alcohol Addiction Program Latium Region Referral Center, Sapienza University of Rome. Battagliese, Gemma. Alcohol Addiction Program Latium Region Referral Center, Sapienza University of Rome. Attilia, Maria Luisa. Alcohol Addiction Program Latium Region Referral Center, Sapienza University of Rome. Braverman, Eric R. Department of Psychiatry &amp; McKnight Brain Institute, University of Florida, College of Medicine, Gainesville, Florida, USA; Department of Clinical Neurology, Path Foundation, NY, New York, New York, USA. Romeo, Marina. Alcohol Addiction Program Latium Region Referral Center, Sapienza University of Rome. Blum, Kenneth. Department of Psychiatry &amp; McKnight Brain Institute, University of Florida, College of Medicine, Gainesville, Florida, USA; Department of Clinical Neurology, Path Foundation, NY, New York, New York, USA; Department of Addiction Research &amp; Therapy, Malibu Beach Recovery Center, Malibu Beach, California, USA; Department of Psychiatry &amp; Human Integrated Services Unit University of Vermont Center for Clinical &amp; Translational Science, College of Medicine, Burlington, Vermont, USA; Department of Nutrigenomics, RD Solutions, LLC, La Jolla, California, USA; Department of Personalized Medicine, IGENE, LLC, Austin, Texas, USA; Dominion Diagnostics, LLC, North Kingstown, Rhode Island, USA; Basic &amp; Clinical Research Center, Victory Nutrition, LLC., Austin, Texas, USA. Ceccanti, Mauro. Alcohol Addiction Program Latium Region Referral Center, Sapienza University of Rome.</t>
  </si>
  <si>
    <t>http://ovidsp.ovid.com/ovidweb.cgi?T=JS&amp;CSC=Y&amp;NEWS=N&amp;PAGE=fulltext&amp;D=prem&amp;AN=28090374</t>
  </si>
  <si>
    <t>https://dx.doi.org/10.4172/2155-6105.1000181</t>
  </si>
  <si>
    <t>MEDLINE; Ovid Technologies; Neurophysiological Measures and Alcohol Use Disorder (AUD): Hypothesizing Links between Clinical Severity Index and Molecular Neurobiological Patterns</t>
  </si>
  <si>
    <t>Vokes,N. I.;Bailey,J. M.;Rhodes,K. V.</t>
  </si>
  <si>
    <t>Should I give you my smoking lecture now or later? Characterizing emergency physician smoking discussions and cessation counseling</t>
  </si>
  <si>
    <t>14, 414.e1-7</t>
  </si>
  <si>
    <t>*Academic Medical Centers/sn Statistics &amp; Numerical Data];Adolescent;Adult;Aged;Child;Directive Counseling/lj Legislation &amp; Jurisprudence];*Directive Counseling/mt Methods];Directive Counseling/og Organization &amp; Administration];Domestic Violence;*Emergency Medical Services/og Organization &amp; Administration];*Emergency Medicine/og Organization &amp; Administration];Empathy;Female;*Hospitals, Community/sn Statistics &amp; Numerical Data];Humans;Medical History Taking;Middle Aged;Multicenter Studies as Topic;Patient Education as Topic/sn Statistics &amp; Numerical Data];*Patient Education as Topic;*Physician's Role;*Physician-Patient Relations;Physicians/px Psychology];Program Evaluation;Randomized Controlled Trials as Topic;Referral and Consultation/sn Statistics &amp; Numerical Data];Risk Assessment/mt Methods];Smoking/ae Adverse Effects];Smoking/ep Epidemiology];Smoking/px Psychology];*Smoking Cessation;*Smoking Prevention;Socioeconomic Factors;Suburban Population;Surveys and Questionnaires;Urban Population;Videotape Recording</t>
  </si>
  <si>
    <t>STUDY OBJECTIVE: We determine frequency and manner in which emergency physicians address smoking with their patients. METHODS: This was a descriptive secondary analysis of 871 audiotapes of physician-patient interactions collected during a trial assessing the effect of computer-based health risk assessment on emergency physician-patient communication. Consenting nonemergency female patients, ages 18 to 65 years, were enrolled from 2 socioeconomically diverse academic emergency department (EDs) for audiotaping of the ED visit. All audio files with any mention of smoking were independently coded with an in-depth structured coding form to characterize the nature of smoking-related discussions. Logistic regression was used to determine factors associated with emergency physician screening and discussion of tobacco exposure with women patients. RESULTS: Overall, 484 of 871 (56%) participants were verbally screened for smoking, with 156 of 484 (32%) disclosing current smoking, with similar incidence at both sites. Tobacco screening was higher (odds ratio 2.2; 95% confidence interval 1.3 to 3.5), whereas rates of smoking-related discussions were lower (odds ratio 0.41; 95% confidence interval 0.17 to 0.98) at the urban site. At both sites, physicians tended to screen and discuss smoking when patients presented with a health condition that could be aggravated by smoking. Only 56% of discussions with current smokers contained advice to quit, 16% included assessment of readiness to quit, and a minority (13%) included a referral. Physician empathy/encouragement was associated with patients' detailing quit attempts. CONCLUSION: Emergency physicians were likely to gather information about smoking but not to counsel or advise patients to quit. These results raise the question of whether emergency medicine resident training should include additional emphasis on smoking cessation counseling and motivational interviewing techniques.</t>
  </si>
  <si>
    <t>J2: Ann Emerg Med; Vokes, Natalie I Bailey, Jeannine M Rhodes, Karin V Comment in: Ann Emerg Med. 2006 Oct;48(4):415-6; PMID: 16997677; ID: 804</t>
  </si>
  <si>
    <t>Vokes, Natalie I. Williams College, Williamstown, MA, USA.</t>
  </si>
  <si>
    <t>http://ovidsp.ovid.com/ovidweb.cgi?T=JS&amp;CSC=Y&amp;NEWS=N&amp;PAGE=fulltext&amp;D=med5&amp;AN=16997676</t>
  </si>
  <si>
    <t>MEDLINE; Ovid Technologies; "Should I give you my smoking lecture now or later?" Characterizing emergency physician smoking discussions and cessation counseling</t>
  </si>
  <si>
    <t>Volkow,N. D.;McLellan,T. A.</t>
  </si>
  <si>
    <t>Curtailing diversion and abuse of opioid analgesics without jeopardizing pain treatment</t>
  </si>
  <si>
    <t>*Analgesics, Opioid/ae Adverse Effects];*Analgesics, Opioid/tu Therapeutic Use];Benchmarking;*Drug Prescriptions;Education, Dental, Continuing;Education, Medical, Continuing;Humans;*Opioid-Related Disorders/pc Prevention &amp; Control];Practice Guidelines as Topic;Practice Patterns, Physicians';0 (Analgesics, Opioid)</t>
  </si>
  <si>
    <t>J2: Jama; Volkow, Nora D McLellan, Thomas A Comment in: JAMA. 2011 Jul 27;306(4):381; author reply 382-3; PMID: 21791684 Comment in: JAMA. 2011 Jul 27;306(4):381-2; author reply 382-3; PMID: 21791683 Comment in: JAMA. 2011 Jul 27;306(4):382; author reply 382-3; PMID: 21791685; ID: 536</t>
  </si>
  <si>
    <t>Volkow, Nora D. National Institute on Drug Abuse, National Institutes of Health, Bethesda, MD 20892, USA. nvolkow@nida.nih.gov</t>
  </si>
  <si>
    <t>http://ovidsp.ovid.com/ovidweb.cgi?T=JS&amp;CSC=Y&amp;NEWS=N&amp;PAGE=fulltext&amp;D=med7&amp;AN=21467287</t>
  </si>
  <si>
    <t>https://dx.doi.org/10.1001/jama.2011.369</t>
  </si>
  <si>
    <t>MEDLINE; Ovid Technologies; Curtailing diversion and abuse of opioid analgesics without jeopardizing pain treatment</t>
  </si>
  <si>
    <t>von Garnier,C.;Kochuparackal,S.;Miedinger,D.;Leuppi,J. D.;Tamm,M.;Battegay,E.;Zeller,A.</t>
  </si>
  <si>
    <t>Smoking cessation advice: Swiss physicians lack training</t>
  </si>
  <si>
    <t>Adolescent;Adult;Aged;Female;Humans;Male;Patient Education as Topic/st Standards];Patient Education as Topic/sn Statistics &amp; Numerical Data];*Patient Education as Topic;*Physician's Role;Physicians/st Standards];Physicians/sn Statistics &amp; Numerical Data];Professional Practice/st Standards];Professional Practice/sn Statistics &amp; Numerical Data];*Smoking Cessation;Surveys and Questionnaires;Switzerland</t>
  </si>
  <si>
    <t>OBJECTIVES: To assess the use and appropriateness of medical advice for smoking cessation provided by registrars in a General Medicine Outpatient Department to an unselected patient population in Switzerland. METHODS: A prospective observational study in which 314 consecutive outpatients were contacted by phone within 24h after their consultation. Questions and information concerning smoking asked and/or provided by the registrar to patients were collected. RESULTS: Eleven registrars (mean age 34 years (range 29-40), 54% females, mean of 5 years (range 3.5-6 years) postgraduate medical training) worked in the Basel University Hospital Medical Outpatient Department during the study period from 01.01.2006 to 31.03.2006. In total 314 participants (mean 48 years, age range 16-71 years, 50% females) completed the study. Registrars queried 81% of the patients about smoking, but inquired about smoking duration only in 44% of the patients. Twenty-eight percent of the patients received information about the risks related to smoking, whereas cessation was discussed only with 10% and offered to 9% of the patients. CONCLUSION: Though most junior physicians in the survey asked about smoking, they failed to appropriately address tobacco-related health issues and offer cessation advice in the majority of cases. Extended regular training for physicians on smoking-related issues will be necessary in order to improve counselling of smokers and meet the global tobacco challenge.</t>
  </si>
  <si>
    <t>J2: Cancer Detect Prev; von Garnier, Christophe Kochuparackal, Sascha Miedinger, David Leuppi, Jorg D Tamm, Michael Battegay, Edouard Zeller, Andreas; ID: 660</t>
  </si>
  <si>
    <t>1525-1500</t>
  </si>
  <si>
    <t>von Garnier, Christophe. Respiratory Medicine, Department of Medicine, Basel University Hospital, 4031 Basel, Switzerland. christophe.vongarnier@insel.ch</t>
  </si>
  <si>
    <t>http://ovidsp.ovid.com/ovidweb.cgi?T=JS&amp;CSC=Y&amp;NEWS=N&amp;PAGE=fulltext&amp;D=med6&amp;AN=18789608</t>
  </si>
  <si>
    <t>https://dx.doi.org/10.1016/j.cdp.2008.08.001</t>
  </si>
  <si>
    <t>MEDLINE; Ovid Technologies; Smoking cessation advice: Swiss physicians lack training</t>
  </si>
  <si>
    <t>von Garnier,C.;Meyer,M.;Leuppi,J.;Battegay,E.;Zeller,A.</t>
  </si>
  <si>
    <t>Smoking cessation counselling: impact of chart stickers and resident training</t>
  </si>
  <si>
    <t>Adolescent;Adult;Aged;Aged, 80 and over;*Counseling;Female;Humans;*Internship and Residency;Male;*Medical Records;Middle Aged;Prospective Studies;*Reminder Systems;*Smoking Cessation;Switzerland;Young Adult</t>
  </si>
  <si>
    <t>OBJECTIVES: To assess the effect of a training program for smoking cessation combined with chart stickers on resident's (physicians-in-training) practice of counselling smoking patients. SETTING: A single centre prospective observational study at the Basel University Hospital Medical Outpatient Department. METHODS: 456 consecutive outpatients were contacted by phone within 24 hours of their initial consultation. Information concerning questions asked about smoking and/or cessation advice provided by the resident to patients was collected and compared with a historical pre-interventional cohort using the identical questionnaire and study design. RESULTS: Of 272 patients included, 106 (39%) were current smokers, 123 (45%) had never smoked, and 43 (16%) were former smokers. The mean age was 43 +/- 11 (range 16-87) years and 49% were male. Equal proportions of participants were in the pre-contemplation (40%) and contemplation stages (42%), 16% were preparing to quit and 2% had stopped in the previous 6 months. Results related to smoking cessation advice were compared to those obtained during an identical survey one year earlier performed prior to the intervention (pre-interventional). Residents questioned 82% (pre-interventional 81%) of the patients about smoking and inquired about smoking duration in 71% (pre-interventional 44%) of the patients. 46% (pre-interventional 28%) of the patients received information on smoking-related risks, whereas cessation was discussed with 32% (pre-interventional 10%) and offered to 23% (pre-interventional 9%) of the patients. CONCLUSION: Compared with a historical pre-interventional cohort, the rates of patients receiving appropriate counselling approximately doubled following the introduction of systematic training on smoking cessation and chart labels. Extended regular training for physicians on smoking-related issues may have a potentially beneficial effect in improving counselling of smokers and meeting the global tobacco challenge.</t>
  </si>
  <si>
    <t>J2: Swiss Med Wkly; von Garnier, Christophe Meyer, Martina Leuppi, Jorg Battegay, Edouard Zeller, Andreas; ID: 573</t>
  </si>
  <si>
    <t>von Garnier, Christophe. Respiratory Medicine, Inselspital, Bern University Hospital, Bern, Switzerland. christophe.vongarnier@insel.ch</t>
  </si>
  <si>
    <t>http://ovidsp.ovid.com/ovidweb.cgi?T=JS&amp;CSC=Y&amp;NEWS=N&amp;PAGE=fulltext&amp;D=med6&amp;AN=20131122</t>
  </si>
  <si>
    <t>https://dx.doi.org/smw-12722</t>
  </si>
  <si>
    <t>MEDLINE; Ovid Technologies; Smoking cessation counselling: impact of chart stickers and resident training</t>
  </si>
  <si>
    <t>von Hanno,T.;Hilberg,E.;Furuholmen,D.;Cramer,G.</t>
  </si>
  <si>
    <t>Collegial support to improve prescription patterns for addictive preparations]</t>
  </si>
  <si>
    <t>Adult;*Analgesics, Opioid/ad Administration &amp; Dosage];Analgesics, Opioid/ae Adverse Effects];*Drug Prescriptions;Education, Medical, Continuing;Female;Guidelines as Topic;Humans;*Hypnotics and Sedatives/ad Administration &amp; Dosage];Hypnotics and Sedatives/ae Adverse Effects];Interprofessional Relations;Male;Middle Aged;Norway;*Physician's Role;*Practice Patterns, Physicians';*Psychotropic Drugs/ad Administration &amp; Dosage];Psychotropic Drugs/ae Adverse Effects];*Substance-Related Disorders/pc Prevention &amp; Control];0 (Analgesics, Opioid);0 (Hypnotics and Sedatives);0 (Psychotropic Drugs)</t>
  </si>
  <si>
    <t>Norwegian County Medical Officers monitor unsatisfactory prescription practices in relation to addictive drugs. In this context, our team has tried to reach out to colleagues with preventive guidance. Our aim was to build communications skills by promoting systematic reflection on the importance of our own attitudes and behaviour in our work as physicians. In collaboration with the Vestfold Branch of the Norwegian Medical Association and the Vestfold Addiction Clinic, the Vestfold County Medical Officer set up preventive guidance tutorials for a closed group. The County Medical Officer specifically invited 20 physicians; invitations were also sent to all other members of the Medical Association in the county. The tutorials were given in 1997-98, with a voluntary attendance of 15 physicians. An evaluation form was sent to participants two months after completion. The tutorials received a positive evaluation. The results suggest that the guidance on the whole was considered useful. Of those specifically invited, 10% (2) attended. The tutorials were meant as a practical step to helping doctors reflect more systematically on their own style of communication and understanding of pain behaviour. There is a common interest in expanding the conventional biomedical model of understanding of chronic non-malignant pain conditions, a model in which prescribing addictive drugs is quite controversial.</t>
  </si>
  <si>
    <t>J2: Tidsskr Nor Laegeforen; Norwegian von Hanno, T Hilberg, E Furuholmen, D Cramer, G; OP: Kollegial stotte for bedret forskrivning av A- og B-preparater; ID: 1070</t>
  </si>
  <si>
    <t>von Hanno, T. Vestfold Laegeforenings Kollegiale Stottetilbud Legekontoret pa Tjome.</t>
  </si>
  <si>
    <t>http://ovidsp.ovid.com/ovidweb.cgi?T=JS&amp;CSC=Y&amp;NEWS=N&amp;PAGE=fulltext&amp;D=med4&amp;AN=10425908</t>
  </si>
  <si>
    <t>MEDLINE; Ovid Technologies; [Collegial support to improve prescription patterns for addictive preparations]</t>
  </si>
  <si>
    <t>Vrcic-Keglevic,M.;Jaksic,Z.</t>
  </si>
  <si>
    <t>International course Training of teachers in general/family practice: 20 years of experience]</t>
  </si>
  <si>
    <t>Lijecnicki Vjesnik</t>
  </si>
  <si>
    <t>124 Suppl 2</t>
  </si>
  <si>
    <t>Croatia;*Education, Medical, Continuing;Europe;*Family Practice/ed Education];*International Cooperation</t>
  </si>
  <si>
    <t>Twenty years of experience in organising and participating at the international courses of Training of teachers in general/family practice are presented. The course was for the first time held in 1983 at the Inter-University Centre Dubrovnik. The founders and the first course directors were the members of the Leeuwenhorst group. There were some difficulties in the organisation of the courses during the war, so that two of them were held in Zagreb, while three were not organised at all. Learning from experience in the small groups was the main method of work. During the whole period, 17 topics were discussed. At the beginning they were mostly educational: developing educational module, defining educational objectives and chosing educational methods and methods of evaluation and assessment. Then, the specific GPs' working methods were discussed as a content and opportunity for teaching. In the last period, the current GPs' topics and the topics usually neglected in current medical education, such as sexual problems, addiction problems, alternative medicine and ethical problems as well as professional values were disscused. 432 participants, from 25 different European countries, Egypt, Kuwait and Japan participated at the courses. There were 85 Croatian participants at the course held in Zagreb. The authors' thoughts about their positive and negative experience in the organisation of these courses is also discussed.</t>
  </si>
  <si>
    <t>J2: Lijec Vjesn; Croatian Vrcic-Keglevic, Mladenka Jaksic, Zelimir; OP: Medunarodni tecaj za nastavnike iz opce medicine: 20-godisnje iskustvo; ID: 624</t>
  </si>
  <si>
    <t>0024-3477</t>
  </si>
  <si>
    <t>Vrcic-Keglevic, Mladenka. Skola narodnog zdravlja Andrija Stampar, Medicinskog fakulteta Sveucilista u Zagrebu.</t>
  </si>
  <si>
    <t>http://ovidsp.ovid.com/ovidweb.cgi?T=JS&amp;CSC=Y&amp;NEWS=N&amp;PAGE=fulltext&amp;D=med4&amp;AN=19705568</t>
  </si>
  <si>
    <t>MEDLINE; Ovid Technologies; [International course Training of teachers in general/family practice: 20 years of experience]</t>
  </si>
  <si>
    <t>Wadland,W.;Keefe,C.;Thompson,M.;Noel,M.</t>
  </si>
  <si>
    <t>Tobacco dependence curricula in medical schools</t>
  </si>
  <si>
    <t>*Curriculum;*Education, Medical;Humans;Schools, Medical;Smoking Cessation;*Tobacco Use Disorder;United States</t>
  </si>
  <si>
    <t>J2: Jama; Wadland, W Keefe, C Thompson, M Noel, M Comment on: JAMA. 1999 Sep 1;282(9):825-9; PMID: 10478687; ID: 1043</t>
  </si>
  <si>
    <t>http://ovidsp.ovid.com/ovidweb.cgi?T=JS&amp;CSC=Y&amp;NEWS=N&amp;PAGE=fulltext&amp;D=med4&amp;AN=10732931</t>
  </si>
  <si>
    <t>MEDLINE; Ovid Technologies; Tobacco dependence curricula in medical schools</t>
  </si>
  <si>
    <t>Wagner,I. J.;Hultman,C. S.</t>
  </si>
  <si>
    <t>Elevation: developing a mentorship model to raise the next generation of plastic surgery professionals</t>
  </si>
  <si>
    <t>Annals of Plastic Surgery</t>
  </si>
  <si>
    <t>Ann.Plast.Surg.</t>
  </si>
  <si>
    <t>Adult;Aged;Anesthesiology/ed Education];Anesthesiology/es Ethics];*Attitude of Health Personnel;*Ethics, Medical/ed Education];Female;Humans;Male;*Mentors;Middle Aged;North Carolina;*Physician's Role;*Physician-Patient Relations/es Ethics];*Surgery, Plastic/ed Education];Surgery, Plastic/es Ethics]</t>
  </si>
  <si>
    <t>PURPOSE: To elucidate the components of professionalism specific to plastic surgery, we surveyed surgeons, anesthesiologists, and fourth-year medical students at a public university. We sought to define the central components of professionalism in plastic surgery, to determine the difference in perception of professionalism by plastic surgeons (PSs), compared to other practitioners (OPs), and to improve education in professionalism by obtaining data on attitudes of professionalism among practitioners. METHODS: Using SurveyMonkey, we distributed a questionnaire to members of the Departments of Surgery and Anesthesia and fourth-year medical students. The responses of PSs (n = 22) were compared to non-plastic surgeons (OPs, n = 294). RESULTS: Of the 594 participants, 316 completed the survey (response rate, 53%). Participants consisted of 211 (66.8%) medical students, 60 (19%) residents, 5 (1.6%) fellows, 28 (8.9%) attending physicians, 6 (1.9%) nonphysician providers, and 6 (1.9%) administrators. Both PS and OP listed "the development and conformance to a body of ethics" the most important component of professionalism. Most participants thought that professionalism could be taught, and assessed. Plastic surgeons listed "not enough mentors" (63.2%) as the main obstacle to teaching professionalism, whereas OP listed "not a priority in medical school curriculum" (48.2%). Both PS and OP cited substance abuse, fraud, and sexual misconduct as egregious displays of unprofessional behavior. Opinions differed between the groups, regarding aspects of professionalism pertaining to plastic surgery. When asked about "charity raffles" for cosmetic surgery, 72.2% of PS ranked this as a 4 or 5 (with 5 representing the most unprofessional behavior), compared to only 46.7% of OP who assigned this a 4 or 5. For the scenario of a PS deceiving patients, by showing them another surgeon's before and after photographs, 84.2% of PS assigned this a 4 or 5, whereas 71.0% of OP ranked this a 4 or 5. Both groups cited working while impaired with alcohol as the most egregious example of unprofessional behavior. CONCLUSIONS: The opinions of PSs mirror those of their colleagues, regarding general components of professionalism. However, PSs are more conservative and cautious than their peers, perhaps due to successful educational efforts in mentoring, training, and maintenance of certification.</t>
  </si>
  <si>
    <t>J2: Ann Plast Surg; Wagner, Ida Janelle Hultman, Charles Scott; ID: 342</t>
  </si>
  <si>
    <t>1536-3708</t>
  </si>
  <si>
    <t>Wagner, Ida Janelle. Division of Plastic Surgery, University of North Carolina School of Medicine, Chapel Hill, NC 27599, USA.</t>
  </si>
  <si>
    <t>http://ovidsp.ovid.com/ovidweb.cgi?T=JS&amp;CSC=Y&amp;NEWS=N&amp;PAGE=fulltext&amp;D=med7&amp;AN=23542854</t>
  </si>
  <si>
    <t>https://dx.doi.org/10.1097/SAP.0b013e31827ead57</t>
  </si>
  <si>
    <t>MEDLINE; Ovid Technologies; Elevation: developing a mentorship model to raise the next generation of plastic surgery professionals</t>
  </si>
  <si>
    <t>Waitz,M. L.</t>
  </si>
  <si>
    <t>President's message</t>
  </si>
  <si>
    <t>*Consumer Health Information;*Education, Medical, Continuing;Humans;*Prescription Drugs/ae Adverse Effects];*Substance-Related Disorders/dt Drug Therapy];0 (Prescription Drugs)</t>
  </si>
  <si>
    <t>J2: J Addict Dis; Waitz, Margot L; ID: 493</t>
  </si>
  <si>
    <t>Waitz, Margot L. American Osteopathic Academy of Addiction Medicine.</t>
  </si>
  <si>
    <t>http://ovidsp.ovid.com/ovidweb.cgi?T=JS&amp;CSC=Y&amp;NEWS=N&amp;PAGE=fulltext&amp;D=med7&amp;AN=21745051</t>
  </si>
  <si>
    <t>https://dx.doi.org/10.1080/10550887.2011.584020</t>
  </si>
  <si>
    <t>MEDLINE; Ovid Technologies; President's message</t>
  </si>
  <si>
    <t>Wakeland,W.;Schmidt,T.;Gilson,A. M.;Haddox,J. D.;Webster,L. R.</t>
  </si>
  <si>
    <t>System dynamics modeling as a potentially useful tool in analyzing mitigation strategies to reduce overdose deaths associated with pharmaceutical opioid treatment of chronic pain</t>
  </si>
  <si>
    <t>S49</t>
  </si>
  <si>
    <t>*Analgesics, Opioid/po Poisoning];*Analgesics, Opioid/tu Therapeutic Use];Chronic Disease;*Drug Overdose/mo Mortality];Education, Medical, Continuing;Humans;*Models, Theoretical;*Pain/dt Drug Therapy];Substance-Related Disorders;0 (Analgesics, Opioid)</t>
  </si>
  <si>
    <t>OBJECTIVE: To illustrate a system-level, simulation-based approach for evaluating mitigation strategies to address the dramatic rise in abuse, addiction, and overdose deaths associated with the use of pharmaceutical opioid analgesics to treat chronic pain. SIMULATED INTERVENTIONS: Making available drug formulations with increased tamper-resistance, prescriber education programs, and programs that reduce rates of medical user-related abuse and addiction. SIMULATED OUTCOME MEASURE: Number of overdose deaths of medical users of pharmaceutical opioid analgesics, including those who abuse or have become addicted. METHODS: A demonstration system dynamics model is developed, tested, and used to evaluate the impact of candidate mitigation strategies on the outcome measures. RESULTS: Tamper-resistant drug products will likely reduce overdose death rates but may not reduce overall deaths if there is increased prescribing. Prescriber education would likely reduce deaths through a reduction in patient access to pharmaceutical opioid analgesics. CONCLUSIONS: The system dynamics approach may have potential for opioid-related policy evaluation. However, metrics must be carefully selected, and trade-offs may be involved. For example, it may be difficult to limit negative outcomes associated with pharmaceutical opioids without adversely affecting chronic pain patients' access to pharmaceutical treatment. Ultimately, a combination of metrics and value judgments will be needed to properly evaluate mitigation strategies.</t>
  </si>
  <si>
    <t>J2: Pain Med; Wakeland, Wayne Schmidt, Teresa Gilson, Aaron M Haddox, J David Webster, Lynn R; ID: 500</t>
  </si>
  <si>
    <t>Wakeland, Wayne. Portland State University, Systems Science Graduate Program, Portland, Oregon 97207, USA. wakeland@pdx.edu</t>
  </si>
  <si>
    <t>http://ovidsp.ovid.com/ovidweb.cgi?T=JS&amp;CSC=Y&amp;NEWS=N&amp;PAGE=fulltext&amp;D=med7&amp;AN=21668757</t>
  </si>
  <si>
    <t>https://dx.doi.org/10.1111/j.1526-4637.2011.01127.x</t>
  </si>
  <si>
    <t>MEDLINE; Ovid Technologies; System dynamics modeling as a potentially useful tool in analyzing mitigation strategies to reduce overdose deaths associated with pharmaceutical opioid treatment of chronic pain</t>
  </si>
  <si>
    <t>Wakeman,S. E.</t>
  </si>
  <si>
    <t>Language and addiction: choosing words wisely</t>
  </si>
  <si>
    <t>J2: Am J Public Health; Wakeman, Sarah E Comment in: Am J Public Health. 2014 Aug;104(8):e1; PMID: 24922156 Comment on: Am J Public Health. 2012 Aug;102(8):e30-6; PMID: 22698040 Comment on: Am J Public Health. 2012 Jul;102(7):e37-8; PMID: 22594734; ID: 375</t>
  </si>
  <si>
    <t>http://ovidsp.ovid.com/ovidweb.cgi?T=JS&amp;CSC=Y&amp;NEWS=N&amp;PAGE=fulltext&amp;D=med7&amp;AN=23409913</t>
  </si>
  <si>
    <t>https://dx.doi.org/10.2105/AJPH.2012.301191</t>
  </si>
  <si>
    <t>MEDLINE; Ovid Technologies; Language and addiction: choosing words wisely</t>
  </si>
  <si>
    <t>Wakeman,S. E.;Baggett,M. V.;Pham-Kanter,G.;Campbell,E. G.</t>
  </si>
  <si>
    <t>Internal medicine residents' training in substance use disorders: a survey of the quality of instruction and residents' self-perceived preparedness to diagnose and treat addiction</t>
  </si>
  <si>
    <t>*Attitude of Health Personnel;*Clinical Competence;Female;Humans;*Internal Medicine/ed Education];*Internship and Residency;Male;*Self Concept;Substance-Related Disorders/di Diagnosis];*Substance-Related Disorders/px Psychology];Substance-Related Disorders/th Therapy]</t>
  </si>
  <si>
    <t>BACKGROUND: Resident physicians are the direct care providers for many patients with addiction. This study assesses residents' self-perceived preparedness to diagnose and treat addiction, measures residents' perceptions of the quality of addictions instruction, and evaluates basic knowledge of addictions. METHODS: A survey was e-mailed to 184 internal medicine residents at Massachusetts General Hospital in May 2012. RESULTS: Responses were obtained from 55% of residents. Residents estimated that 26% of inpatients they cared for met criteria for a substance use disorder (SUD). Twenty-five percent of residents felt unprepared to diagnose and 62% felt unprepared to treat addiction. Only 13% felt very prepared to diagnose addiction. No residents felt very prepared to treat addiction. Preparedness to diagnose or treat addiction did not differ significantly across postgraduate year (PGY) level. Fifty-five percent rated the overall instruction in addictions as poor or fair. Seventy-two percent of residents rated the quality of addictions training as poor or fair in the outpatient clinical setting, and 56% in the inpatient setting. No resident answered all 6 knowledge questions correctly. Slightly more than half correctly identified the mechanism of buprenorphine and 19% correctly answered a question about naltrexone. Nine percent of residents responded that someone had expressed concern about the respondent's substance use. CONCLUSIONS: Despite providing care for a substantial population with addiction, the majority of internal medicine residents in this study feel unprepared to treat SUDs. More than half rate the quality of addictions instruction as fair or poor. Structured and comprehensive addictions curriculum and faculty development are needed to address the deficiencies of the current training system.</t>
  </si>
  <si>
    <t>J2: Subst Abus; Wakeman, Sarah E Baggett, Meridale V Pham-Kanter, Genevieve Campbell, Eric G; ID: 285</t>
  </si>
  <si>
    <t>Wakeman, Sarah E. a Department of Medicine , Massachusetts General Hospital , Boston , Massachusetts , USA.</t>
  </si>
  <si>
    <t>http://ovidsp.ovid.com/ovidweb.cgi?T=JS&amp;CSC=Y&amp;NEWS=N&amp;PAGE=fulltext&amp;D=med7&amp;AN=24159907</t>
  </si>
  <si>
    <t>https://dx.doi.org/10.1080/08897077.2013.797540</t>
  </si>
  <si>
    <t>MEDLINE; Ovid Technologies; Internal medicine residents' training in substance use disorders: a survey of the quality of instruction and residents' self-perceived preparedness to diagnose and treat addiction</t>
  </si>
  <si>
    <t>Wakeman,S. E.;Pham-Kanter,G.;Baggett,M. V.;Campbell,E. G.</t>
  </si>
  <si>
    <t>Medicine Resident Preparedness to Diagnose and Treat Substance Use Disorders: Impact of an Enhanced Curriculum</t>
  </si>
  <si>
    <t>*Clinical Competence;*Curriculum;Female;Follow-Up Studies;*Health Knowledge, Attitudes, Practice;Humans;*Internal Medicine/ed Education];*Internship and Residency;Male;Program Evaluation;Substance-Related Disorders/di Diagnosis];Substance-Related Disorders/th Therapy]</t>
  </si>
  <si>
    <t>BACKGROUND: The authors' previous study found that despite caring for many patients with addiction, most Massachusetts General Hospital (MGH) internal medicine residents feel unprepared to treat substance use disorders (SUDs) and rate SUD instruction during training as fair or poor. This follow-up study evaluates the impact of an enhanced curriculum on resident perceptions of the quality of instruction, knowledge base, and self-perceived preparedness to diagnose and treat SUDs. METHODS: Based on the findings of the earlier study, an enhanced SUD curriculum was designed and delivered to MGH medicine residents. Impact of the curriculum was evaluated using the same Web-based survey that was administered in the earlier study to compare pre- and posttest results. RESULTS: The authors' earlier study found that 75% of residents felt prepared to diagnose and 37% to treat SUDs and 45% of residents rated the overall quality of SUD instruction as good or excellent. Following the curriculum intervention, 87% of residents reported feeling prepared to diagnose (P=.028) and 60% to treat (P=.002) SUDs. Three quarters of residents rated the overall quality of instruction as good or excellent (P&lt;.001), and 98% reported residency curriculum had a positive impact on their preparedness to care for patients with a SUDs. Residents who reported receiving an adequate amount of SUD instruction were more likely to feel prepared to diagnose and treat addiction (P&lt;.001). Thirty-one percent of residents still rated the overall amount of SUD instruction as too little. The intervention did not significantly improve answers to knowledge questions. CONCLUSIONS: An enhanced SUDs curriculum for medicine residents increased self-perceived preparedness to diagnose and treat SUDs and educational quality ratings. However, there was no significant change in knowledge. Implementation of a more comprehensive curriculum and evaluation at other sites are necessary to determine the ideal SUD training model.</t>
  </si>
  <si>
    <t>J2: Subst Abus; Wakeman, Sarah E Pham-Kanter, Genevieve Baggett, Meridale V Campbell, Eric G; ID: 143</t>
  </si>
  <si>
    <t>Wakeman, Sarah E. a Department of Medicine , Massachusetts General Hospital , Boston , Massachusetts , USA. Wakeman, Sarah E. b Department of Medicine, Harvard Medical School , Boston , Massachusetts , USA. Wakeman, Sarah E. c Massachusetts General Hospital Center for Community Health Improvement , Boston , Massachusetts , USA. Pham-Kanter, Genevieve. d Mongan Institute for Health Policy , Boston , Massachusetts , USA. Pham-Kanter, Genevieve. e Edmond J. Safra Center for Ethics , Harvard University , Boston , Massachusetts , USA. Pham-Kanter, Genevieve. f Department of Health Systems, Management, and Policy, Colorado School of Public Health , University of Colorado Anschutz Medical Campus , Aurora , Colorado , USA. Baggett, Meridale V. a Department of Medicine , Massachusetts General Hospital , Boston , Massachusetts , USA. Baggett, Meridale V. b Department of Medicine, Harvard Medical School , Boston , Massachusetts , USA. Campbell, Eric G. a Department of Medicine , Massachusetts General Hospital , Boston , Massachusetts , USA. Campbell, Eric G. b Department of Medicine, Harvard Medical School , Boston , Massachusetts , USA. Campbell, Eric G. d Mongan Institute for Health Policy , Boston , Massachusetts , USA.</t>
  </si>
  <si>
    <t>http://ovidsp.ovid.com/ovidweb.cgi?T=JS&amp;CSC=Y&amp;NEWS=N&amp;PAGE=fulltext&amp;D=med8&amp;AN=25257796</t>
  </si>
  <si>
    <t>https://dx.doi.org/10.1080/08897077.2014.962722</t>
  </si>
  <si>
    <t>MEDLINE; Ovid Technologies; Medicine Resident Preparedness to Diagnose and Treat Substance Use Disorders: Impact of an Enhanced Curriculum</t>
  </si>
  <si>
    <t>Wakhlu,S.</t>
  </si>
  <si>
    <t>Buprenorphine: a review</t>
  </si>
  <si>
    <t>Aged;Buprenorphine/me Metabolism];Buprenorphine/pd Pharmacology];Buprenorphine/tu Therapeutic Use];*Buprenorphine;History, 20th Century;History, 21st Century;Humans;Male;Middle Aged;Narcotic Antagonists/me Metabolism];Narcotic Antagonists/pd Pharmacology];Narcotic Antagonists/tu Therapeutic Use];*Narcotic Antagonists;*Opioid-Related Disorders/dt Drug Therapy];Opioid-Related Disorders/hi History];United States;0 (Narcotic Antagonists);40D3SCR4GZ (Buprenorphine)</t>
  </si>
  <si>
    <t>A significant breakthrough in the treatment of opioid addiction occurred with the passage of the Data Addiction Treatment Act of 2000 (DATA 2000), signed into law by President Clinton, which allowed physicians for the first time in more than eight decades to prescribe opioid medications for the treatment of opioid addiction in the normal course of their practice. Two years later, on October 8, 2002, Suboxone (Buprenorphine/Naloxone) and Subutex (Buprenorphine) received FDA approval for the treatment of opioid addiction. Prior to DATA 2000, opioid maintenance treatment was available through highly regulated methadone clinics. This article discusses opioid addiction in the United States today and the principles of buprenorphine therapy. References: 40]</t>
  </si>
  <si>
    <t>J2: J Opioid Manag; Wakhlu, Sidarth; ID: 639</t>
  </si>
  <si>
    <t>Wakhlu, Sidarth. UT Southwestern Medical Center, Dallas, Texas, USA.</t>
  </si>
  <si>
    <t>http://ovidsp.ovid.com/ovidweb.cgi?T=JS&amp;CSC=Y&amp;NEWS=N&amp;PAGE=fulltext&amp;D=med6&amp;AN=19344049</t>
  </si>
  <si>
    <t>MEDLINE; Ovid Technologies; Buprenorphine: a review</t>
  </si>
  <si>
    <t>Waldbaum,M.;Galanter,M.;Dermatis,H.;Greenberg,W. M.</t>
  </si>
  <si>
    <t>A survey of addiction training in child and adolescent psychiatry residency programs</t>
  </si>
  <si>
    <t>*Adolescent Psychiatry/ed Education];*Behavior, Addictive;*Child Psychiatry/ed Education];*Education/st Standards];Humans;*Internship and Residency;*Substance-Related Disorders;*Surveys and Questionnaires;*Teaching/mt Methods]</t>
  </si>
  <si>
    <t>OBJECTIVE: Childhood and adolescence represent a critical period for the potential initiation of substance use, and thus it is important that child and adolescent psychiatry (CAP) residents learn to screen, assess, refer, and/or treat children and adolescents who have substance abuse diagnoses. METHOD: The authors conducted a survey by mail of directors from all accredited U.S. CAP residency programs in order to describe addiction training in their respective programs. RESULTS: Seventy percent of program directors responded and indicated diverse addiction training experiences for their residents. Findings indicate that the majority of CAP residents are treating patients with substance use disorders in both years of training and in multiple treatment settings. CONCLUSION: The survey provides preliminary data for system-level constraints that merit additional consideration in order to potentially advance addiction training in CAP residencies.</t>
  </si>
  <si>
    <t>J2: Acad Psychiatry; Waldbaum, Marjorie Galanter, Marc Dermatis, Helen Greenberg, William M; ID: 843</t>
  </si>
  <si>
    <t>Waldbaum, Marjorie. Division of Alcoholism and Department of Psychiatry, New York University Medical Center, New York, NY 10016, USA. mew123452003@yahoo.com</t>
  </si>
  <si>
    <t>http://ovidsp.ovid.com/ovidweb.cgi?T=JS&amp;CSC=Y&amp;NEWS=N&amp;PAGE=fulltext&amp;D=med5&amp;AN=16141123</t>
  </si>
  <si>
    <t>MEDLINE; Ovid Technologies; A survey of addiction training in child and adolescent psychiatry residency programs</t>
  </si>
  <si>
    <t>Walger,P.;Baumgart,P.;Wilke,G.;Kupfer,U.;von Eiff,M.;Dorst,K. G.</t>
  </si>
  <si>
    <t>Medical and psychosocial effects of methadone substitution in HIV infected substance-dependent patients]</t>
  </si>
  <si>
    <t>Psychotherapie, Psychosomatik, medizinische Psychologie</t>
  </si>
  <si>
    <t>Psychother.Psychosom.Med.Psychol.</t>
  </si>
  <si>
    <t>Adult;Female;Follow-Up Studies;*HIV Infections/pc Prevention &amp; Control];HIV Infections/tm Transmission];*Heroin Dependence/rh Rehabilitation];Humans;Male;*Methadone/tu Therapeutic Use];Prospective Studies;Risk Factors;*Social Adjustment;*Substance Abuse, Intravenous/rh Rehabilitation];UC6VBE7V1Z (Methadone)</t>
  </si>
  <si>
    <t>After an average observation time of 12 months we can confirm that methadone substitution on an outpatient basis has proved significantly useful for a majority of chronically intravenously opiate-dependent HIV-infected patients of the stages CDC IV or WR 3-6 if methadone is given under controlled conditions, the improvement consisting in an amelioration of certain medical and psychosocial parameters. In 25 out of 30 patients methadone substitution resulted in termination of the previously existing intravenous heroin addiction. In the further course of treatment one of these 25 patients could then be induced to undergo a methadone withdrawal course followed by long-term withdrawal therapy. Since the patients were no longer dependent on heroin, they were no longer compelled to procure it under all circumstances, so that crime and prostitution connected with the pressure to obtain heroin by all means were now superfluous. This provided the most important prerequisites for medical and social care for the patients. The decisive factors determining the effectivity of substitution and hence a successful stabilisation are the integration of the patient in a network of care including the family doctor, outpatient HIV care by a relevant clinic, drug advice centre of AIDS help, and a Public Health Office. This also guarantees that the patients act responsibly in respect of their AIDS infection. In very few patients the permanent success of the treatment was at high risk due to unsatisfactory social care, lack of social security measures, progression of the underlying disease, a too low methadone dosage level, and partnership conflicts.</t>
  </si>
  <si>
    <t>J2: Psychother Psychosom Med Psychol; German Walger, P Baumgart, P Wilke, G Kupfer, U von Eiff, M Dorst, K G; OP: Medizinische und psychosoziale Effekte der Methadon-Substitution HIV-infizierter Drogenabhangiger; ID: 1374</t>
  </si>
  <si>
    <t>0937-2032</t>
  </si>
  <si>
    <t>http://ovidsp.ovid.com/ovidweb.cgi?T=JS&amp;CSC=Y&amp;NEWS=N&amp;PAGE=fulltext&amp;D=med3&amp;AN=2587688</t>
  </si>
  <si>
    <t>MEDLINE; Ovid Technologies; [Medical and psychosocial effects of methadone substitution in HIV infected substance-dependent patients]</t>
  </si>
  <si>
    <t>Wallace,P.</t>
  </si>
  <si>
    <t>Medical students, drugs and alcohol: time for medical schools to take the issue seriously</t>
  </si>
  <si>
    <t>Alcoholism;Curriculum;Education, Medical, Undergraduate;England/ep Epidemiology];Humans;Organizational Policy;Prevalence;Schools, Medical;*Students, Medical/px Psychology];Substance-Related Disorders/ep Epidemiology];*Substance-Related Disorders/pc Prevention &amp; Control]</t>
  </si>
  <si>
    <t>J2: Med Educ; Wallace, P Comment on: Med Educ. 2000 Feb;34(2):148-50; PMID: 10652069; ID: 1042</t>
  </si>
  <si>
    <t>Wallace, P. Department of Primary Care Population Sciences, Royal Free University College Medical School, London, UK.</t>
  </si>
  <si>
    <t>http://ovidsp.ovid.com/ovidweb.cgi?T=JS&amp;CSC=Y&amp;NEWS=N&amp;PAGE=fulltext&amp;D=med4&amp;AN=10652058</t>
  </si>
  <si>
    <t>MEDLINE; Ovid Technologies; Medical students, drugs and alcohol: time for medical schools to take the issue seriously</t>
  </si>
  <si>
    <t>Waller,J. A.;Casey,R.</t>
  </si>
  <si>
    <t>Teaching about substance abuse in medical school</t>
  </si>
  <si>
    <t>*Alcoholism/rh Rehabilitation];*Attitude of Health Personnel;Curriculum/td Trends];*Education, Medical/td Trends];Humans;*Substance-Related Disorders/rh Rehabilitation];Vermont</t>
  </si>
  <si>
    <t>Physicians often fail to diagnose and treat (or treat properly) alcoholism and other chemical dependence in patients. This failure may result from inadequate training, a sense of futility about effectiveness of treatment, belief that this is a social problem rather than disease or denial because the physician him/herself is from a family with substance abuse. A survey of 81 first year medical students identified six (7%) with past or present patterns suggesting abuse of alcohol or other drugs, five (6%) reporting both personal and immediate family abuse patterns, and 25 (31%) who reported such patterns in parents, grandparents or siblings. Students who are adult children of alcoholics (ACOAs) often need emotional support while learning about alcoholism and its treatment. Medical school training about substance abuse must take these needs into consideration and provide services approved by, but insulated from, the dean's office to help students cope with effects of personal or family substance abuse.</t>
  </si>
  <si>
    <t>J2: Br J Addict; Waller, J A Casey, R; ID: 1327</t>
  </si>
  <si>
    <t>Waller, J A. Department of Medicine, University of Vermont, Burlington 05405.</t>
  </si>
  <si>
    <t>http://ovidsp.ovid.com/ovidweb.cgi?T=JS&amp;CSC=Y&amp;NEWS=N&amp;PAGE=fulltext&amp;D=med3&amp;AN=2285841</t>
  </si>
  <si>
    <t>MEDLINE; Ovid Technologies; Teaching about substance abuse in medical school</t>
  </si>
  <si>
    <t>Walsh,R. A.</t>
  </si>
  <si>
    <t>Medical education about alcohol: review of its role and effectiveness</t>
  </si>
  <si>
    <t>Alcoholism/di Diagnosis];Alcoholism/pc Prevention &amp; Control];Alcoholism/th Therapy];*Alcoholism;Australia;Canada;*Education, Medical/mt Methods];Humans;Physician's Role;Program Evaluation;United Kingdom</t>
  </si>
  <si>
    <t>Many reports have described inadequate responses by doctors to problems associated with alcohol misuse. Low levels of medical knowledge and inappropriate attitudes continue to be documented in the alcohol area. However, in recent years, greater emphasis has been placed on the need to improve doctors' skills in relation to alcohol problem detection and intervention. Experiential teaching approaches have been recommended and strategies which incorporate feedback methods offer considerable promise. In the United Kingdom and Canada, there has been no centrally funded approach to improve alcohol medical education. In contrast, federally funded initiatives in the United States of America and Australia have been associated with impressive increases in alcohol-related teaching hours and elective opportunities. Despite the substantial effort invested in achieving these curriculum gains, there is a dearth of research demonstrating impacts on medical behaviours or evaluating the cost-effectiveness of different educational strategies. Evidence from trials in smoking cessation training indicate that well-designed programmes can alter doctor behaviours in relation to substance abuse. If the alcohol medical education field is to progress, there is an urgent need for the development and evaluation of programmes which are better designed and are more informed by theory. References: 126]</t>
  </si>
  <si>
    <t>J2: Alcohol Alcohol; Walsh, R A; ID: 1171</t>
  </si>
  <si>
    <t>Walsh, R A. Faculty of Medicine and Health Sciences, University of Newcastle, Australia.</t>
  </si>
  <si>
    <t>http://ovidsp.ovid.com/ovidweb.cgi?T=JS&amp;CSC=Y&amp;NEWS=N&amp;PAGE=fulltext&amp;D=med3&amp;AN=8679008</t>
  </si>
  <si>
    <t>MEDLINE; Ovid Technologies; Medical education about alcohol: review of its role and effectiveness</t>
  </si>
  <si>
    <t>Walsh,R. A.;Sanson-Fisher,R.;Low,A.;Roche,A. M.</t>
  </si>
  <si>
    <t>Teaching medical students alcohol intervention skills: results of a controlled trial</t>
  </si>
  <si>
    <t>Adult;*Alcoholism/th Therapy];*Education, Medical, Graduate/mt Methods];Evaluation Studies as Topic;Feedback;Female;Humans;Male;Videotape Recording</t>
  </si>
  <si>
    <t>OBJECTIVE: To assess the relative effectiveness of videotape feedback and lecture methods for teaching alcohol brief intervention skills. DESIGN: In a controlled trial, two student blocks received a manual, lecture and demonstration about the principles and practice of brief alcohol intervention. In addition, experimental students made a 20-min videotape and participated in a 1.5-h small group feedback session. Prior to and after training, all students completed questionnaires and videotaped interviews with simulated patients. SETTING: Faculty of Medicine and Health Sciences of the University of Newcastle, Australia. SUBJECTS: Final-year medical students. RESULTS: Levels of alcohol-related knowledge, attitudes and interactional skills as well as general interactional skills were significantly improved after teaching. Alcohol-related interactional skills that were unsatisfactory at pretest reached satisfactory standards at post-test. An intergroup comparison of the improvement between pre- and post-teaching scores indicated that there was no significant difference in the effectiveness of the two methods. CONCLUSIONS: Training can improve medical student performance in alcohol intervention. Further research is required to examine the relative effectiveness of different teaching methods.</t>
  </si>
  <si>
    <t>J2: Med Educ; Walsh, R A Sanson-Fisher, R W Low, A Roche, A M; ID: 1059</t>
  </si>
  <si>
    <t>Walsh, R A. Faculty of Medicine and Health Sciences, University of Newcastle, New South Wales, 2308, Australia.</t>
  </si>
  <si>
    <t>http://ovidsp.ovid.com/ovidweb.cgi?T=JS&amp;CSC=Y&amp;NEWS=N&amp;PAGE=fulltext&amp;D=med4&amp;AN=10447840</t>
  </si>
  <si>
    <t>MEDLINE; Ovid Technologies; Teaching medical students alcohol intervention skills: results of a controlled trial</t>
  </si>
  <si>
    <t>Walsh,R. A.;Sanson-Fisher,R.;Reid,A. L.</t>
  </si>
  <si>
    <t>Australian developments in medical education about alcohol</t>
  </si>
  <si>
    <t>*Alcoholism;Australia;Curriculum;*Education, Medical/td Trends];Education, Medical, Graduate/td Trends];Education, Medical, Undergraduate/td Trends];Humans;Teaching</t>
  </si>
  <si>
    <t>J2: J R Soc Med; Walsh, R A Sanson-Fisher, R W Reid, A L; ID: 1256</t>
  </si>
  <si>
    <t>http://ovidsp.ovid.com/ovidweb.cgi?T=JS&amp;CSC=Y&amp;NEWS=N&amp;PAGE=fulltext&amp;D=med3&amp;AN=8315621</t>
  </si>
  <si>
    <t>MEDLINE; Ovid Technologies; Australian developments in medical education about alcohol</t>
  </si>
  <si>
    <t>Walsh,S. E.;Singleton,J. A.;Worth,C. T.;Krugler,J.;Moore,R.;Wesley,G. C.;Mitchell,C. K.</t>
  </si>
  <si>
    <t>Tobacco cessation counseling training with standardized patients</t>
  </si>
  <si>
    <t>Attitude of Health Personnel;Clinical Competence;*Counseling/ed Education];Dental Hygienists/ed Education];Educational Measurement;General Practice, Dental/ed Education];Gynecology/ed Education];Humans;Internship and Residency;Obstetrics/ed Education];Periodontics/ed Education];Pilot Projects;Self Concept;*Smoking Cessation;Smoking Prevention;*Teaching/mt Methods];Tobacco Use Cessation;Tobacco Use Disorder/pc Prevention &amp; Control]</t>
  </si>
  <si>
    <t>A pilot study was conducted to assess clinician receptivity to tobacco cessation counseling training methods using standardized patients. Additionally, the study assessed changes in clinician knowledge and behavioral intentions following the training. Medical and dental residents and dental hygiene students from the University of Louisville attended a one- to two-hour lecture addressing the counseling strategies (the Five As/the Five Rs) and pharmacotherapy recommended in the U.S. Public Health Service Clinical Practice Guideline: Treating Tobacco Use and Dependence. Participants subsequently had three training encounters with standardized patients representing various stages of change including a patient ready to quit, a patient contemplating quitting, and a patient resistant to quitting. Thirty-six participants completed a preprogram survey prior to the lecture and a postprogram evaluation that included questions about their attitudes and beliefs about tobacco, their comfort level with various aspects of tobacco intervention, and eight knowledge questions. Participants demonstrated a statistically significant increase in objective knowledge about the practices recommended in the Clinical Practice Guideline following intervention. Results also indicate a significant increase in subjective measures of participant receptivity, self-reported comfort, and perceived skill with various aspects of tobacco intervention. Overall, participants were found to be very receptive to training sessions on tobacco cessation counseling with standardized patients. In light of the educational gains and positive response from participants, the use of standardized patients is a promising strategy for training on tobacco cessation counseling.</t>
  </si>
  <si>
    <t>J2: J Dent Educ; Walsh, Sarah E Singleton, Jacqueline A Worth, Celeste T Krugler, Jacqueline Moore, Regan Wesley, Gina C Mitchell, Charlene K; ID: 723</t>
  </si>
  <si>
    <t>Walsh, Sarah E. Kentucky Cancer Program, James Graham Brown Cancer Center, University of Louisville, 529 S. Jackson Street, Louisville, KY 40202, USA. sarah.walsh@louisville.edu</t>
  </si>
  <si>
    <t>http://ovidsp.ovid.com/ovidweb.cgi?T=JS&amp;CSC=Y&amp;NEWS=N&amp;PAGE=fulltext&amp;D=med5&amp;AN=17761623</t>
  </si>
  <si>
    <t>MEDLINE; Ovid Technologies; Tobacco cessation counseling training with standardized patients</t>
  </si>
  <si>
    <t>Walter,A. W.;Yuan,Y.;Cabral,H. J.</t>
  </si>
  <si>
    <t>Mental Health Services Utilization and Expenditures Among Children Enrolled in Employer-Sponsored Health Plans</t>
  </si>
  <si>
    <t>S127</t>
  </si>
  <si>
    <t>S135</t>
  </si>
  <si>
    <t>Adolescent;Behavior Therapy;Child;Child, Preschool;Deductibles and Coinsurance;Female;*Health Benefit Plans, Employee/ec Economics];*Health Expenditures;Humans;Male;*Mental Health Services/ut Utilization];Neurodevelopmental Disorders/ep Epidemiology];*Neurodevelopmental Disorders/th Therapy];United States</t>
  </si>
  <si>
    <t>BACKGROUND AND OBJECTIVES: Mental illness in children increases the risk of developing mental health disorders in adulthood, and reduces physical and emotional well-being across the life course. The Mental Health Parity and Addiction Equity Act (MHPAEA, 2008) aimed to improve access to mental health treatment by requiring employer-sponsored health plans to include insurance coverage for behavioral health services. METHODS: Investigators used IBM Watson/Truven Analytics MarketScan claims data (2007-2013) to examine: (1) the distribution of mental illness; (2) trends in utilization and out-of-pocket expenditures; and (3) the overall effect of the MHPAEA on mental health services utilization and out-of-pocket expenditures among privately-insured children aged 3 to 17 with mental health disorders. Multivariate Poisson regression and linear regression modeling techniques were used. RESULTS: Mental health services use for outpatient behavioral health therapy (BHT) was higher in the years after the implementation of the MHPAEA (2010-2013). Specifically, before the MHPAEA implementation, the annual total visits for BHT provided by mental health physicians were 17.1% lower and 2.5% lower for BHT by mental health professionals, compared to years when MHPAEA was in effect. Children covered by consumer-driven and high-deductible plans had significantly higher out-of-pocket expenditures for BHT compared to those enrolled PPOs. CONCLUSIONS: Our findings demonstrate increased mental health services use and higher out-of-pocket costs per outpatient visit after implementation of the MHPAEA. As consumer-driven and high-deductible health plans continue to grow, enrollees need to be cognizant of the impact of health insurance benefit designs on health services offered in these plans.</t>
  </si>
  <si>
    <t>J2: Pediatrics; Walter, Angela Wangari Yuan, Yiyang Cabral, Howard J; ID: 74</t>
  </si>
  <si>
    <t>Walter, Angela Wangari. Department of Public Health, College of Health Sciences, University of Massachusetts Lowell, Lowell, Massachusetts; angela_walter@uml.edu. Yuan, Yiyang. Center for Advancing Health Policy and Practice, and. Cabral, Howard J. Department of Biostatistics, Boston University School of Public Health, Boston, Massachusetts; and. Cabral, Howard J. Clinical and Translational Science Institute, Boston University, Boston, Massachusetts.</t>
  </si>
  <si>
    <t>http://ovidsp.ovid.com/ovidweb.cgi?T=JS&amp;CSC=Y&amp;NEWS=N&amp;PAGE=fulltext&amp;D=med8&amp;AN=28562310</t>
  </si>
  <si>
    <t>https://dx.doi.org/10.1542/peds.2016-2786G</t>
  </si>
  <si>
    <t>MEDLINE; Ovid Technologies; Mental Health Services Utilization and Expenditures Among Children Enrolled in Employer-Sponsored Health Plans</t>
  </si>
  <si>
    <t>Wamsley,M. A.;Julian,K. A.;O'Sullivan,P.;McCance-Katz,E.;Batki,S. L.;Satre,D. D.;Satterfield,J.</t>
  </si>
  <si>
    <t>Team-based learning exercise efficiently teaches brief intervention skills to medicine residents</t>
  </si>
  <si>
    <t>Clinical Competence;*Education, Medical, Graduate;*Group Processes;Humans;*Internal Medicine/ed Education];*Internship and Residency;Program Evaluation;Substance-Related Disorders</t>
  </si>
  <si>
    <t>BACKGROUND: Evaluations of substance use screening and brief intervention (SBI) curricula typically focus on learner attitudes and knowledge, although effects on clinical skills are of greater interest and utility. Moreover, these curricula often require large amounts of training time and teaching resources. This study examined whether a 3-hour SBI curriculum for internal medicine residents utilizing a team-based learning (TBL) format is effective for SBI skills as measured by a standardized patient (SP) assessment. METHODS: A waitlist-controlled design was employed. RESULTS: Twenty-four postgraduate year 2 (PGY-2) and PGY-3 residents participated in a SP assessment prior to the TBL session (waitlist control group) and 32 participated in a SP assessment after the TBL session (intervention group). The intervention residents demonstrated better brief intervention skills than waitlist control residents, but there were no differences between the groups in screening and assessment skills. Residents receiving the TBL curriculum prior to the SP assessment reported increased confidence in all SBI skills. CONCLUSION: Findings indicate that a brief educational intervention can improve brief intervention skills. However, more intensive education may be needed to improve substance use screening and assessment.</t>
  </si>
  <si>
    <t>J2: Subst Abus; Wamsley, Maria A Julian, Katherine A O'Sullivan, Patricia McCance-Katz, Elinore F Batki, Steven L Satre, Derek D Satterfield, Jason; ID: 288</t>
  </si>
  <si>
    <t>Wamsley, Maria A. a Division of General Internal Medicine , University of California, San Francisco , San Francisco , California , USA.</t>
  </si>
  <si>
    <t>http://ovidsp.ovid.com/ovidweb.cgi?T=JS&amp;CSC=Y&amp;NEWS=N&amp;PAGE=fulltext&amp;D=med7&amp;AN=24159904</t>
  </si>
  <si>
    <t>https://dx.doi.org/10.1080/08897077.2013.787958</t>
  </si>
  <si>
    <t>MEDLINE; Ovid Technologies; Team-based learning exercise efficiently teaches brief intervention skills to medicine residents</t>
  </si>
  <si>
    <t>Wamsley,M. A.;Steiger,S.;Julian,K. A.;Gleason,N.;O'Sullivan,P. S.;Guy,M.;Satterfield,J. M.</t>
  </si>
  <si>
    <t>Teaching residents screening, brief intervention, and referral to treatment (SBIRT) skills for alcohol use: Using chart-stimulated recall to assess curricular impact</t>
  </si>
  <si>
    <t>Alcoholism/di Diagnosis];*Alcoholism/pc Prevention &amp; Control];*Alcoholism/th Therapy];*Clinical Competence;Decision Support Systems, Clinical;*Electronic Health Records/ut Utilization];Humans;Internal Medicine/ed Education];*Internship and Residency;*Program Development;Program Evaluation;Prospective Studies;Referral and Consultation</t>
  </si>
  <si>
    <t>BACKGROUND: Screening, brief intervention, and referral to treatment (SBIRT) improves identification and intervention for patients at risk for developing an alcohol use disorder (AUD). Residency curriculum is designed to teach SBIRT skills, but resources are needed to promote skill implementation. The electronic health record (EHR) can facilitate implementation through integration of decision-support tools. The authors developed electronic tools to facilitate documentation of alcohol assessment and brief intervention and to reinforce skills from an SBIRT curriculum. This prospective cohort study assessed primary care internal medicine residents' use of SBIRT skills and EHR tools in practice using chart-stimulated recall (CSR). METHODS: Postgraduate year 2 and 3 residents received a 5-hour SBIRT curriculum with skills practice and instruction on SBIRT electronic tools. Participants were then given a list of their patients seen in a 1-year period who were drinking at/above the recommended limit. Trainees selected 3 patients to review with a faculty member in a CSR. Faculty used a 24-item chart checklist to assess application of SBIRT skills and electronic tool use and met with residents to complete a CSR interview. CSR interview notes were analyzed qualitatively to understand application of SBIRT skills and EHR tool use. RESULTS: Eighteen of 20 residents participated in the CSR, and 5 faculty reviewed 46 patient charts. Residents documented alcohol use (84.2% of charts) and assessment of quantity/frequency of use (71.0%) but were less likely to document assessment for an AUD (34%), an appropriate plan (50.0%), or follow-up (55%). Few residents used EHR tools. Residents reported barriers in addressing alcohol use, including lack of knowledge, patient barriers, and time constraints. CONCLUSIONS: More intensive training in SBIRT with opportunities for practice and feedback may be necessary for residents to consistently apply SBIRT skills in practice. EHR tools need to be better integrated into the clinic workflow in order to be useful.</t>
  </si>
  <si>
    <t>J2: Subst Abus; Wamsley, Maria A Steiger, Scott Julian, Katherine A Gleason, Nathaniel O'Sullivan, Patricia S Guy, Michelle Satterfield, Jason M; ID: 37</t>
  </si>
  <si>
    <t>Wamsley, Maria A. a Division of General Internal Medicine, University of California San Francisco , San Francisco , California , USA. Steiger, Scott. a Division of General Internal Medicine, University of California San Francisco , San Francisco , California , USA. Julian, Katherine A. a Division of General Internal Medicine, University of California San Francisco , San Francisco , California , USA. Gleason, Nathaniel. a Division of General Internal Medicine, University of California San Francisco , San Francisco , California , USA. O'Sullivan, Patricia S. a Division of General Internal Medicine, University of California San Francisco , San Francisco , California , USA. Guy, Michelle. a Division of General Internal Medicine, University of California San Francisco , San Francisco , California , USA. Satterfield, Jason M. a Division of General Internal Medicine, University of California San Francisco , San Francisco , California , USA.</t>
  </si>
  <si>
    <t>http://ovidsp.ovid.com/ovidweb.cgi?T=JS&amp;CSC=Y&amp;NEWS=N&amp;PAGE=fulltext&amp;D=medc&amp;AN=26675123</t>
  </si>
  <si>
    <t>MEDLINE; Ovid Technologies; Teaching residents screening, brief intervention, and referral to treatment (SBIRT) skills for alcohol use: Using chart-stimulated recall to assess curricular impact</t>
  </si>
  <si>
    <t>Waqas,A.;Rehman,A.;Malik,A.;Aftab,R.;Allah Yar,A.;Allah Yar,A.;Rai,A. B.</t>
  </si>
  <si>
    <t>Exploring the association of ego defense mechanisms with problematic internet use in a Pakistani medical school</t>
  </si>
  <si>
    <t>Psychiatry research</t>
  </si>
  <si>
    <t>Psychiatry Res.</t>
  </si>
  <si>
    <t>Adult;Aggression;*Asian Continental Ancestry Group/px Psychology];Behavior, Addictive/ep Epidemiology];*Behavior, Addictive/px Psychology];Cross-Sectional Studies;*Defense Mechanisms;Ego;Ethnic Groups;Female;Humans;*Internet;Male;Pakistan/ep Epidemiology];Prevalence;Schools, Medical;*Students, Medical/px Psychology];Surveys and Questionnaires;Young Adult</t>
  </si>
  <si>
    <t>The present study was designed to analyze association between problematic internet use and use of ego defense mechanisms in medical students. This cross-sectional study was undertaken at CMH Lahore Medical College (CMH LMC) in Lahore, Pakistan from 1st March, 2015 to 30th May, 2015. 522 medical and dental students were included in the study. The questionnaire consisted of three sections: a) demographic characteristics of respondent b) the Defense Style Questionnaire-40 (DSQ-40) and c) the Internet Addiction Test (IAT). All data were analyzed in SPSS v20. Chi square, Independent sample t test and One Way ANOVA were run to analyze association of different variables with scores on IAT. Multiple regression analysis was used to delineate ego defenses as predictors of problematic internet use. A total of 32 (6.1%) students reported severe problems with internet usage. Males had higher scores on IAT i.e had more problematic use of internet. Scores on internet addiction test (IAT) were negatively associated with sublimation and positively associated with projection, denial, autistic fantasy, passive aggression and displacement. There was a high prevalence of problematic use of internet among medical and dental students. It had significant associations with several defense mechanisms.</t>
  </si>
  <si>
    <t>J2: Psychiatry Res; Waqas, Ahmed Rehman, Abdul Malik, Aamenah Aftab, Ramsha Allah Yar, Aroosa Allah Yar, Arooj Rai, Aitzaz Bin Sultan S0165-1781(16)30131-7; ID: 42</t>
  </si>
  <si>
    <t>1872-7123</t>
  </si>
  <si>
    <t>Waqas, Ahmed. CMH Lahore Medical College and Institute of Dentistry, Lahore Cantt, Pakistan. Rehman, Abdul. Allama Iqbal Medical College, Lahore, Pakistan. Electronic address: abdulrehmansuleman@yahoo.com. Malik, Aamenah. CMH Lahore Medical College and Institute of Dentistry, Lahore Cantt, Pakistan. Aftab, Ramsha. CMH Lahore Medical College and Institute of Dentistry, Lahore Cantt, Pakistan. Allah Yar, Aroosa. University of the Punjab, Lahore, Pakistan. Allah Yar, Arooj. University of the Punjab, Lahore, Pakistan. Rai, Aitzaz Bin Sultan. Templeton College, Oxford University, United Kingdom.</t>
  </si>
  <si>
    <t>http://ovidsp.ovid.com/ovidweb.cgi?T=JS&amp;CSC=Y&amp;NEWS=N&amp;PAGE=fulltext&amp;D=medl&amp;AN=27504797</t>
  </si>
  <si>
    <t>https://dx.doi.org/10.1016/j.psychres.2016.07.021</t>
  </si>
  <si>
    <t>MEDLINE; Ovid Technologies; Exploring the association of ego defense mechanisms with problematic internet use in a Pakistani medical school</t>
  </si>
  <si>
    <t>Warburg,M. M.;Cleary,P. D.;Rohman,M.;Barnes,H. N.;Aronson,M.;Delbanco,T. L.</t>
  </si>
  <si>
    <t>Residents' attitudes, knowledge, and behavior regarding diagnosis and treatment of alcoholism</t>
  </si>
  <si>
    <t>Adult;Alcoholism/px Psychology];*Alcoholism/th Therapy];*Attitude of Health Personnel;Behavior;Humans;Internal Medicine/ed Education];*Internship and Residency;Massachusetts;*Physicians/px Psychology]</t>
  </si>
  <si>
    <t>Few studies have addressed the variables that affect physicians' practice behavior in treating alcoholism. In the study reported here, the authors hypothesized that alcohol-related training and experience would influence practice behavior more significantly than attitudes or knowledge. In order to assess the most important predictors of practice behavior, the authors conducted a survey of 163 junior and senior medical residents at five training hospitals affiliated with Harvard Medical School. Of these residents, 123 responded (75 percent). Negative attitudes toward alcoholics and knowledge of alcoholism were not significantly related to the residents' estimates of the prevalence of alcoholism among their patients, to their rate of treating alcoholic patients, or to their rate of referring patients for alcoholism therapy. There was a significant relationship between having supervised clinical experience in alcoholism and these three behaviors. These results are consistent with the authors' hypothesis that changing physicians' practice in treating alcoholics may be best achieved by providing relevant clinical experience in alcoholism.</t>
  </si>
  <si>
    <t>J2: J Med Educ; Warburg, M M Cleary, P D Rohman, M Barnes, H N Aronson, M Delbanco, T L; ID: 1433</t>
  </si>
  <si>
    <t>http://ovidsp.ovid.com/ovidweb.cgi?T=JS&amp;CSC=Y&amp;NEWS=N&amp;PAGE=fulltext&amp;D=med2&amp;AN=3599038</t>
  </si>
  <si>
    <t>MEDLINE; Ovid Technologies; Residents' attitudes, knowledge, and behavior regarding diagnosis and treatment of alcoholism</t>
  </si>
  <si>
    <t>Ward,C. F.;Ward,G. C.;Saidman,L. J.</t>
  </si>
  <si>
    <t>Drug abuse in anesthesia training programs. A survey: 1970 through 1980</t>
  </si>
  <si>
    <t>Alcoholism/ep Epidemiology];*Anesthesiology/ed Education];Anesthetics/ur Urine];*Anesthetics;*Education, Medical, Graduate;Fentanyl/ur Urine];Humans;Meperidine/ur Urine];Substance-Related Disorders/ep Epidemiology];*Substance-Related Disorders;Surveys and Questionnaires;United States;0 (Anesthetics);9E338QE28F (Meperidine);UF599785JZ (Fentanyl)</t>
  </si>
  <si>
    <t>Experience at our institution with drug dependence among anesthesia residents, coupled with a lack of published data, prompted us to survey US anesthesia training programs. Two hundred eighty-nine programs were surveyed, 247 (85.5%) responded, and 184 (74%) of these programs had at least one suspected incident of drug dependence to report. Three hundred thirty-four confirmed persons were reported, including a substantial number of instructors. Meperidine and fentanyl were the most frequently mentioned drugs. Behavior changes were frequently noted by staff personnel, and in general such changes led directly to detection. After confirmation of abuse, the majority of impaired anesthetists were referred for psychiatric care, with few in need of actual detoxification. Detailed follow-up was available for about 40% of the total; 71 persons were offered a return to their original place of employment, while 30 persons died of drug overdose. Chemical impairment may be more common than usually thought in anesthesia, perhaps in part because of drug availability.</t>
  </si>
  <si>
    <t>J2: Jama; Ward, C F Ward, G C Saidman, L J; ID: 1484</t>
  </si>
  <si>
    <t>http://ovidsp.ovid.com/ovidweb.cgi?T=JS&amp;CSC=Y&amp;NEWS=N&amp;PAGE=fulltext&amp;D=med2&amp;AN=6864975</t>
  </si>
  <si>
    <t>MEDLINE; Ovid Technologies; Drug abuse in anesthesia training programs. A survey: 1970 through 1980</t>
  </si>
  <si>
    <t>Ward,K. A.;Caselli,M. A.</t>
  </si>
  <si>
    <t>Fetal alcohol syndrome</t>
  </si>
  <si>
    <t>Journal of the American Podiatric Medical Association</t>
  </si>
  <si>
    <t>J.Am.Podiatr.Med.Assoc.</t>
  </si>
  <si>
    <t>*Child Abuse/di Diagnosis];*Education, Medical, Continuing;*Fetal Alcohol Spectrum Disorders/di Diagnosis];Humans;Infant, Newborn;*Podiatry/ed Education]</t>
  </si>
  <si>
    <t>J2: J Am Podiatr Med Assoc; Ward, K A Caselli, M A; ID: 1310</t>
  </si>
  <si>
    <t>8750-7315</t>
  </si>
  <si>
    <t>http://ovidsp.ovid.com/ovidweb.cgi?T=JS&amp;CSC=Y&amp;NEWS=N&amp;PAGE=fulltext&amp;D=med3&amp;AN=1920109</t>
  </si>
  <si>
    <t>MEDLINE; Ovid Technologies; Fetal alcohol syndrome</t>
  </si>
  <si>
    <t>Warner,D. O.;Berge,K.;Sun,H.;Harman,A.;Hanson,A.;Schroeder,D. R.</t>
  </si>
  <si>
    <t>NIHMS713964 Available on 10/01/16]; Risk and Outcomes of Substance Use Disorder among Anesthesiology Residents: A Matched Cohort Analysis</t>
  </si>
  <si>
    <t>Adult;*Anesthesiology/ed Education];Anesthesiology/td Trends];Case-Control Studies;Cohort Studies;Female;Humans;Internship and Residency/td Trends];*Internship and Residency;Male;Risk Factors;*Substance-Related Disorders/di Diagnosis];*Substance-Related Disorders/ep Epidemiology];Treatment Outcome</t>
  </si>
  <si>
    <t>BACKGROUND: The goal of this work is to evaluate selected risk factors and outcomes for substance use disorder (SUD) in physicians enrolled in anesthesiology residencies approved by the Accreditation Council for Graduate Medical Education. METHODS: For each of 384 individuals with evidence of SUD while in primary residency training in anesthesiology from 1975 to 2009, two controls (n = 768) who did not develop SUD were identified and matched for sex, age, primary residency program, and program start date. Risk factors evaluated included location of medical school training (United States vs. other) and anesthesia knowledge as assessed by In-Training Examination performance. Outcomes (assessed to December 31, 2013, with a median follow-up time of 12.2 and 15.1 yr for cases and controls, respectively) included mortality and profession-related outcomes. RESULTS: Receiving medical education within the United States, but not performance on the first in-training examination, was associated with an increased risk of developing SUD as a resident. Cases demonstrated a marked increase in the risk of death after training (hazard ratio, 7.9; 95% CI, 3.1 to 20.5), adverse training outcomes including failure to complete residency (odds ratio, 14.9; 95% CI, 9.0 to 24.6) or become board certified (odds ratio, 10.4; 95% CI, 7.0 to 15.5), and adverse medical licensure actions subsequent to residency (hazard ratio, 6.8; 95% CI, 3.8 to 12.2). As of the end of follow-up, 54 cases (14.1%) were deceased compared with 10 controls (1.3%); 28 cases and no controls died during residency. CONCLUSION: The attributable risk of SUD to several adverse outcomes during and after residency training, including death and adverse medical license actions, is substantial.</t>
  </si>
  <si>
    <t>J2: Anesthesiology; Warner, David O Berge, Keith Sun, Huaping Harman, Ann Hanson, Andrew Schroeder, Darrell R; ID: 210</t>
  </si>
  <si>
    <t>1528-1175</t>
  </si>
  <si>
    <t>Warner, David O. From the Departments of Anesthesiology (D.O.W., K.B.) and Health Sciences Research (A. Hanson, D.R.S.), Mayo Clinic, Rochester, Minnesota; and American Board of Anesthesiology, Raleigh, North Carolina (D.O.W., H.S., A. Harman).</t>
  </si>
  <si>
    <t>http://ovidsp.ovid.com/ovidweb.cgi?T=JS&amp;CSC=Y&amp;NEWS=N&amp;PAGE=fulltext&amp;D=med8&amp;AN=26263431</t>
  </si>
  <si>
    <t>https://dx.doi.org/10.1097/ALN.0000000000000810</t>
  </si>
  <si>
    <t>MEDLINE; Ovid Technologies; Risk and Outcomes of Substance Use Disorder among Anesthesiology Residents: A Matched Cohort Analysis</t>
  </si>
  <si>
    <t>NIHMS567922; Substance use disorder among anesthesiology residents, 1975-2009</t>
  </si>
  <si>
    <t>Adult;*Anesthesiology/ed Education];Cohort Studies;Female;Humans;Incidence;*Internship and Residency/sn Statistics &amp; Numerical Data];Kaplan-Meier Estimate;Male;Recurrence;Retrospective Studies;*Students, Medical/px Psychology];*Substance-Related Disorders/mo Mortality];Survivors/px Psychology];United States/ep Epidemiology]</t>
  </si>
  <si>
    <t>IMPORTANCE: Substance use disorder (SUD) among anesthesiologists and other physicians poses serious risks to both physicians and patients. Formulation of policy and individual treatment plans is hampered by lack of data regarding the epidemiology and outcomes of physician SUD. OBJECTIVE: To describe the incidence and outcomes of SUD among anesthesiology residents. DESIGN, SETTING, AND PARTICIPANTS: Retrospective cohort study of physicians who began training in United States anesthesiology residency programs from July 1, 1975, to July 1, 2009, including 44,612 residents contributing 177,848 resident-years to analysis. Follow-up for incidence and relapse was to the end of training and December 31, 2010, respectively. MAIN OUTCOMES AND MEASURES: Cases of SUD (including initial SUD episode and any relapse, vital status and cause of death, and professional consequences of SUD) ascertained through training records of the American Board of Anesthesiology, including information from the Disciplinary Action Notification Service of the Federation of State Medical Boards and cause of death information from the National Death Index. RESULTS: Of the residents, 384 had evidence of SUD during training, with an overall incidence of 2.16 (95% CI, 1.95-2.39) per 1000 resident-years (2.68 95% CI, 2.41-2.98] men and 0.65 95% CI, 0.44-0.93] women per 1000 resident-years). During the study period, an initial rate increase was followed by a period of lower rates in 1996-2002, but the highest incidence has occurred since 2003 (2.87 95% CI, 2.42-3.39] per 1000 resident-years). The most common substance category was intravenous opioids, followed by alcohol, marijuana or cocaine, anesthetics/hypnotics, and oral opioids. Twenty-eight individuals (7.3%; 95% CI, 4.9%-10.4%) died during the training period; all deaths were related to SUD. The Kaplan-Meier estimate of the cumulative proportion of survivors experiencing at least 1 relapse by 30 years after the initial episode (based on a median follow-up of 8.9 years interquartile range, 5.0-18.8 years]) was 43% (95% CI, 34%-51%). Rates of relapse and death did not depend on the category of substance used. Relapse rates did not change over the study period. CONCLUSIONS AND RELEVANCE: Among anesthesiology residents entering primary training from 1975 to 2009, 0.86% had evidence of SUD during training. Risk of relapse over the follow-up period was high, indicating persistence of risk after training.</t>
  </si>
  <si>
    <t>J2: Jama; Warner, David O Berge, Keith Sun, Huaping Harman, Ann Hanson, Andrew Schroeder, Darrell R; ID: 329</t>
  </si>
  <si>
    <t>Warner, David O. Department of Anesthesiology, Mayo Clinic, Rochester, Minnesota3American Board of Anesthesiology, Raleigh, North Carolina.</t>
  </si>
  <si>
    <t>http://ovidsp.ovid.com/ovidweb.cgi?T=JS&amp;CSC=Y&amp;NEWS=N&amp;PAGE=fulltext&amp;D=med7&amp;AN=24302092</t>
  </si>
  <si>
    <t>https://dx.doi.org/10.1001/jama.2013.281954</t>
  </si>
  <si>
    <t>MEDLINE; Ovid Technologies; Substance use disorder among anesthesiology residents, 1975-2009</t>
  </si>
  <si>
    <t>Wayland,M. T.;Hardwicke,M. B.</t>
  </si>
  <si>
    <t>Residents' diagnosis of alcohol abuse in the ambulatory-care clinic</t>
  </si>
  <si>
    <t>*Alcoholism/di Diagnosis];Alcoholism/pc Prevention &amp; Control];Ambulatory Care;Humans;*Internship and Residency;Michigan;Surveys and Questionnaires</t>
  </si>
  <si>
    <t>J2: Acad Med; Wayland, M T Hardwicke, M B; ID: 1315</t>
  </si>
  <si>
    <t>Wayland, M T. Division of Biomedical Investigations, St. John Hospital and Medical Center, Detroit, MI 48236-2172.</t>
  </si>
  <si>
    <t>http://ovidsp.ovid.com/ovidweb.cgi?T=JS&amp;CSC=Y&amp;NEWS=N&amp;PAGE=fulltext&amp;D=med3&amp;AN=2059276</t>
  </si>
  <si>
    <t>MEDLINE; Ovid Technologies; Residents' diagnosis of alcohol abuse in the ambulatory-care clinic</t>
  </si>
  <si>
    <t>Weaver,M.</t>
  </si>
  <si>
    <t>In pain or drug-seeking? Resident continuity clinic, chronic nonmalignant pain, and addiction</t>
  </si>
  <si>
    <t>*Analgesics, Opioid/ae Adverse Effects];*Analgesics, Opioid/tu Therapeutic Use];Chronic Disease;Education, Medical;Humans;*Opioid-Related Disorders/px Psychology];*Outpatient Clinics, Hospital/og Organization &amp; Administration];*Pain/dt Drug Therapy];Research;0 (Analgesics, Opioid)</t>
  </si>
  <si>
    <t>J2: J Opioid Manag; Weaver, Michael; ID: 780</t>
  </si>
  <si>
    <t>http://ovidsp.ovid.com/ovidweb.cgi?T=JS&amp;CSC=Y&amp;NEWS=N&amp;PAGE=fulltext&amp;D=med5&amp;AN=17315414</t>
  </si>
  <si>
    <t>MEDLINE; Ovid Technologies; In pain or drug-seeking? Resident continuity clinic, chronic nonmalignant pain, and addiction</t>
  </si>
  <si>
    <t>Weber,D.;Wolff,L. S.;Orleans,T.;Mockenhaupt,R. E.;Massett,H. A.;Vose,K. K.</t>
  </si>
  <si>
    <t>Smokers' attitudes and behaviors related to consumer demand for cessation counseling in the medical care setting</t>
  </si>
  <si>
    <t>Adult;*Counseling/mt Methods];Counseling/sn Statistics &amp; Numerical Data];Female;*Health Services Needs and Demand/sn Statistics &amp; Numerical Data];Humans;Male;Middle Aged;Patient Acceptance of Health Care/sn Statistics &amp; Numerical Data];*Patient Education as Topic/og Organization &amp; Administration];Patient Education as Topic/sn Statistics &amp; Numerical Data];*Primary Health Care/og Organization &amp; Administration];Primary Health Care/sn Statistics &amp; Numerical Data];Regression Analysis;*Smoking Cessation/mt Methods];Smoking Cessation/px Psychology];Smoking Cessation/sn Statistics &amp; Numerical Data];Surveys and Questionnaires;Tobacco Use Disorder/ep Epidemiology];*Tobacco Use Disorder/pc Prevention &amp; Control];United States/ep Epidemiology]</t>
  </si>
  <si>
    <t>This study describes a new segmentation strategy exploring smokers' interest levels in counseling in the medical care setting in order to understand how public health communications can be designed to increase consumer demand for cessation services within this population. A subsample of 431 smokers from a large, nationally representative mail survey was analyzed and categorized into three cessation-demand groups: Low demand (LD), medium demand (MD), and high demand (HD). HD smokers were most likely to be heavy smokers, to make quitting a high priority, and to have self-efficacy in quitting. MD and LD smokers were less likely than HD smokers to have been told to quit smoking by a health care provider in the past or to believe that counseling is effective. The first step in the regression analysis revealed that age, cigarettes smoked per month, whether smokers were currently trying to quit, and whether they were ever told to quit smoking by their health care provider accounted for 21% of the variance in smokers' interest in smoking cessation counseling, F(4, 234) = 16.49, p&lt;.001. When additional variables on attitudes toward smoking and quitting and perceived effectiveness of receiving counseling in the medical care setting were added to the model, an additional 11% of the variance in smokers' interest in cessation counseling was explained, F(12, 234) = 10.07, p&lt;.001. Results suggest that by categorizing smokers by interest level in cessation counseling, we emerge with three distinct portraits of smokers who might be activated in different ways to increase consumer demand for cessation counseling.</t>
  </si>
  <si>
    <t>J2: Nicotine Tob Res; Weber, Deanne Wolff, Lisa S Orleans, Tracy Mockenhaupt, Robin E Massett, Holly A Vose, Kathryn Kahler; ID: 758</t>
  </si>
  <si>
    <t>Weber, Deanne. Porter Novelli, Washington, DC 20006, USA. deanne.weber@porternovelli.com</t>
  </si>
  <si>
    <t>http://ovidsp.ovid.com/ovidweb.cgi?T=JS&amp;CSC=Y&amp;NEWS=N&amp;PAGE=fulltext&amp;D=med5&amp;AN=17454713</t>
  </si>
  <si>
    <t>MEDLINE; Ovid Technologies; Smokers' attitudes and behaviors related to consumer demand for cessation counseling in the medical care setting</t>
  </si>
  <si>
    <t>Webster,J.</t>
  </si>
  <si>
    <t>Prescriber education on opioids</t>
  </si>
  <si>
    <t>917; author reply 917</t>
  </si>
  <si>
    <t>*Analgesics, Opioid;*Drug Industry;*Drug Prescriptions;*Education, Medical, Continuing;Humans;*Legislation, Drug;*Opioid-Related Disorders/pc Prevention &amp; Control];0 (Analgesics, Opioid)</t>
  </si>
  <si>
    <t>J2: Ann Intern Med; Webster, James Comment on: Ann Intern Med. 2012 Aug 7;157(3):205-6; PMID: 22868838; ID: 386</t>
  </si>
  <si>
    <t>http://ovidsp.ovid.com/ovidweb.cgi?T=JS&amp;CSC=Y&amp;NEWS=N&amp;PAGE=fulltext&amp;D=med7&amp;AN=23247946</t>
  </si>
  <si>
    <t>https://dx.doi.org/10.7326/0003-4819-157-12-201212180-00018</t>
  </si>
  <si>
    <t>MEDLINE; Ovid Technologies; Prescriber education on opioids</t>
  </si>
  <si>
    <t>Webster,J. M.;Dickson,M. F.;Duvall,J. L.;Clark,D. B.</t>
  </si>
  <si>
    <t>Rural and Urban Differences in Kentucky DUI Offenders</t>
  </si>
  <si>
    <t>OBJECTIVES: : Recent national data suggest that the prevalence of driving under the influence (DUI) is higher in rural areas than in more urbanized areas of the United States. However, little is known about rural DUI offenders, particularly those living in very remote areas. This study was conducted to examine the similarities and differences between rural and urban DUI offenders. Based on recent research, it was expected that few differences would be found between rural and urban DUI offenders. METHODS: : This study examined a total of 21,135 substance abuse assessment records for persons convicted of DUI in Kentucky and who concluded treatment in 2005. Assessment records included demographic characteristics, Alcohol Use Disorders Identification Test scores, Drug Abuse Screening Test scores, and the Diagnostic and Statistical Manual of Mental Disorders Fourth Edition Text Revision substance use disorder checklist. Beale codes based on county of residence were used to create comparison groups. RESULTS: : Positive, and statistically significant, associations were found between rurality and Drug Abuse Screening Test scores, Diagnostic and Statistical Manual of Mental Disorders Fourth Edition substance abuse and dependence disorders, and rates of education/treatment noncompliance. Alcohol Use Disorders Identification Test scores were negatively associated with rurality. CONCLUSIONS: : The study suggests that the problem severity among DUI offenders may be greater in rural areas. Given the lack of treatment services in rural areas, practitioners may face greater challenges in assessing and providing appropriate treatment for this group of DUI offenders, which may put them at greater risk for continued impaired driving.</t>
  </si>
  <si>
    <t>J2: J Addict Med; Webster, J Matthew Dickson, Megan F Duvall, Jamieson L Clark, David B; ID: 428</t>
  </si>
  <si>
    <t>Webster, J Matthew. From the University of Kentucky, Center on Drug and Alcohol Research, Lexington, KY.</t>
  </si>
  <si>
    <t>http://ovidsp.ovid.com/ovidweb.cgi?T=JS&amp;CSC=Y&amp;NEWS=N&amp;PAGE=fulltext&amp;D=prem&amp;AN=21769034</t>
  </si>
  <si>
    <t>https://dx.doi.org/10.1097/ADM.0b013e3181c6cb24</t>
  </si>
  <si>
    <t>MEDLINE; Ovid Technologies; Rural and Urban Differences in Kentucky DUI Offenders</t>
  </si>
  <si>
    <t>Weinberg,J. R.;Morse,R. M.</t>
  </si>
  <si>
    <t>Understanding alcoholism: a test for use in medical education</t>
  </si>
  <si>
    <t>*Alcoholism;*Education, Medical;*Educational Measurement;Humans;Methods</t>
  </si>
  <si>
    <t>J2: J Med Educ; Weinberg, J R Morse, R M; ID: 1549</t>
  </si>
  <si>
    <t>http://ovidsp.ovid.com/ovidweb.cgi?T=JS&amp;CSC=Y&amp;NEWS=N&amp;PAGE=fulltext&amp;D=med1&amp;AN=1159767</t>
  </si>
  <si>
    <t>MEDLINE; Ovid Technologies; Understanding alcoholism: a test for use in medical education</t>
  </si>
  <si>
    <t>Weinstein,S. M.;Laux,L. F.;Thornby,J. I.;Lorimor,R. J.;Hill,C. S., J.;Thorpe,D. M.;Merrill,J. M.</t>
  </si>
  <si>
    <t>Medical students' attitudes toward pain and the use of opioid analgesics: implications for changing medical school curriculum</t>
  </si>
  <si>
    <t>Acute Disease;*Analgesics, Opioid/tu Therapeutic Use];Attitude of Health Personnel;*Attitude to Health;Chronic Disease;Clinical Competence;*Curriculum;Drug Utilization;Drug and Narcotic Control/lj Legislation &amp; Jurisprudence];*Education, Medical;Follow-Up Studies;Humans;Internal-External Control;Medical Laboratory Science;Opioid-Related Disorders;*Pain/dt Drug Therapy];Personality;Prejudice;Regression Analysis;Specialization;Students, Medical/px Psychology];*Students, Medical;0 (Analgesics, Opioid)</t>
  </si>
  <si>
    <t>BACKGROUND: Barriers to pain management include physicians' lack of knowledge and attitudes. Our aim was to investigate future physicians' knowledge and attitudes toward pain and the use of opioid analgesics. METHODS: We tested a medical school class during their freshman and senior years. Stepwise regression analysis was used to identify the personal traits that predicted opiophobia. RESULTS: The professionalization process of medical training may reinforce negative attitudes. Psychologic characteristics were associated with reluctance to prescribe opioids, and fears of patient addiction and drug regulatory agency sanctions. CONCLUSIONS: Consistent attitudes were found in senior medical students with preferences for certain specialty areas and the practitioners of their future specialties, suggesting a "preselection" effect. Higher scores on reliance on high technology, external locus of control, and intolerance of clinical uncertainty were associated with higher scores on one or more of the three dimensions of opiophobia. Implications for medical education are discussed.</t>
  </si>
  <si>
    <t>J2: South Med J; Weinstein, S M Laux, L F Thornby, J I Lorimor, R J Hill, C S Jr Thorpe, D M Merrill, J M; ID: 1039</t>
  </si>
  <si>
    <t>Weinstein, S M. Department of Neuro-Oncology, University of Texas M.D. Anderson Cancer Center, Houston, USA.</t>
  </si>
  <si>
    <t>http://ovidsp.ovid.com/ovidweb.cgi?T=JS&amp;CSC=Y&amp;NEWS=N&amp;PAGE=fulltext&amp;D=med4&amp;AN=10832944</t>
  </si>
  <si>
    <t>MEDLINE; Ovid Technologies; Medical students' attitudes toward pain and the use of opioid analgesics: implications for changing medical school curriculum</t>
  </si>
  <si>
    <t>Weis,J.</t>
  </si>
  <si>
    <t>Addiction medicine: more doctors needed for medical supervision of opioid replacement therapy]</t>
  </si>
  <si>
    <t>Adult;*Attitude of Health Personnel;Cross-Sectional Studies;Education, Medical, Graduate;Evidence-Based Medicine;Female;General Practice/ed Education];*General Practice/ma Manpower];Germany;Humans;Male;Middle Aged;*Opiate Substitution Treatment/px Psychology];Opioid-Related Disorders/ep Epidemiology];*Opioid-Related Disorders/px Psychology];*Opioid-Related Disorders/rh Rehabilitation];Patient Satisfaction;*Practice Patterns, Physicians'/sn Statistics &amp; Numerical Data]</t>
  </si>
  <si>
    <t>J2: Dtsch Med Wochenschr; German Weis, Johannes; OP: Suchtmedizin: Mehr Arzte fur die Substitutionsbehandlung benotigt; ID: 334</t>
  </si>
  <si>
    <t>http://ovidsp.ovid.com/ovidweb.cgi?T=JS&amp;CSC=Y&amp;NEWS=N&amp;PAGE=fulltext&amp;D=med7&amp;AN=24151655</t>
  </si>
  <si>
    <t>MEDLINE; Ovid Technologies; [Addiction medicine: more doctors needed for medical supervision of opioid replacement therapy]</t>
  </si>
  <si>
    <t>Weiss,R. D.;Rao,V.</t>
  </si>
  <si>
    <t>The Prescription Opioid Addiction Treatment Study: What have we learned</t>
  </si>
  <si>
    <t>173 Suppl 1</t>
  </si>
  <si>
    <t>S54</t>
  </si>
  <si>
    <t>Adult;*Analgesics, Opioid/ae Adverse Effects];*Analgesics, Opioid/tu Therapeutic Use];*Buprenorphine, Naloxone Drug Combination/tu Therapeutic Use];Combined Modality Therapy;Counseling;Follow-Up Studies;Heroin Dependence/rh Rehabilitation];Humans;Male;Middle Aged;*Opiate Substitution Treatment/mt Methods];*Opioid-Related Disorders/rh Rehabilitation];*Prescription Drug Misuse;0 (Analgesics, Opioid);0 (Buprenorphine, Naloxone Drug Combination)</t>
  </si>
  <si>
    <t>BACKGROUND: The multi-site Prescription Opioid Addiction Treatment Study (POATS), conducted by the National Drug Abuse Treatment Clinical Trials Network, was the largest clinical trial yet conducted with patients dependent upon prescription opioids (N=653). In addition to main trial results, the study yielded numerous secondary analyses, and included a 3.5-year follow-up study, the first of its kind with this population. This paper reviews key findings from POATS and its follow-up study. METHODS: The paper summarizes the POATS design, main outcomes, predictors of outcome, subgroup analyses, the predictive power of early treatment response, and the long-term follow-up study. RESULTS: POATS examined combinations of buprenorphine-naloxone of varying duration and counseling of varying intensity. The primary outcome analysis showed no overall benefit to adding drug counseling to buprenorphine-naloxone and weekly medical management. Only 7% of patients achieved a successful outcome (abstinence or near-abstinence from opioids) during a 4-week taper and 8-week follow-up; by comparison, 49% of patients achieved success while subsequently stabilized on buprenorphine-naloxone. Long-term follow-up results were more encouraging, with higher abstinence rates than in the main trial. Patients receiving opioid agonist treatment at the time of follow-up were more likely to have better outcomes, though a sizeable number of patients succeeded without agonist treatment. Some patients initiated risky use patterns, including heroin use and drug injection. A limitation of the long-term follow-up study was the low follow-up rate. CONCLUSIONS: POATS was the first large-scale study of the treatment of prescription opioid dependence; its findings can influence both treatment guidelines and future studies.</t>
  </si>
  <si>
    <t>J2: Drug Alcohol Depend; Weiss, Roger D Rao, Vinod S0376-8716(17)30002-9; ID: 65</t>
  </si>
  <si>
    <t>Weiss, Roger D. Division of Alcohol and Drug Abuse, McLean Hospital, 115 Mill Street, Belmont, MA 02478, USA; Department of Psychiatry, Harvard Medical School, 25 Shattuck Street, Boston, MA 02115, USA. Electronic address: rweiss@mclean.harvard.edu. Rao, Vinod. Department of Psychiatry, Harvard Medical School, 25 Shattuck Street, Boston, MA 02115, USA; Partners HealthCare Addiction Psychiatry Fellowship, Massachusetts General Hospital, 55 Fruit Street, Boston, MA 02114, USA. Electronic address: vinod.rao@mgh.harvard.edu.</t>
  </si>
  <si>
    <t>http://ovidsp.ovid.com/ovidweb.cgi?T=JS&amp;CSC=Y&amp;NEWS=N&amp;PAGE=fulltext&amp;D=med8&amp;AN=28363320</t>
  </si>
  <si>
    <t>https://dx.doi.org/10.1016/j.drugalcdep.2016.12.001</t>
  </si>
  <si>
    <t>MEDLINE; Ovid Technologies; The Prescription Opioid Addiction Treatment Study: What have we learned</t>
  </si>
  <si>
    <t>Weiss,S.</t>
  </si>
  <si>
    <t>Point of view: alcoholic physicians in Israel</t>
  </si>
  <si>
    <t>Israel Journal of Psychiatry &amp; Related Sciences</t>
  </si>
  <si>
    <t>*Alcoholism/px Psychology];Education, Medical;Female;Humans;Israel;Male;*Physicians/px Psychology];Students/px Psychology]</t>
  </si>
  <si>
    <t>Data on alcohol drinking habits among medical students and levels of alcoholism in the general population imply that there are a significant number of alcoholic physicians in Israel. The tendency of the alcoholic doctor to conceal, the tendency of colleagues to deny and protect, and the inadequate education on the effects and consequences of alcohol dependence among physicians in Israel are presented as explanations for the absence of reporting of this phenomenon.</t>
  </si>
  <si>
    <t>J2: Isr J Psychiatry Relat Sci; Weiss, S; ID: 1242</t>
  </si>
  <si>
    <t>0333-7308</t>
  </si>
  <si>
    <t>Weiss, S. Israel Society for the Prevention of Alcoholism, Ramat Gan Israel.</t>
  </si>
  <si>
    <t>http://ovidsp.ovid.com/ovidweb.cgi?T=JS&amp;CSC=Y&amp;NEWS=N&amp;PAGE=fulltext&amp;D=med3&amp;AN=8270386</t>
  </si>
  <si>
    <t>MEDLINE; Ovid Technologies; Point of view: alcoholic physicians in Israel</t>
  </si>
  <si>
    <t>Weitman,M.;Meighan,S. S.</t>
  </si>
  <si>
    <t>Smoking patterns and specialty training of Oregon physicians</t>
  </si>
  <si>
    <t>Cancer</t>
  </si>
  <si>
    <t>Family Practice;Health Education;Humans;Oregon;*Physicians;*Smoking;Societies, Medical;Specialization;Surveys and Questionnaires</t>
  </si>
  <si>
    <t>J2: Cancer; Weitman, M Meighan, S S; ID: 1618</t>
  </si>
  <si>
    <t>0008-543X</t>
  </si>
  <si>
    <t>http://ovidsp.ovid.com/ovidweb.cgi?T=JS&amp;CSC=Y&amp;NEWS=N&amp;PAGE=fulltext&amp;D=med1&amp;AN=6026470</t>
  </si>
  <si>
    <t>MEDLINE; Ovid Technologies; Smoking patterns and specialty training of Oregon physicians</t>
  </si>
  <si>
    <t>Welsh,C. J.</t>
  </si>
  <si>
    <t>Check-out my bottle collection: assisting medical trainees in taking a better alcohol-use history</t>
  </si>
  <si>
    <t>*Alcoholism/ep Epidemiology];Humans;*Mass Screening/mt Methods];*Students, Medical;*Teaching</t>
  </si>
  <si>
    <t>J2: Subst Abus; Welsh, Christopher J; ID: 744</t>
  </si>
  <si>
    <t>http://ovidsp.ovid.com/ovidweb.cgi?T=JS&amp;CSC=Y&amp;NEWS=N&amp;PAGE=fulltext&amp;D=med5&amp;AN=16150677</t>
  </si>
  <si>
    <t>MEDLINE; Ovid Technologies; Check-out my bottle collection: assisting medical trainees in taking a better alcohol-use history</t>
  </si>
  <si>
    <t>OD's and DT's: using movies to teach intoxication and withdrawal syndromes to medical students</t>
  </si>
  <si>
    <t>*Alcoholic Intoxication/di Diagnosis];Alcoholism/co Complications];Curriculum;*Education, Medical;Humans;Severity of Illness Index;*Substance Withdrawal Syndrome/di Diagnosis];*Video Recording</t>
  </si>
  <si>
    <t>OBJECTIVE: The purpose of this study was to determine whether second-year medical students believed that the use of movies helped them to learn about intoxication and withdrawal syndromes. METHODS: A videotape was made by transferring clips of various commercially available films as well as clips from several television news shows and a training film displaying intoxication and withdrawal syndromes. Students attending the lecture were asked to complete a brief, anonymous questionnaire following the lecture. RESULTS: More than 90% of the 89 respondents believed that the clips helped them to recognize these syndromes and appreciate their potential severity. All students believed that the movie clips would help them remember the syndromes, with greater than 90% reporting that it would help "very much." CONCLUSIONS: The use of movie clips appears to be a useful tool in teaching medical students about intoxication and withdrawal syndromes seen with various substances of abuse.</t>
  </si>
  <si>
    <t>J2: Acad Psychiatry; Welsh, Christopher J; ID: 919</t>
  </si>
  <si>
    <t>Welsh, Christopher J. University of Maryland School of Medicine, 22 South Greene Street, Room P-1-H10, Box 349, Baltimore, Maryland 21201, USA. cwelsh@psych.umaryland.edu</t>
  </si>
  <si>
    <t>http://ovidsp.ovid.com/ovidweb.cgi?T=JS&amp;CSC=Y&amp;NEWS=N&amp;PAGE=fulltext&amp;D=med4&amp;AN=12969842</t>
  </si>
  <si>
    <t>MEDLINE; Ovid Technologies; OD's and DT's: using movies to teach intoxication and withdrawal syndromes to medical students</t>
  </si>
  <si>
    <t>Wenner,M.</t>
  </si>
  <si>
    <t>Interactions with drug addicts: what is their value for clinical practice?]</t>
  </si>
  <si>
    <t>Education, Medical, Continuing;Family Practice/ed Education];Humans;*Physician-Patient Relations;Substance-Related Disorders/px Psychology];*Substance-Related Disorders/rh Rehabilitation]</t>
  </si>
  <si>
    <t>J2: Rev Med Suisse Romande; French Wenner, M; OP: Interactions avec les toxicodependants: quels apports pour la pratique?; ID: 1254</t>
  </si>
  <si>
    <t>http://ovidsp.ovid.com/ovidweb.cgi?T=JS&amp;CSC=Y&amp;NEWS=N&amp;PAGE=fulltext&amp;D=med3&amp;AN=8316720</t>
  </si>
  <si>
    <t>MEDLINE; Ovid Technologies; [Interactions with drug addicts: what is their value for clinical practice?]</t>
  </si>
  <si>
    <t>Westermeyer,J.</t>
  </si>
  <si>
    <t>A personal journey into cultural psychiatry</t>
  </si>
  <si>
    <t>Acculturation;Alcoholism/eh Ethnology];Alcoholism/px Psychology];Anthropology/ed Education];Anthropology/td Trends];Asia, Southeastern;*Career Choice;Career Mobility;Cultural Competency;Curriculum/td Trends];Ethnopsychology/ed Education];*Ethnopsychology/td Trends];Forecasting;Humans;Indians, North American/px Psychology];Internship and Residency;Leadership;Mentors/ed Education];Mentors/px Psychology];Referral and Consultation/td Trends];Research/td Trends];Social Values;Substance-Related Disorders/eh Ethnology];Substance-Related Disorders/px Psychology];United States;World Health Organization</t>
  </si>
  <si>
    <t>The two primary audiences for this article are psychiatrists interested in a cultural psychiatry career and academic as well as healthcare leaders who are in a position to support cultural psychiatry training. In addition to describing my own personal journey through cultural psychiatry, this report includes strategic recommendations for becoming a cultural psychiatrist as well as rationales for supporting a cadre of cultural psychiatrists in the coming decades. A World Health Organization (WHO) sponsored program for training clinicians in addictions is described. Finally, the account summarizes those clinical, research, educational, consultative, and leadership roles that cultural training influenced during my career.</t>
  </si>
  <si>
    <t>J2: Transcult Psychiatry; Westermeyer, Joseph; ID: 511</t>
  </si>
  <si>
    <t>Westermeyer, Joseph. Department of Veterans Affairs Medical Center, University of Minnesota, 1 Veterans Drive, Minneapolis, MN 55417, USA. weste010@umn.edu</t>
  </si>
  <si>
    <t>http://ovidsp.ovid.com/ovidweb.cgi?T=JS&amp;CSC=Y&amp;NEWS=N&amp;PAGE=fulltext&amp;D=med7&amp;AN=21511852</t>
  </si>
  <si>
    <t>https://dx.doi.org/10.1177/1363461510383184</t>
  </si>
  <si>
    <t>MEDLINE; Ovid Technologies; A personal journey into cultural psychiatry</t>
  </si>
  <si>
    <t>Substance use rates among medical students and resident physicians</t>
  </si>
  <si>
    <t>Adult;Humans;*Internship and Residency/sn Statistics &amp; Numerical Data];Physician Impairment/sn Statistics &amp; Numerical Data];*Students, Medical/sn Statistics &amp; Numerical Data];*Substance-Related Disorders/ep Epidemiology];United States/ep Epidemiology]</t>
  </si>
  <si>
    <t>J2: Jama; Westermeyer, J Comment in: JAMA. 1991 Sep 18;266(11):1512-4; PMID: 1880882 Comment on: JAMA. 1991 Apr 24;265(16):2074-8; PMID: 2013926 Comment on: JAMA. 1991 Apr 24;265(16):2069-73; PMID: 2013925; ID: 1320</t>
  </si>
  <si>
    <t>http://ovidsp.ovid.com/ovidweb.cgi?T=JS&amp;CSC=Y&amp;NEWS=N&amp;PAGE=fulltext&amp;D=med3&amp;AN=2013931</t>
  </si>
  <si>
    <t>MEDLINE; Ovid Technologies; Substance use rates among medical students and resident physicians</t>
  </si>
  <si>
    <t>Substance abuse among medical trainees: current problems and evolving resources</t>
  </si>
  <si>
    <t>Adult;Alcohol Drinking/px Psychology];Female;Humans;Male;*Self-Help Groups;*Students, Medical/px Psychology];*Substance-Related Disorders</t>
  </si>
  <si>
    <t>Substance abuse among medical students and residents, while not new, has increased in frequency, appears earlier, and is more apt to involve illicit drugs. In addition to these pathological changes, certain mental health resources for medical students have declined (although there is considerable variability from one location to another). These changes have stimulated certain innovative approaches to such problems. Both these recent problems as well as recent responses for dealing with them are presented.</t>
  </si>
  <si>
    <t>J2: Am J Drug Alcohol Abuse; Westermeyer, J; ID: 1403</t>
  </si>
  <si>
    <t>Westermeyer, J. Alcohol-Drug Treatment Program, University of Minnesota, Minneapolis 55455.</t>
  </si>
  <si>
    <t>http://ovidsp.ovid.com/ovidweb.cgi?T=JS&amp;CSC=Y&amp;NEWS=N&amp;PAGE=fulltext&amp;D=med3&amp;AN=3189259</t>
  </si>
  <si>
    <t>MEDLINE; Ovid Technologies; Substance abuse among medical trainees: current problems and evolving resources</t>
  </si>
  <si>
    <t>Westermeyer,J.;Boedicker,A. E.</t>
  </si>
  <si>
    <t>Course, severity, and treatment of substance abuse among women versus men</t>
  </si>
  <si>
    <t>Adult;Disease Progression;Female;Humans;Male;Retrospective Studies;Severity of Illness Index;Sex Distribution;Substance-Related Disorders/di Diagnosis];Substance-Related Disorders/ep Epidemiology];Substance-Related Disorders/th Therapy];*Substance-Related Disorders</t>
  </si>
  <si>
    <t>OBJECTIVE: To assess the course and severity of substance-related disorder (SRD) in relation to gender. DESIGN: Retrospective data on course were obtained for several indices of substance use, abuse, and related morbidity. SETTING: Two university medical centers with alcohol-drug programs located in departments of psychiatry. SUBJECTS: A total of 642 patients were assessed, of whom 365 (57%) were men and 277 (43%) were women. METHODS: Data on course included demographic characteristics, family history of substance abuse, lifetime use, age at first use, years of use, use in the last year, periods of abstinence, and current diagnosis. Data on severity included two measures of SRD-associated problems (one patient rated and one interviewer rated), substance abuse versus dependence, self-help activities, and previous treatment. RESULTS: Women were more apt to be homemakers; to have a sibling or, if married, a spouse who abused substances; to be less apt to have ever used hallucinogens or inhalants; to have used substances for fewer years; to have used cannabis and inhalants for fewer days in the last year; to have a lower rate of current cannabis abuse/dependence; to have fewer legal problems related to substances (especially driving while intoxicated DWI] charges); to have fewer outpatient admissions to treatment; to have fewer admissions to substance abuse treatment (all categories together), fewer lifetime days in treatment, and lower overall treatment cost (for all categories of treatment together). CONCLUSIONS: These data confirm earlier reports of a shorter course, less deviant drug usage, and--if married--a substance-abusing spouse. In addition, we found higher rates of familial substance abuse and lower rates of lifetime admissions, treatment days, and total cost of substance abuse treatment. Homemaking responsibilities, a substance-abusing spouse, a male-oriented treatment system, and/or a more rapid course may reduce substance abuse treatment for women.</t>
  </si>
  <si>
    <t>J2: Am J Drug Alcohol Abuse; Westermeyer, J Boedicker, A E; ID: 1004</t>
  </si>
  <si>
    <t>Westermeyer, J. Minneapolis VA Medical Center, and University of Minnesota, 55417, USA.</t>
  </si>
  <si>
    <t>http://ovidsp.ovid.com/ovidweb.cgi?T=JS&amp;CSC=Y&amp;NEWS=N&amp;PAGE=fulltext&amp;D=med4&amp;AN=11097190</t>
  </si>
  <si>
    <t>MEDLINE; Ovid Technologies; Course, severity, and treatment of substance abuse among women versus men</t>
  </si>
  <si>
    <t>Westermeyer,J.;Canive,J.;Thuras,P.;Thompson,J.;Crosby,R. D.;Garrard,J.</t>
  </si>
  <si>
    <t>A comparison of substance use disorder severity and course in American Indian male and female veterans</t>
  </si>
  <si>
    <t>Adult;Comorbidity;Cross-Sectional Studies;Female;Humans;*Indians, North American;Male;Middle Aged;Patient Acceptance of Health Care;Psychiatric Status Rating Scales;*Sex Characteristics;*Substance-Related Disorders/di Diagnosis];Substance-Related Disorders/ep Epidemiology];*Veterans</t>
  </si>
  <si>
    <t>The purpose of this analysis was to compare substance use disorder (SUD) diagnoses, severity, comorbidity, and course in 362 American Indian veterans. The sample was drawn from communities in the north central and southwestern areas of the United States, structured to over-sample women and to include half-rural/half-urban residents. Instruments used in the study included current demography, military history, the Diagnostic Interview Schedule/Quick Version, Michigan Alcoholism Screening Test modified to include alcohol and drugs (MAST/AD), Brief Symptom Inventory, Posttraumatic Checklist, and a treatment algorithm. Univariate analyses showed that women had lower scores on the MAST/AD, reported lower symptom levels on the Posttraumatic Checklist, and were less apt to use VA mental health services, but were more willing to seek mental health treatment if needed (with probabilities of .01 to .001). At borderline probabilities (.02 to .05), women were younger and had more education, whereas men had more drug-related diagnoses and more combat exposure. On binary logistic regression, women were less apt to have a drug diagnosis and had lower MAST/AD scores; the other differences were not significant. Female American Indian veterans with SUD manifested many of the same gender-related differences as women in the population at large, but with some exceptions (eg, comorbidity). Trauma, PTSD, and continuing posttraumatic symptoms occurred frequently in both male and female veterans of American Indian heritage. VA facilities should out-reach to American Indian women, who report a willingness to seek mental health services but may avoid VA care.</t>
  </si>
  <si>
    <t>J2: Am J Addict; Westermeyer, Joseph Canive, Jose Thuras, Paul Thompson, James Crosby, Ross D Garrard, Judith; ID: 642</t>
  </si>
  <si>
    <t>Westermeyer, Joseph. Department of Mental Health Services, Minneapolis VAMC, Minneapolis, Minnesota, USA. weste010@umn.edu</t>
  </si>
  <si>
    <t>http://ovidsp.ovid.com/ovidweb.cgi?T=JS&amp;CSC=Y&amp;NEWS=N&amp;PAGE=fulltext&amp;D=med6&amp;AN=19219670</t>
  </si>
  <si>
    <t>https://dx.doi.org/10.1080/10550490802544912</t>
  </si>
  <si>
    <t>MEDLINE; Ovid Technologies; A comparison of substance use disorder severity and course in American Indian male and female veterans</t>
  </si>
  <si>
    <t>Westermeyer,J.;Myott,S.;Aarts,R.;Thuras,P.</t>
  </si>
  <si>
    <t>Self-help strategies among patients with substance use disorders</t>
  </si>
  <si>
    <t>Adult;Female;Health Promotion;Humans;Male;Retrospective Studies;*Self-Help Groups;*Substance-Related Disorders/rh Rehabilitation]</t>
  </si>
  <si>
    <t>The objective of this study was to determine (1) the type and extent of self-help efforts among patients presenting for treatment of substance use disorders, and (2) the association of self-help with demographic and clinical characteristics. A retrospective report of life self-help methods, current demographic characteristics, and current and lifetime clinical characteristics was used. Six hundred and forty-two patients in treatment for substance use disorder were interviewed at one of two university medical centers with Alcohol-Drug Programs located within departments of psychiatry. A research associate (RA) interviewed patients regarding seven types of self-help involving specific, mutually exclusive behaviors and rated the patient's lifetime self-help methods. The patient, RA, and addiction psychiatrists provided demographic, familial, and clinical information. Most patients (78%) had tried one or more types of self-help, with a mean of 2.7 methods per patient. They more frequently chose methods related to the substance (decreasing amounts or frequency, or changing substance type) or joining a self-help group than methods that involved changing friends, residence, or occupation/job/school. Certain patterns of self-help tended to occur together (e.g., changing substance frequency and dose), whereas others appeared more independent (e.g., joining a self-help group). Some self-help approaches occurred mostly in association with other methods rather than alone (e.g., changing occupation/job/school). More self-help was associated with higher socioeconomic class, more relatives with substance use disorder, greater severity of substance use disorder, and more treatment for substance use disorder. Self-help tends to occur more often after exposure to addicted relatives or addiction treatment. Clinicians and public adult education should promulgate self-help methods in the general population.</t>
  </si>
  <si>
    <t>J2: Am J Addict; Westermeyer, J Myott, S Aarts, R Thuras, P; ID: 991</t>
  </si>
  <si>
    <t>Westermeyer, J. Department of Psychiatry, Department of Veterans Affairs Medical Center, University of Minnesota, 1 Veterans Dr., Minneapolis, MN 55417, USA. weste010@umn.edu</t>
  </si>
  <si>
    <t>http://ovidsp.ovid.com/ovidweb.cgi?T=JS&amp;CSC=Y&amp;NEWS=N&amp;PAGE=fulltext&amp;D=med4&amp;AN=11579623</t>
  </si>
  <si>
    <t>MEDLINE; Ovid Technologies; Self-help strategies among patients with substance use disorders</t>
  </si>
  <si>
    <t>Westermeyer,J.;Wahmanholm,K.;Thuras,P.</t>
  </si>
  <si>
    <t>Effects of childhood physical abuse on course and severity of substance abuse</t>
  </si>
  <si>
    <t>Adult;Child;*Child Abuse/px Psychology];Demography;Female;Humans;Male;Prevalence;Retrospective Studies;Severity of Illness Index;Socioeconomic Factors;*Substance-Related Disorders/di Diagnosis];Substance-Related Disorders/ep Epidemiology];Surveys and Questionnaires</t>
  </si>
  <si>
    <t>The present study sought to assess the course and severity of Substance Related Disorder (SRD) in relation to childhood physical abuse (CPA) using retrospective data on CPA and current indices of substance use, abuse, and related morbidity. A total of 642 patients were assessed, of whom 195 (30.4%) experienced CPA, were assessed in two university medical centers with Alcohol-Drug Programs located within departments of psychiatry. A research assistant obtained demographic data, family history of substance abuse, problems related to substance abuse, and treatment of substance abuse. Data on severity included two measures of SRD-associated problems (one patient-rated and one psychiatrist-rated), substance abuse vs. dependence, self-help activities, and previous treatment. The study found that patients with CPA were more likely to be women, have lower socioeconomic status, and have more extended family members with substance abuse. Their substance abuse was more severe on five out of six severity measures. Patients with CPA showed more lifetime treatment on three out of four measures. Physical abuse during childhood resulted in a more morbid course of substance abuse later in adulthood. Although female gender and lower SES were both associated with CPA, the relationships were separate (i.e., women did not have lower SES).</t>
  </si>
  <si>
    <t>J2: Am J Addict; Westermeyer, J Wahmanholm, K Thuras, P; ID: 994</t>
  </si>
  <si>
    <t>Westermeyer, J. Minneapolis Veterans Affairs Medical Center, 1 Veterans Dr., Minneapolis, MN 55417, USA. weste010@umn.edu</t>
  </si>
  <si>
    <t>http://ovidsp.ovid.com/ovidweb.cgi?T=JS&amp;CSC=Y&amp;NEWS=N&amp;PAGE=fulltext&amp;D=med4&amp;AN=11444153</t>
  </si>
  <si>
    <t>MEDLINE; Ovid Technologies; Effects of childhood physical abuse on course and severity of substance abuse</t>
  </si>
  <si>
    <t>Westermeyer,J. J.;Schneekloth,T. D.</t>
  </si>
  <si>
    <t>Course of substance abuse in patients with and without schizophrenia</t>
  </si>
  <si>
    <t>Adult;Age Factors;Diagnosis, Dual (Psychiatry);Disease Progression;Female;Humans;Male;*Schizophrenia/co Complications];Severity of Illness Index;Smoking/px Psychology];*Substance-Related Disorders/co Complications];Substance-Related Disorders/di Diagnosis];Surveys and Questionnaires;Time Factors</t>
  </si>
  <si>
    <t>The authors compared the course of Substance Use Disorders (SUD) in patients with SUD plus schizophrenia (SCZ) with those having SUD only. Data were obtained through diagnostic interviews and questionnaires on consecutive out-patients and in-patients referred for SUD to two university medical centers with alcohol-drug programs. This study revealed the SCZ-SUD patients (n = 29) had demographic characteristics, onset of their substance use, course of use/abuse, and lifetime SUD diagnoses that closely resembled those with SUD-only (n = 296). The marked similarities argue for a course of SUD in schizophrenic patients that is fully as morbid as that in SUD-only patients. The few differences in course appear linked to the following: (1) patients with SCZ using caffeine early, perhaps to relieve prodromal manifestations of schizophrenia, (2) patients with SCZ-SUD later using less or avoiding use of substances that exacerbate symptoms of schizophrenia (e.g., caffeine, cocaine, opiates), and (3) using tobacco more often to ameliorate the symptoms of schizophrenia or the side effects of medications used to treat schizophrenia. Contrary to expectation, those with comorbid SCZ-SUD employed self-help to deal with SUD as often as did the SUD-only patients.</t>
  </si>
  <si>
    <t>J2: Am J Addict; Westermeyer, J J Schneekloth, T D; ID: 1072</t>
  </si>
  <si>
    <t>Westermeyer, J J. Department of Psychiatry, University of Minnesota/Minneapolis VAMC, USA. westermeyer.joseph@minneapolis.va.gov</t>
  </si>
  <si>
    <t>http://ovidsp.ovid.com/ovidweb.cgi?T=JS&amp;CSC=Y&amp;NEWS=N&amp;PAGE=fulltext&amp;D=med4&amp;AN=10189515</t>
  </si>
  <si>
    <t>MEDLINE; Ovid Technologies; Course of substance abuse in patients with and without schizophrenia</t>
  </si>
  <si>
    <t>Whitfield,C. L.</t>
  </si>
  <si>
    <t>Medical education and alcoholism</t>
  </si>
  <si>
    <t>Alcoholism/px Psychology];Alcoholism/th Therapy];*Alcoholism;Curriculum;*Education, Medical;Humans;Physician Impairment</t>
  </si>
  <si>
    <t>J2: Md State Med J; Whitfield, C L; ID: 1507</t>
  </si>
  <si>
    <t>http://ovidsp.ovid.com/ovidweb.cgi?T=JS&amp;CSC=Y&amp;NEWS=N&amp;PAGE=fulltext&amp;D=med2&amp;AN=7464251</t>
  </si>
  <si>
    <t>MEDLINE; Ovid Technologies; Medical education and alcoholism</t>
  </si>
  <si>
    <t>Alcoholism education: early development and coordination at a new medical school</t>
  </si>
  <si>
    <t>*Alcoholism;Curriculum;Education, Medical;Humans;Maryland</t>
  </si>
  <si>
    <t>J2: Md State Med J; Whitfield, C L; ID: 1547</t>
  </si>
  <si>
    <t>http://ovidsp.ovid.com/ovidweb.cgi?T=JS&amp;CSC=Y&amp;NEWS=N&amp;PAGE=fulltext&amp;D=med1&amp;AN=1165657</t>
  </si>
  <si>
    <t>MEDLINE; Ovid Technologies; Alcoholism education: early development and coordination at a new medical school</t>
  </si>
  <si>
    <t>Whittle,A. E.;Buckelew,S. M.;Satterfield,J. M.;Lum,P. J.;O'Sullivan,P.</t>
  </si>
  <si>
    <t>Addressing Adolescent Substance Use: Teaching Screening, Brief Intervention, and Referral to Treatment (SBIRT) and Motivational Interviewing (MI) to Residents</t>
  </si>
  <si>
    <t>Adolescent;Adolescent Behavior;Adult;Clinical Competence;Curriculum;Female;Humans;*Internship and Residency;Male;*Mass Screening;*Motivational Interviewing;Pediatrics/ed Education];Psychiatry/ed Education];*Psychotherapy, Brief/ed Education];*Referral and Consultation;Retrospective Studies;*Substance-Related Disorders/di Diagnosis];*Substance-Related Disorders/th Therapy]</t>
  </si>
  <si>
    <t>BACKGROUND: The American Academy of Pediatrics Committee on Substance Use recommends screening, brief intervention, and referral to treatment (SBIRT) at every adolescent preventive and all appropriate urgent visits. We designed an SBIRT curriculum as part of the adolescent block of a pediatric residency that combined online modules with an in-person workshop, faculty feedback on resident interactions with patients, and resident self-reflection on their motivational interviewing (MI) skills. METHODS: To evaluate the curriculum, we measured resident satisfaction and self-reported confidence in using SBIRT and MI with teens using a retrospective pre/post questionnaire. We used qualitative analysis to evaluate the written comments from faculty observations of patient-trainee interactions and comments from resident self-reflection(s) on patient interactions. RESULTS: Thirty-two residents completed the curriculum. Residents reported high satisfaction with the training. Comparing retrospective pre/post scores on the survey of resident self-reported confidence, measures increased significantly in all domains, including for both alcohol and other drug use. Regarding self-reported MI, skillfulness also increased significantly. Analysis of specific faculty feedback to residents revealed subthemes such as normalizing confidentiality and focusing more on the patient's perspectives on substance use. Resident reflections on their own abilities with SBIRT/MI focused on using the ruler tool and on adapting the MI style of shared decision-making. CONCLUSIONS: A curriculum that combines online training, small-group practice, clinical observations, and self-reflection is valued by residents and can increase resident self-reported confidence in using SBIRT and MI in adolescent encounters. Future studies should examine to what extent confidence predicts performance using standardized measures of MI skillfulness in patient encounters.</t>
  </si>
  <si>
    <t>J2: Subst Abus; Whittle, Amy E Buckelew, Sara M Satterfield, Jason M Lum, Paula J O'Sullivan, Patricia; ID: 146</t>
  </si>
  <si>
    <t>Whittle, Amy E. a Department of Pediatrics , University of California San Francisco , San Francisco , California , USA.</t>
  </si>
  <si>
    <t>http://ovidsp.ovid.com/ovidweb.cgi?T=JS&amp;CSC=Y&amp;NEWS=N&amp;PAGE=fulltext&amp;D=med8&amp;AN=25260121</t>
  </si>
  <si>
    <t>https://dx.doi.org/10.1080/08897077.2014.965292</t>
  </si>
  <si>
    <t>MEDLINE; Ovid Technologies; Addressing Adolescent Substance Use: Teaching Screening, Brief Intervention, and Referral to Treatment (SBIRT) and Motivational Interviewing (MI) to Residents</t>
  </si>
  <si>
    <t>Wiegand,T. J.;Babu,K. M.</t>
  </si>
  <si>
    <t>Medical Toxicology and the Crisis of Addiction--Introduction to the Proceedings from the 2015 ACMT Addiction Academy</t>
  </si>
  <si>
    <t>Cooperative Behavior;Education, Medical;Humans;Interdisciplinary Communication;Patient Care Team;*Societies, Medical;Substance-Related Disorders/di Diagnosis];Substance-Related Disorders/ep Epidemiology];*Substance-Related Disorders/th Therapy];Toxicology/ed Education];*Toxicology/mt Methods]</t>
  </si>
  <si>
    <t>J2: J Med Toxicol; Wiegand, Timothy J Babu, Kavita M; ID: 132</t>
  </si>
  <si>
    <t>Wiegand, Timothy J. URMC and Strong Memorial Hospital, Box 321 at URMC, 601 Elmwood Avenue, Rochester, NY, 14642, USA. Babu, Kavita M. University of Massachusetts Medical School, 55 Lake Avenue North, Worcester, MA, 01655, USA. kavitambabu@gmail.com.</t>
  </si>
  <si>
    <t>http://ovidsp.ovid.com/ovidweb.cgi?T=JS&amp;CSC=Y&amp;NEWS=N&amp;PAGE=fulltext&amp;D=med8&amp;AN=26822206</t>
  </si>
  <si>
    <t>https://dx.doi.org/10.1007/s13181-016-0534-z</t>
  </si>
  <si>
    <t>MEDLINE; Ovid Technologies; Medical Toxicology and the Crisis of Addiction--Introduction to the Proceedings from the 2015 ACMT Addiction Academy</t>
  </si>
  <si>
    <t>Wiley,K.;Gibbs,B.;Kahn,S.;Karlman,R.;Tse,A.;Perez-Woods,R.</t>
  </si>
  <si>
    <t>Prevalence of illicit drug use among prenatal patients and predictive validity of nurses' judgments</t>
  </si>
  <si>
    <t>Journal of Perinatology</t>
  </si>
  <si>
    <t>Adult;Ambulatory Care Facilities;Analysis of Variance;Chi-Square Distribution;Female;Humans;Internship and Residency;Judgment;Medical Staff, Hospital;Midwestern United States;*Nurses/px Psychology];Pregnancy;*Pregnancy Complications/ep Epidemiology];Pregnancy Complications/ur Urine];Prevalence;Street Drugs/ur Urine];*Street Drugs;*Substance-Related Disorders/ep Epidemiology];Substance-Related Disorders/ur Urine];0 (Street Drugs)</t>
  </si>
  <si>
    <t>The purposes of this investigation were to: (1) estimate the prevalence of illicit drug use within the prenatal population of a midwestern suburban ambulatory care center; (2) explore the relationship between nurses' judgments of patient illicit drug use and urine toxicology results; and (3) determine if a difference exists between nurses' judgments of illicit drug use by private physicians' patients (PPP) and nurses' judgments of illicit drug use by resident physicians' patients (RPP). For a 16-week period, all new prenatal patients (N = 189) were included in this study; 78 (41%) were in the RPP group and 111 (59%) were in the PPP group. Urine remaining from routine urinalysis was assayed for seven drugs or drug classes. Fourteen (7.5%) subjects tested positive for illicit drugs, 8 (10.3%) in the RPP group, and 6 (5.4%) in the PPP group (chi 2, P greater than .33). Using a Likert-type scale, nurses rated the likelihood of a positive result of each patient's urine test. Nurses' judgments of patient illicit drug use and positive results were related, r = .28. Nurses were more likely (P less than .0001) to suspect residents' patients of illicit drug use than private physicians' patients.</t>
  </si>
  <si>
    <t>J2: J Perinatol; Wiley, K Gibbs, B Kahn, S Karlman, R Tse, A Perez-Woods, R; ID: 1298</t>
  </si>
  <si>
    <t>0743-8346</t>
  </si>
  <si>
    <t>Wiley, K. Loyola University, Chicago, Illinois.</t>
  </si>
  <si>
    <t>http://ovidsp.ovid.com/ovidweb.cgi?T=JS&amp;CSC=Y&amp;NEWS=N&amp;PAGE=fulltext&amp;D=med3&amp;AN=1770388</t>
  </si>
  <si>
    <t>MEDLINE; Ovid Technologies; Prevalence of illicit drug use among prenatal patients and predictive validity of nurses' judgments</t>
  </si>
  <si>
    <t>Wilhelm,K. A.;Reid,A. M.</t>
  </si>
  <si>
    <t>Critical decision points in the management of impaired doctors: the New South Wales Medical Board program</t>
  </si>
  <si>
    <t>Adolescent;Adult;Alcoholism/di Diagnosis];*Alcoholism/th Therapy];Career Choice;Decision Making;Female;Humans;Internship and Residency;Liability, Legal;Licensure, Medical;Male;Mental Disorders/di Diagnosis];*Mental Disorders/th Therapy];Middle Aged;New South Wales;*Occupational Health Services;*Physician Impairment;Program Development;Program Evaluation;Risk Assessment;Risk Management;Substance-Related Disorders/di Diagnosis];*Substance-Related Disorders/th Therapy]</t>
  </si>
  <si>
    <t>The New South Wales Medical Board has developed the Impaired Registrants Program to deal with impaired registrants (doctors and medical students) in a constructive and non-disciplinary manner; the program is now well established. The Program enables the Board to protect the public, while maintaining doctors in practice whenever possible. Disorders that commonly lead to referral of impaired doctors include alcohol and drug misuse, major depression, bipolar disorder, cognitive impairment and, less commonly, psychotic and personality disorders and anorexia nervosa. Pathways in the program are individualised according to the impact of the specific disorder, the registrant's career stage, stage of involvement in the program, insight and motivation. Critical points in the program include entry, easing of conditions, breach of conditions, return to work after suspension, and exit from the program. Decision-making at these points takes into account the nature of the impairment, compliance, professional and personal support available and the registrant's insight and motivation. References: 14]</t>
  </si>
  <si>
    <t>J2: Med J Aust; Wilhelm, Kay A Reid, Alison M; ID: 888</t>
  </si>
  <si>
    <t>Wilhelm, Kay A. Liaison Psychiatry, St Vincent's Hospital, Sydney, NSW 2010, Australia. kwilhelm@stvincents.com.au</t>
  </si>
  <si>
    <t>http://ovidsp.ovid.com/ovidweb.cgi?T=JS&amp;CSC=Y&amp;NEWS=N&amp;PAGE=fulltext&amp;D=med5&amp;AN=15462656</t>
  </si>
  <si>
    <t>MEDLINE; Ovid Technologies; Critical decision points in the management of impaired doctors: the New South Wales Medical Board program</t>
  </si>
  <si>
    <t>Wilk,A. I.;Jensen,N. M.</t>
  </si>
  <si>
    <t>Investigation of a brief teaching encounter using standardized patients: teaching residents alcohol screening and intervention</t>
  </si>
  <si>
    <t>*Alcoholism/th Therapy];Female;Humans;*Internship and Residency;Interviews as Topic;Male;*Substance Abuse Detection;*Teaching/mt Methods]</t>
  </si>
  <si>
    <t>OBJECTIVE: To investigate a brief teaching intervention using standardized patients (SPs) trained to improve residents' detection and advising of problem drinkers. DESIGN: Pretest-posttest design assessing resident behavior and skills. SUBJECTS: Nineteen internal medicine residents in a University Hospital General Internal Medicine Clinic. INTERVENTION: Announced SPs were interviewed by residents and presented to faculty who provided brief instruction on the National Institute on Alcohol Abuse and Alcoholism guidelines for screening and brief counseling of problem drinkers. MEASURE: Unannounced SPs assessed resident behavior and skills. RESULTS: Following the teaching intervention, 2 times more residents screened for alcohol use and nearly 3 times more residents did brief counseling. Residents reported that the intervention was informative and valuable. CONCLUSION: A single, 1-hour teaching intervention lead to a 2- to 3-fold increase in resident detection and advising of problem drinkers. SPs provide effective teaching encounters and a useful measure of resident behavior.</t>
  </si>
  <si>
    <t>J2: J Gen Intern Med; Wilk, Alev Inez Jensen, Norman M; ID: 974</t>
  </si>
  <si>
    <t>Wilk, Alev Inez. Department of Medicine, Section of General Internal Medicine, University of Wisconsin Medical School, Madison, USA. aiw@medicine.wisc.edu</t>
  </si>
  <si>
    <t>http://ovidsp.ovid.com/ovidweb.cgi?T=JS&amp;CSC=Y&amp;NEWS=N&amp;PAGE=fulltext&amp;D=med4&amp;AN=12047732</t>
  </si>
  <si>
    <t>MEDLINE; Ovid Technologies; Investigation of a brief teaching encounter using standardized patients: teaching residents alcohol screening and intervention</t>
  </si>
  <si>
    <t>Willard,W. R.</t>
  </si>
  <si>
    <t>Luncheon address: medical education and the problem of alcoholism</t>
  </si>
  <si>
    <t>*Alcoholism;Attitude of Health Personnel;Community Health Services/sd Supply &amp; Distribution];Comprehensive Health Care;*Curriculum;Delivery of Health Care;*Education, Medical;Education, Medical, Undergraduate;Faculty, Medical;Humans;Organization and Administration;Philosophy, Medical;Research Support as Topic;Schools, Medical;Social Perception;Specialization;Students, Medical;*Teaching;Training Support;United States</t>
  </si>
  <si>
    <t>J2: Ann N Y Acad Sci; Willard, W R; ID: 1602</t>
  </si>
  <si>
    <t>http://ovidsp.ovid.com/ovidweb.cgi?T=JS&amp;CSC=Y&amp;NEWS=N&amp;PAGE=fulltext&amp;D=med1&amp;AN=5282647</t>
  </si>
  <si>
    <t>MEDLINE; Ovid Technologies; Luncheon address: medical education and the problem of alcoholism</t>
  </si>
  <si>
    <t>Willemsen,M. C.;van,der Meer;Schippers,G. M.</t>
  </si>
  <si>
    <t>Smoking cessation quitlines in Europe: matching services to callers' characteristics</t>
  </si>
  <si>
    <t>Adult;Europe;Female;*Hotlines;Humans;Male;Middle Aged;*Referral and Consultation;*Smoking Cessation;Surveys and Questionnaires</t>
  </si>
  <si>
    <t>BACKGROUND: Telephone quitlines offer a wide range of services to callers, including advice and counsel, and information on pharmacotherapy for smoking cessation. But, little is known about what specific quitline services are offered to smokers and whether these services are appropriately matched to characteristics of smokers. This study examines how quitline services are matched to callers' level of addiction, educational level, stage-of-change with quitting, and whether they are referred by a doctor or other health professional. METHODS: Between February 2005 and April 2006, 3,585 callers to seven European quitlines responded to our survey. During the course of and immediately after the call, quitline counsellors collected descriptive data on callers' characteristics and the services they used. We then conducted four logistic regression analyses to examine the relationship between quitline services and the four caller characteristics. RESULTS: Forty three percent of all callers received information on pharmacotherapy--most often nicotine patches and nicotine gum--from the counsellor. As we predicted, these callers were the heavy smokers. There was a direct correlation between the length of the conversations between the counsellor and the educational level of the smoker: the lower the education of the smoker, the shorter the call. However, we found no significant association between any other type of service and the educational level of caller. We also found a correlation between the smoker's stage of quitting and the type of advice a counsellor gives. Smokers in the action stage of quitting were more likely to receive advice (in two quitlines) or counselling (in two quitlines) than those in the preparation stage, who were less likely to be referred (in three quitlines). Very few of the total number of calls (10.7%) were from referrals by health professionals. Referred callers were more likely to receive counselling, but this was found only in four of seven quitlines. CONCLUSION: Most of the services quitlines offer to smokers favour heavy smokers and those at a more advanced stage of cessation, but not based on their educational level. Thus, we recommend that European quitlines extend and tailor their services to include less-educated smokers.</t>
  </si>
  <si>
    <t>J2: BMC Public Health; Willemsen, Marc C van der Meer, Regina M Schippers, Gerard M; ID: 538</t>
  </si>
  <si>
    <t>Willemsen, Marc C. STIVORO, Dutch Expert Centre on Tobacco Control, The Hague, The Netherlands. mc.willemsen@stivoro.nl</t>
  </si>
  <si>
    <t>http://ovidsp.ovid.com/ovidweb.cgi?T=JS&amp;CSC=Y&amp;NEWS=N&amp;PAGE=fulltext&amp;D=med6&amp;AN=21167063</t>
  </si>
  <si>
    <t>https://dx.doi.org/10.1186/1471-2458-10-770</t>
  </si>
  <si>
    <t>MEDLINE; Ovid Technologies; Smoking cessation quitlines in Europe: matching services to callers' characteristics</t>
  </si>
  <si>
    <t>Williams,B.</t>
  </si>
  <si>
    <t>Pain management: who, where and how?</t>
  </si>
  <si>
    <t>Certification;Education, Medical;Facility Regulation and Control;Humans;*Opioid-Related Disorders/pc Prevention &amp; Control];Pain/dt Drug Therapy];Pain Clinics/lj Legislation &amp; Jurisprudence];*Pain Clinics/st Standards];*Pain Management;*Risk Management;Tennessee;United States</t>
  </si>
  <si>
    <t>J2: Tenn Med; Williams, Brenda; ID: 527</t>
  </si>
  <si>
    <t>http://ovidsp.ovid.com/ovidweb.cgi?T=JS&amp;CSC=Y&amp;NEWS=N&amp;PAGE=fulltext&amp;D=med7&amp;AN=21560905</t>
  </si>
  <si>
    <t>MEDLINE; Ovid Technologies; Pain management: who, where and how?</t>
  </si>
  <si>
    <t>Williams,D. F.</t>
  </si>
  <si>
    <t>Drug and alcohol policies are rare at medical schools in UK</t>
  </si>
  <si>
    <t>*Alcohol Drinking;*Health Policy;Humans;Schools, Medical;Students, Medical;*Substance-Related Disorders;United Kingdom</t>
  </si>
  <si>
    <t>J2: Bmj; Williams, D F; ID: 1064</t>
  </si>
  <si>
    <t>http://ovidsp.ovid.com/ovidweb.cgi?T=JS&amp;CSC=Y&amp;NEWS=N&amp;PAGE=fulltext&amp;D=med4&amp;AN=10398649</t>
  </si>
  <si>
    <t>MEDLINE; Ovid Technologies; Drug and alcohol policies are rare at medical schools in UK</t>
  </si>
  <si>
    <t>Williams,K.</t>
  </si>
  <si>
    <t>The alcoholism program at Yale-New Haven Medical Center</t>
  </si>
  <si>
    <t>Alcoholism/co Complications];Alcoholism/rh Rehabilitation];*Alcoholism/th Therapy];Community Health Services;Comprehensive Health Care;Connecticut;Education, Medical;Emergency Service, Hospital;Health Planning;*Hospitals, Teaching;Humans;Referral and Consultation;*Schools, Medical;Voluntary Health Agencies</t>
  </si>
  <si>
    <t>J2: Ann N Y Acad Sci; Williams, K; ID: 1600</t>
  </si>
  <si>
    <t>http://ovidsp.ovid.com/ovidweb.cgi?T=JS&amp;CSC=Y&amp;NEWS=N&amp;PAGE=fulltext&amp;D=med1&amp;AN=5282649</t>
  </si>
  <si>
    <t>MEDLINE; Ovid Technologies; The alcoholism program at Yale-New Haven Medical Center</t>
  </si>
  <si>
    <t>Williams,K. H.</t>
  </si>
  <si>
    <t>IV. Brown University Alcoholism Conference: On graduate education: alcoholism instruction in graduate medical education</t>
  </si>
  <si>
    <t>5, 404-5</t>
  </si>
  <si>
    <t>*Alcoholism;*Curriculum;*Education, Medical, Graduate;Humans;United States</t>
  </si>
  <si>
    <t>J2: R I Med J; Williams, K H; ID: 1542</t>
  </si>
  <si>
    <t>http://ovidsp.ovid.com/ovidweb.cgi?T=JS&amp;CSC=Y&amp;NEWS=N&amp;PAGE=fulltext&amp;D=med1&amp;AN=127376</t>
  </si>
  <si>
    <t>MEDLINE; Ovid Technologies; IV. Brown University Alcoholism Conference: On graduate education: alcoholism instruction in graduate medical education</t>
  </si>
  <si>
    <t>Willott,S.</t>
  </si>
  <si>
    <t>Prescribing to substance misusers. Letter response</t>
  </si>
  <si>
    <t>Education, Medical, Continuing/og Organization &amp; Administration];*Family Practice/ed Education];Humans;*Substance-Related Disorders/rh Rehabilitation]</t>
  </si>
  <si>
    <t>J2: Br J Gen Pract; Willott, Stephen Comment on: Br J Gen Pract. 2005 Dec;55(521):967; PMID: 16378574; ID: 815</t>
  </si>
  <si>
    <t>http://ovidsp.ovid.com/ovidweb.cgi?T=JS&amp;CSC=Y&amp;NEWS=N&amp;PAGE=fulltext&amp;D=med5&amp;AN=16611521</t>
  </si>
  <si>
    <t>MEDLINE; Ovid Technologies; Prescribing to substance misusers. Letter response</t>
  </si>
  <si>
    <t>Willy,M. E.;Graham,D. J.;Racoosin,J. A.;Gill,R.;Kropp,G. F.;Young,J.;Yang,J.;Choi,J.;MaCurdy,T. E.;Worrall,C.;Kelman,J. A.</t>
  </si>
  <si>
    <t>Candidate metrics for evaluating the impact of prescriber education on the safe use of extended-release/long-acting (ER/LA) opioid analgesics</t>
  </si>
  <si>
    <t>Adult;Aged;Aged, 80 and over;Chronic Pain/dt Drug Therapy];Chronic Pain/ep Epidemiology];Comorbidity;Delayed-Action Preparations;Dose-Response Relationship, Drug;Drug Monitoring/ut Utilization];*Drug Prescriptions/sn Statistics &amp; Numerical Data];Drug Tolerance;*Education, Medical, Continuing;Female;Humans;Inappropriate Prescribing/pc Prevention &amp; Control];Inappropriate Prescribing/sn Statistics &amp; Numerical Data];Kidney Failure, Chronic/ep Epidemiology];Male;Medicare/sn Statistics &amp; Numerical Data];Middle Aged;*Narcotics/ad Administration &amp; Dosage];Narcotics/an Analysis];Narcotics/tu Therapeutic Use];*Oxycodone/ad Administration &amp; Dosage];Oxycodone/an Analysis];Oxycodone/tu Therapeutic Use];Practice Guidelines as Topic;*Practice Patterns, Physicians'/sn Statistics &amp; Numerical Data];United States;0 (Delayed-Action Preparations);0 (Narcotics);CD35PMG570 (Oxycodone)</t>
  </si>
  <si>
    <t>OBJECTIVE: The objective of this study was to develop metrics to assess opioid prescribing behavior as part of the evaluation of the Extended-Release/Long-Acting (ER/LA) Opioid Analgesic Risk Evaluation and Mitigation Strategies (REMS). DESIGN: Candidate metrics were selected using published guidelines, examined using sensitivity analyses, and applied to cross-sectional rolling cohorts of Medicare patients prescribed with extended-release oxycodone (ERO) between July 2, 2006 and July 1, 2011. Potential metrics included prescribing opioid-tolerant-only ER/LA opioid analgesics to non-opioid-tolerant patients, prescribing early fills to patients, and ordering drug screens. RESULTS: Proposed definitions for opioid tolerance were seven continuous days of opioid usage of at least 30 mg oxycodone equivalents, within the 7 days (primary) or 30 days (secondary) prior to first opioid-tolerant-only ERO prescription. Forty-four percent of opioid-tolerant-only ERO episodes met the primary opioid tolerance definition; 56% met the secondary definition. Fills were deemed "early" if a prescription was filled before 70% (primary) or 50% (secondary) of the prior prescription's days' supply was to be consumed. Five percent (primary) and 2% (secondary) of episodes had more than or equal to two early fills during treatment. At least one drug screen was billed in 14% of episodes. Stratified analyses indicated that older patients were less likely to be opioid tolerant at the time of the first opioid-tolerant-only ERO prescription. CONCLUSIONS: Investigators propose three metrics to monitor changes in prescribing behaviors for opioid analgesics that might be used to evaluate the ER/LA Opioid Analgesics REMS. Low frequencies of patients, particularly those &gt;85 years, were likely to be opioid tolerant prior to receiving prescriptions for opioid-tolerant-only ERO.</t>
  </si>
  <si>
    <t>J2: Pain Med; Willy, Mary E Graham, David J Racoosin, Judith A Gill, Rajdeep Kropp, Garner F Young, Jessica Yang, Jeff Choi, Joyce MaCurdy, Thomas E Worrall, Chris Kelman, Jeffrey A; ID: 244</t>
  </si>
  <si>
    <t>Willy, Mary E. Center for Drug Evaluation and Research, Food and Drug Administration, Silver Spring, Maryland, USA.</t>
  </si>
  <si>
    <t>http://ovidsp.ovid.com/ovidweb.cgi?T=JS&amp;CSC=Y&amp;NEWS=N&amp;PAGE=fulltext&amp;D=med8&amp;AN=24828968</t>
  </si>
  <si>
    <t>https://dx.doi.org/10.1111/pme.12459</t>
  </si>
  <si>
    <t>MEDLINE; Ovid Technologies; Candidate metrics for evaluating the impact of prescriber education on the safe use of extended-release/long-acting (ER/LA) opioid analgesics</t>
  </si>
  <si>
    <t>Wilson,D. M.</t>
  </si>
  <si>
    <t>Identifying patients at risk for alcohol-related problems</t>
  </si>
  <si>
    <t>5, 1498-501</t>
  </si>
  <si>
    <t>Adult;*Alcohol Drinking/ae Adverse Effects];*Alcoholism/co Complications];Alcoholism/di Diagnosis];Alcoholism/pc Prevention &amp; Control];Attitude of Health Personnel;Curriculum;Education, Medical, Continuing;Family Practice/ed Education];Female;Health Promotion;Humans;Male;Mass Screening;Risk Factors;Surveys and Questionnaires</t>
  </si>
  <si>
    <t>J2: Can Fam Physician; Wilson, D M Comment on: Can Fam Physician. 1994 Sep;40:1557-66; PMID: 7920049; ID: 1212</t>
  </si>
  <si>
    <t>http://ovidsp.ovid.com/ovidweb.cgi?T=JS&amp;CSC=Y&amp;NEWS=N&amp;PAGE=fulltext&amp;D=med3&amp;AN=7920035</t>
  </si>
  <si>
    <t>MEDLINE; Ovid Technologies; Identifying patients at risk for alcohol-related problems</t>
  </si>
  <si>
    <t>Wilson,G. B.;Lock,C. A.;Heather,N.;Cassidy,P.;Christie,M. M.;Kaner,E. F.</t>
  </si>
  <si>
    <t>Intervention against excessive alcohol consumption in primary health care: a survey of GPs' attitudes and practices in England 10 years on</t>
  </si>
  <si>
    <t>Adult;Aged;*Alcohol Drinking/pc Prevention &amp; Control];Alcohol Drinking/px Psychology];Alcoholism/di Diagnosis];*Alcoholism/pc Prevention &amp; Control];*Attitude of Health Personnel;Education, Medical;England;Family Practice;Female;*General Practitioners;Humans;Job Satisfaction;Male;Middle Aged;Motivation;*Primary Health Care;Public Policy;Self Concept;Surveys and Questionnaires</t>
  </si>
  <si>
    <t>AIMS: To ascertain the views of general practitioners (GPs) regarding the prevention and management of alcohol-related problems in practice, together with perceived barriers and incentives for this work; to compare our findings with a comparable survey conducted 10 years earlier. METHODS: In total, 282 (73%) of 419 GPs surveyed in East Midlands, UK, completed a postal questionnaire, measuring practices and attitudes, including the Shortened Alcohol and Alcohol Problems Perception Questionnaire (SAAPPQ). RESULTS: GPs reported lower levels of post-graduate education or training on alcohol-related issues (&lt;4 h for the majority) than in 1999 but not significantly so (P = 0.031). In the last year, GPs had most commonly requested more than 12 blood tests and managed 1-6 patients for alcohol. Reports of these preventive practices were significantly increased from 1999 (P &lt; 0.001). Most felt that problem or dependent drinkers' alcohol issues could be legitimately (88%, 87%) and adequately (78%, 69%) addressed by GPs. However, they had low levels of motivation (42%, 35%), task-related self-esteem (53%, 49%) and job satisfaction (15%, 12%) for this. Busyness (63%) and lack of training (57%) or contractual incentives (48%) were key barriers. Endorsement for government policies on alcohol was very low. CONCLUSION: Among GPs, there still appears to be a gap between actual practice and potential for preventive work relating to alcohol problems; they report little specific training and a lack of support. Translational work on understanding the evidence-base supporting screening and brief intervention could incentivize intervention against excessive drinking and embedding it into everyday primary care practice.</t>
  </si>
  <si>
    <t>J2: Alcohol Alcohol; Wilson, Graeme B Lock, Catherine A Heather, Nick Cassidy, Paul Christie, Marilyn M Kaner, Eileen F S; ID: 475</t>
  </si>
  <si>
    <t>Wilson, Graeme B. Institute of Health and Society, Newcastle University, Baddiley Clark Building, Richardson Road, Newcastle Upon Tyne NE2 4AX, UK. g.b.wilson@ncl.ac.uk</t>
  </si>
  <si>
    <t>http://ovidsp.ovid.com/ovidweb.cgi?T=JS&amp;CSC=Y&amp;NEWS=N&amp;PAGE=fulltext&amp;D=med7&amp;AN=21690169</t>
  </si>
  <si>
    <t>https://dx.doi.org/10.1093/alcalc/agr067</t>
  </si>
  <si>
    <t>MEDLINE; Ovid Technologies; Intervention against excessive alcohol consumption in primary health care: a survey of GPs' attitudes and practices in England 10 years on</t>
  </si>
  <si>
    <t>Wilson,J. E.;Kiselanova,N.;Stevens,Q.;Lutz,R.;Mandler,T.;Tran,Z. V.;Wischmeyer,P. E.</t>
  </si>
  <si>
    <t>A survey of inhalational anaesthetic abuse in anaesthesia training programmes</t>
  </si>
  <si>
    <t>Anaesthesia</t>
  </si>
  <si>
    <t>*Anesthesiology/ed Education];*Anesthetics, Inhalation;*Education, Medical, Graduate;Health Surveys;Humans;Physician Impairment/sn Statistics &amp; Numerical Data];*Professional Misconduct/sn Statistics &amp; Numerical Data];*Substance-Related Disorders/ep Epidemiology];Substance-Related Disorders/rh Rehabilitation];United States/ep Epidemiology];0 (Anesthetics, Inhalation)</t>
  </si>
  <si>
    <t>This study aims to assess the prevalence and outcomes of inhalational anaesthetic abuse among anaesthesia training programmes. Online surveys were completed by chairpersons of academic anaesthesia training programmes in the United States. The response rate was 84% (106/126 programmes). Twenty-two percent of the departments had had at least one incident of inhalational anaesthetic abuse. Forty-eight percent (15/31) of the persons abusing inhalational anaesthetics were sent for rehabilitation. Only 22% (7/31) of those found to be abusing inhalational anaesthetics were ultimately able to return successfully to anaesthesia practice with sustained recovery. The mortality rate among individuals found abusing inhalational anaesthetics was 26% (8/31). The majority of the anaesthesia departments (97/104, 93%) did not have any pharmacy accounting of inhalational anaesthetics. This is the first published survey of inhalational anaesthesia abuse. Inhalational anaesthetic abuse should be considered in at-risk individuals or those with a history of substance abuse. The concern about substance abuse is not unique to American anaesthetists. Countries around the world deal with similar substance abuse issues.</t>
  </si>
  <si>
    <t>J2: Anaesthesia; Wilson, J E Kiselanova, N Stevens, Q Lutz, R Mandler, T Tran, Z V Wischmeyer, P E; ID: 692</t>
  </si>
  <si>
    <t>1365-2044</t>
  </si>
  <si>
    <t>Wilson, J E. Department of Anaesthesia, University of Colorado Health Sciences Center, Denver, Colorado, USA.</t>
  </si>
  <si>
    <t>http://ovidsp.ovid.com/ovidweb.cgi?T=JS&amp;CSC=Y&amp;NEWS=N&amp;PAGE=fulltext&amp;D=med6&amp;AN=18477273</t>
  </si>
  <si>
    <t>https://dx.doi.org/10.1111/j.1365-2044.2008.05444.x</t>
  </si>
  <si>
    <t>MEDLINE; Ovid Technologies; A survey of inhalational anaesthetic abuse in anaesthesia training programmes</t>
  </si>
  <si>
    <t>Wilson,L.;Kahan,M.;Liu,E.;Brewster,J. M.;Sobell,M. B.;Sobell,L. C.</t>
  </si>
  <si>
    <t>Physician behavior towards male and female problem drinkers: a controlled study using simulated patients</t>
  </si>
  <si>
    <t>Adult;Alcoholism/di Diagnosis];*Alcoholism/px Psychology];Alcoholism/rh Rehabilitation];*Attitude of Health Personnel;Family Practice/ed Education];Female;*Gender Identity;Humans;Internship and Residency;Male;*Patient Simulation;Personality Assessment;*Physician-Patient Relations</t>
  </si>
  <si>
    <t>BACKGROUND: Evidence suggests that physicians are less likely to identify alcohol problems in females than in males. PURPOSE: To compare the performance of family medicine residents with male and female simulated patients (SPs) posing as problem drinkers. METHODS: Fifty-six family medicine residents completed a baseline survey on knowledge and attitudes towards problem drinkers. Each resident was then visited by one male and female unannounced SP. The male and female roles were similar with respect to presenting complaint (in somnia or hypertension), age, social class, and drinking history. RESULTS: Residents expressed slightly more positive attitudes towards female than male patients (3.32 vs. 3.09, p &lt; .001). Residents scored higher with undetected male than with undetected female SPs on the assessment checklist (5.1 vs. 3.2, p &lt; .045), the management checklist (4.4 vs. 3.2, p = .032), and an interpersonal rating scale (the Alcohol Skills Rating Form; 5.5 vs. 4.7, p = .023). CONCLUSION: Educational programs should focus on improving physicians' clinical skills in the identification and treatment of alcohol problems in women.</t>
  </si>
  <si>
    <t>J2: J Addict Dis; Wilson, Lynn Kahan, Meldon Liu, Eleanor Brewster, Joan M Sobell, Mark B Sobell, Linda C; ID: 955</t>
  </si>
  <si>
    <t>Wilson, Lynn. Department of Family &amp; Community Medicine, University of Toronto, Ontario, Canada. wilsol@stjoe.on.ca</t>
  </si>
  <si>
    <t>http://ovidsp.ovid.com/ovidweb.cgi?T=JS&amp;CSC=Y&amp;NEWS=N&amp;PAGE=fulltext&amp;D=med4&amp;AN=12095002</t>
  </si>
  <si>
    <t>MEDLINE; Ovid Technologies; Physician behavior towards male and female problem drinkers: a controlled study using simulated patients</t>
  </si>
  <si>
    <t>Winberg,J.;Nordstrom,A.</t>
  </si>
  <si>
    <t>Primary health care has a great interest to learn more about substance abuse. Use it! The county of Vasterbotten has done so]</t>
  </si>
  <si>
    <t>Alcohol-Related Disorders/di Diagnosis];*Alcohol-Related Disorders/pc Prevention &amp; Control];Alcoholism/di Diagnosis];Alcoholism/pc Prevention &amp; Control];Clinical Competence;*Community Health Centers/ma Manpower];*Education, Medical, Continuing;*Education, Nursing, Continuing;Humans;Nurse-Patient Relations;Physician-Patient Relations;*Primary Health Care/ma Manpower];Surveys and Questionnaires;Sweden</t>
  </si>
  <si>
    <t>J2: Lakartidningen; Swedish Winberg, Jack Nordstrom, Annika; OP: I primarvarden finns ett stort intresse for beroendelara; ID: 952</t>
  </si>
  <si>
    <t>Winberg, Jack. jack.winberg@vll.se</t>
  </si>
  <si>
    <t>http://ovidsp.ovid.com/ovidweb.cgi?T=JS&amp;CSC=Y&amp;NEWS=N&amp;PAGE=fulltext&amp;D=med4&amp;AN=12448310</t>
  </si>
  <si>
    <t>MEDLINE; Ovid Technologies; [Primary health care has a great interest to learn more about substance abuse. Use it! The county of Vasterbotten has done so]</t>
  </si>
  <si>
    <t>Winograd,R. P.;Davis,C. S.;Niculete,M.;Oliva,E.;Martielli,R. P.</t>
  </si>
  <si>
    <t>Medical providers' knowledge and concerns about opioid overdose education and take-home naloxone rescue kits within Veterans Affairs health care medical treatment settings</t>
  </si>
  <si>
    <t>Ambulatory Care Facilities;*Analgesics, Opioid/to Toxicity];*Drug Overdose/pc Prevention &amp; Control];Education, Medical, Continuing;*Health Knowledge, Attitudes, Practice;Humans;*Naloxone/tu Therapeutic Use];Narcotic Antagonists/tu Therapeutic Use];*Physicians/px Psychology];United States;United States Department of Veterans Affairs;0 (Analgesics, Opioid);0 (Narcotic Antagonists);36B82AMQ7N (Naloxone)</t>
  </si>
  <si>
    <t>BACKGROUND: Overdose from opioids is a serious public health and clinical concern. Veterans are at increased risk for opioid overdose compared with the civilian population, suggesting the need for enhanced efforts to address overdose prevention in Department of Veterans Affairs (VA) health care settings, such as primary care clinics. METHODS: Prescribing providers (N = 45) completed surveys on baseline knowledge and concerns about the VA Overdose Education and Naloxone Distribution (OEND) initiative prior to attending an OEND educational training. RESULTS: Survey items were grouped into 4 OEND-related categories, reflecting (1) lack of knowledge/familiarity/comfort; (2) concerns about iatrogenic effects; (3) concerns about impressions of unsafe opioid prescribing; and (4) concerns about risks of naloxone prescribing. Although certain OEND-related categories were associated with each other, concerns related to iatrogenic effects of OEND (e.g., patients will use more opioids and/or be less likely to see treatment) and lack of knowledge/familiarity/comfort with OEND were endorsed more than concerns related to giving impressions of unsafe opioid prescribing. The majority of providers endorsed the belief that those prescribing opioids to patients should be responsible for providing overdose education to those patients. System-wide naloxone prescription rates and sources increased over 320% following initiation of OEND expansion efforts, although these increases cannot be viewed as a direct result of the in-service trainings. CONCLUSIONS: Findings demonstrate that some providers believe they lack knowledge of opioid overdose prevention techniques and hold concerns about OEND implementation. More training of medical providers outside substance use treatment settings is needed, with particular attention to concerns about harmful consequences resulting from the receipt of naloxone.</t>
  </si>
  <si>
    <t>J2: Subst Abus; Winograd, Rachel P Davis, Corey S Niculete, Maria Oliva, Elizabeth Martielli, Richard P; ID: 11</t>
  </si>
  <si>
    <t>Winograd, Rachel P. a VA St. Louis Health Care System , St. Louis , Missouri , USA. Winograd, Rachel P. b Missouri Institute of Mental Health, University of Missouri , St. Louis , Missouri , USA. Davis, Corey S. c Network for Public Health Law , Los Angeles , California , USA. Niculete, Maria. e VA Connecticut Healthcare System , West Haven , Connecticut , USA. Niculete, Maria. f Department of Psychiatry , Yale School of Medicine , New Haven , Connecticut , USA. Oliva, Elizabeth. d VA Palo Alto Health Care System , Menlo Park , California , USA. Martielli, Richard P. a VA St. Louis Health Care System , St. Louis , Missouri , USA.</t>
  </si>
  <si>
    <t>http://ovidsp.ovid.com/ovidweb.cgi?T=JS&amp;CSC=Y&amp;NEWS=N&amp;PAGE=fulltext&amp;D=medl&amp;AN=28486076</t>
  </si>
  <si>
    <t>https://dx.doi.org/10.1080/08897077.2017.1303424</t>
  </si>
  <si>
    <t>MEDLINE; Ovid Technologies; Medical providers' knowledge and concerns about opioid overdose education and take-home naloxone rescue kits within Veterans Affairs health care medical treatment settings</t>
  </si>
  <si>
    <t>Wischmeyer,P. E.;Johnson,B. R.;Wilson,J. E.;Dingmann,C.;Bachman,H. M.;Roller,E.;Tran,Z. V.;Henthorn,T. K.</t>
  </si>
  <si>
    <t>A survey of propofol abuse in academic anesthesia programs</t>
  </si>
  <si>
    <t>71, table of contents</t>
  </si>
  <si>
    <t>*Academic Medical Centers;Anesthesiology/ed Education];*Anesthesiology/sn Statistics &amp; Numerical Data];Data Collection;*Internship and Residency;*Physician Impairment/sn Statistics &amp; Numerical Data];*Professional Misconduct/sn Statistics &amp; Numerical Data];*Propofol;*Substance-Related Disorders/ep Epidemiology];YI7VU623SF (Propofol)</t>
  </si>
  <si>
    <t>BACKGROUND: Although propofol has not traditionally been considered a drug of abuse, subanesthetic doses may have an abuse potential. We used this survey to assess prevalence and outcome of propofol abuse in academic anesthesiology programs. METHODS: E-mail surveys were sent to the 126 academic anesthesiology training programs in the United States. RESULTS: The survey response rate was 100%. One or more incidents of propofol abuse or diversion in the past 10 yr were reported by 18% of departments. The observed incidence of propofol abuse was 10 per 10,000 anesthesia providers per decade, a fivefold increase from previous surveys of propofol abuse (P = 0.005). Of the 25 reported individuals abusing propofol, 7 died as a result of the propofol abuse (28%), 6 of whom were residents. There was no established system to control or monitor propofol as is done with opioids at 71% of programs. There was an association between lack of control of propofol (e.g., pharmacy accounting) at the time of abuse and incidence of abuse at the program (P = 0.048). CONCLUSIONS: Propofol abuse in academic anesthesiology likely has increased over the last 10 yr. Much of the mortality is in residents. Most programs have no pharmacy accounting or control of propofol stocks. This may be of concern, given that all programs reporting deaths from propofol abuse were centers in which there was no pharmacy accounting for the drug.</t>
  </si>
  <si>
    <t>J2: Anesth Analg; Wischmeyer, Paul E Johnson, Bradley R Wilson, Joel E Dingmann, Colleen Bachman, Heidi M Roller, Evan Tran, Zung Vu Henthorn, Thomas K Comment in: Anesth Analg. 2007 Oct;105(4):897-8; PMID: 17898362; ID: 728</t>
  </si>
  <si>
    <t>Wischmeyer, Paul E. Department of Anesthesiology, University of Colorado, Denver, Colorado, USA. Paul.Wischmeyer@UCHSC.edu</t>
  </si>
  <si>
    <t>http://ovidsp.ovid.com/ovidweb.cgi?T=JS&amp;CSC=Y&amp;NEWS=N&amp;PAGE=fulltext&amp;D=med5&amp;AN=17898389</t>
  </si>
  <si>
    <t>MEDLINE; Ovid Technologies; A survey of propofol abuse in academic anesthesia programs</t>
  </si>
  <si>
    <t>Wisdom,J. P.;Manuel,J. I.;Drake,R. E.</t>
  </si>
  <si>
    <t>NIHMS432160; Substance use disorder among people with first-episode psychosis: a systematic review of course and treatment</t>
  </si>
  <si>
    <t>Humans;*Psychotic Disorders;Substance-Related Disorders/pp Physiopathology];Substance-Related Disorders/px Psychology];*Substance-Related Disorders/th Therapy]</t>
  </si>
  <si>
    <t>OBJECTIVE: People experiencing a first episode of psychosis frequently have co-occurring substance use disorders, usually involving alcohol and cannabis, which put them at risk for prolonged psychosis, psychotic relapse, and other adverse outcomes. Yet few studies of first-episode psychosis have addressed the course of substance use disorders and the response to specialized substance abuse treatments. METHODS: The authors searched MEDLINE, PsycINFO, and other medical databases for English-language articles published between 1990 and 2009. Included studies addressed two research questions. First, do some clients become abstinent after a first episode of psychosis without specialized substance abuse treatments? Second, for clients who continue to use substances after a first episode of psychosis, does the addition of specialized substance abuse treatment enhance outcomes? RESULTS: Nine studies without specialized substance abuse treatment and five with specialized substance abuse treatment assessed the course of substance use (primarily cannabis and alcohol) after a first episode of psychosis. Many clients (approximately half) became abstinent or significantly reduced their alcohol and drug use after a first episode of psychosis. The few available studies of specialized substance abuse treatments did not find better rates of abstinence or reduction. CONCLUSIONS: Experience, education, treatment, or other factors led many clients to curtail their substance use disorders after a first episode of psychosis. Specialized interventions for others need to be developed and tested.</t>
  </si>
  <si>
    <t>J2: Psychiatr Serv; Wisdom, Jennifer P Manuel, Jennifer I Drake, Robert E; ID: 484</t>
  </si>
  <si>
    <t>Wisdom, Jennifer P. Division of Mental Health Services and Policy Research, New York State Psychiatric Institute, 1051 Riverside Drive, Box 100, New York, NY 10032, USA. jwisdom@nyspi.columbia.edu</t>
  </si>
  <si>
    <t>http://ovidsp.ovid.com/ovidweb.cgi?T=JS&amp;CSC=Y&amp;NEWS=N&amp;PAGE=fulltext&amp;D=med7&amp;AN=21885577</t>
  </si>
  <si>
    <t>https://dx.doi.org/10.1176/appi.ps.62.9.1007</t>
  </si>
  <si>
    <t>MEDLINE; Ovid Technologies; Substance use disorder among people with first-episode psychosis: a systematic review of course and treatment</t>
  </si>
  <si>
    <t>Wojtal,M.;Kurpas,D.;Bielska,D.;Steciwko,A.</t>
  </si>
  <si>
    <t>The nursing students of Public Higher Medical Professional School in Opole spreading non-smoking lifestyle]</t>
  </si>
  <si>
    <t>Adult;Female;*Health Promotion/mt Methods];Health Promotion/og Organization &amp; Administration];Humans;Male;Poland;Population Surveillance;*Risk Reduction Behavior;*Smoking Prevention;*Students, Nursing/sn Statistics &amp; Numerical Data];Young Adult</t>
  </si>
  <si>
    <t>The promotion of health is a science and art of helping people to change their environment and lifestyle to a health friendly one, in order to strengthen and build up their wellbeing. Smoking cigarettes is a most disadvantageous element of a lifestyle. Important elements of promotion of non-smoking lifestyle, by our students, as future Health Service members, are: promoting of smoke-free environment, encouraging of non-smoking fashion, education of health consequences of smoking cigarettes, motivation to quit smoking, advisement in the field of smoking addiction treatment. Public health and health promotion, these are classes where smoking cigarettes' problem has been discussed mostly. Over 90% of students' respondents claim that were able to give a nonsmoking advice to any patient. Because of the awareness of health threats caused by smoking cigarettes and because of the role of education in prevention and addiction fighting, over 82.4% of students were convinced that every doctor should ask every patient, about his/her attitude towards smoking cigarettes.</t>
  </si>
  <si>
    <t>J2: Przegl Lek; Polish Wojtal, Mariola Kurpas, Donata Bielska, Dorota Steciwko, Andrzej; OP: Studenci pielegniarstwa Panstwowej Medycznej Wyzszej Szkoly Zawodowej w Opolu wobec promowania niepalenia; ID: 648</t>
  </si>
  <si>
    <t>Wojtal, Mariola. Zaklad Pielegniarstwa Ogolnego, Panstwowa Medyczna Wyzsza Szkola Zawodowa w Opolu. mariola30@onet.eu</t>
  </si>
  <si>
    <t>http://ovidsp.ovid.com/ovidweb.cgi?T=JS&amp;CSC=Y&amp;NEWS=N&amp;PAGE=fulltext&amp;D=med6&amp;AN=19189555</t>
  </si>
  <si>
    <t>MEDLINE; Ovid Technologies; [The nursing students of Public Higher Medical Professional School in Opole spreading non-smoking lifestyle]</t>
  </si>
  <si>
    <t>Wojtyniak,B.;Gorynski,P.</t>
  </si>
  <si>
    <t>Prevalence and dynamics of the overweight in the sample of the adult inhabitants of Cracow. Part II. Overweight by education, history of residence and smoking habits (author's transl)]</t>
  </si>
  <si>
    <t>Adult;Education;Female;Humans;Male;*Obesity/ep Epidemiology];Poland;Smoking;Social Class</t>
  </si>
  <si>
    <t>J2: Przegl Lek; Polish Wojtyniak, B Gorynski, P; OP: Czestosc wystepowania i dynamika nadwagi w grupie doroslych mieszkancow Krakowa. Czesc II; ID: 1522</t>
  </si>
  <si>
    <t>http://ovidsp.ovid.com/ovidweb.cgi?T=JS&amp;CSC=Y&amp;NEWS=N&amp;PAGE=fulltext&amp;D=med1&amp;AN=715251</t>
  </si>
  <si>
    <t>MEDLINE; Ovid Technologies; [Prevalence and dynamics of the overweight in the sample of the adult inhabitants of Cracow. Part II. Overweight by education, history of residence and smoking habits (author's transl)]</t>
  </si>
  <si>
    <t>Wolfson,E. A.</t>
  </si>
  <si>
    <t>Drug abuse: The doctor's role</t>
  </si>
  <si>
    <t>Journal of the Medical Society of New Jersey</t>
  </si>
  <si>
    <t>J.Med.Soc.N.J.</t>
  </si>
  <si>
    <t>Amphetamine/pd Pharmacology];Barbiturates/pd Pharmacology];Diagnosis, Differential;Education, Medical;Habituation, Psychophysiologic;Hallucinogens/pd Pharmacology];Humans;Lysergic Acid Diethylamide/pd Pharmacology];Mescaline/pd Pharmacology];Narcotics/pd Pharmacology];*Physician-Patient Relations;Substance-Related Disorders/di Diagnosis];*Substance-Related Disorders;0 (Barbiturates);0 (Hallucinogens);0 (Narcotics);8NA5SWF92O (Lysergic Acid Diethylamide);CK833KGX7E (Amphetamine);RHO99102VC (Mescaline)</t>
  </si>
  <si>
    <t>J2: J Med Soc N J; Wolfson, E A; ID: 1611</t>
  </si>
  <si>
    <t>0025-7524</t>
  </si>
  <si>
    <t>http://ovidsp.ovid.com/ovidweb.cgi?T=JS&amp;CSC=Y&amp;NEWS=N&amp;PAGE=fulltext&amp;D=med1&amp;AN=5269964</t>
  </si>
  <si>
    <t>MEDLINE; Ovid Technologies; Drug abuse: The doctor's role</t>
  </si>
  <si>
    <t>Newark, narcotics, and the medical school</t>
  </si>
  <si>
    <t>Humans;New Jersey;*Schools, Medical;*Substance-Related Disorders/rh Rehabilitation]</t>
  </si>
  <si>
    <t>J2: J Med Soc N J; Wolfson, E A; ID: 1610</t>
  </si>
  <si>
    <t>http://ovidsp.ovid.com/ovidweb.cgi?T=JS&amp;CSC=Y&amp;NEWS=N&amp;PAGE=fulltext&amp;D=med1&amp;AN=5270560</t>
  </si>
  <si>
    <t>MEDLINE; Ovid Technologies; Newark, narcotics, and the medical school</t>
  </si>
  <si>
    <t>Wong,F. Y.;Huang,Z. J.;He,N.;Smith,B. D.;Ding,Y.;Fu,C.;Young,D.</t>
  </si>
  <si>
    <t>HIV risks among gay- and non-gay-identified migrant money boys in Shanghai, China</t>
  </si>
  <si>
    <t>Adolescent;Adult;China/ep Epidemiology];*Depressive Disorder/px Psychology];Epidemiologic Methods;HIV Infections/ep Epidemiology];HIV Infections/pc Prevention &amp; Control];*HIV Infections/px Psychology];Health Knowledge, Attitudes, Practice;*Homosexuality, Male/px Psychology];Homosexuality, Male/sn Statistics &amp; Numerical Data];Humans;Male;*Sex Work/sn Statistics &amp; Numerical Data];Socioeconomic Factors;Substance-Related Disorders/ep Epidemiology];Substance-Related Disorders/pc Prevention &amp; Control];*Substance-Related Disorders/px Psychology];Transients and Migrants/px Psychology];*Transients and Migrants/sn Statistics &amp; Numerical Data];Urban Health</t>
  </si>
  <si>
    <t>Men having sex with men (MSM) now account for 7% of all HIV/AIDS cases in China and there is growing awareness that internal rural-to-urban migration might shift the HIV epidemic within China by broadening social and sexual mixing. About 70% of HIV/AIDS infections are among rural residents, of whom 80% are males and 60% aged 16-29. This young, male, rural-to-urban migrant population has been identified as the 'tipping point' for the AIDS epidemic in China. A subgroup of these migrants is the 'money boy' population, i.e. those who engage in same-sex transactional sex for economic survival. However, the literature addressing money boys is very limited. The present study aims to elucidate factors for preventing substance abuse and HIV among two types of money boys 'gay-identified' and 'non-gay-identified' living in the Shanghai metropolitan area. This work is conceptually underpinned by Chng et al.'s (2003) tripartite model, which postulates that risk behaviors (e.g. substance abuse) engaged in by transient or non-native individuals are often shaped and regulated by factors in the home environment, migration experience and current environment. Results reveal gay and non-gay money boys were not significantly different in age, income, marriage status and education. Both groups shared similar patterns of substance use. Both groups had high self-reported depressive symptoms and low HIV knowledge. However, sexual orientation differentially predicted HIV testing, with gay money boys more likely to be tested for HIV. Non-gay money boys showed fewer sexual risks. HIV prevention targeting MSM (including money boys) within rapidly changing China is discussed, as are methodologies and outreach strategies most effective for particular subgroups of MSM.</t>
  </si>
  <si>
    <t>J2: AIDS Care; Wong, F Y Huang, Z J He, N Smith, B D Ding, Y Fu, C Young, D; ID: 680</t>
  </si>
  <si>
    <t>Wong, F Y. Department of International Health, Georgetown University Nursing and Health Studies, 3700 Reservoir Road, Washington, DC 20057, USA. fyw@georgetown.edu</t>
  </si>
  <si>
    <t>http://ovidsp.ovid.com/ovidweb.cgi?T=JS&amp;CSC=Y&amp;NEWS=N&amp;PAGE=fulltext&amp;D=med6&amp;AN=18293125</t>
  </si>
  <si>
    <t>https://dx.doi.org/10.1080/09540120701534707</t>
  </si>
  <si>
    <t>MEDLINE; Ovid Technologies; HIV risks among gay- and non-gay-identified migrant money boys in Shanghai, China</t>
  </si>
  <si>
    <t>Wong,J. G.;Holmboe,E. S.;Jara,G. B.;Martin,J.;Becker,W. C.;Fiellin,D. A.</t>
  </si>
  <si>
    <t>Faculty development in small-group teaching skills associated with a training course on office-based treatment of opioid dependence</t>
  </si>
  <si>
    <t>Adult;Aged;*Ambulatory Care;*Buprenorphine/tu Therapeutic Use];Curriculum;Education, Medical;*Faculty, Medical;Female;Humans;*Inservice Training;Male;Middle Aged;*Narcotics/tu Therapeutic Use];*Opioid-Related Disorders/rh Rehabilitation];Specialization;United States;0 (Narcotics);40D3SCR4GZ (Buprenorphine)</t>
  </si>
  <si>
    <t>The Drug Addiction Treatment Act of 2000 (DATA-2000) allows qualified physicians to treat opioid-dependent patients with schedule III-V medications, such as buprenorphine, in practices separate from licensed, accredited opioid treatment programs. Physicians may attain this qualification by completing 8-hours of training in treating opioid dependence. This paper describes the evaluation of a faculty development workshop designed to enhance teaching skills of small-group facilitators involved with DATA-2000 training sessions. This workshop coached the facilitators on their teaching roles in the DATA-2000 session through experiential practice of patient- case discussions related to treatment of opioid-dependence. Descriptive questionnaires evaluated the value of the workshop. Twenty-six facilitators participated in the workshops. Paired mean score responses for specific teaching skill abilities demonstrated statistically significant improvement in all categories. Evaluation of the DATA-2000 training session small-group facilitators was uniformly positive. This faculty development workshop was successful in improving teaching skills for our small-group faculty facilitators.</t>
  </si>
  <si>
    <t>J2: Subst Abus; Wong, Jeffrey G Holmboe, Eric S Jara, Gail B Martin, Judith Becker, William C Fiellin, David A; ID: 741</t>
  </si>
  <si>
    <t>Wong, Jeffrey G. Yale University School of Medicine, USA. wong@musc.edu.</t>
  </si>
  <si>
    <t>http://ovidsp.ovid.com/ovidweb.cgi?T=JS&amp;CSC=Y&amp;NEWS=N&amp;PAGE=fulltext&amp;D=med5&amp;AN=16172091</t>
  </si>
  <si>
    <t>MEDLINE; Ovid Technologies; Faculty development in small-group teaching skills associated with a training course on office-based treatment of opioid dependence</t>
  </si>
  <si>
    <t>Wood,E.;Kerr,T.;Tyndall,M. W.;Montaner,J. S.</t>
  </si>
  <si>
    <t>A review of barriers and facilitators of HIV treatment among injection drug users</t>
  </si>
  <si>
    <t>AIDS</t>
  </si>
  <si>
    <t>Antiretroviral Therapy, Highly Active/ut Utilization];*HIV Infections/dt Drug Therapy];HIV Infections/tm Transmission];Health Policy;*Health Services Accessibility;Humans;Patient Compliance;*Substance Abuse, Intravenous/co Complications];Treatment Outcome</t>
  </si>
  <si>
    <t>Globally, injection drug use continues to account for a substantial proportion of HIV infections. There have not, however, been any evidence-based reviews of the barriers and facilitators of HIV treatment among injection drug users. For this review, published studies were extracted from nine academic databases, with no language or date specified in the search criteria. Existing evidence demonstrates that, although injection drug users often have worse outcomes from HIV treatment than non-injection drug users, major antiretroviral-associated survival gains still have been observed among this population. Inferior outcomes are explained by a range of barriers to antiretroviral access and adherence, which often stem from the negative influences of illicit drug policies, as well as issues within medical systems, including lack of physician education about substance abuse. Evidence demonstrates that several under-utilized interventions and novel antiretroviral delivery modalities have helped to greatly address these barriers in several settings, and there is sufficient evidence to support immediate scale-up of these programmes. These interventions include coupling antiretroviral therapy with opioid substitution therapies as well as directly administered antiretroviral therapy programmes. Of particular interest for future evaluation is the coupling of HIV treatment programmes within comprehensive services, which also provide low-threshold (harm reduction) HIV prevention programmes. Scale-up of evidence-based HIV treatment and prevention to injection drug users, however, will require increasing political will among both national policy-makers and international public health agencies. References: 118]</t>
  </si>
  <si>
    <t>J2: Aids; Wood, Evan Kerr, Thomas Tyndall, Mark W Montaner, Julio S G; ID: 676</t>
  </si>
  <si>
    <t>1473-5571</t>
  </si>
  <si>
    <t>http://ovidsp.ovid.com/ovidweb.cgi?T=JS&amp;CSC=Y&amp;NEWS=N&amp;PAGE=fulltext&amp;D=med6&amp;AN=18580603</t>
  </si>
  <si>
    <t>https://dx.doi.org/10.1097/QAD.0b013e3282fbd1ed</t>
  </si>
  <si>
    <t>MEDLINE; Ovid Technologies; A review of barriers and facilitators of HIV treatment among injection drug users</t>
  </si>
  <si>
    <t>Wood,E.;Samet,J. H.;Volkow,N. D.</t>
  </si>
  <si>
    <t>Physician education in addiction medicine</t>
  </si>
  <si>
    <t>Cost of Illness;*Education, Medical;Humans;Medicine/td Trends];*Physicians;Quality of Health Care;Substance-Related Disorders/di Diagnosis];*Substance-Related Disorders/th Therapy]</t>
  </si>
  <si>
    <t>J2: Jama; Wood, Evan Samet, Jeffrey H Volkow, Nora D; ID: 340</t>
  </si>
  <si>
    <t>Wood, Evan. Department of Medicine, University of British Columbia, Vancouver, British Columbia, Canada.</t>
  </si>
  <si>
    <t>http://ovidsp.ovid.com/ovidweb.cgi?T=JS&amp;CSC=Y&amp;NEWS=N&amp;PAGE=fulltext&amp;D=medc&amp;AN=24150462</t>
  </si>
  <si>
    <t>https://dx.doi.org/10.1001/jama.2013.280377</t>
  </si>
  <si>
    <t>MEDLINE; Ovid Technologies; Physician education in addiction medicine</t>
  </si>
  <si>
    <t>Woodall,H. E.</t>
  </si>
  <si>
    <t>Alcoholics remaining anonymous: resident diagnosis of alcoholism in a family practice center</t>
  </si>
  <si>
    <t>Adult;*Alcoholism/di Diagnosis];Alcoholism/ep Epidemiology];Family Practice/ed Education];Female;Humans;*Internship and Residency;Male;Sex Factors;Surveys and Questionnaires</t>
  </si>
  <si>
    <t>Family practice residents rarely detect more than one half of the alcoholic patients they see. This study examines detection rates in terms of the patient's presenting complaint, the clinical encounter, and the resident's attitudes. Over four months 218 patients of the family practice center of a large community hospital completed a survey that included the Short Michigan Alcoholism Screening Test (SMAST). Chart audits of each patient's visit assessed each resident's behavior in recording questions about the patient's use of alcohol. After the first four months, each resident completed a survey of his or her experiences and attitudes concerning alcoholism. Using the SMAST scores and chart audits, 25 of the 218 patients were identified as alcoholic. The residents detected only 12 of the 25 alcoholics. Of 51 patients who presented for physical examinations, the residents recorded asking only 28 about their drinking; of 157 patients who presented for more limited visits, the residents recorded asking only six about their drinking. Residents rated the alcoholic patient as less motivated, more dangerous, less hopeful, and much sicker than the average person. First-year residents rated alcoholics much more negatively than did upper-level residents. The SMAST again proved to be much more effective than clinical interviews in detecting alcoholism in patients.</t>
  </si>
  <si>
    <t>J2: J; Woodall, H E; ID: 1414</t>
  </si>
  <si>
    <t>Woodall, H E. Family Practice Residency Program, Charlotte Memorial Hospital and Medical Center, North Carolina.</t>
  </si>
  <si>
    <t>http://ovidsp.ovid.com/ovidweb.cgi?T=JS&amp;CSC=Y&amp;NEWS=N&amp;PAGE=fulltext&amp;D=med3&amp;AN=3346632</t>
  </si>
  <si>
    <t>MEDLINE; Ovid Technologies; Alcoholics remaining anonymous: resident diagnosis of alcoholism in a family practice center</t>
  </si>
  <si>
    <t>Woodward,A. T.</t>
  </si>
  <si>
    <t>A latent class analysis of age differences in choosing service providers to treat mental and substance use disorders</t>
  </si>
  <si>
    <t>Age Factors;Behavioral Medicine;Female;Humans;Male;Mental Disorders/ep Epidemiology];*Mental Disorders/th Therapy];*Office Visits/sn Statistics &amp; Numerical Data];*Patient Preference/sn Statistics &amp; Numerical Data];Primary Health Care;Socioeconomic Factors;Substance-Related Disorders/ep Epidemiology];Substance-Related Disorders/th Therapy]</t>
  </si>
  <si>
    <t>OBJECTIVE This study investigated choice of service provider for treatment of a mental or substance use disorder and its association with consumers' age. METHODS Data were from the Collaborative Psychiatric Epidemiology Surveys. Service users born between 1946 and 1964 were compared with those born in 1945 or earlier (N=4,082). Latent class analysis was used to identify groups of service users according to nine dichotomous items reflecting lifetime visits with different types of professionals. Multinomial logistic regression was used to analyze factors predicting latent class membership, with particular focus on both the direct and moderating effects of age. Analyses controlled for sociodemographic characteristics and disorder-related variables. RESULTS Five classes of service user were identified. Class 1 (10.8%) included individuals who visited six of the nine types of providers (multiple providers visited). Class 2 (21.9%) had low probability of visiting most providers (limited providers visited). Class 3 (24.1%) visited a psychiatrist (primarily psychiatrist). Class 4 (28.1%) visited a family physician or other physician (primarily family physician). Class 5 (15.1%) visited a psychologist (primarily psychologist). A higher proportion of service users born before 1946 were in the primarily family physician class. Although 21% of service users born later also fell into this class, overall they were more evenly distributed across the five classes. CONCLUSIONS Family physicians played a significant role in behavioral health treatment for both age groups. However, findings suggest that younger adults may rely on more complex combinations of service providers that will require greater coordination between the behavioral and general health care systems in the future.</t>
  </si>
  <si>
    <t>J2: Psychiatr Serv; Woodward, Amanda Toler; ID: 303</t>
  </si>
  <si>
    <t>http://ovidsp.ovid.com/ovidweb.cgi?T=JS&amp;CSC=Y&amp;NEWS=N&amp;PAGE=fulltext&amp;D=med7&amp;AN=23904091</t>
  </si>
  <si>
    <t>MEDLINE; Ovid Technologies; A latent class analysis of age differences in choosing service providers to treat mental and substance use disorders</t>
  </si>
  <si>
    <t>Woody,G. E.;McLellan,A. T.;O'Brien,C. P.;Luborsky,L.</t>
  </si>
  <si>
    <t>Addressing psychiatric comorbidity</t>
  </si>
  <si>
    <t>NIDA research monograph</t>
  </si>
  <si>
    <t>NIDA Res.Monogr.</t>
  </si>
  <si>
    <t>Humans;*Mental Disorders/co Complications];Mental Disorders/px Psychology];Mental Disorders/th Therapy];*Substance-Related Disorders/co Complications];Substance-Related Disorders/px Psychology];Substance-Related Disorders/th Therapy]</t>
  </si>
  <si>
    <t>Research studies indicate that addressing psychiatric comorbidity can improve treatment for selected groups of substance-abusing patients. However, the chances for implementing the necessary techniques on a large scale are compromised by the absence of professional input and guidance within programs. This is especially true in public programs, which treat some of the most disadvantaged, disturbed, and socially destructive individuals in the entire mental health system. One starting point for upgrading the level of knowledge and training of staff members who work in this large treatment system could be to develop a better and more authoritative information dissemination network. Such a system exists in medicine; physicians are expected to read appropriate journals and to guide their treatment decisions using the data contained in the journals. Standards of practice and methods for modifying current practice are within the tradition of reading new facts, studying old ones, and comparing treatment outcome under different conditions with what is actually being done. No such general system of information-gathering or -sharing exists, particularly in public treatment programs. One of the most flagrant examples of this "educational shortfall" can be found among those methadone programs that adamantly insist on prescribing no more than 30 to 35 mg/day for all patients, in spite of the overwhelming evidence that these dose levels generally are inadequate. In some cases, program directors are unaware of studies that have shown the relationship between dose and outcome. In other cases, they are aware of the studies but do not modify their practices accordingly. This example of inadequate dosing is offered as an example of one situation that could be improved by adherence to a system of authoritative and systematic information dissemination. Many issues in substance abuse treatment do not lend themselves to information dissemination as readily as that of methadone dosing. However, the existence of a general information/education system about substance abuse treatment, combined with adherence to it among care providers, not only would provide helpful data for treatment staff but also might stimulate their curiosity and initiative. These later qualities, along with additions to existing treatment resources, may in the long run serve as the best guarantee for improvement. and maintenance of quality care. References: 27]</t>
  </si>
  <si>
    <t>J2: NIDA Res Monogr; Woody, G E McLellan, A T O'Brien, C P Luborsky, L; ID: 1309</t>
  </si>
  <si>
    <t>1046-9516</t>
  </si>
  <si>
    <t>Woody, G E. Drug Dependence Treatment and Research Center, University of Pennsylvania, Philadelphia.</t>
  </si>
  <si>
    <t>http://ovidsp.ovid.com/ovidweb.cgi?T=JS&amp;CSC=Y&amp;NEWS=N&amp;PAGE=fulltext&amp;D=med3&amp;AN=1922285</t>
  </si>
  <si>
    <t>MEDLINE; Ovid Technologies; Addressing psychiatric comorbidity</t>
  </si>
  <si>
    <t>Wyatt,S. A.;Dekker,M. A.</t>
  </si>
  <si>
    <t>Improving physician and medical student education in substance use disorders</t>
  </si>
  <si>
    <t>ES27</t>
  </si>
  <si>
    <t>*Clinical Competence/st Standards];Education, Medical, Continuing/st Standards];*Education, Medical, Continuing/td Trends];Education, Medical, Undergraduate/st Standards];*Education, Medical, Undergraduate/td Trends];Humans;*Physicians/st Standards];Physicians/td Trends];*Students, Medical;*Substance-Related Disorders/pc Prevention &amp; Control];United States</t>
  </si>
  <si>
    <t>Medical and psychosocial problems related to substance use disorders (SUDs) remain a major source of national morbidity and mortality. This situation exists despite greater understanding of genetic, neurobiologic, and social underpinnings of the development of these illnesses that has resulted in many advances in addiction medicine. The value of assessment and brief intervention of this disease is well documented. Patients need to be identified and engaged in order for them to be treated. A variety of evidence-based pharmacologic and psychotherapeutic treatments are now available. Strong evidence exists that treatment of patients for SUDs produces results similar to or better than those obtained from treatment for other chronic illnesses. It is also clear that physicians can play a pivotal role in helping to reduce the burden of disease related to SUDs However, to do this, physicians need to be better educated. Through such education comes greater confidence in identification and providing treatment. Also, the discomfort and stigma often associated with this disease are reduced. The federal government-through the Office of National Drug Control Policy, the Surgeon General, the Center for Substance Abuse Treatment, the National Institute on Drug Abuse, the National Institute on Alcohol Abuse and Alcoholism, and the National Highway Traffic Safety Administration of the Department of Transportation (DOT)-is expending concerted efforts to improve physician education in addiction medicine. These efforts culminated in the Second Leadership Conference on Medical Education in Substance Abuse in December 2006. The osteopathic medical profession was represented at this conference. This article reviews not only the recommendations from this meeting, but also the nature of the problem, how members of the osteopathic medical profession are currently addressing it, and a strategy for improvement endorsed by the American Osteopathic Academy of Addiction Medicine. References: 47]</t>
  </si>
  <si>
    <t>J2: J Am Osteopath Assoc; Wyatt, Stephen A Dekker, Michael A Comment in: J Am Osteopath Assoc. 2008 Apr;108(4):214-5; PMID: 18443030; ID: 726</t>
  </si>
  <si>
    <t>Wyatt, Stephen A. Dual Diagnosis Program, Middlesex Hospital, 28 Crescent St, Middletown, CT 06457, USA. wyattsa@sbcglobal.net</t>
  </si>
  <si>
    <t>http://ovidsp.ovid.com/ovidweb.cgi?T=JS&amp;CSC=Y&amp;NEWS=N&amp;PAGE=fulltext&amp;D=med5&amp;AN=17908828</t>
  </si>
  <si>
    <t>MEDLINE; Ovid Technologies; Improving physician and medical student education in substance use disorders</t>
  </si>
  <si>
    <t>Wyatt,S. A.;Vilensky,W.;Manlandro,J. J., J.;Dekker,M. A., 2</t>
  </si>
  <si>
    <t>Medical education in substance abuse: from student to practicing osteopathic physician</t>
  </si>
  <si>
    <t>S18</t>
  </si>
  <si>
    <t>*Education, Medical/mt Methods];Education, Medical, Continuing;Education, Medical, Undergraduate;Humans;*Osteopathic Medicine/ed Education];*Substance-Related Disorders/th Therapy]</t>
  </si>
  <si>
    <t>Substance use disorders (SUDs) have had a major impact on the health of the US population during the past decade. Osteopathic physicians have an important role among those who can make a positive impact on this problem. This article reviews the nature of the problem, how the osteopathic medical profession is currently addressing it, and a current strategy for improvement endorsed by the American Osteopathic Academy of Addiction Medicine. Early in 2004, the Office of National Drug Control Policy-backed by the US Surgeon General, the Center for Substance Abuse Treatment, the National Institute on Drug Abuse, the National Institute on Alcohol Abuse and Alcoholism, and the National Highway Traffic Safety Administration-has requested improvement in physician education on this health problem. This request culminated in the Office of National Drug Control Policy's establishing the Leadership Conference on Medical Education in Substance Abuse in December 2004. The osteopathic medical profession is represented in this critical review and formulation of recommendations for improving education on substance use disorders for the undergraduate, graduate, and practicing physician. References: 31]</t>
  </si>
  <si>
    <t>J2: J Am Osteopath Assoc; Wyatt, Stephen A Vilensky, William Manlandro, James J Jr Dekker, Michael A 2nd Comment in: J Am Osteopath Assoc. 2006 Jul;106(7):425-6; author reply 426; PMID: 16912344; ID: 858</t>
  </si>
  <si>
    <t>Wyatt, Stephen A. American Osteopathic Academey of Addiction Medicine (AOAAM), USA. sawyatt@adelphia.net</t>
  </si>
  <si>
    <t>http://ovidsp.ovid.com/ovidweb.cgi?T=JS&amp;CSC=Y&amp;NEWS=N&amp;PAGE=fulltext&amp;D=med5&amp;AN=16118358</t>
  </si>
  <si>
    <t>MEDLINE; Ovid Technologies; Medical education in substance abuse: from student to practicing osteopathic physician</t>
  </si>
  <si>
    <t>Xavier,L. E.;Bernardes-Souza,B.;Lisboa,O. C.;Seeger,W.;Groneberg,D. A.;Tran,T. A.;Fries,F. N.;Correa,P. C.;Brinker,T. J.</t>
  </si>
  <si>
    <t>A Medical Student-Delivered Smoking Prevention Program, Education Against Tobacco, for Secondary Schools in Brazil: Study Protocol for a Randomized Trial</t>
  </si>
  <si>
    <t>e16</t>
  </si>
  <si>
    <t>BACKGROUND: Smoking is the largest preventable cause of morbidity and mortality in Brazil. Education Against Tobacco (EAT) is a large network of medical students in 13 countries who volunteer for school-based prevention in the classroom setting. A recent quasi-experimental EAT study conducted in Germany showed significant short-term smoking cessation effects on 11- to 15-year-old adolescents. OBJECTIVE: The aim of this study is both to describe and to provide the first randomized long-term evaluation of the EAT intervention involving a photoaging app for its effectiveness to reduce the smoking prevalence among 12- to 17-year-old pupils in Brazilian public schools. METHODS: A randomized controlled trial will be conducted among approximately 1500 adolescents aged 12 to 17 years in grades 7-11 of public secondary schools in Brazil. The prospective experimental study design includes measurements at baseline and at 6 and 12 months postintervention. The study groups will consist of randomized classes receiving the standardized EAT intervention (90 minutes of mentoring in a classroom setting) and control classes within the same schools (no intervention). The questionnaire measures smoking status, gender, social, and cultural aspects as well as predictors of smoking. Biochemical validation of smoking status is conducted via random carbon monoxide measurements. The primary end point is the difference of the change in smoking prevalence in the intervention group versus the difference in the control group at 12 months of follow-up. The differences in smoking behavior (smoking onset, quitting) between the 2 groups as well as effects on the different genders will be studied as secondary outcomes. RESULTS: The recruitment of schools, participating adolescents, and medical students was conducted from August 2016 until January 2017. The planned period of data collection is February 2017 until June 2018. Data analysis will follow in July 2018 and data presentation/publication will follow shortly thereafter. CONCLUSIONS: This is the first evaluative study of a medical student-delivered tobacco prevention program in Brazil and the first randomized trial on the long-term effectiveness of a school-based medical student-delivered tobacco prevention program in general. CLINICALTRIAL: ClinicalTrials.gov NCT02725021; https://clinicaltrials.gov/ct2/show/NCT02725021 (archived by WebCite at http://www.webcitation.org/6njy3nNml).</t>
  </si>
  <si>
    <t>J2: JMIR Res Protoc; Xavier, Luiz Eduardo De Freitas Bernardes-Souza, Breno Lisboa, Oscar Campos Seeger, Werner Groneberg, David Alexander Tran, Thien-An Fries, Fabian Norbert Correa, Paulo Cesar Rodrigues Pinto Brinker, Titus Josef; ID: 1639</t>
  </si>
  <si>
    <t>Xavier, Luiz Eduardo De Freitas. School of Medicine, Federal University of Ouro Preto, Ouro Preto, Brazil. Bernardes-Souza, Breno. School of Medicine, Federal University of Ouro Preto, Ouro Preto, Brazil. Lisboa, Oscar Campos. School of Medicine, Federal University of Ouro Preto, Ouro Preto, Brazil. Seeger, Werner. Universities of Giessen and Marburg Lung Center, Member of the German Center for Lung Research, Department of Internal Medicine, University of Giessen, Giessen, Germany. Groneberg, David Alexander. Institute of Occupational Medicine, Social Medicine and Environmental Medicine, Goethe University, Frankfurt am Main, Germany. Tran, Thien-An. Pulmonary and Respiratory Critical Care Medicine, Thoraxklinik and Translational Lung Research Center Heidelberg, Member of the German Center for Lung Research, University of Heidelberg, Heidelberg, Germany. Fries, Fabian Norbert. Saarland University Medical Center and Saarland University Faculty of Medicine, Saarland University, Homburg, Germany. Correa, Paulo Cesar Rodrigues Pinto. School of Medicine, Federal University of Ouro Preto, Ouro Preto, Brazil. Brinker, Titus Josef. Universities of Giessen and Marburg Lung Center, Member of the German Center for Lung Research, Department of Internal Medicine, University of Giessen, Giessen, Germany.</t>
  </si>
  <si>
    <t>http://ovidsp.ovid.com/ovidweb.cgi?T=JS&amp;CSC=Y&amp;NEWS=N&amp;PAGE=fulltext&amp;D=prem&amp;AN=28137703</t>
  </si>
  <si>
    <t>https://dx.doi.org/10.2196/resprot.7134</t>
  </si>
  <si>
    <t>MEDLINE; Ovid Technologies; A Medical Student-Delivered Smoking Prevention Program, Education Against Tobacco, for Secondary Schools in Brazil: Study Protocol for a Randomized Trial</t>
  </si>
  <si>
    <t>Yamini,T. R.;Nichter,M.;Nichter,M.;Sairu,P.;Aswathy,S.;Leelamoni,K.;Unnikrishnan,B.;P,P. M.;Thapar,R.;Basha,S. R.;Jayasree,A. K.;Mayamol,T. R.;Muramoto,M.;Mini,G. K.;Thankappan,K. R.</t>
  </si>
  <si>
    <t>Developing a fully integrated tobacco curriculum in medical colleges in India</t>
  </si>
  <si>
    <t>*Curriculum;*Developing Countries;*Education, Medical, Undergraduate;Health Priorities;Humans;India;Models, Educational;Pilot Projects;Smoking Cessation;*Tobacco Use Cessation</t>
  </si>
  <si>
    <t>BACKGROUND: This paper describes a pioneering effort to introduce tobacco cessation into India's undergraduate medical college curriculum. This is the first ever attempt to fully integrate tobacco control across all years of medical college in any low and middle income country. The development, pretesting, and piloting of an innovative modular tobacco curriculum are discussed as well as challenges that face implementation and steps taken to address them and to advocate for adoption by the Medical Council of India. METHODS: In-depth interviews were conducted with administrators and faculty in five medical colleges to determine interest in and willingness to fully integrate smoking cessation into the college curriculum. Current curriculum was reviewed for present exposure to information about tobacco and cessation skill training. A modular tobacco curriculum was developed, pretested, modified, piloted, and evaluated by faculty and students. Qualitative research was conducted to identify challenges to future curriculum implementation. RESULTS: Fifteen modules were successfully developed focusing on the public health importance of tobacco control, the relationship between tobacco and specific organ systems, diseases related to smoking and chewing tobacco, and the impact of tobacco on medication effectiveness. Culturally sensitive illness specific cessation training videos were developed. Faculty and students positively evaluated the curriculum as increasing their competency to support cessation during illness as a teachable moment. Students conducted illness centered cessation interviews with patients as a mandated part of their coursework. Systemic challenges to implementing the curriculum were identified and addressed. CONCLUSIONS: A fully integrated tobacco curriculum for medical colleges was piloted in 5 colleges and is now freely available online. The curriculum has been adopted by the state of Kerala as a first step to gaining Medical Council of India review and possible recognition.</t>
  </si>
  <si>
    <t>J2: BMC Med Educ; Yamini, T R Nichter, Mark Nichter, Mimi Sairu, P Aswathy, S Leelamoni, K Unnikrishnan, B P, Prasanna Mithra Thapar, Rekha Basha, S R Jayasree, A K Mayamol, T R Muramoto, Myra Mini, G K Thankappan, K R; ID: 179</t>
  </si>
  <si>
    <t>Yamini, T R. Achutha Menon Centre for Health Science Studies, Sree Chitra Tirunal Institute for Medical Science and Technology, Thiruvananthapuram, Kerala, India. yaminiganesh@gmail.com. Nichter, Mark. University of Arizona, School of Anthropology, 85721, Tucson, AZ, USA. nichtermark@gmail.com. Nichter, Mark. Department of Family and Community Medicine, University of Arizona, Tucson, AZ, USA. nichtermark@gmail.com. Nichter, Mimi. University of Arizona, School of Anthropology, 85721, Tucson, AZ, USA. mimi.nichter@gmail.com. Sairu, P. Department of Community Medicine, T.D. Medical College, Alappuzha, Kerala, India. sairuphilip09@gmail.com. Aswathy, S. Department of Community Medicine, Amrita Institute of Medical Sciences, Kochi, Kerala, India. draswathygopan@gmail.com. Leelamoni, K. Department of Community Medicine, Amrita Institute of Medical Sciences, Kochi, Kerala, India. kleelamoni@aims.amrita.edu. Unnikrishnan, B. Department of Community Medicine, Kasturba Medical College, Manipal University, Mangalore, Karnataka, India. unnikrishnan.b@manipal.edu. P, Prasanna Mithra. Department of Community Medicine, Kasturba Medical College, Manipal University, Mangalore, Karnataka, India. ppmithra@gmail.com. Thapar, Rekha. Department of Community Medicine, Kasturba Medical College, Manipal University, Mangalore, Karnataka, India. rekha.apar@manipal.edu. Basha, S R. Department of Community Medicine, Bangalore Medical College and Research Institute, Bangalore, Karnataka, India. drriyaz@gmail.com. Jayasree, A K. Department of Community Medicine, Academy of Medical Sciences, Pariyaram, Kannur, Kerala, India. akjayasree@gmail.com. Mayamol, T R. Department of Community Medicine, Academy of Medical Sciences, Pariyaram, Kannur, Kerala, India. pradeepmayamol@gmail.com. Muramoto, Myra. Department of Family and Community Medicine, University of Arizona, Tucson, AZ, USA. myram@email.arizona.edu. Mini, G K. Achutha Menon Centre for Health Science Studies, Sree Chitra Tirunal Ins(TRUNCATED)</t>
  </si>
  <si>
    <t>http://ovidsp.ovid.com/ovidweb.cgi?T=JS&amp;CSC=Y&amp;NEWS=N&amp;PAGE=fulltext&amp;D=med8&amp;AN=25990861</t>
  </si>
  <si>
    <t>https://dx.doi.org/10.1186/s12909-015-0369-3</t>
  </si>
  <si>
    <t>MEDLINE; Ovid Technologies; Developing a fully integrated tobacco curriculum in medical colleges in India</t>
  </si>
  <si>
    <t>Yanjun,S.;Changli,W.;Ling,W.;Woo,J. C.;Sabrina,K.;Chang,L.;Lei,Z.</t>
  </si>
  <si>
    <t>A survey on physician knowledge and attitudes towards clinical use of morphine for cancer pain treatment in China</t>
  </si>
  <si>
    <t>Supportive Care in Cancer</t>
  </si>
  <si>
    <t>Analgesics, Opioid/ae Adverse Effects];*Analgesics, Opioid/tu Therapeutic Use];China;Data Collection;*Health Knowledge, Attitudes, Practice;Humans;Morphine/ae Adverse Effects];*Morphine/tu Therapeutic Use];Neoplasms/co Complications];Opioid-Related Disorders/pc Prevention &amp; Control];*Pain/dt Drug Therapy];Pain/et Etiology];Practice Guidelines as Topic;Practice Patterns, Physicians'/sn Statistics &amp; Numerical Data];Surveys and Questionnaires;0 (Analgesics, Opioid);76I7G6D29C (Morphine)</t>
  </si>
  <si>
    <t>BACKGROUND: The WHO's three-step guideline for cancer pain management has been introduced in China; however, there remain large differences in the standards of cancer pain management between China and other developed countries. This survey was carried out to determine the degree of physician knowledge on morphine use and the factors that impede morphine use in clinical practice in China. METHODS: A self-reported questionnaire was designed and administered to randomly selected physicians in four tertiary hospitals in the cities of Changchun and Changsha in China. Statistical analyses were conducted using SPSS statistical software. RESULTS: Two hundred and one clinical physicians participated in the survey. Physicians who reported having received training in cancer pain management and drug use demonstrated a significantly higher mean score of basic knowledge compared to physicians who reported not having received training (9.31 +/- 2.88:8.23 +/- 2.70, u = 2.74, p &lt; 0.001). The top three cited impediments to widespread clinical use of morphine for cancer pain were: (1) lack of professional knowledge and training; (2) fear of opioid addiction; and (3) physicians' personal preferences to select other drugs. CONCLUSIONS: Medical staffs lack the basic knowledge and harbor misconceptions about the clinical use of morphine for cancer pain treatment. Creating training opportunities for medical staffs is necessary to increase their awareness and knowledge of effective cancer pain management.</t>
  </si>
  <si>
    <t>J2: Support Care Cancer; Yanjun, Su Changli, Wang Ling, Weng Woo, Jennifer Catherine Ai-Lian Sabrina, Kwauk Chang, Liu Lei, Zhang; ID: 548</t>
  </si>
  <si>
    <t>1433-7339</t>
  </si>
  <si>
    <t>Yanjun, Su. Department of Thoracic Surgery, Tianjin Lung Cancer Center, Tianjin Medical University Cancer Institute and Hospital, Tianjin 300060, People's Republic of China.</t>
  </si>
  <si>
    <t>http://ovidsp.ovid.com/ovidweb.cgi?T=JS&amp;CSC=Y&amp;NEWS=N&amp;PAGE=fulltext&amp;D=med6&amp;AN=19902274</t>
  </si>
  <si>
    <t>https://dx.doi.org/10.1007/s00520-009-0768-2</t>
  </si>
  <si>
    <t>MEDLINE; Ovid Technologies; A survey on physician knowledge and attitudes towards clinical use of morphine for cancer pain treatment in China</t>
  </si>
  <si>
    <t>Yarborough,B. J. H.;Chi,F. W.;Green,C. A.;Hinman,A.;Mertens,J.;Beck,A.;Horberg,M.;Weisner,C.;Campbell,C. I.</t>
  </si>
  <si>
    <t>Patient and System Characteristics Associated with Performance on the HEDIS Measures of Alcohol and Other Drug Treatment Initiation and Engagement</t>
  </si>
  <si>
    <t>OBJECTIVES: Understand patient and system characteristics associated with performance on the Healthcare Effectiveness Data and Information Set (HEDIS) Alcohol and Other Drug (AOD) Initiation and Engagement of Treatment (IET) measures. METHODS: This mixed-methods study linked patient and health system data from four Kaiser Permanente regions to HEDIS performance measure data for 44,320 commercially or Medicare-insured adults with HEDIS-eligible AOD diagnoses in 2012. Characteristics associated with IET were examined using multilevel logistic regression models. Key informant interviews (n = 18) focused on opportunities to improve initiation and engagement. RESULTS: Non-white race/ethnicity, alcohol abuse, or nonopioid drug abuse diagnoses were associated with lower odds of treatment initiation among commercially insured. For both insurance groups, those diagnosed in healthcare departments other than specialty AOD treatment were less likely to initiate or engage in treatment. Being diagnosed in facilities with co-located AOD/primary care clinics, and those with medications for addiction treatment available, was each associated with higher odds of initiation and engagement for both commercially and Medicare-insured. Having behavioral medicine specialists or clinical health educators in primary care increased initiation and engagement odds among commercially insured. Key informants recommended were as follows: patient-centered care; increased treatment choices; cross-departmental patient identification, engagement, and coordination; provider education; and use of informatics/technology. CONCLUSIONS: Tailoring treatment, enhancing treatment motivation among individuals with lower severity diagnoses, offering medication treatment of addiction, clinician education, care coordination, co-located AOD and primary care departments, and behavioral medicine specialists in primary care may improve rates of initiation and engagement in AOD treatment.</t>
  </si>
  <si>
    <t>J2: J Addict Med; Using Smart Source Parsing Mar Yarborough, Bobbi Jo H Chi, Felicia W Green, Carla A Hinman, Agatha Mertens, Jennifer Beck, Arne Horberg, Michael Weisner, Constance Campbell, Cynthia I; ID: 1687</t>
  </si>
  <si>
    <t>Yarborough, Bobbi Jo H. Kaiser Permanente Northwest Center for Health Research, Portland, OR (BJHY, CAG); Kaiser Permanente Northern California Division of Research, Oakland, CA (FWC, AH, CW, CIC); Aurora Public Schools Division of Accountability and Research, Aurora, CO (JM); Kaiser Permanente Colorado Institute for Health Research, Aurora, CO (AB); Kaiser Permanente Mid-Atlantic Permanente Research Institute, Rockville, MD (MH); Department of Psychiatry, University of California, San Francisco, CA (CW).</t>
  </si>
  <si>
    <t>http://ovidsp.ovid.com/ovidweb.cgi?T=JS&amp;CSC=Y&amp;NEWS=N&amp;PAGE=fulltext&amp;D=medp&amp;AN=29557802</t>
  </si>
  <si>
    <t>https://dx.doi.org/10.1097/ADM.0000000000000399</t>
  </si>
  <si>
    <t>MEDLINE; Ovid Technologies; Patient and System Characteristics Associated with Performance on the HEDIS Measures of Alcohol and Other Drug Treatment Initiation and Engagement</t>
  </si>
  <si>
    <t>Yarborough,W. H.</t>
  </si>
  <si>
    <t>Substance use disorders in physician training programs</t>
  </si>
  <si>
    <t>Alcoholism/di Diagnosis];Alcoholism/ep Epidemiology];Alcoholism/rh Rehabilitation];Female;Humans;Inservice Training;*Internship and Residency/sn Statistics &amp; Numerical Data];Male;Oklahoma/ep Epidemiology];*Physician Impairment/sn Statistics &amp; Numerical Data];Prevalence;Risk Factors;Substance-Related Disorders/di Diagnosis];*Substance-Related Disorders/ep Epidemiology];*Substance-Related Disorders/rh Rehabilitation];Survival Rate</t>
  </si>
  <si>
    <t>Physician impairment due to substance use occurs in all age groups of physicians. Risk factors are similar for age-matched controls, but choice of substance may be influenced by specialty and narcotic permit. Alcohol is by far the most commonly abused drug involved. One of the last areas of performance affected is work. Other areas may provide earlier clues. Intervention and referral to appropriate treatment centers is important. Death rates are relatively high in this disease. We report a favorable outcome of 75 percent at The University of Oklahoma Health Sciences Center, Tulsa (OUHSC-T), but a death rate of 16.7 percent in our small sample. Aftercare and monitoring are essential to a successful outcome. The vast majority of physicians in training can complete their training with appropriate treatment and monitoring and go on to successful careers. References: 25]</t>
  </si>
  <si>
    <t>J2: J Okla State Med Assoc; Yarborough, W H; ID: 1053</t>
  </si>
  <si>
    <t>Yarborough, W H. OUHSC-Tulsa Campus, Department of Internal Medicine, OK 74129-1077, USA.</t>
  </si>
  <si>
    <t>http://ovidsp.ovid.com/ovidweb.cgi?T=JS&amp;CSC=Y&amp;NEWS=N&amp;PAGE=fulltext&amp;D=med4&amp;AN=10528474</t>
  </si>
  <si>
    <t>MEDLINE; Ovid Technologies; Substance use disorders in physician training programs</t>
  </si>
  <si>
    <t>Yentz,S.;Klein,R. J.;Oliverio,A. L.;Andrijasevic,L.;Likic,R.;Kelava,I.;Kokic,M.</t>
  </si>
  <si>
    <t>The impact of tobacco cessation training of medical students on their attitude towards smoking</t>
  </si>
  <si>
    <t>*Attitude of Health Personnel;Croatia;Humans;Michigan;Patient Simulation;*Physician's Role;*Students, Medical/px Psychology];Tobacco Smoke Pollution;*Tobacco Use Cessation;0 (Tobacco Smoke Pollution)</t>
  </si>
  <si>
    <t>J2: Med Teach; Yentz, Sarah Klein, Rachel J Oliverio, Andrea L Andrijasevic, Lidija Likic, Robert Kelava, Iva Kokic, Marina; ID: 382</t>
  </si>
  <si>
    <t>http://ovidsp.ovid.com/ovidweb.cgi?T=JS&amp;CSC=Y&amp;NEWS=N&amp;PAGE=fulltext&amp;D=med7&amp;AN=22931146</t>
  </si>
  <si>
    <t>https://dx.doi.org/10.3109/0142159X.2012.716555</t>
  </si>
  <si>
    <t>MEDLINE; Ovid Technologies; The impact of tobacco cessation training of medical students on their attitude towards smoking</t>
  </si>
  <si>
    <t>Yersin,B.</t>
  </si>
  <si>
    <t>Value and justification of screening for alcoholism]</t>
  </si>
  <si>
    <t>27-28</t>
  </si>
  <si>
    <t>*Alcoholism/di Diagnosis];Alcoholism/ec Economics];Alcoholism/pc Prevention &amp; Control];Cost-Benefit Analysis;Costs and Cost Analysis;Education, Medical, Continuing;Health Education;Humans;Medical History Taking;Neuropsychological Tests;Physical Examination;Switzerland</t>
  </si>
  <si>
    <t>The Swiss are heavy alcohol consumers. Since alcohol consumption is a risk-associated behavior, it is not surprising that alcohol-related medical and psychosocial morbidities are frequently observed. Related costs are therefore also substantial. To reduce alcohol-associated morbidities and related costs, it is essential that the physician's role include both health education counseling to patients (to reduce alcohol consumption) and systematic alcohol abuse and dependence screening. This study reviews current knowledge of alcoholism screening. It emphasizes the validity of some screening instruments such as standardized questionnaires, the accuracy of which appears to be superior to that of other commonly used tests such as biological markers of alcohol intake. However, there are numerous gaps in scientific knowledge of these screening instruments, due mainly to methodological problems in studies of this subject. The results of these studies are fragmentary since they are frequently generalized without caution from studies performed in non-medical patients. While these gaps are even more serious when the effectiveness and thus the justification of alcoholism screening is reviewed, recent studies have proposed more precise methods of screening and therapy, particularly for use in multidisciplinary medical settings. The leading role of physicians in building and studying the effectiveness of these models should be emphasized, since it is well-known that alcoholics are frequently medical patients. Another factor in favour of screening for alcohol problems is the favorable trend in medical costs for alcoholics under treatment. To allow development of alcoholism screening programs by physicians, it is indispensable that their medical education provide adequate information regarding this important health matter. Medical research on the issue of alcoholism screening should be also developed; cost-effectiveness analysis of such programs should be a priority, in oder to convince public health agencies, insurance companies and physicians themselves of the necessity of such efforts. References: 60]</t>
  </si>
  <si>
    <t>J2: Schweiz Med Wochenschr; Yersin, B; OP: Valeur et justification du depistage de l'alcoolisme; ID: 1353</t>
  </si>
  <si>
    <t>Yersin, B. Departement de medecine interne, CHUV, Lausanne.</t>
  </si>
  <si>
    <t>http://ovidsp.ovid.com/ovidweb.cgi?T=JS&amp;CSC=Y&amp;NEWS=N&amp;PAGE=fulltext&amp;D=med3&amp;AN=2115685</t>
  </si>
  <si>
    <t>MEDLINE; Ovid Technologies; [Value and justification of screening for alcoholism]</t>
  </si>
  <si>
    <t>Yersin,B.;Wick,H. D.</t>
  </si>
  <si>
    <t>Why talk about alcohol?]</t>
  </si>
  <si>
    <t>Alcohol Withdrawal Delirium/di Diagnosis];Alcohol Withdrawal Delirium/rh Rehabilitation];*Alcohol-Related Disorders/di Diagnosis];Alcohol-Related Disorders/rh Rehabilitation];Curriculum;Education, Medical;Humans;*Patient Care Team;Switzerland</t>
  </si>
  <si>
    <t>J2: Praxis (Bern 1994); French, German Yersin, B Wick, H D; OP: Pourquoi parler d'alcool?; ID: 1044</t>
  </si>
  <si>
    <t>http://ovidsp.ovid.com/ovidweb.cgi?T=JS&amp;CSC=Y&amp;NEWS=N&amp;PAGE=fulltext&amp;D=med4&amp;AN=10574032</t>
  </si>
  <si>
    <t>MEDLINE; Ovid Technologies; [Why talk about alcohol?]</t>
  </si>
  <si>
    <t>Yoo,I. Y.;Cho,W. J.;Chae,S. M.;Kim,M. J.</t>
  </si>
  <si>
    <t>Community health service needs assessment in Korea using OMAHA Classification System</t>
  </si>
  <si>
    <t>International journal of nursing studies</t>
  </si>
  <si>
    <t>Int.J.Nurs.Stud.</t>
  </si>
  <si>
    <t>Adult;*Community Health Services/og Organization &amp; Administration];Cross-Sectional Studies;Female;Humans;Korea;Male;Middle Aged;*Needs Assessment/cl Classification];*Nursing Assessment/cl Classification];*Nursing Evaluation Research/mt Methods];*Public Health Nursing/og Organization &amp; Administration]</t>
  </si>
  <si>
    <t>This study examined the appropriateness of OMAHA Classification System in identifying health service needs and relevant strategies for intervention by public health nurses working in community health centers in Seoul. The face-to-face interview using a questionnaire was used to assess individual and family health needs in the targeted district. Respondents were 4024 persons from 1449 households in one municipal district in Seoul, Korea. Based on OCS, 16 problems were identified including insufficient income and inadequate living space, ineffective communication with community resources, pain, and substance use. Health teaching, guidance and counseling, case management, treatment, and surveillance were identified as interventions for these problems. These results suggest that OCS is appropriate to implement in Korea to plan and organize better nursing interventions for community residents by public health nurses working in health centers.</t>
  </si>
  <si>
    <t>J2: Int J Nurs Stud; Yoo, Il Young Cho, Won Jung Chae, Sun Mi Kim, Mi Jung; ID: 896</t>
  </si>
  <si>
    <t>0020-7489</t>
  </si>
  <si>
    <t>Yoo, Il Young. Research Institute of Nursing Policy, College of Nursing Yonsei University, Seodaemoon-gu, Shinchon-dong 134, Seoul 120752, Republic of Korea. iyoo@yumc.yonsei.ac.kr</t>
  </si>
  <si>
    <t>http://ovidsp.ovid.com/ovidweb.cgi?T=JS&amp;CSC=Y&amp;NEWS=N&amp;PAGE=fulltext&amp;D=med5&amp;AN=15240093</t>
  </si>
  <si>
    <t>MEDLINE; Ovid Technologies; Community health service needs assessment in Korea using OMAHA Classification System</t>
  </si>
  <si>
    <t>Yorkgitis,B. K.;Bryant,E.;Raygor,D.;Brat,G.;Smink,D. S.;Crandall,M.</t>
  </si>
  <si>
    <t>Opioid Prescribing Education in Surgical Residencies: A Program Director Survey</t>
  </si>
  <si>
    <t>May - Jun</t>
  </si>
  <si>
    <t>BACKGROUND: Opioid abuse and misuse is a public health crisis. A national effort to reduce this phenomenon is ongoing. Residents represent a large pool of opioid prescribers but, are often not the target for opioid prescribing education (OPE). We developed a survey to assess current opioid prescribing practices and education among surgical residents. STUDY DESIGN: An Institutional Review Board and Association of Program Directors in Surgery approved survey was electronically mailed to surgical program directors (PDs). The survey included questions regarding residency type, location, number of graduates per year, perceived value of OPE, residency policy on prescribing outpatients controlled substances, presence of OPE, and preferred method of OPE. MATERIALS AND METHODS: A total of 248 PDs were e-mailed the survey with 110 complete responses (44.4%). Of all 104 (94.5%) allow residents to prescribe outpatient opioids with 24 (23.1%) limiting the opioid class prescribed. A total of 29 (27.9%) programs require residents to obtain their own Drug Enforcement Administration registration. Only 22 (20.0%) programs had in place mandatory OPE, 7 (6.4%) PDs were unsure if OPE was a mandatory educational requirement. Furthermore, 70 (79.5%) of programs currently without OPE are considering adding it. Didactic lecture (18, 81.8%) is the most common modality for OPE. The mode time dedicated to OPE was 1 hour. When PDs were asked about which method would be best to deliver OPE, the most common response was case-based scenarios (39, 35.5%). Bivariate statistics were performed and no association was found between OPE and program characteristics'. CONCLUSIONS: Most surgical residency programs allow residents to prescribe outpatient opioids, very few require OPE. The most common method of OPE was didactic lectures. To enhance a resident's knowledge in prescribing opioids, programs should incorporate OPE into their curriculum.</t>
  </si>
  <si>
    <t>J2: J Surg Educ; Yorkgitis, Brian K Bryant, Elizabeth Raygor, Desiree Brat, Gabriel Smink, Douglas S Crandall, Marie S1931-7204(17)30500-7; ID: 1622</t>
  </si>
  <si>
    <t>Yorkgitis, Brian K. Division of Acute Care Surgery, University of Florida College of Medicine, Jacksonville, Florida. Electronic address: Brian.yorkgitis2@jax.ufl.edu. Bryant, Elizabeth. Brigham and Women's Hospital, Trauma, Burns, and Surgical Critical Care, Boston, Massachusetts. Raygor, Desiree. Division of Acute Care Surgery, University of Florida College of Medicine, Jacksonville, Florida. Brat, Gabriel. Beth Israel Deaconess Medical Center, Acute Care Surgery, Boston, Massachusetts. Smink, Douglas S. Department of Surgery, Brigham and Women's Hospital, Boston, Massachusetts. Crandall, Marie. Division of Acute Care Surgery, University of Florida College of Medicine, Jacksonville, Florida.</t>
  </si>
  <si>
    <t>http://ovidsp.ovid.com/ovidweb.cgi?T=JS&amp;CSC=Y&amp;NEWS=N&amp;PAGE=fulltext&amp;D=prem&amp;AN=28882458</t>
  </si>
  <si>
    <t>https://dx.doi.org/10.1016/j.jsurg.2017.08.023</t>
  </si>
  <si>
    <t>MEDLINE; Ovid Technologies; Opioid Prescribing Education in Surgical Residencies: A Program Director Survey</t>
  </si>
  <si>
    <t>Young,A.;Alfred,K. C.;Davignon,P. P.;Hughes,L. M.;Robin,L. A.;Chaudhry,H. J.</t>
  </si>
  <si>
    <t>Physician survey examining the impact of an educational tool for responsible opioid prescribing</t>
  </si>
  <si>
    <t>*Analgesics, Opioid/ad Administration &amp; Dosage];Data Collection;*Drug Prescriptions/sn Statistics &amp; Numerical Data];*Education, Medical, Continuing;Group Practice;*Health Knowledge, Attitudes, Practice;Humans;*Pain/dt Drug Therapy];*Physicians/sn Statistics &amp; Numerical Data];Practice Patterns, Physicians'/sn Statistics &amp; Numerical Data];Private Practice;United States;0 (Analgesics, Opioid)</t>
  </si>
  <si>
    <t>INTRODUCTION: In response to the need for physician education on proper opioid prescribing, the Federation of State Medical Boards (FSMB) and the FSMB Foundation, the philanthropic arm of the FSMB, commissioned and distributed Responsible Opioid Use: A Physician's Guide to more than 165, 000 licensed physicians in the United States. The book, written by pain management specialist Scott Fishman, MD, seeks tofurtherphysicians' continuing medical education by providing information on how to properly prescribe opioids to treat patients in pain. Although the book has been widely distributed, there have been no systematic studies of its impact. To address this knowledge gap, the authors surveyed licensed physicians in Georgia who received a copy of the book to determine whether it added to their knowledge about prescribing opioids, and if they planned to make changes in theirpractice based on reading the book. METHODS: Six weeks after licensed physicians in Georgia received the book, a survey was sent to 12,666 of them via e-mail. RESULTS: A total of508 physicians completed the online survey. Of these, 82.1 percent rated the book either "very good" or "good" on providing pragmatic steps for improved care forpatients in pain, and more than 80 percent agreed that the book is a useful educational tool. Almost one-third (32.2percent) claimed that they intend to make changes to theirpractice after reading the book. The analysis also showed physicians in a solo practice were more likely to make changes (41.8percent) than their counterparts in office-based group practice (33.3 percent) and hospital-based (25.0 percent) settings. Primary care providers (41.6 percent) were also much more likely to make changes than physicians working in other specialty areas of medicine (22.8 percent). Well over half (57. 7percent) of the respondents indicated the book was better than other publications they had read on opioid prescribing and pain management. CONCLUSIONS: The results from this state-wide survey of licensed physicians demonstrate the value of educating physicians about how to appropriately prescribe, document, and treat patients who need opioid medications for pain management. The findings should be of value to organizations seeking to better educate physicians about appropriate opioid prescribing by providing insight into which physician population would be the most receptive to the type of information presented in Dr. Fishman's book. When faced with limited resources, an organizational strategy that first targets solo and primary care practitioners may improve physician educational efforts about prescribing opioids better than a strategy targeting medical and surgical specialists or those physicians participating in group practice settings.</t>
  </si>
  <si>
    <t>J2: J Opioid Manag; Young, Aaron Alfred, Kelly C Davignon, Philip P Hughes, LaSharn M Robin, Lisa A Chaudhry, Humayun J; ID: 448</t>
  </si>
  <si>
    <t>Young, Aaron. The Federation of State Medical Boards, Euless, Texas, USA.</t>
  </si>
  <si>
    <t>http://ovidsp.ovid.com/ovidweb.cgi?T=JS&amp;CSC=Y&amp;NEWS=N&amp;PAGE=fulltext&amp;D=med7&amp;AN=22616313</t>
  </si>
  <si>
    <t>MEDLINE; Ovid Technologies; Physician survey examining the impact of an educational tool for responsible opioid prescribing</t>
  </si>
  <si>
    <t>Young,A. H.;Currie,A.</t>
  </si>
  <si>
    <t>Physicians' knowledge of antidepressant withdrawal effects: a survey</t>
  </si>
  <si>
    <t>Journal of Clinical Psychiatry</t>
  </si>
  <si>
    <t>J.Clin.Psychiatry</t>
  </si>
  <si>
    <t>58 Suppl 7</t>
  </si>
  <si>
    <t>Adverse Drug Reaction Reporting Systems;*Antidepressive Agents/ae Adverse Effects];Attitude of Health Personnel;*Clinical Competence;Depressive Disorder/dt Drug Therapy];Education, Medical, Continuing;England;*Family Practice;Humans;*Psychiatry;Substance Withdrawal Syndrome/di Diagnosis];*Substance Withdrawal Syndrome/et Etiology];Surveys and Questionnaires;0 (Antidepressive Agents)</t>
  </si>
  <si>
    <t>BACKGROUND: While the incidence of discontinuation events in controlled studies of serotonin reuptake inhibitors ranges between 34.5% and 86%, only a small number of discontinuation reactions are reported to national data bases of spontaneously reported adverse drug reactions. It was hypothesized that the disparity was due to lack of knowledge amongst physicians about the potential for antidepressant discontinuation reactions. METHOD: Therefore, a questionnaire was mailed to 100 psychiatrists and 100 general practitioners (GPs) in northeast England to assess the knowledge base and to validate this assumption. RESULTS: Fifty psychiatrists (50%) and 53 GPs (53%) responded to the questionnaire. Of the respondents, 36 (72%) of the psychiatrists and 16 (30%) of the GPs were aware that patients may experience antidepressant discontinuation events; 33 (66%) psychiatrists and 22 (42%) GPs had had experience with patients who had discontinuation symptoms; and 10 (20%) psychiatrists and 9 (17%) GPs said they always caution patients about the possibility of discontinuations events. CONCLUSION: According to the results of the survey, a sizable minority of physicians denied being confidently aware of the existence of antidepressant withdrawal symptoms. Education about discontinuation reactions, including the hallmark features, symptoms, and course, is needed for both psychiatrists and family practice physicians.</t>
  </si>
  <si>
    <t>J2: J Clin Psychiatry; Young, A H Currie, A Comment in: J Clin Psychiatry. 1999 Feb;60(2):124-5; PMID: 10084643; ID: 1137</t>
  </si>
  <si>
    <t>0160-6689</t>
  </si>
  <si>
    <t>Young, A H. Hadrian Clinic, Newcastle General Hospital, Newcastle Upon Tyne, UK.</t>
  </si>
  <si>
    <t>http://ovidsp.ovid.com/ovidweb.cgi?T=JS&amp;CSC=Y&amp;NEWS=N&amp;PAGE=fulltext&amp;D=med4&amp;AN=9219491</t>
  </si>
  <si>
    <t>MEDLINE; Ovid Technologies; Physicians' knowledge of antidepressant withdrawal effects: a survey</t>
  </si>
  <si>
    <t>Young,J. M.;Ward,J.</t>
  </si>
  <si>
    <t>Can distance learning improve smoking cessation advice in family practice? A randomized trial</t>
  </si>
  <si>
    <t>Australia;*Education, Distance;*Education, Medical, Continuing/mt Methods];*Family Practice/ed Education];Health Knowledge, Attitudes, Practice;Humans;*Smoking Cessation;Statistics, Nonparametric</t>
  </si>
  <si>
    <t>INTRODUCTION: Family physicians (FPs) underuse opportunities to provide smoking cessation advice during routine consultations with patients who smoke. Distance learning is a promising approach to continuing medical education, particularly for FPs practicing in rural and remote areas. We developed a distance learning module, conducting a randomized trial to assess its educational impact on knowledge, attitudes and skills ("competence"), self-rated competence, confidence, and readiness to change. METHODS: Volunteer FPs were randomly allocated to receive either a distance learning module or a preventive care guideline. Self-administered questionnaires were completed at baseline and post-test. RESULTS: Fifty-three FPs enrolled in the study. There were no changes in knowledge or attitudes. Change in skills was limited to a reduction in use of one ineffective technique, namely "nicotine fading." Change in self-rated competence between baseline and post-test was significantly greater for the intervention than for the control group, however (p = .03). Although self-ratings of confidence increased significantly between baseline and post-test in both groups, the magnitude of change was no greater in the intervention than the control group (p = .3). Both groups demonstrated only nonsignificant shifts in readiness to change. DISCUSSION: These modest changes are of uncertain educational value, inviting caution before recommending distance learning approaches to promote smoking cessation advice in family practice.</t>
  </si>
  <si>
    <t>J2: J Contin Educ Health Prof; Young, Jane M Ward, Jeanette; ID: 977</t>
  </si>
  <si>
    <t>Young, Jane M. Centre for Health Services Research, University of Western Australia.</t>
  </si>
  <si>
    <t>http://ovidsp.ovid.com/ovidweb.cgi?T=JS&amp;CSC=Y&amp;NEWS=N&amp;PAGE=fulltext&amp;D=med4&amp;AN=12099124</t>
  </si>
  <si>
    <t>MEDLINE; Ovid Technologies; Can distance learning improve smoking cessation advice in family practice? A randomized trial</t>
  </si>
  <si>
    <t>Yousafzai,A. W.;Ahmer,S.;Syed,E.;Bhutto,N.;Iqbal,S.;Siddiqi,M. N.;Zaman,M.</t>
  </si>
  <si>
    <t>Well-being of medical students and their awareness on substance misuse: a cross-sectional survey in Pakistan</t>
  </si>
  <si>
    <t>Annals of General Psychiatry</t>
  </si>
  <si>
    <t>OBJECTIVE: To investigate psychological well-being and substance abuse among medical students in Pakistan. METHODS: A cross-sectional questionnaire-based survey was conducted in six medical colleges across Pakistan. Final-year medical students were interviewed by either a postgraduate trainee in psychiatry or a consultant psychiatrist. RESULTS: A total of 540 medical students were approached; 342 participated and the response rate was 64.5%. Mean age was 23.73 years (SD 2.45 years); 52.5% were male and 90% single. Two out of every five respondents reported that work/study at medical school affected their personal health and well-being. A considerable proportion of students were aware of alcohol and smoking as coping strategies for stress in medical students. The main factors causing stress were heavy workload (47.4%), relationship with colleagues (13.5%) and staff (11.9%). A total of 30% reported a history of depression and 15% among them had used an antidepressant. More than half were aware of depression in colleagues. The majority of respondents said that teaching provided on substance misuse in the areas of alcohol and illegal drugs, management/treatment of addiction, and models of addiction was poor. There was significant association (p = 0.044) between stress and awareness about alcohol as a coping strategy for stress among medical students. A significant negative association was also found between medical colleges in public sector (p = 0.052), female gender (p = 0.003) and well-being. CONCLUSION: The majority of the medical students reported a negative impact of heavy workload on their psychological well-being. Significant numbers of medical students think that substance misuse is a coping strategy for stress. Teaching on addiction/addictive substances is poor at undergraduate level in Pakistani medical colleges.</t>
  </si>
  <si>
    <t>J2: Ann Gen Psychiatry; Yousafzai, Abdul Wahab Ahmer, Syed Syed, Ehsanullah Bhutto, Naila Iqbal, Saman Siddiqi, Mohammed Naim Zaman, Mohammed; ID: 522</t>
  </si>
  <si>
    <t>1744-859X</t>
  </si>
  <si>
    <t>Yousafzai, Abdul Wahab. Department of Psychiatry, Aga Khan University, Karachi 74800, Pakistan. wahab.yousafzai@aku.edu</t>
  </si>
  <si>
    <t>http://ovidsp.ovid.com/ovidweb.cgi?T=JS&amp;CSC=Y&amp;NEWS=N&amp;PAGE=fulltext&amp;D=prem&amp;AN=19228374</t>
  </si>
  <si>
    <t>https://dx.doi.org/10.1186/1744-859X-8-8</t>
  </si>
  <si>
    <t>MEDLINE; Ovid Technologies; Well-being of medical students and their awareness on substance misuse: a cross-sectional survey in Pakistan</t>
  </si>
  <si>
    <t>Yur'yev,A.;Yur'yeva,L.;Varnik,P.;Lumiste,K.;Varnik,A.</t>
  </si>
  <si>
    <t>The complex impact of risk and protective factors on suicide mortality: a study of the Ukrainian general population</t>
  </si>
  <si>
    <t>Archives of Suicide Research</t>
  </si>
  <si>
    <t>Arch.Suicide Res.</t>
  </si>
  <si>
    <t>Adult;Demography;Female;Humans;Male;Models, Psychological;Mortality;Protective Factors;Risk Factors;Sex Factors;Socioeconomic Factors;*Substance-Related Disorders/ep Epidemiology];Suicide/pc Prevention &amp; Control];Suicide/px Psychology];Suicide/sn Statistics &amp; Numerical Data];*Suicide;*Suicide, Attempted/sn Statistics &amp; Numerical Data];Ukraine/ep Epidemiology]</t>
  </si>
  <si>
    <t>This study assesses the complex impact of risk and protective factors on suicide mortality in the Ukrainian general population. Data on suicide rates and socioeconomic and medical factors were obtained from the Ukrainian State Statistical Office, WHO, and the European Social Survey. Structural equation modeling was used for data analysis. Religion and education were negatively associated with suicide. The relationship between drug addiction/alcoholism and suicide was positive. The association between urbanization and suicide mortality was negative. The relationship between gross regional product (GRP) and female suicide was slightly negative. Religiosity was the protective factor most strongly linked with suicide mortality followed by urbanization. The harmful role of drug addiction and alcoholism was confirmed. The role of education and GRP is controversial. No striking gender differences were found.</t>
  </si>
  <si>
    <t>J2: Arch; Yur'yev, Andriy Yur'yeva, Lyudmyla Varnik, Peeter Lumiste, Kaur Varnik, Airi; ID: 202</t>
  </si>
  <si>
    <t>1543-6136</t>
  </si>
  <si>
    <t>Yur'yev, Andriy. a Harlem Hospital Center, College of Physicians and Surgeons of Columbia University , New York , New York , USA.</t>
  </si>
  <si>
    <t>http://ovidsp.ovid.com/ovidweb.cgi?T=JS&amp;CSC=Y&amp;NEWS=N&amp;PAGE=fulltext&amp;D=med8&amp;AN=25706485</t>
  </si>
  <si>
    <t>https://dx.doi.org/10.1080/13811118.2015.1004471</t>
  </si>
  <si>
    <t>MEDLINE; Ovid Technologies; The complex impact of risk and protective factors on suicide mortality: a study of the Ukrainian general population</t>
  </si>
  <si>
    <t>Zahnd,E. G.;Coates,T. J.;Richard,R. J.;Cummings,S. R.</t>
  </si>
  <si>
    <t>Counseling medical patients about cigarette smoking: a comparison of the impact of training on nurse practitioners and physicians</t>
  </si>
  <si>
    <t>Nurse Practitioner</t>
  </si>
  <si>
    <t>Nurse Pract.</t>
  </si>
  <si>
    <t>3, 17-8</t>
  </si>
  <si>
    <t>Adult;Counseling/ed Education];Counseling/mt Methods];*Counseling/st Standards];Female;Humans;Male;Middle Aged;*Nurse Practitioners;Patient Education as Topic/mt Methods];Patient Education as Topic/st Standards];*Practice Patterns, Physicians';San Francisco;*Smoking Prevention</t>
  </si>
  <si>
    <t>Health providers believe that eliminating smoking is an important health promotion goal, but physicians and nurse practitioners may differ in the implementation of that belief. To determine whether nurse practitioners or physicians were more likely to counsel smokers to quit smoking, 12 internal medicine nurse practitioners (100 percent female) and 40 internal medicine physicians (30 percent female) were studied at four San Francisco Bay-area Kaiser Permanente Medical Centers, both before and after training in smoking-cessation counseling. In addition, exit phone surveys of at least 15 smokers per participant were completed as soon as possible following an office visit to the participant (269 nurse practitioner patients; 948 physician patients). It was found that nurse practitioners discussed smoking with patients more often than did physicians (64 percent vs. 50 percent; p less than 0.001), asked patients more often whether they were interested in quitting (49 percent vs. 40 percent; p less than 0.01), distributed more smoking-cessation literature to patients (37 percent vs. 25 percent; p less than 0.001) and made more follow-up appointments about smoking (36 percent vs. 19 percent; p less than 0.001). These differences in counseling behavior between the two groups were not explained by differences in patient characteristics of the two groups. The authors concluded that, given the same training, nurse practitioners are more likely to counsel smokers about quitting than are physicians.</t>
  </si>
  <si>
    <t>J2: Nurse Pract; Zahnd, E G Coates, T J Richard, R J Cummings, S R Comment in: Nurse Pract. 1990 Aug;15(8):7-8; PMID: 2398970; ID: 1364</t>
  </si>
  <si>
    <t>0361-1817</t>
  </si>
  <si>
    <t>Zahnd, E G. Division of General Internal Medicine, University of California, San Francisco.</t>
  </si>
  <si>
    <t>http://ovidsp.ovid.com/ovidweb.cgi?T=JS&amp;CSC=Y&amp;NEWS=N&amp;PAGE=fulltext&amp;D=med3&amp;AN=2314676</t>
  </si>
  <si>
    <t>MEDLINE; Ovid Technologies; Counseling medical patients about cigarette smoking: a comparison of the impact of training on nurse practitioners and physicians</t>
  </si>
  <si>
    <t>Zavell,P. M.</t>
  </si>
  <si>
    <t>Perinatal tips</t>
  </si>
  <si>
    <t>Chlorpromazine/tu Therapeutic Use];Education, Medical, Continuing;Female;Humans;Infant, Newborn;*Infant, Newborn, Diseases/di Diagnosis];Maternal-Fetal Exchange;Methadone;Pregnancy;Substance Withdrawal Syndrome/dt Drug Therapy];*Substance-Related Disorders;U42B7VYA4P (Chlorpromazine);UC6VBE7V1Z (Methadone)</t>
  </si>
  <si>
    <t>J2: Mich Med; Zavell, P M; ID: 1566</t>
  </si>
  <si>
    <t>http://ovidsp.ovid.com/ovidweb.cgi?T=JS&amp;CSC=Y&amp;NEWS=N&amp;PAGE=fulltext&amp;D=med1&amp;AN=4846501</t>
  </si>
  <si>
    <t>MEDLINE; Ovid Technologies; Perinatal tips</t>
  </si>
  <si>
    <t>Adult;Education, Medical, Continuing;Female;Humans;Infant, Newborn;*Infant, Newborn, Diseases/et Etiology];Maternal-Fetal Exchange;Michigan;*Morphine Dependence;Obstetrics;Pregnancy;*Pregnancy Complications</t>
  </si>
  <si>
    <t>J2: Mich Med; Zavell, P M; ID: 1606</t>
  </si>
  <si>
    <t>http://ovidsp.ovid.com/ovidweb.cgi?T=JS&amp;CSC=Y&amp;NEWS=N&amp;PAGE=fulltext&amp;D=med1&amp;AN=5103835</t>
  </si>
  <si>
    <t>Zhang,C.;Li,X.;Liu,Y.;Qiao,S.;Zhou,Y.;Shen,Z.;Chen,Y.</t>
  </si>
  <si>
    <t>Substance Use and Psychosocial Status among People Living with HIV/AIDS Who Encountered HIV Stigma in China: Stratified Analyses by Socio-Economic Status</t>
  </si>
  <si>
    <t>e0165624</t>
  </si>
  <si>
    <t>Anxiety/ep Epidemiology];Depression/ep Epidemiology];Female;HIV Infections/co Complications];*HIV Infections/px Psychology];Humans;Male;Psychiatric Status Rating Scales;Psychological Tests;Psychology;*Social Stigma;Socioeconomic Factors;Stereotyping;*Substance-Related Disorders/co Complications];Substance-Related Disorders/px Psychology]</t>
  </si>
  <si>
    <t>This study examined whether the impact of HIV stigma on psychosocial status and substance use among people living with HIV/AIDS (PLWHA) differed by their socio-economic status (SES) in a Chinese setting. A total of 2,987 PLWHA were recruited from 12 sites with the highest number of cumulative HIV incidence in Guangxi, China. Participants were asked to provide information regarding their psychosocial status (e.g., depression, anxiety), history of substance use (e.g., tobacco, alcohol and drug) and SES (e.g., education, monthly income, residence type, and job category). By employing stratified multivariate regression analyses, we assessed stratum-specific impacts of HIV stigma on PLWHA's psychosocial status and behaviors of substance use based upon participants' SES. The impact of HIV stigma differed significantly on psychosocial status across SES gradients. Psychosocial status among people with higher education was more sensitive to HIV stigma compared with PLWHA who were less educated. The odds of substance use behaviors were higher among people with better monthly income than their low-income peers. Our study is the first paper to document the paucity of SES stratified analyses between HIV stigma and psychosocial status and substance use among PLWHA in China. We call for tailored intervention programs to target PLWHA with different backgrounds and characteristics in order to help them to better manage their seropositivity.</t>
  </si>
  <si>
    <t>J2: PLoS ONE; Zhang, Chen Li, Xiaoming Liu, Yu Qiao, Shan Zhou, Yuejiao Shen, Zhiyong Chen, Yi; ID: 82</t>
  </si>
  <si>
    <t>Zhang, Chen. Divison of Epidemiology, Vanderbilt University, Nashville, Tennessee, United States of America. Li, Xiaoming. Department of Health Promotion, Education, and Behavior, Arnold School of Public Health, University of South Carolina, Columbia, South Carolina, United States of America. Liu, Yu. Divison of Epidemiology, Vanderbilt University, Nashville, Tennessee, United States of America. Qiao, Shan. Department of Health Promotion, Education, and Behavior, Arnold School of Public Health, University of South Carolina, Columbia, South Carolina, United States of America. Zhou, Yuejiao. Department of HIV/STD Prevention, Guangxi CDC, Nanning, Guangxi, China. Shen, Zhiyong. Department of HIV/STD Prevention, Guangxi CDC, Nanning, Guangxi, China. Chen, Yi. Department of HIV/STD Prevention, Guangxi CDC, Nanning, Guangxi, China.</t>
  </si>
  <si>
    <t>http://ovidsp.ovid.com/ovidweb.cgi?T=JS&amp;CSC=Y&amp;NEWS=N&amp;PAGE=fulltext&amp;D=med8&amp;AN=27824948</t>
  </si>
  <si>
    <t>https://dx.doi.org/10.1371/journal.pone.0165624</t>
  </si>
  <si>
    <t>MEDLINE; Ovid Technologies; Substance Use and Psychosocial Status among People Living with HIV/AIDS Who Encountered HIV Stigma in China: Stratified Analyses by Socio-Economic Status</t>
  </si>
  <si>
    <t>Zhang,C. M.;Xiao,D.;West,R.;Michie,S.;Troughton,R.;Hajek,P.;Wang,C.</t>
  </si>
  <si>
    <t>Evaluation of 3-day smoking cessation training course for doctors from 38 cities in China</t>
  </si>
  <si>
    <t>Chinese medical journal</t>
  </si>
  <si>
    <t>Chin.Med.J.</t>
  </si>
  <si>
    <t>Certification;China;Cities;Humans;Physicians;Self Efficacy;*Smoking Cessation</t>
  </si>
  <si>
    <t>BACKGROUND: The World Health Organization's "Framework Convention on Tobacco Control" came into effect in China in 2006. Since then, a series of tobacco control measures has been undertaken, including the first step to establish a coordinated network of stop-smoking clinics in Chinese hospitals. Training for stop-smoking specialists has been traditionally provided via printed materials. This study evaluated the outcomes of the first two intensive 3-day courses in smoking cessation in China run in collaboration with experts who provide training to UK Specialist Stop Smoking Service. METHODS: Eighty-four doctors from 38 cities in China responsible for stop-smoking treatment in 20 provinces and four autonomous regions participated in the training courses. Participants' knowledge competencies and self-efficacy were assessed before and after the authentication training. RESULTS: The training significantly improved participants' knowledge, skills and self-efficacy across different domains. Forty-eight participants were finally certified as "smoking cessation specialist". CONCLUSIONS: The UK model of face-to-face training was acceptable and effective in China. A relatively brief intensive training program can generate significant improvements in skills, knowledge, and readiness to engage in smoking cessation activities.</t>
  </si>
  <si>
    <t>J2: Chin Med J; Zhang, Chun-mei Xiao, Dan West, Robert Michie, Susan Troughton, Ronald Hajek, Peter Wang, Chen; ID: 435</t>
  </si>
  <si>
    <t>0366-6999</t>
  </si>
  <si>
    <t>Zhang, Chun-mei. Department of Respiratory Medicine, Beijing Chao-Yang Hospital, Capital Medical University, Beijing, China.</t>
  </si>
  <si>
    <t>http://ovidsp.ovid.com/ovidweb.cgi?T=JS&amp;CSC=Y&amp;NEWS=N&amp;PAGE=fulltext&amp;D=med7&amp;AN=22613611</t>
  </si>
  <si>
    <t>MEDLINE; Ovid Technologies; Evaluation of 3-day smoking cessation training course for doctors from 38 cities in China</t>
  </si>
  <si>
    <t>Zilverstand,A.;Parvaz,M. A.;Moeller,S. J.;Goldstein,R. Z.</t>
  </si>
  <si>
    <t>Cognitive interventions for addiction medicine: Understanding the underlying neurobiological mechanisms</t>
  </si>
  <si>
    <t>Animals;*Cognitive Therapy/mt Methods];Emotions;Humans;*Neurobiology;Neurofeedback;Neuroimaging;Substance-Related Disorders/dg Diagnostic Imaging];*Substance-Related Disorders/rh Rehabilitation]</t>
  </si>
  <si>
    <t>Neuroimaging provides a tool for investigating the neurobiological mechanisms of cognitive interventions in addiction. The aim of this review was to describe the brain circuits that are recruited during cognitive interventions, examining differences between various treatment modalities while highlighting core mechanisms, in drug addicted individuals. Based on a systematic Medline search we reviewed neuroimaging studies on cognitive behavioral therapy, cognitive inhibition of craving, motivational interventions, emotion regulation, mindfulness, and neurofeedback training in addiction. Across intervention modalities, common results included the normalization of aberrant activity in the brain's reward circuitry, and the recruitment and strengthening of the brain's inhibitory control network. Results suggest that different cognitive interventions act, at least partly, through recruitment of a common inhibitory control network as a core mechanism. This implies potential transfer effects between training modalities. Overall, results confirm that chronically hypoactive prefrontal regions implicated in cognitive control in addiction can be normalized through cognitive means.</t>
  </si>
  <si>
    <t>J2: Prog Brain Res; Zilverstand, Anna Parvaz, Muhammad A Moeller, Scott J Goldstein, Rita Z S0079-6123(15)00125-9; ID: 131</t>
  </si>
  <si>
    <t>Zilverstand, Anna. Departments of Psychiatry &amp; Neuroscience, Icahn School of Medicine at Mount Sinai, NY, USA. Parvaz, Muhammad A. Departments of Psychiatry &amp; Neuroscience, Icahn School of Medicine at Mount Sinai, NY, USA. Moeller, Scott J. Departments of Psychiatry &amp; Neuroscience, Icahn School of Medicine at Mount Sinai, NY, USA. Goldstein, Rita Z. Departments of Psychiatry &amp; Neuroscience, Icahn School of Medicine at Mount Sinai, NY, USA. Electronic address: rita.goldstein@mssm.edu.</t>
  </si>
  <si>
    <t>http://ovidsp.ovid.com/ovidweb.cgi?T=JS&amp;CSC=Y&amp;NEWS=N&amp;PAGE=fulltext&amp;D=med8&amp;AN=26822363</t>
  </si>
  <si>
    <t>https://dx.doi.org/10.1016/bs.pbr.2015.07.019</t>
  </si>
  <si>
    <t>MEDLINE; Ovid Technologies; Cognitive interventions for addiction medicine: Understanding the underlying neurobiological mechanisms</t>
  </si>
  <si>
    <t>Zinser,M. C.;Pampel,F. C.;Flores,E.</t>
  </si>
  <si>
    <t>NIHMS317394; Distinct beliefs, attitudes, and experiences of Latino smokers: relevance for cessation interventions</t>
  </si>
  <si>
    <t>eS1</t>
  </si>
  <si>
    <t>Adolescent;Adult;Cross-Sectional Studies;Cultural Characteristics;European Continental Ancestry Group/px Psychology];Female;*Health Knowledge, Attitudes, Practice;*Hispanic Americans/px Psychology];Hispanic Americans/sn Statistics &amp; Numerical Data];Humans;Male;*Smoking/eh Ethnology];Smoking/px Psychology];*Smoking Cessation/eh Ethnology];Smoking Cessation/mt Methods];Smoking Prevention;Socioeconomic Factors;Young Adult</t>
  </si>
  <si>
    <t>PURPOSE: Determine the extent to which Latino smokers are using effective interventions for smoking cessation, with particular focus on nicotine replacement therapy (NRT). Related aims were to explore cultural, attitudinal, knowledge, and socioeconomic variables associated with treatment use. DESIGN: Cross-sectional telephone survey of two groups of Colorado adult smokers: Latinos (n = 1010) and non-Latino whites (n = 519). SETTING: Colorado. METHODS: Computer-assisted telephone survey in either Spanish or English. Survey addressed sociodemographic variables; smoking and cessation history; knowledge, attitudes, and beliefs about smoking and quitting; and experiences in and attitudes toward the health care setting. PARTICIPANTS: Latino and non-Latino white adult Colorado residents who reported being regular smokers. RESULTS: Colorado Latinos report using NRT substantially less often than do non-Latino whites residing in the state. This and other differences in the study were more pronounced in Latinos characterized as low acculturation on the basis of a language preference variable. Latinos smoke somewhat less than non-Latino whites and report lower levels of dependence. They appear to be motivated to quit but endorse attitudes and beliefs antithetical to NRT use. Health care access was lower among Latinos, and this was related to lower reports of lifetime NRT use. Receipt of recommended practitioner intervention (the "five As") did not differ by ethnicity. CONCLUSIONS: Results suggested that use of effective cessation interventions among Latinos may be enhanced by education about nicotine addiction and NRT. Policy change to increase health care access also showed promise.</t>
  </si>
  <si>
    <t>J2: Am J Health Promot; Zinser, Michael C Pampel, Fred C Flores, Estevan; ID: 518</t>
  </si>
  <si>
    <t>2168-6602</t>
  </si>
  <si>
    <t>Zinser, Michael C. Department of Psychology, University of Colorado Denver, Campus Box 173, PO Box 173364, Denver, CO 80217-3364, USA. michael.zinser@ucdenver.edu</t>
  </si>
  <si>
    <t>http://ovidsp.ovid.com/ovidweb.cgi?T=JS&amp;CSC=Y&amp;NEWS=N&amp;PAGE=fulltext&amp;D=med7&amp;AN=21510796</t>
  </si>
  <si>
    <t>https://dx.doi.org/10.4278/ajhp.100616-QUAN-200</t>
  </si>
  <si>
    <t>MEDLINE; Ovid Technologies; Distinct beliefs, attitudes, and experiences of Latino smokers: relevance for cessation interventions</t>
  </si>
  <si>
    <t>Zisblatt,L.;Hayes,S. M.;Lazure,P.;Hardesty,I.;White,J. L.;Alford,D. P.</t>
  </si>
  <si>
    <t>Safe and competent opioid prescribing education: Increasing dissemination with a train-the-trainer program</t>
  </si>
  <si>
    <t>Advanced Practice Nursing/ed Education];Analgesics, Opioid/tu Therapeutic Use];Education;*Education, Medical, Continuing;*Health Knowledge, Attitudes, Practice;Humans;Pain/dt Drug Therapy];Physician Assistants/ed Education];Physicians;Program Evaluation;*Teacher Training/mt Methods];0 (Analgesics, Opioid)</t>
  </si>
  <si>
    <t>BACKGROUND: Due to the high prevalence of prescription opioid misuse, the US Food and Drug Administration (FDA) mandated a Risk Evaluation and Mitigation Strategy (REMS) requiring manufacturers of extended-release/long-acting (ER/LA) opioids to fund continuing education based on an FDA curricular Blueprint. This paper describes the Safe and Competent Opioid Prescribing Education (SCOPE of Pain) train-the-trainer program and its impact on (1) disseminating the SCOPE of Pain curriculum and (2) knowledge, confidence, attitudes, and performance of the participants of trainer-led compared with expert-led meetings. METHODS: SCOPE of Pain is a 3-hour ER/LA opioid REMS education. In addition to expert-led live statewide meetings, a 2-hour train-the-trainer (TTT) workshop was developed to increase dissemination nationally. The trainers were expected to conduct SCOPE of Pain meetings at their institutions. Participants of both the trainer-led and expert-led SCOPE of Pain programs were surveyed immediately post and 2 months post meetings to assess improvements in knowledge, confidence, attitudes, and self-reported safe opioid prescribing practices. RESULTS: During 9 months (May 2013 to February 2014), 89 trainers were trained during 9 TTT workshops in 9 states. Over 24 months (May 2013 to April 2015), 33% of the trainers conducted at least 1 SCOPE of Pain training, with a total of 79 meetings that educated 1419 participants. The average number of meetings of those who conducted at least 1 meeting was 2.8 (range: 1-19). The participants of the trainer-led programs were significantly more likely to be practicing in rural settings than those who participated in the expert-led meetings (39% vs. 26%, P &lt; .001). At 2 months post training, there were no significant differences in improvements in participant knowledge, confidence, attitudes, and performance between expert-led and trainer-led meetings. CONCLUSIONS: The SCOPE of Pain TTT program holds promise as an effective dissemination strategy to increase guideline-based safe opioid prescribing knowledge, confidence, attitudes, and self-reported practices.</t>
  </si>
  <si>
    <t>J2: Subst Abus; Zisblatt, Lara Hayes, Sean M Lazure, Patrice Hardesty, Ilana White, Julie L Alford, Daniel P; ID: 12</t>
  </si>
  <si>
    <t>Zisblatt, Lara. a The Barry M. Manuel Office of Continuing Medical Education , Boston University School of Medicine , Boston , Massachusetts , USA. Hayes, Sean M. b AXDEV Group , Brossard , Quebec , Canada. Lazure, Patrice. b AXDEV Group , Brossard , Quebec , Canada. Hardesty, Ilana. a The Barry M. Manuel Office of Continuing Medical Education , Boston University School of Medicine , Boston , Massachusetts , USA. White, Julie L. a The Barry M. Manuel Office of Continuing Medical Education , Boston University School of Medicine , Boston , Massachusetts , USA. Alford, Daniel P. a The Barry M. Manuel Office of Continuing Medical Education , Boston University School of Medicine , Boston , Massachusetts , USA. Alford, Daniel P. c Section of General Internal Medicine , Boston Medical Center , Boston , Massachusetts , USA.</t>
  </si>
  <si>
    <t>http://ovidsp.ovid.com/ovidweb.cgi?T=JS&amp;CSC=Y&amp;NEWS=N&amp;PAGE=fulltext&amp;D=medl&amp;AN=28418816</t>
  </si>
  <si>
    <t>https://dx.doi.org/10.1080/08897077.2016.1275927</t>
  </si>
  <si>
    <t>MEDLINE; Ovid Technologies; Safe and competent opioid prescribing education: Increasing dissemination with a train-the-trainer program</t>
  </si>
  <si>
    <t>Zoorob,R.;Aliyu,M. H.;Hayes,C.</t>
  </si>
  <si>
    <t>Fetal alcohol syndrome: knowledge and attitudes of family medicine clerkship and residency directors</t>
  </si>
  <si>
    <t>Clinical Clerkship/mt Methods];*Clinical Clerkship;*Clinical Competence;Curriculum;Data Collection;*Family Practice/ed Education];Family Practice/mt Methods];Female;Fetal Alcohol Spectrum Disorders/di Diagnosis];*Fetal Alcohol Spectrum Disorders/pc Prevention &amp; Control];Follow-Up Studies;*Health Knowledge, Attitudes, Practice;Humans;Internship and Residency/mt Methods];*Internship and Residency;Physician Executives/ed Education];Physician's Role;Pregnancy</t>
  </si>
  <si>
    <t>Fetal alcohol spectrum disorders (FASD) are the leading preventable causes of developmental disabilities with serious permanent consequences. Regardless of the increased awareness of fetal alcohol syndrome (FAS), 13% of women in the United States drink alcohol during pregnancy. Health care professionals do not routinely assess the frequency and quantity of alcohol use by their patients. This study examined the knowledge, skills, and practices of family medicine residency and clerkship directors and assessed the time devoted and format of FAS curricula in the programs. A self-administered anonymous survey was sent to the residency and clerkship directors (N=571). Response rate of clerkship directors was 52% and residency directors 46%. Both groups showed high level of knowledge of FASD and of alcohol counseling practices for pregnant women. Although almost two thirds of the residency programs had FASD integrated in the curriculum, an equivalent fraction of predoctoral programs did not. More than half of the clerkship directors without FASD in their curriculum agreed that a need exists for its inclusion. These findings raise important medical education and policy issues and provide insight into the disparity in FASD content of curricula between predoctoral and family medicine residency programs in the United States. The role of physician counseling in primary prevention of FAS should continue to be stressed in predoctoral and residency education.</t>
  </si>
  <si>
    <t>J2: Alcohol; Zoorob, Roger Aliyu, Muktar H Hayes, Carmela; ID: 535</t>
  </si>
  <si>
    <t>1873-6823</t>
  </si>
  <si>
    <t>Zoorob, Roger. Department of Family and Community Medicine, Meharry Medical College, Nashville, TN 37208-3599, USA. rzoorob@mmc.edu</t>
  </si>
  <si>
    <t>http://ovidsp.ovid.com/ovidweb.cgi?T=JS&amp;CSC=Y&amp;NEWS=N&amp;PAGE=fulltext&amp;D=med6&amp;AN=20056372</t>
  </si>
  <si>
    <t>https://dx.doi.org/10.1016/j.alcohol.2009.10.012</t>
  </si>
  <si>
    <t>MEDLINE; Ovid Technologies; Fetal alcohol syndrome: knowledge and attitudes of family medicine clerkship and residency directors</t>
  </si>
  <si>
    <t>Zuckerman,L.</t>
  </si>
  <si>
    <t>Your attitudes toward treating drinking problems</t>
  </si>
  <si>
    <t>(82) 29d</t>
  </si>
  <si>
    <t>31d</t>
  </si>
  <si>
    <t>*Alcoholism/th Therapy];*Attitude of Health Personnel;Education, Medical, Continuing/st Standards];Female;Humans;Male;Middle Aged;Primary Health Care/st Standards];Surveys and Questionnaires</t>
  </si>
  <si>
    <t>J2: Med Times; Zuckerman, L; ID: 1532</t>
  </si>
  <si>
    <t>http://ovidsp.ovid.com/ovidweb.cgi?T=JS&amp;CSC=Y&amp;NEWS=N&amp;PAGE=fulltext&amp;D=med1&amp;AN=846333</t>
  </si>
  <si>
    <t>MEDLINE; Ovid Technologies; Your attitudes toward treating drinking problems</t>
  </si>
  <si>
    <t>Zwar,N. A.;Richmond,R. L.;Davidson,D.;Hasan,I.</t>
  </si>
  <si>
    <t>Postgraduate education for doctors in smoking cessation</t>
  </si>
  <si>
    <t>Data Collection/mt Methods];*Education, Medical, Continuing/mt Methods];Education, Medical, Continuing/td Trends];Humans;Patient Education as Topic/mt Methods];Patient Education as Topic/td Trends];Physician-Patient Relations;*Physicians;Smoking/th Therapy];*Smoking Cessation/mt Methods];Smoking Prevention</t>
  </si>
  <si>
    <t>INTRODUCTION AND AIMS: Smoking cessation advice from doctors helps improve quit rates but the opportunity to provide this advice is often missed. Postgraduate education is one strategy to improve the amount and quality of cessation support provided. This paper describes a sample of postgraduate education programs for doctors in smoking cessation and suggests future directions to improve reach and quality. DESIGN AND METHODS: Survey of key informants identified through tobacco control listserves supplemented by a review of the published literature on education programs since 2000. Programs and publications from Europe were not included as these are covered in another paper in this Special Issue. RESULTS: Responses were received from only 21 key informants from eight countries. Two further training programs were identified from the literature review. The following components were present in the majority of programs: 5 As (Ask, Advise, Assess, Assist and Arrange) approach (72%), stage of change (64%), motivational interviewing (72%), pharmacotherapies (84%). Reference to clinical practice guidelines was very common (84%). The most common model of delivery of training was face to face. Lack of interest from doctors and lack of funding were identified as the main barriers to uptake and sustainability of training programs. DISCUSSION AND CONCLUSIONS: Identifying programs proved difficult and only a limited number were identified by the methods used. There was a high level of consistency in program content and a strong link to clinical practice guidelines. Key informants identified limited reach into the medical profession as an important issue. New approaches are needed to expand the availability and uptake of postgraduate education in smoking cessation References: 32]</t>
  </si>
  <si>
    <t>J2: Drug Alcohol Rev; Zwar, Nicholas A Richmond, Robyn L Davidson, David Hasan, Iqbal; ID: 586</t>
  </si>
  <si>
    <t>Zwar, Nicholas A. School of Public Health and Community Medicine, University of New South Wales, Sydney, Australia. n.zwar@unsw.edu.au</t>
  </si>
  <si>
    <t>http://ovidsp.ovid.com/ovidweb.cgi?T=JS&amp;CSC=Y&amp;NEWS=N&amp;PAGE=fulltext&amp;D=med6&amp;AN=19737205</t>
  </si>
  <si>
    <t>https://dx.doi.org/10.1111/j.1465-3362.2009.00103.x</t>
  </si>
  <si>
    <t>MEDLINE; Ovid Technologies; Postgraduate education for doctors in smoking cessation</t>
  </si>
  <si>
    <t>Zysnarska,M.;Biskupska,M.;Polocka-Molinska,M.</t>
  </si>
  <si>
    <t>Students of nursing and nicotine dependence]</t>
  </si>
  <si>
    <t>Adult;Attitude of Health Personnel;Behavior, Addictive/ep Epidemiology];Cross-Sectional Studies;Education, Medical;Female;*Health Knowledge, Attitudes, Practice;Humans;Male;Poland/ep Epidemiology];Pregnancy;*Smoking/ep Epidemiology];Smoking/px Psychology];Smoking Prevention;Students, Nursing/px Psychology];*Students, Nursing/sn Statistics &amp; Numerical Data];Surveys and Questionnaires;*Tobacco Use Disorder/ep Epidemiology];Tobacco Use Disorder/pc Prevention &amp; Control];Tobacco Use Disorder/px Psychology]</t>
  </si>
  <si>
    <t>Tobacco smoking is a significant part of life stile and the factor, which determinates state of health in a high rate. It is a very important social problem in Poland, because in spite of relative extensive knowledge about tobacco influence on bio-, psycho-, socio-well being, percentage of smokers is still high. These remarks should lead to creation "the fashion of no smoking" among future health care workers. According to organized activity cycle in the first stage this research we decided to diagnose the environment of the students and then to plane and implement health promotion and disease prevention activities, and finally evaluate them. The aim of the study was to analyze tobacco smoking among students of Nursing. The problems concerned level of dependence, readiness to stop smoking and knowledge about harmfulness of nicotine.</t>
  </si>
  <si>
    <t>J2: Przegl Lek; Polish Zysnarska, Monika Biskupska, Maria Polocka-Molinska, Maria; OP: Studenci pielegniarstwa a nikotynizm; ID: 777</t>
  </si>
  <si>
    <t>Zysnarska, Monika. Zaklad Zdrowia Publicznego, Katedra Medycyny Spolecznej, Akademii Medycznej w Poznaniu. zysmonika@interia.pl</t>
  </si>
  <si>
    <t>http://ovidsp.ovid.com/ovidweb.cgi?T=JS&amp;CSC=Y&amp;NEWS=N&amp;PAGE=fulltext&amp;D=med5&amp;AN=17288213</t>
  </si>
  <si>
    <t>MEDLINE; Ovid Technologies; [Students of nursing and nicotine dependence]</t>
  </si>
  <si>
    <t>A case of purgative addiction demonstrated at the postgraduate medical school of london AUTHOR ADDRESSES SOURCE British medical Journal (1857) (1966) 1:5499 (1344-1348). Date of Publication: 1966</t>
  </si>
  <si>
    <t>(MAJOR FOCUS);laxative;addiction;medical school;United Kingdom;electrolyte disturbance</t>
  </si>
  <si>
    <t>ID: 3969</t>
  </si>
  <si>
    <t>2008624472 PUI L286116845</t>
  </si>
  <si>
    <t>2215016; A government survey and program of the medical society: tobacco policy in the 1990's ORIGINAL (NON-ENGLISH) TITLE Statlig utredning och fâ”œâ•¢rbundsprogram: tobakspolitik fâ”œâ•¢r 1990-talet. AUTHOR ADDRESSES SOURCE Lâ”œÃ±kartidningen (1990) 87:39 (3041-3042, 3047-3048). Date of Publication: 26 Sep 1990</t>
  </si>
  <si>
    <t>health care policy;health education;smoking (epidemiology, prevention);article;human;indoor air pollution (prevention);legal aspect;statistics;Sweden (epidemiology)</t>
  </si>
  <si>
    <t>ID: 3680</t>
  </si>
  <si>
    <t>http://www.ncbi.nlm.nih.gov/pubmed/2215016</t>
  </si>
  <si>
    <t>A government survey and program of the medical society: tobacco policy in the 1990's ORIGINAL (NON-ENGLISH) TITLE Statlig utredning och fâ”œâ•¢rbundsprogram: tobakspolitik fâ”œâ•¢r 1990-talet. AUTHOR ADDRESSES SOURCE Lâ”œÃ±kartidningen (1990) 87(TRUNCATED)</t>
  </si>
  <si>
    <t>10569922; Addiction medicine. AUTHOR ADDRESSES SOURCE Clinical privilege white paper (1999) :123 (1-17). Date of Publication: Sep 1999</t>
  </si>
  <si>
    <t>accreditation;addiction (therapy);hospital management;article;clinical competence;human;medicine;standard</t>
  </si>
  <si>
    <t>ID: 3411</t>
  </si>
  <si>
    <t>http://www.ncbi.nlm.nih.gov/pubmed/10569922</t>
  </si>
  <si>
    <t>Addiction medicine. AUTHOR ADDRESSES SOURCE Clinical privilege white paper (1999) :123 (1-17). Date of Publication: Sep 1999</t>
  </si>
  <si>
    <t>15061141; Addiction medicine. AUTHOR ADDRESSES SOURCE Clinical privilege white paper (2004) :123 (1-8). Date of Publication: Apr 2004</t>
  </si>
  <si>
    <t>accreditation;addiction;psychiatry;anesthesiology;article;clinical competence;education;general practitioner;hospital management;human;medical education;medical society;standard;United States</t>
  </si>
  <si>
    <t>ID: 3238</t>
  </si>
  <si>
    <t>http://www.ncbi.nlm.nih.gov/pubmed/15061141</t>
  </si>
  <si>
    <t>Addiction medicine. AUTHOR ADDRESSES SOURCE Clinical privilege white paper (2004) :123 (1-8). Date of Publication: Apr 2004</t>
  </si>
  <si>
    <t>21696020; Addiction psychiatry. AUTHOR ADDRESSES SOURCE Clinical privilege white paper (2011) :426 (1-17). Date of Publication: Apr 2011</t>
  </si>
  <si>
    <t>accreditation;addiction;medical education;psychiatry;article;certification;education;hospital management;human;medical society;standard;United States</t>
  </si>
  <si>
    <t>ID: 2706</t>
  </si>
  <si>
    <t>http://www.ncbi.nlm.nih.gov/pubmed/21696020</t>
  </si>
  <si>
    <t>Addiction psychiatry. AUTHOR ADDRESSES SOURCE Clinical privilege white paper (2011) :426 (1-17). Date of Publication: Apr 2011</t>
  </si>
  <si>
    <t>Alcohol - A balanced view AUTHOR ADDRESSES SOURCE Royal College of General Practitioners - Reports from General Practice (1986) No. 24 (1-57). Date of Publication: 1986</t>
  </si>
  <si>
    <t>alcoholism;disability;education;health care policy;medical education;postgraduate education;risk factor;central nervous system;geographic distribution;human;organization and management;prevention;psychological aspect;short survey;social aspect;Public Health, Social Medicine and Epidemiology (17);Psychiatry (32)</t>
  </si>
  <si>
    <t>Alcohol has great social and economic significance in society and a full understanding of its role cannot be based upon any purely medical model. Harms arise from the use of alcohol and the risk of these harms is related most directly to the level of consumption of each individual; this, in turn, is closely linked with the overall consumption in the whole community. The greater part of the total harm in the community arises within the group that drinks 'moderately', that is to say, has a weekly consumption of between 21-50 units (men) and 16-35 units (women). A major opportunity is afforded to general practitioners to inform the public and every patient about these facts and to assist every individual to reduce consumption appropriately.</t>
  </si>
  <si>
    <t>ID: 3770</t>
  </si>
  <si>
    <t>1987121065 PUI L17053565</t>
  </si>
  <si>
    <t>Alcohol education in the medical curriculum AUTHOR ADDRESSES SOURCE J.ALCOHOL. (1975) 10:3 (89-90). Date of Publication: 1975</t>
  </si>
  <si>
    <t>alcoholism;curriculum;education;medical education;medical student;major clinical study;Public Health, Social Medicine and Epidemiology (17);Psychiatry (32)</t>
  </si>
  <si>
    <t>ID: 3887</t>
  </si>
  <si>
    <t>1976168859 PUI L6168786</t>
  </si>
  <si>
    <t>967979; Alcoholism AUTHOR ADDRESSES SOURCE Royal Society of Health Journal (1976) 96:4 (148). Date of Publication: 1976</t>
  </si>
  <si>
    <t>alcoholism;medical education;methodology;prevention;therapy;Public Health, Social Medicine and Epidemiology (17);Internal Medicine (6);Psychiatry (32);Forensic Science Abstracts (49)</t>
  </si>
  <si>
    <t>ID: 3880</t>
  </si>
  <si>
    <t>http://www.ncbi.nlm.nih.gov/pubmed/967979</t>
  </si>
  <si>
    <t>Alcoholism AUTHOR ADDRESSES SOURCE Royal Society of Health Journal (1976) 96:4 (148). Date of Publication: 1976</t>
  </si>
  <si>
    <t>4091764; Australian College of Paediatrics. Policy statement: Smoking. AUTHOR ADDRESSES SOURCE Australian paediatric journal (1985) 21:4 (235). Date of Publication: Nov 1985</t>
  </si>
  <si>
    <t>indoor air pollution (prevention);medical school;smoking (prevention);adolescent;article;Australia;child;education;female;human;infant;pediatrics;practice guideline;pregnancy;preschool child</t>
  </si>
  <si>
    <t>ID: 3788</t>
  </si>
  <si>
    <t>0004-993X</t>
  </si>
  <si>
    <t>http://www.ncbi.nlm.nih.gov/pubmed/4091764</t>
  </si>
  <si>
    <t>Australian College of Paediatrics. Policy statement: Smoking. AUTHOR ADDRESSES SOURCE Australian paediatric journal (1985) 21:4 (235). Date of Publication: Nov 1985</t>
  </si>
  <si>
    <t>Continuing Education Quiz: Dialectical behavior therapy for substance abusers adapted for persons living with HIV/AIDS with substance use diagnoses and borderline personality disorder (Wagner et al., pp. 202-212) AUTHOR ADDRESSES SOURCE Cognitive and Behavioral Practice (2004) 11:2 (257-259). Date of Publication: 2004</t>
  </si>
  <si>
    <t>behavior therapy;substance abuse;acquired immune deficiency syndrome (disease management);borderline state (diagnosis, disease management, therapy);conflict;highly active antiretroviral therapy;human;Human immunodeficiency virus infection (disease management);language;note;patient counseling;priority journal;psychotherapist;psychotherapy;questionnaire;Immunology, Serology and Transplantation (26);Psychiatry (32);Health Policy, Economics and Management (36);Microbiology: Bacteriology, Mycology, Parasitology and Virology (4);Drug Dependence, Alcohol Abuse and Alcoholism (40)</t>
  </si>
  <si>
    <t>ID: 3202</t>
  </si>
  <si>
    <t>1077-7229</t>
  </si>
  <si>
    <t>2005091032 PUI L40278155</t>
  </si>
  <si>
    <t>Continuing Education Quiz: Dialectical behavior therapy for substance abusers adapted for persons living with HIV/AIDS with substance use diagnoses and borderline personality disorder (Wagner et al., pp. 202-212) AUTHOR ADDRESSES SOURCE Cognitiv(TRUNCATED)</t>
  </si>
  <si>
    <t>Continuing medical education: Drug addiction AUTHOR ADDRESSES SOURCE New England Journal of Medicine (2003) 349:10 (1011). Date of Publication: 4 Sep 2003</t>
  </si>
  <si>
    <t>amphetamine;cannabis;diamorphine;morphine;psychostimulant agent;drug dependence;alcoholism;alertness;arousal;drug half life;euphoria;human;intoxication;motor activity;note;priority journal;psychomotor activity;somnolence;wellbeing;withdrawal syndrome;amphetamine (1200-47-1, 139-10-6, 156-34-3, 2706-50-5, 300-62-9, 51-62-7,;60-13-9, 60-15-1);cannabis (8001-45-4, 8063-14-7);diamorphine (1502-95-0, 561-27-3);morphine (52-26-6, 57-27-2);Drug Dependence, Alcohol Abuse and Alcoholism (40)</t>
  </si>
  <si>
    <t>ID: 3258</t>
  </si>
  <si>
    <t>2003356222 PUI L37064784</t>
  </si>
  <si>
    <t>16408381; Conversation with Sheila Blume AUTHOR ADDRESSES SOURCE Addiction (2006) 101:1 (31-39). Date of Publication: January 2006</t>
  </si>
  <si>
    <t>health practitioner;medical education;substance abuse;alcoholism;human;medical research;medical school;mental disease (therapy);neuroanatomy;note;psychiatric treatment;training;Public Health, Social Medicine and Epidemiology (17);Psychiatry (32)</t>
  </si>
  <si>
    <t>Blackwell Publishing Ltd, 9600 Garsington Road, Oxford, United Kingdom.; ID: 3132</t>
  </si>
  <si>
    <t>0965-2140 1360-0443 (electronic)</t>
  </si>
  <si>
    <t>http://www.ncbi.nlm.nih.gov/pubmed/16408381</t>
  </si>
  <si>
    <t>10.1111/j.1360-0443.2005.01261.x FULL TEXT LINK http://dx.doi.org/10.1111/j.1360-0443.2005.01261.x</t>
  </si>
  <si>
    <t>Conversation with Sheila Blume AUTHOR ADDRESSES SOURCE Addiction (2006) 101:1 (31-39). Date of Publication: January 2006</t>
  </si>
  <si>
    <t>8383556; Conversation with Wilhelm Feuerlein AUTHOR ADDRESSES SOURCE Addiction (1993) 88:1 (47-51). Date of Publication: 1993</t>
  </si>
  <si>
    <t>alcoholism;medical education;alcohol withdrawal syndrome;conversation;Germany;history;hospital patient;human;note;outpatient department;psychiatrist;research;Public Health, Social Medicine and Epidemiology (17);Psychiatry (32);Drug Dependence, Alcohol Abuse and Alcoholism (40)</t>
  </si>
  <si>
    <t>In this occasional series we record the views and personal experience of people who have specially contributed to the evolution of ideas in the journal's field of interest. Professor Wilhelm Feuerlein is a German psychiatrist who pioneered alcohol problems treatment research in his country and who has exerted a leading European influence.</t>
  </si>
  <si>
    <t>Blackwell Publishing Ltd, 9600 Garsington Road, Oxford, United Kingdom.; ID: 3603</t>
  </si>
  <si>
    <t>http://www.ncbi.nlm.nih.gov/pubmed/8383556</t>
  </si>
  <si>
    <t>Conversation with Wilhelm Feuerlein AUTHOR ADDRESSES SOURCE Addiction (1993) 88:1 (47-51). Date of Publication: 1993</t>
  </si>
  <si>
    <t>2734703; Doctors hear Koop on AIDS, tobacco issues. AUTHOR ADDRESSES SOURCE Texas medicine (1989) 85:5 (16). Date of Publication: May 1989</t>
  </si>
  <si>
    <t>acquired immune deficiency syndrome;medical education;smoking (adverse drug reaction);article;disease transmission;human;risk factor;United States</t>
  </si>
  <si>
    <t>ID: 3719</t>
  </si>
  <si>
    <t>http://www.ncbi.nlm.nih.gov/pubmed/2734703</t>
  </si>
  <si>
    <t>Doctors hear Koop on AIDS, tobacco issues. AUTHOR ADDRESSES SOURCE Texas medicine (1989) 85:5 (16). Date of Publication: May 1989</t>
  </si>
  <si>
    <t>Erratam to Feasibility study of rapid opioid rotation and titration (Pain Physician (2011), 14, (71-82)) AUTHOR ADDRESSES SOURCE Pain Physician (2011) 14:2 (217). Date of Publication: March/April 2011</t>
  </si>
  <si>
    <t>error;erratum;Neurology and Neurosurgery (8)</t>
  </si>
  <si>
    <t>Association of Pain Management Anesthesiologists, 2831 Lone Oak Road, Paducah, United States.; ID: 2714</t>
  </si>
  <si>
    <t>2011160354 PUI L361474732</t>
  </si>
  <si>
    <t>Erratum: Improvements in HCV-related knowledge among substance users on opioid agonist therapy after an educational intervention (Journal of Addiction Medicine (2016) 10 (363-364) DOI: 10.1097/ADM.0000000000000244) AUTHOR ADDRESSES SOURCE Journal of Addiction Medicine (2017) 11:1 (82). Date of Publication: 2017</t>
  </si>
  <si>
    <t>error;erratum;Drug Dependence, Alcohol Abuse and Alcoholism (40)</t>
  </si>
  <si>
    <t>Due to the authors' oversight, the following acknowledgment was not included on the letter to the editor published on page 363 of the September-October 2016 issue. Acknowledgements: We thank the Health Research Board of Ireland (ID: HRA-HSR-2012-14) and the Health Programme of the European Union (Hepcare Europe Project) who funded the work.</t>
  </si>
  <si>
    <t>Lippincott Williams and Wilkins, agents@lww.com; ID: 1868</t>
  </si>
  <si>
    <t>1935-3227 (electronic) 1932-0620</t>
  </si>
  <si>
    <t>20170204722 PUI L614902950</t>
  </si>
  <si>
    <t>10.1097/ADM.0000000000000273 FULL TEXT LINK http://dx.doi.org/10.1097/ADM.0000000000000273</t>
  </si>
  <si>
    <t>Erratum: Improvements in HCV-related knowledge among substance users on opioid agonist therapy after an educational intervention (Journal of Addiction Medicine (2016) 10 (363-364) DOI: 10.1097/ADM.0000000000000244) AUTHOR ADDRESSES SOURCE Journa(TRUNCATED)</t>
  </si>
  <si>
    <t>7668021; "Free from tobacco" educational program for smoking counseling and therapy in the physician's practice ORIGINAL (NON-ENGLISH) TITLE Schulungsprogramm "Frei von Tabak" zur Raucherberatung und Rauchertherapie in der Arztpraxis. AUTHOR ADDRESSES SOURCE Zeitschrift fâ”œâ•r â”œÃ±rztliche Fortbildung (1995) 89:3 (313-314). Date of Publication: Jun 1995</t>
  </si>
  <si>
    <t>patient education;smoking (adverse drug reaction, prevention);smoking cessation;article;doctor patient relation;human</t>
  </si>
  <si>
    <t>ID: 3542</t>
  </si>
  <si>
    <t>http://www.ncbi.nlm.nih.gov/pubmed/7668021</t>
  </si>
  <si>
    <t>Free from tobacco educational program for smoking counseling and therapy in the physician's practice ORIGINAL (NON-ENGLISH) TITLE Schulungsprogramm "Frei von Tabak" zur Raucherberatung und Rauchertherapie in der Arztpraxis. AUTHOR ADDRESSES SO(TRUNCATED)</t>
  </si>
  <si>
    <t>Funding announced for pharmacists to undertake management of drug misuse training AUTHOR ADDRESSES SOURCE Pharmaceutical Journal (2005) 275:7370 (435). Date of Publication: 8 Oct 2005</t>
  </si>
  <si>
    <t>methadone (drug therapy);drug misuse (drug therapy);financial management;medical education;pharmacy;general practitioner;health care organization;human;note;opiate addiction (drug therapy);pharmacist;practice guideline;primary health care;professional practice;United Kingdom;methadone (1095-90-5, 125-56-4, 23142-53-2, 297-88-1, 76-99-3);Public Health, Social Medicine and Epidemiology (17);Drug Literature Index (37);Drug Dependence, Alcohol Abuse and Alcoholism (40)</t>
  </si>
  <si>
    <t>ID: 3153</t>
  </si>
  <si>
    <t>0031-6873</t>
  </si>
  <si>
    <t>2005473583 PUI L41489090</t>
  </si>
  <si>
    <t>3232399; Medical students hold anti-tobacco art contest for kids. AUTHOR ADDRESSES SOURCE Wisconsin medical journal (1988) 87:10 (31). Date of Publication: Oct 1988</t>
  </si>
  <si>
    <t>health promotion;smoking (prevention);student;adolescent;article;child;human;methodology;United States</t>
  </si>
  <si>
    <t>ID: 3735</t>
  </si>
  <si>
    <t>http://www.ncbi.nlm.nih.gov/pubmed/3232399</t>
  </si>
  <si>
    <t>Medical students hold anti-tobacco art contest for kids. AUTHOR ADDRESSES SOURCE Wisconsin medical journal (1988) 87:10 (31). Date of Publication: Oct 1988</t>
  </si>
  <si>
    <t>10072738; Page for patients. A message from Preventive Medicine and your physician. AUTHOR ADDRESSES SOURCE Preventive medicine (1999) 28:3 (219-220). Date of Publication: Mar 1999</t>
  </si>
  <si>
    <t>(MAJOR FOCUS);nicotine (drug therapy);nicotinic agent (drug therapy);patient education;smoking (prevention);article;chewing gum;human;intradermal drug administration;intranasal drug administration;nicotine (54-11-5)</t>
  </si>
  <si>
    <t>ID: 3430</t>
  </si>
  <si>
    <t>http://www.ncbi.nlm.nih.gov/pubmed/10072738</t>
  </si>
  <si>
    <t>Page for patients. A message from Preventive Medicine and your physician. AUTHOR ADDRESSES SOURCE Preventive medicine (1999) 28:3 (219-220). Date of Publication: Mar 1999</t>
  </si>
  <si>
    <t>Poster Abstracts from the AAAP 19th Annual Meeting and Symposium AUTHOR ADDRESSES SOURCE American Journal on Addictions (2009) 18:4. Date of Publication: July 2009</t>
  </si>
  <si>
    <t>cannabis;cocaine;opiate;tiagabine;abuse;addiction;adolescent;Brazil;death;diagnosis;drug therapy;insomnia;learning;maintenance therapy;medical ethics;medical student;methadone treatment;morbidity;myoclonus;opiate addiction;patient;psychiatry;residency education;risk factor;safety;substance abuse;therapy;tobacco dependence;veteran</t>
  </si>
  <si>
    <t>The proceedings contain 27 papers. The topics discussed include: seeking safety therapy for veterans: a preliminary analysis of outcome data; CMOT - inhibitors may be a promising tool in treatment of marijuana addiction; psychiatry resident training in office-based treatment of opioid dependence (OBOT): a new method of addiction training and early results; premature death in older opiate addicts in methadone maintenance treatment and medical co-morbidities as risk factors; interactive online learning for medical students about opioid abuse and treatment; insomnia in dual diagnosis patients; myoclonus cases associated with tiagabine treatment for cocaine and opioid dependent patients; the medication use for nicotine dependence at a treatment program in Rio de Janeiro, Brazil; and the limits of the clinical ethics while treating an adolescent with substance abuse problem and his family.</t>
  </si>
  <si>
    <t>AAAP 19th Annual Meeting and Symposium Informa Healthcare; ID: 2891</t>
  </si>
  <si>
    <t>English PUI L70022145</t>
  </si>
  <si>
    <t>19117077; Proceedings from the 2006 annual meeting of the ISAM (International Society of Addiction Medicine), Oporto, Portugal. AUTHOR ADDRESSES SOURCE Substance abuse : official publication of the Association for Medical Education and Research in Substance Abuse (2008) 29:3 (1-102). Date of Publication: 2008</t>
  </si>
  <si>
    <t>addiction;conference paper;human</t>
  </si>
  <si>
    <t>ID: 2949</t>
  </si>
  <si>
    <t>http://www.ncbi.nlm.nih.gov/pubmed/19117077</t>
  </si>
  <si>
    <t>10.1080/08897070802218091 FULL TEXT LINK http://dx.doi.org/10.1080/08897070802218091</t>
  </si>
  <si>
    <t>Proceedings from the 2006 annual meeting of the ISAM (International Society of Addiction Medicine), Oporto, Portugal. AUTHOR ADDRESSES SOURCE Substance abuse : official publication of the Association for Medical Education and Research in Substan(TRUNCATED)</t>
  </si>
  <si>
    <t>1124066; Prohibition of smoking during courses of continuing medical education ORIGINAL (NON-ENGLISH) TITLE Rauchverbot bei Fortbildungsveranstaltungen AUTHOR ADDRESSES SOURCE Medizinische Monatsschrift (1975) 29:3 (141-142). Date of Publication: Mar 1975</t>
  </si>
  <si>
    <t>medical education;medicolegal aspect;smoking;article;German Federal Republic</t>
  </si>
  <si>
    <t>ID: 3913</t>
  </si>
  <si>
    <t>http://www.ncbi.nlm.nih.gov/pubmed/1124066</t>
  </si>
  <si>
    <t>Prohibition of smoking during courses of continuing medical education ORIGINAL (NON-ENGLISH) TITLE Rauchverbot bei Fortbildungsveranstaltungen AUTHOR ADDRESSES SOURCE Medizinische Monatsschrift (1975) 29:3 (141-142). Date of Publication: Mar 1975</t>
  </si>
  <si>
    <t>Report of the Eighty first Session, Canberra, October, 1975 AUTHOR ADDRESSES SOURCE NAT.HLTH MRC SPEC.REP.SER. (1976) No. 81. Date of Publication: 1976</t>
  </si>
  <si>
    <t>(MAJOR FOCUS);antibiotic agent;food additive;hormone;pesticide;poison;acupuncture;Aedes aegypti;agriculture;alcoholism;child health care;communicable disease;dental health;environmental health;health economics;health program;indigenous people;maternal welfare;medical education;medical research;mental health;microbiology;nursing;nutritional health;occupational health;radiation;smoking;standardization;statistics;traffic injury;arthropod;child;injury;microorganism;prevention;Public Health, Social Medicine and Epidemiology (17)</t>
  </si>
  <si>
    <t>ID: 3873</t>
  </si>
  <si>
    <t>1977186242 PUI L7186073</t>
  </si>
  <si>
    <t>Report on legislation AUTHOR ADDRESSES SOURCE Illinois Medical Journal (1974) 146:3 (197-198+224). Date of Publication: 1974</t>
  </si>
  <si>
    <t>drug dependence;health program;law;medical school;mental health service;public health service;legal aspect;prevention;therapy;Public Health, Social Medicine and Epidemiology (17)</t>
  </si>
  <si>
    <t>ID: 3919</t>
  </si>
  <si>
    <t>1975123798 PUI L5123718</t>
  </si>
  <si>
    <t>9549764; Survey of alcohol, drug use by radiologic technologists. ASRT Research and Development Committee. AUTHOR ADDRESSES SOURCE Radiologic technology (1998) 69:4 (343-350). Date of Publication: 1998 Mar-Apr</t>
  </si>
  <si>
    <t>addiction (epidemiology);alcoholism (epidemiology);paramedical personnel;radiology;adult;article;female;human;male;middle aged;questionnaire;statistics</t>
  </si>
  <si>
    <t>ID: 3460</t>
  </si>
  <si>
    <t>http://www.ncbi.nlm.nih.gov/pubmed/9549764</t>
  </si>
  <si>
    <t>Survey of alcohol, drug use by radiologic technologists. ASRT Research and Development Committee. AUTHOR ADDRESSES SOURCE Radiologic technology (1998) 69:4 (343-350). Date of Publication: 1998 Mar-Apr</t>
  </si>
  <si>
    <t>Youth and drugs ORIGINAL (NON-ENGLISH) TITLE 'JUGEND UND SUCHT' AUTHOR ADDRESSES SOURCE Deutsche Apotheker Zeitung (1977) 117:33 (1348). Date of Publication: 1977</t>
  </si>
  <si>
    <t>drug abuse;juvenile;child;Drug Dependence, Alcohol Abuse and Alcoholism (40)</t>
  </si>
  <si>
    <t>'Youth and Addiction' was the theme of the annual scientific and practical conference of the German Bureau of the Anti Addiction campaign held on October 17th to 20th 1977 in Mainz. In it the prophylactic measures and the possibilities in the various spheres of young persons were dealt with and also the influencing on the motivation of those not willing to accept therapy, that is to say, the persuasion exerted by the family, doctor, counselling centres, and the judges of the youth courts, examined. Also the therapeutic possibilities in penal institutions were considered. During the conference those interested in a medium market (films, series of slides, teaching units etc) gave a general panoramic review of the educational work. Information is available from the Anti Addiction Office (Deutsche Hauptstelle gegen die Suchgefahren, Bahnhofstrasse 2, 4700 Mainz).</t>
  </si>
  <si>
    <t>ID: 3866</t>
  </si>
  <si>
    <t>1978155014 PUI L8154446</t>
  </si>
  <si>
    <t>Abbasi-Ghahramanloo,A.;Rahimi-Movaghar,A.;Zeraati,H.;Safiri,S.;Fotouhi,A.;Author,Addresses;School,of Public;Tehran University of,Medical Sciences;Iranian,National Center;Addiction Studies, Iranian Institute for Reduction,of High;Behaviors,Tehran University of Medical Sciences Tehran Iran;Department of,Epidemiology;Biostatistics,School of Public;Health,Tehran University of Medical Sciences Tehran Iran;Correspondence,Address;Rahimi-Movaghar, Iranian National Center for Addiction Studies,A.;Iranian Institute for Reduction of High-Risk Behaviors, Tehran,University of;Medical Sciences, Tehran Iran Email rahimia tums,ac ir</t>
  </si>
  <si>
    <t>Prevalence of hookah smoking and its related factors among students of Tehran University of Medical Sciences, 2012-2013</t>
  </si>
  <si>
    <t>Iranian Journal of Psychiatry and Behavioral Sciences</t>
  </si>
  <si>
    <t>10:2 Article Number: e4551.</t>
  </si>
  <si>
    <t>college;high risk behavior;medicine;prevalence;smoking;student;university;alcohol consumption;chi square test;controlled clinical trial;controlled study;cross-sectional study;family study;female;friend;gender;human;Iranian (citizen);logistic regression analysis;major clinical study;male;model;odds ratio;randomized controlled trial;sampling;structured questionnaire</t>
  </si>
  <si>
    <t>Background: Hookah smoking has increased worldwide, especially among young people. Objectives: The aim of the present study was to determine the prevalence of hookah use and related factors in a sample of Iranian students of medical sciences. Materials and Methods: A cross-sectional study was conducted on 1992 randomly selected sample of students of Tehran University of Medical Sciences during 2012 - 2013. A multistage sampling method was used and anonymous structured questionnaires were distributed to the students of each selected class. Chi-square test, Fisher's exact test and multiple binary logistic regression analyses were performed and P &lt; 0.05 was considered as a significance level. Results: Lifetime, last year and last month prevalence rates of hookah smoking were 26.6% (95% CI: 24.7 - 28.6), 17.8% (95% CI: 16.1 - 19.5) and 8.9% (95% CI: 7.7 - 10.2), respectively. The results of logistic regression model showed that male gender odds ratio (OR) = 2.8, 95% CI: 1.86 - 4.21], cigarette smoking in the past year (OR = 5.6, 95% CI: 3.21 - 9.83), alcohol use in the past year (OR = 7.4, 95% CI: 4.01 - 13.06), cigarette or hookah smoking in the family members (OR = 1.7, 95% CI: 1.13 - 2.51), cigarette or hookah smoking among friends (OR = 4.4, 95% CI: 2.69 - 7.33), alcohol use by friends in the past year (OR = 1.9, 95%</t>
  </si>
  <si>
    <t>(Abbasi-Ghahramanloo A.; Zeraati H.; Fotouhi A.) (Rahimi-Movaghar A., rahimia@tums.ac.ir) (INCAS) (Safiri S.) Mazandaran University of Medical Sciences, jmums@mazums.ac.ir; ID: 2022</t>
  </si>
  <si>
    <t>1735-9287 (electronic) 1735-8639</t>
  </si>
  <si>
    <t>20160659074 PUI L612115083</t>
  </si>
  <si>
    <t>10.17795/ijpbs-4551 FULL TEXT LINK http://dx.doi.org/10.17795/ijpbs-4551</t>
  </si>
  <si>
    <t>Abraha,Z. G.;Author,Addresses;Pharmacy,Ministry of Health Asmara Eritrea;Correspondence,Address;ZG Abraha, Pharmacy Ministry of Health,Asmara Eritrea</t>
  </si>
  <si>
    <t>Cigarette smoking and the determinants of smoking among vilnius university medical students</t>
  </si>
  <si>
    <t>Global Heart</t>
  </si>
  <si>
    <t>June</t>
  </si>
  <si>
    <t>e132</t>
  </si>
  <si>
    <t>cardiology;human;medical student;smoking;university;catering service;cross-sectional study;death;Europe;exposure;female;follow up;friend;gender;health;health practitioner;male;medical school;passive smoking;peer group;prevalence;school;smoking ban;structured questionnaire;student</t>
  </si>
  <si>
    <t>Introduction: Globally, smoking is the most preventable cause of premature death. The high smoking prevalence in Europe, particularly in east Europe is also a cause for concern. Smoking among health professionals is also one of the major challenges in involving health professionals in the fight against smoking, especially in countries where there are many health professionals smoking. Objectives: The purpose of this study was to assesses the prevalence of smoking among Vilnius medical faculty students and identify their attitudes and socioeconomic characteristics related to smoking. Methods: A cross sectional study with structured questionnaire was conducted among 334 Vilnius medical faculty students with 85% response rate. Results: Almost 30% of the students were current smokers. There were an observed difference between the gender current smoking status. There were more male smokers (41.8%) as compared to females(26.3%). On the contrary, there were more female former smokers (49.8%) than males (35.8%). Moreover, there was no significant difference with respect to the different fields of study and their smoking status. However, high secondhand exposure in public places and schools were reported. There was no significant difference with regard to the perceived knowledge about dangers of smoking on health and availability of cessation programs and antismoking activities in their school among the respondents. Over 80% of the respondents are in favor of the complete ban of smoking in restaurants and nightclubs. Furthermore, close friends smoking behavior is the major predictor of smoking among the current smokers. Conclusion: The current high prevalence of smoking among the medical students is a cause for concern, assuming their future role as health professional. School based anti smoking initiatives and peer group health clubs could help in reducing the existing prevalence of smoking among the students. Furthermore, follow up on the implementation of the smoke free policy to minimize the current reported high secondhand smoke exposure in public place would also have a paramount importance in reducing and discouraging the smoking behaviors and reducing the prevalence.</t>
  </si>
  <si>
    <t>(Abraha Z.G.) World Congress of Cardiology Scientific Sessions 2016, WCC 2016 Mexico City, Mexico 2016-06-04 to 2016-06-07 Elsevier; ID: 1943</t>
  </si>
  <si>
    <t>2211-8179</t>
  </si>
  <si>
    <t>10.1016/j.gheart.2016.03.458 FULL TEXT LINK http://dx.doi.org/10.1016/j.gheart.2016.03.458</t>
  </si>
  <si>
    <t>Acar,S. T.;Yazici,K.;Kâ”œâ•¢ksal,R.;Sanberk,S.;Yazici,A.;Author,Addresses;Mersin;â”œÂ£niversitesi Tip Fakâ”œâ•ltesi,Psikiyatri Ad;Mersin â”œÂ£niversitesi,Tip Fak;Turkey;Correspondence,Address;Zeytinlibahâ”œÂºe,S.T.Acar, Mersin â”œÂ£niversitesi Tip Fakâ”œâ•ltesi Psikiyatri A.D.;Cad 33079 Mersin, Turkey Email seneltot mersin,edu tr</t>
  </si>
  <si>
    <t>One more cup of coffee, my dear professor? caffeine, alcohol and cigarette consumption among students, residents and teaching staff in a medical faculty ORIGINAL (NON-ENGLISH) TITLE Hocam, bir kahve daha al{dotless}r m{dotless}yd{dotless}n{dotless}z? bir t{dotless}p fakâ”œâ•ltesinde â”œâ•¢â•ŸÂºrenciler, asistanlar ve â”œâ•¢â•ŸÂºretim â”œâ•yeleri aras{dotless}nda kafein, alkol ve sigara tâ”œâ•ketimi</t>
  </si>
  <si>
    <t>Yeni Symposium</t>
  </si>
  <si>
    <t>April</t>
  </si>
  <si>
    <t>(MAJOR FOCUS);caffeine;coffee;alcohol consumption;anxiety;article;Beck Anxiety Inventory;Beck Depression Inventory;cigarette smoking;correlation analysis;depression;disease association;female;human;male;medical education;medical school;medical student;questionnaire;resident;teacher;teaching;caffeine (58-08-2);Public Health, Social Medicine and Epidemiology (17);Psychiatry (32);Drug Dependence, Alcohol Abuse and Alcoholism (40)</t>
  </si>
  <si>
    <t>Purpose: To investigate the association of daily the level of caffeine intake, cigarette smoking and alcohol intake with the level of anxiety and depression among the students, residents and teaching staff, and to compare those three groups for these variables. Method: Study population consisted of 130 students (male: 67, female: 63), 54 residents (male: 31, female: 23), and 35 members of teaching staff (male: 18, female: 17). Students were divided into two groups as those in basic medical education phase (within first 3 years) and those in clinical medical education (within last 3 years). All subjects were administered a 14-item questionnaire concerning caffeine, cigarette and alcohol use, and Beck Depression and Beck Anxiety scales. Results: Total caffeine intake values by male subjects (n=116) and female subjects (n=103) were 288.8 mg/day and 214.7 mg/day respectively (p=0.002). Daily caffeine consumption in different groups were as follows: teaching staff 346â”¬â–’183 mg/day, residents 258â”¬â–’204 mg/day, clinical medical education students 248 mg/day and basic medical education students 202â”¬â–’141 mg/day. Caffeine intake was positively correlated with alcohol intake and number of cigarettes consumed (r= 0.232, p=0.001 and r=0.351, p=0.0001, respectively). There was no association between caffeine and cigarette consumption and anxiety and depression scores. Discussion and Conclusion: Caffeine intake was higher in males than females and in teaching staff than students. Cigarette smoking and alcohol intake increases with caffeine intake. Amount of caffeine consumed was not associated with depression and anxiety levels.</t>
  </si>
  <si>
    <t>(Acar S.T., seneltot@mersin.edu.tr; Yazici K.; Kâ”œâ•¢ksal R.; Yazici A.) (Sanberk S.) Istanbul Universitesi, Aksaray, Istanbul, Turkey.; ID: 2701</t>
  </si>
  <si>
    <t>1300-8773 1304-4591 (electronic)</t>
  </si>
  <si>
    <t>2011315412 PUI L361907320</t>
  </si>
  <si>
    <t>English, Turkish</t>
  </si>
  <si>
    <t>One more cup of coffee, my dear professor? caffeine, alcohol and cigarette consumption among students, residents and teaching staff in a medical faculty ORIGINAL (NON-ENGLISH) TITLE Hocam, bir kahve daha al{dotless}r m{dotless}yd{dotless}n{dotle(TRUNCATED)</t>
  </si>
  <si>
    <t>Accortt,N. A.;Waterbor,J. W.;Beall,C.;Howard,G.;Brooks,C. M.;Author,Addresses;University of Alabama, Biostatistics,Unit Comprehensive;Cancer Center,Birmingham,A.L.United States;Department,of Epidemiology;of Public,Health;Department of Biostatistics, School of,Public Health;School of,Health Related;Department of Epidemiology, School,of Public;Health,University Boulevard Birmingham A.L.United States;Correspondence,Address;JW Waterbor, Department of Epidemiology School of,Public Health;University Boulevard, Birmingham A L United,States Email;h2Obor@ucb.edu</t>
  </si>
  <si>
    <t>16497134; Need to educate primary caregivers about the risk factor profile of smokeless tobacco users</t>
  </si>
  <si>
    <t>Winter</t>
  </si>
  <si>
    <t>caregiver;health education;leukoplakia (epidemiology, etiology, prevention);mouth cancer (epidemiology, etiology, prevention);smokeless tobacco;adult;age;aged;alcohol consumption;article;body mass;cancer risk;controlled study;dentist;female;fruit;human;major clinical study;male;physician;priority journal;risk factor;sex difference;smoking;socioeconomics;United States;vegetable;Otorhinolaryngology (11);Cancer (16);Public Health, Social Medicine and Epidemiology (17)</t>
  </si>
  <si>
    <t>Background. Many cancer risk factors are correlated with one another, and the presence of 1 risk factor may be a marker for other unhealthy behaviors. In this article, we focus on smokeless tobacco (ST), a known risk factor for oral leukoplakia and oral cancer, and the cancer risk factors associated with its use. Methods. We analyzed cross-sectional data from the National Health and Nutrition Examination Survey (NHANES) I and the 1982-1984 NHANES I Epidemiologic Follow-up Study. Risk factor information was available on individuals 25-74 years of age, most of whom would be middle age or elderly today. Results. Older subjects, Black males, and those living in the Southern Unite States had the highest prevalence of ST use. ST use was associated with current smoking (odds ratio OR], 1.3; 95% confidence interval CI], 1.1-1.5), former smoking (OR, 1.6; 95% CI, 1.4-2.0), low fruit and vegetable intake, low SES, increased alcohol consumption (among nonsmoking ST users), and increased body mass index, all of which elevate cancer risk. Conclusion. Physicians and dentists should ask their patients about current or former ST use. Identification of ST users should prompt the physician or dentist to inquire about other chronic disease risk factors that the patient may have and to educate the ST using patient about ways to reduce their risk of cancer.</t>
  </si>
  <si>
    <t>(Accortt N.A.) (Waterbor J.W., h2OBor@ucb.edu; Beall C.) (Howard G.) (Brooks C.M.) (Waterbor J.W., h2OBor@ucb.edu) Routledge, 4 Park Square, Milton Park, Abingdon, Oxfordshire, United Kingdom.; ID: 3139</t>
  </si>
  <si>
    <t>http://www.ncbi.nlm.nih.gov/pubmed/16497134</t>
  </si>
  <si>
    <t>10.1207/s15430154jce2004_10 FULL TEXT LINK http://dx.doi.org/10.1207/s15430154jce2004_10</t>
  </si>
  <si>
    <t>Need to educate primary caregivers about the risk factor profile of smokeless tobacco users</t>
  </si>
  <si>
    <t>Acres,D. I.;Author,Addresses</t>
  </si>
  <si>
    <t>Involvement with alcoholism in general practice: a letter to medical students from a family doctor</t>
  </si>
  <si>
    <t>British Journal on Alcohol and Alcoholism</t>
  </si>
  <si>
    <t>alcoholism;general practice;medical education;major clinical study;Public Health, Social Medicine and Epidemiology (17);Psychiatry (32)</t>
  </si>
  <si>
    <t>(Acres D.I.); ID: 3867</t>
  </si>
  <si>
    <t>0309-1635</t>
  </si>
  <si>
    <t>1978147976 PUI L8147408</t>
  </si>
  <si>
    <t>Adamantidis,A.;Author,Addresses;Bern,Switzerland;Correspondence,Address;Adamantidis,Bern Switzerland,A.</t>
  </si>
  <si>
    <t>Optogenetics in neurology</t>
  </si>
  <si>
    <t>European Journal of Neurology</t>
  </si>
  <si>
    <t>21 SUPPL. 1</t>
  </si>
  <si>
    <t>neurology;optogenetics;addiction;animal model;autism;cells by body anatomy;central nervous system;fear;health;human;nervous system;neurologic disease;optics;parkinsonism;pathology;technology</t>
  </si>
  <si>
    <t>Understanding the biological basis of neurological disorders affecting the nervous system is crucial to the development of therapeutic strategies. The heterogeneity of cell types in the central nervous system and their complex wiring into circuits has often limit both clinical and experimental progress in translational medicine. Recently, the optogenetic technology has opened new perspectives to identify the functions of those circuits in health and disease. Optogenetics represents a versatile approach to probe the function of neural circuits in animal model of human pathologies. Combined with electrophysiological, optical or behavioral methods, the use of optogenetics recently identified cellular substrates of disease symptoms, including arousal/sleep, anxiety/depression, addiction, fear, autism and parkinsonism. This lecture will provide the audience with up-to-date information and illustration of optogenetic principles and applications in experimental neurology.</t>
  </si>
  <si>
    <t>(Adamantidis A.) Joint Congress of European Neurology 2014 Istanbul, Turkey 2014-05-31 to 2014-06-03 Blackwell Publishing Ltd; ID: 2237</t>
  </si>
  <si>
    <t>1351-5101</t>
  </si>
  <si>
    <t>Adamantidis,A.;Author,Addresses;Berne,Switzerland;Correspondence,Address;Adamantidis,Berne Switzerland,A.</t>
  </si>
  <si>
    <t>Optogenetics in Neurology</t>
  </si>
  <si>
    <t>Journal of neurology</t>
  </si>
  <si>
    <t>J.Neurol.</t>
  </si>
  <si>
    <t>261 SUPPL. 1</t>
  </si>
  <si>
    <t>S7</t>
  </si>
  <si>
    <t>Understanding the biological basis of neurological disorders affecting the nervous system is crucial to the development of therapeutic strategies. The heterogeneity of cell types in the central nervous system and their complex wiring into circuits has often limit both clinical and experimental progress in translational medicine. Recently, the optogenetic technology has opened new perspective to identify the functions of those circuits in health and disease. Optogenetics represents a versatile approach to probe the function of neural circuits in animal model of human pathologies. Combined with electrophysiological, optical or behavioral methods, the use of optogenetics recently identified cellular substrates of disease symptoms, including arousal/sleep, anxiety/depression, addiction, fear, autism and parkinsonism. This lecture will provide the audience with up-to-date information and illustration of optogenetic principles and applications in experimental neurology.</t>
  </si>
  <si>
    <t>(Adamantidis A.) Joint Congress of European Neurology 2014 Istanbul, Turkey 2014-05-31 to 2014-06-03 D. Steinkopff-Verlag; ID: 2238</t>
  </si>
  <si>
    <t>0340-5354</t>
  </si>
  <si>
    <t>10.1007/s00415-014-7337-4 FULL TEXT LINK http://dx.doi.org/10.1007/s00415-014-7337-4</t>
  </si>
  <si>
    <t>Adams,L. C.;Aronson,S. M.;Author,Addresses;Brown Univ, Providence R. I.;Correspondence,Address;Brown Univ, Providence R. I.</t>
  </si>
  <si>
    <t>Brown University Alcoholism Conference: Introduction</t>
  </si>
  <si>
    <t>alcoholism;medical education;methodology;Public Health, Social Medicine and Epidemiology (17);Psychiatry (32)</t>
  </si>
  <si>
    <t>(Adams L.C.; Aronson S.M.); ID: 3899</t>
  </si>
  <si>
    <t>1976161848 PUI L6161779</t>
  </si>
  <si>
    <t>Addleton,R. L.;Cohen,A. B.;Author,Addresses;Physicians' Institute, U. S. A.;Correspondence,Address;RL Addleton,Physicians',Institute U.</t>
  </si>
  <si>
    <t>21319662; A CME approach to smoking cessation</t>
  </si>
  <si>
    <t>Journal of the Medical Association of Georgia</t>
  </si>
  <si>
    <t>J.Med.Assoc.Ga.</t>
  </si>
  <si>
    <t>medical education;smoking (prevention);smoking cessation;article;human;medical society;methodology;United States</t>
  </si>
  <si>
    <t>Overall, both project participants and project coordinators were very positive about their experiences and the outcomes of the projects. Several projects went beyond expectations, utilizing patient audits to determine outcomes and indicated changes in processes and behaviors to improve patient outcomes in smoking cessation. Many grantees indicated that their project was a catalyst for future programs and other policy changes. Finally, local CME coordinators acknowledged that this type of project with supporting evaluation and content assisted them in providing higher quality CME and meeting the new Accreditation Council for Continuing Medical Education requirements.</t>
  </si>
  <si>
    <t>(Addleton R.L.) (Cohen A.B.); ID: 2741</t>
  </si>
  <si>
    <t>0025-7028</t>
  </si>
  <si>
    <t>http://www.ncbi.nlm.nih.gov/pubmed/21319662</t>
  </si>
  <si>
    <t>A CME approach to smoking cessation</t>
  </si>
  <si>
    <t>Adraneda,A.;Author,Addresses;Chinese General Hospital, Manila Philippines,Pasig City;Philippines;Correspondence,Address;Adraneda, Chinese General Hospital Manila Philippines Pasig City,A.;Philippines</t>
  </si>
  <si>
    <t>Work schedules and smoking behavior outcomes among physicians in training: A cross sectional study</t>
  </si>
  <si>
    <t>Chest</t>
  </si>
  <si>
    <t>148:4 MEETING ABSTRACT.</t>
  </si>
  <si>
    <t>cross-sectional study;human;physician;smoking;work schedule;data analysis;habit;health;health care personnel;health practitioner;hospital;lifestyle;medical specialist;model;population;prevalence;promoter region;questionnaire;smoke;smoking cessation program;social aspect;surgery;training;United States;wellbeing;world health organization</t>
  </si>
  <si>
    <t>PURPOSE: The general objective of this study is to determine the prevalence of smoking among physicians undergoing specialty training. The study also aims to evaluate the smoking behaviors, knowledge and attitudes about smoking among these health professionals and the relationship between smoking motives and working schedules METHODS: A modified survey sheet with questionnaires adapted from the Global Health Professional Survey by the World Health Organization (WHO) and The Wisconsin Inventory of Smoking Dependence Motives (WISDM-68) was distributed among the physicians included in the study. Physicians undergoing specialty training in Metro Manila hospitals were included in the study. The study sample was divided according to duty schedules and the specialty training they are undertaking. RESULTS: Five hundred fifty seven (557) from a total of seven hundred twenty (720) questionnaires were accomplished and included in the data analysis. Participants who were never smokers made up 57.45% of the study population while those who currently smoke made up 27.83% of the overall. For the specialty training programs, the highest prevalence of smoking is observed among physicians in the Surgery group at 39.62%. Among the duty groups, the highest prevalence of smoking was noted on those who are currently on every two (2) days duty schedule. Data collected showed that those with family members, immediate superiors and colleagues who smoke are more likely to smoke as well. CONCLUSIONS: There is a high prevalence of smoking among physicians in training in Metro Manila. Specialty Training and to a lesser extent, the duty hours are major factors that bring about this high prevalence. Social factors such as the presence of a family member, an immediate superior or a colleague who smoke are major determinants in the tendency to smoke. There is a significant difference in knowledge and attitudes between smokers and nonsmokers. CLINICAL IMPLICATIONS: Health care professionals particularly those who are considered specialists should act as role models for health and wellness, and are supposedly promoters of a non-smoking lifestyle. However, a considerable number of physicians continue the habit despite knowing its ill effects and consequences. Hopefully, with the results of this study, it could help reduce the number of smokers or cigarette consumption by improving work schedules among these health care professionals-making them worthy promoters of smoking cessation programs.</t>
  </si>
  <si>
    <t>(Adraneda A.) CHEST 2015 Montreal, QC, Canada 2015-10-24 to 2015-10-28 American College of Chest Physicians; ID: 2057</t>
  </si>
  <si>
    <t>10.1378/chest.2219074 FULL TEXT LINK http://dx.doi.org/10.1378/chest.2219074</t>
  </si>
  <si>
    <t>Adshead,F.;Clare,A. W.;Author,Addresses;St Bartholomew's Hospital,Medical College;Ec1A,B. E.;Correspondence,Address;St Bartholomew's Hospital,Medical College</t>
  </si>
  <si>
    <t>3101934; Doctors' double standards on alcohol</t>
  </si>
  <si>
    <t>alcoholism;drinking behavior;drug abuse;general practitioner;medical school;editorial;human;intoxication;priority journal;United Kingdom;Public Health, Social Medicine and Epidemiology (17);Drug Dependence, Alcohol Abuse and Alcoholism (40);Health Policy, Economics and Management (36)</t>
  </si>
  <si>
    <t>(Adshead F.; Clare A.W.); ID: 3769</t>
  </si>
  <si>
    <t>0959-8146</t>
  </si>
  <si>
    <t>http://www.ncbi.nlm.nih.gov/pubmed/3101934</t>
  </si>
  <si>
    <t>Doctors' double standards on alcohol</t>
  </si>
  <si>
    <t>Agaku,I. T.;Ayo-Yusuf,O.;Connolly,G. N.;Author,Addresses;Center for,Global Tobacco;Department of,Social;Behavioral Sciences, Harvard School,of Public;Health,Huntington Ave Boston M. A.;Correspondence,Address;IT Agaku, Center for Global Tobacco Control Department of,Social and;Behavioral Sciences, Harvard School of Public Health,Huntington Ave;Boston,M. A. E.</t>
  </si>
  <si>
    <t>24385527; Tobacco cessation training among dental and other health professions students in eight low- and middle-income countries</t>
  </si>
  <si>
    <t>dental education;developing country;medical personnel;patient education;smoking cessation;adult;article;curriculum;dental student;dental students;female;health professions students;human;information processing;male;methodology;public health;statistical model;statistics;tobacco cessation counseling;tobacco cessation training</t>
  </si>
  <si>
    <t>This study assessed differences among health professions students in exposure to didactic tobacco cessation training in asking about patients' tobacco use status ("ask") and assisting smoking patients to quit by providing educational materials ("assist"). Data from the 2005-08 Global Health Professions Student Survey were analyzed for 28,420 medical, dental, nursing, and pharmacy students in eight low- and middle-income countries. Country-specific prevalence of exposure to training in tobacco cessation was calculated for each profession category; differences were assessed using logistic regression analysis (p&lt;0.05). The proportion of dental students taught to implement the "ask" intervention ranged from 45.4 percent (Armenia) to 95.2 percent (Chile). Only about one-third of these dental students reported being taught to implement the "assist" intervention in most countries. After adjusting for survey year, country, gender, and tobacco use, the odds of dental students' being taught to implement the "ask" intervention were lower than for medical students (adjusted odds ratio aOR]=0.63; 95% CI: 0.42-0.96). Similarly, the odds of being taught to implement the "assist" intervention were significantly higher for medical (aOR=1.65; 95% CI: 1.26-2.17), nursing (aOR=2.84; 95% CI: 2.37-3.40), and pharmacy students (aOR=1.36; 95CI:1.05-1.76) than for dental students. These findings underscore the need for enhanced measures to incorporate tobacco cessation training as a formal component of dental education globally.</t>
  </si>
  <si>
    <t>(Agaku I.T., iagaku@post.harvard.edu) (Ayo-Yusuf O.A.; Connolly G.N.); ID: 2291</t>
  </si>
  <si>
    <t>1930-7837 (electronic)</t>
  </si>
  <si>
    <t>http://www.ncbi.nlm.nih.gov/pubmed/24385527</t>
  </si>
  <si>
    <t>Tobacco cessation training among dental and other health professions students in eight low- and middle-income countries</t>
  </si>
  <si>
    <t>Agarwal,A. K.;Gugelmann,H.;O'Conor,K.;Shofer,F.;Perrone,J.;Author,Addresses;University of,Pennsylvania;Philadelphia,United States;Veterans Affairs Medical Center, San,Francisco United;States;Johns Hopkins University, School of Medicine,Baltimore United;States;Correspondence,Address;AK Agarwal, University of Pennsylvania Philadelphia,United States</t>
  </si>
  <si>
    <t>Change in provider perspectives about opioid analgesics following a multidisciplinary educational intervention to enhance safe opioid use</t>
  </si>
  <si>
    <t>S131</t>
  </si>
  <si>
    <t>(MAJOR FOCUS);narcotic analgesic agent;opiate;analgesic agent;paracetamol;emergency medicine;society;addiction;analgesia;chronic pain;death;education;follow up;human;intoxication;nurse;nurse practitioner;organization;pain;physician;population;prospective study;resident;responsibility;risk;Student t test</t>
  </si>
  <si>
    <t>Background: Increased opioid prescribing is associated with rising addiction rates, overdoses, and deaths. Although several organizations have established guidelines to effect safe ED opioid prescribing, it is unknown which aspects of provider perspectives are affected when prescribing changes. Objectives: The objective of this study was to assess the effect of an educational intervention upon ED providers' perspectives regarding pain management. Methods: This prospective study measured the change in providers' perspectives following a previously reported ED-based, multidisciplinary educational intervention. The study population included ED nurses, nurse practitioners (NPs), residents, and attending physicians. Participants completed baseline and post-intervention surveys measuring analgesic prescribing preferences and providers' responsibilities. The primary outcome was a change in perspectives measured in group means and assessed by t-test. Secondary outcomes included changes in providers' views of ED pain management. Results: 108 (65.5%) of providers completed the baseline survey and 91 (69%) completed the (6-month) post-intervention survey. Respondents includes nurses (47.2%), attending physicians (22.6%), resident physicians (30.1%), and NPs (4.4%); 32.5% of respondents had practiced over 10 years. Analgesics for acute pain shifted towards NSAIDs and acetaminophen (p=0.012) and away from opioids for chronic pain (p=0.005). Providers increasingly identified the risks of (Table presented) short and long term opioid addiction (p=0.003, 0.0001). Providers acknowledged the potential exacerbation of opioid misuse secondary to the use of opioids for chronic pain, and reported that ED providers can affect individual outcomes in pain management (Table 293). Conclusion: Previously published data illustrate that educational interventions targeted at both prescribers and non-prescribing nurses decreased ED opioid prescribing. This follow-up study illustrates the significant changes in provider perspectives on factors related to both acute and chronic ED pain management. This included increased emphasis on non-opioid analgesics and heightened awareness of the risk of opioid addiction. The prescriber education succeeded in changing perspectives, which may explain the success of the intervention.</t>
  </si>
  <si>
    <t>(Agarwal A.K.; Shofer F.; Perrone J.) (Gugelmann H.) (O'Conor K.) 2015 Annual Meeting of the Society for Academic Emergency Medicine, SAEM 2015 San Diego, CA, United States 2015-05-12 to 2015-05-15 Blackwell Publishing Inc.; ID: 2105</t>
  </si>
  <si>
    <t>10.1111/acem.12644 FULL TEXT LINK http://dx.doi.org/10.1111/acem.12644</t>
  </si>
  <si>
    <t>Agostini,H.;Castera,L.;Melin,P.;Cattan,L.;Roudot-Thoraval,F.;Author,Addresses;Seillans Conseils,Paris France;Hâ”œâ”¤pital Antoine-Bâ”œâŒclâ”œÂ¿re, Unitâ”œâŒ de,Recherche Clinique;Paris-Sud,Clamart;Service d'Hâ”œâŒpatogastroentâ”œâŒrologie, Hâ”œâ”¤pital Haut-Lâ”œâŒvâ”œÂ¬que C. H. U.;Bordeaux,Pessac France;Hâ”œâ”¤pital Gâ”œâŒnâ”œâŒral,de Saint;Hâ”œâ”¤pital;Henri-Mondor,Service;Service de,Santâ”œâŒ;Publique,Hâ”œâ”¤;Correspondence,Address;Roudot-Thoraval, Service de Santâ”œâŒ Publique Hâ”œâ”¤pital Henri-Mondor,F.;Crâ”œâŒteil Cedex, France Email francoise roudot-thoraval hmn,aphp fr</t>
  </si>
  <si>
    <t>18176360; HEPACOM: Multicenter, observational prospective study of outcome and monitoring of HCV positive antiviral-naâ”œÂ»ve patients managed in the French health care system</t>
  </si>
  <si>
    <t>December</t>
  </si>
  <si>
    <t>buprenorphine;methadone;morphine;peginterferon (drug combination, drug therapy);ribavirin (drug combination, drug therapy);health care system;hepatitis C (drug therapy, etiology);adult;alcohol consumption;antiviral therapy;article;clinical practice;consultation;controlled study;disease severity;drug dependence;female;France;general practitioner;health care access;Hepatitis C virus;human;Human immunodeficiency virus infection;liver cirrhosis;liver disease;liver fibrosis;liver histology;major clinical study;male;medical specialist;mixed infection (etiology);observational study;occupation;outcome assessment;patient care;patient monitoring;patient referral;prediction;prospective study;scoring system;sex ratio;buprenorphine (52485-79-7, 53152-21-9);methadone (1095-90-5, 125-56-4, 23142-53-2, 297-88-1, 76-99-3);morphine (52-26-6, 57-27-2);ribavirin (36791-04-5);Microbiology: Bacteriology, Mycology, Parasitology and Virology (4);Internal Medicine (6);Public Health, Social Medicine and Epidemiology (17);Drug Literature Index (37);Gastroenterology (48)</t>
  </si>
  <si>
    <t>Objective - To study management practices in the French health care system for antiviral-naâ”œÂ»ve patients with chronic hepatitis C virus (HCV) infection. Methods and patients - Two groups of general practitioners, group I (special training and experience in drug addiction) and group II (other general practitioners) enrolled untreated HCV positive patients and noted management practices for a 12-month period. Results - Amoung 4660 enrolled patients, 2038 enrolled by 462 general practitioners in group I and 1756 enrolled by 588 general practitioners in group II were retained for analysis. These patients were adults, aged 42â”¬â–’14 years, who were naâ”œÂ»ve to antiviral treatment. The male/female ratio was 1: 7. Ten percent were coinfected with HIV, 12% had excessive alcohol intake, and 61% were current drug users, 75% of whom (45% of the total population) were taking replacement therapy. Minimal hepatic lesions (stage &lt;A2 and F2 in METAVIR scoring) were observed in 12% of the total population; cirrhosis in 13% of patients with significant fibrosis (Î“Ã«Ã‘F2). At the end of the monitoring period, 64% of the patients had been referred to a specialist. Antiviral treatment had been started in 20%, i.e. 32% of the patients who consulted a specialist. Occupational activity (P&lt;0.0001), young age (P=0.007), more recent diagnosis (P&lt;0.0001), lack of HIV co-infection (P=0.015), male gender (P=0.006), lack of replacement treatment (P=0.006), previous liver histology with METAVIR A and FÎ“Ã«Ã‘2 (P&lt;0.0001) and enrolment by a group I general practitioner (P&lt;0.007) were the independent predictive factors of initiation of antiviral treatment. Conclusion - Only one-third of patients with access to the French health care system started antiviral treatment and some categories of patients, including women, patients co-infected with HIV and patients on replacement therapy, were less likely to be treated than others. The recommendations of the French Consensus Conference, held in the middle of the study period (2002), might have been implemented (probably followed) by a minority of general practitioners. â”¬âŒ 2007. Elsevier Masson SAS.</t>
  </si>
  <si>
    <t>(Agostini H.) (Castera L.) (Melin P.) (Cattan L.) (Roudot-Thoraval F., francoise.roudot-thoraval@hmn.aphp.fr) Elsevier Masson SAS, 62 rue Camille Desmoulins, Issy les Moulineaux Cedex, France.; ID: 3017</t>
  </si>
  <si>
    <t>http://www.ncbi.nlm.nih.gov/pubmed/18176360</t>
  </si>
  <si>
    <t>10.1016/S0399-8320(07)78338-0 FULL TEXT LINK http://dx.doi.org/10.1016/S0399-8320(07)78338-0</t>
  </si>
  <si>
    <t>HEPACOM: Multicenter, observational prospective study of outcome and monitoring of HCV positive antiviral-naâ”œÂ»ve patients managed in the French health care system</t>
  </si>
  <si>
    <t>Ahamad,K.;Nolan,S.;Wood,E.;Author,Addresses;Urban Health Research Initiative, B C Centre for,Excellence in;Hiv/Aids,Vancouver Canada;University of,British Columbia;Department of Medicine, University of,British Columbia;Vancouver,Canada;Correspondence,Address;Ahamad, University of British Columbia Vancouver Canada,K.</t>
  </si>
  <si>
    <t>Addressing unmet addiction need in an urban hospital</t>
  </si>
  <si>
    <t>Drug and alcohol dependence</t>
  </si>
  <si>
    <t>Drug Alcohol Depend.</t>
  </si>
  <si>
    <t>e3</t>
  </si>
  <si>
    <t>e4</t>
  </si>
  <si>
    <t>addiction;adult;chronic patient;clinical article;consultation;female;hospitalization;human;information processing;male;medical education;medical student;medicine;nurse;patient care;resident</t>
  </si>
  <si>
    <t>Aims: Patients with substance use disorders are heavy users of inpatient hospital care. Significant barriers exist in accessing evidenced based addiction care. Much of the issue is the lack of medical education and availability of specialty consultation with linkage to primary care follow-up. We aim to assess the impact of the creation of an academic teaching service on medical education and specialty consultation for addiction related hospitalizations in Vancouver, BC. Methods: Following the creation of and Addiction Medicine Fellowship program in Vancouver, BC an existing addiction consultative service was expanded to include medical students, residents and fellows. Data for trainees working on the service were tracked using administrative records between August, 2013 and June, 2016. Data for patient consultations were tracked using the hospital's Patient Care Information System between January, 2009 and December, 2015. Results: Overall, between July 2013 and June 2016 medical trainees increased from 33 in 2013-14 (4 follows, 2 practicing GPs, 12 residents, 1 nurse, 12 medical students), 73 in 2014-15 (4 fellows, 5 practicing GPs, 43 residents, 1 nurse, 20 medical students), and 98 in 2015-16 (6 fellows, 5 practicing GPs, 47 residents, 2 nurses, 37 medical students). Patient consultations were tacked pre and post expansion. Pre-expansion consults between January, 2009 and December, 2012 averaged 940.25 per year. Post-expansion consults increased in 2013, 2014, and 2015 to 1144, 1623, and 1946, respectively. Conclusions: In this setting, creation of an academic addiction training service has resulted in substantial increases in medical trainees and doubled the number of patients seen in consultation. Further study is needed to assess long-term patient outcomes.</t>
  </si>
  <si>
    <t>(Wood E.) (Ahamad K.) (Nolan S.) 2016 Annual Meeting of the College on Problems of Drug Dependence, CPDD 2016 Palm Springs, CA, United States 2016-06-11 to 2016-06-16 Elsevier Ireland Ltd; ID: 1845</t>
  </si>
  <si>
    <t>10.1016/j.drugalcdep.2016.08.026 FULL TEXT LINK http://dx.doi.org/10.1016/j.drugalcdep.2016.08.026</t>
  </si>
  <si>
    <t>Ahmed,T.;Yalakki,L.;Moss,K.;Author,Addresses;Rheumatology,Croydon University Hospital London United;Kingdom;Rheumatology,Kingston Hospital N.H.S.Trust London United;Kingdom;Rheumatology,St Georges Healthcare N.H.S.Trust London United;Kingdom;Correspondence,Address;Ahmed, Rheumatology Croydon University Hospital London United Kingdom,T.</t>
  </si>
  <si>
    <t>Smoking prevalence in an established cohort of rheumatoid arthritis patients in a large UK teaching hospital</t>
  </si>
  <si>
    <t>Annals of the Rheumatic Diseases</t>
  </si>
  <si>
    <t>Ann.Rheum.Dis.</t>
  </si>
  <si>
    <t>74 SUPPL. 2</t>
  </si>
  <si>
    <t>European;human;patient;prevalence;rheumatic disease;rheumatoid arthritis;rheumatology;smoking;teaching hospital;United Kingdom;arthritis;Asian;Caucasian;female;health care personnel;male;outpatient;physician;population;prognosis;risk factor;smoking cessation;telephone</t>
  </si>
  <si>
    <t>Background: Smoking is known to be a modifiable risk factor for the development of seropositive rheumatoid arthritis (RA). It contributes 25% of the population burden of RA. Those who are smokers are less likely to respond to methotrexate1 and are more likely to fail anti TNF2 with a reduction of response to rituximab3. Although the prevalence of smoking is well known in early arthritis (25%)4 smoking in established rheumatoid arthritis is less well characterized. Objectives: This study looks at smoking in an established cohort of RA patients. Methods: All RA patients testing positive for ACPA from 2010-2013 and all RA patients receiving aTNF treatment from 2008-2013 were contacted. 265 patients were included in the study. Patients were contacted by telephone and asked about their smoking history and efforts in cessation of smoking. Results: 178 patients took part in the survey, (178/265, 67.2%) the remaining patients were non contactable, deceased or refused participation. 76% were Caucasian, 12% Asian, 8% AfroCaribean. Average age was 58 and 74% were female.15% (26/178) were smokers. The mean age of smokers was 57.6 years and the mean pack year history was 21.1. The majority of smokers were Caucasian (20/26, 75%). The majority of current smokers were male. 85% had tried to quit, 81% had been asked by their doctor about smoking, 73% had been asked to stop smoking but only 46% had been given support smoking. Conclusions: 15% of the rheumatoid arthritis population were smokers. The known prevalence of smoking in the general population is 21.2%. A review of the effectiveness of NHS smoking cessation services in 2009 demonstrated quit rates of 53% at 1 month and 15% at 1 yr5. Offering very brief smoking cessation advice is the single most cost effective and clinically proven preventative action a healthcare professional can take. Rheumatology outpatients may be an ideal opportunity to support patients to give up smoking and improve their disease prognosis. It's time to Ask, Advise and Act on smoking.</t>
  </si>
  <si>
    <t>(Ahmed T.) (Yalakki L.) (Moss K.) Annual European Congress of Rheumatology of the European League Against Rheumatism, EULAR 2015 Rome, Italy 2015-06-10 to 2015-06-13 BMJ Publishing Group; ID: 2097</t>
  </si>
  <si>
    <t>10.1136/annrheumdis-2015-eular.1090 FULL TEXT LINK http://dx.doi.org/10.1136/annrheumdis-2015-eular.1090</t>
  </si>
  <si>
    <t>Ahn,D. H.;Author,Addresses;Department,of Psychiatry;Hospital,Hanyang University Seoul South Korea;Correspondence,Address;DH Ahn, Department of Psychiatry Hanyang University,Hospital Hanyang;University,Seoul South Korea Email ahndh hanyang ac kr</t>
  </si>
  <si>
    <t>Major social and clinical psychopathologies in Korean children and adolescents</t>
  </si>
  <si>
    <t>Psychiatry Investigation</t>
  </si>
  <si>
    <t>child psychiatry;mental disease (epidemiology);abuse;family violence;human;internet addiction (epidemiology);psychosocial withdrawal;review;social aspect;social isolation;Psychiatry (32);Pediatrics and Pediatric Surgery (7)</t>
  </si>
  <si>
    <t>The Korean society has dynamically changed during the last sixty years, bringing about many problems for children and adolescents. This review looks at four prevalent youth problems, including intra-familial violence and abuse, Internet addiction, social isolation, and excessive pressure in education. Analysis of several domestic articles and bibliographies shows that the mentioned problems may be detrimental to a child's mental health and hinder its normal development. Some phenomena are also closely related to overt clinical syndromes or psychopathologies. The Korean Medical Association initiated a child abuse prevention and treatment program in 2002. Additionally, the Korean Association of Adolescent Psychiatry supported by Prime Ministry Youth Commission is now developing a treatment program and an effective network for the alleviation of Internet addiction in adolescents. Socially isolated adolescents (hikkigomori) and excessive educational pressure ("Ko-sam-pyung"} are a threat to our society due to their complexity and their close relation to the social value system. It is necessary to address these issues.</t>
  </si>
  <si>
    <t>(Ahn D.H., ahndh@hanyang.ac.kr); ID: 3126</t>
  </si>
  <si>
    <t>1738-3684</t>
  </si>
  <si>
    <t>2006168415 PUI L43532872</t>
  </si>
  <si>
    <t>Airey,N.;McLaren,S.;Author,Addresses;Somerset,Drug Service;Bridgwater,Somerset T. A. P. Y. United Kingdom;South Devon Drug Service, Torquay,United Kingdom;Correspondence,Address;A.,N.Airey, Somerset Drug Service Salmon Parade Bridgwater Somerset T.;Py,United Kingdom Email Nick Airey sompar nhs uk</t>
  </si>
  <si>
    <t>Drug services in England and Wales: A survey of treatment providers and their medical leads</t>
  </si>
  <si>
    <t>Psychiatric Bulletin</t>
  </si>
  <si>
    <t>neuroleptic agent;mental health service;article;controlled study;general practitioner;health care personnel;health care system;health survey;human;medical practice;medical profession;medical specialist;primary medical care;professional practice;psychiatrist;questionnaire;United Kingdom;Public Health, Social Medicine and Epidemiology (17);Psychiatry (32);Drug Literature Index (37)</t>
  </si>
  <si>
    <t>Aims and method: We undertook a postal questionnaire survey of drug action teams in England and Wales with the aim of clarifying the nature of statutory specialist drug services. Results: Of 159 drug action teams, 110 (69%) responded; 64 (58%) reported that mental health trusts exclusively provided their specialist drug services. Other providers were primary care and acute trusts, the non-statutory sector and social services.The majority of medical leads were psychiatrists (123 senior posts with 20% vacant/occupied by a locum), then general practitioners (GPs) (42) and other specialists (4). Clinical implications: Specialist drug services are offered by a range of treatment providers, with the medical lead being taken by GPs and other specialists in some areas. In view of the current difficulty in recruiting psychiatrists, we propose that alternative training pathways are considered for addiction specialists.</t>
  </si>
  <si>
    <t>(Airey N., Nick.Airey@sompar.nhs.uk) (McLaren S.); ID: 3115</t>
  </si>
  <si>
    <t>0955-6036</t>
  </si>
  <si>
    <t>2006167562 PUI L43527555</t>
  </si>
  <si>
    <t>Aisiku,I.;Smith,W. R.;Scherer,M.;Dahman,B.;Penberthy,L. T.;Bovbjerg,V. E.;McClish,D. K.;Levenson,J.;Roseff,S.;Author,Addresses;Virginia,Commonwealth;University,United States;Correspondence,Address;Aisiku, Virginia Commonwealth University United States,I.</t>
  </si>
  <si>
    <t>Prevalence of opiate misuse and abuse in sickle cell disease</t>
  </si>
  <si>
    <t>American Journal of Hematology</t>
  </si>
  <si>
    <t>Am.J.Hematol.</t>
  </si>
  <si>
    <t>August</t>
  </si>
  <si>
    <t>E46</t>
  </si>
  <si>
    <t>(MAJOR FOCUS);opiate;amphetamine derivative;illicit drug;prescription drug;abuse;prevalence;sickle cell anemia;writing;addiction;chronic pain;drug use;hospital;human;interview;male;pain;patient;physician;pilot study;population;prescription;primary medical care;questionnaire;risk;sickle cell;therapy;urine;validation study</t>
  </si>
  <si>
    <t>Background: Pain is the primary symptomatic manifestation of SCD, and severe paroxysmal painful vaso-occlusive Î“Ã‡Â£crisesÎ“Ã‡Â¥ are the most common reason for presentation to a medical provider, and often require opiates. The prevalence of opiate misuse in SCD patients with chronic pain and opiate use is not well described. Our previous pilot study estimated a 30% misuse and 20% abuse rate. This study is a validation study designed to identify misuse or at- risk patients and abuse. Methods: We administered 2 surveys, Prescription Misuse Index (PMI), an internal opiate misuse in chronic pain survey, and Prescription Drug Use Questionnaire (PDUQ) an externally validated survey instrument, and interviews by a trained addiction physician. The primary outcome was opiate misuse (at-risk) and abuse. Random urine drug screens were performed to identify any illicit drug use. All patients were recruited during routine clinic visits with their primary care provider. Results: Fifty-one patients completed the PMI and PDUQ, Forty six percent were males and forty percent were between the ages of 36-45. The PMI had 22% (11/51) patients identified as misuse or at-risk patients. The PDUQ had 0 patients. Random urine drug screens were positive for illicit drugs, THC and Amphetamines, of abuse in twenty two percent (11/51) of the patients. Limitations: The PMI survey instrument is an internally developed survey and has not been validated. The PDUQ was not validated in sickle cell patients. The results of this survey are limited to the population of a single urban academic institution and have not been validated in a larger cohort. Conclusion: Sickle cell patients on chronic opioid therapy may have a higher than normal at-risk misuse potential. This percentage is lower than our initial pilot data. The percentage of abuse is low in.</t>
  </si>
  <si>
    <t>(Aisiku I.; Smith W.R.; Scherer M.; Dahman B.; Penberthy L.T.; Bovbjerg V.E.; McClish D.K.; Levenson J.; Roseff S.) 4th Annual Sickle Cell Disease Research and Educational Symposium and Grant Writing Institute and Annual National Sickle Cell Disease Scientific Meeting Hollywood, FL, United States 2010-02-14 to 2010-02-19 Wiley-Liss Inc.; ID: 2768</t>
  </si>
  <si>
    <t>0361-8609</t>
  </si>
  <si>
    <t>10.1002/ajh.21763 FULL TEXT LINK http://dx.doi.org/10.1002/ajh.21763</t>
  </si>
  <si>
    <t>Akbar,M.;Mehmood,S.;Siriani,C.;Qayyum,N.;Samra,W.;Author,Addresses;Betsi Cadwaladr,University;Health Board, Glen Clwyd Hospital Rhyl,United Kingdom;Surgical Unit, Castle Hill,Hospital Hull;East,Yorkshire;Nhs Trust,Hull,United Kingdom;Correspondence,Address;Akbar, Betsi Cadwaladr University Health Board Glen Clwyd Hospital,M.;Rhyl,United Kingdom</t>
  </si>
  <si>
    <t>Surgical trainees and smoking cessation advice - Are we forgetting to use this important resource?</t>
  </si>
  <si>
    <t>Journal of Vascular Access</t>
  </si>
  <si>
    <t>January/March</t>
  </si>
  <si>
    <t>Ireland;smoking cessation;society;student;United Kingdom;vascular access;counseling;drug therapy;national health service;non profit organization;patient;physician;risk factor;smoking;surgeon;surgical training;vascular disease</t>
  </si>
  <si>
    <t>Purpose: Smoking is a well known risk factor in development of vascular diseases. Treatment of smoking related diseases has been estimated to cost the National Health Service approximately 1.5 billion pounds a year. A part of the issue can be addressed by establishing strategies to promote smoking cessation. The aim of this study was to assess junior surgical trainees' practice and views about smoking cessation. Method: We conducted an online and paper based survey to assess junior surgeons' practice and views about smoking cessation. We approached 100 surgical trainees working at core surgical training grades within Yorkshire deanery and Wales deanery regions to participate in the survey. Results: The response rate was 41% (n=41). Ninety percent of respondents only assessed quantitative smoking status. Seventy percent did not assess patients' interest in smoking cessation. Fifty percent routinely advised their patients to stop smoking. Fifty percent counselled them for less than a minute. Ninety percent have not received any training for smoking cessation counselling. Eighty percent believed that they would benefit from such training sessions. Sixty five percent were prescribing anti-smoking medications to their patients. Conclusion: Our results confirm significantly low number of surgical trainees assessing patients' interest in smoking with only half of them advising their patients against smoking. This phenomenon is possibly a direct squeal of the fact that the majority of the trainees do not receive any formal training in smoking cessation counselling. However, it is reassuring to note that there is a preserved interest in such activities on the part of a great majority of the trainees. We recommend that the foundation doctors and core surgical trainees be provided access to counselling training sessions which will be a cornerstone to promoting smoking cessation.</t>
  </si>
  <si>
    <t>(Akbar M.; Siriani C.; Qayyum N.; Samra W.) (Mehmood S.) Inaugural Meeting of the Vascular Access Society of Britain and Ireland 2010 Manchester, United Kingdom 2010-09-09 to 2010-09-10 Wichtig Editore s.r.l.; ID: 2730</t>
  </si>
  <si>
    <t>1129-7298</t>
  </si>
  <si>
    <t>10.5301/JVA.2011.6369 FULL TEXT LINK http://dx.doi.org/10.5301/JVA.2011.6369</t>
  </si>
  <si>
    <t>Akhter,S.;Ali,U.;Bhura,S.;Rizvi,N.;Khursheed,M.;Author,Addresses;Correspondence,Address;Akhter,S.</t>
  </si>
  <si>
    <t>Comparison of smoking habits among students from medical and non medical universities across Pakistan</t>
  </si>
  <si>
    <t>46 SUPPL. 59.</t>
  </si>
  <si>
    <t>European;human;Pakistan;smoking habit;society;student;university;biomedical engineering;city;curriculum;data analysis software;health education;medical student;methodology;population;prevalence;questionnaire;smoking;sociology;teacher</t>
  </si>
  <si>
    <t>Background: Despite its harmful effect, tobacco smoking is on rise among students. Objective: This study determined the relative prevalence of tobacco smoking among medical and non medical students and influence of university related factors on smoking habits. Methodology: We surveyed 1487 students from 18 universities across Pakistan from September to December 2014. A self-administered questionnaire after consent was filled by students. Chi square for was used through SPSS 22. Results: Mean age of study population was 20.47 years. Over all prevalence of smoking was 21.5% with 13%, 28.5% and 30.6% among medical, engineering and social sciences students respectively. 69.9% started smoking between 16-20 years. No difference in smoking habits seen among metropolitan and small cities. In non medical universities cigarette smoking is more prevalent then shisha and number of smokers increase with each year of graduation. (p &lt;0.05).Allocation of specific place for smoking within campus, presence of shisha bar nearby, awareness talk from teachers has association with smoking habits. (p&lt;0.05) Conclusion: There is strong relationship between university related factors and smoking prevalence. Smoking related health education must be part of curriculum in all type of universities.</t>
  </si>
  <si>
    <t>(Akhter S.; Ali U.; Bhura S.; Rizvi N.; Khursheed M.) European Respiratory Society Annual Congress 2015 Amsterdam, Netherlands 2015-09-26 to 2015-09-30 European Respiratory Society; ID: 2075</t>
  </si>
  <si>
    <t>0903-1936</t>
  </si>
  <si>
    <t>10.1183/13993003.congress2015.PA1188 FULL TEXT LINK http://dx.doi.org/10.1183/13993003.congress2015.PA1188</t>
  </si>
  <si>
    <t>Akkineni,S.;Patel,H.;George,R.;Author,Addresses;University,of Miami;United,States;Correspondence,Address;Akkineni, University of Miami Ft Lauderdale United States,S.</t>
  </si>
  <si>
    <t>Substance abuse and implicit bias-incubating fatal infections</t>
  </si>
  <si>
    <t>S604</t>
  </si>
  <si>
    <t>buprenorphine plus naloxone;cocaine;opiate;epidural abscess;substance abuse;adult;analgesia;artery;artificial embolization;bacteremia;bacterial endocarditis;blood culture;chill;clinical article;colonoscopy;compression;delirium;diagnosis;diskitis;drug abuse;drug therapy;female;gastrointestinal hemorrhage;head;health care delivery;hospitalization;human;human tissue;infectious complication;ischemic colitis;learning;leg;male;medicine;nuclear magnetic resonance imaging;observation unit;osteomyelitis;patient care;physical examination;physician;soft tissue infection;spine;stereotypy;surgery;tachycardia;toxicology;tricuspid valve;urine;vegetation;vulnerable population;weakness;cocaine (50-36-2, 53-21-4, 5937-29-1);opiate (53663-61-9, 8002-76-4, 8008-60-4)</t>
  </si>
  <si>
    <t>LEARNING OBJECTIVE #1: Recognize implicit bias as an entity in the practice of medicine LEARNING OBJECTIVE #2: Identifying a complex presentation of substance abuse CASE: A 32-year-old man with known history of IV drug abuse presented to the ER delirious, complaining of Î“Ã‡Â£pain all overÎ“Ã‡Â¥ and seeking Î“Ã‡Â£dilaudidÎ“Ã‡Â¥. He endorsed chills and Î“Ã‡Â£pain starting at the head and going down legs like lightningÎ“Ã‡Â¥. He appeared agitated and anxious. Physical Exam was significant for tachycardia. Labs showed 11,400 WBCs, urine toxicology positive for opioids and cocaine. He was admitted to the observation unit with presumed diagnosis of substance abuse and opioid withdrawal. Pain management was consulted to assist with managing opioid withdrawal with buprenorphine and naloxone. On hospital day 2, he was febrile. Blood cultures obtained at the time were positive for MRSA. Infective endocarditis was suspected. Subsequently, trans-esophageal echo confirmed tricuspid vegetation. Throughout hospitalization, he continued to complain of Î“Ã‡Â£pain all overÎ“Ã‡Â¥. On hospital day 3, he reported bilateral lower extremity weakness. An urgent whole spine MRI showed C5-C6 discitis with osteomyelitis and epidural abscess associated with cord compression. This was surgically drained and anterior cervical instrumentation was placed for stabilization. Hospital course was also complicated by sudden onset lower GI bleed. Colonoscopy revealed an arterial bleed in a segment of ischemic colitis. This was attributed to septic emboli and managed with endoscopic clipping. Our patient completed a prolonged course of IV antibiotics and eventually made a full recovery. IMPACT: This case allowed us to identify a situation where implicit bias could hinder health care delivery to a vulnerable population. Literature review did not yield sufficient research directed towards physician implicit bias towards IV drug abusers and its impact on outcomes when diagnosed with fatal infections. DISCUSSION: Explicit bias is a reflection of a physician's attitudes toward management of disease recognized on a conscious level. On the contrary, implicit bias refers to the subtle cognitive processing and subconscious stereotypes which affect understanding, actions and decisions on patient management. It is important to understand situations under which implicit bias influences patient management which in turn affects outcomes. An IV drug user complaining of vague pain and seeking opioids by name in the absence of objective clinical findings can trigger implicit bias in physicians. As in the case of this patient, our implicit bias was that he was presenting himself to the ER for secondary gain - seeking more opioids. Effort should be made to obtain unbiased review of systems and thorough physical examination with a low threshold for further evaluation. Infectious complications from intravenous drug use vary from local soft tissue infections to bacteremia, including septic embolization to distant sites. These complications are fatal if they are not recognized early and treated appropriately.</t>
  </si>
  <si>
    <t>(Akkineni S.; Patel H.; George R.) 40th Annual Meeting of the Society of General Internal Medicine, SGIM 2017 Washington, DC, United States 2017-04-19 to 2017-04-22 Springer New York LLC; ID: 1822</t>
  </si>
  <si>
    <t>Al Qadire,M.;Author,Addresses;Faculty of Nursing, Al Albyat University,Mafraq Jordan;Correspondence,Address;Al Qadire, Faculty of Nursing Al Albyat University Mafraq Jordan,M.</t>
  </si>
  <si>
    <t>Jordanian nurses' views on adequacy of cancer pain management: A qualitative study</t>
  </si>
  <si>
    <t>S35</t>
  </si>
  <si>
    <t>analgesia;cancer pain;human;neoplasm;nurse;qualitative research;addiction;cancer patient;community;diagnosis;drug therapy;education;fear;health care personnel;hospital;interview;Jordan;male;oncology;pain;patient;physician;policy;semi structured interview;thematic analysis</t>
  </si>
  <si>
    <t>Introduction: Cancer patients currently live longer than previously because of earlier diagnosis and developments in treatment medications and techniques. Although guidelines and pharmacological interventions exist to manage cancer pain, poor assessment and undermedication is well-documented. Cancer pain is a cultural-sensitive phenomenon and many barriers may hinder patients from receiving adequate pain management. No previous study explored barriers to optimal cancer pain management within the Islamic-Arabic culture communities such as Jordan. Objectives: This study aims to exploring nurses' views on the factors contributing to the inadequacy of pain management in Jordan. Methods: Qualitative research method and semi-structured interviews were used to interview 20 oncology nurses who working in two referral hospitals in Jordan Results: Nurses' mean age was 29 years (SD 1.9) and 12 were males. They had on average 4.8 (SD 2.0) years of working experience. Thematic analysis of nurses' interviews identified many factors that may result in ineffective cancer pain management, including the following: belief in God's Will, doctor verses nurse tension, institutional characteristics (e.g. difficult access to pain medication, low priority to cancer pain management, absence of pain policy, healthcare providers characteristics (e.g. negative attitudes toward cancer pain, lack of knowledge and training), fear of addiction and misconceptions complex, and devaluing patients pain report. Conclusions: Barriers to cancer pain management and misconceptions were abundant. These barriers, in general, were similar to barriers within the other cultures with some of them are related to country culture. Education, training, more financial resources, and public awareness might be possible interventions to reduce patients suffering.</t>
  </si>
  <si>
    <t>(Al Qadire M.) 2013 International MASCC/ISOO Symposium: Supportive Care in Cancer Berlin, Germany 2013-06-27 to 2013-06-29 Springer Verlag; ID: 2397</t>
  </si>
  <si>
    <t>0941-4355</t>
  </si>
  <si>
    <t>10.1007/s00520-013-1798-3 FULL TEXT LINK http://dx.doi.org/10.1007/s00520-013-1798-3</t>
  </si>
  <si>
    <t>Alanis-Hirsch,K.;Croff,R.;Ford,J.;Schmidt,L.;McCarty,D.;Chalk,M.;Author,Addresses;Treatment,Research Institute;United,States;Oregon,Health;Science University,Portland;United,States;Center for Health Enhancement,System Studies;States;University of California, San Francisco,United States;Correspondence,Address;Alanis-Hirsch, Treatment Research Institute Philadelphia United States,K.</t>
  </si>
  <si>
    <t>Strategies to influence attitudes towards pharmacotherapies for alcohol and opioid use disorders</t>
  </si>
  <si>
    <t>e204</t>
  </si>
  <si>
    <t>(MAJOR FOCUS);alcohol;opiate;college;diseases;drug dependence;abstinence;addiction;consensus;drug therapy;education;health;human;interview;leadership;learning;patient;physician;staff training</t>
  </si>
  <si>
    <t>Aims: To facilitate the implementation of pharmacotherapies used to treat alcohol and opioid use disorders in specialty treatment. Methods: Nine treatment centers and a large, commercial health plan created internal change teams to increase patient access to addiction medications. Using bi-annual Learning Sessions, topical webinars, and coaching, sites were trained on medication efficacy and their potential role in increasing patient engagement, retention, and recovery. Sites implemented three 6-month change cycles. Qualitative interviews charted change strategies, change impacts, barriers/facilitators, and patient use of pharmacotherapies. Results: Incongruity between leadership and staff attitudes inhibited adoption. At one site, staff and physicians were motivated to use medications but faced an abstinence-oriented Board. The staff used education and advocacy, and after a year received Board approval. Another site with progressive leadership faced an abstinence-oriented staff. Data tracking and staff education enhanced staff support for use of medication. When staff and leadership had similar attitudes, the best opportunity existed for the adoption of medications. A progressive staff and research-driven leadership extended their goals and made data tracking part of the agency culture. Conclusions: Changes in attitude among staff and leadership towards addiction medications occur slowly. The use of strategies that challenge existing attitudes and knowledge encourages change and promotes the organization' adoption of addiction medications. Sites with attitudinal consensus are able to focus on higher-order medication implementation goals while sites with attitude incongruences must first work to achieve attitude alignment.</t>
  </si>
  <si>
    <t>(Alanis-Hirsch K.; Chalk M.) (Croff R.; McCarty D.) (Ford J.) (Schmidt L.) 2014 Annual Meeting of the College on Problems of Drug Dependence San Juan, Puerto Rico 2014-06-14 to 2014-06-19 Elsevier Ireland Ltd; ID: 2162</t>
  </si>
  <si>
    <t>10.1016/j.drugalcdep.2014.09.023 FULL TEXT LINK http://dx.doi.org/10.1016/j.drugalcdep.2014.09.023</t>
  </si>
  <si>
    <t>Alavi,S. S.;Mehrdad,R.;Makarem,J.;Author,Addresses;Center for Research,on Occupational;Tehran University of,Medical Sciences;Imam Khomeini,Hospital Complex;University of,Medical Sciences;Correspondence,Address;Makarem, Imam Khomeini Hospital Complex Tehran University of Medical,J.;Sciences,Tehran Iran Email j-makarem tums ac ir</t>
  </si>
  <si>
    <t>Prevalence of substance abuse/alcohol consumption and their predictors among patients admitted in operating rooms of a general educational hospital, Tehran, Iran</t>
  </si>
  <si>
    <t>Asian Journal of Pharmaceutical Research and Health Care</t>
  </si>
  <si>
    <t>8 Supplement 1</t>
  </si>
  <si>
    <t>alcohol;amphetamine derivative;cannabis;diamorphine;methadone;morphine;opiate;tramadol;alcohol abuse;hospital patient;prevalence;substance abuse;adult;amphetamine abuse;article;cannabis addiction (epidemiology);controlled study;cross-sectional study;family history;female;general hospital;heroin dependence (epidemiology);human;Iran;Iranian (citizen);major clinical study;male;morphine addiction (epidemiology);operating room;opiate addiction (epidemiology);prediction;risk factor;sex;smoking;alcohol (64-17-5);cannabis (8001-45-4, 8063-14-7);diamorphine (1502-95-0, 561-27-3);methadone (1095-90-5, 125-56-4, 23142-53-2, 297-88-1, 76-99-3);morphine (52-26-6, 57-27-2);opiate (53663-61-9, 8002-76-4, 8008-60-4);tramadol (27203-92-5, 36282-47-0);Public Health, Social Medicine and Epidemiology (17);Psychiatry (32);Drug Dependence, Alcohol Abuse and Alcoholism (40)</t>
  </si>
  <si>
    <t>Substance/alcohol abuse is an important public health threat in most countries. Social stigmatization and legal restrictions prevent accurate and direct estimate of prevalence of substance/alcohol abuse in Iran. This study aimed to estimate of the prevalence of alcohol and substance use among Iranian patients who were admitted to operating rooms of a general hospital in Tehran and identified risk factors that may predict alcohol and substance use. This cross-sectional study was conducted among all consecutive patients who were admitted to 16 operating rooms in Vali-e-Asr General Educational Hospital (Tehran, Iran) during March 2014 to September 2015. Data were derived from a medical history form prior to operation by trained nurses who were working in the operating rooms. Among 1136 patients admitted to operating rooms, 105 (28.7%) men and 21 (2.7%) women were substance/alcohol users. The main substance of abuse was opium (57.3%) followed by alcohol consumption (25.6%) and water pipe smoking (14.8%). Cigarette smoking was reported by 110 (30.1%) men and 21 (2.7%) women. Sex, cigarette smoking and family history of alcohol and substance abuse predicted 42.3% of the variance in substance abuse/alcohol consumption. Substance use, especially opium, alcohol, water pipe tobacco and cigarette smoking were found to be significantly high particularly among male patients. Being a man, current cigarette smoking and having a first-degree family member who had abused substances should be considered when planning preventive or therapeutic programs.</t>
  </si>
  <si>
    <t>(Alavi S.S.; Mehrdad R.) (Makarem J., j-makarem@tums.ac.ir) Journal of Pharmaceutical Research and Health Care, No. 194, RV Road 1B, No.400, Basavanagudi, Bangalore, India.; ID: 2016</t>
  </si>
  <si>
    <t>2250-1460 (electronic) 2250-1444</t>
  </si>
  <si>
    <t>20170061536 PUI L614148489</t>
  </si>
  <si>
    <t>10.18311/ajprhc/2016/7651 FULL TEXT LINK http://dx.doi.org/10.18311/ajprhc/2016/7651</t>
  </si>
  <si>
    <t>Alcolado,R.;Alcolado,J. C.;Author,Addresses;Department of Medicine, Cwm Taf Local Health,Board Royal;Glamorgan Hospital,United Kingdom;Centre for,Medical;Education,Queen Mary University of London Barts;the,London School;Medicine,Whitechapel London United Kingdom;Correspondence,Address;JC Alcolado, Queens Hospital Rom Valley Road Romford,Essex R.;United Kingdom Email, John Alcolado bhrhospitals,nhs uk</t>
  </si>
  <si>
    <t>22034702; Medical student delivery of alcohol education to high school pupils: The MEDALC programme</t>
  </si>
  <si>
    <t>Clinical Medicine, Journal of the Royal College of Physicians of London</t>
  </si>
  <si>
    <t>October</t>
  </si>
  <si>
    <t>alcohol consumption;education program;high school student;medical student;adolescent;article;cohort analysis;human;intervention study;observational study;prospective study;Public Health, Social Medicine and Epidemiology (17)</t>
  </si>
  <si>
    <t>There is increasing concern about the inappropriate use of alcohol by teenagers and young adults. The objective of this study was to assess the practicality of developing an alcohol education programme for school pupils delivered by medical students. The study design was of a prospective, observational, interventional cohort study. The primary outcomes were the number of schools, school pupils and medical students participating in the programme. Secondary outcomes were quantitative and qualitative measures derived from the feedback received from the participants. Over a three-year period, 60 medical students provided alcohol education sessions to 1,780 high school pupils (aged 13-15 years) within seven schools in Wales. Strongly positive feedback was obtained from all stakeholders and all schools asked to be included in future programmes. In conclusion, medical student-delivered teaching of alcohol education programmes to school pupils appears to be feasible and welcome by schools, teachers, pupils and medical students. â”¬âŒ Royal College of Physicians, 2011. All rights reserved.</t>
  </si>
  <si>
    <t>(Alcolado R.) (Alcolado J.C., John.Alcolado@bhrhospitals.nhs.uk) Royal College of Physicians, 11 St Andrews Place, Regents Park, London, United Kingdom.; ID: 2640</t>
  </si>
  <si>
    <t>1470-2118 1473-4893 (electronic)</t>
  </si>
  <si>
    <t>http://www.ncbi.nlm.nih.gov/pubmed/22034702</t>
  </si>
  <si>
    <t>Medical student delivery of alcohol education to high school pupils: The MEDALC programme</t>
  </si>
  <si>
    <t>Alexander,M.;Pavlov,A.;Lenahan,P.;Author,Addresses;Department,of;Family Medicine, Carolinas Medical Center Charlotte,N.C.United States;Family Medicine Residency Program, Pomona,Valley Hospital;Medical Center,Pomona,C.A.United States;Behavioral Science, University of California,Irvine C.;United,States;Carolinas,Medical;Center,Eastland Family Practice Center Central Avenue Charlotte N.C.;States,United;Correspondence,Address;Alexander, Carolinas Medical Center Eastland Family Practice Center,M.;Central Avenue, Charlotte N C United,States Email;matthew.alexander@carolinashealthcare.org</t>
  </si>
  <si>
    <t>17186442; Lights, camera, action: Using film to teach the ACGME competencies</t>
  </si>
  <si>
    <t>alcoholism;attention deficit disorder;depression;family violence;medical education;medical practice;chronic disease;communication skill;curriculum;Diagnostic and Statistical Manual of Mental Disorders;health care;health care personnel;health care system;homosexuality;human;hyperkinesia;learning;medical assessment;medical literature;mental disease;mortality;patient care;review;screening test;social environment;social psychology;spiritual care;General Pathology and Pathological Anatomy (5);Public Health, Social Medicine and Epidemiology (17);Psychiatry (32);Drug Dependence, Alcohol Abuse and Alcoholism (40)</t>
  </si>
  <si>
    <t>(Alexander M., matthew.alexander@carolinashealthcare.org) (Pavlov A.) (Lenahan P.) Society of Teachers of Family Medicine, Ste 540, Leawood, United States.; ID: 3058</t>
  </si>
  <si>
    <t>http://www.ncbi.nlm.nih.gov/pubmed/17186442</t>
  </si>
  <si>
    <t>Lights, camera, action: Using film to teach the ACGME competencies</t>
  </si>
  <si>
    <t>Alexander,M.;Waxman,D.;Author,Addresses;Behavioral Medicine, Clin Associate Prof,of Fam;Med,Carolinas Medical Center P.O.Box Charlotte N.C.United;States;Correspondence,Address;Alexander, Behavioral Medicine Clin Associate Prof of Fam Med,M.;Carolinas Medical Center, P O Box Charlotte,N.C.United States;Email,malexander carolinas org</t>
  </si>
  <si>
    <t>Cinemeducation: Teaching family systems through the movies</t>
  </si>
  <si>
    <t>Families, Systems and Health</t>
  </si>
  <si>
    <t>clinical education;family;article;education program;general practitioner;human;psychotherapist;staff training;videorecording;Public Health, Social Medicine and Epidemiology (17);Psychiatry (32)</t>
  </si>
  <si>
    <t>This article discusses an innovative approach to educating healthcare professionals in family systems theory, namely the use of selected clips from popular movies on video. Movie clips provide powerful and entertaining ways to expose learners to such family therapy concepts as the family life cycle, differentiation, coalition and homeostasis. Movie clips also serve to broaden awareness of learners to such family related issues as ethnicity, class, domestic violence, incest, drug addiction and sibling relationships. Videotape selections are used in two separate formats: 1) to stimulate guided discussions and 2) to set the stage for role-plays. We present six illustrations that demonstrate these two formats. We discuss practical points in using cinemeducation and provide a detailed "cinemography" which identifies movie scenes on video that can be readily incorporated into family systems training.</t>
  </si>
  <si>
    <t>(Alexander M.; Waxman D.); ID: 3377</t>
  </si>
  <si>
    <t>1091-7527</t>
  </si>
  <si>
    <t>2001020250 PUI L32047619</t>
  </si>
  <si>
    <t>Alford,D.;Jackson,A.;Brett,B.;Author,Addresses;Boston University, School of Medicine Boston,United States;Boston University, School of Medicine,Auburndale United;States;Brett Consulting Group, Somerville,United States;Correspondence,Address;Alford, Boston University School of Medicine Boston United States,D.</t>
  </si>
  <si>
    <t>Teaching opioid risk management (ORM) skills to residents</t>
  </si>
  <si>
    <t>25 SUPPL. 3</t>
  </si>
  <si>
    <t>S450</t>
  </si>
  <si>
    <t>(MAJOR FOCUS);opiate;narcotic analgesic agent;internal medicine;risk management;skill;society;teaching;addiction;adult;chronic pain;communication skill;control group;convenience sample;drug therapy;education program;feedback system;female;follow up;intoxication;learning;medical care;medical education;monitoring;pain;patient;prescription;risk;therapy;weakness</t>
  </si>
  <si>
    <t>STATEMENT OF PROBLEM OR QUESTION: Chronic pain is a leading complaint for which adults seek medical care, and opioid analgesics are increasingly being prescribed. The rate of prescription opioid misuse including addiction, unintentional overdoses and diversion is increasing. There is inadequate medical education about opioid risk management for patients with chronic pain. LEARNING OBJECTIVE 1: To increase internal medicine residents' knowledge and skills in opioid risk management (ORM). LEARNING OBJECTIVE 2:   LEARNING OBJECTIVE 3:   DESCRIPTION OF PROGRAM/INTERVENTION: We developed a twopart ORM education program. Part A: Didactic: 1-hour lecture covered assessment of pain, function, addiction risk and potential opioid benefit/risk; monitoring for opioid benefit/risk; developing exit strategies for lack of benefit/increased risk; and developing effective communication skills on these topics. Part B: Objective Structured Clinical Exams (OSCE): consisted of three 20-minute stations using standardized patients in realistic settings and immediate faculty observer feedback. The stations covered opioid risk management (ORM) skills, including starting opioid therapy, giving patients feedback regarding aberrant medication-taking behaviors, and discussing opioid taper due to lack of benefit/increased risk. The educational program was evaluated by comparing 3 groups of residents selected by convenience sampling: Group 1 (n=20) participated in the didactic session only, Group 2 (n=9) participated in both the didactic and OSCE sessions, and Group 3 (n=10), a control group, did not participate in either session. All 3 groups completed a baseline survey composed of 3 components: knowledge, clinical confidence and practice. Groups 1 and 2 completed a post-didactic survey to detect changes in knowledge from baseline. Group 2 completed a post-OSCE survey assessing clinical confidence to detect changes from baseline. Group 2 also completed an evaluation of the OSCE experience. All 3 groups are scheduled to complete 4- and 8-month follow-up surveys (identical to the baseline survey) asking about ORM knowledge, clinical confidence and practice. FINDINGS TO DATE: The total resident sample (n=39) were 51% female, 38% PGY1, 36% PGY2, and 26% PGY3; 31% reported no previous training in the use of opioids for managing chronic pain; 74% reported that their prior ORM training was not enough; and 23% reported starting patients on long-term opioids in the past three months. Baseline differences in ORM clinical confidence/practice were not significant between the three study groups. Post-didactic ORM knowledge scores (max score=4) increased for both Group 1 (didactic only) and Group 2 (didactic+OSCE), from2.7 to 3.3 (p=.05) and 3.2 to 3.7 (NS) respectively. For Group 2, post-OSCE mean clinical confidence (8 ORM skills using 5-point Likert scale) increasedfrom2.8to3.8 (p=.002).Group2 all reported that the OSCE Î“Ã‡Â£helped me identify my strengths and weaknesses,Î“Ã‡Â¥ Î“Ã‡Â£taught me something new,Î“Ã‡Â¥ and Î“Ã‡Â£was a valuable learning tool.Î“Ã‡Â¥ KEY LESSONS LEARNED: Internal medicine residents are not very confident about initiating and managing long-term opioid pain therapy in patients with chronic pain. A didactic session on the topic can increase knowledge. A related OSCE provides additional valuable experience in developing skills needed to communicate effectively with patients suffering from chronic pain on long-term opioids.</t>
  </si>
  <si>
    <t>(Alford D.) (Jackson A.) (Brett B.) 33rd Annual Meeting of the Society of General Internal Medicine Minneapolis, MN, United States 2010-04-28 to 2010-05-01 Springer New York; ID: 2784</t>
  </si>
  <si>
    <t>10.1007/s11606-010-1338-5 FULL TEXT LINK http://dx.doi.org/10.1007/s11606-010-1338-5</t>
  </si>
  <si>
    <t>Alia-Klein,N.;Parvaz,M. A.;Woicik,P. A.;Konova,A. B.;Maloney,T.;Shumay,E.;Wang,R.;Telang,F.;Biegon,A.;Wang,G. J.;Fowler,J. S.;Tomasi,D.;Volkow,N. D.;Goldstein,R. Z.;Author,Addresses;Medical Department, Brookhaven National,Laboratory Medical;States,Upton N. Y. United;Department of Biomedical Engineering, Stony,Brook University;Stony Brook,N.Y.United States;Department of Psychology, Stony Brook University,Stony Brook;Ny,United States;Mount Sinai School of Medicine, New,York N.;United,States;National,Institute on;Alcoholism;Bethesda,M. D. U.;National Institute on Drug Abuse, Bethesda,M.D.United States;Correspondence,Address;Alia-Klein, Medical Department Brookhaven National Laboratory Medical,N.;gov,Upton N.Y.United States Email nellyklein bnl</t>
  </si>
  <si>
    <t>21383264; Gene X disease interaction on orbitofrontal gray matter in cocaine addiction</t>
  </si>
  <si>
    <t>March</t>
  </si>
  <si>
    <t>(MAJOR FOCUS);cocaine;amine oxidase (flavin containing) isoenzyme A (endogenous compound);monoamine (endogenous compound);cocaine dependence;gene interaction;gray matter;adult;alcohol consumption;article;brain size;cigarette smoking;clinical article;controlled study;cross-sectional study;DNA polymorphism;dopaminergic nerve cell;frontal cortex;gene frequency;genetic variability;genotype;hippocampus;human;male;orbital cortex;prefrontal cortex;sensitivity and specificity;cocaine (50-36-2, 53-21-4, 5937-29-1);Neurology and Neurosurgery (8);Radiology (14);Psychiatry (32);Drug Dependence, Alcohol Abuse and Alcoholism (40)</t>
  </si>
  <si>
    <t>Context: Long-term cocaine use has been associated with structural deficits in brain regions having dopaminereceptive neurons. However, the concomitant use of other drugs and common genetic variability in monoamine regulation present additional structural variability. Objective: To examine variations in gray matter volume (GMV) as a function of lifetime drug use and the genotype of the monoamine oxidase A gene, MAOA, in men with cocaine use disorders (CUD) and healthy male controls. Design: Cross-sectional comparison. Setting: Clinical Research Center at Brookhaven National Laboratory. Patients: Forty individuals with CUD and 42 controls who underwent magnetic resonance imaging to assess GMV and were genotyped for the MAOA polymorphism (categorized as high- and low-repeat alleles). Main Outcome Measures: The impact of cocaine addiction on GMV, tested by (1) comparing the CUD group with controls, (2) testing diagnosis X MAOA interactions, and (3) correlating GMV with lifetime cocaine, alcohol, and cigarette smoking, and testing their unique contribution to GMV beyond other factors. Results: (1) Individuals with CUD had reductions in GMVin the orbitofrontal, dorsolateral prefrontal, and temporal cortex and the hippocampus compared with controls. (2) The orbitofrontal cortex reductions were uniquely driven by CUD with low-MAOA genotype and by lifetime cocaine use. (3) The GMV in the dorsolateral prefrontal cortex and hippocampus was driven by lifetime alcohol use beyond the genotype and other pertinent variables. Conclusions: Long-term cocaine users with the low-repeat MAOA allele have enhanced sensitivity to gray matter loss, specifically in the orbitofrontal cortex, indicating that this genotype may exacerbate the deleterious effects of cocaine in the brain. In addition, long-term alcohol use is a major contributor to gray matter loss in the dorsolateral prefrontal cortex and hippocampus, and is likely to further impair executive function and learning in cocaine addiction. â”¬âŒ2011 American Medical Association. All rights reserved.</t>
  </si>
  <si>
    <t>(Alia-Klein N., nellyklein@bnl.gov; Parvaz M.A.; Woicik P.A.; Konova A.B.; Maloney T.; Shumay E.; Wang R.; Biegon A.; Wang G.-J.; Fowler J.S.; Goldstein R.Z.) (Parvaz M.A.) (Konova A.B.) (Wang G.-J.; Fowler J.S.) (Telang F.; Tomasi D.) (Volkow N.D.) American Medical Association, 515 North State Street, Chicago, United States.; ID: 2722</t>
  </si>
  <si>
    <t>0003-990X 1538-3636 (electronic)</t>
  </si>
  <si>
    <t>http://www.ncbi.nlm.nih.gov/pubmed/21383264</t>
  </si>
  <si>
    <t>10.1001/archgenpsychiatry.2011.10 FULL TEXT LINK http://dx.doi.org/10.1001/archgenpsychiatry.2011.10</t>
  </si>
  <si>
    <t>Gene X disease interaction on orbitofrontal gray matter in cocaine addiction</t>
  </si>
  <si>
    <t>Alimohammadi,A. M.;Mehrpisheh,S.;Memarian,A.;Author,Addresses;Legal,Medicine Organization;Children's Medical Center, Tehran University,of Medical;Sciences,Tehran Iran;Department,of Forensic;Iran University of,Medical Sciences;Correspondence,Address;Memarian, Department of Forensic Medicine Iran University of Medical,A.;Sciences,Tehran Iran Email azade memarian yahoo com</t>
  </si>
  <si>
    <t>Epidemiology of cases of suicide due to hanging who referred to forensic center of Shahriar in 2011</t>
  </si>
  <si>
    <t>International Journal of Medical Toxicology and Forensic Medicine</t>
  </si>
  <si>
    <t>forensic medicine;hanging;suicide (epidemiology);adolescent;adult;aged;article;bleeding;cadaver;cross-sectional study;depression;descriptive research;drug dependence;educational status;employment;ethnicity;family functioning;female;human;hyoid bone;Iran;larynx cartilage;male;marriage;mental disease;middle aged;skull fracture;smoking;soft tissue;substance abuse;young adult;Public Health, Social Medicine and Epidemiology (17);Psychiatry (32);Forensic Science Abstracts (49)</t>
  </si>
  <si>
    <t>Background: Around 800,000 to a million people die by suicide every year, making it the 10th leading cause of death worldwide. According to high rates of suicide and hanging and death due to these reasons in the world and also in Iran, this study was conducted to evaluate cases of suicide by hanging. Methods: This descriptive cross-sectional study was conducted on 79 cadavers in forensic dissection center of Shahriar in 2011. Necessary information including age, sex, laryngeal bone fracture, bleeding of soft tissue, number of family members, educational level, marital status, history of depression, addiction, smoking, history of any special disease, location of hanging, leaving any note, ethnicity and suicide intensity was entered in the checklist and were analyzed. Results: The mean age of cases was 33.4 (SD=13.62) years. 63 (79.7%) were male and 16 (20.3%) were female.10 (12.7%) patients of the study population were illiterate and 56 (78.9%) were under diploma and only 8 (11.3%) patients had diploma. 17 (23.9%) were unemployed, 5 (7%) were students, 20 (28.2%) were workers, 10 (14.1%) were employees and 15 (21.1%) were self-employment. 23 patients (32.4%) were drug addict. 13 patients (18.3%) had a history of depression. 38 patients (53.5%) were smokers. 56 (78.9%) of hanging were in home and 15 (21.1%) were in outdoors. Suicidal impulses in 33 patients (46.5%) was unspecified, in 10 cases (14.1%) was substance abuse, in 11 (15.5%) was mental disorders, in 6 patients (8.5%) was family problems, and in 7 patients (9.9%) was unemployment. Conclusion: Given the high rate of suicide, it is necessary to identify the risk factors, to prevent to the extent possible. Treatment of drug and alcohol addiction, depression, and those who have attempted suicide in the past may also be effective. Economic development through its ability to reduce poverty may be able to decrease suicide rates. Efforts to increase social connection especially in elderly males may be effective â”¬âŒ 2013 Forensic Medicine and Toxicology Department.</t>
  </si>
  <si>
    <t>(Alimohammadi A.M.) (Mehrpisheh S.) (Memarian A., azade.memarian@yahoo.com) Shahid Beheshti University of Medical Sciences, Tehran, Iran.; ID: 2336</t>
  </si>
  <si>
    <t>2251-8770 2251-8762 (electronic)</t>
  </si>
  <si>
    <t>2014139845 PUI L372464590</t>
  </si>
  <si>
    <t>Allamani,A.;Centurioni,A.;Author,Addresses;Centro,Alcologico Integrato;di Firenze, Dipartimento delle Dipendenze,Florence Italy;Correspondence,Address;Allamani, Centro Alcologico Integrato Azienda Sanitaria di Firenze,A.;Dipartimento,delle Dipendenze</t>
  </si>
  <si>
    <t>Training of general practitioners and other primary health care professionals as part of a community project in a district of Florence, Italy</t>
  </si>
  <si>
    <t>Alcologia</t>
  </si>
  <si>
    <t>alcoholism (diagnosis);medical education;primary health care;alcohol abuse;article;community care;general practitioner;health education;high risk population;human;Italy;Public Health, Social Medicine and Epidemiology (17);Drug Dependence, Alcohol Abuse and Alcoholism (40)</t>
  </si>
  <si>
    <t>One 3-day alcohol educational course for 28 general practitioners was held in 1994-1995 over a period of 12 months, and another 11-day course for 24 other health professionals (community nurses, dieticians, health educators, social worker, emergency room nurses and physicians, toxicology unit personnel) was conducted in 1995-1996. Both courses were components of a broader community action program intervening in a district of 17,000 inhabitants in the northwest area in the city of Florence. The aim of both courses was to enable participants to identify the prevalence of high-risk drinkers and alcohol-related harm among their clients, and to become acquainted with their own educational tasks when facing patients and their families. The clearest outcome of both courses was the greater ability of participants to identify high-risk drinkers. Unless teachers pay special attention to this issue, however, the idea of high-risk drinking is however easily overshadowed by the pervasive concept of alcoholism.</t>
  </si>
  <si>
    <t>(Allamani A.; Centurioni A.); ID: 3383</t>
  </si>
  <si>
    <t>0394-9826</t>
  </si>
  <si>
    <t>2000245010 PUI L30447172</t>
  </si>
  <si>
    <t>Allen,M. B.;Author,Addresses;British Thoracic Society, New Garden House,Hatton Garden;London,Ec1N 8Jr;Correspondence,Address;MB Allen, British Thoracic Society New Garden House,Hatton Garden;London,Ec1N 8Jr</t>
  </si>
  <si>
    <t>10343622; Medical students' knowledge of smoking</t>
  </si>
  <si>
    <t>medical education;smoking;attitude;editorial;health care cost;health care utilization;medical student;priority journal;teaching;tobacco (drug toxicity);United Kingdom;Public Health, Social Medicine and Epidemiology (17)</t>
  </si>
  <si>
    <t>(Allen M.B.) BMJ Publishing Group, Tavistock Square, London, United Kingdom.; ID: 3429</t>
  </si>
  <si>
    <t>http://www.ncbi.nlm.nih.gov/pubmed/10343622</t>
  </si>
  <si>
    <t>Medical students' knowledge of smoking</t>
  </si>
  <si>
    <t>Amaro,H.;Magno-Gatmaytan,C.;Melâ”œâŒndez,M.;Cortâ”œâŒs,D. E.;Arevalo,S.;Margolin,A.;Author,Addresses;Institute on Urban Health Research, Bouvâ”œâŒ College,of Health;Sciences,Northeastern University Boston Massachusetts U.S.A.;Correspondence,Address;Amaro, Institute on Urban Health Research Bouvâ”œâŒ College of Health,H.;Sciences,Northeastern University Boston Massachusetts U.S.A.Email;h.amaro@neu.edu</t>
  </si>
  <si>
    <t>20408063; Addiction treatment intervention: an uncontrolled prospective pilot study of Spiritual Self-Schema therapy with Latina women</t>
  </si>
  <si>
    <t>Substance abuse : official publication of the Association for Medical Education and Research in Substance Abuse</t>
  </si>
  <si>
    <t>addiction (complication, therapy);alternative medicine;cognitive therapy;Hispanic;meditation;mental disease (complication, therapy);adult;article;attitude to health;clinical trial;female;high risk behavior;human;Human immunodeficiency virus infection (prevention);impulsiveness (therapy);methodology;patient compliance;patient satisfaction;pilot study;psychiatric diagnosis;psychological aspect;statistics</t>
  </si>
  <si>
    <t>Spiritual Self-Schema (3-S) is a weekly 8-session, mindfulness-based, manual-guided, individual intervention targeting addiction and human immunodeficiency virus (HIV) risk behaviors that integrates cognitive behavioral strategies with Buddhist principles and clients' religious/spiritual beliefs. 3-S is efficacious for reducing drug use and HIV risk behaviors among mixed-gender, methadone-maintained outpatients. The study goal was to conduct a preliminary evaluation of 3-S therapy among urban, low-income Latinas (n = 13) in residential addiction treatment. Data gathered via in-person interviews (baseline, 8 and 20 weeks postentry) showed high rates of 3-S acceptability and positive changes in a number of outcomes relevant to recovery from addiction and to HIV prevention, including impulsivity, spirituality, motivation for change, and HIV prevention knowledge. The study findings are promising; however, a controlled study with longer follow-up is needed to rigorously assess the efficacy of 3-S therapy with Latinas in substance abuse treatment.</t>
  </si>
  <si>
    <t>(Amaro H.) (Magno-Gatmaytan C.; Melâ”œâŒndez M.; Cortâ”œâŒs D.E.; Arevalo S.; Margolin A.); ID: 2801</t>
  </si>
  <si>
    <t>1547-0164 (electronic)</t>
  </si>
  <si>
    <t>http://www.ncbi.nlm.nih.gov/pubmed/20408063</t>
  </si>
  <si>
    <t>10.1080/08897071003641602 FULL TEXT LINK http://dx.doi.org/10.1080/08897071003641602</t>
  </si>
  <si>
    <t>Addiction treatment intervention: an uncontrolled prospective pilot study of Spiritual Self-Schema therapy with Latina women</t>
  </si>
  <si>
    <t>Amchovâ”œÃ­,P.;Kuâ”€Ã¬erovâ”œÃ­,J.;Author,Addresses;Farmakologickâ”œâ•œ â”œÃœstav,Lâ”œâŒkaâ”¼Ã–skâ”œÃ­;Fakulta,Masarykova Univerzita Kamenice Brno Czech Republic;Vyzkumna,Skupina;Experimentalni,A. Aplikovane Neuropsychofarmakologie;Technologickâ”œâ•œ Institut, Masarykova Univerzita Brno,Czech Republic;Correspondence,Address;Kuâ”€Ã¬erovâ”œÃ­, Farmakologickâ”œâ•œ â”œÃœstav Lâ”œâŒkaâ”¼Ã–skâ”œÃ­ Fakulta Masarykova Univerzita,J.;Kamenice,Brno Czech Republic</t>
  </si>
  <si>
    <t>Gender and drug addiction: From the animal models to human medicine ORIGINAL (NON-ENGLISH) TITLE Pohlavâ”œÂ¡ a drogovâ”œÃ­ zâ”œÃ­vislost: od animâ”œÃ­lnâ”œÂ¡ch modelâ”¼Â» ke klinickâ”œâŒ praxi</t>
  </si>
  <si>
    <t>Ceska a Slovenska Psychiatrie</t>
  </si>
  <si>
    <t>drug dependence;sex difference;article;human;nonhuman;Drug Dependence, Alcohol Abuse and Alcoholism (40)</t>
  </si>
  <si>
    <t>Drug addiction is a serious medical and psychosocial problem which leads to organic harm of the body as well as distortion of the normal functioning of affected persons within the society and family. There is a large body of clinical evidence suggesting differential characteristics of the disorder in men and women. Despite the absolute number of female drug abusers is lower than the male ones, women usually show higher escalation rate, more frequent relapses and more difficulties when discontinuing the drug use. These gender specific differences will require specific treatment strategies for men and women in the near future. Preclinical studies of drug addiction were carried out with male subject only for a long time because significant influence of the estrous cycle is well known in terms of behavioural and neurochemical effects but recently this approach has been abandoned on order to identify the gender differences and develop new more specific treatments. Levels of male and female gonadal hormones strongly affect the behaviour of people which concerns the addictive one as well. However, there have been reported also gender dependent differences in the brain structure in both humans and animals. Another source of the gender differences comprise metabolic adjustments leading to pharmacokinetic changes of the drugs including different fat deposition, amount of water in the body or proportion of skeletal muscles. Pharmacodynamic changes could be under lied by changes in connectivity of the neuronal tracts and neurotransmitter systems which are modified prenatally by gonadal hormones or chromosomes. These pharmacodynamic specificities are the major source of subjective differences in the effects of the abused drugs and to the variable tendency to develop the addiction, tolerance or sensitization to the drug. The aim of this review article is to provide a survey of the current knowledge on the gender differences in drug addiction based on both clinical and preclinical studies preklinickâ”œâ•œch together with the mechanisms responsible for such differences in the course of the drug addiction.</t>
  </si>
  <si>
    <t>(Amchovâ”œÃ­ P.; Kuâ”€Ã¬erovâ”œÃ­ J., jkucer@med.muni.cz) Czech Medical Association J.E. Purkyne, cls@cls.cz; ID: 2179</t>
  </si>
  <si>
    <t>1212-0383</t>
  </si>
  <si>
    <t>2015062719 PUI L604480151</t>
  </si>
  <si>
    <t>Czech</t>
  </si>
  <si>
    <t>Amelung,K. A.;Deal,E. N.;Author,Addresses;Barnes-Jewish Hospital, St Louis,United States;Correspondence,Address;KA Amelung, Barnes-Jewish Hospital St Louis,United States</t>
  </si>
  <si>
    <t>Benzodiazepine use in alcohol withdrawal syndrome at an academic medical center</t>
  </si>
  <si>
    <t>Pharmacotherapy</t>
  </si>
  <si>
    <t>438e</t>
  </si>
  <si>
    <t>439e</t>
  </si>
  <si>
    <t>(MAJOR FOCUS);benzodiazepine;alcohol;lorazepam;alcohol withdrawal syndrome;clinical pharmacy;college;university hospital;anxiety;drug therapy;human;length of stay;male;medical history;medical record;patient;physician;sedation;seizure</t>
  </si>
  <si>
    <t>PURPOSE: This retrospective review was completed to assess practices in managing alcohol withdrawal syndrome (AWS) at a 1300- bed tertiary academic medical center. METHODS: Medical records were reviewed on 100 randomlyselected patients admitted between January 1 and June 30, 2010 with an ICD-9 code for alcohol use/abuse and an active benzodiazepine (BZD) order for at least 24 hours. Patients were excluded if BZD use was for sedation or non-alcohol withdrawal related anxiety. Documented information included demographic and admission information, past medical history, ethanol level upon admission, utilization of an AWS order set, alcohol withdrawal medication regimen (agent, route, and fixed-schedule or symptom-triggered dosing), and total amount of BZD administered over the length of stay. RESULTS: The average patient was a 48-year old male who consumed 10.6 drinks per day. Approximately one-third of patients had a history of AWS with 15% having a noted history of seizures related to alcohol withdrawal. One-third had a measurable ethanol level upon admission with the mean being 233 mg/. The majority of patients were admitted to the medicine service (82%). An alcohol withdrawal order set was utilized in 45% of all patients. Overall, a fixed-regimen was chosen in 50% of cases and a symptom-triggered regimen was chosen in 87% of cases. The mean total amount of (lorazepam-equivalent) BZDs administered was 16.6 milligrams over an average length of stay of 5.4 days. When only fixed-schedule orders were written (n=12), the total amount of medication administered was 27.4 milligrams. When only symptom-triggered orders were written (n=50), the total amount of medication administered was 3 milligrams. CONCLUSIONS: The BZD prescribing practices for AWS at this institution are varied. This could be due to a number of factors including extensive patient differences, the high number of prescribing physicians, and the lack of standardized assessments for symptoms of alcohol withdrawal.</t>
  </si>
  <si>
    <t>(Amelung K.A.; Deal E.N.) 2011 Annual Meeting of the American College of Clinical Pharmacy Pittsburgh, PA, United States 2011-10-16 to 2011-10-19 Pharmacotherapy Publications Inc.; ID: 2639</t>
  </si>
  <si>
    <t>0277-0008</t>
  </si>
  <si>
    <t>An,J.;Sun,Y.;Wan,Y.;Chen,J.;Wang,X.;Tao,F.;Author,Addresses;Department,of Maternal;Adolescent Health,School,of Public;Health,Anhui Medical University thMeishanRd Hefei China;Correspondence,Address;Tao, Department of Maternal Child,F.;Adolescent Health,School of;Public Health, Anhui Medical University thMeishanRd,Hefei China;Email,taofangbiao com</t>
  </si>
  <si>
    <t>25026104; Associations between problematic internet use and adolescents' physical and psychological symptoms: Possible role of sleep quality</t>
  </si>
  <si>
    <t>July-August</t>
  </si>
  <si>
    <t>child psychiatry;internet addiction;sleep quality;20 item Young Internet Addiction Test;adolescent;adult;article;assessment of humans;Chinese;cross-sectional study;disease association;educational status;environmental exposure;female;human;male;Multidimensional Sub health Questionnaire of Adolescent;Pittsburgh Sleep Quality Index;prevalence;priority journal;risk factor;rural area;sleep deprivation;social status;Public Health, Social Medicine and Epidemiology (17);Psychiatry (32)</t>
  </si>
  <si>
    <t>Objective: To evaluate the associations between problematic Internet use (PIU) and physical and psychological symptoms among Chinese adolescents, and to investigate the possible role of sleep quality in this association. Methods: A cross-sectional school-based study was conducted in 4 cities in China. The Multidimensional Sub-health Questionnaire of Adolescents, the Pittsburgh Sleep Quality Index, and demographic variables were used to measure adolescents' physical and psychological symptoms and sleep quality, respectively, in 13,723 students (aged 12-20 years). Problematic Internet use was assessed by the 20-item Young Internet Addiction Test. Logistic regressions were used to evaluate the effects of sleep quality and PIU on physical and psychological symptoms, and to identify the mediating effect of sleep quality in adolescents. Results: Prevalence rates of PIU, physical symptoms, psychological symptoms, and poor sleep quality were 11.7%, 24.9%, 19.8%, and 26.7%, respectively. Poor sleep quality was found to be an independent risk factor for both physical and psychological symptoms. The effects of PIU on the 2 health outcomes were partially mediated by sleep quality. Conclusions: Problematic Internet use is becoming a significant public health issue among Chinese adolescents that requires urgent attention. Excessive Internet use may not only have direct adverse health consequences but also have indirect negative effects through sleep deprivation. Copyright â”¬âŒ 2014 American Society of Addiction Medicine.</t>
  </si>
  <si>
    <t>(An J.; Sun Y.; Wan Y.; Chen J.; Wang X.; Tao F., taofangbiao@126.com); ID: 2303</t>
  </si>
  <si>
    <t>http://www.ncbi.nlm.nih.gov/pubmed/25026104</t>
  </si>
  <si>
    <t>10.1097/ADM.0000000000000026 FULL TEXT LINK http://dx.doi.org/10.1097/ADM.0000000000000026</t>
  </si>
  <si>
    <t>Associations between problematic internet use and adolescents' physical and psychological symptoms: Possible role of sleep quality</t>
  </si>
  <si>
    <t>Anderson,J.;Author,Addresses;Correspondence,Address;Anderson,J.</t>
  </si>
  <si>
    <t>5471766; Medical students and smoking</t>
  </si>
  <si>
    <t>health education;medical student;smoking (prevention);article;human;United Kingdom</t>
  </si>
  <si>
    <t>(Anderson J.); ID: 3958</t>
  </si>
  <si>
    <t>http://www.ncbi.nlm.nih.gov/pubmed/5471766</t>
  </si>
  <si>
    <t>Medical students and smoking</t>
  </si>
  <si>
    <t>Androski,C. P.;Michael,S. S.;Babu,K. M.;Reznek,M. A.;Author,Addresses;University,of;Massachusetts Medical School, Worcester,United States;Correspondence,Address;CP Androski, University of Massachusetts Medical School,Worcester United;States</t>
  </si>
  <si>
    <t>Differences in opioid prescribing patterns among emergency medicine independent providers and trainees</t>
  </si>
  <si>
    <t>S99</t>
  </si>
  <si>
    <t>(MAJOR FOCUS);opiate;emergency medicine;prescription;student;analgesia;analysis of variance;clinical study;clinical trial;community hospital;controlled study;drug therapy;electronic medical record;emergency ward;female;human;male;outpatient;perception;resident;opiate (53663-61-9, 8002-76-4, 8008-60-4)</t>
  </si>
  <si>
    <t>Study Objectives: Even in the face of the opioid epidemic affecting millions of individuals across the US, information related to opioid prescribing patterns among emergency medicine providers is limited, and we are aware of no studies comparing the practices of providers who have completed training versus trainees. As trainees are likely influenced by the practice of more senior providers, it would stand to reason that their practices would be similar; however, there also may be generational differences in culture and education that may influence variation. Our aim was to investigate whether there is a difference between opioid prescribing patterns of resident physicians versus attending physicians and advanced practice providers (APPs). Methods: We queried our electronic medical record to identify all outpatient prescriptions written by emergency medicine attending and resident physicians and advanced practice providers at four affiliated emergency departments (EDs). Sites ranged from a 364-bed tertiary academic center with 92,000 annual ED visits to a 41-bed community hospital with 14,000 visits. At the academic site, discharge prescriptions are typically written by residents. At the other sites, attendings and APPs typically see patients independently without residents. For each prescriber, we calculated the number of opioid prescriptions per hundred total prescriptions written and the percentage of patients dispositioned with an opioid prescription. We compared differences between residents and attendings/APPs using oneway ANOVA when normal approximations were valid and Wilcoxon testing when distributions were nonparametric. Results: The percentage of dispositioned patients receiving an opioid prescription was higher when attending physicians and APPs affected the disposition than when residents did so (mean 8.4% vs 5.3%, p=0.004). There was no significant difference in the number of opioid prescriptions per hundred total prescriptions written among independent providers and residents (mean 22% vs 20%). While most providers work at multiple sites, there were no significant between-site differences observed. Conclusions: Patients who were dispositioned by attending physicians and APPs were more likely to receive an opioid prescription compared to patients who were dispositioned by ED residents. The cause of the observed difference is unclear but may reflect generational differences related to thresholds in deciding which patients require opioid analgesia to effectively manage their pain and differences in perceptions of the risks of opioid medications. In light of recent national calls to standardize opioid prescribing in the ED setting, further research is warranted to evaluate why a discrepancy may exist between providers and trainees. This information may improve the effectiveness of future strategies to standardize opioid prescribing practices.</t>
  </si>
  <si>
    <t>(Androski C.P.; Michael S.S.; Babu K.M.; Reznek M.A.) American College of Emergency Physicians, ACEP 2016 Research Forum Las Vegas, NV, United States 2016-10-16 to 2016-10-18 Mosby Inc.; ID: 1902</t>
  </si>
  <si>
    <t>Anne Yee,H. A.;Rashid,R. A.;Author,Addresses;Correspondence,Address;Yee,H. A. A.</t>
  </si>
  <si>
    <t>The substance use disorder among patients with bipolar disorder in UMMC (University Malaya Medical Center) in Malaysia</t>
  </si>
  <si>
    <t>International clinical psychopharmacology</t>
  </si>
  <si>
    <t>Int.Clin.Psychopharmacol.</t>
  </si>
  <si>
    <t>September</t>
  </si>
  <si>
    <t>26 SUPPL. A</t>
  </si>
  <si>
    <t>e161</t>
  </si>
  <si>
    <t>alcohol;nicotine;bipolar disorder;human;Malaysia;patient;psychosis;substance abuse;university;winter;workshop;abuse;addiction;alcoholism;diagnosis;drug therapy;female;groups by age;hospital patient;Indian;informed consent;interview;lifespan;male;population;prevalence;psychiatric department;tobacco dependence;ward</t>
  </si>
  <si>
    <t>Objective: To determine the prevalence of substance use disorder and the demographic profile of the bipolar patients in UMMC, Malaysia. Methods: Participants were recruited from March 2009 to 06 Sep 2010 among bipolar patients who attended service at psychiatric unit in University Malaya Medical Center (UMMC), Malaysia. Inclusion criteria: All patients age more than 18 years old with informed consent. Instruments: M.I.N.I (Mini International Neuropsychiatric Interview) bipolar to confirm the diagnosis, M.I.N.I Substance section (K, L), Fagerstrom Test for Nicotine Dependence (FTND), Addiction Severity Index (ASI) for the prevalence of substance use disorder and demographic data. Results: 121 bipolar patients were recruited with 43.8% of them using at least one substance currently or in their lifetime. Nearly 30.6% of them was diagnosed of substance use disorders. The prevalence of current nicotine dependence was 22.3% (n=27). The current and lifetime prevalence of alcohol dependence were 4.1% (n =5) and 9.9% (n = 12) respectively.the lifetime prevalence of non-alcohol, non- nicotine, psychoactive substance use disorder was 8.2% (dependence) and 9.0% (abuse). Among these bipolar patients who used substance: 80.8% were male, more than half (59.6%) were within the age group of 18-30 and 51-60 years old with the mean age of 42 years old. 38.5% were Indian. 40.4% were inpatient, nearly a quarter of them (30.8%) needed to stay more than 2 weeks in the ward and 36.5% needed at least 4 types of medication (X2 = 13.975, df = 4, P). Conclusion: The prevalence of substance use disorder among bipolar patients in Malaysia was higher compared to general population (30.6 vs. 2%). Males had higher rates of using substance then females. Those bipolar patients with comorbid substance use requires more medication usage.</t>
  </si>
  <si>
    <t>(Anne Yee H.A.; Rashid R.A.) 16th Biennial Winter Workshop in Psychoses Innsbruck, Austria 2011-01-30 to 2011-02-02 Lippincott Williams and Wilkins; ID: 2652</t>
  </si>
  <si>
    <t>0268-1315</t>
  </si>
  <si>
    <t>10.1097/01.yic.0000399969.31830.3f FULL TEXT LINK http://dx.doi.org/10.1097/01.yic.0000399969.31830.3f</t>
  </si>
  <si>
    <t>Anton,R.;Author,Addresses;Department of,Psychiatry;Behavioral Sciences,Medical;University of South Carolina, Charleston,United States;Correspondence,Address;Anton,Department of Psychiatry,R.;Behavioral Sciences,Medical;University of South Carolina, Charleston,United States</t>
  </si>
  <si>
    <t>Update on analytic methods and clinical utility of %CDT in screening and monitoring of heavy drinking</t>
  </si>
  <si>
    <t>Alcoholism: Clinical and Experimental Research</t>
  </si>
  <si>
    <t>33 SUPPL. 1</t>
  </si>
  <si>
    <t>304A</t>
  </si>
  <si>
    <t>alcohol;carbohydrate deficient transferrin;marker;transferrin;alcoholism;analytic method;drinking;monitoring;screening;society;United States;addiction;alcohol consumption;assay;genetic variability;gold standard;health care personnel;high performance liquid chromatography;hospital;liver disease;liver dysfunction;methodology;neoplasm;population;surgical injury;transferrin blood level</t>
  </si>
  <si>
    <t>It has been almost 20 years since the discovery of abnormal serum transferrin deglycosylated isoforms (carbohydrate deficient transferrin - CDT) being associated with heavy alcohol consumption. Methods of detecting CDT as a fraction of normal transferrin have evolved and we now have a clearer understanding of what is being measured and the cause of both false positives and negatives. Presently, an international effort is ongoing to standardize the specific isoform of CDT being measured. The gold standard assay (reference assay) is currently an HPLC-UV detection method in which all salient isoforms of tranferrin can be measured with great accuracy and sensitivity. This method allows for detection of genetic variants and might be able to detect effects of liver dysfunction in its interaction with the transferrin isoforms. Concurrent to these technical/analytic developments, %CDT is being more widely used in various clinical settings, e.g. surgical trauma and medical clinics for screening, and in addiction programs for screening and monitoring. Ongoing studies in alcohol related cancers and liver disease, in comparison to newer markers, are being conducted. This presentation will overview the different methodologies currently in use and present data on how the HPLC method can detect genetic and other variants. New data on work in various medical populations and its clinical utility in addiction programs will be highlighted. Methods of educating health care professionals leading to appropriate use of this lab test will also be discussed.</t>
  </si>
  <si>
    <t>(Anton R.) Texas Research Society On Alcoholism - 19th Annual Scientific Meeting San Antonio, TX, United States 2009-02-20 to 2009-02-20 Blackwell Publishing Ltd; ID: 2898</t>
  </si>
  <si>
    <t>10.1111/j.1530-0277.2009.00948.x FULL TEXT LINK http://dx.doi.org/10.1111/j.1530-0277.2009.00948.x</t>
  </si>
  <si>
    <t>Antonini,V. P.;Oeser,B. T.;Urada,D.;Author,Addresses;Ucla;Integrated Substance Abuse Programs, Los Angeles,C.A.United States;Correspondence,Address;Antonini, Ucla Integrated Substance Abuse Programs Santa Monica,V.P.;Blvd,Suite Los Angeles C.A.United States Email;vpearce@mednet.ucla.edu</t>
  </si>
  <si>
    <t>23210376; The California Integration Learning Collaborative: A Forum to Address Challenges of SUD-Primary Care Service Integration</t>
  </si>
  <si>
    <t>integrated health care system;substance abuse;article;financial management;general practitioner;health care;health care organization;health program;human;medical documentation;medical record;privacy;professional practice;Public Health, Social Medicine and Epidemiology (17);Drug Dependence, Alcohol Abuse and Alcoholism (40)</t>
  </si>
  <si>
    <t>The California Substance Use Disorder (SUD)/Health Care Integration Learning Collaborative (CILC) aims to provide an interactive forum where county administrators, SUD provider organization representatives, and other key stakeholders can collaborate to identify successful models and processes for SUD integration into primary health care, as well as common barriers and solutions. We present the topics discussed within the CILC that have focused on common barriers to SUD and health care integration (documentation/data privacy, financing, and partnering with primary care providers). This article describes the discussions, presentations, and lessons learned from the CILC addressing each of these three barriers. â”¬âŒ 2012 Copyright Taylor and Francis Group, LLC.</t>
  </si>
  <si>
    <t>(Antonini V.P., vpearce@mednet.ucla.edu; Oeser B.T.; Urada D.) Taylor and Francis Inc., 325 Chestnut St, Suite 800, Philadelphia, United States.; ID: 2520</t>
  </si>
  <si>
    <t>0279-1072 2159-9777 (electronic)</t>
  </si>
  <si>
    <t>http://www.ncbi.nlm.nih.gov/pubmed/23210376</t>
  </si>
  <si>
    <t>10.1080/02791072.2012.718637 FULL TEXT LINK http://dx.doi.org/10.1080/02791072.2012.718637</t>
  </si>
  <si>
    <t>The California Integration Learning Collaborative: A Forum to Address Challenges of SUD-Primary Care Service Integration</t>
  </si>
  <si>
    <t>Aoyama,K. U.;Nakagawa,M.;Kurosawa,F.;Ishii,T.;Takahashi,Y.;Horiuchi,E.;Hayasaka,T.;Kawasoe,Y.;Author,Addresses;Kanagawa Psychiatric,Center Serigaya;Japan,Seriygaya Konan-ku Yokohama Kanagawa;Correspondence,Address;KU Aoyama, Kanagawa Psychiatric Center,Serigaya Hospital;Seriygaya,Konan-ku Yokohama Kanagawa Japan</t>
  </si>
  <si>
    <t>Rehabilitation program at a hospital for substance addiction in Japan</t>
  </si>
  <si>
    <t>36 SUPPL.2</t>
  </si>
  <si>
    <t>32A</t>
  </si>
  <si>
    <t>antitussive agent;cannabis;illicit drug;methamphetamine;narcotic agent;organic solvent;addiction;alcoholism;hospital;Japan;medical research;rehabilitation;society;cognitive therapy;drug dependence;education;family therapy;female;group therapy;hospital patient;human;male;mental health care;model;occupational therapy;offender;patient;prevention;rehabilitation center;relapse;self help;social adaptation;United States</t>
  </si>
  <si>
    <t>Serigaya Hospital is a prefectural hospital that specializes in treating substance addiction. There are various programs available, such as lectures, group psychotherapy, occupational therapy, social skill training, physical exercising and family therapy. This hospital is also closely connected to self-help groups. Since the number of psychiatric care programs for drug addiction is limited in Japan, long-term rehabilitation is highly dependent on self-help groups such as Drug Addiction Rehabilitation Center (DARC) and Narcotics Anonymous (NA). For their long-term recovery, patients are advised to join self-help groups during their treatment. However, there are patients who have difficulty adjusting to self-help groups. The objective of this study is to overview the inpatient demographic of Serigaya Hospital in order to implement an effective program for those who have not yet adjusted to a self-help group. Seventy-one patients with drug addiction (51 male, 20 female) were hospitalized during August 2010 to July 2011. Among them, 46.5% were addicted to methamphetamine, 31.0% were addicted to prescriptive drugs followed by antitussive drugs, cannabis or organic solvents. The average years of education of patients on prescriptive drugs was 12.6 while that of patients on methamphetamine was 10.9. Only 18.2 % of patients on prescriptive drug had criminal records while 60.7% of patients on methamphetamine addiction had criminal records. It is suggested that the difference in backgrounds may contribute the patient's difficulty with joining traditional self-help groups. The Serigaya Methamphetamine Relapse Prevention Program (SMARPP) was developed in 2006 based on the Matrix Model, which was started in the United States. The program consists of 16 sessions, held once a week and an informative workbook is used in the group cognitive behavioral therapy. Inpatients with both legal and illegal drug addiction participate in the SMARPP when they are admitted to the hospital. The workbook used in the program describes all drugs as Î“Ã‡Â£drugÎ“Ã‡Â¥ and can deal with any kind of substance. 22.7% of Patients with prescriptive drug addiction finished the entire program while those who have a methamphetamine addiction was only 9.1%. Upon interviewing the patients several commented that a drug, whether legal or illegal, is still a drug and misuse is misuse. Some considered joining traditional self-help group during SMARPP. Some are still not familiar with those groups, but participated in SMARPP till the completion of the program. The study shows that SMARPP, in the medical setting, can be effective both for legal and illegal drugs addiction.</t>
  </si>
  <si>
    <t>(Aoyama K.U.; Nakagawa M.; Kurosawa F.; Ishii T.; Takahashi Y.; Horiuchi E.; Hayasaka T.; Kawasoe Y.) 2012 International Society for Biomedical Research on Alcoholism World Congress, ISBRA 2012 Sapporo, Japan 2012-09-09 to 2012-09-12 Blackwell Publishing Ltd; ID: 2523</t>
  </si>
  <si>
    <t>10.1111/j.1530-0277.2012.01917.x FULL TEXT LINK http://dx.doi.org/10.1111/j.1530-0277.2012.01917.x</t>
  </si>
  <si>
    <t>Aravind,V. K.;Prakash,O.;Author,Addresses;Speakers,Mrugesh;Vaishnav,Tss Rao;Correspondence,Address;VK Aravind, Speakers Mrugesh Vaishnav T S S Rao,India Email;drmrugesh@rediffmail.com</t>
  </si>
  <si>
    <t>Proposal for Sexual Medicine Specialty Symposia for ANCIPS 2014 to be held at Pune between 16 - 19th January, Normal, impulsive, obsessive and addictive sexuality - Sexaholism: A perspective</t>
  </si>
  <si>
    <t>January</t>
  </si>
  <si>
    <t>56 SUPPL. 1</t>
  </si>
  <si>
    <t>Indian;medical society;sexuality;addiction;classification;clinical practice;compulsion;diagnosis;Diagnostic and Statistical Manual of Mental Disorders;diseases;human;hypersexuality;implantable cardioverter defibrillator;masturbation;mental disease;obsession;paraphilic disorder;pornography;public health;Reunion;scientist;sexual addiction;sexual behavior;sexual deviation</t>
  </si>
  <si>
    <t>Sex is a biological drive. Sexual thoughts, urges, and behaviors are part of normal sexuality which at time becomes difficult to resist, hence results into impulsive, obsessive, or addictive sexual behavior. Though there is no clear-cut demarcation between normal and abnormal sexual behavior, some of the researchers have defined total sexual outlet (TSO) to measure whether the sexuality is normal or abnormal. The recent Diagnostic and Statistical Manual of Mental Disorders (DSM) 5 classification have classified paraphilic disorders, however highly prevalent paraphilia-related disorders like compulsive masturbation, phone sex dependence, pornography dependence, protracted promiscuity, severe sexual desire incompatibility, and sexual chat room dependence are still not separately classified as mental disorders. Based on the current research data available, sexual compulsion can easily be fit either into obsessive compulsive spectrum or into an addiction module, but hypersexuality or sexual addiction is still considered as symptom of mental illness and not separate diagnostic entity. A clinician may come across cases of partners complaining hyper sexuality, excessive chat room dependence, or several extramarital affairs. The clinician's dilemma is whether to label that individual into any psychiatric disorder pattern as, for example, impulsive, compulsive, or addictive. It is also difficult to decide up to which extent sexual behavior is to be considered normal. This will be discussed with anecdotal case examples about what is normal and what is abnormal sexual desire, urges, and behavior. Sex and the drive of evolution and sex and the religious quest for divine reunion will be discussed. Several examples of hypersexuality, paraphilia, paraphilia-related disorders, sexual obsession, and sexaholism and public health will also be discussed. The symposia will throw light on how these cases can be managed in routine clinical practice.</t>
  </si>
  <si>
    <t>(Aravind V.K., drmrugesh@rediffmail.com; Prakash O.) 66th Annual National Conference of the Indian Psychiatric Society, ANCIPS 2014 Pune, India 2014-01-16 to 2014-01-19 Medknow Publications and Media Pvt. Ltd; ID: 2321</t>
  </si>
  <si>
    <t>Arnedt,J. T.;Owens,J.;Crouch,M.;Stahl,J.;Carskadon,M. A.;Author,Addresses;Department,of;Psychiatry;Human Behavior, Brown Medical School,Providence R.;States;Division of,Ambulatory Pediatrics;Island Hospital,Providence,R.I.United States;Sleep;Chronobiology,Research Laboratory;Hospital,Providence R. I. United States;Sleep;Chronophysiology,Laboratory;Department of Psychiatry, University of Michigan Ann,Arbor M.;States;Sleep;Chronophysiology,Laboratory;Department of Psychiatry, University of Michigan,Commonwealth Blvd;Ann Arbor,M.I.United States;Correspondence,Address;J.T. Arnedt,Sleep;Chronophysiology Laboratory,Department of;Psychiatry,University of Michigan Commonwealth Blvd Ann Arbor M.I.;edu,United States Email tarnedt med umich</t>
  </si>
  <si>
    <t>16145022; Neurobehavioral performance of residents after heavy night call vs after alcohol ingestion</t>
  </si>
  <si>
    <t>Journal of the American Medical Association</t>
  </si>
  <si>
    <t>J.Am.Med.Assoc.</t>
  </si>
  <si>
    <t>alcohol consumption;cognition;residency education;academic achievement;adult;alcohol blood level;alertness;article;attention;driving ability;error;evaluation study;female;human;human experiment;male;measurement;medical specialist;normal human;performance;priority journal;prospective study;self report;somnolence;statistical significance;stimulation;task performance;Neurology and Neurosurgery (8);Public Health, Social Medicine and Epidemiology (17)</t>
  </si>
  <si>
    <t>Context: Concern exists about the effect of extended resident work hours; however, no study has evaluated training-related performance impairments against an accepted standard of functional impairment. Objectives: To compare post-call performance during a heavy call rotation (every fourth or fifth night) to performance with a blood alcohol concentration of 0.04 to 0.05 g% (per 100 mL of blood) during a light call rotation, and to evaluate the association between self-assessed and actual performance. Design, Setting, and Participants: A prospective 2-session within-subject study of 34 pediatric residents (18 women and 16 men; mean age, 28.7 years) in an academic medical center conducted between October 2001 and August 2003, who were tested under 4 conditions: light call, light call with alcohol, heavy call, and heavy call with placebo. Interventions: Residents attended a test session during the final week of a light call rotation (non-post-call) and during the final week of a heavy call rotation (post-call). At each session, they underwent a 60-minute test battery (light and heavy call conditions), ingested either alcohol (light call with alcohol condition) or placebo (heavy call with placebo condition), and repeated the test battery. Performance self-evaluations followed each test. Main Outcome Measures: Sustained attention, vigilance, and simulated driving performance measures; and self-report sleepiness, performance, and effort measures. Results: Participants achieved the target blood alcohol concentration. Compared with light call, heavy call reaction times were 7% slower (242.5 vs 225.9 milliseconds, P&lt;.001); commission errors were 40% higher (38.2% vs 27.2%, P&lt;.001); and lane variability (7.0 vs 5.5 ft, P&lt;.001) and speed variability (4.1 vs 2.4 mph, P&lt;.001) on the driving simulator were 27% and 71% greater, respectively. Speed variability was 29% greater in heavy call with placebo than light call with alcohol (4.2 vs 3.2 mph, P=.01), and reaction time, lapses, omission errors, and off-roads were not different. Correlation between self-assessed and actual performance under heavy call was significant for commission errors (r=-0.45, P=.01), lane variability (r=-0.76, P&lt;.001), and speed variability (r=-0.71, P&lt;.001), but not for reaction time. Conclusions: Post-call performance impairment during a heavy call rotation is comparable with impairment associated with a 0.04 to 0.05 g% blood alcohol concentration during a light call rotation, as measured by sustained attention, vigilance, and simulated driving tasks. Residents' ability to judge this impairment may be limited and task-specific. â”¬âŒ2005 American Medical Association. All rights reserved.</t>
  </si>
  <si>
    <t>(Arnedt J.T., tarnedt@med.umich.edu; Owens J.; Carskadon M.A.) (Owens J.; Crouch M.; Stahl J.) (Carskadon M.A.) (Arnedt J.T., tarnedt@med.umich.edu) American Medical Association, 515 North State Street, Chicago, United States.; ID: 3159</t>
  </si>
  <si>
    <t>0098-7484 1538-3598 (electronic)</t>
  </si>
  <si>
    <t>http://www.ncbi.nlm.nih.gov/pubmed/16145022</t>
  </si>
  <si>
    <t>10.1001/jama.294.9.1025 FULL TEXT LINK http://dx.doi.org/10.1001/jama.294.9.1025</t>
  </si>
  <si>
    <t>Neurobehavioral performance of residents after heavy night call vs after alcohol ingestion</t>
  </si>
  <si>
    <t>Arria,A. M.;Mericle,A. A.;Rallo,D.;Moe,J.;White,W. L.;Winters,K. C.;O'Connor,G.;Author,Addresses;Treatment,Research;Institute,Public Ledger Building S.Independence Mall West;Philadelphia Pa,United States;Betty,Ford;Institute,Rancho Mirage C. A. United States;Center on,Young Adult;Development;University of Maryland School of Public Health, Department,of Family;Science,College Park M. D. United States;Chestnut Health Systems, Bloomington,I.L.United States;Department of Psychiatry, University,of Minnesota;Minneapolis,M. N. U.;Correspondence,Address;AM Arria, Treatment Research Institute Public Ledger,Building S.;Independence Mall West, Philadelphia P A United,States Email;aarria@umd.edu</t>
  </si>
  <si>
    <t>23079483; Integration of parenting skills education and interventions in addiction treatment</t>
  </si>
  <si>
    <t>January-February</t>
  </si>
  <si>
    <t>drug dependence treatment;parenting education;adult;adverse outcome;article;child parent relation;childhood;convenience sample;descriptive research;education program;female;health care availability;high risk population;human;major clinical study;male;parental behavior;priority journal;United States;Public Health, Social Medicine and Epidemiology (17);Psychiatry (32);Drug Dependence, Alcohol Abuse and Alcoholism (40)</t>
  </si>
  <si>
    <t>Objectives: Children of parents with substance use disorders are at risk for various adverse outcomes, and maladaptive parenting behaviors seem to be an important mediator of this risk.Although numerous research studies have highlighted the promise of parenting interventions in modifying parenting behavior, very little is known about the integration of parenting skills education and interventions into addiction treatment programs. Methods: In this study, a convenience sample of 125 addiction treatment programs in the United States was drawn. A key staff member was interviewed to gather basic information about the extent and nature of parenting skills education and interventions offered at their program. In addition, respondents were asked to rate the importance of parenting skills relative to other addiction treatment priorities. Results: Descriptive analyses revealed that 43% reported some form of parenting classes, but few used a structured curriculum. Conclusions: Given the known beneficial influence of effective parenting practices on reducing adverse childhood outcomes, it is surprising that relatively few substance abuse treatment programs have adopted structured parenting skills interventions as part of their standard service offerings. More research is warranted on the extent to which parenting skills interventions are integrated into the continuum of services available to parents with a substance use disorder. Copyright â”¬âŒ 2013 American Society of Addiction Medicine.</t>
  </si>
  <si>
    <t>(Arria A.M., aarria@umd.edu; Mericle A.A.; Winters K.C.) (Arria A.M., aarria@umd.edu; Rallo D.; Moe J.; O'Connor G.) (Arria A.M., aarria@umd.edu) (White W.L.) (Winters K.C.) Lippincott Williams and Wilkins, 250 Waterloo Road, London, United Kingdom.; ID: 2451</t>
  </si>
  <si>
    <t>1932-0620 1935-3227 (electronic)</t>
  </si>
  <si>
    <t>http://www.ncbi.nlm.nih.gov/pubmed/23079483</t>
  </si>
  <si>
    <t>10.1097/ADM.0b013e318270f7b0 FULL TEXT LINK http://dx.doi.org/10.1097/ADM.0b013e318270f7b0</t>
  </si>
  <si>
    <t>Integration of parenting skills education and interventions in addiction treatment</t>
  </si>
  <si>
    <t>Asfar,T.;Lee,D. J.;Owsley,C.;McGwin,G.;Gower,E. W.;Friedman,D. S.;Murchison,A. P.;Mayro,E. L.;Saaddine,J.;Author,Addresses;Department of Public,Health Sciences;Miami Miller School of Medicine, Miami,United States;Ophthalmology,University of Alabama at Birmingham;Birmingham,United States;Public Health,Sciences;Ophthalmology,Wake Forest School of;Medicine,Winston-Salem United States;Ophthalmology,Johns Hopkins University Baltimore United;States;Ophthalmology,Wills Eye Institute;Philadelphia,United States;Division of Diabetes Translation, Centers for,Disease Control;and Prevention,Atlanta,United States;Correspondence,Address;Asfar, Department of Public Health Sciences University of Miami Miller,T.;School of Medicine, Miami,United States</t>
  </si>
  <si>
    <t>Training eye-care providers to deliver smoking cessation counseling to their patients</t>
  </si>
  <si>
    <t>Investigative Ophthalmology and Visual Science</t>
  </si>
  <si>
    <t>Invest.Ophthalmol.Visual Sci.</t>
  </si>
  <si>
    <t>counseling;doctor patient relation;eye care;smoking cessation;confidence interval;disease course;eye disease;follow up;Hispanic;human;Internet;jurisprudence;major clinical study;male;motivation;ophthalmologist;ophthalmology;optometrist;practice guideline;resident;telephone;training;videorecording</t>
  </si>
  <si>
    <t>Purpose: Mounting scientific evidence indicates that smoking can lead to visual impairment and blindness. Eye care providers are uniquely positioned to help their patients quit smoking. The current study developed, implemented, and evaluated a smoking cessation internet-based training program targeting eye care providers. The training program was based on the 3A1R: Î“Ã‡Â£Ask about tobacco use, Advise to quit, Assess willingness to quit, and Refer to a telephone tobacco quit line (QL)Î“Ã‡Â¥. Methods: The training program was developed and pre-tested among 10 eye-care providers. Feedback from these providers was used to improve the training materials. Eye care providers (n=654) at four academic centers were invited to participate in the study. The program included a 30-minute video integrated into the Wills Eye Hospital Knowledge Portal (http://www.willseyeonline.org/). Providers were asked to complete pre- and post-training survey to test their current smoking cessation practices, knowledge with the QL, and changes in their attitudes and knowledge with respect to the 3A1R. Results: A total of 116 eye care providers participated in the study. Eighty (69.0%) participants were White, 20 (17.2%) Asian, 4 (3.4%) Black, and 5 (4.3%) Hispanic. Half of the participants were male 62 (53.4%), 49 (42.2%) ophthalmologists, 10 (8.6%) optometrists, 42 (36.2%) ophthalmology residents and 14 (12.1%) fellows. Only half of the participating providers reported routinely asking patients about their smoking status, 47.4% advised their patients to quit, 23.3% assessed patients' motivation to quit, 2.6% assisted patients in quitting, and 0.9% arranged a follow-up to address smoking. Surprisingly, 69% of providers were not familiar with tobacco QLs, and only 7.8% referred their smoking patients to tobacco QLs. At the posttraining survey, providers' confidence improved with respect to the 3A1R guidelines by 9% for Ask (95% Confidence Interval CI; 0.05-0.16;p&lt;.001); 23.0% for Advise (0.15- 0.32;p&lt;.001); 12.8% for Assess (0.07-0.21;p&lt;.001); and 46.8% for Refer (0.37- 0.56;p=.25). Conclusions: Eye-care providers' perceived effcacy in helping their smoking patients improved significantly and immediately after receiving the training. On-line training targeting eye health care professionals has the potential to reduce the burden of tobacco-associated eye disease.</t>
  </si>
  <si>
    <t>(Asfar T.; Lee D.J.) (Owsley C.; McGwin G.) (Gower E.W.) (Friedman D.S.) (Murchison A.P.; Mayro E.L.) (Saaddine J.) 2015 Annual Meeting of the Association for Research in Vision and Ophthalmology, ARVO 2015 Denver, CO, United States 2015-05-03 to 2015-05-07 Association for Research in Vision and Ophthalmology Inc.; ID: 2096</t>
  </si>
  <si>
    <t>0146-0404</t>
  </si>
  <si>
    <t>Auriacombe,M.;Alexandre,J. M.;Dubernet,J.;Tanguy,J.;Fatseas,M.;Author,Addresses;Addiction;Psychiatry,Universite Bordeaux Bordeaux France;Mapi,University Bordeaux Bordeaux France;Correspondence,Address;Auriacombe, Addiction Psychiatry Universite Bordeaux,M.;Bordeaux,France</t>
  </si>
  <si>
    <t>Contribution of e-learning to addiction teaching: A successful experience at the university of bordeaux, France</t>
  </si>
  <si>
    <t>addiction;comprehension;France;teaching;documentation;human;major clinical study;neuroscience;psychiatry;student;teacher;validation process;videorecording</t>
  </si>
  <si>
    <t>Aims: New information technologies and communication media have a potential to improve teaching. Our objective was to describe the new e-learning course of addiction medicine at the University of Bordeaux (France, EU) and to provide evidences of success. Methods: Program description: This course is intended for students of medicine, psychiatry, neurosciences, and midwifes. It has a hybrid structure, mixing distance learning and on-site workshops. Students are instructed to connect to an online platform (Moodle), to study by themselves short videos designed by the teachers (10-20 min sequences, for a total of 90 min). To ensure comprehension of key concepts, students must validate a quiz to unlock the next video. If unsuccessful, they are invited to review the problem areas. Documentation to download is proposed to complete videos. Students can ask questions directly to the teachers via an online forum. Answers remain visible for all. At the end of the semester, a face-to-face workshop is proposed with a teacher, in small groups (20 students). Content is determined by the performance of students with a quiz, and addresses clinical cases. Finally, students are asked to fill a form to improve the program. Results: Since 2012, 2,000 students were involved. Validation of the online quiz (distance learning) varied between 85% and 96% of the students. Workshop participation increased from 80% to 95% (face-to-face learning). We noted a remarkable increase in participation, since less then 20% of the students participated in the previous usual group conference teaching process. Conclusions: This e-learning program provides quality education for addiction. Students where able to organize themselves and take into account their optimal time for study, which allowed more participation. We think that stepped e-learning combined with small-group workshops is a very efficient method to make addiction teaching more accessible and valid.</t>
  </si>
  <si>
    <t>(Auriacombe M.; Alexandre J.-M.; Dubernet J.; Fatseas M.) (CNRS USR 3413) (Tanguy J.) 2016 Annual Meeting of the College on Problems of Drug Dependence, CPDD 2016 Palm Springs, CA, United States 2016-06-11 to 2016-06-16 Elsevier Ireland Ltd; ID: 1844</t>
  </si>
  <si>
    <t>10.1016/j.drugalcdep.2016.08.048 FULL TEXT LINK http://dx.doi.org/10.1016/j.drugalcdep.2016.08.048</t>
  </si>
  <si>
    <t>Axelrath,S.;Adams,J.;Author,Addresses;Denver Health,Denver,United States;University of Colorado, School of Medicine,Denver United;States;University of Colorado, Aurora,United States;Correspondence,Address;Axelrath, University of Colorado School of Medicine Denver United,S.;States</t>
  </si>
  <si>
    <t>Strengthening medical student substance use disorder (SUD) management skills through development of a multi-modal curriculum within the denver health longitudinal integrated clerkship (DH-LIC)</t>
  </si>
  <si>
    <t>S706</t>
  </si>
  <si>
    <t>S707</t>
  </si>
  <si>
    <t>curriculum;drug dependence;medical student;skill;adult;clinical study;Colorado;comfort;controlled study;death;drug overdose;follow up;human;human versus animal comparison;learning;medicine;needs assessment;nonhuman;physician;prevalence;safety net hospital;satisfaction;self evaluation;student attitude;substance abuse;syringe;university;urban area;writing</t>
  </si>
  <si>
    <t>NEEDS AND OBJECTIVES: Overdose deaths have nearly quadrupled since 1999 (CDC) and trained physicians are needed to address this growing health crisis. In a needs assessment of third year medical students and faculty preceptors participating in the DH-LIC, only 27% of students reported a high level of comfort with management of SUD despite 75% of faculty rating this skill as important. Based on these results, an educational innovation was developed with the objectives to increase student knowledge and comfort with management of SUD, improve student attitudes toward patients with SUD, and strengthen student resilience in working with this challenging population. SETTING AND PARTICIPANTS: The University of Colorado School of Medicine's</t>
  </si>
  <si>
    <t>(Adams J.) (Axelrath S.) 40th Annual Meeting of the Society of General Internal Medicine, SGIM 2017 Washington, DC, United States 2017-04-19 to 2017-04-22 Springer New York LLC; ID: 1807</t>
  </si>
  <si>
    <t>Baasher,T. A.;Author,Addresses</t>
  </si>
  <si>
    <t>936597; Mental health services in Eastern Mediterranean countries</t>
  </si>
  <si>
    <t>World Health Organization Chronicle</t>
  </si>
  <si>
    <t>W.H.O.Chron.</t>
  </si>
  <si>
    <t>attitude;community care;cultural anthropology;drug dependence;health care manpower;health education;law;medical education;mental deficiency;mental disease;mental health service;socioeconomics;world health organization;geographic distribution;legal aspect;mental health care;mental health center;primary prevention;public health service;Health Policy, Economics and Management (36);Public Health, Social Medicine and Epidemiology (17);Psychiatry (32)</t>
  </si>
  <si>
    <t>Rapid socioeconomic and cultural changes in recent years in many countries of the Eastern Mediterranean Region of the World Health Organization have produced and are producing an increase in mental health problems with which the services both traditional and modern are at present quite inadequate to deal. The following article is a condensed version of a paper presented at Subcommittee A of the WHO Regional Committee for the Eastern Mediterranean in September 1975. It is based mainly on data collected from 20 countries in response to a questionnaire and verified by visits to 12 countries. The term mental health services, as used here, refers to preventive, treatment, and rehabilitative services for all psychiatric disorders including mental retardation and drug dependence.</t>
  </si>
  <si>
    <t>(Baasher T.A.); ID: 3877</t>
  </si>
  <si>
    <t>http://www.ncbi.nlm.nih.gov/pubmed/936597</t>
  </si>
  <si>
    <t>Mental health services in Eastern Mediterranean countries</t>
  </si>
  <si>
    <t>Baer,J. S.;Ball,S. A.;Campbell,B. K.;Miele,G. M.;Schoener,E. P.;Tracy,K.;Author,Addresses;University,of Washington;Psychology,Alcohol;Drug,Abuse Institute;System,V. A. P.;United,States;Yale University,School of;Department of Psychiatry, Long Wharf Suite New,Haven C.;United,States;Oregon,Health;Science;University,Department of Public Health;Preventive Medicine, S. W. Sam;Jackson Pk Road, C B Portland,O.R.United States;New York,State Psychiatric;Columbia University,College of;Surgeons,Palomar Circle;Camarillo,C. A. U.;Wayne,State University;of Psychiatry,Pharmacology;Community Medicine,East Jefferson;Avenue,Detroit M. I. United States;New York,University School;Medicine,Department of Psychiatry East rd Street North D.New;York,N. Y. U.;Correspondence,Address;JS Baer, University of Washington Department of Psychology,Alcohol and;Drug Abuse Institute, United States Email jsbaer,u washington edu</t>
  </si>
  <si>
    <t>17023123; Training and fidelity monitoring of behavioral interventions in multi-site addictions research</t>
  </si>
  <si>
    <t>alcoholism (therapy);behavior therapy;drug dependence (therapy);behavior;certification;clinical protocol;clinical trial;cognitive therapy;experience;family therapy;group therapy;health care quality;human;medical education;medical research;medical staff;monitoring;motivation;patient compliance;patient counseling;posttraumatic stress disorder (therapy);priority journal;rating scale;review;smoking cessation;standard;substance abuse;validity;videorecording;Public Health, Social Medicine and Epidemiology (17);Psychiatry (32);Drug Dependence, Alcohol Abuse and Alcoholism (40)</t>
  </si>
  <si>
    <t>Aims: Methods for the training and fidelity monitoring of behavioral interventions in multi-site addictions research are reviewed, including five published studies and seven ongoing studies sponsored by the National Institute on Drug Abuse-funded Clinical Trials Network. Methods: Methods are categorized and reviewed consistent with a technology model of treatment delivery. Topics include: therapist selection, training, certification, and supervision; selection, training, and certification of supervisors; scales and processes used for monitoring of the quality of treatment; and processes followed to provide new training for replacement staff once trials have begun. Results: The review reveals both a wide array of procedures and emerging standards for multi-site trials. Methodological weakness was observed with respect to limited empirical support for many adherence scales, little or no evaluation of supervisory processes, and no evaluation of re-training practices. Conclusions: Methods used in multi-site trials are important not only to ensure validity of those trials, but also to inform the wider dissemination of empirically based treatment into community agencies. Studies examining noted weaknesses are needed. Training and fidelity models that delegate responsibility to participating sites appear most relevant for establishing best practices for dissemination of behavioral interventions. The effectiveness of these distributed training and supervision models should be subjected to empirical study at a level of rigor comparable to the evaluation of their corresponding treatments. â”¬âŒ 2006 Elsevier Ireland Ltd. All rights reserved.</t>
  </si>
  <si>
    <t>(Baer J.S., jsbaer@u.washington.edu) (Ball S.A., Samuel.Ball@yale.edu) (Campbell B.K., drbarbaracampbell@earthlink.net) (Miele G.M., gmm23@columbia.edu) (Schoener E.P., eschoen@med.wayne.edu) (Tracy K., kathlene.tracy@med.nyu.edu) Elsevier Ireland Ltd, P.O. Box 85, Limerick, Ireland.; ID: 3045</t>
  </si>
  <si>
    <t>http://www.ncbi.nlm.nih.gov/pubmed/17023123</t>
  </si>
  <si>
    <t>10.1016/j.drugalcdep.2006.08.028 FULL TEXT LINK http://dx.doi.org/10.1016/j.drugalcdep.2006.08.028</t>
  </si>
  <si>
    <t>Training and fidelity monitoring of behavioral interventions in multi-site addictions research</t>
  </si>
  <si>
    <t>Baez,A.;Eckert-Norton,M.;Morrison,A.;Author,Addresses;Lehman College, City University of New York,Bronx N.;States;Counseling Center,Mainstream Faculty;Mainstream Faculty,Suny Downstate;Department of Medicine, University of New,Mexico Mainstream;Faculty;Lehman College, City University of New York,Bedford Park;Boulevard West,Bronx,N.Y.United States;Correspondence,Address;Baez, Lehman College City University of New York Bedford Park,A.;Boulevard West,Bronx,N.Y.United States</t>
  </si>
  <si>
    <t>16150678; Interdisciplinary collaboration on substance abuse skill OSCEs 2]</t>
  </si>
  <si>
    <t>clinical examination;medical education;substance abuse;certification;curriculum;evaluation study;experience;human;letter;medical practice;medical school;medical staff;medical student;nurse practitioner;patient care;performance;simulation;skill;social work;standardization;Public Health, Social Medicine and Epidemiology (17);Drug Dependence, Alcohol Abuse and Alcoholism (40)</t>
  </si>
  <si>
    <t>(Baez A.) (Eckert-Norton M.) (Morrison A.) Haworth Press Inc., 10 Alice Street, Binghamton, United States.; ID: 3218</t>
  </si>
  <si>
    <t>http://www.ncbi.nlm.nih.gov/pubmed/16150678</t>
  </si>
  <si>
    <t>10.1300/J465v25n03_04 FULL TEXT LINK http://dx.doi.org/10.1300/J465v25n03_04</t>
  </si>
  <si>
    <t>Interdisciplinary collaboration on substance abuse skill OSCEs [2]</t>
  </si>
  <si>
    <t>Bahrami,M.;Shokrollahi,P.;Kohan,S.;Momeni,G.;Rivaz,M.;Author,Addresses;Nursing;Midwifery Care,Research Center;Nursing;Midwifery,Isfahan University of Medical Sciences Isfahan;Iran;Student Research Center, School,of Nursing;Midwifery;Isfahan University of,Medical Sciences;Department of,Nursing;Midwifery,Islamic Azad;University-Firoozabad Branch,Firoozabad Iran;Department of Islamic Study, Isfahan University,of Medical;Sciences,Isfahan Iran;Student Research Committee, School,of Nursing;Midwifery;Shiraz University of,Medical Sciences;Correspondence,Address;Shokrollahi, Student Research Center School of Nursing,P.;Midwifery;Isfahan University of,Medical Sciences</t>
  </si>
  <si>
    <t>Assessing the needs of victim women of domestic violence based on the type and causes of violence: A qualitative study</t>
  </si>
  <si>
    <t>Acta Medica Mediterranea</t>
  </si>
  <si>
    <t>domestic violence;needs assessment;victim;addiction;adult;age;article;communication skill;content analysis;counseling;cultural factor;economic violence;emergency care;emotional violence;female;health program;health promotion;human;marital therapy;marriage;personality disorder;physical violence;poverty;psychological violence;qualitative research;responsibility;semi structured interview;sexual violence;social care;spouse;Public Health, Social Medicine and Epidemiology (17)</t>
  </si>
  <si>
    <t>Introduction: Domestic violence is a common phenomenon which strongly affects women's mental health. The promotion of women's health among victims of domestic violence has been considered in health care systems. Comprehensive health promotion programs are possible when qualitative and quantitative methods are used in studies on health promotion. The current research purposes to describe the needs of female victims of domestic violence through content analysis to design health promotion programs. Methods: In this qualitative content analysis, semi-structured interviews were conducted with 25 participants, 18 women who were victims of domestic violence, 4 health workers, and 3 counseling psychologists. Types and causes of domestic violence were investigated to explore needs through content analysis Result: From different type of domestic violence such as physical, emotional, psychological, sexual, and economic violence, different needs were derived, such as emergency medical and social care, counseling and couples therapy, and communication skills. Causes of domestic violence include the sub-categories of addiction; inappropriate choice of spouse and marriage age; lack of responsibility, commitment, and communication skills in common life; defect in the law; cultural factors; personality disorder of the spouse; the role of couple's families; and economic poverty. From these sub-categories, the following subjects were identified as areas in which training and counseling are needed: support resources for an addict's spouse, responsibilities and roles of common life, communication skills, spouse selection skills, individual counseling for personality and mental disorders, and legal-cultural reform Conclusion: Health promotion programs should be designed based on the needs of female victims of domestic abuse. Health systems should respond to the need for screening victims and determining the type of violence, considering physical symptoms, screening for spouse addiction, the need for education and sexual relationship counseling, communication skills for common life and mate selection, responsibility and commitment, and identifying mental and personality disorders.</t>
  </si>
  <si>
    <t>(Bahrami M.; Kohan S.) (Shokrollahi P.) (Momeni G.) (Rivaz M.) A. CARBONE Editore, carbone@imd.it; ID: 2178</t>
  </si>
  <si>
    <t>2283-9720 (electronic) 0393-6384</t>
  </si>
  <si>
    <t>20160053636 PUI L607802508</t>
  </si>
  <si>
    <t>Baldacchino,A.;Crome,I.;Author,Addresses;University of Dundee, Dundee,United Kingdom;Academic Psychiatry Unit, Keele University Medical,School Stoke;on Trent,United Kingdom;Correspondence,Address;Baldacchino, University of Dundee Dundee United Kingdom,A.</t>
  </si>
  <si>
    <t>Comorbidity and comortality</t>
  </si>
  <si>
    <t>European Psychiatry</t>
  </si>
  <si>
    <t>24 SUPPL. 1</t>
  </si>
  <si>
    <t>S29</t>
  </si>
  <si>
    <t>comorbidity;accommodation;addiction;blood;brain depth recording;child;criminal justice;death;drug therapy;education;ethnicity;health;income;information processing;life event;medical specialist;mental health;monitoring;offender;population;prison;social care;United Kingdom</t>
  </si>
  <si>
    <t>Aims: To analyse the nature and extent of data extracted from case files of deceased individuals in contact with health, social care and criminal justice services six months prior to their drug deaths in Scotland during 2003. Methods: A cross-sectional descriptive analysis of 317 case notes of 237 individuals who had drug related deaths, using a data linkage process, was undertaken. All contacts made with services in the six months prior to death were identified. Information on clinical and social circumstances obtained from case records of social care services, specialist drug treatment, mental health and non-statutory services and the Scottish Prison Service and Criminal Records Office were collated using the Centre for Addiction Research and Education Scotland (CARES) Clinical and Social Circumstances Data Collection Form. Findings: More than 50% (n=237) were seen six months prior to their drug death. Sociodemographic details were reported much more frequently than medical problems. While there was information available on ethnicity (49%), living accommodation (66%), education and income (52%), and dependent children (73%), medical and psychiatric history was recorded in only 12%, blood-borne viral status in 17%, and life events in 26%. This paucity of information was also a feature of the treatment plans and progress recorded for these individuals. Conclusions: The 237 drug deaths were not a population unknown to services. Highly relevant data about the six-month period prior to death were missing. Improved training to promote in-depth recording, and effective monitoring may result in better understanding and reduction of drug deaths.</t>
  </si>
  <si>
    <t>(Baldacchino A.) (Crome I.) 17th European Psychiatric Association, EPA Congress Lisbon, Portugal 2009-01-24 to 2009-01-28 Elsevier Masson SAS; ID: 2876</t>
  </si>
  <si>
    <t>Baldwin,J. A.;Johnson,R. M.;Wayment,H. A.;Callahan,E. J.;Author,Addresses;Department of,Community;Family;Health,College of Public Health University of South Florida Bruce;United States,B.Downs Boulevard, Tampa F.L.;Department,of Health;University of,Alaska-Anchorage;Northern Arizona,University;Graduate,Certificate in;Abuse,Education;Prevention,Department of Psychology Northern Arizona;University,Flagstaff A. Z. United States;Department of,Family;Community;Psychology,University of California-Davis Sacramento C.A.United States;Correspondence,Address;JA Baldwin,Department,of Community;Family Health,College,of Public;Health,University of South Florida Bruce B.Downs Boulevard Tampa</t>
  </si>
  <si>
    <t>16837413; Partnering with community-based professionals to improve substance abuse screening and intervention for youth and young adults</t>
  </si>
  <si>
    <t>substance abuse;article;community;follow up;health care personnel;human;medical staff;outcomes research;public health;school health nursing;screening;training;Public Health, Social Medicine and Epidemiology (17);Drug Dependence, Alcohol Abuse and Alcoholism (40)</t>
  </si>
  <si>
    <t>The paper describes the process by which a team conducted a needs assessment and developed training programs to address service gaps in substance abuse prevention for young people. â”¬âŒ 2005 by The Haworth Press, Inc. All rights reserved.</t>
  </si>
  <si>
    <t>(Baldwin J.A., jbaldwin@hsc.usf.edu) (Johnson R.M., Rhonda.Johnson@uaa.alaska.edu) (Baldwin J.A., jbaldwin@hsc.usf.edu; Johnson R.M., Rhonda.Johnson@uaa.alaska.edu) (Wayment H.A., Heidi.Wayment@nau.edu) (Callahan E.J., ejcallahan@ucdavis.edu) Haworth Press Inc., 10 Alice Street, Binghamton, United States.; ID: 3110</t>
  </si>
  <si>
    <t>0889-7077 1547-0164 (electronic)</t>
  </si>
  <si>
    <t>http://www.ncbi.nlm.nih.gov/pubmed/16837413</t>
  </si>
  <si>
    <t>10.1300/J465v26n03_10 FULL TEXT LINK http://dx.doi.org/10.1300/J465v26n03_10</t>
  </si>
  <si>
    <t>Partnering with community-based professionals to improve substance abuse screening and intervention for youth and young adults</t>
  </si>
  <si>
    <t>Baldwin,J. N.;Scott,D. M.;DeSimone 2nd,E. M.;Forrester,J. H.;Fankhauser,M. P.;Author,Addresses;College of Pharmacy, The University of,Nebraska Medical;Center,Omaha Nebraska U. S. A.;Correspondence,Address;JN Baldwin, College of Pharmacy The University of,Nebraska Medical;Center,Omaha Nebraska U.S.A.Email jbaldwin unmc edu</t>
  </si>
  <si>
    <t>21302181; Substance use attitudes and behaviors at three pharmacy colleges</t>
  </si>
  <si>
    <t>addiction (epidemiology);attitude to health;education;pharmacy student;adolescent;adult;article;female;high risk behavior;human;male;psychological aspect;questionnaire;United States (epidemiology)</t>
  </si>
  <si>
    <t>The objective of this study was to profile and compare alcohol and other drug (AOD) use attitudes and behaviors in three pharmacy colleges. Student surveys of AOD use attitudes and behaviors were conducted at one southwestern and two midwestern pharmacy colleges. Response was 86.5% (566/654). Reported past-year use included alcohol 82.8%, tobacco 25.4%, and marijuana 6.9%. Past-year AOD-associated events included blackouts 18.2%, class or work under influence 7.8%, patient care under influence 1.4%, lowered grades or job evaluations 5.8%, legal charges 2.7%, and heavy drinking 29.0%. Family histories of alcohol or drug problems were reported by 35.5% and 13.1%, respectively. A number of significant differences in AOD use attitudes and behaviors between the three colleges were identified. Pharmacy students reported a number of risky drug-use attitudes and behaviors in this survey. Student AOD prevention, assistance, and education should be proactively addressed by pharmacy colleges.</t>
  </si>
  <si>
    <t>(Baldwin J.N.) (Scott D.M.; DeSimone 2nd. E.M.; Forrester J.H.; Fankhauser M.P.); ID: 2735</t>
  </si>
  <si>
    <t>http://www.ncbi.nlm.nih.gov/pubmed/21302181</t>
  </si>
  <si>
    <t>10.1080/08897077.2011.540470 FULL TEXT LINK http://dx.doi.org/10.1080/08897077.2011.540470</t>
  </si>
  <si>
    <t>Substance use attitudes and behaviors at three pharmacy colleges</t>
  </si>
  <si>
    <t>Balhara,Y. P. S.;Sarkar,S.;Author,Addresses;Aiims,New Delhi India;Correspondence,Address;YPS Balhara, Aiims New Delhi India Email ypsbalhara,gmail com</t>
  </si>
  <si>
    <t>Use of technology in clinical care delivery, capacity building and research in addiction psychiatry: ENDDTC</t>
  </si>
  <si>
    <t>S46</t>
  </si>
  <si>
    <t>addiction;capacity building;psychiatry;conference abstract;drug dependence treatment;human;India;Internet;training</t>
  </si>
  <si>
    <t>Technological advances have changed the way we live. These technological advances have impacted each and every aspect of the present day living. Medical sciences has also witnessed multiple, significant technological advances in the recent past. Use of electronic media and internet has been one such advancement. Electronic media and internet offer multiple unique options and opportunities to strengthen the clinical care delivery, capacity building and research in addiction psychiatry. The current shall focus on use of technology in clinical care delivery, capacity building and research in addiction psychiatry. It shall also present an overview of the initiatives that have been undertaken and are being planned by eNDDTC in this regard. Role of electronic media and internet in clinical care delivery, capacity building and research in addiction psychiatry This presentation shall focus on the role of electronic media and internet in clinical care delivery, capacity building and research in addiction psychiatry. The presentation shall provide the rationale and benefts of use of such an approach. It shall also offer understanding into the set up and logistic requirements for integration of electronic media and internet in clinical care delivery, capacity building and research in addiction psychiatry. It shall also cite the best practice examples in this regard. eNDDTC: Overview and Initiatives This presentation shall provide an overview of eNDDTC-the online portal of National Drug Dependence Treatment Center (NDDTC), All India Institute of Medical Sciences (AIIMS), New Delhi. It shall also provide information on the initiatives that have been undertaken so far, and future plans. This shall include the initiatives with regards to the academic program at NDDTC, DM (addiction Psychiatry) training, Project ECHO related initiatives, online training courses among others.</t>
  </si>
  <si>
    <t>(Balhara Y.P.S., ypsbalhara@gmail.com; Sarkar S.) 70th Annual National Conference of Indian Psychiatric Society, ANCIPS 2018 Ranchi, India 2018-02-05 to 2018-02-08 Medknow Publications; ID: 1746</t>
  </si>
  <si>
    <t>1998-3794</t>
  </si>
  <si>
    <t>Ball,S.;Bachrach,K.;DeCarlo,J.;Farentinos,C.;Keen,M.;McSherry,T.;Polcin,D.;Snead,N.;Sockriter,R.;Wrigley,P.;Zammarelli,L.;Carroll,K.;Author,Addresses;Yale,University School;Medicine,Division of Substance Abuse Vact Healthcare Center;Campbell Avenue, New Haven,C.T.United States;Tarzana Treatment Centers, Oxnard Street,Tarzana C.;States,United;Lower East Side Service Center, East Broadway New,York N.;States,United;ChangePoint Inc, P O Box,Portland O.;United,States;Connecticut Renaissance Inc, P O Box,Norwalk C.;United,States;Northeast Treatment Center Inc, N th,St Philadelphia</t>
  </si>
  <si>
    <t>12495792; Characteristics, beliefs, and practices of community clinicians trained to provide manual-guided therapy for substance abusers</t>
  </si>
  <si>
    <t>drug dependence (therapy);drug dependence treatment;medical education;physician attitude;accreditation;adult;article;community care;controlled study;counseling;experience;female;human;interview;male;medical practice;motivation;priority journal;procedures;substance abuse;Public Health, Social Medicine and Epidemiology (17);Drug Dependence, Alcohol Abuse and Alcoholism (40)</t>
  </si>
  <si>
    <t>The successful dissemination of empirically supported addiction therapies to community providers requires an appreciation of the characteristics of those practitioners who might be willing participants in this process of technology transfer. Clinicians (N = 66) from 11 community treatment programs associated with six research-clinic partnerships of the National Drug Abuse Clinical Trials Network volunteered to be trained in Motivational Interviewing or Motivational Enhancement Therapy (MET/MI) and were assessed prior to training. The sample of clinicians was heterogeneous in education and credentials, had a high level of counseling experience, reported using a wide range of counseling techniques and orientations, but had limited prior exposure to MET/MI or to the use of treatment manuals of empirically supported therapies. In general, many of the clinicians reported beliefs and techniques that were consistent with their stated theoretical orientation and recovery status. Relatively few participants reported relying on one dominant orientation or set of techniques. â”¬âŒ 2002 Elsevier Science Inc. All rights reserved.</t>
  </si>
  <si>
    <t>(Ball S., samuel.ball@yale.edu; Carroll K.) (151D) (Bachrach K.) (DeCarlo J.) (Farentinos C.) (Keen M.) (McSherry T.) Elsevier Inc., 360 Park Avenue South, New York, United States.; ID: 3287</t>
  </si>
  <si>
    <t>http://www.ncbi.nlm.nih.gov/pubmed/12495792</t>
  </si>
  <si>
    <t>10.1016/S0740-5472(02)00281-7 FULL TEXT LINK http://dx.doi.org/10.1016/S0740-5472(02)00281-7</t>
  </si>
  <si>
    <t>Characteristics, beliefs, and practices of community clinicians trained to provide manual-guided therapy for substance abusers</t>
  </si>
  <si>
    <t>Ball,S.;Bax,A.;Author,Addresses;Indiana University Sch,of Medicine;Avenue,Indianapolis I. N. United States;Correspondence,Address;Ball, Indiana University Sch of Medicine North Capitol Avenue,S.;Indianapolis,I. N. U.</t>
  </si>
  <si>
    <t>12228090; Self-care in medical education: Effectiveness of health-habits interventions for first-year medical students</t>
  </si>
  <si>
    <t>(MAJOR FOCUS);alcohol;alcohol consumption;exercise;medical education;self care;sleep;adult;article;controlled study;depression;disease severity;emotional stability;feedback system;female;habit;health behavior;human;life satisfaction;male;medical school;medical student;prediction;priority journal;questionnaire;socialization;time;alcohol (64-17-5);Public Health, Social Medicine and Epidemiology (17)</t>
  </si>
  <si>
    <t>Purpose. To examine changes in health habits (sleep, alcohol, and exercise) and the effects of an educational intervention promoting self-care on the emotional and academic adjustment of first-year medical students. Method. Fifty-four medical students completed questionnaires that assessed various health habits, alcohol use, depression severity, and areas of life satisfaction at the beginning of the semester, at mid-term, and at finals. Approximately half of the students received written feedback or participated in an educational discussion group at mid-term. Results. The students demonstrated significant changes in health habits, with increases in alcohol consumption and decreases in exercise and socialization. The changes in health habits were predictive of both emotional and academic adjustment, with students who decreased in positive health habits, particularly socialization, being more depressed at finals. The feedback and educational interventions influenced some sleep and exercise behaviors, but the groups did not differ in overall emotional or academic adjustment. Conclusions. First-year medical students show significant changes in health habits as they adjust to medical school. An educational intervention demonstrated promising effects in changing these patterns, but self-care needs to be further elaborated to address the specific challenges associated with acute adjustment as well as with long-term stressors.</t>
  </si>
  <si>
    <t>(Ball S.; Bax A.) Hanley and Belfus Inc.; ID: 3341</t>
  </si>
  <si>
    <t>http://www.ncbi.nlm.nih.gov/pubmed/12228090</t>
  </si>
  <si>
    <t>Self-care in medical education: Effectiveness of health-habits interventions for first-year medical students</t>
  </si>
  <si>
    <t>Baltaci,D.;Aydin,L. Y.;Annakkaya,A. N.;Velioglu,U.;Alasan,F.;Sariguzel,F.;Ankarali,H.;Author,Addresses;Correspondence,Address;Baltaci,D.</t>
  </si>
  <si>
    <t>Evalaution of smoking frequency and smoking cessation training among Turkish family physicians</t>
  </si>
  <si>
    <t>European;general practitioner;human;smoking;smoking cessation;society;female;female physician;gender;graduate;interview;male;model;patient;physician;prevalence;primary medical care</t>
  </si>
  <si>
    <t>Smoking is main problem among family physicians. They are gate keeper and role model for their patients. Aim: To evaluate the prevalence of smoking among Turkish family physicians and smoking cessation training. Methods: The cross-sectional and primary care based study was has been conducted since May 2014 and will be completed in May 2015. The primary care-based survey was applied in face to face interview to family physicians. Results: The study enrolled 261 physicians (mean age of 46 years-old). Male to female ratio was 95/166. The frequency of current smokers was 29.1%. The ratio of current smokers among male to female physicians was significantly high (37.3% versus 14.7%; p&lt;0.001). Among male family physicians under 50 years-old, the ratio of current smokers was comparatively higher than female counterparts (41.2% versus 13.8%; p&lt;0.001), whereas the ratio of current smokers among male and female family physicians over 50 years-old was similar (23.5% versus 25.0%; p=0.082). Pre-graduate and post-graduate course on smoking cessation practice among family physicians were 10.3% and 13.8%.Noo significant difference was observed between gender (12.7% versus 15.% for pre-, p= 0.576; 8.4% versus 14.7% for post-graduate, p=0.086) and smoking status (current: 11.8%; former: 9.2% and never smoker: 13.3% for pre-, p=0.081; current: 14.5%, former: 10.0% and never: 14.8% for post-graduate, p=0.686). Conclusion: The preliminary study revealed that the smoking prevalence was quite high and comparatively higher among male than female. The significant difference was more marked under age of 50. Pre-and post-graduate training on smoking cessation among family physicians seemed to be not satisfactory.</t>
  </si>
  <si>
    <t>(Baltaci D.; Aydin L.Y.; Annakkaya A.N.; Velioglu U.; Alasan F.; Sariguzel F.; Ankarali H.) European Respiratory Society Annual Congress 2015 Amsterdam, Netherlands 2015-09-26 to 2015-09-30 European Respiratory Society; ID: 2069</t>
  </si>
  <si>
    <t>10.1183/13993003.congress2015.PA5125 FULL TEXT LINK http://dx.doi.org/10.1183/13993003.congress2015.PA5125</t>
  </si>
  <si>
    <t>Bander,K. W.;Goldman,D. S.;Schwartz,M. A.;Author,Addresses;Department,of Psychiatry;Vincent's,Hospital;Medical Center of New York, New,York N.;Correspondence,Address;Department,of Psychiatry;Medical,Center of;York,New York N. Y.</t>
  </si>
  <si>
    <t>3795240; Survey of attitudes among three specialties in a teaching hospital toward alcoholics</t>
  </si>
  <si>
    <t>alcoholism;medical education;postgraduate education;attitude;central nervous system;education;geographic distribution;human;normal human;physician;priority journal;psychological aspect;short survey;Public Health, Social Medicine and Epidemiology (17);Psychiatry (32);Drug Dependence, Alcohol Abuse and Alcoholism (40)</t>
  </si>
  <si>
    <t>Although physicians are typically 'gatekeepers' for the diagnosis and treatment of alcoholism, a lack of specific alcoholism training and negative attitudes toward alcoholics can establish formidable barriers to recognition and treatment of the condition. In the study reported here, the authors examined differences in attitudes toward and knowledge of alcoholism among physicians in three specialties. A questionnaire pertaining to alcoholism and alcoholics was mailed to 385 internists, surgeons, and psychiatrists at a teaching hospital. Half received a version concerning male alcoholics, and half received one concerning female alcoholics; the versions were identical except for the gender of the alcoholic referred to in the questionnaire. Fifty-three percent returned the questionnaire, and their responses showed that these physicians viewed male and female alcoholics similarly. Overall, the respondents considered them treatable but maintained negative perceptions of their personalities. The psychiatrists held the most positive views of the treatability of alcoholism and the most negative views of alcoholics' personalities, whereas the surgeons held the most positive views of alcoholics' personalities and the most negative views of treatability. The internists, surgeons, and psychiatrists reported significant differences in the adequacy of their education on alcoholism. These findings are discussed in terms of continuing education in alcoholism treatment for physicians.</t>
  </si>
  <si>
    <t>(Bander K.W.; Goldman D.S.; Schwartz M.A.); ID: 3767</t>
  </si>
  <si>
    <t>http://www.ncbi.nlm.nih.gov/pubmed/3795240</t>
  </si>
  <si>
    <t>Survey of attitudes among three specialties in a teaching hospital toward alcoholics</t>
  </si>
  <si>
    <t>Banerjee,G.;Edelman,E. J.;Barry,D. T.;Becker,W.;Cerda,M.;Crystal,S.;Gaither,J. R.;Gordon,A. J.;Gordon,K. S.;Kerns,R.;Martins,S.;Fiellin,D. A.;Marshall,B. D.;Author,Addresses;Yale,New Haven;United,States;Va Pittsburgh,Pittsburgh,United States;Ct Va, West Haven,United States;Brown,Providence United States;Columbia,New York United States;Rutgers,New Brunswick United States;Correspondence,Address;Banerjee, Brown Providence United States,G.</t>
  </si>
  <si>
    <t>Incident non-medical use of prescription opioids is associated with heroin initiation among U.S. veterans: A prospective cohort study</t>
  </si>
  <si>
    <t>e15</t>
  </si>
  <si>
    <t>(MAJOR FOCUS);diamorphine;opiate;cohort analysis;college;drug dependence;human;prescription;United States;veteran;African American;aging;diagnosis;drug use;follow up;hazard ratio;Human immunodeficiency virus;injection;interview;major depression;model;pain;posttraumatic stress disorder;primary medical care;proportional hazards model;risk factor;statistical significance;therapy</t>
  </si>
  <si>
    <t>Aims: We assessed whether incident non-medical use of prescription opioids (NMUPO) is associated with heroin initiation among U.S. veterans in primary care who had no prior history of NUMPO or heroin use. Methods: The Veterans Aging Cohort Study (VACS) is a prospective cohort study of HIV-infected and uninfected veterans in care. Werestricted our analysis to subjectswhoreported no prior history of injection drug use, heroin use, or NMUPO at baseline. Incident NMUPO and date of heroin initiation were ascertained from surveys administered over six follow up interviews (2002-2012). We used Cox regression to examine the relationship between incident NMUPO and heroin use, adjusting for HIV status, sociodemographics, pain interference, receipt of chronic opioid therapy, and previous diagnosis of PTSD and major depression. Results: Among 3430 eligible participants, the mean age was 49.7 (SD = 10.6) and 2203 (66.4%) were African American. Over the 10-year study period, the incidence of heroin initiation was 2.76 per 100 person-years, and greater among those who reported any NMUPO (log-rank p-value &lt; 0.001). In a multivariable model, incident NMUPO was positively and independently associated with heroin initiation (adjusted hazard ratio = 5.25, 95% CI: 4.20, 6.57). Conclusions: NMUPO is a strong risk factor for heroin initiation among veterans seen in primary care. Most reported new onset NMUPO prior to or concurrent with heroin initiation. Strategies are needed to identify and address NMUPO among veterans.</t>
  </si>
  <si>
    <t>(Edelman E.J.; Barry D.T.; Gaither J.R.; Fiellin D.A.) (Gordon A.J.) (Becker W.; Gordon K.S.; Kerns R.) (Banerjee G.; Marshall B.D.) (Cerda M.; Martins S.) (Crystal S.) 2015 Annual Meeting of the College on Problems of Drug Dependence, CPDD 2015 Phoenix, AZ, United States 2015-06-13 to 2015-06-18 Elsevier Ireland Ltd; ID: 2051</t>
  </si>
  <si>
    <t>10.1016/j.drugalcdep.2015.07.958 FULL TEXT LINK http://dx.doi.org/10.1016/j.drugalcdep.2015.07.958</t>
  </si>
  <si>
    <t>Baraban,E.;Lucas,L.;Lowenkopf,T.;Author,Addresses;Providence,Health;Services;Portland,United States;Correspondence,Address;Baraban,Providence Health,E.;Services,Portland United States</t>
  </si>
  <si>
    <t>Diabetes education for stroke inpatients is incomplete and differs by stroke severity, age, and substance abuse history</t>
  </si>
  <si>
    <t>Circulation</t>
  </si>
  <si>
    <t>133 SUPPL. 1.</t>
  </si>
  <si>
    <t>cerebrovascular accident;diabetes education;diabetes mellitus;disease management;epidemiology;health;hospital patient;human;medical society;substance abuse;alcohol abuse;atrial fibrillation;brain ischemia;comfort;demography;diabetic patient;diagnosis;education;emergency ward;family history;functional status;gender;health care system;hospice;hospital;hypertension;insurance;medical history;model;National Institutes of Health Stroke Scale;obesity;patient;prevention;register;risk;risk factor;stroke patient;teaching;transient ischemic attack;underweight;vascular disease;weight</t>
  </si>
  <si>
    <t>Introduction: Diabetes is a well-established risk factor for stroke and other vascular disease. Consequently, diabetes management is important for prevention of primary and secondary vascular events. Hospitals offer diabetes education, but it is unknown if the appropriate patients are receiving the necessary information. The objective of this study was to determine the factors associated with receiving diabetes management teaching among patients presenting to a hospital with an ischemic stroke (ISC) or Transient Ischemic Attack (TIA) who have a concurrent new diabetes diagnosis Methods: Data from 20 hospitals in a multi-state healthcare system stroke registry from 2002 to May 2015 were used. ISC or TIA patients with a new, in-hospital diagnosis of diabetes were included. Patients on comfort care, transferred to an outside facility from the emergency department, discharged to hospice or expired were excluded. Associations between receiving diabetes management education and demography, insurance, medical history, BMI, functional status, and stroke severity of the patient were examined using a generalized linear mixed model with a logit link Results: Data from 336 newly diagnosed diabetes patients were used in the analyses. Of those, 269 (80.1%) received diabetes management education, while 67 (19.9%) did not. Patients with a medical history of drug or alcohol abuse were 79% less likely to receive diabetes management training than those without a history (adjusted odds ratio AOR] = 0.215, p=.014). Patients who were overweight or obese weight were over three times more likely to receive diabetes management education than patients who were of normal weight or underweight (AOR = 2.92, p=.003). For every one-point increase of the NIH Stroke Scale score, the likelihood of receiving education decreased by 6% (AOR=.913, p=.005), and with each additional five years of age the likelihood of receiving education decreased by 14% (AOR=.861, p=.017). Gender, insurance type, discharge status, and medical histories of atrial fibrillation, CAD/prior MI, previous strokes, previous TIA, hypertension, family history of stroke were not significant predictors Conclusions: Almost 20% of patients with newly diagnosed diabetes did not receive diabetes management education. While education was appropriately targeted to overweight and obese patients, these results indicate that patients with a history of drug and alcohol abuse, those who are normal or under-weight and those with more severe strokes were underserved. More work needs to be done to ensure that stroke patients are receiving appropriate education to prevent subsequent cerebrovascular events.</t>
  </si>
  <si>
    <t>(Baraban E.; Lucas L.; Lowenkopf T.) American Heart Association's Epidemiology and Prevention/Lifestyle and Cardiometabolic Health 2016 Scientific Sessions Phoenix, AZ, United States 2016-03-01 to 2016-03-04 Lippincott Williams and Wilkins; ID: 1981</t>
  </si>
  <si>
    <t>Barclay,J.;Blackhall,L.;Haverstick,D.;Ray,J.;Gehle,B.;Author,Addresses;University,of Virginia;States;University of Virginia, School of,Medicine Charlottesville;United,States;University of Virginia,Health System;States;Piedmont Liability Trust, Charlottesville,United States;Correspondence,Address;Barclay, University of Virginia Charlottesville United States,J.</t>
  </si>
  <si>
    <t>The urine drug screen is abnormaldnow what?</t>
  </si>
  <si>
    <t>Journal of pain and symptom management</t>
  </si>
  <si>
    <t>J.Pain Symptom Manage.</t>
  </si>
  <si>
    <t>February</t>
  </si>
  <si>
    <t>cannabis;cocaine;controlled substance;prescription drug;hospice;human;nurse;palliative therapy;urine;abuse;addiction;drug metabolism;drug screening;drug surveillance program;drug therapy;employment;environment;metabolism;metabolite;model;neoplasm;pain;patient;risk;role playing;safety;screening;substance abuse</t>
  </si>
  <si>
    <t>Objectives 1. Discuss the indications for and implications of obtaining a urine drug screen. 2. Discuss the metabolism of substances and techniques for analyzing specimens that influence the reported results of drug screening. 3. Describe and incorporate techniques for discussing urine drug screening results with patients and developing an appropriate safety plan. With increasing concerns about abuse of opioids and other controlled substances, palliative care clinicians are being urged to screen for substance abuse and diversion. Urine drug screens (UDS) are often recommended when patients are at high risk for misuse of prescribed medications. A thorough history and the use of screening tools and state prescription drug monitoring programs (where available) can help uncover such patients. If we are to use the UDS effectively, we must know when to order one and how to interpret the results. Understanding the results requires knowing the type of drug screen to order, what metabolites to expect from which drugs, and when false positives and negatives might occur. Palliative care and hospice clinicians need to know what to do when the UDS uncovers evidence of use of unprescribed medications, illegal substances such as cocaine or marijuana, or lack of prescribed medications, as well as the medical and legal implications of prescribing to patients with substance abuse. Concerns about the legal implications of the UDS, especially in an increasingly harsh regulatory environment, are not trivial, but it is important to distinguish between the use of the UDS for medical purposes and those used for legal proceedings (such as for parolees, or for employment). Finally, although palliative care clinicians are well trained in communicating difficult news, they are rarely trained in discussing addiction or negotiating a plan for treating at risk patients with severe cancer-associated pain. In this concurrent session, we will discuss the clinical utility of the UDS, including patient and test selection; review drug metabolism, testing techniques, and their effect on test interpretation; discuss legal implications of screening; and provide role-play examples of model patient interactions following aberrant test results.</t>
  </si>
  <si>
    <t>(Barclay J.; Haverstick D.) (Blackhall L.) (Ray J.) (Gehle B.) Annual Assembly of the American Academy of Hospice and Palliative Medicine and the Hospice and Palliative Nurses Association 2014 San Diego, CA, United States 2014-03-12 to 2014-03-15 Elsevier Inc.; ID: 2265</t>
  </si>
  <si>
    <t>10.1016/j.jpainsymman.2013.12.224 FULL TEXT LINK http://dx.doi.org/10.1016/j.jpainsymman.2013.12.224</t>
  </si>
  <si>
    <t>Bari,K.;Augustin,S.;Eggers,C. A.;Hashem,H. J.;Desai,M.;Shea,M.;Wongcharatrawee,S.;Lim,J. K.;Garcia-Tsao,G.;Author,Addresses;Correspondence,Address;Bari,K.</t>
  </si>
  <si>
    <t>Hepatitis c (HCV) antiviral therapy is feasible in patients with active substance use (SU) and mental illness (MI) and is more likely to occur in those who receive education class</t>
  </si>
  <si>
    <t>Gastroenterology</t>
  </si>
  <si>
    <t>S967</t>
  </si>
  <si>
    <t>alcohol;peginterferon;ribavirin;RNA;antiviral therapy;education;hepatitis C;human;mental disease;patient;African American;ambulatory care;biopsy;Caucasian;cohort analysis;ethnicity;genotype;Hispanic;hospital;infection;liver biopsy;male;morbidity;multivariate analysis;patient education;therapy;univariate analysis;veteran</t>
  </si>
  <si>
    <t>Many veterans with HCV infection have active SU or MI and these co-morbidities are considered contraindications to antiviral therapy in most centers across the world. The objective of the study was to assess the feasibility of therapy in these patients and to identify predictors and/or barriers to treatment initiation. METHODS: Prospective cohort study of anti-HCV-positive veterans with active SU (use of alcohol and/or illegal substances within 6 months) and/or active MI (undergoing active treatment for MI in the past 6 months). Patients who agreed to have a baseline psychometric evaluation were enrolled in the study. After the initial visit, all patients were given appointments to attend HCV education class (1 hour), baseline psychiatric evaluation, liver biopsy and office visit with provider to discuss therapy and decide on treatment initiation. Patients who decided to undergo therapy (mostly pegylated interferon + ribavirin), were followed until completion of therapy and evaluation of sustained virological response (SVR). RESULTS: From 1/03 to 5/09, 928 patients with active SU/MI were referred to the clinic and 296 were enrolled in the study, of which 69 were excluded (50 genotype non-1, 14 medical contraindications, 5 negative HCV-RNA). We chose to focus this analysis on genotype 1 patients (n=227) since the results would be more relevant to current triple therapy. Median age was 51 years, 99% male, 50% Caucasian, 45% African-American (AA), 5 % Hispanic; median BMI 28, biopsy done in 43% (46% stage 0-1; 54% stage 2-4)]. One hundred and seventy (75%) patients had active MI and 139 (61%) had active SU; 94 (41%) had both. Eighty one (36%) patients initiated HCV therapy. Fifty eight (72%) continued treatment until recommended by provider and 16 patients (16/81=20%) had SVR (rate across the VA is Î“Ãªâ•25%). On univariate analysis, and taking into account all baseline characteristics, patients who initiated treatment were more likely to have: attended education class, baseline psychiatric evaluation, liver biopsy and prior HCV treatment. AA ethnicity and alcohol + another substance (polySU) were inversely related to treatment initiation. On multivariate analysis, education class (p=0.002, OR=3.1) was the strongest predictor of treatment initiation while AA ethnicity (p=0.023, OR=0.5) and polySU (p=0.057</t>
  </si>
  <si>
    <t>(Bari K.; Augustin S.; Eggers C.A.; Hashem H.J.; Desai M.; Shea M.; Wongcharatrawee S.; Lim J.K.; Garcia-Tsao G.) Digestive Diease Week 2012, DDW 2012 San Diego, CA, United States 2012-05-19 to 2012-05-22 W.B. Saunders; ID: 2560</t>
  </si>
  <si>
    <t>0016-5085</t>
  </si>
  <si>
    <t>Barnas,M. E.;Khatkhate,G. P.;Trevisan,L. A.;Author,Addresses;Veteran's Administration, New Jersey Medical,School East;Orange,United States;Hospital,Hines Va;Yale University, School of Medicine West,Haven United;States;Correspondence,Address;ME Barnas, Veteran's Administration New Jersey Medical,School East;Orange,United States</t>
  </si>
  <si>
    <t>Baby boomers and substance abuse: Epidemiology, assessment and evidence based treatment</t>
  </si>
  <si>
    <t>17 SUPPL. 13</t>
  </si>
  <si>
    <t>A23</t>
  </si>
  <si>
    <t>A24</t>
  </si>
  <si>
    <t>baby boomer;epidemiology;evidence based practice;substance abuse;addiction;aged;aging;baby;decision making;diagnosis;drug dependence;drug interaction;drug therapy;health care management;health care system;health service;interview;laboratory;learning;medical assessment;medical specialist;mental health;mental health care;organization;patient;psychiatrist;questionnaire;risk factor;screening;swamp;tsunami;vignette;workshop</t>
  </si>
  <si>
    <t>Addiction specialists and organizations for the elderly anticipate a tidal wave of baby boomers needing help for addictions, often for different substances and with different attitudes toward treatment than the generation that came before them. Federal data shows the shifting demographics: In 2005, of the 184,000 Americans who were admitted to drug treatment programs-roughly 10 percent of the total-were over 50, up from 143,000, or 8 percent of the total, in 2001. The Substance Abuse and Mental Health Administration foresees 4.4 million older substance abusers by 2020, compared with 1.7 million in 2001 - numbers that are likely to swamp the current system. According to the federal report, 83 percent of older addicts were 50-59, and the trailing edge of the baby boomers, age 50-54, is the fastest growing older group. Elderly substance abuse is becoming increasingly important to general, geriatric and addiction psychiatrists. The workshop will focus on involving participants in an active decision making process. Based on case presentations, participants will learn to better identify problematic substance abuse using knowledge of risk factors, differential diagnostic systems and available screening tools. Pharmacologic interventions involving consideration of dose and drug-drug interactions will be reviewed. In addition, non-pharmacologic interventions, including the use of brief interventions, psychosocial interventions and formal addiction treatment will also be reviewed. Impact on the current delivery of mental health care services will be reviewed. Symposium learning objectives will be met by demonstrating a systematic and evidence-based approach to evaluating and treating substance abuse in this aging group of baby boomers. This will be accomplished through a combination of several didactic presentations, videotaped interview vignettes, and audience participation using a participatory discussion format at strategic points in the clinical management of cases. Didactic presentations will focus on epidemiology, impact on the healthcare system, assessment techniques including use of standardized questionnaires, laboratory and medical assessments, and specialized treatment approaches (pharmacologic, psychotherapeutic and psychosocial). This format is designed to educate and help guide the participants in making decisions based on real-life patient cases concerning identification of problems, making accurate assessments and treatment interventions, and developing goals for substance abuse treatment in the aging baby boomer/geriatric patient.</t>
  </si>
  <si>
    <t>(Barnas M.E.) (Khatkhate G.P.) (Trevisan L.A.) AAGP Annual Meeting 2009 Honolulu, HI, United States 2009-03-05 to 2009-03-08 Lippincott Williams and Wilkins; ID: 2921</t>
  </si>
  <si>
    <t>1064-7481</t>
  </si>
  <si>
    <t>10.1097/01.JGP.0000346964.46544.ec FULL TEXT LINK http://dx.doi.org/10.1097/01.JGP.0000346964.46544.ec</t>
  </si>
  <si>
    <t>Barocas,J. A.;Hull,S. J.;Sosman,J. M.;Sethi,A.;Fangman,J. J.;Westergaard,R.;Author,Addresses;University,of;Wisconsin-Madison,Madison;University of Wisconsin, School,of Medicine;Public,Health;Madison,United States;Medical College of Wisconsin, Milwaukee,United States;Correspondence,Address;JA Barocas, University of Wisconsin-Madison Madison,United States</t>
  </si>
  <si>
    <t>Medical and legal consequences of ongoing drug use among young injection drug users infected with hepatitis C virus</t>
  </si>
  <si>
    <t>28 SUPPL. 1</t>
  </si>
  <si>
    <t>marker;drug use;Hepatitis C virus;injection;internal medicine;society;addiction;bacterial endocarditis;bloodborne bacterium;confidence interval;diagnosis;education;endocarditis;gender;health;Hispanic;hospitalization;human;hypothesis;infection;informed consent;intoxication;male;medical specialist;multivariate logistic regression analysis;prevention;preventive health service;prison;risk;skin;skin abscess;soft tissue infection;United States</t>
  </si>
  <si>
    <t>BACKGROUND: Non-sterile injection practices and unprotected sexual contact place injection drug users (IDUs) at high risk for contracting and transmitting Hepatitis C virus (HCV). Injecting drugs has numerous other infectious and non-infectious medical consequences, which may be preventable with education about safer injection practices and/or addiction treatment. We hypothesized that IDUs who are tested for and receive a diagnosis of HCV may adopt safer behaviors and lower their risk of further negative health consequences. METHODS: We invited clients at a multisite, free needle-exchange program in Southeastern Wisconsin to complete an anonymous, 88- question, computerized, interviewer-administered survey. The survey assessed frequency of injection, self-reported HCV status, recent hospitalization, incarceration, overdose, and other major injections (e.g. skin abscess, endocarditis). Participants were included if they were over 18, reported active injection drug use in the past week, and could provide informed consent. Respondents were asked to report consequences of their drug use that occurred during the preceding 6 months. Multiple logistic regression was used to assess the association between HCV status and the occurrence of consequences of drug use among HCV positive participants while controlling for potential confounders such as age, gender, and drug use frequency. RESULTS: The survey was completed by 553 IDUs, of whom 69 % were male, 83 % white, 11 % black and 6 % Hispanic. The median age was 28, and 54 % resided in the Milwaukee metropolitan area. Active HCV infection was reported by 74 participants (13.4 %). Controlling for age, gender, and high frequency drug use, during the preceding 6 months, HCVpositive respondents were more likely to have overdosed on drugs (adjusted odds ratio (OR) 2.67, confidence interval (CI) 1.59-4.47), been put in jail for less than 30 days (OR 1.99, CI 1.19-3.32) or incarcerated for more than 30 days (OR 3.50, CI 1.91-6.33) than their HCV-negative counterparts. The HCV positive and negative groups did not differ significantly with respect to the incidence of passing out while driving (18.9 % and 16.7 %, respectively), infective endocarditis (2.7 % and 0.97 %, respectively), contracting a skin or soft tissue infection (41.9 % vs 27.6 %, respectively), or being hospitalized for another severe infection (12.2 % and 6.8 %, respectively). CONCLUSIONS: Among this cross-sectional sample of mostly-young, urban IDUs, we found that those known to be infected with HCV were more likely to report recent overdose and becoming incarcerated. Our data do not support the hypothesis that IDUs adopt safer behaviors after receiving an HCV diagnosis. Rather, HCV appears to be a marker of ongoing high-risk drug use. It is not known whether previous or ongoing treatment for HCV correlates with safer practices. Medical providers and prevention specialists should recognize that HCV-infected IDUs remain at high risk for negative consequences of drug use. Prevention strategies should emphasize strategies to reduce overdose and incarceration in addition to avoiding transmission of bloodborne pathogens through the sharing of injection equipment.</t>
  </si>
  <si>
    <t>(Barocas J.A.; Hull S.J.; Sosman J.M.; Westergaard R.) (Sethi A.) (Fangman J.J.) 36th Annual Meeting of the Society of General Internal Medicine, SGIM 2013 Denver, CO, United States 2013-04-24 to 2013-04-27 Springer New York; ID: 2398</t>
  </si>
  <si>
    <t>Barry,D. T.;Cutter,C. J.;Beitel,M.;Liong,C.;Schottenfeld,R. S.;Author,Addresses;Psychiatry,Yale;School of Medicine, New Haven,United States;Treatment,A. P. T. F.;Services,New Haven United States;Correspondence,Address;DT Barry, Psychiatry Yale School of Medicine New Haven,United States</t>
  </si>
  <si>
    <t>Cognitive-behavioral therapy and educational counseling for chronic pain and opioid dependence</t>
  </si>
  <si>
    <t>e218</t>
  </si>
  <si>
    <t>e219</t>
  </si>
  <si>
    <t>buprenorphine plus naloxone;opiate;chronic pain;cognitive therapy;college;counseling;drug dependence;opiate addiction;addiction;Caucasian;human;low back pain;male;married person;nurse;pain;pain intensity;patient;physician;psychoeducation;psychologist;urinalysis;urine</t>
  </si>
  <si>
    <t>Aims: To examine the efficacy of cognitive behavioral therapy (CBT) and educational counseling (EC)-the educational component of CBT augmented by additional psychoeducation on chronic pain and addiction-for co-occurring chronic low-back pain and opioid dependence (POD). Methods: 90 POD patients received a standard protocol of buprenorphine/naloxone (BUP/NLX) and were assigned to: physician management (PM) alone, consisting of six 10-15 min medically focused sessions; PM plus psychologist-delivered CBT (10 sessions over 12 weeks); or PM plus nurse-delivered EC (10 sessions over 12 weeks). Primary outcomes were pain interference, pain intensity, and percentage of opioid-negative urines. Results: The majority were men (68%), Caucasian (89%), and never married (60%). Completion rates (&gt;90%) and PM attendance (mean of 5.6 of 6 planned sessions) did not vary across conditions. There was a significant overall decrease in average pain interference from 4.6 at baseline to 3.4 at month 3 (p &lt; .05) and a significant interaction between condition and time (p &lt; .05), favoring PM plus CBT or EC over PM alone: The mean (SD) reductions in pain interference (scored on 0-10 scales) in the CBT, EC, and PM alone groups were 1.7 (1.7), 1.4 (1.6), and 0.6 (1.6), respectively. Pain intensity decreased over time (p &lt; .05) but did not differ by group nor was there a significant interaction with group by time. Overall, the proportion of urine samples indicating nonmedical opioid use decreased from 100% at baseline to 31% (95% CI 23-40%) at month 1, 36% (95%</t>
  </si>
  <si>
    <t>(Barry D.T.; Cutter C.J.; Beitel M.; Schottenfeld R.S.) (Barry D.T.; Cutter C.J.; Beitel M.; Liong C.) 2014 Annual Meeting of the College on Problems of Drug Dependence San Juan, Puerto Rico 2014-06-14 to 2014-06-19 Elsevier Ireland Ltd; ID: 2153</t>
  </si>
  <si>
    <t>10.1016/j.drugalcdep.2014.09.062 FULL TEXT LINK http://dx.doi.org/10.1016/j.drugalcdep.2014.09.062</t>
  </si>
  <si>
    <t>Barry,D. T.;Fulgieri,M. D.;Lavery,M. E.;Chawarski,M. C.;Najavits,L. M.;Schottenfeld,R. S.;Pantalon,M. V.;Author,Addresses;Department,of Psychiatry;University,School of Medicine New Haven C.T.United States;Department of Psychiatry, Harvard Medical,School Cambridge;Ma,United States;Yale University,School,of Medicine;Cmhc/Sac, Park St New Haven,C.T.United States;Correspondence,Address;Park St New,D.T.Barry, Yale University School of Medicine Cmhc S.A.C.;Haven,C. T. U.</t>
  </si>
  <si>
    <t>18393058; Research- and community-based clinicians' attitudes on treatment manuals</t>
  </si>
  <si>
    <t>clinical education;clinical research;substance abuse;adult;article;community care;controlled study;female;health personnel attitude;human;male;Public Health, Social Medicine and Epidemiology (17);Drug Dependence, Alcohol Abuse and Alcoholism (40)</t>
  </si>
  <si>
    <t>We assessed the attitudes of 18 research- and 22 community-based substance abuse clinicians on treatment manuals. Research and community clinicians exhibited favorable attitudes toward manuals, and the majority (72% and 77%, respectively) reported an interest in learning more about substance use disorder (SUD) treatment manuals. Among community clinicians, greater years of experience was significantly associated with less favorable attitudes toward treatment manuals. Research clinicians endorsed significantly higher ratings for the importance attached to "theoretical rationale/overview" and "main session points to address" than community clinicians. Findings suggest that community SUD clinicians are already familiar with and have positive attitudes toward manuals, but specific subgroups have concerns that should be addressed.</t>
  </si>
  <si>
    <t>(Barry D.T., Declan.Barry@yale.edu; Fulgieri M.D.; Lavery M.E.; Chawarski M.C.; Schottenfeld R.S.; Pantalon M.V.) (Najavits L.M.) (Barry D.T., Declan.Barry@yale.edu) Wiley-Blackwell, 350 Main Street, Malden, United States.; ID: 2994</t>
  </si>
  <si>
    <t>1055-0496 1521-0391 (electronic)</t>
  </si>
  <si>
    <t>http://www.ncbi.nlm.nih.gov/pubmed/18393058</t>
  </si>
  <si>
    <t>10.1080/10550490701860880 FULL TEXT LINK http://dx.doi.org/10.1080/10550490701860880</t>
  </si>
  <si>
    <t>Research- and community-based clinicians' attitudes on treatment manuals</t>
  </si>
  <si>
    <t>Barry,K. R.;Tudway,J. A.;Blissett,J.;Author,Addresses;Llanarth,Court Hospital;Raglan,Usk N. P. Y. D. United Kingdom;Correspondence,Address;KR Barry, Llanarth Court Hospital Llanarth Raglan,Usk N.;Kingdom</t>
  </si>
  <si>
    <t>Staff drug knowledge and attitudes towards drug use among the mentally ill within a medium secure psychiatric hospital</t>
  </si>
  <si>
    <t>Journal of Substance Use</t>
  </si>
  <si>
    <t>J.Subst.Use</t>
  </si>
  <si>
    <t>alcohol;illicit drug;mental disease;adult;article;attitude;controlled study;data analysis;disease severity;drug information;drug use;female;human;major clinical study;male;medical staff;mental health;mental hospital;staff training;statistical analysis;substance abuse;United Kingdom;alcohol (64-17-5);Public Health, Social Medicine and Epidemiology (17);Psychiatry (32);Drug Dependence, Alcohol Abuse and Alcoholism (40)</t>
  </si>
  <si>
    <t>There is little research in the UK that focuses on medium secure psychiatric nursing staff attitudes, beliefs and knowledge about alcohol and illicit substances, substance use and mental illness. The current study presents data from 98 staff, working within a medium secure psychiatric hospital, and compares differences between staff groups in relation to general drug knowledge and attitudes towards both alcohol and illicit substances and the mentally ill patients who use them. Data suggest that, even for qualified staff, training in alcohol and illicit substances was inadequate in both length and depth. Qualified nursing staff had better knowledge of licit and illicit drug use than unqualified nursing staff and non-clinical staff, and also had different beliefs about why people with severe mental illnesses use licit and illicit drugs. However, no significant differences were found between groups for either level of punitive attitude towards people with severe mental illness who use drugs or the impact that certain factors have on severe mental health problems. These results identify the need for training in drug knowledge and drug use in mental illness, for those staff working in the field. The need for ongoing post-registration training in substance use and mental health is emphasized.</t>
  </si>
  <si>
    <t>(Barry K.R.; Tudway J.A.; Blissett J.); ID: 3322</t>
  </si>
  <si>
    <t>1465-9891</t>
  </si>
  <si>
    <t>2002220297 PUI L34662164</t>
  </si>
  <si>
    <t>10.1080/14659890110110365 FULL TEXT LINK http://dx.doi.org/10.1080/14659890110110365</t>
  </si>
  <si>
    <t>Bass,M.;Linsk,N.;Author,Addresses;University of Illinois, Chicago Midwest,Aids Training;and Education Center, Chicago,United States;Correspondence,Address;Bass, University of Illinois Chicago Midwest Aids Training and,M.;Education Center,Chicago,United States</t>
  </si>
  <si>
    <t>Stigma's relationship to substance abuse counselors' HIV medication adherence counseling intention</t>
  </si>
  <si>
    <t>Journal of the International Association of Physicians in AIDS Care</t>
  </si>
  <si>
    <t>J.Int.Assoc.Physicians AIDS Care</t>
  </si>
  <si>
    <t>acquired immune deficiency syndrome;counseling;Human immunodeficiency virus;patient compliance;physician;substance abuse;drug therapy;health care;linear regression analysis;model;planning;population;Theory of Planned Behavior</t>
  </si>
  <si>
    <t>Stigma is a consideration when developing HIV medication adherence intervention models. In this study, a randomly selected sample, 104 of 2798 certified substance abuse counselors (SACs) froma RyanWhite eligiblemetropolitan area, responded to a mail survey. Utilizing a Theory of Planned Behavior based model (Ajzen), the survey contained scalesmeasuring personal and public stigma and another measuring SACs' behavioral intention to performnon-prescriberHIVmedication adherence counseling tasks supporting their clients. Methods: A modified stigma scale (Berger) was utilized to determine SAC personal and their perception of public stigma regarding HIV and substance use. Items were scored and ranked. Linear regression of scales was conducted with a modified HIV medication adherence counseling scale (Bentley) measuring SACs' willingness to perform ten different HIV medication adherence counseling tasks. Results: During the last year 78% of SACs reported counseling clients taking medications; 41% counseled HIV affected persons; 64% reported their agency has HIV services. SACs reported higher levels of public stigma than personal stigma. Linear regression analysis indicates SACs' personal stigma significantly related to intention to support client HIV medication adherence (â•¬â–“ = -.41, P = .001), with lower levels of stigma related to higher intention. While public stigma is not significant (â•¬â–“ = .19), it points to SACs who have greater public stigma awareness having greater practice intention. Discussion: Findings suggest SACs perceive greater amounts of stigma among the public about HIV and substance use than personally. However, personal stigma, not public, has a relationship to their willingness to support client HIV medication adherence. Collaborative health care including substance abuse counseling has been encouraged to increase HIV medication adherence among this hard to reach population. The findings point to the need to include stigma when planning HIV medication adherence interventions and training at substance abuse treatment agencies.</t>
  </si>
  <si>
    <t>(Bass M.; Linsk N.) International Association of Physicians in AIDS Care, IAPAC Conference New Orleans, LA, United States 2009-11-29 to 2009-12-01 SAGE Publications Inc.; ID: 2822</t>
  </si>
  <si>
    <t>1545-1097</t>
  </si>
  <si>
    <t>10.1177/1545109709356933 FULL TEXT LINK http://dx.doi.org/10.1177/1545109709356933</t>
  </si>
  <si>
    <t>Beamish,E.;Author,Addresses;Nutrit Serv, Metrop Toronto Dept Soc,Serv Toronto;Correspondence,Address;Nutrit Serv, Metrop Toronto Dept Soc,Serv Toronto</t>
  </si>
  <si>
    <t>How rising food costs affect the low income family</t>
  </si>
  <si>
    <t>Hospital administration in Canada</t>
  </si>
  <si>
    <t>Hosp.Adm.Can.</t>
  </si>
  <si>
    <t>economic aspect;general hospital;hospital;prevention;primary prevention;teaching hospital;university hospital;Health Policy, Economics and Management (36)</t>
  </si>
  <si>
    <t>Good nutrition as a form of preventive medicine is an area in which many hospitals, especially through educational efforts of the dietary department, could become increasingly involved. Although it is theoretically possible for a family on social assistance to have a nutritionally adequate diet on the money provided for food, in many cases this does not happen - for lack of interest in or ignorance about cooking, diversion of funds to other purposes, and many other reasons. The author describes a series of classes on topics such as nutrition, meal planning, shopping tips, child development, drug addiction, legal aid, etc. The classes are coordinated by a public health nurse, and include a hospital nutritionist as a resource person.</t>
  </si>
  <si>
    <t>(Beamish E.); ID: 3926</t>
  </si>
  <si>
    <t>0018-554X</t>
  </si>
  <si>
    <t>1974214975 PUI L4214864</t>
  </si>
  <si>
    <t>Beaty,T.;Dornelles,A. C.;Sahuque,T.;Urrego,F.;Author,Addresses;Department of Pediatric Pulmonology, Emory,University Atlanta;Ga,United States;Office of Biostatistics Support, Ochsner,Clinic Foundation;New Orleans,L.A.United States;Department of,Pediatric;Pulmonology,Ochsner Clinic Foundation New Orleans L.A.United States;Correspondence,Address;Urrego, Department of Pediatric Pulmonology Ochsner Clinic Foundation,F.;New Orleans, L A United States Email furrego,ochsner org</t>
  </si>
  <si>
    <t>Evaluation of pediatricians' adherence to tobacco prevention, control, and treatment guidelines before and after an educational outreach program</t>
  </si>
  <si>
    <t>Ochsner Journal</t>
  </si>
  <si>
    <t>tobacco smoke;education program;pediatrician;practice guideline;protocol compliance;smoking;article;child;controlled study;environmental exposure;human;major clinical study;medical record;patient counseling;patient referral;respiratory tract disease;school child;Public Health, Social Medicine and Epidemiology (17)</t>
  </si>
  <si>
    <t>Background: Tobacco use is the world's leading single preventable cause of death. Because children exposed to second- and third-hand smoke are at risk for smoke-related morbidity, pediatricians have an obligation to address tobacco use in their practices. The purpose of this study was to measure physician adherence to the American Academy of Pediatrics' guidelines on tobacco prevention, control, and treatment before and after the implementation of an educational outreach program. Methods: Charts were randomly selected from pediatric clinics before and after the educational outreach. The intervention consisted of a review of the guidelines and available tools physicians could implement into their practices. We measured the rates of adherence to the guidelines before and after the educational outreach. Results: We analyzed 213 charts (116 pre- and 97 posteducation). The proportion of families screened for tobacco smoke exposure was comparable between the preand postintervention groups (67.2% vs 59.8%, P1/40.317). The postintervention group had a higher proportion of counseling compared to the preintervention group (51.5% vs 31.9%, P&lt;0.05). We found no statistically significant change in the rate of screening or referral to smoking cessation services. Conclusion: Current guidelines to reduce tobacco use are underutilized. Educational outreach may increase the rate of counseling. Physician acceptance of guidelines is urgently needed to affect the tobacco epidemic. â”¬âŒ Academic Division of Ochsner Clinic Foundation.</t>
  </si>
  <si>
    <t>(Beaty T.) (Dornelles A.C.) (Sahuque T.; Urrego F., furrego@ochsner.org) Ochsner Clinic, 1514 Jefferson Highway, New Orleans, United States.; ID: 2348</t>
  </si>
  <si>
    <t>1524-5012</t>
  </si>
  <si>
    <t>2013581354 PUI L369821852</t>
  </si>
  <si>
    <t>Bednarczyk,E.;Blondell,R.;Wahler,R.;Fiebelkorn,K.;Waghmaarae,R.;Rogler,B.;Dunn,T.;Author,Addresses;School of,Pharmacy;and Pharmaceutical Sciences, University at Buffalo Buffalo,United States;Jacobs,School of;Biomedical Sciences,University;at Buffalo,Buffalo,United States;Department of Pharmacy Practice, State,University of;New York at Buffalo, Buffalo,United States;Correspondence,Address;Bednarczyk,School of Pharmacy,E.;Pharmaceutical Sciences,University at;Buffalo,Buffalo United States</t>
  </si>
  <si>
    <t>A large-scale on-line interprofessional opioid prescriber training program</t>
  </si>
  <si>
    <t>e159</t>
  </si>
  <si>
    <t>(MAJOR FOCUS);opiate;training;addiction;buffalo;clinical trial;feasibility study;human;New York;nonhuman;palliative therapy;prescription;pretest posttest design;opiate (53663-61-9, 8002-76-4, 8008-60-4)</t>
  </si>
  <si>
    <t>INTRODUCTION: As part of its response to the opioid epidemic, the New York State (NYS) Legislature mandated three hours of training in opioid use for all prescribers of controlled substances (, DDS, NP, PA, DPM). Mandated programming included: NYS and federal requirements for prescribing controlled substances; pain management; appropriate prescribing; managing acute pain; palliative medicine; prevention, screening and signs of addiction; responses to abuse and addiction; and end of life care. Training was required to be completed by June 30, 2017 RESEARCH QUESTION OR HYPOTHESIS: Could a large-scale enduring on-line program be feasible, and would participation result in increased knowledge concerning use of opioids?. STUDY DESIGN: Observational. METHODS: An interdisciplinary team from the University at Buffalo was formed to develop a 4-hour accredited (ACMME, ACPE, ADA CERP) enduring training program which launched March 15, 2017. A pre and post-test was included, with 70% required for successful completion of the two modules of the course RESULTS: As of June 13, a total of 28,034 prescribers have completed this training, with the majority (87.92%) from NYS. CONCLUSION: This demonstrates the feasibility of deploying a rigorous, enduring interprofessional educational program. The program has been well accepted, with demonstration of increased knowledge across disciplines through pre and post-training assessment. The greatest gains in performance were seen in the management of addiction and palliative care. Further study is needed to address the impact of this training on patterns of opioid prescribing.</t>
  </si>
  <si>
    <t>(Bednarczyk E.; Wahler R.; Fiebelkorn K.; Waghmaarae R.) (Blondell R.) (Rogler B.; Dunn T.) 2017 Annual Meeting of the American College of Clinical Pharmacy, ACCP 2017 Phoenix, AZ, United States 2017-10-07 to 2017-10-10 Pharmacotherapy Publications Inc.; ID: 1888</t>
  </si>
  <si>
    <t>1875-9114</t>
  </si>
  <si>
    <t>10.1002/phar.2052 FULL TEXT LINK http://dx.doi.org/10.1002/phar.2052</t>
  </si>
  <si>
    <t>Behere,R. V.;Rao,N. P.;Girish Babu,N.;Author,Addresses;Department,of Psychiatry;College,Manipal India;Correspondence,Address;RV Behere, Department of Psychiatry Kasturba Medical,College Manipal;India Email,rvbehere,gmail com</t>
  </si>
  <si>
    <t>PG corner: Off the beaten track-psychiatry residency and beyond</t>
  </si>
  <si>
    <t>S20</t>
  </si>
  <si>
    <t>child psychiatry;addiction;career;child;human;interview;learning;postgraduate student;psychopharmacology;publishing;residency education;skill;study skills</t>
  </si>
  <si>
    <t>Postgraduate residency in psychiatry is a challenging period. A student is expected to learn a number of specialized skills such as psychopathology, psychotherapy, psychopharmacology, clinical interview skills, which student may not have had exposure to during their undergraduate training. With the ever changing scenario in terms of advances in biological psychiatry, changes in classifcatory system, newer pharmacological treatments, advancing evidence based medicine, a resident has to keep pace with newer advances while at the same time balancing knowledge of classical concepts. Preparation for exams requires a specialized focus and study skills. With the advent of technology, a sea of knowledge is open to a psychiatry resident. Research is an important component of psychiatry residency training and learning the skill of conducting research and publishing their work could be an important asset in one's career. A psychiatry resident after fnishing PG is faced with many choice with introduction of specialisation courses in the feld of child &amp; adolescent psychiatry, addiction medicine and the like. This symposium is largely directed towards the needs of psychiatry residents and will address the challenges and how to face them.</t>
  </si>
  <si>
    <t>(Behere R.V., rvbehere@gmail.com) (Rao N.P.; Girish Babu N.) 68th Annual National Conference of the Indian Psychiatric Society, ANCIPS 2016 Bhopal, India 2016-01-21 to 2016-01-24 Medknow Publications; ID: 2002</t>
  </si>
  <si>
    <t>Bell,P. F.;Semelka,M. W.;Bigdeli,L.;Author,Addresses</t>
  </si>
  <si>
    <t>26217424; Drug Testing Incoming Residents and Medical Students in Family Medicine Training: A Survey of Program Policies and Practices</t>
  </si>
  <si>
    <t>Journal of graduate medical education</t>
  </si>
  <si>
    <t>education;medical education;medical student;substance abuse;adult;female;general practice;human;male;personnel management;questionnaire;United States</t>
  </si>
  <si>
    <t>BACKGROUND: Despite well-established negative consequences, high rates of substance use and related disorders continue to be reported. Physicians in training are not immune from this, or the associated risks to their health and careers, while impaired physicians are a threat to patient safety.OBJECTIVE: We surveyed family medicine residency programs' practices relating to drug testing of medical students and incoming residents. The survey asked about the extent to which residency programs are confronted with trainees testing positive for prohibited substances, and how they respond.METHODS: The survey was sent to the directors of family medicine residency programs. A total of 205 directors (47.2%) completed the survey.RESULTS: A majority of the responding programs required drug testing for incoming residents (143, 68.9%). Most programs did not require testing of medical students (161, 81.7%). Few programs reported positive drug tests among incoming residents (9, 6.5%), and there was only 1 reported instance of a positive result among medical students (1, 3.3%). Respondents reported a range of responses to positive results, with few reporting that they would keep open training spots or offer supportive services for a medical student who tested positive.CONCLUSIONS: Changing laws legalizing certain drugs may require corresponding changes in the focus on drug testing and associated issues in medical training; however, many residency program directors were not aware of their institution's current policies. Programs will need to reexamine drug testing policies as new generations of physicians, growing up under altered legal circumstances concerning drug use, progress to clinical training.</t>
  </si>
  <si>
    <t>(Bell P.F.; Semelka M.W.; Bigdeli L.); ID: 2128</t>
  </si>
  <si>
    <t>http://www.ncbi.nlm.nih.gov/pubmed/26217424</t>
  </si>
  <si>
    <t>10.4300/JGME-D-14-00308.1 FULL TEXT LINK http://dx.doi.org/10.4300/JGME-D-14-00308.1</t>
  </si>
  <si>
    <t>Drug Testing Incoming Residents and Medical Students in Family Medicine Training: A Survey of Program Policies and Practices</t>
  </si>
  <si>
    <t>Bell,R. G.;Author,Addresses;Horsham Ave,Willowdale,Ont Canada;Correspondence,Address;RG Bell, Horsham Ave Willowdale,Ont Canada</t>
  </si>
  <si>
    <t>Three-phase treatment program for alcohol addiction</t>
  </si>
  <si>
    <t>Texas State journal of medicine</t>
  </si>
  <si>
    <t>alcoholism;addiction;community;disability;drug dependence;health;hospital;morality;physician;prison;teamwork</t>
  </si>
  <si>
    <t>It should be possible for all who encounter the addict at any stage of his complex progressive disability to know clearly what the first step in treatment should be. Furthermore, with the adequate instruction in addictions indicated by the nature of their work, they should also appreciate their possible contribution to the second and third phases of treatment. Community team work will need to be developed to an unprecedented degree if something better than the present 'revolving-door' situation in our jails and hospitals is to be realized. In any community team effort, the physician should become the quarterback. Addiction is primarily a health problem, and only secondarily a legal, social, or moral one. If the primary disability is corrected, the secondary problems disappear.</t>
  </si>
  <si>
    <t>(Bell R.G.); ID: 3971</t>
  </si>
  <si>
    <t>0096-7165</t>
  </si>
  <si>
    <t>2007306269 PUI L286022951</t>
  </si>
  <si>
    <t>Bener,A.;Bhugra,D.;Author,Addresses;Department of,Medical Statistics;Epidemiology,Hamad Medical Corporation Weill Cornell Medical College P.O.;Box,Doha Qatar;Evidence for Population,Health Unit;Epidemiology;Health Sciences, University of,Manchester Manchester;United,Kingdom;Section of Cultural Psychiatry, Institute of,Psychiatry King;College London,London,United Kingdom;Correspondence,Address;Bener, Department of Medical Statistics,A.;Epidemiology,Hamad Medical;Corporation,Weill Cornell Medical College P.O.Box Doha Qatar Email;abener@hmc.org.qa</t>
  </si>
  <si>
    <t>23666321; Lifestyle and depressive risk factors associated with problematic internet use in adolescents in an Arabian Gulf culture</t>
  </si>
  <si>
    <t>depression;internet addiction;lifestyle;risk factor;adolescent;adult;Arabian;article;comorbidity;controlled study;disease association;eating habit;ethnic group;female;human;Internet;male;outcome assessment;physical activity;prevalence;priority journal;risk assessment;scoring system;sex ratio;social aspect;student recruitment;Public Health, Social Medicine and Epidemiology (17);Psychiatry (32)</t>
  </si>
  <si>
    <t>Background: The use of the Internet has increased around the world but more so in the Middle Eastern countries, particularly in the Arabian Gulf region. This has also produced problematic Internet use (PIU) with potential detrimental effects on physical, mental, and psychosocial health. Aim: To determine the prevalence of PIU and its association with Beck Depression Inventory (BDI), comorbid, and lifestyle factors among adolescent and young adult (12- to 25-year-old) Qatari population. Design: A cross-sectional survey. Setting: All public and private schools and university under the Supreme Council of Education and Higher Education in Doha, Qatar. Subjects and Methods: A total of 3000 students (12-25 years of age) were selected through multistage stratified random sampling from public and private schools and university under the overall administration of Qatar Supreme Council of Education. Among them, 2298 students (76.6%) consented to participate in the study during September 2009 to October 2010. Data were collected using a structured questionnaire including sociodemographic details, lifestyle, and dietary habits. Problematic Internet use and depressive tendencies were measured through validated Internet Addiction Test (IAT) and BDI. Results: Of 2298, 71.6% were males and 28.4% were females. The overall prevalence of PIU was 17.6%. This study revealed that a significantly larger proportion of males (64.4%; P = 0.001) and Qatari students (62.9%; P &lt; 0.001) had PIU. Students with PIU slept significantly less number of hours (6.43 â”¬â–’ 1.70) than non-PIU group (6.6 â”¬â–’ 1.80; P = 0.027). The proportion of students participating in moderate physical activity was significantly lower among those with PIU than in other group (47.8% vs 55.7%; P = 0.005). Qatari nationality (odds ratio OR] = 1.82; P &lt; 0.001), male sex (OR = 1.40; P &lt; 0.001), having nonworking mother (housewife) (OR = 1.34; P = 0.009), eating fast foods (OR = 1.57; P &lt; 0.001), and BDI score (OR = 1.14; P = 0.003) were positively associated with PIU, whereas moderate and mild physical activity were negatively associated with PIU (OR = 0.73, P = 0.002; OR, 0.77, P = 0.003, respectively). Conclusions: This study adds to the growing body of evidence linking PIU with negative lifestyle and depressive risk factors, among vulnerable adolescent and young adult. Problematic Internet use is becoming a significant public health issue that requires urgent attention. Copyright â”¬âŒ 2013 American Society of Addiction Medicine.</t>
  </si>
  <si>
    <t>(Bener A., abener@hmc.org.qa) (Bhugra D.) Lippincott Williams and Wilkins, 250 Waterloo Road, London, United Kingdom.; ID: 2380</t>
  </si>
  <si>
    <t>http://www.ncbi.nlm.nih.gov/pubmed/23666321</t>
  </si>
  <si>
    <t>10.1097/ADM.0b013e3182926b1f FULL TEXT LINK http://dx.doi.org/10.1097/ADM.0b013e3182926b1f</t>
  </si>
  <si>
    <t>Lifestyle and depressive risk factors associated with problematic internet use in adolescents in an Arabian Gulf culture</t>
  </si>
  <si>
    <t>Benos,J.;Author,Addresses;Bezirksklin Hochstadt, D Hochstadt,a Main;Correspondence,Address;Bezirksklin Hochstadt, D Hochstadt,a Main</t>
  </si>
  <si>
    <t>6866170; A case of addiction to buprenorphin ORIGINAL (NON-ENGLISH) TITLE EIN FALL VON SEKUNDARER BUPRENORPHIN (TEMGESICâ”¬Â«)-ABHANGIGKEIT</t>
  </si>
  <si>
    <t>(MAJOR FOCUS);buprenorphine;chlordiazepoxide;clorazepate;diamorphine;diazepam;naloxone;opiate;pentazocine;tilidine;clorazepate dipotassium;addiction;adverse drug reaction;drug dependence;drug therapy;case report;central nervous system;human;intoxication;intravenous drug administration;therapy;DRUG TRADE NAMES;librium;temgesic;tranxilium;valium;valoron;buprenorphine (52485-79-7, 53152-21-9);chlordiazepoxide (438-41-5, 58-25-3);clorazepate (20432-69-3, 23887-31-2);clorazepate dipotassium (57109-90-7);diamorphine (1502-95-0, 561-27-3);diazepam (439-14-5);naloxone (357-08-4, 465-65-6);opiate (53663-61-9, 8002-76-4, 8008-60-4);pentazocine (359-83-1, 64024-15-3);tilidine (20380-58-9, 27107-79-5);Adverse Reactions Titles (38);Drug Literature Index (37);Psychiatry (32);Drug Dependence, Alcohol Abuse and Alcoholism (40);Neurology and Neurosurgery (8)</t>
  </si>
  <si>
    <t>An account is given of the case of a man aged 23 years, who, in the course of his heroin addiction had his attention called by friends in the drug scene to the new analgetic Buprenorphin (Temgesic), a semi-synthetic derivative, and thereafter became an addict of this substance. The preparation was put on the illicit drug market as doctors had prescribed it for the 'cure' of heroin addiction or of its withdrawal symptoms. It is, however, quite unsuitable for this purpose, just as morphine was found to be when used for the treatment of opium addiction.</t>
  </si>
  <si>
    <t>(Benos J.); ID: 3816</t>
  </si>
  <si>
    <t>0028-2804</t>
  </si>
  <si>
    <t>http://www.ncbi.nlm.nih.gov/pubmed/6866170</t>
  </si>
  <si>
    <t>A case of addiction to buprenorphin ORIGINAL (NON-ENGLISH) TITLE EIN FALL VON SEKUNDARER BUPRENORPHIN (TEMGESICâ”¬Â«)-ABHANGIGKEIT</t>
  </si>
  <si>
    <t>Benowitz,N. L.;Author,Addresses;Division of,Clinical;Pharmacology;Experimental Therapeutics, San Francisco,General Hospital;Medical Center, University of California San Francisco San,Francisco C.;United,States;Departments of,Medicine;Bioengineering;Therapeutic Sciences, University of,California San;Francisco,San Francisco C. A. United States;Correspondence,Address;Benowitz, Division of Clinical Pharmacology,N.L.;Experimental;Therapeutics,San Francisco General Hospital Medical Center University of;California,San Francisco San Francisco C.A.United States Email;nbenowitz@medsfgh.ucsf.edu</t>
  </si>
  <si>
    <t>20554984; Nicotine addiction</t>
  </si>
  <si>
    <t>2303+2250</t>
  </si>
  <si>
    <t>amine oxidase (flavin containing) (endogenous compound);neurotransmitter (endogenous compound);nicotinic receptor (endogenous compound);tobacco dependence;adaptation;brain function;cigarette smoking;conditioning;genetics;human;mesolimbic dopaminergic system;nerve cell plasticity;neurotransmitter release;nonhuman;priority journal;review;vulnerable population;amine oxidase (flavin containing) (37255-42-8, 9001-66-5, 9059-11-4);Drug Dependence, Alcohol Abuse and Alcoholism (40)</t>
  </si>
  <si>
    <t>This review gives an account of the cigarette as a highly efficient nicotine delivery system. It explains how nicotine induces pleasure, reduces stress and anxiety, and causes addiction to tobacco smoking. The basis of nicotine addiction rests on its effects on the brain, but addiction is also influenced by learned or conditioned factors, genetics, and social and environmental conditions. Copyright â”¬âŒ 2010 Massachusetts Medical Society. All rights reserved.</t>
  </si>
  <si>
    <t>(Benowitz N.L., nbenowitz@medsfgh.ucsf.edu) Massachussetts Medical Society, 860 Winter Street, Waltham, United States.; ID: 2782</t>
  </si>
  <si>
    <t>0028-4793 1533-4406 (electronic)</t>
  </si>
  <si>
    <t>http://www.ncbi.nlm.nih.gov/pubmed/20554984</t>
  </si>
  <si>
    <t>10.1056/NEJMra0809890 FULL TEXT LINK http://dx.doi.org/10.1056/NEJMra0809890</t>
  </si>
  <si>
    <t>Nicotine addiction</t>
  </si>
  <si>
    <t>Benyamina,A.;Blecha,L.;Author,Addresses;Centre;d'Enseignement, Recherche et Traitement des,Addictions H.;Universitaires Paris Sud Paul Brousse, F Villejuif,France France;Correspondence,Address;Benyamina, Centre d'Enseignement Recherche et Traitement des Addictions,A.;Hâ”œâ”¤pitaux Universitaires Paris Sud Paul Brousse,,F.Villejuif France;France Email, amine benyamina pbr,aphp fr</t>
  </si>
  <si>
    <t>Cannabis and analgesia ORIGINAL (NON-ENGLISH) TITLE Cannabis et analgâ”œâŒsie</t>
  </si>
  <si>
    <t>Douleur et Analgesie</t>
  </si>
  <si>
    <t>(MAJOR FOCUS);cannabis;cannabinoid (drug therapy);dronabinol (drug therapy);nabilone (drug therapy);nabiximols (drug therapy);analgesia;article;Canada;cancer pain (drug therapy);chronic pain (drug therapy);Human immunodeficiency virus infection;multiple sclerosis;United States;cannabis (8001-45-4, 8063-14-7);dronabinol (7663-50-5);nabilone (51022-71-0);nabiximols (56575-23-6);Anesthesiology (24);Drug Literature Index (37)</t>
  </si>
  <si>
    <t>For several decades, there is a renewed interest in medical cannabis. The scientific advances from the late 20th century have made possible the scientific study of cannabis and its mechanisms of action. On the political level, some countries, such as the Canada and the United States, have changed their laws to make possible medical treatment with cannabinoids. Cannabinoids, such as dronabinol, Sativex and Nabilone were tested in the treatment of acute and chronic pain. It is especially in the chronic pain associated with cancer, HIV and multiple sclerosis where cannabinoid treatment seems the most promising. Larger and longer studies are needed to determine the adverse effects to the long course, and the risk of misuse and addiction. â”¬âŒ Springer-Verlag France 2012.</t>
  </si>
  <si>
    <t>(Benyamina A., amine.benyamina@pbr.aphp.fr; Blecha L.) Springer Paris, 1 rue Paul Cezanne, Paris, France.; ID: 2553</t>
  </si>
  <si>
    <t>1011-288X 1951-6398 (electronic)</t>
  </si>
  <si>
    <t>2012471719 PUI L52053408</t>
  </si>
  <si>
    <t>10.1007/s11724-012-0294-8 FULL TEXT LINK http://dx.doi.org/10.1007/s11724-012-0294-8</t>
  </si>
  <si>
    <t>Bereket,S.;Gourevitch,M. N.;Hanley,K.;More,F.;Naegle,M.;Tuchman,E.;Author,Addresses;Nyu,New York United States;Nyu,School of Medicine New York United;States;Nyu,College of Nursing New York United States;Nyu,College of Dentistry New York United States;Nyu,School of Social Work New York United States;Correspondence,Address;School of Medicine New York United States,S.Bereket, N.Y.U.</t>
  </si>
  <si>
    <t>Saret: Evaluation of early career impact of interprofessional substance use research training</t>
  </si>
  <si>
    <t>S393</t>
  </si>
  <si>
    <t>naloxone;internal medicine;society;substance use;alcohol consumption;curriculum;decision making;dentistry;e-mail;education;follow up;funding;health;health practitioner;human;intoxication;Likert scale;medical student;Medline;nursing;occupation;prevention;primary medical care;publication;residency education;self report;skill;social aspect;social work;social work student;student;substance abuse;summer;tobacco;training</t>
  </si>
  <si>
    <t>BACKGROUND: Innovative initiatives are needed to build the ranks of health professionals engaged in conducting research on and treating substance use disorders (SUDs). Though SUD treatment frequently requires an interdisciplinary team approach informed by the recognition that SUDs represent the complex interplay of biological, psychological and social factors, SUD research teams are often grounded in a single discipline. The fundamental goal of the NIDA-funded inter-professional Substance Abuse Research Education and Training (SARET) program is to stimulate dental, medical, nursing and social work students' pursuit of careers in substance use (SU) research. Participants engage in stipend-supported mentored research complemented by weekly didactic seminars, site visits, and an online curriculum previously shown to increase students' interest in SU research. We evaluated early career outcomes and attitudes of 54 students who have participated in these summer (n = 47) and year-long (n = 7) research fellowships since 2008. METHODS: In Fall 2015, we conducted a survey of SARET participants from the 2008- 2014 cohorts. The thirteen-question survey employed 4 point Likert scale as well as open response questions that were analyzed qualitatively. We assessed participants' current careers and the perceived influence of SARET participation on career choice, attitudes towards other professions, and research and treatment of SUDs. The survey was sent to the 65 (of 68) participants for whom we had valid email addresses. We assessed participants' scholarly work based on self-report as well as through automated monthly Pubmed searches for published journal articles. RESULTS: The survey response rate was 83 % (54/65; 19 dentistry, 17 medical, 10 nursing, 8 social work). Over half of the past participants were still in training: e.g., completing residency training or various degrees in dentistry, nursing or social work. Nonetheless, 46% (25/54) report being somewhat or very involved in research, and 64% of these (30 % overall) were engaged in substance use related research. Past participants had published 40 articles (12 SUDs-related) and 3 book chapters (e.g., Î“Ã‡Â£Addressing Unhealthy Alcohol use in Primary CareÎ“Ã‡Â¥), had 6 manuscripts submitted or under review (2 tobacco cessation-related), and have completed 50 oral or poster presentations (20 SUDs-related). Six participants have received research funding, including a scholarship for one medical student to investigate naloxone overdose prevention. The overwhelming majority (96 %; 52/54) of respondents reported that participation in the mentored research program had increased their interest in SU research, their knowledge about</t>
  </si>
  <si>
    <t>(Hanley K.) (Bereket S.; Gourevitch M.N.) (Naegle M.) (More F.) (Tuchman E.) 39th Annual Meeting of the Society of General Internal Medicine, SGIM 2016 Hollywood, FL, United States 2016-05-11 to 2016-05-14 Springer New York LLC; ID: 1951</t>
  </si>
  <si>
    <t>Berland,N.;Lugassy,D.;Fox,A. D.;Tofighi,B.;Hanley,K.;Author,Addresses;Downstate,Suny;Kings County, Brooklyn N Y New York University School of,Medicine New;York,N. Y. M.;Correspondence,Address;Berland,N.</t>
  </si>
  <si>
    <t>A comparative analysis of online vs in-person opioid overdose prevention training for first year medical students as an adjunct to first responder training using cardiopulmonary resuscitation</t>
  </si>
  <si>
    <t>S71</t>
  </si>
  <si>
    <t>S72</t>
  </si>
  <si>
    <t>(MAJOR FOCUS);opiate;antidote;naloxone;medical student;resuscitation;adult;analysis of covariance;conference abstract;controlled study;drug overdose;drug therapy;human;learning;medical school;prevention;standardization;naloxone (357-08-4, 465-65-6);opiate (53663-61-9, 8002-76-4, 8008-60-4)</t>
  </si>
  <si>
    <t>Study Objectives: To help address the growing opioid overdose epidemic and help teach a core toxicological emergency, the authors taught the use of naloxone as an antidote to an opioid overdose, for all first-year medical students as a part of first responder training using cardiopulmonary resuscitation, as an online and in-person training over three years. Previously we demonstrated that in-person opioid overdose prevention training as an adjunct to BLST improves knowledge and preparedness. To compare the educational outcomes; knowledge, preparedness, and attitudes, for online vs in-person opioid overdose prevention training. Methods: Opioid overdose prevention trainings were conducted in person in 2014 and 2015, and online in 2016. First year students completed pre-and post-training surveys covering three measures: knowledge (11-point scale), attitudes (66-point scale) towards patients with opioid use disorders, and self-reported preparedness (60-point scale) to respond to an opioid overdose. Online and in-person scores across all three measures were compared using analysis of covariance (ANCOVA) methods across two years of trainings. Results: After controlling for pre-test scores, there were very small and not meaningful differences in attitude and knowledge scores between in-person training and online training. The estimated difference for knowledge was-0.06 (95%</t>
  </si>
  <si>
    <t>(Berland N.; Lugassy D.; Fox A.D.; Tofighi B.; Hanley K.) American College of Emergency Physicians, ACEP 2017 Research Forum Washington, DC, United States 2017-10-29 to 2017-10-31 Mosby Inc.; ID: 1769</t>
  </si>
  <si>
    <t>Berman,J.;Burk,C.;Terp,S.;Burner,E.;Lam,C. N.;Menchine,M.;Arora,S.;Author,Addresses;Keck School of Medicine at Usc, Los Angeles C A Keck School of,Medicine of;Usc,Los Angeles C.A.University of Southern California Los Angeles C.A.;Correspondence,Address;Berman,J.</t>
  </si>
  <si>
    <t>The impact of administration of opiates or benzodiazepines on comprehension of emergency department discharge instructions</t>
  </si>
  <si>
    <t>S128</t>
  </si>
  <si>
    <t>(MAJOR FOCUS);benzodiazepine;opiate;comprehension;emergency ward;adult;adverse drug reaction;attention;clinical trial;controlled study;doctor patient relation;drug therapy;electronic medical record;female;gold standard;human;human tissue;human versus animal comparison;major clinical study;male;medical student;memory disorder;nonhuman;quantitative study;questionnaire;recall;scientist;side effect;benzodiazepine (12794-10-4);opiate (53663-61-9, 8002-76-4, 8008-60-4)</t>
  </si>
  <si>
    <t>Study Objective: Prior research has shown that 65% to 80% of patients have a poor understanding of at least one component of their emergency department visit, discharge diagnosis, and/or return precautions and follow-up instructions. Potential benefits of improved patient understanding include more effective treatment, fewer return visits and increased health awareness. As part of their care, some patients receive opiates and benzodiazepines in the ED for indications ranging from pain control to behavior modification to procedural sedation. Despite their widespread use, these medications have many side effects, including memory impairment and recall. To date, there has been no study that attempts to quantify the magnitude to which these drugs impact patients' understanding of their discharge instructions. The primary objective of this study is to evaluate whether opiate or benzodiazepine administration impacted patients' understanding of their discharge instructions when compared with patients who did not receive either medication. Methods: A consecutive sample of adult patients who were discharged from the ED were approached for enrollment using a standard script. Those who provided consent were asked by trained research assistants to complete a questionnaire that included patient demographics and requested that they describe their discharge instructions. The gold standard for discharge instructions was written in the patient's discharge packet. Two medical students then independently rated patient comprehension of their discharge instructions into one of 5 different categories on a locally created scale, which were collapsed to good (score of 1 or 2) or poor understanding (score of 3-5). Kappa between reviewers was 0.97. Medication administration was recorded from the patients' electronic medical records. Results: Of patients approached, approximately 90% of patients agreed to participate in the study. Of the 534 patients evaluated, 35% (n=189) received either a benzodiazepine or opiate before discharge. The proportion of patients with good understanding of their discharge instructions was slightly lower in patients who received benzodiazepine or opiates when compared with patients who received neither (57.7% (95% CI 50-65%) versus 62.6% (95% CI 50-67%). The difference was more pronounced in the subset of patients (n=8) who received bzd only. In this group only 25% had a good understanding. Full results are presented in table. Conclusion: Overall we found comprehension of discharge instructions was low in our patient population, highlighting the need for more effective communication at the end of the patient encounter. Comprehension was slightly lower among patients who received an opiate or benzodiazepine. It was lowest among benzodiazepine-only patients, but this finding needs to be confirmed in a larger sample. Health care providers who are discharging patients should be especially cognizant of the impact that medications can have on patient comprehension of their discharge instructions. Based on our small sample, particular attention should be given to patients who receive benzodiazepines.</t>
  </si>
  <si>
    <t>(Berman J.; Burk C.; Terp S.; Burner E.; Lam C.N.; Menchine M.; Arora S.) American College of Emergency Physicians, ACEP 2016 Research Forum Las Vegas, NV, United States 2016-10-16 to 2016-10-18 Mosby Inc.; ID: 1901</t>
  </si>
  <si>
    <t>Bernini,A.;Marmo,F.;Bianchi,G.;Author,Addresses;Sc,Sanita Milit;Correspondence,Address;Sc,Sanita Milit</t>
  </si>
  <si>
    <t>Smoking habits of doctors and health education in the armed forces ORIGINAL (NON-ENGLISH) TITLE INDAGINE SULL'ABITUDINE AL FUMO DI TABACCO FRA GLI ALLIEVI UFFICIALI MEDICI: PREMESSA AD UN PROGRAMMA DI EDUCAZIONE SANITARIA NELLE FF.AA</t>
  </si>
  <si>
    <t>Giornale di medicina militare</t>
  </si>
  <si>
    <t>G.Med.Mil.</t>
  </si>
  <si>
    <t>army;health education;military medicine;smoking;prevention;Public Health, Social Medicine and Epidemiology (17);Drug Dependence, Alcohol Abuse and Alcoholism (40)</t>
  </si>
  <si>
    <t>An inquiry has been made on the smoking habits of a random number of 1000 doctors attending the A.U.C. courses of the 'Scuola di Sanita Militare' and their opinion on smoking related to health. The authors proved that the majority of the A.U.C. doctors cannot operate as qualified health workers in the anti-smoking campaign, and they mention some actions presently possible to restrain the damage caused by smoking in the Forces.</t>
  </si>
  <si>
    <t>(Bernini A.; Marmo F.; Bianchi G.); ID: 3847</t>
  </si>
  <si>
    <t>1980152080 PUI L10119666</t>
  </si>
  <si>
    <t>Berraies,M.;Ourari,B.;Ben Amar,J.;El Gharbi,L.;Azzabi,S.;Baccar,M. A.;Aouina,H.;Bouacha,H.;Author,Addresses;Pulmonary,Charles Nicolle Hospital Tunis;Tunisia;Correspondence,Address;Berraies, Pulmonary Charles Nicolle Hospital Tunis Tunisia Email,M.;mouna.berraies2@yahoo.fr</t>
  </si>
  <si>
    <t>Smoking habits among students of the Medical University of Tunisia</t>
  </si>
  <si>
    <t>42 SUPPL. 57.</t>
  </si>
  <si>
    <t>nicotine;education;European;human;public health;smoking;smoking habit;society;student;Tunisia;university;addiction;adverse drug reaction;female;health;health care;hospital;medical education;medical student;patient;physician;prevalence;prospective study;questionnaire;smoke;tobacco</t>
  </si>
  <si>
    <t>The addiction to tobacco remains a significant problem in the context of healthcare staff. We conducted this study aiming to assess the smoking habits among medical students and their knowledge about smoking. A prospective study was undertaken between October and November 2012 in which a standardised, anonymous, self-completion questionnaire in French was administered to 100 medical students at the Charles Nicolle hospital. A total number of 100 medical students were included in this study. Mean age was 25 years. The majority was female (58%). The prevalence of smoking among medical students was found to be 38%. Nicotine-dependency was low. All medical students smoke in hospital. The knowledge about tabacco composition and adverse effects was average. The smoking behaviour of patients was seen to be an important concern for the doctor and this opinion, uninfluenced by their own smoking behaviour, grew stronger as students progressed through their course. There is a high prevalence of smoking and a mean knowledge about its impact on health among medical students. More attention is needed to focus on medical education in this regard.</t>
  </si>
  <si>
    <t>(Berraies M., mouna.berraies2@yahoo.fr; Ourari B., mouna.berraies2@yahoo.fr; Ben Amar J., mouna.berraies2@yahoo.fr; El Gharbi L., mouna.berraies2@yahoo.fr; Azzabi S., mouna.berraies2@yahoo.fr; Baccar M.A., mouna.berraies2@yahoo.fr; Aouina H., mouna.berraies2@yahoo.fr; Bouacha H., mouna.berraies2@yahoo.fr) European Respiratory Society Annual Congress 2013 Barcelona, Spain 2013-09-07 to 2013-09-11 European Respiratory Society; ID: 2371</t>
  </si>
  <si>
    <t>Bertot,W. J.;Walker,E. M.;Rabaza,C.;Wyckoff,E. T.;Esmurdoc,L.;Egerman,R. S.;Author,Addresses;University;of Florida,Gainesville,United States;Universidad Catâ”œâ”‚lica Nordestana, San,Francisco de;Macorâ”œÂ¡s,Dominican Republic;Correspondence,Address;WJ Bertot, University of Florida Gainesville,United States</t>
  </si>
  <si>
    <t>Preconceptional awareness of tobacco and ethanol use among disadvantaged women in the dominican republic basedon educational level and source of medical information</t>
  </si>
  <si>
    <t>S350</t>
  </si>
  <si>
    <t>(MAJOR FOCUS);alcohol;nitrogen 13;Dominican Republic;female;human;internal medicine;medical information;society;tobacco;chi square test;congenital malformation;Dominican (Dominican Republic);education;friend;hazard;health;health care personnel;high school;infant;Internet;maternal mortality;medical school;patient;population;preeclampsia;pregnancy;public health;publication;smoking;telecommunication;tobacco use;United States;university;vitamin supplementation</t>
  </si>
  <si>
    <t>BACKGROUND: Medical schools are increasingly promoting initiatives in global health and firsthand experience through medical mission trips. Medical missions have the potential for benefitting patients if performed responsibly and in a culturally relevant manner. As a means to assess public health needs and to determine appropriate future emphasis, our purpose was to assess baseline knowledge of preconceptional hazards of alcohol and tobacco use among underserved women of child bearing age in theDominican Republic. METHODS: We recruited patients seeking care at the Universidad Catolica Nordestena (UCNE) /University of Florida (UF) medical mission in San Francisco de Macoris in the Dominican Republic. Female subjects between the ages of 18 and 50 gave verbal consent to participate in the study. The patients' baseline preconceptional knowledge of smoking and ethanol use was assessed. Women were stratified based on educational level (less than 5th grade education, 5th to 8th grade education, high school or university education) as well as the primary source of their medical information (family and friends, newspapers and books, TV and radio, or health care professionals). Comparisons between groups were made using Chi square test (with significance defined as p &lt; 0.05). RESULTS: Seventy three women participated with educational levels: &lt; 5th grade (n = 13), 5th to 8th grade (n = 24), high school (n = 22) and university experience (n = 14). There we no significant differences between the educational level groups and the primary resources for obtaining medical information (p = 0.15). Most women received medical information through a healthcare professional (53/73 or 72.6 %). One woman in the lowest educational level did not cite a source and another in the 5th to 8th grade educational bracket used the internet as her source. Awareness of the hazards of periconceptional tobacco and ethanol use was present among 97.3 and 98.6 %, respectively, of the entire group. CONCLUSIONS: Regardless educational level, underserved Dominican women are knowledgeable regarding the hazards of tobacco and ethanol use during pregnancy. Although not studied, local public health initiatives are seemingly effective in this regard. Alternative aspects of preventative care should be considered for emphasis in this population including periconceptional vitamin supplementation to reduce infant birth defects and awareness of preeclampsia symptoms to reduce maternal mortality.</t>
  </si>
  <si>
    <t>(Bertot W.J.; Walker E.M.; Rabaza C.; Wyckoff E.T.; Egerman R.S.) (Esmurdoc L.) (UCNE) 39th Annual Meeting of the Society of General Internal Medicine, SGIM 2016 Hollywood, FL, United States 2016-05-11 to 2016-05-14 Springer New York LLC; ID: 1962</t>
  </si>
  <si>
    <t>Bhadoriya,M. S.;Sidana,R.;Mushir,U.;Author,Addresses;Index,Medical;College;Hospital,Indore India;Correspondence,Address;MS Bhadoriya,Index,Medical College;Hospital,Indore India Email;whyim@yahoo.com</t>
  </si>
  <si>
    <t>To study the prevalence of adult ADHD and its signifcance in substance abuse patients</t>
  </si>
  <si>
    <t>S116</t>
  </si>
  <si>
    <t>concrete;dopamine transporter;endogenous compound;noradrenalin;attention deficit disorder;drug dependence;prevalence;substance abuse;adult;adulthood;aggression;anxiety;calculation;case control study;child;childhood disease;clinical article;comorbidity;consultation;controlled study;craving;demography;depression;detoxification;diagnosis;drug toxicity;DSM-IV-TR;educational status;follow up;genotype;hospital readmission;human;human tissue;impulsiveness;incidence;informed consent;male;mental health;mental hospital;mood disorder;null hypothesis;observational study;physical examination;population research;prospective study;psychiatrist;Rajasthan;recurrence risk;rehabilitation;relative;sample size;seizure;self report;serotoninergic system;sexual dysfunction;sleep disorder;structured questionnaire;study design;treatment response;withdrawal syndrome;young adult;noradrenalin (1407-84-7, 51-41-2)</t>
  </si>
  <si>
    <t>Introduction: Attention-defcit/hyperactivity disorder (ADHD) is a common childhood disorder, with an estimated worldwide incidence of 8%-12%, yet it is now known that ADHD often persists into adulthood. Studies have reported an association between a Specific genotype found in individuals with ADHD and the dopamine transporter. Other candidate genes that may be associated with ADHD have been identifed in the norepinephrine and serotonin systems. A familial pattern has been documented by case control studies indicating that children of adults with ADHD are themselves at increased risk for developing the disorder. Types Of Adult ADHD: According To the diagnostic and statistical manual of mental disorders, 4th edition, text revision (DSM-IV-TR), symptoms of ADHD begin in childhood (onset by age 7) and continue into adulthood. Three ADHD subtypes are recognized in the DSM-IV-TR: inattentive, hyperactive/impulsive, and combined type. ADHD not otherwise specifed is reserved for patients whose symptoms were not noted until or after age 7. To make a diagnosis of the predominantly inattentive subtype, atleast 6 of 9 symptoms of in attention must be present; to make a diagnosis of the predominantly hyperactive-impulsive subtype, 6 of 9 hyperactive impulsive symptoms must be present; for the combined subtype of ADHD to be diagnosed, criteria for both the preceding subtypes must be met. Aims And Objectives: Primary Objectives To estimate the prevalence of Adult ADHD among Substance abuse patients. To compare the prevalence of Adult ADHD among Substance abuse cases and non-substance abuse controls. Secondary Objectives: To compare the socio-demographic profile of patients with and without Adult ADHD among patients with substance abuse. To compare the co-morbid psychiatric illness in patients with and without Adult ADHD among patients with substance abuse. To compare the patterns of substance use and relapse in 6 months in patients with and without Adult ADHD among patients with substance abuse. Null Hypothesis Prevalence of ADHD symptoms do not differ with presence of the substance abuse. No signifcant difference in sociodemographic profile, clinical profile and comorbid psychiatric problems exists between presence and absence of ADHD in patients with Substance abuse Materials And Methods: Study design: This was a prospective observational study. Study Venue: The study was conducted at Prerna De-addiction and Rehabilitation Centre at Tek Chand Sidana Memorial Psychiatric Hospital and De-addiction Centre, Sri Ganganagar, Rajasthan. Study duration: The study was conducted between June-2012 to June-2013. ^ Study population: Study population consisted of patients and those accompanying patients to the De-addiction centre. Sample size calculation: Sample Size was calculated using formula N= Z2 P (1-P)]/d2, where d (width of confdence interval) was determine to be 5%, Z = 1.96 (5% precision), P (Prevalence) = 3.5 % (As in previous studies prevalence of adult ADHD was 2-5 %). Sample size was calculated to be 49 in each group. Finally study was conducted with a Sample size of 50 patients and 50 controls. STUDY GROUP Inclusion Criteria: a. Patients admitted in Prerna De-addicition&amp; Rehabilitation Centre at Tek Chand Sidana Memorial Psychiatric Hospital &amp; De-addiction Centre, Sri Ganganagar (Raj.) b. Fulflling DSM IV-TR criteria for Substance use disorders (Substance Abuse or Substance Dependence) c. Males aged more than 18 years d. Willing to give written informed consent Exclusion Criteria: a. Patients with any substance induced disorders (eg. Intoxication, Withdrawal, induced sleep disorder, induced sexual disorder) without Substance Use Disorders. b. Patients having any co-morbid neurological problems other than seizures. c. Patients not willing to participate in the study. CONTROL GROUP: Inclusion Criteria: a. Subjects who are accompanying the patients to the De-addiction centre b. Males aged more than 18 years. c. Subjects do not use any psychoactive substance. d. Willing to give written informed consent Exclusion Criteria: a. Subjects with any history of any substance related disorder. b. Subjects having their frst degree relatives with substance related disorders. c. Subjects having any neurological problems. d. Subjects not willing to participate in the study. STUDY TOOLS a. Semi structured Performa for assessing Socio-demographic profile of the subjects and substance related behaviors and problems. b. Adult ADHD self report scale (ASRS VI.1) Study Procedure: Written informed consent was taken from the participant subjects. All sampled cases and controls were assessed using semi-structured questionnaire for socio-demographic profile and substance use. A detailed history, physical and mental status examination was done. The Adult ADHD Self Report Scale (ASRS-VI.1) was applied on both cases and controls. Subjects with four or more positive scoring in part-A have high chance of adult ADHD. It was confrmed by applying DSM-IV-TR criteria of adult ADHD. After discussing with a consultant psychiatrist the diagnosis of substance use disorders and comorbid psychiatric disorders made according to DSM IV-TR were recorded. All those fulflling DSM IV-TR criteria for substance use disorders viz., Substance abuse and substance dependence were termed patients with substance abuse in this study. Cases were assessed on frst day of admission and followed up every day till discharge. They were assessed for withdrawal symptoms, craving, aggressive behavior and impulsive behavior. The number of days taken for detoxification with an absence of signs of withdrawal was taken as duration for response to treatment. All patients with substance abuse (both Adult ADHD positive and negative) were followed for 6 months either during follow up or readmissions or through telephonic contact to know the recurrence of substance use behavior. Resuming the use of the substance after a period of atleast 3 weeks of abstinence was considered a relapse. Number of relapses during the six months including rehospitalization for relapse was recorded. Results: The Results indicate that there was a signifcant difference in substance abuse and non-substance abuse subjects. It was identifed that subjects with substance abuse screened positive for ADHD had onset of substance abuse in early age, suffered from multiple substance abuse, and had delayed response to treatment in comparison to subject's diagnosed negative for ADHD. Lastly, substance abuse subjects had more mood fuctuations and lesser anxiety in those diagnosed positive for ADHD. There was a signifcant association of educational status in positive and negative ADHD substance abuse subjects (study group). Symptoms of ADHD were signifcantly associated with severity of addiction, onset of substance abuse, relapses, responding to therapy after treatment among substance abuse patients. Comorbid psychiatric illness among substance abuse patients was strongly associated with symptoms of ADHD. In non-substance abuse subjects (control group) the comorbid psychiatric illness such as depression was highly associated with symptoms of ADHD. Conclusion: The prevalence of Adult ADHD in substance abuse was 22% and 4.0% in non-substance abuse subjects. Comorbidity of Psychiatric disorders and problems is signifcantly high in those with substance use disorder. Adult ADHD in substance abuse appears to increase the relapse rate and increase the chances of mood fuctuations even in absence of affective disorders. ADHD might also increase the risk of multiple substance abuse and delays the response to detoxifcation regimes. Above all interpretations and statistical confrmations sounded a concrete decision that Attention-Defcit/Hyperactive Disorder symptoms negatively infuence the substance abuse. Thus a routine screening for ADHD in substance abuse would better conceptualize the complex disorder. Thus research focusing on managing ADHD in substance use is the need of the day.</t>
  </si>
  <si>
    <t>(Bhadoriya M.S., whyim2025@yahoo.com; Sidana R.; Mushir U.) 68th Annual National Conference of the Indian Psychiatric Society, ANCIPS 2016 Bhopal, India 2016-01-21 to 2016-01-24 Medknow Publications; ID: 2030</t>
  </si>
  <si>
    <t>Bhansali,S.;Modi,G. K.;Yadav,A. K.;Kumar,V.;Prasad,N.;Sahay,M.;Parameswaran,S.;Gang,S.;Varughese,S.;Singh,S.;Sircar,D.;Ojha,J. P.;Pandey,R.;Jha,V.;Author,Addresses;Postgraduate,Institute of;Education;Research,Chandigarh India;Samarpan Kidney,Institute;Research Center,Bhopal Madhya;Pradesh,India;Jawaharlal Institute of Postgraduate,Medical Education;Research,Puducherry India;Sanjay Gandhi Postgraduate Institute of,Medical Science;India;Osmania Medical College, Osmania,General Hospital;Hyderabad,Telangana India;Muljibhai Patel Urological Hospital, Nadiad,Gujarat India;Institute of Medical Science, Banaras,Hindu University;Varanasi;,Uttar Pradesh;Christian Medical College, Vellore Tamil,Nadu India;Institute of Post Graduate,Medical Education;Research,Kolkata West Bengal India;George Institute for Global Health, New,Delhi India;Correspondence,Address;Bhansali, Postgraduate Institute of Medical Education,S.;Research;Chandigarh,India</t>
  </si>
  <si>
    <t>Quality of life of patients with CKD: A. cross sectional analysis from the ICKD cohort</t>
  </si>
  <si>
    <t>Indian Journal of Nephrology</t>
  </si>
  <si>
    <t>27 Supplement 1</t>
  </si>
  <si>
    <t>S23</t>
  </si>
  <si>
    <t>cohort analysis;cross-sectional study;quality of life;addiction;aged;agricultural worker;body mass;controlled study;diabetes mellitus;diet;educational status;estimated glomerular filtration rate;female;high school;housewife;human;hypertension;India;kidney disease;marriage;mental health;occupational exposure;unemployment</t>
  </si>
  <si>
    <t>BACKGROUND: Improving symptoms and function in daily life are important patient centered outcomes in chronic diseases. Health-related quality of life (QOL) is a key indicator of how a condition affects patient's life. QOL is expressed as across the physical; psychological and social domains of functioning. AIM OF THE STUDY: We report QOL in patients with early stages of CKD who have been enrolled in an on-going longitudinal multicentric study of subjects with early CKD in India. METHODS: All subjects; who had been enrolled till June 30; 2017 and had KDQOL-36TM survey data recorded at baseline were eligible. QOL is assessed by KDQOL-36TM; a validated Kidney Disease Quality of Life Instrument (KDQOL; RAND Corporation); available free for non-commercial use. Raw scores are converted to subscale scores using the Microsoft Excel tool (KDQOL-36TM Scoring Program; v 2.0). Mental Component Summary (MCS); Physical Component Summary (PCS); Symptoms; Effect and Burden subscales were scored between 0-100; with higher scores indicating better quality of life. Age; sex; BMI; marital status; educational status; residential setting; diet pattern; occupational exposure; addictions; presence of diabetes or hypertension or CVD; annual income and eGFR were studied for association with QOL. Low QOL was defined as subscale score that was 1 SD less than the mean for the respective subscale. RESULTS: The mean scores for KDQOL-36TM subscales were 48.81â”¬â–’9.93; 44.17â”¬â–’9.49; 65.29â”¬â–’31.40; 81.31â”¬â–’24.70 and 86.68â”¬â–’21.43 for PCS; MCS; burden; effects and symptoms; respectively. Urban residence; non-vegetarian dietary pattern; education below high school; occupational exposure and lower income were associated with lower scores across all subscales (p&lt;0.05). Professional workers had high score across all subscales compared to farmers; housewife and unemployed subjects (p&lt;0.01). Increasing quartile of annual income was associated with higher scores in all subscales (p&lt;0.01). Higher score for older age (p&lt;0.0001) and females (p=0.001) were noted in PCS subscale. Low QOL was observed in 7%; 10.1%; 23.7%; 17.1% and 17.7% of study population with respect to symptoms; effect; burden; PCS and MSC subscales; respectively. Education below high school; lower eGFR; low annual income and BMI &lt;18 kg/m2 were associated with low QOL in all subscales (p&lt;0.01) except in symptoms subscale. CONCLUSIONS: We identified the association between a number of clinical and socio-economic variables related and one or more KDQOL-36TM subscales.</t>
  </si>
  <si>
    <t>(Bhansali S.; Yadav A.K.; Kumar V.) (Modi G.K.) (Prasad N.) (Sahay M.) (Parameswaran S.) (Gang S.) (Varughese S.) (Singh S.; Ojha J.P.) (Sircar D.; Pandey R.) (Jha V.) 48th Annual Conference of Indian Society of Nephrology New Delhi, India 2017-12-14 to 2017-12-17 Medknow Publications; ID: 1764</t>
  </si>
  <si>
    <t>1998-3662</t>
  </si>
  <si>
    <t>Bhatraju,E. P.;Kurland,S.;Van,Metre Baum;Chang,A. A.;Taff,J.;Fox,J.;Lipkin,M.;Hanley,K.;Author,Addresses;Manhattan,V. A.;Nyu SoM, New York,United States;Nyu,New York United States;Nyu/Gouverneur,New York,United States;New York University, New York,United States;New York University, School of Medicine New,York United;States;Virginia Mason,Seattle,United States;Montefiore Medical Center, New York,United States;Correspondence,Address;EP Bhatraju, Virginia Mason Seattle,United States</t>
  </si>
  <si>
    <t>Wam! week of addiction medicine: an intensive curriculum for internal medicine-primary care interns</t>
  </si>
  <si>
    <t>30 SUPPL. 2</t>
  </si>
  <si>
    <t>S299</t>
  </si>
  <si>
    <t>alcohol;opiate;addiction;curriculum;internal medicine;primary medical care;society;counseling;Cronbach alpha coefficient;death;disability;diseases;education;educational model;feedback system;harm reduction;health;health care cost;human;interview;Likert scale;motivational interviewing;neurobiology;patient;patient counseling;physician;policy;satisfaction;skill;substance abuse</t>
  </si>
  <si>
    <t>BACKGROUND: Medical residencies inadequately address substance use (SU) disorders despite their significant contribution to disability, death, and healthcare costs. Physicians avoid counseling and treating patients with SU disorders because of discomfort discussing SU with patients, poor baseline knowledge and clinical skills, and negative attitudes towards SU. We undertook to improve SU education in a primary care residency by designing and implementing an intensive weeklong addiction medicine curriculum for interns and assessed its impact on knowledge, skills, and attitudes. METHODS: The curriculum utilized a learner-centered, experiential education model. Sessions included lectures, guided discussions, patient interviews, journal club, and treatment site visits. Content included neurobiology of addiction, opiates, alcohol, motivational interviewing (MI), brief interventions, harm reduction, and policy. MI training included theory, skills based practice, and coaching sessions. Knowledge and attitudes were assessed by pre- and post-test: 18 questions tested clinical knowledge; eight assessed confidence and attitudes using a Likert scale from (1) strongly disagree to (5) strongly agree. For the four questions pertaining to confidence, a composite Î“Ã‡Â£confidence scoreÎ“Ã‡Â¥ was computed (Cronbach's alphas &gt;0.85 for both pre- and post-tests). The intern cohorts were similar and analyzed together. RESULTS: The curriculum was implemented in March 2013 (n=9) and March 2014 (n= 8). Fifteen pre-tests and 17 post-tests were completed. The clinical knowledge mean test score improved from 50 to 70 % (p&lt;0.0005). The mean confidence score increased from 2.7 to 4.2 (p&lt;0.0005). Post-test, 94 % of participants somewhat or strongly agreed that treating SU is rewarding, vs. 69 % baseline. Eighty-eightpercent somewhat or strongly believed they could make a difference in their addicted patients, compared to 57 % baseline. Participant feedback was strongly positive. CONCLUSIONS: Baseline knowledge and confidence were poor. Knowledge, confidence, and attitudes towards SU improved after WAM. Further assessment is needed to determine if the effects are durable and translate into improved provider satisfaction, patient counseling and treatment, and health outcomes.</t>
  </si>
  <si>
    <t>(Fox J.) (Hanley K.) (Chang A.A.) (Kurland S.; Taff J.) (Lipkin M.) (Bhatraju E.P.) (Van Metre Baum L.) 38th Annual Meeting of the Society of General Internal Medicine Toronto, ON, Canada 2015-04-22 to 2015-04-25 Springer New York LLC; ID: 2115</t>
  </si>
  <si>
    <t>Bielska,D.;Trofimiuk,E.;Kurpas,D.;Author,Addresses;Zakâ”¼Ã©ad,Medycyny Rodzinnej;Pielegniarstwa Srodowiskowego, Uniwersytet Medyczny,w Bia;Correspondence,Address;Bielska, Zakâ”¼Ã©ad Medycyny Rodzinnej i Pielegniarstwa Srodowiskowego,D.;Uniwersytet Medyczny w Biaâ”¼Ã©ymstoku Email, d bielska,wp pl</t>
  </si>
  <si>
    <t>19189550; The nicotinism question in the light of education on Medical and Nursing Faculties of the Medical University of Bialystok ORIGINAL (NON-ENGLISH) TITLE Problem nikotynizmu w swietle edukacji na Wydziale Lekarskim i Wydziale Pielegniarstwa Uniwersytetu Medycznego w Biaâ”¼Ã©ymstoku</t>
  </si>
  <si>
    <t>Przeglaâ• Âºd lekarski</t>
  </si>
  <si>
    <t>attitude to health;medical school;nursing education;smoking (epidemiology);student;tobacco dependence (epidemiology);adult;article;educational status;female;human;male;middle aged;Poland (epidemiology);prevalence;sex ratio;statistics</t>
  </si>
  <si>
    <t>Within the framework of "Schedule of health care, economic and social policy pursuing to reduction of tobacco consumption" involving numerous institutions including universities, educated persons will be responsible for the treatment and prophylaxis of tobacco smoking-evoked diseases. The aim of this study was assessment of the tobacco smoking prevalence among undergraduates of last-year course of Medical Faculty and Nursing Faculty of Medical University of Bialystok and evaluation of theirs attitude in the face of the nicotinism question after 5 years of occupation. The percentage of tobacco smokers on Medical Faculty average out 27.7% and 17.8% on Nursing Faculty. Students of both faculties opined that nicotinism in Poland was a heavyweight issue (8 points in decagrade scale). Our data shown that about one third of assessed students have not to do with a nicotinism theme and were not acquired sufficient knowledge to help tobacco smoking patients. Thus, continuation of nictonism issue education within the framework of seminaries and classes of family medicine course in both faculties will be purposeful action.</t>
  </si>
  <si>
    <t>(Bielska D.; Trofimiuk E.; Kurpas D.); ID: 2945</t>
  </si>
  <si>
    <t>http://www.ncbi.nlm.nih.gov/pubmed/19189550</t>
  </si>
  <si>
    <t>The nicotinism question in the light of education on Medical and Nursing Faculties of the Medical University of Bialystok ORIGINAL (NON-ENGLISH) TITLE Problem nikotynizmu w swietle edukacji na Wydziale Lekarskim i Wydziale Pielegniarstwa Uniwers(TRUNCATED)</t>
  </si>
  <si>
    <t>Biener,K.;Author,Addresses;Inst. Soz. Prav. Med, Univ Zurich;Correspondence,Address;Inst. Soz. Prav. Med, Univ Zurich</t>
  </si>
  <si>
    <t>Studies in preventive medicine of 10 years on drug problems of youth ORIGINAL (NON-ENGLISH) TITLE 10 JAHRE PRAVENTIVMEDIZINISCHE STUDIEN ZUM DROGENPROBLEM DER JUGEND</t>
  </si>
  <si>
    <t>(MAJOR FOCUS);alcohol;cannabis;lysergide;drug abuse;drug dependence;education;information;juvenile;sport;tobacco;forensic medicine;intoxication;prevention;alcohol (64-17-5);cannabis (8001-45-4, 8063-14-7);lysergide (50-37-3);Public Health, Social Medicine and Epidemiology (17);Psychiatry (32);Health Policy, Economics and Management (36);Drug Literature Index (37)</t>
  </si>
  <si>
    <t>The results of a number of surveys among adolescents between the age of 14 and 21 are presented. Specific attention received the following subjects: the connection between cigarette and drug consumption; and between sports activities and drug consumption; the motives for the use of drugs in general and for one time use and changes in consumption behavior, the attitude towards prohibition and the effectiveness of education. The author concludes that strong measures should be taken against the importation and trade of drugs. Persons using drugs, especially adolescents whose motive is mainly curiosity, should not be punished, but educated and treated. Parent education is also seen as important, as well as longterm education in schools, as part of the curriculum or as part of a general school health education program.</t>
  </si>
  <si>
    <t>(Biener K.); ID: 3881</t>
  </si>
  <si>
    <t>1977096669 PUI L7096633</t>
  </si>
  <si>
    <t>Biener,K.;Author,Addresses;Inst. Sozial- Prav. Med, Univ Zurich;Correspondence,Address;Inst. Sozial- Prav. Med, Univ Zurich</t>
  </si>
  <si>
    <t>6451846; Health education and preventive medicine ORIGINAL (NON-ENGLISH) TITLE GESUNDHEITSERZIEHUNG UND PRAVENTIVMEDIZIN</t>
  </si>
  <si>
    <t>health education;smoking;adolescent;prevention;Public Health, Social Medicine and Epidemiology (17)</t>
  </si>
  <si>
    <t>The effectiveness of brief, medium-duration and prolonged health education programs was studied. After a single intensive effort against smoking by women, 34% said they wanted to stop and 56% to smoke less, but after 3 months, 73% were found to have gone on smoking. Campaigns to keep adolescents from smoking, lasting one to four years, were distinctly more successful.</t>
  </si>
  <si>
    <t>(Biener K.); ID: 3834</t>
  </si>
  <si>
    <t>http://www.ncbi.nlm.nih.gov/pubmed/6451846</t>
  </si>
  <si>
    <t>Health education and preventive medicine ORIGINAL (NON-ENGLISH) TITLE GESUNDHEITSERZIEHUNG UND PRAVENTIVMEDIZIN</t>
  </si>
  <si>
    <t>Bilichenko,T.;Tubekova,M.;Yakhutlova,I.;Lipanovskiy,A.;Author,Addresses;Correspondence,Address;Bilichenko,T.</t>
  </si>
  <si>
    <t>The prevalence of tobacco smoking and respiratory symptoms among students of medical university</t>
  </si>
  <si>
    <t>38 SUPPL. 55.</t>
  </si>
  <si>
    <t>European;human;prevalence;smoking;society;student;university;adverse drug reaction;boy;coughing;female;girl;male;medical student;patient;prevention;questionnaire;smoking habit;sputum;thorax;wheezing;world health organization</t>
  </si>
  <si>
    <t>The aim of the research was to study the smoking habits and respiratory symptoms (RS) in young patients. Materials and methods: The study involved students of fourth year and fifth year at the age of 20 to 38 years old: 62 boys and 169 girls (response rate was 72,0%). To assess smoking the standard WHO questionnaire was used, and RS were studied on the basis of GA2LEN questionnaire. The analysis was conducted using Statistica 7 version. Results: 82,6% of males and 71,0% of females among the students have tried smoking once mostly aged 10-15 years. 38,7% of boys and 33,1% of girls regularly smoked for 12 months or more and during the month before the survey 32,3% and 26,0% of students respectively. Intensity of smoking among boys was 11,8â”¬â–’6,1 and among the girls 7,0â”¬â–’4,4 cigarettes per day. Wheezing in the chest during the last 12 months was marked by 22,6% of boys and 22,5% of girls. 14,5% of boys and 25,4% of girls woke up from coughing. Coughing up phlegm on most days for 3 months each year was indicated by 11,3% of boys and 13,6% of girls. Wheezing in the chest in smokers compared with never smokers were 2,2 times more frequently (31,7% and 17,4% respectively, OR = 2,20 95% CI 1,12-4,32; P &lt;0,01), cough was 3 times more frequent (35,4% and 15,4% respectively, OR = 3,0 95% CI 1,52-5,94; p &lt;0,001), sputum - 1,5 times more frequently (18,3% and 10,1% respectively). Conclusion: The results showed a high prevalence of smoking among both boys and girls. Despite the brief period of smoking and its adverse effect is manifested by increased frequency of RS. These findings point to the need to strengthen prevention of smoking among young people and medical students.</t>
  </si>
  <si>
    <t>(Bilichenko T.; Tubekova M.; Yakhutlova I.; Lipanovskiy A.) European Respiratory Society Annual Congress 2011 Amsterdam, Netherlands 2011-09-24 to 2011-09-28 European Respiratory Society; ID: 2653</t>
  </si>
  <si>
    <t>Bilsker,D.;Anderson,J.;Samra,J.;Goldner,E.;David,S.;Author,Addresses;Simon,Fraser University;University,of Victoria;Department of Psychiatry, University of,Toronto O.;Correspondence,Address;C.,D.Bilsker, Simon Fraser University Vancouver B.</t>
  </si>
  <si>
    <t>Behavioural interventions in primary care: An implementation trial</t>
  </si>
  <si>
    <t>Canadian Journal of Community Mental Health</t>
  </si>
  <si>
    <t>Fall</t>
  </si>
  <si>
    <t>behavior therapy;primary medical care;alcohol consumption;article;depression (therapy);female;general practitioner;human;male;medical practice;mental health service;practice guideline;self care;substance abuse;Public Health, Social Medicine and Epidemiology (17);Psychiatry (32);Drug Dependence, Alcohol Abuse and Alcoholism (40)</t>
  </si>
  <si>
    <t>Developing effective strategies to keep health care providers' practice current with best practice guidelines has proven to be challenging. This trial was conducted to determine the potential for using brief educational sessions to generate significant change in physician delivery of mental health and substance use interventions in primary care. A 1-hour educational session outlining interventions for depression and risky alcohol use was delivered to a sample of 85 family physicians. The interventions used a supported self-management approach and included free patient access to appropriate self- management resources. The study initially evaluated physicians' implementation of these interventions over a 2-month period. Physician uptake of the depression intervention was significantly greater than uptake of the risky-drinking intervention (32% versus 10%). A follow-up at 6-months posttraining (depression intervention only) demonstrated fairly good maintenance of intervention delivery. Implications of these findings are discussed.</t>
  </si>
  <si>
    <t>(Bilsker D.; Samra J.; Goldner E.) (Anderson J.) (David S.) Wilfrid Laurier University Press, 75 University Avenue West, Waterloo, Ontario, Canada.; ID: 2964</t>
  </si>
  <si>
    <t>0713-3936</t>
  </si>
  <si>
    <t>2009132104 PUI L354328393</t>
  </si>
  <si>
    <t>Binswanger,I. A.;Koester,S.;Mueller,S.;Gardner,E. M.;Goddard,K.;Glanz,J. M.;Author,Addresses;University of Colorado, School,of Medicine;Denver,United States;Denver Health,Medical Center;States;University of,Colorado Denver;States;Kaiser Permanente Colorado, Denver,United States;Correspondence,Address;IA Binswanger, University of Colorado School of Medicine,Denver United;States</t>
  </si>
  <si>
    <t>Overdose education and naloxone prescribing for patients on chronic opioids: A qualitative study of health care providers</t>
  </si>
  <si>
    <t>29 SUPPL. 1</t>
  </si>
  <si>
    <t>S162</t>
  </si>
  <si>
    <t>S163</t>
  </si>
  <si>
    <t>(MAJOR FOCUS);naloxone;antidote;diamorphine;opiate;education;health care personnel;human;internal medicine;intoxication;patient;qualitative research;society;administrative personnel;African American;Asian;clinical practice;constant comparative method;drug therapy;female;food and drug administration;Health Belief Model;health care;Hispanic;hospital;Human immunodeficiency virus;impulsiveness;information processing;law;mental health;nurse;nurse practitioner;pain;pharmacist;physician;policy;prescription;prevention;primary medical care;respiration depression;risk;safety;software;Theory of Planned Behavior;United States;university</t>
  </si>
  <si>
    <t>BACKGROUND: Fatal unintentional poisonings from pharmaceutical opioids have increased nearly four-fold in the last decade. Naloxone is an effective, Food and Drug Administration approved opioid antidote usually administered by first responders to reverse respiratory depression due to opioid poisoning. Increasingly, communitybased programs have provided naloxone to heroin users for potential overdose reversal. Patients on chronic pharmaceutical opioids for pain could also benefit from overdose education and naloxone prescription, but there are significant barriers to these practices in routine clinical care. This qualitative study was designed to assess the knowledge, attitudes and beliefs about overdose prevention and naloxone prescription among primary care and HIV clinicians, pharmacists and clinic administrators. METHODS: We conducted focus groups in two primary care internal medicine and two infectious disease/HIV clinics from a university and a safety net health system in Colorado, a state which passed legislation to permit naloxone prescriptions in 2013. A focus group guide was developed using domains from the Theory of Planned Behavior and the Health Belief Model. Each focus group was led by two experienced qualitative interviewers. Focus groups were recorded and transcribed, coded using ATLAS.tiâ”¬Â« qualitative software, and analyzed using a team-based constant comparative method of inductive analysis. RESULTS: We enrolled 10 (40 %) physicians, 6 (24 %) nurses, 4 (16 %) pharmacists, 3 (12 %) nurse practitioners, 1 (4 %) administrator, and 1 (4 %) counselor into focus groups. Fourteen (56 %) participants were female and participants had a mean age of 42 years (range 26-58 years). Eighteen (72 %) were white, 3 (12 %) were Hispanic or Latino, 2 (8 %) were African American, and 2 (8 %) were Asian. Participants described opioid overdoses among their patients and several formal and informal opioid prescribing policies and guidelines, but little prior knowledge and uptake of overdose education and naloxone prescribing in clinical practice. We identified the following themes from the transcripts (see Table for illustrative quotations): 1) A wide spectrum of patients could be targeted for naloxone prescription, including patients with concomitant mental health problems, impulsivity, and poorly controlled pain; 2) Barriers and challenges to implementation of a naloxone prescription fell into two major categories: attitudinal and practical. Providers were concerned about giving mixed messages about opioid safety (attitudinal) and adding training to administer naloxone to an already busy clinic schedule (practical). 3) The benefits of naloxone prescribing were perceived as significant. They included direct benefits such as preventing accidental overdose, as well as indirect benefits, such as alerting patients and their significant others to the overdose potential of opioids and enhancing medication safety. CONCLUSIONS: Health care providers had limited awareness about naloxone for take-home use but were receptive to prescribing it to a broad range of patients on opioids for pain. Providers also identified a number of potential safety benefits to naloxone prescribing. However, efficiency concerns and ambivalence about prescrib-ing opioids to patients who could overdose limited enthusiasm for naloxone. To address opioid overdose risk in clinical practice, future efforts should enhance provider knowledge on overdose education and naloxone prescription, reduce implementation barriers, and improve opioid safety messaging for patients on chronic opioids. (Table presented).</t>
  </si>
  <si>
    <t>(Binswanger I.A.; Mueller S.) (Binswanger I.A.; Gardner E.M.) (Koester S.; Mueller S.) (Goddard K.; Glanz J.M.) 37th Annual Meeting of the Society of General Internal Medicine, SGIM 2014 San Diego, CA, United States 2014-04-23 to 2014-04-26 Springer New York; ID: 2244</t>
  </si>
  <si>
    <t>Birrane,J.;Swan,D.;Aherne,D.;Davis,R.;Hannigan,A.;McPhillips,D.;Meagher,D.;OÎ“Ã‡Ã–Regan,A.;Ryan,P.;Schaffalitzky,E.;Cullen,W.;Author,Addresses;Graduate Entry Medical School, University,of Limerick;Limerick,Ireland;Child;Adolescent Mental,Health Service;Community Substance,Misuse Team;Department of Psychology, University of,Limerick Limerick;Ireland;Medicine,U. C. D. S.;Medical;Science,Belfield Ireland;Correspondence,Address;School of Medicine,W. Cullen, U.C.D.;Medical Science,Belfield Dublin;Ireland Email, Walter Cullen,ucd ie</t>
  </si>
  <si>
    <t>Development and evaluation of an educational intervention in youth mental health for primary care practitioners</t>
  </si>
  <si>
    <t>Irish Journal of Psychological Medicine</t>
  </si>
  <si>
    <t>general practitioner;juvenile;medical education;mental health;consultation;early intervention;human;human experiment;learning;role playing;substance abuse;substance use;videorecording</t>
  </si>
  <si>
    <t>Objectives. Irish adolescents have one of the highest rates of suicide and self-harm in the European Union. Although primary care has been identified as an opportune environment in which to detect and treat mental health problems in adolescents, lack of training among primary care professionals (PCPs) is a barrier to optimum identification and treatment. We describe the development and evaluation of an educational intervention on youth mental health and substance misuse for PCPs. Methods. Thirty general practitioners and other PCPs working in the Mid-West region participated in an educational session on youth-friendly consultations, and identification and treatment of mental ill-health and substance use. Learning objectives were addressed through a presentation, video demonstration, small group discussions, role play, questionand-answer sessions with clinical experts, and an information pack. Following the session, participants completed an evaluation form assessing knowledge gain and usefulness of different components of the session. Results. A total of 71% of participants were involved in the provision of care to young people and 55% had no previous training in youth mental health or substance abuse. Participants rated knowledge gains as highest with regard to understanding the importance of early intervention, and primary care, in youth mental health. The components rated as most useful were case studies/small group discussion, the Î“Ã‡Ã¿question-and-answer sessionÎ“Ã‡Ã– with clinical experts, and peer interaction. Conclusions. The educational session outlined in this pilot was feasible and acceptable and may represent an effective way to train professionals to help tackle the current crisis in youth mental health.</t>
  </si>
  <si>
    <t>(Birrane J.; Swan D.; Aherne D.; Hannigan A.; Meagher D.; OÎ“Ã‡Ã–Regan A.; Schaffalitzky E.) (Davis R.) (McPhillips D.) (Ryan P.) (Cullen W., Walter.Cullen@ucd.ie) Cambridge University Press, sfarrell@irishpsychiatry.ie; ID: 2182</t>
  </si>
  <si>
    <t>2051-6967 (electronic) 0790-9667</t>
  </si>
  <si>
    <t>20160811872 PUI L612995131</t>
  </si>
  <si>
    <t>10.1017/ipm.2014.71 FULL TEXT LINK http://dx.doi.org/10.1017/ipm.2014.71</t>
  </si>
  <si>
    <t>Blaich,C.;Author,Addresses;Burscheid,Germany;Correspondence,Address;Blaich,Germany,C.</t>
  </si>
  <si>
    <t>Education in healthcare. Alcohol abuse: General practitioners are challenged! ORIGINAL (NON-ENGLISH) TITLE Alkoholmissbrauch: Die Hausâ”œÃ±rzte sind gefordert!</t>
  </si>
  <si>
    <t>Gesundheitsokonomie und Qualitatsmanagement</t>
  </si>
  <si>
    <t>alcohol abuse;health care;medical education;general practitioner;human;note;Public Health, Social Medicine and Epidemiology (17)</t>
  </si>
  <si>
    <t>(Blaich C.) Georg Thieme Verlag, kunden.service@thieme.de; ID: 2023</t>
  </si>
  <si>
    <t>1439-4049 (electronic) 1432-2625</t>
  </si>
  <si>
    <t>20170472321 PUI L616996371</t>
  </si>
  <si>
    <t>English, German</t>
  </si>
  <si>
    <t>10.1055/s-0042-115907 FULL TEXT LINK http://dx.doi.org/10.1055/s-0042-115907</t>
  </si>
  <si>
    <t>Blake,S.;Ruel,B.;Seamark,C.;Seamark,D.;Author,Addresses;The;Honiton Group Practice, The Surgery Marlpits Lane,Honiton E.;Kingdom;Correspondence,Address;Seamark, The Honiton Group Practice The Surgery Marlpits Lane Honiton,D.;Ex14 2Ny, United Kingdom Email cjseamark doctors,org uk</t>
  </si>
  <si>
    <t>17263926; Experiences of patients requiring strong opioid drugs for chronic non-cancer pain: A patient-initiated study</t>
  </si>
  <si>
    <t>(MAJOR FOCUS);narcotic analgesic agent (adverse drug reaction, drug therapy);anticonvulsive agent (drug combination, drug therapy);antiemetic agent (drug combination, drug therapy);buprenorphine (drug combination, drug therapy, sublingual drug;administration);durogesic dtrans;fentanyl (drug combination, drug therapy, transdermal drug administration);laxative (drug therapy);morphine (adverse drug reaction, drug combination, drug therapy);morphine sulfate (drug therapy);morphine sulfate;nonsteroid antiinflammatory agent (drug combination, drug therapy);serotonin uptake inhibitor (drug combination, drug therapy);tricyclic antidepressant agent (drug combination, drug therapy);unclassified drug;chronic pain (drug therapy);patient attitude;adjuvant therapy;adult;aged;article;backache (drug therapy);clinical article;cold sensation;complex regional pain syndrome (drug therapy);constipation (drug therapy, side effect);controlled study;coping behavior;disease severity;distress syndrome;female;general practitioner;heat sensation;hot flush (side effect);human;information processing;interview;long term care;male;mental disease (side effect);multiple sclerosis (drug therapy);nausea (side effect);opiate addiction;personal experience;primary medical care;qualitative research;sedation;side effect (side effect);sweating;United Kingdom;vertebral canal stenosis (drug therapy);DRUG TRADE NAMES;durogesic dtrans Janssen Cilag;mst continus Napp;sevredol Napp;temgesic Schering Plough;zomorph Link;DRUG MANUFACTURERS;Janssen Cilag;Link;Napp;Schering Plough;buprenorphine (52485-79-7, 53152-21-9);fentanyl (437-38-7);morphine (52-26-6, 57-27-2);morphine sulfate (23095-84-3, 35764-55-7, 64-31-3);Neurology and Neurosurgery (8);Public Health, Social Medicine and Epidemiology (17);Drug Literature Index (37);Adverse Reactions Titles (38)</t>
  </si>
  <si>
    <t>Background: Chronic non-cancer pain is an increasing problem in health care. This study was initiated by a patient wanting to discover more about the experiences of other patients requiring strong opioid analgesia for such pain. Aim: To determine the attitudes and experiences of patients receiving long-term strong opioid medication for chronic non-cancer pain in primary care. Design of study: Qualitative study using interpretative phenomenological analysis. Setting: A semi-rural general practice in southwest England. Method: The study data came from a focus group and 10 individual patient interviews. A patient researcher was involved in the design, conduct, and analysis of the project. Results: The impact of pain affected participants in every aspect of their daily lives. Attitudes to strong opioid medication were both positive and negative. Concerns about starting medication usually centred on fears of addiction, being seen as an addict, or that the patients may have a more serious condition than they had previously thought. However, these fears were tempered by an appreciation of the benefits that strong opioids brought in terms of pain relief and consequent gains in a nearer-to-normal existence. The data did not produce any evidence of addictive behaviour or of tolerance despite these initial fears. Patients adopted a trade off approach, balancing pain relief with medication side effects, accepting more pain for a reduction in sedation and nausea. All patients described coping strategies they developed themselves and learned from outside influences, such as pain clinic courses and support from the GP. There was realism that total pain relief was not possible, but that a balance could be struck. Conclusion: Chronic non-cancer pain is accociated with high levels of distress and psychosocial impairment. Patients in this study appreciated the benefits of strong opioid medication, having come to terms with fears of addiction and learned coping strategies. These findings should encourage GPs to consider strong opioid medication for patients with severe chronic pain in line with published evidence-based guidelines. â”¬âŒ British Journal of General Practice 2007.</t>
  </si>
  <si>
    <t>(Blake S.; Ruel B.; Seamark C.; Seamark D., cjseamark@doctors.org.uk) Royal College of General Practitioners, 14 Princes Gate, London, United Kingdom.; ID: 3057</t>
  </si>
  <si>
    <t>http://www.ncbi.nlm.nih.gov/pubmed/17263926</t>
  </si>
  <si>
    <t>Experiences of patients requiring strong opioid drugs for chronic non-cancer pain: A patient-initiated study</t>
  </si>
  <si>
    <t>Blank,K.;Hash,M.;Feder,J.;Author,Addresses;Institute of Living, Hartford,United States;Health,U. S. D.;Human Services,Washington United;States;Georgetown University,Washington,United States;Correspondence,Address;Blank, Institute of Living Hartford United States,K.</t>
  </si>
  <si>
    <t>Federal health policy: Mental health priorities in a challenging congressional landscape</t>
  </si>
  <si>
    <t>S22</t>
  </si>
  <si>
    <t>health care planning;health care policy;landscape;mental health;accountable care organization;aging;bitter taste;budget;community;economic aspect;education program;election;environment;examination;fee;funding;gerontopsychiatry;government;health;health care;health care management;health care personnel;health program;human;law;medical education;medical fee;medicare;mental health service;occupation;patient;physician;policy;protection;psychiatrist;reimbursement;sand;substance abuse;unemployment;voice;workshop</t>
  </si>
  <si>
    <t>This public policy workshop will provide an overview of the current legislative and regulatory environment that impacts the development and enactment of health and mental health policy at the Federal level. For the first two years of the Obama Administration, Democrats held large majorities in both the House of Representatives and the Senate, but an almost toxic partisanship made legislative progress extremely difficult. The 2010 elections brought about a shift in control of the House of Representatives to the Republicans, with a strong contingent of members who are opposed to compromise and determined to bring about radical change in domestic policy. Perhaps the most challenging policy question for Congress and the Administration has been reaching agreement on how to reduce looming long-term budget deficits. At the same time, the nation's continuing struggle to move past the devastating recession following the Wall Street collapse in 2008 means that measures to strengthen the economy and particularly to address unemployment will continue to demand lawmakers' attention. The budget resolution passed in the House of Representatives in the spring of 2011, which was crafted by Representative Paul Ryan (R-WI), chair of the Budget Committee, has drawn stark policy lines in the sand. His proposal to make radical changes in Medicare has drawn a strong reaction, from both policy and political standpoints. The health care community is also focused on implementation of health care reform legislation, the Patient Protection and Accountable Care Act (ACA), which was enacted in March 2009, and the regulations that will govern it. Most recently, regulations to govern Accountable Care Organizations (ACOs) have been of great concern to health care providers and practitioners. In addition, a number of issues that were set aside in the health care reform debate are still unresolved. Foremost among them is the acknowledged but as yet unresolved conundrum on how to avoid deep annual cuts in the Medicare physician fee schedule, solution for which will cost hundreds of billions of dollars. Current budget strains have meant substantial cut-backs in funding for existing programs already with the strong possibility of more to come. Several major health programs are now operating under expired authorization statutes, including the Substance Abuse and Mental Health Administration (SAMHSA), health professions education programs, and the Older Americans Act, which governs programs in the Administration on Aging. This public policy session will enable participants to have an understanding of the legislative and regulatory issues that may be considered at the Federal level in 2012 and the attendant tensions throughout the Federal government as a result of bitter partisan and policy divisions. The first part of the session will consist of an examination of the impact of enactment of ACA on all aspects of health policy, with particular attention given to its impact on mental health and aging policy. The next presentation will address health policy issues that will be on Congress's agenda and expectations for legislative success. The issues include Medicare reimbursement for physicians' services; geriatric medical education; legislation setting new policy for both aging and mental health services; and funding for mental health services and research programs. Finally, the session will identify strategies for AAGP and individual geriatric psychiatrists to utilize to ensure that the voice of geriatric psychiatry is heard as these and other health care issues are considered by Congress, the Federal regulatory agencies, and the White House.</t>
  </si>
  <si>
    <t>(Blank K.) (Hash M.) (Feder J.) AAGP Annual Meeting 2012 Washington, DC, United States 2012-03-16 to 2012-03-19 Lippincott Williams and Wilkins; ID: 2579</t>
  </si>
  <si>
    <t>10.1097/01.JGP.0000413062.84325.48 FULL TEXT LINK http://dx.doi.org/10.1097/01.JGP.0000413062.84325.48</t>
  </si>
  <si>
    <t>Blank,K.;Hash,M.;Walter,A.;Author,Addresses;Institute of Living, Hartford,United States;White House Office of Health Reform, Washington,United States;National Journal, Inc Washington,United States;Correspondence,Address;Blank, Institute of Living Hartford United States,K.</t>
  </si>
  <si>
    <t>Policy and politics: Shaping mental health priorities in the 112th congress</t>
  </si>
  <si>
    <t>S30</t>
  </si>
  <si>
    <t>gerontopsychiatry;health care planning;mental health;policy;politics;aging;bitter taste;budget;community;economic aspect;education program;election;environment;fee;funding;health;health care;health care management;health care policy;health program;law;medical education;medical fee;medicare;mental health service;occupation;physician;psychiatrist;reimbursement;substance abuse;voice;work;workshop</t>
  </si>
  <si>
    <t>This public policy workshop will provide an overview of the current legislative, regulatory and political environment that impacts the development and enactment of health and mental health policy at the Federal level. For the first two years of the Obama Administration, Democrats held large majorities in both the House of Representatives and the Senate, but an almost toxic partisanship made legislative progress extremely difficult. The 2010 elections are not likely to improve that situation but will point up some of the issues that both sides will want to address or emphasize in 2011, both to attain policy goals and to lay the groundwork for the Presidential race in 2012. Perhaps the most challenging policy question for Congress and the Administration will be reaching agreement on how to reduce looming long-term budget deficits. However, under that overarching concern, the 111th Congress is dealing with a domestic agenda dominated by consideration of measures to stimulate the economy, preserve jobs, invest in infrastructure, and protect those who are unemployed. Having enacted major health care reform legislation, much of the attention of the health care community is focused on implementation and the regulations that will govern it. The members and staff of the Congressional committees with health care jurisdiction were exhausted by the protracted negotiations and debate for the health care legislation and may be unwilling to undertake new measures that, in the current environment, could be expected to bring another round of bitter, partisan debate with little chance for success. Nevertheless, there will be pressure from health care advocates for action on a number of issues that were set aside during the debate on health care reform. Foremost among them is the acknowledged but as yet unresolved conundrum on how to avoid deep annual cuts in the Medicare physician fee schedule. Several major health programs are now operating under expired authorization statutes, including the Substance Abuse and Mental Health Administration (SAMHSA), health professions education programs, and the Older Americans Act, which governs programs in the Administration on Aging. Also, the current budget strains have meant substantial cut-backs in funding for existing programs. This public policy session will explore the merging of political action with policy development through analysis of mental health and health care issues and the current political environment. It will enable participants to have an understanding of the legislative and regulatory issues that may be considered at the Federal level in 2011, as well as an understanding of the results of the 2010 Congressional elections and their impact on those issues. Presidential politics for 2012 will also begin to have a bearing. The first part of the session will consist of the political environment that shaped the 2010 Congressional elections and the Speakers will then discuss the political environment for the mid-term Congressional elections and the policy implications as the 112th Congress convenes. The next presentation will address health policy issues that will be on Congress's agenda and expectations for legislative success. The issues include Medicare reimbursement for physicians' services; geriatric medical education; legislation setting new policy for both aging and mental health services; and funding for mental health services and research programs. Finally, the session will identify strategies for AAGP and individual geriatric psychiatrists to utilize to ensure that the voice of geriatric psychiatry is heard as these and other health care issues are considered by Congress, the Federal regulatory agencies, and the White House.</t>
  </si>
  <si>
    <t>(Blank K.) (Hash M.) (Walter A.) American Association for Geriatric Psychiatry, AAGP Annual Meeting 2011 San Antonio, TX, United States 2011-03-18 to 2011-03-21 Lippincott Williams and Wilkins; ID: 2715</t>
  </si>
  <si>
    <t>10.1097/01.JGP.0000395252.20665.7c FULL TEXT LINK http://dx.doi.org/10.1097/01.JGP.0000395252.20665.7c</t>
  </si>
  <si>
    <t>Block,M. A.;Duttweiler,D. C.;Milich,O.;Potter,M. G.;Monnier,D. C.;Author,Addresses;Univ,of;Buffalo,Cleveland Hill High School Amer Med Ass;Western New,York;Committee for Education,on Alcoholism;Correspondence,Address;MA Block, Univ of Buffalo Cleveland Hill High School Amer,Med Ass;and Western New York Committee for Education,on Alcoholism</t>
  </si>
  <si>
    <t>Problems of alcoholism as related to health education in the secondary schools. A panel discussion</t>
  </si>
  <si>
    <t>alcohol;corticotropin;alcoholism;health education;high school;abuse;adolescent;drinking;drinking behavior;education;physician;corticotropin (11136-52-0, 9002-60-2, 9061-27-2)</t>
  </si>
  <si>
    <t>Alcoholism and social drinking are discussed by 2 physicians and 3 educational experts. Speakers and audience agree, that it would be desirable to make teenagers familiar with the dangers of drinking alcohol. The educational experts report their observations with youngsters in classes where 'education on the use and abuse of alcohol had already been established.</t>
  </si>
  <si>
    <t>(Block M.A.; Duttweiler D.C.; Milich O.; Potter M.G.; Monnier D.C.); ID: 3983</t>
  </si>
  <si>
    <t>2008854147 PUI L281540737</t>
  </si>
  <si>
    <t>Boâ”œÂ½thius,G.;Gilljam,H.;Author,Addresses;Correspondence,Address;Boâ”œÂ½thius, Email boethius tobaksfakta se,G.</t>
  </si>
  <si>
    <t>23427720; The "Tobacco endgame" strategy, an ethical challenge for the medical profession]. ORIGINAL (NON-ENGLISH) TITLE "Tobacco endgame"--strategin--etisk utmaning fâ”œâ•¢r lâ”œÃ±karkâ”œÃ‘ren</t>
  </si>
  <si>
    <t>Lâ”œÃ±kartidningen</t>
  </si>
  <si>
    <t>health promotion;smoking (prevention);article;ethics;health care policy;human;methodology;organization and management;physician;smoking cessation;Sweden;tobacco industry</t>
  </si>
  <si>
    <t>(Boâ”œÂ½thius G.; Gilljam H.); ID: 2431</t>
  </si>
  <si>
    <t>http://www.ncbi.nlm.nih.gov/pubmed/23427720</t>
  </si>
  <si>
    <t>[The "Tobacco endgame" strategy, an ethical challenge for the medical profession]. ORIGINAL (NON-ENGLISH) TITLE "Tobacco endgame"--strategin--etisk utmaning fâ”œâ•¢r lâ”œÃ±karkâ”œÃ‘ren</t>
  </si>
  <si>
    <t>Boccoli,E.;Federici,A.;Melani,A. S.;De Paola,E.;Author,Addresses;Department of Pneumology, L Armanni,Hospital Arco;Italy;Respiratory Physiopathology, Department of,Pneumology Careggi;Hospital,Firenze Italy;Portinar Teaching School of Nursing, Firenze,B.;Italy;Scuola Infermieri Professionali, Azienda,Ospedaliera di;Careggi,Viale Pieraccini Firenze Italy;Correspondence,Address;Boccoli, Scuola Infermieri Professionali Azienda Ospedaliera di Careggi,E.;Viale Pieraccini,Firenze Italy</t>
  </si>
  <si>
    <t>8817169; Results of a questionnaire about nurse students' smoking habits and knowledges in an Italian teaching school of nursing</t>
  </si>
  <si>
    <t>European journal of epidemiology</t>
  </si>
  <si>
    <t>Eur.J.Epidemiol.</t>
  </si>
  <si>
    <t>attitude;Italy;medical personnel;smoking;adult;article;controlled study;female;human;male;normal human;questionnaire;smoking cessation;Public Health, Social Medicine and Epidemiology (17);Occupational Health and Industrial Medicine (35)</t>
  </si>
  <si>
    <t>Six-hundred and sixty-two nurse students (aged 25.2 â”¬â–’ 4.11. years; 153 were males) answered a self-administered, anonymous questionnaire about smoking habits and knowledges in a large urban Teaching School of Nursing. The overall response rate was 88%. Current smokers were 336 (51%), former smokers 80 (12%). Nurse students claimed to know the dangers of tobacco and nurse training seemed to modify the preferential source of information about tobacco smoking towards medical fonts; however, only a quarter of nurse students considered medical smoking cessation approaches as useful-for quitting and advised patients with tobacco related diseases against smoking.</t>
  </si>
  <si>
    <t>(Melani A.S.) (TN) (De Paola E.) (Boccoli E.; Federici A.) (Boccoli E.) Kluwer Academic Publishers, Van Godewijckstraat 30, Dordrecht, Netherlands.; ID: 3510</t>
  </si>
  <si>
    <t>0393-2990</t>
  </si>
  <si>
    <t>http://www.ncbi.nlm.nih.gov/pubmed/8817169</t>
  </si>
  <si>
    <t>10.1007/BF00144419 FULL TEXT LINK http://dx.doi.org/10.1007/BF00144419</t>
  </si>
  <si>
    <t>Results of a questionnaire about nurse students' smoking habits and knowledges in an Italian teaching school of nursing</t>
  </si>
  <si>
    <t>Bohnert,K.;Ilgen,M. A.;Author,Addresses;Psychiatry,University of Michigan Ann Arbor;United,States;Va Ann Arbor, Ann Arbor,United States;Correspondence,Address;Bohnert, Psychiatry University of Michigan Ann Arbor United States,K.</t>
  </si>
  <si>
    <t>Associations between age and cannabis use problems among medical cannabis patients</t>
  </si>
  <si>
    <t>e22</t>
  </si>
  <si>
    <t>e23</t>
  </si>
  <si>
    <t>(MAJOR FOCUS);medical cannabis;alcohol;cannabis;cannabis use;college;drug dependence;human;patient;adult;confidence interval;convenience sample;health;hospital;law;logistic regression analysis;model;pilot study;prevalence;risk;screening test;smoking;United States;world health organization;young adult</t>
  </si>
  <si>
    <t>Aims: 23 States and the District of Columbia have passed legislation allowing for the use of cannabis for those with qualifying medical conditions. Despite the increasing number of States legalizing medical cannabis in recent years, understanding of medical cannabis patients is limited, including the extent to which patients experience problems related to cannabis use. Moreover, young people may be particularly vulnerable for such problems. In this pilot study, we estimate the prevalence of problems related to cannabis use among medical cannabis patients, as well as examine potential age differences associated with the report of specific problems. Methods: This study includes adults 18 years and older from a convenience sample of patients from one medical cannabis clinic in Michigan. Of the 370 individuals who were approached in the waiting area of the clinic, 348 (94.1%) consented to participate. This analysis includes the 288 (82.8%) participants who reported cannabis use in the past 3 months. Problems related to past 3-month cannabis use were assessed via a modified version of the World Health Organization's Alcohol, Smoking and Substance Involvement Screening Test (ASSIST). Bivariate logistic regression models were used to evaluate associations between age and specific problems related to cannabis use in the past 3 months. Results: Prevalence estimates of problems related to cannabis use in the past 3 months ranged from 9.3% for failing to control, cut down or stop using cannabis to 80.2% for having a strong desire to use cannabis. Significant age associations were detected for the problems of cannabis use leading to health, social, financial, or legal problems (Odds Ratio (OR) = 0.96, 95% Confidence Interval (CI) = 0.92, 0.99) and failure to do what was normally expected because of cannabis use (OR = 0.96, 95% CI = 0.93, 0.99), such that increasing age was associated with lower odds of each of the two problems. Conclusions: Young adult medical cannabis patients may be more likely to experience cannabis-related problems than older patients.</t>
  </si>
  <si>
    <t>(Bohnert K.; Ilgen M.A.) 2015 Annual Meeting of the College on Problems of Drug Dependence, CPDD 2015 Phoenix, AZ, United States 2015-06-13 to 2015-06-18 Elsevier Ireland Ltd; ID: 2046</t>
  </si>
  <si>
    <t>10.1016/j.drugalcdep.2015.07.979 FULL TEXT LINK http://dx.doi.org/10.1016/j.drugalcdep.2015.07.979</t>
  </si>
  <si>
    <t>Bonaguro,J. A.;Nalette,E.;Seibert,M. L.;Author,Addresses;School,of Health;Human Performance,Ithaca;College,Ithaca N. Y. U. S. A.;Correspondence,Address;JA Bonaguro, School of,Health Sciences;Human Performance,Ithaca;College,Ithaca N. Y. U. S. A.</t>
  </si>
  <si>
    <t>23580994; The role of allied health professionals in substance abuse education</t>
  </si>
  <si>
    <t>addiction (complication, diagnosis, prevention);alcoholism (complication, diagnosis, prevention);paramedical personnel;patient education;cooperation;human;interdisciplinary communication;methodology;patient referral;philosophy;psychological aspect;review;risk factor;United States</t>
  </si>
  <si>
    <t>(Bonaguro J.A.) (Nalette E.; Seibert M.L.); ID: 3307</t>
  </si>
  <si>
    <t>http://www.ncbi.nlm.nih.gov/pubmed/23580994</t>
  </si>
  <si>
    <t>The role of allied health professionals in substance abuse education</t>
  </si>
  <si>
    <t>Bonilha,A. G.;Souza,Tosta De;Sicchieri,M. P.;Achcar,J. A.;Crippa,J. A. S.;Baddini-Martinez,J.;Author,Addresses;InternalMedicine Department, Medical School,of Ribeir;Preto,University of Sâ”œÃºo Paulo Avenida Bandeirantes C.E.P.;Ribeirâ”œÃºo Preto,Sâ”œÃºo,Paulo Brazil;Department of,Neuroscience;Behavior;United,States;Medical School of Ribeirâ”œÃºo Preto, University,of S.;Ribeirâ”œÃºo Preto,Sâ”œÃºo,Paulo Brazil;Correspondence,Address;Baddini-Martinez, InternalMedicine Department Medical School of Ribeirâ”œÃºo,J.;Preto,University of Sâ”œÃºo Paulo Avenida Bandeirantes C.E.P.;Ribeirâ”œÃºo Preto, Sâ”œÃºo Paulo Brazil Email baddini fmrp,usp br</t>
  </si>
  <si>
    <t>24145162; A motivational profile for smoking among adolescents</t>
  </si>
  <si>
    <t>November-December</t>
  </si>
  <si>
    <t>adolescent smoking;motivation;academic achievement;adolescent;adult;age;alcohol abuse;article;automatism;body weight control;female;high school student;human;male;mental stress;parental deprivation;pleasure;priority journal;smoking habit;social aspect;tobacco dependence;Public Health, Social Medicine and Epidemiology (17)</t>
  </si>
  <si>
    <t>Objectives: To characterize a motivational profile of reasons for smoking among teenagers. To investigate the influence of clinical and social elements on observed scores. Methods: High school students who smoked in the past month (n = 226; age, 16.4 â”¬â–’ 10 years; 46.5% male) answered a questionnaire during school time. The instrument included the University of Sâ”œÃºo Paulo Reasons for Smoking Scale (USP-RSS), the Fagerstrâ”œâ•¢m Test for Nicotine Dependence, and clinical and social information. The USP-RSS scores from 307 healthy adult smokers (67.5% male; age, 37.9 â”¬â–’ 11.2 years) were also used for comparisons. Results: Most of the adolescents (90.2%) exhibited low or very low levels of nicotine addiction (median Fagerstrâ”œâ•¢m Test for Nicotine Dependence score 0, range 0 to 8). The mean scores of the USPRSS subscales were as follows: Addiction, 1.9 â”¬â–’ 1.1; Pleasure From Smoking, 3.0 â”¬â–’ 1.3; Tension Reduction, 2.4 â”¬â–’ 1.3; Stimulation, 1.9 â”¬â–’ 0.9; Automatism, 1.3 â”¬â–’ 0.6; Handling, 2.3 â”¬â–’ 1.1; Social Smoking, 1.9 â”¬â–’ 1.0;Weight Control, 1.4 â”¬â–’ 1.0; and Affiliative Attachment, 1.6 â”¬â–’0.9. In comparisonwith adults, teenagers exhibited lower scores for Addiction, Pleasure From Smoking, Tension Reduction, Automatism, Weight Control, and Affiliative Attachment and higher scores for Social Smoking (P &lt; 0.05). Older age, past school failure, illicit drugs use, alcohol abuse, high levels of perceived stress, and the death of at least one parent were associated with high scores for all subscales. Conclusions: The USP-RSS subscales Addiction, Pleasure From Smoking, and Social Smoking were important factors for adolescent smoking. Comparisons with adult smokers stressed the importance of the component of Social Smoking. The identification of distinctive factors that drive teenagers to smoke might help in making decisions dealing with interventions aimed at smoking cessation and control. â”¬âŒ 2013 American Society of Addiction Medicine.</t>
  </si>
  <si>
    <t>(Bonilha A.G.; Tosta De Souza E.S.; Baddini-Martinez J., baddini@fmrp.usp.br) (Sicchieri M.P.; Achcar J.A.) (Crippa J.A.S.) Lippincott Williams and Wilkins, 250 Waterloo Road, London, United Kingdom.; ID: 2343</t>
  </si>
  <si>
    <t>http://www.ncbi.nlm.nih.gov/pubmed/24145162</t>
  </si>
  <si>
    <t>10.1097/01.ADM.0000434987.76599.c0 FULL TEXT LINK http://dx.doi.org/10.1097/01.ADM.0000434987.76599.c0</t>
  </si>
  <si>
    <t>A motivational profile for smoking among adolescents</t>
  </si>
  <si>
    <t>Book,S. W.;Back,S. E.;Santos,A. B.;Uhde,T. W.;Brady,K. T.;Author,Addresses;Department,of;Psychiatry;Behavioral Sciences, Medical University of,South Carolina;Charleston,United States;Correspondence,Address;SW Book,Department,of Psychiatry;Behavioral Sciences,Medical;University of South Carolina, Charleston,United States</t>
  </si>
  <si>
    <t>MUSC'S Drug Abuse Research Trainng (DART) program: A model for training addiction physician-scientists</t>
  </si>
  <si>
    <t>282A</t>
  </si>
  <si>
    <t>addiction;alcoholism;drug abuse;model;physician;scientist;society;United States;clinical practice;leadership;medical specialist;psychiatry;research ethics;residency education;statistics;student;teacher;training;university;writing</t>
  </si>
  <si>
    <t>The number of psychiatric residents entering addiction research careers is rapidly declining. This decrease in well-trained addiction physician-scientists is in contrast to the rapidly advancing field of basic scientific discovery, and creates a growing gap between basic science findings and the need for medical specialists able to translate them into clinical practice. A panel of experts convened by the Institute of Medicine (IOM, 2003) to address this problem recommends the development of educational programs that incorporate research into psychiatric residency training and that involve senior investigators as well as academic departmental leadership. The Medical University of South Carolina's (MUSC) Drug Abuse Research Training (DART) Program was established in 2005 to expose PGY3 and PGY4 psychiatric residents to cutting-edge research and to support and encourage their pursuit of research careers. The primary components of the DART program include 1) a weekly didactic seminar series (on topics such as, research ethics, statistics, recruitment and retention, and grant writing), 2) pilot research projects, and 3) ongoing, individually-tailored faculty mentorship. To date, 11 psychiatry residents have participated in the DART program. This talk will outline the structure and accomplishments of the DART program and trainees.</t>
  </si>
  <si>
    <t>(Book S.W.; Back S.E.; Santos A.B.; Uhde T.W.; Brady K.T.) Texas Research Society On Alcoholism - 19th Annual Scientific Meeting San Antonio, TX, United States 2009-02-20 to 2009-02-20 Blackwell Publishing Ltd; ID: 2894</t>
  </si>
  <si>
    <t>Bosma,W. G. A.;Author,Addresses;Div Alcoh Drug Abuse, Univ Maryland Hosp,Baltimore Md;Correspondence,Address;Div Alcoh Drug Abuse, Univ Maryland Hosp,Baltimore Md</t>
  </si>
  <si>
    <t>On undergraduate education: alcoholism education in a medical school. III</t>
  </si>
  <si>
    <t>392+403</t>
  </si>
  <si>
    <t>alcoholism;medical education;Public Health, Social Medicine and Epidemiology (17);Psychiatry (32)</t>
  </si>
  <si>
    <t>(Bosma W.G.A.); ID: 3891</t>
  </si>
  <si>
    <t>1976161850 PUI L6161781</t>
  </si>
  <si>
    <t>Boulos,V.;Hassanin,A.;Roaiah,M. F.;Author,Addresses;El Sahel Teaching Hospital, Dept of Urology,Cairo Egypt;Cairo University, Dept of,Andrology Cairo;Egypt;Correspondence,Address;Boulos, El Sahel Teaching Hospital Dept of Urology Cairo Egypt,V.</t>
  </si>
  <si>
    <t>Is on demand use of tramadol more effective than selective serotonin reuptake inhibitors and/or sildenafil and/or topical penile anesthetics in treating premature ejaculation (PE)?</t>
  </si>
  <si>
    <t>European Urology, Supplements</t>
  </si>
  <si>
    <t>e242</t>
  </si>
  <si>
    <t>(MAJOR FOCUS);anesthetic agent;serotonin uptake inhibitor;sildenafil;tramadol;aranidipine;lidocaine;local anesthetic agent;paroxetine;placebo;vitamin;European;premature ejaculation;urology;addiction;alcohol abuse;analysis of variance;andrology;data analysis software;developing country;diseases;drug therapy;ejaculation;erectile dysfunction;examination;hospital;human;informed consent;intravaginal drug administration;latent period;male;patient;pelvis injury;pill;recording;sexual intercourse;sexual satisfaction;side effect;social class;statistical analysis;Student t test;university</t>
  </si>
  <si>
    <t>INTRODUCTION &amp; OBJECTIVES: To compare effects of on demand use of different drugs in treating PE &amp; detect superior one. MATERIAL &amp; METHODS: This study was conducted on 245 men between Feb. 2010 &amp; Dec. 2012 in Sahel Hospital Urology Dept. &amp; Cairo University Andrology Dept. with mean age of 30.6â”¬â–’2.69 SD. Informed consent was taken. Detailed medical &amp; sexual history, genital examination &amp; lab. investigations, were done. Patients included are those with primary PE&gt;1 year with intravaginal ejaculation latency time (IELT)75% of sexual intercourse episodes over 2 weeks. Exclusion criteria include patients with erectile dysfunction, active U.T.I,prostatitis.neurologic, chronic current medical diseases, drug or alcohol abuse, previous pelvic trauma &amp; those receiving psychiatric medications. Patients were randomly divided into 7 groups (=gps)(each 35 patients). On demand tramadol, sildenafil, paroxetine, local lidocaine gel, combined sildenafil &amp; paroxetine, combined sildenafil &amp; lidocaine gel &amp; vitamin pills were given in gps 1-7 respectively. Pretreatment mean IELT &amp; sexual satisfaction score (SSS) for each patient were considered baseline values &amp; compared to mean IELT &amp; SSS after 8 weeks of on demand drug administered, with recording any possible side effects. Statistical analysis was done using ANOVA test to compare between different gps &amp; paired T test for related sample by SPSS version 18 programme. RESULTS: No significant difference in 7 gps baseline IELT. The 1st 6 gps (but not 7th=Placebo) post-treatment mean IELT was significantly improved compared to baseline values(P&lt;0.05). Comparing mean IELT in different gps showed that tramadol treated patients had a significantly longer IELT of 441.1 secs â”¬â–’70.35 SD than those treated with sildenafil, paroxetine, local penile anesthetics, combined sildenafil &amp; paroxetine, combined sildenafil &amp; local penile anesthetics, placebo with values of 277.75â”¬â–’ 84.96, 179.8â”¬â–’57.85, 292.53â”¬â–’60.94, 324.90â”¬â–’ 60.08, 343.26 â”¬â–’ 63.12 &amp;79.17â”¬â–’ 18.25 SD respectively (P&lt;0.05). Moreover, local anesthetics showed longer IELT versus paroxetine (292.5 versus 179.8)(P&lt;0.05) or placebo group (292.5 versus 79.17). Pretreatment mean sss was not significantly different but post-treatment one was significantly higher in gps 1-6 than placebo (P&lt;0.05). However, sss improvement degree of tramadol gp was significantly higher versus paroxetine or local penile anesthetic gps (P&lt;0.05). Sildenafil gp showed greatest sss improvement compared to paroxetine &amp; local anesthetic gps(3.31 versus 2.16 &amp; 1.82 points) (P&lt;0.05). Combining sildednafil with paroxetine or local penile anesthetics, improved IELT &amp; sss better than either alone &amp; this is most probably mainly due to sildenafil effect but with more possible side effects. CONCLUSIONS: All drugs alone or combined significantly improved IELT over placebo. On demand use of tramadol or sildenafil was better in treating PE as it is effective, safe &amp; tolerable with no serious side effects. Tramadol was best in prolonging IELT while sildenafil had best sss with good prolonged IELT. Combining sildenafil with either of paroxetine or local penile anesthetics yielded better results than either alone as regards IELT &amp; sss but with more side effects. Although tramadol had good results, we don't recommend its use bec of maluse &amp; addiction especially in low socioeconomic classes.</t>
  </si>
  <si>
    <t>(Boulos V.) (Hassanin A.; Roaiah M.F.) 30th Annual Congress of the European Association of Urology, EAU15 Madrid, Spain 2015-03-20 to 2015-03-24 Elsevier; ID: 2119</t>
  </si>
  <si>
    <t>1569-9056</t>
  </si>
  <si>
    <t>Bourgin,J.;Krebs,M. O.;Author,Addresses;Service Hospitalo-universitaire de,Psychiatrie;Centre,Hospitalier Sainte;Paris,France;Correspondence,Address;Bourgin, Service Hospitalo-universitaire de Psychiatrie Centre,J.;Hospitalier Sainte-Anne, U. M. R. Universitâ”œâŒ Paris-Descartes Paris;France Email,j bourgin ch</t>
  </si>
  <si>
    <t>23687756; Early detection and early intervention in first episode psychosis ORIGINAL (NON-ENGLISH) TITLE Dâ”œâŒpistage prâ”œâŒcoce de la schizophrâ”œâŒnie et prise en charge des premiers â”œâŒpisodes psychotiques</t>
  </si>
  <si>
    <t>early diagnosis;psychosis;cognitive therapy;depression;general practitioner;health care access;health care delivery;health program;human;personalized medicine;psychoeducation;schizophrenia;short survey;substance abuse;Psychiatry (32)</t>
  </si>
  <si>
    <t>The onset of schizophrenic disorders generally occurs in late adolescence/early adulthood. However, in 75% of the cases, the onset is preceded by a prodromal stage. Subjects concerned by these prodromal symptoms are defined at "high risk" for psychosis (30% of conversion to psychosis in the next year). Early detection programs aim at improving the recognition of the prodromal symptoms in order to develop appropriate early interventions that will delay or prevent conversion to psychosis or reduce the duration of untreated psychosis (DUP). Atypical antipsychotics are not recommended when psychotic symptoms are only attenuated, while they must be rapidly prescribed when a franc psychotic episode is present. Early identification of patients with schizophrenia is a general practitioners' task provided that they can rely on a supportive specialized psychiatric team. Early intervention should be based on a comprehensive assessment of the subject, in order to propose personalized care that include cognitive therapy, psycho-education, and treatment of associated disorders (depression, substance abuse). The reduction of duration of untreated psychosis will also require sensibilization campaigns in the community with the hope to improve access to care and service delivery.</t>
  </si>
  <si>
    <t>(Bourgin J., j.bourgin@ch-sainte-anne.fr; Krebs M.-O., mo.krebs@ch-sainte-anne.fr) Huveaux France, 114 Avenue Charles de Gaulle, Neuilly sur Seine, France.; ID: 2425</t>
  </si>
  <si>
    <t>http://www.ncbi.nlm.nih.gov/pubmed/23687756</t>
  </si>
  <si>
    <t>Early detection and early intervention in first episode psychosis ORIGINAL (NON-ENGLISH) TITLE Dâ”œâŒpistage prâ”œâŒcoce de la schizophrâ”œâŒnie et prise en charge des premiers â”œâŒpisodes psychotiques</t>
  </si>
  <si>
    <t>Boutwell,A. E.;Wolf,F. A.;McKenzie,M.;Sanford-Colby,S.;Fulton,J. P.;Rich,J. D.;Author,Addresses;Miriam,Hospital;Summit Avenue,Providence,R.I.United States;Brown University,Providence,R.I.United States;Rhode Island Department of Health, Capitol,Hill Providence</t>
  </si>
  <si>
    <t>A comparison of syringe prescription and syringe exchange in Rhode Island, USA</t>
  </si>
  <si>
    <t>intravenous drug abuse;prescription;syringe;adult;article;comparative study;drug dependence treatment;female;health care access;health care distribution;health care policy;health education;health program;high risk population;human;law enforcement;male;medical service;medical specialist;patient referral;preventive health service;primary medical care;priority journal;United States;vaccination;Public Health, Social Medicine and Epidemiology (17);Biophysics, Bioengineering and Medical Instrumentation (27);Health Policy, Economics and Management (36);Drug Dependence, Alcohol Abuse and Alcoholism (40)</t>
  </si>
  <si>
    <t>Prior to the year 2000, strict laws regulated the purchase and possession of syringes in Rhode Island, USA. More than 50% of the state's AIDS cases were related to injection drug use, and injecting drug users (IDUs) in Rhode Island reused each syringe, on average, over 20 times. Rhode Island's syringe exchange programme began in 1995, and has served over 1700 clients. In 2001, the programme exchanged almost 45,000 syringes. Participation in the syringe exchange programme is anonymous, and the programme provides education, outreach, and referral to substance abuse treatment. A syringe prescription programme for IDUs began in Rhode Island in 1999; it has served over 350 patients and prescribed more than 72,000 syringes. In addition to expanding access to sterile syringes, the syringe prescription programme also expanded patients' access to disease screening and treatment, vaccination, primary medical care, and referral to specialists. Since 1995, there have been three major programmatic and policy approaches adopted in Rhode Island to address the issue of syringe access for injection drug users: syringe exchange, legal reform, and syringe prescription. Each approach offers different ancillary services and appears to appeal to different populations of IDUs. Adopting multiple approaches to syringe access may best serve this high-risk population. â”¬âŒ 2003 Elsevier B.V. All rights reserved.</t>
  </si>
  <si>
    <t>(Wolf F.A.; McKenzie M.; Rich J.D., JRich@lifespan.org) (Boutwell A.E.; Wolf F.A.; Sanford-Colby S.L.; Rich J.D., JRich@lifespan.org) (Fulton J.P.); ID: 3252</t>
  </si>
  <si>
    <t>0955-3959</t>
  </si>
  <si>
    <t>2003467128 PUI L37412245</t>
  </si>
  <si>
    <t>10.1016/S0955-3959(03)00135-X FULL TEXT LINK http://dx.doi.org/10.1016/S0955-3959(03)00135-X</t>
  </si>
  <si>
    <t>Bowen,O. R.;Sammons,J. H.;Author,Addresses</t>
  </si>
  <si>
    <t>3050167; The alcohol-abusing patient: A challenge to the profession</t>
  </si>
  <si>
    <t>alcoholism;health care organization;health care policy;health education;medical education;patient education;education;human;organization and management;priority journal;short survey;United States;Public Health, Social Medicine and Epidemiology (17);Psychiatry (32);Health Policy, Economics and Management (36);Drug Dependence, Alcohol Abuse and Alcoholism (40)</t>
  </si>
  <si>
    <t>As early as 1973, the Macy Foundation report emphasized that 'Education in the treatment and prevention of drug abuse should not be limited to the structured curricula of schools of medicine and public health, but must be extended through post-graduate courses and other forms of continuing education to provide permanent channels of education for both practicing physicians and the biomedical research establishment'. This goal remains a guidepost. While many of the barriers to physician involvement in prevention and early identification of alcohol and other drug abuse have been recognized, eliminating them remains a formidable task. The availability of physicians who are role models for coping effectively with the problems of patients who abuse alcohol and other drugs also is essential. Audiovisual programs, brief classroom instruction, and visits to treatment facilities are not enough; day-to-day contact with clinical staff who are experienced in dealing with alcohol and other drug abuse is vital if programs are to have real impact. Specialty groups and medical school departments need to systematically incorporate training in prevention and treatment into the content of each of their areas and to address every level of medical training: medical students, house staff, and practicing physicians.</t>
  </si>
  <si>
    <t>(Bowen O.R.; Sammons J.H.) American Medical Association, 515 North State Street, Chicago, United States.; ID: 3731</t>
  </si>
  <si>
    <t>http://www.ncbi.nlm.nih.gov/pubmed/3050167</t>
  </si>
  <si>
    <t>10.1001/jama.260.15.2267 FULL TEXT LINK http://dx.doi.org/10.1001/jama.260.15.2267</t>
  </si>
  <si>
    <t>The alcohol-abusing patient: A challenge to the profession</t>
  </si>
  <si>
    <t>Boyle,K. L.;Author,Addresses;University of Massachusetts,Medical School;States;Correspondence,Address;KL Boyle, University of Massachusetts Medical School,Worcester United;States</t>
  </si>
  <si>
    <t>Teaching effective opioid prescribing through a simulation curriculum</t>
  </si>
  <si>
    <t>S157</t>
  </si>
  <si>
    <t>(MAJOR FOCUS);opiate;American;college;curriculum;emergency physician;human;simulation;teaching;abuse;adult;awards and prizes;comfort;conversation;counseling;death;diagnosis;drug abuse;drug therapy;emergency medicine;emergency ward;epidemic;evidence based practice;hospital discharge;information processing;non profit organization;pain;patient;physician;policy;prescription;prevention;problem patient;residency education;skill;toxicology;videorecording;volunteer</t>
  </si>
  <si>
    <t>Introduction: The epidemic of opioid-associated deaths poses a daily challenge for emergency medicine physicians as they strive to treat pain. The goal of this work is to develop an educational curriculum for residents regarding safe and evidence-based opioid prescribing. To assess the effectiveness of the curriculum, we will determine the number of prescriptions written by residents for specific diagnoses before and after implementation of the curriculum. These diagnoses were identified as conditions in which opioid prescribing was not recommended in the 2012 American College of Emergency Physicians (ACEP) Clinical Policy: Critical Issues in the Prescribing of Opioids for Adult Patients in the Emergency Department. This curriculum was developed as part of a project supported by the 2014 Medical Toxicology Foundation Drug Abuse Prevention Award. Study Objectives: The goals of this curriculum are to: (1) Describe existing guidelines regarding prescription of opioid pain mediations upon patient discharge from the emergency department (ED); (2) Use a simulation curriculum to offer examples of how to navigate difficult patient conversations and teach residents how to provide effective counseling for patients receiving opioid prescriptions; and (3) Use small group discussion to develop lists of best practices, behaviors to avoid, and predictors of opioid misuse in the ED. The overall objective is to decrease the number of inappropriate opioid prescriptions written by EM residents for patients upon discharge from the ED as defined by the ACEP clinical policy. Methods: The curriculum begins with a short lecture to introduce the scope of the opioid abuse epidemic, as well as the prescribing guidelines that exist for EM providers, specifically the ACEP clinical policy. The majority of the curriculum focuses on a simulation encounter using a standardized patient with video recording, debriefing, and small group discussion. The encounter is conducted with a resident volunteer and standardized patient, and is projected for the entire group to watch. After the encounter, small group discussions are held using five discussion points focused on defining best practices for opioid prescribing by EM providers, as well as strategies for dealing with difficult encounters. At the end of the small group discussion, there is a final simulation encounter performed by the same resident, this time using strategies the group developed during their discussion. To measure the effectiveness of the curriculum, the number of opioid prescriptions written by the group of learners on patient discharge from the</t>
  </si>
  <si>
    <t>(Boyle K.L.) American College of Emergency Physicians, ACEP 2015 Research Forum Boston, MA, United States 2015-10-26 to 2015-10-27 Mosby Inc.; ID: 2056</t>
  </si>
  <si>
    <t>Bracken,B. K.;Rodolico,J.;Hill,K. P.;Author,Addresses;Behavioral Psychopharmacology,Research;Laboratory,McLean Hospital Belmont M. A. U. S. A.;Correspondence,Address;BK Bracken, Email bbracken,cra com</t>
  </si>
  <si>
    <t>23844957; Sex, age, and progression of drug use in adolescents admitted for substance use disorder treatment in the northeastern United States: comparison with a national survey</t>
  </si>
  <si>
    <t>addiction (epidemiology, therapy);adolescent behavior;disease course;health survey;adolescent;age;article;comparative study;female;human;male;onset age;psychological aspect;sex difference;sex ratio;United States (epidemiology)</t>
  </si>
  <si>
    <t>National adolescent drug use surveys are distributed in United States schools. Survey results determine trends in drug use and inform research and prevention efforts; however, students who have dropped out of school or were truant the day of the survey are excluded. Examining drug trends in a high-risk population (adolescents admitted for drug treatment) may better characterize drug users and their use patterns. The current study examined questionnaires completed by 939 adolescents admitted for substance abuse treatment between 1995 and 2010. Age of first use (ranging from 13.2 years for alcohol to 15.1 years for cocaine) was significantly younger for cigarettes, alcohol, and cannabis than for "harder" drugs such as cocaine and heroin, and adolescents increased their use of almost every substance (except inhalants) with increasing age. This was not true of national data. Additionally, in the national data, less than 1.5% of participants reported using any of the harder drugs more than 5 times, but in the McLean data, even for harder drugs, &gt;10% of adolescents used &gt;50 times. In the high-risk sample examined here, progression to harder drugs is accelerated and increases with age regardless of sex. These data underscore the importance of prevention and immediate treatment when adolescent substance use is identified.</t>
  </si>
  <si>
    <t>(Bracken B.K., bbracken@cra.com) (Rodolico J.; Hill K.P.); ID: 2464</t>
  </si>
  <si>
    <t>http://www.ncbi.nlm.nih.gov/pubmed/23844957</t>
  </si>
  <si>
    <t>Sex, age, and progression of drug use in adolescents admitted for substance use disorder treatment in the northeastern United States: comparison with a national survey</t>
  </si>
  <si>
    <t>Bragg,R.;Drew,A. M.;Pitlick,J. M.;Author,Addresses;St Louis College,of Pharmacy;Louis,United States;Correspondence,Address;Bragg, St Louis College of Pharmacy St Louis United States,R.</t>
  </si>
  <si>
    <t>Evaluation of the impact of a pharmacist provided nonmalignant chronic opioid management education program to physicians in a primary care practice setting</t>
  </si>
  <si>
    <t>e224</t>
  </si>
  <si>
    <t>(MAJOR FOCUS);opiate;American;clinical pharmacy;college;education program;human;pharmacist;physician;primary medical care;audio recording;comfort;e-mail;education;electronic medical record;family medicine;hospital;internal medicine;patient;pharmacology;risk assessment;teaching</t>
  </si>
  <si>
    <t>PURPOSE: The objective of this study was to evaluate the impact of a pharmacist provided chronic opioid management education program on physician comfort levels at two independent primary care offices. METHODS: All physicians practicing at the Mercy Clinic Family Medicine and John F. Kennedy Internal Medicine Clinic were invited to participate in the study. Physicians completed an electronic pre-education survey, in March 2013, consisting of questions addressing background education and baseline comfort with opioid prescribing. The intervention consisted of three informational handouts covering opioid pharmacology, dosing in respects to equianalgesic and formulation conversion, and use of opioid risk assessment tools. These handouts were distributed, in April 2013, to all physicians via email along with an audio recording reviewing key concepts. Physicians completed an electronic posteducation survey consisting of the same comfort assessment questions at the end of April 2013. RESULTS: The pre-education survey had a 26% response rate (n=14). Of the participants, 79% indicated Î“Ã‡Â£uncomfortableÎ“Ã‡Â¥ or Î“Ã‡Â£neutralÎ“Ã‡Â¥ comfort rating for managing chronic opioid patients and 56% indicated that they were Î“Ã‡Â£uncomfortableÎ“Ã‡Â¥ or Î“Ã‡Â£very uncomfortableÎ“Ã‡Â¥ using opioid risk assessment tools. There was not a statistically significant difference in the primary outcome of change in overall comfort score pre- and post-education (n=2, p=0.655). The post-education survey had a 23% response rate (n=12) and 81% indicated a Î“Ã‡Â£neutralÎ“Ã‡Â¥, Î“Ã‡Â£comfortableÎ“Ã‡Â¥, or Î“Ã‡Â£very comfortableÎ“Ã‡Â¥ rating for the various aspects of opioid prescribing, including pharmacology, dosing and use of risk assessment tools. CONCLUSION: This study did not find a significant improvement in self-reported comfort scores for opioid prescribing. The low comfort scores reported on the baseline survey indicates a need for opioid education for physicians in these clinics. Future education programs could include live teaching sessions, a longitudinal education series, and the incorporation of opioid risk assessment tools in the patient electronic medical records.</t>
  </si>
  <si>
    <t>(Bragg R.; Drew A.M.; Pitlick J.M.) 2013 Annual Meeting of the American College of Clinical Pharmacy, ACCP 2013 Albuquerque, NM, United States 2013-10-13 to 2013-10-16 Pharmacotherapy Publications Inc.; ID: 2350</t>
  </si>
  <si>
    <t>10.1002/phar.1356 FULL TEXT LINK http://dx.doi.org/10.1002/phar.1356</t>
  </si>
  <si>
    <t>Bray,J. W.;Hinde,J. M.;Aldridge,A. P.;Author,Addresses;Department of Economics, The,University of;North Carolina at Greensboro, Greensboro,United States;Rti International,Durham,United States;Department of Public Policy, The University of,North Carolina;at Chapel Hill, Chapel Hill,United States;Correspondence,Address;JW Bray, Department of Economics The University of North,Carolina at;Greensboro,Greensboro United States Email jwbray uncg edu</t>
  </si>
  <si>
    <t>Alcohol use and the wage returns to education and work experience</t>
  </si>
  <si>
    <t>Health Economics</t>
  </si>
  <si>
    <t>Health Econ.</t>
  </si>
  <si>
    <t>(2018) 27</t>
  </si>
  <si>
    <t>e87</t>
  </si>
  <si>
    <t>e100</t>
  </si>
  <si>
    <t>alcohol consumption;economic aspect;medical education;return to work;wage;adolescent;adult;article;Black person;child;controlled study;cross-sectional study;descriptive research;employment;female;health care policy;health survey;Hispanic;human;male;priority journal;school child;self report;theoretical model;trend study;work experience;young adult;Public Health, Social Medicine and Epidemiology (17)</t>
  </si>
  <si>
    <t>Despite a widely held belief that alcohol use should negatively impact wages, much of the literature on the topic suggests a positive relationship between nonproblematic alcohol use and wages. Studies on the effect of alcohol use on educational attainment have also failed to find a consistent, negative effect of alcohol use on years of education. Thus, the connections between alcohol use, human capital, and wages remain a topic of debate in the literature. In this study, we use the 1997 cohort of the National Longitudinal Survey of Youth to estimate a theoretical model of wage determination that links alcohol use to wages via human capital. We find that nonbinge drinking is associated with lower wage returns to education whereas binge drinking is associated with increased wage returns to both education and work experience. We interpret these counterintuitive results as evidence that alcohol use affects wages through both the allocative and productive efficiency of human capital formation and that these effects operate in offsetting directions. We suggest that alcohol control policies should be more nuanced to target alcohol consumption in the contexts within which it causes harm.</t>
  </si>
  <si>
    <t>(Bray J.W., jwbray@uncg.edu) (Hinde J.M.; Aldridge A.P.) (Hinde J.M.) John Wiley and Sons Ltd, Southern Gate, Chichester, West Sussex, United Kingdom. vgorayska@wiley.com; ID: 1742</t>
  </si>
  <si>
    <t>1099-1050 (electronic) 1057-9230</t>
  </si>
  <si>
    <t>20170594171 PUI L617926079</t>
  </si>
  <si>
    <t>10.1002/hec.3565 FULL TEXT LINK http://dx.doi.org/10.1002/hec.3565</t>
  </si>
  <si>
    <t>Breen,K. J.;Court,J. M.;Katsoris,J.;Author,Addresses;Correspondence,Address;Breen,K. J.</t>
  </si>
  <si>
    <t>9845991; Impaired doctors. The modern approach of medical boards</t>
  </si>
  <si>
    <t>addiction (rehabilitation);certification;general practice;malpractice;mental disease (rehabilitation);Australia;female;human;legal aspect;male;program development;review</t>
  </si>
  <si>
    <t>BACKGROUND: Australian medical boards now emphasize treatment and rehabilitation, where possible, for doctors who are ill or drug dependent and hence impaired. OBJECTIVE: This article describes the processes and experience of the Medical Practitioners Board of Victoria following the introduction of the Medical Practice Act 1994. DISCUSSION: Impaired practitioner programs usually encompass: assessment by an independent relevant specialist negotiation of appropriate conditions on practice to ensure both community protection and support for the doctor during treatment and rehabilitation medical supervision, regular urine testing and appropriate conditions on practice for drug dependent doctors. Difficult issues can arise in relation to ageing doctors, psychotic doctors lacking in insight and drug dependency with extreme denial. While results of rehabilitation are encouraging, the profession needs to do even more in regard to prevention, early detection and provision of high speciality treatment and rehabilitation.</t>
  </si>
  <si>
    <t>(Breen K.J.; Court J.M.; Katsoris J.); ID: 3436</t>
  </si>
  <si>
    <t>http://www.ncbi.nlm.nih.gov/pubmed/9845991</t>
  </si>
  <si>
    <t>Impaired doctors. The modern approach of medical boards</t>
  </si>
  <si>
    <t>Brems,C.;Johnson,M. E.;Bowers,L.;Lauver,B.;Mongeau,V. A.;Author,Addresses;Department,of Psychology;Compreh/Spec Eval Services, University of,Alaska Anchorage;Providence Drive,Anchorage,A.K.United States;Correspondence,Address;Brems, Department of Psychology Alaska Compreh Spec Eval Services,C.;University of Alaska Anchorage, Providence Drive,Anchorage A.;edu,United States Email afcb uaa alaska</t>
  </si>
  <si>
    <t>12680616; Comorbidity training needs at a state psychiatric hospital</t>
  </si>
  <si>
    <t>Administration and Policy in Mental Health</t>
  </si>
  <si>
    <t>Adm.Policy Ment.Health</t>
  </si>
  <si>
    <t>November</t>
  </si>
  <si>
    <t>comorbidity;mental hospital;psychiatric diagnosis;substance abuse;acquired immune deficiency syndrome;acting out;article;disease severity;doctor patient relation;health care personnel;human;Human immunodeficiency virus infection;medical decision making;medical education;medical staff;patient referral;priority journal;problem solving;skill;Public Health, Social Medicine and Epidemiology (17);Psychiatry (32);Drug Dependence, Alcohol Abuse and Alcoholism (40)</t>
  </si>
  <si>
    <t>This study explored training issues relevant to work with comorbid clients (those with both psychiatric and substance abuse diagnoses) among members of a psychiatric hospital clinical staff (N=147). Respondents reported that they had received limited training for working with comorbid or substance abusing clients; they perceived comorbid clients as presenting with particular concerns, especially regarding referral to treatment services and management of acting-out behaviors; and they attached great importance to the need for training in comorbidity. With high proportions of clients at psychiatric hospitals being comorbid, it is imperative that staff members receive training to deal with substance abuse and comorbidity. These results suggest that such training has not been available, but it is needed and wanted.</t>
  </si>
  <si>
    <t>(Brems C., afcb@uaa.alaska.edu) (Johnson M.E.; Bowers L.; Lauver B.; Mongeau V.A.) Kluwer Academic/Human Sciences Press Inc., 233 Spring Street, New York, United States.; ID: 3291</t>
  </si>
  <si>
    <t>http://www.ncbi.nlm.nih.gov/pubmed/12680616</t>
  </si>
  <si>
    <t>10.1023/A:1022581001193 FULL TEXT LINK http://dx.doi.org/10.1023/A:1022581001193</t>
  </si>
  <si>
    <t>Comorbidity training needs at a state psychiatric hospital</t>
  </si>
  <si>
    <t>Brennan,T.;Author,Addresses;Psychiatry,Addiction Institute of New York Mount Sinai;Hospital,United States;Correspondence,Address;Brennan, Psychiatry Addiction Institute of New York Mount Sinai,T.;Hospital,United States</t>
  </si>
  <si>
    <t>The opioid pandemic in children: Equipping ourselves for success</t>
  </si>
  <si>
    <t>Alcohol and Alcoholism</t>
  </si>
  <si>
    <t>49 SUPPL. 1</t>
  </si>
  <si>
    <t>i4</t>
  </si>
  <si>
    <t>(MAJOR FOCUS);opiate;hydromorphone;oxycodone;addiction;child;human;pandemic;society;adolescent;diagnosis;diseases;drug abuse;epidemic;evidence based practice;exercise;general practitioner;health care utilization;high risk patient;intoxication;juvenile;learning;medical education;pediatrician;physician;population;prescription;publication;reading;screening;skill;statistics;therapy;vignette;workshop;young adult</t>
  </si>
  <si>
    <t>Opioid overdoses kill more young adults in the world than overdoses of any other drug. With the proliferation of prescription opioids (oxycontin, hydromorphone, etc), there has been a tremendous increase in opioid use disorders among all humans, specifically children and young adults. While statistics regarding youth opioid disorders are alarming, there has not been a concurrent increase in formalized medical education for pediatricians, family physicians or addiction medicine physicians regarding children and adolescents. Because drug abusers are often highly stigmatized in society, their healthcare utilization tends to be fragmented and sporadic. Pediatricians, family physicians, and addiction medicine physicians need to equip themselves with a cohesive skill-set to provide optimal care to such a high-risk patient population. This oral presentation will begin with a brief lecture-based review of the opioid epidemic among world children. We will then discuss the various screening and diagnostic tools available to clinicians and provide a referenced bibliography for further reading. Next, we will define evidence-based medical and non-medical treatment strategies employed in the treatment of youth opioid use disorders. The workshop will then transition to small group learning exercises where participants will practice learned objectives through case-based clinical vignettes. After the small group sessions, each group will present their particular conclusions to the group-at-large, and the workshop leader will highlight the learning objectives. The workshop will conclude with a question and answer session.</t>
  </si>
  <si>
    <t>(Brennan T.) 16th International Society of Addiction Medicine Annual Meeting Yokohama, Japan 2014-10-02 to 2014-10-06 Oxford University Press; ID: 2210</t>
  </si>
  <si>
    <t>10.1093/alcalc/agu052.10 FULL TEXT LINK http://dx.doi.org/10.1093/alcalc/agu052.10</t>
  </si>
  <si>
    <t>Brennecke,N.;Boster,A. L.;Wehr,A. M.;Nicholas,J. A.;Author,Addresses;Ohio State University, College of Medicine,Columbus United;States;Ohio State University, Department,of Neurology;Columbus,United States;Ohio State,University Multiple;Center,Columbus United States;Ohio State University, Department of,Biostatistics Columbus;United,States;Correspondence,Address;Brennecke, Ohio State University College of Medicine Columbus United,N.;States</t>
  </si>
  <si>
    <t>Prevalence and predictors of substance abuse in multiple sclerosis</t>
  </si>
  <si>
    <t>Multiple Sclerosis</t>
  </si>
  <si>
    <t>alcohol;amphetamine;cannabis;cocaine;psychedelic agent;sedative agent;multiple sclerosis;prevalence;substance abuse;Western Hemisphere;abuse;African American;Caucasian;disability;disease course;education;employment status;female;health;health behavior;hospital;human;implantable cardioverter defibrillator;lifespan;logistic regression analysis;marriage;married person;medical specialist;model;patient;population;questionnaire;risk;risk factor;screening;screening test;smoking;substance use;therapy;tobacco;unemployment</t>
  </si>
  <si>
    <t>Background: Patients with multiple sclerosis (MS) have been shown to be more likely to engage in adverse health behaviors and suffer from depression relative to the general population, creating interest in the prevelance and risk factors for substance abuse among this patient population. Objectives: To assess the prevalence of substance abuse among MS patients in a large, academic MS clinic and to identify predictors associated with substance abuse. Methods: MS patients presenting for routine clinic visits at The OSU</t>
  </si>
  <si>
    <t>(Brennecke N.) (Boster A.L.; Nicholas J.A.) (Wehr A.M.) 2014 Joint Americas Committee for Treatment and Research in Multiple Sclerosis ACTRIMS - European Committee for Treatment and Research in Multiple Sclerosis ECTRIMS Meeting Boston, MA, United States 2014-09-10 to 2014-09-13 SAGE Publications Ltd; ID: 2215</t>
  </si>
  <si>
    <t>1352-4585</t>
  </si>
  <si>
    <t>10.1177/1352458514546077 FULL TEXT LINK http://dx.doi.org/10.1177/1352458514546077</t>
  </si>
  <si>
    <t>Brenner,H.;Scharrer,S.;Author,Addresses;Department of Epidemiology, University,of Ulm;Abt Epidemiologie,Universitâ”œÃ±t,Ulm D.;Correspondence,Address;Ulm Germany,H.Brenner, Abt Epidemiologie Universitat Ulm D.</t>
  </si>
  <si>
    <t>8767210; Smoking habits of future physicians: A survey among medical students of a South German university</t>
  </si>
  <si>
    <t>health education;health promotion;medical student;physician;smoking;adult;article;female;Germany;human;male;normal human;Chest Diseases, Thoracic Surgery and Tuberculosis (15);Cancer (16);Public Health, Social Medicine and Epidemiology (17)</t>
  </si>
  <si>
    <t>Physicians can play a key role in promoting abstinence from tobacco. In many European countries, however, a large proportion of physicians are still smoking themselves. To assess smoking habits of future physicians, a cross-sectional study was conducted in 1992/1993 among 817 students enrolled in the first, third, and fifth years of medical school at the university of Ulm, Germany, using a self-administered questionnaire. The overall participation rate was 85.2%. Prevalence of current smoking was 17.6% among female participants and 29.2% among male participants. Among male students, smoking prevalence varied between 22.9% in the first year and 34.6% in the fifth year of medical school. Among female students, there were only minor differences in smoking prevalence between the first, third and fifth years at medical school. Most of the smokers had started to smoke prior to entry into medical school. Among third and fifth year students, slightly more students quit smoking than started to smoke during medical school, and smokers in the fifth year of medical school were more frequently willing to quit than smokers in the first and third year. Factors associated with regular smoking of medical students, after adjustment for potential confounders in multi-prevalence was somewhat lower in the present study than in previous studies from Germany, further efforts are needed to reduce smoking among future physicians in this country.</t>
  </si>
  <si>
    <t>(Brenner H.; Scharrer S.) (Brenner H.) Birkhauser Verlag AG, Klosterberg 23, P.O. Box 133, Basel, Switzerland.; ID: 3507</t>
  </si>
  <si>
    <t>http://www.ncbi.nlm.nih.gov/pubmed/8767210</t>
  </si>
  <si>
    <t>10.1007/BF01305385 FULL TEXT LINK http://dx.doi.org/10.1007/BF01305385</t>
  </si>
  <si>
    <t>Smoking habits of future physicians: A survey among medical students of a South German university</t>
  </si>
  <si>
    <t>Brew,I. F.;Butt,C.;Wright,N.;Author,Addresses;Healthcare Department, H. M. P.;Leeds,Leeds Community Healthcare N.H.S.Trust Gloucester Terrace Armley;Leeds,L. S. T. J. U.;Correspondence,Address;IF Brew, Healthcare Department H M P Leeds Leeds Community,Healthcare N.;Trust,Gloucester Terrace Armley Leeds L.S.T.J.United Kingdom Email;iainbrew@nhs.net</t>
  </si>
  <si>
    <t>24351500; Can antiviral treatment for hepatitis C be safely and effectively delivered in primary care? A narrative systematic review of the evidence base</t>
  </si>
  <si>
    <t>e842</t>
  </si>
  <si>
    <t>e851</t>
  </si>
  <si>
    <t>(MAJOR FOCUS);antivirus agent (drug therapy);interferon;opiate;peginterferon;antiviral therapy;hepatitis C (drug therapy, drug therapy);primary medical care;general practice;general practitioner;human;intention to treat analysis;maintenance therapy;medical education;monotherapy;opiate substitution treatment;psychosocial care;review;systematic review;teleconference;treatment response;opiate (53663-61-9, 8002-76-4, 8008-60-4);Public Health, Social Medicine and Epidemiology (17);Drug Literature Index (37);Gastroenterology (48)</t>
  </si>
  <si>
    <t>Background: The burden of hepatitis C (HCV) treatment is growing, as is the political resolve to tackle the epidemic. Primary care will need to work more closely with secondary care to succeed in reducing the prevalence of chronic HCV. Aim: To identify research relating to the provision of antiviral treatment for HCV in primary care. Design and setting: A narrative systematic review of six databases. Method: Medline, Embase, Cinahl, PsycINFO, Web of Science, and Cochrane were searched. Relevant journals were searched by hand for articles to be included in the review. Reference lists of relevant papers were reviewed and full-text papers were retrieved for those deemed to potentially fulfil the inclusion criteria of the review. Results: A total of 683 abstracts led to 77 full-text articles being retrieved, of which 16 were finally included in the review. An evidence base emerged, highlighting that community-based antiviral treatment provision is feasible and can result in clinical outcomes comparable to those achieved in hospital outpatient settings. Such provision can be in mainstream general practice, at community addiction centres, or in prisons. GPs must be trained before offering such a service and there is also a need for ongoing specialist supervision of primary care practice. Such training and supervision can be delivered by teleconference, although, even with such ready availability of training and supervision, only a minority of GPs are likely to want to provide antiviral treatment. Conclusion: There is emerging evidence supporting the effectiveness of antiviral treatment provision for patients with chronic hepatitis C in a wide variety of primary care and wider community settings. Training and ongoing supervision of primary care practitioners by specialists is a prerequisite. There is an opportunity through future research activity to evaluate typologies of patients who would be best served by primary care-based treatment and those for whom hospital-based outpatient treatment would be most appropriate. â”¬âŒBritish Journal of General Practice.</t>
  </si>
  <si>
    <t>(Brew I.F., iainbrew@nhs.net; Butt C.; Wright N.) Royal College of General Practitioners, 14 Princes Gate, London, United Kingdom.; ID: 2335</t>
  </si>
  <si>
    <t>http://www.ncbi.nlm.nih.gov/pubmed/24351500</t>
  </si>
  <si>
    <t>10.3399/bjgp13X675421 FULL TEXT LINK http://dx.doi.org/10.3399/bjgp13X675421</t>
  </si>
  <si>
    <t>Can antiviral treatment for hepatitis C be safely and effectively delivered in primary care? A narrative systematic review of the evidence base</t>
  </si>
  <si>
    <t>Brewer,C.;Author,Addresses;Substance Abuse Treatment Programs, Stapleford,Tawney R.;Correspondence,Address;Substance Abuse Treatment Programs, Stapleford,Tawney R.</t>
  </si>
  <si>
    <t>The management of opiate abuse: Learning from other addictions</t>
  </si>
  <si>
    <t>Journal of Drug Issues</t>
  </si>
  <si>
    <t>J.Drug Iss.</t>
  </si>
  <si>
    <t>alcoholism;drug abuse;addiction;human;intravenous drug administration;legal aspect;management;normal human;oral drug administration;organization and management;preliminary communication;psychological aspect;therapy;Public Health, Social Medicine and Epidemiology (17);Psychiatry (32);Drug Dependence, Alcohol Abuse and Alcoholism (40);Forensic Science Abstracts (49)</t>
  </si>
  <si>
    <t>Similarities between the addictions suggest that much may be learned about the management of opiate abuse from a study of the problems and results of treatment in other types of compulsive or addictive behavior. Medical methods of treatment, notably methadone, laevo-alpha acetyl methadole, naltrexone and random urine screening, may make a useful contribution to improvements in the outcome of mandatory programs when combined with close supervision, and a rapid and predictable response to lack of compliance. Some important features of a model treatment program are suggested.</t>
  </si>
  <si>
    <t>(Brewer C.); ID: 3723</t>
  </si>
  <si>
    <t>0022-0426</t>
  </si>
  <si>
    <t>1988268937 PUI L18268933</t>
  </si>
  <si>
    <t>Britton,W. B.;Bootzin,R. R.;Cousins,J. C.;Hasler,B. P.;Peck,T.;Shapiro,S. L.;Author,Addresses;Department of,Psychiatry;Human Behavior,Brown University;Medical School, Providence Rhode,Island U.;Correspondence,Address;WB Britton,Department,of Psychiatry;Human Behavior,Brown University;Medical School, Providence Rhode,Island U.;Willoughby_Britton@Brown.edu</t>
  </si>
  <si>
    <t>20408060; The contribution of mindfulness practice to a multicomponent behavioral sleep intervention following substance abuse treatment in adolescents: a treatment-development study</t>
  </si>
  <si>
    <t>addiction (complication, prevention, therapy);child behavior;meditation;sleep disorder (complication, therapy);adolescent;adult;article;clinical trial;emotion;female;human;male;mental stress (therapy);methodology;psychological aspect;psychotherapy;recurrent disease (prevention);self concept</t>
  </si>
  <si>
    <t>Poor sleep is common in substance use disorders (SUDs) and is a risk factor for relapse. Within the context of a multicomponent, mindfulness-based sleep intervention that included mindfulness meditation (MM) for adolescent outpatients with SUDs (n = 55), this analysis assessed the contributions of</t>
  </si>
  <si>
    <t>(Britton W.B.) (Bootzin R.R.; Cousins J.C.; Hasler B.P.; Peck T.; Shapiro S.L.); ID: 2803</t>
  </si>
  <si>
    <t>http://www.ncbi.nlm.nih.gov/pubmed/20408060</t>
  </si>
  <si>
    <t>10.1080/08897071003641297 FULL TEXT LINK http://dx.doi.org/10.1080/08897071003641297</t>
  </si>
  <si>
    <t>The contribution of mindfulness practice to a multicomponent behavioral sleep intervention following substance abuse treatment in adolescents: a treatment-development study</t>
  </si>
  <si>
    <t>Broers,B.;Author,Addresses;Geneva,University Hospitals;Correspondence,Address;Broers, Geneva University Hospitals Geneva Switzerland,B.</t>
  </si>
  <si>
    <t>Defining the learning objectives</t>
  </si>
  <si>
    <t>Heroin Addiction and Related Clinical Problems</t>
  </si>
  <si>
    <t>alcohol;opiate;learning;alcohol consumption;analgesia;clinical practice;clinical trial;curriculum;doctor patient relation;human;medical education;medical school;medicine;opiate addiction;perception;screening;stigma;tobacco use;alcohol (64-17-5);opiate (53663-61-9, 8002-76-4, 8008-60-4)</t>
  </si>
  <si>
    <t>INTRODUCTION: Pregraduate training in addiction medicine is, in most medical faculties, insufficient and adresses essentially issues related to alcohol and tobacco use. Patients suffering from addiction related disorders (including opioid dependence) are insufficiently identified and treated, and suffer from negative perceptions from health professionals, including doctors. METHODS: literature review and expert's opinions on the content of pregraduate medical training in screening, evaluating and treating opioid misuse et dependence. RESULTS: although few articles focus on pregraduate medical training in the management of opioid dependence specifically, a concensus exists on the need of a global addiction medicine curriculum that included aspects of opioid use, misuse and addiction. Including recovered patients and/or stabilised patients on opioid agonist treatment in the training programme can help to reduce negative attitudes and stigma. CONCLUSION: Pregraduate addiction medicine training can improve knowledge, attitudes and clinical practice related to addictive behaviours and addiction in future physicians. Concerning opioid dependence, learning objectives should include the domain of pain management, global drug policy, the principle of long-term opioid agonist treatment, and personal attitudes toward opioid addiction.</t>
  </si>
  <si>
    <t>(Broers B.) 12th Congress of European Opiate Addiction Treatment Association, EUROPAD 2016 Leiden, Netherlands 2016-05-27 to 2016-05-29 Pacini Editore S.p.A.; ID: 1941</t>
  </si>
  <si>
    <t>1592-1638</t>
  </si>
  <si>
    <t>Bronson,D. L.;O'Meara,K.;Author,Addresses;Correspondence,Address;Bronson,D. L.</t>
  </si>
  <si>
    <t>3772566; The impact of shared medical records on smoking awareness and behavior in ambulatory care</t>
  </si>
  <si>
    <t>Journal of general internal medicine : official journal of the Society for Research and Education in Primary Care Internal Medicine</t>
  </si>
  <si>
    <t>doctor patient relation;medical record;patient education;smoking (prevention);article;clinical trial;female;follow up;human;male;randomized controlled trial;United States</t>
  </si>
  <si>
    <t>In a randomized controlled trial of sharing medical records with ambulatory adults as part of periodic health examinations, 193 patients (experimental group; 37 smokers) received copies of their medical records while 208 patients (control group; 50 smokers) did not. Awareness of smoking as a health problem and smoking behavior were assessed two weeks and six months later. At two weeks, 46% of experimental group smokers indicated that smoking was a major health problem, compared with 21% of the control group (p less than 0.02), and 43% of the experimental group had quit or reduced smoking, compared with 20% of the control group (p less than 0.02). At six months smoking problem awareness was not significantly different (33% experimental group vs. 14% control group, p = NS), but 65% of the experimental group had quit or reduced compared with 29% of the control group (p less than 0.04). Sharing medical records with smokers after periodic health examinations is effective in enhancing patient awareness of smoking as a health problem and beginning the process of changing smoking behavior.</t>
  </si>
  <si>
    <t>(Bronson D.L.; O'Meara K.); ID: 3781</t>
  </si>
  <si>
    <t>http://www.ncbi.nlm.nih.gov/pubmed/3772566</t>
  </si>
  <si>
    <t>The impact of shared medical records on smoking awareness and behavior in ambulatory care</t>
  </si>
  <si>
    <t>Brook,J. S.;Lee,J. Y.;Finch,S. J.;Balka,E. B.;Brook,D. W.;Author,Addresses;Department,of Psychiatry;University School of Medicine, New,York N.;Correspondence,Address;JS Brook, Email judith brook,nyumc org</t>
  </si>
  <si>
    <t>23844958; Physical factors, personal characteristics, and substance use: associations with obesity</t>
  </si>
  <si>
    <t>addiction (complication);obesity (etiology, therapy);adult;African American;article;body mass;female;health behavior;Hispanic;human;male;motor activity;pathophysiology;psychological aspect;risk factor;satisfaction;sleep</t>
  </si>
  <si>
    <t>Because obesity has become a major public health problem, attention to a range of its predictors is needed. This study examined the association of physical factors, personal characteristics, and substance use with obesity in a sample (N = 815) of African American and Puerto Rican young adults with a mean age of 32. Body mass index (BMI) was calculated to assess obesity. Bivariate and multivariate logistic regression analyses were conducted. Bivariate analyses showed that protective factors such as physical activity (adjusted odds ratio AOR] = .82, 95% confidence interval CI] = .74-.91), healthy diet (AOR = .96, 95% CI = .93-.99), self-control (AOR = .93, 95% CI = .87-.98), and life satisfaction (AOR = .97, 95% CI = .95-.99) were associated with a reduced probability of being obese. Marijuana use was also associated with a decreased probability of obesity (AOR = .89, 95% CI = .80-.99), but was not considered a protective factor. Risk factors such as short sleep duration (AOR = 1.70, 95% CI = 1.24-2.33) and depressive mood (AOR = 1.05, 95% CI = 1.01-1.09) were associated with an increased probability of being obese. For African Americans and Puerto Ricans, programs to treat obesity should focus on increasing sleep, physical activity, and life satisfaction.</t>
  </si>
  <si>
    <t>(Brook J.S., judith.brook@nyumc.org) (Lee J.Y.; Finch S.J.; Balka E.B.; Brook D.W.); ID: 2465</t>
  </si>
  <si>
    <t>http://www.ncbi.nlm.nih.gov/pubmed/23844958</t>
  </si>
  <si>
    <t>Physical factors, personal characteristics, and substance use: associations with obesity</t>
  </si>
  <si>
    <t>Brose,L. S.;West,R.;Michie,S.;McEwen,A.;Author,Addresses;Tobacco,U. K. C.;Alcohol;Studies,Addictions Institute of Psychiatry King's College London United;Kingdom;Cancer Research, U K Health Behaviour,Research Centre;University,College London;Clinical,Educational;Health Psychology,University College;London,United Kingdom;National Centre for,Smoking Cessation;Training,United Kingdom;Correspondence,Address;LS Brose, Addictions Institute of Psychiatry King's,College London;Windsor Walk, London S E B B United Kingdom Email Leonie brose kcl,ac uk</t>
  </si>
  <si>
    <t>Changes in success rates of smoking cessation treatment associated with of a national evidence-based training programme</t>
  </si>
  <si>
    <t>carbon monoxide;program effectiveness;smoking cessation program;article;controlled study;evidence based practice;health care policy;human;medical staff;priority journal;professional knowledge;skill;smoking;training;carbon monoxide (630-08-0);Public Health, Social Medicine and Epidemiology (17)</t>
  </si>
  <si>
    <t>Objective: The English 'stop smoking services' provide behavioural support to some 700,000 smokers annually. Success rates of the services varied considerably before 2010 and had been in slight decline so, to improve performance, a national programme of evidence-based practitioner training was developed to improve knowledge and skills-based competences. This study evaluated whether uptake of the training was associated with improvements in success rates of services. Methods: Mean 4-week biochemically verified abstinence rates were compared for 146 (of 151) stop smoking services between 2008-10 (before roll-out of training) and 2011-13 (after roll-out), and the change in success rates for each service was regressed on to the number of practitioners per service trained in a) knowledge (online) and b) skills (face-to-face). Results: Success rate across all services improved between the two periods (34.1% to 36.5%, p=0.01 1-tailed; 95% CI for difference 0.44-4.48). The magnitude of improvement for each service was associated with the number of practitioners who completed the knowledge and skills training (beta = 0.22, p= 0.005 1-tailed), and marginally with the number who completed the knowledge training (beta= 0.14, p= 0.047 1-tailed). Conclusion: English stop smoking services that have greater uptake of a national evidence-based training programme showed greater improvements in success rates. â”¬âŒ 2014 Elsevier Inc.</t>
  </si>
  <si>
    <t>(Brose L.S., Leonie.brose@kcl.ac.uk) (West R.; McEwen A.) (Michie S.) (West R.; Michie S.; McEwen A.) (NCSCT) Academic Press Inc., apjcs@harcourt.com; ID: 2285</t>
  </si>
  <si>
    <t>1096-0260 (electronic) 0091-7435</t>
  </si>
  <si>
    <t>2014573574 PUI L373855767</t>
  </si>
  <si>
    <t>10.1016/j.ypmed.2014.08.021 FULL TEXT LINK http://dx.doi.org/10.1016/j.ypmed.2014.08.021</t>
  </si>
  <si>
    <t>Brown,A.;Kolade,V.;Patel,N.;Staton,L.;Author,Addresses;University,of Tennessee;of Medicine Chattanooga, Chattanooga,United States;Correspondence,Address;Brown, University of Tennessee College of Medicine Chattanooga,A.;Chattanooga,United States</t>
  </si>
  <si>
    <t>An assessment of internal medicine resident and medical student knowledge of addiction medicine</t>
  </si>
  <si>
    <t>July</t>
  </si>
  <si>
    <t>27 SUPPL. 2</t>
  </si>
  <si>
    <t>S119</t>
  </si>
  <si>
    <t>alcohol;benzodiazepine derivative;central stimulant agent;addiction;human;internal medicine;medical student;society;analysis of variance;community;curriculum;diseases;drug dependence;drug therapy;graduate;Internet;knowledge base;learning;medical school;medical specialist;patient;population;prescription;student;Student t test;substance abuse;United States</t>
  </si>
  <si>
    <t>BACKGROUND: Approximately 30 million Americans suffer with addiction, and nearly 7 million people misuse prescription medications. Further, addiction complicates the management of co-morbid conditions. There are too few addiction specialists in the United States and generalists are not well versed in addiction disorders; as a result, many patients are not treated adequately. In many medical schools and residency programs, lectures regarding alcohol and drug addiction are limited. The objective of our study was to assess and compare baseline knowledge among medical students and residents in a community-based internal medicine residency program and evaluate the impact of an addiction medicine curriculum on knowledge of substance abuse disorders. We also compared knowledge of medical students and residents from US medical schools to knowledge of international medical school graduates (IMGs). METHODS: A pretest was administered via the internet and in person to determine baseline knowledge of the subject. Study subjects included internal medicine and transitional year residents, as well as medical students who were enrolled in an internal medicine program at the time of the lecture series. Participants were given four structured sessions, one each week, on the topics of addiction, opioids, alcohol, benzodiazepines and illicit stimulants. An expert panel discussion was also convened. After the completion of the symposium the participants were instructed to complete a posttest online to assess if learning had occurred. ANOVA was used to compare means. Paired t-test was used to compare before and after scores. RESULTS: Thirty-six (36) of 44 (81.8%) medical students and medicine residents completed the pretest: internal medicine residents fared the best with an average of 65.4%, while third year internal medicine residents scored an average of 59.2%. Fourth year medical students scored 64%. Second year medicine residents averaged 62.3% and third year medical students averaged 62.5%. For all medical students, the average score was 63.3%; for residents, the average score was 62.5%. United States graduates averaged 65.0% correct while the average for international graduates was 58.6%. The differences between groups were not statistically significant. Of the 36 participants, 20 (55.6%) completed both surveys. Posttest scores, average 68.75%, were higher than pretest scores, which averaged 61.75%; p=0.003. Among IMGs, the average score rose from 57.5% (pretest: range 35-75%) to 72.5% after the seminars (range 50-85%); all 6 participants had higher posttest scores than pretest scores. Among the US trainees, the average score rose was 63.6% on the pretest (range 55-70%) and 67.1% on the posttest (range 45-85%); 8 of 14 (57.1%) participants had higher posttest than pretest scores. CONCLUSIONS: There is room for improvement in the knowledge base of medical students and residents concerning addiction medicine. Knowledge gains can be demonstrated after structured sessions. Similar studies in larger resident populations may elucidate specific components of the curriculum that are most valuable.</t>
  </si>
  <si>
    <t>(Brown A.; Kolade V.; Patel N.; Staton L.) 35th Annual Meeting of the Society of General Internal Medicine, SGIM 2012 Orlando, FL, United States 2012-05-09 to 2012-05-12 Springer New York; ID: 2535</t>
  </si>
  <si>
    <t>Brown,R. L.;Marcus,M. T.;Lala,S.;Straussner,A.;Graham,A. V.;Madden,T.;Schoener,E.;Henry,R.;Author,Addresses;Association for,Medical Education;Research in Substance Abuse,,U.S.Health Resources;Services;Administration;Department of,Family Medicine;Wisconsin,North Midvale Boulevard Madison W.I.United States;Correspondence,Address;RL Brown, Department of Family Medicine University,of Wisconsin;North Midvale Boulevard, Madison W I United,States Email;rlbrown@wisc.edu</t>
  </si>
  <si>
    <t>Project MAINSTREAM's first fellowship cohort: Pilot test of a national dissemination model to enhance substance abuse curriculum at health professions schools</t>
  </si>
  <si>
    <t>medical education;substance abuse;adult;article;cohort analysis;curriculum;female;health care delivery;health care personnel;health practitioner;health service;health survey;human;Internet;male;medical school;peer review;pilot study;priority journal;United States;Public Health, Social Medicine and Epidemiology (17)</t>
  </si>
  <si>
    <t>Objective: Generalist health professional training on substance abuse prevention is patchy. This study assessed the effects of Project MAINSTREAM, a national interdisciplinary faculty development fellowship program, whose principal objective was to enhance curriculum on basic substance abuse services at health professions training institutions. Five interdisciplinary teams of three health professions' faculty were selected as fellows. This study assessed changes in curriculum, training, fellows' knowledge, and fellows' academic productivity in substance abuse. Design: Pre- and post-program surveys and interviews were administered. Setting: Fellows were located in five cities in the USA. Method: The two-year, part-time training program featured training meetings, on-site and distance mentoring, and internet-based instructional materials. Principal learning activities consisted of developing independent projects in curriculum enhancement and prevention services delivery. Results: Fellows implemented 45 distinct curricula, providing 19,000 hours of new instruction to over 5000 trainees. Over 80 per cent of the training occurred as required curricular experiences. Fellows' academic accomplishments included five peer-reviewed publications, seven additional submitted papers, 78 presentations, and 23 awards or appointments. Fellows' knowledge increased significantly. Conclusions: Project MAINSTREAM shows promise as a national model for enhancing health professional training on substance abuse. copyright â”¬âŒ SAGE 2006.</t>
  </si>
  <si>
    <t>(Brown R.L., rlbrown@wisc.edu; Marcus M.T.; Straussner A.; Graham A.V.; Madden T.; Schoener E.; Henry R.) (Brown R.L., rlbrown@wisc.edu) (Lala S.) SAGE Publications Ltd, 55 City Road, London, United Kingdom.; ID: 3088</t>
  </si>
  <si>
    <t>2006464164 PUI L44426691</t>
  </si>
  <si>
    <t>10.1177/0017896906067776 FULL TEXT LINK http://dx.doi.org/10.1177/0017896906067776</t>
  </si>
  <si>
    <t>Browning,A.;Leuthard,J. L.;Stinchcomb,S. R.;Author,Addresses;Correspondence,Address;Browning,A.</t>
  </si>
  <si>
    <t>11921872; Tobacco use prevention and cessation--the focus of the Oklahoma State Medical Association Physicians' Campaign for a Healthier Oklahoma (PCHO)</t>
  </si>
  <si>
    <t>The Journal of the Oklahoma State Medical Association</t>
  </si>
  <si>
    <t>health promotion;smoking (prevention);smoking cessation;article;human;medical society;organization;United States</t>
  </si>
  <si>
    <t>(Browning A.; Leuthard J.L.; Stinchcomb S.R.); ID: 3338</t>
  </si>
  <si>
    <t>http://www.ncbi.nlm.nih.gov/pubmed/11921872</t>
  </si>
  <si>
    <t>Tobacco use prevention and cessation--the focus of the Oklahoma State Medical Association Physicians' Campaign for a Healthier Oklahoma (PCHO)</t>
  </si>
  <si>
    <t>Bruckner,T. A.;Domina,T.;Hwang,J. K.;Gerlinger,J.;Carpenter,C.;Wakefield,S.;Author,Addresses;Public,Health;Planning,Policy and;Design,University of California Irvine Social Ecology I.Irvine C.A.;States,United;School of Education, University,of California;Irvine,Irvine C. A. United States;Department,of Criminology;Society,University of;California,Irvine Irvine C. A. United States;Department of Economics, Vanderbilt,University Nashville;Tn,United States;School of Criminal Justice, Rutgers,Newark N.;States;Correspondence,Address;T.A. Bruckner,Public Health;Planning,Policy;Design,University of;California,Irvine Social Ecology I.Irvine C.A.United;States Email, tim bruckner,uci edu</t>
  </si>
  <si>
    <t>24016749; State-level education standards for substance use prevention programs in schools: A systematic content analysis</t>
  </si>
  <si>
    <t>education program;preventive medicine;substance use;article;communication skill;content analysis;evidence based practice;health behavior;high school;human;interpersonal communication;primary school;priority journal;program effectiveness;social adaptation;standard;United States;Public Health, Social Medicine and Epidemiology (17);Drug Dependence, Alcohol Abuse and Alcoholism (40)</t>
  </si>
  <si>
    <t>Purpose Three fourths of public schools in the United States maintain instructional programs to discourage alcohol, tobacco, and other drug (ATOD) use. State-sanctioned instructional standards attempt to direct this ATOD preventive education. No existing research, however, systematically codes these standards across all grades and states. We performed such an analysis. Methods We retrieved ATOD standards information from all 50 states and the District of Columbia from multiple sources, including the National Association of State Boards of Education's State School Health Policy Web site. Three independent researchers classified and cross-validated ATOD standards (inter-rater agreement = 98%) based on recommended content domains and pedagogic delivery methods. Results We find substantial grade-level variation in standards. Elementary schools emphasize generic social skills and affective skills, whereas middle and high school standards focus on knowledge about biological and behavioral consequences of ATOD use. States also vary widely in their content and coverage of standards. Two thirds of states do not include standards in all content areas considered "evidence-based." Conclusions The ATOD curricular agenda for the majority of states falls well below recommended content and delivery benchmarks. We intend for our harmonized data set - the first of its kind - to promote research that examines the relation among state ATOD standards, actual classroom instruction, and adolescent ATOD use. â”¬âŒ 2014 Society for Adolescent Health and Medicine. All rights reserved.</t>
  </si>
  <si>
    <t>(Bruckner T.A., tim.bruckner@uci.edu) (Domina T.; Hwang J.K.) (Gerlinger J.) (Carpenter C.) (Wakefield S.) Elsevier USA, 6277 Sea Harbor Drive, Orlando, United States.; ID: 2248</t>
  </si>
  <si>
    <t>1054-139X 1879-1972 (electronic)</t>
  </si>
  <si>
    <t>http://www.ncbi.nlm.nih.gov/pubmed/24016749</t>
  </si>
  <si>
    <t>10.1016/j.jadohealth.2013.07.020 FULL TEXT LINK http://dx.doi.org/10.1016/j.jadohealth.2013.07.020</t>
  </si>
  <si>
    <t>State-level education standards for substance use prevention programs in schools: A systematic content analysis</t>
  </si>
  <si>
    <t>Buchanan,A. R.;Prince-Elcan,M.;Author,Addresses;Clinical Tools, Inc Chapel,Hill United;States;Correspondence,Address;AR Buchanan, Clinical Tools Inc Chapel Hill,United States</t>
  </si>
  <si>
    <t>On-line medical student training on buprenorphine and opioid dependence</t>
  </si>
  <si>
    <t>(MAJOR FOCUS);buprenorphine;opiate;medical student;addiction;clinical practice;curriculum;health care quality;hepatitis B;Human immunodeficiency virus;Internet;interview;medical school;patient;physician;public health;self concept;substance abuse;teaching;United States</t>
  </si>
  <si>
    <t>Objectives: 1. Continue development of educational modules based on the curriculum plan and Phase I findings. 2. Complete a summative evaluation of all modules with 80 medical students using a pre/post standardized patient interview. Abstract: A suite of Internet-based educational modules is being developed to teach medical students about buprenorphine treatment and opioid addiction. These topics are not part of the standard medical school curriculum despite the growing problem of opioid dependence in the United States and related public health issues such as HIV, and Hepatitis B and C. Program Description: Opioid dependence and treatment with buprenorphine are topics well suited to teaching medical students since explanation of these topics leads to discussion of the role of practicing physicians in substance abuse treatment, raises complicated multi-disciplinary treatment issues, involves understanding complex biological and social basis of addictions, and leads to the discussion of how new treatments are developed and moved into practice. Program Evaluation Outcome: We will evaluate the modules' effect on attitudes toward substance abuse patients, clinical practice, selfefficacy, and knowledge. A randomized study will compare subjects using the buprenorphine modules to subjects using modules on a topic unrelated to substance abuse. Clinical practice changes will be measured using interviews with simulated patients who are trained to bring up issues related to opioid use or treatment. Pilot testing of the prototype module showed a significant increase in knowledge, attitude, self-efficacy and intended behavior from pre to post-course. Conclusions: After the value of the courses has been scientifically demonstrated, we will work with medical schools throughout the United States that are interested in adding the modules to their curriculum. If successful, the training will expand the capabilities of medical students and prepare them for the challenges they will face as practicing physicians.</t>
  </si>
  <si>
    <t>(Buchanan A.R.; Prince-Elcan M.C.) 2007 AMERSA National Meeting Haworth Press Inc.; ID: 2907</t>
  </si>
  <si>
    <t>10.1080/08897070902802133 FULL TEXT LINK http://dx.doi.org/10.1080/08897070902802133</t>
  </si>
  <si>
    <t>Buhrs,R.;Author,Addresses;Dietrich Bonhoeffer Klinik, Dr,Eckenerstr Ahlhorn;Germany;Correspondence,Address;Buhrs, Dietrich Bonhoeffer Klinik Dr Eckenerstr Ahlhorn,R.;Germany</t>
  </si>
  <si>
    <t>The abuse of medicaments by primarily alcohol addicted youths. Results of an epidemiological study in Niedersachsen ORIGINAL (NON-ENGLISH) TITLE DER ARZNEIMITTELMISSBRAUCH BEI PRIMAR ALKOHOLABHANGIGEN JUGENDLICHEN. ERGEBNISSE EINER EPIDEMIOLOGISCHEN UNTERSUCHUNG IN NIEDERSACHSEN</t>
  </si>
  <si>
    <t>Sucht</t>
  </si>
  <si>
    <t>(MAJOR FOCUS);alcohol (drug toxicity);barbituric acid derivative;benzodiazepine;opiate;psychostimulant agent;antidepressant agent;diphenhydramine;neuroleptic agent;drug dependence;adolescent;adult;article;female;human;major clinical study;male;alcohol (64-17-5);benzodiazepine (12794-10-4);diphenhydramine (147-24-0, 58-73-1);opiate (53663-61-9, 8002-76-4, 8008-60-4);Public Health, Social Medicine and Epidemiology (17);Psychiatry (32);Drug Literature Index (37);Drug Dependence, Alcohol Abuse and Alcoholism (40)</t>
  </si>
  <si>
    <t>781 primarily alcohol addicted youths, at an average age of 22, were asked about their abuse of medicaments and illegal drugs in the course of their addiction. 41.6% of the drug addicts in the sample had abused 127 different kinds of medicine. The products abused most frequently were benzodiazepine products, followed by psychostimulants, barbiturates and opiates. On the basis of selected demographic features, it will be shown that in the course of the addictive development, medicaments do not only accompany the young drug addicts but also pave the way to their subsequent addiction to drugs.</t>
  </si>
  <si>
    <t>(Buhrs R.); ID: 3564</t>
  </si>
  <si>
    <t>0939-5911</t>
  </si>
  <si>
    <t>1994236697 PUI L24233089</t>
  </si>
  <si>
    <t>The abuse of medicaments by primarily alcohol addicted youths. Results of an epidemiological study in Niedersachsen ORIGINAL (NON-ENGLISH) TITLE DER ARZNEIMITTELMISSBRAUCH BEI PRIMAR ALKOHOLABHANGIGEN JUGENDLICHEN. ERGEBNISSE EINER EPIDEMIOLOGIS(TRUNCATED)</t>
  </si>
  <si>
    <t>Bunt,G.;Galanter,M.;El-Guebaly,N.;Author,Addresses;Daytop Village,Inc,United States;Division of,Alcoholism;Drug Abuse, N Y U School,of Medicine;United,States;Psychiatry,University of Calgary Canada;Correspondence,Address;Bunt, Daytop Village Inc United States,G.</t>
  </si>
  <si>
    <t>Publication in international journals: Perspectives from the experience of leadership in the international society of addiction medicine</t>
  </si>
  <si>
    <t>i12</t>
  </si>
  <si>
    <t>addiction;leadership;society;book;clinical research;community;community program;editor;human;national health organization;substance abuse;therapeutic community</t>
  </si>
  <si>
    <t>Since its establishment in 1998, ISAM has focused on dissemination of recent research findings to the medical community, both in its annual conferences and its publication. Given the considerable expansion of both basic and clinical research in the addiction field in the recent years, it is important to members of the worldwide academic community to consider a variety of options for publication of their research findings. These include a number of journals and textbooks where this can be undertaken. In light of this, three key members of ISAM will be presenting perspectives on this field of academic activity based on roles they have played in relation to the editorial management of ISAM and related publications. This symposium will therefore provide attendees with useful background information on options for publication and a perspective on ISAM's role in this area of international scholarship. Gregory Bunt, M.D., the President-elect of ISAM, will review experiences in our organization with regard to this aspect of research dissemination. This will include the role of ISAM publications, with particular reference to the society's conference grant from the National Institute on Drug Abuse, of which he is Project Director, and research conducted in the therapeutic community program which he has directed, which has been presented in symposia at the ISAM annual meeting. Nady El-guebaly, M.D. edits, along with co-editors, Drs. Giuseppe Carra and Marc Galanter ISAM's Î“Ã‡Â£Textbook on Addiction Treatment: International Perspectives.Î“Ã‡Â¥ He will present a talk on, Î“Ã‡Â£Defining An International Perspective: Lessons from a Textbook,Î“Ã‡Â¥ describing the extensive contents in the upcoming textbook, also the opportunity it presents to bring together a remarkable group of international contributors in a collaborative venture. Marc Galanter, M.D., Founding Editor of ISAM's official Journal, Î“Ã‡Â£Substance Abuse,Î“Ã‡Â¥ is currently Senior Editor, focusing on international issues. He will describe the 34 year history of the development of this journal, the kinds of articles which have been published, and the relationship of the journal to ISAM.</t>
  </si>
  <si>
    <t>(Bunt G.) (Galanter M.) (El-Guebaly N.A.) 16th International Society of Addiction Medicine Annual Meeting Yokohama, Japan 2014-10-02 to 2014-10-06 Oxford University Press; ID: 2208</t>
  </si>
  <si>
    <t>10.1093/alcalc/agu052.49 FULL TEXT LINK http://dx.doi.org/10.1093/alcalc/agu052.49</t>
  </si>
  <si>
    <t>Burke,J.;Author,Addresses;Correspondence,Address;Burke, Email burke choice net,J.</t>
  </si>
  <si>
    <t>Learning from the addiction-related deaths of celebrities</t>
  </si>
  <si>
    <t>Pharmacy times</t>
  </si>
  <si>
    <t>Pharm.Times</t>
  </si>
  <si>
    <t>alcohol;benzodiazepine;prescription drug;addiction;addiction related death;death;public figure;alcoholism;drug abuse;human;note;pharmacy;physician;prescription;substance abuse;alcohol (64-17-5);benzodiazepine (12794-10-4);Public Health, Social Medicine and Epidemiology (17);Pharmacy (39);Drug Dependence, Alcohol Abuse and Alcoholism (40)</t>
  </si>
  <si>
    <t>(Burke J., burke@choice.net) Intellisphere LLC, 6666 PlainsBoro Road BLDG 300, PlainsBoro,New Jersey, United States.; ID: 2568</t>
  </si>
  <si>
    <t>0003-0627</t>
  </si>
  <si>
    <t>2012235621 PUI L364680151</t>
  </si>
  <si>
    <t>Caldwell,A. D. S.;Author,Addresses;Gardiner-Caldwell Communications, The Old,Ribbon Mill;Pitt Street, Macclesfield Cheshire,S.K.P.T.United Kingdom;Correspondence,Address;ADS Caldwell, Gardiner-Caldwell Communications The Old Ribbon,Mill Pitt;Street,Macclesfield Cheshire S. K. P. T. United Kingdom</t>
  </si>
  <si>
    <t>Educating the educators</t>
  </si>
  <si>
    <t>Journal of Smoking-Related Disorders</t>
  </si>
  <si>
    <t>general practitioner;medical education;smoking;attitude;editorial;human;normal human;Public Health, Social Medicine and Epidemiology (17)</t>
  </si>
  <si>
    <t>(Caldwell A.D.S.); ID: 3558</t>
  </si>
  <si>
    <t>0959-2431</t>
  </si>
  <si>
    <t>1995029406 PUI L25028131</t>
  </si>
  <si>
    <t>Campbell,A. H.;Elder,N. G.;Author,Addresses;Repair Iat. Dept,Melbourne;Correspondence,Address;AH Campbell, Repair Iat,Dept Melbourne</t>
  </si>
  <si>
    <t>The effect of tobacco smoking on the course of chronic bronchitis</t>
  </si>
  <si>
    <t>chronic bronchitis;smoking;cigarette smoking;coughing;general condition;patient;physician;smoke;smoking habit;sputum</t>
  </si>
  <si>
    <t>Chronic bronchitics continuing to smoke were compared with those who no longer smoked. The two groups were quite similar apart from the smoking habits, and the subsequent inferior progress of the smokers during a six-months period can be attributed to the difference in smoking habits. The smokers had more exacerbations, lost more time from work and spent more time in bed than the non-smokers. They had more visits to their medical practitioners, and they reported less favourably on the progress of their general condition, the nature of their cough and the amount of sputum produced. Of a second group of 18 patients with chronic productive cough who had ceased smoking for some years, 10 reported that sputum production had ceased and three reported considerable reduction of sputum. It is concluded that cigarette smoking is an important factor in maintaining or aggravating established chronic bronchitis.</t>
  </si>
  <si>
    <t>(Campbell A.H.; Elder N.G.); ID: 3974</t>
  </si>
  <si>
    <t>2007595328 PUI L280975133</t>
  </si>
  <si>
    <t>Cardoso,E. D. S.;Pruett,S. R.;Chan,F.;Tansey,T. N.;Author,Addresses;Department of,Educational;Foundations;Counseling Programs, Hunter College City University,of New;York;Department of,Rehabilitation Counseling;Florida;Department,of Rehabilitation;Special,Education;University of,Wisconsin-Madison;Department,of Counseling;Special;Education,Michigan State University;Department of,Educational;Foundations;Counseling Programs, Hunter College City University,of New;York,Park Avenue W.New York N.Y.United States;Correspondence,Address;EDS Cardoso, Department of,Educational Foundations;Counseling;Programs,Hunter College City University of New York Park Avenue;W,New York N.Y.United States Email ecardoso hunter cuny edu</t>
  </si>
  <si>
    <t>Substance abuse assessment and treatment: The current training and practice of APA Division 22 members</t>
  </si>
  <si>
    <t>Rehabilitation Psychology</t>
  </si>
  <si>
    <t>substance abuse;training;adult;article;behavior;cognition;coping behavior;curriculum;disability;education;female;health survey;human;male;medical education;medical practice;normal human;psychologist;rehabilitation;self help;skill;Public Health, Social Medicine and Epidemiology (17);Drug Dependence, Alcohol Abuse and Alcoholism (40)</t>
  </si>
  <si>
    <t>Objective: To determine the preparedness of rehabilitation psychologists to work with people with disabilities with primary or secondary substance-related problems by examining their education, training, and current practice. Design: Mail survey. Participants: 76 (47 men, 29 women) Division 22 members of the American Psychological Association. Results: Although 79% of respondents reported treating individuals with alcohol and other drug issues, over half rated their training in substance abuse treatment as inadequate. Referring to self-help groups and instilling cognitive-behavioral coping skills were common treatments. Participants reported a lack of preparation in substance abuse training in their graduate program coursework, practicum, and internship. Conclusion: Continuing education and changes to curriculum requirements, with linkage to existing certification bodies, should be considered to close the gap between training and practice. Copyright 2006 by the American Psychological Association.</t>
  </si>
  <si>
    <t>(Cardoso E.D.S., ecardoso@hunter.cuny.edu) (Pruett S.R.) (Chan F.) (Tansey T.N.); ID: 3111</t>
  </si>
  <si>
    <t>0090-5550</t>
  </si>
  <si>
    <t>2006285473 PUI L43886860</t>
  </si>
  <si>
    <t>10.1037/0090-5550.51.2.175 FULL TEXT LINK http://dx.doi.org/10.1037/0090-5550.51.2.175</t>
  </si>
  <si>
    <t>Carlson,R. G.;Sexton,R.;Wang,J.;Falck,R.;Leukefeld,C. G.;Booth,B. M.;Author,Addresses;Boonshoft School of Medicine, Center,for Interventions;Treatment;Addiction Research, Wright State University,Dayton Ohio;A.,U. S.;Correspondence,Address;RG Carlson, Boonshoft School of Medicine Center,for Interventions;Treatment;Addiction Research, Wright State University,Dayton Ohio;edu,U. S. A. E.</t>
  </si>
  <si>
    <t>20391264; Predictors of substance abuse treatment entry among rural illicit stimulant users in Ohio, Arkansas, and Kentucky</t>
  </si>
  <si>
    <t>cocaine dependence;drug abuse;health service;patient attitude;rural population;adult;article;female;human;male;psychological aspect;risk factor;statistics;United States</t>
  </si>
  <si>
    <t>Illicit drug use in the rural United States is increasingly common, yet little is known about drug users' treatment-seeking behaviors. This study identifies predictors of substance abuse treatment entry over 24 months among 710 illicit stimulant users in rural areas of Ohio, Arkansas, and Kentucky. Active users of powdered cocaine, crack cocaine, and/or methamphetamine (MA) were recruited using respondent-driven sampling. Participants completed structured interviews at baseline and follow-up questionnaires every 6 months for 24 months. Data were analyzed using the Cox proportional hazards model. The paper is informed by the Anderson-Newman Model. Overall, 18.7% of the sample entered treatment. Ohio or Kentucky residence, perceived need for substance abuse treatment, higher Addiction Severity Index (ASI) legal problem composite scores, prior substance abuse treatment, and tranquilizer use were positively associated with treatment entry. Nondaily crack cocaine users and marijuana users were less likely to enter treatment. The findings can help inform rural substance abuse treatment program development and outreach.</t>
  </si>
  <si>
    <t>(Carlson R.G.) (Sexton R.; Wang J.; Falck R.; Leukefeld C.G.; Booth B.M.); ID: 2835</t>
  </si>
  <si>
    <t>http://www.ncbi.nlm.nih.gov/pubmed/20391264</t>
  </si>
  <si>
    <t>10.1080/08897070903442459 FULL TEXT LINK http://dx.doi.org/10.1080/08897070903442459</t>
  </si>
  <si>
    <t>Predictors of substance abuse treatment entry among rural illicit stimulant users in Ohio, Arkansas, and Kentucky</t>
  </si>
  <si>
    <t>Carpenter,K. M.;Cheng,W. Y.;Smith,J. L.;Brooks,A. C.;Amrhein,P. C.;Wain,R. M.;Nunes,E. V.;Author,Addresses;Columbia University,College,of Physicians;Surgeons,New York;State Psychiatric Institute, New York,N.Y.United States;Treatment Research Institute, Philadelphia,P.A.United States;Department,of Psychology;University,Columbia University United States;Correspondence,Address;KM Carpenter, New York State Psychiatric Institute,Riverside Drive;New York, N Y United States Email carpent nyspi,columbia edu</t>
  </si>
  <si>
    <t>22563640; Old dogs and new skills: How clinician characteristics relate to motivational interviewing skills before, during, and after training</t>
  </si>
  <si>
    <t>Journal of consulting and clinical psychology</t>
  </si>
  <si>
    <t>J.Consult.Clin.Psychol.</t>
  </si>
  <si>
    <t>medical education;motivational interviewing;psychiatrist;article;audiovisual equipment;correlation coefficient;human;workshop;Public Health, Social Medicine and Epidemiology (17);Psychiatry (32)</t>
  </si>
  <si>
    <t>Objective: The relationships between the occupational, educational, and verbal-cognitive characteristics of health care professionals and their motivational interviewing (MI) skills before, during, and after training were investigated. Method: Fifty-eight community-based addiction clinicians (M = 42.1 years, SD = 10.0; 66% Female) were assessed prior to enrolling in a 2-day MI training workshop and being randomized to one of three post-workshop supervision programs: live supervision via tele-conferencing (TCS), standard tape-based supervision (Tape), or workshop training alone. Audiotaped sessions with clients were rated for MI skillfulness with the Motivational Interviewing Treatment Integrity (MITI) coding system v 2.0 at pre-workshop and 1, 8, and 20 weeks post-workshop. Correlation coefficients and generalized linear models were used to test the relationships between clinician characteristics and MI skill at each assessment point. Results: Baseline MI skill levels were the most robust predictors of pre-and post-supervision performances. Clinician characteristics were associated with MI Spirit and reflective listening skill throughout training and moderated the effect of post-workshop supervision method on MI skill. TCS, which provided immediate feedback during practice sessions, was most effective for increasing MI Spirit and reflective listening among clinicians with no graduate degree and stronger vocabulary performances. Tape supervision was more effective for increasing these skills among clinicians with a graduate degree. Further, TCS and Tape were most likely to enhance MI Spirit among clinicians with low average to average verbal and abstract reasoning performances. Conclusions: Clinician attributes influence the effectiveness of methods used to promote the acquisition of evidence-based practices among community-based practitioners. â”¬âŒ 2012 American Psychological Association.</t>
  </si>
  <si>
    <t>(Carpenter K.M., carpent@nyspi.columbia.edu; Cheng W.Y.; Smith J.L.; Nunes E.V.) (Brooks A.C.) (Amrhein P.C.; Wain R.M.) American Psychological Association Inc., 750 First Street, NE Washington, United States.; ID: 2533</t>
  </si>
  <si>
    <t>0022-006X 1939-2117 (electronic)</t>
  </si>
  <si>
    <t>http://www.ncbi.nlm.nih.gov/pubmed/22563640</t>
  </si>
  <si>
    <t>10.1037/a0028362 FULL TEXT LINK http://dx.doi.org/10.1037/a0028362</t>
  </si>
  <si>
    <t>Old dogs and new skills: How clinician characteristics relate to motivational interviewing skills before, during, and after training</t>
  </si>
  <si>
    <t>Carrâ”œâŒ,P.;Author,Addresses</t>
  </si>
  <si>
    <t>The pneumologist faced with smoking cessation: Continuing medical education seminar, November 5, 2005, Carcassone ORIGINAL (NON-ENGLISH) TITLE Le pneumologue face â”œÃ¡ l'arrâ”œÂ¬t du tabac: Sâ”œâŒminaire de formation mâ”œâŒdicale continue, 5 Novembre 2005, Carcassonne</t>
  </si>
  <si>
    <t>Revue des maladies respiratoires</t>
  </si>
  <si>
    <t>Rev.Mal.Respir.</t>
  </si>
  <si>
    <t>3S106</t>
  </si>
  <si>
    <t>tobacco dependence;behavior;consultation;medical information;short survey;smoking;smoking cessation;Chest Diseases, Thoracic Surgery and Tuberculosis (15);Public Health, Social Medicine and Epidemiology (17);Psychiatry (32);Drug Dependence, Alcohol Abuse and Alcoholism (40)</t>
  </si>
  <si>
    <t>(Carrâ”œâŒ P.); ID: 3125</t>
  </si>
  <si>
    <t>0761-8425</t>
  </si>
  <si>
    <t>2006536474 PUI L44670266</t>
  </si>
  <si>
    <t>rmr-02-2006-23-1-SUP1-0761-8425-101019-200530163 FULL TEXT LINK http://dx.doi.org/rmr-02-2006-23-1-SUP1-0761-8425-101019-200530163</t>
  </si>
  <si>
    <t>The pneumologist faced with smoking cessation: Continuing medical education seminar, November 5, 2005, Carcassone ORIGINAL (NON-ENGLISH) TITLE Le pneumologue face â”œÃ¡ l'arrâ”œÂ¬t du tabac: Sâ”œâŒminaire de formation mâ”œâŒdicale continue, 5 (TRUNCATED)</t>
  </si>
  <si>
    <t>Carrâ”œÃ¡,G.;Bartoli,F.;Carretta,D.;Scafato,E.;Clerici,M.;Mann,K. F.;Author,Addresses;Department of Mental Health Sciences, University,College London;United,Kingdom;Dipartimento di Neuroscienze,e Tecnologie Biomediche;Psichiatria,Universitâ”œÃ¡ Degli Studi di Milano-Bicocca via Cadore;Monza,Italy;Osservatorio Nazionale Alcol, Centro,Nazionale di;Epidemiologia,Sorveglianza e Promozione della Salute Istituto Superiore di;Sanitâ”œÃ¡,Roma Italy;Central Institute of Mental Health, University,of Heidelberg;Mannheim,Germany;Correspondence,Address;Bartoli, Dipartimento di Neuroscienze e Tecnologie Biomediche Sezione di,F.;Psichiatria,Universitâ”œÃ¡ Degli Studi di Milano-Bicocca via Cadore;Monza,Italy Email f bartoli campus unimib it</t>
  </si>
  <si>
    <t>Why is it important a European federation of addiction societies? ORIGINAL (NON-ENGLISH) TITLE Perchâ”œâŒ â”œÂ¿ importante una federazione europea delle societâ”œÃ¡ delle tossicodipendenze?</t>
  </si>
  <si>
    <t>Quaderni Italiani di Psichiatria</t>
  </si>
  <si>
    <t>addiction;alcohol consumption;article;European Union;health care policy;medical society;neurologic disease;substance abuse;Neurology and Neurosurgery (8);Public Health, Social Medicine and Epidemiology (17);Psychiatry (32)</t>
  </si>
  <si>
    <t>Introduction: In the European Union, alcohol use and substance use disorders are among the top five causes of morbidity and mortality due to neurological disease, with an impact on general population comparable to that of cardiovascular diseases and cancer. However, despite this situation research in the field of Addiction Medicine is hampered, first of all because of a lack of funds and the influence of the European Commission in steering them. In addition, the lack of stable links between research groups working in this field limits the possibility to share related knowledge and experience and the development of training networks. In the summer of 2010, 23 scientific societies from 16 European countries established the European Federation of Addiction Societies (EUFAS), with the aim to deal with these issues and to facilitate the development of prevention, treatment, research and health policy programs in relation to substance use disorders. Conclusions: EUFAS' efforts should contribute to the development of research, training and clinical practice in the field of Addiction Medicine, thanks to the collaboration between professionals working in the field, not only within the European Union but also in collaboration with organizations and institutions outside Europe. â”¬âŒ 2012 Elsevier Srl. All rights reserved.</t>
  </si>
  <si>
    <t>(Carrâ”œÃ¡ G.) (Bartoli F., f.bartoli@campus.unimib.it; Carretta D.; Clerici M.) (MB) (Scafato E.) (Mann K.F.) Masson SpA, Via F.lli Bressan 2, Milan, Italy.; ID: 2480</t>
  </si>
  <si>
    <t>0393-0645 2039-6376 (electronic)</t>
  </si>
  <si>
    <t>2012709027 PUI L52294039</t>
  </si>
  <si>
    <t>10.1016/j.quip.2012.10.002 FULL TEXT LINK http://dx.doi.org/10.1016/j.quip.2012.10.002</t>
  </si>
  <si>
    <t>Carrâ”œÃ¡,G.;Clerici,M.;Author,Addresses;Dept,of Appl;Section of Psychiatry, University of Pavia,Pavia Italy;Department of Psychiatry, San Paolo's Hospital,Medical School;University,of Milan;Dept,of Appl;Section of Psychiatry, University of Pavia Via,Bassi Pavia;Italy;Ital Assoc,on Addiction;Via Bassi,Pavia Italy;Correspondence,Address;Carrâ”œÃ¡, Dept of Appl Hlth Behav Sciences Section of Psychiatry,G.;University of Pavia, Via Bassi Pavia,Italy Email;giuseppe.carra@unipv.it</t>
  </si>
  <si>
    <t>12873237; The Italian Association on Addiction Psychiatry (SIPDip), formerly The Italian Association on Abuse and Addictive Behaviours</t>
  </si>
  <si>
    <t>medical society;substance abuse;addiction;behavior;comorbidity;ethics;government;health care organization;health care personnel;health care policy;health education;health program;Italy;population;practice guideline;psychiatrist;public health service;review;Public Health, Social Medicine and Epidemiology (17);Psychiatry (32);Drug Dependence, Alcohol Abuse and Alcoholism (40)</t>
  </si>
  <si>
    <t>The Italian Association on Addiction Psychiatry (SIPDip) is a special section of the Italian Psychiatric Association (SIP). It started, under the name of the Italian Association on Abuse and Addictive Behaviours (SICAD), in 1989 from the awareness that the addiction field had been starved of a psychiatrists' contribution since 1975. SIPDip aims to improve and implement study, clinical, research and educational topics about substance abuse and addictive behaviours. The National Board composition aims to provide an equal distribution of psychiatrists working in psychiatric and addiction facilities inside the National Health System, and private non-profit agencies. All psychiatrists and members of the Italian Psychiatric Association can become SIPDip ordinary members, while other health professionals working in psychiatric and addiction fields can become associate members. SIPDip has its National Congress every second year. In 2001 it promoted a network called the National Council of Addiction Disorders. It is recognized officially by the Drug Policy National Department and was created under the direct authority of the Prime Minister. In this, SIPDip is particularly involved in review groups relating to ethical issues, substitutive therapies and dual diagnosis. Furthermore, it organized the first Consensus Conference on Dual Diagnosis, under the sponsorship of the Italian Psychiatric Association. This was held in June 2003 to implement relevant national guidelines. The SIPDip main topics that will be addressed in the near future are: psychiatric comorbidity in substance related disorders; intervention efficacy assessment; and special populations and novel addictions. The National Board meeting on 15 December 2002 decided to submit to the General Assembly in April 2003, a motion to modify the Association's byelaws and to rename the organization 'The Italian Association of Addiction Psychiatry'.</t>
  </si>
  <si>
    <t>(Carrâ”œÃ¡ G., giuseppe.carra@unipv.it) (Clerici M.) Blackwell Publishing Ltd, 9600 Garsington Road, Oxford, United Kingdom.; ID: 3266</t>
  </si>
  <si>
    <t>http://www.ncbi.nlm.nih.gov/pubmed/12873237</t>
  </si>
  <si>
    <t>10.1046/j.1360-0443.2003.00458.x FULL TEXT LINK http://dx.doi.org/10.1046/j.1360-0443.2003.00458.x</t>
  </si>
  <si>
    <t>The Italian Association on Addiction Psychiatry (SIPDip), formerly The Italian Association on Abuse and Addictive Behaviours</t>
  </si>
  <si>
    <t>Carson,K. V.;Verbiest,M. E. A.;Brinn,M. P.;Crone,M. R.;Esterman,A. J.;Assendelft,W. J. J.;Smith,B. J.;Author,Addresses;Clinical,Practice Unit;Research Institute,Australia;Department,of Public;and Primary Care, Leiden University Medical,Centre Netherlands;School of,Nursing;Midwifery,University of South;Australia,Australia;Correspondence,Address;KV Carson, Clinical Practice Unit Basil Hetzel,Research Institute;Australia</t>
  </si>
  <si>
    <t>Training health professionals in smoking cessation: A cochrane systematic review</t>
  </si>
  <si>
    <t>17 SUPPL. 1</t>
  </si>
  <si>
    <t>nicotine;Australia and New Zealand;health practitioner;New Zealand;smoking cessation;society;systematic review;abstinence;counseling;data base;follow up;health care personnel;human;patient;physician;prescription;prevalence;publication;randomized controlled trial (topic);register;risk;self help;smoking;therapy;tobacco dependence</t>
  </si>
  <si>
    <t>Aim To determine the efficacy of training health professionals in the delivery of smoking cessation interventions to patients, and additional effects of trial characteristics e.g., content, delivery method and intensity. Methods The Cochrane Tobacco Addiction Group's register, electronic databases and bibliographies of studies were searched. Randomized controlled trials of at least 6 months duration, with an intervention of training healthcare professionals in smoking cessation were included. Results Thirteen of 12 studies were meta-analysed. A statistically and clinically significant effect was produced in favour of the intervention for smoking point prevalence (odds ratio 1.40, 95% CI 1.09 to 1.80, P = 0.008). Healthcare professionals who received training were more likely to perform smoking cessation tasks than untrained controls, including: asking patients to set quit dates (P &lt; 0.0001), making follow-up appointments (P &lt; 0.00001), counselling of smokers (P &lt; 0.0001) provision of self-help material (P &lt; 0.0001) and prescription of quit dates (P &lt; 0.00001). No evidence of an effect was observed for provision of nicotine gum/replacement therapy. Conclusion Training health professionals to provide smoking cessation interventions had a measurable effect on smoking point prevalence and professional performance. New studies are needed to investigate multi-component interventions that incorporate newer pharmacotherapies or other smoking cessation aids alongside physician training, to determine if any additional benefit in long term abstinence can be obtained.</t>
  </si>
  <si>
    <t>(Carson K.V.; Brinn M.P.; Smith B.J.) (Verbiest M.E.A.; Crone M.R.; Assendelft W.J.J.) (Esterman A.J.) 2012 Annual Scientific Meetings of the Thoracic Society of Australia and New Zealand and the Australian and New Zealand Society of Respiratory Science Canberra, ACT, Australia 2012-03-30 to 2012-04-04 Wiley Blackwell; ID: 2566</t>
  </si>
  <si>
    <t>10.1111/j.1440-1843.2012.02142.x FULL TEXT LINK http://dx.doi.org/10.1111/j.1440-1843.2012.02142.x</t>
  </si>
  <si>
    <t>Carvalho,K. A. M.;Sant'Anna,M. J. C.;Coates,V.;Omar,H. A.;Author,Addresses;Adolescent Clinical,Unit;Department of Pediatrics, Santa Casa of Sâ”œÃºo Paulo Faculty,of Medical;Sciences,Sâ”œÃº;Division of,Adolescent Medicine;Pediatrics,University of Kentucky Lexington K.Y.United States;Correspondence,Address;H.A. Omar,Adolescent Medicine;Young,Parent Programs;University of Kentucky, Lexington K Y United,States Email;haomar2@uky.edu</t>
  </si>
  <si>
    <t>19097570; Medical students: Abuse of psychoactive substances and sexuality aspects</t>
  </si>
  <si>
    <t>International Journal of Adolescent Medicine and Health</t>
  </si>
  <si>
    <t>Int.J.Adolesc.Med.Health</t>
  </si>
  <si>
    <t>July/September</t>
  </si>
  <si>
    <t>alcohol;cannabis;chloroethane;illicit drug;tranquilizer;medical education;sexuality;substance abuse;abortion;adolescent;adult;alcohol consumption;article;Brazil;cannabis smoking;condom;contraception;controlled study;female;high risk behavior;human;major clinical study;male;medical school;medical student;parental behavior;pregnancy;prospective study;questionnaire;school stress;self esteem;sexual intercourse;smoking;sport;unsafe sex;alcohol (64-17-5);cannabis (8001-45-4, 8063-14-7);chloroethane (75-00-3);Pediatrics and Pediatric Surgery (7);Obstetrics and Gynecology (10);Public Health, Social Medicine and Epidemiology (17);Psychiatry (32);Drug Dependence, Alcohol Abuse and Alcoholism (40)</t>
  </si>
  <si>
    <t>University students aged 17 to 24 years of age are prone to many risk factors. Objectives: Identify risk factors related to exploring sexuality and characteristics of consumption of psychoactive substances in students attending medical school. Methods: 465 Medical students from Santa Casa of Sâ”œÃºo Paulo Faculty of Medical Sciences (FCMSCSP) were prospectively and transversely evaluated during 2005. An anonymous, semi-structured, self-filling questionnaire was used. The average age of the students was 21.5 years, 43% females. 76.2% preferred alcohol, and 11.1% tobacco consumption; chloroethane (lanâ”œÂºa-perfume) consumption occurred in 22.6% and 15.3% consumption of other types of illicit drugs, with marijuana as the most used one (94%). 70.3%, of the parents drink alcohol and 30.5% smoke tobacco. As for the students' sexuality, 85.3% have already had sexual intercourses, starting at average age of 17. 88.8% used condom during the first sexual intercourse, however, 35.6% did not use it regularly; 5.4% had already had some type of DST. 79.8% of the females preferred having used contraceptive methods; however, 28.1% had a suspicion of pregnancy, which was confirmed in 7.9% of the cases. 9.9% of the students had ideas of abortion, 12.5% have effectively attempted it. 85% found medical school stressing and to relieve tension, 33.8% practiced sports; 6.9% preferred either licit or illicit drug consumption, and 5% used tranquilizers. The results showed risk behaviors: unsafe sex and the use of licit and illicit drugs indicated the need to establish guidance programs on reproductive health, improving self-esteem, and prevention during medical education. â”¬âŒFreund Publishing House Ltd.</t>
  </si>
  <si>
    <t>(Carvalho K.A.M.; Sant'Anna M.J.C.; Coates V.) (Omar H.A., haomar2@uky.edu) Freund Publishing House Ltd, 61 Nachmani Street, P.O. Box 35010, Tel Aviv, Israel.; ID: 2974</t>
  </si>
  <si>
    <t>http://www.ncbi.nlm.nih.gov/pubmed/19097570</t>
  </si>
  <si>
    <t>Medical students: Abuse of psychoactive substances and sexuality aspects</t>
  </si>
  <si>
    <t>Castaldi,S.;Gelatti,U.;Orizio,G.;Hartung,U.;Moreno-Londono,A.;Nobile,M.;Schulz,P. J.;Author,Addresses;Section of,Public;Health,Department of Public Health Microbiology;Virology,University;of Milan, via Pascal,Milano Italy;Section,of Hygiene;Public,Health;Department of,Experimental;Applied Medicine,University,of Brescia;Brescia,Italy;Institute of,Communication;and Health, University of Lugano,Lugano Switzerland;Correspondence,Address;Castaldi, Section of Public Health Department of Public Health,S.;Microbiology;Virology,University of Milan via Pascal;Milano,Italy Email silvana castaldi unimi it</t>
  </si>
  <si>
    <t>22456492; Use of cognitive enhancement medication among Northern Italian university students</t>
  </si>
  <si>
    <t>(MAJOR FOCUS);central stimulant agent;cognitive enhancer;unclassified drug;student attitude;academic achievement;adult;article;cross-sectional study;diet supplementation;drug safety;drug use;ethnic group;female;health belief;high risk behavior;human;inappropriate prescribing;intellect;Italian;male;medicolegal aspect;personal experience;priority journal;risk benefit analysis;undergraduate student;university student;Neurology and Neurosurgery (8);Public Health, Social Medicine and Epidemiology (17)</t>
  </si>
  <si>
    <t>This study assesses the use of cognitive enhancement medication among university students in Northern Italy. It was conducted as a cross-sectional analysis on the basis of a paper-and-pencil survey of 77 undergraduate students attending courses in the Faculty of Medicine of the University of Milan, Milano, Italy. Although the share of students who have taken cognitive enhancement medication themselves in the past is still small (16%), the use of these drugs is rather common and freely communicated in some social circles. Enhancing the ability to study outside of the class was students' primary motive for use. Students who think that there is no or an acceptable risk involved in cognitive enhancement medication are more likely to take drugs and dietary supplements than those who perceive the risk as high. Copyright â”¬âŒ 2012 American Society of Addiction Medicine.</t>
  </si>
  <si>
    <t>(Castaldi S., silvana.castaldi@unimi.it; Nobile M.) (Gelatti U.; Orizio G.) (Hartung U.; Moreno-Londono A.M.; Schulz P.J.) Lippincott Williams and Wilkins, 250 Waterloo Road, London, United Kingdom.; ID: 2547</t>
  </si>
  <si>
    <t>http://www.ncbi.nlm.nih.gov/pubmed/22456492</t>
  </si>
  <si>
    <t>10.1097/ADM.0b013e3182479584 FULL TEXT LINK http://dx.doi.org/10.1097/ADM.0b013e3182479584</t>
  </si>
  <si>
    <t>Use of cognitive enhancement medication among Northern Italian university students</t>
  </si>
  <si>
    <t>Castleman,J. B.;Novak,M. A.;Sposetti,V. J.;Author,Addresses;University of Florida, College of Nursing,Gainesville F.;United,States;University of Florida, College of Medicine,Gainesville F.;United,States;University of Florida, College of,Dentistry Gainesville;Fl,United States;Correspondence,Address;JB Castleman, University of Florida College of Nursing,Gainesville F.;United,States</t>
  </si>
  <si>
    <t>16837411; Training school nurses: Screening and brief intervention for tobacco use</t>
  </si>
  <si>
    <t>substance abuse;tobacco dependence (disease management);article;health care cost;health care personnel;health care policy;human;medical student;morbidity;nursing student;residency education;school health nursing;screening;smoking cessation;training;Public Health, Social Medicine and Epidemiology (17);Health Policy, Economics and Management (36);Drug Dependence, Alcohol Abuse and Alcoholism (40)</t>
  </si>
  <si>
    <t>This field project focused on training school nurses to do screening and brief interventions for tobacco use. Needed resources were organized in a kit. â”¬âŒ 2005 by The Haworth Press, Inc. All rights reserved.</t>
  </si>
  <si>
    <t>(Castleman J.B.) (Novak M.A.) (Sposetti V.J.) Haworth Press Inc., 10 Alice Street, Binghamton, United States.; ID: 3109</t>
  </si>
  <si>
    <t>http://www.ncbi.nlm.nih.gov/pubmed/16837411</t>
  </si>
  <si>
    <t>10.1300/J465v26n03_08 FULL TEXT LINK http://dx.doi.org/10.1300/J465v26n03_08</t>
  </si>
  <si>
    <t>Training school nurses: Screening and brief intervention for tobacco use</t>
  </si>
  <si>
    <t>Casturi,L. R.;Rao,A.;Rao,R. M.;Miller,B.;Author,Addresses;High School,Pearland United;States;Correspondence,Address;Rao, High School Pearland United States,A.</t>
  </si>
  <si>
    <t>Sleep: Intrinsic and extrinsic stimuli in teen adolescents</t>
  </si>
  <si>
    <t>cyanocobalamin;adolescent;sleep;stimulus;alertness;child;daytime somnolence;drug abuse;ethnicity;female;habit;health;hygiene;hypothesis;informed consent;male;medical specialist;mood;mood disorder;outcome variable;parent;parental consent;regression analysis;school;seatbelt;society;somnolence;statistics;student;substance abuse;technology;United States</t>
  </si>
  <si>
    <t>PURPOSE: Daytime sleepiness and poor mood in adolescents deserves careful attention from parents and school authorities. Sleep hygiene refers to proper sleep practices which maximize restful sleep leading to increased daytime alertness. This project studied intrinsic and extrinsic factors affecting teen sleep habits. METHODS: A four-page Sleep Habits Survey was administered in December 2009, and January 2010 to junior high students in Texas. Informed consent forms were provided to the entire student body of almost 700 students belonging to 7th and 8th grades, and the surveys administered only to those students who had parental consent. A total of 66 survey responses (37 females and 29 males with an equal number of 7th and 8th graders) was then analyzed by entering data in an Excel spreadsheet with formulas embedded to calculate the BMI, the sleep duration statistics, and various scales like a Sleepiness Scale, a Sleep/Wake Behavioral Problems Scale and a Depressed Mood Scale. Regression analyses were performed for outcome variables with a set of control variables. RESULTS: Factors like sex, age, ethnicity, educational expectations and substance abuse contribute to differences in daytime alertness of adolescents. The results show that sleep measures of Sleep Hygiene like Sleep-Wake Behavioral Problems scale have a direct correlation with daytime alertness, and mood problems. CONCLUSION: We confirmed the hypothesis showing a strong correlation between poor sleep hygiene and low daytime alertness and problems related to mood. We need to focus on sleep hygiene as a priority like other health issues such as drug abuse and wearing seat belts are targeted. CLINICAL IMPLICATIONS: The study established a clear correlation between poor sleep hygiene in teen adolescents and daytime alertness and mood disorders. In the long run, this may result in increased medical costs to individual and the society. Sleep specialists need to emphasize educating children to follow a healthy bedtime routine, while minimizing the use of caffeinated drinks and technology in the bedroom.</t>
  </si>
  <si>
    <t>(Casturi L.R.; Rao A.; Rao R.M.; Miller B.) CHEST 2010 Annual Meeting Vancouver, BC, Canada 2010-10-30 to 2010-11-04 American College of Chest Physicians; ID: 2760</t>
  </si>
  <si>
    <t>10.1378/chest.9985 FULL TEXT LINK http://dx.doi.org/10.1378/chest.9985</t>
  </si>
  <si>
    <t>Cathers,L. A.;Armstrong,A.;Hawley,C.;Bradford,J.;Keyser-Marcus,L.;Svikis,D.;Author,Addresses;Virginia Commonwealth University, Richmond,United States;Fenway Institute,Boston,United States;Correspondence,Address;LA Cathers, Virginia Commonwealth University Richmond,United States</t>
  </si>
  <si>
    <t>Î“Ã‡Â£It's like trying to change a flat tire when you got a blown engineÎ“Ã‡Â¥. Counselor views on treating clients with co-occurring medical conditions</t>
  </si>
  <si>
    <t>college;drug dependence;human;basic needs;chronic pain;community;counseling;drug therapy;education;fear;grief;habit;health;health care;injury;interview;laryngeal mask;medical care;morbidity;outpatient;patient;primary medical care;screening;self care;social psychology;software;substance abuse;summer;therapy;traumatic brain injury;United States</t>
  </si>
  <si>
    <t>Aims: While the integration of substance abuse screening and intervention into primary care has been central to the Affordable Care Act, medical problems in clients entering substance use disorder (SUD) treatment has received less attention. Individuals' entering SUD treatment often present with medical co-morbidities, but little is known about how they impact SUD counseling. Study aims were to: (a) describe SUD counselor experiences treating patients with medical co-morbidities; (b) explore counselor perceptions of the relationship between SUDs and medical issues; (c) identify challenges in providing treatment to such clients; and (d) identify strategies used to assist their clients. Methods: The present study used an Interpretative Phenomenological Analysis to explore community outpatient counselors' experiences treating clients with medical issues. In-depth interviews were completed in Summer 2013, with 5 SUD treatment counselors in Central Virginia. The interviews were analyzed in Atlas-ti qualitative software and themes compared across interviews. Results: Four super-ordinate themes emerged illustrating the relationship between SUDs, medical conditions and other bio-psychosocial factors. Analyses highlight how SUD outpatient counselors assist clients in focusing on therapy, identifying resources to treat the basic needs of clients (including medical care) and the challenges brought on by limited resources, complex systems, and client fear. Also prominent were unique challenges related to medical conditions treated by potentially habit forming medications and traumatic brain injury. SUD counselors also advocated for additional education in: counselor self-care, trauma, grief and loss, chronic pain and assessment. Conclusions: Study findings support the need for additional research and multi-disciplinary discussion focused on integrated behavioral and physical health care.</t>
  </si>
  <si>
    <t>(Cathers L.A.; Armstrong A.; Hawley C.; Keyser-Marcus L.A.; Svikis D.) (Bradford J.) 2014 Annual Meeting of the College on Problems of Drug Dependence San Juan, Puerto Rico 2014-06-14 to 2014-06-19 Elsevier Ireland Ltd; ID: 2166</t>
  </si>
  <si>
    <t>10.1016/j.drugalcdep.2014.09.124 FULL TEXT LINK http://dx.doi.org/10.1016/j.drugalcdep.2014.09.124</t>
  </si>
  <si>
    <t>Cementon,E.;Reilly,J.;Author,Addresses;Subcommittee for Advanced,Training in;Psychiatry,Royal Australian;New Zealand,College of;Australia,Melbourne;Correspondence,Address;Cementon, Subcommittee for Advanced Training in Addiction Psychiatry,E.;Royal,Australian;New Zealand,College of;Melbourne,Australia</t>
  </si>
  <si>
    <t>Training in addictions among psychiatrists: Recent RANZCP initiatives including entrustable professional activities in substance use comorbidity</t>
  </si>
  <si>
    <t>Australian and New Zealand Journal of Psychiatry</t>
  </si>
  <si>
    <t>Aust.N.Z.J.Psychiatry</t>
  </si>
  <si>
    <t>50 Supplement 1</t>
  </si>
  <si>
    <t>comorbidity;psychiatrist;substance abuse;human;human experiment;mental health;physical disability;psychiatry;student</t>
  </si>
  <si>
    <t>Background: Psychiatrists and general practitioners without actual clinical experience in specialist addiction services can feel that they lack relevant competencies. Objectives: To consider core requirements for psychiatrists in substance use disorders (SUDs) and addictions and the Royal Australian and New Zealand College of Psychiatrists' (RANZCP) recent development of related entrustable professional activities (EPAs) relating to substance use. Methods: Outline recent development of EPAs in substance use and addictions, with particular emphasis on EPAs relating to co-morbid SUDs and other mental and physical health problems developed by the Subcommittee of Advanced Training in Addiction Psychiatry (SATADD);Consider possible strategies to further develop capacity in addiction among psychiatrists and other mental health clinicians. Findings and conclusions: The training developed for basic and advanced trainees in addiction psychiatry may offer a template for further improvements in the clinical care of people with SUDs co-morbid with other mental health disorders.</t>
  </si>
  <si>
    <t>(Cementon E.; Reilly J.) (RANZCP) Royal Australian and New Zealand College of Psychiatrists, RANZCP Annual Congress 2016 Hong Kong, Hong Kong 2016-05-08 to 2016-05-12 SAGE Publications Inc.; ID: 1958</t>
  </si>
  <si>
    <t>1440-1614</t>
  </si>
  <si>
    <t>10.1177/0004867416640967 FULL TEXT LINK http://dx.doi.org/10.1177/0004867416640967</t>
  </si>
  <si>
    <t>Cercone,S. A.;Smith,P. H.;Smith,K. M.;Homish,G. G.;McKee,S.;Author,Addresses;Community,Health;Health Behavior,State;University of New York, Buffalo,United States;Epidemiology;Public Health, Yale University,New Haven;United,States;Department of Psychiatry, Yale University,School of;Medicine,New Haven United States;Correspondence,Address;S.A. Cercone,Community Health;Health Behavior, State University,of New;York,Buffalo United States</t>
  </si>
  <si>
    <t>Past year non-medical opioid use and PTSD diagnosis: Interactions with gender and associations with symptom clusters</t>
  </si>
  <si>
    <t>e243</t>
  </si>
  <si>
    <t>e244</t>
  </si>
  <si>
    <t>(MAJOR FOCUS);opiate;alcohol;college;diagnosis;drug dependence;gender;posttraumatic stress disorder;arousal;bivariate analysis;education;epidemiology;female;human;male;model;pain;risk;screening</t>
  </si>
  <si>
    <t>Aims: The purpose of this study is to examine associations between PTSD (diagnosis and specific symptom clusters) and past year nonmedical opioid use (NMOU), as well as differences by gender. Methods: Data from the National Epidemiologic Survey on Alcohol and Related Conditions Wave 2 (N= 34,653) were used to examine associations between past year PTSD diagnosis and past year NMOU. Selecting for those with a PTSD diagnosis (N= 2492), associations between symptom clusters (hyper-arousal, avoidance, re-experiencing, emotional numbing; standardized variables) and NMOU, as well as gender interactions, were explored. Models accounted for survey design and were adjusted for age, education, race/ethnicity, and pain. Results: In bivariate analyses, PTSD diagnosis and all symptom clusters were positively associated with past year NMOU for both men and women. In adjusted models, PTSD diagnosis was positively associated with NMOU for both men and women; the odds ratio for women was slightly larger (women: OR= 1.23, 95% CI = 1.95, 2.66; men: OR= 1.65, 95% CI = 1.37, 2.00, p  0.05). Conclusions: These results illustrate significant associations with NMOU and PTSD diagnosis as well as gender interactions with PTSD symptom clusters and NMOU. The findings have substantial implications for NMOU screening among individuals diagnosed with PTSD; further work is needed to better understand causative factors and temporal associations.</t>
  </si>
  <si>
    <t>(Cercone S.A.; Homish G.G.) (Smith P.H.) (Smith K.M.; McKee S.) 2014 Annual Meeting of the College on Problems of Drug Dependence San Juan, Puerto Rico 2014-06-14 to 2014-06-19 Elsevier Ireland Ltd; ID: 2168</t>
  </si>
  <si>
    <t>10.1016/j.drugalcdep.2014.09.129 FULL TEXT LINK http://dx.doi.org/10.1016/j.drugalcdep.2014.09.129</t>
  </si>
  <si>
    <t>Chadda,R. K.;Sood,M.;Gupta,N.;Kataria,D.;Author,Addresses;Department of,Psychiatry;All India Institute of Medical Sciences, New,Delhi India;Department of Psychiatry, Government,Medial College;Hospital;Chandigarh,India;Department of Psychiatry, Lady Hardinge Medical,College S.;Hospital,New Delhi India;Correspondence,Address;RK Chadda, Department of Psychiatry All India Institute,of Medical;Sciences,New Delhi India Email drrakeshchadda gmail com</t>
  </si>
  <si>
    <t>Preventive psychiatry in undergraduate medical curriculum: Should it be there?</t>
  </si>
  <si>
    <t>S31</t>
  </si>
  <si>
    <t>curriculum;drug dependence;social psychiatry;caregiver;community medicine;disability;global disease burden;group therapy;human;India;mental health;primary medical care;public health;rehabilitation;stigma;tertiary prevention</t>
  </si>
  <si>
    <t>According to the Global Burden of Disease Study of 2010, Mental and substance use disorders are the leading (22.9%) cause of years lived with disability (YLDs) worldwide. Medical Council of India recommends 20 hrs of theory lectures and 15 days of training in psychiatry. Training in psychiatry at undergraduate level is largely geared towards identifcation and treatment of various psychiatric disorders with no discussion about public health.Nowadays, globally in the training of medical undergraduates, importance of public health is increasingly emphasized. In the curriculum of</t>
  </si>
  <si>
    <t>(Chadda R.K., drrakeshchadda@gmail.com; Sood M.) (Gupta N.) (Kataria D.) 68th Annual National Conference of the Indian Psychiatric Society, ANCIPS 2016 Bhopal, India 2016-01-21 to 2016-01-24 Medknow Publications; ID: 2024</t>
  </si>
  <si>
    <t>Chakravarthy,B.;Somasundaram,S.;Mogi,J.;Burns,R.;Hoonpongsimanont,W.;Lotfipour,S.;Author,Addresses;University of California, Irvine Irvine,United States;Correspondence,Address;Chakravarthy, University of California Irvine Irvine United States,B.</t>
  </si>
  <si>
    <t>Prospective randomized pilot trial measuring the feasibility and knowledge retention of opioid education in emergency department patients using a multimedia platform</t>
  </si>
  <si>
    <t>S81</t>
  </si>
  <si>
    <t>(MAJOR FOCUS);opiate;narcotic agent;unclassified drug;emergency ward;feasibility study;multimedia;patient education;adult;behavior change;clinical trial;controlled clinical trial;controlled study;drug combination;drug therapy;emergency physician;epidemic;female;health care quality;Hispanic;human;major clinical study;malignant neoplasm;narcotic dependence;nurse;pregnancy;prescription;randomized controlled trial;speech;statistical significance;Student t test;United States;videorecording;young adult;opiate (53663-61-9, 8002-76-4, 8008-60-4)</t>
  </si>
  <si>
    <t>Study Objectives: We seek to determine if a novel multimedia presentation educating patients on the dangers and safe usage of opioid analgesics is feasible in the emergency department. Furthermore, we compared knowledge retention between patients given standard-of-care discharge instructions versus a short educational video discharge instruction. Methods: The study was conducted in a large, urban, academic emergency department. Patients were identified by emergency physicians with the assistance of undergraduate research associates. Fifty-two English-speaking patients aged 18 years or older anticipated to receive a narcotics prescription in the ED were approached. Patients likely to be admitted, pregnant, or with active cancer were excluded. Patients were randomized into two cohorts. Cohort 1 (the standard-of-care group) received standard verbal education and an informational pharmaceutical sheet from a nurse. Cohort 2 (the intensive education group) received a 6-minute video presentation on the risks and safe usage of opioid medication in addition to the standard of care. The content of the video was sourced from the Substance Abuse and Mental Health Services Administration (samsha.gov) and administered within the ED prior to discharge. Both groups received a 26-question test regarding the dangers and safeusageof opioids immediately after education togauge knowledge retention. Anunpaired t-test was utilized to compare knowledge retention between the two cohorts. Results: From the 154 patients approached for the study, 52 patients enrolled; 27 in the Standard group and 25 in the Education group. The average age of the population was 37 years, and were made up of 44% white, 40% hispanic, 6% asian, 6% black, and 4% other. Feasibility was determined by the number of patients that completed both the video and survey in the education group. Of the 26 subjects initially randomized into the intensive education group, 25 completed both the video and survey (96.1% feasibility). Correct survey answers were summed and averaged by group. The standard-of-care group averaged 65% retention (16.8/26 correct), while the intensive education group averaged 82% retention (21.2/26 correct). An unpaired t-test analysis revealed that the multimedia education group significantly increased patient knowledge about opioid medication's risks, proper usage and disposal (p-value=0.001). Conclusion: As evidenced by the high percentage of participants completing the video and survey, we conclude that it is feasible to implement a multimedia platform to educate patients receiving opioid analgesics in the ED. We also conclude that medical knowledge retention is improved in the intensive education group compared to the current standard of care treatment. This may indicate that busy EDs can improve their discharge instructions to patients with regards to prescribed opioid analgesics. In this study, we looked at immediate knowledge retention alone. Future research should focus on 4-6 week knowledge retention as well as behavioral changes with regards to this intervention. By identifying optimal points to reinforce education and targeting populations at-risk for narcotic abuse, it is hopeful that patient education can decrease the non-medical usage of opioid analgesics and ameliorate the opioid epidemic in the United States.</t>
  </si>
  <si>
    <t>(Chakravarthy B.; Somasundaram S.; Mogi J.; Burns R.; Hoonpongsimanont W.; Lotfipour S.) American College of Emergency Physicians, ACEP 2016 Research Forum Las Vegas, NV, United States 2016-10-16 to 2016-10-18 Mosby Inc.; ID: 1903</t>
  </si>
  <si>
    <t>Chakravarthy,B.;Tenny,M.;Anderson,C. L.;Rajeev,S.;Istanbouli,T.;Lotfipour,S.;Author,Addresses;Department of,Emergency Medicine;for,Trauma;Injury Prevention Research, School of Medicine,University of;California-Irvine,Orange;Correspondence,Address;Chakravarthy, Email bchakrav uci edu,B.</t>
  </si>
  <si>
    <t>23844961; Analysis of mental health substance abuse-related emergency department visits from 2002 to 2008</t>
  </si>
  <si>
    <t>addiction (complication, epidemiology);emergency health service;mental disease (complication, epidemiology);adolescent;adult;age;aged;ambulatory care;article;ethnic group;female;health survey;human;length of stay;male;middle aged;psychological aspect;season;sex difference;sex ratio;statistics;United States (epidemiology);utilization review</t>
  </si>
  <si>
    <t>Mental health substance abuse (MHSA)-related visits in the emergency department (ED) are a growing concern. This study analyzed MHSA ED visits by age, gender, ethnicity, region, season, and duration of stay between 2002 and 2008 using the National Hospital Ambulatory Care Survey (NHAMCS). The authors used descriptive statistics and examined ED length of stay using a generalized linear model with a log link, and compared length of stay for these visits. Mental health-related visits increased from 6.4% of visits in 2002 to 7.0% in 2008 (P = .002). Substance abuse-related visits increased from 1.8% to 2.1% (P = .004). Substance abuse-related visits accounted for a 49% increase (CI = 0.051-0.23%) in the total mental health visits to the ED. Male visits increased whereas female visits remained unchanged, with non-Latino white males showing the highest increase. The southern United States had the highest increase in MHSA visits. MHSA visits (5.6 hours) were on average 1.2 hours longer than other non-MHSA-related visits (4.4 hours). MHSA-related visits had a higher percentage of all visits on weekends (2.3%) than on weekdays (2.0%; P &lt; .00005). Concentrated programmatic efforts to decrease the burden of MHSA visits to the ED may reduce the burden of disease.</t>
  </si>
  <si>
    <t>(Chakravarthy B., bchakrav@uci.edu) (Tenny M.; Anderson C.L.; Rajeev S.; Istanbouli T.; Lotfipour S.); ID: 2454</t>
  </si>
  <si>
    <t>http://www.ncbi.nlm.nih.gov/pubmed/23844961</t>
  </si>
  <si>
    <t>Analysis of mental health substance abuse-related emergency department visits from 2002 to 2008</t>
  </si>
  <si>
    <t>Chan,H. V.;Pervanas,H. C.;Author,Addresses;McPhs University,Manchester,United States;Pharmacy Practice Department, Mcphs,University Manchester;United,States;Correspondence,Address;HV Chan, Mcphs University Manchester,United States</t>
  </si>
  <si>
    <t>Evaluation of student pharmacists' participation in an interactive event to educate teens about substance abuse</t>
  </si>
  <si>
    <t>e269</t>
  </si>
  <si>
    <t>prescription drug;American;clinical pharmacy;college;human;pharmacist;student;substance abuse;adolescent;alcohol abuse;boy;female;girl;institutional review;learning;male;pharmacy;physician;university;videorecording</t>
  </si>
  <si>
    <t>PURPOSE: Substance abuse is one of many challenges among teenagers. Student pharmacists can play an active role to increase awareness of substance abuse. An interactive event presented by student pharmacists at the Boys and Girls Club was done to raise awareness of prescription drug and alcohol abuse among teenagers. METHODS: Student pharmacists enrolled in the accelerated Doctor of Pharmacy program at MCPHS University implemented an interactive event that involved the creation of a video recorded skit depicting a substance abuse scenario, a breakout discussion session, and the use of interactive learning materials. Following the event an anonymous, online 9 questions survey was sent to students electronically. The survey was used to assess the perceptions of student pharmacists with regards to effectiveness of the event and materials used, the engagement of teens and appropriate training prior to the event. This project was approved by the MCPHS University Institutional Review Board. RESULTS: A total of 24 student pharmacists participated in the event and 54% completed the online survey. The majority of the students were female (69%) and were in their first year of the pharmacy program (54%). When asked whether this activity raised awareness of substance abuse among teens, 62% responded agreed or strongly agreed. With regards to the training session, 23% of the students strongly agreed that the session well prepared them for the event and 38% responded neutrally. Sixty-two percent of participants strongly agreed that teenagers were engaged in the breakout sessions. CONCLUSION: Student pharmacists reported that the teens were engaged during the session and that they felt that the use of the skit and breakout sessions allowed the teens to be engaged and understand the message. For future events additional training may be required so that all student pharmacists are comfortable with the information.</t>
  </si>
  <si>
    <t>(Chan H.V.) (Pervanas H.C.) 2014 Annual Meeting of the American College of Clinical Pharmacy, ACCP 2014 Austin, TX, United States 2014-10-12 to 2014-10-15 Pharmacotherapy Publications Inc.; ID: 2190</t>
  </si>
  <si>
    <t>10.1002/phar.1497 FULL TEXT LINK http://dx.doi.org/10.1002/phar.1497</t>
  </si>
  <si>
    <t>Chan,T.;Sproule,B.;Author,Addresses;Centre for,Addiction;Mental Health,Toronto;Canada;Faculty of Pharmacy, University of,Toronto Canada;Dept of Psychiatry, University of,Toronto Canada;Correspondence,Address;Chan,Centre for Addiction,T.;Mental Health,Toronto Canada</t>
  </si>
  <si>
    <t>Pharmacist-enhanced medication reconciliation services at an outpatient addiction medicine clinic</t>
  </si>
  <si>
    <t>addiction;college;hospital;medication therapy management;outpatient;pharmacist;adverse drug reaction;Canada;deterioration;documentation;drug dose;drug interaction;drug therapy;health;mental health;nurse;patient;patient safety;physician;risk;substance abuse</t>
  </si>
  <si>
    <t>Abstract Type: Innovative Practices. Background: Patients in treatment for substance dependence who are taking multiple medications from multiple providers are at risk for drug therapy problems. Medication reconciliation, the process of obtaining a complete and accurate list of a patient's current home medications, may enhance patient safety. Although there are no published studies on medication reconciliation in an outpatient addictions setting, opportunities exist for pharmacists to provide services in this setting. Description of Innovative Service: This project took place at the Centre for Addiction and Mental Health's outpatient Addiction Medicine Clinic in Toronto, Canada. A pharmacist was embedded in the clinic for one month to conduct medication histories with patients, identify drug therapy problems, and report findings to the clinic team. The pharmacist and clinic team targeted patients who would likely benefit from the service and patients must have been currently taking a medication prescribed at the clinic to be included. A retrospective review of the patient health record for medication documentation in the past 6 months was also completed. Discrepancies were defined as any omissions or errors in documentation of drug, dose, or frequency when comparing the medication list the pharmacist obtained to the medication list on the patient health record (if present). Four independent clinicians (physician, nurse and 2 pharmacists) assessed the potential impact of the discrepancies identified. Impact on Practice: Thirty-two patients were interviewed by the pharmacist. These patients were taking a mean of 7 + 4 medications in addition to their clinic-prescribed medications. The pharmacist identified 34 discrepancy-related drug therapy problems in 21 patients. The drug therapy problems were either actual or potential drug interactions (73%) or adverse drug reactions (24%). Clinicians classified the drug therapy problems as causing minimal (28.6%), moderate (38.1%), or severe (33.3%) patient discomfort or clinical deterioration. Conclusion: Patients attending specialty clinics are at risk of drug therapy problems related to medication record discrepancies. From the experience of this project, it has been identified that a formal medication reconciliation process is needed in this specialty ambulatory setting, a potentially valuable role for psychiatric pharmacists.</t>
  </si>
  <si>
    <t>(Chan T.; Sproule B.) (Sproule B.) 13th Annual Meeting of the College of Psychiatric and Neurologic Pharmacists, CPNP 2010 San Antonio, TX, United States 2010-04-18 to 2010-04-21 SAGE Publications Inc.; ID: 2806</t>
  </si>
  <si>
    <t>0897-1900</t>
  </si>
  <si>
    <t>10.1177/0897190010365987 FULL TEXT LINK http://dx.doi.org/10.1177/0897190010365987</t>
  </si>
  <si>
    <t>Chapman,J. E.;McCart,M. R.;Letourneau,E. J.;Sheidow,A. J.;Author,Addresses;Medical;University of South Carolina, Family Services Research,Center President;Street,S. T. E. M. C. P. O. B.;Department of Mental Health, Bloomberg School,of Public;Health,Johns Hopkins University Bloomberg M.D.United States;Correspondence,Address;JE Chapman, Medical University of South Carolina Family,Services Research;Center,President Street S.T.E.M.C.P.O.Box Charleston S.C.;edu,United States Email chapmaja musc</t>
  </si>
  <si>
    <t>23668668; Comparison of youth, caregiver, therapist, trained, and treatment expert raters of therapist adherence to a substance abuse treatment protocol</t>
  </si>
  <si>
    <t>caregiver;drug dependence treatment;juvenile;medical expert;occupational therapist;practice guideline;adolescent;article;clinical article;clinical protocol;comparative study;female;human;male;probability;protocol compliance;Rasch analysis;Public Health, Social Medicine and Epidemiology (17);Psychiatry (32);Drug Dependence, Alcohol Abuse and Alcoholism (40);Neurology and Neurosurgery (8)</t>
  </si>
  <si>
    <t>Objective: This study evaluated the accuracy of youth, caregiver, therapist, and trained raters relative to treatment experts on ratings of therapist adherence to a substance abuse treatment protocol for adolescents. Method: Adherence ratings were provided by youth and caregivers in an ongoing trial evaluating a Contingency Management (CM) intervention for youth in juvenile drug court. These ratings were compared to those provided by therapists and trained raters, and each rater type was compared to ratings provided by CM treatment experts. Data were analyzed using item-response-theory-based Many-Facet Rasch Models. Results: Relative to treatment experts, youth and caregivers were significantly more likely to endorse the occurrence of CM components. In contrast, therapists and trained raters were much more consistent with treatment experts. In terms of practical significance, youth and caregivers each had a 97% estimated probability of indicating that a typical treatment component had occurred. By comparison, the probability was 31%, 19%, and 26% for therapists, trained raters, and treatment experts, respectively. Conclusions: Youth and caregivers were highly inaccurate relative to treatment experts, whereas, therapists and trained raters were generally consistent with treatment experts. The implications of these findings for therapist adherence measurement are considered. â”¬âŒ 2013 American Psychological Association.</t>
  </si>
  <si>
    <t>(Chapman J.E., chapmaja@musc.edu; Mccart M.R.; Sheidow A.J.) (Letourneau E.J.) American Psychological Association Inc., journals@apa.org; ID: 2452</t>
  </si>
  <si>
    <t>1939-2117 (electronic) 0022-006X</t>
  </si>
  <si>
    <t>http://www.ncbi.nlm.nih.gov/pubmed/23668668</t>
  </si>
  <si>
    <t>10.1037/a0033021 FULL TEXT LINK http://dx.doi.org/10.1037/a0033021</t>
  </si>
  <si>
    <t>Comparison of youth, caregiver, therapist, trained, and treatment expert raters of therapist adherence to a substance abuse treatment protocol</t>
  </si>
  <si>
    <t>Chapman,M. J.;Author,Addresses;Toxicologiste Conseil, B P F Jonage,Cedex France;Correspondence,Address;MJ Chapman, Toxicologiste Conseil B P F Jonage,Cedex France</t>
  </si>
  <si>
    <t>Medical education and substance abuse 8]</t>
  </si>
  <si>
    <t>alcohol abuse;drug abuse;drug misuse;medical education;human;letter;United Kingdom;Public Health, Social Medicine and Epidemiology (17);Drug Dependence, Alcohol Abuse and Alcoholism (40)</t>
  </si>
  <si>
    <t>(Chapman M.J.); ID: 3608</t>
  </si>
  <si>
    <t>1992370788 PUI L22370770</t>
  </si>
  <si>
    <t>Medical education and substance abuse [8]</t>
  </si>
  <si>
    <t>Chapman,S.;Author,Addresses;Correspondence,Address;Chapman,S.</t>
  </si>
  <si>
    <t>19819379; Simon Chapman. Interview by Stephen Pincock</t>
  </si>
  <si>
    <t>mass medium;medical school;public health;publishing;smoking (prevention);article;Australia;human;interview;organization and management</t>
  </si>
  <si>
    <t>(Chapman S.); ID: 2863</t>
  </si>
  <si>
    <t>1474-547X (electronic)</t>
  </si>
  <si>
    <t>http://www.ncbi.nlm.nih.gov/pubmed/19819379</t>
  </si>
  <si>
    <t>Simon Chapman. Interview by Stephen Pincock</t>
  </si>
  <si>
    <t>Chappel,J. N.;Smith,D. E.;Buxton,M.;Author,Addresses;Dept Psychiat, Sch Med,Sci Univ;Nevada,Reno Nev;Correspondence,Address;Dept Psychiat, Sch Med Sci Univ Nevada,Reno Nev</t>
  </si>
  <si>
    <t>Training techniques for physicians in the diagnosis and treatment of amphetamine abuse</t>
  </si>
  <si>
    <t>(MAJOR FOCUS);amphetamine;drug abuse;physician;training;diagnosis;doctor patient relation;drug therapy;methodology;therapy;amphetamine (1200-47-1, 139-10-6, 156-34-3, 2706-50-5, 300-62-9, 51-62-7,;60-13-9, 60-15-1);Public Health, Social Medicine and Epidemiology (17);Psychiatry (32);Drug Literature Index (37);Drug Dependence, Alcohol Abuse and Alcoholism (40)</t>
  </si>
  <si>
    <t>Educational methods are described which de-emphasize the traditional lecture model to focus on both active participation and clinical problem solving. Videotaped physician/patient interactions and small groups discussions of related clinical problems are described as practical applications of these two principles. When applied to medical students these methods have resulted in changed expressions of attitudes in the direction of attitudes which characterize clinicians experienced in treating alcohol, amphetamine and other drug abusing patients. It is suggested that similar results could be obtained through the application of these methods with practicing physicians in continuing medical education.</t>
  </si>
  <si>
    <t>(Chappel J.N.; Smith D.E.; Buxton M.); ID: 3854</t>
  </si>
  <si>
    <t>1979172744 PUI L9172270</t>
  </si>
  <si>
    <t>Charpak,Y.;Nory-Guillou,F.;Blin,P.;Monaque,C.;Author,Addresses;Eval,rue du Faubourg;Saint-Antoine,F.;Correspondence,Address;Paris France,Y.Charpak, Eval Rue du Faubourg Saint-Antoine F.</t>
  </si>
  <si>
    <t>9173454; Short term follow-up of 198 IV heroin users by motivated General Practitioners ORIGINAL (NON-ENGLISH) TITLE Suivi a 4 mois de 198 heroinomanes par des medecins generalistes</t>
  </si>
  <si>
    <t>Revue d'epidemiologie et de sante publique</t>
  </si>
  <si>
    <t>Rev.Epidemiol.Sante Publique</t>
  </si>
  <si>
    <t>(MAJOR FOCUS);diamorphine;morphine;addiction;drug abuse;general practitioner;prescription;adult;article;Canada;cohort analysis;female;follow up;human;major clinical study;male;medical education;diamorphine (1502-95-0, 561-27-3);morphine (52-26-6, 57-27-2);Public Health, Social Medicine and Epidemiology (17);Drug Dependence, Alcohol Abuse and Alcoholism (40);Drug Literature Index (37)</t>
  </si>
  <si>
    <t>This study aimed to describe the short term follow-up of a cohort of 198 IV heroin users by 44 highly motivated General Practitioners (GPs). The study showed that for these GPs, the workload linked with the care of these patients was heavy. Nearly half of them saw at least one drug-addict every day. These GPs work within a network and stated they benefit from a regular training on drug addiction topics. The profile of IV heroin users, followed by these GPs, is different from the ones usually described in other health care structures (higher percentage of women and better social insertion). The two main motives to consult a GP are the demand of drugs concerning their addiction and medical concern (due to infectious diseases especially). The answer of GPs, concerning the demand of drugs, divide physicians into two groups: those who never prescribe morphine like drugs as substitution and those who do so. In addition, both of them often prescribe psychotrop drugs to some of their patients. Nevertheless, these prescriptions are just one of the elements of a follow-up contract between a GP and his patient. Morphine like prescription is more frequently described among long term drug-addicts already wellknown by GPs. This selection forbids a straight comparison of the results of two groups of patients (with and without morphine like substitution). But the main fact is that patients under morphine like substitution are followed better (in terms of continuity) after 4 months of observation.</t>
  </si>
  <si>
    <t>(Charpak Y.; Nory-Guillou F.; Blin P.; Monaque C.) Elsevier Masson SAS, 62 rue Camille Desmoulins, Issy les Moulineaux Cedex, France.; ID: 3493</t>
  </si>
  <si>
    <t>http://www.ncbi.nlm.nih.gov/pubmed/9173454</t>
  </si>
  <si>
    <t>Short term follow-up of 198 IV heroin users by motivated General Practitioners ORIGINAL (NON-ENGLISH) TITLE Suivi a 4 mois de 198 heroinomanes par des medecins generalistes</t>
  </si>
  <si>
    <t>Chatterjee,D.;McMorris,B.;Gower,A.;Eisenberg,M.;Author,Addresses;University,of Minnesota;United,States;University,of Minnesota;Correspondence,Address;Chatterjee, University of Minnesota-Twin Cities United States,D.</t>
  </si>
  <si>
    <t>Experience of abuse, household dysfunction, and early use of alcohol and marijuana among minnesota youth: The moderating role of internal assets</t>
  </si>
  <si>
    <t>S12</t>
  </si>
  <si>
    <t>(MAJOR FOCUS);alcohol;cannabis;illicit drug;abuse;adolescent health;household;juvenile;society;United States;adolescence;adolescent;adult;alcohol consumption;autoregulation;cannabis use;childhood;community;gender;health behavior;human;hypothesis;interpersonal communication;logistic regression analysis;meal;model;parent;physical violence;protection;risk;risk factor;school;student;substance use</t>
  </si>
  <si>
    <t>Purpose: Early adolescence (ages 12 to 14 years) is a critical risk period for initiation of substance use. Adverse childhood events (ACEs), including experience of abuse and household dysfunction, are prominent risk factors for early initiation of marijuana and alcohol use. A key component of youth developmental assets and guidepost for development of self-regulation later in the life course, internal assets are important protective factors against substance use among adolescents. The purpose of this study is to investigate if and to what extent internal assets modify associations between adverse childhood events and early initiation of alcohol and marijuana use, respectively. Specifically, we tested hypotheses that associations between experiencing abuse, household dysfunction, or both and early initiation of marijuana and alcohol use were stronger for teens with lower internal assets than for teens who reported higher internal assets. Methods: We used data from 9th and 11th graders who completed the 2013 Minnesota Student Survey (N=79,339). Multivariable logistic regression was used to investigate whether experiencing abuse (verbal, physical or sexual), household dysfunction (living with someone who abuses alcohol or illegal drugs or witnessing physical violence among adults) or both of these types of adverse events were independently associated with early use of alcohol and marijuana (before 14 years), adjusting for race, grades, gender, access to free lunch, parent-teen communication, family structure, and region of residence) Additionally, we investigated whether internal assets ( constructed as a mean of responses to 14 items, range=1-4) moderated these associations. Results: Approximately 19% and 13% of participants were early initiators of marijuana and alcohol use, respectively. Approximately 12% of the overall sample reported experiencing any abuse, 8% reported experiencing any household dysfunction and 10% experienced both abuse and dysfunction. In adjusted models, experiencing abuse, household dysfunction, and both, were independently associated with higher odds of early initiation of marijuana and alcohol use, respectively. Internal assets significantly moderated the association between experiencing both abuse and household dysfunction and early initiation of marijuana use (p&lt;.001), such that a stronger association was apparent for participants with lower internal assets scores compared to those with higher internal assets. Specifically, at the 5th percentile of the internal assets distribution, the odds of early initiation of marijuana use were two times higher for those who experienced both abuse and dysfunction (vs. neither) (AOR 2.2; CI: 1.9-2.5). However at the 90th percentile, the same odds ratio was significantly lower (AOR 1.4; CI: 1.1-1.8). Internals assets weakly moderated the association between experience of both abuse and household dysfunction and early initiation of alcohol use (p=0.08). Conclusions: Protecting teens from experiencing adverse events is a priority to prevent adverse health behaviors including initiation of substance use. At the same time, resources need to be directed toward clinicians, schools and communities to help build internal assets in vulnerable youth to help buffer them against negative/stressful experiences and protect against early initiation of marijuana use.</t>
  </si>
  <si>
    <t>(Chatterjee D.; Gower A.; Eisenberg M.) (McMorris B.) 2016 Annual Meeting of the Society for Adolescent Health and Medicine, SAHM 2016 Washington, DC, United States 2016-03-09 to 2016-03-12 Elsevier USA; ID: 1999</t>
  </si>
  <si>
    <t>Chau,K.;Vauthier,J. C.;Kabuth,B.;Author,Addresses;Dâ”œâŒpartement,de M.;Mâ”œâŒdecine, Universitâ”œâŒ de Lorraine avenue de la Forâ”œÂ¬t,de Haye;Vandoeuvre-lâ”œÂ¿s-Nancy,France;Cliniques,Inserm Centre D'Investigations;Plurithâ”œâŒmatique, U M R C H U de,Nancy Vandoeuvre;Maison Mâ”œâŒdicale,rue;Poirie,Dommartin-lâ”œÂ¿s-Remiremont France;Universitâ”œâŒ de Lorraine, Facultâ”œâŒ,de M.;de Nancy-Brabois, rue du,Morvan Vandoeuvre;Correspondence,Address;Chau, Dâ”œâŒpartement de Mâ”œâŒdecine Gâ”œâŒnâ”œâŒrale Facultâ”œâŒ de Mâ”œâŒdecine Universitâ”œâŒ,K.;de Lorraine, avenue de la Forâ”œÂ¬t de,Haye Vandoeuvre;Email,c. kenora yahoo fr</t>
  </si>
  <si>
    <t>Variations in perceived primary healthcare access across family structures and their predictors in adolescents</t>
  </si>
  <si>
    <t>divorced parent;general practitioner;social interaction;socioeconomics;adolescent;adult;child;controlled study;education;human;human experiment;logistic regression analysis;middle school;model;occupation;psychological well-being;questionnaire;single parent;substance use</t>
  </si>
  <si>
    <t>Families have greatly changed over time and little is known about primary care access barriers for adolescents associated with family type. We assessed family disparities in lack of listening and treatment explanations (LLTE) by general practitioners (GP), lack of treatment adherence (LTA) and</t>
  </si>
  <si>
    <t>(Chau K., c.kenora@yahoo.fr) (Chau K., c.kenora@yahoo.fr; Vauthier J.-C.) (Kabuth B.) CSIRO; ID: 1886</t>
  </si>
  <si>
    <t>1836-7399 (electronic) 1448-7527</t>
  </si>
  <si>
    <t>20170286122 PUI L615509994</t>
  </si>
  <si>
    <t>10.1071/PY15159 FULL TEXT LINK http://dx.doi.org/10.1071/PY15159</t>
  </si>
  <si>
    <t>Chawla,N.;Balhara,Y. P. S.;Dhawan,A.;Author,Addresses;National;Drug Dependence Treatment Centre, Department of Psychiatry,All India;Institute of Medical Sciences, New,Delhi India;Correspondence,Address;Chawla, National Drug Dependence Treatment Centre Department of,N.;Psychiatry,All India Institute of Medical Sciences New Delhi;India Email, nishtha chawla,gmail com</t>
  </si>
  <si>
    <t>Internet based learning in addiction psychiatry for professionals: Review</t>
  </si>
  <si>
    <t>S56</t>
  </si>
  <si>
    <t>alcohol;addiction;Internet;learning;psychiatry;cognitive behavioral therapy;cost effectiveness analysis;facilitation;feasibility study;human;manpower;Medline;motivational interviewing;satisfaction;skill;student;systematic review;teaching;alcohol (64-17-5)</t>
  </si>
  <si>
    <t>Introduction: Education in medicine can be imparted either through traditional ways, e.g. attending lectures, attending ward rounds, tutorials etc., or via distance education, e.g., correspondence courses, internet-based learning etc. Distance learning techniques have evolved since 1840s. Internet is currently the fastest, most convenient, and exhaustive source of spreading education. Methods: The research studies chosen for this literature review focused on effectiveness of web-based training. Two main databases were employed to search for relevant research studies: PubMed and Google Scholar. The Keywords used in searching these databases and websites were: distance education, substance related disorder, teaching, internet, and searching the reference lists of those articles already found. Results: Most of the courses offered online were Specific, like, training on motivational interviewing, twelve step facilitation, cognitive behavioural therapy, alcohol screening and brief intervention etc. They were based on various aspects like, acquisition of knowledge or skills, feasibility of distance learning, level of satisfaction of the trainees/students, cost-effectiveness of the techniques and the type of trainees who access the course. Conclusion: There appears to be a need for internet based learning in addiction psychiatry as there has been a signifcant rise in SUDs in past two decades, inadequate number of facilities, lack of trained manpower, shortage in basic skills and expertise, less time devoted to psychiatry lectures and psychiatric training during MBBS.</t>
  </si>
  <si>
    <t>(Chawla N., nishtha.chawla@gmail.com; Balhara Y.P.S.; Dhawan A.) (AIIMS) 68th Annual National Conference of the Indian Psychiatric Society, ANCIPS 2016 Bhopal, India 2016-01-21 to 2016-01-24 Medknow Publications; ID: 2008</t>
  </si>
  <si>
    <t>Check,W. A.;Author,Addresses;Correspondence,Address;Check,W. A.</t>
  </si>
  <si>
    <t>6492355; Smoking draws fire at yet another medical facility</t>
  </si>
  <si>
    <t>JAMA : the journal of the American Medical Association</t>
  </si>
  <si>
    <t>medical school;smoking (prevention);article;commercial phenomena;human;plant;tobacco;United States</t>
  </si>
  <si>
    <t>(Check W.A.); ID: 3797</t>
  </si>
  <si>
    <t>http://www.ncbi.nlm.nih.gov/pubmed/6492355</t>
  </si>
  <si>
    <t>Smoking draws fire at yet another medical facility</t>
  </si>
  <si>
    <t>Chiauzzi,E.;Zacharoff,K. L.;Trudeau,K. J.;Bond,K. S.;Yiu,E. C.;Author,Addresses;Clinical Psychologist,Newton;United,States;Inflexxion,Inc Old Field United;States;Inflexxion,Inc Newton United States;Correspondence,Address;Chiauzzi, Clinical Psychologist Newton United States Email,E.;echiauzzi@inflexxion.com</t>
  </si>
  <si>
    <t>The use of concept mapping to determine educational needs for a primary care opioid risk management course</t>
  </si>
  <si>
    <t>(MAJOR FOCUS);opiate;concept mapping;pain;primary medical care;risk management;addiction;chronic pain;counseling;interview;learning;medical specialist;methodology;patient;physician;risk;risk assessment;screening;skill;United States</t>
  </si>
  <si>
    <t>Primary care physicians (PCPs) treat a high proportion of pain patients, but often lack training in pain management, opioid prescribingprescribing, and addiction medicine skills. This poster describes the formative evaluation for an interactive CME course, focusing on managing pain patients when opioids are the appropriate treatment. Materials and Methods: Three methods determined the critical information needs for the proposed course: (1) literature review, (2) expert interviews, and (3) concept mapping. Sixteen pain management and addiction medicine specialists completed interviews and concept mapping (sorting and rating items). The literature review and interviews identified 90 PCP opioid risk assessment and addiction medicine training topics. Concept mapping was administered through an online program, which then generated a graphical analysis of conceptual clusters with associated topics. The research protocol was approved by the New England IRB. Results: Expert interviews indicated several key themes: (1) need for goal-setting treatment plans, (2) importance of comorbid psychiatric conditions, (3) identification of risk through opioid screening tools, and (4) attention to motivational counseling. Concept mapping revealed 10 clusters, with the highest importance in: (1) How to Manage Chronic Pain in Patients with Comorbid Conditions, (2) Formulating an Opioid Treatment Plan, and (3) Understanding Aberrant Drug-Related Behavior. The poster will illustrate the concept map clusters and topics with the highest ratings. Conclusions: Concept mapping is an effective, time-effective technique to assess learning needs for primary care CME. This investigation was able to identify key informational clusters, as well as individual topics based on perceived importance.</t>
  </si>
  <si>
    <t>(Chiauzzi E., echiauzzi@inflexxion.com) (Zacharoff K.L.; Trudeau K.J.; Yiu E.C.) (Bond K.S.) 26th Annual Meeting of the American Academy of Pain Medicine, AAPM San Antonio, TX, United States 2010-02-03 to 2010-02-06 Blackwell Publishing Inc.; ID: 2824</t>
  </si>
  <si>
    <t>10.1111/j1526-4637.2009.00781.x FULL TEXT LINK http://dx.doi.org/10.1111/j1526-4637.2009.00781.x</t>
  </si>
  <si>
    <t>Childers,J.;Arnold,R.;Author,Addresses;University of Pittsburgh, Medical Center,Pittsburgh United;States;University of Pittsburgh, Pittsburgh,United States;Correspondence,Address;Childers, University of Pittsburgh Medical Center Pittsburgh United,J.;States</t>
  </si>
  <si>
    <t>Managing opioid misuse in palliative care settings: How prepared do hospice and palliative medicine fellows feel? (412-A)</t>
  </si>
  <si>
    <t>(MAJOR FOCUS);opiate;hospice;nurse;palliative therapy;addiction;competence;drug therapy;e-mail;education;medical specialist;pain;patient;policy;prescription;risk;substance abuse</t>
  </si>
  <si>
    <t>Objectives: 1. Describe the percentage of hospice and palliative medicine fellows who had encountered a patient at risk for opioid misuse within a 2-week period. 2. Describe the domains in which hospice and palliative medicine expressed particular challenges in treating patients at risk for opioid misuse. 3. Rate education in substance use disorders and opioid misuse as an important objective for future palliative medicine specialists. Background: As palliative care becomes integrated earlier in patients' diseases, palliative care providers may treat more patients who misuse opioids. It is unknown how well-prepared hospice and palliative medicine (HPM) fellows are to treat pain in these patients. Research objectives: Assess how frequently HPM fellows treat patients with substance use disorders (SUDs) and prescription opioid misuse and how prepared they feel to treat these patients. Methods: With input from experts in addiction and palliative medicine, we developed a survey asking about fellows' perceived competence in domains related to treating patients at risk for opioid misuse. Responses were rated using a 7-point Likert scale where 1 = strongly agree and 7 = strongly disagree. We considered a 1 and 2 to indicate agreement, 3-5 as neutral, and 6 or 7 indicated disagreement. We distributed the online survey by e-mail to all HPM fellows. Results: Fifty-seven of the 102 fellows contacted (55.6%) completed the survey. In the previous two weeks, 77.2% of respondents had treatedapatient with a SUD and 43.9% had treated a patient who was misusing opioids. Half (47.2%) of respondents agreed that they have a working knowledge of addiction, and 41.4% agreed they feel prepared to treat pain and symptoms in patients with SUDs. Specifically, 36.8% agreed that they can identify requests for pain medication that are due to addiction; 24.6% feel comfortable managing patients with lost or stolen pain medications; 33.3% agreed that they could diagnose a SUD in apatient for whom they were prescribing opioids. Twenty-one percent were satisfied with how they treat symptoms in patients with SUDs. Conclusion: HPM fellows regularly see patients at risk for opioid misuse and express limited competency in treating pain in these patients. Implications for research, policy, or practice: There is a need for more education of HPM fellows in this area.</t>
  </si>
  <si>
    <t>(Childers J.) (Arnold R.) Annual Assembly of American Academy of Hospice and Palliative Medicine and Hospice and Palliative Nurses Association Vancouver, BC, Canada 2011-02-16 to 2011-02-19 Elsevier Inc.; ID: 2729</t>
  </si>
  <si>
    <t>10.1016/j.jpainsymman.2010.10.108 FULL TEXT LINK http://dx.doi.org/10.1016/j.jpainsymman.2010.10.108</t>
  </si>
  <si>
    <t>Childers,J.;Wood,G.;Barnett,M.;Author,Addresses;University of Pittsburgh, Pittsburgh,United States;University of Pittsburgh, Medical Center,Pittsburgh United;States;University of Alabama at Birmingham, Birmingham,United States;Correspondence,Address;Childers, University of Pittsburgh Pittsburgh United States,J.</t>
  </si>
  <si>
    <t>Pain theater: How to talk to your patients when their pills are Î“Ã‡Â£stolenÎ“Ã‡Â¥ - Again (407)</t>
  </si>
  <si>
    <t>opiate;street drug;hospice;nurse;pain;palliative therapy;patient;pill;addiction;chronic pain;communication skill;consultation;drug therapy;education;empathy;exercise;feedback system;general aspects of disease;interpersonal communication;metastasis;physician;population;prescription;substance abuse;terminal care;urine</t>
  </si>
  <si>
    <t>Objectives: 1. Identify common red flags for opioid misuse. 2. Discuss how to respond to signs of opioid misuse with empathy and appropriate limitsetting. 3. Interpret positive and negative urine drug screens. Many practitioners dread confronting a patient about behaviors such as repeatedly Î“Ã‡Â£losingÎ“Ã‡Â¥ pills, getting opioid prescriptions from multiple providers, or using street drugs concurrently with opioids. While many of these patients may simply need better pain management, some may be abusing the medications, struggling with addiction, or diverting medications. Palliative care centers are seeing a growing number of such difficult-to-manage patients in consultation, and hospices struggle with the barriers that active substance use disorders create to providing quality end-of-life care. Most hospice and palliative care clinicians do not receive education in how to communicate with patients with life-limiting illnesses who also exhibit aberrant drug-taking behavior. This session uses a technique called Î“Ã‡Â£Pain TheaterÎ“Ã‡Â¥ to teach communication skills around opioid misuse and addiction disorders in the hospice and palliative care population. Pain Theater is an educational innovation that was introduced at the 2010 AAHPM Educational Exchange to overwhelmingly positive audience response. The centerpiece of this year's session is the opportunity to see how an expert clinician communicates in a difficult encounter with a patient with newly diagnosed metastatic cancer and a history of chronic pain opioid misuse and a recent positive urine drug screen. The case will be acted out in front of the audience by two of the presenters. A third presenter facilitates the session, soliciting audience feedback to identify the specific communication skills that were used and Î“Ã‡Â£pausingÎ“Ã‡Â¥ the encounter to ask for suggestions on how to proceed in a way that sets limits, but maintains the rapport necessary to develop a treatment plan that addresses, both, opioid misuse and pain. Through this exercise the audience sees the real-time consequences of skillful communication and envisions how they could adopt these strategies with their own patients.</t>
  </si>
  <si>
    <t>(Childers J.) (Wood G.) (Barnett M.) Annual Assembly of American Academy of Hospice and Palliative Medicine and Hospice and Palliative Nurses Association Vancouver, BC, Canada 2011-02-16 to 2011-02-19 Elsevier Inc.; ID: 2736</t>
  </si>
  <si>
    <t>10.1016/j.jpainsymman.2010.10.100 FULL TEXT LINK http://dx.doi.org/10.1016/j.jpainsymman.2010.10.100</t>
  </si>
  <si>
    <t>Childers,J. W.;Broyles,L. M.;Hanusa,B. H.;Kraemer,K. L.;Conigliaro,J.;Spagnoletti,C.;McNeil,M.;Gordon,A. J.;Author,Addresses;Division of General,Internal Medicine;Medicine,University of Pittsburgh School of Medicine Pittsburgh;Pennsylvania,U. S. A.;Correspondence,Address;JW Childers, Division of General Internal Medicine,Department of;Medicine,University of Pittsburgh School of Medicine Pittsburgh;Pennsylvania,U. S. A. E.</t>
  </si>
  <si>
    <t>22738004; Teaching the teachers: faculty preparedness and evaluation of a retreat in screening, brief intervention, and referral to treatment</t>
  </si>
  <si>
    <t>alcoholism;clinical competence;internal medicine;medical school;patient referral;psychotherapy;substance abuse;article;education;evaluation study;female;health personnel attitude;human;male;program development;psychological aspect</t>
  </si>
  <si>
    <t>Effective clinical faculty are essential for disseminating substance abuse screening, brief intervention, and referral to treatment (SBIRT). The authors developed an 8-hour SBIRT training for internal medicine faculty preceptors. Trainers conducted SBIRT lectures and small-group communication practice sessions. The authors assessed participants' (n = 27) knowledge, skills, and attitudes using an enhanced Alcohol and Alcohol Problems Perceptions Questionnaire (AAPPQ). Participants self-assessed their changes in SBIRT competence and comfort. Faculty trainees did not feel competent in SBIRT, particularly in intervention and referral to treatment. AAPPQ subscale scores were highest in Role Legitimacy and Motivation and lowest in Role Adequacy and Satisfaction. After training, faculty members reported greater likelihood of performing and teaching SBIRT. In some topic areas, faculty attending an SBIRT training reported limited knowledge and competence for treating drinkers; however, their interest and motivation for doing so was high. Ongoing faculty and organizational development efforts may help close these gaps.</t>
  </si>
  <si>
    <t>(Childers J.W.) (Broyles L.M.; Hanusa B.H.; Kraemer K.L.; Conigliaro J.; Spagnoletti C.; McNeil M.; Gordon A.J.); ID: 2488</t>
  </si>
  <si>
    <t>http://www.ncbi.nlm.nih.gov/pubmed/22738004</t>
  </si>
  <si>
    <t>10.1080/08897077.2011.639686 FULL TEXT LINK http://dx.doi.org/10.1080/08897077.2011.639686</t>
  </si>
  <si>
    <t>Teaching the teachers: faculty preparedness and evaluation of a retreat in screening, brief intervention, and referral to treatment</t>
  </si>
  <si>
    <t>Chithiramohan,T. N.;George,S.;Author,Addresses;Leicester Medical School, University,of Leicester;Leicester,United Kingdom;Rajagiri hospital,Chunagamvely;Aluva,Kerala India;Correspondence,Address;George, Rajagiri hospital Chunagamvely Aluva Kerala India Email,S.;sanjugeorge531@gmail.com</t>
  </si>
  <si>
    <t>Gambling addiction in primary care: A survey of general practitioners in solihull</t>
  </si>
  <si>
    <t>Internet Journal of Medical Update</t>
  </si>
  <si>
    <t>pathological gambling;primary medical care;adult;article;England;female;general practitioner;human;male;middle aged;patient care;physician attitude;questionnaire;Public Health, Social Medicine and Epidemiology (17);Psychiatry (32)</t>
  </si>
  <si>
    <t>We set out to study GPs' understanding of gambling addiction, their experiences of, and confidence in, managing these patients in primary care, their perceived role and feasibility, their views on funding gambling treatment services, etc. To this end, we carried out a postal questionnaire survey of all GPs (N=136) in Solihull, England. Ninety eight (98) of the 136 (72%) GPs returned completed questionnaires. Three-quarters of GPs had seen gambling addicts in their practice but none had ever received any training in the management of gambling addiction. The large majority of GPs acknowledged that gambling addiction was an important public health problem with significant potential adverse impacts. 90.8% of GPs expressed lack of confidence in managing these patients but most were keen to do more to help, and receive training. Although they saw thisdisorder being within their remit, they highlighted that potential resource implications ought to be addressed if gambling addicts are to be successfully managed in primary care. Much more needs to be done to improve the identification and treatment of gambling addicts in primary care settings. Most GPs saw the care of these patients as within their remit, were willing to get involved and were receptive to more training. We hope our findings will inform the development and implementation of any future training program for GPs.</t>
  </si>
  <si>
    <t>(Chithiramohan T.N.) (George S., sanjugeorge531@gmail.com) AKS Publication, 4 Malherbes Street, Curepipe, Mauritius. agnihotri_arun@hotmail.com; ID: 2031</t>
  </si>
  <si>
    <t>1694-0423 (electronic)</t>
  </si>
  <si>
    <t>20170036184 PUI L614034864</t>
  </si>
  <si>
    <t>10.4314/ijmu.v11i2.2 FULL TEXT LINK http://dx.doi.org/10.4314/ijmu.v11i2.2</t>
  </si>
  <si>
    <t>Chkhaidze,I.;Maglakelidze,N.;Maglakelidze,T.;Author,Addresses;Correspondence,Address;Chkhaidze,I.</t>
  </si>
  <si>
    <t>Smoking among medical and non-medical students in Tbilisi, Georgia: Does education matter?</t>
  </si>
  <si>
    <t>alcohol;education;European;human;medical student;smoking;society;curriculum;female;habit;health;juvenile;male;medical education;policy;prevalence;questionnaire;sex ratio;smoke;smoking cessation;smoking habit;student;tobacco;university</t>
  </si>
  <si>
    <t>Smoking rate in Georgia remains high and even tend to increase, especially among youth. The aim of this study was to describe the prevalence and factors influencing smoking among medical and non-medical students of Tbilisi, Georgia. The study was carried out in Tbilisi State Medical University and Tbilisi State University. 400 students were asked to fill out questionnaires. Sex ratio was 1:1. In total 48.9% of students were indentified to be smokers and 51.1% nonsmokers. The mean age was 20.24 years among smokers and 20.26 among nonsmokers. Medical education did not play role in smoking habit, since 50%.3 among medical students were smokers and 47.5% among non-medical students. 68% smokers were males. 45.8% were light smokers, 40.2% moderate and 14.0% heavy smokers. Males and females have expressed equal willingness to quit smoking. Just 37.3% of smokers have tried to quit smoking. The most common reasons of starting to smoke again were habit of smoking and alcohol. 58.8% of smokers would like to quit smoking stating health and financial reasons as the main factors on their desire. The willingness to quit smoking was expressed by 61.2% of medical and 56% of non-medical students. About 65% percent of students was exposed to smoking in the families, despite this fact did not turn out to have influence on their own smoking habit. In conclusion, results of the study have identified the need of enhancement of smoking related education on university level. Special attention should be given to the inclusion of anti-smoking information in study curricula. These measures can only be successful if tobacco control policies will be fully enforced on national level as well.</t>
  </si>
  <si>
    <t>(Chkhaidze I.; Maglakelidze N.; Maglakelidze T.) European Respiratory Society Annual Congress 2011 Amsterdam, Netherlands 2011-09-24 to 2011-09-28 European Respiratory Society; ID: 2644</t>
  </si>
  <si>
    <t>Choo,H. K.;Gentile,D. A.;Liau,A. K. F.;Sim,T.;Li,D. D.;Fung,D. S. S.;Khoo,A.;Author,Addresses;Social Work,Arts;Social Sciences,National,University of;Singapore,Singapore Singapore;Psychology,Iowa State University United States;Psychological Studies,Nanyang Technological;University,Singapore Singapore;Applied Social Sciences, Hong Kong Polytechnic,University Hong;Kong,Hong Kong;Child;Adolescent Psychiatry, Institute of,Mental Health;Singapore,Singapore;Correspondence,Address;HK Choo,Social,Work Arts;Social Sciences,National,University of;Singapore,Singapore Singapore</t>
  </si>
  <si>
    <t>Pathological video game use among youth</t>
  </si>
  <si>
    <t>Annals of the Academy of Medicine Singapore</t>
  </si>
  <si>
    <t>S76</t>
  </si>
  <si>
    <t>health;juvenile;recreation;Singapore;academic achievement;addiction;American;anxiety;child;diseases;etiology;high school;hope;human;impulsiveness;Internet;longitudinal study;medical society;panel study;population;prediction;prevalence;protection;risk;risk factor;social competence;social phobia;videorecording</t>
  </si>
  <si>
    <t>Background/Hypothesis: The American Medical Association and American Psychiatric Association have noted the need for additional research on pathological video gaming or Internet use. Longitudinal studies, in particular, are needed to test predictions about the etiology, risk factors, course, and outcomes of video game Î“Ã‡Â£addictionÎ“Ã‡Â¥. Hence, this study hopes to measure the prevalence and length of the problem, to identify risk and protective factors, whether pathological gaming is a primary or secondary problem, and to identify outcomes for those who become or stop being pathological gamers Methods: A 2-year longitudinal panel study was conducted on general elementary and secondary school population in Singapore. Three thousand and thirty-four children in Grades 3 (n = 743), 4 (n = 711), 7 (n = 916) and 8 (n = 664) were interviewed. Several hypothesised risk and protective factors for becoming or overcoming video game addiction were taken in consideration, including pathological gaming, weekly amount of game play, impulsivity, social competence, depression, social phobia, anxiety and school performance. Results: The prevalence of pathological gaming was similar to other countries (Î“Ãªâ•9%). Greater amount of gaming, lower social competence, and impulsivity appeared to act as risk factors for becoming pathological gamers, whereas depression, anxiety, social phobias, and school performance appeared to act as outcomes of being a pathological gamer. Discussion &amp; Conclusion: This study adds important information to the discussion about whether video game Î“Ã‡Â£addictionÎ“Ã‡Â¥ is similar to other addictive behaviours, demonstrating that it can last for years and is not solely a symptom of other comorbid disorders.</t>
  </si>
  <si>
    <t>(Choo H.K.) (Gentile D.A.) (Liau A.K.F.; Li D.D.; Khoo A.) (Sim T.) (Fung D.S.S.) 1st Singapore Health and Biomedical Congress, SHBC 2010 Singapore, Singapore 2010-11-12 to 2010-11-13 Academy of Medicine Singapore; ID: 2754</t>
  </si>
  <si>
    <t>0304-4602</t>
  </si>
  <si>
    <t>Chouinard,S.;Prasad,A.;Brown,R.;Author,Addresses;University;of Wisconsin,School,of Medicine;Public Health,Madison United;States;Department of,Family Medicine;Community Health, U W Madison Madison,United States;Correspondence,Address;Brown, Department of Family Medicine,R.;Community Health,University of;Wisconsin- Madison, Delaplaine Ct Madison United,States Email;randy.brown@fammed.wisc.edu</t>
  </si>
  <si>
    <t>Survey assessing medical student and physician knowledge and attitudes regarding the opioid crisis</t>
  </si>
  <si>
    <t>naloxone;health survey;opiate addiction;adult;article;attitude;data analysis;family medicine;female;health care;health care personnel;high risk patient;human;major clinical study;male;medical education;medical ethics;medical student;nuclear magnetic resonance imaging;physiotherapy;prescription;questionnaire;retrospective study;treatment response;naloxone (357-08-4, 465-65-6);Public Health, Social Medicine and Epidemiology (17);Health Policy, Economics and Management (36);Drug Dependence, Alcohol Abuse and Alcoholism (40)</t>
  </si>
  <si>
    <t>Background: There is a national opioid misuse and overdose crisis. Consensus guidelines seek to inform practice and reduce risk; however, effect on clinician attitudes and knowledge remains unclear. Methods: We surveyed 228 medical students and physicians in Wisconsin to assess their knowledge regarding at-risk patients, alternatives to opioids, and best treatment practices for opioid addiction. We also assessed attitudes about prescribing naloxone, relapse likelihood, and responsibility for the crisis. Results: Knowledge and attitudes were similar, including that overprescribing by health care professionals is a driving factor. Attitudes on relapse likelihood were different, but both groups believed sustained recovery from addiction was possible. Discussion: Enhancement of opioid-related education is both necessary to address knowledge gaps and desired by students and physicians.</t>
  </si>
  <si>
    <t>(Chouinard S.; Prasad A.; Brown R., randy.brown@fammed.wisc.edu) (UW) (Brown R., randy.brown@fammed.wisc.edu) State Medical Society of Wisconsin, communications@wismed.org; ID: 1733</t>
  </si>
  <si>
    <t>1098-1861</t>
  </si>
  <si>
    <t>20180264450 PUI L621631768</t>
  </si>
  <si>
    <t>Christen,A. G.;Christen,J. A.;Author,Addresses;Department of Oral Biology, School of,Dentistry Indiana;University,Indianapolis I. N. U. S. A.;Correspondence,Address;AG Christen, Department of Oral Biology School of,Dentistry Indiana;University,Indianapolis I. N. U. S. A.</t>
  </si>
  <si>
    <t>23580995; Dental education in the prevention and treatment of substance use disorders</t>
  </si>
  <si>
    <t>inhalation anesthetic agent;nitrous oxide;addiction (complication, diagnosis, prevention, rehabilitation);alcoholism (complication, diagnosis, prevention, rehabilitation);dental education;clinical competence;curriculum;human;humanism;in service training;malpractice;mouth disease (etiology, prevention);patient care;private practice;review;social environment;social psychology;United States;nitrous oxide (10024-97-2)</t>
  </si>
  <si>
    <t>(Christen A.G.) (Christen J.A.); ID: 3311</t>
  </si>
  <si>
    <t>http://www.ncbi.nlm.nih.gov/pubmed/23580995</t>
  </si>
  <si>
    <t>Dental education in the prevention and treatment of substance use disorders</t>
  </si>
  <si>
    <t>Christensen,C.;Raymond,M.;Author,Addresses;Wayne State University, Detroit,United States;Association of,American Medical;Washington,United States;Correspondence,Address;Christensen, Wayne State University Detroit United States,C.</t>
  </si>
  <si>
    <t>Innovations in chemical dependency and chronic pelvic pain clinical teaching for medical students and residents</t>
  </si>
  <si>
    <t>clinical education;medical student;pelvis pain syndrome;addiction;case study;chronic pain;curriculum;diagnosis;evidence based practice;female;hospital;learning environment;model;pain;patient;pregnancy;prenatal care;student;teaching</t>
  </si>
  <si>
    <t>Objectives: Patients with chemical dependency (CD) are often considered Î“Ã‡Â£morally defectiveÎ“Ã‡Â¥ by students and residents. Patients with Chronic Pain Syndrome (CPS) are also often labeled as Î“Ã‡Â£crazyÎ“Ã‡Â¥ or Î“Ã‡Â£drug seekingÎ“Ã‡Â¥. Chemical dependency (CD), pregnancy, and chronic pain syndrome (CPS) are often interrelated and must be dealt with together to relieve addiction or pain symptoms. Program Description: The clinical teaching program at the Eleonore Hutzel Recovery Center (EHRC) is an academic, resident/student driven clinic staffed by an ASAM certified addictionist, using evidence based techniques to provide comprehensive prenatal care for pregnant, addicted women while educating medical students and residents about best care practices regarding these dual diagnoses. CPS is also treated using ASAM based recommendations. Its design creates a positive learning environment to educate trainees about these often little understood and complex medical problems. Our objective is to propose this curriculum as an innovative model for participants to utilize and compare with their clinical and teaching practices for women diagnosed with CD, CPS and pregnancy. Methods: The program's history is reviewed to include design issues/curriculum, target patient population/types of problems addressed, and strategies for creating a positive learning environment. Key barriers to teaching about chemical dependency and chronic pain are identified. Outcome: Outcomes can be seen through the portrayal of a typical case study. This study exemplifies the positive learning environment and how trainees directly intervene with the patients, and the curriculum design/implementation. Conclusions: Primary lessons learned with respect to a key tip, program design technique, new knowledge gained, and an idea about how this program can be used at home sites are listed.</t>
  </si>
  <si>
    <t>(Christensen C.; Raymond M.) 2007 AMERSA National Meeting Haworth Press Inc.; ID: 2908</t>
  </si>
  <si>
    <t>Chung,T. W. H.;Lam,T. H.;Cheng,Y. H.;Author,Addresses;Department of,Community Medicine;for Behavioural Sciences, University of Hong Kong,Hong Kong;Department of Health, Hong Kong Government,Hong Kong;Department of Community Medicine, University of,Hong Kong;Patrick Manson Building South Wing, Sassoon Road,Hong Kong;Correspondence,Address;TH Lam, Department of Community Medicine Unit for,Behavioural Sciences;The University of Hong Kong, Sassoon Road Hong Kong,Hong Kong</t>
  </si>
  <si>
    <t>8949541; Knowledge and attitudes about smoking in medical students before and after a tobacco seminar</t>
  </si>
  <si>
    <t>asbestos (drug toxicity);attitude;curriculum;smoking;adult;advertising;air pollution;article;controlled study;health promotion;Hong Kong;human;medical education;medical student;normal human;questionnaire;risk factor;self report;tobacco (drug toxicity);asbestos (1332-21-4);Public Health, Social Medicine and Epidemiology (17);Health Policy, Economics and Management (36);Drug Dependence, Alcohol Abuse and Alcoholism (40)</t>
  </si>
  <si>
    <t>A 3-hour seminar on tobacco was introduced to second year (pre-clinical) medical students in Hong Kong in 1994. The differences in knowledge and attitudes were measured by a self-administered and anonymous questionnaire with 14 items before the seminar (n = 145), and again 2 weeks after the seminar (n = 151). The students also completed an evaluation form at the end of the seminar. Before the seminar, the students were most deficient in their knowledge on the exact magnitude of the risks from smoking and on the risks from smoking relative to the risks from air pollution and asbestos. After the seminar, their knowledge increased significantly (P &lt; 0.005). As for attitudes, in the pre-test 35% strongly agreed that tobacco advertising should be completely banned, and 50% did so in the post-test (P = 0.02). The corresponding figures for banning of all forms of tobacco promotion were 26% and 43% (P &lt; 0.005). In the pre-test, one in four students strongly disagreed that doctor's advice to their patients to stop smoking is totally ineffective, with this proportion increasing to 70% in the post-test (P &lt; 0.005). The majority of the students stated that the seminar was useful. The preclinical medical curriculum should, at the very least, include a tobacco seminar. Our survey shows that it is effective in improving students' knowledge and attitudes on tobacco control.</t>
  </si>
  <si>
    <t>(Chung T.W.H.; Lam T.H.; Cheng Y.H.) (Chung T.W.H.) (Lam T.H.) Blackwell Publishing Ltd, 9600 Garsington Road, Oxford, United Kingdom.; ID: 3509</t>
  </si>
  <si>
    <t>http://www.ncbi.nlm.nih.gov/pubmed/8949541</t>
  </si>
  <si>
    <t>Knowledge and attitudes about smoking in medical students before and after a tobacco seminar</t>
  </si>
  <si>
    <t>Cirone,S.;Author,Addresses;Addiction,Medicine Program;Section,of Special;Focused Practice,College,of Family;Physicians of Canada, Dundas Street west suite,Toronto Canada;Correspondence,Address;Cirone, Addiction Medicine Program Committee Section of Special Interest,S.;and Focused Practice, College of Family Physicians of,Canada Dundas;Street west, suite Toronto Canada Email sharoncirone,gmail com</t>
  </si>
  <si>
    <t>What is new in addiction medicine training at the college of family physicians of Canada?</t>
  </si>
  <si>
    <t>Canadian Journal of Addiction</t>
  </si>
  <si>
    <t>addiction;Canada;college;family medicine;general practitioner;curriculum;human;student</t>
  </si>
  <si>
    <t>Will review the activities of the Addiction Medicine Program Committee of the College of Family Physicians of Canada which is actively involved in the enhancement and development of educational tools pertaining to addiction medicine. The Committee's main focus is to develop an up-to-date, national curriculum in addiction medicine for Family Medicine trainees.</t>
  </si>
  <si>
    <t>(Cirone S., sharoncirone2@gmail.com) Canadian Society of Addiction Medicine, admin@csam.org; ID: 2200</t>
  </si>
  <si>
    <t>2368-4720</t>
  </si>
  <si>
    <t>20170702984 PUI L618646469</t>
  </si>
  <si>
    <t>Clair,V.;Mutiso,V.;Musau,A.;Frank,E.;Ndetei,D.;Author,Addresses;Univeristy of,British Columbia;Urban Health Research Initiative, British Columbia,Centre for;Excellence,in Hiv;Africa Mental,Health Foundation;Kenya;Correspondence,Address;Clair, Univeristy of British Columbia Vancouver Canada,V.</t>
  </si>
  <si>
    <t>The computer-based drug and alcohol training assessment in Kenya</t>
  </si>
  <si>
    <t>e43</t>
  </si>
  <si>
    <t>(MAJOR FOCUS);alcohol;Kenya;adult;alcohol consumption;controlled study;drug dependence;female;follow up;health care personnel;human;information processing;informed consent;male;medicine;mental health;meta analysis;pilot study;primary medical care;qualitative analysis;skill;stigma;total quality management;training;alcohol (64-17-5)</t>
  </si>
  <si>
    <t>Aims: NextGenU.org, the Annenberg Physician Training Program in Addiction Medicine (APTPAM), and Africa Mental Health Foundation (AMHF) assessed the impact of online training on urban and rural Kenyan healthcare workers' (HW) delivery of substance use disorders (SUD) services; using the NextGenU.org model based on expert created competencies, free available learning objects, and mentored activities. Methods: eDATA K includes (1) a pilot study; (2) a pre- and posttraining knowledge, attitudes and skills (KAS) ofHWin practice; (3) a RCT comparing alcohol brief interventions (BI) versus screening and information leaflet with 6 months follow-up (f/u); and (4) an implementation science study using a delayed control method to assess the integration of the SUD interventions in on-going practice with or without a quality improvement course. All four studies used quantitative and qualitative methods and data collection tools, administered after obtaining ethical approval and informed consent. Results: The courses improved KAS both in the pilot and in subsequent training of HW in 15 primary care facilities. Both RCT study arms (n = 696) showed a decrease of approximately100 g of alcohol (from about 400 g at baseline) of alcohol consumption in the previous 7 days at 6 months f/u, for those with risky level of alcohol consumption as determined by the ASSIST. Focus groups revealed very significant impact on participants' health and functioning. HWs were able to integrate the screening and BI in their practice, especially after taking a quality improvement course, performing &gt; 7000 screens and 800 BIs after the RCT. Conclusions: AMHF's, APTPAM's and NextGenU's online trainings decreased stigma, integrated SUD services in primary care, and resulted in HW providing an intervention that decreased alcohol consumption more than that found in BI meta-analysis. Populations worldwide would benefit from access to HW trained with this free coursework.</t>
  </si>
  <si>
    <t>(Clair V.; Frank E.) (Clair V.) (Mutiso V.; Musau A.; Ndetei D.) 2016 Annual Meeting of the College on Problems of Drug Dependence, CPDD 2016 Palm Springs, CA, United States 2016-06-11 to 2016-06-16 Elsevier Ireland Ltd; ID: 1850</t>
  </si>
  <si>
    <t>10.1016/j.drugalcdep.2016.08.129 FULL TEXT LINK http://dx.doi.org/10.1016/j.drugalcdep.2016.08.129</t>
  </si>
  <si>
    <t>Cleves-Bayon,J.;Correa,P. R.;Trevisan,L. A.;Author,Addresses;Yale University,School of;Medicine,New Haven United States;Correspondence,Address;JC Cleves-Bayon, Yale University School of Medicine New,Haven United;States</t>
  </si>
  <si>
    <t>Life-long substance abuse and the management of comorbid medical illness</t>
  </si>
  <si>
    <t>general aspects of disease;substance abuse;addiction;aged;drug dependence;drug interaction;epidemiology;evidence based practice;general practitioner;health care management;heart disease;Human immunodeficiency virus;interview;laboratory;learning;liver;lung disease;medical assessment;medical specialist;mental health;organization;patient;psychiatrist;questionnaire;vignette</t>
  </si>
  <si>
    <t>Addiction specialists and organizations for the elderly anticipate a rapidly increasing number of elderly patients needing help for addictions and their medical sequelae. The Substance Abuse and Mental Health Administration foresees 4.4 million older substance abusers by 2020, compared with 1.7 million in 2001. 83 percent of older addicts were 50-59, and the trailing edge of this group, age 50-54, is the fastest growing older group. Elderly substance abuse and its medical comorbid sequelae are becoming increasingly important to internists, family practitioners and general, geriatric and addiction psychiatrists. Special emphasis is placed on recognizing and medically co-managing the often severe medical conditions accompanying life-long substance abuse. Appropriate pharmacologic interventions involving consideration of proper dosing and drug-drug interactions will be reviewed. In addition, non-pharmacologic interventions, including the use of brief interventions, psychosocial interventions and formal addiction treatment will also be reviewed. Symposium learning objectives will be met by demonstrating a systematic and evidence-based approach to evaluating and treating substance abuse in the elderly. This will be accomplished through a combination of several brief didactic presentations, videotaped interview vignettes, and audience participation using a participatory discussion format at strategic points in the clinical management of cases. Brief didactic presentations will focus on epidemiology, assessment techniques including use of standardized questionnaires, laboratory and medical assessments, and specialized treatment approaches (pharmacologic, psychotherapeutic and psychosocial). Special emphasis will be placed on the most common medically co-morbid conditions associated with life long substance abuse including: HIV disease, Liver disease/HCV, Cardiac disease, Gastrointestinal and Pulmonary disease. This format is designed to educate and help guide the participants in making decisions based on real-life patient cases concerning identification of problems, making accurate assessments and treatment interventions, and developing goals for substance abuse treatment in the chronically medically ill elderly substance abusing patient.</t>
  </si>
  <si>
    <t>(Cleves-Bayon J.C.; Correa P.R.; Trevisan L.A.) 2010 AAGP Annual Meeting Savannah, GA, United States 2010-03-05 to 2010-03-08 Lippincott Williams and Wilkins; ID: 2821</t>
  </si>
  <si>
    <t>10.1097/01.JGP.0000369161.13792.ad FULL TEXT LINK http://dx.doi.org/10.1097/01.JGP.0000369161.13792.ad</t>
  </si>
  <si>
    <t>Cohen,F. L.;Author,Addresses;Correspondence,Address;Cohen,F. L.</t>
  </si>
  <si>
    <t>515340; A survey of smoking in institutions that educate health professionals</t>
  </si>
  <si>
    <t>(1979) 94</t>
  </si>
  <si>
    <t>medical profession;smoking (epidemiology, prevention);adult;article;curriculum;female;health education;human;male;medical personnel;middle aged;United States;university</t>
  </si>
  <si>
    <t>(Cohen F.L.); ID: 3850</t>
  </si>
  <si>
    <t>http://www.ncbi.nlm.nih.gov/pubmed/515340</t>
  </si>
  <si>
    <t>A survey of smoking in institutions that educate health professionals</t>
  </si>
  <si>
    <t>Cohen,M. I.;Litt,I. F.;Schonberg,S. K.;Author,Addresses;Div. Adolesc. Med, Dept Ped;Montefiore Hosp, Bronx N. Y.;Correspondence,Address;Div Adolesc Med, Dept Ped Montefiore Hosp,Bronx N.</t>
  </si>
  <si>
    <t>Perspectives on adolescent medicine: concepts and program design</t>
  </si>
  <si>
    <t>Acta Paediatrica Scandinavica</t>
  </si>
  <si>
    <t>Acta Paediatr.Scand.</t>
  </si>
  <si>
    <t>adolescence;curriculum;drug dependence;medicine;outpatient department;public health service;school health service;child;therapy;Health Policy, Economics and Management (36);Pediatrics and Pediatric Surgery (7)</t>
  </si>
  <si>
    <t>The concepts and goals of a program in adolescent medicine should include development of a capability to focus on current health needs of youth in a variety of settings; to plan clinical services to meet those needs with the flexibility necessary to respond to changing future requirements; and to deliver service within such a context while simultaneously creating a milieu conducive to education and investigation into the very process and definition of adolescence.</t>
  </si>
  <si>
    <t>(Cohen M.I.; Litt I.F.; Schonberg S.K.); ID: 3901</t>
  </si>
  <si>
    <t>0001-656X</t>
  </si>
  <si>
    <t>1977109788 PUI L7109738</t>
  </si>
  <si>
    <t>Colizza,K. G.;Lambert,L.;Author,Addresses;Cumming School,of;Medicine,University of Calgary th St N.W.Calgary Canada;Department of Medicine, University,of Calgary;Hospital Dr. Nw, Calgary Canada;Correspondence,Address;KG Colizza, Cumming School of Medicine University of,Calgary th;St Nw, Calgary Canada Email kate colizza,albertahealthservices ca</t>
  </si>
  <si>
    <t>Alcohol consumption history taking on the medical teaching unit</t>
  </si>
  <si>
    <t>alcohol consumption;medical education;patient counseling;Canada;documentation;health care system;hospital admission;human;letter;patient care;quality control;questionnaire;Public Health, Social Medicine and Epidemiology (17);Psychiatry (32)</t>
  </si>
  <si>
    <t>(Colizza K.G., kate.colizza@albertahealthservices.ca) (Lambert L.) Canadian Society of Addiction Medicine, admin@csam.org; ID: 1942</t>
  </si>
  <si>
    <t>20170703876 PUI L618655133</t>
  </si>
  <si>
    <t>Compton,W. M.;Stein,J. B.;Robertson,E. B.;Pintello,D.;Pringle,B.;Volkow,N. D.;Author,Addresses;National Institute on,Drug Abuse;United,States;Division,of Epidemiology;Prevention Research National Institute on,Drug Abuse;Executive Boulevard,Besthesda,M.D.United States;Correspondence,Address;JB Stein, Division of,Epidemiology Services;Prevention,Research;National Institute on Drug Abuse,,N.S.C.Executive Boulevard;Besthesda,M. D. U.</t>
  </si>
  <si>
    <t>16183465; Charting a course for health services research at the National Institute on Drug Abuse</t>
  </si>
  <si>
    <t>drug abuse;education program;health service;article;community care;drug efficacy;drug safety;evidence based medicine;general practitioner;health care delivery;health care policy;human;medical research;priority journal;Public Health, Social Medicine and Epidemiology (17);Health Policy, Economics and Management (36);Drug Dependence, Alcohol Abuse and Alcoholism (40)</t>
  </si>
  <si>
    <t>Through research, we continue to develop and refine an array of safe and efficacious interventions to prevent and treat drug abuse; however, these interventions have not led to widespread improvements in prevention and treatment services in nonresearch settings. In addition, investigator-initiated research rarely examine or refine interventions that practitioners have found relevant and that are widely practiced. To address these problems, the National Institute on Drug Abuse convened a blue ribbon task force to examine its health services research program. The report served as a catalyst for the institute to promote a vigorous program of research that seeks to examine prevention and treatment intervention delivery systems and policies that facilitate provision of effective care in a range of real world settings. Findings from this research should help address the translational bottleneck of bringing evidence-based interventions into the community. â”¬âŒ 2005 Elsevier Inc. All rights reserved.</t>
  </si>
  <si>
    <t>(Compton W.M.; Stein J.B., jstein1@nida.nih.gov; Robertson E.B.; Pintello D.; Pringle B.; Volkow N.D.) (Stein J.B., jstein1@nida.nih.gov) Elsevier Inc., 360 Park Avenue South, New York, United States.; ID: 3158</t>
  </si>
  <si>
    <t>http://www.ncbi.nlm.nih.gov/pubmed/16183465</t>
  </si>
  <si>
    <t>10.1016/j.jsat.2005.05.008 FULL TEXT LINK http://dx.doi.org/10.1016/j.jsat.2005.05.008</t>
  </si>
  <si>
    <t>Charting a course for health services research at the National Institute on Drug Abuse</t>
  </si>
  <si>
    <t>Conde,E.;Lomax,A.;Santos,T.;Pattyn,T.;Skjâ”œâ••dt,C.;Author,Addresses;Centro Hospitalar Baixo-Vouga, Departamento,Psiquiatria E.;Mental,Aveiro Portugal;University,Hospital Lewisham;Maudsley,N. H. S.;Foundation Trust, Liaison Service London,United Kingdom;Centro Hospitalar Baixo-Vouga, Departamento De,Psiquiatria E.;Saâ”œâ•‘de Mental,Aveiro Portugal;University,of Antwerp;Psykiatrisk,Center Nordsj;Correspondence,Address;Saâ”œâ•‘de,E.Conde, Centro Hospitalar Baixo-Vouga Departamento Psiquiatria E.;Mental,Aveiro Portugal</t>
  </si>
  <si>
    <t>Health-seeking attitudes and existing support services for psychiatric trainees</t>
  </si>
  <si>
    <t>33 SUPPL.</t>
  </si>
  <si>
    <t>S217</t>
  </si>
  <si>
    <t>European;health;human;psychiatry;student;addiction;data analysis software;eating disorder;economic aspect;Europe;health service;information processing;male;mental health;Netherlands;organization and management;physician;questionnaire;Spain;surgery;survival;Switzerland;United Kingdom</t>
  </si>
  <si>
    <t>Introduction Concern for medical doctors' health has been widely recognized over the past ten years. EFPT is aware of the heterogeneity of support set up for doctors in distress, recognizing the need for further cross-Europe research. Aims The EFPT Î“Ã‡Â£HELP ProjectÎ“Ã‡Â¥ was designed to investigate psychiatry trainees' perceptions of and attitudes towards health seeking at a Europe-wide scale. Furthermore, it aims to determine what services are available in Europe specifically to support physicians' health. Methods Multinational, cross-sectional survey conducted in 14 European countries between 2013 and 2014. Data collection was accomplished by an anonymous online or hard copy questionnaire. Completion implied consent to participate. Data was analysed using SPSS v20.0. Results Of the respondent trainees, 57.7% were from developed economies; 46.2% under 30 years; 26.9% males. Ninety-eight per cent said they would have surgery in the public sector, versus 42.3% who agree to get treatment there for an eating disorder, depression (28.8%) or addiction (17.3%). Trainees from developing economies were significantly less confident in using public sector help for mental health difficulties. When asked for advice regarding the same problems in their fellow trainees, they said they would recommend public sector help. Specific services for doctors exist in the UK, Spain, The Netherlands and Switzerland, but most trainees said there were no services locally. Conclusion The EFPT believes specialised physician health services are needed to ensure doctors seek help when necessary, while avoiding feeling stigmatised or punished in doing so. The authors plan to create a 'survival guide' for European trainees in distress, with collated information about local services for doctors.</t>
  </si>
  <si>
    <t>(Conde E.) (Lomax A.) (Santos T.) (Pattyn T.) (Skjâ”œâ••dt C.) 24th European Congress of Psychiatry, EPA 2016 Madrid, Spain 2016-03-12 to 2016-03-15 Elsevier Masson SAS; ID: 1979</t>
  </si>
  <si>
    <t>1778-3585</t>
  </si>
  <si>
    <t>10.1016/j.eurpsy.2016.01.529 FULL TEXT LINK http://dx.doi.org/10.1016/j.eurpsy.2016.01.529</t>
  </si>
  <si>
    <t>Conigrave,K.;Author,Addresses;Royal Prince Alfred Hospital, University,of Sydney;Australia;Correspondence,Address;Conigrave, Royal Prince Alfred Hospital University of Sydney Australia,K.</t>
  </si>
  <si>
    <t>What does modern addiction medicine have to offer aboriginal and Torres Strait Islander Australians?</t>
  </si>
  <si>
    <t>Internal Medicine Journal</t>
  </si>
  <si>
    <t>Intern.Med.J.</t>
  </si>
  <si>
    <t>41 SUPPL. 2</t>
  </si>
  <si>
    <t>alcohol;cannabis;gasoline;addiction;college;indigenous people;physician;alcoholism;chronic disease;community;epidemiology;evidence based practice;grief;injury;mortality;prevention;recurrent disease;risk;smoking;substance abuse;tobacco dependence</t>
  </si>
  <si>
    <t>Aboriginal and Torres Strait Islander individuals and communities often bear complex burdens of acute and chronic disease. Trauma, grief and loss, threats to traditional way of life, and limited educational and economic opportunities all contribute to stress and sense of loss of control. All these factors place Indigenous Australians at risk of substance use disorders. Both smoking and alcohol in turn are key contributors to the burden of disease and mortality, perpetuating a cycle of trauma and loss. Furthermore, alcohol dependence itself can behave as a chronic remitting, relapsing disease. Supply control, for both alcohol and petrol, has led to some significant advances, particularly in more remote regions. However where one substance is removed, sometimes another comes in to fill its place. Cannabis for example has become a rapidly rising concern for many communities. Supply control is far harder in urban and regional centres. In this session we discuss the state of the evidence around epidemiology, prevention and treatment of substance misuse among Indigenous Australians. In particular we reflect on advances in evidence-based treatment for alcohol and nicotine dependence, including modern pharmacotherapies. Their role and limitations among Indigenous Australians are examined. Future directions are discussed, including improved access to the full range of modern treatment.</t>
  </si>
  <si>
    <t>(Conigrave K.) Royal Australasian College of Physicians Congress 2011 Darwin, NT, Australia 2011-05-22 to 2011-05-25 Blackwell Publishing; ID: 2689</t>
  </si>
  <si>
    <t>1444-0903</t>
  </si>
  <si>
    <t>10.1111/j.1445-5994.2011.02486.x FULL TEXT LINK http://dx.doi.org/10.1111/j.1445-5994.2011.02486.x</t>
  </si>
  <si>
    <t>Coombs,R. H.;Author,Addresses;Biobehavioral Sciences, University of California,Los Angeles;School of Medicine, Westwood Plaza Los,Angeles C.;States;Correspondence,Address;RH Coombs, Biobehavioral Sciences University of California,Los Angeles;School of Medicine, Westwood Plaza Los,Angeles C.;States</t>
  </si>
  <si>
    <t>Drug abuse prevention for trainees in the health professions</t>
  </si>
  <si>
    <t>Journal of Substance Misuse</t>
  </si>
  <si>
    <t>J.Subst.Misuse</t>
  </si>
  <si>
    <t>drug abuse;drug dependence (prevention);health practitioner;occupational health;counseling;education program;human;medical education;medical school;medical student;primary prevention;review;secondary prevention;United States;wellbeing;Public Health, Social Medicine and Epidemiology (17);Psychiatry (32);Occupational Health and Industrial Medicine (35);Drug Dependence, Alcohol Abuse and Alcoholism (40)</t>
  </si>
  <si>
    <t>Substance abuse among health professionals, serious though rarely acknowledged, affects the well-being of many professionals and their patients. Relatively little has been done to develop preventive programs. This paper reviews current and past programs at health science centers in the USA - primary, secondary, and tertiary - aimed at preventing substance abuse and addiction.</t>
  </si>
  <si>
    <t>(Coombs R.H.); ID: 3461</t>
  </si>
  <si>
    <t>1357-5007</t>
  </si>
  <si>
    <t>1998027751 PUI L28041125</t>
  </si>
  <si>
    <t>Copello,A.;Walsh,K.;Graham,H.;Tobin,D.;Fellows,S.;Griffith,E.;Day,E.;Birchwood,M.;Author,Addresses;Compass Programme,Orsborn House;Terrace Road, Handsworth Birmingham,B.B.P.United Kingdom;School of Psychology, University of Birmingham,Edgbaston B.;Kingdom;Department of Psychiatry, University of Birmingham,The Barberry;Vincent Drive,Birmingham,B.F.G.United Kingdom;Correspondence,Address;Copello, Compass Programme Orsborn House Terrace Road Handsworth,A.;Birmingham,B. B. P. U.</t>
  </si>
  <si>
    <t>The impact of training within a comprehensive dual diagnosis strategy: The Combined Psychosis and Substance Use (COMPASS) experience</t>
  </si>
  <si>
    <t>Mental Health and Substance Use: Dual Diagnosis</t>
  </si>
  <si>
    <t>diagnosis;dual diagnosis;medical education;mental disease;substance abuse;article;comorbidity;human;medical staff;mental health service;priority journal;professional competence;professional development;professional knowledge;Public Health, Social Medicine and Epidemiology (17);Psychiatry (32);Drug Dependence, Alcohol Abuse and Alcoholism (40)</t>
  </si>
  <si>
    <t>This article is a service report based on the experience of the Combined Psychosis and Substance Use Programme (COMPASS), which aims to provide integrated treatment for people who experience coexisting mental health and substance use problems. A fundamental role of the service is to deliver a structured training package based on a Cognitive-Behavioural Integrated Treatment approach to staff within mental health services. We aimed to establish whether the needs of staff prior to training were consistent across various service areas and whether our training package can enhance staff confidence and skills to work with this client group. The final aim was to consider if confidence and skills can be maintained over an extended period of time. This article is based on service evaluation data collected between the late 1990s and 2011. Data that had been collected from staff across diverse service areas within a large Mental Health Trust in the UK were analysed. There was a high degree of consistency across the service areas. Prior to training staff expressed interest in combined psychosis and substance use problems and felt that it was part of their role to work with this client group. However they also reported that their knowledge of and competence in the area could be improved. Following the receipt of training staff confidence significantly increased and remained high at our most recent follow up 10 years later. The different strands of evidence provide robust support for the aims of our work. Specifically the significant role of training and continued support and supervision in increasing the confidence and skills of mental health staff responding to combined mental health and substance use problems. â”¬âŒ 2012 Copyright Taylor and Francis Group, LLC.</t>
  </si>
  <si>
    <t>(Copello A., a.g.copello@bham.ac.uk; Walsh K.; Graham H.; Tobin D.; Fellows S.; Griffith E.; Day E.; Birchwood M.) (Copello A., a.g.copello@bham.ac.uk; Graham H.; Griffith E.; Birchwood M.) (Day E.) Routledge, 4 Park Square, Milton Park, Abingdon, Oxfordshire, United Kingdom.; ID: 2529</t>
  </si>
  <si>
    <t>1752-3281 1752-3273 (electronic)</t>
  </si>
  <si>
    <t>2012426528 PUI L365281531</t>
  </si>
  <si>
    <t>10.1080/17523281.2012.660191 FULL TEXT LINK http://dx.doi.org/10.1080/17523281.2012.660191</t>
  </si>
  <si>
    <t>Cord,M.;MacDougall,P.;Fraser,J.;Author,Addresses;Medical,Management for;Pain,Toronto Canada;Nova Scotia Chronic Pain,Collaborative Care;Department of Anesthesia, Palhousie University,Halifax Canada;Pirection,Mentor Nscpccn Halifax Canada;Correspondence,Address;Cord, Medical Management for Addictions,M.;Pain,Toronto Canada</t>
  </si>
  <si>
    <t>Pain and addictions Continuing Professional Development</t>
  </si>
  <si>
    <t>Pain Research and Management</t>
  </si>
  <si>
    <t>March-April</t>
  </si>
  <si>
    <t>addiction;pain;professional development;society;Canada;chronic pain;community;education;health care system;learning;physician;primary medical care;teacher;workshop</t>
  </si>
  <si>
    <t>OBJECTIVE: The aim of this workshop is to describe a novel technique for delivering Continuing Professional Development and clinical support to primary care practitioners. Parallel development of similar networks in two provinces, the Nova Scotia Chronic Pain Collaborative Care Network (NSCPCCN) and Medical Mentoring for Addiction and Pain (MMAP) in Ontario will be described. The workshop will describe the development of both networks and collaboration between them including the development of a novel interprovincial mentoring system. Learning Objectives: 1. Will appreciate the concept of the mentor-mentee network and how it can be utilized to enhance pain and addiction education in the community. 2. Will be aware of the unique advantages of the educational dialogue created within such networks and will be in a position to identify whether this approach has application for other provinces across Canada. 3. Will understand the advantages of mentor-mentee networks within the health' care system.</t>
  </si>
  <si>
    <t>(Cord M.) (MacDougall P.) (Fraser J.) 2011 Annual Conference of the Canadian Pain Society Niagara Falls, ON, Canada 2011-04-13 to 2011-04-16 Pulsus Group Inc.; ID: 2720</t>
  </si>
  <si>
    <t>Cordier,B.;Author,Addresses</t>
  </si>
  <si>
    <t>Ethics and obligatory treatment in matters of sexual deviations ORIGINAL (NON-ENGLISH) TITLE Ethique et obligation de soins en matiere de deviance sexuelle</t>
  </si>
  <si>
    <t>Evolution Psychiatrique</t>
  </si>
  <si>
    <t>sexual deviation (therapy);conference paper;deontology;forensic psychiatry;human;involuntary commitment;medical ethics;violence;Psychiatry (32);Forensic Science Abstracts (49)</t>
  </si>
  <si>
    <t>The ethical aspects of obligatory treatment in matters of sexual deviation justify thinking about certain principles found in the 'Code of deontology': the independence of the therapist, free choice of the patient and respect of medical secret. This study considers the pathological nature of given sexual behaviour. We mast also ask what goals are aimed at in therapy with deviants - the therapists' aim is not to normalize. We cannot however ignore the risk factor. Also in this study we review the circumstances which give rise to obligatory treatment: this situation results from the 'Code de la Sante Publique' and/or the 'Code de Procedure Penale' and may or may not be connected to a given crime: preventive medicine mental illness, alcoholism, drug addiction and of course various forms of probation. Obligatory treatment as defined by the 'Guigou' law is thus considered in depth, it is original for medical and legal reasons: it means that persons may be jailed if they do not follow the treatment that the judge orders them to follow. It also created a new medical role, between the forensic psychiatrist and their therapist we now have the cOordinatOr who in theory is the 'go-between' between judge and patient. The relationship between therapist and patient is obviously modified but many specialists feel that obligatory treatment may be of use in starting a process that a person may later claim for himself.</t>
  </si>
  <si>
    <t>(Cordier B.); ID: 3453</t>
  </si>
  <si>
    <t>0014-3855</t>
  </si>
  <si>
    <t>1998127035 PUI L28175233</t>
  </si>
  <si>
    <t>Corelli,R. L.;Kroon,L. A.;Chung,E. P.;Sakamoto,L. M.;Gundersen,B.;Fenlon,C. M.;Hudmon,K. S.;Author,Addresses;Department,of;Clinical Pharmacy, School of Pharmacy University of,California San;Francisco,United States;Department of Pharmacy Practice, W University,of Health;Sciences,College of Pharmacy United States;Department of Clinical Pharmacy, University,of Southern;California,School of Pharmacy United States;Department of Pharmacy Practice, University of,the Pacific;Long,Thomas J.;Dept,of Epidemiol;Pub Health, Yale University School of Medicine College,Street New;Haven,C. T. U.;Correspondence,Address;KS Hudmon,Dept,of Epidemiol;Pub Health, Yale University,School of;Medicine,College Street New Haven C.T.United States Email;karen.hudmon@yale.edu</t>
  </si>
  <si>
    <t>15850892; Statewide evaluation of a tobacco cessation curriculum for pharmacy students</t>
  </si>
  <si>
    <t>clinical pharmacy;education program;smoking cessation;article;controlled study;evaluation study;health care delivery;health care personnel;health care quality;health program;health survey;human;medical education;medical school;medical student;patient counseling;preventive medicine;priority journal;self report;Public Health, Social Medicine and Epidemiology (17)</t>
  </si>
  <si>
    <t>Background. Previous studies suggest that healthcare professionals are inadequately trained to treat tobacco use and dependence. Because even brief interventions from clinicians improve patient quit rates, widespread implementation of effective tobacco cessation training programs for health professional students is needed. Methods. Pharmacy students received 7-8 h of comprehensive tobacco cessation training. Participants completed pre- and post-program surveys assessing perceived overall abilities for cessation counseling, skills for key facets of cessation counseling (Ask, Advise, Assess, Assist, Arrange), and self-efficacy for counseling. Results. A total of 493 students (82.3%) completed linkable pre- and post-training evaluations. Self-reported abilities, measured on a five-point scale, increased significantly from 1.89 â”¬â–’ 0.89 to 3.53 â”¬â–’ 0.72 (P &lt; 0.001). Twenty-two percent of students rated their overall counseling abilities as good, very good, or excellent before the training versus 94% of students after the training. Eighty-seven percent of students indicated the training will increase the number of patients that they counsel; 97% believed it will increase the quality of their cessation counseling. Conclusions. Comprehensive training significantly improved pharmacy students' perceived confidence and ability to provide tobacco cessation counseling. The curriculum is applicable to other health professional training programs and currently is being used to train pharmacy, medical, nursing, and dental students. â”¬âŒ 2004 Elsevier Inc. All rights reserved.</t>
  </si>
  <si>
    <t>(Corelli R.L.; Kroon L.A.; Hudmon K.S., karen.hudmon@yale.edu) (Chung E.P.) (Sakamoto L.M.) (Gundersen B.) (Fenlon C.M.; Hudmon K.S., karen.hudmon@yale.edu) Academic Press Inc., 6277 Sea Harbor Drive, Orlando, United States.; ID: 3174</t>
  </si>
  <si>
    <t>http://www.ncbi.nlm.nih.gov/pubmed/15850892</t>
  </si>
  <si>
    <t>10.1016/j.ypmed.2004.10.003 FULL TEXT LINK http://dx.doi.org/10.1016/j.ypmed.2004.10.003</t>
  </si>
  <si>
    <t>Statewide evaluation of a tobacco cessation curriculum for pharmacy students</t>
  </si>
  <si>
    <t>Coriell,L. L.;Author,Addresses;Inst. Med. Res, Camden N. J.;Correspondence,Address;Inst. Med. Res, Camden N. J.</t>
  </si>
  <si>
    <t>265413; Cancer and cancer research in New Jersey</t>
  </si>
  <si>
    <t>administration;cancer research;cost benefit analysis;health economics;health program;manpower;medical care;medical education;mortality;smoking;statistics;tax;epidemiology;fatality;major clinical study;prevention;theoretical study;therapy;Public Health, Social Medicine and Epidemiology (17);Cancer (16)</t>
  </si>
  <si>
    <t>New Jersey has the highest cancer death rate in the nation for many of the most frequently fatal types of cancer and yet it has qualified for relatively little of the federal funds for cancer research and control made available since the Conquest of Cancer Act was passed in 1971. This report examines the reasons for this and concludes that New Jersey lags because it has provided relatively little encouragement for cancer research in any of its institutions. Consequently there are few competent research teams in New Jersey to apply for federal funds.</t>
  </si>
  <si>
    <t>(Coriell L.L.); ID: 3869</t>
  </si>
  <si>
    <t>http://www.ncbi.nlm.nih.gov/pubmed/265413</t>
  </si>
  <si>
    <t>Cancer and cancer research in New Jersey</t>
  </si>
  <si>
    <t>Cornuz,J.;Humair,J. P.;Seematter,L.;Stoianov,R.;Melle,G.;Stalder,H.;Pecoud,A.;Willemsen,M. C.;Author,Addresses;Defacto,Hague Netherlands;Correspondence,Address;MC Willemsen,Defacto,Hague Netherlands</t>
  </si>
  <si>
    <t>Training physicians in smoking cessation counselling may increase patients' motivation to quit</t>
  </si>
  <si>
    <t>Evidence-Based Healthcare</t>
  </si>
  <si>
    <t>patient counseling;smoking cessation;clinical practice;consultation;continuing education;education program;family medicine;health care quality;health promotion;human;internal medicine;motivation;patient attitude;physician;physician attitude;postgraduate education;primary medical care;priority journal;short survey;Switzerland;Public Health, Social Medicine and Epidemiology (17)</t>
  </si>
  <si>
    <t>(Willemsen M.C.) (Cornuz J.; Humair J.P.; Seematter L.; Stoianov R.; Melle G.; Stalder H.; Pecoud A.); ID: 3285</t>
  </si>
  <si>
    <t>1462-9410</t>
  </si>
  <si>
    <t>2004305004 PUI L38930787</t>
  </si>
  <si>
    <t>10.1054/ebhc.2002.0539 FULL TEXT LINK http://dx.doi.org/10.1054/ebhc.2002.0539</t>
  </si>
  <si>
    <t>Cosnes,J.;Beaugerie,L.;Carbonnel,F.;Gendre,J. P.;Author,Addresses;Service,de;Gastroentâ”œâŒrologie et Nutrition, Hâ”œâ”¤pital Rothschild,Paris France;Correspondence,Address;Cosnes, Hâ”œâ”¤pital Rothschild Boulevard de Picpus Paris cedex,J.;France Email, jacques cosnes,rth ap</t>
  </si>
  <si>
    <t>11266373; Smoking cessation and the course of Crohn's disease: An intervention study</t>
  </si>
  <si>
    <t>aminosalicylic acid (drug therapy);azathioprine (drug dose, drug therapy);immunosuppressive agent (drug therapy);infliximab (drug therapy);mesalazine (drug dose, drug therapy);methotrexate (drug dose, drug therapy, intramuscular drug administration);olsalazine (drug therapy);prednisolone (drug dose, drug therapy);salazosulfapyridine (drug therapy);steroid (drug therapy);Crohn disease (drug therapy, surgery);smoking cessation;adult;article;controlled study;disease activity;disease course;female;follow up;human;immunosuppressive treatment;major clinical study;male;patient counseling;physician;prediction;priority journal;reinforcement;socioeconomics;steroid therapy;DRUG TRADE NAMES;remicade , FranceSchering Plough;DRUG MANUFACTURERS;(France)Schering Plough;aminosalicylic acid (133-10-8, 133-15-3, 28088-64-4, 51540-64-8, 65-49-6,;80702-32-5);azathioprine (446-86-6);infliximab (170277-31-3);mesalazine (89-57-6);methotrexate (15475-56-6, 59-05-2, 7413-34-5);olsalazine (6054-98-4);prednisolone (50-24-8);salazosulfapyridine (599-79-1);Internal Medicine (6);Public Health, Social Medicine and Epidemiology (17);Drug Literature Index (37);Gastroenterology (48)</t>
  </si>
  <si>
    <t>Background &amp; Aims: To evaluate the benefit of smoking cessation in individuals with Crohn's disease, we performed an intervention study in a large cohort of smokers with the disease. Methods: Repeated counseling to stop smoking, with easy access to a smoking cessation program, was given to 474 consecutive smokers with Crohn's disease. Patients who stopped smoking for more than 1 year (quitters) were included in a prospective follow-up study, which compared disease course and therapeutic needs with 2 control groups, continuing smokers and nonsmokers, paired for age, gender, disease location, and activity. Results: There were 59 quitters (12%). Predictors of quitting were the physician, previous intestinal surgery, high socioeconomic status, and in women, oral contraceptive use. During a median follow-up of 29 months (1-54 months), the risk of flare-up in quitters did not differ from that in nonsmokers and was less than in continuing smokers (P &lt; 0.001). Need for steroids and for introduction or reinforcement of immunosuppressive therapy, respectively, were similar in quitters and nonsmokers and increased in continuing smokers. The risk of surgery was not significantly different in the 3 groups. Conclusions: Patients with Crohn's disease who stop smoking for more than 1 year have a more benign disease course than if they had never smoked.</t>
  </si>
  <si>
    <t>(Cosnes J.; Beaugerie L.; Carbonnel F.; Gendre J.-P.) W.B. Saunders, Independence Square West, Philadelphia, United States.; ID: 3360</t>
  </si>
  <si>
    <t>http://www.ncbi.nlm.nih.gov/pubmed/11266373</t>
  </si>
  <si>
    <t>Smoking cessation and the course of Crohn's disease: An intervention study</t>
  </si>
  <si>
    <t>Coughey,K.;Feighan,K.;Lavelle,K.;Olson,K.;DeCarlo,M.;Medina,M.;Author,Addresses;Philadelphia Hlth Mgmt Corporation, S Broad Street,Philadelphia P.;States,United;Correspondence,Address;Broad Street,K.Coughey, Philadelphia Hlth Mgmt Corporation S.;Philadelphia,P. A. U.</t>
  </si>
  <si>
    <t>Project H.O.M.E.: A comprehensive program for homeless individuals with mental illness and substance use disorders</t>
  </si>
  <si>
    <t>Alcoholism Treatment Quarterly</t>
  </si>
  <si>
    <t>homelessness;mental disease;preventive health service;substance abuse;employment;health education;human;patient counseling;review;social aspect;social behavior;United States;Public Health, Social Medicine and Epidemiology (17);Psychiatry (32);Drug Dependence, Alcohol Abuse and Alcoholism (40)</t>
  </si>
  <si>
    <t>Project H.O.M.E. (Housing Opportunities, Medical Care and Education) is an innovative, multi-faceted homelessness prevention program in Philadelphia, PA, designed to reduce individual, community/neighborhood and societal risk factors for the recurrence of homelessness among individuals with severe mental illness and/or substance use disorders. Tailored to the needs and abilities of each individual, Project H.O.M.E. uses a combination of prevention strategies that includes street outreach, three levels of housing, extensive on-site services (education, employment, health care, addictions counseling, and social activities) and linkages to other services. Project H.O.M.E. also advocates for the homeless population through political activism.</t>
  </si>
  <si>
    <t>(Coughey K.; Feighan K.; Lavelle K.; Olson K.; DeCarlo M.; Medina M.); ID: 3407</t>
  </si>
  <si>
    <t>0734-7324</t>
  </si>
  <si>
    <t>1999304356 PUI L29408788</t>
  </si>
  <si>
    <t>10.1300/J020v17n01_08 FULL TEXT LINK http://dx.doi.org/10.1300/J020v17n01_08</t>
  </si>
  <si>
    <t>Crawford,C.;Lee,J.;Bentsianov,S.;Rosenthal,L.;Barangan,C.;Diaz,A.;Author,Addresses;Icahn School of Medicine at,Mount Sinai;Mount,Sinai;Adolescent,Health Center;Correspondence,Address;Crawford, Icahn School of Medicine at Mount Sinai United States,C.</t>
  </si>
  <si>
    <t>Creation and implementation of the community resource education and training exercise (create) at the mount sinai adolescent health center</t>
  </si>
  <si>
    <t>S108</t>
  </si>
  <si>
    <t>levonorgestrel;adolescent health;curriculum;exercise;adolescent;conference abstract;contraception;healthy lifestyle;human;learning;medical student;mental health;New York;nutrition;resident;sexual health;substance abuse;summer;levonorgestrel (797-63-7)</t>
  </si>
  <si>
    <t>Purpose: Online, mobile, and community resources are valuable ad-juncts to patient care. Providers who understand the breadth of resources within their communities can offer more informed recommendations to patients who require services outside of the scope of their primary provider. We created and implemented the Community Resource Education and Training Exercise (CREATE) program to (1) provide medical trainees rotating at the Mount Sinai Adolescent Health Center (MSAHC) with the opportunity to learn about local, online, and mobile resources that are available to the adolescents served by the center, and (2) create a comprehensive list of adolescent-friendly resources related to mental health, nutrition, sexual health, trouble at home, substance abuse, and healthy lifestyles for providers at the MSAHC. Methods: The CREATE curriculum was designed during Summer 2016 to educate new residents, fellows, and medical students rotating at the AHC. The primary method of instruction involves case scenarios of Î“Ã‡Â£typical patientsÎ“Ã‡Â¥ that seek care at the MSAHC related to mental health, nutrition, sexual health, trouble at home, substance abuse, and healthy lifestyles. Trainees are assigned one case and instructed to educate themselves about the resources required by the patient de-scribed in the scenario. Trainees have approximately one week to complete this task. Following completion, participants debrief with the MSAHC fellows and other trainees through a 10-15 minute presentation describing the resources they found and utilized. Finally, participants are asked to complete a 10-15 minute survey that evaluates their learning and requests feedback. The survey also asks participants to list the resources they found while completing the CREATE curriculum. This information is compiled into an ongoing document and made available to providers at the MSAHC. Results: The CREATE program was successfully launched as a pilot program at the MSAHC in January 2017. Two trainees have completed the program and were assigned the Sexual Health CREATE case. After completion, the participants reported increased confidence in their ability to advise an adolescent on the process of obtaining Plan B and free contraception in New York City. They also reported an improved understanding of the barriers that face adolescents seeking such resources. We are in the process of administering the CREATE program to a new cohort of trainees. Conclusions: Through this curriculum, trainees and providers become better informed about the benefits, downsides, and barriers associated with the resources available to adolescents in our community. By enabling trainees to immerse themselves in the experience of seeking online, mobile, and local resources, the CREATE program forms the basis for providing more informed, personalized care to MSAHC patients. Sources of Support: N/A.</t>
  </si>
  <si>
    <t>(Crawford C.) (Lee J.; Bentsianov S.; Rosenthal L.; Barangan C.; Diaz A.) Society for Adolescent Health and Medicine Annual Meeting 2018 Seattle, WA, United States 2018-03-14 to 2018-03-17 Elsevier USA; ID: 1739</t>
  </si>
  <si>
    <t>Crofton,J. W.;Freour,P. P.;Tessier,J. F.;Author,Addresses;University of,Edinburgh;Edinburgh,United Kingdom;Correspondence,Address;JW Crofton, University of Edinburgh Edinburgh,United Kingdom</t>
  </si>
  <si>
    <t>Medical education on tobacco: Implications of a worldwide survey</t>
  </si>
  <si>
    <t>Lotta Contro la Tuberculosi e le Malattie Polmonari Sociali</t>
  </si>
  <si>
    <t>health education;medical education;smoking;article;attitude;medical student;Chest Diseases, Thoracic Surgery and Tuberculosis (15);Public Health, Social Medicine and Epidemiology (17)</t>
  </si>
  <si>
    <t>This report considers the implications for medical education of a global survey of the knowledge, behaviour and attitudes of medical students regarding tobacco. This was conducted in 42 countries derived from all continents. A total of 9326 students (44% women) from 51 medical schools replied anonymously to a multiple choice questionnaire administered in the local language. Student smoking rates varied greatly between countries/regions: daily smoking in men from 2% (Australia) to 48% (one centre in the former USSR); in women from nil in some Asian medical schools to 22% in one European. Though there was some variation between countries and medical schools, there was widespread ignorance of the causal role of smoking in specific diseases; notably coronary artery disease, peripheral vascular disease, emphysema, bladder cancer and neonatal mortality. There were widespread defects in knowledge and motivation regarding counselling patients to quit smoking, with a common failure to appreciate a doctor's responsibilities in prevention. Very few students knew the value of tobacco taxation in reducing consumption. Following our survey we were asked to advise the World Health Organization on a summary of the desirable tobacco content of medical curricula, which has now been issued. The International Union against Tuberculosis and Lung Disease, in cooperation with the European Region of WHO, has circulated the Deans of all European medical schools with a summary of the deficiencies revealed by the European component of the survey, together with a questionnaire on proposed action. A similar initiative is being considered in cooperation with the Western pacific Region of WHO.</t>
  </si>
  <si>
    <t>(Crofton J.W.; Freour P.P.; Tessier J.F.); ID: 3555</t>
  </si>
  <si>
    <t>0368-7546</t>
  </si>
  <si>
    <t>1995058996 PUI L25057664</t>
  </si>
  <si>
    <t>Crofton,J. W.;Tessier,J. F.;Frâ”œâŒour,P. P.;Piha,T.;Author,Addresses;University of Edinburgh, Edinburgh,United Kingdom;L'Unite Inserm,University,of Bordeaux;Bordeaux,France;Who Regional Office,for Europe;Spylaw Bank Road, Colinton,Edinburgh E.;Kingdom;Correspondence,Address;JW Crofton, University of Edinburgh Edinburgh,United Kingdom</t>
  </si>
  <si>
    <t>9217904; European medical schools and tobacco</t>
  </si>
  <si>
    <t>medical school;smoking habit;tobacco;article;attitude;Europe;human;mortality;questionnaire;staff;teaching;teaching hospital;world health organization;Public Health, Social Medicine and Epidemiology (17);Health Policy, Economics and Management (36)</t>
  </si>
  <si>
    <t>Following a survey in 19 European countries of the habits, attitudes and knowledge of medical students regarding tobacco, World Health Organisation European Office and the International Union against Tuberculosis and Lung Disease jointly circulated to the Deans of all European medical schools a summary of the results, including figures for mortality for smoking-related diseases in their countries and a brief questionnaire concerning faculty action on the tobacco problem. The response rate was just over 50%, higher in Northern Europe (66%) than in Southern (35%) or Eastern (38%). Only 8% of faculties had a specific teaching module on tobacco. In most it was either systematically (35%) or unsystematically (55%) integrated in other teaching. Teaching hospitals, teaching areas and faculty meetings were said to be smokefree by over 90%; figures were lower for other areas. Seventy-seven per cent of Deans intended to discuss our approach with their teaching staff; 72% gave the name of a staff member with a particular tobacco interest.</t>
  </si>
  <si>
    <t>(Crofton J.W.) (Tessier J.F.; Frâ”œâŒour P.P.) (Piha T.) Blackwell Publishing Ltd, 9600 Garsington Road, Oxford, United Kingdom.; ID: 3498</t>
  </si>
  <si>
    <t>http://www.ncbi.nlm.nih.gov/pubmed/9217904</t>
  </si>
  <si>
    <t>European medical schools and tobacco</t>
  </si>
  <si>
    <t>Croissant,B.;Mann,K.;Author,Addresses;Zentralinstitut,Seelische Gesundheit;Verhalten/Suchtmedizin,Leitender Oberarzt,Klin J.;Germany;Correspondence,Address;Abhangiges,B.Croissant, Zentralinstitut Seelische Gesundheit K.;Verhalten/Suchtmedizin,Leitender Oberarzt,Klin J.;Germany</t>
  </si>
  <si>
    <t>Qualified Withdrawal Treatment - Inpatient Detoxification for Alcohol Addicted Patients and its Ambulant Continuation ORIGINAL (NON-ENGLISH) TITLE Qualifizierter Entzug: Die Stationâ”œÃ±re Entzugsbehandlung von Alkoholabhâ”œÃ±ngigen und Ihre Ambulante Fortfâ”œâ•hrung</t>
  </si>
  <si>
    <t>Klinikarzt</t>
  </si>
  <si>
    <t>alcohol;alcoholism (disease management);alcohol abuse;alcohol withdrawal syndrome;article;detoxification;diagnosis related group;health care cost;hospital patient;human;outpatient care;alcohol (64-17-5);Psychiatry (32);Health Policy, Economics and Management (36);Drug Dependence, Alcohol Abuse and Alcoholism (40)</t>
  </si>
  <si>
    <t>The primary aim of the traditional detoxification treatment is to guarantee the survival of the patient with the help of adequate medication. Up to now specific procedures against the underlying dependence are adopted in a few cases only. The reevaluations of this traditional detoxification show exceptionally poor results. For inpatient detoxification in general hospitals essential improvements of the existing care system can be achieved with the help of liaison-services trained in addiction medicine. Motivational techniques are added to standard acute treatment while the aim of these interventions is the consistent development of a sufficient self insight in the disease which finally leads to the willingness of the patient to enter further abstinence-maintaining treatments. According to the health reform-law 2000 an all inclusive remuneration system is being introduced in Germany. For this purpose the Australian DRG (Diagnosis Related Groups)-system is adapted. The expenses for the treatment constellation "Qualified withdrawal treatment" are not represented in this system. If the qualified withdrawal treatment in alcohol dependence (ICD 10 F10.2) is to be carried out in general hospitals - with a multiprofessional team - the expenses are in no way covered by the DRG. Somatic departments should be enabled to realize this demanding and in the whole course cost-saving offer of the "qualified withdrawal treatment" which is provided by physicians, psychologists and social workers in common with regard to treatment duration and personnel equipment by a suitable financing.</t>
  </si>
  <si>
    <t>(Croissant B.) (komm.) (Mann K.) Karl Demeter Verlag GmbH, Rudigerstr. 14, Stuttgart, Germany.; ID: 3253</t>
  </si>
  <si>
    <t>0341-2350</t>
  </si>
  <si>
    <t>2003429571 PUI L37309520</t>
  </si>
  <si>
    <t>10.1055/s-2003-42383 FULL TEXT LINK http://dx.doi.org/10.1055/s-2003-42383</t>
  </si>
  <si>
    <t>Qualified Withdrawal Treatment - Inpatient Detoxification for Alcohol Addicted Patients and its Ambulant Continuation ORIGINAL (NON-ENGLISH) TITLE Qualifizierter Entzug: Die Stationâ”œÃ±re Entzugsbehandlung von Alkoholabhâ”œÃ±ngigen und Ihre Amb(TRUNCATED)</t>
  </si>
  <si>
    <t>Crosier,B. S.;Borodovsky,J.;Mateu-Gelabert,P.;Guarino,H.;Author,Addresses;Center for,Technology;Behavioral Health,Dartmouth;College,West Windsor United States;Psychiatry,Dartmouth College Hanover United States;Ndri,Inc New York United States;National,Development;Research Institutes,New,York United;States;Correspondence,Address;BS Crosier,Center,for Technology;Behavioral Health,Dartmouth;College,West Windsor United States</t>
  </si>
  <si>
    <t>Finding a needle in the haystack: Using machine-learning to predict overdose in opioid users</t>
  </si>
  <si>
    <t>e49</t>
  </si>
  <si>
    <t>(MAJOR FOCUS);opiate;random forest;adult;Caucasian;classification;disease course;drug overdose;female;human;major clinical study;male;physician;predictor variable;social network;substance abuse;opiate (53663-61-9, 8002-76-4, 8008-60-4)</t>
  </si>
  <si>
    <t>Aims: To accurately predict overdose frequency using machine learning and identify key predictive features. Methods: A sample of opioid users (N= 260) was contacted and reported on 1016 variables including demographics, social network info, and drug history. We then used the machine learning technique random forests to (1) attempt to accurately predict a participant's lifetime opioid overdose status, and (2) the number of times they overdosed. The Gini index was used for feature selection to identify meaningful predictors. Results: Participants were M= 24.28 (SD = 3.11) years old and 66% male. 80% identified as Caucasian. We ran two random forests. The first performed a binary classification to predict lifetime overdose status, with an error rate of 30.25%. The most predictive feature was identified as whether or not that person had ever been arrested. The second model identified the predictors of overdose frequency. This model explained 8% of variance in overdose. The most predictive feature was the number of overdoses in a person's social network. Conclusions: Two random forests provided a solution to a Î“Ã‡Â£needle in the haystackÎ“Ã‡Â¥ problem, identifying variables most related to overdose, and predicted overdose with an accuracy much greater than chance. Arrest history and the number of overdoses in a person's network emerged as the most important predictors of overdose. This information can be used to guide future research, and informs the design of screening tools. Questions asking someone if they have ever been arrested or how many people they have seen overdose could greatly help on-the-ground practitioners by quickly identifying those that are at risk. Machine learning is becoming increasingly important when working with datasets that contain a great number of predictor variables and serve as a powerful non-theoretical method to identify important factors related to substance abuse and other behavioural health problems.</t>
  </si>
  <si>
    <t>(Crosier B.S.) (Borodovsky J.) (Mateu-Gelabert P.) (Guarino H.) 2016 Annual Meeting of the College on Problems of Drug Dependence, CPDD 2016 Palm Springs, CA, United States 2016-06-11 to 2016-06-16 Elsevier Ireland Ltd; ID: 1849</t>
  </si>
  <si>
    <t>10.1016/j.drugalcdep.2016.08.146 FULL TEXT LINK http://dx.doi.org/10.1016/j.drugalcdep.2016.08.146</t>
  </si>
  <si>
    <t>Crump,M. T.;Milling,R. N.;Author,Addresses;Univ of S Carolina Sch,of Med;United,States;Hall,William S.</t>
  </si>
  <si>
    <t>8880672; The efficacy of substance abuse education among dual-diagnosis patients</t>
  </si>
  <si>
    <t>March/April</t>
  </si>
  <si>
    <t>medical education;substance abuse;article;diagnostic accuracy;diagnostic procedure;hospital discharge;human;patient education;priority journal;statistical analysis;Public Health, Social Medicine and Epidemiology (17);Drug Dependence, Alcohol Abuse and Alcoholism (40)</t>
  </si>
  <si>
    <t>The purpose of this study was to determine whether patient education programs were effective at improving knowledge of substance abuse among dual- diagnosis patient. Adult patients at a general psychiatry hospital were identified for a history of substance abuse. Of the 51 patients included in the given study, 25 were on forensic units, 7 were in a private ward, and 19 were on the public unit. Patients were given a pretest at the beginning of the study and received an identical posttest prior to discharge or at the end of the study. The patients on the public unit received up to 16 h per week of Alcoholics and Anonymous meetings, alcohol/drug education meetings, group therapy, and other forms of intervention. These patients demonstrated statistically significant improvements between pretest and posttest scores, while those on the forensic units who received only 2 h of intervention per week did not show improvements in substance abuse knowledge. These and other findings have been used to improved education programs for our dual-diagnosis patients across the institute.</t>
  </si>
  <si>
    <t>(Crump M.T.; Milling R.N.) (Milling R.N.) Elsevier Inc., 360 Park Avenue South, New York, United States.; ID: 3523</t>
  </si>
  <si>
    <t>http://www.ncbi.nlm.nih.gov/pubmed/8880672</t>
  </si>
  <si>
    <t>10.1016/0740-5472(96)00042-6 FULL TEXT LINK http://dx.doi.org/10.1016/0740-5472(96)00042-6</t>
  </si>
  <si>
    <t>The efficacy of substance abuse education among dual-diagnosis patients</t>
  </si>
  <si>
    <t>Csâ”œÃ­kâ”œÃ­nyi,Z.;Spangler,J.;Katona,G.;Author,Addresses;Department,of Otorhinolaryngology;Children's Hospital, Delej utca,H.Budapest Hungary;Department of,Family;Community;Medicine,Wake Forest University School of Medicine Winston-Salem N.C.;States,United;Correspondence,Address;Spangler,Department of Family,J.;Community Medicine,Wake,Forest School;of Medicine, Medical Center Blvd Winston-Salem,N.C.United States;Email,jspangle wakehealth edu</t>
  </si>
  <si>
    <t>24485173; Tobacco intervention teachable moments for pediatric otolaryngologists: Atopy and second hand smoke exposure among children</t>
  </si>
  <si>
    <t>International journal of pediatric otorhinolaryngology</t>
  </si>
  <si>
    <t>Int.J.Pediatr.Otorhinolaryngol.</t>
  </si>
  <si>
    <t>atopy;otolaryngologist;passive smoking;pediatrics;article;asthma;child;female;human;major clinical study;male;parental smoking;physician attitude;pollen allergy;priority journal;risk assessment;risk factor;Pediatrics and Pediatric Surgery (7);Otorhinolaryngology (11);Chest Diseases, Thoracic Surgery and Tuberculosis (15);Public Health, Social Medicine and Epidemiology (17);Immunology, Serology and Transplantation (26)</t>
  </si>
  <si>
    <t>Objectives: Pediatric otolaryngology clinics have tremendous access to children with allergic conditions, yet no research has evaluated in this setting environmental tobacco smoke and the occurrence of atopic diseases. Methods: Caregivers or parents of 201 consecutive patients in a Hungarian pediatric otolaryngology clinic were queried on otolaryngologic conditions; self-reported diagnoses of atopic diseases; and tobacco smoke exposure. Results: A history of asthma was reported in 10.3% of children; 38.7% had at least one parent who smoked. Fifteen out of the 20 children with asthma (75.0%) had at least one parent who smoked. Having a diagnosis of hay fever and having a parent who smoked greatly increased the odds of having a diagnosis of asthma. Conclusions: Second hand smoke exposure among children in an otolaryngology clinic was common, and was associated with co-existing atopic conditions. Pediatric otolaryngologists have an important opportunity to address parental smoking as part their care of children. â”¬âŒ 2013 Elsevier Ireland Ltd.</t>
  </si>
  <si>
    <t>(Csâ”œÃ­kâ”œÃ­nyi Z.; Katona G.) (Spangler J., jspangle@wakehealth.edu) Elsevier Ireland Ltd, P.O. Box 85, Limerick, Ireland.; ID: 2258</t>
  </si>
  <si>
    <t>0165-5876 1872-8464 (electronic)</t>
  </si>
  <si>
    <t>http://www.ncbi.nlm.nih.gov/pubmed/24485173</t>
  </si>
  <si>
    <t>10.1016/j.ijporl.2013.11.008 FULL TEXT LINK http://dx.doi.org/10.1016/j.ijporl.2013.11.008</t>
  </si>
  <si>
    <t>Tobacco intervention teachable moments for pediatric otolaryngologists: Atopy and second hand smoke exposure among children</t>
  </si>
  <si>
    <t>Cucciare,M. A.;Kennedy,K. M.;Han,X.;Timko,C.;Zaller,N.;Booth,B. M.;Author,Addresses;Department of Psychiatry, University of Arkansas for,Medical Sciences;Little Rock,United States;Department of,Psychology;Counseling,University of;Central Arkansas,Conway,United States;Center,for Mental;and Outcomes Research, Central Arkansas Veterans Affairs,Healthcare System;North,Little Rock;Illness,V. A. S.;Research,Education;Clinical Center,Central,Arkansas Veterans;Healthcare System, North Little Rock,United States;Center for Innovation,to Implementation;Health Care System, Menlo Park,United States;Department of,Psychiatry;Behavioral Sciences,Stanford;University School of Medicine, Stanford,United States;College of Public Health, Department of Health,Behavior and;Health Education, University of Arkansas for Medical Sciences,Little Rock;United,States;Correspondence,Address;MA Cucciare, Division of Health Services Research,Department of;Psychiatry/Psychiatric Research Institute, College of,Medicine University;of Arkansas for Medical Sciences, West Markham Street,Little Rock;United States Email, macucciare,uams edu</t>
  </si>
  <si>
    <t>Utilization of outpatient medical care and substance use among rural stimulant users: Do the number of visits matter?</t>
  </si>
  <si>
    <t>alcohol;cocaine;methamphetamine;health care utilization;medical education;patient care;rural area;substance use;adult;alcohol consumption;article;controlled study;descriptive research;employment;female;follow up;health insurance;human;informed consent;Kentucky;male;observational study;Ohio;population research;priority journal;alcohol (64-17-5);cocaine (50-36-2, 53-21-4, 5937-29-1);methamphetamine (28297-73-6, 51-57-0, 537-46-2, 7632-10-2);Public Health, Social Medicine and Epidemiology (17)</t>
  </si>
  <si>
    <t>Rural substance users are less likely than their urban peers to use formal substance use treatment. It is therefore important to understand how the utilization of potentially more appealing care options, such as outpatient medical care (OMC), may affect substance use over time. This study sought to examine whether the number of OMC visits, after controlling for important covariates, was associated with days of alcohol, crack and powder cocaine, and methamphetamine use among a sample of rural stimulant users over a three year period. Data were collected from a natural history study of 710 stimulant users living in rural communities in Arkansas, Kentucky, and Ohio. Participants were adults, not in drug treatment, and reporting stimulant use in the last 30 days. In terms of alcohol use, for participants with higher employment-related problems, having 3 or more OMC visits (relative to none) was associated with fewer days of alcohol use. The results for days of cocaine and methamphetamine use were mixed. However, we did find that for participants reporting at least one substance use treatment or mutual help care visit in the past 6-months, having 1Î“Ã‡Ã´2 OMC visits (compared to none) was associated with fewer days of crack cocaine use. Regarding methamphetamine use, results showed that for participants without medical insurance, having 3 or more OMC visits (compared to none) was associated with significantly fewer days of methamphetamine use if they also reported greater than or equal to a high school education. The findings from this study may help us begin to understand some of the characteristics of rural drug users, who utilize OMCs, associated with reductions in substance use. These findings may help health care administrators better plan, coordinate, and allocate resources to rural OMCs to more effectively address substance use in this population.</t>
  </si>
  <si>
    <t>(Cucciare M.A., macucciare@uams.edu; Kennedy K.M.; Han X.; Booth B.M.) (Kennedy K.M.) (Cucciare M.A., macucciare@uams.edu; Han X.) (Cucciare M.A., macucciare@uams.edu) (CAVHS) (Timko C.) (VA) (Zaller N.) Elsevier Inc., usjcs@elsevier.com; ID: 1732</t>
  </si>
  <si>
    <t>1873-6483 (electronic) 0740-5472</t>
  </si>
  <si>
    <t>20180220784 PUI L2000589309</t>
  </si>
  <si>
    <t>10.1016/j.jsat.2018.01.004 FULL TEXT LINK http://dx.doi.org/10.1016/j.jsat.2018.01.004</t>
  </si>
  <si>
    <t>Cugurra,F.;Author,Addresses;Cat Base Farmacol, Fac Med Chirurg,Univ Genova;Correspondence,Address;Cat Base Farmacol, Fac Med Chirurg,Univ Genova</t>
  </si>
  <si>
    <t>Fifteen lectures on drug-addiction ORIGINAL (NON-ENGLISH) TITLE QUINDICI LEZIONI SULLA DROGA</t>
  </si>
  <si>
    <t>(1980) (1-365).Date of Publication: 1980</t>
  </si>
  <si>
    <t>alcohol;amphetamine;anorexigenic agent;cannabis;cocaine;opiate;psychedelic agent;drug dependence;therapy;adverse drug reaction;Italy;legal aspect;review;alcohol (64-17-5);amphetamine (1200-47-1, 139-10-6, 156-34-3, 2706-50-5, 300-62-9, 51-62-7,;60-13-9, 60-15-1);cannabis (8001-45-4, 8063-14-7);cocaine (50-36-2, 53-21-4, 5937-29-1);opiate (53663-61-9, 8002-76-4, 8008-60-4);Drug Dependence, Alcohol Abuse and Alcoholism (40)</t>
  </si>
  <si>
    <t>This series of papers examines the various stages of drug addiction and treatment with particular reference to the drug problem in Italy. Individual papers cover the major drug types on a pharmaceutical basis and include evaluation of tobacco and alcohol. The incompatability of alcohol with other drugs and the effects of alcohol on the brain are also reported. Three papers on cannabis record medical and toxic effects and report the widespread use of this drug. Amphetamines and anorexigenic drugs and problems with cocaine are also reported. The hallucinogenic drugs LSD and mescaline are discussed with some less common types of hallucinogens. Opiate addiction and the biochemical mechanisms thought to be involved with this are presented. The report of medical treatment includes the detoxification process of the addict and government programmes for issuing drugs. The possibility of addiction to hypnotics, tranquillisers and analogous drugs is also reported.</t>
  </si>
  <si>
    <t>(Cugurra F.); ID: 3839</t>
  </si>
  <si>
    <t>1981077535 PUI L11173322</t>
  </si>
  <si>
    <t>Cunningham,J. K.;Floden,L. L.;Howerter,A. L.;Matthews,E.;Gordon,J. S.;Muramoto,M. L.;Author,Addresses;Department of,Family;Community;Medicine,The University of Arizona S.Country Club Road Suite;Tucson,A. Z. U.;Native,American Research;Training Center, The University of Arizona Tucson,A.Z.United States;College of Public Health, The University of,Arizona Tucson;Az,United States;Correspondence,Address;JK Cunningham,Department,of Family;Community Medicine,The University;of Arizona, S Country Club Road Suite,Tucson A.;States</t>
  </si>
  <si>
    <t>Complementary and Alternative Medicine (CAM) practitioners' readiness for tobacco intervention training: Development and psychometric properties of a new measure</t>
  </si>
  <si>
    <t>Translational Proteomics (2015).Date of Publication: 25 May 2014</t>
  </si>
  <si>
    <t>acupuncture;alternative medicine;chiropractic;human;massage;physician;therapy;tobacco;chiropractor;comfort;Cronbach alpha coefficient;dispersion;drug therapy;face validity;factor analysis;internal validity;language;questionnaire;reliability</t>
  </si>
  <si>
    <t>Objective: Complementary and Alternative Medicine (CAM) practitioners are an important potential resource for expanding the use of tobacco cessation brief interventions. Training these practitioners to conduct such interventions has been hampered, however, by a lack of tools for assessing the practitioners' tobacco intervention behaviors and interest, and openness to non-CAM tobacco cessation aids (e.g., medications, quitlines). Recognizing this, we developed a new measure: the CAM Readiness for Training in Tobacco Intervention (CAM RTTI) questionnaire. Methods: Together with a key informant group of CAM experts, we constructed 18 questionnaire items. For structured review and face validity assessment, the items were submitted to a national panel of CAM practitioners and tobacco cessation experts, and revised according to their comments. The items were then administered to a sample of 97 CAM practitioners (30 chiropractors, 26 licensed acupuncturists, 41 licensed massage therapists). Exploratory factor analysis and internal reliability tests were used to examine the items' psychometric properties. Results: Three underlying factors were indicated: current tobacco cessation activity, motivation/confidence regarding the conduct of tobacco cessation activity, and comfort providing patients/clients with information about non-CAM tobacco interventions. Acceptable internal validity was indicated for the factor-based subscales (Cronbach's alphas ranged .71-.81). Responses differed substantially across the factors/subscales. The practitioners indicated little current engagement in tobacco-cessation activities (factor 1), but were well-motivated to begin doing so (factor 2). Level of comfort with non-CAM tobacco interventions (factor 3) had pronounced dispersion from negative to positive. Conclusions: CAM RTTI assessed three factors that can be critical to implementing effective tobacco intervention trainings for a CAM practitioner: (1) current tobacco intervention activity, (2) motivation/confidence and (3) comfort with non-CAM interventions. Moreover, it assessed these factors using language appropriate to CAM practitioners, providing the first measure, to our knowledge, specific to the development of tobacco intervention training for this group.</t>
  </si>
  <si>
    <t>(Cunningham J.K., jkcunnin@email.arizona.edu; Floden L.L.; Howerter A.L.; Matthews E.; Gordon J.S.; Muramoto M.L.) (Cunningham J.K., jkcunnin@email.arizona.edu) (Muramoto M.L.) Elsevier; ID: 2229</t>
  </si>
  <si>
    <t>2212-9634 (electronic) 2212-9626</t>
  </si>
  <si>
    <t>2015685920 PUI L601605844</t>
  </si>
  <si>
    <t>10.1016/j.aimed.2014.10.012 FULL TEXT LINK http://dx.doi.org/10.1016/j.aimed.2014.10.012</t>
  </si>
  <si>
    <t>Cushing,K. C.;Chiplunker,A. J.;Al-Hammadi,N.;Gutierrez,A.;Author,Addresses;Correspondence,Address;Cushing,K. C.</t>
  </si>
  <si>
    <t>Assessing patient knowledge of tobacco's impact on disease course and medical efficacy in IBD</t>
  </si>
  <si>
    <t>S1005</t>
  </si>
  <si>
    <t>S1006</t>
  </si>
  <si>
    <t>steroid;disease course;gastrointestinal disease;human;patient;tobacco;Crohn disease;disease activity;disease duration;disease exacerbation;disease management;drug therapy;education;Fagerstrom Test for Nicotine Dependence;female;hospital;hospital patient;inflammatory bowel disease;outpatient;relapse;risk;smoking;surgery;tertiary health care;therapy;tobacco dependence;tobacco use;ulcerative colitis</t>
  </si>
  <si>
    <t>Background: Tobacco use decreases response and durability of response to medical therapy. Education about the impact of tobacco on medical efficacy is an important, modifiable area of disease management. Aim: To determine patients' knowledge of tobacco's impact on inflammatory bowel disease (IBD) course and medical efficacy among both former and current smokers Methods: This was a survey-based study of outpatients at a tertiary care IBD clinic. Demographics collected included age, sex, disease type, duration of disease, smoking history, and prior IBD-related surgery. Degree of smoking dependence in current smokers was measured with the validated Fagerstrâ”œâ•¢m Test for Nicotine Dependence (FTND). All patients were asked four true/false questions relating to tobacco's impact on disease relapse, severity of relapse, need for steroids, and efficacy of medications. Results: 237 patients were enrolled (168 Crohn's Disease (CD), 69 Ulcerative Colitis (UC)). The CD cohort had a higher numbers of females, longer disease duration, and more IBD related surgeries than the UC cohort (p Î“Ã«Ã± 0.005). There were no differences in number of packs per day consumed, number of active and former smokers or the FTND score (Table 1). Those with CD were more likely to be aware that tobacco increases the risk of disease flare (p&lt;0.001) as well as the severity of the disease flare (p&lt;0.001). CD patients also had a better understanding of the negative influence of tobacco on IBD medication efficacy (p=0.003) and increased need for steroids (p=0.007). Patients with a history of IBD-related surgery had a better awareness that tobacco increases the risk of disease flare (p=0.002), increases the severity of disease flare (p&lt;0.001), and decreases the efficacy of IBD medications (p= 0.037). Those with a history of IBD-related surgery did not differ from those with no IBD surgery in their awareness of increased need for steroids with tobacco use (p=0.429) When segregated by disease type, no significant differences in knowledge existed based on presence of prior IBD-related surgery. When evaluating dependence and educational awareness, no differences existed in knowledge based on the FTND score. Former smokers were more likely to be aware that tobacco increases the risk of a disease flare when compared to current smokers (p=0.047) but there was no difference in knowledge of increased severity of flares, increased need for steroids, and decreased efficacy of IBD medications. Conclusions: Differences in patient knowledge of tobacco's impact on disease activity and medical efficacy exist between CD and UC as well as between those who have had IBD related surgery and those who have not. UC and surgery naâ”œÂ»ve patients represent a group of patients who would benefit from more focused efforts at education regarding smoking and IBD, particularly in its impact on medical efficacy. (Table Presented).</t>
  </si>
  <si>
    <t>(Cushing K.C.; Chiplunker A.J.; Al-Hammadi N.J.; Gutierrez A.) Digestive Disease Week 2016, DDW 2016 San Diego, CA, United States 2016-05-21 to 2016-05-24 W.B. Saunders; ID: 1972</t>
  </si>
  <si>
    <t>Dâ”œâ••ssing,M.;Author,Addresses;Correspondence,Address;Dâ”œâ••ssing,M.</t>
  </si>
  <si>
    <t>10766661; Smoking-related diseases and prevention at department of internal medicine ORIGINAL (NON-ENGLISH) TITLE Rygerelaterede sygdomme og forebyggelse pâ”œÃ‘ medicinske afdelinger</t>
  </si>
  <si>
    <t>hospitalization;patient education;smoking (adverse drug reaction);smoking cessation;article;cardiovascular disease (etiology, prevention);Denmark;human;preventive health service;respiratory tract disease (etiology, prevention)</t>
  </si>
  <si>
    <t>(Dâ”œâ••ssing M.); ID: 3394</t>
  </si>
  <si>
    <t>http://www.ncbi.nlm.nih.gov/pubmed/10766661</t>
  </si>
  <si>
    <t>Smoking-related diseases and prevention at department of internal medicine ORIGINAL (NON-ENGLISH) TITLE Rygerelaterede sygdomme og forebyggelse pâ”œÃ‘ medicinske afdelinger</t>
  </si>
  <si>
    <t>D'Amico,E. J.;Miles,J. N. V.;Tucker,J. S.;Author,Addresses;Corporation,Rand;Main Street, Santa Monica,United States;Correspondence,Address;EJ D'Amico, Rand Corporation Main Street Santa,Monica United;States Email,damico,rand org</t>
  </si>
  <si>
    <t>26030167; Gateway to curiosity: Medical marijuana ads and intention and use during middle school</t>
  </si>
  <si>
    <t>alcohol;advertising;cannabis use;medical marijuana advertisement;middle school;adolescent;African American;article;Asian;Caucasian;controlled study;female;Hispanic;human;male;probability sample;tobacco;United States;alcohol (64-17-5);Public Health, Social Medicine and Epidemiology (17)</t>
  </si>
  <si>
    <t>Over the past several years, medical marijuana has received increased attention in the media, and marijuana use has increased across the United States. Studies suggest that as marijuana has become more accessible and adults have become more tolerant regarding marijuana use, adolescents perceive marijuana as more beneficial and are more likely to use if they are living in an environment that is more tolerant of marijuana use. One factor that may influence adolescents' perceptions about marijuana and marijuana use is their exposure to advertising of this product. We surveyed sixth- to eighth-grade youth in 2010 and 2011 in 16 middle schools in Southern California (n = 8,214; 50% male; 52% Hispanic; mean age = 13 years) and assessed exposure to advertising for medical marijuana, marijuana intentions, and marijuana use. Cross-lagged regressions showed a reciprocal association of advertising exposure with marijuana use and intentions during middle school. Greater initial medical marijuana advertising exposure was significantly associated with a higher probability of marijuana use and stronger intentions to use 1 year later, and initial marijuana use and stronger intentions to use were associated with greater medical marijuana advertising exposure 1 year later. Prevention programs need to better explain medical marijuana to youth, providing information on the context for proper medical use of this drug and the potential harms from use during this developmental period. Furthermore, as this is a new frontier, it is important to consider regulating medical marijuana advertisements, as is currently done for alcohol and tobacco products.</t>
  </si>
  <si>
    <t>(D'Amico E.J., damico@rand.org; Miles J.N.V.; Tucker J.S.) Educational Publishing Foundation; ID: 2077</t>
  </si>
  <si>
    <t>1939-1501 (electronic) 0893-164X</t>
  </si>
  <si>
    <t>http://www.ncbi.nlm.nih.gov/pubmed/26030167</t>
  </si>
  <si>
    <t>10.1037/adb0000094 FULL TEXT LINK http://dx.doi.org/10.1037/adb0000094</t>
  </si>
  <si>
    <t>Gateway to curiosity: Medical marijuana ads and intention and use during middle school</t>
  </si>
  <si>
    <t>Daniels,C. E.;Author,Addresses;Natl Inst of Health,Clinical Ctr;States;Correspondence,Address;CE Daniels, Natl Inst of Health Clinical Ctr,Bethesda M.;States</t>
  </si>
  <si>
    <t>Briefs from the field of cancer research</t>
  </si>
  <si>
    <t>Oncology Spectrums</t>
  </si>
  <si>
    <t>cancer research;cigarette smoking;diet supplementation;medical education;achievement;article;artificial intelligence;biomedicine;biotechnology;cancer prevention;cancer radiotherapy;cancer therapy;cause of death;computer;health care access;health care system;health center;health education;health program;health service;human;medical information;medical research;nurse;patient care;smoking cessation;telecommunication;tobacco dependence;training;Radiology (14);Cancer (16);Public Health, Social Medicine and Epidemiology (17)</t>
  </si>
  <si>
    <t>(Daniels C.E.); ID: 3351</t>
  </si>
  <si>
    <t>1532-8554</t>
  </si>
  <si>
    <t>2001340058 PUI L32904255</t>
  </si>
  <si>
    <t>Daniulaityte,R.;Falck,R.;Carlson,R. G.;Author,Addresses;Center,for Interventions;Addiction Research,Department of;Community Health, Boonshoft School of Medicine Wright,State University;Colonel Glenn Hwy, Dayton,O.H.United States;Correspondence,Address;Daniulaityte, Center for Interventions Treatment,R.;Addictions;Research,Boonshoft School of Medicine Wright State University Med;Science,Colonel Glenn Hwy Dayton O.H.United States Email;raminta.daniulaityte@wright.edu</t>
  </si>
  <si>
    <t>22417823; " I'm not afraid of those ones just 'cause they've been prescribed": Perceptions of risk among illicit users of pharmaceutical opioids</t>
  </si>
  <si>
    <t>(MAJOR FOCUS);illicit drug;opiate;hydrocodone bitartrate plus paracetamol;methadone;oxycodone;oxycodone plus paracetamol;opiate addiction;patient attitude;prescription;adult;article;consensus development;cultural factor;drug overdose;ethnic difference;female;health education;human;interview;major clinical study;male;mortality;organ injury;priority journal;qualitative research;risk assessment;substance abuse;methadone (1095-90-5, 125-56-4, 23142-53-2, 297-88-1, 76-99-3);opiate (53663-61-9, 8002-76-4, 8008-60-4);oxycodone (124-90-3, 76-42-6);Public Health, Social Medicine and Epidemiology (17);Drug Dependence, Alcohol Abuse and Alcoholism (40)</t>
  </si>
  <si>
    <t>Background: There has been a rise in the illicit use of pharmaceutical opioids (" pain pills" ) in the United States. Conducted with young adult non-medical users of pharmaceutical opioids, this study uses qualitative methods and cultural consensus analysis to describe risk perceptions associated with pharmaceutical opioids and to determine patterns of cultural sharing and intra-cultural variation of these views. Methods: The qualitative sub-sample (n= 47) was selected from a larger sample of 396 young adults (18-23 years old), who were participating in a natural history study of illicit pharmaceutical opioid use. Qualitative life history interviews, drug ranking task, and cultural consensus analysis were used to elicit participant views about risks and harms associated with pain pills and other drugs, as well as alcohol and tobacco. Results: Cultural consensus analysis revealed that the participants shared a single cultural model of drug risks, but the level of agreement decreased with the increasing range of drugs ever used. Further, those with more extensive drug use histories differed from less " experienced" users in their views about OxyContin and some other drugs. Overall, pain pills were viewed as addicting and potentially deadly substances, but these properties were linked to the patterns and methods of use, as well as characteristics of an individual user. Further, risks associated with pharmaceutical opioids were further curtailed because they " came from the doctor," and thus had a legitimate aspect to their use. Conclusions: This study highlights potential problems with universal approaches to substance use prevention and intervention among young people since such approaches ignore the fact that substance use education messages may be experienced differently depending on an individual's drug use history and his/her perceptions of drug risks. Findings reported here may be useful in the development of prevention and intervention programs aimed at reducing the harm associated with illicit use of pain pills. â”¬âŒ 2012 Elsevier B.V..</t>
  </si>
  <si>
    <t>(Daniulaityte R., raminta.daniulaityte@wright.edu; Falck R.; Carlson R.G.) Elsevier, P.O. Box 211, Amsterdam, Netherlands.; ID: 2519</t>
  </si>
  <si>
    <t>0955-3959 1873-4758 (electronic)</t>
  </si>
  <si>
    <t>http://www.ncbi.nlm.nih.gov/pubmed/22417823</t>
  </si>
  <si>
    <t>10.1016/j.drugpo.2012.01.012 FULL TEXT LINK http://dx.doi.org/10.1016/j.drugpo.2012.01.012</t>
  </si>
  <si>
    <t xml:space="preserve"> I'm not afraid of those ones just 'cause they've been prescribed: Perceptions of risk among illicit users of pharmaceutical opioids</t>
  </si>
  <si>
    <t>Dansereau,D. F.;Dees,S. M.;Author,Addresses;Institute of,Behavioral;Research,Texas Christian University Fort Worth T.X.United States;Department,of Psychology;Christian University, T C U Box Fort Worth,T.X.United States;Correspondence,Address;DF Dansereau, Department of Psychology Texas Christian,University Fort;Worth,T. X. U.</t>
  </si>
  <si>
    <t>12072166; Mapping training: The transfer of a cognitive technology for improving counseling</t>
  </si>
  <si>
    <t>addiction (therapy);drug dependence treatment;medical education;patient counseling;substance abuse;article;cognition;drug abuse;human;medical research;methadone treatment;motivation;priority journal;technology;workshop;Public Health, Social Medicine and Epidemiology (17);Drug Dependence, Alcohol Abuse and Alcoholism (40)</t>
  </si>
  <si>
    <t>To provide information that will reduce the gap between research and practice, the transfer of a complex drug abuse counseling technology is examined. This technology, cognitive mapping, is a graphic tool shown to effectively facilitate communication and problem solving in group and individual counseling sessions. Unlike some techniques, mapping requires substantial counselor time, effort, and expertise to learn and to use. This article briefly describes the development and evolution of mapping and supporting research. It then focuses on our efforts to develop mapping training that will facilitate use of this evidence-based technique in drug abuse treatment. Major training and transfer pitfalls are noted, and strategies for successful training are recommended. Copyright â”¬âŒ 2002 Elsevier Science Inc.</t>
  </si>
  <si>
    <t>(Dansereau D.F., d.dansereau@tcu.edu; Dees S.M.) (Dansereau D.F., d.dansereau@tcu.edu) Elsevier Inc., 360 Park Avenue South, New York, United States.; ID: 3327</t>
  </si>
  <si>
    <t>http://www.ncbi.nlm.nih.gov/pubmed/12072166</t>
  </si>
  <si>
    <t>10.1016/S0740-5472(02)00235-0 FULL TEXT LINK http://dx.doi.org/10.1016/S0740-5472(02)00235-0</t>
  </si>
  <si>
    <t>Mapping training: The transfer of a cognitive technology for improving counseling</t>
  </si>
  <si>
    <t>D'Antino,E.;Author,Addresses;Ist Med Leg Am,A.Di Loreto;Correspondence,Address;Ist Med Leg Am,A.Di Loreto</t>
  </si>
  <si>
    <t>Addiction in military environment. Toxic hazards and prophylactic factors with particular consideration of education, training and qualification of military cadres ORIGINAL (NON-ENGLISH) TITLE TOSSICODIPENDENZE IN AMBITO MILITARE: MOMENTI CAUSALI E FATTORI DI PREVENZIONE IN PARTICOLARE RELATIVI AD ATTIVITA EDUCATIVO-FORMATIVE E QUALIFICAZIONE DEI QUADRI</t>
  </si>
  <si>
    <t>Rivista di medicina aeronautica e spaziale</t>
  </si>
  <si>
    <t>Riv.Med.Aeronaut.Spaz.</t>
  </si>
  <si>
    <t>army;drug dependence;adult;central nervous system;education;geographic distribution;human;normal human;prevention;Public Health, Social Medicine and Epidemiology (17);Psychiatry (32);Drug Dependence, Alcohol Abuse and Alcoholism (40);Toxicology (52)</t>
  </si>
  <si>
    <t>After taking into account the main causes underlying the current maladjustment of young people, as well as the problems related to addiction, especially in the armed forces, the author defines in this environment different prophylactic factors focusing on the activation of various initiatives flowing together along these lines, namely: qualitative adaptation and integration of higher ranking military officers with specialists in psychology and sociology; a better selection, vocational guidance and personnel management; the establishment of socializing centres within military units; the enhancement of the relations between military institutions and the world of school, family and work; the sociological and sanitary education, preventive medicine and mental health; the counseling of psycho-paedagogic advisory groups and departments of mental health for military personnel, etc.</t>
  </si>
  <si>
    <t>(D'Antino E.); ID: 3831</t>
  </si>
  <si>
    <t>0035-631X</t>
  </si>
  <si>
    <t>1983000923 PUI L13227073</t>
  </si>
  <si>
    <t>Addiction in military environment. Toxic hazards and prophylactic factors with particular consideration of education, training and qualification of military cadres ORIGINAL (NON-ENGLISH) TITLE TOSSICODIPENDENZE IN AMBITO MILITARE: MOMENTI CAUSAL(TRUNCATED)</t>
  </si>
  <si>
    <t>Darfler,K.;Larkins,S.;Rawson,R.;Le Minh,G.;Author,Addresses;University of,California Los;Integrated Substance Abuse Programs, Los Angeles,United States;Hanoi Medical University, Hanoi,Viet Nam;Correspondence,Address;Darfler, University of California Los Angeles Integrated Substance Abuse,K.;Programs,Los Angeles United States</t>
  </si>
  <si>
    <t>A cooperative agreement for workforce development in vietnam: HIV-addiction technology transfer center (VH-ATTC)</t>
  </si>
  <si>
    <t>Annals of Global Health</t>
  </si>
  <si>
    <t>diamorphine;addiction;health;Human immunodeficiency virus;technology;university;Viet Nam;city;consultation;curriculum;curriculum development;epidemic;evidence based practice;government;hospital;injection;language;non profit organization;pharmacy;prevention;public health;publication;skill;substance abuse;United States;Vietnamese</t>
  </si>
  <si>
    <t>Program/Project Purpose: Vietnam is experiencing an HIV epidemic due, in large part, to the persistent problem of injection heroin use. There is an urgent need for workforce development in the areas of HIV and substance use disorders (SUD). Based at Hanoi Medical University (HMU), the Vietnam HIV-Addiction Technology Transfer Center (VH-ATTC) aims to provide a workforce that can deliver services to reduce the individual and societal impacts of HIV and SUD by (1) improving access to treatment and prevention services through systems linkage, and (2) increasing the capacity of the workforce to provide a wide range of evidence-based treatments. Phase I Project: 9/1/2011 - 8/31/2014 Phase II Project: 9/1/2014 - 8/ 31/2017 Structure/Method/Design: The overarching goals of this initiative are to disseminate evidence-based knowledge and skills; to adapt approaches to the Vietnamese culture; to monitor, support and encourage implementation of these practices; and to develop a Vietnam- based resource that will sustain these efforts in the future. HMU was selected as the VH-ATTC hub, as it is the country's leading institution in coordinating curriculum development in many fields of medicine and public health. UCLA provides consultation to HMU in developing a plan to become a self-sustaining training and technical assistance resource. Outcomes &amp; Evaluation: The VH-ATTC has succeeded in building the capacity to develop a skilled and knowledgeable local workforce by establishing: master trainers with considerable technical knowledge and capabilities, an abundance of Vietnamese language materials, resources and curricula, and a website, newsletter and listserv. The VH-ATTC has been designated as a national training institution, and its staff members have provided technical assistance to clinics in more than 10 provinces. Evaluation activities are designed to determine whether theVH-ATTCis effectively providing ongoing workforce development and training resources, andmeeting U.S. Government (GPRA) reporting requirements. Since its inception, the VH-ATTC team has carried out more than 60 trainings, 15 lectures on addiction science, and two large conferences; far exceeding projected GPRA targets (380+% of goal). Going Forward: During Phase II, a second high-functioning VHATTC will be created in southern Vietnam at the Ho Chi Minh City University of Medicine and Pharmacy. The priority of this project is to expand training and technical assistance resources throughout Vietnam and strengthen the capacity of the addiction services system. The</t>
  </si>
  <si>
    <t>(Darfler K.; Larkins S.; Rawson R.) (Le Minh G.) 6th Annual CUGH Conference, Consortium of Universities for Global Health: Mobilizing Resesarch for Global Health Boston, MA, United States 2015-03-26 to 2015-03-28 Elsevier USA; ID: 2176</t>
  </si>
  <si>
    <t>2214-9996</t>
  </si>
  <si>
    <t>Davies,D. L.;Author,Addresses;Alcohol Educ Cent, Maudsley,Hosp London;Correspondence,Address;Alcohol Educ Cent, Maudsley,Hosp London</t>
  </si>
  <si>
    <t>1140924; Implications for medical practice of an acceptable concept of alcoholism</t>
  </si>
  <si>
    <t>(MAJOR FOCUS);alcohol;alcoholism;drug therapy;education;medical practice;intoxication;therapy;alcohol (64-17-5);Drug Literature Index (37);Psychiatry (32);Public Health, Social Medicine and Epidemiology (17)</t>
  </si>
  <si>
    <t>(Davies D.L.); ID: 3902</t>
  </si>
  <si>
    <t>0021-1265</t>
  </si>
  <si>
    <t>http://www.ncbi.nlm.nih.gov/pubmed/1140924</t>
  </si>
  <si>
    <t>Implications for medical practice of an acceptable concept of alcoholism</t>
  </si>
  <si>
    <t>Davies,E.;Spearst,T.;Price,C.;Dawson,P.;Author,Addresses;Southampton University, Hospitals N. H. S.;Trust,Southampton United Kingdom;University of Southampton, School of,Medicine Southampton;United,Kingdom;Correspondence,Address;Trust Southampton United,E.Davies, Southampton University Hospitals N.H.S.;Kingdom</t>
  </si>
  <si>
    <t>Why are we waiting? Improving pain management in the emergency department at Southampton General Hospital</t>
  </si>
  <si>
    <t>Clinical Pharmacist</t>
  </si>
  <si>
    <t>S2</t>
  </si>
  <si>
    <t>analgesic agent;morphine;analgesia;autumn;clinical pharmacy;emergency ward;general hospital;United Kingdom;addiction;adult;college;color;drug seeking behavior;drug therapy;education;emergency medicine;environment;feedback system;health care;hospital personnel;human;interview;male;pain;pain assessment;patient;patient care;physician;questionnaire;recall;staff training</t>
  </si>
  <si>
    <t>Pain management is recognised by the College of Emergency Medicine (CEM) as a priority in the treatment of patients. Indeed, the CEM Î“Ã‡Â£Guideline for management of pain in adultsÎ“Ã‡Â¥ states that it is one of the most important components of patient care.(1) Standards for pain management are laid down in the 2008 document, Î“Ã‡Â£Clinical standards for emergency departmentsÎ“Ã‡Â¥.(2) Despite this, pain is often managed suboptimally.(3,4) Pain management was highlighted as a key area for improvement in the Healthcare Commission's Î“Ã‡Â£Emergency department survey 2008Î“Ã‡Â¥, a retrospective survey of the experiences of emergency department (ED) patients that involved 151 acute trusts and almost 50,000 responses. When asked Î“Ã‡Â£Do you think that the hospital staff did everything they could to help control your pain?Î“Ã‡Â¥ 59% of patients said Î“Ã‡Â£yes, definitelyÎ“Ã‡Â¥, 27% replied, Î“Ã‡Â£yes, to some extentÎ“Ã‡Â¥ but 14% of the patients said Î“Ã‡Â£NoÎ“Ã‡Â¥.(5) Although progress has been made, the Healthcare Commission highlights that it remains an area with room for improvement. Within the emergency department at Southampton General Hospital, it was acknowledged that pain was not always being managed within the CEM guideline recommendations. Attempts had been made in the past to improve the situation but standardised guidelines had not been completed. In addition, there were multiple analgesic preparations available in the ED that anecdotally led to practitioners using personal preference when prescribing medicines rather than being guided by evidence or protocol. The quality of pain management in the ED of Southampton General Hospital was audited and the results were then used to direct the development of new guidelines for the treatment of pain in the ED, which was to include a more rational choice of medication. OBJECTIVES: Î“Ã‡Ã³ To ascertain the extent to which practice conforms to guidelines and agreed standards laid down by the CEM with regards to: assessment of pain; analgesia given; timeliness of analgesia; and reassessment of pain Î“Ã‡Ã³ To establish whether patients are satisfied with their pain management Î“Ã‡Ã³ To develop new guidelines for pain management within the ED and then reaudit quality of care following their implementation METHOD: A questionnaire was developed to assess how the ED was performing with respect to key areas of interest: pain assessment: scored between 0 and 10 and recorded on arrival in ED, patient-recalled values at arrival and during ED admission and then during interview; analgesia prescribed and given; time to reassessment of pain following medication administration - from notes and patient recall; qualitative patient reports - whether they felt their pain was better since admission and how well they felt it had been managed. This was piloted over one month and then adjusted based on feedback and preliminary evaluation. The questionnaire incorporated details from ED notes and patient interviews. Data for the final questionnaire were collected 9am to 5pm Monday to Friday and from 200 patients between November 2008 and February 2009. RESULTS: Of the 200 patients interviewed (47% male), 193 had a pain score recorded on arrival in the ED. Twenty per cent recalled having mild pain, 24% moderate and 56% severe pain. Of those, 76 patients were interviewed in ED Î“Ã‡Â£minorsÎ“Ã‡Â¥ and 117 in Î“Ã‡Â£majorsÎ“Ã‡Â¥. The results are summarised in Figure 1 and Table 1. CONCLUSION: The full study results demonstrated that analgesia was underused in the ED - particularly for patients in severe pain and when analgesia was given too slowly or not effectively reassessed. This may demonstrate a reticence to prescribe stronger analgesia. Indeed, lack of education and inappropriate attitudes towards addiction and drug-seeking behaviour are cited(6) as possible reasons for similar trends observed previously. New guidelines have been developed to take account of the needs of patient groups in different areas of the ED. There is a focus on reassessment and adding medicines according to need. Colour coding is used to improve impact and ease of use in the busy environment of the ED. Bolusing IV morphine for severe pain has been introduced, with rescue plans included also. In addition, the medicines available in the ED have been rationalised (combination products removed, NSAIDs reduced to one option) and advice on discharge medication has been provided. A comprehensive staff education programme is in development to accompany the launch of the guidelines. Compliance with the new guidelines was to be audited six months after their introduction, which was expected to occur in July 2010.</t>
  </si>
  <si>
    <t>(Davies E.; Price C.; Dawson P.) (Spearst T.) United Kingdom Clinical Pharmacy Association Autumn Symposium 2010, UKCPA 2010 Daventry, United Kingdom 2010-11-19 to 2010-11-21 Pharmaceutical Press; ID: 2708</t>
  </si>
  <si>
    <t>1758-9061</t>
  </si>
  <si>
    <t>Davis,J. P.;Dumas,T.;Wagner,E. C.;Tan,K.;Merrin,G. J.;Author,Addresses;University,of;Illinois at Urbana Champaign, Urbana,United States;Correspondence,Address;JP Davis, University of Illinois at Urbana Champaign,Urbana United;States</t>
  </si>
  <si>
    <t>Treatment entry and alcohol dependence among poly-victimized youth: A latent class discrete time survival analysis</t>
  </si>
  <si>
    <t>41 Supplement 1</t>
  </si>
  <si>
    <t>245A</t>
  </si>
  <si>
    <t>alcohol;alcoholism;juvenile;survival analysis;adolescence;adolescent;adult;adulthood;diagnosis;female;human;major clinical study;male;physician;posttraumatic stress disorder;survival time;time to treatment;young adult;alcohol (64-17-5)</t>
  </si>
  <si>
    <t>Background and Purpose: Youth experiencing poly-victimization are at a higher risk alcohol use, dependence diagnosis, and entering treatment. This is especially pertinent for youth involved with the juvenile justice system who have five times higher rate of alcohol use and two times higher incidence of victimization than community samples. The purpose of this study is to investigate how experiences of poly-victimization influence time to treatment entry and dependence diagnosis from adolescence through young adulthood. Method: Participants (N = 1,354) are from the Pathways to Desistance study. The time variable was age (15-25 years old), the event variables were entry into alcohol treatment and dependence diagnosis. Three stepmethod was used to determine concurrent classes of victimization and substance use at baseline (latent class analysis). Once classes were determined discrete time survival analysis was used to predict entry into treatment as well as dependence diagnosis by class. Posttraumatic stress disorder (PTSD) as a predictor of class membership as well as survival time. Results: A three class solution emerged for victimization and substance use: poly-victimization and poly-substance use (PV-PS; n = 226), poly-victimization and alcohol use only (PV-A; n = 285); polyvictimization and no substance use (PV-N; n = 838). Youth in the PV-PS class had significantly faster time to treatment entry, alcohol dependence, and drug dependence than the PV-A and PV-N classes. By age 18 the PV-PS class had 40%enter treatment, PV-A 23%and PV-N 10%. Similar results were found for dependence diagnoses across classes. Finally, across classes those in the</t>
  </si>
  <si>
    <t>(Davis J.P.; Dumas T.; Wagner E.C.; Tan K.; Merrin G.J.) 40th Annual Scientific Meeting of the Research Society on Alcoholism Denver, CO, United States 2017-06-24 to 2017-06-28 Blackwell Publishing Ltd; ID: 1790</t>
  </si>
  <si>
    <t>1530-0277</t>
  </si>
  <si>
    <t>10.1111/acer.13391 FULL TEXT LINK http://dx.doi.org/10.1111/acer.13391</t>
  </si>
  <si>
    <t>Davis,R.;Lipschitz,R.;Author,Addresses;Hospital of the,University of;Philadelphia,United States;Correspondence,Address;Davis, Hospital of the University of Pennsylvania Philadelphia United,R.;States</t>
  </si>
  <si>
    <t>Coordinating complex care-a high-risk residency clinic</t>
  </si>
  <si>
    <t>S871</t>
  </si>
  <si>
    <t>S872</t>
  </si>
  <si>
    <t>hospital;internal medicine;risk;society;chronic disease;community;diabetes mellitus;disease management;diseases;drug therapy;emergency ward;follow up;health;health auxiliary;high risk patient;high risk population;hospital patient;hospital readmission;hospitalization;human;hypertension;mental disease;nurse practitioner;obesity;patient;patient care;patient care planning;patient satisfaction;pharmacist;physician;planning;population;prevalence;primary medical care;professional practice;rehabilitation;resident;risk reduction;smoking;social determinants of health;social worker;substance abuse</t>
  </si>
  <si>
    <t>STATEMENT OF PROBLEM OR QUESTION (ONE SENTENCE): Within many Internal Medicine resident clinics, high risk patients-those with multiple chronic conditions, a high prevalence of behavioral health disorders, and socioeconomic instability-may suffer worse health outcomes due to challenges with resident continuity, inadequate longitudinal care planning and lack of structured inter-disciplinary care teams. OBJECTIVES OF PROGRAM/INTERVENTION (NO MORE THAN THREE OBJECTIVES): 1. Define the high-risk population within an Internal Medicine resident clinic. 2. Utilize an inter-professional care team to develop individualized patient care plans with an emphasis on risk reduction through primary, secondary, and tertiary prevention strategies. 3. Identify targeted health interventions for high-risk patients based on unique social and medical needs and analyze the success of these interventions over time. DESCRIPTION OF PROGRAM/INTERVENTION, INCLUDING ORGANIZATIONAL CONTEXT (E.G. INPATIENT VS. OUTPATIENT, PRACTICE OR COMMUNITY CHARACTERISTICS): The Penn Center for Primary Care (PCPC) has developed the Coordinated Complex Care (C3) Clinic for high-risk patients as a novel clinical innovation to expose residents to the needs of this patient population, to utilize an inter-disciplinary team to develop integrated care plans, and to offer targeted interventions to improve health outcomes. In order to qualify as Î“Ã‡Â£high riskÎ“Ã‡Â¥, patients had to have two or more poorly controlled chronic diseases (including diabetes mellitus, hypertension, obesity, and COPD/asthma in an active smoker). In addition, patients must have been seen in resident clinic within the past 12 months. Patients with poorly controlled serious mental illness or active substance abuse were excluded from the clinic. Over the course of 6 months, residents invited two of their primary patients to participate in the C3 clinic. The Î“Ã‡Â£C3 TeamÎ“Ã‡Â¥ includes the resident physician, a nurse practitioner, a social worker, a clinical pharmacist, a community health worker (CHW), and an attending physician. For each patient, there was a Î“Ã‡Â£pre-clinic huddleÎ“Ã‡Â¥ during which time the patient's overall health challenges were discussed and preliminary goals were established. Following this, the resident physician had a 1-h clinic visit with his/her patient. This visit was primarily focused on understanding the patient's social determinants of health, evaluating functional health/well-being (using the SF-12), and establishing a 6-month goal to improve chronic disease. The CHW then spent an additional hour with the patient, further evaluating social, cultural and economic barriers to health. A Î“Ã‡Â£post-clinic huddleÎ“Ã‡Â¥ allowed the entire C3 team to debrief, discuss findings, and identify areas for risk reduction. Î“Ã‡Â£Next stepsÎ“Ã‡Â¥ were established for each patient, which may include follow up clinic visits with the NP, clinical pharmacist or PCP as well as home visits, phone calls, or virtual visits. The CHW plays a crucial role in the clinic structure, engaging with the patient weekly either in person or by phone. CHW visits could incorporate anything that may help the patient achieve his/her health goals, including walking/fitness, identifying community groups for engagement, encouraging clinic follow up, or ensuring medications are refilled. In addition to clinic meetings, the C3 team has monthly discussions to evaluate patient progress. After development of the longitudinal, multi-disciplinary care plan, high-risk patients were reintegrated into the resident continuity clinic with more clearly defined goals and expectations. MEASURES OF SUCCESS (DISCUSS QUALITATIVE AND/OR QUANTITATIVE METRICS WHICH WILL BE USED TO EVALUATE PROGRAM/ INTERVENTION): 1. Improving control of previously uncontrolled chronic disease 2. Reducing hospitalizations, readmissions, and emergency department visits 3. Improving patient satisfaction and engagement within the resident continuity clinic FINDINGS TO DATE (IT IS NOT SUFFICIENT TO STATE FINDINGS WILL BE DISCUSSED): We were able to enroll two patients per resident into our C3 clinic. Each patient has had a least one appointment in the clinic establishing care with the C3 interdisciplinary team. Additionally, each patient has had a home visit from the community health worker and weekly contact either by phone or in person. The role of the CHW in identifying social barriers to care has greatly impacted our approach to individualizing high-risk patient management. We have found that for many in our high-risk population, social obstacles have far outweighed the organic, diseased-based problems that our patient's face. This knowledge has allowed us to tailor our care planning to focus greater energy and resources on this facet of patient's overall plan. Moreover, it provides a powerful framework for resident physicians to establish appropriate goals for chronic disease management. KEY LESSONS FOR DISSEMINATION (WHAT CAN OTHERS TAKE AWAY FOR IMPLEMENTATION TO THEIR PRACTICE OR COMMUNITY?): Creating a multi-disciplinary primary care clinic for high-risk patients can allow for improved care and patient buy-in based on more fully assessed needs and appropriate goals setting. CHWs can be valuable assets in the management of this population, especially as high-risk social issues add to the complexity of chronic medical conditions. Providing resident physicians with a structured framework for risk reduction can improve both resident and patient engagement in chronic disease management.</t>
  </si>
  <si>
    <t>(Davis R.; Lipschitz R.) 39th Annual Meeting of the Society of General Internal Medicine, SGIM 2016 Hollywood, FL, United States 2016-05-11 to 2016-05-14 Springer New York LLC; ID: 1953</t>
  </si>
  <si>
    <t>De Jong, C. A. J.;Author,Addresses;Nijmegen Institute,for Scientist;Addiction,Netherlands;Correspondence,Address;CAJ De Jong, Nijmegen Institute,for Scientist;Addiction,Netherlands</t>
  </si>
  <si>
    <t>Professional training in the Netherlands: From medical doctor to addiction medicine specialist</t>
  </si>
  <si>
    <t>58 SUPPL. 1</t>
  </si>
  <si>
    <t>addiction;human;medical specialist;Netherlands;physician;clinical practice;education;evidence based medicine;health care;interpersonal communication;leadership;learning;learning environment;medical education;medicine;neurobiology;non profit organization;organization;psychiatry;public health;skill;society;specialization;student;teacher;training;university</t>
  </si>
  <si>
    <t>Since 2007 there is a fulltime, two-years professional training in Addiction Medicine in the Netherlands. In 2012 Addiction Medicine is approved as a medical specialism by the Royal Dutch Society of Medicine, meaning that the quality of the theoretical course and the clinical training meet the standards for medical training of the Royal Dutch Society of Medicine (RDSM). The aim of this presentation is to describe the development and present status of the Dutch Master in Addiction Medicine (MiAM). The MiAM is organized by the Foundation of Organizations of Post Academic Education in Health Care in Eastern Holland (www.spon-opleidingen.nl) and is embedded in the Faculty of Medical Sciences of the Radboud University. At this moment the fourth group of 20 trainees in the MiAM is running. In the competency-based professional training, theoretical courses are integrated with learning in clinical practice under guidance of an experienced clinical teacher and personal psychotherapeutic supervision by an experienced psychiatristpsychotherapist. Parallel to the course for the trainees an intensive training program for clinical teachers has been developed and implemented. The theoretical courses consist of evidence-based medicine, scientific communication and basic psychotherapeutic skills, neurobiology of addiction, addiction medicine, addiction and psychiatry, clinical leadership and public health. Most of the theoretical courses are given in a standard face-to-face learning environment, but online applications are more and more integrated in the courses. The seven main competencies are made ready for operation in the Personal Education Plan and are evaluated by different ways of examining. The MiAM is evaluated in a very positive way by the trainees, the Dutch Society on Addiction Medicine and the boards of directors of the Addiction Treatment facilities. In our opinion the Dutch MiAM can become a starting point for a European training course in Addiction Medicine.</t>
  </si>
  <si>
    <t>(De Jong C.A.J.) Deutscher Suchtkongress 2012 Berlin, Germany 2012-10-03 to 2012-10-06 Hogrefe Publishing; ID: 2514</t>
  </si>
  <si>
    <t>10.1024/0939-5911.a000202 FULL TEXT LINK http://dx.doi.org/10.1024/0939-5911.a000202</t>
  </si>
  <si>
    <t>De Jong, C. A. J.;Luycks,L.;Delicat,J. W.;Author,Addresses;Radboud;Universiteit Nijmegen, Afd Spon Postdoctorale,Opleidingen Nijmegen;Netherlands;Nijmegen,Institute for;Practitioners,in Addiction;Correspondence,Address;CAJ De Jong, Radboud Universiteit Nijmegen Afd,Spon Postdoctorale;Opleidingen,Nijmegen Netherlands Email nispa dejong gmail com</t>
  </si>
  <si>
    <t>23714292; Training in addiction medicine ORIGINAL (NON-ENGLISH) TITLE Verslavingsartsen opleiden</t>
  </si>
  <si>
    <t>addiction;medical education;article;human;Public Health, Social Medicine and Epidemiology (17);Drug Dependence, Alcohol Abuse and Alcoholism (40)</t>
  </si>
  <si>
    <t>(De Jong C.A.J., nispa.dejong@gmail.com; Luycks L.; Delicat J.-W.) (De Jong C.A.J., nispa.dejong@gmail.com) Bohn Stafleu van Loghum, P.O. Box 75971, Amsterdam, Netherlands.; ID: 2378</t>
  </si>
  <si>
    <t>http://www.ncbi.nlm.nih.gov/pubmed/23714292</t>
  </si>
  <si>
    <t>Training in addiction medicine ORIGINAL (NON-ENGLISH) TITLE Verslavingsartsen opleiden</t>
  </si>
  <si>
    <t>De Jong,C.;Author,Addresses;Nispa,Nijmegen University Nijmegen Netherlands;Correspondence,Address;De Jong, Nispa Nijmegen University Nijmegen Netherlands,C.</t>
  </si>
  <si>
    <t>Teaching and evaluating training in opiate addiction treatment</t>
  </si>
  <si>
    <t>opiate agonist;opiate addiction;teaching;clinical practice;human;human experiment;leadership;learning;Netherlands;neurobiology;psychiatry;public health;skill;teacher;theoretical model</t>
  </si>
  <si>
    <t>Since 2007 there is a full-time, 2-year professional training in addiction medicine in the Netherlands. In 2012 addiction medicine is approved as a medical profile specialty by the Royal Dutch Society of Medicine. The present status of the Dutch Master in Addiction Medicine (MiAM) will be described with opioid agonist treatement as an example. In a competency-based professional training, theoretical courses are integrated with learning in clinical practice under guidance of an experienced clinical teacher. The theoretical courses in our course consist of evidence-based medicine, communication and basic psychotherapeutic skills, neurobiology of addiction, addiction medicine, addiction and psychiatry, clinical leadership, and public health. The seven main CanMEDS competencies are concretized in so-called Characteristic Professional Situations (CPS) and are evaluated by different ways of examining. All the aspects of training and examination will be clarified by reference to the example of opioid agonist treatment.</t>
  </si>
  <si>
    <t>(De Jong C.) 12th Congress of European Opiate Addiction Treatment Association, EUROPAD 2016 Leiden, Netherlands 2016-05-27 to 2016-05-29 Pacini Editore S.p.A.; ID: 1936</t>
  </si>
  <si>
    <t>De Leon-Casasola,O.;Author,Addresses;Department of,Anesthesiology;Pain,Medicine;Roswell Park Cancer Institute, Buffalo,United States;Correspondence,Address;De Leon-Casasola, Department of Anesthesiology,O.;Pain Medicine,Roswell;Park Cancer Institute, Buffalo,United States</t>
  </si>
  <si>
    <t>Refresher course: Opioids for non-cancer pain: The good, the bad, the ugly</t>
  </si>
  <si>
    <t>Regional anesthesia and pain medicine</t>
  </si>
  <si>
    <t>Reg.Anesth.Pain Med.</t>
  </si>
  <si>
    <t>September-October</t>
  </si>
  <si>
    <t>e69</t>
  </si>
  <si>
    <t>e70</t>
  </si>
  <si>
    <t>analgesic agent;estrogen;gabapentin;gonadorelin;morphine;new drug;opiate;oxycodone;placebo;prescription drug;testosterone;cancer pain;European;pain;refresher course;regional anesthesia;society;therapy;addiction;adult;adverse drug reaction;American;analgesia;analgesia (sensory dysfunction);androgen therapy;animal experiment;apnea;arousal;backache;bone density;cardiovascular disease;chronic pain;clinical practice;clinical protocol;controlled study;diseases;dose response;drug abuse;drug therapy;endocrine system;erectile dysfunction;etiology;exposure;fatigue;female;fragility fracture;general practitioner;geriatrics;hormone determination;human;hyperalgesia;hypogonadism;individualization;infusion;laboratory;libido;libido disorder;low back pain;male;monitoring;mood;muscle mass;neoplasm;neuropathic pain;normal human;osteoarthritis;osteoporosis;pain intensity;pain threshold;patient;patient selection;physical disease by body function;physician;physician attitude;population;practice guideline;prevalence;quality of life;risk;safety;secretion (process);sexual function;side effect;sleep;sleep disorder;sleep disordered breathing;sleep quality;substitution therapy;supplementation;systematic review;titrimetry</t>
  </si>
  <si>
    <t>Current Practice of Opioid Prescribing for Chronic Noncancer Pain: Despite the publication and widespread dissemination of new clinical practice guidelines that include the use of opioid therapy in chronic noncancer pain1,2,3, several surveys of physician attitudes and behaviors show numerous barriers to optimal use of opioids in this setting, potentially causing unnecessary suffering among patients. A survey completed by 248 primary care physicians found that the majority were comfortable prescribing opioids to patients with terminal cancer, but less comfortable prescribing opioids for chronic pain conditions. The reasons listed included concerns about prescription drug abuse (84%), addiction (80%), adverse effects (68%) and tolerance (61%). 4 In another survey, 38% of 132 physician responders expressed concern about causing addiction by prescribing opioids. 5 There is also evidence for a reluctance to prescribe long acting opioid formulations even when medically appropriate. Of 267 family physicians responding to a survey, while 80% of respondents believed that long-acting opioids would be effective in controlling pain and would improve overall quality of life in patients with chronic noncancer pain, only two thirds of them indicated that they would be willing to prescribe long-acting opioids and about half of them believed that this would lead to patient addiction. 6 Even though the evidence for long-term opioid therapy in chronic noncancer pain conditions remains limited, new guidelines provide detailed recommendations for clinical practice. Clinicians who treat patients with chronic pain need to understand these recommendations and apply them in everyday practice. Recent Evidence of Opioid Efficacy in Chronic Non cancer Pain: In addition to the systematically reviewed and stratified evidence in the recent AAPM-APS and AGS guidelines, subsequent studies have added important data on the use of opioids for the treatment of several painful chronic conditions. For example, there is increasing evidence that in carefully selected osteoarthritis patients appropriately dosed and monitored opioids have potentially fewer life-threatening complications than some of the more commonly employed pharmacotherapeutic approaches. 7 Furthermore, a review of 10 placebo controlled studies in chronic OA pain showed improvements in both pain intensity and in sleep disturbances with the use of long-acting opioids, including improved sleep quality, reduced awakenings from pain, and increased duration of sleep.8 Opioids are commonly prescribed for chronic back pain and have proven efficacy for short-term pain relief. 9 Long-term efficacy is unclear, primarily due to a lack of long-term studies.10 It is also unclear to what extent the use of opioids contributes to an improvement in functionality. Low back pain is very heterogeneous in etiology and presentation and proper patient selection for opioid prescribing is of critical importance. A systematic review published in 2008 evaluated 10 randomized trials of long-acting opioids in chronic back pain concluding that the various opioids studied were of similar efficacy. 11 The current neuropathic pain guidelines recommend opioids as second line treatment that can be used as a first-line approach in select clinical circumstances, such as the alleviation of severe pain, acute neuropathic pain, or during titration of another first-line medication. 12 Since the publication of these guidelines additional evidence supporting the efficacy of opioids in neuropathic pain has emerged.3 For example, a head-to-head comparison of oxycodone and gabapentin in PHN showed that oxycodone, but not gabapentin, significantly reduced worst pain compared to placebo.13 In an earlier study the combination of morphine and gabapetin at lower doses achieved better analgesia than either drug as a single agent.14 Research seems to be focusing on comparing existing agents in neuropathic pain as well as on systematically evaluating combination therapies with the goal of identifying synergistic or additive efficacy in pain control with attendant reductions in side effects. This research is reaffirming the important role that opioids have in the management of chronic neuropathic pain conditions. High variability in response to different opioids has long been recognized and observed. One strategy to improve the response to therapy or to reduce adverse effects is opioid rotation or switching from one opioid to another. The first step in this strategy is the selection of a new drug at a starting dose that minimizes potential risks while maintaining analgesic efficacy. This starting dose is based on an estimate of the relative potency between the existing opioid and the new one. An expert panel was recently convened to re-evaluate the equianalgesic dose tables and the clinical protocols for opioid rotation as the science underlying relative potency evolves. The panel proposed a guideline intended to promote safety during opioid rotation by establishing best practice recommendations. 15,16 The 2009 Guidelines from the American Geriatrics Society have reaffirmed the importance of opioids in this large and vulnerable patient population.2While advocating an individualized and careful approach to opioid therapy, these guidelines remind clinicians to balance opioid analgesia against the harms of unrelieved pain as well as the potential adverse effects of opioid therapy. While these guidelines were reprinted in one pain publication (Pain Medicine) since their initial publication in the Journal of the American Geriatrics Society, they remain insufficiently known among other clinicians who provide care for older adults. Consequences of long-term opioid use: the need for increased awareness and strategies for management: Opioids affect the endocrine, immune, respiratory and other systems. Most of the data on these effects come from animal studies, but there is a growing body of evidence on some of these effects in humans. Additionally, some of these effects are better understood than others and their clinical ramifications are not always clear. As long-term opioid prescribing for chronic noncancer pain conditions increases, clinicians will need to be aware of these effects and of strategies to diagnose and manage them. Even though the negative effects of long-term opioid use on the endocrine system have been known for some time, neither these effects nor strategies to manage them are much discussed in pain management literature and there seems to be limited awareness of these effects among clinicians. Long-term opioid therapy often induces hypogonadism via central suppression of hypothalamic secretion of gonadotropin-releasing hormone. There is some evidence that opioid-induced hypogonadism is much more prevalent in men then in women. Three studies have been published on the effect of longterm oral opioid therapy in men with chronic pain and have found that hormone levels were much lower in opioid users compared with controls. Specifically, total testosterone levels were subnormal in 74%of the opioid group with the attendant decrease in libido and sexual function. At least one study showed a dose-response effect. Significant improvements in hypogonadal symptoms, sexual function and mood were observed in these patients when they were treated with testosterone replacement therapy. 17 Since the signs and symptoms of hypogonadism (including decreased libido, tiredness, depressed mood, loss of muscle mass and strength, erectile dysfunction) are also widespread in patients with chronic pain, clinicians may not entertain the possibility of hypogonadism as the cause. Best practice should include prospective assessment of these symptoms as well as laboratory endocrine monitoring. There are no accepted standards for the management of presumptive opioidinduced hypogonadism. In patients with symptoms or laboratory abnormalities, the first option would be to switch treatments. While there is no information regarding whether opioid hypogonadism improves with opioid rotation, since other opioid side-effects occur idiosyncratically between patients, hypogonadism may also occur with different degree with different opioids in any individual patient. In patients who have failed multiple opioids testosterone supplementation for men and estrogen supplementation for women may be more appropriate. 17 These patients need to be appropriately monitored, particularly because of the risk of cardiovascular disease with the former and cancer with the later. High prevalence of osteoporosis has been reported in patients onmethadone maintenance. 18 Additionally, at least one study suggests that osteoporotic fractures can be caused by opioid-induced hypogonadism even when no other symptoms of hypogonadism are present.19 Monitoring of bone density should be considered in all patients at risk. When appropriate, one of the many treatments to maintain or increase bone density can be considered. Chronic opioid use may have an effect on respiration and may be associated with sleep-disordered breathing or central apnea in about 30%of patients. 20 Patients who are obese, have COPD, or obstructive sleep apnea may be at higher risk of developing nocturnal sleeping disorders. At the same time, chronic pain itself causes sleep disturbances. As in all other areas of long-term opioid therapy, the individualization of treatment and careful monitoring are needed for achieving the balance between pain relief and side effects. Opioid-induced hyperalgesia remains controversial. While there seems to be reasonable evidence in animals that opioid exposure will decrease the pain threshold, such evidence in humans is unclear. A recent systematic review of the literature has evaluated the evidence of opioid-induced hyperalgesia and concluded that its existence can be neither supported nor refuted, except in normal volunteers receiving opioid infusions.</t>
  </si>
  <si>
    <t>(De Leon-Casasola O.) 34th Annual European Society of Regional Anaesthesia and Pain Therapy Congress, ESRA 2015 Ljubljana, Slovenia 2015-09-02 to 2015-09-05 Lippincott Williams and Wilkins; ID: 2070</t>
  </si>
  <si>
    <t>1098-7339</t>
  </si>
  <si>
    <t>10.1097/AAP.0000000000000308 FULL TEXT LINK http://dx.doi.org/10.1097/AAP.0000000000000308</t>
  </si>
  <si>
    <t>De Marco,C.;Ruprecht,A. A.;Pozzi,P.;Munarini,E.;Ogliari,A. C.;Mazza,R.;Boffi,R.;Author,Addresses;Tobacco,Control Unit;Istituto Nazionale,Dei Tumori;Patient Information Service, Fondazione Irccs,Istituto Nazionale;Dei Tumori,Milan Italy;Correspondence,Address;De Marco, Tobacco Control Unit Fondazione Irccs Istituto Nazionale Dei,C.;Tumori,Milan Italy Email cinzia demarco istitutotumori mi it</t>
  </si>
  <si>
    <t>Erratum: Particulate matters from diesel heavy duty trucks exhaust versus cigarettes emissions: A new educational antismoking instrument (Multidisciplinary Respiratory Medicine (2016) 11:11)</t>
  </si>
  <si>
    <t>Multidisciplinary Respiratory Medicine</t>
  </si>
  <si>
    <t>11:1 Article Number: 48.</t>
  </si>
  <si>
    <t>error;erratum;Clinical and Experimental Biochemistry (29)</t>
  </si>
  <si>
    <t>(De Marco C., cinzia.demarco@istitutotumori.mi.it; Ruprecht A.A.; Pozzi P.; Munarini E.; Ogliari A.C.; Boffi R.) (Mazza R.) BioMed Central Ltd., info@biomedcentral.com; ID: 1986</t>
  </si>
  <si>
    <t>2049-6958 (electronic) 1828-695X</t>
  </si>
  <si>
    <t>20160131364 PUI L608321552</t>
  </si>
  <si>
    <t>10.1186/s40248-016-0048-1 FULL TEXT LINK http://dx.doi.org/10.1186/s40248-016-0048-1</t>
  </si>
  <si>
    <t>De,Barutell Farin;Author,Addresses;Clâ”œÂ¡nica,del Dolor;Pilar,Barcelona Spain;Correspondence,Address;De Barutell Farinâ”œâ”‚s, Clâ”œÂ¡nica del Dolor Clâ”œÂ¡nica del Pilar Spain,C.</t>
  </si>
  <si>
    <t>Opioid rotation ORIGINAL (NON-ENGLISH) TITLE Rotaciâ”œâ”‚n de opioides</t>
  </si>
  <si>
    <t>Dolor</t>
  </si>
  <si>
    <t>(MAJOR FOCUS);opiate;rotation;analgesia;article;chronic pain;human;quality of life;opiate (53663-61-9, 8002-76-4, 8008-60-4);Neurology and Neurosurgery (8)</t>
  </si>
  <si>
    <t>Chronic pain is a primary health problem that reduces the quality of life of the patients that suffer from it. In these patients, pain control is a priority and the first treatment of choice is opioids. Both careful management by medical staff and the responsible use by the patients ensures a favorable balance between benefits and side effects. However, pain control with opioids has some drawbacks, especially regarding the risk of aberrant behaviors, among which addiction and tolerance are the most noticeable. Opioid rotation, i.e., the changing of a potent opioid for another one, is an increasingly common maneuver to improve analgesia and reduce adverse effects in patients with sub-analgesic pain control. Moreover, a high variability exists for the equianalgesic conversion table among opioids. However, this should not be a barrier to its use. Finally, it is important to inform the patient about the procedure of opioid rotation and the possible short-term side effects such as the appearance of withdrawal or a temporary increase in pain.</t>
  </si>
  <si>
    <t>(De Barutell Farinâ”œâ”‚s C., cbarutell@gmail.com) Publicaciones Permanyer, permanyer@permanyer.com; ID: 2092</t>
  </si>
  <si>
    <t>0214-0659</t>
  </si>
  <si>
    <t>20160305946 PUI L609943057</t>
  </si>
  <si>
    <t>English, Spanish</t>
  </si>
  <si>
    <t>de,la Cruz;Reddy,A.;Balankari,V.;Epner,M.;Frisbee-Hume,S.;Wu,J.;Liu,D.;Yennuraialingam,S.;Cantu,H.;Williams,J.;Bruera,E.;Author,Addresses;Departments,of Palliative;Integrative Medicine,The;University of Texas, M D Anderson Cancer Center Houston,United States;Departments of Biostatistics, The University of,Texas M.;Anderson Cancer Center, Houston,United States;Correspondence,Address;de la Cruz, Department of Palliative Rehabilitation,M.;Integrative;Medicine,The University of Texas M.D.Anderson Cancer Center Holcombe;Boulevard,Houston United States Email mdelacruz mdanderson org</t>
  </si>
  <si>
    <t>27742907; The impact of an educational program on patient practices for safe use, storage, and disposal of opioids at a comprehensive cancer center</t>
  </si>
  <si>
    <t>Oncologist</t>
  </si>
  <si>
    <t>(MAJOR FOCUS);opiate;cancer center;drug use;education program;patient assessment;adult;article;caregiver;controlled study;drug safety;drug storage;female;health survey;human;major clinical study;male;medical staff;middle aged;palliative therapy;practice guideline;priority journal;prospective study;questionnaire;waste disposal;opiate (53663-61-9, 8002-76-4, 8008-60-4);Cancer (16);Public Health, Social Medicine and Epidemiology (17)</t>
  </si>
  <si>
    <t>Background. Improper use, storage, and disposal of prescribed opioids can lead to diversion or accidental poisoning. Our previous study showed a large proportion of cancer patients have unsafe opioid practices. Our objective was to determine whether an improvement occurred in the patterns of use, storage, and disposal of opioids among cancer outpatients after the implementation of a patient educational program. Patients and Methods. Our palliative care (PC) clinic provides every patient with educational material (EM) on safe opioid use, storage, and disposal every time they receive an opioid prescription. We prospectively assessed 300 adult cancer outpatients receiving opioids in our PC clinic, who had received the EM, and compared them with 300 patients who had not received the EM. The previously used surveys pertaining to opioid use, storage, and disposal were administered, and demographic information was collected. Sharing or losing their opioids was defined as unsafe use. Results. Patients who received EM were more aware of the proper opioid disposal methods (76% vs. 28%; pÎ“Ã«Ã±.0001), less likely to share their opioids with someone else (3% vs. 8%; p5.0311), less likely to practice unsafe use of opioids (18% vs. 25%; p5.0344), and more likely to be aware the danger of their opioids when taken by others (p5.0099). Patients who received the EMwere less likely to have unused medication at home (38% vs. 47%; p5.0497) andmore likely to keep theirmedications in a safe place (hidden, 75% vs. 70%; locked, 14% vs. 10%; p5.0025). Conclusion. The use of</t>
  </si>
  <si>
    <t>(de la Cruz M., mdelacruz@mdanderson.org; Reddy A.; Balankari V.; Epner M.; Frisbee-Hume S.; Yennuraialingam S.; Cantu H.; Williams J.; Bruera E.) (Wu J.; Liu D.) AlphaMed Press, 318 Blackwell St. Suite 260, Durham, United States.; ID: 1867</t>
  </si>
  <si>
    <t>1549-490X (electronic) 1083-7159</t>
  </si>
  <si>
    <t>http://www.ncbi.nlm.nih.gov/pubmed/27742907</t>
  </si>
  <si>
    <t>10.1634/theoncologist.2016-0266 FULL TEXT LINK http://dx.doi.org/10.1634/theoncologist.2016-0266</t>
  </si>
  <si>
    <t>The impact of an educational program on patient practices for safe use, storage, and disposal of opioids at a comprehensive cancer center</t>
  </si>
  <si>
    <t>Deadman,P.;Cox,S.;Wager,K.;Author,Addresses;Smart Uk,United;Kingdom;Correspondence,Address;Smart Uk,United Kingdom</t>
  </si>
  <si>
    <t>SMART UK: The substance misuse acupuncture register and training</t>
  </si>
  <si>
    <t>Journal of Chinese Medicine</t>
  </si>
  <si>
    <t>alcohol;acupuncture;medical education;substance abuse;article;Chinese medicine;community care;drug dependence;health practitioner;health program;hospital;human;life expectancy;postgraduate education;prison;register;skill;United Kingdom;alcohol (64-17-5);Public Health, Social Medicine and Epidemiology (17);Drug Dependence, Alcohol Abuse and Alcoholism (40)</t>
  </si>
  <si>
    <t>The Substance Misuse Acupuncture Register and Training (SMART UK) teaches people who work in the substance misuse field the application of a five point auricular acupuncture formula treatment as part of their approach to substance misuse. Over the last nine years it has trained three thousand people in the technique which is used to enhance already existing recovery programmes. The SMART programme is now being used in around four hundred community drug and alcohol treatment centres and hospital units and eighty-seven prisons. The protocol is widely accepted for its supportive role in the treatment of addiction and has boosted the profile of acupuncture throughout the world. The course is accredited by the UK's National Health Service and the Home Office.</t>
  </si>
  <si>
    <t>(Deadman P.; Cox S., sue.cox@smartuk.demon.co.uk; Wager K.); ID: 3175</t>
  </si>
  <si>
    <t>0143-8042</t>
  </si>
  <si>
    <t>2005292078 PUI L40903237</t>
  </si>
  <si>
    <t>DeBenedette,V.;Author,Addresses;Correspondence,Address;United States,V. DeBenedette, N.Y.</t>
  </si>
  <si>
    <t>Physician use of opioid contracts varies with training</t>
  </si>
  <si>
    <t>Drug Topics</t>
  </si>
  <si>
    <t>(MAJOR FOCUS);opiate;contract;medical education;physician;alcohol abuse;drug abuse;human;pain;pharmacy;prescription;primary medical care;resident;risk;short survey;opiate (53663-61-9, 8002-76-4, 8008-60-4);Public Health, Social Medicine and Epidemiology (17);Drug Literature Index (37)</t>
  </si>
  <si>
    <t>(DeBenedette V.) Advanstar Communications, One Park Avenue, New York, United States.; ID: 3096</t>
  </si>
  <si>
    <t>2007576271 PUI L350169121</t>
  </si>
  <si>
    <t>Delaney,W.;Huff,J.;Mini,S.;Thomas,A.;Tremaglio,R.;Author,Addresses;College of,Medicine;University of Vermont, Burlington,United States;Department of,Research;Innovation,Western Connecticut Health;Network,Danbury United States</t>
  </si>
  <si>
    <t>Coprescribing naloxone for patients on chronic opioid therapy: Lessons learned from a patient-safety initiative in primary care training sites</t>
  </si>
  <si>
    <t>(MAJOR FOCUS);naloxone (drug combination, drug therapy, intranasal drug administration,;parenteral drug administration, pharmacoeconomics);opiate (drug combination, drug therapy, pharmacoeconomics);prescription drug (drug combination, drug therapy, intranasal drug;administration, parenteral drug administration, pharmacoeconomics);analgesia;chronic pain (drug therapy, disease management, drug therapy);long term care;prescription;article;complex regional pain syndrome (drug therapy);Connecticut;diabetic neuropathy (drug therapy);discogenic pain (drug therapy);drug cost;drug overdose;exploratory research;general practitioner;hepatitis C (drug therapy);hepatitis c neuropathy (drug therapy);human;intervention study;neuropathy (drug therapy);patient preference;patient safety;pilot study;posttraumatic arthropathy (drug therapy);primary medical care;prospective study;resident;spinal pain (drug therapy);total quality management;treatment refusal;DRUG TRADE NAMES;evzio;naloxone (357-08-4, 465-65-6);opiate (53663-61-9, 8002-76-4, 8008-60-4);Health Policy, Economics and Management (36);Drug Literature Index (37);Neurology and Neurosurgery (8)</t>
  </si>
  <si>
    <t>Objective: To describe the development and implementation of a resident-led effort to increase coprescription of naloxone in a primary care setting. Design: An exploratory, prospective pilot project to increase coprescription rates of naloxone. Setting: Four primary care offices in western Connecticut serving as medical home training sites for primary care residents. Patients, Participants: All patients on chronic opioid therapy. Interventions: Over a 2-month period, eligible patients were identified and approached to receive a naloxone coprescription. Main Outcome Measure: Rate of coprescriptions written. Results: Three out of four training sites were able to increase coprescription rates, and 26 percent of eligible patients were able to have a prescription written. Conclusions: Primary care practices, particularly primary care training sites, looking to implement a coprescription initiative should take several important factors into consideration during the planning stages, including naloxone availability and availability of the patient for naloxone education. More extensive research on best practices is needed.</t>
  </si>
  <si>
    <t>(Delaney W.; Mini S.; Thomas A.; Tremaglio R.) (Huff J.) Weston Medical Publishing, jom@pnpco.com; ID: 1912</t>
  </si>
  <si>
    <t>2375-0146 (electronic) 1551-7489</t>
  </si>
  <si>
    <t>20170117545 PUI L614411344</t>
  </si>
  <si>
    <t>10.5055/jom.2016.0353 FULL TEXT LINK http://dx.doi.org/10.5055/jom.2016.0353</t>
  </si>
  <si>
    <t>Delbanco,T. L.;Author,Addresses;Gen Med/Primary Care Div, Beth,Israel Hospital;Brookline Ave,Boston,M.A.United States;Correspondence,Address;TL Delbanco, Gen Med Primary Care Div Beth,Israel Hospital;Brookline Ave,Boston,M.A.United States</t>
  </si>
  <si>
    <t>1731140; Patients who drink too much: Where are their doctors?</t>
  </si>
  <si>
    <t>alcohol abuse;alcoholism;medical education;physician;adult;editorial;human;priority journal;United States;Public Health, Social Medicine and Epidemiology (17)</t>
  </si>
  <si>
    <t>(Delbanco T.L.) American Medical Association, 515 North State Street, Chicago, United States.; ID: 3633</t>
  </si>
  <si>
    <t>http://www.ncbi.nlm.nih.gov/pubmed/1731140</t>
  </si>
  <si>
    <t>10.1001/jama.267.5.702 FULL TEXT LINK http://dx.doi.org/10.1001/jama.267.5.702</t>
  </si>
  <si>
    <t>Patients who drink too much: Where are their doctors?</t>
  </si>
  <si>
    <t>Dhavan,P.;Stigler,M. H.;Arora,M.;Bassi,S.;Perry,C. L.;Reddy,K. S.;Author,Addresses;Michael;Susan Dell Center for Advancement of,Healthy Living;of Texas School of,Public Health;Correspondence,Address;Dhavan,Michael,P.;Susan Dell Center for Advancement,of Healthy;University of Texas School of,Public Health;Poonam.Dhavan@uth.tmc.edu</t>
  </si>
  <si>
    <t>20433047; Practice-based learning in global youth tobacco prevention research at the University of Texas master of public health program</t>
  </si>
  <si>
    <t>(2010) 125</t>
  </si>
  <si>
    <t>health;international cooperation;medical education;participatory research;smoking (prevention);adolescent;article;human;India;United States</t>
  </si>
  <si>
    <t>(Dhavan P.; Stigler M.H.; Arora M.; Bassi S.; Perry C.L.; Reddy K.S.); ID: 2799</t>
  </si>
  <si>
    <t>http://www.ncbi.nlm.nih.gov/pubmed/20433047</t>
  </si>
  <si>
    <t>Practice-based learning in global youth tobacco prevention research at the University of Texas master of public health program</t>
  </si>
  <si>
    <t>Dhawan,A.;Chopra,A.;Y.P,S. Balhara;Author,Addresses;National,Drug Dependence;Centre,All India Institute of Medical Sciences India;Correspondence,Address;Dhawan, National Drug Dependence Treatment Centre All India Institute of,A.;Medical Sciences,India</t>
  </si>
  <si>
    <t>Building national capacity for management of substance use disorders in India</t>
  </si>
  <si>
    <t>addiction;India;society;substance abuse;capacity building;drug therapy;exercise;human;medical personnel;medical specialist;nurse;opiate substitution treatment;paramedical personnel;physician;psychiatrist;psychiatry;quality control;scale up;student;teacher</t>
  </si>
  <si>
    <t>Background. The number of trained professionals including psychiatrists is inadequate for management of Substance Use Disorders (SUD) in India. Objective. To build national capacity in India for management of SUD Methods. Efforts to train various categories of staff (general duty medical officers, nurses and paramedical staff ) have been ongoing supported by resource material for both trainees and trainers. Currently a national training exercise is ongoing with the target to train at least one doctor in the management of SUD in each district in the country through six training institutions. Intensive efforts in capacity building along with mentorship through Quality Assurance Visits have also supported the scale up of Opioid Substitution Treatment (OST) in the country. Simultaneously, short and long term trainings of psychiatrists in Substance Use Disorder are also taking place including the recent initiation of a super-specialist programme (DM Addiction Psychiatry) of 3 years duration in India. Conclusion. Future plans include refresher programmes, online mentorship and efforts to mobilise additional resources (for medication, support staff ) so that the training of doctors at the district level lead to strengthening of primary/secondary care services by overcoming limitations.</t>
  </si>
  <si>
    <t>(Dhawan A.; Chopra A.; S. Balhara Y.P.) 16th International Society of Addiction Medicine Annual Meeting Yokohama, Japan 2014-10-02 to 2014-10-06 Oxford University Press; ID: 2209</t>
  </si>
  <si>
    <t>10.1093/alcalc/agu052.51 FULL TEXT LINK http://dx.doi.org/10.1093/alcalc/agu052.51</t>
  </si>
  <si>
    <t>Diehl,A.;Mann,K.;Author,Addresses;Klin,Abhangiges;Verhalten/Suchtmed, Zentralinst Seelis Gesun,Mannheim Universit;Heidelberg,Mannheim Germany;Klin. Abhangiges,Verhalten Suchtmed;Zentralinst Seelis Gesun Mannheim, Universitâ”œÃ±t,Heidelberg J.;Mannheim,Germany;Correspondence,Address;Diehl, Klin Abhangiges Verhalten Suchtmed Zentralinst Seelis Gesun,A.;Mannheim,Universitâ”œÃ±t Heidelberg J.Mannheim Germany Email;diehl@zi,mannheim de</t>
  </si>
  <si>
    <t>Qualified withdrawal treatment in alcohol dependence ORIGINAL (NON-ENGLISH) TITLE Qualifizierte entzugsbehandlung bei alkoholabhâ”œÃ±ngigkeit</t>
  </si>
  <si>
    <t>PsychoNeuro</t>
  </si>
  <si>
    <t>(MAJOR FOCUS);alcohol;alcoholism (disease management);withdrawal syndrome (disease management);alcohol abstinence;cost control;detoxification;diagnosis related group;financial management;general hospital;Germany;health care system;human;motivation;outpatient care;short survey;symptomatology;alcohol (64-17-5);Public Health, Social Medicine and Epidemiology (17);Psychiatry (32);Health Policy, Economics and Management (36);Drug Dependence, Alcohol Abuse and Alcoholism (40)</t>
  </si>
  <si>
    <t>The primary aim of the traditional detoxification treatment is to guarantee the survival of the patient and to control the withdrawal symptoms by using adequate medications. Up to now specific procedures against the underlying dependence are adopted in a few cases only. The reevaluations of this traditional detoxification show exceptionally poor results. For inpatient detoxification in general hospitals essential improvements of the existing care system could be achieved with liaison-services trained in addiction medicine, turning the detoxification into a "qualified withdrawal treatment". This enhanced detoxification is also applicable for outpatient treatment in selected patients. In cooperation of physicians, psychologists and social workers motivational techniques are added to standard acute treatment. The aim of these interventions is the consistent development of a sufficient self insight in the disease which finally leads to the willingness of the patient to enter further abstinence-maintaining treatments. According to the health reform-law 2000 an all inclusive remuneration system is being introduced in Germany by means of adapting the Australian DRG- (Diagnosis Related Groups) system. If the qualified withdrawal treatment in alcohol dependence (ICD 10 F10.2) is to be carried out in general hospitals the expenses are in no way covered by the DRG. Somatic departments should be enabled to realize this demanding and cost-saving offer of the qualified withdrawal treatment with regard to treatment duration and staff availability by an appropriate financing.</t>
  </si>
  <si>
    <t>(Diehl A., diehl@zi-mannheim.de; Mann K.) (Diehl A., diehl@zi-mannheim.de); ID: 3240</t>
  </si>
  <si>
    <t>1611-9991</t>
  </si>
  <si>
    <t>2004075099 PUI L38200210</t>
  </si>
  <si>
    <t>Dilektasli,A. G.;Kilinc,O.;Akcay,S.;Uzaslan,E. K.;Bostan,P. P.;Elbek,O.;Aytemur,Z.;Ozge,C.;Oztuna,F.;Saglam,L.;Uysal,A.;Orsel,O.;Author,Addresses;Correspondence,Address;Dilektasli,A. G.</t>
  </si>
  <si>
    <t>Learning platform for smoking cessation project: From begining to date</t>
  </si>
  <si>
    <t>40 SUPPL. 56.</t>
  </si>
  <si>
    <t>European;learning;smoking cessation;society;adult;city;health service;hospital;human;non profit organization;physician;smoking;therapy;tobacco;training;volunteer</t>
  </si>
  <si>
    <t>Background: Although 35% of the adults in Turkey are current smokers, the number of trained physicians and smoking cessation (SC) clinics are not enough to meet the demand. Aim: This national project aimed to create the necessary infrastructure for providing SC therapy all-around the country and to train physicians in this topic. This project was run by Turkish Thoracic Society Tobacco Working Group and supported by a grant from Pfizer Foundation. Methods: For this purpose, an organization network including field training teams was planned. The training materials were prepared and standardized. A website of the project including a wide e-learning platform was created (www.sigarabirakmadaogrenmezemini.org). Results: Firstly, a central training program was planned. Forty volunteers from all regions of Turkey were participated to this program. Afterwards, field training programs were started to perform by these trainers. From the beginning field training sessions were performed in 11 cities with more than 300 participants. The project website was visited by 10.369 visitors and 518 participants completed e-training module since April 2011. Conclusion: The Sâ”œÃ»Z project enabled a training ground that will last for years; a professional website and a trainer staff to generalize the program. Through this project, the integration of SC intervention in all health service steps will be provided, the number of SC clinics in Turkey will increase, and in future smoking rate will reduce in our country.</t>
  </si>
  <si>
    <t>(Dilektasli A.G.; Kilinc O.; Akcay S.; Uzaslan E.K.; Bostan P.P.; Elbek O.; Aytemur Z.; Ozge C.; Oztuna F.; Saglam L.; Uysal A.; Orsel O.) European Respiratory Society Annual Congress 2012 Vienna, Austria 2012-09-01 to 2012-09-05 European Respiratory Society; ID: 2518</t>
  </si>
  <si>
    <t>Djenguâ”œâŒ,A.;Pham,A. D.;Kowalski,V.;Burri,C.;Author,Addresses;Mâ”œâŒdecin Gâ”œâŒnâ”œâŒraliste,France;Unitâ”œâŒ de,Biostatistique et;Clinique,C. H. U. A.;Caen,U. F. R. Mâ”œâŒ;Basse-Normandie,rue;Centre de,Cure Ambulatoire;Alcoologie et Addictologie, rue du Dr Vincent,Caen France</t>
  </si>
  <si>
    <t>Alcohology and future French general practitioners: Assessment of the knowlege, medical practices and training acquired at the end of the internship ORIGINAL (NON-ENGLISH) TITLE L'Alcoologie et les futurs mâ”œâŒdecins gâ”œâŒnâ”œâŒralistes franâ”œÂºais â”œâŒvaluation des connaissances, des pratiques et de la formation reâ”œÂºue en fin d'internat</t>
  </si>
  <si>
    <t>Psychotropes</t>
  </si>
  <si>
    <t>(2017) 23</t>
  </si>
  <si>
    <t>general practitioner;medical education;medical practice;professional knowledge;article;general practice;human;questionnaire;resident;Public Health, Social Medicine and Epidemiology (17)</t>
  </si>
  <si>
    <t>Background The purpose of this study was to assess the knowledge, medical practices and training of French interns in general medicine at the end of their course on alcohology. Methods An electronic questionnaire was sent to interns enrolled in the last year of general medicine from the faculties that agreed to participate in the study. A range of information concerning the training programme devoted to addiction medicine was collected from referent teachers of faculties, school managers, unions of interns in general medicine and external medical corporations. Results Of the 3074 questionnaires distributed, 622 were returned. The study showed that 77.5% of the interns included in the study did not achieve the pass mark for the test of knowledge and practice. The best results were noted when interns had received further training in addiction medicine and when faculties accorded more weight to training in addiction medicine. The average time devoted to this training was - respectively for externs and interns - 7.68 and 6.07 hours. There were on average 10.63 and 3.21 open positions for traineeships per year in addiction medicine for externs and interns respectively. Discussion The training devoted to addiction medicine in French medical education should be improved.</t>
  </si>
  <si>
    <t>(Djenguâ”œâŒ A., aymeric.m.djengue@gmail.com) (Pham A.-D., pham-ad@chu-caen.fr) (Kowalski V., vincent.kowalski@unicaen.fr) (Burri C., christophe.burri@anpaa.asso.fr) Boeck Universite, info@universite.deboeck.com; ID: 1861</t>
  </si>
  <si>
    <t>1782-1487 (electronic) 1245-2092</t>
  </si>
  <si>
    <t>20170579566 PUI L617763296</t>
  </si>
  <si>
    <t>10.3917/psyt.231.0089 FULL TEXT LINK http://dx.doi.org/10.3917/psyt.231.0089</t>
  </si>
  <si>
    <t>Alcohology and future French general practitioners: Assessment of the knowlege, medical practices and training acquired at the end of the internship ORIGINAL (NON-ENGLISH) TITLE L'Alcoologie et les futurs mâ”œâŒdecins gâ”œâŒnâ”œâŒralistes fra(TRUNCATED)</t>
  </si>
  <si>
    <t>Dogan,O.;Author,Addresses;Department,of Psychiatry;Istanbul,Turkey;Correspondence,Address;Dogan, Department of Psychiatry Uskudar University Istanbul Turkey,O.;Email,ordogan gmail com</t>
  </si>
  <si>
    <t>Adherence to treatment in patients with schizophrenia</t>
  </si>
  <si>
    <t>Klinik Psikofarmakoloji Bulteni</t>
  </si>
  <si>
    <t>23 SUPPL. 1</t>
  </si>
  <si>
    <t>cognitive therapy;education;human;interview;patient;patient compliance;psychopharmacology;schizophrenia;atmosphere;bipolar disorder;chronic disease;doctor patient relation;drug dose;drug therapy;education program;emergency;empathy;environment;follow up;hospital;mental disease;motivation;patient worry;physician;positive syndrome;relapse;remission;responsibility;risk;side effect;social support;substance abuse;suicide</t>
  </si>
  <si>
    <t>Non-adherence to treatment is one of the most important problems in treatment of chronic illnesses. This condition is also valid for schizophrenia. In general, non-adherence in chronic illnesses is approximately 60%. The patients with schizophrenia and bipolar disorder do not believe that they are ill. They have lack of insight; therefore they reject to take medication. In treatment, perfect adherence to treatment is rare; non-adherence to treatment is a common condition. If the patient misses the drug dose small than 25%, he (she) is adherent. If the patient misses the drug dose between 25% and 65%, he (she) is partially adherent. If the patient misses the drug dose more than 65%, he (she) is non-adherent. Partially adherence to treatment is 25% in the first 10 days after discharge, 50% after one year, and 75% two years. If the adherence to treatment is increased, the ratio of remission is increased. If the patients do not use their medications regularly, some disadvantages are seen as follows: a) relapse ratio increases, the period and the number of admitted in hospital increases, suicide risk increases, the possibility of remission decreases, all of social functionalities go bad, substance use, and financial problems. Non-adherence to treatment can be dependent on characteristics of patient, environment, clinician, and medication. The causes of not taking medication can be those: lack of insight, lack of efficacy of treatment, lack of social support, worries about side effects, a poor doctor-patient relationship, cognitive losses, substance use, and comorbid psychiatric disorders. How are formed adherence to treatment between doctor and patient? The answers are as follows: a) Non-pharmacological approaches, b) pharmacological approaches, c) multidimensional approaches. Non-pharmacological approaches include motivational interview techniques and similar approaches, cognitive behavior therapy, and psycho-education approaches. The LEAP technique is a motivational interview technique. The phases of LEAP are as follows: Listen, Empathy, Agree, and Partnership. Cognitive behavior therapy has been neglected for schizophrenia because of some causes. However, it has been increased gradually that evidences about efficacy of cognitive behavior therapy in schizophrenia treatment. Psycho-education can apply both patients and their families. A psycho-education program must include those issues: the symptoms and the causes of schizophrenia; medications used for schizophrenia, their side effects, and their mechanisms; the manner of family; lawful rights and responsibilities; emergency conditions and follow-up. Pharmacotherapy is efficacy on schizophrenia treatment, especially on positive symptoms. Depot or long action antipsychotics increase the adherence to treatment, decrease suicide risk and the number of admitting in hospital. To provide and continue the adherence to treatment is suggested those strategies: to apply optimal antipsychotic treatment, to encourage the patients and their families for psycho-education, to determine the patients' motivations, to treat substance abuse, to include family members in treatment process, to identify and remove the barriers to treatment. There are common problems seen in the adherence to treatment. These can be concerned with patients, patients' relatives, presenting services. Multidimensional approach contains a good doctor-patient relationship, accepting the adherence problem, favorable antipsychotic treatment, forming a good atmosphere, applying motivational interview techniques and psycho-education.</t>
  </si>
  <si>
    <t>(Dogan O., ordogan@gmail.com) 5th International Congress on Psychopharmacology Antalya, Turkey 2013-10-30 to 2013-11-03 Cukurova Univ Tip Fakultesi Psikiyatri Anabilim Dali; ID: 2329</t>
  </si>
  <si>
    <t>1017-7833</t>
  </si>
  <si>
    <t>Dole,E. J.;Tommasello,A.;Author,Addresses;Lovelace Health Systems, College of Pharmacy University,of New;Mexico,Health;Sciences Center, Albuquerque N. M. U. S. A.;Correspondence,Address;EJ Dole, Lovelace Health Systems College of Pharmacy University,of New;Mexico,Health;Sciences Center, Albuquerque N. M. U. S. A.</t>
  </si>
  <si>
    <t>23581000; Recommendations for implementing effective substance abuse education in pharmacy practice</t>
  </si>
  <si>
    <t>(MAJOR FOCUS);prescription drug;addiction (diagnosis, rehabilitation);alcoholism (diagnosis, rehabilitation);education;article;clinical competence;cooperation;curriculum;human;interdisciplinary communication;patient education;specialization;United States</t>
  </si>
  <si>
    <t>(Dole E.J.) (Tommasello A.); ID: 3309</t>
  </si>
  <si>
    <t>http://www.ncbi.nlm.nih.gov/pubmed/23581000</t>
  </si>
  <si>
    <t>Recommendations for implementing effective substance abuse education in pharmacy practice</t>
  </si>
  <si>
    <t>Donnelly,S. C.;Author,Addresses;Correspondence,Address;Donnelly,S. C.</t>
  </si>
  <si>
    <t>26826727; Elements: In this month's issue</t>
  </si>
  <si>
    <t>Qjm</t>
  </si>
  <si>
    <t>QJM</t>
  </si>
  <si>
    <t>electronic cigarette;medical education;smoking;article;case report;clinical education;human;legal aspect;priority journal;public health;smoking ban;smoking cessation program;Public Health, Social Medicine and Epidemiology (17)</t>
  </si>
  <si>
    <t>(Donnelly S.C.) Oxford University Press, jnl.info@oup.co.uk; ID: 1995</t>
  </si>
  <si>
    <t>1460-2393 (electronic) 1460-2725</t>
  </si>
  <si>
    <t>http://www.ncbi.nlm.nih.gov/pubmed/26826727</t>
  </si>
  <si>
    <t>10.1093/qjmed/hcw010 FULL TEXT LINK http://dx.doi.org/10.1093/qjmed/hcw010</t>
  </si>
  <si>
    <t>Elements: In this month's issue</t>
  </si>
  <si>
    <t>Donovan,A. K.;Wood,G. J.;Rubio,D.;Gibbs,P.;Day,H.;Spagnoletti,C.;Author,Addresses;University of,Pittsburgh;School of Medicine, Pittsburgh,United States;Northwestern Lake Forest Hospital, Midwest,Palliative and;Hospice CareCenter,Glenview,United States;University of Pittsburgh, Center for Research,on Health;Care,Pittsburgh United States;Correspondence,Address;AK Donovan, University of Pittsburgh School of,Medicine Pittsburgh;United,States</t>
  </si>
  <si>
    <t>Use of a web-based module for faculty development in communication and chronic opioid prescribing</t>
  </si>
  <si>
    <t>S244</t>
  </si>
  <si>
    <t>(MAJOR FOCUS);opiate;internal medicine;interpersonal communication;society;analysis of variance;checklist;clinical practice;comfort;communication skill;conversation;curriculum;dental floss;education;epidemic;follow up;funding;human;internist;learning;outpatient;pain;patient;physician;prescription;reliability;risk;school;skill;statistical analysis;statistics;Student t test;teaching;United States;university</t>
  </si>
  <si>
    <t>BACKGROUND: As prescription opioid use and its complications reach epidemic proportions, internists must effectively communicate with patients with chronic nonmalignant pain (CNMP). However, few published curricula focus on communication surrounding opioid prescribing. Results of an informal survey of the internal medicine faculty at the University of Pittsburgh School of Medicine (UPSOM) called for faculty development in Î“Ã‡Â£communicating with patients about opioid useÎ“Ã‡Â¥. As such, we implemented a web-based curriculum entitled Collaborative Opioid Prescribing Education-Risk Evaluation and Management Strategy (COPE-REMSâ”¬Â«), which was developed at the University of Washington School of Medicine. We hypothesized that this curriculum would increase faculty participants' communication skills knowledge and confidence level, as well as self-reported and actual use of these skills with patients who have CNMP. METHODS: Eligible participants were the clinician-educator faculty affiliated with the UPSOM Internal Medicine Residency Program. Participants were also required to care for outpatients given the focus of the module. Of note, this study had an IRB exemption. Funding for this study was provided by the Thomas Nimick, Jr. Competitive Research Fund. Faculty were asked to complete the curriculum, along with pre and post electronic surveys to assess their knowledge, attitudes, and reported use of skills between May and June 2013. A follow-up survey was administered to all participants in December 2013, to assess delayed attitudes and reported uses of skills. Analysis of survey items included summary statistics and repeated measures ANOVA between pre, post, and 6 month responses to survey questions. We used the Bonferroni correction for posthoc analysis. All statistical analysis was done using Stata 13. In addition, 23 of the eligible faculty members were randomly selected to participate in a pre and post-module Observed Structured Clinical Exam (OSCE) during this time to assess change in actual communication skills. Each OSCE was scored with a 16-item checklist completed by one of four standardized patients (SPs) in real time and by a communication expert (CE) who viewed recorded encounters in a blinded fashion. Paired t-tests were used for statistical analysis comparing pre and post-module scores on the knowledge-based test and OSCE. RESULTS: A total of 62 % (33/53) of eligible participants, with a mean of 16.1 years of post-training clinical practice experience, completed the curriculum. They rated their overall baseline physician-patient communication skills as 7.9 (scale 1-10 where 1 = poor and 10 = outstanding). All reported at least some prior faculty-level training in both physician-patient communication and management of patients with CNMP. Participants felt the curriculum was clear (mean 4.7; scale 1-5 were 1 = strongly disagree and 5 = strongly agree) and met its stated learning objectives (mean 4.7). Most felt that the time it took to complete the module was too long (mean 4.5); some faculty reported spending greater than 3 h on completing the module while one participant spent only 24 min. The 25-item knowledge-based test scores improved with completion of the curriculum (pre 75 % vs. post 90 %, p&lt;0.001). Compared to the pre-curriculum scores, participants reported improved comfort in managing patients both immediately post-curriculum and at 6 months (3.6 vs. 4.0 vs. 4.1 at pre, post, and 6 month time points respectively, p=0.0184; scale 1-5 where 1 = totally uncomfortable and 5 = totally comfortable), prescribing opioids (3.3 vs. 3.8 vs. 3.9, p=0.0061), and conducting a conversation about discontinuing opioids (2.8 vs. 3.5 vs. 3.9, p&lt;0.001). Additionally, repeated measures ANOVA between the three timepoints demonstrated an improvement in faculty comfort with teaching residents about managing patients with CNMP (3.5 vs. 3.9 vs. 4.0 for pre, post, and 6 months respectively, p&lt;0.0016). Of the 23 faculty randomized to the OSCE, the OSCE participation rate was 57 % (13/23); an additional 4 faculty volunteered to complete at least one OSCE to maximize utilization of the funded SP encounters. When rated by the SPs, the mean pre-OSCE score was 74 % vs. post 82 % (p=0.0344). When rated by the CE, the scores were 65 % and 71 % respectively (p=0.0767). The inter-rater reliability between the CE and each of the four SPs was fair to moderate (k=0.28 to 0.66). CONCLUSIONS: The COPE-REMSâ”¬Â« curriculum was feasible to implement among clinician-educator faculty. Despite rating their baseline communication skills highly, this seasoned group of clinicians had improvement in their knowledge and comfort with managing patients with CNMP after participating in the curriculum. Improvement in actual skill was also achieved, and was statistically significant when rated by SPs during the OSCE component of the study. A web-based curriculum such as the COPE-REMSâ”¬Â« may be useful for other programs looking to improve their faculty's comfort and skill in managing patients with CNMP.</t>
  </si>
  <si>
    <t>(Donovan A.K.; Rubio D.; Day H.; Spagnoletti C.) (Wood G.J.) (Rubio D.; Gibbs P.) 37th Annual Meeting of the Society of General Internal Medicine, SGIM 2014 San Diego, CA, United States 2014-04-23 to 2014-04-26 Springer New York; ID: 2243</t>
  </si>
  <si>
    <t>Dorell,K.;Cohen,M. A.;Author,Addresses;Mount Sinai,School of;Aids Psychiatry, Mount Sinai,School of;Medicine,New York City N.Y.United States;Mount Sinai,Medical Center;Levy,Gustave L.;Correspondence,Address;MA Cohen, Mount Sinai Medical Center Box One Gustave,L.Levy Place;New York, N Y United States Email macohen nyc,rr com</t>
  </si>
  <si>
    <t>16238473; Preserving a sense of wonder: The integration of an ego-supportive psychodynamic approach to supervision in an AIDS psychiatry fellowship</t>
  </si>
  <si>
    <t>Journal of the American Academy of Psychoanalysis and Dynamic Psychiatry</t>
  </si>
  <si>
    <t>4 aminobutyric acid receptor;benzodiazepine (drug therapy);methadone (drug therapy);opiate;ego psychology;psychodynamics;acquired immune deficiency syndrome;addiction (drug therapy);adult;alcohol withdrawal syndrome;anamnesis;caregiver;case report;counter transference;drug dependence;drug withdrawal;empathy;epileptic state;harm reduction;hepatitis C;highly active antiretroviral therapy;human;Human immunodeficiency virus;integration;male;medical care;mental disease;mental health care;mental patient;patient care;psychiatric diagnosis;psychiatric treatment;psychiatry;psychotherapy;review;seizure;social support;stress;substance abuse;benzodiazepine (12794-10-4);methadone (1095-90-5, 125-56-4, 23142-53-2, 297-88-1, 76-99-3);opiate (53663-61-9, 8002-76-4, 8008-60-4);Psychiatry (32);Drug Literature Index (37)</t>
  </si>
  <si>
    <t>For multifactorial reasons, our program, which provides comprehensive care for over 2,000 persons with AIDS (of whom approximately 1,500 are also substance dependent), does not have trained substance abuse counselors or personnel on site to join us in our care. The addiction care of our patients remains highly marginalized, primarily in methadone maintenance programs that are run in assembly-line fashion and tend to be impersonal with a one-size-fits-all philosophy. All psychotropic medications are frowned on and must be justified. Benzodiazepines are not considered acceptable. And yet, although withdrawal from opioids is uncomfortable, it is never lethal, whereas withdrawal from benzodiazepines can have devastating and potentially lethal consequences with withdrawal seizures and status epilepticus similar to the withdrawal from alcohol, which involves the same gamma amino butyric acid (GABA) receptor sites. A comprehensive program of treatment needs to include drug treatment and benzodiazepine maintenance for those patients who cannot tolerate detoxification. Working on this complex clinical, political, and ethical problem with a sensitive and receptive supervisee catalyzed a new way of conceptualizing the problem, inspiring both to the supervisor and supervisee. We have presented a psychodynamic, ego-supportive approach to the supervision of the psychiatric care of a severely medically and mentally ill and addicted person with HIV infection. The traumas, deprivations, and losses of our patients in the face of severe illness may place demands on the trainee that make caring and empathy difficult. The nurturing process of ego-supportive supervision is helpful in preserving a sense of wonder and providing both competent care and empathy for patients with complex medical illness.</t>
  </si>
  <si>
    <t>(Dorell K.) (Cohen M.A., macohen@nyc.rr.com) Guilford Publications, 72 Spring Street, New York, United States.; ID: 3162</t>
  </si>
  <si>
    <t>1546-0371 1546-0371 (electronic)</t>
  </si>
  <si>
    <t>http://www.ncbi.nlm.nih.gov/pubmed/16238473</t>
  </si>
  <si>
    <t>Preserving a sense of wonder: The integration of an ego-supportive psychodynamic approach to supervision in an AIDS psychiatry fellowship</t>
  </si>
  <si>
    <t>Dormer,K.;Wells,J.;Hemrick,M.;Swanson,R.;Author,Addresses;Anatomical Sciences, Liberty University,College of;Osteopathic Medicine,Lynchburg,United States;Integrative,Physiology;Pharmacology,Liberty University;College of Osteopathic Medicine, Lynchburg,United States;Molecular;Cellular Sciences, Liberty University,College of;Osteopathic Medicine,Lynchburg,United States;Correspondence,Address;Dormer,Integrative Physiology,K.;Pharmacology,Liberty University;College of Osteopathic Medicine, Lynchburg,United States</t>
  </si>
  <si>
    <t>Developing character during medical education</t>
  </si>
  <si>
    <t>FASEB Journal</t>
  </si>
  <si>
    <t>28:1 SUPPL. 1.</t>
  </si>
  <si>
    <t>protein;medical education;addiction;attention;curriculum;diet;empathy;endometrium cell;female;female genital system;fitness;health;human;justice;marriage;menstruation;morality;neurophysiology;pathology;patient;patient care;patient education;physician;pornography;responsibility;self control;sexual intercourse;sperm;student;wellbeing</t>
  </si>
  <si>
    <t>Character (qualities that determine one's response to events regardless of circumstances) determines success and is important because of powerful influences physicians have on patients' health and well-being. Medical education should endorse good character, e.g. compassion, empathy, discernment, generosity, honor, justice, self-control, truthfulness and virtue. Important for patient care, we designed a curriculum to promote character in future physicians. Curricular examples: Neurophysiology: Pornography addiction can destroy marriages, families and culture. Its addiction is taught to encourage a physician's compassion and to facilitate physician-patient education of self-control and virtue. Cardiovascular: Prolonged stress, unresolved anger and CRH release with cardiovascular sequelae, lead to major health problems. Attentiveness and sensitivity are taught to recognize and treat stress preventatively, not only in disease. GI/Nutrition: Responsibility and self-control in diet, fitness, and wellness are promoted in students, as good examples for future patients. Anatomical Sciences: Unselfishness and self-control are important in a patient for healthy sexual relationships. Female reproductive tracts allow for pathology (sperm proteins accessing the bloodstream can drag endometrial cells into the Pouch of Douglas) if honor doesn't restrain intercourse during menstruation.</t>
  </si>
  <si>
    <t>(Wells J.; Swanson R.) (Dormer K.) (Hemrick M.) Experimental Biology 2014, EB San Diego, CA, United States 2014-04-26 to 2014-04-30 FASEB; ID: 2250</t>
  </si>
  <si>
    <t>1530-6860</t>
  </si>
  <si>
    <t>Douglas,J.;Drexler,K.;Author,Addresses;Department of Psychiatry, Emory University School,of Medicine;United,States;Medical,Atlanta Va;Correspondence,Address;Douglas, Department of Psychiatry Emory University School of Medicine,J.;United,States</t>
  </si>
  <si>
    <t>Pilot analysis of incorporating resume training into addiction treatment</t>
  </si>
  <si>
    <t>alcohol;addiction;psychiatry;control group;employment;human;male;multiple choice test;patient;rehabilitation;sample size;satisfaction;school;treatment outcome;vocation;volunteer;writing</t>
  </si>
  <si>
    <t>Background: Gaining employment is recognized as an important protective factor from relapsing on drugs and alcohol. However, few rehabilitation programs train patients in resume writing, a crucial initial step to securing employment. This pilot analysis examines the effects of incorporating resume training into addiction treatment groups. Methods: Seven male patients participating in an addiction treatment group through the Atlanta VA Medical Center received a two hour resume training presentation. Results from three standardized questions related to employment on the Brief Assessment Monitor (BAM), a national survey used by</t>
  </si>
  <si>
    <t>(Douglas J.) (Drexler K.) 22nd Annual Meeting and Symposium of the American Academy of Addiction Psychiatry, AAAP 2011 Scottsdale, AZ, United States 2011-12-08 to 2011-12-11 Wiley-Blackwell Publishing Ltd; ID: 2541</t>
  </si>
  <si>
    <t>10.1111/j.1521-0391.2012.00241.x FULL TEXT LINK http://dx.doi.org/10.1111/j.1521-0391.2012.00241.x</t>
  </si>
  <si>
    <t>Dove,W. R.;Author,Addresses;Boettcher Health Center, Colorado College,North Cascade;Avenue,Colorado Springs C. O. United States;Correspondence,Address;WR Dove, Boettcher Health Center Colorado College,North Cascade;Avenue,Colorado Springs C. O. United States</t>
  </si>
  <si>
    <t>Ethics training for the alcohol/drug abuse professional</t>
  </si>
  <si>
    <t>deontology;professional practice;psychotherapist;alcohol abuse;counseling;decision making;drug abuse;human;review;Psychiatry (32);Forensic Science Abstracts (49)</t>
  </si>
  <si>
    <t>The author reviews the underlying research associated with ethics training and complex problem solving. This background is applied to staff training in applied ethics for chemical dependency program staff members. Recommendations are made regarding both training and ongoing programmatic structure for chemical dependency programs in ethical decision making.</t>
  </si>
  <si>
    <t>(Dove W.R.); ID: 3548</t>
  </si>
  <si>
    <t>1995081371 PUI L25079969</t>
  </si>
  <si>
    <t>Dubin,R. E.;Hunter,J.;Jovey,R. D.;Andre,Belanger;Foley,J.;Forster,I.;Fraser,J.;Hajela,R.;Hatcher,L.;Jacobs,H.;Kim,J.;Montbriand,M.;Montgomery,L.;Opdahl,M.;Plach,N.;Rahaman,O.;Squire,P.;Szott,M.;Ware,M.;Weinberg,E.;Wu,H.;Author,Addresses;Kingston Family Health Team, Queen's,University Kingston;Canada;Department of Physical Therapy, University of,Alberta Edmonton;Canada;University of Toronto, U of A Certificate in,Pain Management;Course,Toronto Canada;Cpm Centres for,Pain Management;Disorders,Credit Valley Hospital Mississauga Canada;Correspondence,Address;RE Dubin, Kingston Family Health Team Queen's,University Kingston;Canada</t>
  </si>
  <si>
    <t>Cross-Canada check-up 2010: A survey of family medicine residency training in chronic non cancer pain (CNCP) and addiction</t>
  </si>
  <si>
    <t>opiate;addiction;Canada;cancer pain;family medicine;pain;residency education;society;chronic pain;competence;education;emergency;exposure;general practitioner;health care personnel;human;medical school;palliative therapy;patient;prescription;school;self care;substance abuse;teaching</t>
  </si>
  <si>
    <t>AIM: Family physicians manage the majority of patients with CNCP (1). This exploratory descriptive study aimed to survey the designated time for formal teaching about CNCP including addiction, for Canadian family medicine residents (FMR). METHODS: Family medicine programme directors from Canadian medical schools (n=16) were asked to state the objectives and number of hours devoted to chronic pain, acute pain, palliative care, and addiction. RESULTS: Response rate was 81.3% (13/16 schools, 17 sites)(Î“ÃªÃ¹). All mandate 1 month of palliative care. Eleven provide acute pain training. CNCP teaching averaged 3.44 hours (range 0-8). Ten offered CNCP electives but most reported that &lt; 5% of residents participated. Exceptions were McMaster (40%), Calgary (33%), Northern School of Medicine (50-100%) and Regina (20%). Fourteen sites reported addiction training ranging from Î“Ã‡Â£included in other talksÎ“Ã‡Â¥ to 18 hours in Calgary. Pain education objectives were mostly brief and general (e.g. Î“Ã‡Â£become comfortable and competent in pain managementÎ“Ã‡Â¥) except Calgary and Dalhousie who supplied specific training goals. Interprofessional exposure was available at 7/17 sites with 4.1 (range 1-7) other healthcare providers represented. CCFP lists 99 conditions for FMR competence, with minimal focus on chronic pain or multi-modal strategies. Î“Ã‡Â£PainÎ“Ã‡Â¥ competency summaries (headache/chest/back/abdomen/joint) stressed ruling out emergencies. Î“Ã‡Â£Substance AbuseÎ“Ã‡Â¥ lacked content on prescription opioid addiction. CONCLUSIONS: Effective pain management requires adequate training. Most CNCP teaching to Canadian FMRs is elective and varies in content. Acknowledging the NOUGG guidelines (2), we suggest that adequate FMR training requires medical, functional/rehabilitation, self-management and bio-psycho-social-spiritual aspects of chronic pain and addiction.</t>
  </si>
  <si>
    <t>(Andre Belanger; Foley J.; Forster I.; Fraser J.; Hajela R.; Hatcher L.; Jacobs H.; Kim J.; Montbriand M.; Montgomery L.; Opdahl M.; Plach N.; Rahaman O.; Squire P.; Szott M.; Ware M.; Weinberg E.; Wu H.) (Dubin R.E.) (Hunter J.) (Jovey R.D.) 2011 Annual Conference of the Canadian Pain Society Niagara Falls, ON, Canada 2011-04-13 to 2011-04-16 Pulsus Group Inc.; ID: 2710</t>
  </si>
  <si>
    <t>Dubois,O.;Hergueta,T.;Diallo,A.;Salamon,R.;Vaugeois,C.;de Maricourt,P.;Galinowski,A.;Author,Addresses;Thermes,de Saujon;Chalets,Saujon France;Correspondence,Address;Dubois, Thermes de Saujon Parc des Chalets Saujon France,O.</t>
  </si>
  <si>
    <t>Psycho-educative protocol in spa treatment for introduction and feasibility in withdrawal from benzodiapezines ORIGINAL (NON-ENGLISH) TITLE Protocole psychoâ”œâŒducatif en cure thermale pour sevrage de benzodiazâ”œâŒpines: Mise en place, faisabilitâ”œâŒ</t>
  </si>
  <si>
    <t>(MAJOR FOCUS);benzodiazepine derivative;benzodiazepine dependence (therapy);psychoeducation;spa treatment;withdrawal syndrome (therapy);adult;article;cognitive therapy;controlled study;feasibility study;follow up;France;generalized anxiety disorder (therapy);health program;human;longitudinal study;major clinical study;middle aged;motivation;outcome assessment;psychologist;psychosocial care;public health;relaxation training;training;treatment duration;treatment outcome;Public Health, Social Medicine and Epidemiology (17);Psychiatry (32);Drug Dependence, Alcohol Abuse and Alcoholism (40)</t>
  </si>
  <si>
    <t>Objective: The consumption of benzodiazepines in France has become a public health issue, which has been the subject of many a national report over these last years (HAS, INPES, OPEPS, ANSM...). Since the 1990s, numerous works have pointed out the excessively high level of consumption in psychotropic medication. In 2009, France came second as a European country after Portugal in anxiolytic consumption, and second after Sweden in consumption of hypnotics. Every year, 1French person out of 5consumes at least one benzodiazepines or one related molecule. This consumption of anxiolytics is in majority feminine and increases with age. It is also known that the introduction of a treatment by benzodiazepines leads to an average of 7-month continual consumption and for 52% of those patients an average exposure for a further 2consecutive years. The HAS Autumn2007report reminds people that benzodiazepines intake endangers the risks of falls (gradeB), cognitive alteration (gradeC) and accidents on the public highway (gradeC), whereas when stopping progressively and supervising use of benzodiazepines, it may improve certain cognitive functions. Facing up to this problem, there are very few efficient therapeutic strategies for withdrawal or maintenance in stopping the medicinal consumption. Materials and methods: In recent studies, balneotherapy has shown its efficacy in treating generalised anxiety disorder. Furthermore, psycho-educative programmes have proved to be efficient in addiction studies to prevent relapse. In this way, the project associating a psycho-educative programme of cognitive and behavioural type with a 3-week spa treatment, validated by experts appeared to be credible. The programme was constituted and set up in 4out of 5of the French psychiatric spa resorts. The programme consisted in associating behavioural and cognitive-based therapy, motivational support and relaxation sessions. A psychologist clinician specializing in behavioural and cognitive therapy trained each team. Seventy patients with an average age of 54years and 9months took part in the protocol. They were divided up into 9groups of 6to 12patients over the 4centres. The aim of the study consisted in ensuring a lasting withdrawal from benzodiazepines. At the outcome of the treatment, a longitudinal follow-up was carried out on Day5, day30, day60, day100, day180. The methodological assessment of this study was implemented by the ISPED of BordeauxII. Results: The results are still being analysed, but it can already be concluded that the feasibility of setting up such a programme in a spa resort has been shown from the very encouraging incoming results in terms of the objective of withdrawal in 6months of benzodiazepines. Conclusions: Thermal medicine, which may be associated with an undertaking in behavioural and cognitive therapy can well be a therapeutic solution adapted to the taking-in of those with stable chronic dependency to benzodiazepines in particular. This study is the first clinical trial assessing the efficacy of balneotherapy associated with a psycho-educative treatment in withdrawal from benzodiazepines.</t>
  </si>
  <si>
    <t>(Dubois O., thermes.odubois@wanadoo.fr; Hergueta T.; Diallo A.; Salamon R.; Vaugeois C.; de Maricourt P.; Galinowski A.) Elsevier Masson SAS, 62 rue Camille Desmoulins, Issy les Moulineaux Cedex, France. infos@masson.fr; ID: 2177</t>
  </si>
  <si>
    <t>1769-6631 (electronic) 0003-4487</t>
  </si>
  <si>
    <t>2015155625 PUI L604982129</t>
  </si>
  <si>
    <t>10.1016/j.amp.2015.05.001 FULL TEXT LINK http://dx.doi.org/10.1016/j.amp.2015.05.001</t>
  </si>
  <si>
    <t>Dugosh,K. L.;Festinger,D.;Author,Addresses;Section on,Law;Ethics,Treatment Research;Institute,Philadelphia United States;Correspondence,Address;KL Dugosh,Section,on Law;Ethics,Treatment Research Institute;Philadelphia,United States</t>
  </si>
  <si>
    <t>Identifying and addressing unmet medical needs: A call to broaden the scope of drug courts</t>
  </si>
  <si>
    <t>e60</t>
  </si>
  <si>
    <t>college;drug dependence;crime;diabetes mellitus;diseases;drug use;employment;epilepsy;follow up;health;health care;health insurance;housing;human;hypertension;interview;lifestyle;medical care;offender;physician;prevalence;substance use;therapy</t>
  </si>
  <si>
    <t>Aims: Drug courts are an effective approach to reducing drug use and crime. They offer substance abusing offenders the opportunity to avoid sentencing by engaging in court-supervised treatment. Although they address life issues like employment and housing, they do not generally address healthcare issues or provide linkages to medical care. This may represent a lost opportunity as these individuals may be susceptible to a host of illnesses due to their chronic substance use and maladaptive lifestyles. This study examines the prevalence of health-related issues in a drug court sample. Methods: A total of 185 felony drug court clients completed an interview about their current health-related issues (e.g., health insurance status, last medical visit, chronic health conditions, treatment status) at entry into the program and 15-months post-entry. At the follow-up, clients were asked whether anyone from the drug court team talked to them about their chronic conditions or provided them with a referral to medical treatment. Results: Significantly more clients had health insurance at follow-up than at baseline (74% vs. 59%, X2(1) = 11.83, p &lt; .001). At follow-up, 89% reported having visited a doctor and 74% having received a physical exam since they entered the program. Overall, 50% had at least one chronic medical condition with chronic respiratory problems (25%), high blood pressure (16%), diabetes (5%), and epilepsy (5%) reported most frequently. Among those with chronic conditions, 40% had conditions for which they were not receiving treatment. Members of the drug court team talked to 13% of these clients about their untreated conditions and 5% received a referral to medical treatment for them. Conclusions: Findings suggest that drug courts should begin to widen their focus to address health-related issues. Individuals in this sample reported many chronic conditions that were going untreated and for which they did not receive a medical referral. These untreated medical issues may serve as a roadblock in clients' path to recovery.</t>
  </si>
  <si>
    <t>(Dugosh K.L.; Festinger D.) 2015 Annual Meeting of the College on Problems of Drug Dependence, CPDD 2015 Phoenix, AZ, United States 2015-06-13 to 2015-06-18 Elsevier Ireland Ltd; ID: 2053</t>
  </si>
  <si>
    <t>10.1016/j.drugalcdep.2015.07.1082 FULL TEXT LINK http://dx.doi.org/10.1016/j.drugalcdep.2015.07.1082</t>
  </si>
  <si>
    <t>Duhigg,D.;Author,Addresses;Department of Psychiatry, Echo Institute University,of New;Mexico,Albuquerque United States;Correspondence,Address;Duhigg, Department of Psychiatry Echo Institute University of New,D.;Mexico,Albuquerque United States</t>
  </si>
  <si>
    <t>When worlds collide: Co-stewardship of chronic pain, addiction, and mental health using the ECHO model</t>
  </si>
  <si>
    <t>May-June</t>
  </si>
  <si>
    <t>e45</t>
  </si>
  <si>
    <t>alcohol;buprenorphine plus naloxone;opiate;addiction;chronic pain;mental health;model;pain;society;certification;community;death;education;evidence based practice;feedback system;general practitioner;harm reduction;health center;human;medical specialist;medically underserved;mortality;motivational interviewing;patient;primary medical care;social determinants of health;substance use;teacher;telehealth;United States</t>
  </si>
  <si>
    <t>Project ECHO's Chronic Pain/Headache and Integrated Addictions/Psychiatry tele-health clinics are a forum for primary care providers (PCPs) to present challenging cases to an inter-professional network of specialists. PCPs receive real-time feedback and recommendations on complex patients with unmet needs due to psychiatric, substance use, chronic pain, and/or disadvantageous social determinants of health. ECHO is a forum for the most difficult cases to be managed by the primary care provider with input from expert mentors in a supportive, accessible community of practice. Project ECHO also provides training and certification for Suboxone use, as well as PCP education in evidence-based treatments for chronic pain, addiction and mental health issues including rational prescribing, non-pharmacological approaches, motivational interviewing, and harm reduction. New Mexico has one of the highest rates of accidental opioid deaths in the United States, and the highest rate of alcohol-related mortality. It is largely rural and mostly medically underserved, with severely limited access to mental health, chronic pain and addiction services. Project ECHO eliminates the geographic divide by connecting primary care providers with specialists in order to deliver evidence-based care to patients where they live. The ECHO approach can mean that PCPs embrace these complex patients with confidence, and maintain the crucial supportive patient-primary care physician relationship.</t>
  </si>
  <si>
    <t>(Duhigg D.) 35th Annual Scientific Meeting of the Canadian Pain Society Quebec City, QC, Canada 2014-05-20 to 2014-05-23 Pulsus Group Inc.; ID: 2233</t>
  </si>
  <si>
    <t>Dwyer,K. H.;Walley,A. Y.;Sorensen-Alawad,A.;Langlois,B. K.;Mitchell,P. M.;Lin,S. C.;Cromwell,J. H.;Strobel,S. D.;Bernstein,E.;Author,Addresses;Boston Medical,Center;Boston,United States;Correspondence,Address;KH Dwyer, Boston Medical Center Boston,United States</t>
  </si>
  <si>
    <t>Opioid education and nasal naloxone rescue kit distribution in the emergency department</t>
  </si>
  <si>
    <t>S123</t>
  </si>
  <si>
    <t>(MAJOR FOCUS);naloxone;opiate;college;education;emergency physician;emergency ward;human;abstinence;abuse;African American;breathing;cohort analysis;detoxification;emergency health service;epidemic;female;follow up;Hispanic;hospital billing;intoxication;patient;pilot study;prevention;risk;scientist;statistics</t>
  </si>
  <si>
    <t>Study Objectives: Emergency departments (ED) offer a unique opportunity to address the national opioid overdose epidemic. We describe the first ever</t>
  </si>
  <si>
    <t>(Dwyer K.H.; Walley A.Y.; Sorensen-Alawad A.; Langlois B.K.; Mitchell P.M.; Lin S.C.; Cromwell J.H.; Strobel S.D.; Bernstein E.) American College of Emergency Physicians, ACEP Research Forum 2013 Seattle, WA, United States 2013-10-14 to 2013-10-15 Mosby Inc.; ID: 2351</t>
  </si>
  <si>
    <t>10.1016/j.annemergmed.2013.07.171 FULL TEXT LINK http://dx.doi.org/10.1016/j.annemergmed.2013.07.171</t>
  </si>
  <si>
    <t>Eagles,J. M.;Calder,S. A.;Nicoll,K. S.;Sclare,P. D.;Author,Addresses;Royal Cornhill Hospital, Aberdeen,United Kingdom;Royal,Cornhill;Hospital,Cornhill Road Aberdeen A.B.Z.H.United Kingdom;Correspondence,Address;JM Eagles, Royal Cornhill Hospital Cornhill Road,Aberdeen A.;United Kingdom Email, john eagles gpct grampian scot,nhs uk</t>
  </si>
  <si>
    <t>11299160; Using simulated patients in education about alcohol misuse</t>
  </si>
  <si>
    <t>alcoholism;medical education;alcohol abuse;alcohol consumption;attitude;clinical education;doctor patient relation;education program;human;medical student;priority journal;short survey;simulation;Public Health, Social Medicine and Epidemiology (17);Drug Dependence, Alcohol Abuse and Alcoholism (40)</t>
  </si>
  <si>
    <t>It is important to educate medical students about alcohol misuse, but this process is hampered by negative attitudes and the unavailability of typical patients. However, simulated patients can describe full longitudinal histories in a characteristically defensive style and can provide direct feedback to student interviewers.</t>
  </si>
  <si>
    <t>(Eagles J.M., john.eagles@gpct.grampian.scot.nhs.uk; Calder S.A.; Nicoll K.S.; Sclare P.D.) (Eagles J.M., john.eagles@gpct.grampian.scot.nhs.uk) Association of American Medical Colleges; ID: 3368</t>
  </si>
  <si>
    <t>http://www.ncbi.nlm.nih.gov/pubmed/11299160</t>
  </si>
  <si>
    <t>Using simulated patients in education about alcohol misuse</t>
  </si>
  <si>
    <t>Eberl,S.;Polderman,J. A. W.;Preckel,B.;Kalkman,C. J.;Fockens,P.;Hollmann,M. W.;Author,Addresses;Department of Anesthesiology, Academic Medical Centre,University of;Amsterdam,Amsterdam Netherlands;Division,of Anesthesiology;Emergency;Medicine,University Medical Centre University of Utrecht Utrecht;Netherlands;Department of,Gastroenterology;Hepatology,Academic Medical;Centre,University of Amsterdam Amsterdam Netherlands;Correspondence,Address;Eberl, Department of Anesthesiology Academic Medical Centre University,S.;of Amsterdam, Amsterdam Netherlands Email S Eberl amc,uva nl</t>
  </si>
  <si>
    <t>24973875; Is "really conscious" sedation with solely an opioid an alternative to every day used sedation regimes for colonoscopies in a teaching hospital? Midazolam/fentanyl, propofol/alfentanil, or alfentanil only for colonoscopy: A randomized trial</t>
  </si>
  <si>
    <t>Techniques in Coloproctology</t>
  </si>
  <si>
    <t>(MAJOR FOCUS);alfentanil (adverse drug reaction, clinical trial, drug combination, drug;comparison, intravenous drug administration);fentanyl (adverse drug reaction, clinical trial, drug combination, drug;comparison);midazolam (adverse drug reaction, clinical trial, drug combination, drug;propofol (adverse drug reaction, clinical trial, drug combination, drug;colonoscopy;conscious sedation;abdominal discomfort (side effect);adult;aged;article;controlled study;drowsiness (side effect);drug efficacy;drug safety;drug utilization;endoscopist;female;gastroenterologist;hospital discharge;human;interpersonal communication;major clinical study;male;middle aged;nausea (side effect);nurse;patient satisfaction;physician attitude;randomized controlled trial;respiratory tract disease (side effect);somnolence (side effect);teaching hospital;DRUG TRADE NAMES;propofol lipuro , GermanyBraun;rapifen , BelgiumJanssen Cilag;DRUG MANUFACTURERS;(Belgium)Janssen Cilag;(Germany)Braun;(Iceland)Actavis;alfentanil (69049-06-5, 71195-58-9);fentanyl (437-38-7);midazolam (59467-70-8);propofol (2078-54-8);Public Health, Social Medicine and Epidemiology (17);Anesthesiology (24);Drug Literature Index (37);Adverse Reactions Titles (38);Gastroenterology (48);CLINICAL TRIAL NUMBERS;ISRCTN (ISRCTN83950185);EudraCT (2010-020502-15)</t>
  </si>
  <si>
    <t>Background: We investigated the satisfaction of patients and endoscopists and concurrently safety aspects of an "alfentanil only" and two clinically routinely used sedation regimes in patients undergoing colonoscopy in a teaching hospital. Methods: One hundred and eighty patients were prospectively randomized in three groups: M (midazolam/fentanyl), A (alfentanil), and P (propofol/alfentanil); M and A were administered by an endoscopy nurse, P by an anesthesia nurse. Interventions, heart rate, saturation, electrocardiogram, noninvasive blood pressure, and expiratory CO2 were monitored using video assistance. After endoscopy, patients and gastroenterologists completed questionnaires about satisfaction. Results: A high level of satisfaction was found in all groups, with patients in group P being more satisfied with their sedation experience (median 1.75, p &lt; 0.001). Gastroenterologist satisfaction varied not significantly between the three alternatives. Patients in group A felt less drowsy, could communicate more rapidly than patients in both other groups, and met discharge criteria immediately after the end of the procedure. Respiratory events associated with sedation were observed in 43 % patients in group M, 47 % in group P, but only 13 % in group A (p &lt; 0.001). Conclusions: These results suggest that alfentanil could be an alternative for sedation in colonoscopy even in the setting of a teaching hospital. It results in satisfied patients easily taking up information, and recovering rapidly. Although one might expect to observe more respiratory depression with an "opioid only" sedation technique without involvement of anesthesia partners, respiratory events were less frequent than when other methods were used. â”¬âŒ 2014 Springer-Verlag Srl.</t>
  </si>
  <si>
    <t>(Eberl S., S.Eberl@amc.uva.nl; Polderman J.A.W.; Preckel B.; Hollmann M.W.) (Kalkman C.J.) (Fockens P.) Springer-Verlag Italia s.r.l., springer@springer.it; ID: 2294</t>
  </si>
  <si>
    <t>1128-045X (electronic) 1123-6337</t>
  </si>
  <si>
    <t>http://www.ncbi.nlm.nih.gov/pubmed/24973875</t>
  </si>
  <si>
    <t>10.1007/s10151-014-1188-y FULL TEXT LINK http://dx.doi.org/10.1007/s10151-014-1188-y</t>
  </si>
  <si>
    <t>Is "really conscious" sedation with solely an opioid an alternative to every day used sedation regimes for colonoscopies in a teaching hospital? Midazolam/fentanyl, propofol/alfentanil, or alfentanil only for colonoscopy: A randomized trial</t>
  </si>
  <si>
    <t>Ebrahim,S.;Author,Addresses;Correspondence,Address;Ebrahim, Email Shah ebrahim lshtm ac uk,S.</t>
  </si>
  <si>
    <t>Alcohol, harry keen, retirement and cuban epidemiology</t>
  </si>
  <si>
    <t>International journal of epidemiology</t>
  </si>
  <si>
    <t>Int.J.Epidemiol.</t>
  </si>
  <si>
    <t>(MAJOR FOCUS);alcohol;alkaline phosphatase (endogenous compound);gamma glutamyltransferase (endogenous compound);glucose (endogenous compound);human albumin (endogenous compound);insulin (endogenous compound);alcohol consumption;epidemiology;medical education;retirement;autism;awards and prizes;cardiovascular disease;cardiovascular risk;diabetes mellitus;editorial;glaucoma;glucose blood level;glucose tolerance;glucose tolerance test;health care system;heart infarction;human;hypertension;insulin blood level;intellectual impairment;liver function test;microalbuminuria;mortality;observational study;pathophysiology;priority journal;risk factor;systematic review (topic);systolic blood pressure;urinary excretion;alcohol (64-17-5);alkaline phosphatase (9001-78-9);gamma glutamyltransferase (85876-02-4);glucose (50-99-7, 84778-64-3);insulin (9004-10-8);Public Health, Social Medicine and Epidemiology (17);Cardiovascular Diseases and Cardiovascular Surgery (18);Clinical and Experimental Biochemistry (29);Health Policy, Economics and Management (36)</t>
  </si>
  <si>
    <t>(Ebrahim S., Shah.ebrahim@lshtm.ac.uk) Oxford University Press, Great Clarendon Street, Oxford, United Kingdom.; ID: 2262</t>
  </si>
  <si>
    <t>0300-5771 1464-3685 (electronic)</t>
  </si>
  <si>
    <t>2014154780 PUI L372505695</t>
  </si>
  <si>
    <t>10.1093/ije/dyt283 FULL TEXT LINK http://dx.doi.org/10.1093/ije/dyt283</t>
  </si>
  <si>
    <t>Eckert,P. P.;Finkelman,M.;Rosenberg,M.;Author,Addresses;Tufts University, School of Dental Medicine,United States;Correspondence,Address;PP Eckert, Tufts University School of Dental Medicine,United States</t>
  </si>
  <si>
    <t>The prevalence of substance abuse among oral and maxillofacial surgery residents</t>
  </si>
  <si>
    <t>Journal of Oral and Maxillofacial Surgery</t>
  </si>
  <si>
    <t>e41</t>
  </si>
  <si>
    <t>alcohol;narcotic agent;maxillofacial surgery;prevalence;resident;substance abuse;accreditation;adult;anesthesia;career;early diagnosis;education program;female;head;human;incidence;male;oral surgery;prospective study;questionnaire;recall;rehabilitation;United States;urinalysis;validity;alcohol (64-17-5)</t>
  </si>
  <si>
    <t>Purpose: To assess the prevalence of substance abuse in oral and maxillofacial surgery (OMS) training programs in the United States (US) over a 10-year period to compare rates of abuse to earlier studies. Substance abuse is a major concern in many medical training programs such as anesthesiology, surgery, and emergency medicine; however, despite similar risks, the horror of substance abuse is less discussed and documented in OMS residencies. In the US, anesthesia residencies have reported rates of resident abuse of 2.2% and 1.6% based on random urinalysis and chairperson survey, similar to this study.1,2 This study also aimed to determine which substances are most abused in OMS residencies. Knowledge of the most abused substances will lead to early identification of impaired residents by program heads, a crucial element in quick intervention and effective rehabilitation. Materials and Methods: A prospective study was conducted by sending an online questionnaire to the program directors and chairpersons of the 101 OMS graduate training programs accredited by the Commission on Dental Accreditation (CODA). This content and validity tested survey asked respondents to recall substance abuse cases over the last ten years, 2006 - 2015, at their programs. Additional questions asked opinions on substance abuse incidence; education on abuse; and the impact abuse may have on an OMS's successful career. Results: Of 101 US CODA Accredited Advanced Education Programs in OMS contacted, 46 (45.5%) of the OMS training programs responded. Sixteen of the responding 46 programs (34.8%) reported at least one suspected or encountered incident of substance abuse, with 19 total cases of reported abuse. Among the respondents noting abuse, the most abused substances were alcohol and narcotics, with at least nine (47.4%) and six (31.6%) incidents of abuse, respectively. Substance abuse education was taught at 27 (58.7%) of the respondents' programs. The overall prevalence of substance abuse over the decade studied was estimated to be 1.2%. Conclusion: As in other medical specialty residencies, substance abuse is a concern in OMS. The prevalence of programs reporting abuse has decreased since Rosenberg's initial study in 1986, but the estimated percentage of the resident abuse rate has gone unchanged.3 It is imperative for faculty to be aware of the possibility of abuse among their residents and provide education, wellness programs, and appropriate early diagnosis and treatment of suspected or confirmed substance abusers to protect them and their patients.</t>
  </si>
  <si>
    <t>(Eckert P.P.) (Finkelman M.; Rosenberg M.) 98th Annual Meeting and Exhibition of the American Association of Oral and Maxillofacial Surgeons, AAOMS 2016 Las Vegas, NV, United States 2016-09-22 to 2016-09-23 Elsevier Ltd; ID: 1910</t>
  </si>
  <si>
    <t>Efimova,L.;Nikiforova,E.;Kozhevnikov,P.;Author,Addresses;Vitalaser GmbH,Hannover;Germany;Correspondence,Address;Efimova, Vitalaser GmbH Hannover Germany,L.</t>
  </si>
  <si>
    <t>New generation red and infrared therapeutic lasers in antiage treatments of face and neck</t>
  </si>
  <si>
    <t>Photodiagnosis and Photodynamic Therapy</t>
  </si>
  <si>
    <t>9 SUPPL. 1</t>
  </si>
  <si>
    <t>S19</t>
  </si>
  <si>
    <t>cosmetic;hyaluronic acid;infrared radiation;laser;neck;acupuncture;alcoholism;alternative medicine;blood pressure;chin;clinical trial (topic);contracture;dermatologist;dermis;diode;edema;esthetic surgery;eye;face;face muscle;Germany;gravity;hospital;human;hunger;hypertrophic scar;keloid;lipid storage;lipolysis;low level laser therapy;lymphatic drainage;lymphatic system;migraine;pain;patient;prevention;rehabilitation;rejuvenation;risk;Russian Federation;safety;satisfaction;side effect;skin;skin turgor;subcutaneous tissue;technology;therapy;tobacco;wrinkle</t>
  </si>
  <si>
    <t>Introduction: Modern aesthetic medicine requires comprehensive technologies to treat face and neck age-related changes. Therapeutic laser systems of new generation are based on group of high power laser diodes sources and are able to provide as high fluence as 300 mW/cm(2) which enable successfully treat a wide range of cosmetic problems with immediate visible results stored for a long period. The highest level of safety of so-called Î“Ã‡Â£cold lasersÎ“Ã‡Â¥ in combination with outstanding clinical results caused fast integration of modern laser therapy in aesthetic medicine. Few clinical trials performed in Russia with infrared and red therapeutic lasers confirmed multilevel effects on face and neck structures - dermis, hypodermis, lymphatic system and face muscles. Methods and Results: Following effects of laser anti-age therapy got clinical confirmation with high level of patient' s satisfaction and no side effects observed: Laser lipolysis (650 nm, 35 mW/cm(2), 5 min per spot, 23 patients): reduction of fat deposits under the chin and in lower face which change the natural face form and cause excessive gravity effect on the skin Laser lymphatic drainage (785 nm, 85-280 mW/cm(2), dynamic treatment, 19 patients): long term elimination of oedemas, reduction of eye bags and dark circles under eyes, efficient rehabilitation after cosmetic surgery with pain syndrome reduction and prevention of hypertrophic scars and keloids. Laserophoresis of hyaluronic acid based products with long lasting effects of deep skin moisturizing fine wrinkles removal.and skin turgor improvement (85 mW/cm(2), dynamic mode, 41 patients) Laser facelift (280 mW/sq. cm, dynamic mode, 17 patients): improvement of face and neckmuscles tone with no risk of contracture and overstimulation Laser acupuncture: laser reflexotherapy prolongs the effect of noninvasive face rejuvenation and provides a wide range of efficient treatments - blood pressure and migraine pain reduction, blocks tobacco and alcohol addiction and reduce hunger during he dietic courses (280 mW/cm(2), 1 min per point, 22 patients). Conclusion: High power of multidiode laser sources make treatment faster and more efficient comparing to traditional cold lasers. The report provides a review of clinical trials performed in Russia by National Alliance of Dermatologists and Cosmetologists (Moscow) and Medical Clinic Î“Ã‡Â£EsteticClubÎ“Ã‡Â¥ (St. Petersburg) with double frequency laser system Vitalaser Plus, Germany.</t>
  </si>
  <si>
    <t>(Efimova L.; Nikiforova E.; Kozhevnikov P.) Laser Helsinki 2012 International Congress Helsinki, Finland 2012-08-24 to 2012-08-29 Elsevier; ID: 2532</t>
  </si>
  <si>
    <t>1572-1000</t>
  </si>
  <si>
    <t>Egidi,G.;Author,Addresses;Fa Allgemeinmedizin,Huchtinger,Heerstr Bremen;Correspondence,Address;Allgemeinmedizin Huchtinger Heerstr Bremen,G.Egidi, F.A.</t>
  </si>
  <si>
    <t>Introduction to www.alkohol-leitlinie.de - Evaluation of a computer-based training on alcohol-related disorders for general practitioners and practice nurses ORIGINAL (NON-ENGLISH) TITLE Einfâ”œâ•hrung in www.alkohol-leitlinie.de - Evaluation einer computergestâ”œâ•tzten fortbildung fâ”œâ•r hausâ”œÃ±rzte und arzthelferinnen zur diagnostik und behandlung alkoholbezogener stâ”œâ•¢rungen"</t>
  </si>
  <si>
    <t>Zeitschrift fur Allgemeinmedizin</t>
  </si>
  <si>
    <t>Z.Allgemeinmed.</t>
  </si>
  <si>
    <t>alcoholism;evaluation study;general practitioner;letter;nurse practitioner;software;Public Health, Social Medicine and Epidemiology (17)</t>
  </si>
  <si>
    <t>(Egidi G.) Georg Thieme Verlag, Rudigerstrasse 14, Stuttgart, Germany.; ID: 2987</t>
  </si>
  <si>
    <t>0937-6801</t>
  </si>
  <si>
    <t>2008305146 PUI L351878395</t>
  </si>
  <si>
    <t>Introduction to www.alkohol-leitlinie.de - Evaluation of a computer-based training on alcohol-related disorders for general practitioners and practice nurses ORIGINAL (NON-ENGLISH) TITLE Einfâ”œâ•hrung in www.alkohol-leitlinie.de - Evaluation e(TRUNCATED)</t>
  </si>
  <si>
    <t>Egloff,H. M.;West,C. P.;Wang,A. T.;Lowe,K. M.;Varayil,J. E.;Beckman,T. J.;Sawatsky,A. P.;Author,Addresses;Harbor-Ucla Medical Center, Torrance,United States;Mayo Clinic,Rochester,United States;Correspondence,Address;HM Egloff, Mayo Clinic Rochester,United States</t>
  </si>
  <si>
    <t>Publication rates following presentation at the 2009 national SGIM conference</t>
  </si>
  <si>
    <t>S376</t>
  </si>
  <si>
    <t>S377</t>
  </si>
  <si>
    <t>internal medicine;society;abuse;cancer research;community;data base;general practice;human;internist;journal impact factor;medical education;medical literature;model;multicenter study (topic);multivariate logistic regression analysis;observational study;publication;publishing;randomized controlled trial (topic);sample size;statistical significance;study design;United States;vignette</t>
  </si>
  <si>
    <t>BACKGROUND: Current publication rates of medical literature suggest many abstracts initially accepted at national meetings are never subsequently published. Publication rates have been previously investigated in medical and surgical subspecialties, with reported rates ranging from 32 to 77 %. The factors influencing publication, as well as the attributes of studies which are subsequently published, remain unclear. To date, there have only been 2 studies examining publication rates for abstracts from general medicine conferences, both of which were studies outside of the U.S. The primary aim of this study was to determine subsequent publication rates of abstracts accepted at a general internal medicine national conference. The secondary aim was to identify factors associated with publication. METHODS: We reviewed all abstracts accepted to the 2009 SGIM national conference, excluding clinical vignettes. We determined subsequent full publication by searching title and author in the MEDLINE database. Research was considered published if we identified a full-length manuscript using this search strategy. The title, methods, and results of the published article were compared to the original abstract to confirm corresponding publication. Data were extracted, including: title, authors, institution, research category, number of study sites, sample size, study design, statistical significance (CI and p value) in abstract and final publication, journal of publication, publication date, and journal impact factor. Multiple logistic regression was applied to evaluate multivariable models of factors associated with publication, with a significance threshold set at p &lt; 0.05. RESULTS: Five hundred seventy-eight abstracts were analyzed. Overall 274 (47.4 %) of abstracts were subsequently published as a full manuscript in a peer-reviewed journal. In multivariable analyses, publication rates were higher for multicenter studies than single institutions (52.4 vs. 40.4 %, OR 1.66, p = 0.04). Randomized controlled trials had higher publication rates than systematic reviews/meta-analyses or observational studies (66.7 vs. 50.0 vs. 45.9 %, p = 0.03). Abstract topics including Medical Education, Aging/Geriatrics, and Mental Health/Substance Abuse were most likely to be published (OR 5.05, 3.31, 4.16, respectively, p = 0.01). Systematic reviews/Meta-analyses were associated with a higher impact factor (8.2) compared to randomized controlled trials (3.9). The publication rates did not statistically differ between academic and community-based centers (48.4 vs. 25.0 %, p = 0.051). Positive result studies also did not portend higher publication rates than negative studies (OR 0.89, CI 0.6-1.31, p = 0.21). Cancer research was associated with the highest median impact factor among topics (IF = 19). The median impact factor of positive result abstracts versus negative results was not statistically different (3.3 vs. 2.8, p = 0.05). CONCLUSIONS: This study demonstrated that 47.4 % of abstracts presented at a general internal medicine national conference were subsequently published in a peer-reviewed journal, consistent with the median publication rates cited in a major Cochrane review (44.5 %). Publications across a wide array of topics speak to the diversity of publication among general internists. This study did not demonstrate publication bias in contrast to prior studies in subspecialty literature, which may be a reflection of the diversity of research represented at the conference.</t>
  </si>
  <si>
    <t>(Wang A.T.) (Egloff H.M.; West C.P.; Lowe K.M.; Varayil J.E.; Beckman T.J.; Sawatsky A.P.) 39th Annual Meeting of the Society of General Internal Medicine, SGIM 2016 Hollywood, FL, United States 2016-05-11 to 2016-05-14 Springer New York LLC; ID: 1964</t>
  </si>
  <si>
    <t>Ejiofor,S.;Woodhead,F.;Helm,E.;Author,Addresses;Correspondence,Address;Ejiofor,S.</t>
  </si>
  <si>
    <t>Analysis of cases from an interstitial lung disease (ILD) MDT in a teaching hospital in the West Midlands: Patients with smoking-related disease comprise 11% of cases and have a median age of 50 years</t>
  </si>
  <si>
    <t>European;human;interstitial lung disease;patient;smoking;society;teaching hospital;bronchiolitis;consensus;consultation;diagnosis;diseases;interstitial pneumonia;pathologist;policy;population;radiologist;rank sum test;secondary health care;teaching;thorax surgery;university hospital</t>
  </si>
  <si>
    <t>Introduction University Hospitals Coventry and Warwickshire is a large acute teaching NHS trust which serves a population of over 1 million. There has been an ILD MDT since 2006. In July 2010 a consultant with an interest in ILD was appointed. The MDT constitutes a thoracic surgeon, pathologist and radiologist with expressed interest in ILD. Aim To describe the spectrum of ILD presenting in secondary care. Method It is departmental policy to discuss all incident cases of ILD in the MDT. Diagnoses were made according to BTS guidelines, and by consensus. Numbers were compared by â•§Ã§(2), and ages by Mann-Whitney U-test. Results From September 2010 to July 2011, 89 suspected cases were discussed in the ILD MDT, 10 of whom proved not to have significant ILD. The diagnoses of the remaining 79 are given in table below. Definite IPF made up 15% of the cohort, with a median age of 77. Smoking related ILD - Respiratory Bronchiolitis associated ILD and Desquamative Interstitial Pneumonia - account for (11%) of cases. The median age of diagnosis is 27 years younger than those with IPF (p&lt;0.001). Conclusion Smoking related ILD makes a significant proportion of cases discussed at the ILD MDT. Patients are significantly younger than those with IPF. This may reflect an increasing awareness of the radiological and pathological appearance of these diseases. (Table Presented).</t>
  </si>
  <si>
    <t>(Ejiofor S.; Woodhead F.; Helm E.) European Respiratory Society Annual Congress 2012 Vienna, Austria 2012-09-01 to 2012-09-05 European Respiratory Society; ID: 2517</t>
  </si>
  <si>
    <t>Ekhtiari,H.;Rezapour,T.;Aupperle,R. L.;Paulus,M. P.;Author,Addresses;Laureate Institute for Brain Research, Tulsa,United States;Iranian,National;Center for Addiction Studies, Tehran University of Medical,Sciences Tehran;Iran;Translational Neuroscience Program, Institute,for Cognitive;Science Studies,Tehran Iran;School of Community Medicine, University of,Tulsa Tulsa;United,States;Correspondence,Address;Ekhtiari, School of Community Medicine University of Tulsa Tulsa,H.;United States Email, hekhtiari,laureateinstitute org</t>
  </si>
  <si>
    <t>Neuroscience-informed psychoeducation for addiction medicine: A neurocognitive perspective</t>
  </si>
  <si>
    <t>alcohol;benzodiazepine;nicotine;prescription drug;addiction (etiology, therapy);cognitive behavioral therapy;neuroscience;psychoeducation;abstinence;adolescent;adult;alcoholism (etiology, therapy);anxiety disorder (therapy);art;attention;awareness;behavior change;brain;child;clinical trial;clinical trial (topic);cognition;cognitive rehabilitation;controlled study;convalescence;coping behavior;depression (therapy);drinking behavior;drug craving;drug dependence (etiology, therapy);drug dependence treatment;drug overdose;family counseling;group therapy;healthy lifestyle;human;Internet;life;life skill training;mass medium;memory;motivation;obsessive compulsive disorder (therapy);outcomes research;posttraumatic stress disorder (therapy);self concept;skill;smoking;smoking cessation;substance abuse;suicidal ideation;symptom;tic (therapy);time;training;treatment outcome;alcohol (64-17-5);benzodiazepine (12794-10-4);nicotine (54-11-5);Psychiatry (32);Drug Dependence, Alcohol Abuse and Alcoholism (40);Neurology and Neurosurgery (8);CLINICAL TRIAL NUMBERS;ClinicalTrials.gov (NCT02413216)</t>
  </si>
  <si>
    <t>Psychoeducation (PE) is defined as an intervention with systematic, structured, and didactic knowledge transfer for an illness and its treatment, integrating emotional and motivational aspects to enable patients to cope with the illness and to improve its treatment adherence and efficacy. PE is considered an important component of treatment in both medical and psychiatric disorders, especially for mental health disorders associated with lack of insight, such as alcohol and substance use disorders (ASUDs). New advancements in neuroscience have shed light on how various aspects of ASUDs may relate to neural processes. However, the actual impact of neuroscience in the real-life clinical practice of addiction medicine is minimal. In this chapter, we provide a perspective on how PE in addiction medicine can be informed by neuroscience in two dimensions: content (knowledge we transfer in PE) and structure (methods we use to deliver PE). The content of conventional PE targets knowledge about etiology of illness, treatment process, adverse effects of prescribed medications, coping strategies, family education, and life skill training. Adding neuroscience evidence to the content of PE could be helpful in communicating not only the impact of drug use but also the beneficial impact of various treatments (i.e., on brain function), thus enhancing motivation for compliance and further destigmatizing their symptoms. PE can also be optimized in its Î“Ã‡Â£structureÎ“Ã‡Â¥ by implicitly and explicitly engaging different neurocognitive processes, including salience/attention, memory, and self-awareness. There are many interactions between these two dimensions, structure and content, in the delivery of neuroscience-informed psychoeducation (NIPE). We explore these interactions in the development of a cartoon-based NIPE to promote brain recovery during addiction treatment as a part of the brain awareness for addiction recovery initiative.</t>
  </si>
  <si>
    <t>(Ekhtiari H., hekhtiari@laureateinstitute.org; Aupperle R.L.; Paulus M.P.) (Ekhtiari H., hekhtiari@laureateinstitute.org; Rezapour T.) (Rezapour T.) (Aupperle R.L.) Elsevier B.V.; ID: 1879</t>
  </si>
  <si>
    <t>1875-7855 (electronic) 0079-6123</t>
  </si>
  <si>
    <t>20170711216 PUI L618691242</t>
  </si>
  <si>
    <t>10.1016/bs.pbr.2017.08.013 FULL TEXT LINK http://dx.doi.org/10.1016/bs.pbr.2017.08.013</t>
  </si>
  <si>
    <t>Elaghoury,A.;Author,Addresses;Abbassia,Mental Hospital;Correspondence,Address;Elaghoury, Abbassia Mental Hospital Egypt,A.</t>
  </si>
  <si>
    <t>The emerging therapeutic role of the non-invasive brain stimulation in the addiction medicine: Review of the ongoing studies</t>
  </si>
  <si>
    <t>Brain Stimulation</t>
  </si>
  <si>
    <t>alcohol;amphetamine;cannabis;nicotine;brain depth stimulation;craving;drug dependence;medicine;attention;clinical study;dorsolateral prefrontal cortex;exploratory research;human;insula;Medline;neuromodulation;reproducibility;superior frontal gyrus;transcranial direct current stimulation;transcranial magnetic stimulation;alcohol (64-17-5);amphetamine (1200-47-1, 139-10-6, 156-34-3, 2706-50-5, 300-62-9, 51-62-7,;60-13-9, 60-15-1);cannabis (8001-45-4, 8063-14-7);nicotine (54-11-5)</t>
  </si>
  <si>
    <t>Introduction: Substance use disorders (SUD) are common conditions which have a considerable impact on the public health. Since 2003, a number of studies have tested the efficacy of the non-invasive brain stimulation (NIBS) tools on addictive behaviors, mainly the cue-induced drug craving. For instance, the use of transcranial magnetic stimulation (TMS), and transcranial direct current stimulation (tDCS) have received an increased interest. Still, a major problem with the practice of the NIBS is the reproducibility of the results due to variable stimulation protocols. This review tries to tackle the question of the recommended stimulation protocol for patients of SUD. Methods: The methodology of the ongoing studies was reviewed from clinicaltrials.gov using the Keywords: neuromodulation, brain stimulation, substance use disorders, addiction. Likewise, a review of the methodology of the published similar studies was done from PubMed, and Google Scholar, using the same keywords. Results: The ongoing registered studies are variable in their stimulation sites along three areas: dorsolateral prefrontal cortex (right, left or bilateral), insula (bilateral), superior frontal gyrus (side not determined). Protocols of the TMS are variable, but mainly of high frequency. More variations are present in the tDCS protocols. Three large-scale studies (Enrollment n &gt; 200) are registered: two for the TMS, and one for the tDCS. As for the type of the SUD: nicotine, alcohol, cannabis and stimulants are under the current investigations. Discussion: The current results are different from the previously published methodologies regards three points: 1. More large-scale studies are emerging, in contrast to the previous small exploratory studies, 2. New stimulation sites are emerging (e.g., insula), and 3. Other types of the SUD are getting attention (e.g., cannabis, and amphetamine-type stimulants).</t>
  </si>
  <si>
    <t>(Elaghoury A.) 2nd International Brain Stimulation Conference Barcelona, Spain 2017-03-05 to 2017-03-08 Elsevier Inc.; ID: 1838</t>
  </si>
  <si>
    <t>1876-4754</t>
  </si>
  <si>
    <t>10.1016/j.brs.2017.01.333 FULL TEXT LINK http://dx.doi.org/10.1016/j.brs.2017.01.333</t>
  </si>
  <si>
    <t>El-Guebaly,N.;Author,Addresses;Correspondence,Address;El-Guebaly,N.</t>
  </si>
  <si>
    <t>Educational opportunities and a call for Synergy</t>
  </si>
  <si>
    <t>CJAM Canadian Journal of Addiction Medicine</t>
  </si>
  <si>
    <t>addiction;addiction medicine;behavioral medicine;medical education;article;curriculum development;human;professional competence;professional development;scope of practice;Public Health, Social Medicine and Epidemiology (17)</t>
  </si>
  <si>
    <t>(El-Guebaly N.) Canadian Society of Addiction Medicine, admin@csam.org; ID: 2271</t>
  </si>
  <si>
    <t>1923-1210</t>
  </si>
  <si>
    <t>2014843974 PUI L600232958</t>
  </si>
  <si>
    <t>El-Guebaly,N.;Author,Addresses;Psychiatry,University of Calgary Canada;Correspondence,Address;NA El-Guebaly, Psychiatry University of,Calgary Canada</t>
  </si>
  <si>
    <t>International addiction medicine: Educational and training efforts</t>
  </si>
  <si>
    <t>i13</t>
  </si>
  <si>
    <t>addiction;society;book;cardiac resynchronization therapy device;catalyst;curriculum;education;human;learning;medical school;patient;physician;postgraduate student;skill;standardization</t>
  </si>
  <si>
    <t>Promoting training in Addiction Medicine worldwide has resulted in a number of efforts, two of which will be the topic of this presentation. A. The international meeting on International Addiction Medicine Training (Nijmegen) has the following aims: - Sharing knowledge and experience in the field across various educational stages; - Sharing ideas about the undergraduate and postgraduate curricula concerning knowledge, skills and competencies; - Determine whether and where international standardization is possible. Highlights and recommendations will be reported. B. A parallel effort has been the drafting of an International Textbook. The Education and Training section has nine chapters. A number of conclusions emerge from this Section. The initiatives described are uniformly recent ones and are at various stages of development. Until recently, there was little international awareness of each other's national efforts and it is hoped that the Section will promote more international collaboration and support and may even be a catalyst for long distance learning. We still lack a clear picture of undergraduate education at various medical schools as in many countries each design its own. This is important because almost every medical doctor will be confronted with addicted patients. A well designed curriculum will presumably help to destigmatize addicted patients but will also bring to the fore that addiction medicine can be an interesting field for future doctors.</t>
  </si>
  <si>
    <t>(El-Guebaly N.A.) 16th International Society of Addiction Medicine Annual Meeting Yokohama, Japan 2014-10-02 to 2014-10-06 Oxford University Press; ID: 2202</t>
  </si>
  <si>
    <t>10.1093/alcalc/agu052.52 FULL TEXT LINK http://dx.doi.org/10.1093/alcalc/agu052.52</t>
  </si>
  <si>
    <t>Elkashef,A. M.;Author,Addresses;Public,Health;Research,N. R. C. U.;Correspondence,Address;A.M. Elkashef,Public Health;Research,N. R. C. U.</t>
  </si>
  <si>
    <t>Research studies at the NRC</t>
  </si>
  <si>
    <t>addiction;society;data extraction;general practitioner;genetics;hospital;human;patient;primary medical care;screening;university</t>
  </si>
  <si>
    <t>Established in 2011 as part of evolution of the NRC to a center of excellence. After an initial build up phase, the research section is currently very active with a fully functional IRB committee. National and International collaborations on active research projects are ongoing and planned. The first two projects involved data extractions from patients admitted to the NRC from 2002 to 2011, to evaluate the extent of the addiction problem in the UAE. This project was done in collaboration with UAE University, completed and published in 2012. The second project involved a survey of primary care physicians on their current practice, attitude, and training needs towards treating patients with addiction. This project was completed in collaboration with Aberdeen university, and is published 2014. Two research projects are currently ongoing. The first project is SBIRT training for primary care physicians in two primary care clinics of SEHA in Abu Dhabi. This project has recruited 300 patients so far out of total sample of 900. The second project involves screening patients (n = 250) at the NRC for genetics of addiction, so far 162 samples were collected. Data will be presented from the completed projects as well as an update on the ongoing studies.</t>
  </si>
  <si>
    <t>(Elkashef A.M.) 16th International Society of Addiction Medicine Annual Meeting Yokohama, Japan 2014-10-02 to 2014-10-06 Oxford University Press; ID: 2213</t>
  </si>
  <si>
    <t>10.1093/alcalc/agu052.48 FULL TEXT LINK http://dx.doi.org/10.1093/alcalc/agu052.48</t>
  </si>
  <si>
    <t>Elkind,A. K.;Author,Addresses;Dept Soc Res, Univ Hosp South Manchester,Christie Hosp;Manchester;Correspondence,Address;Dept Soc Res, Univ Hosp South Manchester Christie,Hosp Manchester</t>
  </si>
  <si>
    <t>481294; Smoking among the staff of a medical school</t>
  </si>
  <si>
    <t>attitude;hospital personnel;medical school;smoking;normal human;psychological aspect;Public Health, Social Medicine and Epidemiology (17);Chest Diseases, Thoracic Surgery and Tuberculosis (15)</t>
  </si>
  <si>
    <t>A postal questionnaire sent to the staff of Manchester Medical School (n = 483, response 86%) examined their smoking behaviour and views about smoking in relation to their students, thus completing the picture provided by earlier studies of smoking among the students. Twelve percent of the staff were regular cigarette smokers and 32% smokers of all forms of tobacco, age being the characteristic with most influence on smoking rates. Long-term health risks and expense were the main reasons for trying to give up cigarettes, whereas the need to set an example, in particular to students, was not stressed. A minority smoked when teaching, but fewer smoked when with students than with their colleagues. A quarter allowed students to smoke during teaching sessions; more than half thought students should be offered no persuasion about smoking; and four out of ten considered that staff smoking does not deter students from giving up. Degree of contact with students and qualifications had some influence on these views, but age was more important. Smokers were no more likely to permit smoking during teaching but were less likely to value persuasion or to think staff smoking deters students from giving up. The ambivalent picture of staff behaviour and views as seen by the students in the earlier studies was confirmed by this examination of the staff themselves, whose importance as role models was highlighted in the discussion.</t>
  </si>
  <si>
    <t>(Elkind A.K.); ID: 3848</t>
  </si>
  <si>
    <t>http://www.ncbi.nlm.nih.gov/pubmed/481294</t>
  </si>
  <si>
    <t>Smoking among the staff of a medical school</t>
  </si>
  <si>
    <t>Engelberg,A. L.;Gibbons,H. L.;Doege,T. C.;Author,Addresses;Department,of Public;Policy,American Medical Association Chicago I.L.;Correspondence,Address;Department of Public Health Policy, American Medical,Association Chicago</t>
  </si>
  <si>
    <t>3951095; A review of the medical standards for civilian airmen. Synopsis of a two-year study</t>
  </si>
  <si>
    <t>aerospace medicine;airplane pilot;alcoholism;certification;pilot;adult;clinical article;diagnosis;etiology;human;priority journal;Occupational Health and Industrial Medicine (35);Public Health, Social Medicine and Epidemiology (17)</t>
  </si>
  <si>
    <t>This article summarizes the report of a comprehensive review by the American Medical Association (AMA) of the medical standards for civilian airmen. The present standards were promulgated by the Federal Aviation Administration in 1959; the alcoholism and cardiovascular standards were revised in 1982. The AMA report recommends new or revised standards for cardiovascular, mental and behavioral, visual, endocrine, respiratory, hematological, hearing and equilibrium, musculoskeletal, and nervous system disorders. It also provides guidance for the medical certification of airmen with conditions not covered specifically by the standards and recommends a new medical history and examination for use by aviation medical examiners. Risk factors for the development of sudden incapacitating disease, such as coronary heart disease and stroke, receive special attention. Final standards will be developed by the Federal Aviation Administration.</t>
  </si>
  <si>
    <t>(Engelberg A.L.; Gibbons H.L.; Doege T.C.); ID: 3777</t>
  </si>
  <si>
    <t>http://www.ncbi.nlm.nih.gov/pubmed/3951095</t>
  </si>
  <si>
    <t>10.1001/jama.255.12.1589 FULL TEXT LINK http://dx.doi.org/10.1001/jama.255.12.1589</t>
  </si>
  <si>
    <t>A review of the medical standards for civilian airmen. Synopsis of a two-year study</t>
  </si>
  <si>
    <t>Englander,H.;Klug,C. V.;Solotaroff,R.;Weimer,M. B.;Noice,A.;Hartnett,T.;Blackburn,E.;Nicolaidis,C.;Barnes,P.;Bielavitz,S.;Chan,B.;Michalczyk,C.;Korthuis,P. T.;Author,Addresses;Oregon,Health;Science University,Portland,United States;Portland,State University;States;Central,City Concern;United,States;Coda Inc,Portland,United States;Ohsu,Portland United States;Coram Infusion Services, Portland,United States;Correspondence,Address;Englander,Oregon Health,H.;Science University,Portland,United States</t>
  </si>
  <si>
    <t>Understanding needs and engaging community partners to developa hospital-based improving addiction careteam (IMPACT)</t>
  </si>
  <si>
    <t>S446</t>
  </si>
  <si>
    <t>S447</t>
  </si>
  <si>
    <t>alcohol;antibiotic agent;cannabis;methamphetamine;opiate;addiction;community;hospital;internal medicine;society;adult;American Indian;college;commercial phenomena;drug therapy;drug use;endocarditis;epidemic;funding;health;health care;health care system;health care utilization;homelessness;hospital patient;hospital readmission;hospitalization;human;infection;infusion;learning;male;medicaid;medical specialist;medically uninsured;medicare;model;needs assessment;nurse;osteomyelitis;patient;pharmacy;physician;program development;public health;risk;social worker;substance abuse;substance use;teacher;tobacco;university hospital</t>
  </si>
  <si>
    <t>BACKGROUND: Addiction is a growing national epidemic that represents a pressing need and significant burden to the healthcare system. People with substance use disorders (SUD) have high rates of hospitalization and readmission, often for medical complications of SUD. Despite this, most receive no addiction care during or after hospitalization. Models for hospital-based and post-discharge SUD care for medically complex patients are limited and face tremendous implementation barriers. We aimed to understand the needs of hospitalized adults with SUD and use findings to engage community partners to develop regional SUD improvements. METHODS: We conducted a survey of consecutive hospitalized adults at a large academic medical center who reported high-risk alcohol or any drug use (per the AUDIT-C and a single item drug screener). We excluded people reporting only marijuana and/or tobacco. We assessed social and demographic factors, healthcare utilization, substance use severity, and experience and interest in treatment for those with moderate to high-risk use on the ASSIST. We then convened a task force of leaders and front line staff from hospital, community health, and addiction agencies to develop regional improvements in SUD care. Our task force met over a series of three large group and many small group meetings to develop the Improving Addiction Care Team (IMPACT) intervention. RESULTS: We enrolled 185 participants from September 2014 to April 2015. Participants had a mean age of 44, were predominantly male (73 %), and identified as white (78 %), Native American (7 %) or black (3 %). Fifty-two percent reported homelessness and 48 %had at least some college. Seventy-three percent had Medicaid, 13 % Medicare, and one (0.5 %) was uninsured. Participants hadmoderate or high risk alcohol (44%), methamphetamine (40%), and opioid (39 %) SUD. Fifty-four percent reported hospitalization, 63 % ED use in the prior 6months. Among those reporting substance use in the last 3months, 58%of alcohol users and 67 % of drug users reported interest in cutting back or quitting. Among out-of-treatment opioid users, 44.7 % reported high interest in medication-assisted treatment (MAT). Participants - especially those with endocarditis and osteomyelitis - had longer than expected hospital lengthsof- stay (Figure). Our task force used needs assessment findings and evidence from the literature to inform program development. Our diverse team brought unique perspectives and innovative solutions. Because many participants wanted to cut back or quit and expressed strong interest in MAT; and because community partners emphasized peers as key to engagement, our inpatient consult team includes an addiction-trained physician, social worker, and peers. Because gap time limits access to addiction care after discharge and because patients struggle to navigate a complex system, community partners suggested bringing their staff into the hospital to do intakes and facilitate rapid-access paths to care. And, learning that some patients stay in hospital for weeks to receive intravenous (IV) antibiotics for social - not medical - risk without addiction treatment, community partners suggested delivering IV antibiotics in a residential addiction setting. To do this, they would need support of infectious disease specialists, more highly trained nurses, funding for daily infusion therapy, and added support to for MAT in residential. Thus, we contracted with an infusion pharmacy, secured funding for daily infusions, and staffed our model to support complex care needs. Collectively, we developed IMPACT that includes: 1) a hospital-based addiction consult team comprised of a physician, addiction social worker, and peer mentors; 2) rapid-access pathways to community addiction care; and 3) community-based residential addiction care with integrated IV antibiotic capacity. We used utilization data to support a business case and secured hospital and Managed Medicaid Care funding. Since July 2015, we have served over 100 patients, and referred over 65 % to community addiction care. CONCLUSIONS: Our findings support that hospitalization may be a reachable moment to initiate and coordinate addiction care across a care continuum. Community and hospital partners can develop innovative care models that integrate care across hospital and community, physical and behavioral health settings. Future studies explore feasibility, acceptability, and effect on SUD, physical health, and utilization outcomes. Our experience may be relevant to other health systems facing similar challenges. (Figure Presented).</t>
  </si>
  <si>
    <t>(Englander H.; Weimer M.B.; Nicolaidis C.; Bielavitz S.; Chan B.; Korthuis P.T.) (Klug C.V.; Nicolaidis C.) (Englander H.; Solotaroff R.; Blackburn E.) (Weimer M.B.; Noice A.; Hartnett T.) (Barnes P.) (Michalczyk C.) 39th Annual Meeting of the Society of General Internal Medicine, SGIM 2016 Hollywood, FL, United States 2016-05-11 to 2016-05-14 Springer New York LLC; ID: 1963</t>
  </si>
  <si>
    <t>Englander,H.;Velez Klug,C.;Korthuis,P. T.;Bielavitz,S.;Nicolaidis,C.;Author,Addresses;Oregon,Health;Science;University,Portland United States;Portland,State University;States;Central City Concern, Portland,United States;Correspondence,Address;Englander,Oregon Health,H.;Science University,Portland,United States</t>
  </si>
  <si>
    <t>'It's been an experience, a life learning experience': Hospitalization as a reachable moment for adults with substance use disorders</t>
  </si>
  <si>
    <t>S85</t>
  </si>
  <si>
    <t>alcohol;amphetamine;diamorphine;opiate;adult;hospitalization;internal medicine;learning;society;substance abuse;addiction;audio recording;boy;chronic disease;compulsion;consensus;data analysis;death;decision making;detoxification;diseases;drug therapy;drug use;female;health care;health care personnel;health insurance;hoof and claw;hospital;hospital patient;hospital readmission;human;injury;internist;interview;male;mortality;needs assessment;pain;patient;poverty;psychiatric department;risk;semi structured interview;social worker;thematic analysis;university hospital;waste</t>
  </si>
  <si>
    <t>BACKGROUND: People with substance use disorders (SUD) have high rates of chronic illness, hospitalization and readmission. Frequently, people are admitted with direct medical complications of their SUD. Despite this, many are not engaged in addiction treatment. And though hospitalization addresses acute medical illness, it often fails to address the underlying cause: the SUD. Hospitalization may be a reachable moment to initiate and coordinate addiction care. However, little is known about hospitalized patients' perceptions of their SUD and the mechanisms that may support or impede engagement and success in recovery. Our study explores the experiences of hospitalized adults with SUD to inform future health system improvements. METHODS: We conducted in-person interviews of hospitalized adults reporting high-risk alcohol or drug use on the AUDIT-C and/or single item screener between September 2014 and April 2015. This study was nested in a larger needs assessment at a large academic medical center. We excluded non-English speakers, incarcerated individuals, those who were too sick or confused to participate, and those admitted to an ICU or psychiatric ward. We interviewed all participants in their hospital room using a semi structured interview guide. Audio recordings were transcribed, de-identified and transferred to Atlas.ti (Version 7.5.9) for data analysis and retrieval. The coding team-comprised of two general internists and one social worker-conducted a thematic analysis using an inductive approach at the semantic level. Using an iterative process, we selected a preliminary coding schema, independently coded transcripts, and then met as a group or in dyads to discuss and reconcile codes, identify emergent themes, and to resolve discrepancies through consensus. All three coders coded the initial 7 transcripts and established a coding schema. One coder coded all transcripts; the other two coders divided the remaining transcripts. We employed a constructivist approach to data analysis in that we acknowledged no one reality; people are experts on their own lives. RESULTS: Thirty-two hospitalized adults participated in our study. Mean age was 43 years. Seventy-five percent were male and 68 % identified as white. Participants reported moderate to high-risk alcohol (56 %), amphetamine (56 %), and opioid (56 %) use, indicating some polysubstance use across the sample. All participants had health insurance. Participants described hospitalization as a wake up call. One participant said, Î“Ã‡Â£I wish I didn't put myself in the predicament of coming to the hospital so much. It's been an experience, a life-learning experience. But then again, coming here so much has helped me notice and realize-to wake up. It's time to stop doing' what I'm doing, to get to the sober and clean path.Î“Ã‡Â¥ Many described near death experiences, and that mortality was motivating for change. As one woman stated, Î“Ã‡Â£I knew it was to that point where I almost died the other day and I have a 3 year old little boy and it's not where I want to be.Î“Ã‡Â¥ Participants also described that hospitalization interrupted drug use and allowed for fresh insight. Despite hospitalization being a reachable moment and highly motivating for change, participants described important barriers that impeded the 'opportunity' of the moment. Many described an overwhelming compulsion to use. Î“Ã‡Â£My whole addiction to heroin, it's going to end up killing me, and I still know that I'm going to go back out there and do it, and that's just so (Figure Presented)Î“ÃªÃ¹ Î“ÃªÃ¹d up...Î“Ã‡Â¥ Participants described physical pain, trauma, life stressors, and poverty as significant barriers to recovery that are unchanged by acute hospitalization. One participant who underwent medical detoxification in the hospital and expressed strong desire to quit reflected, Î“Ã‡Â£I almost see it like being futile...I have nowhere to go and nothing.Î“Ã‡Â¥ Participants provided insight as to how healthcare providers and health systems can best leverage a reachable moment. Many emphasized the importance of choice: Î“Ã‡Â£when you tell me what to do, I'm a mule. I dig my hooves in and I'm like uh-uh shaking head], I make my own decisions. But if I have somebody to talk to that could understand where I'm coming from, yeah, I could see that helping people.Î“Ã‡Â¥ Some felt that being given a list of resources (often with long wait times and limited access) without support felt dismissive. She felt providers think: Î“Ã‡Â£give her the list of resources, if she wants help she'll figure it out'...they feel it's useless to waste their time when all I want is help.Î“Ã‡Â¥ Participants wanted providers that understand SUD-in particular to treat withdrawal to prevent people from leaving the hospital against medical advice and to provide access to medication-assisted treatment. And many noted the importance caring, non-judgmental staff. CONCLUSIONS: Our findings suggest that hospitalization may be a reachable moment to initiate and coordinate addiction care. Hospitalization is often a wakeup call that is highly motivating. While some barriers such as poverty and trauma may be difficult to address through acute hospitalization, providers and systems can better align to engage patients. Systems can support a culture of non-judgment, train staff about SUD, and provide patients with choice, including access to medication-assisted treatment.</t>
  </si>
  <si>
    <t>(Englander H.; Korthuis P.T.; Nicolaidis C.) (Velez Klug C.; Bielavitz S.) (Englander H.; Nicolaidis C.) 39th Annual Meeting of the Society of General Internal Medicine, SGIM 2016 Hollywood, FL, United States 2016-05-11 to 2016-05-14 Springer New York LLC; ID: 1956</t>
  </si>
  <si>
    <t>Enos,G.;Author,Addresses</t>
  </si>
  <si>
    <t>15119122; Energizing young professionals through effective training</t>
  </si>
  <si>
    <t>Behavioral healthcare tomorrow</t>
  </si>
  <si>
    <t>Behav.Healthc.Tomorrow</t>
  </si>
  <si>
    <t>addiction;medical education;compensation;counseling;health care delivery;health care management;health care organization;health practitioner;human;mental health service;performance;review</t>
  </si>
  <si>
    <t>To combat disillusionment and less-than-optimal performance among entry-level clinical staff, nationally known addiction treatment organization Rosecrance Health Network standardized its approach to staff training. the result of that process is being honored this year by the National Association of Addiction Treatment Providers (NAATP).</t>
  </si>
  <si>
    <t>(Enos G.) Manisses Communications Group, Inc.; ID: 3237</t>
  </si>
  <si>
    <t>1063-8490</t>
  </si>
  <si>
    <t>http://www.ncbi.nlm.nih.gov/pubmed/15119122</t>
  </si>
  <si>
    <t>Energizing young professionals through effective training</t>
  </si>
  <si>
    <t>Erfan,S.;Hashim,A. H.;Shaheen,M.;Sabry,N.;Author,Addresses;Aini,Kasr El;Egypt;Correspondence,Address;Erfan, Kasr El Aini Faculty of Medicine Cairo University Cairo Egypt,S.;Email,Drsalwaerfan hotmail com</t>
  </si>
  <si>
    <t>20687004; Effect of comorbid depression on substance use disorders</t>
  </si>
  <si>
    <t>addiction (epidemiology);depression (epidemiology);adolescent;adult;article;comorbidity;Egypt (epidemiology);hospitalization;human;male;middle aged;patient attitude;psychiatric diagnosis;psychological aspect;psychological rating scale;statistics;suicide attempt</t>
  </si>
  <si>
    <t>The aim of the study was to investigate the effect of depression on pattern of substance use disorders (SUDs). Consecutive samples of (200) Egyptian male SUD inpatients were examined over 1-year period. Study and control samples were chosen. Study group consisted of 30 patients with comorbid substance dependence and depression. Control group consisted of 30 substance-dependent patients without depression. Semistructured interviews, Addiction Severity Index (ASI) and Hamilton Rating Scale for Depression (HDRS), were applied. Comparison between both groups showed significant differences for prescribed opioid use (100% versus 86%), polysubstance use (73% versus 43%), frequency of suicidal attempts (86% versus 43%), mean of admissions to substance use treatment (SUT) units (5 versus 2.2), mean of abstinence periods (3.8 versus 1.2); study group showed greater medical status impairment (P = .05), social and psychiatric impairment (P = .01). It was concluded that depression might affect SUD as regards type of substance used, pattern of use, suicide rate, duration of hospitalization, rate of rehospitalization, and finally medical, social, and psychiatric status impairment.</t>
  </si>
  <si>
    <t>(Erfan S.) (Hashim A.H.; Shaheen M.; Sabry N.); ID: 2777</t>
  </si>
  <si>
    <t>http://www.ncbi.nlm.nih.gov/pubmed/20687004</t>
  </si>
  <si>
    <t>Effect of comorbid depression on substance use disorders</t>
  </si>
  <si>
    <t>Eriator,I.;Estess,J.;Author,Addresses;University of Mississippi,Medical Center;United,States;Correspondence,Address;Eriator, University of Mississippi Medical Center Jackson United,I.;States</t>
  </si>
  <si>
    <t>Attitude of physicians in training towards opioids for long term pain management</t>
  </si>
  <si>
    <t>S36</t>
  </si>
  <si>
    <t>cocaine;diamorphine;narcotic agent;opiate;analgesia;human;pain;physician;society;abuse;addiction;chronic pain;emergency medicine;environment;family medicine;female;general surgery;internal medicine;male;medical student;neurology;patient;prescription;primary medical care;psychiatry;public health problem;questionnaire;skill;student;university hospital</t>
  </si>
  <si>
    <t>The recent decades helped to illuminate the problem of chronic pain, and ushered in an era of increased opioid (narcotic) use for the treatment of pain. The prescription of opioids has increased significantly, and so have the public health problem. Currently the abuse of prescription opioids has surpassed that of heroin and cocaine combined, and about 40 people die daily in the USA from prescription opioids. Knowledge and skills to balance the availability of opioids for pain management and prevent abuse becomes critical. A significant proportion of pain patients are managed at the primary care level. We carried out a survey in a university hospital, following IRB approval, to examine the opinions and concerns of physicians in training in such specialties regarding long term use of opioids for pain management. 93 trainees including those in Emergency Medicine, General surgery, Psychiatry, Internal Medicine, Family medicine and Neurology, and 16 medical students completed a pen and paper questionnaire. 66% were males, 65% were Caucasians and 60% were married. 91% were less than 40 years old. 45% treated chronic pain on a regular basis. 21% felt comfortable treating chronic pain, while 34% felt it depended on the situation. 81% reported feeling uncomfortable prescribing long term narcotics for patients. There was no significant relationship between treating chronic pain on a regular basis and being comfortable prescribing long term narcotics (p = 0.3). Females were more likely to feel uncomfortable prescribing long term narcotics (likelihood ratio, p = 0.02). However, trainees who felt comfortable managing chronic pain were significantly more likely to also feel comfortable prescribing long term narcotics. The most commonly listed concern with prescribing long term narcotic was chemical dependency or addiction (37%), closely followed by escalating opioid doses (35%). Legal environment was cited only by 3.4%.</t>
  </si>
  <si>
    <t>(Eriator I.; Estess J.) 31st Annual Scientific Meeting of the American Pain Society Honolulu, HI, United States 2012-05-16 to 2012-05-19 Churchill Livingstone Inc.; ID: 2565</t>
  </si>
  <si>
    <t>10.1016/j.jpain.2012.01.153 FULL TEXT LINK http://dx.doi.org/10.1016/j.jpain.2012.01.153</t>
  </si>
  <si>
    <t>Ertekin,H.;Aydin,M.;Arslan,M.;Ertekin,Y. H.;Eren,I.;Author,Addresses;â”œÃ§anakkale,Onsekiz Mart;Hastaliklari Ana,Bilim Dali;Selâ”œÂºuk â”œÂ£niversitesi Selâ”œÂºuk,Tip Fak;Hastaliklari Ana,Bilim Dali;Babaeski Devlet Hastanesi, Psikiyatri,Uzmani Kirklareli;Turkey;â”œÃ§anakkale,Onsekiz Mart;Tip Fakâ”œâ•ltesi, Aile Hekimliâ•ŸÂºi A. D. â”œÃ§anakkale Turkey;Konya Eâ•ŸÂºitim Ve Araâ”¼Æ’tirma Hastanesi, Beyhekim,Psikiyatri Klini;Konya,Turkey;Correspondence,Address;YH Ertekin, â”œÃ§anakkale Onsekiz Mart â”œÂ£niversitesi,Tip Fak;Hekimliâ•ŸÂºi Ad, â”œÃ§anakkale Turkey Email dr ertekin,gmail com</t>
  </si>
  <si>
    <t>Are psychiatric outpatients assessed for smoking? ORIGINAL (NON-ENGLISH) TITLE Psikiyatri Polikliniâ•ŸÂºine Baâ”¼Æ’vuran Hastalarin Sigara Kullanimi Deâ•ŸÂºerlendiriliyor Mu?</t>
  </si>
  <si>
    <t>Konuralp Tip Dergisi</t>
  </si>
  <si>
    <t>mental patient;smoking cessation;article;hospital department;human;informed consent;medical education;outpatient department;patient assessment;psychiatrist;psychiatry;questionnaire;Turkey (republic);Public Health, Social Medicine and Epidemiology (17);Psychiatry (32)</t>
  </si>
  <si>
    <t>Objectives: The presence of psychiatric disorder is not obstacle for the treatment to quit smoking; however this treatment is not preferred among primary purposes in these patients. We aimed to investigate use of tobacco, whether asked their smoking habit by a psychiatrist, the request of patients who smoke to quit smoking, whether they can get help from the psychiatric outpatient clinic of knowledge about smoking cessation and "Addiction and Treatment of Smoking" training of the psychiatrists effects on query of smoking status. Methods: This study was conducted at Outpatient Clinic of the Beyhekim Department of Psychiatry at Konya Education and Research Hospital between June and July 2013. Five-item questionnaire was administered to all participants after the examination in the first phase.. The outpatient clinic doctors were not informed about the questionnaire during examination because of alteration their interrogation of smoking. In September 2013, "Addiction and Treatment of Smoking" training were given to the psychiatrists doctors working in this study. In the second phase of this study, same questionnaire was administrated to patients of these trained doctors.. Results: 51.1% of participants were smokers. In the first phase of the study, doctors from the 18.3% (n= 40) and 53.5% (n = 95) in the second phase had questioned smoking of patients. After training seminar the rate to question of doctors had significantly increased (p&lt;0.001). %37.9 of participants (n=69) wanted to quit smoking. %46.9 of participants (n=186) knew that they can get help from the psychiatric outpatient clinic for smoking cessation. Conclusion: "Chance to get rid of smoking addiction" should be offered to patients in psychiatric outpatient clinics. Working to increase the knowledge of psychiatrics on this subject should be made.</t>
  </si>
  <si>
    <t>(Ertekin H.) (Aydin M.) (Arslan M.) (Ertekin Y.H., dr.ertekin@gmail.com) (Eren I.) Duzce University Medical School, mfgeylk@gmail.com; ID: 1876</t>
  </si>
  <si>
    <t>1309-3878</t>
  </si>
  <si>
    <t>20170577489 PUI L617753346</t>
  </si>
  <si>
    <t>10.18521/ktd.319784 FULL TEXT LINK http://dx.doi.org/10.18521/ktd.319784</t>
  </si>
  <si>
    <t>Escobedo,L. G.;Peddicord,J. P.;Author,Addresses;Health,Services Division;Naturalization;Serv,Montana Ave El Paso T.X.United States;Correspondence,Address;LG Escobedo, Health Services Division,Immigration Naturalization;Services,Montana Ave El Paso T.X.United States</t>
  </si>
  <si>
    <t>9183512; Long-term trends in cigarette smoking among young U.S. adults</t>
  </si>
  <si>
    <t>May/June</t>
  </si>
  <si>
    <t>cigarette smoking;medical education;abstinence;adult;article;data analysis;health program;high school;household;human;prevalence;retrospective study;smoking habit;tobacco;Public Health, Social Medicine and Epidemiology (17);Drug Dependence, Alcohol Abuse and Alcoholism (40)</t>
  </si>
  <si>
    <t>Retrospective examination of a national probability sample revealed that young women, particularly those who dropped out of high school, have reached smoking rates as high or higher than subgroups of young men. These results suggest that surveillance, research, and public health programs are needed to address the rapid increase in smoking among young women.</t>
  </si>
  <si>
    <t>(Escobedo L.G.) (Peddicord J.P.) Elsevier Ltd, Langford Lane, Kidlington, Oxford, United Kingdom.; ID: 3485</t>
  </si>
  <si>
    <t>http://www.ncbi.nlm.nih.gov/pubmed/9183512</t>
  </si>
  <si>
    <t>10.1016/S0306-4603(97)80003-2 FULL TEXT LINK http://dx.doi.org/10.1016/S0306-4603(97)80003-2</t>
  </si>
  <si>
    <t>Long-term trends in cigarette smoking among young U.S. adults</t>
  </si>
  <si>
    <t>Essien,U. R.;Mitton,J.;Author,Addresses;Massachusetts,General Hospital;States;Correspondence,Address;UR Essien, Massachusetts General Hospital Boston,United States</t>
  </si>
  <si>
    <t>Social justice &amp; community advocacy: Creation of a novel pathway in residency training</t>
  </si>
  <si>
    <t>S842</t>
  </si>
  <si>
    <t>community;internal medicine;residency education;social justice;society;addiction;education;environment;general hospital;health;health auxiliary;health practitioner;health service;hope;hospital;hospital management;human;infancy;leadership;manager;medical education;medical literature;medical school;medical specialist;medical student;mental health;model;outpatient;patient;patient care;physician;population;prison;public health;responsibility;skill;social determinants of health;student;teacher;training;Uganda;United States;university;university hospital</t>
  </si>
  <si>
    <t>NEEDS AND OBJECTIVES: The work of a physician is complementary with that of a social justice pioneer and community organizer. Those interdependent social roles can add value and meaning to practice across all clinical environments. Such efforts require unique skills and experiences that are not traditionally emphasized in medical education. As such, through this Social Justice and Community Advocacy (SJCA) pathway we aimed to: - provide Internal Medicine resident trainees and medical students with a longitudinal pathway in the interdisciplinary practice of social justice and community advocacy; - draw on opportunities at the academic medical center, Massachusetts General Hospital (MGH), Harvard Medical School, Harvard University and in the greater Boston community; - assist residents in tailoring their 3 years of residency toward the acquisition of leadership and clinical skills needed to impact change in the lives of their patients; - create and maintain a pathway that is mentored, patient and community-centered and culminates in a final project or service initiative. SETTING AND PARTICIPANTS: The pathway includes a series of experiences aimed at skill acquisition and mentored advocacy. Pathway design is tailored to the particular interests of the resident, ideally within the context of patient care and their clinic community. There are suggested rotations and experiences in all 3 years in a graduated and longitudinal fashion, with increasing responsibility in the second and third year. Activities will culminate in a senior capstone project, colloquium or service initiative. Each resident is mentored through their pathway, working with an assigned faculty member to acquire the unique skill set and experiences needed for the trainee to impact change in the lives of their patients and/or community of interest. Mentorship is also promoted in social gatherings, aimed at connecting residents with local and national leaders. Longitudinal mentorship will help residents culminate their work in a final project, research colloquium or service initiative during the senior year. It is the hope that these senior capstones will be presented at a national forum. DESCRIPTION: Through the SJCA pathway, residents have the opportunity to tailor their pathway with required experiences and elective outpatient rotations, leadership opportunities and community experiences: Advocacy and community leadership Global Health rotation Homeless Health Prison Health Addiction Medicine Refugee/Immigrant Health Away rotations (Uganda, South Dakota/Indian Health Services, Boston Public Health Commission) Hospital administration Medical writing Research Through the pathway there are also leadership experiences through the newly created Social Justice Interest Group, developing resident report and noon conference case presentations. Community engagement is key to the pathway and involves participation in extracurricular activity programming within the Department of Medicine and other clinically-based community health staff including community health workers, population health managers, mental health and addiction medicine specialists and local community leaders. EVALUATION: As the pathway is in its infancy, with the first cohort beginning in June 2016, the expectation is that most of the evaluation will take place over the next few years including pre and post surveys of resident trainees as well as patients. Each resident that goes through the pathway will be expected to complete: - Capstone Project, Colloquium or Service Initiative-Presentation at Regional or National Conference DISCUSSION / REFLECTION / LESSONS LEARNED: Resident trainees have the privilege of providing care to patients of all social and ethnic backgrounds, requiring a nuanced approach that considers the social determinants and community context of health. Yet there often is little consideration to this nuance in daily education and system modeling. Addressing these considerations is increasingly important as our institutions try to engage patients in their homes and neighborhoods. Many residency programs across the country have taken on this challenge by developing social justice programming to ensure that residents and other health professional trainees are trained in the skills and afforded the opportunity to consider the social challenges that impact patient health. Through the experiences of other training programs we learned that rather than creating a track where residents were expected to follow a strict set of rotations over their training period, we would create a pathway, pairing residents with faculty mentors to tailor an interdisciplinary training experience through the preferential selection of several electives, leadership opportunities and community opportunities. We hope to share this innovative approach to increasing social justice and community advocacy training in residency while seeking opportunities for further collaboration that will help sustain this work of addressing the social determinants of health.</t>
  </si>
  <si>
    <t>(Essien U.R.; Mitton J.) 39th Annual Meeting of the Society of General Internal Medicine, SGIM 2016 Hollywood, FL, United States 2016-05-11 to 2016-05-14 Springer New York LLC; ID: 1949</t>
  </si>
  <si>
    <t>Evans,W. K.;Truscott,R.;Cameron,E.;Peter,A.;Reid,R.;Selby,P.;Smith,P.;Hey,A.;Author,Addresses;Department,of Oncology;University,Hamilton Canada;Division of,Prevention;Cancer;Control,Cancer Care Ontario Toronto Canada;University of Ottawa,Heart Institute;The,Centre for;Mental Health,Toronto Canada;Northern Ontario School of Medicine, Thunder,Bay Canada;Northeast Cancer Centre, Health Sciences North,Sudbury Canada;Correspondence,Address;WK Evans, c o Cancer Care Ontario University Avenue,Toronto Canada;Email,billevans cogeco ca</t>
  </si>
  <si>
    <t>Lessons learned implementing a province-wide smoking cessation initiative in OntarioÎ“Ã‡Ã–s cancer centres</t>
  </si>
  <si>
    <t>Current Oncology</t>
  </si>
  <si>
    <t>e185</t>
  </si>
  <si>
    <t>e190</t>
  </si>
  <si>
    <t>cancer center;smoking cessation;cancer epidemiology;cancer patient;female;funding;human;human experiment;information system;leadership;male;nicotine replacement therapy;Ontario;physician;vision</t>
  </si>
  <si>
    <t>Purpose A large body of evidence clearly shows that cancer patients experience significant health benefits with smoking cessation. Cancer Care Ontario, the provincial agency responsible for the quality of cancer services in Ontario, has undertaken a province-wide smoking cessation initiative. The strategies used, the results achieved, and the lessons learned are the subject of the present article. Methods Evidence related to the health benefits of smoking cessation in cancer patients was reviewed. A steering committee developed a vision statement for the initiative, created a framework for implementation, and made recommendations for the key elements of the initiative and for smoking cessation best practices. Results New ambulatory cancer patients are being screened for their smoking status in each of OntarioÎ“Ã‡Ã–s 14 regional cancer centres. Current or recent smokers are advised of the benefits of cessation and are directed to smoking cessation resources as appropriate. Performance metrics are captured and used to drive improvement through quarterly performance reviews and provincial rankings of the regional cancer centres. Conclusions Regional smoking cessation champions, commitment from Cancer Care Ontario senior leadership, a provincial secretariat, and guidance from smoking cessation experts have been important enablers of early success. Data capture has been difficult because of the variety of information systems in use and non-standardized administrative and clinical processes. Numerous challenges remain, including increasing physician engagement; obtaining funding for key program elements, including in-house resources to support smoking cessation; and overcoming financial barriers to access nicotine replacement therapy. Future efforts will focus on standardizing processes to the extent possible, while tailoring the approaches to the populations served and the resources available within the individual regional cancer programs.</t>
  </si>
  <si>
    <t>(Evans W.K., billevans@cogeco.ca) (Truscott R.; Cameron E.; Peter A.) (Reid R.) (Selby P.) (Smith P.) (Hey A.) Multimed Inc., Amanda_shand@multi-med.com; ID: 1870</t>
  </si>
  <si>
    <t>1718-7729 (electronic) 1198-0052</t>
  </si>
  <si>
    <t>20170462600 PUI L617009316</t>
  </si>
  <si>
    <t>10.3747/co.23.3506 FULL TEXT LINK http://dx.doi.org/10.3747/co.23.3506</t>
  </si>
  <si>
    <t>Ewart,C. K.;Li,V. C.;Coates,T. J.;Author,Addresses;Johns,Hopkins Univ;Health,Baltimore M. D.;Correspondence,Address;Johns Hopkins Univ Sch Hyg,Public Health</t>
  </si>
  <si>
    <t>6854609; Increasing physicians' antismoking influence by applying an inexpensive feedback technique</t>
  </si>
  <si>
    <t>health education;medical education;smoking;smoking cessation;education;feedback system;human;patient;therapy;Public Health, Social Medicine and Epidemiology (17);Health Policy, Economics and Management (36)</t>
  </si>
  <si>
    <t>Continuing medical education that ignores motivational and environmental determinations of continued skill use will have little impact. Physicians who were trained to give antismoking advice to patients did so effectively soon after training, but their performance deteriorated during the next nine months. A subsequent study showed that antismoking effectiveness is maintained for extended periods if advice-giving rates are monitored monthly and physicians receive immediate corrective feedback whenever their performance declines.</t>
  </si>
  <si>
    <t>(Ewart C.K.; Li V.C.; Coates T.J.); ID: 3811</t>
  </si>
  <si>
    <t>http://www.ncbi.nlm.nih.gov/pubmed/6854609</t>
  </si>
  <si>
    <t>Increasing physicians' antismoking influence by applying an inexpensive feedback technique</t>
  </si>
  <si>
    <t>Fadhil,I.;Al Musawi,M.;Author,Addresses;Public Health Directorate, Ministry of Health,Arabian Gulf;University,Bahrain;Diseases Control Section, Public Health,Directorate Ministry;of Health,Bahrain;Correspondence,Address;Fadhil, Public Health Directorate Ministry of Health Arabian Gulf,I.;University,Bahrain</t>
  </si>
  <si>
    <t>Tobacco training and educating primary care professionals in Bahrain</t>
  </si>
  <si>
    <t>Journal of the Bahrain Medical Society</t>
  </si>
  <si>
    <t>continuing education;health care personnel;professional knowledge;smoking;tobacco dependence;adult;article;attitude to health;controlled study;female;general practitioner;health education;human;human experiment;lifestyle;male;normal human;nurse;physician;physician attitude;questionnaire;smoking cessation;social worker;Public Health, Social Medicine and Epidemiology (17);Drug Dependence, Alcohol Abuse and Alcoholism (40)</t>
  </si>
  <si>
    <t>Tobacco use has been well identified as the primary preventable cause of premature deaths and disability, yet results from previous surveys shows that educational curriculum of health professionals don't address this topic adequately. Objectives: to assess primary care professionals knowledge, perception and attitude related to selected tobacco use and effect items. Method : responses to self administered questionnaire by primary care professionals. Results: Hundred fifty primary care professionals participated in the study, 24.7% of them are current smokers and 10% ex-smokers. Inadequacy in tobacco education curriculum was noted . In particular for nature of tobacco use addiction and management of tobacco dependence . Only 12% of local graduate and 16% of overseas graduate professionals had received formal training on smoking cessation interventions.</t>
  </si>
  <si>
    <t>(Fadhil I.) (Al Musawi M.) Bahrain Medical Society, P.O. Box 26136, Manama, Bahrain.; ID: 3060</t>
  </si>
  <si>
    <t>1015-6321</t>
  </si>
  <si>
    <t>2008238923 PUI L351682628</t>
  </si>
  <si>
    <t>Fallahian,F.;Najafi,A.;Alavian,S. M.;Author,Addresses;Intensive,Care Unit;Tehran University of,Medical Sciences;Department of Anesthesiology, Sina Hospital,Tehran University;of,Medical Sciences;Baqiyatallah Research,Center for;Liver;Disease,Baqiyatallah University of Medical Sciences Tehran Iran;Correspondence,Address;Fallahian, Intensive Care Unit Sina Hospital Tehran University of,F.;Medical Sciences, Tehran Iran Email falahianfff,yahoo com</t>
  </si>
  <si>
    <t>Intravenous drug use: The predominant risk factors for hepatitis C virus infection</t>
  </si>
  <si>
    <t>Shiraz E Medical Journal</t>
  </si>
  <si>
    <t>antiretrovirus agent (drug therapy);buprenorphine (drug interaction, pharmacokinetics);efavirenz (drug interaction, pharmacokinetics);methadone (drug therapy);hepatitis C (drug therapy, drug therapy, epidemiology);intravenous drug abuse;addiction;article;comorbidity;developing country;drug potentiation;education program;Hepatitis C virus;mental disease;opiate addiction (drug therapy);risk factor;seroprevalence;virus transmission;buprenorphine (52485-79-7, 53152-21-9);efavirenz (154598-52-4);methadone (1095-90-5, 125-56-4, 23142-53-2, 297-88-1, 76-99-3);Drug Literature Index (37);Microbiology: Bacteriology, Mycology, Parasitology and Virology (4);Drug Dependence, Alcohol Abuse and Alcoholism (40);Gastroenterology (48)</t>
  </si>
  <si>
    <t>This manuscript provides a literature review of prevalence and routes of hepatitis C virus transmission, and prevention methods regarding its prevalence in different populations. There is a great difference in the frequency of hepatitis C virus infection of general population versus injection drug users. Even in developing countries with unsafe therapeutic injections and contaminated blood, the rate of disease is higher in injecting drug usere. A literature review of published scientific reports on HCV epidemiology, prevalence, and its relation to addiction in some countries was performed. While different epidemiologic patterns of HCV infection exist with seroprevalence of 0.4% to 1.1% and 9.6% to 20% in general population in North America and some countries of North Africa; respectively, the frequency of HCV infection in injection drug users is 48% to 90%. Injection drug use seems the most important worldwide risk factor for hepatitis C virus infection. Substance abuse, HCV infection and mental illness frequently coexist and complicate HCV treatment. Implementing effective measures for preventing injecting drug use by effective drug education programs in school, research in behavioral/environmental addiction predispositions, implement strict drug abuse policy, regular estimation of addiction patterns, and to model prevention approaches according to every certain situation is necessary. Copyright â”¬âŒ 2010, Shiraz E Medical Journal. All rights reserved.</t>
  </si>
  <si>
    <t>(Fallahian F., falahianfff@yahoo.com) (Najafi A.) (Alavian S.M.) Shiraz University of Medical Sciences, School of Medicine, 8th floor,, Shiraz, Iran. semj@sums.ac.ir; ID: 2841</t>
  </si>
  <si>
    <t>1735-1391</t>
  </si>
  <si>
    <t>2010578269 PUI L359789461</t>
  </si>
  <si>
    <t>Faulk,C.;Mulkareddy,V.;Bery,A.;Fohtung,R.;Saef,J.;McCarthy,C.;Prendergast,N.;Chen,J.;Michelson,A.;Bhayani,R.;Author,Addresses;Washington University,in;St Louis, St Louis,United States;Correspondence,Address;Faulk, Washington University in St Louis St Louis United States,C.</t>
  </si>
  <si>
    <t>Effects of a comprehensive wellness program on medicine resident burnout</t>
  </si>
  <si>
    <t>S672</t>
  </si>
  <si>
    <t>burnout;internal medicine;resident;clinical psychology;clinical study;cognitive behavioral therapy;compassion fatigue;compensation;competition;curriculum;depersonalization;emotional stress;exercise;hospital patient;human;prevalence;rotation;syndrome;team building;university;Washington;wellbeing</t>
  </si>
  <si>
    <t>NEEDS AND OBJECTIVES: The prevalence of physician burnout among internal medicine residents ranges from 50%-75 and is associated with poorer patient care and higher rates of depression and substance abuse. Both the Accreditation Council for Graduate Medical Education and the American Medical Association have declared this to be a national issue. To combat growing rates of burnout, residencies have implemented various wellness curricula. Most interventions, however, have been studied in isolation. The effects of a comprehensive, multi-faceted program have not been extensively evaluated. The present study was designed to assess the impact of a comprehensive wellness programon resident physician well-being in a large academic hospital. SETTING AND PARTICIPANTS: At the start of the 2016-2017 academic year, a new wellness program was integrated within the Washington University in St Louis internal medicine residency curriculum at Barnes Jewish Hospital142 internal medicine residents at all training levels participated in this curriculum. DESCRIPTION: Awellness committee, comprised of faculty, chief residents, and resident representatives, was established. Curricula were created for largegroup lectures, small-group workshops and team building exercises. Required large-group lectures taught evidence-based cognitive behavioral therapy (CBT) techniques to help residents during times of stress. Small-group sessions were designed to cover a selection of wellness-related topics, including imposter syndrome, defining success, and maintaining compassion. All small group didactics occur during protected time on inpatient rotations and are facilitated by licensed clinical psychologists. Team-building exercises include both organized social outings for the entire residency, as well as monthly competitions between inpatient teams, with awarded group prizes. EVALUATION: Resident-physician burnout prevalence was assessed at the start of the 2016-2017 academic year using the Maslach Burnout Inventory on a voluntary basis. Final analysis of this initial survey is currently pending. Small-group sessions were anonymously evaluated by participants through a standardized form after each session. We will survey residents using the Maslach Burnout Inventory again at the end of the academic year to look for improvement in burnout prevalence. DISCUSSION/REFLECTION/LESSONS LEARNED: Burnout is defined as a combination of depersonalization, emotional exhaustion and decreased perceived accomplishment. Trials have shown CBT techniques can reduce compassion fatigue and enhance resilience, while small-group and teambuilding exercises can increase perceived compensation and accomplishment. By employing modalities to address each element of physician burnout, it is expected that this comprehensive wellness program will improve resident wellbeing.</t>
  </si>
  <si>
    <t>(Faulk C.; Mulkareddy V.; Bery A.; Fohtung R.; Saef J.; McCarthy C.; Prendergast N.; Chen J.; Michelson A.; Bhayani R.) 40th Annual Meeting of the Society of General Internal Medicine, SGIM 2017 Washington, DC, United States 2017-04-19 to 2017-04-22 Springer New York LLC; ID: 1809</t>
  </si>
  <si>
    <t>Feeley,R.;Moore,D.;Wilkins,K.;Fuehrlein,B.;Author,Addresses;Veterans,Affairs;Yale;University,United States;Correspondence,Address;Feeley,Veterans Affairs,R.;Yale University,United States</t>
  </si>
  <si>
    <t>ANovel addiction curriculum and its impact on medical student knowledge, attitudes, and confidence for the treatment of substance use</t>
  </si>
  <si>
    <t>alcohol;opiate;alcoholics anonymous;alcoholism;curriculum;medical student;bivariate analysis;clinical trial;controlled study;e-mail;hospital;human;linear regression analysis;major clinical study;medical education;opiate addiction;patient care;psychiatric emergency;responsibility;risk assessment;rotation;staff;Student t test;substance abuse;alcohol (64-17-5);opiate (53663-61-9, 8002-76-4, 8008-60-4)</t>
  </si>
  <si>
    <t>Background: Despite the high prevalence of substance use in the general population, there is a lack of structured medical student education regarding the diagnosis and treatment of substance use disorders. This may result in lack of confidence in the management of addiction and negative attitudes towards substance using patients and impact the quality of care provided. The purpose of this study was to examine the effects of a formal substance use disorder curriculum on medical student attitudes towards addiction as well as confidence in treating such a population. Methods: The addiction curriculum was administered to Yale medical students who rotated at the West Haven VA Hospital Psychiatric Emergency Room (PER) during the 2015 and 2016 academic years. This curriculum consisted of two parts: 1. direct patient care of patients with substance use disorders with gradual levels of increasing student responsibility and 2. Didactic modules focused on general addiction, opiate use, alcohol use, risk assessment, legal issues, and Alcoholics Anonymous (AA). The didactics coincided with applicable patient care, when possible. The didactics were administered by staff in the psychiatric emergency room over the course of the 2-3 week rotation. Students were then surveyed via an email survey link. Medical students who received the structured substance use training in the PER were compared to those who did not. The results of this survey were analyzed using T-tests and multivariate linear regression. Results: The survey response rate was 37.5% (N=75/ 200), with 25 (33%) completing the curriculum in the PER and 50 (66%) not. Of those completing the curriculum, 23 (92%) reported receipt of formalized training, while only 41 (82%) of the comparison group reported receiving addiction training at the other rotation sites. In bivariate analysis, medical students receiving the curriculum were more likely to express confidence in managing patients with alcohol and opiate use disorders (T=2.01, P=.05) and were more knowledgeable about AA as a treatment option available to patients (T=2.27, P=.03). Using multivariate linear regression, participation in the curriculum was independently associated with more knowledge in AA as a treatment option (X2=5.12, P=.02). Conclusions: A structured addiction curriculum can improve medical student confidence in managing substance using patients and improve knowledge of AA, a very important part of substance abuse treatment. These data suggest that the inclusion of a basic, structured addiction curriculum may help to foster confidence and knowledge, which may ultimately lead to improved care of patients with substance use disorder, a common and often deadly illness. Summary: Though there is a relative lack of addiction education in medical training, and an often associated negative attitude towards those with an addiction, an educational intervention such as an addiction curriculum may have the potential to impact medical student attitudes, instill greater confidence in treating such individuals, and engage students more readily with this population with regard to discussing addiction treatment.</t>
  </si>
  <si>
    <t>(Feeley R.; Moore D.; Wilkins K.; Fuehrlein B.) 27th Annual Meeting and Symposium of the American Academy of Addiction Psychiatry, AAAP 2017 Bonita Springs, FL, United States 2016-12-08 to 2016-12-11 Wiley Blackwell; ID: 1805</t>
  </si>
  <si>
    <t>10.1111/ajad.12545 FULL TEXT LINK http://dx.doi.org/10.1111/ajad.12545</t>
  </si>
  <si>
    <t>Feighery,E.;Altman,D. G.;Shaffer,G.;Author,Addresses;Disease,Prevention Res;Stanford University, School of Medicine Welch Rd Palo,Alto C.;United,States;Correspondence,Address;Feighery, Disease Prevention Res Center Stanford University School of,E.;Medicine,Welch Rd Palo Alto C.A.United States</t>
  </si>
  <si>
    <t>1956106; The effects of combining education and enforcement to reduce tobacco sales to minors: A study of four northern California communities</t>
  </si>
  <si>
    <t>advertising;cigarette smoking;law enforcement;lung cancer (prevention);medical education;medicolegal aspect;adolescent;article;child;human;priority journal;United States;Chest Diseases, Thoracic Surgery and Tuberculosis (15);Cancer (16);Public Health, Social Medicine and Epidemiology (17);Occupational Health and Industrial Medicine (35)</t>
  </si>
  <si>
    <t>Objective. - To examine the effects of a community education and law enforcement intervention on illegal tobacco sales to minors. Design. - A 2- year, before and after trial with retail stores as the unit of analysis. Setting. - Implementation occurred in four suburban California communities with populations of 25 000 to 100 000. Participants. - All the retail stores in one intervention community and half the retail stores, randomly selected, in the other three intervention communities (n = 169) were visited by minors aged 14 to 16 years with the intent to purchase tobacco. Intervention. - Ongoing community and merchant education and four law enforcement operations were conducted. Main Outcome Measures. - Over-the-counter and vending machine sales of tobacco to minors were the primary outcomes. Results. - Among a cohort of stores visited by minors at the pretest (n = 104) in June 1988, 71% sold tobacco over the counter and 92% sold tobacco through vending machines. At posttest 2 in May 1990, 24% sold tobacco over the counter and 93% sold tobacco through vending machines. Of the 31 stores issued citations, 16 were followed into the courts where the fines were dismissed or reduced. Conclusions. - Education alone had a limited effect on reducing illegal tobacco sales to minors. It did promote community support for more aggressive enforcement strategies. Education plus enforcement decreased significantly over-the-counter sales; vending machine sales were unaffected by these interventions. The lack of support at the judicial level may temper the effectiveness of enforcement. Legislative remedies addressing judicial obstacles and vending machine sales are needed.</t>
  </si>
  <si>
    <t>(Feighery E.; Altman D.G.; Shaffer G.) American Medical Association, 515 North State Street, Chicago, United States.; ID: 3641</t>
  </si>
  <si>
    <t>http://www.ncbi.nlm.nih.gov/pubmed/1956106</t>
  </si>
  <si>
    <t>10.1001/jama.266.22.3168 FULL TEXT LINK http://dx.doi.org/10.1001/jama.266.22.3168</t>
  </si>
  <si>
    <t>The effects of combining education and enforcement to reduce tobacco sales to minors: A study of four northern California communities</t>
  </si>
  <si>
    <t>Feldman,J.;Su,W. H.;Kaley,M. M.;Kissin,B.;Author,Addresses;Dept. Environm. Med,Commun;Hlth,Downstate Med Cent State Univ New York Brooklyn N.Y.;Correspondence,Address;Dept Environm Med Commun Hlth, Downstate Med Cent State,Univ New;York,Brooklyn N. Y.</t>
  </si>
  <si>
    <t>4139730; Skid row and inner city alcoholics. A comparison of drinking patterns and medical problems</t>
  </si>
  <si>
    <t>Quart.J.Stud.Alcohol</t>
  </si>
  <si>
    <t>(MAJOR FOCUS);alcohol;alcoholism;beer;education;race;Western Hemisphere;wine;ethnic or racial aspects;alcohol (64-17-5);Drug Literature Index (37);Psychiatry (32);Public Health, Social Medicine and Epidemiology (17)</t>
  </si>
  <si>
    <t>Skid Row (a district of a town or city frequented by alcoholics) alcoholics were older than inner city alcoholics, had less education, fewer were Blacks and more were periodic drinkers and drank beer and wine. Both groups were in poor health.</t>
  </si>
  <si>
    <t>(Feldman J.; Su W.H.; Kaley M.M.; Kissin B.); ID: 3921</t>
  </si>
  <si>
    <t>http://www.ncbi.nlm.nih.gov/pubmed/4139730</t>
  </si>
  <si>
    <t>Skid row and inner city alcoholics. A comparison of drinking patterns and medical problems</t>
  </si>
  <si>
    <t>Fenster,J.;Author,Addresses;Adelphi University, School of,Social Work;One South Avenue, Garden City,N.Y.United States;Correspondence,Address;Fenster, Adelphi University School of Social Work One South Avenue,J.;Garden City, N Y United States Email fenster,adelphi edu</t>
  </si>
  <si>
    <t>Evaluation of a clinician training on referring chemically addicted clients to mutual aid groups</t>
  </si>
  <si>
    <t>medical education;patient referral;substance abuse;adult;article;clinical evaluation;female;human;male;medical society;professional knowledge;self concept;self help;Public Health, Social Medicine and Epidemiology (17)</t>
  </si>
  <si>
    <t>An in-service training was provided to 19 clinicians employed by one chemical dependency treatment facility. The goal of the training was to help substance abuse clinicians gain knowledge of several options for mutual aid fellowships, and strategies for referring clients to fellowships that correspond to clients' values and preferences. After participating in the training, clinicians were more familiar with, more knowledgeable about, and more likely to refer to a range of self-help options for ameliorating substance abuse issues. From pre- to posttest, clinicians also increased their scores on six out of nine self-efficacy items related to their ability to refer clients to mutual aid groups. â”¬âŒ 2013 Copyright Taylor and Francis Group, LLC.</t>
  </si>
  <si>
    <t>(Fenster J., fenster@adelphi.edu) Routledge, 325 Chestnut Street, Philadelphia, United States.; ID: 2446</t>
  </si>
  <si>
    <t>0734-7324 1544-4538 (electronic)</t>
  </si>
  <si>
    <t>2013065528 PUI L368193720</t>
  </si>
  <si>
    <t>10.1080/07347324.2013.746607 FULL TEXT LINK http://dx.doi.org/10.1080/07347324.2013.746607</t>
  </si>
  <si>
    <t>Ferguson,K. J.;Stapleton,J. T.;Helms,C. M.;Author,Addresses;University,of Iowa;Medicine,Iowa City I. A. United States;Correspondence,Address;CM Helms, University of Iowa College of Medicine Iowa,City I.;United,States</t>
  </si>
  <si>
    <t>2001138; Physician's effectiveness in assessing risk for human immunodeficiency virus infection</t>
  </si>
  <si>
    <t>high risk patient;Human immunodeficiency virus infection;physician attitude;article;human;mass screening;medical education;patient counseling;priority journal;risk assessment;Public Health, Social Medicine and Epidemiology (17)</t>
  </si>
  <si>
    <t>(Ferguson K.J.; Stapleton J.T.; Helms C.M.) American Medical Association, 515 North State Street, Chicago, United States.; ID: 3654</t>
  </si>
  <si>
    <t>http://www.ncbi.nlm.nih.gov/pubmed/2001138</t>
  </si>
  <si>
    <t>10.1001/archinte.151.3.561 FULL TEXT LINK http://dx.doi.org/10.1001/archinte.151.3.561</t>
  </si>
  <si>
    <t>Physician's effectiveness in assessing risk for human immunodeficiency virus infection</t>
  </si>
  <si>
    <t>Fernâ”œÃ­ndez,V. C.;Reitzel,L. R.;Wilson,W. T.;Kyburz,B. A.;Stacey,T.;Garza,J.;Lam,C.;Author,Addresses;University of Houston, Houston,United States;Anderson,Ut Md;States;Austin Travis,County Integral;Austin,United States;Correspondence,Address;VC Fernâ”œÃ­ndez, U T M D Anderson Cancer Center Houston,United States</t>
  </si>
  <si>
    <t>Multi-component tobacco-free workplace program in community mental health settings: The role of providers' training in tobacco dependence treatment</t>
  </si>
  <si>
    <t>college;community mental health;drug dependence;tobacco;tobacco dependence;workplace;behavior disorder;community;consumer;education;employee;health care personnel;hospital;human;mental disease;mental health care;mental health center;motivational interviewing;needs assessment;patient;physician;policy;population;smoking;smoking cessation;tobacco use;United States</t>
  </si>
  <si>
    <t>Aims: Tobacco use and dependence is twice as high in people with mental and behavioral disorders compared to their counterparts. Due to a common misconception among practitioners that quitting tobacco may exacerbate or trigger psychiatric symptoms, evidenced-based cessation treatments are often not made available to smokers with mental disorders. Integrating tobacco cessation interventions into smokers' mental health care and implementing tobacco-free campus policies at mental health clinics can significantly reduce the smoking rates of people with mental disorders, their health care providers, and the communities in which they reside. Austin Travis County Integral Care's (ATCIC) Tobacco-Free Workplace Program is a multi-component tobacco-free (MCTF) campus intervention program that has reduced tobacco use among their patients and employees. The ongoing Taking Texas Tobacco Free (TTTF) Program aims to adapt and disseminate ATCIC's program to dozens of mental health clinics across Texas. Methods: TTTF intervenes at four different levels: clinic-level for tobacco-free policy implementation and providers' training, employee-level to encourage and assist staff to quit smoking, consumer-level to provide brief tobacco cessation interventions among patients, and community-level to provide tobacco-related education to local communities. Results: Providers and staff completed needs assessment surveys. Over 1700 providers have been trained to treat tobacco dependence among psychiatric populations and in motivational interviewing. Conclusions: Implementing a MCTF campus in community mental health clinics is generally well-received by the majority of the clinics. Provider training is a necessary component to successfully address tobacco dependence among persons with mental disorders and to attain the programs' sustainability.</t>
  </si>
  <si>
    <t>(Reitzel L.R.; Garza J.) (Fernâ”œÃ­ndez V.C.; Lam C.) (Wilson W.T.; Kyburz B.A.; Stacey T.) 2015 Annual Meeting of the College on Problems of Drug Dependence, CPDD 2015 Phoenix, AZ, United States 2015-06-13 to 2015-06-18 Elsevier Ireland Ltd; ID: 2044</t>
  </si>
  <si>
    <t>10.1016/j.drugalcdep.2015.07.1051 FULL TEXT LINK http://dx.doi.org/10.1016/j.drugalcdep.2015.07.1051</t>
  </si>
  <si>
    <t>Ferrant,J. P.;Martin,J. C.;Bernot,J. L.;Author,Addresses;Cent,Louis Sevestre;Correspondence,Address;Cent,Louis Sevestre</t>
  </si>
  <si>
    <t>The problems involved in the teaching of alcohology to medical students ORIGINAL (NON-ENGLISH) TITLE PROBLEMES POSES PAR L'ENSEIGNEMENT DE L'ALCOOLOGIE AUX ETUDIANTS EN MEDECINE</t>
  </si>
  <si>
    <t>Ouest Medical</t>
  </si>
  <si>
    <t>alcoholism;medical education;medical student;teaching;major clinical study;Public Health, Social Medicine and Epidemiology (17);Psychiatry (32)</t>
  </si>
  <si>
    <t>(Ferrant J.P.; Martin J.C.; Bernot J.L.); ID: 3890</t>
  </si>
  <si>
    <t>1976102094 PUI L6102035</t>
  </si>
  <si>
    <t>Ferreri,F.;Bourla,A.;Mouchabac,S.;Karila,L.;Author,Addresses;Sorbonne;Universitâ”œâŒ, Upmc Department of,Adult Psychiatry;Medical,Psychology;Aphp,Saint-Antoine Hospital Paris France;Universitâ”œâŒ Paris Sud - Inserm U, Addiction,Research and;Treatment Center, Aphp Paul Brousse Hospital,Villejuif France;Correspondence,Address;Ferreri, Sorbonne Universitâ”œâŒ Upmc Department of Adult Psychiatry and,F.;Medical Psychology, Aphp Saint-Antoine Hospital Paris,France Email;alexis.bourla@aphp.fr</t>
  </si>
  <si>
    <t>e-Addictology: An overview of new technologies for assessing and intervening in addictive behaviors</t>
  </si>
  <si>
    <t>Frontiers in Psychiatry</t>
  </si>
  <si>
    <t>9:MAR Article Number: 51.</t>
  </si>
  <si>
    <t>behavior assessment;behavioral addiction (therapy);addiction medicine;behavior therapy;biofeedback;computerized adaptive testing;drug dependence (therapy);ecological momentary assessment;ecological momentary intervention;electronic device;health program;human;machine learning;neurofeedback;patient assessment;phenotype;review;smartphone;virtual reality;Psychiatry (32);Drug Dependence, Alcohol Abuse and Alcoholism (40)</t>
  </si>
  <si>
    <t>Background: New technologies can profoundly change the way we understand psychiatric pathologies and addictive disorders. New concepts are emerging with the development of more accurate means of collecting live data, computerized questionnaires, and the use of passive data. Digital phenotyping, a paradigmatic example, refers to the use of computerized measurement tools to capture the characteristics of different psychiatric disorders. Similarly, machine learning-a form of artificial intelligence-can improve the classification of patients based on patterns that clinicians have not always considered in the past. Remote or automated interventions (web-based or smartphone-based apps), as well as virtual reality and neurofeedback, are already available or under development. Objective: These recent changes have the potential to disrupt practices, as well as practitioners' beliefs, ethics and representations, and may even call into question their professional culture. However, the impact of new technologies on health professionals' practice in addictive disorder care has yet to be determined. In the present paper, we therefore present an overview of new technology in the field of addiction medicine. Method: Using the keywords e-health], m-health], computer], mobile], smartphone], wearable], digital], machine learning], ecological momentary assessment], biofeedback] and virtual reality], we searched the PubMed database for the most representative articles in the field of assessment and interventions in substance use disorders. Results: We screened 595 abstracts and analyzed 92 articles, dividing them into seven categories: e-health program and web-based interventions, machine learning, computerized adaptive testing, wearable devices and digital phenotyping, ecological momentary assessment, biofeedback, and virtual reality. Conclusion: This overview shows that new technologies can improve assessment and interventions in the field of addictive disorders. The precise role of connected devices, artificial intelligence and remote monitoring remains to be defined. If they are to be used effectively, these tools must be explained and adapted to the different profiles of physicians and patients. The involvement of patients, caregivers and other health professionals is essential to their design and assessment.</t>
  </si>
  <si>
    <t>(Ferreri F., alexis.bourla@aphp.fr; Bourla A.; Mouchabac S.) (Karila L.) Frontiers Media S.A., info@frontiersin.org; ID: 1729</t>
  </si>
  <si>
    <t>1664-0640 (electronic)</t>
  </si>
  <si>
    <t>20180158968 PUI L620938457</t>
  </si>
  <si>
    <t>10.3389/fpsyt.2018.00051 FULL TEXT LINK http://dx.doi.org/10.3389/fpsyt.2018.00051</t>
  </si>
  <si>
    <t>Feteanu,C.;Author,Addresses;Centre Hospitalo, Universitaire Vaudois Chuv,Service De;Psychiatrie Communautaire,Lausanne Switzerland;Correspondence,Address;Feteanu, Centre Hospitalo Universitaire Vaudois Chuv Service De,C.;Psychiatrie Communautaire,Lausanne Switzerland</t>
  </si>
  <si>
    <t>Mobility in psychiatry: A personal experience in Swiss addictology</t>
  </si>
  <si>
    <t>S479</t>
  </si>
  <si>
    <t>S480</t>
  </si>
  <si>
    <t>European;human;personal experience;psychiatry;Swiss;addiction;adult;ambulatory care;brain;case management;community;drug dependence;Europe;France;harm reduction;health care;medical specialist;mental health care;model;psychiatrist;psychotherapy;Saint Martin;Saint Martin (Dutch);Saint Martin (French);satisfaction;self report;social psychiatry;speech;Switzerland;teaching hospital;work environment</t>
  </si>
  <si>
    <t>Introduction Switzerland is a very attractive country for workforce brain drain in the field of psychiatry, with work, academic and financial conditions identified as pull factors; resulting in long-term migration and high level of satisfaction 1]. Objectives To enlight the phenomenon by reporting a personal experience of migration from France to Switzerland for work reasons as a psychiatrist. Aims To describe the main characteristics of the Swiss Mental Health Care in the Canton of Vaud focused on ambulatory cares in addictology. Methods Self-report description from the Centre Saint-Martin for drug addictions of the Community Psychiatry Department in Vaudois Teaching Hospital (CHUV) of Lausanne. Results The Centre Saint-Martin is an ambulatory center providing cares, support, treatment and harm reduction for adult drug addictions within a multidisciplinary team. The striking point of this model is the intense support made towards the community (general practionners, somatic and psychiatric cares) in order to maintain and develop addiction cares in the general health system. The case management model, still rare in France, is being implemented in the center resources management. Detailed descriptions are proposed. Lack of psychiatrists in the French speaking Canton of Vaud makes it very attractive for European specialists. Work and academic facilities, including psychotherapy training are accessible to foreign psychiatrists. Conclusions Work migration is a unique way to experience different practices in psychiatry within Europe. Living and working conditions in Switzerland make it a country particularly attractive.</t>
  </si>
  <si>
    <t>(Feteanu C.) 24th European Congress of Psychiatry, EPA 2016 Madrid, Spain 2016-03-12 to 2016-03-15 Elsevier Masson SAS; ID: 1983</t>
  </si>
  <si>
    <t>10.1016/j.eurpsy.2016.01.1756 FULL TEXT LINK http://dx.doi.org/10.1016/j.eurpsy.2016.01.1756</t>
  </si>
  <si>
    <t>Fields,A.;Wiegand,T.;Author,Addresses;University of Rochester,Medical Center;United,States;Correspondence,Address;Fields, University of Rochester Medical Center Rochester United States,A.</t>
  </si>
  <si>
    <t>Buprenorphine treatment of opioid dependence for patients hospitalized with infective endocarditis</t>
  </si>
  <si>
    <t>Journal of Medical Toxicology</t>
  </si>
  <si>
    <t>(MAJOR FOCUS);buprenorphine;antibiotic agent;cocaine;diamorphine;opiate;bacterial endocarditis;opiate addiction;adult;case report;clinical trial;complication;consultation;controlled study;drug therapy;drug toxicity;drug withdrawal;female;heart valve replacement;hospital patient;hospitalization;human;male;medical record review;patient satisfaction;peer counseling;remission;toxicology;buprenorphine (52485-79-7, 53152-21-9);cocaine (50-36-2, 53-21-4, 5937-29-1);diamorphine (1502-95-0, 561-27-3);opiate (53663-61-9, 8002-76-4, 8008-60-4)</t>
  </si>
  <si>
    <t>Introduction: Infective endocarditis (IE) is a life-threatening infection involving the valves of the heart, with in-hospital mortality between 15 and 30% 1, 2]. Treatment typically includes 4-6 weeks of antibiotics, often requiring surgical repair or replacement of damaged valves 3-5]. Intravenous drug use (IVDU) is a major risk factor for IE, leading to a 10- fold higher rate of death or re-operation between 3 and 6 months following an index operation for endocarditis 5]. In opioid-dependent individuals, treatment with buprenorphine has been shown to reduce IVDU and improve engagement in treatment. Research Question: Early initiation of buprenorphine during hospitalization for IE improves patient satisfaction and adherence to treatment. Methods: Retrospective chart review of three opioid-dependent patients during 2015-16 who were started on sublingual buprenorphine during hospitalization for IE secondary to IVDU. Case Discussion: Case 1\-A 33-year-old opioid-dependent female with intravenous heroin and cocaine abuse, 2 previous episodes of IE, and valve replacement/repair is hospitalized for recurrent IE. SL buprenorphine was started during her hospitalization. Case 2\-A 33-year-old female with intravenous heroin and cocaine abuse is hospitalized for IE and started on</t>
  </si>
  <si>
    <t>(Fields A.; Wiegand T.) 2017 Annual Scientific Meeting of the American College of Medical Toxicology, ACMT San Juan, Puerto Rico 2017-03-30 to 2017-04-02 Springer New York LLC; ID: 1841</t>
  </si>
  <si>
    <t>10.1007/s13181-017-0599-3 FULL TEXT LINK http://dx.doi.org/10.1007/s13181-017-0599-3</t>
  </si>
  <si>
    <t>Finnegan,T.;Chatterjee,P.;Grimes,C.;Kear,C.;McKeithen,T.;Author,Addresses;Medscape Education,New,York United;States;California Academy of Family Physicians, San,Francisco United;States;Healthcare Performance Consulting, Statesboro,United States;Correspondence,Address;Finnegan, Medscape Education New York United States,T.</t>
  </si>
  <si>
    <t>Interim analysis of practice changes following participation in online and live ER/LA opioid rems CME/CE programs from the COÎ“ÃªÃ¹re collaborative</t>
  </si>
  <si>
    <t>128 Supplement 2</t>
  </si>
  <si>
    <t>opiate;prescription drug;addiction;advanced practice nurse;caregiver;clinical practice;clinical study;clinical trial;comorbidity;controlled study;counseling;doctor patient relation;drug abuse;drug control;drug therapy;drug withdrawal;e-mail;education;epidemic;follow up;food and drug administration;health care personnel;human;pain;population model;prescription;primary medical care;safety;world health organization;opiate (53663-61-9, 8002-76-4, 8008-60-4)</t>
  </si>
  <si>
    <t>Purpose The epidemic of prescription opioid drug abuse, misuse, and addiction is well established. In April 2011, the Office of National Drug Control Policy (ONDCP) released an action plan to address the national prescription drug abuse epidemic. In response, the U.S. Food and Drug Administration (FDA) announced in 2012 the elements of a Risk Evaluation and Mitigation Strategy (REMS) that would require all manufacturers of extended-release and longacting (ER/LA) opioids to ensure that education is provided to prescribers of these medications. The provision for education was designed to ascertain that the benefits of ER/LA opioid analgesics outweigh the risks in appropriate candidates. In response to this, the Collaborative for REMS Education, (COÎ“ÃªÃ¹RE) consisting of 13 organizations, partnered to promote individual and population health and public safety through evidence-based and outcomesoriented interprofessional education related to the comprehensive management of pain, addiction, and their comorbidities. COÎ“ÃªÃ¹RE has received REMS Program Companies (RPC) grants since 2013, which has resulted in the development and delivery of more than 500 CME/CE activities, educating more than 170,000 clinicians across the U.S. in accordance with the FDA Blueprint. A subset of CME-certified activities on the topic of safe and appropriate use of ER/LA opioid analgesic therapies were specifically designed to include an assessment of changes in practice behavior among participating learners. The current interim analysis was designed to determine the effect of the first 30 CME/CE-certified RPC-supported activities on planned and implemented changes involved in the safe and appropriate prescription of ER/LA opioid analgesics. Method A total of 505 US-based health care professionals (HCPs) participated in the post-activity survey that formed the basis of the planned change assessment (PCA). Of the 30 activities included in the interim analysis, 25 were live meetings, 4 were webinars, and 1 online enduring CME activity. The release of the first activity included in the interim analysis was in May 2013 and the most recent activity took place in December 2015. The impact of each activity on selfreported practices related to the safe and appropriate prescription of opioid analgesics was measured using intent to change, a validated surrogate measure for actual changes in clinical practice. An email invitation to participate in the planned change assessment follow-up survey was sent to all respondents 6 weeks to six-months after the activity. This follow-up email served to remind the respondents of the program, and of their commitment to changes in their practice. The follow-up survey asked additional questions as to whether changes in practice were made, and about barriers to change if the change was not made. Survey participants' stated intentions were compared with reported actual changes in performance, and barriers to implementing changes were assessed. Interim data for the 505 HCPs were collected through April 2016 and evaluated. Results The population of responders included in the interim analysis consisted of 50% physicians, 32% PAs, 16% advanced practice nurses (APN), and the remainder from other clinical professions. Among the respondents, 58% were primary care clinicians (PCP), 33% were non-pain specialists, and 8% were pain specialists. Î“Ã‡Ã³ For all respondents, the most commonly reported change implemented into practice was Î“Ã‡Â£counseling patients and caregivers about the safe use of ER/LA opioid analgesics]Î“Ã‡Â¥ (21%), whereas Î“Ã‡Â£initiating, modifying, or discontinuing treatment with ER/LA opioid analgesicsÎ“Ã‡Â¥ was the least frequently implemented (14%). Î“Ã‡Ã³ For respondents who could prescribe medication, most commonly reported implemented changes were: Î“Ã‡Â£counseling patients and caregivers about the safe use of ER/ LA opioid analgesics]Î“Ã‡Â¥(21%), Î“Ã‡Â£assessing patients for treatment with ER/LA opioid analgesic therapyÎ“Ã‡Â¥ (19%), and Î“Ã‡Â£managing risks of patients prescribed ER/LA opioid analgesicsÎ“Ã‡Â¥ (18%). Î“Ã‡Ã³ For non-prescribers, the most commonly reported implemented changes were: Î“Ã‡Â£referring patients when appropriateÎ“Ã‡Â¥( 22%), Î“Ã‡Â£counseling patients and caregivers about the safe use of ER/LA opioid analgesics]Î“Ã‡Â¥(21%), and Î“Ã‡Â£managing risks of patients prescribed ER/LA opioid analgesicsÎ“Ã‡Â¥ (17%). Î“Ã‡Ã³ PCPs reported both the largest average number of planned changes (3.2) and largest number of average implemented changes (2.5), whereas health care providers categorized as non-pain specialists had the lowest average number of planned changes (2.7) and average implemented changes (1.7). When assessed by profession, APNs reported the largest average number of planned changes (3.5), but the lowest average number of implemented changes (1.3). Although physician and PAs reported a different number of average planned changes (3.2 vs 2.6, respectively), they both reported the same average number of implemented changes (1.7). Î“Ã‡Ã³ Barriers to the implementation of practice changes across all participants were: diversion (13%), cost of therapy (9%), participant concern regarding the potential for dependency or addiction to opioids (10%), and patient concern regarding the potential for dependency or addiction to opioids (8%). Conclusions The interim analysis of educational activities by COÎ“ÃªÃ¹RE on the safe and appropriate prescribing of opioid analgesics indicated a strong likelihood that health care professionals were implementing what they learned into practice. Participants reported making changes regarding counseling on, and assessing patients for, opioid analgesic therapy. Further efforts should be aimed at increasing the number of health care professionals who report implementing changes on the initiation, modification, and/or discontinuation of opioid analgesics. In addition, future educational initiatives should address barriers preventing health care professionals from more effectively implementing practice changes.</t>
  </si>
  <si>
    <t>(Finnegan T.; Chatterjee P.; Grimes C.) (Kear C.) (McKeithen T.) 2016 Pain Week Conference Las Vegas, NV, United States 2016-09-06 to 2016-09-10 Taylor and Francis Inc.; ID: 2026</t>
  </si>
  <si>
    <t>10.1080/00325481.2016.1224633 FULL TEXT LINK http://dx.doi.org/10.1080/00325481.2016.1224633</t>
  </si>
  <si>
    <t>Firth,A. Y.;Author,Addresses;Academic Unit,of Ophthalmology;Orthoptics,University of Sheffield Sheffield United Kingdom;Correspondence,Address;AY Firth, Academic Unit,of Ophthalmology;Orthoptics,University of;Sheffield,Sheffield United Kingdom Email a firth sheffield ac uk</t>
  </si>
  <si>
    <t>15937513; Class A drug abuse: An ophthalmologist's problem?</t>
  </si>
  <si>
    <t>Eye</t>
  </si>
  <si>
    <t>anesthetic agent (adverse drug reaction);cocaine (adverse drug reaction, drug toxicity, intranasal drug;administration);diamorphine (drug toxicity);illicit drug;lysergide (drug toxicity);midomafetamine (drug toxicity);naltrexone (drug toxicity);quinine (drug toxicity);drug dependence;eye disease (side effect);adnexa disease;amblyopia;brain hemorrhage;closed angle glaucoma;convergent strabismus;cornea disease (side effect);cornea ulcer (side effect);diplopia;disease exacerbation (side effect);drug abuse;drug classification;editorial;general practitioner;health survey;human;lacrimal duct occlusion;medical specialist;myasthenia gravis;nerve paralysis;ophthalmology;optic nerve disease;orbit cellulitis;punctate keratitis (side effect);retina hemorrhage;retinopathy;United Kingdom;visual acuity;visual disorder;visual field defect;visual impairment;3,4 methylenedioxymethamphetamine (42542-10-9);cocaine (50-36-2, 53-21-4, 5937-29-1);diamorphine (1502-95-0, 561-27-3);lysergide (50-37-3);naltrexone (16590-41-3, 16676-29-2);quinine (130-89-2, 130-95-0, 14358-44-2, 549-48-4, 549-49-5, 60-93-5,;7549-43-1);Ophthalmology (12);Drug Literature Index (37);Adverse Reactions Titles (38);Drug Dependence, Alcohol Abuse and Alcoholism (40);Toxicology (52)</t>
  </si>
  <si>
    <t>(Firth A.Y., a.firth@sheffield.ac.uk) Nature Publishing Group, Houndmills, Basingstoke, Hampshire, United Kingdom.; ID: 3176</t>
  </si>
  <si>
    <t>0950-222X</t>
  </si>
  <si>
    <t>http://www.ncbi.nlm.nih.gov/pubmed/15937513</t>
  </si>
  <si>
    <t>10.1038/sj.eye.6701624 FULL TEXT LINK http://dx.doi.org/10.1038/sj.eye.6701624</t>
  </si>
  <si>
    <t>Class A drug abuse: An ophthalmologist's problem?</t>
  </si>
  <si>
    <t>Fisher,J. V.;Fisher,J. C.;Mason,R. L.;Author,Addresses;Dept Family Pract, Med,Univ South;Carolina,Charleston S. C.;Correspondence,Address;Dept Family Pract, Med Univ South Carolina,Charleston S.</t>
  </si>
  <si>
    <t>1003983; Physicians and alcoholics: modifying behavior and attitudes of family practice residents</t>
  </si>
  <si>
    <t>alcoholism;attitude;behavior;diagnosis;education program;general practitioner;health education;medical education;postgraduate education;methodology;normal human;therapy;Public Health, Social Medicine and Epidemiology (17);Psychiatry (32)</t>
  </si>
  <si>
    <t>On completion of an alcoholism education course, family practice residents exhibited significant cognitive and affective learning as evidenced by increases in factual knowledge about alcoholism and improved attitudes toward alcoholic patients. Diagnostic patterns were also improved.</t>
  </si>
  <si>
    <t>(Fisher J.V.; Fisher J.C.; Mason R.L.); ID: 3878</t>
  </si>
  <si>
    <t>http://www.ncbi.nlm.nih.gov/pubmed/1003983</t>
  </si>
  <si>
    <t>Physicians and alcoholics: modifying behavior and attitudes of family practice residents</t>
  </si>
  <si>
    <t>Fiske,A.;Anderson,D.;Friesner,D.;Taylor,S.;Author,Addresses;Thrifty White,Pharmacy;France;Sanford,Medical Center;North Dakota,State University;Correspondence,Address;Fiske, Thrifty White Pharmacy France Email afiske thriftywhite com,A.</t>
  </si>
  <si>
    <t>Correlation between identified and resolved drug therapy problems to rehospitalization rates and patient outcomes discovered through a pharmacist-led transitional care unit patient discharge education program</t>
  </si>
  <si>
    <t>Journal of the American Pharmacists Association</t>
  </si>
  <si>
    <t>e175</t>
  </si>
  <si>
    <t>drug therapy;education program;hospital discharge;hospital readmission;human;patient;pharmacist;adverse drug reaction;caregiver;drug cost;drug interaction;hospital;immunization;information processing;low drug dose;medicaid;medicare;model;monitoring;patient education;physician;pilot study;therapy;treatment duration</t>
  </si>
  <si>
    <t>Objective: According to the Centers for Medicaid and Medicare Services, one in five Medicare patients (2.6 million individuals) is readmitted to the hospital within 30 days post discharge, accounting for nearly $26 billion per year. From admission to discharge and through continuance of care, pharmacists assist patients and caregivers by coordinating medication handoffs, eliminating medication discrepancies, and improving adherence. The goal of this research project is to evaluate how a pharmacist-led transitional care unit (TCU) patient discharge education program affects rehospitalization rates and patient outcomes through identified and resolved drug therapy problems (DTPs). Methods: The study is an observational pilot project using data collected from an existing patient discharge education program. The type, quantity of identified and resolved DTPs, and time at which the DTP was identified will be analyzed. DTPs include: (1) missing therapy, (2) unnecessary therapy, (3) suboptimal drug, (4) cost efficacy, (5) adverse drug reaction, (6) drug-drug interaction, (7) drug-condition interaction, (8) dose too low, (9) dose too high, (10) proper monitoring of drug, (11) appropriate duration of therapy, (12) underuse of medication, (13) overuse of medication, (14) inappropriate administration, and (15) immunization history. Data will be analyzed using â•§Ã§(2) tests and 5% significance levels. Data collection and analysis are ongoing. Results: Currently, data collected from July 1, 2014 to September 17, 2014 yields 15 patients completing the program. Pharmacists identified 43 DTPs with an average number of 2.86 DTPs per patient. DTPs identified range from 0 per patient to 8 per patient. There have been 37 DTPs addressed by the patient/ physician and 32 interventions were implemented (86% success rate). This pharmacist-led TCU patient education discharge program is a realistic model to incorporate pharmacists in helping to bridge the care gap during patient transitions of care.</t>
  </si>
  <si>
    <t>(Fiske A., afiske@thriftywhite.com; Taylor S.) (Anderson D.) (Friesner D.) APhA2015 San Diego, CA, United States 2015-03-27 to 2015-03-30 American Pharmacists Association; ID: 2132</t>
  </si>
  <si>
    <t>1544-3191</t>
  </si>
  <si>
    <t>10.1331/JAPhA.2015.15515 FULL TEXT LINK http://dx.doi.org/10.1331/JAPhA.2015.15515</t>
  </si>
  <si>
    <t>Fisoun,V.;Floros,G.;Siomos,K.;Geroukalis,D.;Navridis,K.;Author,Addresses;Department of Psychiatry, Evaggelismos General,Hospital of;Athens,Athens Greece;nd Department,of Psychiatry;University of Thessaloniki, Langada Str,Thessaloniki Greece;Hellenic Association for the Study,of Internet;Disorder,Larisa Greece;Hippocrates Center for Drug,Abuse Prevention;Department of Psychology, School of Philosophy,University of;Athens,Athens Greece;Correspondence,Address;Floros, nd Department of Psychiatry Aristotle University of,G.;Thessaloniki,Langada Str Thessaloniki Greece Email;georgefloros@gmail.com</t>
  </si>
  <si>
    <t>22227578; Internet addiction as an important predictor in early detection of adolescent drug use experience-implications for research and practice</t>
  </si>
  <si>
    <t>illicit drug;internet addiction;adolescent;adult;article;child behavior;cross-sectional study;disease association;disease severity;drug use;Eysenck Personality Questionnaire;female;human;major clinical study;male;personality;priority journal;psychosis;risk factor;sex difference;substance abuse;Psychiatry (32)</t>
  </si>
  <si>
    <t>We present results from a cross-sectional study of the entire adolescent student population aged 14 to 18 years of the island of Kos, on the correlates between personality, illicit chemical substance use, and Internet abuse. Results demonstrate that adolescents who have used illicit substances and are abusing the Internet as well appear to share some common personality characteristics, namely those that are classified under the label of "psychoticism" in the Eysenck's personality model. An increase in the severity of pathological Internet use has been linked to increased chances of having used an illicit substance. Taking into account any common personality attributes, Internet addiction can still be useful as a predictor variable for substance use experiences. Future research should attempt to verify any biological common factors between chemical substances use and Internet abuse. Targeting the adolescent population that engages in increased Internet use may be of benefit for drug abuse prevention programs. Copyright â”¬âŒ 2012 American Society of Addiction Medicine.</t>
  </si>
  <si>
    <t>(Fisoun V.) (Floros G., georgefloros@gmail.com) (Siomos K.) (Geroukalis D.) (Navridis K.) Lippincott Williams and Wilkins, 250 Waterloo Road, London, United Kingdom.; ID: 2578</t>
  </si>
  <si>
    <t>http://www.ncbi.nlm.nih.gov/pubmed/22227578</t>
  </si>
  <si>
    <t>10.1097/ADM.0b013e318233d637 FULL TEXT LINK http://dx.doi.org/10.1097/ADM.0b013e318233d637</t>
  </si>
  <si>
    <t>Internet addiction as an important predictor in early detection of adolescent drug use experience-implications for research and practice</t>
  </si>
  <si>
    <t>Fitzgerald,N.;Watson,H.;McCaig,D.;Stewart,D.;Author,Addresses;Create Consultancy,Glasgow,G.B.A.United Kingdom;School,of;Pharmacy,Robert Gordon University Schoolhill Aberdeen A.B.F.R.United;Kingdom;School,of Nursing;Community Health,Glasgow;Caledonian University,Glasgow,G.B.A.United Kingdom;Correspondence,Address;Stewart, School of Pharmacy Robert Gordon University Schoolhill,D.;Aberdeen Ab10 1Fr, United Kingdom Email d stewart rgu,ac uk</t>
  </si>
  <si>
    <t>19199073; Developing and evaluating training for community pharmacists to deliver interventions on alcohol issues</t>
  </si>
  <si>
    <t>Pharmacy World and Science</t>
  </si>
  <si>
    <t>alcohol consumption;medical education;article;attitude;competence;controlled study;human;knowledge;pharmacist;United Kingdom;Public Health, Social Medicine and Epidemiology (17);Pharmacy (39)</t>
  </si>
  <si>
    <t>Objective To evaluate community pharmacists' readiness to provide brief interventions on alcohol and to use study findings to develop training to enable them to screen for hazardous or harmful drinking and intervene appropriately. Setting Community pharmacies in Scotland. Method Eight community pharmacies in Greater Glasgow, Scotland were purposively selected on the basis of pharmacy (independent, multiple), population deprivation index, location (rural, urban, suburban), and local level of hospital admissions for alcohol misuse. Baseline pharmacist telephone interviews covered: current practice; attitudes towards a proactive role; and perceived training needs. A two-day course was designed focusing on: consequences of problem alcohol use; attitudes; sensible drinking; familiarity with client screening using the Fast Alcohol Screening Tool; brief interventions and motivational interviewing. Main Outcome Measures Knowledge of problem alcohol use and brief interventions; attitudes; competence. Results Participants felt it was feasible for trained pharmacists to provide brief interventions. Core training needs centred on communication and alcohol related knowledge. The training course was positively evaluated and led to increases in knowledge, attitudinal scores and self related competence. Conclusion A training programme for pharmacists to deliver brief interventions to problem drinkers was successfully delivered resulting in enhanced knowledge, attitudinal scores and self related competence. â”¬âŒ 2009 Springer Science+Business Media B.V.</t>
  </si>
  <si>
    <t>(Fitzgerald N.) (Fitzgerald N.; McCaig D.; Stewart D., d.stewart@rgu.ac.uk) (Watson H.) Springer Netherlands, Van Godewijckstraat 30, Dordrecht, Netherlands.; ID: 2914</t>
  </si>
  <si>
    <t>0928-1231</t>
  </si>
  <si>
    <t>http://www.ncbi.nlm.nih.gov/pubmed/19199073</t>
  </si>
  <si>
    <t>10.1007/s11096-009-9284-1 FULL TEXT LINK http://dx.doi.org/10.1007/s11096-009-9284-1</t>
  </si>
  <si>
    <t>Developing and evaluating training for community pharmacists to deliver interventions on alcohol issues</t>
  </si>
  <si>
    <t>Flay,B. R.;Koepke,D.;Thomson,S. J.;Santi,S.;Best,J. A.;Brown,K. S.;Author,Addresses;Prevention Research Center, University of Illinois,Chicago I.;Correspondence,Address;Prevention Research Center, University of Illinois,Chicago I.</t>
  </si>
  <si>
    <t>2782505; Six-year follow-up of the first Waterloo school smoking prevention trial</t>
  </si>
  <si>
    <t>education program;medical education;smoking;education;epidemiology;female;follow up;human;human experiment;male;prevention;priority journal;United States;Public Health, Social Medicine and Epidemiology (17);Drug Dependence, Alcohol Abuse and Alcoholism (40)</t>
  </si>
  <si>
    <t>This paper reports six-year follow-up data from the first large-scale randomized trial of the social influences approach to smoking prevention. In 1979, 22 schools were randomly assigned to program or control conditions. Students in program schools received a social influences curriculum in six core and two maintenance sessions in grade 6, two booster sessions in grade 7, and one booster session in grade 8. All students were assessed at pretest (T1), immediate posttest (T2), end of grade 6 (T3), beginning and end of grade 7 (T4 and T5), end of grade 8 (T6), and grades 11 and 12 (T7 and T8). Ninety percent of study students were relocated and data obtained from over 80 percent of them at T8. Program effects on experimental smoking observed in grades 7 and 8 had completely decayed by T8, six years after the beginning of the program. Grade 6 smoking experience and social risk were each strong predictors of T8 smoking behavior. Subjects who had left school were smoking at more than twice the rate of subjects still in high school (grade 12) at T8. We discuss implications of the results.</t>
  </si>
  <si>
    <t>(Flay B.R.; Koepke D.; Thomson S.J.; Santi S.; Best J.A.; Brown K.S.) American Public Health Association Inc., 800 I Street NW, Washington, United States.; ID: 3711</t>
  </si>
  <si>
    <t>http://www.ncbi.nlm.nih.gov/pubmed/2782505</t>
  </si>
  <si>
    <t>Six-year follow-up of the first Waterloo school smoking prevention trial</t>
  </si>
  <si>
    <t>Fleischmann,H.;Author,Addresses;Bezirkskrankenhaus;Wâ”œâ•¢llershof, Postfach Neustadt,a d Waldnaab Germany;Correspondence,Address;Fleischmann, Bezirkskrankenhaus Wâ”œâ•¢llershof Postfach Neustadt,H.;a d Waldnaab, Germany Email heribert fleischmann,medbo de</t>
  </si>
  <si>
    <t>Medical boards and qualifications in addiction medicine - A disturbed relationship ORIGINAL (NON-ENGLISH) TITLE â”œÃ¤rzteschaft und suchtmedizinische qualifikationen - Ein getrâ”œâ•btes verhâ”œÃ±ltnis!</t>
  </si>
  <si>
    <t>(MAJOR FOCUS);diamorphine;methadone;opiate;addiction;certification;abstinence;accreditation;curriculum;editorial;education program;Germany;human;medical education;methadone treatment;opiate addiction;psychiatry;quality control;diamorphine (1502-95-0, 561-27-3);methadone (1095-90-5, 125-56-4, 23142-53-2, 297-88-1, 76-99-3);opiate (53663-61-9, 8002-76-4, 8008-60-4);Public Health, Social Medicine and Epidemiology (17);Drug Literature Index (37);Drug Dependence, Alcohol Abuse and Alcoholism (40)</t>
  </si>
  <si>
    <t>(Fleischmann H., heribert.fleischmann@medbo.de); ID: 3185</t>
  </si>
  <si>
    <t>2005243868 PUI L40754624</t>
  </si>
  <si>
    <t>10.1463/2005.02.01 FULL TEXT LINK http://dx.doi.org/10.1463/2005.02.01</t>
  </si>
  <si>
    <t>Fleming,M.;Olsen,D.;Stathes,H.;Boteler,L.;Grossberg,P.;Pfeifer,J.;Schiro,S.;Banning,J.;Skochelak,S.;Author,Addresses;Department of Family Medicine, University of Wisconsin,Madison School;of,Medicine;Public Health, Delaplaine Court,Madison W.;United,States;Department of Pediatrics, University of,Wisconsin Madison;Wi,United States;Clinical,Teaching;Assessment Center,University of;Wisconsin,Madison W. I. United States;School of,Medicine;Public Health,University;of Wisconsin,Madison,W.I.United States;Simmersion,L. L. C. C.;States;Correspondence,Address;Fleming, Department of Family Medicine University of Wisconsin Madison,M.;School of,Medicine;Public Health, Delaplaine Court,Madison W.;edu,United States Email mike fleming fammed wisc</t>
  </si>
  <si>
    <t>19587253; Virtual reality skills training for health care professionals in alcohol screening and brief intervention</t>
  </si>
  <si>
    <t>Journal of the American Board of Family Medicine</t>
  </si>
  <si>
    <t>alcohol consumption;medical education;article;automatic speech recognition;health care personnel;medical practice;scoring system;videorecording;virtual reality;Public Health, Social Medicine and Epidemiology (17)</t>
  </si>
  <si>
    <t>Background: Educating physicians and other health care professionals about the identification and treatment of patients who drink more than recommended limits is an ongoing challenge. Methods: An educational randomized controlled trial was conducted to test the ability of a standalone training simulation to improve the clinical skills of health care professionals in alcohol screening and intervention. The "virtual reality simulation" combined video, voice recognition, and nonbranching logic to create an interactive environment that allowed trainees to encounter complex social cues and realistic interpersonal exchanges. The simulation included 707 questions and statements and 1207 simulated patient responses. Results: A sample of 102 health care professionals (10 physicians; 30 physician assistants or nurse practitioners; 36 medical students; 26 pharmacy, physican assistant, or nurse practitioner students) were randomly assigned to a no training group (n = 51) or a computer-based virtual reality intervention (n = 51). Professionals in both groups had similar pretest standardized patient alcohol screening skill scores: 53.2 (experimental) vs 54.4 (controls), 52.2 vs 53.7 alcohol brief intervention skills, and 42.9 vs 43.5 alcohol referral skills. After repeated practice with the simulation there were significant increases in the scores of the experimental group at 6 months after randomization compared with the control group for the screening (67.7 vs 58.1; P &lt; .001) and brief intervention (58.3 vs 51.6; P &lt; .04) scenarios. Conclusions: The technology tested in this trial is the first virtual reality simulation to demonstrate an increase in the alcohol screening and brief intervention skills of health care professionals.</t>
  </si>
  <si>
    <t>(Fleming M., mike.fleming@fammed.wisc.edu; Pfeifer J.; Schiro S.; Skochelak S.) (Grossberg P.) (Banning J.) (Schiro S.; Skochelak S.) (Olsen D.; Stathes H.; Boteler L.) American Board of Family Medicine, 2228 Young Drive, Lexington, United States.; ID: 2892</t>
  </si>
  <si>
    <t>1557-2625 1558-7118 (electronic)</t>
  </si>
  <si>
    <t>http://www.ncbi.nlm.nih.gov/pubmed/19587253</t>
  </si>
  <si>
    <t>10.3122/jabfm.2009.04.080208 FULL TEXT LINK http://dx.doi.org/10.3122/jabfm.2009.04.080208</t>
  </si>
  <si>
    <t>Virtual reality skills training for health care professionals in alcohol screening and brief intervention</t>
  </si>
  <si>
    <t>Fleming,M. F.;Author,Addresses;Family Medicine Research Program, University,of Wisconsin;Madison,Wi Usa;Correspondence,Address;MF Fleming, Family Medicine Research Program University,of Wisconsin;Madison,Wi Usa</t>
  </si>
  <si>
    <t>23580987; Screening, assessment, and intervention for substance use disorders in general health care settings</t>
  </si>
  <si>
    <t>(MAJOR FOCUS);street drug;addiction (diagnosis, epidemiology, rehabilitation);alcoholism (diagnosis, epidemiology, rehabilitation);mass screening;substance abuse;cooperation;cross-sectional study;evidence based medicine;general practice;human;interdisciplinary communication;psychotherapy;review;United States</t>
  </si>
  <si>
    <t>Health care settings offer an important opportunity to reduce the burden of harm associated with SUD. This paper provides health care professionals with a range of clinical protocols and implementation methods that can improve the care of patients and their families who are affected by these disorders. It is time for health care professionals to change the system. It is time for university presidents, chancellors, and deans to take responsibility for a problem too long neglected. Through education and united efforts, we can effect changes that will improve the health of our patients and communities.</t>
  </si>
  <si>
    <t>(Fleming M.F.); ID: 3312</t>
  </si>
  <si>
    <t>http://www.ncbi.nlm.nih.gov/pubmed/23580987</t>
  </si>
  <si>
    <t>Screening, assessment, and intervention for substance use disorders in general health care settings</t>
  </si>
  <si>
    <t>Flentje,A.;Livingston,N.;Roley,J.;Sorensen,J.;Author,Addresses;University of California, San,Francisco San;Francisco,United States;University of Montana, Missoula,United States;Drexel University,Philadelphia,United States;Correspondence,Address;Flentje, University of California San Francisco San Francisco United,A.;States</t>
  </si>
  <si>
    <t>Medical and mental health needs of lesbian, gay, and bisexual clients in substance abuse treatment</t>
  </si>
  <si>
    <t>bisexuality;college;drug dependence;female;homosexual female;homosexual male;human;mental health;substance abuse;bisexual female;bisexual male;data base;diagnosis;drug therapy;ethnicity;health;health care utilization;heterosexuality;logistic regression analysis;male;mental health service;model;prescription;United States</t>
  </si>
  <si>
    <t>Aims: This study identified the physical and mental health needs and service utilization of lesbian, gay, and bisexual (LGB) individuals relative to heterosexual counterparts in substance abuse treatment. Based on prior research and the minority stress model (Meyer, 2003), we hypothesized that LGB individuals would have higher rates of physical and mental health problems and service utilization relative to heterosexual individuals. Methods: Physical and mental health problems and service utilization were examined within a database documenting 13,211 individuals who entered substance abuse treatment between 2007 and 2009 within San Francisco, CA. Differences between LGB (n = 1441) and heterosexual (n=11,770) individuals were identified using logistic regression, covarying race, ethnicity, and age, with separate models for males and females. Results: Gay men (adjOR: 1.42, 99.9% CI: 1.07, 1.88) and bisexual women(adjOR: 1.70, 99.9% CI: 1.06, 2.74) were more likely than heterosexual counterparts to report recent physical health problems; this difference was not evident for bisexual men or lesbian women. Among men, gay (adjOR: 4.26, 99.9% CI: 2.72, 6.66) and bisexual (adjOR: 2.62, 99.9% CI: 1.15, 5.93) status predicted higher health care utilization; there were no differences among women. LGB status was predictive of higher rates of mental health diagnoses (adjOR range across LGB groups 1.86-4.00) and current mental health prescription medications (adjOR range 1.79-4.99) for LGB men and women. Both gay (adjOR: 3.38, 99.9%</t>
  </si>
  <si>
    <t>(Flentje A.; Sorensen J.) (Livingston N.) (Roley J.) 2015 Annual Meeting of the College on Problems of Drug Dependence, CPDD 2015 Phoenix, AZ, United States 2015-06-13 to 2015-06-18 Elsevier Ireland Ltd; ID: 2045</t>
  </si>
  <si>
    <t>10.1016/j.drugalcdep.2015.07.1108 FULL TEXT LINK http://dx.doi.org/10.1016/j.drugalcdep.2015.07.1108</t>
  </si>
  <si>
    <t>Foo,L.;Lubman,D.;Frei,M.;Arunogiri,S.;Author,Addresses</t>
  </si>
  <si>
    <t>24516246; An audit examining the impact of a training session on interest in prescribing opioid maintenance treatment among psychiatrists and trainees</t>
  </si>
  <si>
    <t>(MAJOR FOCUS);opiate (drug therapy);buprenorphine;methadone;medical education;medical student;prescription;psychiatrist;chronic pain (drug therapy);clinical audit;drug misuse;human;letter;maintenance therapy;mental health service;opiate addiction;questionnaire;buprenorphine (52485-79-7, 53152-21-9);methadone (1095-90-5, 125-56-4, 23142-53-2, 297-88-1, 76-99-3);opiate (53663-61-9, 8002-76-4, 8008-60-4);Public Health, Social Medicine and Epidemiology (17);Psychiatry (32);Drug Literature Index (37);Drug Dependence, Alcohol Abuse and Alcoholism (40)</t>
  </si>
  <si>
    <t>(Foo L.; Lubman D.; Frei M.; Arunogiri S.) SAGE Publications Ltd, 55 City Road, London, United Kingdom.; ID: 2260</t>
  </si>
  <si>
    <t>1039-8562 1440-1665 (electronic)</t>
  </si>
  <si>
    <t>http://www.ncbi.nlm.nih.gov/pubmed/24516246</t>
  </si>
  <si>
    <t>10.1177/1039856213510751 FULL TEXT LINK http://dx.doi.org/10.1177/1039856213510751</t>
  </si>
  <si>
    <t>An audit examining the impact of a training session on interest in prescribing opioid maintenance treatment among psychiatrists and trainees</t>
  </si>
  <si>
    <t>Ford,C.;Ryrie,I.;Author,Addresses;Brent;Harrow Health Authority, Harrovian,Business Village;Beesborough Road,Harrow,H.A.R.X.United Kingdom;Sainsbury Centre for Mental Health, Borough,High Street;London,Se1 1Lb;Correspondence,Address;Ford,Brent,C.;Harrow Health Authority, Harrovian,Business Village;Beesborough Road,Harrow,H.A.R.X.United Kingdom</t>
  </si>
  <si>
    <t>A comprehensive package of support to facilitate the treatment of problem drug users in primary care: An evaluation of the training component</t>
  </si>
  <si>
    <t>(MAJOR FOCUS);methadone;drug abuse;primary medical care;alcoholism;article;general practitioner;policy;prescription;priority journal;reimbursement;social support;substance abuse;training;methadone (1095-90-5, 125-56-4, 23142-53-2, 297-88-1, 76-99-3);Public Health, Social Medicine and Epidemiology (17);Drug Dependence, Alcohol Abuse and Alcoholism (40)</t>
  </si>
  <si>
    <t>Since the early 1980s, government policy documents and specialist reports have encouraged the involvement of general practitioners (GPs) in the treatment of problem drug users. In spite of such policy initiatives, their involvement has been patchy and slow. In response to this apparent reluctance, the London Boroughs of Brent and Harrow established the substance misuse management project (SMP) to support and train GPs in the management of substance misuse. The SMP is a GP-led project that provides ongoing support, shared-care protocol, primary care team training, treatment audits and financial reimbursements. In 1996, the SMP worked with GPs who were not currently involved in treating problem drug users, and those who were providing only minimal interventions. This paper evaluates the training and support given to these GPs and examines changes in their practice. A pre- and post-test survey was undertaken of GP knowledge, attitudes and levels of activity. A structured questionnaire was administered to all GPs before training (n = 40) and re-administered between 6 and 9 months following training. SMP audit data were also reviewed to validate any reported changes in practice. All GPs initially reported insufficient knowledge to manage problem drug users. One-fifth were unaware they could prescribe methadone, and nearly half believed drug problems should be treated by specialist services. Post-training, the GPs had increased their levels of treatment activity and reported greater confidence and willingness to treat. This study demonstrates the potential to involve GPs in the treatment of problem drug users. The training was part of a package that included ongoing support sessions, team training, audits of treatment and financial reimbursements. It is proposed that, whilst training is a necessary condition, a more comprehensive package of support is needed to facilitate the treatment of problem drug users in primary care. (C) 2000 Elsevier Science B.V.</t>
  </si>
  <si>
    <t>(Ford C.) (Ryrie I.); ID: 3370</t>
  </si>
  <si>
    <t>2000420065 PUI L30953444</t>
  </si>
  <si>
    <t>10.1016/S0955-3959(00)00064-5 FULL TEXT LINK http://dx.doi.org/10.1016/S0955-3959(00)00064-5</t>
  </si>
  <si>
    <t>Foroughinia,F.;Tazarehie,S. R.;Petramfar,P.;Author,Addresses;Clinical;Neurology Research Center, Shiraz University of Medical,Sciences Shiraz;Iran;Department of,Clinical;Pharmacy,Shiraz University of Medical Sciences Shiraz Iran;Stud Research Committee, Shiraz University,of Medical;Sciences,Shiraz Iran;Correspondence,Address;Foroughinia, Clinical Neurology Research Center Shiraz University of,F.;Medical Sciences, Shiraz Iran Email farzanehforoughinia,yahoo com</t>
  </si>
  <si>
    <t>Detecting and managing drug-related problems in the neurology ward of a tertiary care teaching hospital in Iran: A clinical pharmacist's intervention</t>
  </si>
  <si>
    <t>Journal of Research in Pharmacy Practice</t>
  </si>
  <si>
    <t>gabapentin;glyceryl trinitrate;spironolactone;warfarin;neurology;pharmacist;teaching hospital;tertiary health care;ward;adult;aged;article;clinical pharmacy;cross-sectional study;drug choice;female;human;Iran;major clinical study;male;neurologist;pharmaceutical care;priority journal;prospective study;gabapentin (60142-96-3);glyceryl trinitrate (55-63-0, 80738-44-9);spironolactone (52-01-7);warfarin (129-06-6, 2610-86-8, 3324-63-8, 5543-58-8, 81-81-2);Public Health, Social Medicine and Epidemiology (17);Pharmacy (39);Neurology and Neurosurgery (8)</t>
  </si>
  <si>
    <t>Objective: Nowadays, the role of clinical pharmacists has become more prominent by more clinical pharmacists joining the health-care teams. This study was aimed to assess the role of a clinical pharmacist specialist in detecting and managing drug-related problems (DRPs) in the neurology ward of a tertiary care teaching hospital in Iran. Methods: This is a prospective cross-sectional study conducted on 123 hospitalized patients admitted to the neurology ward of a teaching hospital. The clinical pharmacist visited the patients and filled out the designed pharmacotherapy sheet for each patient. Then, the general pharmacist checked the patients' files and pharmacotherapy sheets and categorized DRPs using modified method of 'The Pharmaceutical Care Network Europe classification, Version 5.01.' Findings: A total of 168 errors were found and 346 interventions were done by the clinical pharmacist during the study period. The most common form of errors in our study was 'drug choice problems' (57.76%). The acceptance rate of interventions was 41.91% among physicians. Conclusion: The large number of interventions reported in several studies, as well as this study, revealed that clinical pharmacy services could contribute to a rationalization of drug therapy and may eventually lead to more medication safety.</t>
  </si>
  <si>
    <t>(Foroughinia F., farzanehforoughinia@yahoo.com; Petramfar P.) (Foroughinia F., farzanehforoughinia@yahoo.com) (Tazarehie S.R.) Medknow Publications, B9, Kanara Business Centre, off Link Road, Ghatkopar (E), Mumbai, India.; ID: 1905</t>
  </si>
  <si>
    <t>2279-042X (electronic) 2319-9644</t>
  </si>
  <si>
    <t>20160807208 PUI L613137646</t>
  </si>
  <si>
    <t>10.4103/2279-042X.192455 FULL TEXT LINK http://dx.doi.org/10.4103/2279-042X.192455</t>
  </si>
  <si>
    <t>Fowler,J.;Paulsen,J.;Liu,D.;Zeier,K.;Kijewski,V.;Gingerich,M.;Author,Addresses;University of,Iowa Hospitals;Clinics,United States;University of Iowa, College,of Pharmacy;United,States;Chillicothe Veterans Affairs,Medical Center;Correspondence,Address;Fowler, University of Iowa Hospitals,J.;Clinics,United States</t>
  </si>
  <si>
    <t>Implementation of a symptom-triggered benzodiazepine protocol for alcohol withdrawal on a combined internal medicine-psychiatry unit</t>
  </si>
  <si>
    <t>(MAJOR FOCUS);benzodiazepine;alcohol;alcohol withdrawal syndrome;college;human;internal medicine;pharmacist;psychiatry;alcohol blood level;blood pressure;comparative effectiveness;delirium tremens;gender;hospital;individualization;logistic regression analysis;medical record review;multiple linear regression analysis;outcome variable;patient;pulse rate;rating scale;safety;seizure;Student t test;temperature;therapy;treatment withdrawal;United States;university;withdrawal seizure;withdrawal syndrome</t>
  </si>
  <si>
    <t>Background: Use of a symptomtriggered benzodiazepine administration strategy for treatment of alcohol withdrawal allows for individualization of dosing based on the severity of alcohol withdrawal symptoms. The majority of previous studies evaluating symptom-triggered dosing strategies used the Clinical Institute Withdrawal Assessment for Alcohol (CIWA-Ar) rating scale as a basis for benzodiazepine dosing. The CIWA-Ar is well validated for use in evaluating alcohol withdrawal symptoms, though many of the items could be considered subjective measurements. The University of Iowa Hospitals and Clinics (UIHC) uses a locally-developed alcohol withdrawal scale, which incorporates more objective measures such as blood pressure, pulse, and temperature into the total score. Objectives: The purpose of this study is to evaluate the comparative effectiveness of a symptom-triggered benzodiazepine dosing protocol that is based on a locally-developed alcohol withdrawal scale in patients admitted to a combined internal medicine-psychiatry service. Methods: A retrospective chart review was conducted for all patients receiving a fixed-dose benzodiazepine taper for the treatment of alcohol withdrawal on the internal medicine-psychiatry unit from 7/1/ 2009 to 06/30/2011. The symptom-triggered dosing protocol was implemented on this service in July 2011, and an additional chart review will be conducted of patients who received alcohol withdrawal treatment according to this protocol from 7/1/2011 to 12/31/2011. Key variables used to compare the effectiveness and safety of the two benzodiazepine dosing strategies will include cumulative benzodiazepine dose, total number of benzodiazepine doses administered, duration of benzodiazepine therapy, and occurrence of seizure or development of alcohol withdrawal delirium after initiation of treatment. Independent samples t-tests and Chi-squared analyses will be used to compare variables between symptom-triggered and fixed-schedule dosing groups. If significant differences exist between the groups on baseline variables (age, gender, blood ethanol level at admission, history of alcohol withdrawal seizures, and history of alcohol withdrawal delirium), multiple linear regression and logistic regression equations will be used to control for the influence of these variables in comparisons between treatment groups on outcome variables. Outcomes: We will report comparisons of demographic, effectiveness, and safety variables between patients receiving a symptom-triggered benzodiazepine dosing strategy for alcohol withdrawal and those receiving a fixed-dose benzodiazepine taper.</t>
  </si>
  <si>
    <t>(Fowler J.; Kijewski V.; Gingerich M.) (Fowler J.; Paulsen J.; Liu D.) (Zeier K.) 15th Annual Meeting of the College of Psychiatric and Neurologic Pharmacists, CPNP 2012 Tampa, FL, United States 2012-04-29 to 2012-05-02 SAGE Publications Inc.; ID: 2570</t>
  </si>
  <si>
    <t>10.1177/0897190012441353 FULL TEXT LINK http://dx.doi.org/10.1177/0897190012441353</t>
  </si>
  <si>
    <t>Fox,V.;Author,Addresses;Po Box,Morristown,N.J.United States;Correspondence,Address;United States,V.Fox, P.O.Box Morristown N.J.</t>
  </si>
  <si>
    <t>12171290; I am a mental health professional; My credential: Life experience</t>
  </si>
  <si>
    <t>Psychiatric rehabilitation journal</t>
  </si>
  <si>
    <t>Psychiatr.Rehabil.J.</t>
  </si>
  <si>
    <t>mental health care;physician attitude;academic achievement;alcoholism;counseling;experience;hospital patient;human;medical profession;mental disease;mental health service;note;outpatient care;preferred provider organization;psychiatrist;residential care;substance abuse;Psychiatry (32);Public Health, Social Medicine and Epidemiology (17);Drug Dependence, Alcohol Abuse and Alcoholism (40)</t>
  </si>
  <si>
    <t>History is in the making in the mental health movement, with persons who live with a mental illness, are stable, and work in the mental health field as professionals (known as Consumer Providers). It is a new concept; and as with anything new, there is some resistance, some doubt about the wisdom of such a concept. With this article, I want to educate those who read it and hopefully gain enthusiasm for the growth of the Consumer Provider movement. I have lived with mental illness for many years and have only received mental health services from traditional mental health professionals; there were no Consumer Providers when I was ill. I was pleased with my services. However, I believe very strongly in the Consumer Provider movement because the same concept has been ongoing in Alcoholics Anonymous with great success. In AA settings, life-experience professionals have worked side by side with traditionally educated professionals to counsel persons with substance abuse problems. I would like to see Consumer Providers be included in all areas of mental health treatment. Today I know of Consumer Providers on PACT teams, ICMS teams, at Drop-in Centers, and on some Warm Lines. My vision is to see Consumer Providers work throughout the mental health system, including crisis teams, inpatient hospital settings, residential settings, and outpatient programs.</t>
  </si>
  <si>
    <t>(Fox V.) Boston University, 940 Commonwealth Avenue West, Boston, United States.; ID: 3317</t>
  </si>
  <si>
    <t>1095-158X</t>
  </si>
  <si>
    <t>http://www.ncbi.nlm.nih.gov/pubmed/12171290</t>
  </si>
  <si>
    <t>I am a mental health professional; My credential: Life experience</t>
  </si>
  <si>
    <t>Frank,E.;Author,Addresses;School of,Population;Public,Health;University of British Columbia, Fairview Avenue,Vancouver B.;E,Canada;Correspondence,Address;Frank,School of Population,E.;Public Health,University,of British;Columbia,Fairview Avenue Vancouver B.C.V.T.E.Canada Email;erica.frank@ubc.ca</t>
  </si>
  <si>
    <t>Health Sciences Online: An extraordinary opportunity for the democratization of health sciences knowledge</t>
  </si>
  <si>
    <t>Cerebrospinal Fluid Research</t>
  </si>
  <si>
    <t>7 SUPPL. 1.</t>
  </si>
  <si>
    <t>iron;health science;hydrocephalus;society;spinal dysraphism;addiction;Africa;Armenia;Asia;brain;college;Colombia;community health nursing;continuing education;dentistry;dermatology;developing country;education;exercise;feedback system;genetics;government;health;health care organization;health practitioner;home environment;hope;infection;learning;medical student;medicine;organization;Panama;perinatal care;physician;primary medical care;rural population;school;sports medicine;student;training;university;vocational education;world health organization</t>
  </si>
  <si>
    <t>According to the World Health Organization, health care requires more innovative, trans-disciplinary and less-expensive training methods to increase local education and service opportunities. We are addressing this issue through Health Sciences Online (HSO) - a virtual learning centre for comprehensive health professional education. HSO is a portal that provides access to a collection of top-quality courses and references in medicine, public health, nursing, dentistry and other health sciences disciplines. These materials are donated, hosted and maintained by distinguished content partners so anyone, anywhere in the world can access a free, current, world-class education through the portal. Materials and methods: HSO includes more than 50,000 learning objects from already-existing reliable resource collections, and we are still growing. Material regarding hydrocephalus and spina bifida is available, provided by medical specialty societies, accredited continuing education organizations, governments and universities (including the Centre for Genetics Education, the Canadian Paediatric Society, and the University of Pittsburgh School of Medicine). Results: As our next phase, we're beginning work with colleagues all over the world in creating what we hope to be the largest, most accessible, and one of the best health sciences universities - all done with distance HSO-based didactics, local hands-on mentoring, and peer-to-peer distance feedback. We plan to train many thousands of trainees at a time, particularly in developing countries, with the students remaining in their home environments (and thereby building capacity, instead of encouraging brain drain). Examples of certificates currently under development are in 1) Exercise and Health, in partnership with CDC, the American College of Sports Medicine, the Fundacion Santa Fe Bogota Active Living Program, and the Pedagogical University of Colombia, 2) Perinatal Care, in collaboration with WHO, and piloting in Africa and South East Asia, 3) Emerging Infectious Diseases, with WHO, and piloting in a rural community in Panama, 4) Dermatology for Primary Care Providers, in collaboration with NATO and Armenia's Yerevan State Medical University and 5) Addiction Medicine for Medical Students and Residents, in collaboration with the Betty Ford Institute and the Annenberg Physician Training Program in Addiction Medicine. Conclusions: HSO is an extraordinary resource for medical professionals around the world, and we hope to utilize this conference to teach others about its origins, uses and goals.</t>
  </si>
  <si>
    <t>(Frank E., erica.frank@ubc.ca) 54th Annual Meeting of the Society for Research into Hydrocephalus and Spina Bifida Vancouver, BC, Canada 2010-07-07 to 2010-07-10 BioMed Central Ltd.; ID: 2832</t>
  </si>
  <si>
    <t>1743-8454</t>
  </si>
  <si>
    <t>Frank,J. B.;Chisolm,M. S.;Author,Addresses;Department of Psychiatry George, Washington,University School;of,Medicine;Health Sciences,United States;Department of,Psychiatry;Behavioral Sciences,Johns;Hopkins University, School of Medicine,United States;Correspondence,Address;JB Frank, Department of Psychiatry George Washington,University School;of,Medicine;Health Sciences,United States</t>
  </si>
  <si>
    <t>Beyond post partum depression: Interactive methods for teaching about pregnancy related obsessive compulsive disorder (OCD) and substance use disorders (SUDS)</t>
  </si>
  <si>
    <t>Archives of Women's Mental Health</t>
  </si>
  <si>
    <t>mental health;obsessive compulsive disorder;postnatal depression;pregnancy;society;substance abuse;teaching;alcoholism;checklist;diseases;education;female;health care;human;interview;learning;midwife;nurse;obstetrician;obstetrics;patient;psychiatrist;screening;simulation;student;workshop;Yale Brown Obsessive Compulsive Scale</t>
  </si>
  <si>
    <t>Explain the objective and expected outcomes of the workshop. The education of midwives, nurses, psychiatrists and obstetricians has evolved from lectures and apprenticeship to active learning methods such as interviews with standardized patients, demonstration followed by practice with peers, use of media and team based learning. When guided by clear objectives, such methods allow trainees to develop a more than superficial understanding of relatively uncommon, yet important and disabling disorders associated with pregnancy. Reliable methods of efficiently screening for obsessive compulsive disorder and substance use disorders can be transposed from general settings into training at many levels for those in obstetrics and perinatal health care. This workshop demonstrates the use of the Yale Brown Obsessive Compulsive Checklist (YBOC) and the Alcohol Use Disorders Identification Test (AUDIT) in simulations relevant to pregnant and post partum women.</t>
  </si>
  <si>
    <t>(Frank J.B.) (Chisolm M.S.) International Marce Society for Perinatal Mental Health Biennial Scientific Conference 2014 Swansea, United Kingdom 2014-09-10 to 2014-09-12 Springer-Verlag Wien; ID: 2117</t>
  </si>
  <si>
    <t>1434-1816</t>
  </si>
  <si>
    <t>10.1007/s00737-014-0488-6 FULL TEXT LINK http://dx.doi.org/10.1007/s00737-014-0488-6</t>
  </si>
  <si>
    <t>Frankl,J.;Author,Addresses;Correspondence,Address;Frankl,J.</t>
  </si>
  <si>
    <t>7012748; 150-year-old medical opinion on smoking ORIGINAL (NON-ENGLISH) TITLE 150 â”œâŒves orvosi vâ”œâŒlemâ”œâŒny a dohâ”œÃ­nyzâ”œÃ­srâ”œâ”‚l</t>
  </si>
  <si>
    <t>health education;smoking;article;history;human;Hungary</t>
  </si>
  <si>
    <t>(Frankl J.); ID: 3836</t>
  </si>
  <si>
    <t>http://www.ncbi.nlm.nih.gov/pubmed/7012748</t>
  </si>
  <si>
    <t>150-year-old medical opinion on smoking ORIGINAL (NON-ENGLISH) TITLE 150 â”œâŒves orvosi vâ”œâŒlemâ”œâŒny a dohâ”œÃ­nyzâ”œÃ­srâ”œâ”‚l</t>
  </si>
  <si>
    <t>Franklin,T.;Suh,J. J.;Shin,J.;Hazan,R.;Jagannathan,K.;Singer,Z.;Li,Y.;Wang,Z.;Goldman,M.;Ehrman,R.;O'Brien,C. P.;Lohoff,F.;Childress,A. R.;Author,Addresses;University of Pennsylvania, School of Medicine Philadelphia,United States;Correspondence,Address;Franklin, University of Pennsylvania School of Medicine Philadelphia,T.;United,States</t>
  </si>
  <si>
    <t>DAT genotype-dependent baclofen-induced inhibition of ventral striatum and medial orbitofrontal cortex brain responses to smoking cues: Moving toward a personalized medicine approach to cigarette addiction</t>
  </si>
  <si>
    <t>Neuropsychopharmacology</t>
  </si>
  <si>
    <t>36 SUPPL. 1</t>
  </si>
  <si>
    <t>S404</t>
  </si>
  <si>
    <t>S405</t>
  </si>
  <si>
    <t>(MAJOR FOCUS);baclofen;4 aminobutyric acid;4 aminobutyric acid B receptor stimulating agent;alcohol;blocking agent;cocaine;dopamine;dopamine transporter;methamphetamine;nicotine;opiate;addiction;brain;cigarette smoking;college;corpus striatum;genotype;orbital cortex;personalized medicine;psychopharmacology;smoking;allele;amygdala;clinical trial;death;drug therapy;endophenotype;exposure;functional magnetic resonance imaging;gene;genetic variability;health;homozygote;human;hypothesis;long term care;modulation;perfusion;population;relapse;reward;risk;sedation;smoke;smoking cessation;society;treatment outcome;withdrawal syndrome</t>
  </si>
  <si>
    <t>Background: Cigarette addiction is the leading cause of preventable death in our nation. Despite the life-threatening health consequences of smoking and the substantial heavy economic burden on society, close to 25% of the population continues to smoke. Two major factors contribute to continued smoking and relapse: craving elicited by smoking cues (SCs) and craving elicited by nicotine withdrawal (WD).Inability to combat WD-induced craving, which declines within a month, plays a major role in early relapse. However, smokers report that SCs can trigger relapse months or even years after quitting. Existing smoking cessation medications focus on alleviating WD and/or blocking nicotine reward, and are helpful for subgroups of smokers. However, other 'cue-vulnerable' smokers have less success. Thus, there is a critical need to identify agents that can improve treatment outcome in SCvulnerable individuals. A number of factors, including genetic variance, may underlie the relative contribution of SCs and WD to the maintenance of dependence and to relapse. Indeed, using perfusion fMRI and evocative SCs, we found (Franklin et al NPP '09), and confirmed (Franklin et al Addiction '11), a profound effect of variance in the dopamine transporter (DAT) gene on brain responses during SC exposure: smokers carrying a 9-repeat allele had robust responses in the reward-relevant ventral striatum and medial orbitofrontal cortex (VS/mOFC) while homozygotes for the 10-repeat had little or no brain responses in these regions. GABA B agonists modulate dopamine and have shown promise as drug cue blocking agents. The GABA B agonist, baclofen, has shown promise in treating alcohol, cocaine, methamphetamine, opiate, and cigarette addictions. We demonstrated that it reduced the number of cigarettes per day in a smoking reduction clinical trial (Franklin et al DAD 2009), and, that three-weeks chronic baclofen reduces activity in the brain at rest in the VS/mOFC and amygdala in smokers (Franklin et al DAD '11). Thus, we hypothesize that baclofen may be an effective agent to aid a SC-vulnerable endophenotype. Methods: To test our hypothesis, in a within-subject design, we administered either one 20-mg dose of baclofen (onBAC) or no medication (offBAC) to N=12 nicotine dependent smokers and acquired both resting baseline data and functional data while smokers performed a Craving Modulation Task. We used a BOLD block-design that consisted of six counterbalanced blocks of three 20-second conditions. In two of the conditions, (nonSC and SC) subjects were instructed to just watch the pictures (Watch). In an additional SC condition smokers were instructed to inhibit their craving for a cigarette (Down). Subjects were grouped by DAT genotype and data were analyzed in SPM 8 for Watch SC (-) Watch nonSC and for Watch SC (-) Down SC conditions. Results: In all subjects, similar to chronic baclofen, acute baclofen blunted VS/mOFC and amygdala activity in the brain at rest, without differences in sedation across conditions. In the Craving Modulation Task, reward-related activity was not different in the on versus offBAC conditions for Watch SC (-) Watch nonSC and no differences were observed in Watch SC (-) Down SC in all subjects. However, analysis by genotype revealed that in 9-repeat carriers only, onBAC versus offBAC responses to Watch SC (-) Watch nonSC were reduced in the VS/mOFC and increased activity in these regions was observed in the Watch SC (-) Down SC, indicating an enhanced ability to inhibit. 10-repeat homozygotes had greater responses in the mOFC in the onBAC versus offBAC condition to Watch SC (-) Watch nonSC and showed no differences in activity to Watch SC - Down SC. Discussion: These results have important clinical implications as they demonstrate that acute baclofen is effective at blunting limbic circuitry in the brain at rest and, that it enables inhibition of brain responses in reward-related circuitry during SC exposure in a DAT-genotype dependent manner, potentially identifying a pharmaco-responsive endophenotype. Some smokers can control their craving and remain abstinent for months or even years after quitting. Given that relapse may occur long after WD symptoms abate and long-term treatment may not be a practical solution in 9-repeat carrier 'cue vulnerable' smokers, acute baclofen may suffice to immediately block drug-motivated behavior during 'at risk' situations. Ultimately, the goal for contemporary medicine is to establish brain/behavioral/genetic endophenotypes that predict medication response, and foster the development of individualized treatment strategies,helping to conquer a devastating and deadly disease: Cigarette Addiction.</t>
  </si>
  <si>
    <t>(Franklin T.; Suh J.J.; Shin J.; Hazan R.; Jagannathan K.; Singer Z.; Li Y.; Wang Z.; Goldman M.; Ehrman R.; O'Brien C.P.; Lohoff F.; Childress A.R.) 50th Annual Meeting of the American College of Neuropsychopharmacology, ACNP Waikoloa, HI, United States 2011-12-04 to 2011-12-08 Nature Publishing Group; ID: 2607</t>
  </si>
  <si>
    <t>0893-133X</t>
  </si>
  <si>
    <t>10.1038/npp.2011.293 FULL TEXT LINK http://dx.doi.org/10.1038/npp.2011.293</t>
  </si>
  <si>
    <t>Frazier,E. L.;Sutton,M. Y.;Brooks,J. T.;Shouse,R. L.;Weiser,J.;Author,Addresses;Division of Hiv/Aids Prevention, National Center,for H.;Viral Hepatitis, S. T. D.;Tb Prevention, U S Centers for,Disease Control;and Prevention,United States;Correspondence,Address;MY Sutton, Dhap Nchhstp C D C Clifton Rd,N.E.M.S.E.Atlanta United;States Email,msutton,cdc gov</t>
  </si>
  <si>
    <t>Trends in cigarette smoking among adults with HIV compared with the general adult population, United States - 2009Î“Ã‡Ã´2014</t>
  </si>
  <si>
    <t>Human immunodeficiency virus infected patient;medical education;smoking;adult;article;Black person;Caucasian;cause of death;controlled study;cross-sectional study;human;informed consent;population research;poverty;priority journal;self report;smoking cessation program;trend study;United States;Public Health, Social Medicine and Epidemiology (17)</t>
  </si>
  <si>
    <t>Smoking increases HIV-related and non-HIV-related morbidity and mortality for persons with HIV infection. We estimated changes in cigarette smoking among adults with HIV and adults in the general U.S. population from 2009 to 2014 to inform HIV smoking cessation programs. Among HIV-positive adults, rates of current smoking declined from 37.6% (confidence interval CI]: 34.7Î“Ã‡Ã´40.6) in 2009 to 33.6% (CI: 29.8Î“Ã‡Ã´37.8) in 2014. Current smoking among U.S. adults declined from 20.6% (CI: 19.9Î“Ã‡Ã´21.3) in 2009 to 16.8% (CI: 16.2Î“Ã‡Ã´17.4) in 2014. HIV-positive adults in care were significantly more likely to be current smokers compared with the general U.S. population; they were also less likely to quit smoking. For both HIV-positive adults in care and the general population, disparities were noted by racial/ethnic, educational level, and poverty-level subgroups. For most years, non-Hispanic blacks, those with less than high school education, and those living below poverty level were more likely to be current smokers and less likely to quit smoking compared with non-Hispanic whites, those with greater than high school education, and those living above poverty level, respectively. To decrease smoking-related causes of illness and death and to decrease HIV-related disparities, smoking cessation interventions are vital as part of routine care with HIV-positive persons. Clinicians who care for HIV-positive persons who smoke should utilize opportunities to discuss and implement smoking cessation strategies during routine clinical visits.</t>
  </si>
  <si>
    <t>(Frazier E.L.; Sutton M.Y., msutton@cdc.gov; Brooks J.T.; Shouse R.L.; Weiser J.) Academic Press Inc., apjcs@harcourt.com; ID: 1717</t>
  </si>
  <si>
    <t>20180201960 PUI L2000566551</t>
  </si>
  <si>
    <t>10.1016/j.ypmed.2018.03.007 FULL TEXT LINK http://dx.doi.org/10.1016/j.ypmed.2018.03.007</t>
  </si>
  <si>
    <t>Fredericksen,P.;Author,Addresses;Correspondence,Address;Fredericksen,P.</t>
  </si>
  <si>
    <t>8161878; A tool for empowerment: live for life school nurse fellowship</t>
  </si>
  <si>
    <t>The Journal of school nursing : the official publication of the National Association of School Nurses</t>
  </si>
  <si>
    <t>addiction;medical education;school health nursing;article;behavior;education;health care quality;human;nursing;organization and management;psychological aspect</t>
  </si>
  <si>
    <t>This report describes a school nurse fellowship program, Live for Life School Nurse Fellowship, designed and supported by Johnson &amp; Johnson and held in conjunction with the New Jersey Summer School of Alcohol and Drug Studies on the campus of Rutgers University in New Brunswick, New Jersey. The program has been in effect for five years and has involved 135 school nurses and their administrators from 13 states. Results of an independent evaluation are included.</t>
  </si>
  <si>
    <t>(Fredericksen P.); ID: 3576</t>
  </si>
  <si>
    <t>1059-8405</t>
  </si>
  <si>
    <t>http://www.ncbi.nlm.nih.gov/pubmed/8161878</t>
  </si>
  <si>
    <t>A tool for empowerment: live for life school nurse fellowship</t>
  </si>
  <si>
    <t>Fu,S.;Roth,C.;Battaglia,C.;Nelson,D.;Farmer,M.;Do,T.;Goldstein,M.;Kavathekar,R.;Widome,R.;Hagedorne,H.;Zillich,A.;Author,Addresses;Health,Minneapolis Va;Medical,Roudebush Va;Va Eastern Colorado Health,Care System;States;Va Greater Los Angeles Health Care System, Los,Angeles United;States;Promotion,V. H. A. N.;Disease;Prevention,Durham United States;Correspondence,Address;Health Care System Minneapolis United States,S.Fu, Minneapolis V.A.</t>
  </si>
  <si>
    <t>A randomized trial of two approaches to training veterans affairs (VA) medical home healthcare providers on motivational interviewing for tobacco cessation</t>
  </si>
  <si>
    <t>S8</t>
  </si>
  <si>
    <t>health care personnel;human;internal medicine;motivational interviewing;society;tobacco;veteran;clinical evaluation;communication skill;competence;consultation;counseling;model;patient;skill;telephone;training;workshop</t>
  </si>
  <si>
    <t>BACKGROUND: Tobacco cessation counseling from a clinician doubles a patient's odds of quitting. Motivational interviewing (MI) is an effective communication skill in tobacco cessation counseling, but strategies to train providers on MI are needed. This study evaluated a high-intensity versus moderate-intensity MI training program to improve delivery of tobacco cessation care. METHODS: VA Patient Aligned Care Team (PACT) members at 2 VA facilities were randomized to moderate- or high-intensity MI training. Both training models included the following 3 components: 1) 3-day intensive MI training for site-based MI clinical champions and a site-based MI expert consultant, 2) Half day on-site training workshop for PACT members, and 3) self-study materials. The high-intensity model added 6 booster sessions coached by champions. Three booster sessions used telephone interactions with simulated patients and occurred at 4, 8, and 12 weeks after the initial training. Three additional booster sessions (at 2, 6, and 10 weeks) used small group coaching facilitated by the champions. Each 1-h booster session focused on specific MI skills. To evaluate the 2 training models, a structured clinical evaluation (OSCE) was conducted with providers in each group before and 12 weeks after the onsite training. The OSCEs assessed provider competence with and acquisition of MI and tobacco cessation skills through interaction with a simulated patient. A trained, blinded rater assessed the provision of MI skills by listening to the audiorecorded OSCEs. The primary outcome was the Motivational Interviewing Treatment Integrity (MITI) scale scores, a validated assessment of MI skills. Hierarchical models compared the average changes in MITI scale scores from the pre-training OSCE to the 12 week post-training OSCE for the moderate intensity and the high intensity groups. The models incorporated random effects for study site and participant and fixed effects for simulated patient and pre-training OSCE MITI scores. RESULTS: Thirty-five PACT members were enrolled in the study and 18 members were randomly assigned to the high intensity group. Compared to the moderate intensity group, the high intensity group scored significantly higher for 5 of the 10 MITI scales (Table 1). For 3 of the other 5 MITI scales, a non-significant improvement was seen in the high intensity versus the moderate intensity group. CONCLUSIONS: A training model using several booster sessions incorporating telephone interactions with simulated patients, in addition to MI champions, expert consultant, 1/2day training and study materials,was effective for sustaining and enhancing providers' MI skills in the delivery of tobacco cessation care. (Table Presented).</t>
  </si>
  <si>
    <t>(Fu S.; Roth C.; Nelson D.; Do T.; Kavathekar R.; Widome R.; Hagedorne H.) (Zillich A.) (Battaglia C.) (Farmer M.) (Goldstein M.) 36th Annual Meeting of the Society of General Internal Medicine, SGIM 2013 Denver, CO, United States 2013-04-24 to 2013-04-27 Springer New York; ID: 2395</t>
  </si>
  <si>
    <t>Fudin,J.;Levasseur,D. J.;Passik,S. D.;Kirsh,K. L.;Coleman,J.;Author,Addresses;Stratton,Samuel S.;States,Albany N. Y. United;Department of,Clinical Pharmacy;Ny,United States;Vamc,Albany N. Y. United States;Correspondence,Address;Y.,J.Fudin, Samuel S.Stratton Vamc Holland Avenue Albany N.;edu,United States Email fudinj acp</t>
  </si>
  <si>
    <t>Chronic pain management with opioids in patients with past or current substance abuse problems</t>
  </si>
  <si>
    <t>(MAJOR FOCUS);opiate agonist (drug therapy, drug toxicity);acetylcodeine (drug toxicity);amphetamine (drug toxicity);barbituric acid derivative (drug toxicity);benzodiazepine (drug toxicity);buprenorphine (drug analysis, drug comparison, drug toxicity);butorphanol (drug analysis, drug comparison, drug toxicity);cannabinoid (drug toxicity);cocaine (drug toxicity);codeine (drug analysis, drug comparison, drug toxicity);dextropropoxyphene (drug analysis, drug comparison, drug toxicity);diamorphine (drug analysis, drug comparison, drug toxicity);diphenoxylate (drug analysis, drug comparison);fentanyl (drug analysis, drug comparison, drug toxicity);hydrocodone (drug analysis, drug comparison, drug toxicity);hydromorphone (drug analysis, drug comparison, drug toxicity);levorphanol (drug analysis, drug comparison, drug toxicity);loperamide (drug analysis, drug comparison);methadone (drug analysis, drug comparison, drug toxicity);morphine derivative (drug analysis, drug comparison, drug toxicity);nalbuphine (drug analysis, drug comparison, drug toxicity);naloxone (drug analysis, drug comparison, drug toxicity);oxycodone (drug toxicity, oral drug administration);oxymorphone (drug analysis, drug comparison, drug toxicity);pentazocine (drug analysis, drug comparison);pethidine (drug analysis, drug comparison, drug toxicity);phencyclidine (drug toxicity);remifentanil (drug analysis, drug comparison);sufentanil (drug analysis, drug comparison);chronic pain (drug therapy);substance abuse;addiction;behavior;drug abuse;health care;human;practice guideline;prevalence;review;risk factor;sensitivity and specificity;acetylcodeine (6703-27-1);amphetamine (1200-47-1, 139-10-6, 156-34-3, 2706-50-5, 300-62-9, 51-62-7,;60-13-9, 60-15-1);benzodiazepine (12794-10-4);buprenorphine (52485-79-7, 53152-21-9);butorphanol (42408-82-2);cocaine (50-36-2, 53-21-4, 5937-29-1);codeine (76-57-3);dextropropoxyphene (1639-60-7, 469-62-5);diamorphine (1502-95-0, 561-27-3);diphenoxylate (3810-80-8, 915-30-0);fentanyl (437-38-7);hydrocodone (125-29-1, 25968-91-6, 34366-67-1);hydromorphone (466-99-9, 71-68-1);levorphanol (125-72-4, 77-07-6);loperamide (34552-83-5, 53179-11-6);methadone (1095-90-5, 125-56-4, 23142-53-2, 297-88-1, 76-99-3);nalbuphine (20594-83-6, 23277-43-2);naloxone (357-08-4, 465-65-6);oxycodone (124-90-3, 76-42-6);oxymorphone (357-07-3, 76-41-5);pentazocine (359-83-1, 64024-15-3);pethidine (28097-96-3, 50-13-5, 57-42-1);phencyclidine (77-10-1, 956-90-1);remifentanil (132539-07-2);sufentanil (56030-54-7);Drug Literature Index (37);Drug Dependence, Alcohol Abuse and Alcoholism (40);Toxicology (52);Neurology and Neurosurgery (8)</t>
  </si>
  <si>
    <t>Among patients who present to medical providers with chronic pain complaints, there is an elevated prevalence of illicit substance use and prescription misuse. For those with legitimate pain, this predicament potentiates the risk of being medically underserved or undertreated. Complicating factors include a lack of specificity and sensitivity to the issue of defining substance abuse of misuse in the health care setting. Irrespective of whether patients have histories of addiction, problematic behavior manifests during the course of chronic pain therapy, making a conceptualization of the nature and function of this behavior difficult. The objective of this article is to highlight known confounds in the assessment of "normal" pain-related vs. substance abuse behavior. Our aim is to offer important points to consider, a set of systematic guidelines to follow, and an armamentarium of essential tools to facilitate contingency management planning in the context of treating chronic pain with controlled substances.</t>
  </si>
  <si>
    <t>(Fudin J., fudinj@acp.edu) (119) (Levasseur D.J.) (Passik S.D.; Kirsh K.L.; Coleman J.); ID: 3267</t>
  </si>
  <si>
    <t>2003406995 PUI L37236586</t>
  </si>
  <si>
    <t>10.1177/0897190003258507 FULL TEXT LINK http://dx.doi.org/10.1177/0897190003258507</t>
  </si>
  <si>
    <t>Furtado,E.;Corradi-Webster,C.;Laprega,M. R.;Author,Addresses;University of Sâ”œÃºo Paulo, Ribeirâ”œÃºo,Preto Brazil;Correspondence,Address;Furtado, University of Sâ”œÃºo Paulo Ribeirâ”œÃºo Preto Brazil,E.</t>
  </si>
  <si>
    <t>Educational needs of medical psychiatric residents concerning the assessment of alcohol problems among psychiatric outpatients in Brazil</t>
  </si>
  <si>
    <t>(MAJOR FOCUS);alcohol;Brazil;outpatient;alcohol abuse;alcohol consumption;curriculum;medical record;medical school;outpatient care;patient;psychiatric treatment;questionnaire;screening;semi structured interview;university hospital</t>
  </si>
  <si>
    <t>Context and objective: The use of alcohol by patients undergoing psychiatric treatment can lead to many negative consequences. This study aimed to identify problematic alcohol use among psychiatric outpatients and to verify the level of screening assessment provided by medical psychiatric residents. Design and setting: Observational, transversal study, carried out at the Psychiatric Outpatient Service of the University Medical Center of the Medical School of Ribeirâ”œÃºo Preto - USP. Method: Clinical sample consisting of 127 psychiatric outpatients. Instruments: semi-structured interview for sociodemographic data, short screening questionnaire for alcohol abuse (CAGE) and a protocol for data from the patient records. Results: At the cutoff point of CAGE equal or higher than 1, 33.9% has been found positive (n = 43). 60.5% of the patients (n = 26) with a positive CAGE had none report of alcohol use in their records (X(2) = 20.12; p &lt; 0.001). At CAGE equal or higher than 2, 16.5% were CAGE positive (n = 21). In 38.1% (n = 8) of these cases, alcohol use was not documented in their records (X(2) = 29.10; p &lt; 0.001). Conclusion: The number of cases in which alcohol use was not registered was unexpectedly high. Topics related to early screening and brief intervention for alcohol problems should be included in the training curricula of medical psychiatric residents.</t>
  </si>
  <si>
    <t>(Corradi-Webster C.M.; Laprega M.R.) (Furtado E.) AAAP 19th Annual Meeting and Symposium Informa Healthcare; ID: 2889</t>
  </si>
  <si>
    <t>10.1080/10550490902928197 FULL TEXT LINK http://dx.doi.org/10.1080/10550490902928197</t>
  </si>
  <si>
    <t>Fussell,H. E.;Lewy,C. S.;McFarland,B. H.;Author,Addresses;Department,of Public;Preventive Medicine,Oregon;Health;Science University,Portland,O.R.United States;Department,of Psychiatry;Science,University;Portland,O. R. U.;Department,of Public;Preventive,Medicine;Department,of Psychiatry;Science University,Portland;Or,United States;Department,of Public;Preventive Medicine,Oregon;Health;Science University, Mail Code C B S W Sam,Jackson Park;Road,Portland O. R. United States;Correspondence,Address;Fussell, Department of Public Health,H.E.;Preventive Medicine,Oregon;Health;Science University, Mail Code C B S W Sam,Jackson Park;Road,Portland O. R. United States</t>
  </si>
  <si>
    <t>19197781; Evaluating and training substance abuse counselors: A pilot study assessing standardized patients as authentic clients</t>
  </si>
  <si>
    <t>methamphetamine (drug toxicity);medical practice;patient;standard;substance abuse;adult;article;case report;female;human;male;medical assessment;medical education;patient assessment;patient counseling;physician;pilot study;rating scale;validity;methamphetamine (28297-73-6, 51-57-0, 537-46-2, 7632-10-2);Public Health, Social Medicine and Epidemiology (17);Drug Dependence, Alcohol Abuse and Alcoholism (40)</t>
  </si>
  <si>
    <t>Clinician training and supervision are needed to transfer evidence-based practices to community-based treatment organizations. Standardized patients (SPs) are used for clinician training and evaluating. However, to be effective for substance abuse counselors, SPs must realistically portray substance abuse treatment clients. The current study assessed authenticity of SPs as substance abuse treatment clients. Twenty-one substance abuse counselors interviewed SP(s) with differing profiles. Counselors provided quantitative and qualitative ratings of SP authenticity. Counselor responses to the study procedures were analyzed as well. Quantitative results include high-authenticity ratings for the SPs but counselors' subjective responses varied. Counselor's rated the experience of participating in the study positively and provided constructive comments for future applications of this methodology. Results support future work on SPs as teaching and evaluation tools in substance abuse counseling. Findings also illustrate the need to refine definitions of authenticity for SPs as substance abuse clients. Copyright â”¬âŒ Taylor &amp; Francis Group, LLC.</t>
  </si>
  <si>
    <t>(Fussell H.E.) (Lewy C.S.) (McFarland B.H.) Routledge, 325 Chestnut Street, Philadelphia, United States.; ID: 2932</t>
  </si>
  <si>
    <t>http://www.ncbi.nlm.nih.gov/pubmed/19197781</t>
  </si>
  <si>
    <t>10.1080/08897070802606360 FULL TEXT LINK http://dx.doi.org/10.1080/08897070802606360</t>
  </si>
  <si>
    <t>Evaluating and training substance abuse counselors: A pilot study assessing standardized patients as authentic clients</t>
  </si>
  <si>
    <t>G,K. W.;Author,Addresses;Department for,Psychiatry;Substance,Treatment;Norwegian Directorate,of Health;Correspondence,Address;Welle-Strand,Department for Psychiatry,G.K.;Substance,Treatment;Norwegian Directorate,of Health</t>
  </si>
  <si>
    <t>Norway: A new full specialty in addiction medicine</t>
  </si>
  <si>
    <t>addiction;Norway;society;certification;detoxification;general practitioner;health;hospital department;hospital patient;human;medicine;occupation;outpatient;physician;psychiatry;ward</t>
  </si>
  <si>
    <t>Background. The Norwegian Directorate of Health has been commissioned to help the Ministry of Health to establish a full specialty in Addiction Medicine. Methods. A work group for the new specialty has been appointed by the Directorate of Health with medical doctors representing different parts of the system, user representatives and other professions. The work group cooperates closely with the Norwegian Medical Association which has appointed a specialty board. Results. The requirement for the specialty is five years of internship in accredited institutions. Three and a half year should be in Addiction Medicine, including one year in detoxification ward, one year in a department for out-patient treatment and half a year in a hospital department for in-patient treatment. Half a year should be in psychiatry. The last year the candidate can chose between two of the three following: Another half year of psychiatry, half a year in a somatic ward or half a year as general practitioner. Discussion. Addiction Medicine will be a full medical specialty in Norway, probably as the first country of the world. Hopefully the first candidates in Addiction Medicine will start their training in January 2015.</t>
  </si>
  <si>
    <t>(K.Welle-Strand G.) 16th International Society of Addiction Medicine Annual Meeting Yokohama, Japan 2014-10-02 to 2014-10-06 Oxford University Press; ID: 2207</t>
  </si>
  <si>
    <t>10.1093/alcalc/agu052.54 FULL TEXT LINK http://dx.doi.org/10.1093/alcalc/agu052.54</t>
  </si>
  <si>
    <t>Gache,P.;Michaud,P.;Landry,U.;Accietto,C.;Arfaoui,S.;Wenger,O.;Daeppen,J. B.;Author,Addresses;Alcohology,Unit;Department of Community Medicine, Hâ”œâ”¤pitaux Universitaires,de Gen;Switzerland;Programme 'Boire,Moins c.;Association for Prevention,of Alcoholism;Centre for Treatment,in Alcohology;Hospitalier,Universitaire Vaudois;Unitâ”œâŒ d'Alcoologie,Dâ”œâŒpartement de;Mâ”œâŒdecine Communautaire, Hâ”œâ”¤pitaux Universitaires de Genâ”œÂ¿ve Rue,Micheli du;Crest,Genâ”œÂ¿ve Sweden;Correspondence,Address;Gache, Unitâ”œâŒ d'Alcoologie Dâ”œâŒpartement de Mâ”œâŒdecine Communautaire,P.;Hâ”œâ”¤pitaux Universitaires de Genâ”œÂ¿ve, Rue Micheli du,Crest Gen;Sweden Email, pascal gache,hcuge ch</t>
  </si>
  <si>
    <t>16340457; The alcohol use disorders identification test (AUDIT) as a screening tool for excessive drinking in primary care: Reliability and validity of a french version</t>
  </si>
  <si>
    <t>alcohol abuse;Alcohol Use Disorders Identification Test;alcoholism;primary medical care;questionnaire;adult;aged;alcohol consumption;article;comparative study;diagnostic accuracy;Diagnostic and Statistical Manual of Mental Disorders;diagnostic value;drinking behavior;female;France;general practitioner;hazard assessment;human;major clinical study;male;medical specialist;outpatient department;priority journal;psychologic test;psychometry;receiver operating characteristic;reliability;sensitivity and specificity;Switzerland;validation process;Public Health, Social Medicine and Epidemiology (17);Biophysics, Bioengineering and Medical Instrumentation (27);Drug Dependence, Alcohol Abuse and Alcoholism (40)</t>
  </si>
  <si>
    <t>Background: Excessive drinking is a major problem in Western countries. AUDIT (Alcohol Use Disorders Identification Test) is a 10-item questionnaire developed as a transcultural screening tool to detect excessive alcohol consumption and dependence in primary health care settings Objectives: The aim of the study is to validate a French version of the Alcohol Use Disorders Identification Test (AUDIT) Methods: We conducted a validation cross-sectional study in three French-speaking areas (Paris, Geneva and Lausanne). We examined psychometric properties of AUDIT as its internal consistency, and its capacity to correctly diagnose alcohol abuse or dependence as defined by DSM-IV and to detect hazardous drinking (defined as alcohol intake &gt;30 g pure ethanol per day for men and &gt;20 g of pure ethanol per day for women). We calculated sensitivity, specificity, positive and negative predictive values and Receiver Operator Characteristic curves. Finally, we compared the ability of AUDIT to accurately detect "alcohol abuse/dependence" with that of CAGE and MAST Results: 1207 patients presenting to outpatient clinics (Switzerland, n = 580) or general practitioners' (France, n = 627) successively completed CAGE, MAST and AUDIT self-administered questionnaires, and were independently interviewed by a trained addiction specialist. AUDIT showed a good capacity to discriminate dependent patients (with AUDIT Î“Ã«Ã‘13 for males, sensitivity 70.1%, specificity 95.2%, PPV 85.7%, NPV 94.7% and for females sensitivity 94.7%, specificity 98.2%, PPV 100%, NPV 99.8%); and hazardous drinkers (with AUDIT Î“Ã«Ã‘7, for males sensitivity 83.5%, specificity 79.9%, PPV 55.0%, NPV 82.7% and with AUDIT Î“Ã«Ã‘6 for females, sensitivity 81.2%, specificity 93.7%, PPV 64.0%, NPV 72.0%). AUDIT gives better results than MAST and CAGE for detecting "Alcohol abuse/dependence" as showed on the comparative ROC curves Conclusions: The AUDIT questionnaire remains a good screening instrument for French-speaking primary care. Copyright â”¬âŒ 2005 by the Research Society on Alcoholism.</t>
  </si>
  <si>
    <t>(Gache P., pascal.gache@hcuge.ch; Accietto C.; Wenger O.) (Michaud P.; Arfaoui S.) (Landry U.; Daeppen J.-B.) (Gache P., pascal.gache@hcuge.ch) Blackwell Publishing Ltd, 9600 Garsington Road, Oxford, United Kingdom.; ID: 3151</t>
  </si>
  <si>
    <t>http://www.ncbi.nlm.nih.gov/pubmed/16340457</t>
  </si>
  <si>
    <t>10.1097/01.alc.0000187034.58955.64 FULL TEXT LINK http://dx.doi.org/10.1097/01.alc.0000187034.58955.64</t>
  </si>
  <si>
    <t>The alcohol use disorders identification test (AUDIT) as a screening tool for excessive drinking in primary care: Reliability and validity of a french version</t>
  </si>
  <si>
    <t>Galanter,M.;Author,Addresses;Correspondence,Address;Galanter,M.</t>
  </si>
  <si>
    <t>Combining twelve step and medication-assisted treatment in residential rehabilitation programs: A national priority, new data from NSSATS</t>
  </si>
  <si>
    <t>buprenorphine;cannabis;cocaine;art therapy;community mental health;cost effectiveness analysis;drug dependence;funding;human;major clinical study;managed care;medicine;philosophy;physician;rehabilitation;teaching;buprenorphine (52485-79-7, 53152-21-9);cannabis (8001-45-4, 8063-14-7);cocaine (50-36-2, 53-21-4, 5937-29-1)</t>
  </si>
  <si>
    <t>Throughout the US, the treatment of substance use disorders takes place in a vast array of facilities, from medical-based treatment to rehabilitation facilities. The country counts more than 14,000 addiction facilities, including rehabilitation or residential programs unaffiliated with a hospital. The ASAM criteria have helped physicians determine the level of care required by patients, directing them either to medically or clinically managed care. The majority of substance use disorder programs are freestanding, and not attached to a hospital or community mental health centre. Current data indicates a myriad of barriers in providing medication-assisted treatment (MAT) to patients suffering from substance use disorders. The lack of certified prescribers is chief among these barriers followed by the lack of funding for MAT programs. Within the rehabilitation programs the majority offer a Twelve Step facilitation model and only a fraction may offer MAT (3% affiliated to a methadone clinic and 25% may offer buprenorphine treatment). Certain substances, such as cocaine and marijuana, do not have any FDA-approved medication. Twelve-Step based programs are well known with more than 2 million members in the US and across the globe. Project Match studied the impact of twelve-step based programs versus other treatment modalities (i.e. CBT and Motivational Enhancement): superior results were found with Twelve-step programs compared to the other modalities. Cost effectiveness was another benefit derived from Twelve-Step. Evidence-based medicine and spiritual recovery movements may collide in their philosophy differences. The Twelve Step approach being Î“Ã‡Â£folk-basedÎ“Ã‡Â¥ and members being often reluctant to use medications are challenges presented by this treatment option. Addiction physicians appear to use the Twelve Step approach sparingly due to their unfamiliarity with the facilitation process and the related research data. Physicians are often unaware of the available AA groups for their patients and lack the experience of participating in a meeting. Going forward, research on how to reconcile the Twelve Step approach and empirical medicine is indicated, including the integration of medication use and participation in Twelve Step programs. Addiction medicine training would also gain understanding and proficiency by incorporating teaching on the Twelve Step approach. Ensuring proper MAT funding should remain a priority to provide state-of-the-art treatment for patients.</t>
  </si>
  <si>
    <t>(Galanter M.) 27th Annual Meeting and Symposium of the American Academy of Addiction Psychiatry, AAAP 2017 Bonita Springs, FL, United States 2016-12-08 to 2016-12-11 Wiley Blackwell; ID: 1820</t>
  </si>
  <si>
    <t>Gallucci,A. R.;Wynveen,C.;Hackman,C.;Meyer,A.;Usdan,S.;Author,Addresses;Department;of Health,Human Performance;Recreation,Baylor University One Bear;Place,Waco United States;University of Alabama, Tuscaloosa,United States;Correspondence,Address;AR Gallucci, Department of Health,Human Performance;Recreation;Baylor University, One Bear Place Waco,United States</t>
  </si>
  <si>
    <t>26150110; An examination of the situational factors associated with the misuse of prescription analgesics among college students</t>
  </si>
  <si>
    <t>(MAJOR FOCUS);analgesic agent;cocodamol;hydrocodone bitartrate plus paracetamol;hydromorphone;oxycodone;oxycodone plus paracetamol;analgesic agent abuse;drug misuse;medical education;misuse of prescription analgesic;prescription;student attitude;academic achievement;adult;age distribution;analgesia;behavior assessment;binge drinking;Christianity;clinical assessment;college student;controlled study;drug abuse;ethnicity;female;health survey;human;male;medical examination;motivation;pain assessment;prevalence;review;screening test;substance abuse;undergraduate student;hydromorphone (466-99-9, 71-68-1);oxycodone (124-90-3, 76-42-6);Public Health, Social Medicine and Epidemiology (17);Health Policy, Economics and Management (36);Drug Dependence, Alcohol Abuse and Alcoholism (40);Neurology and Neurosurgery (8)</t>
  </si>
  <si>
    <t>The current study examined the effect that students' educational environment has on the prevalence and motivations associated with the misuse of prescription analgesics (MPA). A sample of 893 undergraduate students was recruited from one religiously affiliated private university and one public university in the Southern United States. Participants completed an in-class survey assessing MPA-related behavior and their associated motivations. Results indicated that students attending the religiously affiliated university displayed lower rates of MPA. Multivariate analyses revealed that a positive drug abuse screening, prescription status, and grade point average are the strongest predictors of past-year MPA for both schools. Some motivations for medical misuse differed significantly between campuses. Implications as to how these differences can inform programs aimed at the reduction of prescription analgesic abuse are discussed.</t>
  </si>
  <si>
    <t>(Gallucci A.R., Andrew_Gallucci@baylor.edu; Wynveen C.; Meyer A.) (Hackman C.; Usdan S.) Taylor and Francis Ltd., baywood@baywood.com; ID: 2308</t>
  </si>
  <si>
    <t>1541-4159 (electronic) 0047-2379</t>
  </si>
  <si>
    <t>http://www.ncbi.nlm.nih.gov/pubmed/26150110</t>
  </si>
  <si>
    <t>10.1177/0047237915585523 FULL TEXT LINK http://dx.doi.org/10.1177/0047237915585523</t>
  </si>
  <si>
    <t>An examination of the situational factors associated with the misuse of prescription analgesics among college students</t>
  </si>
  <si>
    <t>Gardner,L. I.;Holmberg,S. D.;Moore,J.;Arnsten,J. H.;Mayer,K. H.;Rompalo,A.;Schuman,P.;Smith,D. K.;Author,Addresses;Centers,Disease Control;E,Clifton Road Atlanta G.A.United States;Correspondence,Address;LI Gardner, Centers Disease Control Prevention,Mailstop E.;Clifton Road, Atlanta G A United States Email lig,cdc gov</t>
  </si>
  <si>
    <t>11782593; Use of highly active antiretroviral therapy in HIV-infected women: Impact of HIV specialist care</t>
  </si>
  <si>
    <t>Journal of acquired immune deficiency syndromes</t>
  </si>
  <si>
    <t>J.Acquir.Immune Defic.Syndr.</t>
  </si>
  <si>
    <t>(MAJOR FOCUS);anti human immunodeficiency virus agent (drug therapy, pharmacoeconomics);antiretrovirus agent (drug therapy, pharmacoeconomics);indinavir (drug therapy, pharmacoeconomics);highly active antiretroviral therapy;Human immunodeficiency virus infection (disease management, drug therapy,;epidemiology);adult;article;consultation;controlled study;depression;drug abuse;drug use;female;health care access;health care utilization;health insurance;human;major clinical study;medical specialist;patient care;priority journal;treatment indication;DRUG TRADE NAMES;crixivan , United StatesMerck;DRUG MANUFACTURERS;(United States)Merck;indinavir (150378-17-9, 157810-81-6, 180683-37-8);Microbiology: Bacteriology, Mycology, Parasitology and Virology (4);Public Health, Social Medicine and Epidemiology (17);Health Policy, Economics and Management (36);Drug Literature Index (37)</t>
  </si>
  <si>
    <t>Objectives: To evaluate factors associated with use of HIV specialist care by women, and to determine whether medical indications for therapy validate lower rates of antiretroviral use in women not using HIV specialty care. Design: Cross-sectional analysis of the 1998 interview from the HIV Epidemiology Research Study (HERS) cohort. Methods: Data from 273 HIV-infected women in the HERS were analyzed by multiple logistic regression to calculate predictors of the use of HIV specialist care providers. Variables included study site, age, education, insurance status, income, substance abuse, depression, AIDS diagnosis, CD4(+) lymphocyte count, and HIV-1 viral load. In addition, medical indications for therapy and medical advice to begin antiretroviral therapy were assessed. Results: Of 273 women, 222 (81%) used HIV specialists and 51 (19%) did not. Having health insurance, not being an injection drug user, and being depressed were predictive of using HIV specialist care (all p Î“Ã«Ã±.05). Although medical indications for therapy in the two groups were comparable, the rate of highly active antiretroviral therapy (HAART) use was significantly higher in women using HIV specialist care (27%) compared with those not using HIV specialists (7.8%). Women using HIV specialists received significantly more advice to begin antiretroviral therapy (ART) in the 6 months prior to the interview compared with those not using specialists (relative risk, 2.4; 95%</t>
  </si>
  <si>
    <t>(Gardner L.I.; Holmberg S.D.; Moore J.; Arnsten J.H.; Mayer K.H.; Rompalo A.; Schuman P.; Smith D.K.) Lippincott Williams and Wilkins, 530 Walnut Street, Philadelphia, United States.; ID: 3343</t>
  </si>
  <si>
    <t>1525-4135</t>
  </si>
  <si>
    <t>http://www.ncbi.nlm.nih.gov/pubmed/11782593</t>
  </si>
  <si>
    <t>Use of highly active antiretroviral therapy in HIV-infected women: Impact of HIV specialist care</t>
  </si>
  <si>
    <t>Gastpar,M.;Author,Addresses;Klinik fâ”œâ•r Psychiatrie,und;Psychotherapie,Rheinische Kliniken Essen Virchowstr Essen;Germany;Correspondence,Address;Gastpar, Klinik fâ”œâ•r Psychiatrie und Psychotherapie Rheinische Kliniken,M.;Essen,Virchowstr Essen Germany Email m gastpar uni-essen de</t>
  </si>
  <si>
    <t>Medical boards and qualifications in addiction medicine - A disturbed relationship ORIGINAL (NON-ENGLISH) TITLE â”œÃ¤rzteschaft und sucht-medizinische qualifikation - Ein getrâ”œâ•btes verhâ”œÃ±ltnis</t>
  </si>
  <si>
    <t>certification;drug dependence;medicine;human;letter;psychiatry;Public Health, Social Medicine and Epidemiology (17);Psychiatry (32);Drug Dependence, Alcohol Abuse and Alcoholism (40)</t>
  </si>
  <si>
    <t>(Gastpar M., m.gastpar@uni-essen.de); ID: 3177</t>
  </si>
  <si>
    <t>2005321059 PUI L40991594</t>
  </si>
  <si>
    <t>Gastrin,G.;Ramstrom,L.;Author,Addresses;Univ,Helsinki;Correspondence,Address;Univ,Helsinki</t>
  </si>
  <si>
    <t>Deaddiction of smokers. A task for the entire medical staff ORIGINAL (NON-ENGLISH) TITLE RAUCHERENTWOHNUNG. EINE AUFGABE FUR DAS GESAMTE MEDIZINISCHE PERSONAL</t>
  </si>
  <si>
    <t>International journal of health education</t>
  </si>
  <si>
    <t>Int.J.Health Educ.</t>
  </si>
  <si>
    <t>health education;prophylaxis;self help;smoking;tobacco;intoxication;prevention;Chest Diseases, Thoracic Surgery and Tuberculosis (15);Public Health, Social Medicine and Epidemiology (17);Health Policy, Economics and Management (36)</t>
  </si>
  <si>
    <t>Current efforts in the field of deaddiction of smokers in the USA, the Scandinavian countries and the GFR are outlined. Special organisations such as the American National Clearing House for Smoking and Health were set up in Scandinavian countries, with the exception of Finland. The results of the antismoking campaign in the USA, which reduced the amount of smokers by 25%, are mentioned to organise and support similar activities in Finland. The material used for deaddiction, such as a Smokers Self Testing Kit, is reviewed. A brochure composed by the authors in the form of a deaddiction diary focuses on the short term positive consequences which can be monitored from day to day. In the diary, the smoker must follow his own deaddiction symptoms, both positive and negative ones, which can mean an important therapeutic activity itself. (18 references).</t>
  </si>
  <si>
    <t>(Gastrin G.; Ramstrom L.); ID: 3905</t>
  </si>
  <si>
    <t>1368-1222</t>
  </si>
  <si>
    <t>1976029693 PUI L6029692</t>
  </si>
  <si>
    <t>Gastrin,G.;Ramstrom,L. M.;Author,Addresses;Nts,Nat Foren Upplysn Tobakens;Skadeverkningar,Stockholm;Correspondence,Address;Nts,Nat Foren Upplysn Tobakens Skadeverkningar Stockholm</t>
  </si>
  <si>
    <t>Smoking cessation activities. A task for every member of the medical profession (Swedish)</t>
  </si>
  <si>
    <t>health education;physician;smoking;methodology;prevention;therapy;Public Health, Social Medicine and Epidemiology (17)</t>
  </si>
  <si>
    <t>There are data indicating that the medical profession could most efficiently contribute to smoking control efforts by including smoking cessation counseling in the daily work as part of every contact with a smoker. This task will be made easier by a new type of leaflet that has just been published in Sweden and Finland. This leaflet should be handed over to smokers who have been advised to stop. It contains information on smoking cessation and a 'stop smoking diary'. It has recently been distributed to health personnel in Sweden as an enclosure to a letter on smoking control from the National Board of Health and Welfare. (16 references.)</t>
  </si>
  <si>
    <t>(Gastrin G.; Ramstrom L.M.); ID: 3922</t>
  </si>
  <si>
    <t>1975102684 PUI L5102606</t>
  </si>
  <si>
    <t>Gaume,J.;Magill,M.;Longabaugh,R.;Bertholet,N.;Gmel,G.;Daeppen,J. B.;Author,Addresses;Center for,Alcohol;Addiction Studies, Brown University,Box G.;Providence,United States;Correspondence,Address;Gaume,Center for Alcohol,J.;Addiction Studies,Brown,University Box;G-S,Providence</t>
  </si>
  <si>
    <t>The effects of counselor characteristics on within-session processes and outcomes in a brief motivational intervention for heavy drinking</t>
  </si>
  <si>
    <t>71A</t>
  </si>
  <si>
    <t>alcohol;alcoholism;drinking;society;addiction;alcohol consumption;female;follow up;human;male;physician;psychologist;regression analysis;skill</t>
  </si>
  <si>
    <t>This study aims at better understanding the mechanisms of alcohol brief motivational interventions (BMI) by investigating the influence of counselors' individual characteristics and within-session behaviors. The sample included 216 young men screened as heavy drinkers and randomly selected to receive a single BMI conducted by one of 18 counselors performing 12 BMIs each. Counselors were selected to maximize differences in several of their characteristics (e.g. background and training, clinical and</t>
  </si>
  <si>
    <t>(Gaume J.; Magill M.; Longabaugh R.; Bertholet N.; Gmel G.; Daeppen J.B.) 35th Annual Scientific Meeting of the Research Society on Alcoholism, RSA 2012 San Francisco, CA, United States 2012-06-23 to 2012-06-27 Blackwell Publishing Ltd; ID: 2549</t>
  </si>
  <si>
    <t>10.1111/j.1530-0277.2012.01803.x FULL TEXT LINK http://dx.doi.org/10.1111/j.1530-0277.2012.01803.x</t>
  </si>
  <si>
    <t>Gehrs,M.;Pickles,C.;Langley,J.;Author,Addresses;St. Michael's,Hospital;Mental,Health Service;University of,Toronto;Canada;Correspondence,Address;Gehrs, St Michael's Hospital Mental Health Service Toronto Canada,M.;Email,gehrsm smh ca</t>
  </si>
  <si>
    <t>Developing early intervention in psychosis (EIP) programming in a Canadian inner city environment</t>
  </si>
  <si>
    <t>Early Intervention in Psychiatry</t>
  </si>
  <si>
    <t>4 SUPPL. 1</t>
  </si>
  <si>
    <t>city;early intervention;environment;lifespan;psychosis;adaptation;community;counseling;education;funding;general practice;government;halfway house;health;health care quality;homelessness;hospital;housing;human;immigrant;injury;juvenile;lowest income group;psychiatrist;psychosocial care;student;teaching hospital;university</t>
  </si>
  <si>
    <t>Background: St. Michael's Hospital, affiliated with the University of Toronto, is a teaching hospital with strong clinical and research foci on inner city health issues. In 2006, government EIP funding was received to implement the STEPS for Youth Program to serve Toronto's inner city youth. Objective: To describe challenges in developing EIP services for the diverse needs of youth in Toronto's inner city. Description: In order to generate referrals from Toronto's diverse inner city community, partnerships were forged with stakeholders who could identify youth in need of EIP services. Examples include: psychiatrist outreach into several youth hostels to develop trust and early identification in street-involved youth; relationships with student counselling services to improve access from the numerous educational institutions in the downtown core; and linkages with the hospital's psychiatric and family practice services. Implications: Since 2006 over 150 youth have been served. Research data from the Matryoshka study and ongoing program evaluation indicate that STEPS for Youth clients include a high proportion of recent immigrants, who also experience low incomes, increased homelessness or poor housing conditions, concurrent substance use, legal difficulties and lower education. This presentation will describe some of the program adaptations that were required to serve the needs of these diverse clients and their families. Discussion will focus on assertive outreach strategies; creative joint services with youth hostels; awareness of trauma-based issues; integration of concurrent substance use counselling; culturally sensitive treatment and recovery interventions; and linkages with cultural interpretation services and cultural agencies to enhance psychosocial support.</t>
  </si>
  <si>
    <t>(Gehrs M., gehrsm@smh.ca; Pickles C.; Langley J.) 7th International Conference on Early Psychosis - Early Psychoses: A Lifetime Perspective Amsterdam, Netherlands 2010-11-29 to 2010-12-01 Blackwell Publishing; ID: 2752</t>
  </si>
  <si>
    <t>1751-7885</t>
  </si>
  <si>
    <t>10.1111/j.1751-7893.2010.00230.x FULL TEXT LINK http://dx.doi.org/10.1111/j.1751-7893.2010.00230.x</t>
  </si>
  <si>
    <t>Gendel,M. H.;Author,Addresses;University of,Colorado Health;Center,East First Avenue Suite Denver C.O.United States;Correspondence,Address;MH Gendel, University of Colorado Health Sciences Center,East First;Avenue,Suite Denver C.O.United States Email mhgendel aol com</t>
  </si>
  <si>
    <t>16904504; Substance Misuse and Substance-Related Disorders in Forensic Psychiatry</t>
  </si>
  <si>
    <t>acamprosate (drug therapy);buprenorphine (drug therapy);disulfiram (drug therapy);levacetylmethadol (drug therapy);methadone (drug therapy);naloxone (drug therapy);drug dependence (drug therapy, therapy);forensic psychiatry;mental disease (diagnosis, etiology);substance abuse;alcoholism (drug therapy);behavior;behavior disorder (diagnosis);behavior therapy;biology;child abuse;civil rights;clinical assessment;clinical practice;cognitive therapy;competence;compulsion;criminal law;custodial care;Diagnostic and Statistical Manual of Mental Disorders;diagnostic procedure;family therapy;fetus outcome;human;legal aspect;legal liability;medical education;medical ethics;medical research;mental deficiency;neurology;opiate addiction (drug therapy);physician attitude;pregnancy;priority journal;prison;professional competence;professional secrecy;psychiatrist;responsibility;review;self concept;social aspect;treatment outcome;acamprosate (77337-73-6);buprenorphine (52485-79-7, 53152-21-9);disulfiram (97-77-8);levacetylmethadol (34433-66-4);methadone (1095-90-5, 125-56-4, 23142-53-2, 297-88-1, 76-99-3);naloxone (357-08-4, 465-65-6);General Pathology and Pathological Anatomy (5);Psychiatry (32);Drug Literature Index (37);Forensic Science Abstracts (49)</t>
  </si>
  <si>
    <t>There is a broad range of substance-related problems that arise for the forensic psychiatrist. For many, what is most challenging about addressing these issues are the complex behavioral, biological, clinical, and social phenomena involved. Substance- related illnesses are on the cutting edge of brain research. Substance-related behavior that brings individuals to the attention of forensic psychiatrists involves a wide spectrum of substance use patterns, but even substance misuse may have profound and relevant effects, forensically. The social forces that mold our laws and attitudes toward addictive drug use are at work in almost every forensic context. Substance-related issues provide a rich medium for the application of forensic psychiatric principles and practice. As in all of forensic psychiatric work, the psychiatrist should be familiar with each forensic context in which addiction issues arise. They should become familiar with the relevant definitions, criteria, and legal requirements that apply in each specific area of their practice, rather than assume that clinical definitions and clinical reasoningâ”¬Ã¡will carry them. Comfort and effectiveness with addiction issues requires willingness to continually educate oneself about this rapidly changing field, and familiarity with one's own attitudes and beliefs regarding addictive illness. â”¬âŒ 2006 Elsevier Inc. All rights reserved.</t>
  </si>
  <si>
    <t>(Gendel M.H., mhgendel@aol.com) W.B. Saunders, Independence Square West, Philadelphia, United States.; ID: 3094</t>
  </si>
  <si>
    <t>http://www.ncbi.nlm.nih.gov/pubmed/16904504</t>
  </si>
  <si>
    <t>10.1016/j.psc.2006.04.010 FULL TEXT LINK http://dx.doi.org/10.1016/j.psc.2006.04.010</t>
  </si>
  <si>
    <t>Substance Misuse and Substance-Related Disorders in Forensic Psychiatry</t>
  </si>
  <si>
    <t>Gestal-Otero,J.;Montes-Martinez,A.;Author,Addresses;Departamento,de Medicina;y Social, Facultad de Medicina Santiago,de Compostela;Correspondence,Address;Departamento de Medicina Preventiva y Social, Facultad de,Medicina Santiago;de,Compostela</t>
  </si>
  <si>
    <t>3432708; Smoking habits of final-year Galician medical students</t>
  </si>
  <si>
    <t>epidemiology;health education;medical student;smoking;smoking cessation;tobacco;article;education;geographic distribution;human;normal human;prevention;review;Spain;Public Health, Social Medicine and Epidemiology (17)</t>
  </si>
  <si>
    <t>Smoking habits among final-year Galician medical students have been studied using a questionnaire complying with the recommendations of the W.H.O. and the U.I.C.C. Aspects reported include the prevalence of the smoking habit, the characteristics of smoker, drug and habit, and health problems attributed to smoking. The prevalence rate was high (61.9%); average consumption by smokers was 16 cigarettes/day; most smokers smoked cigarettes with medium-to-high nicotine and medium-to-low tar contents; and the proportion of ex-smokers was small. Smokers were found to be well aware of the dangers of smoking, and their failure to relinquish the habit is attributed to lack of social support. The role of Medical Faculties in the fight against smoking is discussed, and it is suggested that priority should be given to anti-smoking campaigns among secondary school students (14-17 year-olds) and university undergraduates, since 60% of smokers acquired the habit during the former period and 21% during the latter.</t>
  </si>
  <si>
    <t>(Gestal-Otero J.J.; Montes-Martinez A.) Elsevier Masson SAS, 62 rue Camille Desmoulins, Issy les Moulineaux Cedex, France.; ID: 3751</t>
  </si>
  <si>
    <t>http://www.ncbi.nlm.nih.gov/pubmed/3432708</t>
  </si>
  <si>
    <t>Smoking habits of final-year Galician medical students</t>
  </si>
  <si>
    <t>Ghazal,S.;Akhter,S.;Aziz,H. W.;Warraich,U. A.;Shah,W. H.;Javed,U.;Deen,I. U.;Author,Addresses;Correspondence,Address;Ghazal,S.</t>
  </si>
  <si>
    <t>Knowledge, attitude and perception regarding e-cigarette among post graduate medical trainees in Pakistan</t>
  </si>
  <si>
    <t>48 Supplement 60.</t>
  </si>
  <si>
    <t>nicotine;electronic cigarette;Pakistan;perception;postgraduate student;analysis of variance;awareness;city;friend;human;human experiment;male;pulmonology;social media;statistical significance;Student t test;nicotine (54-11-5)</t>
  </si>
  <si>
    <t>Despite advertisement by industry about electronic cigarettes (e-cigarettes) as being safer substitute for regular cigarettes scientific data raises serious concerns regarding its effectiveness. AIM: To assess knowledge and perceptions of post graduate medical trainees (PGs) in Pakistan regarding e-cigarettes and their attitude towards its use for themselves and in their patients. Method: uestionnaire was filled by 406 PGs of various specialties from 5 major cities of Pakistan. ata was analyzed using SPSS 22. Correlations were used to assess the relationship between variables. ne-way Anova and Independent Sample t-test were applied. P value &lt; 0.05 was taken as significant. Results: Among respondents 59% know of e-cigarettes, majorly through acquaintances (55%) and social media (28%). Males were more likely to know about e-cigarettes ( 0.00)) with 1.86 times more chances to use it in future. n evaluating awareness among different cities, arachi scored lower than Islamabad (p 0.03) and Lahore (p 0.056) and greater than Multan (p 0.003). Pulmonology PGs were found to have significantly higher chances of knowing about e-cigarettes compared to other disciplines. Significant correlation was found between current smokers and higher chances of their knowing about e-cigarettes and increased likelihood of its use compared to others. PGs with friends using e-cigarettes had 3 times more chances to indulge in it in future (p 0.00). Age was found to have positive correlation of 0.185 with attitude towards use ( 0.004). Conclusion: ith growing popularity of e-cigarettes steps to provide medical trainees with updated information about these novel devices of nicotine use need to be taken.</t>
  </si>
  <si>
    <t>(Ghazal S.; Akhter S.; Aziz H.W.; Warraich U.A.; Shah W.H.; Javed U.; Deen I.U.) European Respiratory Society Annual Congress 2016 London, United Kingdom 2016-09-03 to 2016-09-07 European Respiratory Society; ID: 1915</t>
  </si>
  <si>
    <t>10.1183/13993003.congress-2016.PA2028 FULL TEXT LINK http://dx.doi.org/10.1183/13993003.congress-2016.PA2028</t>
  </si>
  <si>
    <t>Ghazavi,A.;Solhi,H.;Moazzeni,S. M.;Rafiei,M.;Mosayebi,G.;Author,Addresses;Tuberculosis;Pediatric,Infectious Research;Department of Immunology, Arak University of Medical Sciences,Arak Iran;Department,of Forensic;Toxicology,Arak University;of,Medical Sciences;Department of Immunology, School of Medical,Science Tarbiat;Modares University,Tehran Iran;Department of,Biostatistics;Epidemiology,Arak University of;Medical Sciences,Arak Iran;Molecular;Medicine,Research;Center,Department of Immunology Arak University of Medical Sciences P.O.;Box,Arak Iran;Correspondence,Address;Mosayebi,Molecular,G.;Medicine,Research Center;Immunology,Arak University of Medical Sciences P.O.Box Arak;Iran Email, ghasemmosayebi arakmu,ac ir</t>
  </si>
  <si>
    <t>23519052; Cytokine profiles in long-term smokers of opium (Taryak)</t>
  </si>
  <si>
    <t>(MAJOR FOCUS);cytokine (endogenous compound);opiate;C reactive protein (endogenous compound);gamma interferon (endogenous compound);interleukin 10 (endogenous compound);interleukin 17 (endogenous compound);interleukin 4 (endogenous compound);smoking habit;adult;article;clinical article;clinical evaluation;controlled study;disease association;enzyme linked immunosorbent assay;human;immune response;male;opiate addiction;priority journal;protein analysis;protein blood level;upregulation;C reactive protein (9007-41-4);gamma interferon (82115-62-6);opiate (53663-61-9, 8002-76-4, 8008-60-4);Clinical and Experimental Biochemistry (29);Drug Dependence, Alcohol Abuse and Alcoholism (40)</t>
  </si>
  <si>
    <t>Objectives: There are few studies with conflicting results on the effects of in vivo administration of opioids on immune function. The aim of this study was to evaluate the serum levels of interferon (IFN)-â•¬â”‚, interleukin (IL)-4</t>
  </si>
  <si>
    <t>(Ghazavi A.) (Solhi H.) (Moazzeni S.M.) (Rafiei M.) (Mosayebi G., ghasemmosayebi@arakmu.ac.ir) Lippincott Williams and Wilkins, 250 Waterloo Road, London, United Kingdom.; ID: 2405</t>
  </si>
  <si>
    <t>http://www.ncbi.nlm.nih.gov/pubmed/23519052</t>
  </si>
  <si>
    <t>10.1097/ADM.0b013e31828baede FULL TEXT LINK http://dx.doi.org/10.1097/ADM.0b013e31828baede</t>
  </si>
  <si>
    <t>Cytokine profiles in long-term smokers of opium (Taryak)</t>
  </si>
  <si>
    <t>Ghorbani,M.;Molanaei,A.;Amini,S.;Ameri,M.;Author,Addresses;Department of,Forensic Medicine;of,Medical Sciences;Department of,Forensic;Medicine,Iran University of Medical Sciences Tehran Iran;Correspondence,Address;Molanaei, Rasoul Akram Hospital Sattarkhan St Niayesh St Tehran,A.;Iran Email,kosar,yahoo com</t>
  </si>
  <si>
    <t>Epidemiology of gunshot bodies referred for forensic medicine in Tehran</t>
  </si>
  <si>
    <t>Tehran University Medical Journal</t>
  </si>
  <si>
    <t>forensic medicine;gunshot injury (epidemiology);adult;article;autopsy;bullet;clinical article;cross-sectional study;female;firearm;homicide;human;male;suicide;Public Health, Social Medicine and Epidemiology (17);Internal Medicine (6)</t>
  </si>
  <si>
    <t>Background: The rate of using firearm in criminal acts, even in countries with strict legal controls on these weapons is increasing. The most common methods of homicides and suicides are using firearm in United States. In this study we aimed to evaluate the epidemiology of gunshot bodies referred to Forensic Medicine. Methods: Information about firearm-related injuries in autopsy hall of Forensic Medicine center in Tehran during 2011-2012 were evaluated from patients' documents. Necessary information including age, sex, education, employment, drug and alcohol addiction, as well as information related to shot such as suicide or homicidal, shoot number (incoming bullets), shot location, type of firearm, organ damage, shot distance and location of the incident were extracted and analyzed using SPSS version 16. Results: In this cross sectional study, 38 deaths were identified. These were overwhelmingly males (100%) with mean age of 32.4 (SD= 6.57). The typical entrance wound sites in suicides were the head (42.2%) and chest (24.3%) and abdomen (5.4%) and limb (2.7%) and others (48.6%). place a bullet in the head, 16 (42.2 %), chest 9 (24.3%), the abdomen, 2 cases (5.4%), an organ (2.7%) and hit a different place (9 cases 24.3 percent). Brain damaged in 18 cases (84.6%) and lung 5 (13.5%) and 12 (32.4%) and several organs were damaged. The typical entrance wound sites in suicides were the head (42.2%) and chest (24.3%) and abdomen (5.4%) and limb (2.7%) and others (48.6%). This total included 33% attempted or completed suicides, and 47.5% assaults/homicides The scene of disaster were the 12 patients (50%) outdoors, 8 (33.3%) at home and in 4 cases (16.7%) at work. Conclusion: Based on results of this study, age of victims is higher than previously observed patterns, such as gender of victims, location of shots, type of weapon used is different with international reports due to differences in availability of Iranian weapons and cultural differences. The results of this study can be a base for other investigations's changes in trends of total firearm death rates, mass fatal shooting incidents, rates of firearm homicide, suicide and unintentional firearm deaths, and of total homicides and suicides.</t>
  </si>
  <si>
    <t>(Ghorbani M.; Amini S.) (Molanaei A., kosar2004@yahoo.com; Ameri M.); ID: 2314</t>
  </si>
  <si>
    <t>1683-1764</t>
  </si>
  <si>
    <t>2014580505 PUI L373871011</t>
  </si>
  <si>
    <t>Gibas,M.;Maâ• Âºdry,E.;Maâ• Âºdry,R.;Adamczak-Ratajczak,A.;Author,Addresses;Katedra i Zakâ”¼Ã©ad Fizjologii, Akademia Medyczna,Poznan Poland;Klinika Onkologii, Akademia Medyczna,Poznan Poland;Katedra,i. Zak;â”¼Ãœwiâ•šâŒcickiego,Poznaâ”¼Ã¤ Poland;Correspondence,Address;ul â”¼Ãœwiâ•šâŒcickiego,M.Gibas, Katedra i Zakâ”¼Ã©ad Fizjologii A.M.;Poznaâ”¼Ã¤, Poland Email magda gibas,hipokrates org</t>
  </si>
  <si>
    <t>Do future doctors use narcotics? ORIGINAL (NON-ENGLISH) TITLE Czy przyszli lekarze siâ•šâŒgajaâ• Âº po narkotyki?</t>
  </si>
  <si>
    <t>Family Medicine and Primary Care Review</t>
  </si>
  <si>
    <t>(MAJOR FOCUS);narcotic agent;amphetamine;cannabis;addiction;article;controlled study;drug use;futurology;human;major clinical study;medical student;physician;population research;questionnaire;teacher;amphetamine (1200-47-1, 139-10-6, 156-34-3, 2706-50-5, 300-62-9, 51-62-7,;60-13-9, 60-15-1);cannabis (8001-45-4, 8063-14-7);Public Health, Social Medicine and Epidemiology (17);Psychiatry (32)</t>
  </si>
  <si>
    <t>Background. The use of narcotics is regarded to be a social problem, with which general practitioners frequently meet in their office. Objectives. We evaluated the use of narcotics by students of 2(nd) and 6(th) year of medicine. Material and methods. The data were collected from two student populations: 267 students of 2(nd) and 147 of 6(th) year of medicine. The anonymous questionnaire covered drug use items. Results. 34% of students use narcotics (students of 6(th) year more often). The most popular is marijuana, the second place is reserved for amphetamines. The most frequent purpose of narcotics use is curiosity and fun, next improved abilities of studying. Availability of narcotics is reported as easy or very easy. Only 16% of students are satisfied with information on intoxicating substances and addiction they got from academic teachers. â”¬âŒ Copyright by Wydawnictwo Continuo.</t>
  </si>
  <si>
    <t>(Gibas M., magda.gibas@hipokrates.org; Maâ• Âºdry E.; Adamczak-Ratajczak A.) (Maâ• Âºdry R.) (Gibas M., magda.gibas@hipokrates.org); ID: 3102</t>
  </si>
  <si>
    <t>1734-3402</t>
  </si>
  <si>
    <t>2006590693 PUI L44850084</t>
  </si>
  <si>
    <t>Gillmann-Blum,D.;Castillo-Hofer,C.;Ferlinz,R.;Author,Addresses;Universitatskliniken,III;Medizinische Klinik, Schwerpunkt Pneumologie,Langenbeckstrasse D.;Mainz,Germany;Correspondence,Address;Medizinische Klinik,D. Gillmann-Blum, Universitatskliniken I.I.I.;Schwerpunkt Pneumologie,Langenbeckstrasse,D.Mainz Germany</t>
  </si>
  <si>
    <t>Does studying medicine influence smoking behaviour, opinions and/or knowledge about smoking? - A survey conducted among medical students in the first and last-but-one year of study ORIGINAL (NON-ENGLISH) TITLE VERANDERT DAS MEDIZINSTUDIUM VERHALTEN, MEINUNG UND WISSEN UBER DAS RAUCHEN? - EINE UMFRAGE UNTER MEDIZINSTUDENTEN IM ERSTEN UND VORLETZTEN STUDIENJAHR</t>
  </si>
  <si>
    <t>Pneumologie, Sonderheft</t>
  </si>
  <si>
    <t>medical education;smoking;attitude;behavior;conference paper;education;human;priority journal;psychological aspect;smoking habit;Chest Diseases, Thoracic Surgery and Tuberculosis (15);Public Health, Social Medicine and Epidemiology (17)</t>
  </si>
  <si>
    <t>At the present time, the major effect of studying medicine is to promote the students' knowledge about smoking and its injurious effects. The task of the future doctors in informing patients of the dangers of smoking and counsel them accordingly, receives too little attention. The students' own smoking habits are in no way modified by their studies.</t>
  </si>
  <si>
    <t>(Gillmann-Blum D.; Castillo-Hofer C.; Ferlinz R.); ID: 3686</t>
  </si>
  <si>
    <t>0934-8573</t>
  </si>
  <si>
    <t>1990179685 PUI L20179327</t>
  </si>
  <si>
    <t>Does studying medicine influence smoking behaviour, opinions and/or knowledge about smoking? - A survey conducted among medical students in the first and last-but-one year of study ORIGINAL (NON-ENGLISH) TITLE VERANDERT DAS MEDIZINSTUDIUM VERHAL(TRUNCATED)</t>
  </si>
  <si>
    <t>Gilroy,I.;Doherty,K.;Comerford,D.;Clarke,A.;Daly,L.;Fitzpatrick,P.;Kelleher,C. C.;Author,Addresses;Department,of Preventive;Health Promotion,St;Vincent's University Hospital, Elm Park,Dublin Ireland;Public,U. C. D. S.;Health,Physiotherapy;Population Science,University,College Dublin;Dublin,Ireland;Correspondence,Address;Gilroy, Department of Preventive Medicine,I.;Health Promotion,St;Vincent's University Hospital, Elm Park,Dublin Ireland</t>
  </si>
  <si>
    <t>Evidence that smoking bans affect smoking culture in a large Irish teaching hospital, St. Vincent's University Hospital 1998-2011</t>
  </si>
  <si>
    <t>181 SUPPL. 4</t>
  </si>
  <si>
    <t>S110</t>
  </si>
  <si>
    <t>college;human;Ireland;physician;public health;smoking;smoking ban;teaching hospital;university hospital;winter;female;health;hospital admission;outpatient;passive smoking;patient;population;smoke;smoking habit;workplace</t>
  </si>
  <si>
    <t>There is limited evidence about the effect of passive smoking bans on active smoking 1]. This paper describes how the national 2004 workplace smoking ban and a 2009 smoke-free campus initiative both positively affected smoking attitudes and behaviours among patients and staff in St. Vincent's University Hospital. Surveys of patients (1998, 2002, 2004, 2006, 2010), staff (2001, 2006, 2010), visitors and outpatients (2011) were combined. Of 3,622 participants (combined total), 61 % were female, 52 % were &lt;50 years old, with an average smoking rate of 21 %. Acceptability to participants of both the 2004 and 2009 bans shifted significantly post introduction (p&lt;0.000). Since 1998, patient intention to quit has increased, with patients showing greater intent now than staff (2010, 55 vs. 38 % respectively). Both bans had a positive impact on patients' smoking habits during hospital admission; 61 % (n = 38) in 2004 and 60 % (n = 19) in 2010 of current smokers said the bans had helped them to stop or reduce. In 2002, before the indoors ban, 9.98 % of the patient population smoked, rising to 13.96 % in 2004 when allowed to smoke outdoors and reducing again to 9.36 % after the outright ban in 2010 (p = 0.076). Universal awareness that passive smoking damages health has risen steadily, across all demographic groups from 82 % in 2004 to 95 % in 2011 (p&lt;0.000). In 2011 21 % of respondents reported that they were exposed to passive smoke in their homes and 11 % in their car/truck. These findings show passive smoking bans do impact on respondents' attitudes and on some active smoking behaviours.</t>
  </si>
  <si>
    <t>(Gilroy I.; Doherty K.; Comerford D.; Clarke A.; Daly L.; Fitzpatrick P.; Kelleher C.C.) (Clarke A.; Daly L.; Fitzpatrick P.; Kelleher C.C.) Faculty of Public Health Medicine, Royal College of Physicians of Ireland - Winter Scientific Meeting Abstracts 2011 Dublin, Ireland 2011-12-14 to 2011-12-14 Springer London; ID: 2530</t>
  </si>
  <si>
    <t>10.1007/s11845-012-0838-1 FULL TEXT LINK http://dx.doi.org/10.1007/s11845-012-0838-1</t>
  </si>
  <si>
    <t>Ginsberg,Y.;Quintero,J.;Anand,E.;Casillas,M.;Upadhyaya,H. P.;Author,Addresses;Department of,Medical Epidemiology;Biostatistics,Karolinska Institutet Stockholm Sweden;Hospital Universitario Infanta Leonor, Psikids,Madrid Spain;Eli Lilly, Windlesham Surrey,United Kingdom;Eli Lilly,Madrid Spain;Eli Lilly,Indianapolis,I.N.United States;Correspondence,Address;Ginsberg, Department of Medical Epidemiology,Y.;Biostatistics;Karolinska Institutet, Nobels Vâ”œÃ±g A S Stockholm,Sweden Email;ylva.ginsberg@ki.se</t>
  </si>
  <si>
    <t>Underdiagnosis of attention-deficit/hyperactivity disorder in adult patients: A review of the literature</t>
  </si>
  <si>
    <t>Primary Care Companion to the Journal of Clinical Psychiatry</t>
  </si>
  <si>
    <t>attention deficit disorder (diagnosis);academic achievement;alcohol abuse;anxiety disorder;article;awareness;comorbidity;criminal behavior;driving ability;DSM-IV-TR;human;hyperactivity;impulsiveness;lifestyle;major depression;mental instability;psychological well-being;quality of life;restlessness;substance abuse;Psychiatry (32);Drug Dependence, Alcohol Abuse and Alcoholism (40)</t>
  </si>
  <si>
    <t>Objective: To raise awareness of attention-deficit/hyperactivity disorder (ADHD) as an underdiagnosed, undertreated, often comorbid, and debilitating condition in adults. Data Sources: PubMed was searched using combinations of keywords, including ADHD, adult, diagnosis, identify, prevalence, and comorbid, to find articles published between 1976 and 2013. Study Selection: In total, 99 articles were selected for inclusion on the basis of their relevance to the objective and importance to and representation of ADHD research, including international guidelines for adults with ADHD. Results: In a large proportion of children with ADHD, symptoms persist into adulthood. However, although adults with ADHD often experience chaotic lifestyles, with impaired educational and vocational achievement and higher risks of substance abuse and imprisonment, many remain undiagnosed and/or untreated. ADHD is usually accompanied by other psychiatric comorbidities (such as major depressive disorder, anxiety disorder, and alcohol abuse). Indeed, adults with ADHD are more likely to present to a psychiatric clinic for treatment of their comorbid disorders than for ADHD, and their ADHD symptoms are often mistaken for those of their comorbidities. Untreated ADHD in adults with psychiatric comorbidities leads to poor clinical and functional outcomes for the patient even if comorbidities are treated. Effective treatment of adults' ADHD improves symptoms, emotional lability, and patient functioning, often leading to favorable outcomes (eg, safer driving, reduced criminality). A few medications have now been approved for use in adults with ADHD, while a multimodal approach involving psychotherapy has also shown promising results. Conclusions: General psychiatrists should familiarize themselves with the symptoms of ADHD in adults in order to diagnose and manage ADHD and comorbidities appropriately in these patients. â”¬âŒ 2014 Physicians Postgraduate Press, Inc.</t>
  </si>
  <si>
    <t>(Ginsberg Y., ylva.ginsberg@ki.se) (Quintero J.) (Anand E.) (Casillas M.) (Upadhyaya H.P.) Physicians Postgraduate Press Inc.; ID: 2317</t>
  </si>
  <si>
    <t>1555-211X (electronic) 1523-5998</t>
  </si>
  <si>
    <t>2014472831 PUI L373526204</t>
  </si>
  <si>
    <t>10.4088/PCC.13r01600 FULL TEXT LINK http://dx.doi.org/10.4088/PCC.13r01600</t>
  </si>
  <si>
    <t>Girvalaki,C.;Papadakis,S.;Vardavas,C.;Pipe,A.;Lionis,C.;Author,Addresses;Correspondence,Address;Girvalaki,C.</t>
  </si>
  <si>
    <t>Change in primary care physician knowledge regarding smoking cessation after a brief training intervention</t>
  </si>
  <si>
    <t>nicotine;general practitioner;smoking cessation;awareness;chemical stress;clinical article;counseling;doctor patient relation;female;Greece;health hazard;human;metabolism;motivation;pregnancy;relapse;safety;study design;tobacco use;training;nicotine (54-11-5)</t>
  </si>
  <si>
    <t>Background: Limited knowledge regarding tobacco dependence and evidence-based treatment is a known barrier to the effective delivery of tobacco interventions . Aims and Objectives: Our goal was to evaluate the change in knowledge of General Practitioners (GPs), (n=15) following a training-based intervention delivered as part of the Tobacco Treatment Training Network (TiTAN) in Crete Project. Methods: A pre-post study design was used. The training intervention was tested in a sample of General Practitioners in Heraklion, Crete, Greece. The training session occurred over 1-day and addressed health risks and evidence-based techniques for treating tobacco use including counselling and pharmacotherapy. The effectiveness of the seminar was evaluated by a 13-item provider knowledge survey. Results: A total of 12 physicians (response rate 80%) attended the training session. Baseline data indicated that the GPs knowledge regarding smoking cessation and pharmacotherapy was limited. Significant increase in knowledge was documented in 6/13 of the knowledge domains: awareness of safety of continuing to smoke while using NRTs (8 vs. 11; p=0.003); common side effects of quit smoking medications (7 vs. 12, p=0.012); relationship between stress and quitting smoking (4 vs 10, p=0.013); impact of pregnancy on nicotine metabolism (2 vs. 10, p=0.001); most common reasons for relapse (6 vs. 11; p= 0.025); efficacy of a physician's advice to quit smoking on motivation (3 vs. 12, p&lt;0.001). Conclusions: Results indicated that while smoking cessation and pharmacotherapy knowledge among GPs in Greece may be limited, short training programs are effective in significantly increasing knowledge.</t>
  </si>
  <si>
    <t>(Girvalaki C.; Papadakis S.; Vardavas C.; Pipe A.; Lionis C.) European Respiratory Society Annual Congress 2016 London, United Kingdom 2016-09-03 to 2016-09-07 European Respiratory Society; ID: 1914</t>
  </si>
  <si>
    <t>10.1183/13993003.congress-2016.PA1176 FULL TEXT LINK http://dx.doi.org/10.1183/13993003.congress-2016.PA1176</t>
  </si>
  <si>
    <t>Gittins,H.;Patel,S.;Ennals,G.;Plant,J.;Redfern,J.;Shober,M.;Collins,A.;Nazareth,D.;Davies,L.;Author,Addresses;Correspondence,Address;Gittins,H.</t>
  </si>
  <si>
    <t>Smoking cessation advice (SCA) and referral: Do we need to further educate healthcare professionals?</t>
  </si>
  <si>
    <t>European;health care personnel;human;smoking cessation;society;consultation;education program;follow up;health promotion;hope;hospital;hospital patient;lung disease;male;medical record;medical specialist;patient;smoke;smoking;United Kingdom;university hospital;ward</t>
  </si>
  <si>
    <t>Background: Health promotion is a key component of holistic, patient-centred care. 50% of UK smokers make at least one annual attempt to quit; only 3% succeed long-term1. Due to the long-term complications of smoking, we recognise the importance of prompt &amp; effective SCA, a NICE (UK) priority2. The objectives of this study, in an area of socio-economic deprivation in Liverpool, were to determine whether we provide simple SCA and to explore referral rates to specialist SCA services. Method: We undertook a 3-week prospective analysis on the respiratory wards at a large UK University Hospital (December 2010). Specialist SCA is available for all in-patients. Results: 81 patient records were reviewed. Mean age 72 (SD 14) years; 34 (43%) male, 30 (37%) current smokers. Of these 40% received documented SCA from a HCP however, only 42% of this guidance was at time of admission. Only 43% of these smokers were referred to SCA services, of which 85% received a consultation; following this 36% continued to smoke whilst an inpatient. Conclusion: Best practice would suggest SCA within 24 hrs of admission but this occurs in only 40% of cases. Long term follow-up of the smoking cessation rates in these patients is pending. We are working within our hospital to ensure training occurs in this area as per NICE guidance2, aiming to reduce the burden of smoking related lung disease and have implemented a cyclical SCA education programme for all HCPs with the hope of improving SCA referral rates.</t>
  </si>
  <si>
    <t>(Gittins H.; Patel S.; Ennals G.; Plant J.; Redfern J.; Shober M.; Collins A.; Nazareth D.; Davies L.) European Respiratory Society Annual Congress 2011 Amsterdam, Netherlands 2011-09-24 to 2011-09-28 European Respiratory Society; ID: 2647</t>
  </si>
  <si>
    <t>Gjedde,A.;Author,Addresses;Department of,Neuroscience;Pharmacology;University,of Co;Correspondence,Address;Gjedde,Department of Neuroscience,A.;Pharmacology,University of;Co-penhagen,Denmark</t>
  </si>
  <si>
    <t>How to revive neuropsychopharmacological innovation</t>
  </si>
  <si>
    <t>Acta Neuropsychiatrica</t>
  </si>
  <si>
    <t>chlorpromazine;dopamine;dopamine receptor;meprobamate;new drug;noradrenalin;placebo;psychotropic agent;serotonin;college;psychopharmacology;adult;anxiety;brain;brain disease;brain function;brain tissue;clinical study;cultural anthropology;diagnosis;diseases;drug industry;editor;health care organization;human;industry;infection;lifespan;medical school;mental disease;mental health;mood;pathophysiology;patient;physiology;population;psychiatrist;psychosis;schizophrenia;scientist;side effect;social medicine;substance abuse;United States</t>
  </si>
  <si>
    <t>There is no doubt that neuropsychopharmacology is in a crisis. Worldwide, pharmaceutical companies are drop-ping the brain as a focus of research. The main reason for the crisis is the lack of understanding of the patho-physiology of major neuropsychiatric disorders, which prevents the scientists from designing new drugs that address specific disorders of brain function. Some psy-chologists and psychiatrists even claim that existing neuropsychopharmaceuticals in fact are the cause rather than the consequence of the precipitous rise of mental disorders in the Western world. It now appears that 50% of the adult populations of Western societies have suf-fered from a mental illness at least once in their lifetime. According to the National Institutes of Mental Health in the US, as cited by Marcia Angell in the New York Re-view, the relevant illnesses fall into the four broad cate-gories of anxiety, mood, impulse control, and substance abuse disorders. Marcia Angell is a Senior Lecturer in Social Medicine at Harvard Medical School and a for-mer editor of the New England Journal of Medicine, and the European Brain Council confirms that these com-plaints are among the most expensive brain disorders that burden European societies. The critics (1) of the current diagnostic proliferation argue that these disorders emerged to fit the drugs that were discovered rather than the opposite. The drugs were not designed to treat the disorders because no one knows how the mind works in patients with mental complaints, and historically it is true that the first major psychoactive drugs were meant to cure infections. We still depend on the revolution that happened more than 50 years ago when chlorpromazine was found inci-dentally to be effective against psychosis, meprobamate was shown to be effective against anxiety, and iproni-azid turned out to relieve some symptoms of depression. It is still a mystery how they really work, despite the debates of many theories. Of course, the original drugs and their current succes-sors have significant neurochemical effects, but the crit-ics argue that the effects of the drugs, including the rise of serotonin and noradrenaline in brain tissue, or the blockade of dopamine receptors, are used to make claims about the causes of the same mental disturbances that the drugs are prescribed to cure, such as noradrena-line and serotonin deficiency in depression, or dopamine excess in schizophrenia. For these reasons, the same critics argue, the drugs work not nearly as well as re-ported, and the efficiency has been exaggerated by the neuropsychopharmaceutical industry. The critics claim that a higher number of negative than positive clinical studies have been concluded worldwide but only posi-tive studies have been published. It is possible, they say, that patients generally use side-effects rather than main effects to infer the nature of the treatment in placebo-controlled and double-blinded studies, when placebo drugs are as active as test drugs. The only solution to this crisis is to know more about the pathophysiology of neuropsychiatric disorders: What is the matter with the brains of the people who suffer from these complaints? The effective future treatments must be designed to correct known malfunc-tions of the brain, which necessarily requires a strong boost to translational studies into the functional integra-tion of brain work in drug-naâ”œÂ»ve patients, including ge-netic, epigenetic and development studies of the patients and their relatives before they are treated with many of the current drugs that in reality are left-overs from a revolution that happened more than 50 years ago.</t>
  </si>
  <si>
    <t>(Gjedde A., gjedde@sund.ku.dk) 53rd Annual Meeting of the Scandinavian College of Neuropsychopharmacology, SCNP 2012 Copenhagen, Denmark 2012-04-25 to 2012-04-27 Blackwell Publishing Ltd; ID: 2572</t>
  </si>
  <si>
    <t>0924-2708</t>
  </si>
  <si>
    <t>10.1111/j.1601-5215.2012.00664.x FULL TEXT LINK http://dx.doi.org/10.1111/j.1601-5215.2012.00664.x</t>
  </si>
  <si>
    <t>Glass,G. S.;Author,Addresses;Dept Psychiat, Nat Nav Med Cent,Bethesda Md;Correspondence,Address;Dept Psychiat, Nat Nav Med Cent,Bethesda Md</t>
  </si>
  <si>
    <t>The Alcohol Rehabilitation Unit, National Naval Medical Center, Bethesda</t>
  </si>
  <si>
    <t>Military medicine</t>
  </si>
  <si>
    <t>Mil.Med.</t>
  </si>
  <si>
    <t>alcoholism;health education;medical center;rehabilitation;sailor;therapy;Public Health, Social Medicine and Epidemiology (17);Psychiatry (32);Occupational Health and Industrial Medicine (35)</t>
  </si>
  <si>
    <t>The Alcohol Rehabilitation Unit, Bethesda, combines 7 aspects in a multifaceted approach. Primary effort has been given to the inpatient unit and appears to have some success, insofar as no patient has been readmitted, although many return biweekly for followup. Current plans are for more detailed outpatient programs but, because of staffing difficulties, these have not as yet been provided.</t>
  </si>
  <si>
    <t>(Glass G.S.); ID: 3920</t>
  </si>
  <si>
    <t>0026-4075</t>
  </si>
  <si>
    <t>1975076664 PUI L5076593</t>
  </si>
  <si>
    <t>Glassman,R.;Libman,H.;Matsumoto,E.;Author,Addresses;Beth Israel,Deaconess Medical;Boston,United States;Correspondence,Address;Glassman, Beth Israel Deaconess Medical Center Boston United States,R.</t>
  </si>
  <si>
    <t>Breaking bad: The importance of recognizing physicians impaired by substance abuse disorders</t>
  </si>
  <si>
    <t>S326</t>
  </si>
  <si>
    <t>amphetamine derivative;benzodiazepine derivative;central stimulant agent;lorazepam;methamphetamine;diseases;human;internal medicine;physician;society;substance abuse;abuse;agitation;anxiety;burnout;crystal;disability;emergency ward;epidemiology;health care personnel;health service;Human immunodeficiency virus;Human immunodeficiency virus infection;intensive care unit;job stress;laboratory;licensing;malpractice;medical society;mental health;mental hospital;night;pain;patient;population;prevalence;responsibility;self care;suicide attempt;toxicology;United States;workload</t>
  </si>
  <si>
    <t>LEARNING OBJECTIVE 1: Understand the epidemiology of substance abuse among physicians in the United States LEARNING OBJECTIVE 2: Identify resources available for health care professionals with substance abuse disorders CASE: A 54-year-old physician with a history of HIV infection and depression presented to the emergency room with altered mental status, after failing to arrive at his medical office. He was somnolent and minimally responsive, and laboratory studies were noteworthy for a toxicology screen positive for amphetamines. He was admitted to the intensive care unit for further management. Overnight, the patient was treated with lorazepam for agitation. When interviewed the following day, the patient communicated that he had used crystal methamphetamine the night prior. He was encouraged to seek help through the Massachusetts' Physician Health Services, and expressed that he had been told to do so by several previous providers. He also reported a recent admission to a nearby psychiatric hospital for suicide attempt while under the influence of methamphetamine. Given evidence of repetitive abuse and failure to follow through with Physician Health Services, a report was sent to the Massachusetts State Medical Board. DISCUSSION: The prevalence of substance abuse among health care providers is an estimated 6-8 %, similar to the general population but concerning given the level of responsibility placed in their hands. Studies have shown that large workloads and chronic work-related stress lead to early burnout among physicians. To counter-act the effect on mental health, physicians have been found to abuse drugs for performance enhancement (stimulants) and for self-treatment of pain, anxiety, and depression (opioids and benzodiazepines). In 1973, the American Medical Association published a report entitled Î“Ã‡Â£The Sick Physician,Î“Ã‡Â¥ which brought to light the prevalence of physician impairment secondary to substance abuse and prompted the creation of state and local programs. All 50 states now have impaired-physician programs sponsored by the state medical society aimed at providing physicians with rehabilitative services. In Massachusetts, this program is called Physician Health Service. It is independent of the state licensing boards and therefore free of punitive action unless the practitioner does not comply with treatment guidelines. For those who do not comply or have a severe enough disability to compromise their professional activities, state medical boards should be informed for both ethical and legal reasons. It is important to recognize the services available to physicians with substance abuse issues so that they can receive treatment early before endangering their patients.</t>
  </si>
  <si>
    <t>(Glassman R.; Libman H.; Matsumoto E.) 37th Annual Meeting of the Society of General Internal Medicine, SGIM 2014 San Diego, CA, United States 2014-04-23 to 2014-04-26 Springer New York; ID: 2245</t>
  </si>
  <si>
    <t>Glatt,M. M.;Author,Addresses;St Bernard's Hosp,Southall;Correspondence,Address;St Bernard's Hosp,Southall</t>
  </si>
  <si>
    <t>Alcoholism an occupational hazard for doctors</t>
  </si>
  <si>
    <t>J.Alcohol.</t>
  </si>
  <si>
    <t>(MAJOR FOCUS);alcohol;amphetamine;barbituric acid;chlorodyne;glutethimide;pethidine;unclassified drug;alcoholism;drug dependence;medical education;medical personnel;occupational accident;physician;major clinical study;DRUG TRADE NAMES;alcohol (64-17-5);amphetamine (1200-47-1, 139-10-6, 156-34-3, 2706-50-5, 300-62-9, 51-62-7,;60-13-9, 60-15-1);barbituric acid (6191-25-9, 67-52-7);glutethimide (77-21-4);pethidine (28097-96-3, 50-13-5, 57-42-1);Public Health, Social Medicine and Epidemiology (17);Occupational Health and Industrial Medicine (35);Health Policy, Economics and Management (36);Drug Literature Index (37)</t>
  </si>
  <si>
    <t>Doctors, in spite of their special 'image' and perhaps partly arising from their special 'role strain', are not only not immune from the temptations of alcohol misuse and the development of alcoholism but they often seem to be particularly vulnerable. The neglect of undergraduate education in this field therefore urgently should be replaced by adequate specific training, which should pay ample dividends not only in minimising the risk of alcoholism developing in the ranks of doctors themselves but should also prove of the greatest benefit to their patients.</t>
  </si>
  <si>
    <t>(Glatt M.M.); ID: 3876</t>
  </si>
  <si>
    <t>1977201087 PUI L7200866</t>
  </si>
  <si>
    <t>Godlee,F.;Author,Addresses;Bmj,United States;Correspondence,Address;United States Email fgodlee bmj com,F.Godlee, B.M.J.</t>
  </si>
  <si>
    <t>What we must learn from the US opioid epidemic</t>
  </si>
  <si>
    <t>Bmj</t>
  </si>
  <si>
    <t>(2017) 359 Article Number: j4828.</t>
  </si>
  <si>
    <t>(MAJOR FOCUS);opiate;diamorphine;fentanyl;hydrocodone;illicit drug;drug misuse;epidemic;opiate addiction;analgesia;chronic pain;drug traffic;editorial;health care delivery;human;inappropriate prescribing;medical practice;medical specialist;mortality;postoperative pain;prescription;preventive medicine;priority journal;risk reduction;surgeon;United States;diamorphine (1502-95-0, 561-27-3);fentanyl (437-38-7);hydrocodone (125-29-1, 25968-91-6, 34366-67-1);opiate (53663-61-9, 8002-76-4, 8008-60-4);Public Health, Social Medicine and Epidemiology (17);Drug Dependence, Alcohol Abuse and Alcoholism (40)</t>
  </si>
  <si>
    <t>(Godlee F., fgodlee@bmj.com) BMJ Publishing Group, subscriptions@bmjgroup.com; ID: 1877</t>
  </si>
  <si>
    <t>1756-1833 (electronic) 0959-8146</t>
  </si>
  <si>
    <t>20170739840 PUI L618814715</t>
  </si>
  <si>
    <t>10.1136/bmj.j4828 FULL TEXT LINK http://dx.doi.org/10.1136/bmj.j4828</t>
  </si>
  <si>
    <t>Goldberg,J.;Author,Addresses;Poliklin. Abt. Lungenkrankh. Tbc, Funktionseinh;Kreiskrankenh,Kreispoliklin Schwedt;Correspondence,Address;Poliklin. Abt. Lungenkrankh. Tbc, Funktionseinh Kreiskrankenh;Kreispoliklin,Schwedt</t>
  </si>
  <si>
    <t>7222788; Role of the medical profession in health education of the public, especially young people ORIGINAL (NON-ENGLISH) TITLE DIE ROLLE DES ARZTES BEI DER GESUNDHEITSERZIEHUNG DER BEVOLKERUNG INSBESONDERE BEI JUGENDLICHEN</t>
  </si>
  <si>
    <t>Zeitschrift fur Arztliche Fortbildung</t>
  </si>
  <si>
    <t>Z.Arztl.Fortbild.</t>
  </si>
  <si>
    <t>health education;juvenile;physician;smoking;adolescent;geographic distribution;German Democratic Republic;prevention;psychological aspect;short survey;Public Health, Social Medicine and Epidemiology (17);Pediatrics and Pediatric Surgery (7)</t>
  </si>
  <si>
    <t>This paper stresses the importance of the physician's part in educating the population, and especially the young, to healthier ways of life. Special reference is made to attempts to persuade young people to refrain from smoking.</t>
  </si>
  <si>
    <t>(Goldberg J.); ID: 3835</t>
  </si>
  <si>
    <t>http://www.ncbi.nlm.nih.gov/pubmed/7222788</t>
  </si>
  <si>
    <t>Role of the medical profession in health education of the public, especially young people ORIGINAL (NON-ENGLISH) TITLE DIE ROLLE DES ARZTES BEI DER GESUNDHEITSERZIEHUNG DER BEVOLKERUNG INSBESONDERE BEI JUGENDLICHEN</t>
  </si>
  <si>
    <t>Goldstein,A.;Author,Addresses;Addiction Research Foundation, Palo,Alto C.;Correspondence,Address;Addiction Research Foundation, Palo,Alto C.</t>
  </si>
  <si>
    <t>3806728; The Sidney Cohen lectureship in drug abuse medicine</t>
  </si>
  <si>
    <t>drug dependence;animal experiment;brain;central nervous system;etiology;human;human experiment;intoxication;nonhuman;organization and management;pathogenesis;psychological aspect;review;short survey;social aspect;Drug Dependence, Alcohol Abuse and Alcoholism (40);Psychiatry (32)</t>
  </si>
  <si>
    <t>(Goldstein A.); ID: 3771</t>
  </si>
  <si>
    <t>http://www.ncbi.nlm.nih.gov/pubmed/3806728</t>
  </si>
  <si>
    <t>10.1016/0740-5472(86)90016-4 FULL TEXT LINK http://dx.doi.org/10.1016/0740-5472(86)90016-4</t>
  </si>
  <si>
    <t>The Sidney Cohen lectureship in drug abuse medicine</t>
  </si>
  <si>
    <t>Gomez,R.;Thompson,S. J.;Barczyk,A. N.;Author,Addresses;School of Social Work, University of Texas at,Austin Austin;Texas,U. S. A.;Correspondence,Address;Gomez, School of Social Work University of Texas at Austin Austin,R.;Texas,U. S. A. E.</t>
  </si>
  <si>
    <t>20391267; Factors associated with substance use among homeless young adults</t>
  </si>
  <si>
    <t>addiction;child behavior;homelessness;adolescent;adult;article;attitude to health;economics;female;human;male;psychological aspect;risk factor;social support;statistics</t>
  </si>
  <si>
    <t>The purpose of this study was to investigate factors associated with substance use among homeless young adults. Multinomial logistic regression analyses examined the influence of social networks and economic factors among a group of homeless young adults with differing levels of alcohol and drug use. In addition, for those with an alcohol use disorder, the role of future time expectancies was examined. A sample (n = 185) of homeless young adults aged 18 to 23 were recruited from a community drop-in center and interviewed utilizing self-report instruments. Findings suggest that social networks, economic factors, and future expectancies are significant predictors of the level of substance use among homeless young adults. Being able to identify those areas that place homeless young adults at risk for substance abuse and dependence has implications for effective intervention.</t>
  </si>
  <si>
    <t>(Gomez R.) (Thompson S.J.; Barczyk A.N.); ID: 2837</t>
  </si>
  <si>
    <t>http://www.ncbi.nlm.nih.gov/pubmed/20391267</t>
  </si>
  <si>
    <t>10.1080/08897070903442566 FULL TEXT LINK http://dx.doi.org/10.1080/08897070903442566</t>
  </si>
  <si>
    <t>Factors associated with substance use among homeless young adults</t>
  </si>
  <si>
    <t>Gonzâ”œÃ­lez,B. L.;Author,Addresses;Allergy Deparment, Clinic Robert Manuel,Zulueta Cuba;Correspondence,Address;BL Gonzâ”œÃ­lez, Allergy Deparment Clinic Robert Manuel,Zulueta Cuba</t>
  </si>
  <si>
    <t>Health outcomes, education, healthcare delivery and quality-3041. Smoking habit behaviour in adolescents</t>
  </si>
  <si>
    <t>World Allergy Organization Journal</t>
  </si>
  <si>
    <t>6 SUPPL. 1.</t>
  </si>
  <si>
    <t>adolescent;education;health;health care delivery;human;smoking habit;Wechsler intelligence scale;adolescent smoking;asthma;carcinoma;chest tightness;child;community;conditioning;coughing;diseases;father;female;habit;health care;health practitioner;infection;interview;male;mother;organ systems;patient;physician;population;prevention;questionnaire;respiratory system;respiratory tract infection;risk factor;sex ratio;smoking;student;tobacco;wheezing</t>
  </si>
  <si>
    <t>Background: The main objective of this paper was to identify the percentage of smoking adolescents as well as the tobacco consumption and present asthma symptoms according to sex and age. Smoking habit play an important role in respiratory infections due it is a prenatal conditioning factor for the posterior appearance of asthma in the child and for the worsening of pre-established symptoms in active smokers as well as passive ones. Information related to this health problem is short as well as descriptions regarding asthma in smokers. There are uncountless descriptions about the dangerous effects of smoking cigarettes causing disorders to different organ systems although this paper has focused mainly the respiratory system where tobacco has been involved as the risk factor causing inflammatory infections as well as carcinomas. Methods: A cross section study was done using a questionary in which the students answered according to their interpretation. The sample was taken to two hundred and ten participants. The data were collected through a doctor-patient interview and triangulated with information from a questionnaire and the study of individual and family clinical histories. This was organized according to age, sex, tobacco consumption habit, and asthma or related symptoms for the analysis. The students were eighth and ninth graders and were selected according to sex and age. Results: Sex distribution showed that 57.61% were male adolescents and 42.38% were females of whom 4.76% presented with smoking habits and none were asthmatic. Sixteen point six, six (16.66)% of their fathers smoked, while the figure for mothers was 12.85%. The analysis also revealed that 15.23% of these lived with someone who also smoked. The most commonly asthma-related symptoms found were wheezing, chest tightness and coughing in order of apearence. Conclusions: There were no significant differences regarding sex. The occurrence of adolescent smokers is high as well as the population suffering asthma symptoms; therefore, prevention is a key point for the health professionals who are in charge of developing this task in the health care community.</t>
  </si>
  <si>
    <t>(Gonzâ”œÃ­lez B.L.) 2nd WAO International Scientific Conference, WISC 2012 Hyderabad, India 2012-12-06 to 2012-12-09 CONFERENCE EDITORS Pawanker R. Rosenwasser L.J. Holgate S.T. Lippincott Williams and Wilkins; ID: 2412</t>
  </si>
  <si>
    <t>1939-4551</t>
  </si>
  <si>
    <t>Gonzalez,K. F.;Meyers,S.;Portelli-Gupta,J.;Valentine,A.;Brick,D.;Matthews,M.;Suzuki,J.;Author,Addresses;Columbia University, Harvard Extension,School United;States;Cornell University, Harvard Extension School,United States;Northeastern University,Brandeis,University United;States;Boston University,United States;Harvard Medical School Center for,Primary Care;McPhs,United States;Brigham;Women's Hospital,H.M.S.United States;Correspondence,Address;KF Gonzalez, Columbia University Harvard Extension School,United States</t>
  </si>
  <si>
    <t>Undergraduate-level health coaches as volunteers to assist with office-based opioid treatment with buprenorphine</t>
  </si>
  <si>
    <t>(MAJOR FOCUS);buprenorphine;opiate;volunteer;addiction;career;clinical article;clinical decision making;clinical trial;doctor patient relation;drug therapy;female;general practitioner;health student;hospitalization;human;human tissue;medical school;medicine;model;monitoring;motivational interviewing;patient care;pharmacist;prescription;psychiatrist;reward;social work;software;toxicology;urine;buprenorphine (52485-79-7, 53152-21-9);opiate (53663-61-9, 8002-76-4, 8008-60-4)</t>
  </si>
  <si>
    <t>Background: The current opioid-related overdose epidemic has resulted in public health officials calling for an increase in access to medication assisted treatment (MAT) such as buprenorphine. However, access remains limited due to a variety of barriers, notably in the physicians' perceived lack of time, training, and clinical support. In order to increase access to buprenorphine treatment, novel approaches that address these barriers are needed. One model of care that holds promise is to use undergraduate-level health coaches who are pursuing careers in health care (medicine, psychology, nursing, social work, etc), many of whom are seeking meaningful volunteer experiences prior to applying to graduate programs. Methods: We report on the overall approach of the health coaching program, including recruitment, training, and supervision of health coaches, the clinical and administrative roles, the coach manual, and the use of assessment measures and software to facilitate clinical decision making. In addition, we report on the results of surveys conducted with primary care physicians and clinical and process outcomes of patients enrolled in the program. Results: Since its implementation in 2011, the buprenorphine program at Brigham and Women's Hospital Jen Center for Primary Care has had a total of 15 health coaches, involved with caring for over 50 patients. The coaches are recruited from local universities and pre-med/health offices, and must commit to 15 hours a week of volunteer work for at least 1 year duration. Coaches are trained about addiction treatment, buprenorphine pharmacology, community resources, motivational interviewing, and urine toxicology interpretation. All coaches meet weekly with the supervising psychiatrist and pharmacist for team meetings to discuss patients. Coaches call patients regularly to check-in and remind about upcoming appointments, obtain outcome measures, track prescriptions, complete prior authorizations, and are delegated to check the state prescription monitoring program. Coaches will accompany patients to their PCP appointments as well as during their medical hospitalizations. The coaches receive supervision by the psychiatrist, pharmacist, and a more senior coach. Both patients and physicians have found the assistance from health coaches as being helpful. Coaches themselves have reported of the rewards of participating in the program. Conclusions: A collaborative care program that incorporates highly motivated, trained undergraduate-level volunteers provides one avenue for easing the clinical and administrative burden on physicians. Given that pre-med/health students desire meaningful clinical experiences prior to graduate/ medical school, this program can potentially increase access to buprenorphine treatment, while also providing students a valuable experience treating opioid use disorders. Summary: A collaborative care program that relies on highly motivated, trained undergraduate-level students may provide one avenue to reduce the administrative burden of office-based opioid treatment, possibly increasing access to MAT with buprenorphine. This model provides a wide variety of benefits: barriers such as physicians' perceived lack of time and clinical support are diminished, the quality and continuity of care that patients receive is increased, and future health care workers become familiar with treating opioid use disorder earlier in their career via meaningful clinical experiences as undergraduate level students.</t>
  </si>
  <si>
    <t>(Gonzalez K.F.) (Meyers S.) (Portelli-Gupta J.) (Valentine A.) (Brick D.) (Matthews M.) (Suzuki J.) 27th Annual Meeting and Symposium of the American Academy of Addiction Psychiatry, AAAP 2017 Bonita Springs, FL, United States 2016-12-08 to 2016-12-11 Wiley Blackwell; ID: 1819</t>
  </si>
  <si>
    <t>Gonzalez,M.;Clarke,D. E.;Pereira,A.;Boyce-Gaudreau,K.;Waldman,C.;Demczuk,L.;Legare,C.;Author,Addresses;College of,Nursing;Faculty of Health Sciences, University of Manitoba,Winnipeg Canada;Manitoba,Centre for;Health Research,University,of Manitoba;Winnipeg,Canada;Health,Sciences Centre;Canada;College of Nursing, Red River College,Winnipeg Canada;Elizabeth Dafoe Library, University of,Manitoba Winnipeg;Canada;Correspondence,Address;Gonzalez, College of Nursing Faculty of Health Sciences University of,M.;Manitoba,Winnipeg Canada Email Miriam Gonzalez umanitoba ca</t>
  </si>
  <si>
    <t>The impact of educational interventions on attitudes of emergency department staff towards patients with substance-related presentations: A quantitative systematic review</t>
  </si>
  <si>
    <t>JBI Database of Systematic Reviews and Implementation Reports</t>
  </si>
  <si>
    <t>emergency ward;health personnel attitude;hospital personnel;professional knowledge;substance use;alcoholism;clinical practice;human;quantitative study;randomized controlled trial (topic);resident;review;skill;systematic review;Public Health, Social Medicine and Epidemiology (17);Drug Dependence, Alcohol Abuse and Alcoholism (40)</t>
  </si>
  <si>
    <t>Background Visits to emergency departments for substance use/abuse are common worldwide. However, emergency department health care providers perceive substance-using patients as a challenging group to manage which can lead to negative attitudes. Providing education or experience-based exercises may impact positively on behaviors towards this patient population. Whether staff attitudes are similarly impacted by knowledge acquired through educational interventions remains unknown. Objectives To synthesize available evidence on the relationship between new knowledge gained through substance use educational interventions and emergency department health care providers' attitudes towards patients with substance-related presentations. Inclusion criteria Types of participants Health care providers working in urban and rural emergency departments of healthcare facilities worldwide providing care to adult patients with substance-related presentations. Type of intervention Quantitative papers examining the impact of substance use educational interventions on health care providers' attitudes towards substance using patients. Types of studies Experimental and non-experimental study designs. Outcomes Emergency department staff attitudes towards patients presenting with substance use/abuse. Search strategy A three-step search strategy was conducted in August 2015 with a search update in March 2017. Studies published since 1995 in English, French or Spanish were considered for inclusion. Methodological quality Two reviewers assessed studies for methodological quality using critical appraisal checklists from the Joanna Briggs Institute Meta-Analysis of Statistics Assessment and Review Instrument (JBI-MAStARI). Reviewers agreed on JBIMAStARI methodological criteria a study must meet in order to be included in the review (e.g. appropriate use of statistical analysis). Data extraction and synthesis The data extraction instrument from JBI-MAStARI was used. As statistical pooling of the data was not possible, the findings are presented in narrative form. Results A total of 900 articles were identified as relevant for this review. Following abstract and full text screening, four articles were selected and assessed for methodological quality. One article met methodological criteria for inclusion in the review: use of random assignment and comparable study groups and measurement outcomes in a reliable and consistent manner. The included study was a cluster randomized controlled trial. Participants were emergency medicine residents with a mean age of 30 years. The study assessed the impact of a skills-based educational intervention on residents' attitudes, knowledge and practice towards patients with alcohol problems. While knowledge and practice behaviors improved one year following the intervention, there were no significant differences between groups on attitudinal measures. Conclusions Employing educational interventions to improve the attitudes of emergency department staff towards individuals with drug and alcohol related presentations is not supported by evidence.</t>
  </si>
  <si>
    <t>(Gonzalez M., Miriam.Gonzalez@umanitoba.ca; Clarke D.E.) (Gonzalez M., Miriam.Gonzalez@umanitoba.ca; Clarke D.E.; Pereira A.) (Clarke D.E.; Pereira A.; Legare C.) (Boyce-Gaudreau K.) (Demczuk L.) (Waldman C.) Joanna Briggs Institute, jbi@adelaide.edu.au; ID: 1785</t>
  </si>
  <si>
    <t>2202-4433 (electronic)</t>
  </si>
  <si>
    <t>20170589375 PUI L617893008</t>
  </si>
  <si>
    <t>10.11124/JBISRIR-2016-003006 FULL TEXT LINK http://dx.doi.org/10.11124/JBISRIR-2016-003006</t>
  </si>
  <si>
    <t>Goodair,C.;Crome,I.;Author,Addresses;International,Centre for;Policy - Population Health, Research Institute University of,London th;Floor,Hunter Wing St George's Cranmer Terrace London United Kingdom;Correspondence,Address;Goodair, International Centre for Drug Policy Population Health,C.;Research Institute, University of London th Floor Hunter,Wing St;George's, Cranmer Terrace London,United Kingdom</t>
  </si>
  <si>
    <t>Improving the landscape of substance misuse teaching in undergraduate medical education in english medical schools from concept to implementation</t>
  </si>
  <si>
    <t>medical education;substance abuse;article;continuing education;curriculum development;education program;Europe;human;medical school;medical student;professional development;Public Health, Social Medicine and Epidemiology (17)</t>
  </si>
  <si>
    <t>Briefly describes the work undertaken to develop guidance on the teaching of substance misuse in undergraduate medical curricula and its implementation in English medical schools and to comment upon its applicability in Europe and elsewhere and to other allied health professionals.</t>
  </si>
  <si>
    <t>(Goodair C., cgoodair@sgul.ac.uk; Crome I.) Canadian Society of Addiction Medicine, admin@csam.org; ID: 2293</t>
  </si>
  <si>
    <t>2014843975 PUI L600232961</t>
  </si>
  <si>
    <t>Gooding,H. C.;Blood,E.;Sharma,N.;Author,Addresses;Brigham;Women's,Hospital;Children's Hospital,Boston;Boston,United States;Children's Hospital Boston, Boston,United States;Brigham;Women's Hospital,Boston,United States;Correspondence,Address;H.C. Gooding,Brigham;Women's,Hospital;Children's Hospital,Boston;Boston,United States</t>
  </si>
  <si>
    <t>An educational intervention to increase preventive health services provided to adolescents and young adults by internal medicine physicians</t>
  </si>
  <si>
    <t>26 SUPPL. 1</t>
  </si>
  <si>
    <t>S573</t>
  </si>
  <si>
    <t>alcohol;adolescent;adult;human;internal medicine;physician;preventive health service;society;adulthood;Chlamydia;cognitive defect;communication skill;community;consultation;evidence based medicine;faculty practice;feedback system;female;health;HIV test;Human immunodeficiency virus;internist;interpersonal communication;juvenile;language;medical specialist;medicine;mental health;outpatient;patient;pediatric hospital;population;reliability;screening;sexually transmitted disease;substance abuse;university hospital;validity;workshop</t>
  </si>
  <si>
    <t>SETTING AND PARTICIPANTS: This intervention was designed for IM residents training in an academic medical center and its associated outpatient community practices. Following a pilot session with a small group of PGY3 residents (n=18), half of the PGY1 residents in the 2010- 2011 class (n=31) were randomly assigned to participate in the educational intervention during their introductory ambulatory medicine block rotation. The remainder of the PGY1 residents (n=28) received no specific instruction in adolescent and young adult medicine and served as a comparison group. One half of the PGY2 residents will participate in the educational intervention in the coming months and will also be compared to their peers. DESCRIPTION: The educational intervention is led by two faculty trained in both adolescent and internal medicine. Residents are first introduced to general topics in adolescent medicine and the role internists play in the primary and specialty care of adolescents and young adults. The residents are then divided into two smaller groups. Each group spends one hour reviewing screening recommendations from the USPSTF using an evidence-based medicine approach. Each group also spends one hour interviewing adolescents employed by the local children's hospital as consultants for practitioners working with youth. The adolescents are trained in the portrayal of three standardized cases designed to highlight STIs, substance abuse, and depression. The adolescents are also trained to give feedback to the residents using the Structured Communication Adolescent Guide (SCAG), a commercially available tool with established validity and reliability. NEEDS AND OBJECTIVES: The US Preventive Services Task Force recommends screening for sexually transmitted infections (STIs), alcohol misuse, and depression in adolescents and young adults. Despite these national guidelines, few adolescents and even fewer young adults receive routine preventive care in these areas. In addition, internal medicine (IM) physicians often report inadequate preparation to care for adolescent patients as they transition to young adulthood. Fostering internists' understanding of preventive care guidelines and enhancing their communication skills regarding sensitive topics are essential for ensuring the health of adolescent and young adult patients. We aimed to create, deliver, and evaluate an educational intervention designed to increase internal medicine (IM) residents' comfort with and confidence in their ability to care for adolescents and young adults, as well as the percentage of patients screened appropriately for Chlamydia, HIV, alcohol misuse, and depression. EVALUATION: During the baseline pre-intervention period from July 2009 through June 2010, 117 IM residents saw 523 unique outpatients ages 16-26, representing 8.5% of all outpatients seen by the residents. Seventy percent of the patients had documented alcohol screening, 35% had documented depression screening, 21% had HIV testing, and 40% of females had Chlamydia testing. Eighteen PGY3 residents were surveyed to pilot the assessment instrument. More residents reported that they were somewhat or very comfortable taking a sexual history (78%) or a substance use history (67%) than a mental health history (28%) from adolescents and young adults. More residents reported that they were somewhat or very confident in their ability to identify and counsel adolescents and young adults with STIs (56%) than with substance abuse (6%) or depression (22%). The educational intervention for PGY1 and PGY2 residents is currently in progress. DISCUSSION/REFLECTION/LESSONS LEARNED: Residents felt the opportunity to interact with adolescents from the community and to receive real-time feedback from them as well as their peers were the most valuable aspects of the workshop. Didactic portions of the intervention could be streamlined or presented in advance as self-study in the future. The practice of interviewing trained community members and receiving feedback in a small-group peer setting could be expanded to improve the care of other special populations in ambulatory medicine, such as patients requiring language interpreters or those with physical or cognitive disabilities. If successful in meeting the objective of improving preventive screening for adolescent and young adult patients, this educational intervention could be expanded to faculty practices or other internal medicine residency programs.</t>
  </si>
  <si>
    <t>(Gooding H.C.) (Blood E.) (Sharma N.) 34th Annual Meeting of the Society of General Internal Medicine Phoenix, AZ, United States 2011-05-04 to 2011-05-07 Springer New York; ID: 2681</t>
  </si>
  <si>
    <t>10.1007/s11606-011-1730-9 FULL TEXT LINK http://dx.doi.org/10.1007/s11606-011-1730-9</t>
  </si>
  <si>
    <t>Gordon,A. J.;Author,Addresses;a University of Pittsburgh School,of Medicine;Pa;Correspondence,Address;Gordon,A. J.</t>
  </si>
  <si>
    <t>24159902; Substance abuse journal: new beginnings</t>
  </si>
  <si>
    <t>addiction;publication;editorial;human</t>
  </si>
  <si>
    <t>(Gordon A.J.); ID: 2455</t>
  </si>
  <si>
    <t>http://www.ncbi.nlm.nih.gov/pubmed/24159902</t>
  </si>
  <si>
    <t>Substance abuse journal: new beginnings</t>
  </si>
  <si>
    <t>Gordon,A. J.;Galanter,M.;Khalsa,J. H.;Author,Addresses;a University of,Pittsburgh School;Medicine,Pittsburgh Pennsylvania U. S. A.</t>
  </si>
  <si>
    <t>24892635; Addressing addiction across borders: an international perspective on policies, scholarship, and collaboration</t>
  </si>
  <si>
    <t>Substance abuse</t>
  </si>
  <si>
    <t>addiction;cooperation;health care policy;international cooperation;medical education;health care organization;human</t>
  </si>
  <si>
    <t>(Gordon A.J.; Galanter M.; Khalsa J.H.); ID: 2309</t>
  </si>
  <si>
    <t>http://www.ncbi.nlm.nih.gov/pubmed/24892635</t>
  </si>
  <si>
    <t>10.1080/08897077.2014.929906 FULL TEXT LINK http://dx.doi.org/10.1080/08897077.2014.929906</t>
  </si>
  <si>
    <t>Addressing addiction across borders: an international perspective on policies, scholarship, and collaboration</t>
  </si>
  <si>
    <t>Gordon,A. J.;Liberto,J.;Granda,S.;Salmon-Cox,S.;Andree,T.;McNicholas,L.;Author,Addresses;Mental,Illness;Research,Education;Clinical Center, Center for Health,Equity Research;and Promotion, V A Pittsburgh Healthcare System,Highland Drive;Pittsburgh,P. A.;Center for Health,Equity Research;Promotion,V. A. P.;Center for Research,on Health;University,of Pittsburgh;University,of Pittsburgh;Medicine,Pittsburgh P. A.;Va Maryland,Healthcare System;University of Maryland, School of Medicine,Baltimore M.;Department of Psychology, Saint Louis University St,Louis M.;Medical,Philadelphia Va;Correspondence,Address;Gordon, Mental Illness Research Education,A.J.;Clinical,Center;Center for,Health Equity;Promotion,V. A. P.;System,Highland Drive Pittsburgh P.A.Email adam gordon va gov</t>
  </si>
  <si>
    <t>Physician training is never a failure</t>
  </si>
  <si>
    <t>(MAJOR FOCUS);buprenorphine (drug therapy, sublingual drug administration);opiate (drug dose, drug toxicity);medical education;opiate addiction (drug therapy, drug therapy);ambulatory care;certification;drug efficacy;education program;follow up;government;health care;human;law;letter;medical information;mental health service;methadone treatment;buprenorphine (52485-79-7, 53152-21-9);opiate (53663-61-9, 8002-76-4, 8008-60-4);Public Health, Social Medicine and Epidemiology (17);Psychiatry (32);Drug Literature Index (37);Drug Dependence, Alcohol Abuse and Alcoholism (40)</t>
  </si>
  <si>
    <t>(Gordon A.J., adam.gordon@va.gov; Salmon-Cox S.; Andree T.) (Gordon A.J., adam.gordon@va.gov) (Liberto J.) (Granda S.) (McNicholas L.) Informa Healthcare, Telephone House, 69 - 77 Paul Street, United Kingdom.; ID: 2890</t>
  </si>
  <si>
    <t>2009384624 PUI L354992808</t>
  </si>
  <si>
    <t>10.1080/10550490902931373 FULL TEXT LINK http://dx.doi.org/10.1080/10550490902931373</t>
  </si>
  <si>
    <t>Gordon,J.;Friel,B.;McGranachan,M.;Author,Addresses;Jacki Gordon + Associates, Williamwood;Park West,Glasgow,G.T.E.United Kingdom;Glasgow,N. H. S. G.;Clyde,Smokefree Services;Hospital,Glasgow United Kingdom;Glasgow,N. H. S. G.;Clyde Public,Health Resource;Gartnavel Royal Hospital, Glasgow,United Kingdom;Correspondence,Address;Gordon, Jacki Gordon Associates Williamwood Park West Glasgow G.,J.;Te,United Kingdom Email jacki jackigordon net</t>
  </si>
  <si>
    <t>22700578; Professional training to reduce children's exposure to second-hand smoke in the home: Evidence-based considerations on targeting and content</t>
  </si>
  <si>
    <t>medical education;passive smoking;clinical practice;environmental exploitation;health care personnel;health visitor;human;professional competence;professional standard;questionnaire;review;Pediatrics and Pediatric Surgery (7);Public Health, Social Medicine and Epidemiology (17)</t>
  </si>
  <si>
    <t>Aims: Proponents of theory-based evaluations argue that the type of evidence needed by public health decision-makers is not simply whether interventions work or not. A more fruitful approach is to understand the contexts and circumstances associated with effectiveness.This article aims: to firstly understand factors influencing professionals' practice following their participation in training that aimed to reduce children's exposure to second-hand smoke (SHS) in the home via increased usage of brief interventions; and secondly to consider the implications of these factors for improving the skills of a diverse workforce.Methods: Questionnaires were issued to the 231 participants pre- and post-training and at three-month follow-up. Four focus groups and four interviews were run with 16 people who had attended the training in the previous four to eight months and who performed a wide range of professional roles, reflecting the diversity of those trained.Results: The three-month follow-up data indicated that some, but not all, participants had engaged in components of the brief intervention and changed their practice. This difference was largely explained by professional role. Those working in a health-visiting role or team were considered better placed to support families through a process of restricting SHS exposure in the home. Triangulated data also indicated that these professionals more often practised elements of the brief intervention. There was also some evidence that the training did not equip participants with the full range of information they wanted, or with the skills that they felt that they needed.Conclusions: Decisions on who to target for training need to be informed by an understanding of the contexts in which professionals work and the opportunities and constraints within these. Those working in a health-visiting team are credible message carriers, have opportunities to develop a relationship with families, and can be well placed to provide families with sustained support. To do so, they need clear messages on precisely how to reduce exposure. In addition, they need the skills to support families through a process of change. â”¬âŒ Royal Society for Public Health 2012.</t>
  </si>
  <si>
    <t>(Gordon J., jacki@jackigordon.net) (Friel B.) (McGranachan M.) SAGE Publications Ltd, 55 City Road, London, United Kingdom.; ID: 2561</t>
  </si>
  <si>
    <t>1757-9139 1757-9147 (electronic)</t>
  </si>
  <si>
    <t>http://www.ncbi.nlm.nih.gov/pubmed/22700578</t>
  </si>
  <si>
    <t>10.1177/1757913912442271 FULL TEXT LINK http://dx.doi.org/10.1177/1757913912442271</t>
  </si>
  <si>
    <t>Professional training to reduce children's exposure to second-hand smoke in the home: Evidence-based considerations on targeting and content</t>
  </si>
  <si>
    <t>Gorsane,M. A.;Kebir,O.;Hache,G.;Blecha,L.;Aubin,H. J.;Reynaud,M.;Benyamina,A.;Author,Addresses;Inserm,U. P.;Correspondence,Address;MA Gorsane,Inserm,U.Paris France</t>
  </si>
  <si>
    <t>22989277; Is baclofen a revolutionary medication in alcohol addiction management? Review and recent updates</t>
  </si>
  <si>
    <t>(MAJOR FOCUS);4 aminobutyric acid B receptor stimulating agent (adverse drug reaction,;drug therapy);baclofen (adverse drug reaction, drug therapy, pharmacology);alcoholism (drug therapy, prevention);disease management;addiction (drug therapy);animal;clinical trial (topic);disease model;human;recurrent disease (prevention);review;withdrawal syndrome (drug therapy);baclofen (1134-47-0)</t>
  </si>
  <si>
    <t>Baclofen, a â•¬â”‚-aminobutyric acid (GABA)-B receptor agonist, represents a promising drug in alcohol addiction management. Animal models have shown its action at various stages of the process of alcohol addiction. Moreover, initial open and randomized controlled trials have shown the efficacy of 30 mg/day baclofen on alcohol craving, intake, and relapse prevention. It may also decrease alcohol withdrawal symptoms. However, these initial studies were conducted by the same Italian team; 2 American studies, using a different methodology, did not confirm these effects. Following recent reports by an alcohol-dependent French physician who treated himself with high doses (120-270 mg/day), claiming prolonged suppression of alcohol craving and absence of dependence symptoms, baclofen has since received wide media exposure in France where it has been called "the treatment for alcoholism." An open-label French study supports these findings. In addition, baclofen seems to be particularly interesting because of its safety and tolerance, even in patients with cirrhosis. Thus, baclofen should benefit from further studies of its biobehavioral mechanisms, dose-response effect, and indications in various alcoholic patient profiles.</t>
  </si>
  <si>
    <t>(Gorsane M.A.) (Kebir O.; Hache G.; Blecha L.; Aubin H.J.; Reynaud M.; Benyamina A.); ID: 2478</t>
  </si>
  <si>
    <t>http://www.ncbi.nlm.nih.gov/pubmed/22989277</t>
  </si>
  <si>
    <t>Is baclofen a revolutionary medication in alcohol addiction management? Review and recent updates</t>
  </si>
  <si>
    <t>Gotell,P.;Stahl,R.;Author,Addresses;Yrkesmed Klin, Reg Sjukh,Orebro Sweden;Correspondence,Address;Gotell, Yrkesmed Klin Reg Sjukh Orebro Sweden,P.</t>
  </si>
  <si>
    <t>Exposure of nurse anesthetists to halothane ORIGINAL (NON-ENGLISH) TITLE Halotan exposition hos narkosskoterskor</t>
  </si>
  <si>
    <t>(MAJOR FOCUS);halothane;anesthetic agent;anesthetic gas;exposure;nurse anesthetist;addiction;anesthesiology;breathing;exhaust gas;fatigue;gas;headache;irritability;liver injury;long term exposure;machine;nurse;patient;personnel;Sweden;teratogenesis;halothane (151-67-7, 66524-48-9)</t>
  </si>
  <si>
    <t>During the last few years, the problem of the chronic exposure to halothane of personnel trained in anesthesiology has arisen. Teratogenic effects, addiction to halothane (all anesthetic gases) and liver damage have been described, but more common symptoms are fatigue, headache, tiredness, irritability, etc. In order to study the halothane problem', a technical and medical investigation was performed. It seems possible to conclude that a nurse anesthetist may be exposed to about two 'patient doses' of halothane per year (25,000-30,000 ppm hours). However, it is easy to eliminate the halothane exposure (all anesthetic gases) by connecting an excess gas evacuation unit to the anesthetic machine. With this equipment at work, the authors found that about 90% of the halothane in the nurse anesthetists breathing zone was eliminated.</t>
  </si>
  <si>
    <t>(Gotell P.; Stahl R.); ID: 3938</t>
  </si>
  <si>
    <t>2008745479 PUI L293115487</t>
  </si>
  <si>
    <t>Gould,K.;Ponsford,J.;Johnston,L.;Schâ”œâ•¢nberger,M.;Author,Addresses;Monash University,Clayton;Australia;Monash-Epworth Rehabilitation,Research Centre;Australia;Correspondence,Address;Gould, Monash University Clayton Australia,K.</t>
  </si>
  <si>
    <t>Course of psychiatric disorders following traumatic brain injury</t>
  </si>
  <si>
    <t>Brain Injury</t>
  </si>
  <si>
    <t>brain injury;mental disease;traumatic brain injury;abstinence;adjustment disorder;adult;anxiety;anxiety disorder;depression;eating disorder;injury;male;mood;mood disorder;physician;psychosis;risk;semi structured interview;Structured Clinical Interview for DSM Disorders;substance abuse</t>
  </si>
  <si>
    <t>Objectives: Psychiatric disorders are common and often debilitating following traumatic Brain Injury (TBI). However, few studies examine when individuals with TBI are most likely to develop a psychiatric disorder, and how this timing differs between disorders. In addition, the influence of a pre-injury psychiatric history on this development is unclear. The present study aimed to examine the frequency and association between psychiatric disorders prior to and following TBI, as well as examine the course of psychiatric disorders post-injury. Method: Participants were 102 adults (75.5% male) with TBI who were mean 34.63 years old at the time of the injury (range 16-73). Psychiatric disorders were assessed using the Structured Clinical Interview for DSM Disorders (SCID), a semistructured interview administered by a trained clinician to determine DSM-IV Axis I disorders. Participants were assessed for pre-injury and current disorders soon after their injury, and prospectively re-assessed at three, six and twelve months postinjury. Results: Over half of the participants (52.9%) met criteria for one or more pre-injury psychiatric disorder; a third substance use disorder, 22.5% mood disorder, and 21.6% anxiety disorder. Adjustment disorders (7.8%), psychotic disorders (3.9%) and eating disorders (2.9%) were also present. In the first year post-injury, 60.8% of participants had one or more psychiatric disorder. The most frequent post-injury disorders were anxiety (44.1%), mood (42.2%) and substance use disorders (11.8%). Post-injury disorders were associated with presence of a pre-injury history (p&lt;0.01), with 74.5% of participants with a preinjury psychiatric history having a post-injury disorder. However, 45.8% of participants without a pre-injury history developed a novel psychiatric disorder in the first 12 months post-injury. Onset of psychiatric disorders was more common in the first 6 months than in the second 6 month period post-injury (p&lt;0.001). There was a trend towards a significant association between timing of onset of disorders and presence of a pre-injury psychiatric history (p=0.065), with more participants with onset in the first six months having a pre-injury history (70%), compared with those without a preinjury history (30%). Anxiety disorders followed this course, but novel depressive disorders were as likely to emerge in the first as in the second six month period. Conclusions: Although there is evidence that many post-injury psychiatric disorders represent the continuation of pre-existing disorders, a significant number of people develop novel psychiatric disorders. This study demonstrates that the timing of onset differs according to pre-injury history and sheds some light onto the time individuals are most at risk for experiencing or developing a psychiatric disorder. In addition, there appear to be different trajectories for different classes of disorders. The lower rates of substance use disorders may be due to doctors' instructions for abstinence in the first year post-injury. Accordingly, participants are prospectively followed-up yearly for five years.</t>
  </si>
  <si>
    <t>(Gould K.; Ponsford J.; Schâ”œâ•¢nberger M.) (Johnston L.) 8th World Congress on Brain Injury of the International Brain Injury Association Washington, DC, United States 2010-03-10 to 2010-03-14 Informa Healthcare; ID: 2819</t>
  </si>
  <si>
    <t>0269-9052</t>
  </si>
  <si>
    <t>10.3109/02699051003648227 FULL TEXT LINK http://dx.doi.org/10.3109/02699051003648227</t>
  </si>
  <si>
    <t>Granata,R.;Bossi,P.;Bertulli,R.;Saita,L.;Author,Addresses;Head;Neck;Medical Oncology Unit, Fondazione Irccs Istituto Nazionale,dei Tumori;Milan,Italy;Adult Sarcoma Medical Oncology Unit, Fondazione,Irccs Istituto;Nazionale,dei Tumori;Palliative Care,Pain Therapy;Rehabilitation,Fondazione;Irccs Istituto Nazionale,dei Tumori;Correspondence,Address;Granata,Head,R.;Neck Medical Oncology Unit, Fondazione,Irccs Istituto;Nazionale dei Tumori, Via Venezian Milano,Italy Email;roberta.granata@istitutotumori.mi.it</t>
  </si>
  <si>
    <t>24967472; Rapid-onset opioids for the treatment of breakthrough cancer pain: Two cases of drug abuse</t>
  </si>
  <si>
    <t>(2014) 15</t>
  </si>
  <si>
    <t>(MAJOR FOCUS);opiate (drug therapy);cisplatin (adverse drug reaction, drug combination, drug therapy);codeine;cyclophosphamide (drug combination, drug therapy);docetaxel (adverse drug reaction, drug combination, drug therapy);doxorubicin (drug combination, drug therapy);fentanyl (transdermal drug administration);fluorouracil (adverse drug reaction, drug combination, drug therapy);gabapentin;ifosfamide (drug combination, drug therapy);imatinib (drug therapy);ketoprofen;morphine (oral drug administration);oxycodone;paracetamol;sunitinib (drug therapy);tramadol (oral drug administration);vincristine (drug combination, drug therapy);breakthrough pain (drug therapy, drug therapy);cancer pain (drug therapy, drug therapy);drug abuse;abdominal pain;abnormal behavior;adult;aggression;analgesia;article;cancer chemotherapy;cancer growth;cancer palliative therapy;cancer radiotherapy;cancer staging;case report;chemoradiotherapy;coma;drug dose increase;Ewing sarcoma (drug therapy);gastrointestinal stromal tumor (drug therapy);hospital discharge;human;induction chemotherapy;liver metastasis;lung infection;male;mucosa inflammation (side effect);multiple cycle treatment;nasopharynx carcinoma (drug therapy, radiotherapy);odynophagia (side effect);patient;peritoneum metastasis;restlessness;young adult;cisplatin (15663-27-1, 26035-31-4, 96081-74-2);codeine (76-57-3);cyclophosphamide (50-18-0);docetaxel (114977-28-5);doxorubicin (23214-92-8, 25316-40-9);fentanyl (437-38-7);fluorouracil (51-21-8);gabapentin (60142-96-3);ifosfamide (3778-73-2);imatinib (152459-95-5, 220127-57-1);ketoprofen (22071-15-4, 57495-14-4);morphine (52-26-6, 57-27-2);opiate (53663-61-9, 8002-76-4, 8008-60-4);oxycodone (124-90-3, 76-42-6);paracetamol (103-90-2);sunitinib (341031-54-7, 557795-19-4);tramadol (27203-92-5, 36282-47-0);vincristine (57-22-7);Otorhinolaryngology (11);Cancer (16);Drug Literature Index (37);Adverse Reactions Titles (38);Gastroenterology (48)</t>
  </si>
  <si>
    <t>Setting: In the last few years, the use of opioids for cancer pain has rapidly increased and new molecules have been developed. Currently, rapid-onset opioids are widely used in clinical practice for breakthrough cancer pain (BTcP). However, the tolerability of these molecules is still a matter of debate. Patients: We describe two cases of rapid-onset opioids misuse that have been recently observed at our palliative care unit. Discussion: The reported cases are explicative as they occurred in patients suffering from different types of cancer and with different causes of BTcP. Further investigations are needed to identify factors predicting addiction to this new class of molecules. â”¬âŒ 2014 American Academy of Pain Medicine.</t>
  </si>
  <si>
    <t>(Granata R., roberta.granata@istitutotumori.mi.it; Bossi P.) (Bertulli R.) (Saita L.) Blackwell Publishing Inc., subscrip@blackwellpub.com; ID: 2323</t>
  </si>
  <si>
    <t>1526-4637 (electronic) 1526-2375</t>
  </si>
  <si>
    <t>http://www.ncbi.nlm.nih.gov/pubmed/24967472</t>
  </si>
  <si>
    <t>10.1111/pme.12382 FULL TEXT LINK http://dx.doi.org/10.1111/pme.12382</t>
  </si>
  <si>
    <t>Rapid-onset opioids for the treatment of breakthrough cancer pain: Two cases of drug abuse</t>
  </si>
  <si>
    <t>Grandison,A.;Williams,H.;Oyefeso,A.;Dratcu,L.;Author,Addresses;Substance Misuse,Service;South Downs Health Nhs Trust, Ditchling Rd,Brighton B.;Kingdom;Correspondence,Address;Trust,H.Williams, Substance Misuse Service South Downs Health N.H.S.;Ditchling Rd,Brighton,B.N.S.F.United Kingdom</t>
  </si>
  <si>
    <t>Substance use history taking by trainee psychiatrists: "There is a tide in the affairs of men..."</t>
  </si>
  <si>
    <t>anamnesis;psychiatry;substance abuse;article;human;interview;medical education;psychiatric diagnosis;psychiatrist;questionnaire;Public Health, Social Medicine and Epidemiology (17);Psychiatry (32)</t>
  </si>
  <si>
    <t>Objectives: To investigate the extent and quality of substance use history taking by trainee psychiatrists. Method: A retrospective clinical casenote audit of admissions to an acute inner city psychiatric unit during three randomly selected months. Data on substance use history taking was recorded by means of a specially designed study checklist. Results: In almost three-quarters (45, 73%) of admission episodes trainee psychiatrists had made some mention of substance misuse. However, substance use history taking often occurred subsequent to the initial clinical assessment and varied greatly in quality. Conclusions: The need for a brief, standardised substance use screening questionnaire, easily incorporated into the existing psychiatric interview format is highlighted.</t>
  </si>
  <si>
    <t>(Grandison A.; Williams H.; Oyefeso A.; Dratcu L.) MedMedia Ltd; ID: 3367</t>
  </si>
  <si>
    <t>0790-9667</t>
  </si>
  <si>
    <t>2001108756 PUI L32226133</t>
  </si>
  <si>
    <t>Greenfield,D.;Author,Addresses;Center for,Internet;Technology;Addiction,University of Connecticut School of Medicine United States;Correspondence,Address;Greenfield,Center for Internet,D.;Technology Addiction,University of;Connecticut,School of Medicine United States Email psydoc gmail com</t>
  </si>
  <si>
    <t>Raising generation D: What parents and clinicians should know about children and compulsive internet use</t>
  </si>
  <si>
    <t>Journal of the American Academy of Child and Adolescent Psychiatry</t>
  </si>
  <si>
    <t>J.Am.Acad.Child Adolesc.Psychiatry</t>
  </si>
  <si>
    <t>internet addiction;child;complication;family life;health;human;Internet;job performance;juvenile;medicine;neurobiology;physician;relapse;sleep;smartphone;social interaction</t>
  </si>
  <si>
    <t>Objectives: The goal of this session is to provide clinicians with an understanding of clinical and practical issues associated with internet use disorders (IUD). A particular emphasis will be given to family dynamics, safety issues, and setting limits and boundaries, including digital technology monitoring, filtering, and blocking. Treatment of IUDs involves educating parents in creating a comprehensive addiction management and relapse prevention program. Methods: Based on a review of the clinical, didactic, and research literature and nearly 20 years of clinical and research experience treating IUDs and related problems, we have been able to extract many of the most relevant and useful therapeutic and clinical management treatments; with the use of the internet as a Î“Ã‡Â£drug of choiceÎ“Ã‡Â¥ for a sizable percentage of our youth population, specialized internet addiction treatment measures are necessary. As in all addiction medicine issues, the disorder is a family problem and treatment must actively involve the family, particularly the parents. Results: The treatment and management of IUDs are most effective when using a multimodal approach involving psychotherapeutic and psychoeducational techniques for both identified patients and their parents. Parents must be educated on the etiology of IUDs, neurobiology of addiction, and ways to control the use of these devices in their home. They must be taught about safety issues, digital youth culture, and generational hierarchy boundary issues. Additional safety issues involving the ever-present smartphone and aspects of digital distraction in school, social relationships, and while driving will be addressed. Conclusions: Pathological, compulsive use of the internet is highly prevalent in our youth today. It is no longer acceptable to relegate excessive and addictive levels of technology use as Î“Ã‡Â£normal youth behavior.Î“Ã‡Â¥ Many psychiatric practitioners have not adequately educated their patients and families on the critical components of internet abuse/addiction treatment and relapse management. For many of our patients, pathological technology use causes negative sequelae in many functional life spheres, including family life, academic and work performance, social relationship, physical health, safety, and loss of sleep. Practitioners must understand the psychoactive nature of the internet and its addictive potential.</t>
  </si>
  <si>
    <t>(Greenfield D., psydoc47@gmail.com) 64th Annual Meeting American Academy of Child and Adolescent Psychiatry, AACAP 2017 Washington, DC, United States 2017-10-23 to 2017-10-28 Elsevier Inc.; ID: 1777</t>
  </si>
  <si>
    <t>1527-5418</t>
  </si>
  <si>
    <t>10.1016/j.jaac.2017.07.028 FULL TEXT LINK http://dx.doi.org/10.1016/j.jaac.2017.07.028</t>
  </si>
  <si>
    <t>Greenfield,S. F.;Crisafulli,M. A.;Kaufman,J. S.;Freid,C. M.;Bailey,G. L.;Connery,H. S.;Rapoza,M.;Rodolico,J.;Author,Addresses;Division of,Alcohol;Drug Abuse,McLean;Hospital,Mill St Belmont M.A.United States;Department of Psychiatry, Harvard Medical School,Boston M.;United,States;Department of Psychology, University,of Maryland;Baltimore County,Baltimore,M.D.United States;Department of Psychology, Miami University,Oxford O.;United,States;Department of,Psychiatry;Human Behavior,Brown University;Providence,R. I. U.;Stanley Street,Treatment;Resources,Fall River;Ma,United States;Correspondence,Address;SF Greenfield,Division,of Alcohol;Drug Abuse,McLean Hospital;Mill St, Belmont M A United,States Email;sgreenfield@mclean.harvard.edu</t>
  </si>
  <si>
    <t>24724875; Implementing substance abuse group therapy clinical trials in real-world settings: Challenges and strategies for participant recruitment and therapist training in the Women's Recovery Group Study</t>
  </si>
  <si>
    <t>nicotine;drug dependence treatment;group therapy;health care planning;substance abuse;substance abuse group therapy;adult;article;clinical trial;female;human;major clinical study;male;medical education;patient referral;patient satisfaction;psychotherapist;randomization;sample size;nicotine (54-11-5);Public Health, Social Medicine and Epidemiology (17);Psychiatry (32);Drug Dependence, Alcohol Abuse and Alcoholism (40)</t>
  </si>
  <si>
    <t>Background and Objectives Open-enrollment group therapy research is challenged by the participant recruitment necessary to ensure continuous group enrollment. We present successful strategies to overcome the following barriers during the Women's Recovery Group (WRG) two-site clinical trial (N = 158): maintenance of sample size and balanced gender randomization during continuous enrollment, maintenance of group attendance, and training and retention of therapists over the 24-month continuous group enrollment. Methods To increase recruitment, we targeted referral sources yielding the highest enrollment conversion at each site. Group sessions were consistently held regardless of group size. Therapists were trained in two teams allowing for coverage and uninterrupted treatment over 24 months. Results At both sites recruitment and enrollment increased with each successive quarter. Sample size and end date targets were met without disruptions in treatment. Group therapists reported high satisfaction with their training and treatment experiences. Discussion and Conclusions These strategies supported targeted enrollment and study duration, stability of open-enrollment group therapy frame, and therapist retention and satisfaction. Scientific Significance Applying these strategies can aid in providing evidence-based group therapy in both clinical and research settings. â”¬âŒ American Academy of Addiction Psychiatry.</t>
  </si>
  <si>
    <t>(Greenfield S.F., sgreenfield@mclean.harvard.edu; Kaufman J.S.; Freid C.M.; Connery H.S.; Rodolico J.) (Greenfield S.F., sgreenfield@mclean.harvard.edu; Freid C.M.; Connery H.S.; Rodolico J.) (Crisafulli M.A.) (Kaufman J.S.) (Bailey G.L.) (Bailey G.L.; Rapoza M.) Wiley-Blackwell Publishing Ltd, info@royensoc.co.uk; ID: 2287</t>
  </si>
  <si>
    <t>1521-0391 (electronic) 1055-0496</t>
  </si>
  <si>
    <t>http://www.ncbi.nlm.nih.gov/pubmed/24724875</t>
  </si>
  <si>
    <t>10.1111/j.1521-0391.2014.12099.x FULL TEXT LINK http://dx.doi.org/10.1111/j.1521-0391.2014.12099.x</t>
  </si>
  <si>
    <t>Implementing substance abuse group therapy clinical trials in real-world settings: Challenges and strategies for participant recruitment and therapist training in the Women's Recovery Group Study</t>
  </si>
  <si>
    <t>Greenwald,M. K.;Lundah,L. H.;Author,Addresses;Psychiatry,Wayne State University Detroit;United,States;Correspondence,Address;MK Greenwald, Psychiatry Wayne State University Detroit,United States</t>
  </si>
  <si>
    <t>Behavioral economic analysis of marijuana consumption, diversion, and medical certification demand in HIV+ patients</t>
  </si>
  <si>
    <t>e83</t>
  </si>
  <si>
    <t>e84</t>
  </si>
  <si>
    <t>(MAJOR FOCUS);cannabis;cocaine;opiate;certification;college;drug dependence;human;Human immunodeficiency virus;patient;drug use;elasticity;income;pain;pain severity;physician;policy;profit;simulation;survival</t>
  </si>
  <si>
    <t>Aims: Evaluate whether MJ consumption, diversion or medical certification demand relates to past 3-month drug use, psychiatric or medical factors in HIV+ patients. Methods: MJ-using HIV+ patients (n = 98, ongoing) complete an economic simulation to measure demand intensity (L) and elasticity (a) for</t>
  </si>
  <si>
    <t>(Greenwald M.K.; Lundah L.H.) 2015 Annual Meeting of the College on Problems of Drug Dependence, CPDD 2015 Phoenix, AZ, United States 2015-06-13 to 2015-06-18 Elsevier Ireland Ltd; ID: 2049</t>
  </si>
  <si>
    <t>10.1016/j.drugalcdep.2015.07.1144 FULL TEXT LINK http://dx.doi.org/10.1016/j.drugalcdep.2015.07.1144</t>
  </si>
  <si>
    <t>Grella,C. E.;Cochran,S.;Mays,V.;Author,Addresses;Integrated Substance Abuse Programs, University,of California;Los Angeles,United States;Public Health, University of California Los,Angeles United;States;Psychology,University of California Los Angeles United States;Correspondence,Address;CE Grella, Integrated Substance Abuse Programs University,of California;Los Angeles,United States</t>
  </si>
  <si>
    <t>Does health status influence attitudes about and use of medical marijuana? Findings from a general population survey in California</t>
  </si>
  <si>
    <t>e130</t>
  </si>
  <si>
    <t>e131</t>
  </si>
  <si>
    <t>(MAJOR FOCUS);medical cannabis;alcohol;cannabis;illicit drug;college;drug dependence;health status;population;United States;alcoholism;Asian;chronic pain;demography;diabetes mellitus;drug use;education;female;health;heterosexuality;human;major depression;policy;quality of life;sexual and gender minority;telephone</t>
  </si>
  <si>
    <t>Aims: Legalization of medical marijuana (MM) has dramatically changed access to marijuana in some states. Findings will be presented from a population-based survey in California on the relationship of health status with attitudes toward and use of MM. Methods: The California Quality of Life Survey (2012-13) is a telephone follow-back survey of a subset of individuals (n = 2267) who had participated in a statewide probability survey. The follow back survey obtained information on health conditions, attitudes, and behaviors. Analyses examined socio-demographic characteristics and health conditions associated with attitudes toward and use of M Min the past year. All estimates were weighted to account for survey design. Results: Overall, 27.4% of the sample disapproved of M Muse and was higher among females; Asians and Hispanics; and individuals that were married/cohabitating, had lower education and SES, were foreign-born, heterosexual (vs. sexual minority), in fair/poor health, and had no illicit drug use in past year (all p &lt; 0.05). Less disapproval of M Muse was associated with having diabetes, chronic back problems, major depression, and alcohol or drug abuse/dependence (all p &lt; 0.05). An estimated 5.2% reported that they had obtained M Min the past year. Past-year use of MM was associated with younger age, unmarried status, less than college degree, U.S. birth, and illicit use of drugs (all p &lt; 0.05). Although there was no difference in their self reported overall health status, MM users had higher rates of drug abuse/dependence, alcohol dependence, major depression, chronic pain, HIV/AIDS, and gynecological problems (all p &lt; 0.05). Conclusions: Disapproval of MM was associated with poorer overall health status, but was less among individuals that had several health conditions commonly associated with MM use. Study findings may be used to inform policies related to MM use and interventions to reduce behavioral health problems among users.</t>
  </si>
  <si>
    <t>(Grella C.E.) (Cochran S.) (Mays V.) 2014 Annual Meeting of the College on Problems of Drug Dependence San Juan, Puerto Rico 2014-06-14 to 2014-06-19 Elsevier Ireland Ltd; ID: 2161</t>
  </si>
  <si>
    <t>10.1016/j.drugalcdep.2014.09.273 FULL TEXT LINK http://dx.doi.org/10.1016/j.drugalcdep.2014.09.273</t>
  </si>
  <si>
    <t>Griffioen,C.;Willems,E. G.;Kouwenhoven,S. M.;Caljouw,M. A. A.;Achterberg,W. P.;Author,Addresses;Department,of Public;Primary,Care;Leiden University,Medical Centre;Correspondence,Address;Griffioen, Department of Public Health,C.;Primary Care,Leiden;University Medical Centre, Leiden Netherlands Email C Griffioen,lumc nl</t>
  </si>
  <si>
    <t>27739258; PhysiciansÎ“Ã‡Ã– Knowledge of and Attitudes Toward Use of Opioids in Long-Term Care Facilities</t>
  </si>
  <si>
    <t>(MAJOR FOCUS);opiate;drug information;elderly care physician;physician;physician attitude;student;age;article;drug dependence;drug use;e-mail;fear;gender;health care facility;human;long term care;Netherlands;pain assessment;pain intensity;prescription;questionnaire;scoring system;symposium;training;university;unknown origin;opiate (53663-61-9, 8002-76-4, 8008-60-4);Public Health, Social Medicine and Epidemiology (17);Drug Literature Index (37);Drug Dependence, Alcohol Abuse and Alcoholism (40);Neurology and Neurosurgery (8)</t>
  </si>
  <si>
    <t>Background: Insufficient pain management in vulnerable older persons living in long-term care facilities is common, and opiophobia might contribute to this. As opiophobia and its related factors have not been investigated in long-term care, this study evaluates the degree of knowledge of opioids among elderly-care physicians (ECPs) and ECP trainees, as well as their attitudes and other factors possibly influencing the clinical use of opioids in these facilities. Methods: A questionnaire was designed and distributed among ECPs and ECP trainees by email, regional symposia, and all three university training faculties for elderly-care medicine in the Netherlands. Results: Respondents were 324 ECPs and 111 ECP trainees. Fear of addiction did not influence the prescription of opioids. Main barriers to the clinical use of opioids were patientsÎ“Ã‡Ã– reluctance to take opioids (83.3%); unknown degree of pain (79.2%); and pain of unknown origin (51.4%). ECPsÎ“Ã‡Ã– average knowledge scores were sufficient: those who felt that their knowledge of opioids was poor scored lower than those who felt that their knowledge was good. Conclusions: Factors identified in this study may help provide better pain management for vulnerable older persons living in a long-term care facility. Also, more patient information on the pros and cons of opioid use is needed, as well as appropriate tools for better clinical assessment of pain in a long-term care population.</t>
  </si>
  <si>
    <t>(Griffioen C., C.Griffioen@lumc.nl; Willems E.G.; Kouwenhoven S.M.; Caljouw M.A.A.; Achterberg W.P.) Blackwell Publishing Inc., subscrip@blackwellpub.com; ID: 1789</t>
  </si>
  <si>
    <t>1533-2500 (electronic) 1530-7085</t>
  </si>
  <si>
    <t>http://www.ncbi.nlm.nih.gov/pubmed/27739258</t>
  </si>
  <si>
    <t>10.1111/papr.12492 FULL TEXT LINK http://dx.doi.org/10.1111/papr.12492</t>
  </si>
  <si>
    <t>PhysiciansÎ“Ã‡Ã– Knowledge of and Attitudes Toward Use of Opioids in Long-Term Care Facilities</t>
  </si>
  <si>
    <t>Grobler,C.;Smith,N.;Author,Addresses;Walter,Sisulu University;Cape,South Africa;Correspondence,Address;Grobler, Walter Sisulu University Eastern Cape South Africa Email,C.;dr.stof@mweb.co.za</t>
  </si>
  <si>
    <t>Age at onset of illness in bipolar patients in South Africa</t>
  </si>
  <si>
    <t>South African Journal of Psychiatry</t>
  </si>
  <si>
    <t>clozapine;haloperidol;lithium;zuclopenthixol;diseases;human;onset age;patient;psychiatrist;society;South Africa;South African;adolescence;adulthood;anxiety disorder;bipolar disorder;clinical feature;comorbidity;education;family history;mania;married person;mood disorder;public hospital;substance abuse;suicidal behavior;suicide</t>
  </si>
  <si>
    <t>Background. Bipolar disorder (BD) is a recurrent mood disorder which typically manifests in late adolescence or early adulthood. Age at onset (AAO) has been proposed as a variable that may distinguish more homogeneous subgroups in BD. An early-onset BD has been associated with a more chronic course of the illness, comorbid substance abuse, higher comorbidity with anxiety disorders, poorer response to lithium, higher rates of suicidal behaviour and poor overall outcome. Objective. To investigate and describe the course of illness and clinical features in a cross-section of patients with a history of mania attending public hospitals in Limpopo Province with specific attention to the AAO of BD. Method. A purposeful sample of 103 patients presenting with a history of mania between October 2009 and April 2010 to three public hospitals in the Limpopo Province were selected and interviewed using the Affective Disorder Evaluation. AAO of affective illness was analysed by dividing the groups into age brackets, namely: 45 years of age. Early age of onset (EAOO) in this particular study was defined as Î“Ã«Ã‘19 years of age. Results. The mean age of onset of first manic episode was 25 years and the mean age of onset of depression was 26 years. The majority of patients experienced their first affective episode between age 20 and 30. The following features were identified in the EAOO group: less likely to get married (12.5% v. 27.85%) (p=0.175); less likely to obtain tertiary education (12.5% v. 29.11%) (p=0.116); more likely to have a family history of BD (62.5% v. 55.7%) (p=0.641); less likely to attempt suicide (20.83% v. 29.11%) in this study (p=0.601); more likely to receive lithium (29.17% v. 18.99%) (p=0.393), zuclopenthixol (54.17% v. 30.88%) (p=0.051) and clozapine (25% v. 6.33%) (p=0.018); less likely to receive oral haloperidol (37.5% v. 53.16%) (p=0.244); more likely to have a comorbid anxiety disorder (54.17% v. 48.1%) (p=0.647); and more likely to be rated 'markedly ill' (20.83% v. 16.46%) to 'severely ill' (12.5% v. 6.33%) on the CGI, which could point toward a more severe and disabling course of illness (p=0.700).The only statistically significant difference that emerged from the above comparison was that the EAOO group was more likely to be prescribed clozapine (p=0.018). Conclusion. Apart from the fact that clozapine was more likely to be prescribed to the EAOO group, no other statistically significant differences between early- and later-onset BD emerged in this study. Some interesting trends were observed that could be indicative of a more disabling course of illness.</t>
  </si>
  <si>
    <t>(Grobler C., dr.stof@mweb.co.za; Smith N.) 18th National Congress of the South African Society of Psychiatrists, SASOP 2014 Durban, South Africa 2014-09-03 to 2014-09-07 South African Medical Association; ID: 2227</t>
  </si>
  <si>
    <t>1608-9685</t>
  </si>
  <si>
    <t>10.7196/SAJP.664 FULL TEXT LINK http://dx.doi.org/10.7196/SAJP.664</t>
  </si>
  <si>
    <t>Groves,P.;Heuston,J.;Albery,I.;Gerada,C.;Gossop,M.;Strang,J.;Author,Addresses;Alcohol;Advisory Service, Grays Inn Road London,W.C.Q.S.United Kingdom;Correspondence,Address;S.,P.Groves, Alcohol Advisory Service Grays Inn Road London W.C.Q.;United,Kingdom</t>
  </si>
  <si>
    <t>Managing opiate misusers in primary care: A local study of support and training issues</t>
  </si>
  <si>
    <t>(MAJOR FOCUS);opiate;drug misuse;opiate addiction;primary medical care;adult;aged;article;controlled study;female;general practitioner;government;human;interview;male;manager;medical assistant;nurse practitioner;policy;preventive health service;questionnaire;social support;staff;training;opiate (53663-61-9, 8002-76-4, 8008-60-4);Public Health, Social Medicine and Epidemiology (17);Drug Dependence, Alcohol Abuse and Alcoholism (40)</t>
  </si>
  <si>
    <t>Government policy encourages primary care involvement with opiate misusers. The Consultancy Liaison Addiction Service (CLAS) was set up to help support increased primary care involvement. From 18 study practices, 133 of the 156 staff (85.3%) completed the interviews or self-completion questionnaires. Many general practitioners had a considerable involvement and seemed to have met their basic role requirements, although there appeared to be room for improvement in some areas of management. Other general practitioners had less involvement and could potentially benefit from input from CLAS. However, they expressed strong feelings against this sort of work, which could make such input difficult. Practice nurses had less involvement than general practitioners and expressed an interest in being trained. In their position of initial screening, practice nurses might be in a good position to offer preventative health measures to opiate misusers. Practice managers and receptionists described difficulties they had had with opiate misusers and might benefit from additional training and support. Some practices were treating many opiate misusers. National policy to rely more on primary care runs the risk of overstretching a small number of highly active practices, rather than spreading the load across a broad base of practices.</t>
  </si>
  <si>
    <t>(Groves P.; Heuston J.; Albery I.; Gerada C.; Gossop M.; Strang J.); ID: 3375</t>
  </si>
  <si>
    <t>2001030311 PUI L32061016</t>
  </si>
  <si>
    <t>Gruber,E.;Zapp,Z.;Pescatore,R.;Salzman,M.;Haroz,R.;Nyce,A.;Author,Addresses;Cooper;University Hospital,Camden,United States;Correspondence,Address;Gruber, Cooper University Hospital Camden United States,E.</t>
  </si>
  <si>
    <t>Development of a sustainable curriculum on substance use disorders for emergency medicine residents at cooper university hospital</t>
  </si>
  <si>
    <t>opiate;curriculum;drug dependence;emergency medicine;resident;university hospital;addiction medicine;adult;checklist;clinical article;comfort;conference abstract;detoxification;drug therapy;drug withdrawal;emergency ward;epidemic;female;funding;hospital patient;human;knowledge base;leadership;male;outpatient;pain;patient education;patient referral;positive feedback;prescription drug monitoring program;social worker;opiate (53663-61-9, 8002-76-4, 8008-60-4)</t>
  </si>
  <si>
    <t>Study Objectives: Substance use disorders (SUD) are estimated to afflict nearly 1 in 5 emergency department (ED) patients, while the incidence of overdose, particularly 176 177 opiate-related, continues to rise. Emergency physicians are on the front line of this epidemic. Through a grant co-sponsored by EMF (Emergency Medicine Foundation) and NIDA (National Institute on Drug Abuse), we designed a curriculum for EM residents relating to the comprehensive management of SUD in the ED. To the best of our knowledge, through literature searches and discussion with national SUD leaders, such a curriculum specific to EM providers is a first. In doing so, we align with the CDC and NIDA goals of reducing exposure to opioids, expanding access to medication-assisted treatment, and promoting the use of prescription drug monitoring programs. Methods: The curriculum was designed through the help of two medical toxicologists with addiction medicine training, social workers with invaluable insight into community SUD resources, and input from ED program leadership. Funding for the project began in April 2016; the formal curriculum started in July 2016 and is ongoing for all EM residents at Cooper University Hospital. To assess the impact on residents thus far, we utilized pre and mid-curriculum assessments for all residents (excluding authors) completed at the onset of the curriculum and 8 months later. Results: The SUD curriculum will be a requirement for all EM residents to prior to graduation. It consists of formal didactic lectures during structured EM resident weekly conferences, clinical exposure in multiple settings including the ED, outreach clinic, and inpatient detoxification consultation, and synthesis of all material through personalized care plans for SUD ED super-utilizer patients. Lectures are generated from evidence-based literature relating to a variety of SUD topics from management of the acutely intoxicated/withdrawing patient to referral to appropriate outpatient resources; addiction medicine specialists are in attendance for lectures and available to further discussion. Table 1 summarizes a checklist of clinical exposures and tasks required for residents to successfully the curriculum. Data from resident assessment scores (initial assessment at onset of curriculum, second assessment at 8-month point) showed improvement in resident comfort level treating patients with SUD and overall SUD knowledge base. Furthermore, residents demonstrated better understanding of appropriate outpatient resources and referrals while improving upon opioid prescribing practices and augmenting use of alternatives to opioids for treatment of acute pain. Conclusions: EM residents at Cooper University Hospital must our designed SUD curriculum to graduate. We have received positive feedback and data thus far; however, the curriculum continues to be a work in progress. There are multiple areas for improvement including focus on sustainability and better patient education. We are confident Cooper residents will emerge well equipped to tackle the challenges of the current SUD epidemic in their future practice. Table Presented].</t>
  </si>
  <si>
    <t>(Gruber E.; Zapp Z.; Pescatore R.; Salzman M.; Haroz R.; Nyce A.) American College of Emergency Physicians, ACEP 2017 Research Forum Washington, DC, United States 2017-10-29 to 2017-10-31 Mosby Inc.; ID: 1766</t>
  </si>
  <si>
    <t>Gualano,M. R.;Siliquini,R.;Manzoli,L.;Firenze,A.;Cattaruzza,M. S.;Bert,F.;Renzi,D.;Romano,N.;Ricciardi,W.;Boccia,A.;La Torre,G.;Author,Addresses;Institute of,Hygiene;Catholic University of the Sacred Heart, Largo,Francesco Vito;Rome,Italy;Department of Public Health, University,of Torino;Via Santena,bis,Torino Italy;Section of,Epidemiology;Public Health,University of;Chieti,Via dei Vestini Chieti Italy;Institute of Hygiene, University of Palermo,Via del;Vespro,Palermo Italy;Department of,Public;Health;Infectious Diseases, Sapienza University of Rome,Viale Regina;Elena,Rome Italy;Correspondence,Address;MR Gualano, Institute of Hygiene Catholic University of the,Sacred Heart;Largo Francesco Vito, Rome Italy Email mar guala,gmail com</t>
  </si>
  <si>
    <t>Tobacco use prevalence, knowledge and attitudes, and tobacco cessation training among medical students: Results of a pilot study of Global Health Professions Students Survey (GHPSS) in Italy</t>
  </si>
  <si>
    <t>(2012) 20</t>
  </si>
  <si>
    <t>knowledge;medical student;smoking cessation program;student attitude;adult;article;controlled study;cross-sectional study;female;human;Italy;male;medical education;pilot study;prevalence;questionnaire;smoking;smoking cessation;Public Health, Social Medicine and Epidemiology (17)</t>
  </si>
  <si>
    <t>Aim: The aims of this study were to examine tobacco use prevalence, knowledge and attitudes, and tobacco cessation training among students attending Italian medical schools using the Global Health Professions Student Survey approach and to identify possible factors associated with smoking status. Subjects: and Methods A multicentre cross-sectional pilot study was carried out in five Italian Schools of Medicine from March to April 2009. Questionnaires were administered in anonymous, voluntary and self-administered form to third year students attending medical schools. The outcome measure was "being a current smoker". A logistic regression was used to evaluate possible factors associated with smoking status. Results: The prevalence of current smokers was 31.4%. More than half considered health professionals as models for patients, and around 90% thought health professionals have a role in giving advice or information about smoking cessation. Only 5.8% of responders had received smoking cessation training during medical school. Medical students who considered healthcare professionals as behavioural models had lower likelihood of smoking (OR=0.52). Conclusions: Given the high prevalence of smokers among medical students and the poorness of smoking cessation programmes, it is important to create tobacco control training programmes addressed to healthcare students. â”¬âŒ Springer-Verlag 2011.</t>
  </si>
  <si>
    <t>(Gualano M.R., mar.guala@gmail.com; Ricciardi W.) (Siliquini R.; Bert F.) (Manzoli L.) (Firenze A.; Romano N.) (Cattaruzza M.S.; Renzi D.; Boccia A.; La Torre G.) Springer Verlag, Tiergartenstrasse 17, Heidelberg, Germany.; ID: 2585</t>
  </si>
  <si>
    <t>0943-1853 1613-2238 (electronic)</t>
  </si>
  <si>
    <t>2012386019 PUI L51595861</t>
  </si>
  <si>
    <t>10.1007/s10389-011-0442-2 FULL TEXT LINK http://dx.doi.org/10.1007/s10389-011-0442-2</t>
  </si>
  <si>
    <t>Gunnarsdottir,S.;Sigurdardottir,V.;Author,Addresses;Landspitali University Hospital, Department,of Oncology;Reykjavâ”œÂ¡k,Iceland;University of Iceland, Faculty of,Nursing Reykjav;Iceland;Landspitali University Hospital, Palliative,Care Unit;Kopavogur,Iceland;Correspondence,Address;Gunnarsdottir, Landspitali University Hospital Department of Oncology,S.;Reykjavâ”œÂ¡k,Iceland</t>
  </si>
  <si>
    <t>Opioid prescription practices, patient education, educational needs, and satisfaction with pain management in icelandic cancer patients on opioids</t>
  </si>
  <si>
    <t>Palliative medicine</t>
  </si>
  <si>
    <t>Palliat.Med.</t>
  </si>
  <si>
    <t>S109</t>
  </si>
  <si>
    <t>(MAJOR FOCUS);opiate;morphine;cancer patient;pain;patient education;prescription;satisfaction;adult;diagnosis;drug therapy;female;habit;hospital patient;nurse;outpatient;patient;patient satisfaction;physician;questionnaire;side effect</t>
  </si>
  <si>
    <t>The aims of this study were to assess pain severity, prescription habits of opioids, patient education, educational needs and patient satisfaction with pain management in a sample of Icelandic adult cancer patients on opioids. 150 patients, who participated in a large international study the European Pharmacogenetic Opioid Study, answered a standardized questionnaire on pain (BPI) and a study specific questionnaire on pain management. Data were analysed with descriptive statistics.Mean age was 64 years, 41%were men and 59%women and majority (67%) received care on an outpatient basis. The mean (sd) time since diagnosis was 36.32 (55.14) months and time since start of opioid treatment was 4.04(6.03) months. The mean (sd) morphine equivalent was 378.03(592.23) mg for scheduled dose and 35.00 (265.86) mg for breakthrough dose. The mean (sd) pain severity index from the BPI was 11.64 (7.22) on a scale from 0-40. Almost all patients had received opioid prescriptions from their oncologist (97%). Around 70% had received information about the opioids and their potential side effects. This information was usually provided orally (63%), mostly from their physicians and nurses, and seldom supplemented with written information (18%). One-third had received information about other approaches to pain management than medications. Majority (70%) of participants wanted more information about medications, their action and side effects. Around 80% were very satisfied or satisfied with their pain management. Only 2.9% were very dissatisfied. Based on this study it can be concluded that improvements need to be made in patient education regarding pain management. As previously reported in the literature patients are satisfied with their pain management despite the fact that they still experience considerable pain.</t>
  </si>
  <si>
    <t>(Gunnarsdottir S.) (Sigurdardottir V.) EAPC 2010 Glasgow, United Kingdom 2010-06-10 to 2010-06-12 SAGE Publications Ltd; ID: 2786</t>
  </si>
  <si>
    <t>0269-2163</t>
  </si>
  <si>
    <t>10.1177/0269216310366390 FULL TEXT LINK http://dx.doi.org/10.1177/0269216310366390</t>
  </si>
  <si>
    <t>Haack,M. R.;Alemi,F. F.;Author,Addresses;Department of,Behavioral;Community,Health Nursing;of Nursing, University of Maryland,Baltimore M.;Correspondence,Address;MR Haack,Department,of Behavioral;Community,Health Nursing;Nursing,University of Maryland Baltimore M.D.U.S.A.</t>
  </si>
  <si>
    <t>23580989; Medicaid reimbursement of primary care providers for treatment of substance use disorders</t>
  </si>
  <si>
    <t>addiction (complication, rehabilitation);alcoholism (complication, rehabilitation);medicaid;primary health care;reimbursement;cost control;economics;forecasting;health care delivery;hospital cost;human;rehabilitation center;review;statistics;United States</t>
  </si>
  <si>
    <t>(Haack M.R.) (Alemi F.F.); ID: 3313</t>
  </si>
  <si>
    <t>http://www.ncbi.nlm.nih.gov/pubmed/23580989</t>
  </si>
  <si>
    <t>Medicaid reimbursement of primary care providers for treatment of substance use disorders</t>
  </si>
  <si>
    <t>Hadadi,A.;Moradmand Badie,S.;Roham,M.;Rasulinejad,M.;Mirzai,N.;Author,Addresses;Department of,Infectious Diseases;Hospital,Tehran University of Medical Sciences Iran;Department of Cardiology, Amir Alam,Hospital Tehran;University of,Medical Sciences;Department,of Infectious;Imam Khomeini Hospital, Tehran University of Medical,Sciences Iran;Correspondence,Address;Hadadi, Sina Hospital Hassan Abad Sq Emam khomieni St Tehran Iran,A.;Email,hadadiaz tums ac ir</t>
  </si>
  <si>
    <t>Prevalence of cardiovascular manifestations in HIV/AIDS patients in Iran</t>
  </si>
  <si>
    <t>acquired immune deficiency syndrome;cardiovascular disease (epidemiology);Human immunodeficiency virus infection;adult;article;CD4 lymphocyte count;cigarette smoking;echocardiography;electrocardiography;female;heart infarction (epidemiology);heart left ventricle ejection fraction;highly active antiretroviral therapy;human;Iran;major clinical study;male;mitral valve disease (epidemiology);morbidity;mortality;opiate addiction;pericardial effusion;physical examination;prevalence;tricuspid valve;tricuspid valve disease (epidemiology);Microbiology: Bacteriology, Mycology, Parasitology and Virology (4);Public Health, Social Medicine and Epidemiology (17);Cardiovascular Diseases and Cardiovascular Surgery (18);Immunology, Serology and Transplantation (26)</t>
  </si>
  <si>
    <t>Background: One of the clinical manifestations of Human Immunodeficiency Virus (HIV) infected patients is cardiovascular disorder. The aim of this study was to evaluate the prevalence of cardiovascular disorders in HIV infected patients for the beginning treatment of these patients and reducing mortality and morbidity in these patients. Methods: This cross-sectional study was performed on 134 HIV infected patients who referred to Imam Khomeini hospital, Tehran University of Medical sciences, Tehran Iran during years 2007-2008. Demographic characteristics, history of smoking and opium addiction, antiretroviral therapy, class of drugs and duration of consumption were recorded. After completion of physical examination, electrocardiography and echocardiography studies were done. Results: In this study 98(73.1%) patients were male. The mean age of the patients was 36.5â”¬â–’10.3 years. The mean of the CD4 number were 296â”¬â–’181. Injection drug users were 54.4% of the study patients. Cardiovascular disorders were found in 84(62.7%) patients. Among patients with heart diseases, 75% were male. The most Electrocardiographic change was the axis deviation of the heart found in 32(23.7%) patients. Pericardial effusion and LVEF&lt;50% were noted in 7(5.2%) and 23(17.2%) patients respectively. The involvement of the mitral valve in 59(44%), tricuspid valve in 21(15.7%) and aortic valve in 6(4.5%) patients were noted. Myocardial dysfunctions existed in 10(7.4%) patients. Conclusions: Our results showed a high prevalence of cardiovascular disorder in HIV infected patients. We recommend the evaluation of the cardiovascular system in all HIV infected patients even if they are symptom free.</t>
  </si>
  <si>
    <t>(Hadadi A., hadadiaz@tums.ac.ir) (Moradmand Badie S.) (Roham M.; Rasulinejad M.; Mirzai N.) Tehran University of Medical Sciences (TUMS), No.59, Enayat Alley, Poursina Ave., Ghods St.,Keshavarz Blv, Po Box: 14155-6447, 202 Amouzesh building, Tehran, Iran.; ID: 2862</t>
  </si>
  <si>
    <t>2010073335 PUI L358194719</t>
  </si>
  <si>
    <t>Arabic</t>
  </si>
  <si>
    <t>Hadley,G. G.;Chrispens,J. E.;Author,Addresses;Loma Linda Univ Sch Med, Loma,Linda Calif;Correspondence,Address;Loma Linda Univ Sch Med, Loma,Linda Calif</t>
  </si>
  <si>
    <t>625977; Unprofessional physicians - some correlative data</t>
  </si>
  <si>
    <t>alcoholism;drug abuse;family;medical education;physician;quality control;smoking;geographic distribution;normal human;psychological aspect;short survey;United States;Public Health, Social Medicine and Epidemiology (17);Health Policy, Economics and Management (36)</t>
  </si>
  <si>
    <t>In the background of those physicians who have problems in medical practice serious enough to attract attention by the licensing body, there are factors that apparently can help predict such behavior. As a candidate for medical school the applicant more likely to have future problems has the following profile: older than the average applicant with a lower grade point average; more likely to have used tobacco; did not receive a baccalaureate degree; no military service; turned in a sloppy handwritten application form; and received a less than ideal character reference by the college from which applying. Furthermore, after admission to medical school the person more prone to future problems tends to be a poorer student than his peers and to receive a poorer rating in his first postgraduate year. The Loma Linda University graduate who has had such problems is also more likely to have settled in Southern California and to be in general practice.</t>
  </si>
  <si>
    <t>(Hadley G.G.; Chrispens J.E.); ID: 3859</t>
  </si>
  <si>
    <t>http://www.ncbi.nlm.nih.gov/pubmed/625977</t>
  </si>
  <si>
    <t>Unprofessional physicians - some correlative data</t>
  </si>
  <si>
    <t>Hall,D. J.;Olsen,K. R.;Mira,J. C.;Underwood,P. W.;Vasilopoulos,T.;Antony,A. B.;Sarosi,G. A.;Author,Addresses;University of Florida, Gainesville,United States;Correspondence,Address;DJ Hall, University of Florida Gainesville,United States</t>
  </si>
  <si>
    <t>Postoperative surgical trainee opioid prescribing practices: An institutional study</t>
  </si>
  <si>
    <t>S179</t>
  </si>
  <si>
    <t>S180</t>
  </si>
  <si>
    <t>(MAJOR FOCUS);opiate;prescription;student;adult;adverse drug reaction;analgesia;clinical trial;drug overdose;drug therapy;feasibility study;female;general surgery;human;major clinical study;male;medical school;mortality;perception;pharmacokinetics;pilot study;resident;rotation;side effect;surgery;surgical technique;surgical training;opiate (53663-61-9, 8002-76-4, 8008-60-4)</t>
  </si>
  <si>
    <t>INTRODUCTION: Rising mortality from opioid overdoses has prompted increased focus on prescribing practices of physicians. Unfortunately, resident physicians rarely receive formal education in effective opioid prescribing practices or pain management. Data to inform surgical training programs regarding the utility and feasibility of formal training are lacking. METHODS: After IRB approval, a single institution's resident physicians who had completed at least 1 surgical rotation were sur-veyed to assess knowledge of pain management and evaluate opioid prescribing practices. RESULTS: Fifty-two respondents (67% male, 33% female) completed the survey. Most respondents denied receiving formal instruction in opioid pain medication prescribing practices during either medical school (61.5%) or residency (57.7%); however, 89% of respondents stated they were aware of the side effects of opioid pain medications and 69% felt confident in their knowledge of opioid pharmacokinetics and pharmacody-namics. Of the respondents, 46% either Î“Ã‡Â£agreedÎ“Ã‡Â¥ or Î“Ã‡Â£strongly agreedÎ“Ã‡Â¥ that they prescribed more opioid medications than necessary to patients being discharged after a surgical procedure. Over 75% of respondents felt that patients' comor-bidities influenced their prescribing practices. Individual case scenario responses demonstrated variability in number of doses prescribed across different general surgery procedures (p &lt; 0.001, Figure). CONCLUSIONS: This pilot study shows wide variability in opioid prescribing practices and attitudes toward pain management among surgical trainees, illustrating the potential utility of formal education in pain management and effective prescribing of these medications. A broader assessment of surgical trainees' knowledge and perception of opioid prescribing practices is warranted to facilitate the development of such a program.</t>
  </si>
  <si>
    <t>(Hall D.J.; Olsen K.R.; Mira J.C.; Underwood P.W.; Vasilopoulos T.; Antony A.B.; Sarosi G.A.) 2017 Clinical Congress of the 3rd Owen H Wangesteen Scientific Forum San Diego, CA, United States 2017-10-22 to 2017-10-26 Elsevier Inc.; ID: 1770</t>
  </si>
  <si>
    <t>Hall,I.;Deahl,M.;Author,Addresses;Division of Psychiatry,of Disability;Hospital Medical School, Cranmer Terrace London,S.W.R.E.United Kingdom;Correspondence,Address;Hall, Division of Psychiatry of Disability St George's Hospital Medical,I.;School,Cranmer Terrace London S.W.R.E.United Kingdom</t>
  </si>
  <si>
    <t>Are psychiatrists sexist? A study of bias in the assessment of psychiatric emergencies</t>
  </si>
  <si>
    <t>clinical practice;emergency health service;age;alcohol abuse;article;human;mental patient;physician attitude;sex difference;substance abuse;Public Health, Social Medicine and Epidemiology (17);Psychiatry (32)</t>
  </si>
  <si>
    <t>In order to investigate bias in history taking among psychiatric trainees, a retrospective study of case-notes was undertaken in an emergency psychiatric clinic in a teaching district. Two hundred and twenty-seven consecutive new patient assessments were assessed for quality of alcohol, substance use and forensic histories. Trainees were more likely to take alcohol, substance use and forensic histories from men, and more likely to take substance use histories from younger patients. It is concluded that trainees make sexist and ageist assumptions when they assess patients. There is a need for the education of doctors in this area.</t>
  </si>
  <si>
    <t>(Hall I.; Deahl M.); ID: 3531</t>
  </si>
  <si>
    <t>1996280864 PUI L26303060</t>
  </si>
  <si>
    <t>Haller,D. M.;Meynard,A.;Lefebvre,D.;Ukoumunne,O. C.;Narring,F.;Broers,B.;Author,Addresses;Division,of Primary;Faculty of Medicine, University of Geneva,Geneva Switzerland;Adolescent;Young Adult Program, Departments,of Child;Adolescent;Health,Community Medicine Primary Care Geneva University Hospitals;Geneva,Switzerland;Department,of General;University,of Melbourne;National Institute,for Health;Collaboration for Leadership in,Applied Health;Care in,South;West Peninsula, University of Exeter Medical School Exeter,Devon United;Kingdom;Versoix,Switzerland;Department of,Community Medicine;Emergency;Medicine,Dependencies Unit Geneva University Hospitals Geneva;Switzerland;Correspondence,Address;DM Haller, Division of Primary Care Faculty of Medicine,University of;Geneva,Geneva Switzerland Email dagmar haller-hester hcuge ch</t>
  </si>
  <si>
    <t>24616136; Effectiveness of training family physicians to deliver a brief intervention to address excessive substance use among young patients: A cluster randomized controlled trial</t>
  </si>
  <si>
    <t>Cmaj</t>
  </si>
  <si>
    <t>CMAJ</t>
  </si>
  <si>
    <t>E272</t>
  </si>
  <si>
    <t>general practitioner;medical education;substance abuse;adolescent;adult;article;binge drinking;cannabis addiction;consultation;controlled study;female;follow up;health care delivery;human;major clinical study;male;outcome assessment;questionnaire;randomized controlled trial;self report;Switzerland;work experience;Public Health, Social Medicine and Epidemiology (17);Drug Dependence, Alcohol Abuse and Alcoholism (40)</t>
  </si>
  <si>
    <t>Background: Brief interventions delivered by family physicians to address excessive alcohol use among adult patients are effective. We conducted a study to determine whether such an intervention would be similarly effective in reducing binge drinking and excessive canna - bis use among young people. Methods: We conducted a cluster randomized controlled trial involving 33 family physicians in Switzerland. Physicians in the intervention group received training in delivering a brief intervention to young people during the consultation in addition to usual care. Physicians in the control group delivered usual care only. Consecutive patients aged 15-24 years were recruited from each practice and, before the consultation, completed a confidential questionnaire about their general health and substance use. Patients were followed up at 3, 6 and 12 months after the consultation. The primary outcome measure was self-reported excessive substance use (Î“Ã«Ã‘ 1 episode of binge drinking, or Î“Ã«Ã‘ 1 joint of cannabis per week, or both) in the past 30 days. Results: Of the 33 participating physicians, 17 were randomly allocated to the intervention group and 16 to the control group. Of the 594 participating patients, 279 (47.0%) identified themselves as binge drinkers or excessive cannabis users, or both, at baseline. Excessive substance use did not differ significantly between patients whose physicians were in the intervention group and those whose physicians were in the control group at any of the follow-up points (odds ratio OR] and 95% confidence interval CI] at 3 months: 0.9 0.6-1.4]; at 6 mo: 1.0 0.6-1.6]; and at 12 mo: 1.1 0.7-1.8]). The differences be - tween groups were also nonsignificant after we re stricted the analysis to patients who reported excessive substance use at baseline (OR 1.6, 95% CI 0.9-2.8, at 3 mo; OR 1.7, 95% CI 0.9-3.2, at 6 mo; and OR 1.9, 95% CI 0.9- 4.0, at 12 mo). Interpretation: Training family physicians to use a brief intervention to address excessive substance use among young people was not effective in reducing binge drinking and excessive cannabis use in this patient population. â”¬âŒ 2014 Canadian Medical Association or its licensors.</t>
  </si>
  <si>
    <t>(Haller D.M., dagmar.haller-hester@hcuge.ch) (Haller D.M., dagmar.haller-hester@hcuge.ch; Meynard A.; Narring F.) (Ukoumunne O.C.) (NIHR) (Lefebvre D.) (Broers B.) Canadian Medical Association, dahlia@car.ca; ID: 2230</t>
  </si>
  <si>
    <t>1488-2329 (electronic) 0820-3946</t>
  </si>
  <si>
    <t>http://www.ncbi.nlm.nih.gov/pubmed/24616136</t>
  </si>
  <si>
    <t>10.1503/cmaj.131301 FULL TEXT LINK http://dx.doi.org/10.1503/cmaj.131301</t>
  </si>
  <si>
    <t>Effectiveness of training family physicians to deliver a brief intervention to address excessive substance use among young patients: A cluster randomized controlled trial</t>
  </si>
  <si>
    <t>Halverson,J. D.;Benson,L.;Author,Addresses;Correspondence,Address;Halverson,J. D.</t>
  </si>
  <si>
    <t>8505917; Chemical dependency allegations and the Minnesota Board of Medical Practice</t>
  </si>
  <si>
    <t>addiction (rehabilitation);certification;malpractice;substance abuse;article;human;legal aspect;United States</t>
  </si>
  <si>
    <t>(Halverson J.D.; Benson L.); ID: 3600</t>
  </si>
  <si>
    <t>http://www.ncbi.nlm.nih.gov/pubmed/8505917</t>
  </si>
  <si>
    <t>Chemical dependency allegations and the Minnesota Board of Medical Practice</t>
  </si>
  <si>
    <t>Hamadeh,R. R.;Author,Addresses;Department of,Family;Community;Medicine,College of Medicine;Medical Sciences,Arabian,Gulf University;Manama,Bahrain;Correspondence,Address;RR Hamadeh,Department,of Family;Community Medicine,College of;Medicine;Medical Sciences, Arabian Gulf University,Manama Bahrain;Email,randah agu edu bh</t>
  </si>
  <si>
    <t>Smoking behavior of Arabian Gulf University medical students: Impact of tobacco control policies and curriculum</t>
  </si>
  <si>
    <t>May-August</t>
  </si>
  <si>
    <t>education program;medical student;smoking;smoking regulation;adult;article;female;human;major clinical study;male;parental smoking;prevalence;sex difference;smoking habit;student attitude;young adult;Public Health, Social Medicine and Epidemiology (17)</t>
  </si>
  <si>
    <t>Background: A survey conducted in the early 1990s among medical students in the College of Medicine and Medical Sciences (CMMS), Arabian Gulf University (AGU), showed that 27.5% of the male students were smokers compared to 2.3% of their female counterparts. Several tobacco control actions have taken place since the time of that study as well as increased emphasis on tobacco-related issues in the curriculum. Objectives: The objectives of this study were to determine if changes had occurred in the smoking behavior of CMMS students following the increased tobacco control measures and the concerted efforts in the dissemination of tobacco related education in the curriculum. Methods: Enrolled CMMS students during the academic year 2004-2005 were included in this study. The Global Health Professionals Survey self-administered questionnaire was used. Smokers were those who smoked any type of tobacco at the time of the study including daily and occasional use. Ex-smokers were students who did not smoke any type of tobacco during the study period and had quitted for a period of at least six months. Mixed smokers were those who smoked both cigarettes and sheesha. Results from an earlier study were used for comparison as baseline data. Results: The prevalence of smoking among male students had increased from 27.5% to 35.2% (p=0.096). A sharper rise had occurred among the females as the prevalence rate increased from 2.3% to 7.0% (p=0.028). The percentage of sheesha smoking was 31.3% among male students and 6.1% among female students compared to 8.8% and nil in the previous study (p&lt;0.0001). There was no significant change in the prevalence of cigarette smoking in both sexes. Smoking was more prevalent among final year students (47.7%) in males and first year students (12.3%) in females. Conclusion: The rise in smoking among CMMS medical students is alarming and necessitates urgent intervention. Revision of the smoking curriculum to address the deficiencies in smoking cessation techniques and in promoting the exemplary role of medical students in society is required.</t>
  </si>
  <si>
    <t>(Hamadeh R.R., randah@agu.edu.bh) Bahrain Medical Society; ID: 2437</t>
  </si>
  <si>
    <t>2014222592 PUI L372723034</t>
  </si>
  <si>
    <t>Hamdi,E.;Gawad,T.;Khoweiled,A.;Sidrak,A. E.;Amer,D.;Mamdouh,R.;Fathi,H.;Loza,N.;Author,Addresses;Department,of Psychiatry;Medicine,Cairo University Cairo Egypt</t>
  </si>
  <si>
    <t>23577901; Lifetime prevalence of alcohol and substance use in Egypt: a community survey</t>
  </si>
  <si>
    <t>adolescent;adult;drinking behavior;drug dependence (epidemiology);Egypt;female;human;information processing;male;middle aged;sexual development</t>
  </si>
  <si>
    <t>RESULTS: The lifetime prevalence of any substance use varies between 7.25% and 14.5%. One-month prevalence varies between 5.4% and 11.5% when adjusted to different population parameters. A total of 4832 subjects were identified as using illicit substances at least once in their life (9.6%), including 1329 experimental and social use (3.3%), 1860 regular use (4.64%), and 629 substance dependence (1.6%). The prevalence of substance use in males is 13.2% and 1.1% in females. Prevalence increases significantly in males of Bedouin origin, in seaside governorates, with lesser levels of education, and in certain occupations. The 15-19 age group showed the highest onset of substance use. Cannabis is the drug mostly misused in Egypt; alcohol is a distant second.CONCLUSIONS: The prevalence of substance use is lower than Western countries and higher compared with a 1996 survey. The true population prevalence is probably higher due to underreporting. The demographic pattern reflects availability and accessibility to drugs.OBJECTIVE: The aim of this study was to determine the prevalence of substance use and addiction in Egypt and study its sociodemographic correlates.METHOD: A total of 44,000 subjects were interviewed from 8 governorates by stratified sampling. A questionnaire derived from the Addiction Severity Index (ASI) was individually administered.</t>
  </si>
  <si>
    <t>(Hamdi E., emadhamdi@doctors.net.uk; Gawad T.; Khoweiled A.; Sidrak A.E.; Amer D.; Mamdouh R.; Fathi H.; Loza N.); ID: 2456</t>
  </si>
  <si>
    <t>http://www.ncbi.nlm.nih.gov/pubmed/23577901</t>
  </si>
  <si>
    <t>10.1080/08897077.2012.677752 FULL TEXT LINK http://dx.doi.org/10.1080/08897077.2012.677752</t>
  </si>
  <si>
    <t>Lifetime prevalence of alcohol and substance use in Egypt: a community survey</t>
  </si>
  <si>
    <t>Hammond,C.;Krakower,S.;Jackson,P.;Fishman,M.;Atkinson,D. L.;Author,Addresses;Johns;Hopkins University,United States;Northwell Health - Zucker, Hillside;Hospital,Long Island Jewish Medical Center United States;Massachusetts,General Hospital;McLean Hospital,United States;University,of Texas;Medical Center,United States;Correspondence,Address;Hammond, Johns Hopkins University United States Email,C.;chammo20@jhmi.edu</t>
  </si>
  <si>
    <t>Working with parents and families to improve outcomes for adolescents with substance use disorders: Incorporating family-centered care into your practice</t>
  </si>
  <si>
    <t>S349</t>
  </si>
  <si>
    <t>drug dependence;adolescent;child;clinical practice;female;human;juvenile;learning;male;mental health;morbidity;mortality;skill;treatment response;vignette</t>
  </si>
  <si>
    <t>Objectives: Despite its significant role in the treatment of adolescent substance use disorders (SUDs), parent- and family-based treatment approaches toward substance use receive little focus in child and adolescent psychiatry fellowship training and continuing education. Addictions are neurodevelopmental and intergenerational disorders that affect and are affected by the family systems in which they present. Family dynamics, parent-child relationships, and parental attitudes, beliefs, and behaviors relating to drug use can all represent either risk or protective factors for adolescent SUDs. Working with parents and families can have a significant impact on treatment response. Family-based therapies (FBT) are one of the most thoroughly studied treatment modalities for adolescent SUDs and are backed by extensive empirical support. In fact, some studies suggest that FBT may be the treatment of choice for adolescent SUDs. Given the evidence of effectiveness of FBT, the dissemination and implementation of these approaches carry the potential to improve SUD treatment outcomes and reduce morbidity and mortality. Methods: We will provide a clinically focused interactive workshop on working with parents and families of youth with SUDs targeted for child and adolescent mental health practitioners. The workshop will use an interactive audiencedriven learning approach that incorporates brief presentations of core clinical principles framed in the context of clinical case material/vignettes, with ample discussion/audience participation, some group break-out sessions to reinforce skills learned, and audience questions and answers with the panel. Results: By the end of the workshop, audience members will be able to 1) describe the role of the family system in adolescent SUD and ways targeting the family can improve SUD treatment outcomes; 2) talk to and work with parents and families of adolescents with SUDs; and 3) incorporate a familycentered care approach into their clinical practice. Conclusions: Improved dissemination of family-centered approaches for adolescent SUD treatment to child and adolescent mental health providers has the potential to enhance SUD outcomes for adolescents in mental health settings. Participants will acquire expanded skills on how to work with parents and families of youth with SUDs.</t>
  </si>
  <si>
    <t>(Hammond C., chammo20@jhmi.edu; Fishman M., mjfishman@comcast.net) (Krakower S., skrakowe@northwell.edu) (Jackson P., prjackson@partners.org) (Atkinson D.L., str8xdave@yahoo.com) 64th Annual Meeting American Academy of Child and Adolescent Psychiatry, AACAP 2017 Washington, DC, United States 2017-10-23 to 2017-10-28 Elsevier Inc.; ID: 1775</t>
  </si>
  <si>
    <t>10.1016/j.jaac.2017.07.747 FULL TEXT LINK http://dx.doi.org/10.1016/j.jaac.2017.07.747</t>
  </si>
  <si>
    <t>Han,J.;Cui,C.;Wu,L.;Author,Addresses;Neuroscience,Research;Institute,Peking University Beijing China;Department of,Neurobiology;School of Basic Medical Sciences, Peking University,Beijing China;Key Laboratory,for;Neuroscience,Ministry of Education Beijing China;Key Laboratory,for;Neuroscience,Ministry of Health Beijing China;Correspondence,Address;Han, Neuroscience Research Institute Peking University Beijing,J.;China Email, hanjisheng bjmu,edu cn</t>
  </si>
  <si>
    <t>21695618; Acupuncture-related techniques for the treatment of opiate addiction: A case of translational medicine</t>
  </si>
  <si>
    <t>Frontiers of Medicine in China</t>
  </si>
  <si>
    <t>(MAJOR FOCUS);endorphin;narcotic agent (adverse drug reaction, pharmacokinetics);acupuncture;opiate addiction (therapy);translational research;animal;China;disease model;drug detoxification;human;methodology;opiate substitution treatment (adverse drug reaction);pathophysiology;physiology;psychological aspect;recurrent disease (prevention);review;endorphin (60118-07-2)</t>
  </si>
  <si>
    <t>Drug addiction is a chronic brain disorder characterized by withdrawal symptoms that occur during drug abstinence and a high tendency of relapse. Compared with the currently available pharmacological interventions, acupuncture therapy has the potential to help drug addicts stay away from drugs without major adverse side effects. It has taken decades of research to optimize the parameters of electrical acupoint stimulation for detoxification and for relapse prevention, as well as to establish a safe and easy procedure by which drug addicts can use it on themselves. The discovery that acupuncture can trigger the release of opioid substances from the brain in the 1970s provided the inspiration. Following this, basic research on animals made it possible to understand the mechanisms of action and establish the procedure for treating drug addictions. This article reviews the past, present, and foreseeable future regarding the use of acupuncture-related technique for the treatment of opiate addiction from the perspective of translational medicine. â”¬âŒ Higher Education Press and Springer-Verlag Berlin Heidelberg 2011.</t>
  </si>
  <si>
    <t>(Han J., hanjisheng@bjmu.edu.cn; Cui C.; Wu L.) Higher Education Press, Shatanhou Street 5, Beijing, China.; ID: 2611</t>
  </si>
  <si>
    <t>1673-7342 1673-7458 (electronic)</t>
  </si>
  <si>
    <t>http://www.ncbi.nlm.nih.gov/pubmed/21695618</t>
  </si>
  <si>
    <t>10.1007/s11684-011-0136-8 FULL TEXT LINK http://dx.doi.org/10.1007/s11684-011-0136-8</t>
  </si>
  <si>
    <t>Acupuncture-related techniques for the treatment of opiate addiction: A case of translational medicine</t>
  </si>
  <si>
    <t>Han,M. Y.;Chen,W. Q.;Chen,X.;Author,Addresses;The Sixth,Affiliated Hosptial;Guangzhou,China;Correspondence,Address;MY Han, The Sixth Affiliated Hosptial,Sun Yat;Guangzhou,China</t>
  </si>
  <si>
    <t>21452029; Do smoking knowledge, attitudes and behaviors change with years of schooling? A comparison of medical with non-medical students in China</t>
  </si>
  <si>
    <t>attitude to health;medical education;medical student;smoking (adverse drug reaction, prevention);adolescent;adult;article;China;comparative study;female;human;male;psychological aspect;standard;statistics;student</t>
  </si>
  <si>
    <t>This study aimed to compare the tobacco-related knowledge, attitudes and smoking behavior among Chinese medical and non-medical students across three grades from freshmen to juniors. Survey data were collected among 8,138 students using a paper-and-pencil questionnaire. Study findings indicate that compared to non-medical students, medical students in the sophomore and junior years reported significantly higher levels of knowledge regarding tobacco toxicants and tobacco-related diseases, and had stronger attitudes against smoking as personal rights and stronger attitudes in favor of smoking ban. The differences between medical and non-medical students remained after controlling for a number of covariates. However the prevalence rates of cigarette smoking were similar between medical and non-medical students across grades even after adjusted smoking initiation before entering college. Despite increases in tobacco related knowledge, approximately 40% of junior-year medical students did not recognize carbon monoxide as a toxicant from tobacco, and 30-40% of them were unknown of tobacco smoking as a risk factor for several diseases, including hypertension, stroke, and gastric ulcer. Findings of this study suggest the need for immediate action to enhance tobacco-related education in formal medical training in China to prepare future doctors for smoking prevention and to assist millions of smokers to quit.</t>
  </si>
  <si>
    <t>(Han M.Y.) (Chen W.Q.; Chen X.); ID: 2609</t>
  </si>
  <si>
    <t>1573-3610 (electronic)</t>
  </si>
  <si>
    <t>http://www.ncbi.nlm.nih.gov/pubmed/21452029</t>
  </si>
  <si>
    <t>Do smoking knowledge, attitudes and behaviors change with years of schooling? A comparison of medical with non-medical students in China</t>
  </si>
  <si>
    <t>Handmaker,N. S.;Hester,R. K.;Delaney,H. D.;Author,Addresses;Alcohol Self-Control,Program;Research Division, Behavior Therapy Associates,Albuquerque N.;States;the Psychology Department, University of,New Mexico;Albuquerque,N. M. U.;Correspondence,Address;RK Hester, Behavior Therapy Associates Osuna,Road N.</t>
  </si>
  <si>
    <t>9932558; Videotaped training in alcohol counseling for obstetric care practitioners: A randomized controlled trial</t>
  </si>
  <si>
    <t>Obstetrics and gynecology</t>
  </si>
  <si>
    <t>Obstet.Gynecol.</t>
  </si>
  <si>
    <t>alcohol consumption;medical education;patient counseling;article;clinical trial;controlled clinical trial;controlled study;doctor patient relation;human;human experiment;interview;motivation;normal human;obstetrics;physician attitude;priority journal;randomized controlled trial;role playing;videotape;Obstetrics and Gynecology (10);Public Health, Social Medicine and Epidemiology (17)</t>
  </si>
  <si>
    <t>Objective: To determine the feasibility of videotape training for obstetric care practitioners in motivational interviewing skills that could be used in brief patient consultations on problem drinking. Methods: Thirty health care practitioners participated in a clinical trial using a 20-minute videotape to instruct them in motivational interviewing. Participating engaged in a pretest roleplay with an actress playing a drinking pregnant woman. Those randomly assigned to the experimental condition watched the motivational interviewing videotape. Control condition participants watched a 20-minute docu-drama of a pregnant problem drinker. Both groups then engaged in a post-test roleplay similar to the pretest. Behavioral ratings of the roleplays and participant evaluations of the motivational interviewing video constituted the outcome measures. Results: Participant evaluations indicated that the training video was clear in explaining and demonstrating the principles and skills of motivational interviewing. Change in behavioral ratings from pretest to post-test showed significant differences in motivational interviewing skills between the experimental and control groups. Obstetric care practitioners who viewed the training video were rated as showing greater empathy, minimizing patient defensiveness, and supporting women's beliefs in their ability to change. Conclusion: Obstetric care practitioners can improve their alcohol intervention skills through the use of a 20-minute videotaped instruction in motivational interviewing. Clinicians who improve their skills in motivational interviewing can intervene more effectively with their drinking pregnant patients. Using motivational interviewing with this population holds promise for helping prevent alcohol-related health problems.</t>
  </si>
  <si>
    <t>(Handmaker N.S.; Hester R.K., rhester@unm.edu) (Delaney H.D.) Lippincott Williams and Wilkins, 250 Waterloo Road, London, United Kingdom.; ID: 3432</t>
  </si>
  <si>
    <t>http://www.ncbi.nlm.nih.gov/pubmed/9932558</t>
  </si>
  <si>
    <t>10.1016/S0029-7844(98)00377-9 FULL TEXT LINK http://dx.doi.org/10.1016/S0029-7844(98)00377-9</t>
  </si>
  <si>
    <t>Videotaped training in alcohol counseling for obstetric care practitioners: A randomized controlled trial</t>
  </si>
  <si>
    <t>Hanley,K.;Gillespie,C.;Naidu,M.;Nudelman,I.;Adams,J.;Lipkin,M.;Zabar,S.;Author,Addresses;Nyu School of Medicine, New York,United States;Correspondence,Address;School of Medicine New York United States,K.Hanley, N.Y.U.</t>
  </si>
  <si>
    <t>Please, docineedmedicine!: Can residents diagnose and man-age opiate use disorder?</t>
  </si>
  <si>
    <t>S228</t>
  </si>
  <si>
    <t>S229</t>
  </si>
  <si>
    <t>(MAJOR FOCUS);opiate;alcohol;diamorphine;illicit drug;diseases;human;internal medicine;male;society;abuse;accidental death;addiction;checklist;curriculum;death;diagnosis;drug overdose;drug therapy;drug use;epidemic;female;interpersonal communication;monitoring;needs assessment;pain;patient;physician;prescription;shoulder pain;skill;social interaction;Student t test;substance abuse;substance use;tobacco;withdrawal syndrome;work</t>
  </si>
  <si>
    <t>BACKGROUND: Drug overdose was the leading cause of accidental death in 2012. Over 70 % of these deaths involved prescription opioids. In 2008, there were 14,800 deaths connected with prescription painkillers. In response to this epidemic, many states have implemented prescription-monitoring programs and guidelines for responsible prescribing are being promoted. We implemented a standardized patient case to assess our residents' approach to a patient seeking help for addiction to prescription opioids as a needs assessment for our addiction medicine curriculum. METHODS: We incorporated into our annual 10 station performance based assessment (OSCE) a case involving a young woman with shoulder pain who exhibits many signs of opioid use disorder and whose hidden agenda is to get help for her addiction. Standardized patients evaluated residents using a behaviorally anchored checklist (response options: not done, partly done, well done) that included items assessing general communication and patient activation skills as well as items specific to this case including assessment of substance use, recognition of opioid use disorder, and treatment plan/next steps. Analyses include frequencies for specific items focused on opioid use and treatment as well as a post-OSCE survey administered to all the residents that assessed what they found challenging about this case. T tests were used to compare communication and patient activation performance (percent items rated as well done) on these cases with residents' overall performance on all cases. RESULTS: Of the 24 residents who saw the case, 54 % asked what type and amount of pain medication the patient was taking but only 38 % discovered that the patient had also used heroin. Only 17 % assessed her use of alcohol, tobacco and other illicit drugs. In terms diagnosing an opioid use disorder, 42 % assessed for tolerance, 50 % for cravings and 71 % for withdrawal. However, only 17% inquired about effects of opioid use on her social functioning and only 38% determined that the patient had unsuccessfully attempted to cut back. Few (29 %) residents did a good job of explaining the diagnosis of opioid use disorder and guided her to an agreeable treatment plan. Only 4 % of SPs felt that the visit would help them to change their drug uses although 54 % felt it helped them recognize they had a problem and 67% were motivated to change. Patient activation measures were uniformly poor with none of the SPs feeling that the doctor helped them feel confident that they could stop using opiates and only 13% understanding the available treatment options. Patient activation scores were lower in the opiate case than for the rest the cases (mean 8% vs 38 % well done, p&lt;.001) but overall communication scores were not significantly different (p&lt;.76). SPs reported that more than half of the residents ran out of time and many of the residents reported that they found it challenging to directly explore opioid abuse. CONCLUSIONS: Residents recognized the problem of opioid use disorder but did not perform a comprehensive assessment of the patient's substance use and lacked information and/or skills to counsel the patient on treatment options. Curricula need to be enhanced for residents to have the skills and confidence to treat and manage patients with this increasingly common and devastating substance use disorder.</t>
  </si>
  <si>
    <t>(Hanley K.; Gillespie C.; Naidu M.; Nudelman I.; Adams J.; Lipkin M.; Zabar S.) 38th Annual Meeting of the Society of General Internal Medicine Toronto, ON, Canada 2015-04-22 to 2015-04-25 Springer New York LLC; ID: 2118</t>
  </si>
  <si>
    <t>Hansen,H.;Author,Addresses;Correspondence,Address;Hansen,H.</t>
  </si>
  <si>
    <t>Sociocultural factors impacting access to MAT and care delivery, new qualitative data from buprenorphine prescribers in OTPs</t>
  </si>
  <si>
    <t>(MAJOR FOCUS);buprenorphine;diamorphine;methadone;opiate;oxycodone;prescription drug;American;brain;Caucasian;clinical study;clinical trial;death;drug overdose;drug therapy;education;fear;heroin dependence;human;insurance;marketing;medical history;monitoring;outpatient;perception;pharmacist;physician;prejudice;prescription;private sector;public health;stigma;buprenorphine (52485-79-7, 53152-21-9);diamorphine (1502-95-0, 561-27-3);methadone (1095-90-5, 125-56-4, 23142-53-2, 297-88-1, 76-99-3);opiate (53663-61-9, 8002-76-4, 8008-60-4);oxycodone (124-90-3, 76-42-6)</t>
  </si>
  <si>
    <t>The understanding of the brain has changed throughout medical history and President George H. W. Bush designated the 1990s as Î“Ã‡Â£The Decade of the BrainÎ“Ã‡Â¥. This initiative aimed at enhancing the general public's knowledge about the benefits of research in this particular area. During that same decade, Oxycontin was aggressively marketed, surpassing other prescription opioids. The rise in opioid-related overdose death was substantial and its impact on public health was becoming more visible. After President Richard Nixon declared Î“Ã‡Â£War on DrugsÎ“Ã‡Â¥ in 1971, the number of incarcerated Americans increased exponentially after 1980. There has been a significant discrepancy in arrest for selling or possessing illegal prescription opioids compared to heroin. The available data on patients receiving either buprenorphine or methadone indicates a clear sociocultural difference in the provision of such medication. Patients receiving buprenorphine are more likely to be Caucasian and college educated. Treatment with buprenorphine has been widely advocated and this medication has been prescribed more extensively in the private sector, though it is more expensive than methadone. Not all states in the US have a functional prescription monitoring program. The profile of heroin users has changed tremendously, affecting people of all economic and educational backgrounds. In a study looking into the stigma and psychosocial needs of outpatient buprenorphine patients, it appeared that Caucasian opioid users with higher levels of education more often hide their addiction. A number of pharmacists in the community present their own prejudice against patients treated with buprenorphine. They expect patients to be tapered off this medication and will refuse early refills. Several disincentives for buprenorphine prescription have been observed in the US. With the Prescription Drug Monitoring Programs, there is an ongoing fear of sanctions, hence reduced treatment of opioid dependent patients. The insurance application is renowned for being time consuming, and physicians face the burden of heavy caseloads as well as extensive training requirements. The structure of buprenorphine treatment also is limited by Federal and State law. Marketing strategies and perceptions of the targeted clientele influences the access to buprenorphine treatment, creating disparities in the racial, ethnic and socioeconomic backgrounds of such clientele. To facilitate the stability of such patients and reduce stigma, several changes are recommended. Increasing accessibility to Medication Assisted Treatment will require structural interventions as well as further resources and support.</t>
  </si>
  <si>
    <t>(Hansen H.) 27th Annual Meeting and Symposium of the American Academy of Addiction Psychiatry, AAAP 2017 Bonita Springs, FL, United States 2016-12-08 to 2016-12-11 Wiley Blackwell; ID: 1824</t>
  </si>
  <si>
    <t>Hanulova,K.;Author,Addresses;Statny Zdravotny Ustav, Skultetyho,Nitra Slovakia;Correspondence,Address;Hanulova, Statny Zdravotny Ustav Skultetyho Nitra Slovakia,K.</t>
  </si>
  <si>
    <t>Education of future nurses for active non-smoking ORIGINAL (NON-ENGLISH) TITLE Vychova buducich zdravotnych sestier k aktivnemu nefajceniu</t>
  </si>
  <si>
    <t>Hygiena</t>
  </si>
  <si>
    <t>medical education;nurse;smoking;article;health behavior;health education;health promotion;lifestyle;Public Health, Social Medicine and Epidemiology (17)</t>
  </si>
  <si>
    <t>In the school year 1991/92 in the school for health workers in Nitra an educational non-smoking programme for nurses was started. In the first stage by means of questionnaires in all students knowledge on the health risks of smoking were assessed, attitudes to smoking and the prevalence of smokers. It was confirmed that it is necessary to improve the professional standard of training and also the education of future nurses. During the subsequent survey in 1996 it was found that the professional knowledge on the risk of smoking improved greatly, that the number of those aware of the specific position in society increased as well as the ensuing responsibility for his behaviour as regards a healthy lifestyle and the motivation of patients to abondon risk behaviour. The prevalence of smoking declined from 16.3% in 1992 to 9.6% in 1996.</t>
  </si>
  <si>
    <t>(Hanulova K.); ID: 3458</t>
  </si>
  <si>
    <t>1210-7840</t>
  </si>
  <si>
    <t>1998062206 PUI L28087378</t>
  </si>
  <si>
    <t>Slovak</t>
  </si>
  <si>
    <t>Haque,A. S.;Irfan,M.;Waheed,Z.;Khan,J.;Author,Addresses;Correspondence,Address;Haque,A. S.</t>
  </si>
  <si>
    <t>Effectiveness of smoking cessation skills building workshops in educating smoking cessation techniques to Pakistani physicians</t>
  </si>
  <si>
    <t>European;human;Pakistani;physician;skill;smoking cessation;society;workshop;adverse drug reaction;cardiologist;city;consultation;drug therapy;internist;male;nicotine replacement therapy;patient;questionnaire;smoking;student;thorax;tobacco dependence</t>
  </si>
  <si>
    <t>Introduction: Physician advice to quit smoking is an effective component of a smoking cessation strategy. Published data indicates that teaching/training smoking cessation skills to physicians improves their smoking cessation practices and increases quit rates among their patients. Objective: To determine the effectiveness of smoking cessation skills building workshops (SCW) among local physicians. Methods: Five one-day SCW were arranged across Pakistani cities. A validated questionnaire assessing attitude and knowledge related to smoking was administered pre-workshops (PRW) and immediately post-workshops (POW) attendance. Results: 113 physicians completed the SCW. 90 were men. Age range was 22-61 years (mean age â”¬â–’SD 37â”¬â–’11 yrs). 72 were GPs, 11 chest physicians, 11 cardiologists, 8 consultant internist and 11 trainee physicians. Post workshop the physicians felt 'very confident' about their knowledge to treat nicotine dependence- 15.9% (PRW) vs. 64.6% (POW); they felt 'very confident' in discussing the smoking cessation issues with their patients- 52.2% (PRW) vs. 80.9% (POW); their knowledge regarding pharmacotherapy improved- 9.7% (PRW) vs. 49.1% (POW). The 5As approach was answered correctly by 17.7% (PRW) vs. 69.9% (POW). Appropriate prescribing of Nicotine Replacement Therapy improved - 39.8% (PRW) vs. 61.1% (POW). Awareness of possible adverse effects of medications enhanced - 46.9% (PRW) vs. 71.1% (POW). Conclusion: After attending a one-full day smoking cessation skills building workshop, physician's felt more confident in discussing anti-smoking issues with their patients and their smoking cessation knowledge improved significantly.</t>
  </si>
  <si>
    <t>(Haque A.S.; Irfan M.; Waheed Z.; Khan J.) European Respiratory Society Annual Congress 2012 Vienna, Austria 2012-09-01 to 2012-09-05 European Respiratory Society; ID: 2516</t>
  </si>
  <si>
    <t>Hardy,M. A.;Author,Addresses;Northern Sydney Local,Health District;Correspondence,Address;MA Hardy, Northern Sydney Local Health District,St Leonard</t>
  </si>
  <si>
    <t>Addiction medicine online modules</t>
  </si>
  <si>
    <t>43 SUPPL. 3</t>
  </si>
  <si>
    <t>cannabis;opiate;addiction;health;adolescent;alcohol consumption;alcoholism;anxiety disorder;chronic pain;diseases;drug misuse;drug therapy;education;feedback system;female;human;medical specialist;mood;opiate addiction;patient;pregnancy;professional development;psychosocial disorder;risk management;skill</t>
  </si>
  <si>
    <t>During the course of the last decade, The RACP's Chapter of Addiction Medicine has been created and developed to offer a route to specialist training for those wishing to engage in care, research and governance of patients with addiction and their associated medical and psychosocial problems. In order to skill a workforce and to maintain continuing professional development, modular training suites were developed to cover a broad range of common issues encountered in addiction medicine. These modules were never published in paper but went directly to online publication. They include the Advanced Prescribers' Course for Pharmacotherapy of Opioid Dependence, Prescription Drug Misuse, Alcohol Use Disorders, Mood and Anxiety Disorders, Adolescent Addiction Medicine and Opportunistic/Brief Interventions. Newer modules reaching completion include Cannabis Use Disorders, Drug and Alcohol Use in Pregnancy and Opioid Risk Management in Chronic Pain. These have been produced using expertise both within the Chapter and other experts from other specialties and organisations. This presentation will explore the production and delivery of these modules, their application as well as feedback obtained by those who have completed them. In addition, future plans for online education will be examined.</t>
  </si>
  <si>
    <t>(Hardy M.A.) RACP Future Directions in Health Congress 2013 Perth, WA, Australia 2013-05-26 to 2013-05-29 Blackwell Publishing; ID: 2402</t>
  </si>
  <si>
    <t>10.1111/imj.12149 FULL TEXT LINK http://dx.doi.org/10.1111/imj.12149</t>
  </si>
  <si>
    <t>Haroon,M.;Munir,A.;Mahmud,W.;Hyder,O.;Author,Addresses;Department of Community Medicine, Rawalpindi,Medical College;Rawalpindi,Pakistan;Department of Medicine, Rawalpindi Medical,College Rawalpindi;Pakistan;Department of Surgery, Rawalpindi Medical,College Rawalpindi;Pakistan;Department of,Obstetrics;Gynaecology,Rawalpindi Medical;College,Rawalpindi Pakistan;Correspondence,Address;Department of Community Medicine, Rawalpindi Medical,College Rawalpindi;Pakistan</t>
  </si>
  <si>
    <t>24640803; Knowledge, attitude, and practice of water-pipe smoking among medical students in Rawalpindi, Pakistan</t>
  </si>
  <si>
    <t>Journal of the Pakistan Medical Association</t>
  </si>
  <si>
    <t>carbon monoxide;sulfur dioxide;attitude;patient education;smoking;waterpipe smoking;adult;article;comparative study;cross-sectional study;female;health hazard;human;male;medical student;Pakistan;public health;questionnaire;self concept;smoking cessation;tobacco dependence;young adult;carbon monoxide (630-08-0);sulfur dioxide (7446-09-5);Public Health, Social Medicine and Epidemiology (17);Occupational Health and Industrial Medicine (35)</t>
  </si>
  <si>
    <t>Objectives: To assess knowledge, attitude and practice of water-pipe smoking among medical students. Methods: The cross-sectional study using self-administered questionnaire was conducted at Rawalpindi Medical College, Rawalpindi, in 2011, and included all five batches of medical students. SPSS 17 was used for statistical analysis of the data. Results: The final sample comprised 724 participants; 505 (69.7%) being female and 219 (30.2%) being male students. Besides, 625 (86.6%) participants knew about shisha smoking, and 140 (22.4%) reported to have smoked shisha. Curiosity (n=44; 31.4%) and social trends (n=41; 29.2%) were cited as main reasons for shisha smoking. Overall, 572 (91.5%) participants thought shisha was dangerous for health, with majority 261 (41.8%) believing it to be more dangerous than cigarettes. Conclusions: There was awareness among medical students about the hazards of shisha smoking. Even then water-pipe smoking was relatively common among them.</t>
  </si>
  <si>
    <t>(Haroon M.) (Munir A.) (Mahmud W.) (Hyder O.) Pakistan Medical Association, Garden Road, Karachi - 3, Pakistan.; ID: 2263</t>
  </si>
  <si>
    <t>http://www.ncbi.nlm.nih.gov/pubmed/24640803</t>
  </si>
  <si>
    <t>Knowledge, attitude, and practice of water-pipe smoking among medical students in Rawalpindi, Pakistan</t>
  </si>
  <si>
    <t>Harris Jr,R. L.;Author,Addresses;Department of,Environmental Engineering;North Carolina,Chapel,Hill N.;Correspondence,Address;Department of Environmental Engineering, University of,North Carolina;Chapel Hill,N. C.</t>
  </si>
  <si>
    <t>Professional education: Changing roles of universities</t>
  </si>
  <si>
    <t>American Industrial Hygiene Association Journal</t>
  </si>
  <si>
    <t>Am.Ind.Hyg.Assoc.J.</t>
  </si>
  <si>
    <t>A</t>
  </si>
  <si>
    <t>29-A-34</t>
  </si>
  <si>
    <t>industrial hygiene;medical education;smoking;education;human;organization and management;prevention;Occupational Health and Industrial Medicine (35)</t>
  </si>
  <si>
    <t>(Harris Jr. R.L.); ID: 3810</t>
  </si>
  <si>
    <t>1529-8663</t>
  </si>
  <si>
    <t>1984052383 PUI L14177435</t>
  </si>
  <si>
    <t>Harris,J. L.;Patton,L. L.;Wilder,R. S.;Peterson,C. A.;Curran,A. E.;Author,Addresses;Clayton;State University,Morrow,Georgia U.;Correspondence,Address;JL Harris, Clayton State University Morrow,Georgia U.</t>
  </si>
  <si>
    <t>19433529; North Carolina dental hygiene students' opinions about tobacco cessation education and practices in their programs</t>
  </si>
  <si>
    <t>dental assistant;health personnel attitude;smoking cessation;adolescent;adult;article;counseling;cross-sectional study;curriculum;education;female;human;male;medical personnel;psychological aspect;questionnaire;United States;vocational education</t>
  </si>
  <si>
    <t>Inadequate training in tobacco cessation counseling (TCC) is a recognized, but mutable, barrier to implementation of tobacco cessation education (TCE) and intervention strategies in dental practice. The objective of this study was to identify the opinions and practices of senior dental hygiene (DH) students in North Carolina regarding their didactic training in TCE and integration of TCE into their clinical curricula. A pilot-tested questionnaire designed by the authors was administered to a cross-sectional, non-random convenience sample of 241 graduating senior DH students enrolled in all twelve North Carolina DH educational programs. Response rate was 65 percent (n=156). Of the respondents, 99 percent agreed that hygienists should be trained to provide TCE. Nearly all respondents (99 percent) had one or more patients who smoked, and 81 percent had one or more patients who used spit tobacco. Eighty-nine percent had one or more patients who had expressed a desire to quit. Most students were comfortable providing TCC to both smokers (92 percent) and spit tobacco users (93 percent); however, 26 percent reported that they were not comfortable providing quit messages to patients unwilling to quit. Enhancements to TCE in DH curricula may increase hygienists' incorporation of TCE into their future practice.</t>
  </si>
  <si>
    <t>(Harris J.L.; Patton L.L.; Wilder R.S.; Peterson C.A.; Curran A.E.); ID: 2902</t>
  </si>
  <si>
    <t>http://www.ncbi.nlm.nih.gov/pubmed/19433529</t>
  </si>
  <si>
    <t>North Carolina dental hygiene students' opinions about tobacco cessation education and practices in their programs</t>
  </si>
  <si>
    <t>Hashemnejad,M.;Fatehi,R.;Author,Addresses;Bahonar Hospital,Alborz;University,Karaj Iran;Karaj Shariati Hospital, Alborz University,Karaj Iran;Correspondence,Address;Hashemnejad, Bahonar Hospital Alborz University Karaj Iran Email,M.;hashemnejadmaryam@gmail.com</t>
  </si>
  <si>
    <t>Epidemiological study of poisoning in patients of Karaj Shariati hospital in 2011 to 2012</t>
  </si>
  <si>
    <t>benzodiazepine derivative (drug toxicity);central nervous system agents (drug toxicity);paracetamol (drug toxicity);tramadol (drug toxicity);intoxication (epidemiology);adolescent;adult;aged;article;child;comparative study;cross-sectional study;demography;drug abuse;drug dependence;drug intoxication;female;groups by age;human;Iran;major clinical study;male;middle aged;mortality;prevalence;school child;seizure;sex ratio;substance abuse;very elderly;young adult;paracetamol (103-90-2);tramadol (27203-92-5, 36282-47-0);Public Health, Social Medicine and Epidemiology (17);Drug Dependence, Alcohol Abuse and Alcoholism (40);Toxicology (52)</t>
  </si>
  <si>
    <t>Background: Acute poisoning is one of the most problems of health systems in the world. The aims of this study are evaluation of demographic characteristics and causes of poisonings in patients referred to Karaj Shariati hospital. Methods: A cross sectional study was done in one year. With a non-probability convenience sampling, all of poisoning patients admitted in Karaj Shariati hospital from June 2011 to June 2012 were studied. Data collected from patients records and then analyzed. Results: One hundred seventy two drug poisoning patients with mean age of 29.8 (SD=13.4) years evaluated. The most common drugs which caused poisoning were: Benzodiazepines, Tramadol, Psychiatry drugs and Acetaminophen. 12.8 percent of patients had drug-induced seizure and mortality rate was 5.8 %. There was a relation between Tramadol poisoning and drug-induced seizure (p value=0.000, Odds Ratio=12.8, 95%Confidence of Interval (4.7-34.8)). Conclusion: This study showed that Tramadol poisoning prevalence is high and opiates are the most common cause of death in drug poisonings, which show need to more educations in schools and addiction-disuse centers and more controls on pharmacies. â”¬âŒ 2014 Forensic Medicine and Toxicology Department.</t>
  </si>
  <si>
    <t>(Hashemnejad M., hashemnejadmaryam@gmail.com) (Fatehi R.) Shahid Beheshti University of Medical Sciences, Tehran, Iran.; ID: 2255</t>
  </si>
  <si>
    <t>2014182822 PUI L372602136</t>
  </si>
  <si>
    <t>Hasim,T. J.;Author,Addresses;Department of Community Health Sciences, College,of Applied;Medical Sciences, King Saud University P O Box,Riyadh Kingdom;of Saudi,Arabia;Correspondence,Address;TJ Hasim, Department of Community Health Sciences College,of Applied;Medical Sciences, King Saud University P O Box,Riyadh Kingdom;of Saudi,Arabia</t>
  </si>
  <si>
    <t>11533755; Smoking habits of students in College of Applied Medical Science, Saudi Arabia</t>
  </si>
  <si>
    <t>Saudi medical journal</t>
  </si>
  <si>
    <t>Saudi Med.J.</t>
  </si>
  <si>
    <t>attitude to health;medical profession;smoking (adverse drug reaction, epidemiology, prevention);student;university;adolescent;adult;article;education;educational status;female;human;male;mass medium;needs assessment;parent;prevalence;psychological aspect;questionnaire;Saudi Arabia;socioeconomics;statistics</t>
  </si>
  <si>
    <t>OBJECTIVE: To establish a baseline data on the smoking habits of health science students in a Saudi Arabian university environment. METHODS: The participating subjects were students of the College of Applied Medical Sciences within the age range of 18 to 26. An experimental design with pre-structured questionnaires, and simple random sampling was administered to 712 participants by a panel of experts in behavioral health sciences. RESULTS: Out of 647 respondents, 186 (29%) were current smokers. Of those that indicated that they were currently smokers, 127 (20%) were male and 59 (9%) were female. The 20-24 year old age group exhibited the highest prevalence of smoking (P&lt;0.000). Major factors influencing the smoking prevalence were the smoking habits of peers, siblings, and parents (P&lt;0.005). Most of the respondents appeared to be Light Smokers , consuming less than 10 cigarettes per day. When asked of their awareness of the health hazards of smoking, 73% of the respondents answered that they were aware of the hazards. Of those that smoked, 70% expressed a desire to cease cigarette smoking. Media influence was considered to be the major source of information on the health consequences of cigarette smoking. CONCLUSION: Cigarette smoking is prevalent among students of health care professionals. Author advocates a collaborative effort in order to alleviate the consequences of cigarette smoking among health professionals. This effort must embody a multidisciplinary approach that includes legislators, mass media, public education and health professionals at all levels.</t>
  </si>
  <si>
    <t>(Hasim T.J.); ID: 3398</t>
  </si>
  <si>
    <t>0379-5284</t>
  </si>
  <si>
    <t>http://www.ncbi.nlm.nih.gov/pubmed/11533755</t>
  </si>
  <si>
    <t>Smoking habits of students in College of Applied Medical Science, Saudi Arabia</t>
  </si>
  <si>
    <t>Hassan,A.;De Luca,V.;Author,Addresses;University,of Toronto;Correspondence,Address;Hassan, University of Toronto Canada,A.</t>
  </si>
  <si>
    <t>Effect of lifetime stress on resistance to antipsychotic treatment</t>
  </si>
  <si>
    <t>153 SUPPL. 1</t>
  </si>
  <si>
    <t>S321</t>
  </si>
  <si>
    <t>(MAJOR FOCUS);neuroleptic agent;lifespan;schizophrenia;addiction;adulthood;American;Canadian;childhood;Childhood Trauma Questionnaire;diagnosis;diseases;drug therapy;exposure;human;injury;life event;major depression;mental disease;mental health;morbidity;patient;prevalence;psychosis;quality of life;questionnaire;risk;screening;teaching hospital</t>
  </si>
  <si>
    <t>Background: Approximately 20-30% of Schizophrenia patients fail to respond to antipsychotic medications. The burden of treatment resistant (TR) patients is between 60 to 80% of the total cost of schizophrenia. In addition there is evidence that TR patients have more severe symptoms, more co-morbidities, higher suicidal risk and lower quality of life than non TR patients. Several studies showed that all types of childhood trauma increase the risk of psychosis. Furthermore, other studies revealed that the incidence of stressful events is higher prior to the psychosis onset. However, to date the relationship between the number of stressful events and resistance to antipsychotics has not been investigated. The aim of this study is to compare the prevalence of traumatic events in TR and non TR schizophrenia. Association between resistance and high number of traumatic events has been found in other mental illnesses such as major depression. Methods: We recruited 71 participants diagnosed with schizophrenia spectrum disorders through the Center of Addiction and Mental Health (CAMH), a Canadian teaching hospital located in Toronto. The diagnosis of schizophrenia was ascertained by the means of the SCID-I/P and the presence of adverse life-events was assessed using the Stressful Life Events Screening Questionnaire (SLESQ) and the Childhood Trauma Questionnaire (CTQ). Medical charts were reviewed for determining the history of failure of two antipsychotic trials, or more, of adequate duration using the criteria of the American Psychiatric Association for refractory schizophrenia. Results: According to the APA criteria, in our sample 49.3% of the participants were defined as TR and 50.7% as non TR. Higher numbers of lifetime stressful events were reported by TR participants compared to non TR patients (p&lt;0.001). Also, there was a significant correlation between the CTQ and TR (p=0.016). Discussion: Higher numbers of stressful and traumatic events are found in TR schizophrenia patients, therefore predicting a poorer outcome. Unresolved repeated exposures to childhood and adulthood traumatic events perpetuate psychosis. Thus, TR schizophrenia patients require a personalized bio-psycho-social approach to improve the success of the therapeutic intervention.</t>
  </si>
  <si>
    <t>(Hassan A.; De Luca V.) 4th Biennial Schizophrenia International Research Conference Florence, Italy 2014-04-05 to 2014-04-09 Elsevier; ID: 2254</t>
  </si>
  <si>
    <t>Hassan,A.;Harris,S. K.;Sherritt,L.;Van Hook,S.;Bridgemohan,C.;Knight,J.;Emans,J.;Author,Addresses;Children's,Hospital Boston;Correspondence,Address;Hassan, Children's Hospital Boston United States,A.</t>
  </si>
  <si>
    <t>Use of an online pediatric curriculum</t>
  </si>
  <si>
    <t>adolescent health;curriculum;injury;safety;society;adolescence;adolescent;anorexia nervosa;child growth;clip;education;feedback system;geography;growth curve;health;health educator;health practitioner;health promotion;human;Kruskal Wallis test;learning;medical education;medicine;mental health;nurse;nurse practitioner;pediatrics;physician;register;screening;self evaluation;student;teaching;technology;United States;videorecording</t>
  </si>
  <si>
    <t>Purpose: In response to new training requirements and curricular needs of pediatric residency programs, the Pedicases website (www. pedicases.org) was launched in 2000 to provide free educational materials. Over 30 case-based modules incorporating Bright Futures health supervision guidelines were published covering child growth, development, behavior, and adolescent medicine. As part of a larger QI study to inform the revision of this tool, we assessed Pedicases usage patterns and evaluated the experience of previous users. Methods: Two data sources were utilized: the website data registry which recorded utilization and descriptive data as users accessed and downloaded cases, and an emailed survey sent to a selection of previous users in March 2011. We characterized users by discipline, years of training, and geographic location, and Pedicases utilization by numbers and types of topics downloaded. The survey asked users about their website experience and suggestions for improvement, including their thoughts regarding overall efficacy of the tool, website interface, and the quality, accessibility, and relevance of the materials. We compared usage patterns across types of users using Chi square and Kruskal-Wallis tests. Results: Between March 2000 and November 2010, 6,078 unique users downloaded Pedicases materials. 30% of the users identified themselves as staff physicians and 28% as medical trainees. The remainder reflected multiple disciplines including nurses, nurse practitioners, mental health professionals, and other health educators. Most users had completed professional training recently (45% within five years). Although three quarters of users hailed from the US with the largest numbers from the Mid-West and Mid-Atlantic regions, over 130 countries were represented across users. A total of 28,075 cases were downloaded with a mean of 4.6 (SD 8.2) per user. Among the adolescent-specific cases, the mental health module (anorexia nervosa, substance use, and depression) was the most frequently accessed, comprising 10.3% of the total downloads. Cases involving routine screening and health promotion during adolescence were also frequently accessed (8.8%). Users who had been out of training longer (p&lt;.001) and international users (p=.019) tended to download more cases. 269 users completed the survey. Overall, most users had a positive experience with 86% responding that they would Î“Ã‡Â£probablyÎ“Ã‡Â¥ or Î“Ã‡Â£definitelyÎ“Ã‡Â¥ recommend the website to other colleagues involved in medical education, and just under 90% planned continued use of materials. Although the materials were originally targeted for teaching residents, more than half of users (54%) have used materials for self-education purposes with 71% interested in having associated CME credit. Constructive feedback indicated that cases should be further revised to accommodate limited trainee teaching time, and tools such as standardized video clips, Powerpoint presentations, and self-assessment questions and answers should be added. Conclusions: The Pedicases online pediatric curriculum was well received by users from a wide variety of backgrounds. Data suggest that adolescent mental health is a particular area of interest. Providing a web-based accessible, comprehensive, and well-structured learning experience has the potential to enhance pediatric education worldwide. Future revisions should focus on updated content to meet current health guidelines and incorporate new technology.</t>
  </si>
  <si>
    <t>(Hassan A.; Harris S.K.; Sherritt L.; Van Hook S.; Bridgemohan C.; Knight J.; Emans J.) Society for Adolescent Health and Medicine Annual Meeting: Impact of Trauma on Teens: Building the Safety Net 2012 New Orleans, LA, United States 2012-03-14 to 2012-03-17 Elsevier USA; ID: 2584</t>
  </si>
  <si>
    <t>1054-139X</t>
  </si>
  <si>
    <t>10.1016/j.jadohealth.2011.10.130 FULL TEXT LINK http://dx.doi.org/10.1016/j.jadohealth.2011.10.130</t>
  </si>
  <si>
    <t>Hauter,J.;Hafner,J. W.;Author,Addresses;University of Illinois College,of Medicine;Peoria,O. S. F. S.;Correspondence,Address;Saint,J.Hauter, University of Illinois College of Medicine at Peoria O.S.F.;Francis Medical Center, Peoria,United States</t>
  </si>
  <si>
    <t>Injury patterns and safety practices of deer hunters in the united states</t>
  </si>
  <si>
    <t>S66</t>
  </si>
  <si>
    <t>S67</t>
  </si>
  <si>
    <t>alcohol;college;deer;emergency physician;human;injury;safety;United States;adult;body regions;contusion;convenience sample;education;emergency ward;firearm;Internet;laceration;male;medical care;multiple choice test;season;sport;sprain;statistical analysis;therapy</t>
  </si>
  <si>
    <t>Study Objective: Deer hunting is a popular recreational activity in the United States (US), with an estimated 10.6 million US adults participating in 2006. Deer hunting is the most common form of hunting in the US, but has distinctive characteristics to the sport. Deer hunters routinely utilize firearms and station themselves in deer stands, lending to unique hunting-related injuries. However, estimates of general hunting-related injuries and safety practices amongst deer hunters have not been well described. This study seeks to identify the general injury patterns associated with deer hunting, and to investigate the safety practices used by hunters. Methods: A structured anonymous survey was posted as a link on several hunting sites and forums on the World Wide Web. Data was collected over the 2011 fall deer season from September 6, 2011 to December 21, 2011. Multiple choice, Likert scales (with 1 being most negative and 5 being most positive), and free text answers were employed. Demographic data, hunting history were obtained, and subjects were asked to identify their 3 most significant injuries and the outcomes. Injury data collected included body part, type of injury, medical care sought, and recovery time. Finally, the participants were surveyed regarding safety practices including ATV use, deer stand practices, hunter safety education and substance use while hunting. All data was automatically entered from the survey site into an Excel spreadsheet. SPSS 19.0 (SPSS Inc, 2012) was used for descriptive and statistical analysis between variables. Results: A total of 1,121 subjects 48 different states participated, with 1039 completing the survey (92.7%). Respondents were mostly male (97.5%), with a mean age of 38.7 years (range 12-77; SD 12.2) a mean hunting experience of 21.1 years (range 0-58; SD 12.6), and self-classified themselves as intermediate level hunters (55.5%). Hunters reported using bows (92.8%), rifles (56.8%), and shotguns (45.7%), and 55.9% reported hunting 80-100% of their time in a deer stand. Most hunters had participated in a hunter safety class (88.8%) or a gun safety class (74%), and most (71.2%) considered hunting safety as â”¬â•—very important.â”¬Â½ Few hunters had participated while under the influence of drugs or alcohol (9%), most commonly alcohol (85.7%). Of the respondents, 33.4% reported sustaining some type of injury and 23.9% reported a deer stand related injury. Of the reported injuries, most were secondary to falls (39%), represented sprains (37.1%), lacerations (20.5%) and contusions (11.8%); most injuries included the lower back (42%), lower leg/ankle/ foot (16.9%) and the hand/fingers (45%). Most injured hunters did not require medical attention (63.7%), but for those that did, most utilized the emergency department (ED) (50.7%). Most injuries did not require missed work (79.2%) and most hunters made a full recovery from the injury (82.6%). Conclusion: In a national convenience sampling of US deer hunters, one third reported sustaining an injury. Most reported injuries were related to falls and few required medical treatment. Surveyed hunters often participated in safety classes and considered hunting safety important.</t>
  </si>
  <si>
    <t>(Hauter J.; Hafner J.W.) American College of Emergency Physicians, ACEP Research Forum 2012 Denver, CO, United States 2012-10-08 to 2012-10-09 Mosby Inc.; ID: 2511</t>
  </si>
  <si>
    <t>10.1016/j.annemergmed.2012.06.161 FULL TEXT LINK http://dx.doi.org/10.1016/j.annemergmed.2012.06.161</t>
  </si>
  <si>
    <t>Hemma,G.;McNab,A.;Katz,L. S.;Author,Addresses;Sunrise Solutions,Sandy,United States;University Neuropsychiatric Institute, Salt Lake,City United;States;System,V. A. P.;Sw,Veterans Dr;Correspondence,Address;LS Katz, V A Puget Sound Health Care System Veterans,Dr S.;United States Email, Lorikmail,yahoo com</t>
  </si>
  <si>
    <t>Efficacy of Treating Sexual Trauma in a Substance Abuse Residential Program for Women</t>
  </si>
  <si>
    <t>Journal of Contemporary Psychotherapy</t>
  </si>
  <si>
    <t>drug dependence;psychotrauma;sexual trauma;adult;alcoholics anonymous;anger;anxiety;article;cognition;communication skill;coping behavior;curriculum;depression;distress syndrome;effect size;feedback system;female;human;major clinical study;posttraumatic stress disorder;program evaluation;relapse;residential care;self esteem;sleep;social competence;substance abuse;thinking;Public Health, Social Medicine and Epidemiology (17);Psychiatry (32);Drug Dependence, Alcohol Abuse and Alcoholism (40)</t>
  </si>
  <si>
    <t>This is a program evaluation of treating sexual trauma in a residential substance abuse treatment program for women. Residents who were seeking treatment for their substance abuse disorder (SUD), also had a history of both childhood and adult sexual trauma. Given the literature supporting concurrent trauma-SUD treatment, the Warrior Renew (WR) protocol (Katz, Warrior Renew: Healing from military sexual trauma, Springer, New York, 2014) was added to the curriculum of Alcoholics Anonymous 12-step groups, relapse prevention, and substance abuse education classes. The WR manual consists of coping skills to address sleep and anxiety, and cognitive/experiential restructuring to address anger/resentments due to injustice, betrayal, and self-blame. It also addresses interpersonal factors such as relationship patterns and healthy interpersonal skills. This evaluation was conducted as part of routine clinical care in a naturalistic setting. Nineteen residents graduated the program and opted to complete pre-and post-treatment assessments. Findings revealed significant decreases in symptoms of anxiety, depression, posttraumatic negative thinking, and PTSD, and significant increases in positive factors of optimism and self-esteem-- all with large effect sizes. In addition, 95% of the sample had a reliable change at the 95% confidence interval. ResidentÎ“Ã‡Ã–s feedback to staff reflected strong positive endorsement of the WR program. Results suggest WR is a promising effective treatment for women who have had sexual trauma in a substance abuse residential treatment program.</t>
  </si>
  <si>
    <t>(Hemma G.) (McNab A.) (Katz L.S., Lorikmail@yahoo.com) Springer New York LLC, barbara.b.bertram@gsk.com; ID: 1734</t>
  </si>
  <si>
    <t>1573-3564 (electronic) 0022-0116</t>
  </si>
  <si>
    <t>20170552807 PUI L617611452</t>
  </si>
  <si>
    <t>10.1007/s10879-017-9365-8 FULL TEXT LINK http://dx.doi.org/10.1007/s10879-017-9365-8</t>
  </si>
  <si>
    <t>Henggeler,S. W.;Chapman,J. E.;Rowland,M. D.;Halliday-Boykins,C.;Randall,J.;Shackelford,J.;Schoenwald,S. K.;Author,Addresses;Family;Services Research Center, Department,of Psychiatry;Behavioral,Sciences;Medical University of South Carolina, Charleston,S.C.United States;Correspondence,Address;SW Henggeler, Family Services Research Center Department,of Psychiatry;and Behavioral Sciences, Medical University of South,Carolina Charleston</t>
  </si>
  <si>
    <t>17306721; If you build it, they will come: Statewide practitioner interest in contingency management for youths</t>
  </si>
  <si>
    <t>child health care;community care;drug dependence treatment;mental health service;adult;article;child behavior;demography;evidence based practice;female;human;learning;male;medical profession;organization and management;physician;priority journal;statistical analysis;Pediatrics and Pediatric Surgery (7);Public Health, Social Medicine and Epidemiology (17);Drug Dependence, Alcohol Abuse and Alcoholism (40)</t>
  </si>
  <si>
    <t>Addressing the science-service gap, we examined in this study the amenability of a large heterogeneous sample of community-based therapists in the state mental health and substance abuse treatment sectors to learn about an evidence-based practice (EBP) for adolescent substance abuse (i.e., contingency management CM]) when such learning was supported administratively and logistically. Leadership in most (44 of 50) public sector agencies supported practitioner recruitment, and 432 of 543 eligible practitioners subsequently attended a 1-day workshop in CM. Workshop attendance was predicted by organizational factors but not by practitioner demographic characteristics, professional background, attitudes toward EBPs, or service sector. Moreover, the primary reason for workshop attendance was to improve services for adolescent clients; the primary barriers to attendance, for those who did not attend, were practical in nature and not due to theoretical incompatibility. The findings demonstrate a considerable amount of interest practitioners showed in both the substance abuse and mental health sectors in learning about an EBP. â”¬âŒ 2007 Elsevier Inc. All rights reserved.</t>
  </si>
  <si>
    <t>(Henggeler S.W., henggesw@musc.edu; Chapman J.E.; Rowland M.D.; Halliday-Boykins C.A.; Randall J.; Shackelford J.; Schoenwald S.K.) Elsevier Inc., 360 Park Avenue South, New York, United States.; ID: 3055</t>
  </si>
  <si>
    <t>http://www.ncbi.nlm.nih.gov/pubmed/17306721</t>
  </si>
  <si>
    <t>10.1016/j.jsat.2006.07.006 FULL TEXT LINK http://dx.doi.org/10.1016/j.jsat.2006.07.006</t>
  </si>
  <si>
    <t>If you build it, they will come: Statewide practitioner interest in contingency management for youths</t>
  </si>
  <si>
    <t>Henggeler,S. W.;Chapman,J. E.;Rowland,M. D.;Halliday-Boykins,C.;Randall,J.;Shackelford,J.;Schoenwald,S. K.;Author,Addresses;Family;Services Research Center, Department,of Psychiatry;Behavioral,Sciences;Medical University,of South;Correspondence,Address;SW Henggeler, Family Services Research Center Department,of Psychiatry;and Behavioral Sciences, Medical University of South,Carolina Email;henggesw@musc.edu</t>
  </si>
  <si>
    <t>18665685; Statewide Adoption and Initial Implementation of Contingency Management for Substance-Abusing Adolescents</t>
  </si>
  <si>
    <t>evidence based practice;psychotherapist;substance abuse;adolescent;adult;article;clinical practice;education;female;human;interview;male;normal human;physician attitude;professional practice;work experience;Public Health, Social Medicine and Epidemiology (17);Drug Dependence, Alcohol Abuse and Alcoholism (40)</t>
  </si>
  <si>
    <t>Four hundred thirty-two public sector therapists attended a workshop in contingency management (CM) and were interviewed monthly for the following 6 months to assess their adoption and initial implementation of CM to treat substance-abusing adolescent clients. Results showed that 58% (n = 131) of the practitioners with at least one substance-abusing adolescent client (n = 225) adopted CM. Rates of adoption varied with therapist service sector (mental health vs. substance abuse), educational background, professional experience, and attitudes toward treatment manuals and evidence-based practices. Competing clinical priorities and client resistance were most often reported as barriers to adopting CM, whereas unfavorable attitudes toward and difficulty in implementing CM were rarely cited as barriers. The fidelity of initial CM implementation among adopters was predicted by organizational characteristics as well as by several demographic, professional experience, attitudinal, and service sector characteristics. Overall, the findings support the amenability of public sector practitioners to adopt evidence-based practices and suggest that the predictors of adoption and initial implementation are complex and multifaceted. â”¬âŒ 2008 American Psychological Association.</t>
  </si>
  <si>
    <t>(Henggeler S.W., henggesw@musc.edu; Chapman J.E.; Rowland M.D.; Halliday-Boykins C.A.; Randall J.; Shackelford J.; Schoenwald S.K.) American Psychological Association Inc., 750 First Street NE, Washington, United States.; ID: 2972</t>
  </si>
  <si>
    <t>http://www.ncbi.nlm.nih.gov/pubmed/18665685</t>
  </si>
  <si>
    <t>10.1037/0022-006X.76.4.556 FULL TEXT LINK http://dx.doi.org/10.1037/0022-006X.76.4.556</t>
  </si>
  <si>
    <t>Statewide Adoption and Initial Implementation of Contingency Management for Substance-Abusing Adolescents</t>
  </si>
  <si>
    <t>Henni,A.;Lee,S.;Kelly,S.;Zimmer,J.;Dehghani,P.;Lavoie,A. J.;Author,Addresses;Saskatoon;Canada;Correspondence,Address;Henni,Saskatoon Canada,A.</t>
  </si>
  <si>
    <t>Working together for primary prevention: Training medical students' to provide smoking cessation counseling</t>
  </si>
  <si>
    <t>Canadian Journal of Cardiology</t>
  </si>
  <si>
    <t>Can.J.Cardiol.</t>
  </si>
  <si>
    <t>S252</t>
  </si>
  <si>
    <t>counseling;human;medical student;primary prevention;smoking cessation;society;Canada;curriculum;drug therapy;exercise;health;interview;Likert scale;patient;prairie;public health;quantitative analysis;questionnaire;role playing;skill;smoking;smoking cessation program;student;teaching;tobacco;tobacco dependence;training;United States;university;volunteer;Wilcoxon signed ranks test</t>
  </si>
  <si>
    <t>BACKGROUND: Tobacco use is a significant problem in community health. In 2011, Health Canada determined the national average smoking rate to be 19.9% with higher rates in Saskatchewan at 23.8%. Many medical students do not have sufficient training in tobacco cessation counseling in their curriculum and lack the skills to provide appropriate intervention. PURPOSE: To create and assess the effectiveness of the Prairie Vascular Research Network (PVRN) smoking cessation training program for medical students at the University of Saskatchewan. METHODS: The PVRN smoking cessation program has two components. First, twenty volunteer medical students were given one week to complete the Partnership to Assist with Cessation of Tobacco (PACT) online training program. Topics included nicotine addiction, tobacco trends in Saskatchewan, the importance of cessation, pharmacotherapy, and implementation in a practice site. The second component was a role-playing exercise where students took turns playing the clinician or the patient and enacted scenarios from the program Î“Ã‡Â£Rx for ChangeÎ“Ã‡Â¥ by the University of California San Francisco. Students were given pre and post-training questionnaires to assess their (1) confidence in interacting with patients regarding smoking cessation counseling, (2) knowledge of the different components of smoking cessation counseling, and (3) confidence in delivering smoking cessation counseling. Questionnaires were designed for quantitative analysis and used a seven point Likert scale. The Wilcoxon signed rank test was used to determine if there were changes over time in the ratings given to each question. Pre and posttraining interviews provided additional descriptive data, and were analyzed for comparative results. RESULTS: Students' knowledge about the different components of smoking cessation showed statistically significant improvements after completing the program. The most significant improvement was in knowledge of pharmacotherapies available for smoking cessation, with a median pre-test value of 2.0 and a post-test median value of 5.0. Students' confidence in delivering smoking cessation counseling showed marked improvement after the training program. In particular, students showed increased confidence in helping their patients develop a cessation plan, with a pre-test median value of 3.0 and a post-test median value of 6.0 Students reported positive experiences in their interview and praised the roleplaying component of the PVRN training program. Overall, after training, students felt they had the knowledge and skills to broach the topic of smoking cessation with patients. CONCLUSION: The PVRN program is successful in teaching medical students about smoking cessation and providing them with the knowledge and confidence to deliver smoking cessation counseling.</t>
  </si>
  <si>
    <t>(Henni A.; Lee S.; Kelly S.; Zimmer J.; Dehghani P.; Lavoie A.J.) 66th Annual Meeting of the Canadian Cardiovascular Society Montreal, QC, Canada 2013-10-17 to 2013-10-20 Pulsus Group Inc.; ID: 2349</t>
  </si>
  <si>
    <t>0828-282X</t>
  </si>
  <si>
    <t>10.1016/j.cjca.2013.07.410 FULL TEXT LINK http://dx.doi.org/10.1016/j.cjca.2013.07.410</t>
  </si>
  <si>
    <t>Herbst,N.;Zhang,M.;Fitzgerald,C.;O'Donnell,C.;Wong,C.;Wiener,R. S.;Kathuria,H.;Author,Addresses;Boston,Medical Center;United,States;Boston;University,Boston United States;Correspondence,Address;Herbst, Boston Medical Center Boston United States Email,N.;nicole.herbst@bmc.org</t>
  </si>
  <si>
    <t>Capitalizing on the teachable moment: Implementation of an inpatient smoking cessation consult service</t>
  </si>
  <si>
    <t>American Journal of Respiratory and Critical Care Medicine</t>
  </si>
  <si>
    <t>doctor patient relation;female;male;smoking cessation;adoption;controlled study;counseling;follow up;hospitalization;human;internal medicine;length of stay;major clinical study;medicaid;morbidity;mortality;nicotine replacement therapy;outpatient;resident;safety net hospital;satisfaction;telephone;tobacco dependence;workflow</t>
  </si>
  <si>
    <t>RATIONALE: Cigarette smoking is the leading cause of preventable death in the US, yet about 40 million adults continue to smoke. Hospitalization offers (1) a teachable moment, when smokers may be acutely aware of the consequences of smoking and receptive to cessation interventions, and (2) an opportunity to reach low socioeconomic status (SES) smokers who otherwise may not otherwise seek treatment. We sought to understand patient, clinician and system barriers to integrating tobacco dependence treatment with hospitalization. METHODS: In July 2016, at an urban safety net hospital, we established an inpatient smoking cessation consult service composed of specialists who provide counseling, make recommendations for nicotine replacement therapy (NRT), and establish outpatient treatment plans. We created an Inpatient Smoking Cessation Best Practice Alert (BPA) and order set in Epic for hospitalized patients identified as smokers. Using implementation science principles, we assessed (1) Reach (percent of hospitalized smokers that receive tobacco treatment) and (2) Effectiveness (impact on 1-month quit rates) of the intervention. We administered an anonymous survey to internal medicine residents exploring clinicians' impressions, disruptions to workflow, and barriers to adoption. Patients were surveyed via telephone 30 days after discharge to evaluate quit rates, barriers to outpatient follow-up, and satisfaction. RESULTS: In-depth analysis over a 2 week period (August 18 - August 31, 2016) showed that the BPA triggered for 406 hospitalized smokers, 83.5% of which were on Medicaid. Of these 406 patients, 94 (23%) were seen by the consult service. Barriers to providing inpatient counseling include: (1) Limitations in providers placing orders for inpatient consult 271 patients (66.7%)] and (2) Shorter length of stay for those not seen by the consult service versus patients seen (3.6 versus 6.4 days respectively, p=0.006). Of 108 patients seen during the first 2 months of the intervention, 25% had quit and 33% had cut down. Most patients seen by the consult service accept inpatient counseling (96.5%). Of 33 physicians surveyed, 78.8% were satisfied with BPA. Barriers to placing consult orders include too many BPAs overall and time constraints. (Figure presented). CONCLUSIONS: Physicians and patients are receptive to an inpatient counseling service. One month post-hospitalization quit rates for patients seen by the service are significantly higher than the national average. Ongoing efforts to increase the number of hospitalized smokers who receive effective smoking cessation counseling and medications at the bedside offers the opportunity to decrease morbidity and mortality.</t>
  </si>
  <si>
    <t>(Herbst N., nicole.herbst@bmc.org; Zhang M.) (Fitzgerald C.; O'Donnell C.; Wong C.; Wiener R.S.; Kathuria H.) American Thoracic Society International Conference, ATS 2017 Washington, DC, United States 2017-05-19 to 2017-05-24 American Thoracic Society; ID: 1871</t>
  </si>
  <si>
    <t>1535-4970</t>
  </si>
  <si>
    <t>10.1164/ajrccm-conference.2017.D102 FULL TEXT LINK http://dx.doi.org/10.1164/ajrccm-conference.2017.D102</t>
  </si>
  <si>
    <t>Hering,R. D.;Lefebvre,L. G.;Stewart,P. A.;Selby,P. L.;Author,Addresses;Department of,Family;Community,Medicine;Faculty of Medicine, University of,Toronto Canada;Department of Psychiatry, Faculty of Medicine,University of;Toronto,Canada;Departments of,Family;Community;Medicine;Psychiatry,Lana School of Public Health University of;Toronto,Canada;Ontario Tobacco,Research Unit;Addiction;Mental Health, Stokes Street,Toronto Canada;Correspondence,Address;PL Selby,Departments,of Family;Community,Medicine;Psychiatry;Dalla Lana School of Public Health, University of,Toronto Canada</t>
  </si>
  <si>
    <t>Increasing addiction medicine capacity in Canada: The case for collaboration in education and research</t>
  </si>
  <si>
    <t>addiction;addiction medicine;behavioral medicine;article;Canada;certification;education program;funding;general practitioner;human;medical education;substance abuse;Public Health, Social Medicine and Epidemiology (17)</t>
  </si>
  <si>
    <t>Collaboration in addiction medicine education and research is important in Canada. The large unmet need for addiction services will only be met by the relatively small number of addiction clinicians, researchers, educators and policy makers in Canada if they collaborate and grow in a coordinated fashion toward common goals. Leadership from national organizations will facilitate growth in a coordinated fashion, which will allow us to reach the goal of providing adequate treatment for those with addiction and related illnesses as quickly as possible. Recent developments give significant reason to be optimistic that there will be more rapid progress in the coming years. Important initiatives currently underway include: 1) the expansion of Addiction Medicine training programs across Canada, 2) a new federal governmentsponsored initiative to build collaborations in Addictions research, and 3) an application for the first Canadian certification in Addiction Medicine based on a standardized competency based curriculum.</t>
  </si>
  <si>
    <t>(Hering R.D.; Lefebvre L.G.) (Stewart P.A.) (Selby P.L., peter.selby@camh.ca) (CAMH) Canadian Society of Addiction Medicine, admin@csam.org; ID: 2270</t>
  </si>
  <si>
    <t>2014843976 PUI L600232962</t>
  </si>
  <si>
    <t>Herity,B. A.;Bourke,G. J.;Wilson Davis,K.;Author,Addresses;Dept. Soc. Prev. Med, Univ;Coll,Dublin;Correspondence,Address;Dept Soc Prev Med, Univ,Coll Dublin</t>
  </si>
  <si>
    <t>A study of the smoking habits of medical and non medical university staff</t>
  </si>
  <si>
    <t>Irish medical journal</t>
  </si>
  <si>
    <t>Ir.Med.J.</t>
  </si>
  <si>
    <t>age;cigarette smoking;habit;medical personnel;medical staff;pipe smoking;questionnaire;smoking;university;normal human;university hospital;Chest Diseases, Thoracic Surgery and Tuberculosis (15);Public Health, Social Medicine and Epidemiology (17);Psychiatry (32);Health Policy, Economics and Management (36);Internal Medicine (6)</t>
  </si>
  <si>
    <t>The smoking habits of medical and non medical academic staff of University College, Dublin, were ascertained by questionnaire. Analysis of results was confined to male staff because of the small number of women medical staff. The results show no significant differences between the two groups for mean cigarette consumption nor in the proportion of current or ex smokers, but the non medical staff had a higher proportion of non smokers. The influence on smoking behaviour of authoritative or professional opinion about the relationship between smoking and health was similar in both groups, although the medical staff had more detailed knowledge of the associated hazards to health. The smoking habits of both groups of university staff were compared with those of men of 20 years and older in the general population; each university staff group had a lower proportion of current and ex smokers, and the non medical staff had a lower proportion of non smokers, than the general population group. Cigarette smoking was less common and pipe and cigar smoking more common in both university staff groups than in men of 20 years and older in the general population. These findings are discussed.</t>
  </si>
  <si>
    <t>(Herity B.A.; Bourke G.J.; Wilson Davis K.); ID: 3882</t>
  </si>
  <si>
    <t>0332-3102</t>
  </si>
  <si>
    <t>1977054100 PUI L7054078</t>
  </si>
  <si>
    <t>Hernâ”œÃ­ndez-Guerrero,I. A.;Vâ”œÃ­zquez-Martâ”œÂ¡nez,V. H.;Guzmâ”œÃ­n-Lâ”œâ”‚pez,F.;Ochoa-Jimâ”œâŒnez,L. G.;Cervantes-Vâ”œÃ­zquez,D. A.;Author,Addresses;Mâ”œâŒdico familiar,Unidad de;medicina,familiar No;Medicina Familiar,umf no;Mâ”œâŒdico epidemiâ”œâ”‚logo umf,no;Mexico;Coordinador de Planeaciâ”œâ”‚n,y. Enlace;Delegaciâ”œâ”‚n,Regional imss;Correspondence,Address;Guzmâ”œÃ­n-Lâ”œâ”‚pez, Mâ”œâŒdico epidemiâ”œâ”‚logo umf no Mexico Email,F.;felipe.guzman@imss.gob.mx</t>
  </si>
  <si>
    <t>Social and clinical profile of patients with tuberculosis in a family medicine unit in Reynosa, Tamaulipas, Mexico ORIGINAL (NON-ENGLISH) TITLE Perfil clâ”œÂ¡nico e social dos pacientes com tuberculose em unidade de medicina de famâ”œÂ¡lia de Reynosa, Tamaulipas, Mâ”œâŒxico</t>
  </si>
  <si>
    <t>Atencion Familiar</t>
  </si>
  <si>
    <t>tuberculosis;adult;article;comorbidity;coughing;cross-sectional study;female;human;Human immunodeficiency virus infection;major clinical study;male;malnutrition;Mexico;non insulin dependent diabetes mellitus;observational study;retrospective study;smoking;Chest Diseases, Thoracic Surgery and Tuberculosis (15);Public Health, Social Medicine and Epidemiology (17)</t>
  </si>
  <si>
    <t>Objective to determine the clinical and social profile of patients with tuberculosis of the Family Medicine Unit no. 33 (umf) in Reynosa, Tamaulipas, Mexico who went for consultation from 2008 to 2012. Methods observational, descriptive, retrospective and cross-sectional study, which objective was to determine the clinical and social profile of patients with tuberculosis of the no. 33 Unit. The collection of data was done with the Î“Ã‡Â£Epidemiological Study of TuberculosisÎ“Ã‡Â¥ and Î“Ã‡Â£Registration and Control CardÎ“Ã‡Â¥ used in the national health system; the information was obtained from the clinical records from the preventive area. Complete records of patients who were on treatment from 2008 to 2012 were included. Those missing or incomplete records were excluded. The main studied variables studied were: place of birth, education, occupation, drug addictions, bacillary load at the time of diagnosis and co-morbidities, among others. The study followed the national and institutional research norms. Results 169 records were included, of which 56% were men and 44% women. The mean age was 32 years, 18% of the participants had completed high school and 18% had completed junior high school. A third of the participants were born in Tamaulipas. The main occupation was machine operator in the manufacturing sector, followed by housewife with 22%. 94% had no addiction, 4% alcoholism and 1% smoking, 1% other drugs. The most frequent comorbidity was Diabetes Mellitus type 2, followed by hiv/aidsand malnutrition. In 89% of the cases the diagnosis of tuberculosis was made in the outpatient medical unit through sputum smear examination. The first sign of the disease was coughing. A high percentage had total remission of the disease and 4% abandoned the treatment. Conclusions primary care physicians diagnose 89% of the cases; there should be an emphasis on identifying the risk factors: migration, diabetes type 2 and make a search in any case of cough, since it is the main clinical manifestation of the disease.</t>
  </si>
  <si>
    <t>(Hernâ”œÃ­ndez-Guerrero I.A.; Cervantes-Vâ”œÃ­zquez D.A.) (umf) (Vâ”œÃ­zquez-Martâ”œÂ¡nez V.H.) (Guzmâ”œÃ­n-Lâ”œâ”‚pez F., felipe.guzman@imss.gob.mx) (Ochoa-Jimâ”œâŒnez L.G.) Elsevier Espana S.L.; ID: 2025</t>
  </si>
  <si>
    <t>1405-8871</t>
  </si>
  <si>
    <t>20160804788 PUI L612967502</t>
  </si>
  <si>
    <t>10.1016/S1405-8871(16)30068-2 FULL TEXT LINK http://dx.doi.org/10.1016/S1405-8871(16)30068-2</t>
  </si>
  <si>
    <t>Social and clinical profile of patients with tuberculosis in a family medicine unit in Reynosa, Tamaulipas, Mexico ORIGINAL (NON-ENGLISH) TITLE Perfil clâ”œÂ¡nico e social dos pacientes com tuberculose em unidade de medicina de famâ”œÂ¡lia de Re(TRUNCATED)</t>
  </si>
  <si>
    <t>Herrmann,E. S.;Heil,S. H.;Sigmon,S. C.;Dunn,K. E.;Washio,Y.;Higgins,S. T.;Author,Addresses;Department of Psychology, University of,Vermont So;Prospect Street,Burlington,V.T.United States;Department of Psychiatry, University of Vermont So,Prospect Street;Burlington,V. T. U.;Correspondence,Address;SH Heil, Deparment of Psychiatry University of Vermont,So Prospect;Street,Burlington V.T.United States Email Sarah heil uvm edu</t>
  </si>
  <si>
    <t>22889696; Characterizing and improving HIV/AIDS knowledge among cocaine-dependent outpatients using modified materials</t>
  </si>
  <si>
    <t>(MAJOR FOCUS);cocaine;acquired immune deficiency syndrome (prevention);cocaine dependence (diagnosis);Human immunodeficiency virus infection (prevention);medical education;adult;article;clinical article;comparative study;controlled clinical trial;controlled study;crossover procedure;disease transmission;female;follow up;high risk behavior;human;learning;male;outcome assessment;priority journal;randomized controlled trial;reliability;risk assessment;sham procedure;cocaine (50-36-2, 53-21-4, 5937-29-1);Microbiology: Bacteriology, Mycology, Parasitology and Virology (4);Public Health, Social Medicine and Epidemiology (17);Drug Dependence, Alcohol Abuse and Alcoholism (40)</t>
  </si>
  <si>
    <t>Background: Only 56% of outpatient substance abuse treatment programs in the U.S. provide HIV/AIDS education, likely due to the time required to complete existing educational interventions. This report describes results of a third study in a series to develop a brief educational intervention to increase HIV/AIDS knowledge among cocaine-dependent outpatients. Methods: Participants (N= 90) were randomized to experimental or control conditions and completed two HIV/AIDS knowledge pre-tests with response formats modified to "true-false-don't know." Pre-test results were later compared to historical controls that completed pre-tests in their original "true-false" format. Next, participants in the experimental condition completed an HIV/AIDS educational intervention while participants in the control condition completed a sham intervention. Participants in both conditions then completed knowledge tests a second time. Participants in both conditions were subsequently crossed over, and then completed knowledge tests a third time. Post-intervention analyses were conducted using test data from all participants who completed the educational intervention (N= 56). A subset of these participants (N= 40) completed follow-up tests approximately 9. weeks after completing the educational intervention. Results: Scores on both pre-tests were lower than those observed in historical controls (p .05). Scores at follow-up remained higher than baseline scores (p&lt; .001). Conclusions: Modifying response formats to include a "don't know" option likely increases identification of baseline knowledge deficits. This brief intervention is effective at increasing HIV/AIDS knowledge among cocaine-dependent outpatients. â”¬âŒ 2012 Elsevier Ireland Ltd.</t>
  </si>
  <si>
    <t>(Herrmann E.S.; Heil S.H., Sarah.heil@uvm.edu; Sigmon S.C.; Dunn K.E.; Higgins S.T.) (Heil S.H., Sarah.heil@uvm.edu; Sigmon S.C.; Washio Y.; Higgins S.T.) Elsevier Ireland Ltd, P.O. Box 85, Limerick, Ireland.; ID: 2458</t>
  </si>
  <si>
    <t>0376-8716 1879-0046 (electronic)</t>
  </si>
  <si>
    <t>http://www.ncbi.nlm.nih.gov/pubmed/22889696</t>
  </si>
  <si>
    <t>10.1016/j.drugalcdep.2012.07.006 FULL TEXT LINK http://dx.doi.org/10.1016/j.drugalcdep.2012.07.006</t>
  </si>
  <si>
    <t>Characterizing and improving HIV/AIDS knowledge among cocaine-dependent outpatients using modified materials</t>
  </si>
  <si>
    <t>Hicks,C. F.;Ward,M. J.;Platt,S. L.;Author,Addresses;Pediatrics;Emergency Medicine,New York;Presbyterian Hospital, New York,United States;Pediatrics,Weill Cornell Medical College New York United;States;Correspondence,Address;C.F. Hicks,Pediatrics;Emergency Medicine,New,York Presbyterian;Hospital,New York United States</t>
  </si>
  <si>
    <t>Adolescents' and young adults' perceptions on their emercency care</t>
  </si>
  <si>
    <t>Pediatric emergency care</t>
  </si>
  <si>
    <t>Pediatr.Emerg.Care</t>
  </si>
  <si>
    <t>adolescent;adult;emergency medicine;pediatrics;consensus;convenience sample;education;emergency care;emergency ward;female;health;interview;juvenile;lifestyle;patient;physician;risk;sexuality;Student t test</t>
  </si>
  <si>
    <t>Purpose: Adolescents and young adults are at risk based on health and lifestyle practice. There is no national consensus on age limits for care in pediatric emergency departments (PED). This study examines youth opinions on emergency care. Methods: We conducted prospective interviews on a convenience sample of patients in a PED, age 15Y21 years, and an adult ED (AED), age 21Y25 years. Patients conveyed opinions on optimal age for transition from PED to AED, appropriateness of their assigned ED site, having a primary provider (PMD), contacting PMD prior to ED visit, ED doctor (MD) understanding psychosocial needs and addressing HEADSS (home, education, activity, depression, sexuality, substance use) topics during ED visit. Data were analyzed with SPSS for Windows (v15.0) using t-test and Uncertainty coefficients. Results: We enrolled 200 patients; 65% female, mean age 20.5 years (SD 3), mean education 12.5 years (range 6Y18), ED site 54% PED, 46% AED. Optimal age for transition to AED: mean 18.5 years (SD 2.1); bimodal peaks age 18 (49%) and 21 (20%). Only 4.5% of patients chose an age older than 21 years. Comparisons between ED sites reveal statistical differences, but may be clinically similar (Table 7). Patients identified a PMD 87% in PED vs. 68% in AED (P 3 HEADSS topics were addressed during the ED visit, and 28% reported no HEADSS assessment, similarly across ED sites. Conclusion: Adolescents and young adults consider 18 years optimal for transition to an AED and very few chose an age above 21. Patients seen in the PED more often identified a PMD, though patients at both sites rarely contacted the PMD before the ED visit. Patients perceived MDs as understanding their psychosocial needs, though ED providers rarely addressed HEADSS topics.</t>
  </si>
  <si>
    <t>(Hicks C.F.; Platt S.L.) (Ward M.J.) American Academy of Pediatrics, Section on Emergency Medicine, Scientific Abstract Presentations, AAP National Conference and Exhibition Boston, MA, United States 2008-10-10 to 2008-10-10 Lippincott Williams and Wilkins; ID: 2959</t>
  </si>
  <si>
    <t>0749-5161</t>
  </si>
  <si>
    <t>Hidalgo,J. L. T.;Pretel,F. A.;Bravo,B. N.;Rabadan,F. E.;Serrano Selva,J. P.;Latorre Postigo,J. M.;Martâ”œÂ¡nez,I. P.;Author,Addresses;Health,Care;Service of Castilla-La Mancha, Faculty of Medicine,University of;Castilla-La Mancha,Spain;Health Care Service,of Castilla;Spain;Facutly,of Medicine;of Castilla-La Mancha,Spain;Correspondence,Address;JL-T Hidalgo, Health Center Zona I V C Seminario,n Albacete;Spain Email,jesusl,sescam org</t>
  </si>
  <si>
    <t>Training medical students about hazardous drinking using simple assessment techniques</t>
  </si>
  <si>
    <t>Alcohol Use Disorders Identification Test;alcoholism (diagnosis);drinking behavior;medical education;medical student;screening test;Systematic Interview of Alcohol Consumption Questionnaire;adult;alcohol consumption;alcoholic beverage;alcoholism;article;beer;cross-sectional study;diagnostic test accuracy study;female;human;male;observational study;priority journal;questionnaire;scoring system;Spain;wine;Public Health, Social Medicine and Epidemiology (17);Drug Dependence, Alcohol Abuse and Alcoholism (40)</t>
  </si>
  <si>
    <t>Objective: To examine the ability of medical students to identify hazardous drinkersing using screening tools recommended in clinical practice. Design: Observational cross-sectional study. Setting: Faculty of Medicine of Castilla-La Mancha, Spain. Method: The medical students learnt to use Alcohol Use Disorders Identification Test (AUDIT) and Systematic Interview of Alcohol Consumption (SIAC) questionnaires. After training with these instruments, the medical students anonymously assessed their own alcohol consumption. Results: The medical students easily learnt to assess alcohol consumption using both instruments, as alcohol consumption was quantified correctly in 95.8% of cases. The questions asked by the students were referred to the questionnaires scoring procedure, quantification of the grams of alcohol consumed and conversion of grams of alcohol into standard drink units (SDUs). In total, 50.9% of men and 48.1% of women fulfilled criteria of excess alcohol consumption, and the global percentage of these drinkers corresponded to 49.5% (95% confidence interval CI]: 42.4%-56.6%). Alcohol consumption of at least 28 SDUs/week in men and 17 SDUs/week in women was detected in 16.8% of participants. Conclusion: Because of the simplicity of the instruments used to detect hazardous drinking, these can be learnt from the very first stages of medical training, thus encouraging students to initiate clinical prevention tasks, and increase their awareness of both their own and others' hazardous behaviour. â”¬âŒ The Author(s) 2013.</t>
  </si>
  <si>
    <t>(Hidalgo J.L.-T., jesusl@sescam.org; Bravo B.N.; Rabadan F.E.) (SESCAM) (Pretel F.A.; Martâ”œÂ¡nez I.P.) (Serrano Selva J.P.; Latorre Postigo J.M.) SAGE Publications Ltd, info@sagepub.co.uk; ID: 2297</t>
  </si>
  <si>
    <t>1748-8176 (electronic) 0017-8969</t>
  </si>
  <si>
    <t>2014278274 PUI L372903592</t>
  </si>
  <si>
    <t>10.1177/0017896912471050 FULL TEXT LINK http://dx.doi.org/10.1177/0017896912471050</t>
  </si>
  <si>
    <t>Hiltgen,S.;Mantelet,S.;Pinabel,F.;Enjaume,F.;Author,Addresses;Hâ”œâ”¤pital Maison-Blanche-Avron, Service du Dr,Monduit de;Caussade,rue d'Avron Paris France;Psychiatre,avenue des Gobelins Paris France;Psychiatre,rue Valentin-Haâ”œâ•y Paris France;Praticien Hospitalier, Service du Dr,Hoang C.;rue de Stalingrad, Bobigny,Cedex France;Correspondence,Address;Hiltgen, Hâ”œâ”¤pital Maison-Blanche-Avron Service du Dr Monduit de,S.;Caussade,rue d'Avron Paris France</t>
  </si>
  <si>
    <t>17099592; Retrospective study of clozapine use in Ile-de-France ORIGINAL (NON-ENGLISH) TITLE â”œÃ«tude râ”œâŒtrospective sur l'utilisation de la clozapine en â”œÃ„le-de-France</t>
  </si>
  <si>
    <t>(MAJOR FOCUS);clozapine (adverse drug reaction, drug combination, drug therapy);antidepressant agent (drug combination, drug therapy);benzodiazepine derivative (drug combination, drug therapy);mood stabilizer (drug combination, drug therapy);neuroleptic agent (drug therapy);adult;agranulocytosis (side effect);article;auditory hallucination;controlled study;demography;Diagnostic and Statistical Manual of Mental Disorders;drug efficacy;drug tolerability;drug use;drug withdrawal;epilepsy (side effect);female;follow up;France;hospitalization;human;lifespan;major clinical study;male;medical literature;mental disease;mental patient;patient assessment;patient compliance;patient monitoring;prescription;psychiatrist;questionnaire;retrospective study;schizophrenia (drug therapy);sex difference;statistical significance;suicide attempt;symptomatology;therapy effect;treatment duration;treatment indication;clozapine (5786-21-0);Psychiatry (32);Drug Literature Index (37);Adverse Reactions Titles (38)</t>
  </si>
  <si>
    <t>Introduction. Clozapine, synthesized in the sixties, is an atypical antipsychotic drug whose history has been marked by its haematological toxicity. The purpose of this study was, ten years after it had been replaced at French psychiatrists' disposal, to gather data on the prescription modalities of clozapine, assess whether some factors could affect its efficacy, and describe the population of schizophrenic patients concerned. Methodology. Psychiatrists in the Paris region were asked to answer a questionnaire about their patients treated with clozapine. The information collected was about socio-demographic data, history of psychiatric disorder and the way clozapine was used. It was a retrospective study concerning 98 patients. Results. Subjects were 57 men and 41 women, with a mean age of 38 years. The majority of patients came from metropolitan France. Patients suffered from various clinical subtypes of schizophrenia, as assessed according to DSM IV criteria. Predominant symptomatology during lifetime was most often auditory hallucinations (41%). Mean duration of lifetime neuroleptic treatment was 10.3 years and breaks in follow-up were rare. Mean number of hospitalisations was 6.9 and a little less than half of the patients had been committed involuntarily. Lastly, 38% of patients had attempted suicide at least once and 35% had expressed hetero-agressive behavior. Main indication of clozapine was resistant schizophrenia (88.5% of patients) and mean duration of treatment was 2 years and 4 months. Treatment efficacy was assessed as good or medium in 77.9% of patients, at mean doses (322 mg per day) in keeping with data from the literature. Tolerance was considered on the whole as satisfactory by half of the clinicians. Among the 98 patients of the study, 21.6% had stopped taking clozapine. The reasons for withdrawal were : inefficacy (6.2%), granulopenia (5.2%), epilepsy (1%) and 8.2% for various reasons (half of these cases being non-compliance with treatment). The study of the 5 cases of granulopenia showed that 3 patients had another associated psychotropic medication : 1 patient received only clozapine as monotherapy, 1 data was missing. Two thirds of all patients were receiving another psychotropic drug in association with clozapine, mainly benzodiazepines (18.4%), antidepressants (15.3%) or mood stabilizers (7.1%). The â”¬Â½ therapeutic efficacy â”¬â•— variable was compared with some variables in order to isolate factors possibly associated with a better efficacy of clozapine or, on the contrary, with a population of patients poorly responding to treatment. However, no statistically significant difference appeared according to the variables studied, such as gender or lifetime duration of neuroleptic treatment. Moreover, there was no statistically significant difference in efficacy according to schizophrenia subtype, main symptomatology during the course of illness or substance abuse. We studied whether any factor could affect the occurrence of granulopenia. No statistically significant difference was found. The mean age of patients having stopped the treatment because of granulopenia was higher than in the group with other reasons for interruption, but did not reach statistical significance. A trend also appeared towards female predominance (60% of women in the granulopenia group) and 3/4 of patients who had stopped their treatment because of agranulocytosis received another psychotropic drug in association with clozapine. Conclusion. As expected, the main indication for prescribing clozapine was resistant schizophrenia, but contrary to data from the international literature, the efficacy profile was the same whatever the clinical subtype of schizophrenia. The tolerance to clozapine was considered on the whole as satisfactory, but the high proportion of granulopenias leading to treatment withdrawal (5.2% of patients) confirms the need to remain cautious and stresses the importance of regular haematological monitoring. Furthermore, the study of the prescription modalities of clozapine shows that contrary to the guidelines, clozapine is often associated with other psychotropic drugs. In this study, it is striking to note that 75% of granulopenias occured in a coprescription situation.</t>
  </si>
  <si>
    <t>(Hiltgen S.) (Mantelet S.) (Pinabel F.) (Enjaume F.) Elsevier Masson SAS, 62 rue Camille Desmoulins, Issy les Moulineaux Cedex, France.; ID: 3084</t>
  </si>
  <si>
    <t>http://www.ncbi.nlm.nih.gov/pubmed/17099592</t>
  </si>
  <si>
    <t>Retrospective study of clozapine use in Ile-de-France ORIGINAL (NON-ENGLISH) TITLE â”œÃ«tude râ”œâŒtrospective sur l'utilisation de la clozapine en â”œÃ„le-de-France</t>
  </si>
  <si>
    <t>Hines,J.;Deja,E.;Black,E. P.;Author,Addresses;University of Kentucky, College of,Pharmacy Lexington;United,States;Correspondence,Address;EP Black, University of Kentucky College of,Pharmacy S.;Rm,Lexington United States Email Penni Black uky edu</t>
  </si>
  <si>
    <t>Student pharmacist perceptions of participation in hands-on naloxone counseling</t>
  </si>
  <si>
    <t>Currents in Pharmacy Teaching and Learning (2018).Date of Publication: 2018</t>
  </si>
  <si>
    <t>(MAJOR FOCUS);naloxone;opiate;certification;counseling;opiate addiction;perception;pharmacy student;adult;article;clinical article;comfort;drug overdose;education;epidemic;female;gauge;human;institutional review;Kentucky;male;plague;public health service;skill</t>
  </si>
  <si>
    <t>Background and purpose: Opioid overdose is a leading cause of death across the United States. Rho Chi Pharmacy Honor Society students at the University of Kentucky initiated a project to provide fellow students a volunteer opportunity to educate at-risk patients about naloxone using a physician-approved protocol. The goal was to improve student counseling skills by allowing them to apply knowledge learned during didactic and simulated training. Educational activity and setting: Third and fourth year pharmacy students at the University of Kentucky voluntarily provided opioid overdose and naloxone counseling to patients at the health department and other locations. Students who counseled at the health department were asked to complete an Institutional Review Board (IRB)-approved, anonymous, electronic survey at the end to gauge their perceptions of the experience. Findings: Thirty-five of forty-five participating students responded to the survey, indicating a 78% response rate. The results suggested that student comfort with naloxone counseling increased after real-world counseling, compared with their perceived comfort levels entering the experience. The majority of the respondents (77%, n = 27) reported a change in their personal views on drug addiction and the associated patient population. Ninety-one percent (n = 32) of students plan to pursue certification to dispense naloxone as part of their future pharmacy practice. Most (94%, n = 33) perceived the counseling experience as practical application of their didactic education. Discussion and conclusions: As opioid addiction and accidental overdose plagues the nation, pharmacists are prepared to lead the battle against this disease. Pharmacy education and hands-on opportunities provide students with the practical knowledge and skills necessary to have impact on their patients and the opioid epidemic.</t>
  </si>
  <si>
    <t>(Hines J., Julie.Hines@uky.edu; Deja E., Erin.Deja@uky.edu; Black E.P., Penni.Black@uky.edu) Elsevier Inc., usjcs@elsevier.com; ID: 1752</t>
  </si>
  <si>
    <t>1877-1300 (electronic) 1877-1297</t>
  </si>
  <si>
    <t>20180259444 PUI L2000633062</t>
  </si>
  <si>
    <t>10.1016/j.cptl.2018.03.002 FULL TEXT LINK http://dx.doi.org/10.1016/j.cptl.2018.03.002</t>
  </si>
  <si>
    <t>Hirsch,R.;Author,Addresses;Div of Addiction Treatment Services, North,Shore University;Hospital,Cornell University Medical College Manhasset N.Y.United States;Correspondence,Address;Hirsch, Div of Addiction Treatment Services North Shore University,R.;Hospital,Cornell University Medical College Manhasset N.Y.United States</t>
  </si>
  <si>
    <t>Clinicians' self-assessment: Questions and answers in substance abuse treatment</t>
  </si>
  <si>
    <t>(MAJOR FOCUS);alcohol;benzodiazepine derivative (drug therapy);disulfiram (drug therapy);hypnotic sedative agent;alprazolam;amphetamine derivative;barbituric acid derivative;cannabinol derivative;cocaine;diazepam;ethylene glycol;lorazepam;methadone;methanol;opiate;oxazepam;triazolam;clinical medicine;drug dependence treatment;medical education;self examination;substance abuse;addiction (diagnosis);alcohol intoxication (diagnosis, etiology);alcoholism (drug therapy, etiology);analgesia;drug control;drug detoxification;drug withdrawal;human;methadone treatment;note;priority journal;withdrawal syndrome (drug therapy);DRUG TRADE NAMES;antabuse;ativan;halcion;serax;valium;xanax;alcohol (64-17-5);alprazolam (28981-97-7);cocaine (50-36-2, 53-21-4, 5937-29-1);diazepam (439-14-5);disulfiram (97-77-8);ethylene glycol (107-21-1);lorazepam (846-49-1);methadone (1095-90-5, 125-56-4, 23142-53-2, 297-88-1, 76-99-3);methanol (67-56-1);opiate (53663-61-9, 8002-76-4, 8008-60-4);oxazepam (604-75-1);triazolam (28911-01-5);Psychiatry (32);Drug Literature Index (37);Drug Dependence, Alcohol Abuse and Alcoholism (40)</t>
  </si>
  <si>
    <t>(Hirsch R.); ID: 3584</t>
  </si>
  <si>
    <t>1994003065 PUI L24006965</t>
  </si>
  <si>
    <t>10.1016/0740-5472(93)90068-D FULL TEXT LINK http://dx.doi.org/10.1016/0740-5472(93)90068-D</t>
  </si>
  <si>
    <t>alcohol (pharmacology);disulfiram (drug therapy, pharmacology);fentanyl derivative (pharmacology);organic solvent;pethidine;phencyclidine (pharmacology);clinical education;drug dependence (drug therapy, therapy);substance abuse;aggression;alcoholism (drug therapy, therapy);detoxification;drug classification;note;self evaluation;DRUG TRADE NAMES;antabuse;demerol;alcohol (64-17-5);disulfiram (97-77-8);pethidine (28097-96-3, 50-13-5, 57-42-1);phencyclidine (77-10-1, 956-90-1);Public Health, Social Medicine and Epidemiology (17);Drug Literature Index (37);Drug Dependence, Alcohol Abuse and Alcoholism (40)</t>
  </si>
  <si>
    <t>(Hirsch R.); ID: 3593</t>
  </si>
  <si>
    <t>1993297104 PUI L23297090</t>
  </si>
  <si>
    <t>10.1016/0740-5472(93)90016-U FULL TEXT LINK http://dx.doi.org/10.1016/0740-5472(93)90016-U</t>
  </si>
  <si>
    <t>Ho,C.;Preston,C.;Fredericks,K.;Doorley,S.;Author,Addresses;Valley Homeless,Healthcare;Program,San Jose United States;Correspondence,Address;Ho, Valley Homeless Healthcare Program San Jose United States,C.</t>
  </si>
  <si>
    <t>Treating hepatitis c in the homeless: A model that works</t>
  </si>
  <si>
    <t>S558</t>
  </si>
  <si>
    <t>hepatitis C;internal medicine;model;society;addiction;general practitioner;genotype;group therapy;health care;health care access;Hepatitis C virus;hospital;human;infection;medical assessment;medical education;mental disease;monitoring;patient;patient compliance;patient education;peer group;population;prevalence;primary medical care;psychologist;self concept;side effect;substance abuse;United States;vulnerable population</t>
  </si>
  <si>
    <t>STATEMENT OF PROBLEM OR QUESTION: Access to Hepatitis C evaluation and treatment is often limited in patients with a history of mental illness, addiction, and/or unstable living conditions. DESCRIPTION OF PROGRAM/INTERVENTION: The Valley Homeless Healthcare Program (VHHP) is a FQHC primary care medical home in San Jose, California whose patient population has a high prevalence of infection with the Hepatitis C virus. While most of the patients with HCV desire evaluation and treatment for their infection, few qualify for treatment in a traditional specialty clinic setting because of the difficulty in co-managing mental illness, substance use disorders, while balancing unstable living conditions. At VHHP, the processes of medical evaluation, psychosocial assessment, patient education, treatment monitoring, peer support, and self-efficacy development are all conducted in a single setting of a multidisciplinary group model within primary care. Primary care physicians co-lead a weekly group visit with Psychologists for patients who are contemplating Hepatitis C treatment, currently in treatment, and who have completed treatment, all in one group together. OBJECTIVES OF PROGRAM/INTERVENTION: 1. To improve healthcare access to Hepatitis C evaluation and treatment in patients with a history of mental illness, addiction, and/or unstable living conditions. 2. To streamline processes in HCV treatment of patient education, medical evaluation, psychosocial assessment, and treatment monitoring into a weekly multi-disciplinary group clinic. 3. To achieve outcomes of HCV treatment compliance rates and viral response rates in a socially vulnerable population that rival published standards. FINDINGS TO DATE: A total of 28 patients have undergone treatment through this multidisciplinary group treatment model. 4 patients stopped treatment early due to intolerable side effects. 10 out of 18 (55%) patients with HCV Genotype 1 achieved a sustained viral response, or clearance of the Hepatitis C virus at 6 months compared with the published standard of approximately 50%. 8 out of 10 patients (80%) with Genotypes 2 or 3 achieved a sustained viral response, compared with 70-80% nationally. KEY LESSONS LEARNED: Patients with a history of mental illness, substance use disorders, and unstable living conditions can be successfully treated for Hepatitis C within the primary care context of a multidisciplinary group clinic model, with treatment completion rates and sustained viral response rates that rival published literature rates.</t>
  </si>
  <si>
    <t>(Ho C.; Preston C.; Fredericks K.; Doorley S.) 34th Annual Meeting of the Society of General Internal Medicine Phoenix, AZ, United States 2011-05-04 to 2011-05-07 Springer New York; ID: 2690</t>
  </si>
  <si>
    <t>Hoffmann,T.;Voigt,K.;Schliâ”œÆ’ke,L.;Riemenschneider,H.;Bergmann,A.;Kugler,J.;Author,Addresses;Medizinische Fakultâ”œÃ±t, T. U. Dresden;Gesundheitswissenschaften,Public Health Fetscherstraâ”œÆ’e Dresden;Germany;Correspondence,Address;Dresden Gesundheitswissenschaften,T.Hoffmann, Medizinische Fakultâ”œÃ±t T.U.;Public Health,Fetscherstraâ”œÆ’e,Dresden Germany</t>
  </si>
  <si>
    <t>How fit are medical students from Dresden to treat alcohol-related disorders? ORIGINAL (NON-ENGLISH) TITLE Wie fit fâ”œâ•hlen sich Dresdner Medizinstudierende, alkoholbezogene Stâ”œâ•¢rungen behandeln zu kâ”œâ•¢nnen?</t>
  </si>
  <si>
    <t>alcoholism;medical education;alcohol consumption;article;cross-sectional study;education program;Germany;human;knowledge management;medical school;medical student;Public Health, Social Medicine and Epidemiology (17);Psychiatry (32)</t>
  </si>
  <si>
    <t>Background: The prevalence of alcohol dependency in Germany is high. Data indicate a lack of quality of care for the respective poulation. A survey of medical students of the 10th semester at the Medical Faculty of the Technical University of Dresden (TUD) should cover the achieved degree of competence to effectively care for alcohol-related disorders in their later work as doctors. Methods: This cross-sectional study is based on a paper - and - pen survey of medical students of the 10th semester at the Medical Faculty of the TUD in July-2013. The data were analysed descriptively using crosstabs. For the analysis of group differences or correlations the Mann-Whitney U-test or chi-square test was used. For the risk classification of amounts of alcohol consumed, the classification scheme of the German Centre for Addiction questions was used. Results: 11.3 % of the medical students feel "adequately trained and educated" while more than 60 % feel inadequately prepared to work with alcoholic patients. 77.1 % wanted to be better informed and trained on alcohol- related disorders as part of their medical studies. The analysis by risk groups of students in terms of their alcohol consumption did not reveal any significant differences in answering the various competence items. Conclusions: The results indicate deficits in training alcohol-related disorders. The self-perceived level of knowledge is inadequate; the scope of theoretical and practical training however, is assessed as insufficient. In view of its significance the clinical picture of alcohol-related disorders should be included in the curricula of education and become a rule-based part of the tests.</t>
  </si>
  <si>
    <t>(Hoffmann T., alphabetisierer@me.com; Voigt K.; Schliâ”œÆ’ke L.; Riemenschneider H.; Bergmann A.; Kugler J.) Deutscher Arzte-Verlag GmbH, Dieselstrasse 2 (Postfach 0254), Cologne, Germany. verlag@aerzteblatt.de; ID: 2155</t>
  </si>
  <si>
    <t>1439-9229 (electronic) 0937-6801</t>
  </si>
  <si>
    <t>2015347470 PUI L605873721</t>
  </si>
  <si>
    <t>10.3238/zfa.2015.0315-0320 FULL TEXT LINK http://dx.doi.org/10.3238/zfa.2015.0315-0320</t>
  </si>
  <si>
    <t>Holmqvist,M.;Hermansson,U.;Nilsen,P.;Author,Addresses;Linkâ”œâ•¢ping University,Department;of,Medical;Health Sciences,Linkâ”œâ•¢ping Sweden;Swedish National Institute of,Public Health;Sweden;Department of,Medical;Health,Sciences;Division,of Social;Public,Health Science</t>
  </si>
  <si>
    <t>18715842; Towards increased alcohol intervention activity in Swedish occupational health services</t>
  </si>
  <si>
    <t>International journal of occupational medicine and environmental health</t>
  </si>
  <si>
    <t>Int.J.Occup.Med.Environ.Health</t>
  </si>
  <si>
    <t>alcohol;alcohol consumption;health education;medical education;occupational health service;article;drinking behavior;health care personnel;lifestyle;patient counseling;questionnaire;risk factor;Sweden;alcohol (64-17-5);Public Health, Social Medicine and Epidemiology (17)</t>
  </si>
  <si>
    <t>Objectives: To investigate the extent to which Swedish occupational physicians and nurses discuss alcohol issues with their patients, their reasons for and against addressing these issues, their amount of education in handling risky drinking, and factors that they believe could facilitate increased alcohol intervention activity in OHS. Methods: All Swedish physicians and nurses in OHS were surveyed with a postal questionnaire. The questionnaire was returned by 313 physicians (response rate 54%) and 759 nurses (response rate 69%). Results: As much as 70% of the physicians and 85% of the nurses reported that they "frequently" discussed alcohol problems with their patients. The majority of both physicians (81%) and nurses (69%) admitted participating in a maximum of a half-day training in handling risky drinking. Among the physicians, the most common reason for asking patients about their alcohol consumption was the clinical relevance (57%). Seventy-three per cent of the nurses initiated discussions about alcohol on the basis of questionnaire responses. Both the physicians (72%) and nurses (90%) said that the knowledge about counselling techniques to use when alcohol-related symptoms are evident was the most important facilitator to increased intervention activity. Conclusions: OHS professionals usually discuss alcohol-related issues with their patients. Nonetheless, they are interested in gaining further education and knowledge in this respect. The study results indicate that OHS is an important setting for alcohol prevention.</t>
  </si>
  <si>
    <t>(Holmqvist M., mahol@ihs.liu.se; Nilsen P.) (Hermansson U.) (Holmqvist M., mahol@ihs.liu.se) Nofer Institute of Occupational Medicine; ID: 3007</t>
  </si>
  <si>
    <t>1232-1087</t>
  </si>
  <si>
    <t>http://www.ncbi.nlm.nih.gov/pubmed/18715842</t>
  </si>
  <si>
    <t>10.2478/v10001-008-0012-1 FULL TEXT LINK http://dx.doi.org/10.2478/v10001-008-0012-1</t>
  </si>
  <si>
    <t>Towards increased alcohol intervention activity in Swedish occupational health services</t>
  </si>
  <si>
    <t>Hoot,E. C.;Franko,T. S.;Trombetta,D. P.;Author,Addresses;Wilkes University,United States;Correspondence,Address;EC Hoot, Wilkes University,United States</t>
  </si>
  <si>
    <t>Robin williams, the dalai lama and rehab: An innovative approach to psychosocial education in pharmacy</t>
  </si>
  <si>
    <t>education;Lama;nonhuman;pharmacy school;cognitive behavioral therapy;counseling;doctor patient relation;drug dependence;exercise;human;learning;major clinical study;mental health;mindfulness;narcotics anonymous;patient care;pharmacy student;skill;United States</t>
  </si>
  <si>
    <t>Innovative Practices. Background: In the United States, 44 million and 20 million adults suffer froma mental illness or a substance use disorder, respectively. Education regarding these illnesses in pharmacy school focuses in pharmacotherapeutics with minimal discussion regarding psychotherapies or psychosocial impacts. Counseling skills taught in pharmacy school do not prepare students to interact with emotional patients. As future pharmacists, students will be interacting with this patient population in most practice settings and would benefit from more emphasis on these topics in order to form more therapeutic relationships with patients. Description of innovative practices: These activities were incorporated into an elective class consisting of 29 fourth and fifth year pharmacy students. During two classes an hour and a half in duration, students participated in improvisational exercises used to improvefocus, identify emotions, and react positively to negative circumstances. Students were led through an active discussion regarding cognitive behavioral therapy (CBT), watched a shortened CBT session, and were led through a mindfulness session. Students then reflected on their experience in class. Students also attended a local Narcotics Anonymous (NA) meeting. Students then reflected ontheir experiences in class and at the meeting. Impact on patient care: As indicated in reflections, students felt more confident in their ability to handle emotional patients and indicated are as where they could use the techniques learned in their current internships. They also indicated feeling like they can ''connect'' more with mental health patients after learning about different therapies. Reflections were over whel mingly positive for the NA meeting. Students saw this as an ''eye opening'' experience and had a new found appreciation for substance use disorders as an illness. Conclusion: Patients with mental health and substance use disorders are a large population in the United States and there is a high likelihood that pharmacists interact with these patients on a daily basis. Providing students with the education needed to react appropriately to emotions, understand other treatments, and appreciate the psychosocial impact can enhance the treatment of mental health patients and improve the patient-pharmacist relationship.</t>
  </si>
  <si>
    <t>(Hoot E.C.; Franko T.S.; Trombetta D.P.) 19th Annual Meeting of the College of Psychiatric and Neurologic Pharmacists, CPNP Colorado Springs, CO, United States 2016-04-17 to 2016-04-20 SAGE Publications Inc.; ID: 1945</t>
  </si>
  <si>
    <t>10.1177/0897190016645328 FULL TEXT LINK http://dx.doi.org/10.1177/0897190016645328</t>
  </si>
  <si>
    <t>Horien,C.;Author,Addresses;Yale School of Medicine,,M.D.PhD Program;New Haven,United States;Correspondence,Address;PhD Program New Haven United States,C.Horien, Yale School of Medicine M.D.;Email,corey horien yale edu</t>
  </si>
  <si>
    <t>A career in addiction medicine: An interview with patrick G. OÎ“Ã‡Ã–Connor, MD, MPH, FACP</t>
  </si>
  <si>
    <t>Yale Journal of Biology and Medicine</t>
  </si>
  <si>
    <t>Yale J.Biol.Med.</t>
  </si>
  <si>
    <t>buprenorphine (clinical trial, drug therapy);diamorphine;methadone (drug therapy);naltrexone (drug therapy);opiate (drug therapy);addiction medicine;alcoholism (drug therapy);detoxification;disease transmission;drug approval;drug efficacy;health care policy;health service;human;Human immunodeficiency virus infection;medical education;medical practice;medical research;methadone treatment;note;opiate addiction (drug therapy);pain (drug therapy);pain assessment;patient care;primary medical care;substance abuse;buprenorphine (52485-79-7, 53152-21-9);diamorphine (1502-95-0, 561-27-3);methadone (1095-90-5, 125-56-4, 23142-53-2, 297-88-1, 76-99-3);naltrexone (16590-41-3, 16676-29-2);opiate (53663-61-9, 8002-76-4, 8008-60-4);Public Health, Social Medicine and Epidemiology (17);Drug Literature Index (37);Drug Dependence, Alcohol Abuse and Alcoholism (40)</t>
  </si>
  <si>
    <t>(Horien C., corey.horien@yale.edu) Yale Journal of Biology and Medicine Inc.; ID: 1730</t>
  </si>
  <si>
    <t>0044-0086</t>
  </si>
  <si>
    <t>20180245413 PUI L621543294</t>
  </si>
  <si>
    <t>Horn,W. R.;Author,Addresses;Suchtbeauftragter des,Berufsverbandes;der Kinder-,und Jugend;Igelbachstraâ”œÆ’e,Gernsbach;Germany;Correspondence,Address;W-R Horn, Igelbachstraâ”œÆ’e Gernsbach,Germany Email;wolf r.horn@t,online de</t>
  </si>
  <si>
    <t>Cannabis smoking in adolescence and its consequences ORIGINAL (NON-ENGLISH) TITLE â”¬â•—Kiffenâ”¬Â½ bei Jugendlichen und die Folgen</t>
  </si>
  <si>
    <t>Padiatrische Praxis</t>
  </si>
  <si>
    <t>(MAJOR FOCUS);cannabis (drug toxicity);illicit drug (drug toxicity);psychotropic agent (drug toxicity);recreational drug (drug toxicity);adolescence;cannabis smoking;academic achievement;article;cannabis addiction (complication, prevention);child psychiatry;comorbidity;conduct disorder (complication, prevention);criminal law;dose response;drug misuse;health hazard;human;mood disorder (complication, prevention);patient counseling;pediatrician;prediction;preventive health service;professional secrecy;psychosis (complication, prevention);psychosocial disorder (complication, prevention);rehabilitation center;risk management;socioeconomics;cannabis (8001-45-4, 8063-14-7);Public Health, Social Medicine and Epidemiology (17);Psychiatry (32);Drug Dependence, Alcohol Abuse and Alcoholism (40);Toxicology (52)</t>
  </si>
  <si>
    <t>Most licit and illicit psychoactive substances can be deleterious to young people's health, mainly in early and mid adolescence. Although the majority of recreational and occasional users do not suffer from any long-lasting adverse effects, frequent use of high cannabis doses may particularly result in psychosocial harms (dependence, educational underachievement and psychosis in vulnerable persons). Predictors of cannabis misuse and dependence are early conduct disorder, school problems, mood disorders and poor individual and family resources. Prevention, counselling and treatment efforts should focus on these areas of risk. Paediatricians interested and educated in adolescent substance use issues might be contacted first by youth in need, assuring them of confidentiality, and possibly transfer to drug-advice centres or, in case of comorbidity to child and adolescent psychiatrists. Decriminalising cannabis use would probably not increase consumption rates, but save social costs and make the access to support systems easier.</t>
  </si>
  <si>
    <t>(Horn W.-R., wolf-r.horn@t-online.de) Hans Marseille Verlag GmbH, P.O. Box 22 13 41, Munchen, Germany.; ID: 3038</t>
  </si>
  <si>
    <t>0030-9346</t>
  </si>
  <si>
    <t>2007321608 PUI L47019338</t>
  </si>
  <si>
    <t>Hrubâ”œÃ­,D.;Slezâ”œÃ­k,R.;Author,Addresses;Department of,Preventive Medicine;Masaryk University,Brno,Czech Republic;Correspondence,Address;Hrubâ”œÃ­, Department of Preventive Medicine Medical Faculty Masaryk,D.;University,Brno Czech Republic</t>
  </si>
  <si>
    <t>14725652; Antismoking education in Czech medical and dental faculties</t>
  </si>
  <si>
    <t>European journal of dental education : official journal of the Association for Dental Education in Europe</t>
  </si>
  <si>
    <t>8 Suppl 4</t>
  </si>
  <si>
    <t>dental education;medical education;medical school;smoking (prevention);article;attitude to health;curriculum;Czech Republic;female;human;male;methodology;smoking cessation;teaching</t>
  </si>
  <si>
    <t>Smoking education has been included in the curricula in all the medical faculties of the Czech Republic, although the scope of the education varies. At each of the faculties, a member of the staff has been appointed as co-ordinator of smoking education. These coordinators promote a sharing of experience and distribution of teaching materials. At the majority of faculties, obligatory workshops are held for all students to learn about smoking and smoking treatment within the framework of preventive medicine. In addition, selected students undertake selected studies on smoking and health as part of their research. At the Medical Faculty of Masaryk University, Brno, smoking education is included in the majority of theoretical and clinical subjects and its effectiveness is repeatedly assessed during the 6-year course study by testing the students' knowledge and smoking behaviour. The evaluation provides a basis for further modification and improvement of the education. Currently, a fundamental transformation of dental education is being undertaken in all medical faculties of the Czech Republic. These new curricula will benefit from the curriculum of the Medical Faculty, at Hradec Krâ”œÃ­lovâ”œâŒ, where the changes that were made 5 years ago involve theoretical and practical education in the risks of smoking for oral health throughout the 5-year stomatology courses. Postgraduate medical education involves professional 2-day seminars for general practitioners on approaches to smoking cessation and smoking dependence treatment, and professional materials such as smoking cessation guidelines are published in medical and specialist journals.</t>
  </si>
  <si>
    <t>(Hrubâ”œÃ­ D.; Slezâ”œÃ­k R.); ID: 3245</t>
  </si>
  <si>
    <t>1396-5883</t>
  </si>
  <si>
    <t>http://www.ncbi.nlm.nih.gov/pubmed/14725652</t>
  </si>
  <si>
    <t>Antismoking education in Czech medical and dental faculties</t>
  </si>
  <si>
    <t>Hruba,D.;Kachlik,P.;Author,Addresses;Department of,Preventive Medicine;Masaryk University,Brno,Czech Republic;Correspondence,Address;Hruba, Department of Preventive Medicine Medical Faculty Masaryk,D.;University,Brno Czech Republic</t>
  </si>
  <si>
    <t>Teaching medical students about smoking: Evaluation of the effects of a 7-year-period of education</t>
  </si>
  <si>
    <t>Scripta Medica Facultatis Medicae Universitatis Brunensis Masarykianae</t>
  </si>
  <si>
    <t>medical education;smoking;adult;article;attitude;behavior;Czech Republic;human;medical student;normal human;perception;tobacco;Public Health, Social Medicine and Epidemiology (17)</t>
  </si>
  <si>
    <t>In this study we have found that teaching medical students about smoking-related diseases, and influencing their opinions and attitudes towards anti-smoking activities does result in an increase in knowledge as well as changes in students perception about their present and future behaviour. Our results show that teaching about tobacco and health has been accepted by the majority of staff members in many departments and clinics of the Medical Faculty, Masaryk University that are attended by students during their first four years of study. These educational approaches are supported by the creation of non-smoking environment in both the theoretical departments and hospitals in Brno.</t>
  </si>
  <si>
    <t>(Hruba D.; Kachlik P.); ID: 3434</t>
  </si>
  <si>
    <t>1211-3395</t>
  </si>
  <si>
    <t>1999009030 PUI L29012032</t>
  </si>
  <si>
    <t>Hsiung,R. C.;Author,Addresses;University of Chicago, South University,Avenue Chicago</t>
  </si>
  <si>
    <t>The best of both worlds: An online self-help group hosted by a mental health professional</t>
  </si>
  <si>
    <t>Cyberpsychology and Behavior</t>
  </si>
  <si>
    <t>mental health service;article;health care access;health care availability;health care delivery;health education;human;information;Internet;leadership;mental health;psychiatrist;self help;support group;Public Health, Social Medicine and Epidemiology (17);Biophysics, Bioengineering and Medical Instrumentation (27);Psychiatry (32);Health Policy, Economics and Management (36)</t>
  </si>
  <si>
    <t>Online mental health groups can be classified as autonomous self-help groups or support groups led by mental health professionals. An online self-help group hosted by a mental health professional, in which the mental health professional focuses on maintaining the supportive milieu and the members of the group focus on providing the support for each other, is hypothesized to combine the best of both worlds. Psycho-Babble, a group of this type hosted by the author (http://www.dr-bob.org/babble/) serves as an example. Between January and August 2000, 1,516 members posted 21,230 messages in 3,028 discussion threads. Forty-eight percent of posters posted just once. Thirteen percent of threads consisted of only the initial post. In July 2000, 534,219 Psycho-Babble pages were served. Samples of educational and supportive posts, misinformation, "Internet addiction," help-rejecting, limit-setting, and member feedback are given. The usage statistics and the anecdotal evidence of the posts themselves support the effectiveness of the group. The hypothesized key ingredients are discussed. The asynchronous online (message board.) format is highly usable and makes the group accessible and safe. Drawbacks, however, are the potential for "multiple identities" and the technical difficulty of effectively preventing determined individuals from gaining at least temporary entry into the group. This hybrid type of group combines the best of the two worlds of self-help (empowerment) and leadership by a mental health professional (maintenance of the supportive milieu).</t>
  </si>
  <si>
    <t>(Hsiung R.C.); ID: 3378</t>
  </si>
  <si>
    <t>1094-9313</t>
  </si>
  <si>
    <t>2001028037 PUI L32057911</t>
  </si>
  <si>
    <t>10.1089/109493100452200 FULL TEXT LINK http://dx.doi.org/10.1089/109493100452200</t>
  </si>
  <si>
    <t>Hudmon,K. S.;Bardel,K.;Kroon,L. A.;Fenlon,C. M.;Corelli,R. L.;Author,Addresses;Department of,Epidemiology;and Public Health, School of Medicine Yale University,College Street;New Haven,C.T.United States;Department,of Clinical;School of Pharmacy, University of California San,Francisco C.;States;Correspondence,Address;KS Hudmon, Yale University School of Medicine Department,of Epidemiology;and Public Health, College Street New Haven,C.T.United States;Email,karen hudmon yale edu</t>
  </si>
  <si>
    <t>16036279; Tobacco education in U.S. schools of pharmacy</t>
  </si>
  <si>
    <t>Nicotine and Tobacco Research</t>
  </si>
  <si>
    <t>cigarette smoking;medical education;tobacco;article;controlled study;curriculum;education program;health survey;human;human experiment;medical school;medical student;pharmacist;pharmacy;priority journal;rating scale;smoking cessation;smoking habit;statistical analysis;statistical significance;United States;Public Health, Social Medicine and Epidemiology (17)</t>
  </si>
  <si>
    <t>This study is the first to characterize tobacco-related content in pharmacy school curricula in the United States. A national survey mailed to 83 U.S. schools of pharmacy assessed the extent to which tobacco is addressed in required coursework, educational methods of instruction, perceived importance of addressing tobacco in the doctor of pharmacy degree program, perceived adequacy of current levels of tobacco education in curricula, and perceived barriers to enhancing the tobacco-related content. A total of 82 surveys (98.8% response) revealed a median of 170 min of tobacco education throughout the doctor of pharmacy program. The most heavily emphasized topics are aids for cessation, assisting patients with quitting, nicotine pharmacology and principles of addiction, and drug interactions with smoking, yet more than 40% of respondents believed that each of these topics was covered inadequately. Key barriers to enhancing tobacco training are lack of curriculum time and lack of clinical clerkship sites focusing on tobacco interventions. Pharmacy faculty members perceive tobacco cessation training to be important, yet a mismatch exists between the perceived importance and the perceived adequacy of current levels of training in pharmacy school curricula. The results of this study will serve as a baseline measure against which future, parallel assessments will be compared as faculty at schools of pharmacy across the United States work together toward enhancing the tobacco cessation training of student pharmacists. â”¬âŒ 2005 Society for Research on Nicotine and Tobacco.</t>
  </si>
  <si>
    <t>(Hudmon K.S., karen.hudmon@yale.edu; Fenlon C.M.) (Bardel K.; Kroon L.A.; Corelli R.L.) Routledge, 4 Park Square, Milton Park, Abingdon, Oxfordshire, United Kingdom.; ID: 3183</t>
  </si>
  <si>
    <t>1462-2203 1469-994X (electronic)</t>
  </si>
  <si>
    <t>http://www.ncbi.nlm.nih.gov/pubmed/16036279</t>
  </si>
  <si>
    <t>10.1080/14622200500055392 FULL TEXT LINK http://dx.doi.org/10.1080/14622200500055392</t>
  </si>
  <si>
    <t>Tobacco education in U.S. schools of pharmacy</t>
  </si>
  <si>
    <t>Hudmon,K. S.;Mark,M.;Livin,A. L.;Corelli,R. L.;Schroeder,S. A.;Author,Addresses;Department of,Pharmacy;Practice,Purdue University College of Pharmacy Indianapolis United;States;Department of,Clinical;Pharmacy,University of California San Francisco School of Pharmacy San;Francisco,United States;American Lung Association, Springfield,United States;Department of Medicine, University of,California San;Francisco School of Medicine, San Francisco,United States;Correspondence,Address;KS Hudmon, Department of Pharmacy Practice Purdue University,College of;Pharmacy,Eskenazi Avenue Fifth Third Bank Building Indianapolis;United,States</t>
  </si>
  <si>
    <t>Tobacco Education in U.S. Respiratory Care Programs</t>
  </si>
  <si>
    <t>nicotine (drug toxicity);education program;health education;medical education;tobacco education;article;curriculum development;evidence based practice;faculty practice;health survey;human;medical student;pathophysiology;respiratory care;smoking cessation;smoking cessation program;student attitude;tobacco dependence;tobacco use;United States;nicotine (54-11-5);Chest Diseases, Thoracic Surgery and Tuberculosis (15);Public Health, Social Medicine and Epidemiology (17)</t>
  </si>
  <si>
    <t>Introduction: Exposure to tobacco smoke impacts the onset or exacerbation of most respiratory disorders, and respiratory therapists are well positioned to identify tobacco use and provide cessation assistance. The purpose of this study was to characterize the level of tobacco cessation education provided to students in U.S. respiratory care training programs. Methods: A national survey of 387 respiratory care programs assessed the extent to which tobacco is addressed in required coursework, methods of instruction, perceived importance, and adequacy of current levels of tobacco education in curricula and perceived barriers to enhancing the tobacco-related education. Results: A total of 244 surveys (63.0% response) revealed a median of 165 min (IQR, 88-283) of tobacco education throughout the degree program. Pathophysiology of tobacco-related disease (median, 45 min) is the most extensively covered content area followed by aids for cessation (median, 20 min), assisting patients with quitting (median, 15 min), and nicotine pharmacology and principles of addiction (median, 15 min). More than 40% of respondents believed that latter 3 content areas are inadequately covered in the curriculum. Key barriers to enhancing tobacco training are lack of available curriculum time, lack of faculty expertise, and lack of access to comprehensive evidence-based resources. Nearly three-fourths of the respondents expressed interest in participating in a nationwide effort to enhance tobacco cessation training. Conclusions: Similar to other disciplines, enhanced tobacco cessation education is needed in respiratory care programs to equip graduates with the knowledge and the skills necessary to treat tobacco use and dependence.</t>
  </si>
  <si>
    <t>(Hudmon K.S., khudmon@purdue.edu; Livin A.L.) (Hudmon K.S., khudmon@purdue.edu; Corelli R.L.) (Mark M.) (Schroeder S.A.) Oxford University Press, jnl.info@oup.co.uk; ID: 2286</t>
  </si>
  <si>
    <t>1469-994X (electronic) 1462-2203</t>
  </si>
  <si>
    <t>2014920176 PUI L600544516</t>
  </si>
  <si>
    <t>10.3978/j.issn.2078-6891.2014.066 FULL TEXT LINK http://dx.doi.org/10.3978/j.issn.2078-6891.2014.066</t>
  </si>
  <si>
    <t>Hudolin,V.;Bano,N.;Gabelic,I.;Author,Addresses;Psychiat Dept,Dr,M.Strojanvic Hosp;Zagreb,Croatia;Correspondence,Address;Strojanvic Hosp Zagreb Croatia,V.Hudolin, Psychiat Dept Dr M.</t>
  </si>
  <si>
    <t>Health education of patients in the field of social psychiatry, notably alcoholics</t>
  </si>
  <si>
    <t>International Journal of Social Psychiatry</t>
  </si>
  <si>
    <t>Int.J.Soc.Psychiatry</t>
  </si>
  <si>
    <t>alcoholism;health education;patient;social psychiatry;adult;Croatia;disability;drug dependence;education;geriatrics;health;male;medical service;nurse;personnel;population;prevention;prophylaxis;psychiatrist;rehabilitation;social worker;Yugoslavia</t>
  </si>
  <si>
    <t>In this paper the authors exhibit the experiences they have gained in working with alcoholics. Alcoholism, as a most important socio psychiatric problem, makes its appearance in circa 15I of adult males. Out of the total number of males presenting themselves before medical commissions for assessment of the degree of their disablement in Croatia, 15â”¬â–‘ are alcoholics. Based on these data a programme of control of alcoholism had been set up, which is based on a great number (130 in Croatia) of local programmes in which besides alcoholics members of professional teams (e.g. psychiatrist, general practioner, social worker, nurse) are included. In the framework of such a plan a systematic health education of patients and members of their families is being performed. Special attention ought to be paid to investigating on the efficiency of health education as a part of a complex health protection, on the role of individual members of the therapeutic team concerned with health education, as 11ell as on the influence of the health education of patients on the general health culture and education of personnel engaged in health education. In this way it would be feasible to obtain data on the influence of health education of patients upon the prevention of alcoholism in a general population. The authors are fully aware that the mechanisms of evaluation and scientific work ought automatically to be included into every therapeutic and rehabilitation programme in the domain of social psychiatry, and especially in the sphere of alcoholism, drug addiction and geriatry, so that special studies should be devoted to discovering the best methods of evaluation of health education.</t>
  </si>
  <si>
    <t>(Hudolin V.; Bano N.; Gabelic I.) (); ID: 3935</t>
  </si>
  <si>
    <t>0020-7640</t>
  </si>
  <si>
    <t>2008891651 PUI L293149869</t>
  </si>
  <si>
    <t>Hughes,B.;Author,Addresses;Trinity,College Dublin;Social Policy,Ireland;Correspondence,Address;Hughes, Trinity College Dublin Social Work,B.;Social Policy,Ireland</t>
  </si>
  <si>
    <t>Clinical management of compulsive sexual behavior</t>
  </si>
  <si>
    <t>Journal of Sexual Medicine</t>
  </si>
  <si>
    <t>8 SUPPL. 5</t>
  </si>
  <si>
    <t>sexual behavior;society;addiction;adult;clinical practice;compulsion;data analysis;drug dependence;education;exercise;group therapy;human;information processing;interview;music;physician;pilot study;psychiatrist;psychologist;psychotherapy;questionnaire;reading;residential care;sand;sexual health;sexuality;thematic analysis;therapy</t>
  </si>
  <si>
    <t>Objective: This research investigates the supports used by patients/ clients to self-manage their compulsive sexual behavior. Methods: A qualitative approach was used. Data collection includes pilot study, focus groups, questionnaires, and interviews involving 87 adult participants consisting of 43 treatment providers who work with this phenomenon in clinical practice and 44 individual who selfidentified with compulsive sexual behavior. Interpretative phenomenological analysis (IPA) and thematic analysis (TA) are used for data analysis. Results: The primary supports used by participants to manage their compulsive sexual behavior are psychological, medical and educational. Psychological supports include psychotherapy, residential treatment, and 12-step fellowship movements. Seventeen (39%) of the Î“Ã‡Â£addictsÎ“Ã‡Â¥ sought psychotherapy and 6 (13%) attended group therapy. Four (9%) Î“Ã‡Â£addictsÎ“Ã‡Â¥ specifically sought residential treatment for their sexual compulsion and 7 (16%) spoke about their sexual compulsion while in residential treatment for substance addictions. Twenty-four (54%) participants sought help from 12-step fellowships. Medical support is sought by 28 (48%) participants which included the medical doctor, sexual health clinician, psychiatrist and psychologist. Medical support is typically used by patients/clients with comorbid disorders, sexual disease or concurrent substance addictions. Education is the third source of support used by patients/clients. This typically involves the patient/client reading, and completing Î“Ã‡Â£homeworkÎ“Ã‡Â¥ given by treatment provider. Personal development exercises were often given by treatment providers, and these take the form of reflective journaling on sexuality and related topics. Additional educational components mainly available in residential treatment programs include art, music, and sand therapy. Conclusion: Participants require specific support to manage their sexually compulsive behavior. Supports can be delivered in a variety of settings, used in different ways as well as concurrently. The supports are most effective when used to meet the specific needs of the individual. Increased awareness and training among patients/clients and professionals will develop successful strategies for the management of compulsion sexual behavior.</t>
  </si>
  <si>
    <t>(Hughes B.) 14th Annual Congress of the European Society for Sexual Medicine Milan, Italy 2011-12-01 to 2011-12-04 Blackwell Publishing Ltd; ID: 2605</t>
  </si>
  <si>
    <t>1743-6095</t>
  </si>
  <si>
    <t>10.1111/j.1743-6109.2010.02546_3.x FULL TEXT LINK http://dx.doi.org/10.1111/j.1743-6109.2010.02546_3.x</t>
  </si>
  <si>
    <t>Hughes,G.;Author,Addresses;Emergency,Medicine Australasia;Correspondence,Address;Hughes, Emergency Medicine Australasia Australia,G.</t>
  </si>
  <si>
    <t>27878964; In this December issue</t>
  </si>
  <si>
    <t>EMA - Emergency Medicine Australasia</t>
  </si>
  <si>
    <t>(MAJOR FOCUS);paracetamol (drug toxicity);acetylcysteine (drug therapy);troponin (endogenous compound);alcohol consumption;ambulance;emergency health service;medical education;myocardial disease;skill;terminal care;adverse outcome;binge drinking;clinical protocol;continuing education;drug overdose;editorial;education program;emergency physician;health hazard;human;liver toxicity (drug therapy, prevention);priority journal;professional development;risk reduction;sweat gland disease;workshop;acetylcysteine (616-91-1);paracetamol (103-90-2);Public Health, Social Medicine and Epidemiology (17);Cardiovascular Diseases and Cardiovascular Surgery (18);Drug Literature Index (37);Gastroenterology (48);Toxicology (52)</t>
  </si>
  <si>
    <t>(Hughes G.) Blackwell Publishing; ID: 1893</t>
  </si>
  <si>
    <t>1742-6723 (electronic) 1742-6731</t>
  </si>
  <si>
    <t>http://www.ncbi.nlm.nih.gov/pubmed/27878964</t>
  </si>
  <si>
    <t>10.1111/1742-6723.12708 FULL TEXT LINK http://dx.doi.org/10.1111/1742-6723.12708</t>
  </si>
  <si>
    <t>In this December issue</t>
  </si>
  <si>
    <t>Humair,J. P.;Cornuz,J.;Author,Addresses;Policlinique,de M.;Medecine Communautaire, Hopitaux Universitaires de,Geneve Gen;Switzerland;Departement de,Medecine;Policlinique de Mâ”œâŒdecine, Inst de Med Sociale et,Preventive Avenue;du Bugnon,Lausanne Switzerland;Correspondence,Address;J-P Humair, Policlinique de Mâ”œâŒdecine Dept de,Medecine Communautaire;Hopitaux Universitaires de Geneve, Genâ”œÂ¿ve,Switzerland Email;Jean,Paul Humair hcuge ch</t>
  </si>
  <si>
    <t>Training physicians in smoking cessation: Research and education serving public health ORIGINAL (NON-ENGLISH) TITLE Formation postgraduâ”œâŒe et continue des mâ”œâŒdecins â”œÃ¡ la dâ”œâŒsaccoutumance au tabac: Description d'un programme efficace</t>
  </si>
  <si>
    <t>Medecine et hygiene</t>
  </si>
  <si>
    <t>Med.Hyg.</t>
  </si>
  <si>
    <t>smoking;clinical practice;counseling;group psychology;health education;health program;human;medical research;motivation;public health;review;skill;smoking cessation;tobacco;training;withdrawal syndrome;Public Health, Social Medicine and Epidemiology (17);Psychiatry (32);Drug Dependence, Alcohol Abuse and Alcoholism (40)</t>
  </si>
  <si>
    <t>Tobacco smoking is a major public health problem; smoking cessation is beneficial but is a difficult process through stages with increasing motivation and a withdrawal from nicotine addiction for most smokers. Physicians are ideally placed to help smokers quit as they can effectively provide counseling matching their motivation to quit and pharmacological therapy. To train physicians in smoking cessation interventions, a Swiss group developed a program based on the â”¬Â½trans-theoretical model of changeâ”¬â•— and interactive methods focusing on skills practice. A randomised controlled trial showed that this training program improved physicians' practices and patients' smoking cessation rates. A national program currently disseminates this intervention through trained physicians training their peers in their professional networks.</t>
  </si>
  <si>
    <t>(Humair J.-P., Jean-Paul.Humair@hcuge.ch) (Cornuz J., Jacques.Comuz@chuv.hospvd.ch); ID: 3257</t>
  </si>
  <si>
    <t>0025-6749</t>
  </si>
  <si>
    <t>2003400636 PUI L37210148</t>
  </si>
  <si>
    <t>Humphreys,K.;Author,Addresses;Veterans Affairs, Stanford University Medical,Centers Palo;Alto,C. A. U.;Correspondence,Address;Humphreys, Veterans Affairs Stanford University Medical Centers Palo,K.;Alto,C. A. U.</t>
  </si>
  <si>
    <t>Thomas de quincey, confessions of an english opium eater. London: Taylor and Hessey, 1822</t>
  </si>
  <si>
    <t>opiate;drug dependence;medical education;professional practice;cost benefit analysis;drug abuse;drug abuse pattern;human;opiate addiction;publication;short survey;opiate (53663-61-9, 8002-76-4, 8008-60-4);Public Health, Social Medicine and Epidemiology (17);Drug Dependence, Alcohol Abuse and Alcoholism (40)</t>
  </si>
  <si>
    <t>(Humphreys K.); ID: 3217</t>
  </si>
  <si>
    <t>2004393684 PUI L39215285</t>
  </si>
  <si>
    <t>10.1111/j.1360-0443.2004.00872.x FULL TEXT LINK http://dx.doi.org/10.1111/j.1360-0443.2004.00872.x</t>
  </si>
  <si>
    <t>Humphreys,K.;Author,Addresses;White House Office of National,Drug Control;Washington,Dc Usa;Correspondence,Address;Humphreys, White House Office of National Drug Control Policy,K.;Washington,D. C. U. S. A. E.</t>
  </si>
  <si>
    <t>22263708; Federal policy on criminal offenders who have substance use disorders: how can we maximize public health and public safety?</t>
  </si>
  <si>
    <t>addiction (rehabilitation, therapy);criminal law;offender;policy;article;human;legal aspect;organization and management;public health</t>
  </si>
  <si>
    <t>The Obama Administration is striving to promote both public health and public safety by improving the public policy response to criminal offenders who have substance use disorders. This includes supporting drug courts, evidence-based probation and parole programs, addiction treatment and re-entry programs. Scientists and clinicians in the addiction field have a critical role to play in this much-needed effort to break the cycle of addiction, crime and incarceration.</t>
  </si>
  <si>
    <t>(Humphreys K.); ID: 2555</t>
  </si>
  <si>
    <t>http://www.ncbi.nlm.nih.gov/pubmed/22263708</t>
  </si>
  <si>
    <t>10.1080/08897077.2011.616805 FULL TEXT LINK http://dx.doi.org/10.1080/08897077.2011.616805</t>
  </si>
  <si>
    <t>Federal policy on criminal offenders who have substance use disorders: how can we maximize public health and public safety?</t>
  </si>
  <si>
    <t>Hunter,R. A.;Greenberg,H. P.;Author,Addresses;Dept of Psychol Med, York,Clin Guy;Hosp,London;Correspondence,Address;RA Hunter, Dept of Psychol Med York Clin Guy's,Hosp London</t>
  </si>
  <si>
    <t>Barbiturate addiction simulating spontaneous hyperinsulinism</t>
  </si>
  <si>
    <t>(MAJOR FOCUS);barbituric acid derivative;addiction;hyperinsulinism;consultation;grain;patient;physician</t>
  </si>
  <si>
    <t>Addiction to drugs of the barbiturate class is becoming more common. Patients may come for consultation with puzzling symptoms, often of a type for which barbiturates are prescribed, and conceal from the examining physician their habitual excessive use of barbiturates. Three cases are described in which apparent spontaneous hyperinsulinism was associated with the taking of 20-30 grains of barbiturates daily.</t>
  </si>
  <si>
    <t>(Hunter R.A.; Greenberg H.P.); ID: 3981</t>
  </si>
  <si>
    <t>2007216801 PUI L280608954</t>
  </si>
  <si>
    <t>Hurley,E.;Lembke,K.;Atkins,L.;Author,Addresses;Nps,Better Choices Better Health Sydney;Australia;Correspondence,Address;Better Choices Better Health Sydney Australia,E.Hurley, N.P.S.</t>
  </si>
  <si>
    <t>Using educational visiting to address the judicious use of opioid therapy in chronic pain</t>
  </si>
  <si>
    <t>Anaesthesia and Intensive Care</t>
  </si>
  <si>
    <t>Anaesth.Intensive Care</t>
  </si>
  <si>
    <t>(MAJOR FOCUS);opiate;chronic pain;pain;society;therapy;analgesia;anesthesist;Australia;college;general practice;human;medical specialist;New Zealand;patient;patient information;population;random sample</t>
  </si>
  <si>
    <t>Background and aims: Educational visiting, outreach or academic detailing has been shown in several studies to be an effective way to improve prescribing and increase compliance with guidelines, either alone or as part of a multi-faceted intervention1. PS partners with all the divisions and networks of general practice in Australia to provide a nationally coordinated and locally delivered educational visiting program. The aim of the program Î“Ã‡Â£Opioid therapy in chronic pain: use a planned approachÎ“Ã‡Â¥ was to emphasise the need for a structured approach to the use of opioid therapy in chronic pain where such therapy is warranted. Method: The program was delivered to 107 divisions of general practice from July 2010. NPS facilitators were up-skilled on the evidence behind the program's key messages with the aid of local pain specialists and representatives of the Australian and New Zealand College of Anaesthetists. Supplementary resources developed for the program included a pain management plan, a pain diary and a patient information leaflet on the use of opioid therapy for chronic pain. A random sample of GPs was surveyed before the program launch (intervention) and 12 months after the intervention to investigate the impact of educational visiting on their knowledge, behaviour and attitude towards the role of opioid therapy in chronic pain. Responses from those that had participated in the educational visiting program were compared to those that had not participated. Results: A total of 8589 GPs from 107 (out of 112) divisions of general practice participated in either a one-on-one educational visit or a small group case based discussion with an NPS facilitator. From analysis of the pre/post-program survey, significant changes were observed in the following areas after participation in the program: Increase in the number of GPs recommending a pain management plan to patients with chronic pain (RD=+9.2% chisquare= 6.25, P=0.0124) Increase in the number of GPs that would discuss realistic goals of opioid therapy with their patients (RD=+7.1% chisquare= 4.1, P=0.043) Increase in the number of GPs that would discuss realistic expectations of pain relief from opioid therapy with their patients (RD=+6.2% chi-square=4.29, P=0.0384) Increase in the number of GPs recommending the use of a pain diary (RD=+9.2% chi-square=5.22, P=0.0223) When the pre-survey population was compared to the postsurvey no intervention population, no change in behaviour was noted. Conclusion: Educational visiting was used to emphasise the importance of a structured approach to the use of opioid therapy in chronic pain. A number of significant changes in attitude and behaviour were noted through analysis of a pre/post-survey of random GPs.</t>
  </si>
  <si>
    <t>(Hurley E.; Lembke K.; Atkins L.) Australian Pain Society Conference 2012 Melbourne, VIC, Australia 2012-04-01 to 2012-04-04 Australian Society of Anaesthetists; ID: 2559</t>
  </si>
  <si>
    <t>Hussaini,S.;Patel,M.;Kasbekar,V.;Nandu,B.;Iqbal,J.;Author,Addresses;Bergen Regional,Medical Center;States;Saint George's University School,of Medicine;States;Correspondence,Address;Hussaini, Bergen Regional Medical Center United States,S.</t>
  </si>
  <si>
    <t>Benzodiazepine withdrawal in the poly-substance dependent pregnant patient</t>
  </si>
  <si>
    <t>(MAJOR FOCUS);benzodiazepine;benzodiazepine derivative;haloperidol;addiction;human;patient;psychiatry;agitation;diagnosis;emergency ward;female;fetus;hospitalization;medical record;Medline;mother;pregnancy;premature labor;prenatal exposure;risk;side effect;substance abuse;ward;withdrawal syndrome</t>
  </si>
  <si>
    <t>Introduction: Substance abuse inwomen of childbearing age is an issue of growing concern, especially inwomenwho become pregnant. The risk of prenatal exposure to benzodiazepines and other substances remains inconclusive. Side effects of prenatal exposure include: preterm delivery, cleft lip/palate, and placental abruption. Benzodiazepine withdrawal in pregnancy may be associated with increased suicidal tendencies and elective termination of the pregnancy. Objective: To ascertain proper management of polysubstance dependent patients undergoing benzodiazepine withdrawal during pregnancy. Methods: Patient's medical records from her emergency room visit and the admitting floor were obtained. A timeline of her hospital stay and the clinical management was compiled and the patient was contacted for completion. A comprehensive literature search was conducted using PubMed. Keywords included: â”¬Â½benzodiazepine withdrawal,â”¬â•— â”¬Â½poly-substance dependence (PSD),â”¬â•— and â”¬Â½pregnancy.â”¬â•— An analysis of the best clinical management of the pregnant patient with poly-substance dependence was performed. Case Presentation: A 30-year-old poly-substance dependent female experiencing benzodiazepine withdrawal visited the emergency department for care. Initialmanagement included haloperidol for agitation. The patient was admitted to a dual-diagnosis ward for Mental Illness/Chemical Addiction (MICA) where she learned of her pregnancy. She expressed a desire to terminate her pregnancy and left against medical advice. Conclusion: Benefits of using benzodiazepines in pregnancy to manage withdrawal symptoms outweigh the dangers of withdrawal in the mother and fetus. Further research needs to be conducted to ascertain the effect of poly-substance dependence on pregnancy and the effects of benzodiazepine withdrawal in the pregnant patient.</t>
  </si>
  <si>
    <t>(Hussaini S.; Nandu B.; Iqbal J.) (Patel M.; Kasbekar V.) 21st Annual Meeting and Symposium of the American Academy of Addiction Psychiatry, AAAP 2010 Boca Raton, FL, United States 2010-12-02 to 2010-12-05 Wiley-Blackwell; ID: 2673</t>
  </si>
  <si>
    <t>10.1111/j.1521-0391.2011.00147.x FULL TEXT LINK http://dx.doi.org/10.1111/j.1521-0391.2011.00147.x</t>
  </si>
  <si>
    <t>Hutchinson,E.;Rosenblatt,R.;Author,Addresses;University of Washington, School,of Medicine;Seattle,United States;Correspondence,Address;Hutchinson, University of Washington School of Medicine Seattle United,E.;States</t>
  </si>
  <si>
    <t>Understanding and overcoming barriers to office-based physicians' treatment of opioid addiction</t>
  </si>
  <si>
    <t>Journal of Investigative Medicine</t>
  </si>
  <si>
    <t>J.Invest.Med.</t>
  </si>
  <si>
    <t>(MAJOR FOCUS);opiate;buprenorphine;addiction;human;medical research;physician;drug therapy;education;general practitioner;government;hospital;interview;medical decision making;patient;physician attitude;private practice;psychosocial care;safety;United States</t>
  </si>
  <si>
    <t>Purpose of Study: Opioid addiction is a major problem in Washington State, however office-based treatment is in short supply. The Rural Opioid Addiction Management Program (Project ROAM) trains office-based physicians to prescribe buprenorphine, a medication-assisted opioid addiction treatment that requires a physician to obtain a Drug Enforcement Administration waiver. Project ROAM has trained 120 physicians in the last two years, yet not all have incorporated buprenorphine treatment into their practices. This study aimed to determine what proportion of trained physicians has implemented this treatment modality and to identify barriers that prevent physicians from adopting this clinical approach. Methods Used: We completed interviews with 92 Project ROAM-trained physicians (response rate = 77%) to determine demographic information, clinic characteristics, attitudes, and barriers to prescribing buprenorphine. Respondents were classified into three groups: non-waivered physicians, nonprescribing waivered physicians, and prescribing waivered physicians. Summary of Results: Most respondents reported positive attitudes toward buprenorphine, yet only 29 (31.5%) have prescribed the medication to treat opioid addiction. The majority were family physicians practicing in small safety net or private practice clinics. Prescribing was significantly associated with institutional support (p=.021) and physician confidence in the management of opioid addiction (p=.038). Time constraints, lack of patient need, resistance from practice partners, lack of specialty backup for complex problems, and lack of psychosocial support services were other major barriers cited by non-prescribing physicians. Conclusions: Less than half of Project ROAM-trained physicians have prescribed buprenorphine to treat opioid addiction. The low rate of treatment adoption is not associated with physician attitudes about the medication but may be related to barriers such as a lack of support from clinic management or a physician's lack of confidence in his/her ability to manage opioid addiction. Future efforts to increase the availability of buprenorphine treatment should continue to include physician education but also emphasize advocacy and education at the level of clinic management.</t>
  </si>
  <si>
    <t>(Hutchinson E.; Rosenblatt R.) American Federation for Medical Research Western Regional Meeting, AFMR 2013 Carmel, CA, United States 2013-01-23 to 2013-01-26 Lippincott Williams and Wilkins; ID: 2441</t>
  </si>
  <si>
    <t>1081-5589</t>
  </si>
  <si>
    <t>10.231/JIM.0b013e31827d3ac9 FULL TEXT LINK http://dx.doi.org/10.231/JIM.0b013e31827d3ac9</t>
  </si>
  <si>
    <t>Hymowitz,N.;Author,Addresses;Department,of Psychiatry;Medicine;Dentistry of New Jersey, New Jersey Medical,School South;Orange Avenue,Newark,N.J.United States;Correspondence,Address;Hymowitz, Department of Psychiatry University of Medicine,N.;Dentistry;of New Jersey, New Jersey Medical School South Orange,Avenue Newark</t>
  </si>
  <si>
    <t>Training pediatric residents for intervention on tobacco</t>
  </si>
  <si>
    <t>Current Pediatric Reviews</t>
  </si>
  <si>
    <t>pediatrics;primary medical care;residency education;tobacco;article;clinical practice;education program;human;pediatrician;practice guideline;preventive medicine;priority journal;professional development;public health service;smoking;Pediatrics and Pediatric Surgery (7);Public Health, Social Medicine and Epidemiology (17);Health Policy, Economics and Management (36)</t>
  </si>
  <si>
    <t>Tobacco use and smoke exposure are at the heart of a world-wide pandemic of tobacco-related disease and literally condemn millions of young people to a life-time of addiction and premature morbidity and mortality. In order to protect children and adolescents from the scourge of tobacco use and smoke exposure, pediatricians must be prepared to intervene for behavior change and to advocate for legislation, policy, and resources aimed at reducing tobacco use and creating a smoke-free environment. The pediatric residency training years provide important opportunities to prepare pediatricians to meet the tobacco challenge. This current review supports the efficacy of active and experiential approaches to learning in order to prepare residents in pediatric preventive cardiology, environmental and community pediatrics, and primary care to play a leadership role in protecting children and adolescents from the harm of tobacco use and exposure. With proper training, pediatric residents should be able to acquire the knowledge, skill, and confidence to address tobacco use and smoke exposure in their clinical practice. There still is much work to be done, including addressing professional norms which contribute to reluctance on the part of pediatricians and residents to go beyond ask and advise to assist and arrange as well as to address tobacco use in parents. As training to intervene becomes more accepted and integrated within the formal pediatric residency curriculum, professional norms and mores will change, and the next generation of pediatricians will be better prepared to stem the tobacco pandemic. â”¬âŒ 2011 Bentham Science Publishers Ltd.</t>
  </si>
  <si>
    <t>(Hymowitz N., hymowitz@umdnj.edu) Bentham Science Publishers B.V., P.O. Box 294, Bussum, Netherlands.; ID: 2661</t>
  </si>
  <si>
    <t>1573-3963 1875-6336 (electronic)</t>
  </si>
  <si>
    <t>2011371441 PUI L362082283</t>
  </si>
  <si>
    <t>10.2174/157339611795735549 FULL TEXT LINK http://dx.doi.org/10.2174/157339611795735549</t>
  </si>
  <si>
    <t>Hynes,K.;Cubbin,I.;Author,Addresses;Liverpool,John Moores;Merseyside,United Kingdom;Correspondence,Address;Hynes, Liverpool John Moores'University Liverpool Merseyside United,K.;Kingdom</t>
  </si>
  <si>
    <t>An audit of benzodiazepine prescribing particularly in the elderly in a PCT in North West England</t>
  </si>
  <si>
    <t>International Journal of Pharmacy Practice</t>
  </si>
  <si>
    <t>18 SUPPL. 2</t>
  </si>
  <si>
    <t>(MAJOR FOCUS);benzodiazepine;anxiolytic agent;benzodiazepine derivative;diazepam;nitrazepam;temazepam;aged;clinical audit;health care organization;United Kingdom;addiction;adverse drug reaction;anxiety;aspiration;diagnosis;education;female;insomnia;long term care;longevity;mental health;patient;patient compliance;population;prescription;risk;side effect;surgery;therapy;treatment duration</t>
  </si>
  <si>
    <t>Focal points: Î“Ã‡Ã³ Evaluation of benzodiazepine prescribing and GP adherence to local and national guidelines. Î“Ã‡Ã³ Data was collected over a population of 87,405 of whom 1006 were prescribed repeat prescriptions for benzodiazepines, and the prescribing trends were analysed. - 80% of prescriptions were for the three agents diazepam, nitrazepam and temazepam and females over the age of 60 were the largest group of patients. Î“Ã‡Ã³ The maximum figure of 1.6% of patients on continuous benzodiazepine therapy in one surgery, with an average of 1.15% across the cohort compares favourably with national averages of 2 to 7%. Introduction: When introduced in the 1950s benzodiazepines were hailed as minor tranquillizers devoid of serious side-effects.(1]) Fifty years later it is apparent that this was erroneous, particularly in prolonged use. Highly effective for short-term relief; NICE guidelines recommend a maximum of a four-week course. Long-term use raises concerns about addiction, tolerance and both physical and psychological adverse effects.(2]). Withdrawal from benzodiazepines is a difficult aspiration despite obvious improvements in physical and mental health; professional resource and patient compliance being the largest obstacles. Long-term use of benzodiazepines has been linked to a number of social issues and increased NHS costs. This work set out to capture current prescribing trends and GP adherence to both national and local guidelines with respect to this cohort of patients to provide baseline data for future initiatives. Method: The study was carried out in 13 GP surgeries caring for a population of 87,405 forming a discreet division of the Trust. The records of those patients receiving a repeat benzodiazepine prescription within the last five years were examined. Patient details such as age, sex, duration of treatment and agent were recorded and analysed. In addition, details of withdrawal/reduction attempts or alterations in the agent were also noted. The data was tabulated and interrogated with respect to national (NICE) and local guidelines, as well as comparatives with national prescribing data. Results: Diazepam was the benzodiazepine of choice for repeat prescribing accounting for 38% of all benzodiazepine prescriptions issued. Nitrazepam and temazepam were the next most popular accounting for 24% and 18% respectively. 1,006 patients (1.15% of the population) were issued a repeat benzodiazepine prescription. Females accounted for 69% of these patients and over 70% of these were above the age of sixty. Patients on repeat prescriptions ranged from 0.6% to 1.6% of the total patient number registered in each surgery, with no demonstrable links to social demographics. Indications for benzodiazepine prescribing included insomnia (23%), anxiety (21%) and depression (15%). In 16% of patients no clinical diagnosis was assigned for prescribing. Conclusions: The maximum figure of 1.6% of patients on continuous benzodiazepine therapy in one surgery, with an average of 1.15% across the cohort compares favourably with national averages (2 to 7%) although there are still a significant number of patients receiving this long term treatment. The ratio of women to men in this cohort is 3:1. This is only partially explained by differences in longevity, and factors such as willingness to seek medical help, education and socioeconomic back ground need to be further considered. Of the prescriptions issued 21% were for anxiety and 15% for depression both of which are outside NICE guidance, with the majority of these going to patients aged over 60; this presents a major risk since these patients are most likely to suffer from short- and long-term effects of benzodiazepine use.(3]) Many of these patients view tapering off as timeconsuming, low priority, costly and rather arduous; sometimes their GPs colludewith them.(1]) The lack of clinical diagnosis for 16% makes the application of an audit tool difficult and reenforced the perception that more could be done to reduce prescribing in this area; much of the reduction that has taken place has been by natural progression rather than active intervention.</t>
  </si>
  <si>
    <t>(Hynes K.; Cubbin I.) 2010 Royal Pharmaceutical Society Conference London, United Kingdom 2010-09-05 to 2010-09-06 Pharmaceutical Press; ID: 2763</t>
  </si>
  <si>
    <t>0961-7671</t>
  </si>
  <si>
    <t>10.1111/j.2042-7174.2010.tb00511.x FULL TEXT LINK http://dx.doi.org/10.1111/j.2042-7174.2010.tb00511.x</t>
  </si>
  <si>
    <t>Iliopoulou,L.;Koutras,V.;Fidi,E.;Komninou,K.;Gonta,S.;Basogianni,V.;Author,Addresses;Center,of;Addiction,Prevention;Promotion of Psychosocial,Health Schedia;Greece;University of Ioannina, Department of,Preschool Education;Ioannina,Greece;Correspondence,Address;Iliopoulou, Center of Addiction Prevention,L.;Promotion of,Psychosocial;Health Schedia,Ioannina Greece</t>
  </si>
  <si>
    <t>Factors that affect the effectiveness of teachers in implementing prevention programs</t>
  </si>
  <si>
    <t>European Child and Adolescent Psychiatry</t>
  </si>
  <si>
    <t>S292</t>
  </si>
  <si>
    <t>S293</t>
  </si>
  <si>
    <t>child;child psychiatry;health education;human;prevention;society;student;teacher;addiction;drug use;education;epidemiology;examination;health;interview;medical specialist;motivation;parent;psychopharmacology;qualitative analysis;school;social adaptation</t>
  </si>
  <si>
    <t>Introduction: The center of addiction prevention and promotion of psychosocial health Î“Ã‡Â£SchediaÎ“Ã‡Â¥ applies programs for the prevention of addictions to students of all educational levels. The main object of the programs is to enable students to develop, or reinforce basic individual and social skills, which will help them cope with difficult situations, and will change their attitudes against drug use. Objectives: The present study investigates factors that reinforce the effectiveness of programs which are implemented by teachers. Method: Prevention programs are carried out by teachers who have already been educated to apply prevention programs in groups. Their training contains seminars on health education, drug-use prevention, issues concerning drug psychopharmacology and epidemiology, and practice on experiential techniques. Teachers who finally apply prevention programs are supervised by a specialist from the Center, and they work out together both the progress, and the difficulties, or questions which arise as the program goes on. The data of the present study were collected by individual interviews taken from headmasters, teachers, and the Center's specialists. For the qualitative analysis of the interviews the approach of Î“Ã‡Â£ground theoryÎ“Ã‡Â¥ was used. Results: Analysis showed that although teachers are often considered as the most suitable to implement such programs because of their close relationship and constant contact with the students, in some cases they cannot meet the requirements of the program because: (1) they have rigid convictions about the educational techniques and their relationship with the students, (2) they usually have difficulties in applying experiential techniques, (3) there are difficulties in committing themselves to carry out a program as a whole, (4) prevention programs are not often incorporated within the school program. These problems can be minimized by: (1) Careful selection of teachers, examination of motivation, flexibility in the adoption of practices of experiential and group-centered education, personal consistency and commitment, previous training and expertise, review of participation through evaluation, (2) consistent and continuous supervision by the scientific staff of the Center, (3) integration of programs in the educational program and the school life, with parallel interventions for parents. Conclusion: Scientifically evaluated programs should include continuous training and supervision of teachers in order to be effective and to have high quality in their implementation.</t>
  </si>
  <si>
    <t>(Iliopoulou L.; Fidi E.; Komninou K.; Gonta S.; Basogianni V.) (Koutras V.) 15th International Congress of European Society for Child and Adolescent Psychiatry, ESCAP 2013 Dublin, Ireland 2013-07-06 to 2013-07-10 D. Steinkopff-Verlag; ID: 2384</t>
  </si>
  <si>
    <t>1018-8827</t>
  </si>
  <si>
    <t>10.1007/s00787-013-0423-9 FULL TEXT LINK http://dx.doi.org/10.1007/s00787-013-0423-9</t>
  </si>
  <si>
    <t>Ilonze,O. J.;Mathew,L. M.;Author,Addresses;Unity Health System, Rochester,United States;Correspondence,Address;OJ Ilonze, Unity Health System Rochester,United States</t>
  </si>
  <si>
    <t>Abdominal Aortic Aneurysm (AAA) screening compliance and correlation with smoking status documentation at an academic medical center: 5 years later where are we?</t>
  </si>
  <si>
    <t>Journal of the American College of Cardiology</t>
  </si>
  <si>
    <t>J.Am.Coll.Cardiol.</t>
  </si>
  <si>
    <t>E1191</t>
  </si>
  <si>
    <t>abdominal aortic aneurysm;cardiology;college;documentation;screening;smoking;university hospital;aortic aneurysm;death;echography;electronic medical record;imaging;male;mortality;outpatient department;patient;physician;preventive health service;primary medical care;sample size;survival;tobacco;ultrasound;United States</t>
  </si>
  <si>
    <t>Background: Aortic Aneurysms account for 15 000 deaths in the United States annually; of these, 9 000 are abdominal aortic aneurysm (AAA) - with most of these deaths occurring in men above 65 years of age. In 2005, updated guidelines by the United States Preventive Services Task Force (USPSTF) recommended a one-time screening with abdominal ultrasonography for AAA in men aged 65-75 years of age who have ever smoked. National data on compliance with AAA screening guidelines and detection rates are sparse.. Methods: Retrospective reviews of the electronic medical record (EMR) of male patients between ages of 64 and 76 years former smokers or currently active tobacco users who had been followed by their primary care physicians for a period of at least 1 year were performed in a busy outpatient clinic. The aim was to determine patients who had at least a one-time abdominal ultrasound primarily for AAA screening or any other screening modality for any other indication eg. abdominal CT with concomitant infra-aortic imaging. The likelihood of AAA screening was then compared with the likelihood of smoking status documentation. The study period was from the installation of the EMR in 2006 till August 31, 2010. Results: The fnal study sample size was 126 patients. The average rate of AAA screening was 36%. There was huge variability in rates of screening for AAA among the individual physicians with rates ranging from 0%-69%. In our study, higher rate of documentation of smoking status resulted in higher screening rates for AAA. However the highly variable trend of screening rates among individual physicians is worrying and there is need for marked improvement in documentation of smoking status and one-time AAA screening. Conclusion: Despite the glaring survival benefits of AAA screening, compliance rates remain low. Documenting smoking status among older men and increasing awareness about mortality benefits of screening are necessary first steps. Future studies and guidelines should emphasize reporting of screening compliance to maximize long term mortality benefit from this recommendation.</t>
  </si>
  <si>
    <t>(Ilonze O.J.; Mathew L.M.) 60th Annual Scientific Session of the American College of Cardiology and i2 Summit: Innovation in Intervention, ACC.11 New Orleans, LA, United States 2011-04-02 to 2011-04-05 Elsevier USA; ID: 2694</t>
  </si>
  <si>
    <t>0735-1097</t>
  </si>
  <si>
    <t>10.1016/S0735-1097(11)61191-1 FULL TEXT LINK http://dx.doi.org/10.1016/S0735-1097(11)61191-1</t>
  </si>
  <si>
    <t>Imai,H.;Konno,K.;Musashi,M.;Tamashiro,H.;Author,Addresses;Hokkaido,University School;Medicine;Correspondence,Address;Imai, Hokkaido University School of Medicine,H.</t>
  </si>
  <si>
    <t>15446672; A survey on smoking behavior in Hokkaido University School of Medicine, 2003</t>
  </si>
  <si>
    <t>Nippon kâ”¼Ã¬shâ”¼Â½ eisei zasshi] Japanese journal of public health</t>
  </si>
  <si>
    <t>administrative personnel;medical school;medical student;smoking (epidemiology);adult;article;behavior;female;human;Japan (epidemiology);male;middle aged;psychological aspect;questionnaire;smoking cessation;statistics</t>
  </si>
  <si>
    <t>OBJECTIVE: A survey was carried out to assess smoking among students, and administration and teaching staff in Hokkaido University School of Medicine in 2003. METHODS: We conducted a questionnaire survey on smoking of undergraduates, graduate students, administration personnel and teaching staff in Hokkaido University School of Medicine in February 2003. The majority of question items were targeted for all subjects while some items were addressed separately to smokers, ex-smokers and non-smokers. RESULTS AND DISCUSSION: The survey showed that 1) the smoking rate of the study subjects is lower than that of physicians, in general; 2) dependence on cigarettes among smokers is relatively low; and 3) 80% of the ex-smokers are in the maintenance stage, while 20% are in the action stage. Furthermore, 1) there was a tendency for smokers and non-smokers to be concerned with the health effects of passive smoking than that of active smoking; 2) smokers tended to ignore the unpleasant smell of cigarettes as compared with ex-smokers and non-smokers; 3) although the three groups acknowledged the health affects of smoking, they are not proactive in the promotion of anti-smoking; and 4) everyone is generally concerned with the smell of cigarettes but tended to accept it in the school of medicine. CONCLUSIONS: It is an important issue how smokers in the interested stage can move to the anti-smoking stage, and how those in the action stage shift to the maintenance stage. We have carried out anti-smoking events and campaigns on the campus based on the results of the survey and further plan to formulate a strategy for anti-smoking on the campus. The specific activities will be undertaken and the results evaluated in future.</t>
  </si>
  <si>
    <t>(Imai H.; Konno K.; Musashi M.; Tamashiro H.); ID: 3225</t>
  </si>
  <si>
    <t>http://www.ncbi.nlm.nih.gov/pubmed/15446672</t>
  </si>
  <si>
    <t>A survey on smoking behavior in Hokkaido University School of Medicine, 2003</t>
  </si>
  <si>
    <t>Inandi,T.;Caman,O. K.;Aydin,N.;Onal,A. E.;Kaypmaz,A.;Turhan,E.;Erguder,T.;Warren,W. C.;Author,Addresses;Department of Public Health, Medical,Faculty Mustafa;Kemal University,Hatay Turkey;Department of Public Health, Medical,Faculty Hacettepe;University,Ankara Turkey;Department of Public Health, Medical,Faculty Gaziantep;University,Gaziantep Turkey;Department of Public Health, Istanbul Medical,Faculty Istanbul;University,Istanbul Turkey;Department of Public Health, Cerrahpasa,Medical Faculty;Istanbul University,Istanbul Turkey;National Tobacco Control,Programme Officer;Initiative,W. H. O. C.;Centers,for Disease;Prevention,Atlanta Georgia;Usa;Correspondence,Address;Inandi, Department of Public Health Medical Faculty Mustafa Kemal,T.;University,Hatay Turkey</t>
  </si>
  <si>
    <t>24344536; Global Health Professions Student Survey--Turkey: second-hand smoke exposure and opinions of medical students on anti-tobacco law</t>
  </si>
  <si>
    <t>Central European journal of public health</t>
  </si>
  <si>
    <t>Cent.Eur.J.Public Health</t>
  </si>
  <si>
    <t>attitude;medical school;medical student;passive smoking;smoking (epidemiology);article;female;human;legal aspect;male;prevalence;psychological aspect;statistics;Turkey (republic) (epidemiology);young adult</t>
  </si>
  <si>
    <t>This study, as a part of "the Global Health Professions Student Survey" (GHPSS), aimed to assess medical students' tobacco use, exposure to second-hand tobacco smoke (SHS), and opinions as well as smoking policies at medical faculties in Turkey. The study was conducted in 2010 as a school-based survey of third-year students in 12 medical schools. GHPSS uses a standardised methodology for selecting schools (probability proportional to student enrolment size) and data processing. In total, data from 1,217 of third year medical students were analysed. Prevalence of current tobacco use among participating students was 28.5%. Exposure to SHS in the last seven days was 46.9% at home, and 42.2% in other places. Among smokers, over 7 in 10 students reported smoking on medical school premises during the past 30 days and the past year. Medical students' exposure to SHS is common and smoking on medical school premises/buildings constitutes a problem. Turkey passed an anti-tobacco law in 2008, yet enforcement of the law must be stronger. In addition, medical schools must evaluate, and likely revise their education curricula to better prepare medical students to advocate tobacco control.</t>
  </si>
  <si>
    <t>(Inandi T.; Turhan E.) (Caman O.K.) (Aydin N.) (Onal A.E.) (Kaypmaz A.) (Erguder T.) (Warren W.C.); ID: 2367</t>
  </si>
  <si>
    <t>1210-7778</t>
  </si>
  <si>
    <t>http://www.ncbi.nlm.nih.gov/pubmed/24344536</t>
  </si>
  <si>
    <t>Global Health Professions Student Survey--Turkey: second-hand smoke exposure and opinions of medical students on anti-tobacco law</t>
  </si>
  <si>
    <t>Iqbal,S. P.;Rafi,S.;Rahman,M.;Author,Addresses;Department of,Community Health;Shifa College,of Medicine;Department of Pathology, Shifa College of,Medicine Islamabad;Pakistan;Department of Medicine, Shifa College of,Medicine Islamabad;Pakistan;Correspondence,Address;Iqbal, Shifa College of Medicine Pitras Bukhari Road Sector H.,S.P.;Islamabad,Pakistan Email saimapi yahoo com</t>
  </si>
  <si>
    <t>Student seminar on smoking: A novel way to introduce different perspectives on smoking to medical students</t>
  </si>
  <si>
    <t>medical education;medical student;smoking;adult;article;counseling;creativity;evidence based medicine;female;health;human;learning;male;quasi experimental study;questionnaire;teamwork;Public Health, Social Medicine and Epidemiology (17)</t>
  </si>
  <si>
    <t>Background: The respiratory module at Shifa College of Medicine (SCM) is delivered in third year with emphasis on respiratory pathophysiology and respiratory medicine. Smoking as a topic was introduced to emphasize the preventive aspects of respiratory illnesses. An innovative approach to involve students in their learning was developed. To determine whether this innovation would be well received and effective for students' learning about smoking, we carried out this study. Materials and Methods: This is a one group post-test quasi-experiment. Two days were assigned for a smoking seminar. The class of 106 students was divided into 10 batches, and each batch was assigned a theme related to smoking. These themes were developed by the faculty, and each theme was related to a different perspective on smoking. A post-test questionnaire was distributed at the end of the seminar for feedback to see what aspects of students' learning were highlighted and what needed to be improved upon. Questions related to the usefulness of the activity were incorporated into the questionnaire and the students were asked to agree or disagree on a five-point Likert scale. Results: Most (68.3%) students agreed that this activity improved their knowledge regarding smoking, and 54.8% agreed that it also helped in application of this knowledge. Improvement in presentation and counseling skills (59.8%), evidence-based medicine (47.6%), and softer skills, such as teamwork (72%) and creativity (63.4%), were also reported to be enhanced. Conclusion: Seminars led by the students have shown to be effective in breaking the monotony and generating an interest of the topic. Such an activity serves as a small step to make our graduates more empathic, humane, competent, and skilful.</t>
  </si>
  <si>
    <t>(Iqbal S.P., saimapi@yahoo.com) (Rafi S.) (Rahman M.) Isfahan University of Medical Sciences, Hezar Jerib Avenue, P.O. Box 81745-319, Isfahan, Iran.; ID: 2414</t>
  </si>
  <si>
    <t>1735-1995 1735-7136 (electronic)</t>
  </si>
  <si>
    <t>2013181618 PUI L368561969</t>
  </si>
  <si>
    <t>Irfan,M.;Waheed,Z.;Haque,A. S.;Khan,J.;Author,Addresses;Section of,Pulmonary;Critical;Care Medicine, Department of Medicine Aga Khan,University Hospital;Karachi,Pakistan;Correspondence,Address;Irfan,Section of Pulmonary,M.;Critical,Care Medicine;Medicine,Aga Khan University Hospital Karachi Pakistan</t>
  </si>
  <si>
    <t>16 SUPPL. 2</t>
  </si>
  <si>
    <t>amfebutamone;Asian;human;nicotine replacement therapy;physician;skill;smoking cessation;society;workshop;adverse drug reaction;cardiologist;consultation;drug therapy;education;general practitioner;male;patient;questionnaire;registration;smoking;thorax;tobacco dependence</t>
  </si>
  <si>
    <t>Introduction: Physician advice to quit smoking is an effective component of a smoking cessation strategy. Previously published data clearly demonstrated that education smoking cessation skills to physicians improves physicians' smoking cessation practices and increases smoking cessation rates among their patients Objective To determine the effectiveness of smoking cessation skills building workshops in training of smoking cessation techniques to Pakistani physicians Methods Five full day smoking cessation skills building workshop have been arranged in different part of the country in which 113 physicians participated including General Practitioners (GPs) Chest Physicians, Cardiologists, Residents, and House Officers. A validated questionnaire regarding the attitude and knowledge about smoking is filled by the doctors at the registration desk before the start of the workshop. After the completion of the workshop same questionnaire was again filled by the attending doctor to record the response. Results: Total of 113 doctors attended the workshops in which 90 were males and age ranged from 22 to 61 years (mean age â”¬â–’ SD is 37 â”¬â–’ 11). Out of these 113, 33 doctors were GPs, 11 chest physicians, 11 cardiologists, 8 consultant physicians and 11 were house officers. After the workshop the physicians felt very confident about their knowledge to treat nicotine dependence 15.9% (pre-workshop) vs. 64.6% (post workshop); they (physicians) seemed very confident is discussing the smoking cessation issue with their patients 52.2% vs. 80.9% and also they themselves felt them very knowledgeable regarding pharmacotherapy 9.7% vs. 49.1%. Regarding the technical knowledge of the subject response is also favorable e.g. the 5As approach answered correctly by 17.7% vs. 69.9% in pre and post workshop respectively; regarding Nicotine Replacement Therapy correct answer given were 39.8% vs. 61.1% in pre and post workshop respectively; while regarding Bupropion adverse effects 46.9% vs. 71.1% physician gave correct answer in pre and post workshop questionnaire respectively. Conclusion: After attending one full day smoking cessation skills building workshop physician felt more confident in discussing the anti-smoking issue with their patient and their smoking cessation knowledge also increased significantly.</t>
  </si>
  <si>
    <t>(Irfan M.; Waheed Z.; Haque A.S.; Khan J.) 16th Congress of the Asian Pacific Society of Respirology Shanghai, China 2011-11-03 to 2011-11-06 Blackwell Publishing; ID: 2618</t>
  </si>
  <si>
    <t>10.1111/j.1400-1843.2011.02071.x FULL TEXT LINK http://dx.doi.org/10.1111/j.1400-1843.2011.02071.x</t>
  </si>
  <si>
    <t>Isenberg-Grzeda,E.;Chabon,B.;Nicolson,S. E.;Author,Addresses;Memorial,Sloan-Kettering;Cancer Center, Weill Cornell Medical Center Lexington Ave,th floor;New York,N.Y.United States;Montefiore Medical Center, Albert Einstein College,of Medicine;Bronx,N. Y. U.;Vanderbilt University School,of Medicine;United,States;Correspondence,Address;Isenberg-Grzeda, Memorial Sloan-Kettering Cancer Center Weill Cornell,E.;Medical Center, Lexington Ave th floor New,York N.;States Email, isenberg grzeda,gmail com</t>
  </si>
  <si>
    <t>24343128; Prescribing thiamine to inpatients with alcohol use disorders: How well are we doing?</t>
  </si>
  <si>
    <t>(MAJOR FOCUS);thiamine (drug therapy, intramuscular drug administration, intravenous drug;administration, oral drug administration, parenteral drug administration);alcoholism;alcoholism (drug therapy, drug therapy);hospital patient;adult;aged;article;controlled study;drug megadose;female;high risk patient;human;Korsakoff psychosis (complication);major clinical study;male;practice guideline;prescription;prevalence;priority journal;prophylaxis;risk factor;teaching hospital;United States;very elderly;Wernicke encephalopathy (complication);Wernicke Korsakoff syndrome (complication, drug therapy);thiamine (59-43-8, 67-03-8);Public Health, Social Medicine and Epidemiology (17);Drug Literature Index (37);Drug Dependence, Alcohol Abuse and Alcoholism (40);Neurology and Neurosurgery (8)</t>
  </si>
  <si>
    <t>Objectives: Thiamine deficiency is a potentially dangerous sequela of alcohol use disorders (AUDs). European andBritish guidelines recommend administering high-dose parenteral thiamine 3 times daily to avoid consequences of thiamine deficiency such as Wernicke-Korsakoff syndrome (WKS), and suggest that traditional thiamine dosages are likely inadequate. Research into thiamine and WKS has lagged in the United States, and to date, no study has examined how thiamine is prescribed to inpatients with AUD in an American hospital. Methods: Thiamine prescribing data (amount, route, and frequency schedule) were collected for inpatients at a large, American, teaching hospital, who were referred to the addiction psychiatry service for AUD. Data were analyzed using Statistical Product and Service Solutions. Results: A total of 217 inpatients with AUD were included. A substantial percentage of them were not prescribed thiamine. Of those who were prescribed thiamine, nearly all were prescribed oral thiamine at traditional dosages, including high-risk patients. Conclusions: This is the first study to report on the prescribing of thiamine to inpatients with AUD at an American teaching hospital. It serves to confirm what many already suspected: that more education is needed to improve the diagnostic challenges ofWKS, the detection of risk factors for WKS, and the adequate dosing of thiamine for prevention and treatment of WKS. â”¬âŒ 2014 American Society of Addiction Medicine.</t>
  </si>
  <si>
    <t>(Isenberg-Grzeda E., isenberg.grzeda@gmail.com) (Chabon B.) (Nicolson S.E.) Lippincott Williams and Wilkins, agents@lww.com; ID: 2320</t>
  </si>
  <si>
    <t>http://www.ncbi.nlm.nih.gov/pubmed/24343128</t>
  </si>
  <si>
    <t>10.1097/01.ADM.0000435320.72857.c8 FULL TEXT LINK http://dx.doi.org/10.1097/01.ADM.0000435320.72857.c8</t>
  </si>
  <si>
    <t>Prescribing thiamine to inpatients with alcohol use disorders: How well are we doing?</t>
  </si>
  <si>
    <t>Jacob,G. P.;Kulkarni,M. M.;Vibha,S. P.;Sravan,Kumar Reddy;Praharaj,S. K.;Thippeswamy,V.;Sanjeev Kumar,M.;Author,Addresses;Department of Community Medicine, Kasturba Medical,College Manipal;University,Manipal India;Department,of;Psychiatry,Kasturba Medical College Manipal University Manipal India;Correspondence,Address;MM Kulkarni, Dept of Community Medicine Kasturba,Medical College;Manipal University, Manipal India Email murali kulkarni,manipal edu</t>
  </si>
  <si>
    <t>Impact of brief educational intervention among medical students on knowledge regarding tobacco and alcohol use disorders</t>
  </si>
  <si>
    <t>Indian Journal of Public Health Research and Development</t>
  </si>
  <si>
    <t>alcoholism;medical education;medical student;tobacco dependence;adult;article;controlled study;cost effectiveness analysis;female;human;informed consent;intervention study;Likert scale;male;scoring system;structured questionnaire;Public Health, Social Medicine and Epidemiology (17);Psychiatry (32);Drug Dependence, Alcohol Abuse and Alcoholism (40)</t>
  </si>
  <si>
    <t>Background: Substance abuse is a major public health challenge across the globe. Medical professionals of all branches of medicine are very likely to encounter individuals with substance related health issues.Tobacco and alcohol use are among the leading causes of morbidity and mortality world-wide. Both these habits can be reduced by brief clinical interventions that are highly cost-effective. Objective: To assess the impact of brief educational intervention on knowledge about management of tobacco and alcohol use disorders among medical students. Methodology: This educational interventional study was conducted among third year medical students during Community Medicine postings. The session was of three hours duration carried out by faculty from Department of Community Medicine and Psychiatry as part of integrated teaching. The session had two components, initially presentation by the faculty followed by role plays by the medical students on specific scenarios. The effectiveness was assessed using a pre-tested, structured, self-administered questionnaire to assess the knowledge regarding tobacco and alcohol use disorders at baseline and after the educational intervention. Results: There was a statistically significant increase in mean scores in both knowledge (p&lt;.001) and perception regarding management of substance use (p&lt;.001) after the educational intervention as compared to baseline scores. Also, 88% of students agreed that this integrated methodology helped them to improve their skills needed to counsel patients with substance use disorders Conclusion: Educational intervention with role play by students is an effective tool to influence the knowledge regarding tobacco and alcohol use disorders. Also, integrated teaching is well appreciated by the students as effective method for teaching on substance use disorders.</t>
  </si>
  <si>
    <t>(Jacob G.P.; Kulkarni M.M., murali.kulkarni@manipal.edu; Sravan Kumar Reddy T.) (Vibha S.P.; Praharaj S.K.; Thippeswamy V.; Sanjeev Kumar M.) Indian Journal of Public Health Research and Development, Aster-06/603, Supertech Emerald Court,, Sector - 93 A, Expressway, NOIDA, UTTAR PRADESH, India.; ID: 1767</t>
  </si>
  <si>
    <t>0976-0245</t>
  </si>
  <si>
    <t>20170886468 PUI L619851613</t>
  </si>
  <si>
    <t>10.5958/0976-5506.2017.00343.6 FULL TEXT LINK http://dx.doi.org/10.5958/0976-5506.2017.00343.6</t>
  </si>
  <si>
    <t>Jain,N.;Mayahara,M.;Fox,D.;O'Mahony,S.;Author,Addresses;Rush University,Medical Center;United,States;Rush University, College of Nursing Chicago,United States;Correspondence,Address;Jain, Rush University Medical Center Chicago United States,N.</t>
  </si>
  <si>
    <t>An educational intervention for internal medicine PGY-1 residents improves knowledge in principles of pain management and opioid safety</t>
  </si>
  <si>
    <t>(MAJOR FOCUS);opiate;analgesia;internal medicine;resident;safety;clinical article;clinical trial;controlled study;curriculum;doctor patient relation;exposure;human;opiate addiction;pain assessment;patient care;pharmacokinetics;pilot study;postgraduate education;prescription;rotation;study design;vignette;opiate (53663-61-9, 8002-76-4, 8008-60-4)</t>
  </si>
  <si>
    <t>Objectives Î“Ã‡Ã³ Describe the aspects of an educational intervention that have been shown to increase knowledge in Internal Medicine residents in pain management principles and application. Î“Ã‡Ã³ Appraise the data from the pilot study and apply to the formulation of an expanded study design to assess superiority of the educational intervention over clinical experience alone and measure knowledge retention. Original Research Background. In our institution, prior research has revealed that 74% of Internal Medicine residents report no prior education in pain management, specifically opioid-prescribing, before entering post-graduate training. Despite this, Internal Medicine residents are often expected to prescribe opioids and other analgesics with varying levels of supervision. Amongst clinicians, several barriers exist in the delivery of safe and adequate pain management, including an inability to properly assess pain, knowledge deficits in pharmacology, and a lack of access to specialists. Research Objectives. 1. Measure residents' baseline understanding of pain management principles including analgesic selection, prescribing, and safety. 2. Improve these residents' knowledge and application of pain management principles. 3. Improve patient care with the appropriate prescribing of analgesics for pain and the recognition of opioid dependence and diversion. Methods. We implemented a pain management curriculum for categorical PGY-1 Internal Medicine residents from January 2016 to June 2016. The curriculum consists of didactics covering pain assessment and management and opioid safety, supplemented with clinical vignettes and practice cases highlighting analgesic selection and opioid conversions. Content knowledge is assessed pre- and post-exposure to the educational curriculum. Results. Pilot data from sixteen categorical PGY-1 residents has been collected. Content knowledge scores improved after exposure to the educational intervention (median: Pre = 6.81, Post = 8.50, n = 16, p&lt;.05 Wilcoxon matched-pairs signed rank test). The rotation was highly rated, and the content was felt to be relevant. Conclusion. Delivery of an educational curriculum targeted to address the existing knowledge deficits of Internal Medicine PGY-1 residents in pain management is feasible, highly rated, and associated with improvements in knowledge of pain management principles. Implications for research, policy or practice. Ongoing research in our section will compare residents' knowledge after an experiential rotation alone (current practice) to knowledge after implementation of an educational intervention, as well as examine retention of pain management principles in subsequent years of training.</t>
  </si>
  <si>
    <t>(Jain N.; Fox D.; O'Mahony S.) (Mayahara M.) Annual Assembly of the American Academy of Hospice and Palliative Medicine and the Hospice and Palliative Nurses Association 2017 Phoenix, AZ, United States 2017-02-22 to 2017-02-25 Elsevier Inc.; ID: 1846</t>
  </si>
  <si>
    <t>10.1016/j.jpainsymman.2016.12.301 FULL TEXT LINK http://dx.doi.org/10.1016/j.jpainsymman.2016.12.301</t>
  </si>
  <si>
    <t>James,A.;Williams,J.;Author,Addresses;Lung Health,Promotion Centre;Melbourne,Australia;Correspondence,Address;James, Lung Health Promotion Centre Alfred Hospital Melbourne,A.;Australia</t>
  </si>
  <si>
    <t>Changing the face of support for smokers in australia survey of smoking cessation facilitator course participants March 2005-March 2011</t>
  </si>
  <si>
    <t>Australia;Australia and New Zealand;human;New Zealand;smoking;smoking cessation;society;e-mail;education;follow up;funding;Haplorhini;health practitioner;health promotion;lung;medical specialist;medicare;multiple choice test;skill</t>
  </si>
  <si>
    <t>Introduction There is Level A evidence that smokers should have access to specialist smoking cessation services staffed by trained health professionals. The Lung Health Promotion Centre at The Alfred (LHPC) recognized the need for a Smoking Cessation Facilitator Course for health professionals and to address this, has conducted a course from 2005. Aim To assess the knowledge, skills and confidence of the health professionals who attended the LHPC Smoking Cessation Course from March 2005 to March 2011 and note the changes they have made to their practice as a result. Methods Of the 322 course participants, 22 were lost to follow-up. The remaining 93% (n = 300) were invited to complete an anonymous 35 question multiple choice and short answer survey via the online Survey Monkey tool. An initial email was sent incorporating the survey link, reminder emails were sent at 4 and 6 weeks. Results The survey was completed by 122 course participants, a response rate of 41%. The course significantly improved the knowledge, confidence and skills of those attending. The majority of attendees are now providing smoking education and over 50% are providing a specific service to their clients. The main barriers identified with running or commencing a service were lack of specific funding, Medicare rebate and lack of organizational support for the service nearly 100% found the ongoing email contact with the Lung Health Promotion Centre valuable. Conclusion The survey demonstrated that the LHPC Smoking Cessation Facilitator Course is effective. It improves the knowledge, confidence and skills of health professionals wanting to actively engage in smoking cessation interventions and education with their clients.</t>
  </si>
  <si>
    <t>(James A.; Williams J.) 2012 Annual Scientific Meetings of the Thoracic Society of Australia and New Zealand and the Australian and New Zealand Society of Respiratory Science Canberra, ACT, Australia 2012-03-30 to 2012-04-04 Wiley Blackwell; ID: 2567</t>
  </si>
  <si>
    <t>10.1111/j.1440-1843.2012.02143.x FULL TEXT LINK http://dx.doi.org/10.1111/j.1440-1843.2012.02143.x</t>
  </si>
  <si>
    <t>Jamison,R.;Wasan,A.;Michna,E.;Ross,E.;Chen,L.;Holcomb,C.;Edwards,R.;Author,Addresses;Brigham;Women's Hospital,Boston,United States;Correspondence,Address;Jamison,Brigham,R.;Women's Hospital,Boston,United States</t>
  </si>
  <si>
    <t>Substance abuse treatment for high risk chronic pain patients on opioid therapy</t>
  </si>
  <si>
    <t>S62</t>
  </si>
  <si>
    <t>(MAJOR FOCUS);opiate;prescription drug;chronic pain;pain;patient;risk;society;substance abuse;therapy;abuse;addiction;arm;backache;checklist;control group;counseling;drug misuse;drug use;monitoring;pain clinic;physician;prescription;questionnaire;self monitoring;self report;toxicology;urine</t>
  </si>
  <si>
    <t>Chronic pain patients who show aberrant drug-related behavior often are tapered off opioids and discharged from pain clinics when they are noncompliant with their use of opioids instead of being offered measures to improve their compliance. The purpose of this study was to conduct a randomized trial of patients prescribed opioids for noncancer back pain who showed risk potential of substance misuse to see if close monitoring and cognitive behavioral substance abuse counseling could increase overall compliance with opioids. Sixty-one patients with back pain were enrolled for this 6-month study. Patients considered to be high risk (SOAPP-R&gt;18 or history of prescription opioid misuse) were randomized to one of two treatment arms: High Risk Experimental (N = 21), and High Risk Control (N = 20). All patients were screened for active addiction disorder. Those assigned to the experimental group completed monthly urine screens, compliance checklists, and participated in individual and group sessions of motivational counseling. The group and individual sessions were designed to offer support and training for substance abuse awareness and recovery. A third group of Low-Risk Controls (N = 20) were also recruited and followed for 6 months. All patients completed pre- and post-study questionnaires and monthly electronic diaries. Outcomes consisted of the percent with a positive Aberrant Drug Behavior Index (ADBI) that consisted of self-reported drug misuse (Prescription Drug Use Questionnaire), physician-reported abuse behavior (Addiction Behavior Checklist), and abnormal urine toxicology results. Results showed that High-Risk Experimental patients showed a 20% ADBI compared with 57% in the High-Risk Control and 5% in the Low- Risk Control groups (p&lt;0.05). These preliminary results support the use of identification of substance misuse potential, frequent urine screen monitoring, self-report compliance checklists, and substance abuse motivational counseling to improve compliance of chronic pain patients at risk for prescription opioid misuse.</t>
  </si>
  <si>
    <t>(Jamison R.; Wasan A.; Michna E.; Ross E.; Chen L.; Holcomb C.; Edwards R.) 28th Annual Scientific Meeting of the American Pain Society, APS San Diego, CA, United States 2009-05-07 to 2009-05-09 Churchill Livingstone Inc.; ID: 2915</t>
  </si>
  <si>
    <t>10.1016/j.jpain.2009.01.214 FULL TEXT LINK http://dx.doi.org/10.1016/j.jpain.2009.01.214</t>
  </si>
  <si>
    <t>Janoff,S.;Coplan,P.;Perrin,N.;Campbell,C.;Shuster,E.;Ray,T.;Roberts,M.;Chilcoat,H.;Green,C.;Author,Addresses;Kaiser Permanente,Portland;United,States;Purdue Pharma,Stamford,United States;Kaiser Permanente,Oakland,United States;Correspondence,Address;Janoff, Kaiser Permanente Portland United States,S.</t>
  </si>
  <si>
    <t>Detection of opioid overdoses and poisonings in electronic medical records as compared to medical chart reviews</t>
  </si>
  <si>
    <t>e146</t>
  </si>
  <si>
    <t>e147</t>
  </si>
  <si>
    <t>(MAJOR FOCUS);opiate;analgesic agent;narcotic analgesic agent;college;drug dependence;electronic medical record;intoxication;medical record review;anesthesia;consciousness;diagnosis;hospital patient;human;International Classification of Diseases;pain;population;population risk;predictive value;prescription;respiratory distress;United States</t>
  </si>
  <si>
    <t>Aims: The study assessed the proportion of opioid overdose and poisoning (OOP) events identified by ICD diagnostic codes in electronic medical records that were true OOP events as confirmed by medical chart review (i.e., the positive predictive value of ICD codes). Accurate identification of OOP events is essential if data are to be used to assess population risk, care quality, or evaluate preventive interventions. Methods: The study population consisted of the Kaiser Permanente Northwest and Northern California memberships between August 2008 and October 2012. ICD diagnostic codes possibly indicative of overdoses were selected from published literature and putatively related ICD codes. Events identified from codes were compared to medical chart outcomes. All overdoses were included, regardless of opioid prescriptions or pain diagnosis. Two groups of opioid-specific ICD codes were assessed: (1) adverse event codes (E935.x and Y45) combined with ICD codes for overdose symptoms (e.g., altered consciousness, respiratory distress, etc.) and (2) poisoning codes (965.xx, E850.x, and X42). Results: Adverse event codes were not predictive of OOP events: only 13% were confirmed as OOP events by chart review. Poisoning codes were more predictive. Of 2045 opioid poisoning events identified by ICD codes, 382 (18.7%) had no medical chart entry and were excluded from the study. Of the remaining 1663 OOP events, 64.3% (1070) were confirmed opioid analgesic-related overdose/ poisonings (44.7% unintentional and 19.7% intentional), 14.1% (235) were OOP events associated with opioid anesthesia, 16.5% (274) were opioid adverse events but not overdose/poisonings, 4.0% (67) were miscoded, 0.5% (7) were misidentified, and 0.5% (7) were missing data. Conclusions: The ICD codes for opioid-related poisoning had a positive predictive value of 64.3% to detect opioid overdose/ poisoning events not related to inpatient opioid anesthesia, and increases to 78.5% if analgesic-related overdose/poisonings are included.</t>
  </si>
  <si>
    <t>(Janoff S.; Perrin N.; Roberts M.; Green C.) (Coplan P.; Chilcoat H.) (Campbell C.; Shuster E.; Ray T.) 2014 Annual Meeting of the College on Problems of Drug Dependence San Juan, Puerto Rico 2014-06-14 to 2014-06-19 Elsevier Ireland Ltd; ID: 2169</t>
  </si>
  <si>
    <t>10.1016/j.drugalcdep.2014.09.316 FULL TEXT LINK http://dx.doi.org/10.1016/j.drugalcdep.2014.09.316</t>
  </si>
  <si>
    <t>Javier,A.;Calata-Rosales,R.;Santos,R.;Author,Addresses;University,of Santo;Hospital,Manila Philippines;Correspondence,Address;Javier, University of Santo Tomas Hospital Manila Philippines,A.</t>
  </si>
  <si>
    <t>Behavior, knowledge, and attitude of medical students on smoking at university of santo tomas, Faculty of medicine and surgery, School year 2010- 2011: A cross-sectional survey</t>
  </si>
  <si>
    <t>140:4 MEETING ABSTRACT.</t>
  </si>
  <si>
    <t>human;medical student;school;smoking;surgery;university;adult;bladder cancer;cerebrovascular accident;chi square test;confidence interval;coronary artery disease;education;general aspects of disease;health care personnel;larynx cancer;lung cancer;medical school;mouth cancer;newborn death;patient;peripheral vascular disease;physician;questionnaire;smoking cessation;teaching;tobacco</t>
  </si>
  <si>
    <t>PURPOSE: To investigate the knowledge, attitudes and behavior of medical students enrolled in UST Faculty of Medicine and Surgery school year 2010-2011 and examine whether it changed during the course of education for each group using a cross-sectional survey approach. METHODS: Medical students (n=1256) answered a structural questionnaire adapted from Global Adult Tobacco Survey. The chi-square tests for significance were used for comparison between two categories and for trends among more than 2 categories; 95% confidence interval were given in the test when appropriate. Correlations between continuous variables were performed using Pearson product correlations. RESULTS: A total of 1300 medical students surveyed, 1256 returned a completed, legible survey. Among the medical students surveyed, 477 (38%) were first year, 220 (17.5%) were second year, 197 (15.7%) were third year, 296 (23.6) were fourth year and 66 (5.3%) were interns. Out of 1256 medical students surveyed, 168 (13.3%) are current smokers. More than 90% of medical students think that smoking can cause serious illness such as stroke, coronary disease, peripheral vascular disease, lung cancer, COPD, oral cancer, laryngeal cancer and neonatal death. However, it is very alarming that only 67% of them think that smoking can cause bladder cancer. More than 90% of medical students also believe that doctors should set a good example to patients by not smoking, that there should be teaching program/lectures for tobacco and cessation techniques in medical schools. When asked if they have enough knowledge to counsel patients on smoking cessation, only 82.2% agree that they have enough knowledge to do it. CONCLUSIONS: This survey showed that 369 (29.3%) of medical students, the future physicians are smokers or have had smoked tobacco during their years in medical school. there is a significant difference about their knowledge But there was an overall increase in knowledge in terms of year level by answering Î“Ã‡Â£yes Î“Ã‡Â¥ more than Î“Ã‡Â£no Î“Ã‡Â¥ and Î“Ã‡Â£I don't know Î“Ã‡Â¥. This clearly showed that educational interventions could lead to significant changes in knowledge among medical students. there is a positive attitude about doctors should set a good example to patients by not smoking and there should be teaching program/lectures for tobacco and cessation techniques in medical schools. CLINICAL IMPLICATIONS: It is very alarming that not all our medical students, our future health care provider have not enough knowledge and with negative attitudes towards smoking.</t>
  </si>
  <si>
    <t>(Javier A.; Calata-Rosales R.A.; Santos R.) CHEST 2011 Honolulu, HI, United States 2011-10-22 to 2011-10-26 American College of Chest Physicians; ID: 2635</t>
  </si>
  <si>
    <t>10.1378/chest.1119832 FULL TEXT LINK http://dx.doi.org/10.1378/chest.1119832</t>
  </si>
  <si>
    <t>Javier,A. G.;Santos,M. A. R.;Calata-Rosales,R.;Author,Addresses;Center for,Respiratory;Medicine,University of Santo Tomas Hospital Espana Manila Philippines;Correspondence,Address;AG Javier, Center for Respiratory Medicine University of,Santo Tomas;Hospital Espana,Manila Philippines</t>
  </si>
  <si>
    <t>Impact of a lecture intervention on the knowledge, attitudes and behavior in smoking of first year medical students from the Faculty of Medicine and Surgery at the University of Santo Tomas School year 2010-2011</t>
  </si>
  <si>
    <t>Asian;human;medical student;school;smoking;society;surgery;university;abstinence;Africa;Asia;Australia;bladder cancer;cancer mortality;chronic obstructive lung disease;cigarette smoking;coronary artery disease;counseling;curriculum;death;education;emphysema;Europe;follow up;general practitioner;Germany;health;health behavior;health care personnel;Japan;knowledge base;lung cancer;lung disease;male;mass medium;medical education;medical school;methodology;model;mortality;motivation;neoplasm;newborn mortality;nicotine replacement therapy;non profit organization;nurse;nursing education;nursing student;patient;peripheral vascular disease;physician;population;prevention;primary medical care;public health problem;recall;responsibility;risk;senescence;skill;smoke;smoking cessation;smoking habit;student;study design;theology;tobacco;tuberculosis;United Kingdom;world health organization</t>
  </si>
  <si>
    <t>Introduction: Tobacco related deaths have been projected to increase from 3.0 million in 1990 to 8.4 million in 2020, which will make tobacco the largest single health problem at this time.1 There are 80-90% of deaths from chronic obstructive lung disease attributed to tobacco, and smokers have six times the risk of contracting this disease compared with non-smokers; similarly, 80-85% of lung cancer deaths are attributed to tobacco use, with smokers having 10 times the risk compared with non-smokers.2 National and international responses to the public health problem of tobacco therefore need to be intensified. Primary care physicians have a vital role to play in advising patients to stop smoking as most smokers visit their doctor. Doctors and nurses are expected not only to offer care for their patients but also to be a model to the advice they offer. Studies have found that the practices and behaviours of their health-care providers can significantly influence health-related behaviour of patients. Moreover, studies have shown that very brief advice from the doctor yields one year quit rates of 5-10%, and interventions that are more comprehensive, including follow up sessions, produce abstinence rates of 20-36%.2 Another important way to control tobacco use is to encourage medical schools to teach about tobacco issues in the curriculum. It is vital that medical students, the future medical practitioners, have adequate knowledge of smoking related diseases and skills in smoking cessation. However, despite this important data citing the important role of health-care providers in helping smokers to quit, medical practitioners has not been proactive in providing smoking cessation services to patients3. Inadequate education, knowledge, attitudes and perceptions of health-care providers regarding smoking and smoking cessation have been reported as one of the many factors that may contribute to the ineffective tobacco treatment interventions. The literature reveals serious deficiencies in knowledge and counselling skills among medical students, and large gaps in the medical curriculum with respect to tobacco issues. If future medical practitioners are to engage actively in advising smokers to quit, it is vital that they acquire the skills and knowledge base which will allow them to accomplish this task. Medical students should receive sufficient knowledge of the determinants of smoking and specific training on how to help patients to stop smoking, and a tobacco module should be included in the curriculum of every medical school. Review of Related Literature There have been many studies conducted around the world to determine the smoking rates of medical students and their knowledge of smoking related diseases and intervention strategies. Recognizing the important role of the future health-care providers in smoking cessation campaign, the Tobacco Prevention Section of the International Union Against Tuberculosis and Lung Disease (IUATLD), a committee of representatives from many countries concerned with tobacco control and prevention, has conducted a series of studies in medical schools globally. The studies were joint collaborations between the IUATLD, the World Health Organization (WHO), the American Cancer Society, and the International Union against Cancer. The surveys were conducted among more than 9000 students from 51 medical schools in 42 countries. The objectives were to determine the smoking rates of medical students; to ascertain medical students' knowledge of smoking as a major cause of disease; and to determine whether students believed they can counsel patients about smoking. Additionally, many medical schools have conducted surveys among their student populations. In these surveys, most of them have the same conclusions: medical students lacked relevant information about smoking and health and the effectiveness of cessation methods. In a survey done by Raupauch et al in a medical school in Germany and in London, smoking-related mortality was underestimated by students from both study sites. Their data suggest that smoking medical students greatly overestimated the chances of reaching old age as a smoker and less than a third of medical students from both study sites felt competent to counsel smoking patients. This finding was constant across different stages of medical education. A study done by Tessier et al on medical schools in Asia also revealed a gross underestimation of tobacco's causal role in a number of important diseases, e.g. coronary artery disease, peripheral vascular disease, emphysema, bladder cancer and neonatal mortality. There were notable defects both in training and in motivation to counsel smoking patients. Similar survey done on medical schools in Africa by Tessier et al also yielded same conclusions. An international study by Crofton and colleagues of smoking among medical students in 42 countries, which asked the students about their knowledge of its health consequences and looked at the implications for medical education, has reported disturbing levels of smoking and widespread ignorance about diseases caused by smoking. In Europe, nearly one in five male medical students smokes. In Japan the rate is one in three, with only just over half of students agreeing that cigarette smoking cause lung cancer. Smokers generally tell the truth about their smoking, but asking medical students if they smoke may be like asking theology students if they blaspheme.9 Many of the self reported rates of smoking among medical students are likely to be underestimates. Crofton's group has circulated its findings to the deans of all European medical schools and asked them to take action. Some will be spurred into reviewing their curriculums. In a review by Richmond, he found out that as medical students progress through their course their knowledge of smoking as a major cause of disease increase but, interestingly, superior knowledge did not lead to a lower rate of smoking, as students in the latter years generally smoked more than those in the earlier years. Students seem more likely to begin smoking in medical school than to give it up, and to increase their cigarette consumption rather than decrease it, supporting the suggestion that, in medical students, medical education and knowledge about the harmful effects of smoking have relatively little impact on smoking. It would seem that the effect of increased knowledge about smoking does not relate to students' smoking behaviour. Same results were also seen in a study by Patkar et al in comparing smoking habits among medical and nursing students. As the students progressed through their education, little change in smoking habits including plans to quit were observed during the course of medical and nursing education. It is this inadequate education about tobacco treatment which hinders healthcare practitioners to provide effective tobacco treatment interventions to their patients. Also, it is the smoking behaviour and attitude of these doctors which hinder them to provide adequate counselling on their patients who smoke. In an editorial by Chapman, he questioned those general practitioners and medical students who smoke. The first consideration concerns doctors' roles and, many would add, responsibilities as exemplars. A recent Australian study of smokers from low socioeconomic groups found that half of them agreed with the statement that 'a lot of doctors smoke.' How can doctors condemn smoking when so many of them do it themselves, and, by extension, 'Why should I stop smoking when plenty of doctors don't?' 10 The second consideration is whether smoking by doctors inhibits any of them from counselling patients about smoking. Despite the enormous publicity given to the health consequences of smoking and, more recently, the efforts of drug companies to promote nicotine replacement therapy, the depressing fact remains that doctors are either blind to their patients' smoking or unwilling to raise the issue. A recent British study reported that less than one third of smokers could recall being given advice to stop by their general practitioner. 10 In Australia just over half of smokers had been given such advice10 and general practitioners could identify only 62% of their patients who smoked.10 Hence, Chapman, raised the issue of whether medical students who smoke should be channelled away from primary care? Many of the literature support the fact there is an increasing trend of smokers among that medical students and many of them are underreported. Objectives Prior to the implementation of a new curriculum regarding tobacco and its treatment, basic information about smoking among medical students would be important since their approach and credibility as treatment providers would be largely influenced by their smoking habits, their attitudes and perceptions towards smoking. Hence, the authors of this study would like to investigate the smoking habits of this population using a cross-sectional approach. The main objective of this study is to describe and assess the behaviour, knowledge and attitudes of medical students on smoking by means of a survey. Specifically, the authors of this study would like to: Investigate the smoking habits of first year medical students enrolled in UST Faculty of Medicine and Surgery Determine whether smoking habits, knowledge and attitude of first year medical students will change after a lecture Methodology Study Design Cross-sectional survey descriptive study.</t>
  </si>
  <si>
    <t>(Javier A.G.; Santos M.A.R.; Calata-Rosales R.) 16th Congress of the Asian Pacific Society of Respirology Shanghai, China 2011-11-03 to 2011-11-06 Blackwell Publishing; ID: 2616</t>
  </si>
  <si>
    <t>Jayasuriya,D. C.;Author,Addresses</t>
  </si>
  <si>
    <t>The inclusion of drug abuse preventive education in the medical school curriculum in developing countries</t>
  </si>
  <si>
    <t>Ceylon Medical Journal</t>
  </si>
  <si>
    <t>Ceylon Med.J.</t>
  </si>
  <si>
    <t>curriculum;developing country;drug abuse;education;medical school;prevention;methodology;Public Health, Social Medicine and Epidemiology (17);Psychiatry (32)</t>
  </si>
  <si>
    <t>(Jayasuriya D.C.); ID: 3872</t>
  </si>
  <si>
    <t>0009-0875</t>
  </si>
  <si>
    <t>1978228067 PUI L8226256</t>
  </si>
  <si>
    <t>Jayawardene,W. P.;YoussefAgha,A. H.;Author,Addresses;Department,of Applied;Science,School of Public Health Bloomington Indiana University;Bloomington,I. N. U.;Department of,Epidemiology;Biostatistics,School of;Public Health Bloomington, Indiana University,Bloomington I.;States;Correspondence,Address;WP Jayawardene, Department of Applied Health Science School,of Public;Health Bloomington, Indiana University Bloomington,I.N.United States;Email,wajayawa indiana edu</t>
  </si>
  <si>
    <t>24440894; Multiple and substitute addictions involving prescription drugs misuse among 12th graders: Gateway theory revisited with market basket analysis</t>
  </si>
  <si>
    <t>alcohol;cannabis;central stimulant agent;cocaine;diamorphine;prescription drug;steroid;drug dependence;drug misuse;prescription;prescription drugs misuse;adolescent;article;Caucasian;data mining;female;health survey;human;male;Market Basket Analysis;prevalence;priority journal;questionnaire;reliability;smoking;student;United States;validity;alcohol (64-17-5);cannabis (8001-45-4, 8063-14-7);cocaine (50-36-2, 53-21-4, 5937-29-1);diamorphine (1502-95-0, 561-27-3);Psychiatry (32);Drug Dependence, Alcohol Abuse and Alcoholism (40)</t>
  </si>
  <si>
    <t>Objectives: This study aimed to identify the sequential patterns of drug use initiation, which included prescription drugs misuse (PDM), among 12th-grade students in Indiana. The study also tested the suitability of the data mining method Market Basket Analysis (MBA) to detect common drug use initiation sequences in large-scale surveys. Methods: Data from 2007 to 2009 Annual Surveys of Alcohol, Tobacco, and Other Drug Use by Indiana Children and Adolescents were used for this study. A close-ended, self-administered questionnaire was used to ask adolescents about the use of 21 substance categories and the age of first use. "Support%" and "confidence%" statistics of Market Basket Analysis detected multiple and substitute addictions, respectively. Results: The lifetime prevalence of using any addictive substancewas 73.3%, and it has been decreasing during past few years. Although the lifetime prevalence of PDM was 19.2%, it has been increasing. Males and whites were more likely to use drugs and engage in multiple addictions. Market Basket Analysis identified common drug use initiation sequences that involved 11 drugs. High levels of support existed for associations among alcohol, cigarettes, and marijuana, whereas associations that included prescription drugs had medium levels of support. Conclusions: Market Basket Analysis is useful for the detection of common substance use initiation sequences in large-scale surveys. Before initiation of prescription drugs, physicians should consider the adolescents' risk of addiction. Prevention programs should address multiple addictions, substitute addictions, common sequences in drug use initiation, sex and racial differences in PDM, and normative beliefs of parents and adolescents in relation to PDM. â”¬âŒ 2014 American Society of Addiction Medicine.</t>
  </si>
  <si>
    <t>(Jayawardene W.P., wajayawa@indiana.edu) (YoussefAgha A.H.) Lippincott Williams and Wilkins, agents@lww.com; ID: 2295</t>
  </si>
  <si>
    <t>http://www.ncbi.nlm.nih.gov/pubmed/24440894</t>
  </si>
  <si>
    <t>10.1097/ADM.0000000000000012 FULL TEXT LINK http://dx.doi.org/10.1097/ADM.0000000000000012</t>
  </si>
  <si>
    <t>Multiple and substitute addictions involving prescription drugs misuse among 12th graders: Gateway theory revisited with market basket analysis</t>
  </si>
  <si>
    <t>Johnson,A.;Dhabliwala,J.;Seale,P.;Author,Addresses;Medical,Center;of,Central Georgia;Correspondence,Address;Johnson, Medical Center of Central Georgia United States Email,A.;johnson.aaron@mccg.org</t>
  </si>
  <si>
    <t>Do reductions in drinking wear off? Examining alcohol use patterns in an sbirt control group over 30 months</t>
  </si>
  <si>
    <t>E5</t>
  </si>
  <si>
    <t>alcohol consumption;control group;drinking;emergency ward;addiction;binge drinking;follow up;health care;health education;human;interview;medical specialist;model;patient;screening;substance use;telephone</t>
  </si>
  <si>
    <t>Summary: Screening, brief intervention and referral to treatment (SBIRT) for risky drinking has been shown to be effective in reducing patients alcohol use. SBIRT studies often report significant alcohol use reductions in control groups that may result from the assessment, the event that led to the healthcare visit, a Hawthorne effect/social desirability, or regression to the mean. This study examines whether decreases in alcohol use found in control groups represent short-term changes in drinking or are sustained over an extended period of time. Methods: Patients presenting to an emergency department in Georgia between February andApril 2009were enrolled as control group participants (n=893). Participants received a 15 minute assessment by a health education specialist, and a list of local addiction treatment resources. Telephone follow-up interviews were completed with participants at 6, 18, and 30 months to identify changes in substance use. Data were analyzed using Linear Mixed Models. Results: Results show the expected decrease between baseline and 6 months on both major alcohol use measures, past 30 day drinking days (8.69 days to 5.75 days) and past 30 day binge drinking days (6.03 days to 3.91 days). Past 30 day drinking days declined further at 18 and 30 months (5.12 days and 5.12 days), while past 30 day binge drinking days showed ongoing decline across this period (2.93 days at 18 months, 2.17 days at 30 months). Conclusion: These findings suggest that the reductions in alcohol use patterns commonly seen among control group participants in SBIRT studies may represent long-term changes.</t>
  </si>
  <si>
    <t>(Johnson A., johnson.aaron@mccg.org; Dhabliwala J.; Seale P.) Med-Sci 2013 Queenstown, New Zealand 2013-08-26 to 2013-08-28 Lippincott Williams and Wilkins; ID: 2386</t>
  </si>
  <si>
    <t>Johnson,A.;Fogelberg,B.;Author,Addresses;Rocky Mountain,Human Services;States;Correspondence,Address;Johnson, Rocky Mountain Human Services Denver United States,A.</t>
  </si>
  <si>
    <t>Operation TBI freedom: RE-shaping the transition of servicemembers/veterans with traumatic brain injury</t>
  </si>
  <si>
    <t>Journal of Head Trauma Rehabilitation</t>
  </si>
  <si>
    <t>J.Head Trauma Rehabil.</t>
  </si>
  <si>
    <t>E7</t>
  </si>
  <si>
    <t>brain injury;society;traumatic brain injury;army;assistive technology;case management;community;education;employment;family service;female;graduate;homelessness;hope;human;male;medical specialist;mental health;peer group;prevention;social adaptation;soldier;substance abuse;suicidal ideation;suicide;support group;United States;veteran;workplace</t>
  </si>
  <si>
    <t>Introduction/Rationale With the high numbers of service members returning to contiguous United States (CONUS), after multiple deployments, there is a need for communities to assist with the transition of these service members/veterans. Injured service members/veterans are continuing to struggle with issues of substance abuse, financial stability, employment, relationships, social skills, suicide, and a plethora of other problems. These men and women are having difficulty re-shaping their new purpose after leaving their military careers and the struggles they are facing can affect their families, workplaces, and, ultimately, the communities of which they are a part. Method/Approach Operation TBI Freedom, a privately-funded program of RockyMountain Human Services, is a community-based, nonprofit program that uses military peer case management to provide these much-needed supports and services to transitioning service members in the state of Colorado with traumatic brain injury (TBI). The program pairs the service member/ veteran with a Military Support Specialist,(former military personnel themselves) and Certified Brain Injury Specialists (CBIS), to provide peer resource support, linking the service member/veteran to their benefits and other services including homelessness prevention, cognitive strengthening, assistive technology, wrap around family services, and educational and employment support. Results/Effects As of May 2012, Operation TBI Freedom has had 143 graduates from the two year program. Military Support Specialists have assisted clients in the following ways: homeless prevention assistance = 21% of clients; employment support = 27% of clients; mental health issues, including suicidal ideation = 52%; substance abuse issues = 13%; marital issues = 41%; education = 51%. In surveys conducted at the time of program completion, 81% of clients expressed that they strongly agree/agree that their lives had improved due to the services received from Operation TBI Freedom. Conclusions/Limitations More brain injury programs and resources are needed throughout the United States. The ratio of graduates to total program participants is due in large part to the relocation of service members/veterans. More peer support groups are needed to assist with the issues of TBI and suicides. With more knowledge of these issues, communities will be better equipped to assist these service members/veterans with their transition. Rocky Mountain Human Services will be expanding into the surrounding 10 states in the future with the hope of continuing to generate awareness of the issues facing service members/veterans.</t>
  </si>
  <si>
    <t>(Johnson A.; Fogelberg B.) 10th Annual Conference on Brain Injury of the North American Brain Injury Society's, NABIS 2012 Miami, FL, United States 2012-09-12 to 2012-09-15 Lippincott Williams and Wilkins; ID: 2521</t>
  </si>
  <si>
    <t>0885-9701</t>
  </si>
  <si>
    <t>10.1097/HTR.0b013e3182690d04 FULL TEXT LINK http://dx.doi.org/10.1097/HTR.0b013e3182690d04</t>
  </si>
  <si>
    <t>Johnson,E.;Rolfs,R. T.;Sauer,B. C.;Porucznik,C. A.;Author,Addresses;Utah Department,of Health;Lake City,United States;Va Ideas Center, Salt Lake City,United States;Family;Preventive Medicine, University of,Utah Salt;Lake City,United States;Correspondence,Address;Johnson, Utah Department of Health Salt Lake City United States Email,E.;erjohnso@utah.gov</t>
  </si>
  <si>
    <t>Utah's education campaign for prescription opioids</t>
  </si>
  <si>
    <t>opiate;education;pain;prescription;United States;advisory committee;behavior change;community;death;drug therapy;health;organization;patient;pharmacy;physician;telecommunication</t>
  </si>
  <si>
    <t>Introduction: In 2007, the Utah Department of Health began a program to educate providers, patients, and the general public about safe use of prescription opioids. This program was developed under legislative mandate in response to the increase in deaths in Utah related to prescription opioids. Methods: Providers: Academic detailing (small group, one-on-one presentations) will be implemented during 2008-2009. Despite being time and labor intensive, this approach is proven to have the most impact on provider behavior change. Large group presentations and webinars will also be done throughout the state. Evaluations will be done to assess the extent of behavior change attributable to each of these interventions. Patients and general public: A statewide media campaign has been launched under the name Î“Ã‡Â£Use Only As DirectedÎ“Ã‡Â¥. The campaign highlights 6 key messages for safe use of opioids. Materials developed include a TV and radio spot, bookmarks, pamphlets and posters (for doctor's offices and pharmacies). The impact of the various media tools is being monitored in order to see the overall impact the media campaign has had during 2008. Collaboration Methods: Utah has convened a steering committee and advisory committee with over 100 participants representing the partners and stakeholders involved in this important issue. The advisory committee is divided further into work groups that meet on the topics of: patient and community education, provider behavior change, guideline recommendations, guideline tools, and data/research. Conclusion: Utah is using a multi-pronged approach to prescription opioid education, reaching out to physicians, patients, and the general public in order to increase knowledge about potential dangers of prescription pain medication. Many lessons have been learned during the content development as well as from the distribution of the materials. By collaborating with local and state organizations, the materials have been well-accepted and dispersed throughout the state.</t>
  </si>
  <si>
    <t>(Johnson E., erjohnso@utah.gov; Rolfs R.T.) (Sauer B.C.) (Porucznik C.A.) 25th Annual Meeting of the American Academy of Pain Medicine, AAPM Honolulu, HI, United States 2009-01-27 to 2009-01-31 Blackwell Publishing Inc.; ID: 2936</t>
  </si>
  <si>
    <t>10.1111/j.1526-4637.2008.00537.x FULL TEXT LINK http://dx.doi.org/10.1111/j.1526-4637.2008.00537.x</t>
  </si>
  <si>
    <t>Johnson,J. A.;Dhabliwala,J.;Seale,J. P.;Author,Addresses;Mercer University,School of;Medicine,Macon United States;Correspondence,Address;JA Johnson, Mercer University School of Medicine Macon,United States</t>
  </si>
  <si>
    <t>Impact of a systems intervention on engagement in addiction treatment</t>
  </si>
  <si>
    <t>167A</t>
  </si>
  <si>
    <t>alcohol;addiction;alcoholism;society;administrative personnel;diseases;emergency ward;health;health education;human;local therapy;medical specialist;patient;patient information;screening;screening test;smoking;substance abuse;traffic and transport</t>
  </si>
  <si>
    <t>Patients seeking treatment in Emergency Departments (ED) often suffer from underlying but undetected health problems including addiction. Clinicians in busy EDs face many barriers to detecting substance abuse or dependence and making successful treatment referrals. Specialists trained to conduct screening, brief intervention and referral to treatment (SBIRT) can improve detection of alcohol problems including alcohol dependence, but getting patients needed services is challenging. Accessing the treatment system can be difficult, as needed services are often unavailable. Patient-level barriers also exist including transportation problems and patient denial. As a result, only a small percentage of ED patients needing treatment ever successfully engage in treatment. The purpose of this study was to test the impact of systems interventions designed to increase ED patients' engagement in addiction treatment. Health education specialists (HES) in the ED conducted assessments using the Alcohol, Smoking, and Substance Involvement Screening Test (ASSIST) to identify patients with alcohol and other drug disorders. Based on ASSIST scores, patients received a brief intervention (BI), BI plus referral to brief treatment (BT), or BI plus referral to addiction treatment (RT). Patients with ASSIST scores &gt;26 were referred to the local state-funded treatment provider. To monitor treatment engagement, quarterly reports were generated by working with the local treatment provider to identify RT patients receiving treatment within one week of their ED visit. Beginning in July 2010, systems changes were made to improve treatment engagement including regular meetings between SBIRT and treatment provider administrators, signing release forms to permit sharing of patient information between HES and treatment provider, and implementing a weekly meeting in the ED between HES and a treatment representative to collect information on referred patients. The number of referrals per quarter ranged from 51 to 99. Results from quarterly reports show an increase in treatment engagement from 19.3% in the 3rd quarter of 2010 to 32.8% in the 3rd quarter of 2011 with a high of 34.4% in the first quarter of 2011. Bus passes purchased in September 2011 for RT patients reporting problems accessing transportation may show further improvements in treatment engagement in future reports. This study demonstrates that ongoing efforts to increase treatment engagement can be successful.</t>
  </si>
  <si>
    <t>(Johnson J.A.; Dhabliwala J.; Seale J.P.) 35th Annual Scientific Meeting of the Research Society on Alcoholism, RSA 2012 San Francisco, CA, United States 2012-06-23 to 2012-06-27 Blackwell Publishing Ltd; ID: 2550</t>
  </si>
  <si>
    <t>Jokâ”œâ•bonis,D.;Author,Addresses;University,of Kaunas;Correspondence,Address;Jokâ”œâ•bonis, University of Kaunas Kaunas Lithuania,D.</t>
  </si>
  <si>
    <t>What to teach in countries with a lack of opiate agonist treatment?</t>
  </si>
  <si>
    <t>(MAJOR FOCUS);opiate agonist;clinical study;human;medical student;opiate addiction;perception;questionnaire;stigma;substance use;teaching</t>
  </si>
  <si>
    <t>Nowadays addiction is defined by the American Society of Addiction Medicine as Î“Ã‡Â£a primary, chronic disease of brain reward, motivation, memory and related circuitry. Physicians in all fields of medicine frequently encounter patients with substance related health problems. The recognition and effective management of substance related problems by all health professionals, whether specialists or generalists, are of utmost importance, making the education and training of health professionals in these areas vital for the future health of Europe. Students' education and training should challenge the stigma and discrimination that are often experienced by people with addiction problems. As a first step in teaching competencies in the treatment of addicted patients it is important that medical students reflect on their perceptions and attitudes towards patients with substance/opioid related disorders. In this presentation the perceptions of medical students towards patients with substance use are presented. For this purpose we used The Addiction version of the revised Illness Perceptions Questionnaire (IPQ-A) to measure perceptions of addiction and The Medical Condition Regards Scale (MCRS) to measure attitudes. The results were discussed with the patients and the qualitative impression of the students will be the final part of the presentation.</t>
  </si>
  <si>
    <t>(Jokâ”œâ•bonis D.) 12th Congress of European Opiate Addiction Treatment Association, EUROPAD 2016 Leiden, Netherlands 2016-05-27 to 2016-05-29 Pacini Editore S.p.A.; ID: 1929</t>
  </si>
  <si>
    <t>Jouahir,I.;Azzaoui,F. Z.;Ahami,A.;Elhessni,A.;Faid,M.;Author,Addresses;Equip of,Clinic;Cognitive;Neurosciences;Health,Department of Biology Faculty of Science;Kenitra,Morocco;Equip of Neuroendocrine Physiology, Department,of Biology;Faculty,of Science;Agronomic;Veterinary Hassan,Ii Institute;Correspondence,Address;Jouahir,Equip of Clinic,I.;Cognitive,Neurosciences;Health;Department of Biology, Faculty of Science,Kenitra Morocco</t>
  </si>
  <si>
    <t>Addiction among young moroccan students of a vocational training institute</t>
  </si>
  <si>
    <t>28 SUPPL. 1.</t>
  </si>
  <si>
    <t>alcohol;cannabis;addiction;human;psychiatry;student;vocational education;adolescence;alcohol consumption;boy;ceremony;city;consumer;female;girl;male;Morocco;night;prevalence;sleep;smoking;tobacco</t>
  </si>
  <si>
    <t>Introduction: The internship system of some institutes and adolescence period could constitute a favorable medium to develop addiction behaviors among students. Objectives: The objective of this study is to determine the prevalence of addicted students of an Institute of the vocational training in city of Mohammedia (North-West of Morocco) and the kind of substances used in this addiction. Methods: An epidemiological study is conducted among 460 students of this institute. These students aged from 18 to 26 years, are individually questioned about their consumption of different kinds of drugs. Results: The obtained results show that only 100 boys speak freely of their consumption of drugs and/or alcohol and only 6 girls confess to be smokers (tobacco) including 2 consumers of drugs. Indeed, the drug most commonly used is cannabis rolled into cigarettes (Hashish). These drugs are used regularly at least once a day and especially at night before bed to facilitate sleep. The kinds of substances used depend also on socio-economic level of students; the students from rich families consume up to 12 joints a day against some puffs of joint shared by many consumers for poor students. In addition, the poor students consume some local preparation called Î“Ã‡Â£maajouneÎ“Ã‡Â¥ or Î“Ã‡Â£calaÎ“Ã‡Â¥. Alcohol consumption is casual during weekends or ceremonies. Conclusion: This study is an preliminary investigation that lighted the problem of addiction among students in this vocational training institute. So, deeper researches must be done in order to determine the factors causing and/or influencing this kind of pathologic behavior.</t>
  </si>
  <si>
    <t>(Jouahir I.; Azzaoui F.-Z.; Ahami A.) (Elhessni A.) (Faid M.) 21st European Congress of Psychiatry, EPA 2013 Nice, France 2013-04-06 to 2013-04-09 Elsevier Masson SAS; ID: 2365</t>
  </si>
  <si>
    <t>Jouney,E. A.;Brower,K.;Author,Addresses;University of Michigan, Department,of Psychiatry;United,States;Correspondence,Address;EA Jouney, University of Michigan Department of,Psychiatry United;States</t>
  </si>
  <si>
    <t>Teaching methadone management strategies to medical students in a case-based learning paradigm</t>
  </si>
  <si>
    <t>(MAJOR FOCUS);methadone;opiate;addiction;human;learning;medical student;psychiatry;teaching;adverse outcome;drug induced disease;drug overdose;female;hospital patient;hypothesis;maintenance therapy;methadone treatment;model;multiple choice test;pain;patient;patient care;pharmacology;plague;population;student;United States;university</t>
  </si>
  <si>
    <t>Background: The purpose of this project is to measure the effectiveness of a case-based small group discussion format in teaching third-year medical students the basics of methadone management in the medically hospitalized opioid-dependent patient. Methadone is a drug that is often misunderstood, and misrepresented, partly due to the negative stigmatization that plagues the culture of methadone maintenance therapy. Most third-year medical students do not possess the fundamental understandings ofmethadone maintenance treatment, and also fail to recognize some of the legal and often life-threatening pharmacological characteristics of this drug. These misunderstandings can often lead to a multitude of adverse outcomes, including iatrogenic drug overdose, the mismanagement of acute pain syndromes in the methadone maintenance patient, and a failure to abide by the basic legalities governing methadone maintenance treatment. Our hypothesis is that a small group teaching session based on a case discussion can facilitate the learning of these critical medical concepts in the target population. Methods: 21 third-year medical students at the University of Michigan were randomly divided into five cohorts, consisting of 3-6 students each. Each group was provided with a case summary of a female patient with opioid dependence who was inappropriately managed with methadone during an inpatient medical admission. A 60-minute discussion followed, which was led by an addiction psychiatry fellow. The discussion aimed to highlight the key points of the case, and to give instruction on the clinically relevant concepts in opioid dependence and methadone pharmacology. Students were given a pre-test before the discussion, which consisted of 10 multiple choice questions regarding some of the legal and pharmacological characteristics of methadone pertinent to patient care. For each question one of the choices read: Î“Ã‡Â£I don't know, I would be guessing.Î“Ã‡Â¥ This was to eliminate the possibility of correct answers based on guessing alone. Additionally, students were asked not to guess, and to choose an answer only if they were reasonably sure that their choice was correct. After the case discussion, the students were given a post-test, which was exactly the same as the pre-test. They were not informed of the post-test until the very end of the discussion. This was to eliminate the possibility of note taking or selective retention during the discussion. The difference between the pre- and post-test scores was compared to access the effectiveness of this teaching model. Results:Apaired samples t testwas conducted to test the effectiveness of this small group discussion model. On average, the post test scores were 52.3 (SD = 14.8) percentage points higher compared to pre-test scores- (t (20) = 16.2, p &lt; 0.0005). The mean pre-test score was 37.1% (SD = 15.5) and the mean post-test score was 89.5% (SD = 12.0). There was no statistically significant difference found in the pre- and post-test scores between the individual cohorts. Conclusions: The use of a small group case-based discussion teaching paradigm was effective in the shortterm at educating third-year medical students on the key concepts of methadone prescribing in the medically hospitalized opioid-dependent patient.</t>
  </si>
  <si>
    <t>(Jouney E.A.; Brower K.) 22nd Annual Meeting and Symposium of the American Academy of Addiction Psychiatry, AAAP 2011 Scottsdale, AZ, United States 2011-12-08 to 2011-12-11 Wiley-Blackwell Publishing Ltd; ID: 2544</t>
  </si>
  <si>
    <t>Jradi,H.;Alshehri,A.;Author,Addresses;King Saud Bin,Abdulaziz University;Correspondence,Address;Jradi, King Saud Bin ABdulaziz University Saudi Arabia,H.</t>
  </si>
  <si>
    <t>Do Saudi medical students know enough about tobacco dependence? Findings from three medical schools</t>
  </si>
  <si>
    <t>epidemic;epidemiology;human;medical school;medical student;non communicable disease;tobacco dependence;adult;cardiovascular disease;curriculum;death;health hazard;medical education;patient;physician;prevalence;prevention;questionnaire;risk;Saudi Arabia;smoking;smoking cessation;student;tobacco use</t>
  </si>
  <si>
    <t>Background: Tobacco smoking is the leading cause of preventable death worldwide. Educating and training medical students about tobacco dependence prevention and treatment will prepare them as future physicians for the task of helping smokers quit. To date, in Saudi Arabia, little is known about medical students' knowledge on this topic. Methods: This study was conducted among 237 medical students from three medical schools. Students were asked to complete a 55-item questionnaire about the knowledge of smoking epidemiology, practice of smoking cessation, knowledge of treatment of nicotine addiction, and knowledge of the benefits of smoking cessation. Results: The majority of the surveyed students do not have adequate knowledge about the epidemiology of smoking (8.6 % estimated within the acceptable range the prevalence of smoking among adults in Saudi Arabia). Students demonstrated a below average knowledge of the health risks associated with tobacco use (average score 53 %; SD = 11.6), a fair understanding of the benefits of smoking cessation (76.3 % knew that stopping smoking reduced risk of premature death), and insufficient information about treatment of nicotine addiction (only 52.8 % knew that a provider should ask about smoking status at every visit and 81.6 % falsely thought that NRT is contraindicated for cardiovascular disease). No more than 20.9 % of the respondents thought they were adequately prepared to counsel/ advise their patients to quit smoking Conclusions: These findings suggest that medical students in Saudi Arabia are not well informed and trained in tobacco dependence and treatment. It is necessary to address this deficit by prioritizing these topics in medical education curricula.</t>
  </si>
  <si>
    <t>(Jradi H.; Alshehri A.) EuroEpi 2013 and NordicEpi 2013: Non-Communicable Disease Epidemic: Epidemiology in Action Aarhus, Denmark 2013-08-11 to 2013-08-14 Springer Netherlands; ID: 2377</t>
  </si>
  <si>
    <t>10.1007/s10654-013-9820-0 FULL TEXT LINK http://dx.doi.org/10.1007/s10654-013-9820-0</t>
  </si>
  <si>
    <t>Juarez,G.;Mayorga,L.;Author,Addresses;Hope,City Of;Correspondence,Address;Juarez, City Of Hope Duarte United States,G.</t>
  </si>
  <si>
    <t>Cancer and pain management: Debunking myths in Latino patients</t>
  </si>
  <si>
    <t>Psycho-oncology</t>
  </si>
  <si>
    <t>Psychooncology</t>
  </si>
  <si>
    <t>23 SUPPL. 3</t>
  </si>
  <si>
    <t>analgesia;Hispanic;human;literature;neoplasm;oncology;patient;addiction;cancer pain;community;cultural factor;disease course;drug therapy;education;education program;fear;follow up;health;health educator;learning;nurse;pain;pain assessment;program evaluation;safety;therapy delay;vascular guide wire;voice</t>
  </si>
  <si>
    <t>BACKGROUND: Pain is a sensitive topic among Latinos, due to fear of disease progression, treat- ment delays or pain medication addiction. Limited Spanish educational materials/programs on pain management are available. Culturally-relevant education on managing pain can empower patients to have an active voice in their care and learn how their cancer journey can be pain free. Purpose of this Spanish interactive education program was to educate patients/families on pain management and debunk cultural myths of cancer pain. METHOD: Cultural factors were considered developing the education intervention such as the significance of family or Î“Ã‡Â£familismo,Î“Ã‡Â¥ the most specific value for Latinos. Ten Spanish pain classes were conducted by Advance Practice Nurse and Health Educator. Five interactive components were embedded to ensure patients understanding and learning. Education was provided on how to interpret/use pain scales, creating a pain diary, medication list, and medication safety, including CAM &amp; non-therapeutic options for pain management. Including education on pain management, pain types, and dispelling myths/perceptions of cancer pain. Patients/Families received a 2 hours educational class, program evaluation and post 30 day followup. RESULTS: 81 patients/caregivers participated in the educational program. Program identified a distorted perception of pain amongst Latinos: (1) pain was not manageable (2) it's part of treatment process (3) a way that the body is getting rid of cancer. Some refused medication for fear of addiction. 50% patients did not communicate their pain issues to their providers, for fear of treatment delay. 90% stated that the class provided them with tools and resources to take an active role in their care and managing their pain. In post 30 day follow-up patients reported that their cancer pain was reduced by 50%. CONCLUSIONS: Power of education and knowledge was evident within a 2-hour class, these perceptions were quickly dispelled. Patients learned that they could go through their cancer journey pain free. In addition to the importance of learning the facts about pain, equally critical in our classes has been the role of culture and how to frame information within this context. With our Hispanic patients, they had an added bonus - an incredible support system from their families, who attend the education classes with them. We learned that in most families everyone has a role in taking care of the patient. RESEARCH IMPLICATIONS: Need for more research in the area of pain management amongst latinos and their perceptions on cancer pain. CLINICAL IMPLICATIONS: Both the medical community and patients need to do understand more about pain and pain management strategies in order to attain better health outcomes.</t>
  </si>
  <si>
    <t>(Juarez G.; Mayorga L.) IPOS 16th World Congress of Psycho-Oncology and Psychosocial Academy Lisbon, Portugal 2014-10-20 to 2014-10-24 John Wiley and Sons Ltd; ID: 2197</t>
  </si>
  <si>
    <t>1057-9249</t>
  </si>
  <si>
    <t>10.1111/j.1099-1611.2014.3697 FULL TEXT LINK http://dx.doi.org/10.1111/j.1099-1611.2014.3697</t>
  </si>
  <si>
    <t>Jungbauerova,L.;Fiserova,J.;Kostka,J.;Author,Addresses;Za Opusem,Praha;Zbraslav,Czech Republic;Correspondence,Address;Jungbauerova, Za Opusem Praha Zbraslav Czech Republic,L.</t>
  </si>
  <si>
    <t>Pedagogical considerations and new trends in health education of future teachers - Students of the Pedagogical Faculty, Charles University Prague ORIGINAL (NON-ENGLISH) TITLE PEDAGOGICKE ZRETELE A NOVE TRENDY VE ZDRAVOTNI VYCHOVE BUDOUCICH UCITELU - STUDUJICICH PEDAGOGICKE FAKULTY UNIVERZITY KARLOVY V PRAZE</t>
  </si>
  <si>
    <t>attitude;drug dependence;health education;medical education;adult;article;drug abuse;human;mental stress;normal human;Public Health, Social Medicine and Epidemiology (17);Drug Dependence, Alcohol Abuse and Alcoholism (40)</t>
  </si>
  <si>
    <t>The author describes and explains the importance of school health education as part of training of future teachers at the Faculty of Education, Department of Biology. This all will serve as a basic for the concept of teaching and also indicate the solution of the complex problem of drug dependency of children, adolescents and adults. The paper evaluated the results of the attitude of students (N = 247,M 37 %, W 63 %) to their health and behaviour to the drugs. The majority of the students is interested in health information. They consider as the greatest risk for students: 1. drug dependency, 2. mental stress. From these aspects very high demands are laid on teachers as psychologists according to 2/3 of students and according to the students importance of health education is a similar as of any other subject. 47 % future teachers are against legislation of drugs. Only 1/4 of students has and does not cant to have experience with drugs. The 77 % of students do not smoke, bud only 8 % do not drink at all. 61 % of the students thing that drugs are no positive contribution to health.</t>
  </si>
  <si>
    <t>(Jungbauerova L.; Fiserova J.; Kostka J.); ID: 3499</t>
  </si>
  <si>
    <t>1997004066 PUI L26426817</t>
  </si>
  <si>
    <t>Pedagogical considerations and new trends in health education of future teachers - Students of the Pedagogical Faculty, Charles University Prague ORIGINAL (NON-ENGLISH) TITLE PEDAGOGICKE ZRETELE A NOVE TRENDY VE ZDRAVOTNI VYCHOVE BUDOUCICH UCITE(TRUNCATED)</t>
  </si>
  <si>
    <t>Jurd,S.;Lee,M.;Author,Addresses;Alcohol;Drug Consultation/Liaison Service, Royal North;Shore Hospital,St,Leonards N.;Correspondence,Address;Alcohol;Drug Consultation/Liaison Service, Royal North,Shore Hospital;St Leonards, N. S. W.</t>
  </si>
  <si>
    <t>2755375; Attitudes to alcoholism in a Sydney teaching hospital</t>
  </si>
  <si>
    <t>alcoholism;medical education;social adaptation;Australia;education;hospital;human;priority journal;Public Health, Social Medicine and Epidemiology (17);Drug Dependence, Alcohol Abuse and Alcoholism (40)</t>
  </si>
  <si>
    <t>The physical and psychosocial tolls that are attributable to alcohol are well-documented. However, our community has been slow to respond to this serious problem. A survey of attitudes to alcoholism at a Sydney teaching hospital found an acceptance of the disease model and an acknowledgement of alcohol as Australia's main problem drug. The vast majority of respondents felt that the National Campaign against Drug Abuse had paid inadequate attention to alcohol.</t>
  </si>
  <si>
    <t>(Jurd S.; Lee M.) Australasian Medical Publishing Co. Ltd, Level 2, 26-32 Pyrmont Bridge Road, Pyrmont, Australia.; ID: 3714</t>
  </si>
  <si>
    <t>http://www.ncbi.nlm.nih.gov/pubmed/2755375</t>
  </si>
  <si>
    <t>Attitudes to alcoholism in a Sydney teaching hospital</t>
  </si>
  <si>
    <t>Kalbag,A.;Gilfillan,N.;Graham,B.;Stranix,N.;Townsend,R.;Bourne,N.;Author,Addresses;Imperial,College;Anaesthetics,London United Kingdom;Imperial College,London,United Kingdom;Correspondence,Address;Kalbag, Imperial College Anaesthetics London United Kingdom,A.</t>
  </si>
  <si>
    <t>Critical incidents in acute pain and the opioid dependent patient: Introduction of a pain teaching module</t>
  </si>
  <si>
    <t>(MAJOR FOCUS);opiate;anesthetic agent;pain;patient;teaching;addiction;analgesia;clinical audit;data base;drug dependence;education;nursing;pain assessment;patient care;physician;student;substance abuse</t>
  </si>
  <si>
    <t>Background and Aims: The safe and effective management of acute pain requires the appropriate education and training in the delivery of pain relief. Misunderstandings in the terminology related to substance abuse, tolerance, addiction and physical dependence may lead to inappropriate pain management (American Acad Pain Med 2004). Accurate nursing/carer knowledge about pain assessment and intervention is critical to effective pain management. (Loeb 1999). The aims of this audit were to identify whether introduction of an acute pain teaching module for junior anaesthetists made any difference to the number and type of critical incidents being reported. Methods: Our teaching programme was conducted on a weekly basis. It consisted of 6 presentations followed by group discussion. Critical incidents reported on our database were categorized by type of incident and if they were nursing or physician related. The number of opioid dependent patients needing a PCA between August 2006 and August 2008 was documented. Results: The physician related incidents were higher than the nursing related incidents over the period of August 2006-February 2008. However, following this period, no such incidents were reported. (Figure Presented). Conclusions: Introduction of an acute pain teaching module for anaesthetic trainees along with dissemination of guidelines for PCA use in the opioid dependent patient reduced the number and type of such incidents occurring, thereby improving overall patient care.</t>
  </si>
  <si>
    <t>(Kalbag A.; Gilfillan N.; Graham B.; Stranix N.) (Townsend R.; Bourne N.) 5th World Congress - World Institute of Pain Blackwell Publishing Inc.; ID: 2919</t>
  </si>
  <si>
    <t>1530-7085</t>
  </si>
  <si>
    <t>10.1111/j.1533-2500.2009.00266.x FULL TEXT LINK http://dx.doi.org/10.1111/j.1533-2500.2009.00266.x</t>
  </si>
  <si>
    <t>Kalebka,R. R.;Bruijns,S. R.;Van Hoving,D. J.;Author,Addresses;Division of,Emergency Medicine;Cape Town,South Africa;Division,of Emergency;University of Stellenbosch, P O Box Tygerberg,South Africa;Correspondence,Address;DJ Van Hoving, Division of Emergency Medicine University,of Stellenbosch;PO Box, Tygerberg South Africa Email nvhoving sun,ac za</t>
  </si>
  <si>
    <t>A survey of attitudes towards patient substance abuse and addiction in the Emergency Centre</t>
  </si>
  <si>
    <t>African Journal of Emergency Medicine</t>
  </si>
  <si>
    <t>drug dependence;emergency health service;physician attitude;substance abuse;article;convenience sample;emergency medicine;emergency physician;health survey;holistic care;human;Likert scale;optimism;outcome assessment;stereotypy;Public Health, Social Medicine and Epidemiology (17)</t>
  </si>
  <si>
    <t>Introduction: Hospitals across South Africa are inundated with patients suffering from conditions associated with substance abuse. It is inevitable that contact with health services be made through an emergency centre at some point. This study aims to assess the exposure and attitudes of emergency physicians to substance abuse and addiction in major South African academic emergency centres. Methods: A prospective survey based on the Substance Abuse Attitude Survey was conducted in a convenience sample of 85 emergency physician registrars and junior consultants in the Western Cape, Gauteng, Limpopo and KwaZulu-Natal. Respondents were targeted during academic meetings and by post. The survey consisted of a brief demographic questionnaire and tested agreement of 50 statements using a Likert scale. Five pre-defined attitude subgroups were evaluated: permissiveness, non-stereotypes, treatment intervention, treatment optimism and non-moralism. Results: There was an 81% (n = 69) response rate with the bulk of the response from the Western Cape. Despite receiving very little formal instruction in addiction and substance abuse, a majority of emergency physicians were in daily contact with substance abuse related cases. The respondents scored high in the treatment optimism and intervention criteria showing a positive and constructive approach to addiction and substance abuse. There was a homogenous response to the non-moralism, non-stereotype and permissive criteria questions. The vast majority of emergency physicians were in favour of brief interventions in the emergency centre assuming the existence of adequate resources. Conclusions: South African emergency physicians consider addiction and substance abuse as a treatable illness and recognize the importance of a holistic approach in its management. Although the willingness to initiate therapeutic measures in the emergency centre exists, more training in this field may be beneficial. â”¬âŒ 2012 African Federation for Emergency Medicine. Production and hosting by Elsevier B.V. All rights reserved.</t>
  </si>
  <si>
    <t>(Kalebka R.R.; Bruijns S.R.) (Van Hoving D.J., nvhoving@sun.ac.za) African Federation for Emergency Medicine, admin@afem.info; ID: 2442</t>
  </si>
  <si>
    <t>2211-419X</t>
  </si>
  <si>
    <t>2013176987 PUI L368552114</t>
  </si>
  <si>
    <t>10.1016/j.afjem.2012.09.004 FULL TEXT LINK http://dx.doi.org/10.1016/j.afjem.2012.09.004</t>
  </si>
  <si>
    <t>Kano,M.;Goto,Y.;Atsuta,Y.;Naito,M.;Hamajima,N.;Author,Addresses;Department,of;Preventive,Medicine Biostatistics;Medical,Decision Making;University Graduate School,of Medicine;Japan;Correspondence,Address;Kano, Department of Preventive Medicine Biostatistics,M.;Medical;Decision Making, Nagoya University Graduate School,of Medicine;Tsurumai-cho,Showa;yobojim@mednagoya,u ac jp</t>
  </si>
  <si>
    <t>18351234; Smoking cessation after genotype notification: pilot studies of smokers employed by a municipal government and those on Nagoya University medical campus</t>
  </si>
  <si>
    <t>Nagoya journal of medical science</t>
  </si>
  <si>
    <t>Nagoya J.Med.Sci.</t>
  </si>
  <si>
    <t>genetic predisposition;health education;smoking (prevention);smoking cessation;adult;aged;article;employment;female;genetics;genotype;government;human;Japan;male;middle aged;pilot study;university hospital</t>
  </si>
  <si>
    <t>In order to examine whether a notification of genotypes related to a susceptibility to smoking has any influence on an intention to quit, a pilot study was conducted for 61 smokers out of 66 municipal government employees who attended an anti-smoking seminar in November 2005 or January 2006 (MG), and for 46 smokers (employees and students) on a medical campus (Tsurumai Campus) of Nagoya University (TC), who voluntarily responded to the study enrollment notice in August 2006. They were genotyped for four polymorphisms; GSTM1 null/present, GSTT1 null/present, NQO1 C609T, and CYP1A1 Ile/Val. For the MG group, their smoking habits were ascertained three times; at enrollment, one month later just before the genotype notification by in-house mail, and three months after the notification. The smoking cessation rate was 8.2%. For the TC group, their genotypes were mailed two weeks after blood sampling. The follow-up questionnaire three months after the genotype notification found a 10.9% cessation rate. Their stage of smoking cessation significantly improved after the genotype notification. This study demonstrated that the effects of the genotype notification in this context of smoking cessation were moderate and less remarkable than might have been expected. Although the genotype notification in TC improved their stage of readiness to quit smoking, additional skills or tools in support of the notification are needed to achieve a higher cessation rate.</t>
  </si>
  <si>
    <t>(Kano M.; Goto Y.; Atsuta Y.; Naito M.; Hamajima N.); ID: 3022</t>
  </si>
  <si>
    <t>0027-7622</t>
  </si>
  <si>
    <t>http://www.ncbi.nlm.nih.gov/pubmed/18351234</t>
  </si>
  <si>
    <t>Smoking cessation after genotype notification: pilot studies of smokers employed by a municipal government and those on Nagoya University medical campus</t>
  </si>
  <si>
    <t>Karlikaya,C.;â”œÃ»zdemir,L.;Author,Addresses;Department of,Chest Diseases;of Medicine, Trakya University,Edirne Turkey;Dortyol,State Hospital;Correspondence,Address;Karlikaya, Department of Chest Diseases Faculty of Medicine Trakya,C.;University,Edirne Turkey Email celalk trakya edu tr</t>
  </si>
  <si>
    <t>21554226; Did unprogrammed tobacco control efforts over seven years decrease smoking prevalence in the medical school? ORIGINAL (NON-ENGLISH) TITLE Ti{dotless}p fakâ”œâ•ltesi â”œâ•¢â•ŸÂºrencilerinin sigara iâ”œÂºme oranlari{dotless}, yedi yi{dotless}l sâ”œâ•resince gerâ”œÂºekleâ”¼Æ’tirilen programsi{dotless}z tâ”œâ•tâ”œâ•n kontrolâ”œâ• â”œÂºabalari{dotless} ile azaldi{dotless} mi{dotless}?</t>
  </si>
  <si>
    <t>Tuberkuloz ve Toraks</t>
  </si>
  <si>
    <t>cigarette smoking;medical school;smoking cessation;adult;article;controlled study;female;human;male;medical student;questionnaire;student attitude;Public Health, Social Medicine and Epidemiology (17)</t>
  </si>
  <si>
    <t>Medical students will have significant roles in combating against death tool of tobacco. The aim of this study is to evaluate whether any decrease in the smoking prevalence of the medical students over seven years of many tobacco control efforts. A self-administered questionnaire was carried out among 764 of 854 (89.4%) medical students in order to determine the knowledge, attitudes and behaviors towards tobacco use. Chi-square tests, Student's t-test and multiple logistic regression methods were used. Results were compared with the historical control study that was done seven years ago with same methods. 25.9% of the students were smoker (36.6% of males, 16.3% of females), 4.9% was exsmoker and 69.2% was nonsmoker. Quit rate was high among males than females (6.8% versus 3.3%, p&lt; 0.05). When compared with historical cohort in 1999, smoking rate decreased only 3.8% for males and 5.5% for females, and quit rates were not higher. Lower curriculum year, and lower knowledge level about the harms of smoking and environmental tobacco smoke in lower grades, living in bachelor homes, easy access to smuggled cigarettes, using non-cigarette tobacco products were main factors for smoking. There was little decline in smoking rates of medical students despite of many local and national tobacco control efforts over seven years. Special attention and organized, programmed efforts are needed in medical schools in Turkey.</t>
  </si>
  <si>
    <t>(Karlikaya C., celalk@trakya.edu.tr) (â”œÃ»zdemir L.) BILIMSEL TIP YAYINEVI, BUKRES SOKAK nO: 3/20 kAVAKLIDERE, ANKARA, Turkey.; ID: 2674</t>
  </si>
  <si>
    <t>0494-1373</t>
  </si>
  <si>
    <t>http://www.ncbi.nlm.nih.gov/pubmed/21554226</t>
  </si>
  <si>
    <t>10.5578/tt.902 FULL TEXT LINK http://dx.doi.org/10.5578/tt.902</t>
  </si>
  <si>
    <t>Did unprogrammed tobacco control efforts over seven years decrease smoking prevalence in the medical school? ORIGINAL (NON-ENGLISH) TITLE Ti{dotless}p fakÃ¢â€Å“Ã¢â€¢Âltesi Ã¢â€Å“Ã¢â€¢Â¢Ã¢â€¢Å¸Ã‚Âºrencilerinin sigara iÃ¢â€Å“Ã‚Âºme oranlari{dotless}, yedi yi{dotless}l sÃ¢(TRUNCATED)</t>
  </si>
  <si>
    <t>Katshu,M. Z.;Dubey,I.;Khess,C. R.;Sarkhel,S.;Author,Addresses;Correspondence,Address;Katshu,M. Z.</t>
  </si>
  <si>
    <t>21302184; Snake bite as a novel form of substance abuse: personality profiles and cultural perspectives</t>
  </si>
  <si>
    <t>(MAJOR FOCUS);psychotropic agent (drug toxicity);snake venom (drug toxicity);addiction (diagnosis, epidemiology);cultural anthropology;snakebite;adult;case report;decision making;human;letter;male;middle aged;snake venom (55230-69-8)</t>
  </si>
  <si>
    <t>(Katshu M.Z.; Dubey I.; Khess C.R.; Sarkhel S.); ID: 2733</t>
  </si>
  <si>
    <t>http://www.ncbi.nlm.nih.gov/pubmed/21302184</t>
  </si>
  <si>
    <t>10.1080/08897077.2011.540482 FULL TEXT LINK http://dx.doi.org/10.1080/08897077.2011.540482</t>
  </si>
  <si>
    <t>Snake bite as a novel form of substance abuse: personality profiles and cultural perspectives</t>
  </si>
  <si>
    <t>Katz,R. S.;Small,B. J.;Ferbert,S. M.;Kuenzi,P.;Shott,S.;Author,Addresses;Rush,University;Medical Center,Chicago,United States;Rush,University;Medical School,Chicago,United States;Advocates,for;Funding,Fibromyalgia Treatment;Research;Libertyville,United States;Correspondence,Address;RS Katz, Rush University Medical Center Chicago,United States</t>
  </si>
  <si>
    <t>Fibromyalgia and parental medical histories of depression and alcoholism</t>
  </si>
  <si>
    <t>Arthritis and Rheumatism</t>
  </si>
  <si>
    <t>Arthritis Rheum.</t>
  </si>
  <si>
    <t>63:10 SUPPL. 1.</t>
  </si>
  <si>
    <t>alcoholism;college;fibromyalgia;health practitioner;human;medical history;rheumatology;alcohol abuse;chi square test;diagnosis;father;female;Fisher exact test;male;mother;parent;patient;prevalence;progeny;questionnaire;rank sum test;rheumatic disease;risk</t>
  </si>
  <si>
    <t>Background/Purpose: We investigated whether depression or alcoholism in parents is associated with an increased risk of fibromyalgia (FMS) in offspring. We had found in a previous study suggestions of an increased prevalence depression in the mothers and alcohol abuse in the fathers of fibromyalgia patients. Methods: 115 FMS patients and 63 control patients with other rheumatic diseases answered a rheumatology office questionnaire that included questions about whether their mother or father had been diagnosed with or had symptoms of depression, alcoholism, or FMS. The chi-square test of association and Fisher's exact test were used to compare FMS and control patients with respect to percentages. The Mann-Whitney test was done to compare these groups with respect to age. A 0.05 significance level was used and all tests were two-sided. Results: 81.7% of the FMS patients and 61.9% of the control patients were women (p = 0.004). The mean age was 48.1 â”¬â–’ 12.3 years for FMS patients and 50.7 â”¬â–’13.6 for control patients (p = 0.092). 33.0% of FMS patients and 8.1% of control patients reported a depression diagnosis or symptoms in their mothers (p &lt; 0.001). 26.3% of FMS patients reported a depression diagnosis or symptoms in their fathers, compared to 10.0% of control patients (p = 0.013). Although FMS patients were more likely than control patients to report an alcoholism diagnosis or symptoms in their mothers (9.6% vs. 4.8%. p = 0.38) and fathers (19.2% vs. 10.0%, p = 0.18), the differences were not statistically significant. FMS patients were significantly more likely than control patients to report a FMS diagnosis or symptoms in their mothers (26.4% vs. 3.2%. p &lt; 0.001), but not in their fathers (6.2% vs. 0%, p = 0.083). Conclusion: FMS patients were significantly more likely than control patients to report that their parents had a diagnosis or symptoms of depression, and significantly more likely to report that their mothers had a FMS diagnosis or symptoms. No statistically significant differences were found with respect to paternal FMS or maternal or paternal alcoholism.</t>
  </si>
  <si>
    <t>(Katz R.S.; Small B.J.; Ferbert S.M.; Kuenzi P.; Shott S.) (AFFTER) Annual Scientific Meeting of the American College of Rheumatology and Association of Rheumatology Health Professionals 2011 Chicago, IL, United States 2011-11-04 to 2011-11-09 John Wiley and Sons Inc.; ID: 2638</t>
  </si>
  <si>
    <t>Katz,R. S.;Small,B. J.;Ferbert,S. M.;Shott,S.;Author,Addresses;Rush Medical College, Chicago,United States;Rush University Medical School, Chicago,United States;Advocates for Funding,Fibromyalgia Treatment;Research,Libertyville United States;Rush University Medical Center, Chicago,United States;Correspondence,Address;RS Katz, Rush Medical College Chicago,United States</t>
  </si>
  <si>
    <t>65 SUPPL. 10</t>
  </si>
  <si>
    <t>S463</t>
  </si>
  <si>
    <t>S464</t>
  </si>
  <si>
    <t>alcoholism;college;fibromyalgia;health practitioner;human;medical history;rheumatology;alcohol abuse;chi square test;diagnosis;father;female;Fisher exact test;male;mother;parent;patient;prevalence;questionnaire;rank sum test;rheumatic disease</t>
  </si>
  <si>
    <t>Background/Purpose: We had found in a previous study suggestions of an increased prevalence of depression in the mothers and alcohol abuse in the fathers of fibromyalgia patients. We re-examined this finding in a group of fibromyalgia patients. Methods: 115 FMS patients and 63 control patients with other rheumatic diseases answered a rheumatology office questionnaire that included questions about whether their mother or father had been diagnosed with or had symptoms of depression, alcoholism, or FMS. The chi-square test of association and Fisher's exact test were used to compare FMS and control patients with respect to percentages. The Mann-Whitney test was done to compare these groups with respect to age. A 0.05 significance level was used and all tests were two-sided. Results: 81.7% of the FMS patients and 61.9% of the control patients were women (p = 0.004). The mean age was 48.1 â”¬â–’ 12.3 years for FMS patients and 50.7 13.6 for control patients (p=0.092). 33.0% of FMS patients and 8.1% of control patients reported a depression diagnosis or symptoms in their mothers (p &lt; 0.001). 26.3% of FMS patients reported a depression diagnosis or symptoms in their fathers, compared to 10.0% of control patients (p = 0.013). Although FMS patients were more likely than control patients to report an alcoholism diagnosis or symptoms in their mothers (9.6% vs. 4.8%. p = 0.38) and fathers (19.2% vs. 10.0%, p = 0.18), the differences were not statistically significant. FMS patients were significantly more likely than control patients to report a FMS diagnosis or symptoms in their mothers (26.4% vs. 3.2%. p &lt; 0.001), but not in their fathers (6.2% vs. 0%, p = 0.083). Conclusion: FMS patients were significantly more likely than control patients to report that their parents had a diagnosis or symptoms of depression, and significantly more likely to report that their mothers had the diagnosis or symptoms of FMS. No statistically significant differences were found with respect to paternal FMS or maternal or paternal alcoholism. (Table Presented).</t>
  </si>
  <si>
    <t>(Katz R.S.) (Small B.J.) (Ferbert S.M.) (AFFTER) (Shott S.) American College of Rheumatology/Association of Rheumatology Health Professionals Annual Scientific Meeting, ACR/ARHP 2013 San Diego, CA, United States 2013-10-25 to 2013-10-30 John Wiley and Sons Inc.; ID: 2355</t>
  </si>
  <si>
    <t>10.1002/art.38216 FULL TEXT LINK http://dx.doi.org/10.1002/art.38216</t>
  </si>
  <si>
    <t>Katz,S.;Author,Addresses</t>
  </si>
  <si>
    <t>1562950; Addiction can take many forms, experts warn MDs at conference</t>
  </si>
  <si>
    <t>(MAJOR FOCUS);codeine (drug therapy);diazepam (drug therapy);oxycodone (drug therapy);paracetamol (drug therapy);pethidine (drug therapy);acetylsalicylic acid plus oxycodone plus oxycodone terephthalate;fentanyl (pharmacology);hydromorphone (drug therapy);addiction;alcohol abuse;drug abuse;medical education;Canada;human;intramuscular drug administration;note;oral drug administration;physician;priority journal;DRUG TRADE NAMES;demerol;dilaudid;percodan;codeine (76-57-3);diazepam (439-14-5);fentanyl (437-38-7);hydromorphone (466-99-9, 71-68-1);oxycodone (124-90-3, 76-42-6);paracetamol (103-90-2);percodan (64336-56-7);pethidine (28097-96-3, 50-13-5, 57-42-1);Public Health, Social Medicine and Epidemiology (17);Drug Dependence, Alcohol Abuse and Alcoholism (40);Clinical and Experimental Pharmacology (30);Drug Literature Index (37)</t>
  </si>
  <si>
    <t>(Katz S.) Canadian Association of Radiologists, 1740 boul.Cote-Vertu Blvd, St-Laurent, Canada.; ID: 3628</t>
  </si>
  <si>
    <t>http://www.ncbi.nlm.nih.gov/pubmed/1562950</t>
  </si>
  <si>
    <t>Addiction can take many forms, experts warn MDs at conference</t>
  </si>
  <si>
    <t>Kaul,P.;Fisher,J. H.;Hanson,J. L.;Author,Addresses;Section of,Adolescent;Medicine,University of Colorado School of Medicine Children's Hospital;Colorado,Aurora United States;University of Colorado Anschutz,Medical Campus;Nursing,Aurora United States;Department of Pediatrics, University of Colorado,School of;Medicine,Children's Hospital Colorado Aurora United States;Correspondence,Address;Kaul, Section of Adolescent Medicine University of Colorado School of,P.;Medicine,Children's Hospital Colorado E.th Ave Box B.Aurora;United States Email, paritosh kaul,childrenscolorado org</t>
  </si>
  <si>
    <t>29175430; Medical StudentsÎ“Ã‡Ã– Acquisition of Adolescent Interview Skills after Coached Role Play</t>
  </si>
  <si>
    <t>Journal of pediatric and adolescent gynecology</t>
  </si>
  <si>
    <t>J.Pediatr.Adolesc.Gynecol.</t>
  </si>
  <si>
    <t>adolescent health;medical education;role playing;adolescent;article;checklist;controlled study;depression;drug abuse;employment;human;Kruskal Wallis test;major clinical study;medical student;patient education;priority journal;retrospective study;suicide;Public Health, Social Medicine and Epidemiology (17);Pediatrics and Pediatric Surgery (7)</t>
  </si>
  <si>
    <t>Study Objective: To develop and evaluate an educational activity designed to teach the adolescent Home, Education and employment, Eating, Activities, Drugs, Sexuality, Suicide/depression, and Safety (HEADS) examination. Design, Setting, Participants, Interventions, and Main Outcome Measures: Participants were third-year medical students in their pediatric clerkships. Students received an article on the HEADS interview and attended an adolescent medicine educational session. The session included individualized goal-setting and coached role play. StudentsÎ“Ã‡Ã– skills in doing a HEADS interview were evaluated through a standardized patient encounter (SPE) with a checklist and a retrospective pre- and post-test survey. The SPE checklist was used to assess whether the students included questions in 6 key areas of a HEADS interview. Results: One hundred fifty-two students participated. During the SPE, 90% of students queried the adolescent's home life, 91% education, 82% activities, 84% drug/substance abuse, 95% sexual history, and 61% symptoms of depression. Pre- and postintervention data were compared using the Kruskal-Wallis Test and showed a statistically significant difference in the studentsÎ“Ã‡Ã– ability to list key topic areas of the HEADS exam (P &lt;.001) and to use the skills needed for an adolescent interview using the HEADS exam (P &lt;.001). Conclusion: After an introduction to the HEADS examination, most students covered almost all of the topic areas of this screening interview during a SPE. Only three-fifths of the students, however, included questions about symptoms of depression. Coached role play with goal-setting facilitated effective learning of this approach to adolescent interviewing.</t>
  </si>
  <si>
    <t>(Kaul P., paritosh.kaul@childrenscolorado.org) (Fisher J.H.) (Hanson J.L.) Elsevier USA; ID: 1722</t>
  </si>
  <si>
    <t>1873-4332 (electronic) 1083-3188</t>
  </si>
  <si>
    <t>http://www.ncbi.nlm.nih.gov/pubmed/29175430</t>
  </si>
  <si>
    <t>10.1016/j.jpag.2017.11.003 FULL TEXT LINK http://dx.doi.org/10.1016/j.jpag.2017.11.003</t>
  </si>
  <si>
    <t>Medical StudentsÎ“Ã‡Ã– Acquisition of Adolescent Interview Skills after Coached Role Play</t>
  </si>
  <si>
    <t>Kavosi,A.;Vizvari,P.;Mohammadi,G.;Jouybari,L.;Sanagu,A.;Author,Addresses;Department of,Operating Room;of,Medical Sciences;Gorgan Health Center, Golestan University,of Medical;Sciences,Gorgan Iran;Medical Education Development Center, School of,Nursing and;Midwifery,School of Nursing;Midwifery,Gorgan Iran;Nursing Research Center, School,of Nursing;Midwifery;Golestan University of,Medical Sciences</t>
  </si>
  <si>
    <t>Seroprevalence of positive hbsag and its associated factors in pregnant women referred to health centers of agh-ghala city in 2010-2012</t>
  </si>
  <si>
    <t>Iranian Journal of Obstetrics, Gynecology and Infertility</t>
  </si>
  <si>
    <t>(MAJOR FOCUS);hepatitis B surface antigen;hepatitis B (epidemiology);pregnant woman;seroprevalence;article;cross-sectional study;ethnicity;female;human;jaundice;major clinical study;perinatal period;questionnaire;tattooing;Obstetrics and Gynecology (10);Public Health, Social Medicine and Epidemiology (17);Microbiology: Bacteriology, Mycology, Parasitology and Virology (4)</t>
  </si>
  <si>
    <t>Introduction: The mother's infection to HBV viruses can expose the baby to the risk of next infection to chronic hepatitis, on the other hand, the prevalence of hepatitis is related to the health and socio-economic factors of the people in an area.This study was performed with aim to determine the seroprevalence of HbsAg+ and its relation with some effective factors in pregnant women referred to health centers of Agh-Ghala city. Methods: In this descriptive, and cross-sectional study, 1057 pregnant women were studied during two years of 2010 until 2012 in terms of prevalence of HbsAg+ in Agh-Ghala city. Data was recorded in the questionnaire with blood samples. Data were analyzed using SPSS statistical software (version 16) and Fisher, Chi-square, and T-Test. P0.05). Conclusions: The prevalence of hepatitis B is somewhat high in Agh-Ghala city and suggests the need for screening and treatment. Therefore, tests must be performed as one of the routine tests for searching hepatitis B virus during the perinatal period.</t>
  </si>
  <si>
    <t>(Kavosi A.; Mohammadi G.) (Vizvari P.) (Jouybari L.) (Sanagu A.) Mashhad University of Medical Sciences, P.O. Box: 445, Daneshgah Avenue, Mashhad, Iran. akhlaghif@mums.ac.ir;; ID: 2175</t>
  </si>
  <si>
    <t>2008-2363 (electronic) 1680-2993</t>
  </si>
  <si>
    <t>2015247899 PUI L605485452</t>
  </si>
  <si>
    <t>Kawahara,K.;Ohida,T.;Osaki,Y.;Mochizuki,Y.;Minowa,M.;Yamaguchi,N.;Kusaka,Y.;Author,Addresses;Department of Health Science Policies, Graduate School,of Tokyo;Medical;Dental University,Japan;Correspondence,Address;Kawahara, Department of Health Science Policies Graduate School of Tokyo,K.;Medical;Dental University,Japan</t>
  </si>
  <si>
    <t>10860299; Study of the smoking behavior of medical doctors in Fukui, Japan and their antismoking measures</t>
  </si>
  <si>
    <t>Journal of epidemiology / Japan Epidemiological Association</t>
  </si>
  <si>
    <t>J.Epidemiol.</t>
  </si>
  <si>
    <t>health behavior;health education;physician;smoking (epidemiology);adult;age distribution;aged;article;chi square distribution;cohort analysis;female;human;information processing;Japan (epidemiology);male;middle aged;organization and management;physician attitude;prevalence;sex ratio;social behavior;statistics</t>
  </si>
  <si>
    <t>We conducted a survey on smoking among all members of the medical association in Fukui Prefecture, using a questionnaire to be filled in by the subjects. The survey was conducted from December of 1996 to February of 1997, and the return rate was 90.8%. The main results of this survey were as follows: the prevalence of current smoking among medical doctors was 26.0% (male: 27.8%, female: 5.2%), which was lower than that of adults in the general population. The prevalence of past smoking among doctors 20 to 34 years old by age cohort was highest and that among doctors 35 years old and higher declines as age cohort increased. Doctors' participation in activities for the prevention of smoking in the general society was also found to be at a low level.</t>
  </si>
  <si>
    <t>(Kawahara K.; Ohida T.; Osaki Y.; Mochizuki Y.; Minowa M.; Yamaguchi N.; Kusaka Y.); ID: 3391</t>
  </si>
  <si>
    <t>0917-5040</t>
  </si>
  <si>
    <t>http://www.ncbi.nlm.nih.gov/pubmed/10860299</t>
  </si>
  <si>
    <t>Study of the smoking behavior of medical doctors in Fukui, Japan and their antismoking measures</t>
  </si>
  <si>
    <t>Kazemi,S.;Hosseinabad,M. S.;Ameri,M.;Ghorbani Yekta,B.;Author,Addresses;Department of Forensic Medicine,Modaress Hospital;Beheshti,Medical University;Department,of Forensic;Shahid Beheshti Medical University, Shohaday-e Haftom-e-Tir,Tehran Iran;Department of Forensic Medicine, Iran University,of Medical;Sciences,Rasul Akram Hospital Tehran Iran;Applied Physiology,Research Centre;University,Tehran Medical Sciences Branch Tehran Iran;Correspondence,Address;MS Hosseinabad, Shahid Modares Hospital Nyaiesh Highway,Tehran Iran;Email,mzn sh yahoo com</t>
  </si>
  <si>
    <t>Acute respiratory distress syndrome assessment after traumatic brain injury</t>
  </si>
  <si>
    <t>adult respiratory distress syndrome (complication);traumatic brain injury (disease management);article;disease association;Glasgow coma scale;human;hypertension;hypoxic ischemic encephalopathy;incidence;metabolic acidosis;pneumonia;prevalence;prospective study;questionnaire;risk factor;subarachnoid hemorrhage;subdural hematoma</t>
  </si>
  <si>
    <t>Background: Acute respiratory distress syndrome (ARDS) is one of the most important complications associated with traumatic brain injury (TBI). ARDS is caused by inflammation of the lungs and hypoxic damage with lung physiology abnormalities associated with acute respiratory distress syndrome. Aim of this study is to determine the epidemiology of ARDS and the prevalence of risk factors. Methods: This prospective study performed on patients with acute traumatic head injury hospitalization in the intensive care unit of the Shohaday-e Haftom-e-Tir Hospital (September 2012 to September 2013) done. About 12 months, the data were evaluated. Information including age, sex, education, employment, drug and alcohol addiction, were collected and analyzed. The inclusion criteria were head traumatic patients and exclusion was the patients with chest trauma. Questionnaire was designed with doctors supervision of neurosurgery. Then the collected data were analysis. Results: In this study, the incidence of ARDS was 23.8% and prevalence of metabolic acidosis was 31.4%. Most injury with metabolic acidosis was Subarachnoid hemorrhage (SAH) 48 (60%) and Subdural hemorrhage (SDH) was Next Level with 39 (48%) Correlation between Glasgow Coma Scale (GCS) and Respiratory Distress Syndrome (ARDS) were significantly decreased (P&lt; 0.0001). The level of consciousness in patients with skull fractures significantly lower than those without fractures (P= 0.009) (2.3â”¬â–’4.6) vs (4.02â”¬â–’7.07)]. Prevalence of metabolic acidosis during hospitalization was 80 patients (31.4%). Conclusion: Acute respiratory distress syndrome is a common complication of traumatic brain injury. Management and treatment is essential to reduce the mortality. In this study it was found the age of patients with ARDS was higher than patients without complications. ARDS risk factor for high blood pressure was higher in men. Most victims were pedestrians. The most common injury associated with ARDS was SDH. Our analysis demonstrates that Acute respiratory distress syndrome is common after traumatic brain injury. Management of traumatic brain injury is necessary to manage and reduce the mortality.</t>
  </si>
  <si>
    <t>(Kazemi S.) (Hosseinabad M.S., mzn.sh78@yahoo.com) (Ameri M.) (Ghorbani Yekta B.) Tehran University of Medical Sciences, noyanmd@gmail.com; ID: 2029</t>
  </si>
  <si>
    <t>1735-7322 (electronic) 1683-1764</t>
  </si>
  <si>
    <t>20151047432 PUI L607341163</t>
  </si>
  <si>
    <t>Persian</t>
  </si>
  <si>
    <t>Keller,D. S.;Dermatis,H.;Author,Addresses;Department of Psychiatry, New York,Univ School;of Medicine, First Avenue New York,N.Y.United States;Correspondence,Address;DS Keller, Department of Psychiatry New York Univ School,of Medicine;First Avenue, New York,N.Y.United States</t>
  </si>
  <si>
    <t>Current status of professional training in the addictions</t>
  </si>
  <si>
    <t>(MAJOR FOCUS);buprenorphine;desipramine;disulfiram;levacetylmethadol;methadone;naltrexone;drug dependence;medical education;health care personnel;medical information;review;training;United States;buprenorphine (52485-79-7, 53152-21-9);desipramine (50-47-5, 58-28-6);disulfiram (97-77-8);levacetylmethadol (34433-66-4);methadone (1095-90-5, 125-56-4, 23142-53-2, 297-88-1, 76-99-3);naltrexone (16590-41-3, 16676-29-2);Rehabilitation and Physical Medicine (19);Drug Literature Index (37);Drug Dependence, Alcohol Abuse and Alcoholism (40)</t>
  </si>
  <si>
    <t>Addictions training curricula within traditional graduate and postgraduate programs of professional disciplines lag behind those devoted to other disorders. After presenting a brief historical overview of addictions training in the United States, this paper focuses on current addictions training practices for each of the major health care professions, highlighting both recent advancements as well as shortcomings, particularly with respect to the ability to disseminate recent empirically tested addiction treatments. New psychosocial and pharmacotherapies for addictive disorders are then discussed which would be better disseminated within training programs with enhanced addictions training components. The paper concludes with a discussion of and recommendations for enhancing abuse training and knowledge dissemination.</t>
  </si>
  <si>
    <t>(Keller D.S.; Dermatis H.); ID: 3401</t>
  </si>
  <si>
    <t>1999384544 PUI L29517890</t>
  </si>
  <si>
    <t>10.1023/A:1021367932610 FULL TEXT LINK http://dx.doi.org/10.1023/A:1021367932610</t>
  </si>
  <si>
    <t>Khalid,L.;Roth,S. L.;Wey,G.;Carrozzi,G.;Starrels,J. L.;Author,Addresses;Albert Einstein College,of Medicine;Center,Bronx United States;Montefiore,Medical Center;States;Montefiore Medical Center, New York,United States;Correspondence,Address;Khalid, Montefiore Medical Center Bronx United States,L.</t>
  </si>
  <si>
    <t>Innovativemodelto teach judicious opioid prescribing: A resident teaching practice specialty session</t>
  </si>
  <si>
    <t>S685</t>
  </si>
  <si>
    <t>(MAJOR FOCUS);opiate;naloxone;prescription;resident;teaching;chronic pain;clinical trial;consensus development;curriculum;drug therapy;functional status;human;human tissue;injection;internal medicine;joint;major clinical study;mental health;model;pain assessment;pain clinic;patient education;patient referral;patient satisfaction;pharmacokinetics;questionnaire;register;safety;side effect;social worker;substance use;urine;naloxone (357-08-4, 465-65-6);opiate (53663-61-9, 8002-76-4, 8008-60-4)</t>
  </si>
  <si>
    <t>NEEDS AND OBJECTIVES: Internal Medicine (IM) residents report low confidence and satisfaction in treating patients with chronic pain on opioids, in large part due to inadequate knowledge and preparation. To address dual aims of providing guideline-adherent patient care and training residents about judicious opioid prescribing, we developed an innovative resident teaching practice (RTP) specialty session for patients with chronic pain on opioids: Power Over Pain (POP) Clinic. SETTING AND PARTICIPANTS: The POP Clinic is a weekly session at a large urban IM teaching practice that serves publically insured patients in Bronx, NY. The practice cares for approximately 300 patients on chronic opioid therapy (COT). Prior to the POP Clinic, there were no mandatory policies regarding care or precepting for COT patients. DESCRIPTION: Since 9/2016, all patients onCOT (&gt;3 opioid prescriptions in 6 months) are required to be seen in POP Clinic at least yearly. The POP Clinic is staffed by PGYII-III IM residents who rotate thrice yearly. Residents see 1-3 patients per session and are precepted by any of three IMattendings with expertise in opioid prescribing. We developed a structured visit template to assess patient goals, pain/treatment history, current opioid regimen, side effects, functional status, mental health, substance use history, and opioid misuse. Precepting includes summarizing risks and benefits of opioid therapy, optimizing current medication regimen, and providing specialty referrals, joint injections, naloxone prescriptions, or referral to an on-call social worker. We emphasize patient education and nonjudgmental communication; preceptors accompany residents to observe their delivery, and feedback is given. We developed a focused didactic curriculum on pain and opioidmanagement; half hour seminars precede each POP Clinic. Topics include safety and efficacy of opioids, multimodal pain care, opioid use disorder, tapering opioids, and interpreting urine drug tests. EVALUATION: We are conducting a pre-post study using a questionnaire administered to residents prior to their first POP session and at the end of academic year. The questionnaire assesses residents' knowledge and attitudes about chronic pain and opioid management, and their experiences in POP Clinic. Using an ongoing registry of COT patients, we will examine outcomes such as change in opioid dose, pain and function, and patient satisfaction. DISCUSSION/REFLECTION/LESSONS LEARNED: We have successfully developed and implemented an RTP specialty session for patients on COT within a large urban teaching practice. Though other educational interventions exist for teaching residents about care of patients on COT, such as online courses or didactic presentations, ours is among the first experiential interventions that uses designated sessions in which IM residents are precepted while providing a comprehensive pain assessment. We believe our innovative clinic can serve as a model for delivering guideline-adherent care and increasing resident confidence and knowledge in managing patients on COT.</t>
  </si>
  <si>
    <t>(Starrels J.L.) (Khalid L.; Roth S.L.; Carrozzi G.) (Wey G.) 40th Annual Meeting of the Society of General Internal Medicine, SGIM 2017 Washington, DC, United States 2017-04-19 to 2017-04-22 Springer New York LLC; ID: 1811</t>
  </si>
  <si>
    <t>Khalil,T.;Walton,H.;Ng,W.;Chakravorty,I.;Author,Addresses;Acute Medical Unit, St Georges University of London London,United Kingdom;Correspondence,Address;Khalil, Acute Medical Unit St Georges University of London London,T.;United Kingdom Email, m sgul,ac uk</t>
  </si>
  <si>
    <t>Smoking status and cessation intervention in acute medical admissions in a busy city hospital and associated co-morbidities-Time for a change?</t>
  </si>
  <si>
    <t>nicotine;chronic disease;city;education;European;hospital;morbidity;smoking;society;asthma;chronic lung disease;consultation;death;dementia;diabetes mellitus;documentation;female;health care personnel;hospital admission;hospital patient;human;hypertension;kidney disease;lifestyle modification;lung cancer;patient;population research;prevalence;smoking cessation;United Kingdom</t>
  </si>
  <si>
    <t>Concurrent smoking leads to poorer outcomes and patients are receptive for advice on lifestyle changes including cessation during or immediately after an acute event. This should be addressed at every consultation with a healthcare professional. Documentation of status and implementation of is a key national priority. Design A retrospective analysis of all patients admitted to a busy acute medical unit in a London city hospital in January 2013, to ascertain smoking status, cessation advice or treatment. Results Our cohort included 792 (348 women) patients; age 69 (SD 19) years; 41 inpatient deaths (SMR 52/1000 admissions). Co-morbidities - hypertension (38%), cardiovascular (13%), cerebrovascular (9%), diabetes (22%), 9% Dementia, 3% depression and 8% kidney disease. Amongst 23% with chronic lung diseases, 38% had asthma, 52% COPD, 5% lung cancer and 5% other. 3.4% (n = 27; incl 10 women) were current smokers 1.8% ex-smokers, 0.9% non-smokers and no documentation in the rest. Smoking cessation advice was given to 7/27 (25.9%), 3 patients expressed desire to quit and 1 patient was prescribed nicotine replacement. Discussion Census estimates smoking prevalence at 25-27%, although likely to be higher amongst hospital admissions. We are likely to be missing a vast majority of current smokers (87%) with significant comorbidites. If approached during their stay, then the quit rate may be around 50%. Therefore documentation of smoking status within admission proformas and cessation advice as part of a brief intervention, needs to be implemented as a matter of urgency followed by referral to specialized smoking cessation services.</t>
  </si>
  <si>
    <t>(Khalil T., m0802179@sgul.ac.uk; Walton H., m0701046@sgul.ac.uk; Ng W., m0800629@sgul.ac.uk; Chakravorty I., indranil.chakravorty@stgeorges.nhs.uk) European Respiratory Society Annual Congress 2013 Barcelona, Spain 2013-09-07 to 2013-09-11 European Respiratory Society; ID: 2373</t>
  </si>
  <si>
    <t>Khan,M.;Saeed,R.;Sujjat,J.;Mukhtar,Z.;Mukhtar,Z.;Naiz,S.;Author,Addresses;Psychiatry,Sexual Health Institute of Pakistan Lahor Pakistan;Psychiatry,Azra Naheed Medical College Lahor Pakistan;Psychology,International Islamic University Rawalpindi;Pakistan;Psychology,Univeristy of Sargodha Sargodha;Pakistan;Pschiatry,Univeristy of Sargodha London United Kingdom;Correspondence,Address;Khan, Psychiatry Sexual Health Institute of Pakistan Lahor Pakistan,M.</t>
  </si>
  <si>
    <t>Preventive strategies for medically induced drug addiction</t>
  </si>
  <si>
    <t>30 SUPPL. 1</t>
  </si>
  <si>
    <t>antiporter;cystine;dopamine;glutamic acid;glutathione;ketamine;n methyl dextro aspartic acid;neuroleptic agent;oxidizing agent;oxytocin;drug dependence;European;psychiatry;adaptation;addiction;brain;dopamine release;drug therapy;euphoria;excitation;human;intimacy;intranasal drug administration;learning;low drug dose;memory;model;oxidative stress;plasticity;sensation</t>
  </si>
  <si>
    <t>INTRODUCTION: Many time people get addicted to a drug like opiods when prescribed for some medical purpose. Neurobiological models of addiction has proposed cellular adaptation as mechanism of drug addiction. Excessive release of dopamine in NA due to drug intake produces euphoric sensation leading to pathological learning. .Repeated use of drug increase glutametergic drive from prefrontal to NA cause compulsive seeking of drug in drug addicts .Is it possible to prevent medically induced addiction. Method: . Pub med search was made by using key words , addiction model, dopamine ,glutamate ,anticraving medicine, oxidative stress. RESULTS: Different antiglutametergic medication like ketamine, mementine, accomprosate modulate glutamatic excitation to prevent addiction. Natural medicine like N acetyle cystine and oxytocin have protective role . Typical antipsychotic can block surge of dopamine in NA. Discussion : When addictive drug has to be used inevitably for medical purpose it should be combined with other drugs to prevent development of addiction. First euphoria related to dopamine release in NA can be blocked by use of low dose typical antipsychotic or dopamine partial antagonist . NMDA is molecular target of various addictive drugs. Memtentine, ketamine or accomprosate can minimize effects of glutametergic plasticity. N accetyle cystine can restore glutamatergic pathway by its system of cystine- glutamate antiporter. It is source of glutathione largest anti oxidant system of body. Intranasal oxytocin can prevent addiction through its action on stress ,learning, memory and intimacy. Intranasal oxytocin can be delivered directly to the brain. CONCLUSION: Different strategies can be used to prevent medically induced addiction.</t>
  </si>
  <si>
    <t>(Khan M.) (Saeed R.) (Sujjat J.) (Mukhtar Z.; Mukhtar Z.) (Naiz S.) 23rd European Congress of Psychiatry, EPA 2015 Vienna, Austria 2015-03-28 to 2015-03-31 Elsevier Masson SAS; ID: 2121</t>
  </si>
  <si>
    <t>Khochak,H. E.;Noorifard,M.;Kashi,A. H.;Arbabi,M.;Kheirandish,P.;Badie,B. M.;Rasoolinejad,M.;Author,Addresses;Iranian,Research Center;Hiv/Aids, School of Medicine Tehran University of Medical,Sciences Tehran;Iran;Correspondence,Address;Aids School of Medicine,M.Rasoolinejad, Iranian Research Center for H.I.V.;Tehran University of Medical Sciences, Tehran,Iran Email;rasoline@tums.ac.ir</t>
  </si>
  <si>
    <t>Evaluation of depression in HIV/AIDS patients refering to behavioral counselling center of Imam Khomeini Hospital</t>
  </si>
  <si>
    <t>depression (diagnosis, epidemiology);Human immunodeficiency virus infected patient;acquired immune deficiency syndrome;addiction;adult;article;Beck Depression Inventory;CD4 lymphocyte count;female;human;Human immunodeficiency virus infection;incidence;Iran;major clinical study;male;patient counseling;psychologic assessment;questionnaire;risk factor;Internal Medicine (6);Public Health, Social Medicine and Epidemiology (17);Psychiatry (32)</t>
  </si>
  <si>
    <t>HIV/AIDS because of its transmission methods has cultural, social and psychiatric impacts on patients especially in Islamic countries. We investigated depression frequency in an Iranian referral center for HIV/AIDS patients. All patients attending the counseling centre of Imam Khomeini Hospital during 2006 and 2007 who agreed to participate were enrolled. Depression was measured by Beck Depression Inventory-II (BDI-II) questionnaire. Patients with score 15 and above were considered depressed. 199 patients (27 female; age 37.9 â”¬â–’ 9.5) filled the questionnaire. BDI-II scores 13 and above and 15 and above were detected in 74/1% and 71/7% of patients, respectively. We observed statistically significant relationship between depression (as defined by BDI-II scoreÎ“Ã«Ã‘ 15) and CD4 count, duration of diagnosed seropositivity, history of depression in the patients and his/her family, imprisonment, job status and education level. The relationship between depression and addiction was not statistically significant. The observed frequency of depression in our study (74%) is one of the highest ever reported. we recommend regular psychiatric visits for these patients in Islamic countries. â”¬âŒ 2009 Tehran University of Medical Sciences. All rights reserved.</t>
  </si>
  <si>
    <t>(Khochak H.E.; Noorifard M.; Kashi A.H.; Arbabi M.; Kheirandish P.; Badie B.M.; Rasoolinejad M., rasoline@tums.ac.ir) Medical Sciences University of Teheran, Enghelab Avenue, Teheran, Iran.; ID: 2843</t>
  </si>
  <si>
    <t>0044-6025 0044-6025 (electronic)</t>
  </si>
  <si>
    <t>2009641870 PUI L355788089</t>
  </si>
  <si>
    <t>Kiley,D. J.;Heinemann,A. W.;Doll,M.;Shade-Zeldow,Y.;Roth,E.;Yarkony,G.;Author,Addresses;Rehabilitation,Institute;of Chicago,Chicago,United States;Lac,Fond Du;Chicago Neurosurgical Center, Chicago,United States</t>
  </si>
  <si>
    <t>Rehabilitation Professionals' Knowledge and Attitudes about Substance Abuse Issues</t>
  </si>
  <si>
    <t>NeuroRehabilitation</t>
  </si>
  <si>
    <t>health personnel attitude;professional knowledge;rehabilitation;substance abuse;alcoholics anonymous;article;clinical practice;health education;hopelessness;hospital policy;human;infection risk;patient education;patient referral;physician;substance use;Public Health, Social Medicine and Epidemiology (17);Drug Dependence, Alcohol Abuse and Alcoholism (40)</t>
  </si>
  <si>
    <t>Rehabilitation professionals were surveyed regarding their knowledge of substance abuse, attitudes regarding patients' substance use, and referral practices for patients with substance abuse problems. A 47-item survey was completed by 1,211 professionals (37% response rate) after two follow-up attempts. Respondents suspected that 29% of their patients with traumatic injuries had substance abuse problems. Thirty percent reported that there was routine screening for alcohol and drug problems at their facilities. Fifty percent reported that substance abuse education was available for staff; 59% reported the presence of patient education regarding substance abuse. Although 79% reported that their facilities had referral procedures for patients with substance abuse problems, only 44% reported making referrals. Patients were referred most often to Alcoholics Anonymous. The results suggest the need for education regarding substance abuse assessment and treatment, facility policies, and referral procedures.</t>
  </si>
  <si>
    <t>(Kiley D.J.; Heinemann A.W.; Roth E.; Yarkony G.) (Doll M.) (Shade-Zeldow Y.) IOS Press, Nieuwe Hemweg 6B, Amsterdam, Netherlands.; ID: 3636</t>
  </si>
  <si>
    <t>1878-6448 (electronic) 1053-8135</t>
  </si>
  <si>
    <t>20170386889 PUI L616491728</t>
  </si>
  <si>
    <t>10.3233/NRE-1992-2106 FULL TEXT LINK http://dx.doi.org/10.3233/NRE-1992-2106</t>
  </si>
  <si>
    <t>Killam Jr,K. F.;Author,Addresses;Department of Pharmacology, School of,Medicine University;of California,Davis,C.A.United States;Correspondence,Address;KF Killam Jr, Department of Pharmacology School of,Medicine University;of California,Davis,C.A.United States</t>
  </si>
  <si>
    <t>Opening remarks to the 54th Scientific Meeting of the College on Problems of Drug Dependence</t>
  </si>
  <si>
    <t>NIDA Research Monograph Series</t>
  </si>
  <si>
    <t>drug dependence (prevention);medical education;conference paper;scientific literature;substance abuse;Drug Dependence, Alcohol Abuse and Alcoholism (40)</t>
  </si>
  <si>
    <t>(Killam Jr. K.F.); ID: 3592</t>
  </si>
  <si>
    <t>1993301583 PUI L23301569</t>
  </si>
  <si>
    <t>Kim,J. H.;Santaella,J.;Cerda,M.;Martins,S. S.;Author,Addresses;Epidemiology,Columbia University;New,York City;Epidemilogy,Mailman School of Public Health New York United;States;Correspondence,Address;JH Kim, Epidemilogy Mailman School of Public Health New,York United;States</t>
  </si>
  <si>
    <t>Medical marijuana laws and annual opioid analgesic sales in the United States</t>
  </si>
  <si>
    <t>e111</t>
  </si>
  <si>
    <t>(MAJOR FOCUS);medical cannabis;narcotic analgesic agent;hydrocodone;hydromorphone;morphine;opiate;oxycodone;college;drug dependence;United States;automation;chronic pain;death;epidemic;government;hospital;human;intoxication;law;model;pharmacy;physician;prescription;statistical significance;unemployment</t>
  </si>
  <si>
    <t>Aims: To date, twenty-three states have enacted some type of medical marijuana legislation (MML), and more states may soon pass similar legislation. Concurrently, the epidemic of prescription opiate overdoses has recently shown signs of decline. It has been hypothesized that the increased availability of medical marijuana has provided a viable substitute for opioids in the treatment of chronic pain, resulting in fewer overdose deaths. This study assesses whether state MMLs are associated with actual opiate use, as measured by annual state opioid sales for the years 1999-2001. Methods: Annual opioid sales for 1999-2011 were culled from the Automation of Reports and Consolidated Orders System (ARCOS), compiled by the Drug Enforcement Administration (DEA). This data includes annual sales of oxycodone, hydromorphone, hydrocodone, meperdine, and morphine to pharmacies, hospitals and practitioners by state. Morphine equivalent doses (MED) per 100,000 residents were calculated for each state-year observation. States were classified as having a MML based on the date the law became effective. Mixed models with a fixed effect for year and a random effect for state were used to estimate differences in the (natural log) average MED rate for states with and without MML by year and across years, while also taking into account state and year specific prescription opioid policies/regulations and unemployment rates. Results: For both states with and without MML, the mean MED increased from 1999 to 2011 (25,267mg vs. 23,067.5mg and 89,114.3mg vs. 89,956.1 mg, respectively). After controlling for this statistically increasing annual trend in MED (â•¬â–“ = 0.12, tvalue = 60.5, p-value &lt; 0.0001), a one percent reduction in annual opiate sales was observed for each additional year a MML was in effect (â•¬â–“ =-0.01, t-value =-3.17, p-value = 0.0016). Conclusions: These findings suggest that medical marijuana laws are significantly associated with reduced prescription opioid sales at the state level. Further research is warranted.</t>
  </si>
  <si>
    <t>(Santaella J.; Cerda M.; Martins S.S.) (Kim J.H.) 2015 Annual Meeting of the College on Problems of Drug Dependence, CPDD 2015 Phoenix, AZ, United States 2015-06-13 to 2015-06-18 Elsevier Ireland Ltd; ID: 2052</t>
  </si>
  <si>
    <t>10.1016/j.drugalcdep.2015.07.307 FULL TEXT LINK http://dx.doi.org/10.1016/j.drugalcdep.2015.07.307</t>
  </si>
  <si>
    <t>Kim,S. I.;Lim,W. J.;Kim,Y. C.;Yun,K. W.;Kim,E. J.;Choi,H. Y.;Author,Addresses;Ewha,Womans;Univ Mokdong Hospital, Department of Psychiatry Seoul,South Korea;Correspondence,Address;SI Kim, Ewha Womans Univ Mokdong Hospital Department,of Psychiatry;Seoul,South Korea</t>
  </si>
  <si>
    <t>Correlation between anxiety symptom and suicidal ideation</t>
  </si>
  <si>
    <t>European Neuropsychopharmacology</t>
  </si>
  <si>
    <t>21 SUPPL. 3</t>
  </si>
  <si>
    <t>S612</t>
  </si>
  <si>
    <t>S613</t>
  </si>
  <si>
    <t>anxiety;college;psychopharmacology;suicidal ideation;alcoholism;anxiety disorder;Beck Anxiety Inventory;Beck Depression Inventory;death;depression;drinking behavior;education;employment;examination;family history;female;gender;hospital;human;income;logistic regression analysis;marriage;mental disease;mortality;multivariate logistic regression analysis;outpatient;patient;physical disease;psychiatry;quality of life;questionnaire;rating scale;religion;risk;risk factor;screening;self concept;smoking;South Korea;State Trait Anxiety Inventory;suicide;suicide attempt;university</t>
  </si>
  <si>
    <t>In South Korea, the number of deaths from suicide has increased in the last two decades, and suicide has become both a social and political problem. Considering that suicide cases tend to be hidden or misclassified as deaths from other causes, the actual state of suicide cases in the country can be expected to be more serious than reported. Anxiety disorders, the most prevalent psychiatric disorders, markedly reduce the quality of life, tend to be chronic, can be disabling, and increase mortality. Anxiety is frequently regarded as a symptom of a mental disorder other than an anxiety disorder, or is frequently found even in individuals without mental disorders. Some previous studies suggested that anxiety is a risk factor for suicidality. In this study, after controlling the variables influencing suicidal ideation, it was expected that it would be determined if anxiety is independently related to suicidal ideation. Data were obtained from 327 psychiatric outpatients aged 18-65 years who visited the psychiatry department of Ewha Women's University Mokdong Hospital. The patients accomplished a self-reported questionnaire that included sociodemo-graphic characteristics and clinical variables as well as self-rating scales for measuring the severity of one's anxiety (Beck Anxiety Inventory and State-Trait Anxiety Inventory), depression (Beck Depression Inventory), and suicidal ideation (Beck Scale for Suicidal Ideation). Multiple logistic-regression analyses were used to determine the correlation between anxiety and significant suicidal ideation, adjusting for covariates. The average age of the patients with significant suicidal ideation was 37.07 (SD = 13.18) while that of the patients without significant suicidal ideation was 40.19 (SD = 12.16). The patients with significant suicidal ideation were shown to be less educated (p = 0.0275), unemployed (p = 0.0102), never married, divorced, or separated by death (p = 0.0232), or living alone (p = 0.0273), and were shown to have a lower income (p=0.0132), a drinking habit (p = 0.0402), a higher number of past suicide attempts (p&lt;0.0001), and more family members who committed suicide (p = 0.0069), than the patients without significant suicidal ideation. There was no significant difference between the two groups, however, in terms of gender, religion, physical illness, smoking, past psychiatric-admission history, and family history of mental disorder. As the significant suicidal ideation increased, the severity of depressive symptoms also increased (OR=1.106; 95%CI = 1.080-1.133). There was a tendency of higher severity of anxiety as the significant suicidal ideation increased (BAI: OR = 1.071, 95% CI = 1.051-1.092; STAI state: OR =1.080, 95% CI = 12.058-1.103; STAI trait: OR=1.111, 95%CI = 1.082-1.141). Even after adjusting the covariates influencing significant suicidal ideation, such as age, education, employment, marital status, residence, income, alcohol addiction, past suicide attempts, and family history of suicide, anxiety was associated with significant suicidal ideation. After adjusting for depressive symptoms, however, only the trait of anxiety was associated with significant suicidal ideation. These findings suggest that anxiety is an independent risk factor for suicidal ideation. The finding that the trait of anxiety remained a risk factor after controlling the variables influencing significant suicidal ideation suggests that anxiety as an individual's characteristic contributes more to the increase of suicidal ideation than anxiety as a derivative of external factors does. Anxiety is frequently found among patients with mental disorders, and can be easily measured. Clinicians may thus use anxiety for the screening examination when evaluating suicidal ideation and risk, and will have to actively evaluate and treat the anxiety of patients with suicidal tendencies.</t>
  </si>
  <si>
    <t>(Kim S.I.; Lim W.J.; Kim Y.C.; Yun K.W.; Kim E.J.; Choi H.Y.) 24th Congress of the European College of Neuropsychopharmacology, ECNP 2011 Paris, France 2011-09-03 to 2011-09-07 Elsevier; ID: 2655</t>
  </si>
  <si>
    <t>0924-977X</t>
  </si>
  <si>
    <t>10.1016/S0924-977X(11)71002-1 FULL TEXT LINK http://dx.doi.org/10.1016/S0924-977X(11)71002-1</t>
  </si>
  <si>
    <t>Kim,T. W.;Samet,J. H.;Cheng,D. M.;Winter,M. R.;Safran,D. G.;Saitz,R.;Author,Addresses;Clinical Addiction,Research;Education Unit,Section;General Internal Medicine, Boston University Medical,Center E.;Street,Boston M. A. United States;Clinical Addiction,Research;Education;Unit,Boston University Medical Center Boston M.A.United States;Department of,Social;Behavioral Sciences,Boston University;School,of Public;Department of Biostatistics, Boston University School,of Public;Health;Data Coordinating Center, Boston,M.A.United States;Health Institute, Institute for,Clinical Research;Health;Policy Studies,Boston,M.A.United States;Correspondence,Address;TW Kim,Clinical,Addiction Research;Education Unit,Section;General Internal Medicine, Boston University Medical,Center E.;Street,Boston M. A. United States</t>
  </si>
  <si>
    <t>17362216; Primary care quality and addiction severity: A prospective cohort study</t>
  </si>
  <si>
    <t>Health services research</t>
  </si>
  <si>
    <t>Health Serv.Res.</t>
  </si>
  <si>
    <t>alcohol;cocaine;diamorphine;alcoholism (therapy);drug dependence (therapy);adult;article;cohort analysis;confidence interval;controlled study;doctor patient relation;drug detoxification;female;follow up;health care quality;health survey;hospitalization;human;interpersonal communication;male;patient counseling;primary medical care;prospective study;regression analysis;substance abuse;urban population;alcohol (64-17-5);cocaine (50-36-2, 53-21-4, 5937-29-1);diamorphine (1502-95-0, 561-27-3);Public Health, Social Medicine and Epidemiology (17);Psychiatry (32);Health Policy, Economics and Management (36);Drug Dependence, Alcohol Abuse and Alcoholism (40)</t>
  </si>
  <si>
    <t>Background. Alcohol and drug use disorders are chronic diseases that require ongoing management of physical, psychiatric, and social consequences. While specific addiction-focused interventions in primary care are efficacious, the influence of overall primary care quality (PCQ) on addiction outcomes has not been studied. The aim of this study was to prospectively examine if higher PCQ is associated with lower addiction severity among patients with substance use disorders. Study Population. Subjects with alcohol, cocaine, and/or heroin use disorders who initiated primary care after being discharged from an urban residential detoxification program. Measurements. We used the Primary Care Assessment Survey (PCAS), a well-validated, patient-completed survey that measures defining attributes of primary care named by the Institute of Medicine. Nine summary scales cover two broad areas of PCQ: the patient-physician relationship (communication, interpersonal treatment, thoroughness of the physical exam, whole-person knowledge, preventive counseling, and trust) and structural/organizational features of care (organizational access, financial access, and visit-based continuity). Each of the three addiction outcomes (alcohol addiction severity (ASI-alc), drug addiction severity (ASI-drug), and any drug or heavy alcohol use) were derived from the Addiction Severity Index and assessed 6-18 months after PCAS administration. Separate longitudinal regression models included a single PCAS scale as the main predictor variable as well as variables known to be associated with addiction outcomes. Main Results. Eight of the nine PCAS scales were associated with lower alcohol addiction severity at follow-up (pÎ“Ã«Ã±.05). Two measures of relationship quality (communication and whole- person knowledge of the patient) were associated with the largest decreases in ASI-alc (-0.06). More whole-person knowledge, organizational access, and visit-based continuity predicted lower drug addiction severity (ASI-drug: -0.02). Two PCAS scales (trust and whole-person knowledge of the patient) were associated with lower likelihood of subsequent substance use (adjusted odds ratio, AOR]=0.76, 95 percent confidence interval 95% CI]=0.60, 0.96 and AOR=0.66, 95 percent</t>
  </si>
  <si>
    <t>(Kim T.W.) (CARE) (Samet J.H.; Cheng D.M.; Saitz R.) (Samet J.H.) (Cheng D.M.) (Winter M.R.) (Safran D.G.) Blackwell Publishing Inc., 350 Main Street, Malden, United States.; ID: 3043</t>
  </si>
  <si>
    <t>0017-9124 1475-6773 (electronic)</t>
  </si>
  <si>
    <t>http://www.ncbi.nlm.nih.gov/pubmed/17362216</t>
  </si>
  <si>
    <t>10.1111/j.1475-6773.2006.00630.x FULL TEXT LINK http://dx.doi.org/10.1111/j.1475-6773.2006.00630.x</t>
  </si>
  <si>
    <t>Primary care quality and addiction severity: A prospective cohort study</t>
  </si>
  <si>
    <t>Kiselev,V. I.;Author,Addresses;Correspondence,Address;Kiselev,V. I.</t>
  </si>
  <si>
    <t>3266371; Prevalence of smoking among faculty members of the medical institute ORIGINAL (NON-ENGLISH) TITLE Rasprostranenie kureniia sredi professorsko-prepodavatel'skogo sostava meditsinskogo instituta</t>
  </si>
  <si>
    <t>Sovetskoe zdravookhranenie / Ministerstvo zdravookhraneniia SSSR</t>
  </si>
  <si>
    <t>medical school;smoking (epidemiology);adult;article;attitude to health;comparative study;cross-sectional study;female;human;male;questionnaire;Russian Federation;sex difference</t>
  </si>
  <si>
    <t>(Kiselev V.I.); ID: 3727</t>
  </si>
  <si>
    <t>http://www.ncbi.nlm.nih.gov/pubmed/3266371</t>
  </si>
  <si>
    <t>Prevalence of smoking among faculty members of the medical institute ORIGINAL (NON-ENGLISH) TITLE Rasprostranenie kureniia sredi professorsko-prepodavatel'skogo sostava meditsinskogo instituta</t>
  </si>
  <si>
    <t>Kishimoto,N.;Yamamuro,K.;Ota,T.;Tanaka,S.;Sugimoto,S.;Onishi,T.;Uratani,M.;Kyo,M.;Iida,J.;Kishimoto,T.;Author,Addresses;Nara Medical,University School;Medicine,Nara University of Education Nara Japan Nara Prefectural;General Rehabilitation Center;Kyo,Mental Clinic;Correspondence,Address;Kishimoto,N.</t>
  </si>
  <si>
    <t>Comparison of autism spectrum disorder and Schizophrenia using the rorschach test</t>
  </si>
  <si>
    <t>S140</t>
  </si>
  <si>
    <t>autism;child;child psychiatry;European;human;personality test;schizophrenia;society;differential diagnosis;DSM-5;ego;gender;head injury;heart atrium septum defect;hospital;intelligence quotient;neurologic disease;outpatient department;patient;procedures;psychiatrist;psychiatry;psychologic test;psychologist;school;university;validity</t>
  </si>
  <si>
    <t>In this study, we have aimed to reveal quantitative tendencies of the Rorschach response of people with Autism Spectrum Disorder (ASD) and Schizophrenia. Forty participants were recruited from the outpatient clinic of the Department of Psychiatry, Nara Medical University School of Medicine and Mental Clinic Kyo. Twenty patients were diagnosed with ASD, and 20 gender-, age- and, IQ-matched patients were diagnosed with schizophrenia according to DSM-5 by skilled psychiatrists. Exclusion criteria included any neurological disorder, a head injury, a serious medical condition, or a history of substance abuse/dependence. Two senior psychologists, well trained in psychological testing and certified in the CS method, performed the Rorschach test according to the standard procedures of administration and scoring in Exner Comprehensive System. The Exner Comprehensive System requires 14 or more responses for interpretative validity. They were independent of the project insofar as they responsible in any way for the treatment or assessment of the patients. They performed the Rorschach test and scored to each of the patients. We examined Rorschach variables in ASD group and schizophrenia group. We found significant differences in six variables of Rorschach test date on Comprehensive system. Schizophrenia group had significantly higher scores on D, Adj D, DQo and FQ- than ASD group. On the other hand, schizophrenia group had significantly lower scores on active, and DQ+ than ASD group. It is suggested that ASD group showed lower strength of stress, more simplex recognition and more keeping reality testing ability than Schizophrenia group. Our research indicates possible utility of the Rorschach test in differential diagnosis between ASD and schizophrenia.</t>
  </si>
  <si>
    <t>(Kishimoto N.; Yamamuro K.; Ota T.; Tanaka S.; Sugimoto S.; Onishi T.; Uratani M.; Kyo M.; Iida J.; Kishimoto T.) 16th International Congress of European Society for Child and Adolescent Psychiatry, ESCAP 2015 Madrid, Spain 2015-06-20 to 2015-06-24 Dr. Dietrich Steinkopff Verlag GmbH and Co. KG; ID: 2102</t>
  </si>
  <si>
    <t>10.1007/s00787-015-0714-4 FULL TEXT LINK http://dx.doi.org/10.1007/s00787-015-0714-4</t>
  </si>
  <si>
    <t>Klamen,D. L.;Miller,N. S.;Author,Addresses;Undergraduate Med Educ Psychiat, Department,of Psychiatry;University of Illinois, Chicago,I.L.United States;Dept. of,Psychiatry;Neurology,University of Illinois;Chicago,I. L. U.;Div of Addiction,Treatment Programs;Psychiatry,University of Illinois Chicago I.L.United States;University of Illinois at Chicago, Department,of Psychiatry;States,South Wood Street Chicago I.L.United;Correspondence,Address;DL Klamen, University of Illinois Department of,Psychiatry South;Wood Street,Chicago,I.L.United States</t>
  </si>
  <si>
    <t>9339858; Integration in education for addiction medicine</t>
  </si>
  <si>
    <t>alcohol;illicit drug;addiction (diagnosis, prevention);medical education;continuing education;human;interview;laboratory test;patient counseling;patient referral;physical examination;physician;residency education;review;risk assessment;tobacco;alcohol (64-17-5);Public Health, Social Medicine and Epidemiology (17);Psychiatry (32);Drug Dependence, Alcohol Abuse and Alcoholism (40)</t>
  </si>
  <si>
    <t>Addiction to alcohol and other drugs is a serious public health problem that is one of the most common disorders seen in medical practice. Although it is an extremely common disorder, it is poorly diagnosed and treated by physicians. In order to begin to develop an integrated approach to education and addiction, one must define the many roles of the physician working with addicted patients. Training about addictions must begin early in the medical student's career, and continue in a vertically integrated way throughout medical school. The notion of addiction as a disease process must be introduced and integrated into course, materials in the preclinical years. Careful attention must be paid to the development of positive views toward working with addicted patients, and students must be indoctrinated early with die idea that physicians have a responsibility to diagnose and manage addicted patients. Students should be given multiple opportunities to learn and use screening interviews for addiction in preclinical interviewing courses, and while on the clerkships. Residency education and continuing medical education in addictions are also important, so that faculty may become good role models for students in this critical area.</t>
  </si>
  <si>
    <t>(Klamen D.L.) (Miller N.S.) (M/C 913) Haight-Ashbury Publications, 612 Clayton Street, San Francisco, United States.; ID: 3480</t>
  </si>
  <si>
    <t>http://www.ncbi.nlm.nih.gov/pubmed/9339858</t>
  </si>
  <si>
    <t>Klein,H.;Mumford,E.;Author,Addresses;Dept Psychiat, Columbia Univ Coll,Phys Surg;New York,N. Y.;Correspondence,Address;Dept Psychiat, Columbia Univ Coll Phys Surg New,York N.</t>
  </si>
  <si>
    <t>626221; The bent twig: Psychiatry and medical education</t>
  </si>
  <si>
    <t>addiction;alcoholism;education;medical student;psychiatry;suicide;central nervous system;United States;Psychiatry (32);Health Policy, Economics and Management (36);Public Health, Social Medicine and Epidemiology (17)</t>
  </si>
  <si>
    <t>The authors note that an increase in psychiatry's involvement in the selection and education of medical school students, which historically has been limited and problematic, would benefit both the discipline and the profession in general. There is evidence indicating the need to pay attention to personal attributes in medical education, particularly in light of the incidence of problems in physicians (e.g., addiction, alcoholism, and suicide) that fall within psychiatry's area of expertise. Active participation by psychiatry in medical education might also help combat the cynicism that seems to develop during training and might contribute to consideration of ethical issues and to the fostering of emotional maturity.</t>
  </si>
  <si>
    <t>(Klein H.; Mumford E.); ID: 3861</t>
  </si>
  <si>
    <t>http://www.ncbi.nlm.nih.gov/pubmed/626221</t>
  </si>
  <si>
    <t>The bent twig: Psychiatry and medical education</t>
  </si>
  <si>
    <t>Klein,J.;Sesselberg,T.;Pbert,L.;Steffes,J.;Harris,D.;Sutter,E.;Gotlieb,E.;Davis,J.;Slora,E.;Wasserman,R.;Author,Addresses;Aap Division of Primary,Care Research;Aap,Pros Network;American Academy,of Pediatrics;Pros,American Academy of Pediatrics United States;University of Massachusetts,Medical School;University,of Rochester;University of Rochester, A A P Julius B Richmond,Center United;States;Correspondence,Address;Richmond Center United,J.Klein, University of Rochester A.A.P.Julius B.;States</t>
  </si>
  <si>
    <t>Successful recruitment and distance training of clinicians in an adolescent smoking cessation pilot study in AAP PROS practices</t>
  </si>
  <si>
    <t>S58</t>
  </si>
  <si>
    <t>S59</t>
  </si>
  <si>
    <t>adolescent;adolescent smoking;medicine;pilot study;smoking cessation;society;cigarette smoking;counseling;curriculum;follow up;friend;intervention study;juvenile;learning;pediatrics;physician;prevalence;primary medical care;public health service;role playing;smoke;smoking;tobacco</t>
  </si>
  <si>
    <t>Purpose: Many adolescents who smoke cigarettes report wanting to quit. However, evidence for cessation counseling for adolescents remains limited. The purpose of our study was: (1) to recruit and train providers in smoking cessation intervention using the Public Health Service 5As (Ask, Advise, Assess, Assist, Arrange) using a distance learning curriculum, and assess adherence to interven-tion; and (2) to establish whether primary care pediatric practices can recruit adolescents to a tobacco intervention trial without enrollment bias. Methods: We recruited 35 practitioners from the AAP's practice-based research network - Pediatric Research in Office Settings (PROS) - for a double-blind smoking cessation intervention pilot. Practices were randomized to a brief cessation counseling interven-tion or comparison condition. Both involved a 45-minute self-study clinician training curriculum. Fidelity to protocols was assessed during teach-back role-playing follow-up calls with clinicians. Practices recruited eligible adolescents at well visits. Full study participants completed a baseline survey at the visit. All smokers and a sample of nonsmokers completed follow-up phone surveys; youth who initially refused were asked to provide anonymous baseline data only to examine whether differential non-recruitment of smokers affected study sample yield. Results: 23 (66%) of providers completed training and met stan-dards for intervention delivery. Of 976 teens recruited for the full study and 150 teens for the anonymous survey, no statistical differ-ences in smoking prevalence were observed between these groups, with smoking rates of 5.7% and 6.6%, respectively (p = .65). Follow-up surveys were conducted with 94 teens. Teens in the intervention group were significantly more likely to report that their physician discussed smoking (91% vs 72%; c(2) = 5.405, p = .02). Although not reaching significance, more clinicians in the intervention group asked teens if they smoke (90% vs 81%; p = .24), and asked if friends smoked (60% vs 49%; p = .32). Smokers in the intervention group were more often asked if they wanted to quit (55% vs 36%; p = .39) and given materials to help them quit (33% vs 14%; p = .42). Conclusions: This field pilot demonstrates successful clinician training in delivery of smoking cessation counseling through distance learning and recruitment of teens without differential non-enrollment of smokers. Intervention clinicians were signifi-cantly more likely to discuss smoking with teens, and while a lack of statistical power precluded other significant findings, clinicians in the intervention group delivered more cessation services than their control counterparts. A full scale RCT is methodologically feasible and appears warranted to examine the impact of brief counseling interventions on adolescent cessation.</t>
  </si>
  <si>
    <t>(Slora E.) (Steffes J.; Davis J.) (Harris D.; Gotlieb E.) (Wasserman R.) (Pbert L.) (Sesselberg T.; Sutter E.) (Klein J.) Society for Adolescent Medicine Annual Meeting - Adolescent Clinical Care: Integrating Art and Science Toronto, ON, Canada 2010-04-07 to 2010-04-10 Elsevier USA; ID: 2815</t>
  </si>
  <si>
    <t>10.1016/j.jadohealth.2009.11.141 FULL TEXT LINK http://dx.doi.org/10.1016/j.jadohealth.2009.11.141</t>
  </si>
  <si>
    <t>Klein,M. A.;Swisher,J. D.;Author,Addresses;Dep. Educ. Psychol, Univ Wisconsin-Milwaukee;Milwaukee,W. I.;Correspondence,Address;Dep Educ Psychol, Univ Wisconsin-Milwaukee,Milwaukee W.</t>
  </si>
  <si>
    <t>A statewide evaluation of a communication and parenting skills program</t>
  </si>
  <si>
    <t>family;health education;health program;parent;child;education;geographic distribution;human;interpersonal communication;methodology;normal human;prevention;psychological aspect;short survey;Public Health, Social Medicine and Epidemiology (17)</t>
  </si>
  <si>
    <t>This study evaluated, through a state training network the Communication and Parenting Skills (CAPS) substance abuse education program. The program includes: parental modeling of positive attitudes and behaviors and effective communication. Ten instructors, located throughout the Commonwealth of Pennsylvania, each conducted two CAPS courses - one serving as an experimental course, the other as a control. The procedure followed for this project was a post-test only design. Comparative data revealed that the marital status and years in present residence for the two groups were very similar. The control group averaged one-half year more of education and one-half child less per family. Results from the Sensitivity to Children Index indicated a significant acquisition and utilization of constructive responses by participants in the experimental condition.</t>
  </si>
  <si>
    <t>(Klein M.A.; Swisher J.D.); ID: 3813</t>
  </si>
  <si>
    <t>1983151095 PUI L13082245</t>
  </si>
  <si>
    <t>Klimas,J.;Fernandes,E.;Debeck,K.;Hayashi,K.;Milloy,M. J.;Kerr,T.;Cullen,W.;Wood,E.;Author,Addresses;British Columbia Centre for,Excellence in;Department of Medicine, University of British Columbia,St Paul;Burrard Street,Vancouver Canada;School of,Medicine;University,College Dublin;Department,of Medicine;British Columbia, St Paul's Hospital,Vancouver Canada;Correspondence,Address;Aids Department of,J.Klimas, British Columbia Centre for Excellence in H.I.V.;Medicine,University of British Columbia St Paul's Hospital;Burrard Street, Vancouver Canada Email jan klimas,ucd ie</t>
  </si>
  <si>
    <t>Preliminary Results and Publication Impact of a Dedicated Addiction Clinician Scientist Research Fellowship</t>
  </si>
  <si>
    <t>addiction;medical education;medical research;publication;clinical practice;follow up;human;letter;outcome assessment;peer review;physician;questionnaire;Public Health, Social Medicine and Epidemiology (17);Drug Dependence, Alcohol Abuse and Alcoholism (40)</t>
  </si>
  <si>
    <t>(Klimas J., jan.klimas@ucd.ie; Fernandes E.; Debeck K.; Hayashi K.; Milloy M.-J.; Kerr T.; Wood E.) (Klimas J., jan.klimas@ucd.ie; Debeck K.; Cullen W.) (Hayashi K.; Milloy M.-J.; Kerr T.) Lippincott Williams and Wilkins, agents@lww.com; ID: 1880</t>
  </si>
  <si>
    <t>20170204721 PUI L614902945</t>
  </si>
  <si>
    <t>10.1097/ADM.0000000000000270 FULL TEXT LINK http://dx.doi.org/10.1097/ADM.0000000000000270</t>
  </si>
  <si>
    <t>Kloss,B. T.;Cooney,D. R.;Hart,D. M.;Wojcik,S.;Lagace,R. E.;Author,Addresses;Upstate,Suny;Medical University,Syracuse,United States;Correspondence,Address;BT Kloss, Suny Upstate Medical University Syracuse,United States</t>
  </si>
  <si>
    <t>Effects of resident education on smoking cessation counseling in the emergency department</t>
  </si>
  <si>
    <t>S280</t>
  </si>
  <si>
    <t>S281</t>
  </si>
  <si>
    <t>college;counseling;education;emergency physician;emergency ward;human;smoking cessation;adult;data base;documentation;emergency medicine;health;hospital patient;medical record;outpatient;patient;patient care;public health;reimbursement;risk;screening;smoking;statistical analysis;statistics;tobacco dependence;total quality management</t>
  </si>
  <si>
    <t>Study Objectives: Tobacco use disorder is a common concomitant condition among emergency department (ED) patients (between 21-41%). The negative health effects of smoking are well known. Patients who visit EDs can be influenced by emergency physicians who take several minutes to inform them of the risks. The objective of this study was to evaluate the effects of educating emergency medicine residents on the public health impact, counseling techniques, and proper documentation of tobacco use disorder and smoking cessation counseling (SCC). Methods: A brief didactic program was developed and delivered to emergency medicine residents training in an urban universityhospital setting. The emergency medicine residents were educated on the importance of screening for tobacco use disorder and how to provide</t>
  </si>
  <si>
    <t>(Kloss B.T.; Cooney D.R.; Hart D.M.; Wojcik S.; Lagace R.E.) American College of Emergency Physicians, ACEP 2011 Research Forum San Francisco, CA, United States 2011-10-15 to 2011-10-16 Mosby Inc.; ID: 2630</t>
  </si>
  <si>
    <t>10.1016/j.annemergmed.2011.06.337 FULL TEXT LINK http://dx.doi.org/10.1016/j.annemergmed.2011.06.337</t>
  </si>
  <si>
    <t>Knight,A.;Finkelstein,J.;Cha,E.;Brotman,D.;Author,Addresses;Johns Hopkins Bayview Medical Center, Baltimore,United States;Johns Hopkins University,School of;Baltimore,United States;Johns Hopkins Hospital, Baltimore,United States;Correspondence,Address;Knight, Johns Hopkins Bayview Medical Center Baltimore United States,A.</t>
  </si>
  <si>
    <t>A mobile computer-assisted education system to promote smoking cessation for hospitalized patients</t>
  </si>
  <si>
    <t>5 SUPPL. 1</t>
  </si>
  <si>
    <t>cardiac resynchronization therapy device;computer;education;hospital medicine;hospital patient;human;smoking cessation;society;cause of death;convenience sample;cost effectiveness analysis;counseling;curriculum;devices;diseases;female;hazard;hospital;interpersonal communication;learning style;multiple choice test;patient;patient education;physician;pilot study;scientist;self care;self help;skill;smoking;tablet;technology;United States;videotape</t>
  </si>
  <si>
    <t>Background: Tobacco smoking is the leading preventable cause of death in the United States. Most interventions for hospitalized smokers have used some combination of physician advice to quit, behavioral counseling, and self-help materials including booklets, audiotapes, and videotapes. Mobile communication technology has the advantage of being interactive and can be tailored to patients' preferred learning styles and disease experience; however, it has not previously been systematically assessed in the hospital setting. Methods: A previously developed curriculum about the hazards of smoking was adapted for use in the computer-assisted education (CO-ED) system. In the CO-ED system, brief educational statements about the effects of smoking and the advantages of quitting are presented, each followed by a multiple-choice question about the material. When the correct answer is chosen, users are congratulated and directed to the next educational statement. When the question is answered incorrectly, users are given an opportunity to review the material and reattempt the question. For this pilot study, inpatients at 2 urban academic hospitals were screened for smoking status, and a sample of smokers was then approached to participate. Participants completed a set of questions about demographics, prior experience with mobile devices, and knowledge about the effects of smoking before and after using the system. A research assistant provided patients with a touch-screen tablet PC and trained them how to use the self-paced</t>
  </si>
  <si>
    <t>(Knight A.) (Finkelstein J.; Cha E.) (Brotman D.) 2010 Annual Meeting of the Society of Hospital Medicine, SHM 2010 Washington, DC, United States 2010-04-08 to 2010-04-11 John Wiley and Sons Inc.; ID: 2817</t>
  </si>
  <si>
    <t>1553-5592</t>
  </si>
  <si>
    <t>10.1002/jhm.705 FULL TEXT LINK http://dx.doi.org/10.1002/jhm.705</t>
  </si>
  <si>
    <t>Knopf Elkind,A.;Author,Addresses;Dep Epidemiol, Univ Hosp South,Manchester Manchester;M2O,B. X.;Correspondence,Address;Dep Epidemiol, Univ Hosp South Manchester,Manchester M.</t>
  </si>
  <si>
    <t>7157044; Changes in the smoking behaviour, knowledge and opinion of medical students, 1972-1981</t>
  </si>
  <si>
    <t>Social Science and Medicine</t>
  </si>
  <si>
    <t>behavior;education;medical student;smoking;geographic distribution;human;normal human;psychological aspect;short survey;United Kingdom;Public Health, Social Medicine and Epidemiology (17)</t>
  </si>
  <si>
    <t>To examine changes in medical students' smoking behaviour, knowledge and opinion over the last decade, a survey first conducted at the University of Manchester Medical School in 1972 was repeated in 1981. A postal questionnaire was sent to 1163 students, of whom 1112 (96%) replied. A substantial decline in cigarette smoking among medical students has occurred. This largely follows trends in the general population, medical education itself having made little contribution to the change. In 1972, 29% of students were cigarette smokers compared with 17% in 1981. The fall in cigarette smoking was more marked among men students rather than women, older rather than younger students, clinical rather than pre-clinical students. Cigarette consumption had also decreased as had the use of cigars and pipes among male students. The decline was already evident prior to students beginning their medical studies. A smaller expansion of smoking experience at medical school had occurred among the 1981 students, but, as in 1972, those who took up smoking or increased their consumption exceeded those who gave up or cut down. In 1981 the likelihood of taking up smoking or becoming a regular smoker at medical school was somewhat greater for women students than for men, although the numbers concerned were small. The survey reconfirmed the importance of the social environmental in smoking behaviour. Modest changes had occurred in knowledge and opinion about smoking. Both the accuracy and scope of knowledge of students about the health hazards increased between 1972 and 1981, particularly among clinical students, who remained considerably better informed than their pre-clinical colleagues. As in 1972, knowledge had little impact on smoking behaviour. By 1981 nine out of ten students regarded smoking as a major risk to health, both clinical students and smokers being more likely to take this view than in 1972. Almost all students, irrespective of their smoking behaviour, found the evidence linking smoking to serious illness to some extent convincing, and by 1981 a somewhat greater proportion, 60%, found it very convincing, the tendency to do so increasing as they progressed through their course.</t>
  </si>
  <si>
    <t>(Knopf Elkind A.); ID: 3820</t>
  </si>
  <si>
    <t>http://www.ncbi.nlm.nih.gov/pubmed/7157044</t>
  </si>
  <si>
    <t>10.1016/0277-9536(82)90263-5 FULL TEXT LINK http://dx.doi.org/10.1016/0277-9536(82)90263-5</t>
  </si>
  <si>
    <t>Changes in the smoking behaviour, knowledge and opinion of medical students, 1972-1981</t>
  </si>
  <si>
    <t>Knutsen,D.;Blecker,U.;Anderson,M.;Author,Addresses;Tulane University,New,Orleans United;States;Correspondence,Address;Knutsen, Tulane University New Orleans United States,D.</t>
  </si>
  <si>
    <t>The complicated millennial</t>
  </si>
  <si>
    <t>S614</t>
  </si>
  <si>
    <t>aminotransferase;antibiotic agent;benzatropine;CD4 antigen;ciprofloxacin;creatine kinase;endogenous compound;haloperidol;triacylglycerol lipase;valproic acid;abdominal pain;acute kidney failure;adolescent;adult;blood culture;cannabis use;cell count;clearance;clinical article;communicable disease;condom use;consensus development;diagnosis;drug therapy;fever;follow up;gastroenterology;heterosexuality;human;human cell;Human immunodeficiency virus infection;immune system;immunocompromised patient;internist;learning;Louisiana;male;obstruction;psychosis;salmonellosis;screening test;serotype;sexual education;sexual intercourse;ultrasound;virus load;vomiting;young adult;aminotransferase (9031-66-7);benzatropine (86-13-5);ciprofloxacin (85721-33-1);creatine kinase (9001-15-4);haloperidol (52-86-8, 1511-16-6);triacylglycerol lipase (9001-62-1);valproic acid (1069-66-5, 99-66-1)</t>
  </si>
  <si>
    <t>LEARNING OBJECTIVE #1: Gain familiarity with HIV screening guidelines for young adults LEARNING OBJECTIVE #2: Understand the treatment recommendations for Salmonellosis in immunocompromised patients CASE: An 18 year-old gentleman was transferred from an outside facility for management of an acute kidney injury with a creatinine of 6, following several days of vomiting and abdominal pain. He had no known medical problems. He had been recently treated for a prolonged psychotic episode secondary to synthetic marijuana use. He was prescribed daily haloperidol, valproic acid, and benztropine. With new fevers and an elevated creatine kinase, NMS was considered but patient had been non-adherent with his medications. His drug screen was negative and he denied current use of synthetic marijuana or bath salts. As his creatinine improved, his lipase and transaminases began to increase, without an increase in abdominal pain or tenderness. The abdominal ultrasound was unremarkable. Gastroenterology was concerned with a possible obstruction as the lipase remained &gt;3000; an MRCP was negative. A screening HIVantibody test was performed during admission and was positive, which was then confirmed with secondary testing. He had a high viral load at time of diagnosis with a low CD4+ cell count (13). Further history was obtained confirmed unprotected sexual intercourse with 5 heterosexual partners in his lifetime. A day later, the outside facility called to report that the patient's blood cultures grew Gram negative rods. The cultures speciated to a nontyphoidal Salmonella, serotype hadar. He was treated with ciprofloxacin for 4 weeks and instructed to follow-up with an Infectious Disease provider in his hometown. IMPACT: General internists may be the primary evaluators of young adults. Given the variability in presentation from acute to chronic HIV infection, HIV should be included in the differential of any atypical or confusing disease presentation. DISCUSSION: Adolescents represented one out of every five new HIV diagnoses in 2014 in the United States, with many more unaware of their HIV-positive status. This age group presents specific challenges for HIV prevention with low rates of testing, insufficient sex education, limited condom use, and increased substance use. The USPSTF, CDC, and AAP recommend routine HIV screening in adolescents. These screening tests are especially important in certain states such as Louisiana with one of the highest rates of HIV diagnoses in the country. Salmonellosis is known to cause severe GI infections in immunocompromised patients, as it had in this patient. These patients with dysfunctional immune systems aremore prone to the endovascular dissemination of Salmonella, resulting in far more serious complications. An extended course of antibiotics, ideally a fluoroquinolone, for 4-6 weeks in patients with HIV/AIDS is recommended to promote clearance of the organism.</t>
  </si>
  <si>
    <t>(Knutsen D.; Blecker U.; Anderson M.) 40th Annual Meeting of the Society of General Internal Medicine, SGIM 2017 Washington, DC, United States 2017-04-19 to 2017-04-22 Springer New York LLC; ID: 1827</t>
  </si>
  <si>
    <t>Ko,C. H.;Yen,J. Y.;Chen,C. S.;Yeh,Y. C.;Yen,C. F.;Author,Addresses;Department of Psychiatry, Kaohsiung,Medical University;Hospital,Kaohsiung Medical University Kaohsiung City Taiwan;Graduate Institute,of Medicine;Medical University,Kaohsiung,City Taiwan;Department of Psychiatry, Kaohsiung Medical University,Kaohsiung City;Taiwan;College of Medicine, Center of Excellence,for Environmental;Medicine,Kaohsiung Medical University Kaohsiung City Taiwan;Department of Psychiatry, Kaohsiung,Municipal Hsiao;Hospital,Kaohsiung Medical University Kaohsiung City Taiwan;Correspondence,Address;C-F Yen, Department of Psychiatry Kaohsiung Medical,University Hospital;Kaohsiung Medical University, Kaohsiung City,Taiwan Email;chfaye@cc.kmu.edu.tw</t>
  </si>
  <si>
    <t>19805713; Predictive values of psychiatric symptoms for internet addiction in adolescents: A 2-year prospective study</t>
  </si>
  <si>
    <t>Archives of Pediatrics and Adolescent Medicine</t>
  </si>
  <si>
    <t>internet addiction (epidemiology);adolescent;article;attention deficit disorder (epidemiology);clinical assessment;comorbidity;controlled study;depression (epidemiology);female;follow up;hostility;human;male;mental disease;mental patient;prediction and forecasting;priority journal;sex difference;social phobia (epidemiology);Pediatrics and Pediatric Surgery (7);Public Health, Social Medicine and Epidemiology (17);Psychiatry (32);Health Policy, Economics and Management (36);Drug Dependence, Alcohol Abuse and Alcoholism (40)</t>
  </si>
  <si>
    <t>Objectives: To evaluate the predictive values of psychiatric symptoms for the occurrence of Internet addiction and to determine the sex differences in the predictive value of psychiatric symptoms for the occurrence of Internet addiction in adolescents. Design: Internet addiction, depression, attention-deficit/hyperactivity disorder, social phobia, and hostility were assessed by self-reported questionnaires. Participants were then invited to be assessed for Internet addiction 6, 12, and 24 months later (the second, third, and fourth assessments, respectively). Setting: Ten junior high schools in southern Taiwan. Participants: A total of 2293 (1179 boys and 1114 girls) adolescents participated in the initial investigation. Main Exposure: The course of time. Main Outcome Measure: Internet addiction as assessed using the Chen Internet Addiction Scale. Results: Depression, attention-deficit/hyperactivity disorder, social phobia, and hostility were found to predict the occurrence of Internet addiction in the 2-year followup, and hostility and attention-deficit/hyperactivity disorder were the most significant predictors of Internet addiction in male and female adolescents, respectively. Conclusions: These results suggest that attention-deficit/hyperactivity disorder, hostility, depression, and social phobia should be detected early on and intervention carried out to prevent Internet addiction in adolescents. Also, sex differences in psychiatric comorbidity should be taken into consideration when developing prevention and intervention strategies for Internet addiction. â”¬âŒ2009 American Medical Association. All rights reserved.</t>
  </si>
  <si>
    <t>(Ko C.-H.; Yen J.-Y.; Chen C.-S.; Yeh Y.-C.; Yen C.-F., chfaye@cc.kmu.edu.tw) (Ko C.-H.; Yen J.-Y.; Chen C.-S.) (Ko C.-H.; Yen J.-Y.; Chen C.-S.; Yen C.-F., chfaye@cc.kmu.edu.tw) (Ko C.-H.) (Yen J.-Y.) American Medical Association, 515 North State Street, Chicago, United States.; ID: 2869</t>
  </si>
  <si>
    <t>1072-4710 1538-3628 (electronic)</t>
  </si>
  <si>
    <t>http://www.ncbi.nlm.nih.gov/pubmed/19805713</t>
  </si>
  <si>
    <t>10.1001/archpediatrics.2009.159 FULL TEXT LINK http://dx.doi.org/10.1001/archpediatrics.2009.159</t>
  </si>
  <si>
    <t>Predictive values of psychiatric symptoms for internet addiction in adolescents: A 2-year prospective study</t>
  </si>
  <si>
    <t>Kochhar,M. M.;Needham,L. L.;Author,Addresses;Drug Abuse Screen Prog, Sch,Pharm Auburn;Univ,Auburn Ala;Correspondence,Address;Drug Abuse Screen Prog, Sch Pharm Auburn Univ,Auburn Ala</t>
  </si>
  <si>
    <t>1236782; A training program in bioanalytical toxicology</t>
  </si>
  <si>
    <t>Clinical toxicology</t>
  </si>
  <si>
    <t>Clin.Toxicol.</t>
  </si>
  <si>
    <t>drug analysis;drug dependence;drug intoxication;education program;medical education;toxicology;training;methodology;Clinical and Experimental Pharmacology (30);Public Health, Social Medicine and Epidemiology (17)</t>
  </si>
  <si>
    <t>(Kochhar M.M.; Needham L.L.); ID: 3895</t>
  </si>
  <si>
    <t>http://www.ncbi.nlm.nih.gov/pubmed/1236782</t>
  </si>
  <si>
    <t>A training program in bioanalytical toxicology</t>
  </si>
  <si>
    <t>Koenig,H.;Al Zaben,F.;Sehlo,M.;Khalifa,D.;Al Ahwal,M.;Author,Addresses;Duke University,Medical Center;States,Durham N. C. United;King,Abdulaziz University;Zagazig University,Egypt;Ain,Shams University;Correspondence,Address;C.,H.Koenig, Duke University Medical Center Box Durham N.;United States Email, Harold Koenig,duke edu</t>
  </si>
  <si>
    <t>24741832; Current state of psychiatry in Saudi Arabia</t>
  </si>
  <si>
    <t>psychiatry;Saudi Arabia;addiction;article;consultation;development;education;gerontopsychiatry;health care policy;human;liaison psychiatry;mental disease;mental health;mental health care;mental health research;Middle East;nonhuman;nurse;prevalence;psychiatrist;recognition;religion;social aspect;social work;training;Neurology and Neurosurgery (8);Public Health, Social Medicine and Epidemiology (17);Psychiatry (32)</t>
  </si>
  <si>
    <t>Background: In 1983, an article and accompanying editorial was published on the state of psychiatry in the Kingdom of Saudi Arabia (KSA), which was described as "a mental health system in statu nascendi." Methods: We provide a 30-year update on advances in mental health care in KSA. Data are reported from a wide range of sources, including the 2007 Saudi Arabian Mental and Social Health Atlas, which compares services in KSA with the rest of the world. Results: We examine how the current mental health system operates in KSA, including recent changes in mental healthcare policy and development of a national mental healthcare plan. Discussed are current needs based on the prevalence and recognition of mental disorders; availability of services and providers (psychiatrists, psychiatric nurses, psychologists, and social workers); education and training in psychiatry; developments in consultation-liaison, addictions, child-adolescent, and geriatric psychiatry; and progress in mental health research. Conclusions: Mental healthcare in Saudi Arabia has come a long way in a very short time, despite cultural, religious, social, and political challenges, although there still remain areas where improvement is needed. The development of psychiatry in KSA serves as a model for countries in the Middle East and around the world. â”¬âŒ 2013, Baywood Publishing Co., Inc.</t>
  </si>
  <si>
    <t>(Koenig H., Harold.Koenig@duke.edu) (Koenig H., Harold.Koenig@duke.edu; Al Zaben F.; Sehlo M.; Khalifa D.; Al Ahwal M.) (Sehlo M.) (Khalifa D.) Baywood Publishing Co. Inc., 26 Austin Avenue, P.O. Box 337, Amityville, United States.; ID: 2468</t>
  </si>
  <si>
    <t>0091-2174 1541-3527 (electronic)</t>
  </si>
  <si>
    <t>http://www.ncbi.nlm.nih.gov/pubmed/24741832</t>
  </si>
  <si>
    <t>10.2190/PM.46.3.a FULL TEXT LINK http://dx.doi.org/10.2190/PM.46.3.a</t>
  </si>
  <si>
    <t>Current state of psychiatry in Saudi Arabia</t>
  </si>
  <si>
    <t>Kokkevi,A.;Malliori,M.;Kokkolis,K.;Soldatos,C.;Author,Addresses;Department of Psychiatry, Medical School University of,Athens Athens;Greece;Department,of Psychiatry;Vassilissis Sofias Ave,G.R.Athens Greece;Correspondence,Address;Kokkevi, Department of Psychiatry Eginition Hospital Vassilissis,A.;Sofias Ave, G R Athens Greece Email kokkevi,hol gr</t>
  </si>
  <si>
    <t>Training seminar in substance use management for medical professionals: Implementation and evaluation</t>
  </si>
  <si>
    <t>Archives of Hellenic Medicine</t>
  </si>
  <si>
    <t>alcoholism;drug dependence;medical education;substance abuse;article;human;medical profession;medical school;medical student;physician;questionnaire;training;Public Health, Social Medicine and Epidemiology (17);Psychiatry (32);Drug Dependence, Alcohol Abuse and Alcoholism (40)</t>
  </si>
  <si>
    <t>This paper presents the rationale, targets and features of a training seminar on the management of individuals with alcohol and other drug use problems, and its evaluation. The seminar was organized by the Department of Psychiatry of Athens University Medical School with the aim of contributing towards filling the gap in the education of health professionals in this field. The seminar was attended by 20 generalists and graduates of the Medical School waiting to start specialization in general medicine, and its duration was 55 hours. It was based on the training methodology and active participatory approach of a training manual published by the European Addiction Training Institute (EATI) in Amsterdam, developed from the initiative and preparatory work of a team of experts and university professors from seven EU countries. The evaluation of the seminar was exhaustive and included all the stages of the seminar - preparation, implementation and outcome. It was carried out with the participation of those involved, that is, the students and the trainers, based on predefined criteria and employing several methods such as questionnaires, observation and group discussions. In this way the strong and weak aspects of the seminar were revealed. In general, the trainees reported that the seminar had provided them with new and necessary knowledge and skills for the diagnosis and management of individuals with alcohol and drug use problems. They proposed continuing education on the topic. The trainers, acknowledging the seminar's positive impact on the trainees, proposed its extension to a greater number of physicians throughout the country. The evaluation of the seminar assisted in the formulation of proposals that were submitted to the appropriate public authorities. These proposals focused on the extension of training in Greece and on the ways that this could be achieved with the optimum cost/benefit relationship. Up to the present there has been no response from the relevant public bodies. Copyright â”¬âŒ Athens Medical Society.</t>
  </si>
  <si>
    <t>(Kokkevi A., kokkevi@hol.gr; Malliori M.; Kokkolis K.; Soldatos C.) (Kokkevi A., kokkevi@hol.gr) BETA Medical Publishers Ltd, 23 Meandrou Street, Athens, Greece.; ID: 2982</t>
  </si>
  <si>
    <t>1105-3992</t>
  </si>
  <si>
    <t>2008356411 PUI L352048902</t>
  </si>
  <si>
    <t>Kokotailo,P. K.;Langhough,R.;Neary,E. J.;Matson,S. C.;Fleming,M. F.;Author,Addresses;Dept;of Pediatrics, C S C H University of Wisconsin,Highland Ave;Madison,W. I. U.;Correspondence,Address;PK Kokotailo, Dept of Pediatrics C S C H University,of Wisconsin;Highland Ave,Madison,W.I.United States</t>
  </si>
  <si>
    <t>7596731; Improving pediatric residents' alcohol and other drug use clinical skills: Use of an experiential curriculum</t>
  </si>
  <si>
    <t>alcoholism;curriculum;drug abuse;residency education;article;clinical education;continuing education;education program;pediatrics;priority journal;Pediatrics and Pediatric Surgery (7);Public Health, Social Medicine and Epidemiology (17)</t>
  </si>
  <si>
    <t>Objective. To evaluate the effectiveness of an experiential alcohol and other drug curriculum on pediatric residents' knowledge, attitudes, and skills in alcohol and other drug (AOD) issues. Design. Nonrandomized control trial. Setting. Two university pediatric residency programs. Participants. Pediatric residents (n = 44). Intervention. Intervention residents received an experiential AOD curriculum consisting of participation in an adolescent assessment program, interactive didactic sessions, role-playing practice, and interviewing skills sessions. The control group received no formal training. Main Outcome Measures. Pretesting and posttesting each group using written and Objective Structured Clinical Examination evaluations using standardized patients. Evaluations were videotaped and scored by an expert panel using a standardized scoring process. Results. Pretest comparisons of written knowledge and clinical skills as assessed by the Objective Structured Clinical Evaluation showed no significant differences between the intervention and the control groups. Analysis of written test scores revealed that residents' general knowledge as well as knowledge of screening techniques and management resources related to AOD issues increased significantly more for the intervention group than for the control group from pretest to posttest (P &lt; .001). Evaluation of the videotapes showed significant improvement for the intervention group compared with controls in overall score and in the use of specific screening techniques and interviewing skills (P &lt; .05). Self-assessment of residents' interest, confidence, and competence in AOD issues improved significantly for intervention residents vs controls (P &lt; .05). Conclusions. Pediatric residents receiving an experiential AOD curriculum increased their knowledge and clinical skills in AOD issues significantly more than residents receiving no formal training. Similar curricula and evaluation could be used by other primary care residency programs and could be implemented in other areas of adolescent health risk behaviors.</t>
  </si>
  <si>
    <t>(Kokotailo P.K.; Langhough R.; Neary E.J.; Matson S.C.; Fleming M.F.) American Academy of Pediatrics, 141 Northwest Point Blvd, P.O. Box 927, Elk Grove Village, United States.; ID: 3537</t>
  </si>
  <si>
    <t>http://www.ncbi.nlm.nih.gov/pubmed/7596731</t>
  </si>
  <si>
    <t>Improving pediatric residents' alcohol and other drug use clinical skills: Use of an experiential curriculum</t>
  </si>
  <si>
    <t>Konfino,J.;Mejia,R.;Ferrante,D.;Iermoli,R.;Perez-Stable,E.;Author,Addresses;Hospital de Clâ”œÂ¡nicas Josâ”œâŒ de San Martâ”œÂ¡n, Universidad,de Buenos;Aires,Argentina;Hospital de Clâ”œÂ¡nicas Josâ”œâŒ,de San;Buenos Aires,Argentina;Ministerio de Salud de la Naciâ”œâ”‚n, Buenos,Aires Argentina;University of California,San Francisco;United,States;Correspondence,Address;Konfino, Hospital de Clâ”œÂ¡nicas Josâ”œâŒ de San Martâ”œÂ¡n Universidad de Buenos,J.;Aires,Argentina</t>
  </si>
  <si>
    <t>Effects of an educational intervention about tobacco use on medical students in Argentina</t>
  </si>
  <si>
    <t>S178</t>
  </si>
  <si>
    <t>Argentina;human;internal medicine;medical student;society;tobacco;cigarette smoking;counseling;female;health;health science;hospital;medical education;medical school;newborn;occupation;passive smoking;patient;physician;population;pregnancy;prevalence;risk;smoking;smoking cessation;student;student attitude;study design;sudden death;teacher;teaching;work</t>
  </si>
  <si>
    <t>BACKGROUND: In Argentina smoking prevalence among medical students is 30% and similar to that in the general population. The objective of this study was to implement and evaluate a brief educational intervention about tobacco use on fourth year medical students in Buenos Aires. METHODS: At the beginning of the fourth year of the 6-year medical school, students assigned to rotations at the Universidad de Buenos Aires Hospital de Clinicas were divided into four groups. Each group attended classes at specific locations with different teachers and there was no structured contact among the different groups. Students were assigned to intervention or control based on a cluster-randomized trial design. All fourth year medical students from the Hospital de Clâ”œÂ¡nicas were invited to participate in March 2009. Participants completed the Global Health Professions Student Survey (GHPSS). About half of the students then attended the modified Spanish version of the Î“Ã‡Â£Rx for Change CourseÎ“Ã‡Â¥, about tobacco cessation for students in the health sciences. Three months later, all participants completed the GHPSS again RESULTS: We invited 354 students to participate and 299 (84%) accepted. Of these 299, 70% were women, 26% had an outside job and 20% lived alone. The median age was 23 years. Although 88 (29%) were smokers, only 50 (57%) smoked cigarettes daily. Among smokers, 78% were women. Among the 299 students, 51% were exposed to second hand smoke (SHS) in their home in the previous week and 90% were exposed outside their homes. There was a high level of knowledge regarding tobacco consumption as 93%of the students answered correctly all the questions such as Î“Ã‡Â£Smoking during pregnancy increases the risk of disease in the newborn, such as Sudden Death Syndrome?Î“Ã‡Â¥ Only 3%of students had ever received information about smoking cessation and most were interested in receiving it for themselves or for their future patients. 40% of respondents considered that medical advice or smoking cessation counseling by physicians was not effective. No significant changes were observed in tobacco consumption or in the students' beliefs about cessation counseling after the implementation of the educational intervention. CONCLUSION: Providing knowledge on tobacco did not change student's consumption or attitudes about tobacco use and cessation. Teaching medical students about helping their patients quit smoking should be a priority in Latin American medical education. New educational strategies will need to be developed to modify student's attitudes and behavior about tobacco use.</t>
  </si>
  <si>
    <t>(Konfino J.) (Konfino J.; Mejia R.; Iermoli R.) (Ferrante D.) (Perez-Stable E.) 34th Annual Meeting of the Society of General Internal Medicine Phoenix, AZ, United States 2011-05-04 to 2011-05-07 Springer New York; ID: 2684</t>
  </si>
  <si>
    <t>Kong,G.;Smith,A. E.;McMahon,T. J.;Cavallo,D. A.;Schepis,T. S.;Desai,R. A.;Potenza,M. N.;Krishnan-Sarin,S.;Author,Addresses;Department of Psychiatry, Yale University,School of;Medicine,Park Street New Haven C.T.United States;Child Study Center, Yale University School of,Medicine New;Haven,C. T. U.;Department,of Psychology;University,San Marcos T. X. United States;Department of Psychiatry, Yale University School,of Medicine</t>
  </si>
  <si>
    <t>23370933; Pubertal status, sensation-seeking, impulsivity, and substance use in high school-aged boys and girls</t>
  </si>
  <si>
    <t>alcohol consumption;cannabis smoking;impulsiveness;puberty;sensation seeking;smoking;adolescent;adult;article;female;health survey;high risk behavior;high school;human;male;physical development;priority journal;Pubertal Development Scale;questionnaire;rating scale;United States;Zuckerman Kuhlman Personality Questionnaire Form III;Pediatrics and Pediatric Surgery (7);Public Health, Social Medicine and Epidemiology (17);Drug Dependence, Alcohol Abuse and Alcoholism (40)</t>
  </si>
  <si>
    <t>Objective: To examine howfactors such as pubertal status, sensationseeking, and impulsivity are related to substance use (cigarettes, alcohol, and marijuana) in high school students and examine these associations by gender. Methods: Ten public high schools in Connecticut participated in a survey of high-risk behaviors. Adolescents from grades 9 to 12 (N = 3068) completed measures of physical development (Pubertal Development Scale), perceived pubertal timing, impulsivity and sensationseeking (Zuckerman-Kuhlman Personality Questionnaire - Form III), and cigarette, marijuana, and alcohol use in the past 30 days. Results: Logistic regression analyses modeling each substance use (cigarettes, marijuana, and alcohol) and gender separately showed that (1) early perceived pubertal timing was associated with cigarette use but Pubertal Development Scale was not associated with any substance use, (2) sensation-seeking was associated with use of all 3 substances, and (3) gender differences were detected: impulsivity was associated with use of all 3 substances among girls, but this was not found among boys. Conclusion: Future studies should examine the relationship among pubertal status, sensation-seeking, and impulsivity from preadolescence through late adolescence to better understand how these relationships to substance use may change with time and growth. Copyright â”¬âŒ 2013 American Society of Addiction Medicine.</t>
  </si>
  <si>
    <t>(Kong G., grace.kong@yale.edu; McMahon T.J.; Cavallo D.A.; Potenza M.N.; Krishnan-Sarin S.) (Smith A.E.) (McMahon T.J.; Potenza M.N.) (Desai R.A.) Lippincott Williams and Wilkins, 250 Waterloo Road, London, United Kingdom.; ID: 2423</t>
  </si>
  <si>
    <t>http://www.ncbi.nlm.nih.gov/pubmed/23370933</t>
  </si>
  <si>
    <t>10.1097/ADM.0b013e31828230ca FULL TEXT LINK http://dx.doi.org/10.1097/ADM.0b013e31828230ca</t>
  </si>
  <si>
    <t>Pubertal status, sensation-seeking, impulsivity, and substance use in high school-aged boys and girls</t>
  </si>
  <si>
    <t>Konidaki,M.;Georgopoulou,V.;Valatas,V.;Mouzas,I.;Author,Addresses;Medical School,University of;Crete,Heraklion Greece;Gastroenterology Department,University Hospital;Heraklion,Greece;Correspondence,Address;Konidaki, Medical School University of Crete Heraklion Greece,M.</t>
  </si>
  <si>
    <t>Alcohol consumption and awareness of associated risks among medical school students</t>
  </si>
  <si>
    <t>52 Supplement 1</t>
  </si>
  <si>
    <t>i31</t>
  </si>
  <si>
    <t>alcohol;alcoholism;awareness;medical school;medical student;adult;alcohol abuse;controlled study;female;human;major clinical study;medicine;structured questionnaire;university student;wine;alcohol (64-17-5)</t>
  </si>
  <si>
    <t>Although alcohol use begins before students arrive at college, hazardous and harmful drinking is intensified during college years due among others to the intense need for socialization, exposure to new norms about alcohol use and the absence of parental supervision. This study examines the social patterns and investigates the behaviors that are related to the various levels of alcohol consumption of students of the Medical School of the University of Crete. We distributed structured questionnaires to 328 Medical School students (women 53.7%). The questionnaires were filled out anonymously by the students and were collected three weeks after distribution. Results: 1) The beginning age of alcohol consumption in medical students is around 16-18 years (54%), 2) 81.1% of medical students have gone drunk at least once, 3) 69% of them do not report hazardous and/or harmful drinking and have no indication of alcohol dependence, 4) the preferred type of drink is wine (32%), 5) medical students feel more comfortable with people of the other sex when consuming alcohol (78%), 6) Many of them (64%) spend less than 10 euros weekly for alcohol consumption, and 7) most of them (79.6%) are well familiar with the mid and long-term consequences of heavy alcohol consumption. Conclusions: The subjects of our study, identified as students of Medicine, although they are aware of the health and social consequences of alcohol consumption have a behavior that does not correspond to this knowledge. Further research is probably needed to compare these preliminary findings in medical students to university students of other academic areas.</t>
  </si>
  <si>
    <t>(Konidaki M.; Georgopoulou V.; Mouzas I.) (Valatas V.; Mouzas I.) 16th Congress of the European Society for Biomedical Research on Alcoholism Heraklion, Greece 2017-10-08 to 2017-10-11 Oxford University Press; ID: 1771</t>
  </si>
  <si>
    <t>10.1093/alcalc/agx074 FULL TEXT LINK http://dx.doi.org/10.1093/alcalc/agx074</t>
  </si>
  <si>
    <t>Korhonen,L. D.;Sobota,M.;Tranter,D.;Hudson,K.;Author,Addresses;Thunder Bay,Canada;Correspondence,Address;LD Korhonen,Thunder,Bay Canada</t>
  </si>
  <si>
    <t>Engaging populations at risk - Strengthening connections</t>
  </si>
  <si>
    <t>Canadian Journal of Infectious Diseases and Medical Microbiology</t>
  </si>
  <si>
    <t>Spring</t>
  </si>
  <si>
    <t>22 SUPPL. SB</t>
  </si>
  <si>
    <t>117B</t>
  </si>
  <si>
    <t>alcohol;cannabis;cocaine;morphine;oxycodone;oxycodone plus paracetamol;paracetamol;prescription drug;population;risk;addiction;anxiety;Canada;child;coffee;disease transmission;drug use;education;epidemic;female;friend;government;harm reduction;head injury;health;health care utilization;hepatitis C;housing;human;information processing;injection;Internet;library;male;mental health;mental health service;pill;respiratory distress syndrome;sampling;sexually transmitted disease;training;unsafe sex</t>
  </si>
  <si>
    <t>HIV/AIDS and Hepatitis C epidemics in Northern Ontario are primarily fuelled by Injection drug use (IDU) and substance use in combination with unsafe sex. GOAL: Decrease disease transmission. Increase education and support for individuals with addictions. PURPOSE: Locate injection drug users and substance users to learn: who are they, where are they, how do they learn/want to engage. DESIGN: Research conducted June 1, 2009 to March 31, 2010 involving development of a survey tool (adapted from respondent driven sampling RDS know as effective to reach invisible populations), focus groups and a literature review. RESULTS: 51% female, 48% male. Majority &gt;25 yrs old, unemployed, living in unstable housing and had children. Many reported poor physical health, not seeking or receive health care, use family/ friends for medical attention, or go nowhere. Primary health problems: mental health, depression, anxiety (females) and head injuries (males). HEP C is the most diagnosed condition. Use &gt;3x/wk. Excluding alcohol and marijuana, most substances used are non-prescribed prescription drugs as follows: oxycontin, Percocet, Tylenol #3s, cocaine and morphine. Pills easily injected. Respondents reported they are sharing drug paraphernalia. MESSAGING TO SUBSTANCE USERS: Respondents want information delivered informally and passively preferably in pamphlets or via Internet. Not seeking information on sexually transmitted diseases or safe drug injection. Information should be two-tiered: primarily about improving life generally, with other messages (eg. harm reduction) embedded within. Information priorities: housing, mental health services, government services. Highest trust method is delivered by friends/peers, available in non-stigmatizing locations, (Internet, mall, coffee shop). SERVICE IMPACT: Improve existing services, develop new resources, explore web-based delivery, introduce programs better meeting needs of the IDU and substance-using population. Increase outreach time on the street, coffee shops, libraries, malls to improve engaging with this population. Revise peer training program. Continue research to explore questions arising from study.</t>
  </si>
  <si>
    <t>(Korhonen L.D.; Sobota M.; Tranter D.; Hudson K.) 20th Annual Canadian Conference on HIV/AIDS Research: Honouring our History, Embracing our Diversity, CAHR 2011 Toronto, ON, Canada 2011-04-14 to 2011-04-17 Pulsus Group Inc.; ID: 2737</t>
  </si>
  <si>
    <t>1712-9532</t>
  </si>
  <si>
    <t>Korkmazsky,M.;Skinner,D.;Thomas,V.;Ghandehari,J.;Kosharskyy,B.;Serban,S.;Lin,H.;Hossain,S.;Sanchez,A.;Bobb,D.;Pappagallo,M.;Author,Addresses;Mount,Sinai;Medical Center, New York City,United States;Correspondence,Address;Korkmazsky, Mount Sinai Medical Center New York City United States,M.</t>
  </si>
  <si>
    <t>A pilot study of rapid opioid rotation and titration of oxymorphone</t>
  </si>
  <si>
    <t>S47</t>
  </si>
  <si>
    <t>(MAJOR FOCUS);opiate;oxymorphone;morphine;oxycodone;pain;pilot study;society;titrimetry;Brief Pain Inventory;chronic pain;medical specialist;outpatient;patient;patient controlled analgesia;therapy</t>
  </si>
  <si>
    <t>Opioid rotation is indicated in most chronic pain patients administered opioid therapy long-term but may entail management complexities requiring multiple visits to a pain specialist. This study assessed the feasibility of using a 24 hour intravenous patient-controlled-analgesia (IVPCA) to achieve rapid opioid rotation and titration (RORT). Outcomes were patient-rated scores on the Patient's Global Impression of Change (PGIC) Activity and Status scales at 6, 12, and 24 hours of IVPCA and 2 weeks thereafter (study exit); and the Brief Pain Inventory (BPI) Average Daily Pain (0 = no pain, 10 = worst imaginable) and Interference (0 = no interference, 10 = complete interference) scales pre- and postIVPCA. Twelve opioid-experienced patients with chronic noncancer pain (Î“Ã«Ã‘ 4/ 10) underwent a 24 hour IVPCA from morphine or oxycodone (baseline morphine equivalent doses of 45-510 mg/day) to oxymorphone. The IVPCA RORT was followed by a 2 week further titration of extended release oral oxymorphone. Activity scores improved significantly at 24 hours (OR = 0.49, P = 0.04) and 2 weeks (OR = 0.21, P = 0.01) vs 6 hours. Status scores improved significantly at 12 hours (OR = 0.19, P &lt; 0.001), 24 hours (OR = 0.23, P = 0.001), and 2 weeks (OR = 0.14, P = 0.001) vs 6 hours. BPI scores improved postIVPCA vs preIVPCA for average daily pain (-1.51, SE = 0.62, P = 0.02) and interference (-1.27, SE = 1.06, P = 0.24). At 2-weeks, 7/10 patients reported a clinically significant decrease in average daily pain. All patients tolerated RORT to oxymorphone well with no serious AEs. These preliminary data suggest that RORT can be performed successfully in &lt;24 hours. Further investigation is needed to confirm RORT potential as an outpatient procedure in pain practice.</t>
  </si>
  <si>
    <t>(Korkmazsky M.; Skinner D.; Thomas V.; Ghandehari J.; Kosharskyy B.; Serban S.; Lin H.; Hossain S.; Sanchez A.; Bobb D.; Pappagallo M.) 28th Annual Scientific Meeting of the American Pain Society, APS San Diego, CA, United States 2009-05-07 to 2009-05-09 Churchill Livingstone Inc.; ID: 2912</t>
  </si>
  <si>
    <t>10.1016/j.jpain.2009.01.200 FULL TEXT LINK http://dx.doi.org/10.1016/j.jpain.2009.01.200</t>
  </si>
  <si>
    <t>Krampe,H.;Kâ”œâ•fner,H.;Wagner,T.;Ehrenreich,H.;Author,Addresses;Max Planck,Inst;Experimentelle Med, Hermann-Rein-Straâ”œÆ’e Gâ”œâ•¢ttingen Germany;Correspondence,Address;Ehrenreich, Max-Planck-Inst Experimentelle Med Hermann-Rein-Straâ”œÆ’e,H.;Gâ”œâ•¢ttingen, Germany Email ehrenreich em,mpg de</t>
  </si>
  <si>
    <t>Rotation of therapists. A new element of the outpatient treatment of alcoholics ORIGINAL (NON-ENGLISH) TITLE Die therapeutenrotation. Ein neues element in der ambulanten behandlung alkoholkranker menschen</t>
  </si>
  <si>
    <t>Psychotherapeut</t>
  </si>
  <si>
    <t>alcoholism (therapy);article;clinical practice;doctor patient relation;health care quality;human;long term care;outpatient care;outpatient department;patient care;psychotherapist;psychotherapy;Public Health, Social Medicine and Epidemiology (17);Psychiatry (32);Drug Dependence, Alcohol Abuse and Alcoholism (40)</t>
  </si>
  <si>
    <t>For seven years, the so-called "rotation of therapists", has been a central part of OLITA, the outpatient longterm intensive therapy for alcoholics. Thus far, the participation of several equally responsible therapists in the treatment of a patient has rarely been seen as a defined therapeutic approach. The present work discusses whether the "rotation of therapists" has any essential influence on the success of OLITA. It considers both, potential advantages and disadvantages for patients and therapists and tries to identify conditions under which this approach appears to promote therapeutic interactions. Following an overview of the present knowledge regarding the therapeutic interaction in addiction therapy, a method is described which may be seen as the precedent of the "rotation of therapists", the multiple psychotherapy. Finally, the practical procedure in OLITA is outlined as well as its theoretical background. New areas of application for the "rotation of therapists" are discussed.</t>
  </si>
  <si>
    <t>(Krampe H.; Kâ”œâ•fner H.; Wagner T.; Ehrenreich H.); ID: 3356</t>
  </si>
  <si>
    <t>0935-6185</t>
  </si>
  <si>
    <t>2001277896 PUI L32725937</t>
  </si>
  <si>
    <t>10.1007/s002780100151 FULL TEXT LINK http://dx.doi.org/10.1007/s002780100151</t>
  </si>
  <si>
    <t>Krampe,H.;Wagner,T.;Kâ”œâ•fner,H.;Jahn,H.;Stawicki,S.;Reinhold,J.;Timner,W.;Krâ”œâ•¢ner-Herwig,B.;Ehrenreich,H.;Author,Addresses;Department of,Psychiatry;Georg-August-University, Max-Planck-Inst for Exp,Medicine G.;Germany;Institute for,Therapy Research;Dept,of Clin;Georg-August-University,Gâ”œâ•¢ttingen Germany;Max-Planck-Inst,for Exp;Hermann-Rein-Str,Gâ”œâ•¢ttingen Germany;Correspondence,Address;Ehrenreich, Max-Planck-Inst for Exp Medicine Hermann-Rein-Str,H.;Gâ”œâ•¢ttingen, Germany Email ehrenreich em,mpg de</t>
  </si>
  <si>
    <t>15002947; Therapist Rotation - A New Element in the Outpatient Treatment of Alcoholism</t>
  </si>
  <si>
    <t>Substance Use and Misuse</t>
  </si>
  <si>
    <t>alcoholism (therapy);psychotherapist;human;outpatient care;priority journal;psychotherapy;review;substance abuse;treatment outcome;Public Health, Social Medicine and Epidemiology (17);Psychiatry (32);Drug Dependence, Alcohol Abuse and Alcoholism (40)</t>
  </si>
  <si>
    <t>For nine years, the so-called "therapist rotation" has been a central part of OLITA, the Outpatient Longterm Intensive Therapy for Alcoholics. Thus far, the participation of several equally responsible therapists in the treatment of a patient has rarely been seen as a specific therapeutic approach. The present article analyzes the therapist rotation from a theoretical and clinical perspective. Articles concerned with the therapeutic alliance in the treatment of substance use disorders are reviewed. Furthermore, the literature on multiple psychotherapy, which may be seen as the precedent of the therapist rotation is surveyed. Based on the efficacy of multiple psychotherapy and the importance of the therapeutic alliance in the treatment of substance use disorders, the present work discusses the therapist rotation as an essential factor for the success of OLITA. It considers both potential advantages and disadvantages for patients and therapists and tries to identify conditions under which this approach appears to promote therapeutic interactions. Finally, the implementation of therapist rotation into OLITA is described, including the theoretical background of the program itself and the treatment procedure. New areas of application for the therapist rotation are discussed.</t>
  </si>
  <si>
    <t>(Krampe H.; Wagner T.; Jahn H.; Stawicki S.; Reinhold J.; Timner W.; Ehrenreich H., ehrenreich@em.mpg.de) (Kâ”œâ•fner H.) (Krâ”œâ•¢ner-Herwig B.) (Ehrenreich H., ehrenreich@em.mpg.de) Taylor and Francis Inc., 325 Chestnut St, Suite 800, Philadelphia PA, United States.; ID: 3239</t>
  </si>
  <si>
    <t>http://www.ncbi.nlm.nih.gov/pubmed/15002947</t>
  </si>
  <si>
    <t>10.1081/JA-120027769 FULL TEXT LINK http://dx.doi.org/10.1081/JA-120027769</t>
  </si>
  <si>
    <t>Therapist Rotation - A New Element in the Outpatient Treatment of Alcoholism</t>
  </si>
  <si>
    <t>Krawitz,R.;Author,Addresses;Waikato District,Health Board;Psychotherapy Practice, Obesity Clinic Sealey Street,Thames New;Zealand;Correspondence,Address;Krawitz, Waikato District Health Board Private Psychotherapy Practice,R.;Obesity Clinic, Sealey Street Thames New,Zealand Email;roykrawitz@xtra.co.nz</t>
  </si>
  <si>
    <t>15255829; Borderline personality disorder: Attitudinal change following training</t>
  </si>
  <si>
    <t>borderline state (diagnosis, etiology);medical education;physician attitude;adult;analysis of variance;article;awareness;controlled study;follow up;health survey;human;medical research;medical staff;mental health service;prognosis;psychiatric diagnosis;public health service;questionnaire;scoring system;self concept;skill;statistical significance;substance abuse;treatment planning;workshop;Psychiatry (32)</t>
  </si>
  <si>
    <t>Objective: To assess the effect of a two-day training workshop on clinician attitudes to working with people with borderline personality disorder (BPD). The main goal of the workshop was to achieve positive change in the attitude of clinicians treating people with BPD in a public setting. The hypothesis underlying the intervention was that informing clinicians about current concepts of the diagnosis, aetiology, prognosis and treatment of BPD, combined with detailed discussion of the principles of treatment in the public setting, would result in positive attitude change. Method: Changes in attitudes (optimism, enthusiasm, confidence and willingness to work with People with BPD) and self-perceptions of knowledge and skills among staff working with BPD patients were assessed for 418 participants from public mental health and substance abuse services who attended the workshops over an 18-month period. A survey questionnaire was administered pre- and post-workshop and at 6 month follow-up (time 1, time 2, time 3, respectively). One-way repeated measures analysis of variance (ANOVA) were carried out to compare scores on attitudes and perceptions of knowledge and skills at time 1, time 2 and time 3. Results: The results from repeated measures ANOVA show that there was a statistically significant effect for time for all six items. Analyses of within-subject contrasts indicated that, for all six variables, the time 2 and the time 3 scores were statistically significantly different from time 1 scores (p &lt; 0.01). These findings confirm that there were statistically significant changes at the post-workshop assessment, which were either maintained or showed a non-significant decrease at 6-month follow-up. Conclusions: The brief training workshop described was effective in achieving positive attitude change in clinicians working with patients with BPD. This research shows that it is possible through brief training to assist clinician positivity and to effect clinician attitude change. Implications of this research could include the influencing of future training of clinicians in public mental health and substance abuse fields.</t>
  </si>
  <si>
    <t>(Krawitz R., roykrawitz@xtra.co.nz) Informa Healthcare, Telephone House, 69 - 77 Paul Street, United Kingdom.; ID: 3226</t>
  </si>
  <si>
    <t>http://www.ncbi.nlm.nih.gov/pubmed/15255829</t>
  </si>
  <si>
    <t>10.1111/j.1440-1614.2004.01409.x FULL TEXT LINK http://dx.doi.org/10.1111/j.1440-1614.2004.01409.x</t>
  </si>
  <si>
    <t>Borderline personality disorder: Attitudinal change following training</t>
  </si>
  <si>
    <t>Krishnan,B.;Rajkumar,R. P.;Author,Addresses;Department,of Dentistry;Institute of,Postgraduate Medical;Research,Pondicherry;Pondicherry,India;Department of Psychiatry, Jawaharlal,Institute of;Postgraduate Medical,Education;Research,Pondicherry Pondicherry India;Correspondence,Address;Krishnan, Department of Dentistry Jawaharlal Institute of Postgraduate,B.;Medical,Education;Research,th Cross Thanthai Periyar Nagar;Pondicherry,Pondicherry India Email krishident yahoo co uk</t>
  </si>
  <si>
    <t>Psychological Consequences of Maxillofacial Trauma in the Indian Population: A Preliminary Study</t>
  </si>
  <si>
    <t>Craniomaxillofacial Trauma and Reconstruction (2017).Date of Publication: 2 Apr 2017</t>
  </si>
  <si>
    <t>anxiety;depression;Indian;maxillofacial injury;posttraumatic stress disorder;clinical article;complication;dental surgeon;diagnosis;doctor patient relation;education;emotional stress;face;female;follow up;Hospital Anxiety and Depression Scale;human;language;male;patient referral;prevalence;psychiatrist;questionnaire;scar;screening;substance abuse</t>
  </si>
  <si>
    <t>The aim of this article is to identify the prevalence of posttraumatic psychological symptoms following maxillofacial trauma among an Indian population sample and assess changes in these symptoms over a period of time. Forty-eight adult patients were assessed within 2 weeks of injury with two follow-up visits (4Î“Ã‡Ã´6 weeks and 12Î“Ã‡Ã´14 weeks). Patients were administered three self-reporting questionnaires in local language (GHQ-12; HADS; TSQ) on all occasions. Relevant sociodemographic and clinical data were obtained. Forty patients were included in the final analysis. Emotional distress was present in nine participants and five participants satisfied the TSQ criteria for a diagnosis of stress disorder. Anxiety and depression were observed in 10 and 4 patients, respectively. Characteristics associated with abnormal high scores included substance abuse, low education and income levels, facial scars, and complications needing additional intervention. These findings reveal the abnormal psychological response to maxillofacial trauma in immediate and follow-up periods. The use of such screening tools can be considered by the maxillofacial surgeon for early identification of psychological symptoms and referral to the psychiatrist.</t>
  </si>
  <si>
    <t>(Krishnan B., krishident@yahoo.co.uk) (Rajkumar R.P.) Thieme Medical Publishers, Inc., custserv@thieme.com; ID: 1802</t>
  </si>
  <si>
    <t>1943-3883 (electronic) 1943-3875</t>
  </si>
  <si>
    <t>20170531876 PUI L617481658</t>
  </si>
  <si>
    <t>10.1055/s-0037-1604426 FULL TEXT LINK http://dx.doi.org/10.1055/s-0037-1604426</t>
  </si>
  <si>
    <t>Kubiak,S. P.;Arfken,C. L.;Author,Addresses;Michigan State University, College,of Social;Science,East Lansing M. I. United States;Wayne State University, Detroit,M.I.United States;Correspondence,Address;SP Kubiak, Michigan State University College of Social,Science East;Lansing,M. I. U.</t>
  </si>
  <si>
    <t>17931822; Comparing credentialing requirements of substance abuse treatment staff by funding source</t>
  </si>
  <si>
    <t>accreditation;drug dependence treatment;funding;administrative personnel;article;clinical practice;comparative study;criminal justice;health education;medical staff;prediction;priority journal;Public Health, Social Medicine and Epidemiology (17);Health Policy, Economics and Management (36);Drug Dependence, Alcohol Abuse and Alcoholism (40)</t>
  </si>
  <si>
    <t>Studies have found that clinicians with higher education and/or attainment of national certification have a more favorable outlook regarding the adoption of evidence-based practices. However, staff hiring decisions may be based on a multitude of factors, including available resources and demands stemming from different funders. Using a mixed-methods case study approach with 34 agencies within one state, we assessed administrators' perspectives of the most important funding source, views on clinical hiring practices, and current staffing. We found that funding source predicted views and actual staff level of credentialing and education. Those agencies citing a criminal justice entity as the most important funder had the lowest requirements for credentialing and education. As the substance abuse treatment delivery system evolves and expands, we must ensure that vulnerable groups have access to more highly-rather than less-skilled workers to assess and facilitate recovery. â”¬âŒ 2008 Elsevier Inc. All rights reserved.</t>
  </si>
  <si>
    <t>(Kubiak S.P., spk@msu.edu) (Arfken C.L.) Elsevier Inc., 360 Park Avenue South, New York, United States.; ID: 2979</t>
  </si>
  <si>
    <t>http://www.ncbi.nlm.nih.gov/pubmed/17931822</t>
  </si>
  <si>
    <t>10.1016/j.jsat.2007.08.007 FULL TEXT LINK http://dx.doi.org/10.1016/j.jsat.2007.08.007</t>
  </si>
  <si>
    <t>Comparing credentialing requirements of substance abuse treatment staff by funding source</t>
  </si>
  <si>
    <t>Kuehn,B. M.;Author,Addresses;Correspondence,Address;Kuehn,B. M.</t>
  </si>
  <si>
    <t>20736462; FDA opioid safety plan promotes patient, physician education to prevent abuse</t>
  </si>
  <si>
    <t>JAMA - Journal of the American Medical Association</t>
  </si>
  <si>
    <t>(MAJOR FOCUS);opiate (drug therapy);long acting drug;food and drug administration;medical education;opiate addiction;patient education;drug release;drug safety;human;law;pain (drug therapy);prescription;priority journal;short survey;opiate (53663-61-9, 8002-76-4, 8008-60-4);Public Health, Social Medicine and Epidemiology (17);Drug Literature Index (37);Drug Dependence, Alcohol Abuse and Alcoholism (40)</t>
  </si>
  <si>
    <t>(Kuehn B.M.) American Medical Association, 515 North State Street, Chicago, United States.; ID: 2764</t>
  </si>
  <si>
    <t>http://www.ncbi.nlm.nih.gov/pubmed/20736462</t>
  </si>
  <si>
    <t>10.1001/jama.2010.1200 FULL TEXT LINK http://dx.doi.org/10.1001/jama.2010.1200</t>
  </si>
  <si>
    <t>Kumar,S.;Pokharel,B.;Nagesh,S.;Yadav,B. K.;Author,Addresses;Dept of,Community Medicine;Institute of,Medical Sciences;Dept of,Community Medicine;Koirala Institute of,Health Sciences;Correspondence,Address;Kumar, Dept of Community Medicine Indira Gandhi Institute of Medical,S.;Sciences,Patna India Email sanjay yahoo com</t>
  </si>
  <si>
    <t>18603954; Alcohol use among physicians in a medical school in Nepal</t>
  </si>
  <si>
    <t>Kathmandu University Medical Journal</t>
  </si>
  <si>
    <t>alcohol consumption;medical school;physician;adult;article;counseling;female;human;male;Nepal;normal human;peer pressure;social aspect;whiskey;Public Health, Social Medicine and Epidemiology (17)</t>
  </si>
  <si>
    <t>Objective: The objective of the study was to know about the use of alcohol among physicians and factors that were related to it. Methods: This was a cross sectional study conducted among the physicians in a medical school of eastern Nepal. A semi structured questionnaire was used to collect information. Results: There were 55 subjects in the study. Half of them were between 35-45 years age group and one fourth among them were female. There were more than 88% physicians consuming alcohol for more than 10 years. One third used to preferred whisky as their favorites drink. Use of alcohol among them was due to peer pressure and to become a social human being. Most of them drink alcohol occasionally with an average amount 30-60ml in a sitting and usually in the evening. Most of the time, they use alcohol either in parties or at home. Conclusion: Alcohol use in Nepal is very much prevalent. The use of alcohol is socially accepted in many communities. Uses of alcohol by physicians have direct effect on their health as well as the health of many people because they are role model for many people. They are also in direct contact with the patients. Steps to council the physicians may reduce the consumption of alcohol.</t>
  </si>
  <si>
    <t>(Kumar S., sanjay131@yahoo.com) (Pokharel B.; Nagesh S.; Yadav B.K.) Kathmandu University, Sinamangal, P. O. Box 21266, Katmandu, Nepal.; ID: 3070</t>
  </si>
  <si>
    <t>1812-2027 4812-2078 (electronic)</t>
  </si>
  <si>
    <t>http://www.ncbi.nlm.nih.gov/pubmed/18603954</t>
  </si>
  <si>
    <t>Alcohol use among physicians in a medical school in Nepal</t>
  </si>
  <si>
    <t>Kumar,T. Y. G.;Kavumpurath,T. R.;Nichter,M.;Author,Addresses;Sree Chitra Tirunal,Institute for;Sciences;Technology,India;Arizona University,United States;Correspondence,Address;TYG Kumar, Sree Chitra Tirunal Institute for Medical,Sciences and;Technology,India</t>
  </si>
  <si>
    <t>Introducing a fully integrated tobacco curriculum and tobacco cessation skills in medical colleges</t>
  </si>
  <si>
    <t>Respiratory medicine</t>
  </si>
  <si>
    <t>Respir.Med.</t>
  </si>
  <si>
    <t>107 SUPPL. 1</t>
  </si>
  <si>
    <t>curriculum;health care planning;medical school;public health;skill;tobacco;counseling;diseases;education;epidemiology;examination;human;Indian;medical education;medical student;model;morbidity;mortality;organ systems;patient;physician;professional standard;school;student;teaching;videorecording</t>
  </si>
  <si>
    <t>Background: Doctors need to play an active role in tobacco cessation to reduce morbidity and mortality. Little attention is paid in medical schools to the negative effect of tobacco on organ systems, disease processes or medicine effectiveness. Baseline surveys in 5 Indian medical schools under Project Quit Tobacco International (QTI) found that faculty and students were interested in receiving more education on tobacco related illness and cessation counseling as part of doctor' s professional role. A tobacco curriculum developed by QTI has been introduced in 5 Medical schools in Kerala and Karnataka. The curriculum is flexible and introduced across the nine semesters of medical education. It also provides hands-on training on tobacco cessation to faculty and students Objective: The main objectives of the curriculum are to educate medical students on the impact of tobacco on all organ system and disease processes, and to provide skills on brief tobacco cessation interventions. Attendees for this paper will learn how to access Project QTI educational modules and training videos on the web Method: Curriculum mapping was conducted to identify where in the nine semesters different tobacco related subjects could be introduced. Tobacco modules were developed which provide information on tobacco epidemiology, tobacco and particular diseases and brief cessation skills. Each module has power point presentations with speaker notes, fact sheets for bedside teaching, sample examination questions and case scenarios illustrating cessation counseling of patients. Clinical videos to model cessation skills have been developed as teaching aids. Modules were piloted tested and revised. Faculty from all schools received training on module implementation and cessation skills, and took a basic cessation skills competency exam. Medical students underwent training in brief intervention skills for tobacco cessation. After completing 5 BI logs, they were evaluated through an OSCE examination Results: Most faculty and students found the contents of the mini lectures to be very relevant. The speaker notes and references allow the faculty to lecture with confidence. The clinical videos were very informative and practical in giving guidance in how to help patients quit with specific information and support. Conclusion: Inclusion of tobacco topics in the medical curriculum and training in brief interventions for tobacco cessation is necessary. Tobacco curriculum and cessation training developed can be implemented in other medical schools.</t>
  </si>
  <si>
    <t>(Kumar T.Y.G.; Kavumpurath T.R.) (Nichter M.) International Conference on Public Health Priorities in the 21st Century: The Endgame for Tobacco 2013 New Delhi, India 2013-09-10 to 2013-09-12 W.B. Saunders Ltd; ID: 2363</t>
  </si>
  <si>
    <t>0954-6111</t>
  </si>
  <si>
    <t>Kumari,M. M.;Babu,S.;Author,Addresses;Asram Medical,College;Eluru,Andhrapradesh India;Correspondence,Address;MM Kumari, Asram Medical College Eluru Andhrapradesh,India Email;meenamedikonda@gmail.com</t>
  </si>
  <si>
    <t>A study on prevalence of internet addiction in medical students and its relationship with personality traits</t>
  </si>
  <si>
    <t>internet addiction;medical student;personality;prevalence;adolescent;conference abstract;counseling;female;human;Internet;major clinical study;male;medical school;neurosis;prevention;questionnaire;teaching</t>
  </si>
  <si>
    <t>Objective: To assess the prevalence of internet addiction and its relationship with the personality traits in undergraduate medical students. Materials and Methods: The present study employed a descriptive, correlative method and the sample comprised 100 undergraduate medical students of Asram Medical College, Eluru. The tools used are Internet Addiction test (IAT) designed and developed by Young and NEO-Five Factor Inventory (NEO-FFI) questionnaires. Results: Results indicated that 88% of medical students are addicted to internet, and internet addiction is significantly correlated with neuroticism. Conclusion: The study demonstrated that there is high prevalence of internet addiction in medical students, so to prevent internet addiction in adolescents we should take measures like teaching and counselling them regarding the pathological effects of internet addiction and also personality screening to be done during the start of undergraduation to identify the risk personalities and to counsel them from being addicted.</t>
  </si>
  <si>
    <t>(Kumari M.M., meenamedikonda@gmail.com; Babu S.) 70th Annual National Conference of Indian Psychiatric Society, ANCIPS 2018 Ranchi, India 2018-02-05 to 2018-02-08 Medknow Publications; ID: 1743</t>
  </si>
  <si>
    <t>Kumar-Sinha,C.;Shankar,S.;Ma,L.;Robinson,D.;Cao,X.;Kalyana-Sundaram,S.;Chinnaiyan,A. M.;Author,Addresses;Umich,Ann Arbor United States;Correspondence,Address;Kumar-Sinha, Umich Ann Arbor United States,C.</t>
  </si>
  <si>
    <t>Kinome analysis of cancers by high-throughput transcriptome sequencing: Ideas in personalized medicine</t>
  </si>
  <si>
    <t>Cancer research</t>
  </si>
  <si>
    <t>Cancer Res.</t>
  </si>
  <si>
    <t>71:8 SUPPL. 1.</t>
  </si>
  <si>
    <t>(MAJOR FOCUS);transcriptome;gefitinib;imatinib;lapatinib;phosphotransferase;phosphotransferase inhibitor;protein kinase;small interfering RNA;trastuzumab;cancer research;neoplasm;personalized medicine;addiction;breast;breast cancer;cancer cell culture;chronic myeloid leukemia;exome;gene;gene expression;genomics;high throughput sequencing;human;lung cancer;molecularly targeted therapy;mutation;oncogene;pancreas cancer;patient;therapy</t>
  </si>
  <si>
    <t>Targeted cancer therapy, which takes into account the intrinsic molecular heterogeneity of individual cases, is the ultimate goal of cancer genomics research. Despite intrinsic genetic complexity and heterogeneity, a few genes exert an overarching influence on the growth and sustenance of cancers, a phenomenon described as Î“Ã‡Â£oncogene addictionÎ“Ã‡Â¥. The most common class of addictive genes in cancers are protein kinases, and some of the most successful therapeutics include kinase inhibitors such as imatinib for BCR-ABL1 positive chronic myeloid leukemia, herceptin and lapatinib for ERBB2 positive breast cancers and gefitinib for lung cancers with EGFR mutations. Inhibitors of several other common driver kinases are under various stages of clinical use, trials or development. Unfortunately, targeting a primary driver almost always fails because, (1) Target patients are not well defined (2) cancers display de novo or acquired resistance to the inhibitors, and (3) there is an absence of additional/ alternate targets. We hypothesize that, in addition to the primary oncogenic driver, cancers harbor additional/ secondary drivers that are capable of providing escape from addiction to the primary driver following targeted therapy. Using high throughput sequencing, cancer samples can be interrogated individually to identify patient specific drivers/ therapeutic targets. We have used gene expression readout of transcriptome sequencing data from individual cancer samples to identify potential therapeutic targets showing outlier expression. In a proof of principle study focusing on kinase outliers, we nominated sample-specific, multiple outlier kinases in breast and pancreatic cancer and tested combinatorial targeting through siRNA knockdown experiments. In herceptin resistant, ERBB2 positive cancers, we observed an outlier expression (or mutation, or both) of other druggable kinases, such as FGFR4, RET, EGFR or MET, among others. Similarly, pancreatic cancer cell lines harboring oncogenic KRAS mutation were found to display outlier expression of AXL, MET, EPHA2, or MST1R and other potentially targetable kinases, in a sample specific expression profile. Based on these observations, we hypothesize that in addition to the primary aberration in every cancer sample multiple secondary drivers act through parallel/collaborating pathways. A combinatorial therapeutic strategy targeting the primary aberration together with sample specific secondary aberrations could preempt or overcome resistance to targeted therapy focused solely on the primary driver. Through an integrative analysis of high throughput transcriptome and exome sequencing of cancer samples, we could nominate personalized therapeutic candidates in real time. This could provide a novel paradigm for personalized medicine for cancers.</t>
  </si>
  <si>
    <t>(Kumar-Sinha C.; Shankar S.; Ma L.; Robinson D.; Cao X.; Kalyana-Sundaram S.; Chinnaiyan A.M.) 102nd Annual Meeting of the American Association for Cancer Research, AACR 2011 Orlando, FL, United States 2011-04-02 to 2011-04-06 American Association for Cancer Research Inc.; ID: 2693</t>
  </si>
  <si>
    <t>10.1158/1538-7445.AM2011-4986 FULL TEXT LINK http://dx.doi.org/10.1158/1538-7445.AM2011-4986</t>
  </si>
  <si>
    <t>Kunin,C. M.;Tupasi,T.;Craig,W. A.;Author,Addresses;Hosp,Madison Va;Correspondence,Address;Hosp,Madison Va</t>
  </si>
  <si>
    <t>4795880; A brief exposition of the problem and some tentative solutions</t>
  </si>
  <si>
    <t>(MAJOR FOCUS);antibiotic agent;carbenicillin;cefalexin;cephalosporin;chloramphenicol;gentamicin;lincomycin;penicillin G;bacterial superinfection;drug control;drug dependence;medical education;pharmacology;carbenicillin (17230-86-3, 4697-36-3, 4800-94-6);cefalexin (15686-71-2, 23325-78-2);cephalosporin (11111-12-9);chloramphenicol (134-90-7, 2787-09-9, 56-75-7);gentamicin (1392-48-9, 1403-66-3, 1405-41-0);lincomycin (154-21-2, 7179-49-9, 859-18-7);penicillin G (1406-05-9, 61-33-6);Drug Literature Index (37);Adverse Reactions Titles (38);Public Health, Social Medicine and Epidemiology (17);Clinical and Experimental Pharmacology (30)</t>
  </si>
  <si>
    <t>(Kunin C.M.; Tupasi T.; Craig W.A.); ID: 3928</t>
  </si>
  <si>
    <t>http://www.ncbi.nlm.nih.gov/pubmed/4795880</t>
  </si>
  <si>
    <t>A brief exposition of the problem and some tentative solutions</t>
  </si>
  <si>
    <t>Kunze,M.;Author,Addresses;Correspondence,Address;Kunze,M.</t>
  </si>
  <si>
    <t>3696715; Smoking and bronchial carcinoma: socio-medical conclusions ORIGINAL (NON-ENGLISH) TITLE Rauchen und Bronchuskarzinom: sozialmedizinische Schlussfolgerungen</t>
  </si>
  <si>
    <t>â”œÃ»sterreichische Krankenpflegezeitschrift</t>
  </si>
  <si>
    <t>health education;smoking (adverse drug reaction);article;Austria;human</t>
  </si>
  <si>
    <t>(Kunze M.); ID: 3752</t>
  </si>
  <si>
    <t>0303-4461</t>
  </si>
  <si>
    <t>http://www.ncbi.nlm.nih.gov/pubmed/3696715</t>
  </si>
  <si>
    <t>Smoking and bronchial carcinoma: socio-medical conclusions ORIGINAL (NON-ENGLISH) TITLE Rauchen und Bronchuskarzinom: sozialmedizinische Schlussfolgerungen</t>
  </si>
  <si>
    <t>Kurpas,D.;Jasiâ”¼Ã¤ska,A.;Bielska,D.;Seâ”¼Ã¤,M.;Wojtal,M.;Sochocka,L.;Steciwko,A.;Author,Addresses;Katedra i Zakâ”¼Ã©ad Medycyny Rodzinnej, Akademii,Medycznej we;Wrocâ”¼Ã©awiu;Correspondence,Address;Kurpas, Katedra i Zakâ”¼Ã©ad Medycyny Rodzinnej Akademii Medycznej we,D.;Wrocâ”¼Ã©awiu Email,dkurpas,hotmail com</t>
  </si>
  <si>
    <t>18409312; The knowledge level of smoking harm in the students of Wroclaw Medical University, Bialystok Medical University and the Public Higher Medical Professional School in Opole ORIGINAL (NON-ENGLISH) TITLE Poziom wiedzy na temat szkodliwoâ”¼Â¢ci palenia tytoniu wâ”¼Â¢râ”œâ”‚d studentâ”œâ”‚w Akademii Medycznej we Wrocâ”¼Ã©awiu, Akademii Medycznej w Biaâ”¼Ã©ymstoku i Paâ”¼Ã¤stwowej Medycznej Zawodowej Szkole w Opolu</t>
  </si>
  <si>
    <t>attitude to health;health promotion;medical student;smoking (adverse drug reaction, prevention);adult;article;female;human;male;Poland;questionnaire</t>
  </si>
  <si>
    <t>The main aim of health promotion and diseases prophylactic is a struggle with smoking, which is a well known factor in many disorders, i.e. malignant carcinomas, noncarcinomatous diseases of respiratory system and cardiovascular diseases. The aim of the study was the analysis of the knowledge level of smoking harm and its consequences in 1051 students of Wroclaw Medical University, Bialystok Medical University and the Public Higher Medical Professional School in Opole. The respondents answered to the anonymous, voluntary questionnaire. The little percentage of students in all centres gave correct answer to the subject of amount of carcinogens contained in the tobacco and the tobacco smoke still correct answers concerning concrete carcinogens were rare. Students aren't also convinced that the smoking can cause so strong psychophysical addiction, like taking drugs: heroine and cocaine. Majority polled is confirming that the smoking is a cause of the cancer of larynx, vascular diseases or chronic bronchitis, as well as an influence on a birth weight in newborn babies. Depending on the examined centre--convincing that smoking is the risk factor of bladder cancer isn't already so universal, the similar situation is taking place at examining the knowledge on the subject of association between smoking and osteoporosis. Admittedly the knowledge on the subject of nicotine substitute therapy isn't alien to students, they have the difficulty with correct giving available preparations on the Polish market. The knowledge of students is also scarce on the subject of changes in the total number of smokers in Poland.</t>
  </si>
  <si>
    <t>(Kurpas D.; Jasiâ”¼Ã¤ska A.; Bielska D.; Seâ”¼Ã¤ M.; Wojtal M.; Sochocka L.; Steciwko A.); ID: 3015</t>
  </si>
  <si>
    <t>http://www.ncbi.nlm.nih.gov/pubmed/18409312</t>
  </si>
  <si>
    <t>The knowledge level of smoking harm in the students of Wroclaw Medical University, Bialystok Medical University and the Public Higher Medical Professional School in Opole ORIGINAL (NON-ENGLISH) TITLE Poziom wiedzy na temat szkodliwoâ”¼Â¢ci palen(TRUNCATED)</t>
  </si>
  <si>
    <t>Kurpas,D.;Wojtal,M.;Bielska,D.;Rogalska,M.;Steciwko,A.;Author,Addresses;Katedra i Zakâ”¼Ã©ad Medycyny Rodzinnej, Akademia,Medyczna Wroc;Correspondence,Address;Kurpas, Katedra i Zakâ”¼Ã©ad Medycyny Rodzinnej Akademia Medyczna Wrocâ”¼Ã©aw,D.;Email,dkurpas hotmail com</t>
  </si>
  <si>
    <t>20301918; Level of tobacco smoking amongst 6th year students of Wroclaw Medical University ORIGINAL (NON-ENGLISH) TITLE Poziom palenia tytoniu wâ”¼Â¢râ”œâ”‚d studentâ”œâ”‚w VI roku Akademii Medycznej we Wrocâ”¼Ã©awiu</t>
  </si>
  <si>
    <t>attitude to health;medical school;smoking (epidemiology, prevention);student;adult;article;female;human;male;Poland (epidemiology);rural population;statistics;urban population</t>
  </si>
  <si>
    <t>Prevention of tobacco smoking amongst youths and young adult could limit deaths because of illness tobacco related to 2050. The assessment of the level of smoking was the aim of examinations amongst medical students. An anonymous questionnaire containing questions on the subject of tobacco smoking was carried amongst 6th year students of the Medical Department of Wroclaw Medical University in the academic year 2008/2009. Two hundreds then students took part in the study. 62% of examined came from the provincial capital, the 11.4% from the town with the population above 100 hundred of inhabitants, 22.4% of towns with the population below 100 hundred of inhabitants and 3.8% of students--from country centers. 14.8 % respondents admitted to smoking cigarettes, 75.2% were non-smoking persons, 10% were smokers but ceased smoking cigarettes in the sequence of a few last years. Amongst smokers--the most (59% of students and 71% of students) is smoking to 5 cigarettes per day. The most students (56% of women and 60% of men) began smoking in the secondary school. In studied group 67.6% (142) examined is claiming that the anti-tobacco advice should give family doctors, and 43% thinks that a patient which isn't able to cease the smoking in spite of strong motivation should be seen by a family doctor. The percentage of smokers amongst medical students didn't take turns in the sequence of two last years, however amongst smokers--biggest percentage is smoking to 5 cigarettes per day. The students most often begin smoking in the secondary school. The straight majority of the medical students is paying attention, that family doctors should take up giving the anti-tobacco advice and helping patients which isn't able to cease the smoking in spite of strong motivation. The ones smoking the small number of cigarettes and which began smoking in the secondary school are predominating amongst smokers. Overbalancing percentage of examined is located anti-tobacco therapy into competence of a family doctor.</t>
  </si>
  <si>
    <t>(Kurpas D.) (Wojtal M.; Bielska D.; Rogalska M.; Steciwko A.); ID: 2850</t>
  </si>
  <si>
    <t>http://www.ncbi.nlm.nih.gov/pubmed/20301918</t>
  </si>
  <si>
    <t>Level of tobacco smoking amongst 6th year students of Wroclaw Medical University ORIGINAL (NON-ENGLISH) TITLE Poziom palenia tytoniu wâ”¼Â¢râ”œâ”‚d studentâ”œâ”‚w VI roku Akademii Medycznej we Wrocâ”¼Ã©awiu</t>
  </si>
  <si>
    <t>Kurtz,R. A.;Author,Addresses;Dept Commun Med Behav Sci, Fac Med Kuwait,Univ Kuwait;Correspondence,Address;Dept Commun Med Behav Sci, Fac Med Kuwait,Univ Kuwait</t>
  </si>
  <si>
    <t>672704; Medical and social work student perceptions of deviant conditions: descriptive label, cause and help source</t>
  </si>
  <si>
    <t>alcoholism;drug dependence;homosexuality;medical education;mental deficiency;mental disease;pregnancy;questionnaire;sexually transmitted disease;single parent;social worker;student;central nervous system;geographic distribution;Kuwait;methodology;normal human;psychological aspect;short survey;United Kingdom;Public Health, Social Medicine and Epidemiology (17);Health Policy, Economics and Management (36)</t>
  </si>
  <si>
    <t>The focus of this paper is on medical and social work student perceptions of the descriptive label, cause and treatment source for seven conditions: mental illness, mental subnormality, alcoholism, drug addiction, homosexuality, unmarried pregnancy and venereal disease. Responses to questionnaire items were examined to ascertain whether there were differentials by career choice (medicine and social work) and by class year (first and final year). The students indicated that the seven deviancies should be described as sick or handicapping conditions, that causes are social and psychological, and that treatment should be given by private and social sources. When reference to medical aspects of the conditions is made, the students select psychiatric rather than general medical options. Both medical and social work students tended to choose neutral, rather than negative and stigmatizing terms of reference for the conditions. While students in the different school years made similar responses overall, multiple responses were much more frequent among those preparing for social work rather than medical careers and among students in their final year of schooling.</t>
  </si>
  <si>
    <t>(Kurtz R.A.); ID: 3851</t>
  </si>
  <si>
    <t>http://www.ncbi.nlm.nih.gov/pubmed/672704</t>
  </si>
  <si>
    <t>Medical and social work student perceptions of deviant conditions: descriptive label, cause and help source</t>
  </si>
  <si>
    <t>Kwok,C.;McIntyre,A.;Janzen,S.;Sequeira,K.;Teasell,R.;Author,Addresses;Aging,Rehabilitation;Geriatric Care,Lawson;Health Research Institute, St Joseph's Parkwood Hospital,London O.;Canada;St Joseph's,Health Care;Hospital,London O. N. Canada;Department of,Physical Medicine;Rehabilitation,Schulich School of Medicine;Dentistry,Western;University,London O. N. Canada;Correspondence,Address;McIntyre,Aging Rehabilitation,A.;Geriatric Care,Lawson Health;Research Institute, Parkwood Hospital Commissioners,Road E.;On,N. C. J. C.</t>
  </si>
  <si>
    <t>Drug and alcohol abuse among individuals with acquired brain injury</t>
  </si>
  <si>
    <t>alcohol;barbituric acid derivative;cannabis;cocaine;methamphetamine;narcotic agent;acquired brain injury;alcohol abuse;drug abuse;rehabilitation care;adult;alcohol consumption;article;brain injury;controlled study;drug use;female;health education;human;length of stay;major clinical study;male;non traumatic brain injury;patient counseling;prevalence;retrospective study;sex difference;traumatic brain injury;alcohol (64-17-5);cannabis (8001-45-4, 8063-14-7);cocaine (50-36-2, 53-21-4, 5937-29-1);methamphetamine (28297-73-6, 51-57-0, 537-46-2, 7632-10-2);Neurology and Neurosurgery (8);Drug Dependence, Alcohol Abuse and Alcoholism (40)</t>
  </si>
  <si>
    <t>Objectives: To determine the prevalence of alcohol and drug abuse among patients admitted to an acquired brain injury rehabilitation unit, examine how these issues are addressed during inpatient neurorehabilitation, and explore patient responses to substance abuse (SA) health teaching. Methods: A retrospective chart audit was conducted of consecutive patients admitted to a neurorehabilitation unit in Southwestern Ontario between March 2009 and March 2011. Information extracted included: (1) presence of substance abuse; (2) use of alcohol or illicit drugs at time of injury; (3) education and/or referrals for counseling and support services; and (4) patient response. Data was inputted and analyzed using Statistical Package for the Social Sciences (Version 20.0). Results: 102 patients with traumatic (N=75) and nontraumatic (N=27) brain injuries were included with a mean age of 43.3â”¬â–’17.9 years (range 14-80). 24.5% of patients had documented evidence of alcohol (N=22) or drugs (N=3) in their body at the time of injury. 36.3% of the total sample had SA; 56.8% abused alcohol, 13.5% abused drugs and 29.7% abused both substances. The majority (N=96) of the sample received standard education from the physician or the unit social worker with approximately half indicating compliance. Of those with SA, 46% were offered a referral for counseling or support services. Conclusions: Future research should explore reasons for refusal and poor motivation to attend addiction treatment. To optimize outcomes for patients, current rehabilitation practice should be evaluated to identify areas for improvement for concurrent conditions of ABI and SA.</t>
  </si>
  <si>
    <t>(Kwok C.; McIntyre A., Amanda.mcintyre@sjhc.london.on.ca; Janzen S.; Sequeira K.; Teasell R.) (Sequeira K.; Teasell R.) Canadian Society of Addiction Medicine, 47 Tuscany Ridge Terrace NW, Calgary Alberta, Canada.; ID: 2359</t>
  </si>
  <si>
    <t>2013536660 PUI L369660979</t>
  </si>
  <si>
    <t>Kymalainen,J. A.;Henze,K. T.;Deluca,M.;Mitton,T. A.;Walton,H. M.;Duffy,P.;Kapungu,C.;Lefebvre,T.;Alexander,W. H.;Pinsky,J.;Author,Addresses;Edith Nourse,Rogers;Medical,Memorial Va;Correspondence,Address;JA Kymalainen, Edith Nourse Rogers Memorial V A Medical Center,Bedford M.;gov,U. S. A. E.</t>
  </si>
  <si>
    <t>20374990; Are we there yet? The four-year impact of a VA fellowship program on the recovery orientation of rehabilitation programs</t>
  </si>
  <si>
    <t>addiction (rehabilitation);government;in service training;medical education;mental disease (rehabilitation);patient care;social adaptation;veteran;vocational rehabilitation;adult;aged;article;comparative study;consumer;female;health services research;human;male;middle aged;multimodality cancer therapy;psychological aspect;treatment outcome;United States</t>
  </si>
  <si>
    <t>OBJECTIVE: This study represents the first program evaluation of the impact of a Psychosocial Rehabilitation (PSR) fellowship program within the Veterans Health Administration (VHA). Specifically, it examines the recovery orientation of five mental health rehabilitation programs at the Edith Nourse Rogers Memorial VA Medical Center (ENRM VAMC) in Bedford, MA by comparing program stakeholder rating of the "recovery orientation" between the initial data and the four-year follow-up during which the PSR fellowship was in operation. The goal of this fellowship program is to increase the VHA's fidelity to recovery-oriented best practice recommendations. METHOD: Participants were mental health consumers and staff members within five key psychiatric rehabilitation programs at the ENRM VAMC. Perception of programs' recovery orientation was measured at the start of the fellowship (Time 1) and after the fellowship was in place for four years (Time 2). RESULTS: Results demonstrate that across the entire sample of stakeholders, perceptions of recovery orientation significantly improved from Time 1 to Time 2. Results also reveal a significant overall increase in program recovery orientation over time in three out of the five rehabilitation programs, with years of fellow involvement in particular programs significantly and positively correlating with increases in ratings of program recovery-orientation gains. DISCUSSION: Implications for using fellowships as agents of program change, and specifically, recovery-oriented change, are discussed.</t>
  </si>
  <si>
    <t>(Kymalainen J.A.; Henze K.T.; Deluca M.; Mitton T.A.; Walton H.M.; Duffy P.; Kapungu C.; Lefebvre T.; Alexander W.H.; Pinsky J.); ID: 2820</t>
  </si>
  <si>
    <t>http://www.ncbi.nlm.nih.gov/pubmed/20374990</t>
  </si>
  <si>
    <t>10.2975/33.4.2010.320.327 FULL TEXT LINK http://dx.doi.org/10.2975/33.4.2010.320.327</t>
  </si>
  <si>
    <t>Are we there yet? The four-year impact of a VA fellowship program on the recovery orientation of rehabilitation programs</t>
  </si>
  <si>
    <t>Laberg,J. C.;Fauske,S.;Loberg,T.;Author,Addresses;The,Hjellestad Clinic;Department,N. H.;Correspondence,Address;The Hjellestad Clinic, Research,Department N.</t>
  </si>
  <si>
    <t>2676031; Alcohol research at the Hjellestad Clinic</t>
  </si>
  <si>
    <t>(MAJOR FOCUS);alcohol;drug dependence;lifestyle;personality;violence;human;Norway;priority journal;research;short survey;alcohol (64-17-5);Drug Dependence, Alcohol Abuse and Alcoholism (40)</t>
  </si>
  <si>
    <t>Treatment and research efforts at the Hjellestad Clinic are based on a biobehavioural model of the addictions. The treatment program encompasses life-style changes and relapse prevention, and extensive assessment for the purpose of the treatment choices. The clinic is treating nearly 1500 patients a year. Psychological and medical research projects have included experimental drinking studies, psychopharmacological and biomedical studies, treatment evaluations, studies of neuropsychological assessment, studies of personality subtypes, studies of violence related to alcohol and drugs, and investigations of women alcoholics. A new research laboratory houses and experimental bar, and state-of-the-art facilities for psychophysiological and neuropsychological testing. The Hjellestad Clinic is the only Norwegian centre for clinical and experimental research on the addictions from a psycho-physiological as well as behavioral and cognitive perspective. In addition, a national educational program offers theoretical and practical training for professionals and paraprofessionals in the addictions in co-operation with the University of Bergen. Training in the addictions and internships for psychology students at the University of Bergen is provided at the Clinic. The centre has established connections with centres in Scandinavia, England, Canada and the U.S., through visiting scholars and study trips. (The centre has an especially strong liaison with the Rutgers Center of Alcohol Studies.)</t>
  </si>
  <si>
    <t>(Laberg J.C.; Fauske S.; Loberg T.) Carfax Publishing Company, 4 Park Square, Milton Park, Abingdon, Oxfordshire, United Kingdom.; ID: 3712</t>
  </si>
  <si>
    <t>http://www.ncbi.nlm.nih.gov/pubmed/2676031</t>
  </si>
  <si>
    <t>Alcohol research at the Hjellestad Clinic</t>
  </si>
  <si>
    <t>Ladak,F.;Chan,N.;Pedersen,J.;Author,Addresses;Medicine,University of Calgary Calgary;Canada;Correspondence,Address;Ladak, Medicine University of Calgary Calgary Canada,F.</t>
  </si>
  <si>
    <t>Students for Health Innovation and Education (SHINE): Fostering leadership among medical students and residents</t>
  </si>
  <si>
    <t>education;health;human;leadership;medical student;student;university;addiction;asphyxia;Canadian;community;curriculum;exposure;feedback system;government;harm reduction;Health Assessment Questionnaire;health care;health practitioner;health science;hospital;interpersonal communication;juvenile;laryngeal mask;medical education;medical school;model;newborn mortality;organization;physician;population;prison;public health;resuscitation;school;teacher;wellbeing;workshop</t>
  </si>
  <si>
    <t>Background: Students for Health Innovation and Education, abbreviated as SHINE, provides a model for bridging the gap between public health and medicine. It cultivates a greater commitment to service among Canadian medical students and allied health professionals. Distinct from many student clubs and organizations in medical school, SHINE strives to provide continuity between medical school and residency. Moreover, SHINE places a great emphasis on community development leadership, and collaboration, particularly across disciplines. Structure/Method/Design: Our approach involves immersing students in projects that will permit early exposure to public health (coinciding with the beginning of medical training) and provides experience collaborating with a community-based organization/institution to plan, implement, and evaluate a project. Furthermore, we recognize the importance of improving communication across health care disciplines, which is why when possible/applicable, we encourage opportunities that will enable student participation in interdisciplinary teams. Each placement is intended to support student development of one or more of the CanMED roles. This is not only a way of standardizing the value obtained from student experiences but it also promotes the Î“Ã‡Â£core competenciesÎ“Ã‡Â¥ that are integral to effective physicianship. In addition, SHINE hosts monthly journal clubs, quarterly workshops (on leadership, advocacy, preventative medicine, etc.), and annual events with world-renowned leaders, to allow SHINE students to envision their own impact in the greater context and receive feedback and insight from individuals who have dedicated their lives to improving the human condition. Results (Scientific Abstract)/Collaborative Partners (Programmatic Abstract): SHINE partners with institutions and communitybased organizations (CBOs) serving marginalized populations, both in Calgary and abroad. Partnerships entail a reciprocal relationship that enable medical students to develop their CanMED roles (Î“Ã‡Â£core competenciesÎ“Ã‡Â¥ integral to effective physicianship), while at the same time assisting CBOs/institutions to achieve a desired program goal/ execute their mandate. Current partners include 1. the YMCA (to develop a Youth Wellness Program targeting Youth Age 12-17), 2. Bo School of Community Health Sciences and Bo Government Hospital (to create a sustainable Neonatal Resuscitation Program that aims to reduce neonatal mortality attributable to birthing asphyxia by increase the number of health professionals in Bo trained in neonatal resuscitation), 3. WoodsHomes (to create of a framework and curriculum for addiction cessation that uses a combination of harm-reduction strategies, and targets youth 16-24), and 4. Remand Center (to sensitize students to the unique challenges of working with prison populations and develop a tailored health assessment questionnaire). Summary/Conclusion: Sixteen students across a multitude of disciplines have been enrolled for the 2013-2014 program. Each placement is supported by a physician mentor. A sustainability plan has been created to ensure placements remain available from year to year.</t>
  </si>
  <si>
    <t>(Ladak F.; Chan N.; Pedersen J.) 5th Annual CUGH Conference: Universities 2.0: Advancing Global Health in the Post-MDG Era Washington, DC, United States 2014-05-10 to 2014-05-12 Elsevier USA; ID: 2281</t>
  </si>
  <si>
    <t>Ladegard,K.;Kataoka,S.;Author,Addresses;Denver,Health;Hospital;Authority,United States;University,of California;Child;Adolescent Psychiatry,Training Program;Correspondence,Address;Ladegard,Denver Health,K.;Hospital Authority,United,States Email;kristie.ladegard@dhha.org</t>
  </si>
  <si>
    <t>Public health interventions in schools for child and adolescent psychiatrists</t>
  </si>
  <si>
    <t>S342</t>
  </si>
  <si>
    <t>S343</t>
  </si>
  <si>
    <t>child psychiatry;mental health service;adolescent;adult;child;child parent relation;female;human;human experiment;juvenile;male;mental health care;pediatrician;pregnancy;rural population;school administrator;substance use;teacher</t>
  </si>
  <si>
    <t>Objectives: Child and adolescent psychiatrists are being called on by community agencies to develop policies that help deliver critical psychiatric treatments to pediatric populations with mental health needs. Working with schools is an important way for child and adolescent psychiatrists to accomplish this mission and increase access to care. Specific examples of school-based programs led by child and adolescent psychiatrists with positive mental health, educational, and substance use outcomes will be discussed. Methods: Four programs implemented in school settings, where child and adolescent psychiatrists played an integral role in providing direct mental health interventions for youth but also collaborated with multiple systems, will be described. Specific case examples and strategies illustrating how child and adolescent psychiatrists can collaborate with teachers, pediatricians, and school districts will be reviewed. Results: Dr. Ladegard will discuss mental health and educational outcomes of a program that delivers comprehensive mental health care to youth in 11 inner city school-based clinics in Denver. Dr. Thurstone will describe how he collaborated directly with school administrators to develop a program that provides substance use treatment to adolescents directly on school grounds. Substance use and educational outcomes of this program will be reviewed. Dr. Erickson will explain specific techniques that child and adolescent psychiatrists can use to provide integrated care to pregnant and parenting teenagers in school clinics by working directly with pediatricians. Dr. Ryst will describe how a program that trained educators to recognize mental health issues in youth and subsequently referred them to in-school treatment programs, thus improving access to mental health treatment in rural communities. Dr. Kataoka will summarize useful clinical implications for child and adolescent psychiatrists and discuss future directions on how child and adolescent psychiatrists can work with schools to develop public health interventions. Conclusions: Child psychiatrists have an important role in the development of public health policies that increase access to mental healthcare for all youth. Collaborating with schools can help deliver critical psychiatric services to underserved populations and create a healthy and positive community for our youth.</t>
  </si>
  <si>
    <t>(Ladegard K., kristie.ladegard@dhha.org) (Kataoka S., SKataoka@mednet.ucla.edu) 64th Annual Meeting American Academy of Child and Adolescent Psychiatry, AACAP 2017 Washington, DC, United States 2017-10-23 to 2017-10-28 Elsevier Inc.; ID: 1776</t>
  </si>
  <si>
    <t>10.1016/j.jaac.2017.07.729 FULL TEXT LINK http://dx.doi.org/10.1016/j.jaac.2017.07.729</t>
  </si>
  <si>
    <t>Lambing,A.;Author,Addresses;Henry Ford Health System, Detroit,United States;Correspondence,Address;Lambing, Henry Ford Health System Detroit United States,A.</t>
  </si>
  <si>
    <t>Knowledge and attitudes of pain management in hemophilia providers</t>
  </si>
  <si>
    <t>Haemophilia</t>
  </si>
  <si>
    <t>20 SUPPL. 3</t>
  </si>
  <si>
    <t>adjuvant;opiate;analgesia;hemophilia;addiction;adult;bleeding disorder;chronic pain;drug therapy;education;female;gold standard;Haplorhini;health care;human;lifespan;Likert scale;metabolism;nurse;nurse practitioner;pain;pain assessment;patient;pediatrics;pharmacology;physician;substance abuse;United States</t>
  </si>
  <si>
    <t>Introduction and Objectives: The National Pain Survey identified that persons with hemophilia (PWH) reported daily pain ratings of 5/10 as well as describing acute and chronic pain with same words. Additionally 59% of respondents seek pain management from their HTC providers. The purpose of this survey was to assess the knowledge and attitudes of hemophilia providers regarding pain assessment and treatment. Methods: A validated Survey MonkeyÎ“Ã¤Ã³ survey with 38 true/false and likert scale questions specific to pain management was emailed to every physician and nurse provider in the United States listed via CDC bleeding disorders website. Results: A total of 529 surveys were emailed to HTC providers with 152 completed (response rate 29%); 57 physicians, 22 nurse practitioners, 68 RNs; 5 other providers. Most respondents were female (78%), RNs,(45%) (38% MDs, 15% NPs), and average age of 49 years. While most participants had greater than 20 years in health care (57%), the majority of subjects had 0-5 years of hemophilia experience (28%); followed by greater than 20 years of hemophilia experience (24%). Participants worked in a variety of settings; life span centers (45%), pediatrics only (32%), or adult only (23%). At least 34% of the participants HTCs cared for more than 300 hemophilia patients. Only 19% had taken advanced training in pain management. The greatest response rate was from Region V-East (19%) and lowest Region II (3%). Questions were stratified into four categories; assessment, treatment, pharmacology and substance abuse. In approximately 1/3 of the total questions only 75% of the participants answered correctly. Despite 100% of respondents recognizing patient selfreport of pain as the gold standard, significant attitudinal differences were noted in the assessment and treatment of pain. Knowledge deficits across the spectrum of providers were noted, specifically regarding dose conversions, opioid metabolism, and adjuvant medications. Conclusion: HTC providers demonstrate some knowledge regarding pain management. PWH consider their HTC providers experts in hemophilia care and the conditions related to hemophilia. Since the majority of hemophilia related pain management is provided by HTCs additional education specific to pharmacology, dependence, and addiction concerns may be beneficial.</t>
  </si>
  <si>
    <t>(Lambing A.) World Federation of Hemophilia, WFH 2014 World Congress Melbourne, VIC, Australia 2014-05-11 to 2014-05-15 Blackwell Publishing Ltd; ID: 2232</t>
  </si>
  <si>
    <t>1351-8216</t>
  </si>
  <si>
    <t>10.1111/hae.12400 FULL TEXT LINK http://dx.doi.org/10.1111/hae.12400</t>
  </si>
  <si>
    <t>Lamichhane,N.;Pandey,A. K.;Thapa,D. K.;Hirachan,G. P.;Gurung,N. S.;Author,Addresses;Gandaki;Medical College,Teaching Hospital;Research,Centre Ltd;Pokhara,Nepal;Correspondence,Address;Lamichhane, Gandaki Medical College Teaching Hospital,N.;Research;Centre Ltd,Nayabazaar,Pokhara Nepal</t>
  </si>
  <si>
    <t>Study of intravenous lorazepam in the management of delirium tremens at Gandaki Medical College, Pokhara, Nepal</t>
  </si>
  <si>
    <t>55 SUPPL.1</t>
  </si>
  <si>
    <t>(MAJOR FOCUS);lorazepam;benzodiazepine;delirium tremens;Indian;medical school;medical society;Nepal;alcohol consumption;alcohol withdrawal syndrome;consultation;diagnosis;emergency ward;hospital;human;ICD-10;internal medicine;male;methodology;morbidity;neuropsychiatry;outpatient department;patient;physician;software;teaching hospital</t>
  </si>
  <si>
    <t>Aims and Objectives: The aim of the study was to analyze the outcomes of treatment of alcohol withdrawal state with intravenous lorazepam and to treat the initial symptoms and prevent the occurrence of severe withdrawal. Methodology: This was a perspective; hospital-based study, consisting of 34 subjects, conducted in Gandaki Medical College Teaching Hospital and Research Centre (P) Ltd, Nayabazaar, Pokhara, Nepal. The study was collaboration between the department of Neuropsychiatry and Internal medicine. The study period was of 6 months (2010/6/1 to 2010/11/30). The diagnosis of alcohol withdrawal state with or without complication was approved by the consultant neuropsychiatrist, based on ICD-10 criteria. The physical co-morbidities were evaluated by the consultant physician and managed likewise. After all ethical considerations, data were collected and analyzed by using Microsoft Excel and SPSS 12.0 software. Results: The total number of subjects were 34 (N=34). Nineteen subjects (55.89%)were admitted from the emergency department while 15 (44.11%) were from outpatient departments. All 34 subjects were male. The maximum age at presentation was 63 years and minimum age was 27 years. The mean age of the subjects was 42.97 (SD 10.01) years. Almost half of the subjects (52.94%, n=18) were below 40 years of age and remaining percent was above 40 years of age. Conclusions: Symptoms triggered regimen is an effective method because patients present with differences in the duration and amount of alcohol use, differences in the severity of presenting symptoms and the amount of benzodiazepine needed to control the symptoms can vary from person to person.</t>
  </si>
  <si>
    <t>(Lamichhane N.; Pandey A.K.; Thapa D.K.; Hirachan G.P.; Gurung N.S.) (P) 65th Annual National Conference of the Indian Psychiatric Society, ANCIPS 2013 Bangalore, India 2013-01-10 to 2013-01-13 Medknow Publications and Media Pvt. Ltd; ID: 2450</t>
  </si>
  <si>
    <t>Lande,R. G.;Author,Addresses;American Osteopathic Academy of,Addiction Medicine;States;Correspondence,Address;Lande, American Osteopathic Academy of Addiction Medicine United,R.G.;States</t>
  </si>
  <si>
    <t>20407982; President's message</t>
  </si>
  <si>
    <t>narcotic agent;addiction;continuing education;health care organization;medical education;osteopathic medicine;chronic pain;conference paper;cost;curriculum;functional assessment;Internet;medical school;organization and management;pain;policy;posttraumatic stress disorder;substance abuse;tobacco;United States;war;Public Health, Social Medicine and Epidemiology (17);Psychiatry (32);Health Policy, Economics and Management (36);Drug Literature Index (37);Drug Dependence, Alcohol Abuse and Alcoholism (40)</t>
  </si>
  <si>
    <t>(Lande R.G.) Routledge, 325 Chestnut Street, Philadelphia, United States.; ID: 2804</t>
  </si>
  <si>
    <t>1055-0887 1545-0848 (electronic)</t>
  </si>
  <si>
    <t>http://www.ncbi.nlm.nih.gov/pubmed/20407982</t>
  </si>
  <si>
    <t>10.1080/10550881003684947 FULL TEXT LINK http://dx.doi.org/10.1080/10550881003684947</t>
  </si>
  <si>
    <t>Lang,J. P.;Schoeffler,M.;Michel,L.;Melin,P.;Gauchet,A.;Rousseaux,C.;Cartier,V.;Henry,C.;Author,Addresses;Service de Mâ”œâŒdecine,Polyvalente et;Mâ”œâŒdicales, Centre Hospitalier Gâ”œâŒnâ”œâŒral de Saint-Dizier rue,Godard Jeanson;Saint-Dizier,Cedex;Erstein,France;Limeil-Brâ”œâŒvanes,France;Grenoble,France;Paris,France;Roche,Neuilly France;Crâ”œâŒteil,France;Correspondence,Address;JP Lang, Service de Mâ”œâŒdecine Polyvalente,et Sp;Hospitalier Gâ”œâŒnâ”œâŒral de Saint-Dizier, rue Godard,Jeanson Saint;Cedex,France</t>
  </si>
  <si>
    <t>Management of psychiatric disorders and addictive behaviors in patients with viral hepatitis C in France: Current clinical practices, impact on disease management and perspectives</t>
  </si>
  <si>
    <t>34 SUPPL. 3</t>
  </si>
  <si>
    <t>65A</t>
  </si>
  <si>
    <t>antivirus agent;addiction;alcoholism;clinical practice;disease management;France;hepatitis C;medical research;mental disease;patient;society;virus hepatitis;health care personnel;infection;patient compliance;population;psychiatrist;psychologist</t>
  </si>
  <si>
    <t>Psychiatric disorders and addictive behaviors are commonly observed in patients with HCV infection, greatly hindering efficient care. However, many studies have demonstrated that appropriate support for psychiatric or addictive problems improves patient adherence and sustained virological response to levels comparable with the general population. Despite European guidelines for extended therapeutic indications in these patients, many do not receive optimal antiviral treatment. The purpose of this presentation is to present results of French surveys conducted between 2007 and 2009. The aims of these surveys were: - To describe current clinical practices for psychiatric disorders and addictive behaviors management in patients with chronic HCV infection. - To determine whether psychiatric disorders and addictive behaviors hinder initiation of antiviral treatment or favor its discontinuation. - To analyze the impact and frequency of collaboration between hepato/gastroenterologists and/or infectiologists and psychiatrists and/or psychologists. - To describe how clinicians assess psychiatric disorders and addictive behaviors. - To ascertain the nature and modalities of practices employed when psychiatric disorders occur during antiviral treatment. Results showed: - Up to 19% of HCV infected patients did not receive optimal treatment because of psychiatric disorders or addictive behaviors and that less than 50% of the hepato/ gastroenterologists/infectiologists work in collaboration with psychiatrist/psychologist. - A psychiatric evaluation is requested in only 40% of cases before antiviral treatment initiation and 19% when treatment is stopped. - A gap is observed between clinical practice and French national recommendations addressing the importance of combined management between hepato/gastroenterologists/ infectiologists and psychiatrist/psychologist - A need for specific training on HCV psychiatric disorders and addictions management is observed in healthcare professionals involved in addiction and psychiatric disorders diseases Conclusion: theses surveys show the need for specific trainings an improved coordination between healthcare professionals involved in HCV, psychiatric disorders and addictions management. Available French reference HCV networks could provide support to reinforce this organization.</t>
  </si>
  <si>
    <t>(Lang J.P.; Schoeffler M.; Michel L.; Melin P.; Gauchet A.; Rousseaux C.; Cartier V.; Henry C.) (Lang J.P.; Schoeffler M.) (Michel L.) (Gauchet A.) (Rousseaux C.) (Cartier V.) (Henry C.) International Society for Biomedical Research on Alcoholism World Congress, ISBRA 2010 Paris, France 2010-09-13 to 2010-09-16 Blackwell Publishing Ltd; ID: 2771</t>
  </si>
  <si>
    <t>10.1111/j.1530-0277.2010.01292-3.x FULL TEXT LINK http://dx.doi.org/10.1111/j.1530-0277.2010.01292-3.x</t>
  </si>
  <si>
    <t>Lankenau,S.;Iverson,E.;Author,Addresses;Drexel University,Philadelphia,United States;Children's Hospital Los Angeles, Los Angeles,United States;Correspondence,Address;Lankenau, Drexel University Philadelphia United States,S.</t>
  </si>
  <si>
    <t>Medical marijuana: Stepping stone or protective effect?</t>
  </si>
  <si>
    <t>e167</t>
  </si>
  <si>
    <t>e168</t>
  </si>
  <si>
    <t>(MAJOR FOCUS);medical cannabis;alprazolam;cannabis;cocaine;illicit drug;methamphetamine;oxycodone;prescription drug;college;drug dependence;cannabis use;drug misuse;drug use;human;lifespan;patient;United States;young adult</t>
  </si>
  <si>
    <t>Aims: Following implementation of medical marijuana laws around the U.S., concerns have been raised that greater availability and acceptance of marijuana could be associated with increased use of illicit drugs among young adults, which follows the logic of the stepping stone theory. However, other research suggests that regular access to marijuana through medical marijuana programs may offer a protective effect against initiating other drugs. Methods: A total of 301 young adults (18-25 years old) were recruited in Los Angeles between 2009 and 2011 as part of a study focusing on prescription drug misuse. Among the sample, 56 (18.6%) reported being a current medical marijuana patient (MMP) compared to 245 (81.4%)who were non-patient users (NPU) of marijuana. Participants were administered a cross-sectional survey and answered a range of questions pertaining to history of marijuana use, illicit drug use, and prescription drug misuse. Results: First, a Î“Ã‡Â£maturing outÎ“Ã‡Â¥ process occurred among NPU: fewer members of the oldest cohort used marijuana in the past 90 days compared to the youngest cohorts (48.7% vs. 67.8%). In contrast, no maturing out process occurred among MMP: each age cohort reported nearly identical marijuana use (approximately 80% reported use of marijuana in the past 90 days). Overall, a greater proportion of MMP reported 90 day use of marijuana compared to NPU (80.2% vs. 64%). Second, a significantly smaller proportion of MMP reported lifetime use of three key illicit drugs compared to NPU: ecstasy (75% vs. 87.3%); cocaine (67.9% vs. 83.7%); and methamphetamine (48.2 vs. 64.5%). Also, a lower proportion of MMP reported lifetime misuse of OxyContin and Xanax compared to NPU (but not statistically significant). Conclusions: Among MMP in this study, a greater proportion were recent marijuana users and a lower proportion were lifetime users of illicit and prescription drugs. Among NPU, the reverse was true. Overall, these findings provide preliminary evidence to suggest that among young MMP, marijuana could provide a protective effect against initiating illicit and prescription drugs.</t>
  </si>
  <si>
    <t>(Lankenau S.) (Iverson E.) 2014 Annual Meeting of the College on Problems of Drug Dependence San Juan, Puerto Rico 2014-06-14 to 2014-06-19 Elsevier Ireland Ltd; ID: 2165</t>
  </si>
  <si>
    <t>10.1016/j.drugalcdep.2014.09.372 FULL TEXT LINK http://dx.doi.org/10.1016/j.drugalcdep.2014.09.372</t>
  </si>
  <si>
    <t>LaPointe Rudow,D.;Iacoviello,B.;Braoude,J.;Jennings,T.;Vaidya,S.;Brouwer,J.;Haydel,B.;Arroyo,H.;Thakur,D.;Leinwand,J.;Shenoy,A.;Author,Addresses;Icahn;School of Medicine, Mount Sinai Hospital New York,United States;Correspondence,Address;LaPointe Rudow, Icahn School of Medicine Mount Sinai Hospital New York,D.;United,States</t>
  </si>
  <si>
    <t>Development and validation of the live donor psychosocial assessment tool (LDAT)</t>
  </si>
  <si>
    <t>Transplantation</t>
  </si>
  <si>
    <t>98 SUPPL. 1</t>
  </si>
  <si>
    <t>donor;transplantation;addiction;consultation;correlation coefficient;diseases;human;kidney donor;liver;motivation;organ donor;psychosocial care;recipient;reliability;risk;semi structured interview;social worker;Student t test</t>
  </si>
  <si>
    <t>Purpose: There is no standardized approach to the live donor (LD) psychosocial evaluation. It typically consists of a semi-structured interview to explore psychosocial stressors/ disorders that may make donation high risk for psychological complications. There are validated psychometric instruments available to assess candidates for transplantation but none exist to determine psychosocial risks of LD. Our live donor team developed a Live Donor Psychosocial Assessment Tool (LDAT) to standardize the approach at our center. Methods: The LDAT was developed by a multi-disciplinary team of experts in the care of LD after careful review of recipient tools, the literature and consultation with two outside experts in the field of psychosocial care of the LD. The tool assessed motivation, knowledge of LD, support, closeness to the recipient, feelings about donation, stability in life and psychiatric and addiction history. We trained 4 raters (2 psychiatric residents and 2 social workers) to use the tool and had them complete the LDAT using 58 donor evaluations from the prior two years. Raters were blinded to the impression of the psychosocial evaluation team and the outcomes of the evaluations. We assessed inter-rater reliability by calculating Pearson's correlation coefficient for the scores assigned by each pair of raters, and calculating the median of these coefficients. LDAT scores for declined and dropped out LDs (DLD) were compared to psychosocially cleared LD (CLD) in the study group, using a Student's t-test. Results: - 44 liver donor and 14 kidney donor charts were examined. The LDAT exhibited excellent inter-rater reliability. Pearson's correlation coefficients ranged from .773 - .923, all were significant at p &lt; .01, and the median was .811. Comparison of the means between the DLD (M= 55.73, SD= 7.52) and CLD (M= 64.12, SD= 6.08) groups revealed a significant difference, t (56) = -3.937, p &lt; .001. Conclusion: The LDAT is a reliable measure of pre-donation characteristics that are of importance in the assessment of potential live organ donors. Future research is warranted to investigate associations between LDAT scores and donor outcome, as well as prospective replication of LDAT inter-rater reliability and validation across sites.</t>
  </si>
  <si>
    <t>(LaPointe Rudow D.; Iacoviello B.; Braoude J.; Jennings T.; Vaidya S.; Brouwer J.; Haydel B.; Arroyo H.; Thakur D.; Leinwand J.; Shenoy A.) 2014 World Transplantation Congress, WTC 2014 San Francisco, CA, United States 2014-07-26 to 2014-07-31 Lippincott Williams and Wilkins; ID: 2216</t>
  </si>
  <si>
    <t>0041-1337</t>
  </si>
  <si>
    <t>10.1097/01.tp.0000452125.97468.28 FULL TEXT LINK http://dx.doi.org/10.1097/01.tp.0000452125.97468.28</t>
  </si>
  <si>
    <t>Larson,M. J.;Amodeo,M.;Storti,S. A.;Steketee,G.;Blitzman,G.;Smith,L.;Author,Addresses;Institute,for Behavioral;School,Brandeis University M. A. United States;Center,for Addictions;Services,Boston University;School of Social Work, Boston,M.A.United States;Synergy Enterprises,Cranston,R.I.United States;Boston University School of,Social Work;States;New England Growth Associates, Watertown,M.A.United States;New England Research Institutes, Inc,Watertown M.;States;Institute,for Behavioral;School,Brandeis University M.S.South Street Waltham M.A.;States,United;Correspondence,Address;Larson, Institute for Behavioral Health Heller School Brandeis,M.J.;University,M. S. S.;Email,larson brandeis edu</t>
  </si>
  <si>
    <t>19197779; A novel CBT web course for the substance abuse workforce: Community counselors' perceptions</t>
  </si>
  <si>
    <t>cognitive therapy;Internet;medical education;substance abuse;article;curriculum development;human;learning theory;online system;training;Public Health, Social Medicine and Epidemiology (17);Drug Dependence, Alcohol Abuse and Alcoholism (40)</t>
  </si>
  <si>
    <t>This article describes (a) a Web-based course for substance abuse counselors on cognitive behavioral therapy (CBT), and (b) the evaluation of a prototype module from the Web-based course to determine the feasibility of the e-learning program for a community-based counselor audience. The course is part of a unique study that trains counselor-supervisor teams to increase the transfer of learned skills to the agency. Following curriculum design, the authors sought counselor reactions to the prototype module on strengths/limitations of the design, functionality, and effectiveness. Results showed that counselors learned new information, found this format effective compared to other training, and wanted to complete a full CBT Web course. Counselors' evaluation led to content and technology changes: the authors added and segmented material aimed at the advanced, more theoretically oriented counselor, and housed these topics behind an "advanced concept" graphics button; added seven screens to accommodate text broken into smaller units; and increased the difficulty of the end-of-module quiz. Copyright â”¬âŒ Taylor &amp; Francis Group, LLC.</t>
  </si>
  <si>
    <t>(Larson M.J., larson@brandeis.edu) (Amodeo M.) (Storti S.A.) (Steketee G.) (Blitzman G.) (Smith L.) Routledge, 325 Chestnut Street, Philadelphia, United States.; ID: 2937</t>
  </si>
  <si>
    <t>http://www.ncbi.nlm.nih.gov/pubmed/19197779</t>
  </si>
  <si>
    <t>10.1080/08897070802611741 FULL TEXT LINK http://dx.doi.org/10.1080/08897070802611741</t>
  </si>
  <si>
    <t>A novel CBT web course for the substance abuse workforce: Community counselors' perceptions</t>
  </si>
  <si>
    <t>Laswar,A. K.;Darwish,H.;Author,Addresses;Director General of Health Affairs, Aden,Associate Professor;of Surgery,Aden Yemen;Correspondence,Address;AK Laswar, Director General of Health Affairs Aden,Associate Professor;of Surgery, Aden Yemen Email alkhaderlaswar,yahoo com</t>
  </si>
  <si>
    <t>19736493; Prevalence of cigarette smoking and khat chewing among Aden university medical students and their relationship to BP and body mass index</t>
  </si>
  <si>
    <t>Saudi journal of kidney diseases and transplantation : an official publication of the Saudi Center for Organ Transplantation, Saudi Arabia</t>
  </si>
  <si>
    <t>(MAJOR FOCUS);plant medicinal product (adverse drug reaction, drug administration);blood pressure;body mass;Catha edulis;lifestyle;mastication;medical student;smoking (adverse drug reaction, epidemiology);university;adolescent;adult;article;cross-sectional study;drug effect;habit;human;male;plant leaf;prevalence;statistical model;statistics;Yemen (epidemiology)</t>
  </si>
  <si>
    <t>To evaluate the smoking and khat chewing habits in male Aden University medical students and correlate them with blood pressure (BP), body mass index (BMI), and year of training, we randomly selected 100 students of different levels of training and measured their BP, height, and weight, and evaluated their cigarette smoking and khat chewing habits. The mean age of the whole group was 31.8 years. The mean BMI was 23.24 with a range from 22.6 in the in first year medical students to 24.7 (4.4) in 5 th year medical students (P= 0.127). The mean SBP, DBP, and MBP were 120.35, 70.47 and 87.1 mmHg, respectively, and did not change over the years of training. Preva-lence of smoking increased from 20% to 40% and khat chewing from 35% to 90% over the 5 years of training (P= 0.0003). There was a tendency for positive correlation between age and weight, BMI and frequency of khat chewing, and BMI and MBP. We found high prevalence of smoking and khat chewing among the medical students at Aden University and their prevalence increases with student seniority with no significant changes in BMI, SBP, DBP or MBP. There was a weak positive correlation between BMI with SBP, MBP and frequency of Khat chewing.</t>
  </si>
  <si>
    <t>(Laswar A.K.) (Darwish H.); ID: 2875</t>
  </si>
  <si>
    <t>1319-2442</t>
  </si>
  <si>
    <t>http://www.ncbi.nlm.nih.gov/pubmed/19736493</t>
  </si>
  <si>
    <t>Prevalence of cigarette smoking and khat chewing among Aden university medical students and their relationship to BP and body mass index</t>
  </si>
  <si>
    <t>Laube,E. S.;Bonetti,N. R.;Bâ”œÃ±chli,E.;Beer,J. H.;Author,Addresses;Internal Medicine,Cantonal Hospital;of Baden,Baden Switzerland;Internal Medicine, Hospital of Uster,Uster Switzerland;President of the Swiss Society of,Department Heads;Switzerland;Laboratory for Platelet Research, Center,for Molecular;Cardiology,University of Zurich Zurich Switzerland;Correspondence,Address;ES Laube, Internal Medicine Cantonal Hospital of,Baden Baden;Switzerland</t>
  </si>
  <si>
    <t>What experienced experts almost miss: Unusual somatic causes of fatigue</t>
  </si>
  <si>
    <t>104 SUPPL. 1</t>
  </si>
  <si>
    <t>fatigue;human;diagnosis;diseases;drug therapy;hoof and claw;hypothesis;learning;patient;physician;psychosomatics;questionnaire;society;somnolence;substance abuse;Swiss;teaching</t>
  </si>
  <si>
    <t>Background: Fatigue as an everyday symptom of everyday patients is often considered to be of minor importance, even by experienced doctors. Managing Î“Ã‡Â£tiredÎ“Ã‡Â¥ patients can present a challenge. Often enough it is attributed to psychosomatic reasons or disregarded altogether. This may lead to underrecognition of potentially treatable somatic diseases. Methods: To approach this complex field we asked the most experienced clinicians to share their (almost) missed somatic causes of fatigue. We reasoned that these cases would be of great teaching value. We conducted a nationwide survey among the members of the Swiss Society of Department Heads of Medicine. A questionnaire with the following inquiries was sent out to 150 chiefs: 1. What was the most surprising somatic cause of fatigue in your career thus far? 2. Which diagnosis did you (almost) miss? Results: We received the lively descriptions of Î“Ã«Ã‘ 50 surprising and outstanding cases. In the table we summarize the most frequently mentioned somatic causes for fatigue (Î“Ã‡Â£the Big 5Î“Ã‡Â¥) as well as the rarest and most surprising diagnoses (Î“Ã‡Â£the ZebrasÎ“Ã‡Â¥). General take home messages: Î“Ã‡Ã³ The rare reasons for fatigue and the near missed diagnoses by experts are valuable teaching tools. Î“Ã‡Ã³ Generate new hypotheses if fatigue is explained by a disease, but does not improve during treatment. Î“Ã‡Ã³ Be persistent - the devil is in the details. Specific learning points: Î“Ã‡Ã³ Make the distinction between sleepiness and fatigue. Î“Ã‡Ã³ More often than generally anticipated, the sound of hooves is actually due to zebras. Î“Ã‡Ã³ Î“Ã‡Â£Think medicationÎ“Ã‡Â¥: The wrong dosage, the wrong substance, substance abuse, the medication of the wrong patient. Educate your patients on pharmacotherapy. (Table Presented).</t>
  </si>
  <si>
    <t>(Laube E.S.; Bonetti N.R.; Beer J.H.) (Bâ”œÃ±chli E.) (Beer J.H.) SGIM Jahresversammlung 2015 Basel, Switzerland 2015-05-20 to 2015-05-22 Verlag Hans Huber AG; ID: 2110</t>
  </si>
  <si>
    <t>10.1024/1661-8157/a001994 FULL TEXT LINK http://dx.doi.org/10.1024/1661-8157/a001994</t>
  </si>
  <si>
    <t>Le Comte,J.;Ewen,E.;Schenck,S.;Author,Addresses;Christiana Care,Wilmington,United States;Christiana Care Health System, Wilmington,United States;Christiana Care Health System, Newark,United States;Correspondence,Address;Le Comte, Christiana Care Health System Wilmington United States,J.</t>
  </si>
  <si>
    <t>Improving patient safety in chronic opioid therapy (COT) management in a resident teaching and faculty primary care practice</t>
  </si>
  <si>
    <t>S891</t>
  </si>
  <si>
    <t>(MAJOR FOCUS);opiate;dextropropoxyphene;tramadol;human;internal medicine;patient safety;primary medical care;society;teaching;therapy;ambulatory care;analgesia;chronic pain;clinical observation;death;drug dose reduction;drug megadose;education;electronic medical record;faculty practice;functional assessment;high risk patient;high risk population;hope;hospital patient;information science;intoxication;outpatient;patient;patient education;patient participation;peer review;physician;population;procedures;register;resident;risk;safety;side effect;standardization</t>
  </si>
  <si>
    <t>STATEMENT OF PROBLEM OR QUESTION (ONE SENTENCE): Primary care offices have been reported to continue to increase the prescibing of opioid therapy yet there is growing evidence that side effects of long term use especially of high dose opioids are common and significant including accidental overdoses and death. OBJECTIVES OF PROGRAM/INTERVENTION (NO MORE THAN THREE OBJECTIVES): Describe processes to identify and evaluated high risk patients using COT. Show how multidisciplinary teams can improve safety in a high risk population. Describe opportunities for educating patients and physicians in the management of COT. DESCRIPTION OF PROGRAM/INTERVENTION, INCLUDING ORGANIZATIONAL CONTEXT (E.G. INPATIENT VS. OUTPATIENT, PRACTICE OR COMMUNITY CHARACTERISTICS): In an outpatient resident teaching and faculty practice, we implemented 5 interventions over 2 years including: (1) the development of a COT registry to identify and track this population, (2) a small group patient education series, (3) mandatory provider education on pain management, (4) standardization of office procedures including risk and functional assessments incorporated into our daily huddle, and (5) the development of a multidisciplinary team for systematic case review to develop written recommendations in order to achieve higher safety. MEASURES</t>
  </si>
  <si>
    <t>(Schenck S.) (Le Comte J.) (Ewen E.) 39th Annual Meeting of the Society of General Internal Medicine, SGIM 2016 Hollywood, FL, United States 2016-05-11 to 2016-05-14 Springer New York LLC; ID: 1955</t>
  </si>
  <si>
    <t>Le Faou,A. L.;Scemama,O.;Author,Addresses;Centre,de Tabacologie;Pompidou,rue Leblanc Paris France;Dâ”œâŒpartement,de Sant;Mâ”œâŒdecine Renâ”œâŒ Descartes, rue de l'Ecole de Medecine,Paris Cedex;France;Inserm Unitâ”œâŒ, Centre de Recherche en â”œÃ«conomie,et Gestion;Appliquâ”œâŒes â”œÃ¡ la,Santâ”œâŒ;Correspondence,Address;A-L Le Faou, Dâ”œâŒpartement de Santâ”œâŒ Publique Facultâ”œâŒ,de M.;Descartes,rue de l'Ecole de Medecine Paris Cedex France</t>
  </si>
  <si>
    <t>16676710; Feasibility of systematic screening for addictive behaviours of hospitalized patients ORIGINAL (NON-ENGLISH) TITLE Faisabilitâ”œâŒ du dâ”œâŒpistage systâ”œâŒmatique des comportements addictifs chez les patients hospitalisâ”œâŒs</t>
  </si>
  <si>
    <t>Sante Publique</t>
  </si>
  <si>
    <t>(MAJOR FOCUS);alcohol;nicotine;alcoholism;tobacco dependence;adult;aged;article;feasibility study;female;health care policy;high risk patient;hospital admission;hospital patient;hospital personnel;human;major clinical study;male;medical specialist;patient referral;questionnaire;screening;smoking cessation;alcohol (64-17-5);nicotine (54-11-5);Public Health, Social Medicine and Epidemiology (17);Psychiatry (32)</t>
  </si>
  <si>
    <t>Background: The national policy against addiction led to the establishment of specialized units with liaison teams trained in addiction specifically to work with the in-patients. The aim of this study has been established within the context of the implementation of one of these addiction liaison units in a Parisian Hospital, the Georges Pompidou European Hospital (HEGP), that is namely to evaluate the feasibility of a systematic screening procedure concerning tobacco and alcohol dependence among inpatients in two of the hospital's specialization departments between December 6, 2001, and March 6, 2002. Methods: Self-administered questionnaires on addictive behaviours were distributed to each patient admitted to the vascular health department and to the hypertension department. They included the Fagerstrâ”œâ•¢m Test for Nicotine Dependence and the AUDIT for evaluating levels of alcohol abuse. Results: The response rate was 30.2% (110/364). Twenty-nine smokers were identified. Among them, 72.5% presented a low level of physical nicotine dependence. Nearly half of them (14/29) were not interested in participating in a smoking cessation intervention with the assistance of relevant hospital staff. Among eleven patients at risk of excessive alcohol abuse, only one accepted to be referred to a specialist. Conclusion: This study highlights the difficulties of the systematic screening for addictive behaviours in hospitalized patients. Nevertheless, the obstacles faced in terms of the acceptability of the screening, but the patients as well as by the hospital staff, do not lean against the development of this trend or oppose this type of approach. New methods of individual screening for addictive behaviours should be explored.</t>
  </si>
  <si>
    <t>(Le Faou A.-L.; Scemama O.) (Le Faou A.-L.) Societe Francaise de Sante Publique, 2 Avenue du Doyen J. Parisot, P.O. Box 7, Vandoeuvre-les-Nancy, France.; ID: 3119</t>
  </si>
  <si>
    <t>http://www.ncbi.nlm.nih.gov/pubmed/16676710</t>
  </si>
  <si>
    <t>Feasibility of systematic screening for addictive behaviours of hospitalized patients ORIGINAL (NON-ENGLISH) TITLE Faisabilitâ”œâŒ du dâ”œâŒpistage systâ”œâŒmatique des comportements addictifs chez les patients hospitalisâ”œâŒs</t>
  </si>
  <si>
    <t>Leahy,A.;Cooper,L.;Author,Addresses;Respiratory Department,University,Hospitals Bristol;Nhs Foundation Trust, Bristol,United Kingdom;Correspondence,Address;S.,A.Leahy, Respiratory Department University Hospitals Bristol N.H.;Foundation Trust,Bristol,United Kingdom</t>
  </si>
  <si>
    <t>Junior doctors' confidence around prescribing opiates in thoracic oncology: A survey from a teaching hospital in Bristol, South West England</t>
  </si>
  <si>
    <t>Lung Cancer</t>
  </si>
  <si>
    <t>71 SUPPL. 1</t>
  </si>
  <si>
    <t>S32</t>
  </si>
  <si>
    <t>(MAJOR FOCUS);opiate;fentanyl;morphine sulfate;phenyltoloxamine citrate;oncology;physician;teaching hospital;United Kingdom;cancer pain;hospital;lung cancer;medicine;pain;respiration depression;teaching;ward</t>
  </si>
  <si>
    <t>Opiates are widely prescribed for moderate to severe cancer pain. If prescribed incorrectly they can result either in poor pain control or harmful respiratory depression. We were concerned that opiate prescribing varies widely among junior doctors, and performed a survey to evaluate. Methods: An anonymous, spot survey was performed at a teaching hospital in Bristol asking junior medical doctors: 1. Which grade are you and in which speciality? 2. Do you feel adequately trained and confident when prescribing opiates and changing doses? Yes or No. 3. Imagine you are looking after a lady with metastatic lung cancer on your ward. She has used 90mg of oramorph in the past 24 hours, which has controlled her pain well. You would like to convert her to a Fentanyl patch as she is going home soon. a. Which fentanyl patch would you choose? b. What is her new prn oramorph dose? Results: 32 responses were obtained from F1 to ST5 doctors working in all medical specialties. 16/32 (50%) felt under-confident and under-trained when prescribing opiates. 13/32 (41%) were able to give the correct answer to the patch dose and 19/32 (60%) gave the correct prn oramorph dose. 7 doctors said they would look it up in the BNF when unsure. There was some discordance between doctors perception of their confidence when prescribing and the ability to get the doses correct, for instance, 8 out of the 16 (50%) people who felt confident actually got the answers wrong. Conclusion: This survey has identified a significant knowledge gap in opiate prescribing of junior doctors at the Bristol Royal Infirmary, and discordance between perceptions of knowledge and actual knowledge. We are implementing teaching sessions locally to correct this, but these findings may be representative of the situation in other hospitals in the UK.</t>
  </si>
  <si>
    <t>(Leahy A.; Cooper L.) 9th Annual BTOG Conference 2011 Dublin, Ireland 2011-01-26 to 2011-01-28 Elsevier Ireland Ltd; ID: 2728</t>
  </si>
  <si>
    <t>0169-5002</t>
  </si>
  <si>
    <t>10.1016/S0169-5002(11)70092-7 FULL TEXT LINK http://dx.doi.org/10.1016/S0169-5002(11)70092-7</t>
  </si>
  <si>
    <t>Lebedev,B. A.;Vanchakova,N. P.;Author,Addresses;Correspondence,Address;Lebedev,B. A.</t>
  </si>
  <si>
    <t>1319629; Experience with subinternship in psychiatry and drug abuse (discussion) ORIGINAL (NON-ENGLISH) TITLE Opyt subordinatury po psikhiatrii i narkologii (obsuzhdenie)</t>
  </si>
  <si>
    <t>Zhurnal nevropatologii i psikhiatrii imeni S.S.Korsakova</t>
  </si>
  <si>
    <t>(1992) 92</t>
  </si>
  <si>
    <t>addiction (prevention, therapy);clinical education;drug control;medical education;psychiatry;article;education;human;USSR</t>
  </si>
  <si>
    <t>(Lebedev B.A.; Vanchakova N.P.); ID: 3620</t>
  </si>
  <si>
    <t>http://www.ncbi.nlm.nih.gov/pubmed/1319629</t>
  </si>
  <si>
    <t>Experience with subinternship in psychiatry and drug abuse (discussion) ORIGINAL (NON-ENGLISH) TITLE Opyt subordinatury po psikhiatrii i narkologii (obsuzhdenie)</t>
  </si>
  <si>
    <t>Lee,J. D.;Delbanco,B.;Wu,E.;Gourevitch,M. N.;Author,Addresses;Division of General Internal Medicine, New York,University School;of Medicine, New York New,York U.;Correspondence,Address;JD Lee, Division of General Internal Medicine New York,University School;of Medicine, New York New York U S A Email joshua lee med,nyu edu</t>
  </si>
  <si>
    <t>21660872; Substance use prevalence and screening instrument comparisons in urban primary care</t>
  </si>
  <si>
    <t>addiction (diagnosis, epidemiology);primary health care;substance abuse;urban population;adolescent;adult;aged;article;comparative study;devices;female;human;male;middle aged;prevalence;psychological rating scale;sensitivity and specificity;statistics;United States (epidemiology)</t>
  </si>
  <si>
    <t>Substance use screening in a primary care setting compared the Alcohol, Smoking, and Substance Involvement Screening Test (ASSIST version 3.0), Two-Item Conjoint Screen (TICS), National Institute on Alcohol Abuse and Alcoholism (NIAAA) daily limit single item, and electronic medical record (EMR). Among 236 consecutive adults, ASSIST moderate- to high-risk substance use prevalence was tobacco, 15.3%; alcohol, 8.5%; cannabis, 5.1%; cocaine, 2.5%; and opioids, 2.5%. Compared to ASSIST, a positive TICS was 45% (95% confidence interval CI], 27-64%) sensitive, 99% (95-100%) specific; the NIAAA single-item screen was 80% (56-94%) sensitive, 87% (82-91%) specific. The NIAAA single item correlated closely with alcohol ASSIST. TICS and EMR were less sensitive for any nontobacco substance use.</t>
  </si>
  <si>
    <t>(Lee J.D.) (Delbanco B.; Wu E.; Gourevitch M.N.); ID: 2670</t>
  </si>
  <si>
    <t>http://www.ncbi.nlm.nih.gov/pubmed/21660872</t>
  </si>
  <si>
    <t>10.1080/08897077.2011.562732 FULL TEXT LINK http://dx.doi.org/10.1080/08897077.2011.562732</t>
  </si>
  <si>
    <t>Substance use prevalence and screening instrument comparisons in urban primary care</t>
  </si>
  <si>
    <t>Lee,N. K.;Harney,A.;Cameron,J.;Roeg,S.;Author,Addresses;Turning Point,Alcohol;Drug Centre,Fitzroy Australia;School of,Psychology;Psychiatry,Monash University Clayton;Australia;Eastern Health Clinical School, Monash,University Melbourne;Vic,Australia;National,Centre for;Training on,Addiction;Flinders University, LeeJenn Health Consultants Pty,Ltd Australia;Correspondence,Address;Harney,Turning Point Alcohol,A.;Drug Centre,Fitzroy,Australia Email;angela.harney@turningpoint.org.au</t>
  </si>
  <si>
    <t>Mind your step: Developing effective mental health training for alcohol and other drug workers</t>
  </si>
  <si>
    <t>alcohol consumption;drug use;medical education;mental health;article;Australia;clinical assessment tool;clinical audit;human;mass screening;mental disease;mental health service;physician;priority journal;PsyCheck;Public Health, Social Medicine and Epidemiology (17);Psychiatry (32);Drug Dependence, Alcohol Abuse and Alcoholism (40)</t>
  </si>
  <si>
    <t>Mental health problems are common among drug treatment clients with most symptoms related to anxiety and depression. In this study, we used an established manual for alcohol and drug practitioners known as PsyCheck that outlines basic mental health screening and intervention for high prevalence disorders. The aim of this study was to examine changes in clinician's mental health screening and intervention activities post-training. One hundred ninety-five staff members from 13 alcohol and drug services across Australia participated in the training, which consisted of 2 days of practical instruction in comorbidity and the use of the PsyCheck manual. The package takes a symptom-focused approach. A clinical file audit was undertaken prior to and 6 months after the training to examine changes in clinicians' screening and intervention activities. The results showed increases in screening for mental health problems 6 months after training. Although the study is methodologically limited, it suggests that manualised treatments, with the addition of training and post-training support, can improve alcohol and other drug practitioners focus on mental health screening and intervention. â”¬âŒ 2011 Taylor &amp; Francis.</t>
  </si>
  <si>
    <t>(Lee N.K.; Harney A., angela.harney@turningpoint.org.au; Cameron J.; Roeg S.) (Lee N.K.) (Cameron J.) (NCETA) Routledge, 4 Park Square, Milton Park, Abingdon, Oxfordshire, United Kingdom.; ID: 2623</t>
  </si>
  <si>
    <t>2011551062 PUI L362693005</t>
  </si>
  <si>
    <t>10.1080/17523281.2011.603699 FULL TEXT LINK http://dx.doi.org/10.1080/17523281.2011.603699</t>
  </si>
  <si>
    <t>Leece,P.;Orkin,A.;Shahin,R.;Steele,L. S.;Author,Addresses;Public,Health;Preventive;Medicine Program, Dalla Lana School of Public Health University,of Toronto;Canada;Dalla Lana School of Public Health, University,of Toronto;Canada;Toronto,Public Health;Dalla Lana School of,Public Health;Department of,Family;Community Medicine,University of;Toronto,Canada;Shing,Li Ka;Toronto,Canada;Correspondence,Address;Leece,Public Health,P.;Preventive Medicine Program, Dalla,Lana School;of Public Health, University of,Toronto Canada</t>
  </si>
  <si>
    <t>Can naloxone prescription and overdose training for opioid users work in family practice? Perspectives of family physicians</t>
  </si>
  <si>
    <t>(MAJOR FOCUS);naloxone (drug therapy);opiate (drug toxicity);drug intoxication (drug therapy, drug therapy);general practice;article;Canada;clinical article;clinical practice;drug use;education program;general practitioner;health care planning;human;information processing;patient safety;practice guideline;risk factor;uncertainty;weakness;workshop;naloxone (357-08-4, 465-65-6);opiate (53663-61-9, 8002-76-4, 8008-60-4);Public Health, Social Medicine and Epidemiology (17);Drug Literature Index (37);Toxicology (52)</t>
  </si>
  <si>
    <t>Objective: To explore family physicians' attitudes toward prescribing naloxone to at-risk opioid users, as well as to determine the opportunities and challenges for expanding naloxone access to patients in family practice settings. Design: One-hour focus group session and SWOT (strengths, weaknesses, opportunities, and threats) analysis. Setting: Workshop held at the 2012 Family Medicine Forum in Toronto, Ont. Participants: Seventeen conference attendees from 3 Canadian cities who practised in various family practice settings and who agreed to participate in the workshop. Methods: The workshop included an overview of information about naloxone distribution and overdose education programs, followed by group discussion in smaller focus groups. Participants were instructed to focus their discussion on the question, "Could this overdose education and naloxone prescription] work in your practice?" and to record notes using a standardized discussion guide based on a SWOT analysis. Two investigators reviewed the forms, extracting themes using an open coding process. Main findings: Some participants believed that naloxone could be used safely among family practice patients, that the intervention fit well with their clinical practice settings, and that its use in family practice could enhance engagement with at-risk individuals and create an opportunity to educate patients, providers, and the public about overdose. Participants also indicated that the current guidelines and support systems for prescribing or administering naloxone were inadequate, that medicolegal uncertainties existed for those who prescribed or administered naloxone, and that high-quality evidence about the intervention's effectiveness in family practice was lacking. Conclusion: Family physicians believe that overdose education and naloxone prescription might provide patients at risk of opioid overdose in their practices with broad access to a potentially lifesaving intervention. However, they explain that there are key barriers currently limiting widespread implementation of naloxone use in family practice settings.</t>
  </si>
  <si>
    <t>(Leece P., pamela.leece@mail.utoronto.ca) (Orkin A.) (Shahin R.) (Steele L.S.) College of Family Physicians of Canada; ID: 2148</t>
  </si>
  <si>
    <t>2015134508 PUI L604901580</t>
  </si>
  <si>
    <t>Legnini,M. W.;Claus,E. B.;Author,Addresses;Department of,Epidemiology;Public,Health;Yale University School of Medicine, New,Haven C.;Correspondence,Address;Department of,Epidemiology;Public Health, Yale University,School of;Medicine,New Haven C. T.</t>
  </si>
  <si>
    <t>3564549; Smoking among Yale Medical School faculty</t>
  </si>
  <si>
    <t>cigarette smoking;medical school;medical student;adult;diagnosis;epidemiology;human;human experiment;intoxication;United States;Drug Dependence, Alcohol Abuse and Alcoholism (40);Public Health, Social Medicine and Epidemiology (17)</t>
  </si>
  <si>
    <t>(Legnini M.W.; Claus E.B.); ID: 3765</t>
  </si>
  <si>
    <t>http://www.ncbi.nlm.nih.gov/pubmed/3564549</t>
  </si>
  <si>
    <t>Smoking among Yale Medical School faculty</t>
  </si>
  <si>
    <t>Lei,T. H.;You,J. R.;Zhang,R. M.;Su,B.;Tseng,C. T.;Chen,L. C.;Author,Addresses;Department,of;Pharmacy,Taipei City Hospital Yangming Branch Taiwan;Department of Pharmacy, Taipei City Hospital,Taipei Taiwan;Correspondence,Address;T-H Lei, Department of Pharmacy Taipei City Hospital,Yangming Branch;Taiwan</t>
  </si>
  <si>
    <t>Effects of an education program on the medication knowledge of the community and school</t>
  </si>
  <si>
    <t>International Journal of Clinical Pharmacy</t>
  </si>
  <si>
    <t>education program;addiction;adult;awareness;conception;conference abstract;data analysis software;drug safety;female;health literacy;high school student;human;interview;major clinical study;medical information;outcome assessment;pharmacist;prescription;questionnaire;resident;storage;Taiwan</t>
  </si>
  <si>
    <t>Background and Objective: The lack of medication usage and the safety of medicines by the general public has long been a problem in Taiwan. One of the reasons responsible for the phenomena might be the lack of an active role of pharmacists in large scale health education program. This research aimed to understand the community residents and the junior high school students' health literacy on medication and med-ication conceptions in Taiwan. And designed a program to change the medication knowledge among the participants. Setting and Method: First, collected the correlations of knowledge, attitude and behaviour regarding correct medication use of residents and students by interview at a campus activities. The interview questionnaire was composed by 10 questions, including medication storage, the usage of medications and drug safety. Second, according to the results of the interview, designed an education program. The general medication knowledge of the participants was evaluated before and after the course. SPSS was used as statistical software. Main outcome measures: To determine community residents and the junior high school students' health literacy. To evaluate the effects of education program, and to improve the general medication knowledge of the public. Results: The first interview was 62 community residents and students. The average age was 40 years old, there was 15 people under 20 years old. Most participants were female (72.58%). Long-term use of drugs in family was 61.29 and 69.35% agreed that to have the knowledge of medication is important. However, participants didn't understand the release of prescriptions (accuracy is 85.71%), the categories of the medicines (accuracy is 75.00%), and the dangerous of drugs(accuracy is 66.67%). According to the result, we designed an education program of addiction and misuse of medication. To evaluate the effects of the lessons, this study was a single group pre-and post-comparison. The final evaluation of this study included 96 students and 60 residents who participated in the education program. Most participants were female (57.70%). All participants showed significant improvement in general medication knowledge (p\0.05) after the program. Conclusion: Through the investigation of public awareness of medication, and arranged medication education program can effectively deliver the knowledge of medication usage and general medication to the public. It is therefore suggested that pharmacists be more active in participating in the public education on drug usage and related health information.</t>
  </si>
  <si>
    <t>(Lei T.-H.; You J.-R.; Zhang R.-M.; Su B.; Tseng C.-T.) (Chen L.-C.) 46th ESCP Symposium on Clinical Pharmacy Heidelberg, Germany 2017-10-09 to 2017-10-11 Springer Netherlands; ID: 1750</t>
  </si>
  <si>
    <t>2210-7711</t>
  </si>
  <si>
    <t>10.1007/s11096-017-0565-9 FULL TEXT LINK http://dx.doi.org/10.1007/s11096-017-0565-9</t>
  </si>
  <si>
    <t>Leininger,L. S.;Earp,J. A. L.;Author,Addresses;Cancer Prevention Program, University,of North;Carolina,Mason Farm Road Chapel Hill N.C.United States;Correspondence,Address;LS Leininger, Cancer Prevention Program University of,North Carolina;Mason Farm Road, Chapel Hill,N.C.United States</t>
  </si>
  <si>
    <t>8474944; The effect of training staff in office-based smoking cessation counseling</t>
  </si>
  <si>
    <t>Patient education and counseling</t>
  </si>
  <si>
    <t>Patient Educ.Couns.</t>
  </si>
  <si>
    <t>medical education;patient counseling;patient education;smoking cessation;adult;article;controlled study;human;medical personnel;normal human;priority journal;Cancer (16);Public Health, Social Medicine and Epidemiology (17)</t>
  </si>
  <si>
    <t>A role for office staff members in smoking cessation counseling has recently been recognized and encouraged. We studied the impact of physician-staff team training in office-based smoking cessation counseling on staff members in 35 practices in Raleigh, North Carolina. Staff members who attended an educational meeting were compared with two groups: other staff members in their practices who did not attend the meeting and staff in other practices in which no one attended the meeting. Baseline attitudes toward and participation in smoking cessation activities were not significantly different among the three groups. Four months after the training, staff who had personally attended the meeting reported greater involvement in counseling activities than either of the two comparison groups. Attitudes toward involvement in counseling activities did not change significantly over the study period. Training staff members in office-based smoking cessation counseling may be a useful step toward increasing staff participation in these activities.</t>
  </si>
  <si>
    <t>(Leininger L.S.; Earp J.A.L.) Elsevier Ireland Ltd, P.O. Box 85, Limerick, Ireland.; ID: 3606</t>
  </si>
  <si>
    <t>http://www.ncbi.nlm.nih.gov/pubmed/8474944</t>
  </si>
  <si>
    <t>10.1016/0738-3991(93)90113-B FULL TEXT LINK http://dx.doi.org/10.1016/0738-3991(93)90113-B</t>
  </si>
  <si>
    <t>The effect of training staff in office-based smoking cessation counseling</t>
  </si>
  <si>
    <t>Lemsky,C.;Author,Addresses;Community Head Injury,Resource Service;Toronto,North York Canada;Correspondence,Address;Lemsky, Community Head Injury Resource Service of Toronto North York,C.;Canada Email,clemsky,chirs com</t>
  </si>
  <si>
    <t>Substance use and brain injury bridging project (SUBI): Increasing capacity for concurrent intervention in Ontario, Canada</t>
  </si>
  <si>
    <t>Brain Impairment</t>
  </si>
  <si>
    <t>12 SUPPL. 1</t>
  </si>
  <si>
    <t>reducing agent;brain injury;Canada;rehabilitation;addiction;case management;cognitive defect;community;comorbidity;cross training;health center;mental health;population;quality of life;risk;screening;teleconference</t>
  </si>
  <si>
    <t>Background and aims: The high comorbidity of substance use and neurological impairment is well documented. The Substance Use and Brain Injury (SUBI) Bridging project (WWW.SUBI.ca) was developed to promote access to care for Ontarians living with Acquired Brain Injury (ABI) at risk for or experiencing problematic substance use. Methods: Cross-training materials were developed via a partnership between a community- based ABI and academic medical centre addiction provider. Training reaching 350 service providers across Ontario. An online community of practice was established. Teleconferencing was provided to providers in remote areas. Screening for ABI was undertaken at a large academic addictions and mental health centre. Outcome data are being collected in a group-program based upon the SUBI materials. Results: The greatest barriers to care were stigma associated with either condition, and the need for information about screening intervention and care partners. After training, providers reported increased frequency of screening for and willingness to treat individuals with Addictions and ABI respectively. Preliminary data from 352 individuals presenting for addictions treatment, 24% reported some history of acquired brain injury. Available programs increased from two to ten ABI/addictions treatment partnerships. Conclusions: The SUBI materials are useful in promoting concurrent intervention. Preliminary data suggest that approximately 20% of individuals presenting to a large urban addictions program have unrecognised cognitive impairment. These data may be used to encourage participation of addiction providers previously unaware of this clinical population. Active case management and psycho-educational programming show a trend toward reducing substance use and improving quality of life.</t>
  </si>
  <si>
    <t>(Lemsky C., clemsky@chirs.com) 8th Conference of the Neuropsychological Rehabilitation Special Interest Group of the World Federation for NeuroRehabiliation Rotorua, New Zealand 2011-07-11 to 2011-07-12 Australian Academic Press; ID: 2659</t>
  </si>
  <si>
    <t>1443-9646</t>
  </si>
  <si>
    <t>Lesmana,C. R.;Pakasi,L.;Inggriani,S.;Aidawati,M.;Lesmana,L. A.;Author,Addresses;Department of Internal Medicine, Cipto,Mangunkusumo Hospital;University of,Indonesia;Digestive Disease,Jakarta Indonesia;Digestive,Disease;Gi,Oncology Center;Jakarta,Indonesia;Department,of Radiology;Jakarta,Indonesia;Department of Internal Medicine, Cipto,Mangunkusumo Hospital;University,of Indonesia;Correspondence,Address;CR Lesmana, Department of Internal Medicine Cipto,Mangunkusumo Hospital;University of,Indonesia;Digestive Disease,Jakarta Indonesia</t>
  </si>
  <si>
    <t>Prevalence of non-alcoholic fatty pancreas disease (NAFPD) and its risk factors among adult medical check-up patients in a private hospital: A large cross sectional study</t>
  </si>
  <si>
    <t>110 SUPPL. 1</t>
  </si>
  <si>
    <t>cholesterol;lipid;triacylglycerol;adult;alcoholism;American;college;cross-sectional study;gastroenterology;human;medical examination;pancreas disease;patient;prevalence;private hospital;risk factor;bivariate analysis;blood pressure;body mass;clinical practice;data analysis software;diastolic blood pressure;diet restriction;disease course;gender;glucose blood level;hospital;incidental finding;Indonesia;medical record;multivariate analysis;pancreas;pancreas biopsy;risk;screening;statistical analysis;ultrasound</t>
  </si>
  <si>
    <t>Introduction: The clinical significance of non-alcoholic fatty pancreatic disease (NAFPD) or fatty pancreas is largely unknown. It is often an incidental finding on abdominal ultrasound, which is not explored further, especially its association with metabolic condition and the risk of pancreatic malignancy. Methods: A large cross-sectional study was done among adult medical check-up patients underwent abdominal ultrasound between January and December 2013 in Medistra Hospital, Jakarta. Data was obtained from the patients' medical record and include demographic data, blood pressures, fasting blood glucose level, and lipid profile. The presence of fatty pancreas was diagnosed by ultrasound. Bivariate and multivariate analyses were done to find associated risk factors for NAFPD. Statistical analysis was done using SPSS version 17. Results: A total of 1054 cases were included in this study; pancreas cannot be visualized in 153 cases and were excluded from the analysis. Fatty pancreas was present in 315 (35.0%) patients. Bivariate analyses found significant associations among fatty pancreas and several risk factors such as gender, age, systolic and diastolic blood pressures, body mass index (BMI), fasting blood glucose (FBG), triglycerides (TG) and cholesterol levels. Conclusion: The prevalence of NAFPD in Indonesia is high and it is strongly correlated with other metabolic conditions. The clinical significance of routine fatty pancreas screening needs to be included in our clinical practice. However, it would need further investigation about the long standing condition of fatty pancreas and the usefulness of pancreatic biopsy to see the possibility of disease progression. (Table Presented).</t>
  </si>
  <si>
    <t>(Lesmana C.R.) (Pakasi L.) (Inggriani S.; Aidawati M.) (Lesmana L.A.) 80th Annual Scientific Meeting of the American College of Gastroenterology Honolulu, HI, United States 2015-10-16 to 2015-10-21 Nature Publishing Group; ID: 2060</t>
  </si>
  <si>
    <t>10.1038/ajg.2015.269 FULL TEXT LINK http://dx.doi.org/10.1038/ajg.2015.269</t>
  </si>
  <si>
    <t>Lester,L.;Walsh,D.;Dhuibhir,P.;Balding,L.;Higgins,S.;O'Leary,N.;Author,Addresses;Trinity College Dublin, Palliative Medicine,Dublin Ireland;Our,Lady's;Hospice;Care Services, Harold's Cross,Dublin Ireland;Trinity,College Dublin;Ucd,Dublin Ireland;St James's Hospital, Dublin Ireland;Our Lady's,Hospice;Care Services,Harold's Crossiii;Dublin,Ireland;Amnch Hospital,Dublin Ireland;St Catherine's Hospice, Dublin Ireland;Correspondence,Address;Lester, Trinity College Dublin Palliative Medicine Dublin Ireland,L.</t>
  </si>
  <si>
    <t>Opioid rotation and Route Switch in cancer patients</t>
  </si>
  <si>
    <t>(MAJOR FOCUS);opiate;alfentanil;fentanyl;hydromorphone;nitrofural;oxycodone;tapentadol;cancer patient;human;palliative therapy;adverse drug reaction;analgesia;education;length of stay;marketing;medical record review;medical specialist;neoplasm;prescription;prevalence;subcutaneous drug administration;transdermal drug administration</t>
  </si>
  <si>
    <t>Background: Opioid choice is influenced by availability, economic factors, education and marketing. Opioid Rotation is the substitution of one strong opioid for another to improve the balance between pain relief and adverse effects. Route Switch describes a change in route of administration. The scientific basis for these common practices is unclear. Aims: 1. Investigate period prevalence of Opioid Rotation and Route Switch 2. Examine choice of opioid for Rotation and Route Switch Methods: Retrospective period prevalence chart review from admission day to study day. Medical notes and opioid prescriptions of consecutive Specialist Palliative Medicine Unit cancer patients evaluated. Data entered in Microsoft Excel. Results: Opioid rotation: Median length of stay (admission -study) = 19 days (range 1-68). 22/26 (85%) had cancer. 14/22 (64%) on Around The Clock Opioid (ATCO) on study day. 6/14 (43%) had rotated ATCO post-admission: 1. Oral Hydromorphone (H) Î“Ã¥Ã† Oral Tapentadol (T) Î“Ã¥Ã† Subcutaneous Infusion Alfentanil A) 2. Oral Oxycodone (O) Î“Ã¥Ã† Oral H Î“Ã¥Ã† Transdermal Fentanyl (F) 3. Oral O Î“Ã¥Ã† to oral H 4. Subcutaneous Infusion H Î“Ã¥Ã† Subcutaneous Infusion A 5. Oral O Î“Ã¥Ã† Transdermal F 6. Subcutaneous Infusion O Î“Ã¥Ã† Transdermal F These six had 8 Opioid Rotation episodes in total: four had 1 rotation; two had 2. Median 12.5 days (range 3-23) between rotations. 8/22 (36%) not prescribed Around The Clock Opioid on study day: 4/8 never on ATCO; other 4/8 ATCO discontinued. Route switch: 7/14 (50%) had an ATCO Route Switch. 12 Route Switch episodes in total: Oral to subcutaneous infusion = 7; oral to transdermal = 1; subcutaneous infusion to transdermal =3; subcutaneous infusion to oral = 1. 4 episodes of simultaneous Opioid Rotation and Route Switch. Conclusion: 1. Period prevalence: Route Switch &gt; than Opioid Rotation 2. Most frequent Route Switch Î“Ã¥Ã† Subcutaneous Infusion 3. Most frequent Opioid Rotation Î“Ã¥Ã† Transdermal Fentanyl 4. Most prescribed opioid: Hydromorphone.</t>
  </si>
  <si>
    <t>(Lester L.) (Lester L.; Walsh D.; Dhuibhir P.; Balding L.; O'Leary N.) (Walsh D.) (Balding L.) (Higgins S.) (O'Leary N.) 8th World Research Congress of the European Association for Palliative Care, EAPC 2014 Lleida, Spain 2014-06-05 to 2014-06-07 SAGE Publications Ltd; ID: 2223</t>
  </si>
  <si>
    <t>10.1177/0269216314532748 FULL TEXT LINK http://dx.doi.org/10.1177/0269216314532748</t>
  </si>
  <si>
    <t>Lester,L.;Walsh,D.;Ui Dhuibhir,P.;O'Connor,B.;Higgins,S.;Author,Addresses;Trinity College Dublin, Palliative Medicine,Dublin Ireland;Our,Lady's;Hospice;Care Services, Harold's Cross,Dublin Ireland;Trinity,College Dublin;Ucd,Dublin Ireland;Amnch Hospital,Dublin Ireland;Correspondence,Address;Lester, Trinity College Dublin Palliative Medicine Dublin Ireland,L.</t>
  </si>
  <si>
    <t>National survey of opioid rotation practices in cancer pain</t>
  </si>
  <si>
    <t>(MAJOR FOCUS);opiate;alfentanil;fentanyl;hydromorphone;morphine;oxycodone;cancer pain;palliative therapy;adverse drug reaction;analgesia;brain;brain dysfunction;clinical practice;consultation;cross-sectional study;human;kidney;kidney failure;liver failure;medical specialist;nurse;nursing;physician;questionnaire;student;toxicity</t>
  </si>
  <si>
    <t>Background: Opioid Rotation (OR) is the clinical practice of substituting one strong opioid for another. The indication is to improve balance between pain relief and adverse effects. Opioid Rotation incidence is 20-44% internationally. The scientific basis for this practice is unclear. Aims: Capture opioid prescribing patterns of Palliative Medicine Consultant Physicians (C), Physician Trainees (T) and Nurse Specialists (NS): 1. Opioid choice: 1st, 2nd, 3rd line 2. OR choice in opioid toxicity (OT): brain, kidney, liver failure 3. Indication for alfentanil 4. Conversion ratios relative to morphine: oxycodone and alfentanil Methods: Cross-sectional study. Survey Questionnaire. Consecutive C, T and NS surveyed at National Meetings. Data analysed using Microsoft excel. Results: National sample: C 11/35 (31%); T 13/14 (93%); NS 11/49 (22%). Opioid Choice: 1st line morphine (C 100%; T100%; NS 100%). 2nd line oxycodone (C 91%; T 100%; NS 100%). 3rd line hydromorphone (C 55%; T 85%; NS 64%) Opioid Rotation Choice in Morphine Toxicity: Brain Failure: oxycodone (C 82%; T 85%; NS 73%) Kidney Failure: alfentanil (C 45%; T 69%; NS 36%) Liver Failure: oxycodone (C 36%; T 38%; NS 73%); hydromorphone (C 9%; T 38%; NS 18%); fentanyl (C 36%; T 0%; NS 0%). Oxycodone: Morphine conversion ratio: 1:1.5 (C 55%, T 54%; NS 27%) 1:2 (C 27%; T 38%; NS 64%) Alfentanil widely prescribed: C 100%; T 77%; NS 54%. Kidney failure major indication: C 91%; T 90%; NS 36%. Parenteral morphine: alfentanil conversion ratio 15:1 (C 73%; T 69%; NS 36%) Conclusions: 1. Morphine first choice in opioid naâ”œÂ»ve 2. Variations in opioid rotation practice evident 3. Toxicity: rotation practice consistent in brain and kidney but not liver failure 4. Physicians favour 1:1.5 oxycodone: morphine conversion ratio 5. Nursing experience of alfentanil limited.</t>
  </si>
  <si>
    <t>(Lester L.) (Lester L.; Walsh D.; Ui Dhuibhir P.; O'Connor B.; Higgins S.) (Walsh D.) (Walsh D.; O'Connor B.) (Higgins S.) 8th World Research Congress of the European Association for Palliative Care, EAPC 2014 Lleida, Spain 2014-06-05 to 2014-06-07 SAGE Publications Ltd; ID: 2224</t>
  </si>
  <si>
    <t>Leventhal,E. L.;Nathanson,L. A.;Landry,A. M.;Author,Addresses;Beth,Israel Deaconess;Center,Harvard Medical School Boston United States;Correspondence,Address;EL Leventhal, Beth Israel Deaconess Medical Center,Harvard Medical;School,Boston United States</t>
  </si>
  <si>
    <t>Variations in opioid prescribing behavior by physician training</t>
  </si>
  <si>
    <t>S182</t>
  </si>
  <si>
    <t>(MAJOR FOCUS);opiate;analgesic agent;morphine;narcotic analgesic agent;steel;emergency medicine;human;physician;society;drug therapy;Kruskal Wallis test;medical record review;pain;patient;prescription;procedures;teaching hospital;tertiary health care</t>
  </si>
  <si>
    <t>Background: EM physicians are often perceived to be the source of over-prescription of opioid analgesic medications. Patients often turn to the ED for treatment of a variety of painful conditions, many of whom are discharged with analgesic prescriptions. Objectives: This study aimed to determine which type of providers in the ED prescribe opioid prescriptions in the largest quantities. We hypothesized that non-EM trained residents would prescribe the largest quantity of opioids while EM attendings would prescribe the smallest. Methods: We performed a retrospective chart review of all patients discharged from the ED of a single tertiary care teaching hospital, over one academic year (7/1/2014-6/30/2015). The charts of all patients discharged with a prescription for opioid pain medications were included in this study. The quantity of opioids prescribed was reported in morphine milligram equivalent (MME) (median, IQR). Providers were grouped based on training and position: EM attendings, EM trained residents, and non- EM trained residents. Differences in prescribing quantities were tested using Kruskal-Wallis test, and pairwise comparisons were made using the D was s-Steel-Critchlow-Flinger procedure. Results: A total of 55,999 visits were reviewed, of which 4,431 were discharged with a prescription for an opioid medication. EM trained residents prescribed the least amount of opioid pain medications per prescription (75 MME, IQR 60-113), while non-EM trained resident providers prescribed the most (108 MME, IQR 75-150). EM attendings (90 MME, IQR 75-120) prescribed less than the non-EM trained resident providers, and more than EM trained residents. Conclusion: EM providers, both residents and attendings, are less likely to prescribe large quantities of opioid analgesic medications than non-EM trained providers in the ED. EM attendings must be cognizant of prescribing patterns by residents to ensure that the prescription of opioid analgesic medications are appropriate.</t>
  </si>
  <si>
    <t>(Leventhal E.L.; Nathanson L.A.; Landry A.M.) 2016 Annual Meeting of the Society for Academic Emergency Medicine, SAEM 2016 New Orleans, LA, United States 2016-05-10 to 2016-05-13 Blackwell Publishing Inc.; ID: 1957</t>
  </si>
  <si>
    <t>10.1111/acem.12974 FULL TEXT LINK http://dx.doi.org/10.1111/acem.12974</t>
  </si>
  <si>
    <t>Levinson,A.;Garside,S.;Johnson,A.;Devillaer,M.;Ernest,D.;Hasan,M.;Selby,P.;Rhyno,M.;Author,Addresses;McMaster University,Canada;Centre,for;Addiction;Mental Health,Canada;Correspondence,Address;Levinson,McMaster University Canada,A.</t>
  </si>
  <si>
    <t>CAMH and McMaster alcohol curriculum (CAMAC) project</t>
  </si>
  <si>
    <t>Medical Education, Supplement</t>
  </si>
  <si>
    <t>45 SUPPL. 1</t>
  </si>
  <si>
    <t>(MAJOR FOCUS);alcohol;addiction;Canadian;curriculum;learning;medical education;adaptation;alcoholism;diseases;evidence based practice;health education;human;medical school;morbidity;mortality;multimedia;problem based learning;skill;student;teaching;university;work;workplace</t>
  </si>
  <si>
    <t>Context or Setting: Alcohol use disorders are common, and lead to high degrees of morbidity and mortality. Despite their importance, there is little formal curriculum devoted to this topic in undergraduate medicine. Why the Innovation Was Undertaken: We sought to embed high quality, evidence-based resources related to alcohol use disorders into both pre-clerkship and clerkship to improve the recognition and management of these disorders. In particular, we used an 'action-oriented' focus, with a pragmatic approach to clinical skills teaching and reference materials that students could use as job aides and workplace performance support. What Was Done: We developed a multimodal implementation strategy, with a range of curriculum 'products' and resources. This included a large group session/instructor-led presentation; tutorial problem and tutor guide for small group problem-based learning; self-directed e-learning modules; reference resources such as the CAMH KnowledgeX Portal; and a pocket reference guide. Both pre-clerkship and clerkship students were targeted, with specialtyspecific modules for clerkship. Online modules were based on the previous high quality Project CREATE materials, with extensive expert review and updating, as well as adaptation for self-directed e-learning using best practices in multimedia learning and instructional design. Brief Evaluation of the Innovation and / or Its Impact: The curriculum has been successfully implemented within the McMaster University undergraduate MD program, with plans for broader dissemination across other medical schools. Moreover all elements of the curriculum are freely available online through the www.machealth.ca portal and CAMH's KnowledgeX portal (knowledgeX.camh.net), as well as indexed through the Canadian Health Education Commons website.</t>
  </si>
  <si>
    <t>(Levinson A.; Garside S.; Rhyno M.) (Johnson A.; Devillaer M.; Ernest D.; Hasan M.; Selby P.) Canadian Conference on Medical Education 2011 Toronto, ON, Canada 2011-05-07 to 2011-05-11 Blackwell Publishing Ltd; ID: 2688</t>
  </si>
  <si>
    <t>1352-3929</t>
  </si>
  <si>
    <t>10.1111/j.13652923.2011.04002 FULL TEXT LINK http://dx.doi.org/10.1111/j.13652923.2011.04002</t>
  </si>
  <si>
    <t>Lewis,G. G.;Saravanan,P.;Author,Addresses;Wirral University,Teaching Hospital;Wirral,United Kingdom;Correspondence,Address;GG Lewis, Wirral University Teaching Hospital N H S Trust,Wirral United;Kingdom</t>
  </si>
  <si>
    <t>'Speeding towards heart failure'-amphetamine associated cardiomyopathy</t>
  </si>
  <si>
    <t>European Journal of Heart Failure</t>
  </si>
  <si>
    <t>(MAJOR FOCUS);amphetamine;antibiotic agent;catecholamine;troponin T;acute heart failure;cardiomyopathy;heart failure;abuse;acute coronary syndrome;adrenergic stimulation;cardiology;cardiotoxicity;congestive cardiomyopathy;coronary artery spasm;coughing;diagnosis;drug therapy;drug withdrawal;dyspnea;echocardiography;electrocardiogram;endocardium;examination;general practitioner;heart ejection fraction;heart left ventricle function;heart ventricle function;His bundle electrogram;human;ischemia;learning;left ventricular systolic dysfunction;male;myocarditis;paroxysmal dyspnea;pathophysiology;patient;physician;pneumonia;prevalence;risk;sinus tachycardia;substance abuse;T wave inversion;thorax pain;toxicity;United Kingdom</t>
  </si>
  <si>
    <t>Introduction and case report description: We report two patients with dilated cardiomyopathy secondary to amphetamine use - the diagnosis was not initially recognised and treatment was delayed. A 45 year old male was initially diagnosed with pneumonia. He presented with dyspnoea, chest discomfort and cough, his electrocardiogram (ECG) showed T-wave inversion throughout the precordial leads, and high-sensitivity Troponin T (HS-TnT) 34. After treatment with antibiotics he remained tachycardic, hypertensive and breathless. Cardiology review demonstrated signs of acute heart failure. A focused history revealed chronic amphetamine use for the past 10-years. His echocardiogram showed a dilated cardiomyopathy with severe left ventricular systolic dysfunction (LVSD) and ejection fraction (EF) of 11%. He was diagnosed with amphetamine associated cardiomyopathy and commenced on standard heart failure treatment. The second patient was a 49 year old male presenting with exertional dyspnoea. His ECG showed T-wave inversion in the anterolateral leads and sinus tachycardia. His HS-TnT 39. General physician diagnosed and treated him for acute coronary syndrome. Cardiology review revealed a 2 month history of paroxysmal nocturnal dyspnoea. Examination demonstrated signs of acute heart failure. In a focused drug history he disclosed amphetamine use since age 18. An echocardiogram demonstrated a dilated cardiomyopathy with severe LVSD and EF 15%. He was treated for acute heart failure. Description of the problem: Amphetamine use is common. In the</t>
  </si>
  <si>
    <t>(Lewis G.G.; Saravanan P.) Heart Failure 2015 and the 2nd World Congress on Acute Heart Failure Seville, Spain 2015-05-23 to 2015-05-26 John Wiley and Sons Ltd; ID: 2109</t>
  </si>
  <si>
    <t>1388-9842</t>
  </si>
  <si>
    <t>10.1002/ejhf.277 FULL TEXT LINK http://dx.doi.org/10.1002/ejhf.277</t>
  </si>
  <si>
    <t>Li,K.;Chen,C.;Author,Addresses;Department of,Child;Adolescent Psychiatry,Taoyuan;Mental Hospital,Taoyuan,County Taiwan;Correspondence,Address;Li,Department of Child,K.;Adolescent Psychiatry,Taoyuan Mental;Hospital,Taoyuan County Taiwan</t>
  </si>
  <si>
    <t>The association of criminal history and psychiatric diseases in juvenile delinquents with substance use history in rectification education</t>
  </si>
  <si>
    <t>Neuropsychiatrie de l'enfance et de l'adolescence</t>
  </si>
  <si>
    <t>Neuropsychiatr.Enfance Adolesc.</t>
  </si>
  <si>
    <t>S245</t>
  </si>
  <si>
    <t>alcohol;amphetamine;cannabis;ketamine;midomafetamine;narcotic agent;child;child psychiatry;education;human;juvenile delinquency;mental disease;occupation;offender;substance use;academic achievement;achievement;adolescent;anxiety disorder;areca nut;assault;chi square test;comorbidity;crime;data analysis software;dependent variable;depression;diagnosis;diseases;friend;independent variable;interview;juvenile;male;mental health;prevention;psychiatric diagnosis;psychiatrist;questionnaire;Schedule for Affective Disorders and Schizophrenia;school;statistical significance;substance abuse;Taiwan;tobacco</t>
  </si>
  <si>
    <t>Objective.- The role of mental health in the prevention of juvenile delinquency is an important issue of concern but lack of data and evidence. In Taiwan, there were 550Î“Ãªâ•650 new juveniles sent to reform school every year. Some of them had experiences of substance use in the past. However, few data was known about the correlation between criminal history, substance use, and psychiatric comorbidity. Our research targeted at the field to have thorough understanding for future intervention. Methods.- Subjects in this study included all sixty male juveniles claimed with illicit substance abuse history, who entered reform school in northern Taiwan in 2007. The participants were asked to complete a questionnaire including demographic features, history of schooling, substance use, crime, work, friends, and sex experiences etc and a K-SADS-E Chinese version assessment. The K-SADS-E Chinese version was a semi-structure interview carried out by a trained and certified child and adolescent psychiatrist to use as a diagnostic tool for mental health disorder. Six participants with missing data on the variables of major interest, i.e., K-SADS-E interview data, criminal or substance use experiences were excluded. The final samplewas 54, which resulted in an overall completion rate of 90%. We divided the participants into two groups, younger than 15 year-old and 15 year-old, according to their ages of first criminal record. Besides, we also divided the participants into another two group, younger than 15 year-old and 15 year-old, according to their ages of first illicit substance use. Chi-square tests using SPSS 16.0 were used to test for an association between each independent variable and dependent variable. A P value of less than 0.05 was considered to be statistically significant. Results.- All the juveniles recruited were male. Among the 54 participants, the mean age is 17.51â”¬â–’1.66 year-old while mean education 9.06â”¬â–’1.17 years. Over half of them had ever drop-out during the schooling period. In the categories of criminal record, the first 3 major ones were aggravated assault (46.3%), larceny (44.4%), and offending narcotic control law (33.3%). The participants having first criminal record below 15 years old tend to offend larceny and aggravated assault in younger age. In the categories of substance, there were three-fifths ever using soft substance such as tobacco (96.3%), alcohol (83.3%), and betel nut (66.7%). They were also the first coming in time sequence. If the soft substance was not taken into account, the first 3 major illicit substances were ketamine (77.8%), MDMA (59.3%), and amphetamine (48.1%). The participants having first criminal record below15 years old tend to use tobacco, alcohol, MDMA, ketamine, marijuana, and amphetamine. According to K-SADS, over 60% (three-fifths) of the participants met the criteria of substance use disorders, including tobacco, alcohol, drug, and betel nut. If the substance use disorders were not taken into account, the first three major psychiatric diagnoses were CD/ODD (74.1%), depressive disorder (55.6%), and anxiety disorder (38.9%). Conclusions.- Most of the juveniles delinquent having substance use were poor academic performance and achievement during their educational period. They tend to use substance and have criminal record before 15 years old. However, the temporal sequence and correlation still need further study to find adequate intervention in the period to prevent the negative consequence.</t>
  </si>
  <si>
    <t>(Li K.; Chen C.) 20th World Congress of the International Association for Child and Adolescent Psychiatry and Allied Professions, IACAPAP 2012 Paris, France 2012-07-21 to 2012-07-25 Elsevier Masson SAS; ID: 2540</t>
  </si>
  <si>
    <t>0222-9617</t>
  </si>
  <si>
    <t>10.1016/j.neurenf.2012.04.608 FULL TEXT LINK http://dx.doi.org/10.1016/j.neurenf.2012.04.608</t>
  </si>
  <si>
    <t>The association of substance use and sexual behaviors among juvenile delinquents under rectification education in northern Taiwan</t>
  </si>
  <si>
    <t>alcohol;amphetamine;cannabis;cocaine;diamorphine;glue;ketamine;midomafetamine;postcoitus contraceptive agent;child;child psychiatry;education;human;juvenile delinquency;occupation;sexual behavior;substance use;Taiwan;adolescent;areca nut;chi square test;coitus;condom;contraception;data analysis software;dependent variable;heterosexuality;high school;independent variable;juvenile;male;marriage;married person;parent;progeny;psychiatrist;questionnaire;school;sexuality;single (marital status);statistical significance;tobacco</t>
  </si>
  <si>
    <t>Objective.- Substance use and sexual behavior in juveniles, both are illicit in Taiwan. This study was to investigate different substance use among juvenile delinquents and the association of different substance use with specific sexual behaviors. Methods.- The study samples included 60 juveniles from a certain reform school under rectification education. We enrolled them in 2007 year-round. These entire participants had to fill in a self-administered questionnaire and were interviewed individually by a certified child&amp;adolescent psychiatrist. Chi-square tests using SPSS 16.0 were performed to test for an association between each independent variable and dependent variable. A P value of less than 0.05 was considered to be statistically significant. Results.- All of the juveniles were male. Their age was from 11.9 to 20.4 yearold, mean 17.5 year-old (SD: 1.65). The average of education was 9 grades (SD: 1.2). Sixty-eight percent of the juveniles had ever dropped out from school. Near half of them dropped out for less than 6 months while 26.2% for more than 18 months. The parent education stood as high school in majority. However, the marital status of parents was married 25% only. The substance they used included tobacco, alcohol, MDMA, glue, betel nut, ketamine, marijuana, amphetamine, cocaine and heroin. Alcohol and ketamine users experience more romantic events. As a result, higher frequency of sexual experience and also younger age in first sexual experience were found in MDMA and ketamine users. More betel nut and ketamine non-users are married. All above were found statistically significant. All of the juveniles were male and heterosexuality. Thirty-eight percent of them had 1-3 romantic events. Only 3.3% of them were married, 8.3% cohabited with their girlfriends, and the rest were single. Only 18.3% of them didn't have sexual experience, and the majority did. Up to 43.3% had had sexual experience more than 10 times in the past. Thirty percent of them had first sexual experience in their age of 14-16. Few of them had contraception measures, including 16.7% used coitus interrupts, 43.3% used condom, and 11.7% used morning-after pill. 3.3% of them have offspring. Conclusion.- Different substance users were found associated with sexual behaviors differently. Whether the accessibility of different substances at the site of sexual experiences or the property of different substances such as those would enhance sexuality, influence the association need further investigation. However, it is interest to view that different drugs are associated with different sexual experiences.</t>
  </si>
  <si>
    <t>(Li K.; Chen C.) 20th World Congress of the International Association for Child and Adolescent Psychiatry and Allied Professions, IACAPAP 2012 Paris, France 2012-07-21 to 2012-07-25 Elsevier Masson SAS; ID: 2542</t>
  </si>
  <si>
    <t>10.1016/j.neurenf.2012.04.609 FULL TEXT LINK http://dx.doi.org/10.1016/j.neurenf.2012.04.609</t>
  </si>
  <si>
    <t>Li,Y. C.;Tsai,W. C.;Huang,C. Y.;Hu,C. M.;Wang,C. C.;Chen,J. L.;Hsu,C. Y.;Author,Addresses;Taipei,Medical University;Correspondence,Address;C-Y Hsu, Graduate Institute of Medical Informatics,Taipei Medical;University,Taipei Taiwan Email cyhsu tmu edu tw</t>
  </si>
  <si>
    <t>Building a web-based e-learning model for preventing club drug abuse</t>
  </si>
  <si>
    <t>Journal on Information Technology in Healthcare</t>
  </si>
  <si>
    <t>drug abuse;Internet;learning;article;computer model;computer network;controlled study;health care access;health survey;human;medical student;normal human;scoring system;simulation;Public Health, Social Medicine and Epidemiology (17);Biophysics, Bioengineering and Medical Instrumentation (27);Drug Dependence, Alcohol Abuse and Alcoholism (40)</t>
  </si>
  <si>
    <t>Objective: To develop an interactive web-based e-learning tool for drug abuse prevention. Methods: A multimedia interactive computer model, "The Virtual Drug Abuse Scenasio Simulation (VDASS) Model", was developed with the aid of experts in drug abuse. The model is accessed via the internet and simulates different outcomes in response to different choices made by the user. The responses are designed to teach users about and enable them to 'experience' the effects of drug abuse. In addition the model enables users to role play in different scenarios that help them learn effective methods of refusing drugs. The effectiveness of the model as a teaching tool was evaluated by medical students who had to answer a quiz after 30 minutes learning on the model. Their results were compared with 2 other groups of medical students - 1 group who answered the quiz after 30 minutes studying written material on drug abuse, and the other who answered the quiz without any preparation. All groups of students were also given another unannounced quiz, 1 week later. Results: Students who answered the quiz after using VDASS scored significantly higher marks than students who answered the quiz without any preparation, both in the initial quiz and the quiz 1 week later. There was however no significant difference for either quiz result between the VDASS groups of students and students who studied the written material. Conclusion: VDASS is effective for teaching people about drug abuse, but has not been demonstrated to be superior to paper-based learning. Although this may be because there is no actual difference in the 2 learning techniques, another possible explanation is that the study design was not appropriate to demonstrate the superiority of VDASS as a learning tool. The tool has the potential to reduce drug.abuse in night clubs, but this and any advantages it has a learning tool remain to be proven. â”¬âŒ The Journal on Information Technology in Healthcare 2006.</t>
  </si>
  <si>
    <t>(Li Y.-C.; Tsai W.-C.; Huang C.-Y.; Hu C.-M.; Wang C.-C.; Chen J.-L.; Hsu C.-Y., cyhsu@tmu.edu.tw); ID: 3124</t>
  </si>
  <si>
    <t>1479-649X 1479-649X (electronic)</t>
  </si>
  <si>
    <t>2006088956 PUI L43264284</t>
  </si>
  <si>
    <t>Lief,V. F.;Author,Addresses</t>
  </si>
  <si>
    <t>Problem drinkers on the psychiatric service of a municipal general hospital. their relevance to programs of education, training and research</t>
  </si>
  <si>
    <t>alcohol;alcohol derivative;alcoholism;education;general hospital;mental health service;aftercare;antisocial personality disorder;clinical psychology;community;community health nursing;community mental health;drinking;female;health program;hospital;hospital personnel;male;patient;patient care;physician;psychiatric treatment;psychiatry;public hospital;social environment;social problem;social work;society;sociology;stereotypy;teaching;United States</t>
  </si>
  <si>
    <t>Experiences were gathered in a community mental health program on problem drinking and in the psychiatric service of the Metropolitan Hospital in the East Harlem area of New York City. The staff members belong to the disciplines of psychiatry, sociology, clinical psychology, public health nursing and social work. A complete case history of all problem drinkers coming to their attention is taken in minute detail and discussed in stafi meetings. The program brought into perspective that there are still many gaps in the treatment of alcohoLs;cs, an important one being the lack of after-care. In the traditional municipal hospital the early stages of alcoholism are often missed, and when the patient approaches the stereotype of 'the alcoholic' the attitude of the hospital staff often still represents the old punitive moralistic view of alcoholism. If the patient is sufficiently deteriorated he will mostly be institutionalized. A 3-month survey of admissions to a 50-bed acute intensive psychiatric treatment unit in psychiatry showed that about 50% of the male and 33% of the female patients had been admitted for reasons directly or significantly related to alcohol Of the total, 14% were sent to state hospitals, but of the remaining 86% more than half were discharged with only medical advice. Some of the conclusions are: There is a need for new techniques in early detection. By the nature of general hospitals in our society they are inadequate to deal fully with alcoholism, as a social problem; a new kind of continuity of care for the alcohol patient is needed There is a need for new teaching methods to help in developing new attitudes among care giving agencies, hospitals, physicians and the community in understanding and treating alcoholism. Alcoholism is related to social pathology and must be seen within the context of the social environment. Bonnema Wezep (N, 2c, 17).</t>
  </si>
  <si>
    <t>(Lief V.F.); ID: 3970</t>
  </si>
  <si>
    <t>2007563277 PUI L287029353</t>
  </si>
  <si>
    <t>Liehr,P.;Marcus,M. T.;Carroll,D.;Granmayeh,L. K.;Cron,S. G.;Pennebaker,J. W.;Author,Addresses;Lynn,Christine E.;University,Boca Raton Florida U. S. A.;Correspondence,Address;Lynn College of Nursing Florida Atlantic University,P.Liehr, Christine E.;Boca Raton, Florida U S A Email pliehr,fau edu</t>
  </si>
  <si>
    <t>20408059; Linguistic analysis to assess the effect of a mindfulness intervention on self-change for adults in substance use recovery</t>
  </si>
  <si>
    <t>addiction (therapy);linguistics;meditation;self concept;adolescent;adult;anxiety;article;clinical trial;controlled clinical trial;controlled study;emotion;female;human;male;mental stress (therapy);methodology;phase 1 clinical trial;psychological aspect;psychotherapy;therapeutic community</t>
  </si>
  <si>
    <t>Substance use is a pervasive health problem. Therapeutic community (TC) is an established substance abuse treatment but TC environments are stressful and dropout rates are high. Mindfulness-based TC (MBTC) intervention was developed to address TC stress and support self-change that could impact treatment retention. Self-change was assessed through feeling and thinking word-use in written stories of stress from 140 TC residents in a historical control group and 253 TC residents in a MBTC intervention group. Data were collected 5 times over a 9-month period. Linguistic analysis showed no differences between the groups over time; however, over all time points, the MBTC intervention group used fewer negative emotion words than the TC control group. Also, negative emotion (P &lt; .01) and anxiety (P &lt; .01) word-use decreased whereas positive emotion word-use increased (P &lt; .05) over time in both groups. Descriptive data from linguistic analyses indicated that sustained self-change demands participation in mindfulness behaviors beyond the instructor-guided MBTC intervention.</t>
  </si>
  <si>
    <t>(Liehr P.) (Marcus M.T.; Carroll D.; Granmayeh L.K.; Cron S.G.; Pennebaker J.W.); ID: 2805</t>
  </si>
  <si>
    <t>http://www.ncbi.nlm.nih.gov/pubmed/20408059</t>
  </si>
  <si>
    <t>10.1080/08897071003641271 FULL TEXT LINK http://dx.doi.org/10.1080/08897071003641271</t>
  </si>
  <si>
    <t>Linguistic analysis to assess the effect of a mindfulness intervention on self-change for adults in substance use recovery</t>
  </si>
  <si>
    <t>Liese,B. S.;Reis,D. J.;Author,Addresses;Department of Psychology, University,of Kansas;Medical Center,United States;Department of,Family Medicine;Kansas,United States;Department of Psychology, University of Kansas,United States;Correspondence,Address;BS Liese, Department of Psychology University of Kansas,Medical Center;Mailstop,Rainbow Boulevard K.S.City United States Email;bliese@ku.edu</t>
  </si>
  <si>
    <t>27631864; Failing to diagnose and failing to treat an addicted client: Two potentially life-threatening clinical errors</t>
  </si>
  <si>
    <t>Psychotherapy</t>
  </si>
  <si>
    <t>addiction (diagnosis, therapy);diagnostic error;medical error;treatment failure;anxiety;article;attitude;clinical effectiveness;depression;Diagnostic and Statistical Manual of Mental Disorders;human;prevalence;psychotherapist;psychotherapy;screening;Public Health, Social Medicine and Epidemiology (17);Psychiatry (32)</t>
  </si>
  <si>
    <t>Psychotherapists risk making 2 types of errors with clients who struggle with addictive behaviors: failure to diagnose addictive behaviors and failure to effectively treat addictive behaviors. Given the high prevalence of addictive behaviors in clinical populations, therapists are in a unique position to assist individuals with these problems. It is assumed that therapists possess general diagnostic and treatment skills and yet many do not diagnose or do not treat addictive behaviors. Reasons for making these errors include prohibitive beliefs and limited knowledge about addictive behaviors. We offer specific recommendations to reduce these psychotherapy errors. These include: (a) more deliberate screening and diagnosis of addictive behaviors, (b) increased application of empirically supported addiction treatments, (c) required education and training in addictive behaviors, (d) modification of prohibitive attitudes about addressing addictive behaviors, and (e) increased attention paid to the addictive behaviors by professional psychotherapy organizations.</t>
  </si>
  <si>
    <t>(Liese B.S., bliese@ku.edu) (Reis D.J.) American Psychological Association Inc., journals@apa.org; ID: 1916</t>
  </si>
  <si>
    <t>1939-1536 (electronic) 0033-3204</t>
  </si>
  <si>
    <t>http://www.ncbi.nlm.nih.gov/pubmed/27631864</t>
  </si>
  <si>
    <t>10.1037/pst0000068 FULL TEXT LINK http://dx.doi.org/10.1037/pst0000068</t>
  </si>
  <si>
    <t>Failing to diagnose and failing to treat an addicted client: Two potentially life-threatening clinical errors</t>
  </si>
  <si>
    <t>Lightfoot,M.;Morgan-Jackson,J.;Pollack,L.;Author,Addresses;Medicine,University of;California,San Francisco United States;Correspondence,Address;Lightfoot, Medicine University of California San Francisco United,M.;States</t>
  </si>
  <si>
    <t>Substance use and risk profiles of adolescent medical patients</t>
  </si>
  <si>
    <t>e179</t>
  </si>
  <si>
    <t>e180</t>
  </si>
  <si>
    <t>alcohol;cannabis;adolescent;college;drug dependence;human;patient;risk;substance use;adolescent health;African American;Chlamydia;condom;condom use;diagnosis;female;health care system;health center;high risk behavior;Hispanic;hospital;Human immunodeficiency virus;lifespan;medicine;pregnancy;screening;sexual behavior;sexual intercourse</t>
  </si>
  <si>
    <t>Aims: Many adolescents with asymptomatic HIV/STI or STI related symptoms do not seek treatment services and those who do access the health care system may not be screened for HIV. Further, adolescent medicine clinics have low rates of substance use screening and referral. This study examines the risk profiles of patients attending an adolescent health clinic located in a predominately African American and Latino neighborhood and how substance use interacts with sexual risk behavior. Methods: An electronic intake is completed by every new patient and patient not seen at the clinic in the previous 12 months. Clinic intake data from new and returning patients (N= 250) was analyzed. Patients reported lifetime and recent sexual behavior, condom use, pregnancy, STI diagnosis, and substance use. Results: In the prior 3 months, substance use was high (59% alcohol, 57% marijuana, 34% other substances), as was sexual risk behavior (89% vaginal sex, 25% anal sex, 61% no condom at last intercourse, 20% never use a condom, 21% Chlamydia). Patients who report substance use are more likely to report sexual activity. Patients who report an STI are also more likely to report substance use, with the relationship between marijuana and STI diagnosis being significant (p = 0.015). Patients reporting substance use were also less likely to be consistent condom users. Conclusions: This study suggests that adolescents self-referring to an adolescent health clinic are likely to engage in multiple risk behaviors and involvement in sexual risky behavior is related to substance use. Therefore, there is a significant need for medical providers to screen adolescents for both sexual risk behaviors and substance use, which provides an opportunity for comprehensive care.</t>
  </si>
  <si>
    <t>(Lightfoot M.; Morgan-Jackson J.; Pollack L.) 2014 Annual Meeting of the College on Problems of Drug Dependence San Juan, Puerto Rico 2014-06-14 to 2014-06-19 Elsevier Ireland Ltd; ID: 2157</t>
  </si>
  <si>
    <t>10.1016/j.drugalcdep.2014.09.404 FULL TEXT LINK http://dx.doi.org/10.1016/j.drugalcdep.2014.09.404</t>
  </si>
  <si>
    <t>Lim,R.;Author,Addresses;Department,of Family;University of Calgary, Addiction Centre Foothills Adult,Program Foothills;Medical Centre, th Fl North Tower Street,N.W.Calgary Canada;Correspondence,Address;Lim, Department of Family Medicine University of Calgary Addiction,R.;Centre Foothills Adult Program, Foothills Medical Centre th,Fl North;Tower,Street N. W. Calgary Canada</t>
  </si>
  <si>
    <t>Addiction medicine and addiction psychiatry in Calgary, Alberta</t>
  </si>
  <si>
    <t>addiction medicine;addiction psychiatry;behavioral medicine;psychiatry;article;Canada;certification;curriculum development;education program;general practitioner;human;postgraduate education;professional development;Public Health, Social Medicine and Epidemiology (17)</t>
  </si>
  <si>
    <t>Addiction is a common chronic brain disease that affects a significant proportion of the North American population. Addiction is not only confined to the use of substances but also extends to behaviors such as gambling. Many addicted individuals suffer concurrent disorders with chronic pain and other psychiatric issues. This has resulted in significant harms and cost to individuals and society. Despite the high prevalence of addiction, physician training in this field of medicine remains fragmented and lacking. This article outlines the post graduate training opportunities to enhance skills in Addiction Medicine and Addiction Psychiatry that currently exist in Calgary.</t>
  </si>
  <si>
    <t>(Lim R., ron.lim@albertahealthservices.ca) Canadian Society of Addiction Medicine, admin@csam.org; ID: 2274</t>
  </si>
  <si>
    <t>2014843979 PUI L600232965</t>
  </si>
  <si>
    <t>Lina,M.;Pozzi,P.;Brunelli,C.;Pierotti,M. A.;Boffi,R.;Author,Addresses;Correspondence,Address;Lina,M.</t>
  </si>
  <si>
    <t>Physicians' smoking habit, training and attitude toward cancer patient smoking cessation: The Istituto Nazionale dei Tumori experience</t>
  </si>
  <si>
    <t>cancer patient;European;human;physician;smoking cessation;smoking habit;society;cancer center;fear;health care personnel;motivation;neoplasm;patient;policy;prevalence;skill;smoking;tobacco</t>
  </si>
  <si>
    <t>Backgrounds and aim: Guidelines recommend all physicians to ask patients (Pts) about their smoking status and to offer cessation advice (SC). Aim of the study was to examine the smoking habit of medical doctors (MDs) at the Milan Istituto Nazionale dei Tumori (INT), to relate this to their level of training and to their attitudes in suggesting patients to quit smoking. Materials and methods: All MDs of the INT (n=285) were mailed a web-based survey. Results: Fourteen percent of MDs were current smokers; only 23% of all clinicians received a training proposal in SC, 6% attended a SC course, even if 43% declared their willingness to do it. 86% of them asked Pts about smoking status, but only 50% advised Pts to quit and 32% assessed their motivation to do it. Guidelines were disregarded because of lack of time, fear to increase patients' stress or lack of skills in SC. Smoking habits didn't influence training attendance, willingness to be trained in SC or Pts referral to Tobacco Control Unit. Conclusion: Smoking prevalence among INT MDs was still too high for healthcare practitioners and a low proportion of them was ever involved in a SC traing session; however, smoking status doesn't appear to influence MDs' choice of training rather than the eventual referral of cancer smoker Pts to the dedicated Unit. Surveys like this should encourage cancer centers to make SC as part of their core mission and to implement SC training in their institutional policies.</t>
  </si>
  <si>
    <t>(Lina M.; Pozzi P.; Brunelli C.; Pierotti M.A.; Boffi R.) European Respiratory Society Annual Congress 2012 Vienna, Austria 2012-09-01 to 2012-09-05 European Respiratory Society; ID: 2515</t>
  </si>
  <si>
    <t>Lineberger,C. K.;Author,Addresses;Duke University, Durham N. C.;Department,of Anesthesiology;University,Durham N. C.;Correspondence,Address;C.,C.K.Lineberger, Department of Anesthesiology Duke University Durham N.;Email,lineb mc duke edu</t>
  </si>
  <si>
    <t>18849741; Impairment in Anesthesiology: Awareness and Education</t>
  </si>
  <si>
    <t>International anesthesiology clinics</t>
  </si>
  <si>
    <t>Int.Anesthesiol.Clin.</t>
  </si>
  <si>
    <t>opiate (drug toxicity);propofol (drug toxicity);sevoflurane (drug toxicity);addiction (disease management);anesthesiology;awareness;intellectual impairment (disease management);medical education;aftercare;article;convalescence;health care policy;human;medical practice;medical specialist;medical student;mental disease;occupational hazard;priority journal;professional secrecy;professionalism;residency education;opiate (53663-61-9, 8002-76-4, 8008-60-4);propofol (2078-54-8);sevoflurane (28523-86-6);Public Health, Social Medicine and Epidemiology (17);Anesthesiology (24);Psychiatry (32);Drug Literature Index (37);Drug Dependence, Alcohol Abuse and Alcoholism (40)</t>
  </si>
  <si>
    <t>(Lineberger C.K., lineb001@mc.duke.edu) Lippincott Williams and Wilkins, 530 Walnut Street,P O Box 327, Philadelphia, United States.; ID: 2963</t>
  </si>
  <si>
    <t>0020-5907</t>
  </si>
  <si>
    <t>http://www.ncbi.nlm.nih.gov/pubmed/18849741</t>
  </si>
  <si>
    <t>10.1097/AIA.0b013e3181773baa FULL TEXT LINK http://dx.doi.org/10.1097/AIA.0b013e3181773baa</t>
  </si>
  <si>
    <t>Impairment in Anesthesiology: Awareness and Education</t>
  </si>
  <si>
    <t>Loginov,I.;Solodkaia,E.;Savin,S.;Jian,H.;Author,Addresses;Department of,Psychiatry;Narcology,Far;Eastern State Medical University, Khabarovsk,Russian Federation;Department of Narcology, Computer Center,of F.;Russian,Federation;Department of Psychiatry, Harbin Medical University,China Harbin;China;Correspondence,Address;Loginov,Department of Psychiatry,I.;Narcology,Far Eastern State;Medical University,Khabarovsk,Russian Federation</t>
  </si>
  <si>
    <t>Transcultural research of suicidal behavior in adolescents from far East of Russia and northern China</t>
  </si>
  <si>
    <t>adolescent;China;European;Far East;human;psychiatry;Russian Federation;suicidal behavior;alcoholism;anxiety;anxiety disorder;drug dependence;drug use;education;employment;epidemiological data;family conflict;family history;groups by age;loneliness;prevention;Russian (citizen);social security;student;suicide;university</t>
  </si>
  <si>
    <t>INTRODUCTION: According to current epidemiological data the peak of suicides because of depressions is in the age group of 15 to 25 years old. OBJECTIVES: To identify the clinical particular qualities of depressions, in adolescents living in culturally different countries such as Russia and China. To identify the factors that shape depression and suicidal behavior in adolescents for further development of optimal methods of prevention. MATERIAL AND METHODS: We have examined 38 Chinese students, who are studying at Harbin Medical University and the same group, who are studying at Far Eastern State Medical University. Their mean age was 19,5 â”¬â–’ 1,7 years. Our research was conducted by the Russian-Chinese agreement on scientific and technical cooperation. We used psychological and psychopathological research methods. RESULTS: The Russian group 14% had a tendency to suicidal behavior, 6% of them thought about the possibility of suicide. The main cause of suicidal behavior in adolescents is interpersonal factor (break with a partner, family conflicts), then social and economic factors (alcoholism, drug addiction, conflicts related to education and career, anxiety disorders and depression). In the Chinese group 25% had a tendency to suicidal behavior, 14% thought about the possibility of suicide. First factor shaping suicidal behavior is social and then economic factor (difficulty entering at university and employment, low social security), followed by interpersonal factor (break with a partner), psychopathological family history, depression, high anxiety, alcoholism, drug use, loneliness. CONCLUSION: Students of both nationalities need active psychotherapeutic assistance.</t>
  </si>
  <si>
    <t>(Loginov I.; Solodkaia E.) (Savin S.) (Jian H.) 23rd European Congress of Psychiatry, EPA 2015 Vienna, Austria 2015-03-28 to 2015-03-31 Elsevier Masson SAS; ID: 2122</t>
  </si>
  <si>
    <t>Lopez,C.;Young,M.;Krzyzanowski,S.;Kim,K.;Buffington,C.;Author,Addresses;Florida;Hospital Celebration Health, Celebration,United States;Correspondence,Address;Lopez, Florida Hospital Celebration Health Celebration United States,C.</t>
  </si>
  <si>
    <t>Pathways to address early weight regain</t>
  </si>
  <si>
    <t>Surgery for Obesity and Related Diseases</t>
  </si>
  <si>
    <t>S41</t>
  </si>
  <si>
    <t>S42</t>
  </si>
  <si>
    <t>vitamin;adult;body mass;body size;body weight gain;body weight loss;comorbidity;controlled study;counseling;dietitian;education;female;follow up;food addiction;gender;human;incidence;lifestyle;liquid;major clinical study;male;middle aged;monitoring;multiple regression;patient referral;physical activity;relapse;Roux-en-Y gastric bypass;sleeve gastrectomy;surgeon;surgery</t>
  </si>
  <si>
    <t>Background: Long-term (10 year) follow-up of Roux-en-Y gastric bypass (RYGB) patients find that a regain of 20 to 25% of initial weight loss is not uncommon. However, we have observed among our bariatric population that some individuals begin to regain weight as early as one to two years post-surgery. Such early weight regain, if not addressed, may contribute over time to failed weight loss success and a recurrence of associated co-morbidities. In this report, we have: 1) determined the incidence of early weight regain following bariatric surgery, 2) attempted to identify possible predictors, and 3) discussed pathways for early weight regain intervention. Methods: The study population included 404 bariatric patients (330 totally robotic RYGB and 74 sleeve gastrectomy; SG) with postoperative follow-up for 24 months or greater. Preoperative BMI of patients averaged 47.0â”¬â–’7.5 (SD), mean weight was 290.8â”¬â–’56.7 (132.2 kg), and mean age was 51.6â”¬â–’12.8. Among the population, 76% were females and 24% males. Total percentage weight loss for the study population averaged, 34.1% at year one, and 34.2% at year two. Individuals who regained &gt;5% of their first year weight loss from postoperative years 1 to 2 were grouped as weight 'regainers'. Those who lost &gt;5% of their initial weight loss were grouped as weight 'losers', and individuals whose weight remained stable (5% of their initial weight loss (regainers), with 21% of patients having regained â”¬â–’10%, for an overall increase of 15.4% (13.3 lbs; 6.0 kg). Both the proportion of patients who experienced early weight regain and the extent of weight gained were greater following SG than RYGB (% population early weight gainers= 55.4% of SG population vs. 33.3% RYGB, and weight regained= 18.5% vs. 14.2%, respectively). For all bariatric patients and each surgical procedure, there were no significant differences (p40.050) between weight gainers vs. losers with regard to gender, age, initial BMI or initial weight loss; and, according to multiple regression analyses, none of these measures were significant predictors of weight gain. Based upon the relatively high incidence of early weight regain following surgery, we established pathways to address the issue. These now include: 1) education regarding the risk for early weight regain, the need for frequent monitoring, and potential causes for weight regain, 2) the development of 'Back on Track' classes provided by our bariatric dietitians to review food choices, vitamin needs, adequate protein, fluid, and physical activity, 3) behavioral classes and counseling to address emotional stressors, food addictions, 4) referral to our intensive multidisciplinary lifestyle program, 5) medical management, and 6) surgeon consultation and testing for surgery-related technical issues. Conclusions: Following the first postoperative year, more than 1/3 of bariatric patients experience early weight regain. Neither the magnitude of weight loss over the first year nor patient age, gender or initial body size are predictors of this early regain of surgery-induced weight loss. As early weight regain may be detrimental to long-term weight loss success and health, it is important to continue efforts to identify individuals at risk and provide early and appropriate intervention including education, nutritional and multidisciplinary classes, intensive lifestyle programs, medical management and surgical revision.</t>
  </si>
  <si>
    <t>(Lopez C.; Young M.; Krzyzanowski S.; Kim K.; Buffington C.) 33rd American Society for Metabolic Surgery Annual Meeting, ASMBS 2016 New Orleans, LA, United States 2016-10-31 to 2016-11-04 Elsevier Inc.; ID: 1922</t>
  </si>
  <si>
    <t>1878-7533</t>
  </si>
  <si>
    <t>Loseva,T. M.;Tiganov,A. S.;Author,Addresses;Correspondence,Address;Loseva,T. M.</t>
  </si>
  <si>
    <t>1666213; The pace of the certification of scientific personnel with higher qualifications in the specialties of psychiatry, drug abuse and medical psychology (based on data from the Supreme Certification Commission of the USSR for 1989) ORIGINAL (NON-ENGLISH) TITLE O khode attestatsii nauchnykh kadrov vysshei kvalifikatsii po spetsial'nostiam "Psikhiatriia", "Narkologiia" i "Meditsinskaia psikhologiia" (po materialam VAK SSSR za 1989 g.)</t>
  </si>
  <si>
    <t>(1991) 91</t>
  </si>
  <si>
    <t>addiction;certification;medical psychology;medicine;psychiatry;article;human;scientific literature;statistics;USSR</t>
  </si>
  <si>
    <t>(Loseva T.M.; Tiganov A.S.); ID: 3642</t>
  </si>
  <si>
    <t>http://www.ncbi.nlm.nih.gov/pubmed/1666213</t>
  </si>
  <si>
    <t>The pace of the certification of scientific personnel with higher qualifications in the specialties of psychiatry, drug abuse and medical psychology (based on data from the Supreme Certification Commission of the USSR for 1989) ORIGINAL (NON-ENG(TRUNCATED)</t>
  </si>
  <si>
    <t>Love,L.;McLean,F.;Author,Addresses;Kaweah Delta,Healthcare District;Tulare County,Mental Health;Correspondence,Address;Love, Kaweah Delta Healthcare District United States,L.</t>
  </si>
  <si>
    <t>The impact of psychiatry residents in an outpatient substance abuse program</t>
  </si>
  <si>
    <t>clinical study;outpatient care;psychiatry;residency education;substance abuse;addiction;cognitive behavioral therapy;controlled study;human;motivational interviewing;rotation</t>
  </si>
  <si>
    <t>Background: Community outpatient substance abuse programs have low graduation rates (approx. 15-20%) in comparison to inpatient substance abuse programs nationally (approx. 70-80%). Does having psychiatry residents who complete a 4 week rotation change the graduation rate of the outpatient substance abuse program? Methods: Compare the graduation rates of all patients evaluated by psychiatry residents and the graduations rates of an equal number of patients not evaluated by psychiatry residents during the same 12-month period at the community outpatient substance abuse program. Determine if the number of visits with psychiatry residents have an impact on the graduation rates. This substance abuse program is comprised of 14 individual meetings, 14 group meetings and 56 12-step meetings which must be completed in a 3 month period. Results: A full year of data will be completed at the end of May 2016. The analysis and comparison will be completed shortly after this date. Conclusions: Evaluating the impact of a nascent psychiatry residency in the local community and how adding 4-week Addiction Psychiatry rotation can influence the graduation rates. Consider devising interventions improving psychiatry residency training in providing therapy for these outpatient services such as motivational interviewing training, contingency management and/or other cognitive behavioral therapies. Summary: Determining if an evaluation by a psychiatry resident increases the graduation rates for outpatient substance abuse programs. The implication would be determined by the results. Are the psychiatry residents providing a valuable service to the community? Or is additional training needed to provide an added value to the rotation and the community? This would additionally impact the psychiatry residency by improving therapy education to psychiatry residents prior to the addiction rotation.</t>
  </si>
  <si>
    <t>(Love L.) (McLean F.) 27th Annual Meeting and Symposium of the American Academy of Addiction Psychiatry, AAAP 2017 Bonita Springs, FL, United States 2016-12-08 to 2016-12-11 Wiley Blackwell; ID: 1804</t>
  </si>
  <si>
    <t>Lu,C.;Guo,L.;Zhang,W. H.;Author,Addresses;Department of,Medical Statistics;Epidemiology,School of Public Health Sun Yat-sen University Guangzhou;China;Biostatistics;Clinical Research Centre, School,of Public;Health,Universitâ”œâŒ Libre De Bruxelles Belgium;Correspondence,Address;Lu, Department of Medical Statistics,C.;Epidemiology,School of Public;Health,Sun Yat-sen University Guangzhou China Email qq com</t>
  </si>
  <si>
    <t>Cigarette smoking and non-medical use of new type of drugs associated with family, school, and psychosocial factors among Chinese adolescents</t>
  </si>
  <si>
    <t>adolescent;epidemiology;European;human;school;smoking;social psychology;boy;China;city;cross-sectional study;diseases;drug use;female;girl;logistic regression analysis;male;onset age;prevalence;public health problem;questionnaire;risk;sibling;smoke;student;victim</t>
  </si>
  <si>
    <t>Objective: To investigate the prevalence of cigarette smoking and non-medical use of new type of drugs among Chinese adolescents, to explore their common predictors and connections among family, school, and psychosocial domains. Method: A national cross-sectional study was involved in a total of 105,752 students in grades 7th-12th sampled from schools in eighteen cities of China. An anonymous self-administered questionnaire was used to survey main variables for interest included family factors, school factors, and psychosocial adjustment. Multilevel logistic regression analyses were used to explore potentially influential factors. Results: Of the 105,752 participants, 48,906 were boys: a total of 49.1 % were from grade 7th to grade 9th. The mean onset age of smoking is 13.16 (SD 4.84) years old. The adjusted prevalence of heavy smoking, problem drug use, and drug use disorder was 2.12 %, 0.52 and 0.24 %, respectively: there was a uniformly higher prevalence of mild use than use-related problems or disorders. Boys were 4.78 times more likely to smoke heavily than girls, and the mean onset age of boys is earlier than girls. Having 1-2 siblings was the protective predictor for heavy smoking: being a school bully or victim were both risk predictors for using most substances. It is rather remarkable that mostly negative family, school and psychosocial factors were associated with cigarette smoking and drug use. Conclusion: This study indicates that cigarette smoking and new type of drugs use among Chinese adolescents is a major public health problem nationwide, and a well-established surveillance is needed in China.</t>
  </si>
  <si>
    <t>(Lu C., 260004774@qq.com; Guo L.) (Zhang W.-H.) (ULB) 8th European Congress of Epidemiology Maastricht, Netherlands 2015-06-25 to 2015-06-27 Springer Netherlands; ID: 2083</t>
  </si>
  <si>
    <t>10.1007/s10654-015-0072-z FULL TEXT LINK http://dx.doi.org/10.1007/s10654-015-0072-z</t>
  </si>
  <si>
    <t>Lubarda,J.;Hughes,S.;Chatterjee,P.;Author,Addresses;Correspondence,Address;Lubarda,J.</t>
  </si>
  <si>
    <t>Opioid induced constipation: Can medical education improve knowledge and competence of physicians?</t>
  </si>
  <si>
    <t>S846</t>
  </si>
  <si>
    <t>(MAJOR FOCUS);opiate;laxative;competence;constipation;gastrointestinal disease;human;medical education;physician;adverse drug reaction;education;general practitioner;intestine function;neurologist;pathophysiology;patient;patient assessment;quality of life;risk;skill;statistical significance;Student t test;therapy</t>
  </si>
  <si>
    <t>Objectives: Opioid induced constipation (OIC) is a common adverse effect of opiates, affecting 35% to 70% of patients, and significantly impacting quality of life. Due to the extensive burden of OIC, physicians require guidance on patient assessment and education on pathophysiology and treatment options. This study assessed whether online continuing medical education (CME) in a 5000-word interactive review article format can impact knowledge/competence of primary care physicians (PCPs) and neurologists managing OIC. Methods: An online survey was used to assess the educational effect of the CME program focused on OIC management, by comparing each participant's responses to 4 identical preand post-CME assessment questions. A paired 2-tailed t-test was used to assess whether the mean post-assessment score was different from the mean pre-assessment score. McNemar's chi-squared statistic was used to determine statistical significance. The effect of education was calculated using Cramer's V to determine the change in proportion of participants who answered questions correctly from pre- to post- assessment. Survey data were collected from July 31 to September 16, 2015. Results: Data were collected for 906 PCPs and 59 neurologists who participated in the CME activity and answered all pre- and post-assessment questions during the study period. PCPs demonstrated statistically significant improvements in knowledge/ competence (n=906; P&lt;.05; V=0.24; medium educational effect). While only 11% answered 3 or more questions correctly on pre-CME assessment, this improved to 48% on post-CME assessment. Neurologists demonstrated statistically significant improvements in knowledge/competence (n=59; P&lt;.05; V=0.21; medium educational effect). While only 12% of neurologists answered 3 or more questions correctly on pre-CME assessment, this improved to 46% post-CME assessment. The greatest improvements occurred in physicians' ability to recognize that risk of OIC can be lowered with the addition of a stimulant laxative and stool softener (35% increase in PCP learners and 25% increase in neurologist learners, P&lt;.05), ability to select the Bowel Function Index (BFI) for evaluating patients at risk of OIC (33% increase in PCP learners and 42% increase in neurologist learners, P&lt;.05), and understanding of mechanisms of emerging therapies for OIC (29% increase in PCP learners and 25% increase in neurologist learners, P&lt;.05). Conclusions: The high risk and subsequent burden of OIC necessitates that physicians stay up to date on preventative measures, assessment, and selection of pharmacologic agents. CME in the form of an interactive review article on OIC led to improvements in clinically-relevant knowledge/competence of PCPs and neurologists managing OIC, and may provide a suitable venue for maintaining essential skills for detection and management of OIC.</t>
  </si>
  <si>
    <t>(Lubarda J.; Hughes S.; Chatterjee P.) Digestive Disease Week 2016, DDW 2016 San Diego, CA, United States 2016-05-21 to 2016-05-24 W.B. Saunders; ID: 1966</t>
  </si>
  <si>
    <t>Luchmann,A.;Author,Addresses;Sanat,L. V. A. R.;Salzig;Correspondence,Address;Sanat,L. V. A. R.</t>
  </si>
  <si>
    <t>Alcohol and the liver: an attempt to consider the topic in medical sociological terms ORIGINAL (NON-ENGLISH) TITLE VERSUCH EINER SOZIALMEDIZINISCHEN BETRACHTUNG ZUM THEMA ALKOHOL UND LEBER</t>
  </si>
  <si>
    <t>Arbeitsmedizin Sozialmedizin Praventivmedizin</t>
  </si>
  <si>
    <t>alcoholism;gastrointestinal disease;health education;hospital;liver disease;diagnosis;intoxication;methodology;therapy;Public Health, Social Medicine and Epidemiology (17);Clinical and Experimental Pharmacology (30);Psychiatry (32);Gastroenterology (48);Internal Medicine (6)</t>
  </si>
  <si>
    <t>(Luchmann A.); ID: 3904</t>
  </si>
  <si>
    <t>0300-581X</t>
  </si>
  <si>
    <t>1976112935 PUI L6112874</t>
  </si>
  <si>
    <t>Lund,I. O.;Sundin,E.;Konijnenberg,C.;Rognmo,K.;Martinez,P.;Fielder,A.;Author,Addresses;Department,of Alcohol;Tobacco;Research,Norwegian Institute of Public Health Oslo Norway;Swedish Council for,Information on;Other,Drugs;Sweden,Stockholm;Cognitive Developmental,Research Unit;Psychology,University of Oslo Oslo Norway;Department of Psychology, University,of Troms;University,of Norway;Alcohol Research Group, University of,California Berkeley;United,States;Division of Health Sciences, School,of Pharmacy;Medical;Sciences,University of South Australia Adelaide Australia;Correspondence,Address;IO Lund, Department of,Alcohol Drug;Tobacco Research,Norwegian;Institute of Public Health, Oslo Norway Email lngunnOlea Lund,fhi no</t>
  </si>
  <si>
    <t>Harm to Others from Substance use and Abuse</t>
  </si>
  <si>
    <t>Substance Abuse: Research and Treatment</t>
  </si>
  <si>
    <t>9s2</t>
  </si>
  <si>
    <t>medical education;substance abuse;substance use;alcohol consumption;cohort analysis;crime;cross-sectional study;editorial;health care cost;health survey;human;low birth weight;neonatal abstinence syndrome;population research;premature labor;prenatal period;risk factor;United States;violence;Public Health, Social Medicine and Epidemiology (17)</t>
  </si>
  <si>
    <t>(Lund I.O., lngunnOlea.Lund@fhi.no) (Sundin E.) (CAN) (Konijnenberg C.) (Rognmo K.) (Martinez P.) (Fielder A.) SAGE Publications Ltd, info@sagepub.co.uk; ID: 2152</t>
  </si>
  <si>
    <t>1178-2218 (electronic)</t>
  </si>
  <si>
    <t>20170720808 PUI L618685615</t>
  </si>
  <si>
    <t>10.4137/SART.S39722 FULL TEXT LINK http://dx.doi.org/10.4137/SART.S39722</t>
  </si>
  <si>
    <t>Lynch,G. W.;Author,Addresses;Correspondence,Address;Lynch,G. W.</t>
  </si>
  <si>
    <t>13931923; Smoking habits of medical and non-medical university staff. Changes since R.C.P. report</t>
  </si>
  <si>
    <t>health education;smoking;article</t>
  </si>
  <si>
    <t>(Lynch G.W.); ID: 3976</t>
  </si>
  <si>
    <t>http://www.ncbi.nlm.nih.gov/pubmed/13931923</t>
  </si>
  <si>
    <t>Smoking habits of medical and non-medical university staff. Changes since R.C.P. report</t>
  </si>
  <si>
    <t>Lynch,M.;Korenoski,A.;Author,Addresses;Pittsburgh,Poison Center;States;Correspondence,Address;Lynch, Pittsburgh Poison Center United States Email lyncmj upmc edu,M.</t>
  </si>
  <si>
    <t>Substance use treatment and referral: Novel use of poison center services</t>
  </si>
  <si>
    <t>4 aminobutyric acid receptor stimulating agent;alcohol;gabapentin;naloxone;omeprazole;opiate;drug dependence;patient referral;poison center;adult;awareness;clinical article;clinical trial;comorbidity;doctor patient relation;documentation;drug therapy;drug toxicity;drug withdrawal;education;emergency ward;follow up;human;hypoxemia;information processing;male;motivation;outpatient;prescription;side effect;toxicity;withdrawal syndrome;alcohol (64-17-5);gabapentin (60142-96-3);naloxone (357-08-4, 465-65-6);omeprazole (73590-58-6, 95510-70-6);opiate (53663-61-9, 8002-76-4, 8008-60-4)</t>
  </si>
  <si>
    <t>Background: In 2014, 20.2 million Americans suffered from substance use disorders. The number of annual unintentional overdose deaths continues to rise including more than 52,000 in 2015. The causes of this alarming trend are multifactorial, demanding innovative and coordinated responses. Poison centers are ideally suited to respond with preventive education, immediate treatment recommendations, as well as data collection and analysis. Traditionally, poison centers have not participated in recovery treatment and referral. Evidence suggests that intervention including referral to appropriate treatment resources can improve engagement in substance use treatment. The objective of this study is to demonstrate proof of concept that poison centers can provide substance use disorder treatment and referral in addition to traditional poison center activities. Methods: Poison center staff were trained in the brief evaluation of patients with substance use disorders for identification of potentially life-threatening withdrawal syndromes that would necessitate inpatient treatment. Decision algorithms based on classes of substances, presenting symptoms, and location (hospital, ED, physician office, home) were developed. Substances include opioids and GABA agonists. Callers from home were referred to an ED or provided outpatient referral resources based on need, assistance in locating naloxone in the case of opioids, and referred to their County based drug and alcohol agency. Healthcare provider callers were assisted in the evaluation of patients' toxicity and potential withdrawal, provided, by fax, treatment recommendations including pre-completed prescriptions for symptom-based opioid withdrawal medications and naloxone, discharge instructions discussing substance use disorders and follow up, and a list of treatment facilities in the patient's home county. All patients were contacted on days 1 and 7 following the initial call to provide motivation and assess engagement. With consent, patients from the center's home county had their information provided directly to the county drug and alcohol office to facilitate follow up and engagement. Results: In the first 5 months of availability, 19 callers from five counties contacted the center specifically for enrollment in this program. Ten were men and callers ranged in age from 18 to 60. Public callers accounted for 6/19 (32%) calls while 13 calls originated from hospital Emergency Departments (EDs). Eighteen calls were related to opioids (12/18 heroin, 6/18 prescription opioids), while another was due to gabapentin misuse and symptomatic withdrawal. Of the 19 patients, two were admitted to the hospital. One patient was admitted due to hypoxemia as a result of drug toxicity and one was admitted because of complicating medical comorbidities. Three callers were reached on both days 1 and 7. All three indicated that they had not used since discharge and were engaged in treatment. The remaining patients either refused follow up, did not answer or had non-working numbers. Conclusions: Poison centers can expand their roles to include the treatment of patients with substance use disorders and withdrawal, referral to treatment, and follow up engagement. Critical opportunities to optimize such service include coordinating with existing programs, enhanced program awareness through public and provider education, and accurate documentation of patient phone numbers particularly when provided by a third party.</t>
  </si>
  <si>
    <t>(Lynch M., lyncmj@upmc.edu; Korenoski A.) 2017 Annual Meeting of the North American Congress of Clinical Toxicology, NACCT 2017 Vancouver, BC, Canada 2017-10-11 to 2017-10-15 Taylor and Francis Ltd; ID: 1885</t>
  </si>
  <si>
    <t>1556-3650</t>
  </si>
  <si>
    <t>10.1080/15563650.2017.1348043 FULL TEXT LINK http://dx.doi.org/10.1080/15563650.2017.1348043</t>
  </si>
  <si>
    <t>Lynch,M. J.;George,T. P.;Author,Addresses;University,of Toronto;Correspondence,Address;M-J Lynch, University of,Toronto Canada</t>
  </si>
  <si>
    <t>Therapeutic mechanisms underlying the effects of alcoholics anonymous: Results of a systematic literature review</t>
  </si>
  <si>
    <t>alcohol;addiction;alcoholics anonymous;psychiatry;abstinence;alcoholism;cognition;cognitive therapy;group therapy;human;patient;psychotherapy;PsycINFO;risk;self care;self concept;self disclosure;systematic review;teaching;therapy effect</t>
  </si>
  <si>
    <t>Background: There has been growing evidence to support the efficacy of Alcoholics Anonymous (AA) in assisting individuals with alcohol dependence achieve abstinence. The present study reviewed our understanding of psychological mechanisms underlying the therapeutic effects of AA. Methods: A MEDLINE and PsycINFO search (1996-May, 2012) was conducted for articles examining links between AA and various psychotherapy theories and modalities, including psychodynamic theory, attachment theory, interpersonal group therapy and cognitive behavioral therapy. This systematic review was conducted by the first author, who identified 17 peer-reviewed studies. Results: Psychodynamic factors which may underlie AA's effectiveness include assistance with addressing and correcting affective deficits, narcissistic defenses and self-care deficits. Studies have also demonstrated that AA participation is negatively correlated with insecure attachment ratings, and that having a sponsor was associated with increased rates of abstinence. Group therapy and AA were found to share important features such as self-disclosure, interpersonal repair and self-discovery. AA cognitions that correlated with increased abstinence included commitment to abstinence and AA, the intention to avoid high-risk situations, increases in self-efficacy and decreases in positive alcohol expectancies. Conclusions: There appear to be multiple common mechanisms of action shared by AA and various psychotherapies. This conceptualization can be used as a framework to assist in adapting standard psychotherapy practices for patients with alcohol use disorders, and used in the teaching of psychotherapy for addictions to psychiatric residents.</t>
  </si>
  <si>
    <t>(Lynch M.-J.; George T.P.) 23rd Annual Meeting and Symposium of the American Academy of Addiction Psychiatry, AAAP 2012 Aventura, FL, United States 2012-12-06 to 2012-12-09 Wiley-Blackwell Publishing Ltd; ID: 2409</t>
  </si>
  <si>
    <t>10.1111/j.1521-0391.2013.12069.x FULL TEXT LINK http://dx.doi.org/10.1111/j.1521-0391.2013.12069.x</t>
  </si>
  <si>
    <t>Lynch,W. D.;Teitelbaum,H. S.;Main,D. S.;Author,Addresses;University,of Colorado;Sciences Center, Center for Studies in Family Medicine,Clermont St;Denver,C. O.;Correspondence,Address;University of Colorado Health Sciences Center, Center for Studies,in Family;Medicine,Clermont St Denver C. O.</t>
  </si>
  <si>
    <t>10148686; The inadequacy of using means to compare medical costs of smokers and nonsmokers</t>
  </si>
  <si>
    <t>cost control;health care cost;health promotion;risk assessment;smoking;adolescent;adult;aged;article;controlled study;human;male;Public Health, Social Medicine and Epidemiology (17)</t>
  </si>
  <si>
    <t>The costs associated with health risks have become a primary focus in the field of health promotion. Unfortunately, the nature and quality of medical cost data are not ideal for simple comparisons of health risk groups. Most health promotion professionals have had little or no training on how to interpret cost data and are thus unaware of the limitations and problems inherent in cost comparisons. This report illustrates the problems encountered when using cost data, using examples from a medical claims dataset. Specifically, the potential errors that result from comparing group means are shown. A set of alternatives for practitioners and researchers to consider when comparing costs for different groups are offered.</t>
  </si>
  <si>
    <t>(Lynch W.D.; Teitelbaum H.S.; Main D.S.) American Journal of Health Promotion, 1120 Chester Avenue, Suite 470, Cleveland, United States.; ID: 3643</t>
  </si>
  <si>
    <t>http://www.ncbi.nlm.nih.gov/pubmed/10148686</t>
  </si>
  <si>
    <t>The inadequacy of using means to compare medical costs of smokers and nonsmokers</t>
  </si>
  <si>
    <t>Macdougall,P.;Author,Addresses;Anesthesia,Dalhousie University Halifax Canada;Correspondence,Address;Macdougall, Anesthesia Dalhousie University Halifax Canada,P.</t>
  </si>
  <si>
    <t>A mentor-mentee collabortive care network pilot study for management of chronic pain</t>
  </si>
  <si>
    <t>Canadian Journal of Anesthesia</t>
  </si>
  <si>
    <t>S134</t>
  </si>
  <si>
    <t>opiate;chronic pain;pilot study;teacher;addiction;community;economics;education;health;health care;health care system;information processing;interpersonal communication;mental health service;needs assessment;pain;palliative therapy;patient;physician;physiotherapy;primary medical care;professional development;Profile of Mood States;quality control;questionnaire;recipient;therapy;workman compensation</t>
  </si>
  <si>
    <t>Introduction: Ensuring timely access to pain manaegement is difficult (1).A mentor-mentee collaborative care network for the managment of chronic pain in the community has been launched as a pilot project. It was launched one health care district. This mentor-mentee network of pain experts and primary care practitioners (PCP's) is designed to provide a clinical resource and continuing professional development (CPD). Quality assurance and research is integral to the program. In order to determine the effect of this type of program on the participants, the health care system and the patients we have conducted a case control pilot study in 2 communities. Methods: After obtaining REB approval, 22 PCP's were recruited in the chosen District Health Authority. This district was chosen as there were no chronic pain services in the district. The PCP's were divided into 2 groups based on location. Both groups have access to CPD activities and the treatment group had access to the network for 8 months at which time both groups had access to the network. PCP needs assessment was carried out by focus group. PCP impact data was obtained by questionnaire. Each PCP was responsible to provide the names of 5 patients who had consented to take part in the study. The patients were asked to provide basic demographic data and complete the</t>
  </si>
  <si>
    <t>(Macdougall P.) 2009 CAS Annual Meeting Vancouver, BC, Canada 2009-06-26 to 2009-06-30 Canadian Anaesthetists' Society; ID: 2897</t>
  </si>
  <si>
    <t>10.1007/s12630-009-9235-2 FULL TEXT LINK http://dx.doi.org/10.1007/s12630-009-9235-2</t>
  </si>
  <si>
    <t>MacKin,R. S.;Areâ”œÃ­n,P. A.;Author,Addresses;Department of,Psychiatry;University of California, San,Francisco C.;Department,of Psychiatry;Psychiatric Institute, University of California,San Francisco;Parnassus Avenue,San,Francisco C.;Correspondence,Address;MacKin, Department of Psychiatry Langley Porter Psychiatric,R.S.;Institute,University of California San Francisco Parnassus Avenue;San Francisco, C A Email scottm lppi,ucsf edu</t>
  </si>
  <si>
    <t>19092314; Incidence and documentation of cognitive impairment among older adults with severe mental Illness in a community mental health setting</t>
  </si>
  <si>
    <t>cognitive defect;mental disease;mental health;mental hospital;adult;aged;anamnesis;article;depression;disease severity;documentation;education;ethnic group;female;human;incidence;information processing;major clinical study;male;mattis dementia rating scale;medical record review;medical specialist;neuropsychological test;psychiatric treatment;rating scale;scoring system;substance abuse;Internal Medicine (6);Neurology and Neurosurgery (8);Public Health, Social Medicine and Epidemiology (17);Gerontology and Geriatrics (20);Psychiatry (32)</t>
  </si>
  <si>
    <t>OBJECTIVE:: Cognitive impairments among older adults are commonly linked to poor medical and psychiatric treatment adherence, increased disability, and poor health outcomes. Recent investigations suggest that cognitive impairments are frequently not recognized by healthcare providers and are often poorly documented in medical records. Older adults utilizing services at community mental health centers have numerous risk factors for developing cognitive impairment. Few studies have explored the incidence and documentation of cognitive impairments in this patient population. METHODS:: Data were collected from 52 ethnically diverse older adults with severe mental illness who were participating in treatment at a large community mental health center. Cognitive impairment was diagnosed by neuropsychologists utilizing the Mattis Dementia Rating Scale-2 (DRS). Measures of depression severity and substance abuse history were also obtained. An age and education corrected DRS total score falling at or below the tenth percentile was used as the criteria for diagnosing cognitive impairment. A medical chart review was subsequently conducted to determine the documentation of cognitive impairments among this patient population. RESULTS:: Cognitive impairment was exhibited by 60% of participants and documented in medical charts for 17% of the sample. CONCLUSIONS:: Preliminary data suggests that cognitive impairment is common in individuals with severe mental illness treated at community mental health centers, but these cognitive impairments are not well recognized or documented. The impact of cognitive impairment on psychiatric treatment and case management among community mental health patients is therefore poorly understood. â”¬âŒ 2008 American Association for Geriatric Psychiatry.</t>
  </si>
  <si>
    <t>(MacKin R.S., scottm@lppi.ucsf.edu; Areâ”œÃ­n P.A.) (MacKin R.S., scottm@lppi.ucsf.edu) Lippincott Williams and Wilkins, 530 Walnut Street,P O Box 327, Philadelphia, United States.; ID: 2939</t>
  </si>
  <si>
    <t>1064-7481 1545-7214 (electronic)</t>
  </si>
  <si>
    <t>http://www.ncbi.nlm.nih.gov/pubmed/19092314</t>
  </si>
  <si>
    <t>10.1097/JGP.0b013e31818cd3e5 FULL TEXT LINK http://dx.doi.org/10.1097/JGP.0b013e31818cd3e5</t>
  </si>
  <si>
    <t>Incidence and documentation of cognitive impairment among older adults with severe mental Illness in a community mental health setting</t>
  </si>
  <si>
    <t>Madden,J. S.;Author,Addresses;Alcohol;Drug Dependence Service, Countess,of Chester;Hospital,Liverpool Road Chester C.H.B.A.United Kingdom;Correspondence,Address;J.S. Madden,Alcohol;Drug Dependence Service, Countess,of Chester;Hospital,Liverpool Road Chester C.H.B.A.United Kingdom</t>
  </si>
  <si>
    <t>8147971; The definition of alcoholism</t>
  </si>
  <si>
    <t>(MAJOR FOCUS);alcohol (drug toxicity);alcoholism (diagnosis, etiology);syndrome delineation;behavior;physician;priority journal;short survey;substance abuse;symptom;world health organization;alcohol (64-17-5);Drug Dependence, Alcohol Abuse and Alcoholism (40)</t>
  </si>
  <si>
    <t>Formulations of alcohol dependence are continuously refreshed, in line with changing concepts and altered needs. Two new descriptions have been prepared: the revised WHO criteria for substance use disorders and an educative definition of alcoholism. The major sets of diagnostic criteria provided by WHO and by the American Psychiatric Association are moving closer together but have not solved all the semantic problems. More refined assessments are also available to quicken fulfilment of the long-awaited hope that treatments can be matched to patients.</t>
  </si>
  <si>
    <t>(Madden J.S.) Oxford University Press, Great Clarendon Street, Oxford, United Kingdom.; ID: 3586</t>
  </si>
  <si>
    <t>http://www.ncbi.nlm.nih.gov/pubmed/8147971</t>
  </si>
  <si>
    <t>The definition of alcoholism</t>
  </si>
  <si>
    <t>Madras,B.;Author,Addresses;Harvard Medical School, McLean Hospital Belmont,United States;Correspondence,Address;Madras, Harvard Medical School McLean Hospital Belmont United States,B.</t>
  </si>
  <si>
    <t>Medicine and the law in the courtroom: Marijuana as medicine</t>
  </si>
  <si>
    <t>40 SUPPL. 1</t>
  </si>
  <si>
    <t>S432</t>
  </si>
  <si>
    <t>S433</t>
  </si>
  <si>
    <t>(MAJOR FOCUS);cannabis;medical cannabis;alcohol;caffeine;cannabinoid;cocaine;controlled substance;illicit drug;nicotine;non prescription drug;abuse;addiction;American;college;court;psychopharmacology;adolescent;anthropology;brain;cannabis use;child;classification;community;conversation;decision making;diagnosis;diseases;drug approval;DSM-5;epilepsy;expert witness;female;financial management;food and drug administration;government;hearing;human;Iraq;medical expert;meta analysis;mother;non profit organization;patient;physician;plant;policy;posttraumatic stress disorder;prevalence;randomized controlled trial (topic);risk;safety;scientist;sociology;United States;university;validity;veteran;war;weakness;witness</t>
  </si>
  <si>
    <t>Background: Twenty-three states and the District of Columbia have legalized the use of botanical marijuana for Î“Ã‡Â£medical indicationsÎ“Ã‡Â¥, circumventing the FDA drug approval process and violating the Controlled Substances Act (CSA). Recent literature reviews and meta-analysis of existing data conclude that the evidence is inadequate to support the use of whole plant marijuana for these indications. These conflicting positions were recently argued and adjudicated in an evidentiary hearing in Federal Court in California, in which the defense moved to have marijuana removed from Schedule 1. In late October 2014, Federal Court Judge Kimberly Mueller postponed the trial to hold an evidentiary hearing on whether marijuana placement in schedule; I was consistent with the best current scientific evidence. Bertha Madras was the sole expert witness for the government. Methods: The defense called on three medical experts to testify in court, Gregory T. Carter, MD, Philip A. Denny, MD, and Carl Hart, PhD. Additionally, they produced testimony of Marine Sgt. Ryan D. Begin, an Iraq war veteran with PTSD, Jennie Stormes, mother of a child with a rare form of pediatric epilepsy, James J. Nolan III, PhD an associate professor of sociology and anthropology at West Virginia University, and Christopher Conrad, an expert on cultivation of marijuana. To sustain the view that marijuana should remain in Schedule I, the prosecution team had to show that marijuana has, a high potential for abuse, no currently accepted medical use in treatment in the United States, and unacceptable safety standards for its use under medical supervision. To prevail on the motion, the prosecutors also had to show that marijuana failed to meet even one of five legal standards as a medicine that would permit removal from Schedule I. Conversely, the legal defense team had to prove that marijuana was misclassified in Schedule 1 of the CSA, that it is a safe and effective medicine and is a relatively harmless drug. Results: Defense expert witnesses dismissed DSM-V diagnostic criteria of Cannabis Use Disorder or CUD, claiming that marijuana's risk of addiction is disputed within the medical community and that Î“Ã‡Â£marijuana was less addictive than nicotine, alcohol, cocaine and caffeineÎ“Ã‡Â¥. They also testified that marijuana associated problems were less prevalent than legal drugs, including over-the-counter medicines. Testifying initially that marijuana had Î“Ã‡Â£high' potential for abuse, one defense witness advocated for reclassifying marijuana as a Schedule II substance, even though the first criterion under both Schedule I and II is the same, Î“Ã‡Â£a high potential for abuse.Î“Ã‡Â¥ Dr. Madras noted the scientific foundation of DSM-V criteria for CUD and the prevalence of CUD as 4.3 million, higher than for any other illicit drug and higher among adolescents. She claimed that frequent marijuana use for chronic medical conditions could increase the risks of CUD. The defense claimed that numerous randomized controlled trials (RCT) documented marijuana efficacy for more medical conditions than typically are required for FDA approval. Dr. Madras countered that rigorous RCT using botanical marijuana were scant and compromised by an array of weaknesses. She cited recent meta-analyses concluding that evidence for whole plant marijuana was insufficient for use in various medical conditions. While reasonable experts could conclude that whole plant marijuana has medicinal value, she opined that they would be ignoring some of the evidence and FDA standards to reach that conclusion. Claiming that the benefits of marijuana outweighed the risks, the defense questioned the validity or significance of research revealing relationships between marijuana use and adverse consequences. One witness maintained that marijuana-induced brain changes were meaningless because brain changes occur with conversation or playing Tetris. Another witness had recommended marijuana to 12,000 patients in California and testified that none of his patients ever reported major issues. Dr. Madras reasoned that Î“Ã‡Â£one simply cannot be assured that marijuana can be safely used, even under medical supervision, for long term open-ended useÎ“Ã‡Â¥. Defense witnesses believed that the majority of physicians think marijuana has medical benefits. Dr. Madras countered by citing contrary position, policy statements of major medical associations dedicated to the relevant medical conditions; scientists deeply familiar with the research would attest that, presently marijuana has no high quality research support. She conceded that nonpsychoactive cannabinoids in the marijuana plant should be evaluated because there is preclinical evidence of their therapeutic potential. Conclusions: Judge Kimberly Mueller issued her pivotal ruling on the case April 17, 20157. The Judge's ruling recognized that Î“Ã‡Â£defendants have not submitted any evidence that Congress classified marijuana as a Schedule I controlled substance because of animus or some discriminatory legislative purpose. The record here does not demonstrate there is only one supportable point of view about marijuana's safe, medical value or abuse potential. The ongoing vigorous dispute as to the physical and psychological effects of marijuana, its potential for abuse, and whether it has any medical value, supports the rationality of the continued Schedule I classification. Congress could rationally find marijuana has a high potential for abuse and Congress could rationally conclude that marijuana, the undifferentiated plant that appears on Schedule I, has no established medical value. Having carefully considered the facts and the law as relevant to this case, the court concludes that on the record in this case, this is not the court and this is not the time. The court DENIES the motionÎ“Ã‡Â¥. As this judgment came from a federal court, it stands as the law of the land.</t>
  </si>
  <si>
    <t>(Madras B.) 54th Annual Meeting of the American College of Neuropsychopharmacology, ACNP 2015 Hollywood, FL, United States 2015-12-06 to 2015-12-10 Nature Publishing Group; ID: 2040</t>
  </si>
  <si>
    <t>10.1038/npp.2015.326 FULL TEXT LINK http://dx.doi.org/10.1038/npp.2015.326</t>
  </si>
  <si>
    <t>Magid,V.;Settles,R.;Author,Addresses;Medical University,of South;United,States;Correspondence,Address;Magid,Center for Drug,V.;Alcohol Programs, Medical University,of South;Carolina,President Street Charleston S.C.United States Email;magid@musc.edu</t>
  </si>
  <si>
    <t>Clinical guidelines for the detection, prevention, and early intervention of adolescent substance use</t>
  </si>
  <si>
    <t>Adolescent Psychiatry</t>
  </si>
  <si>
    <t>Adolesc.Psychiatry</t>
  </si>
  <si>
    <t>(2013) 3</t>
  </si>
  <si>
    <t>amphetamine;cannabis;early intervention;mental health care;substance abuse;adolescent;article;case report;drug screening;female;general practitioner;health care personnel;human;mental health;motivational interviewing;priority journal;vignette;amphetamine (1200-47-1, 139-10-6, 156-34-3, 2706-50-5, 300-62-9, 51-62-7,;60-13-9, 60-15-1);cannabis (8001-45-4, 8063-14-7);Pediatrics and Pediatric Surgery (7);Psychiatry (32)</t>
  </si>
  <si>
    <t>Objective: Mental health care providers are in a unique position to detect, prevent, and offer brief interventions for adolescents with substance use problems. While substance use and mental health disorders commonly co-occur, few pediatric mental health professionals possess the necessary training to identify and treat substance use issues. The goal of this paper is to provide guidance for mental health professionals working with adolescents on how to detect, intervene, and refer adolescents for substance use treatment. Method: A series of clinical case examples and vignettes provide scenarios for helping educate providers in screening for substance use, preventing/delaying substance use initiation, delivering brief early interventions, and motivating adolescents for specialized substance use treatment when necessary. Conclusions: The importance of discussing substance use with each adolescent, being attuned to common warning signs of substance use, taking caution in prescribing medications with abuse potential, importance of family involvement, and use of motivational interviewing techniques are discussed. â”¬âŒ 2013 Bentham Science Publishers.</t>
  </si>
  <si>
    <t>(Magid V., magid@musc.edu; Settles R.) Bentham Science Publishers B.V., P.O. Box 294, Bussum, Netherlands.; ID: 2325</t>
  </si>
  <si>
    <t>2210-6766 2210-6774 (electronic)</t>
  </si>
  <si>
    <t>2013746011 PUI L370341140</t>
  </si>
  <si>
    <t>10.2174/2210676611303020012 FULL TEXT LINK http://dx.doi.org/10.2174/2210676611303020012</t>
  </si>
  <si>
    <t>Mallampati,D.;Knudsen,J.;Cohen,M. J.;Cunningham,J.;Lee,C. M.;Ticona,L.;Ignacio,R. B.;Bollman,B.;Author,Addresses;Harvard Medical School, Cambridge,United States;Massachusetts,General Hospital;States;Correspondence,Address;Mallampati, Harvard Medical School Cambridge United States,D.</t>
  </si>
  <si>
    <t>The crimson care collaborative chelsea clinic: Integrating medical, mental, and social healthcare for post-incarceration and urgent care patients in a student-faculty clinic</t>
  </si>
  <si>
    <t>S568</t>
  </si>
  <si>
    <t>S569</t>
  </si>
  <si>
    <t>health care;hospital;human;internal medicine;patient;society;student;chronic disease;community;data base;education program;employment;exposure;follow up;food security;general hospital;health;health care need;health center;medical school;medical student;mental health;mental health care;model;organization;patient care;patient education;physician;population;primary medical care;profit;psychiatry;social determinants of health;social medicine;social work;structured interview;substance abuse;teamwork;United States;volunteer;vulnerable population</t>
  </si>
  <si>
    <t>NEEDS AND OBJECTIVES: Social determinants of health influence outcomes both in exam rooms and in the community, yet medical students receive little exposure to social medicine in practice. In addition, students are rarely able to explore innovative models of primary care. A new student-resident-faculty collaborative clinic at Massachusetts General Hospital's Chelsea Community Health Center (MGH-Chelsea) and Harvard Medical School (HMS) therefore seeks to educate medical students by enabling them to design comprehensive primary care strategies that deliver effective care to two underserved populations: people returning to Chelsea post-incarceration and frequent urgent care users without a usual provider. SETTING AND PARTICIPANTS: In October 2011 HMS expanded its student-faculty clinic model, the Crimson Care Collaborative (CCC), to a new site at an MGH-Chelsea. This new clinic provides students with a valuable opportunity to care for vulnerable populations, explore social medicine in practice, and understand how medical teams implement new strategies to enhance patient-centered care. Our integrative model trains students to address the socioeconomic barriers to their patients' health and the unique health care needs of two underserved populations. DESCRIPTION: We have developed a unique clinic structure to address the strong need for coordinated primary care, mental health care, and social services in our populations. Patients first meet with a social services navigator, a student who screens the patient for non-clinical issues that might impact their overall health, such as food security, employment, and legal issues. The patient next meets with student and faculty clinicians to establish a longitudinal primary care relationship. Finally, the social navigator returns to provide referrals to relevant social services organizations and establish a follow-up plan. Patients requiring additional mental health care are referred to our co-located mental health team of two students and a psychiatry resident for further assessment and management. In the future, our team will also implement a patient education program for topics including substance abuse and chronic disease. EVALUATION: The clinic team works together closely to ensure that our socially complex patient populations have access to appropriate, highquality services that meet both provider- and patient-identified needs. To achieve this goal, our student roles extend beyond the medical clinic. Students actively follow up with their patients for medical and social services and are encouraged to develop strong relationships with them. In addition, a student outreach contingent has conducted structured interviews with non-profits in Chelsea and compiled an online database of more than 20 local social service assistance programs for use in our clinic. DISCUSSION / REFLECTION / LESSONS LEARNED: Since the clinic's establishment in October 2011 we have provided care to more than 50 patients, one quarter of whom are transitioning into the community from incarceration. Around 90% of our patients have received at least 1 social services referral to a local organization, and 40% have been referred to and seen by our mental health teams. Finally, more than 40 medical students and 5 residents have participated in the clinic's design and operations, and our volunteer numbers continue to rise. Through our innovative, comprehensive clinic model, we will continue to educate a new generation of socially-minded, creative physicians familiar with new models of care while providing care to two underserved populations.</t>
  </si>
  <si>
    <t>(Mallampati D.; Knudsen J.; Cohen M.J.; Cunningham J.; Lee C.-M.; Ticona L.; Bollman B.) (Mallampati D.; Knudsen J.; Cohen M.J.; Cunningham J.; Lee C.-M.; Ticona L.; Ignacio R.B.; Bollman B.) 35th Annual Meeting of the Society of General Internal Medicine, SGIM 2012 Orlando, FL, United States 2012-05-09 to 2012-05-12 Springer New York; ID: 2537</t>
  </si>
  <si>
    <t>Mandel,H. R.;Author,Addresses;Connecticut Ment Hlth Cent, Dept Psychiat Yale,Univ New;Haven,Conn;Correspondence,Address;Connecticut Ment Hlth Cent, Dept Psychiat Yale Univ New,Haven Conn</t>
  </si>
  <si>
    <t>1211380; Simulations in drug training</t>
  </si>
  <si>
    <t>American Journal of Drug and Alcohol Abuse</t>
  </si>
  <si>
    <t>Am.J.Drug Alcohol Abuse</t>
  </si>
  <si>
    <t>drug dependence;medical education;model;physician;training;major clinical study;methodology;therapy;Psychiatry (32);Public Health, Social Medicine and Epidemiology (17);Internal Medicine (6)</t>
  </si>
  <si>
    <t>A simulation over a five day period allowing clinicians to become patients and apply what they experience is presented as a vehicle from which important learning can take place to help clinicians function better within clinical work environments. The simulation gave clinical trainers and trainees in the drug field mutually shared experiences that were understood and applied to real work situations through discussions, lectures, and presentations. Clinicians had the opportunity to understand how therapeutic structures affect individuals through experiencing the structures as recipients of service.</t>
  </si>
  <si>
    <t>(Mandel H.R.); ID: 3897</t>
  </si>
  <si>
    <t>http://www.ncbi.nlm.nih.gov/pubmed/1211380</t>
  </si>
  <si>
    <t>Simulations in drug training</t>
  </si>
  <si>
    <t>Mandel-Ricci,J.;Bresnahan,M.;Sacks,R.;Farley,S. M.;Author,Addresses;New York,City;Department of,Health;Mental Hygiene,United States;Bureau,of Chronic;Prevention;Tobacco Control, New York,N.Y.United States;Correspondence,Address;New York City,Department of;Mental Hygiene,United States</t>
  </si>
  <si>
    <t>23632583; Training mental health professionals to treat tobacco dependence</t>
  </si>
  <si>
    <t>medical education;mental health care personnel;tobacco dependence;human;letter;Public Health, Social Medicine and Epidemiology (17);Psychiatry (32)</t>
  </si>
  <si>
    <t>(Mandel-Ricci J.; Bresnahan M.; Sacks R.; Farley S.M.) (Mandel-Ricci J.; Bresnahan M.; Farley S.M.) American Psychiatric Association, 1000 Wilson Boulevard, Suite 1825, Arlington, United States.; ID: 2406</t>
  </si>
  <si>
    <t>1075-2730 1557-9700 (electronic)</t>
  </si>
  <si>
    <t>http://www.ncbi.nlm.nih.gov/pubmed/23632583</t>
  </si>
  <si>
    <t>10.1176/appi.ps.004362012 FULL TEXT LINK http://dx.doi.org/10.1176/appi.ps.004362012</t>
  </si>
  <si>
    <t>Training mental health professionals to treat tobacco dependence</t>
  </si>
  <si>
    <t>Mann,K.;Author,Addresses;Univ.klinik Psychiatrie/Psychother,Osianderstr;Tubingen,Germany;Correspondence,Address;Mann, Univ klinik Psychiatrie Psychother Osianderstr,K.;Tubingen,Germany Email karl mann uni-tuebingen de</t>
  </si>
  <si>
    <t>Continuous education in addiction medicine ORIGINAL (NON-ENGLISH) TITLE Kontinuierliche Fortbildung in Suchtmedizin</t>
  </si>
  <si>
    <t>addiction;medical education;education program;health care policy;short survey;Public Health, Social Medicine and Epidemiology (17);Health Policy, Economics and Management (36);Drug Dependence, Alcohol Abuse and Alcoholism (40)</t>
  </si>
  <si>
    <t>(Mann K.); ID: 3472</t>
  </si>
  <si>
    <t>1997287009 PUI L27399407</t>
  </si>
  <si>
    <t>Marable,S.;Crim,C.;Dennis,G. C.;Epps,R. P.;Freeman,H.;Mills,S.;Coolchan,E. T.;Robinson,L.;Robinson,R.;Cole,L.;Payne,P. H.;Author,Addresses;Correspondence,Address;Marable,S.</t>
  </si>
  <si>
    <t>11853050; Tobacco control: consensus report of the National Medical Association</t>
  </si>
  <si>
    <t>health education;health promotion;smoking;smoking cessation;African American;conference paper;consensus development;ethnology;human;legal aspect;mass medium;methodology;policy;research;statistics;tobacco industry;United States (epidemiology)</t>
  </si>
  <si>
    <t>ISSUES: Tobacco Control remains one of the greatest determinants for reducing the morbidity and mortality of African Americans. OBJECTIVE: To examine the scope and consequences of tobacco use among African Americans and characterize its implications for the National Medical Association physician membership and their patients, and identify policy, education, advocacy and research issues in Tobacco Control for the organization. CONSENSUS PROCESS: Literature review using the MEDLINE database from January 1966 to August 1999 Week 1, searching Medical Subject Heading (MeSH) reading combined with text words "Black" or "African American" and "Tobacco" as a search term, identified 130 articles/110 abstracts published between 1988 and February 1999. The panel selected 61 appropriate articles and a paper summarizing the literature review was developed. The summary paper was used as background material for a formal consensus panel discussion on July 16-17, 1999. Consensus among committee members was reached via mail, fax and e-mail using the summary review paper, annotated bibliographies key informant surveys, and previous NMA resolutions on tobacco control. A formal working session was held on July 16-17, 1999 in which four areas of concentration of issues were determined: Policy, Advocacy, Education and Research. All committee members approved the final report. SUMMARY: Because tobacco control issues in African Americans are both complex and poorly understood, the panel views the NMA's role as pivotal in the coordination of resources and capacity-building to address all four areas identified. Stronger partner-ships with traditional federal and nonprofit agencies associated with tobacco control/advocacy in African Americans as well as nontraditional organizations (i.e., churches, academia, marketing and media organizations) also must occur to strengthen the infra-structure needed to assess needs, design appropriate interventions and evaluate the appropriateness, effectiveness and efficacy of tobacco control efforts in African American communities.</t>
  </si>
  <si>
    <t>(Marable S.; Crim C.; Dennis G.C.; Epps R.P.; Freeman H.; Mills S.; Coolchan E.T.; Robinson L.; Robinson R.; Cole L.; Payne P.H.); ID: 3339</t>
  </si>
  <si>
    <t>http://www.ncbi.nlm.nih.gov/pubmed/11853050</t>
  </si>
  <si>
    <t>Tobacco control: consensus report of the National Medical Association</t>
  </si>
  <si>
    <t>Marcus,M. T.;Moeller,F. G.;Schmitz,J. M.;Liehr,P.;Swank,P.;Cron,S.;Granmayeh,L. K.;Carroll,D. D.;Author,Addresses;University of Texas,Health Science;Florida Atlantic,University;Correspondence,Address;MT Marcus, University of Texas Health Science Center,Florida Atlantic;University</t>
  </si>
  <si>
    <t>Mindfulness-Based Stress Reduction in therapeutic community treatment: Preliminary report</t>
  </si>
  <si>
    <t>group therapy;therapeutic community;control group;environment;female;learning environment;male;model;social learning;substance abuse</t>
  </si>
  <si>
    <t>Objectives: To provide preliminary data on the effect of MBSR on stress of residents in therapeutic community treatment. Purpose: Therapeutic communities provide structured social learning environments for individuals in recovery from substance use disorders. Studies of other similar restrictive environments document high degrees of stress. Stress may negatively impact progress and retention in the TC environment. The purpose of this study was to assess the effect of a Mindfulness-Based Stress Reduction (MBSR) intervention on the stress of residents in therapeutic community (TC) treatment. Method: The study used an historical control design. The Symptoms of Stress Inventory (SOSI) was used to gather stress data on admission to the TC, one month later and three months later. During the second phase, intervention participants received the MBSR program, tailored specifically for the TC setting, and stress data were gathered at the same intervals. Data were analyzed using repeated measures with a mixed models method. Both groups are being followed for a total of nine months as part of a larger study of stress, progression and retention in TC treatment. Results: Of the 144 subjects enrolled in the control group, 77.08% were male and 22.92% were female. There were 283 subjects in the intervention group, 85.51% male and 14.49% female. The scores on the 94-item SOSI decreased significantly over time for both groups but the rate of decease was significantly greater for the MBSR intervention group (p = 0.0346). Conclusion: Preliminary results indicate that MBSR added to standard TC treatment increases the rate of stress reduction in the first three months of treatment.</t>
  </si>
  <si>
    <t>(Marcus M.T.; Moeller F.G.; Schmitz J.M.; Liehr P.; Swank P.; Cron S.; Granmayeh L.K.; Carroll D.D.) 2007 AMERSA National Meeting Haworth Press Inc.; ID: 2916</t>
  </si>
  <si>
    <t>Martâ”œÂ¡n,V.;Molina,A. J.;Fernâ”œÃ­ndez,D.;Fernâ”œÃ­ndez,T.;de Abajo,S.;Delgado,M.;Author,Addresses;Area,of Preventive;Public,Health;Department of Biomedical Sciences, University of Leon,Institute of;Biomedicine,Spain;Area,of Preventive;Public Health,Department of;Biomedical Sciences, University of Leon Institute,of Biomedicine;Spain;Nursing Supervisor Nursing Service, Hospital,of Le;Teaching Assistant Area,of Preventive;Public;Health,Department of Biomedical Sciences Institute of Biomedicine;Spain,University of Leon;Teaching Assistant Area,of Preventive;Public;Health,Department of Biomedical Sciences University of Leon Institute of;Biomedicine,Spain;Area of Preventive Medicine, Department of,Health Sciences;University,of Ja;Correspondence,Address;Martâ”œÂ¡n, Area of Preventive Medicine,V.;Public Health,Department of;Biomedical Sciences, University of Leon Institute,of Biomedicine;Spain Email,vmars,unileon es</t>
  </si>
  <si>
    <t>21143623; Effectiveness of a course on the prevention and control of the smoking habit on its prevalence and incidence among students of health sciences</t>
  </si>
  <si>
    <t>attitude to health;medical personnel;smoking (epidemiology, prevention);smoking cessation;adult;article;curriculum;female;health care personnel;human;incidence;male;model;nursing evaluation research;prevalence;psychological aspect;statistics;tobacco dependence (epidemiology, prevention)</t>
  </si>
  <si>
    <t>Aim. This paper is a report of the effectiveness of a tobacco use prevention and control course on health sciences students' smoking prevalence and incidence. Background. Although it is known that the intervention of health professionals in their patients' tobacco use can be affected by their own habit, very few studies have analysed the effect of specific tobacco-oriented training on smoking among health science students. Methods. This study is a quasi-experimental study of community intervention. During the years 2005-2008, a total of 290 health science students on the intervention campus and 256 on the control campus took part in the study. In the former, the intervention consisted of a course on the prevention and control of tobacco use for students, which was not offered on the control campus. Data about tobacco use and socio-demographic variables were collected by means of a questionnaire before and 6months after the intervention. Results. Prevalence of tobacco use decreased in the intervention group (-1â”¬â•–1%) and increased in the control group (1â”¬â•–5%). The risk of acquiring the habit was almost three times higher in the control group than in the intervention group and the probability of cessation was 40% higher in the intervention group and correlated with nicotine dependence. Conclusion. The intervention suggests the effect on habit acquisition was slight but not so on cessation. Preventive interventions should be carried out before students go to university, while more specific cessation programmes are required to reduce tobacco use among students. â”¬âŒ 2010 Blackwell Publishing Ltd.</t>
  </si>
  <si>
    <t>(Martâ”œÂ¡n V., vmars@unileon.es) (IBIOMED) (Molina A.J.) (Fernâ”œÃ­ndez D.) (Fernâ”œÃ­ndez T.) (de Abajo S.) (Delgado M.) Blackwell Publishing Ltd, 9600 Garsington Road, Oxford, United Kingdom.; ID: 2705</t>
  </si>
  <si>
    <t>0309-2402 1365-2648 (electronic)</t>
  </si>
  <si>
    <t>http://www.ncbi.nlm.nih.gov/pubmed/21143623</t>
  </si>
  <si>
    <t>10.1111/j.1365-2648.2010.05532.x FULL TEXT LINK http://dx.doi.org/10.1111/j.1365-2648.2010.05532.x</t>
  </si>
  <si>
    <t>Effectiveness of a course on the prevention and control of the smoking habit on its prevalence and incidence among students of health sciences</t>
  </si>
  <si>
    <t>Martin,J.;Siegrist,A.;Author,Addresses;Serv Sante Publ, Canton,Vaud Lausanne;Correspondence,Address;Serv Sante Publ, Canton,Vaud Lausanne</t>
  </si>
  <si>
    <t>7071444; Measures against drug abuse by young people ORIGINAL (NON-ENGLISH) TITLE MOYENS DE LUTTE CONTRE LA CONSOMMATION ABUSIVE DE MEDICAMENTS PARMI LA JEUNESSE. PROPOSITIONS DES MEDECINS VAUDOIS ET DISCUSSION</t>
  </si>
  <si>
    <t>adolescence;drug abuse;adolescent;central nervous system;methodology;prevention;therapy;Public Health, Social Medicine and Epidemiology (17);Psychiatry (32);Drug Dependence, Alcohol Abuse and Alcoholism (40)</t>
  </si>
  <si>
    <t>An enquiry among physicians of the Canton of Vaud concerning drug abuse by young people included the question how the problem should be handled. Of the 466 respondents (49.2%), 201 offered suggestions. These could be divided into three groups: 46% proposed restrictive measures (prohibition, restriction, control) at several levels (physicians, pharmacists, public, media), 23% urged improved motivation and awareness of various groups concerning their educative role in this respect (especially physicians, teachers, media and parents), while 24% agreed on the necessity of providing more information and educative material. Several emphasized that in their view addiction is just one manifestation of a global social problem. The possibilities and limitations of various methods of combating drug abuse are discussed in the light of the situation in Switzerland and other countries.</t>
  </si>
  <si>
    <t>(Martin J.; Siegrist A.); ID: 3826</t>
  </si>
  <si>
    <t>http://www.ncbi.nlm.nih.gov/pubmed/7071444</t>
  </si>
  <si>
    <t>Measures against drug abuse by young people ORIGINAL (NON-ENGLISH) TITLE MOYENS DE LUTTE CONTRE LA CONSOMMATION ABUSIVE DE MEDICAMENTS PARMI LA JEUNESSE. PROPOSITIONS DES MEDECINS VAUDOIS ET DISCUSSION</t>
  </si>
  <si>
    <t>Martin,P. M.;Pilon-Kacir,C.;Wheeler,M.;Author,Addresses;Occupational Therapy Program, University of Minnesota,Delaware Street;SE,Minneapolis,M.N.United States;Department,of;Nursing,Winona State University University Center Rochester Rochester M.N.;States,United;Clinical,and;Didactic Faculty, LaCrosse-Gunderson-Mayo P A Program,University of;Wisconsin-LaCrosse,Rochester;Correspondence,Address;PM Martin, Occupational Therapy Program University,of Minnesota;Delaware Street, S E Minneapolis M N United,States Email;marti370@umn.edu</t>
  </si>
  <si>
    <t>16837414; Interdisciplinary service learning and substance abuse screening in free clinic settings</t>
  </si>
  <si>
    <t>substance abuse;article;health care personnel;health service;human;interdisciplinary education;nursing;occupational therapy;patient education;physician assistant;population;screening;Public Health, Social Medicine and Epidemiology (17);Occupational Health and Industrial Medicine (35);Drug Dependence, Alcohol Abuse and Alcoholism (40)</t>
  </si>
  <si>
    <t>Interdisciplinary groups of students learned screening tools for substance use and practiced skills of brief intervention while serving needs of a local free clinic. â”¬âŒ 2005 by The Haworth Press, Inc. All rights reserved.</t>
  </si>
  <si>
    <t>(Martin P.M., marti370@umn.edu; Wheeler M., wheeler.mare@mayo.edu) (Pilon-Kacir C., christine.pilon-kacir@winona.msus.edu) Haworth Press Inc., 10 Alice Street, Binghamton, United States.; ID: 3107</t>
  </si>
  <si>
    <t>http://www.ncbi.nlm.nih.gov/pubmed/16837414</t>
  </si>
  <si>
    <t>10.1300/J465v26n03_11 FULL TEXT LINK http://dx.doi.org/10.1300/J465v26n03_11</t>
  </si>
  <si>
    <t>Interdisciplinary service learning and substance abuse screening in free clinic settings</t>
  </si>
  <si>
    <t>Martinez,J. A.;Jones,J. A.;Author,Addresses;Colgate University,Hamilton,United States;Correspondence,Address;JA Martinez, Colgate University Hamilton,United States</t>
  </si>
  <si>
    <t>Before and after instatement of a medical amnesty policy: A comparison of two college cohorts</t>
  </si>
  <si>
    <t>38 SUPPL. 1</t>
  </si>
  <si>
    <t>131A</t>
  </si>
  <si>
    <t>alcohol;alcoholism;college;policy;society;alcohol consumption;binge drinking;car;drinking;environmental change;error;Greece;human;public health;safety;sample size;student;university</t>
  </si>
  <si>
    <t>Problematic and heavy alcohol consumption has been a public health issue on college campuses for many years. It has been suggested that not only will medical amnesty and Good Samaritan (MAGS) policies be effective in increasing students' safety, but they will be effective in addressing alcoholrelated problems on college campuses. Specifically, by reframing behaviors as Î“Ã‡Â£mistakesÎ“Ã‡Â¥ to be learned from rather than punished, it is thought that students will be motivated toward healthy behaviors. Our aim was to examine survey response differences between a 2005 cohort of n=1,006 students (including all class years) prior to instatement of a MAGS policy and a 2013 cohort of n=537 students the year after instatement at a small private northeastern university. Comparisons were made between cohorts (controlling for sex, age, race and Greekmembership status) and then were replicated in comparisons between cohort participantsmatched on sex, class year, race, and Greek membership status (sample size for each matched group was n=438). Results indicated that students' beliefs about the drinking culture had changed. Specifically, the 2013 cohort was more likely than the 2005 cohort to believe that campus alcohol policies were enforced (OR=1.76, 95% CI=1.29-2.40) and they were more likely to believe that faculty and staff cared about them (OR=1.69, 95%CI=1.48-1.93). They were also more likely to report that others' drinking made them feel unsafe (OR=1.69, 95%</t>
  </si>
  <si>
    <t>(Martinez J.A.; Jones J.A.) 37th Annual Scientific Meeting of the Research Society on Alcoholism, RSA 2014 Bellevue, WA, United States 2014-06-21 to 2014-06-25 Blackwell Publishing Ltd; ID: 2226</t>
  </si>
  <si>
    <t>Martinez-Raga,J.;Szerman,N.;Knecht,C.;De Alvaro,R.;Author,Addresses;Servicio,de Psiquiatr;Peset,Universitario Dr;Teaching Unit,of Psychiatry;Psychological Medicine, Hospital Universitario Doctor Peset,University of;Valencia,Valencia Spain;Hospital General Universitario,Gregorio Mara;Unidad de Salud Mental de Vila-Real, Departamento de Salud,de La;Plana,AgenciaValenciana de Salut Castellâ”œâ”‚n Spain;Rpmd Carlet, Departamento de Salud de Alzira,Conselleria de;Justicia,y. Bienestar Social;Correspondence,Address;Martinez-Raga, Servicio de Psiquiatrâ”œÂ¡a Hospital Universitario Dr Peset,J.;Avda Gaspar Aguilar, Valencia Spain Email martinez josrag,gva es</t>
  </si>
  <si>
    <t>23846135; Attention deficit hyperactivity disorder and dual disorders. Educational needs for an underdiagnosed condition</t>
  </si>
  <si>
    <t>caffeine;cannabis;cocaine;xanthine derivative;attention deficit disorder;medical education;substance abuse;adult;Adult ADHD Clinical Diagnostic Scale;Adult ADHD Self Report Scale;alcoholism;Barkley Adult ADHD Rating Scale IV;Brown Attention Deficit Disorder Scale;cannabis addiction;cocaine dependence;comorbidity;Conners Adult ADHD Diagnostic Interview for DSM IV;Conners Adult ADHD Rating Scale;DSM-5;DSM-IV;DSM-IV-TR;human;lifespan;neuropsychological test;postgraduate education;residency education;review;self report;systematic review;tobacco dependence;Wender Utah Rating Scale;caffeine (58-08-2);cannabis (8001-45-4, 8063-14-7);cocaine (50-36-2, 53-21-4, 5937-29-1);Psychiatry (32);Drug Dependence, Alcohol Abuse and Alcoholism (40)</t>
  </si>
  <si>
    <t>A wide range of comorbid psychiatric disorders overlap with attention-deficit hyperactivity disorder (ADHD) across the life span. There is a robust and complex link between ADHD and substance use disorders (SUD). The aim of this report was to review the neurobiological and other vulnerability factors explaining the comorbidity of ADHD and an addictive disorder, as well as the key aspects of the assessment and diagnosis of dually diagnosed ADHD patients. A comprehensive and systematic search of relevant databases (PubMed, Embase, and PsychINFO) was conducted to identify studies published in peer-reviewed journals until July 31, 2012, with the aim of exploring the association of ADHD and SUD with postgraduate training and residency education. Across the life span, ADHD is associated with significant impairment and comorbidity. Data from epidemiological, clinical and epidemiological studies show a very solid link between ADHD and SUD. Therefore, it is very important to carefully and systematically assess for any substance use in patients with suspected ADHD coming to initial assessment, and vice versa. While there are various valid and reliable rating and screening scales, diagnosis cannot solely rely on any of the instruments available for both SUD and ADHD in adult patients with dual pathology. The most important and effective tool in the assessment of dually diagnosed patients with ADHD and SUD is a full and comprehensive clinical and psychosocial assessment. Hence, it is essential to actively incorporate training opportunities on the assessment, diagnosis, and management of adult ADHD and dually diagnosed ADHD patients during postgraduate education residency or specialist training.</t>
  </si>
  <si>
    <t>(Martinez-Raga J., martinez_josrag@gva.es) (Szerman N.) (Knecht C.) (De Alvaro R.) Walter de Gruyter GmbH, Genthiner Strasse 13, Berlin, Germany.; ID: 2370</t>
  </si>
  <si>
    <t>0334-0139 2191-0278 (electronic)</t>
  </si>
  <si>
    <t>http://www.ncbi.nlm.nih.gov/pubmed/23846135</t>
  </si>
  <si>
    <t>10.1515/ijamh-2013-0057 FULL TEXT LINK http://dx.doi.org/10.1515/ijamh-2013-0057</t>
  </si>
  <si>
    <t>Attention deficit hyperactivity disorder and dual disorders. Educational needs for an underdiagnosed condition</t>
  </si>
  <si>
    <t>Martin-Hirsch,P.;Author,Addresses;Correspondence,Address;Martin-Hirsch,P.</t>
  </si>
  <si>
    <t>Editor's choice</t>
  </si>
  <si>
    <t>BJOG: An International Journal of Obstetrics and Gynaecology</t>
  </si>
  <si>
    <t>(MAJOR FOCUS);misoprostol (drug comparison, drug therapy, sublingual drug administration);oxytocin (drug comparison, drug therapy, intramuscular drug administration);illicit drug;academic achievement;alcohol consumption;health practitioner;medical education;morbidity;parent;posthumous care;postpartum hemorrhage (drug therapy, drug therapy, prevention);registration;stillbirth;surgical drainage;systematic review (topic);twin pregnancy;uterine cervix cytology;vaginal hysterectomy;communication skill;developing country;disease severity;drug efficacy;editorial;environmental exposure;evidence based medicine;fetus death;gestational age;human;law;low drug dose;maternal welfare;mental disease;methodology;nervousness;parent counseling;patient care;patient counseling;perception;phase 3 clinical trial (topic);postmenopause;pregnancy;premenopause;priority journal;professional knowledge;psychological aspect;randomized controlled trial (topic);screening test;Wart virus;misoprostol (59122-46-2, 59122-48-4);oxytocin (50-56-6, 54577-94-5);Obstetrics and Gynecology (10);Public Health, Social Medicine and Epidemiology (17);Drug Literature Index (37)</t>
  </si>
  <si>
    <t>(Martin-Hirsch P.) Blackwell Publishing Ltd, 9600 Garsington Road, Oxford, United Kingdom.; ID: 2543</t>
  </si>
  <si>
    <t>1470-0328 1471-0528 (electronic)</t>
  </si>
  <si>
    <t>2012350257 PUI L365044630</t>
  </si>
  <si>
    <t>10.1111/j.1471-0528.2012.03415.x FULL TEXT LINK http://dx.doi.org/10.1111/j.1471-0528.2012.03415.x</t>
  </si>
  <si>
    <t>Martins,S. S.;Santaella,J.;Pacek,L. R.;Keyes,K.;Cerda,M.;Hasin,D. S.;Galea,S.;Author,Addresses;Columbia University, New York,United States;Epidemiology;Columbia University, New York City,United States;Psychiatry;Behavioral Sciences,Johns,Hopkins University;Baltimore,United States;Correspondence,Address;SS Martins, Epidemiology Columbia University New York,City United;States</t>
  </si>
  <si>
    <t>Are medical marijuana users different than recreational marijuana users?</t>
  </si>
  <si>
    <t>e141</t>
  </si>
  <si>
    <t>(MAJOR FOCUS);cannabis;medical cannabis;alcohol;college;drug dependence;alcohol consumption;anxiety disorder;Asian;cannabis use;comorbidity;demography;drinking;drug use;health;Hispanic;human;logistic regression analysis;major depression;mental disease;physician;population;prevalence;risk;substance use;United States</t>
  </si>
  <si>
    <t>Aims: To describe the profiles of recreational versus medical marijuana users. Methods: Datacamefrom the 2013 U.S. National Survey on Drug Use and Health 54,981 respondents aged 12 and older. Respondents were asked about past-year marijuana use (MU) recreationally and/or as prescribed by a doctor. Using weighted multinomial logistic regression, we compared respondents who were non-MU, recreational MU, medical MU, and recreational+medical MU on demographic characteristics, living in a state with or without medical marijuana laws (MMLs), psychiatric disorders, substance use, and perceived risk of drug use. Results: Of the US population 12 years and older, 11.5% were past-year recreational MU, 0.7% were past-year medical MU, and 0.4% were medical/recreational MU. States with MMLs versus those without such laws had higher prevalence of recreational MU (13.1% vs. 10.8%, p&lt;0.001), medical MU (1.7% vs. 0.2%, p&lt;0.001) and recreational+medicalMU(0.7% vs. 0.3%, p&lt;0.001). Compared to recreational MU, medical users, and recreational+medical MU were more likely to be 18 and older vs. 12-17, to have past-year anxiety disorder and to be past-month alcohol abstainers, and less likely to be Asian vs. non-Hispanic White, adjusted for all other covariates. Past-year major depressive episodes were significantly associated with medical/recreational use vs. recreational-only</t>
  </si>
  <si>
    <t>(Santaella J.) (Martins S.S.; Keyes K.; Cerda M.; Hasin D.S.; Galea S.) (Pacek L.R.) 2015 Annual Meeting of the College on Problems of Drug Dependence, CPDD 2015 Phoenix, AZ, United States 2015-06-13 to 2015-06-18 Elsevier Ireland Ltd; ID: 2050</t>
  </si>
  <si>
    <t>10.1016/j.drugalcdep.2015.07.385 FULL TEXT LINK http://dx.doi.org/10.1016/j.drugalcdep.2015.07.385</t>
  </si>
  <si>
    <t>Maslin,J.;Graham,H. L.;Cawley,M.;Copello,A.;Birchwood,M.;Georgiou,G.;McGovern,D.;Mueser,K.;Orford,J.;Author,Addresses;Birmingham,N.;Mental Hlth T, University of Birmingham,Comb P.;S,U.;P,Edgbaston Birmingham United Kingdom;Comb,P.;P,N.,S.U.;Birmingham Mental Hlth T, Greenfield,Crescent Edgbaston;Birmingham,B15 3Au;Correspondence,Address;HL Graham, Com Psych Sub Use Prog,N.Birmingham Mental;Hlth,Greenfield Crescent Edgbaston Birmingham B.A.U.;United Kingdom Email, H L Graham bham,ac uk</t>
  </si>
  <si>
    <t>Combined severe mental health and substance use problems: What are the training and support needs of staff working with this client group?</t>
  </si>
  <si>
    <t>Journal of Mental Health</t>
  </si>
  <si>
    <t>mental disease;substance abuse;article;clinical practice;community;disease severity;health care access;human;medical specialist;normal human;patient care;questionnaire;staff training;United Kingdom;Public Health, Social Medicine and Epidemiology (17);Psychiatry (32);Drug Dependence, Alcohol Abuse and Alcoholism (40)</t>
  </si>
  <si>
    <t>The difficulties in engaging and treating people with severe mental health problems who also use alcohol/drugs problematically have been highlighted in several studies. The present study sought to assess the training and support requirements of staff within mental health and substance misuse services who work with this client group in an inner city area of the UK. A questionnaire was completed by 136 staff members across community based services. The results showed that the majority of the staff surveyed: already had experience of working with clients with combined severe mental health and substance use problems; rated the importance to their clinical practice of issues in this area very highly; expressed a high level of interest in working with this client group; and very much felt it was part of their role to do so. However, staff identified a number of training and service needs to help them in working with these clients. The findings strongly suggest that staff within the mental health and substance misuse services need information and training about combined severe mental health and substance use problems and access to specialist support and consultation. Establishing better links between the mental health and substance misuse services was seen as essential to provide integrated care.</t>
  </si>
  <si>
    <t>(Maslin J.; Graham H.L., H.L.Graham@bham.ac.uk; Cawley M.; Copello A.; Birchwood M.; Georgiou G.; McGovern D.; Mueser K.; Orford J.) (NHS) (COMPASS) (Graham H.L., H.L.Graham@bham.ac.uk); ID: 3359</t>
  </si>
  <si>
    <t>0963-8237</t>
  </si>
  <si>
    <t>2001183312 PUI L32453393</t>
  </si>
  <si>
    <t>10.1080/09638230124400 FULL TEXT LINK http://dx.doi.org/10.1080/09638230124400</t>
  </si>
  <si>
    <t>Masmoudi,R.;Feki,I.;Ben Touhemi,D.;Sellami,R.;Masmoudi,J.;Author,Addresses;Hedi,Chaker;University Hospital,Psychiatry,Sfax Tunisia;Correspondence,Address;Masmoudi, Hedi Chaker University Hospital Psychiatry Sfax Tunisia,R.</t>
  </si>
  <si>
    <t>Dependence on lorazepam in patients consulting in psychiatry</t>
  </si>
  <si>
    <t>26 Supplement 2</t>
  </si>
  <si>
    <t>(MAJOR FOCUS);lorazepam;alcohol;doctor patient relation;psychiatry;addiction;adult;alcohol consumption;anxiety disorder;bipolar disorder;cell proliferation;clinical article;clinical trial;consultation;cross-sectional study;diagnosis;drug megadose;drug therapy;habit;human;marriage;married person;occupation;pharmacist;prescription;prevalence;primary school;public health problem;schizophrenia;scientific literature;sex ratio;smoking;Tunisia;university hospital;alcohol (64-17-5);lorazepam (846-49-1)</t>
  </si>
  <si>
    <t>Introduction: The main actions of benzodiazepines (hypnotic, anxiolytic, anticonvulsant, myorelaxant and amnesic) confer a therapeutic value in a wide range of conditions. Four of these molecules (alprazolam, clonazepam, diazepam and lorazepam) are listed among the top 100 most commonly prescribed medications. However, benzodiazepines can be addicting when abused and can cause a range of negative effects on the user. Dependence on benzodiazepines is more likely to occur with prolonged use and is becoming a major public health problem. Our aim was to assess the prevalence of lorazepam dependence in psychiatric consultants at the university hospital Hedi Chaker of Sfax (Tunisia). Methods: It was a descriptive, cross-sectional study conducted during a period of 1 month, involving patients consulting in psychiatry at the universitary hospital Hâ”œâŒdi Chaker of Sfax. Sociodemographic and clinical data including age, sex, marital status, education, occupation, habit of smoking and drinking alcohol, length of illness and patients' diagnosis and data related to lorazepam consumption (duration, dose) were collected using a pre-established form. For the evaluation of lorazepam dependence, we used the cognitive scale of attachment to benzodiazepines (ECAB), with a score Î“Ã«Ã‘6 indicates that the patient is dependent. Results: We collected 30 patients. The average age of consultants was 44â”¬â–’12 years with a sex ratio (M/F) = 2. The majority (77.7%) was married and had regular professional activity (70%). Three quarters had primary school education. Concerning addictive habits, half our population was cigarette smokers and quarter had consuming alcohol. The presence of a stressor was noted in 43% of cases, it was related to economic difficulties in 30% of cases. In our study, lorazepam was used to treat a wide variety of disorders; it was prescribed for patients with schizophrenia in 16.6%, bipolar disorder in 6.7%, anxiety disorders in 30% of cases, depressive disorder in 33.3% and a personality disorder in 3.3% case. The mean duration of disease was 11 years. A total of 70% of patients were addicted to lorazepam. Patients had used lorazepam for a mean of 6 years and 7 months, with extremes ranging from 3 months to 30 years. We noticed that the dose consumed (the mean dose consumed = 3.79 mg / day) was higher than the dose prescribed (The mean prescribed dose 3.67 mg / day). Conclusion: Our study showed high prevalence of lorazepam dependence in patients consulting in psychiatry. Many elements from the scientific literature confirm the association between psychiatric disorders and abuse or dependence on benzodiazepines. The danger of chronic usage of prescribed benzodiazepines are now well recognized, that's why doctors have to reevaluate these treatments, their indication, their dosage and duration of prescription. Compliance with the recommendations for prescribing, educating doctors and pharmacists about this addiction and the proliferation of information actions towards patients should be involved to minimize the misuse of these drugs.</t>
  </si>
  <si>
    <t>(Masmoudi R.; Feki I.; Ben Touhemi D.; Sellami R.; Masmoudi J.) 29th European College of Neuropsychopharmacology Congress, ECNP 2016 Vienna, Austria 2016-09-17 to 2016-09-20 Elsevier B.V.; ID: 1906</t>
  </si>
  <si>
    <t>1873-7862</t>
  </si>
  <si>
    <t>Mathur,N.;Basu,A.;Arora,M.;Reddy,K. S.;Author,Addresses;Public,Health Foundation;India,New Delhi India;Correspondence,Address;Mathur, Public Health Foundation of India New Delhi India,N.</t>
  </si>
  <si>
    <t>Building tobacco control capacity in india through short-term and long-term E-learning distance education programmes</t>
  </si>
  <si>
    <t>e899</t>
  </si>
  <si>
    <t>cardiology;education;India;learning;tobacco;administrative personnel;capacity building;cardiologist;cardiovascular disease;counseling;curriculum;developing country;funding;government;health practitioner;human;model;non profit organization;patient;policy;public health;publishing;school;student;United States;university</t>
  </si>
  <si>
    <t>Introduction: Tobacco use poses imminent burden of cardiovascular diseases among current tobacco users. To combat this, unprecedented large scale capacity building pertaining to tobacco control (TC) is needed. Health professionals, including cardiologists play important role in curbing rise of tobacco use by counseling patients, being role models &amp; by promoting policy changes. Online distance learning programmes by Public Health Foundation of India (PHFI) intend to train health professionals in TC. Objectives: 1) Utilize short &amp; long term programmes on TC for capacity building of health professionals working with government &amp; other sectors. 2) To train health professionals on tobacco cessation. 3) Evaluate effectiveness &amp; ease of use of an online learning platform across multiple stakeholders related to TC initiatives in India. Methods: TC course curriculum of short-term (3 months) &amp; long-term (12 months) online programmes includes information adapted from material provided by Johns Hopkins Bloomberg School of Public Health &amp; University of Southern California Keck School of Medicine, USA with funding support from Bloomberg Initiative to Reduce Tobacco Use. PHFI has launched short-term courses on TC (STC 2011) focused at building capacity of health professionals (SCHP), law enforcers (SCLE), administrators (SCAD), legal professionals (SCLP) &amp; journalists (SCJR). Learning management system (LMS) was developed for online delivery of courses including lectures, quizzes, assignments etc. Lectures covering different TC issues along with roles of stakeholders in TC were peer reviewed &amp; recorded by international &amp; national experts. This paper aims to evaluate profile and performance of participants accessing first ever online capacity building courses launched in a developing country context. Results: Total of 71 students are enrolled in first batch of STC 2011. Of them, 75% are Government nominated &amp; 25% are self-sponsored. About 62%, 30% &amp; 8% of total students have joined SCHP, SCLE &amp; SCAD respectively. Curriculum was well received by students. Online discussion forum &amp; Q &amp; A board were used to clarify doubts. Some faced difficulty in downloading files. Conclusion: Online courses on TC provide opportunity for professionals to learn TC from national &amp; international experts. LMS was used for sharing ideas, opinions &amp; clearing doubts on TC issues.</t>
  </si>
  <si>
    <t>(Mathur N.; Basu A.; Arora M.; Reddy K.S.) World Congress of Cardiology Scientific Sessions 2012, WCC 2012 Dubai, United Arab Emirates 2012-04-18 to 2012-04-21 Lippincott Williams and Wilkins; ID: 2556</t>
  </si>
  <si>
    <t>10.1161/CIR.0b013e31824fcdb3 FULL TEXT LINK http://dx.doi.org/10.1161/CIR.0b013e31824fcdb3</t>
  </si>
  <si>
    <t>Matthews,M. L.;Jamison,R. N.;Ross,E.;Scanlan,E. M.;Tishler,L. W.;Author,Addresses;Massachusetts,College of;Health,Sciences;Boston,United States;Brigham;Women's Hospital,Pain;Management Center, Chestnut Hill,United States;Brigham;Women's Hospital, Phyllis Jen Center,for Primary;Care,Boston United States;Correspondence,Address;ML Matthews, Massachusetts College,of Pharmacy;Health,Sciences;Boston,United States</t>
  </si>
  <si>
    <t>An interdisciplinary approach to reducing opioid analgesic misuse in patients with chronic noncancer pain in the primary care setting</t>
  </si>
  <si>
    <t>405e</t>
  </si>
  <si>
    <t>406e</t>
  </si>
  <si>
    <t>(MAJOR FOCUS);narcotic analgesic agent;opiate;clinical pharmacy;college;human;pain;patient;primary medical care;abuse;addiction;adverse drug reaction;analgesia;chronic pain;drug therapy;general practitioner;health care personnel;hospital;interview;medical specialist;nurse practitioner;pain assessment;patient selection;pharmacist;physician;policy;prescription;psychiatrist;psychiatry;psychologist;risk assessment;software;therapy</t>
  </si>
  <si>
    <t>PURPOSE: Many health care professionals are reluctant to support the use of opioid analgesics for patients with chronic noncancer pain because of concerns regarding adverse effects, lack of efficacy, tolerance, and addiction. Within the past ten years the prescription of opioids for the treatment of chronic pain has increased exponentially, primarily for noncancer pain, and the abuse of such medications is receiving increasing notice. Chronic pain patients who show aberrant drug-related behavior are often dismissed from a primary care practice when they are nonadherent with opioid therapy, instead of being offered interventions to reduce misuse and to improve adherence. Unfortunately, there are few treatment resources for such patients. Through the implementation of an interdisciplinary approach to chronic pain management, we are seeking to remedy that deficit, with the goal of reducing the rate of prescription opioid misuse among those patients on or who are being considered for opioid therapy within the primary care setting. METHODS: An interdisciplinary team of pain specialists consisting of a physician, clinical pharmacist, psychologist, nurse practitioner, and psychiatrist will work closely with primary care physicians to implement the following services and programs: direct clinical support through a weekly pharmacist-directed chronic pain management clinic embedded within the primary care center to provide recommendations for therapy and ensure adherence to an institution-wide opioid use policy; use of an electronic software program that conducts computerized 'live' interviews of patients and offers a provider report with a summarized pain assessment; psychiatry consult service to manage opioid abuse/addiction issues; and monthly provider educational sessions on pain assessment and management to promote proper patient selection and risk assessment. RESULTS: This approach to the use of opioid analgesics will help to improve adherence and reduce misuse within the primary care setting.</t>
  </si>
  <si>
    <t>(Matthews M.L.) (Jamison R.N.; Ross E.; Scanlan E.M.) (Tishler L.W.) 2011 Annual Meeting of the American College of Clinical Pharmacy Pittsburgh, PA, United States 2011-10-16 to 2011-10-19 Pharmacotherapy Publications Inc.; ID: 2633</t>
  </si>
  <si>
    <t>Matusiewicz,A. K.;Bohnert,A. S.;Bonar,E. E.;Ilgen,M.;Author,Addresses;Management,V. A. C.;Research,Ann Arbor United States;Psychiatry;University of Michigan Medical School, Ann Arbor,United States;System,V. A. A.;Ann Arbor,United States;Correspondence,Address;AK Matusiewicz, V A Center for Clinical Management Research,Ann Arbor;United,States</t>
  </si>
  <si>
    <t>Non-medical prescription opioid use and commercial sex work among adults in residential substance use treatment</t>
  </si>
  <si>
    <t>e142</t>
  </si>
  <si>
    <t>(MAJOR FOCUS);opiate;cocaine;adult;college;drug dependence;prescription;prostitution;substance use;ethnic group;female;gender;human;logistic regression analysis;mental disease;model;prevalence;residential care;risk factor;self report</t>
  </si>
  <si>
    <t>Aims: High rates of substance use have been documented among individuals involved in commercial sex work (CSW) and a significant proportion of adults seeking substance use treatment report prior CSW. Little is known about the relationship between CSW and non-medical prescription opioid use (NMPOU), as research in this area was conducted before the escalation-NMPOU in the US. The aims of this study were to describe the prevalence of recent CSW in a large residential substance use treatment center; and examine the association betweenNMPOuse and CSW after controlling for demographic and clinical risk factors. Methods: Participants were 504 adults recruited from a residential treatment center between 2009-2013. Participants completed self-report measures of CSW, NMPOU, substance use and psychiatric symptoms. Bivariate and multivariate logistic regressions were used to examine the relationship between CSW and NMPOU, before and after adjusting for demographic and clinical correlates of CSW. Results: Results indicated that 14% (n = 71) of participants engaged in CSW in the previous month. NMPOU use was more common in those with a history of CSW (84% of sex workers vs. 54% of non-sex workers; OR = 4.48, p &lt;.05). In the multivariate model, CSW was associated with female gender, ethnic minority status, global psychiatric symptom severity and cocaine use. After controlling for these factors, NMPOU remained significantly more common in those who engaged in CSW (OR = 2.39, p &lt;.05). Conclusions: Individuals engaged in sex work reported extremely high rates of NMPOU, and NMPOU was associated with sex work after adjusting for psychiatric symptoms and other substance use. Residential treatment provides a unique opportunity to address the complex psychosocial and psychiatric needs of substance users involved in CSW, but continued work is needed to develop interventions for this vulnerable group.</t>
  </si>
  <si>
    <t>(Matusiewicz A.K.; Bohnert A.S.; Ilgen M.) (Matusiewicz A.K.; Bohnert A.S.; Bonar E.E.; Ilgen M.) 2015 Annual Meeting of the College on Problems of Drug Dependence, CPDD 2015 Phoenix, AZ, United States 2015-06-13 to 2015-06-18 Elsevier Ireland Ltd; ID: 2047</t>
  </si>
  <si>
    <t>10.1016/j.drugalcdep.2015.07.388 FULL TEXT LINK http://dx.doi.org/10.1016/j.drugalcdep.2015.07.388</t>
  </si>
  <si>
    <t>May,L.;Sanchez-Reilly,S.;Frausto,E.;Lee,S.;Garcia,J.;Author,Addresses;University,of Texas;Center at San Antonio, San Antonio,United States;South Texas Veterans Health Care System, San,Antonio United;States;Symptom Management Consultants, Houston,United States;Correspondence,Address;May, University of Texas Health Science Center at San Antonio San,L.;Antonio,United States</t>
  </si>
  <si>
    <t>Yes, i can live with less pain: A pain educational intervention improving patient-centered care and attitudes among older adults</t>
  </si>
  <si>
    <t>adult;American;hospice;human;nurse;pain;palliative therapy;patient care;addiction;analgesia;chronic pain;drug therapy;fear;female;health care personnel;male;patient;patient worry;physician;pilot study;policy;questionnaire;reading;side effect;social stigma;videorecording</t>
  </si>
  <si>
    <t>Objectives Î“Ã‡Ã³ Discuss how a patient-centered educational intervention may improve attitudes towards pain management among older adults. Î“Ã‡Ã³ Demonstrate the impact of an outpatientcentered educational intervention in future decisions related to pain medication utilization. Original Research Background. Uncontrolled chronic pain is very common among older adults (OA). Pain is a complex symptom with subjective measurements that is also difficult to manage due to social stigma related to treatment. Research Objectives. To assess if case-based, low-literacy educational interventions may influence knowledge, attitudes and behaviors related to pain management among OA. Methods. A case-based, low-literacy, bilingual video was developed to educate OA on medication side effects, address addiction fears, and encourage OA to discuss pain with their clinicians/families. Educational intervention included a short presentation by a healthcare professional followed by video. Intervention targeted OA at six senior care centers. Bilingual preand post-questionnaires were administered. Results. N=114, mean age 76. 85 (73%) female and 31 (27%) male. 29% OA stated that they Î“Ã‡Â£worryÎ“Ã‡Â¥ about taking pain medications, with 8% of those who responded specifically stating they would be concerned regarding addiction. When comparing pre-/ post- survey results, 40% positively shifted from initially answering they would be worried regarding addiction to pain medications (56.3%) to after the intervention answering they would worry less regarding addiction (16.8%) (p&lt;0.001). 48.3% OA also initially stated it would be easy to discuss pain with clinicians, and this number increased to 73.3% OA answering after the intervention that they would feel comfortable discussing their pain symptoms with clinicians (p&lt;0.0014). Conclusion. This pilot study demonstrated that patient- centered educational interventions can empower OA to discuss pain-related concerns with their clinicians as demonstrated by the positive shift in response when OA were asked if they would feel comfortable discussing their symptoms. This intervention also alleviated fears of OA regarding pain medication side effects, such as addiction. Implications for Research, Policy or Practice. Future interventions are needed to develop validated questionnaires regarding pain and pain medication effects to encourage OA to have their pain addressed early and with their physicians.</t>
  </si>
  <si>
    <t>(May L.; Sanchez-Reilly S.; Frausto E.) (Lee S.) (Garcia J.) Annual Assembly of the American Academy of Hospice and Palliative Medicine and the Hospice and Palliative Nurses Association 2016 Chicago, IL, United States 2016-03-09 to 2016-03-12 Elsevier Inc.; ID: 1996</t>
  </si>
  <si>
    <t>Mayda,H.;Soyucok,E.;Guzel,I.;Gorucu,Y.;Bagcioglu,E.;Author,Addresses;Department,of Psychiatry;State Hospital,Mardin Turkey;Department of Psychiatry, Dumlupinar University,Faculty of;Medicine,Kutahya Turkey;Department of Psychiatry, Konya Aksehir State,Hospital Konya;Turkey;Department,of Psychiatry;University,Faculty of Medicine Afyonkarahisar Turkey;Correspondence,Address;Mayda, Department of Psychiatry Mardin Kiziltepe State Hospital Mardin,H.;Turkey Email,mayda,yahoo com</t>
  </si>
  <si>
    <t>Attitudes of general population and physicians towards alcohol addiction</t>
  </si>
  <si>
    <t>25 SUPPL. 1</t>
  </si>
  <si>
    <t>S199</t>
  </si>
  <si>
    <t>alcohol;alcoholism;human;medical education;physician;population;psychopharmacology;addiction;community;disabled person;drug dependence;education;hazard;health center;personality;population group;psychiatry;public hospital;reliability;skill;social distance;university hospital;validity</t>
  </si>
  <si>
    <t>Objective: To assess attitudes of general population and physicians towards alcohol addiction and to investigate whether medical education has a positive effect towards alcohol dependence or not. Method: 99 medical doctors workingat Afyonkarahisar University hospital, in public hospitals or health centers and 101 people selected from the community to represent the overall population participated in our study. Socio-demographic information of the participants were received, and then they were asked to complete the Social Distance Scale (SDS), the Characteristics Scale (CS), the Skill Assessment Scale (SAS), and the Dangerousness Scale (DS) anonymously, without the related stigma. Validity and reliability of this survey were reported in previous studies. DS consists of eight (8) items concerning Social Distance, measuring establishing contact with person affected by a given condition. CS consists of twenty (20) items. This evaluates the impact of personality and behavior attributed to a person affected by a given condition. SAS defines various not obviously expressed abilities related to a given condition. DS consists of four (4) items, investigating whether a mentally disabled patient is a threat to others. Results: Comparing Doctors' and general population groups according to the stigma sub-scale, there was no statically significant difference between the two groups (p&gt;0.05). Conclusions: In this study, it was found that there was no significant difference between attitudes towards alcohol addicts between Doctors' and General population groups, 2 out of 3 people in both groups have negative attitudes towards alcohol addicts and medical education did not change these attitudes. Discrimination and stigma applied towards addicted people may obstruct the treatment of addiction. Especially, doctors play an important role for reducing stigmatization towards addicted people within the community. During medical education (especially rotation of psychiatry), application and development of new education strategies about addiction, in addition to basic courses, may help to reduce negative attitudes towards alcohol addicted people.</t>
  </si>
  <si>
    <t>(Mayda H., mayda4268@yahoo.com) (Soyucok E.) (Guzel I.) (Gorucu Y.; Bagcioglu E.) 7th International Congress on Psychopharmacology Antalya, Turkey 2015-04-15 to 2015-04-19 Cukurova Univ Tip Fakultesi Psikiyatri Anabilim Dali; ID: 2043</t>
  </si>
  <si>
    <t>Mayorga,L.;Author,Addresses;City of Hope National,Medical Center;Correspondence,Address;Mayorga, City of Hope National Medical Center United States,L.</t>
  </si>
  <si>
    <t>Cancer and pain management: Debunking myths in latino patients and caregivers</t>
  </si>
  <si>
    <t>24 SUPPL. 2</t>
  </si>
  <si>
    <t>analgesia;caregiver;Hispanic;human;literature;neoplasm;oncology;patient;addiction;cancer pain;cancer patient;cancer therapy;comfort;community;disease course;drug therapy;education;fear;follow up;health;health care;health education;health educator;information processing;interpersonal communication;learning;medical information;meditation;music;nociception;nurse;pain;pain assessment;physician;safety;speech;therapy delay;voice</t>
  </si>
  <si>
    <t>BACKGROUND/PURPOSE: Pain is a sensitive topic among Latinos, due to fear of disease progression, treatment delays or fear of pain medication addiction. To date, limited Spanish educational materials/programs on pain management are available. In the USA, pain is the most common reason individuals consult with a physician, yet for many-especially the Hispanic community-pain is a very sensitive topic especially among cancer patients. However, through culturally relevant education on how best to manage pain, patients can empower themselves to have an active voice in their healthcare and learn how their cancer journey can be pain free. The purpose of this educational intervention was to educate Spanish speaking patients, families and caregivers on pain management and debunking their myths about cancer pain. METHODS: Based on results of performance improvement activity amongst new Latino cancer patients, an educational intervention was provided to Spanish speaking cancer patients, caregivers and their families over a 2-year period. Pretests and posttests were collected as well as 1-month follow-up calls and focus groups. A total of 10 Spanish pain classes were conducted by Advance Practice Nurse and Health Educator. Five interactive components were embedded to ensure patients understanding and learning. The educational intervention and resources were provided in Spanish. Education was provided on: types of cancer pain, pain scales, pain diaries, medication safety, including CAM and non-therapeutic options for pain management. Including education on dispelling myths/perceptions of cancer pain and taking an active role in their care by communicating their pain. Patients/Families received a 2 h educational class and were provided culturally relevant tools and resources. RESULTS: A total of 64 patients and caregivers attended the educational program in Spanish. Of these, 36 were caregivers. The educational intervention further identified a distorted perception of pain when undergoing cancer treatment: (1) pain was not manageable (2) part of the treatment process (3) a way that the body is getting rid of cancer. Others refused medication for fear of addiction. When asked how they dealt with pain, the majority mentioned that they preferred to receive support or comfort in their families or talk with other cancer patients in similar situations. Some patients shared that they did not communicate their pain issues to their healthcare team, for fear of treatment delay. In addition 75% were currently experiencing cancer pain, of those 90% had yet to discuss this with their medical team and 50% did not know that cancer pain could be managed. Patients stated that the class provided them with tools and resources to take more of an active role in their care and managing their pain. CONCLUSIONS: After attending class patients are able to take more of an active role in their care. Attendees are able to communicate their pain to their healthcare team by using descriptive words and/or using the pain scale to rate their pain or describe it. Patients have incorporated non-drug intervention strategies to help them cope with pain (music, meditation, attending educational classes). Patients reported improvements in communication with their healthcare team, managed pain and ability to better enjoy day-to-day activities. Caregivers reported a better sense of taking control of their care as well and empowered to be better advocates of their own health. Research Implications: Findings from this study can guide future research interventions and education to improve cancer pain perceptions amongst Latinos and patient engagement in the healthcare process. It can also guide the development of future educational programs for patients and families and to explore innovative ways to deliver pain educational programs and interventions. Practice Implications: Understanding gained from this study provides an opportunity to enhance health communication and health education strategies more effectively to benefit patients and families.</t>
  </si>
  <si>
    <t>(Mayorga L.) 2015 World Congress of Psycho-Oncology Washington, DC, United States 2015-07-28 to 2015-08-01 John Wiley and Sons Ltd; ID: 2089</t>
  </si>
  <si>
    <t>10.1002/pon.3874 FULL TEXT LINK http://dx.doi.org/10.1002/pon.3874</t>
  </si>
  <si>
    <t>Mayorga,L.;Espenschied,J.;Cooke,L.;Gotto,J.;Lynn,R.;Grant,M.;Snyder,D.;Author,Addresses;City;of Hope National Medical Center, Duarte,United States;Md Anderson Cancer Center, Houston,United States;Correspondence,Address;Mayorga, City of Hope National Medical Center Duarte United States,L.</t>
  </si>
  <si>
    <t>Pre-transplant substance use: A retrospective chart review of inpatient psychiatric consultations within 100 days of hematopoietic cell transplantation</t>
  </si>
  <si>
    <t>alcohol;street drug;cell transplantation;consultation;hematopoietic cell;hospital patient;human;medical record review;oncology;society;substance use;transplantation;addiction;adult;alcohol consumption;anxiety;cannabis use;compliance (physical);disease management;drug use;education;gender;hospital readmission;hospitalization;mental disease;morbidity;mortality;organ transplantation;patient;patient education;population;psychiatrist;risk;risk assessment;sample size;screening;smoking;social worker;solid;statistics;substance abuse;therapy;tobacco;wellbeing</t>
  </si>
  <si>
    <t>PURPOSE: The Hematopoietic Cell transplant (HCT) experience can include multiple readmissions, complications, slow recovery and long-term issues. Furthermore, addictive behaviors can contribute or significantly impact a patient's outcome during the HCT process (Stagno, 2008). Despite the literature discussing known characteristics which may place patients at risk for psychiatric morbidity before transplant; to date, there is no report of a complete risk assessment of transplant patients, including use of alcohol and drugs. The purpose of this study was to identify common characteristics of HCT patients who received psychiatric interventions within 100 days of transplant. METHODS: This retrospective chart review includes adult HCT patients from the year 2011 who were referred for psychiatric evaluation within 100 days of transplant, either pre-transplant for screening or during inpatient hospitalization for transplant. Data on sociodemographic, disease, treatment, assessment and personal characteristics of transplant patients who receive psychiatric evaluations were collected in a retrospective tool. Psychiatric variables were collected from psychiatrist's dictated consultation note and social worker's pre-transplant evaluation prior to admission. Analysis included simple frequencies and descriptive statistics. RESULTS: 22 charts were reviewed that met eligibility criteria. Gender was equally distributed; average age of 40.3 (age range 23-64). Common reasons for referral were depression (40.9%) and other (40.9%);Î“Ã‡Â£otherÎ“Ã‡Â¥ included referrals for: substance abuse (7.7%), bipolar history (7.7%), and Î“Ã‡Â£pre-transplant evaluationÎ“Ã‡Â¥ (30.8%). Half of the patients had previous psychiatric illness, with anxiety and depression contributing to majority. Higher incidence of substance and alcohol use was noted in study population: alcohol use within 6 months (22.7%), history marijuana use (22.7%), history of tobacco or smoking (18.2%) and street drug use (4.5%). Half of the patients experienced pretransplant distress. CONCLUSIONS: Although this was a small sample size, the rate of substance use in this HCT population was relatively high. Data provides a glance at the psychosocial and psychiatric issues that HCT patient's experience. Further research is needed on the effects of substance use amongst this population before/after treatment and its predictors on compliance, medical management and complications. Including education of staff involved in pre-transplant screening and patient education regarding potential problems that can arise if substance abuse occurs during transplant process and postdischarge. RESEARCH IMPLICATIONS: Currently there is little to no research available on the effects of substance abuse amongst the HCT population. Most of the research has been focused on solid organ transplantation. CLINICAL IMPLICATIONS: At times patients with prior history of alcohol or substance abuse are overlooked prior to transplantation. Patients with preexisting alcohol or substance use are at a higher risk for morbidity and mortality while undergoing an HCT, including impacting medical management, physical and emotional-wellbeing.</t>
  </si>
  <si>
    <t>(Mayorga L.; Espenschied J.; Cooke L.; Gotto J.; Grant M.; Snyder D.) (Lynn R.) 11th Annual Conference of the American Psychosocial Oncology Society, APOS 2014 Tampa, FL, United States 2014-02-13 to 2014-02-15 John Wiley and Sons Ltd; ID: 2264</t>
  </si>
  <si>
    <t>10.1002/pon.3478 FULL TEXT LINK http://dx.doi.org/10.1002/pon.3478</t>
  </si>
  <si>
    <t>Mazer-Amirshahi,M.;Mullins,P. M.;Pines,J. M.;Nelson,L.;Perrone,J.;Author,Addresses;Children's National,Medical Center;States;George,Washington University;States;New York University, New York,United States;University of Pennsylvania, Philadelphia,United States;Correspondence,Address;Mazer-Amirshahi, Children's National Medical Center Washington United,M.;States</t>
  </si>
  <si>
    <t>Trends in opioid prescribing in U.S. Emergency departments based on provider level of training</t>
  </si>
  <si>
    <t>(MAJOR FOCUS);opiate;codeine;hydrocodone;hydromorphone;morphine;narcotic analgesic agent;oxycodone;emergency medicine;emergency ward;society;United States;adult;drug therapy;hospital;human;logistic regression analysis;medical care;nurse practitioner;patient;physician;physician assistant</t>
  </si>
  <si>
    <t>Background: Over the past decade, there have been significant increases in opioid analgesic prescribing. Variation in opioid prescribing based on provider level of training and specific opioids is less well characterized. Objectives: To assess trends in opioid prescribing based on provider level of training and specific agents in U.S. EDs. Methods: We reviewed all ED visits from the CDC's National Hospital Ambulatory Medical Care Survey (NHAMCS) 2001-2010 involving patients Î“Ã«Ã‘18 years. Trends in ED prescribing of all opioids stratified by Drug Enforcement Agency (DEA) schedule and provider level of training were analyzed. Prescribing trends for five common opioids (codeine, hydrocodone, hydromorphone, morphine, and oxycodone) were individually explored. Visits were stratified into three categories by provider level of training: those that involved an attending physician only, a resident, or a mid-level provider (nurse practitioner, physician assistant). The proportion of visits for which each medication was prescribed was tabulated and trends were analyzed using survey-weighted logistic regression. Results: The weighted estimate of adult ED visits increased from 81,251,195 in 2001 to 100,027,879 in 2010 and the proportion of visits during which an opioid was prescribed by any provider increased from 10.0% to 19.0%, p&lt;0.001. Overall opioid prescribing increased for all visit types but was most pronounced in visits involving residents. Prescribing of schedule II agents increased more than schedule III-V agents for all groups (Table 275). Hydromorphone use increased the most for all provider groups (433.4%-529.9%, p&lt;0.001), followed by morphine (139.7%-219.9%, p&lt;0.001) and oxycodone (94.7%-142.3%, p&lt;0.001). A variable effect was noted on codeine and hydrocodone prescribing among providers. Conclusion: There were significant increases in opioid prescribing among visits involving all providers over time, with hydromorphone demonstrating the greatest increase among the opioids studied. Visits involving residents showed the largest change among providers. (Table presented).</t>
  </si>
  <si>
    <t>(Mazer-Amirshahi M.) (Mullins P.M.; Pines J.M.) (Nelson L.) (Perrone J.) 2014 Annual Meeting of the Society for Academic Emergency Medicine, SAEM 2014 Dallas, TX, United States 2014-05-13 to 2014-05-17 Blackwell Publishing Ltd; ID: 2231</t>
  </si>
  <si>
    <t>10.1111/acem.12365 FULL TEXT LINK http://dx.doi.org/10.1111/acem.12365</t>
  </si>
  <si>
    <t>Mazer-Amirshahi,M.;Mullins,P. M.;Pines,J. M.;Nelson,L. S.;Perrone,J.;Author,Addresses;George Washington,University;Washington,United States;New York University, School of Medicine New,York United;States;Perelman School of Medicine, University,of Pennsylvania;Philadelphia,United States;Correspondence,Address;Mazer-Amirshahi, George Washington University Washington United States,M.</t>
  </si>
  <si>
    <t>Trends in opioid prescribing in US emergency departments based on provider level of training</t>
  </si>
  <si>
    <t>(MAJOR FOCUS);opiate;codeine;hydrocodone;hydromorphone;morphine;narcotic analgesic agent;oxycodone;emergency ward;accreditation;adult;analgesia;disease control;drug therapy;hospital;human;logistic regression analysis;medical care;nurse practitioner;patient;physician assistant;prevention;training</t>
  </si>
  <si>
    <t>Background: Over the past decade, there have been significant increases in opioid analgesic prescribing. Variation in opioid prescribing based on provider level of training and specific opioids is less well characterized. Research question: This study aims to assess trends in opioid prescribing based on provider level of training and specific agents in US EDs. Methods: We reviewed all ED visits from the Centers for Disease Control and Prevention's National Hospital Ambulatory Medical Care Survey (NHAMCS) 2001-2010 involving patients Î“Ã«Ã‘18 years. Trends in ED prescribing of all opioids stratified by Drug Enforcement Agency (DEA) schedule and provider level of training were analyzed. Prescribing trends for five common opioids (codeine, hydrocodone, hydromorphone, morphine, and oxycodone) were individually explored. Visits were stratified into three categories by provider level of training: those that involved an attending only, a resident or midlevel provider (nurse practitioners, physician assistants). The proportion of visits for which each medication was prescribed was tabulated and trends were analyzed using survey-weighted logistic regression. Results: The weighted estimate of adult ED visits increased from 81,251,195 in 2001 to 100,027,879 in 2010 and the proportion of visits during which an opioid was prescribed by any provider increased from 10.0 to 19.0%, p&lt;0.001. Overall opioid prescribing increased for all visit types but was most pronounced in visits involving residents. Prescribing of schedule</t>
  </si>
  <si>
    <t>(Mazer-Amirshahi M.; Mullins P.M.; Pines J.M.) (Nelson L.S.) (Perrone J.) 2014 ACMT Annual Scientific Meeting Phoenix, AZ, United States 2014-03-28 to 2014-03-30 Springer New York LLC; ID: 2257</t>
  </si>
  <si>
    <t>1556-9039</t>
  </si>
  <si>
    <t>10.1007/s13181-013-0376-x FULL TEXT LINK http://dx.doi.org/10.1007/s13181-013-0376-x</t>
  </si>
  <si>
    <t>Maziak,W.;Author,Addresses;Correspondence,Address;Maziak,W.</t>
  </si>
  <si>
    <t>11423901; Smoking habits of students in college of Applied Medical Sciences, Saudi Arabia</t>
  </si>
  <si>
    <t>smoking (epidemiology);student;university;adult;age distribution;epidemiology;female;human;male;methodology;note;prevalence;Saudi Arabia (epidemiology);sex ratio;standard;statistical analysis;statistics</t>
  </si>
  <si>
    <t>(Maziak W.); ID: 3382</t>
  </si>
  <si>
    <t>http://www.ncbi.nlm.nih.gov/pubmed/11423901</t>
  </si>
  <si>
    <t>Smoking habits of students in college of Applied Medical Sciences, Saudi Arabia</t>
  </si>
  <si>
    <t>McAvoy,B. R.;Author,Addresses;Department of Primary Health Care, School of,Health Sciences;University of Newcastle Upon Tyne, Newcastle upon,Tyne N.;Kingdom;Correspondence,Address;BR McAvoy, Department of Primary Health Care School of,Health Sciences;University of Newcastle upon Tyne, Newcastle upon,Tyne N.;Kingdom</t>
  </si>
  <si>
    <t>9131897; Training general practitioners</t>
  </si>
  <si>
    <t>alcohol;alcoholism (diagnosis, prevention);medical education;article;early diagnosis;general practice;general practitioner;health care personnel;human;primary health care;priority journal;screening test;social work;training;United Kingdom;alcohol (64-17-5);Public Health, Social Medicine and Epidemiology (17);Health Policy, Economics and Management (36);Drug Dependence, Alcohol Abuse and Alcoholism (40)</t>
  </si>
  <si>
    <t>Nationally there is no standardized system for the education and training of general practitioners (GPs) within the UK in relation to prevention, early detection and management of alcohol problems. A number of surveys over the past 20 years have confirmed GPs' role legitimacy concerning working with excessive drinkers, but identified a lack of role adequacy and role support for this work. However, there are considerable constraints present in current UK general practice which limit opportunities for education and training of GPs. A possible way ahead may be to encourage general practitioners to utilize a screening and early intervention programme, coupled with ongoing support and imaginative use of other primary health care workers, community workers and the secondary services.</t>
  </si>
  <si>
    <t>(McAvoy B.R.) Oxford University Press, Great Clarendon Street, Oxford, United Kingdom.; ID: 3488</t>
  </si>
  <si>
    <t>http://www.ncbi.nlm.nih.gov/pubmed/9131897</t>
  </si>
  <si>
    <t>McCance-Katz,E.;Author,Addresses;University of California, San Francisco,American Academy;of Addiction,Psychiatry;Correspondence,Address;McCance-Katz, University of California San Francisco American Academy,E.;of Addiction,Psychiatry</t>
  </si>
  <si>
    <t>Psychiatry resident training in office-based treatment of opioid dependence (OBOT): A new method of addiction training and early results</t>
  </si>
  <si>
    <t>(MAJOR FOCUS);opiate;addiction;psychiatry;residency education;examination;physician;registration;substance abuse;training</t>
  </si>
  <si>
    <t>The Center for Substance Abuse Treatment (CSAT) provided a grant to the American Academy of Addiction Psychiatry (AAAP) to provide a novel training program in OBOT to psychiatry residents at the PGY 3 and 4 level. A novel method for training developed at AAAP that includes four hours of self study with an examination followed by four hours of face-to-face training by a qualified trainer who practices OBOT has been offered to psychiatry residency programs that have an accredited Addiction Psychiatry residency program. Completion of this course provides the training necessary for residents to become waivered to practice OBOT (when fully licensed and having obtained a DEA registration). The structure of this program, topics presented, and participation to date will be presented. This novel training intervention may be generalizable to other residency training programs and offers a means of providing the underpinnings of addiction medicine to physicians-in-training.</t>
  </si>
  <si>
    <t>(McCance-Katz E.) AAAP 19th Annual Meeting and Symposium Informa Healthcare; ID: 2881</t>
  </si>
  <si>
    <t>McCarty,D.;Gustafson,D.;Capoccia,V. A.;Cotter,F.;Author,Addresses;Department,of Public;Preventive;Medicine,Oregon Health;Science University,C.B.S.W.Sam Jackson;Park Road,Portland,O.R.United States;Office,N. IAT;University of Wisconsin, Walnut Street,Madison W.;States;Open Society,Institute-Baltimore;North Charles Street, Baltimore,M.D.United States;Center,for Substance;Treatment,Substance Abuse;Mental,Health Services;Choke Cherry Road, Rockville,M.D.United States;Correspondence,Address;McCarty, Department of Public Health,D.;Preventive Medicine,Oregon;Health;Science University, C B S W Sam Jackson,Park Road;Portland,O. R. U.</t>
  </si>
  <si>
    <t>18259871; Improving care for the treatment of alcohol and drug disorders</t>
  </si>
  <si>
    <t>Journal of Behavioral Health Services and Research</t>
  </si>
  <si>
    <t>(MAJOR FOCUS);alcohol;drug therapy;addiction;health;mental health;patient</t>
  </si>
  <si>
    <t>The Network for the Improvement of Addiction Treatment (NIATx) teaches alcohol and drug treatment programs to apply process improvement strategies and make organizational changes that improve quality of care. Participating programs reduce days to admission, increase retention in care, and spread the application of process improvement within their treatment centers. More generally, NIATx provides a framework for addressing the Institute of Medicine's six dimensions of quality care (i.e., safe, effective, patient-centered, efficient, timely, and equitable) in treatments for alcohol, drug, and mental health disorders. NIATx and its extensions illustrate how the behavioral health field can respond to the demand for higher quality treatment services. â”¬âŒ 2008 National Council for Community Behavioral Healthcare.</t>
  </si>
  <si>
    <t>(McCarty D., mccartyd@ohsu.edu) (Gustafson D., dhgustaf@facstaff.wisc.edu) (Capoccia V.A., vcapoccia@sorosny.org) (Cotter F., frances.cotter@samhsa.hhs.gov) Springer New York, 233 Springer Street, New York, United States.; ID: 2941</t>
  </si>
  <si>
    <t>http://www.ncbi.nlm.nih.gov/pubmed/18259871</t>
  </si>
  <si>
    <t>10.1007/s11414-008-9108-4 FULL TEXT LINK http://dx.doi.org/10.1007/s11414-008-9108-4</t>
  </si>
  <si>
    <t>Improving care for the treatment of alcohol and drug disorders</t>
  </si>
  <si>
    <t>McCombe,G.;Henihan,A. M.;Leahy,D.;Klimas,J.;Lambert,J. S.;Cullen,W.;Author,Addresses;Ucd,School of Medicine Health Sciences Building Dublin;Ireland;Graduate Entry Medical School,University of;Limerick,Ireland;Correspondence,Address;School of Medicine Health Sciences Building Dublin,G.McCombe, U.C.D.;Ireland Email, mccombe geoff,gmail com</t>
  </si>
  <si>
    <t>Commentary on Zeremski et al. (2016): Improvements in HCV-related knowledge among substance users on opioid agonist therapy after an educational intervention</t>
  </si>
  <si>
    <t>(MAJOR FOCUS);opiate agonist;attitude to health;Hepatitis C virus;medical education;substance abuse;alcohol consumption;alcoholism;health care access;hepatitis C;high risk population;human;infection risk;Ireland;letter;liver cirrhosis;liver injury;oxidative stress;patient compliance;primary medical care;priority journal;seroprevalence;treatment outcome;treatment planning;Public Health, Social Medicine and Epidemiology (17);Microbiology: Bacteriology, Mycology, Parasitology and Virology (4);Drug Dependence, Alcohol Abuse and Alcoholism (40)</t>
  </si>
  <si>
    <t>(McCombe G., mccombe.geoff@gmail.com; Leahy D.; Klimas J.; Lambert J.S.; Cullen W.) (Henihan A.M.) Lippincott Williams and Wilkins, agents@lww.com; ID: 2021</t>
  </si>
  <si>
    <t>20160856677 PUI L613362080</t>
  </si>
  <si>
    <t>10.1097/ADM.0000000000000244 FULL TEXT LINK http://dx.doi.org/10.1097/ADM.0000000000000244</t>
  </si>
  <si>
    <t>McConnell,J.;Choo,E.;Zaller,N.;Benz,M.;Warren,O.;Rising,K.;Author,Addresses;Department of,Emergency Medicine;University,Providence United States;Department of Medicine, Brown University,Providence United;States;Department of Emergency Medicine, University,of Pennsylvania;Philadelphia,United States;Department of,Emergency Medicine;Science;University,Portland United States;Correspondence,Address;McConnell, Department of Emergency Medicine Oregon Health,J.;Science;University,Portland United States</t>
  </si>
  <si>
    <t>The impact of state medical marijuana legislation on adolescent marijuana use</t>
  </si>
  <si>
    <t>e200</t>
  </si>
  <si>
    <t>(MAJOR FOCUS);medical cannabis;adolescent;cannabis use;college;drug dependence;human;law;dependent variable;drug use;juvenile;policy;regression analysis;risk;United States</t>
  </si>
  <si>
    <t>Aims: The objective of this study was to assess the impact of medical marijuana legalization across the United States by comparing trends in adolescent marijuana use between states with and without legalization of medical marijuana. Methods: The study utilized data from the Youth Risk Behavioral Surveillance Survey (YRBS) between 1991 and 2011. States with a medical marijuana law for which at least two cycles of YRBS data were available before and after the implementation of the law were selected for analysis. Each of these states was paired with a state in geographic proximity that had not implemented the law. Chi-squared analysis was used to compare characteristics between states with and without medical marijuana use policies. A difference-in-difference regression was performed to control for time-invariant factors relating to drug use in each state, isolating the policy effect, then calculated the marginal probabilities of policy change on the binary dependent variable. Results: Across years and states, past-month marijuana use was common (20.9%, 95% CI, 20.3-21.4). There were no statistically significant differences in marijuana use before and after policy change for any state pairing. In the regression analysis, we did not find an overall increased probability of marijuana use related to the policy change (marginal probability, 0.007, 95% CI -0.009, 0.02). Conclusions: This study did not find increases in adolescent marijuana use related to legalization of medical marijuana.</t>
  </si>
  <si>
    <t>(Choo E.; Benz M.; Warren O.) (Zaller N.) (Rising K.) (McConnell J.) 2014 Annual Meeting of the College on Problems of Drug Dependence San Juan, Puerto Rico 2014-06-14 to 2014-06-19 Elsevier Ireland Ltd; ID: 2156</t>
  </si>
  <si>
    <t>10.1016/j.drugalcdep.2014.09.459 FULL TEXT LINK http://dx.doi.org/10.1016/j.drugalcdep.2014.09.459</t>
  </si>
  <si>
    <t>McCormick,D.;Stark,R.;Jain,P.;Bor,D.;Pels,R.;Author,Addresses;Cambridge,Health;Alliance,Cambridge United States;Harvard Medical,School;Boston,United States;Correspondence,Address;McCormick, Cambridge Health Alliance Cambridge United States,D.</t>
  </si>
  <si>
    <t>Implementation of a novel curriculum in social medicine and health advocacy in internal medicine residency training</t>
  </si>
  <si>
    <t>S466</t>
  </si>
  <si>
    <t>S467</t>
  </si>
  <si>
    <t>buprenorphine plus naloxone;curriculum;health;internal medicine;residency education;social medicine;society;community;ethnic group;financial management;health care delivery;health care policy;health care system;homelessness;human;immigrant;integrated health care system;learning;medical society;medically uninsured;non profit organization;opiate addiction;outpatient;patient;physician;primary medical care;prisoner;skill;social change;social determinants of health;training;United States;vulnerable population;wellbeing;workshop</t>
  </si>
  <si>
    <t>NEEDS AND OBJECTIVES: Physicians often identify social, political and health care system level forces that produce inequalities in access to and quality of care for socially disadvantaged patients; they can be highly effective advocates in shaping health policy, health care delivery and the health of the public. Yet most physicians are inadequately trained to take advantage of their unique position to engage in advocacy to improve health care systems. To address this training gap, we created an experiential required curriculum in social medicine and health advocacy for primary care residents. SETTING AND PARTICIPANTS: Each year, one third of the intern, second and third year resident groups (n=8) in the internal medicine residency training program participate together in a year-long didactic and project-based curriculum at the Cambridge Health Alliance, a public integrated health care system in Cambridge, Massachusetts. DESCRIPTION: Participation in the social medicine and health advocacy curriculum is now a program requirement, modeled after a highly successful one-month elective offered for the past decade. It is delivered in 27 half day group sessions over the course of a year; twenty different faculty members participate. The sessions are equally divided between didactic and projectbased learning. Didactic sessions are conducted as interactive lectures and workshops. They cover topics such as health policy and financing, social determinants of health, health challenges of specific vulnerable populations (such as the poor, uninsured, immigrants, homeless persons, racial and ethnic minorities, prisoners and people in resource-poor settings globally), theoretical foundations of physician advocacy and principals of organizing for social change. Two groups of four residents participate in a project-based learning experience in which they identify a clinical or health care system barrier to equitable health/medical care, conduct a literature review on these barriers, formulate a solution to the problem identified and conduct an advocacy campaign to realize the proposed solution. Projects selected by the 2012-2013 cohort focus on access to outpatient suboxone treatment for opiate addiction and on residency training in the use of suboxone nationally. EVALUATION: We measure the educational impact of the year-long curriculum, with a 15-item survey designed to assess changes in residents' self-reported knowledge and skills on aspects of social medicine and research-based advocacy. We also assess changes in the likelihood of residents' intention to incorporate advocacy in to their medical careers. The survey is administered prior to and following completion of the curriculum and mean changes in ratings for each item will be calculated. DISCUSSION / REFLECTION / LESSONS LEARNED: Increasingly, society recognizes physicians' professional duty to advocate on behalf of patients, communities and the broader society. The American Medical Association (AMA) has stated that physicians must Î“Ã‡Â£advocate for the social, economic, educational, and political changes that ameliorate suffering and contribute to human well-beingÎ“Ã‡Â¥. Working collaboratively with, and in large part motivated by the expressed educational needs of residents in our program, we designed and implemented this novel curriculum. Preliminary data suggest residents' feel that the course helps then reconnect with the idealism that drew them to careers in medicine and value this.</t>
  </si>
  <si>
    <t>(McCormick D.; Stark R.; Jain P.; Bor D.; Pels R.) 36th Annual Meeting of the Society of General Internal Medicine, SGIM 2013 Denver, CO, United States 2013-04-24 to 2013-04-27 Springer New York; ID: 2391</t>
  </si>
  <si>
    <t>McCoy,G. H.;Author,Addresses;City Univ New York, Baruch Coll New,York N.;Correspondence,Address;City Univ New York, Baruch Coll New,York N.</t>
  </si>
  <si>
    <t>Alcoholism and its relation to health care</t>
  </si>
  <si>
    <t>Abstracts of Hospital Management Studies</t>
  </si>
  <si>
    <t>10733HE:109p</t>
  </si>
  <si>
    <t>alcoholism;economic aspect;medical education;paramedical education;preventive medicine;public health service;rehabilitation;social medicine;prevention;primary prevention;secondary prevention;Health Policy, Economics and Management (36)</t>
  </si>
  <si>
    <t>The author outlines the seriousness of the alcoholism problem in the United States and indicates that lack of concern by health care professionals has allowed the problem to continue to increase in society. The report includes: an overview of the problems of alcoholism and forms and methods of rehabilitation; description of alcoholism as a disease including causes and effects, diagnosis, and definitions; discussion of the social factors of alcoholism; an examination of treatment and rehabilitation of the alcoholic and the role of health facilities; and the author's recommendations for solution to the problem. Among the recommendations are that education and training of health care professionals is of prime importance since present facilities are not adequate to treat all of the afflicted and that more programs developed after the Alcoholics Anonymous model are needed.</t>
  </si>
  <si>
    <t>(McCoy G.H.); ID: 3929</t>
  </si>
  <si>
    <t>1974131810 PUI L4131727</t>
  </si>
  <si>
    <t>McDermott,M. J.;Drescher,C. F.;Smitherman,T. A.;Tull,M. T.;Heiden,L.;Damon,J. D.;Hight,T. L.;Young,J.;Author,Addresses;a Department of Psychology, University,of Mississippi;University,Mississippi U. S. A.;Correspondence,Address;McDermott,M. J.</t>
  </si>
  <si>
    <t>24159908; Prevalence and sociodemographic correlates of lifetime substance use among a rural and diverse sample of adolescents</t>
  </si>
  <si>
    <t>addiction (epidemiology);adolescent behavior;demography;ethnic group;rural population;adolescent;article;cross-sectional study;female;human;male;prevalence;psychological aspect;socioeconomics;statistics;United States (epidemiology)</t>
  </si>
  <si>
    <t>Data are limited regarding the prevalence of substance use among adolescents in rural and ethnically diverse communities. This study examined rates and sociodemographic correlates of lifetime substance use among adolescents in Mississippi, a rural state that is the poorest in the country (21.3% poverty rate) and has the largest proportion of African Americans per capita (36.3%). Participants in this cross-sectional study were 6349 adolescents (6th through 12th grade) who reported on lifetime tobacco, alcohol, marijuana, cocaine, inhalant, hallucinogen, and methamphetamine use. Lifetime smoking (10.2% to 44.5%), alcohol (23.2% to 72.0%), and marijuana use (7.9% to 39.2%) increased steadily when comparing students in 6th to 12th grade. Substances with more serious abuse potential (cocaine 6.7% to 11.1%], inhalants 12.2% to 17.9%], hallucinogens 4.4% to 12.1%], and methamphetamine 3.0% to 6.7%]) displayed more modest increases across grade. Adolescents who classified their race/ethnicity as "Other" (i.e., not white, black/African American, Asian, or Hispanic/Latino/Latina) demonstrated more than 2-fold increased likelihood of methamphetamine use (odds ratio OR] = 2.42), and increased risk for use of any illicit substance (OR = 1.49). In general, males demonstrated an increased risk for use across substances (OR = 1.15-1.94), and higher income was associated with a decreased likelihood of illicit substance use (OR = 0.51-0.67). Living in a more populated area was associated with an increased likelihood of alcohol (OR = 1.43), marijuana (OR = 2.11), and cocaine use (OR = 2.06), and use of any illicit substance (OR = 1.54). Mississippi adolescents reported higher rates of lifetime cocaine, inhalant, hallucinogen, and methamphetamine use across all grade levels compared with national surveys. Male gender, low income, and residence in more populated areas were associated with increased use of several substances. Findings demonstrate the need for prevention and intervention programs targeting impoverished rural and ethnically diverse communities.</t>
  </si>
  <si>
    <t>(McDermott M.J.) (Drescher C.F.; Smitherman T.A.; Tull M.T.; Heiden L.; Damon J.D.; Hight T.L.; Young J.); ID: 2462</t>
  </si>
  <si>
    <t>http://www.ncbi.nlm.nih.gov/pubmed/24159908</t>
  </si>
  <si>
    <t>Prevalence and sociodemographic correlates of lifetime substance use among a rural and diverse sample of adolescents</t>
  </si>
  <si>
    <t>McGowan,V. M.;Author,Addresses;Addictions Counselling Program, School of,Health Sciences;University of Lethbridge, University Drive Lethbridge,Alta T.;Canada;Addictions Research Centre, P O Box,Montague P.;R,Canada;Correspondence,Address;VM McGowan, Addictions Research Centre P O Box,Montague P.;R,Canada</t>
  </si>
  <si>
    <t>Emergent discourses in addictions education and training in Southern Australia and Northern Aotearoa/New Zealand</t>
  </si>
  <si>
    <t>Journal of Ethnicity in Substance Abuse</t>
  </si>
  <si>
    <t>drug dependence (epidemiology, prevention);medical education;article;attitude;Australia;convalescence;cultural factor;cultural oppression;education program;ethnic group;human;ideology;manpower;neocolonialism;New Zealand;political system;priority journal;social psychology;Public Health, Social Medicine and Epidemiology (17);Drug Dependence, Alcohol Abuse and Alcoholism (40)</t>
  </si>
  <si>
    <t>In a global project of self-determination and cultural revitalization, indigenous peoples are demanding recognition of distinct values, traditions and experiences in the design and delivery of health and social programs. Within the addictions field in southern Australia and northern Aotearoa/New Zealand, alternative approaches to education and training initiatives, informed by and inclusive of indigenous paradigms, are emerging in response to hegemonies of power, knowledge and practice. Questioning received understandings about the etiology and resolution of addictive behaviours, emergent discourses draw attention to the roles of colonialism, neo-colonialism, and cultural oppression in addiction and recovery. Moreover, although supported by social and virtual networks, emergent discourses are complicated-at times, fractured-by vigorous debate surrounding critical issues and complex identity positions. â”¬âŒ 2004 by The Haworth Press, Inc. All rights reserved.</t>
  </si>
  <si>
    <t>(McGowan V.M.); ID: 3201</t>
  </si>
  <si>
    <t>1533-2640</t>
  </si>
  <si>
    <t>2005354558 PUI L41102136</t>
  </si>
  <si>
    <t>10.1300/J233v03n04_04 FULL TEXT LINK http://dx.doi.org/10.1300/J233v03n04_04</t>
  </si>
  <si>
    <t>McGrath,S.;Baratta,J.;Torjman,M.;Shevchenko,D.;Pilidis,K.;Viscusi,E.;Author,Addresses;Thomas Jefferson,University Hospital;Correspondence,Address;McGrath, Thomas Jefferson University Hospital United States,S.</t>
  </si>
  <si>
    <t>Utility of a naloxone educational module to improve hospital opioid safety</t>
  </si>
  <si>
    <t>(MAJOR FOCUS);naloxone;opiate;opiate antagonist;American;hospital;pain;regional anesthesia;safety;society;anesthesiology;anesthesist;case report;death;education;half life time;hospital patient;human;intoxication;knowledge base;lung edema;medical student;morbidity;mortality;nurse;pulmonary hypertension;respiration depression;sample size;side effect;tachycardia;teaching;validity;withdrawal syndrome</t>
  </si>
  <si>
    <t>Introduction Naloxone is an opioid receptor antagonist indicated for treatment of opioid induced respiratory depression (OIRD) or overdose . Naloxone can precipitate severe and even life-threatening withdrawal symptoms (e.g. tachycardia, hypertension, pulmonary edema or death ). Inadequate dosing can result in re-narcotization with respiratory depression and catastrophic sequela . Exploratory studies demonstrate gaps in many areas of naloxone use . We test provider's knowledge base of naloxone use in treating OIRD and implement a novel teaching tool to educate on proper usage. The teaching tool educates on gaps such as accurate administration, side effects, characteristics of opioid antagonism and proper management of an opioid overdose. The effectiveness of this teaching tool is assessed. Materials and methods (NA for case report) IRB approval was obtained. Participants include medical students, nurses, anesthesiology residents and anesthesiologists. A pre-survey was given to assess baseline knowledge. The novel teaching tool was then implemented to properly educate on naloxone and OIRD. The teaching tool specifically targets education about half-life, clinical management, standard concentration, dosing, side effects and its use in chronic opioid users. After completing the teaching tool a post survey assessed for knowledge improvement. Those who receiving a score &gt;70% were defined as reaching the passing threshold. The pre and post educational scores were used to assess the validity of the educational material. Results/Case report 16 medical students, 11 anesthesiology residents, 5 PACU nurses and 4 attending anesthesiology were assessed. 100% of respondents found the materials helpful in understanding the proper treatment for OIRD. The mean score for the entire sample was 4.5/9 on the pretest and 7.8/9 on the post-test. (Table 1) On the pre-test 17% reached passing threshold for the sample as compared to 86% on the post-test. (Table 1) There was a significant difference in the samples pre-test and post-test score. (Figure 1) There were no significant differences within the individual groups scores from pre-test to post-test. (Figure 2) Discussion Opioid related respiratory depression remains a source of morbidity and mortality in the hospital setting. Proper treatment for OIRD is a necessity for safe inpatient opioid usage. Our novel teaching tool significantly improved knowledge from 4.5 to 7.8 questions correctly answered post intervention. There were no differences in scoring within individual groups likely due to a limitation of the small sample size. Achieving a threshold Î“Ã‡Â£passÎ“Ã‡Â¥ rate increased significantly from 17% on the pre-test to 86% on the post-test demonstrating that this simple educational tool is an effective method of teaching naloxone safety. 100% of the sample could identify the correct half-life of naloxone as 30-80 minutes on the post intervention as compared to 29% pre intervention. Post intervention 97% could identify proper naloxone dosing as compared to 43% on the pre-survey. All respondents rated the module as an effective teaching tool for treating OIRD. This teaching module is now included in a hospital-wide opioid safety initiative. (Table presented).</t>
  </si>
  <si>
    <t>(McGrath S.; Baratta J.; Torjman M.; Shevchenko D.; Pilidis K.; Viscusi E.) 14th Annual Pain Medicine Meeting of the American Society of Regional Anesthesia and Pain Medicine, ASRA 2015 Miami, FL, United States 2015-11-19 to 2015-11-21 Lippincott Williams and Wilkins; ID: 1978</t>
  </si>
  <si>
    <t>McLellan,A. T.;Author,Addresses;Treatment,Research Institute;Correspondence,Address;AT McLellan, Treatment Research Institute,Philadelphia P.</t>
  </si>
  <si>
    <t>23580988; Is addiction an illness--can it be treated?</t>
  </si>
  <si>
    <t>addiction (diagnosis, rehabilitation);alcoholism (diagnosis, rehabilitation);comorbidity;cost benefit analysis;cultural anthropology;economics;female;health care cost;health personnel attitude;human;lifestyle;mass screening;mental disease (diagnosis, rehabilitation);motivation;newborn;opiate addiction (diagnosis, rehabilitation);patient compliance;pregnancy;psychological aspect;public opinion;review;risk factor;social behavior;statistics;treatment outcome;United States</t>
  </si>
  <si>
    <t>(McLellan A.T.); ID: 3305</t>
  </si>
  <si>
    <t>http://www.ncbi.nlm.nih.gov/pubmed/23580988</t>
  </si>
  <si>
    <t>Is addiction an illness--can it be treated?</t>
  </si>
  <si>
    <t>McLellan,A. T.;Curtis,B. L.;Nordstrom,B.;Skrajewski,J.;Author,Addresses;Treatment,Research Institute;United,States;University of Pennsylvania, Philadelphia,United States;Dartmouth College,Hanover,United States;Betty Ford Institute, Rancho Mirage,United States;Correspondence,Address;AT McLellan, Treatment Research Institute Philadelphia,United States</t>
  </si>
  <si>
    <t>Web-based medical school education on substance use disorders</t>
  </si>
  <si>
    <t>college;drug dependence;education;medical school;substance abuse;addiction;diagnosis;government;human;immersion;medical education;medical student;parity;pathology;pharmacology;physician;physiology;substance use;videorecording</t>
  </si>
  <si>
    <t>Aims: The implementation of the ACA and the Parity Acts have elevated the importance of training physicians to effectively identify and manage substance use disorders. The Betty Ford Institute and the Treatment Research Institute have created a 12-lecture, online course for medical students that also include virtual medical cases and preparation for course instructors. The course is preclinical to clinical and contains 12 high-quality video lectures on topics agreed as essential by NIDA, NIAAA, SAMHSA, ASAM and AMERSA. The lectures are 25-40 min each, delivered by experts in the field, and also include interactive content. The lectures can be used as a set in a full elective course; and/or individually as part of other existing courses during any year of medical school. Because medical education also involves case presentations, the course includes three Î“Ã‡Â£virtual casesÎ“Ã‡Â¥ capturing common substance use related conditions that simultaneously illustrate important concepts in pathology, physiology, pharmacology and clinical care while also illustrating important aspects of the diagnosis, treatment and management of substance use disorders. The course and virtual cases are supplemented with preparation for course instructors through a one-week, clinical immersion education experience at the Betty Ford Center. Conclusions: This course was developed with guidance from medical school deans and key faculty; addiction experts, government agencies, and medical/scientific associations. It will be made available through subscriptions to medical schools that will enable them to meet the demands for more education and training about substance use disorders.</t>
  </si>
  <si>
    <t>(McLellan A.T.; Curtis B.L.) (McLellan A.T.) (Nordstrom B.) (Skrajewski J.) 2014 Annual Meeting of the College on Problems of Drug Dependence San Juan, Puerto Rico 2014-06-14 to 2014-06-19 Elsevier Ireland Ltd; ID: 2138</t>
  </si>
  <si>
    <t>10.1016/j.drugalcdep.2014.09.466 FULL TEXT LINK http://dx.doi.org/10.1016/j.drugalcdep.2014.09.466</t>
  </si>
  <si>
    <t>McLellan,A. T.;Hagan,T. A.;Levine,M.;Gould,F.;Meyers,K.;Bencivengo,M.;Durell,J.;Author,Addresses;Treatment,Research;Institute,University of Pennsylvania Philadelphia P.A.United States;Coord Off Drug,Alcohol Abuse;Philadelphia,P. A. U.;Treatment Research Institute, University,of Pennsylvania;Market Street,Philadelphia,P.A.United States;Correspondence,Address;AT McLellan, Treatment Research Institute University,of Pennsylvania;Market Street,Philadelphia,P.A.United States</t>
  </si>
  <si>
    <t>9926553; Supplemental social services improve outcomes in public addiction treatment</t>
  </si>
  <si>
    <t>addiction (epidemiology, rehabilitation, therapy);social work;adolescent;article;child parent relation;comparative study;data analysis;disease severity;drug screening;employment;follow up;health program;housing;human;outpatient department;patient counseling;school child;statistical analysis;treatment outcome;Public Health, Social Medicine and Epidemiology (17);Drug Dependence, Alcohol Abuse and Alcoholism (40)</t>
  </si>
  <si>
    <t>Aims. To evaluate the effectiveness and value of social services added to standard addiction rehabilitation. Design. A controlled, quasi-experimental, field study with repeated measures. Setting. Conducted in two groups of publicly supported outpatient addiction treatment programs. Control programs provided standard, twice-weekly, outpatient group counseling. 'Enhanced' programs provided standard counseling but also case managers to coordinate and expedite use of pre-contracted medical screenings, housing assistance, parenting classes and employment services. Measurements. The Addiction Severity Index was used to record the nature and severity of patient problems in seven areas at treatment admission and at 6-month follow-up. Services provided during treatment were measured with the Treatment Services Review. Measures were taken on consecutive samples of patients admitted to all programs - before enhancements (wave 1, N = 431) - and at 12 months (wave 2, N = 710); and 26 months following enhancements (wave 3, N = 187). Findings. There were no significant differences in patient characteristics, treatment services or 6-month outcomes of the two sets of programs in wave 1. Wave 2 and especially wave 3 enhanced programs provided significantly more social and medical services than control programs. Patients treated in enhanced programs showed significantly less substance use, fewer physical and mental health problems and better social function at 6-months than Controls. Conclusions. Adding social services to public sector programs substantially improved the outcomes of addiction treatment. Changes in 'real world' systems require time to implement; early evaluations may fail to capture the full impact of those changes.</t>
  </si>
  <si>
    <t>(McLellan A.T.; Hagan T.A.; Meyers K.; Durell J.) (Levine M.; Gould F.; Bencivengo M.) (McLellan A.T.) Blackwell Publishing Ltd, 9600 Garsington Road, Oxford, United Kingdom.; ID: 3438</t>
  </si>
  <si>
    <t>http://www.ncbi.nlm.nih.gov/pubmed/9926553</t>
  </si>
  <si>
    <t>Supplemental social services improve outcomes in public addiction treatment</t>
  </si>
  <si>
    <t>Medjuck,M.;Summers,M.;Grant,S.;Author,Addresses;Vancouver,Canada;Correspondence,Address;Medjuck,Vancouver Canada,M.</t>
  </si>
  <si>
    <t>This might be a stupid question but...? Creating safe spaces and dispelling myths: Training workers outside of the HIV world on women and HIV</t>
  </si>
  <si>
    <t>Summer</t>
  </si>
  <si>
    <t>23 SUPPL. SA</t>
  </si>
  <si>
    <t>115A</t>
  </si>
  <si>
    <t>Canadian;female;human;Human immunodeficiency virus;literature;worker;addiction;Canada;community;criminology;education;funding;gender;human rights;immigration;lens;model;population;poverty;prevention;racism;risk;rural area;sexuality;social work;student;training;travel;violence;workload</t>
  </si>
  <si>
    <t>Issue : Women are one of the fastest growing populations with HIV in Canada. The complex issues women living with HIV (WLHIV) contend with can result in experiences of unique HIV discrimination, which strengthen and reproduce existing inequalities of class, race, gender and sexuality. Negative social responses to WLHIV remain pervasive, and interventions against HIV-related discrimination are integral components of a comprehensive approach to HIV treatment and prevention. One intervention is to train community members on HIV knowledge that will help them engage in practices that uphold WLHIV's human rights. Description : Positive Women's Network (PWN) provides education, support and resources for WLHIV (called Î“Ã‡Â£membersÎ“Ã‡Â¥) in British Columbia (BC). Since PWN's inception in 1991, members have consistently reported experiencing HIV-related discrimination from service providers not directly involved in the HIV field. Since 2006, PWN has delivered free HIV trainings throughout BC to over 1300 participants, targeting service providers who work with WLHIV, including transition house workers, immigration workers and students in social work and criminology. Lessons Learned : Service providers not directly involved in the HIV field report having no to limited HIV knowledge. Trainings must start with basic information about HIV and its transmission. Trainings should have a holistic lens and address issues linked to the vulnerabilities that put women at risk for HIV, including poverty, violence, addiction, racism and transphobia. Some challenges to the training program include lack of funding to travel to rural areas, resistance from service providers to recognizing HIV affects their clients, service providers' discomfort with their lack of HIV knowledge, and potential participants having heavy workloads and no time to attend trainings. Next Steps : Our results indicate that interactive trainings on HIV and WLHIV, facilitated in a non-academic style that does not focus on the medical model of care, significantly improve participants' knowledge.</t>
  </si>
  <si>
    <t>(Medjuck M.; Summers M.; Grant S.) 21st Annual Canadian Conference on HIV/AIDS Research, CAHR 2012 Montreal, QC, Canada 2012-04-19 to 2012-04-22 Pulsus Group Inc.; ID: 2594</t>
  </si>
  <si>
    <t>Mejia,R.;Kaplan,C. P.;Alderete,M.;Peâ”œâ–’a,L.;Gregorich,S.;Schoj,V.;Alderete,E.;Perez-Stable,E.;Author,Addresses;Division,of General;Medicine,Department of Medicine Medical Effectiveness Research Center for;Diverse PopulationsUcsf, San Francisco,United States;Universidad,de;Buenos Aires, Centro de Estudios de Estado y Sociedad,Buenos Aires;Argentina;Correspondence,Address;Mejia, Universidad de Buenos Aires Centro de Estudios de Estado y,R.;Sociedad,Buenos Aires Argentina</t>
  </si>
  <si>
    <t>Effectiveness of an intervention to teach physicians in a middle-income country how to help their patients quit smoking</t>
  </si>
  <si>
    <t>S69</t>
  </si>
  <si>
    <t>human;income;internal medicine;patient;physician;smoking cessation;society;abstinence;adult;Argentina;city;counseling;curriculum;drug therapy;education;evidence based practice;female;general practitioner;gynecologist;health status;hospital;Internet;internist;population;primary medical care;private practice;smoke;smoking;telephone;tobacco</t>
  </si>
  <si>
    <t>BACKGROUND: Physicians who routinely identify smokers and provide cessation advice with or without pharmacological treatment, can increase the quit rate of their patients. In Argentina, where 30 % of the adult population smokes, fewer than 30 % of primary care physicians have received any training in counseling patients on tobacco cessation. We tested whether a short evidence-based intervention to teach physicians how to help their patients who smoke quit, would result in higher cessation rates compared to usual care in Argentina, a middle-income country. METHODS: General internists, family physicians and gynecologists were recruited from five clinical systems in the cities of Buenos Aires, La Plata and Olavarria (private practices, HMOs, and public clinics) and randomized to intervention or usual care. The physician intervention consisted of two three-hour sessions including a standard didactic curriculum and referral resources designed to teach them how to help patients quit smoking. Next, smoking patients who saw participating physicians within 30 days of physician training (index visit) were randomly sampled and interviewed by telephone at 1, 6 and 12 months after their visit to the physician. No single physician had more than 6 patients sampled. The main outcome was tobacco abstinence at 6 and 12 months; secondary outcomes were number of quit attempts, cigarettes per day, and use of pharmacological aides. Repeated measures on the same participants were accommodated via Generalized Estimating Equations. RESULTS: 254 physicians (124 internists, 57 family physicians, 73 gynecologists) were randomized; average age was 44.6 years, 52 % women and 12 % smoked. While 24 % reported no previous training on tobacco cessation, 41 % reported good or excellent previous training. A total of 1,378 smoking patients were surveyed; 81 % were women, 46 % had &gt;12 years of education, 81 % had rated their health status as good or excellent, and 63.1 % had access to Internet. At 1 month, most (76 %) reported daily smoking, 21 % smoked some days and 3 % had already quit smoking. Mean number of cigarettes per day was 12.9 (SD=8.8) and 63 % thought they would quit within the next 6 months. Outcomes at 6 months: Cessation Had Quit Attempt Used Meds Mean Cigs Intervention 13.8 % 12.2 % 9.9 % 12.4 Control 12.1 % 11 % 9.1 % 12.8 Quit rates at 12 months increased to 16 % in both groups; there was no intervention by month effect at 6 months (â•§Ã§(2) (df=2)=2.89, p=0.24. Pooling across intervention groups, patients seen by internists or family physicians were more likely to quit among daily and non-daily smokers (â•§Ã§(2) (df=1)=13.6, p=0.0002 and (â•§Ã§(2) (df=1)=10.03, p=0.002, respectively). CONCLUSIONS: Providing standardized training in tobacco cessation to physicians did not improved the cessation rates among their patients at 6- 12 months. It is necessary to explore other interventions to increase cessation rates of patients in primary care.</t>
  </si>
  <si>
    <t>(Kaplan C.P.; Gregorich S.; Perez-Stable E.J.) (Mejia R.; Alderete M.; Peâ”œâ–’a L.; Schoj V.; Alderete E.) 36th Annual Meeting of the Society of General Internal Medicine, SGIM 2013 Denver, CO, United States 2013-04-24 to 2013-04-27 Springer New York; ID: 2393</t>
  </si>
  <si>
    <t>Mekonnen,T. G.;Author,Addresses;Adama,Science;Technology University,Adama Ethiopia;Correspondence,Address;T.G. Mekonnen,Adama Science;Technology University,Adama Ethiopia</t>
  </si>
  <si>
    <t>Practices of substance abuse and risky sexual behavior among Adama science and technology university undergraduate students in 2012/13 academic years</t>
  </si>
  <si>
    <t>Value in Health</t>
  </si>
  <si>
    <t>A733</t>
  </si>
  <si>
    <t>European;human;sexual behavior;substance abuse;technology;undergraduate student;university;education;gender;high school;inferential statistics;interview;logistic regression analysis;prevalence;prevention;sampling;school;sex difference;statistics;student;triangulation</t>
  </si>
  <si>
    <t>Objectives: Students of higher education institutions are prone to practices of substance abuse and risky sexual behavior due to individual, peer, social and ecological influences. The objective of the current study is to assess practices of substance abuse and its relationship with risky sexual behavior among ASTU Students. Methods: A total of 447 respondents were selected to fill the questioners by using stratified, systematic and random sampling from undergraduate regular students while only 426 (95.3%) were completed the questioner correctly and the analyses of results were based on 426 respondents. Informal interview with five key respondents were also conducted for triangulation of results. The results were analyzed by using descriptive statistics such as frequencies and percentage, and inferential statistics such as chi-square (x2) and binary logistic regression. Results: Prevalence of substance abuse increases with gender differences (X2(6.315) = .012, P .05). However, sexual behavior of respondents decreases with gender difference (X2(.155) = .694, P&gt; .05); previous place of residence (X2(.122) = .727, P&gt; .05); school attended before joining the university (X2(.092) = .762, P&gt; .05); and current place of residence (X2(.088)= .767, P&gt; .05). Conclusions: There is statistical significant relation between substance abuse and gender differentials, previous places of residences and school attended before joining the university while there is no statistical relation between current places of residences. Therefore prevention of practices of substance abuse and risky sexual behaviors among students should be strengthened at primary and secondary school program.</t>
  </si>
  <si>
    <t>(Mekonnen T.G.) ISPOR 18th Annual European Congress Milan, Italy 2015-11-07 to 2015-11-11 Elsevier Ltd; ID: 2048</t>
  </si>
  <si>
    <t>1098-3015</t>
  </si>
  <si>
    <t>Melnick,G.;Wexler,H. K.;Chaple,M.;Cleland,C. M.;Author,Addresses;Center;for the,Integration of;Practice,National Development;and Research Institutes, Inc New York,N.Y.United States;Correspondence,Address;Melnick, Center for the Integration of Research,G.;Practice;National,Development;Research Institutes, Inc New,York N.;org,United States Email melnick ndri</t>
  </si>
  <si>
    <t>18657943; Constructive conflict and staff consensus in substance abuse treatment</t>
  </si>
  <si>
    <t>drug dependence treatment;article;conflict;consensus;health program;medical staff;priority journal;staff training;Public Health, Social Medicine and Epidemiology (17);Drug Dependence, Alcohol Abuse and Alcoholism (40)</t>
  </si>
  <si>
    <t>Previous studies demonstrated the relationship between consensus among both staff and clients with client engagement in treatment and between client consensus and 1-year treatment outcomes. The present article explores the correlates of staff consensus, defined as the level of agreement among staff as to the importance of treatment activities in their program, using a national sample of 80 residential substance abuse treatment programs. Constructive conflict resolution had the largest effect on consensus. Low client-to-staff ratios, staff education, and staff experience in substance abuse treatment were also significantly related to consensus. Frequency of training, an expected correlate of consensus, was negatively associated with consensus, whereas frequency of supervision was not a significant correlate. The implications of the findings for future research and program improvement are discussed. â”¬âŒ 2009.</t>
  </si>
  <si>
    <t>(Melnick G., melnick@ndri.org; Wexler H.K.; Chaple M.; Cleland C.M.) (CIRP) (NDRI) Elsevier Inc., 360 Park Avenue South, New York, United States.; ID: 2923</t>
  </si>
  <si>
    <t>http://www.ncbi.nlm.nih.gov/pubmed/18657943</t>
  </si>
  <si>
    <t>10.1016/j.jsat.2008.05.002 FULL TEXT LINK http://dx.doi.org/10.1016/j.jsat.2008.05.002</t>
  </si>
  <si>
    <t>Constructive conflict and staff consensus in substance abuse treatment</t>
  </si>
  <si>
    <t>Memon,S.;Author,Addresses;Isra,University Hospital;Correspondence,Address;Memon, Isra University Hospital Pakistan,S.</t>
  </si>
  <si>
    <t>HBV vaccination status in dyspeptic patients of Pakistan. Needs heroic campaign</t>
  </si>
  <si>
    <t>Hepatology International</t>
  </si>
  <si>
    <t>Asian;human;liver;Pakistan;patient;vaccination;blood transfusion;dental procedure;diabetes mellitus;education;epidemic;ethnicity;field work;gastroenterology;general practitioner;health care personnel;hepatitis B;hospital;hospitalization;infection;informed consent;jaundice;male;marriage;population;prospective study;risk;risk factor;senescence;sex ratio;smoking habit;statistical significance;structured questionnaire;substance abuse;surgery;tattooing;university hospital</t>
  </si>
  <si>
    <t>Background: Pakistan is in intermediate epidemic for HBV infection. Vaccination against HBV introduced 30 years ago but still Pakistan has not been 100% vaccinated. Each Pakistani has 55-60% life time risk for acquiring HBV infection. The aims of this study were to document the frequency HBV vaccination status and risk factors of acquiring HBV infection in dyspeptic patients who frequently visited at family physicians and gastroenterologists. Methods: A prospective study was carried out in the department of Gastroenterology, Isra University Hospital, Hyderabad Pakistan, from June 2010 to March 2011. After taking informed consent all dyspeptic patients were answered to structured questionnaire. The variables were age, sex, substance abuse, vaccination status and risk factors acquiring HBV infection. Results: Total 1393 dyspeptic participants were included. There were 791 (56.8%) male. Mean age of participants was 42.0 years. Out of 1,393 only 289 (20.7%) participants were vaccinated against Hepatitis B infection. Hepatitis B vaccinated dyspeptic patients were significantly younger (mean age of vaccinated 40 years and unvaccinated 43 years P value &lt; 0.00), more educated (more than 10 years of education and vaccinated was 27.3% and less than 10 years of education and vaccinated was 17.2 years P value&lt;0.001), less frequently indulge in substance abuse (substance abuse and vaccinated 15.3% and non-substance abuse but vaccinated was 22% P value 0.018), less frequent history of jaundice (history of jaundice and vaccinated was 16.6%, no history of jaundice but vaccinated was 22.2% P value 0.02), less number of risk factors for acquiring HBV infections (no risk factors and vaccinated was 25% and one or more than one risk factors and vaccinated was 19% P value 0.014). There were no differences with respect to sex distribution, rural or urban residence, marital status, ethnicity, nature of work (desk or field work), smoking habit, diabetes mellitus, IHD, HTN history of blood transfusion, surgery, past hospitalization, history of tattooing or dental procedures. Conclusions: There were only 21% of dyspeptic population of Pakistan is vaccinated against CHB infection. Old age, education less than 10 years, history of substance abuse and one or more risk factors to acquire HBV infection were associated with less frequent vaccination against CHB infection. We need to implement multiple strategies to educate health care providers, family physicians and Gastroenterologist of Pakistan to encourage HBV vaccination at their dyspeptic clinics.</t>
  </si>
  <si>
    <t>(Memon S.) 22nd Conference of the Asian Pacific Association for the Study of the Liver, APASL 2012 Taipei, Taiwan 2012-02-16 to 2012-02-19 Springer New York; ID: 2591</t>
  </si>
  <si>
    <t>1936-0533</t>
  </si>
  <si>
    <t>10.1007/s12072-011-9333-4 FULL TEXT LINK http://dx.doi.org/10.1007/s12072-011-9333-4</t>
  </si>
  <si>
    <t>Menâ”œâŒndez,R. G.;Rojas,J.;Barcena,Y.;Rojas,R.;Oviedo,D.;Vâ”œÃ­zquez,A.;Author,Addresses;Servicio de Toxicomanâ”œÂ¡as,Rogelio Paredes;Psiquiâ”œÃ­trico,de La;Facultad;Universitaria,General Calixto;Correspondence,Address;RG Menâ”œâŒndez, Servicio de Toxicomanâ”œÂ¡as Rogelio,Paredes Hospital;Psiquiâ”œÃ­trico,de La</t>
  </si>
  <si>
    <t>Substances consumption in 5th training course students of medicine: Evolution during three periods of five years ORIGINAL (NON-ENGLISH) TITLE Consumo de substancias en estudiantes de quinto aâ”œâ–’o de medicina: Evoluciâ”œâ”‚n en tres lustros</t>
  </si>
  <si>
    <t>Revista del Hospital Psiquiatrico de la Habana</t>
  </si>
  <si>
    <t>medical education;substance abuse;adult;alcohol consumption;article;cigarette smoking;coffee;controlled study;female;human;lifestyle;male;medical student;questionnaire;risk assessment;Public Health, Social Medicine and Epidemiology (17);Psychiatry (32);Drug Dependence, Alcohol Abuse and Alcoholism (40)</t>
  </si>
  <si>
    <t>Study carried out through an anonymous inquiry, using the same method applied to a figure of 91.6 % of the 5 th training course students (1987-1988) and to a 98.7 % of the students of the same training course (2001-2002), being foreingers a total of 18 % and 6.5 % respectively, allowed to assess the tendency regarding consumption patterns of legal substances, the risk to be exposed to them, and the consumption of ilegal substances. The people investigated placed their answers in a letter box to assure the anonymity. Tendencies for the increase were proved in the consumers of legal substances, mainly in female students and slight tendency to positive increase of CAGE questionnaire. The current information about the proposal on the consumption of illegal substances to a total of 20 % (male) and 15,4 % (female students, as well as the reference by a-two student-consumption were significant. The average of monthly cost of simultaneous consumers of tobacco, coffee and alcohol was 140.00 pesos. In spite of the very low results compared with those in the developed means, they expressed the importance of guide efforts to the promotion of healthy style of live and they are out of the hurtful toxic habits.</t>
  </si>
  <si>
    <t>(Menâ”œâŒndez R.G.) (Rojas J.; Barcena Y.; Rojas R.; Oviedo D.; Vâ”œÃ­zquez A.) Ministerio de Salud Publica, Aven. de la Independencia 26520, Mazorra, Boyeros, Habana, Cuba.; ID: 3138</t>
  </si>
  <si>
    <t>0138-7103 1813-6257 (electronic)</t>
  </si>
  <si>
    <t>2007526778 PUI L350020959</t>
  </si>
  <si>
    <t>Mendelson,J. H.;Author,Addresses;Harvard,Medical School;Correspondence,Address;Harvard,Medical School</t>
  </si>
  <si>
    <t>3480737; Alcohol and drug abuse research center Harvard Medical School-McLean Hospital: Activities during 1986</t>
  </si>
  <si>
    <t>alcoholism;behavior;biochemistry;drug dependence;education;epidemiology;menstrual cycle;sociology;clinical article;human;psychological aspect;research;sex;short survey;United States;Psychiatry (32)</t>
  </si>
  <si>
    <t>(Mendelson J.H.) Carfax Publishing Company, 4 Park Square, Milton Park, Abingdon, Oxfordshire, United Kingdom.; ID: 3749</t>
  </si>
  <si>
    <t>http://www.ncbi.nlm.nih.gov/pubmed/3480737</t>
  </si>
  <si>
    <t>Alcohol and drug abuse research center Harvard Medical School-McLean Hospital: Activities during 1986</t>
  </si>
  <si>
    <t>Mendoza-Nâ”œâ•‘â”œâ–’ez,V. M.;Mecalco-Herrera,C.;Ortega-â”œÃ¼vila,C.;Mecalco-Herrera,L.;Soto-Espinosa,J.;Rodrâ”œÂ¡guez-Leâ”œâ”‚n,M. A.;Author,Addresses;Facultad de Estudios,Superiores Zaragoza;Nacional Autâ”œâ”‚noma de Mâ”œâŒxico, Guelatao Col Ejâ”œâŒrcito,de Oriente;Mâ”œâŒxico,D. F. Mexico;Correspondence,Address;VM Mendoza-Nâ”œâ•‘â”œâ–’ez, Facultad de Estudios Superiores,Zaragoza Universidad;Nacional Autâ”œâ”‚noma de Mâ”œâŒxico, Guelatao Col Ejâ”œâŒrcito,de Oriente;Mâ”œâŒxico, D F Mexico Email mendovic,unam mx</t>
  </si>
  <si>
    <t>23433061; A randomized control trial: training program of university students as health promoters</t>
  </si>
  <si>
    <t>BMC public health</t>
  </si>
  <si>
    <t>education;health behavior;health promotion;medical personnel;medical profession;article;controlled clinical trial;controlled study;health care quality;human;lifestyle;methodology;Mexico;psychological aspect;questionnaire;randomized controlled trial;university;CLINICAL TRIAL NUMBERS;ISRCTN (ISRCTN77787889)</t>
  </si>
  <si>
    <t>Several studies have reported the following as determining factors for the adoption of healthy lifestyles among undergraduate students: gender, socioeconomic level, prior lifestyles, environment, parental lifestyles and health status, career choice, and healthy support networks. However, these factors are influenced by students' knowledge about healthy lifestyles. We will carry out a randomized trial in a sample of 280 new undergraduate students at the National Autonomous University of Mexico's Faculty of Higher Studies-Zaragoza (FES-Zaragoza, UNAM). There will be an experimental group (n = 140), comprising 20 students from each of the seven university departments (careers); these students will receive training as university student health promoters through an e-learning course. This course will allow the topics necessary for such promoters to be reviewed. There will be a control group (n = 140), comprising 20 students from each of the seven departments (careers); these students will not undergo the training. Later, the students who comply satisfactorily with the e-learning course will replicate the course to 10 of their classmates. A healthy-lifestyle questionnaire will be given to all the participants, and the parameters established in the self-care card will be recorded before and after the training. The study variables are as follows: (i) independent variable-compliance with the e-learning course; (ii) dependent variables-lifestyles changes prior to the educative intervention (including healthy eating, physical activity, and addiction prevention) and parameters related to health status established in self-care (including weight, body mass index, waist circumference, and hip circumference). Data will be analyzed using Student's t test and logistic regression analysis odds ratios with 95% confidence intervals. The analysis of the open answers will be carried out with ATLAS. ti 5.5 software. Health promotion among university students should incorporate options that are feasible for and attractive to students. Thus, as proposed in the present protocol, e-learning courses offer excellent possibilities because they allow students to program their learning in their available time without affecting their academic studies. http://ISRCTN77787889.</t>
  </si>
  <si>
    <t>(Mendoza-Nâ”œâ•‘â”œâ–’ez V.M.) (UNAM) (Mecalco-Herrera C.; Ortega-â”œÃ¼vila C.; Mecalco-Herrera L.; Soto-Espinosa J.L.; Rodrâ”œÂ¡guez-Leâ”œâ”‚n M.A.); ID: 2389</t>
  </si>
  <si>
    <t>1471-2458 (electronic)</t>
  </si>
  <si>
    <t>http://www.ncbi.nlm.nih.gov/pubmed/23433061</t>
  </si>
  <si>
    <t>10.1186/1471-2458-13-162 FULL TEXT LINK http://dx.doi.org/10.1186/1471-2458-13-162</t>
  </si>
  <si>
    <t>A randomized control trial: training program of university students as health promoters</t>
  </si>
  <si>
    <t>Merlo,L. J.;Sutton,J. A.;Gold,M. S.;Author,Addresses;a Department,of Psychology;of Florida,Gainesville,Florida U.</t>
  </si>
  <si>
    <t>24821353; Brief educational intervention to improve medical student competence in managing patients exposed to secondhand smoke</t>
  </si>
  <si>
    <t>passive smoking;attitude to health;clinical competence;medical education;psychology;human;medical student</t>
  </si>
  <si>
    <t>BACKGROUND: Secondhand smoke (SHS) exposure may lead to the development of various diseases and conditions. One way to reduce SHS exposure is to screen for it within each primary care examination so that appropriate counseling can be directed to affected individuals. There has been little attention to improving medical education about SHS exposure and screening. The goal of this study was to develop an SHS-related educational intervention for medical students, with the purpose of improving knowledge regarding consequences of SHS exposure, and increasing intent to screen patients for exposure.METHODS: Medical students (N = 405) were given a measure assessing their knowledge of SHS exposure and intent to screen. Two groups of students served as controls (i.e., a posttest-only group and a pre/posttest group), and one group participated in the SHS education intervention. A factorial analysis with repeated measures and chi-square analyses were used to assess the differences between the groups to determine the impact of the SHS education intervention (ie, online lectures and a standardized patient interaction) on knowledge and intent to screen.RESULTS: Results of pretesting demonstrated that medical students had little knowledge of SHS exposure, averaging scores between 63% and 69% on the examination. One control group was reassessed a year later with no educational intervention. They did not demonstrate a significant change in their pre- to posttest scores, although the vast majority (Î“Ãªâ•95%) reported intending to screen future patients. Students who participated in the SHS educational intervention significantly improved their scores from pre- to posttest (P &lt;.001), and 100% also reported intending to screen future patients.CONCLUSIONS: This study suggests that brief education regarding the consequences of SHS exposure may improve medical students' knowledge and increase intent to screen. Future research should assess the long-term impact of educational programs on improved clinical care.</t>
  </si>
  <si>
    <t>(Merlo L.J.; Sutton J.A.; Gold M.S.); ID: 2299</t>
  </si>
  <si>
    <t>http://www.ncbi.nlm.nih.gov/pubmed/24821353</t>
  </si>
  <si>
    <t>10.1080/08897077.2013.821438 FULL TEXT LINK http://dx.doi.org/10.1080/08897077.2013.821438</t>
  </si>
  <si>
    <t>Brief educational intervention to improve medical student competence in managing patients exposed to secondhand smoke</t>
  </si>
  <si>
    <t>Mihordin,R.;Author,Addresses;Department of,Mental Health;Evaluation Services, Ninth Street Sacramento,C.A.United States;Correspondence,Address;Mihordin, Department of Mental Health Forensic Evaluation Services,R.;Ninth Street, Sacramento C A United,States Email;mihordin@earthlink.net</t>
  </si>
  <si>
    <t>22652612; Behavioral addiction-quo vadis?</t>
  </si>
  <si>
    <t>Journal of Nervous and Mental Disease</t>
  </si>
  <si>
    <t>J.Nerv.Ment.Dis.</t>
  </si>
  <si>
    <t>behavior disorder;behavioral addiction;pathological model railroading disorder;adolescence;anxiety;article;childhood;clinical feature;daily life activity;depression;disease model;DSM-5;environmental exposure;experimental model;human;locomotion;memory;personal experience;physician;practice guideline;psychiatric diagnosis;race difference;risk benefit analysis;self concept;sex difference;stress;Psychiatry (32)</t>
  </si>
  <si>
    <t>Behavioral addiction is a new class of psychiatric disorders being considered for inclusion in the next edition of the American Psychiatric Association's Diagnostic and Statistical Manual of Mental Disorders (DSM-5). In this article, pathological model railroading disorder is introduced as a vehicle for highlighting and discussing the foreseeable risks and benefits of legitimizing behavioral addiction as a diagnostic class in DSM-5. Copyright â”¬âŒ 2012 by Lippincott Williams &amp; Wilkins.</t>
  </si>
  <si>
    <t>(Mihordin R., mihordin@earthlink.net) Lippincott Williams and Wilkins, 351 West Camden Street, Baltimore, United States.; ID: 2551</t>
  </si>
  <si>
    <t>0022-3018 1539-736X (electronic)</t>
  </si>
  <si>
    <t>http://www.ncbi.nlm.nih.gov/pubmed/22652612</t>
  </si>
  <si>
    <t>10.1097/NMD.0b013e318257c503 FULL TEXT LINK http://dx.doi.org/10.1097/NMD.0b013e318257c503</t>
  </si>
  <si>
    <t>Behavioral addiction-quo vadis?</t>
  </si>
  <si>
    <t>Miles,J. J.;Donaldson,S.;Author,Addresses;University of,Calgary;Canada;Correspondence,Address;JJ Miles, University of Calgary Canada Email jmilesenator,gmail com</t>
  </si>
  <si>
    <t>Does sexual reassignment surgery rewire the brain: A comparison of pre=post QEEG results</t>
  </si>
  <si>
    <t>Journal of Neurotherapy</t>
  </si>
  <si>
    <t>brain;neurofeedback;society;surgery;adult;alcohol abuse;anxiety;attention deficit disorder;autism;bipolar disorder;brain atrophy;brain disease;brain mapping;child;chronic pain;cognitive defect;conduct disorder;data base;diagnosis;Diagnostic and Statistical Manual of Mental Disorders;electric activity;electroencephalogram;epilepsy;female;functional magnetic resonance imaging;gender identity;groups by age;head injury;headache;health;human;invasive procedure;learning disorder;male;medical specialist;mental disease;migraine;neuroimaging;obsessive compulsive disorder;patient;pediatrician;pilot study;population;positron;posttraumatic stress disorder;prediction;productivity;psychiatrist;psychologist;rage;schizophrenia;single photon emission computed tomography;sleep;stimulation;substance abuse;topography;transsexualism;traumatic brain injury</t>
  </si>
  <si>
    <t>As identified by the quantitative electroencephalogram (qEEG), statistically important brain wave patterns related to gender identity might be observed when a transgendered person has undergone sexual reassignment surgery (SRS). The observed differences in brain wave patterns may prove useful in treatment, and or assessment for readiness for postsurgery success for a transsexual person. Reassessment of brain wave patterns immediately after diagnosis, treatment, and surgery will perhaps reveal that the previous pattern was not altered and no longer statistically important. This pilot study might support the concept that brain wave patterns related to gender identity do have a correlated and measurable energetic effect. In addition, this study may objectively identify an immediate energetic change after HRT= surgeries in the direction of normalcy and health. Results of the study, including serendipitous findings, will be available for discussion regarding these questions and many others. Rationale for Pilot Study The qEEG is very useful in revealing the underlying abnormal brainwave patterns associated with Attention Deficit Hyperactivity Disorder (ADHD) and many other disorders. The system can discriminate with more than 90% accuracy ADHD from learning difficulties and from normal. Many psychiatrists, pediatricians, and psychologists involved in the diagnosis of learning disorders and ADHD are unaware of a significant body of research that supports the use of topometric (visual) qEEG analysis as a diagnostic tool for differentiating between organic and functional brain disorders including learning difficulties, ADHD, schizophrenia, epilepsy, and cerebral atrophy associated with alcohol abuse, depression, and anxiety. Psychophysiologists have established normative qEEG databases. The differences in brain wave patterns revealed in these comparisons point to subtypes of ADHD that are not documented in the Diagnostic and Statistical Manual of Mental Disorders (4th ed.). Studies of qEEG patterns of ADHD children and adults are consistent with findings revealed by Positron Emission Topography, functional Magnetic Resonance Imaging, Single Photon Emission Computed Tomography (SPECT), and other neuroimaging studies. More recently, research from SPECT brain studies by Daniel Amen and his colleagues have identified six subtypes of ADHD that correlate to qEEG patterns found in individuals with Attention Deficit Disorder (ADD). Although various psychometric measurements are available to clinicians, presently there are no data available that document the qEEG for use in assessments. Thus, topometric (or Visual) QEEG analysis is a powerful adjunct to psychometric assessment in this area (Duff, 2002). qEEG A qEEG is a topographic=visual enhancement of a traditional EEG. During the procedure, electrical activity of the brain, at rest and during stimulation, is recorded for analysis. Each area of the brain normally spends a characteristic amount of time in alpha, beta, theta, and delta activity. By comparing a patient's brain mapping to a control population, it may be possible to localize areas of focal slowing and enhanced areas of electrical activity. qEEG is not an invasive procedure; it can be used on all age groups but requires the interpretation of a specialist trained in quantitative encephalographic analysis. Interpretation of the qEEG involves an assessment of the statistical degree of congruence or lack of congruence between a patient and the normal population, or the degree of similarity between a given patient and a qEEG profile that may be characteristic of some defined clinical group. The quantitative approach can display not only variations in the qEEG profiles but also progressive changes in neurophysiological function over time. qEEGs are presently utilized in the evaluation of (a) attention deficit disorder, (b) anxiety, (c) depression, (d) substance abuse disorders, (e) psychiatric disorders, and (f) closed head injuries (Donaldson, 2009). The most common and well-documented use of neurofeedback is in the treatment of ADHD with multiple studies showing neurofeedback to be useful in the treatment of ADD. Other areas where neurofeedback has been researched include treatment of substance abuse, anxiety, depression, epilepsy, obsessive compulsive disorder, learning disabilities, bipolar disorder, conduct disorder, anger and rage, cognitive impairment, migraines, headaches, chronic pain, autism spectrum disorders, sleep, posttraumatic stress disorder, and mild traumatic brain injury (Donaldson, 2009). Hence, the effort to discover the usefulness of the qEEG as a tool for providing empirical data for assessment, treatment, and prediction of success for postsexual reassignment surgery in transsexuals would seem appropriate. Does sexual reassignment surgery create or cause new neural networks that literally change the brain and allow it to operate with greater efficiency, productivity, and functionality in the postsurgery transsexual compared to genetic men and women?.</t>
  </si>
  <si>
    <t>(Miles J.J., jmilesenator@gmail.com; Donaldson S.) 18th Annual Conference of the International Society for Neurofeedback and Research, ISNR 2010 Denver, CO, United States 2010-09-29 to 2010-10-03 Routledge; ID: 2780</t>
  </si>
  <si>
    <t>1087-4208</t>
  </si>
  <si>
    <t>10.1080/10874208.2010.52335 FULL TEXT LINK http://dx.doi.org/10.1080/10874208.2010.52335</t>
  </si>
  <si>
    <t>Miller,E. A.;Berman,L.;Atienza,A.;Middleton,D.;Iachan,R.;Tortora,R.;Boyle,J.;Author,Addresses;Survey Research, I. C. F.;Rockville,United States;Correspondence,Address;Gaither Road Rockville United States Email,R.Iachan, I.C.F.;Ronaldo.Iachan@icf.com</t>
  </si>
  <si>
    <t>28358990; A feasibility study on using an internet-panel survey to measure perceptions of E-cigarettes in 3 metropolitan areas, 2015</t>
  </si>
  <si>
    <t>electronic cigarette;medical education;smoking;adult;article;Asian American;Black person;Caucasian;controlled study;feasibility study;female;Hispanic;human;Internet;intervention study;male;middle aged;Pacific Islander;pilot study;prevalence;priority journal;United States;Public Health, Social Medicine and Epidemiology (17)</t>
  </si>
  <si>
    <t>Objectives: Internet-panel surveys are emerging as a means to quickly and cost-effectively collect health data, and because of their large memberships, they could be used for community-level surveys. To determine the feasibility of using an internetpanel survey to quickly provide community-level data, we conducted a pilot test of a health survey in 3 US metropolitan areas. Methods: We conducted internet-panel surveys in Cleveland, Ohio; New York, New York; and Seattle, Washington, in 2015. Slightly more than 500 people responded to the survey in each city. We compared weighted unadjusted prevalence estimates from the internet-panel data with estimates from the 2014 Health Information National Trends Survey (HINTS) for the following question in each survey: Î“Ã‡Â£Compared to smoking cigarettes, would you say that electronic cigarettes are Î“Ã‡Âª much less harmful, less harmful, just as harmful, more harmful, much more harmful, or IÎ“Ã‡Ã–ve never heard of electronic cigarettes.Î“Ã‡Â¥ We used multivariable logistic regression to compare associations of respondentsÎ“Ã‡Ã– demographic and health characteristics with perceived harm from e-cigarettes. Results: The prevalence of the perception that e-cigarettes are less harmful than smoking cigarettes ranged from 35.9% to 39.9% in the internet-panel sites and was 43.0% in HINTS. Most patterns of beliefs and respondent characteristics in the internet-panel data were consistent with patterns in HINTS. We found inconsistent patterns between internet-panel sites and HINTS by race/ethnicity and education. Conclusions: This feasibility study found that internet-panel surveys could quickly produce community-level data for targeted public health interventions and evaluation, but they may be limited in producing estimates among subgroups.</t>
  </si>
  <si>
    <t>(Miller E.A.; Berman L.; Atienza A.; Middleton D.; Iachan R., Ronaldo.Iachan@icf.com; Tortora R.; Boyle J.) SAGE Publications Ltd, info@sagepub.co.uk; ID: 1800</t>
  </si>
  <si>
    <t>1468-2877 (electronic) 0033-3549</t>
  </si>
  <si>
    <t>http://www.ncbi.nlm.nih.gov/pubmed/28358990</t>
  </si>
  <si>
    <t>10.1177/0033354917701888 FULL TEXT LINK http://dx.doi.org/10.1177/0033354917701888</t>
  </si>
  <si>
    <t>A feasibility study on using an internet-panel survey to measure perceptions of E-cigarettes in 3 metropolitan areas, 2015</t>
  </si>
  <si>
    <t>Miller,W. R.;Author,Addresses;Department of Psychology, University of,New Mexico;Albuquerque,Nm Usa;Correspondence,Address;WR Miller, Department of Psychology University of,New Mexico;Albuquerque,Nm Usa</t>
  </si>
  <si>
    <t>23581002; Educating psychologists about substance abuse</t>
  </si>
  <si>
    <t>addiction (diagnosis, prevention, rehabilitation);alcoholism (diagnosis, prevention, rehabilitation);clinical psychology;cooperation;curriculum;early intervention;education;human;interdisciplinary communication;legal aspect;licensing;professional competence;review;specialization;standard;United States</t>
  </si>
  <si>
    <t>(Miller W.R.); ID: 3310</t>
  </si>
  <si>
    <t>http://www.ncbi.nlm.nih.gov/pubmed/23581002</t>
  </si>
  <si>
    <t>Educating psychologists about substance abuse</t>
  </si>
  <si>
    <t>Miller,W. R.;Author,Addresses;Emeritus,Distinguished Prof;and Psychiatry, University of New Mexico Albuquerque,United States;Correspondence,Address;WR Miller, Emeritus Distinguished Prof,of Psychology;Psychiatry;University of New Mexico, Albuquerque United,States Email;wrmiller@unm.edu</t>
  </si>
  <si>
    <t>Sacred Cows and Greener Pastures: Reflections from 40 Years in Addiction Research</t>
  </si>
  <si>
    <t>addiction;medical research;alcoholism;case management;empathy;evidence based practice;health care quality;health care system;hospital admission;human;medical terminology;motivation;multiple drug abuse;outpatient care;psychotherapist;relapse;religion;review;substance abuse;treatment outcome;Public Health, Social Medicine and Epidemiology (17);Drug Dependence, Alcohol Abuse and Alcoholism (40)</t>
  </si>
  <si>
    <t>In this invited editorial, Prof. William R. Miller reflects on lessons learned through 40 years in addiction research and treatment on topics including evidence-based treatment, client-treatment matching, waiting lists, brief intervention, therapist effects, empathy, polydrug use, relapse, diagnostic labels, manual-guided treatment and standard care, abstinence and moderation, acute treatment and case management, residential and outpatient care, concomitant disorders and integrated care, motivation for change, and spirituality. Concluding that there are ample reasons for humility about our professional expertise, he offers recommendations in nine areas for improving the care of people with substance use disorders.</t>
  </si>
  <si>
    <t>(Miller W.R., wrmiller@unm.edu) Routledge, aabs@uw.edu; ID: 2000</t>
  </si>
  <si>
    <t>1544-4538 (electronic) 0734-7324</t>
  </si>
  <si>
    <t>20160036663 PUI L607720814</t>
  </si>
  <si>
    <t>10.1080/07347324.2015.1077637 FULL TEXT LINK http://dx.doi.org/10.1080/07347324.2015.1077637</t>
  </si>
  <si>
    <t>Miovsky,M.;Pates,R.;Author,Addresses;Carle University,in Prague;Correspondence,Address;Miovsky, Carle University in Prague Czech Republic,M.</t>
  </si>
  <si>
    <t>International society addiction journal editors (ISAJE): Education and training activities in addiction science</t>
  </si>
  <si>
    <t>i38</t>
  </si>
  <si>
    <t>addiction medicine;editor;education;adult;conference abstract;human;low income country;PhD student;public health;publishing;scientist;simulation training;sociology</t>
  </si>
  <si>
    <t>ISAJE was established in 2000 for supporting editors of addiction pro-fessional Journals (for more info: www.parint.org). Alcohol and ad-diction studies is a multidisciplinary area of scientific research and clinical practice that is devoted to the understanding, management and prevention of health and social problems connected with the use of psychoactive substances and other products. In recent years addiction studies has become the framework for specialized education training programs, which depend on a vital interaction between science, clinical practice and social policy. This presentation describes the growth of education and training programs in addiction and the opportunities it presents to persons entering this new interdisciplinary field. In addition to almost 40 degree programs at the bachelor, master and doctoral levels, there are many post-baccalaureate programs that provide training to addiction professionals in public health, social science, and addiction medicine. Even more numerous are training programs and workshops that provide specialized courses in continuing education. For example, the International Society of Addiction Journal Editors (ISAJE) has developed 4 areas of education and training activities targeted primarily at young PHD students, post-doctoral and young researchers. Specifically the organization has produced (1) a comprehensive manual, Publishing Addiction Science, (2) a series of interactive training programs and workshops, (3) e-learning lectures and e-learning materials and (4) specific training programmes for students and young researchers from middle and low-income countries.</t>
  </si>
  <si>
    <t>(Miovsky M.; Pates R.) 15th European Society for Biomedical Research on Alcoholism Congress, ESBRA 2015 Valencia, Spain 2015-09-12 to 2015-09-15 Oxford University Press; ID: 2067</t>
  </si>
  <si>
    <t>10.1093/alcalc/agv079.10 FULL TEXT LINK http://dx.doi.org/10.1093/alcalc/agv079.10</t>
  </si>
  <si>
    <t>Miralles,J. L. G.;Benavent,M. A. C.;Viadel,M. H.;Prieto,J. F. P.;Chamorro,N. R.;Burguet,M. D. L. L. C.;Gomez,M. L. V.;Author,Addresses;Dispensario de,Toxicomanias;Alcoholismo de Torrent, C Hernandez Malilos bajo,Torrent Spain;Correspondence,Address;JLG Miralles, Dispensario de Toxicomanias Alcoholismo de,Torrent C.;Hernandez Malilos,14 bajo</t>
  </si>
  <si>
    <t>Training in Drug Addictions into the MIR Program of Psychiatry Training in Spain ORIGINAL (NON-ENGLISH) TITLE Formacion en adicciones en el Programa MIR (Medico Interno Residente) de Psiquiatria en Espana. Resultados de una encuesta</t>
  </si>
  <si>
    <t>alcoholism (epidemiology, therapy);drug dependence (epidemiology, therapy);psychiatric treatment;article;human;residency education;Spain;Public Health, Social Medicine and Epidemiology (17);Psychiatry (32);Drug Dependence, Alcohol Abuse and Alcoholism (40)</t>
  </si>
  <si>
    <t>The aim of the present work is to give a general perspective of the training in Drug Addiction and Alcoholism, included in the MIR program of Psychiatry in Spain. The data presented here have been taken from a survey in order to asses the different aspects of Psychiatry training. It was sent to all 67 of official MIR centers for 1990 to 1993, and it was filled in by the Psychiatry residents. The information obtained was the following: There is a specific rotatory in just over half of the centers; which if is carry-out adequately, fulfills the minimum time established in the program; there are more patients to be attended to by the residents in the General Hospitals; the staff/MIR ratio established in the program is not respected; the predominant doctrinal orientation is a biological one; there is more satisfaction with the rotatory in Alcoholism than in other Drug Addictions.</t>
  </si>
  <si>
    <t>(Miralles J.L.G.; Benavent M.A.C.; Viadel M.H.; Prieto J.F.P.; Chamorro N.R.; Burguet M.D.L.L.C.; Gomez M.L.V.) (46900 Valencia) (46900 Valencia); ID: 3465</t>
  </si>
  <si>
    <t>1998089046 PUI L28123564</t>
  </si>
  <si>
    <t>Missel,P.;Koch,A.;Author,Addresses;Fachverband,Sucht e.;Bundesverband fâ”œâ•r Stationâ”œÃ±re,Suchtkrankenhilfe e.;Germany;Correspondence,Address;Daun,P.Missel, A.H.G.Kliniken Daun Am Rosenberg Schulstr D.E.;Germany Email,pmissel,ahg de</t>
  </si>
  <si>
    <t>Inpatient addicition therapy: An overview of medical rehab data ORIGINAL (NON-ENGLISH) TITLE Die stationâ”œÃ±re suchtkrankenhilfe - Daten aus der medizinischen rehabilitation im â”œâ•berblick</t>
  </si>
  <si>
    <t>addiction (disease management, rehabilitation);alcoholism (disease management, rehabilitation);hospital care;rehabilitation care;comorbidity;data analysis;Germany;health care facility;hospital patient;human;major clinical study;mental health care;outpatient;review;treatment outcome;Public Health, Social Medicine and Epidemiology (17);Rehabilitation and Physical Medicine (19);Psychiatry (32);Health Policy, Economics and Management (36);Drug Dependence, Alcohol Abuse and Alcoholism (40)</t>
  </si>
  <si>
    <t>Goals: Data from German Addiction Aid statistics Deutsche Suchthilfestatistik (DSHS)] are gathered every year at inpatient and outpatient addiction facilities, keeping to the German Core Data Set Deutscher Kerndatensatzes (KDS)] format developed by the German Addiction Aid Deutsche Suchthilfe (DHS)] together with the main addiction aid associations. This analysis was done exclusively on data from 157 semi-inpatient (all-day outpatient), inpatient rehab and adaptation facilities. Methods: Data from inpatient rehab therapies in 2009 were analysed for the type of facility and patients treated as well as sociodemographic data, diagnoses, comorbidities and course of therapy. Results: The National Addiction Aid statistics indicate a participation ratio for rehab facilities in Germany of 42.5%, and of 59.5% for treatment which was covered by the German pension insurance. Routine basic documentation and catamnesis are now standard procedure at participating facilities. The certification ratio, however, still is well below the mandatory certification level to be met by autumn 2012. By far the largest group of patients treated were those with a main diagnosis of alcoholism. These also showed a high ratio of comorbidities. More than half of the patients were unemployed both at the beginning and at the end of therapy. Treatment results indicate low drop-out-rates. Patients treated primarily for compulsive gambling and alcoholism showed the lowest rate of recidivism. Conclusions: The results indicate a quality of therapy for patients with comorbidities treated at inpatient rehab facilities in Germany. Specific target group concepts for patients with comorbid disorders need to be developed further, and so does medically and professionally oriented rehab therapy. â”¬âŒ 2011 Verlag Hans Huber, Hogrefe AG.</t>
  </si>
  <si>
    <t>(Missel P., pmissel@ahg.de) (Koch A.) Hogrefe Publishing, Merkelstr. 3, Gottingen, Germany.; ID: 2596</t>
  </si>
  <si>
    <t>2011685866 PUI L363082709</t>
  </si>
  <si>
    <t>10.1024/0939-5911.a000143 FULL TEXT LINK http://dx.doi.org/10.1024/0939-5911.a000143</t>
  </si>
  <si>
    <t>Moazami,D.;Author,Addresses;Capital Health,Trenton,United States;Correspondence,Address;Moazami, Capital Health Trenton United States,D.</t>
  </si>
  <si>
    <t>Work life balance in residency, how to make it possible</t>
  </si>
  <si>
    <t>S513</t>
  </si>
  <si>
    <t>influenza vaccine;internal medicine;society;American;burnout;community;conflict management;coping behavior;curriculum;depersonalization;diet;emotional stress;environment;exercise;fatigue;health;hospital;human;insurance;job satisfaction;learning;leisure;medicine;monitor;non profit organization;patient care;patient safety;physician;population;positive feedback;praise;prevention;problem patient;professional competence;program evaluation;residency education;skill;sleep deprivation;social media;substance abuse;suicide;team building;videorecording;wellbeing</t>
  </si>
  <si>
    <t>NEEDS AND OBJECTIVES: One of the core requirements in the ACGME Program Requirements for Internal Medicine states Î“Ã‡Â£the program must be committed to and responsible for promoting patient safety and resident well-being in a supportive educational environment.Î“Ã‡Â¥ Resident well-being is essential for optimal resident learning as well as competent and compassionate patient care. It is estimated that 27-75% of residents are burned out at any given time depending on the medical specialty. SETTING AND PARTICIPANTS: To promote a culture of wellness, our program developed the Wellness Curriculum to assess and improve resident well-being during their training. Goals: To increase coping skills and strategies to manage stress. To identify and recognize burnout symptoms and signs in themselves and others. To introduce the concept and importance of wellness at the beginning of residency. To create and maintain a supportive educational environment in which wellness is a mindful value. DESCRIPTION: In a series of didactic sessions, residents were educated about the importance of recognizing symptoms of fatigue and burnout in themselves and among their peers. Wellness goals were added to the agenda of monthly faculty advisor meeting. The Program and the GME Department monitors resident duty hours and teaches residents ACGME Duty Hour requirements. The Program has a referral system in place for residents to seek help confidentially. A series of monthly Resident Well-being topics was added to the Noon Conference agenda throughout the year, once a month: Video and discussion of Î“Ã‡Â£Struggling in Silence: Physician Depression and SuicideÎ“Ã‡Â¥ (American foundation for Suicide Prevention) Debriefing sessions Lectures about healthy diet, substance abuse, fatigue and sleep deprivation. Lectures and interactive sessions about professional competence and relationship: difficult patient, conflict management, social media, team building exercise, job satisfaction, insurance companies, medical health reform. In addition, innovative wellness activities took the place of traditional Noon Conference lecture format. Some of these included the value auction game, simulated calls to a loved one and reflections on thankfulness. Through these activities residents were able to focus on issues that are important outside of residency training. Avariety of group activities were added throughout the year as Î“Ã‡Â£stress relieversÎ“Ã‡Â¥ and team building activities. Some of these included: fundraising for AHA, holiday and birthday celebrations, off-site social gatherings, community activities (volunteering at NYC Marathon, local flu vaccine event) Residents have been involved in different activities to increase a sense of control: Hospital committee, curriculum committee, and Program Evaluation Committee. Faculty members were encouraged to provide positive feedback and to use praise card. The Maslach Burnout Inventory (MBI) was administered to 32 residents. EVALUATION: Thirty-two out of 32 residents took the MBI. The group average scores for Emotional Exhaustion and Depersonalization were less than general population and for Personal Accomplishment was more than general population. 15.6 % (5/32) resident had severe burnout and 28.1 % (9/32) had moderate burnout. The results were provided to residents and will be monitored by the program and faculty advisors. DISCUSSION / REFLECTION / LESSONS LEARNED: Through the Wellness Curriculum, our residents have a greater understanding of the relationship between their well-being and the provision of high quality, and safe patient care. Methods of identifying residents with increased stress and burnout are implemented, as well as avenues for relief and treatment of burnout symptoms. Elements of the curriculum will be implemented earlier in the PGY1 year including during orientation. Wellness issues will be discussed during semiannual resident evaluation meetings and resident faculty meetings.</t>
  </si>
  <si>
    <t>(Moazami D.) 38th Annual Meeting of the Society of General Internal Medicine Toronto, ON, Canada 2015-04-22 to 2015-04-25 Springer New York LLC; ID: 2116</t>
  </si>
  <si>
    <t>Mohammadi,D.;Author,Addresses;Correspondence,Address;Mohammadi,D.</t>
  </si>
  <si>
    <t>26359895; Colin Drummond</t>
  </si>
  <si>
    <t>The Lancet Psychiatry</t>
  </si>
  <si>
    <t>academic achievement;alcoholism;medical education;psychiatry;addiction;automutilation;child neglect;death;education program;emergency ward;human;mental health care;mental health care personnel;mental health service;nicotine replacement therapy;note;poverty;practice guideline;primary medical care;psychiatrist;public health;relapse;suicide;tobacco dependence;world health organization;Public Health, Social Medicine and Epidemiology (17);Psychiatry (32)</t>
  </si>
  <si>
    <t>(Mohammadi D.) Elsevier Ltd; ID: 2131</t>
  </si>
  <si>
    <t>2215-0374 (electronic) 2215-0366</t>
  </si>
  <si>
    <t>http://www.ncbi.nlm.nih.gov/pubmed/26359895</t>
  </si>
  <si>
    <t>10.1016/S2215-0366(15)00067-X FULL TEXT LINK http://dx.doi.org/10.1016/S2215-0366(15)00067-X</t>
  </si>
  <si>
    <t>Colin Drummond</t>
  </si>
  <si>
    <t>Mohammadreza,S.;Mina,I.;Mohsen,T.;Mashayekhi,S.;Author,Addresses;Neurosciences Research Centre, Tabriz,University of;Medical Sciences,Tabriz Iran;Infectious;Tropical Diseases,Research Centre;Students Research Committee, Tabriz University,of Medical;Sciences,Tabriz Iran;Npmc,Tabriz University of Medical;Sciences,Tabriz Iran;Faculty;of Pharmacy, Tabriz University of Medical Sciences,Tabriz Iran;Correspondence,Address;Mashayekhi, Faculty of Pharmacy Tabriz University of Medical Sciences,S.;Tabriz,Iran Email mashayekhis yahoo co uk</t>
  </si>
  <si>
    <t>Socio-demographic characteristics of the addicted inmates of Qom and Tabriz prisons in Iran</t>
  </si>
  <si>
    <t>Advanced Pharmaceutical Bulletin</t>
  </si>
  <si>
    <t>benzodiazepine derivative;codeine;demography;drug dependence;prisoner;adolescent;adult;age distribution;aged;article;awareness;controlled study;drinking behavior;economic aspect;education;female;friendship;heroin dependence;human;Iran;leisure;major clinical study;male;marriage;onset age;personality;politics;poverty;prison;questionnaire;randomized controlled trial;sex difference;social behavior;socioeconomics;codeine (76-57-3);Public Health, Social Medicine and Epidemiology (17);Psychiatry (32);Drug Dependence, Alcohol Abuse and Alcoholism (40)</t>
  </si>
  <si>
    <t>Purpose: The aim of this investigation was to study the factors responsible for drug addiction amongst the inmates of Tabriz and Qom prisons, to further understand the reasons for drug abuse particularly in the young and find improved methods for combating these widespread problems. Methods: A multi-choice questionnaire was provided to inmates to potentially assess the reasons for their drug addiction psychiatric, personal, social, economical, and political factors were thought to be implicated. Two hundred drug addicted prisoners were individually interviewed randomly in both Tabriz and Qom prisons. A questionnaire including questions about the inmates' demographic characteristics and 49 multiple answers questions, was provided to identify the effects of different reasons for drug addiction for instance: psychiatric, personal, social, economical, and political factors. The collected data were analyzed by Student t-test and chi-squared test using SPSS software. Results: The results showed that the following factors could lead to drug addiction e.g. company with addicted friends and offenders, curiosity, imitation, illiteracy, family problems, crowded family, poverty, unemployment, and lack of self confidence. There were significant differences between Tabriz and Qom prisoners in relation to age, starting age of addiction, job, income, education, class of addiction, marital status, and hobbies. Mean age, mean starting age of addiction, poverty, alcohol drinking before addiction, marital status, heroin addiction, codeine and benzodiazepines abuse were significantly greater for Tabriz prisoners than those of Qom. Conclusion: It is clear that the governmental programs for reducing unemployment, creation of safe hobbies, proper control on drug dispensing in the pharmacies, proper birth control programs, and encouragement to higher education could alleviate addiction problem in Iran. â”¬âŒ 2012 by Tabriz University of Medical Sciences.</t>
  </si>
  <si>
    <t>(Mohammadreza S.) (Mina I.) (Mohsen T.) (Mashayekhi S., mashayekhis@yahoo.co.uk) (Mohammadreza S.; Mina I.; Mashayekhi S., mashayekhis@yahoo.co.uk) Tabriz University of Medical Sciences, Daneshgah St, Tabriz, Iran.; ID: 2552</t>
  </si>
  <si>
    <t>2228-5881 2251-7308 (electronic)</t>
  </si>
  <si>
    <t>2013149920 PUI L368481118</t>
  </si>
  <si>
    <t>10.5681/apb.2012.009 FULL TEXT LINK http://dx.doi.org/10.5681/apb.2012.009</t>
  </si>
  <si>
    <t>Mohiuddin,M.;Author,Addresses;Mental Health,Service Group;Health;Service,Townsville Australia;Correspondence,Address;Mohiuddin, Mental Health Service Group Townsville Hospital,M.;Health;Service,Townsville Australia</t>
  </si>
  <si>
    <t>Developing capacity in addictions in rural and remote health services: A north Queensland perspective</t>
  </si>
  <si>
    <t>alcohol;addiction;Australia;Australian;college;health service;human;New Zealand;psychiatrist;achievement;health care delivery;health care quality;hospital;medical specialist;mental health;mental health service;model;organization and management;psychiatry;Reunion;student;tobacco</t>
  </si>
  <si>
    <t>Background: The longstanding breach in many states between public sector mental health services (MHS) and clinical addiction services has been associated with loss of capacity and de-skilling of psychiatrists in addictions, contributing to lack of training pathways in addiction psychiatry. Developing Hospital and Health Service structures in Queensland have supported the reunion of MHS and Alcohol, Tobacco and Other Drugs Services (ATODS). This has necessitated the development of clinical capacity in addictions among psychiatrists and other clinicians in addition to applicable clinical governance processes. Objectives: To identify core requirements for psychiatrists to work as clinicians in addiction services, whether as sub-specialists or generalists, in rural and remote areas, though with possible applicability in some metropolitan areas. Methods: Outline the experience of the Rural, Remote and Indigenous (RRI) MHS of Townsville in modifying previous models of service delivery in addictions. Explain strategies to develop addiction capacity in the psychiatrists and other mental health clinicians of the RRI MHS and their implementation to date. Explain how this process has been incorporated into personal training in Addiction Psychiatry. Findings: Current status of addictions services in the RRI will be outlined. Difficulties experienced in the process will be highlighted in addition to achievements thus far. Conclusion: The process to date and the training package developed for addiction psychiatry in rural and remote settings offers a template for other trainees and other services wishing to develop such capacity.</t>
  </si>
  <si>
    <t>(Mohiuddin M.) Royal Australian and New Zealand College of Psychiatrists, RANZCP Annual Congress 2015 South Brisbane, QLD, Australia 2015-05-03 to 2015-05-07 SAGE Publications Ltd; ID: 2112</t>
  </si>
  <si>
    <t>10.1177/0004867415578344 FULL TEXT LINK http://dx.doi.org/10.1177/0004867415578344</t>
  </si>
  <si>
    <t>Mohiuddin,S. M.;Author,Addresses;Mental Health,Service Group;Health;Service,Townsville Australia;Correspondence,Address;SM Mohiuddin, Mental Health Service Group,Townsville Hospital;Health;Service,Townsville Australia</t>
  </si>
  <si>
    <t>Setting up an addictionsfocused training program for general practitioners</t>
  </si>
  <si>
    <t>alcohol;Australian;college;general practitioner;human;New Zealand;psychiatrist;training;accreditation;addiction;Australia;city;consultation;gambling;learning;marketing;mental health service;methodology;pain assessment;planning;population;substance use;tobacco</t>
  </si>
  <si>
    <t>Background: In Australia, there are 16.3 FTE psychiatrists per 100,000 population for 'Major cities' while there are only 3.9 FTE psychiatrists for 'Outer Regional' areas. This emphasizes the access barrier to sub-specialty psychiatric services such as addictions services for those who live outside metropolitan centres. Townsville, with a population of approximately 180,000, is classified as 'RA-3, outer regional area'. The Mental Health Service Group, with an integrated Alcohol Tobacco and Other Drug Services (ATODS), has taken numerous steps to meet an increasing demand for substance use, gambling and persistent pain assessment and intervention services. These include up-skilling Generalist Psychiatrists, accrediting advanced training positions for addictions subspecialty training, and setting up a training program for General Practitioners (GPs). Objectives: To provide an insight into the systematic approach used in setting up an addictions-focused training program for GPs in a regional setting. To also discuss the barriers encountered during the development and implementation of this program. Methods: The steps of the project included: planning; consultation with GPs to identify learning needs as well as barriers to engagement; design of training program; allocation of resources; accreditation for CPD points; marketing; recruitment and commencement. Findings and conclusions: This is an innovative approach by a mental health service to meet the high demands of addictions problems in a regional area. The presentation aims to describe the methodology undertaken to set up a training program for GPs in order to improve access to clinical care.</t>
  </si>
  <si>
    <t>(Mohiuddin S.M.) Royal Australian and New Zealand College of Psychiatrists, RANZCP Annual Congress 2015 South Brisbane, QLD, Australia 2015-05-03 to 2015-05-07 SAGE Publications Ltd; ID: 2106</t>
  </si>
  <si>
    <t>Moirgangthem,S.;Rudhran,V.;Mathangi,D. C.;Varman,A.;Usha,S.;Author,Addresses;Correspondence,Address;Moirgangthem,S.</t>
  </si>
  <si>
    <t>To assess the prevalence and correlates of internet addiction and the level of stress in MBBS students in a medical college</t>
  </si>
  <si>
    <t>human;Indian;internet addiction;medical school;medical society;prevalence;student;Brief Symptom Inventory;cross-sectional study;health;Internet;methodology;Perceived Stress Scale</t>
  </si>
  <si>
    <t>Aims and Objectives: To assess the prevalence of internet addiction and the level of stress perceived by MBBS students. To assess the correlates of the extent of internet usage and with the level of perceived stress. Methodology: Cross-sectional study. N =400; 100 MBBS students from each year will be taken. The following instruments will be used: The general health questionarrie-12 (GHQ -12), The internet addiction test (IAT), The perceived stress scale - 14 (PSS-14) and the brief symptom inventory (BSI). Results: The results will be analyzed using appropriate statistical tool. Conclusions: The implications of the study results shall be described and discussed in the paper.</t>
  </si>
  <si>
    <t>(Moirgangthem S.; Rudhran V.; Mathangi D.C.; Varman A.; Usha S.) 65th Annual National Conference of the Indian Psychiatric Society, ANCIPS 2013 Bangalore, India 2013-01-10 to 2013-01-13 Medknow Publications and Media Pvt. Ltd; ID: 2453</t>
  </si>
  <si>
    <t>Moka,E.;Vadalouca,A.;Argyra,E.;Siafaka,I.;Author,Addresses;Anaesthesiology Department, Creta InterClinic,Hospital Heraklion;Crete,Greece;Anaesthesiology Department,Chronic;Pain;Palliative Care Centre, Aretaieion University,Hospital Athens;Greece;Correspondence,Address;Moka, Anaesthesiology Department Creta InterClinic Hospital Heraklion,E.;Crete,Greece</t>
  </si>
  <si>
    <t>RA in opiod tolerant patients</t>
  </si>
  <si>
    <t>e96</t>
  </si>
  <si>
    <t>analgesic agent;cyclic AMP;cytochrome P450;guanine nucleotide binding protein;methadone;morphine;narcotic analgesic agent;opiate;opiate agonist;opiate receptor;oxycodone;receptor;sedative agent;sufentanil;human;pain;patient;regional anesthesia;society;therapy;abuse;acceleration;adaptation;addiction;agonist;analgesia;analgesic activity;anesthesia;anesthesia (sensory dysfunction);basic research;behavior;brain;cancer pain;caregiver;cell surface;chronic pain;cross tolerance;diagnosis;diaphoresis;diarrhea;diseases;dose response;down regulation;drug dependence;drug exposure;drug metabolism;drug therapy;enzyme induction;exposure;hepatitis;Human immunodeficiency virus;hypertension;implantable cardioverter defibrillator;infection;internalization;intestine motility;intoxication;kinetics;long term exposure;medical specialist;mental disease;metabolism;methadone treatment;miosis;patient satisfaction;pharmacokinetics;physician;preoperative evaluation;quality of life;receptor density;receptor down regulation;receptor occupancy;respiration depression;safety;signal transduction;spinal cord;spinal cord dorsal horn;substance abuse;surgery;synthesis;tachycardia;therapy effect;tuberculosis;upregulation;withdrawal syndrome</t>
  </si>
  <si>
    <t>Introduction: Noticeable shifts in pain pharmacotherapy and physicians attitude have occurred during the previous years, in reference to opioids use for the treatment of benign and malignancy-related pain, with pain specialists prescribing opioids to a greater number of patients and in doses appropriately titrated towards individualized needs. The percentage of patients to whom opiates for chronic pain are prescribed has increased dramatically in recent years. Interestingly, 47% of these patients are treated with strong opioids, such as morphine, oxycodone and methadone, whereas long-term opioid use and dose escalation has been noted in one third of patients with chronic non-cancer pain. Avariety of opioid analgesics and delivery systems have been introduced, that have increased patient satisfaction, physician acceptance, and overall use. Concomitant with improvements in pain relief and quality of life improvement, an increasing number of patients are affected by issues related to opioid tolerance and physical dependence. Only few published reviews address the treatment of acute pain in patients with substance abuse disorders, and even fewer have focused specifically on perioperative pain management in opioid- tolerant or opioid-dependent patients, incorporating Regional Anaesthesia (RA) techniques. Multiple factors are responsible for opioid tolerance, physical dependence and/or addiction, making pain management even more difficult in this specialized subset of patients. Many patients who present for surgery and anesthesia may be opioid- dependent or at least moderately tolerant to the therapeutic effects of opioid analgesics. Causal factors underlying tolerance and dependency include substance use disorder and, more commonly, legitimate use of opioid analgesics for treatment of chronic benign or malignancy-associated pain. Opioid- dependent/tolerant patients, particularly substance abusers, may present with organ damage, infectious diseases such as human immunodeficiency virus, tuberculosis, hepatitis, associated psychological disorders, and drug-specific adaptations such as tolerance, physical dependence, and withdrawal. These variables alone or in combination may diminish opioid analgesic effectiveness in the perioperative setting. Perioperative management of opioid-tolerant/ dependent patients and RAapplication pose a special challenge to primary caregivers, anaesthesiologists and pain specialists alike, with the problem usually emanating from the often conflicting needs to balance the rights of the patient on one hand and concerns regarding safety, diversion, and abuse on the other, thus raising important ethical issues. Basic Concepts of Opioid Use Disorders: Terminology-Criteria-Key Issues: Prior to presentation of RA role in opioid tolerant patients, the following issues should be considered to provide a comprehensive perioperative pain management strategy: (1) key concepts and definitions, such as substance abuse, physical versus psychological dependence, and tolerance development; (2) clinical differentiation of opioid dependency; (3) preoperative assessment issues; and (4) postoperative-perioperative management issues. Substance use disorders have been classified according to clinical manifestations of psychological dependence, with/without physical dependence or tolerance or/and both. Specific definitions have already been consolidated in current literature. Distinctive boundaries of definitions might not be always clear (especially for terms such as addiction, dependence, abuse and substance abuse), partly due to terminology evolvement over time in varying historical and sociocultural contexts, also reflecting conflicts regarding appropriate terminology for the complex medical and psychosocial issues, that underlie chronic and compulsive substance-using behaviour. Opioids Physical Dependence - Withdrawal Syndrome: It describes alterations in physiologic response that result from opioid binding and receptor-mediated activity. Abrupt discontinuation of oral or parenterally administered opioids leads to opioid withdrawal or abstinence syndrome (hypertension, tachycardia, diaphoresis, abdominal cramping, and diarrhea, as well as physiologic and behavioral responses). These symptoms, although very unpleasant are rarely life threatening; however, they can often confuse clinical diagnosis and care. The time course of withdrawal (onset, peak intensity) is variable, depending on the opioid used. Opioid Tolerance - Definition: Opioid tolerance is a predictable pharmacologic adaptation. Continued opioid exposure results in a rightward shift in the dose-response curve, and patients require increasing amounts of drug to maintain the same pharmacologic effects. The phenomenon of tolerance develops to analgesic, euphoric, sedative, respiratory depressant, and nauseating effects of opioids, but not to their effects on miosis and bowel motility. The degree or gradation of opioid tolerance is generally related to duration of exposure, daily dose requirement, and receptor association/disassociation kinetics. Opioid agonists binding to the same receptor may show asymmetric cross-tolerance, depending on their intrinsic efficacy. For example, patients treated with sufentanil, an agonist having high intrinsic efficacy and requiring low receptor occupancy for a given analgesic effect, develop tolerance more slowly than to opioids having low intrinsic efficacy, such as morphine. Tolerance is observed in patients to whom opioids are legitimately prescribed for pain management, as well as in those abusing this class of drug. In general, the higher the daily dose requirement, the greater is the degree of tolerance development, thus reflecting harmful addiction rather than a normal adaptation to this class of analgesics. Types of Opioid Tolerance - Molecular and Cellular Mechanisms: Several types of opioid tolerance, including (1) Innate and (2) Acquired, have been defined. Innate tolerance refers to preexisting insensitivity, which is genetically determined and hence is present before drug exposure. True Tolerance is acquired after multiple exposures. This can be of three types: Pharmacokinetic Tolerance, Learned Tolerance, and Pharmacodynamic Tolerance. Pharmacokinetic tolerance refers to changes in distribution or metabolism of the drug, usually by enzyme induction and subsequent acceleration in metabolism. There is also adequate evidence that drug metabolism by genetically variable P-450 can also influence the development of tolerance and dependence. Learned tolerance, refers to a reduction in the effects of a drug due to compensatory mechanisms that are learned. For example, an opioid abuser learns to behave normally despite intoxication. Learned tolerance is also observed in methadone maintenance programs, where abusers mask the effects of methadone, so that a higher dose will be prescribed. Perhaps the most important form of tolerance relevant to opioids is pharmacodynamic tolerance. Pharmacodynamic tolerance has been related to neuroadaptive changes that take place after long-term exposure to the drug. These include changes in receptor density and alterations in receptor coupling to G proteins and signal transduction pathways. Basic research has provided a better understanding of the cellular and molecular mechanisms mediating pharmacodynamic opioid tolerance. These mechanisms possibly occur at two distinct levels. The first occurs at the level of the opioid receptor and involves (a) receptor desensitization on long-term or repeated exposure to opioids, (b) subsequent decreases in the absolute number of opioid receptors (down-regulation), (c) receptor trafficking from cell surface to the interior of the cells (internalization), and (d) secondary uncoupling of opioid receptors from underlying G proteins. Another mechanism proposed to explain pharmacodynamic tolerance involves up-regulation of the cyclic adenosine monophosphate (cAMP). Acutely, opiates inhibit the functional activity of the cAMP pathway, although with long-term opiate exposure, the cAMP pathway gradually recovers, and tolerance develops. Increased synthesis of cAMP may be responsible for physical dependence and physiologic changes associated with withdrawal. Up-regulation of cAMP has been most clearly demonstrated in brain, but up-regulation within the dorsal horn of the spinal cord seems to be responsible for tolerance to opioid - induced analgesia.</t>
  </si>
  <si>
    <t>(Moka E.) (Vadalouca A.; Argyra E.; Siafaka I.) 33rd Annual European Society of Regional Anaesthesia and Pain Therapy, ESRA Congress 2014 Seville, Spain 2014-09-03 to 2014-09-06 Lippincott Williams and Wilkins; ID: 2211</t>
  </si>
  <si>
    <t>10.1097/AAP.0000000000000142 FULL TEXT LINK http://dx.doi.org/10.1097/AAP.0000000000000142</t>
  </si>
  <si>
    <t>Molina,A. J.;Fernâ”œÃ­ndez,T.;Fernâ”œÃ­ndez,D.;Delgado,M.;de Abajo,S.;Martâ”œÂ¡n,V.;Author,Addresses;Area of,Preventive;Medicine;Public Health, Institute of,Biomedicine University;of Leâ”œâ”‚n,Leâ”œâ”‚n Spain;Nursing service,Complejo Asistencial;Universitario,de L.;Area of,Preventive Medicine;Health Sciences,University,of Ja;Correspondence,Address;AJ Molina, Area of,Preventive Medicine;Public Health,Department of;Biomedical Sciences, University of Leâ”œâ”‚n Altos de la Nava,s n Postal code;es,Leâ”œâ”‚n Spain Email ajmolt unileon</t>
  </si>
  <si>
    <t>22153056; Knowledge, attitudes and beliefs about tobacco use after an educative intervention in health sciences' students</t>
  </si>
  <si>
    <t>attitude to health;medical personnel;medical profession;smoking (prevention);adolescent;adult;article;controlled clinical trial;controlled study;education;female;follow up;human;male;psychological aspect;Spain</t>
  </si>
  <si>
    <t>Purpose: To examine the effectiveness of a tobacco control course on the improvement of knowledge, attitudes and beliefs about smoking among health sciences' students. Methods: This was a quasi-experimental study of community intervention carried out during the years 2005-2008, at 2 university health science centres in northwest Spain. A total of 290 students on the intervention and 256 on the control campus took part in the study. The intervention consisted of a course on the prevention and control of tobacco use offered only on the intervention campus. Data were collected before the intervention and 6. months afterwards. Results: After the course, significant differences between groups were observed in the improvement of knowledge, attitudes and perceived ability to act in tobacco control. Conclusions: The introduction of training concerning smoking through active methodologies had a positive impact on the knowledge, attitudes and beliefs about tobacco of students. â”¬âŒ 2011 Elsevier Ltd.</t>
  </si>
  <si>
    <t>(Molina A.J., ajmolt@unileon.es; Fernâ”œÃ­ndez T., tferv@unileon.es; de Abajo S., sabao@unileon.es; Martâ”œÂ¡n V., vmars@unileon.es) (IBIOMED) (Fernâ”œÃ­ndez D., danifega@gmail.com) (CAULE) (Delgado M., mdelgado@ujaen.es) Churchill Livingstone, 1-3 Baxter's Place, Leith Walk, Edinburgh, United Kingdom.; ID: 2497</t>
  </si>
  <si>
    <t>0260-6917 1532-2793 (electronic)</t>
  </si>
  <si>
    <t>http://www.ncbi.nlm.nih.gov/pubmed/22153056</t>
  </si>
  <si>
    <t>10.1016/j.nedt.2011.11.007 FULL TEXT LINK http://dx.doi.org/10.1016/j.nedt.2011.11.007</t>
  </si>
  <si>
    <t>Knowledge, attitudes and beliefs about tobacco use after an educative intervention in health sciences' students</t>
  </si>
  <si>
    <t>Moller,C. I.;Tait,R. J.;Byrne,D. G.;Author,Addresses;Department of,Psychology;Centre,for;Mental Health Research, Australian National University,Canberra Australian;Capital Territory,Australia</t>
  </si>
  <si>
    <t>23577914; Deliberate self-harm, substance use, and negative affect in nonclinical samples: a systematic review</t>
  </si>
  <si>
    <t>affect;addiction;automutilation (epidemiology);complication;human;prevalence;psychiatric diagnosis;psychology;risk factor</t>
  </si>
  <si>
    <t>BACKGROUND AND METHOD: A systematic literature review was conducted to examine associations between self-harm, substance use, and negative affect in nonclinical samples.RESULTS: Forty-two articles describing 36 studies were identified that met the inclusion criteria. Findings indicated that individuals who engage in substance use are significantly more likely to engage in self-harm. It was also found that negative affective states such as depression and anxiety are consistently associated with self-harm.CONCLUSIONS: These findings provide some guidance in identifying those who are at increased risk of self-harm. Reducing these risk factors could be an important strategy in preventing self-harm behavior in the general population.</t>
  </si>
  <si>
    <t>(Moller C.I.; Tait R.J.; Byrne D.G.); ID: 2463</t>
  </si>
  <si>
    <t>http://www.ncbi.nlm.nih.gov/pubmed/23577914</t>
  </si>
  <si>
    <t>10.1080/08897077.2012.693462 FULL TEXT LINK http://dx.doi.org/10.1080/08897077.2012.693462</t>
  </si>
  <si>
    <t>Deliberate self-harm, substance use, and negative affect in nonclinical samples: a systematic review</t>
  </si>
  <si>
    <t>Momenabadi,V.;Kaveh,M. H.;Hashemi,S. Y.;Author,Addresses;Department,of Health;Health Promotion,School;of Health, Shiraz University of Medical Sciences,Shiraz Iran;Research Center for Health Sciences Institute,of health;University of,Medical Sciences;Department,of Environmental;Engineering,School of Public Health Tehran University of Medical Sciences;Tehran,Iran;Correspondence,Address;SY Hashemi, Department of Environmental Health Engineering,School of;Public Health, Tehran University of Medical Sciences Tehran,Iran Email;s.yaser.hashemi@gmail.com</t>
  </si>
  <si>
    <t>Effect of educational intervention on intention of University studentsÎ“Ã‡Ã– disuse of Hookah smoking: BASNEF model</t>
  </si>
  <si>
    <t>health education;hookah;smoking;student attitude;university student;adult;article;clinical article;education;female;friend;human;incidence;intervention study;male;mortality;priority journal;publication;questionnaire;resident;smoking cessation;social interaction;tobacco use;water pipe smoking;Public Health, Social Medicine and Epidemiology (17);Drug Dependence, Alcohol Abuse and Alcoholism (40)</t>
  </si>
  <si>
    <t>There has been an increase in hookah smoking over the past years, hence implementing an intervention plan for its reduction is necessary. The present quasi-experimental study aimed to determine the effect of educational intervention on the hookah smoking behavior of dormitory students in Kerman University of Medical Sciences based on BASNEF model. SPSS/16 was used to analyze the data; the mean scores of attitude (Pâ”¬Ã¡&lt;â”¬Ã¡0.66), subjective norms (Pâ”¬Ã¡&lt;â”¬Ã¡0.103), and behavioral intention (Pâ”¬Ã¡&lt;â”¬Ã¡0.13) were no different prior to education in both intervention and control groups. The model decreased water pipe smoking among university students and the educational intervention positively influenced individuals Î“Ã‡Ã–attitude, subjective norms, and behavioral intention.</t>
  </si>
  <si>
    <t>(Momenabadi V.) (Kaveh M.H.) (Hashemi S.Y., s.yaser.hashemi@gmail.com) Taylor and Francis Ltd, healthcare.enquiries@informa.com; ID: 1718</t>
  </si>
  <si>
    <t>1475-9942 (electronic) 1465-9891</t>
  </si>
  <si>
    <t>20170768030 PUI L619064565</t>
  </si>
  <si>
    <t>10.1080/14659891.2017.1394376 FULL TEXT LINK http://dx.doi.org/10.1080/14659891.2017.1394376</t>
  </si>
  <si>
    <t>Mondal,A.;Author,Addresses;Vill;Rayan,Burdwan,P.O.;West Bengal,India;Correspondence,Address;Mondal,Vill,A.;Rayan, Burdwan West Bengal India Email,P.O.;drarijitmondal@gmail.com</t>
  </si>
  <si>
    <t>Internet addiction, associated psychopathology and its impact on health and lifestyle: A study on junior doctors of a medical college in kolkata</t>
  </si>
  <si>
    <t>S45</t>
  </si>
  <si>
    <t>internet addiction;lifestyle;medical school;anxiety;clinical article;cross-sectional study;Depression Anxiety Stress Scale;female;human;India;informed consent;institutional ethics;Internet;male;morbidity;neglect;postgraduate student;responsibility;sampling;social isolation;study design;surgeon</t>
  </si>
  <si>
    <t>There is rapid growth in internet use not only in India but also worldwide in last decade. There have been growing concern world wide of the potential adverse effects arising from excessive maladaptive or addictive internet usage. Kendell reports that there are a number of emotional factors which may be related to college students' internet addiction. Among these factors the most remarkable are depression, anxiety and stress. Other Conclusion of excessive usage have been documented as neglect of academic, work and domestic responsibilities, disruption of relationships, social isolation and financial problems. The understanding that internet use can be a disorder is still in its initial stages in India. This present study is to assess the internet addiction among the junior doctors at a medical college in Kolkata (using Young's Internet Addiction Test). This is also to assess associated psychiatric morbidity (using DASS, i.e. Depression Anxiety Stress Scale) and the impact of internet addiction on physical, mental ad social health (using Duke Health Profile). STUDY AREA: R. G. Kar Medical College &amp; Hospital, Kolkata. STUDY POPULATION: Junior doctors (internees, house physicians, house-surgeons &amp; post graduate trainees). STUDY DURATION: Thee months from the approval of institutional ethics committee. SAMPLE SIZE: Approximately 50 cases. SELECTION: Simple Random Sampling INCLUSION CRITERIA: Junior doctors Both sexes Willing to give consent History of using internet EXCLUSION CRITERA: Not using internet Not willing to give consent STUDY DESIGN: Short term cross-sectional study TOOLS TO BE USED: Consent form Young's Internet Addiction Test DASS (Depression, Anxiety, Stress Scale) 4. Duke Health Profile.</t>
  </si>
  <si>
    <t>(Mondal A., drarijitmondal2010@gmail.com) 68th Annual National Conference of the Indian Psychiatric Society, ANCIPS 2016 Bhopal, India 2016-01-21 to 2016-01-24 Medknow Publications; ID: 2015</t>
  </si>
  <si>
    <t>Mondanaro,E. E.;Author,Addresses;SureWest Communications, Industrial Ave,Bldg A.;Roseville,Ca Usa;Correspondence,Address;EE Mondanaro, SureWest Communications Industrial Ave,Bldg A.;Roseville,C. A. U. S. A. E.</t>
  </si>
  <si>
    <t>15284029; A pioneer of chemical dependency treatment: Dr Mondanaro takes no prisoners</t>
  </si>
  <si>
    <t>addiction;administrative personnel;health service;medical school;art;article;drug dependence treatment;female;gynecology;history;human;obstetrics;United States</t>
  </si>
  <si>
    <t>(Mondanaro E.E.); ID: 3222</t>
  </si>
  <si>
    <t>http://www.ncbi.nlm.nih.gov/pubmed/15284029</t>
  </si>
  <si>
    <t>A pioneer of chemical dependency treatment: Dr Mondanaro takes no prisoners</t>
  </si>
  <si>
    <t>Montalto,N. J.;Ferry,L. H.;Stanhiser,T.;Author,Addresses;Correspondence,Address;Email,nmontalto hsc wvu edu</t>
  </si>
  <si>
    <t>Erratum: Tobacco dependence curricula in undergraduate osteopathic medical education (Journal of the American Osteopathic Association)</t>
  </si>
  <si>
    <t>error;erratum;Public Health, Social Medicine and Epidemiology (17)</t>
  </si>
  <si>
    <t>(Montalto N.J., nmontalto@hsc.wvu.edu; Ferry L.H.; Stanhiser T.); ID: 3219</t>
  </si>
  <si>
    <t>2004419586 PUI L39299577</t>
  </si>
  <si>
    <t>Montebello,M.;Arunogiri,S.;Coleman,M.;Florida,D.;Juckes,L.;Rege,S.;Author,Addresses;South Eastern Sydney Local,Health District;Australia;National,Drug;Alcohol Research,Centre;University,of Nsw;Turning Point,Drug;Alcohol,Eastern Health Melbourne;Australia;Great Southern Mental,Health Service;Concord,Drug Health;Hills Clinic,Sydney Australia;Northern Sydney, L. H. D. Drug;Alcohol Services,Sydney;Australia;Wesley,Private Hospital;Psych Scene,Melbourne Australia;Positive Psychology,Wellness Centre;Correspondence,Address;Montebello, South Eastern Sydney Local Health District Sydney,M.;Australia</t>
  </si>
  <si>
    <t>Addictive psychiatry: A career hard to give up!</t>
  </si>
  <si>
    <t>48 SUPPL. 1</t>
  </si>
  <si>
    <t>alcohol;college;human;New Zealand;psychiatrist;psychiatry;addiction;coffee;diseases;implantable cardioverter defibrillator;organization and management;policy;prevalence;public health;skill;student;workshop</t>
  </si>
  <si>
    <t>This half-day workshop is aimed at registrars interested in passing the addictions component of training and exams, as well as those considering addiction subspecialty training. It will deliver comprehensive practical insights into training and career opportunities in addiction psychiatry. There is an increasing recognition of comorbid drug and alcohol problems across all of psychiatry. Addiction psychiatry is a rapidly-growing subspecialty field with established pathways for advanced training. Despite the high prevalence of these disorders, trainees often report lack of confidence and skills in this area. This workshop will include: Î“Ã‡Ã³ An overview of training pathways, including progression to obtaining the Advanced Certificate in Addiction; Î“Ã‡Ã³ A practical approach to Entrustable Professional Activities (EPAS) specific to addictions; Î“Ã‡Ã³ A framework for passing the 'addictions' components, for both the written and clinical exams; Î“Ã‡Ã³ A panel discussion, including current trainees and addiction psychiatrists from various states, focussing on public and private sectors, academic paths, and opportunities for impacting on public health and policy. This will be an interactive workshop, with ample opportunities for discussion, coffee and networking. So come and see what's so addictive about addiction psychiatry!.</t>
  </si>
  <si>
    <t>(Montebello M.) (Montebello M.; Florida D.) (Arunogiri S.) (Coleman M.) (Florida D.; Juckes L.) (Florida D.) (Juckes L.) (Rege S.) Royal Australian and New Zealand College of Psychiatrists, RANZCP Annual Congress 2014 Perth, WA, Australia 2014-05-11 to 2014-05-15 Informa Healthcare; ID: 2235</t>
  </si>
  <si>
    <t>10.1177/0004867414529061 FULL TEXT LINK http://dx.doi.org/10.1177/0004867414529061</t>
  </si>
  <si>
    <t>Moonshine,C.;Schaefer,S.;Author,Addresses;Correspondence,Address;Moonshine,C.</t>
  </si>
  <si>
    <t>21660878; Reflections on 10 years of training students and professionals in addiction treatment</t>
  </si>
  <si>
    <t>academic achievement;addiction (therapy);continuing education;health care personnel;curriculum;education;human;letter;methodology;teaching</t>
  </si>
  <si>
    <t>(Moonshine C.; Schaefer S.); ID: 2669</t>
  </si>
  <si>
    <t>http://www.ncbi.nlm.nih.gov/pubmed/21660878</t>
  </si>
  <si>
    <t>10.1080/08897077.2011.560530 FULL TEXT LINK http://dx.doi.org/10.1080/08897077.2011.560530</t>
  </si>
  <si>
    <t>Reflections on 10 years of training students and professionals in addiction treatment</t>
  </si>
  <si>
    <t>Morgan,A. U.;D'Alonzo,B. A.;Dupuis,R.;Reisley,A.;Klusaritz,H.;Cannuscio,C. C.;Author,Addresses;Perelman School,of Medicine;Pennsylvania,Philadelphia United States;University,of;Pennsylvania,Philadelphia United States;Correspondence,Address;AU Morgan, University of Pennsylvania Philadelphia,United States</t>
  </si>
  <si>
    <t>Community health specialist training for librarians: Improving knowledge and confidence in addressing the social determinants of health</t>
  </si>
  <si>
    <t>S143</t>
  </si>
  <si>
    <t>librarian;public health;social determinants of health;adult;African American;child;clinical article;comfort;conversation;curriculum;DNA transcription;female;homelessness;human;immigration;injury;library;male;manager;mental disease;needs assessment;Pennsylvania;resident;semi structured interview;social needs;social work;staff;Student t test;substance use;training</t>
  </si>
  <si>
    <t>BACKGROUND: Hosting over 1.5 billion in-person visits annually, and often serving as a lifeline for the highly vulnerable, public libraries can be partners in population health. Public library staff, however, report feeling ill-equipped to address the health and social challenges facing many of their patrons. The aim of this study was to train public library staff in pertinent health-related topics and evaluate their comfort, confidence, and preparedness in assisting vulnerable patrons. METHODS: Our interdisciplinary team of individuals with medical, social work, and public health backgrounds conducted a needs assessment of library staff and local residents in Philadelphia to determine the most pressing challenges facing the community. We then developed a 12-hour, case-based training curriculum for library staff. Topics addressed in the training-homelessness, mental illness and substance use, immigration, and trauma-were selected based on findings from the needs assessment. Each case was designed to help staff Î“Ã‡Â£recognizeÎ“Ã‡Â¥ high-risk patrons, Î“Ã‡Â£engageÎ“Ã‡Â¥ them in conversation, and Î“Ã‡Â£referÎ“Ã‡Â¥ them to appropriate community-based services. Participants were surveyed before and after each session and asked to rate on a scale of 1-10 how Î“Ã‡Â£comfortable,Î“Ã‡Â¥ Î“Ã‡Â£confident,Î“Ã‡Â¥ and Î“Ã‡Â£preparedÎ“Ã‡Â¥ they felt when presented with each case. Responses (before and after) were compared using a paired t-test. Participants were also interviewed 4months post-training about their daily work, how they had used the training, and for additional feedback. Interviews were transcribed and analyzed for key themes using an iterative process. RESULTS: 11 individuals participated in the training (81% female, age 26- 65, 45% African-American, 45% white, 9% Asian). Staff included managers, adult and children's librarians, library assistants, and security guard. Participants reported a significant improvement in comfort, confidence, and preparedness in almost all cases. Nine (81%) of the library staff completed semi-structured interviews. Overall, participants were positive, stating that the curriculum boosted their confidence about their current work. They also reported feeling more capable of assisting vulnerable patrons. However, several had not yet used many of the resources presented because they had not encountered patrons whom they identified as needing extra assistance. CONCLUSIONS: A 12-hour case-based training curriculum to teach public library staff to Î“Ã‡Â£recognize, engage and referÎ“Ã‡Â¥ patrons to appropriate resources significantly increased the preparedness, comfort, and confidence of staff in assisting vulnerable patrons with health and social needs, thereby increasing the capacity for public libraries to serve as partners in improving population health. Future training programs should strive to provide resources in a more accessible format, continue to assist staff in defining their role as public health partners, and assess the impact such training programs have on vulnerable patrons.</t>
  </si>
  <si>
    <t>(Klusaritz H.; Cannuscio C.C.) (Morgan A.U.; D'Alonzo B.A.; Dupuis R.; Reisley A.) 40th Annual Meeting of the Society of General Internal Medicine, SGIM 2017 Washington, DC, United States 2017-04-19 to 2017-04-22 Springer New York LLC; ID: 1825</t>
  </si>
  <si>
    <t>Morgan,C.;Author,Addresses;Institute of Psychiatry, King's College London,London United;Kingdom;Correspondence,Address;Morgan, Institute of Psychiatry King's College London London United,C.;Kingdom</t>
  </si>
  <si>
    <t>Ethnicity and the long-term course and outcome of psychosis: Initial findings from AESOP-10</t>
  </si>
  <si>
    <t>136 SUPPL. 1</t>
  </si>
  <si>
    <t>S43</t>
  </si>
  <si>
    <t>ethnicity;psychosis;schizophrenia;African;African Caribbean;compulsion;criminal justice;diagnosis;disability;disease course;ethnic difference;ethnic group;follow up;gender;Global Assessment of Functioning;human;medical specialist;mental health service;negative syndrome;patient;population;risk factor;social status;social stress;substance use;United Kingdom</t>
  </si>
  <si>
    <t>In the UK, there is strong evidence that black Caribbean and black African populations have higher rates of psychosis and more negative interactions with specialist mental health services. In addition, it has been suggested that the clinical course and outcome of psychosis in these groups is more benign, with fewer individuals experiencing continuous and negative symptoms over time. Underlying this is the idea that psychosis in these groups is more often brief, characterised by an acute onset and positive and manic symptoms, and caused by social stress (broadly construed). We sought to test this in a ten-year follow-up of a large cohort of individuals with first-episode psychosis (n=535) (AESOP-10). SOP-10 is a multi-centre follow-up study at 10 years of a cohort of 535 individuals with a first episode of psychosis. At baseline, extensive data were collected on a range of social and biological risk factors. At follow-up, detailed information was collated on clinical course and outcome, social function and disability, and service use during the 10 year period since inception into the study. Initial analyses have focused on comparisons between ethnic groups. In initial analyses, we found that there were no differences between ethnic groups in: a) clinical course and outcome, with, for example, similar proportions in all groups experiencing a continuous course (white British 24%, black Caribbean 28%, black African 24%; â•§Ã§(2)=0.2, df 2, p=0.92); and b) social function and disability, with, for example, similar scores on the Global Assessment of Function Disability Scale (Mean Disability Score: white British 59.6, black Caribbean 60.7, black African 52.4, f=0.76, p=0.47). There were, however, marked ethnic differences in patterns of service use. After ad justing for age, gender, overall number of admissions, clinical course and outcome, baseline diagnosis and substance use, the compulsory admission rate ratio, modelled using poisson regression with White British as the baseline group, was 1.9 (95% CI 1.26-2.87) for black Caribbean patients and 2.5 (95% CI 1.50-4.27) for black African patients. Further, by the end of the follow-up period: a) 31% of white British patients had had a criminal justice agency involved in at least one admission, compared with 68% of black Caribbean (OR 4.5, 95% CI 1.56-12.95) and 70% of black African patients (OR 5.1, 95% CI 1.39-18.64); and b) 5% of white British patients had been admitted at least once to a secure unit, compared with 18% of black Caribbean patients (OR 4.4, 95% CI 0.85-23.37) and 33% of black Africans (OR 10.0, 95% CI 1.59-63.0)] These initial analyses do not support the proposition that outcomes of psychosis are more benign in black minority ethnic groups in the UK. They do, however, again show high levels of compulsion in these groups, with suggestions that differences between groups become more pronounced over time.</t>
  </si>
  <si>
    <t>(Morgan C.) 3rd Biennial Schizophrenia International Research Conference Florence, Italy 2012-04-14 to 2012-04-18 Elsevier; ID: 2573</t>
  </si>
  <si>
    <t>Morgan,E.;Ryan,D. T.;Morgan,K.;D'Aquila,R.;Newcomb,M. E.;Mustanski,B.;Author,Addresses;Northwestern University,Chicago,United States;Correspondence,Address;Morgan, Northwestern University Chicago United States,E.</t>
  </si>
  <si>
    <t>Trends in PrEP uptake, adherence, and discontinuation among YMSM in Chicago</t>
  </si>
  <si>
    <t>Topics in Antiviral Medicine</t>
  </si>
  <si>
    <t>26 Supplement 1</t>
  </si>
  <si>
    <t>462s</t>
  </si>
  <si>
    <t>cannabis;Illinois;adolescent;adult;aged;alcohol consumption;cohort analysis;conference abstract;driver;drug withdrawal;education;ethnicity;Hispanic;human;Human immunodeficiency virus;information processing;insurance;interview;major clinical study;male;men who have sex with men;nonhuman;pre-exposure prophylaxis;race;rectum;sexuality;telecommunication;cannabis (8001-45-4, 8063-14-7)</t>
  </si>
  <si>
    <t>Background: Understanding utilization and discontinuation of pre-exposure prophylaxis (PrEP) among young men who have sex with men (YMSM) outside trials and demonstration projects is key in order to inform interventions utilizing PrEP to slow the spread of HIV through this highly impacted population. Methods: Data came from RADAR (N = 1031), an ongoing longitudinal cohort of YMSM (aged 16-29) in Chicago. Trends in PrEP use, adherence, and discontinuation were assessed across five time points of data collection. Poisson regression was utilized to assess trends in PrEP uptake, stratifying by race and ethnicity. Unadjusted and adjusted logistic regression models were utilized to assess the relationship between baseline characteristics and past six-month PrEP use. Results: Across the first three visits in 2015 to 2017, PrEP use in the past six months increased: 6.6% in visit one to 17.5% in visit three. These increases were significant only among white (IRR=1.45; 95% CI: 1.04-2.02) and Hispanic (IRR=1.59; 95% CI: 1.11-2.28) participants; no significant increase was observed among black participants. PrEP use was significantly associated with condomless sex (AOR=2.95; 95% CI: 1.38-6.28), having more sexual partners (AOR = 1.07; 95%</t>
  </si>
  <si>
    <t>(Morgan E.; Ryan D.T.; Morgan K.; D'Aquila R.; Newcomb M.E.; Mustanski B.) 25th Conference on Retroviruses and Opportunistic Infections, CROI 2018 Boston, MA, United States 2018-03-04 to 2018-03-07 International Antiviral Society; ID: 1725</t>
  </si>
  <si>
    <t>2161-5853</t>
  </si>
  <si>
    <t>Morrison,M. A.;Smith,Q. T.;Author,Addresses;Adolescent,Chemical Dependence;Ridgeview Institute, Smyrna G. A.;Correspondence,Address;Adolescent Chemical Dependence Program, Ridgeview Institute,Smyrna G.</t>
  </si>
  <si>
    <t>3550660; Psychiatric issues of adolescent chemical dependence</t>
  </si>
  <si>
    <t>alcoholism;drug dependence;adolescent;diagnosis;human;intoxication;priority journal;psychiatry;psychological aspect;therapy;Pediatrics and Pediatric Surgery (7);Drug Dependence, Alcohol Abuse and Alcoholism (40);Psychiatry (32);Public Health, Social Medicine and Epidemiology (17);Forensic Science Abstracts (49)</t>
  </si>
  <si>
    <t>A plan to solve the problem of adolescent substance abuse and addiction needs to focus on several areas: education, demonstration, cooperation, prevention, intervention, habilitation, treatment, and recovery. Possibly the most important aspect of solving the problem of chemical abuse is related to widespread change in attitudes and perceptions, and increased awareness of chemical dependence. Programs to inform the community, school, students, parents, and health professionals provide the means of such change. Facts about alcohol and drug abuse can be taught so that substance abuse can be clearly perceived as an unacceptable means of coping with life. It is crucial that health professionals, parents, and adolescents understand chemical dependence not only as a chronic and progressive disease, but more importantly as a treatable disease. Early and accurate diagnosis lead to increased success of intervention and treatment. Many symptoms of certain drugs in adolescents can be easily misdiagnosed for psychiatric illness. Treating the observed symptom may be quite different from treating the drug abuse. Polydrug abuse in the adolescent further complicates the clinical picture, especially when the treating physician is unaware of the drug abuse habit of the patient. In addition, the younger the age that a person is exposed to the chemical, the more susceptible that person is to a psychiatric reaction. The early stages of adolescent drug abuse also may be missed because behavioral changes may be attributed incorrectly to the normal maturation process that occurs during adolescence. For these reasons, drug abuse testing (i.e., urine drug screening) is essential to provide the proper treatment for the diagnosed condition. Pediatricians particularly are in a position to address substance abuse/dependence prevention from a developmental perspective. Pediatricians and other primary health care providers can play a significant role in informing and educating the family and community about alcohol and drug problems. Parents, students, schools, law enforcement officials, and others may turn to physicians for assistance. Physicians must be aware of community resources such as substance abuse prevention and treatment programs, parent action groups, self-help groups, and community mobilized efforts to combat chemical abuse and dependence. Pediatricians, as well as other health care professionals, must always consider psychactive drug use by adolescents as possible causes of general health or emotional problems, such as poor appetite, insomnia, problem behavior, academic underachievement, and loss of energy and motivation. Early diagnosis and intervention with youth can result in enormous benefits for the lives of the youth, families, and society.</t>
  </si>
  <si>
    <t>(Morrison M.A.; Smith Q.T.); ID: 3761</t>
  </si>
  <si>
    <t>http://www.ncbi.nlm.nih.gov/pubmed/3550660</t>
  </si>
  <si>
    <t>Psychiatric issues of adolescent chemical dependence</t>
  </si>
  <si>
    <t>Morton,W. A.;Author,Addresses;Clinical Research Section, Institute of,Psychiatry Medical;University of South Carolina, Ashley Ave,Charleston S.;United,States;Correspondence,Address;WA Morton, Clinical Research Section Institute of,Psychiatry Medical;University of South Carolina, Ashley Ave,Charleston S.;United,States</t>
  </si>
  <si>
    <t>Chemical dependence: A look at what does and doesn't work</t>
  </si>
  <si>
    <t>(MAJOR FOCUS);alcohol;cocaine;nicotine;analgesic agent;benzodiazepine derivative;gastrointestinal agent;methadone;narcotic analgesic agent;non prescription drug;alcohol abuse;drug abuse;drug dependence (rehabilitation);drug dependence treatment;substance abuse;alcoholics anonymous;analgesia;detoxification;group therapy;human;methadone treatment;model;pharmacist;philosophy;relaxation training;review;smoking cessation;alcohol (64-17-5);cocaine (50-36-2, 53-21-4, 5937-29-1);methadone (1095-90-5, 125-56-4, 23142-53-2, 297-88-1, 76-99-3);nicotine (54-11-5);Rehabilitation and Physical Medicine (19);Clinical and Experimental Pharmacology (30);Drug Literature Index (37)</t>
  </si>
  <si>
    <t>Pharmacists are often unprepared to become actively clinically involved with patients in chemical dependence treatment programs. This article discusses problems frequently encountered with these patients and provides potential solutions to detriments in addressing their needs. A practitioner needs to develop credibility with patients, understand the neurochemistry of addictions, and understand the main concepts that maintain addictive disorders. Non-drug alternatives need to be understood and offered to recovering patients instead of immediately relying on pharmacological treatments. Issues regarding dual diagnoses, pain management, nicotine cessation, and concurrent medical problems are discussed. Essential treatment concerns, such as a practitioner's 'philosophy of treatment,' concept of 12- step groups, the natural course of addiction, and recognizing impaired health professionals are addressed. The author offers suggestions for becoming successfully involved in a chemical dependency treatment program.</t>
  </si>
  <si>
    <t>(Morton W.A.); ID: 3516</t>
  </si>
  <si>
    <t>1996128003 PUI L26127493</t>
  </si>
  <si>
    <t>Mosalanejad,M.;Mosalanejad,L.;Lashkarpour,K.;Author,Addresses;Zahedan University of,Medical Sciences;Department of,Mental Health;Nursing;Paramedical,Jahrom University of Medical Sciences Jahrom;Iran;Department of Psychiatry, Zahedan University,of Medical;Sciences,Zahedan Iran;Correspondence,Address;Mosalanejad, Department of Mental Health School of Nursing and,L.;Paramedical,Jahrom University of Medical Sciences Motahari Street Jahrom;Iran Email,Mossla,yahoo com</t>
  </si>
  <si>
    <t>Prevalence of ADHD among students of zahedan university of medical science in Iran</t>
  </si>
  <si>
    <t>attention deficit disorder (epidemiology);medical student;adult;article;assessment of humans;Conners Adult ADHD Rating Scales Self Report;cross-sectional study;disease severity;female;human;hyperactivity;impulsiveness;Iran;major clinical study;male;memory;mental instability;paramedical student;prevalence;questionnaire;restlessness;self concept;sex difference;Public Health, Social Medicine and Epidemiology (17);Psychiatry (32)</t>
  </si>
  <si>
    <t>Objective: Attention-deficit/hyperactivity disorder (ADHD) is a common mental disorder in adults that was under-diagnosed until recently. Due to probable consequences of ADHD such as occupational and educational dysfunctions and substance use, this disorder is becoming more and more of a concern. This study aimed to investigate ADHD symptoms among students of Zahedan University of medical sciences, Iran.Methods: This cross-sectional study was performed in Zahedan University of Medical Sciences from 2008 to 2009. Our sample included 1500 individuals who were chosen using simple sampling method. Considering the goal of the investigation, two questionnaires were distributed among students including demographic information form and the Conners' Adult ADHD Rating Scales-Self Report (Screening Version, CAARS-S:SV).Data analysis was done using descriptive and analytical statistics in SPSS software.Results: Out of 1500 questionnaires distributed among students, 913 were completed. 589 students (64.5%)were female and 324 (35.5%) were male. The Mean age of participants was 21.7 â”¬â–’ 3.2 years. ADHD symptoms were defined based on the Conner's adult test. Based on CAARS-S: SV, inattention/memory,hyperactivity/restlessness, impulsiveness/emotional lability, and problems with self-concept subscale symptoms were found in 107 (11.7%), 109 (12%), 121 (13.2%), and 30 (3.3%) respondents, respectively. These findings were significantly higher than average.Conclusions: According to our results, it seems that the prevalence of ADHD is high among students. Thus, more screening is required in this population in order to diagnose and treat the disorder earlier and prevent its consequences, such as substance abuse.</t>
  </si>
  <si>
    <t>(Mosalanejad M.) (Mosalanejad L., Mossla_1@yahoo.com) (Lashkarpour K.) Mazandaran University of Medical Sciences, No.2, Moallem Square, Sari, Mazandaran, Iran.; ID: 2347</t>
  </si>
  <si>
    <t>1735-8639 1735-9287 (electronic)</t>
  </si>
  <si>
    <t>2013657402 PUI L370047015</t>
  </si>
  <si>
    <t>Moshki,M.;Hassanzade,T.;Taymoori,P.;Author,Addresses;Department of Public Health, School of Health,Social Development;and Health Promotion Research Centre, Gonabad University,of Medical;Sciences,Gonabad Iran;Department of Social Determinants,of Health;Research Center for Social Determinants of Health, Kurdistan,University of;Medical Sciences,Kurdistan Iran;Department of,Public Health;Health,Research Center for Social Determinants of Health Kurdistan;University of,Medical Sciences;Correspondence,Address;Taymoori, Department of Public Health School of Health Research Center,P.;for Social Determinants of Health, Kurdistan University of,Medical Sciences;Kurdistan,Iran Email sdhprc gmail com</t>
  </si>
  <si>
    <t>Effect of life skills training on drug abuse preventive behaviors among university students</t>
  </si>
  <si>
    <t>drug abuse;health program;health promotion;life skill training;student attitude;adolescent;adult;article;attitude to health;clinical effectiveness;controlled clinical trial;controlled study;educational status;female;human;male;medical student;questionnaire;risk reduction;university student;Public Health, Social Medicine and Epidemiology (17)</t>
  </si>
  <si>
    <t>Background: Drug abuse is now-a-days one of the gravest social harms. Recent years have experienced a drastic rise in drug abuse among school and university students. Thus, the need for special attention to the issue is deemed important. The present study was conducted with the aim of assessing the impact of life skills training on promotion of drug abuse preventive behaviors. Methods: This field trial experimental study was conducted on 60 students of Gonabad Medical University selected through quota random sampling and assigned randomly into two Intervention and control groups. Data were collected through a questionnaire, including two sections of demographic information and drug abuse preventive behaviors. The questionnaire was first assessed as to its validity and reliability and then administered both before and after educational intervention and also as a follow-up 4 years after intervention - Data were then analyzed using t-tests and Chi-square. Results: Comparison of post-test mean scores of drug abuse preventive behaviors of both groups showed a significant difference (P &lt; 0.01) which remained stable 4 years after intervention. There was a significant relationship between father's educational level and drug abuse preventive behaviors (P &lt; 0.01). Conclusions: Life skills' training is effective in the promotion of drug abuse preventive behaviors of university students.</t>
  </si>
  <si>
    <t>(Moshki M.) (Hassanzade T.) (Taymoori P., sdhprc@gmail.com) Isfahan University of Medical Sciences, PO Box 81745-319, Hezar Jarib St, Isfahan, Iran.; ID: 2306</t>
  </si>
  <si>
    <t>2008-8213 (electronic) 2008-7802</t>
  </si>
  <si>
    <t>2014376583 PUI L373211014</t>
  </si>
  <si>
    <t>Moskowitz,J. M.;Author,Addresses;Pacific,Institute for;Evaluation,Napa C. A.;Correspondence,Address;Pacific,Institute for;Evaluation,Napa C. A.</t>
  </si>
  <si>
    <t>6419117; Preventing adolescent substance abuse through drug education</t>
  </si>
  <si>
    <t>NO. 47</t>
  </si>
  <si>
    <t>alcohol;psychotropic agent;adolescence;drug abuse;drug education;adolescent;education;history;human;intoxication;normal human;prevention;short survey;smoking;theoretical study;alcohol (64-17-5);Drug Dependence, Alcohol Abuse and Alcoholism (40);Public Health, Social Medicine and Epidemiology (17);Psychiatry (32)</t>
  </si>
  <si>
    <t>The belief that education can solve social problems has been longstanding despite a lack of supportive evidence. This belief is based on the assumptions that social problems are caused by the maladaptive behavior of individuals, and that such behavior can be infleunced by education. The public schools are considered a logical setting for primary prevention because their major goal is education, and they service a young population that is relatively problem-free. The present paper examines the efficacy of drug education as a preventive solution to the problem of substance abuse. The substances of interest include alcohol and cigarettes as well as psychoactive drugs taken for non-medical reasons.</t>
  </si>
  <si>
    <t>(Moskowitz J.M.); ID: 3809</t>
  </si>
  <si>
    <t>http://www.ncbi.nlm.nih.gov/pubmed/6419117</t>
  </si>
  <si>
    <t>Preventing adolescent substance abuse through drug education</t>
  </si>
  <si>
    <t>Moyers,T. B.;Manuel,J. K.;Wilson,P. G.;Hendrickson,S. M. L.;Talcott,W.;Durand,P.;Author,Addresses;University;of New Mexico, Albuquerque,N.M.United States;Elmendorf Air,Force Base;Lackland Air,Force Base;North Florida/South Georgia,Veterans Health;Department,of Psychology;Alcoholism,Substance Abuse;Addictions,University of New Mexico;Albuquerque,N. M. U.;Correspondence,Address;Moyers, Department of Psychology Center on Alcoholism Substance,T.B.;Abuse;Addictions,University of New Mexico Albuquerque N.M.;United States Email, tmoyers,unm edu</t>
  </si>
  <si>
    <t>A randomized trial investigating training in motivational interviewing for behavioral health providers</t>
  </si>
  <si>
    <t>Behavioural and Cognitive Psychotherapy</t>
  </si>
  <si>
    <t>behavior;health care personnel;interview;motivation;motivational interviewing;training;adult;air force;article;clinical trial;consultation;controlled clinical trial;controlled study;feedback system;female;follow up;human;hypothesis;male;medical research;physician;priority journal;randomized controlled trial;skill;substance abuse;Public Health, Social Medicine and Epidemiology (17);Psychiatry (32)</t>
  </si>
  <si>
    <t>Evidence indicates that workshop training, personalized feedback, and individual consultation can increase competence in motivational interviewing (MI) among highly motivated and skilled substance abuse counselors. Little is known, however, about the translational value of these training strategies for counselors with fewer counseling skills and less stated motivation to learn MI. This study presents evidence from a randomized, controlled trial of 129 behavioral health providers assigned to receive workshop training and enrichments to learn MI. A diverse group of Air Force behavioral health providers working in substance abuse treatment programs were trained in MI and subsequently observed in clinical sessions at 4, 8 and 12 months after training. Results indicate that training was effective in increasing the skill level of these clinicians; however, these gains had decreased by the 4-month follow-up point. Training enrichments in the form of personalized feedback and consultation phone calls did not have an expected, additive effect on clinician skill level. The results of this study lend support to the hypothesis that a greater investment of resources and incentives may be necessary to achieve gains in MI skills for counselors with relatively lower baseline skills than those commonly participating in research studies. â”¬âŒ 2007 British Association for Behavioural and Cognitive Psychotherapies.</t>
  </si>
  <si>
    <t>(Moyers T.B., tmoyers@unm.edu; Manuel J.K.; Hendrickson S.M.L.) (Wilson P.G.) (Talcott W.) (Durand P.) (Moyers T.B., tmoyers@unm.edu) Cambridge University Press, Shaftesbury Road, Cambridge, United Kingdom.; ID: 2996</t>
  </si>
  <si>
    <t>1352-4658 1469-1833 (electronic)</t>
  </si>
  <si>
    <t>2008190053 PUI L351550698</t>
  </si>
  <si>
    <t>10.1017/S1352465807004055 FULL TEXT LINK http://dx.doi.org/10.1017/S1352465807004055</t>
  </si>
  <si>
    <t>Mugali,J. D.;Chate,S. S.;Author,Addresses;College,J. N. M.;Kle's,University Belagavi;Correspondence,Address;JD Mugali, J N Medical College KLE's University,Belagavi Karnataka;India Email,drjitendramugali,gmail com</t>
  </si>
  <si>
    <t>Prevalence and nature of psychiatry problems among the poor academic performing school children presenting with somatic complaints</t>
  </si>
  <si>
    <t>S95</t>
  </si>
  <si>
    <t>anxiety disorder;prevalence;psychiatry;abdominal pain;backache;child;conduct disorder;diagnosis;dizziness;emotional disorder;eye pain;female;headache;human;ICD-10;India;intellectual impairment;intelligence quotient;learning disorder;male;mood disorder;practice guideline;psychiatrist;questionnaire;sleep disorder;substance abuse;weakness</t>
  </si>
  <si>
    <t>Aims: 1.Prevalence of somatic complaints among poor academic performing school children 2.Psychiatry problems among poor academic performing school children presenting with somatic complaints Materials And Methods: Children who score in their fnal examination with grade C and below are considered as poor academic performers, recruited these children in the study. Assessed each child Intelligence quotient by Raven's coloured progressive matrices then diagnosed the child by interviewing with MINIKID Questionnaire and using ICD-10 diagnostic guidelines. Results: Prevalence of somatic complaints among poor academic performing 115 children is 29.57%. Nature of psychiatry problems in poor academic performing children presenting with somatic complaints are emotional disorders (anxiety disorders), mood disorders, sleep disorders, conduct disorders, Specific learning disorders, borderline intellectual disabilities and substance abuse. Conclusion: Children complain lot of somatic complaints like head ache, abdominal pain or discomforts as major, and also complaining like body pain, weakness, back pain, eye pain and giddiness. Most of the time underlined psychiatry problems with these complaints. Which are necessary to fnd out and to start early treatment. Also to decrease the severity of further suffering from the problem by intervention of Psychiatrist and to do well in the academics.Very less literature in the above mentioned area from India, This data may help to understand the underling psychiatry problems with somatic complaints by children.</t>
  </si>
  <si>
    <t>(Mugali J.D., drjitendramugali@gmail.com; Chate S.S.) 68th Annual National Conference of the Indian Psychiatric Society, ANCIPS 2016 Bhopal, India 2016-01-21 to 2016-01-24 Medknow Publications; ID: 2032</t>
  </si>
  <si>
    <t>Mukherjee,S.;Uzzaman,S. A.;Author,Addresses;Medical,R. G. K.;College,Kolkata West Bengal India;Correspondence,Address;Kar Medical College Kolkata West Bengal India Email,S.Mukherjee, R.G.;mukherjeesumit26@gmail.com</t>
  </si>
  <si>
    <t>Pattern of substance use among a medical college students in a metropolitan city: A cross-sectional study</t>
  </si>
  <si>
    <t>S91</t>
  </si>
  <si>
    <t>alcohol;cannabis;adolescence;cross-sectional study;medical school;medical student;substance use;adolescent;chi square test;conference abstract;controlled study;counseling;decision making;family life;female;halfway house;human;informed consent;institutional ethics;major clinical study;male;Muslim;nonhuman;physician;structured questionnaire;substance abuse;tobacco;alcohol (64-17-5);cannabis (8001-45-4, 8063-14-7)</t>
  </si>
  <si>
    <t>Background: Substance use and its associated problems are a global concern in recent time. Doctors are extremely vulnerable to substance use due to easy accessibility to the substances. Adolescence is the most critical period for substance use. Among adolescents, students are particularly vulnerable due to various reasons. Substance use assumes a special signifcance among medical students as they are the future medical practitioners and have a potential role in treating and counselling the patients of substance abuse disorder. Materials and Method: Approval from the Institutional ethics committee was obtained. Written informed consent was also taken. A structured questionnaire designed and validated in-house was administered to obtain information. Briefy, the themes under which the questions were asked included demographic details, details of the substance use and its source, attempt to quit in the past, ill-effects and legal consequences of substance use etc. The main aim of the study is simply to identify the type of substances being used, reason of use and effects in different spheres of life. 200 students were recruited from a medical college of a metropolitan city. Descriptive analysis was used for analyzing various categorical variables. Chi-square test was used to analyse the association of various categories. Results: Among 200 participants, 142 were male and 58 were female. It has been seen that much lesser number students from Muslim community is taking substance and the result is significant statistically (p= 0. 000983). It has also seen that rising trend of substance use from first year to internee batch (p= 0. 006595). Students who are staying at hostel are taking substance more (p= 0. 024183). Conclusion: Various substances like Alcohol, Tobacco, Cannabis are being used commonly. Problem of substance abuse should be taken seriously as it may have an impact on their professional judgement and in family life.</t>
  </si>
  <si>
    <t>(Mukherjee S., mukherjeesumit26@gmail.com; Uzzaman S.A.) 70th Annual National Conference of Indian Psychiatric Society, ANCIPS 2018 Ranchi, India 2018-02-05 to 2018-02-08 Medknow Publications; ID: 1741</t>
  </si>
  <si>
    <t>Muramoto,M. L.;Howerter,A.;Matthews,E.;Floden,L.;Gordon,J.;Nichter,M.;Cunningham,J.;Ritenbaugh,C.;Author,Addresses;University of Arizona College of Medicine, Department of,Family and;Community Medicine, N Cherry Avenue Tucson,United States;University,of Arizona;Anthropology,E. S.;Correspondence,Address;ML Muramoto, University of Arizona College of Medicine,Department of;Family;Community Medicine, N Cherry Avenue Tucson,United States</t>
  </si>
  <si>
    <t>25524595; Tobacco brief intervention training for chiropractic, acupuncture, and massage practitioners: Protocol for the CAM reach study</t>
  </si>
  <si>
    <t>BMC Complementary and Alternative Medicine</t>
  </si>
  <si>
    <t>14:1 Article Number: 510.</t>
  </si>
  <si>
    <t>acupuncturist;chiropractor;health care personnel;massage therapist;medical education;tobacco use;alternative medicine;article;conversation;crossover procedure;human;screening test;semi structured interview;smoking cessation;Public Health, Social Medicine and Epidemiology (17)</t>
  </si>
  <si>
    <t>Background: Tobacco use remains the leading cause of morbidity and mortality in the US. Effective tobacco cessation aids are widely available, yet underutilized. Tobacco cessation brief interventions (BIs) increase quit rates. However, BI training has focused on conventional medical providers, overlooking other health practitioners with regular contact with tobacco users. The 2007 National Health Interview Survey found that approximately 20% of those who use provider-based complementary and alternative medicine (CAM) are tobacco users. Thus, CAM practitioners potentially represent a large, untapped community resource for promoting tobacco cessation and use of effective cessation aids. Existing BI training is not well suited for CAM practitioners' background and practice patterns, because it assumes a conventional biomedical foundation of knowledge and philosophical approaches to health, healing and the patient-practitioner relationship. There is a pressing need to develop and test the effectiveness of BI training that is both grounded in Public Health Service (PHS) Guidelines for tobacco dependence treatment and that is relevant and appropriate for CAM practitioners. Methods/Design: The CAM Reach (CAMR) intervention is a tobacco cessation BI training and office system intervention tailored specifically for chiropractors, acupuncturists and massage therapists. The CAMR study utilizes a single group one-way crossover design to examine the CAMR intervention's impact on CAM practitioners' tobacco-related practice behaviors. Primary outcomes included CAM practitioners' self-reported conduct of tobacco use screening and BIs. Secondary outcomes include tobacco using patients' readiness to quit, quit attempts, use of guideline-based treatments, and quit rates and also non-tobacco-using patients' actions to help someone else quit. Discussion: CAM practitioners provide care to significant numbers of tobacco users. Their practice patterns and philosophical approaches to health and healing are well suited for providing BIs. The CAMR study is examining the impact of the CAMR intervention on practitioners' tobacco-related practice behaviors, CAM patient behaviors, and documenting factors important to the conduct of practice-based research in real-world CAM practices.</t>
  </si>
  <si>
    <t>(Muramoto M.L., myram@email.arizona.edu; Howerter A., howerter@email.arizona.edu; Matthews E., evam@email.arizona.edu; Floden L., lford@email.arizona.edu; Gordon J., judithg@email.arizona.edu; Cunningham J., jkcunning@email.arizona.edu; Ritenbaugh C., ritenbau@email.arizona.edu) (Nichter M., mnichter@email.arizona.edu) BioMed Central Ltd., info@biomedcentral.com; ID: 2184</t>
  </si>
  <si>
    <t>1472-6882 (electronic)</t>
  </si>
  <si>
    <t>http://www.ncbi.nlm.nih.gov/pubmed/25524595</t>
  </si>
  <si>
    <t>10.1186/1472-6882-14-510 FULL TEXT LINK http://dx.doi.org/10.1186/1472-6882-14-510</t>
  </si>
  <si>
    <t>Tobacco brief intervention training for chiropractic, acupuncture, and massage practitioners: Protocol for the CAM reach study</t>
  </si>
  <si>
    <t>Muramoto,M. L.;Lando,H.;Author,Addresses;Department of,Family;Community;Medicine,University of Arizona College of Medicine Tucson United States;Division of Epidemiology, University of Minnesota,School of;Public Health,Minneapolis,United States;Correspondence,Address;ML Muramoto, University of Arizona Department,of Family;Community;Medicine,N. C.;myram@u.arizona.edu</t>
  </si>
  <si>
    <t>19737208; Faculty development in tobacco cessation: Training health professionals and promoting tobacco control in developing countries</t>
  </si>
  <si>
    <t>Drug and Alcohol Review</t>
  </si>
  <si>
    <t>Drug Alcohol Rev.</t>
  </si>
  <si>
    <t>developing country;health care personnel;medical school;smoking cessation;tobacco dependence (epidemiology, prevention);article;education;human;methodology</t>
  </si>
  <si>
    <t>Issues: Cessation programs are essential components of comprehensive tobacco control. Health-care providers, especially physicians, have major responsibility for role modeling and promoting cessation. For successful, sustainable cessation training programs, countries need health-care professionals with knowledge and skills to deliver and teach tobacco cessation. Approach: Review literature relevant to faculty development in tobacco cessation and discuss its strategic potential in tobacco control. Key Findings: Faculty development is essential for sustainable tobacco cessation training programs, and a potentially powerful strategy to shift professional and societal norms towards cessation and support of comprehensive tobacco control in countries with normative tobacco use and underdeveloped tobacco control programs. Implications: Medical faculty are in a key position to influence tobacco cessation and control programs because of their roles as educators and researchers, receptivity to innovation and, influence on competencies and standards for medical education and practice. Faculty development programs must consider the number and type of faculty, and tobacco cessation curricula needed. Faculty development fosters the ability to institutionalise cessation education for students and community practitioners. Academic faculty are often leaders in their professional disciplines, influential in establishing clinical practice standards, and technical experts for government and other key health organisations. Conclusion: Training health-care professional faculty to become knowledgeable and committed to tobacco cessation opens opportunities to promote cessation and shift professional and societal norms away from tobacco use. â”¬âŒ 2009 Australasian Professional Society on Alcohol and other Drugs.</t>
  </si>
  <si>
    <t>(Muramoto M.L., myram@u.arizona.edu) (Lando H.) Blackwell Publishing, 550 Swanston Street, Carlton South, Australia.; ID: 2874</t>
  </si>
  <si>
    <t>0959-5236 1465-3362 (electronic)</t>
  </si>
  <si>
    <t>http://www.ncbi.nlm.nih.gov/pubmed/19737208</t>
  </si>
  <si>
    <t>10.1111/j.1465-3362.2009.00106.x FULL TEXT LINK http://dx.doi.org/10.1111/j.1465-3362.2009.00106.x</t>
  </si>
  <si>
    <t>Faculty development in tobacco cessation: Training health professionals and promoting tobacco control in developing countries</t>
  </si>
  <si>
    <t>Muriungi,S. K.;Ndetei,D. M.;Karanja,J.;Matheka,C. W.;Author,Addresses;Kenya Medical,Training;College,Nairobi Kenya;School of,Human;Social,Sciences;Daystar University,Nairobi Kenya;University,of Nairobi;Africa Mental,Health Foundation;School of Medicine, University of Nairobi,Nairobi Kenya;Correspondence,Address;SK Muriungi, Kenya Medical Training College Nairobi,Kenya Email;skagwi@yahoo.com</t>
  </si>
  <si>
    <t>Alcohol and substance abuse risk among students at the Kenya Medical Training College</t>
  </si>
  <si>
    <t>alcohol;amphetamine;cannabis;cocaine;opiate;psychedelic agent;sedative agent;alcohol abuse;medical student;substance abuse;adult;alcohol consumption;article;female;groups by age;human;Kenya;male;medical school;priority journal;risk assessment;screening test;sex ratio;tobacco use;young adult;alcohol (64-17-5);amphetamine (1200-47-1, 139-10-6, 156-34-3, 2706-50-5, 300-62-9, 51-62-7,;60-13-9, 60-15-1);cannabis (8001-45-4, 8063-14-7);cocaine (50-36-2, 53-21-4, 5937-29-1);opiate (53663-61-9, 8002-76-4, 8008-60-4);Public Health, Social Medicine and Epidemiology (17);Psychiatry (32)</t>
  </si>
  <si>
    <t>The object was to determine alcohol and substance use risk among students at the Kenya Medical Training College (KMTC). Data related to alcohol and substance use were obtained from 3107 first- and second-year basic diploma students from seven of the KMTC campuses in Kenya. Data were collected using a researcher-designed socio-demographic questionnaire and the Alcohol, Smoking and Substance Involvement Screening Test questionnaire. Most of the participants had low risk for alcohol use (98.1%), while a small percentage had moderate (1.7%) and high (0.25%) risk of alcohol use. Low risk of alcohol use was higher in females (99.15%) compared to males (97%). The risk for alcohol and tobacco use was comparable between those below 24 and those above 24 years. All the separated, divorced and widowed students (n=34) (100%) had low risk for sedatives and hallucinogens use. The risk of alcohol and substance use exists among KMTC students at different levels. There is need to screen students for substance use, increase awareness and provide appropriate intervention to prevent drug use and its related co-morbidities. â”¬âŒ 2013 Taylor &amp; Francis.</t>
  </si>
  <si>
    <t>(Muriungi S.K., skagwi2004@yahoo.com; Karanja J.) (Muriungi S.K., skagwi2004@yahoo.com) (Ndetei D.M.) (AMHF) (Matheka C.W.) Routledge, 4 Park Square, Milton Park, Abingdon, Oxfordshire, United Kingdom.; ID: 2239</t>
  </si>
  <si>
    <t>2014142413 PUI L52638193</t>
  </si>
  <si>
    <t>10.1080/17523281.2013.804862 FULL TEXT LINK http://dx.doi.org/10.1080/17523281.2013.804862</t>
  </si>
  <si>
    <t>Murphy,E. N.;Miranda,R.;Author,Addresses;Internal Medicine,Training;Program,University of Colorado School of Medicine Aurora United States;Department of Internal Medicine, University of,Colorado School;of Medicine,Aurora,United States;Colorado Health Foundation, Denver,United States;University,of Colorado;Internal Medicine Training Program, Lafayette St,Denver United;States;Correspondence,Address;EN Murphy, University of Colorado Denver Internal,Medicine Training;Program,Lafayette St Denver United States</t>
  </si>
  <si>
    <t>25317939; Doubts about treating hypogonadism due to long-term opioid usewith testosterone therapy: A teachable moment</t>
  </si>
  <si>
    <t>JAMA Internal Medicine</t>
  </si>
  <si>
    <t>(MAJOR FOCUS);opiate (adverse drug reaction, drug therapy);testosterone (drug therapy);follitropin (endogenous compound);luteinizing hormone (endogenous compound);analgesia;androgen therapy;hypogonadotropic hypogonadism (drug therapy, drug therapy);long term care;adult;case report;depression;drug dose reduction;drug response;follitropin blood level;general practitioner;human;low back pain (drug therapy);lower urinary tract symptom (side effect);luteinizing hormone blood level;male;patient referral;risk benefit analysis;short survey;testosterone blood level;treatment duration;urine retention (side effect);follitropin (9002-68-0);luteinizing hormone (39341-83-8, 9002-67-9);opiate (53663-61-9, 8002-76-4, 8008-60-4);testosterone (58-22-0);Urology and Nephrology (28);Drug Literature Index (37);Adverse Reactions Titles (38);General Pathology and Pathological Anatomy (5)</t>
  </si>
  <si>
    <t>(Murphy E.N., edward.murphy@ucdenver.edu) (Miranda R.) American Medical Association, smcleod@itsa.ucsf.edu; ID: 2305</t>
  </si>
  <si>
    <t>2168-6106</t>
  </si>
  <si>
    <t>http://www.ncbi.nlm.nih.gov/pubmed/25317939</t>
  </si>
  <si>
    <t>10.1001/jamainternmed.2014.5299 FULL TEXT LINK http://dx.doi.org/10.1001/jamainternmed.2014.5299</t>
  </si>
  <si>
    <t>Doubts about treating hypogonadism due to long-term opioid usewith testosterone therapy: A teachable moment</t>
  </si>
  <si>
    <t>Murray,P.;Author,Addresses;National Institute,on Alcohol;Alcoholism;Correspondence,Address;Murray, National Institute on Alcohol Abuse,P.;Alcoholism</t>
  </si>
  <si>
    <t>Infusing alcohol research into medical education: A perspective from NIAAA</t>
  </si>
  <si>
    <t>281A</t>
  </si>
  <si>
    <t>(MAJOR FOCUS);alcohol;alcoholism;medical education;society;United States;alcohol consumption;community;course evaluation;education;education program;emergency medicine;follow up;funding;investment;medical school;patient;physician;prevention;primary medical care;residency education;self report;teaching;training</t>
  </si>
  <si>
    <t>Specific Aims: 1) To improve the content of existing medical education on the prevention and treatment of alcohol use disorders in U.S. and international undergraduate, residency training, and continuing medical education programs; and 2) to disseminate NIAAA funded alcohol research findings to the medical community. Methods: Since 1994, NIAAA has developed, disseminated and evaluated materials aimed at undergraduate medical education, residency training programs, and continuing medical education programs for practicing clinicians in primary care and emergency medicine specialties, both in the U.S. and internationally. Some of these materials have been developed and disseminated directly by the Institute, while other materials have been developed, disseminated and evaluated extramurally through the NIH R-25 mechanism, Alcohol Education Project Grants. Many of the initiatives involved intensive face to face training of medical school faculty and residency training directors, practicing physicians and residents, while others were delivered through on line continuing medical education courses and lectures. Four initiatives included rigorous follow-up evaluations and two reported on patient outcomes as a result of physician training; however, most relied on pre/post tests of knowledge, attitudes, and self reports of behavior. Results: Over the fifteen year period, approximately $3.3 million was invested in medical education initiatives - 80% through extramural grant funding. A total of 1,341 physicians (the majority of whom were faculty) received face to face training, and 4,469 received CME credits for on line courses. An additional number of individuals have accessed the materials on the web. While course evaluations indicated that the programs were well received and participants improved in content knowledge, confidence in teaching, and, alcohol-related teaching and practice, little is known about the long term impact of these trainings on medical education either in the U.S. or the other countries. Conclusions: Investment in medical education appears to be a rational strategy to improve clinician knowledge about the detection, treatment, and prevention of alcohol disorders and disseminate alcohol research findings. Future efforts should include more focus on objective indicators of change in faculty and clinician behavior and sustainable increase in medical education content.</t>
  </si>
  <si>
    <t>(Murray P.) Texas Research Society On Alcoholism - 19th Annual Scientific Meeting San Antonio, TX, United States 2009-02-20 to 2009-02-20 Blackwell Publishing Ltd; ID: 2896</t>
  </si>
  <si>
    <t>Mutschler,J.;Koopmann,A.;Grosshans,M.;Hermann,D.;Mann,K.;Kiefer,F.;Author,Addresses;Klinik fâ”œâ•r Abhâ”œÃ±ngiges Verhalten, und;Suchtmedizin,Zentralinstitut fâ”œâ•r Seelische Gesundheit Universitâ”œÃ±t;Heidelberg,Mannheim Germany;Psychiatrische,Universitâ”œÃ±tsklinik;Zâ”œâ•rich, Klinik fâ”œâ•r Soziale Psychiatrie und,Allgemeinpsychiatrie Z.;Militâ”œÃ±rstr,Zâ”œâ•rich Switzerland;Correspondence,Address;Mutschler, Klinik fâ”œâ•r Abhâ”œÃ±ngiges Verhalten und Suchtmedizin,J.;Zentralinstitut fâ”œâ•r,Seelische Gesundheit;Mannheim,Germany Email jochen mutschler puk zh ch</t>
  </si>
  <si>
    <t>20737060; Dextromethorphan withdrawal and dependence syndrome ORIGINAL (NON-ENGLISH) TITLE Dextromethorphan: Entzugs- und abhâ”œÃ±ngigkeitssyndrom</t>
  </si>
  <si>
    <t>Deutsches Arzteblatt</t>
  </si>
  <si>
    <t>(MAJOR FOCUS);dextromethorphan (drug toxicity);substance abuse;withdrawal syndrome;adult;article;case report;diaphoresis;drug detoxification;follow up;Germany;hospital admission;hospital patient;human;hypertension;male;nausea;neglect;prescription;tachycardia;treatment planning;urinalysis;dextromethorphan (125-69-9, 125-71-3);Psychiatry (32);Drug Dependence, Alcohol Abuse and Alcoholism (40)</t>
  </si>
  <si>
    <t>Background: The N-methyl-D-aspartate (NMDA) antagonist dextromethorphan has been available in pharmacies without a prescription since 1954 as an antitussive agent. There is an alarming increase in reports of its abuse. Dextromethorphan is avidly taken, mainly by young people, as a psychoactive drug. The currently available data yield incomplete information about the extent of the problem and its significance for addiction medicine in Germany. Case presentation and course: We report the case of a 44-year-old man who became dependent on dextromethorphan through years of abuse, buying the substance for himself without a prescription in German pharmacies. He told us he had taken it regularly for six years. He had become dependent on dextromethorphan, ultimately taking it in a dose of 1800 mg daily. This led him to overt neglect of his work and leisure activities. A urine sample taken on admission to the hospital was found to contain dextromethorphan. During inpatient detoxification, he developed an vegetative withdrawal syndrome consisting of craving, diaphoresis, nausea, hypertension, and tachycardia. He was treated on our ward for three weeks, and a stay in a residential detoxification facility was planned thereafter. Conclusion: Dextromethorphan is a psychotropic substance that carries a potential for abuse and dependence. On the basis of the currently available data, its reclassification as a prescription drug should be considered.</t>
  </si>
  <si>
    <t>(Mutschler J., jochen.mutschler@puk.zh.ch; Koopmann A.; Grosshans M.; Hermann D.; Mann K.; Kiefer F.) (Mutschler J., jochen.mutschler@puk.zh.ch) Deutscher Arzte-Verlag GmbH, Dieselstrasse 2 (Postfach 0254), Cologne, Germany.; ID: 2773</t>
  </si>
  <si>
    <t>0012-1207</t>
  </si>
  <si>
    <t>German, English</t>
  </si>
  <si>
    <t>http://www.ncbi.nlm.nih.gov/pubmed/20737060</t>
  </si>
  <si>
    <t>10.3238/arztebl.2010.0537 FULL TEXT LINK http://dx.doi.org/10.3238/arztebl.2010.0537</t>
  </si>
  <si>
    <t>Dextromethorphan withdrawal and dependence syndrome ORIGINAL (NON-ENGLISH) TITLE Dextromethorphan: Entzugs- und abhâ”œÃ±ngigkeitssyndrom</t>
  </si>
  <si>
    <t>Nair,A. B.;Vivek,U.;Jithu,V. P.;Author,Addresses;Medical,College Thiruvananthapuram;Renai,Medicity Hospital;Medical,College Kozhikode;Correspondence,Address;AB Nair, Medical College Thiruvananthapuram,India Email;arunb.nair@yahoo.com</t>
  </si>
  <si>
    <t>Life skills education for school students the Kerala experience</t>
  </si>
  <si>
    <t>S166</t>
  </si>
  <si>
    <t>education;human;Indian;medical society;school;skill;student;abuse;adolescence;adolescent;aggression;assertiveness;child;city;competence;environmental sanitation;friendship;government;growth, development and aging;life;nutrition;pediatrician;personal hygiene;psychiatrist;role playing;sexual abuse;sexual behavior;sexually transmitted disease;social behavior;substance abuse;teacher;world health organization</t>
  </si>
  <si>
    <t>Background: Life skills are a group of abilities which every person should imbibe in order to face new and difficult situations in life. It helps to improve psychosocial competence and enhance assertiveness so that a person can abstain from unhealthy practices like substance abuse, aggression, unhealthy sexual behaviour and abuse. UNICEF has pointed out that adolescence is the key period to develop life skills in an individual. WHO has listed a group of 10 life skills, which have to be imparted to children and adolescents in a structured way. Since most of the available life skills education modules are city based and having high western influence, it is important to develop new modules which are culturally appropriate and addresses the local issues pertaining to every state. The state council for education and research and training, Government of Kerala attempted to develop a module suitable for training school students of Kerala. The module which was to be in Malayalam was supposed to contain separate modules for each class from std 1 to 12. A high level meeting of psychiatrists, paediatricians, teachers and education experts was convened to form a core committee to design the module. The committee identified eight different areas including selfsafety, personal hygiene, environmental hygiene, social responsibility, nutrition, growth and development etc. which are important in the development of a child. Structured group activities and role plays utilising the 10 like skills are employed to impart a clear awareness to students, regarding how to handle various real life situations. The modules-separate ones for each class from std 1-12-addresses various issues including sexual abuse, developing good friendships, career guidance, substance abuse, and assertiveness. The module has been implemented in pilot basis in 20 schools in Kerala based on the results of which it will be extended to the whole public education sector in the state.</t>
  </si>
  <si>
    <t>(Nair A.B., arunb.nair@yahoo.com) (Vivek U., vivekullatil@gmail.com) (Jithu V.P.) 67th Annual National Conference of the Indian Psychiatric Society, ANCIPS 2015 Hyderabad, India 2015-01-08 to 2015-01-11 Medknow Publications; ID: 2171</t>
  </si>
  <si>
    <t>Najavits,L. M.;Author,Addresses;McLean Hospital, Mill Street,Belmont M.;States;Correspondence,Address;LM Najavits, McLean Hospital Mill Street,Belmont M.;States Email, Lnajavits hms,harvard edu</t>
  </si>
  <si>
    <t>Training clinicians in the Seeking Safety treatment protocol for posttraumatic stress disorder and substance abuse</t>
  </si>
  <si>
    <t>medical education;posttraumatic stress disorder;substance abuse;behavior therapy;cognitive therapy;conference paper;coping behavior;feedback system;human;peer review;practice guideline;psychotherapy;treatment indication;treatment planning;Public Health, Social Medicine and Epidemiology (17);Psychiatry (32);Drug Dependence, Alcohol Abuse and Alcoholism (40)</t>
  </si>
  <si>
    <t>This paper provides suggestions for training clinicians in the Seeking Safety psychotherapy for patients with posttraumatic stress disorder and substance abuse. The treatment is a manual-based 25-session cognitive-behavioral therapy for integrated treatment of both disorders. Training guidelines include: procedures for clinician selection and training, supervisory principles, and typical problems. Emphasis is placed on procedures that allow observation of the clinician "in action" rather than through verbal report (e.g., taped sessions) and on intensive training experiences (e.g., watching videotapes of good versus poor sessions, rehearsal of "tough case" scenarios, peer supervision, identifying key themes, and think-aloud modeling). Supervisory principles include, for example: Encourage clinicians to use the coping skills in their own lives; Elicit patient feedback; and Listen to behavior more than words. These methods are "best guesses" based on experience with clinicians over several years; further empirical testing will be needed to determine which training strategies are most effective.</t>
  </si>
  <si>
    <t>(Najavits L.M.); ID: 3376</t>
  </si>
  <si>
    <t>2001041003 PUI L32103832</t>
  </si>
  <si>
    <t>10.1300/J020v18n03_08 FULL TEXT LINK http://dx.doi.org/10.1300/J020v18n03_08</t>
  </si>
  <si>
    <t>Najavits,L. M.;Weiss,R. D.;Shaw,S. R.;Muenz,L. R.;Author,Addresses;Harvard,Medical;School,Boston M. A. United States;McLean;Hospital,Belmont M. A. United States;Univ of Pennsylvania Sch,of Med;United,States;Proctor Iii, McLean Hospital Mill Street,Belmont M.;United,States;Correspondence,Address;LM Najavits, Proctor I I I McLean Hospital Mill Street,Belmont M.;edu,United States Email lisaNajavits hms harvard</t>
  </si>
  <si>
    <t>9690186; 'Seeking safety': Outcome of a new cognitive-behavioral psychotherapy for women with posttraumatic stress disorder and substance dependence</t>
  </si>
  <si>
    <t>Journal of traumatic stress</t>
  </si>
  <si>
    <t>J.Trauma.Stress</t>
  </si>
  <si>
    <t>behavior therapy;cognitive therapy;posttraumatic stress disorder (therapy);psychotherapy;substance abuse;adult;article;clinical article;clinical protocol;depression (therapy);doctor patient relation;drug dependence treatment;female;group therapy;human;patient compliance;patient satisfaction;problem solving;psychotherapist;social adaptation;suicide attempt;treatment outcome;Psychiatry (32);Drug Dependence, Alcohol Abuse and Alcoholism (40)</t>
  </si>
  <si>
    <t>Women with current posttraumatic stress disorder (PTSD) comprise 30-59% of substance abuse treatment samples and experience a more severe course than women with either disorder alone. As yet, no effective treatment for this population has been identified. This paper reports outcome results on 17 women who completed a new manual-based 24-session cognitive behavioral group therapy protocol treatment, based on assessments at pretreatment, during treatment, posttreatment, and at 3-month follow-up. Results showed significant improvements in substance use, trauma-related symptoms, suicide risk; suicidal thoughts, social adjustment, family functioning, problem solving, depression, cognitions about substance use, and didactic knowledge related to the treatment. Patients' treatment attendance, alliance, and satisfaction were also very strong. Treatment completers were more impaired than dropouts, yet more engaged in the treatment. Overall, our data suggest that women with PTSD and substance abuse can be helped when provided with a treatment designed for them. All results are clearly tentative, however, due to the lack of a control group, multiple comparisons, and absence of assessment of dropouts.</t>
  </si>
  <si>
    <t>(Najavits L.M., LisaNajavits@hms.harvard.edu; Weiss R.D.) (Najavits L.M., LisaNajavits@hms.harvard.edu; Weiss R.D.; Shaw S.R.) (Muenz L.R.) (Shaw S.R.) John Wiley and Sons Inc., 111 River Street, Hoboken, United States.; ID: 3443</t>
  </si>
  <si>
    <t>0894-9867</t>
  </si>
  <si>
    <t>http://www.ncbi.nlm.nih.gov/pubmed/9690186</t>
  </si>
  <si>
    <t>10.1023/A:1024496427434 FULL TEXT LINK http://dx.doi.org/10.1023/A:1024496427434</t>
  </si>
  <si>
    <t>'Seeking safety': Outcome of a new cognitive-behavioral psychotherapy for women with posttraumatic stress disorder and substance dependence</t>
  </si>
  <si>
    <t>Nakao,H.;Yoshimi,I.;Fukuda,Y.;Sata,F.;Imai,H.;Author,Addresses;National,Institute of;Health,Wako-shi Saitama Japan;Yamaguchi University,Ube,Yamaguchi Japan;Correspondence,Address;Nakao, National Institute of Public Health Wako-shi Saitama Japan,H.</t>
  </si>
  <si>
    <t>A survey of tobacco cessation interventions in the dental setting in Japan: Nicotine replacement therapy, attitudes towards tobacco cessation education, and barriers to cessation counseling</t>
  </si>
  <si>
    <t>A307</t>
  </si>
  <si>
    <t>A308</t>
  </si>
  <si>
    <t>nicotine gum;nicotine patch;counseling;education;Japan;nicotine replacement therapy;tobacco;adult;demography;dentist;heart disease;lung cancer;medical specialist;patient;physician;respiratory tract disease;risk factor;smoking</t>
  </si>
  <si>
    <t>OBJECTIVES: Tobacco has been identified as a major risk factor for lung cancer, heart disease, and respiratory disease. Adults rarely visit their physicians for preventive care. But surveys have shown that more than half of adult smokers see a dentist each year for preventive care. This may put dentists in a better position to implement tobacco cessation interventions. The aim of the study was to investigate the tobacco cessation interventions conducted by dental practitioners in Japan. METHODS: The study used a survey mailed to dentists (n = 1489) in three prefectures (Tokyo, Iwate, Yamanashi) asking about the practitioners' tobacco cessation activities, patient demographic characteristics, barriers to counseling, and attitudes towards tobacco in 2008. RESULTS: The response rate was 57% (n = 847). Dentists advised 22% of patients to cease tobacco. More than half of them used a pamphlet or other printed materials. However, nicotine replacement therapy was prescribed infrequently (nicotine patches in 3.2% and nicotine gum in 2.2% of patients). Asked whether dentists should perform tobacco cessation interventions in their offices, 76% said yes. The main barrier to cessation counseling was insufficient time, followed by a lack of knowledge and tobacco cessation specialists to whom to refer patients. 85% of respondents had no education or training in promoting tobacco cessation. Twenty-two percent of all respondents were smokers. CONCLUSIONS: Few dentists perform tobacco cessation interventions in their offices. Nicotine replacement therapy was hardly prescribed at all. Dentists have a positive attitude towards tobacco cessation interventions and appear amenable to education and a more active role in performing tobacco cessation interventions in their offices.</t>
  </si>
  <si>
    <t>(Nakao H.; Yoshimi I.; Sata F.; Imai H.) (Fukuda Y.) ISPOR 12th Annual European Congress Paris, France 2009-10-24 to 2009-10-27 Blackwell Publishing Inc.; ID: 2864</t>
  </si>
  <si>
    <t>Nakashima,M.;Miura,K.;Morikawa,Y.;Nishijo,M.;Nakanishi,Y.;Sakurai,M.;Nakagawa,H.;Author,Addresses;Department of Health Care,for Students;University;Correspondence,Address;Nakashima, Department of Health Care for Students Kanazawa Medical,M.;University</t>
  </si>
  <si>
    <t>19044004; Effect of smoke-free medical school on smoking behavior of medical students</t>
  </si>
  <si>
    <t>medical school;medical student;smoking (epidemiology);article;female;human;Japan;legal aspect;male;psychological aspect</t>
  </si>
  <si>
    <t>PURPOSE: The purpose of this study was to investigate the effect of designating a medical school environment as smoke-free on the smoking behavior of medical students. METHODS: The total environment of a medical school in Japan was designated as smoke-free in 2004. Smoking behavior was surveyed among approximately 640 students in each year during the period 2001-2007 (response rate 91.2%). Smoking rates were also monitored among each year's freshmen during their time at the school, before and after 2004. Attitudes to smoking among both current smokers and those who had quit smoking were also investigated. RESULTED: Smoking rates among all students declined after the medical school was declared smoke-free in 2004; the rates were highest in 2002 (41.2%) and lowest in 2007 (22.1%) among men. Smoking rates among each year's freshmen tended to increase as the school year progressed before 2004, but they tended to decrease after 2004. Comparison of smoking rates among identical students showed a decline from 36.0% in 2003 to 25.6% in 2004 (P &lt; 0.05). The rate of smokers wishing to quit smoking increased significantly from 39.1% in 2003 to 60.2% in 2004 (P &lt; 0.01). 20.8% of students who had quit smoking and 50.0% of students who had continued to smoke felt that they would not be confident about educating their patients in smoking cessation (P &lt; 0.01). CONCLUSIONS: Making a medical school environment smoke-free could be very effective means to motivating medical students to change their attitudes to smoking and to quit.</t>
  </si>
  <si>
    <t>(Nakashima M.; Miura K.; Morikawa Y.; Nishijo M.; Nakanishi Y.; Sakurai M.; Nakagawa H.); ID: 2961</t>
  </si>
  <si>
    <t>http://www.ncbi.nlm.nih.gov/pubmed/19044004</t>
  </si>
  <si>
    <t>Effect of smoke-free medical school on smoking behavior of medical students</t>
  </si>
  <si>
    <t>Nalamachu,S.;Gudin,J.;Author,Addresses;Kansas,Asthma;Allergy,Kansas City United;States;Correspondence,Address;Nalamachu,Kansas Asthma,S.;Allergy,Kansas City United States</t>
  </si>
  <si>
    <t>Levorphanol, another choice in opioid rotation</t>
  </si>
  <si>
    <t>S14</t>
  </si>
  <si>
    <t>(MAJOR FOCUS);levorphanol;opiate;analgesic agent;cytochrome;cytochrome P450;enzyme;methadone;morphine;n methyl dextro aspartic acid receptor;narcotic analgesic agent;noradrenalin;opiate receptor;receptor;serotonin;American;pain;society;cross tolerance;drug interaction;glucuronidation;half life time;human;neuropathic pain;patient;physician;QT interval;safety;urinary excretion</t>
  </si>
  <si>
    <t>Levorphanol is a potent opioid analgesic that has been available since 1953. It is approved for use in moderate to severe pain where an opioid is appropriate. Its unique activity profile includes m, d, k1, and k3 opioid receptor agonism, N-methyl-D-aspartate receptor antagonism, and reuptake inhibition of both norepinephrine and serotonin. Levorphanol has a longer half-life (11 to 16 hours) than many opioids and is metabolized by glucuronidation followed by renal excretion. Because of its relatively long half-life, dose adjustments are recommended to be at least 72 hours apart. Despite possessing many favorable properties, levorphanol has become the Î“Ã‡Â£Forgotten OpioidÎ“Ã‡Â¥, with its use largely supplanted by other, more recently approved opioids. With its activities on multiple receptors, levorphanol has the potential for treating diverse conditions including nociceptive, central and neuropathic pain. Further, it has been reported to help patients who have pain syndromes that are refractory to other opioids. Levorphanol is well-suited as a firstline analgesic and can have a role in opioid rotation. Levorphanol has no known drug-drug interactions involving hepatic cytochrome P450 enzymes or effects on the cardiac QT interval. With these positive attributes, levorphanol may offer a superior safety profile over other opioids including methadone. Since levorphanol is 4 to 8 times as potent as morphine, when switching to levorphanol the recommended starting daily dose is 1/15 to 1/12 of the daily morphine dose (this includes a reduction for incomplete cross-tolerance). The dose should be individualized for the patient, taking into consideration factors such as comorbidities and age. The purpose of this report is to inform practitioners about the favorable attributes of this opioid and reintroduce it to clinicians as an option for treating moderate to severe pain when alternative treatment options are inadequate, not indicated, or contraindicated.</t>
  </si>
  <si>
    <t>(Nalamachu S.; Gudin J.) 35th Annual Scientific Meeting of the American Pain Society Austin, TX, United States 2016-05-11 to 2016-05-14 Churchill Livingstone Inc.; ID: 1969</t>
  </si>
  <si>
    <t>Nalpas,B.;Martin,S.;Fontaine,H.;Fabbro-Peray,P.;Brâ”œâŒchot,C.;Pol,S.;Author,Addresses;Unitâ”œâŒ,d'Hâ”œâŒpatologie;Inserm U, Hâ”œâ”¤pital Necker Rue,de S.;Paris Cedex,France;Correspondence,Address;Hâ”œâ”¤pital Necker rue de,B.Nalpas, Unitâ”œâŒ d Hepatologie Inserm U.;Sâ”œÂ¿vres,Paris,Cedex France</t>
  </si>
  <si>
    <t>11580161; Impact of medical recommendations on alcohol consumption in HCV positive patients 4]</t>
  </si>
  <si>
    <t>Journal of hepatology</t>
  </si>
  <si>
    <t>J.Hepatol.</t>
  </si>
  <si>
    <t>antivirus agent (drug therapy);alcohol consumption;hepatitis C (diagnosis, drug therapy);patient education;adult;cancer risk;disease association;disease severity;female;France;health survey;histopathology;human;letter;liver cirrhosis (complication);major clinical study;male;priority journal;questionnaire;Microbiology: Bacteriology, Mycology, Parasitology and Virology (4);Public Health, Social Medicine and Epidemiology (17);Drug Literature Index (37);Gastroenterology (48)</t>
  </si>
  <si>
    <t>(Nalpas B.; Martin S.; Fontaine H.; Fabbro-Peray P.; Brâ”œâŒchot C.; Pol S.) Elsevier, P.O. Box 211, Amsterdam, Netherlands.; ID: 3353</t>
  </si>
  <si>
    <t>0168-8278</t>
  </si>
  <si>
    <t>http://www.ncbi.nlm.nih.gov/pubmed/11580161</t>
  </si>
  <si>
    <t>10.1016/S0168-8278(01)00114-3 FULL TEXT LINK http://dx.doi.org/10.1016/S0168-8278(01)00114-3</t>
  </si>
  <si>
    <t>Impact of medical recommendations on alcohol consumption in HCV positive patients [4]</t>
  </si>
  <si>
    <t>Nalpas,B.;Yguel,J.;Fleury,B.;Martin,S.;Jarraud,D.;Craplet,M.;Author,Addresses;Dâ”œâŒlâ”œâŒgation â”œÃ¡ l'â”œâŒvaluation et la recherche, Anpaa,Paris France;Paris,Inserm U.,;Service Addictologie, C. H. U. Caremeau;Av du Pr Robert Debrâ”œâŒ, Nâ”œÂ«mes,Cedex France;Service Addictologie, Centre Hospitalier Avesnes sur,Helpe N.;Cedex,France;Anpaa,Comitâ”œâŒ Nâ”œÂ«mes France;Correspondence,Address;Nalpas, Dâ”œâŒlâ”œâŒgation â”œÃ¡ l'â”œâŒvaluation et la recherche Anpaa Paris France,B.;Email,bertrand nalpas inserm fr</t>
  </si>
  <si>
    <t>21245061; Pathological gambling in treatment-seeking alcoholics: A national survey in France</t>
  </si>
  <si>
    <t>alcoholism;help seeking behavior;pathological gambling (diagnosis);addiction;adult;article;controlled study;Diagnostic and Statistical Manual of Mental Disorders;female;France;health survey;homelessness;human;major clinical study;male;prevalence;priority journal;questionnaire;screening;unemployment;Psychiatry (32);Drug Dependence, Alcohol Abuse and Alcoholism (40)</t>
  </si>
  <si>
    <t>Aims: To estimate the prevalence of pathological gambling (pG) in people addicted to alcohol and drugs, particularly those with alcohol use disorders (AUDs), including new forms of gambling such as video and on-line games; and to update the sociodemographic profile of people suffering from both AUD and pG. Method: A cross-sectional survey was conducted in 1 week of 2009 in 55 French addiction treatment centres, including all consecutive patients attending that centre, using an anonymous questionnaire which included a tool specific for pG screening, the DEBA-jeu questionnaire (Dâ”œâŒtection et Besoin d'Aide en regard du Jeu Excessif). Results: A total of 2790 patients entered the study. The most frequent reason for attending the Addiction Centres was AUD (77%). According to the DEBA test, 6.5% of the patients were pathological gamblers and 12% were subsyndromal gamblers. pG affected all age groups and did not decrease with abstinence from alcohol. pG was significantly associated with male sex relative risk (RR) = 2.4; P &lt; 0.001)] and, at a lower level of significance, with homelessness (RR = 1.52; P = 0.03) and unemployment (RR = 1.47; P = 0.04). Conclusions: pG appears to be a common feature of the French people with alcohol and drug disorders. Apart from male sex, no parameter had discriminatory power sufficient to target pG screening on a specific subgroup. Therefore, any patient attending a centre for drug or AUD should be asked about his gambling. Moreover, clinical teams should be trained to treat this addiction. â”¬âŒ The Author 2011. Published by Oxford University Press on behalf of the Medical Council on Alcohol. All rights reserved.</t>
  </si>
  <si>
    <t>(Nalpas B., bertrand.nalpas@inserm.fr; Fleury B.; Jarraud D.; Craplet M.) (Nalpas B., bertrand.nalpas@inserm.fr) (Yguel J.) (Martin S.) Oxford University Press, Great Clarendon Street, Oxford, United Kingdom.; ID: 2709</t>
  </si>
  <si>
    <t>0735-0414 1464-3502 (electronic)</t>
  </si>
  <si>
    <t>http://www.ncbi.nlm.nih.gov/pubmed/21245061</t>
  </si>
  <si>
    <t>10.1093/alcalc/agq099 FULL TEXT LINK http://dx.doi.org/10.1093/alcalc/agq099</t>
  </si>
  <si>
    <t>Pathological gambling in treatment-seeking alcoholics: A national survey in France</t>
  </si>
  <si>
    <t>Naranjo,C. A.;Herrmann,N.;Ozdemir,V.;Bremner,K. E.;Author,Addresses;Psychopharmacology;Research Program, University of Toronto Sunnybrook Health,Science Centre;Bayview Avenue,Toronto,Ont M.;Correspondence,Address;CA Naranjo, Psychopharmacology Research Program University,of Toronto;Sunnybrook Health Science Centre, Bayview Avenue Toronto,Ont M.;M,Canada</t>
  </si>
  <si>
    <t>Abuse of prescription and licit psychoactive substances by the elderly. Issues and recommendations</t>
  </si>
  <si>
    <t>CNS Drugs</t>
  </si>
  <si>
    <t>(MAJOR FOCUS);alcohol;caffeine;hypnotic sedative agent (adverse drug reaction);opiate (adverse drug reaction);benzodiazepine derivative (adverse drug reaction);drug abuse;tobacco;age;aged;alcoholism;cognition;depression;drug withdrawal;education;human;insomnia;patient information;prescription;priority journal;prophylaxis;review;risk factor;side effect;smoking;alcohol (64-17-5);caffeine (30388-07-9, 58-08-2);opiate (53663-61-9, 8002-76-4, 8008-60-4);Gerontology and Geriatrics (20);Psychiatry (32);Drug Literature Index (37);Adverse Reactions Titles (38);Drug Dependence, Alcohol Abuse and Alcoholism (40)</t>
  </si>
  <si>
    <t>The abuse of prescription and over-the-counter psychoactive medications, tobacco, caffeine or alcohol (ethanol) by elderly adults is a clinical situation that many physicians encounter. The issues of diagnosis and clinical presentation of drug abuse may differ in the elderly compared with younger individuals, and physicians need to be aware of these issues to ensure the most appropriate management of elderly patients. Cognitive (e.g. memory loss), physical (e.g. falls) and behavioural (e.g. depression, insomnia) changes may be signs of substance abuse in elderly individuals. However, these signs may be misdiagnosed as being due to aging. The quantity of the substance(s) used by elderly persons may underestimate the frequency and severity of problems as, due to altered pharmacokinetics and pharmacodynamics, the elderly are more sensitive:to the effects of many drugs. Hypnosedatives are among the most commonly used psychotropic medications in the elderly and they have a high potential for abuse. The elderly are very sensitive to the CNS depressant effects of these-drugs-and, as a result, misuse (e.g. unintentional overuse) can lead to dependence and abuse. There is limited information on the abuse of opioid analgesics, but their misuse can result in physical dependence. Although the prevalence of tobacco smoking is relatively low among the elderly, older smokers tend to smoke more and be more dependent on nicotine than their younger counterparts. Quitting smoking in old age has significant health benefits, and increased age has been found to be associated with an increased success in achieving abstinence. Caffeine, consumed mainly in the form of tea, may contribute to insomnia and complaints about sleep quality, especially among the institutionalised elderly. Ulcers, pancreatic cancer and osteoporosis have been related to caffeine intake in some, but not all, studies. Alcohol abuse, dependence and associated problems are less likely to be detected in the elderly because many of the diagnostic criteria (e.g. work-related problems) do not apply. Elderly patients in acute alcohol withdrawal may require more careful management than younger ones. Prevention strategies for substance abuse range from the education of patients, physicians and other healthcare workers to monitoring; regulations and legislations by governments. Future research should aim to improve the diagnosis and detection of substance abuse, and to develop treatment and prevention programmes.</t>
  </si>
  <si>
    <t>(Naranjo C.A.; Herrmann N.; Ozdemir V.; Bremner K.E.); ID: 3534</t>
  </si>
  <si>
    <t>1172-7047</t>
  </si>
  <si>
    <t>1995261749 PUI L25269663</t>
  </si>
  <si>
    <t>Navia-Bueno,M.;Farah-Bravo,J.;Yaksic-Feraudy,N.;Philco-Lima,P.;Takayanagui,A. M. M.;Author,Addresses;Iinsad,Universidad Mayor de San Andrâ”œâŒs La Paz Bolivia;Iinsad,Brazil;Escola de,Enfermagem de;Preto,Universidade de Sâ”œÃºo Paulo Centro Colaborador de la O.M.S.para el;Desarrollo de la Investigaciâ”œâ”‚n,en Enfermer;Correspondence,Address;Takayanagui, Universidade de Sâ”œÃºo Paulo Escola de Enfermagem de,A.M.M.;Ribeirâ”œÃºo Preto, Departamento de Enfermagem Psiquiâ”œÃ­trica,e Ci;Av dos Bandeirantes, Bairro Monte,Alegre C.;Preto,S. P. B.</t>
  </si>
  <si>
    <t>21739053; Knowledge on drugs phenomenon by students and faculty from the medical school at universidad mayor de San Andrâ”œâŒs, La Paz, Bolivia ORIGINAL (NON-ENGLISH) TITLE Conocimiento sobre el fenâ”œâ”‚meno de las drogas en entre estudiantes y docentes de la facultad de medicina universidad mayor de san andrâ”œâŒs, La Paz, Bolivia</t>
  </si>
  <si>
    <t>addiction;attitude to health;medical school;medical student;adult;article;Bolivia;female;human;male</t>
  </si>
  <si>
    <t>The goal of this study was to identify the degree of knowledge of students and health educators on licit and illicit drugs, related to the type, classification, action, mechanisms damages, consequences and adverse effects, besides use and consumption. A cross-sectional methodological design was used, with a sample of 172 students, professors and residents in medicine and nursing at Universidad Mayor de San Andrâ”œâŒs (UMSA), Bolivia. The results reveal weak knowledge on the classification of psychotropic substances according to structure, chemical property and effects for health, highlighting significant difference with knowledge on licit and illicit drugs use, with high percentages. In conclusion, there is lack of knowledge in all groups studied on licit and illicit drugs regarding the consequences and adverse effects. This confirms the need to improve teaching on this content in health schools.</t>
  </si>
  <si>
    <t>(Navia-Bueno M.P.) (Farah-Bravo J.; Yaksic-Feraudy N.) (Philco-Lima P.) (Takayanagui A.M.M., ammtakay@eerp.usp.br) Associacao Medica Brasileira, Rua Sao Carlos do Pinhal 324, Bela Vista, Sao Paulo, Brazil.; ID: 2686</t>
  </si>
  <si>
    <t>English, Portuguese, Spanish</t>
  </si>
  <si>
    <t>http://www.ncbi.nlm.nih.gov/pubmed/21739053</t>
  </si>
  <si>
    <t>10.1590/S0104-11692011000700009 FULL TEXT LINK http://dx.doi.org/10.1590/S0104-11692011000700009</t>
  </si>
  <si>
    <t>Knowledge on drugs phenomenon by students and faculty from the medical school at universidad mayor de San Andrâ”œâŒs, La Paz, Bolivia ORIGINAL (NON-ENGLISH) TITLE Conocimiento sobre el fenâ”œâ”‚meno de las drogas en entre estudiantes y docentes(TRUNCATED)</t>
  </si>
  <si>
    <t>Nawaz,R.;Ahmed,S.;Munawar,F.;Uz Zaman,S.;Author,Addresses;Department;of Physiology,Shalamar Medical;Dental College,Lahore Punjab;Pakistan;Department of Medicine, Shalamar,Hospital Lahore;Punjab,Pakistan;Correspondence,Address;Nawaz, Email ahmedsaghir rocketmail com,R.</t>
  </si>
  <si>
    <t>Longitudinal study of pulmonary function tests in students of Shalamar Medical and Dental College Lahore Pakistan</t>
  </si>
  <si>
    <t>college;European;human;longitudinal study;lung function;lung function test;Pakistan;smoking;society;student;adult;exercise;female;groups by age;growth, development and aging;habit;male;medical student;obesity;Pakistani;respiratory function;smoking cessation;spirometer;vital capacity;young adult</t>
  </si>
  <si>
    <t>Background: A research was conducted on students of 1st year, Shalamar Medical and Dental college in 2010 using Students' Wet Spirometer, aimed at observing the difference in predicted and recorded vital capacity in young Pakistani adults. In December 2012, the study was done to identify some factors that affect the growth and development of lung functions in young medical students of same batch belonging to age group 19-25 years, using Spirolab III version 3.4. Vital capacity and forced expiratory Spirograms were obtained in a cohort of young males (n=30) and females (n=46) at intervals of approximately 2 years. Factors that affected the normal pattern of lung function development in this group were smoking, obesity and exercise. FEV1/VC and FEV1/FVC ratios were calculated and found altered in both groups, i.e those who were smoking and those who smoked and were exercising. Results: There was significant difference in FEV1/VC and FEV1/FVC ratio at (p&lt;0.5) in students who had stopped smoking during this period. The female and male students who did exercise regularly also showed an improvement in their pulmonary functions like VC,FVC,FEV1.CONCLUSION: It is concluded that in relatively healthy group of young adults most measures of respiratory function reach optimum values at 19 or 20 years of age and change little if healthy living habits are continuously adopted. It was advised to students to quit smoking, do regular exercise and avoid obesity.</t>
  </si>
  <si>
    <t>(Nawaz R., ahmedsaghir@rocketmail.com; Ahmed S., saghirahmedmalik@yahoo.com; Munawar F., emailid67@gmail.com; Uz Zaman S., naghman@gmail.com) European Respiratory Society Annual Congress 2013 Barcelona, Spain 2013-09-07 to 2013-09-11 European Respiratory Society; ID: 2372</t>
  </si>
  <si>
    <t>Nebioâ•ŸÂºlu,M.;Yalniz,H.;Gâ”œâ•ven,F. M.;Geâ”œÂºici,â”œÃ»;Author,Addresses;Akdeniz;â”œÂ£niversitesi, Alkol ve Madde Baâ•ŸÂºimliliâ•ŸÂºi Araâ”¼Æ’tirma,Uygulama Merkezi;Antalya,Turkey;Haydarpasa Numune Egitim Ve Arastirma, Hastanesi Ruh,Sag ve;Hast. Klinigi,Istanbul Turkey;Correspondence,Address;â”œÃ» Geâ”œÂºici, Akdeniz â”œÂ£niversitesi Alkol ve,Madde Ba;Uygulama Merkezi, Antalya Turkey Email drogecici,yahoo com</t>
  </si>
  <si>
    <t>Relationships between using other substances and Socio-demographic characteristics in opiate dependents ORIGINAL (NON-ENGLISH) TITLE Opiyat baâ•ŸÂºimlilarinda diâ•ŸÂºer maddelerin kullanimi ve Sosyodemografik â”œâ•¢zellikler ile iliâ”¼Æ’kisi</t>
  </si>
  <si>
    <t>TAF Preventive Medicine Bulletin</t>
  </si>
  <si>
    <t>alcohol;cocaine;midomafetamine;nicotine;psychedelic agent;demography;opiate addiction (diagnosis, epidemiology);social aspect;adolescent;adult;age distribution;alcoholism (diagnosis, epidemiology);article;cannabis addiction (diagnosis, epidemiology);cocaine dependence (diagnosis, epidemiology);controlled study;cross-sectional study;descriptive research;DSM-IV-TR;female;hospital patient;human;interview;major clinical study;male;outpatient;prevalence;questionnaire;sex difference;tobacco dependence (diagnosis);3,4 methylenedioxymethamphetamine (42542-10-9);alcohol (64-17-5);cocaine (50-36-2, 53-21-4, 5937-29-1);nicotine (54-11-5);Public Health, Social Medicine and Epidemiology (17);Psychiatry (32);Drug Dependence, Alcohol Abuse and Alcoholism (40)</t>
  </si>
  <si>
    <t>AIM: We aimed to determine the variables that can be a risk factor for addiction like age, gender, education level, school cession, first using age, substance use period, frequency and using other addictive substances among people who have a diagnosis of opiate addiction. METHOD This is a descriptive and cross-sectional study in AMBAUM (Akdeniz University Alcohol and Substance Dependence Research and Practice Center) between February 1,2010- April30, 2010. 84 inpatient and outpatient patients (60 men, 24 women) between age 14-37, who have a diagnosis of opiate addiction according to DSM IV-TR diagnostic criteria recruited in this study. All participating patients completed a standard questionaire and sociodemographic data form face to face. The results were analyzed with chisquared test by using SPSS 16 statistics program. RESULTS: In our patients nicotin addiction prevalance is 100%, alcohol using prevalance is 91.7%, cannabis using prevalance 86.9%, ecstasy using prevalance 54.8%, cocain using prevalance 48.8%, polysubstance using prevalance 47.6%, hallucinogen using prevalance 27.4%, addictive medical drug using prevalance 17.9%. CONCLUSION: This epidemiological study guide us in the monitoring and evalution of the opiate use and prevalance of other substance use with opiate addiction.</t>
  </si>
  <si>
    <t>(Nebioâ•ŸÂºlu M.; Gâ”œâ•ven F.M.; Geâ”œÂºici â”œÃ»., drogecici@yahoo.com) (Yalniz H.) Gulhane Military Medical Academy, Halk Sagligi AD Bsk.ligi, Etlik - Ankara, Turkey.; ID: 2410</t>
  </si>
  <si>
    <t>1303-734X</t>
  </si>
  <si>
    <t>2013238121 PUI L368725594</t>
  </si>
  <si>
    <t>10.5455/pmb.1353349703 FULL TEXT LINK http://dx.doi.org/10.5455/pmb.1353349703</t>
  </si>
  <si>
    <t>Nebot Adell,M.;Soler Vila,M.;Author,Addresses;Correspondence,Address;Adell,M. N.</t>
  </si>
  <si>
    <t>2672150; Review of the effectiveness of medical counseling in quitting smoking in primary care ORIGINAL (NON-ENGLISH) TITLE Revisiâ”œâ”‚n de la efectividad del consejo mâ”œâŒdico para dejar de fumar en atenciâ”œâ”‚n primaria</t>
  </si>
  <si>
    <t>Revista clâ”œÂ¡nica espaâ”œâ–’ola</t>
  </si>
  <si>
    <t>patient education;smoking (prevention);attitude to health;evaluation study;human;lifestyle;methodology;primary health care;review</t>
  </si>
  <si>
    <t>After recognizing smoking habit as a relevant problem in our media, the complex implications of this type of lifestyle are commented. After revising the main obstacles for achieving primary health care preventive measures not only for the patient, who frequently looks for a "treatment", but also for the professional who generally desires immediate therapeutic success, we describe the evolution of medical advice as a treatment for controlling smoking habit. Studies done on this topic during the last 20 years have made possible the identification of the basic factors associated with the success of this procedure, such as complementing medical advice with graphic support, establishing a date for dropping the habit, programming follow-up visits, individualization of risks and the use of alternative resources such as nicotine chewing gum. We conclude that intervention of primary health care professionals is usefull and necessary and using the information available is a good way to start.</t>
  </si>
  <si>
    <t>(Nebot Adell M.; Soler Vila M.); ID: 3722</t>
  </si>
  <si>
    <t>0014-2565</t>
  </si>
  <si>
    <t>http://www.ncbi.nlm.nih.gov/pubmed/2672150</t>
  </si>
  <si>
    <t>Review of the effectiveness of medical counseling in quitting smoking in primary care ORIGINAL (NON-ENGLISH) TITLE Revisiâ”œâ”‚n de la efectividad del consejo mâ”œâŒdico para dejar de fumar en atenciâ”œâ”‚n primaria</t>
  </si>
  <si>
    <t>Nebot,M.;Cabezas,C.;Oller,M.;Moreno,F.;Rodrigo,J.;Sardâ”œÃ¡,T.;Mestres,J.;Pitarch,M.;Author,Addresses;Institut Municipal de,la Salut;Correspondence,Address;Nebot, Institut Municipal de la Salut Barcelona,M.</t>
  </si>
  <si>
    <t>2250504; Medical counseling, nursing counseling, and nicotine chewing gum for smoking cessation in primary care ORIGINAL (NON-ENGLISH) TITLE Consejo mâ”œâŒdico, consejo de enfermerâ”œÂ¡a y chicle de nicotina para dejar de fumar en atenciâ”œâ”‚n primaria</t>
  </si>
  <si>
    <t>Medicina clâ”œÂ¡nica</t>
  </si>
  <si>
    <t>(MAJOR FOCUS);nicotine (drug administration, drug therapy);counseling;health promotion;primary prevention;smoking (prevention);adolescent;adult;aged;article;chewing gum;comparative study;evaluation study;general practitioner;human;manpower;methodology;middle aged;nurse;primary health care;nicotine (54-11-5)</t>
  </si>
  <si>
    <t>The 2-month results of a study designed to compare the effectiveness of three methods to encourage giving up smoking in primary health care are reported: individualized medical counseling (minimal intervention), counseling plus follow-up option by the nurse, and medical counseling plus nicotine chewing gum. Overall 425 smokers between 15 and 65 years of age were included in the study. In 349 of them (82%), short term follow-up was carried out by phone interview. The proportion who declared to have given up smoking, after adjustment for the estimated validity of the phone report of smoking status, was 10, 9%, 10.8% and 11.1%, respectively, without significant differences between the three groups. In the logistic regression analysis, only the existence of concomitant disease and the anticipated difficulty in giving up smoking appeared as predictive variables of abstention. The implications of the results for the strategies to control smoking are discussed.</t>
  </si>
  <si>
    <t>(Nebot M.; Cabezas C.; Oller M.; Moreno F.; Rodrigo J.; Sardâ”œÃ¡ T.; Mestres J.; Pitarch M.); ID: 3690</t>
  </si>
  <si>
    <t>http://www.ncbi.nlm.nih.gov/pubmed/2250504</t>
  </si>
  <si>
    <t>Medical counseling, nursing counseling, and nicotine chewing gum for smoking cessation in primary care ORIGINAL (NON-ENGLISH) TITLE Consejo mâ”œâŒdico, consejo de enfermerâ”œÂ¡a y chicle de nicotina para dejar de fumar en atenciâ”œâ”‚n primaria</t>
  </si>
  <si>
    <t>Nelsen,A. C.;Author,Addresses;Kainui Drive,Kailua Haw;Correspondence,Address;Kainui Drive,Kailua Haw</t>
  </si>
  <si>
    <t>664646; A medical resident in Ponape</t>
  </si>
  <si>
    <t>(MAJOR FOCUS);dapsone;cholelithiasis;drug dependence;drug therapy;heart muscle ischemia;leprosy;medical education;rheumatic disease;sakau;tuberculosis;geographic distribution;therapy;United States;dapsone (80-08-0);Drug Literature Index (37);Public Health, Social Medicine and Epidemiology (17)</t>
  </si>
  <si>
    <t>The University of Hawaii has an elective two-month primary care rotation in Ponape, in the Eastern Caroline Islands, for senior medical residents. Many diagnostic and therapeutic situations provide unusual challenges because of the tropical environment and the paucity of medical facilities. Parasitoses, tuberculosis and trauma are common, leprosy still occurs, and certain diseases, such as cholelithiasis and coronary artery disease, have a low incidence, reflecting the socioeconomic conditions. The local intoxicant, sakau, seems to be responsible for dermatologic, pulmonary, and possibly hepatic and neurologic disorders. The rotation has proved to be a worthwhile educational experience for residents and a benefit to the people of Ponape.</t>
  </si>
  <si>
    <t>(Nelsen A.C.); ID: 3858</t>
  </si>
  <si>
    <t>http://www.ncbi.nlm.nih.gov/pubmed/664646</t>
  </si>
  <si>
    <t>A medical resident in Ponape</t>
  </si>
  <si>
    <t>Neufeld,K. J.;Hernandez-Avila,C.;Guschwan,M.;Gregg,M.;Schuckit,M. A.;Author,Addresses;Ucsd/Va San Diego Healthcare System, San Diego,United States;Correspondence,Address;KJ Neufeld, Ucsd V A San Diego Healthcare System San Diego,United States</t>
  </si>
  <si>
    <t>Evaluating outcomes of educational programs in medical schools: The AMSP model</t>
  </si>
  <si>
    <t>alcohol;alcoholism;medical school;model;society;United States;academic achievement;Canada;education;graduate;North America;skill;substance abuse;teacher;teaching</t>
  </si>
  <si>
    <t>The Alcohol Medical Scholars Program (AMSP), established in 1999, mentors full-time junior faculty by focusing on teaching skills and academic performance, while helping each scholar to develop alcohol and other substance use disorder education at their respective medical schools. Over the past 10 years, approximately 50 scholars from over 45 medical schools in the US and Canada have participated in AMSP. This presentation reviews the findings of the most recent survey of these graduates. In brief, the results demonstrate that each graduate has developed an average of 5 new substance related lectures since involvement in AMSP, has more than doubled the time spent lecturing in this subject area, and that the vast majority of graduates remain in an academic setting. Graduates reported that AMSP was considerably or extremely useful in their career advancement. The AMSP model is an important and innovative approach for enhancing medical school education and supporting careers of faculty interested in the treatment of substance use disorders throughout North America.</t>
  </si>
  <si>
    <t>(Neufeld K.J.; Hernandez-Avila C.A.; Guschwan M.; Gregg M.; Schuckit M.A.) Texas Research Society On Alcoholism - 19th Annual Scientific Meeting San Antonio, TX, United States 2009-02-20 to 2009-02-20 Blackwell Publishing Ltd; ID: 2895</t>
  </si>
  <si>
    <t>Newcorn,J. H.;Author,Addresses;Division of,Child;Adolescent Psychiatry,Department of;Psychiatry,Mount Sinai School of Medicine New York New York U.S.A.;Correspondence,Address;JH Newcorn,Division,of Child;Adolescent Psychiatry,Department of;Psychiatry,Mount Sinai School of Medicine New York New York U.S.A.</t>
  </si>
  <si>
    <t>21450148; Risks and benefits of available treatments for adult ADHD</t>
  </si>
  <si>
    <t>The Journal of clinical psychiatry</t>
  </si>
  <si>
    <t>atomoxetine;central stimulant agent (adverse drug reaction, drug therapy);propylamine (adverse drug reaction, drug therapy);attention deficit disorder (drug therapy);adult;human;note;patient education;risk assessment;atomoxetine (82248-59-7, 82857-39-4, 82857-40-7, 83015-26-3);propylamine (107-10-8)</t>
  </si>
  <si>
    <t>Several pharmacotherapeutic options, both FDA-approved and off-label, exist for the treatment of adult ADHD. The most commonly used agents include several stimulants and atomoxetine, which have demonstrated significant, though similar, efficacy for ADHD versus placebo. Treatment should be selected according to patient comorbidity profiles, cardiovascular risks, and risk of abuse of prescription medications. In this activity, treatments for ADHD with and without comorbidity are discussed, including mechanisms of action, safety risks, and the potential for substance abuse. Implementing psychosocial education in conjunction with pharmacotherapy is recommended. â”¬âŒ Copyright 2011 Physicians Postgraduate Press, Inc.</t>
  </si>
  <si>
    <t>(Newcorn J.H.); ID: 2721</t>
  </si>
  <si>
    <t>1555-2101 (electronic)</t>
  </si>
  <si>
    <t>http://www.ncbi.nlm.nih.gov/pubmed/21450148</t>
  </si>
  <si>
    <t>10.4088/JCP.9066tx2c FULL TEXT LINK http://dx.doi.org/10.4088/JCP.9066tx2c</t>
  </si>
  <si>
    <t>Risks and benefits of available treatments for adult ADHD</t>
  </si>
  <si>
    <t>Newmark,J.;Author,Addresses;Stanford University,School,of Medicine;United,States;Correspondence,Address;Newmark, Stanford University School of Medicine United States Email,J.;jnewmark@stanford.edu</t>
  </si>
  <si>
    <t>Use of simulation and immersive learning to teach safe opioid prescribing</t>
  </si>
  <si>
    <t>(2017) 18</t>
  </si>
  <si>
    <t>(MAJOR FOCUS);opiate;hydromorphone;prescription drug;learning;prescription;simulation;anesthesiology;chronic pain;clinical study;drug screening;DSM-5;female;human;human tissue;male;medicine;monitoring;pill;resident;teaching;university;urine;weaning;hydromorphone (466-99-9, 71-68-1);opiate (53663-61-9, 8002-76-4, 8008-60-4)</t>
  </si>
  <si>
    <t>Introduction: Opioid prescribing practices and their ill consequences stem in part from a lack of education and skills training in all levels of medical education. Recent studies exploring the quantity and quality of pain educational received in North America supports this notion 1, 2, 3]. Simulation and immersive learning is a teaching modality which is effective within various pain medicine curriculum 4, 5, 6]. The current project aimed to utilize this educational strategy within the context of safe opioid prescribing for chronic non-cancer pain. Methods: Participants included anesthesiology residents and pain medicine fellows. Participants engage in the simulation experience within Stanford University's Center for Immersive and Simulation Based Learning. Here they encounter a standardized patient requesting a refill of oral hydromorphone. The patient also fits criteria for moderate opioid misuse disorder, according to DSMV criteria. Participant management strategies were recorded for teaching and research purposes. A group debriefing with feedback was provided at the end of the experience. Results: The majority of participants provided a hydromorphone refill with weaning in the patient whom fits DSM-V 7] criteria for moderate opioid use disorder. Many participants utilize prescription drug monitoring programs and urine drug testing, while fewer considered pill counts or risks assessment tools such as the Opioid Risk Tool 8]. An anonymous post-simulation survey of participants yielded favorable remarks regarding the experience. Conclusions: Simulation and immersive learning techniques are an effective method for teaching and practicing safe opioid prescribing.</t>
  </si>
  <si>
    <t>(Newmark J., jnewmark@stanford.edu) 33rd Annual Meeting of the American Academy of Pain Medicine, AAPM 2017 Orlando, FL, United States 2017-03-15 to 2017-03-19 Oxford University Press; ID: 1835</t>
  </si>
  <si>
    <t>10.1093/pm/pnx006 FULL TEXT LINK http://dx.doi.org/10.1093/pm/pnx006</t>
  </si>
  <si>
    <t>Newville,H.;Roley,J.;Sorensen,J.;Author,Addresses;St Luke's-Roosevelt Hospital, New York,United States;University of California, San,Francisco San;Francisco,United States;Correspondence,Address;Newville, St Luke's-Roosevelt Hospital New York United States,H.</t>
  </si>
  <si>
    <t>Non-medical use of prescription drugs among HIV-positive individuals taking antiretroviral therapy</t>
  </si>
  <si>
    <t>e50</t>
  </si>
  <si>
    <t>(MAJOR FOCUS);prescription drug;amphetamine derivative;barbituric acid derivative;cannabis;cocaine;diamorphine;methadone;college;drug dependence;Human immunodeficiency virus;therapy;abuse;addiction;alcohol consumption;bivariate analysis;coping behavior;drug misuse;drug therapy;drug use;health;hospital;human;logistic regression analysis;mental health;model;pain;patient;prescription;prevention;quality of life;regression analysis;risk;self care;side effect;skill;substance use;United States</t>
  </si>
  <si>
    <t>Aims: The non-medical use (NMU) of prescription drugs is increasing dramatically. The HIV-positive is at high risk due to co-occurring pain, mental health, and substance use issues. An increased understanding of the factors associated with prescription drug misuse in HIV may help clinicians balance patients' access and legitimate use of such drugs and reduce the risks for abuse and addiction. Methods: We assessed 294 HIV-clinic patients who were prescribed antiretroviral therapy in San Francisco. We compared participants who reported NMU of prescription drugs (past month use of methadone, other opiates/analgesics, barbiturates, and/or sedatives/hypnotics/tranquilizers without a prescription) to those who did not on demographics, other drug use, psychiatric/medical conditions, antiretroviral adherence, and quality of life in bivariate analyses, and then put all significant variables into a logistic regression. Results: 32 (11%) reported past month NMU of prescription drugs. Alcohol use severity (Z =-3.45, p = 0.001), use of heroin (X(2) = 20.58, p &lt; 0.001), cocaine (X(2) = 12.06, p &lt; 0.001), amphetamines (X(2) = 5.02, p = 0.025), and cannabis (X(2) = 4.69, p = 0.03), general health perceptions (t = 2.90, p = 0.004), cognitive functioning (t = 3.15, p = 0.002), health distress (t = 2.29, p = 0.023), depression (Z =-2.63, p = 0.009), and medication side effect severity (Z =-2.90, p = 0.004) were associated with NMU in bivariate analyses. Medication side effects (B = 1.08, 95% CI: 1.02-1.14, p = 0.007) and cognitive functioning (t = 0.96, 95% CI: 0.93-0.99, p = 0.025) remained significant in regression analysis. Conclusions: This analysis provides important information about NMU of prescription drugs among HIV-positive individuals. NMU of prescription drugs may serve to aid coping with medication side effects and decreases in cognitive functioning. Results support that both substance use programs and behavioral self-management skills are important components of future interventions. Promising intervention models will be those that integrate prevention, mental health, and substance use services.</t>
  </si>
  <si>
    <t>(Newville H.) (Roley J.; Sorensen J.) 2014 Annual Meeting of the College on Problems of Drug Dependence San Juan, Puerto Rico 2014-06-14 to 2014-06-19 Elsevier Ireland Ltd; ID: 2163</t>
  </si>
  <si>
    <t>10.1016/j.drugalcdep.2014.09.507 FULL TEXT LINK http://dx.doi.org/10.1016/j.drugalcdep.2014.09.507</t>
  </si>
  <si>
    <t>Nicol,J. J.;Dowling,S.;Crawford,S.;Chow,J. G.;Dong,K.;Author,Addresses;Department,of;Emergency Medicine, University of Calgary,Calgary Canada;Correspondence,Address;JJ Nicol, Department of Emergency Medicine University,of Calgary;Calgary,Canada</t>
  </si>
  <si>
    <t>Attitudes of emergency physicians towards homeless and substance using patients</t>
  </si>
  <si>
    <t>Canadian Journal of Emergency Medicine</t>
  </si>
  <si>
    <t>18 Supplement 1</t>
  </si>
  <si>
    <t>drug dependence;emergency physician;female;homeless person;male;physician attitude;Alberta;doctor patient relation;emergency ward;human;human experiment;medicine</t>
  </si>
  <si>
    <t>Introduction: Patients who are homeless and/or using substances rely heavily on emergency departments (ED) for medical care, and present with complex medical and social needs. Negative physician attitudes towards this population undermine the therapeutic relationship, compromising the quality of medical care provided. The objective of this study was to determine the attitudes of emergency physicians towards homeless and substance-using patients. Methods: Using a Modified Total Design approach, we conducted a cross-sectional survey of emergency physicians at five different healthcare locations in Calgary, Alberta, Canada. Attitudes were assessed using two validated measures, the Health Care Providers Attitudes Towards the Homeless Inventory (HPATHI), and the Short Understanding of Substance Use Scale (SUSS). Surveys were self-administered by respondents between March and December 2013. Results: A total of 117 physicians completed the survey (response rate 48%). 28% of respondents resented the amount of time it takes to see homeless patients, and 32% believed caring for homeless patients was not financially viable; 57% felt overwhelmed by the complexity of problems that homeless people have. Physicians with extra training in addiction medicine or health care for the homeless had more positive attitudes than physicians with no extra training; physician attitudes worsened over time towards both populations. Conclusion: Physicians feel overwhelmed when caring for patients who are homeless and/or substance using and negative attitudes worsened over time. Extra training in addiction medicine or healthcare for the homeless is associated with more positive attitudes. Possible strategies to improve attitudes should include a multifaceted approach addressing individual physician knowledge deficits, as well as expanded access to resources in the ED and community, designed to deal with the complex needs of these populations.</t>
  </si>
  <si>
    <t>(Nicol J.J.; Dowling S.; Crawford S.; Chow J.G.; Dong K.) 2016 CAEP/ACMU Quebec City, QC, Canada 2016-06-05 to 2016-06-08 Cambridge University Press; ID: 2006</t>
  </si>
  <si>
    <t>1481-8043</t>
  </si>
  <si>
    <t>10.1017/cem.2016.70 FULL TEXT LINK http://dx.doi.org/10.1017/cem.2016.70</t>
  </si>
  <si>
    <t>Nielsen,J. R.;Author,Addresses;School of Pharmacy, University of California,Medical Center;University of California, San,Francisco C.;Correspondence,Address;School of Pharmacy, University of California Medical Center,University of;California,San Francisco C. A.</t>
  </si>
  <si>
    <t>11659226; The doctor, the pharmacist, the patient, and the placebo, or you're not my mother, doctor</t>
  </si>
  <si>
    <t>Food Drug Cosmetic Law Journal</t>
  </si>
  <si>
    <t>(MAJOR FOCUS);placebo;cost;drug dependence;drug marketing;law;medical education;prescription;article;economic aspect;education;human;legal aspect;Public Health, Social Medicine and Epidemiology (17);Health Policy, Economics and Management (36)</t>
  </si>
  <si>
    <t>(Nielsen J.R.) Food and Drug Law Institute, 1000 Vermont Avenue N.W., Suite 1200, Washington, United States.; ID: 3706</t>
  </si>
  <si>
    <t>0015-6361</t>
  </si>
  <si>
    <t>http://www.ncbi.nlm.nih.gov/pubmed/11659226</t>
  </si>
  <si>
    <t>The doctor, the pharmacist, the patient, and the placebo, or you're not my mother, doctor</t>
  </si>
  <si>
    <t>Nieman,L. Z.;Velasquez,M. M.;Groff,J. Y.;Cheng,L.;Foxhall,L. E.;Author,Addresses;Dept. of,Fam;Community Medicine,Univ,of Texas;Health Science Center, Houston,T.X.United States;University of,Texas at;Dept. of,Fam;Community Medicine, Fannin Street,Houston T.;United,States;Correspondence,Address;LZ Nieman, University of Texas at Houston Dept,of Fam;Community;Medicine,Fannin Street Houston T.X.United States Email;linda.z.nieman@uth.tmc.edu</t>
  </si>
  <si>
    <t>15690250; Implementation of a smoking cessation counseling module in a preceptorship program</t>
  </si>
  <si>
    <t>smoking cessation;teaching;article;community care;education program;health care quality;human;medical student;motivation;orientation;patient counseling;self concept;tobacco;Public Health, Social Medicine and Epidemiology (17);Drug Dependence, Alcohol Abuse and Alcoholism (40)</t>
  </si>
  <si>
    <t>Background: Family medicine preceptorships are underused opportunities for learning smoking cessation counseling skills. To prepare students for their future roles in preventing health problems in patients who use tobacco, we implemented a patient-centered instructional module within the elective Texas Statewide Family Practice Preceptorship Program. Methods: Seventy-eight preclinical medical students learned to screen for tobacco use and perform smoking cessation counseling using brief motivational methods. Students practiced these skills under the supervision of community preceptors. Program evaluation included measurement of the percentage of students who documented that they could screen for tobacco use, their increase in knowledge and sense of self efficacy in conducting smoking cessation counseling, and performance of appropriate and time-efficient interventions. Results: Fifty-four of 78 students screened 1,891 patients and documented 593 current tobacco users. The students provided appropriate smoking cessation intervention for 539 (91%) of these patients. Each intervention session took approximately 5 to 10 minutes. There was a more than 50% increase in the proportion of students who "agreed" or "strongly agreed" to having increased their knowledge and confidence in conducting smoking cessation counseling between the orientation and the end of their summer preceptorship. Conclusions: With focused training, preclinical medical students can successfully learn and practice patient-centered screening and smoking cessation counseling skills in a community preceptorship setting that fits the needs of busy preceptors and prepares students for their future roles in tobacco control.</t>
  </si>
  <si>
    <t>(Nieman L.Z., linda.z.nieman@uth.tmc.edu; Velasquez M.M.; Groff J.Y.; Cheng L.; Foxhall L.E.) (Nieman L.Z., linda.z.nieman@uth.tmc.edu) Society of Teachers of Family Medicine, Ste 540, Leawood, United States.; ID: 3191</t>
  </si>
  <si>
    <t>http://www.ncbi.nlm.nih.gov/pubmed/15690250</t>
  </si>
  <si>
    <t>Implementation of a smoking cessation counseling module in a preceptorship program</t>
  </si>
  <si>
    <t>Noda,H.;Fukuda,E.;Miwa,Y.;Author,Addresses;Research,Institute of;Medical;Riebe,Tokyo Japan;Correspondence,Address;Noda, Research Institute of Health,H.;Medical,Riebe Tokyo Japan;Email,hd-noda lapis plala or jp</t>
  </si>
  <si>
    <t>19359817; Necessity of scientific evaluation at the issuance of certificate for the medical fitness to occupations with disqualifying clause against alcoholism and drug abuse</t>
  </si>
  <si>
    <t>Sangyâ”¼Ã¬ eiseigaku zasshi = Journal of occupational health</t>
  </si>
  <si>
    <t>addiction (diagnosis);alcoholism (diagnosis);certification;occupation;occupational medicine;article;human;occupational health;physician;questionnaire</t>
  </si>
  <si>
    <t>(Noda H.; Fukuda E.; Miwa Y.); ID: 2903</t>
  </si>
  <si>
    <t>1349-533X (electronic)</t>
  </si>
  <si>
    <t>http://www.ncbi.nlm.nih.gov/pubmed/19359817</t>
  </si>
  <si>
    <t>10.1539/sangyoeisei.wadai8003 FULL TEXT LINK http://dx.doi.org/10.1539/sangyoeisei.wadai8003</t>
  </si>
  <si>
    <t>Necessity of scientific evaluation at the issuance of certificate for the medical fitness to occupations with disqualifying clause against alcoholism and drug abuse</t>
  </si>
  <si>
    <t>Norbeck,T. B.;Author,Addresses;Francis St, Providence R. I.;Correspondence,Address;Francis St, Providence R. I.</t>
  </si>
  <si>
    <t>268005; Rising health care costs: another perspective</t>
  </si>
  <si>
    <t>352+367-368</t>
  </si>
  <si>
    <t>accident;aging;cardiovascular disease;demography;environmental health;feeding behavior;health economics;hospital service;housing;malignant neoplasm;medical education;mortality;prevention;smoking;social status;age;epidemiology;Public Health, Social Medicine and Epidemiology (17)</t>
  </si>
  <si>
    <t>The 'health care costs crisis' is not a medical care crisis, nor is it attributable to physicians' incomes. In fact, an arbitrary reduction of all physicians' incomes by a robust 20 per cent would effect a saving in our total national health bill of only slightly more than 3 per cent. An analysis of American demography indicates that an inordinate proportion of the health care dollar is spent on our elderly. Yet the percentage of the aging population is rising. We can assume that senior citizens will account for an even greater share of the overall cost burden in the future. Certainly we cannot deny them the care and dignity that they deserve for their contributions in making this country the greatest in the world. Everyone in some medically related endeavor is very concerned about the costs of medical care. All of our anxiety about financing, however, will not stop or even abate inflation, the development of new technology, or the ever-rising demand for medical services. The increased number of accidents, many of them avoidable, has added a heavy cost burden to the health care system. Perhaps the most important point of all is that by exercising more, not smoking, and eating and drinking less the American people could effect a greater reduction in health care expenditures than by anything medicine can do. If we are to agree on the need to place a lid on rising health costs wherever possible without compromising patient care, the American public must do its part. A change in life-style is obligatory.</t>
  </si>
  <si>
    <t>(Norbeck T.B.); ID: 3865</t>
  </si>
  <si>
    <t>http://www.ncbi.nlm.nih.gov/pubmed/268005</t>
  </si>
  <si>
    <t>Rising health care costs: another perspective</t>
  </si>
  <si>
    <t>Norlock,F.;Sadowski,L.;Kapolnek,M.;Author,Addresses;Stroger Hospital,of Cook;Chicago,United States;Correspondence,Address;Norlock, Stroger Hospital of Cook County Chicago United States,F.</t>
  </si>
  <si>
    <t>The effect of gender on attitudes toward the homeless among primary care internal medicine residents</t>
  </si>
  <si>
    <t>S539</t>
  </si>
  <si>
    <t>gender;internal medicine;primary medical care;society;addiction;child;chronic disease;community;curriculum;disease management;epidemiology;female;health;homelessness;hospital;housing;human;lifestyle;male;morbidity;mortality;patient;population;prevalence;public hospital;residential home;statistical significance;vulnerable population</t>
  </si>
  <si>
    <t>NEEDS AND OBJECTIVES: The prevalence of homelessness is increasing. Few resident programs offer formal training in how to provide care for the homeless. Educators implemented a homeless medicine rotation to decrease residents' stigma associated with homelessness and improve the clinical care they provide to homeless patients. Investigators hypothesized that resident gender would affect one's attitude toward the homeless in that female residents would have lower stigma than their male counterparts prior to the educational intervention, and in turn, male residents would have greater improvement of their stigma scores than female residents by the end of the rotation. SETTING AND PARTICIPANTS: PCIM residents (n=12) participated in a 2 week homeless medicine rotation based at an urban, public hospital focused on collaborating with partners in the community. Residents participated in group seminars on campus, engaged in tours and clinical experiences in the community including working with patients in shelters, clinics and residential housing programs. DESCRIPTION: Curriculum consisted of small group seminars on the epidemiology, chronic disease management, health outcomes, and lifestyle issues affecting morbidity and mortality in this population. Residents worked in community-based clinics that served the homeless including those with addictions and the recently incarcerated. Learners were assigned evening shifts to care for those in shelters with medical issues as well as residential facilities which cared for women and children. Residents also heard life stories from homeless individuals in small group settings. Residents' attitudes were assessed before and after the course through an 11 item Attitudes Toward Homelessness Inventory (ATHI) consisting of 4 subscales which attribute homelessness to societal cause; personal cause; having a willingness to affiliate with the homeless; and belief that homelessness is a solvable problem. A higher summation score of the 4 subscales equates to a lower stigmatizing attitude of homelessness. A meaningful difference score of 5.5 was set a priori. EVALUATION: Results from the ATHI showed that women did have lower levels of stigma toward the homeless at the onset of the rotation with a higher total summation score of 45.5 compared to the male summation score of 38.5 (p-value 0.14) consistent with a meaningful difference in gender prior to the rotation. The improvement in total scores overall was 1.75 among women and 7.6 points among men consistent with a meaningful change in scores between men and women (5.85 points), and a meaningful change in score for male residents (7.6 points) post-rotation. The greatest mean change in score between men and women was an improvement of 2.6 points in the personal cause subscale. Lastly, women had lower stigma scores for all 4 subscales pre- and post-rotation with the greatest improvement of 2.5 points in the societal cause score. DISCUSSION/REFLECTION/LESSONS LEARNED: Educators showed higher stigmatizing attitudes toward the homeless associated with gender, but with a dedicated homeless medicine rotation male residents did have a meaningful improvement in their attitudes by the end of the rotation with the greatest improvement in the personal cause subscale. Findings suggest the need for residents to be trained in caring for the homeless to improve attitudes and lower stigma when caring for this vulnerable population.</t>
  </si>
  <si>
    <t>(Norlock F.; Sadowski L.; Kapolnek M.) 37th Annual Meeting of the Society of General Internal Medicine, SGIM 2014 San Diego, CA, United States 2014-04-23 to 2014-04-26 Springer New York; ID: 2242</t>
  </si>
  <si>
    <t>Notani,P. N.;Author,Addresses;Epidemiology Unit, Cancer Research,Institute T.;Correspondence,Address;Epidemiology Unit, Cancer Research,Institute T.</t>
  </si>
  <si>
    <t>10148729; The role of general medical practitioners in tobacco control programmes: A study in Bombay, India</t>
  </si>
  <si>
    <t>Health education research</t>
  </si>
  <si>
    <t>Health Educ.Res.</t>
  </si>
  <si>
    <t>general practitioner;health education;mastication;physician attitude;smoking habit;tobacco;article;female;human;India;male;normal human;Public Health, Social Medicine and Epidemiology (17)</t>
  </si>
  <si>
    <t>(Notani P.N.) Oxford University Press, Great Clarendon Street, Oxford, United Kingdom.; ID: 3652</t>
  </si>
  <si>
    <t>0268-1153</t>
  </si>
  <si>
    <t>http://www.ncbi.nlm.nih.gov/pubmed/10148729</t>
  </si>
  <si>
    <t>The role of general medical practitioners in tobacco control programmes: A study in Bombay, India</t>
  </si>
  <si>
    <t>Nourollah,M.;Fatemeh,M.;Farhad,J.;Author,Addresses;Tehran,Iran;Department of,Health;Social,Medicine;School of Medicine,Shahed University;Correspondence,Address;Farhad,Department of Health,J.;Social Medicine,School,of Medicine;Shahed University, Tehran Iran Email jafari shahed,ac ir</t>
  </si>
  <si>
    <t>A study of factors affecting juvenile delinquency</t>
  </si>
  <si>
    <t>Biomedical and Pharmacology Journal</t>
  </si>
  <si>
    <t>juvenile delinquency;adolescent;adult;article;child;crime;cross-sectional study;demography;drug dependence;education;family life;female;gender;homicide;human;major clinical study;male;social aspect;theft;Public Health, Social Medicine and Epidemiology (17);Psychiatry (32)</t>
  </si>
  <si>
    <t>Children and juvenile delinquency is considered as one of the problems and concerns of different countries. This phenomenon has a growing trend in our country as one of the youngest countries in the world. This study aims at investigating the factors affecting juvenile delinquency. This research is a cross-sectional study performed on 250 subjects including 200 male juvenile delinquents and 50 female juvenile delinquents aged 9-18 years and sentenced in juvenile institution and tribunals responsible with addressing the children's offenses in Tehran. The data collection tool was an information form completed through interviews and studying the records of the subjects. SPSS software for data analysis and frequency distribution tables and chi-square test were used. In this study, 62% of young people aged 17-18 years were studied among which 80% is male and 20% female. Besides, 48% of them were educated at guidance school level and 50.8% of them did not live with their parents. The crimes committed in order of frequency were: Theft, evil-doing, drugs, mischief, mayhem and 40.8% of them were addicted. Moreover, gender and education level as well as occupation and education level of their mothers were significantly associated with delinquency (P&lt;0.05). Additionally, no significant relationship was observed among the marital status, place of residence, family size, birth order, educational backwardness, performing religious duties, education level, fathers' job, level of income and criminal background of their family members. A significant correlation was observed between the separation from family and addiction, with delinquency type, as well as addiction of families with the addiction of the juveniles (P&lt;0.05). In this study, various demographic, social and familial factors, such as education, occupation, separation from family and drug addiction have turned out to be influential on the development of juvenile delinquency.</t>
  </si>
  <si>
    <t>(Nourollah M.; Fatemeh M.) (Farhad J., jafari@shahed.ac.ir) Oriental Scientific Publishing Company; ID: 2174</t>
  </si>
  <si>
    <t>0974-6242</t>
  </si>
  <si>
    <t>20160128596 PUI L608343531</t>
  </si>
  <si>
    <t>10.13005/bpj/551 FULL TEXT LINK http://dx.doi.org/10.13005/bpj/551</t>
  </si>
  <si>
    <t>Novak,S. P.;Peiper,N.;Wiley,J.;Author,Addresses;Behavioral Epidemiology, R. T. I.;International,Research Triangle Park United States;Correspondence,Address;SP Novak, Behavioral Epidemiology R T I International,Research Triangle;Park,United States</t>
  </si>
  <si>
    <t>Linking animal models to human self-administration practices among medical cannabis patients: A daily diary study</t>
  </si>
  <si>
    <t>e153</t>
  </si>
  <si>
    <t>e154</t>
  </si>
  <si>
    <t>(MAJOR FOCUS);medical cannabis;cannabis;drug self administration;addiction;adult;animal model;California;clinical article;clinical trial;driver;drug therapy;euphoria;female;human;interview;leisure;male;pain;rest;vaporizer;cannabis (8001-45-4, 8063-14-7)</t>
  </si>
  <si>
    <t>Aims: Surprisingly little is known about the self-administration practices among patients using cannabis for medical purposes. Information is lacking on the diversity of products (e.g. combustible/ edible), strength (e.g. THC, CBD), and dosage. Our best theoretical models are derived from animal studies, namely continuous reinforcement paradigms that identify variability in consumption. Yet, data are lacking on how well this paradigm parallels human behavior. Methods: In 2014, medical cannabis patients (n = 50) were recruited in California (ages 18+) to complete a baseline survey and then a paper diary capturing specific product use and motivationsfor use throughout each day. Latent trajectory analysis was used to compare empirical subtypes to animal models of addiction. Results: Five classes were extracted, two of which were stable dosing groups: one using multiple (5 or more) combustible products per day (10% of users) and another (15%) mixing in combustible products and vaporizers. Three classes, representing the majority of the sample, were characterized by variable dosing and product selection. Edibles were used rather infrequently (10% of the patients), largely as a means to consume in places where use is stigmatized. Income was the strongest predictor of trajectory classes (ORs 1.9-3.9) involving non-stable consumption. Qualitative interviews suggested that pay periods were important drivers of usage frequency, and additional analyses of the diary data showed frequency was highest in the 48 h period on dates commonly associated with pay periods, e.g., 48 h starting from the 1st to the 2nd of the month, 15th to the 16th of month. Approximately 25% of the events were used exclusively to self-treat pain, the rest being mixed (53%) or exclusively euphoria/relaxation (22%). Conclusions: The ability to pay for cannabis appeared to a major driver of consumption among pain patients. The natural environment's role in consumption has important implications for testing animal models of addiction.</t>
  </si>
  <si>
    <t>(Novak S.P.; Peiper N.; Wiley J.) 2016 Annual Meeting of the College on Problems of Drug Dependence, CPDD 2016 Palm Springs, CA, United States 2016-06-11 to 2016-06-16 Elsevier Ireland Ltd; ID: 1851</t>
  </si>
  <si>
    <t>10.1016/j.drugalcdep.2016.08.424 FULL TEXT LINK http://dx.doi.org/10.1016/j.drugalcdep.2016.08.424</t>
  </si>
  <si>
    <t>O'Brien,C. P.;Author,Addresses;Vamc,Mirecc;Department of,Psychiatry;University of Pennsylvania, Philadelphia,P.A.United States;Correspondence,Address;CP O'Brien, Vamc Mirecc Email obrien mail trc,upenn edu</t>
  </si>
  <si>
    <t>Webcast video editorials - Medical education and treatment of addictive disorders</t>
  </si>
  <si>
    <t>MedGenMed Medscape General Medicine</t>
  </si>
  <si>
    <t>8:1 Article Number: 21.</t>
  </si>
  <si>
    <t>antidepressant agent (adverse drug reaction);beta adrenergic receptor blocking agent (adverse drug reaction);drugs used in the treatment of addiction (drug therapy);opiate (adverse drug reaction);sedative agent (adverse drug reaction);addiction (drug therapy, therapy);medical education;alcoholism (drug therapy, therapy);behavior disorder;behavior therapy;chronic disease;drug dependence (side effect);drug tolerance;editorial;human;medical school;psychotherapy;rebound;tobacco dependence (drug therapy, therapy);withdrawal syndrome;opiate (53663-61-9, 8002-76-4, 8008-60-4);Public Health, Social Medicine and Epidemiology (17);Drug Literature Index (37);Adverse Reactions Titles (38);Drug Dependence, Alcohol Abuse and Alcoholism (40)</t>
  </si>
  <si>
    <t>(O'Brien C.P., obrien@mail.trc.upenn.edu); ID: 3120</t>
  </si>
  <si>
    <t>2006078836 PUI L43230351</t>
  </si>
  <si>
    <t>O'Brien,C. P.;McLellan,A. T.;Childress,A. R.;Woody,G. E.;Author,Addresses;University,of;Pennsylvania,Treatment Research Center Chestnut Street Philadelphia</t>
  </si>
  <si>
    <t>18625251; Penn/VA center for studies of addiction</t>
  </si>
  <si>
    <t>alcohol;amantadine (drug therapy);buprenorphine (drug therapy);cocaine;cyclazocine (drug therapy, pharmacology);diamorphine;methadone (drug therapy);modafinil (drug therapy);naloxone (drug therapy);naltrexone (drug therapy);opiate;propranolol (drug therapy);topiramate (drug therapy);drug dependence;veteran;alcohol abuse;alcoholism (drug therapy);anxiety disorder;bipolar disorder;clinical practice;cocaine dependence (drug therapy);depression;disease severity;drug dependence treatment;evidence based medicine;human;mental health care;opiate addiction (drug therapy);priority journal;psychiatrist;psychologist;review;schizophrenia;social worker;substance abuse;United States;alcohol (64-17-5);amantadine (665-66-7, 768-94-5);buprenorphine (52485-79-7, 53152-21-9);cocaine (50-36-2, 53-21-4, 5937-29-1);cyclazocine (3572-80-3);diamorphine (1502-95-0, 561-27-3);methadone (1095-90-5, 125-56-4, 23142-53-2, 297-88-1, 76-99-3);modafinil (68693-11-8);naloxone (357-08-4, 465-65-6);naltrexone (16590-41-3, 16676-29-2);opiate (53663-61-9, 8002-76-4, 8008-60-4);propranolol (13013-17-7, 318-98-9, 3506-09-0, 4199-09-1, 525-66-6);topiramate (97240-79-4);Clinical and Experimental Pharmacology (30);Drug Literature Index (37);Drug Dependence, Alcohol Abuse and Alcoholism (40)</t>
  </si>
  <si>
    <t>The Penn/VA Center was founded in 1971 because of great concern over the number of Vietnam veterans returning home addicted to heroin. At that time little was known about the science of addiction, so our program from the very beginning was designed to gather data about the nature of addiction and measure the effects of available treatments. In other words, the goals were always a combination of treatment and research. This combination has continued to the present day. A human laboratory for the study of addiction phenomena such as conditioned responses was also founded in 1971. The key clinician investigators in this group have remained in the Center since the 1970s with most of the research staff continuing to work together. Important new investigators have been added over the years. Treatment was empirically based with randomized, controlled clinical trials as the gold standard for determining evidence-based treatment. The patients coming to treatment do not distinguish between abuse of alcohol and other drugs, so the treatment and research programs have always focused on all drugs including ethyl alcohol and the combination of ethyl alcohol with other drugs such as cocaine and opioids. Most of the patients coming for treatment also suffered from additional psychiatric disorders such as depression, anxiety, bipolar disorder or schizophrenia. Thus, the addiction treatment program in 1980 absorbed the rest of the VA Psychiatry Service into the Substance Abuse Program forming a new Behavioral Health Service with responsibility for over 9000 patients. The integration of substance abuse treatment with overall mental health care was the most efficient way to handle patients with complicated combinations of disorders. While this continues to be the best way to treat patients, it has proven difficult in practice. The main reason for this difficulty is that most mental health therapists whether they are psychiatrists, psychologists or social workers feel very inadequate to handle substance abuse problems. Unless they have had specialized training in addictive disorders, therapists are likely to be uncomfortable if substance abuse is one of the diagnoses while they may be quite comfortable treating other complex disorders such as schizophrenia. This lack of education of clinicians remains a major problem for our field. Some of the findings that came out of both the Penn/VA laboratory and clinical studies are now widely accepted and form the basis of standard clinical practice. These concepts and evidence will be briefly reviewed below.</t>
  </si>
  <si>
    <t>(O'Brien C.P., obrien@mail.trc.upenn.edu; Childress A.R.) Elsevier Ltd, Langford Lane, Kidlington, Oxford, United Kingdom.; ID: 2925</t>
  </si>
  <si>
    <t>0028-3908</t>
  </si>
  <si>
    <t>http://www.ncbi.nlm.nih.gov/pubmed/18625251</t>
  </si>
  <si>
    <t>10.1016/j.neuropharm.2008.06.030 FULL TEXT LINK http://dx.doi.org/10.1016/j.neuropharm.2008.06.030</t>
  </si>
  <si>
    <t>Penn/VA center for studies of addiction</t>
  </si>
  <si>
    <t>O'Connell,H.;Cahill,M.;Murphy,D.;Author,Addresses;Mercer's Inst for Res,on Ageing;Dublin,Ireland;Department of Psychiatry, Beaumont Hospital,Dublin Ireland;Department of Psychiatry, Adelaide Meath,Hosp Incorporating;National Children's Hospital, Taliaght,Dublin Ireland;Correspondence,Address;O'Connell, Mercer's Inst for Res on Ageing St James's Hospital,H.;Dublin,Ireland</t>
  </si>
  <si>
    <t>Documentation of alcohol, cigarette and cannabis use by psychiatric and general practice trainees 1]</t>
  </si>
  <si>
    <t>alcoholism;cannabis addiction;cigarette smoking;general practitioner;medical record;alcohol consumption;documentation;epidemiological data;health care personnel;hospital admission;human;Ireland;letter;medical education;medical practice;statistical analysis;substance abuse;Public Health, Social Medicine and Epidemiology (17);Psychiatry (32);Drug Dependence, Alcohol Abuse and Alcoholism (40)</t>
  </si>
  <si>
    <t>(O'Connell H.) (Cahill M.) (Murphy D.) MedMedia Ltd; ID: 3280</t>
  </si>
  <si>
    <t>2003390121 PUI L37174636</t>
  </si>
  <si>
    <t>Documentation of alcohol, cigarette and cannabis use by psychiatric and general practice trainees [1]</t>
  </si>
  <si>
    <t>O'Connor,P. G.;Pearsall,H. R.;Ball,S. A.;Forsyth,B. W. C.;Faraclas,W. G.;Schottenfeld,R. S.;Author,Addresses;Department of Medicine, Yale University School,of Medicine;New Haven,C.T.United States;Department,of Psychiatry;University,School of Medicine New Haven C.T.United States;Department of Pediatrics, Yale University,School of;Medicine,New Haven C. T. United States;Department of Public Health, Southern,Connecticut State;University,New Haven C. T. United States;Yale University, School of Medicine Primary,Care Center;Cedar Street, New Haven,C.T.United States;Correspondence,Address;PG O'Connor, Yale University School of Medicine Primary,Care Center;Cedar Street, New Haven,C.T.United States</t>
  </si>
  <si>
    <t>The impact of the Yale faculty development program: Clinical Alcohol and Drug Research and Education (CADRE) on medical student teaching about substance abuse</t>
  </si>
  <si>
    <t>education program;medical education;substance abuse;article;clinical research;curriculum;medical student;teaching;Drug Dependence, Alcohol Abuse and Alcoholism (40)</t>
  </si>
  <si>
    <t>Increasing emphasis on the need for medical student education about substance abuse has led to the development of a variety of training efforts through faculty development. The Yale University School of Medicine Faculty Development Program or CADRE (Clinical Alcohol and Drug Research and Education) was instituted in 1992 for the purpose of enhancing substance abuse teaching in the Yale medical student curriculum. CADRE faculty were identify in internal medicine, pediatrics, and psychiatry. Prior to the program, there was limited formal teaching about substance abuse in the Yale curriculum and no coordinated effort across disciplines. The enhancement of teaching activities occurred primarily within four required 'core' clinical clerkships for third-and fourth-year medical students. Student evaluations of this new teaching activity were positive. The CADRE program was successful at developing a multidisciplinary core faculty group with expertise in substance abuse teaching and resulted in the development of a coordinated multidisciplinary substance abuse curriculum for Yale medical students.</t>
  </si>
  <si>
    <t>(O'Connor P.G.) (Pearsall H.R.; Ball S.A.; Schottenfeld R.S.) (Forsyth B.W.C.) (Faraclas W.G.); ID: 3490</t>
  </si>
  <si>
    <t>1997114223 PUI L27163785</t>
  </si>
  <si>
    <t>O'Connor,P. G.;Sokol,R. J.;D'Onofrio,G.;Author,Addresses;Department,of Internal;Yale University School of Medicine, New Haven,United States;Department of,Obstetrics;Gynecology,Wayne State University;School of Medicine, Detroit,United States;Department of Emergency Medicine, Yale University,School of;Medicine,New Haven United States;Correspondence,Address;PG O'Connor, Department of Internal Medicine Yale University,School of;Medicine,New Haven United States</t>
  </si>
  <si>
    <t>25201642; Addiction medicine: The birth of a new discipline</t>
  </si>
  <si>
    <t>addiction;addiction medicine;medicine;clinical trial (topic);drug abuse;health care system;human;medical education;medical specialist;patient care;priority journal;short survey;substance use;Public Health, Social Medicine and Epidemiology (17);Drug Dependence, Alcohol Abuse and Alcoholism (40)</t>
  </si>
  <si>
    <t>(O'Connor P.G., patrick.oconnor@yale.edu) (Sokol R.J.) (D'Onofrio G.) American Medical Association, smcleod@itsa.ucsf.edu; ID: 2288</t>
  </si>
  <si>
    <t>http://www.ncbi.nlm.nih.gov/pubmed/25201642</t>
  </si>
  <si>
    <t>10.1001/jamainternmed.2014.4211 FULL TEXT LINK http://dx.doi.org/10.1001/jamainternmed.2014.4211</t>
  </si>
  <si>
    <t>Addiction medicine: The birth of a new discipline</t>
  </si>
  <si>
    <t>O'Connor,P.;Tsui,J. I.;Gobel,D.;Brett,B.;Bridden,C.;Samet,J. H.;Author,Addresses;Boston,Medical Center;States;Internal Medicine, University of Washington School,of Medicine;Seattle,United States;Yale University, New Haven,United States;Boston University,Boston,United States;Brett Consulting Group, Somerville,United States;Correspondence,Address;O'Connor, Yale University New Haven United States,P.</t>
  </si>
  <si>
    <t>The research in addiction medicine scholars program-developing researchers in addiction fellowships</t>
  </si>
  <si>
    <t>addiction;psychiatry;scientist;adult;career;clinical article;clinical research;cohort analysis;female;human;male;Massachusetts;mentoring;physician;publication;recipient;skill</t>
  </si>
  <si>
    <t>Aims: Addiction physician investigators are a limited resource. Given the creation of the American Board of Addiction Medicine and new Addiction Medicine fellowship programs, efforts to develop addiction physician researchers gained added urgency. The Research in Addiction Medicine Scholars (RAMS) Program was created to provide an infrastructure to supplement the training and mentoring of Addiction Medicine and Addiction Psychiatry fellows from North America so as to develop a cadre of addiction physician clinical investigators. Methods: The RAMS Program began in 2012 with NIDA support and aims to develop skills in addiction research among physicians from addiction fellowship programs. Annual recruitment seeks 5 scholars, and in the first 4 years, 19 fellows were selected (11 Addiction Medicine and 8 Addiction Psychiatry). The 2-year program provides mentoring, training and funds, all to supplement the development of research projects and training for scholars to advance on their path to a clinical research career. Scholars participate in two annual retreats over each of 2 years in Boston and at the CPDD conference. These include group seminars, one-onone mentoring, and workshops on research methods and career development paths. The program also includes monthly faculty or scholar-driven webinars. Results: To date, the 19 scholars are from 9 institutions. All admitted scholars have completed the program. Of the first cohort (n = 4) of RAM scholars, all accepted academic faculty positions. Scholars have published over 20 publications since enrolling in the program and are recipients of four grants. Conclusions: The Research in Addiction Medicine Scholars (RAMS) Program is positioned to make important contributions to the development of the next generation of addiction physician researchers.</t>
  </si>
  <si>
    <t>(Gobel D.; Bridden C.; Samet J.H.) (Tsui J.I.) (O'Connor P.) (Samet J.H.) (Brett B.) 2016 Annual Meeting of the College on Problems of Drug Dependence, CPDD 2016 Palm Springs, CA, United States 2016-06-11 to 2016-06-16 Elsevier Ireland Ltd; ID: 1842</t>
  </si>
  <si>
    <t>10.1016/j.drugalcdep.2016.08.425 FULL TEXT LINK http://dx.doi.org/10.1016/j.drugalcdep.2016.08.425</t>
  </si>
  <si>
    <t>O'Donnell,M. P.;Roizen,M. F.;Author,Addresses;American Journal of Health Promotion, Bratenahl,Ohio U.;Correspondence,Address;MP O'Donnell, American Journal of Health Promotion Bratenahl,Ohio U.</t>
  </si>
  <si>
    <t>21879928; The SmokingPaST Framework: illustrating the impact of quit attempts, quit methods, and new smokers on smoking prevalence, years of life saved, medical costs saved, programming costs, cost effectiveness, and return on investment</t>
  </si>
  <si>
    <t>American Journal of Health promotion : AJHP</t>
  </si>
  <si>
    <t>Am.J.Health Promot.</t>
  </si>
  <si>
    <t>e11</t>
  </si>
  <si>
    <t>health promotion;quality adjusted life year;smoking (epidemiology, prevention);smoking cessation;article;behavior therapy;cost benefit analysis;economics;health behavior;health care cost;high risk behavior;human;investment;methodology;migration;prevalence;statistics;United States (epidemiology)</t>
  </si>
  <si>
    <t>Describe the specifications of the Smoking Prevalence, Savings, and Treatment (SmokingPaST) Framework and show how it can illustrate the impact of quit attempts, quit method, number of new smokers, smoking rates of immigrants and emigrants, and death rates of smokers and nonsmokers on future smoking prevalence rates, program costs, years of life saved, medical costs saved, cost effectiveness of programs, and return on investment (ROI). FRAMEWORK SPECIFICATIONS: Mathematical relationships among factors in SmokingPaST are described. Input variables include baseline smoking rates among current adults, new adults, immigrants, and emigrants; population counts for these groups; annual quit attempts; and distribution of quit methods. Assumption variables include success rate by quit method, death rates of smokers and nonsmokers, annual medical costs of smoking, costs per person for four tobacco treatment methods, age distribution of quitters, and distribution of medical cost funding by source. Output variables include year-end adult smoking rates, successful quitters, years of life saved by quitting, medical costs saved by quitting and by not hiring smokers, total costs of smoking treatment programs, cost per quitter, cost per life-year saved, distribution of medical cost savings from quitting, and ROI of treatment costs. The Framework was applied at the employer, county, state, and national levels. The SmokingPaST Framework provides a conceptually simple framework that can be applied to any population. It illustrates that significant drops in smoking rates can be achieved and significant savings in medical costs can be captured by employers as well as state and federal governments through tobacco treatment and prevention programs. Savings are especially important for reducing state and federal government deficits and enhancing job competitiveness.</t>
  </si>
  <si>
    <t>(O'Donnell M.P.) (Roizen M.F.); ID: 2654</t>
  </si>
  <si>
    <t>http://www.ncbi.nlm.nih.gov/pubmed/21879928</t>
  </si>
  <si>
    <t>The SmokingPaST Framework: illustrating the impact of quit attempts, quit methods, and new smokers on smoking prevalence, years of life saved, medical costs saved, programming costs, cost effectiveness, and return on investment</t>
  </si>
  <si>
    <t>Ogborne,A. C.;Braun,K.;Schmidt,G.;Author,Addresses;Clin,Social;Eval. Res,Dept;Addiction,Research Foundation;Mental Hlth. Serv. Corp, London;Ont,Canada;Correspondence,Address;A.C. Ogborne,Social;Evaluation,Research Dept;Foundation,Addiction Mental Hlth Svcs Corp London Ont Canada</t>
  </si>
  <si>
    <t>9781823; Working in addictions treatment services: Some views of a sample of service providers in Ontario</t>
  </si>
  <si>
    <t>drug dependence treatment;medical staff;adult;age;article;attitude;Canada;controlled study;education;female;human;job satisfaction;major clinical study;male;multivariate analysis;priority journal;questionnaire;stress;Public Health, Social Medicine and Epidemiology (17);Psychiatry (32);Occupational Health and Industrial Medicine (35);Drug Dependence, Alcohol Abuse and Alcoholism (40)</t>
  </si>
  <si>
    <t>Respondents in a survey of specialized addiction treatment providers indicated a strong commitment to the addictions field. In a multivariate analysis, intention to stay in the addictions field was positively related to a measure of attitudes toward staying or leaving, to age, involvement in an addictions studies program, working in a residential service, and job satisfaction. Intention to stay was negatively related to education and working in a nonresidential setting. Attention to factors that create positive attitudes to the addictions field, especially among younger, more educated people and those working in nonresidential services, is necessary to ensure a healthy future for addictions treatment.</t>
  </si>
  <si>
    <t>(Ogborne A.C.; Braun K.; Schmidt G.) Taylor and Francis Inc., 325 Chestnut St, Suite 800, Philadelphia PA, United States.; ID: 3440</t>
  </si>
  <si>
    <t>http://www.ncbi.nlm.nih.gov/pubmed/9781823</t>
  </si>
  <si>
    <t>Working in addictions treatment services: Some views of a sample of service providers in Ontario</t>
  </si>
  <si>
    <t>Ogunnika,O.;Atanda,A. A.;Omiyefa,S.;Author,Addresses;Educare,Trust Nigeria;Dept of Dentistry, College of Medicine University,of Ibadan;Ibadan,Nigeria;Youth Action,on Tobacco;Health,Ibadan Nigeria;Correspondence,Address;Ogunnika, Educare Trust Nigeria Ibadan Nigeria,O.</t>
  </si>
  <si>
    <t>Smoking cessation training among health professional trainees in Oyo state, Nigeria</t>
  </si>
  <si>
    <t>e275</t>
  </si>
  <si>
    <t>cardiology;health practitioner;Nigeria;smoking cessation;student;counseling;curriculum;death;health care personnel;heart;medical student;questionnaire;risk;risk factor;smoking;tobacco;university</t>
  </si>
  <si>
    <t>Introduction: Tobacco use is a risk factor for six of the eight leading causes of death in the world with the greater number of deaths from cardiovascular related diseases. Health care professionals and trainees play a major role in tobacco control especially in tobacco cessation programs. However, there is a paucity of information about the availability of a formal training on smoking cessation counseling in the curriculum of HPT. Objectives: This study therefore aims to assess the availability of information regarding smoking cessation training to HPT in Oyo State, Nigeria as well as their attitudes towards the inclusion of smoking cessation counseling in their curriculum. Methods: Cross sectional survey among clinical (years 4, 5, 6) medical students in the University of Ibadan, Oyo State using a self administered questionnaire. Results: 89% of the 86 respondents admit to not receiving any formal training in smoking cessation counseling. The risks associated with smoking is perceived to be high and 7 out of 10 HPT think that it is important that a formal training in smoking cessation be included in their curriculum. However, only 69% of the respondents want to receive smoking cessation as part of their curriculum. Conclusion: Smoking cessation counseling is not included in the curriculum for health professional trainees in Nigeria. It is important that health professionals are formally trained in smoking cessation counseling so as to effectively play their role in tobacco control and in the reduction of heart related deaths as a result of tobacco use.</t>
  </si>
  <si>
    <t>(Ogunnika O.) (Atanda A.A.) (Omiyefa S.) World Congress of Cardiology Scientific Sessions 2010, WCC 2010 Beijing, China 2010-06-16 to 2010-06-19 Lippincott Williams and Wilkins; ID: 2774</t>
  </si>
  <si>
    <t>10.1161/CIRCULATIONAHA.110.192774 FULL TEXT LINK http://dx.doi.org/10.1161/CIRCULATIONAHA.110.192774</t>
  </si>
  <si>
    <t>Ohakim,A. L.;Jafar,B.;O'Bryne,C.;McElvaney,N. G.;Author,Addresses;Royal College of,Surgeons in;Dublin,Ireland;Respiratory Research Division, Department,of Medicine;Royal College,of Surgeons;Correspondence,Address;AL Ohakim, Royal College of Surgeons in Ireland,Dublin Ireland</t>
  </si>
  <si>
    <t>A survey of the prevalence of smoking and smoking cessation advice received by in patients in two teaching hospitals in Ireland</t>
  </si>
  <si>
    <t>BMC Proceedings</t>
  </si>
  <si>
    <t>9 SUPPL. 1.</t>
  </si>
  <si>
    <t>health care;human;Ireland;medical student;patient;prevalence;smoking;smoking cessation;teaching hospital;adverse drug reaction;health care personnel;hospital;hospital patient;hospital policy;physician;policy;smoke;smoking habit</t>
  </si>
  <si>
    <t>Background: Brief cessation advice from healthcare professionals significantly increases the likelihood of patients quitting smoking, yet patients are not routinely provided with this advice. Smoke-free Brief cessation advice from healthcare professionals significantly increases the likelihood of patients quitting smoking, yet patients are not routinely provided with this advice. Smoke-free hospital policies aim to protect individuals from the adverse effects of smoking, however it is not clear if it encourages patients to quit or doctors to give smoking cessation advice. The aim was to determine the prevalence of smoking and cessation advice received by in- patients in two teaching hospitals in Ireland, which have smoke-free hospital policies. We also compared data from one hospital from before and after the policy implementation. Methods: This study surveyed 466 eligible in-patients, 260 in Beaumont hospital and 206 in Connolly hospital; assessing their smoking habits, and advice they received from healthcare professionals on smoking cessation. Results: Smoking prevalence was higher in Connolly (28%) compared to Beaumont (17%). 26% of current smokers in Connolly had received smoking cessation advice compared to 51% in Beaumont. The before-and-after analysis of Beaumont (2011 vs. 2013) showed a reduction in smoking prevalence and an increase in cessation advice. Conclusions: Smoke-free hospital policies play a role in decreasing the prevalence of in-patient smokers.</t>
  </si>
  <si>
    <t>(Ohakim A.L.; Jafar B.; O'Bryne C.) (McElvaney N.G.) International Conference for Healthcare and Medical Students, ICHAMS 2013 Dublin, Ireland 2013-10-11 to 2013-10-12 BioMed Central Ltd.; ID: 2136</t>
  </si>
  <si>
    <t>1753-6561</t>
  </si>
  <si>
    <t>Olmstead,A.;Hann,J.;Gupta,S.;Jaggi,P. K.;Dong,K.;Ha,D.;Author,Addresses;University,of;Alberta,Edmonton Canada;Correspondence,Address;Olmstead, University of Alberta Edmonton Canada,A.</t>
  </si>
  <si>
    <t>Addiction medicine training in Canadian emergency medicine residency programs: A needs assessment survey</t>
  </si>
  <si>
    <t>19 Supplement 1</t>
  </si>
  <si>
    <t>S111</t>
  </si>
  <si>
    <t>alcohol;central stimulant agent;opiate;curriculum;drug dependence;emergency medicine;medical education;needs assessment;resident;Canada;case report;clinical trial;college;consensus development;data base;drug therapy;drug toxicity;drug withdrawal;female;general practitioner;harm reduction;human;intoxication;male;patient referral;screening;side effect;social determinants of health;staff;alcohol (64-17-5);opiate (53663-61-9, 8002-76-4, 8008-60-4)</t>
  </si>
  <si>
    <t>Introduction: Emergency department visits related to substance use are becoming more serious and increasingly costly in Canada. Emergency physicians must be able to effectively screen, manage, refer, and advocate for these complex patients. This study sought to describe the current state of addiction medicine training in Canadian emergency medicine (EM) residency programs and to assess the need for a formal curriculum. Methods: All Royal College and College of Family Physicians EM Program Directors (PDs) were asked to participate in a ten-question needs assessment survey on addiction medicine training for residents. Questions were developed through consensus after reviewing the relevant literature and conducting a formal pilot survey with staff physicians experienced in survey methodology. Responses were collected securely using the Research Electronic Data Capture (REDCap) database. Results: 19 out of 31 (62%) eligible PDs completed the survey. The importance of addiction medicine training received a median score of 69.5 (IQR = 74.0) on a scale of 1-100. Most programs devoted two hours or less per year of formalized teaching on individual topics (such as opioids, alcohol, harm reduction) over the past two academic years. The two most common teaching modalities used were didactic lectures (15/19, 78.9%) and case-based tutorials (12/19, 63.2%). Case-based tutorials were identified as the most effective teaching method (12/19, 63.2%). Topics highlighted as most important to include in a curriculum were: screening for substance use disorders and referral for further treatment (14/19, 73.7%), social determinants of health (14/19, 73.7%), alcohol, opioid, and stimulant intoxication and/or withdrawal (14/19, 73.7% each), and management of patients on opioid agonist therapy (14/19, 73.7%). The most commonly perceived barriers to implementing such a curriculum were insufficient curriculum time (10/19, 52.6%) and lack of qualified teaching staff (7/19, 36.8%). Conclusion: This needs assessment provides an understanding of the current state of addiction medicine training for EM residents in Canada. A case-based addiction medicine workshop is currently being developed to address identified curriculum gaps. Integrating this curriculum longitudinally into a time-constrained academic schedule is an important next step.</t>
  </si>
  <si>
    <t>(Olmstead A.; Hann J.; Gupta S.; Jaggi P.K.; Dong K.; Ha D.) 2017 CAEP/ACMU Whistler, BC, Canada 2017-06-03 to 2017-06-07 Cambridge University Press; ID: 1856</t>
  </si>
  <si>
    <t>10.1017/cem.2017.300 FULL TEXT LINK http://dx.doi.org/10.1017/cem.2017.300</t>
  </si>
  <si>
    <t>O'Reilly,D.;Lee,T.;Sowerby,C.;Author,Addresses;York Hospital, Paediatrics York,United Kingdom;Leeds Regional Paediatric,Cf Centre;Kingdom;Correspondence,Address;O'Reilly, York Hospital Paediatrics York United Kingdom,D.</t>
  </si>
  <si>
    <t>Household smoking cessation in children with cystic fibrosis and asthma in West and East Yorkshire-from which group can we learn more?</t>
  </si>
  <si>
    <t>Journal of Cystic Fibrosis</t>
  </si>
  <si>
    <t>16 Supplement 1</t>
  </si>
  <si>
    <t>asthma;cystic fibrosis;household;smoking cessation;advocacy group;child;conference abstract;diagnosis;human;nicotine replacement therapy;outpatient department;parental smoking;pediatrician;questionnaire;smoke</t>
  </si>
  <si>
    <t>Objectives: There is little known with respect to differences in smoking cessation success rates and the use of adjuvant therapies in households of children with asthma or Cystic Fibrosis (CF). We reviewed smoking incidence and success rates of cessation among our populations in West and East Yorkshire. Adjuvant therapies used and the approach to cessation in outpatient appointments were also reviewed. Methods: A multi-centre questionnaire-based study was conducted in outpatient departments in Leeds, Hull and Bradford Hospitals between December 2015 and June 2016. Smoke-exposure-based questionnaires were offered to parents and teenagers attending clinics with a diagnosis of CF or asthma. Further information was collated from patient notes. Results: 108 questionnaires were returned. Of the CF respondents, 26% had been exposed tohousehold smoke at diagnosis with 15% exposed currently. In the asthma group, the figures were 29% and 25% respectively. Cessation attempts were made in 94%, with 50% and 40% ultimately successful in the CF and asthma groups respectively. Success rates generally increased with attempts; with more than five attempts, 100% were successful. Use of Nicotine Replacement Therapy to aid cessation was commonly used inboth groups. Severity of the CF/asthma was recognized as a reason to attempt cessation in only 17%. Cessation advice was given in 35%. In 11% of those smoking notes, no mention of smoking is made. 50% felt paediatricians to be the most appropriate people to address cessation in our population. Conclusion: Parental smoking rates at diagnosis are above national averages for children with both CF and asthma in West and East Yorkshire. Use of aids mirror national figures, and cessation success rates increase with increasing attempts. Discussions surrounding smoke exposure are poorly recorded. Paediatricians are seen as important campaigners to reduce smoke exposure in our populations.</t>
  </si>
  <si>
    <t>(O'Reilly D.) (Lee T.; Sowerby C.) 40th European Cystic Fibrosis Conference Seville, Spain 2017-06-07 to 2017-06-10 Elsevier B.V.; ID: 1793</t>
  </si>
  <si>
    <t>1873-5010</t>
  </si>
  <si>
    <t>Orsolini,L.;Papanti,D.;Valchera,A.;Vecchiotti,R.;Corkery,J.;Schifano,F.;Author,Addresses;Villa,San Giuseppe;Hermanas Hospitalarias, Department of Psychiatry Ascoli,Piceno Italy;University,of;Hertforshire,School of Life;Medical Sciences,Department,of Pharmacy;Pharmacology;Medical Sciences,Hatfield,United Kingdom;Maastricht University,Department,of Psychiatry;and Neuropsychology,Maastricht Netherlands;Polyedra,Polyedra Research;Teramo,Italy;Correspondence,Address;Orsolini, Villa San Giuseppe Hospital Hermanas Hospitalarias Department,L.;of Psychiatry,Ascoli,Piceno Italy</t>
  </si>
  <si>
    <t>Is addiction medicine part of psychiatry?</t>
  </si>
  <si>
    <t>S15</t>
  </si>
  <si>
    <t>addiction;European;psychiatry;alcoholism;American;diagnosis;gambling;health practitioner;human;human dignity;medical assessment;mental disease;mental health;neurology;psychiatrist;sexual addiction</t>
  </si>
  <si>
    <t>Addiction medicine/psychiatry, a medical subspecialty founded on October 1991 by the American Board of Psychiatry and Neurology, was granted as subspecialty within psychiatry. It mainly deals with medical assessment, diagnosis and treatment of subjects who suffer from an addiction (i.e. drug and/or alcohol addiction; gambling; sexual addiction; game addiction; and so on). Addiction psychiatry also deals with subjects in dual diagnosis, i.e. individuals with addiction issues along with co-occurring psychiatric disorders. However, despite its well established Î“Ã‡Â£dignityÎ“Ã‡Â¥ to be part of psychiatry, most mental health's professionals believe that it is not a primarily psychiatric field due to the frequent co-occurrence of internistic/medical issues. In addition, the situation of psychiatric training specifically addressed to addiction is widely diversified across the European countries. Therefore, most psychiatrists do not possess specific qualifications and formation on this increasing field of psychiatry. The present lecture aims at providing an insight into the issues related to the diatribe between psychiatry and medicine on addiction medicine/psychiatry, specifically focusing on differences across European countries.</t>
  </si>
  <si>
    <t>(Orsolini L.; Valchera A.; Vecchiotti R.) (Orsolini L.; Papanti D.; Corkery J.; Schifano F.) (Orsolini L.; Vecchiotti R.) 24th European Congress of Psychiatry, EPA 2016 Madrid, Spain 2016-03-12 to 2016-03-15 Elsevier Masson SAS; ID: 1982</t>
  </si>
  <si>
    <t>10.1016/j.eurpsy.2016.01.810 FULL TEXT LINK http://dx.doi.org/10.1016/j.eurpsy.2016.01.810</t>
  </si>
  <si>
    <t>Osborne,V. A.;Benner,K.;Sprague,D.;Horwitz,B.;Vinson,D.;Author,Addresses;University,of;Missouri,Columbia United States;Correspondence,Address;VA Osborne, University of Missouri Columbia,United States</t>
  </si>
  <si>
    <t>Adapting the simulated patientmedical model to socialwork: Do simulated clients improve socialwork students' sbirt attitudes, knowledge and skills?</t>
  </si>
  <si>
    <t>37 SUPPL. 2</t>
  </si>
  <si>
    <t>193A</t>
  </si>
  <si>
    <t>alcoholism;human;model;skill;society;student;addiction;analysis of variance;clinical practice;curriculum;education;interview;patient;questionnaire;role playing;school;screening;simulation;social work;social work practice;social work student;Student t test;substance abuse;teaching;vignette</t>
  </si>
  <si>
    <t>Background: Social work students typically practice clinical intervention skills via role plays with fellow students. Schools of SocialWork do not utilize the simulated patient model used extensively in Schools ofMedicine. Practicing these skills on actors rather than on classmatesmay aid in solidifying learned SBIRT techniques. Purpose: Use of simulated clients (SCs) in social work schools is rare; this is the first known study to employ the SC model to addictions education. The goal was to assess social work students' knowledge and attitudes of substance misuse before and after basic online didactic SBIRT training modules paired with clinical skills practice with SCs. Methods: Students were given a 13 question Likert scaled questionnaire assessing attitudes, knowledge and perceived skills. After a five-module online SBIRT training, students practiced with SCs from the School of Medicine's Simulation Center. A series of four client vignettes were developed for students to use in practicing substance abuse assessments. T-tests compared changes pre- to post-test. Repeated measures ANOVA analyzed differences between this sample and a similar cohort from the previous spring semester who had not utilized SCs. Results: 79 students completed training modules, SC sessions, and questionnaires. This group was compared to the 74 students who had only completed the training modules and questionnaires. Examining the 79 students in the current sample, significant differences were found for 8 questions. Students reported more confidence in their ability to assess and to successfully intervene with clients' substance use. Likewise, they felt more strongly that routine screening was critical to clinical practice. Students who worked with SCs agreed significantly more than students who had not completed SC sessions that routine screening was a critical part of clinical practice. Conclusions: Incorporating SBIRT into social work practice is an important aspect of effective treatment. Teaching SBIRT didactically as well as incorporating SCs appears effective in increasing students' perceptions of their ability to change client behaviors and to reduce clients' substancemisuse. Incorporating use of Simulated Clients into the social work curriculumwas an innovative way to allow students the opportunity to practice skills. Students responded positively to the experience and suggested that the SC interviews be continued in the social work curriculum.</t>
  </si>
  <si>
    <t>(Osborne V.A.; Benner K.; Sprague D.; Horwitz B.; Vinson D.) 36th Annual Scientific Meeting of the Research Society on Alcoholism, RSA 2013 Orlando, FL, United States 2013-06-22 to 2013-06-26 Blackwell Publishing Ltd; ID: 2396</t>
  </si>
  <si>
    <t>10.1111/acer.12162 FULL TEXT LINK http://dx.doi.org/10.1111/acer.12162</t>
  </si>
  <si>
    <t>Osborne,V. A.;Cleveland,I.;Author,Addresses;St Louis University, School,of Medicine;Department of,Family;Community Medicine, St Louis,United States;Correspondence,Address;VA Osborne, St Louis University School of Medicine Department,of Family;and Community Medicine, St Louis,United States</t>
  </si>
  <si>
    <t>Changes in family medicine residents' attitudes, knowledge and perceived skills for substance abuse assessment following sbirt training</t>
  </si>
  <si>
    <t>73A</t>
  </si>
  <si>
    <t>alcohol;alcoholism;family medicine;skill;society;substance abuse;clinical practice;curriculum;drinking;drug abuse;examination;feedback system;human;medical school;model;patient;physician;questionnaire;residency education;risk;screening;simulation;statistics;student;Student t test;substance use;teaching</t>
  </si>
  <si>
    <t>Purpose: Physicians frequently encounter patients with substance use problems. The Screening, Brief Intervention and Referral to Treatment (SBIRT)model was initially designed to train practicing physicians to detect and assess alcohol and drug problems among their patients. While SBIRT has been utilized in practice, it is not yet consistently included as part of the medical school curriculum, or during residency training. In recent years, there has been a push to focus on teaching SBIRT to physicians before they enter their practice-at the medical school and residency levels. This project trained family and communitymedicine residents in the SBIRT model via online didactic training as well as experiential simulation training with standardized patients. The goal was to assess residents' knowledge, attitudes and perceived skills before and after their SBIRT training. Methods: Students were given a questionnaire assessing attitudes, knowledge and perceived skills with regard to substancemisuse. A computerized training session focused on symptoms of at-risk drinking and implementing the SBIRT model. Descriptive statistics explained overall knowledge, attitudes and perceived screening and intervention skills. T-tests compared changes pre-to post-test. Results: 46 residents completed the training and questionnaires. Significant differences were found in four of the 14 questions. Residents reported feeling more strongly that routine screening and brief intervention were crucial to clinical practice, and agreed more strongly that discussing substance use would not make patients angry. They also agreed more strongly that substance use is an appropriate topic to discuss in a clinical encounter. Similarly, residents felt more strongly that assessing for substancemisuse does not take toomuch time during the examination. Qualitative feedback from residents after the patient simulations indicated that practicing with standardized patients helped them gain confidence in their substance misuse assessment skills. Conclusion: Incorporating substance misuse screening and brief intervention techniques into clinical practice is an important aspect of effective treatment. Training medical residents to screen and intervene is critical to improving treatment skills. SBIRT training appears effective in increasing residents' perceptions of their ability to change patient behaviors and reduce patients' substance misuse.</t>
  </si>
  <si>
    <t>(Osborne V.A.; Cleveland I.) 37th Annual Scientific Meeting of the Research Society on Alcoholism, RSA 2014 Bellevue, WA, United States 2014-06-21 to 2014-06-25 Blackwell Publishing Ltd; ID: 2222</t>
  </si>
  <si>
    <t>Oscos-Sanchez,M.;Leal-Castanon,S.;Loffredo,A.;Dunlap,D. D.;Emko,N. J.;Gomez,L. R.;Kozlovsky,K.;Schneegans,S.;Williams,J.;Author,Addresses;University of,Texas;Health Science Center at,San Antonio;Correspondence,Address;MA Oscos-Sanchez, University of Texas Health Science Center,at San;Antonio,United States</t>
  </si>
  <si>
    <t>Residents' attitudes toward clinical management of substance use</t>
  </si>
  <si>
    <t>S61</t>
  </si>
  <si>
    <t>alcohol;salicylate sodium;adolescent;medicine;society;adolescence;adult;adulthood;African American;Asian;color;exposure;family medicine;female;general practitioner;Hispanic;linear regression analysis;outcome variable;outpatient;pediatrician;physician;questionnaire;race difference;self concept;student;Student t test;tobacco</t>
  </si>
  <si>
    <t>Purpose:Use of alcohol, tobacco, and other illicit substances begins in adolescence and peaks in young adulthood. Because 80%percent of adolescents and young adults have at least one outpatient clin-ical encounter each year, Pediatricians and Family Physicians are uniquely poised to manage adolescent substance use issues. In this study we examine pediatric and family medicine residents' attitudes toward the clinical management of substance use. Methods: In the spring of 2009, 71 pediatric and family medicine residents at our institution completed confidential self-adminis-tered questionnaires. The mean age of the participants was 31.4 years, 62% were pediatric residents, 61% were residents of color (34% Latino, 26% Asian, 1% African American), 39% were non-Latino white, and 75% were female. The outcome variables exam-ined were current practice, self-efficacy, readiness to change, belief in treatment, and optimistic attitude toward treatment. T-tests and multivariate backward stepwise linear regression analyses were conducted. Results: T-tests demonstrated that family medicine residents as compared to pediatric residents (p &lt; .004) and residents of color as compared to non-Latino white residents (p &lt; .038) had signifi-cantly higher scores on 3 of the 5 outcome variables. In the multi-variate analysis, specialty and race persisted as significant predictors after controlling for other potential predictors such as personally knowing a person with a substance use issue, previous training, clinical exposure, and previous clinical experience. Family medicine residents reported higher levels of currently managing substance use, greater self-efficacy, and greater readiness to increase their management of substance use. Residents of color re-ported greater readiness to increase their management of substance use, greater belief in treatment, and a more optimistic attitude that treatment would be successful. Conclusions: Residents' attitudes regarding the clinical management of substance use differed based on specialty and race. The findings suggest that to increase effectiveness in motivating and training future physicians to address adolescent substance use, residency programs should increase their understanding of trainee attitudes and tailor educational interventions to address potential specialty and racial differences.</t>
  </si>
  <si>
    <t>(Oscos-Sanchez M.A.; Leal-Castanon S.; Loffredo A.; Dunlap D.D.; Emko N.J.; Gomez L.R.; Kozlovsky K.; Schneegans S.; Williams J.) Society for Adolescent Medicine Annual Meeting - Adolescent Clinical Care: Integrating Art and Science Toronto, ON, Canada 2010-04-07 to 2010-04-10 Elsevier USA; ID: 2813</t>
  </si>
  <si>
    <t>10.1016/j.jadohealth.2009.11.147 FULL TEXT LINK http://dx.doi.org/10.1016/j.jadohealth.2009.11.147</t>
  </si>
  <si>
    <t>Oscos-Sanchez,M.;Williams,J.;Author,Addresses;University,of Texas;Center,San Antonio United States;Correspondence,Address;MA Oscos-Sanchez, University of Texas Health Science Center,San Antonio;United,States</t>
  </si>
  <si>
    <t>Correlates of positive attitudes toward the clinical management of substance use</t>
  </si>
  <si>
    <t>S77</t>
  </si>
  <si>
    <t>alcohol;adolescent health;society;adolescence;adolescent;adult;adulthood;African American;alcohol abuse;Asian;color;family medicine;female;follow up;gender;general practitioner;health service;Hispanic;linear regression analysis;mental health service;model;outcome variable;outpatient;patient;pediatrician;physician;predictor variable;questionnaire;residency education;responsibility;screening;student;substance abuse;tobacco</t>
  </si>
  <si>
    <t>Purpose: Use of alcohol, tobacco, and other illicit substances begins in adolescence and peaks in young adulthood. To more effectively address substance use, the Substance Abuse and Mental Health Services Administration is supporting the dissemination of SBIRT (Screening, Brief Intervention, and Referral for Treatment) training among physicians. SBIRT has been shown to modify the substance use patterns of patients who use alcohol and other drugs. SBIRT targets patients with nondependent substance use and provides effective intervention strategies prior to the need for extensive or specialized treatment. Because 80% percent of adolescents and young adults have at least one outpatient clinical encounter each year, Pediatricians and Family Physicians are uniquely poised to screen for and manage adolescent substance use. In this study, we examine correlates of positive attitudes toward the clinical management of substance use among pediatric and family medicine residents after one year of SBIRT training. Specifically we examine correlates of Belief that Substance Use is Treatable, Belief that Physicians have a Responsibility to perform SBIRT, and Belief that Physician use of SBIRT will Improve Treatment Success. Methods: Sixty-five pediatric and family medicine residents completed confidential self-administered questionnaires and an SBIRT knowledge test at baseline and at a12-month followup. Three linear regression models with the outcome variables of Belief that Substance Use is Treatable, Belief that Physicians have a Responsibility to perform SBIRT, and Belief that Physician use of SBIRT will Improve Treatment Success were constructed. Four measures of previous year SBIRT training were entered as potential predictor variables. These included change in score on an SBIRT Knowledge test and self-reported measures of didactic hours of SBIRT training, percent of patients seen with substance use issues, and extent of clinical experience with substance use in the past year. Baseline attitude, age, being a resident of color, personally knowing someone with an alcohol abuse problem, gender, and level of residency training were entered as control variables. Results: The mean age of the residents was 32.0 years, 57% were pediatric residents, 62% were residents of color (33% Latino, 27% Asian, 2% African American), and 76% were female. The strongest predictor of positive attitude at 12 months was baseline attitude. Increase in score on the SBIRT Knowledge test was also consistently correlated with positive attitude at 12 months. Conclusions: Positive baseline attitude about the clinical management of substance use was the strongest predictor of positive attitudeat 12 months; however, increased knowledge about SBIRT was also correlated with positive attitudes. To increase the likelihood that adolescents will have access to effective clinical management of substance use, residency programs should actively recruit students with positive baseline attitudes. Increasing knowledge about SBIRT during residency training will further increase the likelihood that future pediatricians and family physicians believe that substance use is treatable, that they have a responsibility to manage substance use, and that their interventions will improve treatment success.</t>
  </si>
  <si>
    <t>(Oscos-Sanchez M.A.; Williams J.) Society for Adolescent Health and Medicine, SAHM 2011 Annual Meeting Seattle, WA, United States 2011-03-29 to 2011-04-01 Elsevier USA; ID: 2724</t>
  </si>
  <si>
    <t>10.1016/j.jadohealth.2010.11.161 FULL TEXT LINK http://dx.doi.org/10.1016/j.jadohealth.2010.11.161</t>
  </si>
  <si>
    <t>Osonnaya,C.;Sanderson,I. R.;Ugwu,M.;Gillison,F.;Author,Addresses;Epidemiology,and;Education Unit, Queen Mary's School,of Medicine;Dentistry,Pre-Clinical;Bldg,Walden Street London E.A.L.United Kingdom;Smoking Cessation Unit, Newham Health Care,N.H.S.Trust London;United,Kingdom;Smoking Cessation Clinic, Royal London,Hospital London;United,Kingdom;Correspondence,Address;Osonnaya,Epidemiology,C.;Education Unit, Centre for,Adult and;Paediatrics Gastroenterology, Queen Mary's School,of Medicine;Dentistry;Pre-Clinical Bldg, Walden Street London E A L United,Kingdom Email;c.osonnoy@qmul.ac.uk</t>
  </si>
  <si>
    <t>Promoting smoking cessation in the community: Module evaluation</t>
  </si>
  <si>
    <t>International Journal of Medicine</t>
  </si>
  <si>
    <t>health promotion;smoking cessation;article;clinical research;community care;counseling;health care;health program;human;medical school;medical student;methodology;questionnaire;smoking;teaching;United Kingdom;workshop;Public Health, Social Medicine and Epidemiology (17)</t>
  </si>
  <si>
    <t>Objective- To describe the design and evaluation of the community-based Promoting Smoking Cessation Programme. Design- Module Evaluation using quantitative research method. Setting- Barts and the London, Queen Mary's School of Medicine and dentistry, University of London, London, UK. Materials and methods- The two-week programme consists of eight sessions of clinical skills teaching where students are attached to various community clinics, seven sessions medical school teaching, consisting of multiprofessional facilitated introductory sessions, workshops, small group work, role-play, problem-solving exercises with case reports and student presentation; and fostering student-centred learning by the use of efficient teaching, assessment and evaluation methods, and tutor training. Results- Between March 2000 to June 2003, 72 students completed their promoting smoking cessation module. 67 (93%) returned their student evaluation questionnaires. Evaluation data from the components of the module showed that the majority of students rated the module as useful; community clinical attachments being the highest rated and received the most attention. The midwifeled community smoking cessation clinic was a good source of counselling and obstetrics practice. Students were exposed to the clinical and communication skills of dealing with smoking and tobacco consumption problems in the community. The Programme average teaching score was 4.4 (where a teaching score of 4 demonstrated good teaching skills). A module average of 4.2 was obtained from these scores (1=not at all and 5=significantly). Students also learnt about the organisation of health care in the community, teamwork and the majority of students gained basic understanding of how Primary, Secondary and Community Care work together in promoting the health of the society. Conclusion- Student evaluations of the module demonstrate that its aim are being met. The evaluation results suggest that some components of a health promotion subject such as smoking cessation can be taught successfully in the community. Students benefited from learner-centred teaching that concentrated in the acquisition of important clinical skills and gaining knowledge of the normal and community aspects of smoking and tobacco consumption problems; and treatment of patients inter smoking habits in a multi-cultural society.</t>
  </si>
  <si>
    <t>(Osonnaya C., c.osonnoy@qmul.ac.uk; Sanderson I.R.) (Ugwu M.) (Gillison F.); ID: 3195</t>
  </si>
  <si>
    <t>1468-3814</t>
  </si>
  <si>
    <t>2005440579 PUI L41387404</t>
  </si>
  <si>
    <t>Ostrowska,A.;Szewczyâ”¼Ã¤iski,J. A.;Author,Addresses;Zakâ”¼Ã©adu,Higieny Instytutu;Spoâ”¼Ã©ecznej Akademii,Medycznej w.;Correspondence,Address;Ostrowska, Zakâ”¼Ã©adu Higieny Instytutu Medycyny Spoâ”¼Ã©ecznej Akademii,A.;Medycznej w,Warszawie</t>
  </si>
  <si>
    <t>17474607; The assessment of health behaviours among Warsaw Medical University students ORIGINAL (NON-ENGLISH) TITLE Zachowania zdrowotne studentâ”œâ”‚w warszawskiej akademii medycznej</t>
  </si>
  <si>
    <t>Wiadomoâ”¼Â¢ci lekarskie</t>
  </si>
  <si>
    <t>(2002) 55 Suppl 1</t>
  </si>
  <si>
    <t>street drug;attitude to health;drinking behavior (epidemiology);health behavior;medical student;smoking (epidemiology);university;adult;alcohol abstinence;article;classification;comorbidity;evaluation study;female;human;male;Poland (epidemiology);questionnaire;sex ratio;statistics</t>
  </si>
  <si>
    <t>Some health behaviours among 228 students of Warsaw Medical University (130 women and 98 men) using anonymous questionnaire were examined. Percentage of smokers among female and male students was similar (13.1% and 14.3% respectively). Among respondents the greatest frequency of drinking alcohol was from a few times weekly to a few times monthly. Male students drunk alcohol more often than female ones. Beer was prefered by men, wine and beer--by women. Only male students (10.2%) used drugs (amphetamine, marihuana). About 1/3 of respondents did not do any sports. Female students had better knowledge about objective factors of their health status (blood pressure, blood glucose and cholesterol level) compared to males ones.</t>
  </si>
  <si>
    <t>(Ostrowska A.; Szewczyâ”¼Ã¤iski J.A.); ID: 3288</t>
  </si>
  <si>
    <t>http://www.ncbi.nlm.nih.gov/pubmed/17474607</t>
  </si>
  <si>
    <t>The assessment of health behaviours among Warsaw Medical University students ORIGINAL (NON-ENGLISH) TITLE Zachowania zdrowotne studentâ”œâ”‚w warszawskiej akademii medycznej</t>
  </si>
  <si>
    <t>Ott,C. H.;Doyle,L. H.;Tarantino,S. L.;Author,Addresses;University,of;Wisconsin,Milwaukee W. I. United States;Old Dominion,University;Correspondence,Address;CH Ott, University of Wisconsin Milwaukee W I United,States Email;carolott@uwm.edu</t>
  </si>
  <si>
    <t>The impact of an urban outreach teaching project: Developing cultural competence</t>
  </si>
  <si>
    <t>International Journal of Nursing Education Scholarship</t>
  </si>
  <si>
    <t>1:1 Article Number: 22.</t>
  </si>
  <si>
    <t>competence;nursing education;adult;article;female;health program;health promotion;human;information processing;interview;male;medical personnel;substance abuse;teaching;urban area;Public Health, Social Medicine and Epidemiology (17)</t>
  </si>
  <si>
    <t>The purpose of this study was to explore the development of cultural competence in a group of university nursing students in the context of an interactive substance abuse prevention project attached to a health promotion course with 414 racially diverse high school students. The project provided opportunities for contact, interaction, and reflection. A descriptive approach was utilized to elicit the meaning attached to the experience. Data included written content from an exit survey, field notes from onsite debriefings, transcriptions of a focus group interview, and an analysis of theoretical papers. Findings indicate that when university students participate in an urban teaching project under conditions of diminishing anxiety and are given opportunities for reflection, they not only increase cultural competence but they also develop a sense of advocacy. Recommendations are made for building community partnerships to enhance cultural competence.</t>
  </si>
  <si>
    <t>(Ott C.H., carolott@uwm.edu; Tarantino S.-L., sft@uwm.edu) (Doyle L.H., ldoyle@odu.edu); ID: 3204</t>
  </si>
  <si>
    <t>1548-923X 1548-923X (electronic)</t>
  </si>
  <si>
    <t>2005107453 PUI L40317909</t>
  </si>
  <si>
    <t>Pace,C. A.;Buczek,J.;Cruz,A.;Ellenberg,L.;Jonathan,F.;Ginman,E. W.;Gordon,C. M.;Marks,H. M.;Sokolove,R.;Samet,J. H.;Wu,C.;Author,Addresses;Boston,University;School of Medicine, Boston,United States;Correspondence,Address;CA Pace, Boston University School of Medicine Boston,United States</t>
  </si>
  <si>
    <t>Integrating behavioral health services and primary care atan Urban, safety-net teaching hospital: A pilot program</t>
  </si>
  <si>
    <t>S487</t>
  </si>
  <si>
    <t>S488</t>
  </si>
  <si>
    <t>(MAJOR FOCUS);lindane;nitrogen 13;health service;internal medicine;primary medical care;safety;society;teaching hospital;administrative personnel;adult;community;counseling;creativity;data base;diagnosis;evidence based practice;food assistance;health;health care;health center;hospital;hospital patient;human;interpersonal communication;leadership;long term care;mass screening;medical assistant;medical record;medical specialist;model;patient;problem solving;psychiatrist;psychotherapy;satisfaction;screening;social worker;substance use;traffic and transport;United States</t>
  </si>
  <si>
    <t>STATEMENT OF PROBLEM OR QUESTION (ONE SENTENCE): Although behavioral health conditions are known to affect the overall health of primary care patients, barriers to effective behavioral health care at Boston Medical Center's Adult Primary Care Clinic (including the lack of systematic behavioral health screening and the delivery of most behavioral health services in another department) have led to missed opportunities for early identification of these conditions as well as gaps in patient access and coordination of care. OBJECTIVES OF PROGRAM/INTERVENTION (NO MORE THAN THREE OBJECTIVES): To improve early identification of depression and unhealthy substance use; improve access to psychotherapy and substance use counseling; and improve the quality of on-site care for depression and unhealthy substance use through primary care provider trainings and collaborative care protocols. DESCRIPTION OF PROGRAM/INTERVENTION, INCLUDING ORGANIZATIONAL CONTEXT (E.G. INPATIENT VS. OUTPATIENT, PRACTICE OR COMMUNITY CHARACTERISTICS): Boston Medical Center's Adult Primary Care Clinic is a 36,000-patient practice at an urban, safety-net, academic teaching hospital. This pilot program of integrated behavioral health services is located in one of the clinic's 's six teams, with the goal of spreading an optimized program across all teams. The pilot involves the following new elements: 1) Standardized, annual screening for depression and unhealthy substance use, initiated by front desk staff and medical assistants; 2) Short-course psychotherapy and substance use counseling by an on-site, full-time licensed clinical social worker (LICSW), with facilitated referrals to specialty behavioral health for patients requiring long-term treatment; 3) A community resource expert who connects patients with resources such as food stamps or transportation; 4) Depression care management, modeled after IMPACT, in which the LICSW collaborates with providers to assess, educate and counsel patients with depression and adjust treatment as needed; 5) Staff and provider training on the rationale for behavioral health screening, the screening and referral workflows, and, for providers, brief interventions for unhealthy substance use and evidence-based depression treatment in primary care. MEASURES OF SUCCESS (DISCUSS QUALITATIVE AND/OR QUANTITATIVE METRICS WHICH WILL BE USED TO EVALUATE PROGRAM/ INTERVENTION): Metrics include: 1) Proportion of patients who receive annual screening for depression and unhealthy substance use; 2) Of patients referred to the LICSW: a) proportion given an appointment within 14 days; b) proportion who attended their appointment; 3) Proportion of patients with a diagnosis of depression who have a recorded PHQ9 score in their medical record; 4) Provider satisfaction with behavioral health services, measured by pre- and post-intervention surveys. FINDINGS TO DATE (IT IS NOT SUFFICIENT TO STATE eFINDINGS WILL BE DISCUSSED): A 26 question pre-intervention survey was completed by eight attending providers and five residents (n=13). PHQ9 and referral data were obtained from hospital databases. Early pilot metrics will be available in April. Baseline findings include: 1) Approximately half of providers reported annual screening for depression with the majority of patients. All providers reported annual screening for unhealthy substance use with the majority of patients, but few reported consistently doing brief interventions. Providers reported a low level of staff assistance with screening. 2) With 10 being the highest score, the average satisfaction with available behavioral health services was 4.4. Although providers rated the importance of communication with behavioral health specialists as 8.4, the average rating for communication with these specialists was 3.6. 3) In a review of referral data over two week-long periods of the 2012-13 academic year, 100 % of adult primary care patients referred to the specialty Behavioral Health clinic were given appointments for a group clinic orientation, but only 25 % percent attended a clinical intake visit within 6 months. 4) Of patients with depression in their problem list, only 2.5 % had a recorded PHQ9 score in their record prior to the pilot. KEY LESSONS FOR DISSEMINATION (WHAT CAN OTHERS TAKE AWAY FOR IMPLEMENTATION TO THEIR PRACTICE OR COMMUNITY?): Our novel pilot program of behavioral health integration in a safety net, academic hospital primary care setting has yielded several lessons: 1) Customizing screening workflows to our clinic and electronic record was challenging, requiring months of pre-testing with staff and problem-solving with the multi-disciplinary team. Such efforts, however, heightened staff engagement and helped us anticipate problems prior to implementation. 2) Despite the pilot's small scale, each step has benefited from extensive collaboration between Behavioral Health and Primary Care. To ensure that participating providers and administrators have sufficient time for the project, such collaboration has required buy-in from departmental leadership, with a plan for sustainability and dissemination. 3) Even with high levels of institutional support and interdisciplinary collaboration, it is challenging to support non-billable efforts from providers such as psychiatrists when fee-for-service payment still dominates. Creativity is required to adapt evidence-based models such as IMPACT in an era of mixed payment models.</t>
  </si>
  <si>
    <t>(Pace C.A.; Buczek J.; Cruz A.; Ellenberg L.; Jonathan F.; Ginman E.W.; Gordon C.M.; Marks H.M.; Sokolove R.; Samet J.H.; Wu C.) 37th Annual Meeting of the Society of General Internal Medicine, SGIM 2014 San Diego, CA, United States 2014-04-23 to 2014-04-26 Springer New York; ID: 2249</t>
  </si>
  <si>
    <t>Paceli,R.;Martins,S.;Prado,G. F.;Morais,A.;Lombardi,E.;Bussacos,M.;Terra-Filho,M.;De,Paula Santos;Author,Addresses;Heart Institute,Hospital Das;Clâ”œÂ¡nicas, Universidade De Sâ”œÃºo Paulo Sâ”œÃºo,Paulo Brazil;Statistical;Epidemiology;Service,Fundacentro-Ministry of Labor;Employment,Sâ”œÃº;Correspondence,Address;Paceli, Heart Institute Hospital Das Clâ”œÂ¡nicas Universidade De,R.;Sâ”œÃºo Paulo, Sâ”œÃºo Paulo Brazil Email rpaceli,gmail com</t>
  </si>
  <si>
    <t>Tobacco use and smoking knowledge: Study among medical students of 3rd and 6th year at Medicine Faculty, University of Sâ”œÃºo Paulo</t>
  </si>
  <si>
    <t>amfebutamone;nicotine;nortriptyline;education;European;human;medical student;public health;smoking;society;tobacco use;university;chi square test;curriculum;health;health practitioner;medical education;nicotine replacement therapy;pandemic;physician;population;prevalence;questionnaire;smoke;smoking cessation;student</t>
  </si>
  <si>
    <t>Introduction: As tobacco use is a pandemic disease, behavior and training are important for medical practitioners of the future. Objectives: To estimate the prevalence of smokers, the knowledge on smoking cessation techniques and the treatment among the medical students. Methods: Cross-sectional survey sample of 361 medical students from 3rd year of 2008 and 6th year of 2011 n=201 (class1) vs 3rd year of 2009 and 6th year of 2012 n=160 (class2). The questionnaire used was self-administered Global Health Professional Students Survey after translation. It was used the chi-square test with p &lt;0.05. Results: It was observed a low prevalence of smoking: class1=8,25% vs class2=3,85%, not significant (NS). In this sample there is an agreement about the necessity of receiving specific training in smoking cessation: class1=97.03% vs 98.18% (NS), and class 2=97.14% vs. 98.36% (NS). The students improved their knowledge about the reasons why people smoke: class 1=3rd year (44.55%) and 6th year (73.64%) p&lt;0.001 vs class 2=3rd year (47.62%) and 6th year (73.77%) p&lt;0.001. Treatment through nicotine replacement therapy is well known by 3rd year of class1 (90.10%) and by 3rd year of class2 (92.38%) and the entire population interviewed in both 6th years, p&lt; 0.001. Regarding the non-nicotine treatment (bupropion and nortriptyline), the students said they knew this drug: class 1=46.53% vs 99.08% and class 2=49.04% vs 100%, p&lt; 0.001. Conclusions: The low prevalence of smokers was observed. There was a difference in the knowledge about the curriculum, training and treatment in medical education. We conclude that future physicians are prepared to give support to smokers.</t>
  </si>
  <si>
    <t>(Paceli R., rpaceli@gmail.com; Martins S., stellamartins@uol.com.br; Prado G.F., gustavoprado@ig.com.br; Morais A., anna.morais@uol.com.br; Lombardi E., elisasjbv@gmail.com; Terra-Filho M., mario.terra@incor.usp.br; De Paula Santos U., pnemario@incor.usp.br) (InCor) (Bussacos M., bussacos@fundacentro.gov.br) European Respiratory Society Annual Congress 2013 Barcelona, Spain 2013-09-07 to 2013-09-11 European Respiratory Society; ID: 2368</t>
  </si>
  <si>
    <t>Pacifici,R.;Pichini,S.;Graziano,S.;Pellegrini,M.;Massaro,G.;Beatrice,F.;Author,Addresses;Drug,Abuse;Doping Unit, Department of,Therapeutic Research;Medicines;Evaluation,National Institute of Health Roma Italy;Ospedale San Giovanni Bosco,,A.S.L.T.O.Torino Italy;Correspondence,Address;Pichini,Drug Abuse,S.;Doping Unit, Department of,Therapeutic Research;and Medicines Evaluation, National Institute of Health Roma,Italy Email;simona.pichini@iss.it</t>
  </si>
  <si>
    <t>26184244; Successful nicotine intake in medical assisted use of E-cigarettes: A pilot study</t>
  </si>
  <si>
    <t>International Journal of Environmental Research and Public Health</t>
  </si>
  <si>
    <t>(MAJOR FOCUS);nicotine;3' hydroxycotinine;carbon monoxide;cotinine;electronic cigarette;health education;medically assisted training program;tobacco dependence (therapy);adult;article;behavior therapy;blood level;breath analysis;female;follow up;harm reduction;human;intoxication;major clinical study;male;nicotine intoxication;pilot study;smoking cessation program;therapy effect;tobacco use;treatment outcome;3' hydroxycotinine (27323-64-4, 34834-67-8);carbon monoxide (630-08-0);cotinine (486-56-6);nicotine (54-11-5);Public Health, Social Medicine and Epidemiology (17)</t>
  </si>
  <si>
    <t>The electronic cigarette (e-cig) has gained popularity as an aid in smoking cessation programs mainly because it maintains the gestures and rituals of tobacco smoking. However, it has been shown in inexperienced e-cig users that ineffective nicotine delivery can cause tobacco craving that could be responsible for unsuccessful smoking reduction/cessation. Moreover, the incorrect use of an e-cig could also led to potential nicotine overdosage and intoxication. Medically assisted training on the proper use of an e-cig plus behavioral support for tobacco dependence could be a pivotal step in avoiding both issues. We performed an eight-month pilot study of adult smokers who started e-cig use after receiving a multi-component medically assisted training program with monitoring of nicotine intake as a biomarker of correct e-cig use. Participants were tested during follow-up for breath carbon monoxide (CO), plasma cotinine and trans-3Î“Ã‡Ã–-hydroxycotinine, and number of tobacco cigarettes smoked. At the end of the first, fourth, and eighth month of follow-up, 91.1, 73.5, and 76.5% of participants respectively were e-cig users (Î“Ã‡Ã¿only e-cigÎ“Ã‡Ã– and Î“Ã‡Ã¿dual usersÎ“Ã‡Ã–). They showed no significant variation in plasma cotinine and trans-3Î“Ã‡Ã–-hydroxycotinine with respect to the start of the study when they smoked only tobacco cigarettes, but a significant reduction in breath CO. The proposed medically assisted training program of e-cig use led to a successful nicotine intake, lack of typical cigarette craving and overdosage symptoms and a significant decrease in the biomarker of cigarette combustion products.</t>
  </si>
  <si>
    <t>(Pacifici R., roberta.pacifici@iss.it; Pichini S., simona.pichini@iss.it; Graziano S., silviagrzn@gmail.com; Pellegrini M., manuela.pellegrini@iss.it) (Massaro G., massaro.giuseppina@yahoo.it; Beatrice F., fabio.beatrice@tin.it) MDPI AG, Postfach, Basel, Switzerland.; ID: 2086</t>
  </si>
  <si>
    <t>1660-4601 (electronic) 1661-7827</t>
  </si>
  <si>
    <t>http://www.ncbi.nlm.nih.gov/pubmed/26184244</t>
  </si>
  <si>
    <t>10.3390/ijerph120707638 FULL TEXT LINK http://dx.doi.org/10.3390/ijerph120707638</t>
  </si>
  <si>
    <t>Successful nicotine intake in medical assisted use of E-cigarettes: A pilot study</t>
  </si>
  <si>
    <t>Paech,N.;Zwank,M.;Author,Addresses;Regions Hospital, St Paul,United States;Correspondence,Address;Paech, Regions Hospital St Paul United States,N.</t>
  </si>
  <si>
    <t>Laboratory screening of depressed or suicidal patients is unnecessary</t>
  </si>
  <si>
    <t>S320</t>
  </si>
  <si>
    <t>potassium;college;emergency physician;human;laboratory;patient;screening;abnormal laboratory result;agitation;anemia;case study;data analysis;delirium;dementia;diagnosis;disease management;drug therapy;drug use;emergency ward;follow up;general aspects of disease;hospital;hospital admission;hospital patient;intoxication;mania;mental health service;mental patient;mood disorder;physical examination;population research;prescription;psychosis;single drug dose;study design;substance abuse;supplementation;tertiary health care;urinary tract infection</t>
  </si>
  <si>
    <t>Study Objective: To determine the utility of routine laboratory screening of patients who are evaluated and admitted for severe depression, active suicidal thoughts, or other mood disorders without psychotic or manic features. Patients in this diagnostic spectrum comprise over half of all patients admitted to our mental health service. Methods: Study Design: This is a retrospective case series of 150 consecutive patients. Study Setting: All patients included in this study were evaluated at a single urban tertiary care hospital with an annual emergency department census of 65,000 patients. Study Participants: The primary inclusion criteria were a) any psychiatric evaluation in the emergency department (ED), regardless of presenting chief complaint, and b) hospital admission, regardless of final diagnosis or disposition. Exclusion criteria were: age &lt; 18 years, known overdose or suspicion of overdose, psychosis, mania, agitation, dementia or a history/ physical examination that independently warranted laboratory evaluation. Data Analysis: A consecutive list of 750 patients with any psychiatric evaluation in the emergency department was obtained. For any patient who was ultimately admitted to the hospital, the history of present illness, review of systems and physical exam were reviewed to determine study eligibility. ED notes, laboratory studies, follow-up studies, medication administration logs, prescription histories and discharge summaries were reviewed. Abnormal laboratory values and pertinent management events were tabulated. Results: Routine laboratory studies resulted in minimal changes in clinical management in our study sample. As a consequence of routine laboratory screening, 2 patients received single doses of oral potassium supplementation, 1 patient was treated for an a Symptomatic urinary tract infection, and eleven patients who denied drug use were discharged with instructions to abstain from substance abuse. Laboratory screening resulted in no cases of sustained changes in medical management and no changes of inpatient or discharge disposition. Six patients were discharged with new diagnoses as a direct result of laboratory screening: 5 with mild anemia and 1 with urinary tract infection. All of these patients were a Symptomatic. Conclusion: In the easily identifiable and prevalent subset of psychiatric patients included in this study (medically a Symptomatic patients with isolated depression, suicidal intent, or other mood disturbances without psychotic features or mania), routine ED laboratory screening of is minimally useful. Prior studies of routine laboratory evaluation in psychiatric patients have come to disparate conclusions. All prior studies have included at least some patients with mania, agitation, psychosis or dementia, all of which are features that are more likely to be mistaken with delirium than isolated mood disorders.</t>
  </si>
  <si>
    <t>(Paech N.; Zwank M.) American College of Emergency Physicians, ACEP 2011 Research Forum San Francisco, CA, United States 2011-10-15 to 2011-10-16 Mosby Inc.; ID: 2642</t>
  </si>
  <si>
    <t>10.1016/j.annemergmed.2011.06.454 FULL TEXT LINK http://dx.doi.org/10.1016/j.annemergmed.2011.06.454</t>
  </si>
  <si>
    <t>Pakhale,S.;Armstrong,M. A.;Garde,A.;Reid,B.;Aitken,D.;Mullen,K.;Wells,G.;Pipe,A.;Author,Addresses;Ottawa Hospital, Research Institute University,of Ottawa;Ottawa,Canada;Ottawa Hospital,Research Institute;Ottawa,Canada;University of,Ottawa;Heart Institute,Ottawa Canada;Correspondence,Address;Pakhale, Ottawa Hospital Research Institute University of Ottawa,S.;Ottawa,Canada</t>
  </si>
  <si>
    <t>A pilot implementation of buddhist mindfulness training, combined with the Ottawa model for smoking cessation in an out-patient respirology clinic setting</t>
  </si>
  <si>
    <t>189 MeetingAbstracts.</t>
  </si>
  <si>
    <t>carbon monoxide;American;Buddhist;hospital;human;mindfulness;model;outpatient;smoking cessation;society;abstinence;adult;arm;Buddhism;drug therapy;follow up;group therapy;hypothesis;meditation;parent;physician;smoking;teaching;tertiary care center</t>
  </si>
  <si>
    <t>Introduction: A third pilot arm was added to an ongoing randomized trial of smoking cessation at an adult Respirology clinic at The Ottawa Hospital General Campus. The goal of the parent study is to test the hypothesis that a systematic approach to smoking cessation (the 'Ottawa Model' for Smoking Cessation) with subsidized quit smoking medication (using the 'SmartCard') is more efficacious than the standard care (physicians' advice for smoking cessation + smoking cessation brochure) at achieving smoking cessation among smokers attending an outpatient Respirology clinic at a tertiary care center. The objective of this current study is to determine if adding a Buddhist mindfulness training intervention to a systemic, subsidized quit smoking program, improves quit rates above and beyond those of participants in the intervention and standard care arms of the parent study. Methods: In addition to the interventions offered in the parent study, an intervention of Buddhist mindfulness training was offered to 10 new participants. Individuals in this additional group received weekly sessions of 90 minutes on Buddhist mindfulness, entwined in all its interrelated concepts as described in Buddhism, for 12 weeks. These sessions were comprised of a talk by a layperson practicing Buddhism followed by a session of guided meditation. The talk was broadly based upon the Four Noble truths and the Eightfold Noble Path as described in Buddhism. The guided meditation was based upon the principles of meditation laid out in Buddhism. Subjects were invited to ask questions to generate material for the talks. The talks incorporated topics based upon the questions asked by the subjects in the intervention. Results: Participants that were offered the Buddhist mindfulness intervention (n = 10) expressed keen interest in engaging in a group therapy intervention as part of their smoking cessation plan. Some participants were wary that a Buddhist mindfulness intervention would contain religious teachings, however, most of these concerns were quelled by a detailed explanation by the research coordinator, assuring participants that no religious content would be used in the intervention. Of the 10 participants who registered for the sessions, 7 attended at least one meeting. Conclusion: Follow-up appointments scheduled for 6 months post quit date are currently underway. These study visits include the primary outcome of carbon monoxide (CO)-confirmed continuous abstinence from quit date, as well as a brief mixed methods (quantitative &amp; qualitative) survey addressing smoking behavior, cessation aids, and facilitators and barriers to their quitting efforts.</t>
  </si>
  <si>
    <t>(Pakhale S.) (Pakhale S.; Armstrong M.A.; Garde A.) (Reid B.; Aitken D.; Mullen K.; Wells G.; Pipe A.) American Thoracic Society International Conference, ATS 2014 San Diego, CA, United States 2014-05-16 to 2014-05-21 American Thoracic Society; ID: 2193</t>
  </si>
  <si>
    <t>Pal,S.;Oswal,R. M.;Patel,A.;Author,Addresses;Department,of;Psychiatry,Medical College Baroda India;Correspondence,Address;Pal, Department of Psychiatry Medical College Baroda India Email,S.;pal.sutanaya@gmail.com</t>
  </si>
  <si>
    <t>Smartphone addiction among medical students of medical college baroda and its association with academic performance</t>
  </si>
  <si>
    <t>S78</t>
  </si>
  <si>
    <t>academic achievement;computer addiction;medical school;medical student;adult;diagnosis;female;high school;human;informed consent;major clinical study;male;self report;structured questionnaire;young adult</t>
  </si>
  <si>
    <t>Background: With the advent of internet enabled hand held devices such as smartphones and tablets, technological addiction has become a tangible problem due to prompt access to such devices. Adverse effects of its overuse range from an impact on social interactions and academic performance to physical injury with a few reported cases of accidental deaths. Methodology and Analysis: It is a cross-sectional study. All the undergraduate medical students from 2nd year to Internship (n=572) were included in the study after getting written informed consent. Sociodemographic details, patterns of smartphone use, class 12 marks and Results of fnal MBBS exams appeared so far were obtained to assess academic performance using a self-report semi-structured questionnaire. Smartphone addiction was diagnosed using the Smartphone Addiction Inventory (SPAI). As high school grades are estimated to be the best indicator of future performance, Class 12 marks were taken to account for the intrinsic differences between students. An average of all the MBBS fnal exams was taken as an estimate of the current performance. Results: Out of 523 students approached, 427 returned completed forms. The population of 54% males and 46% females had a mean age of 20.8 years (SD = 1.4 years). 88 students (20.6%) were found to be addicted to Smartphones using a cut-off of 64 on the SPAI. No signifcant association was found between Smartphone addiction and academic performance. Conclusion: While a high percentage of students were found to be addicted to smartphones, it did not seem to have a signifcant impact on their academic performance.</t>
  </si>
  <si>
    <t>(Pal S., pal.sutanaya@gmail.com; Oswal R.M.; Patel A.) 68th Annual National Conference of the Indian Psychiatric Society, ANCIPS 2016 Bhopal, India 2016-01-21 to 2016-01-24 Medknow Publications; ID: 2011</t>
  </si>
  <si>
    <t>Palmer,R. F.;Author,Addresses;Departments of Pharmacology, Medicine,University Florida;College,of Medicine;Correspondence,Address;RF Palmer, Departments of Pharmacology Medicine,University Florida;College,of Medicine</t>
  </si>
  <si>
    <t>Correspondence</t>
  </si>
  <si>
    <t>Clinical pharmacology and therapeutics</t>
  </si>
  <si>
    <t>Clin.Pharmacol.Ther.</t>
  </si>
  <si>
    <t>drug misuse;medical education;clinical pharmacology;clinical research;dose response;drug distribution;drug metabolism;enzyme inhibition;human;letter;medical student;priority journal;Public Health, Social Medicine and Epidemiology (17);Clinical and Experimental Pharmacology (30)</t>
  </si>
  <si>
    <t>(Palmer R.F.) Nature Publishing Group, Houndmills, Basingstoke, Hampshire, United Kingdom.; ID: 3963</t>
  </si>
  <si>
    <t>1532-6535 (electronic) 0009-9236</t>
  </si>
  <si>
    <t>20160021536 PUI L607463652</t>
  </si>
  <si>
    <t>10.1002/cpt1969103416 FULL TEXT LINK http://dx.doi.org/10.1002/cpt1969103416</t>
  </si>
  <si>
    <t>Paluzzi,P.;Deggins,N.;Hutchins,E.;Burkhardt,P.;Author,Addresses;Baltimore City,Health Department;Correspondence,Address;A.,P.Paluzzi, Baltimore City Health Department Baltimore M.D.U.S.</t>
  </si>
  <si>
    <t>23580997; The role of midwives in caring for women with substance use disorders: implications for training</t>
  </si>
  <si>
    <t>addiction (diagnosis, rehabilitation);alcoholism (diagnosis, rehabilitation);cooperation;interdisciplinary communication;midwife;clinical competence;curriculum;education;female;human;newborn;nursing;patient referral;pregnancy;review;United States</t>
  </si>
  <si>
    <t>(Paluzzi P.) (Deggins N.; Hutchins E.; Burkhardt P.); ID: 3314</t>
  </si>
  <si>
    <t>http://www.ncbi.nlm.nih.gov/pubmed/23580997</t>
  </si>
  <si>
    <t>The role of midwives in caring for women with substance use disorders: implications for training</t>
  </si>
  <si>
    <t>Pampel,F. C.;Author,Addresses;Population Program,University of;Colorado,Boulder C. O. United States;Correspondence,Address;FC Pampel, Population Program University of Colorado,Boulder C.;edu,United States Email fred pampel colorado</t>
  </si>
  <si>
    <t>12927479; Age and education patterns of smoking among women in high-income nations</t>
  </si>
  <si>
    <t>cigarette smoking;income;medical education;adoption;article;biodiversity;controlled study;diffusion;female;human;population;statistical analysis;Public Health, Social Medicine and Epidemiology (17);Health Policy, Economics and Management (36)</t>
  </si>
  <si>
    <t>In suggesting that levels of female smoking in high-income nations result from patterns of adoption and abatement during the process of cigarette diffusion, theories of diffusion predict that age and education patterns of smoking shift from concentration among young and highly educated women to older and less educated women as cigarette use spreads through a population and begins to decline. Using survey data on individuals from 16 European nations, aggregate measures of cigarette diffusion, and multilevel statistical models, this study demonstrates that age and education patterns vary with the stage of cigarette diffusion as predicted by the diffusion theories, and provides some evidence concerning future patterns of change in female smoking across nations at diverse stages of cigarette diffusion. â”¬âŒ 2003 Elsevier Ltd. All rights reserved.</t>
  </si>
  <si>
    <t>(Pampel F.C., fred.pampel@colorado.edu) Elsevier Ltd, Langford Lane, Kidlington, Oxford, United Kingdom.; ID: 3254</t>
  </si>
  <si>
    <t>http://www.ncbi.nlm.nih.gov/pubmed/12927479</t>
  </si>
  <si>
    <t>10.1016/S0277-9536(02)00543-9 FULL TEXT LINK http://dx.doi.org/10.1016/S0277-9536(02)00543-9</t>
  </si>
  <si>
    <t>Age and education patterns of smoking among women in high-income nations</t>
  </si>
  <si>
    <t>Panagiotidis,P.;Papadopoulou,M.;Diakogiannis,I.;Author,Addresses;Drug;Dependence Unit, C'Department of Psychiatry Ahepa,University Hospital;Thessanloniki,Greece;Correspondence,Address;Panagiotidis, Paisiou Street Neapoli Thessaloniki Greece,P.;Email,psypanpan yahoo gr</t>
  </si>
  <si>
    <t>Identification and brief interventions for alcohol problems: Evaluation of a training program for primary health care professionals</t>
  </si>
  <si>
    <t>alcoholism;clinical education;health care personnel;primary health care;adult;article;clinical practice;drug dependence treatment;female;follow up;health personnel attitude;health program;human;knowledge;male;screening;Public Health, Social Medicine and Epidemiology (17);Drug Dependence, Alcohol Abuse and Alcoholism (40)</t>
  </si>
  <si>
    <t>This study presents the outcomes of three 1-day training coursesTraining Program on Identification and Brief Interventionsprovided to 37 primary health care professionals. It evaluates the pre- and postattitudes and knowledge of participants on screening and brief interventions and on the effectiveness of the training experience. The follow-up evaluations determined how the participants had used their training in clinical interventions and the barriers that they encountered. Results indicate that training had a positive impact at the knowledge level and on clinical behavior. Further research is needed to determine the duration of this effect in its influence on practice behavior. Copyright â”¬âŒ Taylor &amp; Francis Group, LLC.</t>
  </si>
  <si>
    <t>(Panagiotidis P., psypanpan@yahoo.gr; Papadopoulou M.; Diakogiannis I.) Routledge, 325 Chestnut Street, Philadelphia, United States.; ID: 2759</t>
  </si>
  <si>
    <t>2010574454 PUI L359776568</t>
  </si>
  <si>
    <t>10.1080/07347324.2010.511079 FULL TEXT LINK http://dx.doi.org/10.1080/07347324.2010.511079</t>
  </si>
  <si>
    <t>Pant,P.;Khatiwada,P.;Author,Addresses;Internal;Medicine,Tribhuvan University Teaching Hospital Kathmandu Bagmati Nepal;and 2 Community Medicine, Kathmandu Uinversity School of,Medical Scie;Dhulikhel,Kavre Nepal;Correspondence,Address;Pant, Email drpant hotmail com,P.</t>
  </si>
  <si>
    <t>Tobacco control and smoking pattern among medical students in Kathmandu University Teaching Hospital</t>
  </si>
  <si>
    <t>adolescent;education;European;human;medical student;smoking;society;teaching hospital;tobacco;university;adolescence;child;diseases;exposure;friend;information processing;lung cancer;neoplasm;Nepal;physician;policy;questionnaire;risk factor;skill;smoke;smoking cessation;student;tobacco use</t>
  </si>
  <si>
    <t>Background As of 2002, about 20% of young teens (13-15years) smoke worldwide. Everyday 80-100 thousand children start smoking. Half of those who begin smoking in their adolescence are predicted to continue it for 15 to 20 years. In this context, to have adequate knowledge of smoking related diseases and skills in smoking cessation is very important for medical students, the future medical practitioners. This study assessed the knowledge about tobacco related diseases and their own behavior among 153 medical students of Kathmandu University Teaching Hospital. Methods Qualitative and quantitative approaches were used for data collection from 153 medical students from December 2011 to May 2012. Questionnaires were handed out to the participants, and discussions were carried out in five groups of these students. Results The majority of the students had good knowledge of tobacco/smoking and its consequences. About 24% of the total students were current or ex-smokers. Only 10% had heard of Framework Convention on Tobacco Control in Nepal. Eighty-nine students had over 80% knowledge of the warning signs from tobacco use, among them 83% knew the nine risk factors for lung cancer. Approximately 95% of all participants confirmed passive exposure to smoking, where majority (75%) was in friends circle. Forty percent of them knew someone who had ever suffered from cancer. Conclusion All medical students who know about any cancers may not necessarily have knowledge about lung cancers. Their perception about the cause of lung cancer may be influenced by their smoking behavior. Awareness about national policies needs to be increased.</t>
  </si>
  <si>
    <t>(Pant P., drpant77@hotmail.com; Khatiwada P., ppr@gmail.com) European Respiratory Society Annual Congress 2013 Barcelona, Spain 2013-09-07 to 2013-09-11 European Respiratory Society; ID: 2361</t>
  </si>
  <si>
    <t>Panther,S. G.;Bray,B. S.;White,J. R.;Author,Addresses;Correspondence,Address;SG Panther, E Spokane Falls Blvd Spokane United,States Email;shannon.panther@wsu.edu</t>
  </si>
  <si>
    <t>28063773; The implementation of a naloxone rescue program in university students</t>
  </si>
  <si>
    <t>S107</t>
  </si>
  <si>
    <t>S112.e2</t>
  </si>
  <si>
    <t>(MAJOR FOCUS);naloxone (drug toxicity);drug intoxication;medical education;opiate addiction;adult;article;attitude to health;expectation;female;health education;human;male;pharmacist;pharmacy student;prescription;skill;university student;Washington;young adult;naloxone (357-08-4, 465-65-6);Public Health, Social Medicine and Epidemiology (17);Drug Dependence, Alcohol Abuse and Alcoholism (40);Toxicology (52)</t>
  </si>
  <si>
    <t>Objective Responding to the nationwide opioid overdose epidemic, Washington State University initiated a naloxone safety net project intending to increase awareness of opioid overdose, increase the availability of naloxone, and examine university studentsÎ“Ã‡Ã– perceptions regarding the usefulness of a novel, large-group audience-training model. Setting A Washington State University campus. Practice description In September 2014, university students were recruited to attended a large-group audience training event which included opioid overdose prevention, recognition, and first response. All trained participants received an intranasal naloxone reversal kit. Practice innovation Student pharmacists, who previously received naloxone rescue training and overdose education from the pharmacist lead researcher, acted as trainers. The training consisted of a large-group audience delivery with small-group practice sessions facilitated by the student pharmacists. Evaluation Participants who attended the recruitment event completed a pre-training survey to assess knowledge and perceptions about opioid use disorder and overdose. The following week, participants attended the training event. Participants were asked to complete a post-training survey to evaluate the usefulness of the program. Results Forty-three percent of the participants (65/150) who attended the recruitment event reported knowing someone who used prescription opioids to get Î“Ã‡Â£high.Î“Ã‡Â¥ Seventy-four participants attended the training, and 92% of them (68/74) completed the post-training survey. The majority of respondents agreed that the training program met their expectations and the skills they learned could be used to intervene in an overdose situation. Conclusions Before training, survey responses from recruited participates indicated the need to discuss opioid use disorder among university students is important. Use of a training model involving large-group audiences followed by small-group practice sessions offers an acceptable educational solution regarding opioid overdose and prevention. Our experience suggests using this training model to educate university students to recognize and provide first response is a feasible and acceptable approach.</t>
  </si>
  <si>
    <t>(Panther S.G., shannon.panther@wsu.edu; Bray B.S.; White J.R.) Elsevier B.V., InfoCenter@aphanet.org; ID: 1823</t>
  </si>
  <si>
    <t>1544-3450 (electronic) 1544-3191</t>
  </si>
  <si>
    <t>http://www.ncbi.nlm.nih.gov/pubmed/28063773</t>
  </si>
  <si>
    <t>10.1016/j.japh.2016.11.002 FULL TEXT LINK http://dx.doi.org/10.1016/j.japh.2016.11.002</t>
  </si>
  <si>
    <t>The implementation of a naloxone rescue program in university students</t>
  </si>
  <si>
    <t>Pantsidis,G. M.;Papageorgiou,D. I.;Bouros,D.;Author,Addresses;Democritus University,of;Thrace,Greece;University,of Thessaly;Correspondence,Address;Bouros, Dept of Pneumonology University Hospital of Alexandroupolis,D.;Alexandroupolis,Greece Email bouros med duth gr</t>
  </si>
  <si>
    <t>Smoking habits, attitudes and training among medical students of the Democritus University of Thrace</t>
  </si>
  <si>
    <t>Pneumon</t>
  </si>
  <si>
    <t>April-June</t>
  </si>
  <si>
    <t>medical education;smoking habit;student attitude;adult;article;attitude to health;cigarette smoking;controlled study;curriculum development;environmental exposure;evaluation research;female;geographic distribution;Greece;human;male;medical school;passive smoking;questionnaire;sex difference;smoking cessation;tobacco;Public Health, Social Medicine and Epidemiology (17)</t>
  </si>
  <si>
    <t>Introduction Tobacco use continues to be the leading global cause of preventable death, contributing to the death of nearly 6 million people each year. Medical students, who are future doctors, have an important role to play in smoking cessation and prevention. The objective of this study was to estimate the prevalence of tobacco use among medical students of the Democritus University of Thrace Medical School, and to evaluate their smoking-related attitudes and the training in tobacco issues they receive during their studies at the University. Methodology This study was conducted from March to May 2011. The students were asked to complete a modified version of the Global Health Professional Students' Survey (GHPSS) questionnaire. The final study population consisted of 233 randomly selected students in the 1(st)-6(th) years of medical studies. Results Of the 233 students invited to participate, 229 submitted adequately completed questionnaires. Of this sample, 24% were smokers, 38.2% of whom had experimented with smoking at the age of 11-15 years. The banning of smoking in all enclosed public places was considered useful by 88.6%, with a statistically significant difference between smokers and non-smokers (65.5% vs. 96%, p&lt;0.001). Of the participants, 31% believed that slim/light and hand-rolled cigarettes are less harmful, and only 8.1% had been taught cessation techniques and 17.8% the reasons why people smoke. Conclusions The study shows that the prevalence of smoking among medical students in northern Greece is high compared with other countries. It is evident that the issue of tobacco use is not covered adequately and systematically by the Medical School curriculum.</t>
  </si>
  <si>
    <t>(Pantsidis G.-M.; Bouros D., bouros@med.duth.gr) (Papageorgiou D.-I.) Technogramma, 12 Markou Avgeri Str., Athens, Greece.; ID: 2562</t>
  </si>
  <si>
    <t>1105-848X</t>
  </si>
  <si>
    <t>2012414701 PUI L365250969</t>
  </si>
  <si>
    <t>Pantsidis,G. M.;Papageorgiou,D. I.;Bouros,D.;Author,Addresses;Faculty,of;Medicine,Democritus University of Thrace Alexandroupolis Greece;Faculty of Medicine, University of,Thessaly Larisa;Greece;Correspondence,Address;G-M Pantsidis, Faculty of Medicine Democritus University,of Thrace;Alexandroupolis,Greece Email george marios pantsidis gmail com</t>
  </si>
  <si>
    <t>Comparing smoking habits and tobacco-related education between Canadian and Greek medical students</t>
  </si>
  <si>
    <t>12 SUPPL. 1.</t>
  </si>
  <si>
    <t>water;diseases;education;Greece;human;medical student;prevention;smoking habit;society;tobacco;curriculum;health care personnel;medical school;patient;physician;prevalence;questionnaire;smoke;smoking;smoking cessation;student;tube;undergraduate student;university</t>
  </si>
  <si>
    <t>Background: According to a survey on Canadian medical students' smoking habits and beliefs, the key results show that the prevalence of smoking among the future healthcare professionals is high and they lack of tobacco-related education 1]. Last year a similar survey was conducted at Democritus University of Thrace 2]. Its findings show that there is difference in smoking habits between the two students' groups, but their tobacco-related education is equally poor. Materials and methods: In both researches participated undergraduate students who completed a questionnaire about their smoking habits, attitudes and education level towards tobacco cessation interventions. Results: The prevalence of cigarette smoking among Greek medical students is higher than the Canadians (24% vs. 3.3%). Although Canadian students smoke, also, other tobacco products (cigars, water pipe), the total prevalence is 15.3%. 65.5% of the Greek medical students report that they had ever tried cigarettes, but only 29.9% of the Canadian students make a same statement. Both students groups reported that they have moderate levels of education concerning tobacco-related subjects and cessation techniques. Only 8.1% of Greek and 10% of Canadian medical students report that they had ever received trainings in smoking cessation methods. Finally only a small percentage seems to be familiar with the cessation guidelines and only a few students are aware of the fact that they lack knowledge to help their patients cease smoking. Conclusions: The prevalence of cigarettes smoking among Greek medical students is significantly higher. Also the tobacco-related education in both countries is equally poor. It is desperately necessary to enhance the medical schools' curricula with courses regarding smoking issues, since future physicians have a key-role in tobacco cessation and prevention.</t>
  </si>
  <si>
    <t>(Pantsidis G.-M., george.marios.pantsidis@gmail.com; Bouros D.) (Papageorgiou D.-I.) 11th Annual Conference of the International Society for the Prevention of Tobacco Induced Diseases, ISPTID 2013 Athens, Greece 2013-12-09 to 2013-12-11 BioMed Central Ltd.; ID: 2219</t>
  </si>
  <si>
    <t>1617-9625</t>
  </si>
  <si>
    <t>Papazisis,G.;Platsa,C. M.;Zargani,S.;Spachos,D.;Apostolidou,E.;Kouvelas,D.;Author,Addresses;School;of Medicine Aristotle University,of Thessaloniki;Clinical;Pharmacology,Thessaloniki Greece;School of Medicine Aristotle,University of;Medical Physics,Thessaloniki Greece;Correspondence,Address;Papazisis, School of Medicine Aristotle University of Thessaloniki,G.;Pharmacology;Clinical Pharmacology,Thessaloniki Greece</t>
  </si>
  <si>
    <t>Prevalence of nonmedical prescription drug misuse in a sample of Greek medical students</t>
  </si>
  <si>
    <t>S351</t>
  </si>
  <si>
    <t>analgesic agent;antihistaminic agent;anxiolytic agent;central stimulant agent;codeine;opiate;prescription drug;college;drug misuse;Greece;human;medical student;prevalence;psychopharmacology;abuse;adolescent;adult;data analysis software;drug therapy;drug use;epidemic;epidemiology;female;lifespan;male;motivation;non implantable urine incontinence electrical stimulator;pain;prescription;risk;self care;sleep;statistical analysis;student;university;young adult</t>
  </si>
  <si>
    <t>Purpose: Nonmedical prescription drug misuse has risen to unprecedented levels over the past decade worldwide and is considered a national epidemic in the US. High rates are observed among young adults 18 to 25 years old and a widespread use is reported among students 1]. The misuse of opioid prescription painkillers is recognized as the main issue. In order to fully comprehend the risks associated with the misuse and the abuse of prescription medications it is necessary to understand the motivations of that use 2]. The aim of the present study was: (a) to examine the prevalence of nonmedical use of four classes of prescription drugs (pain, anxiety/sedative, sleeping and stimulants) among medical students in Greece and (b) to classify the misusers into three subtypes (selftreatment, recreational, and mixed) based on the motive of the use. To the best of our knowledge this is the first study ever conducted in Greece measuring nonmedical prescribing drug misuse. Methods: In this cross-sectional sample, 545 medical students from the Aristotle University of Thessaloniki in Greece completed an anonymous, self-administered, web-based survey. Misuse was assessed with the following question: 'On how many occasions in (a) your lifetime or (b) the past 12 months have you used the following types of drugs, not prescribed to you?' Motivations were assessed by asking respondents to provide the reasons why they used each class of prescription drugs nonmedically. Selftreatment subtypes were characterized by motives consistent with the drug's pharmaceutical main indication. Recreational subtypes were characterized by recreational motives only. Mixed subtypes consisted of the combination of motives. All statistical analyses were performed using SPSS 18.0. One-way analyses of variance were used to assess associations between subtypes and frequency of nonmedical prescription drug misuse. Results: Among the participants 44% were males and 56% were females. The sample was made up of 4% first-year, 14.7% second-year, 19.1% third-year, 21.5% fourth-year, 15.8 fifth-year, 15.2 sixth-year and 9.4% final year students. The life time prevalence of non-prescribed prescription drug use was: 21.4% for pain relievers, 9.2 for anxiolytics, 19.6% for sleeping drugs, and only 1.9% for stimulants. Past year prevalence was 17% for pain relievers, 6.7% for anxiolytics, 11.5% for sleeping drugs and 1.1% for stimulants. The substance most commonly abused was codeine analgesics, which was consumed by 15% of the students followed by antihistamines (13.6%). Among the misusers the majority was classified into the self-treatment subtype. Misuse of anxiolytics/sedatives and painkillers was more prevalent among women than men and was associated with self-treatment purposes. Conclusion: The results of the present study provide evidence that nonmedical prescription drug misuse is a growing problem in Greece. Although the prevalence of stimulants misuse was relative low, the lifetime and past-year prevalence for pain relievers and sleeping drugs was found noticeable high, especially considering that the participants were medical students. Therefore, there is an urgent need to intensify the research on the epidemiology of prescription drug misuse in nationally representative, independent samples of adolescents and adults in Greece.</t>
  </si>
  <si>
    <t>(Papazisis G.; Platsa C.M.; Zargani S.; Apostolidou E.; Kouvelas D.) (Spachos D.) 27th European College of Neuropsychopharmacology, ECNP Congress Berlin, Germany 2014-10-18 to 2014-10-21 Elsevier; ID: 2194</t>
  </si>
  <si>
    <t>Paradis,M.;Rouveix,E.;Berkane,K.;Dupont,C.;Consoli,S.;Author,Addresses;Ambroise,Pare Hospital;Addictology Unit,Boulogne France;European Georges,Pompidou Hospital;Unit,Paris France;Ambroise Pare Hospital, Department,of Internal;Medicine,Boulogne France;Paris Ouest University,of Medicine;Paris Descartes University,of Medicine;Correspondence,Address;Addictology Unit Boulogne France,M.Paradis, Ambroise Pare Hospital C.L.</t>
  </si>
  <si>
    <t>What are the links between consultation-liaison in psychiatry and addictology?</t>
  </si>
  <si>
    <t>(MAJOR FOCUS);alcohol;cannabis;consultation;liaison psychiatry;psychiatry;psychosomatics;questionnaire;addiction;alcohol consumption;anxiety;anxiety disorder;behavior disorder;chronicity;clinical study;comorbidity;depression;diseases;France;general hospital;hospital;Hospital Anxiety and Depression Scale;human;lifespan;medical service;mental disease;mood disorder;patient;physician;population;prognosis;psychosis;risk;screening;substance abuse;tobacco dependence</t>
  </si>
  <si>
    <t>Background: In France, both CL-psychiatry and CL-addictology facilities exist nowadays in several general hospitals. Comorbidity between mental and substance use disorders is associated with a worse prognosis and a higher risk of chronicity. Advantages and limits of such separate facilities are still debated. Methods: Sociodemographic and clinical data concerning 36 and 22 patients consecutively met in CL-psychiatry and CLaddictology practices during a 3-month period in the same hospital were compared. Additionally, patients were invited to fill out the Hospital Anxiety and Depression Scale, the Alcohol Use Disorder Identification Test (AUDIT), and the Fagersrtâ”œâ•¢m tobacco dependence questionnaire. Results: Given that CL-psychiatry patients were older (p=0.002), comparisons were adjusted for age. 100% of CLaddictology, but also 22% of CL-psychiatry patients had an alcohol-related problem. 41% of the first vs. 14% of the latter presented with cannabis consumption, and respectively 36% vs. 3% with other substances misuse. HAD-anxiety and AUDIT scores were higher in CL addictology patients (respectively p=0.006 and pb0.001). HAD-depression and Fagerstrâ”œâ•¢m scores were comparable across groups. The lifetime percentage of mood disorders, anxiety disorders and psychoses was similar in both populations (eg: one third of depressive disorders). Conclusion: Findings suggest the interest in systematically assessing the consumption of psychoactive substances among patients admitted in medical services with psychiatric disorders and, reciprocally, to adapt the care project to the presence of psychiatric comorbidity among substance abuse disordered patients. Training</t>
  </si>
  <si>
    <t>(Paradis M.; Rouveix E.; Berkane K.; Consoli S.) (Paradis M.; Consoli S.) (Rouveix E.; Dupont C.) (Rouveix E.) (Consoli S.) 14th Annual Meeting of the European Association for Consultation Liaison Psychiatry and Psychosomatics, EACLPP 2011 Budapest, Hungary 2011-06-30 to 2011-07-02 Elsevier Inc.; ID: 2676</t>
  </si>
  <si>
    <t>10.1016/j.jpsychores.2011.03.006 FULL TEXT LINK http://dx.doi.org/10.1016/j.jpsychores.2011.03.006</t>
  </si>
  <si>
    <t>Parikh,M. B.;Kulhalli,P.;Shweta,A. G.;Hiralal,B. D.;Author,Addresses;Correspondence,Address;MB Parikh, Email mananparikh,gmail com</t>
  </si>
  <si>
    <t>To study the influence of stress, obesity &amp; habits on body weight among medical UG students</t>
  </si>
  <si>
    <t>Australasian Medical Journal</t>
  </si>
  <si>
    <t>body weight;habit;human;India;medical student;obesity;student;addiction;boy;chi square test;community medicine;cross-sectional study;diet;drinking;exercise;female;girl;Indian;informed consent;male;medical education;medical school;questionnaire;risk factor;smoking;weight</t>
  </si>
  <si>
    <t>Introduction Obesity is emerging as a serious problem throughout the world, not sparing any age. Of the factors contributing to obesity, stress seems to be particularly important as it leads to irregularity in diet, lack of exercise and addiction. Medical education is a stressful course. It is seen that medical students undergo tremendous stress which along with bad dietary habits and addictions like smoking, drinking have serious effects on their body weight.Aims: 1.To assess the magnitude of stress in medical students. 2.To study the influence of obesity and habits on bodyweight of medical students. Materials and Methods A Cross sectional study was carried out in SDMCMSH, Dharwad. Data was collected on a pre-designed questionnaire among the students attending the medical school. Questionnaire: Part1 included assessing the stress levels using PSQ (perceived stress questionnaire). Part2 included risk factors leading to obesity. Students of all the Terms were included. The study was carried out for a period of 1 month. Incidence of Obesity was calculated using BMI. Significance of non-parametric factors influencing body weight, like diet, exercise and addiction was done by chi square test. Informed consent was taken from the study subjects and results were analysed. Results Our study consisted of 200 students (95girls and 105boys). It was found that there is direct correlation of stress with increase in academic year of study. Effect of Exercise on body weight was found to be statistically significant(p&lt;0.05). There is also significant statistical correlation between weight and BMI. Our study is in coherence with the study done by Sen Gupta and team(Indian Journal of Community Medicine JULY 2009) who also found a significant correlation between exercise and body Conclusions 1.Level of stress increased with increase in difficulty of academics in medical education. 2.Exercise, Smoking and BMI have significant effect on body weight.</t>
  </si>
  <si>
    <t>(Parikh M.B., mananparikh91@gmail.com; Kulhalli P., preetikulhalli@gmail.com; Shweta A.G., shweta.a.honey@gmail.com; Hiralal B.D., dhruv.baru@yahoo.com) 4th International Medical Students' Research Conference of the Forum for Medical Students' Research (India) Mumbai, India 2011-05-12 to 2011-05-14 Australasian Medical Journal Pty Ltd; ID: 2580</t>
  </si>
  <si>
    <t>1836-1935</t>
  </si>
  <si>
    <t>Parish,S. J.;Stein,M. R.;Hahn,S. R.;Goldberg,U.;Arnsten,J. H.;Author,Addresses;Albert;Einstein,College of;Correspondence,Address;SJ Parish, Albert Einstein College,of Medicine</t>
  </si>
  <si>
    <t>Assessing residents' skills in managing heroin addiction using objective structured clinical exams (OSCEs)</t>
  </si>
  <si>
    <t>diamorphine;opiate;heroin dependence;skill;communication skill;counseling;drug use;family medicine;harm reduction;health care quality;high risk behavior;injection;interpersonal communication;patient;substance abuse;weakness</t>
  </si>
  <si>
    <t>Objectives: Heroin addiction is a significant and challenging problem in medical settings. One set of objectives for our five station substance abuse OSCE for internal and family medicine residents was to teach about heroin addiction and identify the management of specific tasks that are most challenging. Program Description: In this OSCE, actors portrayed standardized patients (SPs) with various substance abuse disorders and readiness to change stages. The heroin addicted patient was a 23-year-old pre-contemplative injector in acute withdrawal. Station tasks were to diagnose and explain opioid withdrawal and counsel an active injection drug user. Faculty observers completed a 17- item instrument assessing three domains (six communication, six assessment, and three management items) and two global items (general organization and overall performance). All items were rated on four-point Likert scales. SPs commented on residents' strengths and areas needing improvement. Program Evaluation Outcome: From 2003-2006, 180 residents participated during PGY-3 ambulatory rotations. Residents performed better in communication (3.16 â”¬â–’ 0.48) than either assessment (2.77 â”¬â–’ 0.60) or management (2.55 â”¬â–’ 0.73) and better in assessment than management (p &lt; 0.001 for all comparisons). Residents' scores for assessing specific high risk behaviors were lower than the other five assessment items (p &lt; 0.01), and their scores for recommending appropriate treatment, including harm reduction, were lower than the two other management items (p &lt; 0.05). SPs' comments reflected the same weaknesses in assessment and management skills. Conclusions: Assessment and management of heroin addiction were more challenging for residents than general communication skills. Faculty and SP agreement about residents' needs to improve in discussing high risk behaviors and counseling about harm reduction identified these challenging skills as areas for curricular enhancement.</t>
  </si>
  <si>
    <t>(Parish S.J.; Stein M.R.; Hahn S.R.; Goldberg U.; Arnsten J.H.) 2007 AMERSA National Meeting Haworth Press Inc.; ID: 2911</t>
  </si>
  <si>
    <t>Park,S.;Kim,J.;Author,Addresses;College of,Nursing Science;Research Institute, Kyung Hee University Seoul,South Korea;Department of Nursing, Graduate School Kyung,Hee University;Seoul,South Korea;Correspondence,Address;Park, College of Nursing Science Kyung Hee University,S.;Kyunghee-daero,Dongdaemun</t>
  </si>
  <si>
    <t>Latent class analysis of substance use and predictors of latent class membership among adolescents in the Republic of Korea</t>
  </si>
  <si>
    <t>adolescent behavior;substance use;adolescent;alcohol consumption;article;cigarette smoking;depression;electronic cigarette;female;human;latent class analysis;major clinical study;male;priority journal;sex difference;social status;South Korea;suicidal ideation;unhappiness;Public Health, Social Medicine and Epidemiology (17);Drug Dependence, Alcohol Abuse and Alcoholism (40)</t>
  </si>
  <si>
    <t>Purpose: We aimed to investigate substance use patterns and identify predictors of homogeneous subgroups of adolescent substance users. Methods: We analyzed nationally representative secondary data collected from Korean adolescents (Nâ”¬Ã¡=â”¬Ã¡72,435). To investigate substance use patterns, we conducted latent class analysis using seven behaviors linked to alcohol, cigarette, and e-cigarette use. After choosing the best latent class model, we investigated predictors of latent class membership (LCM) for substance use, using demographics and mental health conditions. Results: A four-latent class model best fit the data. Non-users (74%) had low likelihoods of reporting lifetime and current use of alcohol, cigarette, and e-cigarette. Experimenters (10%) had high likelihoods of reporting lifetime alcohol and cigarette use. Current drinkers (10%) had high likelihoods of reporting lifetime and current alcohol use. Multi-substance users (6%) had high likelihoods of reporting lifetime and current use of alcohol and cigarettes, lifetime e-cigarette use, and current binge drinking. Additionally, demographics (gender, grades, socioeconomic status, co-residence with family members, and grade point average) and mental health conditions (depression, suicidal ideation, and subjective unhappiness) successfully predicted LCM. Conclusions: In developing interventions for addressing substance-related issues, health professionals should focus on adolescent substance use patterns and take into account factors predicting LCM.</t>
  </si>
  <si>
    <t>(Park S., spark@khu.ac.kr) (Kim J.) Taylor and Francis Ltd, healthcare.enquiries@informa.com; ID: 1747</t>
  </si>
  <si>
    <t>20170616614 PUI L618082063</t>
  </si>
  <si>
    <t>10.1080/14659891.2017.1333162 FULL TEXT LINK http://dx.doi.org/10.1080/14659891.2017.1333162</t>
  </si>
  <si>
    <t>Parker,M. A.;Anthony,J. C.;Author,Addresses;Department of,Epidemiology;Biostatistics,College of Human Medicine Michigan State University West;Fee Hall, Fee Road East Lansing,United States;Correspondence,Address;MA Parker, Vermont Center,on Behavior;Health,University of Vermont;South Prospect Street, Satc- U H C Burlington United,States Email;maria.parker@uvm.edu</t>
  </si>
  <si>
    <t>Population-level predictions from cannabis risk perceptions to active cannabis use prevalence in the United States, 1991Î“Ã‡Ã´2014</t>
  </si>
  <si>
    <t>(MAJOR FOCUS);cannabis;adolescent smoking;cannabis use;medical education;prevalence;risk assessment;adolescent;article;cohort analysis;controlled study;human;nonparametric test;population research;prediction;questionnaire;sample size;standardization;United States;cannabis (8001-45-4, 8063-14-7);Public Health, Social Medicine and Epidemiology (17)</t>
  </si>
  <si>
    <t>Introduction: A mosaic of evidence links risk perceptions with drug use in adolescence, including population summaries to guide public health campaigns, as well as subject-specific estimates on preventing an adolescent's drug use by manipulating that individual's prior risk perceptions. We re-visit these issues with a public health perspective, asking whether population-level cannabis risk perceptions of school-attending adolescents at one grade level might predict cannabis use prevalence two and four grade levels later. Methods: From 1991 to 2014, each year's United States Î“Ã‡Â£Monitoring the FutureÎ“Ã‡Â¥ (MTF) study population included 8th-, 10th-, &amp; 12th-graders. Two and four years later, statistically independent school samples of the same cohorts were drawn and assessed (n ~ 16,000/year). Population-level modeling estimated cannabis use prevalence at time Î“Ã‡Â£tÎ“Ã‡Â¥ (12th-grade) regressed on that same cohort's cannabis risk perceptions as had been measured at time Î“Ã‡Â£t-4Î“Ã‡Â¥ (8th-grade) and time Î“Ã‡Â£t-2Î“Ã‡Â¥ (10th-grade). Results: Higher cannabis risk perception levels for 10th-graders predict lower cannabis use prevalence when 10th-graders have become 12th-graders (â•¬â–“â• Ã©=Î“ÃªÃ†0.12), and higher cannabis risk perception levels of 8th-graders predict lower cannabis prevalence when 8th-graders have become 10th-graders (â•¬â–“â• Ã©=Î“ÃªÃ†0.27); p-values &lt; 0.05. Across four-year spans, the prediction is null (p-value = 0.619). Conclusions: This within-cohort across-grade population-level prediction prompts questions for drug prevention specialists, including Î“Ã‡Â£Would a relatively small upward shift in a local area population's appraisal of risk perceptions be followed, two years later, by reduced population prevalence of cannabis use?Î“Ã‡Â¥ Future randomized trial designs, health education, or prevention efforts focused on altering early adolescent cannabis risk perceptions might provide the most convincing and definitive evidence.</t>
  </si>
  <si>
    <t>(Parker M.A., maria.parker@uvm.edu; Anthony J.C.) Elsevier Ltd; ID: 1714</t>
  </si>
  <si>
    <t>1873-6327 (electronic) 0306-4603</t>
  </si>
  <si>
    <t>20180152989 PUI L620932745</t>
  </si>
  <si>
    <t>10.1016/j.addbeh.2018.02.030 FULL TEXT LINK http://dx.doi.org/10.1016/j.addbeh.2018.02.030</t>
  </si>
  <si>
    <t>Parker,R.;McCune,C. A.;Author,Addresses;Research,Nihr Centre for Liver;University of Birmingham, Birmingham,United Kingdom;Liver Unit,University Hospitals;Birmingham Nhs Foundation Trust, Birmingham,United Kingdom;Department of Liver Medicine, University Hospitals,Bristol N.;Foundation Trust,Bristol,United Kingdom;Correspondence,Address;Parker, Nihr Centre for Liver Research University of Birmingham,R.;Birmingham,United Kingdom Email richardparker nhs net</t>
  </si>
  <si>
    <t>Curriculum based clinical reviews: Diagnosis and treatment of alcoholic hepatitis</t>
  </si>
  <si>
    <t>Frontline Gastroenterology</t>
  </si>
  <si>
    <t>acetylcysteine (drug therapy);albumin (drug therapy);aminoglycoside antibiotic agent (drug therapy);basiliximab (drug therapy);benzodiazepine derivative (drug therapy);gentamicin (drug therapy);oxazepam (drug therapy);pentoxifylline (drug therapy);prednisolone (drug therapy);terlipressin (drug therapy);theophylline (drug therapy);thiamine (drug therapy);vancomycin (drug therapy);alcohol liver disease (drug therapy, diagnosis, drug therapy, epidemiology,;surgery);acute kidney failure (complication);age;alcohol abstinence;bleeding (complication);blood clotting disorder;cause of death;cell death;cholestasis;clinical assessment;clinical trial (topic);comorbidity;consensus;corticosteroid therapy;decompensated liver cirrhosis (complication);diagnostic accuracy;diet supplementation;discriminant analysis;disease severity;drug contraindication;Glasgow Alcoholic Hepatitis Score;hepatorenal syndrome (complication, drug therapy);human;hyperbilirubinemia;incidence;inflammation;inflammatory infiltrate;intensive care;jaundice;liver biopsy;liver cell damage;liver fibrosis;liver histology;liver parenchyma;liver transplantation;medical specialist;mitochondrion;mortality;neutrophilia;nutritional support;patient selection;practice guideline;priority journal;prothrombin time;review;scoring system;sepsis (drug therapy);steatosis;survival;survival time;treatment failure;uncertainty;United Kingdom;acetylcysteine (616-91-1);gentamicin (1392-48-9, 1403-66-3, 1405-41-0);oxazepam (604-75-1);pentoxifylline (6493-05-6);prednisolone (50-24-8);terlipressin (14636-12-5);theophylline (58-55-9, 5967-84-0, 8055-07-0, 8061-56-1, 99007-19-9);thiamine (59-43-8, 67-03-8);vancomycin (1404-90-6, 1404-93-9);General Pathology and Pathological Anatomy (5);Public Health, Social Medicine and Epidemiology (17);Drug Literature Index (37);Drug Dependence, Alcohol Abuse and Alcoholism (40);Gastroenterology (48)</t>
  </si>
  <si>
    <t>Alcoholic liver disease (ALD) is increasing in incidence in the UK. It is the commonest cause of liver-related deaths, predominantly in people below the age of 60. Alcoholic hepatitis (AH) is an acute form of ALD with high mortality when severe. Jaundice and coagulopathy are clinical hallmarks of severe AH. Histology findings are characterised by parenchymal inflammation and hepatocellular damage although biopsy is only required when diagnostic uncertainty exists; clinical findings are usually sufficient for accurate diagnosis. Patients with AH should be stratified as non-severe or severe using non-invasive scoring systems such as the discriminant function or the Glasgow Alcoholic Hepatitis Score. In patients with non-severe AH, abstinence is the mainstay of treatment, and it is important that steps are taken to help patients stop drinking. Severe AH requires specialist treatment. Consensus guidelines recommend the use of prednisolone although this remains subject to clinical trials. Pentoxifylline may have a survival benefit if corticosteroids are contraindicated. Nutritional support and N-acetylcysteine should be considered for use in conjunction with corticosteroids although evidence of benefit is not conclusive. Patients with severe disease who do not respond to therapy within a week have a very poor outcome. Recent data have shown a survival benefit of liver transplantation in this group although this remains experimental at present. Current and future research should focus on targeted therapies for severe AH and those who fail first-line treatment.</t>
  </si>
  <si>
    <t>(Parker R., richardparker@nhs.net) (McCune C.A.) BMJ Publishing Group, Tavistock Square, London, United Kingdom.; ID: 2246</t>
  </si>
  <si>
    <t>2041-4137 2041-4145 (electronic)</t>
  </si>
  <si>
    <t>2014198792 PUI L372647241</t>
  </si>
  <si>
    <t>10.1136/flgastro-2013-100373 FULL TEXT LINK http://dx.doi.org/10.1136/flgastro-2013-100373</t>
  </si>
  <si>
    <t>Parks,K. A.;Levonyan-Radloff,K.;Przybyla,S.;Hequembourg,A.;Author,Addresses;Research;Institute on Addictions, University at Buffalo Buffalo,United States;Correspondence,Address;KA Parks, Research Institute on Addictions University,at Buffalo;Buffalo,United States</t>
  </si>
  <si>
    <t>College student opinions about the use of non-medical prescription drugs</t>
  </si>
  <si>
    <t>e62</t>
  </si>
  <si>
    <t>e63</t>
  </si>
  <si>
    <t>(MAJOR FOCUS);prescription drug;alcohol;benzodiazepine derivative;central stimulant agent;illicit drug;lysergide;college;college student;drug dependence;human;addiction;Caucasian;Hispanic;information processing;intoxication;male;multiple drug abuse;student</t>
  </si>
  <si>
    <t>Aims: The use of NMPDs has risen among college students over the past 20 years. The aims of the study were to determine college student perceptions of: (1) the common types of NMPDs being used; (2) the reasons for use of NMPDs; and (3) the positive and negative consequences associated with NMPD use. Methods: We conducted 8 focus group discussions with 61 students, who reported current NMPD use (i.e., past 3 months). The average age of the participants was 20 (SD = 1.6). The majority were male (64%), Caucasian (80%), and not Hispanic (81%). Nearly half (49%) were freshman or sophomores, and 46% lived on-campus. Results: These students reported using several NMPDs (Median = 2, Mode= 3), and an average of 2.4 (SD = 1.2) other illicit drugs. Students reported stimulants, benzodiazepines, and opioids as the three most popular NMPDs used by college students. They indicated that stimulants were the most popular, least expensive, and easiest to obtain on campus, followed by benzodiazepines. Opioids were less popular, more dangerous because of their addiction potential, more difficult to find on campus, and far more expensive. They indicated primarily utilitarian reasons for using stimulants. These included: studying, getting more done, organizing and improving grades. They rarely reported using stimulants to get high, but did indicate using stimulants to drink longer or larger amounts. Benzodiazepines were used to come down from other drugs (e.g., stimulant crash, bad LSD trip), mellow out, or in combination with alcohol (e.g., intentional black out, increase intoxication). Opioids were described primarily for recreational use and as the best feeling the individual had ever experienced. Students indicated both positive and negative consequences associated with each NMPD. However, when asked why they continued to use NMPDs, they indicated that the positives far outweighed the negatives. Conclusions: This study suggests that among those students currently using NMPDs, polydrug use is common and combined use of alcohol and NMPDs is of substantial concern.</t>
  </si>
  <si>
    <t>(Parks K.A.; Levonyan-Radloff K.; Przybyla S.; Hequembourg A.) 2014 Annual Meeting of the College on Problems of Drug Dependence San Juan, Puerto Rico 2014-06-14 to 2014-06-19 Elsevier Ireland Ltd; ID: 2164</t>
  </si>
  <si>
    <t>10.1016/j.drugalcdep.2014.09.539 FULL TEXT LINK http://dx.doi.org/10.1016/j.drugalcdep.2014.09.539</t>
  </si>
  <si>
    <t>Parolaro,D.;Vigano,D.;Realini,N.;Rubino,T.;Author,Addresses;Neuroscience Center, Dbsf University of Insubria via,A.da Giussano;Italy,Busto Arsizio V. A.;Correspondence,Address;da,D.Parolaro, Neuroscience Center Dbsf University of Insubria via A.;Giussano,Busto Arsizio V. A. Italy Email;daniela.parolaro@uninsubria.it</t>
  </si>
  <si>
    <t>Role of endocannabinoids in regulating drug dependence</t>
  </si>
  <si>
    <t>Neuropsychiatric Disease and Treatment</t>
  </si>
  <si>
    <t>(MAJOR FOCUS);endocannabinoid (endogenous compound);1 (2,4 dichlorophenyl) 5 (4 iodophenyl) 4 methyl n (1 piperidyl) 1h pyrazole;3 carboxamide (pharmacology);2,3 dihydro 5 methyl 3 (morpholinomethyl) 6 (1 naphthoyl)pyrrolo1,2,3;de]1,4]benzoxazine (pharmacology);4 (1,1 dimethylheptyl) 1',2',3',4',5',6' hexahydro 2,3' dihydroxy 6' (3;hydroxypropyl)biphenyl (pharmacology);alcohol;cannabinoid 1 receptor (endogenous compound);cannabinoid 1 receptor agonist (pharmacology);cannabinoid 1 receptor antagonist (clinical trial, drug therapy,;pharmacology);cannabinoid 2 receptor (endogenous compound);cannabinoid receptor agonist (pharmacology);cannabinoid receptor antagonist (clinical trial, drug therapy, pharmacology);cannabis;cocaine;cyclohexylcarbamic acid 3' carbamoylbiphenyl 3 yl ester (pharmacology);dexanabinol (pharmacology);diamorphine;dronabinol (pharmacology);illicit drug;methadone;methamphetamine;morphine;naloxone;nicotine;opiate;opiate antagonist (pharmacology);placebo;psychostimulant agent;rimonabant (adverse drug reaction, clinical trial, drug dose, drug therapy,;surinabant (pharmacology);unindexed drug;drug dependence (drug therapy, prevention);alcoholism (drug therapy, prevention);basal ganglion;body weight gain;clinical protocol;clinical trial;drinking behavior;drug detoxification;drug efficacy;drug exposure;drug mechanism;drug self administration;drug withdrawal;experimental model;human;limbic system;nerve cell plasticity;nonhuman;opiate addiction (drug therapy);protein degradation;protein synthesis;receptor blocking;receptor intrinsic activity;relapse;review;side effect (side effect);signal transduction;smoking cessation;DRUG TRADE NAMES;am 251;cp 55940;hu 210;sr 141716a;sr 147778;urb 597;win 55212 2;3 carboxamide (183232-66-8);de]1,4]benzoxazine (134959-51-6);hydroxypropyl)biphenyl (83003-12-7);alcohol (64-17-5);cannabis (8001-45-4, 8063-14-7);cocaine (50-36-2, 53-21-4, 5937-29-1);dexanabinol (112924-45-5);diamorphine (1502-95-0, 561-27-3);dronabinol (7663-50-5);methadone (1095-90-5, 125-56-4, 23142-53-2, 297-88-1, 76-99-3);methamphetamine (28297-73-6, 51-57-0, 537-46-2, 7632-10-2);morphine (52-26-6, 57-27-2);naloxone (357-08-4, 465-65-6);nicotine (54-11-5);opiate (53663-61-9, 8002-76-4, 8008-60-4);rimonabant (158681-13-1, 168273-06-1);Neurology and Neurosurgery (8);Clinical and Experimental Biochemistry (29);Clinical and Experimental Pharmacology (30);Drug Literature Index (37);Adverse Reactions Titles (38);Drug Dependence, Alcohol Abuse and Alcoholism (40)</t>
  </si>
  <si>
    <t>This review will discuss the latest knowledge of how the endocannabinoid system might be involved in treating addiction to the most common illicit drugs. Experimental models are providing increasing evidence for the pharmacological management of endocannabinoid signaling not only to block the direct reinforcing effects of cannabis, opioids, nicotine and ethanol, but also for preventing relapse to the various drugs of abuse, including opioids, cocaine, nicotine, alcohol and metamphetamine. Preclinical and clinical studies suggest that the endocannabinoid system can be manipulated by the CBI receptor antagonist SR141716A, that might constitute a new generation of compounds for treating addiction across different classes of abused drugs. â”¬âŒ 2007 Dove Medical Press Limited. All rights reserved.</t>
  </si>
  <si>
    <t>(Parolaro D., daniela.parolaro@uninsubria.it; Vigano' D.; Realini N.; Rubino T.) DOVE Medical Press Ltd., PO Box 300-008, Albany, Auckland, New Zealand.; ID: 3018</t>
  </si>
  <si>
    <t>1176-6328</t>
  </si>
  <si>
    <t>2008025680 PUI L351082745</t>
  </si>
  <si>
    <t>Patel,D. R.;Greydanus,D. E.;Author,Addresses;Department,of Pediatrics;University,Kalamazoo Center for Medical Studies Oakland Drive;Kalamazoo,M. I. U.;Correspondence,Address;DE Greydanus, Department of Pediatrics Michigan,State University;Kalamazoo Center for Medical Studies, Oakland Drive,Kalamazoo M.;States,United</t>
  </si>
  <si>
    <t>Homeless adolescents in the United States: An overview for pediatricians</t>
  </si>
  <si>
    <t>International Pediatrics</t>
  </si>
  <si>
    <t>clinical practice;homelessness;pediatrician;adolescence;education;environmental exposure;family;government;health care access;health care delivery;high risk population;human;population structure;psychological aspect;psychosocial environment;review;runaway reaction;sexual abuse;sexual behavior;United States;violence;Public Health, Social Medicine and Epidemiology (17);Psychiatry (32);Health Policy, Economics and Management (36);Pediatrics and Pediatric Surgery (7)</t>
  </si>
  <si>
    <t>An estimated 100 million children and adolescents are homeless in the world; about half of these are in the Western hemisphere. In the United States most homeless youth are adolescents who run away from home. Current estimates suggest that there are between 1.3 and 1.5 million runaway and homeless adolescents at any given time in the United States. Families with children are the fastest growing segment of the homeless population. Family conflicts and physical as well as sexual abuse are major precipitants for those who run away from home. These adolescents are at high risk for developmental, medical, and psychosocial problems. They tend to have a higher prevalence of medical problems and mental disorders. The major psychosocial problems they face include lack of education, involvement in criminal activities, exposure to violence, substance abuse, and sexual activity. There are many successful models of providing health care to street youth. Although homelessness is a larger societal problem, pediatricians can play an important role in various aspects of health care for these disadvantaged youth.</t>
  </si>
  <si>
    <t>(Patel D.R.; Greydanus D.E.); ID: 3328</t>
  </si>
  <si>
    <t>0885-6265</t>
  </si>
  <si>
    <t>2002201424 PUI L34601925</t>
  </si>
  <si>
    <t>Pavuk,A.;Kuchta,M.;Author,Addresses;Nespora,Presov Slovakia,M.;Correspondence,Address;Nespora Presov Slovakia,A. Pavuk, M.</t>
  </si>
  <si>
    <t>Smoking habits, knowledge on health adverse effects of smoking and attitudes to anti-smoking activities in students of the Medical Faculty of UPJS in Kosice ORIGINAL (NON-ENGLISH) TITLE FAJCIARSKE NAVYKY, VEDOMOSTI O ZDRAVOTNYCH NASLEDKOCH FAJCENIA A POSTOJE K PROTIFAJCIARSKYM AKTIVITAM U STUDENTOV LEKARSKEJ FAKULTY UPJS V KOSICIACH</t>
  </si>
  <si>
    <t>Studia Pneumologica et Phtiseologica</t>
  </si>
  <si>
    <t>attitude;health education;medical student;smoking;adult;article;female;human;male;normal human;questionnaire;Public Health, Social Medicine and Epidemiology (17)</t>
  </si>
  <si>
    <t>According to the WHO questionnaire authors investigated in the school year 1995/1996 446 students of the 1st, 4th and 5th study year of the Medical Faculty of UPJS in Kosice. The group consisted from 168 males (37.6 %) and 278 females (62.4 %). The global occurrence of smoking among students was 33.9 % in males and 18.3 % in females. Daily smokers were 12.5 % of males and 3.9 % of females. Occasional male smokers were 21.9 % and female smokers 14.3 %. In global, 7.1 % of students smoked daily and 17.0 % occasionally. There were 24.2 % of smokers in the whole group. Authors found a considerable underestimation of the pathogenic role of smoking in the number of acquired diseases by students. Education led to desirable attitudes of medical students to anti-smoking activities. Authors found the greatest part of disagreement with the recommendation of increase of the cigarette price and of ban of advertisement. Their kowledge about smoking was considered as satisfactory by 44.8 % of students of the 1st study year and 66.4 % of students of the 5th study year.</t>
  </si>
  <si>
    <t>(Pavuk A.; Kuchta M.); ID: 3501</t>
  </si>
  <si>
    <t>0371-2222</t>
  </si>
  <si>
    <t>1996367575 PUI L26402724</t>
  </si>
  <si>
    <t>Smoking habits, knowledge on health adverse effects of smoking and attitudes to anti-smoking activities in students of the Medical Faculty of UPJS in Kosice ORIGINAL (NON-ENGLISH) TITLE FAJCIARSKE NAVYKY, VEDOMOSTI O ZDRAVOTNYCH NASLEDKOCH FAJCE(TRUNCATED)</t>
  </si>
  <si>
    <t>Payne,J.;France,K.;Henley,N.;D'Antoine,H.;Bartu,A.;O'Leary,C.;Elliott,E.;Bower,C.;Author,Addresses;Telethon Institute for Child Health Research, University,of Western;Australia,Subiaco W. A. Australia;Centre for Applied Social,Marketing Research;University,Joondalup W. A. Australia;School of,Nursing;Midwifery,Curtin Innovation Research;Institute,Curtin University of Technology Bentley W.A.Australia;Discipline of,Paediatrics;Child Health,Sydney Medical;School,University of Sydney Sydney N.S.W.Australia;Correspondence,Address;Payne, Telethon Institute for Child Health Research Centre for Child,J.;Health Research, University of Western Australia P O Box West,Perth W.;au,Australia Email janp ichr uwa edu</t>
  </si>
  <si>
    <t>21649674; Changes in health professionals' knowledge, attitudes and practice following provision of educational resources about prevention of prenatal alcohol exposure and fetal alcohol spectrum disorder</t>
  </si>
  <si>
    <t>Paediatric and perinatal epidemiology</t>
  </si>
  <si>
    <t>Paediatr.Perinat.Epidemiol.</t>
  </si>
  <si>
    <t>alcohol;alcohol consumption;attitude to health;fetal alcohol syndrome (prevention);health practitioner;medical practice;prenatal alcohol exposure (prevention);adult;article;controlled study;female;general practitioner;health care personnel;health survey;human;male;normal human;nurse;paramedical personnel;pregnancy;pregnant woman;prevalence;alcohol (64-17-5);Pediatrics and Pediatric Surgery (7);Obstetrics and Gynecology (10);Public Health, Social Medicine and Epidemiology (17);Drug Dependence, Alcohol Abuse and Alcoholism (40)</t>
  </si>
  <si>
    <t>We provided health professionals in Western Australia (WA) with educational resources about prevention of prenatal alcohol exposure and fetal alcohol spectrum disorder and assessed changes in their knowledge, attitudes and practice concerning fetal alcohol syndrome (FAS) and alcohol consumption in pregnancy. Following our 2002 survey of health professionals in WA, we developed and distributed educational resources to 3348 health professionals in WA in 2007. Six months later we surveyed 1483 of these health professionals. Prevalence rate ratios PRR] and 95% confidence intervals CI] were calculated to compare 2007 results with results from the 2002 survey. Of the 1001 responding health professionals, 69.8% had seen the educational resources; of these 77.1% have used them and 48.5% said the resources had assisted them to change their practice or their intention to change their practice. Compared with 2002, there was an increase in the proportion who knew all the essential features of FAS from 11.7% to 15.8% PRR 1.35; 95% CI 1.09, 1.67] and had diagnosed FAS, from 4.8% to 7.3% PRR 1.52; 95% CI 1.08, 2.13]. In 2007, 98.1% of health professionals stated they would advise pregnant women to consider not drinking at all or advise them that no alcohol in pregnancy is the safest choice. Health professionals surveyed in 2007 have increased their knowledge, changed their attitudes and practice about FAS, and altered the advice they give to pregnant women about alcohol consumption since our survey in 2002. It is essential that we build on this change and continue to support health professionals' knowledge, attitudes and practice about the prevention of prenatal alcohol exposure and fetal alcohol spectrum disorder. The educational resources for health professionals may be ordered as hard copies and downloaded from the internet http://www.ichr.uwa.edu.au/alcoholandpregnancy. â”¬âŒ 2011 Blackwell Publishing Ltd.</t>
  </si>
  <si>
    <t>(Payne J., janp@ichr.uwa.edu.au; France K.; D'Antoine H.; O'Leary C.; Bower C.) (Henley N.) (Bartu A.) (Elliott E.) Blackwell Publishing Ltd, 9600 Garsington Road, Oxford, United Kingdom.; ID: 2667</t>
  </si>
  <si>
    <t>0269-5022 1365-3016 (electronic)</t>
  </si>
  <si>
    <t>http://www.ncbi.nlm.nih.gov/pubmed/21649674</t>
  </si>
  <si>
    <t>10.1111/j.1365-3016.2011.01197.x FULL TEXT LINK http://dx.doi.org/10.1111/j.1365-3016.2011.01197.x</t>
  </si>
  <si>
    <t>Changes in health professionals' knowledge, attitudes and practice following provision of educational resources about prevention of prenatal alcohol exposure and fetal alcohol spectrum disorder</t>
  </si>
  <si>
    <t>Peck,E.;Godino,A.;Mervosh,N.;Calipari,E.;Kiraly,D.;Author,Addresses;Icahn School,of;Medicine at Mount Sinai, New York,United States;Correspondence,Address;Kiraly, Icahn School of Medicine at Mount Sinai New York United States,D.</t>
  </si>
  <si>
    <t>The gut microbiome modulates motivational properties of self-administered cocaine</t>
  </si>
  <si>
    <t>43 Supplement 1</t>
  </si>
  <si>
    <t>S264</t>
  </si>
  <si>
    <t>S265</t>
  </si>
  <si>
    <t>(MAJOR FOCUS);cocaine;bacitracin;brain derived neurotrophic factor;dopamine;dopamine 1 receptor;drinking water;endogenous compound;vancomycin;drug self administration;gastrointestinal tract;inflammation;microbiome;adult;animal experiment;animal model;behavioral economics;cocaine dependence;drug seeking behavior;female;flora;follow up;infusion;intravenous catheter;jugular vein;male;morbidity;mouse;nonhuman;nucleus accumbens;place preference;rat;reinforcement;reward;sensitization;signal transduction;Sprague Dawley rat;bacitracin (1405-87-4);brain derived neurotrophic factor (218441-99-7);cocaine (50-36-2, 53-21-4, 5937-29-1);dopamine (51-61-6, 62-31-7);vancomycin (1404-90-6, 1404-93-9)</t>
  </si>
  <si>
    <t>Background: The resident bacteria of the gastrointestinal tract, collectively dubbed the gut microbiome, have been shown to have profound effects on both brain and behavior. The microbiome and its metabolites affect neuronal architecture, microglial responsiveness, function of the blood brain barrier, and many other aspects of brain function. To date, the majority of research into the effects of the microbiome in neuropsychiatric pathology has focused on affective and neurodegenerative disorders. However, our group recently demonstrated that altering the gut microbiome has a marked effect on behavioral and neurobiological responses to cocaine. Animals with depleted gut flora exhibited increased locomotor sensitization and a lower threshold for conditioned place preference for cocaine. Additionally, these mice had altered regulation of the genes encoding brain-derived neurotrophic factor, the D1 dopamine receptor, and other important regulators of behavioral response to cocaine. These data suggest the possibility that targeted manipulations of the endogenous gut flora, may be able to affect the course of addiction behavior in patients with cocaine use disorder - a recalcitrant condition with significant morbidity for which there are no currently available pharmacotherapies. Methods: To knock down the gut microbiome, Sprague- Dawley rats were given a cocktail of non-absorbable broadspectrum antibiotics (Neomycin 2 mg/ml, Bacitracin 0.5 mg/ ml, Vancomycin 0.4 mg/ml) via their drinking water for two weeks prior to any experimental manipulation. Rats were then implanted with indwelling jugular venous catheters, and trained to self-administer cocaine (0.8 mg/kg/infusion) on an FR1 schedule until they were stably responding. We then assessed drug seeking and intake utilizing a behavioral economics threshold task in which the Î“Ã‡Â£priceÎ“Ã‡Â¥ (lever presses/ mg cocaine) is slowly increased throughout the session. After completing this task, the animals were returned to FR1 responding for several days before going through five days of extinction training in which lever presses were not associated with any drug reward. Once responding was extinguished, animals were returned to their home cage for ten days to allow for incubation of cocaine craving. Following this incubation, animals were returned to test boxes and underwent either cue or cocaine-induced reinstatement of drug seeking. Following this final behavioral analysis, brains were dissected and processed for analysis of both protein and gene expression changes. Results: While control and antibiotic-treated animals showed no differences in FR1 acquisition of cocaine administration, animals with depleted gut flora showed significantly enhanced responding for cocaine particularly at low levels of reinforcement. When the rats were subsequently put through an extinction task, the antibiotic-treated animals showed a more rapid extinction of drug seeking behaviors - most pronounced in the first two days of the task. After a period of incubation in the home cage, reinstatement of cocaine-seeking behavior was assessed. Interestingly, the antibiotic-treated animals showed a significant increase in cocaine but not cue-induced reinstatement of cocaine seeking. Ongoing molecular analyses have demonstrated alterations in activation of key dopamine-responsive signaling pathways in the nucleus accumbens of antibiotic- treated animals following final cocaine-induced reinstatement. Conclusions: These experiments demonstrate that manipulations of the gut microbiome significantly affect drug intake and seeking in a translationally-relevant animal model of drug addiction. Interestingly, depletion of gut flora affected all phases of the behavioral response. Additionally, molecular analyses suggest that changes in key molecular signaling pathways are altered in a manner that correlates with these behaviors. While these findings are still preliminary and will require considerably more follow-up and mechanistic insight, they do suggest that targeting the gut microbiome may represent a tractable therapeutic strategy for altering the course of substance use disorders in human patients.</t>
  </si>
  <si>
    <t>(Peck E.; Godino A.; Mervosh N.; Calipari E.; Kiraly D.) 56th Annual Meeting of the American College of Neuropsychopharmacology, ACNP 2017 Palm Springs, CA, United States 2017-12-03 to 2017-12-07 Nature Publishing Group; ID: 1763</t>
  </si>
  <si>
    <t>1740-634X</t>
  </si>
  <si>
    <t>10.1038/npp.2017.264 FULL TEXT LINK http://dx.doi.org/10.1038/npp.2017.264</t>
  </si>
  <si>
    <t>Peixoto,A. L. A.;Vieira,M. D. L. F.;Costa,A. C. S.;Freitas,D. A.;Author,Addresses;Faculdade de Medicina da Universidade,Federal de;Av Lourival Melo Mota s/n, Tabuleiro dos,Martins Macei;Associada 2 da Faculdade de,Medicina da;Associado 1 da Faculdade,de Economia;Contabilidade Da-Ufal,Brazil;Adjunto da Faculdade de Medicina,da Ufal;Correspondence,Address;ALA Peixoto, Faculdade de Medicina da Universidade Federal,de Alagoas;Av Lourival Melo Mota s/n, Tabuleiro dos,Martins Macei</t>
  </si>
  <si>
    <t>Chemical dependence on crack: Experiences and perceptions of internship students of a medical school ORIGINAL (NON-ENGLISH) TITLE Dependâ”œÂ¬ncia quâ”œÂ¡mica pelo crack: vivâ”œÂ¬ncias e percepâ”œÂºâ”œâ•¡es dos discentes do internato de um curso medico</t>
  </si>
  <si>
    <t>Medicina</t>
  </si>
  <si>
    <t>(2016) 49</t>
  </si>
  <si>
    <t>(MAJOR FOCUS);cocaine;cocaine dependence;personal experience;student attitude;adaptive behavior;antisocial behavior;article;behavior disorder;body weight loss;compassion;content analysis;cross-sectional study;economic aspect;emotion;emotion assessment;existential damage;family conflict;human;information processing;learning;medical education;medical school;physical disease;qualitative research;self destruction;semi structured interview;social acceptance;social problem;violence;cocaine (50-36-2, 53-21-4, 5937-29-1);Public Health, Social Medicine and Epidemiology (17)</t>
  </si>
  <si>
    <t>Study design: Cross-sectional and qualitative study. Objectives: This study investigates experiences and identifies the perceptions of ninth-term intern medical students of a public university on the crack addiction issue. Methods: A qualitative-approach and cross-sectional study which had as the research tool a semi-structured, individual interview allowing broad speech of students. Recording reports were Classitranscribed and content analysis carried out according to Bardin. Results: categories were identified concerning the feeling of experience, the students' perception on crack addiction and their learning on the subject, physical impairments and additional damages, besides how society should deal with the addiction on crack. The feelings of compassion and preservation are present in their experiences. Students point out economic, professional and family issues as the sources of serious crack addiction consequences. They also take into account the social and existential damages, the self-destruction, violence and weight loss caused on crack users, as well as the codependency. There is a great concern on the part of students related to prevention, education, information, elimination of prejudice, as well as demands of government efforts to combat crack. Conclusion: The intern medical students consider crack addiction both a social problem and a disease; define learning about addiction by crack insufficient throughout the course. Their experiences and perceptions generate positive impacts since they prospect better prepared graduates who shall receive the one addicted and his family in a broader, more effective and humane way.</t>
  </si>
  <si>
    <t>(Peixoto A.L.A.) (Vieira M.D.L.F.) (Costa A.C.S.) (Freitas D.A.) Faculdade de Medicina de Ribeirao Preto - U.S.P.; ID: 2007</t>
  </si>
  <si>
    <t>2176-7262 (electronic) 0076-6046</t>
  </si>
  <si>
    <t>20160565636 PUI L611446453</t>
  </si>
  <si>
    <t>Peleg,A.;Peleg,R.;Shvartzman,P.;Author,Addresses;Health,Promotion;Disease,Prevention;Unit,Dept of Family Medicine Faculty of Health Sciences Ben-Gurion;University of,the Negev;Correspondence,Address;Peleg,Health Promotion,A.;Disease Prevention Unit, Dept,of Family;Medicine,Faculty of Health Sciences Ben-Gurion University of the Negev;Beer,Sheba</t>
  </si>
  <si>
    <t>12415969; Knowledge, attitudes and training of family physicians with regard to addiction to illicit drugs</t>
  </si>
  <si>
    <t>Harefuah</t>
  </si>
  <si>
    <t>281, 351</t>
  </si>
  <si>
    <t>(MAJOR FOCUS);street drug;addiction (epidemiology);attitude to health;general practitioner;article;human;medical education;questionnaire</t>
  </si>
  <si>
    <t>Substance abuse is one of the most serious problems in Israel. Recent studies show the situation is getting worse. The deleterious outcomes of psychoactive substance abuse include crime, car accidents, physical and mental illness, violence and work injuries. 48 family physicians in the Negev completed a questionnaire which included training, diagnostic and treatment skills, attitudes, knowledge and need for training in this field. 38 family physicians (81%) had had no training, most (96%) indicated the importance of such training. 34 (71%) said that their medical skills could not cope with the problems of addiction, and 29 (64.5%) claimed that the quality of care of addict patients is reduced because of lack of knowledge and diagnostic skills. These findings support the conclusion that efforts should be invested in training family physicians in the field of psychoactive drugs, licit and illicit.</t>
  </si>
  <si>
    <t>(Peleg A.; Peleg R.; Shvartzman P.); ID: 3405</t>
  </si>
  <si>
    <t>0017-7768</t>
  </si>
  <si>
    <t>Hebrew</t>
  </si>
  <si>
    <t>http://www.ncbi.nlm.nih.gov/pubmed/12415969</t>
  </si>
  <si>
    <t>Knowledge, attitudes and training of family physicians with regard to addiction to illicit drugs</t>
  </si>
  <si>
    <t>Pemovska,T.;Yadav,B.;Karjalainen,R.;Kulesskiy,E.;Kontro,M.;Majumder,M. M.;Turunen,L.;Lindenschmidt,I.;Lehto,A.;Knowles,J.;Heckman,C.;Porkka,K.;Aittokallio,T.;Kallioniemi,O.;Wennerberg,K.;Author,Addresses;Institute for,Molecular Medicine;Finland,Helsinki;Hematology Research Unit, Helsinki,University Central;Hospital,Helsinki Finland;Correspondence,Address;Pemovska, Institute for Molecular Medicine Finland Helsinki,T.;Finland</t>
  </si>
  <si>
    <t>Functional drug sensitivity and resistance profiling of AML patient cells defines a disease-specific combination of druggable signal addictions</t>
  </si>
  <si>
    <t>73:8 SUPPL. 1.</t>
  </si>
  <si>
    <t>biological marker;carcinogen;dasatinib;Janus kinase inhibitor;mammalian target of rapamycin inhibitor;marker;mitogen activated protein kinase inhibitor;addiction;cancer research;drug sensitivity;human;patient;acute myeloid leukemia;dose response;drug development;drug response;ex vivo study;neoplasm;oncology;personalized medicine;therapy</t>
  </si>
  <si>
    <t>Numerous underlying molecular events have been described in acute myeloid leukemia (AML), but still, the fundamental disease mechanisms are poorly understood. Several targeted therapies have been investigated for improved AML therapy but have not succeeded to date, likely due to the inability to identify the patient subgroups that are most likely to benefit. Here, we describe functional profiling of AML patient cells ex vivo with a drug sensitivity and resistance (DSRT) platform in order to distinguish disease- and patient-specific molecular vulnerabilities and individualized therapeutic strategies. The oncology drug collection covers 306 anti-cancer agents including 131 approved, 107 investigational and 68 experimental compounds. Each compound is tested in a dose response series allowing for calculation of drug sensitivity scores. The functional exploration of AML patient samples was accompanied with comprehensive molecular profiling and clinical background data to link drug sensitivities to molecular aberrations and predictive biomarkers. Comparison of the drug sensitivity profiles of 24 AML patient and 5 control samples revealed that targeted inhibitors often exhibit no to little effect in the controls and the majority of AML patient samples with only a subset of patients showing very selective responses, indicating that cancer specific vulnerabilities can be detected with the DSRT platform. Clustering of the drug responses among patient and control samples identified distinct subgroups of patients and drugs. Each of these groups could be defined by a separate drug class, implying that the linked samples were addicted to the corresponding signaling networks. Specifically, we saw select addictions to drug classes such as dasatinib/VEGFR TKIs, MEK inhibitors, rapalogs, JAK inhibitors, mTOR inhibitors in 6 (25 %), 5 (21%), 5 (21%), 5 (21%), and 6 (25%) of the patients, respectively. Together, these sensitivities highlight a set of disease-specific and individualized signaling nodes that can serve as starting points for personalized combination therapy strategies in AML. Further, integration of DSRT results with molecular and clinical profiling link some of the selective drug responses to clinically actionable markers. For example, dasatinib sensitivity was found to be predominant in AML M5 patients, suggesting that this drug is a promising therapeutic candidate for relapsed and refractory AML M5 patients. In conclusion, the DSRT platform can be used as a functional interrogation of patient cells leading to the identification of druggable vulnerabilities that can be used for personalized medicine strategies. Furthermore, insight into disease-specific signal addictions and establishment of how these are linked can aid in deconvoluting the complex molecular disease mechanisms of cancers and generate strategies for novel drug development.</t>
  </si>
  <si>
    <t>(Pemovska T.; Yadav B.; Karjalainen R.; Kulesskiy E.; Majumder M.M.; Turunen L.; Lindenschmidt I.; Lehto A.; Knowles J.; Heckman C.; Aittokallio T.; Kallioniemi O.; Wennerberg K.) (FIMM) (Kontro M.; Porkka K.) 104th Annual Meeting of the American Association for Cancer Research, AACR 2013 Washington, DC, United States 2013-04-06 to 2013-04-10 American Association for Cancer Research Inc.; ID: 2413</t>
  </si>
  <si>
    <t>10.1158/1538-7445.AM2013-5588 FULL TEXT LINK http://dx.doi.org/10.1158/1538-7445.AM2013-5588</t>
  </si>
  <si>
    <t>Peppin,J. F.;Kirsh,K.;Porada,S.;Cole,B. E.;Author,Addresses;Pain Treatment,Center of;Bluegrass,Lexington United States;Aventine HealthSciences,Montclair,United States;Correspondence,Address;JF Peppin, Pain Treatment Center of the Bluegrass,Lexington United;States Email,johnpeppin,msn com</t>
  </si>
  <si>
    <t>Stakeholders views on abuse and diversion in kentucky</t>
  </si>
  <si>
    <t>abuse;pain;United States;addiction;Delphi study;drug therapy;education;emergency ward;general practice;health care personnel;hospital;information processing;internal medicine;Internet;law enforcement;nursing;offender;palliative therapy;patient;pharmacy;physician;policy;prescription;psychology;responsibility</t>
  </si>
  <si>
    <t>Scheduled medication abuse and diversion of is a serious problem nationally and particularly challenging in Kentucky. To date, few solutions for this multifaceted problem have emerged. Stakeholders were gathered into a committee comprised of law enforcement, regulatory, pharmacy, nursing, physicians (addiction, internal medicine, pain medicine, family practice, and palliative medicine), psychology, teen addiction, and education. A focus group and partial Delphi method rank ordered multiple issues. These issues were collated and initial questions were developed for an internet survey. While ongoing, the first 50 responses to the survey were analyzed. When asked to rank nine potential barriers to reducing diversion in Kentucky, respondents rated lack of patient responsibility for their prescription medications (average rank, AR = 2.81) and lack of appropriate pain management education for prescribers and dispensers (AR = 3.09) as the two most significant barriers. When asked to rank six sources of information, which would help reduce diversion but were currently lacking, data on the number of emergency room and hospital visits for controlled substances (AR = 2.81) and ways to identify the number of criminal activities ties to controlled substances (AR = 3.05) were the top issues. Of existing information, KASPER was reported as the single most important source of data. Future recommendations included better training for healthcare professionals and adoption of a requirement to show ID to pick up controlled substance prescriptions. This survey is ongoing and will be reformatted for a second iteration to help guide policy directions and targets for research in this area.</t>
  </si>
  <si>
    <t>(Peppin J.F., johnpeppin@msn.com; Cole B.E.) (Kirsh K.; Porada S.) 26th Annual Meeting of the American Academy of Pain Medicine, AAPM San Antonio, TX, United States 2010-02-03 to 2010-02-06 Blackwell Publishing Inc.; ID: 2828</t>
  </si>
  <si>
    <t>Pereira,D. S.;De Souza,R. S.;Buaiz,V.;De Siqueira,M. M.;Author,Addresses;Departamento,de;Enfermagem,Nucleo de Estudos Sobre Alcool e Outras Drogas da Universidade;Federal,do Espirito;Departamento,de Cl;Estudos Sobre Alcool e Outras Drogas da Universidade,Federal do;Santo;Rua Ametista,Cariacica;Sâ”œÃºo Geraldo,E. S.;Correspondence,Address;S.,D.S.Pereira, Rua Ametista Cariacica Sâ”œÃºo Geraldo E.;Email,dsoprani ufes hotmail com</t>
  </si>
  <si>
    <t>Psychoactive substance use among Medicine students from Espirito Santo Federal University ORIGINAL (NON-ENGLISH) TITLE Uso de substâ”œÃ³ncias psicoativas entre universitâ”œÃ­rios de medicina da Universidade Federal do Espâ”œÂ¡rito Santo</t>
  </si>
  <si>
    <t>Jornal brasileiro de psiquiatria</t>
  </si>
  <si>
    <t>J.Bras.Psiquiatr.</t>
  </si>
  <si>
    <t>medical student;substance abuse;adolescent;adult;alcohol consumption;article;college student;controlled study;drug abuse;female;human;information processing;major clinical study;male;prevalence;quantitative study;questionnaire;tobacco dependence;university student;world health organization;Public Health, Social Medicine and Epidemiology (17);Psychiatry (32);Drug Dependence, Alcohol Abuse and Alcoholism (40)</t>
  </si>
  <si>
    <t>Objective: To describe the profile of the psychoactive substances used among the college students from the Medicine course in the Center of Health Sciences in, Espirito Santo Federal University. Methods: It is a exploratory, descriptive, transversal and quantitative study developed within 168 college students of Medicine from the first to the last year of the course. The instrument used to collect data was the Questionnaire on Drug Abuse, an adaptation from the questionnaire proposed by WHO(1). The data had been tabulated through the Social Science Program Statistical Package (SPSS) (2). Results: Overall, 54.8% of the college students are females, 76.8%, from 17 to 22 years and 50% belonging to social class "B". As for the use of psychoactive substances, a high prevalence of alcohol was founded (86.9%), followed by tobacco (22.0%), solvents (15.5%), amphetamines (10.1%), cannabis (9.5%), hallucinogens (1.8%) and barbiturates (0.6%). Conclusion: It is necessary to prevent the psychoative substance abuse among college students, introducing curricular disciplines on the theme or specific programs to attend these students.</t>
  </si>
  <si>
    <t>(Pereira D.S., dsoprani.ufes@hotmail.com; De Souza R.S.) (NEAD-UFES) (Buaiz V.; De Siqueira M.M.) (Pereira D.S., dsoprani.ufes@hotmail.com) Editora Cientifica Nacional Ltda, Rua da Gloria 366, 3o andar, P.O. Box 590, Rio de Janeiro, Brazil.; ID: 2946</t>
  </si>
  <si>
    <t>0047-2085 1982-0208 (electronic)</t>
  </si>
  <si>
    <t>2008529385 PUI L352642748</t>
  </si>
  <si>
    <t>10.1590/S0047-20852008000300006 FULL TEXT LINK http://dx.doi.org/10.1590/S0047-20852008000300006</t>
  </si>
  <si>
    <t>Perez Moreno,M.;Olivares,L.;Lazaro,Y.;Rodriguez Quijano,J.;Pelaz,A.;Tur,N.;Oca,L.;Reneses,B.;Author,Addresses;Hospital Clinico,San Carlos;Correspondence,Address;Perez Moreno, Hospital Clinico San Carlos Madrid Spain,M.</t>
  </si>
  <si>
    <t>A two year experience of a high resolution outpatient unit for adolescents</t>
  </si>
  <si>
    <t>S230</t>
  </si>
  <si>
    <t>S231</t>
  </si>
  <si>
    <t>adolescent;child;child psychiatry;European;human;outpatient department;society;adolescence;adult;consultation;diagnosis;gender;general practitioner;hospital;mental health;mental health center;model;neurology;patient;primary medical care;psychiatrist;psychiatry;relaxation training;social work;substance abuse;violence</t>
  </si>
  <si>
    <t>Objective: Evaluate the results of an specific outpatient unit for adolescents that started functioning in October 2012. In this Unit, patients aged 14 to 18 years are referred from General Practitioner and evaluated by a psychiatrist consultant with the aim to make a diagnosis and, if possible, return back the patient to Primary Care after the first visit with treatment recommendations if necessary. Materials and methods: We made a descriptive study collecting data from the patients that were referred to the high resolution outpatient unit of Hospital Clâ”œÂ¡nico San Carlos of Madrid since October 2012 till November 2014. We separated data from the first year and data from the second year in order to compare both. Results: The number of patients referred from Primary care along these 2 years were 223. Patients referred in the first year were 92 and the number that attended was 71 (77.1 %). Among those who attended, 22 were discharged to Primary care (30.9 %) and 48 continued attending mental health visits for complete study and treatment (69.1 %). Among those who discharged, we recommended relaxation training in 4 cases, familiar treatment in Social Services in 1 case, substance abuse specific center in 1 case and adult mental health unit in another case. Patients referred in the second year were 131 and the number that attended was 95 (72.5 %). Among those who attended, 38 were discharged to Primary care (40 %) and 57 continued attending mental health visits for complete study and treatments (60 %). Among those who discharged, we recommended familiar treatment in Social Services in 4 cases, substance abuse specific center in 2 cases, relaxation training in 1 case, neurology in 1 case, other psychiatry unit in a different hospital in 1 case and specific approach for gender violence problems in 1 case. Conclusions: - The high resolution adolescents unit is a valid model to help General Practitioners to identify and differentiate mental health problems, that need a specialized assessment and treatment, from other kind of problems that are commonly found in clinical settings (familiar problems, adolescence crisis, developmental difficulties). - The experience along this period has let enhance the number of patients discharged after the assessment with the therapeutic advices for the General Practitioner in the second year of functioning.</t>
  </si>
  <si>
    <t>(Perez Moreno M.; Olivares L.; Lazaro Y.; Rodriguez Quijano J.; Pelaz A.; Tur N.; Oca L.; Reneses B.) 16th International Congress of European Society for Child and Adolescent Psychiatry, ESCAP 2015 Madrid, Spain 2015-06-20 to 2015-06-24 Dr. Dietrich Steinkopff Verlag GmbH and Co. KG; ID: 2101</t>
  </si>
  <si>
    <t>Peterson,S.;Chui,M.;Kieser,M.;Johnson,C.;Author,Addresses;University,of;Wisconsin-Madison,School;Morton Pharmacy,United States;Correspondence,Address;Peterson, University of Wisconsin-Madison School of Pharmacy United,S.;States Email,pete,umn edu</t>
  </si>
  <si>
    <t>Drug therapy problems in community-based resident facilities: Assessing effectiveness of an educational intervention</t>
  </si>
  <si>
    <t>community;drug therapy;assisted living facility;convenience sample;education;fax;human;learning;patient;pharmacist;pharmacy;physician;pilot study;residential home;skill;statistics;training</t>
  </si>
  <si>
    <t>Objective: To assess pharmacist knowledge acquisition and application following a training session to identify and resolve drug therapy problems (DTPs) found in community-based residential facilities (CBRFs; i.e., assisted living facilities). Methods: This project will be conducted in three phases: identification of 50 CBRF patients with DTPs that will serve as real-world examples for the training program, implementation of the training program, and evaluation to determine to what extent pharmacists may apply skills to resolve DTPs. First, of approximately 1,900 total beds served, the resident via a review of the QS/1 pharmacy medication profiles will identify a convenience sample of 50 patients with potential DTPs. Potential DTPs will be categorized using criteria defined in Strand et al. 1990. Second, the resident will develop an active learning educational presentation. The DTPs that were identified will be used as patient cases so that the education session will have more credibility as real-world scenarios. Pharmacists will be guided to review the cases and how to identify DTPs and correct them. Tools (e.g., fax templates) that may be used to communicate with the physician when a DTP is encountered will be provided. Approximately 10 pharmacists who work with CBRFs will attend this 2-hour session and complete a test before and after the educational session to assess whether they are better able to identify DTPs following the training. Third, the resident will conduct profile reviews of the same 50 patients 2 and 4 months after the educational session to determine the number of DTPs resolved. Results will provide descriptive statistics on the extent that pharmacists improve the ability to identify and resolve DTPs that they encounter during the normal dispensing process. This pilot project will determine whether expanding this intervention may improve quality of medication use among CBRF patients. Results: NA (research in progress). Conclusion: NA (research in progress).</t>
  </si>
  <si>
    <t>(Peterson S., pete5734@umn.edu; Chui M.; Kieser M.) (Johnson C.) APhA2010 Washington, DC, United States 2010-03-12 to 2010-03-15 American Pharmacists Association; ID: 2816</t>
  </si>
  <si>
    <t>10.1331/JAPhA.2010.10511 FULL TEXT LINK http://dx.doi.org/10.1331/JAPhA.2010.10511</t>
  </si>
  <si>
    <t>Pham,J. C.;Pronovost,P. J.;Skipper,G. E.;Author,Addresses</t>
  </si>
  <si>
    <t>26217441; Prevalence of Drug Testing Among Family Medicine Residents and Students: Much Needed Data</t>
  </si>
  <si>
    <t>education;medical education;medical student;substance abuse;female;general practice;human;male</t>
  </si>
  <si>
    <t>(Pham J.C.; Pronovost P.J.; Skipper G.E.); ID: 2129</t>
  </si>
  <si>
    <t>http://www.ncbi.nlm.nih.gov/pubmed/26217441</t>
  </si>
  <si>
    <t>10.4300/JGME-D-14-00754.1 FULL TEXT LINK http://dx.doi.org/10.4300/JGME-D-14-00754.1</t>
  </si>
  <si>
    <t>Prevalence of Drug Testing Among Family Medicine Residents and Students: Much Needed Data</t>
  </si>
  <si>
    <t>Phelan,M.;Eikhoff,N.;Chamberlin,J.;Hustey,F.;Meldon,S.;Author,Addresses;Cleveland,Clinic;Cleveland,United States;Case Western Reserve University, Metro Health,Cleveland Clinic;Cleveland,United States;Correspondence,Address;Phelan, Cleveland Clinic Cleveland United States,M.</t>
  </si>
  <si>
    <t>Frequency of smoking cessation counseling and smoking cessation discharge instructions in the emergency department</t>
  </si>
  <si>
    <t>S200</t>
  </si>
  <si>
    <t>counseling;emergency medicine;emergency ward;smoking cessation;society;confidence interval;death;diseases;documentation;drug therapy;education;hazard;health care management;health care policy;health care system;human;medicaid;medical record review;patient;physician;population;public health;random sample;randomization;risk;smoking;tertiary care center;tobacco;tobacco dependence;tobacco use;United States</t>
  </si>
  <si>
    <t>Background: Tobacco dependence is the leading cause of preventable death and disease in the U.S., and tobacco use is common among emergency department (ED) patients. Population health management of at-risk populations is increasingly becoming an important area for healthcare systems and their providers to address. Moreover, the Patient Protection and Affordable Care Act mandates Medicaid coverage of smoking cessation medication, and there are billable codes for brief smoking cessation counseling (3 minutes) that can be done in the ED setting. Good evidence exists that education and intervention by physicians is effective, even in the ED setting. However, smoking cessation counseling and discharge instructions about smoking in the</t>
  </si>
  <si>
    <t>(Phelan M.; Chamberlin J.; Hustey F.; Meldon S.) (Eikhoff N.) 2016 Annual Meeting of the Society for Academic Emergency Medicine, SAEM 2016 New Orleans, LA, United States 2016-05-10 to 2016-05-13 Blackwell Publishing Inc.; ID: 1960</t>
  </si>
  <si>
    <t>Poffenberger,N.;Weickum,R.;Author,Addresses;Madigan,Army;Medical Center,United States;Correspondence,Address;Poffenberger, Madigan Army Medical Center United States,N.</t>
  </si>
  <si>
    <t>Implementing an interdisciplinary pain management center for patients with chronic pain</t>
  </si>
  <si>
    <t>opiate;analgesia;chronic pain;human;patient;pharmacy;addiction;alternative medicine;army;case manager;drug screening;drug therapy;education;health;medical specialist;medication therapy management;monitoring;nurse;occupational therapist;pain;pain assessment;pharmacist;physical medicine;physician;planning;psychologic assessment;psychologist;responsibility;risk assessment;risk factor;self care;substance abuse;surgeon;therapy</t>
  </si>
  <si>
    <t>Objective: Describe the development of an interdisciplinary pain management center designed to improve care of patients with chronic pain. Discuss the role of clinical pharmacists supporting this center. Methods: Managing patients with acute and chronic pain is a medical and political imperative. The 2010 Army Surgeon General's Comprehensive Pain Management Campaign Plan provided guidelines, tools, and initiatives for military treatment facilities (MTFs) to implement improvements in the management of acute and chronic pain. At this medical center, we created the Interdisciplinary Pain Management Center (IMPC), a referral center comprising providers from multiple disciplines dedicated to the care of patients with chronic pain. Assigned providers included physicians with expertise in pain management, health psychologists, a physiatrist, physical and occupational therapists, acupuncturists, nurse clinicians, a case manager, a pain educator, an addiction specialist, and clinical pharmacists. Patients receive a comprehensive pain assessment that includes a health history, physical and psychological evaluation, medication history review/reconciliation, and risk assessment for potential comorbid conditions and substance abuse risk factors. Patients are enrolled in opioid treatment and sole prescriber agreements. Multimodal therapy, including alternative medicine and self-management education, is offered at the center. Clinical pharmacists are involved in all aspects of care, including pharmacotherapy planning, risk assessment, medication reconciliation, adherence monitoring, dose tapering/withdrawal, drug screening, and medication education. This poster describes the pharmacists' roles and responsibilities.</t>
  </si>
  <si>
    <t>(Poffenberger N.; Weickum R., ricke.weickum@us.army.mil) Joint Forces Pharmacy Seminar, JFPS 2011 Dallas, TX, United States 2011-10-30 to 2011-11-03 American Pharmacists Association; ID: 2648</t>
  </si>
  <si>
    <t>10.1331/JAPhA.2011.11542 FULL TEXT LINK http://dx.doi.org/10.1331/JAPhA.2011.11542</t>
  </si>
  <si>
    <t>Pontino,M. V.;Author,Addresses;Buenos,Aires city;Buenos Aires,Argentina;Correspondence,Address;MV Pontino, Buenos Aires city government Buenos Aires,Argentina Email;monica_pontino@yahoo.com</t>
  </si>
  <si>
    <t>Risk factors for defaults in tuberculosis treatment</t>
  </si>
  <si>
    <t>181:1 MeetingAbstracts.</t>
  </si>
  <si>
    <t>risk factor;society;tuberculosis;addiction;Argentina;astronomy;city;drug resistance;education;human;male;morbidity;mortality;multivariate logistic regression analysis;patient;population;statistical analysis;univariate analysis</t>
  </si>
  <si>
    <t>Risk factors for defaults in tuberculosis treatment Mâ”œâ”‚nica V Pontino; Pelaya Elba M E; Marâ”œÂ¡a de Lujan Calcagno; Celia Wainstein; Cristina Brian; Antonio Sancineto. TB Control Program Buenos Aires City Argentina. Tuberculosis (TB) Treatment default has been shown to lead to unsuccessful outcomes, such as mortality and multi drug resistance. The reasons for default have not been previously described in our population of TB patients. We need to know reasons for default in order to design effective preventive strategies. Design: Retrospective Cohort. Methods: &gt; 16 years old recorded at Tb Control Program of Buenos Aires (BA) City during 2008 with treatment assignment. Resident of the BA City. Diagnosed with Tb with clinical and bacteriological confirmation. Predictors variables: sex, age, education level, co morbidity, addiction, previous treatment, nationality and residence recorded in TB Control Program in BA. Statistical Analysis: Data were entered and statistical analyses performed using EPI Info version 6.04 and Info Stat/E version 2009. Results: The defaults was observed in patients in the 17-33 year old group (107, 73.3%), males (90, 61.6%), patients without previous treatment (124, 84.9%) and co morbidity (116, 79.5%), education level (illiterate-primary) (95, 65.06%), foreigners (91, 62.33%), residents of southern area (87, 60,0%) and patients without addiction (97, 66.4%). Univariate analysis was performed on the following predictive factors: 17-33 year old group OR 1.9, 95% CI 1.24-2.98, sex (male)OR 1.02, 95%,CI 0.68-1.54,area of residence ( Southern area)OR 0.56, 95% CI 0.36-0.87, educational level(illiterate-primary) OR 1.54, 95% 0.99-2.41, previous treatment OR 0.65 95% CI 0.34-1.26, co morbidity OR 0.31, 95%CI 0.16-0.61, nationality OR 0.87, 95% CI% 0.57-1.33 and patients without addiction OR 0.44 95% CI 0.28-0.71. Multivariate logistic regression analysis showed that age (OR 0.34; 95% IC 0.2-0.58), addiction (OR 2.01, 95% CI 1.13- 3.55) and area of residence (OR1.95, 95% CI 1.21- 3.14) are independent risk factors for default, adjusted by sex, nationality, co morbidity, education and previous treatment. Conclusion: TB Control Program should investigate the reasons and develop intervention methods to improve the situation.</t>
  </si>
  <si>
    <t>(Pontino M.V., monica_pontino@yahoo.com) American Thoracic Society International Conference, ATS 2010 New Orleans, LA, United States 2010-05-14 to 2010-05-19 American Thoracic Society; ID: 2795</t>
  </si>
  <si>
    <t>Porada,S.;Author,Addresses;Aventine,Health Sciences;States;Correspondence,Address;Porada, Aventine Health Sciences Montclair United States Email,S.;sp@mededucators.com</t>
  </si>
  <si>
    <t>Analysis of likely prescriber acceptance of elements of an opioid class risk evaluation and mitigation strategy (REMS)</t>
  </si>
  <si>
    <t>(MAJOR FOCUS);opiate;narcotic analgesic agent;pain;risk;abuse;drug therapy;education;food and drug administration;Internet;model;patient;patient safety;physician;prescription;safety</t>
  </si>
  <si>
    <t>The Food and Drug Administration (FDA) has requested that a REMS be implemented for select Schedule II (CII) opioid analgesics to address safety, misuse, and abuse. The level of acceptance of REMS elements and the likelihood of practitioner participation in an assumed baseline REMS was examined in a practitioner survey. Methods: This internet-based survey was distributed to 2500 practitioners, and 538 unique visitors comAAPM 2010 Annual Meetings Abstracts 331 pleted it. Responses were studied related to various REMS elements and a predefined REMS Î“Ã‡Â£modelÎ“Ã‡Â¥ designed specifically for this survey. Results: Of respondents, 81.37% were prescribers of the FDA-targeted CII opioid analgesics. Opinion was that the amount of education acceptable under a REMS to maintain prescribing ability was: 1 hour or less, 40.5%; 1.1 to 1.5 hours, 14.3%; 1.6 to 2 hours, 19%; and 24 hours, 26.7%. External patient safety messaging with confirmation of understanding for prescription activation would be acceptable by 78% of participants. Assuming a 1-hour education requirement, external patient messaging, and prescription activation, 90% of respondents were likely to comply with the REMS, with 10% likely to opt out of prescribing FDA-targeted opioids. Conclusions: The majority of practitioners surveyed were willing to be educated in order to maintain prescribing privileges for select CII opioid analgesics and are willing to require their patients be engaged in a safety messaging continuum for prescription activation. Any requirement imposed on practitioners to maintain prescribing abilities of certain medications would no doubt result in a segment of practitioners opting out and losing prescribing privileges of these medications.</t>
  </si>
  <si>
    <t>(Porada S., sp@mededucators.com) 26th Annual Meeting of the American Academy of Pain Medicine, AAPM San Antonio, TX, United States 2010-02-03 to 2010-02-06 Blackwell Publishing Inc.; ID: 2827</t>
  </si>
  <si>
    <t>Powers,B. D.;Coombs,C.;Sifontis,N. M.;Herrera,A.;Constantinescu,S.;Lee,I.;Karachristos,A.;Silva,P.;Daller,J. A.;Author,Addresses;Abdominal,Organ Transplant;Hospital,Philadelphia United States;Pharmacy Practice, Temple School of,Pharmacy Philadelphia;United,States;Correspondence,Address;BD Powers, Abdominal Organ Transplant Temple,University Hospital;Philadelphia,United States</t>
  </si>
  <si>
    <t>Prior substance abuse does not affect graft survival or patient mortality in renal transplant recipients</t>
  </si>
  <si>
    <t>American Journal of Transplantation</t>
  </si>
  <si>
    <t>10 SUPPL. 1</t>
  </si>
  <si>
    <t>alcohol;basiliximab;tacrolimus;thymocyte antibody;graft recipient;graft survival;kidney graft;mortality;patient;society;substance abuse;surgeon;transplantation;winter;acute graft rejection;corticosteroid therapy;gender;immunosuppressive treatment;kidney transplantation;survival;teaching hospital;therapy;tobacco</t>
  </si>
  <si>
    <t>Objective: To analyze outcomes in renal transplant recipients with or without a history of substance abuse. Method: Retrospective review of all renal transplants performed at a teaching hospital between 11/2001 and 12/2007. Substance abuse history was defined as remote, recent or current use of tobacco, alcohol, and/or intravenous drugs. All patients received induction therapy with basiliximab or thymoglobulin. Maintenance immunosuppression consisted of tacrolimus, MMF and corticosteroid therapy. Primary outcomes included incidence of acute rejection (AR), graft (GS) and patient survival (PS) at 1 year. Results: (Table presented) There was no difference between the two groups except for gender, p&lt;0.01. Though there was a trend toward an increased incidence of acute rejection in the substance abuse group this was not statistically significant. Graft and patient survival was similar between the 2 groups. Conclusion: Patients having histories of substance abuse did as well at 1 year as patients without such histories with respect to these outcomes. While current substance abuse remains a relative or absolute contraindication for renal transplantation, this study does not support excluding prior substance abusers from renal transplant when graft outcome and patient mortality are used as outcome metrics.</t>
  </si>
  <si>
    <t>(Powers B.D.; Coombs C.; Herrera A.; Constantinescu S.; Lee I.; Karachristos A.; Silva P.; Daller J.A.) (Sifontis N.M.) American Society of Transplant Surgeons 10th Annual State of the Art Winter Symposium Fort Lauderdale, FL, United States 2010-01-15 to 2010-01-17 Blackwell Publishing Ltd; ID: 2840</t>
  </si>
  <si>
    <t>1600-6135</t>
  </si>
  <si>
    <t>10.1111/j.1600-6143.2009.02977.x FULL TEXT LINK http://dx.doi.org/10.1111/j.1600-6143.2009.02977.x</t>
  </si>
  <si>
    <t>Poyrazoâ•ŸÂºlu,S.;â”¼â‚§arli,S.;Gencer,Z.;Gâ”œâ•nay,O.;Author,Addresses;Erciyes University Medical Faculty, Department of Public,Health Kayseri;Turkey;Correspondence,Address;Gâ”œâ•nay, Erciyes â”œÂ£niversitesi Tip Fakâ”œâ•ltesi Halk Saâ•ŸÂºliâ•ŸÂºi Anabilim Dali,O.;Kayseri,Turkey Email gunayos erciyes edu tr</t>
  </si>
  <si>
    <t>20636256; Waterpipe (narghile) smoking among medical and non-medical university students in Turkey</t>
  </si>
  <si>
    <t>Upsala journal of medical sciences</t>
  </si>
  <si>
    <t>Ups.J.Med.Sci.</t>
  </si>
  <si>
    <t>medical student;smoking (epidemiology);student;university;adult;article;comparative study;female;human;male;Turkey (republic) (epidemiology)</t>
  </si>
  <si>
    <t>Objectives. This investigation was performed in order to determine the prevalence rate of waterpipe smoking in students of Erciyes University and the effects of some socio-demographic factors. Methods. A total of 645 students who study the first three grades of the medical faculty and the engineering faculty of Erciyes University were enrolled in the study. A questionnaire including 48 questions was applied. Chi-square test and logistic regression method were performed for the statistical analyses. Results. The total prevalence rate of waterpipe smoking was found to be 32.7%. The prevalence rate of waterpipe smoking was 28.6% in the medical and 37.5% in the non-medical students. It was determined that 41.6% of the males and 20.2% of the females currently smoke waterpipe. Gender, cigarette smoking, and the presence of waterpipe smokers among family members and friends have significant effects on the prevalence of waterpipe smoking. Residence and economical status of the family and with whom the students live have no significant effect on the prevalence rate. Conclusions. Approximately one-third of the students currently smoke waterpipe. Smoking of both cigarette and waterpipe was frequently found. The measures against all tobacco products should be combined. â”¬âŒ 2010 Informa UK Ltd.</t>
  </si>
  <si>
    <t>(Poyrazoâ•ŸÂºlu S.; â”¼â‚§arli S.; Gencer Z.; Gâ”œâ•nay O., gunayos@erciyes.edu.tr) Informa Healthcare, 69-77 Paul Street, London, United Kingdom.; ID: 2769</t>
  </si>
  <si>
    <t>0300-9734</t>
  </si>
  <si>
    <t>http://www.ncbi.nlm.nih.gov/pubmed/20636256</t>
  </si>
  <si>
    <t>10.3109/03009734.2010.487164 FULL TEXT LINK http://dx.doi.org/10.3109/03009734.2010.487164</t>
  </si>
  <si>
    <t>Waterpipe (narghile) smoking among medical and non-medical university students in Turkey</t>
  </si>
  <si>
    <t>Praharaj,S. K.;Kongasseri,S.;Author,Addresses;Department of Psychiatry, Kasturba Medical,College Manipal;Karnataka,India;Correspondence,Address;SK Praharaj, Department of Psychiatry Kasturba Medical,College Manipal;Karnataka,India Email samirpsyche yahoo co in</t>
  </si>
  <si>
    <t>22489592; Naphthalene addiction</t>
  </si>
  <si>
    <t>(MAJOR FOCUS);naphthalene derivative (adverse drug reaction);addiction (complication);anemia;inhalant abuse (complication);adult;article;case report;chemically induced disorder;female;human;India</t>
  </si>
  <si>
    <t>Inhalant abuse such as kerosene, petrol, gasoline, and typewriter correction fluid has been reported from India. Naphthalene or mothballs, a commonly used substance in households and freely available in the market is an uncommon form of inhalant abuse which may lead to severe medical complications. We report an adolescent with addiction to naphthalene balls who developed severe anemia.</t>
  </si>
  <si>
    <t>(Praharaj S.K.) (Kongasseri S.); ID: 2527</t>
  </si>
  <si>
    <t>http://www.ncbi.nlm.nih.gov/pubmed/22489592</t>
  </si>
  <si>
    <t>10.1080/08897077.2011.634966 FULL TEXT LINK http://dx.doi.org/10.1080/08897077.2011.634966</t>
  </si>
  <si>
    <t>Naphthalene addiction</t>
  </si>
  <si>
    <t>Prochaska,J. J.;Benowitz,N. L.;Glantz,S. A.;Hudmon,K. S.;Grossman,W.;Author,Addresses;Center,for;Tobacco Control,Research;Education,San Francisco C. A. United States;Department,of Psychiatry;Francisco,C. A. U.;Department,of Medicine;of Cardiology, San Francisco,C.A.United States;Division of Clinical Pharmacology, University,of California;San Francisco, San Francisco,C.A.United States;Purdue University College of,Pharmacy Science;In,United States;Correspondence,Address;JJ Prochaska, University of California San Francisco,Parnassus Ave;Trc,San Francisco C.A.United States Email;jprochaska@ucsf.edu</t>
  </si>
  <si>
    <t>21987417; Cardiology Rx for change: Improving clinical attention to tobacco use and secondhand smoke exposure in cardiology</t>
  </si>
  <si>
    <t>Clinical cardiology</t>
  </si>
  <si>
    <t>Clin.Cardiol.</t>
  </si>
  <si>
    <t>medical education;passive smoking;tobacco dependence;article;attitude;cardiologist;cardiology;counseling;evidence based practice;female;follow up;human;information dissemination;male;medical student;quasi experimental study;resident;smoking cessation;Public Health, Social Medicine and Epidemiology (17)</t>
  </si>
  <si>
    <t>Background: Heart disease is the leading cause of tobacco-related death in smokers and of deaths due to secondhand smoke (SHS) exposure in nonsmokers. This study centers on the development and evaluation of an evidence-based model curriculum for improving clinical attention to tobacco use and SHS exposure in cardiology. Hypothesis: We hypothesized that the curriculum would be associated with improvements in clinician tobacco-related knowledge, attitudes, confidence, and counseling behaviors from pre-to post-training and at the 3-month follow-up. Methods: The 1-hour Cardiology Rx for Change curriculum was evaluated with 22 cardiology fellows and 77 medical residents with consistent training effects observed between the 2 groups. Results: Trainees' tobacco treatment knowledge increased significantly from pre- to post-training (t81] = 6.51, P&lt;0.001), and perceived barriers to providing cessation treatment decreased significantly (t81] = -3.97, P&lt;0.001). The changes, however, were not sustained at the 3-month follow-up, suggesting the need for booster training efforts. From pretraining to 3-month follow-up, the training was associated with significant sustained gains in clinician confidence for treating tobacco dependence (t61] = 3.69, P = 0.001) and with improvements in clinicians assessing patients' readiness to quit smoking (from 61% to 79%, t59] = 3.69,P&lt;0.001) and providing assistance with quitting (from 47% to 59%, t59] = 2.12, P = 0.038). Asking patients about tobacco use, advising cessation, and arranging follow-up also increased over time, but not significantly. All participants (100%) recommended the curriculum for dissemination to other training programs. Conclusions: Available online via, Cardiology Rx for Change offers a packaged training tool for improving treatment of tobacco use and SHS exposure in cardiology care. â”¬âŒ 2011 Wiley Periodicals, Inc.</t>
  </si>
  <si>
    <t>(Prochaska J.J., jprochaska@ucsf.edu; Benowitz N.L.; Glantz S.A.) (Prochaska J.J., jprochaska@ucsf.edu) (Benowitz N.L.; Glantz S.A.; Grossman W.) (Benowitz N.L.) (Hudmon K.S.) John Wiley and Sons Inc., 111 River Street, Hoboken, United States.; ID: 2608</t>
  </si>
  <si>
    <t>0160-9289 1932-8737 (electronic)</t>
  </si>
  <si>
    <t>http://www.ncbi.nlm.nih.gov/pubmed/21987417</t>
  </si>
  <si>
    <t>10.1002/clc.20982 FULL TEXT LINK http://dx.doi.org/10.1002/clc.20982</t>
  </si>
  <si>
    <t>Cardiology Rx for change: Improving clinical attention to tobacco use and secondhand smoke exposure in cardiology</t>
  </si>
  <si>
    <t>Pulcinelli,M.;Mannaioni,P. F.;Zerbetto,R.;Author,Addresses;Ist. Tossicol,Univ Firenze;Correspondence,Address;Ist. Tossicol,Univ Firenze</t>
  </si>
  <si>
    <t>Professional knowledge on the subject of drug addiction. First results of a survey ORIGINAL (NON-ENGLISH) TITLE LE CONOSCENZE PROFESSIONALI NEL CAMPO DELLE TOSSICOMANIE: PRIMI RISULTATI DI UN'INDAGINE STATISTICA</t>
  </si>
  <si>
    <t>drug dependence;medical education;physician;geographic distribution;Italy;prevention;short survey;Public Health, Social Medicine and Epidemiology (17);Psychiatry (32);Drug Dependence, Alcohol Abuse and Alcoholism (40)</t>
  </si>
  <si>
    <t>The purpose of this contribution is the statistical evaluation of the degree of knowledge of young Italian physicians of drug addiction and its clinical, legal and preventive features. First results show a lack of information on the care of addicts resulting from the inadequate structure of university courses. The authors remark that many young physicians are interested in acquisition of professional knowledge about the subject.</t>
  </si>
  <si>
    <t>(Pulcinelli M.; Mannaioni P.F.; Zerbetto R.); ID: 3857</t>
  </si>
  <si>
    <t>1978394045 PUI L8388788</t>
  </si>
  <si>
    <t>Puri,B. K.;Lambert,M. T.;Cordess,C. C.;Author,Addresses;Department,of Psychiatry;Cross Westminster Med School, St Dunstan's Road,London W.;Kingdom;Correspondence,Address;BK Puri, Department of Psychiatry Charing Cross Westminster,Med School;St Dunstan's Road, London,W.R.P.United Kingdom</t>
  </si>
  <si>
    <t>8907861; Characteristics of young offenders detained under Section 53(2) at a young offenders' institution</t>
  </si>
  <si>
    <t>Medicine, Science and the Law</t>
  </si>
  <si>
    <t>child psychiatry;community mental health center;criminal justice;adolescent;adult;article;child rearing;education;ethnic group;family life;human;major clinical study;male;medical personnel;offender;priority journal;psychologist;risk factor;sexual abuse;substance abuse;Psychiatry (32);Forensic Science Abstracts (49)</t>
  </si>
  <si>
    <t>The objective of the study was to investigate the medical and psychiatric characteristics and needs of detainees held under s.53(2) of the Children and Young Persons Act 1933. A case-note study of all subjects detained under s.53(2) at a young offenders' institution was carried out and their psychologists and medical officer interviewed. The subjects had a high risk of having experienced family disruption, of psychoactive substance abuse, and poor educational progress, and they were more likely than the general population to be Afro-Caribbean or of mixed race. They were psychologically vulnerable and could become suicidal when exposed to risk factors such as bullying and not being visited often by friends and relatives. However, there was a lack of information available about the subjects in many important areas including assessment of needs for special education, of truancy, expulsions, child guidance clinic attendance, and placement on child protection registers. It was not clear whether these young people had been significantly in contact with services as children or whether they had slipped through the net. In conclusion, the most important finding was a worrying lack of information about this group. From the information available they were clearly atypical. More research is needed; more adequate information, for example with respect to physical and sexual abuse, child rearing, education, peer relationships, and contact with specialist health and social services, would assist in the development of services for the treatment of these serious young offenders and for prevention.</t>
  </si>
  <si>
    <t>(Puri B.K.; Lambert M.T.; Cordess C.C.) Barnsbury Publishing, P.O. Box 67389, London, United Kingdom.; ID: 3502</t>
  </si>
  <si>
    <t>0025-8024</t>
  </si>
  <si>
    <t>http://www.ncbi.nlm.nih.gov/pubmed/8907861</t>
  </si>
  <si>
    <t>Characteristics of young offenders detained under Section 53(2) at a young offenders' institution</t>
  </si>
  <si>
    <t>Purina,E. A.;Lozovskaia,A. S.;Author,Addresses;Correspondence,Address;Purina,E. A.</t>
  </si>
  <si>
    <t>2814645; Role of medical personnel of therapeutic-preventive establishments in antialcoholic campaign ORIGINAL (NON-ENGLISH) TITLE Rol' meditsinskikh rabotnikov lechebno-profilakticheskikh uchrezhdeniâ•ŸÃ‰ v antialkogol'noâ•ŸÃ‰ propagande</t>
  </si>
  <si>
    <t>alcoholism (prevention);health care manpower;health education;adult;article;female;human;male;middle aged;questionnaire</t>
  </si>
  <si>
    <t>(Purina E.A.; Lozovskaia A.S.); ID: 3701</t>
  </si>
  <si>
    <t>http://www.ncbi.nlm.nih.gov/pubmed/2814645</t>
  </si>
  <si>
    <t>Role of medical personnel of therapeutic-preventive establishments in antialcoholic campaign ORIGINAL (NON-ENGLISH) TITLE Rol' meditsinskikh rabotnikov lechebno-profilakticheskikh uchrezhdeniâ•ŸÃ‰ v antialkogol'noâ•ŸÃ‰ propagande</t>
  </si>
  <si>
    <t>Pyra,K. K.;Buraczyâ”¼Ã¤ski,P.;Kalisiewicz,K.;Serafin,A.;Jabâ”¼Ã©oâ”¼Ã¤ska,J.;Author,Addresses;Studenckie Kolo,Naukowe Przy;Podstawowej Opieki Zdrowotnej I, Katedrze Medycyny,Rodzinnej Akademii;Medycznej,Lublinie;Zakâ”¼Ã©ad;Podstawowej Opieki Zdrowotnej, I Katedra Medycyny,Rodzinnej Akademii;Medycznej,Lublinie;Studenckie Kolo,Naukowe Przy;Podstawowej Opieki Zdrowotnej I, Katedrze Medycyny,Rodzinnej A.;Sâ”¼Ã©awinkowska,Lublin;Correspondence,Address;KK Pyra, Studenckie Kolo Naukowe Przy Zakladzie,Podstawowej Opieki;Zdrowotnej I Katedrze,Medycyny Rodzinnej;Lublin Email,kkkp,poczta fm</t>
  </si>
  <si>
    <t>Human's social condition as a determinant of his chances for health ORIGINAL (NON-ENGLISH) TITLE Sytuacja spoâ”¼Ã©eczna czâ”¼Ã©owieka wyznacznikiem jego szans na zdrowie</t>
  </si>
  <si>
    <t>nicotine;tranquilizer;health promotion;health status;social status;attitude to health;drug dependence;education;government;health care access;human;income;lifestyle;morbidity;mortality;Poland;poverty;review;social care;nicotine (54-11-5);Public Health, Social Medicine and Epidemiology (17)</t>
  </si>
  <si>
    <t>The transformation which took place in 1989 in Poland influenced the origin of the diverse society. According to the survey, it was revealed that poverty and richness impact not only the access to medical care but also the rate of morbidity and mortality caused by civilization diseases. The surveys which have been conducted indicated that: 1) ecological differences influence health, 2) there are significant differences between the economical status and the estimation of health condition, 3) education and income determined attitude and the behavior in health matters, 4) people of the lower economic status have no manner to preserve health, 5) the worse the estimation of own economic status the stronger the addiction to pharmacological tranquilizers and nicotine, 6) education is the most important and the strongest health determiner. In conclusion, we have to emphasize that the surveys of social differences and their influence on health should be continued in broader scale, because solid and up-to-date information will be the basis to launch a pilot scheme of effective social policy in our country. Using the system of social care aimed of to the lowest class, the government should struggle to the improve the condition of life, education and the promotion of healthy lifestyle. â”¬âŒ Copyright by Wydawnictwo Continuo.</t>
  </si>
  <si>
    <t>(Pyra K.K., kkkp@poczta.fm) (Buraczyâ”¼Ã¤ski P.; Kalisiewicz K.; Serafin A.; Jabâ”¼Ã©oâ”¼Ã¤ska J.) Wydawnictwo Continuo, ul.lelewela 4, Wroclaw woj.dolnoslaskie, Poland.; ID: 3036</t>
  </si>
  <si>
    <t>2007512362 PUI L47610410</t>
  </si>
  <si>
    <t>Qi,Y.;Mei,C.;Author,Addresses;Department,of Psychology;College,Bengbu China;Department of,Epidemiology;Sratistics,Bengbu Medical College;Bengbu,China;Correspondence,Address;Qi, Department of Psychology Bengbu Medical College Bengbu,Y.;China Email, qiyulong ahedu,gov cn</t>
  </si>
  <si>
    <t>The status of tobacco use and knowledge, and attitudes relating to smoking among female students in a Bengbu medical school</t>
  </si>
  <si>
    <t>Journal of Nanjing Medical University</t>
  </si>
  <si>
    <t>attitude to health;knowledge;medical school;smoking;student attitude;tobacco;adult;article;China;cross-sectional study;female;health behavior;health hazard;human;prevalence;priority journal;questionnaire;rural area;urban area;Public Health, Social Medicine and Epidemiology (17)</t>
  </si>
  <si>
    <t>Objective: To learn the status of tobacco use, and the knowledge, attitudes, and behaviors among female students in Bengbu Medical College. Methods: In a cross-sectional survey, questionnaires were completed by 634 female students in the medical college in 2007, including the prevalence of current smoking, their knowledge of the effects of tobacco use on health, and attitudes towards the smoking behaviors of young women. Results: Only 6.9% of female medical students were former smokers, and 4.9% of them were current smokers. There was no significant difference in the current smoking rate among the students from each department surveyed. Female students from urban areas were more likely to be current or attempted smokers than those from rural areas. The proportion of the students who were aware of the health risks of smoking was less than 45%. The students from the Department of Nursing had more knowledge regarding the harmful health effects of smoking than those from the other departments. There was no significant difference in attitudes towards the smoking behaviors of young women among the students from each department. Compared with female students from rural areas, the female students from urban areas were significantly more likely to think that a young woman who smoked was cool, mature and charming. Conclusion: The smoking prevalence of the female students in Bengbu Medical College is high. They are not aware of the smoking related risks and have erroneous beliefs and perceptions about female smoking behaviors. â”¬âŒ 2009 The Editorial Board of Journal of Nanjing Medical University.</t>
  </si>
  <si>
    <t>(Qi Y., qiyulong@ahedu.gov.cn) (Mei C.) Elsevier (Singapore) Pte Ltd, 3 Killiney Road, 08-01, Winsland House I, Singapore, Singapore.; ID: 2901</t>
  </si>
  <si>
    <t>1007-4376</t>
  </si>
  <si>
    <t>2009631661 PUI L355764730</t>
  </si>
  <si>
    <t>10.1016/S1007-4376(09)60053-8 FULL TEXT LINK http://dx.doi.org/10.1016/S1007-4376(09)60053-8</t>
  </si>
  <si>
    <t>Quaranta,A.;Bilancia,R.;Author,Addresses;Cattedra,di Malattie;Universita,di Bari;Correspondence,Address;Bilancia, Cattedra di Malattie Apparato Respiratorio Universita di,R.;Bari,Bari Italy</t>
  </si>
  <si>
    <t>Fight against smoking in Italy: Insufficient rules, scarce control and indifferent attitude of the Medical School and physicians ORIGINAL (NON-ENGLISH) TITLE LOTTA AL FUMO IN ITALIA: SCARSE LEGGI, RARI CONTROLLI E DISTACCATI ATTEGGIAMENTI DELLE SCUOLE MEDICHE E DEI MEDICI</t>
  </si>
  <si>
    <t>medical education;physician;smoking;Italy;short survey;Chest Diseases, Thoracic Surgery and Tuberculosis (15);Public Health, Social Medicine and Epidemiology (17)</t>
  </si>
  <si>
    <t>The 35% of Italian population aged over 14 years are smokers: this percentage amounts to almost 14.000.000 citizens: the average daily use is from 10 to 20 cigarettes. The Authors in the article, drawn from a poster exhibited during the 28th World Conference of IUATLD/UICTMR (Mainz, 1994, June 14-17), made a statement of these statistics and of the motives of their too high incidence in our country. A basic point originates from the remark of anything but a poor presence of Italian physicians and national medical organisations to the debate developed all over the world for decades on the threat that the smoking habit causes to mankind's health. On the whole, Italian doctors smoke in a percentage superior to the whole population, which is very high too: if 35% of Italian citizens of l4 and over smokes, more than 43% of doctors are smokers. Yet, if directly questioned, very few Italian doctors answer they do not consider the 'tobacco question' seriously linked to health. In inquiries done in several Italian cities an unusual point has come out: a quite general positive answer of the physicians about smoking as risk factor for respiratory, cardio-vascular and neoplastic pathology and anything but exhaustive answers to the request of specifying the diseases they thought more directly related to smoking. To better answer to the initiative of the Committee on Tobacco Prevention by the I.U.A.T.L.D., we researched the greatest possible number of information about what the whole Italian Medical School does concerning tobacco and the harms it causes and how to give up this harmful practice. The collected data as a whole is completely discouraging. No Italian Medical School and no syllabus of any respiratory medicine Department has a specific teaching about tobacco's smoking and the themes linked to it! Most anti-tobacco teachings are generally devoted to the study of the smoking habit as a factor of risk and of worsening of respiratory and cardio-vascular diseases and is done during the integrative didactic in the wards and in respiratory physiopathology and bronchology laboratories. No evidence of teaching about tobacco's cessation methods! The only possible solution to this problem: not to give up and to go on getting involved to find links, to give news, to stimulate academic authorities, hospital institutions and scientific Societies (as Italian Federation and S.I.Me.R.) to strike a non ambiguous line in this so difficult fight. The Italian medical Class, as a whole, must act for the best as a lobbying group towards public opinion and political, parliamentary and governmental organisations.</t>
  </si>
  <si>
    <t>(Quaranta A.; Bilancia R.); ID: 3557</t>
  </si>
  <si>
    <t>1995058995 PUI L25057663</t>
  </si>
  <si>
    <t>Fight against smoking in Italy: Insufficient rules, scarce control and indifferent attitude of the Medical School and physicians ORIGINAL (NON-ENGLISH) TITLE LOTTA AL FUMO IN ITALIA: SCARSE LEGGI, RARI CONTROLLI E DISTACCATI ATTEGGIAMENTI DELLE (TRUNCATED)</t>
  </si>
  <si>
    <t>Quinn,G.;Author,Addresses;Collegiate,Institute for;Science,Bronx New York U. S. A.;Correspondence,Address;Quinn, Collegiate Institute for Math,G.;Science,Bronx New York U. S. A.;Email,G. V. Q.</t>
  </si>
  <si>
    <t>20391265; Institutional denial or minimization: substance abuse training in social work education</t>
  </si>
  <si>
    <t>addiction (prevention);curriculum;denial;health education;social work;article;education;human;methodology;professional competence;standard;statistics</t>
  </si>
  <si>
    <t>Substance abuse in the United States has reached catastrophic proportions. 23.6 million people needed treatment for an illicit drug or alcohol use problem (1). According to the National Association of Social Workers, 60% of all mental health services are carried out by social workers (3). Therefore, social workers are in a critical and unique position to address substance abuse. This study examined the education and training new social workers receive at 216 graduate programs accredited or in-candidacy for accreditation by the Council of Social Work Education. An overwhelming number did not have substance abuse courses as a requirement for all students, and a significant number did not have one course dedicated to substance abuse. These astounding deficiencies can only be described as an institutional denial or minimization.</t>
  </si>
  <si>
    <t>(Quinn G.); ID: 2836</t>
  </si>
  <si>
    <t>http://www.ncbi.nlm.nih.gov/pubmed/20391265</t>
  </si>
  <si>
    <t>10.1080/08897070903442475 FULL TEXT LINK http://dx.doi.org/10.1080/08897070903442475</t>
  </si>
  <si>
    <t>Institutional denial or minimization: substance abuse training in social work education</t>
  </si>
  <si>
    <t>Rahmandar,M. H.;Boykin,A.;Vaughn,L. M.;Warrick,D. M.;Patterson-Rose,S.;Author,Addresses;Cincinnati;Children's Hospital,Medical Center;University,of Cincinnati;Correspondence,Address;MH Rahmandar, Cincinnati Children's Hospital Medical,Center United;States</t>
  </si>
  <si>
    <t>Advocacy training for liquid nicotine: Education, evaluation and action planning</t>
  </si>
  <si>
    <t>S114</t>
  </si>
  <si>
    <t>(MAJOR FOCUS);nicotine;benzalkonium chloride;adolescent health;education;liquid;planning;society;adolescent;American;child;child health;community;electronic cigarette;female;gender;health;Hispanic;human;ingestion;medicine;patient;pediatric hospital;pediatrics;physician;postgraduate student;skill;student;summer;teaching hospital;toddler;winter;workshop</t>
  </si>
  <si>
    <t>Purpose: Physicians are important advocates for their patients, but few receive adequate training. To improve knowledge and involvement in advocacy at our institution, our team instituted an educational program about advocacy related to liquid nicotine, including interactive advocacy workshops and development of an advocacy action plan (AP). Liquid nicotine (Î“Ã‡Â£e-cigarettesÎ“Ã‡Â¥) is a hot topic that affects the health of children of all ages, given a toddler's recent fatal ingestion and skyrocketing use among adolescents. Methods: Surveys are provided several times between July 2015 and February 2016 to pediatric residents, adolescent medicine (AM) fellows and AM faculty at Cincinnati Children's Hospital Medical Center (CCHMC)- a large, urban, teaching hospital. Demographic information is being collected, including training year, field, gender, race/ethnicity. Knowledge of advocacy topics and level of involvement in advocacy activities are assessed. Surveys end with completion of an AP, asking participants to pick advocacy activities to complete, along with deciding their next steps, confidence level and what could be helpful in completing their goals. The advocacy training includes three sessions: Advocacy- themed Grand Rounds (summer), Liquid Nicotine Advocacy Game (fall) and Advocacy Scenarios (winter). The training will culminate in a legislative visit to the state capitol. Initial surveys have been gathered with descriptive analysis completed on presession baseline data and APs completed following session 1. Upon completion of the project, longitudinal data will be analyzed to determine how advocacy knowledge, involvement and confidence changes over time. Funded by the American Academy of Pediatrics Community Pediatrics Training Initiative Advocacy Training Grant. Results: Preliminary data was collected from 120 individuals (105 of 207 pediatric residents, 4 of 4 AM fellows, 11 of 13 AM faculty): level of training ranged from postgraduate year 1 (35%) to faculty (9%); 89% trained in categorical pediatrics; 68% female; 76% white and 83% non-Hispanic. Prior to session 1, 59% completed an advocacy rotation and 68% participated in some advocacy activity, most commonly educating patients (61%) or contacting legislators (24%). The most frequent obstacles faced were lack of time (56%), knowledge (31%) and skills (23%), with lack of interest reported by less than 13%. Participants were reportedly most knowledgeable about Î“Ã‡Â£individual, family &amp; community factors that influence child health.Î“Ã‡Â¥. Whereas, participants scored themselves lowest for items related to understanding how to participate in legislative advocacy. APs were completed by 71% of all participants: 82% deciding to educate patients, followed by 24% planning to contact legislators. The majority of AP respondents Î“Ã‡Â£agreeÎ“Ã‡Â¥ to Î“Ã‡Â£strongly agreeÎ“Ã‡Â¥ that they are confident in completing their goal(s). Additionally, during the study period, an Advocacy Interest Group at CCHMC was founded by four fellows of various subspecialties and seven pediatric residents. In the first two months of the project, seven CCHMC trainees have enrolled in the state advocacy group. Conclusions: Advocacy training can help overcome obstacles that prevent physician engagement in advocacy efforts. Educational sessions have the potential to improve knowledge and skills. Using APs following a training session, when trainees are most inspired, may lead to improved follow-through.</t>
  </si>
  <si>
    <t>(Rahmandar M.H.; Boykin A.; Warrick D.M.; Patterson-Rose S.) (Vaughn L.M.) 2016 Annual Meeting of the Society for Adolescent Health and Medicine, SAHM 2016 Washington, DC, United States 2016-03-09 to 2016-03-12 Elsevier USA; ID: 1988</t>
  </si>
  <si>
    <t>Raistrick,D. S.;Tober,G. W.;Unsworth,S. L.;Author,Addresses;Leeds;Addiction Unit, Springfield Mount Leeds,United Kingdom;Correspondence,Address;DS Raistrick, Leeds Addiction Unit Springfield Mount,Leeds United;Kingdom</t>
  </si>
  <si>
    <t>Attitudes of healthcare professionals in a general hospital to patients with substance misuse disorders</t>
  </si>
  <si>
    <t>drug misuse;general hospital;health personnel attitude;article;human;physician;policy;questionnaire;social care;Public Health, Social Medicine and Epidemiology (17);Psychiatry (32);Drug Dependence, Alcohol Abuse and Alcoholism (40)</t>
  </si>
  <si>
    <t>Aims and method: To repeat a survey (reported 2007) of the attitudes of staff in a general hospital setting towards working with people who have substance misuse problems. Therapeutic attitude and the frequency of undertaking tasks related to dealing with substance misuse problems were measured using a modified version of the Alcohol and Alcohol Problems Perception Questionnaire (AAPPQ). The questionnaire was given to staff on wards in general hospitals where people with substance misuse problems are commonly admitted. Results: The questionnaire return rate of 24% was lower than 2007 and the possible reasons are discussed. Doctors, nurses and healthcare assistants all reported low levels of therapeutic commitment and lower than 2007. Older doctors scored the lowest and younger doctors highest. Brief training seemed to have a positive effect. Implications: The authors conclude that there should be a policy shift away from trying to "piggy back" care of people with substance misuse problems onto practitioners in other clinical specialties. Although addiction problems are found in most areas of health and social care, the role of staff in treating addiction is limited-effective substance misuse treatment is best delivered by trained addiction practitioners.</t>
  </si>
  <si>
    <t>(Raistrick D.S., d.raistrick@nhs.net; Tober G.W.; Unsworth S.L.) Informa Healthcare, healthcare.enquiries@informa.com; ID: 2158</t>
  </si>
  <si>
    <t>2014626422 PUI L601046731</t>
  </si>
  <si>
    <t>10.3109/14659891.2013.878763 FULL TEXT LINK http://dx.doi.org/10.3109/14659891.2013.878763</t>
  </si>
  <si>
    <t>Raja,S.;Author,Addresses;Division of Pain Medicine, Johns Hopkins,University Baltimore;United,States;Correspondence,Address;Raja, Division of Pain Medicine Johns Hopkins University Baltimore,S.;United,States</t>
  </si>
  <si>
    <t>Opioids for the treatment of chronic neuropathic pain: The evidence</t>
  </si>
  <si>
    <t>European Journal of Pain Supplements</t>
  </si>
  <si>
    <t>adjuvant;opiate;neuropathic pain;abuse;addiction;adolescent;adult;book;chronic pain;cohort analysis;controlled study;cross tolerance;diabetic neuropathy;documentation;drug abuse;drug dependence;follow up;informed consent;medical specialist;pain;patient;patient education;physician;postherpetic neuralgia;prescription;problem patient;prospective study;sleep;therapy</t>
  </si>
  <si>
    <t>The appropriate use of opioids for the management of chronic neuropathic pain is a delicate balance between efficacy and the societal concerns of increasing drug abuse and diversion. Several randomized trials in the last decade have provided convincing evidence that at least in the short term period of several weeks, opioid therapy is associated with a reduction in pain intensity in patients with postherpetic neuralgia, diabetic neuropathy, and postamputation pain. Decrease in pain intensity may be associated with improvement in sleep and function. A critical review of the evidence does not support the notion that opioids are less effective in the management of neuropathic pain, when compared to nociceptive pain states. Studies also suggest that opioids in combination with adjuvant drugs are more effective than when used as sole therapy. Carefully conducted prospective studies on the long term effectiveness of opioids for neuropathic pain is still lacking. However, followup of patients enrolled in controlled trials suggest that a subset of patients continue to obtain long term benefit with only minimal increase in dose over time. The long term use of opioids can be associated with tolerance and physical dependence. Cohort studies suggest that tolerance to opioids is not a major limiting factor in their use. Cross-tolerance among opioids is not complete and a strategy that is often used when tolerance to an opioid is suspected is rotation to an alternate opioid drug. Although addiction to opioids when used for the treatment of chronic pain is reported to be less common, guidelines for responsible prescribing of opioids have been published as a monograph by the Federation of State Medical Boards. The critical suggested steps in the management of chronic pain patients with opioids include appropriate patient evaluation, creating and maintaining clear and detailed documentation, creating a functionbased treatment plan with well-defined patient goals, obtaining a written patient-physician agreement that includes informed consent and patient education, periodic review that focuses on progress toward functional goals, and making specialist referrals when managing difficult patients. Diversion of opioids and the increasing abuse of prescription opioids, particularly in teenagers and young adults, are of growing societal concern in the USA.</t>
  </si>
  <si>
    <t>(Raja S.) 3rd International Congress on Neuropathic Pain Athens, Greece 2010-05-27 to 2010-05-30 W.B. Saunders Ltd; ID: 2802</t>
  </si>
  <si>
    <t>1754-3207</t>
  </si>
  <si>
    <t>10.1016/S1754-3207(10)70118-8 FULL TEXT LINK http://dx.doi.org/10.1016/S1754-3207(10)70118-8</t>
  </si>
  <si>
    <t>Raju,R.;Palissery,V.;Al-Ameri,A.;Dimov,D.;Author,Addresses;Department of,Respiratory;Medicine,St James's University Hospital Leeds United Kingdom;Correspondence,Address;Raju, Department of Respiratory Medicine St James's University Hospital,R.;Leeds,United Kingdom</t>
  </si>
  <si>
    <t>Electronic cigarettes: Perceptions of doctors working in a large teaching hospital in the UK</t>
  </si>
  <si>
    <t>44 SUPPL. 58.</t>
  </si>
  <si>
    <t>(MAJOR FOCUS);electronic cigarette;anesthetic agent;nitrogen 13;European;human;physician;society;teaching hospital;United Kingdom;consensus;consultation;emergency medicine;exposure;health care personnel;non profit organization;patient;risk;safety;smoking cessation;student</t>
  </si>
  <si>
    <t>Background Electronic cigarettes (E-cigarettes) are marketed as a smoking cessation method but the overall risks and benefits uncertain. Medical professionals are expected to offer advice regarding E-cigarettes and therefore, this study explored the perception amongst doctors towards the use of E-cigarette by patients. Methods An electronic survey was emailed to all doctors in a large teaching hospital in Leeds (United Kingdom). The survey consisted of 10 questions including doctors' grade and specialty, exposure to patients using E-cigarettes, advice provided and professional perception of E-cigarettes. Results 146 responses were received. Grades consisted of consultants (37%), specialty registrars (29%) and foundation trainees (25.5%). Main Specialties included medical (39%), surgical (13.6%), anaesthetics (15.5%) and emergency medicine (9%). 70% had come across patients using E-cigarettes occasionally (52%), one to five times a week (41%) or five to ten times a week (6%). 64 doctors (44%) provided advise to patients. The advise was to continue using E-cigarettes, as the intention was smoking cessation (n=13, 20%), to continue using E-cigarettes despite the reason (n=3, 5%), to stop using E-cigarettes (n=9, 14%) or explained they were unable to provide any specific medical advice (n=39, 61%). E-cigarettes were deemed to be safe by 20 (14%) and unsafe by 57 (40%). 67 (46%) admitted lack of knowledge in this regard. Conclusions Healthcare professionals are increasingly exposed to patients using E-cigarettes. There is however, a lack of consensus regarding its use and safety with a majority unable to give any specific advice. Research and guidelines in this area are urgently needed.</t>
  </si>
  <si>
    <t>(Raju R.; Palissery V.; Al-Ameri A.; Dimov D.) European Respiratory Society Annual Congress 2014 Munich, Germany 2014-09-06 to 2014-09-06 European Respiratory Society; ID: 2204</t>
  </si>
  <si>
    <t>Ramakrishna,G. S.;Sankara Sarma,P.;Thankappan,K. R.;Author,Addresses;Achutha Menon Centre for Health Science Studies, Sree,Chitra Tirunal;Institute,for Medical;Technology,Thiruvananthapuram;Kerala,India;Correspondence,Address;KR Thankappan, Achutha Menon Centre for Health Science,Studies Sree;Chitra Tirunal Institute,for Medical;Technology;Thiruvananthapuram 695011 Kerala, India Email thank sctimst,ac in</t>
  </si>
  <si>
    <t>16483025; Tobacco use among medical students in Orissa</t>
  </si>
  <si>
    <t>November/December</t>
  </si>
  <si>
    <t>medical education;smoking;adolescent;adult;article;confidence interval;controlled study;family history;female;human;India;male;medical school;medical student;multivariate analysis;physician attitude;predictor variable;prevalence;questionnaire;sex difference;Public Health, Social Medicine and Epidemiology (17)</t>
  </si>
  <si>
    <t>Background. Tobacco use is the most important cause of preventable morbidity, disability and premature mortality. There is a lack of adequate and reliable data on tobacco use among medical students and their perceived role as future doctors in tobacco control. We aimed to find out factors associated with tobacco use among medical students and their perceived role in tobacco control as future doctors. Methods. A cross-sectional study was conducted among 1189 undergraduate medical students (68.5% men, median age: 21 years, age range: 17-27 years) in all 3 medical colleges of Orissa. Information on tobacco use, associated factors and their perceived role in tobacco control as future doctors was collected using a pre-tested anonymous questionnaire. Bivariate and multivariate analyses were done among the men respondents to find out associations between current tobacco use and predictor variables. Results. The prevalence of current tobacco use was 8.7% (95% CI: 7.1-10.3); men: 12.4%, women: 0.8%. Among 286 ever users, 34% started using tobacco after joining medical college. Students with a higher personal monthly expenditure and with a family history of tobacco use were more likely to be current users. Third-year students were 3.2-times more likely to be current tobacco users (OR: 3.21; CI: 1.43-7.19) compared to first-year students. Students who reported own tobacco use as not very harmful were 4.7-times more likely to be current users compared with those who reported otherwise (OR: 4.7; CI: 2.64-8.37). Compared to non-users, current tobacco users were less likely (p=0.026) to assess tobacco use in their patients and were less likely (p=0.012) to advise patients against tobacco use. Conclusion. Steps should be initiated early in medical colleges to prevent tobacco use, particularly among men students and those with a family history of tobacco use. â”¬âŒ The National Medical Journal of India 2005.</t>
  </si>
  <si>
    <t>(Ramakrishna G.S.; Sankara Sarma P.; Thankappan K.R., thank@sctimst.ac.in) All India Institute of Medical Sciences, Ansari Nagar, New Delhi, India.; ID: 3148</t>
  </si>
  <si>
    <t>http://www.ncbi.nlm.nih.gov/pubmed/16483025</t>
  </si>
  <si>
    <t>Tobacco use among medical students in Orissa</t>
  </si>
  <si>
    <t>Ramsey,M.;Author,Addresses;Counsel Personnel Serv Dept, Trenton State,Coll Trenton;N.J;Correspondence,Address;Counsel Personnel Serv Dept, Trenton State Coll,Trenton N.</t>
  </si>
  <si>
    <t>Reflections on training programs for female drug abusers</t>
  </si>
  <si>
    <t>Contemporary Drug Problems</t>
  </si>
  <si>
    <t>drug abuse;health education;health program;vocational education;central nervous system;geographic distribution;methodology;psychological aspect;sex difference;short survey;therapy;United States;Public Health, Social Medicine and Epidemiology (17);Psychiatry (32);Health Policy, Economics and Management (36);Drug Dependence, Alcohol Abuse and Alcoholism (40)</t>
  </si>
  <si>
    <t>Multifaceted oppression of the female drug abuser must be dispelled through the creation of a uniquely different treatment experience. Such a therapeutic program will differ markedly from traditional male-oriented treatment communities. It must be all-female in resident composition to assure open communication without sexually stereotyped reactions that tend to emerge in mixed-sex gatherings. It will require a female director, and a mostly female staff so as to afford women female leadership role models. This social training is not customary in traditional, male-oriented drug treatment programs; it goes beyond placing responsibility on the individual for her problems, and attacks the social and political correlates of female drug addiction in an attempt to remediate through training specific to these correlates.</t>
  </si>
  <si>
    <t>(Ramsey M.); ID: 3841</t>
  </si>
  <si>
    <t>0091-4509</t>
  </si>
  <si>
    <t>1981223067 PUI L11062863</t>
  </si>
  <si>
    <t>Rangachari,P. K.;Author,Addresses;Intestinal Dis. Research,Programme;McMaster University, Main Street West Hamilton,Ont L.;Correspondence,Address;PK Rangachari, Intestinal Dis Research Programme,McMaster University;Main Street West, Hamilton Ont,L.N.Z.Canada Email;chari@mcmaster.ca</t>
  </si>
  <si>
    <t>14722623; Exploring the context of drug use: A problem-based learning course in pharmacoepidemiology for undergraduate science students</t>
  </si>
  <si>
    <t>Naunyn-Schmiedeberg's archives of pharmacology</t>
  </si>
  <si>
    <t>Naunyn Schmiedebergs Arch.Pharmacol.</t>
  </si>
  <si>
    <t>drug use;learning;medical student;pharmacoepidemiology;article;drug surveillance program;evaluation study;examination;human;law;science;teaching;Public Health, Social Medicine and Epidemiology (17)</t>
  </si>
  <si>
    <t>The teaching of pharmacoepidemiology has been largely confined to health care professionals and graduate students. This paper reports an attempt to use problem-based learning (PBL) to teach the elements of that discipline to undergraduate science students. Carefully sequenced problems led students to consider the following issues: the terms used in epidemiology, merits and demerits of different epidemiological study designs, pharmacovigilance, the nature of evidence in law and science, economic evaluation of drugs and the use of drugs in different cultures. The 12-week course was taken by students in their final term prior to graduation. Multiple evaluation procedures were used: specific forms for assessing tutorial participation, individual explorations assessed usually by written essays and problem-solving exercises. The course has received high ratings from the students. The observations over a 10-year period suggest that PBL is a feasible approach to teach the social dimensions of drug use.</t>
  </si>
  <si>
    <t>(Rangachari P.K., chari@mcmaster.ca) Springer Verlag, Tiergartenstrasse 17, Heidelberg, Germany.; ID: 3247</t>
  </si>
  <si>
    <t>0028-1298</t>
  </si>
  <si>
    <t>http://www.ncbi.nlm.nih.gov/pubmed/14722623</t>
  </si>
  <si>
    <t>10.1007/s00210-003-0845-x FULL TEXT LINK http://dx.doi.org/10.1007/s00210-003-0845-x</t>
  </si>
  <si>
    <t>Exploring the context of drug use: A problem-based learning course in pharmacoepidemiology for undergraduate science students</t>
  </si>
  <si>
    <t>Rao,R.;Agrawal,A.;Ambekar,A.;Author,Addresses;Department,of Psychiatry;Dependence Treatment Centre, All India Institute of Medical,Sciences New;Delhi,India;Correspondence,Address;Rao, Department of Psychiatry National Drug Dependence Treatment Centre,R.;All India Institute of Medical Sciences, New,Delhi India</t>
  </si>
  <si>
    <t>National scale up of opioid substitution therapy for injecting drug users in India: The journey so far and the road ahead</t>
  </si>
  <si>
    <t>drug use;India;Indian;medical society;opiate substitution treatment;scale up;vascular guide wire;abscess;acquired immune deficiency syndrome;addiction;condom;education;epidemic;general practitioner;government;harm reduction;hospital;human;Human immunodeficiency virus;needle;postgraduate student;psychiatrist;psychiatry;syringe</t>
  </si>
  <si>
    <t>India has a concentrated but growing human immunodeficiency virus (HIV)-epidemic among injecting drug users (IDUs) with 7% IDUs being HIV positive. The National AIDS Control Programme has adopted the strategy of targeted interventions (TIs) for preventing HIV. These TIs provide various harm reduction services such as peer-based education, needle syringe exchange, condom promotion, abscess management, referral linkage, and opioid substitution therapy (OST). In order to achieve adequate control of HIV, at least 20% of the estimated 180,000 IDUs in the country must be covered with OST services. Till 2010, about 51 OST centers, (nongovernmental organization (NGO)- based) were providing OST services to about 4,800 IDUs, nationally. Since 2011, a scale-up program of OST services is underway. Under the new scheme, government hospitals provide the clinical services; while linked NGOs provide the outreach and field-based services. An elaborate process of selection and preparation of implementing institutions exists. So far, the scale-up has resulted in about 125 OST centers nationally, providing OST to about 12,500 IDUs, though the ambitious target of more than 300 new centers is still far away. Most challenging aspects of this huge national level scale-up are ensuring coordination between government hospitals and NGOs, building capacities of human resources, and ensuring the minimum quality of services. Owing to dearth of psychiatrists, general physicians are being trained to provide services under the supervision of psychiatrists, through systematically designed training systems and resource materials. A large network of academic institutions provides trainings. Periodic visits by psychiatrists ensure quality and provide hands-on experience. Members of the psychiatric academic fraternity have played an important role in the entire process bringing credibility, ensuring quality, and at the same time enhancing the opportunities for training of postgraduate (PG) students in addiction psychiatry. India still has a long way to go in terms of achieving adequate coverage. Sustaining the momentum along with ensuring quality is a major challenge in this scale-up process.</t>
  </si>
  <si>
    <t>(Rao R.; Agrawal A.; Ambekar A.) 66th Annual National Conference of the Indian Psychiatric Society, ANCIPS 2014 Pune, India 2014-01-16 to 2014-01-19 Medknow Publications and Media Pvt. Ltd; ID: 2310</t>
  </si>
  <si>
    <t>Rao,R.;Pawar,A. K. S.;Agrawal,A.;Ambekar,A.;Khandelwal,S. K.;Author,Addresses;All India Institute,of Medical;India;Correspondence,Address;Rao, All India Institute of Medical Sciences India Email,R.;drrvrao@gmail.com</t>
  </si>
  <si>
    <t>Can a five-day training programme on opioid substitution therapy (OST) improve scores on knowledge and skills of different cadre of service providers? Analysis of routine programme data</t>
  </si>
  <si>
    <t>Indian;medical society;opiate substitution treatment;skill;training;acquired immune deficiency syndrome;data analysis software;harm reduction;human;methodology;nurse;physician;questionnaire;software;Student t test;worker</t>
  </si>
  <si>
    <t>Objectives: To study the impact of a five-day training programme on Opioid Substitution Therapy (OST) on different cadre of service providers by analysis of data routinely collected, pre- and post-training. Methodology: Training programmes are held regularly to provide knowledge and skills on OST to service providers employed for running OST services supported under the National AIDS Control Programme. Each programme is for five-day duration, and has participants from medical and non-medical field. Every participant is administered a questionnaire of 20 questions (MCQs and true/false questions, possible score range: 0-20) on harm reduction, basics of drugs and OST, before and after training. The trainings are conducted by experienced trainers using standard training module. We analyzed data collected routinely and compared pre- and post-training scores using paired-t test analysis with SPSS software. Results: A total of nine trainings were held in the 13-month period, in which 267 OST staff members (average 30 participants per training) from various states of North and South region were trained, using standardized training module. A total of six trainers were involved in imparting the training. The mean age of participants was 32.5â”¬â–’9.5 years. The proportion of different cadre was: Doctors: 17.7%, Nurses: 20%, Counsellors: 19%, Outreach workers: 28.2%, and programme managerial staff: 14.7%. The mean pre-test and post-test score was 9.3â”¬â–’2.6 and 13.4â”¬â–’ 2.9 respectively. Comparison of mean scores using paired t-test analysis showed significant difference between the two scores (p&lt;0.001). Conclusion: The five-day training programme improves knowledge and skills of OST staff. It is feasible to train different cadre of staff in single training programme to initiate OST services.</t>
  </si>
  <si>
    <t>(Rao R., drrvrao@gmail.com; Pawar A.K.S., adityapawar@gmail.com; Agrawal A., dralok.nddtc.aiims@gmail.com; Ambekar A., atul.ambekar@gmail.com; Khandelwal S.K., sudhir_aiims@yahoo.co.uk) 67th Annual National Conference of the Indian Psychiatric Society, ANCIPS 2015 Hyderabad, India 2015-01-08 to 2015-01-11 Medknow Publications; ID: 2150</t>
  </si>
  <si>
    <t>Rash,C. J.;DePhilippis,D.;McKay,J. R.;Drapkin,M.;Petry,N. M.;Author,Addresses;Calhoun,Cardiology Center;Health,University of Connecticut Health Center Farmington Avenue;Farmington,C. T. U.;University,of Pennsylvania;Veterans Administration,Medical Center;University of Pennsylvania, Mental Health,Services Veterans;Affairs,Central Office;University of Connecticut Health Center,,C.T.United States;Correspondence,Address;CJ Rash, Calhoun Cardiology Center Behavioral Health,University of;Connecticut Health Center, Farmington Avenue,Farmington C.;United States Email, carlarash,gmail com</t>
  </si>
  <si>
    <t>23856601; Training workshops positively impact beliefs about contingency management in a nationwide dissemination effort</t>
  </si>
  <si>
    <t>health belief;medical education;substance abuse;workshop;abstinence;addiction;article;behavior;comprehension;consultation;evidence based practice;female;human;knowledge;leadership;male;motivation;outpatient care;perception;priority journal;skill;Public Health, Social Medicine and Epidemiology (17);Psychiatry (32);Drug Dependence, Alcohol Abuse and Alcoholism (40)</t>
  </si>
  <si>
    <t>In 2011, the Veterans Administration called for nationwide implementation of contingency management (CM) in its intensive outpatient substance use disorders treatment programs, and this study evaluated the impact of the initial 1 and 1/2 day training workshops on knowledge and perceptions about</t>
  </si>
  <si>
    <t>(Rash C.J., carlarash@gmail.com) (DePhilippis D.; McKay J.R.) (Drapkin M.) (Petry N.M.) Elsevier Inc., 360 Park Avenue South, New York, United States.; ID: 2369</t>
  </si>
  <si>
    <t>0740-5472 1873-6483 (electronic)</t>
  </si>
  <si>
    <t>http://www.ncbi.nlm.nih.gov/pubmed/23856601</t>
  </si>
  <si>
    <t>10.1016/j.jsat.2013.03.003 FULL TEXT LINK http://dx.doi.org/10.1016/j.jsat.2013.03.003</t>
  </si>
  <si>
    <t>Training workshops positively impact beliefs about contingency management in a nationwide dissemination effort</t>
  </si>
  <si>
    <t>Ratta-Apha,W.;Pornnoppadol,C.;Sitdhiraksa,N.;Atsariyasing,W.;Author,Addresses;Department;of Psychiatry, Siriraj Hospital Mahidol University,Bangkok Thailand;Correspondence,Address;Ratta-Apha, Department of Psychiatry Siriraj Hospital Mahidol,W.;University,Bangkok Thailand</t>
  </si>
  <si>
    <t>Game addiction: Current situation and comprehensive management at division of child and adolescent psychiatry, Siriraj Hospital</t>
  </si>
  <si>
    <t>27A</t>
  </si>
  <si>
    <t>alcohol;addiction;alcoholism;child;child psychiatry;hospital;human;medical research;society;academic achievement;adolescent;adult;aggression;behavior disorder;child parent relation;computer;education;health promotion;hope;impulse control disorder;internal consistency;Internet;internet addiction;interpersonal communication;non profit organization;parent;pathological gambling;patient;peer group;policy;prevalence;prevention;protection;psychiatry;responsibility;risk;screening test;social problem;student;technology;Thailand;training</t>
  </si>
  <si>
    <t>Recently, Game and internet overuse is one of the leading behavioral problems around in Thailand. The characteristics of these behavior problems are similar to psychological addiction, pathological gambling and impulse control disorder. Game and internet addiction significantly causes and be associated factor with psychological and social problems. In adolescents group, they are often related to physical symptoms and behavioral problems in a clinical setting significantly such as increasing the risk of aggressive behavior, poor academic performance etc. Furthermore, according to the previous literatures, the information showed the relationship between game addiction and alcohol and substance use problems in adolescent and adult group. Using Game Addiction Screening test (GAST), prevalence of game addiction in 4th - 9th grade students reported by Pornnoppadol C. and colleagues in 2010 is 13.3%. According to the behavioral surveys by the National Statistical Office of Thailand 2011, percentage of children and adolescents who can use information and communication technologies increased year by year especially in age group15 - 24 years. The survey found that 20.4% admitted that at least one of a family member play online game, and 34.6% of this group faced a problem associated with internet use and academic problem. Pornnoppadol C. and colleagues developed the Game Addiction Protection Scale (GAPS) and found the good internal consistency. They also reported potentially able factors, which prevent computer game addiction in children and adolescents i.e. 1) Individual factors: obedient, responsible, and good self-discipline child, participated in many extracurricular activities, 2) Family and parenting practice factors: more quality time the parents provided to their children, attempt to teach responsibility, strengthen good self-discipline, and 3) Environmental and peer group factor: peer group participated in many extracurricular activities. Moreover, to decrease the children's accessibility to play computer games can be the protective factors for game addiction. Division of Child and Adolescent Psychiatry, Department of Psychiatry, Faculty of Medicine Siriraj Hospital also focused on these problems. Not only evaluated, diagnosed and treated the patients, the division's multidisciplinary team staff also initiated the parent management training program for game addiction, and collaborated with Thai health promotion foundation developed website for being the source of psycho-education and prevention for these problems (www.healthygamer.net). In conclusion, we hope that in the near future Thailand, as well as our department will emphasize on this issue in all levels; the policy, knowledge of researches as well as development of the effective management in these behavioral addiction problems.</t>
  </si>
  <si>
    <t>(Ratta-Apha W.; Pornnoppadol C.; Sitdhiraksa N.; Atsariyasing W.) 2012 International Society for Biomedical Research on Alcoholism World Congress, ISBRA 2012 Sapporo, Japan 2012-09-09 to 2012-09-12 Blackwell Publishing Ltd; ID: 2522</t>
  </si>
  <si>
    <t>Raupach,T.;Falk,J.;Vangeli,E.;Schiekirka,S.;Rustler,C.;Grassi,M. C.;Pipe,A.;West,R.;Author,Addresses;Department of,Cardiology;Pneumology,University Medical Centre;Gâ”œâ•¢ttingen,Gâ”œâ•¢ttingen Germany;University;College London,London,United Kingdom;Deutsches Netz,Rauchfreier Krankenh;Gesundheitseinrichtungen E.V,Berlin Germany;Sapienza University,of Rome;University of Ottawa,Heart Institute;Correspondence,Address;Raupach,Department of Cardiology,T.;Pneumology,University Medical;Centre Gâ”œâ•¢ttingen, Gâ”œâ•¢ttingen Germany Email raupach,med uni</t>
  </si>
  <si>
    <t>Structured smoking cessation training for health professionals on cardiology wards: A prospective study</t>
  </si>
  <si>
    <t>European Journal of Preventive Cardiology</t>
  </si>
  <si>
    <t>cardiology;professional standard;smoking cessation;adult;article;controlled study;female;health practitioner;human;intervention study;major clinical study;male;motivation;nurse attitude;patient counseling;physician;priority journal;prospective study;qualitative analysis;questionnaire;Public Health, Social Medicine and Epidemiology (17)</t>
  </si>
  <si>
    <t>Background Smoking is a major cardiovascular risk factor, and smoking cessation is imperative for patients hospitalized with a cardiovascular event. This study aimed to evaluate a systems-based approach to helping hospitalized smokers quit and to identify implementation barriers. Design Prospective intervention study followed by qualitative analysis of staff interviews. Methods The prospective intervention study assessed the effects of implementing standard operating procedures (SOPs) for the provision of counselling and pharmacotherapy to smokers admitted to cardiology wards on counselling frequency. In addition, a qualitative analysis of staff interviews was undertaken to examine determinants of physician and nurse behaviour; this sought to understand barriers in terms of motivation, capability, and/or opportunity. Results A total of 150 smoking patients were included in the study (75 before and 75 after SOP implementation). Before the implementation of SOPs, the proportion of patients reporting to have received cessation counselling from physicians and nurses was 6.7% and 1.3%, respectively. Following SOP implementation, these proportions increased to 38.7% (p &lt; 0.001) and 2.7% (p = 0.56), respectively. Qualitative analysis revealed that lack of motivation, e.g. role incongruence, appeared to be a major barrier. Conclusions Introduction of a set of standard operating procedures for smoking cessation advice was effective with physicians but not nurses. Analysis of barriers to implementation highlighted lack of motivation rather than capability or opportunity as a major factor that would need to be addressed.</t>
  </si>
  <si>
    <t>(Raupach T., raupach@med.uni-goettingen.de; Falk J.; Schiekirka S.) (Raupach T., raupach@med.uni-goettingen.de; Vangeli E.; West R.) (Rustler C.) (Grassi M.C.) (Pipe A.) SAGE Publications Inc., claims@sagepub.com; ID: 2590</t>
  </si>
  <si>
    <t>2047-4881 (electronic) 2047-4873</t>
  </si>
  <si>
    <t>20160379169 PUI L610402163</t>
  </si>
  <si>
    <t>10.1177/2047487312462803 FULL TEXT LINK http://dx.doi.org/10.1177/2047487312462803</t>
  </si>
  <si>
    <t>Raupach,T.;Shahab,L.;Baetzing,S.;Hoffmann,B.;Hasenfuss,G.;West,R.;Andreas,S.;Author,Addresses;Georg;August University of Gâ”œâ•¢ttingen, University Clinic Department,of Cardiology;and Pneumology, D. Gâ”œâ•¢ttingen Germany;Cruk Health Behaviour,Research Centre;Epidemiology;Public Health, University College London,London United;Kingdom;Institute for,Medical Informatics;Epidemiology;Germany,Essen;Specialist Clinic for,Lung Diseases;Correspondence,Address;Raupach, Georg August University of Gâ”œâ•¢ttingen University Clinic,T.;Department of,Cardiology;Pneumology,D. Gâ”œâ•¢;raupach@med.uni,goettingen de</t>
  </si>
  <si>
    <t>19246446; Medical students lack basic knowledge about smoking: Findings from two European medical schools</t>
  </si>
  <si>
    <t>medical education;smoking;article;Europe;health program;human;medical school;medical student;mortality;patient counseling;priority journal;questionnaire;smoking cessation;smoking habit;Public Health, Social Medicine and Epidemiology (17)</t>
  </si>
  <si>
    <t>Introduction: Prevention of smoking-related disease is a major challenge to medicine. Although interventions delivered by clinicians can reduce smoking rates, the teaching of smoking cessation methods is not a top priority in most medical curricula. Methods: Medical students from Gâ”œâ•¢ttingen, Germany (n = 1,435), and London (n = 656) were asked to complete a questionnaire on smoking-related mortality and the effectiveness of different approaches to smoking cessation. In addition, students' perceived competence to counsel smokers was assessed. Results: Smoking-related mortality was underestimated by students from both study sites. The data suggest that smoking medical students greatly overestimated the chances of reaching old age as a smoker. A substantial number of students falsely assumed that nicotine causes coronary artery disease. Overall knowledge of the long-term effectiveness of smoking cessation methods was poor. For example, medical students from Gâ”œâ•¢ttingen considered "willpower alone" more effective than comprehensive group cessation programs. Less than a third of medical students from both study sites felt competent to counsel smoking patients. This finding was constant across different stages of medical education. Discussion: Students in both countries lacked relevant information about smoking and health and the effectiveness of cessation methods. Given the importance of smoking in practically all aspects of medicine and the role of clinicians in advising patients on and aiding cessation, this problem urgently needs to be addressed. â”¬âŒ The Author 2009. Published by Oxford University Press on behalf of the Society for Research on Nicotine and Tobacco. All rights reserved.</t>
  </si>
  <si>
    <t>(Raupach T., raupach@med.uni-goettingen.de; Baetzing S.; Hasenfuss G.) (Shahab L.; West R.) (Hoffmann B.) (IMIBE) (Andreas S.) Oxford University Press, Great Clarendon Street, Oxford, United Kingdom.; ID: 2904</t>
  </si>
  <si>
    <t>http://www.ncbi.nlm.nih.gov/pubmed/19246446</t>
  </si>
  <si>
    <t>10.1093/ntr/ntn007 FULL TEXT LINK http://dx.doi.org/10.1093/ntr/ntn007</t>
  </si>
  <si>
    <t>Medical students lack basic knowledge about smoking: Findings from two European medical schools</t>
  </si>
  <si>
    <t>Ray,O. S.;Author,Addresses;American,College of;Nashville,T. N. U.;Mainstream Drive, Nashville T. N. United;States;Correspondence,Address;United States Email,O.S.Ray, Mainstream Drive Nashville T.N.;oray@acnp.org</t>
  </si>
  <si>
    <t>17344449; About the American College of neuropsychopharmacology</t>
  </si>
  <si>
    <t>behavior disorder;drug dependence;medical education;medical research;mental deficiency;clinical practice;drug abuse;drug industry;financial management;health care organization;health care personnel;health program;medical information;medical school;medical society;practice guideline;short survey;Public Health, Social Medicine and Epidemiology (17);Psychiatry (32);Health Policy, Economics and Management (36)</t>
  </si>
  <si>
    <t>(Ray O.S., oray@acnp.org) American Psychiatric Publishing Inc., 1000 Wilson Blvd, Suite 1825, Arlington, United States.; ID: 3052</t>
  </si>
  <si>
    <t>http://www.ncbi.nlm.nih.gov/pubmed/17344449</t>
  </si>
  <si>
    <t>10.1176/appi.ap.31.2.122 FULL TEXT LINK http://dx.doi.org/10.1176/appi.ap.31.2.122</t>
  </si>
  <si>
    <t>About the American College of neuropsychopharmacology</t>
  </si>
  <si>
    <t>Ray,S. B.;Author,Addresses;Department of Anatomy, All India Institute of,Medical Sciences;Ansari Nagar,New,Delhi India;Correspondence,Address;SB Ray, Department of Anatomy All India Institute of,Medical Sciences;Ansari Nagar,New,Delhi India</t>
  </si>
  <si>
    <t>19320331; Doctor, heal thyself!</t>
  </si>
  <si>
    <t>September/October</t>
  </si>
  <si>
    <t>medical education;substance abuse;human;incidence;letter;medical student;student attitude;Public Health, Social Medicine and Epidemiology (17);Psychiatry (32);Drug Dependence, Alcohol Abuse and Alcoholism (40)</t>
  </si>
  <si>
    <t>(Ray S.B.) All India Institute of Medical Sciences, Ansari Nagar, New Delhi, India.; ID: 2962</t>
  </si>
  <si>
    <t>http://www.ncbi.nlm.nih.gov/pubmed/19320331</t>
  </si>
  <si>
    <t>Doctor, heal thyself!</t>
  </si>
  <si>
    <t>Rea,B.;Tortorano,A. M.;Author,Addresses;Dipartimento,di Sanit;Virologia,Sezione Sanitd Pubblica Universita degli Studi di Milano;Correspondence,Address;Rea, Dipartimento di Sanitâ”œÃ¡ Pubblica Microbiologia Virologia Sezione,B.;Sanitd Pubblica, Universita degli Studi,di Milano</t>
  </si>
  <si>
    <t>17228612; Tobacco smoking among medical students of the University of Milano, Italy ORIGINAL (NON-ENGLISH) TITLE Indagine conoscitiva sull'abitudine al fumo tra gli studenti di medicina e chirurgia dell'Universitâ”œÃ¡ degli studi di Milano</t>
  </si>
  <si>
    <t>Annali di igiene : medicina preventiva e di comunitâ”œÃ¡</t>
  </si>
  <si>
    <t>health promotion;medical student;smoking (adverse drug reaction, epidemiology, prevention);adult;article;female;human;Italy (epidemiology);male;middle aged;prevalence;questionnaire;retrospective study;smoking cessation;statistics;university</t>
  </si>
  <si>
    <t>In order to evaluate smoking habits among the future medical class an anonymous questionnaire about tobacco smoking was submitted to 822 students of the University of Milano in six academic years, from 1998/99 to 2003/04. A total of 184 students (22.4%) were smoker 463 (56.3%) had never smoked and 161 (19.6%) had previously smoked. More than half of these last had quit smoking during the university years. Smoking habits resulted influenced by the habits in the family (parents and brothers) and among the friends. Anti-smoking campaigns among medical students are needed taking into account their future role in health promotion and in prevention of tobacco smoking and its consequences.</t>
  </si>
  <si>
    <t>(Rea B.; Tortorano A.M.); ID: 3077</t>
  </si>
  <si>
    <t>1120-9135</t>
  </si>
  <si>
    <t>http://www.ncbi.nlm.nih.gov/pubmed/17228612</t>
  </si>
  <si>
    <t>Tobacco smoking among medical students of the University of Milano, Italy ORIGINAL (NON-ENGLISH) TITLE Indagine conoscitiva sull'abitudine al fumo tra gli studenti di medicina e chirurgia dell'Universitâ”œÃ¡ degli studi di Milano</t>
  </si>
  <si>
    <t>Rebours,V.;Vullierme,M. P.;Hentic,O.;Maire,F.;Hammel,P.;Ruszniewski,P. B.;Levy,P.;Author,Addresses;Correspondence,Address;Rebours,V.</t>
  </si>
  <si>
    <t>Smoking and the course of chronic pancreatitis: A dose-dependent relationship</t>
  </si>
  <si>
    <t>S97</t>
  </si>
  <si>
    <t>opiate;chronic pancreatitis;gastrointestinal disease;smoking;acute pancreatitis;alcohol consumption;alcoholism;calcification;cigarette smoking;computer assisted tomography;cystic fibrosis;diabetes mellitus;diagnosis;exocrine secretion;male;onset age;pain;pancreas calcification;patient;prospective study;radiologist;tobacco</t>
  </si>
  <si>
    <t>Smoking has recently been shown to adversely affect the course of acute and chronic alcoholic chronic pancreatitis (ACP), and mainly to induce earlier apparition of pancreatic fibrosis, calcifications and diabetes. However, these findings are still controversial and a dose-dependent relationship with the amount of tobacco consumption has not been looked for. Patients and methods- All patients with ACP who were smokers were included in this prospective study conducted in a single centre from 2006 to 2009. Epidemiological, clinical, biological and morphological data were collected and all CT scans reviewed by a senior radiologist. Smoking was defined as a minimal intake of 20 cigarettes per day for at least 3 years. Thresholds were defined at 10, 15, 20 and 30 packs.years (p.y) in order to assess the relationship between tobacco intake and the course of ACP. Statistical adjustment on alcohol intake was performed. Results- 108 pts (male 86%) were included, with a median alcohol intake of 145 (40-500) g/day since 15 3-40] years. 93% of the pts were smokers. The median tobacco intake was 30 3-90] p.y. Pancreatic calcifications and ductal changes were seen in 70 and 73% of the pts, respectively. Pancreatic exocrine insufficiency and diabetes were observed in 36 and 30% of the pts, respectively. Median age at onset of ACP, pancreatic exocrine insufficiency and diabetes was 45, 46 and 47 years, respectively. 33% of the pts had chronic, opioid-dependent pain. Pseudocysts were present in 56% of the pts (median diameter 60 mm). Median Balthazar severity index in pts with acute pancreatitis was 4 (1- 9). No differences in ACP outcome were seen at the 10 p.y threshold. However from the 15 p.y threshold, diagnosis of acute pancreatitis and ACP was made significantly earlier (33y and 36y versus 45 and 46y resp) (p=0.005 and 0.005 resp), irrespective of the amount of alcohol intake. Chronic pancreatic pain was also more frequent (p=0.05). At 20 p.y threshold, ACP and acute pancreatitis occurred earlier (p=0.0002 and &lt;0.0001), and the pts hade more often, calcifications and ductal changes (p=0.05 and 0.005 resp) irrespective of alcohol intake. Similar results were observed at the 30 p.y threshold, but additionally pancreatic exocrine insufficiency occurred earlier (p=0.04). Conclusion- Tobacco intake accelerates the course of ACP in a dose-dependent fashion. ACP occurs earlier as soon as 15 p.y, and a major threshold effect is seen at 20 p.y, where the frequency of all major complications of ACP is increased.</t>
  </si>
  <si>
    <t>(Rebours V.; Vullierme M.-P.; Hentic O.; Maire F.; Hammel P.; Ruszniewski P.B.; Levy P.) Digestive Disease Week, DDW 2010 New Orleans, LA, United States 2010-05-01 to 2010-05-06 W.B. Saunders; ID: 2796</t>
  </si>
  <si>
    <t>Reddy,A. S.;Haider,A.;Tayjasanant,S.;Wu,J.;Liu,D. D.;Yennu,S.;Cruz,De La;Vidal,M.;Reddy,S. K.;Bruera,E.;Author,Addresses;The University,of Texas;Anderson Cancer Center, Houston T X The University of,Texas M.;Cancer Center, Bellaire T. X.;Correspondence,Address;Reddy,A. S.</t>
  </si>
  <si>
    <t>The Opioid Rotation Ratio (ORR) to transdermal fentanyl (TDF) in cancer patients</t>
  </si>
  <si>
    <t>Journal of Clinical Oncology</t>
  </si>
  <si>
    <t>33:29 SUPPL. 1.</t>
  </si>
  <si>
    <t>(MAJOR FOCUS);fentanyl;opiate;morphine;serum albumin;cancer patient;human;oncology;palliative therapy;transdermal drug administration;advanced cancer;body mass;constipation;follow up;linear regression analysis;male;medical specialist;mucosa inflammation;neoplasm;neurotoxicity;outpatient;pain;patient;symptom assessment;validation study</t>
  </si>
  <si>
    <t>Background: Cancer patients frequently undergo opioid rotation (OR) for uncontrolled pain or opioid induced neurotoxicity. TDF is one of the most common opioids prescribed to cancer patients. However, the accurate ORR from other opioids to TDF is unknown and various currently used methods result in a wide variation of ORRs. Our aim was to determine the ORR of morphine equivalent daily dose (MEDD) to TDF when correcting for MEDD of breakthrough opioids (net MEDD) in cancer outpatients. Methods: We reviewed records of 22,532 consecutive patient visits at our Supportive Care Center in 2010-13 for OR from to TDF by a palliative medicine specialist. Data regarding Edmonton Symptom Assessment Scale (ESAS) and MEDD were collected in patients who returned for follow up within 5 weeks. Linear regression analysis was used to estimate the ORR between TDF dose and net MEDD (MEDD prior to OR minus MEDD of breakthrough opioid used along with TDF after OR). Successful</t>
  </si>
  <si>
    <t>(Reddy A.S.; Haider A.; Tayjasanant S.; Wu J.; Liu D.D.; Yennu S.; De La Cruz M.G.; Vidal M.; Reddy S.K.; Bruera E.) 2015 Palliative Care in Oncology Symposium Boston, MA, United States 2015-10-09 to 2015-10-10 American Society of Clinical Oncology; ID: 2055</t>
  </si>
  <si>
    <t>0732-183X</t>
  </si>
  <si>
    <t>Reddy,A. S.;Yennu,S.;Reddy,S. K.;Wu,J.;Liu,D. D.;Bruera,E.;Author,Addresses;The;University of Texas Md Anderson Cancer Center, Houston,T.X.The University;of Texas Md Anderson,Cancer Center;Correspondence,Address;Reddy,A. S.</t>
  </si>
  <si>
    <t>The Opioid Rotation Ratio (ORR) from transdermal fentanyl (TDF) to strong opioids in cancer patients</t>
  </si>
  <si>
    <t>(MAJOR FOCUS);fentanyl;opiate;morphine;cancer patient;human;oncology;palliative therapy;transdermal drug administration;advanced cancer;cancer center;follow up;linear regression analysis;male;medical specialist;neurotoxicity;oncologist;pain;patient;symptom assessment;validation study</t>
  </si>
  <si>
    <t>Background: Despite being the most frequently prescribed strong opioid by oncologists, there is a lack of knowledge of the accurate the opioid rotation ratio (ORR) from transdermal fentanyl (TDF) to other strong opioids in cancer patients. Opioid rotation (OR) from TDF to other strong opioids is performed very frequently in cancer patients for uncontrolled pain or opioid induced neurotoxicity (OIN). The aim of our study was to determine the ORR of TDF to other strong opioids, as measured by morphine equivalent daily dose (MEDD). Methods: In this ad hoc analysis, we reviewed 2471 consecutive patient visits to the supportive care center of a tertiary cancer center in 2008 for an OR from TDF to other strong opioids by a palliative medicine specialist. Information regarding demographics, Edmonton Symptom Assessment Scale (ESAS), and MEDD were collected in patients who followed-up within 6 weeks. Linear regression analysis was used to estimate the ORR between TDF dose and net MEDD (MEDD after OR minus MEDD of breakthrough opioid used along with TDF before OR). Successful OR was defined as 2-point or 30% reduction in pain score and continuation of the new opioid at follow up. Results: 47/2471 patients underwent OR from TDF to other opioids and followed-up within 6 weeks. The median age was 54 years, 53% were male, and 77% had advanced cancer. The median time between OR and follow up was 14 days. Uncontrolled pain (83%) followed by OIN (15%) were the most frequent reasons for OR and 77% had a successful OR with significant improvement in ESAS pain and symptom distress scores. In patients with OR and no worsening of pain at follow-up (n = 41), the median ORR (range) from TDF mg/day to net MEDD was 100 (12.5-217), TDF mcg/hour to net MEDD was 2.4 (0.3-5.2), and correlation of TDF dose to net MEDD was .60 (P &lt; 0.0001). Conclusions: The median ORR from TDF mg/day to MEDD is 100 and from TDF mcg/hour to MEDD is 2.4. Further validation studies are needed.</t>
  </si>
  <si>
    <t>(Reddy A.S.; Yennu S.; Reddy S.K.; Wu J.; Liu D.D.; Bruera E.) 2015 Palliative Care in Oncology Symposium Boston, MA, United States 2015-10-09 to 2015-10-10 American Society of Clinical Oncology; ID: 2054</t>
  </si>
  <si>
    <t>Reddy,A. T.;Andersen,R. M.;Gelberg,L.;Author,Addresses;Department of,Family;Medicine,David Geffen School of Medicine at Ucla United States;of,Ucla Fielding School;Public Health, Veterans Affairs Greater Los Angeles Healthcare,System Los;Angeles,United States;Department,of Health;Management,Ucla Fielding;School of Public Health, Ucla Department of Sociology Los,Angeles United;States;Correspondence,Address;AT Reddy, Veterans Affairs Greater Los Angeles Healthcare,System Building;Email,Wilshire Ave Los Angeles United States;areddy@mednet.ucla.edu</t>
  </si>
  <si>
    <t>26441402; Clinicians' Beliefs and Practices Regarding Drug Use Care of Their Community Health Center Patients</t>
  </si>
  <si>
    <t>(MAJOR FOCUS);illicit drug;clinical practice;drug use;general practitioner;health center;physician attitude;adult;article;female;health care policy;human;Likert scale;male;medical education;patient counseling;priority journal;psychologic assessment;questionnaire;responsibility;scoring system;substance use;United States;Public Health, Social Medicine and Epidemiology (17);Drug Dependence, Alcohol Abuse and Alcoholism (40)</t>
  </si>
  <si>
    <t>Objectives: Integration of behavioral health including substance use problems into primary care is an essential benefit that federally qualified health centers (FQHCs) will offer as part of the Affordable Care Act. This study explores FQHC primary care clinicians' beliefs and practices regarding illicit drug use assessment and treatment. Methods: We administered a 10-minute questionnaire to 68 primary care clinicians of 5 FQHCs in Los Angeles. Results: Clinicians expressed limited confidence in their ability to address patients' illicit drug use, scoring on average 3.31 on a 5-point Likert scale. Two thirds reported that they assess for drug use routinely "at every visit" and/or "at annual visits." When asked how often they counsel regarding drug use (on a 5-point Likert scale from "never" to "always"), the median response was 4 ("usually"). Regarding their perspectives on the best practical resource for addressing drug use in their clinics, 45.6% named primary care clinicians. A minority (29.4%) of clinicians had completed a clinical rotation dealing with substance use, and 27.2% reported receiving more than 10hours of training regarding substance use problems. Having a substance use rotation was associated with greater confidence in drug use assessment and treatment (P&lt;0.01). More hours of substance use training was associated with greater confidence (P=0.01) and routinely addressing substance use in their patients (P=0.04). Conclusions: Although two thirds of the surveyed clinicians assess for drug use routinely, and on average, report that they usually address drug use, clinicians' confidence in substance use care seems to be suboptimal, but both confidence and routinely addressing substance use are associated with increased substance use education. Improving clinicians' training and integrating drug use care in FQHCs may improve confidence in substance use care and facilitate the Affordable Care Act's mandate to integrate behavioral health into routine FQHC primary care.</t>
  </si>
  <si>
    <t>(Reddy A.T., areddy@mednet.ucla.edu; Gelberg L.) (Andersen R.M.) Lippincott Williams and Wilkins, agents@lww.com; ID: 2041</t>
  </si>
  <si>
    <t>http://www.ncbi.nlm.nih.gov/pubmed/26441402</t>
  </si>
  <si>
    <t>10.1097/ADM.0000000000000158 FULL TEXT LINK http://dx.doi.org/10.1097/ADM.0000000000000158</t>
  </si>
  <si>
    <t>Clinicians' Beliefs and Practices Regarding Drug Use Care of Their Community Health Center Patients</t>
  </si>
  <si>
    <t>Redfern,J.;Patel,S.;Plant,J.;Ennals,G.;Gittins,H.;Schrober,M.;Collins,A.;Nazareth,D.;Davies,L.;Author,Addresses;Correspondence,Address;Redfern,J.</t>
  </si>
  <si>
    <t>Documentation &amp; accuracy of smoking status-an educational need?</t>
  </si>
  <si>
    <t>documentation;European;smoking;society;chronic obstructive lung disease;clinical audit;diagnosis;education;education program;health care personnel;hospital admission;human;male;patient;physician;smoking cessation;spirometry;United Kingdom;university hospital;ward</t>
  </si>
  <si>
    <t>Introduction: A comprehensive admission assessment includes an accurate smoking history (SH). There are Î“Ãªâ•3 million people in the UK with Chronic Obstructive Pulmonary Disease (COPD), of which Î“Ãªâ•2/3rd remain undiagnosed 1]. Without an accurate SH prompting spirometry &amp; appropriate referral (smoking cessation advice (SCA) services) this statistic will not improve &amp; delays early preventative treatment. NICE (UK) encourages all healthcare professionals (HCP) to refer to SCA services 2]. Our study conducted at a large UK university hospital evaluates the pattern &amp; accuracy of documentation, with a view to targeted HCP education. Method: Cross-sectional case note audit during admission to a respiratory ward in January 2011 (current and ex-smokers). We compared the documentation of pack year (PY) SH at hospital admission to SH taken by a respiratory physician. The initial documentation of PYs was deemed accurate if within â”¬â–’5 PYs of that determined by the physician. Results: N=81 (43% male). Mean age 72 (SD 14) yrs. Smoking status (SS) was documented on admission in 89% (45% smokers, 55% ex-smokers). Accuracy of calculation of PYs -40%. Documentation was by junior (79%), middle grade doctors (21%). Conclusion: Recognising undiagnosed COPD earlier is vital, &amp; an accurate SH helps to enable this. Although nearly 90% of patients had some documentation of their SS, less than half were accurate when calculating PYs. A regular targeted education programme surrounding the issues of SH documentation &amp; its importance in COPD diagnosis is being arranged for all HCPs.</t>
  </si>
  <si>
    <t>(Redfern J.; Patel S.; Plant J.; Ennals G.; Gittins H.; Schrober M.; Collins A.; Nazareth D.; Davies L.) European Respiratory Society Annual Congress 2011 Amsterdam, Netherlands 2011-09-24 to 2011-09-28 European Respiratory Society; ID: 2646</t>
  </si>
  <si>
    <t>Reilly,J.;Author,Addresses;Mental Health,Service Group;Health;Service,Townsville Australia;Correspondence,Address;Reilly, Mental Health Service Group Townsville Hospital,J.;Health;Service,Townsville Australia</t>
  </si>
  <si>
    <t>Addictions and mental health services: A brief overview of recent history in Queensland</t>
  </si>
  <si>
    <t>alcohol;addiction;Australia;Australian;college;human;mental health service;New Zealand;psychiatrist;general practitioner;health care delivery;health care quality;health service;hospital;mental health;model;organization and management;primary medical care;psychiatry;Reunion;secondary health care;skill;tobacco</t>
  </si>
  <si>
    <t>Background: The longstanding breach in many states between public sector mental health services (MHS) and clinical addiction services has been associated with loss of capacity and de-skilling of psychiatrists in addiction, contributing to lack of training pathways in addiction psychiatry. Developing Hospital and Health Service structures in Queensland have supported the reunion of MHS and Alcohol, Tobacco and Other Drugs Services (ATODS). This has necessitated the development of clinical capacity in addictions among psychiatrists and other clinicians in addition to applicable clinical governance processes. ATODS model of care historically has hovered between primary and secondary care, with associated de-skilling of primary care services. Objectives: To stimulate discussion about strategies for enhancing subspecialty knowledge, skills and practice in addictions in clinicians who work in rural and remote settings. Methods: We will consider addictions as a specific example of the issues highlighted by Dr Lee. We will outline existing service delivery structures and gaps in Queensland. We will identify core requirements for psychiatrists to work as clinicians in addiction services, whether as subspecialists or generalists, and consider strategies for upskilling psychiatrists, other mental health clinicians and general practitioners in addictions. Findings and conclusions: Linkages between psychiatry and addictions need further nurturing. RANZCP training and the attitudes of psychiatrists will play a vital role in the reunions and the recognition of addictions as a core component of psychiatry.</t>
  </si>
  <si>
    <t>(Reilly J.) Royal Australian and New Zealand College of Psychiatrists, RANZCP Annual Congress 2015 South Brisbane, QLD, Australia 2015-05-03 to 2015-05-07 SAGE Publications Ltd; ID: 2111</t>
  </si>
  <si>
    <t>Reilly,J.;Lee,J.;Mohiuddin,M.;Author,Addresses;Mental Health,Service Group;Hospital;Health Service,Townsville Australia;Correspondence,Address;Reilly, Mental Health Service Group Townsville Hospital,J.;Health;Service,Townsville Australia</t>
  </si>
  <si>
    <t>Generalists and (SUB)- specialists: Has the balance swung too far? Are the scales weighted equally in metropolitan and regional settings?</t>
  </si>
  <si>
    <t>Australian;college;human;medical specialist;New Zealand;psychiatrist;addiction;adolescent;child;evidence based practice;health care;health care delivery;health service;holistic care;medical school;mental disease;mental health care;model;organ systems;personal experience;psychiatry;quality control;risk;senescence;skill;student</t>
  </si>
  <si>
    <t>Background: Medical specialisation and its inevitable hand-maiden, sub-specialisation, has been associated with significant advances in effectiveness of health service delivery, facilitating high-quality assessment and effective evidence-based health care in addition to targeted research. It does come at a potential cost of fragmentation of service delivery with focus on organ systems or service delivery structures rather than holistic care. The balance between generalist care and specialisation is influenced by many factors not necessarily related to most cost-effective clinical service delivery and certainly including training structures. Objectives: To stimulate discussion about impacts of subspecialisation on RANZCP training and on service delivery to people with mental illness, particularly in regional settings. To consider possible benefits and risks of more generalist psychiatric care, including existing barriers to training in and maintenance of sub-specialist skills for generalists. Methods: The speakers will consider this topic from various perspectives, including historical trends, those of other Medical Colleges, service development and delivery, psychiatric training and particularly addiction, child and adolescent, and old age psychiatry as sub-specialties. They will use their current roles of psychiatric trainee, psychiatrists and service directors from a regional centre to do so and to outline the strategies being used in Townsville and the surrounding area to provide generalist and subspecialty care. The audience will be encouraged to discuss personal experiences of generalist vs sub-specialist psychiatry and of access to sub-specialty knowledge and skills and the relevance of sub-specialty training, and the strategies used by or planned in other services, including their outcomes. We anticipate this will be of particular relevance to psychiatrists working in rural and remote settings, but believe it is important for all. Conclusion: The symposium will enhance understanding of possible generalist and sub-specialist models of care and encourage discussion about the impact of further sub-specialisation in psychiatry and a possible shift to generalist training with associated training and service delivery requirements.</t>
  </si>
  <si>
    <t>(Reilly J.; Lee J.; Mohiuddin M.) Royal Australian and New Zealand College of Psychiatrists, RANZCP Annual Congress 2015 South Brisbane, QLD, Australia 2015-05-03 to 2015-05-07 SAGE Publications Ltd; ID: 2113</t>
  </si>
  <si>
    <t>Reinish,A.;Andolina,J.;Pulcino,T.;Busick,H.;Bruckner,L.;Asante,A.;Fries,C.;Noronha,S.;Author,Addresses;University of Rochester,Medical Center;United,States;Correspondence,Address;Reinish, University of Rochester Medical Center Rochester United,A.;States</t>
  </si>
  <si>
    <t>Addressing the educational needs of adolescents and young adults with sickle cell disease as they transition to the adult healthcare system: A pilot study</t>
  </si>
  <si>
    <t>Pediatric Blood and Cancer</t>
  </si>
  <si>
    <t>65 Supplement 1</t>
  </si>
  <si>
    <t>health care system;pilot study;sickle cell anemia;adolescent;adult;child;clinical article;conference abstract;controlled study;curriculum;data analysis;female;groups by age;hematologist;human;learning;male;mobile phone;opiate addiction;outcome assessment;patient preference;preliminary data;satisfaction;student;young adult</t>
  </si>
  <si>
    <t>Background: Patients with sickle cell disease (SCD) face worsening morbidity and mortality between ages 18 and 30, when they must transition from pediatric to adult healthcare.( 1) An effective curriculum addressing disease knowledge, educational and vocational skills, self-efficacy, and social supports is critical to a successful transition. Traditional didactic approaches have not led to durable knowledge retention.( 2) Technology-based methods have been attempted, but the best educational approach remains unknown. Objectives: 1. To understand how adolescent and young adult (AYA) patients with SCD view existing transition education. 2. To include patient preferences in improving our transition curriculum. Design/Method: We developed a qualitative survey to assess patient views of existing approaches for learning about SCD and their opinions about preferred transition topics. Thirty patients with SCD aged 12 to 24 years old were recruited between January and December 2017. Responses were managed using REDCap electronic data tools hosted at theUniversity of Rochester.(3,4) Qualitative and quantitative data analyses were performed, including independent t-testing to compare responses between age groups. Results: Approximately 68% of subjects were under 18 years of age, while 32% were 18 or older. Seventy-one percent had a computer, and 93.5% had a cell phone, with most reporting daily use. Subjects reported greatest satisfaction with learning from their doctor during clinic visits (83.9% agree or strongly agree) and websites on a cell phone (77.4% agree or strongly agree); the least popular methods were online chat rooms and Microsoftâ”¬Â« PowerPoint presentations. Satisfaction was similar across age groups. Recommended transition topics were viewed positively, with subjects ranking highest understanding their bloodwork (87.1% agree or strongly agree) and understanding laws protecting students with chronic disease (93.6% agree or strongly agree). Older subjects (18-24 years old) agreed more strongly with learning about opioid addiction and understanding differences between adult and pediatric doctors than did younger subjects (12-17 years old) (p &lt; 0.05). Conclusion: This pilot study was successful in helping us to understand the educational needs of AYA patients with SCD. Preliminary data underscore the importance of education provided by the pediatric hematologist. Our results also suggest that the optimal use of technology-based methods requires further investigation and that tailoring transition education by age group may be useful.</t>
  </si>
  <si>
    <t>(Reinish A.; Andolina J.; Pulcino T.; Busick H.; Bruckner L.; Asante A.; Fries C.; Noronha S.) 2018 American Society of Pediatric Hematology/Oncology, ASPHO 2018 Pittsburgh, PA, United States 2018-05-02 to 2018-05-05 John Wiley and Sons Inc.; ID: 1716</t>
  </si>
  <si>
    <t>1545-5017</t>
  </si>
  <si>
    <t>10.1002/pbc.27057 FULL TEXT LINK http://dx.doi.org/10.1002/pbc.27057</t>
  </si>
  <si>
    <t>Rennard,S. I.;Author,Addresses;University Nebraska Medical Center, Omaha,N.E.United States;Correspondence,Address;SI Rennard, University Nebraska Medical Center Omaha,N.E.United States</t>
  </si>
  <si>
    <t>8586144; Smoking and health: A physician's responsibility. A statement of the joint committee on smoking and health</t>
  </si>
  <si>
    <t>doctor patient relation;medical education;smoking;smoking cessation;health promotion;human;priority journal;short survey;Cancer (16);Public Health, Social Medicine and Epidemiology (17);Cardiovascular Diseases and Cardiovascular Surgery (18)</t>
  </si>
  <si>
    <t>Tobacco use, particularly cigarette smoking, is a major cause of preventable disease and premature death worldwide. Both smokers and nonsmokers exposed to environmental tobacco smoke are at risk. Cessation of smoking reduces risks. Although the addictive properties of nicotine can make cessation difficult, both medical interventions aimed at helping smokers quit and social policies aimed at control of cigarette smoking can have significant benefits. Physicians should play an active role in control of smoking by ensuring that counseling and pharmacological therapy are available for the individual smoker. Physicians should also participate in the public debate regarding smoking both individually and through medical organisations. As smoking represents a threat to the public health, physicians must take a strong and active role in seeking its control.</t>
  </si>
  <si>
    <t>(Rennard S.I.) European Respiratory Society, 4 Ave Sainte-Luce, Lausanne, Switzerland.; ID: 3527</t>
  </si>
  <si>
    <t>http://www.ncbi.nlm.nih.gov/pubmed/8586144</t>
  </si>
  <si>
    <t>10.1183/09031936.95.08101808 FULL TEXT LINK http://dx.doi.org/10.1183/09031936.95.08101808</t>
  </si>
  <si>
    <t>Smoking and health: A physician's responsibility. A statement of the joint committee on smoking and health</t>
  </si>
  <si>
    <t>Renner Jr,J. A.;Author,Addresses;Department,of Psychiatry;University School of Medicine, V A Outpatient Clinic,Causeway Street;Boston,M. A. U.;Correspondence,Address;JA Renner Jr, Department of Psychiatry Boston University,School of;Medicine,V. A. O.;United States Email, john renner med,va gov</t>
  </si>
  <si>
    <t>Training psychiatrists to treat dual diagnosis patients</t>
  </si>
  <si>
    <t>medical education;medical practice;mental disease (diagnosis);psychiatrist;addiction;behavior therapy;cognition;conference paper;detoxification;Diagnostic and Statistical Manual of Mental Disorders;diagnostic procedure;differential diagnosis;human;medical profession;motivation;substance abuse;Public Health, Social Medicine and Epidemiology (17);Psychiatry (32)</t>
  </si>
  <si>
    <t>Despite the high incidence of dual diagnosis patients in most treatment settings, psychiatrists have not been adequately trained to care for patients with substance use disorders and co-occurring psychiatric disorders. Brief rotations on detoxification or substance abuse rehabilitation units do not provide the type of training that is needed to develop the long-term management skills required to successfully treat these patients. Boston University Medical Center has developed an expanded addiction psychiatry curriculum that is coupled with a 2-year longitudinal rotation on a dual diagnosis outpatient unit. Residents receive in-depth training in cognitive behavioral and harm reduction therapy, motivational enhancement treatment, and addiction pharmacotherapy. Trainees need to work with psychiatrists who respect these patients and are willing to take responsibility to manage both SUD and co-occurring disorders. A longitudinal training experience is an ideal model for learning appropriate addiction treatment skills and for gaining confidence in the efficacy of these treatments. Copyright â”¬âŒ by The Haworth Press, Inc. All rights reserved.</t>
  </si>
  <si>
    <t>(Renner Jr. J.A., john.renner@med.va.gov) Haworth Press Inc., 10 Alice Street, Binghamton, United States.; ID: 3044</t>
  </si>
  <si>
    <t>1550-4263 1550-4271 (electronic)</t>
  </si>
  <si>
    <t>2007299504 PUI L46953134</t>
  </si>
  <si>
    <t>10.1300/J374v03n02_14 FULL TEXT LINK http://dx.doi.org/10.1300/J374v03n02_14</t>
  </si>
  <si>
    <t>Resnick,R. B.;Galanter,M.;Pycha,C.;Cohen,A.;Grandison,P.;Flood,N.;Author,Addresses;Department of Psychiatry, New York University Medical,Center First;Avenue,New York N. Y. United States;Correspondence,Address;RB Resnick, Department of Psychiatry New York University,Medical Center;First Avenue, New York,N.Y.United States</t>
  </si>
  <si>
    <t>1609035; Buprenorphine: An alternative to methadone for heroin dependence treatment</t>
  </si>
  <si>
    <t>Psychopharmacology bulletin</t>
  </si>
  <si>
    <t>Psychopharmacol.Bull.</t>
  </si>
  <si>
    <t>(MAJOR FOCUS);buprenorphine (drug dose, drug therapy);diamorphine (drug toxicity);methadone (drug therapy);heroin dependence (drug therapy);adult;article;dose response;drug withdrawal;health hazard;human;major clinical study;methadone treatment;sublingual drug administration;buprenorphine (52485-79-7, 53152-21-9);diamorphine (1502-95-0, 561-27-3);methadone (1095-90-5, 125-56-4, 23142-53-2, 297-88-1, 76-99-3);Drug Literature Index (37);Drug Dependence, Alcohol Abuse and Alcoholism (40);Toxicology (52)</t>
  </si>
  <si>
    <t>Eighty-five heroin addicts who were unwilling to receive methadone maintenance or enter therapeutic communities were assessed, single-blind, for the lowest sublingual dose of buprenorphine that blocked heroin craving (8.0 mg max). All doses were administered daily under observation. After maintenance for 4 to 12 weeks, abstinent subjects (confirmed by urine drug screens) entered a double-blind discontinuation trial and were randomly assigned to receive dose reductions (10% twice weekly for 5 weeks to zero dose, then placebo for 2 weeks) or a stable dose for 7 weeks. Subjects were terminated from discontinuation if heroin was used or they had increased craving/symptoms. Subjects completed the trial if they did not use heroin and had no increase in craving/symptoms. A wide dose range (1.5-8.0 mg/day) was effective in reducing heroin craving and use. Of 73 subjects who received buprenorphine for 4 to 52 weeks, 40 had no prior treatment, despite high levels (mean $/day heroin = 70.5 â”¬â–’ 94.7) and many years (mean years = 10.7 â”¬â–’ 8.6) of dependence. Subjects who received dose reductions developed abstinence symptoms, low energy most commonly, associated with drug-seeking behavior. Discontinuation trial outcome (n = 51) shows a highly significant difference between 29 subjects who received dose reductions (28 terminated, 1 completed) and 22 subjects who received no dose reductions (3 terminated; 19 completed) (chi-square = 36.08; p &lt; .00001). The findings suggest that buprenorphine could be an important medication for reducing demand for heroin by many heroin addicts who remain outside the present health-care system. Establishing buprenorphine treatment programs that are independent of methadone maintenance programs, conducted by physicians who have received training and subspecialty certification in addiction medicine, would minimize health risks to the general public and maximize its acceptance as a treatment modality.</t>
  </si>
  <si>
    <t>(Resnick R.B.; Galanter M.; Pycha C.; Cohen A.; Grandison P.; Flood N.) National Institute on Drug Abuse, 6001 Executive Boulevard. Room 5213, Bethesda, United States.; ID: 3623</t>
  </si>
  <si>
    <t>0048-5764</t>
  </si>
  <si>
    <t>http://www.ncbi.nlm.nih.gov/pubmed/1609035</t>
  </si>
  <si>
    <t>Buprenorphine: An alternative to methadone for heroin dependence treatment</t>
  </si>
  <si>
    <t>Reyes,J. C. M.;Stamoulis,C.;Teich,H.;Golub,S.;Calgua,E. H.;Hassan,A.;Author,Addresses;Hospital General San Juan,de Dios;Boston Children's,Hospital;United,States;Universidad de San Carlos,de Guatemala;Correspondence,Address;JCM Reyes, Hospital General San Juan de,Dios Guatemala</t>
  </si>
  <si>
    <t>Evaluating adolescent health training in guatemala</t>
  </si>
  <si>
    <t>adolescent health;Guatemala;academic achievement;acquired immune deficiency syndrome;adolescent;adult;chi square test;clinical article;conference abstract;confidentiality;contraception;drug dependence;e-mail;female;human;Likert scale;medical school;medicine;mood disorder;morbidity;mortality;pediatrician;practice guideline;pregnancy;prescription;psychiatrist;questionnaire;residency education;risk factor;sexual behavior;sexually transmitted disease;statistics;student;violence;vulnerable population</t>
  </si>
  <si>
    <t>Purpose: Today's generation of adolescents is the largest in history, creating a major challenge for low and middle-income countries faced with the necessity of addressing their health care. Our objectives were to (1) assess gaps in adolescent medicine competencies in Guatemala and (2) examine the extent to which health care providers are trained, knowledgeable and feel comfortable with providing services to this growing population. Methods: We conducted a national survey of active physicians who currently provide care to adolescents in Guatemala. The survey contained a total of 101 questions including yes/no, Likert scale, and check all that apply. The survey was pilot tested with 8 healthcare providers prior to being distributed. Emails with the survey link were sent via REDCap to members of the Colegio de Medicos y Cirujanos. Descriptive statistics were used to report training in 35 adolescent medicine topics, current screening practices, and availability of educational opportunities. We used chi-square tests to examine response differences by provider characteristics (specialty, age, trainee status, and geographic location). Results: Four-hundred eight-four (90.6%) providers who opened our survey link consented to completing the questionnaire. Of these, 391 (80.1%) were currently caring for adolescents meeting inclusion criteria for our final sample. Ninety-five (24.3%) identified as pediatricians; 178 (45.5%) practiced in the capital city. Our sample was young with a median age of 31.0 years (25th, 75th) quartiles = (29.0, 40.0) years; 3.1% missing]. Almost two thirds 250 (63.9%)] were currently in train-ing. More than 50% of physicians felt that only 3 out of 35 core topics, specifically pregnancy, sexually transmitted diseases and HIV/AIDS, had been covered Î“Ã‡Â£wellÎ“Ã‡Â¥ or Î“Ã‡Â£very wellÎ“Ã‡Â¥ during medical school and residency training. Behavioral health (e.g. school performance, substance use, mood disorders) and communication-related topics (e.g. obtaining consent, maintaining confidentiality) were perceived as particularly poorly covered. Despite guidelines recommending screening for risk behaviors and confidential time during annual health visits, few providers asked Î“Ã‡Â£allÎ“Ã‡Â¥ or the Î“Ã‡Â£majorityÎ“Ã‡Â¥ of the time about violence at home 62 (15.9%)], substance use 79 (20.2%)], depression (65) 16.6%], and sexual activity 23.0% (90)] with only 90 providers (23.0%) asking parents to leave the room for part of the visit. Although most providers 322 (82.4%)] felt comfortable discussing contraception with their adolescent patients, far fewer 164 (41.9%)] would provide a prescription. We found significant differences by spe-cialty. Psychiatrists were significantly more likely to have parents leave the room (p &lt;.01) and screen for violence and depression; OB-GYNs screened more frequently for sexual activity (p &lt;.01) and prescribed contraception (p &lt;.01) than others, while both pediatricians and OB-GYN physicians were more likely to discuss contraception (p &lt;.01). Over 90% of providers 358 (91.6%)] felt strongly about the need for additional training in Adolescent Medicine. Conclusions: There are significant gaps in adolescent medicine training. The majority of providers are not screening for risk factors and behaviors strongly linked to morbidity and mortality. There is strong support for the creation of a credentialed fellowship program to address shortcomings in caring for this vulnerable population. Sources of Support: HRSA/MCH LEAH #T71MC00009.</t>
  </si>
  <si>
    <t>(Reyes J.C.M.) (Stamoulis C.; Teich H.; Golub S.; Hassan A.) (Calgua E.H.) Society for Adolescent Health and Medicine Annual Meeting 2018 Seattle, WA, United States 2018-03-14 to 2018-03-17 Elsevier USA; ID: 1738</t>
  </si>
  <si>
    <t>Reyes,K. A.;Pablo,M. P.;Fernandez,L.;Author,Addresses;Section,of Pulmonary;Philippine General Hospital, Taft Avenue,Manila Philippines;Correspondence,Address;KA Reyes, Section of Pulmonary Medicine Philippine General,Hospital Taft;Avenue,Manila Philippines</t>
  </si>
  <si>
    <t>Prevalence and profile of smokers, perceptions on smoking, and practices on smoking cessation among medical students, residents, and fellows in training at the philippine general hospital</t>
  </si>
  <si>
    <t>15 SUPPL. 2</t>
  </si>
  <si>
    <t>Asian;general hospital;medical student;prevalence;smoking;smoking cessation;society;access to information;chi square test;curriculum;developed country;habit;morality;motivation;patient;physician;policy;population;questionnaire;sampling;skill;smoke;smoking cessation program;therapy</t>
  </si>
  <si>
    <t>Introduction In a study done at the Philippine General Hospital last 2003, the prevalence of smoking among physicians was even higher than that of the general population at 48%. It was also observed that physicians who smoke tend to provide less motivation or even completely neglect to give advise regarding smoking cessation. Methods A representative population of medical students, clerks, interns, residents, and fellows in UPCM-PGH for the month of February 2010 were identified by stratified random sampling and given a questionnaire consisting of 21 items. The z test was used to determine if there was a significant difference between the prevalence obtained from this study and that done in 2003. The chi-square test was used to determine if there was a significant difference between smokers and non-smokers in their perceptions on smoking and practices on smoking cessation. Results There were 228 respondents. The prevalence of smoking among medical students, residents, and fellows in UPCM-PGH has declined signifi- cantly from 48% to 28% since 2003 but remains high relative to developed countries. A better understanding of the factors that motivate physicians to smoke may help us explain the high prevalence despite access to information on its harmful effects. Medical students and physicians who smoke tend to be more permissive and tolerant of smoking but both smokers and non-smokers believe that this habit indirectly encourages patients to smoke. Majority believe that it is the moral obligation of doctors to initiate smoking cessation measures but only a minority consistently give advice on smoking cessation and an even a smaller percentage offer pharmacologic therapy and enrollment to smoking cessation programs. The main reasons why doctors fail to do so are their smoking status and the feeling that they have inadequate knowledge or skill in helping patients quit smoking. Conclusion Physicians must be reminded of their roles as exemplars, and the no smoking policy in UPCM-PGH must be strictly implemented. Knowledge and skills on smoking cessation must be incorporated earlier in the medical curriculum specifically so that physicians may develop the confidence to counsel patients and to offer them the appropriate smoking cessation method.</t>
  </si>
  <si>
    <t>(Reyes K.A.; Pablo M.P.; Fernandez L.) 15th Congress of the Asian Pacific Society of Respirology Manila, Philippines 2010-11-22 to 2010-11-25 Blackwell Publishing; ID: 2748</t>
  </si>
  <si>
    <t>10.1111/j.1400-1843.2010.01865.x FULL TEXT LINK http://dx.doi.org/10.1111/j.1400-1843.2010.01865.x</t>
  </si>
  <si>
    <t>Reynolds,I.;Author,Addresses;Div Hlth Serv Res, Hlth Comm New South,Wales Sydney;Correspondence,Address;Div Hlth Serv Res, Hlth Comm New South,Wales Sydney</t>
  </si>
  <si>
    <t>1128389; Alcoholism and drug dependence: a survey of general practitioners' opinions</t>
  </si>
  <si>
    <t>(MAJOR FOCUS);alcohol;diamorphine;methadone;morphine;opiate;pethidine;addiction;adverse drug reaction;alcoholism;drug dependence;education;epidemiology;general practitioner;government;health care delivery;health care need;health education;medical education;medical student;mental health;primary prevention;professional responsibility;social problem;intoxication;outpatient care;outpatient department;prevention;public health service;alcohol (64-17-5);diamorphine (1502-95-0, 561-27-3);methadone (1095-90-5, 125-56-4, 23142-53-2, 297-88-1, 76-99-3);morphine (52-26-6, 57-27-2);opiate (53663-61-9, 8002-76-4, 8008-60-4);pethidine (28097-96-3, 50-13-5, 57-42-1);Adverse Reactions Titles (38);Drug Literature Index (37);Health Policy, Economics and Management (36);Psychiatry (32);Neurology and Neurosurgery (8)</t>
  </si>
  <si>
    <t>The findings of a survey of a random sample of one quarter of the general practitioners in the Sydney metropolitan area indicated that education of medical students, general practitiones and the public in the areas of alcoholism, drug dependence and social and emotional problems would be of help in terms of prevention, early detection and referral. It was also apparent that the public health authorities must take the bulk of the responsibility for the present treatment of alcoholism and opiate addiction and that more easily accessible and well publicized treatment facilities were required.</t>
  </si>
  <si>
    <t>(Reynolds I.); ID: 3893</t>
  </si>
  <si>
    <t>http://www.ncbi.nlm.nih.gov/pubmed/1128389</t>
  </si>
  <si>
    <t>Alcoholism and drug dependence: a survey of general practitioners' opinions</t>
  </si>
  <si>
    <t>Rezaei,S. A.;Moradi,Y.;Moghaddam,A. S.;Author,Addresses;Department,of Nursing;Midwifery;School,Uremia University of Medical Sciences Uremia Iran;Department,of Nursing;Midwifery School,Dezful;University of,Medical Sciences;Correspondence,Address;AS Moghaddam, Department of,Nursing Nursing;Midwifery School,Dezful;University of,Medical Sciences</t>
  </si>
  <si>
    <t>Relationship between internet addiction with educational failure and demographic characteristics in students</t>
  </si>
  <si>
    <t>Research Journal of Medical Sciences</t>
  </si>
  <si>
    <t>education;internet addiction;article;cross-sectional study;demography;female;human;Likert scale;male;outcome assessment;physical activity;sleep quality;university student</t>
  </si>
  <si>
    <t>The majority of internet users are university students and educated people. Excessive use of the internet led to an addiction to it is that it can also undermine the studentsÎ“Ã‡Ã– academic status and due to of academic failure and the reduction of the grade point average. This study aimed to investigate the relationship between internet addiction with educational failure and demographic characteristics was conducted. The study is descriptive and analytical. The sample consisted of 600 students of Urmia University of Medical Sciences who were selected quota randomly. The data collection tool was a two-part questionnaire. The first section includes demographic information such as age, sex, occupation, education level as well as questions about hours of internet use during the week, time of use and the use of the internet and the second part was young Î“Ã‡Â£internet addiction testÎ“Ã‡Â¥. Data analysis Software SPSS/19 was conducted. Based on the findings, Average use of the internet based onÎ“Ã‡Â¥ Yang internet addiction testÎ“Ã‡Â¥ was 20.1267. In all subjects which is usual and acceptable. Average internet addiction in male students and female students respectively was 25.3382 and 18.2668 that among these scores of internet addiction in male students more than female students, average use of the internet based on Î“Ã‡Â£Yang internet addiction testÎ“Ã‡Â¥ in Nursing students 18.5946 (typical), Midwifery students 29.5833 (mild), Medical students 17.2906 (typical), Dentistry students 14.8056 (typical), Health20.2246 (mild), Paramedical students 42.1818 (mild) and Medical Emergencies students 28.2174 (mild) was obtained. Results showed that the average scores of internet addiction in students with educational failure is significantly more than other groups (p&lt;0.05). Based on ANOVA test between the internet addiction, educational level and smoking statistically significant difference were observed. Since the dependence on the internet can undermine studentsÎ“Ã‡Ã– academic status. Therefore, university should be created appropriate background to meet the needs of cultural and free-time students so that, students refer to internet only in issues such as study of studyand news sites and cultural.</t>
  </si>
  <si>
    <t>(Rezaei S.A.; Moradi Y.) (Moghaddam A.S.) Medwell Journals, medwellonline@gmail.com; ID: 2012</t>
  </si>
  <si>
    <t>1993-6095 (electronic) 1815-9346</t>
  </si>
  <si>
    <t>20160688424 PUI L612248570</t>
  </si>
  <si>
    <t>10.3923/rjmsci.2016.291.295 FULL TEXT LINK http://dx.doi.org/10.3923/rjmsci.2016.291.295</t>
  </si>
  <si>
    <t>Riachy,M.;Rehayem,C.;Khoury,C.;Safi,J.;Khayat,G.;Aoun-Bacha,Z.;Saade-Riachy,C.;Kouche,N.;Geahchan,N.;Author,Addresses;Dâ”œâŒpartement,de Sant;Facultâ”œâŒ de Mâ”œâŒdecine, Universitâ”œâŒ Saint Joseph,Beyrouth Lebanon;Directeur Gâ”œâŒnâ”œâŒral de la,Fondation Hariri;Facultâ”œâŒ de Mâ”œâŒdecine,de l.;Joseph,Service de Pneumologie et de Râ”œâŒanimation Mâ”œâŒdicale Hâ”œâ”¤tel Dieu de;France,rue Alfred Naccache Achrafieh Beyrouth Lebanon;Correspondence,Address;Riachy, Facultâ”œâŒ de Mâ”œâŒdecine de l'Universitâ”œâŒ Saint Joseph Service de,M.;Pneumologie et de Râ”œâŒanimation Mâ”œâŒdicale, Hâ”œâ”¤tel Dieu de France,rue Alfred;Naccache,Achrafieh Beyrouth Lebanon Email riachy dm net lb</t>
  </si>
  <si>
    <t>18449097; Are narghile smokers different from cigarette smokers? ORIGINAL (NON-ENGLISH) TITLE Les fumeurs de narghilâ”œâŒ sont-ils diffâ”œâŒrents des fumeurs de cigarettes?</t>
  </si>
  <si>
    <t>cigarette smoking;narghile smoking;smoking;adult;article;controlled study;cultural anthropology;educational status;female;health care organization;human;Lebanon;male;medical specialist;prevalence;public health problem;sex difference;tobacco;tobacco dependence;Chest Diseases, Thoracic Surgery and Tuberculosis (15);Public Health, Social Medicine and Epidemiology (17);Drug Dependence, Alcohol Abuse and Alcoholism (40)</t>
  </si>
  <si>
    <t>Background: The extent of smoking related health and economic problems is causing increasing alarm throughout the world. In the last few years a great number of subjects, especially in the developing world, have been smoking narghile and epidemiological studies on narghile smoking are an essential subject for investigation. The objectives of this study are to describe the social and cultural characteristics of narghile smokers in Lebanon compared to tobacco smokers. Materials and methods: Our sample is based on the data of 37579 subjects who consulted a non-governmental organisation (NGO), the Hariri Foundation, between 2003 and 2005. This NGO comprises 22 specialised centres distributed throughout Lebanon. The following data concerning exclusive narghile and cigarette smokers were collected: age, sex, the type and duration of tobacco addiction and the level of education. Results: 13776 subjects (36.6% of the sample) were smokers of whom 88% smoked mostly cigarettes.1529 subjects (11.1%) smoked narghile exclusively, a prevalence of 4.06%. The narghile smokers were younger than the cigarette smokers with a mean age of 36.2â”¬â–’8.63 years compared to 45.52â”¬â–’1.87 years. The majority of narghile smokers were women (56.57%) giving a male/female ratio of 0.77. A large number of narghile smokers were recent consumers with an exposure of less than 5 years. They differed from the cigarette smokers of whom the majority (72.2%) had smoked for more than 10 years. The proportion of illiterate subjects was greater among the narghile smokers (36.2%) than the cigarette smokers (24.2%). Conclusion: The consumption of tobacco is a real and frequent problem in Lebanon. The consumption of narghile is scourge that is gaining popularity, notably among women and the young. This problem is becoming a public health issue that needs to be taken into account within the framework of an anti-smoking policy in Lebanon. â”¬âŒ 2008 SPLF. â”œÃ«ditâ”œâŒ par Elsevier Masson SAS.</t>
  </si>
  <si>
    <t>(Riachy M., riachy@dm.net.lb; Rehayem C.; Khoury C.; Safi J.; Khayat G.; Aoun-Bacha Z.; Saade-Riachy C.; Geahchan N.) (Kouche N.) (Riachy M., riachy@dm.net.lb) Elsevier Masson SAS, 62 rue Camille Desmoulins, Issy les Moulineaux Cedex, France.; ID: 2997</t>
  </si>
  <si>
    <t>http://www.ncbi.nlm.nih.gov/pubmed/18449097</t>
  </si>
  <si>
    <t>10.1016/S0761-8425(08)71550-X FULL TEXT LINK http://dx.doi.org/10.1016/S0761-8425(08)71550-X</t>
  </si>
  <si>
    <t>Are narghile smokers different from cigarette smokers? ORIGINAL (NON-ENGLISH) TITLE Les fumeurs de narghilâ”œâŒ sont-ils diffâ”œâŒrents des fumeurs de cigarettes?</t>
  </si>
  <si>
    <t>Ricer,R. E.;Wohlwend,J. R.;Author,Addresses;Health,Professions Building;Bethesda Avenues,Cincinnati,O.H.United States;Correspondence,Address;RE Ricer, Health Professions,Building Eden;Bethesda,Avenues;Cincinnati,O. H. U.</t>
  </si>
  <si>
    <t>8397619; A survey of whether medical and dental students are being taught to ask their patients about smokeless tobacco use</t>
  </si>
  <si>
    <t>education program;smoking habit;tobacco;article;cigarette smoking;medical personnel;medical record;medical student;priority journal;Public Health, Social Medicine and Epidemiology (17)</t>
  </si>
  <si>
    <t>(Ricer R.E.; Wohlwend J.R.) Lippincott Williams and Wilkins, 530 Walnut Street, Philadelphia, United States.; ID: 3590</t>
  </si>
  <si>
    <t>http://www.ncbi.nlm.nih.gov/pubmed/8397619</t>
  </si>
  <si>
    <t>10.1097/00001888-199310000-00024 FULL TEXT LINK http://dx.doi.org/10.1097/00001888-199310000-00024</t>
  </si>
  <si>
    <t>A survey of whether medical and dental students are being taught to ask their patients about smokeless tobacco use</t>
  </si>
  <si>
    <t>Richardson,J.;Steiger,H.;Schmitz,N.;Joober,R.;Bruce,K. R.;Israel,M.;Gauvin,L.;Anestin,A. S.;Dandurand,C.;Howard,H.;De Guzman,R.;Author,Addresses;Eating,Disorders Program;Qc,Canada;Research Centre, Montreal Q. C. Canada;Douelas,Mental;Health University Institute, Psychiatry Department,Montreal Q.;Psychology;Department,Montreal Q. C. Canada;McGill University,Department,of Social;Preventive,Medicine;University,of Montreal;Speakers/Advisory Boards,Pfizer;Janssen,Ortho;Eating Disorders,Program;Douglas Mental Health University Institute, LaSalle Blvd,Borough of;Verdun,Montreal Q. C. H. H. R.;Correspondence,Address;Richardson, Eating Disorders Program Douglas Mental Health University,J.;Institute,LaSalle Blvd Borough of Verdun Montreal Q.C.H.H.R.;Email,Jodie richardson mail mcgill ca</t>
  </si>
  <si>
    <t>18505306; Relevance of the 5-HTTLPR polymorphism and childhood abuse to increased psychiatric comorbidity in women with bulimia-spectrum disorders</t>
  </si>
  <si>
    <t>bulimia;child abuse;DNA polymorphism;mental disease;promoter region;serotonin transporter linked polymorphic region;adolescent;adult;allele;anxiety disorder;article;comorbidity;Diagnostic and Statistical Manual of Mental Disorders;feeding behavior;female;genetic variability;genotype;human;major clinical study;major depression;obsessive compulsive disorder;phenotype;priority journal;psychological model;substance abuse;Human Genetics (22);Psychiatry (32);Forensic Science Abstracts (49)</t>
  </si>
  <si>
    <t>Objective: Individuals with bulimia nervosa have been shown to display heterogeneous profiles of co-morbid psychiatric disturbance, possibly due to varying degrees of genetic and environmental vulnerability. Using information about comorbid psychiatric disturbances, we developed an empirically based classification of individuals with bulimia-spectrum disorders, and then explored whether or not the resulting phenotypes corresponded to variations in the serotonin transporter promoter polymorphism (5-HTTLPR) and exposure to childhood abuse. Method: Eighty-nine women aged 17 to 49 years with DSM-IV bulimia-spectrum disorders completed questionnaires assessing eating and general psychopathologic symptoms, participated in interviews assessing Axis I. disorders and childhood abuse, and provided blood samples for genotyping. Data on lifetime Axis I disorders were analyzed using latent class analysis, and resulting classes were compared on eating and psychopathologic symptoms, 5-HTTLPR genotype, and childhood abuse. The study was conducted from June 2002 to October 2006. Results: The analysis yielded a model with 2 classes: a first class labeled low comorbidity (N = 59, 66%), characterized by a high likelihood of major depressive disorder, and another class labeled high comorbidity (N = 30, 34%), characterized by a high likelihood of major depressive disorder, anxiety disorder, and substance-use disorders. The high-comorbidity class displayed significantly higher dieting preoccupations and conduct problems, and showed a greater likelihood of carrying the 5-HTTLPR S allele and of childhood abuse than did the low-comorbidity class. Conclusion: The present results are consistent with previous findings identifying a subgroup of individuals with bulimia characterized by high psychiatric comorbidity and suggest that the 5-HTTLPR polymorphism and childhood trauma may both be pertinent to explaining the presence of greater psychiatric comorbidity in bulimia-spectrum disorders. â”¬âŒ copyright 2008 physicians postgraduate press, Inc.</t>
  </si>
  <si>
    <t>(Richardson J., Jodie.richardson@mail.mcgill.ca; Steiger H.; Bruce K.R.; Israel M.; Anestin A.S.; Dandurand C.) (Steiger H.; Schmitz N.; Joober R.; Bruce K.R.; Israel M.; Howard H.; De Guzman R.) (Steiger H.; Schmitz N.; Joober R.; Bruce K.R.; Israel M.) (Richardson J., Jodie.richardson@mail.mcgill.ca; Steiger H.) (Gauvin L.) (Joober R.) (Richardson J., Jodie.richardson@mail.mcgill.ca) Physicians Postgraduate Press Inc., P.O. Box 752870, Memphis, United States.; ID: 2981</t>
  </si>
  <si>
    <t>http://www.ncbi.nlm.nih.gov/pubmed/18505306</t>
  </si>
  <si>
    <t>Relevance of the 5-HTTLPR polymorphism and childhood abuse to increased psychiatric comorbidity in women with bulimia-spectrum disorders</t>
  </si>
  <si>
    <t>Rider,K.;Kaya,H.;Jha,V.;Hudmon,K. S.;Author,Addresses;Pulmonary;Critical,Care;Sleep Medicine Division, George Washington,University M.;Pennsylvania Ave, N W Washington,United States;Department of Pulmonary Medicine, Gâ”œâ•lhane,Military Medical;Academy,Ankara Turkey;Department of Pharmacy Practice, Purdue University,College of;Pharmacy,West Lafayette United States;Correspondence,Address;Rider,Pulmonary Critical Care,K.;Sleep,Medicine Division;Washington University Mfa, Pennsylvania Ave,N.W.Washington United;States Email, Katherine flower,hotmail com</t>
  </si>
  <si>
    <t>26450649; Attitudes of experiential education directors regarding tobacco sales in pharmacies in the USA</t>
  </si>
  <si>
    <t>advanced pharmacy practice experience;attitude to health;experiential education directors perception;marketing;perception;pharmaceutical care;tobacco;tobacco sale;academic achievement;article;clinical education;cross-sectional study;curriculum development;education program;experience;geographic distribution;human;medical school;medical society;medical student;practice guideline;priority journal;questionnaire;United States;Public Health, Social Medicine and Epidemiology (17);Health Policy, Economics and Management (36)</t>
  </si>
  <si>
    <t>Objectives Accreditation guidelines in the USA suggest that experiential sites for pharmacy students should demonstrate 'a strong commitment to health promotion and illness prevention'; however, most community pharmacies sell tobacco products. This study aimed to determine the proportion of students rotating through advanced pharmacy practice experience (APPE) sites where tobacco is sold and experiential education directors' perception regarding the sales of tobacco in APPE sites. Methods A brief survey was distributed by mail to experiential education directors at US pharmacy schools. The survey characterized the proportion of students who rotate at practice sites where tobacco is sold, directors' perceptions of tobacco sales in experiential sites, and the number of hours of tobacco education in their pharmacy curricula. Key findings Directors (n = 81; 63%) estimated that 69% of students rotate through sites where tobacco is sold. If given the opportunity to choose between two potential sites, where one sells tobacco and the other does not, 40% of directors would be unlikely to choose a site that sold tobacco. Conclusions With respect to tobacco sales, pharmacy schools are largely noncompliant with guidelines and resolutions of professional organizations.</t>
  </si>
  <si>
    <t>(Rider K., Katherine.flower@hotmail.com; Kaya H.; Jha V.) (Kaya H.) (Hudmon K.S.) Wiley-Blackwell Publishing Ltd, info@royensoc.co.uk; ID: 1970</t>
  </si>
  <si>
    <t>2042-7174 (electronic) 0961-7671</t>
  </si>
  <si>
    <t>http://www.ncbi.nlm.nih.gov/pubmed/26450649</t>
  </si>
  <si>
    <t>10.1111/ijpp.12221 FULL TEXT LINK http://dx.doi.org/10.1111/ijpp.12221</t>
  </si>
  <si>
    <t>Attitudes of experiential education directors regarding tobacco sales in pharmacies in the USA</t>
  </si>
  <si>
    <t>Rieb,L.;Wood,E.;Author,Addresses;Faculty of Medicine, Department,of Family;Practice,University of British Columbia Canada;Faculty of Medicine, Department of Internal Medicine,Division of;Aids,University of British Columbia Canada;Correspondence,Address;Physician Director St Paul's,L.Rieb, Department of Family Practice U.B.C.;Hospital Goldcorp Addiction Medicine Fellowship, Department of,Family and;Community Medicine, St Paul's Hospital Burrard St Hornby,St Site;Vancouver,Canada</t>
  </si>
  <si>
    <t>The evolution of addiction medicine education in British Columbia</t>
  </si>
  <si>
    <t>addiction medicine;behavioral medicine;medical education;article;Canada;continuing education;curriculum development;evidence based practice;funding;human;interdisciplinary education;residency education;substance abuse;Public Health, Social Medicine and Epidemiology (17)</t>
  </si>
  <si>
    <t>Internationally, improving Addiction Medicine training has been identified as a critical strategy to improve patient care. In British Columbia, a firm foundation has been laid with didactic sessions and clinical exposure in substance use disorders embedded into undergraduate medical education and various residency programs at the University of British Columbia. More recently, with guidance from the American Board of Addiction Medicine and experienced program directors internationally, along with financial support through grants and donations, coupled with community input, an interdisciplinary Addiction Medicine clinical fellowship and a NIDA funded Addiction Medicine research fellowship have been established.</t>
  </si>
  <si>
    <t>(Rieb L., Launette.Rieb@ubc.ca) (Wood E.) Canadian Society of Addiction Medicine, admin@csam.org; ID: 2267</t>
  </si>
  <si>
    <t>2014843978 PUI L600232964</t>
  </si>
  <si>
    <t>Rieckmann,T.;Farentinos,C.;Tillotson,C. J.;Kocarnik,J.;McCarty,D.;Author,Addresses;Department,of Public;Preventive Medicine,Oregon;Health;Science University,Portland,Oregon U.;Correspondence,Address;Rieckmann, Department of Public Health,T.;Preventive Medicine,Oregon;Health;Science University,Portland,Oregon U.;rieckman@ohsu.edu</t>
  </si>
  <si>
    <t>22014248; The substance abuse counseling workforce: education, preparation, and certification</t>
  </si>
  <si>
    <t>certification;counseling;drug dependence treatment;educational status;health personnel attitude;licensing;article;comparative study;evidence based practice;female;human;information processing;male;standard;statistics;United States</t>
  </si>
  <si>
    <t>The National Drug Abuse Treatment Clinical Trials Network (CTN) is an alliance of drug abuse treatment programs and research centers testing new interventions and implementation factors for treating alcohol and drug use disorders. A workforce survey distributed to those providing direct services in 295 treatment units in the CTN obtained responses from 1750 individuals with a job title of counselor (n = 1395) or counselor supervisor (n = 355). A secondary analysis compares and describes both groups. Supervisors were more likely to be licensed or certified. Master's degrees were more common among counselors in outpatient and methadone programs. Counselors in residential settings tended to be on the job fewer years. Finally, higher education was associated with greater familiarity with and acceptance of evidence-based practices.</t>
  </si>
  <si>
    <t>(Rieckmann T.) (Farentinos C.; Tillotson C.J.; Kocarnik J.; McCarty D.); ID: 2634</t>
  </si>
  <si>
    <t>http://www.ncbi.nlm.nih.gov/pubmed/22014248</t>
  </si>
  <si>
    <t>The substance abuse counseling workforce: education, preparation, and certification</t>
  </si>
  <si>
    <t>Rifai,M. A.;Indest,D.;Loftis,J.;Hauser,P.;Author,Addresses;Northwest Hepatitis,C.Resource Center;Medical,Portland Va;Clinical,Neurosciences;Division,P. O. B.;Correspondence,Address;MA Rifai, Northwest Hepatitis C Resource Center,Portland V.;Center,Behavioral Health;Clinical,Neurosciences Division;Portland,O. R. U.</t>
  </si>
  <si>
    <t>Psychiatric management of the hepatitis C patients</t>
  </si>
  <si>
    <t>Current Treatment Options in Gastroenterology</t>
  </si>
  <si>
    <t>alpha interferon (adverse drug reaction, drug therapy);amfebutamone (adverse drug reaction, drug dose, drug therapy);amitriptyline (drug dose, drug therapy);aripiprazole (drug dose, drug therapy);carbamazepine (adverse drug reaction, drug therapy);citalopram (clinical trial, drug dose, drug therapy);clozapine (adverse drug reaction, drug dose, drug therapy);disulfiram (adverse drug reaction, drug dose, drug therapy);duloxetine (drug dose, drug therapy);escitalopram (clinical trial, drug dose, drug therapy);fluoxetine (drug dose, drug therapy);gabapentin (drug dose, drug therapy, pharmacokinetics);haloperidol (drug dose, drug therapy);lamotrigine (adverse drug reaction, drug dose, drug therapy);lithium carbonate (drug dose, drug therapy, pharmacokinetics);mirtazapine (adverse drug reaction, drug dose, drug therapy);naltrexone (adverse drug reaction, drug dose, drug therapy);nefazodone (adverse drug reaction, drug dose, drug therapy);olanzapine (adverse drug reaction, drug dose, drug therapy);oxcarbazepine (adverse drug reaction, drug therapy);paroxetine (adverse drug reaction, clinical trial, drug dose, drug therapy);quetiapine (drug dose, drug therapy);ribavirin (adverse drug reaction, drug therapy);risperidone (adverse drug reaction, drug dose, drug therapy);sertraline (drug dose, drug therapy);unindexed drug;valproate semisodium (drug dose, drug therapy);valproic acid (drug dose, drug therapy);venlafaxine (drug dose, drug therapy);ziprasidone (adverse drug reaction, drug dose, drug therapy);hepatitis C (drug therapy);mental disease (diagnosis, disease management, drug therapy, epidemiology,;etiology, prevention, side effect, therapy);mental health care;agranulocytosis (side effect);alcoholism;anemia (side effect);anhedonia;anxiety disorder (drug therapy, side effect);apathy;bone marrow suppression (side effect);cardiotoxicity (side effect);clinical trial;cognitive defect (drug therapy, side effect);comorbidity;concentration loss (side effect);confusion (side effect);depression (drug therapy, side effect);diabetes mellitus (side effect);disease association;disease exacerbation (side effect);drug dose regimen;drug excretion;drug indication;drug safety;drug withdrawal;fatigue (side effect);follow up;Hepatitis C virus;human;hypersomnia (side effect);irritability;liver toxicity (side effect);medical assessment;medical specialist;metabolic disorder (side effect);mood disorder (drug therapy, side effect);nausea (side effect);neutropenia (side effect);nonhuman;pain (side effect);patient assessment;patient care planning;patient compliance;patient education;prevalence;primary prevention;psychologic assessment;psychomotor retardation (side effect);psychosis (drug therapy, side effect);psychosocial care;psychotherapy;retina hemorrhage (side effect);review;risk assessment;risk benefit analysis;risk factor;seizure (side effect);side effect (side effect);social security;Stevens Johnson syndrome (side effect);substance abuse;thyroid disease (side effect);urinary excretion;amfebutamone (31677-93-7, 34911-55-2);amitriptyline (50-48-6, 549-18-8);aripiprazole (129722-12-9);carbamazepine (298-46-4, 8047-84-5);citalopram (59729-33-8);clozapine (5786-21-0);disulfiram (97-77-8);duloxetine (116539-59-4, 136434-34-9);escitalopram (128196-01-0, 219861-08-2);fluoxetine (54910-89-3, 56296-78-7, 59333-67-4);gabapentin (60142-96-3);haloperidol (52-86-8);lamotrigine (84057-84-1);lithium carbonate (554-13-2);mirtazapine (61337-67-5);naltrexone (16590-41-3, 16676-29-2);nefazodone (82752-99-6, 83366-66-9);olanzapine (132539-06-1);oxcarbazepine (28721-07-5);paroxetine (61869-08-7);quetiapine (111974-72-2);ribavirin (36791-04-5);risperidone (106266-06-2);sertraline (79617-96-2);valproate semisodium (76584-70-8);valproic acid (1069-66-5, 99-66-1);venlafaxine (93413-69-5);ziprasidone (118289-78-4, 122883-93-6, 138982-67-9, 199191-69-0);Microbiology: Bacteriology, Mycology, Parasitology and Virology (4);Public Health, Social Medicine and Epidemiology (17);Psychiatry (32);Drug Literature Index (37);Adverse Reactions Titles (38);Gastroenterology (48)</t>
  </si>
  <si>
    <t>Patients with hepatitis C virus (HCV) infection have a higher prevalence of psychiatric illness compared with the general US population, and the prevalence of HCV infection in patients with severe mental illness ranges between 8% and 19%, which is four to nine times that of the general US population (1.8%). Given the association between HCV infection and psychiatric illness, gastroenterologists are on the front line of identifying comorbid psychiatric and substance use disorders and conducting a psychosocial pretreatment risk-benefit assessment for HCV infection. The use of interferon-â•¬â–’ (IFN)-based therapies in combination with ribavirin (RBV) to eradicate HCV has been associated with frequent neuropsychiatric adverse effects (eg, affective, anxiety, cognitive, and psychotic symptoms) that compromise the management of both HCV patients with and those without a preexisting history of psychiatric illness. Consequently, gastroenterologists have been reluctant to engage patients with HCV and comorbid psychiatric illness in antiviral treatment due to concerns about exacerbating or precipitating neuropsychiatric symptoms. Despite the clinical challenge that HCV treatment of patients with comorbid HCV and psychiatric illness presents, recent research indicates that HCV treatments can be safely administered to patients with psychiatric illness provided that there is a comprehensive pretreatment assessment, a risk-benefit analysis, and ongoing follow-up of neuropsychiatric symptoms during antiviral therapy. The process of pretreatment assessment involves screening patients for psychiatric and substance use disorders, educating patients about the treatment process, and addressing available psychosocial support. Most psychotropic medications (antidepressants, mood stabilizers, antipsychotics, and neuroleptics) are thought to be safe to use in the management of patients with HCV and psychiatric illness and for the management of IFN- and RBV-induced neuropsychiatric adverse effects. Nonetheless, the prophylactic use of psychotropic medications to prevent IFN-and RBV-induced neuropsychiatric adverse effects remains a controversial topic. The use of IFN and RBV in patients with HCV and severe mental illness can be done safely with expert psychiatric follow-up. In this review, we discuss the process of pretreatment assessment of patients with HCV and psychiatric illness and specifically address IFN- and RBV-induced depression in patients receiving HCV treatment. Copyright â”¬âŒ 2006 by Current Science Inc.</t>
  </si>
  <si>
    <t>(Rifai M.A., Muhamad.Rifai@va.gov) (Indest D.; Loftis J.; Hauser P.) Current Science Ltd, 34-42 Cleveland Street, London, United Kingdom.; ID: 3074</t>
  </si>
  <si>
    <t>1092-8472</t>
  </si>
  <si>
    <t>2006577789 PUI L44803672</t>
  </si>
  <si>
    <t>10.1007/s11938-006-0007-6 FULL TEXT LINK http://dx.doi.org/10.1007/s11938-006-0007-6</t>
  </si>
  <si>
    <t>Rigotti,N. A.;Bitton,A.;Richards,A. E.;Reyen,M.;Wassum,K.;Raw,M.;Author,Addresses;Tobacco;Research;Treatment Center, General Medicine,Division Massachusetts;General Hospital,Boston,M.A.United States;Division,of General;Primary Care,Brigham and;Women's Hospital,Boston,M.A.United States;Department of,Medicine;Harvard Medical School, Boston,M.A.United States;Free;Clear,Inc Seattle W. A. United States;Division of,Epidemiology;Public Health,University of;Nottingham,Nottingham United Kingdom;Tobacco,Research;Treatment,Center;Massachusetts General Hospital, Staniford Street,Boston M.;United,States;Correspondence,Address;Rigotti,Tobacco Research,N.A.;Treatment Center,Massachusetts General;Hospital,Staniford Street Boston M.A.United States Email;nrigotti@partners.org</t>
  </si>
  <si>
    <t>19149826; An international survey of training programs for treating tobacco dependence</t>
  </si>
  <si>
    <t>health program;tobacco dependence;training;Africa;article;convenience sample;cross-sectional study;drug industry;evidence based practice;funding;geography;government;health care personnel;health care planning;health survey;human;lowest income group;major clinical study;medical student;practice guideline;prevalence;tobacco industry;vocational education;world health organization;Public Health, Social Medicine and Epidemiology (17);Psychiatry (32);Drug Dependence, Alcohol Abuse and Alcoholism (40)</t>
  </si>
  <si>
    <t>Aims: The World Health Organization (WHO) Framework Convention on Tobacco Control (FCTC) requires countries to implement tobacco dependence treatment programs. To provide treatment effectively, a country needs trained individuals to deliver these services. We report on the global status of programs that train individuals to provide tobacco dependence treatment. Design: Cross-sectional web-based survey of tobacco treatment training programs in a stratified convenience sample of countries chosen to vary by WHO geographic region and World Bank income level. Participants: Key informants in 48 countries; 70% of 69 countries who were sent surveys responded. Measurements: Program prevalence, frequency, duration and size; background of trainees; content (adherence to pre-defined core competencies); funding sources; challenges. Findings: We identified 61 current tobacco treatment training programs in 37 (77%) of 48 countries responding to the survey. Three-quarters of them began in 2000 or later, and 40% began after 2003, when the FCTC was adopted. Programs estimated training 14 194 individuals in 2007. Training was offered to a variety of professionals and paraprofessionals, but most often to physicians and nurses. Median program duration was 16 hours, but programs' duration, intensity and size varied widely. Most programs used evidence-based guidelines and reported adherence to core tobacco treatment competencies. Training programs were less frequent in low-income countries and in Africa. Securing funding was the major challenge for most programs; current funding sources were government (58%), non-government organizations (23%), pharmaceutical companies (17%) and, in one case, the tobacco industry. Conclusion: Training programs for tobacco treatment providers are diverse and growing. Most upper- and middle-income countries have programs, and most programs appear to be evidence-based. However, funding is a major challenge. In particular, more programs are needed for non-physicians and for low-income countries. â”¬âŒ 2009 The Authors.</t>
  </si>
  <si>
    <t>(Rigotti N.A., nrigotti@partners.org; Richards A.E.; Reyen M.) (Bitton A.) (Rigotti N.A., nrigotti@partners.org; Bitton A.) (Wassum K.) (Raw M.) (Rigotti N.A., nrigotti@partners.org) Blackwell Publishing Ltd, 9600 Garsington Road, Oxford, United Kingdom.; ID: 2927</t>
  </si>
  <si>
    <t>http://www.ncbi.nlm.nih.gov/pubmed/19149826</t>
  </si>
  <si>
    <t>10.1111/j.1360-0443.2008.02442.x FULL TEXT LINK http://dx.doi.org/10.1111/j.1360-0443.2008.02442.x</t>
  </si>
  <si>
    <t>An international survey of training programs for treating tobacco dependence</t>
  </si>
  <si>
    <t>Rima,A.;Setijadi,M.;Author,Addresses;Department of,Pulmonology;Respiratory,Medicine;Faculty of Medicine, Sebelas Maret University,Surakarta Indonesia;Correspondence,Address;Rima,Department of Pulmonology,A.;Respiratory Medicine,Faculty of;Medicine,Sebelas Maret University Surakarta Indonesia</t>
  </si>
  <si>
    <t>The influence of education background, Stress, Parents, Friends, And advertising on smoking behaviour among college students of sebelas maret university surakarta</t>
  </si>
  <si>
    <t>advertising;Asian;college student;education;friend;human;parent;smoking;society;university;cigarette smoking;friendship;health;Indonesia;male;medical school;medical student;multivariate logistic regression analysis;publication;questionnaire;student;television</t>
  </si>
  <si>
    <t>Background: Smoking is a global health problem and Indonesia has the 3(rd) largest number of smoker. Smoking behaviour in college students is more often found. Medical college students should avoid smoking behaviour and support no smoking campaign. Objective To determine the influence of education background (faculty of medicine and nonmedicine), stress, parents, friends, and advertising on smoking behaviour among college students. Methods: It was cross sectional observational analysis. Questionnaires data of 240 male students from medical and nonmedical faculty were collected. We used multiple logistic regression for analysis, 95% CI, â•¬â–’ = 0.05. Results: The medical student current smokers were 44.2% and nonmedical were 46.7%. Smokers who had life problems were 74.3%. There were 59.9% smokers who had no smoker parents. When close friend offered a cigarette, 79.8% smokers would take it. Smokers knew cigarette advertising from television 63.3% and from newspaper 67.0%. The analysis showed there was significant correlation between friends and smoking behaviour, p = 0.000. Education background did not correlate significantly to smoking behaviour, p = 0.219. Stress, parents, and advertising also did not correlate significantly to smoking behaviour. Conclusion: Smoking behaviour closely related with friendship. Education background as medical student did not alter smoking behaviour.</t>
  </si>
  <si>
    <t>(Rima A.; Setijadi M.) 16th Congress of the Asian Pacific Society of Respirology Shanghai, China 2011-11-03 to 2011-11-06 Blackwell Publishing; ID: 2620</t>
  </si>
  <si>
    <t>Rindal,K. E.;Chin,N.;Shah,M. N.;Sellers,C.;Author,Addresses;University of,Rochester;Rochester,United States;Correspondence,Address;KE Rindal, University of Rochester Rochester,United States</t>
  </si>
  <si>
    <t>There is no rock bottom: Emergency physicians' approach and adaptations to alcohol intoxicated patients</t>
  </si>
  <si>
    <t>S146</t>
  </si>
  <si>
    <t>(MAJOR FOCUS);alcohol;adaptation;college;emergency physician;human;patient;rock;addiction;alcohol abuse;alcohol intoxication;counseling;cultural competence;decision making;education;emergency care;emergency ward;friend;health care;injury;interview;personal experience;physician;primary medical care;qualitative research;responsibility;safety;sampling;skill;Theory of Planned Behavior;university</t>
  </si>
  <si>
    <t>Study Objectives: Patients with alcohol problems are more likely to present to the emergency department (ED) than to a primary care setting, rendering</t>
  </si>
  <si>
    <t>(Rindal K.E.; Chin N.; Shah M.N.; Sellers C.) American College of Emergency Physicians, ACEP Research Forum 2012 Denver, CO, United States 2012-10-08 to 2012-10-09 Mosby Inc.; ID: 2503</t>
  </si>
  <si>
    <t>10.1016/j.annemergmed.2012.06.446 FULL TEXT LINK http://dx.doi.org/10.1016/j.annemergmed.2012.06.446</t>
  </si>
  <si>
    <t>Ringwalt,C. L.;Author,Addresses;Pacific,Institute for;Evaluation,Chapel Hill;Nc,U. S. A.;Correspondence,Address;CL Ringwalt, Pacific Institute,for Research;Evaluation,Chapel Hill;Nc,U. S. A.</t>
  </si>
  <si>
    <t>23581003; Incorporating substance abuse prevention into public health curricula</t>
  </si>
  <si>
    <t>addiction (prevention);alcoholism (prevention);medical education;curriculum;early diagnosis;early intervention;forecasting;health status;human;organization and management;professional competence;review;standard;United States</t>
  </si>
  <si>
    <t>(Ringwalt C.L.); ID: 3303</t>
  </si>
  <si>
    <t>http://www.ncbi.nlm.nih.gov/pubmed/23581003</t>
  </si>
  <si>
    <t>Incorporating substance abuse prevention into public health curricula</t>
  </si>
  <si>
    <t>Rio,I. M.;Epstein,J.;Author,Addresses;North Richmond,Community;Health,Melbourne Australia;Correspondence,Address;IM Rio, North Richmond Community Health Melbourne,Australia Email;ines.rio@optusnet.com.au</t>
  </si>
  <si>
    <t>The medical coalface of the heroin epidemic</t>
  </si>
  <si>
    <t>clinical supervision;heroin dependence;clinical practice;consciousness;crying;cyanosis;general practitioner;human;hypoxia;note;screaming syndrome;Drug Dependence, Alcohol Abuse and Alcoholism (40)</t>
  </si>
  <si>
    <t>(Rio I.M., ines.rio@optusnet.com.au; Epstein J.) Australasian Medical Publishing Co. Ltd, ampco@ampco.com.au; ID: 1884</t>
  </si>
  <si>
    <t>1326-5377 (electronic) 0025-729X</t>
  </si>
  <si>
    <t>20170587750 PUI L617844925</t>
  </si>
  <si>
    <t>10.5694/mja17.00322 FULL TEXT LINK http://dx.doi.org/10.5694/mja17.00322</t>
  </si>
  <si>
    <t>Rioux,D.;Van Meter,W.;Author,Addresses;College Hill Medical Center, East,Brown Street;East Stroudsburg,P. A.;Correspondence,Address;College Hill Medical Center, East Brown Street East,Stroudsburg P.</t>
  </si>
  <si>
    <t>2313772; The ABCs of awareness: A multimodal approach to relapse prevention intervention - The College Hill Medical Center Program</t>
  </si>
  <si>
    <t>drug abuse;drug dependence;medical education;relapse;education;female;human;male;note;Public Health, Social Medicine and Epidemiology (17);Drug Dependence, Alcohol Abuse and Alcoholism (40)</t>
  </si>
  <si>
    <t>(Rioux D.; Van Meter W.) Elsevier Inc., 360 Park Avenue South, New York, United States.; ID: 3683</t>
  </si>
  <si>
    <t>http://www.ncbi.nlm.nih.gov/pubmed/2313772</t>
  </si>
  <si>
    <t>10.1016/0740-5472(95)90006-3 FULL TEXT LINK http://dx.doi.org/10.1016/0740-5472(95)90006-3</t>
  </si>
  <si>
    <t>The ABCs of awareness: A multimodal approach to relapse prevention intervention - The College Hill Medical Center Program</t>
  </si>
  <si>
    <t>Rist,F.;Glâ”œâ•¢ckner-Rist,A.;Demmel,R.;Author,Addresses;Department of,Clinical;Psychology,University of Mâ”œâ•nster Fliednerstr Mâ”œâ•nster Germany;German Social Science,Infrastructure Services;Mannheim,Germany;Correspondence,Address;Rist, Department of Clinical Psychology University of Mâ”œâ•nster,F.;Fliednerstr,Mâ”œâ•</t>
  </si>
  <si>
    <t>19026497; The Alcohol Use Disorders Identification Test revisited: Establishing its structure using nonlinear factor analysis and identifying subgroups of respondents using latent class factor analysis</t>
  </si>
  <si>
    <t>Alcohol Use Disorders Identification Test;alcoholism;adult;age;alcohol consumption;article;Drinker Inventory of Consequences;factor analysis;female;general practitioner;Germany;human;item response theory;major clinical study;male;priority journal;psychometry;screening test;sex difference;statistical analysis;theory;Drug Dependence, Alcohol Abuse and Alcoholism (40)</t>
  </si>
  <si>
    <t>Background: Previous research used principal components as well as exploratory and confirmatory factor analysis to establish continuous dimensions underlying answers to the 10-items of the Alcohol Use Disorders Identification Test (AUDIT). The majority of these studies conclude that one consumption dimension and an adverse consequences dimension explain the answers to the AUDIT sufficiently. However, most of the methods used presuppose normal answer distributions and linear relations between indicators and constructs, which are unrealistic assumptions for AUDIT answer. Objectives: First, to investigate the continuous factor analytic structure underlying the answers to all AUDIT items. Second and third, to assess the impact of consumption as well as age and gender on AUDIT consequences dimension. Fourth and fifth, to categorize respondents into subgroups based on the AUDIT consequences items and adjusting the subgroups for differences in consumption, age and gender. Sixth, to describe the subgroups with respect to further adverse consequences of drinking. Methods: Nonlinear factor and latent class factor analyses models were applied to the AUDIT answers of N = 6259 patients of 26 general practitioners in a city area in Germany. Consumption items as well as age and gender were included as predictors of answers to the AUDIT consequences items. Results: Nonlinear factor analyses suggested two continuous correlated factors reflecting the adverse consequences of alcohol use: (1) harmful alcohol use, (2) alcohol dependence (aim 1). Consumption items did not prove to be reasonable construct indicators, but adverse consequences were predicted by consumption (aim 2), and also by age and gender (aim 3). Latent class factor analysis identified four subgroups based on the AUDIT consequences items (aim 4): one not affected (66%), and three subgroups defined by either harmful (15%) or dependent (9%), or combined harmful and dependent use (10%). These groups differed also with respect to further alcohol use consequences. Adjusting the subgroups for differences in consumption, age and gender (aim 5) reduced the non-affected subgroup and increased the subgroup with harmful and dependent use. Conclusions: The AUDIT items cover three separable domains, i.e. consumption, harmful and dependent use, as originally intended. Hence, assessment of alcohol use does not substitute for assessing adverse consequences, as assumed in short versions of the AUDIT comprising only the AUDIT consumption items. Further, the dimensional as well as the LCFA subgroup solution imply that the respondents cannot be ordered along a single severity dimension without loss of information. â”¬âŒ 2008 Elsevier Ireland Ltd. All rights reserved.</t>
  </si>
  <si>
    <t>(Rist F., rist@psy.uni-muenster.de; Demmel R.) (Glâ”œâ•¢ckner-Rist A.) Elsevier Ireland Ltd, P.O. Box 85, Limerick, Ireland.; ID: 2928</t>
  </si>
  <si>
    <t>http://www.ncbi.nlm.nih.gov/pubmed/19026497</t>
  </si>
  <si>
    <t>10.1016/j.drugalcdep.2008.09.008 FULL TEXT LINK http://dx.doi.org/10.1016/j.drugalcdep.2008.09.008</t>
  </si>
  <si>
    <t>The Alcohol Use Disorders Identification Test revisited: Establishing its structure using nonlinear factor analysis and identifying subgroups of respondents using latent class factor analysis</t>
  </si>
  <si>
    <t>Rittmannsberger,H.;Author,Addresses;Wagner-Jauregg-Krankenhaus,Wagner-Jauregg-Weg;Linz;Correspondence,Address;Wagner-Jauregg-Krankenhaus,Wagner-Jauregg-Weg Linz</t>
  </si>
  <si>
    <t>Report of the 'Workshop on Training on AIDS and Drug Abuse for Health and Welfare Personnel' organized by the WHO, Budapest, 26-29 November 1990</t>
  </si>
  <si>
    <t>Wiener Zeitschrift fur Suchtforschung</t>
  </si>
  <si>
    <t>acquired immune deficiency syndrome;drug abuse;training;adult;conference paper;human;medical personnel;normal human;Drug Dependence, Alcohol Abuse and Alcoholism (40)</t>
  </si>
  <si>
    <t>(Rittmannsberger H.); ID: 3670</t>
  </si>
  <si>
    <t>1991118466 PUI L21118465</t>
  </si>
  <si>
    <t>Robbins,T. W.;Author,Addresses;Department of,Psychology;Behavioural,Clinical;Neuroscience Institute, University of Cambridge,United Kingdom;Correspondence,Address;TW Robbins,Department,of Psychology;Behavioural,Clinical;Neuroscience Institute, University of Cambridge,United Kingdom</t>
  </si>
  <si>
    <t>Neurobiology of addiction</t>
  </si>
  <si>
    <t>Journal of Neurology, Neurosurgery and Psychiatry</t>
  </si>
  <si>
    <t>e5</t>
  </si>
  <si>
    <t>central stimulant agent;drug dependence;neurobiology;adolescent;amygdala;awards and prizes;cognitive neuroscience;conditioned reflex;controlled study;dorsal striatum;drug abuse;drug self administration;endophenotype;experimental study;functional neuroimaging;head;human;invention;learning;male;medicine;neurotoxicity;prediction;prefrontal cortex;psychopharmacology;stimulus response</t>
  </si>
  <si>
    <t>Trevor is Professor of Cognitive Neuroscience, being elected to the Chair of Expt. Psychology (and Head of Department) at the University of Cambridge, from October 2002. He is a Fellow of the British Psychological Society (1990), the Academy of Medical Sciences (2000), and the Royal Society (2005). He received the Distinguished Scientific Contribution Award for 2011 from the American Psychological Association. He has published about 750 full papers, with an H index of about 167. He has co-edited eight books, most recently Translational Neuropsychopharmacology (Springer, 2016). Trevor directs the University of Cambridge 'Behavioural and Clinical Neuroscience Institute', the mission of which is to enhance translation from basic to clinical neuroscience. His interest in translation began with his co-invention of the CANTAB computerised neuropsychological battery, which is currently used in over 700 institutes and clinical centres worldwide. He stepped down as President of the British Neuroscience Association in 2011 and was made a CBE in the New Year's Honours list of the U.K. in 2012. In 2014, he shared the 'Brain Prize' of the Grete Lundbeck European Brain Research Foundation, the most valuable in neuroscience, and in 2015 he received the "Lifetime Achievement Award" of the British Association for Psychopharmacology'. Much evidence, based on experimental studies of intravenous drug self-administration in experimental animals and neuroimaging studies in humans now supports the view that drug addiction results in part from aberrant learning mediated by dopaminedependent processes of the limbic-striatal interface, including the amygdala and nucleus accumbens. The neural systems of this interface and other frontostriatal networks mediate several relevant forms of learning, including Pavlovian conditioning, goaldirected, action-outcome learning, and stimulus-response habit learning (which is not controlled by outcomes or goals). Hypothetically, drug addiction involves an imbalance between instrumental behaviour controlled by outcomes and habitual responding mediated by stimulus-response associations, corresponding hypothetically to a devolution of neurobehavioural control from (i) the prefrontal cortex to the striatum, and (ii) from the ventral to the dorsal striatum (Everitt and Robbins 2016). I will consider the experimental evidence relevant to these predictions from studies of both experimental animals and humans with substance use disorders. I will focus especially on stimulant drugs, but will consider other substance use disorders, as well the latter as part of a 'impulse-compulsive' spectrum of mental health disorders. For human drug abuse, it is difficult to unravel predispositions or causal neurobehavioural factors contributing to addiction, from potential neurotoxic effects of the drugs themselves. I will thus describe strategies for determining the aetiological role of these factors, based on evidence from (i) experimental animals, using several techniques and (ii) human drug abusers or vulnerable adolescents, based on functional neuroimaging methods, employing both longitudinal and endophenotype designs. I will conclude that both types of influence contribute to the drive to addiction. Finally, I will consider implications of this evidence for possible new therapeutic approaches to drug addiction, whether pharmacological or behavioural.</t>
  </si>
  <si>
    <t>(Robbins T.W.) 30th Annual Meeting of the British NeuroPsychiatry Association, BNPA 2017 London, United Kingdom 2017-02-22 to 2017-02-24 BMJ Publishing Group; ID: 1786</t>
  </si>
  <si>
    <t>1468-330X</t>
  </si>
  <si>
    <t>10.1136/jnnp-2017-BNPA.9 FULL TEXT LINK http://dx.doi.org/10.1136/jnnp-2017-BNPA.9</t>
  </si>
  <si>
    <t>Rogers,B.;Author,Addresses;Occupational Health Nursing Program, School of,Public Health;Cb University of North Carolina, Chapel,Hill N.;Correspondence,Address;Occupational Health Nursing Program, School of Public,Health C.;University of North Carolina, Chapel,Hill N.</t>
  </si>
  <si>
    <t>2023853; Smoking policies in health science schools</t>
  </si>
  <si>
    <t>Public Health Nursing</t>
  </si>
  <si>
    <t>cigarette smoking;medical education;human;medical school;review;smoking cessation;Public Health, Social Medicine and Epidemiology (17)</t>
  </si>
  <si>
    <t>(Rogers B.) Blackwell Publishing Inc., 350 Main Street, Malden, United States.; ID: 3656</t>
  </si>
  <si>
    <t>0737-1209</t>
  </si>
  <si>
    <t>http://www.ncbi.nlm.nih.gov/pubmed/2023853</t>
  </si>
  <si>
    <t>Smoking policies in health science schools</t>
  </si>
  <si>
    <t>Rogers,P. D.;Harris,J.;Jarmuskewicz,J.;Author,Addresses;Department of,Pediatrics;Northeast,Ohio University;Correspondence,Address;Department of Pediatrics, Northeast Ohio University,Cleveland O.</t>
  </si>
  <si>
    <t>3550652; Alcohol and adolescence</t>
  </si>
  <si>
    <t>(MAJOR FOCUS);alcohol;adolescence;psychology;adolescent;behavior;diagnosis;heredity;human;human cell;inheritance;intoxication;priority journal;psychological aspect;alcohol (64-17-5);Pediatrics and Pediatric Surgery (7);Drug Dependence, Alcohol Abuse and Alcoholism (40);Psychiatry (32);Public Health, Social Medicine and Epidemiology (17);Forensic Science Abstracts (49)</t>
  </si>
  <si>
    <t>The traditional image of the alcoholic is not relevant for the adolescent alcoholic. The adolescent alcoholic subject has usually not been drinking as long as the adult alcoholic. An adolescent rarely has any positive physical findings of alcohol abuse. Because of the rapid metabolism and excretion of alcohol, urine drug screening for alcohol is not worthwhile. Adolescent alcoholism is a diagnosis that is made on the patient's history alone. The patient often lies; this is often true of the adolescent who is dependent on other drugs. The adolescent alcoholic believes that he or she can 'stop drinking anytime I want to'. These teenagers continue to drink and probably use other drugs, despite the adverse consequences they experience because of their alcohol and other drug use. When talking to parents, remember that a teenager can be using alcohol for a long time before the parents have any idea their child is abusing alcohol. Pertinent screening questions asked of the teenager and the parents should be problem oriented. The teenager's alcohol and drug use history should be taken when alone with the child. Answers from the adolescent concerning frequency and quantity of use should be suspect. Some pediatricians believe that if the child is given a written questionnaire, he or she may feel less threatened and be more honest. The Chemical Abuse Treatment Outcome Registry has shown some interesting data about teenagers admitted to inpatient treatment for chemical dependency. Most smoke cigarettes daily, do not go to church or synagogue regularly, have multiple sex partners and do not use birth control, have problems at home and school, and have friends who use alcohol and other drugs regularly. Parents should be asked about such issues as grades in school and their child's friends. Is your child's mood changing? Is he or she becoming increasingly belligerent at home or school? Are there more arguments at home? Is your child spending more time alone? Is he or she showing signs of fatigue? Does any one else in the family drink too much? Has the child ever run away? Are there problems with the law? Has your child seemed depressed? Have you found any drug paraphernalia? The teenager should be asked, how often do you drink? Do you ever drink alone, in the morning or during the day? Do you ever drink liquor? Have you ever forgotten what you did while you were drinking? Does either of your parents drink too much? Do you ever skip school? How are your grades this year compared to last year? Do any of your friends drink or use drugs regularly? How many cigarettes do you smoke per day? How are you getting along with your parents? How many sex partners have you had in the past 6 months? Do you use birth control? Absence of positive factors such as attendance at church or synagogue or lack of participation in sports or extracurricular activities should be duly noted. If the clinician suspects that the child is abusing alcohol, a urine drug screen may be done because the adolescent may be abusing other drugs as well. The drugs to be screened include marijuana, cocaine, phencyclidine, opiates, amphetamines, and benzodiazepenes. A negative urine drug screen does not eliminate the possibility of alcohol and drug abuse. The diagnosis of alcohol dependence in an adolescent can be very difficult for a physician who has had little or no training in the area of adolescent substance abuse. If the clinician suspects that an adolescent patient is abusing drugs or alcohol, the child should be referred to a facility that specializes in adolescent chemical dependency. Most successful treatment programs for adolescent chemical dependency are based on the 'Twelve Steps' set forth by Alcoholics Anonymous. Adolescents are taught that sobriety can not be achieved without abstinence from all mood-altering chemicals. John Wallace defines sobriety as a complex, subtle, multidimensional state in which aspects of the chemically dependent personality and life-style are no longer evident. Sobriety, as opposed to abstinence, is in effect a change of consciousness, a heightened spiritual awareness in which elements of serenity, contentment, acceptance, gratitude, and joyfulness are evident. It is unlikely that any chemically dependent adolescent can maintain sobriety without involvement in a recovery program such as that instituted by Alcoholics Anonymous.</t>
  </si>
  <si>
    <t>(Rogers P.D.; Harris J.; Jarmuskewicz J.); ID: 3757</t>
  </si>
  <si>
    <t>http://www.ncbi.nlm.nih.gov/pubmed/3550652</t>
  </si>
  <si>
    <t>Alcohol and adolescence</t>
  </si>
  <si>
    <t>Rohan,A. J.;Monk,C.;Marder,K.;Reame,N.;Author,Addresses;Correspondence,Address;Rohan,A. J.</t>
  </si>
  <si>
    <t>21660877; Prenatal toxicology screening for substance abuse in research: codes and consequences</t>
  </si>
  <si>
    <t>medical ethics;personnel;research subject;substance abuse;ethics;female;human;legal aspect;letter;pregnancy</t>
  </si>
  <si>
    <t>(Rohan A.J.; Monk C.; Marder K.; Reame N.); ID: 2666</t>
  </si>
  <si>
    <t>http://www.ncbi.nlm.nih.gov/pubmed/21660877</t>
  </si>
  <si>
    <t>10.1080/08897077.2011.560526 FULL TEXT LINK http://dx.doi.org/10.1080/08897077.2011.560526</t>
  </si>
  <si>
    <t>Prenatal toxicology screening for substance abuse in research: codes and consequences</t>
  </si>
  <si>
    <t>Rohsenow,D. J.;Sirota,A. D.;Martin,R. A.;Monti,P. M.;Author,Addresses;Medical,Providence Va;Ctr. for,Alcohol;Addict Studies, Brown University,Medical School;Box G-Bh,Providence,R.I.United States;Correspondence,Address;DJ Rohsenow,Ctr,for Alcohol;Addict. Studies,Brown University;Medical School, Box G B H Providence R I United,States Email;Damaris_Rohsenow@Brown.edu</t>
  </si>
  <si>
    <t>15050672; The cocaine effects questionnaire for patient populations: Development and psychometric properties</t>
  </si>
  <si>
    <t>cocaine dependence;psychometry;questionnaire;adult;analgesia;article;drug dependence treatment;expectation;female;human;male;medical staff;psychosocial withdrawal;reliability;sexual function;validation process;wellbeing;Biophysics, Bioengineering and Medical Instrumentation (27);Drug Dependence, Alcohol Abuse and Alcoholism (40)</t>
  </si>
  <si>
    <t>Outcome effect expectancies are considered a key determinant of behavior in social learning models of substance use. The present study reports the development and psychometric properties of the Cocaine Effects Questionnaire (CEQ-P), designed specifically for use with patients in treatment for substance abuse. Items generated from patients and treatment staff were Likert-rated for frequency by 178 patients in substance abuse intensive day treatment. Seven components were derived and reduced into a 33-item measure with good reliability. The components loaded on two higher order components: positive effects (five scales) and negative effects (two scales). The CEQ-P shows good construct and concurrent validity in comparison with measures of similar constructs and with cocaine use variables. Few gender or racial differences were significant. Greater pretreatment cocaine use was associated with expecting less frequent positive effects and more frequent social withdrawal, consistent with clinical reports of later stage cocaine use. Alternatively, greater urges to use correlated positively with expected positive effects, specifically with expecting enhanced well-being, pain reduction, and sexual enhancement from cocaine. Less cocaine use during the 3-months after intensive treatment was predicted by expecting more negative effects from cocaine pretreatment. The CEQ-P is likely to be useful for both clinical and research purposes. Treatment implications were discussed. â”¬âŒ 2003 Elsevier Ltd. All rights reserved.</t>
  </si>
  <si>
    <t>(Rohsenow D.J., Damaris_Rohsenow@Brown.edu; Sirota A.D.; Monti P.M.) (Rohsenow D.J., Damaris_Rohsenow@Brown.edu; Sirota A.D.; Martin R.A.; Monti P.M.) Elsevier Ltd, Langford Lane, Kidlington, Oxford, United Kingdom.; ID: 3233</t>
  </si>
  <si>
    <t>http://www.ncbi.nlm.nih.gov/pubmed/15050672</t>
  </si>
  <si>
    <t>10.1016/j.addbeh.2003.08.024 FULL TEXT LINK http://dx.doi.org/10.1016/j.addbeh.2003.08.024</t>
  </si>
  <si>
    <t>The cocaine effects questionnaire for patient populations: Development and psychometric properties</t>
  </si>
  <si>
    <t>Rolius,R.;Scott,I. U.;Brill,D.;Landis,Z.;Author,Addresses;Ophthalmology,Penn State;Hershey,Milton S.;Correspondence,Address;Hershey Medical Center,R.Rolius, Ophthalmology Penn State Milton S.;Hershey,United States</t>
  </si>
  <si>
    <t>Practice patterns among eye care providers at US-based teaching hospitals with respect to educating patients regarding risks of smoking and providing smoking cessation counselling</t>
  </si>
  <si>
    <t>counseling;eye care;female;male;smoking cessation;teaching hospital;accreditation;disease course;doctor patient relation;e-mail;eye disease;human;major clinical study;medical education;ophthalmologist;ophthalmology;optometrist;resident;smoke</t>
  </si>
  <si>
    <t>Purpose: Smoking is a risk factor for several ocular diseases, including age-related macular degeneration and cataract. However, little is known about practice patterns among eye care providers with respect to educating patients regarding risks of smoking and providing smoking cessation counselling. Our study was designed to investigate such practice patterns among eye care providers at US-based teaching hospitals. Methods: An anonymous survey including multiple choice and Likert-style questions was created on www.surveymonkey.com. An email containing an explanation of the study, an invitation to participate, and the survey link was sent to the coordinator of each ophthalmology residency program accredited by the Accreditation Council for Graduate Medical Education, and the program coordinators were asked to forward the email to all ophthalmologists, optometrists, ophthalmology residents and fellows in the program. Weekly reminders were emailed for 4 consecutive weeks. Results: To date, 15 program coordinators confirmed distribution of the survey to 469 eye care providers; 103 completed surveys were received. Ophthalmologists, optometrists, ophthalmology residents and fellows contributed 38%, 11%, 43% and 8% of responses, respectively. Overall, 37% of respondents reported they always ask their patients about smoking status, 37% advise patients who smoke to quit smoking, 32% always educate their patients about ocular diseases associated with smoking, and 20% always educate patients about systemic risks associated with smoking. Fewer than half of the respondents (46%) reported having received adequate training in smoking cessation counselling during residency/fellowship. Conclusions: Survey results collected to date indicate that a minority of eye care providers at US-based teaching hospitals consistently ask their patients about smoking status, educate patients about ocular and systemic risks associated with smoking, and advise patients who smoke to stop smoking. This suggests that interventions designed to encourage eye care providers to educate patients about the risks of smoking and advise patients to stop smoking may have a substantial impact on patients' general and ocular health.</t>
  </si>
  <si>
    <t>(Rolius R.; Scott I.U.; Brill D.; Landis Z.) 2015 Annual Meeting of the Association for Research in Vision and Ophthalmology, ARVO 2015 Denver, CO, United States 2015-05-03 to 2015-05-07 Association for Research in Vision and Ophthalmology Inc.; ID: 2094</t>
  </si>
  <si>
    <t>Romualdi,P.;Candeletti,S.;Author,Addresses;Dipartimento,di;Farmacologia,Universitâ”œÃ¡ di Bologna via Irnerio Bologna Italy;Correspondence,Address;Romualdi, Dipartimento di Farmacologia Universitâ”œÃ¡ di Bologna via,P.;Irnerio,Bologna Italy Email patrizia romualdi unibo it</t>
  </si>
  <si>
    <t>Pharmacology of opiate analgesics for chronic pain management ORIGINAL (NON-ENGLISH) TITLE La gestione del dolore cronico: Farmacologia degli analgesici oppiacei</t>
  </si>
  <si>
    <t>Giornale di gerontologia</t>
  </si>
  <si>
    <t>G.Gerontol.</t>
  </si>
  <si>
    <t>(MAJOR FOCUS);opiate (drug therapy, pharmacology);delta opiate receptor (endogenous compound);fentanyl (drug therapy);G protein coupled receptor (endogenous compound);kappa opiate receptor (endogenous compound);morphine (drug therapy);morphine 6 glucuronide (drug therapy);nalorphine (drug therapy);nociceptin derivative (drug development);opiate peptide (drug therapy);opiate receptor (endogenous compound);pentapeptide (endogenous compound);sufentanil (drug therapy);chronic pain (drug therapy);analgesia;article;central nervous system;drug abuse;drug receptor binding;drug research;drug safety;drug targeting;human;neuromodulation;fentanyl (437-38-7);morphine 6 glucuronide (20290-10-2);morphine (52-26-6, 57-27-2);nalorphine (1041-90-3, 57-29-4, 62-67-9);opiate (53663-61-9, 8002-76-4, 8008-60-4);sufentanil (56030-54-7);Clinical and Experimental Pharmacology (30);Drug Literature Index (37);Neurology and Neurosurgery (8)</t>
  </si>
  <si>
    <t>The opiate analgesic drugs currently represent the most powerful instrument in pain therapy and elicit their therapeutic action mimicking endogenous substances, the opioid peptides, natural ligands of the opioid receptors. They interact with specific receptors, physiologically present in the CNS and in periphery, where they modulate different functions. Beside the well known function related to nociceptive transmission modulation, this system is also involved in the regulation of gastrointestinal, endocrine and autonomic functions, as well as in the mechanisms underlying reward, addiction and in memory and learning processes. Opiates are more and more diffusing in pain therapy and physicians should be able to control pain before this becomes intractable. The recent discovery of new opioid endogenous systems, like the nociceptin one, the development of alternative administration routes and of new drugs with less abuse liability, will allow better scientific understanding, better targeted therapy and a safer use of opiate drugs for the pharmacological control of pain. The goals in this field of research are important and future knowledges will be able to help physicians to use therapeutic tools in the control of pain, before it becomes intractable.</t>
  </si>
  <si>
    <t>(Romualdi P., patrizia.romualdi@unibo.it; Candeletti S.); ID: 3211</t>
  </si>
  <si>
    <t>0017-0305</t>
  </si>
  <si>
    <t>2005430678 PUI L41357531</t>
  </si>
  <si>
    <t>Ronshaugen,N.;Wretzel,S.;Author,Addresses;Baystate,Medical Center;States;Correspondence,Address;Ronshaugen, Baystate Medical Center Springfield United States,N.</t>
  </si>
  <si>
    <t>An inter-professional primary care based chronic pain management and opiate use disorder curriculum for interns and new advanced practitioners</t>
  </si>
  <si>
    <t>S653</t>
  </si>
  <si>
    <t>(MAJOR FOCUS);opiate;buprenorphine;methamphetamine;analgesia;chronic pain;curriculum;doctor nurse relation;primary medical care;clinical study;clinical trial;detoxification;doctor patient relation;drug therapy;harm reduction;human;motivational interviewing;occupation;opiate addiction;outpatient;practice guideline;prescription;remission;resident;simulation training;social worker;buprenorphine (52485-79-7, 53152-21-9);methamphetamine (28297-73-6, 51-57-0, 537-46-2, 7632-10-2);opiate (53663-61-9, 8002-76-4, 8008-60-4)</t>
  </si>
  <si>
    <t>NEEDS AND OBJECTIVES: Interns and new advanced practitioners (AP) often have insufficient education treating patients with chronic pain or opiate use disorder (OUD). This inter-professional curriculum improves diagnosis and treatment. Objectives Î“ÃªÃ¹Recognize a new provider's educational needs in chronic pain management and OUD Î“ÃªÃ¹Discover how to use institutional and community resources to help design anOUD curriculumÎ“ÃªÃ¹Learn how to design an inter-professional curriculum on OUD SETTING AND PARTICIPANTS: Incoming interns and new AP participate in an intensive lecture series in the first three months of practice followed by intern experiences in clinic based and community organizations addressing OUD throughout the year. DESCRIPTION: OUD is a potentially lethal disease that is often inadequately taught. In our residency program, we designed a curriculum to address this educational need. Our primary goal was to allow interns and new AP to gain a sense of mastery treating OUD and chronic pain in the outpatient setting. Our secondary goal was to model inter-professional learning. During ambulatory orientation, our interns and AP undergo a two-day intensive, inter-professional didactic lecture series from nurses and doctors on chronic pain management, opioid use and abuse, harm reduction, and buprenorphine management. Participants engage in interactive training in motivational interviewing with social workers and discussions with patients in recovery. The curriculum continues for interns throughout the year with experiences in community and clinic based buprenorphine clinics, twelve step programs, and detoxification facilities. There are also two ambulatory didactic lecture conferences during the year for all residents and AP on substance use disorders. EVALUATION: Prior to the start of the curriculum, interns and AP had an average pretest score of 48% with a range between 25-75% correct. After the lecture series, the average score was 69% on the posttest with a range of scores between 50-88% correct. Initially, participants in the program mentioned feeling uncomfortable about opiate prescribing and chronic pain management. Participants voiced fears about opiate addiction and Î“Ã‡Â£failing to recognize misuse.Î“Ã‡Â¥ However, participants largely found the curriculum helpful. One participant mentioned, Î“Ã‡Â£I feel more comfortable approaching the patient with chronic pain. (I have) more options and opiates are only one modality.Î“Ã‡Â¥ DISCUSSION/REFLECTION/LESSONS LEARNED: This curriculum improved our interns' knowledge of OUD and chronic pain management as well as how different professions impact a patient's care in OUD. Further, while the number of AP residency programs is increasing, many new AP graduates are still caring for patients with OUD with only a minimal amount of knowledge of how to do so. This curriculum can also serve as a guideline for clinics interested in improving AP knowledge of OUD. Future areas of growth for this curriculum include addressing methamphetamine use disorder; establishing a resident-run buprenorphine clinic; and improving education among clinic nurses in OUD.</t>
  </si>
  <si>
    <t>(Ronshaugen N.; Wretzel S.) 40th Annual Meeting of the Society of General Internal Medicine, SGIM 2017 Washington, DC, United States 2017-04-19 to 2017-04-22 Springer New York LLC; ID: 1810</t>
  </si>
  <si>
    <t>Rosenman,S. J.;Korten,A. E.;Levings,C. T.;Author,Addresses;Mental,Health Services;Canberra,A. C. T. A.;Nh;Mrc Psychiat. Epidemiol. R, Australian National;University,Canberra A. C. T. Australia;Canberra Hospital, P O Box,Woden A.;Correspondence,Address;SJ Rosenman, The Canberra Hospital P O Box,Woden A.</t>
  </si>
  <si>
    <t>9368199; Computerised diagnosis in acute psychiatry: Validity of CIDI-Auto against routine clinical diagnosis</t>
  </si>
  <si>
    <t>Journal of psychiatric research</t>
  </si>
  <si>
    <t>J.Psychiatr.Res.</t>
  </si>
  <si>
    <t>behavior disorder (diagnosis);computer assisted diagnosis;neurosis (diagnosis);schizophrenia (diagnosis);substance abuse;adult;article;diagnostic accuracy;female;human;major clinical study;male;mood;priority journal;psychiatrist;psychiatry;Biophysics, Bioengineering and Medical Instrumentation (27);Psychiatry (32);Health Policy, Economics and Management (36)</t>
  </si>
  <si>
    <t>The validity of the self-administered CIDI-Auto for detecting ICD-10 diagnoses was assessed in a study of 126 patients admitted to an acute psychiatry unit. A comparison was made between the level of agreement of the CIDI-Auto with a psychiatrist and that between two psychiatrists. The CIDI-Auto generated an average of 2.3 diagnoses per subject, and the psychiatrists 1.3. Agreement measured by overall agreement and by Kappas between the CIDI-Auto and the psychiatrist's principal diagnosis was poor, whereas agreement between psychiatrists was good. At the level of general diagnostic class (e.g. substance use disorder, schizophrenic disorder, mood disorder), agreement between CIDI-Auto and psychiatrist on principal diagnosis was poor, Kappa = 0.23, while agreement between psychiatrists was good, Kappa = 0.69. The findings indicate that the self-administered CIDI-Auto has poor validity measured against clinical diagnosis for hospitalised patients of acute psychiatric services. Poor validity of computer-based diagnosis limits the diagnostic utility of these methods in clinical situations. It also creates uncertainty of diagnostic findings in survey use.</t>
  </si>
  <si>
    <t>(Rosenman S.J.; Levings C.T.) (Korten A.E.) (Rosenman S.J.) Elsevier Ltd; ID: 3497</t>
  </si>
  <si>
    <t>0022-3956</t>
  </si>
  <si>
    <t>http://www.ncbi.nlm.nih.gov/pubmed/9368199</t>
  </si>
  <si>
    <t>10.1016/S0022-3956(97)00032-0 FULL TEXT LINK http://dx.doi.org/10.1016/S0022-3956(97)00032-0</t>
  </si>
  <si>
    <t>Computerised diagnosis in acute psychiatry: Validity of CIDI-Auto against routine clinical diagnosis</t>
  </si>
  <si>
    <t>Ross,A.;Dion,J.;Cantinotti,M.;Collin-Vâ”œâŒzina,D.;Paquette,L.;Author,Addresses;Department of,Health;Sciences,Universitâ”œâŒ du Quâ”œâŒbec â”œÃ¡ Chicoutimi Saguenay Canada;Cripcas;Canada;Department of Psychology, Universitâ”œâŒ,du Qu;Trois-Riviâ”œÂ¿res,Trois-Riviâ”œÂ¿res Canada;School of Social Work, McGill,University Montreal;Canada;Correspondence,Address;Dion, Dâ”œâŒpartement des sciences de la santâ”œâŒ Universitâ”œâŒ du Quâ”œâŒbec â”œÃ¡,J.;Chicoutimi,Boul Universitâ”œâŒ Chicoutimi Canada</t>
  </si>
  <si>
    <t>26280378; Impact of residential schooling and of child abuse on substance use problem in Indigenous Peoples</t>
  </si>
  <si>
    <t>child abuse;residency education;school;substance use;adult;alcohol abuse;alcoholism;article;Canada;child neglect;drug abuse;drug use;female;human;indigenous people;major clinical study;male;physical abuse;population;prevalence;screening test;self report;sexual abuse;wellbeing;Public Health, Social Medicine and Epidemiology (17);Drug Dependence, Alcohol Abuse and Alcoholism (40);Forensic Science Abstracts (49);Pediatrics and Pediatric Surgery (7)</t>
  </si>
  <si>
    <t>Residential schools were the institutions, in operation from the 19th century to the late 20th century, which Indigenous children in Canada were forced to attend. The literature shows that many young people who attended these institutions were victims of neglect and abuse. Negative psychological effects resulting from child abuse have been amply documented. However, very few studies on this subject have been carried out among Canada's Indigenous Peoples. The objective of this study is to evaluate, for an Indigenous population in Quebec (Canada), the impact of residential schooling as well as self-reported experiences of sexual and physical abuse during childhood on the development of alcohol and drug use problems in adulthood. A total of 358 Indigenous participants were interviewed (164 men 45.8%] and 194 women 54.2%]). Alcoholism was evaluated using the Michigan Alcoholism Screening Test (MAST). Drug abuse was assessed with the Drug Abuse Screening Test-20 (DAST). Child abuse and residential schooling were assessed with dichotomous questions (yes/no). Among the participants, 28.5% (n= 102) had attended residential schools, 35.2% (n= 121) reported having experienced sexual abuse, and 34.1% (n= 117) reported having experienced physical abuse before adulthood. Results of the exact logistic regression analyses indicated that residential school attendance was linked to alcohol problems, while child abuse was related to drug use problems. The results of this study highlight the importance of considering the consequences of historical traumas related to residential schools to better understand the current situation of Indigenous Peoples in Canada.</t>
  </si>
  <si>
    <t>(Ross A.; Dion J., jacinthe_dion@uqac.ca; Paquette L.) (Ross A.; Dion J., jacinthe_dion@uqac.ca; Collin-Vâ”œâŒzina D.) (Interdisciplinary Research Centre on Intimate Relationship Problems and Sexual Abuse) (Cantinotti M.) (Collin-Vâ”œâŒzina D.) Elsevier Ltd; ID: 2084</t>
  </si>
  <si>
    <t>http://www.ncbi.nlm.nih.gov/pubmed/26280378</t>
  </si>
  <si>
    <t>10.1016/j.addbeh.2015.07.014 FULL TEXT LINK http://dx.doi.org/10.1016/j.addbeh.2015.07.014</t>
  </si>
  <si>
    <t>Impact of residential schooling and of child abuse on substance use problem in Indigenous Peoples</t>
  </si>
  <si>
    <t>Ross,E. A.;Pittman,T. B.;Koo,L. C.;Author,Addresses;End-Stage Renal,Diseaase Program;Nephrol Hypertens/Transplant, University of Florida,Gainesville F.;States,United;Div. Nephrol. Hypertens./Transplant, University of;Florida,Gainesville F. L. United States;Correspondence,Address;EA Ross, End-Stage Renal Diseaase Program,Div Nephrol;Hypertens/Transplant, University of Florida,Gainesville F.;United States Email, Rossea Medicine,ufl edu</t>
  </si>
  <si>
    <t>12487393; Strategy for the treatment of noncompliant hypertensive hemodialysis patients</t>
  </si>
  <si>
    <t>International Journal of Artificial Organs</t>
  </si>
  <si>
    <t>Int.J.Artif.Organs</t>
  </si>
  <si>
    <t>(MAJOR FOCUS);antihypertensive agent (adverse drug reaction, drug administration, drug;combination, drug comparison, drug dose, drug therapy, oral drug;administration, pharmacokinetics, transdermal drug administration);amlodipine (adverse drug reaction, drug combination, drug comparison, drug;therapy, transdermal drug administration);clonidine (adverse drug reaction, drug combination, drug comparison, drug;dipeptidyl carboxypeptidase inhibitor (drug therapy);erythropoietin (intravenous drug administration);lisinopril (adverse drug reaction, drug combination, drug comparison, drug;dose, drug therapy, oral drug administration, pharmacokinetics);long acting drug (adverse drug reaction, drug combination, drug comparison,;drug therapy, transdermal drug administration);hemodialysis patient;hypertension (drug therapy);adult;article;blood pressure regulation;cardiovascular disease (complication);clinical article;clinical protocol;data analysis;diastolic blood pressure;disease severity;drinking;drug dose regimen;drug half life;drug self administration;female;follow up;high risk patient;human;information processing;kidney failure (therapy);male;maximum permissible dose;medical staff;monotherapy;patient attitude;patient compliance;retrospective study;side effect (side effect);socioeconomics;statistical analysis;statistical significance;substance abuse;systolic blood pressure;treatment planning;amlodipine (88150-42-9);clonidine (4205-90-7, 4205-91-8, 57066-25-8);erythropoietin (11096-26-7);lisinopril (76547-98-3, 83915-83-7);Cardiovascular Diseases and Cardiovascular Surgery (18);Clinical and Experimental Pharmacology (30);Adverse Reactions Titles (38);Urology and Nephrology (28);Drug Literature Index (37)</t>
  </si>
  <si>
    <t>Hypertensive hemodialysis patients noncompliant for their medications do not benefit from pharmacologic advances in the treatment of high blood pressure, and increase their already high risk of cardiovascular complications. The medical staff often becomes frustrated by severe hypertension in those who refuse to take medicines at home, drink excessive fluids, miss multiple dialysis sessions and sign-off dialysis early. In addition to addressing the psychosocial, financial, educational and substance abuse problems which contribute to noncompliance, we have developed a medication strategy to serve as an at least interim means of lowering blood pressure. Antihypertensive agents which have long half-lives in renal failure (lisinopril) and/or are intrinsically long acting (transdermal clonidine and amlodipine) were administered on dialysis days by the unit personnel to those patients who did not or would not take that or any dose on their own. The lisinopril and amlodipine were assured to have been taken on at least the dialysis days (thrice weekly), and the clonidine patch replaced weekly. Sixteen patients were thus treated when they failed to reliably self-administer medications. They had a significant decline in the pre-dialysis systolic pressure of 15 mm Hg (175 â”¬â–’ 6 to 160 â”¬â–’ 5 mm Hg), diastolic of 12 mm Hg (103 â”¬â–’ 3 to 91 â”¬â–’ 3 mm Hg), and mean pressure of 13 mm Hg (127 â”¬â–’ 4 to 114 â”¬â–’ 4 mm Hg). There was an improvement in post-dialysis blood pressures, with the mean pressure declining 13 mm Hg from 110 â”¬â–’ 4 to 97 â”¬â–’ 4 mm Hg. Many individuals had erratic blood pressure control, having intermittently missed dialysis and hence unit-administered medicine, as well as continued fluid or drug abuse. The patients had uniformly excellent acceptance of this regimen, even spontaneously requesting it, and had no appreciable adverse effects. In summary while noncompliance is being addressed by the entire medical team, dialysis unit administration of long-acting medicines helps many hypertensive dialysis patients who would otherwise be at increased risk for severe cardiovascular complications.</t>
  </si>
  <si>
    <t>(Ross E.A., Rossea@Medicine.ufl.edu) (Pittman T.B.; Koo L.C.) Wichtig Editore s.r.l., Via Friuli 72/74, Milan, Italy.; ID: 3292</t>
  </si>
  <si>
    <t>0391-3988</t>
  </si>
  <si>
    <t>http://www.ncbi.nlm.nih.gov/pubmed/12487393</t>
  </si>
  <si>
    <t>Strategy for the treatment of noncompliant hypertensive hemodialysis patients</t>
  </si>
  <si>
    <t>Ross,J. D.;Bahl,R.;Connery,H. S.;Greenfield,S. F.;Author,Addresses;Massachusetts,General;Hospital,McLean Hospital Adult Psychiatry Residency Training Program;University of Texas Southwestern,Medical Center;Correspondence,Address;JD Ross, Massachusetts General Hospital McLean Hospital,Adult Psychiatry;Residency Training Program, University of Texas Southwestern,Medical Center;United,States</t>
  </si>
  <si>
    <t>Implementation of screening, brief intervention, and referral to treatment in psychiatric emergency settings</t>
  </si>
  <si>
    <t>addiction;emergency health service;psychiatry;screening;adaptation;data base;emergency treatment;emergency ward;feedback system;general hospital;health service;hospital;human;mental health care;patient;patient care;pilot study;recidivism;residency education;substance abuse;training;United States</t>
  </si>
  <si>
    <t>Background: Patients with substance use disorders (SUD) repeatedly utilize the emergency department (ED) to access mental health care services. Screening, Brief Intervention, and Referral to Treatment (SBIRT) protocols can decrease recidivism in medical settings.We hypothesize that SBIRT can be adapted for use in a psychiatric ED to improve patient care and psychiatry resident training in this area. Methods: IRB approval was obtained for both pilot sites (Massachusetts General Hospital, McLean Hospital). SBIRT adaptation includes the AUDIT-C and a modified version of the ASSIST. Psychiatry residents are being surveyed before training and 4 weeks after implementation to compare resident attitudes and beliefs about emergency treatment of SUD patients and self-confidence in delivering SBIRT. Training consists of a 1-hour online didactic on motivational interviewing, brief interventions, and SBIRT tools. This is supplemented by (1) self-study training modules created for the resident training program electronic database files (wiki), and (2) flexible individualized training by the addictions chief resident (RB). Aggregate data from SBIRT delivered during the pilot study will be collected to analyzeSUDprofiles of patients seen and referrals recommended. Results: SBIRT protocols, training tools, and pilot feedback from residents using the modified SBIRT protocol are presented. The wiki site provides a continuous, interactive training site for ongoing supervision of challenging cases and updated referral resources. Conclusions: SBIRT is adaptable to psychiatric EDs and may provide a valuable tool for training psychiatry residents in core addiction psychiatry competencies and for shaping positive attitudes toward the treatment of SUD patients.</t>
  </si>
  <si>
    <t>(Ross J.D.; Bahl R.; Connery H.S.; Greenfield S.F.) 21st Annual Meeting and Symposium of the American Academy of Addiction Psychiatry, AAAP 2010 Boca Raton, FL, United States 2010-12-02 to 2010-12-05 Wiley-Blackwell; ID: 2665</t>
  </si>
  <si>
    <t>Rossie,K.;Metcalf,M.;Tanner,T.;Author,Addresses;Clinical Tools Inc, Chapel,HIll United;States;Correspondence,Address;Rossie, Clinical Tools Inc Chapel HIll United States,K.</t>
  </si>
  <si>
    <t>Online training needs of primary care providers in pain and addiction</t>
  </si>
  <si>
    <t>addiction;pain;primary medical care;society;convenience sample;curriculum;nurse practitioner;patient;physician;risk;skill</t>
  </si>
  <si>
    <t>The majority of primary care providers did not receive adequate training to detect, prevent, and manage patients at the interface of pain and addiction.1 But there are currently little data to guide training development so that it emphasizes the specific areas of greatest need.We surveyed a convenience sample of twenty-seven primary care providers (9 physicians, 9 residents, and 9 nurse practitioners) retrospectively about their training at the interface of treating pain and addiction. They were asked to rate their agreement that their clinical training adequately prepared them in 9 specific areas. The responses were very similar for each of the three groups. Sixty-four percent (64%) of participants disagreed (either strongly disagreed or disagreed) that they were adequately prepared to treat pain in patients in recovery. Sixty percent (60%) disagreed that they were prepared to treat pain in patients with current addictions. And 52% disagreed that they were adequately prepared to treat patients at risk for addiction. Perception of their training to assess pain in the context of addiction issues was more positive. Of the participants, 48% agreed or strongly agreed that they were adequately prepared to recognize addiction in a pain patient; still 28% disagreed. Similarly, 48% agreed or strongly agreed that they were adequately prepared to recognize patients at risk for addiction; but 36% disagreed. Primary care providers do not feel adequately prepared by their training in pain and addiction, especially in the areas of treatment. Training needs related to treatment increase as the risk of addiction increases. Educational curricula are needed to ensure that pain treatment providers have the skills necessary to assess and treat patients at the interface of pain and addiction.</t>
  </si>
  <si>
    <t>(Rossie K.; Metcalf M.; Tanner T.) 29th Annual Scientific Meeting of the American Pain Society, APS Baltimore, MD, United States 2010-05-06 to 2010-05-08 Churchill Livingstone Inc.; ID: 2800</t>
  </si>
  <si>
    <t>10.1016/j.jpain.2010.01.087 FULL TEXT LINK http://dx.doi.org/10.1016/j.jpain.2010.01.087</t>
  </si>
  <si>
    <t>Rothrauff,T. C.;Abraham,A. J.;Bride,B. E.;Roman,P. M.;Author,Addresses;Institute for Behavioral Research, University,of Georgia;Athens,Georgia U. S. A.;Correspondence,Address;TC Rothrauff, Institute for Behavioral Research University,of Georgia;Athens,Georgia U.S.A.Email trothrauff gmail com</t>
  </si>
  <si>
    <t>21302179; Substance abuse treatment for older adults in private centers</t>
  </si>
  <si>
    <t>addiction (epidemiology, therapy);drug dependence treatment;organization and management;aged;article;health care delivery;human;practice guideline;statistics;United States</t>
  </si>
  <si>
    <t>By 2020, an estimated 4.4 million older adults will require substance abuse treatment compared to 1.7 million in 2000-01. This study examined the availability of special services for older adults, adoption of recommended treatment approaches, and organizational characteristics of centers that offer special services. Data were collected via face-to-face interviews with administrators and/or clinical directors from a nationally representative sample of 346 private treatment centers participating in the 2006-07 National Treatment Center Study. Results indicated that only 18% provided special services for older adults; age-specific recommendations were generally adopted; more older adult-specialty centers offered prescription drug addiction treatment, primary medical care, and housing assistance. The proportion of patients with Medicare payment predicted availability of special services. As more older adults will seek help with a myriad of substance use disorders (SUDs) over the next decade, treatment centers need to get ready for a plethora of challenges as well as unique opportunities for growth.</t>
  </si>
  <si>
    <t>(Rothrauff T.C.) (Abraham A.J.; Bride B.E.; Roman P.M.); ID: 2732</t>
  </si>
  <si>
    <t>http://www.ncbi.nlm.nih.gov/pubmed/21302179</t>
  </si>
  <si>
    <t>10.1080/08897077.2011.540463 FULL TEXT LINK http://dx.doi.org/10.1080/08897077.2011.540463</t>
  </si>
  <si>
    <t>Substance abuse treatment for older adults in private centers</t>
  </si>
  <si>
    <t>Roy,â”œÃ«;Câ”œâ”¤tâ”œâŒ,R. J.;Hamel,D.;Dubâ”œâŒ,P. A.;Langlois,â”œÃ«;Labesse,M. E.;Thibault,C.;Boulanger,A.;Author,Addresses;Facultâ”œâŒ de Mâ”œâŒdecine et des Sciences de,la Sant;Sherbrooke,Campus de Longueuil Longueuil Canada;Direction des Risques Biologiques et de,la Sant;Institut National de Santâ”œâŒ Publique du Quâ”œâŒbec, Crâ”œâŒmazie,Est Montr;Canada;Bureau d'Information et d'â”œÃ«tudes,en Sant;Institut National de Santâ”œâŒ Publique du Quâ”œâŒbec, avenue,Wolfe Qu;City,Canada;Direction de la Santâ”œâŒ Environnementale et,de la;Institut National de Santâ”œâŒ Publique du Quâ”œâŒbec, avenue,Wolfe Qu;City,Canada;Direction de la Santâ”œâŒ Environnementale et de,la Toxicologie;National de Santâ”œâŒ Publique du Quâ”œâŒbec, Crâ”œâŒmazie,Est Montr;Clinique Antidouleur du Centre Hospitalier,de l;Montrâ”œâŒal,rue Sherbrooke,Est Montr;Correspondence,Address;ME Labesse, Direction de la Santâ”œâŒ Environnementale et de,la Toxicologie;Institut National de Santâ”œâŒ Publique du Quâ”œâŒbec, Crâ”œâŒmazie,Est Montr;Canada Email, maudemmanuelle labesse inspq,qc ca</t>
  </si>
  <si>
    <t>28831278; Opioid prescribing practices and training needs of quâ”œâŒbec family physicians for chronic noncancer pain</t>
  </si>
  <si>
    <t>2017 Article Number: 1365910.</t>
  </si>
  <si>
    <t>(MAJOR FOCUS);opiate;buprenorphine;butorphanol;codeine;hydrocodone;hydromorphone;methadone;morphine;nose spray;oxycodone;paracetamol;paracetamol plus tramadol;pethidine;tapentadol;tramadol;analgesia;chronic noncancer pain;chronic pain;adult;age distribution;aged;article;Canada;controlled study;family medicine;female;general practitioner;human;male;medical practice;middle aged;prescription;private hospital;questionnaire;refusal to participate;risk factor;transdermal patch;buprenorphine (52485-79-7, 53152-21-9);butorphanol (42408-82-2);codeine (76-57-3);hydrocodone (125-29-1, 25968-91-6, 34366-67-1);hydromorphone (466-99-9, 71-68-1);methadone (1095-90-5, 125-56-4, 23142-53-2, 297-88-1, 76-99-3);morphine (52-26-6, 57-27-2);opiate (53663-61-9, 8002-76-4, 8008-60-4);oxycodone (124-90-3, 76-42-6);paracetamol (103-90-2);pethidine (28097-96-3, 50-13-5, 57-42-1);tapentadol (175591-09-0, 175591-23-8);tramadol (27203-92-5, 36282-47-0);Drug Literature Index (37);Neurology and Neurosurgery (8)</t>
  </si>
  <si>
    <t>Aim. To examine medical practices and training needs of Quâ”œâŒbec family physicians with respect to pain management and opioid prescription for chronic noncancer pain (CNCP). Methodology. An online survey was carried out in 2016. Results. Of 636 respondents (43.0% men; 54.3% Î“Ã«Ã‘ 50 years old), 15.2% and 70.9% felt very or somewhat confident that they could properly prescribe opioids for CNCP. Concerns related to abuse (72.5% strongly/somewhat agree), dependence (73.2%), and lack of support (75.4%) were themain barriers reported. Only 19.7% always/often screened their patients for risks of abuse and dependence using a screening tool. About two-thirds of participants (65.7%) had recently (last five years) taken part in continuing education programs on opioid use for CNCP and 73.4% on CNCP management. Patient evaluation and differential diagnoses of chronic pain syndromeswere rated as a top priority for further training. Conclusions. This study provides insights into Quâ”œâŒbec family physicians' concerns, practices, and needs with respect to the management of CNCP. Physicians' difficulties around the application of strategies to mitigate the problem of opioid abuse and addiction are worrying. The need to better train physicians in the field of pain and addiction cannot be emphasized enough.</t>
  </si>
  <si>
    <t>(Roy â”œÃ«.) (Câ”œâ”¤tâ”œâŒ R.J.) (Hamel D.) (Dubâ”œâŒ P.-A.) (Langlois â”œÃ«.; Labesse M.E., maudemmanuelle.labesse@inspq.qc.ca; Thibault C.) (Boulanger A.) Hindawi Limited, 410 Park Avenue, 15th Floor, 287 pmb, New York, United States.; ID: 1862</t>
  </si>
  <si>
    <t>http://www.ncbi.nlm.nih.gov/pubmed/28831278</t>
  </si>
  <si>
    <t>10.1155/2017/1365910 FULL TEXT LINK http://dx.doi.org/10.1155/2017/1365910</t>
  </si>
  <si>
    <t>Opioid prescribing practices and training needs of quâ”œâŒbec family physicians for chronic noncancer pain</t>
  </si>
  <si>
    <t>Roy,P. J.;Weinstein,Z. M.;DiBlasi,K.;Shantharam,S.;Yuh,D.;Neville,L.;Walley,A. Y.;Author,Addresses;Boston,Medical Center;States;Boston Univ,Boston;United,States;Correspondence,Address;PJ Roy, Boston Univ Boston,United States</t>
  </si>
  <si>
    <t>A curriculum to improve resident knowledge and satisfaction in caring for hospitalized patients with addiction-update</t>
  </si>
  <si>
    <t>S646</t>
  </si>
  <si>
    <t>alcohol;opiate;alcoholism;clinical study;curriculum;hospital patient;resident;satisfaction;analysis of variance;comfort;comparative effectiveness;consultation;controlled study;diagnosis;exposure;human;internal medicine;multiple choice test;perception;questionnaire;rotation;safety net hospital;alcohol (64-17-5);opiate (53663-61-9, 8002-76-4, 8008-60-4)</t>
  </si>
  <si>
    <t>NEEDS AND OBJECTIVES: We previously described a new curriculum to improve knowledge and satisfaction among internal medicine (IM) residents who care for patients with substance use disorders (SUD) and addiction; this abstract seeks to provide an update regarding the evaluation of the curriculum's efficacy. Residents frequently care for patients with SUD but are significantly less likely to experience satisfaction in managing SUD in comparison to other medical issues. In July 2015, the Addiction Consult Service (ACS) was started, aimed at improving the care of hospitalized patients with SUD. We addressed resident discomfort by providing a curriculum as part of the ACS in order to increase their knowledge in the field of addiction and consequently their satisfaction in caring for patients with SUD. SETTING AND PARTICIPANTS: Setting: academic safety net hospital. Primary Participants: IM residents rotating on the ACS. Secondary:</t>
  </si>
  <si>
    <t>(Weinstein Z.M.; Yuh D.; Neville L.) (Roy P.J.; DiBlasi K.; Shantharam S.; Walley A.Y.) 40th Annual Meeting of the Society of General Internal Medicine, SGIM 2017 Washington, DC, United States 2017-04-19 to 2017-04-22 Springer New York LLC; ID: 1808</t>
  </si>
  <si>
    <t>Roy,S.;Author,Addresses;Department of,Surgery;Pharmacology,University of Minnesota;United,States;Correspondence,Address;Roy,Department of Surgery,S.;Pharmacology,University of Minnesota;United,States</t>
  </si>
  <si>
    <t>The 19th annual scientific conference of the society on neuroimmune pharmacology</t>
  </si>
  <si>
    <t>Journal of Neuroimmune Pharmacology</t>
  </si>
  <si>
    <t>alcohol;antivirus agent;autoantibody;cannabinoid;cannabinoid receptor;catenin;cytochrome;cytochrome P450;dopamine;enzyme;methamphetamine;microRNA;morphine;nicotine;nicotinic receptor;protein;tetrahydrocannabinol;pharmacology;society;abuse;acquired immune deficiency syndrome;addiction;aging;airway;alcohol consumption;animal model;antigen presenting cell;astrocyte;attenuation;awards and prizes;B lymphocyte;brain;brain infection;Canada;central nervous system;child;cocaine dependence;college;drinking behavior;drug abuse;editor;exosome;fox;gene;gene expression;gene product;health;health science;hospital;human;Human immunodeficiency virus;Human immunodeficiency virus 1 infection;Human immunodeficiency virus infection;hypothesis;immunology;in vitro study;industry;infection;inflammation;influenza;lung cancer;lung disease;macaque model;machine;macrophage;macrophage activation;medical school;medicine;Melissa officinalis;model;monocyte;mucus;national health organization;nerve cell plasticity;nervous system inflammation;Netherlands;neurobiology;neuropathology;pathogenesis;pathogenicity;population;primate;Puerto Rico;Rana;school;scientist;Simian immunodeficiency virus;substance abuse;suppressor cell;synapse;T lymphocyte;teacher;therapy;toxicology;travel;United States;university;workshop;writing</t>
  </si>
  <si>
    <t>This issue is a compilation of abstracts from the 19th Annual Conference of the Society on NeuroImmune Pharmacology (SNIP) in the Journal of Neuroimmune Pharmacology. This is the fourth year that the SNIP conference abstracts are being published in their entirety and thanks to Springer there is open access to these abstracts. The Society would like to give special thanks to our Journal Editors and Ann Avouris, Springer US for their continued support and assistance. The goal of the 2013 SNIP Conference to be held on April 3-6, 2013, at the Hotel Conrad San Juan Condado Plaza, San Juan, Puerto Rico, highlights the mission and focus of the society in bridging the fields of Immunology, Pharmacology, and the Neurosciences, with a special emphasis on how drugs of abuse and infectious diseases interact with the neuroimmune axis. This focus will include basic and clinical neuroscience, neuroAIDS, and other neurodegenerative processes, as well addiction research. Each symposium will begin with a symposium lecture by a distinguished scientist who will provide an overview of the symposium topic and set the stage for the individual lectures that follows. Each symposium includes the participation of young or junior investigators in addition to more established researchers. The 19th SNIP Conference will open on Wednesday evening (April 3) with the Young Investigator Poster Session, which highlights recent research accomplishments by young researchers. The next event dedicated to young investigators is a special Î“Ã‡Â£Meet the MentorsÎ“Ã‡Â¥ luncheon, to be held on Thursday afternoon (April 4). This luncheon will be attended by young investigators who are presenting their work at the Conference as well as by mentors from academia, industry, and the National Institutes of Health (NIH), who have influenced the field of neuroimmune pharmacology. In addition to the Young Investigator Poster session, a General Poster Session will be held on Thursday, April 4. The third event will be the Young Investigators' Symposium, which will take place on Saturday, April 6. The aim of this Symposium will be to highlight the work of three postdoctoral and three pre-doctoral researchers, selected by the Early Career Investigator Travel Award (ECITA) Committee from a pool of over 65 abstracts submitted, based on their quality and research accomplishments. In addition this year we have a dedicated poster session for alcohol research funded by NIAAA. The Bill Narayan Memorial Lecture will be the fourth event dedicated to young investigators. We are very fortunate to have as this year's Bill Narayan lecture speaker, Dr. Avi Nath, from NIH an internationally recognized neuroAIDS leader. This year's conference will host five plenary lectures. On Thursday, April 4, Dr. Benjamin Chen, 2009 Avant-Garde Award for Innovative HIV-AIDS Research, will present his findings in a lecture entitled Î“Ã‡Â£ Visualizing HIV dissemination through virological synapsesÎ“Ã‡Â¥. The second plenary lecture will be presented by Dr. Thirumala-Devi Kanneganti from St. Jude Children's Research Hospital with the title of her talk being: 'Mediators of Inflammatory Responses'. The third plenary speaker, Dr. Jon M Lindstorm from the University of Pennsylvania will highlight the targets of Nicotine and Autoantibodies. The fourth plenary speaker, Dr. Bert t' Hart from the Biomedical Primate Research Center, The Netherlands will discuss the Î“Ã‡Â£Mysterious Role of B cells in NeuroinflammationÎ“Ã‡Â¥ Our fifth plenary speaker, Dr. Tariq Rana will highlight in his talk the Î“Ã‡Â£Meeting Places for RNAi and Antiviral Defense MachineÎ“Ã‡Â¥. We look forward to these very exciting yet diverse talks from these distinguished speakers. There will be a total of eight symposia presented at the Conference. The theme of the first symposium will be, 'Neuroimmune Activation Contributes to Addiction Neurobiology'. This symposium will be sponsored by NIAAA and organized by Drs. Fulton Crews, and Changhai Cui. The symposium will be opened by introductory Remarks from Dr. Changhai Cui followed by four lectures. The first speaker, Dr. Paul Kenny from Scripps Research Inst. will open the symposium with a talk entitled; 'miRNA132 promotes cocaine addiction through NFkB signaling'. This will be followed by Dr. Fulton T. Crews from UNC Medical School with his talk entitled; Ethanol activates HMGB1/TLRRAGE Signaling inducing innate immune genes in brain. Lecture 3 will be given by Dr. Dipak Sarkar- Rutgers University, New Brunswick, NJ with the title: 'Microglial mediation of alcohol programming of the neuroendocrinestress axis influencing alcohol-drinking behavior'. This will be followed by Lecture 4: Dr. Mark Hutchinson- School of Medical Sciences, University of Adelaide, the title of his talk being 'The proinflammatory hypothesis of addiction: clinical and preclinical evidence' and Lecture 5: Dr. R. Adron Harris from Waggoner Center, University of Texas, title: 'Neuroimmune regulation of alcohol consumption, opportunities for therapeutics?' Symposium II, organized by Sabita Roy, will focus on Emerging trends in Substance Abuse, HIV Infection and Neuropathogenesis. Dr. Jag khalsa (NIAAA/NIH) will start off the symposium by highlighting on the Clinical implications of Neuro-Immune Pharmacology providing introductory remarks. Dr. Lena Al-Harthi from Rush University, Chicago, will elaborate on 'Astrocytes and NeuroAIDS: The Wnt/beta-catenin connection in virus/host interaction and neuropathogenesis'. Dr. Shilpa Buch from University of Nebraska will talk on 'HIV and Morphine mediated regulation of neuronal dysfunction: blaming the Messenger.' Next talk will be given by Dr. Joan Berman, from Albert Einstein College of Medicine, with the title 'Dopamine mediated neuroinflammation and CNS damage in the context of HIV infection: A common mechanism of drugs of abuse' followed by a talk by Dr. Santanu Banerjee entitled: Morphine attenuation of LPS tolerance-Role of miRNA. Symposium III, organized by Drs. Madhavan Nair and Mohan Sopori will feature Dr. Eliot R Spindel, Oregon Health and Science University as the first speaker with his talk entitled 'Lynx1 and other ly-6 proteins are a family of endogenous regulators of nicotinic signaling: implications for lung disease and lung cancer'. Dr. Mohan Sopori from Lovelace Respiratory Research Institute, Albuquerque will talk next on 'Nicotinic Receptors in Airway mucus formation in Health and Disease'. Dr. Santosh Kumar from UMKC will focus on the 'Role of cytochrome P450 enzymes in tobacco/nicotine-mediated effects on and HIV- 1 model systems'. Dr. Venkata Subba Rao Atluri, a young invesitagator from Florida International University will discuss 'The effect of nicotine on synaptic plasticity gene expression in HIV-1 infection: implication in HAND'. Symposium IV, organized by Drs. Shilpa Buch and Marcus Kaul, will highlight the Animal Models of HIV infection and Drug Abuse. Speakers in this symposium include Howard Fox who will discuss the systematic approach in 'The interaction of Methamphetamine and HIV'. This will be followed by a talk by Dr. Ken Williams, from Boston College, with his talk entitled, 'Monocyte and Macrophage Activation in SIV Pathogenesis'. The third and fourth speakers in this symposium are Dr. Fatah Kashanchi, from George Mason University, Manassas, VA with talk entitled 'Exosomes and their function in vitro and in vivo' and Dr. Marco Salemi, from University of Florida, Gainsville, with his talk title; 'Phylodynamic analysis of brain infection in the SIV infected macaque model of NeuroAIDS'. As in years past, an NIH grant writing Workshop and Luncheon will be held immediately following symposium IV. The workshop, organized by Drs. Albert Avila (NIDA) and Eduardo Montalvo (CSR) will provide insight on Grant Writing and the Grant Review Process. The workshop will be followed by Dr. Bill Narayan lecture mentioned above followed by symposium V. Symposium V, organized by Drs. Vishnudutt Purohit, - National Institute on Drug Abuse, and Guy A. Cabral from Virginia Commonwealth University is entitled 'Cannabinoids, HIV Pathogenicity, and Other Infectious Disease Processes'. The symposium will be co-chaired by Drs. Rao Rapaka (NIH) and Guy Cabral. The speakers are in the following order. Dr. Melissa Jamerson, from Virginia Commonwealth University School of Medicine, with her talk entitled 'Cannabinoids mediate macrophage-like cell responsiveness to HIV-specified gene products'; Dr. Mitzi Nagarkatti, University of South Carolina School of Medicine, with talk title 'THC-induced dysregulation in microRNA triggers myeloid-derived suppressor cells and consequent suppression of T cell responses to gp120 of HIV'; Dr. Nicole LeCapitaine, University Health Sciences Center, talk title 'Unraveling the impact of cannabinoids on HIV disease: a system-wide approach'; Dr. Norbert Kaminski, Director for Integrative Toxicology, Michigan State University, talk title 'Role of antigen presenting cells and the cannabinoid receptors 1 and 2 in â•¬Ã¶9-Tetrahydrocannabinol impairment of the inflammatory response to influenza infection.' Summary and Conclusion will be delivered by Dr. Vishnudutt Purohit, from National Institute on Drug Abuse, National Institutes of Health. The deliberations on Saturday, April 6, will open with plenary lecture V followed by the final three symposia. Symposium VI, organized by Dr. Jeymohan Joseph. - National Institute of Mental Health, Bethesda and Dr. Michal Toborek, University of Miami School of Medicine focusses on a very timely topic: 'Neuropathology of HIV-1 in an Aging Population.</t>
  </si>
  <si>
    <t>(Roy S.) 19th Annual Scientific Conference of the Society on NeuroImmune Pharmacology, SNIP 2013 San Juan, Puerto Rico 2013-04-03 to 2013-04-06 Springer New York LLC; ID: 2418</t>
  </si>
  <si>
    <t>1557-1890</t>
  </si>
  <si>
    <t>10.1007/s11481-013-9441-0 FULL TEXT LINK http://dx.doi.org/10.1007/s11481-013-9441-0</t>
  </si>
  <si>
    <t>Roy,S.;Barnwal,K.;Upadhyaya,S.;Shankar,A.;Author,Addresses;Vmmc,Safdarjung Hospital New Delhi Delhi India;Punarjeevan Bihar,Warisaliganj,Bihar India;Radiation Oncology, All India Institute of,Medical Sciences;New Delhi,Delhi India;Correspondence,Address;Roy, Vmmc Safdarjung Hospital New Delhi Delhi India,S.</t>
  </si>
  <si>
    <t>Level of awareness of lung cancer risk factors, signs, symptoms and safe practices among college teachers in India: Do awareness have a role in prevention and early detection along with change in practice?</t>
  </si>
  <si>
    <t>Asia-Pacific Journal of Clinical Oncology</t>
  </si>
  <si>
    <t>10 SUPPL. 9</t>
  </si>
  <si>
    <t>alcohol;cancer risk;college;human;India;lung cancer;neoplasm;prevention;risk factor;teacher;addiction;blood;bronchitis;coughing;diseases;family history;female;habit;mortality;passive smoking;physician;public health;publication;questionnaire;smoking;smoking habit;sputum;thorax pain;tobacco;tuberculosis;voice change</t>
  </si>
  <si>
    <t>Background: Lung cancer is a serious public health issue because of high mortality and increaing incidence in India, but actually they are largely preventable diseases and there is limited data from India on this issues. Aim: To know the impact of awareness program on change in adoption of safe practices in prevention and early detection. Methods: This assessment was part of pink chain campaign. During the events in 2011 at various women colleges in India, Pre test was conducted by questionnaire. It was followed by awareness program consisting of lectures with special note of tobacco and smoking and an interactive session followed by post test. Literature related to cancer awareness was sent regularly. After completion of 6 months and 1 year, same questionnaires were mailed to the participants to see the change in practice. Data was collected and analysed. Results: A total of 156 out of 182 teachers participated in the study (85.71%).109 and 95 teachers responded at the end of 6 months and 1 year respectively. For lung cancer, the correct risk factors indicated by teachers were smoking (89%), Secondhand smoke (37%), Family history (5%), and tuberculosis (36%). Symptoms of lung cancer were not well known in teachers. Symptoms of lung cancer known to teachers were Persistent cough (24%), Sputum streaked with blood (36%), Chest pain (12%), Voice change (12%), Recurrent bronchitis (5%). Magazines and newspapers were source for knowledge in 60% of teachers and 30% were educated by doctors regarding. At 6 months and 1 year, significant change in alcohol and smoking habits was noted. There was a significant increase in knowledge at 6 months and this was sustained at 1 year. For not doing regular checkup, major reasons came out to be ignorance (50%), lethargic attitude (44.87%) and lack of time (34.61%) Conclusions: Knowledge of lung cancer was not well known to teachers. Though there was significant change in addiction habits, there was not much improvement in people undergoing regular check ups.</t>
  </si>
  <si>
    <t>(Roy S.) (Barnwal K.; Upadhyaya S.) (Shankar A.) 2014 World Cancer Congress Melbourne, VIC, Australia 2014-12-03 to 2014-12-06 Blackwell Publishing Ltd; ID: 2186</t>
  </si>
  <si>
    <t>1743-7555</t>
  </si>
  <si>
    <t>10.1111/ajco.12332 FULL TEXT LINK http://dx.doi.org/10.1111/ajco.12332</t>
  </si>
  <si>
    <t>Rudeen,K.;Tenkku,L.;Mengel,M.;Barlet,E.;Schaefer,B.;Everard,K.;Ohlemiller,M.;Author,Addresses;College of Allied Health, University of,Oklahoma Health;Sciences Center, N Stonewall Dr Oklahoma City,United States;Correspondence,Address;Rudeen, College of Allied Health University of Oklahoma Health Sciences,K.;Center,N. S.</t>
  </si>
  <si>
    <t>Training center prevention effectiveness for fetal alcohol spectrum disorder interventions for health care providers in a Midwest region of the United States</t>
  </si>
  <si>
    <t>86A</t>
  </si>
  <si>
    <t>(MAJOR FOCUS);alcohol;alcoholism;health care personnel;medical research;prevention;society;United States;child;Christian;curriculum;drinking behavior;education;education program;exposure;female;fetal alcohol syndrome;fetus development;health;health care;model;nurse;occupational therapist;pathologist;physician;physiotherapist;population;psychologist;risk;rural area;screening;social worker;speech;student;university;vulnerable population</t>
  </si>
  <si>
    <t>The Midwest Regional Fetal Alcohol Syndrome Training Center (MRFASTC) is a regional training center located at the Saint Louis University in St. Louis, Missouri, where prevention education for health care professionals is provided for seven states in the surrounding geographical area. The objective of the center is 1) to provide training for health care professionals (physicians, nurses, psychologists, physiotherapists, occupational therapists, speech pathologists, social workers) to better enable them to identify women at risk for having a child with fetal alcohol spectrum disorders (FASD) or FAS, and to identify children who may be affected with FAS/FASD, 2) to establish a network of 'trained speakers' who will provide information on FAS/FASD to additional health care providers, and 3) to enhance educational competencies addressing FAS/ FASD into medical and allied health educational curricula. A range of competencies addressing the biomedical basis of the effects of alcohol on fetal development, assessing drinking behaviors in women of reproductive age, and recognizing and screening children suspect of having FASD/FAS were developed as some of the competencies. The efforts of the center in the past 8 years have resulted in significant results. Lecture time spent in education programs on FAS increased from an average of 62.6 minutes to 74.8 minutes (20%) and the number of competencies addressed increased from 3 to 5. Using the 'train-the-trainer' technique resulted in 83 individuals trained, who subsequently held additional educational events each year. This resulted in the exposure of 6,872 health care providers and 3,900 health care students to the FAS competencies. Assessment is being performed to determine whether or not the educational intervention using this model has resulted in change in practice behaviors by medical professionals. Each state in the region is now developing independent teams to target health care providers located in rural areas, and in areas where vulnerable populations exist known to be at risk for high levels of FASD. We propose this model as an effective interventional technique to introduce education and practice changes in a diverse population of health care providers in an extensive geographical area. The center has been successful in enhancing materials into the curricula of medical and allied health educational programs.</t>
  </si>
  <si>
    <t>(Rudeen K.; Tenkku L.; Mengel M.; Barlet E.; Schaefer B.; Everard K.; Ohlemiller M.) International Society for Biomedical Research on Alcoholism World Congress, ISBRA 2010 Paris, France 2010-09-13 to 2010-09-16 Blackwell Publishing Ltd; ID: 2767</t>
  </si>
  <si>
    <t>Ruf,D.;Berner,M.;Lohmann,M.;Mundle,C.;Lorenz,G.;Niebling,W.;Kriston,L.;Hâ”œÃ±rter,M.;Author,Addresses;Universitâ”œÃ±tsklinikum,Freiburg;Abteilung fâ”œâ•r Psychiatrie,und Psychotherapie;Epidemiologie,und Versorgungsforschung;Universitâ”œÃ±tsklinikum Freiburg, Abteilung fâ”œâ•r,Psychiatrie und;Psychotherapie;Universitâ”œÃ±tsklinik Tâ”œâ•bingen, Abteilung fâ”œâ•r,Psychiatrie und;Psychotherapie;Oberbergklinik Hornberg, Universitâ”œÃ±tsklinik Tâ”œâ•bingen Abteilung;fâ”œâ•r,Psychiatrie und;Medizinische Fakultâ”œÃ±t Tâ”œâ•bingen, Lehrbereich Allgemeinmedizin;Medizinische Fakultâ”œÃ±t Freiburg, Lehrbereich Allgemeinmedizin;Correspondence,Address;Ruf, Universitâ”œÃ±tsklinikum Freiburg Abteilung fâ”œâ•r Psychiatrie und,D.;Psychotherapie,Sektion Klinische Epidemiologie und Versorgungsforschung;Hauptstr,Freiburg Email daniela ruf uniklinik-freiburg de</t>
  </si>
  <si>
    <t>Introduction to www.alkohol-leitlinie.de - Evaluation of a computer-based training on alcohol-related disorders for general practitioners and practice nurses ORIGINAL (NON-ENGLISH) TITLE Einfâ”œâ•hrung in www.alkohol-leitlinie.de - Evaluation einer computergestâ”œâ•tzten fortbildung fâ”œâ•r hausâ”œÃ±rzte und arzthelferinnen zur diagnostik und behandlung alkoholbezogener stâ”œâ•¢rungen</t>
  </si>
  <si>
    <t>alcoholism;article;computer aided design;general practitioner;health program;human;nurse;physician;training;Public Health, Social Medicine and Epidemiology (17);Psychiatry (32)</t>
  </si>
  <si>
    <t>Background: Alcohol-related disorders are of high importance for health policy. Primary care physicians play a central role in detecting and treating people with alcohol problems. However, they are not always adequately prepared for this challenge. Therefore, continuing education on the topic of "alcohol-related disorders" is highly relevant. Methods: In the project "Comprehensive quality management in out-patient care for alcohol-related disorders" (AQAH) a training programme for practitioners and practice nurses was developed in the context of a randomised controlled trial. The 112 physicians taking part in the study were randomized to 3 groups. The first group received a training session for the practitioner only. In the second group, the training was offered to the practitioner and the whole practice team. The third group was a control group and did not get a training session at all. 46 physicians and 21 practice nurses out of the two intervention groups took part in the training. Results: Most of the participants were very satisfied with the training, but the satisfaction of the nurses tended to be lower compared with the physicians. Especially the relevance for routine care was assessed lower by the nurses. The majority of the participants considered themselves able to develop a strategy for the treatment of patients with alcohol-related disorders for the first time or to modify their own strategy on the basis of the training. In this regard, the effect was highest in the practice nurses. Discussion: In the context of the study a training programme was developed which was very well received by general practitioners. The rating of nurses was generally indicated room for improvement. The effects of the training on the treatment of patients are currently evaluated in a randomised controlled trial. â”¬âŒ Georg Thieme Verlag</t>
  </si>
  <si>
    <t>(Ruf D., daniela.ruf@uniklinik-freiburg.de) (Ruf D., daniela.ruf@uniklinik-freiburg.de; Berner M.; Kriston L.; Hâ”œÃ±rter M.) (Lohmann M.) (Mundle C.) (Lorenz G.) (Niebling W.) Georg Thieme Verlag, Rudigerstrasse 14, Stuttgart, Germany.; ID: 3020</t>
  </si>
  <si>
    <t>2007612196 PUI L350272044</t>
  </si>
  <si>
    <t>10.1055/s-2007-992797 FULL TEXT LINK http://dx.doi.org/10.1055/s-2007-992797</t>
  </si>
  <si>
    <t>Rungruanghiranya,S.;Ekpanyaskul,C.;Author,Addresses;Department,of Medicine;of Medicine, Srinakharinwirot University Nakhon,Nayok Thailand;Department of,Preventive;Social Medicine,Faculty of;Medicine,Srinakharinwirot University Nakhon Nayok Thailand;Correspondence,Address;Rungruanghiranya, Department of Medicine Faculty of Medicine,S.;Srinakharinwirot University, Ongkharak Nakhon Nayok,Thailand Email;suthat109@gmail.com</t>
  </si>
  <si>
    <t>Impact of tobacco control campaigns on smoking behaviors in Thai medical schools</t>
  </si>
  <si>
    <t>curriculum;medical school;medical student;passive smoking;smoking cessation;Thailand;case report;controlled study;cross-sectional study;exposure;female;global health;health care personnel;hospital;human;male;prevalence;smoking ban</t>
  </si>
  <si>
    <t>Objective: To explore the changes in the prevalence of smoking behavior, attitudes, and cessation training among medical students after the establishment of the Thai Health Professional Alliance against Tobacco (ThaiPAT) and its major campaigns by using the nationwide Global Health Professions Student Surveys (GHPSS). Material and Method: Multiple cross-sectional studies were conducted after three major campaigns were launched between 2007 and 2011, the DeansÎ“Ã‡Ã– Summit on Tobacco Control, implemented tobacco control into the medical curriculum, and 100% smoke-free hospitals and medical schools. The results of two rounds of GHPSS among third year medical students across the nation in 2006 and 2011 were compared. Results: Overall prevalence of active cigarette smoking remained unchanged at 2.6%. Passive cigarette smoke exposure in public areas appeared to decrease slightly over time. In the most recent national survey, the prevalence of passive smoke exposure was 53.7%. Moreover, the number of student that agreed with the smoking ban in pubs, bars, and nightclubs increased significantly from 80.8 to 90.5%. There was significant improvement in the cessation training among medical students (p&lt;0.001). A significant increase in the number of student that agreed that healthcare personnel needed specific training in cessation techniques (p = 0.004) and should always advise their patients to quit smoking (p&lt;0.001). Conclusion: Nationwide tobacco control campaigns in Thai medical schools significantly improved the attitudes toward smoking cessation and cessation training among their students, although overall prevalence of active and passive cigarette smoking was unchanged.</t>
  </si>
  <si>
    <t>(Rungruanghiranya S., suthat109@gmail.com) (Ekpanyaskul C.) Medical Association of Thailand, math@loxinfo.co.th; ID: 1837</t>
  </si>
  <si>
    <t>20170328386 PUI L615982115</t>
  </si>
  <si>
    <t>Ryan,J. G.;Verardo,L. T.;Kidd,J. M.;Horbatuk,E. L.;Bonanno,R.;Fahrenwald,R.;Kirsch,S.;Stretch,G. V.;Author,Addresses;Div,Prim;Care;Hlth Serv Res, Department of Family Medicine,State University;of New York, Stony Brook,N.Y.United States;Department of,Family Medicine;Univ Hosp Med Ctr, State University of New York Stony,Brook N.;States;Department of Family Practice, N Shore Univ,Hospital at;Glen Cove, Glen Cove,N.Y.United States;Brentwood Family Health Center, Department of,Family Practice;Southside Hospital,Brentwood,N.Y.United States;Department of Family Practice, South,Nassau Communities;Hospital,Oceanside N. Y. United States;Coram Health Center, Coram,N.Y.United States;Department of,Family Medicine;Brook Univ Hosp Med Ctr, State University of New York Stony,Brook N.;States,United;Correspondence,Address;JG Ryan, Department of Family Medicine Stony Brook Univ,Hosp Medical;Ctr,State University of New York Stony Brook N.Y.United;States Email, ryan fammed som,sunysb edu</t>
  </si>
  <si>
    <t>9374967; Health outcomes of women exposed to household alcohol abuse: A family practice training site research network (FPTSRN) study</t>
  </si>
  <si>
    <t>alcohol abuse;adult;article;family medicine;female;general practitioner;human;major clinical study;outcomes research;primary medical care;prospective study;quality of life;Public Health, Social Medicine and Epidemiology (17);Drug Dependence, Alcohol Abuse and Alcoholism (40)</t>
  </si>
  <si>
    <t>BACKGROUND. There is a paucity of knowledge about the effects of exposure to alcohol abuse in the household on women who do not abuse alcohol. The purpose of this study was to determine whether women who did not abuse alcohol demonstrated any health-related adverse effects because they lived with family members who did abuse alcohol. METHODS. This study was a historical prospective survey of female patients at five primary care practices. Survey instruments included the CAGE questionnaire, a five-item screening test for exposure to alcoholism, and the Medical Outcomes Study 36- item Short Form Health Survey (MOS SF-36). Patient records were examined for specific diagnoses. RESULTS. A total of 267 patients completed the questionnaires and had complete medical records available for analysis. Forty-two (15.7%) potential alcohol abusers were excluded from the sample leaving a working total of 225; 70 (31.1%) were potentially exposed to alcoholism in the household. Women exposed to alcohol abuse in the home did not experience an increased risk for the medical diagnoses studied, but they did demonstrate decreased health-related quality of life as measured by the MOS-SF-36 for the following scales: role physical (P =.025), role emotional (P =.038), social functioning (P =.001), bodily pain (P =.016), and mental health (P =.040). CONCLUSIONS. Women exposed to alcohol abuse in the household are more likely to perceive themselves as less healthy. Although they may not have received a clinical diagnosis of depression, they are more likely to feel depressed. The extent to which subjects' health-related quality of life is influenced by exposure to alcohol abuse suggests that the medical diagnosis may be insensitive as a description of health status in this population.</t>
  </si>
  <si>
    <t>(Ryan J.G., ryan@fammed.som.sunysb.edu; Kidd J.M.; Horbatuk E.L.) (Fahrenwald R.; Stretch G.V.) (Verardo L.T.) (Bonanno R.) (Kirsch S.) (Stretch G.V.) (Ryan J.G., ryan@fammed.som.sunysb.edu) Dowden Health Media,Inc, 110 Summit Avenue, Montvale, United States.; ID: 3469</t>
  </si>
  <si>
    <t>http://www.ncbi.nlm.nih.gov/pubmed/9374967</t>
  </si>
  <si>
    <t>Health outcomes of women exposed to household alcohol abuse: A family practice training site research network (FPTSRN) study</t>
  </si>
  <si>
    <t>Ryan,S. A.;Martel,S.;Pantalon,M.;Martino,S.;Tetrault,J.;Thung,S. F.;Bernstein,S. L.;Auinger,P.;Green,M. L.;Fiellin,D. A.;O'Connor,P. G.;D'Onofrio,G.;Author,Addresses;Department of Pediatrics, Yale University School,of Medicine;New Haven, Connecticut U. S. A.;Correspondence,Address;SA Ryan, Department of Pediatrics Yale University School of,Medicine New;Haven,Connecticut U.S.A.Email sheryl ryan yale edu</t>
  </si>
  <si>
    <t>22738002; Screening, brief intervention, and referral to treatment (SBIRT) for alcohol and other drug use among adolescents: evaluation of a pediatric residency curriculum</t>
  </si>
  <si>
    <t>child behavior;curriculum;medical education;patient referral;pediatrics;psychotherapy;substance abuse;adolescent;adult;article;clinical competence;education;evaluation study;female;human;male;methodology;program development;psychological aspect;standard</t>
  </si>
  <si>
    <t>The objective of this study was to evaluate the integration of a screening, brief intervention, and referral to treatment (SBIRT) curriculum for alcohol and other drug use into a pediatric residency program. Pediatric and medicine/pediatric residents in an adolescent medicine rotation located in an urban teaching hospital participated in the study. Main outcome measures were pre- and post-training knowledge scores, performance of the Brief Negotiation Interview (BNI), training satisfaction, and adoption of the BNI into clinical practice. Thirty-four residents were trained. Significant pre- to post-training improvements were seen in knowledge scores (P &lt; .001) and performance as measured by the BNI Adherence Scale (P &lt; .001). Residents reported high satisfaction immediately post-training and at 30 days on a 1-5 Likert scale: mean 1.41 to 1.59 (1 = very satisfied) (P = 0.23). Over a 9-month period, 53% of residents documented performing at least 1 BNI, of which 2/3 reported Î“Ã«Ã‘2 BNIs in a subsequent clinical setting. The results show that integrating a SBIRT curriculum into a pediatric residency program increases residents' knowledge and skills.</t>
  </si>
  <si>
    <t>(Ryan S.A.) (Martel S.; Pantalon M.; Martino S.; Tetrault J.; Thung S.F.; Bernstein S.L.; Auinger P.; Green M.L.; Fiellin D.A.; O'Connor P.G.; D'Onofrio G.); ID: 2493</t>
  </si>
  <si>
    <t>http://www.ncbi.nlm.nih.gov/pubmed/22738002</t>
  </si>
  <si>
    <t>10.1080/08897077.2011.640182 FULL TEXT LINK http://dx.doi.org/10.1080/08897077.2011.640182</t>
  </si>
  <si>
    <t>Screening, brief intervention, and referral to treatment (SBIRT) for alcohol and other drug use among adolescents: evaluation of a pediatric residency curriculum</t>
  </si>
  <si>
    <t>Ryder,J.;Davies,L.;Bibby,J.;Author,Addresses;Roy Castle Fag Ends, Liverpool,United Kingdom;Aintree University Nhs Trust, Liverpool,United Kingdom;Liverpool Community Health,Nhs Trust;United,Kingdom;Correspondence,Address;Ryder, Roy Castle Fag Ends Liverpool United Kingdom,J.</t>
  </si>
  <si>
    <t>Smoking cessation educational poster campaign</t>
  </si>
  <si>
    <t>66 SUPPL. 4</t>
  </si>
  <si>
    <t>A119</t>
  </si>
  <si>
    <t>smoking cessation;society;winter;friend;health;health care personnel;health education;health practitioner;hospital;hospital patient;human;medical specialist;patient;prevention;smoking;ward</t>
  </si>
  <si>
    <t>Introduction: The health benefits of stopping smoking are well established and hospitals have a unique opportunity to contribute to protecting and promoting health through smoking cessation interventions. NICE published recommendations in 2006 stating that all health professionals should offer brief advice of the benefits to stopping smoking to their patients and a referral to a specialist service. However, despite this, smoking cessation interventions are not generally part of routine care in a hospital setting. Method A partnership with Aintree NHS Trust, Pfizer and a design agency was established to develop a creative campaign to promote the stop smoking service to hospital based health professionals who are influential messengers available to give expert advice to patients. Furthermore, we wanted to engage with the patients, friends and family directly to endorse the message.We trained staff on a number of wards to be champions for the campaign that was launched on No Smoking Day 2010. We agreed on the theme Î“Ã‡Â£Time to QuitÎ“Ã‡Â¥ consisting of posters; leaflets; prompts in patient notes; and information folders for all wards and clinical areas. Results: The campaign met its objectives to increase the number of patients referred to the hospital stop smoking service. There was a 60% increase in the referrals at Aintree over the first 8 months compared to the previous year. We particularly noticed an increase on the wards with a Champion trained in delivering a brief intervention. Conclusion: A comprehensive educational campaign proved to be effective in raising awareness of the Hospital Stop Smoking Service and increasing referrals within the Trust. A similar campaign could contribute to an increase in referrals and support to patients in other secondary care settings, resulting in smoking cessation interventions becoming part of routine care in hospital settings. Moreover, the campaign contributes to supporting healthcare providers in their role in prevention and health education. (Table presented).</t>
  </si>
  <si>
    <t>(Ryder J.) (Davies L.) (Bibby J.) (Sefton SUPPORT) British Thoracic Society Winter Meeting 2011 London, United Kingdom 2011-12-07 to 2011-12-09 BMJ Publishing Group; ID: 2606</t>
  </si>
  <si>
    <t>10.1136/thoraxjnl-2011-201054c.128 FULL TEXT LINK http://dx.doi.org/10.1136/thoraxjnl-2011-201054c.128</t>
  </si>
  <si>
    <t>Sâ”œâ•¢nmez,C. I.;Baâ”¼Æ’er,D. A.;Aydoâ•ŸÂºan,S.;Author,Addresses;Dâ”œâ•zce â”œÂ£niversitesi, Tip Fakâ”œâ•ltesi,Aile Hekimli;Ad,Dâ”œâ•;Kocaeli,Halk Sa;Kocaeli,Turkey;Correspondence,Address;DA Baâ”¼Æ’er, Kocaeli Halk Saâ•ŸÂºliâ•ŸÂºi Mâ”œâ•dâ”œâ•rlâ”œâ•â•ŸÂºâ”œâ• Izmit Kocaeli,Turkey Email;duyguayhan@outlook.com</t>
  </si>
  <si>
    <t>Evaluation of knowledge, attitudes, behaviors and frequency of smoking among medical students of Dâ”œâ•zce University ORIGINAL (NON-ENGLISH) TITLE Dâ”œâ•zce â”œÂ£niversitesi Tip Fakâ”œâ•ltesi â”œÃ»â•ŸÂºrencilerinin Sigara Iâ”œÂºme Sikliâ•ŸÂºi ve Sigara ile Ilgili Bilgi Tutum ve Davraniâ”¼Æ’lari</t>
  </si>
  <si>
    <t>medical school;medical student;smoking cessation;smoking habit;friend;human;major clinical study;medicine;prevalence;questionnaire;rest;risk factor</t>
  </si>
  <si>
    <t>Objective: An active, faithful and continuous support of health providers plays essential role in reducing the smoking rates. Studies prove that smoking rates are most successfully reduced in countries where the smoking rates of physicians are the lowest. In this study, we aimed to investigate the smoking prevalence, the knowledge, attitude and associated risk factors of smoking among the term I and VI students of Dâ”œâ•zce University School of Medicine. Methods: This study is a cross-sectional descriptive study that is composed of 198 medical students studying during the 2016-2017 academic year. The questionnaire determined students' smoking habits, knowledge on smoking cessation policies and questioned about the current status of smoking cessation education in medical faculties. Results: The rate of smokers was 18.26% in term I students and 21.27% in term VI. Most of the smokers (61.7% (n: 29)) were smoking before the faculty; the rest of them (36.2% (n: 17)) had started smoking at the medical faculty. A significant relationship was found between smoking and advanced class, smoking permission in the living environment, and smoking among friends. Conclusion: The most important finding of our study was that there is a certain percentage of smokers among the students of medical faculty, and these rates increase within time, from the class I to the class VI. The other important point that was noticed in our study was that medical students were not properly acknowledged during medical education about smoking and its harm, and also the students were not properly aware of mission of smoking cessation policlinics.</t>
  </si>
  <si>
    <t>(Sâ”œâ•¢nmez C.I.; Aydoâ•ŸÂºan S.) (Baâ”¼Æ’er D.A., duyguayhan@outlook.com) Duzce University Medical School, mfgeylk@gmail.com; ID: 1872</t>
  </si>
  <si>
    <t>20170577490 PUI L617753353</t>
  </si>
  <si>
    <t>10.18521/ktd.331480 FULL TEXT LINK http://dx.doi.org/10.18521/ktd.331480</t>
  </si>
  <si>
    <t>Evaluation of knowledge, attitudes, behaviors and frequency of smoking among medical students of Dâ”œâ•zce University ORIGINAL (NON-ENGLISH) TITLE Dâ”œâ•zce â”œÂ£niversitesi Tip Fakâ”œâ•ltesi â”œÃ»â•ŸÂºrencilerinin Sigara Iâ”œÂºme Sikliâ•ŸÂºi(TRUNCATED)</t>
  </si>
  <si>
    <t>Saade,G. R.;Author,Addresses;Eunice Kennedy Shriver National Institute, Child,Health and;Human Development, Stillbirth Collaborative,Research Network;Bethesda,United States;Correspondence,Address;GR Saade, Eunice Kennedy Shriver National Institute Child,Health and;Human Development, Stillbirth Collaborative,Research Network;Bethesda,United States</t>
  </si>
  <si>
    <t>Demographic and pre-pregnancy risk factors for stillbirth: A population-based study</t>
  </si>
  <si>
    <t>American Journal of Obstetrics and Gynecology</t>
  </si>
  <si>
    <t>S17</t>
  </si>
  <si>
    <t>illicit drug;population;pregnancy;risk factor;society;stillbirth;autopsy;Black person;blood;convenience sample;diabetes mellitus;drug dependence;education;female;fetus death;hospital;hypertension;insurance;interview;life event;live birth;maternal age;maternal blood;maternal disease;medical record;nullipara;pathology;population based case control study;risk;sample size;smoking;univariate analysis</t>
  </si>
  <si>
    <t>OBJECTIVE: To explore potential demographic and pre-pregnancy factors associated with stillbirth. STUDY DESIGN: Prospective, multicenter, population-based case-control study of all stillbirths (fetal deaths &gt;20 weeks) and a representative sample of live births enrolled at delivery in 5 geographic areas at 59 hospitals averaging &gt; 80,000 deliveries/year. Participants underwent a standardized protocol including maternal interview, medical record abstraction, placental pathology, biospecimen testing, and, in stillbirths, postmortem examinations. Analyses comparing stillbirths and live births were weighted to account for oversampling in the design. RESULTS: Of953 women with stillbirths eligible for the study, 126were not approached, 164 refused and 663 (70%) consented to participate. A total of 3089 livebirth controls were eligible, and 1933 consented (63%). Compared with all livebirths, the following pre-pregnancy maternal characteristics were significantly more likely to be associated with stillbirth in univariate analyses: age 39 years, black race, BMI 24.9, unmarried/cohabitating, stressful life event, B or AB blood type, illicit drug addiction, nulliparity, previous stillbirth, &lt;13 years education, no private insurance, Rh + , hypertension, diabetes, and smoking. Results were similar when compared to term controls. Results were similar after additional weighting to account for differential consent. The first 9 factors above remained significant in multivariable analysis. Additional subanalyses will be presented. CONCLUSION: To our knowledge, this is the largest, population-based study of stillbirth with an extensive evaluation of both cases and controls. Our findings are more generalizable than prior hospital-based studies or studies with small sample sizes, less complete ascertainment, non-standardized workup, or convenience sampling. Maternal blood type is a novel risk factor not previously reported. The risks associated with maternal age and BMI appear to be independent of preexisting maternal disease.</t>
  </si>
  <si>
    <t>(Saade G.R.) (SCRN) 2010 30th Annual Meeting of the Society for Maternal-Fetal Medicine, SMFM Chicago, IL, United States 2010-02-01 to 2010-02-06 Mosby Inc.; ID: 2857</t>
  </si>
  <si>
    <t>10.1016/j.ajog.2009.10.041 FULL TEXT LINK http://dx.doi.org/10.1016/j.ajog.2009.10.041</t>
  </si>
  <si>
    <t>Sachs,D. P.;Ferry,L. H.;Sachs,B. L.;Author,Addresses;Palo Alto Center,for Pulmonary;Prevention,Palo Alto United States;Correspondence,Address;DP Sachs, Palo Alto Center for Pulmonary Disease Prevention,Palo Alto;United,States</t>
  </si>
  <si>
    <t>Improving training in tobacco-dependence diagnosis and treatment in doctoral-level medical, nursing, dental, and pharmacy schools</t>
  </si>
  <si>
    <t>nicotine;diagnosis;nursing;school;tobacco dependence;competence;curriculum;death;dentistry;drug therapy;education;graduate;health care cost;health care personnel;health science;hospital;Loma;lung disease;methodology;pharmacy;prophylaxis;skill;tobacco;United States;university;victim;workshop</t>
  </si>
  <si>
    <t>PURPOSE: Tobacco dependence remains the leading cause of premature death in the United States, killing half its victims and causing 423,595 deaths/year. It is exceptionally cost-effective to treat, yet tobacco-dependence basic science knowledge and clinic diagnostic and treatment skills remain largely untaught in the United States' medical, nursing, dental, or pharmacy schools. We wanted to explore methods to integrate tobacco-dependence education and training into all healthcare professional schools. METHODS: The Palo Alto Center for Pulmonary Disease Prevention (PACPDP) chose to partner with Loma Linda University (LLU) because it has graduate schools for all four, major, health-science disciplines and has a 100-year-old campus-wide mission to prevent and treat tobacco dependence. We initially revised and updated the School of Medicine's (SM) thorough, 4-hour, pre-clinical workshop and the School of Pharmacy's (SP) 9 hours of pre-clinical content in tobacco-dependence diagnosis and pharmacotherapy. Using a heuristic methodology for curriculum and faculty development, we fostered discipline-specific curricular changes and initiated interdisciplinary clinical rotations for LLU's Schools of Nursing (SN), Pharmacy (SP), and Dentistry (SD). Faculty attended national, scientific tobacco and nicotine meetings to increase knowledge and competence by interacting with international experts. RESULTS: From February 2007 through December 2009, the number of basic science hours taught in each of the four professional schools increased a substantial 3-to 6-fold (e.g., 1 hour to 6 hours). Clinical training hours increased overall from 0 to 4, with the School of Medicine adding a 4-week elective rotation. The greater the direct support from the Dean's office in each school, the faster and greater the faculty and curricular change. CONCLUSION: Major curricular change in tobacco-dependence basic-science and clinical training can occur rapidly in all four, major health-science schools by interweaving content into existing courses and clerkships. Doing so required consistent, unwavering support from the University Chancellor and Deans. CLINICAL IMPLICATIONS: Implementing interdisciplinary curricular change will enable the forthcoming generation of healthcare professionals to be vastly more effective in diagnosis and treatment of tobacco dependence, reducing healthcare costs substantially.</t>
  </si>
  <si>
    <t>(Sachs D.P.; Ferry L.H.; Sachs B.L.) CHEST 2010 Annual Meeting Vancouver, BC, Canada 2010-10-30 to 2010-11-04 American College of Chest Physicians; ID: 2757</t>
  </si>
  <si>
    <t>10.1378/chest.10264 FULL TEXT LINK http://dx.doi.org/10.1378/chest.10264</t>
  </si>
  <si>
    <t>Saddichha,S.;Sur,S.;Sinha,B. N.;Khess,C. R.;Author,Addresses;National Institute,of Mental;Neurosciences;India,Bangalore;Correspondence,Address;Saddichha, National Institute of Mental Health,S.;Neurosciences;com,Bangalore India Email saddichha gmail</t>
  </si>
  <si>
    <t>20391271; How is substance use linked to psychosis? A study of the course and patterns of substance dependence in psychosis</t>
  </si>
  <si>
    <t>addiction (complication, diagnosis);bipolar disorder (complication, diagnosis);disease course;schizophrenia (complication, diagnosis);adult;article;comparative study;female;human;male;onset age;psychiatric diagnosis</t>
  </si>
  <si>
    <t>Substance use in mentally ill patients is now a major problem that influences the course and outcome of psychosis. With prevalence ranging up to 60%, several theories were postulated to explain the link. It would be interesting to know if substances have different effects in persons with psychosis than in those without. This study aimed to explore patterns of symptomatology of dependence and comorbid psychiatric illness by comparing and contrasting it with a group suffering from pure substance dependence. Consecutively admitted patients who were matched for age, sex, and tobacco use were divided into 3 groups. These were substance dependence without any comorbid psychiatric disorder (SD; n = 32), schizophrenia with substance dependence (SC; n = 31), and bipolar disorder with substance dependence (BD; n = 31). Patients were administered the Schedules for Clinical Assessment in Neuropsychiatry (SCAN) and Mini International Neuropsychiatric Inventory (MINI) to evaluate the chronology of criterion of International Classification of Diseases (ICD)-10 dependence. Results showed that cannabis was the most common substance used by both the SC (100%) and BD (80%) groups. This was followed by alcohol as the most common substance used, with prevalence of 87% in SC and 77% in BD groups. There was a significant difference in the pattern of use of cannabis in patients with psychosis, who developed tolerance much faster (P = .018) and had longer durations of cannabis use (P = .001) than the SD group. The presence of "loss of control" over drug use criterion seems to be a specific marker predicting development of dependence and psychosis. Cannabis use is more strongly associated with development of psychosis than any other substance.</t>
  </si>
  <si>
    <t>(Saddichha S.) (NIMHANS) (Sur S.; Sinha B.N.; Khess C.R.); ID: 2838</t>
  </si>
  <si>
    <t>http://www.ncbi.nlm.nih.gov/pubmed/20391271</t>
  </si>
  <si>
    <t>10.1080/08897070903442699 FULL TEXT LINK http://dx.doi.org/10.1080/08897070903442699</t>
  </si>
  <si>
    <t>How is substance use linked to psychosis? A study of the course and patterns of substance dependence in psychosis</t>
  </si>
  <si>
    <t>Sadeghi,M.;Navidi,M.;Author,Addresses;School,of Medicine;of Medical Sciences, Iranian National Center for,Addiction Studies;South,Kargar Ave;Roozbeh Hospital,Tehran;Iran;Department,of Psychiatry;University of Medical Sciences, Roozbeh Hospital South Kargar,Ave Tehran;Iran;Correspondence,Address;Sadeghi, Department of Psychiatry Tehran University of Medical Sciences,M.;Roozbeh Hospital, South Kargar Ave Tehran,Iran Email;Sadeghmj@sina.tums.ac.ir</t>
  </si>
  <si>
    <t>Substance use among medical residents in Tehran, Iran</t>
  </si>
  <si>
    <t>Addictive Disorders and their Treatment</t>
  </si>
  <si>
    <t>alcohol;amphetamine;cannabis;diamorphine;lysergide;opiate;psychedelic agent;resident;substance abuse;adult;alcoholism (diagnosis);article;cannabis addiction (diagnosis);family history;female;heroin dependence (diagnosis);human;Iran;major clinical study;male;medical personnel;opiate addiction (diagnosis);physician;priority journal;questionnaire;religion;residency education;sex difference;training;university;alcohol (64-17-5);amphetamine (1200-47-1, 139-10-6, 156-34-3, 2706-50-5, 300-62-9, 51-62-7,;60-13-9, 60-15-1);cannabis (8001-45-4, 8063-14-7);diamorphine (1502-95-0, 561-27-3);lysergide (50-37-3);opiate (53663-61-9, 8002-76-4, 8008-60-4);Public Health, Social Medicine and Epidemiology (17);Psychiatry (32);Occupational Health and Industrial Medicine (35);Drug Dependence, Alcohol Abuse and Alcoholism (40);Internal Medicine (6)</t>
  </si>
  <si>
    <t>The aim of this study was to obtain an estimate of the prevalence of various substance use among resident doctors of medical universities in Tehran, Iran. A 43-item questionnaire was distributed among 1795 residents of 3 main medical universities in Tehran. Response rate was 68.2%. Alcohol was the most widely used substance, although the rate was much less frequent than the rates reported in Western countries. Opium, cannabis, and heroin use were in the next order, whereas opium was the most frequently reported substance for daily use. Recreation was the main reason for the substance use. The majority of substance users had started their use in general medical training. Substance use was correlated positively to male gender and a positive family history of any substance use and negatively to having religious beliefs and practices. Although the study showed that most cases of substance use were limited to casual use, high figures of lifetime use mandates the implementation of training, psychoeducation, and preventive programs, especially in the general medical training period. Copyright â”¬âŒ 2005 by Lippincott Williams &amp; Wilkins.</t>
  </si>
  <si>
    <t>(Sadeghi M., Sadeghmj@sina.tums.ac.ir) (INCAS) (Sadeghi M., Sadeghmj@sina.tums.ac.ir; Navidi M.); ID: 3152</t>
  </si>
  <si>
    <t>1531-5754</t>
  </si>
  <si>
    <t>2005411131 PUI L41285690</t>
  </si>
  <si>
    <t>10.1097/01.adt.0000156875.10778.d2 FULL TEXT LINK http://dx.doi.org/10.1097/01.adt.0000156875.10778.d2</t>
  </si>
  <si>
    <t>Saissi,F.;Caflisch,C.;Author,Addresses;Sanatorium Kilchberg, Zentrum fâ”œâ•r,Psychosomatik Z.;Selnaustrasse,Zâ”œâ•;Zentrum,fâ”œâ•r;Abhâ”œÃ±ngigkeitserkrankungen,Psychiatrische Universitâ”œÃ±tsklinik Zâ”œâ•rich;Switzerland</t>
  </si>
  <si>
    <t>CME answers to the questions about "Alcohol use disorder? Procedure for suspected alcohol addiction" from Praxis No. 10 ORIGINAL (NON-ENGLISH) TITLE Zu den Fragen zu â”¬Â½ Stâ”œâ•¢rung durch Alkohol? Vorgehen bei Verdacht auf Alkoholabhâ”œÃ±ngigkeitssyndromâ”¬â•— aus Praxis Nr. 10 Alcohol Use Disorder? Procedure for Suspected Alcohol Addiction</t>
  </si>
  <si>
    <t>alcoholism;continuing education;medical education;clinical practice;human;note;practice guideline;Public Health, Social Medicine and Epidemiology (17);Drug Dependence, Alcohol Abuse and Alcoholism (40)</t>
  </si>
  <si>
    <t>(Saissi F.) (Caflisch C., carlo.caflisch@puk.zh.ch) Verlag Hans Huber AG, verlag@hanshuber.com; ID: 1799</t>
  </si>
  <si>
    <t>1661-8165 (electronic) 1661-8157</t>
  </si>
  <si>
    <t>20170378408 PUI L616416007</t>
  </si>
  <si>
    <t>10.1024/1661-8157/a002683 FULL TEXT LINK http://dx.doi.org/10.1024/1661-8157/a002683</t>
  </si>
  <si>
    <t>CME answers to the questions about "Alcohol use disorder? Procedure for suspected alcohol addiction" from Praxis No. 10 ORIGINAL (NON-ENGLISH) TITLE Zu den Fragen zu â”¬Â½ Stâ”œâ•¢rung durch Alkohol? Vorgehen bei Verdacht auf Alkoholabhâ”œÃ±ngig(TRUNCATED)</t>
  </si>
  <si>
    <t>Saito,R.;Asano,M.;Oshima,A.;Minowa,M.;Author,Addresses;Kinula,Health Center;City;Correspondence,Address;Saito, Kinula Health Center Setagaya City,R.</t>
  </si>
  <si>
    <t>8260745; Smoking restrictions in medical schools in Japan</t>
  </si>
  <si>
    <t>medical school;smoking (adverse drug reaction);smoking cessation;article;human;Japan;questionnaire;risk</t>
  </si>
  <si>
    <t>The theme of the 6th WHO World Non-Smoking Day in 1993 was "Health services: our window to a tobacco-free world". A survey of the public health departments of all medical schools and universities was conducted in April, 1992 in order to investigate the state of smoking restrictions in those departments responsible for training in health services. Responses were received from 76 schools out of 80. The results were as follows: 1) In school cafeteria: Smoking prohibited (17.8%), Separate smoking/non-smoking areas (21.9%), Unrestricted smoking (60.3%), In student lounges: Smoking prohibited (2.9%), Separate Smoking/non-smoking areas (7.1%), Unrestricted smoking (90.0%), 2) The number of schools with tobacco vending machines: 59 schools (77.6%), 3) In medical faculty meetings: Smoking prohibited--32 schools (42.1%), Unrestricted smoking--22 schools (28.9%), No rules but no smokers--22 schools (28.9%), A total of 54 schools (71.0%) have established non-smoking meetings. 4) The number of school that give no attention to raking students aware of smoking risks: 6 schools As a result of this investigation, one national and one private medical school initiated prohibition of smoking at medical faculty meetings. In order to stimulate consciousness of the health hazards of smoking in future medical professionals, freshmen orientation should be utilized for teaching about the risks of both tobacco and "chug-a-lugging" of alcoholic beverages. In addition, the elimination of tobacco vending machines from all medical department area is strongly indicated.</t>
  </si>
  <si>
    <t>(Saito R.; Asano M.; Oshima A.; Minowa M.); ID: 3594</t>
  </si>
  <si>
    <t>http://www.ncbi.nlm.nih.gov/pubmed/8260745</t>
  </si>
  <si>
    <t>Smoking restrictions in medical schools in Japan</t>
  </si>
  <si>
    <t>Sakuma,H.;Matsushita,S.;Fujita,S.;Author,Addresses;National,Health Organization;Medical;Addiction Center,Japan;Correspondence,Address;Sakuma, National Health Organization Kurihama Medical,H.;Addiction;Center,Japan</t>
  </si>
  <si>
    <t>Teaching motivational interviewing skills to medical care providers in the tohoku area, where people suffered from an earthquake and atsunami in 2011</t>
  </si>
  <si>
    <t>i26</t>
  </si>
  <si>
    <t>addiction;earthquake;human;medical care;motivational interviewing;skill;society;teaching;alcohol abuse;city;community care;community mental health;consultation;counseling;drinking;drinking behavior;habit;health care;health care personnel;housing;Japan;mental disease;mental health care;natural disaster;nurse;problem solving;risk;social worker;somatoform disorder</t>
  </si>
  <si>
    <t>An earthquake of 9.0 magnitude hit the north eastern area of Japan on March 11, 2011. Many residents in the area are still forced to live in temporary housing. Under stressful situation such as these natural disasters, various risks of mental illness tend to increase. Many kinds of community mental health care providers such as public health nurses, psychiatric social workers, and administrative health care consultants are active in disaster areas. Sometimes they face the residents' denial. Some people refuse to be concerned about their drinking issues or unhealthy habits. We are visiting the disaster areas of Ofunato City and Rikuzen-takata City monthly, and we are supervising the intervention of the mental health care providers.We are providing intervention skills that are based on motivational interviewing and problem solving. As a result of the health care providers applying such intervention skills, some residents have changed their distractive behaviors. In one case, one person who had alcohol abuse problems stopped drinking, although he had never changed his drinking behavior before. In another case, one person who had serious Somatoform Disorder participated regularly in counseling with an administrative health care consultant. Through these cases, one can see the application of motivational interviewing techniques for community health care.</t>
  </si>
  <si>
    <t>(Sakuma H.; Matsushita S.; Fujita S.) 16th International Society of Addiction Medicine Annual Meeting Yokohama, Japan 2014-10-02 to 2014-10-06 Oxford University Press; ID: 2214</t>
  </si>
  <si>
    <t>10.1093/alcalc/agu052.124 FULL TEXT LINK http://dx.doi.org/10.1093/alcalc/agu052.124</t>
  </si>
  <si>
    <t>Salerno,M. T.;Amendola,A.;De Marco,V.;Grimaldi,A.;Trione,T.;Carrieri,V.;Altomare,E.;Palasciano,G.;Albano,O.;Author,Addresses;Institute of,Clinical Medicine;University,of Bari;Correspondence,Address;Institute of Clinical Medicine I, University of,Bari Bari</t>
  </si>
  <si>
    <t>Continuous education of physicians and alcohol</t>
  </si>
  <si>
    <t>Alcoholism</t>
  </si>
  <si>
    <t>Alcohol.Treat.Quart.</t>
  </si>
  <si>
    <t>alcoholism;medical education;conference paper;education;human;Italy;Public Health, Social Medicine and Epidemiology (17);Drug Dependence, Alcohol Abuse and Alcoholism (40)</t>
  </si>
  <si>
    <t>The traditional Continuing Medical Education (CME) courses in the field of alcohol related problems usually are centered on conferences, lectures and round tables. These traditional educational methods do not solve the health community problems. However, the new educational methods provide a very useful strategy in prevention, diagnosis and therapy of alcohol related problems. This methodology on the basis of many positive experiences performed in many countries and also in Italy, is developed through four steps: health needs identification; educational objectives definition; teaching-learning programs planning; evaluation methods planning.</t>
  </si>
  <si>
    <t>(Salerno M.T.; Amendola A.; De Marco V.; Grimaldi A.; Trione T.; Carrieri V.; Altomare E.; Palasciano G.; Albano O.); ID: 3707</t>
  </si>
  <si>
    <t>0002-502X</t>
  </si>
  <si>
    <t>1990021890 PUI L20021546</t>
  </si>
  <si>
    <t>Salhab,A.;Author,Addresses;Department,of Pharmacology;Medicine,University of Jordan Amman Jordan;Correspondence,Address;Salhab, Seneca Avenue Tampa United States Email,A.;Assalhab@yahoo.com</t>
  </si>
  <si>
    <t>Embattled cannabis: pharmacological, medical, recreational, and adverse effects aspects</t>
  </si>
  <si>
    <t>(MAJOR FOCUS);medical cannabis (adverse drug reaction, drug therapy, pharmacokinetics,;pharmacology);cannabinoid derivative;endocannabinoid (endogenous compound);recreational drug;acquired immune deficiency syndrome (drug therapy);cannabis addiction (side effect);cannabis use;cardiovascular effect;congenital malformation (side effect);fetus development;glaucoma (drug therapy);human;Human immunodeficiency virus infection (drug therapy);learning;multiple sclerosis (drug therapy);nonhuman;pain (drug therapy);phytochemistry;priority journal;respiratory system;review;schizophrenia (drug therapy);spasticity (drug therapy);traditional medicine;traffic accident;Psychiatry (32);Drug Literature Index (37);Adverse Reactions Titles (38);Drug Dependence, Alcohol Abuse and Alcoholism (40)</t>
  </si>
  <si>
    <t>Cannabis sativa L. (Cannabaease), currently, is the most widely used illicit drug around the world. The psychoactive chemical of the plant is the (9)-tetrahydrocannabinol (THC). The federal government of the United States as well as other countries classified THC as Schedule I controlled substance. Concerning the use of cannabinoids as therapeutic agents exhibits beneficial therapeutic effects against nausea and vomiting in cancer and AIDS patients. Cannabis decreased the intensity of spasm and tremors in multiple sclerotic patients. On the other hand, the chronic use of Cannabis sativa may cause severe, unwanted, acute, and chronic side effects: cognition, coordination, learning defects, and impairment of memory among users, addiction, and possible suicidal attempts. Still, cannabis may trigger acute cardiovascular diseases including mortality, although there is some progress by introducing new agents that work like THC such as Sativex, Nabilone, and Conador. These agents await further extensive development to enhance efficacy and to decrease toxicity. In conclusion, the outcome of the medical use of cannabis is blurred with the presence of the recreational use. The question of whether it should be legalized still needs extensive discussion.</t>
  </si>
  <si>
    <t>(Salhab A., Assalhab@yahoo.com) Taylor and Francis Ltd, healthcare.enquiries@informa.com; ID: 1834</t>
  </si>
  <si>
    <t>20170191285 PUI L614787976</t>
  </si>
  <si>
    <t>10.3109/14659891.2016.1149237 FULL TEXT LINK http://dx.doi.org/10.3109/14659891.2016.1149237</t>
  </si>
  <si>
    <t>Salomon,C.;Hamilton,B.;Author,Addresses;University,of Melbourne;Correspondence,Address;Salomon, University of Melbourne Melbourne Australia,C.</t>
  </si>
  <si>
    <t>Towards a harm minimisation approach: How borrowing from the world of addiction medicine may help to mitigate risks during antipsychotic discontinuation</t>
  </si>
  <si>
    <t>47 SUPPL. 1</t>
  </si>
  <si>
    <t>(MAJOR FOCUS);neuroleptic agent;addiction;college;human;New Zealand;psychiatrist;risk;consumer;drug therapy;implantable cardioverter defibrillator;medical decision making;policy;relapse;safety;therapy</t>
  </si>
  <si>
    <t>High antipsychotics discontinuation rates have been consistently reported in the literature. Strategies focused on improving adherence through compliance therapy and use of depot formulations have not significantly improved this picture. Antipsychotic discontinuation attempts are rarely collaborative. Instead, they are often poorly planned or occur in secret and may contribute to relapse, poorly managed discontinuation symptoms and breakdown in therapeutic relationships. Evidence suggests that in some cases, strong emphasis on antipsychotic adherence may function as an implicit form of zero tolerance to discontinuation. This paper considers the links between consumer experience of zero tolerance policy to discontinuation and consumer secrecy during discontinuation attempts. The harm minimisation paradigm of addiction medicine is then proposed as a plausible alternative in antipsychotic discontinuation negotiations. The clinical approach is focused on maintaining non-judgemental contact with the consumer regardless of their current medication status. It uses tools such as decisional matrices to explore consumer patterns and priorities in medication use and focuses on increasing consumer knowledge and safety (Cheung, 2000). Collaborative practices include transparent information sharing and supportive care, regardless of clinician assessment of readiness for discontinuation. The potentially positive impacts on the post-discontinuation clinical picture are considered. Data and analysis from a recent survey of Australian consumers' experiences of stopping antipsychotic medication are included to illustrate key arguments (Salomon and Hamilton; in review).</t>
  </si>
  <si>
    <t>(Salomon C.; Hamilton B.) Royal Australian and New Zealand College of Psychiatrists, RANZCP Annual Congress 2013 Sydney, Australia 2013-05-26 to 2013-05-30 Informa Healthcare; ID: 2408</t>
  </si>
  <si>
    <t>10.1177/0004867412486854 FULL TEXT LINK http://dx.doi.org/10.1177/0004867412486854</t>
  </si>
  <si>
    <t>Salvalaggio,G.;Vandenberghe,C.;Kirkland,S.;Cummings,G.;McKim,B.;Wild,C.;Author,Addresses;Correspondence,Address;Salvalaggio,G.</t>
  </si>
  <si>
    <t>Impact of a patient engagement and SBIRT knowledge translation strategy on physician behaviour</t>
  </si>
  <si>
    <t>behavior change;doctor patient relation;female;male;addiction;behavior assessment;comfort;controlled study;emergency medicine;experimental model;family;follow up;human;major clinical study;mediator;needs assessment;normal human;patient referral;pilot study;resident;scientist;screening;substance use</t>
  </si>
  <si>
    <t>Context The longitudinal, comprehensive nature of primary care settings allows them to facilitate behaviour change, treatment entry, and follow-up for people using alcohol or drugs. Unfortunately, Screening, Brief Intervention, and Referral for Treatment (SBIRT) implementation has been suboptimal, and little is known about best practices for SBIRT in disadvantaged settings with additional barriers to patient engagement. Objective The goals of this project were to develop and evaluate a set of SBIRT and patient engagement knowledge translation (KT) resources designed to enhance the capacity of physicians to effectively intervene with lowsocioeconomic- position patients engaging in substance use. Design Nonrandomized 2-group, pre-post, quasi-experimental intervention design. Participants Family and emergency medicine physicians and residents. Intervention A partnership of researchers, clinicians, KT experts, inner-city agencies and residents, and policy makers oversaw the project. The core team hired an inner-city community member to optimize information sharing and project relevance. Information sources for resource development included a literature review, local pilot studies, and needs assessments. Physician KT resources included workshops, point-of-care tools, e-modules, addiction medicine champions, and inner-city orientations. Outcome measures Self-reported frequency of SBIRT use at 12 months after enrolment. Results A total of 131 physicians were assigned to the intervention (n = 78) or control (n = 53) condition according to their usual location of practice. A total 39 intervention and 25 control participants were available for follow up at 12 months. Uptake of KT resources ranged from 25% for e-modules to 63% for point-of-care reminders; when used, the majority found these resources useful. After adjusting for age, sex, years in practice, discipline, baseline comfort, and baseline assessment behaviour, intervention physicians trended toward increased screening and brief intervention behaviour (P = .069). Conclusion A community-based patient engagement and SBIRT KT strategy was favourably received by participants and associated with early changes in physician assessment behaviour. Other mediators of physician behaviour might need to be considered to encourage sustained physician behaviour change in a real-world setting.</t>
  </si>
  <si>
    <t>(Salvalaggio G.; Vandenberghe C.; Kirkland S.; Cummings G.; McKim B.; Wild C.) Family Medicine Forum, FMF 2013 Vancouver, BC, Canada 2013-11-07 to 2013-11-09 College of Family Physicians of Canada; ID: 2218</t>
  </si>
  <si>
    <t>Sandberg,R. P.;Sherman,N. C.;Latt,L. D.;Hardy,J. C.;Author,Addresses;Department,of Orthopedic;University of Arizona, Tucson,United States;College,of Medicine;of Arizona,Tucson,United States;Correspondence,Address;NC Sherman, College of Medicine University of,Arizona North;Campbell Avenue, Tucson United States Email nsherman email,arizona edu</t>
  </si>
  <si>
    <t>Cigar Box Arthroscopy: A Randomized Controlled Trial Validates Nonanatomic Simulation Training of Novice Arthroscopy Skills</t>
  </si>
  <si>
    <t>Arthroscopy - Journal of Arthroscopic and Related Surgery</t>
  </si>
  <si>
    <t>cigar box knee arthroscopy;clinical competence;knee arthroscopy;simulation training;surgical training;adult;anatomic model;article;Basic Arthroscopic Knee Skill Scoring System;cadaver;comparative effectiveness;comparative study;controlled study;cost;didactic training;female;human;male;medical student;performance measurement system;randomized controlled trial;scoring system;single blind procedure;university;Public Health, Social Medicine and Epidemiology (17);Orthopedic Surgery (33);CLINICAL TRIAL NUMBERS;ClinicalTrials.gov (NCT02752451)</t>
  </si>
  <si>
    <t>Purpose The goal of this study was to validate the cigar box arthroscopy trainer (CBAT) as a training tool and then compare its effectiveness to didactic training and to another previously validated low-fidelity but anatomic model, the anatomic knee arthroscopy trainer (AKAT). Methods A nonanatomic knee arthroscopy training module was developed at our institution. Twenty-four medical students with no prior arthroscopic or laparoscopic experience were enrolled as subjects. Eight subjects served as controls. The remaining 16 subjects were randomized to participate in 4 hours of either the CBAT or a previously validated AKAT. Subjects' skills were assessed by 1 of 2 faculty members through repeated attempts at performing a diagnostic knee arthroscopy on a cadaveric specimen. Objective scores were given using a minimally adapted version of the Basic Arthroscopic Knee Skill Scoring System. Total cost differences were calculated. Results Seventy-five percent of subjects in the CBAT and AKAT groups succeeded in reaching minimum proficiency in the allotted time compared with 25% in the control group (P &lt;.05). There was no significant difference in the number of attempts to reach proficiency between the CBAT and AKAT groups. The cost to build the CBAT was $44.12, whereas the cost was $324.33 for the AKAT. Conclusions This pilot study suggests the CBAT is an effective knee arthroscopy trainer that may decrease the learning curve of residents without significant cost to a residency program. This study demonstrates the need for an agreed-upon objective scoring system to properly evaluate residents and compare the effectiveness of different training tools.</t>
  </si>
  <si>
    <t>(Sandberg R.P.; Latt L.D.; Hardy J.C.) (Sherman N.C., nsherman@email.arizona.edu) W.B. Saunders; ID: 1760</t>
  </si>
  <si>
    <t>1526-3231 (electronic) 0749-8063</t>
  </si>
  <si>
    <t>20170467229 PUI L617036682</t>
  </si>
  <si>
    <t>10.1016/j.arthro.2017.04.022 FULL TEXT LINK http://dx.doi.org/10.1016/j.arthro.2017.04.022</t>
  </si>
  <si>
    <t>Sandhu,S.;Adye-White,L.;McCombe,G.;Cullen,W.;Wood,E.;Klimas,J.;Author,Addresses;Ucd School,of Medicine;College Dublin,Belfield,Dublin Ireland;British Columbia Centre,on Substance;and for Excellence in Hiv/ Aids, St Paul's Hospital,Vancouver Canada;Correspondence,Address;School of Medicine University College Dublin Belfield,S.Sandhu, U.C.D.;Dublin,Ireland</t>
  </si>
  <si>
    <t>Factors that influence medical residents' attitudes towards people with substance use disorders: A scoping review</t>
  </si>
  <si>
    <t>S454</t>
  </si>
  <si>
    <t>drug dependence;residency education;adult;data extraction;Embase;family history;female;human;male;Medline;postgraduate student;PsycINFO;systematic review</t>
  </si>
  <si>
    <t>Evidence suggests that attitudes of medical personnel towards people with substance use disorders (SUD) can influence the care provided. This is a serious concern as stigmatizing and negative attitudes have been shown to decrease the quality of care provided to people with SUD1. Therefore, the aim of this scoping review was to determine what factors that may influence medical residents' attitudes towards SUD have been reported 'Medline', 'Embase' and 'PsycInfo' electronic databases were searched in July 2017. Additionally, 9 journals were hand searched. The search strategy yielded 4585 references. Of those, 55 articles were assessed in full text for eligibility. Seven journal articles and four conference abstracts were included in the scoping review based on the inclusion criteria. Following data extraction, three factors influencing medical residents' attitudes were identified: 1) participation in addiction training (n= 7), 2) post-graduate year (n=1), and 3) personal or family history of drug use (n=1). This review revealed that medical residents' attitudes towards SUD become increasingly negative over the course of residency training and that participation in addiction training may serve as a step in alleviating these negative attitudes. Additionally, residents with personal history of drug use have higher positive attitudes towards SUD. However, it should be noted that some studies did not report adequate information about addiction training, study methods or attidudinal outcomes. To address research gaps, further research should examine factors that influence medical residents' attitudes towards SUD and a systematic review should be conducted to assess the quality of research.</t>
  </si>
  <si>
    <t>(Sandhu S.; McCombe G.; Cullen W.) (Adye-White L.; Wood E.; Klimas J.) UCD School of Medicine, Summer Student Research Awards 2017 Dublin, Ireland 2017-10-04 to 2017-10-04 Springer London; ID: 1860</t>
  </si>
  <si>
    <t>10.1007/s11845-017-1711-z FULL TEXT LINK http://dx.doi.org/10.1007/s11845-017-1711-z</t>
  </si>
  <si>
    <t>Santen,S. A.;Taira,T.;Roberts,N.;Author,Addresses;University of Michigan, Ann,Arbor M.;Usa;Suny at Stony Brook, Stony Brook N Y U S A Southern,Illinois University;School,of Medicine;Correspondence,Address;Santen,S. A.</t>
  </si>
  <si>
    <t>How do we remediate the problem resident?</t>
  </si>
  <si>
    <t>S167</t>
  </si>
  <si>
    <t>convenience sample;diagnosis;grounded theory;interpersonal communication;laboratory;leadership;learning;monitoring;probation;qualitative research;reading;semi structured interview;simulation;substance abuse</t>
  </si>
  <si>
    <t>Background: Program directors (PDs) struggle with the Î“Ã‡Â£problem resident.Î“Ã‡Â¥ It is unclear what specifically constitutes a problem resident and what is optimal remediation. Study Objective: To describe PDs' strategies for diagnosing the areas of concern and remediation processes. Methods: This was a qualitative study using semistructured interviews of a convenience sample of 11 EM PDs. PDs were asked to describe specific residents whom they defined as a Î“Ã‡Â£problem resident.Î“Ã‡Â¥ Grounded theory analysis determined themes. There is a companion study examining the variations of PDs' definition of problem resident. Results: Two themes were identified. The first theme was that it is difficult to find an effective diagnostic strategy for the cause of the Î“Ã‡Â£problem resident,Î“Ã‡Â¥ which is to say that is was difficult to determine where the problem lay. The second theme was the variety of remediation strategies attempted. For many residents, there was overlap between the process of diagnosis and remediation, with the resident receiving special attention to both identify and Î“Ã‡Â£fixÎ“Ã‡Â¥ the problem. There were 2 main strategies for both diagnosis and remediation. The first was one-on-one meetings with residency leadership. The second was working with the resident clinically by direct observation (SDOTs), daily shift evaluations, simulation laboratory, or simulated oral board cases. Additional strategies uniquely for remediation utilized the following: administrative warnings (letters of concern, probation) and setting specific behavioral plans (ie, reading assignments, structured learning plans, substance abuse monitoring, and setting interpersonal communication goals). Strategies met with varying success, and there did not appear to be any one strategy guaranteed to address resident problems. Conclusion: Residency leaders have difficulty recognizing when a resident becomes a problem, diagnosing the problem, and using effective remediation. They employ a variety of strategies that meet with varying success.</t>
  </si>
  <si>
    <t>(Santen S.A.; Taira T.; Roberts N.) CORD Academic Assembly 2012 Atlanta, GA, United States 2012-04-01 to 2012-04-14 Mosby Inc.; ID: 2496</t>
  </si>
  <si>
    <t>10.1016/j.annemergmed.2012.07.033 FULL TEXT LINK http://dx.doi.org/10.1016/j.annemergmed.2012.07.033</t>
  </si>
  <si>
    <t>Santos Cruz,M.;Da,Silva Filho;Author,Addresses;Instituto;de Psiquiatria, Universidade Federal do Rio,de Janeiro;Av Afranio,de Melo;Brazil,Rio de Janeiro- R. J.;Correspondence,Address;Santos Cruz, Av Afranio de Melo Franco Rio de,M.;Janeiro-Rj,Brazil</t>
  </si>
  <si>
    <t>Medical education for the management of drug abusers and the development of a new health care habitus ORIGINAL (NON-ENGLISH) TITLE A formaâ”œÂºâ”œÃºo de profissionais para a assistâ”œÂ¬ncia de usuâ”œÃ­rios de drogas e a constituiâ”œÂºâ”œÃºo de um novo habitus de cuidado</t>
  </si>
  <si>
    <t>drug abuse;medical education;adult;aggressiveness;article;case report;comorbidity;female;health care need;human;interview;male;medical practice;physician;postgraduate education;relapse;Public Health, Social Medicine and Epidemiology (17);Drug Dependence, Alcohol Abuse and Alcoholism (40)</t>
  </si>
  <si>
    <t>Objective: To identify deficiencies in medical education on drug abuse treatment and strategies developed by doctors to solve those difficulties. Methods: This is a qualitative case study. Six medical doctors receiving post-graduation education in two academic drug abuse treatment institutions were interviewed, both individually and in focal groups. Categories identified in the interview material were grouped by themes and models privileged in formal education, difficulties found in assistance practice and strategies used to solve those difficulties. Results: Biological model is privileged in formal medical education, what results in huge obstacles in this practice, as the difficulties to make early diagnosis, to deal with relapses, the inconsistent demand for treatment, the aggressiveness, the comorbidities and the clinical problems. Conclusions: Graduation medical education on drug abuse treatment is considered insufficient by doctors interviewed. They are compelled to make use of strategies that includes the search for references of medical knowledge and procedures that have worked in other occasions are essayed in this practice. Progressively, a new health care habitus is developed while assistance practice makes possible the integration of formal academic education upon each professional individual characteristics.</t>
  </si>
  <si>
    <t>(Santos Cruz M., marceloscruz@terra.com.br; Da Silva Filho J.F.) (Santos Cruz M., marceloscruz@terra.com.br); ID: 3186</t>
  </si>
  <si>
    <t>0047-2085</t>
  </si>
  <si>
    <t>2005399710 PUI L41243018</t>
  </si>
  <si>
    <t>Medical education for the management of drug abusers and the development of a new health care habitus ORIGINAL (NON-ENGLISH) TITLE A formaâ”œÂºâ”œÃºo de profissionais para a assistâ”œÂ¬ncia de usuâ”œÃ­rios de drogas e a constituiâ”œÂºâ”œÃºo de u(TRUNCATED)</t>
  </si>
  <si>
    <t>Sarkari,B.;Eilami,O.;Khosravani,A.;Akbartabartori,M.;Tabatabaee,M.;Author,Addresses;Faculty of Medicine, Shiraz University of,Medical Sciences;Shiraz,Iran;Faculty,of Medicine;University of,Medical Sciences;Faculty of Health, Yasuj University of,Medical Sciences;Yasuj,Iran;Correspondence,Address;Sarkari, Faculty of Medicine Shiraz University of Medical Sciences,B.;Shiraz,Iran</t>
  </si>
  <si>
    <t>High prevalence of hepatitis C infection among high risk groups in Kohgiloyeh and Boyerahmad Province, Southwest of Iran</t>
  </si>
  <si>
    <t>International Journal of Infectious Diseases</t>
  </si>
  <si>
    <t>15 SUPPL. 1</t>
  </si>
  <si>
    <t>S82</t>
  </si>
  <si>
    <t>antibody;hepatitis C;high risk population;infection;Iran;prevalence;blood sampling;blood transfusion;community;drug dependence;drug use;education;enzyme linked immunosorbent assay;female;health care personnel;hemodialysis;human;male;marriage;monitoring;patient;prevention;questionnaire;risk</t>
  </si>
  <si>
    <t>Objectives: Detection of HCV-infected people in each community helps the control and prevention of the infection. This study aimed to evaluate the prevalence of HCV infection among high risk groups in Kohgiloyeh and Boyerahmad province in Southwest of Iran. Materials and Methods: This study was conducted through 2009 to 2010 in Kohgiloyeh and Boyerahmad province in Iran. High risk groups for HCV were the subjects of this study. Blood samples were taken from 2009 individuals at high risk for HCV including inmates, injecting drug users, health care workers patients on maintenance hemodialysis, hemophilic patients and patients with a history of blood transfusion from Yasuj, Gachsaran, and Dehdasht (three main townships in the province) and tested by ELISA for anti-HCV antibodies. Demographic features of participants were recorded using a questionnaire during sample collecting. Results: Of 2009 subjects, HCV antibodies were detected in 172 (8.6%) of subjects. Rate of infection was higher in males (11.4%) compared to females (3.2%). Rate of infection in inmates was 11.7% while this rate was 42.4% in injecting drug users, 4.2% in health care workers, and 6.1% in thalassemic patients. Significant correlation was found between HCV infection and sex, marital status, history of imprisonment, drug addiction, level of education and place of residence. Conclusion: Results of this study may help to hold back the spread of HCV infection in this and other similar settings in the region. Furthermore, findings of this study may help in improving the surveillance and prevention of the infection in the community through management and monitoring of infected individuals.</t>
  </si>
  <si>
    <t>(Sarkari B.) (Eilami O.; Khosravani A.; Tabatabaee M.) (Akbartabartori M.) 5th Ditan International Conference on Infectious Diseases: Infectious Diseases in the Resistance Era, DICID 2011 Beijing, China 2011-07-14 to 2011-07-17 Elsevier; ID: 2671</t>
  </si>
  <si>
    <t>1201-9712</t>
  </si>
  <si>
    <t>10.1016/S1201-9712(11)60285-3 FULL TEXT LINK http://dx.doi.org/10.1016/S1201-9712(11)60285-3</t>
  </si>
  <si>
    <t>Sauer,B. C.;Teng,C. C.;Porusnik,C.;Johnson,E.;Rolfs,R.;Nebeker,J.;Author,Addresses;Slc,H. S. R.;D,Coin;Veterans Health Administration, Salt Lake City,United States;Internal Medicine,Division of;University Utah, Salt Lake City,United States;Family,Practice;Medicine,University of Utah Salt Lake;City,United States;Utah Department of Health, Salt Lake,City United;States;Correspondence,Address;B.C. Sauer,Slc Hsr;D Coin,Veterans,Health Administration;Salt,Lake City</t>
  </si>
  <si>
    <t>Examining the impact of the Utah opioid guideline based intensive educational intervention on opioid prescribing in Utah</t>
  </si>
  <si>
    <t>Pharmacoepidemiology and drug safety</t>
  </si>
  <si>
    <t>Pharmacoepidemiol.Drug Saf.</t>
  </si>
  <si>
    <t>(MAJOR FOCUS);opiate;benzodiazepine derivative;controlled substance;methadone;pharmacoepidemiology;risk management;United States;coroner;data base;death;human;medical education;patient;risk;titrimetry</t>
  </si>
  <si>
    <t>Background: As a response to the alarming increase in opioid related deaths, the Utah State Legislature passed a Bill to establish opioid quality of care guidelines. In addition, the state sponsored a 20 credit Performance Improvement Continuing Medical Education (PI-CME) to teach prescribers about the new opioid prescribing guidelines, how to access and use the Controlled Substance Database (CSD) to check individual patients and review their patient panel to assess improvements in their prescribing patterns. Objectives: To quantify changes in opioid prescribing and adverse events among providers who received various levels of the PI-CME designed to teach opioid prescribing guidelines and use of promoted tools. Methods: Providers voluntarily enrolled in the 3 Stage course. Stage A involved generating a CSD report of each provider's patients during the past 6-weeks, Stage B focused on the 6 tools for safe opioid use and Stage C required participants to assess changes in their prescribing. Multiple data sources were used for this analysis including the CSD, Utah ED encounter database, and the state medical examiner database. Process flags included the dual use of long-acting opioids or short-acting opioids, combined use of benzodiazepines and long-acting opioids, methadone titration. Outcome flags included the opioid related ED visits and deaths. Opioid users were categorized as acute, intermittent, chronic or palliative. Flags were compared between patients who completed different stages of the educational intervention. Risk ratios were adjusted using previous year prescribing flags and specialty. Results: Stage A or higher was completed by 288 providers while Stage B or higher was completed by 95 providers. Approximately 8000 providers were not exposed to the educational intervention. Providers exposed to stage A or higher had a significantly lower incidence of dual long-acting and dual short-acting opioids. They also had a significantly lower incidence of any process violation. Conclusions: Providers who attended the intensive educational intervention reduced the use of potentially hazardous opioid prescribing.</t>
  </si>
  <si>
    <t>(Sauer B.C.; Teng C.-C.; Nebeker J.) (IDEAS 2.0) (Sauer B.C.; Teng C.-C.) (Porusnik C.) (Johnson E.; Rolfs R.) 30th International Conference on Pharmacoepidemiology and Therapeutic Risk Management Taipei, Taiwan 2014-10-24 to 2014-10-27 John Wiley and Sons Ltd; ID: 2192</t>
  </si>
  <si>
    <t>1053-8569</t>
  </si>
  <si>
    <t>10.1002/pds.3701 FULL TEXT LINK http://dx.doi.org/10.1002/pds.3701</t>
  </si>
  <si>
    <t>Savage,B.;Barrat-Gordon,R.;Bauer,A.;Grams,J.;Grey,C.;Fireman,K.;Poole,C.;Schuermeyer,I.;Dimitrov,J.;Author,Addresses;Cleveland Clinic,Taussig,Cancer Institute;Cleveland,United States;Correspondence,Address;Savage, Cleveland Clinic Taussig Cancer Institute Cleveland United,B.;States</t>
  </si>
  <si>
    <t>The challenging oncology patient: The substance abuser and treatment issues</t>
  </si>
  <si>
    <t>22 SUPPL. 2</t>
  </si>
  <si>
    <t>alcohol;illicit drug;human;oncology;patient;society;substance abuse;analgesia;cancer center;cancer diagnosis;cancer patient;caregiver;chemotherapy;clinical practice;diagnosis;diseases;drug interaction;education;friend;knowledge base;life expectancy;machiavellianism;medical specialist;neoplasm;population;questionnaire;social problem</t>
  </si>
  <si>
    <t>PURPOSE: About 6-15 percent of the general US population has a diagnosis of substance abuse with either or both alcohol and illicit drugs. In cancer patients about five percent are felt to be diagnosed with substance abuse. Their care is complicated by medical non-compliance, dangerous drug interactions with alcohol and/or illicit drugs and chemotherapy drugs and a generally shorter life expectancy. Staff has a difficult time engaging them due to trust issues, manipulative behaviors and a fragile support system of family and friends as care givers. The literature is limited on best practice programs with treating this population in the cancer center setting. METHODS: A questionnaire survey will be sent to the top 30 2012 US Cancer Centers as listed in the US News and World Report, to capture the following areas:center's estimated percentage of substance abuse patients, what cancers tend to display more substance abusers, assessment tool for substance abuse used, clinical paths or protocols for cancer patients with substance abuse, access to substance abuse specialists, education offered to staff on substance abuse issues, use of contracting, case coordination with electronic records and pain management issues. RESULTS: The results of this survey will be descriptive in nature and percentages of frequencies will also be used. CONCLUSIONS: The difficulties in treating oncology patients with substance abuse issues are great. Many oncology staff view substance abuse as a social problem and not as a medical illness like cancer. Oncology centers must address substance abuse issues at the time of the cancer diagnosis to ensure efficacy with their treatment plans. CLINICAL/ RESEARCH IMPLICATIONS: It is hoped that this survey will broaden the knowledge base of working with oncology patients with substance abuse issues. Such shared approaches may improve clinical practice.</t>
  </si>
  <si>
    <t>(Savage B.; Barrat-Gordon R.; Bauer A.; Grams J.; Grey C.; Fireman K.; Poole C.; Schuermeyer I.; Dimitrov J.) 10th Annual Conference of the American Psychosocial Oncology Society, APOS 2013 Huntington Beach, CA, United States 2013-02-14 to 2013-02-16 John Wiley and Sons Ltd; ID: 2429</t>
  </si>
  <si>
    <t>10.10002/pon.3245 FULL TEXT LINK http://dx.doi.org/10.10002/pon.3245</t>
  </si>
  <si>
    <t>Schaefer,R.;Daffern,M.;Ferguson,A. M.;Author,Addresses;Centre;for Forensic Behavioural Science, Monash University,Melbourne Australia;Psychology;Department,Victorian Institute of Forensic Mental Health Melbourne;Australia;Correspondence,Address;Daffern, Centre for Forensic Behavioural Science Monash University,M.;Melbourne,Australia Email michael Daffern monash edu</t>
  </si>
  <si>
    <t>The prevalence and manifestation of substance use paralleling behaviours in a secure forensic psychiatric hospital</t>
  </si>
  <si>
    <t>amphetamine;caffeine;opiate;psychiatric department;questionnaire;substance use paralleling behavior;adult;article;automutilation;Brief Psychiatric Rating Scale;clinical article;disease severity;drug seeking behavior;drug use;fantasy;female;fluid intake;hospital admission;hospitalization;human;male;medical staff;mental disease;obsession;opiate addiction;overnutrition;pathological gambling;priority journal;sexual behavior;Structured Clinical Interview for DSM Disorders;treatment planning;amphetamine (1200-47-1, 139-10-6, 156-34-3, 2706-50-5, 300-62-9, 51-62-7,;60-13-9, 60-15-1);caffeine (58-08-2);opiate (53663-61-9, 8002-76-4, 8008-60-4);Public Health, Social Medicine and Epidemiology (17);Psychiatry (32);Drug Dependence, Alcohol Abuse and Alcoholism (40)</t>
  </si>
  <si>
    <t>Co-morbid substance dependence is common in patients of secure psychiatric services. Identifying opportunities for intervention, monitoring progress in treatment and assessing risk of relapse are compromised by this group's limited access to illicit substances. This research investigated the validity of the substance use paralleling behaviour (SUPB) framework, which was developed to assist staff in identifying behaviours indicative of substance dependence in controlled environments. Thirty-one patients admitted to the acute units of a secure forensic psychiatric hospital were interviewed and assessed with the Brief Psychiatric Rating Scales, the structured clinical interview for DSM disorders substance use disorders module, and an original questionnaire measuring motivations for drug use and behaviours indicative of substance dependence in a controlled setting (SUPBs). Results showed that patients with a history of substance dependence preceding admission engaged in more SUPBs during hospitalisation than patients without a history of substance dependence. Severity of psychiatric illness was unrelated to the frequency of requests for Pro re nata (PRN) medication and SUPBs. These results provide preliminary support for the SUPB framework and suggest that these behaviours might usefully be considered by staff of secure psychiatric hospitals when planning treatment, measuring progress and ascertaining risk of relapse. Opportunities for clinical application and future research are discussed. â”¬âŒ 2011 Taylor &amp; Francis.</t>
  </si>
  <si>
    <t>(Schaefer R.; Daffern M., michael.Daffern@monash.edu; Ferguson A.M.) (Daffern M., michael.Daffern@monash.edu; Ferguson A.M.) Routledge, 4 Park Square, Milton Park, Abingdon, Oxfordshire, United Kingdom.; ID: 2625</t>
  </si>
  <si>
    <t>2011555173 PUI L362702157</t>
  </si>
  <si>
    <t>10.1080/17523281.2011.598464 FULL TEXT LINK http://dx.doi.org/10.1080/17523281.2011.598464</t>
  </si>
  <si>
    <t>Scheiber,S. C.;Author,Addresses;Dept Psychiat, Coll Med Univ Arizona,Tucson Ariz;Correspondence,Address;Dept Psychiat, Coll Med Univ Arizona,Tucson Ariz</t>
  </si>
  <si>
    <t>The medical school admissions committee: a preventive psychiatry responsibility</t>
  </si>
  <si>
    <t>Psychiatric Forum</t>
  </si>
  <si>
    <t>affective neurosis;alcoholism;drug dependence;medical school;major clinical study;Public Health, Social Medicine and Epidemiology (17);Psychiatry (32)</t>
  </si>
  <si>
    <t>(Scheiber S.C.); ID: 3870</t>
  </si>
  <si>
    <t>1977152466 PUI L7152327</t>
  </si>
  <si>
    <t>Schiff,D. M.;Zuckerman,B.;Hutton,E.;Genatossio,C.;Michelson,C.;Bair-Merritt,M.;Author,Addresses;Department of Pediatrics, Boston Medical,Center Boston;United,States;Department of Nursing, Boston Medical Center,Boston United;States;Boston University School,of Medicine;States;Correspondence,Address;DM Schiff, Department of Pediatrics Boston Medical,Center E.;Boston,United States Email Davida Schiff bmc org</t>
  </si>
  <si>
    <t>Development and Pilot Implementation of a Trauma-Informed Care Curriculum for Pediatric Residents</t>
  </si>
  <si>
    <t>Academic Pediatrics</t>
  </si>
  <si>
    <t>drug dependence;health program;pediatrics;residency education;trauma informed care;adult;article;curriculum;female;health care survey;human;Likert scale;male;mother child relation;needs assessment;neonatal abstinence syndrome;physician attitude;Public Health, Social Medicine and Epidemiology (17);Pediatrics and Pediatric Surgery (7)</t>
  </si>
  <si>
    <t>(Schiff D.M., Davida.Schiff@bmc.org; Zuckerman B.; Hutton E.; Michelson C.; Bair-Merritt M.) (Genatossio C.) (Schiff D.M., Davida.Schiff@bmc.org; Zuckerman B.; Hutton E.; Michelson C.; Bair-Merritt M.) Elsevier Inc., usjcs@elsevier.com; ID: 1781</t>
  </si>
  <si>
    <t>1876-2867 (electronic) 1876-2859</t>
  </si>
  <si>
    <t>20170321985 PUI L615926194</t>
  </si>
  <si>
    <t>10.1016/j.acap.2017.03.011 FULL TEXT LINK http://dx.doi.org/10.1016/j.acap.2017.03.011</t>
  </si>
  <si>
    <t>Schmidt,F.;Portheine,F.;Author,Addresses;Arztl Arbeitskreis,Rauchen Gesundh;Mannheim;Correspondence,Address;Arztl Arbeitskreis,Rauchen Gesundh</t>
  </si>
  <si>
    <t>4846249; The Collaborative Medical Group 'Smoking and Health': signposts in the fight against tobacco ORIGINAL (NON-ENGLISH) TITLE DER ARZTLICHE ARBEITSKREIS RAUCHEN UND GESUNDHEIT: WEGWEISER IM KAMPF GEGEN DAS RAUCHEN</t>
  </si>
  <si>
    <t>health education;smoking;intoxication;methodology;prevention;Public Health, Social Medicine and Epidemiology (17)</t>
  </si>
  <si>
    <t>(Schmidt F.; Portheine F.); ID: 3923</t>
  </si>
  <si>
    <t>http://www.ncbi.nlm.nih.gov/pubmed/4846249</t>
  </si>
  <si>
    <t>The Collaborative Medical Group 'Smoking and Health': signposts in the fight against tobacco ORIGINAL (NON-ENGLISH) TITLE DER ARZTLICHE ARBEITSKREIS RAUCHEN UND GESUNDHEIT: WEGWEISER IM KAMPF GEGEN DAS RAUCHEN</t>
  </si>
  <si>
    <t>Schmitz,J. M.;Oswald,L. M.;Baldwin,L.;Grabowski,J.;Author,Addresses;University of,Texas;Mental Sciences Institute, Dept of Psychiatry,Behavioral Scis;Moursund,Houston T. X. United States;Correspondence,Address;JM Schmitz, University of Texas Mental Sciences Institute,Dept of;Psychiatry/Behavioral Scis,Moursund,Houston T.;States</t>
  </si>
  <si>
    <t>A survey of posthospitalization treatment needs and preferences in cocaine abusers</t>
  </si>
  <si>
    <t>(MAJOR FOCUS);cocaine (drug toxicity);aftercare;drug abuse;employment;group therapy;relapse;adult;article;clinical article;female;human;male;outpatient;prevention;cocaine (50-36-2, 53-21-4, 5937-29-1);Drug Dependence, Alcohol Abuse and Alcoholism (40)</t>
  </si>
  <si>
    <t>In an effort to lower recidivism, most inpatient drug treatment programs offer a variety of aftercare options. There is a lack of empirically based knowledge needed to make decisions about posthospital treatment development and its implementation. The authors used a survey method to evaluate outpatient treatment needs and preferences of hospitalized cocaine-dependent patients (N = 40). Stronger preferences were expressed for 12-step programs, behavioral relapse prevention, and employment counseling than for psychotherapy, medical treatment, and legal assistance. Most subjects viewed cocaine addiction as a disease (93%) rather than a learned habit (7%). Group therapy was preferred over individual therapy (66% vs. 34%). For each problem area on the Addiction Severity Index (ASI), patient severity ratings were strongly correlated with perceived aftercare treatment needs, whereas interviewer ratings and composite scores on the ASI were not. The authors discuss implications of client preferences in posthospital treatment.</t>
  </si>
  <si>
    <t>(Schmitz J.M.; Oswald L.M.; Baldwin L.; Grabowski J.); ID: 3554</t>
  </si>
  <si>
    <t>1994355388 PUI L24354148</t>
  </si>
  <si>
    <t>Schmoke,K. L.;Author,Addresses;North,Holliday Street;States;Correspondence,Address;KL Schmoke, North Holliday Street Baltimore,M.D.United States</t>
  </si>
  <si>
    <t>7748378; Medicalizing the war on drugs</t>
  </si>
  <si>
    <t>methadone (drug therapy);drug control;substance abuse;drug dependence (prevention, therapy);drug legislation;heroin dependence (drug therapy);human;law enforcement;methadone treatment;needle;priority journal;review;methadone (1095-90-5, 125-56-4, 23142-53-2, 297-88-1, 76-99-3);Public Health, Social Medicine and Epidemiology (17);Drug Literature Index (37);Drug Dependence, Alcohol Abuse and Alcoholism (40)</t>
  </si>
  <si>
    <t>Most medical colleges, teaching hospitals, and other health education and treatment institutions are already expanding their horizons to include attention to the public health needs of their communities. But one pressing public health problem-substance abuse-that should be treated as a disease and handled by doctors and nurses is at present entrusted primarily to law enforcement. The author believes that this is the wrong approach: the War on Drugs is not working, and drug laws are inconsistent and illogical. Changes in national drug policies must be changed. The author has called for a national commission to study how all drugs-legal and illegal-should be regulated. He advocates a health-regulatory strategy, sometimes called 'medicalization,' whereby the government would set up a regime to pull addicts into the public health system and would control the price, distribution, purity, and access to addictive substances, just as it now does with prescription drugs. This would take the profit out of drug trafficking. Addicts would be treated and if necessary maintained under medical auspices. Baltimore began its own version of medicalization in the summer of 1994 with a needle-exchange program, an approach that has elsewhere led to dramatic drops in AIDS infection and drug-related crime. Baltimore also has a mobile van for methadone treatment and is getting help from public and private sources for increased drug treatment and prevention programs. In the medicalization of the War on Drugs, the nation's medical colleges, schools of public health, teaching hospitals, and nursing schools all have roles to play. For example, training in addiction treatment should become part of their curricula, especially for primary care physicians and nurses. All teaching, caregiving, research, and funding institutions must get involved to find and successfully implement medically oriented ways to deal with substance abuse.</t>
  </si>
  <si>
    <t>(Schmoke K.L.) Lippincott Williams and Wilkins, kathiest.clai@apta.org; ID: 3551</t>
  </si>
  <si>
    <t>http://www.ncbi.nlm.nih.gov/pubmed/7748378</t>
  </si>
  <si>
    <t>Medicalizing the war on drugs</t>
  </si>
  <si>
    <t>Schneidrovâ”œÃ­,D.;Herotovâ”œÃ­,T. K.;Sustkovâ”œÃ­,M.;Author,Addresses;Department of,Child;Youth Health,Third,Faculty of;Medicine,Charles University Prague Czech Republic;Correspondence,Address;Schneidrovâ”œÃ­,Department of Child,D.;Youth Health,Third,Faculty of;Medicine,Charles University Prague Czech Republic</t>
  </si>
  <si>
    <t>22571022; Smoking prevention activities at the third faculty of medicine of Charles University in Prague, Czech Republic</t>
  </si>
  <si>
    <t>medical school;smoking (prevention);smoking cessation;article;counseling;Czech Republic;health education;health promotion;human;methodology;organization and management</t>
  </si>
  <si>
    <t>(Schneidrovâ”œÃ­ D.) (Herotovâ”œÃ­ T.K.; Sustkovâ”œÃ­ M.); ID: 2577</t>
  </si>
  <si>
    <t>http://www.ncbi.nlm.nih.gov/pubmed/22571022</t>
  </si>
  <si>
    <t>Smoking prevention activities at the third faculty of medicine of Charles University in Prague, Czech Republic</t>
  </si>
  <si>
    <t>Schnoll,R. A.;Shields,A. E.;Author,Addresses;Department of,Psychiatry;University of Pennsylvania, Philadelphia,United States;Mongan Institute for,Health Policy;Hospital,Harvard Medical School Boston United States;Correspondence,Address;RA Schnoll, Department of Psychiatry University,of Pennsylvania;Philadelphia,United States Email schnoll mail med upenn edu</t>
  </si>
  <si>
    <t>Physician Barriers to Incorporating Pharmacogenetic Treatment Strategies for Nicotine Dependence Into Clinical Practice</t>
  </si>
  <si>
    <t>clinical practice;genetic screening;medical education;pharmacogenetics;tobacco dependence;general practitioner;health care system;human;medical genetics;priority journal;review;smoking;smoking cessation;Public Health, Social Medicine and Epidemiology (17);Human Genetics (22);Psychiatry (32);Drug Dependence, Alcohol Abuse and Alcoholism (40)</t>
  </si>
  <si>
    <t>Advances in genomics research may improve health outcomes by tailoring treatment according to patients' genetic profiles. The treatment of nicotine dependence, in particular, may soon encompass pharmacogenetic treatment models. Realizing the benefits of such treatment strategies may depend on physicians' preparedness to incorporate genetic testing into clinical practice. This article describes barriers to clinical integration of pharmacogenetic treatments that will need to be addressed to realize the benefits of individualized smoking-cessation treatment. Clinical Pharmacology &amp; Therapeutics (2011) 89 3, 345-347. doi:10.1038/clpt.2010.267.</t>
  </si>
  <si>
    <t>(Schnoll R.A., schnoll@mail.med.upenn.edu) (Shields A.E.) Nature Publishing Group, Houndmills, Basingstoke, Hampshire, United Kingdom.; ID: 2716</t>
  </si>
  <si>
    <t>20160100680 PUI L608028735</t>
  </si>
  <si>
    <t>10.1038/clpt.2010.267 FULL TEXT LINK http://dx.doi.org/10.1038/clpt.2010.267</t>
  </si>
  <si>
    <t>Schoberberger,R.;Groman,E.;Kunze,U.;Schmeiser-Rieder,A.;Bayer,P.;Kunze,M.;Author,Addresses;Institut fur Sozialmedizin, Universitat Wien Alser,Strasse A.;Wien,Austria;Correspondence,Address;Schoberberger, Institut fur Sozialmedizin Universitat Wien Alser,R.;Strasse,A. W.</t>
  </si>
  <si>
    <t>Therapeutic indication for smoking cessation therapy ORIGINAL (NON-ENGLISH) TITLE Die therapeutische indikation der rauchertherapie</t>
  </si>
  <si>
    <t>(MAJOR FOCUS);nicotine (pharmacology);alcohol;smoking cessation;substance abuse;alcohol consumption;article;general practitioner;health care system;human;inhalational drug administration;inhaler;outpatient;reimbursement;self help;alcohol (64-17-5);nicotine (54-11-5);Psychiatry (32);Drug Literature Index (37)</t>
  </si>
  <si>
    <t>According to scientific standards and many controlled studies, nicotine has been the only drug found to be effective in treating nicotine dependence. Many techniques, ranging from self help to sophisticated combined therapeutic approaches including pharmacological interventions, are now available to deal with the nicotine addiction. The health care system will learn how to use this new kind of intervention and to incorporate it into the 'classical' intervention-methods which include diagnosis, treatment, evaluation of therapy, relapse control and reimbursement. Existing approaches of therapeutic interventions, provided by general practitioners, by hospitals or in the framework of rehabilitation are presented. Also a very new strategy of intramural smoking cessation therapy, the project 'Josefhof', is discussed.</t>
  </si>
  <si>
    <t>(Schoberberger R.; Groman E.; Kunze U.; Schmeiser-Rieder A.; Bayer P.; Kunze M.); ID: 3399</t>
  </si>
  <si>
    <t>1012-9375</t>
  </si>
  <si>
    <t>1999407909 PUI L29548599</t>
  </si>
  <si>
    <t>Schrimsher,G. W.;Casey,L.;Nelson,J. S.;Overstreet,S. E.;Schaefer,D.;Williams,S. C.;Author,Addresses;Texas Tech,University;Health Sciences Center, Department of Psychiatry,Stop th;Street,Lubbock T. X. United States;School of,Medicine;Texas Tech University Health Sciences Center, Lubbock,T.X.United States;Department,of Cell;Biochemistry,Texas Tech;University Health Sciences Center, Lubbock,T.X.United States;Correspondence,Address;Schrimsher, Texas Tech University Health Sciences Center Department,G.W.;of Psychiatry, Stop th Street,Lubbock T.;States Email, gregory schrimsher,ttuhsc edu</t>
  </si>
  <si>
    <t>Substance use disorder education for medical students: Reflections on our Betty Ford Institute training experience</t>
  </si>
  <si>
    <t>alcoholism;medical education;medical student;personal experience;summer institute for medical students;alcoholics anonymous;education program;family centered care;health care personnel;health educator;human;patient care planning;review;treatment planning;Public Health, Social Medicine and Epidemiology (17);Psychiatry (32);Health Policy, Economics and Management (36)</t>
  </si>
  <si>
    <t>This article shares the personal reflections of four 3rd-year medical students and two faculty members from the Texas Tech University Health Sciences Center who participated in the Summer Institute for Medical Students (SIMS) program provided by the Betty Ford Institute. The SIMS program is a one-week experiential program of participating in treatment activities with patients and their family members at the Betty Ford Center as well as educational instruction on addiction as a treatable disease. We would like to share how the SIMS experience affected us as professionals and individuals and how we will incorporate this experience in our future efforts as health care providers and educators. Copyright â”¬âŒ Taylor &amp; Francis Group, LLC.</t>
  </si>
  <si>
    <t>(Schrimsher G.W., gregory.schrimsher@ttuhsc.edu) (Casey L.; Nelson J.S.; Overstreet S.E.; Schaefer D.) (Williams S.C.) Routledge, 325 Chestnut Street, Philadelphia, United States.; ID: 2698</t>
  </si>
  <si>
    <t>2011281122 PUI L361792682</t>
  </si>
  <si>
    <t>10.1080/07347324.2011.557981 FULL TEXT LINK http://dx.doi.org/10.1080/07347324.2011.557981</t>
  </si>
  <si>
    <t>Schroeder,S. A.;Werner,S. M.;Piemme,T. E.;Author,Addresses;Dept. Med,George Washington;Univ. Med. Sch, Washington D. C.;Correspondence,Address;Dept Med, George Washington Univ Med Sch,Washington D.</t>
  </si>
  <si>
    <t>4153009; Primary care in the academic medical centers: a report of a survey by the AAMC</t>
  </si>
  <si>
    <t>alcoholism;drug dependence;emergency;family;health education;management;medical care;medical center;medical research;medical school;postgraduate education;primary health care;public health service;questionnaire;teaching hospital;university hospital;classification;prevention;statistics;therapy;Health Policy, Economics and Management (36);Public Health, Social Medicine and Epidemiology (17)</t>
  </si>
  <si>
    <t>This report contains a summary of the responses to a survey questionnaire which was sent to all academic medical centers in the United States in April 1973 concerning programs in health services delivery and primary care education. The questionnaire dealt with five majors areas: ambulatory care teaching, prepaid medical care, new health practitioner education, graduate training in primary care, general issues, including programs in emergency care, alcoholism and drug abuse, health care research, and health care management and manpower. The survey demonstrates intense activity in the development of primary care programs within the academic medical centers over the past few years. The great variations in degree of program development, the disparate modes of governance of primary care programs and the frequency of requests for assistance in program development all support the impression that primary care education at the academic medical centers is in a period of transition.</t>
  </si>
  <si>
    <t>(Schroeder S.A.; Werner S.M.; Piemme T.E.); ID: 3916</t>
  </si>
  <si>
    <t>http://www.ncbi.nlm.nih.gov/pubmed/4153009</t>
  </si>
  <si>
    <t>Primary care in the academic medical centers: a report of a survey by the AAMC</t>
  </si>
  <si>
    <t>Schulte,S. J.;Meier,P. S.;Stirling,J.;Berry,M.;Author,Addresses;Manchester Metropolitan University, Department of,Psychology Elizabeth;Gaskell Campus,Manchester,M.J.A.United Kingdom;Correspondence,Address;Schulte, Manchester Metropolitan University Department of Psychology,S.J.;Elizabeth Gaskell Campus, Manchester M J A United,Kingdom Email;stahboubschulte@aus.edu</t>
  </si>
  <si>
    <t>20110712; Dual diagnosis competency among addiction treatment staff: Training levels, training needs and the link to retention</t>
  </si>
  <si>
    <t>drug dependence;professional competence;psychiatric diagnosis;staff training;adult;alcoholism;article;cocaine dependence;comorbidity;controlled study;drug dependence treatment;female;follow up;health personnel attitude;heroin dependence;human;major clinical study;male;medical staff;mood disorder;optimism;priority journal;United Kingdom;work experience;Public Health, Social Medicine and Epidemiology (17);Psychiatry (32);Drug Dependence, Alcohol Abuse and Alcoholism (40)</t>
  </si>
  <si>
    <t>Background: Dually diagnosed clients are described as one of the most challenging treatment populations, often leading to staff frustration, helplessness and negative attitudes. As yet it is unclear whether dual diagnosis (DD)-specific competency and therapeutic optimism among staff are related to client outcomes. Methods: The study used a 3-month follow-up design involving 124 DD clients starting treatment at 6 UK addiction services. Practitioners (n = 46) treating these clients were assessed regarding their DD specialisation levels. Cox regression analyses were performed to examine predictors of clients' 3-month retention rates. Results: Staff reported a median of 7 years work experience with DD clients, and 80% had received co-morbidity-specific training. Practitioners provided high average ratings on both the DD competency and the therapeutic optimism scale. Nevertheless, 78% of the sample indicated additional support needs in dealing with this client group. Higher levels of DD competencies among staff predicted better client retention. Conclusion: The increased provision of support packages for practitioners is vital for improving competency levels in dealing with DD clients, which in turn may lead to improved client outcomes. â”¬âŒ 2010 S. Karger AG, Basel.</t>
  </si>
  <si>
    <t>(Schulte S.J., stahboubschulte@aus.edu; Meier P.S.; Stirling J.; Berry M.) S. Karger AG, Allschwilerstrasse 10, P.O. Box, Basel, Switzerland.; ID: 2818</t>
  </si>
  <si>
    <t>1022-6877</t>
  </si>
  <si>
    <t>http://www.ncbi.nlm.nih.gov/pubmed/20110712</t>
  </si>
  <si>
    <t>10.1159/000277657 FULL TEXT LINK http://dx.doi.org/10.1159/000277657</t>
  </si>
  <si>
    <t>Dual diagnosis competency among addiction treatment staff: Training levels, training needs and the link to retention</t>
  </si>
  <si>
    <t>Schultz,A. S. H.;Dunford,E.;Atout,R.;Grymonpre,R.;Author,Addresses;College,of;Nursing,Faculty of Heath Sciences University of Manitoba Winnipeg;Canada;College of Pharmacy, Faculty of Heath Sciences,University of;Manitoba,Winnipeg Canada;College of Dentistry, Faculty of Heath Sciences,University of;Manitoba,Winnipeg Canada;Correspondence,Address;ASH Schultz, College of Nursing Faculty of Heath Sciences,University of;Manitoba,C. R. T.;annette.schultz@umanitoba.ca</t>
  </si>
  <si>
    <t>Situating tobacco dependency education in health professional prelicensure curricula: An interprofessional learning opportunity</t>
  </si>
  <si>
    <t>Canadian Journal of Respiratory Therapy</t>
  </si>
  <si>
    <t>tobacco smoke;education program;health practitioner;licensing;medical education;tobacco dependence;article;artificial ventilation;clinical decision making;cost effectiveness analysis;health care system;health hazard;human;passive smoking;patient care;patient safety;practice guideline;social work;tobacco use;treatment outcome;Public Health, Social Medicine and Epidemiology (17)</t>
  </si>
  <si>
    <t>The present commentary articulates several reasons to support integration of tobacco dependency treatment into health professional prelicensure education curricula. Evidence from the current literature suggests curriculum content specific to tobacco tends to address related health risks and advice to quit, with minimal knowledge or skill development to support prelicensure health professionals gaining self-efficacy and competence necessary to treat tobacco dependency within their emerging practice norm. Moreover, although the health effects of tobacco use and exposure to tobacco smoke reaches across ALL health professional practice areas, there is no evidence of interprofessional prelicensure education opportunities to address this health priority. We then highlight interprofessional education activities at the University of Manitoba (Winnipeg, Manitoba) with health and social service academic units, and briefly introduce an exciting new project specific to tobacco dependence treatment. We conclude by featuring involvement from the respiratory therapy community in addressing this health priority and in interprofessional endeavours.</t>
  </si>
  <si>
    <t>(Schultz A.S.H., annette.schultz@umanitoba.ca; Grymonpre R.) (Dunford E.) (Atout R.) Canadian Society of Respiratory Therapists, pubs@cma.ca; ID: 2160</t>
  </si>
  <si>
    <t>2368-6820 (electronic) 1205-9838</t>
  </si>
  <si>
    <t>20151005925 PUI L607162561</t>
  </si>
  <si>
    <t>Schumacher,J. E.;Engle,M.;Reynolds,K.;Houser,S.;Mukherjee,S.;Caldwell,E.;Kohler,C.;Phelan,S.;Raczynski,J. M.;Author,Addresses;University of Alabama at Birmingham, Medical,Towers Bldg;th Ave S, Birmingham,A.L.United States;Correspondence,Address;JE Schumacher, University of Alabama Medical Towers Bldg,th Ave;S,Birmingham A. L. United States</t>
  </si>
  <si>
    <t>10798512; Measuring self-efficacy in substance abuse intervention in obstetric practices</t>
  </si>
  <si>
    <t>clinical practice;drug dependence treatment;obstetrics;self concept;adult;article;female;human;male;medical education;medical staff;patient referral;pregnancy;staff training;Obstetrics and Gynecology (10);Public Health, Social Medicine and Epidemiology (17);Drug Dependence, Alcohol Abuse and Alcoholism (40)</t>
  </si>
  <si>
    <t>Background. This study presents findings on the effect of an office- based obstetrics training program (given the acronym OBIWOM) on substance use assessment, management, and referral self-efficacy among obstetricians and staff of private, community-based obstetric practices. Methods. Participants were obstetricians and staff from 10 of 27 available community-based, private obstetric practices in the target areas, for a practice participation rate of 37%. This study used a delayed treatment design to compare self-efficacy between practice staff randomly assigned to an immediate or delayed intervention group. Results. Self-efficacy increased significantly after intervention from baseline to first follow-up for the immediate group, while no change was shown for the delayed (control) group. The impact of the intervention on self-efficacy was replicated in the assessment construct only after the intervention for the delayed group. Conclusion. This research shows that education and training can effectively improve self-efficacy in obstetricians and their staff in the management of substance use and pregnancy.</t>
  </si>
  <si>
    <t>(Schumacher J.E.) (Engle M.; Reynolds K.; Houser S.; Mukherjee S.; Caldwell E.; Kohler C.; Phelan S.; Raczynski J.M.) Lippincott Williams and Wilkins, 530 Walnut Street, Philadelphia, United States.; ID: 3393</t>
  </si>
  <si>
    <t>http://www.ncbi.nlm.nih.gov/pubmed/10798512</t>
  </si>
  <si>
    <t>Measuring self-efficacy in substance abuse intervention in obstetric practices</t>
  </si>
  <si>
    <t>Schurtzmann,W.;Hartmann,U.;Gagel,D. E.;Schafer,D.;Author,Addresses;Zentrum,Psychologische;Medizin,Medizinische Hochschule Konstanty-Gutschow-Str Hannover;Germany;Correspondence,Address;Schurtzmann, Zentrum Psychologische Medizin Medizinische Hochschule,W.;Konstanty-Gutschow-Str,Hannover Germany</t>
  </si>
  <si>
    <t>Clients-characterization and catamnestic results of the addiction advisory service (ABAM) of Hannover's medical school (MHH) psychiatric department: A study of 500 patients in two-year period ORIGINAL (NON-ENGLISH) TITLE KLIENTEL UND KATAMNESTISCHE ERGEBNISSE DER ABHANGIGENAMBULANZ DER MEDIZINISCHEN HOCHSCHULE HANNOVER: EINE UNTERSUCHUNG AN 500 PATIENTEN IN EINEM ZWEIJAHRESZEITRAUM</t>
  </si>
  <si>
    <t>alcoholism;counseling;drug dependence;suicidal behavior;adult;article;female;human;human relation;major clinical study;male;unemployment;Psychiatry (32);Drug Dependence, Alcohol Abuse and Alcoholism (40)</t>
  </si>
  <si>
    <t>ABAM is a special ambulatory surgery for people using alcohol, psychotropic medication, drugs or having other addiction problems. It forms an integral part of the department of 'Clinical Psychiatry' and offers comprehensive advice, counseling, and referral to further treatment modalities. This study consists of two components and was performed to characterize ABAM-patients at first contact and at follow-up to develop hypotheses about interdependencies between addiction and social conditions and to evaluate the services provides. All 503 patients presenting to ABAM in an two-year period were monitored and examined by a self-designed questionnaire (40 items) addressing relevant personal, addiction and treatment-related data. Catamnesis was carried out approximately two years after the first ABAM-contact. The follow-up questionnaire consisted of 22 items and gave ample room for additional comments on the counseling situation and the services provided by ABAM. 93% of the patients included in the two-year survey presented with alcohol problems, 2/3 were male, mean age was 39 years. Results showed significant sex differences for items like education, legal problems or suicidal behavior. In the follow-up study, the data of 139 patients could be analyzed (response rate: 60%). Prognostic variables indicating an unfavorable course of addiction were: Unemployment, loss of accommodation, debts, no steady partner or living alone, preference for beer, relatives with addiction problems (especially mothers), intoxicated appearance at ABAM, history of suicidal attempts. Data analyses revealed a relationship between the social situation of the patients and the assessment of the counseling situation. While almost 80% retrospectively judged the service to be helpful, single living addicts gave more notes. Our results suggest that the concept of ABAM could provide adequate counseling or treatment for most of its patients. More emphases and flexible services with easy access to withdrawal facilities are needed to meet the specific problems of patients with unfavorable conditions or of special subgroups like misusers of psychoactive medication. Effective monitoring and evaluation are important prerequisites for assuring the quality of clinical work.</t>
  </si>
  <si>
    <t>(Schurtzmann W.; Hartmann U.; Gagel D.E.; Schafer D.); ID: 3587</t>
  </si>
  <si>
    <t>1994037213 PUI L24043523</t>
  </si>
  <si>
    <t>Clients-characterization and catamnestic results of the addiction advisory service (ABAM) of Hannover's medical school (MHH) psychiatric department: A study of 500 patients in two-year period ORIGINAL (NON-ENGLISH) TITLE KLIENTEL UND KATAMNESTIS(TRUNCATED)</t>
  </si>
  <si>
    <t>Schuurmans,M.;Tomaszek,S.;Schneiter,D.;Weder,W.;Hillinger,S.;Author,Addresses;Pulmonology,University Hospital Zâ”œâ•rich Zâ”œâ•rich;Switzerland;Thoracic,Surgery;University,Hospital Z.;Correspondence,Address;Schuurmans, Pulmonology University Hospital Zâ”œâ•rich Zâ”œâ•rich Switzerland,M.</t>
  </si>
  <si>
    <t>Smoking prevention intervention with school classes at a university hospital by thoracic surgeon and pulmonologist</t>
  </si>
  <si>
    <t>Journal of Thoracic Oncology</t>
  </si>
  <si>
    <t>S486</t>
  </si>
  <si>
    <t>human;lung cancer;prevention;pulmonologist;school;school child;smoking;thorax surgery;tobacco;university hospital;anatomic model;child;health;hospital;interview;lung;lung function test;medical specialist;patient;physician;questionnaire;smoking cessation;teaching;tobacco consumption;videorecording</t>
  </si>
  <si>
    <t>Background: Smoking prevention in schoolchildren with the aim to inform and prevent smoking initiation has been widely studied and has shown variable results. Interventions provided by physicians in a hospital setting have been rarely reported. Here we show the feasibility and gain of knowledge of our smoking prevention project in a hospital setting. Methods: Interventions performed from November 2009 - December 2014 were evaluated. Overall 790 children participated in our preventive intervention. A 7-item questionnaire was provided to the school classes (Grades 6 to 10) before and after a two-hour smoking prevention intervention consisting of anatomical models, oral presentations, videos, patient interviews and hands-on lung function tests. The goal was to show the anatomical and physiological basics as well as agebased information about the harms of smoking. During the intervention the children have been motivated to be actively involved. Class selection has been performed for groups of children in a highly vulnerable phase of age before smoking initiation. Results: The baseline questionnaire was completed by 768 children, the one after intervention by 719. The knowledge about which organs are affected by smoking increased from 7.1-99.3% to 64.5-99.5% (p&lt;0.01). While only 58.9% knew that only a minority of people is able to quit smoking successfully, 96.3% answered the question correctly after intervention (p&lt;0.001). Prior to the intervention only 75.6% believed that minor tobacco consumption is not damaging which increased to 87.8% after the teaching session (p&lt;0.05). Smoking hookah was believed to be less harmful than cigarettes by 32.2% of children decreasing to 8.3% after the intervention (p&lt;0.001). Conclusion: Information on health effects provided by lung specialists in the hospital leads to a statistically significant increase in knowledge as assessed by a short questionnaire. The intervention is feasible and well received. This kind of interventions might help to prevent schoolchildren from smoking in a highly vulnerable phase of age.</t>
  </si>
  <si>
    <t>(Schuurmans M.) (Tomaszek S.; Schneiter D.; Weder W.; Hillinger S.) 16th World Conference on Lung Cancer Denver, CO, United States 2015-09-06 to 2015-09-09 Lippincott Williams and Wilkins; ID: 2072</t>
  </si>
  <si>
    <t>1556-0864</t>
  </si>
  <si>
    <t>Scott,J.;Aronsohn,A. I.;Irvin,R.;Kowdley,K. V.;Kleinman,M.;Johnson,D.;Millman,A. J.;Author,Addresses;Medicine,University of Washington Seattle United States;Medicine,University of Chicago Chicago United States;Medicine,Johns Hopkins University School of Medicine Baltimore;United,States;Medicine,Swedish Providence Health Seattle United States;Maryland,Department of;Mental Hygiene,Baltimore;United,States;Pediatrics,University of Chicago Chicago United States;Centers,of Disease;Prevention,Atlanta United;States;Correspondence,Address;Scott, Medicine University of Washington Seattle United States,J.</t>
  </si>
  <si>
    <t>Improving primary care training for the evaluation and therapy of hepatitis C in the community-based test and cure of hepatitis C program</t>
  </si>
  <si>
    <t>Hepatology</t>
  </si>
  <si>
    <t>66 Supplement 1</t>
  </si>
  <si>
    <t>311A</t>
  </si>
  <si>
    <t>general practitioner;hepatitis C;addiction;adult;case management;communicable disease;consultation;curriculum;female;Hepatitis C virus;human;Illinois;major clinical study;male;Maryland;mentor;nonhuman;outcome assessment;psychiatry;public health;scale up;teaching;teleconference;training</t>
  </si>
  <si>
    <t>Background: With simplified screening guidelines for hepatitis C virus (HCV) and improved therapies, more patients have been identified and are eligible for therapy, yet access to specialist care is limited particularly in rural and underserved communities. Restrictions by payers further limit PCPs ability to prescribe HCV antivirals. AASLD guidelines recommend that primary care practitioners (PCP) participate in models of care involving collaboration between PCPs and specialists. We describe three training programs for PCPs and their impact on treatment access. Methods: The CDC supported a 4 year community-based initiative to improve testing and care of HCV-infected patients at three sites (Seattle-King County, Chicago, and Baltimore) beginning in September 2014. Sites developed PCP training programs applying various methodologies including an online curriculum, mentored teleconferences (Project ECHO (Extension for Community Health Outcomes)), large group didactics, and in-clinic mentorship. Consultations are provided by Infectious Disease, Hepatology, Addiction Medicine and Psychiatry experts. The curriculum included teaching on HCV clinical care as well as methods for addressing case management and prior authorization approvals. Results: Data in Table 1 describe the number of PCP trained, the number of clinics with trained providers contributing data on HCV treatment, and the number of patients treated at clinics with trained providers contributing data on HCV treatment, based on training site and methods used. Conclusion: Training of PCPs through the Community-based Test and Cure of Hepatitis C Program allowed for treatment of Î“Ãªâ•700 patients in clinics not otherwise authorized to provide HCV treatment. Educational partnerships between PCPs and specialists can effectively scale up the number of providers able to provide HCV care and treatment. Various training models for PCPs can increase patient access to curative HCV treatment in primary care settings while ensuring the delivery of HCV-directed care (Table presented).</t>
  </si>
  <si>
    <t>(Scott J.) (Aronsohn A.I.) (Irvin R.) (Kowdley K.V.) (Kleinman M.) (Johnson D.) (Millman A.J.) 68th Annual Meeting of the American Association for the Study of Liver Diseases, AASLD 2017 Washington, DC, United States 2017-10-20 to 2017-10-24 John Wiley and Sons Inc.; ID: 1774</t>
  </si>
  <si>
    <t>1527-3350</t>
  </si>
  <si>
    <t>Seâ”¼Ã¤,M.;Feliâ”¼Ã¤czak,A.;Grzebieluch,J.;Kurpas,D.;Bielska,D.;Wojtal,M.;Sochocka,L.;Taranowicz,I.;Author,Addresses;Katedra,Zdrowia Publicznego;Organizacji,I. Z.;Katedra,I. Z.;Wrocâ”¼Ã©awiu;Paâ”¼Ã¤stwowa Medyczna,Wyzsza Szko;Zaklad Medycyny Rodzinnej,I.Pielegniarstwa Srodowiskowego;Akademii Medycznej,W. Bialymstoku;Instytut Pielâ•šâŒgniarstwa Paâ”¼Ã¤stwowej,Medycznej;Wyzszej Szkoâ”¼Ã©y Zawodowej, W. Opolu;Katedra,Zdrowia Publicznego;Pielâ•šâŒgniarstwa Spoâ”¼Ã©ecznego Am, ul,Bartla Wroc;Correspondence,Address;M.,M.Seâ”¼Ã¤, Katedra Zdrowia Publicznego Zakâ”¼Ã©ad Pielâ•šâŒgniarstwa Spoâ”¼Ã©ecznego A.;ul Bartla, Wrocâ”¼Ã©aw Email marisen wzp am,wroc pl</t>
  </si>
  <si>
    <t>The level of knowledge of Department of Public Health students on noxiousness of tobacco smoking ORIGINAL (NON-ENGLISH) TITLE Stan wiedzy studentâ”œâ”‚w Wydziaâ”¼Ã©u Zdrowia Publicznego Akademii Medycznej we Wrocâ”¼Ã©awiu na temat zagroâ”¼â•eâ”¼Ã¤ wynikajaâ• Âºcych z palenia tytoniu</t>
  </si>
  <si>
    <t>cigarette smoking;college student;professional knowledge;public health service;adult;article;cardiovascular disease (etiology);cause of death;diagnostic approach route;education program;hazard assessment;health education;health promotion;health survey;human;interview;lung disease (etiology);malignant neoplasm (etiology);medical assessment;normal human;smoking cessation;Public Health, Social Medicine and Epidemiology (17)</t>
  </si>
  <si>
    <t>Background. The knowledge of Department of Public Health students at Wroclaw University of Medicine, concerning hazards of cigarettes smoking. Smoking of cigarettes is one of the main causes of a heart attack, a stroke and also lung diseases and cancers. This is the most serious exogenous risk factor but it can be avoided. The whole society incur wholesome and social effects of being subjected to smoking of cigarettes. Smoking cessation should be one of the main aims in cardiovascular and cancer diseases prevention which should be realized by health care professionals. Objectives. The aim of the study was to assess the level of knowledge of Department of Public Health students on noxiousness of smoking cigarettes as this is the main cause of cancer, cardiovascular and lung diseases. Material and methods. The diagnostic interview method was used in the research. The interview questionnaire was the research tool. It consisted of 13 questions. Results. 393 Public Health Department students took part in the research. They agreed to fulfill the questionnaire. Conclusions. The results of the survey showed that Department of Public Health students had insufficient knowledge to take active part in professional prophylactic and educational activities against tobacco addiction in the society. â”¬âŒ Copyright by Wydawnictwo Continuo.</t>
  </si>
  <si>
    <t>(Seâ”¼Ã¤ M., marisen@wzp.am.wroc.pl; Feliâ”¼Ã¤czak A.; Grzebieluch J.; Taranowicz I.) (Kurpas D.) (Bielska D.) (Wojtal M.; Sochocka L.) (Seâ”¼Ã¤ M., marisen@wzp.am.wroc.pl) Wydawnictwo Continuo, ul.lelewela 4, Wroclaw woj.dolnoslaskie, Poland.; ID: 3035</t>
  </si>
  <si>
    <t>2007510195 PUI L47605507</t>
  </si>
  <si>
    <t>The level of knowledge of Department of Public Health students on noxiousness of tobacco smoking ORIGINAL (NON-ENGLISH) TITLE Stan wiedzy studentÃ¢â€Å“Ã¢â€â€šw WydziaÃ¢â€Â¼ÃƒÂ©u Zdrowia Publicznego Akademii Medycznej we WrocÃ¢â€Â¼ÃƒÂ©awiu na temat zagroÃ¢â€Â¼Ã¢â€¢ÂeÃ¢â€(TRUNCATED)</t>
  </si>
  <si>
    <t>Sellery,C. M.;Author,Addresses;Hlth Educ Serv, Los Angeles City Sch Los,Angeles Calif;Correspondence,Address;Hlth Educ Serv, Los Angeles City Sch Los,Angeles Calif</t>
  </si>
  <si>
    <t>4583460; The active role of schools in mental health as seen in retrospect and prospect</t>
  </si>
  <si>
    <t>J.Sch.Hlth</t>
  </si>
  <si>
    <t>drug dependence;health education;medical education;mental health;school;school hygiene;child;methodology;Public Health, Social Medicine and Epidemiology (17);Pediatrics and Pediatric Surgery (7);Psychiatry (32)</t>
  </si>
  <si>
    <t>(Sellery C.M.); ID: 3930</t>
  </si>
  <si>
    <t>http://www.ncbi.nlm.nih.gov/pubmed/4583460</t>
  </si>
  <si>
    <t>The active role of schools in mental health as seen in retrospect and prospect</t>
  </si>
  <si>
    <t>Shah,M.;Sreeramareddy,C. T.;Author,Addresses;University of,Health Sciences;Medical College, Faculty of,Medicine Pakistan;Correspondence,Address;Lahore Medical College Faculty,M.Shah, University of Health Sciences C.M.H.;of Medicine,Pakistan</t>
  </si>
  <si>
    <t>Tobacco smoking practices among medical students and their attitude towards teaching about tobacco smoking in Medical Schools: A questionnaire-based survey from a Pakistani Medical School</t>
  </si>
  <si>
    <t>European journal of medical research</t>
  </si>
  <si>
    <t>Eur.J.Med.Res.</t>
  </si>
  <si>
    <t>ion;human;medical school;medical student;questionnaire;scientist;smoking;student;teaching;counseling;curriculum;developing country;education;female;friend;Likert scale;male;model;multivariate analysis;Pakistan;patient;physician;prevalence;smoke;smoking cessation;smoking habit;tobacco;tobacco dependence;world health organization</t>
  </si>
  <si>
    <t>Background: Global medical school survey has reported that tobacco smoking issues in developing countries are often taught in a systematic way on as and when topic arose basis. WHO-GHPSS has suggested that an integrated tobacco module should be introduced into the existing medical school curricula. Objectives: To assess medical students' tobacco smoking habits, their practices towards patients' smoking habits and attitude towards teaching about smoking in medical schools. Methods: A cross-sectional survey was carried among 3 rd and 4 th year undergraduate medical students at CMH Lahore Medical College, Pakistan. A questionnaire was developed after reviewing available literature and validated. Questionnaire had demographic information, students' current practices about patients' tobacco smoking habits attitude towards tobacco education in medical schools and rating the contents of tobacco module in a five point likert scale. Questions about tobacco smoking habits were adapted from GHPSS questionnaire. Questionnaire was anonymous, self-administered and participation was voluntary. Results: Overall response rate was 80.5% (161/200). Median age was 21 years while 34.8% were males and 65.2% were female. Prevalence of 'ever smokers' (not smoked during previous 30 days but had tried in the past even if once or twice) and 'current smokers' (smoked during previous 30 days) was 28.6% and 9.3% respectively. On multivariate analysis 'ever smoking' was associated with at least one friend smokes (OR 2.9 95% CI 1.3 6.8). Counselling, assessment of willingness to quit and assisting patient to quit smoking, were never, rarely or sometimes (70-80%) done. Doctors' role in tobacco control being role models, their competency about smoking cessation and facilities for smoking cessation, 75% to 90% of respondents agreed/strongly agreed. Nearly 75% agreed that medical schools should teach about tobacco cessation. Nearly 75% agreed that current curriculum teaches about tobacco smoking non-systematically and should include a separate module. Majority (80%-90%) of the students indicated treatment of nicotine addiction as important. Conclus ion: Medical students were not practicing smoking cessation methods during clerkships. Students indicated that current curriculum was inadequate and were positive towards adopting a separate module on tobacco education. Teaching about tobacco smoking should be improved in medical school curricula.</t>
  </si>
  <si>
    <t>(Shah M.; Sreeramareddy C.T.) 21st European Students' Conference. Promising Medical Scientists Willing to Look Beyond Berlin, Germany 2010-10-13 to 2010-10-17 BioMed Central Ltd.; ID: 2755</t>
  </si>
  <si>
    <t>0949-2321</t>
  </si>
  <si>
    <t>Shah,R.;Author,Addresses;Civil,Mnop New Resident Hostel New;Hospital,Majuragate Surat Gujarat India;Correspondence,Address;Shah, Mnop New Resident Hostel New Civil Hospital Majuragate,R.;Surat,Gujarat India</t>
  </si>
  <si>
    <t>To study internet profilre and use amongest medical students</t>
  </si>
  <si>
    <t>awareness;education;Internet;internet addiction;medical student;social network;cross-sectional study;human;informed consent;internet sex;major clinical study;structured questionnaire</t>
  </si>
  <si>
    <t>Background: Internet has become an integral part of daily lives of people. Internet is not an exception to addiction, as discussed in many studies conducted. But there are very few studies focusing on the addiction of various domains of internet use. After Introduction of Private Chat Rooms (PCR), there has been shift in the purpose of use of internet. And due to that, possibility of exploitation and addiction leading to impairment in academic performance and emotional balance in medical students, using such domains; cannot be denied.Thus this study was Aimed to measure the degree of Internet use in 10 domains of internet viz. Social networking (SN), PCR to Gaming to Cybersex among medical students. Method: A cross sectional study on 232 medical students, was performed. After written informed consent, Focused Group Discussion on areas of use of Internet was done. Semi structured questionnaire including Young'sInternet addiction test, Knowledge Attitude and Practices questionnaire was applied. Result: Amongst the study population (n=232, male=91(39.2%), female=141(60.8%). Females were more addictive in PCR(p=0.0089). 80% participants saw preference for Internet use for PCR and SN. In PCR, Moderate (34.48%) and severe addiction (0.86%) was found, which was highest amongst any other domains. 20% participants showed mild addiction in education and information domain. 40.5% of participants tried to cut down the time they spent on PCR but failed and 60.7% participant use PCR as soon as they wake up. Conclusion: Internet usage for the purpose of PCR (WhatsApp) was very high among the medical students especially females. Despite adequate knowledge about advantages and disadvantages (including decline in academic performance and personal health) of Internet use, it did not reflect in practices, they used internet up to addictive level and did not consider need for help. Hence further exploration, awareness, and intervention are suggested.</t>
  </si>
  <si>
    <t>(Shah R., ravishah3009@gmail.com) 68th Annual National Conference of the Indian Psychiatric Society, ANCIPS 2016 Bhopal, India 2016-01-21 to 2016-01-24 Medknow Publications; ID: 2018</t>
  </si>
  <si>
    <t>Shah,S. I.;Author,Addresses;Johns Hopkins University School,of Medicine;Maryland,U. S. A.;Correspondence,Address;SI Shah, Johns Hopkins University School of Medicine,Baltimore Maryland;Usa</t>
  </si>
  <si>
    <t>9609850; Keeping the faith</t>
  </si>
  <si>
    <t>Academic medicine : journal of the Association of American Medical Colleges</t>
  </si>
  <si>
    <t>clinical education;cocaine dependence (rehabilitation);doctor patient relation;article;human;male</t>
  </si>
  <si>
    <t>(Shah S.I.); ID: 3454</t>
  </si>
  <si>
    <t>http://www.ncbi.nlm.nih.gov/pubmed/9609850</t>
  </si>
  <si>
    <t>Keeping the faith</t>
  </si>
  <si>
    <t>Shak,E. B.;Abramowitz,S.;Berry,L.;Author,Addresses;Alameda County Medical Center, Oakland,United States;Alameda Health System, Oakland,United States;Highland Hospital,Oakland,United States;Ucsf,San Francisco United States;Correspondence,Address;EB Shak, Highland Hospital Oakland,United States</t>
  </si>
  <si>
    <t>Pre-medical student health coaching: A feasible and innovative primary care team learning opportunity</t>
  </si>
  <si>
    <t>S698</t>
  </si>
  <si>
    <t>general practitioner;learning;premedical student;adult;African American;behavioral addiction;California;career;clinical outcome;college;controlled study;doctor patient relation;educational model;health behavior;human;interview;lowest income group;major clinical study;medicaid;medicine;motivational interviewing;outpatient;Pacific Islander;perception;pipeline;psychiatrist;public hospital;resident;self care;skill;telephone;volunteer</t>
  </si>
  <si>
    <t>NEEDS AND OBJECTIVES: The U.S. faces a critical shortage of primary care physicians (PCPs) to treat a growing population with multiple chronic conditions. Yet primary care residency programs, especially those serving low-income patients, face recruitment difficulties. We describe a project that places pre-medical students into primary care residency teams as outpatient health coaches (HCs) in an effort to develop a new generation of future PCPs with a positive experience in team-based primary care. This educational model employs physician-HC teams to engage patients in selfmanagement skills, improve student and resident perceptions of primary care, and familiarize residents with utilizing health coaching during the clinic visit. SETTING AND PARTICIPANTS: Our resident clinic is located in Alameda Health System's Highland Hospital, an Oakland, California public hospital serving a culturally diverse and predominantly low-income Medicaid and county-insured population. Premedical student volunteers are recruited from local colleges and trained in motivational interviewing and self-management support. Students are then teamed with two to three primary care medicine residents and/or one to two attending PCPs under the supervision of a behavioral and addiction medicine psychiatrist. The HCs were 77% minorities (Asian/Pacific Islander, African-American or Latin-American), and they ranged in age from 21 to 46 (with a median age of 25). DESCRIPTION:We enhance the primary care team at the point of care through the addition of health coaching. The HCs spend five hours weekly in the clinic, where they: 1) observe the doctor-patient interview, 2) provide on-site health coaching to patients, and 3) engage patients in telephone follow-ups. On average, 250 patients were coached during each academic year. EVALUATION: Anonymous surveys and feedback discussions were used to assess the impact of this educationalmodel on 22 pre-med health coaches, their resident partners, and attendings. Of respondents, 83% of the coaches who entered with an interest in primary care remained interested in primary care. Of those who did not initially indicate primary care as an interest, 55%indicated it as a practice interest after participation. HCs reported a more realistic view of primary care medicine and felt that the experience better defined their reasons for entering medicine. They felt it was especially useful to learn from their underserved patients about the many health behavior barriers they face. DISCUSSION/REFLECTION/LESSONS LEARNED: With the goal of creating a pipeline into primary care careers, we have found a model that may help to achieve this objective. Most students who participated in this project were positively influenced towards primary care and the underserved. In addition, residents valued partnering with HCs and gained experience participating in a modern healthcare team. Future directions include continued tracking of participants' career paths and patients' health metrics to determine the impact of HCs on clinical outcomes.</t>
  </si>
  <si>
    <t>(Abramowitz S.) (Berry L.) (Shak E.B.) 40th Annual Meeting of the Society of General Internal Medicine, SGIM 2017 Washington, DC, United States 2017-04-19 to 2017-04-22 Springer New York LLC; ID: 1816</t>
  </si>
  <si>
    <t>Shanahan,C. W.;Gamble,O.;Holmdhal,I.;Keosaian,J.;Xuan,Z.;Larochelle,M.;Liebschutz,J. M.;Author,Addresses;Boston University, Boston Medical Center,Boston United;States;Boston University, School of Medicine,Boston United;States;Boston University, School of Medicine,Boston Medical;Center,Boston United States;Boston,Medical Center;States;Boston University, School of Public,Health Boston;United,States;Correspondence,Address;CW Shanahan, Boston University Boston Medical Center,Boston United;States</t>
  </si>
  <si>
    <t>Predictors of perioperative opioid prescribing and consumption</t>
  </si>
  <si>
    <t>S282</t>
  </si>
  <si>
    <t>S283</t>
  </si>
  <si>
    <t>(MAJOR FOCUS);opiate;alcohol;morphine;oxycodone;unclassified drug;prescription;adult;alcohol consumption;ambulatory surgery;analgesia;chronic pain;clinical trial;controlled study;drug therapy;endoscopy;ethnicity;female;gender;human;linear regression analysis;major clinical study;male;malignant neoplasm;middle aged;monitoring;observational study;opiate addiction;pain assessment;pain severity;patient education;postoperative pain;race;safety net hospital;surgeon;surgery;alcohol (64-17-5);morphine (52-26-6, 57-27-2);opiate (53663-61-9, 8002-76-4, 8008-60-4);oxycodone (124-90-3, 76-42-6)</t>
  </si>
  <si>
    <t>BACKGROUND: Overprescribing of opioids for post-operative pain may lead to diversion and misuse. We analyzed data from a prospective observational study of patients undergoing elective ambulatory surgery to assess predictors of surgeons' prescribing and patients' use of opioid analgesic medications. METHODS: We surveyed patients one week prior to and 10-14 days after ambulatory surgery at an academic safety-net hospital. Seven surgical specialties performed the procedures. We excluded cancer-related surgeries and procedures not expected to require post-operative pain management (e.g. endoscopies). Baseline data included socio-demographics (age, gender, race/ethnicity), chronic pain severity and function in the past three months (Graded Chronic Pain Scale), and high-risk alcohol and drug use (AUDIT and DUDIT). Primary outcomes were total opioids prescribed and consumed (morphine milligram equivalents (MMEs)), and percent of unused opioids. We used multivariable linear regression, adjusted for surgical specialty, to analyze associations of sociodemographics, chronic pain, and high-risk substance use with all outcomes. We calculated intra-class correlations to partition variance in each outcome attributable to surgical specialties. RESULTS: Eighteen surgeons performed surgery on 150 patients (54% female, 44% white, 34% black; mean age: 49 years). Surgeons prescribed opioids for post-operative pain to 95% of patients, 85% of whom received oxycodone. Surgeons prescribed a mean of 242 MMEs per patient; however, patients reported using a mean of 116MMEs per patient (48%). On average, a 10-year increase in patient age was associated with 12MMEs fewer prescribed opioids (p &lt; 0.01). Intra-class correlations attributed for 19% of the variance in opioid prescribing to surgical specialty with significant differences between specialties (F = 5.8, p &lt; 0.001). Surgical specialty accounted for 4.1 and 4.5% of the variance in the amount of opioids consumed and percent unused, respectively. Each one-point increase in the pre-operative Graded Chronic Pain scale was associated, on average, with an 18 MME increase in opioid consumption (p &lt; 0.01), and 5% fewer unused opioids (p = 0.03). Prior opioid prescription was associated with a 55 MME increase in opioid consumption (p = 0.03), and 19% fewer unused opioids (p = 0.03). High-risk drug use, on average, trended towards 9% fewer unused opioids (p = 0.05). CONCLUSIONS: Patients use less than 50% of opioid analgesic medications prescribed for post-operative pain control. Patient age predicts post-operative opioid prescribing. Chronic pain, risky drug use, and prior opioid prescription predict higher post-operative opioid consumption. Surgical specialty accounts for a substantial portion of variance in post-operative opioid prescribing when compared to other variables. Opportunities to improve post-operative opioid prescribing include system changes among surgical specialties, and targeted patient education and monitoring.</t>
  </si>
  <si>
    <t>(Shanahan C.W.) (Liebschutz J.M.) (Larochelle M.) (Gamble O.; Holmdhal I.; Keosaian J.) (Keosaian J.; Xuan Z.) 40th Annual Meeting of the Society of General Internal Medicine, SGIM 2017 Washington, DC, United States 2017-04-19 to 2017-04-22 Springer New York LLC; ID: 1829</t>
  </si>
  <si>
    <t>Shankar,A.;Rath,G. K.;Bhandari,R.;Julka,P. K.;Kishor,K.;Author,Addresses;Radiation;Oncology,All India Institute of Medical Sciences New Delhi India;Correspondence,Address;Shankar, Radiation Oncology All India Institute of Medical Sciences New,A.;Delhi,India</t>
  </si>
  <si>
    <t>Level of awareness of lung cancer risk factors, signs, symptoms and safe practices among college teachers of different states in India: Do awareness programmes have an impact on adoption of safe practices?</t>
  </si>
  <si>
    <t>alcohol;cancer risk;college;human;India;lung cancer;risk factor;teacher;addiction;alcoholism;coughing;e-mail;habit;health care personnel;hemoptysis;lifestyle;neoplasm;passive smoking;physician;prevention;publication;questionnaire;smoking;software;statistical significance;thorax;thorax pain;tobacco;tuberculosis;voice change</t>
  </si>
  <si>
    <t>Aim: The aim of this study was to determine the impact of awareness programmes on change in adoption of safe practices in prevention and early detection. Methods: This assessment was part of pink chain campaign on cancer awareness. During the events in 2011- 2013 at various womens colleges in various states in India, Pre test was followed by awareness program consisting of lectures on preventive aspects of lung cancer with special note of tobacco and smoking and an interactive session. Post test using the same questionnaire was conducted at the end of the interactive session. Literatures related to cancer awareness were sent regularly for one year to email ids provided. After 6 months and 1 year, the same questionnaires were mailed to the participants to see the changes in practice. Data were collected and analyzed by using statistical software STATA 10.1. P values less than 0.05 were taken as significant. Results: A total of 1257 out of 1346 teachers participated in the study (93.38%). The same questionnaire was answered by 1109 and 795 teachers at the end of 6 and 12 months, respectively. Mean age was 42.46 years (28-59 yrs). Among teachers, 31.42% were smokers and 35.73% were alcoholic. Correct risk factors mostly indicated by teachers were smoking (89%), Secondhand smoke (37%), and tuberculosis (36%). Lung cancer symptoms known to teachers were Persistent cough (24%), hemoptysis (36%), chest pain (12%), and voice change (12%). Magazines and newspapers were sources for knowledge in 60%, and 30% of teachers were educated by doctors. There was a significant increase in knowledge regarding lung cancer at 6 months and this was sustained at 1 year with significant changes in smoking and alcohol habits. Major reasons not going for checkup were ignorance (50%), lethargic attitude (44.87%) and lack of time (34.61%). 3.81% teachers contacted us within 1 year for chest complaints. Three teachers (0.23%) were found to be positive for cancer, and one for lung cancer. Conclusions: Knowledge of lung cancer was very low among teachers. Though there was significant change in addiction habits, there was not much improvement in people undergoing regular check ups. To inculcate safe practices in the lifestyle of people, awareness programmes such as the pink chain campaign should be conducted more widely and frequently. Further, creating awareness among health care providers is another issue which has to be looked into.</t>
  </si>
  <si>
    <t>(Shankar A.; Rath G.K.; Bhandari R.; Julka P.K.; Kishor K.) 4th European Lung Cancer Conference, ELCC 2014 Geneva, Switzerland 2014-03-26 to 2014-03-29 International Association for the Study of Lung Cancer; ID: 2251</t>
  </si>
  <si>
    <t>10.1097/JTO.0000000000000131 FULL TEXT LINK http://dx.doi.org/10.1097/JTO.0000000000000131</t>
  </si>
  <si>
    <t>Shankar,P. R.;Palaian,S.;Gyawali,S.;Mishra,P.;Mohan,L.;Author,Addresses;Department,of;Pharmacology,Manipal College of Medical Sciences Pokhara Nepal;Correspondence,Address;PR Shankar, Department of Pharmacology Manipal College,of Medical;Sciences,Pokhara Nepal Email ravi dr shankar gmail com</t>
  </si>
  <si>
    <t>17565377; Personal drug selection: problem-based learning in pharmacology: experience from a medical school in Nepal</t>
  </si>
  <si>
    <t>PloS one</t>
  </si>
  <si>
    <t>clinical pharmacology;drug screening;medical education;medical student;problem based learning;article;education;female;human;male;medical school;methodology;Nepal;psychological aspect;standard;teaching</t>
  </si>
  <si>
    <t>(Shankar P.R.; Palaian S.; Gyawali S.; Mishra P.; Mohan L.); ID: 3012</t>
  </si>
  <si>
    <t>1932-6203 (electronic)</t>
  </si>
  <si>
    <t>http://www.ncbi.nlm.nih.gov/pubmed/17565377</t>
  </si>
  <si>
    <t>Sharf,S. E.;Shea,T. C.;Armistead,P. M.;Kasow,K. A.;Alexander,M.;Covington,D.;Sharf,A.;Riches,M. L.;Author,Addresses;Adult;Pediatric Stem Cell,Transplant Program;North Carolina, Chapel Hill,United States;Division of,Hematology Oncology;University of North Carolina, Chapel Hill,United States;University of North Carolina, Chapel,Hill United;States;Department of Pharmacy, U N C Medical Center,North Carolina;Cancer Hospital, Chapel Hill,United States;Bone Marrow Transplant, U N C Hospitals Chapel,Hill United;States;Correspondence,Address;S.E. Sharf,Adult;Pediatric Stem Cell,Transplant Program;North Carolina, Chapel Hill,United States</t>
  </si>
  <si>
    <t>Creating a complex case review committee to review psychosocial barriers to HSCT</t>
  </si>
  <si>
    <t>Biology of Blood and Marrow Transplantation</t>
  </si>
  <si>
    <t>alcohol;cannabis;case study;adult;caregiver;conference abstract;ethics;expectation;female;health hazard;hematopoietic stem cell;human;human cell;major clinical study;male;nonhuman;outpatient;patient referral;practice guideline;social support;substance abuse;substance use;tobacco;transplantation;alcohol (64-17-5);cannabis (8001-45-4, 8063-14-7)</t>
  </si>
  <si>
    <t>While objective physical barriers affecting outcomes for hematopoietic stem cell transplant (HSCT) candidates exist, psychosocial barriers with potential consequences are more subjective and harder to quantify but also important for determining transplant outcomes. Psychosocial barriers may be due to limited social support, constrained resources, and/or impaired coping mechanisms. At our institution, despite obtaining a comprehensive psychosocial evaluation pretransplant, the approach to management of identified problems varied between providers. Unfortunately, this resulted in concerns from inpatient staff and post-transplant providers due to perceived inconsistencies regarding patient/caregiver expectations. Consequently, more thorough discussions and clearer standards for addressing psychoso-cial concerns needed to occur pre-transplant. In 2014, we created the BMT Complex Case Review Committee (CCRC) to address psychosocial concerns with the intent to provide candidates the best tools to augment their potential for success after transplant. Input from the hospital's Legal and Ethics departments was incorporated into the initial development of the committee structure including referral guidelines, committee member qualifications, meeting frequency, and methods to convey recommendations. Because repetitive themes prompting referral to this committee were identified, such as substance abuse, lack of a reliable caregiver plan or history of non-compliance, creation of and/or modification to several programmatic guidelines and policies occurred as the CCRC evolved. These include 1) creation of patient-focused educational material outlining potential health risks of continued substance use (ex: tobacco, alcohol, marijuana); 2) clear programmatic policies addressing compliance criteria that must be met prior to admission; and, 3) a "Patient Agreement" form to be reviewed with each patient and acknowledged via signature pre-transplant. Since this committee's inception, 76 patients have been reviewed (approximately 10% of total transplants) to date. As a result of this committee, we are now utilizing more objective psychosocial criteria that providers and support staff refer to when reviewing eligibility with potential HSCT candidates. Alignment between transplant physicians has improved and communication has been enhanced between the Inpatient/Outpatient teams as both are represented on the committee. Development of the CCRC has created a more robust framework to address psychosocial obstacles and offer tangible solutions for candidates proceeding with HSCT to afford them their best opportunity for success.</t>
  </si>
  <si>
    <t>(Sharf S.E.) (Shea T.C.; Armistead P.M.; Sharf A.) (Kasow K.A.; Riches M.L.) (Alexander M.) (Covington D.) 2018 Blood and Marrow Transplantation Tandem Meetings, BMT 2018 Salt Lake City, UT, United States 2018-02-21 to 2018-02-25 Elsevier Inc.; ID: 1736</t>
  </si>
  <si>
    <t>1523-6536</t>
  </si>
  <si>
    <t>Sharif,I.;Oruwariye,T.;Cohen,R.;Ozuah,P. O.;Author,Addresses;Montefiore,Medical Cente;Bronx,N. Y. U.;Correspondence,Address;Montefiore Medical Cente, Jerome Ave Bronx,N.Y.United States;Email,pozuah pol net</t>
  </si>
  <si>
    <t>12197805; Effectiveness of clinician training in smoking cessation counseling</t>
  </si>
  <si>
    <t>clinical practice;patient counseling;smoking cessation;environmental exposure;follow up;health program;health promotion;human;lifestyle;medical documentation;medical education;parent counseling;parental behavior;pediatric hospital;pediatrician;physician attitude;priority journal;risk assessment;short survey;smoking;Pediatrics and Pediatric Surgery (7);Public Health, Social Medicine and Epidemiology (17);Environmental Health and Pollution Control (46)</t>
  </si>
  <si>
    <t>(Ozuah P.O., pozuah@pol.net) (Sharif I.; Oruwariye T.; Cohen R.) American Medical Association, 515 North State Street, Chicago, United States.; ID: 3304</t>
  </si>
  <si>
    <t>http://www.ncbi.nlm.nih.gov/pubmed/12197805</t>
  </si>
  <si>
    <t>Effectiveness of clinician training in smoking cessation counseling</t>
  </si>
  <si>
    <t>Sharifzadeh,G. R.;Namakin,K.;Mehrjoofard,H.;Author,Addresses;Department,of Social;Birjand University of Medical Sciences, Ghafary Ave,Birjand Iran;Department of Pediatrics, Birjand University,of Medical;Sciences,Birjand Iran;Birjand University of,Medical Sciences;Correspondence,Address;GR Sharifzadeh, Birjand University of Medical Sciences,Ghafary Ave;Birjand,Iran Email rezamood yahoo com</t>
  </si>
  <si>
    <t>An epidemiological study on infant mortatity and factors affecting it in rural areas of Birjand, Iran</t>
  </si>
  <si>
    <t>Iranian Journal of Pediatrics</t>
  </si>
  <si>
    <t>narcotic agent;opiate;infant mortality;academic achievement;age distribution;article;asphyxia;birthplace;breast feeding;cause of death;child;congenital disorder;controlled study;drug intoxication;gastroenteritis;gestational age;human;infant;Iran;low birth weight;major clinical study;meconium aspiration;meningitis;newborn infection;obstetric procedure;population based case control study;prematurity;residential home;respiratory tract infection;risk factor;rural area;time of death;opiate (53663-61-9, 8002-76-4, 8008-60-4);Pediatrics and Pediatric Surgery (7);Public Health, Social Medicine and Epidemiology (17)</t>
  </si>
  <si>
    <t>Objective: Infant mortality rate is one of the most expressive indicators of development in all countries. The aim of this study was to determine the cause of infant mortality and risk factors in rural areas of Birjand in Iran. Methods: This population based case-control study covered 156 infants who died when aged less than one-year in health houses of Birjand between January 2004 and December 2005. For each case, two controls were selected matching one-to-one to the case considering variables of residency and their date of birth. The data was collected through interview with mothers and reviewing infant's files in health houses. Findings: 57.7 percent of deaths in under one year old infants happened during the first month of their lives. The most important causes of death in neonates were prematurity and low birth weight (44.4%) later gastroenteritis (30.3%). In addition, the study showed that 9.6 percent of infants had died because of narcotic toxicosis. Moreover, the study showed a significant relationship between infant mortality and parents' level of education, mother's addiction, age of mother in the first pregnancy, prematurity, low birth weight, type of delivery and exclusive breast feeding. Conclusion: Special attention to infantile period and special care for infants born to at-risk mothers, as well as providing special health education can cause a dramatic reduction in infants' mortality rate.</t>
  </si>
  <si>
    <t>(Sharifzadeh G.R., rezamood@yahoo.com) (Namakin K.) (Mehrjoofard H.) Tehran University of Medical Sciences (TUMS), No. 31, Poursina St. Ghods Ave, Tehran, Iran.; ID: 2952</t>
  </si>
  <si>
    <t>1018-4406</t>
  </si>
  <si>
    <t>2009145953 PUI L354370600</t>
  </si>
  <si>
    <t>Shatsky,M. L.;Allen,T. W.;Author,Addresses;Deaconess Fam Med,Residency Prog;States;American Osteopathic,Association;Oklahoma State University, College of,Osteopathic Medicine;Tulsa,O. K. U.;Correspondence,Address;ML Shatsky, Deaconess Fam Med Residency Prog,Evansville I.;States</t>
  </si>
  <si>
    <t>15784926; DO questions evidence for including tobacco dependence curricula 1] (multiple letters)</t>
  </si>
  <si>
    <t>curriculum;tobacco dependence;clinical education;clinical practice;health promotion;human;letter;manipulative medicine;medical education;medical student;patient counseling;physician;skill;smoking cessation;United States;Public Health, Social Medicine and Epidemiology (17)</t>
  </si>
  <si>
    <t>(Shatsky M.L.) (Allen T.W.) American Osteopathic Association, 142 East Ontario Street, Chicago, United States.; ID: 3190</t>
  </si>
  <si>
    <t>http://www.ncbi.nlm.nih.gov/pubmed/15784926</t>
  </si>
  <si>
    <t>DO questions evidence for including tobacco dependence curricula [1] (multiple letters)</t>
  </si>
  <si>
    <t>Sheffer,C. E.;Barone,C. P.;Anders,M. E.;Author,Addresses;Department,of Health;Health;Education,University of Arkansas for Medical Sciences West Markham St;States,Little Rock A. R. United;College of Nursing, University of Arkansas Little,Rock A.;United,States;Department of,Respiratory;Surgical Technology,College of;Health Related Professions, University of Arkansas Little,Rock A.;States;Correspondence,Address;Sheffer, Department of Health Behavior,C.E.;Health,Education;University of Arkansas for Medical Sciences, West,Markham St;Little Rock, A R United States Email cesheffer,uams edu</t>
  </si>
  <si>
    <t>19674215; Training health care providers in the treatment of tobacco use and dependence: Pre- and post-training results</t>
  </si>
  <si>
    <t>medical education;tobacco dependence;article;cigarette smoking;health care personnel;health personnel attitude;priority journal;Public Health, Social Medicine and Epidemiology (17);Psychiatry (32)</t>
  </si>
  <si>
    <t>Rationale Health care providers have an extended reach into the population of tobacco users. Increasing the number and variety of health care providers that deliver the evidence-based, brief interventions for tobacco use prescribed by the Public Health Service Clinical Practice Guideline is likely to result in more tobacco users exposed to evidence-based treatments and more successful quit attempts. Effective training is key to increasing provider performance and proficiency in this regard. Method A 1-hour didactic training was delivered to 1286 health care providers (185 physicians, 359 nurses, 75 dental providers and 667 other health-related professions). Pre- and post-training tests assessed provider attitudes, knowledge and behaviours. Paired samples t-tests were used to compare pre- and post-test results. Analysis of variance was used to test for significant differences among professional groups. Results Prior to training, physicians engaged in more interventions and reported more knowledge and more positive attitudes towards treating tobacco use than the other professions. Post-training, differences among physicians, nurses and dental providers were minimal. All professions reported significantly more knowledge and more positive attitudes on nearly all measures. Conclusions A large potential benefit can be garnered from a brief, targeted, 1-hour training in the brief, evidence-based interventions for treating tobacco use and dependence. Increases in perceived knowledge and positive attitudes towards treatment among the professional groups suggest that trainees will perform interventions at higher frequency post-training. Overall gains were highest for dental providers and nurses. â”¬âŒ 2009 Blackwell Publishing Ltd.</t>
  </si>
  <si>
    <t>(Sheffer C.E., cesheffer@uams.edu) (Barone C.P.) (Anders M.E.) Blackwell Publishing Ltd, 9600 Garsington Road, Oxford, United Kingdom.; ID: 2880</t>
  </si>
  <si>
    <t>1356-1294 1365-2753 (electronic)</t>
  </si>
  <si>
    <t>http://www.ncbi.nlm.nih.gov/pubmed/19674215</t>
  </si>
  <si>
    <t>10.1111/j.1365-2753.2008.01058.x FULL TEXT LINK http://dx.doi.org/10.1111/j.1365-2753.2008.01058.x</t>
  </si>
  <si>
    <t>Training health care providers in the treatment of tobacco use and dependence: Pre- and post-training results</t>
  </si>
  <si>
    <t>Shelton,T. M.;Hedges,J. R.;Author,Addresses;Burns,John A.;Correspondence,Address;TM Shelton, John A Burns School of Medicine University,of Hawai</t>
  </si>
  <si>
    <t>22162605; Medical School Hotline: Turning the tragedy of tobacco around: how revenue from cigarettes improves health in Hawai'i</t>
  </si>
  <si>
    <t>health promotion;medical school;public health;smoking (epidemiology);social marketing;tobacco;article;community care;economics;human;medical student;United States (epidemiology)</t>
  </si>
  <si>
    <t>JABSOM takes its responsibility to improve health among Hawai'i's people to heart. The school's vision is, ALOHA: to Attain Lasting Optimal Health for All, a theme adopted through a strategic planning process which engaged JABSOM's partners in the health and life sciences including its private sector collaborators and its sister colleges throughout the University of Hawai'i's ten-campus system. JABSOM's ability to collaborate and contribute in these areas has been irrevocably enhanced by tobacco-related funding that the State of Hawai'i has committed to develop the Kaka'ako campus. The taxpayers' generosity has improved the education and reach of clinicians and researchers who, in turn, dedicate their lives to preventing, treating and eliminating the deadly grip tobacco holds on too many of the people of Hawai'i.</t>
  </si>
  <si>
    <t>(Shelton T.M.) (Hedges J.R.); ID: 2621</t>
  </si>
  <si>
    <t>http://www.ncbi.nlm.nih.gov/pubmed/22162605</t>
  </si>
  <si>
    <t>Medical School Hotline: Turning the tragedy of tobacco around: how revenue from cigarettes improves health in Hawai'i</t>
  </si>
  <si>
    <t>Shevchuk,A. G.;Kosenko,E. V.;Shapiro,S. M.;Author,Addresses;Correspondence,Address;Shevchuk,A. G.</t>
  </si>
  <si>
    <t>1715835; Various forms of the anti-nicotine propaganda (work experience of the Mozyr health center) ORIGINAL (NON-ENGLISH) TITLE Nekotorye formy antinikotinovoi propagandy (opyt raboty Mozyrskogo tsentra zdorov'ia)</t>
  </si>
  <si>
    <t>Gigiena i sanitariia</t>
  </si>
  <si>
    <t>Gig.Sanit.</t>
  </si>
  <si>
    <t>audiovisual equipment;health education;health service;medical education;occupational health service;propaganda;smoking (prevention);adolescent;adult;article;Belarus;female;human;male;organization and management;urban population</t>
  </si>
  <si>
    <t>(Shevchuk A.G.; Kosenko E.V.; Shapiro S.M.); ID: 3659</t>
  </si>
  <si>
    <t>0016-9900</t>
  </si>
  <si>
    <t>http://www.ncbi.nlm.nih.gov/pubmed/1715835</t>
  </si>
  <si>
    <t>Various forms of the anti-nicotine propaganda (work experience of the Mozyr health center) ORIGINAL (NON-ENGLISH) TITLE Nekotorye formy antinikotinovoi propagandy (opyt raboty Mozyrskogo tsentra zdorov'ia)</t>
  </si>
  <si>
    <t>Shinsako,S. A.;Richman,J. A.;Rospenda,K. M.;Author,Addresses;Department,of Psychiatry;States,W. T.;Correspondence,Address;SA Shinsako, Department of,Psychiatry U.;Street,Chicago I.L.United States Email sshinsako psych uic edu</t>
  </si>
  <si>
    <t>11794583; Training-related harassment and drinking outcomes in medical residents versus graduate students</t>
  </si>
  <si>
    <t>alcohol consumption;medical education;sexual harassment;adult;article;drinking behavior;female;human;male;medical student;outcomes research;priority journal;resident;stress;university;Public Health, Social Medicine and Epidemiology (17);Psychiatry (32)</t>
  </si>
  <si>
    <t>This study examined the prevalence of sexual harassment and generalized workplace abuse, and their differential effects on drinking behaviors in medical residents and graduate students at an urban American university. While medical residents had greater odds of experiencing harassment and abuse in their training programs, it was found that in most cases their deleterious drinking behaviors decreased, whereas graduate student drinking behaviors increased as a consequence of these experiences. The drinking outcomes of men were more affected by harassment and abuse than those of women.</t>
  </si>
  <si>
    <t>(Shinsako S.A.; Richman J.A.; Rospenda K.M.) (M/C 912) Taylor and Francis Inc., 325 Chestnut St, Suite 800, Philadelphia PA, United States.; ID: 3348</t>
  </si>
  <si>
    <t>http://www.ncbi.nlm.nih.gov/pubmed/11794583</t>
  </si>
  <si>
    <t>10.1081/JA-100108436 FULL TEXT LINK http://dx.doi.org/10.1081/JA-100108436</t>
  </si>
  <si>
    <t>Training-related harassment and drinking outcomes in medical residents versus graduate students</t>
  </si>
  <si>
    <t>Shrivastava Dev,L.;Shrivastava,N.;Author,Addresses;Pediatrics,Department;Thundermist Health Associates, Arnold Street,Woonsocket R.;United,States;Children's Hospital,of Philadelphia;United,States;Correspondence,Address;Shrivastava Dev, Pediatrics Department Thundermist Health Associates,L.;Arnold Street, Woonsocket R I United,States Email;Leena_dev@hotmail.com</t>
  </si>
  <si>
    <t>Anticipatory guidance</t>
  </si>
  <si>
    <t>Clinics in Family Practice</t>
  </si>
  <si>
    <t>child care;accident prevention;adolescent;child;child parent relation;family;general practitioner;health education;health status;human;infant;Internet;newborn;nutrition;parent;practice guideline;publication;review;scientific literature;sexual education;sexuality;substance abuse;videotape;Public Health, Social Medicine and Epidemiology (17);Pediatrics and Pediatric Surgery (7)</t>
  </si>
  <si>
    <t>Discussing anticipatory guidance is a valuable component of the well child visit. Many topics, several of which are explored here, fall under this category. Practitioners may also choose to cover other important areas, such as nutrition, infant care, parent-child interactions, family relationships, sexuality education, substance abuse, and signs of illness. Anticipatory guidance is fundamental to injury prevention and health maintenance and should therefore be discussed in detail with parents. Other methods of educating parents on these topics include age-specific pamphlets or videotapes that can provide similar information that parents may review at their leisure. The topics discussed in this section provide a basis for beginning such conversations with parents. Tables 2 and 3 outline age-specific recommendations practitioners may want to use as a guide for each well child visit. Many publications are available that outline the well child visits, and others have age-specific encounter forms. There are also many resources in print and on the web that can assist practitioners in formulating a style of their own.</t>
  </si>
  <si>
    <t>(Shrivastava Dev L., Leena_dev@hotmail.com) (Shrivastava N.); ID: 3272</t>
  </si>
  <si>
    <t>1522-5720</t>
  </si>
  <si>
    <t>2003293948 PUI L36874066</t>
  </si>
  <si>
    <t>Shute,R. E.;Swisher,J. D.;Author,Addresses;Addict Prev Lab, Dept,Counselor Educ;Pennsylvania State Univ, University,Park Pa;Correspondence,Address;Addict Prev Lab, Dept Counselor Educ Pennsylvania,State Univ;University Park,Pa</t>
  </si>
  <si>
    <t>Training models for drug abuse prevention: recommendations for the future</t>
  </si>
  <si>
    <t>drug dependence;health education;medical education;nurse training;nursing education;primary prevention;school health service;student;teacher;training;child;dentist;general practitioner;medical specialist;midwife;model;nursing;paramedical profession;pharmacist;physician assistant;prevention;social worker;Public Health, Social Medicine and Epidemiology (17);Psychiatry (32);Health Policy, Economics and Management (36)</t>
  </si>
  <si>
    <t>Why do drug educators conduct training programs for school, community, and agency personnel? If the ultimate goal is to produce a cadre of skilled trainees who will be effective in primary prevention ventures, then one should be quite disappointed. This article describes and provides examples of the three major training modalities currently in vogue. The strengths and weaknesses of each are examined and then integrated to build a recommended model for future training efforts.</t>
  </si>
  <si>
    <t>(Shute R.E.; Swisher J.D.); ID: 3915</t>
  </si>
  <si>
    <t>1975132536 PUI L5132456</t>
  </si>
  <si>
    <t>Siddiqui,M. N. A.;Sultana,S.;Sharif,T.;Ekram,A. R. M. S.;Author,Addresses;Rajshahi,Medical College;Rajshahi,Bangladesh;Uhc,Paba Rajshahi Bangladesh;Ibmchr,Rajshahi Bangladesh;Department of Medicine, Rajshahi Medical,College Rajshahi;Bangladesh;Correspondence,Address;Siddiqui, Rajshahi Medical College Hospital Rajshahi Bangladesh Email,M.;drnurealom@gmail.com</t>
  </si>
  <si>
    <t>Smoking habits of medical students in a private medical college of Bangladesh</t>
  </si>
  <si>
    <t>Bangladesh Journal of Medical Science</t>
  </si>
  <si>
    <t>medical school;medical student;private practice;smoking habit;adult;article;attitude;Bangladesh;cigarette smoking;controlled study;human;male;postgraduate education;questionnaire;smoking;smoking cessation;tobacco dependence;Public Health, Social Medicine and Epidemiology (17)</t>
  </si>
  <si>
    <t>Objective: To assess trends of smoking and the relation between smoking behavior of under graduate medical students and their attitudes towards smoking and treatment of tobacco dependence. Methodology: Data was collected from the medical students of Rajshahi Islami Bank Medical College, Bangladesh. A total of 200 male students completed the anonymous questionnaire. Response rate was 80.0%. Results: Of the respondents 20% and 80% were regular smokers and non-smokers respectively. Only 32.50% of the regular smokers smoke less than ten cigarettes, 30.0% smoke ten to twenty cigarettes whereas, 37.50% smoke more than 20 cigarettes per day. 25% started smoking at nineteen years of age, 22.5% started before this age and 27.5% and 25.0% started at twenty and twenty one years of ages respectively. 70% started smoking just for pleasure. Only 29.72% smoke light cigarettes whereas 33.78% and 36.48% smoke medium and heavy cigarettes respectively. Almost 75% smokers agreed with the fact that smoking is harmful to health and 45% realized that their cigarette smoke bother others and again 70% of smokers have attempted to quit smoking but failed and 42.5% still wanted to quit smoking. About 55% of smokers complained that they suffer from chronic cough, 60% were lacking concentration in their studies and 45% felt that they were short of memory. Conclusions: Attitudes of smokers were significantly dif ferent on most items of tobacco, but knowledge of tobacco problem in the undergraduate medical students was not sufficient. Teaching about tobacco and related issues remains essential in the under graduate medical course.</t>
  </si>
  <si>
    <t>(Siddiqui M.N.A., drnurealom@gmail.com) (Sultana S.) (Sharif T.) (Ekram A.R.M.S.) Ibn Sina Trust, 1/1-B Kallyanpur, Mirpur Road,, Dhaka, Bangladesh.; ID: 2604</t>
  </si>
  <si>
    <t>2223-4721 2076-0299 (electronic)</t>
  </si>
  <si>
    <t>2012068238 PUI L364178964</t>
  </si>
  <si>
    <t>Siegel,B. J.;Fitzgerald,F. T.;Author,Addresses;Correspondence,Address;Siegel,B. J.</t>
  </si>
  <si>
    <t>3262952; A survey on the prevalence of alcoholism among the faculty and house staff of an academic teaching hospital</t>
  </si>
  <si>
    <t>The Western journal of medicine</t>
  </si>
  <si>
    <t>alcoholism;hospital personnel;medical school;teaching hospital;article;cross-sectional study;female;human;male;manpower;United States</t>
  </si>
  <si>
    <t>(Siegel B.J.; Fitzgerald F.T.); ID: 3741</t>
  </si>
  <si>
    <t>http://www.ncbi.nlm.nih.gov/pubmed/3262952</t>
  </si>
  <si>
    <t>A survey on the prevalence of alcoholism among the faculty and house staff of an academic teaching hospital</t>
  </si>
  <si>
    <t>Siemiâ”¼Ã¤ska,A.;Dubaniewicz,A.;Author,Addresses;Katedry,i. Kliniki Chor;Akademii Medycznej,Gdaâ”¼Ã¤sku;Correspondence,Address;Siemiâ”¼Ã¤ska, Katedry i Kliniki Chorâ”œâ”‚b Pâ”¼Ã©uc i Gruâ”¼â•‘licy Akademii Medycznej,A.;Gdaâ”¼Ã¤sku</t>
  </si>
  <si>
    <t>1290980; Prevalence of smoking among the staff of the Medical Academy and the State Clinical Hospital No. 1 in Gdaâ”¼Ã¤sk and among 5th-year medical students ORIGINAL (NON-ENGLISH) TITLE Rozpowszechnienie naâ”¼Ã©ogu palenia tytoniu wâ”¼Â¢râ”œâ”‚d pracownikâ”œâ”‚w Akademii Medycznej i Paâ”¼Ã¤stwowego Szpitala Klinicznego Nr 1 w Gdaâ”¼Ã¤sku oraz grupy studentâ”œâ”‚w V roku Wydziaâ”¼Ã©u Lekarskiego AMG</t>
  </si>
  <si>
    <t>Pneumonologia i alergologia polska : organ Polskiego Towarzystwa Ftyzjopneumonologicznego, Polskiego Towarzystwa Alergologicznego, i Instytutu Gruâ”¼â•‘licy i Chorâ”œâ”‚b Pâ”¼Ã©uc</t>
  </si>
  <si>
    <t>administrative personnel;hospital personnel;medical school;medical student;smoking (epidemiology);adult;article;comparative study;female;health education;human;male;Poland (epidemiology);prevalence;psychological aspect;questionnaire;sex difference;standard;statistics;urban population</t>
  </si>
  <si>
    <t>Addiction to smoking was assessed in workers of the Medical School, Central Clinical Hospital in Gdaâ”¼Ã¤sk and 50 medical students basing on the results of a simple questionnaire. 400 questionnaires were distributed. 287 were returned. 79% of the responders were females. 61.3% of the questioned subjects were smokers. 53.7% of the females were smokers, where as only 50% of the males smoked. The highest percentage of smokers was found in the group of orderlies, administrative workers and nurses (62-73%). Most of the health workers acknowledged knowing about the harmful effect of tobacco smoking. 95% believed that anti-smoking measures are inadequate in Poland.</t>
  </si>
  <si>
    <t>(Siemiâ”¼Ã¤ska A.; Dubaniewicz A.); ID: 3610</t>
  </si>
  <si>
    <t>http://www.ncbi.nlm.nih.gov/pubmed/1290980</t>
  </si>
  <si>
    <t>Prevalence of smoking among the staff of the Medical Academy and the State Clinical Hospital No. 1 in Gdaâ”¼Ã¤sk and among 5th-year medical students ORIGINAL (NON-ENGLISH) TITLE Rozpowszechnienie naâ”¼Ã©ogu palenia tytoniu wâ”¼Â¢râ”œâ”‚d pracown(TRUNCATED)</t>
  </si>
  <si>
    <t>Siitonen,P.;Tanskanen,P.;Sandstrm,P.;Kauhanen,J.;Suhonen,M.;Hyvâ”œÃ±rinen,M. L.;Vainio,K.;Author,Addresses;University of,Eastern Finland;of Pharmacy,Kuopio Finland;Finnish Lung,Health Association;University of Eastern Finland, School of,Medicine Kuopio;Finland;Savonia University of,Applied Sciences;University of Eastern Finland, Language,Centre Kuopio;Finland;Correspondence,Address;Siitonen, University of Eastern Finland School of Pharmacy Kuopio,P.;Finland</t>
  </si>
  <si>
    <t>Multidisciplinary teaching of tobacco cessation - students' perceptions</t>
  </si>
  <si>
    <t>Pharmacy Education</t>
  </si>
  <si>
    <t>perception;public health student;smoking cessation;teaching;adult;conference abstract;counseling;dental hygienist;dentistry;female;health hazard;health science;human;interview;learning environment;Likert scale;major clinical study;male;nurse;nutrition;pharmacy;professional standard;simulation;skill;theoretical study;tobacco dependence</t>
  </si>
  <si>
    <t>Introduction: In Finland, about one in five adults use tobacco or other nicotine products constituting significant health risks and costs in health care1. These can be prevented by tobacco dependence treatment, which is most successful when carried out in multi-professional cooperation1. In University of Eastern Finland, tobacco cessation is taught in a multidisciplinary way for students of health sciences together with students of Savonia University of Applied Sciences. Firstly, students study independently in an e-learning environment the theoretical basis of tobacco addiction, health risks and, tobacco dependence treatment2. Secondly, the students independently interview a person using tobacco to evaluate the addiction, cessation and counselling. Thirdly, on a workshop day, short multi-professional lectures are given, and students are divided into multi-professional groups in order to discuss their interview cases and simulation profiles. Finally, the students evaluate their learning and ideas about multidisciplinary teaching by giving course feedback. The aim of this presentation is to describe students' perceptions of multi-professional cooperation. Method: Data were collected as a course feedback using an electronic form in October 2016. Students' (N=145) experiences were assessed using Likert scale questions. Results: Of the participants, 45% were pharmacy, 30% medicine, 11% health nurse, 8% dental hygienist, 4% nutrition, 2% dentistry and public health students. Ninetytwo percent of students considered that the course helped them to perceive their professional role in tobacco cessation well or quite well, and 96% perceived that they skills in cessation counselling increased. 92% stated that there should be more multidisciplinary courses for students in health sciences. Discussion: Students perceived that the multidisciplinary course increased their understanding of their own professional role as well as the role of other health professionals in tobacco cessation and counselling, and they expressed the need to have more multidisciplinary courses. Multi-professional cooperation in teaching tobacco cessation needs to be promoted to gain successful results.</t>
  </si>
  <si>
    <t>(Siitonen P.; Tanskanen P.; Vainio K.) (Sandstrm P.) (Kauhanen J.) (Suhonen M.) (Hyvâ”œÃ±rinen M.-L.) 23rd Annual European Association of Faculties of Pharmacy Conference, EAFP 2017 Helsinki, Finland 2017-05-17 to 2017-05-19 International Pharmaceutical Federation; ID: 1755</t>
  </si>
  <si>
    <t>1477-2701</t>
  </si>
  <si>
    <t>Silbermann,M.;Author,Addresses;Middle East,Cancer Consortium;Correspondence,Address;Silbermann, Middle East Cancer Consortium Israel,M.</t>
  </si>
  <si>
    <t>Current status of cancer pain management in middle eastern countries</t>
  </si>
  <si>
    <t>Journal of Pediatric Hematology/Oncology</t>
  </si>
  <si>
    <t>analgesic agent;fentanyl;methadone;morphine;opiate;cancer pain;neoplasm;palliative therapy;abuse;addiction;adult;agonist;analgesia;anesthesiology;anesthesist;cancer center;chronic pain;clinical practice;developing country;education;education program;fear;general practice;general practitioner;government;government regulation;health care policy;health care system;hospital;hospital patient;language;medical specialist;medicine;Middle East;nurse;nursing;outpatient;outpatient department;pain;pain clinic;patient;patient compliance;physician;physiotherapist;physiotherapy;psychology;public health service;scientist;student;teaching;training;university</t>
  </si>
  <si>
    <t>To date, the management of cancer pain has not been incorporated into many areas of clinical practice in most Middle Eastern countries. The 3 main reasons for these facts are these: 1. Priorities in national health care systems Governments' regulations concerning the use of potent opiate-based drugs 3. Lack of education and training in pain management Among those treating patients for pain are 68% physicians, 16% nurses, 4% physiotherapists, and 12% basic scientists (pharmacologists). Of these, only 24% had formal training during their undergraduate studies on pain and its management, which by themselves, were not sufficient to deal with pain problems clinically. At the postgraduate level, in 39% the training was associated with anesthesiology, 28% with general medicine, and 22% with training in nursing. Yet, in 78% of the countries, pain management is not a recognized medical specialty. In 82% of the countries, an official training program in pain management does not exist, and potential trainees prefer to have their training in a specialized pain center in their own country. Currently, a wide range of professionals deal with pain: Anesthesiologists 82%, Neurosurgeons 73%, Oncologists 63%, Nurses 63%, Psychologists/Psychiatrists 50%, and Physiotherapists 54%. As in other parts of the world, acute pain management is taking place in hospitals of all kinds (University, General, Private), and the treatment is primarily aimed at adult patients. Only a third of them are pediatric patients. Whereas the availability of outpatient facilities is growing, specialist teams for acute pain management are less well developed, and their training is not sufficient. Opioid drugs are essential in the management of moderate to acute cancer pain. Fentanyl (a synthetic opioid related to the phenylpi-peridines; and as an analgesic it is estimated to be 80 times more potent than morphine) is readily available to most cancer centers. Methadone (a synthetic i agonist with pharmacologic properties qualitatively similar to morphine) less so. The percentage of patients receiving opioids is less than might be expected or hoped for. In the Middle East, the availability of oral opioids is greater for inpatients than for outpatients; and the permission to prescribe them is given primarily to Oncologists and pain clinicians. Other physicians are, for the most part, restricted in prescribing these drugs. The main reason for this situation relates to the fear of abuse or addiction, government regulations, and lack of training. Hence, the most powerful group of drugs for the relief of cancer pain-the opioids, is not freely available. In summary, the main barriers to good pain management are lack of education, government health policies, and the fear of addiction. Further, one should add the issue of patient compliance. Recommendations: To have better training and better access to drugs for pain relief, which seem to be the major barriers to good pain management. 1. In what could MECC be involved to improve this situation? 2. In promoting pain education programs in Medical and Nursing undergraduate studies. Teaching programs ought also to be incorporated in Psychology and Physiotherapy training. 3. In training pain problems in the trainees' own country and language. 4. As chronic pain is not less of a problem than acute pain, and is most seen at outpatient clinics, training of Family Physicians and General Physicians is of high priority. 5. In encouraging changes in regulations related to the availability of opioids. (The statistical data brought forward in this abstract were retrieved from Î“Ã‡Â£Education and Training for Pain Management,Î“Ã‡Â¥ Based on a Report by the International Association for the Study of Pain, Developing Countries Taskforce, November 2007.).</t>
  </si>
  <si>
    <t>(Silbermann M.) Middle Eastern Cancer Consortium, MECC Palliative Care Steering Committee Meeting Larnaca, Cyprus 2010-01-08 to 2010-01-10 Lippincott Williams and Wilkins; ID: 2775</t>
  </si>
  <si>
    <t>1077-4114</t>
  </si>
  <si>
    <t>10.1097/MPH.0b013e3181d5aa83 FULL TEXT LINK http://dx.doi.org/10.1097/MPH.0b013e3181d5aa83</t>
  </si>
  <si>
    <t>Silver,B.;Kodiyan,J.;Yechieli,R.;Ramey,S. J.;Author,Addresses;University of Miami, Miami,United States;Department of Radiation Oncology, University,of Miami;Sylvester Comprehensive Cancer Center, Miami,United States;University of Miami, Jackson Health System,Miami United;States;Correspondence,Address;Silver, University of Miami Miami United States,B.</t>
  </si>
  <si>
    <t>Smoke out: Educating oncology providers to improve tobacco cessation among cancer patients</t>
  </si>
  <si>
    <t>International Journal of Radiation Oncology Biology Physics</t>
  </si>
  <si>
    <t>E128</t>
  </si>
  <si>
    <t>cancer patient;radiation oncology;smoke;smoking cessation;adult;clinical article;comparative effectiveness;controlled study;counseling;doctor nurse relation;female;human;male;patient referral;perception;physician assistant;practice guideline;prospective study;resident;sample size;student</t>
  </si>
  <si>
    <t>Purpose/Objective(s): Cancer patients who smoke have an increased risk of all-cause mortality, cancer specific mortality, cancer recurrence, and treatment toxicities when compared to those who do not smoke. National guidelines are explicit in their recommendations that all cancer patients who are using tobacco should receive cessation counseling and assistance with quitting. Unfortunately, some cancer patients are not even advised to quit and many are offered no assistance with quitting. This study evaluated whether educating radiation oncology providers on smoking cessation benefits and treatment guidelines for cancer patients will result in improved provider knowledge and likelihood to assist patients with tobacco cessation. Purpose/Objective(s): This prospective analysis consisted of a radiation oncology department "Grand Rounds" lecture on tobacco cessation for the oncology provider with pre-and post-lecture surveys conducted to evaluate provider knowledge, perceptions, previous training, and self-reported behaviors related to tobacco cessation. Surveys were sent through REDCap to all attending physicians, nurses, PA's, and resident physicians working in the academic radiation oncology center. Post-lecture surveys were sent only to providers who responded to the pre-lecture survey. Comparison of repeated pre-and post-lecture questions was done using an "N-1" Chi-Squared test. Results: Thirty-six eligible participants received the pre-lecture survey, 34 responded, and 19 attended the lecture. Of the respondents, 35.3% were residents or physician assistants, 35.3% were attending physicians, and 29.4% were nurses. After the lecture, 100% of participants either agreed or strongly agreed that they feel more comfortable discussing smoking cessation, 73.7% were more likely to prescribe medications, 84.2% were more likely to refer patients, and 89.5% felt more knowledgeable about potential harmful effects. When comparing pre-and post-lecture surveys, there was a 36.8% (p=0.0039) increase in respondents saying, "I feel confident I know how to refer patients to smoking cessation services," and a 26.3% (p=0.0392) increase in respondents correctly identifying the likelihood of quitting with first line therapies. There was an increase in all confidence and knowledge questions after the lecture when compared to before. However, none of the other prompts were statistically significant, most likely due to the small sample size. Conclusion: Attending a short lecture increased both oncology providers' knowledge and confidence related to assisting patients with tobacco cessation. A similar lecture may be worthwhile for oncology trainees and staff members nationwide to improve tobacco cessation. This study also plans to assess clinical efficacy by retrospectively comparing tobacco cessation counseling and referral in the radiation oncology clinic before and after the lecture.</t>
  </si>
  <si>
    <t>(Silver B.; Kodiyan J.) (Yechieli R.) (Ramey S.J.) 59th Annual Meeting of the American Society for Radiation Oncology, ASTRO 2017 San Diego, CA, United States 2017-09-24 to 2017-09-27 Elsevier Inc.; ID: 1772</t>
  </si>
  <si>
    <t>0360-3016</t>
  </si>
  <si>
    <t>10.1016/j.ijrobp.2017.06.906 FULL TEXT LINK http://dx.doi.org/10.1016/j.ijrobp.2017.06.906</t>
  </si>
  <si>
    <t>Simancas Pallares,M.;Author,Addresses;Departamento,de;Investigaciones,Facultad de Odontologâ”œÂ¡a Universidad de Cartagena;Cartagena,Colombia;Correspondence,Address;Simancas Pallares, Departamento de Investigaciones Facultad de,M.;Odontologâ”œÂ¡a, Universidad de Cartagena Cartagena,Colombia Email;msimancasp@unicartagena.edu.co</t>
  </si>
  <si>
    <t>29428117; Editorial Comment on Î“Ã‡Â£Factors Related to Psychoactive Substance use in an Educational Institution in Jamundâ”œÂ¡ Valle, ColombiaÎ“Ã‡Â¥ ORIGINAL (NON-ENGLISH) TITLE Comentario editorial sobre â”¬Â½Factores relacionados con el consumo de sustancias psicoactivas en una instituciâ”œâ”‚n educativa de Jamundâ”œÂ¡ Valle, Colombiaâ”¬â•—</t>
  </si>
  <si>
    <t>Revista Colombiana de Psiquiatria</t>
  </si>
  <si>
    <t>(MAJOR FOCUS);psychotropic agent;medical school;substance use;Colombia;letter;Public Health, Social Medicine and Epidemiology (17);Drug Dependence, Alcohol Abuse and Alcoholism (40)</t>
  </si>
  <si>
    <t>(Simancas Pallares M., msimancasp@unicartagena.edu.co) Elsevier Doyma, editorial@elsevier.com; ID: 1751</t>
  </si>
  <si>
    <t>0034-7450</t>
  </si>
  <si>
    <t>http://www.ncbi.nlm.nih.gov/pubmed/29428117</t>
  </si>
  <si>
    <t>10.1016/j.rcp.2017.01.005 FULL TEXT LINK http://dx.doi.org/10.1016/j.rcp.2017.01.005</t>
  </si>
  <si>
    <t>Editorial Comment on Î“Ã‡Â£Factors Related to Psychoactive Substance use in an Educational Institution in Jamundâ”œÂ¡ Valle, ColombiaÎ“Ã‡Â¥ ORIGINAL (NON-ENGLISH) TITLE Comentario editorial sobre â”¬Â½Factores relacionados con el consumo de sust(TRUNCATED)</t>
  </si>
  <si>
    <t>Simeon,D.;Kozin,D. S.;Segal,K.;Brenna,L.;Author,Addresses;Department;of Psychiatry, Mount Sinai School of Medicine New York,N.Y.United States;Correspondence,Address;Beth,D.Simeon, Family Center for Bipolar Disorder Fierman Hall A.;Israel Medical Center, East th Street New,York N.;States Email,dsimeon,chpnet org</t>
  </si>
  <si>
    <t>19538903; Is depersonalization disorder initiated by illicit drug use any different? A survey of 394 adults</t>
  </si>
  <si>
    <t>cannabis;psychedelic agent;depersonalization (therapy);adult;aged;article;controlled study;Diagnostic and Statistical Manual of Mental Disorders;disease course;drug abuse;female;health survey;human;Internet;major clinical study;male;priority journal;psychotherapy;scoring system;structured questionnaire;suicide attempt;treatment response;cannabis (8001-45-4, 8063-14-7);Psychiatry (32);Drug Dependence, Alcohol Abuse and Alcoholism (40)</t>
  </si>
  <si>
    <t>Objective: Previous studies have documented that in a substantial minority of individuals with depersonalization disorder, onset is first triggered by illicit drug ingestion. The goal of this study was to systematically compare a large sample of individuals with drug-initiated (D) versus non-drug-initiated (ND) chronic depersonalization. Method: We conducted an internet survey of 394 adults endorsing DSM-IV-TR depersonalization and/or derealization symptoms. Sixty-four questions were utilized to inquire about demographic and clinical characteristics, illness course, substance use history, and treatment response. The Cambridge Depersonalization Scale (CDS) was administered. The study was conducted from September 2005 to January 2006. Results: Compared to the ND group (n = 198), the D group (n = 196) included more male and younger individuals. The 2 most common precipitating drugs were cannabis and hallucinogens, followed by ecstasy. The majority of participants had modest use histories prior to onset and never ingested subsequently. The 2 groups endorsed similar illness course, impairment, suicidality, and limited treatment response. The D group showed significantly greater improvement over time than the ND group (P = .002), although the groups did not differ in reported psychotherapy or pharmacotherapy effectiveness. The groups did not differ in CDS total score or on the 4 subscale scores of unreality of self, perceptual alterations, unreality of surroundings, and temporal disintegration. On the numbing subscale of the CDS, the ND group scored higher (P = .009) only prior to controlling for age and gender. Conclusion: The study strongly supports a uniform syndrome for chronic depersonalization/derealization regardless of precipitant. â”¬âŒ Copyright 2009 Physicians Postgraduate Press, Inc.</t>
  </si>
  <si>
    <t>(Simeon D., dsimeon@chpnet.org; Kozin D.S.; Segal K.; Brenna L.) Physicians Postgraduate Press Inc., P.O. Box 752870, Memphis, United States.; ID: 2868</t>
  </si>
  <si>
    <t>http://www.ncbi.nlm.nih.gov/pubmed/19538903</t>
  </si>
  <si>
    <t>10.4088/JCP.08m04370 FULL TEXT LINK http://dx.doi.org/10.4088/JCP.08m04370</t>
  </si>
  <si>
    <t>Is depersonalization disorder initiated by illicit drug use any different? A survey of 394 adults</t>
  </si>
  <si>
    <t>Singh,A.;Alimohammadi,A.;Raycraft,T.;Kiani,G.;Shahi,R.;Conway,B.;Author,Addresses;Vancouver Infectious,Diseases Centre;Correspondence,Address;Singh, Vancouver Infectious Diseases Centre Vancouver Canada,A.</t>
  </si>
  <si>
    <t>Utilizing the Ottawa charter in a multidisciplinary setting as a harm reduction strategy in people who inject drugs</t>
  </si>
  <si>
    <t>S559</t>
  </si>
  <si>
    <t>harm reduction;art therapy;cardiovascular disease;clinical trial;communicable disease;comorbidity;consultation;diabetes mellitus;diagnosis;doctor patient relation;education;food insecurity;homelessness;housing;human;Human immunodeficiency virus;injection;major clinical study;meal;mental health;neighborhood;nonhuman;nutrient;obesity;opiate addiction;social determinants of health;substance use;support group;vulnerable population</t>
  </si>
  <si>
    <t>Background: There has been a big shift in the way health care delivery is viewed in society. The shift from an individual approach to a community based intervention needs to be implemented at all specialist centers to help the PWID population to benefit from the full scope of health care. Methods: The multidisciplinary program developed at the Vancouver infectious Diseases Centre (VIDC) provides ongoing, long-term access to specialty medical care and support services in order to address the clinical, psychological and social factors along with addiction related needs that impact people who inject drugs (PWID). This is particularly true in a neighborhood such as Vancouver's Downtown East Side (DTES), with a high proportion of individuals with co-morbidities relating to clinical (HCV, HIV), psychologic (diagnosed psychiatric conditions), social (food insecurity, homelessness) and substance use and its treatment. In many cases, structures are not in place to allow individuals to effectively engage in the care they require. Result: Our intervention incorporates the use of community pop-up clinics (CPCs) in the DTES to test individuals for HIV and HCV. Positive tests result in an immediate consultation with our medical team to proactively engage patients into low threshold multidisciplinary healthcare. Our program aims to create a supportive environment with the design of individualized, patient-focused approaches. This includes weekly support groups where breakfast and lunch are provided along with education mental health and addiction, opiate substitution, diabetes, obesity and cardiovascular disease. Strengthening community action through our program promotes personal growth and engagement in health care in a receptive environment with access to state-of-the art treatment modalities, including all-oral HCV therapy. Inclusion in clinical trials dedicated to this vulnerable population is actively promoted. Conclusion: Within our CPC program, 610 individuals were positive for HCV of which 51 were positive for both HIV and HCV and 18 were positive for HIV only. A total of 170 (25%) individuals were then engaged in care at VIDC. Alongside providing treatment for HIV and/or HCV, VIDC targeted the social determinants such are linking patients to safer housing options, providing nutrient dense food sources, and education on safe injection drug use. Patients engaged at VIDC showed better health outcomes when their social determinants of health were targeted along with their physical, mental, emotional and spiritual needs.</t>
  </si>
  <si>
    <t>(Singh A.; Alimohammadi A.; Raycraft T.; Kiani G.; Shahi R.; Conway B.) 26th Annual Conference of the Asian Pacific Association for the Study of the Liver, APASL 2017 Shanghai, China 2017-02-15 to 2017-02-19 Springer India; ID: 1852</t>
  </si>
  <si>
    <t>10.1007/s12072-016-9783-9 FULL TEXT LINK http://dx.doi.org/10.1007/s12072-016-9783-9</t>
  </si>
  <si>
    <t>Singh,S. K.;Phookun,H. R.;Author,Addresses;Gmch,Guwahati;Guwahati,Assam India;Correspondence,Address;SK Singh, Gmch Guwahati Guwahati Assam,India Email;dr.sanjaysingh46@gmail.com</t>
  </si>
  <si>
    <t>Study to evaluate the prevalence of internet addiction and its correlation with depression, anxiety and stress among medical students of guwahati medical college</t>
  </si>
  <si>
    <t>S64</t>
  </si>
  <si>
    <t>anxiety;internet addiction;medical school;medical student;prevalence;stress;adult;conference abstract;controlled study;drug dependence;female;gender;human;Internet;major clinical study;male;semi structured interview;statistical significance</t>
  </si>
  <si>
    <t>Introduction-The use of the Internet has increased dramatically due to the development and spread of cheaper and more user-friendly computer technology and software. Despite its inherent benefts, the Internet is not without its problems, especially when its use becomes excessive. The Internet itself is mostly a harmless tool, but the overuse and incorrect use of it encourages the risk of addiction and psychiatric co-morbidity. Aims-To assess the prevalence, pattern and factors infuencing internet addiction and its correlation with depression, anxiety and stress. Methodology-The study was carried out in 100 students of Guwahati Medical College, GMCH. IAT and DASS 21 was applied and a semi-structured interview was done to assess the socio-demographic variables. Results-The study results showed the prevalence of internet addiction was 33% and depression was found in 58% clients and among those 16. 7% having mild, 38. 5% having moderate, 54. 5% having severe and 88. 9% of the clients having extreme severe depression were having internet addiction, 67% had anxiety and 46% of the participants were suffering from varying degree of stress. Most of the internet addicts were in the 24-26 years of age group though no significant relation was found between gender, domicile and educational level and internet addiction. A significant correlation was observed between internet addiction and depression (p value &lt;0. 001), anxiety (p value &lt;0. 001) and stress (p value &lt;0. 001). Conclusion-The study results show that most of the internet addicts were in the 24-26 years of age group though no significant relation was found between gender, domicile and educational level and internet addiction. A significant correlation was observed between internet addiction and depression, anxiety and stress (p value &lt;0. 001).</t>
  </si>
  <si>
    <t>(Singh S.K., dr.sanjaysingh46@gmail.com; Phookun H.R.) 70th Annual National Conference of Indian Psychiatric Society, ANCIPS 2018 Ranchi, India 2018-02-05 to 2018-02-08 Medknow Publications; ID: 1740</t>
  </si>
  <si>
    <t>Skarf,L.;Schaefer,K.;Narang,S.;Peteet,J.;Nabati,L.;Scullion,B.;Wilson,E.;Chittenden,E.;Fitzgerald,K.;O'Donnell,A.;Author,Addresses;Va Boston Healthcare System, West Roxbury,United States;Dana-Farber,Cancer Institute;Women's,Hospital;Boston,United States;Brigham;Women's Hospital,Boston,United States;Dana-Farber,Cancer;Institute,Boston United States;Massachusetts,General Hospital;States;Dana,Farber;Brigham;Women's,Cancer Institute;Plain,United States;Correspondence,Address;Boston Healthcare System West Roxbury United States,L.Skarf, V.A.</t>
  </si>
  <si>
    <t>Î“Ã‡Â£The dog ate my methadoneÎ“Ã‡Â¥: Challenges treating patients with advanced illness, pain, and addiction</t>
  </si>
  <si>
    <t>(MAJOR FOCUS);methadone;buprenorphine plus naloxone;opiate;opiate agonist;addiction;dog;general aspects of disease;hospice;human;nurse;pain;palliative therapy;patient;analgesia;chronic pain;drug seeking behavior;drug therapy;hospital;hyperalgesia;methadone treatment;population;role playing;therapy;workshop</t>
  </si>
  <si>
    <t>Objectives 1. Recognize and overcome barriers to care in patients with addiction, including interpreting and managing aberrant drug behaviors. 2. Demonstrate and practice techniques for discussing pain management with patients who have a history of addiction, including how to use pain contracts, and demonstrate use of opioids to manage acute and chronic pain, including in patients on methadone and suboxone for addiction. 3. Discuss interdisciplinary resources for the management of pain and addiction in patients with advanced illness, and indentify barriers and strategies for improved collaboration. Systematic, interdisciplinary treatment strategies and systems of care for patients with pain and addiction are well established, but clinicians in palliative care often lack training and experience in the interdisciplinary approach to addiction and pain management. In our palliative care practices, as the rates of addiction to opioid medications in this country rise, we are seeing an increasing number of patients with advanced illness and active or history of addiction which informs their care. In addition, as the generation that was first treated in methadone maintenance clinics ages, they are entering the population of palliative care patients in greater numbers. Caring for these patients can prove challenging as they demonstrate both psychosocial complexity and opioid tolerance. In addition, caring for the actively addicted patient provides challenges that are psychological, social, medical, and legal. Historically, pain has been under-treated in patients on opioid agonist therapy. Many barriers and misconceptions exist which lead to undertreatment of pain. In this highly interactive and multidisciplinary workshop we will address barriers to caring for patients with addiction that are both behavioral and physiologic and include concern for readdiction, aberrant drug behavior, drug-seeking behavior, as well as opioid hyperalgesia and tolerance as a result of opioid agonist therapy. We will address the benefits of treating addiction and how to use an interdisciplinary approach to manage pain in patients with a history of addiction and those currently on opioid maintenance medications (methadone and suboxone).We will use case discussions and role play in small groups to identify barriers to effective care and interdisciplinary resources, and to practice diagnosing and managing addiction and pain management. We will also use worksheets in small groups to practice dose conversions from suboxone to methadone and to other opioids, and managing acute and chronic pain in patients on suboxone andmethadone.</t>
  </si>
  <si>
    <t>(Skarf L.) (Schaefer K.) (Narang S.) (Peteet J.; Nabati L.; Scullion B.; Fitzgerald K.) (Wilson E.; Chittenden E.) (O'Donnell A.) Annual Assembly of the American Academy of Hospice and Palliative Medicine and the Hospice and Palliative Nurses Association 2012 Denver, CO, United States 2012-03-07 to 2012-03-10 Elsevier Inc.; ID: 2586</t>
  </si>
  <si>
    <t>10.1016/j.jpainsymman.2011.12.005 FULL TEXT LINK http://dx.doi.org/10.1016/j.jpainsymman.2011.12.005</t>
  </si>
  <si>
    <t>Skutle,A.;Bu,E. T. H.;Jellestad,F. K.;van Emmerik-van Oortmerssen,K.;Dom,G.;Verspreet,S.;Carpentier,P. J.;Ramos-Quiroga,J.;Franck,J.;Konstenius,M.;Kaye,S.;Demetrovics,Z.;Barta,C.;Fatsâ”œâŒas,M.;Auriacombe,M.;Johnson,B.;Faraone,S. V.;Levin,F. R.;Allsop,S.;Carruthers,S.;Schoevers,R. A.;Koeter,M. W. J.;van,den Brink;Moggi,F.;Mâ”œâ••ller,M.;van,de Glind;Author,Addresses;Bergen Clinics,Foundation;Bergen,Norway;Department of,Biological;Medical Psychology,University;of Bergen,Norway;Amsterdam;Institute for Addiction Research, Department of Psychiatry,Academic Medical;Center,University of Amsterdam Amsterdam Netherlands;The,Netherlands Arkin;Netherlands;Collaborative Antwerp,Psychiatry Research;Belgium,P. C. A.;Reinier van,Arkel groep;Servei de Psiquiatria, Hospital,Universitari Vall;d'Hebron, Cibersam Department of Psychiatry,Universitat Aut;Barcelona,Barcelona Spain;Department of,Clinical Neuroscience;Psychiatry,Karolinska Institutet Stockholm Sweden;National,Drug;Alcohol Research Centre, Unsw,Australia Sydney;Australia;Institute,of Psychology;Budapest,Hungary;Institute of Medical Chemistry, Molecular,Biology and;Pathobiochemistry,Semmelweis University Budapest Hungary;Laboratoire,de psychiatrie;d'addictologie, Universitâ”œâŒ de Bordeaux,Bordeaux France;Department of Psychiatry, Suny,Upstate Medical;University,Syracuse United States;Department of,Neuroscience;Physiology,Suny;Upstate Medical University, Syracuse,United States;Columbia University/the New York,State Psychiatric;United,States;National,Drug Research;University,of Technology;Dept of Psychiatry, University Medical,Center Groningen;University,of Groningen;Department of Psychology, University of,Fribourg Fribourg;Switzerland;University Hospital of Psychiatry, University of,Bern Bern;Switzerland;Sykehuset â”œÃ¿stfold,Norway;Trimbos Instituut,Icasa,Foundation Netherlands;Correspondence,Address;Skutle, Stiftelsen Bergensklinikkene Nye Sandviksvei Bergen Norway,A.</t>
  </si>
  <si>
    <t>Early developmental, temperamental and educational problems in 'substance use disorder' patients with and without ADHD: Does ADHD make a difference?</t>
  </si>
  <si>
    <t>Addictive Behaviors Reports</t>
  </si>
  <si>
    <t>alcohol;amphetamine;antidepressant agent;benzodiazepine derivative;cannabis;cocaine;diamorphine;illicit drug;methadone;methamphetamine;methylphenidate;opiate;tranquilizer;attention deficit disorder;developmental disorder;education;substance abuse;temperament;acting out;adult;alcohol consumption;article;cannabis use;child development;child rearing;cocaine dependence;cross-sectional study;depression;early diagnosis;female;gender;high school;human;hyperactivity;major clinical study;male;methamphetamine dependence;mini international neuropsychiatric interview;multicenter study;primary school;psychiatrist;psychologist;reading;walking;writing;alcohol (64-17-5);amphetamine (1200-47-1, 139-10-6, 156-34-3, 2706-50-5, 300-62-9, 51-62-7,;60-13-9, 60-15-1);cannabis (8001-45-4, 8063-14-7);cocaine (50-36-2, 53-21-4, 5937-29-1);diamorphine (1502-95-0, 561-27-3);methadone (1095-90-5, 125-56-4, 23142-53-2, 297-88-1, 76-99-3);methamphetamine (28297-73-6, 51-57-0, 537-46-2, 7632-10-2);methylphenidate (113-45-1, 298-59-9);opiate (53663-61-9, 8002-76-4, 8008-60-4);Public Health, Social Medicine and Epidemiology (17);Psychiatry (32);Drug Literature Index (37);Drug Dependence, Alcohol Abuse and Alcoholism (40)</t>
  </si>
  <si>
    <t>Introduction: The prevalence of ADHD among patients with substance use disorder (SUD) is substantial. This study addressed the following research questions: Are early developmental, temperamental and educational problems overrepresented among SUD patients with ADHD compared to SUD patients without ADHD? Do this comorbid group receive early help for their ADHD, and are there signs of self-medicating with illicit central stimulants? Method: An international, multi-centre cross-sectional study was carried out involving seven European countries, with 1205 patients in treatment for SUD. The mean age was 40. years and 27% of the sample was female. All participants were interviewed with the Mini International Neuropsychiatric Interview Plus and the Conners' Adult ADHD Diagnostic Interview for DSM-IV. Results: SUD patients with ADHD (n = 196; 16.3% of the total sample) had a significantly slower infant development than SUD patients without ADHD (n = 1,009; 83.4%), had greater problems controlling their temperament, and had lower educational attainment. Only 24 (12%) of the current ADHD positive patients had been diagnosed and treated during childhood and/or adolescence. Finally, SUD patients with ADHD were more likely to have central stimulants or cannabis as their primary substance of abuse, whereas alcohol use was more likely to be the primary substance of abuse in SUD patients without ADHD. Conclusion: The results emphasize the importance of early identification of ADHD and targeted interventions in the health and school system, as well as in the addiction field.</t>
  </si>
  <si>
    <t>(Skutle A., skua@bergenclincs.no; Bu E.T.H.) (Jellestad F.K.) (van Emmerik-van Oortmerssen K.; Koeter M.W.J.; van den Brink W.) (van Emmerik-van Oortmerssen K.) (Dom G.; Verspreet S.) (CAPRI, UA) (Carpentier P.J.) (Ramos-Quiroga J.A.) (Franck J.; Konstenius M.) (Kaye S.) (Demetrovics Z.) (Barta C.) (Fatsâ”œâŒas M.; Auriacombe M.) (Johnson B.; Faraone S.V.) (Levin F.R.) (Allsop S.; Carruthers S.) (Schoevers R.A.) (Moggi F.) (Mâ”œâ••ller M.) (van de Glind G.) Elsevier Ltd; ID: 2036</t>
  </si>
  <si>
    <t>2352-8532 (electronic)</t>
  </si>
  <si>
    <t>2015017981 PUI L604165169</t>
  </si>
  <si>
    <t>10.1016/j.abrep.2015.03.001 FULL TEXT LINK http://dx.doi.org/10.1016/j.abrep.2015.03.001</t>
  </si>
  <si>
    <t>Smith,D. R.;Wei,N.;Wang,R. S.;Author,Addresses;Correspondence,Address;Smith,D. R.</t>
  </si>
  <si>
    <t>16375041; Tobacco smoking habits among Chinese medical students and their need for health promotion initiatives</t>
  </si>
  <si>
    <t>Health promotion journal of Australia : official journal of Australian Association of Health Promotion Professionals</t>
  </si>
  <si>
    <t>health promotion;medical student;smoking (epidemiology, prevention);adult;age;China (epidemiology);female;human;letter;male;organization and management;sex difference</t>
  </si>
  <si>
    <t>(Smith D.R.; Wei N.; Wang R.S.); ID: 3142</t>
  </si>
  <si>
    <t>1036-1073</t>
  </si>
  <si>
    <t>http://www.ncbi.nlm.nih.gov/pubmed/16375041</t>
  </si>
  <si>
    <t>Tobacco smoking habits among Chinese medical students and their need for health promotion initiatives</t>
  </si>
  <si>
    <t>Smith,D. R.;Zhang,X.;Zheng,Y.;Wang,R. S.;Author,Addresses;National,Institute of;Health,Nagao Tama-Ku Kawasaki Japan;Chinese Center,for Disease;Prevention;China;Correspondence,Address;DR Smith, Department of Hazard Assessment National,Institute of;Industrial Health, Nagao Tama-Ku Kawasaki,Japan Email;smith@niih.go.jp</t>
  </si>
  <si>
    <t>16255455; Tobacco use among public health professionals in Beijing: The relationship between smoking and education level 2]</t>
  </si>
  <si>
    <t>Australian and New Zealand Journal of Public Health</t>
  </si>
  <si>
    <t>Aust.N.Z.J.Public Health</t>
  </si>
  <si>
    <t>cigarette smoking;health practitioner;medical education;age distribution;career;chi square test;China;health promotion;human;letter;logistic regression analysis;prevalence;public health;sex difference;smoking cessation;smoking habit;Public Health, Social Medicine and Epidemiology (17)</t>
  </si>
  <si>
    <t>(Smith D.R., smith@niih.go.jp; Wang R.-S.) (Zhang X.; Zheng Y.) Public Health Association of Australia Inc., PO Box 319, Curtin, Australia.; ID: 3156</t>
  </si>
  <si>
    <t>http://www.ncbi.nlm.nih.gov/pubmed/16255455</t>
  </si>
  <si>
    <t>Tobacco use among public health professionals in Beijing: The relationship between smoking and education level [2]</t>
  </si>
  <si>
    <t>Snyder,E.;Castiglioni,A.;Estrada,C.;You,Z.;Kertesz,S.;Schumacher,J. E.;Author,Addresses;University of Alabama at Birmingham, Birmingham,United States;Birmingham,V. A. M.;Center,Birmingham United States;Correspondence,Address;Snyder, University of Alabama at Birmingham Birmingham United States,E.</t>
  </si>
  <si>
    <t>An educational intervention to improve opiate prescribing practices in resident clinic</t>
  </si>
  <si>
    <t>(MAJOR FOCUS);opiate;fentanyl;oxycodone;pethidine;hospital;internal medicine;society;comfort;convenience sample;counseling;gender;human;Likert scale;prescription;self concept;teaching;university hospital;urine</t>
  </si>
  <si>
    <t>BACKGROUND: Prescription of chronic opiates is common in resident continuity clinics. Based on prior research data documenting low comfort and lack of key knowledge among internal medicine residents and faculty, we implemented a multi-pronged educational intervention intended to improve comfort, self efficacy, and knowledge of chronic opiate prescribing. METHODS: Our intervention consisted of development and delivery of 1) educational posters to each resident clinic site including standard recom- mendations and a guide to urine drug test interpretation, 2) pocket cards to all residents with similar information and 2) two large group lectures. Internal medicine residents and teaching faculty at a single academic medical center were surveyed pre- and post-intervention at intervals 18 months apart (each a convenience sample of persons attending a required educational activity). Using identical questions each time, the survey assessed: a) experience with opiate management (5 items, 4-point Likert), b) comfort with both opiate management (11 items) and tobacco/alcohol counseling (4 items, Likert scale), c) self-efficacy (comparing current practice to ideal practice) and d) knowledge related to typical opiate prescription management (anticipation of correct drug screen results (10 items), and 15 true/false (T/F) questions). Mean scores for the pre-intervention and post-intervention samples were compared, adjusting for gender and training level. RESULTS: The pre-intervention sample consisted of 48 participants (76% residents, 24% faculty) while the post-intervention consisted of 39 (64% residents, 36% faculty). Pre- to post, overall comfort with opiate management decreased slightly from 32.2 (out of a possible 45, higher scores corresponding to higher comfort) to 29.9 (p=0.09). There was no significant change in selfefficacy (Pre: 27.4 (out of possible 40) vs Post: 28.8 (p=0.13). Prior to our intervention, correct anticipation of standard urine drug screen results was poor, scoring 5.8 (out of 10). Incorrect responses were especially prevalent for fentanyl, demerol, and oxycodone (on this last item, only 10% responded correctly). Post-intervention, knowledge increased to 6.8 (p&lt;0.01 unadjusted, and p=0.09 adjusting for gender and training level). Correct anticipation of oxycodone results increased to 41% (p&lt;0.001). Knowledge rating on T/F questions increased from 12.1 (out of 15) to 13.3 post-intervention (p=.002, adjusting for gender and training level). CONCLUSIONS: A relatively modest intervention consisting of lectures, posters, and pocket cards helped to close key knowledge gaps, but did not improve comfort. This discomfort may be appropriate, however, as our intervention may have alerted learners to previously unrecognized levels of complexity in chronic opiate prescribing.</t>
  </si>
  <si>
    <t>(Snyder E.; Castiglioni A.; Estrada C.; You Z.; Kertesz S.; Schumacher J.E.) (Snyder E.; Castiglioni A.; Estrada C.; Kertesz S.) 35th Annual Meeting of the Society of General Internal Medicine, SGIM 2012 Orlando, FL, United States 2012-05-09 to 2012-05-12 Springer New York; ID: 2538</t>
  </si>
  <si>
    <t>Sobell,L. C.;Sdao-Jarvie,K.;Frecker,R. C.;Brown,J. C.;Cleland,P. A.;Author,Addresses;Addiction Research Foundation, University of Toronto,Toronto Ont;Canada;Faculty of Medicine, University,of Toronto;Toronto,Ont Canada;Nova Southeastern University, Center,for Psychological;Studies,College Avenue Fort Lauderdale F.L.United States;Correspondence,Address;LC Sobell, Nova Southeastern University Center for,Psychological Studies;College Avenue, Fort Lauderdale,F.L.United States</t>
  </si>
  <si>
    <t>Long-term impact of addictions training for medical residents</t>
  </si>
  <si>
    <t>addiction;residency education;article;curriculum;long term care;medical education;outpatient;patient care;substance abuse;training;Public Health, Social Medicine and Epidemiology (17);Drug Dependence, Alcohol Abuse and Alcoholism (40)</t>
  </si>
  <si>
    <t>The present survey was conducted to determine the long-term impact of addictions training on the practice patterns of physicians who completed a specialized addictions residency training program. Medical residents and medical research fellows who participated in a residency training program in addictions from 1981 through 1991 at the Addiction Research Foundation in Toronto were mailed a brief questionnaire about their training experience. Of the 27 physicians who responded to the questionnaire (73% response rate), 52% were currently working in the addictions field. Of the 13 who were not working in the field, 77% reported using their addictions training in their current practice. Thus, 89% of the physicians who participated in the specialized addictions residency training program and responded to the survey reported continued utilization of their training several years after the experience.</t>
  </si>
  <si>
    <t>(Sobell L.C.; Sdao-Jarvie K.; Frecker R.C.; Brown J.C.; Cleland P.A.) (ARF) (Sobell L.C.; Frecker R.C.) (Sobell L.C.); ID: 3483</t>
  </si>
  <si>
    <t>1997204860 PUI L27287550</t>
  </si>
  <si>
    <t>Sobell,M. B.;Sobell,L. C.;Author,Addresses;Center for,Psychological;Studies,Nova Southeastern University College Ave Fort Lauderdale</t>
  </si>
  <si>
    <t>Substance use, health, and mental health</t>
  </si>
  <si>
    <t>Clinical Psychology: Science and Practice</t>
  </si>
  <si>
    <t>alcohol (drug interaction);antiretrovirus agent (drug interaction);anxiolytic agent (drug combination, drug interaction, drug therapy);barbituric acid derivative (drug combination, drug interaction, drug;therapy);medical education;mental disease (diagnosis, drug therapy);substance abuse;alcoholism (diagnosis);bipolar disorder (diagnosis);clinical practice;comorbidity;depression (diagnosis);Diagnostic and Statistical Manual of Mental Disorders;disease association;disease exacerbation;disease severity;disease surveillance;drug potentiation;editorial;education program;health hazard;health program;high risk patient;human;medical society;mental health care;professional competence;psychologic assessment;psychologist;risk assessment;alcohol (64-17-5);Public Health, Social Medicine and Epidemiology (17);Psychiatry (32);Drug Literature Index (37);Drug Dependence, Alcohol Abuse and Alcoholism (40)</t>
  </si>
  <si>
    <t>The several articles and commentaries in this Special Issue of Clinical Psychology: Science and Practice draw needed attention to the high prevalence of comorbid psychiatric and substance use disorders and how these disorders are related to an increase in health problems. In this introduction, we suggest that doctoral programs could be enhanced by training psychologists about the effects that substance use and abuse have on health and mental health problems. â”¬âŒ 2007 American Psychological Association.</t>
  </si>
  <si>
    <t>(Sobell M.B., sobellm@nova.edu; Sobell L.C.) Blackwell Publishing Inc., 350 Main Street, Malden, United States.; ID: 3051</t>
  </si>
  <si>
    <t>0969-5893 1468-2850 (electronic)</t>
  </si>
  <si>
    <t>2007116240 PUI L46351449</t>
  </si>
  <si>
    <t>10.1111/j.1468-2850.2007.00056.x FULL TEXT LINK http://dx.doi.org/10.1111/j.1468-2850.2007.00056.x</t>
  </si>
  <si>
    <t>Sochocka,L.;Kurpas,D.;Author,Addresses;Panstwowa,Medyczna Wyzsza;Zawodowa,w. Opolu;Katedra,i. Zak;Rodzinnej Akademii Medycznej,we Wroc;Correspondence,Address;Sochocka, Instytut Pielegniarstwa Pmwsz ul Katowicka Opole,L.;Poland Email,l-sochocka,wp pl</t>
  </si>
  <si>
    <t>Prevention of addictions amongst children and young people - Opinions of first-year students of the National Vocational Medical Higher Education School in Opole ORIGINAL (NON-ENGLISH) TITLE Profilaktyka uzaleznieâ”¼Ã¤ wâ”¼Â¢râ”œâ”‚d dzieci i mâ”¼Ã©odziezy - Opinie studentâ”œâ”‚w I roku Paâ”¼Ã¤stwowej Medycznej Wyzszej Szkoâ”¼Ã©y Zawodowej w O polu</t>
  </si>
  <si>
    <t>January-March</t>
  </si>
  <si>
    <t>addiction (prevention);alcoholism;article;clinical assessment;human;medical education;medical school;medical student;prophylaxis;psychotherapy;substance abuse;vocational education;Public Health, Social Medicine and Epidemiology (17);Drug Dependence, Alcohol Abuse and Alcoholism (40)</t>
  </si>
  <si>
    <t>Background. The proposed solution is an integral prevention which takes into account the overall situation of the pupil and provides for close collaboration of various environments to shape children and adolescents abstinence attitudes. Objectives. An aim of the study was assess the opinion of first year students of a N ational Vocational Medical Higher Education School in Opole on the subject of the prevention of addictions amongst children and young people. Material and methods. The study was carried out with by diagnostic survey amongst first-year students of the National Vocational Medical Higher Education School in Opole. Results. 190 students took part in the study, who understand the prevention aimed at limiting the use of psychoactive substances by children and young people. This action, in the opinion of 39.40% of respondents should be taken towards children as young as 10 years old. A school educator should be an initiator of prophylactic action in the opinion of 53.10%. The most effective methods of prevention of addictions were: meeting with psychotherapists from the centre of addictions treatment - 61% and the film - 54.20%. The ban on the advertisement of alcohol is one of essential elements of the addictions prevention in the TV according to 51.50% of the respondents. Conclusions. It is worthwhile to popularize the model of the integral prevention amongst the National Vocational Medical Higher Education School in Opole. Students have their own opinion on the subject of the effectiveness of the realization of action from the scope of the prevention of addictions. The definition and implementation of subsequent programs should therefore be consulted with young people, who are the target group. â”¬âŒ Copyright by Wydawnictwo Continuo.</t>
  </si>
  <si>
    <t>(Sochocka L., l-sochocka@wp.pl; Kurpas D.) Wydawnictwo Continuo, ul.lelewela 4, Wroclaw woj.dolnoslaskie, Poland.; ID: 2833</t>
  </si>
  <si>
    <t>2010186519 PUI L358510245</t>
  </si>
  <si>
    <t>Prevention of addictions amongst children and young people - Opinions of first-year students of the National Vocational Medical Higher Education School in Opole ORIGINAL (NON-ENGLISH) TITLE Profilaktyka uzaleznieÃ¢â€Â¼ÃƒÂ¤ wÃ¢â€Â¼Ã‚Â¢rÃ¢â€Å“Ã¢â€â€šd dzieci i mÃ¢â€(TRUNCATED)</t>
  </si>
  <si>
    <t>Sohnius,R.;Author,Addresses;Siemens Ag,Karlsruhe;Correspondence,Address;Karlsruhe,R. Sohnius, Siemens A.G.</t>
  </si>
  <si>
    <t>Educational problems related to the topic Nicotine, alcohol, narcotic drug ORIGINAL (NON-ENGLISH) TITLE Erziehungsprobleme zum thema nikotin, alkohol, rauschgigft</t>
  </si>
  <si>
    <t>Arbeitsmed.Sozialmed.Arbeitshyg.</t>
  </si>
  <si>
    <t>(MAJOR FOCUS);alcohol;narcotic agent;nicotine;abstinence;adolescent;adult;alcohol abstinence;coffee;drug dependence;education;health education;hygiene;ischemia;occupational physician;patient;physician;pollution;pregnant woman;smoking;therapy;tobacco;alcohol (64-17-5)</t>
  </si>
  <si>
    <t>The occupational physician is also charged with the general education of adults as well as of adolescents with regard to hygiene. Two kinds of preventive hygiene must be distinguished: passive hygiene, which submits a patient to a certain medical treatment with the patients agreement; and active hygiene, which requires that the patipnt proceeds according to the instructions m the physician. The abusive consumption of tobacco, alcohol, coffee, etc., as well as the use of drugs, can only be fought against by active hygiene. It should be mandatory that neither a cardiac or circulatory disturbance be submitted to medical treatment without nicotine abstinence, nor a hepatic disturbance without alcohol abstinence. The environmental pollution of the intimate sphere of pregnant women should not be tolerated. Information abuul drugs should bii given with more care and objectivity. Young people have a critical mind and take contradictory opinions of the adults as un argument.</t>
  </si>
  <si>
    <t>(Sohnius R.); ID: 3934</t>
  </si>
  <si>
    <t>2008891375 PUI L293149593</t>
  </si>
  <si>
    <t>Sokhadze,E.;Cowan,J.;Horrell,T.;Tasman,A.;Sokhadze,G.;Stewart,C.;Author,Addresses;University,of Louisville;States;Correspondence,Address;Sokhadze, University of Louisville United States Email,E.;tato.sokhadze@louisville.edu</t>
  </si>
  <si>
    <t>Effects of gamma neurofeedback training on perceived positiveemotional state and cognitive functions</t>
  </si>
  <si>
    <t>cognition;neurofeedback;society;abuse;achievement;addiction;adolescent;adult;alcohol abuse;alexithymia;allostasis;autoregulation;Beck Depression Inventory;brain;cognitive defect;community mental health;drug abuse;drug dependence;drug use;dynamics;dysphoria;electroencephalogram;emotion;happiness;health care;homeostasis;human;hypothesis;mental instability;oscillation;pilot study;prediction;processing;reading;reward;risk;satisfaction;self report;sensitization;student;substance abuse;training</t>
  </si>
  <si>
    <t>Introduction It has been shown that emotional abnormalities are typical for addicts. Alexithymia (i.e., state of deficiency in understanding, processing, or describing emotions; Fukunishi, 1996) and dysphoria (i.e., state of inability to experience positive emotions, mood lability; Cowan et al., 1980), and decreased emotional reactivity to natural positive reinforcers (Gerra et al., 2003) are highly prevalent among substance abusers and in those at risk for development of substance use disorders. Therefore, in addition to well-known attentional and cognitive impairment, there are disruptions in processing emotion in individuals with substance dependence and in those predisposed to drug abuse. According to the Î“Ã‡Â£allostasisÎ“Ã‡Â¥ theory (Koob et al., 2004; Koob &amp; Le Moal, 2001) sensitization to drugs and counteradaptation are hypothesized to contribute to dysregulation of hedonic homeostasis and to observed brain reward system abnormalities in already-addicted individuals. However, in some cases hedonic dysfunctions and lower sensitivity to positive affect might be an inherited trait predisposing afflicted individuals to drug-seeking and drug-taking behaviors that may result in substance abuse and ultimately in drug dependence. Neurofeedback training-based neurotherapy is one of the potentially efficacious nonpharmacological treatment options for substance use disorders (Sokhadze et al., 2007, 2008, 2009). There have been an increasing number of neurofeedback protocols that report success in treating a variety of addictive behaviors. There are practically no studies on the use of neurofeedback in adolescents and young adults with occasional drug use when individuals have drug use history but did not yet developed substance dependence (Trudeau, 2005). One of the most promising direction of neurofeedback research is development of protocols that might be used to prevent drug abuse through self-regulation training aimed to enhance of EEG measures of positive emotional states. In a previous study it was show an association of prefrontal gamma oscillations with positive emotional states (Cowan &amp; Rubik, 2009). One of the specific aims of this pilot study was to determine the dynamics of self-reported perceived positive emotional state rating before, during and after twelve 25-min-long neurofeedback training course in 2 groups of participants. One group had documented drug use history (N=6; most of them referred from Louisville Adolescent Network for Substance Abuse Treatment- a community mental health system of care for adolescents with substance use=abuse issues), and the other was a group of drugnaâ”œÂ»ve participants (N=6; recruited mostly from students and residents). Our hypothesis was that the prefrontal high-frequency power increase over 12 neurofeedback training sessions is possible and will be accompanied by increased rating scores of positive emotional states. Our prediction was that successful completers of the neurofeedback training in the groups of adolescents and young adults both with and without drug= alcohol abuse history will improve subsequent performance on cognitive tests and will increase positive affect. Method As a preferred neurofeedback protocol, we used enhancement of gamma range (centered around 40 Hz) activity (so-called Neureka! parameter; Peak Achievement Trainer PAT]) and inhibition=suppression of other frequencies (i.e., Î“Ã‡Â£FocusÎ“Ã‡Â¥ parameter) at the prefrontal site (FPz). Training of highfrequency activity in 40Hz centered gamma band at themidline prefrontal site after 12 sessions resulted, as it was predicted in better performance on neurocognitive (MicroCog) and attention (IVA+Plus) tasks and improved scores on emotional self-reports (happiness and self-satisfaction, Siahpush et al., 2008) and clinical (Beck Depression Inventory-II; Beck et al., 1996) status. This protocol used in the study is based on the PAT application Î“Ã‡Â£Brain Happiness and FocusÎ“Ã‡Â¥ and is intended to train focus, concentration and emotional state (Cowan, 2008). Individual reports of self-received happiness scores were assessed during each neurofeedback session using the Continuous Response Digital Interface dial (CRDI; Geringer et al., 2004) and recorded on a per-minute basis. The CRDI reading showed significant positive correlation with relative gamma power during individual training sessions and exhibited the tendency to increase with the number of conducted neurofeedback sessions. Conclusion Neurofeedback training aimed at enhancement of focus and Neureka! measures was accompanied by positively correlated subjective self-reports of positive emotional feelings during self-regulation sessions and resulted in improved performance on IVA+Plus and MicroCog tests at the post-12-session neurofeedback course. Posttraining evaluations showed a decrease in depression scores and increased happiness and self-satisfaction rating in both participant groups in this study. We discuss potential utility of the Focus and Neureka! protocol for self-regulation of attention and emotional state in individuals predisposed for substance abuse.</t>
  </si>
  <si>
    <t>(Cowan J.; Horrell T.; Tasman A.; Sokhadze G.; Stewart C.) (Sokhadze E., tato.sokhadze@louisville.edu) 18th Annual Conference of the International Society for Neurofeedback and Research, ISNR 2010 Denver, CO, United States 2010-09-29 to 2010-10-03 Routledge; ID: 2779</t>
  </si>
  <si>
    <t>Solanki,U.;Rathod,H.;Shah,V.;Sailor,T.;Author,Addresses;Department,of Forensic;and Toxicology,Gmers,Medical College;General Hospital,Gotri Vadodara;India;Correspondence,Address;Solanki, Department of Forensic Medicine,U.;Toxicology,Gmers Medical;College;General Hospital,Gotri,Vadodara India</t>
  </si>
  <si>
    <t>Study of pattern of cases on alcoholism recorded at gmers medical college and general hospital, Vadodara</t>
  </si>
  <si>
    <t>Indian Journal of Forensic Medicine and Toxicology</t>
  </si>
  <si>
    <t>sodium fluoride;alcoholism;behavior;general hospital;medical school;adolescent;adult;aged;alcohol consumption;article;behavioral economics;blood;climate change;cohort analysis;controlled study;female;gas chromatography;government;Gujarat;health care planning;human;law;legal service;Maharashtra;major clinical study;male;middle aged;prison;punishment;retrospective study;summer;winter;young adult;sodium fluoride (51668-54-3, 7681-49-4, 79933-27-0);Public Health, Social Medicine and Epidemiology (17);Clinical and Experimental Biochemistry (29);Health Policy, Economics and Management (36);Drug Dependence, Alcohol Abuse and Alcoholism (40);Forensic Science Abstracts (49)</t>
  </si>
  <si>
    <t>Gujarat is a dry state for almost six decades. Now has plan to make prohibition law more stringent, particularly for locals who could end up in jail for three years and pay Rs 5 lakh fine if caught with liquor bottle. For visitors and tourists access to alcohol has been made easier. This study was carried out in GMERS Medical College and General Hospital, Vadodara. Total 1276 cases were recorded from April 2015 to march 2016. During the year number of cases found increased during the winter months and decreased during summer months. More cases are recorded from people of low economical communities. Law implementation, education, employment and reduced work stress will definitely help to reduce alcohol intake and to build nation.</t>
  </si>
  <si>
    <t>(Solanki U.; Rathod H.; Shah V.; Sailor T.) Indian Journal of Forensic Medicine and Toxicology, ijfmt@hotmail.com; ID: 1723</t>
  </si>
  <si>
    <t>0973-9130 (electronic) 0973-9122</t>
  </si>
  <si>
    <t>20180334421 PUI L622095473</t>
  </si>
  <si>
    <t>10.5958/0973-9130.2018.00082.8 FULL TEXT LINK http://dx.doi.org/10.5958/0973-9130.2018.00082.8</t>
  </si>
  <si>
    <t>Sorensen,A. A.;Leske,M. C.;Author,Addresses;Univ,Rochester Sch;Correspondence,Address;Univ,Rochester Sch</t>
  </si>
  <si>
    <t>Training the staff of a drug addiction treatment facility: A case study of Hogar De Encuentro</t>
  </si>
  <si>
    <t>drug dependence;medical education;Public Health, Social Medicine and Epidemiology (17);Psychiatry (32)</t>
  </si>
  <si>
    <t>(Sorensen A.A.; Leske M.C.); ID: 3868</t>
  </si>
  <si>
    <t>1978090841 PUI L8090274</t>
  </si>
  <si>
    <t>Sorensen,J. A.;Fanciullo,G. J.;Author,Addresses;Department;of Anesthesiology, Dartmouth-Hitchcock Medical Center,Lebanon N.;States;Pain Management,Center;Dartmouth-Hitchcock Medical Center, One Medical Center Drive,Lebanon N.;States,United;Correspondence,Address;JA Sorensen, Pain Management Center Dartmouth-Hitchcock,Medical Center;One Medical Center Drive, Lebanon N H United,States Email;Julie.A.Sorensen@Hitchcock.org</t>
  </si>
  <si>
    <t>Ordering and interpretation of urine toxicology specimens in patients treated with opioids</t>
  </si>
  <si>
    <t>Techniques in Regional Anesthesia and Pain Management</t>
  </si>
  <si>
    <t>(MAJOR FOCUS);opiate (adverse drug reaction, drug analysis, drug therapy);chronic pain (drug therapy);opiate addiction (diagnosis, side effect);toxicity testing;analgesia;behavior;devices;drug efficacy;drug screening;human;laboratory test;micturition;patient compliance;patient monitoring;physician;practice guideline;responsibility;review;risk assessment;screening test;self medication;urinalysis;opiate (53663-61-9, 8002-76-4, 8008-60-4);Psychiatry (32);Drug Literature Index (37);Adverse Reactions Titles (38);Drug Dependence, Alcohol Abuse and Alcoholism (40);Neurology and Neurosurgery (8)</t>
  </si>
  <si>
    <t>We come from the perspective that opioids are efficacious in the management of nonterminal chronic pain. Responsible care within such a model requires that pain management physicians are adequately familiar with the broad ordering and interpretation of urine toxicology specimens, and especially with interpretation specific to issues of opiate use, addiction, and diversion as commonly seen in the course of clinical care, including risk assessment. This article provides an overview of these and related concerns. â”¬âŒ 2005 Elsevier Inc. All rights reserved.</t>
  </si>
  <si>
    <t>(Sorensen J.A., Julie.A.Sorensen@Hitchcock.org; Fanciullo G.J.) (Sorensen J.A., Julie.A.Sorensen@Hitchcock.org); ID: 3157</t>
  </si>
  <si>
    <t>1084-208X</t>
  </si>
  <si>
    <t>2005584758 PUI L41832394</t>
  </si>
  <si>
    <t>10.1053/j.trap.2005.10.009 FULL TEXT LINK http://dx.doi.org/10.1053/j.trap.2005.10.009</t>
  </si>
  <si>
    <t>Sorsdahl,K.;Stein,D. J.;Grimsrud,A.;Seedat,S.;Flisher,A.;Williams,D.;Author,Addresses;University,of Cape;South,Africa;University,of Stellenbosch;University,of Harvard;Correspondence,Address;Sorsdahl, University of Cape Town South Africa,K.</t>
  </si>
  <si>
    <t>Traditional healers in the treatment of common mental disorders in South Africa</t>
  </si>
  <si>
    <t>Journal of affective disorders</t>
  </si>
  <si>
    <t>J.Affect.Disord.</t>
  </si>
  <si>
    <t>122 SUPPL. 1</t>
  </si>
  <si>
    <t>mental disease;mood disorder;society;South Africa;traditional medicine;adult;anxiety;Black person;demography;diagnosis;Diagnostic and Statistical Manual of Mental Disorders;education;health care;interview;lifespan;logistic regression analysis;mental health;mental health care;physician;substance abuse;unemployment;world health organization</t>
  </si>
  <si>
    <t>Background: South Africans who suffer from psychiatric disorders are treated by both Western and alternative practitioners, including traditional healers and religious or spiritual advisors. However there are limited data on the frequency and predictors of such consultation.We examined the role of alternative practitioners in mental health seeking behaviour within a nationally representative sample of South African adults. Methods: A national survey was conducted using the World Health Organization Composite International Diagnostic Interview (CIDI) to generate diagnoses based on the Diagnostic and Statistical Manual of Mental Disorders - Fourth Edition (DSM-IV). The survey included questions on treatment by Western and alternative practitioners. The independent effects of participant demographic characteristics on Western and alternative healers were assessed using logistic regression. Results: A minority of participants with a lifetime DSM-IV diagnosis obtained treatment from Western (29%) or alternative (20%) practitioners. Traditional healers were consulted by 9% of the respondents and 11% consulted a religious or spiritual advisor. Use of alternative practitioner and traditional healer in the full sample was predicted by older age, black race, unemployment, lower education and having an anxiety or a substance use disorder. Conclusions: Alternative practitioners including traditional healers play an important role in the delivery of mental health care in South Africa. Although attention has previously been paid to the need for Western practitioners to collaborate with traditional healers in order to optimize health care in the country, the data here also emphasize the potential importance of working with religious and spiritual advisors.</t>
  </si>
  <si>
    <t>(Sorsdahl K.; Stein D.J.; Grimsrud A.; Flisher A.) (Seedat S.) (Williams D.) 5th Biennial Meeting of the International Society for Affective Disorders, ISAD Vancouver, BC, Canada 2010-04-16 to 2010-04-19 Elsevier; ID: 2808</t>
  </si>
  <si>
    <t>0165-0327</t>
  </si>
  <si>
    <t>10.1016/j.jad.2010.02.027 FULL TEXT LINK http://dx.doi.org/10.1016/j.jad.2010.02.027</t>
  </si>
  <si>
    <t>Sousa,A. B.;Lotufo,J. P. B.;Fukuoka,M. H.;Sakai,M. C.;Galvâ”œÃºo,G. F.;Ribeiro,E.;Wasicovichi,N. N.;Fuchida,C. L.;Takahashi,P. S. K.;Souza,E. T. C.;Author,Addresses;University of Sâ”œÃºo Paulo, Pharmacy Service University,Hospital S.;Brazil;University of Sâ”œÃºo Paulo, Medical Service University,Hospital S.;Brazil;Correspondence,Address;AB Sousa, University of Sâ”œÃºo Paulo Pharmacy Service,University Hospital;Sâ”œÃºo Paulo,Brazil</t>
  </si>
  <si>
    <t>Smoking cessation pharmacotherapy improves patients adherence and increases the ability to achieve abstinence from cigarette smoking in a Brazilian teaching hospital</t>
  </si>
  <si>
    <t>European Journal of Hospital Pharmacy: Science and Practice</t>
  </si>
  <si>
    <t>amfebutamone;carbon monoxide;varenicline;abstinence;cigarette smoking;drug therapy;hospital;human;patient;pharmacist;smoking cessation;teaching hospital;breathing;city;community;counseling;dentist;employee;female;follow up;gender;nicotine replacement therapy;nurse;physician;population;psychologist;smoking;tobacco;tobacco dependence;university;university hospital</t>
  </si>
  <si>
    <t>Background: The cessation smoking group (CSG) of University Hospital of University of Sâ”œÃºo Paulo consists of a multidisciplinary team composed of pharmacists, a doctor, a psychologist, nurses, a system analyst, and dentists. Counselling and medicines, such as nicotine replacement therapy, bupropion, and varenicline, are available, free of charge, to treat nicotine dependence on the employees of University of Sâ”œÃºo Paulo. CSG also offers smoking-cessation counselling to all other citizens from the community of Sâ”œÃºo Paulo city who desire to participate in it, yet The authors do not delivery these medicines free of charge for this population. Purpose: The authors aimed to: a) verify patients adherence to CSG in those who received smoking cessation pharmacotherapy plus counselling (G1) compared to those who received only counselling (G2) and b) measure success in smoking cessation within these two groups. Materials and methods: A total of 303 smokers were followed at CSG from 2009 to 2010. The program included active follow-up during one year after quitting. 157 patients belonged to G1 and 146 to G2. Treatment adherence was defined as any subject who took &gt;or=1 dose of any medicine prescribed for &gt;or=80% days during the minimum 12-week treatment period for G1 and the frequency to the meetings &gt;or=80% for G1 and G2. Smoking abstinence was assessed using breath carbon monoxide confirmed weekly and self-reported tobacco cessation. Results: There were no difference between G1 and G2 related to: gender (female 63%), age when enrolled at CSG (41-50 years old, 38%), years smoking (21 - 30 years, 38%), age at initiation of smoking (11-15 years old, 41%), current smoking intake (&gt; 20 units/day, 50%) and Fagerstrâ”œâ•¢n test (80%&gt;5). On the other hand, there were statistically significant differences between G1 and G2 for: the outcome 'adheres to CSG': 68.8 versus 53.4%, respectively, p=0.006</t>
  </si>
  <si>
    <t>(Sousa A.B.; Lotufo J.P.B.; Fukuoka M.H.; Sakai M.C.; Galvâ”œÃºo G.F.; Ribeiro E.; Wasicovichi N.N.; Fuchida C.L.; Takahashi P.S.K.; Souza E.T.C.) (Sousa A.B.; Lotufo J.P.B.; Fukuoka M.H.; Sakai M.C.; Galvâ”œÃºo G.F.; Ribeiro E.; Wasicovichi N.N.; Fuchida C.L.; Takahashi P.S.K.; Souza E.T.C.) 2012 European Association of Hospital Pharmacists, EAHP Congress Milan, Italy 2012-03-21 to 2012-03-23 BMJ Publishing Group; ID: 2563</t>
  </si>
  <si>
    <t>10.1136/ejhpharm-2012-000074.355 FULL TEXT LINK http://dx.doi.org/10.1136/ejhpharm-2012-000074.355</t>
  </si>
  <si>
    <t>Sowers,W.;Marin,R.;Author,Addresses;Department,of Psychiatry;Institute;Clinic,University of Pittsburgh Medical Center O'Hara;St,Pittsburgh P. A. U. S. A.;Correspondence,Address;Sowers, Email sowerswe upmc edu,W.</t>
  </si>
  <si>
    <t>23338834; A community engaged curriculum for public service psychiatry fellowship training</t>
  </si>
  <si>
    <t>addiction (rehabilitation);community care;cooperation;interdisciplinary communication;medical education;mental disease (rehabilitation);organization and management;social psychiatry;article;curriculum;decision making;education;human;integrated health care system;job satisfaction;leadership;medical school;United States;work</t>
  </si>
  <si>
    <t>Transforming the mental health system into a recovery oriented, integrated system of care requires a psychiatric work force that understands the relationship between recovery processes and community living. Fellowship programs in public and community psychiatry contribute to this transformation by educating psychiatrists about recovery, system dynamics, leadership, effective administration and community involvement. This paper describes a novel approach to fellowship programming that accomplishes these aims through an organizational strategy that emphasizes community engagement. After describing the administrative background for the program, we describe how the content curriculum and teaching process focus on the engagement of community members-both service users and service providers-as participating faculty. The faculty includes over 100 consumers, family members, advocacy group representatives, clinicians, and administrators. We present evaluation data obtained from 45 of the 100 community and university faculty who participated in the first 2â”¬Ã¡years' of the fellowship and conclude with a critique and recommendations for further progress in community engaged fellowship training.</t>
  </si>
  <si>
    <t>(Sowers W., sowerswe@upmc.edu) (Marin R.); ID: 2307</t>
  </si>
  <si>
    <t>1573-2789 (electronic)</t>
  </si>
  <si>
    <t>http://www.ncbi.nlm.nih.gov/pubmed/23338834</t>
  </si>
  <si>
    <t>10.1007/s10597-012-9587-x FULL TEXT LINK http://dx.doi.org/10.1007/s10597-012-9587-x</t>
  </si>
  <si>
    <t>A community engaged curriculum for public service psychiatry fellowship training</t>
  </si>
  <si>
    <t>Soyka,M.;Author,Addresses;Psychiatrische,Klinik;der Universitâ”œÃ±t Mâ”œâ•nchen, Nussbaumstraâ”œÆ’e Mâ”œâ•nchen Germany;Privatklinik,Meiringen;Willigen,Meiringen B. E. Switzerland;Correspondence,Address;Soyka, Psychiatrische Klinik der Universitâ”œÃ±t Mâ”œâ•nchen Nussbaumstraâ”œÆ’e,M.;Mâ”œâ•nchen, Germany Email michael,soyka privatklinik</t>
  </si>
  <si>
    <t>Affective and anxiety disorders and drug addiction ORIGINAL (NON-ENGLISH) TITLE Affektive und Angststâ”œâ•¢rungen und Substanzabhâ”œÃ±ngigkeit</t>
  </si>
  <si>
    <t>Suchtmedizin in Forschung und Praxis</t>
  </si>
  <si>
    <t>antidepressant agent;mood stabilizer;anxiety disorder;drug dependence;mood disorder;article;behavior therapy;bipolar disorder;clinical feature;cognitive therapy;comorbidity;depression;drug dependence treatment;drug indication;human;long term care;mental health center;physician;prognosis;psychotherapy;tranquilizing activity;treatment indication;Public Health, Social Medicine and Epidemiology (17);Psychiatry (32);Drug Dependence, Alcohol Abuse and Alcoholism (40)</t>
  </si>
  <si>
    <t>Substance-induced disorders have been shown to be common in patients with bipolar disorders and to be clinically relevant, particularly as regards prognosis. Pure depressive disorders are slightly more common among patients with dependence disorders than among the general population, whereby long-term studies have shown that the rate of non-substancerelated depressive disorders is significantly higher than the rate of substance-induced depressive disorders. In principle, the same essential features apply in the treatment of affective disorders with dependence disorders as elsewhere, although few treatment studies have been performed. Pharmacological interactions, e.g., of antidepressants or socalled mood stabilisers with drugs, must always be considered. From a clinical perspective, physicians should wait a while before determining an indication for psychopharmacological treatment, because of the difficulties in the differential diagnosis between substance-induced and non-substance-induced affective disorders. As far as the further psychotherapy and rehabilitation of these patients is concerned, simultaneous treatment of both disorders is principally possible and often makes sense. Behavioural therapy concepts in particular are evidence based in so-called double-diagnosis patients. If comorbid disorders are clearly manifest, treatment is preferable in facilities more focussed on psychiatry, because such facilities are often better equipped to treat socalled double-diagnosis patients than 'pure' addiction facilities. In many cases additional indication-based treatment modules can improve the prognosis. Anxiety disorders are more clearly associated with substance-induced disorders, particularly substance dependence, than are affective disorders (apart from bipolar disorder). The anxiolytic effect of various drugs probably plays a role here. Cognitive-behavioural therapies or other psychotherapeutic approaches are useful. In general the evidence base for their use in comorbid affective disorders with dependence disorders is very good, e.g., for cognitive behavioural therapy, motivational interviewing or case management (Kelly et al. 2012, Watkins et al. 2011), whereby highly structured therapies are generally recommended. Depending on their severity, the two disorders can be treated consecutively or simultaneously, although practical but also clinical considerations often make a simultaneous approach seem preferable, particularly for anxiety disorders. A possible reason for treating the anxiety disorder first would be, for example, that false "self-treatment explanations" can thus be ruled out. Some inpatient addiction therapies offer special, indication-dependent treatment modules for comorbid disorders in patients with dependence disorders (Aichmâ”œâ•ller &amp; Soyka 2013). â”¬âŒ ecomed Medizin, Verlagsgruppe Hâ”œâ•thig Jehle Rehm GmbH, Landsberg.</t>
  </si>
  <si>
    <t>(Soyka M., michael.soyka@privatklinik-meiringen.de) Ecomed Publishers, Justus-von-Liebig-Str. 1, Landsberg, Germany.; ID: 2333</t>
  </si>
  <si>
    <t>1437-5567</t>
  </si>
  <si>
    <t>2014029688 PUI L372102935</t>
  </si>
  <si>
    <t>Span,R.;Conrad,H.;Richter,G.;Author,Addresses;Krankenhaus Angermâ”œâ•nde, Fachabteilung fâ”œâ•r Psychiatrie,Psychotherapie und;Psychosomatik;Krankenhaus;Angermâ”œâ•nde,Rudolf-Breitscheid-Str Angermâ”œâ•nde Germany;Correspondence,Address;Richter,Krankenhaus Angermâ”œâ•nde Rudolf-Breitscheid-Str,G.;Angermâ”œâ•nde, Germany Email gudrun,richter krankenhaus</t>
  </si>
  <si>
    <t>Referal rates into inpatient alcohol rehabilitation treatment after comprehensive detoxification ORIGINAL (NON-ENGLISH) TITLE Vermittlungsquoten in die stationâ”œÃ±re alkoholentwâ”œâ•¢hnungsbehandlung nach qualifiziertem entzug</t>
  </si>
  <si>
    <t>alcoholism (rehabilitation);alcohol rehabilitation;alcohol withdrawal syndrome;article;clinical article;clinical feature;controlled study;detoxification;general hospital;hospital patient;human;mental disease;treatment withdrawal;Public Health, Social Medicine and Epidemiology (17);Psychiatry (32);Drug Dependence, Alcohol Abuse and Alcoholism (40)</t>
  </si>
  <si>
    <t>Aims: Description of mediation rates to in-patient alcohol rehabilitation treatment (ART) after professional alcohol withdrawal treatment (AWT) in a special ward of a general hospital. Our results are compared with other mediation rates published in the German language. Method: The study covers all alcohol dependent persons (n = 194) who went in for an in-patient treatment during the study period (May-December 2004). Out of these, n = 89 participated in an AWT (46%), The data were collected from the Psychiatric Basic Documentation (BADO), supplemented by an addiction-medical module. Results: 29% of all AWT patients decided to participate in an ART. We subdivided the group of AWT patients into two groups: Patients with and without ART indication. 44% of the AWT patients with ART indication went for an ART. Conclusions: From the addiction-medical viewpoint, the mediation rates are to be differentiated by subgroups. A subsequent ART is not indicated for all our AWT patients. The results are interpreted on the background of specific regional, structural and clinical features.</t>
  </si>
  <si>
    <t>(Span R.; Conrad H.; Richter G., gudrun.richter@krankenhaus-angermuende.de) (Richter G., gudrun.richter@krankenhaus-angermuende.de); ID: 3085</t>
  </si>
  <si>
    <t>2006566400 PUI L44767443</t>
  </si>
  <si>
    <t>10.1463/2006.05.06 FULL TEXT LINK http://dx.doi.org/10.1463/2006.05.06</t>
  </si>
  <si>
    <t>Spanagel,R.;Author,Addresses;Institute,of;Psychopharmacology,Central Institute of Mental Health University of;Heidelberg,Square J.;Correspondence,Address;Spanagel, Institute of Psychopharmacology Central Institute of Mental,R.;Health,University of Heidelberg Square J.Mannheim Germany Email;rainer.spanagel@zi,mannheim de</t>
  </si>
  <si>
    <t>A systems medicine approach towards understanding alcohol addiction</t>
  </si>
  <si>
    <t>i1</t>
  </si>
  <si>
    <t>alcohol;alcoholism;medicine;adolescent;animal experiment;animal model;biostatistics;brain;conference abstract;early intervention;environmental factor;epigenetics;female;genomics;machine learning;male;neuroimaging;nonhuman;personal experience;personality;prediction;relapse;structure activity relation;transcriptomics;alcohol (64-17-5)</t>
  </si>
  <si>
    <t>Here I will discuss our systems medicine approach to define (i) individual neurobehavioral risk profiles in adolescents that are predictive of alcohol use disorder later in life and (ii) to identify new treatment strategies for alcoholism. To achieve these goals we apply existing databanks and multiple omics-derived datasets that have been supported by several national and EU programs, and combine them with biostatistics, mathematical modeling and neuroimaging. Our approach uses information from epigenomics, genomics, transcriptomics, neurodynamics, and neuroimaging to feed mathematical prediction modules, the results of which will subsequently be functionally validated in independent clinical samples and appropriate animal models. In particular, prediction models for future risky alcohol consumption and addiction that de-rive from machine learning will be presented that incorporate genes, brain structure and function, individual personality, environmental factors, and life experiences. A novel in silico framework for medication development will be also discussed that models alcohol-receptor inter-actions and that allows us to predict drug-induced neurochemical re-sponses in the alcohol dependent brain. This approach will help to deliver early intervention strategies and identify innovative molecules for relapse prevention that will be tested in experimental human studies.</t>
  </si>
  <si>
    <t>(Spanagel R., rainer.spanagel@zi-mannheim.de) 15th European Society for Biomedical Research on Alcoholism Congress, ESBRA 2015 Valencia, Spain 2015-09-12 to 2015-09-15 Oxford University Press; ID: 2078</t>
  </si>
  <si>
    <t>10.1093/alcalc/agv077.03 FULL TEXT LINK http://dx.doi.org/10.1093/alcalc/agv077.03</t>
  </si>
  <si>
    <t>Spickard,A.;Swiggart,W. H.;Manley,G.;Dodd,D.;Author,Addresses;The,Center for;Health,Vanderbilt University Medical Center Oxford House Nashville</t>
  </si>
  <si>
    <t>A continuing education course for physicians who cross sexual boundaries</t>
  </si>
  <si>
    <t>Sexual Addiction and Compulsivity</t>
  </si>
  <si>
    <t>medical ethics;sexual harassment;adult;article;clinical article;continuing education;controlled study;doctor patient relation;human;male;medical profession;medical staff;psychologic assessment;psychosexual disorder (diagnosis);screening test;Public Health, Social Medicine and Epidemiology (17);Psychiatry (32);Forensic Science Abstracts (49)</t>
  </si>
  <si>
    <t>Physicians who cross sexual boundaries with patients pose a serious problem for themselves, the patient and the medical profession. The role of healer is compromised when the physician becomes romantically involved with a patient. In response to the need for physician education about sexual boundaries, the Center for Professional Health at Vanderbilt conducts CME courses for physicians identified as crossing sexual boundaries with patients or medical staff under their supervision. Physicians participating in the course have had little or no training in non-sexual or sexual boundary limits, sexual harassment or proper office procedures to prevent boundary violations. Screening tests for sexual addiction in the physicians attending the course indicated that some physicians should have more in-depth assessments for sexual addiction.</t>
  </si>
  <si>
    <t>(Spickard A.; Swiggart W.H.; Manley G.; Dodd D.); ID: 3334</t>
  </si>
  <si>
    <t>1072-0162</t>
  </si>
  <si>
    <t>2002137806 PUI L34303017</t>
  </si>
  <si>
    <t>10.1080/107201602317346629 FULL TEXT LINK http://dx.doi.org/10.1080/107201602317346629</t>
  </si>
  <si>
    <t>Spiro,H. M.;Author,Addresses</t>
  </si>
  <si>
    <t>When use turns into abuse</t>
  </si>
  <si>
    <t>Drug Therapy</t>
  </si>
  <si>
    <t>24+27+86</t>
  </si>
  <si>
    <t>alcoholism;drug abuse;medical school;physician;article;education;human;Drug Dependence, Alcohol Abuse and Alcoholism (40)</t>
  </si>
  <si>
    <t>(Spiro H.M.); ID: 3665</t>
  </si>
  <si>
    <t>1990373236 PUI L20367325</t>
  </si>
  <si>
    <t>Spithoff,S.;Kahan,M.;Hardy,K.;Clarke,S.;Mukerji,G.;Robertson,A.;Pripstein,L.;Molnar,L.;Krishnamurthy,A.;Lamba,W.;Author,Addresses;Correspondence,Address;Spithoff,S.</t>
  </si>
  <si>
    <t>Pilot feasibility study of a primary care and addiction medicine collaborative care model SUN:SHARE</t>
  </si>
  <si>
    <t>acamprosate;buprenorphine plus naloxone;disulfiram;morphine;naltrexone;opiate;alcoholism;disease model;feasibility study;primary medical care;public health;sun;animal model;Canada;clinical study;clinical trial;consultation;counseling;doctor patient relation;drug megadose;e-mail;education;electronic medical record;family health;female;human;interview;male;prescription;program evaluation;satisfaction;telephone;acamprosate (77337-73-6);disulfiram (97-77-8);morphine (52-26-6, 57-27-2);naltrexone (16590-41-3, 16676-29-2);opiate (53663-61-9, 8002-76-4, 8008-60-4)</t>
  </si>
  <si>
    <t>Context Substance use disorders (SUDs) are a considerable cause of morbidity, mortality, and health care utilization. Few patients are in treatment, largely as a result of poor access to and retention in specialized addiction treatment programs. Primary care might be the solution: outcomes are as good as those in specialized care, retention is better, and capacity is greater. However, because of a lack of training and support, few primary care providers (PCPs) screen and appropriately care for patients with SUDs. As well, PCPs continue to inappropriately prescribe high doses of opioids, increasing the risk of harm (including addiction) to patients. Although there is substantial evidence that shared-care models between PCPs and addiction physicians are the solution to service and knowledge gaps, this model is rarely used in addiction medicine in Canada. We are conducting a program evaluation of a shared-care addiction medicine pilot, SUN:SHARE. Objective To determine if the PCPs participating in the SUN:SHARE pilot improve their management of SUDs. Setting The three participating sites are an inner-city community health centre, an inner-city family health team, and a community family health team affiliated with an academic centre. Intervention In the intervention, addiction physicians facilitate addiction education sessions, assess patients with SUDs, and have case discussions with PCPs at the community sites. The addiction physicians also provide urgent telephone and e-mail consultations with PCPs. Methods We will survey PCPs at baseline and at 6 months to look for reported changes in knowledge and behaviour (counseling, prescribing, and referrals to ancillary services). Additionally, we will conduct patient and provider satisfaction interviews, and track how frequently the telephone and e-mail consultation services were used. We will use each site's electronic medical record to track participating PCPs' prescribing patterns at baseline, 6 months, and 12 months. We will look for changes in the number of prescriptions for medications to treat alcohol use disorders (naltrexone, acamprosate, and disulfiram) and opioid use disorders (buprenorphine-naloxone) and in high-dose opioid prescribing (above 200 mg morphine equivalent per day).</t>
  </si>
  <si>
    <t>(Spithoff S.; Kahan M.; Hardy K.; Clarke S.; Mukerji G.; Robertson A.; Pripstein L.; Molnar L.; Krishnamurthy A.; Lamba W.) Family Medicine Forum, FMF 2015 Toronto, ON, Canada 2015-11-11 to 2015-11-14 College of Family Physicians of Canada; ID: 1994</t>
  </si>
  <si>
    <t>Spitz,L.;Blum,H. T.;Gale,M. S.;Beck,S.;Author,Addresses;Psychiat. Emerg. Serv,Cincinnati;Gen. Hosp,Cincinnati Ohio;Correspondence,Address;Psychiat Emerg Serv, Cincinnati Gen Hosp,Cincinnati Ohio</t>
  </si>
  <si>
    <t>1018396; Psychiatric training for emergency medicine residents on a multidisciplinary team</t>
  </si>
  <si>
    <t>Journal of the American College of Emergency Physicians and the Univ.Ass.for Emergency Med.Services</t>
  </si>
  <si>
    <t>alcoholism;emergency medicine;hallucination;medical education;paranoia;psychiatry;psychosis;psychosomatics;training;major clinical study;methodology;Psychiatry (32);Public Health, Social Medicine and Epidemiology (17);Neurology and Neurosurgery (8)</t>
  </si>
  <si>
    <t>The Cincinnati General Hospital Emergency Department has a training program for emergency medicine residents on a multidisciplinary emergency psychiatry team. This essential training should occur in the emergency department setting rather than in psychiatric inpatient units of state hospital settings. There are advantages and disadvantages to this arrangement. Nonmedical members of the emergency psychiatry team train and support emergency medicine residents in a multidisciplinary approach to treatment. Some observations are made about how the emergency medicine residents deal with emotionally disturbed patients. Finally, 80% of emergency medicine residents responded to a questionnaire on their reactions to the multidisciplinary emergency psychiatry team.</t>
  </si>
  <si>
    <t>(Spitz L.; Blum H.T.; Gale M.S.; Beck S.); ID: 3871</t>
  </si>
  <si>
    <t>http://www.ncbi.nlm.nih.gov/pubmed/1018396</t>
  </si>
  <si>
    <t>Psychiatric training for emergency medicine residents on a multidisciplinary team</t>
  </si>
  <si>
    <t>Srivastava,A.;Srivastava,P.;Martolia,D. S.;Keshri,S. S.;Nigam,S.;Author,Addresses;Departments of,Community Medicine;Pathology;Rama,Medical College;Research Center,Kanpur India;Department of Community Medicine, Gsvm Medical College,Kanpur India;Correspondence,Address;sanjay gandhi puram faizabad road Lucknow,A.Srivastava, G.;Uttar pradesh, India Email dranurag,yahoo com</t>
  </si>
  <si>
    <t>Medical students and smoking: Determinants and associated factors</t>
  </si>
  <si>
    <t>Biomedicine</t>
  </si>
  <si>
    <t>cigarette smoking;knowledge;medical school;medical student;prevalence;academic achievement;adolescent;adult;article;attitude;female;groups by age;human;human experiment;India;male;pleasure;questionnaire;risk factor;smoking cessation;stress management;Public Health, Social Medicine and Epidemiology (17)</t>
  </si>
  <si>
    <t>Background &amp;Objective: The aim of this study was to estimate the prevalence of smoking among medical students of GSVM medical college of Kanpur city; to evaluate determinants for the problem and to assess the students' knowledge about the health effects of smoking. Materials and Methods: All medical students at the GSVM medical college Kanpur (n=947) were subjected to a English version of the World Health Organization (WHO) standard questionnaire for young people (global youth tobacco survey) to study their knowledge, attitudes and practices of smoking. Results:The study revealed the following results among medical student of Kanpur city. Prevalence of current smoking among this sample of medical students was 34.9% (49.1% among males and only 6.1% among females, P &lt; 0.0001). Prevalence of current smoking increased significantly with age (P &lt; 0.0001), income (P = 0.0059) and with decreasing academic achievement. More than two third of smokers believe that the smoking is stress relieving and providing pleasure. The important reasons for smoking again after having some period of cessation in 232 students were stress, sadness or emotional problems (74.6%), peer pressure (67.2%) and habitation (56.5%). There was a highly significant correlation found between alcohol and smoking behaviour. Conclusion:The study has brought out that there is high prevalence of smoking among medical students mainly due to peer pressure directly or indirectly either by friends, by role model or by parents. Hence measures such as advocacy and societal norms, addressing these factors rather than isolated health education on the ill effects of smoking, will check the rising trend of young smokers in developing countries.</t>
  </si>
  <si>
    <t>(Keshri S.S.) (Srivastava A., dranurag77@yahoo.com; Srivastava P.; Martolia D.S.; Nigam S.) Indian Association of Biomedical Scientists, Trivandrum, India.; ID: 2834</t>
  </si>
  <si>
    <t>0970-2067</t>
  </si>
  <si>
    <t>2011637790 PUI L362956295</t>
  </si>
  <si>
    <t>Stâ”œÃ‘hlbrandt,H.;Johnsson,K. O.;Berglund,M.;Author,Addresses;Department of Clinical Alcohol Research, Lund,University Malm;University Hospital, S. E. Malmâ”œâ•¢ Sweden;Department of,Clinical;Alcohol Research,Umas,Entrance S.;Correspondence,Address;Stâ”œÃ‘hlbrandt, Department of Clinical Alcohol Research Umas Entrance,H.</t>
  </si>
  <si>
    <t>17295731; Two-year outcome of alcohol interventions in Swedish university halls of residence: A cluster randomized trial of a brief skills training program, twelve-step-influenced intervention, and controls</t>
  </si>
  <si>
    <t>(MAJOR FOCUS);alcohol;alcohol consumption;alcoholism;drinking behavior;residency education;adult;alcohol blood level;article;cluster analysis;controlled study;female;follow up;health survey;high risk behavior;human;major clinical study;male;outcome assessment;priority journal;questionnaire;statistical significance;Sweden;treatment outcome;university hospital;university student;alcohol (64-17-5);Public Health, Social Medicine and Epidemiology (17);Drug Dependence, Alcohol Abuse and Alcoholism (40)</t>
  </si>
  <si>
    <t>Background: High-risk alcohol consumption among university students is well documented. Several types of intervention have proved to be effective in reducing alcohol consumption. This study examines the 2-year outcome of 2 different alcohol intervention programs at university halls of residence. Methods: Ninety-eight university halls of residence (with 556 students) were cluster randomized to 2 different intervention groups: a brief skills training program (BSTP) with interactive lectures and discussions, a twelve-step- influenced (TSI) program with didactic lectures by therapists trained in the 12-step approach, and a control group. All students completing the baseline assessment received personalized feedback by mail. Students responded to mailed follow-up questionnaires after 1, 2, and 3 years, including alcohol use disorders identification test (AUDIT; years 2 and 3), short index of problems (SIP), and estimated blood alcohol concentration (eBAC). Results: All groups significantly reduced their AUDIT scores from baseline to the second year follow-up, with no significant differences between the groups. Seventy-seven percent of the students belonged to a population with high-risk consumption, using the AUDIT cut-off scores of 8 and 4 for men and women, respectively. Students with high-risk alcohol consumption showed significant differences in AUDIT score reduction in favor of the BSTP compared with controls, and had a tendency to show better results than the TSI intervention (p=0.06). Similar trends could be seen using SIP and eBAC. The TSI did not differ significantly from the control group within the group of students with high-risk alcohol consumption. Conclusions: This study suggests that a BSTP is effective as an intervention in students with high-risk alcohol consumption. Copyright â”¬âŒ 2007 by the Research Society on Alcoholism.</t>
  </si>
  <si>
    <t>(Stâ”œÃ‘hlbrandt H., henrietta.stahlbrandt@med.lu.se; Johnsson K.O.; Berglund M.) (Stâ”œÃ‘hlbrandt H., henrietta.stahlbrandt@med.lu.se) Blackwell Publishing Ltd, 9600 Garsington Road, Oxford, United Kingdom.; ID: 3050</t>
  </si>
  <si>
    <t>0145-6008 1530-0277 (electronic)</t>
  </si>
  <si>
    <t>http://www.ncbi.nlm.nih.gov/pubmed/17295731</t>
  </si>
  <si>
    <t>10.1111/j.1530-0277.2006.00327.x FULL TEXT LINK http://dx.doi.org/10.1111/j.1530-0277.2006.00327.x</t>
  </si>
  <si>
    <t>Two-year outcome of alcohol interventions in Swedish university halls of residence: A cluster randomized trial of a brief skills training program, twelve-step-influenced intervention, and controls</t>
  </si>
  <si>
    <t>Stancic,N.;Mullen,P. D.;Prokhorov,A. V.;Frankowski,R. F.;McAlister,A. L.;Author,Addresses;Department of Behavioral Science, University of Texas,M.D.Anderson Cancer;Center,Holcombe Blvd Box Houston T.X.U.S.A.;Correspondence,Address;D.,N.Stancic, Department of Behavioral Science University of Texas M.;Anderson Cancer Center, Holcombe Blvd Box,Houston T.;A.,U. S.</t>
  </si>
  <si>
    <t>14528787; Continuing medical education: what delivery format do physicians prefer?</t>
  </si>
  <si>
    <t>The Journal of continuing education in the health professions</t>
  </si>
  <si>
    <t>medical education;smoking (prevention);smoking cessation;article;chi square distribution;counseling;human;Internet;methodology;teaching;United States;videorecording</t>
  </si>
  <si>
    <t>BACKGROUND: Although physicians are in a unique position to prevent life-threatening outcomes by counseling patients to stop smoking, many of them miss the opportunity to intervene in their patients' use of tobacco. Nicotine Dependence Across the Lifespan was developed as a continuing medical education (CME) program to teach and encourage physicians to deliver effective tobacco prevention and tobacco cessation counseling. METHODS: This CME program was offered to Texas physicians, free of charge, in three formats: live lectures, videotapes, and World Wide Web-based training. The program targeted physicians in four rural areas of Texas (San Angelo, Harlingen, Tyler, and Lubbock), where high smoking rates are prevalent and the number of professional smoking cessation services is low. We examined the sociodemographic characteristics of the participating physicians, factors in their decisions to participate in the program, and the extent to which their reported CME format preferences were associated with age, gender, race, profession, and location. RESULTS: The four factors identified--professional development, cost, personal control, and convenience/complexity--explained 76.9% of the variance describing the reasons physicians participated in the CME offering. The physicians' preferred CME format was live lectures; based on responses, this did not differ across age, gender, race/ethnicity, and location. DISCUSSION: Live lecture continues to be a preferred format of CME for physicians in four rural areas of Texas, yet research continues to show that lecture results in only the lowest level of behavioral change.</t>
  </si>
  <si>
    <t>(Stancic N.; Mullen P.D.; Prokhorov A.V.; Frankowski R.F.; McAlister A.L.); ID: 3271</t>
  </si>
  <si>
    <t>http://www.ncbi.nlm.nih.gov/pubmed/14528787</t>
  </si>
  <si>
    <t>Continuing medical education: what delivery format do physicians prefer?</t>
  </si>
  <si>
    <t>Starr,T. B.;Author,Addresses;University of Rochester, School,of Medicine;Dentistry;United,States;Correspondence,Address;TB Starr, University of Rochester School,of Medicine;Dentistry;United,States</t>
  </si>
  <si>
    <t>What primary care providers want to learn to improve the care of their adolescent patients: A survey of providers in western New York</t>
  </si>
  <si>
    <t>contraceptive agent;adolescent;adolescent health;human;patient;primary medical care;society;United States;Caucasian;certification;child;competence;confidentiality;continuing education;counseling;e-mail;female;group practice;groups by age;health;learning;mood;mood disorder;occupation;pediatrician;pediatrics;screening;skill;somatization;substance abuse;substance use;university;workshop</t>
  </si>
  <si>
    <t>Purpose: The Institute of Medicine's Reports Missing Opportunities, and Redesigning Continuing Education (CE) in the Health Professions, state providers working with adolescents frequently lack the skills needed to interact appropriately and effectively with this age group. They identified deficits in the training needs for providers and a new vision for CE that is learner-driven, allowing learning to be tailored to individuals' needs. To identify Primary Care Providers (PCPs) perceived CE needs, we conducted a quantitative survey to assess their attitudes and beliefs regarding their care of adolescents. Secondary aims included identifying what CE opportunities providers would use, and the importance of CE credit or Maintenance of Certification (MOC) points. Methods: We identified 215 potential participants from a sample of PCPs in Western, NY using an email distribution list in the Department of Pediatrics at The University of Rochester. We designed a 32 question electronic survey focused on providers feeling of confidence, competence and need for further training on four topics: confidentiality, screening for mood and substance use disorders, taking sexual history, and providing contraceptive options counseling. Other questions focused on perceived barriers to providing comprehensive care to adolescents and proposed solutions. Results: Of the 215 potential participants, 152 (70%) responded; 3 were excluded. The majority of these providers were: pediatricians (68%), female (71 %), and Caucasian (95%), in a group practice in suburban (60%) and urban (31%) settings, and have practiced for 3- 38 years. Most of these providers (41%) prefer to care for children, while 15% prefer to care for adolescents. These providers feel more comfortable and competent caring for younger adolescents. While 54% report seeing patients confidentially most of the time, 45% do not think further training would be helpful. For mood disorders, 65% report feeling comfortable screening, 45% report using a standardized screening tool most of the time, and 62% report additional training would be helpful. For substance use disorders, 65% agree that they feel comfortable screening, 54% almost always uses a standardized screening tool, and 80% report the need for additional training. The older the adolescent is, the more comfortable these providers are taking a sexual history, and 50% report that additional training would be useful. The top three CE topics of interest are: Substance Use (43%), Mood Disorders (38%) and Somatization (36%). These providers prefer to learn using online modules (67%), and workshops (57%). They report that CE credit is important, and 60% view MOC credit as important or somewhat important. Conclusions: These providers prefer to care for children, and feel more comfortable and competent caring for younger adolescents. While they report feeling confident screening for both mood and substance use disorders, they are most interested in CE focused on these topics. The majority of these providers prefer to learn using on-line modules, and workshops in their practice setting. While some of these providers report that CE credit is important, more of these providers prioritize MOC. These results can be used to inform the development of learner-driven materials for CE to better meet the needs of these providers.</t>
  </si>
  <si>
    <t>(Starr T.B.) 2016 Annual Meeting of the Society for Adolescent Health and Medicine, SAHM 2016 Washington, DC, United States 2016-03-09 to 2016-03-12 Elsevier USA; ID: 1998</t>
  </si>
  <si>
    <t>Stasiewicz,P. R.;Bradizza,C. M.;Schlauch,R. C.;Coffey,S. F.;Gulliver,S. B.;Gudleski,G. D.;Bole,C. W.;Author,Addresses;Research Institute,on Addictions;Buffalo,Main St Buffalo N.Y.United States;Department of,Psychiatry;Human Behavior,The,University of;Mississippi Medical Center, North State St,Jackson M.;States;Dept of Veteran's Affairs, Visn Center,of Excellence;Texas,A.;M College of Medicine, College Station,T.X.United States;Correspondence,Address;PR Stasiewicz, Research Institute on Addictions University,at Buffalo;Main St, Buffalo N Y United,States Email;stasiewi@ria.buffalo.edu</t>
  </si>
  <si>
    <t>23876455; Affect regulation training (ART) for alcohol use disorders: Development of a novel intervention for negative affect drinkers</t>
  </si>
  <si>
    <t>alcohol;affect;affect regulation training;alcoholism (therapy);behavior therapy;cognitive therapy;negative affect;adult;alcohol abstinence;alcohol abuse;article;controlled study;drinking behavior;female;human;lifestyle modification;major clinical study;male;outcomes research;outpatient care;patient satisfaction;pilot study;Positive and Negative Affect Schedule;priority journal;psychotherapist;psychotherapy;randomization;randomized controlled trial;training;treatment outcome;alcohol (64-17-5);Psychiatry (32);Drug Dependence, Alcohol Abuse and Alcoholism (40)</t>
  </si>
  <si>
    <t>Although negative affect is a common precipitant of alcohol relapse, there are few interventions for alcohol dependence that specifically target negative affect. In this stage 1a/1b treatment development study, several affect regulation strategies (e.g., mindfulness, prolonged exposure, distress tolerance) were combined to create a new treatment supplement called affect regulation training (ART), which could be added to enhance cognitive-behavioral therapy (CBT) for alcohol dependence. A draft therapy manual was given to therapists and treatment experts before being administered to several patients who also provided input. After two rounds of manual development (stage 1a), a pilot randomized clinical trial (N= 77) of alcohol-dependent outpatients who reported drinking often in negative affect situations was conducted (stage 1b). Participants received 12-weekly, 90-minute sessions of either CBT for alcohol dependence plus ART (CBT. +. ART) or CBT plus a healthy lifestyles control condition (CBT. +. HLS). Baseline, end-of-treatment, and 3- and 6-month posttreatment interviews were conducted. For both treatment conditions, participant ratings of treatment satisfaction were high, with CBT. +. ART rated significantly higher. Drinking outcome results indicated greater reductions in alcohol use for CBT. +. ART when compared to CBT. +. HLS, with moderate effect sizes for percent days abstinent, drinks per day, drinks per drinking day, and percent heavy drinking days. Overall, findings support further research on affect regulation interventions for negative affect drinkers. â”¬âŒ 2013 Elsevier Inc.</t>
  </si>
  <si>
    <t>(Stasiewicz P.R., stasiewi@ria.buffalo.edu; Bradizza C.M.; Schlauch R.C.; Gudleski G.D.; Bole C.W.) (Coffey S.F.) (Gulliver S.B.) Elsevier Inc., 360 Park Avenue South, New York, United States.; ID: 2344</t>
  </si>
  <si>
    <t>http://www.ncbi.nlm.nih.gov/pubmed/23876455</t>
  </si>
  <si>
    <t>10.1016/j.jsat.2013.05.012 FULL TEXT LINK http://dx.doi.org/10.1016/j.jsat.2013.05.012</t>
  </si>
  <si>
    <t>Affect regulation training (ART) for alcohol use disorders: Development of a novel intervention for negative affect drinkers</t>
  </si>
  <si>
    <t>Stawczyk,M.;â”¼Ã¼akis,A.;Ulatowska,A.;Szczerkowska-Dobosz,A.;Author,Addresses;Katedrze,I. Klinice Dermatologii;Alergologii,Gdaâ”¼Ã¤skiego Uniwersytetu Medycznego Poland;Correspondence,Address;Alergologii,M.Stawczyk, Katedrze I.Klinice Dermatologii Wenerologii I.;Gdaâ”¼Ã¤skiego Uniwersytetu Medycznego, Poland Email marta stawczyk,wp pl</t>
  </si>
  <si>
    <t>Evaluation of risk of tanning addiction in a selected population of women aged 15-30 ORIGINAL (NON-ENGLISH) TITLE Ocena ryzyka uzaleâ”¼â•nienia od opalania w wybranej populacji kobiet w wieku 15-30 lat</t>
  </si>
  <si>
    <t>Przeglad Dermatologiczny</t>
  </si>
  <si>
    <t>addiction;sunbathing;tanning addiction;adolescent;adult;article;esthetics;female;human;questionnaire;risk factor;Dermatology and Venereology (13);Public Health, Social Medicine and Epidemiology (17)</t>
  </si>
  <si>
    <t>Introduction. Excessive exposure to natural and artificial sources of ultraviolet radiation may lead to skin cancer, skin photoaging, as well as tanning addiction. Objective. To evaluate sunbathing habits and risk of tanning addiction in a selected population of women. Material and methods. 496 women aged 15 to 30 years, studying at schools and universities with medical faculties and similar. On-line or direct anonymous answers to questionnaire, which included questions about tanning preferences, knowledge about the danger of ultraviolet radiation exposure, use of sunscreens, familial incidence of skin cancer and mCAGE questionnaire evaluating risk of tanning addiction. Results. 83.9% of respondents declared that they regularly tan. Among this group 18% had a positive result in the mCAGE questionnaire. The most popular way of getting a tan was sunbathing (70.4%), but 62.7% of women had used a sunbed at least once in a lifetime and 26.6% did so regularly. The respondents using sunbeds were most often (20.2%) cosmetology students. A statistically significant correlation between duration of sunbed session and a positive result in the mCAGE questionnaire was observed. The biggest group of women (38%) that declared they had never used a sunbed consisted of secondary school students. Conclusions. According to the results of our study, using natural and artificial sources of ultraviolet radiation is still popular among young women. This population is also at risk of tanning addiction. Therefore widespread educational programmes concerning health consequences of excessive exposure to ultraviolet radiation are essential.</t>
  </si>
  <si>
    <t>(Stawczyk M., marta_stawczyk@wp.pl; â”¼Ã¼akis A.; Ulatowska A.; Szczerkowska-Dobosz A.) Termedia Publishing House Ltd., Kleeberqa St.2, Poznan, Poland.; ID: 2627</t>
  </si>
  <si>
    <t>0033-2526</t>
  </si>
  <si>
    <t>2011552521 PUI L362695636</t>
  </si>
  <si>
    <t>Steele,G. D. F.;Author,Addresses;Runwell Hosp,Wickford Essex;Correspondence,Address;Runwell Hosp,Wickford Essex</t>
  </si>
  <si>
    <t>Drug addiction and its management</t>
  </si>
  <si>
    <t>British journal of clinical practice</t>
  </si>
  <si>
    <t>Br.J.Clin.Pract.</t>
  </si>
  <si>
    <t>alcohol;corticotropin;drug dependence;addiction;alcoholism;education;follow up;general aspects of disease;habit;hospital;insulin treatment;patient;personality disorder;physical disease by body function;physician;plant leaf;prescription;sedation;social worker;United Kingdom;corticotropin (11136-52-0, 9002-60-2, 9061-27-2)</t>
  </si>
  <si>
    <t>The general features of drug addiction are discussed in relation to presenting signs and symptoms, with evidence of personality disorders. Though primarily concerned with drugs other than alcohol, which is regarded as habit-forming, the author considers that similar considerations apply to alcoholism. It is doubtful whether the term 'cure' is ever applicable. Information about the extent of drug addiction in Great Britain is probably inadequate. Rapid withdrawal of the drug of addiction is favoured whenever possible, with supportive treatment including sedation and modified insulin therapy later. The most crucial phase occurs after the patient leaves the security of the hospital. It is suggested that doctors should cooperate more with social workers in follow-up of patients, that there should be more public education on the dangers of addiction, and scrupulous care in the prescription of addiction-producing drugs.</t>
  </si>
  <si>
    <t>(Steele G.D.F.); ID: 3980</t>
  </si>
  <si>
    <t>0007-0947</t>
  </si>
  <si>
    <t>2007474860 PUI L280861428</t>
  </si>
  <si>
    <t>Stein,M. R.;Kunins,H. V.;Parish,S. J.;Arnsten,J. H.;Author,Addresses;Albert Einstein,College;of Medicine,Montefiore,Medical Center;Correspondence,Address;MR Stein, Albert Einstein College of Medicine Montefiore,Medical Center</t>
  </si>
  <si>
    <t>Evaluation of a substance abuse curriculum for internal medicine residents</t>
  </si>
  <si>
    <t>central stimulant agent;cocaine;illicit drug;opiate;curriculum;internal medicine;substance abuse;abuse;alcohol abuse;alcoholics anonymous;counseling;drug use;exercise;health care quality;McNemar test;multiple choice test;neurobiology;patient;questionnaire;responsibility;screening;teacher;Wilcoxon signed ranks test</t>
  </si>
  <si>
    <t>Objectives: We designed, implemented, and evaluated a substance abuse curriculum for firstyear internal medicine residents. Abstract: Our 8-hour curriculum includes experiential elements (standardized patient exercise on screening and assessing alcohol abuse, discussion with a member of Alcoholics Anonymous, and illicit drug use presentation by trained patient-teachers) and didactic elements (three 1- hour lectures on cocaine and stimulant abuse, opioid dependence treatment, and substance abuse neurobiology). First-year residents participate during their ambulatory rotation. Program Evaluation: Modifying a validated questionnaire, we surveyed resident self-assessed responsibility and confidence in screening and counseling about drug use (11 Likert type items on 5-point scale) and attitudes towards drug users and treatment (8 Likert type items on 5-point scale) before and after participation. Changes in median responses were assessed using the Wilcoxon signed ranks test. Eleven true-false and 3 multiple choice questions evaluated knowledge; changes were assessed using the McNemar test. Forty-one interns participated in the curriculum. Thirty-two completed pre- and post-test questionnaires (response rate = 78%). Perceived responsibility for counseling about drugs (median score 4.0 vs. 5.0, p =.01), resident self-confidence in discussing drugs of abuse (median score 3.5 vs. 4.0, p =.01), counseling about drugs (median score 3.0 vs. 3.5, p =.00), and initiating change in patients' drug use (median score 2.5 vs. 4.0, p =.00) improved significantly. At baseline, resident attitudes towards drug users were positive and level of knowledge was high; we did not detect changes at post-test. Conclusions: Although we did not demonstrate a change in knowledge or attitudes, participants demonstrated an increase in self-reported confidence and sense of responsibility for counseling patients with substance abuse disorders.</t>
  </si>
  <si>
    <t>(Stein M.R.; Kunins H.V.; Parish S.J.; Arnsten J.H.) 2007 AMERSA National Meeting Haworth Press Inc.; ID: 2905</t>
  </si>
  <si>
    <t>Stenvall,M.;Trigoso,E.;Deiana,M.;Author,Addresses;Correspondence,Address;Stenvall,M.</t>
  </si>
  <si>
    <t>Questionnaire for research priorities in Paediatric SCT and future steps</t>
  </si>
  <si>
    <t>Bone marrow transplantation</t>
  </si>
  <si>
    <t>Bone Marrow Transplant.</t>
  </si>
  <si>
    <t>S470</t>
  </si>
  <si>
    <t>blood;bone marrow;questionnaire;research priority;transplantation;addiction;adolescent;autumn;child;Czech Republic;education;Europe;human;manager;medical specialist;nurse;nursing;nursing practice;nursing process;patient;patient education;patient information;pediatric nurse;pediatrician;quality of life;rating scale;safety;statistical analysis;training;wellbeing</t>
  </si>
  <si>
    <t>Background: At the end of 2008, the EBMT Nurses Group created a Paediatric Committee with the aims to know what are the main needs of the Paediatric Nurses involved in the field of the HSCT and to promote, develop and share knowledge between the paediatric nurses throughout Europe. During last year a questionnaire has been developed in collaboration with the EBMT NG Research Committee. The first aim of this survey is to identify and analyse the research priorities among the EBMT paediatric nurses. The second aim is to better focus and organize our future interventions. This questionnaire was distributed during Î“Ã‡Â£ The 3rd Training course for Paediatricians and Paediatric Nurses on HSCT in children and adolescents Î“Ã‡Â¥ held in Genoa (IT) from 31.5.2011 to 3.6.2011. In autumn 2011, it was sent to all contact nurses by mail. Methods: An ad hoc questionnaire was used with a 5 points numeric rating scale ranging from 1 (most important) to 5 (less important). The questionnaire includes: demographic data and 4 different parts: Management of Nursing, Process of Nursing, Practice of Nursing and Development of Nursing. Statistical analysis was used. 5 points have been assigned to the most important, while only 1 to the less important. We have added the points, and below we have listed some results. We also considered the percentage of votes received, among the total number of valid votes possible. Results: At the moment, 30 questionnaires have been collected (43% of our contact nurses' list, 12 countries and 18 different HSCT centres). Our results show that: Considering Î“Ã‡Â£ Management of Nursing Î“Ã‡Â¥ , Î“Ã‡Â£ Supportive care guidelines Î“Ã‡Â¥ received 60 points total and the 69,6 % of nurses voted for it; more nurses (78,3%) voted for Î“Ã‡Â£ the psychosocial wellbeing of staff Î“Ã‡Â¥ but received 57 points; Regarding The Process of Nursing:, Î“Ã‡Â£ Patient information issues Î“Ã‡Â¥ was the most voted (84,6%) and collected the highest number of points, 67. The Practice of Nursing, Patient/family education was the most voted (78,3%) and collected the highest number of points, 69. The Development of Nursing, Quality of life issues collected the highest number of points (80) and was the most voted (84%), as well as Practice development and education (79 votes). In addiction Î“Ã‡Â£ The top five Î“Ã‡Â¥ results (considering all 4 parts) are the following: 1. Î“Ã‡Â£ Patient information issues Î“Ã‡Â¥ was the most considered, 2. Î“Ã‡Â£ Quality of life issues Î“Ã‡Â¥ , 3. Î“Ã‡Â£ Practice development and education Î“Ã‡Â¥ , 4. Î“Ã‡Â£ Patient/ family education Î“Ã‡Â¥ and 5. Î“Ã‡Â£ Supportive care guidelines Î“Ã‡Â¥ . Not one topic has been voted by 100% of nurses (considering valid votes). The survey points out those research priorities are different considering professional position. In fact the 100% of nurses scored Î“Ã‡Â£ Quality of life issues Î“Ã‡Â¥ with 49 points, while the 100% of Coordinators and managers scored for Î“Ã‡Â£ Practice development and education Î“Ã‡Â¥ , with 49 points. Conclusion: These findings had already contributed to the organization of Î“Ã‡Â£ The 3rd Meeting of the EBMT Paediatric Nurses Î“Ã‡Â¥ that will be held in Prague, Czech Republic, 7-10 June 2012. Paediatric Committee members are developing an interesting programme in accordance with PDWP. The programme will include patient education, safety of the patient and family centred care in the HSCT setting. These results will help us in our commitment: to share knowledge and education. It should be important to increase the number of questionnaires in order to allow us to understand better the needs of nurses, basic nurses, specialist nurses or coordinators.</t>
  </si>
  <si>
    <t>(Stenvall M.; Trigoso E.; Deiana M.) 38th Annual Meeting of the European Group for Blood and Marrow Transplantation, EBMT 2012 Geneva, Switzerland 2012-04-01 to 2012-04-04 Nature Publishing Group; ID: 2571</t>
  </si>
  <si>
    <t>0268-3369</t>
  </si>
  <si>
    <t>10.1038/bmt.2012.39 FULL TEXT LINK http://dx.doi.org/10.1038/bmt.2012.39</t>
  </si>
  <si>
    <t>Sterling,S.;Kline-Simon,A.;Jones,A.;Satre,D. D.;Parthasarathy,S.;Weisner,C.;Author,Addresses;Division,of Research;Northern California, Broadway rd Floor Oakland,United States;Department of Psychiatry, Ucsf Weill Institute for,Neurosciences University;of California, San Francisco Parnassus Avenue San,Francisco United;States;Correspondence,Address;Sterling, Division of Research Kaiser Permanente Northern California,S.;Broadway,rd Floor Oakland United States Email;stacy.a.sterling@kp.org</t>
  </si>
  <si>
    <t>Specialty addiction and psychiatry treatment initiation and engagement: Results from an SBIRT randomized trial in pediatrics</t>
  </si>
  <si>
    <t>drug dependence treatment;psychiatric treatment;adolescent;article;Asian;Black person;Caucasian;controlled study;female;Hispanic;human;major clinical study;male;pediatrician;priority journal;race difference;randomized controlled trial;substance abuse;Psychiatry (32);Drug Dependence, Alcohol Abuse and Alcoholism (40)</t>
  </si>
  <si>
    <t>Objective Many adolescents needing specialty addiction or psychiatry treatment never access care. We examined initiation and engagement with addiction and/or psychiatry treatment among adolescents referred to treatment from a trial comparing two different modalities of delivering Screening, Brief Intervention and Referral to Treatment (SBIRT) to Usual Care in pediatric primary care. We hypothesized that both intervention arms would have higher initiation and engagement rates than usual care. Methods We randomized all pediatricians (n = 52) in a pediatric primary care clinic to three arms: 1) pediatrician-only arm, in which pediatricians were trained to deliver SBIRT for substance use and/or mental health problems; 2) embedded-behavioral health clinician (embedded-BHC arm), in which pediatricians referred adolescents who endorsed substance use and/or mental health problems to a BHC; and 3) Usual Care (UC). We used electronic health record (EHR) data to examine specialty addiction and psychiatry treatment initiation and engagement rates after referral. Results Among patients who screened positive for substance use and/or mental health problems and were referred to specialty addiction and/or psychiatry (n = 333), those in the embedded-BHC arm had almost four times higher odds of initiating treatment than those in the pediatrician-only arm, OR = 3.99, 95% CI = 1.99Î“Ã‡Ã´8.00]. Compared to UC, those in the pediatrician-only arm had lower odds of treatment initiation (OR = 0.53, 95% CI = 0.28Î“Ã‡Ã´0.99]), while patients in the embedded-BHC arm had marginally higher odds (OR = 1.83, 95% CI = 0.99Î“Ã‡Ã´3.38]). Black patients and those with other/unknown race/ethnicity had lower odds of treatment initiation compared with white adolescents; there were no gender or age differences. We found no differences in treatment engagement across the three arms. Conclusions Embedded BHCs can have a significant positive impact on facilitating treatment initiation for pediatric primary care adolescents referred to addiction and/or psychiatry services. Clinical Trials Registration: ClinicalTrials.gov #NCT02408952.</t>
  </si>
  <si>
    <t>(Sterling S., stacy.a.sterling@kp.org; Kline-Simon A.H., andrea.h.kline-simon@kp.org; Jones A., ashley.l.jones@kp.org; Satre D.D., derek.satre@kp.org; Parthasarathy S., sujaya.x.parthasarathy@kp.org; Weisner C., constance.weisner@kp.org) (Satre D.D., derek.satre@kp.org; Weisner C., constance.weisner@kp.org) Elsevier Inc., usjcs@elsevier.com; ID: 1765</t>
  </si>
  <si>
    <t>20170650438 PUI L618247573</t>
  </si>
  <si>
    <t>10.1016/j.jsat.2017.09.005 FULL TEXT LINK http://dx.doi.org/10.1016/j.jsat.2017.09.005</t>
  </si>
  <si>
    <t>Stidham Hall,K.;Moreau,C.;Trussell,J.;Author,Addresses;Department of,Obstetrics;Gynecology;and Institute for Social Research, University of Michigan Ann,Arbor M.;A.,U. S.;Correspondence,Address;Stidham Hall, Email hkelli umich edu,K.</t>
  </si>
  <si>
    <t>23844960; The link between substance use and reproductive health service utilization among young U.S. women</t>
  </si>
  <si>
    <t>addiction (complication, epidemiology);health service;adolescent;article;female;health survey;human;United States (epidemiology);utilization review;young adult</t>
  </si>
  <si>
    <t>The authors sought to investigate associations between young women's use of alcohol and other substances and their sexual and reproductive health (SRH) service utilization. The authors used data from 4421 young women aged 15-24 years in the nationally representative study, National Survey of Family Growth, 2002-2008. The authors examined associations between frequency of tobacco, alcohol, marijuana, and illicit drug use and SRH service use in the past year using logistic regression. Over half (59%) of the young women used SRH services, including contraception (48%), gynecological examination (47%), and sexually transmitted infection (STI) testing/treatment (17%) services. Proportions of SRH service use increased with higher frequencies of substance use (all P values &lt;.001); service use was particularly common among daily substance users (range: 72% of daily marijuana users to 83% of daily binge drinkers). In multivariable analyses, associations between substance and SRH service use varied by substance and service type: weekly marijuana (odds ratio OR] = 2.5, 95% confidence interval 95% CI] = 1.4, 4.3, P = .002) and alcohol (OR = 1.7, 95% CI = 1.1, 2.4, P = .01) use were positively associated with gynecological service use. All substances were positively associated with STI service use. However, daily smoking was negatively associated with contraceptive service use (OR = 0.6, 95% CI = 0.4, 0.8, P = .001). SRH service use was common among women reporting frequent substance use. SRH settings provide an opportunity to deliver substance use screening and preventive care to young women.</t>
  </si>
  <si>
    <t>(Stidham Hall K., hkelli@umich.edu) (Moreau C.; Trussell J.); ID: 2461</t>
  </si>
  <si>
    <t>http://www.ncbi.nlm.nih.gov/pubmed/23844960</t>
  </si>
  <si>
    <t>The link between substance use and reproductive health service utilization among young U.S. women</t>
  </si>
  <si>
    <t>Stillman,D.;Lee,R.;Chu,D.;Yu,S.;Author,Addresses;Loma Linda,Medical School;United,States;Correspondence,Address;Stillman, Loma Linda Medical School Loma Linda United States,D.</t>
  </si>
  <si>
    <t>Trends in tobacco-dependence curricula in U.S. medical schools based on 1998 and 2008 surveys</t>
  </si>
  <si>
    <t>amfebutamone;nicotine;nose spray;varenicline;curriculum;medical research;medical school;tobacco dependence;United States;drug therapy;education;epidemic;food and drug administration;human;patient;public health;public health service;school;skill;smoking cessation;stimulus;teaching;tobacco</t>
  </si>
  <si>
    <t>Purpose of Study: Improvements in tobacco-dependence treatment in the US from 1998 to 2008 include 2 revisions of the Public Health Service Guidelines (2000, 2008), 3 new FDA-approved medications (bupropion &amp; nicotine nasal spray 1997; varenicline 2006) &amp; regional stimuli provided by the Tobacco Master Settlement Agreement (1998). Whether US medical schools' curricula include these advancements is unknown. Methods Used: We faxed a survey to all US medical schools (13 items, 1997-1998) &amp; an online survey (20 items, 2007-2008). Both surveys asked 9 comparable topical items. The 2008 survey added 11 items on the schools' curricular methods, identification of key faculty &amp; stop-smoking training sites. Mean national curricular trends over 10 years will be assessed. In addition, curricular changes for individual schools (2008) will be compared to their baseline (1998). Summary of Results: We had a 70% initial response to the faxed survey &amp; 2 phone reminders (1998) with a 96.8% final response rate. The emailed survey along with 2 reminders (2008) obtained a 49.6% (62/125) initial response rate. In 2008, 88.3% of schools reported their curriculum includes tobacco dependence. Although 79% (49/62) schools reported having faculty experts in tobacco dependence, only 21% of schools identified a key tobacco curriculum coordinator. By 2008, most schools adopted 3 new FDA approved medications into the curriculum (&lt; 85%). Required course hours for tobaccodependence treatment skills doubled over 10 years for both categories of &lt;1-3 hours &amp; 3-5 hours. More schools reported they require clinical tobacco training (30.8% to 78.7%). Required clinical training increased in Î“Ã‡Â£teaching settings without patientsÎ“Ã‡Â¥ (12.5% to 36.4%) &amp; Î“Ã‡Â£clinical settings with actual patientsÎ“Ã‡Â¥ (13.3% to 29.1%). Required performance evaluations also increased (5% to 29.1%). Conclusions: Tobacco education in US medical schools appears to have increased in hours of educational time in the last decade, yet only 1/3 of schools require clinical training &amp; skill evaluation. Medical educational culture is slow to attain the aggressive benchmark established by public health advancements in order to combat the most deadly global epidemic.</t>
  </si>
  <si>
    <t>(Stillman D.; Lee R.; Chu D.; Yu S.) American Federation for Medical Research Western Regional Meeting, AFMR 2010 Carmel, CA, United States 2010-01-27 to 2010-01-30 Lippincott Williams and Wilkins; ID: 2831</t>
  </si>
  <si>
    <t>10.231/JIM.0b013e3181c87db3 FULL TEXT LINK http://dx.doi.org/10.231/JIM.0b013e3181c87db3</t>
  </si>
  <si>
    <t>Stoimenova,M.;Chumpalova,P.;Todorov,A.;Tumbev,L.;Kolarov,P.;Georgiev,G.;Veleva,I.;Kirov,K.;Valtchev,V.;Tonev,R.;Popov,P.;Palazov,V.;Kozhuharov,H.;Author,Addresses;Medical University, University Hospital,Psychiatry and;Medical Psychology,Pleven Bulgaria;Medical University,Psychiatry;Medical Psychology,Pleven Bulgaria;University Hospital, Mental Health,Centre Pleven;Bulgaria;National,Sport Academy;Biochemistry,Sofia;Bulgaria;Ministry of Health, National Centre for,Addictions Sofia;Bulgaria;Mental Health Center, Psychiatry,Burgas Bulgaria;Medical University,Psychiatry,Varna Bulgaria;Correspondence,Address;Stoimenova, Medical University University Hospital Psychiatry and,M.;Medical Psychology,Pleven Bulgaria</t>
  </si>
  <si>
    <t>Socio-demographic factors influencing the incidence of schizophrenia and comorbid substance use disorders</t>
  </si>
  <si>
    <t>S354</t>
  </si>
  <si>
    <t>S355</t>
  </si>
  <si>
    <t>alcoholism;psychosis;analysis of variance;Bulgaria;child;comorbidity;controlled study;curve fitting;data analysis software;diagnosis;drug dependence;DSM-IV;female;hospital patient;human;ICD-10;instrument validation;interview;major clinical study;male;mental hospital;psychiatry;screening;single (marital status);statistical significance;Student t test;study design;substance abuse;topical drug administration;university hospital;urban area</t>
  </si>
  <si>
    <t>Background: The simultaneous presence of associated substance use disorders and psychiatric disorders is a phenomenon that has permanently attracted scientific interest during the last two decades and is one of the most debated and controversial issues in the field of dependent behaviors and general psychiatry. The epidemiological studies worldwide suggest that the prevalence of schizophrenia and substance use disorders has been estimated to range from 10 to 70%. Comorbid schizophrenia and/or substance use disorders affects the clinical manifestations and course of illness, increased relapses, re-hospitalizations, quality of life, noncompliance to treatment, increased rates of hostility and suicidal ideation as well as other areas of functioning such as interpersonal violence, homelessness and legal problems. Although Bulgarian psychiatry has a long tradition in the diagnosis of schizophrenia and substance use disorders, there is no enough investigation of schizophrenia and comorbid substance use disorders. Objective: To investigate the frequency of comorbid schizophrenia and substance use disorders during 5-year period and assess the role of different socio-demographic factors. Methods: A total of 695 in-patients of the Psychiatric Clinic of the University Hospital Î“Ã‡Â£Dr. George StranskyÎ“Ã‡Â¥, Pleven, Bulgaria for the period January 2010 - January 2015 diagnosed with schizophrenia, according to the criteria ICD-10 (F20) and DSM-IV (295). After screening and on the basis of Î“Ã‡Â£inclusiveÎ“Ã‡Â¥ and Î“Ã‡Â£exclusiveÎ“Ã‡Â¥ criteria in accordance with the study design were established two distinct groups of patients suffering from schizophrenia with a total of n = 202. Of them 101 hospitalized patients with schizophrenia and comorbid substance abuse and 101 hospitalized patients with schizophrenia without substance use in a comparable ratio by sex, age, place of residence and level of education with the study group with comorbidity. All screening tools and interviews are internationally recognized and validated - Alcohol Use Disorders Identification Test (AUDIT); Drug Use Disorders Identification Test (DUDIT); Diagnostic Interview for psychosis (DIP). The processing of the received data for the study was performed with specialized statistical software packages STATGRAPHICS; SPSS and EXCEL for Windows. Statistical significance was ascertained by t-test, curve fitting, or ANOVA, as appropriate. The significance of the results, findings and conclusions determined at p0.05). Conclusion: The problem of comorbidity of schizophrenia and substance use disorders is very topical not only in the world but also at national level.</t>
  </si>
  <si>
    <t>(Stoimenova M.) (Chumpalova P.; Todorov A.; Kolarov P.; Georgiev G.; Veleva I.; Kirov K.) (Tumbev L.; Tonev R.) (Valtchev V.) (Popov P.) (Palazov V.) (Kozhuharov H.) 29th European College of Neuropsychopharmacology Congress, ECNP 2016 Vienna, Austria 2016-09-17 to 2016-09-20 Elsevier B.V.; ID: 1907</t>
  </si>
  <si>
    <t>Stolz,I.;Pisa,Z.;Author,Addresses;Institut Klinicke,a. Experimentalni;Praha,Krc;Correspondence,Address;Institut Klinicke,a. Experimentalni Mediciny</t>
  </si>
  <si>
    <t>A contribution to the conception of cardiological rehabilitation in rehabilitation medicine</t>
  </si>
  <si>
    <t>Rehabilitacia</t>
  </si>
  <si>
    <t>counseling;heart rehabilitation;independence;ischemic heart disease;physical education;smoking;spa treatment;work resumption;age;cardiovascular system;economic aspect;education;heart;human;prevention;psychological aspect;short survey;social aspect;therapy</t>
  </si>
  <si>
    <t>(Stolz I.; Pisa Z.); ID: 3754</t>
  </si>
  <si>
    <t>0375-0922</t>
  </si>
  <si>
    <t>1987192650 PUI L17125150</t>
  </si>
  <si>
    <t>Straussner,S. L.;Senreich,E.;Author,Addresses;Ehrenkranz School of Social Work, New York,University New;York,Ny Usa;Correspondence,Address;SL Straussner, Ehrenkranz School of Social Work New York,University New;York,Ny Usa</t>
  </si>
  <si>
    <t>23581004; Educating social workers to work with individuals affected by substance use disorders</t>
  </si>
  <si>
    <t>addiction (diagnosis, prevention, rehabilitation);alcoholism (diagnosis, prevention, rehabilitation);social work;article;cooperation;curriculum;education;human;human relation;interdisciplinary communication;professional competence;psychology;standard;systems theory;United States</t>
  </si>
  <si>
    <t>(Straussner S.L.) (Senreich E.); ID: 3315</t>
  </si>
  <si>
    <t>http://www.ncbi.nlm.nih.gov/pubmed/23581004</t>
  </si>
  <si>
    <t>Educating social workers to work with individuals affected by substance use disorders</t>
  </si>
  <si>
    <t>Strike,C.;Watson,T. M.;Gohil,H.;Miskovic,M.;Robinson,S.;Arkell,C.;Challacombe,L.;Author,Addresses;Toronto,Canada;Correspondence,Address;Strike,Toronto Canada,C.</t>
  </si>
  <si>
    <t>Best practice recommendations for Canadian harm reduction programs that provide service to people who use drugs and are at risk for HIV, HCV, and other harms-part 2: Service models, referrals for services, and emerging areas of practice</t>
  </si>
  <si>
    <t>26 SUPPL. SB</t>
  </si>
  <si>
    <t>92B</t>
  </si>
  <si>
    <t>cocaine;diamorphine;methamphetamine;Canadian;harm reduction;human;Human immunodeficiency virus;model;risk;Australia;Canada;cross-sectional study;crystal;drug use;education;Europe;evidence based practice;health;health care;housing;inhalation;injection;intoxication;law enforcement;mental health service;narrative;physician;policy;population;prevention;prison;public health;skin;smoking;study design;substance use;synthesis;tattooing;United Kingdom;United States;vaccination;vein</t>
  </si>
  <si>
    <t>Our aim was to create an evidence-based set of user-friendly recommendations for Canadian harm reduction programs that provide service to people who use drugs and are at risk for HIV and other harms. This new document addresses practice issues not addressed in Part 1 (see www. catie.ca/en/programming/best-practices-harm-reduction) which focused on equipment distribution for injection drug use and smoking crack cocaine, safer drug use education, and overdose prevention. We used a narrative synthesis method to search, retrieve, assess, and synthesize the most up-to-date evidence from Canada, United States, Great Britain, Europe, Australia, and other countries with public health systems similar to Canada. Scientific evidence was reviewed to create syntheses and recommendations concerning the following areas of practice: service model design; equipment distribution for steroid/hormone injection, piercing and tattooing, smoking heroin, and smoking crystal methamphetamine; testing and vaccination; skin and vein care; referrals to HIV and HCV treatment, substance use treatment, mental health services, and housing services; education and other services for the prison context; and relationships with law enforcement. Due to study designs (i.e., evidence from cross-sectional studies) and/or limited available evidence, it was difficult to ascertain 'key' intervention components for some topic areas. Using varied knowledge exchange methods by multiple team members (including conference presentations, webinars, fact sheets, and panel discussions), our goal is to promote awareness of and access to the Best Practice Recommendations among harm reduction practitioners across Canada. Changing existing harm reduction policies and practices to be in line with these newer recommendations will improve the health of marginalized populations by reducing inequities including improved access to safer injection and inhalation supplies.</t>
  </si>
  <si>
    <t>(Strike C.; Watson T.M.; Gohil H.; Miskovic M.; Robinson S.; Arkell C.; Challacombe L.) 24th Annual Canadian Conference on HIV/AIDS Research, CAHR 2015 Toronto, ON, Canada 2015-04-30 to 2015-05-03 Pulsus Group Inc.; ID: 2133</t>
  </si>
  <si>
    <t>Stuart,G. W.;Burland,J.;Ganju,V.;Levounis,P.;Kiosk,S.;Author,Addresses;Colleges of,Nursing;Medicine,Medical;University,of South;Department of,Education;Training,National Alliance for the;Mentally Ill,Arlington,V.A.United States;National Association of State Mental,Health Program;Research Institute,Alexandria,V.A.United States;New York University,School of;American Psychiatric Association,Office of;Correspondence,Address;GW Stuart, Jonathan Lucas Street Charleston,S.C.United States;Email,stuartg musc edu</t>
  </si>
  <si>
    <t>12238557; Educational best practices</t>
  </si>
  <si>
    <t>medical education;medical practice;addiction;conference paper;curriculum;evidence based medicine;mental health;mental health care;priority journal;psychiatrist;Public Health, Social Medicine and Epidemiology (17);Psychiatry (32)</t>
  </si>
  <si>
    <t>There are few reports from the behavioral health field that focus on educational best practices. This article summarizes a panel presentation from the Annapolis Conference in which four different programs were described: (1) a provider educational initiative, (2) a tool-kit project related to evidence-based services, (3) a multidisciplinary faculty training program in addictions, and (4) an AIDS education project. While such innovative educational practices appear to be the exception rather than the norm, they do offer ideas and strategies for challenging and energizing current educational practices in behavioral health.</t>
  </si>
  <si>
    <t>(Stuart G.W., stuartg@musc.edu) (Burland J.) (Ganju V.) (Levounis P.) (Kiosk S.) Kluwer Academic/Human Sciences Press Inc., 233 Spring Street, New York, United States.; ID: 3333</t>
  </si>
  <si>
    <t>http://www.ncbi.nlm.nih.gov/pubmed/12238557</t>
  </si>
  <si>
    <t>10.1023/A:1019648922377 FULL TEXT LINK http://dx.doi.org/10.1023/A:1019648922377</t>
  </si>
  <si>
    <t>Educational best practices</t>
  </si>
  <si>
    <t>Sturman,G.;Author,Addresses;Department,of Pharmacology;Therapeutics,School of Biomedical;Health Sciences,Kings College;London,London United Kingdom;Correspondence,Address;Sturman,Department of Pharmacology,G.;Therapeutics,School of;Biomedical;Health Sciences, Kings College London,London United;Kingdom Email, gill sturman,virgin net</t>
  </si>
  <si>
    <t>Meeting report of the European histamine research society</t>
  </si>
  <si>
    <t>Inflammation Research</t>
  </si>
  <si>
    <t>Inflammation Res.</t>
  </si>
  <si>
    <t>62 SUPPL. 1</t>
  </si>
  <si>
    <t>(MAJOR FOCUS);histamine;armin;gold;histamine receptor;levonorgestrel;neurotransmitter;orexin;receptor;society;addiction;airport;allergy;awards and prizes;basophil;blood;bomb;Brazil;cancer cell culture;catering service;cell selection;central nervous system;ceremony;city;coffee;college;competition;dancing;data base;dream;eosinophil;error;Europe;female;Finland;France;friend;gene expression;Germany;histamine metabolism;hope;human;Internet;interpersonal communication;Italy;Japan;leisure;literature;lung;male;mast cell;meal;medical school;model;music;neoplasm;nerve cell;Netherlands;painting;PhD student;Poland;purification;receptive field;scientist;shoe;shopping;singing;sleep waking cycle;South America;student;technology;textile industry;United Kingdom;university;walking;zebra fish</t>
  </si>
  <si>
    <t>This year's meeting was in Lodz, Poland at the kind invitation of Agnieszka Fogel. This is the fourth time that histaminologists have meet in Lodz; the previous meetings were in 1978 and 1998 as well as hosting the very first informal meeting of the 'Histamine Club' in 1971. This year's meeting was held in the Ambasador Centrum Hotel which is situated in the centre of the city of Lodz, close to shopping malls and leisure centres. The world famous Piotrkowska Street with its numerous pubs and restaurants was only 5 mins walking distance away but there was virtually no time to explore these places as the meeting was packed full of interesting communications. This year there were 88 people registered and they represented 23 countries (mostly from Europe but also from the USA, South America, Japan as well as some other Eastern countries). Some regular attendees could not attend and they were missed but a big welcome was made to all the new visitors, who we hope will return to future meetings. Most of the delegates arrived on the Wednesday. The Council met as usual late afternoon. During this meeting we heard that the luggage of one of the delegates had been left by mistake at Warsaw airport and the airport was about to be evacuated thinking it may be a bomb. Fortunately the case was collected by its owner and the panic was over! Then there was the Welcome Reception which was different in that it was a set meal with everyone seated. However, it did not stop old friends being greeted and new ones made. Thursday started with the Opening Ceremony for the 42nd meeting of our society and we were welcomed by our hostess, Agnieszka Fogel and the Dean of the Medical Faculty on behalf of the Medical University of Lodz. To the delight of everyone and with the aid of technology, we were able to be 'joined up' by Skype with our president, Paul Chazot who thanked Anita Sydbom for stepping into 'his shoes' but he also told us that his recovery would take several months. After Anita had given us her welcoming talk the student bursaries were given out; certificates and cheques (Î“Ã©Â¼500 for each) to seven student members. The El-Sayed Assem family very kindly sponsored one student while the rest were from our society. Then there was the presentation of Honorary Membership to our hostess, Professor W. Agnieszka Fogel. Wilfred Lozenz, himself an Honorary Member, gave the laudation to Agnieszka who was then presented with a certificate beautifully written in Latin and sporting the society's official seal. Then there was the first of the invited lectures given by Pertti Panula (Finland) and introduced by Beatrice Passani (Italy). The lecture was entitled 'Histamine and Addiction: From behaviour to neurotransmitter interactions'. After this very interesting lecture, there was coffee break which gave us time to start looking at the posters which were displayed around the lecture room. When we commenced again, we had more communications on the role of histamine in the CNS. Some of these were very short oral presentations highlighting key aspects of the various posters displayed. Then this session ended with us listening to some piano music composed by the famous female Lodz composer, Grazyna Bacewicz. After lunch, we then left Lodz on two coaches who drove us south. We were driven through the flat arable countryside to Jasna Gora where there is the famous Pauline Monastery containing the Shrine of Our Lady of Czestochowa. Every year, millions of pilgrims visit this shrine to the Virgin Mary to see the famous Black Madonna painting. We were taken round the monastery by excellent guides who told us the history of the area, pointed out various important features and treasures of the monastery. We were able to see the 'Black Madonna' icon which is a unique example of a combination of Byzantine art of the East with the Latin culture of the West. Then back on the coaches to the Gold Inn at Kruszow where we were given a typical Polish dinner. The following day started with the second session on 'Histamine in the CNS' and the first lecture was given by Bill Wisden of Imperial College London on the pivotal role histamine plays in the sleep-wake cycle. This was followed by oral and then poster presentations. 'Histamine receptors' session then started with an invited lecture from Armin Buschauer, (Germany) on the various approaches undertaken to produce compounds with selective activity for the histamine H(2) and H(4) receptors. This was followed by a number of communications all related to the development of compounds with various activities at the different histamine receptors. The final presentation before lunch was given by Rob Leurs, (The Netherlands) who talked about their discovery process for histamine H(4) receptor compounds emphasising that a better understanding can be achieved by using good models and small fragments of compounds. After lunch, this 'Histamine and receptors' session continued with ten presentations but the emphasis this time was on pharmacological and biochemical effects. A session entitled Histamine and Cancer was given after the mid-afternoon break where we listened to eight presentations on the involvement of histamine in cancer and how the histamine H(4) receptor has been shown to suppress a number of cancer cell lines and modified various gene expressions. In the evening we were taken by coach to the Grand Theatre in Lodz to see the ballet 'Promised Land'. This was a story of three ambitious men searching for their dreams of prosperity by starting a modern textile factory together and it was full of emotional extremes-a Dickensian tale of greed, exploitation, and betrayal. In 1973 it was made into a film, directed by Andrzej Wajda, which was nominated for an Oscar for Best Foreign Film. The music was composed by Gray Veredon, Franz von Suppe and Michael Nyman. Saturday started with the G.B.West lecture which was given by Satoshi Tanaka from Okayama University, Japan and he was introduced by Agnieszka Fogel. He spoke about histamine synthesis and its functions in murine mast cells. After this very interesting lecture, Satoshi was presented with a copy of G.B. West's autobiography. This was followed by a session entitled 'Histamine and Cells' which centred on allergic conditions, mast cells and basophils. During this session, the final invited lecture was given by Marek Jutel of Wroclaw, Poland on 'the role of histamine signalling in pathomechanism on non-specific IBD' and he was introduced by Madeleine Ennis who reminded us that that Marek besides being a very good scientist was also a good singer and dancer as we found out at the Sochi meeting in 2011. Then there were nine more presentations including one where zebra fish were used as a model and when asked why they were used, the answer was that they are cheaper than zebras! Immediately after our lunch we listened to a couple of presentations about two internet databases for the histamine H(4) receptor initiated from the COST Action BM0806 which have been set up. These are invaluable to anyone researching the histamine H(4) receptor field. Throughout the meeting the poster committee had been working very hard and as usual had a difficult task in identifying winning posters for the poster competition. Eventually first prize was given to L. Kay et al. from Sheffield, UK with her poster entitled 'Preliminary characterization of histamine receptor expression in human lung mast cells', second to Y.Zhao et al. from Lyon, France with her poster entitled 'Histaminergic tuberomamillary nucleus constitutes one of the most important targets for the wake-promoting effect of orexin neurons but not the exclusive one' and third prize went to M.Grosicki et al. from Cracow, Poland with his poster entitled 'Eosinophil purification from peripheral blood-study of different immunomagnetic cell sorting methods efficiency'. The final oral session of our meeting was to listen to our younger members (PhD students or not more than 3 year's post-doctoral research) give their presentations for the EHRS Young Investigator Award. It was another very difficult task for the judges in differentiating between these six excellent presentations. This year it was decided that there would be two joint winners: Maria Sundvik (Helsinki, Finland) and Ling Shan (Amsterdam, The Netherlands). The other four young investigators-Anna Gianlorenco from Sao Carlos, Brazil, Przemysâ”¼Ã©aw Rzodkiewicz of Warsaw, Poland, Maki Michioki and Tomohiro Nakano both from Tokushima, Japan were all highly commended. Then we held our General Assembly. Many thanks were given to Anita for all her hard work in taking over Paul Chazot's Presidential role whilst he is ill and everyone wished Paul a speedy recovery. Our meeting ended with a traditional Polish Farewell Dinner followed by our award ceremony. The certificates and prizes were given out. Then as usual we had our singing session where we sung our EHRS Anthem before saying 'au revoir' to our many 'histaminergic' friends. Our thanks are given to all of the Polish histaminologists for the excellent meeting. The next meeting will be held in Lyon, France (7-11 May, 2014) at the kind invitation of Jian-Sheng Lin.</t>
  </si>
  <si>
    <t>(Sturman G., gill.sturman@virgin.net) 42nd Annual Meeting of the European Histamine Research Society Lodz, Poland 2013-05-08 to 2013-05-11 Birkhauser Verlag Basel; ID: 2387</t>
  </si>
  <si>
    <t>1023-3830</t>
  </si>
  <si>
    <t>10.1007/s00011-013-0644-x FULL TEXT LINK http://dx.doi.org/10.1007/s00011-013-0644-x</t>
  </si>
  <si>
    <t>Su,T. P.;Author,Addresses;Department of Psychiatry, National Yang-Ming,University Veterans;General Hospital,Taiwan;Correspondence,Address;T-P Su, Department of Psychiatry National Yang-Ming,University Veterans;General Hospital,Taiwan</t>
  </si>
  <si>
    <t>Earlier exposure to the exchanged advanced research trainings and transcultural interactions will establish fundamental basis for the future development in psychiatry in Pacific Rim area</t>
  </si>
  <si>
    <t>Asia-Pacific Psychiatry</t>
  </si>
  <si>
    <t>college;exposure;human;psychiatrist;psychiatry;autism;child psychiatry;clinical practice;dementia;female;Fiji;general hospital;Hong Kong;imaging;Korea;male;mental health;mood disorder;non profit organization;nuclear magnetic resonance imaging;philosophy;physician;psychosomatics;residency education;schizophrenia;sleep disorder;sleep medicine;solid;stimulation;substance abuse;Taiwan;teamwork;technology;training;United States;university;veteran;Viet Nam</t>
  </si>
  <si>
    <t>In Taiwan, most of the psychiatric institutes sent their young attending doctors to study in advanced countries. However, only the Department of Psychiatry at Taipei Veterans General Hospital actively sent residents to study abroad. The philosophy of VGH Psychiatry is 'Research is the key promotion for clinical practice and development in psychiatry'. We thought earlier exposure to research may be beneficial for the subsequent development in their career. Thus, VGH Psychiatry sent senior residents to the advanced research training program in USA. Over the past 6 years, 7 fellows received one year training in the special areas such as substance abuse, schizophrenia, autism, sleep disorders, dementia and PET imaging in mood disorders and MRI in schizophrenia in the programs at the universities of Harvard, Yale, John-Hopkins, USC and NIMH. This program is equivalent to the fellowship training post-residency in the United States. The outcome has been rated well, since there have several advantages as follows; 1) To establish their subspecialty earlier in their career and to constitute team work for research; 2) To build solid foundation for the future development of the Department; 3) To learn the updated new technology in clinical psychiatric medicine; 4) To set up channels for collaboration with the experts in foreign countries. Few Psychiatric institutes in Taiwan received international residents or fellows. The Department of Psychiatry at Chang Gung Medical Center is one of the exceptions. CGMH Psychiatry offers international fellowship programs for psychosomatic medicine, sleep medicine, women's mental health, men's mental health and child psychiatry. Over the past 5 years, it received 5 international clinical or research fellows from Vietnam, United States, Korea, Fiji and Hong Kong. Their stay ranged from 1 to 6 months. International fellows interacted with the Taiwanese colleagues very well and brought new ideas and transcultural stimulations to the organization. International interaction is important for professional growth of an individual, and also, of an institute. We are looking forward to seeing the well-developed exchanged residency training program between countries.</t>
  </si>
  <si>
    <t>(Su T.-P.) 15th Pacific Rim College of Psychiatrists Scientific Meeting, PRCP 2012 Seoul, South Korea 2012-10-25 to 2012-10-27 Wiley-Blackwell; ID: 2501</t>
  </si>
  <si>
    <t>1758-5864</t>
  </si>
  <si>
    <t>10.1111/appy.12002 FULL TEXT LINK http://dx.doi.org/10.1111/appy.12002</t>
  </si>
  <si>
    <t>Su,Y.;Chen,S.;Xin,L.;He,W.;Gong,Y.;Jiang,M.;Author,Addresses;State Key Laboratory of,Respiratory Disease;Institute of,Respiratory Disease;Guangzhou,Institute of;Disease,First Affiliated Hospital of Guangzhou Medical University China;Correspondence,Address;Su, State Key Laboratory of Respiratory Disease Guangzhou Institute of,Y.;Respiratory Disease,China</t>
  </si>
  <si>
    <t>Survey and analysis on clinical nurses' knowledge of tobacco control, situation of training and attitude towards tobacco control from respiratory department and general medicine department of tertiary hospitals in Guangzhou, China</t>
  </si>
  <si>
    <t>Asian;China;general practice;human;nurse;society;tertiary care center;tobacco;comfort;friction;health hazard;hospital;patient;questionnaire;smoke;smoking;smoking cessation;training;work experience</t>
  </si>
  <si>
    <t>Background and Objective: In order to find out the nurses' knowledge of tobacco control, situation of training and attitude towards tobacco control in hospital, we examined nurses from 10 tertiary hospitals in Guangzhou, China. Method: A cross sectional survey was conducted from October to December 2013 in hospital nurses (n = 250) from respiratory department and general medicine department in hospitals in Guangzhou. Result: According to valid questionnaires (n = 225) of the survey, score of knowledge about tobacco control differed among the nurses depending on their work experience (OR = 1.069, 95% CI: 1.015-1.126, P &lt; 0.05), that is, group working for 16-20 years was significantly higher than others (F = 3.233, P &lt; 0.05). Their smoking status (OR = 4.039, 95% CI: 1.122-14.540, P &lt; 0.05) also influences the score, for the group who never smoke was significantly higher than those who ever smoke or are presently smoking. Most of the nurses have never received any training courses (81.3%), especially when they have much senior technical titles (X2 = 49.794, P &lt; 0.01), and less work experience (X2 = 12.888, P &lt; 0.05). Nurses believed that they gave patients advice on smoking cessation mainly by introducing the negative effects of smoking (89.34%), providing psychological comfort (80.33%) and providing feasible methods of smoking cessation. However, 11.89% of the nurses believed it is useless to give advice to patient, while most of them (38.93%) thought the patient would not accept their suggestion. Conclusion: Nurses have higher score of knowledge when they have been working 16-20 years and they have never smoked before. Training status of tobacco control related to their technical titles and work experience. Most of the nurses would like to introduce the health hazards of smoking to encourage patients to give up smoking, but the friction of tobacco control mainly because patients did not listen to advices nurses gave.</t>
  </si>
  <si>
    <t>(Su Y.; Jiang M.) (Chen S.; Xin L.; He W.; Gong Y.) 20th Congress of the Asian Pacific Society of Respirology Kuala Lumpur, Malaysia 2015-12-03 to 2015-12-06 Blackwell Publishing; ID: 2038</t>
  </si>
  <si>
    <t>10.1111/resp.127061 FULL TEXT LINK http://dx.doi.org/10.1111/resp.127061</t>
  </si>
  <si>
    <t>Subramaniam,K.;Lawrance,I. C.;Author,Addresses;Department,of Gastroenterology;Hospital,Australia;Centre for Inflammatory,Bowel Diseases;Australia;School of,Medicine;Pharmacology,U. W. A. A.;Correspondence,Address;Subramaniam, Department of Gastroenterology Fremantle Hospital,K.;Australia</t>
  </si>
  <si>
    <t>An Australian single centre study evaluating the role of smoking in the phenotype and clinical course of Crohn's disease</t>
  </si>
  <si>
    <t>Journal of gastroenterology and hepatology</t>
  </si>
  <si>
    <t>J.Gastroenterol.Hepatol.</t>
  </si>
  <si>
    <t>25 SUPPL. S3</t>
  </si>
  <si>
    <t>A100</t>
  </si>
  <si>
    <t>steroid;Crohn disease;disease course;gastroenterology;phenotype;smoking;cigarette smoking;classification;counseling;diagnosis;disease classification;drug therapy;environmental factor;etiology;exposure;family history;follow up;medical specialist;patient;relapse;software;surgery;tobacco</t>
  </si>
  <si>
    <t>Of environmental factors, tobacco smoking is the most strongly implicated in the aetiology of Crohn's disease (CD). Studies from the 1990s observed that smokers with CD experienced more clinical relapses, increased complications and a greater need for surgery. Patient categorisation by the Montreal classification, however, has suggested that smoking does not directly influence behavior of CD or the need for surgery. The study aimed to further investigate the role of smoking in CD with respect to Montreal disease classification at diagnosis, complications, medication use and need for surgery. Methods: CD patients were assessed from a single specialist IBD centre. Demographic data including Montreal classification at diagnosis and at last follow-up, medication use (steroids, immunomodulators, anti-TNF â•¬â–’), surgical history and family history were recorded. A detailed smoking history was collected including starting and stopping date. 'Ever smokers' was defined as patients who have smoked &gt;100 cigarettes in their life. Data were analysed using the statistical software package SPSS for windows, version 15. Results: 194 smokers and 204 ever-smokers with CD were included. Older age was found to be significantly associated with smoking status (p &lt; 0.05). In comparison to smokers, non smokers were statistically more likely to be on immunomodulators and anti-TNF â•¬â–’ but not on steroids. The need for initial surgery was not different between the nonsmokers, exsmokers and current smokers. Current smokers were significantly more likely to have stricturing (B2) disease compared to nonsmokers and exsmokers at last follow-up (p &lt; 0.05). In comparison to nonsmokers, significantly fewer people, who had ceased smoking more than 1 year prior to CD diagnosis or within 1-year post diagnosis, had complicated disease (p &lt; 0.05). Conclusions Smoking impacts on progression to complicated disease. However with cessation of smoking even within 1-year post diagnosis, fewer had complicated disease in comparison to non smokers. Measuring tobacco exposure prior to diagnosis and afterward is essential to understanding disease evolution with implications for counselling.</t>
  </si>
  <si>
    <t>(Subramaniam K.; Lawrance I.C.) (Lawrance I.C.) Australian Gastroenterology Week 2010, AGW Gold Coast, QLD, Australia 2010-10-20 to 2010-10-23 Blackwell Publishing; ID: 2758</t>
  </si>
  <si>
    <t>0815-9319</t>
  </si>
  <si>
    <t>10.1111/j.1440-1746.2010.06455.x FULL TEXT LINK http://dx.doi.org/10.1111/j.1440-1746.2010.06455.x</t>
  </si>
  <si>
    <t>Sue,K.;Hubbeling,H.;Kuo,C.;Brubaker,K.;Xu,L.;Fernandez-Golarz,C.;Cohen,M. J.;Keuroghlian,A.;Author,Addresses;Harvard Medical School/Mgh-Chelsea, Chelsea,United States;Massachusetts General Hospital, Boston,United States;Correspondence,Address;Chelsea Chelsea United States,K.Sue, Harvard Medical School M.G.H.</t>
  </si>
  <si>
    <t>Post-prison blues: Utilizing a primary care student-faculty collaborative clinic to concurrently treat heroin addiction, ptsd and hepatitis C</t>
  </si>
  <si>
    <t>S411</t>
  </si>
  <si>
    <t>buprenorphine;buprenorphine plus naloxone;cocaine;diamorphine;doxepin;opiate;prazosin;street drug;hepatitis C;heroin dependence;hospital;human;internal medicine;primary medical care;prison;society;student;childhood;chronic liver disease;clothing;crime;death;diagnosis;disability;drug use;environment;genotype;health care system;health disparity;help seeking behavior;hepatosplenomegaly;homelessness;household;Human immunodeficiency virus;infection;insomnia;interpersonal communication;intoxication;lifespan;maintenance therapy;male;medical student;mental disease;mental health care;mental health service;mental hospital;model;mood;mood disorder;morbidity;mortality;nightmare;obesity;patient;population;posttraumatic stress disorder;risk;serology;sexual abuse;single parent;smoking;social aspect;social security;substance abuse;suicide attempt;tattoo;traffic and transport;unemployment;urine;vulnerable population</t>
  </si>
  <si>
    <t>LEARNING OBJECTIVE 1: (1) Recognize that patients leaving prison are at highrisk for chronic and infectious diseases, psychiatric illness, substance use disorders and violent victimization LEARNING OBJECTIVE 2: (2) Recognize, manage and coordinate care for some common multidisciplinary clinical problems for patients leaving prison and identify common psychosocial stressors for patients recently released from prison within our co-located primary care and psychiatric clinic CASE: HPI: Mr. M is a 54-year-old man with a history of mood disorders, heroin addiction, Hepatitis C and over 25 total years in prison presenting to establish primary care, psychiatric care and suboxone maintenance treatment. Our clinic is uniquely oriented towards serving post-incarcerated patients with co-located medical and psychiatric services provided by medical students working with staff faculty supervision. PMH: Significant for cocaine and heroin dependence. He relapsed on heroin 6 months after release from prison in the context of depression and posttraumatic stress disorder (PTSD). Experiences nightmares and flashbacks. Two suicide attempts in prison and four lifetime overdoses. Hepatitis C diagnosed while incarcerated in 2003, treatment naive. Social History: Grew up in single-parent Italian household, survived childhood sexual abuse. He has spent a total of 27 years in prison mostly related to crimes to support drug use. He is currently unemployed. Sexually active with girlfriend. Twenty pack-year smoking history. Physical Exam: General: Tall man, overweight, many tattoos, well-groomed, track marks on R hand, anxious affect Abd: Soft, nontender, no masses, no hepatosplenomegaly. No evidence of stigmata of chronic liver disease Diagnostic Studies: Urine Tox: Positive for opiates, cocaine, buprenorphine LFTS: AST 92, ALT 112 Hep Serologies: HBVsAb Positive, HBVsAg Negative, HCG\VAb Positive, Genotype 1A, VL 7,910,000, HIV Negative DISCUSSION: Mr. M is a 54-year-old man seeking to establish primary care and treatment for heroin addiction, depression and PTSD. His case is further complicated by hepatitis C infection and history of lengthy incarceration. In our co-located clinic, we provided Mr. M with weekly CBT for PTSD, prazosin for nightmares, doxepin for depressed mood and insomnia, and 12 mg daily suboxone for heroin addiction. We also manage his Hepatitis C and future treatment given elevated risks for depression or suicidality. Our student-faculty clinic provides streamlined treatment for this patient's medical and psychiatric illnesses as well as addressing social factors such as unemployment. The patient benefits from active communication and collaboration between teams about his treatment as well as the clinic's efforts to create a positive environment and a consistent relationship with the patient. Such patients often are unable to keep their appointments for many reasons including experiencing medical mistreatment in prison, a general mistrust of healthcare systems, feeling stigmatized or judged, lack of transportation or even lacking basics like clothing or a cellphone. Individuals emerging from the prison system are both sicker and at greater risk of death than the general population; for the first 2 weeks post-release patients face an alarmingly acute mortality risk: 3-8 fold above the general population (Binswanger et al. 2007). Perhaps the most confounding aspect of taking care of these patients is the complex interrelationship between chronic conditions and treatments: for example, PEG-IFN/RBV treatment for Hepatitis C potentially exacerbating mental illness (Maru et al. 2010). Inmates use street drugs to self-medicate for untreated psychiatric illness and psychiatric issues characterized as Î“Ã‡Â£post-incarceration syndromeÎ“Ã‡Â¥ limit help-seeking behavior and willingness to trust service providers (Rich et al. 2001). Consistent with these findings, Mr. M faces increased risks of morbidity and mortality upon release from prison. Such patients have pressing social situations such as homelessness and ongoing drug use that must be addressed simultaneously or even prior to addressing medical and psychiatric needs. In our clinic, we assisted the patient with Social Security disability and transportation needs. The structure of our student-faculty clinic, with special attention to patients with histories of incarceration, is an exemplar model for addressing health disparities and providing excellent clinical care for this vulnerable population.</t>
  </si>
  <si>
    <t>(Sue K.; Hubbeling H.; Kuo C.; Brubaker K.; Xu L.; Fernandez-Golarz C.; Cohen M.J.) (Keuroghlian A.) 37th Annual Meeting of the Society of General Internal Medicine, SGIM 2014 San Diego, CA, United States 2014-04-23 to 2014-04-26 Springer New York; ID: 2252</t>
  </si>
  <si>
    <t>Sullivan,J.;Kincaid,H.;Author,Addresses;Neurobiology/Philosophy, University of Alabama,at Birmingham;Birmingham,United States;Philosophy/Preventive Medicine, University of,Alabama at;Birmingham,Birmingham United States;Correspondence,Address;Sullivan, Neurobiology Philosophy University of Alabama at Birmingham,J.;Birmingham,United States</t>
  </si>
  <si>
    <t>Challenges for medical models of addicton</t>
  </si>
  <si>
    <t>model;abuse;addiction;ambiguity;brain;chronic disease;disease model;dopaminergic transmission;nerve cell plasticity;neurobiology;nucleus accumbens;processing;reinforcement;reward;solid</t>
  </si>
  <si>
    <t>It is standard in current neurobiological research on addiction to describe addiction as a chronic disease. Working from this perspective, much effort has gone into characterizing the symptomology of addiction and the brain changes that underlie them. Evidence for involvement of dopamine transmission changes in the ventral tagament area and nucleus accumbens have received the greatest attention. Kaur and Malenka (2007) put it well: Î“Ã‡Â£drugs of abuse can co-opt synaptic plasticity mechanisms in brain circuits involved in reinforcement and reward processingÎ“Ã‡Â¥. Our goal in this paper is to provide an explicit description of the assumptions of medical models, the different forms they may take, and the challenges they face in providing explanations of addiction with solid evidence. We first spell out the requirements of disease models and use them to point out ambiguities in the claims of those who defend medical models. After that, we ask to what extent DSM categorization is suitable to medical models and what aspects of the life course of addiction medical models are supposed to explain. In the third section, we note that a primary aim of the neurobiology of addiction is to localize the causes of addiction to cellular and molecular pathways in the brain's reward system. We investigate how well current neurobiological approaches approximate towards such a unified causal account of addiction, and what challenges current approaches still face. We finish with a survey of some of the important social processes in addiction and the challenges they raise for medical models.</t>
  </si>
  <si>
    <t>(Sullivan J.) (Kincaid H.) 17th European Psychiatric Association, EPA Congress Lisbon, Portugal 2009-01-24 to 2009-01-28 Elsevier Masson SAS; ID: 2878</t>
  </si>
  <si>
    <t>S345</t>
  </si>
  <si>
    <t>(Sullivan J.) (Kincaid H.) 17th European Psychiatric Association, EPA Congress Lisbon, Portugal 2009-01-24 to 2009-01-28 Elsevier Masson SAS; ID: 2879</t>
  </si>
  <si>
    <t>Sullivan,M. D.;Leigh,J.;Gaster,B.;Author,Addresses;Psychiatry,and;Behavioral Sciences, University of Washington Seattle,W.A.United States;Internal Medicine, University of Washington,Seattle W.;States;Psychiatry;Behavioral;Sciences,Box University of Washington Seattle W.A.;United,States;Correspondence,Address;M.D. Sullivan,Psychiatry;Behavioral Sciences,Box,University of;Washington,Seattle W. A. United States Email;sullimar@u.washington.edu</t>
  </si>
  <si>
    <t>16686813; Brief report: Training internists in shared decision making about chronic opioid treatment for noncancer pain</t>
  </si>
  <si>
    <t>(MAJOR FOCUS);opiate (drug therapy);chronic pain (drug therapy);adult;article;behavior;clinical education;clinical supervision;clinical trial;controlled clinical trial;controlled study;doctor patient relation;follow up;human;human experiment;internal medicine;job satisfaction;medical decision making;normal human;patient care;physician;physician attitude;primary medical care;professional student relation;randomized controlled trial;residency education;resident;self report;opiate (53663-61-9, 8002-76-4, 8008-60-4);Internal Medicine (6);Neurology and Neurosurgery (8);Public Health, Social Medicine and Epidemiology (17);Drug Literature Index (37)</t>
  </si>
  <si>
    <t>BACKGROUND: The use of chronic opioids for noncancer pain is an increasingly common and difficult problem in primary care. OBJECTIVE: To test the effects on physicians' self-reported attitudes and behavior of a shared decision-making training for opioid treatment of chronic pain. DESIGN: Randomized-controlled trial. PARTICIPANTS: Internal Medicine residents (n=38) and attendings (n=7) were randomized to receive two 1-hour training sessions on a shared decision-making model for opioid treatment for chronic pain (intervention, n=22) or written educational materials (control, n=23). MEASUREMENTS: Questionnaires assessing physician satisfaction, physician patient-centeredness, opioid prescribing practices, and completion rates of patient treatment agreements administered 2 months before and 3 months after training. RESULTS: At follow-up, the intervention group reported significantly greater overall physician satisfaction (P=.002), including subscales on relationship quality (P=.03) and appropriate use of time (P=.02), self-reported completion rates of patient treatment agreements (P=.01), self-reported rates of methadone prescribing (P=.05), and self-reported change in care of patients with chronic pain (P=.01). CONCLUSIONS: Training primary care physicians in the shared decision-making model improves physician satisfaction in caring for patients with chronic pain and promotes the use of patient treatment agreements. Further research is necessary to determine whether this training improves patient satisfaction and outcomes.</t>
  </si>
  <si>
    <t>(Sullivan M.D., sullimar@u.washington.edu; Leigh J.) (Gaster B.) (Sullivan M.D., sullimar@u.washington.edu) Springer New York LLC, 233 Springer Street, New York, United States.; ID: 3113</t>
  </si>
  <si>
    <t>0884-8734 1525-1497 (electronic)</t>
  </si>
  <si>
    <t>http://www.ncbi.nlm.nih.gov/pubmed/16686813</t>
  </si>
  <si>
    <t>10.1111/j.1525-1497.2006.00352.x FULL TEXT LINK http://dx.doi.org/10.1111/j.1525-1497.2006.00352.x</t>
  </si>
  <si>
    <t>Brief report: Training internists in shared decision making about chronic opioid treatment for noncancer pain</t>
  </si>
  <si>
    <t>Summers,P.;Martin,C.;Quidgley-Nevares,A.;Author,Addresses;Eastern Virginia,Medical;School,Norfolk United States;Correspondence,Address;Summers, Eastern Virginia Medical School Norfolk United States,P.</t>
  </si>
  <si>
    <t>The impact of an educational group session on opioid treatment agreement violations</t>
  </si>
  <si>
    <t>S40</t>
  </si>
  <si>
    <t>(MAJOR FOCUS);opiate;illicit drug;prescription drug;pain;society;abuse;ambulatory care;analgesia;clinical psychology;drug abuse;drug therapy;drug use;epidemic;gender;hospital;human;information processing;patient;physician;policy;population</t>
  </si>
  <si>
    <t>Interventions are needed to decrease the growing epidemic of prescription drug abuse. Opioids treatment agreements are often utilized as an abuse deterrent. The purpose of this study is to evaluate if a one hour educational group session for new patients has an impact on violation of opioid treatment agreement violation. Violation of the opioid treatment agreement results in discharge from the pain management clinic. The educational session provided information by a clinical psychologist to new patients about the nature of pain, theories of pain, and traditional and complimentary treatments for pain. The study population consisted of new patients 18 years or older attending a multidisciplinary comprehensive pain management clinic. A total of 326 patients were included in the study (157 who had attended the educational session and 169 who had not). Preliminary analysis revealed no significant difference between those who attended the educational session versus those who did not in regards to gender, mean age at first visit mean number of years in the clinic, source of pain, illicit drug use or medication prescribed. Those who attended the educational session were 1.8 times more likely to be discharged. The results suggest that the one hour educational group session did not positively impact discharge. The reason for the increased likelihood of discharge may be due an increased false sense of privilege as they have participated in their care beyond a typical first physician office visit. Patients either participated in the session voluntarily or as a mandatory requirement due to a change in clinic policies. Due to incomplete data collection this factor could not be controlled for in this study. More intensive interventions are warranted to decrease violations. This may include an increased number of educational hours or individualized interventional plans which may help decrease the prescription drug epidemic.</t>
  </si>
  <si>
    <t>(Summers P.; Martin C.; Quidgley-Nevares A.) 33rd Annual Scientific Meeting of the American Pain Society Tampa, FL, United States 2014-04-30 to 2014-05-03 Churchill Livingstone Inc.; ID: 2247</t>
  </si>
  <si>
    <t>10.1016/j.jpain.2014.01.164 FULL TEXT LINK http://dx.doi.org/10.1016/j.jpain.2014.01.164</t>
  </si>
  <si>
    <t>Suresh,H. V.;Prasanna Kumar,N.;Harikrishna,N.;Author,Addresses;Andhra Medical College, Visakhapatnam Andhra,Pradesh India;Correspondence,Address;HV Suresh, Andhra Medical College Visakhapatnam Andhra,Pradesh India</t>
  </si>
  <si>
    <t>Burden and coping among caregivers of children with psychological disorders</t>
  </si>
  <si>
    <t>caregiver;mental deficiency;adolescent;child;conference abstract;cross-sectional study;female;government;human;India;interview;male;structured questionnaire</t>
  </si>
  <si>
    <t>Introduction: Children suffer from behavioural and mental illnesses like autism, hyperkinetic disorders, learning disorders, depression, anxiety disorders, conduct disorders, substance abuse, eating disorders and psychosis. These children are very diffcult to manage for both the doctors and family caregivers. They are prone to burden and psychological disorders due to the impact of caring them. In India there are less studies regarding the caregiver's suffering. Aim: To study the burden and coping among caregivers of children with psychological disorders Methodology and study tools: A cross sectional study on 70 caregivers of children and adolescents with different psychological disorders including mental retardation attending the Government hospital for Mental Care, Visakhapatnam. Children and adolescents with psychological disorders attributed to underlying medical or neurological illnesses are excluded from the study. Burden assessment schedule and Cope Scale were used in the study. The differences in the scores for each individual will be compared with their sociodemographic factors as well. Data were collected via interview using semi structured questionnaires, and results were computed using appropriate statistical tests. Results and conclusion: Results and conclusion will be discussed in the conference.</t>
  </si>
  <si>
    <t>(Suresh H.V., sureshnew29@gmail.com; Prasanna Kumar N.; Harikrishna N.) 70th Annual National Conference of Indian Psychiatric Society, ANCIPS 2018 Ranchi, India 2018-02-05 to 2018-02-08 Medknow Publications; ID: 1744</t>
  </si>
  <si>
    <t>Suzuki,J.;Chang,G.;Author,Addresses;Brigham;Women's Hospital,Harvard,Medical Schoo;United,States;Correspondence,Address;Suzuki,Brigham,J.;Women's Hospital, Harvard Medical,Schoo United;States</t>
  </si>
  <si>
    <t>Consultation to medically ill patients: Survey of addiction psychiatry fellowship programs</t>
  </si>
  <si>
    <t>addiction;consultation;human;patient;psychiatry;medical student;psychiatrist;teaching;teaching round;United States</t>
  </si>
  <si>
    <t>Background: The ACCME requires that addiction psychiatry fellowship programs offer a consultation-liaison (C/L) rotation, where fellows act as expert consultants to the medical and surgical teams in the general medical setting. The survey aimed to characterize the C/L rotation offered to fellows during their training. Methods: We conducted an anonymous on-line survey of all accredited addiction psychiatry fellowship programs in the United States. Results: Eighteen programs (43%) responded to the survey. Fellows spent on average 196 hours on the C/L service (SD 125, range 64-480 hours), representing approximately 10% of the entire fellowship training. A board-certified addiction psychiatrist or an ASAM-certified psychiatrist was identified as the C/L rotation supervisor in 44% of the programs. Fellows rotated on a general psychiatry C/L service and a specialty addiction psychiatry C/L service in 61% and 39% of the programs, respectively. On average, 23.8 hours (SD 35.2 hours, range 0-80 hours) of didactic teaching was offered to fellows during the C/L rotation, which included formal lectures, seminars, teaching rounds, and case conferences. Although not significant, fellows rotating on a general psychiatry C/L service tended to (1) spend more time on the rotation (235 vs. 134 hours); (2) be supervised more frequently by a board-certified addiction psychiatrist or an ASAM-certified faculty; (3) have more opportunities to supervise psychiatry residents and medical students; and (4) receive more didactic teaching. Conclusions: The C/L rotation offered to fellows varied across programs. The limited availability of addiction supervisors on the C/L service remains a concern. The opportunity for fellows to supervise psychiatry residents and medical students may be an important advantage to offering the rotation on a general psychiatry C/L service.</t>
  </si>
  <si>
    <t>(Suzuki J.; Chang G.) 21st Annual Meeting and Symposium of the American Academy of Addiction Psychiatry, AAAP 2010 Boca Raton, FL, United States 2010-12-02 to 2010-12-05 Wiley-Blackwell; ID: 2664</t>
  </si>
  <si>
    <t>Swan,D.;Long,J.;Carr,O.;Flanagan,J.;Irish,H.;Keating,S.;Keaveney,M.;Lambert,J.;McCormick,P. A.;McKiernan,S.;Moloney,J.;Perry,N.;Cullen,W.;Author,Addresses;School,of Medicine;Medical Science, University College Dublin Centre for,Immediate Care;Services,Belfield Dublin Ireland;Alcohol;Drug Research Unit, Health Research,Board Dublin;Ireland;Canal Communities Local Drugs,Task Force;Hse,Addiction Service;Hepatology Centre, St James's,Hospital Dublin;Ireland;Drug Treatment Centre Board, Trinity Court,Dublin Ireland;East Coast Area, Addiction Service Co,Dublin Ireland;Catherine McAuley,Education;Research Centre,Mater;Misericordiae,University Hospital;National Liver,Transplant Unit;Hospital,Dublin Ireland;Patrick Street Clinic, Dun Laoghaire Co,Dublin Ireland;Community Response,Dublin Ireland;Graduate Entry Medical School, University of,Limerick Limerick;Ireland;Correspondence,Address;Swan,School of Medicine,D.;Medical Science,University,College Dublin;Centre for Immediate Care Services, Belfield Dublin,Ireland Email;davina.swan@ucd.ie</t>
  </si>
  <si>
    <t>21138381; Barriers to and facilitators of hepatitis C testing, management, and treatment among current and former injecting drug users: A qualitative exploration</t>
  </si>
  <si>
    <t>AIDS Patient Care and STDs</t>
  </si>
  <si>
    <t>AIDS Patient Care STDS</t>
  </si>
  <si>
    <t>drug dependence;hepatitis C;intravenous drug abuse;addiction;adult;article;clinical article;disease association;education;employment;fear;female;follow up;health care personnel;human;interview;Ireland;liver biopsy;male;medical specialist;patient care;primary medical care;qualitative research;Microbiology: Bacteriology, Mycology, Parasitology and Virology (4);Public Health, Social Medicine and Epidemiology (17);Health Policy, Economics and Management (36);Drug Dependence, Alcohol Abuse and Alcoholism (40);Gastroenterology (48)</t>
  </si>
  <si>
    <t>Hepatitis C (HCV) infection is common among injecting drug users (IDUs), yet accessing of HCV care, particularly HCV treatment, is suboptimal. There has been little in-depth study of IDUs experiences of what enables or prevents them engaging at every level of HCV care, including testing, follow-up, management and treatment processes. This qualitative study aimed to explore these issues with current and former IDUs in the greater Dublin area, Ireland. From September 2007 to September 2008 in-depth interviews were conducted with 36 service-users across a range of primary and secondary care services, including: two addiction clinics, a general practice, a community drop-in center, two hepatology clinics, and an infectious diseases clinic. Interviews were analyzed using a grounded theory approach. Barriers to HCV care included perceptions of HCV infection as relatively benign, fear of investigations and treatment, and feeling well. Perceptions were shaped by the discourse about HCV and "horror stories" about the liver biopsy and treatment within their peer networks. Difficulties accessing HCV care included limited knowledge of testing sites, not being referred for specialist investigations and ineligibility for treatment. Employment, education, and addiction were priorities that competed with HCV care. Relationships with health care providers influenced engagement with care: Trust in providers, concern for the service-user, and continuity of care fostered engagement. Education on HCV infection, investigations, and treatment altered perceptions. Becoming symptomatic, responsibilities for children, and wanting to move on from drug use motivated HCV treatment. In conclusion, IDUs face multiple barriers to HCV care. A range of facilitators were identified that could inform future interventions. â”¬âŒ Copyright 2010, Mary Ann Liebert, Inc.</t>
  </si>
  <si>
    <t>(Swan D., davina.swan@ucd.ie; Lambert J.; Cullen W.) (Long J.) (Carr O.) (Flanagan J.) (Irish H.; McKiernan S.) (Keating S.) (Keaveney M.) (Lambert J.) (McCormick P.A.) (Moloney J.) (Perry N.) (Cullen W.) Mary Ann Liebert Inc., 140 Huguenot Street, New Rochelle, United States.; ID: 2745</t>
  </si>
  <si>
    <t>1087-2914</t>
  </si>
  <si>
    <t>http://www.ncbi.nlm.nih.gov/pubmed/21138381</t>
  </si>
  <si>
    <t>10.1089/apc.2010.0142 FULL TEXT LINK http://dx.doi.org/10.1089/apc.2010.0142</t>
  </si>
  <si>
    <t>Barriers to and facilitators of hepatitis C testing, management, and treatment among current and former injecting drug users: A qualitative exploration</t>
  </si>
  <si>
    <t>Swiggart,W. H.;Ghulyan,M. V.;Dewey,C. M.;Author,Addresses;Department of Medicine, Center for,Professional Health;Vanderbilt University School,of Medicine;Usa;Correspondence,Address;WH Swiggart, Department of Medicine Center for,Professional Health;Vanderbilt University School,of Medicine;Usa</t>
  </si>
  <si>
    <t>22489590; Using standardized patients in continuing medical education courses on proper prescribing of controlled substances</t>
  </si>
  <si>
    <t>(MAJOR FOCUS);prescription drug;clinical competence;clinical practice;medical education;substance abuse;teaching;article;comparative study;female;human;male;methodology;middle aged;patient referral;patient safety;prospective study</t>
  </si>
  <si>
    <t>Controlled prescription drug (CPD) abuse is an increasing threat to patient safety and health care providers (HCPs) are not adequately prepared nor do they routinely employ proper screening techniques. Using standardized patients (SPs) as an instructional strategy, the trained physicians on proper prescribing practices and SBIRT (Screening, Brief Intervention, and Referral to Treatment) in a continuing medical education (CME) course. The authors compared two physician cohorts receiving standard CME course (control) versus CME plus SP practice. They measured knowledge and attitudes in all participants and skills and perceived competence in the SP group only. Knowledge and attitudes improved significantly for both groups. Screening behaviors for CPD use also improved. Participants overestimated their performance but increased their use of SBIRT with practice. The SP comfort levels with physician's competence improved after 2 practice sessions. Standardized patients can be an effective teaching tool in CME courses. Impact on knowledge or attitudes did not increase significantly over controls.</t>
  </si>
  <si>
    <t>(Swiggart W.H.) (Ghulyan M.V.; Dewey C.M.); ID: 2526</t>
  </si>
  <si>
    <t>http://www.ncbi.nlm.nih.gov/pubmed/22489590</t>
  </si>
  <si>
    <t>10.1080/08897077.2011.640217 FULL TEXT LINK http://dx.doi.org/10.1080/08897077.2011.640217</t>
  </si>
  <si>
    <t>Using standardized patients in continuing medical education courses on proper prescribing of controlled substances</t>
  </si>
  <si>
    <t>Szerman,N.;Marâ”œÂ¡n-Navarrete,R.;Martâ”œÂ¡nez-Raga,J.;Author,Addresses;Mental,Health Service;University,Hospital Gregorio;Teaching,Unit of;Clinical,Psychology;University,Hospital Doctor;University,of Valencia;Cardenal,Herrera Ceu;Clinical Trials,Unit On;Mental,Health;National Institute of Psychiatry ramâ”œâ”‚n de la,Fuente Mu;Mexico;Correspondence,Address;Szerman, Mental Health Service Retiro University Hospital Gregorio,N.;Maraâ”œâ–’on, Spain Email nszerman salud,madrid org</t>
  </si>
  <si>
    <t>The Role of Education on Dual Disorders: A Discussion Paper</t>
  </si>
  <si>
    <t>drug dependence (epidemiology);medical education;mental disease (epidemiology);drug withdrawal;evidence based practice;health practitioner;human;incidence;mental disease assessment;mental health;neurobiology;neurologic examination;patient counseling;prevalence;priority journal;psychiatrist;review;standardization;systematic review;Public Health, Social Medicine and Epidemiology (17);Psychiatry (32);Neurology and Neurosurgery (8)</t>
  </si>
  <si>
    <t>Background: The heterogeneity of the knowledge, skills, and attitudes, in health professionals involved in treating patients with Dual Disorders (DDs), generate a negative impact in the effectiveness of the treatment programs. This situation has been associated with the limitations of the undergraduate, postgraduate, and continuing professional education training programs. The goal of this review is to provide an overview on some concepts involved in the management of patients with DDs, and to describe some initiatives that have been developed to address the lack of mental health professional training. Materials and Methods: To integrate a theoretical and conceptual base, a systematic review was conducted in specialized databases such as PUBMED, EBSCO, PsycINFO, Google Scholar, and institutional mental health collections. Results: There is a lack of scientific evidence reporting the implementation and adoption of training programs for health professionals in the treatment of Substance Use Disorders. Conclusions: Most of the scientific literature reports the need to improve the curriculum in undergraduate physician programs. Despite the scientific findings, the training programs do not emphasize on the new conceptualization of the DDs.</t>
  </si>
  <si>
    <t>(Szerman N., nszerman@salud.madrid.org) (Martâ”œÂ¡nez-Raga J.) (Marâ”œÂ¡n-Navarrete R.) Lippincott Williams and Wilkins, kathiest.clai@apta.org; ID: 1882</t>
  </si>
  <si>
    <t>20170519826 PUI L617411769</t>
  </si>
  <si>
    <t>10.1097/ADT.0000000000000114 FULL TEXT LINK http://dx.doi.org/10.1097/ADT.0000000000000114</t>
  </si>
  <si>
    <t>Tam,J.;Author,Addresses;Department,of Health;Policy,School of Public;Health,University of Michigan Washington Heights Ann Arbor M.I.;A.,U. S.;Correspondence,Address;Tam, Department of Health Management,J.;Policy,School of Public Health;University of Michigan, Washington Heights Ann,Arbor M.;jamietam@umich.edu, U. S. A. Email:</t>
  </si>
  <si>
    <t>23591510; Cultivating the next generation of tobacco endgame advocates</t>
  </si>
  <si>
    <t>i47</t>
  </si>
  <si>
    <t>consumer advocacy;medical education;public health;smoking (prevention);article;education;health promotion;human;methodology;smoking cessation</t>
  </si>
  <si>
    <t>Long-term success for any tobacco endgame is contingent not only on acquiring political will, but also on sustaining it over a long period of time, perhaps even for decades. Future cohorts of public health professionals with knowledge of tobacco issues are therefore needed to carry on with the endgame strategy (should early attempts fail) and to keep tobacco control salient after an endgame strategy has initially been implemented. The endgame itself offers a unique pedagogical opportunity that could revive interest in tobacco control at schools of public health--an important first step in cultivating the future advocacy base for a tobacco endgame.</t>
  </si>
  <si>
    <t>(Tam J.); ID: 2407</t>
  </si>
  <si>
    <t>1468-3318 (electronic)</t>
  </si>
  <si>
    <t>http://www.ncbi.nlm.nih.gov/pubmed/23591510</t>
  </si>
  <si>
    <t>Cultivating the next generation of tobacco endgame advocates</t>
  </si>
  <si>
    <t>Tanner,B.;Author,Addresses;Clinical Tools,Inc,United States;Correspondence,Address;Tanner, Clinical Tools Inc United States Email,B.;tanner@clinicaltools.com</t>
  </si>
  <si>
    <t>Case-based online training to improve knowledge and attitudes about safe opioid prescribing</t>
  </si>
  <si>
    <t>E3</t>
  </si>
  <si>
    <t>(MAJOR FOCUS);opiate;primary medical care;addiction;behavior change;chronic pain;clinical decision making;curriculum;drug therapy;funding;human;information processing;learning;medical student;pain;patient;physician;prescription;skill;student;training;urine</t>
  </si>
  <si>
    <t>Summary: Improving knowledge about opioid medications and attitudes towards patients with addiction is essential to ensuring proper prescribing of prescription opioids. With funding from NIDA we created and evaluated a web-based training program for primary care providers on the proper way to safely and appropriately prescribe opioidmedications for pain. The interactive case-based learning experience alters practice behavior and improves clinical decision making via patient case scenarios. Methods: Learners complete a pre/post test of clinical skill measures, as well as attitude and intended behavior surveys. The experience meets the requirement of AMA PRA Category 1 Credit (tm). Data from 47 professionals has been analyzed. For professionals, there was significant improvement in the knowledge from pre- to post-core training program (p &lt; 0.01). Positive behavior changes indicated a willingness to use urine drug screens and treatment agreements, although only 80% of participants report intent to use. After the program, 98% of providers recognized that addiction is not inevitable if appropriate safeguards are taken, a 30% increase. Results: We are now evaluating a sister program targeted towards medical students. Preliminary results suggest that training may be able to similarly influence attitude and improve knowledge for providers in training as well. Data collection from residents and students will conclude in Spring 2013 and results will be presented. Conclusion: A web-based skills training curriculum can improve necessary knowledge and skills related to safe prescribing of opioids for chronic pain. Our ongoing studies will compare the impact of a prescription opioid curriculum at different points in physician training.</t>
  </si>
  <si>
    <t>(Tanner B., tanner@clinicaltools.com) Med-Sci 2013 Queenstown, New Zealand 2013-08-26 to 2013-08-28 Lippincott Williams and Wilkins; ID: 2379</t>
  </si>
  <si>
    <t>Tanner,T.;Metcalf,M.;Rossie,K.;Coulehan,M.;Author,Addresses;Clinical Tools,Inc Chapel;Hill,United States;Correspondence,Address;Tanner, Clinical Tools Inc Chapel Hill United States,T.</t>
  </si>
  <si>
    <t>Online training of primary care providers in pain and addiction</t>
  </si>
  <si>
    <t>addiction;pain;primary medical care;society;backache;chronic pain;community;consensus;drug therapy;evidence based practice;headache;hospital;Internet;medical specialist;osteoarthritis;patient;physician;skill;substance abuse</t>
  </si>
  <si>
    <t>The majority of primary care providers in the pain practice community have not fully incorporated evidence-based and clinical consensus recommendations for preventing, recognizing, and managing addiction in pain patients. Existing interventions based on conferring knowledge or providing prompts are limited in effect. With support from NIDA, we are designing an online training experience for pain management providers that focuses on skills training. We surveyed addiction specialists (n = 9) to better understand the needs and limitations of primary care providers. All addiction specialists identified a need for additional training in: 1) Detecting Substance Use Disorders in Pain Patients at Initial Evaluation, 2) Preventing Substance Use Disorders When Prescribing Opioids to Pain Patients, 3) Managing Addiction Issues in Ongoing Treatment of Chronic Pain Patients, and 4) Preventing and Detecting Diversion of Pain Medications listed in the respondents' order of priority]. When asked about supplementary disease focused training in addiction issues, they highlighted back pain as the top priority followed by headache, osteoarthritis, and fibromyalgia/neuropathy tied]. All addiction expert participants expressed interest in participating in features such as an online forum and an Î“Ã‡Â£Ask the ExpertÎ“Ã‡Â¥ forum. A survey of pain specialists (n = 5) ranked the four topics similarly and also identified back pain as the most important topic. A survey of primary care physicians (n = 9) revealed that all would consider taking a course with an Standardized Patient component; the most preferred modality was online chat. Most preferred a short SP experience that would more closely mimic the clinic encounter. With expert and target audience input, we have outlined a skills training experience based on the topics above and which uses virtual (i.e., Internet chat-based) Standardized Patients as well as interactive clinical cases with multiple questions.</t>
  </si>
  <si>
    <t>(Tanner T.; Metcalf M.; Rossie K.; Coulehan M.) 28th Annual Scientific Meeting of the American Pain Society, APS San Diego, CA, United States 2009-05-07 to 2009-05-09 Churchill Livingstone Inc.; ID: 2909</t>
  </si>
  <si>
    <t>10.1016/j.jpain.2009.01.080 FULL TEXT LINK http://dx.doi.org/10.1016/j.jpain.2009.01.080</t>
  </si>
  <si>
    <t>Tanner,T. B.;Metcalf,M. P.;Author,Addresses;Clinical Tools Inc, Chapel Hill,United States;Correspondence,Address;TB Tanner, Clinical Tools Inc Chapel Hill,United States</t>
  </si>
  <si>
    <t>Interactive online learning for medical students about opioid abuse and treatment</t>
  </si>
  <si>
    <t>(MAJOR FOCUS);opiate;buprenorphine;abuse;learning;medical student;addiction;curriculum;education;feedback system;funding;Internet;medical school;physician;pilot study;primary medical care;sample size;satisfaction;self concept;student</t>
  </si>
  <si>
    <t>Background: Opioid dependence is not a standard part of medical school curricula. At the same time medical schools are being asked to teach more students, and via buprenorphine, primary care doctors can potentially be more involved in addiction treatment. The gap in medical school education can and should be addressed. Methods: We developed an Internet based educational module on opioid use and conducted a small pilot study (n = 22) to assess effectiveness and acceptability. Participants included medical students in Yr 1-3 from multiple institutions. A pre/post test was used to assess knowledge, a retrospective pre/post to assess attitude and self-efficacy, and a post-test for intended behavior. The increase in knowledge observed from pre-test to post-test was statistically significant (p &lt; .001). Each item assessing attitude, self-efficacy, and intended behavior showed a statistically significant pre/post increase. Although the small sample size did not permit extensive analysis, no significant differences among students by year were seen. Satisfaction was high. Conclusion: The prototype module showed promise for increasing knowledge as well as improving attitude towards treatment and intended behavior. Students are receptive to learning about addiction topics. Based on these findings, curriculum plans for a suite of modules are being developed with feedback from experts in the field and funding from NIDA. The use of online modules may allow medical schools to better prepare their students to be active participants in addiction treatment without additionally burdening current faculty.</t>
  </si>
  <si>
    <t>(Metcalf M.P.) (Tanner T.B.) AAAP 19th Annual Meeting and Symposium Informa Healthcare; ID: 2884</t>
  </si>
  <si>
    <t>Tanner,T. B.;Metcalf,M. P.;Rossie,K.;Author,Addresses;Clinical;Tools,Inc Chapel Hill United States;Correspondence,Address;TB Tanner, Clinical Tools Inc Chapel Hill United,States Email;tanner@clinicaltools.com</t>
  </si>
  <si>
    <t>Educational needs analysis regarding co-morbid pain and substance abuse</t>
  </si>
  <si>
    <t>pain;substance abuse;community;consensus;e-mail;education;evidence based practice;funding;Internet;interview;learning;nurse practitioner;patient;physician;primary medical care;response time;risk;videorecording</t>
  </si>
  <si>
    <t>Introduction/Statement of the Problem: Successful treatment modalities for patients with co-morbid pain and substance abuse problems have been developed. However, the practice community is ill-equipped to incorporate such evidence-based recommendations or strong clinical consensus opinions due to a lack of knowledge and training in this area. Materials and Methods:Using funding from NIDA, this project is surveying and interviewing primary care physicians (PCP(s)), primary care residents, and nurse practitioners (NP(s)), to determine educational needs and learning preferences. We also inquired about interest in an educational experience involving Internet-based Standardized Patients (SP(s)) to mirror the challenges and variability of interviewing live patients. Exempt research determined by the Clinical Tools' IRB involved opt-in subjects who were contacted by email about participating in online surveys (n = 9 for each group). Results: Each group prioritized training need as follows: 1) treating patients in recovery, 2) treating patients actively using substances, 3) treating patients at risk for substance abuse. With respect to conventional online, case-based educational courses, each group preferred a format using multiple short cases (&gt;75%). They differed slightly in terms of how to best integrate cases and factual content but all preferred interactive questions/answer pairs on every page. The majority of each group expressed interest in learning by interviewing a virtual SP. For the SP experience, a chat-based interview was preferred to a video-based interview. Practicing physicians want very flexible hours and quick response time. Residents and NPs are more willing to wait for a response. Conclusions: PCPs, residents and NPs identify a need to learn more about co-morbid substance abuse and pain. They are interested in online education solutions, especially those that employ multiple cases as the learning modality and interactive questions. They are willing to engage with virtual SP via chat.</t>
  </si>
  <si>
    <t>(Tanner T.B., tanner@clinicaltools.com; Metcalf M.P.; Rossie K.) 25th Annual Meeting of the American Academy of Pain Medicine, AAPM Honolulu, HI, United States 2009-01-27 to 2009-01-31 Blackwell Publishing Inc.; ID: 2931</t>
  </si>
  <si>
    <t>Tanner,T. B.;Rossie,K.;Author,Addresses;Clinical Tools,Inc;Chapel Hill,United States;Correspondence,Address;TB Tanner, Clinical Tools Inc Chapel Hill United,States Email;tanner@clinicaltools.com</t>
  </si>
  <si>
    <t>Perceived need for training and skills development related to addiction risk for patients with pain</t>
  </si>
  <si>
    <t>addiction;pain;patient;risk;skill;backache;drug screening;education;fibromyalgia;informed consent;interview;medical education;mental disease;neuropathy;osteoarthritis;primary medical care;relapse;screening;urine</t>
  </si>
  <si>
    <t>The need for better skills training related to addiction risk associated with pain treatment is understood (CASA, 2005; Merrill, 2002; Lin, 2007). But data to guide such development so that it emphasizes the greatest need is limited. Materials and Methods: We interviewed six primary care providers about their concerns and challenges in prescribing opioids and treating pain and addiction as well as their needs and preferences 333 regarding continuing medical education (CME) courses on pain and addiction. Results: The PCPS greatest concern when prescribing opioids to patients was the potential for addiction. Their greatest challenges were: 1) diversion, 2) cooccurring psychiatric disorder, and 3) inability of nonopioid treatments to relieve pain. Some participants felt that additional training would help address these challenges. For treating pain in alreadyaddicted patients, they requested information on: 1) discerning drug-seeking behavior due to addiction versus undertreated pain, 2) identifying relapse into addiction, 3) urine drug testing, 4) informed consent and treatment agreements, 5) how to take an addiction history, and 6) referral resources and clinical tools to help clinicians identify, interview, and manage addicted patients. Participants expressed the most interest in back pain, fibromyalgia, neuropathy, and osteoarthritis. Their greatest interest for practical skills training was in screening for addiction or interviewing pain patients. Conclusions: PCPs identify a need for education on the risk of addiction in patients with pain. Meeting that need will require a comprehensive resource addressing multiple skills deficits and tools to help the provider find appropriate resources.</t>
  </si>
  <si>
    <t>(Tanner T.B., tanner@clinicaltools.com; Rossie K.) 26th Annual Meeting of the American Academy of Pain Medicine, AAPM San Antonio, TX, United States 2010-02-03 to 2010-02-06 Blackwell Publishing Inc.; ID: 2826</t>
  </si>
  <si>
    <t>Tau,G.;Author,Addresses;Columbia University, New York,State Psychiatric;Institute,United States;Correspondence,Address;Tau, Columbia University New York State Psychiatric Institute United,G.;States Email,gregtau,gmail com</t>
  </si>
  <si>
    <t>Treating sedative and benzodiazepine abuse in college students</t>
  </si>
  <si>
    <t>S79</t>
  </si>
  <si>
    <t>(MAJOR FOCUS);benzodiazepine;sedative agent;hypnotic agent;college student;accident;anxiety;child;comorbidity;complication;drug combination;drug dependence;drug therapy;emergency ward;euphoria;human;juvenile;market;morbidity;mortality;prescription;psychiatrist;risk assessment;sedation;stress;tablet;withdrawal syndrome;benzodiazepine (12794-10-4)</t>
  </si>
  <si>
    <t>Objectives: Prescription benzodiazepines and sleep aids are available on college campuses through illicit means. Misuse of this class of prescription medications can quickly lead to substance use disorder and its dangerous sequelae. In this presentation, participants will 1) learn the epidemiology of problem sedative-hypnotic use on college campuses; 2) understand the ways that this class of prescription medication is used alone and in combination with other substances; 3) be given strategies to identify and assess high-risk individuals; and 4) understand specific treatment approaches to population. Methods: The epidemiology and clinical literature on sedative-hypnotic use in transitional youth will be reviewed. This will include the literature on the use of sedative-hypnotics in combination with other substances and problem sedative-hypnotic use in individuals with psychiatric comorbidities. Results: Benzodiazepines are coveted by a population of college-aged transitional youth, which sustains a black market for diverted prescriptions and Î“Ã‡Â£street pressÎ“Ã‡Â¥ or home-made benzodiazepine tablets. Specific jargon has been developed to describe the medications and their use. College students may use these substances to alleviate stress or anxiety, experience euphoria, enhance or alter the intoxicating effects of other substances, or treat withdrawal symptoms from other drugs of abuse. Benzodiazepine misuse alone, and especially in combination, can easily lead to morbidity, which includes accidents, victimization, and extreme sedation leading to emergency department visits. Nevertheless, the dangers of illicit use of this class of medications are minimized by college students, and because benzodiazepines are reinforcing drugs, their use persists despite repeated untoward sequelae. Conclusions: Although sedative-hypnotic use disorder is not one of the most common addictive problems in college-aged transitional youth, it is one that is associated with higher morbidity and mortality than most. Furthermore, benzodiazepine-involved students are particularly challenging for treatment because their illness is more severe than their peers. It is crucial for child and adolescent psychiatrists to be familiar with the nature of this substance use disorder on college campuses and be able to identify, assess, engage, and treat this vulnerable and challenging population.</t>
  </si>
  <si>
    <t>(Tau G., gregtau@gmail.com) 64th Annual Meeting American Academy of Child and Adolescent Psychiatry, AACAP 2017 Washington, DC, United States 2017-10-23 to 2017-10-28 Elsevier Inc.; ID: 1778</t>
  </si>
  <si>
    <t>10.1016/j.jaac.2017.07.308 FULL TEXT LINK http://dx.doi.org/10.1016/j.jaac.2017.07.308</t>
  </si>
  <si>
    <t>Taylor,J.;Rapoport,A. B.;Rowley,C.;Stead,W.;Author,Addresses;Beth Israel,Deaconess;Medical Center,Boston,United States;Correspondence,Address;Taylor, Beth Israel Deaconess Medical Center Boston United States,J.</t>
  </si>
  <si>
    <t>Naloxone prescribing within an internal medicine training program: Does a focused curriculum change the numbers?</t>
  </si>
  <si>
    <t>S825</t>
  </si>
  <si>
    <t>(MAJOR FOCUS);naloxone;narcotic agent;opiate;curriculum;internal medicine;society;training;addiction;comfort;death;diseases;drug use;education;endocarditis;epidemic;harm reduction;hospital patient;human;intoxication;intranasal drug administration;Israel;medical record review;mortality;opiate addiction;outpatient;pain;patient;physician;prescription;risk;student;substance abuse;tertiary care center;United States</t>
  </si>
  <si>
    <t>NEEDS AND OBJECTIVES: In the midst of a growing opioid epidemic, concern has been raised that medical trainees do not receive adequate training in substance use disorders. There is mounting evidence that providing overdose education and naloxone kits to at-risk patients, relatives, and first responders reduces overdose deaths. However, naloxone rescue kits are still not routinely prescribed. A review of endocarditis admissions at Beth Israel Deaconess Medical Center (BIDMC), a large academic tertiary care center in Boston, MA, demonstrated that 0/102 patients with endocarditis as a result of intravenous drug use were discharged with a prescription for naloxone. In addition, very few had an addiction plan explicitly outlined in their discharge summary. The BIDMC Internal Medicine Residency Program has developed an addiction medicine curriculum for its trainees. The purpose of this study is to evaluate whether a brief, targeted curricular intervention improves resident knowledge and comfort level regarding naloxone rescue and increases self-reported prescribing of naloxone rescue kits. SETTING AND PARTICIPANTS: All current Beth Israel Deaconess Internal Medicine Residents (n =160) have the academic year broken up into inpatient and outpatient rotations. For the purposes of outpatient curriculum, the academic year is divided into eight 6-week blocks. Each junior and senior resident spends 1 week out of every six in the outpatient/clinic setting. Over the course of a single 6-week block (November-December, 2015), all 50 PGY-2 residents and 47 PGY-3 residents underwent the first didactic session in this small group setting. The structure of the outpatient curriculum for interns does not lend itself to delivery of the didactic session in this setting. Therefore, the 63 interns were offered the first didactic session during their weekly Î“Ã‡Â£Intern ReportÎ“Ã‡Â¥ session. All residents then received the second session in the setting of a program-wide Î“Ã‡Â£Noon Conference.Î“Ã‡Â¥ DESCRIPTION: In November and December, 2015, BIDMC internal medicine residents received a series of two, one-hour didactic sessions that outline the scope of the opioid epidemic and strategies for harm reduction, including how to identify patients at risk for opioid overdose and how to prescribe intranasal naloxone overdose rescue kits. An electronic survey assessing residents' knowledge about naloxone use for opioid overdose reversal as well as attitudes regarding the management of opiate addiction was administered before these sessions and will be administered again 2 months following these sessions (February, 2016). A chart review to determine the number of naloxone prescriptions generated in the 3 months prior to the intervention compared with the 3 months following the intervention will be performed to see if the intervention contributed to a change in prescribing patterns. EVALUATION: Forty internal medicine residents (25 %) completed the pre-intervention survey, including 15 interns, 13 s-year residents, and 12 third-year residents. Twenty percent of respondents (n = 8) had received prior training in the use of naloxone rescue kits to reverse opioid reversal. One resident (2.5 %) had prescribed naloxone in the past. Just 12.8 % of the sample (n = 5) agreed that they were adequately trained to prescribe naloxone rescue kits, whereas 79.5 % (n = 31) disagreed. One half of the sample (n = 20) disagreed with the statement, Î“Ã‡Â£Treating patients with opiate addiction is professionally rewarding.Î“Ã‡Â¥ The duration of naloxone action, approximately one hour, was correctly identified by 77.5 % of respondents (n = 31). Eighty-five percent of the sample (n = 32) correctly identified that physicians in Massachusetts can prescribe intranasal naloxone to patients with opioid addiction, patients without opioid addiction who take narcotics for pain, and third parties. This varied by level of training, and senior residents were significantly more likely to answer correctly than first and second-year residents (91.2 % vs. 33.3 %, p = 0.02). DISCUSSION / REFLECTION / LESSONS LEARNED: Internal medicine trainees are often the front-line providers for patients with opioid use disorder; however, addiction medicine has historically been underrepresented in residency curricula. Prescribing intranasal naloxone for reversal of opioid overdose is a relatively new intervention that reduces mortality. Our study confirms that few of our internal medicine trainees have received formal training in how to prescribe intranasal naloxone and just 12.5 % feel comfortable prescribing it currently. Half of residents do not find the treatment of addiction professionally rewarding. We are hopeful that our targeted curricular sessions will improve resident knowledge, attitudes, and prescribing practices regarding intranasal naloxone for opioid overdose reversal and we will be measuring this effect by post-intervention survey to be distributed in February, 2016.</t>
  </si>
  <si>
    <t>(Taylor J.; Rapoport A.B.; Rowley C.; Stead W.) 39th Annual Meeting of the Society of General Internal Medicine, SGIM 2016 Hollywood, FL, United States 2016-05-11 to 2016-05-14 Springer New York LLC; ID: 1948</t>
  </si>
  <si>
    <t>Taylor,M. C.;Napke,E.;Author,Addresses</t>
  </si>
  <si>
    <t>1393880; Catch them young 2]</t>
  </si>
  <si>
    <t>cigarette smoking;health care policy;malignant neoplasm (prevention);medical education;behavior;Canada;human;letter;priority journal;tobacco;Pediatrics and Pediatric Surgery (7);Public Health, Social Medicine and Epidemiology (17);Drug Dependence, Alcohol Abuse and Alcoholism (40)</t>
  </si>
  <si>
    <t>(Taylor M.C.; Napke E.) Canadian Medical Association, 1867 Alta Vista Drive, Ottawa, Canada.; ID: 3616</t>
  </si>
  <si>
    <t>0820-3946 1488-2329 (electronic)</t>
  </si>
  <si>
    <t>http://www.ncbi.nlm.nih.gov/pubmed/1393880</t>
  </si>
  <si>
    <t>Catch them young [2]</t>
  </si>
  <si>
    <t>Tello,G.;Jouvion,A.;Boulard,J. F.;Marimoutou,C.;Cazenave,N.;Thâ”œâŒfenne,L.;Author,Addresses;Antenne mâ”œâŒdicale de,Maisons-Alfort;Service de mâ”œâŒdecine physique,et r;Maisons-Alfort cedex,France;Service de mâ”œâŒdecine,physique et;Hâ”œâ”¤pital d'instruction,des arm;France,Marseille cedex;Service mâ”œâŒdical Cnec, La,Citadelle Mont;France;Dâ”œâŒpartement d'â”œâŒpidâ”œâŒmiologie et,de sant;Service de santâ”œâŒ des armâ”œâŒes, Allâ”œâŒe du Mâ”œâŒdecin-Colonel-Eugâ”œÂ¿ne-Jamot,parc du;Pharo,B. P. M.;Centre de recherche,en psychopathologie;pavillon de la recherche, Universitâ”œâŒ de Toulouse- I I Le,Mirail all;Antonio-Machado,Toulouse;Correspondence,Address;Tello, Antenne mâ”œâŒdicale de Maisons-Alfort Service de mâ”œâŒdecine physique,G.;et râ”œâŒadaptation, avenue Busteau Maisons-Alfort,cedex France;Email,calypso hotmail com</t>
  </si>
  <si>
    <t>Exercise dependence and injuries in the " Centre national d'entraâ”œÂ«nement commando" ORIGINAL (NON-ENGLISH) TITLE Addiction au sport et blessures au Centre national d'entraâ”œÂ«nement commando</t>
  </si>
  <si>
    <t>Science and Sports</t>
  </si>
  <si>
    <t>addiction;exercise;sport;sport injury;sports addiction (diagnosis);article;cohort analysis;high risk population;human;priority journal;prospective study;risk assessment;sports psychology;Public Health, Social Medicine and Epidemiology (17);Psychiatry (32);Orthopedic Surgery (33);Occupational Health and Industrial Medicine (35)</t>
  </si>
  <si>
    <t>Objectives: Some sportsmen present a sport addiction with an irrepressible need to exercise. Is sport addiction protective or predisposing of injury risk during sustained exercises? Equipment and methods: It is a prospective cohort study. It took place at the " Centre national d'entraâ”œÂ«nement commando" (CNEC) from May 2009 to April 2010. All the trainees taking part in the 15 selected commando courses were included. The sport addiction diagnosis was based on the test EDS-R. Onset of injury was noticed by the CNEC doctors and by the trainees at the end of their course. Results: Six hundred and one people were included. Forty-seven (7.8%) presented a sport addiction. " Sport addicts" had 1.53 times more risk of injuring themselves during a commando course (P=0.004). On the other hand, no injuries " addict" stopped the course as against 25% of the injured " non-addicts" (P=0.003). Discussion: Sport addiction is a significant risk factor for injury. However this addiction is unfrequent, and the pathologies found in the sport " addicts" don't prevent the continuation of intensive exercise. This addiction could be found in the sportsmen regularly injuried in order to suggest an adapted treatment. â”¬âŒ 2011 Elsevier Masson SAS.</t>
  </si>
  <si>
    <t>(Tello G., calypso_0177@hotmail.com) (Jouvion A.; Thâ”œâŒfenne L.) (Boulard J.-F.) (Marimoutou C.) (Cazenave N.) (CERPP) Elsevier Masson SAS, 62 rue Camille Desmoulins, Issy les Moulineaux Cedex, France.; ID: 2498</t>
  </si>
  <si>
    <t>0765-1597 1778-4131 (electronic)</t>
  </si>
  <si>
    <t>2012645643 PUI L51753387</t>
  </si>
  <si>
    <t>10.1016/j.scispo.2011.10.006 FULL TEXT LINK http://dx.doi.org/10.1016/j.scispo.2011.10.006</t>
  </si>
  <si>
    <t>Temmingh,H.;Broekhof,B.;Sibeko,G.;Stein,D. J.;Author,Addresses;Department of,Psychiatry;and Mental Health, University of Cape Town,South Africa;University,of Amsterdam;University of,Cape Town;Correspondence,Address;Temmingh,Department of Psychiatry,H.;Mental Health,University,of Cape;Town,South Africa Email henk temmingh uct ac za</t>
  </si>
  <si>
    <t>Extrapyramidal motor side-effects in antipsychotic-treated patients with non-affective psychosis and major affective disorders with and without co-occurring alcohol, cannabis and methamphetamine use disorders</t>
  </si>
  <si>
    <t>(MAJOR FOCUS);alcohol;cannabis;methamphetamine;neuroleptic agent;cocaine;affective psychosis;diseases;human;major affective disorder;patient;psychiatrist;side effect;society;South African;Abnormal Involuntary Movement Scale;abuse;akathisia;alcohol consumption;alcoholism;Barnes Akathisia Scale;basal ganglion;bipolar disorder;cannabis use;confidence interval;diagnosis;down regulation;DSM-IV;DSM-IV-TR;dyskinesia;epidemiology;gender;logistic regression analysis;male;methamphetamine dependence;model;parkinsonism;psychosis;risk;schizoaffective psychosis;schizophrenia;sensitivity analysis;Simpson-Angus Scale;Structured Clinical Interview for DSM Disorders;substance abuse;substance use;tardive dyskinesia</t>
  </si>
  <si>
    <t>Background. Comorbid substance use disorders occur in as many as 75% of people with schizophrenia and bipolar disorder. Alcohol, cannabis and cocaine have been shown to lead to anatomical and physiological changes in basal ganglia structures, including striatal dopaminergic down-regulation and the induction of extrapyramidal motor side-effects (EPSE). Whereas the overall effect is likely to be small, the associations with EPSE are the strongest for cocaine, weakest for alcohol use, and remain unclear for cannabis use, with many studies not specifying substance-use type. Little is known about the impact of methamphetamine on the risk of EPSE in patients with schizophrenia and other disorders such as bipolar disorder for which antipsychotics are indicated. Objective. Our objective was determine if there is an association between alcohol, cannabis and methamphetamine use disorders and the presence of ESPE in patients prescribed antipsychotics. Method. We determined diagnosis using the SCID-I for the Diagnostic and Statistical Manual of Mental Disorders, 4th edition, text revised (DSM-IV-TR) and the presence and severity of substance use disorders using module E of the SCID-I. We determined the presence of akathisia using the Barnes Akathisia Rating Scale (BARS), parkinsonism using the Simpson-Angus Scale (SAS) and tardive dyskinesia using the Abnormal Involuntary Movement Scale (AIMS). We constructed a series of logistic regression models. The primary outcome was the presence of any EPSEs reaching operationalised threshold on the different EPSE scales. Results. The total sample consisted of 96 patients. The most common diagnosis was schizophrenia (55.2%), followed by bipolar disorder (20.8%); schizoaffective disorder (11.4%) and substanceinduced psychotic disorder (12.5%). Alcohol-use disorders occurred in 30.2%, cannabis-use disorders in 39.6% and methamphetamineuse disorders in 25% of participants. As many as 41.7% had at least one EPSE, with 38.5% having parkinsonism, 10.4% akathisia, and 1.04% narrowly defined tardive dyskinesia while 9.4% had broadly defined dyskinesia. Participants with EPSE were more likely to be male. Multivariate logistic regression models adjusted for age, gender, diagnosis and treatment with first-generation antipsychotics revealed no association between alcohol- or cannabis-use disorders and EPSEs. Patients with a methamphetamine dependence were more likely to have EPSEs (odds ratio (OR)=3.23) and this association approached significance at the 5% level (p=0.051, 95% confidence interval (CI)=0.99 - 10.5). When looking at patients with only methamphetamine abuse this association remained non-significant (p=0.824). Sensitivity analysis with a definition of broadly defined dyskinesia on the AIMS resulted in a significant association between methamphetamine dependence and EPSE (OR=3.87, p=0.030, 95% CI=1.13 - 13.1). Conclusion. Patients with more severe methamphetamine use disorders (i.e. dependence) may have more EPSEs when treated with antipsychotics. Clinicians should assess substance use severity and monitor side-effects on a regular basis in dual diagnosis patients. Limited conclusions can be drawn on causality because of the crosssectional nature of the study. Other limitations include no adjustment for antipsychotic dose.</t>
  </si>
  <si>
    <t>(Temmingh H., henk.temmingh@uct.ac.za; Stein D.J.) (Broekhof B.) (Sibeko G.) 18th National Congress of the South African Society of Psychiatrists, SASOP 2014 Durban, South Africa 2014-09-03 to 2014-09-07 South African Medical Association; ID: 2228</t>
  </si>
  <si>
    <t>Terry-McElrath,Y.;O'Malley,P. M.;Johnston,L. D.;Author,Addresses;Institute for Social Research Room, University of,Michigan P.;States,Ann Arbor M. I. United;Correspondence,Address;YM Terry-McElrath, Institute for Social Research Room,University of;Michigan,P. O. B.;yterry@umich.edu</t>
  </si>
  <si>
    <t>24481080; Energy drinks, soft drinks, and substance use among united states secondary school students</t>
  </si>
  <si>
    <t>alcohol;amphetamine;caffeine;cannabis;central stimulant agent;illicit drug;non prescription drug;energy drink;soft drink;substance use;adolescent;alcohol consumption;article;controlled study;education;ethnicity;female;heredity;high school student;human;male;priority journal;psychological aspect;recognition;self report;social aspect;social status;substance abuse;United States;alcohol (64-17-5);amphetamine (1200-47-1, 139-10-6, 156-34-3, 2706-50-5, 300-62-9, 51-62-7,;60-13-9, 60-15-1);caffeine (58-08-2);cannabis (8001-45-4, 8063-14-7);Public Health, Social Medicine and Epidemiology (17);Drug Dependence, Alcohol Abuse and Alcoholism (40)</t>
  </si>
  <si>
    <t>Objectives: Examine energy drink/shot and regular and diet soft drink use among United States secondary school students in 2010-2011, and associations between such use and substance use. Methods: We used self-reported data from cross-sectional surveys of nationally representative samples of 8th-, 10th-, and 12th-grade students and conducted multivariate analyses examining associations between beverage and substance use, controlling for individual and school characteristics. Results: Approximately 30% of students reported consuming energy drinks or shots; more than 40% reported daily regular soft drink use, and about 20% reported daily diet soft drink use. Beverage consumption was strongly and positively associated with past 30-day alcohol, cigarette, and illicit drug use. The observed associations between energy drinks and substance use were significantly stronger than those between regular or diet soft drinks and substance use. Conclusions: This correlational study indicates that adolescent consumption of energy drinks/shots is widespread and that energy drink users report heightened risk for substance use. This study does not establish causation between the behaviors. Education for parents and prevention efforts among adolescents should include education on the masking effects of caffeine in energy drinks on alcohol- and other substance-related impairments, and recognition that some groups (such as high sensation-seeking youth) may be particularly likely to consume energy drinks and to be substance users. â”¬âŒ 2014 American Society of Addiction Medicine.</t>
  </si>
  <si>
    <t>(Terry-McElrath Y.M., yterry@umich.edu; O'Malley P.M.; Johnston L.D.) Lippincott Williams and Wilkins, agents@lww.com; ID: 2280</t>
  </si>
  <si>
    <t>http://www.ncbi.nlm.nih.gov/pubmed/24481080</t>
  </si>
  <si>
    <t>10.1097/01.ADM.0000435322.07020.53 FULL TEXT LINK http://dx.doi.org/10.1097/01.ADM.0000435322.07020.53</t>
  </si>
  <si>
    <t>Energy drinks, soft drinks, and substance use among united states secondary school students</t>
  </si>
  <si>
    <t>Tesema,L.;Marshall,J.;Hathaway,R.;Pham,C.;Clarke,C.;Bergeron,G.;Yeh,J.;Soliman,M.;McCormick,D.;Author,Addresses;Cambridge Health,Alliance;Harvard,Medical;School,Cambridge United States;Correspondence,Address;Tesema,Cambridge Health Alliance,L.;Harvard,Medical School;United,States</t>
  </si>
  <si>
    <t>Extent and predictors of training in office-based treatment of opioid addiction in U.S. residency programs: A national survey of program directors</t>
  </si>
  <si>
    <t>(MAJOR FOCUS);opiate;buprenorphine;methadone;addiction;internal medicine;society;United States;cardiac resynchronization therapy device;college;confidence interval;drug therapy;e-mail;epidemic;exposure;family medicine;gold standard;government;graduate;human;medical education;medical practice;mortality;opiate addiction;outpatient care;patient;physician;prescription;psychiatry;public health;residency education;risk;statistics;training</t>
  </si>
  <si>
    <t>BACKGROUND: Opioid addiction (OA) is a public health epidemic and is associated with a high mortality rate. Highly effective pharmacotherapies to treat OA exist, but less than 15 % of those in need of treatment receive it. While methadone and buprenorphine are the gold standard treatments for OA, buprenorphine alone can be prescribed in office-based settings, potentially providing greater access. Prescription of buprenorphine in ambulatory medical practice is uncommon, however, potentially due to limited instruction of physicians during residency training. However, little is known about the extent to which residency programs provide training in the prescribing of buprenorphine or the treatment of OA. METHODS: We conducted an email based survey of all U.S. residency program directors (RPD) in Family Medicine, Internal Medicine and Psychiatry that were listed on the website of the American College of Graduate Medical Education (ACGME). Survey items assessed the extent of program training in the use of buprenorphine, in addictions medicine generally, and whether or not residents were required or encouraged to obtain a Drug Enforcement Administration buprenorphine waiver (required to prescribe this medication). We also assessed program directors' views and attitudes regarding the use of buprenorphine and potential barriers to buprenorphine training. We produced descriptive statistics for all items and also compared responses of RPD across the three program types. We also examined the relationship between RPD views of the value of buprenorphine and the extent of program training in buprenorphine by calculating odds ratios of 95 % confidence intervals. RESULTS: Of the 947 RPD we surveyed, 471 responded (49 % response rate). The majority of RPD report that their residents frequently manage patients with opioid addiction (77 %), believe buprenorphine is an important treatment option for opioid dependence (88 %), and believe increased residency training in buprenorphine would expand access to care for OA patients (73 %). Yet a minority of programs train residents in the use of buprenorphine (36 %), require or encourage residents to obtain a waiver (23 %) or dedicate greater than 12 h (over 3 years) to formal training to addiction medicines (23 %), although psychiatry programs were more likely to do so (data not shown) A minority also believed that prescribing buprenorphine should be a core competency (37 %) of their discipline. We also found that RPD belief that buprenorphine is an important treatment option for OA was associated with a greater odds of the program providing training in buprenorphine (3.5 CI95% 1.6-7.4)]. The most frequently cited barriers to implementing buprenorphine training in residency programs included: shortage of licensed preceptors (77 %), competing curricular priorities (64 %), and lack of support services (54 %). CONCLUSIONS: Most residency programs frequently care for OA patients and most RPD believe in the effectiveness of buprenorphine and its ability to expand access to treatment for OA. Yet only a minority of training programs offer formal training in the treatment of OA generally, or with buprenorphine specifically. Increasing the exposure of physicians during residency training to ambulatory treatment of OA using buprenorphine could promote greater access to this treatment option.</t>
  </si>
  <si>
    <t>(Tesema L.; Marshall J.; Hathaway R.; Pham C.; Clarke C.; Bergeron G.; Yeh J.; Soliman M.; McCormick D.) 37th Annual Meeting of the Society of General Internal Medicine, SGIM 2014 San Diego, CA, United States 2014-04-23 to 2014-04-26 Springer New York; ID: 2241</t>
  </si>
  <si>
    <t>Tessier,J. F.;Freour,P.;Belougne,D.;Crofton,J.;Author,Addresses;Universite de,Bordeaux;Ii,Bordeaux France;Correspondence,Address;JF Tessier, Universite de Bordeaux,I.I.Bordeaux France</t>
  </si>
  <si>
    <t>1428484; Smoking habits and attitudes of medical students towards smoking and antismoking campaigns in nine Asian countries</t>
  </si>
  <si>
    <t>attitude;health promotion;medical student;smoking habit;adult;article;Asia;female;health hazard;human;law;major clinical study;male;motivation;patient counseling;priority journal;smoking cessation;training;Public Health, Social Medicine and Epidemiology (17)</t>
  </si>
  <si>
    <t>As part of a world survey of the habits, knowledge and attitudes of medical students regarding tobacco we report a study in 15 medical schools from nine Asian countries. Some 1646 first year and 1587 final year students were included, of whom 59% were male. The prevalence of daily smoking in males was 4% in first year and 11% in final year; of occasional smoking 18% and 24% respectively, both with considerable variations between countries. The rates were very low in women. Male exsmokers varied from 3% to 24% in different centres. Overall, 33% of smokers had made a serious attempt to quit; 44% expected to have succeeded within 5 years. Over 80% of non- or exsmokers, but only 60% of smokers, thought smoking was harmful to health. There was gross underestimation of tobacco's causal role in a number of important diseases, e.g. coronary artery disease, peripheral vascular disease, emphysema, bladder cancer and neonatal mortality. There were notable defects both in training and in motivation to counsel smoking patients. There was only partial knowledge of legislative and other measures to discourage smoking, e.g. only 44% of final year students (26% of smokers) thought increased taxation an important measure. In knowledge and attitudes there was little difference between the sexes, but in most aspects smokers had notably lower scores.</t>
  </si>
  <si>
    <t>(Tessier J.F.; Freour P.; Belougne D.; Crofton J.) Oxford University Press, Great Clarendon Street, Oxford, United Kingdom.; ID: 3629</t>
  </si>
  <si>
    <t>0300-5771</t>
  </si>
  <si>
    <t>http://www.ncbi.nlm.nih.gov/pubmed/1428484</t>
  </si>
  <si>
    <t>Smoking habits and attitudes of medical students towards smoking and antismoking campaigns in nine Asian countries</t>
  </si>
  <si>
    <t>Tetrault,J.;Degutis,L.;D'Onofrio,G.;Ryan,S.;Karsif,B.;Martel,S.;Pantalon,M.;O'Connor,P.;Fiellin,D.;Martino,S.;Thung,S.;Green,M.;Bernstein,S.;Author,Addresses;Yale;University,School of Medicine New Haven United States;Yale School of Public Health, New Haven,United States;Yale University, School of Medicine Waterbury,United States;Correspondence,Address;Tetrault, Yale University School of Medicine New Haven United States,J.</t>
  </si>
  <si>
    <t>Amulti-specialty, graduatemedical education screening, brief intervention and referral to treatment (SBIRT) curriculum for alcohol and substance use disorders</t>
  </si>
  <si>
    <t>S437</t>
  </si>
  <si>
    <t>(MAJOR FOCUS);alcohol;curriculum;education;internal medicine;screening;society;substance abuse;accreditation;checklist;clinical practice;counseling;documentation;economic aspect;emergency medicine;follow up;graduate;gynecology;health service;interpersonal communication;interview;medical education;mental health service;morbidity;mortality;needs assessment;obstetrics;patient;pediatrics;physician;primary medical care;psychiatry;risk;role playing;satisfaction;skill;teaching;university;videorecording</t>
  </si>
  <si>
    <t>STATEMENT OF PROBLEM OR QUESTION: Substance use disorders cause significant morbidity and mortality; yet, many physicians fail to recognize or treat these disorders. In response, the federal Substance and Mental Health Services Administration launched the Screening Brief Intervention and Referral to Treatment (SBIRT) initiative to promote a targeted approach for identifying patients with at-risk substance use, providing brief counseling (including motivational techniques), and referring to specialty treatment. At present, few residency programs offer robust substance abuse training. Taking advantage of economies of scale and inter-specialty collaboration, we sought to demonstrate the feasibility and effectiveness of SBIRT training across multiple residency programs at a single institution. LEARNING OBJECTIVE 1: 1. Improve residents' knowledge, skills, and attitudes in substance abuse. LEARNING OBJECTIVE 2: 2. Increase resident performance of SBIRT their clinical practices. LEARNING OBJECTIVE 3: DESCRIPTION OF PROGRAM/INTERVENTION: We first performed a needs assessment of patients and learners and reviewed current expertise and resources in the primary care disciplines at our university. Project faculty in the Emergency Medicine (EM), Internal Medicine (IM), Primary Care Internal Medicine (PC), Medicine/Pediatrics (MP), Obstetrics and Gynecology (OB), Pediatrics (Peds), and Psychiatry (Psych) programs were then trained in performing and teaching SBIRT, including the Brief Negotiation Interview(amotivational technique proven effective at reducing alcohol anddrug use). The facultywere thendirected to conduct training for their residents, adapting to individual programmatic concerns and attending to the Accreditation Council for Graduate Medical Education's core competencies. Instructional strategies included didactic teaching, video examples, and role plays using specialty specific cases. Post-training, residents were observed performing SBIRT with a standardized patient and assessed with a behavioral checklist. Faculty development was offered to encourage the residents to perform and document SBIRT in their clinical encounters. Residents completed knowledge, attitudes and skills surveys pre-training and at 30 days post-training, tracked the number of SBIRT encounters, and completed a satisfaction survey. FINDINGS TO DATE: At present, we have trained 119 residents (21 EM, 51 IM, 11 OB, 17 Peds, and 19 Psych) out of 254. Ninety-three percent have completed 30 day follow-up surveys. To date, 227 SBIRT (76 EM, 59 IM, 15 OB, 23 Peds, and 54 psych) SBIRT clinical encounters have been logged. Of the 119 satisfaction surveys returned, the mean satisfaction score for the training was 1.64 (1=very satisfied and 5=very dissatisfied). KEY LESSONS LEARNED: Implementation of a graduate medical education SBIRT curriculum is feasible in a multi-specialty ormat. Enhanced communication was necessary to overcome initial challenges in scheduling, coordination, and documentation. Post-training, residents report implementation of SBIRT into their clinical practice and satisfaction with the training.</t>
  </si>
  <si>
    <t>(Tetrault J.; D'Onofrio G.; Ryan S.; Karsif B.; Martel S.; Pantalon M.; O'Connor P.; Fiellin D.; Martino S.; Thung S.; Bernstein S.) (Degutis L.) (Green M.) 33rd Annual Meeting of the Society of General Internal Medicine Minneapolis, MN, United States 2010-04-28 to 2010-05-01 Springer New York; ID: 2783</t>
  </si>
  <si>
    <t>Tetrault,J. M.;Holt,S.;Cavallo,D.;Fiellin,D. A.;Author,Addresses;Yale University,New,Haven United;States;Yale University, School of Medicine New,Haven United;States;Correspondence,Address;JM Tetrault, Yale University School of Medicine New,Haven United;States</t>
  </si>
  <si>
    <t>The addiction recovery clinic: A novel primary care-based approach to teaching addiction medicine</t>
  </si>
  <si>
    <t>S509</t>
  </si>
  <si>
    <t>acamprosate;buprenorphine;cannabis;cocaine;disulfiram;naltrexone;opiate;addiction;hospital;internal medicine;primary medical care;society;teaching;abuse;adult;alcohol withdrawal syndrome;alcoholism;chronic disease;clinical practice;counseling;diagnosis;disease management;diseases;drug therapy;follow up;hospital patient;human;maintenance therapy;model;outpatient;patient;patient referral;patient satisfaction;physician;prevalence;prevention;psychologist;public health;satisfaction;skill;smoking cessation;social worker;student;substance abuse;substance use;United States</t>
  </si>
  <si>
    <t>NEEDS AND OBJECTIVES: Substance use is prevalent in the U.S. resulting in major public health burdens. Despite the high prevalence of substance use in Internal Medicine (IM) practice, little curricular time is devoted to training IM residents in Addiction Medicine (AM) and evaluating their skills in identification, diagnosis, treatment and prevention of substance use and substance use disorders. We developed and launched the Yale Addiction Recovery Clinic (ARC), intended to meet this educational deficit while also providing an outpatient clinical service to patients with addictive disorders, based upon the chronic disease management model. The educational objectives of the ARC include providing IM residents with knowledge of the biologic basis for addiction, and educating residents about available pharmacologic and behavioral interventions. SETTING AND PARTICIPANTS: The ARC is embedded within our outpatient adult Primary Care Residency Clinic and is staffed by two to three IM trainees per block, two AM-certified attending physicians, one AM Fellow, one social worker and a licensed behavioral psychologist and provides comprehensive care to patients with addiction. During their ambulatory rotation, trainees spend 1/2day per week for four consecutive weeks at the ARC seeing new and established patients. DESCRIPTION: Patient referrals are made from both the outpatient Primary Care Residency Clinic, and the inpatient service. Inpatient consults are evaluated by the ARC team during the inpatient stay, treatment is initiated, and follow up with the ARC is then arranged. Once patients are stabilized at the ARC, residents are encouraged to transition the patients' care back into their longitudinal primary care practice, utilizing the skills obtained during their ARC rotation. Services provided within the clinic include: treatment of opioid use disorder with buprenorphine induction, maintenance therapy, and behavioral counseling; treatment of alcohol use disorder with pharmacotherapy (naltrexone, disulfiram, acamprosate) and behavioral counseling, outpatient management of alcohol withdrawal, consultative services for other drugs of abuse (e.g. marijuana, cocaine), smoking cessation pharmacotherapy and counseling, and direct referral to local addiction treatment facilities for patients who cannot be safely managed within the ARC. EVALUATION: We developed a multi-level evaluation system. Clinical practice is evaluated by visit numbers and patient satisfaction surveys. Between August 2014 and December 2014, a total of 156 visits were seen with an average of 2 new patients and 7 follow-up patients were seen during each half-day session. Fifty percent of patients were treated for opioid use disorder, 30% for alcohol use disorder and 20% for other substance use disorder. Patient satisfaction surveys are currently being collected and analyzed. Residents are evaluated using a novel Entrus table Professional Activity (EPA) based system specifically designed for this rotation, which includes three specific EPAs across ten different domains. Overall, the rotation has been highly regarded by the residents as assessed by qualitative evaluation data. DISCUSSION / REFLECTION / LESSONS LEARNED: The ARC offers a unique primary care-based approach to teaching IM residents the knowledge and skills to identify, diagnose, treat and prevent addiction throughout the disease spectrum, in keeping with the chronic disease management model. A multilevel assessment system is used to evaluate the overall clinical practice, resident performance and skill acquisition through an EPA based system, and resident satisfaction with the educational experience.</t>
  </si>
  <si>
    <t>(Holt S.; Cavallo D.; Fiellin D.A.) (Tetrault J.M.) 38th Annual Meeting of the Society of General Internal Medicine Toronto, ON, Canada 2015-04-22 to 2015-04-25 Springer New York LLC; ID: 2114</t>
  </si>
  <si>
    <t>Thakurla,B.;Chakravarty,B. P.;Das,M. P.;Dphukan,J.;Kakotl,B. J.;Nag,A.;Chopra,A.;Author,Addresses;Gauhati Medical College Hospital, Guwahati,Assam India;Bone;Joint Decade India, C R D Pune,Maharashtra India;Correspondence,Address;Thakurla, Gauhati Medical College Hospital Guwahati Assam India,B.</t>
  </si>
  <si>
    <t>Measuring the burden of rheumatic musculoskeletal pain and disorders (RMSK)in Mirza, Guwahati; Assam using WHO ILAR COPCORD (Community Oriented Program for Prevention and Control of Rheumatic Diseases) Bhigwan model and to find association with potential risk factors -A Bone and Joint Decade (BJD) India initiative</t>
  </si>
  <si>
    <t>International Journal of Rheumatic Diseases</t>
  </si>
  <si>
    <t>13 SUPPL. 1</t>
  </si>
  <si>
    <t>alcohol;Asia;bone;community;India;model;musculoskeletal pain;prevention and control;rheumatic disease;rheumatology;risk factor;world health organization;addiction;areca nut;arm;arthritis;backache;city;diagnosis;factor analysis;health;hospital;hypertension;Indian;laboratory;leg;multivariate logistic regression analysis;nonarticular rheumatism;osteoarthritis;pain;planning;population;population research;prevalence;quality of life;questionnaire;reading;society;software;statistical analysis;tobacco;univariate analysis;volunteer;workload</t>
  </si>
  <si>
    <t>The fast track model of COPCORD lndia Bhigwan survey 1996 was adopted for carrying out the survey at Mirza; Guwahati; Assam in 2008.lt used a new validated COPCORD core questionnaire and the project was endorsed by ILAR, WHO and BJD. Methods: Sarpara village of Mirza which is located at a distance of 43 km from Guwahati city is being surveyed for the project. A total of eight trained health volunteers did the house to house survey from February to May and the positive respondents were evaluated at monthly COPCORD clinics by a COPCORD Medical team from April to November. The focus was on clinical diagnosis and allocation to disease/syndrome group was as per the categories of BJD. Bare minimum laboratory investigations were done only when strongly indicated. We intend to standardize (age-sex) data to lndian census population 2001. JMP software from the SAS lnstitute NC; USA is used for statistical analysis. Results: Four thousand five hundred and twenty-three Subjects were surveyed to identify 567 RMSK respondents 12.3% (11.9, 13.9)]. It is the commonest self reported disorder followed by Hypertension (0.9%) and abdominal problems (0.4%). We present preliminary data of the recently completed survey (November 2008).Various sites at lower limb (commonest feet 2.8%) was detected to be the most prevalent pain site (6.1%); followed by upper limb sites (3%) and back pain (2.5%). Self reported RMSK (mostly ill defined symptoms, soft tissue rheumatism and osteoarthritis) were the predominant ailment (74.3%); 7.6% suffered from inflammatory arthritis. We continue to analyze data especially any significant correlation between potential risk factors viz sex, educational level, addiction, work load etc and RMSK pain prevalence. Literacy, and addiction to alcohol, tobacco and betel nut were all found to be significantly associated with RMSK pain in Univariate Analysis. All of them will be put to Multivariate Logistic Regression Analysis and results will be presented in the APLAR Congress. Conclusion: COPCORD projects prove beyond doubt that RMSK pain is the most prevalent affliction in the Indian society. Risk factor analyses will be instrumental in planning future preventive strategies and will definitely improve the quality of life of the coming generation.</t>
  </si>
  <si>
    <t>(Thakurla B.; Chakravarty B.P.; Das M.P.; Dphukan J.; Kakotl B.J.; Nag A.) (Chopra A.) 14th Congress of Asia Pacific League of Associations for Rheumatology, APLAR 2010 Hong Kong, Hong Kong 2010-07-11 to 2010-07-15 Blackwell Publishing; ID: 2781</t>
  </si>
  <si>
    <t>1756-1841</t>
  </si>
  <si>
    <t>10.1111/j.1756-185X.2010.01517.x FULL TEXT LINK http://dx.doi.org/10.1111/j.1756-185X.2010.01517.x</t>
  </si>
  <si>
    <t>Measuring the burden of rheumatic musculoskeletal pain and disorders (RMSK)in Mirza, Guwahati; Assam using WHO ILAR COPCORD (Community Oriented Program for Prevention and Control of Rheumatic Diseases) Bhigwan model and to find association with (TRUNCATED)</t>
  </si>
  <si>
    <t>Thierman,T.;Kern,J. C.;Paul,S. R.;Author,Addresses;Nassau,County Dept;Addict,Nassau County N. Y.;Correspondence,Address;Nassau County Dept Drug Alcohol Addict, Nassau,County N.</t>
  </si>
  <si>
    <t>Alcoholism education in the undergraduate curriculum</t>
  </si>
  <si>
    <t>alcoholism;curriculum;medical education;medical student;major clinical study;methodology;Public Health, Social Medicine and Epidemiology (17);Psychiatry (32)</t>
  </si>
  <si>
    <t>There is an absence of alcoholism education in the College and University undergraduate and graduate curriculum. This lack continues to breed ignorance and misconceptions regarding alcohol and the alcoholic. To remedy this situation the authors constructed a curriculum for a Mini Mester course in alcoholism at an area College. This paper describes the establishment of liaison between a publicly financed alcoholism treatment facility and an area College; development of curriculum and evaluation of results. It is concluded that there is a need for such curriculum and that the public and private sector can cooperate in it's establishment and execution.</t>
  </si>
  <si>
    <t>(Thierman T.; Kern J.C.; Paul S.R.); ID: 3879</t>
  </si>
  <si>
    <t>1977105458 PUI L7105414</t>
  </si>
  <si>
    <t>Tiraferri,I.;Righi,F.;Zappaterra,M.;Ciccarese,M.;Pini,L. A.;Ferrari,A.;Cainazzo,M. M.;Author,Addresses;Headache;Drug Abuse,Inter Departmental;University of Modena, Reggio,Emilia Italy;Correspondence,Address;Tiraferri,Headache,I.;Drug Abuse,Inter Departmental;University of Modena, Reggio,Emilia Italy</t>
  </si>
  <si>
    <t>Can cigarette smoking worsen the clinical course of cluster headache?</t>
  </si>
  <si>
    <t>Journal of Headache and Pain</t>
  </si>
  <si>
    <t>14:1 SUPPL. 1.</t>
  </si>
  <si>
    <t>cigarette smoke;toxic substance;cluster headache;disease course;headache;migraine;smoking;chronic cluster headache;female;graduate;human;hypothalamus;interview;male;onset age;outpatient;pathogenesis;patient;physician;questionnaire;Student t test;tobacco dependence</t>
  </si>
  <si>
    <t>Introduction: Up to 90% of cluster headache (CH) patients have a prolonged history of cigarette smoking prior to the headache onset. It has been suggested a genetic link between CH and nicotine addiction and, also, that toxic agents found in cigarette smoke have a direct effect on the hypothalamus, a pivotal area for the pathogenesis of CH 1-3]. Purpose: To explore the relationship between cigarette smoking and the clinical course of cluster headache. Methods: All outpatients with cluster headache, diagnosed according to the criteria of ICHD-II, who were, consecutively, seen from October 2010 to April 2012 at the Headache Centre, were subjected to a phone interview by means a specific standardized questionnaire (29 items), administered, always, by the same trained post-graduate medical doctor. Results: A total of 200 patients were surveyed (172 male, 28 female; mean age â”¬â–’ SD: 48.4 â”¬â–’ 12.7; male/female ratio: 6.1:1). One hundred and twenty patients were current smokers, 42 former smokers and 38 nonsmokers. The age of onset of CH was 29.8 â”¬â–’13.6 years. Among all smokers and former smokers those who started smoking before age of 18 years had an onset of cluster headache earlier than those who started smoking after age of 18 years (P &lt; .01, Student's t test). All patients with chronic cluster headache were currently smokers. The episodic form (89%) was more frequent than the chronic one (11%). Chronic CH patients smoked more cigarettes per day (P &lt; .01, Student's t test) and started smoking before (P &lt; .01, Student's t test) than patients with episodic CH (P = .001, Student's t test). The length of the active phase of CH was tripled compared to non-smokers (weeks â”¬â–’ SD: 15.1 â”¬â–’ 17.6 vs. 5.7 â”¬â–’ 4.7; P &lt; .001, Student's t test). Conclusion: Our data showed that cigarette smoking is an aggravating factor for cluster headache, in particular for the lasting of the active phase.</t>
  </si>
  <si>
    <t>(Tiraferri I.; Righi F.; Zappaterra M.; Ciccarese M.; Pini L.A.; Ferrari A.; Cainazzo M.M.) European Headache and Migraine Trust International Congress 2012 London, United Kingdom 2012-09-20 to 2012-09-23 Springer Milan; ID: 2426</t>
  </si>
  <si>
    <t>1129-2369</t>
  </si>
  <si>
    <t>Tockus,D.;Gonâ”œÂºalves,P. S.;Author,Addresses;Departamento de Medicina, Universidade,Positivo Curitiba;Pr;Departamento,de Farmacologia;Medicina,U. P.;Rua,Affonso Drulla;Curitiba,P. R.;Correspondence,Address;R.,P.S.Gonâ”œÂºalves, Rua Affonso Drulla C.I.C.Curitiba P.;Email,prisago up edu br</t>
  </si>
  <si>
    <t>Detection of drugs abuse among Medicine students in a private university ORIGINAL (NON-ENGLISH) TITLE Detecâ”œÂºâ”œÃºo do uso de drogas de abuso por estudantes de medicina de uma universidade privada</t>
  </si>
  <si>
    <t>drug abuse;medical student;adolescent;adult;alcohol consumption;article;cannabis smoking;cigarette smoking;controlled study;female;human;major clinical study;male;questionnaire;screening test;university;Public Health, Social Medicine and Epidemiology (17);Psychiatry (32);Drug Dependence, Alcohol Abuse and Alcoholism (40)</t>
  </si>
  <si>
    <t>Drug abuse among universitarians is an increasing issue. Rates of alcohol and illegal drugs abuse can be higher in the universitarian population than in the general one. Objective: This research aims to detect what drugs are used by Medicine students of Positivo University (Universidade Positivo) and to correlate associated caracteristics. Method: It was applied a virtual adaptation of the ASSIST (Alcohol, Smoking and Substance Involvement Screening Test) questionnaire to all (209) Medicine students during 106 days in 2006. Results: Eighty-eight (42%) of the students took part in it. Most were single (88%) between 17 and 25 years old (85%). Seventy-eight percent consumed alcohol at least once; the use of tobacco was of 38,64%; cannabis got 26,14% of use, inhalants were used for 21,59% and stimulants for 11,36%. Discussion: The results found match studies from other universities and also showed a high number of drug users, especially for alcohol. It's a worrying situation and points out the importance of having proper education in preventing drug addiction. Conclusions: The University enviroment clearly influenciates drug abuse and new prevention strategies are needed.</t>
  </si>
  <si>
    <t>(Tockus D.) (UP) (Gonâ”œÂºalves P.S., prisago@up.edu.br) Editora Cientifica Nacional Ltda, Rua da Gloria 366, 3o andar, P.O. Box 590, Rio de Janeiro, Brazil.; ID: 2950</t>
  </si>
  <si>
    <t>2008529384 PUI L352642747</t>
  </si>
  <si>
    <t>10.1590/S0047-20852008000300005 FULL TEXT LINK http://dx.doi.org/10.1590/S0047-20852008000300005</t>
  </si>
  <si>
    <t>Todd,M. C.;Author,Addresses;Amer. Med. Ass, Chicago Ill;Correspondence,Address;Amer. Med. Ass, Chicago Ill</t>
  </si>
  <si>
    <t>Keynote address: how future physicians must see the alcoholic. II</t>
  </si>
  <si>
    <t>390+401</t>
  </si>
  <si>
    <t>alcoholism;medical education;methodology;Public Health, Social Medicine and Epidemiology (17);Psychiatry (32);Forensic Science Abstracts (49)</t>
  </si>
  <si>
    <t>(Todd M.C.); ID: 3900</t>
  </si>
  <si>
    <t>1976161849 PUI L6161780</t>
  </si>
  <si>
    <t>Tofighi,B.;Lee,J. D.;Szyld,D.;McNeely,J.;Rotrosen,J.;Kim,P.;Jay,M.;Author,Addresses;New York University, School of Medicine New York,United States;Correspondence,Address;Tofighi, New York University School of Medicine New York United,B.;States</t>
  </si>
  <si>
    <t>An inter clerkship intensive on addiction among clerkship-year medical students</t>
  </si>
  <si>
    <t>S453</t>
  </si>
  <si>
    <t>opiate;addiction;human;internal medicine;medical student;society;alcoholics anonymous;analgesia;clinical education;counseling;curriculum;education;epidemiology;experiential learning;feedback system;health care;learning;Likert scale;medical education;medical school;neurobiology;pain;pathology;patient;planning;pneumonia;prescription;prevalence;respiratory distress;school;screening;self concept;simulation;simulator;skill;student;substance abuse;teaching;thematic analysis;tobacco;ultrasound;United States;university;vascular access;workshop</t>
  </si>
  <si>
    <t>NEEDS AND OBJECTIVES: Despite the high prevalence of substance use disorders, medical students (MS) often lack adequate training in dealing with addiction and its comorbidities. New York University School of Medicine's (NYU SOM) curriculum reform committee developed a four-week Addiction Interclerkship Intensive (ICI). The ICI aimed to integrate basic and clinical addiction science, develop clinical reasoning and practical skills, and expose MS to an interdisciplinary body of medical faculty. Objectives were improved knowledge of addiction neurobiology, treatment principles, and health systems, and improved self-efficacy and skills as addiction treatment providers through practice-based learning. SETTING AND PARTICIPANTS: NYU SOM MS in their 9th month of clinical clerkships DESCRIPTION: The NYU SOM Office of Medical Education led an interdisciplinary panel of faculty andMS clerkship directors to provide 29 h of ICI training. Nationally, MS are exposed to less than 15 h of SU training. Teaching modalities included plenary lectures, small group workshops, objective structured clinical exams (OSCE), ultrasound (US) guided vascular access workshop, clinical simulators, and at-home web-based modules. Session topics included: an addiction basic science overview, workshops in epidemiology, screening, treatment, and tobacco control, an interactive session with Alcoholics Anonymous (AA) participants, a prescription opioid pain and addiction OSCE, and simulations of pathologies (upper gastrointestinal bleed (GIB), pneumonia, respiratory distress) associated with addiction. Online surveys were completed after each component using a 4-point Likert scale and queried open-ended suggestions for improvement. EVALUATION: 34 faculty, 13 staff, and 17 actors conducted the ICI involving 162 MS across 4 days. Assigned survey response rates were 100 %. Using a 4-point Likert scale, MS agreed or strongly agreed they were more knowledgeable of: screening, diagnosing, counseling, and treating SU patients (80 %); the behavioral effects of substance misuse (72 %); the risks/benefits of chronic opioid pain management (77 %); selfefficacy of referring patients to AA (86 %); developing a differential and plan for upper GIB, pneumonia, and respiratory distress (63 %, 65 %, and 62 %); and were more skilled at US guided vascular access (68 %). MS ratings (1-4) of ICI components ranked their favorability from high to low: clinical simulations (mean score, 3.5), US guided vascular access (3.49), OSCE case (3.0), addiction treatment workshop (2.9), SU epidemiology (2.9), opioid addiction (2.9), overview lecture of addiction (2.8), tobacco control (2.8), and basic science review of SU (2.7). Thematic analysis of open-ended responses suggested: MS participation in ICI planning, clinical case presentations, and immediate OSCE feedback. DISCUSSION/REFLECTION/LESSONS LEARNED: This curriculum was innovative for its interdisciplinary approach in integrating several interactive teaching modalities. Strengths of the ICI included skills-based OSCE and simulations, small group workshops, and interdisciplinary faculty. Evaluation of this 4-day ICI MS intervention appeared to demonstrate the acceptability of an addiction curriculum in undergraduate medical education. Basic science and addiction research lectures were rated less favorably. Our outcomes highlight prior addiction education research findings suggesting the integration of experiential learning in order to better develop students' skills for assessment and intervention.</t>
  </si>
  <si>
    <t>(Tofighi B.; Lee J.D.; Szyld D.; McNeely J.; Rotrosen J.; Kim P.; Jay M.) 36th Annual Meeting of the Society of General Internal Medicine, SGIM 2013 Denver, CO, United States 2013-04-24 to 2013-04-27 Springer New York; ID: 2392</t>
  </si>
  <si>
    <t>Tong,V. T.;Dietz,P. M.;England,L. J.;Author,Addresses;Division,of Reproductive;National Center for,Chronic Disease;Health Promotion,Centers;for Disease,Control;Prevention,Buford Highway N. E. Atlanta G. A.;States,United;Office on,Smoking;Health,National Center for Chronic;Disease,Prevention;Health Promotion, Centers for Disease,Control and;Prevention,Atlanta G. A. United States;Correspondence,Address;VT Tong, Division of Reproductive Health National Center,for Chronic;Disease,Prevention;Health Promotion, Centers for Disease,Control and;Prevention,Buford Highway N.E.Atlanta G.A.United States;Email,vtong cdc gov</t>
  </si>
  <si>
    <t>22934934; Smoking cessation for pregnancy and beyond: A virtual clinic, an innovative web-based training for healthcare professionals</t>
  </si>
  <si>
    <t>maternal smoking;medical education;pregnancy;smoking cessation;article;health care personnel;human;priority journal;puerperium;virtual reality;web browser;Obstetrics and Gynecology (10);Public Health, Social Medicine and Epidemiology (17)</t>
  </si>
  <si>
    <t>This article provides an overview of an interactive online training designed for healthcare professionals to hone their skills in assisting pregnant women to quit smoking and to remain quit postpartum. The curriculum teaches a best practice approach for smoking cessation, the 5A's, and is based on current clinical recommendations. The program offers five interactive case simulations and comprehensive discussions of patient visits, short lectures on relevant topics from leading experts, interviews with real patients who have quit, and a dedicated website of pertinent links and office resources. The training is accredited for up to 4.5 hours of continuing education credits. To access the training, please visit www.smokingcessationandpregnancy.org. â”¬âŒ 2012 Mary Ann Liebert, Inc.</t>
  </si>
  <si>
    <t>(Tong V.T., vtong@cdc.gov; Dietz P.M.) (England L.J.) Mary Ann Liebert Inc., 140 Huguenot Street, New Rochelle, United States.; ID: 2508</t>
  </si>
  <si>
    <t>1540-9996 1931-843X (electronic)</t>
  </si>
  <si>
    <t>http://www.ncbi.nlm.nih.gov/pubmed/22934934</t>
  </si>
  <si>
    <t>10.1089/jwh.2012.3871 FULL TEXT LINK http://dx.doi.org/10.1089/jwh.2012.3871</t>
  </si>
  <si>
    <t>Smoking cessation for pregnancy and beyond: A virtual clinic, an innovative web-based training for healthcare professionals</t>
  </si>
  <si>
    <t>Toohey,J. V.;Valenzuela,G. J.;Dezelsky,T. L.;Author,Addresses;Dept,Hlth Sci;Univ,Tempe A. Z.;Correspondence,Address;Dept Hlth Sci, Arizona State Univ,Tempe A.</t>
  </si>
  <si>
    <t>Evaluating the usability of a Spanish language drug and substance abuse education program</t>
  </si>
  <si>
    <t>drug abuse;health education;central nervous system;ethnic or racial aspects;prevention;therapy;Public Health, Social Medicine and Epidemiology (17);Psychiatry (32);Drug Dependence, Alcohol Abuse and Alcoholism (40)</t>
  </si>
  <si>
    <t>This project in developing and evaluating a Spanish language drug and substance abuse education prgram was divided into three phases. Phase one and two: developing a student activity booklet and instructors manual was funded by the Partners of the Americas, Washington, D.C. Phase three: the usability evaluation of the program was funded by the Faculty Grant-In-Aid-Program of Arizona State University, Tempe, Arizona. Traditional value gaming strategies used in the United States with success were those adpapted for this Spanish language program. A pilot study was conduced at a juvenile residence in Acapulco, Guerrero, Mexico, with followup programs in Oaxaca, Oaxaca, Mexico. The usability evaluation of the program took place in Acapulco, Guerrero, Mexico, during the Summer of 1980. The usable evaluation indicated that Spanish speaking agencies could utilize both the student guide and instructors manual as a tool for drug education with their own staff conducting the program.</t>
  </si>
  <si>
    <t>(Toohey J.V.; Valenzuela G.J.; Dezelsky T.L.); ID: 3832</t>
  </si>
  <si>
    <t>1981210528 PUI L11050325</t>
  </si>
  <si>
    <t>Treit,K.;Levitt,D.;McCance-Katz,E.;Moreno-John,G.;O'Sullivan,P.;Satterfield,J.;Wamsley,M.;Author,Addresses;Ucsf,Medical Center San Francisco United States;Ucsf,School of Medicine San Francisco United States;Correspondence,Address;Treit, Ucsf Medical Center San Francisco United States,K.</t>
  </si>
  <si>
    <t>Using standardized patients to evaluate resident skills in screening and brief interventions for substance abuse in the primary care setting</t>
  </si>
  <si>
    <t>S586</t>
  </si>
  <si>
    <t>alcohol;opiate;human;internal medicine;patient;primary medical care;screening;skill;society;substance abuse;alcohol consumption;atrial fibrillation;checklist;curriculum;diseases;exercise;feedback system;female;hospital;interpersonal communication;low back pain;male;outpatient;physician;residency education;training</t>
  </si>
  <si>
    <t>SETTING AND PARTICIPANTS: This project took place at a large academic residency training program. Prior to SBIRT curriculum implementation, 15 primary care internal medicine residents (PGY2/PGY3) participated in the SP evaluation. The SP exam took place at a training facility designed for observation of learners during clinical skills exams. Actors were hired and trained in their specific roles as SPs. DESCRIPTION: The standardized patient exam consisted of 3 twentyminute outpatient encounters representing typical clinic visits. Specific cases were as follows:Î“ÃªÃ¹35 year-old man with risky alcohol use and paroxysmal atrial fibrillation. Î“ÃªÃ¹39 year-old woman with low back pain and opiate misuse. Î“ÃªÃ¹63 year-old woman with depression and an alcohol use disorder. Cases evaluated the following substance use competencies: Î“ÃªÃ¹ Screening for substance use and taking a substance abuse history. Î“ÃªÃ¹Accurate assessment of risky use and substance use disorders. Î“ÃªÃ¹Brief interventions to address substance use. Î“ÃªÃ¹Appropriate referral for substance use disorders. Î“ÃªÃ¹Effective communication with patients regarding substance use NEEDS AND OBJECTIVES: It is widely recognized that screening and brief intervention for substance use disorders are lacking in primary care settings. Barriers include physician reluctance to address substance abuse, negative attitudes towards substance abusing patients, lack of confidence and inadequate skills. In order to address this deficiency, we are implementing a Screening, Brief Intervention and Referral to Treatment (SBIRT) curriculum for primary care internal medicine residents. To measure the impact of our curriculum, we propose using a standardized patient (SP) evaluation. The objective of this project is to determine baseline SBIRT skills for residents prior to implementation of the SBIRT curriculum from an</t>
  </si>
  <si>
    <t>(Treit K.; McCance-Katz E.; Moreno-John G.; O'Sullivan P.; Satterfield J.; Wamsley M.) (Levitt D.) 34th Annual Meeting of the Society of General Internal Medicine Phoenix, AZ, United States 2011-05-04 to 2011-05-07 Springer New York; ID: 2680</t>
  </si>
  <si>
    <t>Trider,M. F.;Reg,O. T.;Author,Addresses</t>
  </si>
  <si>
    <t>Occupational therapy in the mental health field</t>
  </si>
  <si>
    <t>Canad.Ment.Hlth.</t>
  </si>
  <si>
    <t>mental health;occupational therapy;addiction;applied research;commercial phenomena;community program;day care;environmental stress;hospital;hypothesis;industry;mental deficiency;mental health care;mental hospital;nursing education;nursing home;physician;school;skill;therapeutic community</t>
  </si>
  <si>
    <t>Occupational therapy in the mental health field has travelled a long way from its professional beginnings. It is turning its attention to methods of preventing psychosocial and physical dysfunction, to the effects of environmental stress, and to consideration of the types of adaptive skills that will be required of mankind in order to survive the effects of possible future shock so clearly described by Toffler. At the same time practitioners are applying their current theory and practice in the many locales where the evidence indicates the presence of psychosocial dysfunction: in community programs, in schools, nursing homes, business and industry, as well as the more familiar institutions - the psychiatric hospital, the mental retardation unit and hospital schools, day care unit, therapeutic community, and addiction treatment centre. As it learns to subject its hypotheses to more rigorous testing it is increasingly emphasizing both basic and applied research.</t>
  </si>
  <si>
    <t>(Trider M.F.; Reg O.T.); ID: 3937</t>
  </si>
  <si>
    <t>2008950591 PUI L293161571</t>
  </si>
  <si>
    <t>Trites,R.;Author,Addresses;Dept. Psychol,Univ Ottawa;Correspondence,Address;Dept. Psychol,Univ Ottawa</t>
  </si>
  <si>
    <t>1182648; Neuropsychological deficits in 'primary' and 'secondary' non medical drug users</t>
  </si>
  <si>
    <t>Canadian Psychiatric Association journal</t>
  </si>
  <si>
    <t>Can.Psychiatr.Assoc.J.</t>
  </si>
  <si>
    <t>(MAJOR FOCUS);amphetamine;cannabis;cocaine;lysergide;mescaline;opiate;psilocybine;academic achievement;adaptation;clinical study;drug dependence;mental test;personality;psychometry;diagnosis;intoxication;major clinical study;amphetamine (1200-47-1, 139-10-6, 156-34-3, 2706-50-5, 300-62-9, 51-62-7,;60-13-9, 60-15-1);cannabis (8001-45-4, 8063-14-7);cocaine (50-36-2, 53-21-4, 5937-29-1);lysergide (50-37-3);mescaline (11006-96-5, 54-04-6, 832-92-8);opiate (53663-61-9, 8002-76-4, 8008-60-4);psilocybine (520-52-5);Adverse Reactions Titles (38);Drug Literature Index (37);Psychiatry (32);Neurology and Neurosurgery (8)</t>
  </si>
  <si>
    <t>An extensive neuropsychological test battery, specifically designed to investigate brain behavior relationships, was administered to two groups of multiple drug users. The 'primary' group consisted of subjects referred fundamentally on account of drug abuse problems. The 'secondary' group was referred principally for neurological reasons, but during history taking they reported drug use. Fifty patients, in all, were examined. Results showed that people who have received psychiatric care for drug abuse and who had started using drugs at an earlier age ('primary' group) and fewer adaptive resources and limited psychometric and academic achievement skills. This effect cannot be attributed to personality differences. Both groups had noticeably greater difficulties on motor tests, fine manipulative skills, and Halstead's Impairment Index when compared with a normal control group matched for age and sex.</t>
  </si>
  <si>
    <t>(Trites R.); ID: 3903</t>
  </si>
  <si>
    <t>http://www.ncbi.nlm.nih.gov/pubmed/1182648</t>
  </si>
  <si>
    <t>Neuropsychological deficits in 'primary' and 'secondary' non medical drug users</t>
  </si>
  <si>
    <t>Trivedi,J. K.;Dalal,P. K.;Nischal,A.;Agarwal,M.;Sharma,E.;Author,Addresses;Department,of;Psychiatry,King George's Medical University Chowk Lucknow Uttar Pradesh;India;Correspondence,Address;JK Trivedi, Department of Psychiatry King George's,Medical University;Chowk,Lucknow Uttar Pradesh India</t>
  </si>
  <si>
    <t>A study of 'pathway of care' in substance dependence disorder namita</t>
  </si>
  <si>
    <t>S37</t>
  </si>
  <si>
    <t>diseases;Indian;medical society;substance abuse;alcoholism;cross-sectional study;diagnosis;education;human;patient;physician;psychiatrist;substance use;therapy</t>
  </si>
  <si>
    <t>Aim: To study the pathway of care in patients of substance dependence disorder. Materials and Methods: Various sociodemographic factors and clinical factors (diagnostic subtypes, awareness, preference of careprovider, delay in seeking help, comorbidities, history in family/acquaintances) were assessed in a cross-sectional study of 128 patients who consulted for treatment of substance dependence disorder. The pathway from onset of dependence to our center was traced and studied. Results: More than half of the patients had alcohol dependence (51.6%). Fifty-five percent patients were aware of availability of medical treatment for their problem. Most patients consulted general medical practitioners (36.7%) as first careprovider followed by psychiatrists (32.8%). Delay in seeking help was longest in alcohol dependence patients (11.33 â”¬â–’ 7.79 years) and shortest in polysubstance dependence (4.92 â”¬â–’ 4.77 years). Comorbidities were present in 20.3% patients and were more common in polysubstance dependence (30.7%) followed by alcohol dependence (19.7%). Awareness was higher in patients with positive history in family and acquaintances. Before reaching us, most patients had consulted just one careprovider (45.7%). Conclusion: First careprovider was general medical practitioner or psychiatrist in most patients. Majority of the patients either consulted one or two careproviders. Average delay in seeking help was around 7 years. Higher education and positive history of substance use in family and acquaintance were significantly associated with awareness.</t>
  </si>
  <si>
    <t>(Trivedi J.K.; Dalal P.K.; Nischal A.; Agarwal M.; Sharma E.) 66th Annual National Conference of the Indian Psychiatric Society, ANCIPS 2014 Pune, India 2014-01-16 to 2014-01-19 Medknow Publications and Media Pvt. Ltd; ID: 2316</t>
  </si>
  <si>
    <t>Truncali,A.;Gillespie,C.;Lee,J.;Ross,S.;Kerr,D.;Huben,L.;More,F.;Naegle,M.;Kalet,A.;Gourevitch,M.;Author,Addresses;of,N. Y. U. S.;Medicine,New York United States;Nyu College of Dentistry, New York,United States;Nyu College of Nursing, New York,United States;Nyu School of Medicine, Brooklyn,United States;Correspondence,Address;School of Medicine New York United States,A.Truncali, N.Y.U.</t>
  </si>
  <si>
    <t>A wed-based module on neurobiology to engage students in substance abuse research</t>
  </si>
  <si>
    <t>S585</t>
  </si>
  <si>
    <t>cocaine;human;internal medicine;neurobiology;society;student;substance abuse;addiction;case study;decision making;drug abuse;e-mail;exposure;feedback system;health;learning;male;manager;medical student;motivation;multimedia;nursing;nursing student;occupation;reward;scientist;videorecording</t>
  </si>
  <si>
    <t>SETTING AND PARTICIPANTS: All first-year medical students (n=172) were invited to complete the module as a supplement to their Neuroscience course addiction lecture. They received instructions for accessing the module by way of the Neuroscience course website. DESCRIPTION: The multimedia module features a case study of a cocaine-dependent man whose addictive behaviors are described and linked with associated neurobiology,including reward, cue development and executive dysfunction. It uses interactive animation, user-controlled video segments, and immediate feedback facilitated by the learning platform. Successful research faculty colleagues further discuss how basic science has advanced the understanding and treatment of addiction. Immediate pre-post-testing on 4-point Likert scales evaluated interest in SA, interest in general- and SA-focused research and perceived knowledge. Post-testing evaluated attitudes and module appeal. A -month post survey was conducted by email to assess longer-term impact. NEEDS AND OBJECTIVES: There is a need to build the ranks of substance abuse (SA) researchers across health professions. We developed a web-based module, the Neurobiology of SA, as part of a NIDA-funded initiative to increase interest in SA research among nursing, dental and medical students. We aimed to foster students' understanding of addiction's physiologic basis and motivate interest in</t>
  </si>
  <si>
    <t>(Truncali A.; Gillespie C.; Lee J.; Ross S.; Gourevitch M.) (More F.) (Kerr D.; Naegle M.) (Huben L.; Kalet A.) 34th Annual Meeting of the Society of General Internal Medicine Phoenix, AZ, United States 2011-05-04 to 2011-05-07 Springer New York; ID: 2682</t>
  </si>
  <si>
    <t>Tsai,A.;Tsai,J.;Stewart,L.;Cheung,K.;Author,Addresses;University,of British;Vancouver,Canada;Correspondence,Address;Tsai, University of British Columbia Vancouver Canada,A.</t>
  </si>
  <si>
    <t>Smoking-related medical conditions in the emergency department: Prevalence and accuracy of patient perception that their visit may be related to smoking</t>
  </si>
  <si>
    <t>16 SUPPL. 1</t>
  </si>
  <si>
    <t>emergency ward;health education;human;patient;prevalence;smoking;smoking cessation;adult;cardiovascular disease;death;diagnosis;disability;male;neoplasm;patient education;peptic ulcer;postoperative complication;randomized controlled trial;respiratory tract disease;surgeon;tertiary health care;tobacco;tooth disease</t>
  </si>
  <si>
    <t>Introduction: Worldwide, smoking is the single leading cause of preventable deaths and disability. In 2004, the US General Surgeon's Report provided a list of medical conditions that were causally found to be smoking-related. In this study, we determine the prevalence of smoking-related conditions as the Emergency Department (ED) discharge diagnosis among tobacco users who visited a tertiary care academic ED. We also sought to determine which medical conditions were more or less likely to be accurately perceived by patients as being smoking-related. Methods: All adults Î“Ã«Ã‘18 years of age who had used tobacco within the last 30 days prior to their ED visit and who were enrolled in a randomized controlled trial (ClinicalTrials.gov, NCT01454375) from Dec.1, 2011 to Aug.31, 2012 were included in the study. As part of the randomized controlled trial, all patients were asked whether or not they perceived that their ED visit could be due to a smoking-related condition. Blinded abstractors coded ED diagnoses from patient charts as smoking-related or not smoking-related. All smoking-related conditions were placed under 7 major disease categories: cardiovascular disease, neoplasm, respiratory disease, reproductive complication, peptic ulcer disease, post-op complication, or dental disease. Results: Eight hundred and twelve patients were included; the mean age was 40 years and 61% were male. In total, 14% had a smoking-related condition - 56% were respiratory diseases, 16% cardiovascular disease, 7% peptic ulcer disease, 7% post-operative complications, 7% dental disease, 5% neoplasm, and 2% reproductive complications. Of the conditions identified, 33% were correctly perceived by patients to be smoking-related. Cardiovascular diseases, neoplasms, and respiratory diseases were more likely to be accurately perceived by patients to be smoking-related. Dental diseases, peptic ulcer disease, post-operative complications, and reproductive complications were less likely to be perceived as smokingrelated. Conclusion: In this study, 14% of all visits to the ED among smokers were secondary to a smoking-related condition. Only 33% of smoking-related conditions were accurately perceived by patients to be related to tobacco. Further patient education is required to increase awareness of smoking-related conditions, which may ultimately lead to increased quit rates.</t>
  </si>
  <si>
    <t>(Tsai A.; Tsai J.; Stewart L.; Cheung K.) 2014 CAEP/ACMU Ottawa, ON, Canada 2014-05-31 to 2014-06-04 Decker Publishing; ID: 2234</t>
  </si>
  <si>
    <t>1481-8035</t>
  </si>
  <si>
    <t>10.1017/S1481803500003171 FULL TEXT LINK http://dx.doi.org/10.1017/S1481803500003171</t>
  </si>
  <si>
    <t>Tucker,J. A.;Author,Addresses;Department of,Health Behavior;Alabama at Birmingham, School of Public Health,University Boulevard;Birmingham,A. L. U.;Correspondence,Address;JA Tucker, Department of Health Behavior University of,Alabama at;Birmingham,School of Public Health University Boulevard Birmingham</t>
  </si>
  <si>
    <t>18199299; Different pathways to knowledge about different pathways to recovery: A comment on the people awakening study</t>
  </si>
  <si>
    <t>(MAJOR FOCUS);alcohol;alcoholism;medical education;alcohol abstinence;alcohol abuse;clinical study;cultural factor;drinking behavior;health care policy;health program;health service;medical documentation;medical literature;note;qualitative research;alcohol (64-17-5);Public Health, Social Medicine and Epidemiology (17);Drug Dependence, Alcohol Abuse and Alcoholism (40)</t>
  </si>
  <si>
    <t>(Tucker J.A., jtucker@uab.edu) Blackwell Publishing Ltd, 9600 Garsington Road, Oxford, United Kingdom.; ID: 3000</t>
  </si>
  <si>
    <t>http://www.ncbi.nlm.nih.gov/pubmed/18199299</t>
  </si>
  <si>
    <t>10.1111/j.1360-0443.2007.02106.x FULL TEXT LINK http://dx.doi.org/10.1111/j.1360-0443.2007.02106.x</t>
  </si>
  <si>
    <t>Different pathways to knowledge about different pathways to recovery: A comment on the people awakening study</t>
  </si>
  <si>
    <t>Turan,R.;Yargic,I.;Author,Addresses;Department,of English;Literature,Faculty of Arts;and Sciences, Yeditepe University,Istanbul Turkey;Correspondence,Address;Turan, Department of English Language,R.;Literature,Faculty of Arts and;Sciences,Yeditepe University Istanbul Turkey</t>
  </si>
  <si>
    <t>22489580; The relationship between substance abuse treatment completion, sociodemographics, substance use characteristics, and criminal history</t>
  </si>
  <si>
    <t>addiction (rehabilitation, therapy);offender;adult;article;female;follow up;human;male;psychological aspect;socioeconomics;statistical model;substance abuse;treatment outcome;Turkey (republic);urinalysis</t>
  </si>
  <si>
    <t>The purpose of this study is to determine if a significant relationship exists between the sociodemographics, substance use characteristics, criminal history, and completion of substance abuse treatment. In this study, 115 individuals being monitored for substance abuse treatment on probation at the Probation and Help Center under the Republic of Turkey's Ministry of Justice's Chief Public Prosecutor's Office of Istanbul were included successively between the dates of April 2008 and April 2009. During a 24-week follow-up, individuals whose urine analyses were clean 6 times consecutively were considered to have completed the treatment successfully. To determine the effect of sociodemographic factors and substance use characteristics on treatment completion, a semistructured sociodemographic data survey was used. Also, the participants' criminal records were examined. A total of 115 people participated in the study. One hundred ten (95.7%) of them were male. Sixty-eight (59.1%) of the participants had completed treatment. Age group, education level, age of onset for substance use, number of substances used, employment status, and criminal records showed a significant difference between treatment completers and noncompleters. When a logistic regression analysis was done, only number of substances used and criminal record (other than drug possession) were significantly different for the 2 groups. The current treatment program for polysubstance users and individuals with a criminal record is insufficient. It is necessary that treatment systems be developed so they can be beneficial for these types of patients.</t>
  </si>
  <si>
    <t>(Turan R.) (Yargic I.); ID: 2524</t>
  </si>
  <si>
    <t>http://www.ncbi.nlm.nih.gov/pubmed/22489580</t>
  </si>
  <si>
    <t>10.1080/08897077.2011.630948 FULL TEXT LINK http://dx.doi.org/10.1080/08897077.2011.630948</t>
  </si>
  <si>
    <t>The relationship between substance abuse treatment completion, sociodemographics, substance use characteristics, and criminal history</t>
  </si>
  <si>
    <t>Turner,Ty;De Sorkin,A.;Author,Addresses;Department of Psychiatry, Mental Health,Services Doctors;Hospital,Toronto Ont Canada;Doctors Hospital,Toronto,Ont Canada;College Street,Toronto,Ont M.;Correspondence,Address;Canada,T.Turner, College Street Toronto Ont M.T.A.</t>
  </si>
  <si>
    <t>9429065; Sharing psychiatric care with primary care, physicians: The Toronto doctors hospital experience (1991-1995)</t>
  </si>
  <si>
    <t>Canadian Journal of Psychiatry</t>
  </si>
  <si>
    <t>clinical education;depression;mental health service;substance abuse;article;community care;comorbidity;controlled study;cultural anthropology;general practitioner;health care delivery;hospital care;human;major clinical study;patient care;Public Health, Social Medicine and Epidemiology (17);Psychiatry (32)</t>
  </si>
  <si>
    <t>Objectives: To investigate the shared mental health care experience of the psychiatry department of a small urban general hospital which serves an ethnoculturally diverse population. Methods: A chart survey was undertaken of all patients referred by community physicians to a new shared care program between January 1991 and December 1995. Selected demographic and diagnostic characteristics were collected and analyzed. Results: Seven hundred and thirteen patients were assessed. They were principally female, ethnoculturally varied, and highly comorbid. The most striking association involved mood and substance-related disorders. Conclusion: The Doctors Hospital experience shows that the shared care approach can reach large numbers of patients through a multiplier effect. Additionally, this approach has the potential to enhance access for ethnoculturally varied and diagnostically complex groups.</t>
  </si>
  <si>
    <t>(Turner Ty.) (De Sorkin A.) Canadian Psychiatric Association, 141 Laurier Avenue West, Suite 702, Ottawa, ON, Canada.; ID: 3468</t>
  </si>
  <si>
    <t>0706-7437</t>
  </si>
  <si>
    <t>http://www.ncbi.nlm.nih.gov/pubmed/9429065</t>
  </si>
  <si>
    <t>Sharing psychiatric care with primary care, physicians: The Toronto doctors hospital experience (1991-1995)</t>
  </si>
  <si>
    <t>Ulbricht,S.;Koepsell,S.;Rumpf,H. J.;John,U.;Meyer,C.;Author,Addresses;Ernst-Moritz-Arndt-Universitâ”œÃ±t Greifswald,Institut fâ”œâ•r;Epidemiologie,und Sozialmedizin;Correspondence,Address;Ulbricht, Ernst-Moritz-Arndt-Universitâ”œÃ±t Greifswald Institut fâ”œâ•r,S.;Epidemiologie,und Sozialmedizin;ulbricht@uni,greifswald de</t>
  </si>
  <si>
    <t>19798627; The readiness of staff in general medical practices to participate in a smoking cessation programme]. ORIGINAL (NON-ENGLISH) TITLE Die Bereitschaft nichtâ”œÃ±rztlicher Mitarbeiterinnen in Hausarztpraxen, an der Umsetzung eines Nichtraucherangebots mitzuwirken</t>
  </si>
  <si>
    <t>(2010) 72</t>
  </si>
  <si>
    <t>health personnel attitude;health promotion;nurse practitioner;practice guideline;smoking (epidemiology);smoking cessation;adult;article;female;Germany;human;male;middle aged;statistics;utilization review</t>
  </si>
  <si>
    <t>So far, the chances for tobacco prevention are not currently implemented sufficiently in general practices. The involvement of practice nurses (PN) could contribute to reach more patients. This study investigated the characteristics of PN which could be relevant for the implementation of counselling offers. A total of 216 general practices was randomly selected from all general practitioners registered for primary care in a defined region in West Pomerania. The participation rate was 69% (n=151). A total of 209 PN participated in a training and 94.3% filled in the questionnaire. The data indicated a smoking prevalence rate of 30.3% among PN. Their motivation, to offer counselling measures in general practices was higher on average than the confidence to realise such interventions. There was no association between characteristics of PN such as age, number of work years in the practice, hours worked per week or smoking status and motivation or confidence measures. There is a need for proactive interventions to decrease the smoking prevalence among PN. Furthermore, it should be examined which skills and knowledge are essential for PN nurses to manage new tasks with a high level of confidence. â”¬âŒ Georg Thieme Verlag KG Stuttgart â”¬â•– New York.</t>
  </si>
  <si>
    <t>(Ulbricht S.) (Koepsell S.; Rumpf H.J.; John U.; Meyer C.); ID: 2770</t>
  </si>
  <si>
    <t>1439-4421 (electronic)</t>
  </si>
  <si>
    <t>http://www.ncbi.nlm.nih.gov/pubmed/19798627</t>
  </si>
  <si>
    <t>[The readiness of staff in general medical practices to participate in a smoking cessation programme]. ORIGINAL (NON-ENGLISH) TITLE Die Bereitschaft nichtâ”œÃ±rztlicher Mitarbeiterinnen in Hausarztpraxen, an der Umsetzung eines Nichtraucherangeb(TRUNCATED)</t>
  </si>
  <si>
    <t>Valaker,T.;Jonassen,T.;Bakke,P.;Author,Addresses;Institutt,for;Indremedisin,Universitetet i Bergen Haukeland Universitetssjukehus;Bergen,Norway;Correspondence,Address;Valaker, Institutt for Indremedisin Universitetet i Bergen Haukeland,T.;Universitetssjukehus,Bergen Norway</t>
  </si>
  <si>
    <t>15702145; Smoking habits among students in a Norwegian medical school ORIGINAL (NON-ENGLISH) TITLE Râ”œâ••ykevaner blant medisinstudenter i Bergen</t>
  </si>
  <si>
    <t>medical school;medical student;smoking habit;adult;age;article;female;gender;human;male;normal human;Norway;physician;prevalence;questionnaire;social class;Public Health, Social Medicine and Epidemiology (17)</t>
  </si>
  <si>
    <t>Background. The objective of this study was to examine smoking habits among the students in a Norwegian medical school and to assess how smoking habits vary by sex, age and class seniority. Method. The study was performed by handing out to all students during plenum lectures a questionnaire on smoking habits. Students not present were sent the questionnaire by mail. Results. 866 of 894 students (97%) responded; 8 questionnaires were excluded from the study. Among the remaining 858 students, 53% stated that they had never smoked, 14% were ex-smokers, 28% were occasional smokers, and 5% reported that they smoked regularly. No differences were found with respect to age, sex and seniority. Interpretation. The percentage of daily smokers among medical students was low, but the high percentage of occasional smokers may indicate that the prevalence of smoking among Norwegian doctors could increase.</t>
  </si>
  <si>
    <t>(Valaker T.; Jonassen T.; Bakke P., per.bakke@helse-bergen.no) Norwegian Medical Association, P.O. Box 1152 Sentrum, Oslo, Norway.; ID: 3189</t>
  </si>
  <si>
    <t>http://www.ncbi.nlm.nih.gov/pubmed/15702145</t>
  </si>
  <si>
    <t>Smoking habits among students in a Norwegian medical school ORIGINAL (NON-ENGLISH) TITLE Râ”œâ••ykevaner blant medisinstudenter i Bergen</t>
  </si>
  <si>
    <t>Vali,Y.;Sanjay,A.;Author,Addresses;Respiratory Medicine, Glenfield Hospital Leicester,United Kingdom;Correspondence,Address;Vali, Respiratory Medicine Glenfield Hospital Leicester United,Y.;Kingdom Email, vali yusuf,gmail com</t>
  </si>
  <si>
    <t>Cigarette smoking patterns of cardiology and respiratory inpatients at a university teaching hospital</t>
  </si>
  <si>
    <t>cardiology;European;health care policy;hospital patient;human;public health;smoking;society;teaching hospital;university;documentation;medical record;nurse;nursing;patient;physician;population;prevalence;respiratory tract disease;smoking cessation;United Kingdom;ward</t>
  </si>
  <si>
    <t>Background: Smoking cessation is key in reducing cardio-respiratory disease and is most effectively achieved via formal cessation services. Knowledge of smoking prevalence, and referral patterns in inpatients would facilitate cessation efforts in this population. Aims: To assess smoking prevalence by examining documentation in acute admissions and elicit whether smokers are referred for cessation. Methods: A snapshot of all cardio-respiratory inpatients was taken on a single day looking at medical and nursing records of smoking. Smokers were then asked to corroborate if they were advised or referred. Results: 150 patients (83 respiratory, 67 cardiology) were identified. In the medical notes, smoking status was unrecorded in 31 (20.7%) patients. Of the remaining 119, 17 (14.3%) were smokers, none had a record of cessation advice or referral. Nursing records of smoking status were incomplete in 16 (10.7%) cases and reported 18 (13.4%) smokers of whom 7 were advised to quit and 2 referred. Combining this data with direct questioning, revealed 20 (14.0%) smokers in total. Of these only 5 (25.0%) received cessation advice and 3 (15.0%) referred, all of whom by nurses. The prevalence of smokers was higher on respiratory (18.4%) compared to cardiology (9.0%) wards. Conclusion: The smoking prevalence of inpatients was identical to that of age-matched individuals in England, however in respiratory inpatients it was higher. Nursing documentation and smoking cessation efforts were superior to those of doctors, however overall referral rates were low. Staff require further training on effective smoking cessation methods and how to seize the opportunity when smokers are inpatients.</t>
  </si>
  <si>
    <t>(Vali Y., vali.yusuf@gmail.com; Sanjay A., sanjay.agrawal@uhl-tr.nhs.uk) European Respiratory Society Annual Congress 2013 Barcelona, Spain 2013-09-07 to 2013-09-11 European Respiratory Society; ID: 2364</t>
  </si>
  <si>
    <t>Valverius,P.;Author,Addresses;Alkoholdiagnostiska Laboratoriet,Psyk,Beroendekliniken St;Goran's Hospital, P O Box,S.Stockholm Sweden;Correspondence,Address;Valverius, Alkoholdiagnostiska Laboratoriet Psyk Beroendekliniken St,P.;Goran's Hospital, P O Box,S.Stockholm Sweden</t>
  </si>
  <si>
    <t>Education of therapists and scientists in substance abuse in Sweden - An European comparative experiment ORIGINAL (NON-ENGLISH) TITLE AUSBILDUNG VON SUCHTTHERAPEUTEN UND SUCHTFORSCHERN IN SCHWEDEN - VERSUCH EINES EUROPAISCHEN VERGLEICHES</t>
  </si>
  <si>
    <t>drug abuse;education;physician;conference paper;curriculum;human;normal human;science;Sweden;therapy;Drug Dependence, Alcohol Abuse and Alcoholism (40)</t>
  </si>
  <si>
    <t>(Valverius P.); ID: 3597</t>
  </si>
  <si>
    <t>1993185549 PUI L23185535</t>
  </si>
  <si>
    <t>Vamos,P.;Devlin,J. J.;Author,Addresses;Drummond St,Montreal;Correspondence,Address;Drummond St,Montreal</t>
  </si>
  <si>
    <t>New trends in the training of therapists in drug addiction ORIGINAL (NON-ENGLISH) TITLE L'EVOLUTION DE LA FORMATION DU THERAPEUTE EN TOXICOMANIE</t>
  </si>
  <si>
    <t>Toxicomanies</t>
  </si>
  <si>
    <t>drug dependence;health education;medical education;rehabilitation;methodology;therapy;Public Health, Social Medicine and Epidemiology (17);Psychiatry (32)</t>
  </si>
  <si>
    <t>In veiw of the too frequent failure of the professional therapist, former drug addicts have set up their own therapy groups, which operate more or less along the same lines as Alcoholics Anonymous. The results achieved may be ascribed to the drive and cohesion of these groups which are made up of drug addicts. The members share an emotional involvement in an atmosphere of concern and mutual respect. These groups, led by former addicts, have been created without professional help and with no theoretical basis. The group leaders, semi professional by virtue of their having undergone the experience of drug addiction, do, however, feel the need for multidisciplinary collaboration which would include the assistance of the true professional. However, in order to be able to work successfully within these groups, the traditionalist professionals should complement their academic training with practical work based on real situations, in the course of apprenticeship within the therapy group. This is the only way for professionals to obliterate the image they have created and to recover the freshness of approach too often lost during professional training. The ex addict therapist, on the other hand, would benefit from the knowledge of the professional. This would enable them to work efficiently together in a climate of mutual understanding, trust and respect.</t>
  </si>
  <si>
    <t>(Vamos P.; Devlin J.J.); ID: 3898</t>
  </si>
  <si>
    <t>0041-0098</t>
  </si>
  <si>
    <t>1977026263 PUI L7026252</t>
  </si>
  <si>
    <t>Van Crombrugge,L.;Matthys,D.;Van Heeringen,C.;Author,Addresses;Dienst Neus,Keel-and;Oorziekten,Universitair Ziekenhuis De Pintelaan Gent Belgium;Commissie Medische Ethiek, Universitair,Ziekenhuis Gent;Belgium;Universitaire,Dienst Psychiatrie;Gent,Belgium;Correspondence,Address;Van Crombrugge,Dienst Neus-Keel,L.;Oorziekten,Universitair;Ziekenhuis,De Pintelaan Gent Belgium Email;leen.vancrombrugge@ugent.be</t>
  </si>
  <si>
    <t>Substance use disorder among physicians ORIGINAL (NON-ENGLISH) TITLE Middelenmisbruik bij artsen</t>
  </si>
  <si>
    <t>Tijdschrift voor Geneeskunde</t>
  </si>
  <si>
    <t>substance abuse;alcoholism (epidemiology);article;defense mechanism;drug dependence (epidemiology);human;personality;physician;prescription;prevalence;risk factor;Public Health, Social Medicine and Epidemiology (17);Psychiatry (32);Drug Dependence, Alcohol Abuse and Alcoholism (40)</t>
  </si>
  <si>
    <t>Substance use disorder is the most important reason for physician impairment. It constitutes an important society problem, as doctors are responsible for the health of the general population. Literature data indicate that 10-14% of all physicians are confronted with an addiction problem during their career: this correlates with the prevalence among the general population. Physicians however use more medication by prescription, but less illegal drugs. Alcohol is the most often misused substance. Differences do occur between the medical specialities regarding drug abuse: psychiatrists, emergency doctors and anaesthesiologists are more at risk. The personality of physicians, being exposed to a dysfunctional family during childhood, a history of psychiatric diseases and of familial drug use disorders are risk factors. The stress and occupational burden of physicians are negatively influencing factors. Doctors believe that they are immune for substance use disorders. During their education they learn as a defence mechanism to neglect certain signals and emotions. They also disregard their problem because they are afraid of the financial, social and legal consequences. Several years pass before they search help. Once the clinical performance of the physician apparently deteriorates, the substance use disorder is often detected. Then it is already a long-standing problem. The impaired physician will most of the time deny everything. It may be useful to request an intervention team with a professional. The treatment of addicted physicians does not differ from that of the general population, including successively detoxification, abstinence, intensive education and rehabilitation. Physicians however display a better outcome than the general population. Up to 70% return to their work place. Between 70 and 90% reach total abstinence.</t>
  </si>
  <si>
    <t>(Van Crombrugge L., leen.vancrombrugge@ugent.be) (Matthys D.) (Van Heeringen C.) Tijdschrift voor Geneeskunde, De Pintelaan 185, Gent, Belgium.; ID: 2846</t>
  </si>
  <si>
    <t>0371-683X</t>
  </si>
  <si>
    <t>2010270841 PUI L358791708</t>
  </si>
  <si>
    <t>10.2143/TVG.65.19.2000619 FULL TEXT LINK http://dx.doi.org/10.2143/TVG.65.19.2000619</t>
  </si>
  <si>
    <t>Van Zundert,J.;Author,Addresses;Ziekenhuis Oost-Limburg,Department,of Anesthesiology;Critical Care- Emergency,Medicine;Multidisciplinary,Pain Center;Belgium;Correspondence,Address;Van Zundert, Ziekenhuis Oost-Limburg Department of Anesthesiology,J.;Critical Care- Emergency,Medicine;Multidisciplinary,Pain Center;Belgium</t>
  </si>
  <si>
    <t>Pro-con debate: Long-term opioid use in low back pain patient should be discouraged pro</t>
  </si>
  <si>
    <t>e61</t>
  </si>
  <si>
    <t>(MAJOR FOCUS);opiate;morphine;European;human;low back pain;pain;patient;regional anesthesia;society;therapy;addiction;analgesia;Australian;cancer patient;chronic pain;cohort analysis;community;consultation;coping behavior;death;demography;disability;drug industry;drug seeking behavior;drug therapy;editor;epidemic;exposure;general practitioner;health care personnel;health care utilization;humanities;hyperalgesia;intoxication;medical specialist;mental health;physician;pill;prescription;risk;risk assessment;side effect;stimulus;substance use;systematic review;titrimetry;victim</t>
  </si>
  <si>
    <t>Introduction: In 2002 a congress entitled Î“Ã‡Â£Opioids the Janus Drugs, and the Relief of Pain.Î“Ã‡Â¥ intended to give a historical review of the use of opioids. The lectures were bundled in a book where the editor asked the question: 'Î“Ã‡Â£What other drug . . . is so interwoven with the . . . best and worst in humanity?Î“Ã‡Â¥ Morphine and its derivatives initially reserved for the treatment of pain in cancer patients were gradually more liberally used for the treatment of chronic pain. Patients rapidly learned how to motive their physician for a prescription of higher doses. Many physicians with little training in pain management and no training in addiction were prescribing large doses of opioids. The majority of these may have a worsening condition that is no longer responding to the initial treatment, but often the underlying reason for the non-response is not the pain but the increasing disability towork, sometimes because of the side effects of opioid consumption, and the social and economic problems induced by this disability. In the last two decennia the sales of prescription opioids in the US increased with 300% but the number of deaths from overdose on pain pills increased in parallel.1] The size and origin of the problem: J. Gregg in her article: Î“Ã‡Â£A startling injustice: Pain, Opioids and addictionÎ“Ã‡Â¥ 1] states Î“Ã‡Â£Through good intentions and bad medicine, the medical community helped create a deadly epidemic. Now, in an act of startling injustice, we are abandoning its victims.Î“Ã‡Â¥ Addiction is still highly stigmatized. Physicians, during the short consultation time will focus on the physiologic disease and its symptoms with pain being themost prominent and readily reported by the patient. The drug seeking behavior may be missed. Additionally to the risk of addiction and overdose, opioid-induced hyperalgesia is only recently recognized. Opioid-induced hyperalgesia is a phenomenon whereby exposure to opioids sensitizes a patient to a pain stimulus, causing a paradoxical increase in pain. 2] A retrospective cohort study found that patients on long-term opioid treatment (&gt;30 days) had large increases in health-care utilization during the first 6-months after start of treatment, afterwards those utilization rates decreased but never returned to baseline levels. Costs followed the same movement.3] An Australian prospective cohort study showed the demographic characteristics op patients who received prescription opioids for chronic pain had complex demographic and clinical profiles. Age-related differences in the experience of pain, coping, mental health, and substance use justify the need for an individual treatment approach.4] The clinical decision to install chronic opioid therapy should be a balance of opioid selection, dose initiation and titration strategies; integration of risk assessment and mitigation strategies; and consideration of alternative, nonopioid therapies. 5] A systematic review on the efficacy of long-term opioid therapy for chronic pain found insufficient evidence to determine the effectiveness but evidence supports a dose-dependent risk for serious harms6]. The origin of the problem may be searched in the aggressive promotion of the right for treatment for each pain patient. But themarketing from the pharmaceutical companies has also contributed to the increased opioid use for noncancer patients. A careful approach: We fully agree that each patient has the right for treatment and pain relief. It is the right of the producers to advertise and promote their products, but physicians should be coached into a more appropriate use of opioids. We suggest exploring all other treatment options that for the pharmaceutical treatment include the search for a more mechanism-based approach. For specific conditions a well-selected minimum invasive interventional pain treatment should be considered prior to installing an opioid therapy. When opioids are needed, the general practitioner should not proceed beyond the dose of 60 mg morphine equivalent before asking specialist advice. When correctly used for the correct patient, opioids are definitely a very valuable tool in our therapeutic armamentarium. The appropriate use consists of the balance between potential benefits and potential risks. Patients and health care providers require appropriate information to make the right therapeutic choices.</t>
  </si>
  <si>
    <t>(Van Zundert J.) 34th Annual European Society of Regional Anaesthesia and Pain Therapy Congress, ESRA 2015 Ljubljana, Slovenia 2015-09-02 to 2015-09-05 Lippincott Williams and Wilkins; ID: 2073</t>
  </si>
  <si>
    <t>Vander Bilt,J.;Hall,M. N.;Schaffer,H. J.;Storti,S.;Church,O. M.;Author,Addresses;Division;on Addictions, Harvard Medical School Goldenson,Building Longwood;Avenue,Boston M. A. United States;Correspondence,Address;HJ Schaffer, Division on Addictions Harvard Medical,School Goldenson;Building,Longwood Avenue Boston M.A.United States</t>
  </si>
  <si>
    <t>An assessment of substance abuse treatment training needs among nurses. (Part I): Evaluating skill, knowledge and training characteristics</t>
  </si>
  <si>
    <t>continuing education;nurse;substance abuse;article;controlled study;health care quality;human;normal human;skill;training;United States;Public Health, Social Medicine and Epidemiology (17);Psychiatry (32);Drug Dependence, Alcohol Abuse and Alcoholism (40)</t>
  </si>
  <si>
    <t>This article (part I of a two-part paper) presents results of a substance abuse treatment training needs assessment study conducted with 133 nurses who were working in randomly selected New England substance abuse treatment facilities. This sample of nurses was derived from a larger survey sample of 1684 substance abuse treatment providers working in randomly selected New England substance abuse treatment facilities. These needs assessment data show that, compared with drug and alcohol counselors, social workers, and physicians or residents, nurses have the lowest levels of skill or knowledge in 8 of 12 substance abuse-specific treatment areas. Nurses reported that additional training would increase their clinical effectiveness. Without adequate training, nurses cannot fulfill their roles in prevention, intervention and treatment.</t>
  </si>
  <si>
    <t>(Vander Bilt J.; Hall M.N.; Schaffer H.J.; Storti S.; Church O.M.); ID: 3477</t>
  </si>
  <si>
    <t>1997222673 PUI L27312167</t>
  </si>
  <si>
    <t>Vander Bilt,J.;Hall,M. N.;Shaffer,H. J.;Storti,S.;Church,O. M.;Author,Addresses;Division;on Addictions, Harvard Medical School Goldenson,Building Longwood;Avenue,Boston M. A. United States;Correspondence,Address;HJ Shaffer, Division on Addictions Harvard Medical,School Goldenson;Building,Longwood Avenue Boston M.A.United States</t>
  </si>
  <si>
    <t>An assessment of substance abuse treatment training needs among nurses (part II): Applying an index of training needs</t>
  </si>
  <si>
    <t>nursing education;substance abuse;article;human;nurse;training;United States;Public Health, Social Medicine and Epidemiology (17);Drug Dependence, Alcohol Abuse and Alcoholism (40)</t>
  </si>
  <si>
    <t>This article (part II of a two-part paper) presents the results of a substance abuse treatment training needs assessment study conducted with 133 nurses who were working in randomly selected New England substance abuse treatment facilities. This sample of nurses was derived from a larger survey sample of 1684 substance abuse treatment providers working in randomly selected New England substance abuse treatment facilities. These needs assessment data show that, compared with drug and alcohol counselors, social workers, and physicians or residents, nurses had the highest levels of training need in the three major substance abuse treatment domains investigated in this study. Without training, nurses cannot fulfill their roles in prevention, intervention and treatment. Agencies and institutions concerned with and committed to training health care providers are encouraged to attend to the demonstrated need for training while interest is high and clinical demand is great.</t>
  </si>
  <si>
    <t>(Vander Bilt J.; Hall M.N.; Shaffer H.J.; Storti S.; Church O.M.); ID: 3471</t>
  </si>
  <si>
    <t>1997314295 PUI L27438074</t>
  </si>
  <si>
    <t>Vargovich,A.;Sperry,J.;Foley,K.;McNeil,D.;Author,Addresses;West Virginia,University;Morgantown,United States;Correspondence,Address;Vargovich, West Virginia University Morgantown United States,A.</t>
  </si>
  <si>
    <t>Opioid abuse potential and pain related measures in chronic pain patients presenting to a primary care clinic</t>
  </si>
  <si>
    <t>(MAJOR FOCUS);opiate;abuse;chronic pain;hospital;human;pain;patient;primary medical care;society;adult;analgesia;catastrophizing;cognition;death;health practitioner;interview;intoxication;mental health;physician;prescription;risk;self report;substance abuse;therapy;United States</t>
  </si>
  <si>
    <t>Over the past 20 years, the misuse and abuse of prescription opioids has increased across the United States, causing a drastic increase in opioid-related overdose deaths. Physicians often lack training in discerning substance abuse or drug diversion, which can lead to over- or under- prescribing of opioids and poor pain management. Utilizing mental health professionals to assist physicians in better understanding their patients' opioid abuse potential may be a possible solution to this problem. Using 115 adult chronic pain patients being considered for long-term opioid therapy from a primary care clinic (n = 36, low risk for opioid misuse group; n = 38, moderate risk for opioid misuse group; n = 41, high risk for opioid misuse group), this investigation examined possible differences on pain related measures between patients ascribed a risk status of low, moderate, or high following an opioid risk evaluation conducted by a mental health professional. As part of an opioid risk evaluation, patients completed several self-report instruments related to pain, as well as a clinical interview. After adjusting for sex, results showed that patients in the low risk category had significantly lower scores than both the moderate and high risk categories on a measure of negative cognitions about pain and were significantly older in age compared to the high risk category (p &lt; .05). Additionally, patients in the high risk category had significantly higher scores than both the moderate and low risk categories on a measure of opioid abuse potential (p &lt;.05). These findings suggest that chronic pain patients, regardless of sex, assigned with a lower opioid abuse potential tend to score lower on measures of negative cognitions about pain and opioid abuse potential, specifically the Pain Catastrophizing Scale (PCS) and the Screener and Opioid Assessment for Patients with Pain (SOAPP).</t>
  </si>
  <si>
    <t>(Vargovich A.; Sperry J.; Foley K.; McNeil D.) 33rd Annual Scientific Meeting of the American Pain Society Tampa, FL, United States 2014-04-30 to 2014-05-03 Churchill Livingstone Inc.; ID: 2253</t>
  </si>
  <si>
    <t>10.1016/j.jpain.2014.01.074 FULL TEXT LINK http://dx.doi.org/10.1016/j.jpain.2014.01.074</t>
  </si>
  <si>
    <t>Varma,V. K.;Dang,R.;Author,Addresses;Dept Psychiat, Postgrad Inst Med,Educ Res;Chandigarh;Correspondence,Address;Dept Psychiat, Postgrad Inst Med Educ,Res Chandigarh</t>
  </si>
  <si>
    <t>Non medical use of drugs amongst school and college students</t>
  </si>
  <si>
    <t>drug abuse pattern;school;student;adolescent;adult;central nervous system;epidemiology;geographic distribution;major clinical study;Public Health, Social Medicine and Epidemiology (17);Psychiatry (32);Drug Dependence, Alcohol Abuse and Alcoholism (40)</t>
  </si>
  <si>
    <t>(Varma V.K.; Dang R.); ID: 3849</t>
  </si>
  <si>
    <t>1982113262 PUI L12151311</t>
  </si>
  <si>
    <t>Vasquez,E.;Onieal,M. E.;Author,Addresses;Department,of Child;Family Health,School of;Nursing,University of Maryland Baltimore M.D.U.S.A.;Correspondence,Address;Vasquez, Department of Child Women's,E.;Family Health,School of;Nursing,University of Maryland Baltimore M.D.U.S.A.</t>
  </si>
  <si>
    <t>23580998; Substance abuse education for nurse practitioners in primary care</t>
  </si>
  <si>
    <t>addiction (diagnosis, rehabilitation);advanced practice nursing;alcoholism (diagnosis, rehabilitation);nurse practitioner;primary health care;clinical competence;cooperation;curriculum;education;family nursing;holistic nursing;human;interdisciplinary communication;multimodality cancer therapy;nurse patient relationship;nursing;nursing education;psychological aspect;review;United States</t>
  </si>
  <si>
    <t>(Vasquez E.) (Onieal M.E.); ID: 3308</t>
  </si>
  <si>
    <t>http://www.ncbi.nlm.nih.gov/pubmed/23580998</t>
  </si>
  <si>
    <t>Substance abuse education for nurse practitioners in primary care</t>
  </si>
  <si>
    <t>Vaughan,C. P.;Cates,M. E.;Woolley,T. W.;Author,Addresses;Samford University, McWhorter School,of Pharmacy;United,States;Samford University, Brock School of Business,United States;Correspondence,Address;CP Vaughan, Samford University McWhorter School of,Pharmacy United;States</t>
  </si>
  <si>
    <t>Pharmacists' knowledge, attitudes, and behaviors in regards to prescription drug abuse</t>
  </si>
  <si>
    <t>(MAJOR FOCUS);prescription drug;controlled substance;doctor patient relation;drug abuse;pharmacist;addiction;analgesia;attention deficit disorder;brain chemistry;clinical study;comfort;continuing education;controlled study;counseling;drug therapy;human;institutional review;monitoring;pharmacy;police;substance abuse;university</t>
  </si>
  <si>
    <t>Original Research. Background: Prescription drug abuse is a serious problem in the U.S. Pharmacists should be knowledgeable about controlled substances and addiction, and they should have a positive attitude toward their role as healthcare providers in monitoring for prescription drug abuse. Moreover, they should be actively involved in contacting prescribers, counseling patients, and referring patients for addiction treatment. Objectives: To determine the attitudes, behaviors, and perceived knowledge of pharmacists concerning prescription drug abuse. Methods: A voluntary, anonymous survey was offered to pharmacists who attended a large end-of-year continuing education program sponsored by a school of pharmacy. The 26-item survey that was used in the study was adapted from a survey instrument that was previously pilot tested and used in a published study. The research was approved by the university's Institutional Review Board, and the investigators obtained permission from the authors of the published study to use the survey instrument. Results: The survey was completed by 130 of 150 (87%) pharmacists, who practiced primarily in community (60%) and hospital (19%) settings. Pharmacists were more likely to rate themselves as having much or very much knowledge in pain management/opiates (49%) and ADHD/stimulants (44%) vs. the disease process of addiction (34%) or brain chemistry as relates to addiction (20%). Forty-four percent of pharmacists felt that their job was much or very much affected by patients' substance abuse, yet most pharmacists reported little or very little activity as relates to contacting physicians about potential substance abuse issues (50%) or counseling patients about substance abuse issues (61%). Interestingly, 34% of pharmacists admitted to having never contacted a physician about possible substance abuse by a patient. Only 20% of pharmacists felt comfortable or very comfortable referring patients to addiction treatment. Many pharmacists perceived their role in monitoring therapy with controlled substances as either more like the police (18%) or equal amounts of policing and providing healthcare (47%). Conclusions: Pharmacists appear to lack the knowledge and comfort level to deal with prescription drug abuse, and their self-reported interventions in such cases are disappointingly low. Additional training of pharmacists in the area of substance abuse appears to be warranted.</t>
  </si>
  <si>
    <t>(Vaughan C.P.; Cates M.E.) (Woolley T.W.) 19th Annual Meeting of the College of Psychiatric and Neurologic Pharmacists, CPNP Colorado Springs, CO, United States 2016-04-17 to 2016-04-20 SAGE Publications Inc.; ID: 1946</t>
  </si>
  <si>
    <t>Vedanarayanan,V. J.;Jones,A. V.;Majithia,V.;Author,Addresses;University of,Mississippi;Medical Center,Jackson,United States;Correspondence,Address;VJ Vedanarayanan, University of Mississippi Medical,Center Jackson;United,States</t>
  </si>
  <si>
    <t>Low body mass index, medication use and social factors such as smoking but not secondary medical disorders or older age may be more prevalent in males with low bone mineral density</t>
  </si>
  <si>
    <t>64 SUPPL. 10</t>
  </si>
  <si>
    <t>S840</t>
  </si>
  <si>
    <t>steroid;body mass;bone density;college;diseases;drug therapy;health practitioner;human;male;rheumatology;smoking;social aspect;African American;alcohol consumption;bone mass;height;medical record review;osteopenia;osteoporosis;patient;population research;prevalence;race difference;respiratory tract disease;retrospective study;risk;sample size;screening;software;statistical significance;Student t test;weight</t>
  </si>
  <si>
    <t>Background/Purpose: Osteoporosis (OP) in Males is prevalent and frequently under-recognized. There are a number of known demographic factors such as age, race and BMI as well as secondary causes of low bone mineral density (BMD) i.e. osteopenia and OP. The effect of these on the prevalence of low BMD has not been well quantified. This study aims to describe the prevalence of the demographic factors and SC in men with low BMD and also assess their impact on the prevalence. Methods: Retrospective chart review of men who underwent DEXA scan performed at UMC from 2005- 2009 was done. Data regarding BMD, demographics i.e. age, race, height, weight, BMI, secondary medical causes, medications, social factors such as smoking and alcohol use was abstracted, tabulated and analyzed using STATA software. Statistical significance was assessed using T-test and Odds ratio as appropriate. Results: A total of 237 charts were analyzed. There were 158 whites (W), 79 African-Americans (AA) 66 patients had normal BMD. Low bone density was prevalent and seen in 171 patients (75.9%). Amongst these 61 had T-score  -2.5 and 70%). But, there was no difference in their prevalence except for asthma/COPD among those with low versus normal BMD. Similarly, medication use was common and was significantly more prevalent with low BMD. Steroid use (&gt;5 mg) was more frequent with low BMD but not statistically significantly. Smoking was significantly more prevalent with low BMD and alcohol use could not be quantified due to small numbers. The results suggest that low BMI, smoking and overall medication use may be better associated with low BMD and potentially better predictors than race, older age and secondary medical disorders. Limitations of this study include its retrospective design and small sample size. Nonetheless these results highlight that the effect of these underlying factors needs to be better quantified in population studies, so that males at risk of OP may be better identified and screened earlier. Conclusion: Low BMI, asthma/COPD, smoking and overall medication use were found to be more prevalent in the male patients with low BMD as compared to those with normal BMD in patients undergoing bone mass measurement. This may have significant implications on decision to consider screening for OP in males. (Table presented).</t>
  </si>
  <si>
    <t>(Vedanarayanan V.J.; Jones A.V.; Majithia V.) Annual Scientific Meeting of the American College of Rheumatology and Association of Rheumatology Health Professionals 2012 Washington, DC, United States 2012-11-09 to 2012-11-14 John Wiley and Sons Inc.; ID: 2509</t>
  </si>
  <si>
    <t>10.1002/art.37735 FULL TEXT LINK http://dx.doi.org/10.1002/art.37735</t>
  </si>
  <si>
    <t>Vederhus,J. K.;Kristensen,â”œÃ¿;Laudet,A.;Clausen,T.;Author,Addresses;Addiction Unit,Sâ”œâ••rlandet Hospital;Kristiansand,Norway;National,Development;Research;Institutes,Inc New York United States;Norwegian,Centre for;Research,Institute of Psychiatry University of Oslo Oslo Norway;Correspondence,Address;J-K Vederhus, Addiction Unit Sâ”œâ••rlandet Hospital,Kristiansand Norway;Email,john-kare vederhus sshf no</t>
  </si>
  <si>
    <t>19674454; Attitudes towards 12-step groups and referral practices in a 12-step naive treatment culture; A survey of addiction professionals in Norway</t>
  </si>
  <si>
    <t>9 Article Number: 147.</t>
  </si>
  <si>
    <t>drug dependence treatment;physician attitude;self help;article;controlled study;Norway;patient referral;questionnaire;Public Health, Social Medicine and Epidemiology (17);Drug Dependence, Alcohol Abuse and Alcoholism (40)</t>
  </si>
  <si>
    <t>Background: Addressing substance use disorders effectively requires a long-term approach. Substance abuse treatment is typically of short duration; referring patients to Twelve Step based self-help groups (TSGs) - e.g. Narcotics Anonymous, represents a promising complementary recovery resource. Clinicians' attitudes and referral practices towards the TSGs have mainly been studied in countries with high integration of the 12-step philosophy in their substance abuse services and where the TSGs are widely available, such as the US. In Norway, there are currently 294 weekly TSG meetings (6 per 100,000 inhabitants). This study describes clinicians' attitudes and referral practices to TSGs in Norway where health authorities seek to promote self-help participation, but where the treatment culture is unfamiliar with 12-step fellowships. Methods: Data collected by a self-administered questionnaire, adapted from established US and UK instruments. Information covered the attitudes, knowledge and referral practices towards TSGs among addiction treatment professionals in Norway in mid 2008. Results: The return rate was 79.7% (n = 291). Participants had moderately positive attitude scores towards TSGs, but referral to these groups among Norwegian addiction professionals was low, as was the level of knowledge about TSGs. More than six out of ten did not refer any patients to TSGs in the previous week. Local variation with more referrals to TSGs in the county with the one established 12-step treatment facility was observed. Respondents' integration of the 12-steps in their own treatment work, higher self-efficacy for making a successful referral, and greater TSG knowledge were associated with referring patients. Conclusion. Low referral rates to TSGs point to the need for education and training to raise the awareness and knowledge about it among addiction professionals unfamiliar with these 12-step fellowships. Training should focus on the usefulness of these groups for all types of treatment models regardless of therapeutic orientation: Increased knowledge is expected to lead to higher referral rates, which in turn would maximize the likelihood of positive long-term patient outcomes. â”¬âŒ 2009 Vederhus et al; licensee BioMed Central Ltd.</t>
  </si>
  <si>
    <t>(Vederhus J.-K., john-kare.vederhus@sshf.no; Kristensen â”œÃ¿., oistein.kristensen@sshf.no) (Laudet A., alexandrelaudet@gmail.com) (NDRI) (Clausen T., thomas.clausen@medisin.uio.no) (SERAF) BioMed Central Ltd., Floor 6, 236 Gray's Inn Road, London, United Kingdom.; ID: 2854</t>
  </si>
  <si>
    <t>1472-6963 (electronic)</t>
  </si>
  <si>
    <t>http://www.ncbi.nlm.nih.gov/pubmed/19674454</t>
  </si>
  <si>
    <t>10.1186/1472-6963-9-147 FULL TEXT LINK http://dx.doi.org/10.1186/1472-6963-9-147</t>
  </si>
  <si>
    <t>Attitudes towards 12-step groups and referral practices in a 12-step naive treatment culture; A survey of addiction professionals in Norway</t>
  </si>
  <si>
    <t>Velez,C. M.;Nicolaidis,C.;Korthuis,P. T.;Englander,H.;Author,Addresses;Clinical Integration,Oregon;Health;Science University, S W Sam Jackson Park Road,Portland United;States;School of,Social Work;University,Portland United States;Division of General,Internal Medicine;Health;Science University,Portland,United States;Division of,Hospital Medicine;Health;Science University,Portland,United States;Correspondence,Address;Englander, Clinical Integration Oregon Health,H.;Science,University</t>
  </si>
  <si>
    <t>27957661; Î“Ã‡Â£ItÎ“Ã‡Ã–s been an Experience, a Life Learning ExperienceÎ“Ã‡Â¥: A Qualitative Study of Hospitalized Patients with Substance Use Disorders</t>
  </si>
  <si>
    <t>alcohol;amphetamine;buprenorphine (drug therapy);buprenorphine plus naloxone (drug therapy);methadone (drug therapy);opiate;alcoholism (drug therapy, drug therapy);drug dependence (drug therapy, drug therapy);adult;alcohol consumption;amphetamine dependence (drug therapy);article;Caucasian;clinical article;controlled study;drug abuse;female;health care access;health care personnel;health care system;heroin dependence (drug therapy);high risk patient;homelessness;hospital discharge;hospital patient;hospitalization;human;interview;male;mortality;motivation;needs assessment;opiate addiction (drug therapy);personal experience;qualitative research;risk factor;social aspect;thematic analysis;university hospital;alcohol (64-17-5);amphetamine (1200-47-1, 139-10-6, 156-34-3, 2706-50-5, 300-62-9, 51-62-7,;60-13-9, 60-15-1);buprenorphine (52485-79-7, 53152-21-9);methadone (1095-90-5, 125-56-4, 23142-53-2, 297-88-1, 76-99-3);opiate (53663-61-9, 8002-76-4, 8008-60-4);Public Health, Social Medicine and Epidemiology (17);Psychiatry (32);Drug Literature Index (37);Drug Dependence, Alcohol Abuse and Alcoholism (40)</t>
  </si>
  <si>
    <t>Background: Individuals with substance use disorders (SUD) have high rates of chronic illness and readmission, yet few are engaged in addiction treatment. Hospitalization may be a reachable moment for initiating and coordinating addiction care, but little is known about motivation for change in the inpatient setting. Objective: To explore the experiences of hospitalized adults with SUD and to better understand patient and system level factors impacting readiness for change. Design: We performed a qualitative study using individual interviews. The study was nested within a larger mixed-methods needs assessment. Participants and Setting: Hospitalized adults admitted to medical or surgical units at an urban academic medical center who reported high-risk alcohol or drug use on AUDIT-C or single-item drug use screener. Approach: We conducted a thematic analysis, using an inductive approach at a semantic level. Key Results: Thirty-two patients participated. The mean age was 43â”¬Ã¡years; 75% were men, and 68% identified as white. Participants reported moderate to high-risk alcohol (39%), amphetamine (46%), and opioid (65%) use. Emergent themes highlight the influence of hospitalization at the patient, provider, and health system levels. Many patients experienced hospitalization as a wake-up call, where mortality was motivation for change and hospitalization disrupted substance use. However, many participants voiced complex narratives of social chaos, trauma, homelessness, and chronic pain. Participants valued providers who understood SUD and the importance of treatment choice. Patient experience suggests the importance of peers in the hospital setting, access to medication-assisted treatment, and coordinated care post-discharge. Conclusions: This study supports that hospitalization offers an opportunity to initiate and coordinate addiction care, and provides insights into patient, provider, and health system factors which can leverage the reachability of this moment.</t>
  </si>
  <si>
    <t>(Velez C.M.; Englander H., englandh@ohsu.edu) (Velez C.M.; Nicolaidis C.) (Nicolaidis C.; Korthuis P.T.) (Englander H., englandh@ohsu.edu) Springer New York LLC, barbara.b.bertram@gsk.com; ID: 1839</t>
  </si>
  <si>
    <t>1525-1497 (electronic) 0884-8734</t>
  </si>
  <si>
    <t>http://www.ncbi.nlm.nih.gov/pubmed/27957661</t>
  </si>
  <si>
    <t>10.1007/s11606-016-3919-4 FULL TEXT LINK http://dx.doi.org/10.1007/s11606-016-3919-4</t>
  </si>
  <si>
    <t>Î“Ã‡Â£ItÎ“Ã‡Ã–s been an Experience, a Life Learning ExperienceÎ“Ã‡Â¥: A Qualitative Study of Hospitalized Patients with Substance Use Disorders</t>
  </si>
  <si>
    <t>Vessell,C.;Tang,A. S.;Arbach,A.;Knudsen,J.;Author,Addresses;Nyu School,of Medicine;York,United States;Correspondence,Address;School of Medicine New York United States,C.Vessell, N.Y.U.</t>
  </si>
  <si>
    <t>A hospital without walls: Addressing social determinants of health through a resident physician-led advocacy curriculum</t>
  </si>
  <si>
    <t>S797</t>
  </si>
  <si>
    <t>S798</t>
  </si>
  <si>
    <t>curriculum;hospital;human;internal medicine;resident;social determinants of health;society;city;community;emergency medicine;environment;feedback system;female;gender;health;health care;health care facility;health care policy;homelessness;hospital patient;immigrant;immigration;interview;island (geological);learning;male;model;organization;patient;patient care;physician;planning;policy;population;primary medical care;prison;prisoner;profit;psychiatry;public hospital;publication;refugee;religion;reproductive rights;safety net hospital;school;sexual orientation;skill;social justice;social needs;student;substance abuse;teacher;Tertiary (period);tertiary health care;United States;university</t>
  </si>
  <si>
    <t>NEEDS AND OBJECTIVES: With an increasingly diverse patient population, physicians must understand the social determinants of health and the physician's role in advocating for health equity. In response to this need, an interdisciplinary group of resident physicians, partnered with faculty, formed the Social Justice Interest Group (SJIG) to create a curriculum that encourages trainees to: 1) Demonstrate sensitivity and responsiveness to the social determinants of health (including gender, race, economic class, religion, immigration status, and sexual orientation) that affect the diverse patient populations that residents serve 2)Work in interprofessional teams to advocate for high-quality patient care and health systems that are inclusive of patients from a broad range of socioeconomic and cultural backgrounds 3) Identify career pathways into advocacy SETTING AND PARTICIPANTS: Bellevue Hospital is the flagship tertiary safety-net hospital in New York City. It is the oldest public hospital in the United States and serves patients from a broad range of ethnic and socioeconomic backgrounds. It is also the primary academic hospital affiliated with New York University School of Medicine's residency programs. SJIG participants include internal medicine, primary care, psychiatry and emergency medicine resident physicians. DESCRIPTION: The curriculum has multiple components, including a monthly noon conference, clinical electives, community site visits, and a quarterly newsletter. Noon conference: The core curriculum is structured around a monthly noon conference series featuring health advocates from New York City. Curriculum topics include refugee and immigrant health, substance abuse, homelessness, women's health and reproductive rights, legal advocacy, and health policy and systems. Speakers are invited from city agencies including Bellevue Hospital, non-profit advocacy groups, and community based organizations. In the future, the SJIG plans to organize dinner discussions with speakers to encourage residents to network and discover career pathways into advocacy. Clinical Elective: Bellevue Hospital is the designated inpatient site for inmates requiring tertiary care in New York City's correctional system. The residents' interest in correctional health led to a collaboration between the departments of medicine and psychiatry to create a 2- week elective in which trainees work in a correctional health setting and learn about the specific health needs of incarcerated individuals. Community site visits: To emphasize the relationship between community and health, the curriculum includes visits to community sites such as the Bellevue men's shelter and Riker's Island correctional facility. Newsletter: Each quarter, the SJIG distributes a newsletter that focuses on a core curricular topic and includes relevant articles, topical think pieces, and an interview to highlight a faculty member's advocacy work in this area. EVALUATION: The impact of our curriculum will be assessed through pre- and postevent surveys of the participants. The surveys will assess resident knowledge related to learning objectives, attitudes towards physician advocacy, and perceived impact on behaviors regarding patient care and choice of career path. In order to foster a multidisciplinary environment, we will track attendance from various specialties and work with other specialties to ensure that the events are accessible to all. Finally, we will solicit feedback following each event in order to improve the curriculum. DISCUSSION / REFLECTION / LESSONS LEARNED: A curriculum addressing social determinants of health is a vital component of residency programs that seek to provide high quality care to vulnerable patients. This resident-led curricular intervention equips residents with the knowledge and skills needed to address patients' social needs and health barriers. It also offers opportunities for broader physician advocacy. To date, the program has successfully connected residents with physician-advocate role models and enhanced residents' agency in improving the care for vulnerable patient groups. The SJIG's efforts to integrate diverse disciplines, including medicine, policy, and research, have also highlighted the multidisciplinary efforts required to address community needs. Further, the SJIG's efforts to work with the city's largest correctional health facility to create a new elective may be a successful model for future community-based electives. Resident physician's discordant schedules and limited protected time for planning curricular events have been the main challenge to organizing the curriculum and engaging residents in advocacy efforts. Support from faculty mentors in scheduling and coordination across programs is essential to the success of the curriculum. Finally, the safety-net hospital's history of physician advocacy and mission to serve the city's most vulnerable patient populations provided a strong basis on which to build our curriculum and speaker series.</t>
  </si>
  <si>
    <t>(Vessell C.; Tang A.S.; Arbach A.; Knudsen J.) 39th Annual Meeting of the Society of General Internal Medicine, SGIM 2016 Hollywood, FL, United States 2016-05-11 to 2016-05-14 Springer New York LLC; ID: 1952</t>
  </si>
  <si>
    <t>Viets,V. L.;Baca,C.;Verney,S. P.;Venner,K.;Parker,T.;Wallerstein,N.;Author,Addresses;Department of,Psychology;Center on Alcoholism, University of New Mexico,Albuquerque N.;States;Department of,Family;Community Medicine,Center,for Native;American Health, University of New Mexico Albuquerque,N.M.United States;Department,of Family;Community Medicine, School of Medicine University of,New Mexico;Albuquerque,N. M. U.;Msc,University of;New Mexico,Albuquerque,N.M.United States;Correspondence,Address;M.,N.Wallerstein, M.S.C.University of New Mexico Albuquerque N.;edu,United States Email nwallerstein salud unm</t>
  </si>
  <si>
    <t>19638783; Reducing Health Disparities Through a Culturally Centered Mentorship Program for Minority Faculty: The Southwest Addictions Research Group (SARG) Experience</t>
  </si>
  <si>
    <t>ethnicity;health disparity;medical education;substance abuse;addiction;article;education program;ethnic group;human;medical research;medical school;outcome assessment;priority journal;teacher;Public Health, Social Medicine and Epidemiology (17);Psychiatry (32)</t>
  </si>
  <si>
    <t>PURPOSE: Ethnic minority faculty members are vastly underrepresented in academia. Yet, the presence of these individuals in academic institutions is crucial, particularly because their professional endeavors often target issues of health disparities. One promising way to attract and retain ethnic minority faculty is to provide them with formal mentorship. This report describes a culturally centered mentorship program, the Southwest Addictions Research Group (SARG, 2003-2007), at the University of New Mexico (UNM) that trained a cadre of minority researchers dedicated to reducing health disparities associated with substance abuse. METHOD: The SARG was based at UNM's School of Medicine's Institute for Public Health, in partnership with the UNM's Center on Alcoholism, Substance Abuse, and Addictions. The program consisted of regular research meetings, collaboration with the Community Advisory Board, monthly symposia with renowned professionals, pilot projects, and conference support. The authors collected data on mentee research productivity as outcomes and conducted separate mentee and mentor focus-group interviews to assess the strengths and weaknesses of the SARG program. RESULTS: The SARG yielded positive outcomes as evidenced by mentee increase in grant submissions, publications, and professional presentations. Focus-group qualitative data highlighted program and institutional barriers as well as successes that surfaced during the program. Based on this evaluation, a Culturally Centered Mentorship Model (CCMM) emerged. CONCLUSIONS: The CCMM can help counter institutional challenges by valuing culture, community service, and community-based participatory research to support the recruitment and advancement of ethnic minority faculty members in academia.</t>
  </si>
  <si>
    <t>(Viets V.L.; Baca C.; Verney S.P.; Venner K.) (Parker T.) (Wallerstein N., nwallerstein@salud.unm.edu) Lippincott Williams and Wilkins; ID: 2938</t>
  </si>
  <si>
    <t>http://www.ncbi.nlm.nih.gov/pubmed/19638783</t>
  </si>
  <si>
    <t>10.1097/ACM.0b013e3181ad1cb1 FULL TEXT LINK http://dx.doi.org/10.1097/ACM.0b013e3181ad1cb1</t>
  </si>
  <si>
    <t>Reducing Health Disparities Through a Culturally Centered Mentorship Program for Minority Faculty: The Southwest Addictions Research Group (SARG) Experience</t>
  </si>
  <si>
    <t>Viragh,K.;Viragh,E.;Author,Addresses;Olive View Ucla,Medical Center;Angeles,United States;University of,Medicine;Pharmacy,Targu Mures Romania;Correspondence,Address;Viragh, Olive View Ucla Medical Center Sylmar Los Angeles United,K.;States Email, judy khi,yahoo com</t>
  </si>
  <si>
    <t>Epidemiology of smoking among the employees of a medical university and strategies to decrease prevalence</t>
  </si>
  <si>
    <t>diseases;employee;epidemiology;human;prevalence;prevention;smoking;society;tobacco;university;data analysis;dentist;environment;epidemiological data;female;gender;health;health practitioner;implantable cardioverter defibrillator;lifestyle;male;money;morbidity;mortality;occupation;occupational health;personnel;pharmacy;physician;policy;public health;Romania;safety;smoke;smoking cessation;smoking regulation;social environment;statistics;teaching</t>
  </si>
  <si>
    <t>Background: The purpose of the study is to assess the prevalence of smoking among the employees of a medical university, to provide descriptive statistics of the actual situation, and to suggest university targeted policy changes in reducing smoking for the ultimate goal of a smoke-free campus. Materials and methods: A review of the medical files of all employees of the University of Medicine and Pharmacy, Targu Mures, Romania (UMF-TGM), was performed in the Occupational Health and Safety Office in July 2013. For each employee, the person's age, gender, occupation, and smoking history (pack-years, reasons to start, reasons to quit) were recorded. Epidemiological data analysis was performed using Microsoft Excel and the data was organized in subgroups based on age, gender and occupation. The significance levels were assessed. The study was performed in concordance with university research policy. Results: UMF-TGM has 677 total employees, of which 6 had no information available. Of the 671 employees with information, the age range was 26-65 years with a median of 44 years. There were 218 smokers (32.0%, 1-to-56 pack-year range) and 453 non-smokers (68.0%), of which 406 never smoked and 47 were former smokers. There were 390 women (113 smokers, 29.0%) and 281 men (105 smokers, 37.0%). There were 375 health professionals, of which 295 were physicians (72 smokers, 24.0%), 51 were dentists (16 smokers, 31.0%), and 29 pharmacologists (6 smokers, 21.0%). The teaching faculty had 413 members (health professionals and non-health professionals), of which 108 were smokers (26.0%). The non-teaching university employees (technicians, administrative assistants, maintenance personnel) included 258 persons, of which 110 (43.0%) were smokers. Reasons to start smoking included the presence of smokers in the social environment, curiosity/boredom, and coolness. Reasons to quit smoking included health, money and social environment. Conclusions: Despite of major public health efforts, smoking remains one of the most important causes of morbidity and mortality. The prevalence rate of smoking at UMF-TGM is 32.0%, which was significantly higher in men and non-teaching employees than in women and teaching faculty. These rates are unacceptably high, given that a medical institution should set example of a smoke-free environment and healthy lifestyle. Current university smoking policy conforms to the national smoking policies; however, there are no targeted programs in place to reduce smoking. Therefore, initiatives will be presented to the university to increase awareness and assist current smokers in quitting.</t>
  </si>
  <si>
    <t>(Viragh K., judy_khi@yahoo.com) (Viragh E.) 11th Annual Conference of the International Society for the Prevention of Tobacco Induced Diseases, ISPTID 2013 Athens, Greece 2013-12-09 to 2013-12-11 BioMed Central Ltd.; ID: 2221</t>
  </si>
  <si>
    <t>Vlies,B.;Nazir,A.;Walsh,C.;Agarwal,S.;Nazareth,D.;Stockton,P.;Author,Addresses;Correspondence,Address;Vlies,B.</t>
  </si>
  <si>
    <t>The impact of education to healthcare professionals (HCPs) on smoking cessation in changing patient referral patterns</t>
  </si>
  <si>
    <t>education;European;health care personnel;human;patient referral;smoking cessation;society;education program;hospitalization;nurse;patient;pharmacist;physician;questionnaire;smoking</t>
  </si>
  <si>
    <t>Background: NICE (UK) recommends that every smoker should be advised to quit and referred to a smoking cessation service (SCS) for support. In a previous survey 1], 74% of patients had a missed opportunity for referral to SCS. The current survey evaluates the impact of a HCP education programme on referral patterns. Method: HCPs including doctors, nurses and pharmacists completed an anonymous, voluntary questionnaire in January 2011. Results: 58/65 HCPs completed the survey. 45% were aware of local smoking cessation guidelines. 50% had received information on smoking cessation in the last 12 months. 24% did not wish to receive training. 95% evaluated smoking cessation to be important, but only 79% considered that a hospitalization was a useful opportunity to stop smoking. Education by SCS did not alter the reasons given for not referring patients for smoking cessation Fig 1] of HCPs, although awareness of, and referral to, SCS was higher in the group of HCPs who received education (64% vs 54%). 12% of respondents indicated that referring to SCS was not part of their role. Conclusion: Education of HCPs did not alter overall attitudes towards smoking cessation in this group, but did result in increased awareness and positively influenced referral rate to the SCS. (Figure Presented).</t>
  </si>
  <si>
    <t>(Vlies B.; Nazir A.; Walsh C.; Agarwal S.; Nazareth D.; Stockton P.) European Respiratory Society Annual Congress 2011 Amsterdam, Netherlands 2011-09-24 to 2011-09-28 European Respiratory Society; ID: 2645</t>
  </si>
  <si>
    <t>Voci,S.;Bondy,S.;Zawertailo,L.;Walker,L.;George,T. P.;Selby,P.;Author,Addresses;Addictions,Program;Nicotine Dependence Clinic, Centre for,Addiction and;Mental Health, Toronto M. S. S. Canada;Dalla Lana,School of;Health,University of Toronto Toronto M.T.M.Canada;Ontario,Tobacco Research;Toronto,M. S. S. C.;Department of,Pharmacology;Toxicology,University of;Toronto,Toronto M. S. A. Canada;Schizophrenia Program,Centre,for Addiction;Mental,Health;Toronto,M. J. H. C.;Department of,Psychiatry;University,of Toronto;Department of,Family;Community;Medicine,University of Toronto Toronto M.T.W.Canada;Correspondence,Address;Selby,Centre for Addiction,P.;Mental Health, Toronto O. N. M. S. S.;Canada Email, peter selby,camh net</t>
  </si>
  <si>
    <t>21112455; Impact of a smoke-free policy in a large psychiatric hospital on staff attitudes and patient behavior</t>
  </si>
  <si>
    <t>health personnel attitude;hospital policy;mental hospital;patient attitude;smoking ban;adult;aggression;article;Canada;controlled study;female;health care planning;health care survey;human;male;medical staff;public hospital;teaching hospital;Public Health, Social Medicine and Epidemiology (17);Health Policy, Economics and Management (36)</t>
  </si>
  <si>
    <t>Objective: The objectives of this work were to examine changes over time in degree of staff support for the implementation of a smoke-free policy in Canada's largest public mental health and addiction teaching hospital and to assess the impact of the policy on patient behavior. Method: Staff completed an anonymous survey, which assessed views toward the smoke-free policy and perceived change in patient behavior, 2-7 and 31-33 months after an indoor smoke-free policy was implemented (September 21, 2005). Objective indicators of patient behavior were also collected in the form of number of emergency code whites (aggressive behavior) and that of code reds (fire) called 1 year prior to and 2 years following policy implementation. Results: Survey response rates were 19.0% (n=481) and 18.1% (n=500) at 2-7 and 31-33 months, respectively. The proportion of staff who supported the policy increased from pre-implementation (82.6%) to post-implementation (89.1%), and a high level of support was maintained 2 years after policy enactment (90.1%). The number of emergency codes did not significantly change after policy implementation, and staff did not perceive a change in most forms of patient behavior. Conclusion: A smoke-free policy can be implemented in a large psychiatric hospital with a high degree of support from staff and no substantial negative impact on patient behavior. â”¬âŒ 2010 Elsevier Inc.</t>
  </si>
  <si>
    <t>(Voci S.; Zawertailo L.; Walker L.; Selby P., peter_selby@camh.net) (Bondy S.; Selby P., peter_selby@camh.net) (Zawertailo L.) (George T.P.) (George T.P.; Selby P., peter_selby@camh.net) (Selby P., peter_selby@camh.net) Elsevier Inc., 360 Park Avenue South, New York, United States.; ID: 2753</t>
  </si>
  <si>
    <t>http://www.ncbi.nlm.nih.gov/pubmed/21112455</t>
  </si>
  <si>
    <t>10.1016/j.genhosppsych.2010.08.005 FULL TEXT LINK http://dx.doi.org/10.1016/j.genhosppsych.2010.08.005</t>
  </si>
  <si>
    <t>Impact of a smoke-free policy in a large psychiatric hospital on staff attitudes and patient behavior</t>
  </si>
  <si>
    <t>Volpert,T.;Derezinski,A.;Author,Addresses;Davis Wright Tremaine, L L P Portland,O.R.United States;Government Relations, Michigan Association of,School Boards;Lansing,M. I. U.;Correspondence,Address;United States,T.Volpert, Davis Wright Tremaine L.L.P.Portland O.R.</t>
  </si>
  <si>
    <t>16689161; Reducing the risk of drugs in schools: Illegal use and medical management</t>
  </si>
  <si>
    <t>Journal of Law, Medicine and Ethics</t>
  </si>
  <si>
    <t>drug control;public health;public health service;school;substance abuse;adolescent;child;conference paper;government;human;legal aspect;mandatory testing;prescription;United States</t>
  </si>
  <si>
    <t>(Volpert T.) (Derezinski A.) American Society of Law, Medicine and Ethics; ID: 3141</t>
  </si>
  <si>
    <t>http://www.ncbi.nlm.nih.gov/pubmed/16689161</t>
  </si>
  <si>
    <t>Reducing the risk of drugs in schools: Illegal use and medical management</t>
  </si>
  <si>
    <t>von,dem Knesebeck;Hoehne,A.;Link,C.;Marceau,L.;Adams,A.;Roland,M.;Campbell,S.;Siegrist,J.;McKinlay,J.;Author,Addresses;Department of,Medical;Sociology;Health Economics, University Medical,Center Hamburg;Germany;New England,Research Institutes;United,States;Health Sciences Research Institute, Warwick,Medical School;United,Kingdom;Institute of Public Health, University of,Cambridge United;Kingdom;Health Sciences - Primary Care,Research Group;Manchester,United Kingdom;Department of,Medical Sociology;Duesseldorf,Germany;Correspondence,Address;von dem Knesebeck, Department of Medical Sociology,O.;Health,Economics;University Medical,Center Hamburg;Hamburg,Germany Email o knesebeck uke de</t>
  </si>
  <si>
    <t>22595655; Talking about smoking in primary care medical practice-Results of experimental studies from the US, UK and Germany</t>
  </si>
  <si>
    <t>medical education;primary medical care;professional practice;smoking;age distribution;article;doctor patient relation;experimental study;female;geographic distribution;Germany;health care financing;health promotion;human;human experiment;ischemic heart disease;male;non insulin dependent diabetes mellitus;priority journal;race difference;sex difference;social status;United Kingdom;United States;videotape;Public Health, Social Medicine and Epidemiology (17)</t>
  </si>
  <si>
    <t>Objective: To analyse effects of patient and physician characteristics on questions and advice about smoking in primary care practice and to examine country differences. Methods: We conducted a factorial experiment, employing filmed scenarios in which actors played the role of patients with symptoms of coronary heart disease (CHD) or type 2 diabetes. Versions were filmed with patient-actors of different gender, age, race, and socioeconomic status. The videotapes were presented to primary care physicians in the US</t>
  </si>
  <si>
    <t>(von dem Knesebeck O., o.knesebeck@uke.de; Hoehne A.) (Link C.; Marceau L.; McKinlay J.) (Adams A.) (Roland M.) (Campbell S.) (Siegrist J.) Elsevier Ireland Ltd, P.O. Box 85, Limerick, Ireland.; ID: 2506</t>
  </si>
  <si>
    <t>0738-3991 1873-5134 (electronic)</t>
  </si>
  <si>
    <t>http://www.ncbi.nlm.nih.gov/pubmed/22595655</t>
  </si>
  <si>
    <t>10.1016/j.pec.2012.04.011 FULL TEXT LINK http://dx.doi.org/10.1016/j.pec.2012.04.011</t>
  </si>
  <si>
    <t>Talking about smoking in primary care medical practice-Results of experimental studies from the US, UK and Germany</t>
  </si>
  <si>
    <t>Wâ”œâ•rtz,A. M. L.;Vestergaard,C. H.;Rytter,D.;Sâ”œâ••rensen,M. J.;Christensen,J.;Vestergaard,M.;Bech,B. H.;Author,Addresses;Research Unit for,General Practice;Section for,Epidemiology;Department of Public Health, Aarhus University,Aarhus Denmark;Regional,Centre for;Adolescent Psychiatry,Aarhus;Denmark;Department of Neurology, Aarhus,University Hospital;Aarhus,Denmark;Section for General Practice, Department of,Public Health;Aarhus University,Aarhus Denmark;Correspondence,Address;BH Bech, Department of Public Health Aarhus University,Bartholins All;dk,Aarhus C.Denmark Email bhb ph au</t>
  </si>
  <si>
    <t>Prenatal exposure to antipsychotic medication and use of primary health care system in childhood: A population-based cohort study in Denmark</t>
  </si>
  <si>
    <t>Clinical Epidemiology</t>
  </si>
  <si>
    <t>(MAJOR FOCUS);neuroleptic agent (drug therapy);anticonvulsive agent (drug therapy);antidepressant agent (drug therapy);benzodiazepine (drug therapy);insulin;health care utilization;prenatal exposure;primary health care;adult;article;child;cohabitation;cohort analysis;controlled study;Denmark;depression;disease severity;doctor patient relation;educational status;epilepsy;family income;female;general practitioner;gestational age;health care survey;human;major clinical study;male;maternal age;maternal behavior;mental disease (drug therapy);outcome assessment;parity;population research;sex difference;smoking habit;substance abuse;benzodiazepine (12794-10-4);insulin (9004-10-8);Obstetrics and Gynecology (10);Public Health, Social Medicine and Epidemiology (17);Drug Literature Index (37);Pediatrics and Pediatric Surgery (7)</t>
  </si>
  <si>
    <t>Background: Antipsychotic (AP) medication is increasingly used for many health conditions. Prenatal exposure to AP medication has been associated with several adverse outcomes, but the findings remain inconsistent. Purpose: We aimed to investigate prenatal exposure to AP medication and the use of primary health care system in childhood. Subjects and methods: All live-born singletons in Denmark during 1997Î“Ã‡Ã´2012 were identified in the nationwide Danish National Patient Register and followed until December 31, 2013 (n = 963,010). Information on prenatal exposure to AP medication was obtained from the Danish Register of Medicinal Product Statistics. Contacts to the general practitioner (GP) were used as a proxy for the overall health of the children. Negative binomial regression was used to calculate incidence rate ratios (IRRs) and 95% confidence intervals (CIs) for the association between prenatal exposure to AP medication and number and type of GP contacts, excluding routine well-child visits and vaccinations. The models were adjusted for sex and birth date of the child, maternal age, parity, cohabitation status, income, education, smoking status, diagnosis of substance abuse, severe psychiatric disorder, depression and epilepsy as well as the use of antiepileptic drugs, antidepressants, benzodiazepines and insulin. Results: The prenatally AP-exposed children had 7% more GP contacts than unexposed children, IRR: 1.07 (95% CI: 1.03, 1.11). The association was slightly stronger among children of mothers with no diagnosis of severe psychiatric disorder (IRR: 1.08, 95% CI: 1.04Î“Ã‡Ã´1.13) than among children of mothers with severe psychiatric disorder (IRR: 1.03, 95% CI: 0.96Î“Ã‡Ã´1.11), but the difference was not statistically significant. We found no difference between prenatally AP-exposed children and their unexposed siblings, IRR: 1.00 (95% CI: 0.97Î“Ã‡Ã´1.04) for total contacts. Conclusion: Children of women using AP medication in pregnancy had more GP contacts in childhood than children of mothers not using AP medication. However, this might be explained by confounding from maternal behavior and mental illness.</t>
  </si>
  <si>
    <t>(Wâ”œâ•rtz A.M.L.; Vestergaard C.H.; Vestergaard M.; Bech B.H., bhb@ph.au.dk) (Wâ”œâ•rtz A.M.L.; Rytter D.; Bech B.H., bhb@ph.au.dk) (Sâ”œâ••rensen M.J.) (Christensen J.) (Vestergaard M.) Dove Medical Press Ltd, PO Box 300-008, Albany, 44 Corinthian Drive, Albany,Auckland, New Zealand. angela@dovepress.com; ID: 1758</t>
  </si>
  <si>
    <t>1179-1349 (electronic)</t>
  </si>
  <si>
    <t>20180092859 PUI L620538066</t>
  </si>
  <si>
    <t>10.2147/CLEP.S145524 FULL TEXT LINK http://dx.doi.org/10.2147/CLEP.S145524</t>
  </si>
  <si>
    <t>Wâ”œâ•rtz,A. M.;Rytter,D.;Vestergaard,C. H.;Christensen,J.;Vestergaard,M.;Bech,B. H.;Author,Addresses;Research Unit for General Practice, Department of Public,Health Aarhus;University,Aarhus Denmark;Section for,Epidemiology;Department of Public Health, Aarhus University,Aarhus Denmark;Department of Neurology, Aarhus,University Hospital;Aarhus,Denmark;Section for General Medical Practice, Department,of Public;Health,Aarhus University Aarhus Denmark;Correspondence,Address;AM Wâ”œâ•rtz, Research Unit for General Practice Department of,Public Health;Aarhus University, Aarhus Denmark Email amlw ph,au dk</t>
  </si>
  <si>
    <t>28069620; Prenatal exposure to antiepileptic drugs and use of primary healthcare during childhood: A population-based cohort study in Denmark</t>
  </si>
  <si>
    <t>7:1 Article Number: e012836.</t>
  </si>
  <si>
    <t>(MAJOR FOCUS);anticonvulsive agent (drug therapy);antidepressant agent;carbamazepine (drug therapy);clonazepam (drug therapy);insulin;lamotrigine (drug therapy);levetiracetam (drug therapy);neuroleptic agent;oxcarbazepine (drug therapy);valproic acid (drug therapy);epilepsy (drug therapy, drug therapy);prenatal exposure;primary health care;adolescent;article;child;childhood;cohabitation;cohort analysis;Denmark;depression;female;general practitioner;human;income;major clinical study;male;maternal age;mental disease;monotherapy;outcome assessment;substance abuse;carbamazepine (298-46-4, 8047-84-5);clonazepam (1622-61-3);insulin (9004-10-8);lamotrigine (84057-84-1);levetiracetam (102767-28-2);oxcarbazepine (28721-07-5);valproic acid (1069-66-5, 99-66-1);Public Health, Social Medicine and Epidemiology (17);Drug Literature Index (37);Neurology and Neurosurgery (8)</t>
  </si>
  <si>
    <t>Objective: Prenatal exposure to antiepileptic drugs (AEDs) has been associated with adverse outcomes in the offspring such as congenital malformations and neuropsychiatric disorders. The objective of this study was to investigate whether prenatal exposure to AEDs is also associated with more frequent use of primary healthcare during childhood. Design: Population-based cohort study. Setting: Nationwide national registers in Denmark. Participants: All live-born singletons in Denmark during 1997-2012 identified in the Danish National Patient Register and followed until 31 December 2013 (n=963 010). Information on prenatal exposure to AEDs for maternal indication of epilepsy and other neurological conditions was obtained from the Danish Register of Medicinal Product Statistics. Main outcome measures: The primary outcome measure was the number and type of contacts with the general practitioner (GP), excluding routine well-child visits and vaccinations. The secondary outcome measure was specific services provided at the GP contact. The association between prenatal exposure to AEDs and contacts with the GP was estimated by using negative binomial regression adjusting for sex and date of birth of the child, maternal age, cohabitation status, income, education, substance abuse, depression, severe psychiatric disorders and use of antipsychotics, antidepressants and insulin. Results: Children exposed prenatally to AEDs (n=4478) had 3% (95%</t>
  </si>
  <si>
    <t>(Wâ”œâ•rtz A.M., amlw@ph.au.dk; Vestergaard C.H.; Vestergaard M.; Bech B.H.) (Wâ”œâ•rtz A.M., amlw@ph.au.dk; Rytter D.; Bech B.H.) (Christensen J.) (Vestergaard M.) BMJ Publishing Group, subscriptions@bmjgroup.com; ID: 1887</t>
  </si>
  <si>
    <t>2044-6055 (electronic)</t>
  </si>
  <si>
    <t>http://www.ncbi.nlm.nih.gov/pubmed/28069620</t>
  </si>
  <si>
    <t>10.1136/bmjopen-2016-012836 FULL TEXT LINK http://dx.doi.org/10.1136/bmjopen-2016-012836</t>
  </si>
  <si>
    <t>Prenatal exposure to antiepileptic drugs and use of primary healthcare during childhood: A population-based cohort study in Denmark</t>
  </si>
  <si>
    <t>Wackernah,R.;Lo,J.;Milhorn,L.;Author,Addresses;Regis University, School of Pharmacy,Denver United;States;Porter Adventist Hospital, Denver,United States;Correspondence,Address;Wackernah, Regis University School of Pharmacy Denver United States,R.</t>
  </si>
  <si>
    <t>Effectiveness of tobacco cessation classes in adult psychiatric patients</t>
  </si>
  <si>
    <t>mental patient;smoking cessation;adult;cardiovascular disease;case report;comorbidity;female;hospital patient;hospitalization;human;life expectancy;male;malignant neoplasm;medical staff;mortality;nicotine replacement therapy;nursing;prescription;respiratory tract disease;tobacco dependence</t>
  </si>
  <si>
    <t>Original Research. Background: Promoting tobacco cessation in the inpatient psychiatric population has traditionally not been encouraged by psychiatric professionals. Nicotine dependent people with psychiatric diagnoses comprise 7.1% of the United States population and smoke 44% of cigarettes consumed in the nation. It has been shown that people with mental illness have a more difficult time with cessation efforts and are less likely to be presented with cessation resources and guidance. It is well known that major complications of tobacco use include cardiovascular disease, cancer and respiratory disease. It is estimated that tobacco smokers with mental illnesses have a life expectancy 20 years shorter than people without tobacco dependence and mental illness. The investigators of this study believe that promoting tobacco cessation in an inpatient psychiatric setting is necessary to decrease co-morbidities and mortality related to tobacco dependence while providing support in a safe environment with constant surveillance of medical and psychiatric professionals. Objectives: The objective of this study is to determine if inpatient tobacco cessation classes influence the adult psychiatric patients' readiness to quit using tobacco. Methods: All psychiatric inpatients are screened on admission for tobacco use. Nursing and medical staff ensure nicotine replacement therapy for current tobacco users upon patient request. Participants will be recruited based on prescription nicotine replacement therapy during hospitalization. Participants will be asked to complete a five question pre-survey indicating his or her level of consideration to quit using tobacco products. There are two demographic questions on the pre-survey including amount of cigarettes smoked daily and duration of time that the patient has smoked tobacco. The participant will then attend a 45 minute tobacco cessation class. Immediately following the class the participant will complete a four question post-survey indicating his or her level of consideration to quit using tobacco products. Outcomes: The authors will report the patient's responses before and after the smoking cessation class in relation to desire to quit, methods of cessation, reason for quitting and likelihood of quitting within 30 days.</t>
  </si>
  <si>
    <t>(Wackernah R.; Lo J.) (Milhorn L.) 19th Annual Meeting of the College of Psychiatric and Neurologic Pharmacists, CPNP Colorado Springs, CO, United States 2016-04-17 to 2016-04-20 SAGE Publications Inc.; ID: 1939</t>
  </si>
  <si>
    <t>Wakefield,J. C.;Author,Addresses;Silver School,of Social;Department;of Psychiatry-School of Medicine, New York University,Washington Square;N,New York United States;Correspondence,Address;JC Wakefield, Silver School of,Social Work;Department,of;Psychiatry-School of Medicine, New York University Washington,Square N.;New York, United States Email jw,nyu edu</t>
  </si>
  <si>
    <t>Addiction and the Concept of Disorder, Part 2: Is every Mental Disorder a Brain Disorder?</t>
  </si>
  <si>
    <t>Neuroethics</t>
  </si>
  <si>
    <t>brain disease;drug dependence;mental disease;article;brain damage;brain development;brain dysfunction;brain function;human;learning;mental function;mental health;moral status;priority journal;Psychiatry (32);Drug Dependence, Alcohol Abuse and Alcoholism (40);Neurology and Neurosurgery (8)</t>
  </si>
  <si>
    <t>In this two-part analysis, I analyze Marc LewisÎ“Ã‡Ã–s arguments against the brain-disease view of substance addiction and for a developmental-learning approach that demedicalizes addiction. I focus especially on the question of whether addiction is a medical disorder. In Part 1, I argued that, even if one accepts LewisÎ“Ã‡Ã–s critique of the brain evidence presented for the brain-disease view, his arguments fail to establish that addiction is not a disorder. Relying on my harmful dysfunction analysis of disorder, I defended the view that addiction is a medical disorder and a brain disorder. In Part 2, I consider some broader philosophical issues raised by LewisÎ“Ã‡Ã–s arguments: (1) I consider a larger puzzle, at the heart of the neo-Kraepelinian program in contemporary psychiatry, that is raised by LewisÎ“Ã‡Ã–s argument that addiction is not a disorder because the brain displays no damage but only normal learning: must all mental disorders be brain disorders, or can mental disorders occur in normal brains? I argue that mental disorders can occur in normal brains. (2) I critique LewisÎ“Ã‡Ã–s response to the evolutionary Î“Ã‡Â£novel environmentÎ“Ã‡Â¥ approach to explaining why addiction is a disorder. (3) Lewis agrees with brain-disease proponents that interpreting addiction as brain disorder relieves addicts of moral censure, but I argue that moral defect and brain disease are not exclusive. (4) Finally, I consider LewisÎ“Ã‡Ã–s Î“Ã‡Â£developmental-learningÎ“Ã‡Â¥ account of addiction that encourages positive and empowering narrativizing of addiction, but I argue that the developmental-learning view is vacuous due to use of an overly broad notion of Î“Ã‡Â£development.Î“Ã‡Â¥.</t>
  </si>
  <si>
    <t>(Wakefield J.C., jw111@nyu.edu) Springer Netherlands; ID: 1830</t>
  </si>
  <si>
    <t>1874-5504 (electronic) 1874-5490</t>
  </si>
  <si>
    <t>20170008396 PUI L613943088</t>
  </si>
  <si>
    <t>10.1007/s12152-016-9301-8 FULL TEXT LINK http://dx.doi.org/10.1007/s12152-016-9301-8</t>
  </si>
  <si>
    <t>Wakeman,S. E.;Pham-Kanter,G.;Baggett,M.;Campbell,E.;Author,Addresses;Massachusetts General,Hospital;Boston,United States;University of Colorado, Anschutz Medical,Campus Denver;United,States;Mongan Institute for Health Policy, Boston,United States;Correspondence,Address;SE Wakeman, Massachusetts General Hospital Boston,United States</t>
  </si>
  <si>
    <t>Improving internal medicine resident preparedness to diagnose and treat substance use disorders; Evaluating the impact of an enhanced addiction curriculum</t>
  </si>
  <si>
    <t>S124</t>
  </si>
  <si>
    <t>alcohol;opiate;addiction;curriculum;internal medicine;society;substance abuse;chronic disease;diagnosis;diseases;drug therapy;education;exposure;general hospital;health;hospital patient;human;insurance;internist;intoxication;medical school;model;morbidity;mortality;motivational interviewing;neurobiology;patient;physician;policy;population;prevention;prospective study;psychiatrist;public health problem;screening;United States;Western Hemisphere</t>
  </si>
  <si>
    <t>BACKGROUND: Substance use disorders (SUD) are the number one public health problem facing America, accounting for more morbidity and mortality than any other preventable health condition and affecting 16 % of the population. Despite providing care for large numbers of patients with addiction, a majority of internal medicine residents feel unprepared to treat SUDs and rate the quality of SUD instruction during training as fair or poor. METHODS: This prospective study evaluated the impact of an enhanced SUD curriculum at Massachusetts General Hospital on internal medicine residents' selfperceived preparedness to diagnose and treat SUDs, their ratings of the quality and quantity of SUD education, and their basic knowledge of SUDs. The intervention was a didactic curriculum designed by a collaborative group of internists and psychiatrists with addiction expertise, incorporated into the inpatient noon conference, resident report, and ambulatory lecture series over the course of one academic year. Core topics included the neurobiology of addiction; motivational interviewing; SUD screening and diagnosis; withdrawal management; pharmacotherapy for alcohol and opioid use disorders; opioid overdose prevention and management; physician addiction; care for the hospitalized patient with addiction; and exposure to patients in recovery. RESULTS: Following the intervention, 86 % of residents reported feeling prepared to diagnose addiction and 58 % of residents reported feeling prepared to treat addiction as compared to 74 % and 37 % respectively in the baseline survey. Three quarters of residents rated the overall quality of instruction as good or excellent and 98 % of residents reported that formal residency curriculum had a positive impact on their self-perceived preparedness to provide care to addicted patients. However, 39 % of residents still reported feeling unprepared to treat addiction. Residents who reported receiving an adequate amount of SUD instruction were more likely to feel prepared to diagnose and treat addiction. Nearly one third of residents (31 %) still rated the overall amount of instruction in addictions as too little. Additionally, the majority of residents reported issues with insurance or cost of care (88 %) and access to addiction treatment (80 %) had a negative impact on their self-perceived preparedness to provide care for patients with SUDs. Nearly all residents (96 %) noted time constraints also negatively impacted preparedness. The intervention did not significantly improve residents' answers to knowledge questions. CONCLUSIONS: An enhanced didactic SUD curriculum for internal medicine residents resulted in improved self-perceived preparedness to diagnose and treat SUDs and higher quality ratings for SUD instruction. However, there was no significant change in knowledge. Limited access to addiction treatment negatively impacts resident self-perceived preparedness which highlights the need for overall policy changes related to SUD treatment in addition to educational reform. Given the complexity of SUDs, a comprehensive training model beginning in medical school, incorporating clinical experiences, and comparable to other chronic disease curricula is needed to adequately impact knowledge and clinical care.</t>
  </si>
  <si>
    <t>(Wakeman S.E.; Baggett M.; Campbell E.) (Pham-Kanter G.) (Campbell E.) 37th Annual Meeting of the Society of General Internal Medicine, SGIM 2014 San Diego, CA, United States 2014-04-23 to 2014-04-26 Springer New York; ID: 2240</t>
  </si>
  <si>
    <t>Walters,B. H.;Ossip,D. J.;Drehmer,J. E.;Nabi-Burza,E.;Whitmore,R.;Gorzkowski,J.;Winickoff,J. P.;Author,Addresses;Massachusetts General,Hospital for;Boston,United States;University of Rochester School,of Medicine;States;American Academy of,Pediatrics Julius;Richmond Center of Excellence, Elk Grove Village,United States;Correspondence,Address;JP Winickoff, Massachusetts General Hospital for Children,Boston United;States Email, jwinickoff mgh,harvard edu</t>
  </si>
  <si>
    <t>Clinician telephone training to reduce family tobacco use: Analysis of transcribed recordings</t>
  </si>
  <si>
    <t>Journal of Clinical Outcomes Management</t>
  </si>
  <si>
    <t>family;medical education;telephone;tobacco use;article;health insurance;human;medical staff;motivation;nicotine replacement therapy;pediatrician;prescription;smoking cessation;Public Health, Social Medicine and Epidemiology (17)</t>
  </si>
  <si>
    <t>Background: Family tobacco use and exposure are significant threats to the health of children and their families. However, few pediatric clinicians address family tobacco use and exposure in a routine and effective manner. The Clinical Effort Against Secondhand Smoke Exposure (CEASE) intervention was developed to tackle this gap between clinical need and clinical practice. Objective: To review the main considerations and questions that clinicians and office staff expressed during telephone training to participate in CEASE. Methods: This study was conducted in pediatric practices in 5 US states. Practices were recruited by the American Academy of Pediatrics (10 intervention, 10 control). Ten training calls were recorded and transcribed. The data was then coded inductively based on themes found in the transcripts. Results: The data revealed that clinicians and staff were concerned about prescribing, dosing, and insurance coverage of nicotine replacement therapy; motivation for and methods to help families become tobacco-free; and the impact of the intervention on practice operations. Conclusion: While the majority of clinicians and office staff were interested and enthusiastic about helping families become tobacco-free, they expressed concerns that could threaten implementation of family tobacco control strategies.</t>
  </si>
  <si>
    <t>(Walters B.H.; Drehmer J.E.; Nabi-Burza E.; Winickoff J.P., jwinickoff@mgh.harvard.edu) (Ossip D.J.) (Whitmore R.; Gorzkowski J.) Turner White Communications Inc.; ID: 1987</t>
  </si>
  <si>
    <t>1079-6533</t>
  </si>
  <si>
    <t>20160125821 PUI L608322572</t>
  </si>
  <si>
    <t>Walters,S. T.;Matson,S. A.;Baer,J. S.;Ziedonis,D. M.;Author,Addresses;University,of;Texas,School of Public Health Dallas T.X.United States;Department of Psychology, University of Washington,Seattle W.;United,States;Veterans Affairs Puget Sound,Healthcare System;United,States;Department of Psychiatry, Robert Wood,Johnson Medical;School,University of Medicine;Dentistry of,New Jersey;United,States;University,of Texas;of Public Health, V Harry Hines Blvd,Dallas T.;States;Correspondence,Address;ST Walters, University of Texas School of Public,Health V.;Hines Blvd, Dallas T X United,States Email;scott.walters@utsouthwestern.edu</t>
  </si>
  <si>
    <t>16311181; Effectiveness of workshop training for psychosocial addiction treatments: A systematic review</t>
  </si>
  <si>
    <t>(MAJOR FOCUS);alcohol (drug toxicity);illicit drug (drug toxicity);addiction (etiology, therapy);alcoholism (etiology, therapy);substance abuse;tobacco dependence (etiology, therapy);behavior therapy;cognitive therapy;data base;follow up;health care personnel;human;literature;medical personnel;medical school;medical student;Medline;nurse;physician;priority journal;PsycINFO;questionnaire;review;self report;systematic review;training;videorecording;alcohol (64-17-5);Public Health, Social Medicine and Epidemiology (17);Biophysics, Bioengineering and Medical Instrumentation (27);Drug Dependence, Alcohol Abuse and Alcoholism (40);Toxicology (52)</t>
  </si>
  <si>
    <t>Workshop training for psychosocial substance abuse treatment has been an important part of the transfer of evidence-based approaches into larger practice. Although they are widely used, training methods such as self-study reading, internet-based courses, and educational workshops have not traditionally been the focus of empirical investigations. Based on electronic and manual searches of the literature, we summarize 17 evaluations of workshop training that describe the training program and the educational outcomes. In general, training tends to improve attendees' knowledge, attitudes, and confidence in working with clients who have substance abuse problems. Some skill improvements, when measured, are usually seen immediately after training but are less often maintained over a longer time. Extended contact, through follow-up consultation, supervision, or feedback, appears to be necessary for the long-term adoption of skills. There are also a number of institutional factors that may influence the extent to which providers adopt new practices. Given the popularity of this training format, the role of workshop training needs to be a focus of future evaluative research. â”¬âŒ 2005 Elsevier Inc. All rights reserved.</t>
  </si>
  <si>
    <t>(Walters S.T., scott.walters@utsouthwestern.edu; Matson S.A.) (Baer J.S.) (Ziedonis D.M.) (Walters S.T., scott.walters@utsouthwestern.edu) Elsevier Inc., 360 Park Avenue South, New York, United States.; ID: 3133</t>
  </si>
  <si>
    <t>http://www.ncbi.nlm.nih.gov/pubmed/16311181</t>
  </si>
  <si>
    <t>10.1016/j.jsat.2005.08.006 FULL TEXT LINK http://dx.doi.org/10.1016/j.jsat.2005.08.006</t>
  </si>
  <si>
    <t>Effectiveness of workshop training for psychosocial addiction treatments: A systematic review</t>
  </si>
  <si>
    <t>Walton,M. A.;Chermack,S. T.;Resko,S.;Bingham,C. R.;Shope,J.;Zimmerman,M.;Blow,F. C.;Cunningham,R. M.;Author,Addresses;University,of Michigan;Center,Ann Arbor United States;Correspondence,Address;MA Walton, University of Michigan Addiction Research Center,Ann Arbor;United,States</t>
  </si>
  <si>
    <t>Alcohol and drug use among adolescents presenting to an urban emergency department</t>
  </si>
  <si>
    <t>63A</t>
  </si>
  <si>
    <t>(MAJOR FOCUS);alcohol;alprazolam;cannabis;illicit drug;methylphenidate;oxycodone;prescription drug;adolescent;alcoholism;drug use;emergency ward;society;African American;alcohol consumption;cigarette smoking;depression;drinking;high risk population;logistic regression analysis;male;patient;physician;pill;prescription;primary medical care;prison;risk;risk factor;school;violence;weapon</t>
  </si>
  <si>
    <t>Urban adolescents presenting to the emergency department (ED) provide an opportunity to address alcohol and drug use among at-risk adolescents who may not have a primary care physician and who may not attend school regularly. This paper describes rates and correlates of alcohol and drug use among adolescents presenting to an urban ED. Over a 2 y period, 2,271adolescent patients (ages 14 to 18) self-administered a computerized survey (90.7% participation rate; 44.4% male; 59.5% African-American). Rates of past year alcohol use were 28.5% for any drinking and 14.2% for binge drinking; 12.1% screened positive for alcohol misuse on the CRAFFT (2 or more). Rates of past year drug use were: 25.6% cigarettes, 28.5% marijuana, 7.4% other illicit drugs, and 5.9% psychoactive prescription pills on their own (e.g., Ritalin, Xanax, Oxycontin). Latent class analyses of substance use variables identified 3 risk groups: (i) low risk (74.5%), (ii) moderate risk (19.3%), and (iii) high risk (6.2%). The low risk group had a low probability of alcohol, cigarette, and marijuana use; this group had a zero probability of binge drinking, other illicit drug use, and prescription drug use. The moderate risk group had a medium probability of binge drinking, cigarette use, and marijuana use; this group had a low probability of other illicit drug use and a zero probability of prescription drug use. In addition to a medium probability of binge drinking, cigarette and marijuana use, the high risk group had a high probability of other illicit drug use and prescription drug use. Multinomial logistic regression compared the 3 risk groups identified based on demographic variables and other risk factors. Compared to the low risk group, participants in the moderate risk group were older, less likely to be African-American, and more likely to report poor grades/dropping out, depressive symptoms, being in jail, carrying a weapon, dating violence, and ever having sex. In comparison to the low risk group, the high risk group was less likely to be African-American, and more likely to report poor grades/dropping out, being injured, depressive symptoms, being in jail, carrying a weapon, peer violence, and ever having sex. ED based intervention approaches for urban adolescents need to address use of multiple substances, including binge drinking, illicit and prescription drug use, as well as other risk behaviors such as violence.</t>
  </si>
  <si>
    <t>(Walton M.A.; Chermack S.T.; Resko S.; Bingham C.R.; Shope J.; Zimmerman M.; Blow F.C.; Cunningham R.M.) 33rd Annual Scientific Meeting of the Research Society on Alcoholism, RSA San Antonio, TX, United States 2010-06-26 to 2010-06-30 Blackwell Publishing Ltd; ID: 2788</t>
  </si>
  <si>
    <t>10.1111/j.1530-0277.2010.01210.x FULL TEXT LINK http://dx.doi.org/10.1111/j.1530-0277.2010.01210.x</t>
  </si>
  <si>
    <t>Wamsley,M. A.;Batki,S. L.;Dunlop,M.;Julian,K.;McCance-Katz,E.;O'Sullivan,P. S.;Satterfield,J.;Author,Addresses;University of California, San,Francisco United;States;San Francisco Veterans Administration,Medical Center;Francisco,United States;Correspondence,Address;MA Wamsley, University of California San Francisco,United States</t>
  </si>
  <si>
    <t>A brief curricular intervention to improve screening and brief interventions for substance abuse in the primary care setting does not improve performance on a standardized patient assessment</t>
  </si>
  <si>
    <t>S100</t>
  </si>
  <si>
    <t>alcohol;opiate;human;internal medicine;patient assessment;primary medical care;screening;society;substance abuse;alcohol consumption;alcoholism;behavior change;control group;curriculum;feedback system;learning;patient;physician;prescription;residency education;risk;satisfaction;skill;Student t test;training</t>
  </si>
  <si>
    <t>BACKGROUND: The need for screening and brief intervention for substance use disorders (SUDs) in primary care settings is widely recognized. Barriers include inadequate provider skills and lack of confidence. The optimal format for curricular interventions to address barriers remains unclear. We implemented a 3 hour Screening, Brief Intervention and Referral to Treatment (SBIRT) curriculum for internal medicine (IM) residents using a Team-based Learning (TBL) format. The TBL format was selected for its adherence to educational principles and active learning. The objective of our study was to evaluate the impact of the curriculum on resident SBIRT skills, knowledge and confidence using a standardized patient (SP) assessment. METHODS: This study took place at an academic residency training program. 54 PGY2 and PGY3</t>
  </si>
  <si>
    <t>(Wamsley M.A.; Batki S.L.; Dunlop M.; Julian K.; McCance-Katz E.; O'Sullivan P.S.; Satterfield J.) (Batki S.L.) 35th Annual Meeting of the Society of General Internal Medicine, SGIM 2012 Orlando, FL, United States 2012-05-09 to 2012-05-12 Springer New York; ID: 2536</t>
  </si>
  <si>
    <t>Ward,D.;Zurek,J.;Price,S.;Murphy,M.;Parsons,A.;Fung,P.;Author,Addresses;Royal North,Shore Hospital;Tamworth Mental,Health Service;Eastern Health,Melbourne Australia;St Vincent's Hospital, Sydney Australia;Justice Health,Sydney Australia;UnitingCare,Mental Health;Correspondence,Address;Ward, Royal North Shore Hospital Sydney Australia,D.</t>
  </si>
  <si>
    <t>Overview of advanced training certificate requirements and changes with the 2012 fellowship program</t>
  </si>
  <si>
    <t>curriculum;education;human;human experiment;mental capacity;model;psychiatrist;skill;student</t>
  </si>
  <si>
    <t>Background: Advanced Training Certificates have long been a part of the RANZCP pathway to fellowship. Following the completion of Basic Training, trainees have a choice of completing Generalist Advanced Training, or Advanced Training Certificates in Addiction, Adult, Child and Adolescent, Consultation Liaison, Forensic, Old Age, or Psychotherapy. The transition to the 2012 Fellowship Program has resulted in changes to each of the Advanced Training Certificate requirements. Objectives: This symposium is an overview of the current requirements for attainment of each RANZCP Advanced Training Certificate. It will guide Trainees in their choice of Advanced Training and Fellows who may wish to complete further training. Methods: Each Advanced Trainee Certificate representative will describe ?a day in the life? of doing advanced training and outline the key assessment requirements for the 2012 curriculum. The RANZCP Education Committee and a panel of psychiatrists from the Subcommittee for Advanced Training will discuss the differences between the 2003 and 2012 curriculum and the rationale for change. Findings: The 2012 Fellowship Program Advanced Training Certificates will continue to follow an apprenticeship model with a clinical focus along with requirements ranging from formal courses to research projects. Conclusions: Advanced Training Certificates are an important component of the RANZCP training program for the development of subspecialty skills.</t>
  </si>
  <si>
    <t>(Ward D.) (Zurek J.) (Price S.) (Murphy M.) (Parsons A.) (Fung P.) Royal Australian and New Zealand College of Psychiatrists, RANZCP Annual Congress 2016 Hong Kong, Hong Kong 2016-05-08 to 2016-05-12 SAGE Publications Inc.; ID: 1959</t>
  </si>
  <si>
    <t>Waring,M. L.;Author,Addresses;Sch Soc Work, Florida State Univ,Tallahassee Fla;Correspondence,Address;Sch Soc Work, Florida State Univ,Tallahassee Fla</t>
  </si>
  <si>
    <t>235684; The impact of specialized training in alcoholism on management level professionals</t>
  </si>
  <si>
    <t>alcoholism;health education;medical education;nurse;social worker;methodology;Public Health, Social Medicine and Epidemiology (17)</t>
  </si>
  <si>
    <t>(Waring M.L.); ID: 3896</t>
  </si>
  <si>
    <t>http://www.ncbi.nlm.nih.gov/pubmed/235684</t>
  </si>
  <si>
    <t>The impact of specialized training in alcoholism on management level professionals</t>
  </si>
  <si>
    <t>Watne,A. L.;Montgomery,R. L.;Pettit,W. W.;Author,Addresses;Correspondence,Address;Watne,A. L.</t>
  </si>
  <si>
    <t>14132555; A Cigarette Information Program</t>
  </si>
  <si>
    <t>cardiovascular disease;health education;lung disease;lung tumor;medical school;smoking;student;United States;article</t>
  </si>
  <si>
    <t>(Watne A.L.; Montgomery R.L.; Pettit W.W.); ID: 3973</t>
  </si>
  <si>
    <t>http://www.ncbi.nlm.nih.gov/pubmed/14132555</t>
  </si>
  <si>
    <t>A Cigarette Information Program</t>
  </si>
  <si>
    <t>Watson,A.;Author,Addresses;University of Washington, School of Medicine,Seattle United;States;Correspondence,Address;Watson, University of Washington School of Medicine Seattle United,A.;States</t>
  </si>
  <si>
    <t>Media literacy education to prevent electronic nicotine delivery system use by adolescents</t>
  </si>
  <si>
    <t>(MAJOR FOCUS);nicotine;curriculum;adolescent;advertising;clinical article;education;health hazard;human;interview;physician;public health;safety;skill;smoking cessation;standing;student;teacher;nicotine (54-11-5)</t>
  </si>
  <si>
    <t>Purpose of Study Media Literacy Education (MLE) aims to decrease and prevent adolescent electronic nicotine delivery system (ENDS) use by increasing adolescent skills in deconstructing ENDS advertisements and media promotions. Methods Used Through key informant interviews, ENDS use by adolescents and lack of knowledge of ENDS safety were identified as growing issues is Bear Lake County. Research on adolescent tobacco prevention showed MLE was effective in helping students understand advertising's persuasive intent and decreased desires to use tobacco products. Summary of Results The project aims to decrease adolescent ENDS use by improving media literacy in 9th grade students. The public health office was provided a free MLE curriculum (http://www.aditup.net/) that can be adapted to ENDS advertising. Additionally, current research on ENDS safety, including a concise summary of safety data from the American Journal of Medicine and the current stance on ENDS from the American College of Physician was provided and presented. Finally, additional research findings regarding other tobacco cessation and prevention strategies were given. Conclusions Initial short-term safety data indicates that ENDS products have health risks, yet many people in the community hold the unsubstantiated belief that ENDS are a safe alternative to traditional tobacco use. While public health officials understand ENDS safety risks, it is difficult to relay the message when long-term health effects are currently unavailable. The next step for the public health office is to communicate the known risks of ENDS to both adolescents and the general community. In addition, partnering with teachers to implement media literacy education in 9th grade classes can help adolescents view ENDS advertisements and media with a critical eye to prevent and decrease their use.</t>
  </si>
  <si>
    <t>(Watson A.) American Federation for Medical Research Western Regional Meeting, AFMR 2016 Carmel, CA, United States 2016-01-28 to 2016-01-30 Lippincott Williams and Wilkins; ID: 2009</t>
  </si>
  <si>
    <t>1708-8267</t>
  </si>
  <si>
    <t>10.1136/jim-d-15-00013.386 FULL TEXT LINK http://dx.doi.org/10.1136/jim-d-15-00013.386</t>
  </si>
  <si>
    <t>Wechsler,H.;Rohman,M.;Author,Addresses;Med. Found. Inc, Boston M. A.;Correspondence,Address;Med. Found. Inc, Boston M. A.</t>
  </si>
  <si>
    <t>7166961; Future caregivers' views on alcoholism treatment. A poor prognosis</t>
  </si>
  <si>
    <t>alcoholism;health care;medical education;adult;central nervous system;human;normal human;United States;Psychiatry (32);Public Health, Social Medicine and Epidemiology (17)</t>
  </si>
  <si>
    <t>Few students preparing for careers in medicine, nursing, social work, or counseling are interested in devoting their professional time to the care of problem drinkers; this reluctance to become involved in the treatment of alcohol problems is related to prognostic pessimism and negative assessments of existing therapeutic resources for alcoholism treatment.</t>
  </si>
  <si>
    <t>(Wechsler H.; Rohman M.); ID: 3819</t>
  </si>
  <si>
    <t>http://www.ncbi.nlm.nih.gov/pubmed/7166961</t>
  </si>
  <si>
    <t>Future caregivers' views on alcoholism treatment. A poor prognosis</t>
  </si>
  <si>
    <t>Wei,J.;Defries,T.;Lozada,M.;Young,N.;Huen,W.;Tulsky,J.;Author,Addresses;University of California, San Francisco San,Francisco United;States;University,of California;Fairways Circle,Gallup,United States;Correspondence,Address;Wei, University of California San Francisco Fairways Circle,J.;Gallup,United States</t>
  </si>
  <si>
    <t>25092008; An Inpatient Treatment and Discharge Planning Protocol for Alcohol Dependence: Efficacy in Reducing 30-Day Readmissions and Emergency Department Visits</t>
  </si>
  <si>
    <t>addiction;alcoholism;emergency ward;hospital discharge;hospital patient;hospital readmission;human;medical education;medical student;residency education;skill;substance abuse;drug therapy;general hospital;hospital;internal medicine;patient;public hospital;statistical significance;teaching;United States;university</t>
  </si>
  <si>
    <t>BACKGROUND: Alcohol dependence results in multiple hospital readmissions, but no discharge planning protocol has been studied to improve outcomes. The inpatient setting is a frequently missed opportunity to discuss treatment of alcohol dependence and initiate medication-assisted treatment, which is effective yet rarely utilized. AIM: Our aim was to implement and evaluate a discharge planning protocol for patients admitted with alcohol dependence. SETTING: The study took place at the San Francisco General Hospital (SFGH), a university-affiliated, large urban county hospital. PARTICIPANTS: Learner participants included Internal Medicine residents at the University of California, San Francisco (UCSF) who staff the teaching service at SFGH. Patient participants included inpatients with alcohol dependence admitted to the Internal Medicine teaching service. PROGRAM DESCRIPTION: We developed and implemented a discharge planning protocol for patients admitted with alcohol dependence that included eligibility assessment and initiation of medication-assisted treatment. PROGRAM EVALUATION: Rates of medication-assisted treatment increased from 0â”¬Ã¡% to 64â”¬Ã¡% (p value &lt; 0.001). All-cause 30-day readmission rates to SFGH decreased from 23.4â”¬Ã¡% to 8.2â”¬Ã¡% (p value = 0.042). All-cause emergency department visits to SFGH within 30â”¬Ã¡days of discharge decreased from 18.8â”¬Ã¡% to 6.1â”¬Ã¡% (p value = 0.056). DISCUSSION: Through implementation of a discharge planning protocol by Internal Medicine residents for patients admitted with alcohol dependence, there was a statistically significant increase in medication-assisted treatment and a statistically significant decrease in both 30-day readmission rates and emergency department visits.</t>
  </si>
  <si>
    <t>(Wei J., jennie.wei@ihs.gov; Defries T.; Lozada M.; Young N.; Huen W.; Tulsky J.) (Wei J., jennie.wei@ihs.gov) Springer New York LLC, journals@springer-sbm.com; ID: 2127</t>
  </si>
  <si>
    <t>http://www.ncbi.nlm.nih.gov/pubmed/25092008</t>
  </si>
  <si>
    <t>10.1007/s11606-014-2968-9 FULL TEXT LINK http://dx.doi.org/10.1007/s11606-014-2968-9</t>
  </si>
  <si>
    <t>An Inpatient Treatment and Discharge Planning Protocol for Alcohol Dependence: Efficacy in Reducing 30-Day Readmissions and Emergency Department Visits</t>
  </si>
  <si>
    <t>Weiner,L.;Rosett,H. L.;Edelin,K. C.;Author,Addresses;Dep Psychiat,Boston,Univ Sch;Med,Boston M. A.;Correspondence,Address;Dep Psychiat, Boston Univ Sch Med,Boston M.</t>
  </si>
  <si>
    <t>7048976; Behavioural evaluation of fetal alcohol education for physicians</t>
  </si>
  <si>
    <t>alcoholism;education program;medical education;pregnancy;central nervous system;geographic distribution;prevention;psychological aspect;short survey;therapy;Public Health, Social Medicine and Epidemiology (17);Psychiatry (32)</t>
  </si>
  <si>
    <t>Assessment of clinical behavior has been neglected in evaluating alcohol training for professionals. Inclusion of a systematic drinking history in patient charts provides a sensitive yet simple behavioural marker. At Boston City Hospital, a Ten Question Drinking History (TQDH) was incorporated into a prenatal intake procedure and used to monitor staff behaviour. Utilization of the TQDH, measured for six time periods, ranged from 92% to 33%. Obstetrical staff was more likely to complete the TQDH when the alcoholism research staff was visible in the clinic and readily available for consultation and referral.</t>
  </si>
  <si>
    <t>(Weiner L.; Rosett H.L.; Edelin K.C.); ID: 3824</t>
  </si>
  <si>
    <t>http://www.ncbi.nlm.nih.gov/pubmed/7048976</t>
  </si>
  <si>
    <t>Behavioural evaluation of fetal alcohol education for physicians</t>
  </si>
  <si>
    <t>Weingardt,K. R.;Cucciare,M. A.;Bellotti,C.;Lai,W. P.;Author,Addresses;Center for Health Care Evaluation, V A Palo Alto Health Care,System Stanford;University School of Medicine, Palo Alto,C.A.United States;Correspondence,Address;KR Weingardt, Center for Health Care Evaluation V A Palo Alto,Health Care;System,Stanford University School of Medicine Palo Alto C.A.United;States Email, ken weingardt,va gov</t>
  </si>
  <si>
    <t>19339136; A randomized trial comparing two models of web-based training in cognitive-behavioral therapy for substance abuse counselors</t>
  </si>
  <si>
    <t>cognitive therapy;educational technology;substance abuse;training;adult;article;burnout;controlled study;female;human;intermethod comparison;male;priority journal;professional knowledge;psychotherapist;self concept;Public Health, Social Medicine and Epidemiology (17)</t>
  </si>
  <si>
    <t>This study compared training outcomes obtained by 147 substance abuse counselors who completed eight self-paced online modules on cognitive-behavioral therapy (CBT) and attended a series of four weekly group supervision sessions using Web conferencing software. Participants were randomly assigned to two conditions that systematically varied the degree to which they explicitly promoted adherence to the CBT protocol and the degree of control that they afforded participants over the sequence and relative emphasis of the training curriculum. Outcomes were assessed at baseline and immediately following training. Counselors in both conditions demonstrated similar improvements in CBT knowledge and self-efficacy. Counselors in the low-fidelity condition demonstrated greater improvement on one of three measures of job-related burnout when compared to the high-fidelity condition. The study concludes that it is feasible to implement a technology-based training intervention with a geographically diverse sample of practitioners, that two training conditions applied to these samples of real-world counselors do not produce statistically or clinically significant differences in knowledge or self-efficacy, and that further research is needed to evaluate how a flexible training model may influence clinician behavior and patient outcomes.</t>
  </si>
  <si>
    <t>(Weingardt K.R., ken.weingardt@va.gov; Cucciare M.A.; Bellotti C.; Lai W.P.) Elsevier Inc., 360 Park Avenue South, New York, United States.; ID: 2865</t>
  </si>
  <si>
    <t>http://www.ncbi.nlm.nih.gov/pubmed/19339136</t>
  </si>
  <si>
    <t>10.1016/j.jsat.2009.01.002 FULL TEXT LINK http://dx.doi.org/10.1016/j.jsat.2009.01.002</t>
  </si>
  <si>
    <t>A randomized trial comparing two models of web-based training in cognitive-behavioral therapy for substance abuse counselors</t>
  </si>
  <si>
    <t>Weitzman,M.;Author,Addresses;Department,of Pediatrics;University School of Medicine, New York City,United States;Department of,Environmental;Medicine,New York University School of Medicine New York City United;States;College of,Global Public;New York University, New York City,United States;Health,N. YU/A;Research Center, Abu Dhabi United,Arab Emirates;Correspondence,Address;Weitzman, Department of Pediatrics New York University School of,M.;Medicine,New York City United States Email Michael weitzman nyumc org</t>
  </si>
  <si>
    <t>American pediatric society's 2017 John Howland award acceptance lecture: A tale of two toxicants: Childhood exposure to lead and tobacco</t>
  </si>
  <si>
    <t>Pediatric research</t>
  </si>
  <si>
    <t>Pediatr.Res.</t>
  </si>
  <si>
    <t>(MAJOR FOCUS);lead;achievement;environmental exposure;society;tobacco;American;government;health care policy;human;lead poisoning;pediatrician;priority journal;public health;review;tobacco use;lead (7439-92-1, 13966-28-4);Public Health, Social Medicine and Epidemiology (17);Pediatrics and Pediatric Surgery (7)</t>
  </si>
  <si>
    <t>This article summarizes the presentation of the 2017 Howland Award to Michael Weitzman, MD, at the Annual Pediatric Academic Society Meetings. It summarizes the remarkable advances in understanding the effects and pathways of exposure of the two most common and pernicious of our nation's child environmental exposures, namely lead and tobacco. It also summarizes the profound effect of the translation of these findings into prudent and effective clinical and public health policies such that exposure to both has dramatically decreased over the past 40 years due to the tenacious activities of pediatricians, other child-related professionals, government agencies at all levels, and the American Academy of Pediatrics. Research and clinical activities, although essential, were not sufficient to produce these successes, but required extensive mentoring to produce a generation of academic pediatricians capable of conducting the requisite research, and extensive advocacy by pediatricians and others to overcome the formidable inertia and outright opposition to efforts to protect our children from these exposures. Moreover, the article highlights that both of these environmental exposures have roots in social and environmental injustice and neither is solved, and that there is no safe level of exposure to either of these toxicants.</t>
  </si>
  <si>
    <t>(Weitzman M., Michael.weitzman@nyumc.org) Nature Publishing Group, Houndmills, Basingstoke, Hampshire, United Kingdom.; ID: 1749</t>
  </si>
  <si>
    <t>1530-0447 (electronic) 0031-3998</t>
  </si>
  <si>
    <t>20180111651 PUI L620706330</t>
  </si>
  <si>
    <t>10.1038/pr.2017.240 FULL TEXT LINK http://dx.doi.org/10.1038/pr.2017.240</t>
  </si>
  <si>
    <t>Welcome,M. O.;Pereverzeva,E. V.;Pereverzev,V. A.;Author,Addresses;Belarusian,State Medical;Dzerjinsky,Minsk Belarus;Department,of Internal;Belarusian State,Medical University;Department,of Normal;Belarusian State,Medical University;Correspondence,Address;Welcome, Belarusian State Medical University Dzerjinsky Minsk,M.O.;com,Belarus Email menimed yahoo</t>
  </si>
  <si>
    <t>A novel psychophysiological model of the effect of alcohol use on academic performance of male medical students of belarusian state medical university</t>
  </si>
  <si>
    <t>International Journal of Collaborative Research on Internal Medicine and Public Health</t>
  </si>
  <si>
    <t>glucose (endogenous compound);academic achievement;alcohol consumption;adult;article;attention;Belarus;body weight;cognition;controlled study;diet restriction;fatigue;glucose blood level;glucose homeostasis;human;human experiment;long term memory;male;medical student;mental function;normal human;psychological model;questionnaire;screening;short term memory;university;glucose (50-99-7, 84778-64-3);Neurology and Neurosurgery (8);Public Health, Social Medicine and Epidemiology (17)</t>
  </si>
  <si>
    <t>Background: The blood glucose concentration might determine the degree of academic performance. Decrease in the glucose concentration leads to a lowering of cognitive functions.Objectives: To produce a model of students' alcohol use based on glucose homeostasis control and cognitive functions. Methods: The study involved 13 male volunteers (8 moderate alcohol users and 5 non-alcohol users) - medical students and took 6.5 hours on fasting. Selection criteria were based on a screening survey conducted among students in Minsk, Belarus. Out of 1499 students, 185 were abstainers, 1052 - moderate drinkers, 262 - problem drinkers. The experiment was divided into three phases: first phase - the students were administered AUDIT, MAST, CAGE, STAI, Academic Performance questionnaires; second phase - the students worked with text No. 1 (physiology of bone tissue and subsequently answered on the questions that followed it); third phase - with text No. 2 (physiology of autonomic nervous system and also answered subsequently on the questions that followed it). Blood glucose level was measured at 2 hours intervals, including the initial level. Tests on short-term, long-term memory and attention were used in every phase of the experiment. The probability value for significance was set at p&lt;0.05.Results: The moderate drinkers had significantly lower glucose concentration after 4- 6 hours, compared to their initial concentration, as well as to the values of the abstainers. Disturbances in cognitive functions, precisely a decrease in the effectiveness of active attention and a faster development of fatigue after 4-6 hours of mental work in alcohol users, compared to abstainers was statistically proven. The Intellectual Capacity on various tests/tasks positively correlated with the blood glucose level and in the 2-3 phases of the experiment and according to the results of the academic performances (â•§Ã¼ = +0.75; p&lt;0.01). Alcohol users had 12.5-40.0 times higher number of errors on various tests/tasks than the non-alcohol users (p&lt;0.001). The errors made on various tests/tasks increased with decrease in the blood glucose concentration (â•§Ã¼ = - 0.83; p&lt;0.01). Significant increase in the Visual Productivity Coefficient among abstainers was also observed (p&lt;0.05). Conclusion: This is the first study to show that alcohol use, even in episodic moderate doses (28ml/person with 1-2 times frequency per month) is accompanied by long-term glucose homeostasis disorders, leading to cognitive function disturbances and a decrease in the effectiveness of mental activities. These disorders in glucose homeostasis, cognitive functions were retained after 7-10 days of moderate alcohol use and might be the reason for the low academic performances among students who use alcoholic beverages.â”¬âŒ2010 Welcome MO, Pereverzeva EV, Pereverzev VA.</t>
  </si>
  <si>
    <t>(Welcome M.O., menimed1@yahoo.com) (Pereverzeva E.V., PereverzevVA@bsmu.by) (Pereverzev V.A., PereverzevVA@bsmu.by) Drunpp-Sarajevo, Bolnicka bb, Sarajevo, Bosnia and Herzegovina.; ID: 2789</t>
  </si>
  <si>
    <t>1840-4529 (electronic)</t>
  </si>
  <si>
    <t>2010338875 PUI L359011891</t>
  </si>
  <si>
    <t>Welle-Strand,G.;Author,Addresses;Department for,Psychiatry;Substance,Treatment;Norwegian Directorate,of Health;Correspondence,Address;GK Welle-Strand,Department,for Psychiatry;Substance,Treatment;Norwegian Directorate,of Health</t>
  </si>
  <si>
    <t>Training in addiction medicine around the world and ISAM's network of national contacts</t>
  </si>
  <si>
    <t>addiction;society;hope;human;patient;patient care;physician;substance use;workshop</t>
  </si>
  <si>
    <t>Background. Addiction Medicine is taught in many different ways around the world. In order to ensure competent and well trained doctors for substance use patients, the training has to be well organized and in accordance with knowledge-based principles. Methods. The board of ISAM has an educational officer. ISAM has established a network of medical doctors as national contacts in many countries. The purpose is to have a global network of doctors working in Addiction Medicine, to enable exchange of experiences, systems and ideas. ISAM has also performed a review in 2013 to get updated information about the state of Addiction Medicine training in different countries and also future plans. Results. A network of 30 national contacts from the five continents has been established, but we welcome as many as possible. The results of the review on national training in Addiction Medicine will be presented in this workshop for 26 different countries. Conclusion. ISAM has established a network of national contacts which we hope to expand further. This network and the update on the situation and plans for Addiction Medicine Training in different countries can be a valuable contribution to improving patient care in Addiction Medicine around the world.</t>
  </si>
  <si>
    <t>(Welle-Strand G.K.) 16th International Society of Addiction Medicine Annual Meeting Yokohama, Japan 2014-10-02 to 2014-10-06 Oxford University Press; ID: 2201</t>
  </si>
  <si>
    <t>10.1093/alcalc/agu052.50 FULL TEXT LINK http://dx.doi.org/10.1093/alcalc/agu052.50</t>
  </si>
  <si>
    <t>Welle-Strand,G.;Author,Addresses;Norwegian Directorate of Health, Department,for Substance;use;Psychiatry,Oslo Norway;Correspondence,Address;Welle-Strand, Norwegian Directorate of Health Department for Substance,G.;use;Psychiatry,Oslo Norway</t>
  </si>
  <si>
    <t>Update on the new full specialty in addiction medicine in Norway</t>
  </si>
  <si>
    <t>addiction;medicine;Norway;detoxification;hospital department;hospital patient;human;occupation;outpatient;physician;psychiatry;teaching hospital</t>
  </si>
  <si>
    <t>INTRODUCTION: In 2012 the Ministry of Health decided to establish a full specialty in Addiction Medicine in Norway. METHODS: A work group for the new specialty was appointed by the Directorate of Health with medical doctors representing different parts of the system, user representatives and other professions. The Norwegian Medical Association appointed a specialty board. The specialty and the interim rules were decided in November 2014 by the Ministry of Health. RESULTS: The requirement for the full specialty is five years of internship in accredited institutions and 270 hours of coursework. Three and a half year of internship must be in Addiction Medicine, including one year in a detoxification ward, one year in a department for out-patient treatment and half a year in a hospital department for in-patient treatment. One year of training should be in psychiatry. The candidate should be supervised closely in his/her clinical work by a specialist in Addiction Medicine. So far more than 35 specialists have been appointed after interim regulations and approximately 60 doctors are in training for the full specialty. The process of certifying the first teaching hospitals is well on the way. DISCUSSION: Addiction Medicine is a full medical specialty in Norway, probably as the first country in the world.</t>
  </si>
  <si>
    <t>(Welle-Strand G.) 12th Congress of European Opiate Addiction Treatment Association, EUROPAD 2016 Leiden, Netherlands 2016-05-27 to 2016-05-29 Pacini Editore S.p.A.; ID: 1938</t>
  </si>
  <si>
    <t>Welsh,C. J.;Author,Addresses;Department,of Psychiatry;of,Alcohol;Drug Abuse, Univ of Maryland School of,Medicine South;Greene Street,Baltimore,M.D.United States;Correspondence,Address;CJ Welsh, Department of Psychiatry Division,of Alcohol;Drug,Abuse;Univ of Maryland School of Medicine, South Greene Street,Baltimore M.;edu,United States Email cwelsh psych umaryland</t>
  </si>
  <si>
    <t>14989212; "Trapped": A Mnemonic for Taking a Substance Use History</t>
  </si>
  <si>
    <t>medical education;psychiatric diagnosis;substance abuse;anamnesis;clinical practice;detoxification;drug dependence (diagnosis);human;letter;nomenclature;residency education;Public Health, Social Medicine and Epidemiology (17);Psychiatry (32)</t>
  </si>
  <si>
    <t>(Welsh C.J., cwelsh@psych.umaryland.edu) American Psychiatric Publishing Inc., 1000 Wilson Blvd, Suite 1825,Arlington, United States.; ID: 3251</t>
  </si>
  <si>
    <t>http://www.ncbi.nlm.nih.gov/pubmed/14989212</t>
  </si>
  <si>
    <t>10.1176/appi.ap.27.4.289 FULL TEXT LINK http://dx.doi.org/10.1176/appi.ap.27.4.289</t>
  </si>
  <si>
    <t>Trapped: A Mnemonic for Taking a Substance Use History</t>
  </si>
  <si>
    <t>Westera,W.;Niesink,R. J. M.;Author,Addresses;Open;University of the Netherlands, P O Box,D.L.Heerlen Netherlands;Educ Technology,Expertise Centre;University,of the;Dept. of,Nat;Technical;Sciences,Open University of the Netherlands;Correspondence,Address;L.,W.Westera, Open University of the Netherlands P.O.Box D.;Heerlen,Netherlands Email Wim Westera ou nl</t>
  </si>
  <si>
    <t>Non-directive, self-instructive media in the field of behavioural toxicology and addiction</t>
  </si>
  <si>
    <t>addiction (etiology);behavioral science;toxicology;article;clinical psychology;cognition;health care personnel;learning;medical education;medical research;nutrition;Public Health, Social Medicine and Epidemiology (17);Psychiatry (32);Drug Dependence, Alcohol Abuse and Alcoholism (40);Toxicology (52)</t>
  </si>
  <si>
    <t>This paper presents the design of the self-instructive multimedia program 'Behavioural Toxicological Research'. This computer program offers professionals in health care, nutrition, clinical psychology and treatment of drug addicts a basic understanding of neurobehavioural research and addiction research. The program focuses on the cognitive aspects of scientific research, emphasising the strategic decisions, domain-specific choices and discussions on validity that go with the process of designing and interpreting scientific research. Results from both formative and summative evaluations of the program are briefly discussed.</t>
  </si>
  <si>
    <t>(Westera W., Wim.Westera@ou.nl; Niesink R.J.M., Raymond.Niesink@ou.nl) (Westera W., Wim.Westera@ou.nl) (Niesink R.J.M., Raymond.Niesink@ou.nl); ID: 3414</t>
  </si>
  <si>
    <t>1999288050 PUI L29387111</t>
  </si>
  <si>
    <t>10.1080/01421599979356 FULL TEXT LINK http://dx.doi.org/10.1080/01421599979356</t>
  </si>
  <si>
    <t>Westermeyer,J.;Author,Addresses;Correspondence,Address;Westermeyer,J.</t>
  </si>
  <si>
    <t>6493177; Fellowship in Chemical Dependency University of Minnesota Hospitals and Clinics</t>
  </si>
  <si>
    <t>addiction (rehabilitation);medical education;article;human;United States;university hospital</t>
  </si>
  <si>
    <t>(Westermeyer J.); ID: 3802</t>
  </si>
  <si>
    <t>http://www.ncbi.nlm.nih.gov/pubmed/6493177</t>
  </si>
  <si>
    <t>Fellowship in Chemical Dependency University of Minnesota Hospitals and Clinics</t>
  </si>
  <si>
    <t>Westreich,L.;Galanter,M.;Author,Addresses;Division of,Alcoholism;Drug,Abuse;Department of Psychiatry, New York University School of,Medicine First;Avenue,New York N. Y. United States;Correspondence,Address;Westreich, Division of Alcoholism Drug Abuse Department of Psychiatry,L.;New York Univ School of Medicine, First Avenue New,York N.;United,States</t>
  </si>
  <si>
    <t>Training psychiatric residents in addiction</t>
  </si>
  <si>
    <t>addiction;psychiatry;residency education;article;curriculum;substance abuse;teaching;Psychiatry (32);Drug Dependence, Alcohol Abuse and Alcoholism (40)</t>
  </si>
  <si>
    <t>Substance abuse is an undertreated and endemic condition among psychiatric patients. Despite this, psychiatrists historically have been poorly trained in the recognition and treatment of addictive disorders. Over the past 20 years, however, concerted efforts have led to improved substance abuse education for medical students, psychiatry residents, fellows in substance abuse, and teaching faculty. The urgency of recent changes in the health care system combined with trends in clinical research demands improved medical education on the outpatient management of substance abuse disorders. This paper reviews substance abuse training in psychiatric residency education, and our intended readers are faculty members responsible for teaching addiction psychiatry and residents interested in learning about the subject. In the Introduction, education of psychiatrists in addiction is briefly reviewed, and the relevant issues and societal pressures are identified. In the second section, topics and suggested educational strategies are presented for teaching psychiatric residents about the pathology and treatments associated with substance abuse. In the final section, some obstacles to addiction psychiatry training are addressed and conclusions are presented.</t>
  </si>
  <si>
    <t>(Westreich L.; Galanter M.); ID: 3489</t>
  </si>
  <si>
    <t>1997114221 PUI L27163783</t>
  </si>
  <si>
    <t>White,M. J.;Ewy,B. M.;Ockene,J.;McIntosh,S.;Zapka,J.;Powers,C. A.;Geller,A.;Author,Addresses;University,of;Massachusetts Medical School, Worcester,M.A.United States;University of Rochester,School of;Dentistry;Rochester,N. Y. U.;Medical University of,South Carolina;States;Boston University School,of Medicine;United,States;University,of Massachusetts;School,H. L.;Correspondence,Address;MJ White, University of Massachusetts Medical,School H.;Avenue North, Worcester M A United,States Email;maryjo.white@umassmed.edu</t>
  </si>
  <si>
    <t>18067439; Basic skills for working with smokers: A pilot test of an online course for medical students</t>
  </si>
  <si>
    <t>medical education;smoking;article;education program;health education;human;medical student;online system;pilot study;priority journal;Cancer (16);Public Health, Social Medicine and Epidemiology (17)</t>
  </si>
  <si>
    <t>Background. Online learning can be an excellent method for presenting clinical skills to address health behaviors. Methods. Medical students pilot tested a skills-building course consisting of an online component and a practical application. Results. A total of 38 students were registered, 25 (66%) completed the online component, and 22 (58%) completed both course components. Students reported they were adequately trained to administer the brief 5A intervention to patients who smoke and they intended to deliver the intervention routinely. Conclusions. Online skills-building courses can have a positive effect on students' knowledge and skills and can be used across health behaviors promote healthy lifestyles.</t>
  </si>
  <si>
    <t>(White M.J., maryjo.white@umassmed.edu; Ewy B.M.; Ockene J.) (Mcintosh S.) (Zapka J.) (Powers C.A.; Geller A.) (White M.J., maryjo.white@umassmed.edu) Springer Publishing Company, 11 West 42nd Street, 15th Floor, New York, United States.; ID: 3010</t>
  </si>
  <si>
    <t>http://www.ncbi.nlm.nih.gov/pubmed/18067439</t>
  </si>
  <si>
    <t>Basic skills for working with smokers: A pilot test of an online course for medical students</t>
  </si>
  <si>
    <t>Whyte,J. J.;Mason,M. V.;Author,Addresses</t>
  </si>
  <si>
    <t>Residents teach young people that smoking is not for them</t>
  </si>
  <si>
    <t>cigarette smoking;medical information;patient education;priority journal;residency education;short survey;Public Health, Social Medicine and Epidemiology (17)</t>
  </si>
  <si>
    <t>(Whyte J.J.; Mason M.V.); ID: 3455</t>
  </si>
  <si>
    <t>1998125684 PUI L28172988</t>
  </si>
  <si>
    <t>Wicks,S. J.;Author,Addresses;Torkel Knutssonsgatan,V.;Stockholm,Sweden;Correspondence,Address;SJ Wicks, Torkel Knutssonsgatan V Stockholm,Sweden Email;beacon.stockholm@telia.com</t>
  </si>
  <si>
    <t>Perspectives on staff resistance to using the ASI</t>
  </si>
  <si>
    <t>addiction;disease severity;medical staff;substance abuse;article;data analysis;experience;health care;human;interview;motivation;priority journal;questionnaire;residential care;social work;staff training;Sweden;treatment planning;Public Health, Social Medicine and Epidemiology (17);Psychiatry (32);Drug Dependence, Alcohol Abuse and Alcoholism (40)</t>
  </si>
  <si>
    <t>The paper highlights a number of reasons as to why the Addiction Severity Index (ASI), despite having been introduced in Sweden in 1996, has not been more widely accepted by addiction clinicians within social services and healthcare. The author draws on several years' experience of being responsible for the introduction, training and implementation of the ASI in a large catchment area in the southern part of Stockholm. Various problems are identified and discussed. The key role of managers in the addiction services, in planning training and facilitating implementation, is emphasized. It is suggested that, while the ASI is a "good enough" clinical instrument, its use by healthcare and social service addiction units often draws attention to the need of training in other areas - for example motivational interviewing and treatment planning. â”¬âŒ 2004 Taylor &amp; Francis.</t>
  </si>
  <si>
    <t>(Wicks S.J., beacon.stockholm@telia.com); ID: 3229</t>
  </si>
  <si>
    <t>2004320909 PUI L38979473</t>
  </si>
  <si>
    <t>10.1080/14659890410001697497 FULL TEXT LINK http://dx.doi.org/10.1080/14659890410001697497</t>
  </si>
  <si>
    <t>Wieltschnig,E.;Gsell,O.;Abelin,Th;Author,Addresses;Inst,Sozial Prav;Correspondence,Address;Inst,Sozial Prav</t>
  </si>
  <si>
    <t>997994; Smoking and medical speciality ORIGINAL (NON-ENGLISH) TITLE RAUCHEN UND ARZTLICHE SPEZIALITAT</t>
  </si>
  <si>
    <t>health education;physician;smoking;prevention;therapy;Public Health, Social Medicine and Epidemiology (17);Occupational Health and Industrial Medicine (35);Chest Diseases, Thoracic Surgery and Tuberculosis (15);Psychiatry (32);Internal Medicine (6)</t>
  </si>
  <si>
    <t>Smoking habits and smoking advisory practices of male practicing physicians in Switzerland were analyzed by medical speciality. After correction for age differences, pneumologists, ear, nose and throat specialists, pediatricians and internists smoke significantly less than the total group of physicians; on the other hand, psychiatrists have quit smoking less often than the medical profession as a whole. Giving advice on smoking to male patients follows a similar pattern. Gynaecologists give less regularly advice on smoking to pregnant women than do internists and general practitioners. The implications of these findings are discussed.</t>
  </si>
  <si>
    <t>(Wieltschnig E.; Gsell O.; Abelin Th.); ID: 3883</t>
  </si>
  <si>
    <t>http://www.ncbi.nlm.nih.gov/pubmed/997994</t>
  </si>
  <si>
    <t>Smoking and medical speciality ORIGINAL (NON-ENGLISH) TITLE RAUCHEN UND ARZTLICHE SPEZIALITAT</t>
  </si>
  <si>
    <t>Wilkinson,A. J. K.;Author,Addresses;East;North Herts,Nhs Trust;Kingdom;Correspondence,Address;A.J.K. Wilkinson,East;North Herts Nhs Trust, Stevenage,United Kingdom</t>
  </si>
  <si>
    <t>The electronic case-based discussion; a novel teaching method applied to smoking cessation</t>
  </si>
  <si>
    <t>70 SUPPL. 3</t>
  </si>
  <si>
    <t>A46</t>
  </si>
  <si>
    <t>A47</t>
  </si>
  <si>
    <t>amfebutamone;varenicline;smoking cessation;society;teaching;winter;cause of death;curriculum development;drug therapy;e-mail;electronic cigarette;feedback system;human;intoxication;learning;lozenge;medical school;nicotine replacement therapy;patient;physician;risk;skill;smoking;student;thematic analysis;tobacco dependence;workplace</t>
  </si>
  <si>
    <t>Introduction Current smoking cessation training in U. K. medical schools fails to equip junior doctors with the skills necessary to effectively combat the leading preventable cause of death and disease.1 Here I present a novel teaching method using an electronic Case-Based Discussion (eCBD) which streamlines the process of workplace-based assessments, facilitates high-quality learning and provides new insights into what students know about this critically important subject. Methods An electronic learning module was developed by the author based on existing NICE guidelines.2 Candidates described a case of a smoker they had seen and were quizzed about the case by the learning module with some instant feedback, then deeper discussion with the author via e-mail. When the candidate was ready a CBD form was completed. Finally feedback was collected using an anonymous, online feedback form. Results Thirty students and junior doctors have completed the eCBD. The eCBD had excellent feedback with 94% rating the eCBD as Î“Ã‡Â£very usefulÎ“Ã‡Â¥ and 100% feeling more confident in giving smoking cessation advice. Ninety-four percent rated the eCBD as Î“Ã‡Â£easierÎ“Ã‡Â¥ or Î“Ã‡Â£much easierÎ“Ã‡Â¥ to arrange and 53% rated it Î“Ã‡Â£much betterÎ“Ã‡Â¥ at assessing knowledge than conventional CBDs. Analysis of responses revealed deficiencies in knowledge of medications to treat tobacco dependence; 97% knew of nicotine replacement therapy (NRT) but knowledge of some formulations was poor (none mentioned oral strips, 3% microtabs, 17% lozenges); 43% knew of varenicline and 40% bupropion. Only 37% thought that combination NRT was safe and effective and thematic analysis revealed widespread concerns about the risks of overdose. 57% would consider recommending e-cigarettes for selected patients although only 7% had already recommended them to patients. Conclusions The eCBD can be an effective method of encouraging learning in important and neglected subject areas. It also illustrates an often-wasted opportunity to collect data from online learning modules that could guide curriculum development and facilitate better training in future. (Table Presented).</t>
  </si>
  <si>
    <t>(Wilkinson A.J.K.) British Thoracic Society Winter Meeting 2015 London, United Kingdom 2015-12-02 to 2015-12-04 BMJ Publishing Group; ID: 2037</t>
  </si>
  <si>
    <t>10.1136/thoraxjnl-2015-207770.85 FULL TEXT LINK http://dx.doi.org/10.1136/thoraxjnl-2015-207770.85</t>
  </si>
  <si>
    <t>Willenbring,M. L.;Specker,S. M.;Author,Addresses;Va,Medical Center;Minneapolis,M. N. U.;Correspondence,Address;ML Willenbring, V A Medical Center Veterans Drive,Minneapolis M.;States,United</t>
  </si>
  <si>
    <t>Recovering physicians in addiction psychiatry fellowships. Perspectives of fellows and faculty</t>
  </si>
  <si>
    <t>addiction;medical education;rehabilitation;article;controlled study;human;human experiment;medical student;model;normal human;psychiatry;Psychiatry (32);Drug Dependence, Alcohol Abuse and Alcoholism (40);Internal Medicine (6)</t>
  </si>
  <si>
    <t>In this report, the authors describe the characteristics and experiences of recovering fellows in a university addiction subspecialty fellowship. Four stages of adjustment were identified: 1) initial adjustment, 2) role conflict, 3) role integration, and 4) graduation. From a faculty viewpoint, it is particularly important to separate clinical from educational responsibilities in dealing with recovering fellows. Despite some continuing conflict about treatment models, most fellows achieved their training goals and were able to successfully adapt to post-training practice. However, some fellows were unable to integrate personal recovery and professional roles.</t>
  </si>
  <si>
    <t>(Willenbring M.L.; Specker S.M.); ID: 3532</t>
  </si>
  <si>
    <t>1995338707 PUI L25337589</t>
  </si>
  <si>
    <t>Williams,E. C.;Achtmeyer,C. E.;Young,J. P.;Berger,D.;Curran,G.;Bradley,K. A.;Richards,J.;Siegel,M. B.;Ludman,E. J.;Lapham,G. T.;Forehand,M.;Harris,A. H. S.;Author,Addresses;Health Services,Research;Development;Care,Center of Innovation for Veteran-Centered Value-Driven;Veterans Affairs Puget Sound Health Care System,,S.Columbian Way;S,Seattle United States;Department of Health Services, University of Washington,Seattle United;States;General,Medicine Service;Puget Sound Health Care System Î“Ã‡Ã´ Seattle Division, Seattle,United States;Center,of Excellence;Substance Abuse,Treatment;Education,Veterans Affairs Puget Sound;Health Care System Î“Ã‡Ã´ Seattle Division, Seattle,United States;Department of Medicine, University,of Washington;Seattle,United States;Central Arkansas Veterans Health,Care System;United,States;Department of Community,Health Sciences;School of Public Heath, Boston,United States;Department of,Psychiatry;Behavioral Sciences,University;of Washington,Seattle,United States;Foster School of Business, University of,Washington Seattle;United,States;Center for Innovation to Implementation, V A Palo,Alto Health;Care System, Palo Alto,United States;Correspondence,Address;EC Williams,Health,Services Research;Development,Center of;Innovation,for Veteran;Puget Sound Health Care System, S Columbian,Way S.;United States Email, emily williams,va gov</t>
  </si>
  <si>
    <t>Barriers to and Facilitators of Alcohol Use Disorder Pharmacotherapy in Primary Care: A Qualitative Study in Five VA Clinics</t>
  </si>
  <si>
    <t>(MAJOR FOCUS);drugs used in the treatment of addiction (drug therapy);alcohol;alcoholism (drug therapy, drug therapy);health belief;pharmaceutical care;physician attitude;prescription;primary medical care;risk factor;article;behavior change;commercial phenomena;doctor patient relation;drug efficacy;female;health care facility;health care personnel;human;interview;major clinical study;male;medical expert;medical specialist;personal experience;professional knowledge;qualitative research;risk reduction;semi structured interview;social marketing;social stigma;thematic analysis;theory;alcohol (64-17-5);Public Health, Social Medicine and Epidemiology (17);Psychiatry (32);Drug Literature Index (37);Drug Dependence, Alcohol Abuse and Alcoholism (40)</t>
  </si>
  <si>
    <t>Background: Three medications are FDA-approved and recommended for treating alcohol use disorders (AUD) but they are not offered to most patients with AUD. Primary care (PC) may be an optimal setting in which to offer and prescribe AUD medications, but multiple barriers are likely. Objective: This qualitative study used social marketing theory, a behavior change approach that employs business marketing techniques including Î“Ã‡Â£segmenting the market,Î“Ã‡Â¥ to describe (1) barriers and facilitators to prescribing AUD medications in PC, and (2) beliefs of PC providers after they were segmented into groups more and less willing to prescribe AUD medications. Design: Qualitative, interview-based study. Participants: Twenty-four providers from five VA PC clinics. Approach: Providers completed in-person semi-structured interviews, which were recorded, transcribed, and analyzed using social marketing theory and thematic analysis. Providers were divided into two groups based on consensus review. Key Results: Barriers included lack of knowledge and experience, beliefs that medications cannot replace specialty addiction treatment, and alcohol-related stigma. Facilitators included training, support for prescribing, and behavioral staff to support follow-up. Providers more willing to prescribe viewed prescribing for AUD as part of their role as a PC provider, framed medications as a potentially effective Î“Ã‡Â£toolÎ“Ã‡Â¥ or Î“Ã‡Â£foot in the doorÎ“Ã‡Â¥ for treating AUD, and believed that providing AUD medications in PC might catalyze change while reducing stigma and addressing other barriers to specialty treatment. Those less willing believed that medications could not effectively treat AUD, and that treating AUD was the role of specialty addiction treatment providers, not PC providers, and would require time and expertise they do not have. Conclusions: We identified barriers to and facilitators of prescribing AUD medications in PC, which, if addressed and/or capitalized on, may increase provision of AUD medications. Providers more willing to prescribe may be the optimal target of a customized implementation intervention to promote changes in prescribing.</t>
  </si>
  <si>
    <t>(Williams E.C., emily.williams3@va.gov; Achtmeyer C.E.; Young J.P.; Bradley K.A.; Richards J.; Lapham G.T.) (HSR&amp;D) (VA) (Williams E.C., emily.williams3@va.gov; Bradley K.A.; Richards J.) (Achtmeyer C.E.; Berger D.) (Achtmeyer C.E.; Bradley K.A.; Lapham G.T.) (Berger D.; Bradley K.A.) (Curran G.) (Siegel M.B.) (Ludman E.J.) (Forehand M.) (Harris A.H.S.) Springer New York LLC, barbara.b.bertram@gsk.com; ID: 1735</t>
  </si>
  <si>
    <t>20170768352 PUI L619065700</t>
  </si>
  <si>
    <t>10.1007/s11606-017-4202-z FULL TEXT LINK http://dx.doi.org/10.1007/s11606-017-4202-z</t>
  </si>
  <si>
    <t>Williams,E. C.;Achtmeyer,C. E.;Young,J. P.;Bradley,K. A.;Berger,D. B.;Forehand,M.;Siegel,M. B.;Curran,G.;Ludman,E. J.;Lapham,G. T.;Harris,A. H. S.;Author,Addresses;Va,Hsrd;Sud QuEri,Seattle,United States;Va,Hsrd;Sud QuEri, Palo Alto,United States;Group Health Research Institute, Seattle,United States;Boston University,Boston,United States;University of Arkansas for Medical Sciences, Little,Rock United;States;Correspondence,Address;E.C. Williams,Va Hsrd;Sud QuEri,Seattle,United States</t>
  </si>
  <si>
    <t>Barriers and facilitators to pharmacotherapy for alcohol use disorders in primary care: Results of a qualitative study in 4 VA primary care clinics</t>
  </si>
  <si>
    <t>39 SUPPL. 1</t>
  </si>
  <si>
    <t>79A</t>
  </si>
  <si>
    <t>alcoholism;drug therapy;hospital;primary medical care;qualitative research;society;abstinence;addiction;conceptual framework;emotion;human;monitoring;optimism;patient;personal experience;sampling;semi structured interview;side effect;social marketing</t>
  </si>
  <si>
    <t>Objective: While several medications are effective for treating alcohol use disorders (AUD), most patients with AUD are not offered them. Primary care may be an optimal setting in which to increase access to AUD medications, but multiple barriers may exist to prescribing AUD medications in primary care. This qualitative study sought to understand barriers and facilitators to use of AUD medications in primary care. Methods: Key contacts and snowball sampling were used to recruit 20 primary care providers (16 Attending MDs, 3 NPs, and 1 Resident NP) from 4 clinics of a single VA facility. Participants completed semi-structured interviews in person, which were recorded, transcribed, and qualitatively analyzed using rapid team-based methods. Analyses were guided by a social marketing theoretical framework to explicitly identify barriers related to participants' emotions, as distinct from knowledge and awareness. Results: Participants reflected a spectrum of readiness and willingness to prescribe AUD medications. Some viewed it as part of their role as a primary care provider, others were open to but not comfortable prescribing without specific support and/or training, and some stated explicitly that they were not willing to prescribe AUD medications as it was outside the scope of primary care. Those willing to prescribe described possible facilitators: training in AUD medications and side-effect profiles, and on-site staff to provide monitoring and behavioral support. Participants expressed a range of beliefs and attitudes. Some reflected a lack of optimism regarding their ability to help patients with AUD, expressing beliefs that medications were ineffective in the absence of behavioral treatments, that patients needed to be ready to change in order to be treated, that most patients with AUD were not interested in change and that abstinence was the only goal of treatment. Others reflected a desire to help patients with AUD with any option available and viewed treatment in primary care as a way of catalyzing change and addressing stigma and barriers to specialty treatment. Attitudes and beliefs were often informed by personal experiences unless interrupted by formal training, such as an addiction medicine rotation or fellowship. Conclusion: With the provision of training and staff support, it may be possible to capitalize on some providers' willingness and optimismin order to encourage provision of medications as part of care for AUD in primary care.</t>
  </si>
  <si>
    <t>(Williams E.C.; Achtmeyer C.E.; Young J.P.; Bradley K.A.; Berger D.B.; Forehand M.; Siegel M.B.; Curran G.; Ludman E.J.; Lapham G.T.; Harris A.H.S.) (Williams E.C.; Achtmeyer C.E.; Young J.P.; Bradley K.A.; Berger D.B.; Forehand M.; Siegel M.B.; Curran G.; Ludman E.J.; Lapham G.T.; Harris A.H.S.) (Williams E.C.; Achtmeyer C.E.; Young J.P.; Bradley K.A.; Berger D.B.; Forehand M.; Siegel M.B.; Curran G.; Ludman E.J.; Lapham G.T.; Harris A.H.S.) (Williams E.C.; Achtmeyer C.E.; Young J.P.; Bradley K.A.; Berger D.B.; Forehand M.; Siegel M.B.; Curran G.; Ludman E.J.; Lapham G.T.; Harris A.H.S.) (Williams E.C.; Achtmeyer C.E.; Young J.P.; Bradley K.A.; Berger D.B.; Forehand M.; Siegel M.B.; Curran G.; Ludman E.J.; Lapham G.T.; Harris A.H.S.) 38th Annual Scientific Meeting of the Research Society on Alcoholism San Antonio, TX, United States 2015-06-20 to 2015-06-24 Blackwell Publishing Ltd; ID: 2100</t>
  </si>
  <si>
    <t>10.1111/acer.12741 FULL TEXT LINK http://dx.doi.org/10.1111/acer.12741</t>
  </si>
  <si>
    <t>Williams,J. M.;Miskimen,T.;Minsky,S.;Cooperman,N. A.;Miller,M.;Budsock,P. D.;Cruz,J.;Steinberg,M. L.;Author,Addresses;Department of,Psychiatry;Rutgers-Robert Wood Johnson Medical School, Piscataway,United States;Rutgers University Behavioral Health Care, Piscataway,United States;Rutgers Cancer Institute,of New;Canada</t>
  </si>
  <si>
    <t>25220158; Increasing tobacco dependence treatment through continuing education training for behavioral health professionals</t>
  </si>
  <si>
    <t>behavioral health professional;continuing education;health practitioner;paramedical education;tobacco dependence;article;clinical practice;electronic medical record;evaluation study;evidence based practice;female;health care system;health personnel attitude;human;male;medical record review;outpatient care;psychiatrist;registered nurse;self report;smoking;smoking cessation;tobacco use;Public Health, Social Medicine and Epidemiology (17);Psychiatry (32)</t>
  </si>
  <si>
    <t>Objective: Few continuing education programs to train behavioral health professionals to deliver tobacco treatment services have been described and evaluated. Methods: The effectiveness of two-day training on changing practice was examined by review of clinical charts from 20 clinicians who attended in 2012. Ten medical records were randomly selected for review from each clinician's outpatient practice at a large behavioral health system. Five charts from smokers seen within six months before and after training were reviewed per clinician, for a total of 200. Records were electronically searched on "cigarette," "nicotine," "tobacco," "quit," "smoking," and "smoke." Results were compared via chi square tests (all p&lt;.05). Results: Almost half of the smokers indicated that they were interested in quitting, although baseline rates of tobacco use treatment were very low. Documentation of tobacco use significantly increased between baseline and posttraining, both on the problem list (35% versus 74%) and treatment plan (20% versus 60%). Also posttraining, clinicians advised significantly more outpatients to quit (9% versus 36%) or referred them to individual or group counseling. Discussion of nicotine replacement was documented more frequently in charts (10% versus 31%), and prescriptions for tobacco treatment medications increased significantly in the posttraining period, although overall prescribing remained low. The proportion of patients making quit attempts also significantly increased in the posttraining period (10% versus 39%), suggesting that providers were delivering more tobacco treatment than was reflected in charts. Conclusions: An intensive training program for behavioral health professionals increased tobacco treatment and patient quit attempts. Strategies beyond training may be needed to enhance prescribing by these practitioners.</t>
  </si>
  <si>
    <t>(Williams J.M., jill.williams@rutgers.edu; Miskimen T.; Minsky S.; Cooperman N.A.; Budsock P.D.; Cruz J.; Steinberg M.L.) (Williams J.M., jill.williams@rutgers.edu; Miskimen T.; Minsky S.; Miller M.) (Cooperman N.A.; Steinberg M.L.) American Psychiatric Association, apa@psych.org; ID: 2144</t>
  </si>
  <si>
    <t>1557-9700 (electronic) 1075-2730</t>
  </si>
  <si>
    <t>http://www.ncbi.nlm.nih.gov/pubmed/25220158</t>
  </si>
  <si>
    <t>10.1176/appi.ps.201300523 FULL TEXT LINK http://dx.doi.org/10.1176/appi.ps.201300523</t>
  </si>
  <si>
    <t>Increasing tobacco dependence treatment through continuing education training for behavioral health professionals</t>
  </si>
  <si>
    <t>Williams,K. H.;Author,Addresses;Univ. Pittsburgh,Pa;Correspondence,Address;Univ. Pittsburgh,Pa</t>
  </si>
  <si>
    <t>On graduate education: alcoholism instruction in Graduate Medical Education. IV</t>
  </si>
  <si>
    <t>95+404-05</t>
  </si>
  <si>
    <t>alcoholism;medical education;intoxication;methodology;Public Health, Social Medicine and Epidemiology (17);Psychiatry (32)</t>
  </si>
  <si>
    <t>(Williams K.H.); ID: 3892</t>
  </si>
  <si>
    <t>1976161851 PUI L6161782</t>
  </si>
  <si>
    <t>Williams,T.;Kondapaka,R.;Shmueli-Blumberg,D.;Wright,M.;Salazar,D.;Williams,K.;Collins,J.;Jelstrom,E.;Lindblad,R.;Author,Addresses;National Drug,Abuse;Treatment Clinical Trials Network for the Nida, Cctn,United Kingdom;Correspondence,Address;Williams, National Drug Abuse Treatment Clinical Trials Network for the,T.;Nida,Cctn United Kingdom</t>
  </si>
  <si>
    <t>The training documentation form-Going beyond the basics for the national institute on drug abuse (NIDA) national drug abuse treatment clinical trials network (CTN)</t>
  </si>
  <si>
    <t>Trials</t>
  </si>
  <si>
    <t>18 Supplement 1.</t>
  </si>
  <si>
    <t>documentation;drug dependence treatment;national health organization;adult;certification;clinical trial (topic);conference abstract;curriculum;expectation;human;institutional review;multicenter study (topic);physician;quality control;responsibility;scientist;staff training;standardization</t>
  </si>
  <si>
    <t>According to ICH GCP guidelines, investigators and research staff with delegated trial-related duties should be Î“Ã‡Â£Qualified by education, training, and experienceÎ“Ã‡Â¥ (ICH E6 GCP, 1996) to maintain integrity and quality in clinical trials. Training documentation is essential to demonstrate compliance of the investigator and research staff of these guidelines. Nonetheless, many researchers and sponsors, in particular in multicenter trials, find it difficult to adequately and accurately document the staff training requirements. When multicenter trials are conducted within a network, it is important to develop a sustainable level of standardization in training requirements across sites and studies that demonstrate the competency of the individuals being trained. The Training Documentation Form (TDF) is a comprehensive document that tracks all training requirements for each study staff member correlated to their study role(s). The TDF clearly defines the training expectations and requirements from various stakeholders (e.g., the Sponsor, Institutional Review Board) as they relate to the responsibilities for each study role, and consistent with the Study Training Plan (STP) and Site Delegation of Responsibilities Log. When completed, the TDF demonstrates that staff members are qualified and fully trained for their study role(s) prior to performing delegated study activities. The TDF developed for the National Drug Abuse Treatment Clinical Trials Network (NIDA-CTN) by the Clinical Coordinating Center at The Emmes Corporation is a user-friendly modifiable electronic document that includes these basic elements critical to a TDF. It captures each staff member's name, research site, and delegated study role(s). The TDF lists all training outlined in the STP and maps the minimal required training and certification prescribed per study role in a grid, based on the staff's assigned role (e.g., study physician,) and assigned tasks (e.g., prescribe medication, data entry) for the study. The TDF efficiently organizes the training curriculum in accordance with the investigative team's predetermined decisions as to the various roles and associated training requirements. It includes both general training (e.g., Human Subjects Protection) and protocolspecific training requirements (e.g., administration of investigational product, conduct of study assessments). The TDF also captures the dates that staff completed each required training task and the final date of overall training completion, the latter of which is documented on the Site Delegation of Responsibilities Log to serve as the staff's starting date on the study. When all required training has been completed, the TDF is signed by the staff member and endorsed by both the site's Principal Investigator and the research center's training representative, who collectively confirm that staff members are ready to begin study responsibilities. The NIDA CTN has implemented this standardized TDF on seven studies since 2013, aiding in setting up expectations for training documentation across studies while minimizing the difficulty of preparing and tracking the training completed by research staff. The TDF has been welcomed by the quality assurance monitors and the research management teams and has lead to more efficient study start up as well as provided a valuable tool for documentation of research staff competency in delegated study activities.</t>
  </si>
  <si>
    <t>(Williams T.; Kondapaka R.; Shmueli-Blumberg D.; Wright M.; Salazar D.; Williams K.; Collins J.; Jelstrom E.; Lindblad R.) 4th International Clinical Trials Methodology Conference , ICTMC and the 38th Annual Meeting of the Society for Clinical Trials Liverpool, United Kingdom 2017-05-07 to 2017-05-10 BioMed Central Ltd.; ID: 1874</t>
  </si>
  <si>
    <t>1745-6215</t>
  </si>
  <si>
    <t>10.1186/s13063-017-1902-y FULL TEXT LINK http://dx.doi.org/10.1186/s13063-017-1902-y</t>
  </si>
  <si>
    <t>Willner,M. A.;Cohen,V.;Lum,D.;Cassera,F.;Caruso,P.;Author,Addresses;Maimonides,Medical;Center,Tenth Ave Brooklyn United States;Correspondence,Address;MA Willner, Maimonides Medical Center Tenth Ave,Brooklyn United;States</t>
  </si>
  <si>
    <t>Pharmacist-led clinician tobacco cessation education and the effects on adherance to joint commission standards</t>
  </si>
  <si>
    <t>education;health care;human;pharmacist;tobacco;United States;chronic disease;computerized provider order entry;counseling;death;drug therapy;evidence based practice;follow up;health;model;nurse practitioner;patient;patient counseling;physician;physician assistant;prescription;public health service;respiratory therapist;screening;smoking;smoking cessation;statistical significance;statistics;Student t test;teaching hospital;tertiary health care;therapy;tobacco dependence</t>
  </si>
  <si>
    <t>Tobacco addiction is a chronic disease that requires multiple interventions and attempts for patients to quit. According to the Public Health Service's Smoking Cessation Guidelines, tobacco use causes 435,000 deaths each year in the United States and is a preventable chronic disease. 1 A recent assessment by the Department of Health evaluating the current tobacco cessation practices at our institution, a 700-bed tertiary care teaching hospital, revealed a gap in care. To close this practice gap, we plan to implement a two-phase pharmacist-led tobacco cessation program. The purpose of this study is to evaluate the effectiveness of the pharmacist-led tobacco cessation program in improving compliance with the current Joint Commission Tobacco Use Standards. The first phase will involve the education of clinicians (i.e. medical residents and attending physicians, nurse practitioners, physician assistants, clinical pharmacists, and respiratory therapists) on the topics of smoking cessation pharmacotherapy, Joint Commission tobacco performance measures, and methods of patient counseling to facilitate quitting attempts. The second phase of the implementation will involve a computerized intervention document and computerized physician order entry screens. The metrics collected regarding use of the intervention document and smoking cessation therapy prescription will be used to assess effectiveness in complying with the following Joint Commission standards: screening for tobacco use, recommendations to quit by a care provider, offering assistance with quitting using smoking cessation therapies, counseling on smoking cessation and pharmacotherapy, and arranging follow-up to assess smoking status 30-days after discharge. This project will address the first phase of the aforementioned tobacco cessation program. The primary study aim is to evaluate the effectiveness of pharmacist-led tobacco cessation education to train clinicians to effectively screen, counsel, and initiate evidence-based tobacco cessation therapy and meet the requirements of the Joint Commission Tobacco Measure Set. To achieve these outcomes, a clinical pharmacist will educate clinician groups and use a pre-test/post-test model to assess their baseline knowledge and knowledge after educational sessions. The projected number of clinicians to be educated is 140. The projected number of patients to be affected by this program through their care providers is 360. The mean pre-test score will be compared to the mean post-test score by independent sample t-test. A P-Value of &lt;0.05 will denote statistical significant difference between the groups. Descriptive statistics will be used to assess the pre-test and post-test responses.</t>
  </si>
  <si>
    <t>(Willner M.A.; Cohen V.; Lum D.; Cassera F.; Caruso P.) 52nd Annual Assembly of the New York State Council of Health-system Pharmacists, NYSCHP 2013 Verona, NY, United States 2013-05-02 to 2013-05-05 SAGE Publications Inc.; ID: 2394</t>
  </si>
  <si>
    <t>10.1177/0897190013486091 FULL TEXT LINK http://dx.doi.org/10.1177/0897190013486091</t>
  </si>
  <si>
    <t>Wilson,D.;Author,Addresses;Correspondence,Address;Wilson,D.</t>
  </si>
  <si>
    <t>15172798; Smoking in the dissecting room</t>
  </si>
  <si>
    <t>medical school;smoking;article;history;human;medical student;United Kingdom</t>
  </si>
  <si>
    <t>(Wilson D.); ID: 3231</t>
  </si>
  <si>
    <t>http://www.ncbi.nlm.nih.gov/pubmed/15172798</t>
  </si>
  <si>
    <t>Smoking in the dissecting room</t>
  </si>
  <si>
    <t>Wilson,J. F.;Rudy,D.;Author,Addresses;University of Kentucky, College,of Medicine;Lexington,United States;Correspondence,Address;JF Wilson, University of Kentucky College of Medicine,Lexington United;States</t>
  </si>
  <si>
    <t>Contract-basedlearningasanapproachtoimplementing competency based training in pre-clinical introduction to clinical medicine courses</t>
  </si>
  <si>
    <t>S587</t>
  </si>
  <si>
    <t>clinical medicine;internal medicine;society;addiction;curriculum;education;examination;feedback system;grief;human;learning;liquid;medical education;medical ethics;medical humanities;medical school;medical student;model;motivation;pain;professionalism;quality control;self evaluation;skill;student;synthesis;taxonomy;teaching;training</t>
  </si>
  <si>
    <t>SETTING AND PARTICIPANTS: The setting is year one of medical school and participants are 115 first year medical students and 30 clinical and behavioral preceptors. DESCRIPTION: ICM is an 11 credit, year long small group course for M1 students. ICM focuses on basic and applied interviewing, professionalism and medical ethics, applied topics such as grief, pain, and addiction; The course blends small group, on-line learning modules, independent study, and clinical placements. Assessment is through an extensive on-line portfolio. Students contract for a grade through a variety of contact options. The learning contracts are designed to focus on application and synthesis dimensions of Bloom's taxonomy. Each small group of eight students has a clinical and a behavioral preceptor. All course materials and assessment takes place through a single web portal. Each student has a personal WIKI page accessible to them and their preceptor, who provides blog style feedback, allowing for evaluation and dialogue. NEEDS AND OBJECTIVES: Introduction to Clinical Medicine (ICM) courses often do not easily fit into the curricular structure of the basic science years in medical school. MCQ examinations, lecture based educational formats and the increasing pressures on clinician's teaching time are barriers to effective implementation of competency based learning in Î“Ã‡Â£doctoringÎ“Ã‡Â¥ courses. Our objective was to use a contract based learning model to implement a competency based and portfolio assessed introduction to clinical medicine course for M1 students. Contract based approaches are noted for their emphasis on fluid rather than fixed curricula, challenge rather than threat motivation, active rather than passive learning, and a focus on questions rather than answers. EVALUATION: The usefulness of contract-based teaching is illustrated through discussion of six course elements: (1) Training in interviewing includes actor-patient simulations, learning labs with cycles of practice followed by coaching, formal self-assessments, and preceptor feedback. (2) Required and elective Î“Ã‡Â£continuing medical educationÎ“Ã‡Â¥ credits model life-long learning. (3) Diverse topics such as Medical humanities , Service Learning, and student-designed learning activities. (4) Clinical placements introduce students to interprofessional education and team based clinical work. (5) Small group seminars on grief, loss, pain, suffering, and addiction emphasize skill learning and formation of professional attitudes. (6) A focus on written portfolio entries with blog-style preceptor feedback and formative or coaching based skill assessments move toward higher order Bloom objectives. DISCUSSION/REFLECTION/LESSONS LEARNED: Advantages and practical problems about contract based learning are discussed and illustrated through use of student evaluations, quality assurance materials, student outcomes, and examples of portfolio entries. Issues related to faculty development of preceptors, creation and maintenance of clinical experience sites suitable for M1 students, and approaches to nurturing inter-professional involvement in the training program are discussed. The use of contract based learning to efficiently use clinician time, provide a flexible course infrastructure easily adapted to changing resources, and to promote higher order learning objectives is described.</t>
  </si>
  <si>
    <t>(Wilson J.F.; Rudy D.) 34th Annual Meeting of the Society of General Internal Medicine Phoenix, AZ, United States 2011-05-04 to 2011-05-07 Springer New York; ID: 2687</t>
  </si>
  <si>
    <t>Wilson,T.;Wood,E.;Ahamad,K.;Author,Addresses;Department of Medicine, University of,British Columbia;Canada;British,Columbia Centre;Excellence in Hiv/Aids, St Paul's,Hospital Canada;Department of,Family Practice;of,British Columbia;Department of,Family;Comminity;Medicine,Providence Health Care Univeristy of British Columbia Canada;Correspondence,Address;Ahamad, University of British Columbia Urban Health Research Initiative,K.</t>
  </si>
  <si>
    <t>Inpatient management of a patient enrolled in an injectable opioid study: A case report</t>
  </si>
  <si>
    <t>(MAJOR FOCUS);opiate;cannabis;diamorphine (drug therapy, oral drug administration);fentanyl (drug therapy);hydromorphone (drug therapy, oral drug administration);methadone (drug therapy, oral drug administration);methamphetamine;morphine (drug therapy);health care management;hospital patient;adult;agitation;alcohol consumption;analgesia;article;body weight loss;case report;clinical article;computer assisted tomography;decompression surgery;diarrhea;disease course;drug dose titration;drug withdrawal;emergency surgery;general practitioner;hospital admission;hospitalization;human;ileostomy;ileostomy bag;intestine obstruction (diagnosis, surgery);lower abdominal pain;lymphadenopathy (diagnosis);maintenance therapy;male;middle aged;night sweat;opiate addiction (drug therapy);pain (drug therapy);rectum cancer (diagnosis);rectum hemorrhage;rectum tumor (diagnosis);safety procedure;substance use;surgical patient;tobacco use;cannabis (8001-45-4, 8063-14-7);diamorphine (1502-95-0, 561-27-3);fentanyl (437-38-7);hydromorphone (466-99-9, 71-68-1);methadone (1095-90-5, 125-56-4, 23142-53-2, 297-88-1, 76-99-3);methamphetamine (28297-73-6, 51-57-0, 537-46-2, 7632-10-2);morphine (52-26-6, 57-27-2);opiate (53663-61-9, 8002-76-4, 8008-60-4);Cancer (16);Drug Literature Index (37);Drug Dependence, Alcohol Abuse and Alcoholism (40);Gastroenterology (48);Surgery (9)</t>
  </si>
  <si>
    <t>Objectives: Methadone and buprenorphine-naloxone are the standard of care for the treatment of opioid addiction. Due to the inability of these medications to successfully treat some patients, investigators have explored other medications in treating opioid use. In Vancouver, the Study to Assess Long Term Maintenance-Opioid Effectiveness (SALOME) compared diacetylmorphine to injectable hydromorphone for the treatment of opioid use disorder refractory to methadone maintenance therapy. This case report describes the maintenance of opioid agonist therapy (OAT) in a hospitalized surgical patient enrolled in the SALOME trial where his clinicians were blinded to his study treatment. Methods and Results: The patient was admitted with a large bowel obstruction and underwent emergency decompressive ileostomy surgery. His OAT regimen was unknown to the addiction physician. Opioid addiction and pain was treated by ascertaining the patient's diacetylmorphine equivalent dose from the SALOME study team. This was converted to an equivalent dose of methadone with oral hydromorphone for breakthrough symptoms with several safety parameters put in place. The patient recovered well and resumed blinded participation in SALOME. Conclusions: Inpatient management of patients on opioid agonist treatments is complicated by acute medical comorbidities and other factors. This case was further complicated by the patients blinded status in a clincal trial and illustrates the safety considerations when continuing and titrating opioid agonist treatments in acutely unwell medical hospitalized patients. To best treat these patients, healthcare institutions must educate health care providers, create multidisciplinary teams with addiction expertise, and establish evidence-based policy.</t>
  </si>
  <si>
    <t>(Wilson T.; Wood E.) (Wood E.; Ahamad K., kahamad@cfenet.ubc.ca) (Ahamad K., kahamad@cfenet.ubc.ca) Canadian Society of Addiction Medicine, admin@csam.org; ID: 1997</t>
  </si>
  <si>
    <t>20170703734 PUI L618653471</t>
  </si>
  <si>
    <t>Windhorn,A. M.;Author,Addresses;School of Medicine, University of,Washington Seattle;United,States;Correspondence,Address;AM Windhorn, School of Medicine University of Washington,Seattle United;States</t>
  </si>
  <si>
    <t>The education of women on smoking cessation and limiting secondhand smoke exposure in Weiser, Idaho</t>
  </si>
  <si>
    <t>education;exposure;female;human;medical research;passive smoking;smoking cessation;United States;adverse drug reaction;behavioral risk factor surveillance system;caregiver;child;cigarette smoking;city;community;health;medical staff;patient;population;pregnant woman;smoke;smoking</t>
  </si>
  <si>
    <t>Purpose of Study: Cigarette smoking and secondhand smoke exposure is quite prevalent in the city of Weiser and its neighboring communities. Every year over 1,403 Idahoans die from smoking-related diseases according to the Behavioral Risk Factor Surveillance System. Currently about 12-20% of pregnant women are smokers and approximately 27% of children under the age of 6 live with a caregiver who smokes. In the past, efforts have been made to promote smoking cessation for the general population, but no local programming has been done to educate pregnant women. The purpose of this project was to educate pregnant women about the adverse effects of smoking and secondhand smoke exposure and in addition provide them with resources for cessation or to limit their exposure. Methods Used: Patients of the target group encountered in a clinical setting were polled on their thoughts on smoking cessation as a means of evaluating the need in the community. In addition, clinicians, medical staff, smoking cessation instructors and WIC educators were interviewed to identify resources and challenges in programming for pregnant women. A literature review was done for validation of chosen methods and creation of educational materials. A brief informational session on smoking cessation and secondhand smoke exposure was conducted as part of a breastfeeding class series at the Southwest Health District. In addition, an educational brochure was created and distributed at the informational session. Summary of Results: About eight to ten pregnant women attended the first class which is the average class size for this venue. The intent was to continue to incorporate this informational session in future class series and to disseminate brochures throughout the Southwest region. Conclusions: To best educate pregnant women on the adverse effects of smoking and secondhand smoke exposure, programming must be focused on resources and information specific to pregnant women. This approach also integrated into other already existing programs offered to pregnant women, could be largely successful in addressing this health issue in the community.</t>
  </si>
  <si>
    <t>(Windhorn A.M.) American Federation for Medical Research Western Regional Meeting, AFMR 2011 Carmel, CA, United States 2011-06-26 to 2011-06-29 Lippincott Williams and Wilkins; ID: 2731</t>
  </si>
  <si>
    <t>10.231/JIM.0b013e31820501bd FULL TEXT LINK http://dx.doi.org/10.231/JIM.0b013e31820501bd</t>
  </si>
  <si>
    <t>Winterstein,A. G.;Gerhard,T.;Kubilis,P.;Shuster,J.;Author,Addresses;Pharmaceutical,Outcomes;Policy;University of Florida, Gainesville,United States;Epidemiology,University of Florida Gainesville United;States;Institute for Health, Health Care Policy and,Aging Research;Rutgers University, New Brunswick,United States;Ernest Mario School of Pharmacy, Rutgers,University New;Brunswick,United States;Biostatistics,University of Florida Gainesville United;States;Correspondence,Address;A.G. Winterstein,Pharmaceutical Outcomes;Policy,University of Florida;Gainesville,United States</t>
  </si>
  <si>
    <t>Stimulant effectiveness on driving citations and crashes of children with ADHD</t>
  </si>
  <si>
    <t>(MAJOR FOCUS);central stimulant agent;alpha adrenergic receptor stimulating agent;amphetamine;anticonvulsive agent;antidepressant agent;anxiolytic agent;atomoxetine;methylphenidate;neuroleptic agent;psychotropic agent;attention deficit disorder;child;human;pharmacoepidemiology;risk management;adolescent;demography;diagnosis;driver licence;drug therapy;exposure;follow up;hazard ratio;high risk behavior;licensing;logistic regression analysis;medicaid;motor vehicle;outpatient;population size;propensity score;proportional hazards model;risk;simulator;substance abuse;traffic accident;United States;young adult</t>
  </si>
  <si>
    <t>Background: Observational and driving simulator studies suggest that ADHD causes higher risk-taking behavior, decreased attention and greater risk for car accidents, but little is known about the effectiveness of respective pharmacological treatment. Objectives: To evaluate the effectiveness of central nervous stimulants on driving outcomes in adolescents and young adults with ADHD. Methods: We established the study cohort by linkage of Florida Medicaid fee-for-service billing data and Division of Motor Vehicle (DMV) records to obtain information on driver licensure, citations and crashes. Eligible subjects entered the cohort after their 15th birthday, an in- or outpatient diagnosis for ADHD, and issuance of a driver's license (DL). Follow-up ended at end of eligibility, &gt;12 months without ADHD diagnosis, DL expiration/ suspension, age 21 or the study endpoint. Two endpoints were ascertained from DMV records: crashes, and citations for active driving violations. We defined exposure based on days' supply plus 25% including methylphenidate, mixed amphetamine salts and atomoxetine. We used logistic regression to estimate propensity scores (PS) based on socio-demographic characteristics, substance abuse (DUI or ICD9 code), DL learner's permit status, 2000 population size in county of residence, and countywide total annual daily vehicular miles traveled per total miles of paved road. Cox proportional hazards regression was used to estimate stimulant effects while adjusting for PS, valid DL status &gt;1 year, and timedependent exposure to antidepressants, antipsychotics, anticonvulsants, anxiolytics and alpha-agonists. Results: 2161 subjects had a total of 71 crashes and 338 citations. Hazard ratios for stimulants were HR= 1.01 (95%</t>
  </si>
  <si>
    <t>(Winterstein A.G.; Kubilis P.) (Winterstein A.G.) (Gerhard T.) (Shuster J.) 30th International Conference on Pharmacoepidemiology and Therapeutic Risk Management Taipei, Taiwan 2014-10-24 to 2014-10-27 John Wiley and Sons Ltd; ID: 2195</t>
  </si>
  <si>
    <t>Witkop,M.;Lambing,A.;Author,Addresses;Northern Regional Bleeding Disorders, Traverse,City United;States;Henry Ford,Bleeding;Thrombosis,Treatment Center;United,States;Correspondence,Address;Witkop, Northern Regional Bleeding Disorders Traverse City United,M.;States</t>
  </si>
  <si>
    <t>Pain management knowledge and attitudes of hemophilia providers: Physicians &amp; nurses</t>
  </si>
  <si>
    <t>E96</t>
  </si>
  <si>
    <t>adjuvant;opiate;analgesia;hemophilia;hemostasis;human;North America;nurse;physician;thrombosis;addiction;adult;bleeding disorder;chronic pain;drug therapy;education;female;gold standard;Haplorhini;health care;lifespan;Likert scale;metabolism;nurse practitioner;pain;pain assessment;patient;pediatrics;pharmacology;self report;substance abuse;United States</t>
  </si>
  <si>
    <t>OBJECTIVES: The National Pain Survey identified that persons with hemophilia (PWH) reported daily pain ratings of 5/10 as well as using the same words to describe acute and chronic pain. Additionally, 59% of hemophilia pts who completed the National Pain Survey reported receiving pain management from their HTC providers. The purpose of this survey was to assess the knowledge and attitudes of hemophilia providers regarding pain assessment and treatment. METHODS: A validated Survey Monkey (TM) survey with 38 true/false and likert scale questions specific to pain mangement was emailed to every physician and nurse provider in the United States listed on the CDC bleeding disorders website affiliated with a hemophilia treatment center. SUMMARY: A total of 529 surveys were emailed to HTC providers with 152 completed (response rate 29%); 57 physicians, 22 nurse practitioners, 68 RNs, 5 other providers. Most respondents were female (78%) and RNs (45%), followed by MDs (38%), NPs (15%) with an average age of 49 years age. While most participants had greater than 20 years in health care (57%), the majority of subjects had 0-5 years of hemophilia experience (28%); followed closely by greater than 20 years of hemophilia experience (24%). Participants worked in a variety of settings; life span centers (45%), followed by pediatrics only (32%), then adult only (23%). At least 34% of the participants worked in HTCs with more than 300 hemophilia patients. The greatest response rate was from Region V-East (19%) and lowest from Region II (3%). Only 19% of respondents had taken advanced training in pain management. RESULTS: Questions were stratified into 4 separate categories; assessment, treatment, pharmacology and substance abuse. In approximately 1/3 of the total questions only 75% of the participants answered correctly. Despite 100% of the respondents recognizing patient self-report of pain as the gold standard, signficant attitudinal differences were noted in the assessment and treatment of pain. Knowledge deficits across the spectrum of providers were noted, specifcially regarding dose conversions, opioid metabolism, and adjuvant medications. CONCLUSIONS: HTC providers demonstrate knowledge regarding pain management. PWH consider their HTC providers experts in hemophilia care and the conditiona related to hemophilia. Since the majority of hemophilia related pain mangement is provided by HTCs, additional education specific to pharmacology, dependence, and addiction concerns may be beneficial.</t>
  </si>
  <si>
    <t>(Witkop M.) (Lambing A.) 2014 Thrombosis and Hemostasis Summit of North America, THSNA 2014 Chicago, IL, United States 2014-04-10 to 2014-04-12 Wiley-Liss Inc.; ID: 2225</t>
  </si>
  <si>
    <t>10.1002/ajh.23759 FULL TEXT LINK http://dx.doi.org/10.1002/ajh.23759</t>
  </si>
  <si>
    <t>Wittchen,H. U.;Rehm,J. T.;Soyka,M.;Langer,K.;Trâ”œÃ±der,A.;Trautmann,S.;Bâ”œâ•hringer,G.;Author,Addresses;Institut fâ”œâ•r Klinische,Psychologie;und Psychotherapie, Technische Universitâ”œÃ±t Dresden,Chemnitzer Str;D-01187 Dresden,Germany;Institut fâ”œâ•r Therapieforschung, Mâ”œâ•nchen Germany;Centre for,Addiction;Mental Health, Toronto O. N. Canada;Psychiatrische Klinik, Universitâ”œÃ±t Mâ”œâ•nchen Germany;Privatklinik Meiringen,Meiringen Switzerland;Correspondence,Address;H-U Wittchen, Institut fâ”œâ•r Klinische Psychologie,und Psychotherapie;Technische Universitâ”œÃ±t Dresden, Chemnitzer,Str D.;Germany Email,wittchen,psychologie tu</t>
  </si>
  <si>
    <t>Aims and methods of the PREMOS study (Predictors, Moderators and Outcome of Substitution treatments) ORIGINAL (NON-ENGLISH) TITLE Ziele und methodik der PREMOS-studie (Predictors, Moderators and Outcome of Substitution treatments)</t>
  </si>
  <si>
    <t>clinical assessment tool;predictor, moderator and outcome of substitution treatment;study design;doctor patient relation;female;follow up;human;interview;longitudinal study;major clinical study;mental disease;naturalistic inquiry;prevalence;prospective study;questionnaire;review;social aspect;urinalysis;Public Health, Social Medicine and Epidemiology (17);Drug Dependence, Alcohol Abuse and Alcoholism (40)</t>
  </si>
  <si>
    <t>PREMOS is a prospective-longitudinal study program with up to 4 waves of assessment over a time period of up to 7 years. PREMOS is also a clinical-epidemiological study due to its reliance on a nationwide representative random sampling of institutions and patients.The paper describes aims, methods, response rates, and statistical issues. The study is based on a prospective-longitudinal naturalistic design with four waves of assessment in a prevalence sample of n = 2.284 eligible substitution patients (t(1), baseline), recruited from a nationwide representative sample of 223 substitution physicians having been followed up over 6 years. At each wave (12 months:t (2); RR: 91%, 56 months:t(3),cRR:71.1%; 69 months:t (4),cRR: 90.9%) physicians and patients have been assessed with standardized methods (e.g. clinical interview with doctor and patient, urine screenings) regarding course and outcome (e.g. substitution, substance use, clinical, medical, psychopathological, social aspects). Furthermore, following procedures have been applied to ensure the entire acquisition of data at the best: setting questionnaire, mortality questionnaire, separate interview for women, course and tracking questionnaire. Add-ons components of study include attempts to define "stable substitution" as well as a module assessing the situation of women. Analyses have been conducted widely weighted by design (e.g. size of setting, settings' cluster effects) and response rate. â”¬âŒ ecomed Medizin, Verlagsgruppe Hâ”œâ•thig Jehle Rehm GmbH.</t>
  </si>
  <si>
    <t>(Wittchen H.-U., wittchen@psychologie.tu-dresden.de; Rehm J.T.; Langer K.; Trâ”œÃ±der A.; Trautmann S.; Bâ”œâ•hringer G.) (Bâ”œâ•hringer G.) (IFT) (Rehm J.T.) (Soyka M.) Ecomed Publishers, Justus-von-Liebig-Str. 1, Landsberg, Germany.; ID: 2626</t>
  </si>
  <si>
    <t>2011571170 PUI L362752950</t>
  </si>
  <si>
    <t>Wojtal,M.;Kurpas,D.;Bielska,D.;Steciwko,A.;Author,Addresses;Zakâ”¼Ã©ad,Pielegniarstwa;Ogâ”œâ”‚lnego, Paâ”¼Ã¤stwowa Medyczna Wyzsza Szkoâ”¼Ã©a Zawodowa,w Opolu;Correspondence,Address;Wojtal, Zakâ”¼Ã©ad Pielegniarstwa Ogâ”œâ”‚lnego Paâ”¼Ã¤stwowa Medyczna Wyzsza Szkoâ”¼Ã©a,M.;Zawodowa w Opolu Email, mariola,onet eu</t>
  </si>
  <si>
    <t>19189554; The attitude of the nursing students of Public Higher Medical Professional School in Opole towards the smoking problems in Poland ORIGINAL (NON-ENGLISH) TITLE Postawy studentâ”œâ”‚w pielegniarstwa Paâ”¼Ã¤stwowej Medycznej Wyzszej Szkoâ”¼Ã©y Zawodowej w Opolu wobec problematyki palenia tytoniu w Polsce</t>
  </si>
  <si>
    <t>attitude to health;health promotion;nursing student;smoking (prevention);adult;article;female;health survey;human;male;organization and management;Poland;risk reduction;statistics</t>
  </si>
  <si>
    <t>Cigarette smoking has been main reason of the Polish society health hazard and one of the most widespread unhealthy element of the human life style. Aim of the study is to evaluate the attitude of the nursing students of Public Higher Medical Professional School in Opole towards the smoking problems in Poland. Most of respondents considered the nicotinism problem in Poland as very important--3 of them evaluate importance of problem on the scale of 0 - 10, estimated it from 8, 9 and 10 points. 74.3% of respondents support the opinion to put the total injunction from smoking at public areas into practice. According to respondents, the most effective forms to express a non-smoking lifestyle is to promote the idea of the total injunction from smoking at public areas and the promotion of the nonsmoking people at the mass media.</t>
  </si>
  <si>
    <t>(Wojtal M.; Kurpas D.; Bielska D.; Steciwko A.); ID: 2951</t>
  </si>
  <si>
    <t>http://www.ncbi.nlm.nih.gov/pubmed/19189554</t>
  </si>
  <si>
    <t>The attitude of the nursing students of Public Higher Medical Professional School in Opole towards the smoking problems in Poland ORIGINAL (NON-ENGLISH) TITLE Postawy studentâ”œâ”‚w pielegniarstwa Paâ”¼Ã¤stwowej Medycznej Wyzszej Szkoâ”¼Ã©y Zawo(TRUNCATED)</t>
  </si>
  <si>
    <t>Wojtal,M.;Kurpas,D.;Bielska,D.;Steciwko,A.;Szarowska,K.;Author,Addresses;Instytut Pielegniarstwa, Paâ”¼Ã¤stwowa Medyczna,Wyzsza Szko;Zawodowa,Opole;Correspondence,Address;Wojtal, Instytut Pielegniarstwa Paâ”¼Ã¤stwowa Medyczna Wyzsza Szkoâ”¼Ã©a,M.;Zawodowa,Opole Email mariola onet eu</t>
  </si>
  <si>
    <t>20301943; The students of Public Higher Medical Professional School in Opole spreading anti-tobacco advice ORIGINAL (NON-ENGLISH) TITLE Studenci Paâ”¼Ã¤stwowej Medycznej Wyzszej Szkoâ”¼Ã©y Zawodowej w Opolu wobec poradnictwa antytoniowego</t>
  </si>
  <si>
    <t>medical school;smoking (prevention);smoking cessation;student;adult;article;clinical competence;female;health promotion;human;male;methodology;midwife;nurse;organization and management;physician attitude;Poland;statistics</t>
  </si>
  <si>
    <t>Smoking tobacco in our society is the primary risk factor in the emergence of many diseases, including cardiovascular and cancer, elevating the risk of mortality before 65 years of age. Very important is the fact that this is a removable, which can be completely eliminated. The smoker health could be in better conditions and also other people from his environment. A man who is messed up is the sick man who, while having the motivation to stop smoking, need a comprehensive and specialized medical treatment. Respondents nursing and midwifery students in Opole PMWSZ most important in providing advice to patients students choose family doctors (34.1%) and internists (17.9%). According to the respondents, patients who, despite a strong motivation to stop smoking can not, should find help in specialized anti-tobacco clinic (27.8%), substance abuse treatment clinic (16.5%), and psychological counseling (11.4%). Half of the surveyed students (51.35%) declared the ability to advice patients, while only 18.7% of respondents correctly answered the question what is the minimum intervention of tobacco control, 56% of respondents claimed that it is information to the patient of the consequences of smoking. Important in reducing the health effects of smoking is to prepare health workers to diagnose the problem of addiction and comprehensive professional treatment.</t>
  </si>
  <si>
    <t>(Wojtal M.) (Kurpas D.; Bielska D.; Steciwko A.; Szarowska K.); ID: 2848</t>
  </si>
  <si>
    <t>http://www.ncbi.nlm.nih.gov/pubmed/20301943</t>
  </si>
  <si>
    <t>The students of Public Higher Medical Professional School in Opole spreading anti-tobacco advice ORIGINAL (NON-ENGLISH) TITLE Studenci Paâ”¼Ã¤stwowej Medycznej Wyzszej Szkoâ”¼Ã©y Zawodowej w Opolu wobec poradnictwa antytoniowego</t>
  </si>
  <si>
    <t>Wojtal,M.;Kurpas,D.;Bielska,D.;Steciwko,A.;Wicha,M.;Author,Addresses;Instytut Pielegniarstwa, Paâ”¼Ã¤stwowa Medyczna,Wyzsza Szko;Zawodowa,Opole;Correspondence,Address;Wojtal, Instytut Pielegniarstwa Paâ”¼Ã¤stwowa Medyczna Wyzsza Szkoâ”¼Ã©a,M.;Zawodowa,Opole Email mariola onet eu</t>
  </si>
  <si>
    <t>20301915; Spreading of smoking habit among students of the Public Medical Higher Professional School in Opole in 2006-2009 ORIGINAL (NON-ENGLISH) TITLE Rozpowszechnienie palenia tytoniu wâ”¼Â¢râ”œâ”‚d studentâ”œâ”‚w Paâ”¼Ã¤stwowej Medycznej Wyzszej Szkoâ”¼Ã©y Zawodowej w Opolu w latach 2006-2009</t>
  </si>
  <si>
    <t>medical school;smoking (epidemiology, prevention);student;adult;article;female;human;incidence;male;Poland (epidemiology);smoking cessation;statistics</t>
  </si>
  <si>
    <t>Smoking is the most widespread addiction and for years is a basic addiction hazard among youngsters. The beginning of nicotine addiction is occult, during time runs as habit and biological nicotine addiction. The health consequences are seen after time. Children have their first contact with cigarettes in their own families and the problem of smoking is the consequence of following adults' example. The risk of smoking addiction rises because of negative influence of background and because of the need of being approved among men of the same age. The objective of the study was the analysis of spreading of smoking among students of PMWSZ in Opole during years 2006-2009.688 students of nursery and obstetrics faculty were investigated. Among them 175 (25.4%) were smokers and 513 (74.6%) were non-smokers. More than half of smokers (61.2%) started smoking in secondary grammar school. 110 (62.9%) of them tried to overcome their addiction. These failed attempts confirm the necessity of multi-aspect anti-nicotine help given by health professionals: doctors, psychologists, addiction therapeutics and pedagogues.</t>
  </si>
  <si>
    <t>(Wojtal M.) (Kurpas D.; Bielska D.; Steciwko A.; Wicha M.); ID: 2851</t>
  </si>
  <si>
    <t>http://www.ncbi.nlm.nih.gov/pubmed/20301915</t>
  </si>
  <si>
    <t>Spreading of smoking habit among students of the Public Medical Higher Professional School in Opole in 2006-2009 ORIGINAL (NON-ENGLISH) TITLE Rozpowszechnienie palenia tytoniu wÃ¢â€Â¼Ã‚Â¢rÃ¢â€Å“Ã¢â€â€šd studentÃ¢â€Å“Ã¢â€â€šw PaÃ¢â€Â¼ÃƒÂ¤stwowej Medycznej Wyzszej SzkoÃ¢â€(TRUNCATED)</t>
  </si>
  <si>
    <t>Wojtal,M.;Kurpas,D.;Sochocka,L.;Bielska,D.;Seâ”¼Ã¤,M.;Author,Addresses;Instytut;Pielegniarstwa Panstwowej Medycznej Wyzszej,Szkoy Zawodowej;Katedra,I. Z.;Wrocâ”¼Ã©awiu;Zaklad Medycyny Rodzinnej,I.Pielegniarstwa Srodowiskowego;Akademii Medycznej,W. Bialymstoku;Zakâ”¼Ã©ad Pielâ•šâŒgniarstwa Spoâ”¼Ã©ecznego Akademii,Medycznej we;Paâ”¼Ã¤stwowa Medyczna,Wyzsza Szko;Opolu,ul Katowicka Opole;Correspondence,Address;Opolu ul Katowicka,M.Wojtal, Paâ”¼Ã¤stwowa Medyczna Wyzsza Szkoâ”¼Ã©a Zawodowa W.;eu,Opole Email mariola onet</t>
  </si>
  <si>
    <t>The level of students of Opole National Higher Medical School knowledge regarding the medical consequences of smoking ORIGINAL (NON-ENGLISH) TITLE Poziom wiedzy studentâ”œâ”‚w Paâ”¼Ã¤stwowej Medycznej Wyâ”¼â•szej Szkoâ”¼Ã©y Zawodowej w Opolu na temat zdrowotnych nastâ•šâŒpstw palenia tytoniu</t>
  </si>
  <si>
    <t>carcinogen;cigarette smoke;cocaine;diamorphine;nicotine;tobacco smoke;health hazard;knowledge;medical school;medical student;smoking;adult;article;cigarette smoking;citizenship;controlled study;diagnostic procedure;female;health survey;human;human experiment;male;Poland;population research;psychophysics;quantitative analysis;questionnaire;sex ratio;tobacco;tobacco dependence (epidemiology, prevention);cocaine (50-36-2, 53-21-4, 5937-29-1);diamorphine (1502-95-0, 561-27-3);nicotine (54-11-5);Neurology and Neurosurgery (8);Public Health, Social Medicine and Epidemiology (17);Biophysics, Bioengineering and Medical Instrumentation (27);Drug Dependence, Alcohol Abuse and Alcoholism (40)</t>
  </si>
  <si>
    <t>Background. One third of total adults' population in the world smoke cigarettes. Smoking cigarettes is one of major health hazards for Polish citizens. First smoking attempts are usually done by children and teenagers, who do not realize the risk of addiction. Is the knowledge about the harmfulness of smoking wide enough to count it as a prevention factor with respect to nicotine addiction? Objectives. The aim of the paper was to estimate the level of PMWSZ students' knowledge regarding the medical consequences of smoking. Material and methods. The survey involved 290 students from Nursing Institute and Midwifery Institute from PMWSZ in Opole. The study has been done with diagnostic poll method using specially prepared for this work purposes questionnaire. Results. The respondents were asked about: quantity and names of carcinogenic substances included in tobacco smoke, only 6 women (2.4%) and 1 man (2.8%) mentioned three substances, possibility of psychophysical nicotine addiction - 247 respondents (85.2%) said that smoking cigarettes was as addictive as drugs: heroin and cocaine, substitutes of nicotine in Poland; the most known preparation of nicotine is Nicorette (95.7% women and 91.4% men imparted this answer). Conclusions. The findings of the research showed low level of students' awareness regarding quantity and names of carcinogenic substances contained in tobacco and tobacco smoke, however the results confirmed high consciousness on their harmful influence on human health. Over 90% respondents pointed to the association between tobacco smoking and cancers and the diseases of respiratory and circulatory systems. â”¬âŒ Copyright by Wydawnictwo Continuo.</t>
  </si>
  <si>
    <t>(Wojtal M., mariola30@onet.eu; Kurpas D.; Sochocka L.) (Kurpas D.) (Bielska D.) (Seâ”¼Ã¤ M.) (Wojtal M., mariola30@onet.eu) Wydawnictwo Continuo, ul.lelewela 4, Wroclaw woj.dolnoslaskie, Poland.; ID: 3033</t>
  </si>
  <si>
    <t>2007510205 PUI L47605517</t>
  </si>
  <si>
    <t>The level of students of Opole National Higher Medical School knowledge regarding the medical consequences of smoking ORIGINAL (NON-ENGLISH) TITLE Poziom wiedzy studentâ”œâ”‚w Paâ”¼Ã¤stwowej Medycznej Wyâ”¼â•szej Szkoâ”¼Ã©y Zawodowej w Opolu na(TRUNCATED)</t>
  </si>
  <si>
    <t>Wojtyniak,B.;Moskalewicz,J.;Stokwiszewski,J.;Rabczenko,D.;Author,Addresses;National Institute,of;Hygiene,Warsaw Poland;Institute,of Psychiatry;Neurology,Warsaw Poland;Institute,of Psychiatry;Neurology,Sobieskiego Warsaw Poland;Correspondence,Address;Moskalewicz,Institute of Psychiatry,J.;Neurology,Sobieskiego;Warsaw,Poland Email moskalew ipin edu pl</t>
  </si>
  <si>
    <t>16367978; Gender-specific mortality associated with alcohol consumption in Poland in transition</t>
  </si>
  <si>
    <t>alcohol consumption;adult;calculation;conference paper;controlled study;education;female;frequency analysis;gender;human;male;mortality;Poland;rural area;sex difference;social class;standardization;urban area;Public Health, Social Medicine and Epidemiology (17)</t>
  </si>
  <si>
    <t>Aims: To show the impact of rapid political and economic transitions on alcohol consumption and associated mortality in different socio-demographic segments of the Polish society, with particular focus on gender differences. Two causes of death associated with drinking (liver diseases and alcohol poisoning) are investigated. Design: Mortality time series 1986-2002 are analysed against consumption estimates and population drinking survey data. Setting: Poland 1986-2002. Participants General adult population. Measurement: Age-standardized annual and 3-year death rates were calculated for age, gender and place of residence subgroups. For education, age-standardized relative frequency of deaths or proportional mortality in four basic educational levels was calculated. Findings: Alcohol-related mortality shows great variability in response to substantial changes in alcohol consumption. Patterns of mortality and their magnitude of change correspond with average alcohol consumption and are therefore different for men and women, for different age and educational groups and in urban and rural areas. Level of education, however, may affect alcohol-related mortality more strongly than overall alcohol intake, particularly with regard to acute consequences of drinking. Conclusion: The Polish experience illustrates that the impact of rapid political and economic transitions on alcohol consumption and associated mortality is highly differentiated and specific to gender and social class. â”¬âŒ 2005 Society for the Study of Addiction.</t>
  </si>
  <si>
    <t>(Wojtyniak B.; Stokwiszewski J.; Rabczenko D.) (Moskalewicz J., moskalew@ipin.edu.pl) Blackwell Publishing Ltd, 9600 Garsington Road, Oxford, United Kingdom.; ID: 3143</t>
  </si>
  <si>
    <t>http://www.ncbi.nlm.nih.gov/pubmed/16367978</t>
  </si>
  <si>
    <t>10.1111/j.1360-0443.2005.01247.x FULL TEXT LINK http://dx.doi.org/10.1111/j.1360-0443.2005.01247.x</t>
  </si>
  <si>
    <t>Gender-specific mortality associated with alcohol consumption in Poland in transition</t>
  </si>
  <si>
    <t>Wolf,S.;Wolf,T. D.;Author,Addresses;Mar Biomed Inst, Univ Texas Med,Branch Galveston;Tex;Correspondence,Address;Mar Biomed Inst, Univ Texas Med Branch,Galveston Tex</t>
  </si>
  <si>
    <t>565915; A preliminary study in medical anthropology in Brunei, Borneo</t>
  </si>
  <si>
    <t>Pavlovian Journal of Biological Science</t>
  </si>
  <si>
    <t>Pavlov.J.Biol.Sci.</t>
  </si>
  <si>
    <t>(MAJOR FOCUS);oil;cardiovascular disease;child parent relation;chronic respiratory tract disease;cultural anthropology;education;goiter;infection;intestine parasite;malignant neoplasm;nutritional status;parasitosis;protein deficiency;rural area;smoking;social structure;economic aspect;geographic distribution;Indonesia;invertebrate;microorganism;normal human;psychological aspect;short survey;Public Health, Social Medicine and Epidemiology (17)</t>
  </si>
  <si>
    <t>(Wolf S.; Wolf T.D.); ID: 3860</t>
  </si>
  <si>
    <t>0093-2213</t>
  </si>
  <si>
    <t>http://www.ncbi.nlm.nih.gov/pubmed/565915</t>
  </si>
  <si>
    <t>A preliminary study in medical anthropology in Brunei, Borneo</t>
  </si>
  <si>
    <t>Wolff,H.;Favrod-Coune,T.;Rieder,J. P.;Pinault,F.;Getaz,L.;Broers,B.;Author,Addresses;University Hospitals,of Geneva;University;Hospitals of,Geneva;University,of Geneva;Correspondence,Address;Wolff, University Hospitals of Geneva Geneva Switzerland,H.</t>
  </si>
  <si>
    <t>Needle and syringe exchange programs in correctional settings: Feasible, safe and necessary!</t>
  </si>
  <si>
    <t>S141</t>
  </si>
  <si>
    <t>S142</t>
  </si>
  <si>
    <t>illicit drug;internal medicine;needle;society;syringe;addiction;aggression;atmosphere;community;confidentiality;counseling;crowding (area);disease transmission;drug use;fear;harm reduction;health care;health care personnel;human;human rights;injection;injury;male;medical specialist;nurse;prison;prisoner;Switzerland;university hospital;weapon</t>
  </si>
  <si>
    <t>BACKGROUND: Addiction-related problems are highly prevalent in almost every prison in the world. Despite the fact that illicit drugs are forbidden, they frequently enter most correctional facilities. Therefore, harm reduction measures such as needle and syringe exchange programs (NSP) need to be implemented. In the community and in prison, NSPs have been shown to: 1. prevent the transmission of infectious diseases, 2. not compromise the security (syringes not used as a weapon) and 3. not increase the consumption nor the injection of drugs. Despite strong evidence of efficacy, NSPs exist in less than 1% of the prisons worldwide. The Geneva University Hospitals are dispensing health care to inmates of the prison of Geneva, the largest remand prison in Switzerland. This prison faces severe overcrowding as it housed in 2010 a mean of 543 inmates, primarily male, in the 270 officially provided places (occupancy rate: &gt;200%). The NSP is in place since 1996. The aim of the study is to evaluate the acceptance and feasibility of the NSP in prison. METHODS: In the prison of Geneva, a syringe exchange protocol was elaborated by addiction specialists and accepted by the prison authorities in 1996. The protocol gave an official framework to provide injection kits and appropriate counseling to drug-using inmates. Staff is trained in addiction and harm reduction measures. Evaluation included distribution and return of the syringes over time. RESULTS: Each year 169-446 syringes were distributed to 24-53 intravenous drug using inmates (fig 1). The return rate ranged from 58 to 83%. No acts of aggression or other incidents involving the contents of injection kits (e.g. threats, aggression, injury by a syringe left in a dustbin ...) were reported. The program was well accepted by the prison staff and the health care team. Healthcare workers noted that 10-20% of the iv-drug users participating in the program related an initial hesitation when distributing the syringes, which let suspect that the fear of denouncement existed and that the totality of the target prisoners were not reached. The prison direction actively supported the programand operated no cell search for drugs after delivery of an injection kit. In addition to the harmreduction itself, the programhelped to strengthen the dialogue in an atmosphere of greater understanding and encouraged constructive co-operation between all partners (healthcare team, prison officers, and political partners). CONCLUSION: Scientific evidence as well as our experience showed that syringe and needle exchange in the prison is feasible, safe and well accepted by staff and iv-drug users, although it could be improved by providing better confidentiality during the distribution of the injection kits. The program needed an active supervision to make sure that nurses, prison staff and detainees feel comfortable with it. Access to harm reduction measures should be universal, in concordance with human rights principles and therefore be implemented in all prisons. (Table presented).</t>
  </si>
  <si>
    <t>(Wolff H.) (Favrod-Coune T.; Rieder J.-P.; Pinault F.; Getaz L.; Broers B.) 34th Annual Meeting of the Society of General Internal Medicine Phoenix, AZ, United States 2011-05-04 to 2011-05-07 Springer New York; ID: 2692</t>
  </si>
  <si>
    <t>Wolff,P. O.;Author,Addresses</t>
  </si>
  <si>
    <t>The second Kelynack memorial lecture. Problems of drug addiction in South America</t>
  </si>
  <si>
    <t>cannabis;drug dependence;South America;addiction;aggressiveness;coca;criminal behavior;habit;Indian;magic;mental disease;plant;population;poverty;social status;South and Central America</t>
  </si>
  <si>
    <t>The problem of coca-addiction in Latin America is one of medical and social importance. The chronic use of coca leaves leads to physical and mental disturbances. The criminality, backwardness and poverty of the Indian population are ascribed in large measure to this habit. This evil must be fought, but little is to be expected from compulsive measures. The procedure must be gradual and aiming at reduction of the cultivation of this plant, eradication of the superstitious belief in the magic powers of coca leaves and improvement of social conditions. The second serious problem is that of marihuana. Special emphasis is placed on its influence in causing criminality, partly through the increased suggestibility which it produces and partly through the increase of aggressivity and abolition of inhibitions. Addiction to marihuana is no longer confined to Latin America but has spread over both American continents.</t>
  </si>
  <si>
    <t>(Wolff P.O.); ID: 3984</t>
  </si>
  <si>
    <t>2007062719 PUI L280463048</t>
  </si>
  <si>
    <t>Wu,L. T.;Swartz,M. S.;Wu,Z.;Mannelli,P.;Yang,C.;Blazer,D. G.;Author,Addresses;Department of,Psychiatry;Behavioral Sciences,Duke,University Medical;Center,Durham N. C. United States;National,Center for;Prevention,Chinese Center;for Disease,Control;Prevention,Beijing China;Social Science Research Institute, Duke University,Durham N.;United,States;Correspondence,Address;L-T Wu,Department,of Psychiatry;Behavioral Sciences,Duke University;Medical Center, Durham N C United States Email litzy wu,duke edu</t>
  </si>
  <si>
    <t>22424657; Alcohol and drug use disorders among adults in emergency department settings in the United States</t>
  </si>
  <si>
    <t>alcohol;cannabis;central stimulant agent;cocaine;diamorphine;psychedelic agent;sedative agent;tranquilizer;alcohol abuse;substance abuse;adult;aged;article;cannabis addiction;clinical practice;computer aided design;cross-sectional study;emergency ward;female;human;major clinical study;male;opiate addiction;prevalence;priority journal;United States;alcohol (64-17-5);cannabis (8001-45-4, 8063-14-7);cocaine (50-36-2, 53-21-4, 5937-29-1);diamorphine (1502-95-0, 561-27-3);Public Health, Social Medicine and Epidemiology (17);Anesthesiology (24);Drug Literature Index (37);Drug Dependence, Alcohol Abuse and Alcoholism (40)</t>
  </si>
  <si>
    <t>Study objective: Improving identification and treatment for substance use disorders is a national priority, but data about various drug use disorders encountered in emergency departments (EDs) are lacking. We examine past-year substance use and substance use disorders (alcohol, 9 drug classes) among adult ED users. Prevalences of substance use and substance use disorders among ED nonusers are calculated for reference purposes. Methods: Using data from the 2007 to 2009 National Surveys on Drug Use and Health, we assessed substance use disorders among noninstitutionalized adults aged 18 years or older who responded to standardized survey questions administered by audio computer-assisted self-interviewing methods. Results: Of all adults (N=113,672), 27.8% used the ED in the past year. ED users had higher prevalences than ED nonusers of coexisting alcohol and drug use (15.2% versus 12.1%), drug use (any drug, 16.9% versus 13.0%; marijuana, 12.1% versus 9.7%; opioids, 6.6% versus 4.1%), and alcohol or drug disorders (11.0% versus 8.5%). Among substance users, the ED group on average spent more days using drugs than the non-ED group; ED users manifested higher conditional rates of substance use disorders than ED nonusers (alcohol or drugs, 15.9% versus 11.7%; marijuana, 16.6% versus 13.2%; cocaine, 33.2% versus 22.3%; opioids, 20.6% versus 10.0%; stimulants, 18.6% versus 9.2%; sedatives, 35.0% versus 4.4%; tranquilizers, 12.4% versus 5.2%). Regardless of ED use status, substance-using young adults, men, and less-educated adults showed increased odds of having a substance use disorder. Conclusion: Drug use is prevalent and combined with high rates of drug use disorders among drug users treated in the ED. â”¬âŒ 2011 American College of Emergency Physicians.</t>
  </si>
  <si>
    <t>(Wu L.-T., litzy.wu@duke.edu; Swartz M.S.; Mannelli P.; Blazer D.G.) (Wu Z.) (Yang C.) Mosby Inc., 11830 Westline Industrial Drive, St. Louis, United States.; ID: 2534</t>
  </si>
  <si>
    <t>0196-0644 1097-6760 (electronic)</t>
  </si>
  <si>
    <t>http://www.ncbi.nlm.nih.gov/pubmed/22424657</t>
  </si>
  <si>
    <t>10.1016/j.annemergmed.2012.02.003 FULL TEXT LINK http://dx.doi.org/10.1016/j.annemergmed.2012.02.003</t>
  </si>
  <si>
    <t>Alcohol and drug use disorders among adults in emergency department settings in the United States</t>
  </si>
  <si>
    <t>Wyatt,S. A.;Author,Addresses;Stonington Institute, North Stonington,C.T.United States;Correspondence,Address;SA Wyatt, Stonington Institute North Stonington,C.T.United States</t>
  </si>
  <si>
    <t>Response 9]</t>
  </si>
  <si>
    <t>medical education;substance abuse;education program;human;letter;medical profession;medical school;medical student;neurobiology;osteopathic medicine;physician;professional competence;Public Health, Social Medicine and Epidemiology (17)</t>
  </si>
  <si>
    <t>(Wyatt S.A.); ID: 3087</t>
  </si>
  <si>
    <t>0098-6151 0098-6151 (electronic)</t>
  </si>
  <si>
    <t>2006401099 PUI L44259828</t>
  </si>
  <si>
    <t>Response [9]</t>
  </si>
  <si>
    <t>Wynder,E. L.;Author,Addresses;American Health Foundation, New,York N.;Correspondence,Address;American Health Foundation, New,York N.</t>
  </si>
  <si>
    <t>Cancer control and lifestyle medicine</t>
  </si>
  <si>
    <t>Present and furure of indoor air quality: proceedings of the Brussels Conference.ICS860</t>
  </si>
  <si>
    <t>(3-13).</t>
  </si>
  <si>
    <t>cancer incidence;cancer mortality;health education;nutrition;smoking;book;education;Cancer (16);Public Health, Social Medicine and Epidemiology (17)</t>
  </si>
  <si>
    <t>(Wynder E.L.) The Brussels Conference 1989-02-14 to 1989-02-16 CONFERENCE EDITORS Bieva C.J. Courtois Y. Govaerts M. ISBN 0444811346 9780444811349 Elsevier Science Publishers B.V.; ID: 3703</t>
  </si>
  <si>
    <t>1989272455 PUI L19272409</t>
  </si>
  <si>
    <t>Yadav,A.;Goel,S.;Sharma,V. L.;Author,Addresses;Centre of,Public Health;Chandigarh,India E.mail sonugoel yahoo co in</t>
  </si>
  <si>
    <t>25081674; Integration of tobacco control in Masters of Public Health curricula of India</t>
  </si>
  <si>
    <t>Asian Pacific journal of cancer prevention : APJCP</t>
  </si>
  <si>
    <t>adverse event;education;medical education;smoking cessation;tobacco dependence;cross-sectional study;female;human;India;male;public health;questionnaire;smoking;withdrawal syndrome (diagnosis, therapy)</t>
  </si>
  <si>
    <t>CONTEXT: Tobacco is the single largest cause of preventable death among adults globally, as it is in India. Despite this alarming situation, there is very minimal inclusion of tobacco in formal education systems, including the medical discipline, in India.AIMS: The present study analyzed the extent of integration of tobacco control related content in Masters of Public Health (MPH) curricula of various institutes in India.MATERIALS AND METHODS: This cross-sectional study was conducted during January 2011 to May 2011 in all colleges of the country offering a MPH course. The colleges were enlisted using various internet search engines (Google Scholar, Pubmed, Medline), other published literature and snowball technique. A 50 items semi-structured questionnaire was designed, posted and e-mailed (followed by hard copy) to the Person-In-Charge of the MPH program.STATISTICAL ANALYSIS: Descriptive statistics were used to profile the tobacco control content in respective institutions. All data entry and analysis was conducted using SPSS (version 16) for windows.RESULTS: The duration of the MPH course was two years in all institutes and had accreditation with some affiliated body. Tobacco related diseases were covered under 'non communicable diseases' section by every institute. However, a mere 41.4% of institute's had faculty who had received specialized training in tobacco control. More coverage was given to health risks and effects of smoking as compared to cessation interventions (5 A's), symptoms of withdrawal and pharmacological treatments. Only 25% of institutes were in process of introducing tobacco courses into their curricula. Lack of expertise and administrative barriers were cited as perceived major problems in inclusion of tobacco control in MPH curricula.CONCLUSIONS: It can be concluded that tobacco control is not receiving adequate attention in public health curricula in India. There is a need for coordinated efforts in the area of tobacco control so as to reduce morbidity and mortality from tobacco induced diseases.</t>
  </si>
  <si>
    <t>(Yadav A.; Goel S.; Sharma V.L.); ID: 2304</t>
  </si>
  <si>
    <t>1513-7368</t>
  </si>
  <si>
    <t>http://www.ncbi.nlm.nih.gov/pubmed/25081674</t>
  </si>
  <si>
    <t>Integration of tobacco control in Masters of Public Health curricula of India</t>
  </si>
  <si>
    <t>Yalcin,B. M.;Unal,M.;Pirdal,H.;Author,Addresses;Department,of Family;Faculty of Medicine, Ondokuz Mayis University,Samsun Turkey;Tekkekoâ”œâ” Family,Medicine Center;Correspondence,Address;BM Yalcin, Department of Family Practice Faculty of,Medicine Ondokuz;Mayis University, Samsun Turkey Email myalcin omu,edu tr</t>
  </si>
  <si>
    <t>Results of a selective smoking cessation counseling and prevention course</t>
  </si>
  <si>
    <t>Journal of Experimental and Clinical Medicine</t>
  </si>
  <si>
    <t>(2017) 34</t>
  </si>
  <si>
    <t>patient counseling;smoking cessation;smoking cessation program;adult;article;clinical examination;female;human;knowledge;male;medical student;objective structured clinical exam;problem based learning;skill;tobacco dependence (prevention);videorecording;workshop;Public Health, Social Medicine and Epidemiology (17);Psychiatry (32);Drug Dependence, Alcohol Abuse and Alcoholism (40);Internal Medicine (6)</t>
  </si>
  <si>
    <t>Our aim was to investigate the effect of a selective smoking cessation counseling class on the skills and knowledge of medical students. Sixty medical students from Ondokuz Mayis University attended a selective smoking cessation counseling and prevention class (total 96 hours) at 2011-2012 academic year. After attending an initial 8 weeks of lectures, problem-based sessions, case presentations, patient videos and workshops, the students then assisted with the counseling of real smokers in the remaining 4 weeks, under supervision. Students' knowledge of tobacco dependence, treatment and counseling strategies was scored before (pretest) and after (post-test) the course using a 50-item questionnaire. The students' skills were evaluated in an Objective Structured Clinical Exam (OSCE). A significant difference was determined between the pretest (12.7â”¬â–’7.6) and post-test (35.8â”¬â–’7.8) results (p&lt;0.001). The mean OSCE score was 89.2â”¬â–’2.7. The smoking cessation counseling and prevention selective class is highly effective in improving students' cessation counseling skills.</t>
  </si>
  <si>
    <t>(Yalcin B.M., myalcin@omu.edu.tr; Unal M.) (Pirdal H.) Ondokuz Mayis Universitesi, Samsun, Turkey.; ID: 1875</t>
  </si>
  <si>
    <t>1309-5129 (electronic) 1309-4483</t>
  </si>
  <si>
    <t>20170524334 PUI L617432214</t>
  </si>
  <si>
    <t>10.5835/jecm.omu.33.04.011 FULL TEXT LINK http://dx.doi.org/10.5835/jecm.omu.33.04.011</t>
  </si>
  <si>
    <t>Yang,T.;Yang,X.;Lv,Q.;Zhao,Q.;Ke,X.;Author,Addresses;Center for,Tobacco Control;Zhejiang University School,of Medicine;Department of Sociology, Zhejiang,University China;Correspondence,Address;Yang, Center for Tobacco Control Research Zhejiang University School of,T.;Medicine,China</t>
  </si>
  <si>
    <t>19622521; Special communication: China's first historic efforts to develop a tobacco control advocacy workforce via schools of public health</t>
  </si>
  <si>
    <t>medical education;smoking (prevention);smoking cessation;article;China;curriculum;education;human;methodology;organization and management;public health;teaching</t>
  </si>
  <si>
    <t>(Yang T.; Lv Q.; Zhao Q.; Ke X.) (Yang X.) BMJ Publishing Group, Tavistock Square, London, United Kingdom.; ID: 2867</t>
  </si>
  <si>
    <t>0964-4563 1468-3318 (electronic)</t>
  </si>
  <si>
    <t>http://www.ncbi.nlm.nih.gov/pubmed/19622521</t>
  </si>
  <si>
    <t>10.1136/tc.2009.031815 FULL TEXT LINK http://dx.doi.org/10.1136/tc.2009.031815</t>
  </si>
  <si>
    <t>Special communication: China's first historic efforts to develop a tobacco control advocacy workforce via schools of public health</t>
  </si>
  <si>
    <t>Yang,Y.;Guo,S.;Assam,P.;Koh,P. K.;Wong,K. E.;Author,Addresses;Institute,of Mental;Singapore,Singapore;Singapore Clinical,Research Institute;Correspondence,Address;Yang, Institute of Mental Health Singapore Singapore,Y.</t>
  </si>
  <si>
    <t>Challenges in the development of investigator-initiated trial in addiction medicine</t>
  </si>
  <si>
    <t>S445</t>
  </si>
  <si>
    <t>diazepam;lofexidine;opiate;addiction;health;Singapore;clinical trial (topic);conflict of interest;detoxification;drug industry;hospital patient;human;hypothesis;marketing;motivation;patient;protocol compliance;standing;study design;substance abuse;substance use;tertiary health care;welfare</t>
  </si>
  <si>
    <t>Background &amp; Hypothesis: National addictions management service (NAMS) is a tertiary care provider which specialises in addictions. In the course of improving treatment while considering the patients' needs and welfare, research is required to inform and educate clinicians on the next best step. Investigator-initiated trials (IITs), as compared to those by pharmaceutical companies, are preferred as they emphasise scientific ideas over marketing agenda, avoiding conflict of interests. Methods: The lofexidine trial is NAMS' first IIT. It adopts a double-blind, double-dummy inpatient phase-IV approach to compare the efficacy of lofexidine and diazepam in the management of opioid withdrawal. However, there are several challenges in the process. They include obtaining of funds and difficulty in the execution of complex study design due to the study team's minimal experience with clinical trials. While many IITs in other fields also face recruitment and retention difficulties, these challenges are particularly so for substance abuse. Results: Given that Singapore adopts a zero-tolerance stance towards substance use, many potential patients face legal concerns which affect their motivation to come forth and their eventual attendance for treatment. Opiate-assisted detoxification done overseas have been proven to improve retention in treatment. Hence, the unavailability of opiate-assisted detoxification locally is expected to further strain the retention of patients in this study. Discussion &amp; Conclusion: These obstacles cannot be easily overcome with design and external control. With that, statistical consideration was given to address these concerns. Intensive training was also carried out prior to the start of the trial and whilst the study was ongoing to ensure protocol compliance.</t>
  </si>
  <si>
    <t>(Yang Y.; Guo S.; Koh P.K.; Wong K.E.) (Assam P.) Singapore Health and Biomedical Congress, SHBC 2015 Singapore, Singapore 2015-10-02 to 2015-10-03 Academy of Medicine Singapore; ID: 2061</t>
  </si>
  <si>
    <t>Yao,J.;Sriram,S.;Lau,A.;Lenhoff,T.;Pan,J. Y.;Bellefeuille,P.;Sanyal-Dey,P.;Han,K. B.;Nguyen,R.;Author,Addresses;Ucsf/Sfgh,South San,Francisco United;States;University of California San Francisco, San,Francisco United;States;University of,California;San Francisco,United States;Albert Einstein, New York,United States;Correspondence,Address;Yao, University of California San Francisco San Francisco United,J.;States</t>
  </si>
  <si>
    <t>Interprofessional health coaching at a safety-net hospital: A program to foster team-based care among learners</t>
  </si>
  <si>
    <t>S687</t>
  </si>
  <si>
    <t>S688</t>
  </si>
  <si>
    <t>safety net hospital;communication skill;diabetes mellitus;doctor patient relation;education;experiential learning;exposure;health practitioner;human;Human immunodeficiency virus;hypertension;knowledge base;major clinical study;medical student;medicine;model;nonhuman;occupation;patient care;physiotherapy;primary medical care;rotation;substance use;university</t>
  </si>
  <si>
    <t>NEEDS AND OBJECTIVES: The Society of Hospital Medicine has designed core competencies for bothmedical students and residents. One of these competencies includes systems-based practices, which involve interprofessional teamwork. Given the complexity of managing chronic diseases, which are increasing in prevalence as the general population ages, there has been a renewed interest in multidisciplinary management of patients via patient-centered health coaching. Medical students, however, have minimal exposure to interprofessional environments until clinical rotations. Programs that incorporate communication skills from health coaching models in multidisciplinary teams can promote health professional students' knowledge and attitudes around interprofessionalism. To address the lack of early, clinicallybased, interprofessional educational opportunities along with a need for patient-centered care in the hospital, we have established an inpatient, interprofessional health coaching program for health professional students called Word on the Wards (WOW). SETTING AND PARTICIPANTS: First and second year students from the Schools of Medicine, Pharmacy, Nursing and Physical Therapy enrolled in an interprofessional health coaching program at an urban safety net hospital for elective credits. Faculty members representing each discipline trained students to deliver health coaching regarding hypertension, diabetes, substance use, and HIV care. DESCRIPTION: Learners worked in interprofessional pairs to provide health coaching to hospitalized patients. Each session ended with learners reporting back to inpatient teams and primary care providers, sharing relevant information uncovered and questions raised during the visit. In addition, preceptors spanning the four health professions met with learners during each session to facilitate learning, reflect on their experience, and emphasize the different viewpoints that various providers can bring to a patient's care. EVALUATION: Since October 2014, Word on theWards has provided health coaching to over 200 inpatient encounters via 111 student health coaches. Feedback from learners has been overwhelmingly positive. Learners have expressed appreciation for and increased understanding of the knowledge base and training of other health professionals. Learners have found preceptor sessions to be particularly worthwhile in better understanding the perspectives of various providers to a patient's care. DISCUSSION/REFLECTION/LESSONS LEARNED: Based on positive student responses, we have continued to expand the program's capacity and offerings. Overall, experiential learning via an inpatient health coaching program can serve as a novel and effective model for interprofessional education. Inpatient health coaching can provide valuable learning in the areas of health coaching skills and engaging underserved patient populations.</t>
  </si>
  <si>
    <t>(Sanyal-Dey P.; Han K.B.; Nguyen R.) (Yao J.) (Sriram S.; Lau A.; Lenhoff T.; Bellefeuille P.) (Pan J.-Y.) 40th Annual Meeting of the Society of General Internal Medicine, SGIM 2017 Washington, DC, United States 2017-04-19 to 2017-04-22 Springer New York LLC; ID: 1818</t>
  </si>
  <si>
    <t>Yassini Ardekani,S. M.;Bozorgi,S.;Taghavi,M.;Author,Addresses;Psychiatry,Yazd Iran;Post Graduate, Yazd University of,Medical Sciences;Yazd,Iran;Correspondence,Address;SM Yassini Ardekani, Psychiatry,Yazd Iran</t>
  </si>
  <si>
    <t>Demographic characteristics of iv drug abusers commencing treatment in opiate detoxification centers in Iran</t>
  </si>
  <si>
    <t>26 SUPPL. 1.</t>
  </si>
  <si>
    <t>(MAJOR FOCUS);opiate;amfebutamone;diamorphine;demography;detoxification;drug abuse;Iran;psychiatry;abuse;addiction;autumn;city;cross-sectional study;drug dependence;drug therapy;education;family history;female;information processing;male;mental disease;onset age;physical disease;policy;prevention;questionnaire;risk factor;social problem;software;structured interview</t>
  </si>
  <si>
    <t>Introduction: IV drug abuse is a medical and social problem in countries all over the world including Iran. Objectives: Knowing about the characteristics of drug abuser could help policy makers to have more precise plan of action for prevention and management of addiction Aims: This study was designed to investigate the demographic characteristics of IV drug abusers in Iran and determining the risk factors for shifting to IV drug abuse. Methods: 150 intravenous drug addicts (147 males and 3 females) aged 19-61 referred to opiate detoxification centers in Yazd city in autumn 2008 were randomly enrolled to this descriptive cross sectional study. Data collection was undertaken through a structured interview, a questionnaire for demographic data and written documents at detoxification centers. Analysis of data was done with SPSS software (version 13). Results: There was positive family history of addiction in 56.7%, known psychiatric illness in 43.3%, known physical disease in 32% and history of psychotropic medication abuse in 58% of participants. The mean age of onset in opium and its derivatives abusers was 19.12, heroin abusers 23.5 and IV bupropion abusers 27.2 years. The most common injecting drug at the time of study was heroin (65.2%). Conclusion: Family history of addiction, psychiatric disease, physical illness and low education could all be risk factors for exacerbating an addiction. Identification of these risk factors could lead to the development of interventions to reduce the burden of addiction. Further research about this subject is required to determine if this is true.</t>
  </si>
  <si>
    <t>(Yassini Ardekani S.M.) (Bozorgi S.; Taghavi M.) 19th European Congress of Psychiatry, EPA 2011 Vienna, Austria 2011-03-12 to 2011-03-15 Elsevier Masson SAS; ID: 2723</t>
  </si>
  <si>
    <t>10.1016/S0924-9338(11)71840-5 FULL TEXT LINK http://dx.doi.org/10.1016/S0924-9338(11)71840-5</t>
  </si>
  <si>
    <t>Ye,L.;Goldie,C.;Sharma,T.;John,S.;Bamford,M.;Smith,P. M.;Selby,P.;Schultz,A. S. H.;Author,Addresses;International;Affairs;Best Practice Guidelines, Registered Nurses',Association of;Ontario,Toronto Canada;Faculty of Health Sciences, School of,Nursing Queen;University,Kingston Canada;Human Science Division, Northern Ontario School,of Medicine;Canada;Centre for,Addiction;Mental Health,Toronto Canada;Dalla Lana School of Public Health, University,of Toronto;Toronto,Canada;College of Nursing, Rady Faculty of,Health Sciences;University of Manitoba, Asper Clinical Research Institute,Winnipeg Canada;Correspondence,Address;Ye,International Affairs,L.;Best,Practice Guidelines;Nurses'Association of Ontario, Pearl Street Toronto,Canada Email;lisaye123@gmail.com</t>
  </si>
  <si>
    <t>Tobacco-nicotine education and training for health-care professional students and practitioners: A systematic review</t>
  </si>
  <si>
    <t>(MAJOR FOCUS);nicotine;health practitioner;medical education;tobacco use;clinical competence;curriculum;education program;health care delivery;health personnel attitude;human;priority journal;professional knowledge;review;smoking cessation;systematic review;nicotine (54-11-5);Public Health, Social Medicine and Epidemiology (17)</t>
  </si>
  <si>
    <t>Introduction: The objective of this systematic review was to investigate what education and training characteristics prepares and supports health-care professionals (HCPs) in the delivery of competent and effective care to clients who use tobacco-nicotine. Aims and Methods: A search of eight bibliographic databases for English-language peer-reviewed publications from January 2006 to March 2015. Studies were included if they met the a priori inclusion criteria, which consisted of: (1) quantitative study design and (2) focus on tobacco-nicotine education or training for HCP students and practitioners. All studies were independently screened for inclusion by two reviewers. Data from included studies were extracted for study characteristics and key outcomes then critically appraised for methodological quality. Results: Fifty-nine studies were included for narrative synthesis. Two categories emerged: (1) curriculum characteristics (n = 10) and (2) education and training interventions (n = 49). Included curriculum studies identified the following themes: content, intensity, competencies evaluation, and barriers. Study findings about education and training interventions were grouped by level of education (prelicensure, post-licensure, and faculty training), teaching modality, health discipline, and the associated HCP and client outcomes. Conclusions: This comprehensive review suggests that there is a lack of consistency in HCP tobacco-nicotine education and training characteristics. This paper provides valuable categorization of the most frequently utilized components of academic curriculum and discusses the interventions in relation to HCP and client outcomes. Gaps in the literature are highlighted, and the need for standardization of tobacco-nicotine training competencies and evaluation is discussed. Future research investigating the most effective approaches to training is needed. Implications: This systematic review summarizes existing tobacco-related curriculum components (content, intensity, competency evaluation, and barriers) and training interventions for healthcare professionals worldwide and demonstrates that they are associated with positive health-care professional outcomes (knowledge, attitudes, behaviors, and skills) and client outcomes (quit attempts and smoking abstinence).</t>
  </si>
  <si>
    <t>(Ye L., lisaye123@gmail.com; Sharma T.; John S.; Bamford M.) (Goldie C.) (Smith P.M.) (Selby P.) (Schultz A.S.H.) Oxford University Press; ID: 1721</t>
  </si>
  <si>
    <t>20180281709 PUI L621730423</t>
  </si>
  <si>
    <t>10.1093/ntr/ntx072 FULL TEXT LINK http://dx.doi.org/10.1093/ntr/ntx072</t>
  </si>
  <si>
    <t>Young,H.;Shear,J.;Hernandez,Y.;Compton,P.;Author,Addresses;Georgetown,University;Hospital,Reservoir Road N.W.P.H.C.Washington United States;Correspondence,Address;C.,H.Young, Georgetown University Hospital Reservoir Road N.W.P.H.;Washington,United States Email heidi m young gunet georgetown edu</t>
  </si>
  <si>
    <t>The ''opioid square'': A new way to learn opioid conversions</t>
  </si>
  <si>
    <t>A13</t>
  </si>
  <si>
    <t>(MAJOR FOCUS);opiate;morphine;adverse drug reaction;clinical trial;controlled study;drug therapy;human;learning;major clinical study;medical school;medical student;needs assessment;pain;physician;prevention;side effect;skill;teaching;morphine (52-26-6, 57-27-2);opiate (53663-61-9, 8002-76-4, 8008-60-4)</t>
  </si>
  <si>
    <t>Description: Objectives: We evaluated the ''Opioid Square'' in comparison to a classic conversion table in a single 2nd year medical school class, assessing both accuracy in making opioid conversions and preference for each tool. 1. Determine the degree to which the ''Opioid Square'' tool assists 2nd year medical students to correctly calculate opioid conversions 2. Evaluate 2nd year medical student's preference to use the ''Opioid Square'' in comparison to the classic equianalgesic tables to calculate opioid conversions. Background: Equianalgesic conversions between opioid drugs and oral and intravenous formulations are a clinically important skill for all practitioners who treat pain. Accuracy is critical to preventing serious adverse events. Opioid conversion tables are a commonly used tool for teaching this skill, however needs assessment at our institution reveals the classic conversion table is difficult for learners to understand. A novel visual tool, the ''Opioid Square'' was developed to provide a different visual framework for opioid conversions. Methods: The sample consisted of 200 students at a single academic institution who were learning opioid conversions for the first time during their Pharmacology class. Students were taught conversion using both the standard conversion table, and the ''Opioid Square'' method. An eight item conversion quiz followed, on various opioid drugs and formulations of each. Students were allowed to use either tool and preferences were assessed with qualitative comments. Results: 187/200 students participated in the study. Accuracy of the eight conversion questions was generally good (85-100% correct), and without any statistical differences in accuracy between the Square and the Table. Incorrect conversions were more likely on two-step problems (i.e.: IV fentanyl to oral morphine). A slight majority of students (53%) indicated that they preferred the Opioid Square over the Conversion Table, and 35% noted they would prefer to use both tools if given the option in the future. Conclusions: The novel ''Opioid Square'' tool is not inferior to the classic opioid equianalgesic table for helping students make accurate conversions. As many students preferred the ''Square,'' this tool may provide educators with an alternative visual framework for teaching opioid conversions. Our poster will provide education on using this tool at any institution, and pocket cards will be provided. A link to the ''Opioid Square'' tool is: https://www.dropbox.com/s/gdabbj9tl44293v/OpioidSquare .pdf?dl=0.</t>
  </si>
  <si>
    <t>(Young H., heidi.m.young@gunet.georgetown.edu) (Shear J.; Hernandez Y.; Compton P.) Center to Advance Palliative Care National Seminar Practical Tools for Making Change, CAPC 2016 Orlando, FL, United States 2016-10-26 to 2016-10-29 Mary Ann Liebert Inc.; ID: 1865</t>
  </si>
  <si>
    <t>10.1089/jpm.2017.0051 FULL TEXT LINK http://dx.doi.org/10.1089/jpm.2017.0051</t>
  </si>
  <si>
    <t>Young,S. D.;Heinzerling,K.;Author,Addresses;Department of,Family;Medicine,David Geffen School of Medicine University of California Los;Angeles,United States;Correspondence,Address;SD Young, Department of Family Medicine David Geffen School,of Medicine;University of California, Los Angeles Wilshire Blvd,Suite Los;Angeles,United States Email sdyoung mednet ucla edu</t>
  </si>
  <si>
    <t>The Harnessing Online Peer Education (HOPE) intervention for reducing prescription drug abuse: A qualitative study</t>
  </si>
  <si>
    <t>(MAJOR FOCUS);opiate (drug therapy);chronic pain (drug therapy, drug therapy);drug abuse;prescription;social media;adult;article;clinical article;clinical outcome;female;human;male;medical staff;peer group;perception;priority journal;qualitative research;social support;young adult;opiate (53663-61-9, 8002-76-4, 8008-60-4);Public Health, Social Medicine and Epidemiology (17);Drug Literature Index (37);Neurology and Neurosurgery (8)</t>
  </si>
  <si>
    <t>Social media technologies are newly emerging tools that can be used to address the growing prescription drug epidemic. In this study, we sought to determine the feasibility and acceptability of using social media to reduce complications of opioid use among patients experiencing chronic pain. Specifically, we evaluated the utility of the Harnessing Online Peer Education (HOPE) social media intervention to reduce the risk of addiction and overdose among non-cancer pain patients receiving chronic opioid therapy. University of California, Los Angeles (UCLA) patients receiving chronic opioid therapy and UCLA staff were invited to participate in interviews regarding the HOPE intervention. Questions focused on resources used to manage pain, the limitations and benefits of these approaches, and the likelihood of using an online community to reduce complications of opioid therapy. Using an open-coding process, three topics were identified for the patients: (1) online social support is important for improving outcomes, (2) offline social support is helpful for some patients but has limitations, and (3) a tailored, online peer support intervention is needed. Interviews with staff confirmed these results. The HOPE social media intervention and other online communities appear to be an acceptable technology for patients on chronic opioid therapy.</t>
  </si>
  <si>
    <t>(Young S.D., sdyoung@mednet.ucla.edu; Heinzerling K.) Taylor and Francis Ltd, healthcare.enquiries@informa.com; ID: 1759</t>
  </si>
  <si>
    <t>20170092871 PUI L614299164</t>
  </si>
  <si>
    <t>10.1080/14659891.2016.1271039 FULL TEXT LINK http://dx.doi.org/10.1080/14659891.2016.1271039</t>
  </si>
  <si>
    <t>Yu,J.;Harris,B. R.;DeStafeno,S.;O'Grady,M.;Author,Addresses;School,of Social;University at Albany, State University of New York Albany,United States;Correspondence,Address;Yu, School of Social Welfare University at Albany State University of,J.;New York,Albany,United States</t>
  </si>
  <si>
    <t>Knowlege, training, and SBIRT practice among New York state physicians, nurse practitioners, and physician assistants</t>
  </si>
  <si>
    <t>209A</t>
  </si>
  <si>
    <t>alcoholism;human;nurse practitioner;physician;physician assistant;society;United States;control strategy;cost effectiveness analysis;drug control;early intervention;health care;insurance;medicaid;medical society;model;patient;policy;primary medical care;public health;reimbursement;screening;substance abuse;substance use</t>
  </si>
  <si>
    <t>Background: Past research has indicated the cost-effectiveness of Screening, Brief Intervention, and Referral to Treatment (SBIRT) as an early intervention strategy in various healthcare and public health settings, including the primary care setting, to address substance use disorders. The Office of National Drug Control Policy has included SBIRT in its current drug control strategy, and New York State is promoting the statewide expansion and sustainability of SBIRT. This study examines the extent to which SBIRT is currently being integrated in primary care in New York State. Methods: Between October and November 2013, an electronic survey was emailed to members of the Medical Society of the State of New York (MSSNY), the Nurse Practitioner Association of New York (NPANY), and the New York State Society of Physician Assistants (NYSSPA). The survey focused on SBIRT knowledge, training, and practice among primary care professionals to obtain a better understanding of the future needs in the development of a statewide strategic plan for integration of SBIRT in the primary care setting. Results: The survey received 258 responses; 66.9% physicians, 24.3% physician assistants, and 7.7% nurse practitioners. Less than half of respondents had received training in how to: (1) screen patients for substance use (45%), (2) advise patients about risky substance use (49%), and (3) provide referrals to specialty treatment (46%). Thirty-eight percent of respondents reported screening for substance use, 31.4% reported conducting brief interventions, and 32.6% reported providing referrals to specialty treatment. Only 27.6% reported being somewhat or very familiar with the SBIRT model. Most respondents did not use a screening tool required for Medicaid reimbursement; 53.1% reported asking patients directly about their use while 45% reported using the CAGE instrument which identifies substance dependence, not risky use. Fifty-nine percent of respondents reported rarely or never billing for SBIRT. Conclusion: Findings suggest increasing awareness of the SBIRT model, of federal and state recommendations for conducting SBIRT, and of the requirements to bill and be reimbursed by insurance plans for screening and intervention. Results also have implications for other states that are making efforts to integrate SBIRT in primary care. Further research is required to study factors associated with levels of practice identified in this survey.</t>
  </si>
  <si>
    <t>(Yu J.; Harris B.R.; DeStafeno S.; O'Grady M.) 38th Annual Scientific Meeting of the Research Society on Alcoholism San Antonio, TX, United States 2015-06-20 to 2015-06-24 Blackwell Publishing Ltd; ID: 2098</t>
  </si>
  <si>
    <t>Yu,J.;Harris,B. R.;Shi,J.;Author,Addresses;School of Social Welfare, State,University of;New York,Albany,United States;Correspondence,Address;Yu, School of Social Welfare State University of New York Albany,J.;United,States</t>
  </si>
  <si>
    <t>Increasing adoption of screening, brief intervention, and referral (SBIRT) to treatment among primary healthcare professionals in New York State</t>
  </si>
  <si>
    <t>67A</t>
  </si>
  <si>
    <t>alcohol;alcoholism;health care personnel;human;primary health care;screening;society;United States;comfort;data analysis software;drug abuse;drug misuse;early intervention;education;environment;hypothesis;medical society;model;nurse practitioner;patient;patient referral;physician assistant;practice guideline;prevention;preventive medicine;primary medical care;procedures;responsibility;risk;self concept;substance abuse;substance use;worker</t>
  </si>
  <si>
    <t>Purpose: While there is convincing evidence of the effectiveness of SBIRT in reducing misuse of alcohol and drugs among primary care patients, most healthcare professionals have not followed the published practice guidelines to provide services. This study examines factors that may influence the likelihood of adopting SBIRT for substance use among primary healthcare professionals. Methods: Between October and November 2013, a pilot electronic survey was sent to members of the Medical Society of the State of New York (MSSNY), the Nurse Practitioner Association of New York (NPANY), and the New York State Society of Physician Assistants (NYSSPA) to collect data on knowledge, training, and practice of SBIRT among primary care professionals. A series of structural- measurement models was developed and estimated using SPSS AMOS. The hypotheses stipulate that (i) the likelihood of adopting SBIRT in the primary healthcare setting among medical professionals is influenced by their perceived self-efficacy to deliver such services, measured by the amount of training, their ability to deliver substance abuse related services, and their familiarity with SBIRT intervention procedures; (ii) by their attitudes toward early intervention of substance abuse, reflected in their perception of the importance of substance abuse prevention and intervention, their perceived responsibility to provide substance abuse intervention to patients as a medical professional, their comfort in delivering substance abuse interventions; and (iii) by the environment factors such as the proportion of their patients that shows alcohol and drug problems, and the extent to which treatment facilities are available for patient referrals. Results: The final model contains two main exogenous constructs (n = 248): Î“Ã‡Â£ATTITUDES,Î“Ã‡Â¥ measured by respondents' perception of ability and responsibility to provide early intervention in their practice, and Î“Ã‡Â£ENVIRONMENT,Î“Ã‡Â¥ indicated by large proportions of their patients needing help and availability of treatment facilities for referrals. Conclusion: Training and education to promote SBIRT for primary care workers need to focus on increasing their favorable attitudes towards SBIRT as a strategy of preventive medicine and should include the knowledge of the infrastructure of substance abuse services, especially for medical providers who see large numbers of patients at high risks for alcohol and drug misuse.</t>
  </si>
  <si>
    <t>(Yu J.; Harris B.R.; Shi J.) 39th Annual Scientific Meeting of the Research Society on Alcoholism New Orleans, LA, United States 2016-06-25 to 2016-06-29 Blackwell Publishing Ltd; ID: 1944</t>
  </si>
  <si>
    <t>10.1111/acer.13084 FULL TEXT LINK http://dx.doi.org/10.1111/acer.13084</t>
  </si>
  <si>
    <t>Yun,S.;Chanetsa,F.;Kelsey,A.;Zhu,B. P.;Author,Addresses;Missouri,Department;of Health, Senior Services Division,of Community;Public,Health;Wildwood Dr, Jefferson City,M.O.United States;Center for Health Care Quality, Department,of Health;Management;Informatics,School of Medicine Columbia M.O.;United,States;Correspondence,Address;Yun, Missouri Department of Health Senior Services Division of,S.;Community;Public Health, Wildwood Dr Jefferson,City M.;United States Email, shumei yun dhss,mo gov</t>
  </si>
  <si>
    <t>16488000; Active and passive smoking among asthmatic Missourians: Implications for health education</t>
  </si>
  <si>
    <t>asthma;health education;passive smoking;adult;African American;aged;article;college student;confidence interval;European American;female;health care personnel;health survey;high school;human;interview;major clinical study;male;physician;prevalence;priority journal;risk assessment;risk factor;smoking cessation;technical aid;telephone;United States;Chest Diseases, Thoracic Surgery and Tuberculosis (15);Public Health, Social Medicine and Epidemiology (17)</t>
  </si>
  <si>
    <t>Objectives.: To estimate the prevalence of smoking and exposure to secondhand smoke among asthmatic Missourians and to describe associated predisposing factors. Method.: The Missouri County-level Behavioral Risk Factor Survey, conducted among 15,059 non-institutionalized Missourians aged 18 years or older using random-digit-dialed telephone interviews during 2002-2003, was used in this study. Results.: Current smoking (28.4%) and regular exposure to secondhand smoke (19.9%-36.4%, depending on the setting) were prevalent among asthmatic Missourians. Among asthmatics, those with college or technical school education were less likely to be current smokers compared to those with less than a high school education odds ratio (OR)â”¬Ã¡=â”¬Ã¡0.25, 95% confidence interval (CI): 0.11, 0.57]; African Americans were less likely to be current smokers than white (ORâ”¬Ã¡=â”¬Ã¡0.24, 95% CI: 0.07, 0.83); however, among asthmatic non-current smokers, African Americans were more likely to expose to secondhand smoke one or more days per week inside home than whites. Of the asthmatic current smokers who had visited a physician in the past 12 months, 30.0% were not advised by health care professionals to quit smoking. Conclusions.: Asthma intervention programs should strengthen smoking cessation components and should educate health care professionals about the importance of advising asthmatic patients to quit smoking. â”¬âŒ 2006 The Institute For Cancer Prevention and Elsevier Inc.</t>
  </si>
  <si>
    <t>(Yun S., shumei.yun@dhss.mo.gov; Kelsey A.; Zhu B.-P.) (Chanetsa F.) Academic Press Inc., 6277 Sea Harbor Drive, Orlando, United States.; ID: 3114</t>
  </si>
  <si>
    <t>http://www.ncbi.nlm.nih.gov/pubmed/16488000</t>
  </si>
  <si>
    <t>10.1016/j.ypmed.2006.01.004 FULL TEXT LINK http://dx.doi.org/10.1016/j.ypmed.2006.01.004</t>
  </si>
  <si>
    <t>Active and passive smoking among asthmatic Missourians: Implications for health education</t>
  </si>
  <si>
    <t>Zakaria,W.;Khoury,A.;Author,Addresses;Correspondence,Address;Zakaria,W.</t>
  </si>
  <si>
    <t>Influence of smoking among residents doctors in a tertiary teaching hospital and their attitude of giving smoking cessation advice</t>
  </si>
  <si>
    <t>nicotine;European;human;physician;smoking;smoking cessation;society;teaching hospital;female;hospital;male;patient;prevalence;prevention;resident;smoke;smoking habit;university hospital</t>
  </si>
  <si>
    <t>Introduction: Smoking among resident doctors would be an obstacle to effective Smoking prevention, in particular the practice of minimal advice. Objectives: To assess the Smoking habits of resident doctors in a tertiary teaching Hospital and to study the link between their Smoking status and their practice of minimal Smoking cessation advice in 2011 in a legislative context unfavorable to smokers. Methods: From a total 477 resident doctors in Aleppo University Hospital, 466 doctors l answered a survey (response rate:97.6%) investigating their own Smoking habits and how they approach patients who smoke. Results: The Prevalence of active Smoking among responders was(24%)35% were Male, and 4% Female], 4% were former smokers and 72% never smoked. Regular smokers (58%)smoked an average 15 cigarettes a day and 43%were nicotine dependant (5%) strongly]. 66% of smokers doctors wish to stop Smoking an more than 50% of them wish to consult Anti-Smoking clinic. When consulting doctors systematically addressed smoking habits(62%) said that they gave minimal smoking cessation advice, in contrast with (87%) of non smokers doctors. The incidence of Smoking in the family's smoker resident doctors was(64%)in contrast with non smokers (41%). Conclusions: Resident doctors who smoked were less prone to ask their patients if they smoke (38% versus 13% of non-smokers: P=0.003) and they believed that their smoking does not influence their practice of giving minimal smoking advice.</t>
  </si>
  <si>
    <t>(Zakaria W.; Khoury A.) European Respiratory Society Annual Congress 2012 Vienna, Austria 2012-09-01 to 2012-09-05 European Respiratory Society; ID: 2513</t>
  </si>
  <si>
    <t>Zawahir,S.;Omar,M.;Awang,R.;Yong,H. H.;Borland,R.;Sirirassamee,B.;Fong,G. T.;Hammond,D.;Author,Addresses;Clearinghouse,for;Tobacco Control, National Poison Center Universiti Sains,Malaysia Pulau;Pinang,Malaysia;School,of Pharmacy;Science University,Shah,Alam Malaysia;Cancer,Council Victoria;Institute for,Population;Social Research,Mahidol;University,Salaya Thailand;Department of Psychology, University of,Waterloo O.;Ontario Institute for,Cancer Research;Department,of Health;Gerontology,University of;Waterloo,O. N. C.;Correspondence,Address;Zawahir, National Poison Center Universiti Sains Malaysia Pulau,S.;Pinang,Malaysia Email shukry gmail com</t>
  </si>
  <si>
    <t>22949569; Effectiveness of antismoking media messages and education among adolescents in Malaysia and Thailand: Findings from the international tobacco control southeast asia project</t>
  </si>
  <si>
    <t>adolescent smoking;health education;mass medium;smoking ban;adolescent;article;comparative effectiveness;controlled study;female;health belief;health hazard;health survey;human;international cooperation;Malaysia;male;nurse;physician;priority journal;school health service;sex difference;Thailand;Public Health, Social Medicine and Epidemiology (17);Health Policy, Economics and Management (36)</t>
  </si>
  <si>
    <t>Introduction: Finding ways to discourage adolescents from taking up smoking is important because those who begin smoking at an earlier age are more likely to become addicted and have greater difficulty in quitting. This article examined whether anti smoking messages and education could help to reduce smoking susceptibility among adolescents in two Southeast Asian countries and to explore the possible moderating effect of country and gender. Methods: Data came from Wave 1 of the International Tobacco Control Southeast Asia Project (ITC-SEA) survey conducted in Malaysia (n = 1,008) and Thailand (n = 1,000) where adolescents were asked about receiving antismoking advice from nurses or doctors, being taught at schools about the danger of smoking, noticing antismoking messages, knowledge of health effects of smoking, beliefs about the health risks of smoking, smoking susceptibility, and demographic information. Data were analyzed using chi-square tests and logistic regression models. Results: Overall, significantly more Thai adolescents reported receiving advice from their nurses or doctors about the danger of smoking (p &lt; .001), but no country difference was observed for reported antismoking education in schools and exposure to antismoking messages. Multivariate analyses revealed that only provision of antismoking education at schools was significantly associated with reduced susceptibility to smoking among female Malaysian adolescents (OR = 0.26). Higher knowledge of smoking harm and higher perceived health risk of smoking were associated with reduced smoking susceptibility among Thai female (OR = 0.52) and Malaysian male adolescents (OR = 0.63), respectively. Conclusions: Educating adolescents about the dangers of smoking in schools appears to be the most effective means of reducing adolescents' smoking susceptibility in both countries, although different prevention strategies may be necessary to ensure effectiveness for male and female adolescents. â”¬âŒ The Author 2012. Published by Oxford University Press on behalf of the Society for Research on Nicotine and Tobacco. All rights reserved.</t>
  </si>
  <si>
    <t>(Zawahir S., shukry2010@gmail.com; Omar M.; Awang R.) (Zawahir S., shukry2010@gmail.com) (Yong H.-H.; Borland R.) (Sirirassamee B.) (Fong G.T.) (Hammond D.) (USM) Oxford University Press, Great Clarendon Street, Oxford, United Kingdom.; ID: 2428</t>
  </si>
  <si>
    <t>http://www.ncbi.nlm.nih.gov/pubmed/22949569</t>
  </si>
  <si>
    <t>10.1093/ntr/nts161 FULL TEXT LINK http://dx.doi.org/10.1093/ntr/nts161</t>
  </si>
  <si>
    <t>Effectiveness of antismoking media messages and education among adolescents in Malaysia and Thailand: Findings from the international tobacco control southeast asia project</t>
  </si>
  <si>
    <t>Zgierska,A.;Marcus,M. T.;Author,Addresses;Correspondence,Address;Zgierska,A.</t>
  </si>
  <si>
    <t>20408058; Mindfulness-based therapies for substance use disorders: part 2</t>
  </si>
  <si>
    <t>addiction (therapy);meditation;editorial;evaluation study;human;methodology;psychotherapy</t>
  </si>
  <si>
    <t>(Zgierska A.; Marcus M.T.); ID: 2807</t>
  </si>
  <si>
    <t>http://www.ncbi.nlm.nih.gov/pubmed/20408058</t>
  </si>
  <si>
    <t>10.1080/08897071003641248 FULL TEXT LINK http://dx.doi.org/10.1080/08897071003641248</t>
  </si>
  <si>
    <t>Mindfulness-based therapies for substance use disorders: part 2</t>
  </si>
  <si>
    <t>Zhabenko,O.;Zhabenko,N.;Author,Addresses;Department of Psychiatry, Ukrainian Research,Institute of;Social Forensic,Psychiatry;Drug Abuse,Ukraine;Department of Psychiatry, Lugansk State,Medical University;Ukraine;Correspondence,Address;Zhabenko, Department of Psychiatry Ukrainian Research Institute of,O.;Social Forensic,Psychiatry;Drug Abuse,Ukraine</t>
  </si>
  <si>
    <t>Postgraduate training on general, addiction and child psychiatry in Ukraine</t>
  </si>
  <si>
    <t>addiction;child psychiatry;college;human;postgraduate education;psychiatrist;Ukraine;alcohol abuse;female;health;health survey;hospital patient;major depression;male;medical specialist;medical student;mental health;mental health service;mental hospital;mental patient;outpatient;physician;population;postgraduate student;psychiatric department;psychiatry;recertification;specialization;therapy;training;university;world health organization</t>
  </si>
  <si>
    <t>Purpose: According to the World Health Organization (WHO) national mental health survey Ukraine has the highest rates of alcohol abuse (20%) among men and major depression (20%) among women. In the WHO study in 2004, 80% of Ukrainian respondents with serious problems reported to have not received any therapy. It is very important to motivate medical students to become a physician for mentally ill persons. Material and method: The materials of this work will present general, addiction and child psychiatry training in Ukraine. Results: Ukrainian Ministry of Health is responsible national body that develops and provides postgraduate training programs in psychiatry for Medical Universities. The duration of the general psychiatry program is one year and a half. Psychiatry training consists of rotation in inpatient and outpatient psychiatric units, theoretical and practical classes. After general psychiatry postgraduate training six-month specialization is needed to obtain qualification in addiction and/or child psychiatry. Each five years a psychiatrist needs to participate in a 1-month postgraduate course and then recertification process is needed to support or increase the appropriate level of degree. Totally there are three degrees for all specialties: the highest, the first and the second. Conclusion: Martsenkovsky and colleagues in 2009 reported that Ukraine had 5000 psychiatrists and substance misuse specialists and over 500 child psychiatrists for 48 million populations. The basis of Ukrainian general, addiction and child psychiatry service is a network of responsible physicians for a given area. A network of acute psychiatric hospitals and outpatients units provide mental health service.</t>
  </si>
  <si>
    <t>(Zhabenko O.) (Zhabenko N.) 15th Pacific Rim College of Psychiatrists Scientific Meeting, PRCP 2012 Seoul, South Korea 2012-10-25 to 2012-10-27 Wiley-Blackwell; ID: 2502</t>
  </si>
  <si>
    <t>10.1111/appy.12004 FULL TEXT LINK http://dx.doi.org/10.1111/appy.12004</t>
  </si>
  <si>
    <t>Zhang,M. W. B.;Ho,R. C. M.;Author,Addresses;Biomedical,Global Institute;Healthcare,Research;Technology,National University of;Singapore,Singapore Singapore;Department of,Psychological Medicine;Healthcare Systems,Singapore Singapore;Correspondence,Address;MWB Zhang, Biomedical Global Institute of Healthcare,Research and;Technology,National University of Singapore Singapore;Singapore Email,melvynzhangweibin,gmail com</t>
  </si>
  <si>
    <t>Tapping onto the potential of smartphone applications for psycho-education and early intervention in addictions</t>
  </si>
  <si>
    <t>7:MAR Article Number: 40.</t>
  </si>
  <si>
    <t>alcohol;addiction (therapy);early intervention;psychoeducation;smartphone;alcohol blood level;alcoholism (therapy);article;harm reduction;health hazard;high risk population;human;mass medium;medical ethics;mental disease;mental health;practice guideline;psychiatrist;risk reduction;alcohol (64-17-5);Public Health, Social Medicine and Epidemiology (17);Biophysics, Bioengineering and Medical Instrumentation (27);Psychiatry (32)</t>
  </si>
  <si>
    <t>E-health, and in particular smartphone-based technology, is increasingly becoming commonplace in healthcare. While psychiatry has tapped onto these innovations for conditions, such as affective disorders, and schizophrenia and psychosis, the usage of these technologies in addiction is limited. Addiction psychiatry could harness the potential of smartphone technologies. Given the increasing incidences of substance-related problems globally, and along with the normalization of the general public's perspectives toward substances, and also in consideration of unwillingness for at-risk individuals in seeking help, the authors hope to illustrate how these issues could potentially be solved using E-health and technological innovations. The objectives of the current perspective article are to illustrate how recent advances in smartphone-based technologies could help in terms of psycho-education, as well as in helping individuals who are at-risk users in seeking help earlier. The authors aim to illustrate how the above are possible, building on existing theory-driven framework that has been extensively reviewed in the previous literature. Limitations with regard to the implementation of such technologies will also be discussed.</t>
  </si>
  <si>
    <t>(Zhang M.W.B., melvynzhangweibin@gmail.com) (BIGHEART) (Ho R.C.M.) (NUHS) Frontiers Research Foundation, info@frontiersin.org; ID: 1974</t>
  </si>
  <si>
    <t>20160337807 PUI L610150853</t>
  </si>
  <si>
    <t>10.3389/fpsyt.2016.00040 FULL TEXT LINK http://dx.doi.org/10.3389/fpsyt.2016.00040</t>
  </si>
  <si>
    <t>Zhang,Y.;Tian,J.;Von Deneen,K. M.;Liu,Y.;Gold,M. S.;Author,Addresses;Life Sciences,Research Center;of Life,Sciences;Technology,Xidian University Xi'an Shaanxi;China;Department,of;Psychiatry;McKnight Brain Institute, University of,Florida South;Newell Drive,Gainesville,F.L.United States;Institute of Automation, Chinese Academy of,Sciences Zhong;Guancun East Road, No,Beijing China;Correspondence,Address;MS Gold,Department,of Psychiatry;McKnight,Brain Institute;of Florida, South Newell Drive,Gainesville F.;States Email,msgold,ufl edu</t>
  </si>
  <si>
    <t>Process addictions in 2012: Food, internet and gambling</t>
  </si>
  <si>
    <t>Neuropsychiatry</t>
  </si>
  <si>
    <t>alcohol;ghrelin;insulin;leptin;methylphenidate;internet addiction (etiology);pathological gambling (etiology);alcohol abuse;binge eating disorder;body weight gain;decision making;eating disorder;electroencephalogram;feeding disorder;food;human;hyperphagia;metabolic syndrome X;neoplasm;non insulin dependent diabetes mellitus;Prader Willi syndrome;priority journal;review;tobacco;alcohol (64-17-5);ghrelin (304853-26-7);insulin (9004-10-8);methylphenidate (113-45-1, 298-59-9);General Pathology and Pathological Anatomy (5);Neurology and Neurosurgery (8);Public Health, Social Medicine and Epidemiology (17);Psychiatry (32)</t>
  </si>
  <si>
    <t>Traditional addiction studies have focused specifically on the use of chemical substances, while more recent studies have begun to focus on behavioral processes. Process addiction is an addiction to a natural and in many cases essential behavior such as eating and sex. Acquired continued and compulsive overeating is one process addiction similar to other activities or behaviors, such as excessive video gaming, pathological gambling, hypersexuality or excessive internet use where the addict shows loss of control, an inability to stop or modify the activity, and a range of signs and symptoms that can be as debilitating as those associated with substance abuse or addiction. Individuals with process addiction would meet criteria for addiction if their substance of abuse was considered a drug. They present characteristics like other addicts, have a chronic and relapsing course and often the addiction leaves them with loss of health, happiness and a difficulty treating the disease. Gambling has been the least contentious process addiction and will appear in the Diagnostic and Statistical Manual of Mental Disorders. Food and sex have been the most difficult for the field to consider as addictions. However, food may have the clearest, long-standing scientific research behind it. In this review, we provide a summary of the literature on process (behavior) addictions and a discussion of food addiction, as well as pathological gambling and internet addiction disorder. â”¬âŒ 2012 Future Medicine Ltd.</t>
  </si>
  <si>
    <t>(Zhang Y.; Tian J.; Von Deneen K.M.) (Zhang Y.; Von Deneen K.M.; Liu Y.; Gold M.S., msgold@ufl.edu) (Tian J.) Future Medicine Ltd., 2nd Albert Place, Finchley Central, London, United Kingdom.; ID: 2574</t>
  </si>
  <si>
    <t>1758-2008 1758-2016 (electronic)</t>
  </si>
  <si>
    <t>2012201353 PUI L364582500</t>
  </si>
  <si>
    <t>10.2217/npy.12.14 FULL TEXT LINK http://dx.doi.org/10.2217/npy.12.14</t>
  </si>
  <si>
    <t>Zhongli,L.;Hong,G.;Author,Addresses;Department,of Gastroenterology;China;Correspondence,Address;Hong, Department of Gastroenterology XinQiao Hospital China,G.</t>
  </si>
  <si>
    <t>Assessment of cancer pain management knowledge in southwest China</t>
  </si>
  <si>
    <t>28 SUPPL. 3</t>
  </si>
  <si>
    <t>morphine;analgesia;Asian;cancer pain;China;gastroenterology;addiction;cancer patient;city;competence;hospital;human;medical education;medical student;neoplasm;oncology;pain;palliative therapy;patient;physician;public hospital;questionnaire;teaching hospital;Western Hemisphere</t>
  </si>
  <si>
    <t>Objective: The management of pain is still a critical issue in the care of patients with cancer in China, especially in small city and county hospitals in southwest China. To estimate Chinese physicians' competence in cancer pain management and their opinion on barrier to optimal pain management. Methods: A survey was carried out in 259 physicians during their fellowship training in a tertiary teaching hospital, using a questionnaire adapted from an earlier study from Eastern Cooperative Oncology Group (ECOG) of America. Results: The result showed the majority physicians felt that 70% of the cancer patients suffer pain. Near ninety percent (224/ 259) of these physicians thought they had poor trainings about cancer pain management. Concern about addiction to morphine was reported as the main reason physician's hesitation for prescribing opioids. Lack of enough assessment to cancer pain was identified as the most significant barrier to optimal cancer pain management. Conclusion: There is a need to develop continuing medical education of palliative care and pain management for medical students and physicians of southwest hospitals.</t>
  </si>
  <si>
    <t>(Zhongli L.; Hong G.) Asian Pacific Digestive Week 2013, APDW 2013 - World Congress of Gastroenterology, WCOG 2013 Shanghai, China 2013-09-21 to 2013-09-24 Blackwell Publishing; ID: 2352</t>
  </si>
  <si>
    <t>10.1111/jgh.12363_3 FULL TEXT LINK http://dx.doi.org/10.1111/jgh.12363_3</t>
  </si>
  <si>
    <t>Zorlu,N.;Tâ”œâ•rk,H.;Manavgat,A. I.;Karadaâ”¼Æ’,B.;Gâ”œâ•lseren,â”¼â‚§;Author,Addresses;Izmir;Atatâ”œâ•rk Eâ•ŸÂºitim ve Araâ”¼Æ’tirma Hastanesi, Psikiyatri Kliniâ•ŸÂºi,Izmir Turkey;Izmir Atatâ”œâ•rk Eâ•ŸÂºitim,ve Ara;ve,Toksikoloji Birimi;Correspondence,Address;Zorlu, Atatâ”œâ•rk Eâ•ŸÂºitim ve Araâ”¼Æ’tirma Hastanesi Psikiyatri Kliniâ•ŸÂºi,N.;Basinsitesi-Izmir,Turkey</t>
  </si>
  <si>
    <t>Retrospective studying of sociodemographic, clinical characteristics and extent of alcohol use disorder among patients applied by probation ORIGINAL (NON-ENGLISH) TITLE Denetimli serbestlik uygulamasi{dotless} kapsami{dotless}nda baâ”¼Æ’vuran hastalarda sosyodemografik, klinik â”œâ•¢zelliklerin ve alkol kullani{dotless}m bozukluâ•ŸÂºu si{dotless}kli{dotless}â•ŸÂºi{dotless}ni{dotless}n geriye dâ”œâ•¢nâ”œâ•k deâ•ŸÂºerlendirilmesi</t>
  </si>
  <si>
    <t>Anadolu Psikiyatri Dergisi</t>
  </si>
  <si>
    <t>benzodiazepine;cannabis;carbohydrate deficient transferrin (endogenous compound);cocaine;diamorphine;midomafetamine;alcoholism (diagnosis, epidemiology);probation;adult;article;blood sampling;CAGE score;cannabis addiction (diagnosis, epidemiology);clinical assessment;clinical assessment tool;clinical feature;cocaine dependence (diagnosis, epidemiology);controlled study;data analysis software;demography;drug dependence (diagnosis, epidemiology);female;heroin dependence (diagnosis, epidemiology);human;inhalant abuse;major clinical study;male;medical record;prevalence;retrospective study;risk factor;social aspect;substance abuse;unemployment;urinalysis;3,4 methylenedioxymethamphetamine (42542-10-9);benzodiazepine (12794-10-4);cannabis (8001-45-4, 8063-14-7);cocaine (50-36-2, 53-21-4, 5937-29-1);diamorphine (1502-95-0, 561-27-3);Psychiatry (32);Drug Dependence, Alcohol Abuse and Alcoholism (40)</t>
  </si>
  <si>
    <t>Objective: Aim of this study was to study sociodemographic, clinical characteristics and extent of alcohol use disorder (AUD) among patients applied by probation. Methods: The file records of the 215 cases who gave at least one urine-blood sample applied to Izmir Ataturk Education and Research Hospital Addiction Unit Probation Policlinic at February 2010 have been assessed retrospectively. Sociodemographic characteristics, clinical characteristics of substance use and CAGE (Cut down, Annoyed, Guilty, Eye-opener) scores and blood %CDT (carbohydrate-deficient transferring) results of cases were used to detect AUD. SPSS 15.0 program has been used for the statistical assessment. Results: The average age of the sample was 29.4â”¬â–’9.1 year and most of the patients were male (%99.5). The lifetime prevalence of substances was cannabis %99.5, ecstasy %17.2, benzodiazepine %11.6, cocaine %5.6, heroin %0.9 and inhalants %0.9. %10.2 patients were positive for urine samples. %8.8 patient were positive for cannabis and %3.2 were positive for benzodiazepine. Urine samples positive group had higher unemployment rates (â•§Ã§(2)=8.72, p=0.003) and higher CAGE scores (â•§Ã§(2)=5.08, p=0.024). %37.2 patients had positive %CDT and %25.6 patients had positive CAGE scores. Discussion: The most important finding of this study is that higher unemployment rates in urine positive group and high AUD rates in all patients. The relationship between unemployment and substance use show that social and employment rehabilitation programs with medical treatment is important. High AUD rates show the importance of evaluating alcohol use in treatment.</t>
  </si>
  <si>
    <t>(Zorlu N., zorlunabi@hotmail.com; Tâ”œâ•rk H.; Manavgat A.I.; Gâ”œâ•lseren â”¼â‚§.) (Karadaâ”¼Æ’ B.) Cukurova University, Faculty of Medicine, Balcali/ADANA, Turkey.; ID: 2612</t>
  </si>
  <si>
    <t>1302-6631</t>
  </si>
  <si>
    <t>2011646307 PUI L362978664</t>
  </si>
  <si>
    <t>Retrospective studying of sociodemographic, clinical characteristics and extent of alcohol use disorder among patients applied by probation ORIGINAL (NON-ENGLISH) TITLE Denetimli serbestlik uygulamasi{dotless} kapsami{dotless}nda baâ”¼Æ’vuran ha(TRUNCATED)</t>
  </si>
  <si>
    <t>Zourbas,J.;Author,Addresses;Fac. Med, C. H. U. Rennes;Correspondence,Address;Fac. Med, C. H. U. Rennes</t>
  </si>
  <si>
    <t>The problems involved in the teaching of alcoholgy to medical students ORIGINAL (NON-ENGLISH) TITLE PROBLEMES POSES PAR L'ENSEIGNEMENT DE L'ALCOOLOGIE AUX ETUDIANTS EN MEDECINE</t>
  </si>
  <si>
    <t>(Zourbas J.); ID: 3889</t>
  </si>
  <si>
    <t>1976102093 PUI L6102034</t>
  </si>
  <si>
    <t>Zubkoff,L.;Shiner,B.;Watts,B. V.;Author,Addresses;White,River;Junction Vamc, White River Junction,United States;Geisel School,of;Medicine,Dartmouth Hanover United States;Center,V. A. N.;for Patient Safety, White River Junction,United States;Correspondence,Address;Main Street,L.Zubkoff, White River Junction V.A.Medical Center N.;gov,White River Junction United States Email lisa zubkoff va</t>
  </si>
  <si>
    <t>27692187; Staff Perceptions of Substance Use Disorder Treatment in VA Primary CareÎ“Ã‡Ã´Mental Health Integrated Clinics</t>
  </si>
  <si>
    <t>drug dependence treatment;health personnel attitude;mental health care personnel;mental health service;primary medical care;article;clinical effectiveness;health program;human;medical specialist;nurse practitioner;priority journal;psychiatrist;psychologist;qualitative research;registered nurse;semi structured interview;veterans health;Public Health, Social Medicine and Epidemiology (17);Psychiatry (32)</t>
  </si>
  <si>
    <t>Introduction Guidelines recommend that substance use disorder (SUD) treatment be available in primary careÎ“Ã‡Ã´mental health integrated clinics, which offer mental and behavioral health assessment and treatment in the primary care setting. Despite this recommendation it is unclear what barriers and facilitators exist to SUD treatment being provided in that setting. This work sought to understand current SUD services in such integrated clinics, explore other services may that be appropriate, and identify barriers to such services. Methods We conducted qualitative interviews with 23 staff members from integrated clinics at 6 Veterans Affairs medical centers. We transcribed interviews and performed thematic analysis to identify emergent themes. Results We identified seven themes affecting staff experience and ability to provide SUD services in the integrated clinic: clinical effectiveness, clinical requirements, regulatory requirements, program goals, proximity of the integrated clinic and SUD services, training on substance use disorder, and role specialization. Conclusions VA primary careÎ“Ã‡Ã´mental health integrated clinic staff members do not currently view SUD treatment as the focus of their work, but are open to offering SUD treatment including brief psychological interventions or medication. Several barriers to providing SUD treatment were identified, including the need for additional staff training around appropriate interventions for the integrated clinic setting, additional staffing and space, and a structured implementation strategy to promote the use of SUD treatments.</t>
  </si>
  <si>
    <t>(Zubkoff L., lisa.zubkoff@va.gov; Shiner B.; Watts B.V.) (10A4B1) Elsevier Inc., usjcs@elsevier.com; ID: 1899</t>
  </si>
  <si>
    <t>http://www.ncbi.nlm.nih.gov/pubmed/27692187</t>
  </si>
  <si>
    <t>10.1016/j.jsat.2016.07.011 FULL TEXT LINK http://dx.doi.org/10.1016/j.jsat.2016.07.011</t>
  </si>
  <si>
    <t>Staff Perceptions of Substance Use Disorder Treatment in VA Primary CareÎ“Ã‡Ã´Mental Health Integrated Clinics</t>
  </si>
  <si>
    <t>Zvolensky,M. J.;Baker,K.;Yartz,A. R.;Gregor,K.;Leen-Feldner,E.;Feldner,M. T.;Author,Addresses;University,of Vermont;United,States;University of,Vermont;Department of Psychology, John Dewey Hall Colchester,Avenue Burlington</t>
  </si>
  <si>
    <t>Mental health professionals with a specialty in anxiety disorders: Knowledge, training, and perceived competence in smoking cessation practices</t>
  </si>
  <si>
    <t>Cognitive and Behavioral Practice</t>
  </si>
  <si>
    <t>anxiety disorder;smoking cessation;article;evidence based medicine;health practitioner;health program;human;medical specialist;patient counseling;priority journal;professional competence;psychotherapist;smoking;Public Health, Social Medicine and Epidemiology (17);Psychiatry (32)</t>
  </si>
  <si>
    <t>Knowledge and perceived competence regarding smoking cessation was examined among mental health professionals who specialize in the treatment of anxiety disorders (n = 75). Results indicated that therapists assess smoking behavior in less than 30% of clients, perceive themselves as "definitely unprepared" to deliver smoking cessation treatment, and only a minority (17%) have received formal training in empirically based smoking cessation practices during the past 3 years. When benchmarked against primary care physicians, anxiety specialists illustrated deficits in "basic" smoking-cessation counseling practices (e.g., assess for smoking behavior). Anxiety specialists who had received formal training in smoking cessation in the past 3 years reported significantly greater levels of perceived preparedness in helping an anxiety-disordered patient quit and delivered a greater degree of evidence-based smoking cessation treatment. Implications of these data for the role of smoking cessation counseling in mental health training programs for anxiety disorders are discussed. Copyright â”¬âŒ 2005 by Association for Advancement of Behavior Therapy. All rights of reproduction in any form reserved.</t>
  </si>
  <si>
    <t>(Zvolensky M.J., Michael.Zvolensky@uvm.edu; Baker K.; Yartz A.R.; Gregor K.; Leen-Feldner E.W.; Feldner M.T.) (Zvolensky M.J., Michael.Zvolensky@uvm.edu); ID: 3136</t>
  </si>
  <si>
    <t>2006077837 PUI L43227685</t>
  </si>
  <si>
    <t>10.1016/S1077-7229(05)80053-7 FULL TEXT LINK http://dx.doi.org/10.1016/S1077-7229(05)80053-7</t>
  </si>
  <si>
    <t>Birth Defects Research Part a-Clinical and Molecular Teratology</t>
  </si>
  <si>
    <t>J2: Birth Defects Res. Part A-Clin. Mol. Teratol.; 0; ID: 4339</t>
  </si>
  <si>
    <t>1542-0752</t>
  </si>
  <si>
    <t>WOS:000229467900106</t>
  </si>
  <si>
    <t>Medical curriculum will include addiction, abuse</t>
  </si>
  <si>
    <t>J2: Can. Med. Assoc. J.; 0; ID: 4412</t>
  </si>
  <si>
    <t>WOS:A1997WB77300013</t>
  </si>
  <si>
    <t>Medical-School Education on Abuse of Alcohol and Other Psychoactive Drugs</t>
  </si>
  <si>
    <t>&amp;</t>
  </si>
  <si>
    <t>0 5067240; ID: 4510</t>
  </si>
  <si>
    <t>WOS:A1972L971500005</t>
  </si>
  <si>
    <t>Aach,R. D.;Girard,D. E.;Humphrey,H.;McCue,J. D.;Reuben,D. B.;Smith,J. W.;Wallenstein,L.;Ginsburg,J.;Daley,D.</t>
  </si>
  <si>
    <t>Alcohol and Other Substance-Abuse and Impairment among Physicians in Residency Training</t>
  </si>
  <si>
    <t>MEDICAL-STUDENTS</t>
  </si>
  <si>
    <t>Substance abuse and impairment are serious societal problems. Physicians have historically had high rates of substance abuse, which has been viewed as an occupational hazard. Most authorities agree that the rate of alcoholism among practicing physicians is similar to that among control populations and that the rates of other substance abuse are greater, although some studies have shown no difference. Data about substance abuse among residents in training are limited but suggest that the use of benzodiazepines is greater than that among aged-matched peers, whereas the use of alcohol is similar between the two groups. Medical institutions, including those with teaching programs, have legal and ethical responsibilities concerning substance abuse among current and future physicians. Many training programs, however, do not provide educational programs on this subject, do not have faculty trained in substance abuse medicine, and do not have a formal system to address the problem of residents who are suspected or known to be substance abusers. This position paper examines the extent of substance abuse, including alcohol abuse, among physicians in residency training. It outlines approaches to the problem and delineates responsibilities of institutions and residency program directors. Recommendations are made to establish an informational program and a clearly defined, organized process to address the problems of substance abuse among residents. Careful and humane approaches can be used to identify and treat residents with substance abuse problems and thus allowing them to complete their training as competent and drug-free professionals.</t>
  </si>
  <si>
    <t>J2: Ann. Intern. Med.; 43 1728207; ID: 4438</t>
  </si>
  <si>
    <t>Assoc program directors internal med, 700 13th st nw, suite 250, washington, dc 20005 usa.</t>
  </si>
  <si>
    <t>WOS:A1992HB35600011</t>
  </si>
  <si>
    <t>10.7326/0003-4819-116-3-245</t>
  </si>
  <si>
    <t>Abdulsalam,T.;Sheehan,E.;Benito,M.</t>
  </si>
  <si>
    <t>Study of the Drinking Habit and Alcohol-Related Problems in Medical Students in TCD</t>
  </si>
  <si>
    <t>S155</t>
  </si>
  <si>
    <t>S156</t>
  </si>
  <si>
    <t>J2: Irish J. Med. Sci.; 0 4; ID: 4129</t>
  </si>
  <si>
    <t>Trinity Coll Dublin, Sch Med, Dept Med Educ, Dublin, Ireland. TCD Intern Training Network, Dublin, Ireland.</t>
  </si>
  <si>
    <t>WOS:000341086400098</t>
  </si>
  <si>
    <t>Agarwal,D. H.;Agarwal,A.;Gupta,S. B.;Kohli,A.</t>
  </si>
  <si>
    <t>A Cross Sectional Study On Prevalence And Pattern Of Internet Addiction Among Medical Students</t>
  </si>
  <si>
    <t>S185</t>
  </si>
  <si>
    <t>internet addiction;medical students;rapid expansion</t>
  </si>
  <si>
    <t>J2: Indian J. Psychiatry; 0 2; ID: 4033</t>
  </si>
  <si>
    <t>Agarwal, Deeptanshu Hanu; Agarwal, Anju; Gupta, S. B.; Kohli, Ajay] Eras Lucknow Med Coll, Lucknow, Uttar Pradesh, India. Deeptanshuagarwal2007@gmail.com</t>
  </si>
  <si>
    <t>WOS:000392104500153</t>
  </si>
  <si>
    <t>Agrawal,S.;Everett,W. W.;Sharma,S.</t>
  </si>
  <si>
    <t>Medical student views of substance abuse treatment, policy and training</t>
  </si>
  <si>
    <t>Drugs-Education Prevention and Policy</t>
  </si>
  <si>
    <t>ILLICIT DRUG-USE;EMERGENCY-ROOM;ATTITUDES;ALCOHOL;KNOWLEDGE;EDUCATION;BELIEFS;SKILLS</t>
  </si>
  <si>
    <t>Purpose: This study examined the impact of medical education on students' views of substance abuse treatment, public policy options and training. Method: A longitudinal survey was conducted on a single-class cohort of 101 students in a major American, urban medical school. The survey was administered in the Spring semesters of the first to third years of the curriculum. The survey evaluated attitudes in three areas: (1) Treatment: efficacy of treatment and ideal level of physician involvement in substance abuse issues, (2) Public policy: degrees of support for competing public policy strategies and (3) Training: the amount of substance abuse education offered in medical school. Results: Response rates were 92% in the first year, 90% in the second and 75% in the third. About 54% of respondents were female, 55% were white (non-Hispanic) and 71% were 20-24 years old. Treatment: students held consistent views towards treating substance abuse patients, but there was a significant decline in the percentage who felt that drug addiction can be successfully treated (from 47 to 22%, p &lt; 0.001). Public policy: support for public health approaches ranged from 86 to 92%, but most criminal justice approaches were favoured by fewer than 40% of respondents. Training: respondents reported a significant increase in any degree of substance abuse training (p = 0.0001); classroom and clinical experiences were the predominant sources of training. Conclusions: Surveyed medical students retained many of their a priori beliefs about substance abuse, though there were some significant changes during the survey period. Further studies are required to evaluate how these views were established and how medical education impacts potentially malleable attitudes.</t>
  </si>
  <si>
    <t>J2: Drug-Educ. Prev. Policy; 3; ID: 4251</t>
  </si>
  <si>
    <t>0968-7637</t>
  </si>
  <si>
    <t>Agrawal, Shantanu; Everett, Worth W.] Hosp Univ Penn, Dept Emergency Med, Philadelphia, PA 19104 USA. Sharma, Sonali] New York Presbyterian Hosp, Dept Psychiat, Weill Cornell Med Coll, New York, NY USA. Agrawal, S (reprint author), 3600 Joseph Siewick Dr, Fairfax, VA 22033 USA. ska3000@gmail.com</t>
  </si>
  <si>
    <t>WOS:000282890900010</t>
  </si>
  <si>
    <t>10.3109/09687630902729602</t>
  </si>
  <si>
    <t>Ahmadi,J.;Benrazavi,L.;Ghanizadeh,A.</t>
  </si>
  <si>
    <t>Substance abuse among contemporary Iranian medical students and medical patients</t>
  </si>
  <si>
    <t>J2: J. Nerv. Ment. Dis.; 9 11794581; ID: 4377</t>
  </si>
  <si>
    <t>Shiraz Univ Med Sci, Hafez Hosp, Dept Psychiat, Shiraz, Iran. Ahmadi, J (reprint author), Shiraz Univ Med Sci, Hafez Hosp, Dept Psychiat, POB 71345-1416, Shiraz, Iran.</t>
  </si>
  <si>
    <t>WOS:000173054000009</t>
  </si>
  <si>
    <t>10.1097/00005053-200112000-00009</t>
  </si>
  <si>
    <t>Ahmadi,J.;Fallahzadeh,H.;Salimi,A.;Rahimian,M.;Salehi,V.;Khaghani,M.;Babaeebeigi,M.</t>
  </si>
  <si>
    <t>Analysis of opium use by students of medical sciences</t>
  </si>
  <si>
    <t>Journal of Clinical Nursing</t>
  </si>
  <si>
    <t>J.Clin.Nurs.</t>
  </si>
  <si>
    <t>opium dependence;opium use;students of medical sciences;POST-REVOLUTIONARY IRAN;ADOLESCENTS;PREDICTORS;ABUSE</t>
  </si>
  <si>
    <t>Aims and objectives. To investigate the prevalence of opium use in university students. Background. University health professionals and authorities are very concerned about substance use among university students. Design. A survey with a representative sample of 2519 (1126 men and 1393 women) university students and opium use disorders assessed by means of DSM-IV criteria (Diagnostic Statistical Manual-IV Axis I during the year 2003). Findings. Mean age of the sample was 23.8 year and SD was 3.9. Of the students, 110 (4.4%) admitted using of opium once or more during their lives (9.1% of men and 0.6% of women; P &lt; 0.01). Fifty (2%) were occasional opium user (4.2% of men and 0.2% of women; P &lt; 0.01). Nineteen (0.8%) were current opium user (1.4% of men and 0.2% of women; P = 0.001). Mean age of opium users was higher than the remainder. Opium use was significantly related to gender (P = 0.001), and life stress (P = 0.04). Conclusion. These findings can be considered for preventive and therapeutic programmes, because early intervention during the formative university years may present an opportunity to reduce the risk of long-term problems, to decrease social and individual harm and also to promote public health of society. Relevance to clinical practice. These findings can be considered in clinical practice for detection and treatment of opioid abuse.</t>
  </si>
  <si>
    <t>J2: J. Clin. Nurs.; 11 16553750; ID: 4329</t>
  </si>
  <si>
    <t>0962-1067</t>
  </si>
  <si>
    <t>Shiraz Univ Med Sci, Dept Psychiat, Shiraz, Iran. Ahmadi, J (reprint author), Shiraz Univ Med Sci, Dept Psychiat, POB 71345-1416, Shiraz, Iran. jamshid_ahmadi@yahoo.com</t>
  </si>
  <si>
    <t>WOS:000235985200002</t>
  </si>
  <si>
    <t>10.1111/j.1365-2702.2006.01157.x</t>
  </si>
  <si>
    <t>Akdemir,M.;Erengin,H.;Bozbay,D. S.;Aktekin,M.</t>
  </si>
  <si>
    <t>Internet addiction prevalence in last-year medical students and related factors</t>
  </si>
  <si>
    <t>J2: Eur. J. Public Health; 0 3; ID: 4006</t>
  </si>
  <si>
    <t>Akdemir, M.; Erengin, H.; Bozbay, D. Sebhan; Aktekin, M.] Akdeniz Univ, Antalya, Turkey. mehmetaktekin1@gmail.com</t>
  </si>
  <si>
    <t>WOS:000414389804197</t>
  </si>
  <si>
    <t>Akvardar,Y.;Demiral,Y.;Ergor,G.;Ergor,A.;Bilici,M.;Ozer,O. M.</t>
  </si>
  <si>
    <t>Substance use in a sample of Turkish medical students</t>
  </si>
  <si>
    <t>medical students;alcohol;illicit drugs;smoking;ALCOHOL-USE;DRUG-USE;LIFE-STYLES;PHYSICIANS;ABUSE;UNIVERSITY;PREVALENCE;DRINKING;SCHOOL</t>
  </si>
  <si>
    <t>This study identifies the prevalence of smoking, alcohol, and illicit drug use in a sample of Turkish medical students. Information about substance us, was obtained from 304 first-year, and 143 sixth-year medical students from three different medical schools in Turkey. Nearly half of the students (53.9%) were non-drinkers. Risky alcohol use was 7.4%. Lifetime smoking prevalence was 39.9 and 26.4% of the junior and 44.1% of the senior medical students (mean consumption of 13.9 and 15.5 cigarettes a day, respectively) reported regular smoking. Nicotine dependence was present in 3.1%. Only 4% of the students reported using illicit drugs (cannabis, ecstasy, cocaine) at least once in their lifetime. The mean ages of first use of cigarettes, alcohol and illicit drugs were earlier for junior medical students than senior students. Of the students. 25.5% had anxiety and 36.8% had depression scores in the clinically significant range. Our results suggest that although Turkish medical students are not at a high risk of substance abuse it should not be underestimated, and the risk factors as well as the protective factors must be identified in nation-wide studies. (C) 2003 Elsevier Ireland Ltd. All rights reserved.</t>
  </si>
  <si>
    <t>J2: Drug Alcohol Depend.; 44 14636966; ID: 4355</t>
  </si>
  <si>
    <t>Dokuz Eylul Univ, Sch Med, Dept Psychiat, TR-35340 Izmir, Turkey. Dokuz Eylul Univ, Sch Med, Dept Publ Hlth, TR-35340 Izmir, Turkey. Karadeniz Tech Univ, Sch Med, Dept Psychiat, Trabzon, Turkey. Yuzuncu Yil Univ, Sch Med, Dept Psychiat, Van, Turkey. Akvardar, Y (reprint author), Dokuz Eylul Univ, Sch Med, Dept Psychiat, TR-35340 Izmir, Turkey.</t>
  </si>
  <si>
    <t>WOS:000187201800002</t>
  </si>
  <si>
    <t>10.1016/S0376-8716(03)00192-3</t>
  </si>
  <si>
    <t>Alam,A.;Sivachidambaram;Srinivasagopalan;Sultana,Z.;Shailaja</t>
  </si>
  <si>
    <t>Prevalence of internet addiction among medical students in both UG and PG</t>
  </si>
  <si>
    <t>S65</t>
  </si>
  <si>
    <t>J2: Indian J. Psychiatry; 0 1; ID: 4150</t>
  </si>
  <si>
    <t>WOS:000209723100240</t>
  </si>
  <si>
    <t>Alford,D.;Clark,T. W.;Samet,J. H.</t>
  </si>
  <si>
    <t>Promoting substance abuse education among generalists: The Chief Resident Immersion Training (CRIT) program</t>
  </si>
  <si>
    <t>J2: J. Gen. Intern. Med.; 27th Annual Meeting of the Society-of-General-Internal-Medicine MAY 12-15, 2004 Chicago, IL Soc Gen Internal Med 2 1; ID: 4348</t>
  </si>
  <si>
    <t>Boston Med Ctr, Boston, MA USA. Hlth &amp; Addict Res Inc, Boston, MA USA.</t>
  </si>
  <si>
    <t>WOS:000221125800297</t>
  </si>
  <si>
    <t>Alford,D. P.;Bridden,C.;Saitz,R.;Jackson,A. H.;Samet,J. H.</t>
  </si>
  <si>
    <t>Barriers to Incorporating Substance Abuse Education into Generalist Residency Training</t>
  </si>
  <si>
    <t>J2: J. Gen. Intern. Med.; 32nd Annual Meeting of the Society-of-General-Internal-Medicine MAY 13-16, 2009 Miami, FL Soc Gen Internal Med 0 1; ID: 4263</t>
  </si>
  <si>
    <t>Alford, D. P.; Saitz, R.; Jackson, A. H.; Samet, J. H.] Boston Univ, Sch Med, Boston Med Ctr, Boston, MA 02118 USA.</t>
  </si>
  <si>
    <t>WOS:000265382000082</t>
  </si>
  <si>
    <t>Alford,D. P.;Jackson,A. H.;Bridden,C.;Brett,B.;Samet,J. H.</t>
  </si>
  <si>
    <t>Mentoring to Promote Addiction Medicine Teaching: An Evaluation of Chief Resident Immersion Training (CRIT)</t>
  </si>
  <si>
    <t>J2: Subst. Abus.; 0; ID: 4224</t>
  </si>
  <si>
    <t>Alford, D. P.; Jackson, A. H.; Bridden, C.; Samet, J. H.] Boston Univ, Sch Med, Boston, MA 02215 USA. Brett, B.] Brett Consulting Grp, Somerville, MA 02144 USA.</t>
  </si>
  <si>
    <t>WOS:000287030800021</t>
  </si>
  <si>
    <t>Al-Haqwi,A.</t>
  </si>
  <si>
    <t>Perception among medical students in Riyadh, Saudi Arabia, regarding alcohol and substance abuse in the community: a cross-sectional survey</t>
  </si>
  <si>
    <t>Substance Abuse Treatment Prevention and Policy</t>
  </si>
  <si>
    <t>RISK-FACTORS;DRUG;DEPENDENCE;SCHOOL</t>
  </si>
  <si>
    <t>Background: This study was conducted to examine the perception and views of medical students regarding the extent of alcohol and substance abuse in the community and the possible predisposing factors for this problem. Methods: It is a cross-sectional study involving samples from two medical colleges in Riyadh, Saudi Arabia. The students who decided to participate in the study without the offer of any incentives filled an anonymous, self administered questionnaire which had been designed to meet the purpose of the study. Results: Two hundred and fifteen out of three hundred and thirty students (65% response rate) participated in this study. About 75% of them believe that alcohol and substance abuse is a common problem in the community. Students' views also correspond with the reported view that the problem is mainly present in young adult males. Married males and senior students perceived the problem as more serious than their other colleagues. Students perceived that alcohol was the most commonly abused drug in the community, followed by amphetamines, heroin, cannabis and cocaine. They believe that influence of friends, life stressors, tobacco smoking and curiosity are the most important predisposing factors for abuse of alcohol and other substances. According to the students' perception, the main beneficial effect of alcohol and substance abuse was stress alleviation. About 3% of the students have also indicated that they may use alcohol or some other substance in the future. Conclusion: Despite scarce information on the subject and a strong religious belief in Saudi Arabia against the use of alcohol and other addictive substances, a significant majority of the medical students in Riyadh, the capital of Saudi Arabia, perceived that alcohol and substance abuse is a common problem in the community. Some students appear to perceive the seriousness of the problem less than others. Efforts are needed to educate young men and women at an early stage of their academic life, as a medical student about the existence of this problem in the community, its consequences and predisposing factors. Teaching teenagers and young adults about stress coping strategies may be of special importance in reducing the risk of alcohol and substance abuse.</t>
  </si>
  <si>
    <t>J2: Subst/ Abus. Treatment Prev. Pol.; 9 2 20092658; ID: 4250</t>
  </si>
  <si>
    <t>King Saud Ben Abdul Aziz Univ Hlth Sci KSAU HS, Riyadh, Saudi Arabia. Al-Haqwi, AI (reprint author), King Saud Ben Abdul Aziz Univ Hlth Sci KSAU HS, Riyadh, Saudi Arabia. alhaqwi@gmail.com</t>
  </si>
  <si>
    <t>WOS:000275507700001</t>
  </si>
  <si>
    <t>10.1186/1747-597X-5-2</t>
  </si>
  <si>
    <t>AlHaqwi,A. I.</t>
  </si>
  <si>
    <t>Primary health care physician's awareness of substance abuse and abuse behavior</t>
  </si>
  <si>
    <t>substance abuse;questionnaire;PHC centers;ALCOHOLISM;RECOGNITION;DIAGNOSIS</t>
  </si>
  <si>
    <t>Objectives: To assess knowledge and attitude of Primary Health Care (PHC) physicians about commonly abused drugs in the community and to assess their ability to detect abuse and abuse behavior. Design: Cross-sectional descriptive study. Setting: Twenty-five PHC centers in Riyadh City, Saudi Arabia. Subjects: One hundred and forty physicians from randomly selected PHC Centers. These physicians participated by filling out a self administered questionnaire. Main Outcome Measures: Knowledge of main features of substance abuse, reported cases of substance abuse, and attitudes of PHC physicians towards managing this problem. Results: Sixty-nine percent of PHC physicians are of the opinion that substance abuse is a common and expanding problem. Most participating physicians think that substance abuse is a problem of young males. Although most PHC physicians have a satisfactory factual knowledge about features of dependence, only 23% of them have actually seen a substance abuser in the last 12 months in their practice; giving a prevalence rate of one per 1000. Male physicians in the age group under 30 years and more than 50 years, and those having postgraduate qualifications, were more able to detect abuse behavior. Most commonly reported substances of abuse were: alcohol, amphetamines, volatile substances and heroin. Most of the participating physicians underestimated the role of the PHC system in the management of substance abuse. Conclusion: Training and further studies are required to improve prevention and early treatment.</t>
  </si>
  <si>
    <t>J2: Saudi Med. J.; 0; ID: 4415</t>
  </si>
  <si>
    <t>King saud univ hosp,fac med,dept family,riyadh,saudi arabia.</t>
  </si>
  <si>
    <t>WOS:A1996WF63200003</t>
  </si>
  <si>
    <t>Amin-Esmaeili,M.;Yunesian,M.;Sahimi-Izadian,E.;Moinolghorabaei,M.;Rahimi-Movaghar,A.</t>
  </si>
  <si>
    <t>The Prevalence of Illicit Substance Use Among Students of Medical Sciences in Tehran: Results from Four Repeated Surveys from 2006 to 2009</t>
  </si>
  <si>
    <t>Journal of Child &amp; Adolescent Substance Abuse</t>
  </si>
  <si>
    <t>J.Child Adolescent Subst.Abuse</t>
  </si>
  <si>
    <t>epidemiology;illicit drug use;Iran;medical students;COLLEGE-STUDENTS;DRUG-USE;HIGH-SCHOOL;PRESCRIPTION STIMULANTS;UNIVERSITY-STUDENTS;PROTECTIVE FACTORS;ALCOHOL;MISUSE;TRANSITION;ADULTHOOD</t>
  </si>
  <si>
    <t>This study was conducted to evaluate the prevalence of illicit substance use among students of Tehran University of Medical Sciences (TUMS) in four repeated surveys from 2006 to 2009. All first- to fourth-year students of the university were included. The questionnaire was anonymous and self-administered and inquired directly about own personal use. We also inquired about use of substances in close friends present in the class to provide another estimated prevalence. Using self-report, the prevalence of past-year use of any illicit substance was 2.3% in 2006, 3.3% in 2007, 2.8% in 2008, and 1.1% in 2009. It did not show a significant linear trend, but showed a significant decline for the year 2009. Hashish, opioids, and amphetamine-type stimulants were the most common types of substances being used. The calculated estimated prevalence rates were higher than those based on self-reports. The results suggest the need for continuous monitoring and appropriate preventive planning.</t>
  </si>
  <si>
    <t>J2: J. Child Adolesc. Subst. Abus.; Tehran University of Medical Sciences 132-3839] 0; ID: 4031</t>
  </si>
  <si>
    <t>1067-828X</t>
  </si>
  <si>
    <t>Amin-Esmaeili, Masoumeh; Sahimi-Izadian, Elaheh; Moinolghorabaei, Mahdieh; Rahimi-Movaghar, Afarin] Univ Tehran Med Sci, Iranian Natl Ctr Addict Studies, Tehran, Iran. Yunesian, Masud] Univ Tehran Med Sci, Inst Environm Res, Tehran, Iran. Rahimi-Movaghar, A (reprint author), Univ Tehran Med Sci, INCAS, Iranian Inst Reduct High Risk Behav, Tehran, Iran. rahimia@tums.ac.ir</t>
  </si>
  <si>
    <t>WOS:000395121800007</t>
  </si>
  <si>
    <t>10.1080/1067828X.2016.1242099</t>
  </si>
  <si>
    <t>Anderson,P.</t>
  </si>
  <si>
    <t>Manual of Drug and Alcohol-Abuse - Guidelines for Teaching in Medical and Health Institutions - Arif,a, Westermeyer,J</t>
  </si>
  <si>
    <t>0; ID: 4454</t>
  </si>
  <si>
    <t>ANDERSON, P (reprint author), ALCOHOL RES CTR,OXFORD,ENGLAND.</t>
  </si>
  <si>
    <t>WOS:A1990EK16700028</t>
  </si>
  <si>
    <t>Anderson,P.;Petrino,R.;Halpern,P.;Tintinalli,J.</t>
  </si>
  <si>
    <t>The globalization of emergency medicine and its importance for public health</t>
  </si>
  <si>
    <t>Bulletin of the World Health Organization</t>
  </si>
  <si>
    <t>Bull.World Health Organ.</t>
  </si>
  <si>
    <t>CARE;SURVEILLANCE;CITY</t>
  </si>
  <si>
    <t>Emergency medicine (EM) is a global discipline that provides secondary disease prevention and is also a tool for primary prevention. It is a horizontally integrated system of emergency care consisting of access to EM care; provision of EM care in the community and during transportation of patients; and provision of care at the receiving facility or hospital emergency department. EM can offer many tools to improve public health. These tools include primary disease prevention; interventions for addressing substance abuse and interpersonal violence; education about safety practices; epidemiological surveillance; enrolment of patients in clinical research trials focusing on acute interventions; education and clinical training of health-care providers; and participation in local and regional responses to natural and man-made disasters. Public health advocates and health policy-makers can benefit from the opportunities of EM and can help overcome its challenges. Advocating the establishment and recognition of the specialty of EM worldwide can result in benefits for health-care education, help in incorporating the full scope of EM care into the system of public health, and expand the capabilities of EM for primary and secondary prevention for the benefit of the health of the public.</t>
  </si>
  <si>
    <t>J2: Bull. World Health Organ.; 30 17128364; ID: 4324</t>
  </si>
  <si>
    <t>0042-9686</t>
  </si>
  <si>
    <t>Univ N Carolina, Dept Emergency Med, Chapel Hill, NC 27599 USA. Harvard Univ, Sch Med, Boston, MA 02115 USA. Univ Eastern Piedmont, Novara, Italy. Tel Aviv Sourasky Med Ctr, Tel Aviv, Israel. Tintinalli, J (reprint author), Univ N Carolina, Dept Emergency Med, CB 7594, Chapel Hill, NC 27599 USA. jet@med.unc.edu</t>
  </si>
  <si>
    <t>WOS:000241130900015</t>
  </si>
  <si>
    <t>10.2471/BLT.05.028548</t>
  </si>
  <si>
    <t>Angane,A. Y.;Kadam,K.;Ghorpade,G. S.;Parkar,S.</t>
  </si>
  <si>
    <t>Study On Internet Addiction And Its Relation With Perceived Stress And Self-esteem In Medical College Students</t>
  </si>
  <si>
    <t>S190</t>
  </si>
  <si>
    <t>Internet Addiction;Perceived Stress;Self-esteem;Medical Students</t>
  </si>
  <si>
    <t>J2: Indian J. Psychiatry; 0 2; ID: 4034</t>
  </si>
  <si>
    <t>Seth GS Med Coll, Bombay, Maharashtra, India. King Edward Mem Hosp, Bombay, Maharashtra, India. Ameythedoc@gmail.com</t>
  </si>
  <si>
    <t>WOS:000392104500172</t>
  </si>
  <si>
    <t>Anglin,T. M.;Naylor,K. E.;Kaplan,D. W.</t>
  </si>
  <si>
    <t>Comprehensive school-based health care: High school students' use of medical, mental health, and substance abuse services</t>
  </si>
  <si>
    <t>school-based clinics;school-based health cure;adolescent health;services;adolescent primary care;adolescent mental health services;adolescent substance abuse services;PSYCHIATRIC-DISORDERS;IMPROVING ACCESS;CHILDREN;PSYCHOTHERAPY;PREVALENCE;PATTERNS;COMORBIDITY;CLINICS;PSYCHOPATHOLOGY</t>
  </si>
  <si>
    <t>Objectives. To explore adolescent students' use of school-based health and medical care and mental health and substance abuse counseling services and to compare adolescents' patterns of use of medical, mental health, and substance abuse services located in school-based and traditional settings. Design. Retrospective analysis of computer-stored, standardized data for all student visits during a 4-year period. Setting. Three high school-based student health centers. Subjects. A total of 3818 adolescent students who used services provided by the school-based health centers (SBHCs). Outcome Measures. Frequencies of student visits to medical providers and mental health and substance abuse counselors and frequencies of diagnostic assignments. Results. During a 38-month period, 3818 students attending senior high school made a total of 27 886 visits to three SBHCs. They represented 63% of students enrolled in the SBHCs and approximately 42% of the total school population. There were no significant demographic differences between students attending the SBHCs and the overall student body. However, compared with students who were enrolled in the SBHCs but did not use them, users were more likely to be female and Hispanic. Ninety-four percent of students using the services had visits with medical providers; 25% had visits with mental health counselors; and 8% of students had visits with substance abuse counselors. The fetal annual mean number of student visits was 4.7, and the annual mean numbers of visits for students who used the following services were: medical, 3.3; mental health, 5.8; and substance abuse, 6.8, An average of 1.4 diagnoses were made per visit. The most common major diagnostic categories were emotional problems (29% of all diagnoses), health supervision (13%), respiratory problems (11%), reproductive health problems (11%), and substance abuse problems (8%). Almost one fourth of the students had contact with more than one of the three categories of service provider. Visit frequency increased significantly for students who used two categories of provider (13 to 15 mean total visits compared with 4 to 5 mean total. visits for students who used just one category of provider) and escalated to a mean of 32 total visits if all three categories of service were used. Conclusions. Adolescents attending SBHCs had higher rates of visits for health and medical fare than adolescents using traditional sources of medical fare. The proportions of student users of SBHC mental health and substance abuse counseling services were commensurate with the estimated prevalences of these problems in this country's adolescent population. In addition, the mean numbers of visits to mental health counselors in SBHCs compared favorably with adolescent visit rates for mental health services in other settings. Too little information is available about adolescent use of substance abuse services in non-school-based settings to make similar comparisons. In summary, adolescent users of SBHCs seemed to have higher use of medical, mental health, and probably substance abuse counseling services than did adolescents in the general population. These findings are consistent with the interpretation that SBHCs do enhance adolescents' access to care for medical, mental health, and substance abuse problems.</t>
  </si>
  <si>
    <t>J2: Pediatrics; 88 8604264; ID: 4416</t>
  </si>
  <si>
    <t>Univ colorado,sch med,dept pediat,denver,co 80202. Anglin, TM (reprint author), CHILDRENS HOSP,SECT ADOLESCENT MED,B-025,1056 E 19TH AVE,DENVER,CO 80218, USA.</t>
  </si>
  <si>
    <t>WOS:A1996TY58000006</t>
  </si>
  <si>
    <t>Ansari,H.;Ansari-Moghaddam,A.;Mohammadi,M.;Peyvand,M.;Amani,Z.;Arbabisarjou,A.</t>
  </si>
  <si>
    <t>Internet Addiction and Happiness Among Medical Sciences Students in Southeastern Iran</t>
  </si>
  <si>
    <t>Health Scope</t>
  </si>
  <si>
    <t>Internet Addiction;Students;Medical;Happiness;UNIVERSITY-STUDENTS;SUBJECTIVE HAPPINESS;HIGH-SCHOOLS;ADOLESCENTS;PREVALENCE;PREDICTORS;VITALITY;HEALTH;RISK</t>
  </si>
  <si>
    <t>Background: Several factors are responsible for overuse of the internet among young adults. The practice can lead to internet addiction (IA). In addition, users' happiness may be an important factor related to IA, and should be assessed. Objectives: The present study aims to estimate the prevalence of internet addiction (IA) and its relationship to happiness among students enrolled at the Zahedan University of Medical Sciences (ZUMS) in southeastern Iran. Patients and Methods: This cross-sectional study was carried out on 380 medical students at ZUMS in 2015. The subjects were selected using the stratified random sampling method. The data were collected using Yang Standard Internet Addiction and Oxford Happiness questionnaires, and were analyzed in Stata.12 software using bivariate and multiple logistic regression with the Hosmer-Lemshow method. Results: The prevalences of IA among males and females were 33.8% (95% CI: 26.1-41.5) and 20% (95% CI: 14.9-25.1), respectively. The results of logistic regression analyses revealed that gender (OR = 1.98, 95% CI: 1.48-2.48), average grades (OR = 0.87, 95% CI: 0.81-0.99), and happiness scores (OR = 0.82, 95% CI: 0.75-0.98) were statistically significantly associated with IA. However, IA was not associated with subjects' age, semester of study, residential area, or school of education (P &gt; 0.05). Conclusions: The prevalence of IA among medical students in southeast Iran was high and affected by happiness. Increasing happiness with the provision of various programs may prevent IA problems among students and may improve their educational situation.</t>
  </si>
  <si>
    <t>J2: Health Scope; 0 e33600; ID: 4062</t>
  </si>
  <si>
    <t>2251-8959</t>
  </si>
  <si>
    <t>Ansari, Hossein; Ansari-Moghaddam, Alireza; Mohammadi, Mahdi; Peyvand, Mostafa; Amani, Zahra; Arbabisarjou, Azizollah] Zahedan Univ Med Sci, Hlth Promot Res Ctr, Zahedan, Iran. Ansari, H (reprint author), Zahedan Univ Med Sci, Hlth Promot Res Ctr, Zahedan, Iran. ansarih88@gmail.com</t>
  </si>
  <si>
    <t>WOS:000375755400008</t>
  </si>
  <si>
    <t>Armor,B. L.;Bulkley,C. F.;Truong,T.;Carter,S. M.</t>
  </si>
  <si>
    <t>Assessing Student Pharmacists' Ability to Identify Drug-Related Problems in Patients Within a Patient-Centered Medical Home</t>
  </si>
  <si>
    <t>student pharmacist;medication reconciliation;patient-centered medical;home;drug-related problems;adverse drug effects;primary care;HOSPITAL ADMISSIONS;PREVENTION;EVENTS;PCMH;CARE</t>
  </si>
  <si>
    <t>Objective. To quantify, describe, and categorize patient drug-related problems (DRPs) and recommendations identified by fourth-year (P4) student pharmacists during a live medication reconciliation activity within a patient-centered medical home (PCMH). Methods. Fourth-year student pharmacists conducted chart reviews, identified and documented DRPs, obtained live medication histories, and immediately provided findings and recommendations to the attending physicians. Documentation of DRPs and recommendations were analyzed retrospectively. Results. Thirty-eight students completed 99 medication reconciliation sessions from June 2011 to October 2012 during their advanced pharmacy practice experience (APPE). The students obtained 676 patient medication histories and identified or intervened on 1308 DRPs. The most common DRPs reported were incomplete medication list and diagnostic/laboratory testing needed. Physicians accepted 1,018 (approximately 78%) recommendations. Conclusion. Student pharmacists successfully identified and reduced DRPs through a live medication reconciliation process within an academic-based PCMH model. Their medication history-taking skills improved and medication use was optimized.</t>
  </si>
  <si>
    <t>J2: Am. J. Pharm. Educ.; 8 6 24558274; ID: 4149</t>
  </si>
  <si>
    <t>Armor, Becky L.; Bulkley, Christina F.; Teresa Truong; Carter, Sandra M.] Univ Oklahoma, Coll Pharm, Oklahoma City, OK 73126 USA. Armor, BL (reprint author), Univ Oklahoma, Coll Pharm, POB 26901, Oklahoma City, OK 73126 USA. Becky-Armor@ouhsc.edu</t>
  </si>
  <si>
    <t>WOS:000331612700006</t>
  </si>
  <si>
    <t>10.5688/ajpe7816</t>
  </si>
  <si>
    <t>Arora,A.;Kannan,S.;Gowri,S.;Choudhary,S.;Sudarasanan,S.;Khosla,P. P.</t>
  </si>
  <si>
    <t>Substance abuse amongst the medical graduate students in a developing country</t>
  </si>
  <si>
    <t>Psychological stress;students;substance abuse;DRUG-USE;UNIVERSITY;ALCOHOL</t>
  </si>
  <si>
    <t>Background &amp; objectives: Substance abuse is found worldwide including among students. We carried out this study to estimate the prevalence of substance abuse among medical student studying in a medical college in north India. Methods: Using a validated questionnaire a cross-sectional survey was conducted among 230 undergraduate and postgraduate medical students in a private medical college. Results: The prevalence of substance abuse was 20.43 per cent (47/230) among medical students. An increase in substance abuse was observed in the latter years of medical education. A total of 43 of 47 (91.7%) students using these substances were aware of the ill effects. The most common reasons for substance use were relief from psychological stress (34/47, 72.4%) and occasional celebration (34/47, 72.4%). Of the 47 substance users, 28 (59.6%) made past attempts to quit the substance abuse. Interpretation &amp; conclusions: Nearly one-fifth of medical students abuse at least one substance despite knowing the ill effects with the main predisposing factor being the psychological stress.</t>
  </si>
  <si>
    <t>J2: Indian J. Med. Res.; Indian Council of Medical Research 3 26997021; ID: 4076</t>
  </si>
  <si>
    <t>Arora, A.; Kannan, S.; Khosla, P. P.] Subharti Med Coll &amp; Hosp, Dept Pharmacol, Delhi Haridwar Bypass Rd, Meerut 250005, Uttar Pradesh, India. Choudhary, S.; Sudarasanan, S.] Subharti Med Coll &amp; Hosp, Dept Psychiat, Meerut, Uttar Pradesh, India. Gowri, S.] Subharti Dent Coll, Dept Prosthodont, Meerut, Uttar Pradesh, India. Kannan, S.] Fiji Natl Univ, Coll Med Nursing &amp; Hlth Sci, Hlth Sci, Suva, Fiji. Gowri, S.] Fiji Natl Univ, Coll Med Nursing &amp; Hlth Sci, Oral Hlth, Suva, Fiji. Kannan, S (reprint author), Subharti Med Coll &amp; Hosp, Dept Pharmacol, Delhi Haridwar Bypass Rd, Meerut 250005, Uttar Pradesh, India. skannandr@gmail.com</t>
  </si>
  <si>
    <t>WOS:000373279900018</t>
  </si>
  <si>
    <t>10.4103/0971-5916.178617</t>
  </si>
  <si>
    <t>Arora,R.;Kataria,L.;Shan,S.;Patel,V.;Sharma,D.</t>
  </si>
  <si>
    <t>A study of internet addiction disorder among under graduate medical and dental students</t>
  </si>
  <si>
    <t>J2: Indian J. Psychiatry; 0 1; ID: 4178</t>
  </si>
  <si>
    <t>Arora, Raghav; Kataria, Lakhan; Shan, Sandip; Patel, Vidhi; Sharma, Diwakar] Smt BK Shah Med Inst &amp; Res Ctr, Dept Psychiat, Vadodara, Gujarat, India. drraghav_arora@yahoo.com</t>
  </si>
  <si>
    <t>WOS:000209722400261</t>
  </si>
  <si>
    <t>Ashor,A. W.</t>
  </si>
  <si>
    <t>Smoking dependence and common psychiatric disorders in medical students: Cross-sectional study</t>
  </si>
  <si>
    <t>Pakistan Journal of Medical Sciences</t>
  </si>
  <si>
    <t>Anxiety;Depression;Medical Students;Nicotine Dependence;DEPRESSIVE SYMPTOMS;CIGARETTE-SMOKING;GENERAL-POPULATION;MAJOR DEPRESSION;COMORBIDITY;PREVALENCE</t>
  </si>
  <si>
    <t>Objectives: Exploring the variable effect of the degree of smoking dependence on the level of anxiety and depression symptoms among medical students. Methodology: This cross-section study, conducted in the Department of Pharmacology, College of Medicine, Al-Mustansiriya University, Baghdad-Iraq from December 2010 to May 2011, involving 300 medical students selected by cluster random sampling techniques. Those students completed the Hamilton rating scale for anxiety, Zung self-report depression scale and the Fagerstrom test for nicotine dependence with a value of six or more regarded as heavy smokers, and a value less than six considered as light smokers. Results: The response rate was 89%, heavy smokers were significantly older and start smoking at an earlier age than non- and light smokers (p=0.001). Heavy smokers associated with high chance of depressive symptoms in comparison with non-smokers (OR=4.8, C.I.=1.752-13.677) and light smokers (OR=4.2, C.I.=1.042-17.161). Regarding anxiety symptoms, heavy smokers demonstrate high chance of anxiety symptoms in comparison with non-smokers (OR=5.2, C.I.=1.826-15.176), and light smokers (OR=4.5, C.I.=1.318-15.526). Conclusions: Heavy smokers differ from non- and light smokers, associated with high risk of anxiety and depression, therefore heavy smoking tends to deteriorate rather than ameliorate these symptoms.</t>
  </si>
  <si>
    <t>J2: Pak. J. Med. Sci.; 2; ID: 4185</t>
  </si>
  <si>
    <t>1682-024X</t>
  </si>
  <si>
    <t>Al Mustansiriya Univ, Coll Med, Dept Pharmacol, Baghdad, Iraq. Ashor, AW (reprint author), Al Mustansiriya Univ, Coll Med, Dept Pharmacol, POB 14132, Baghdad, Iraq. ammar_w_78@yahoo.com</t>
  </si>
  <si>
    <t>WOS:000308383400022</t>
  </si>
  <si>
    <t>Variable influence of the degree of smoking dependence on adult attention deficit/hyperactivity disorder in Iraqi medical students</t>
  </si>
  <si>
    <t>Neurosciences</t>
  </si>
  <si>
    <t>DEFICIT HYPERACTIVITY DISORDER;OF-THE-LITERATURE;REPORT SCALE ASRS;NICOTINE DEPENDENCE;CIGARETTE-SMOKING;MENTAL-ILLNESS;RATING-SCALES;ADHD;POPULATION;PREVALENCE</t>
  </si>
  <si>
    <t>Objective: To demonstrate the differences in the patterns of adult attention deficit/hyperactivity disorder (ADHD) symptoms among non, light, and heavy smokers. Methods: A cross-sectional study involving 400 medical students (representing first to sixth year students) was conducted in the Department of Pharmacology, University of Al-Mustansiriya, Baghdad, Iraq from March to June 2011. The medical students completed a questionnaire containing the adult ADHD self-report scale (ASRS-screener) and the Fagerstrom Test for Nicotine Dependence (FTND). An ADHD score &gt;= 14 was considered positive. An FTND score &gt;= 6 signifies heavy smokers, and an FTND score &lt;= 5 signifies light smokers. Results: Three hundred and sixty-one medical students completed the questionnaire, 16.6% reported ADHD symptoms (19.8% male, 12.1% females). Forty-five percent of ADHD adults were smokers; more than half of them were categorized as heavy smokers (51.8%). In comparison with non-smokers, heavy smokers displayed significant deterioration in their inattentive and total ASRS score (p=0.0001). Light smokers show significantly higher hyperactive symptoms in comparison with non-smokers (p=0.041). A high FTND score was associated with severer deterioration in inattentive (r=0.391, p=0.001) but not hyperactive symptoms (r=0.153, p=0.117). Conclusions: The ADHD symptoms are highly prevalent among Iraqi medical students, and smoking among ADHD students is higher and heavier than non-ADHD controls. Heavy smoking tends to deteriorate rather than ameliorate (self-medicate) ADHD symptoms. Neurosciences 2012; Vol. 17 (3): 241-247</t>
  </si>
  <si>
    <t>J2: Neurosciences; 1 22772930; ID: 4184</t>
  </si>
  <si>
    <t>1319-6138</t>
  </si>
  <si>
    <t>WOS:000313156600010</t>
  </si>
  <si>
    <t>Awan,S.</t>
  </si>
  <si>
    <t>Prevalence of Internet Use and Internet Addiction Disorder among Medical Students: A Case from Low Income Country</t>
  </si>
  <si>
    <t>J2: Int. J. Epidemiol.; 20th IEA World Congress of Epidemiology (WCE) AUG 17-21, 2014 Anchorage, AK Int Epidemiol Assoc 0 1; ID: 4109</t>
  </si>
  <si>
    <t>Awan, S.] Aga Khan Univ Hosp, Karachi, Pakistan.</t>
  </si>
  <si>
    <t>WOS:000376659900603</t>
  </si>
  <si>
    <t>Ayu,A. P.;Iskandar,S.;Siste,K.;De Jong,C.;Schellekens,A.</t>
  </si>
  <si>
    <t>Addiction Training for Health Professionals as an Antidote to the Addiction Health Burden in Indonesia</t>
  </si>
  <si>
    <t>Addiction;addiction curriculum;addiction medicine training;education;Indonesia;substance use</t>
  </si>
  <si>
    <t>J2: Addiction; Indonesian Directorate General of Resources for Research, Technology; Higher Education Ministry of Research, Technology, and Higher Education 94.19/E4.4/2014] 0 27154740; ID: 4049</t>
  </si>
  <si>
    <t>Ayu, Astri Parawita] Atma Jaya Catholic Univ Indonesia, Sch Med, Dept Psychiat, Jakarta, Indonesia. Ayu, Astri Parawita; De Jong, Cor] Radboud Univ Nijmegen, NISPA, Nijmegen, Netherlands. Iskandar, Shelly] Univ Padjajaran, Hasan Sadikin Hosp, Dept Psychiat, Bandung, Indonesia. Siste, Kristiana] Univ Indonesia, Cipto Mangunkusumo Hosp, Dept Psychiat, Jakarta, Indonesia. Schellekens, Arnt] Radboud Univ Nijmegen, Dept Psychiat, Med Ctr, Nijmegen, Netherlands. Ayu, AP (reprint author), Atma Jaya Catholic Univ Indonesia, Sch Med, Dept Psychiat, Jakarta, Indonesia.; Ayu, AP (reprint author), Radboud Univ Nijmegen, NISPA, Nijmegen, Netherlands. a.ayu@psych.ru.nl</t>
  </si>
  <si>
    <t>WOS:000379948900031</t>
  </si>
  <si>
    <t>10.1111/add.13407</t>
  </si>
  <si>
    <t>Back,D. K.;Tammaro,E.;Lim,J. K.;Wakeman,S. E.</t>
  </si>
  <si>
    <t>Massachusetts Medical Students Feel Unprepared to Treat Patients with Substance Use Disorder</t>
  </si>
  <si>
    <t>ATTITUDES</t>
  </si>
  <si>
    <t>J2: J. Gen. Intern. Med.; 0 28948479; ID: 3989</t>
  </si>
  <si>
    <t>Back, Danielle K.; Wakeman, Sarah E.] Massachusetts Gen Hosp, Dept Med, Boston, MA 02114 USA. Back, Danielle K.; Wakeman, Sarah E.] Harvard Med Sch, Boston, MA USA. Back, Danielle K.] Chelsea HealthCare Ctr, Chelsea, MA 02150 USA. Tammaro, Elizabeth] Univ Massachusetts, Sch Med, Worcester, MA USA. Lim, Jamie K.] Boston Univ, Sch Med, Boston, MA 02118 USA. Back, DK (reprint author), Chelsea HealthCare Ctr, Chelsea, MA 02150 USA. dback@partners.org</t>
  </si>
  <si>
    <t>WOS:000426460300008</t>
  </si>
  <si>
    <t>10.1007/s11606-017-4192-x</t>
  </si>
  <si>
    <t>Baldwin,D. C.;Hughes,P. H.;Conard,S. E.;Storr,C. L.;Sheehan,D. V.</t>
  </si>
  <si>
    <t>Substance Use among Senior Medical-Students - a Survey of 23 Medical-Schools</t>
  </si>
  <si>
    <t>Jama-Journal of the American Medical Association</t>
  </si>
  <si>
    <t>DRUG-USE;RELIABILITY</t>
  </si>
  <si>
    <t>Senior students at 23 regionally distributed medical schools received an anonymous questionnaire designed to examine current and prior use of tobacco, alcohol, and nine other drugs. The overall response rate was 67% (N = 2046). Substance use prevalence rates during the 30 days preceding the survey included alcohol, 87.5%; marijuana, 10.0%; cigarettes, 10.0%; cocaine, 2.8%; tranquilizers, 2.3%; opiates other than heroin, 1.1%; psychedelics other than LSD (lysergic acid diethylamide), 0.6%; amphetamines, 0.3%; barbiturates, 0.2%; LSD, 0.1%; and heroin, 0.0%. Compared with national, age-related comparison groups, senior medical students reported less use of all substances during the past 30 days and the past 12 months, except for alcohol, tranquilizers, and psychedelics other than LSD. Substantial new drug use after entry into medical school was reported only for tranquilizers. Seven students (0.2%) admitted to current dependence on a substance other than tobacco, four of these implicating marijuana. Thirty-three students (1.6%) believed that they currently needed help for substance abuse. Only 25.7% were aware of any policy on substance abuse at their own school.</t>
  </si>
  <si>
    <t>J2: JAMA-J. Am. Med. Assoc.; 99 2013926; ID: 4445</t>
  </si>
  <si>
    <t>Univ s florida,dept psychiat &amp; behav med,ctr study impaired profess,tampa,fl 33620. univ texas,hlth sci ctr,dept family &amp; community med,dallas,tx 75235. BALDWIN, DC (reprint author), AMER MED ASSOC,DIV MED EDUC RES &amp; INFORMAT,515 N STATE ST,CHICAGO,IL 60610, USA.</t>
  </si>
  <si>
    <t>WOS:A1991FG90700023</t>
  </si>
  <si>
    <t>10.1001/jama.265.16.2074</t>
  </si>
  <si>
    <t>Bandi,P. S.;Raju,T. S. N.;Rani,S. R.</t>
  </si>
  <si>
    <t>Smart Phone Addiction And Associated Sleep Disturbances In Medical Students</t>
  </si>
  <si>
    <t>S215</t>
  </si>
  <si>
    <t>Smart Phone;addiction;Sleep;Medical Students</t>
  </si>
  <si>
    <t>J2: Indian J. Psychiatry; 0 2; ID: 4035</t>
  </si>
  <si>
    <t>Bandi, Pushyami Satya; Raju, T. S. N.; Rani, S. Radha] Andhra Med Coll, Dept Psychiat, Visakhapatnam, Andhra Pradesh, India. Pushyami.mona@gmail.com</t>
  </si>
  <si>
    <t>WOS:000392104500266</t>
  </si>
  <si>
    <t>Baptista,T.;Novoa,D.;Hernandez,R.</t>
  </si>
  <si>
    <t>Substance Use among Venezuelan Medical and Pharmacy Students</t>
  </si>
  <si>
    <t>SUBSTANCE USE;MEDICAL AND PHARMACY STUDENTS;VENEZUELA;DIAGNOSTIC;INTERVIEW SCHEDULE;DRUG-USE;PHYSICIANS</t>
  </si>
  <si>
    <t>The frequency of substance use disorders and non-pathological use of drugs was assessed in a cohort of undergraduate medical (N = 1013) and pharmacy students (N = 426) from the University of the Andes (Merida, Venezuela). The survey was conducted using a self-administered Spanish version of the Diagnostic Interview Schedule (DIS-III-A). It was found that the lifetime frequency of substance use disorders was significantly higher in medical than in pharmacy students, but this difference disappeared when the sex was controlled. Substance use disorders were more common in single males and most cases were observed in subjects in their intermediate academic semesters. It was also found that the frequency of non-pathological use of drugs was higher in medical than in pharmacy students and in men than in women. The frequency of substance use disorders in our sample was smaller than that reported in American surveys of substance misuse among medical and pharmacy students. However, because of methodological differences these comparisons are questionable. Our results suggest that Venezuelan medical students are not at an unusually high risk of substance misuse when compared with pharmacy students whose reputedly low levels of substance use are often contrasted with those of the medical profession.</t>
  </si>
  <si>
    <t>J2: Drug Alcohol Depend.; 2 8026299; ID: 4426</t>
  </si>
  <si>
    <t>Univ los andes,fac med,internal med unit,merida 5101,venezuela. BAPTISTA, T (reprint author), UNIV LOS ANDES,FAC MED,DEPT HUMAN PHYSIOL,POB 93,MERIDA 5101,VENEZUELA.</t>
  </si>
  <si>
    <t>WOS:A1994MY75200005</t>
  </si>
  <si>
    <t>10.1016/0376-8716(94)90132-5</t>
  </si>
  <si>
    <t>Barnes,H. R.;Kim,J. Y.</t>
  </si>
  <si>
    <t>What does a required journaling exercise reveal about residents, learning experiences on a four-week addiction medicine rotation?</t>
  </si>
  <si>
    <t>J2: J. Gen. Intern. Med.; 26th Annual Meeting of the Society-of-General-Internal-Medicine APR 30-MAY 03, 2003 VANCOUVER, CANADA Soc Gen Internal Med 0 1; ID: 4362</t>
  </si>
  <si>
    <t>Harvard Univ, Cambridge, MA 02138 USA.</t>
  </si>
  <si>
    <t>WOS:000182564300949</t>
  </si>
  <si>
    <t>Barnett,N. P.;Ott,M. Q.;Clark,M. A.</t>
  </si>
  <si>
    <t>The Relevance of Network Prominence and Reciprocity of Relationships for Alcohol Use and Alcohol-Related Problems in a College Residence Hall Network</t>
  </si>
  <si>
    <t>college;alcohol;social networks;peers;ADOLESCENT SUBSTANCE USE;SOCIAL NETWORK;DRINKING BEHAVIOR;BINGE;DRINKING;FRATERNITY/SORORITY AFFILIATION;EMERGING ADULTHOOD;INJUNCTIVE NORMS;RISKY DRINKING;1ST SEMESTER;PEER NORMS</t>
  </si>
  <si>
    <t>Peer associations are influential for substance use among college students, but relatively few investigations have been conducted on the social network characteristics that are associated with problematic alcohol use in college. This study investigated the association between network characteristics of prestige, expansiveness, and reciprocity and alcohol use variables in a college residence hall network. Undergraduate students in 1 residence hall (N = 129; 51.9% female; 48.1% non-Hispanic White; 84.5% first-year) reported on their alcohol use and alcohol-related problems in the past semester and nominated up to 10 residence hall peers who were important to them. Network autocorrelation modeling evaluated the association between 5 network variables reflecting prestige (indegree and betweenness centrality), expansiveness (outdegree), and relationship agreement (indegree reciprocity and outdegree reciprocity) and 3 indicators of alcohol use (drinks per week, number of heavy drinking days, number of alcohol problems). Moderation by gender of the associations between network characteristics and alcohol variables was also investigated. Models controlled for demographics and network autocorrelation. A higher outdegree and higher betweenness centrality within the residence hall network were significantly related to the number of heavy drinking days and number of alcohol problems, respectively. Higher indegree and higher betweenness centrality were associated with more alcohol problems for women when alcohol use was controlled. Having higher prestige and indicating oneself as having more friends in a college residential network may convey alcohol-related risks, with some risks higher for women.</t>
  </si>
  <si>
    <t>J2: Psychol. Addict. Behav.; 3 25528047; ID: 4120</t>
  </si>
  <si>
    <t>0893-164X</t>
  </si>
  <si>
    <t>Barnett, Nancy P.] Brown Univ, Dept Behav &amp; Social Sci, Sch Publ Hlth, Providence, RI 02912 USA. Ott, Miles Q.] Brown Univ, Dept Stat, Sch Publ Hlth, Providence, RI 02912 USA. Clark, Melissa A.] Brown Univ, Dept Epidemiol, Sch Publ Hlth, Providence, RI 02912 USA. Barnett, NP (reprint author), Brown Univ, Box G-S121-5, Providence, RI 02912 USA. Nancy_Barnett@brown.edu</t>
  </si>
  <si>
    <t>WOS:000346633900005</t>
  </si>
  <si>
    <t>10.1037/a0038354</t>
  </si>
  <si>
    <t>Barral,C.;Eiroa-Orosa,F.;Navarro-Marfisis,M.;Roncero,C.;Casas,M.</t>
  </si>
  <si>
    <t>Assessing knowledge and attitudes towards addictions in medical residents of a general hospital</t>
  </si>
  <si>
    <t>Attitudes;medical residents;substance use disorders;training;treatment;DUAL DIAGNOSIS PATIENTS;PRIMARY-CARE;PHYSICIANS;DRUG-ABUSE;STUDENTS;ALCOHOL;STAFF;PSYCHIATRISTS;CONSEQUENCES;PERCEPTIONS</t>
  </si>
  <si>
    <t>Aims: Addiction treatment training has been recognized to be an essential part of the curriculum in psychiatry and general medicine. Our objective in this study was to measure the knowledge and attitudes towards addictions among medical residents of a general hospital in Catalonia, Spain. Methods: Within a sample of medical residents, we administered a questionnaire based on previous literature including attitudes towards patients with drug use problems, evaluation of knowledge and beliefs about harm reduction policies. Additionally, basic professional data, and personal as well as family consumption history were recorded. Findings: Four dimensions were found within the beliefs of medical residents about drug treatment and training: judgement of medical treatment of addictions and harm reduction, attitudes toward patients, importance given to training and assessment of training received. When correlating these dimensions with personal characteristics, we found those residents with personal or family history of drug use to have higher positive attitudes towards patients with addictions, and also better predisposition towards harm reduction policies. Residents working with these patients tended to give more importance to training and knowledge, and to have a better perception of the training already received, compared with residents without this contact. Conclusions: Although residents working often with addicted patients appear to have positive attitudes towards addiction treatment, according to our results, it seems very important to improve training policies, awareness and attitudes towards addiction among the whole medical community.</t>
  </si>
  <si>
    <t>J2: Drug-Educ. Prev. Policy; Teaching Commission of the Hospital Universitari Vall d'Hebron 0; ID: 4079</t>
  </si>
  <si>
    <t>Barral, Carmen; Cecilia Navarro-Marfisis, Maria; Roncero, Carlos; Casas, Miguel] Univ Autonoma Barcelona, Hosp Univ Vall dHebron, Dept Psychiat, CIBERSAM, E-08193 Barcelona, Spain. Barral, Carmen; Roncero, Carlos; Casas, Miguel] Agencia Salut Publ Barcelona, Dept Psychiat, Outpatient Drug Clin Vall Hebron, Hosp Univ Vall dHebron, Barcelona, Spain. Barral, Carmen; Roncero, Carlos] Univ Autonoma Barcelona, Dept Psychiat &amp; Legal Med, E-08193 Barcelona, Spain. Eiroa-Orosa, Francisco Jose] Univ E London, Sch Psychol, London E15 4LZ, England. Barral, C (reprint author), Univ Autonoma Barcelona, Hosp Univ Vall dHebron, Dept Psychiat, CIBERSAM, E-08193 Barcelona, Spain. cbarral@vhebron.net</t>
  </si>
  <si>
    <t>WOS:000365517800001</t>
  </si>
  <si>
    <t>10.3109/09687637.2014.987218</t>
  </si>
  <si>
    <t>Barrett,J.;Scott,K. M.</t>
  </si>
  <si>
    <t>Constantly ignored and told to disappear: A review of the literature on "teaching by humiliation" in medicine</t>
  </si>
  <si>
    <t>Focus on Health Professional Education-a Multidisciplinary Journal</t>
  </si>
  <si>
    <t>clinical teachers;hidden curriculum;medical students;professionalism;student abuse;student mistreatment;HIDDEN-CURRICULUM;PERCEPTIONS;EDUCATION;SCHOOL;HARASSMENT;ABUSE;INTIMIDATION;ENVIRONMENT</t>
  </si>
  <si>
    <t>Introduction: The aim of this narrative review of the literature was to use systematic search and review procedures to describe a contemporary understanding of the expression "teaching by humiliation." Method: A search was conducted of MEDLINE, 1990. 2013, using search terms humiliat*, intimidat*, harass* and abus*. Three hundred and forty-one papers were located; however, only papers related to medical students and medical trainees were considered. Papers dealing with substance abuse, patient abuse and sexual harassment were excluded. Of the 341 papers located, only 30 met the criteria for inclusion. One reviewer/author read all 30 papers; both reviewers/authors annotated 15 papers each, and subsequently agreed on the following categories for the systematic review: clarifying terminology, identifying specific behaviours, the extent of the problem, explanations posited, and finally, the effects of humiliation and abuse. Results: The review confirmed that the expression "teaching by humiliation" appears in the literature but that "abuse" and "mistreatment" are more common terms for medical teachers' behaviours towards students. These behaviours range from yelling, shouting and physical abuse to subtle undermining and demeaning language and practices. The behaviours are widespread and persistent across many countries, and victims suffer personal and professional effects. Conclusion: There is ongoing concern in the literature about the culture of medical education that perpetuates these practices and the failure to interrupt that culture despite decades of research and commentary.</t>
  </si>
  <si>
    <t>J2: Focus Health Prof. Educ.; 2; ID: 4108</t>
  </si>
  <si>
    <t>1442-1100</t>
  </si>
  <si>
    <t>Barrett, J.] Univ Melbourne, Melbourne, Vic, Australia. Scott, K. M.] Univ Sydney, Sydney, NSW, Australia. Barrett, J (reprint author), Univ Melbourne, Fac Med Dent &amp; Hlth Sci, Grattan St, Parkville, Vic 3010, Australia. j.barrett@unimelb.edu.au</t>
  </si>
  <si>
    <t>WOS:000376336500002</t>
  </si>
  <si>
    <t>10.11157/fohpe.v16i4.94</t>
  </si>
  <si>
    <t>Barros,H. M. T.;Tannhauser,C. L.;Tannhauser,M.</t>
  </si>
  <si>
    <t>Drugs of Abuse, Pharmacology Curriculum and Learning Styles of Medical Students</t>
  </si>
  <si>
    <t>Clinical therapeutics</t>
  </si>
  <si>
    <t>Clin.Ther.</t>
  </si>
  <si>
    <t>E69</t>
  </si>
  <si>
    <t>J2: Clin. Ther.; 12th Congress of the European-Association-for-Clinical-Pharmacology-and-Therapeutics JUN 27-30, 2015 Madrid, SPAIN European Assoc Clin Pharmacol &amp; Therapeut 0 S; ID: 4087</t>
  </si>
  <si>
    <t>0149-2918</t>
  </si>
  <si>
    <t>Barros, H. M. T.; Tannhauser, C. L.] UFCSPA, Pharmacosci Dept, Ligue 132, Porto Alegre, RS, Brazil. Tannhauser, C. L.; Tannhauser, M.] Encrementare, Porto Alegre, RS, Brazil.</t>
  </si>
  <si>
    <t>WOS:000384951200196</t>
  </si>
  <si>
    <t>10.1016/j.clinthera.2015.05.208</t>
  </si>
  <si>
    <t>Berner,J. E.;Santander,J.;Contreras,A. M.;Gomez,T.</t>
  </si>
  <si>
    <t>Description of Internet Addiction among Chilean Medical Students: A Cross-Sectional Study</t>
  </si>
  <si>
    <t>Internet;Addiction;Abuse;Impulsive;Behavior;Medical students;US COLLEGE-STUDENTS;CHINESE ADOLESCENTS;DSM-V;PREVALENCE;DEPRESSION</t>
  </si>
  <si>
    <t>Objective Internet addiction (IA) has been described as an emerging behavior related to the development of new technologies, with scarce studies on the subject and none involving medical students. The Internet Addiction Test (IAT) is a screening instrument used to detect IA worldwide, which was published in 1998 and inspired by the DSM-IV criteria for pathologic gambling. The objective of this study aims to measure the prevalence of IA in Chilean medical students and its possible association with demographic variables and depressive symptoms. Methods First- to fifth-year undergraduate medical students at a medical school in Santiago de Chile answered a self-administered survey that included demographic data, the IAT scale, and the Goldberg's General Health Questionnaire (GHQ-12) to screen for IA and depressive symptoms, respectively. Results Three hundred eighty-four students participated, achieving a response rate of 69.8 %, of which 11.5 % were classified as problematic users according to the IAT. The authors found a statistical association between positive results on the IAT and positive scores on the GHQ-12, as well as with the male gender. Conclusion In this first study of IA in medical students, the authors found a rate of incidence similar to what has been published in the literature focusing on college students. Additionally, there was a positive association between emotional symptoms and other abuse behaviors.</t>
  </si>
  <si>
    <t>J2: Acad. Psych.; 12 24430588; ID: 4141</t>
  </si>
  <si>
    <t>Enrique Berner, Juan] Hosp Clin Fuerza Aerea Chile, Santiago, Chile. Santander, Jaime; Gomez, Teresita] Pontificia Univ Catolica Chile, Santiago, Chile. Maria Contreras, Ana] Hosp Psiquiatr Peral, Santiago, Chile. Berner, JE (reprint author), Hosp Clin Fuerza Aerea Chile, Santiago, Chile. jeberner@uc.cl</t>
  </si>
  <si>
    <t>WOS:000331983600003</t>
  </si>
  <si>
    <t>10.1007/s40596-013-0022-6</t>
  </si>
  <si>
    <t>Beverly,E. A.;Diaz,S.;Kerr,A. M.;Balbo,J. T.;Prokopakis,K. E.;Fredricks,T. R.</t>
  </si>
  <si>
    <t>Students' Perceptions of Trigger Warnings in Medical Education</t>
  </si>
  <si>
    <t>Teaching and learning in medicine</t>
  </si>
  <si>
    <t>Teach.Learn.Med.</t>
  </si>
  <si>
    <t>medical education;preclinical education;trigger warnings;EMOTION WORK;TEACHER CONFIRMATION;SUICIDAL IDEATION;ENVIRONMENT;DEPRESSION;BURNOUT;SCHOOL;US;VALIDATION;AGREEMENT</t>
  </si>
  <si>
    <t>Phenomenon: Trigger warnings are verbal statements or written warnings that alert students in advance to potentially distressing material. Medical education includes numerous subjects frequently identified as triggers, such as abuse, rape, self-injurious behaviors, eating disorders, drug and alcohol addiction, and suicide. Thus, exploring medical students' perceptions of trigger warnings may provide a valuable perspective on the use of these warnings in higher education. Approach: As part of a larger descriptive, cross-sectional survey study on medical education, we assessed 1st- and 2nd-year medical students' perceptions of trigger warnings in the preclinical curriculum. Five questions specific to trigger warnings explored students' knowledge, prior experience, and perceptions of trigger warnings in medical education. Frequencies of individual question responses were calculated, and qualitative data were analyzed via content and thematic analyses. Findings: Of the 424 medical students invited to participate, 259 completed the survey (M = 24.8years, SD + 3.4, 51.4% female, 76.1% White, 53.7% 1st-year students). Few students (11.2%) were aware of the term trigger warning and its definition. However, after being presented with a formal definition on the online survey, 38.6% reported having had a professor use one. When asked whether they supported the use of trigger warnings in medical education, respondents were distributed fairly equally by response (yes = 31.0%, maybe = 39.2%, no = 29.7%). Qualitative analysis revealed three themes: (a) Trigger Warnings Allow Students to Know What is Coming and Prepare Themselves: Respondents believed that trigger warnings would benefit students with a history of trauma by providing them additional time to prepare for the material and, if appropriate, seek professional help; (b) Students Need to Learn How to Handle Distressing Information: Respondents agreed that they needed to learn and cope with highly sensitive material because they would be confronted with difficult and unexpected situations in clinical practice; and (c) Trigger Warnings Help Students Understand the Severity of the Material: Respondents felt that trigger warnings may help students understand the severity of the material being covered and increase awareness about trauma and its effects on health and well-being. Insights: Findings did not reach consensus for or against the use of trigger warnings in medical school; however, students emphasized the importance of learning how to cope with distressing material. Trigger warnings may represent a teaching tool to facilitate classroom discussions about the severity of trauma-related material and problem-focused coping strategies.</t>
  </si>
  <si>
    <t>J2: Teach. Learn. Med.; 0 28753041; ID: 4002</t>
  </si>
  <si>
    <t>Beverly, Elizabeth A.; Diaz, Sebastian; Kerr, Anna M.; Balbo, Jane T.] Ohio Univ, Heritage Coll Osteopath Med, Dept Family Med, Athens, OH 45701 USA. Prokopakis, Kayla E.] Ohio Univ, Heritage Coll Osteopath Med, Dept Med, Athens, OH 45701 USA. Fredricks, Todd R.] Ohio Univ, Heritage Coll Osteopath Med, Dept Family Med, Athens, OH 45701 USA. Beverly, EA (reprint author), Ohio Univ, Heritage Coll Osteopath Med, Dept Family Med, Athens, OH 45701 USA. beverle1@ohio.edu</t>
  </si>
  <si>
    <t>WOS:000423663900002</t>
  </si>
  <si>
    <t>10.1080/10401334.2017.1330690</t>
  </si>
  <si>
    <t>Bleckwenn,M.;Just,J.;Rudisser,V.;Engel,B.;Weckbecker,K.</t>
  </si>
  <si>
    <t>Integration of Addiction Medicine into Medical School - Interactive Remodelling of a Seminar in the Field of Prevention and Health Promotion</t>
  </si>
  <si>
    <t>Suchttherapie</t>
  </si>
  <si>
    <t>addiction medicine;medical school;activating teaching methods;active;teaching;EDUCATION</t>
  </si>
  <si>
    <t>The Aim of the Project In model projects the knowledge in addiction medicine could be improved in medical students in a short time through an interactive and didactic quality teaching. Therefore, the aim of the project was to design a seminar with an addiction medicine theme interactively and to verify the acceptance of such a transformation. Methods For this purpose, activating teaching methods were integrated gradually in a seminar. One activating teaching method was introduced per semester. On the basis of the evaluation, a teaching method was left or replaced in the course of the seminar. After the complete interactive remodelling the satisfaction of students and their teachers was tested. Results The 4 participating lecturers had a high level of satisfaction with the teaching in the seminar 9.4 (0-10)]. Also the students (n = 69) rated the seminar positively (8.4) and confirmed the high degree of interactivity (8.1) and didactic quality (8.1). Conclusion An interactive remodelling of seminars is possible. Based on the positive results active teaching is recommended in seminars.</t>
  </si>
  <si>
    <t>J2: Suchttherapie; 0; ID: 4007</t>
  </si>
  <si>
    <t>1439-9903</t>
  </si>
  <si>
    <t>Bleckwenn, Markus; Just, Johannes; Ruedisser, Valeria; Engel, Bettina; Weckbecker, Klaus] Univ Bonn, Med Fak, Inst Hausarztmed, Sigmund Freud Str 25, D-53127 Bonn, Germany. Bleckwenn, M (reprint author), Univ Bonn, Med Fak, Inst Hausarztmed, Sigmund Freud Str 25, D-53127 Bonn, Germany. markus.bleckwenn@ukb.uni-bonn.de</t>
  </si>
  <si>
    <t>WOS:000416258700010</t>
  </si>
  <si>
    <t>10.1055/s-0042-119585</t>
  </si>
  <si>
    <t>Bogowicz,P.;Ferguson,J.;Gilvarry,E.;Kamali,F.;Kaner,E.;Newbury-Birch,D.</t>
  </si>
  <si>
    <t>Alcohol and other substance use among medical and law students at a UK university: a cross-sectional questionnaire survey</t>
  </si>
  <si>
    <t>medical students;alcohol drinking;substance misuse;psychiatry;mental;health;DISORDERS IDENTIFICATION TEST;DRUG-USE;HAZARDOUS DRINKING;HOSPITAL;ANXIETY;DEPRESSION SCALE;BINGE DRINKING;CONSUMPTION;VALIDITY</t>
  </si>
  <si>
    <t>Purpose of the study To examine the use of alcohol and other substances among medical and law students at a UK university. Study design Anonymous cross-sectional questionnaire survey of first, second and final year medical and law students at a single UK university. Results 1242 of 1577 (78.8%) eligible students completed the questionnaire. Over half of first and second year medical students (first year 53.1%, second year 59.7%, final year 35.9%) had an Alcohol Use Disorders Identification Test (AUDIT) score suggestive of an alcohol use disorder (AUDIT8), compared with over two-thirds of first and second year law students (first year 67.2%, second year 69.5%, final year 47.3%). Approximately one-quarter of medical students (first year 26.4%, second year 28.4%, final year 23.7%) and over one-third of first and second year law students (first year 39.1%, second year 42.4%, final year 18.9%) reported other substance use within the past year. Over one-third of medical students (first year 34.4%, second year 35.6%, final year 46.3%) and approximately half or more of law students (first year 47.2%, second year 52.7%, final year 59.5%) had a Hospital Anxiety and Depression Scale anxiety score suggestive of a possible anxiety disorder. Conclusions Study participants had high levels of substance misuse and anxiety. Some students' fitness to practice may be impaired as a result of their substance misuse or symptoms of psychological distress. Further efforts are needed to reduce substance misuse and to improve the mental well-being of students.</t>
  </si>
  <si>
    <t>J2: Postgrad. Med. J.; Medical Research Council MR/K02325X/1] 0 29103016; ID: 3988</t>
  </si>
  <si>
    <t>Bogowicz, Paul; Gilvarry, Eilish; Kaner, Eileen] Newcastle Univ, Inst Hlth &amp; Soc, Newcastle Upon Tyne, Tyne &amp; Wear, England. Ferguson, Jennifer; Newbury-Birch, Dorothy] Teesside Univ, Sch Hlth &amp; Social Care, Constantine Bldg, Middlesbrough TS1 3BA, Cleveland, England. Kamali, Farhad] Newcastle Univ, Inst Cellular Med, Newcastle Upon Tyne, Tyne &amp; Wear, England. Newbury-Birch, D (reprint author), Teesside Univ, Sch Hlth &amp; Social Care, Constantine Bldg, Middlesbrough TS1 3BA, Cleveland, England. d.newbury-birch@tees.ac.uk</t>
  </si>
  <si>
    <t>WOS:000428926100001</t>
  </si>
  <si>
    <t>10.1136/postgradmedj-2017-135136</t>
  </si>
  <si>
    <t>Bond,B. M.</t>
  </si>
  <si>
    <t>Alcoholism - Misuse and Dependence - Introduction for Physicians, Psychologists and Social Educators - Feuerlein,W</t>
  </si>
  <si>
    <t>J2: J. Stud. Alcohol; 0; ID: 4508</t>
  </si>
  <si>
    <t>WOS:A1976BW18800004</t>
  </si>
  <si>
    <t>Boonvisudhi,T.;Kuladee,S.</t>
  </si>
  <si>
    <t>Association between Internet addiction and depression in Thai medical students at Faculty of Medicine, Ramathibodi Hospital</t>
  </si>
  <si>
    <t>Plos One</t>
  </si>
  <si>
    <t>PSYCHIATRIC COMORBIDITY;ADOLESCENTS;SYMPTOMS;VALIDITY;DISORDER;SCHOOL;PHQ-9</t>
  </si>
  <si>
    <t>Objective To study the extent of Internet addiction (IA) and its association with depression in Thai medical students. Methods A cross-sectional study was conducted at Faculty of Medicine, Ramathibodi Hospital. Participants were first- to fifth-year medical students who agreed to participate in this study. Demographic characteristics and stress-related factors were derived from self-rated questionnaires. Depression was assessed using the Thai version of Patient Health Questionnaire (PHQ-9). A total score of five or greater derived from the Thai version of Young Diagnostic Questionnaire for Internet Addiction was classified as "possible IA". Then chi-square test and logistic regression were used to evaluate the associations between possible IA, depression and associated factors. Results From 705 participants, 24.4% had possible IA and 28.8% had depression. There was statistically significant association between possible IA and depression (odds ratio (OR) 1.92, 95% confidence interval (CI): 1.34-2.77, P-value &lt;0.001). Logistic regression analysis illustrated that the odds of depression in possible IA group was 1.58 times of the group of normal Internet use (95% CI: 1.04-2.38, P-value = 0.031). Academic problems were found to be a significant predictor of both possible IA and depression. Conclusion IA was likely to be a common psychiatric problem among Thai medical students. The research has also shown that possible IA was associated with depression and academic problems. We suggest that surveillance of IA should be considered in medical schools.</t>
  </si>
  <si>
    <t>J2: PLoS One; 3 e0174209 28319167; ID: 4021</t>
  </si>
  <si>
    <t>Boonvisudhi, Thummaporn; Kuladee, Sanchai] Mahidol Univ, Ramathibodi Hosp, Dept Psychiat, Fac Med, Bangkok, Thailand. Kuladee, S (reprint author), Mahidol Univ, Ramathibodi Hosp, Dept Psychiat, Fac Med, Bangkok, Thailand. sanchai.kul@mahidol.edu</t>
  </si>
  <si>
    <t>WOS:000398945800058</t>
  </si>
  <si>
    <t>10.1371/journal.pone.0174209</t>
  </si>
  <si>
    <t>Boscarino,J. A.</t>
  </si>
  <si>
    <t>Diseases among men 20 years after exposure to severe stress: Implications for clinical research and medical care</t>
  </si>
  <si>
    <t>Psychosomatic medicine</t>
  </si>
  <si>
    <t>Psychosom.Med.</t>
  </si>
  <si>
    <t>posttraumatic stress disorder;neuroendocrine system;psychosomatic;disorders;psychological distress;disease pathogenesis;immune system;DIAGNOSTIC INTERVIEW SCHEDULE;URINARY CORTISOL EXCRETION;VIETNAM;COMBAT VETERANS;POSTTRAUMATIC-STRESS;SOCIOECONOMIC-STATUS;DISORDER;WAR;HEALTH;BRAIN;EXPERIENCE</t>
  </si>
  <si>
    <t>Objective: Epidemiologic studies have linked exposure to severe environmental stress, such as natural disasters and combat operations, to the onset of specific psychiatric disorders. Some research also suggests that these exposures may be associated with the onset of chronic diseases as well. However, these chronic disease outcome studies often have been obscured by bias and confounding. Method: The medical histories of 1399 male Vietnam veterans approximately 20 years after combat exposure (mean years = 17) were analyzed by lifetime posttraumatic stress disorder (PTSD) status (Lifetime PTSD = 332 cases). These men were included in a national, random in-person study of United States Army veterans of the Vietnam War (study completion rate = 65%). Results: After controlling for preservice, in-service, and postservice factors (including intelligence, race, region of birth, enlistment status, volunteer status, Army marital status, Army medical profile, hypochondriasis, age, smoking history, substance abuse, education, and income), associations were found for reported circulatory odds ratio (OR) = 1.62, p = .007], digestive (OR = 1.47, p = .036), musculoskeletal (OR = 1.78, p = .008), endocrine-nutritional-metabolic (OR = 1.58, p = .10), nervous system (OR = 2.47, p &lt; .001), respiratory (OR = 1.54, p = .042), and nonsexually transmitted infectious diseases (OR = 2.14, p &lt; .004) after military service. Conclusion: Although this study has some limitations, it suggests that there is a direct Link between severe stress exposures and a broad spectrum of human diseases. In the future, medical researchers and clinicians should focus more on the medical consequences of exposure to severe environmental stress and seek to better integrate psychobiologic models of disease pathogenesis.</t>
  </si>
  <si>
    <t>J2: Psychosom. Med.; NIMH NIH HHS MH-19105] 243 9407579; ID: 4403</t>
  </si>
  <si>
    <t>0033-3174</t>
  </si>
  <si>
    <t>Boscarino, JA (reprint author), CATHOLIC HLTH INITIAT SE REG,DEPT OUTCOMES RES,POB 34037,LOUISVILLE,KY 40232, USA.</t>
  </si>
  <si>
    <t>WOS:A1997YH87200008</t>
  </si>
  <si>
    <t>10.1097/00006842-199711000-00008</t>
  </si>
  <si>
    <t>Bostwick,J. M.;Bobenrieth,C.</t>
  </si>
  <si>
    <t>Alcohol use disorders: Recognition and physician education in a general hospital setting</t>
  </si>
  <si>
    <t>J2: Psychosomatics; 0; ID: 4388</t>
  </si>
  <si>
    <t>0033-3182</t>
  </si>
  <si>
    <t>WOS:000085920700070</t>
  </si>
  <si>
    <t>Bott,K.;Hapke,U.;Freyer,J.;Riedel,J.;Wedler,B.;Hartmann,B.;Pockrandt,C.;Stegemann,K.;John,U.</t>
  </si>
  <si>
    <t>Conception and implementation of medical training for motivational counseling of patients with alcohol-related disorders</t>
  </si>
  <si>
    <t>A28</t>
  </si>
  <si>
    <t>J2: Gesundheitswesen; 0; ID: 4359</t>
  </si>
  <si>
    <t>0941-3790</t>
  </si>
  <si>
    <t>Univ Greifswald, Inst Epidemiol &amp; Sozialmed, Greifswald, Germany.</t>
  </si>
  <si>
    <t>WOS:000185441100090</t>
  </si>
  <si>
    <t>Brown,R. L.;Edwards,J. A.;Rounds,L. A.</t>
  </si>
  <si>
    <t>Medical-Students Decisions to Report Classmates Impaired by Alcohol or Other Drug-Abuse</t>
  </si>
  <si>
    <t>J2: Acad. Med.; 3 1457029; ID: 4430</t>
  </si>
  <si>
    <t>BROWN, RL (reprint author), UNIV WISCONSIN,SCH MED,DEPT FAMILY MED &amp; PRACTICE,777 S MILLS ST,MADISON,WI 53715, USA.</t>
  </si>
  <si>
    <t>WOS:A1992KC30300021</t>
  </si>
  <si>
    <t>10.1097/00001888-199212000-00019</t>
  </si>
  <si>
    <t>Buchanan,A. R.;Prince-Elcan,M.</t>
  </si>
  <si>
    <t>On-Line Medical Student Training on Buprenorphine and Opioid Dependence</t>
  </si>
  <si>
    <t>J2: Subst. Abus.; 0; ID: 4285</t>
  </si>
  <si>
    <t>Buchanan, A. R.; Prince-Elcan, M. C.] Clin Tools Inc, Chapel Hill, NC USA.</t>
  </si>
  <si>
    <t>WOS:000283306600051</t>
  </si>
  <si>
    <t>Bucher,J. T.;Vu,D. M.;Hojat,M.</t>
  </si>
  <si>
    <t>Psychostimulant drug abuse and personality factors in medical students</t>
  </si>
  <si>
    <t>PHYSICIAN EMPATHY;SPECIALTY INTEREST;PSYCHOMETRIC DATA;JEFFERSON;SCALE;NONMEDICAL USE;PREVALENCE;GENDER;STIMULANTS</t>
  </si>
  <si>
    <t>Background: Psychostimulants have a high abuse potential and are appealing to college students for enhancing their examination performance. Aim: This study was designed to examine the prevalence of psychostimulant drug abuse among medical students and to test the hypothesis that medical students who use psychostimulant drugs for non-medical reasons are characterized by a sensation seeking and aggressive-hostility personality and exhibit lower empathy. Methods: The Zuckerman-Kuhlman Personality Questionnaire and the Jefferson Scale of Empathy were completed anonymously on-line by 321 medical students in 2010-2011 academic year. Results: A total of 45 students (14%) reported that they had abused psychostimulant medications either before or during medical school. Results of multivariate analysis of variance provided support for one of our research hypothesis: students who reported using psychostimulant compared to the rest, obtained a significantly higher average score on the aggressive-hostility personality factor. No other significant differences were observed. Conclusion: Further research is needed to confirm the rate of psychostimulant drug abusers among medical students in other medical schools. In particular, it is desirable to examine if such psychostimulant drug abusers are likely to abuse other substances in medical school and later in their professional career.</t>
  </si>
  <si>
    <t>J2: Med. Teach.; 4 23102153; ID: 4176</t>
  </si>
  <si>
    <t>Bucher, Joshua T.; Vu, Duc M.; Hojat, Mohammadreza] Thomas Jefferson Univ, Philadelphia, PA 19107 USA. Bucher, JT (reprint author), Thomas Jefferson Univ, 1020 Walnut St, Philadelphia, PA 19107 USA. Joshua.t.bucher@gmail.com</t>
  </si>
  <si>
    <t>WOS:000312954300014</t>
  </si>
  <si>
    <t>10.3109/0142159X.2012.731099</t>
  </si>
  <si>
    <t>Carden,G.</t>
  </si>
  <si>
    <t>Survey of Addiction and Chronic Noncancer Pain Curriculum in Family Medicine Programs</t>
  </si>
  <si>
    <t>J2: Subst. Abus.; 0; ID: 4200</t>
  </si>
  <si>
    <t>WOS:000306464200059</t>
  </si>
  <si>
    <t>Chakraborty,A. K.;Roy,M.;Ganguly,S. S.</t>
  </si>
  <si>
    <t>Drug-Abuse in Medical-Students in Calcutta - a Preliminary-Study</t>
  </si>
  <si>
    <t>J2: Indian J. Med. Res.; 3 7390587; ID: 4499</t>
  </si>
  <si>
    <t>All india inst hyg &amp; publ hlth,dept stat,calcutta 700012,india. calcutta med coll,dept prevent &amp; social med,calcutta,india. CHAKRABORTY, AK (reprint author), ALL INDIA INST HYG &amp; PUBL HLTH,DEPT EPIDEMIOL,CALCUTTA 700012,INDIA.</t>
  </si>
  <si>
    <t>WOS:A1980JQ06500026</t>
  </si>
  <si>
    <t>Medical-Education and Substance-Abuse</t>
  </si>
  <si>
    <t>J2: J. R. Soc. Med.; 0 20894844; ID: 4431</t>
  </si>
  <si>
    <t>CHAPMAN, MJ (reprint author), TOXICOLOGISTE CONSEIL,BP 19,F-69881 JONAGE,FRANCE.</t>
  </si>
  <si>
    <t>WOS:A1992KA95200031</t>
  </si>
  <si>
    <t>Chen,B. F.;Liu,F.;Ding,S. S.;Ying,X.;Wang,L. L.;Wen,Y. F.</t>
  </si>
  <si>
    <t>Gender differences in factors associated with smartphone addiction: a cross-sectional study among medical college students</t>
  </si>
  <si>
    <t>Bmc Psychiatry</t>
  </si>
  <si>
    <t>BMC Psychiatry</t>
  </si>
  <si>
    <t>Smartphone addiction;Problematic smartphone use;Sleep quality;Depression;Anxiety;MOBILE PHONE USE;CELL-PHONE;DEPRESSIVE SYMPTOMS;UNDERGRADUATE STUDENTS;INTERNET ADDICTION;ADOLESCENTS;COMMUNICATION;PREVALENCE</t>
  </si>
  <si>
    <t>Background: Smartphones are becoming increasingly indispensable in everyday life for most undergraduates in China, and this has been associated with problematic use or addiction. The aim of the current study was to investigate the prevalence of smartphone addiction and the associated factors in male and female undergraduates. Methods: This cross-sectional study was conducted in 2016 and included 1441 undergraduate students at Wannan Medical College, China. The Smartphone Addiction Scale short version (SAS-SV) was used to assess smartphone addiction among the students, using accepted cut-offs. Participants' demographic, smartphone usage, and psycho-behavioral data were collected. Multivariate logistic regression models were used to seek associations between smartphone addiction and independent variables among the males and females, separately. Results: The prevalence of smartphone addiction among participants was 29.8% (30.3% in males and 29.3% in females). Factors associated with smartphone addiction in male students were use of game apps, anxiety, and poor sleep quality. Significant factors for female undergraduates were use of multimedia applications, use of social networking services, depression, anxiety, and poor sleep quality. Conclusions: Smartphone addiction was common among the medical college students investigated. This study identified associations between smartphone usage, psycho-behavioral factors, and smartphone addiction, and the associations differed between males and females. These results suggest the need for interventions to reduce smartphone addiction among undergraduate students.</t>
  </si>
  <si>
    <t>J2: BMC Psychiatry; Key Project of Education Department of Anhui Province SK2016A0946] 1 341 29017482; ID: 4009</t>
  </si>
  <si>
    <t>1471-244X</t>
  </si>
  <si>
    <t>Chen, Baifeng; Liu, Fei; Ding, Shushu; Ying, Xia; Wang, Lele; Wen, Yufeng] Wannan Med Coll, Sch Publ Hlth, 22 West Wenchang Rd, Wuhu 241002, Anhui, Peoples R China. Wen, YF (reprint author), Wannan Med Coll, Sch Publ Hlth, 22 West Wenchang Rd, Wuhu 241002, Anhui, Peoples R China. wyf@wnmc.edu.cn</t>
  </si>
  <si>
    <t>WOS:000412678000002</t>
  </si>
  <si>
    <t>10.1186/s12888-017-1503-z</t>
  </si>
  <si>
    <t>Ching,S. M.;Yee,A.;Ramachandran,V.;Lim,S. M. S.;Sulaiman,W. A. W.;Foo,Y. L.;Hoo,F. K.</t>
  </si>
  <si>
    <t>Validation of a Malay Version of the Smartphone Addiction Scale among Medical Students in Malaysia</t>
  </si>
  <si>
    <t>MOBILE PHONE DEPENDENCE;INTERNET ADDICTION;PROBLEMATIC INTERNET;UNIVERSITY-STUDENTS;COLLEGE-STUDENTS;LIFE-STYLE;HEALTH;SYMPTOMS;STRESS</t>
  </si>
  <si>
    <t>Introduction This study was initiated to determine the psychometric properties of the Smart Phone Addiction Scale (SAS) by translating and validating this scale into the Malay language (SAS-M), which is the main language spoken in Malaysia. This study can distinguish smart phone and internet addiction among multi-ethnic Malaysian medical students. In addition, the reliability and validity of the SAS was also demonstrated. Materials and Methods A total of 228 participants were selected between August 2014 and September 2014 to complete a set of questionnaires, including the SAS and the modified Kimberly Young Internet addiction test (IAT) in the Malay language. Results There were 99 males and 129 females with ages ranging from 19 to 22 years old (21.7 +/- 1.1) included in this study. Descriptive and factor analyses, intra-class coefficients, t-tests and correlation analyses were conducted to verify the reliability and validity of the SAS. Bartlett's test of sphericity was significant (p &lt; 0.01), and the Kaiser-Mayer-Olkin measure of sampling adequacy for the SAS-M was 0.92, indicating meritoriously that the factor analysis was appropriate. The internal consistency and concurrent validity of the SAS-M were verified (Cronbach's alpha = 0.94). All of the subscales of the SAS-M, except for positive anticipation, were significantly related to the Malay version of the IAT. Conclusions This study developed the first smart phone addiction scale among medical students. This scale was shown to be reliable and valid in the Malay language.</t>
  </si>
  <si>
    <t>J2: PLoS One; UPM research fund UPM/700-2/1/GP- IPM/2014/9436500] 8 e0139337 26431511; ID: 4081</t>
  </si>
  <si>
    <t>Ching, Siew Mooi] Univ Putra Malaysia, Fac Med &amp; Hlth Sci, Dept Family Med, Serdang 43400, Selangor, Malaysia. Ching, Siew Mooi; Ramachandran, Vasudevan] Univ Putra Malaysia, Malaysian Res Inst Ageing, Serdang 43400, Selangor, Malaysia. Yee, Anne] Univ Malaya, Fac Med, Dept Psychol Med, Ctr Addict Sci, Kuala Lumpur, Malaysia. Lim, Sazlyna Mohd Sazlly; Sulaiman, Wan Aliaa Wan; Foo, Yoke Loong; Hoo, Fan Kee] Univ Putra Malaysia, Dept Med, Fac Med &amp; Hlth Sci, Serdang 43400, Selangor, Malaysia. Ching, SM (reprint author), Univ Putra Malaysia, Fac Med &amp; Hlth Sci, Dept Family Med, Serdang 43400, Selangor, Malaysia. sm_ching@upm.edu.my</t>
  </si>
  <si>
    <t>WOS:000362178700044</t>
  </si>
  <si>
    <t>10.1371/journal.pone.0139337</t>
  </si>
  <si>
    <t>Choi,D.;Tolova,V.;Socha,E.;Samenow,C. P.</t>
  </si>
  <si>
    <t>Substance Use and Attitudes on Professional Conduct Among Medical Students: A Single-Institution Study</t>
  </si>
  <si>
    <t>PRESCRIPTION STIMULANTS;COLLEGE-STUDENTS;PREVALENCE;BEHAVIOR</t>
  </si>
  <si>
    <t>Objective: This study sought to examine how specific substance-use behavior, including nonmedical prescription stimulant (NPS) use, among U.S. medical students correlates with their attitudes and beliefs toward professionalism. Method: An anonymous survey was distributed to all medical students at a private medical university (46% response rate). Participants were asked to report alcohol and marijuana use patterns, NPS use, stress levels, and history of suicidal ideation. Results: Over one-third of medical students reported excessive drinking during the past month, and 5% reported NPS use during the past year. Students who endorsed such behavior were significantly less likely to view it as unprofessional and warranting intervention. A large number of students seemed unfamiliar with how to help a classmate with an NPS use problem. Conclusions: Medical students' substance use behaviors appear to influence attitudes and beliefs toward professional issues regarding substance use.</t>
  </si>
  <si>
    <t>J2: Acad. Psych.; 7 23632932; ID: 4167</t>
  </si>
  <si>
    <t>Choi, Daisi] Georgetown Univ Hosp, Dept Emergency Med, Washington Hosp Ctr, Washington, DC 20007 USA. Tolova, Vera] Albert Einstein Med Ctr, Dept Emergency Med, Philadelphia, PA 19141 USA. Socha, Edward] US Dept Educ, Washington, DC USA. Samenow, Charles P.] George Washington Univ, Dept Psychiat &amp; Behav Sci, Washington, DC USA. Choi, D (reprint author), Georgetown Univ Hosp, Dept Emergency Med, Washington Hosp Ctr, Washington, DC 20007 USA. daisichoi@gmail.com</t>
  </si>
  <si>
    <t>WOS:000318459000010</t>
  </si>
  <si>
    <t>10.1176/appi.ap.12060126</t>
  </si>
  <si>
    <t>Christison,G. W.;Haviland,M. G.;Riggs,M. L.</t>
  </si>
  <si>
    <t>The medical condition regard scale: Measuring reactions to diagnoses</t>
  </si>
  <si>
    <t>ATTITUDES;PATIENT;AIDS</t>
  </si>
  <si>
    <t>Purpose. To develop a non-condition-specific scale to capture biases, emotions and expectation generated by medical condition descriptors. Method. An 18-item pilot scale was developed from the literature on physicians' responses to patients they like and dislike, stigma definitions, and discussions with primary care faculty. Exploratory factor analysis was conducted after 440 medical students rated one of 12 diverse condition. Confirmatory factor analysis was performed after 163 medical students rated two psychiatric conditions. Validity was evaluated by the scale's ability to meaningfully stratify the 12 conditions and identify changes in attitudes toward psychiatric conditions after a psychiatry clerkship. Results. Exploratory factor analysis supported an 11-item unidimensional solution (all factor loadings &gt;.40, coefficient alpha =.87). The final scale, the Medical Condition Regard Scale (MCRS), tap, the degree to which medical Students find patients with a given medical condition to be enjoyable, treatable, and worthy of medical resources. The unidimensional model also was supported by the confirmatory factor analyses for the two psychiatric conditions (both comparative fit indices = .98). The scale stratified the 12 conditions as expected: straightforward medical conditions rated highest, so-matoform conditions rated lowest. Students showed greater regard for patients with major depression after the psychiatry clerkship, and students who rotated through an addiction treatment program showed a greater increase in regard for patients with alcoholism than did student not exposed to addiction treatment. Conclusion. MCRS scores are reliable, and the scale appears to be a valid instrument for assessing regard for any medical condition.</t>
  </si>
  <si>
    <t>J2: Acad. Med.; 46 11891166; ID: 4375</t>
  </si>
  <si>
    <t>Loma Linda Univ, Med Ctr, Dept Psychiat, Loma Linda, CA 92354 USA. Loma Linda Univ, Med Ctr, Dept Psychol, Loma Linda, CA 92354 USA. Christison, GW (reprint author), Loma Linda Univ, Med Ctr, Dept Psychiat, 11374 Mountain View Ave, Loma Linda, CA 92354 USA.</t>
  </si>
  <si>
    <t>WOS:000174353200012</t>
  </si>
  <si>
    <t>10.1097/00001888-200203000-00017</t>
  </si>
  <si>
    <t>Drug-Abuse Training as Part of a Family Medicine Clerkship</t>
  </si>
  <si>
    <t>5 7200147; ID: 4494</t>
  </si>
  <si>
    <t>Suny stony brook,dept family med,stony brook,ny 11794. CONFUSIONE, M (reprint author), SUNY STONY BROOK,FAMILY MED CLIN,STONY BROOK,NY 11794, USA.</t>
  </si>
  <si>
    <t>WOS:A1982NP06000013</t>
  </si>
  <si>
    <t>Training in Drug-Abuse in a Family Medicine Residency</t>
  </si>
  <si>
    <t>J2: J. Fam. Pract.; 2 7086379; ID: 4493</t>
  </si>
  <si>
    <t>CONFUSIONE, M (reprint author), SUNY STONY BROOK,SCH MED,DEPT FAMILY MED,STONY BROOK,NY 11794, USA.</t>
  </si>
  <si>
    <t>WOS:A1982PP50000020</t>
  </si>
  <si>
    <t>Cranford,J. A.;McCabe,S. E.;Boyd,C. J.</t>
  </si>
  <si>
    <t>Adolescents' nonmedical use and excessive medical use of Prescription medications and the identification of substance use subgroups</t>
  </si>
  <si>
    <t>Nonmedical use prescription medications;Excessive medical use;prescription;medications;Adolescent substance use;Gender differences;Parental influence;CHILD GENDER;ALCOHOL;ABUSE;DEPENDENCE;SYMPTOMS;OPIOIDS;MISUSE;PARENT;RISK</t>
  </si>
  <si>
    <t>The purpose of this study was to identify subgroups of adolescents based on their past 12 months use of tobacco, alcohol, marijuana, illicit drugs, and nonmedical use and excessive medical use of prescription medications. A cross-sectional Web-based survey of adolescents from two middle and high school districts in Southeastern Michigan was conducted. The sample included 2,744 middle school (7th and 8th grade) and high school (9th through 12th grade) students. Participants had a mean age of 14.8 years (SD = 1.9 years); 50.4% were female, 64.1% were Caucasian, and 30.6% were African American. Participants completed measures of the past 12 months of substance use, parental monitoring, parental substance use, and internalizing and externalizing problems. Exploratory latent class analysis (LCA) indicated four classes. The largest class was composed of participants with low probabilities of using any substances (low/no use class), and the smallest class was composed of participants with relatively high probabilities of using all substances (multiple substances class). A third class included participants with high probabilities of using tobacco, alcohol, and marijuana (TAM). The fourth class consisted of participants with relatively high probabilities of alcohol use, nonmedical prescription drug use, and excessive medical use of prescription drugs (ANM). Female gender predicted membership in the ANM and multiple substance classes, and parental monitoring, parental substance use problems, internalizing, and externalizing problems uniquely predicted membership in all three high-risk risk classes. Results indicated three high-risk subgroups of adolescents, each characterized by a different pattern of substance use. Two risk groups are characterized by relatively high probabilities of nonmedical use and excessive medical use of prescription medications. (C) 2013 Elsevier Ltd. All rights reserved.</t>
  </si>
  <si>
    <t>J2: Addict. Behav.; National Institute on Drug Abuse, National Institutes of Health R01DA024678, R01DA031160] 18 23954563; ID: 4152</t>
  </si>
  <si>
    <t>Cranford, James A.] Univ Michigan, Dept Psychiat, Addict Res Ctr, Ann Arbor, MI 48109 USA. Boyd, Carol J.] Univ Michigan, Sch Nursing, Ann Arbor, MI 48109 USA. McCabe, Sean Esteban] Univ Michigan, Inst Res Women &amp; Gender, Ann Arbor, MI 48109 USA. Cranford, JA (reprint author), Univ Michigan, Dept Psychiat, Addict Res Ctr, Rachel Upjohn Bldg,4250 Plymouth Rd, Ann Arbor, MI 48109 USA. jcranfor@med.umich.edu</t>
  </si>
  <si>
    <t>WOS:000324961800021</t>
  </si>
  <si>
    <t>10.1016/j.addbeh.2013.06.015</t>
  </si>
  <si>
    <t>Crome,I. B.;Shaikh,N.</t>
  </si>
  <si>
    <t>Undergraduate medical school education in substance misuse in Britain III: can medical students drive change?</t>
  </si>
  <si>
    <t>PSYCHIATRIC-DISORDERS;BRIEF INTERVENTIONS;MENTAL ILLNESSES;ALCOHOL-PROBLEMS;DUAL DIAGNOSIS;SOUTH LONDON;DRUG-USE;HEALTH;ABUSE;DRINKING</t>
  </si>
  <si>
    <t>Background: Two previous studies have demonstrated the parlous state of undergraduate medical education. A third study was undertaken to evaluate any change. Methodology: All deans, heads of psychiatry and addiction specialists working in 28 British medical schools were surveyed by questionnaire. Items included time allocated to formal training, clinical resources, training objectives, professional confidence and competence, postgraduate facilities, plans for change, opinion on the importance of addiction in the curriculum, and scientific credibility. Findings: There was a 100%, 71% and 46% response rate from specialists, heads, and deans respectively. Medical students were receiving, on average, six hours of formal training in substance misuse over their entire course. Although there was disparity in responses between the three groups, there was a clear consensus that the addiction field had scientific credibility. However, this achievement has not been translated into more training, and there is pessimism about any likelihood of change. Discussion: Barriers to training such as too few addiction specialists, stigma, and tensions in academia resulting from the Research Assessment Exercise, are identified. Conclusion: Since the General Medical Council and the Alcohol Harm Reduction Strategy have explicitly stated the need for undergraduate training, ways in which medical students, as 'users' of the undergraduate training package, may be the drivers of change, are suggested.</t>
  </si>
  <si>
    <t>J2: Drug-Educ. Prev. Policy; 12; ID: 4344</t>
  </si>
  <si>
    <t>Keele Univ, Sch Med, Harplands Hosp, Acad Psychiat Unit, Stoke On Trent ST4 6TH, Staffs, England. Univ Leeds, Sch Med, Leeds LS2 9NL, W Yorkshire, England. Crome, IB (reprint author), Keele Univ, Sch Med, Harplands Hosp, Acad Psychiat Unit, Harplands Campus,Hilton Rd, Stoke On Trent ST4 6TH, Staffs, England. pca03@keele.ac.uk</t>
  </si>
  <si>
    <t>WOS:000225163900004</t>
  </si>
  <si>
    <t>10.1080/09687630410001701322</t>
  </si>
  <si>
    <t>Crowe,T. P.;Kelly,P.;Pepper,J.;McLennan,R.;Deane,F. P.;Buckingham,M.</t>
  </si>
  <si>
    <t>Service Based Internship Training to Prepare Workers to Support the Recovery of People with Co-Occurring Substance Abuse and Mental Health Disorders</t>
  </si>
  <si>
    <t>International Journal of Mental Health and Addiction</t>
  </si>
  <si>
    <t>Co-occurring disorders;Internship training;Workforce development;Recovery;Competence;SELF-DETERMINATION;EXPERIENCE;KNOWLEDGE;ATTITUDES;ILLNESS;STAFF</t>
  </si>
  <si>
    <t>A repeated measures design was used to evaluate a 12 month on-site counsellor internship programme aimed at training staff to support the recovery needs of people with co-occurring substance use and mental health disorders. Fifty-four interns completed measures of recovery knowledge, attitudes, confidence/competence, as well as identifying significant learning events. Statistically significant improvements were found in terms of attitudes and confidence/competence, and only one recovery knowledge factor, 'roles of self-definition and peers in recovery'. Recovery knowledge at the end of the internship was positively associated with increases in interns' confidence/competence but was not associated with changes in the interns' attitudes. The mentoring, training/feedback and observational elements of the internship programme were highly valued by interns. Competency based learning events were most frequently identified as significant. Strategies to increase self-directed and interpersonally focused learning, and specific personal recovery knowledge in training are discussed.</t>
  </si>
  <si>
    <t>J2: Int. J. Mental Health Addict.; 4; ID: 4169</t>
  </si>
  <si>
    <t>1557-1874</t>
  </si>
  <si>
    <t>Crowe, Trevor P.; Kelly, Peter; Deane, Frank P.] Univ Wollongong, Illawarra Inst Mental Hlth, Sch Psychol, Wollongong, NSW 2522, Australia. Pepper, James; McLennan, Ross; Buckingham, Mark] Kedesh Rehabil Serv, Wollongong, NSW, Australia. Crowe, TP (reprint author), Univ Wollongong, Illawarra Inst Mental Hlth, Sch Psychol, Wollongong, NSW 2522, Australia. tcrowe@uow.edu.au</t>
  </si>
  <si>
    <t>WOS:000316349400010</t>
  </si>
  <si>
    <t>10.1007/s11469-012-9419-9</t>
  </si>
  <si>
    <t>Dangeti,N.;Praharaj,S. K.</t>
  </si>
  <si>
    <t>Internet Addiction and Psychological Morbidity among Undergraduate Medical Students</t>
  </si>
  <si>
    <t>Internet addiction;Psychological morbidity;Medical students</t>
  </si>
  <si>
    <t>J2: Indian J. Psychiatry; 0 1; ID: 4110</t>
  </si>
  <si>
    <t>Dangeti, Nymisha; Praharaj, Samir Kumar] Katurba Med Coll, Manipal, Karnataka, India. drnysh@gmail.com; samirpsyche@yahoo.co.in</t>
  </si>
  <si>
    <t>WOS:000366494300159</t>
  </si>
  <si>
    <t>Dargan,P. I.;Bishop,C.;Jones,A. L.;Wood,D. M.</t>
  </si>
  <si>
    <t>Medical students knowledge of drugs of abuse</t>
  </si>
  <si>
    <t>J2: Clin. Toxicol.; 0; ID: 4311</t>
  </si>
  <si>
    <t>0731-3810</t>
  </si>
  <si>
    <t>Univ Newcastle, Newcastle, NSW 2308, Australia. Guys &amp; St Thomas Poisons Unit, London, England.</t>
  </si>
  <si>
    <t>WOS:000249762900028</t>
  </si>
  <si>
    <t>de Mesquita,E. M.;Nunes,A. J.;Cohen,C.</t>
  </si>
  <si>
    <t>Evaluation of medical students' attitudes towards drug abuse by colleagues in the academic environment</t>
  </si>
  <si>
    <t>Revista De Psiquiatria Clinica</t>
  </si>
  <si>
    <t>medical students;drug abuse;ethics;ILLICIT DRUGS;ALCOHOL</t>
  </si>
  <si>
    <t>Background: The prevalence of drug use among young college students is increasing. This gives cause for special concern to medical students who will later confront the consequences of the drug problems both in the classroom as well as in clinical practice. Objectives: The purpose of this paper is the evaluation of medical students' attitudes towards drug abuse in the academic environment; comparing these with respect to different kinds of drugs - illegal, legal, and alcohol exclusively. Methods: Three different versions of a self-completed questionnaire (approved by the Ethics Committee for Research Project Evaluation) were ministered to groups of equal numbers of medical students attending the University of Sao Paulo, School of Medicine - FMUSP (Brazil). Each questionnaire focused on illegal drugs, legal drugs, and alcohol. Results: The results indicated a significant difference in the students' attitudes regarding intervention for the different types of drug abuse. There was also indication of a difference in the students' opinions regarding the roles that colleagues, relatives, and health professionals undertake in dealing with these issues, including the respective treatment plans for drug abuse. Conclusions: Medical students tend to be more tolerant of alcohol consumption, considering themselves to be less vulnerable to alcohol abuse. Therefore, harmful consequences may not be apparent until an incapacitating level of dysfunction affects the individual on both a personal and professional level.</t>
  </si>
  <si>
    <t>J2: Rev. Psiquiatr. Clin.; 0 1; ID: 4307</t>
  </si>
  <si>
    <t>0101-6083</t>
  </si>
  <si>
    <t>de Mesquita, Elisa Maria; Nunes, Alice Jaruche] Univ Sao Paulo, Fac Med, Acad Curso Med, BR-05405000 Sao Paulo, Brazil. Cohen, Claudio] Univ Sao Paulo, Fac Med, Dept Med Legal Et Med &amp; Med Social &amp; Trabalho, BR-05405000 Sao Paulo, Brazil. Cohen, Claudio] Univ Sao Paulo, Fac Med, Comissao Bioet HC, BR-05405000 Sao Paulo, Brazil. de Mesquita, EM (reprint author), Rua Cardeal Arcoverde 388,Apto 21, BR-05408000 Sao Paulo, Brazil. elisamesquita@yahoo.com.br</t>
  </si>
  <si>
    <t>WOS:000257188900003</t>
  </si>
  <si>
    <t>Deepali,A.;Shobha,M. V.;Reddy,P. S.</t>
  </si>
  <si>
    <t>A Study of Mobile Phone Usage on Sleep and Stress among First Year Medical Students</t>
  </si>
  <si>
    <t>Research Journal of Pharmaceutical Biological and Chemical Sciences</t>
  </si>
  <si>
    <t>stress;sleep deprivation;hypothalamo-pituitary axis(HPA)</t>
  </si>
  <si>
    <t>Mobile phone usage has become one of the leading addictions among adolescent students which is considered to be one of the prime dependency gadgets among the teenagers to adults. The use of mobile phones preceeds to day time sleepiness along with late working hours at night. The students are therefore subjected to increased stress which affects the body physically, mentally and emotionally where he/she tries to cope up with day today activities thus leading to sleep deprivation and stress. The aim of the study is to study the effect of mobile phone usage on sleep quality and stress. This study was designed in medical college students of first year (n=100) who were divided into two groups based on the duration of of mobile phone usage and their sleep quality was assessed by using Pittsburg sleep quality index (PSQI) and their stress was assessed using Cohen's perceived stress scale. Statistical analysis was done using paired t test to compare the sleep quality and stress between two groups. Study showed that 57% of the subjects were using mobile phones more than 2hrs and about 43% subjects were using mobile phones for less than 2hrs. The mean PSQI among group 2 (6.70+/-2.65) was significantly increased with p value&lt;0.001 when compared to group 1 (4.58+/-1.89) and the Cohen's perceived stress scale among group 2 (20.07+/-4.80) was significantly increased with p value&lt;0.019 when compared to group 1 (17.65+/-5.31). Therefore increased usage of mobile phones more than 2hrs/day by students suffer from sleep deprivation which is considered as an important stressor due to poor sleep quality leading to stress affecting the hypothalamo-pituitary axis (HPA).</t>
  </si>
  <si>
    <t>J2: Res. J. Pharm. Biol. Chem. Sci.; 0; ID: 4085</t>
  </si>
  <si>
    <t>0975-8585</t>
  </si>
  <si>
    <t>Deepali, A.; Shobha, M., V] Sri Siddhartha Med Coll, Dept Physiol, Tumkur 572107, Karnataka, India. Reddy, Srinivasa P.] Sri Siddhartha Med Coll, Dept Forens Med, Tumkur 572107, Karnataka, India. Deepali, A (reprint author), Sri Siddhartha Med Coll, Dept Physiol, Tumkur 572107, Karnataka, India.</t>
  </si>
  <si>
    <t>WOS:000413509700101</t>
  </si>
  <si>
    <t>Diaz-Olavarrieta,C.;Ellertson,C.;Paz,F.;de Leon,S. P.;Alarcon-Segovia,D.</t>
  </si>
  <si>
    <t>Prevalence of battering among 1780 outpatients at an internal medicine institution in Mexico</t>
  </si>
  <si>
    <t>Mexico;domestic violence;family violence;sexual abuse;battering;syndrome;CLINICAL CHARACTERISTICS;WOMEN;ABUSE;HEALTH;EMERGENCY;PREGNANCY;DISORDERS</t>
  </si>
  <si>
    <t>Violence against women has recently drawn attention in the medical community as a leading cause of preventable morbidity and mortality. Specific algorithms designed to identify women at risk can be applied to create an opportunity for screening, diagnosis and treatment during medical care initiated for common conditions. This study investigated the incidence and history of battering among women seeking general medical care, and looked for potential risk factors and associations with presenting symptoms. We used a self-administered, anonymous survey to question 1780 adult female outpatients visiting a tertiary care internal medicine teaching hospital in Mexico City. We calculated current abuse (physical and/or sexual abuse by a partner within the past year), abuse during pregnancy, childhood abuse, and lifetime abuse. We found levels of violence against women in Mexico comparable to those reported from other countries. 152 women (9%) reported current physical and/or sexual abuse. An identical number also reported abuse during pregnancy. Lifetime prevalence was 41 %. Women currently or previously abused reported more physical symptoms in the last six months than did non-abused participants. Pelvic pain, depression, headache and substance abuse were frequent among abused women. Currently abused women also scored higher (p&lt;0.01) on indicators of depression. Current abuse correlated strongly with a childhood history of physical and/or sexual abuse, with low educational level of the victim, with substance abuse by the partner or by the woman herself, and with higher parity. (C) 2002 Elsevier Science Ltd. All rights reserved.</t>
  </si>
  <si>
    <t>J2: Soc. Sci. Med.; 46 PII S0277-9536(01)00293-3 12297245; ID: 4367</t>
  </si>
  <si>
    <t>Inst Nacl Neurol &amp; Neurocirug, Mexico City 14269, DF, Mexico. Populat Council, Mexico City, DF, Mexico. Natl Inst Med Sci &amp; Nutr, Mexico City, DF, Mexico. Diaz-Olavarrieta, C (reprint author), Inst Nacl Neurol &amp; Neurocirug, Insurgentes Sur 3877, Mexico City 14269, DF, Mexico.</t>
  </si>
  <si>
    <t>WOS:000178838600009</t>
  </si>
  <si>
    <t>10.1016/S0277-9536(01)00293-3</t>
  </si>
  <si>
    <t>Dodds,L. H.;Soh,T.;Dunlop,A.</t>
  </si>
  <si>
    <t>The Australasian Chapter of Addiction Medicine Trainees Symposium</t>
  </si>
  <si>
    <t>A73</t>
  </si>
  <si>
    <t>J2: Drug Alcohol Rev.; 0; ID: 4257</t>
  </si>
  <si>
    <t>Dodds, Lucy Harvey] S Eastern Sydney &amp; Illawarra Area Hlth Serv, Sydney, NSW, Australia. Soh, Tracy] Turning Point Alcohol &amp; Drug Ctr, Melbourne, Vic, Australia. Dunlop, Adrian] Univ Newcastle, Callaghan, NSW 2308, Australia. lucy.harveydodds@sesiahs.health.nsw.gov.au</t>
  </si>
  <si>
    <t>WOS:000270916300222</t>
  </si>
  <si>
    <t>Dube,C. E.;Lewis,D. C.</t>
  </si>
  <si>
    <t>Medical-Education in Alcohol and Other Drugs - Curriculum-Development for Primary-Care</t>
  </si>
  <si>
    <t>Alcohol Health &amp; Research World</t>
  </si>
  <si>
    <t>Over the past two decades, physician education about alcohol and other drug abuse has progressed from teaching guides to full-blown curricula that focus on teaching medical students skills that are critical to the successful diagnosis and treatment of alcohol abuse. Despite these advances in teaching materials and techniques, integration of substance abuse curricula into primary care medical education has been slow at best.</t>
  </si>
  <si>
    <t>J2: Alcohol Health Res. World; 2; ID: 4425</t>
  </si>
  <si>
    <t>0090-838X</t>
  </si>
  <si>
    <t>DUBE, CE (reprint author), BROWN UNIV,CTR ALCOHOL &amp; ADDICT STUDIES,PROVIDENCE,RI 02912, USA.</t>
  </si>
  <si>
    <t>WOS:A1994QA07900010</t>
  </si>
  <si>
    <t>Dubois,J. A.;Broers,B.</t>
  </si>
  <si>
    <t>Education in addiction medicine: from sensibilization to specialisation</t>
  </si>
  <si>
    <t>+</t>
  </si>
  <si>
    <t>DISORDERS</t>
  </si>
  <si>
    <t>Education in addiction medicine should be developed, it should start in the beginning of the medical curriculum, be integrated throughout and beyond in postgraduate and continuous medical education. In the French speaking part of Switzerland groups of medical practitioners, meeting since their long lasting and important implication in substitution treatments, tried to overcome part of the gaps in education in this field and contributed to the development of a local and very active network of physicians interested in addiction problems. Their experiences have helped to guide some principles for the development of a addiction medicine of quality: 1) it is essential to take addiction medicine out of the marginality; 2) substance abuse and dependences are above all within the competence of the primary care physicians and 3) improved education is not sufficient, the primary care physician should be able to count on a network of addiction specialists. The creation of an official certification, not for all general practitioners but for specialists, could stimulate the development of this network, intensify links between research and practice and favour a coherent and unified approach to addictions.</t>
  </si>
  <si>
    <t>J2: Med. Hyg.; 1; ID: 4357</t>
  </si>
  <si>
    <t>Ctr Prevent &amp; Traitment Toxicomaine, CH-2300 La Chaux De Fords, Switzerland. Hop Cantonal Univ Geneva, Dept Med Communautaire, CH-1211 Geneva 14, Switzerland. Dubois, JA (reprint author), Ctr Prevent &amp; Traitment Toxicomaine, Rue Hotel Ville 27, CH-2300 La Chaux De Fords, Switzerland.</t>
  </si>
  <si>
    <t>WOS:000186167400004</t>
  </si>
  <si>
    <t>Duica,L.</t>
  </si>
  <si>
    <t>The use of the internet - professional development or internet addiction in medical students</t>
  </si>
  <si>
    <t>Journal of Educational Sciences &amp; Psychology</t>
  </si>
  <si>
    <t>internet addiction;medical students;professional development;EDUCATION;FUTURE</t>
  </si>
  <si>
    <t>The aim of the study is to analyse the use of the internet on a sample of 1276 medical students from all the university centers around the country. By applying a questionnaire that follows the professional development and a questionnaire that measures the internet addiction the following results were achieved: 8,5% from the students developed internet addiction, most of them from Iasi; also, the ones that developed internet addiction did not use the internet as a form of professional development, in contrast with the ones that use the internet as an information source, having better academic performances.</t>
  </si>
  <si>
    <t>J2: J. Educ. Sci. Psychol.; 0; ID: 4027</t>
  </si>
  <si>
    <t>2247-6377</t>
  </si>
  <si>
    <t>Duica, Lavinia] Lucian Blaga Univ, B Dul Victoriei 40, Sibiu 550024, Romania. Duica, L (reprint author), Lucian Blaga Univ, B Dul Victoriei 40, Sibiu 550024, Romania. laviniaduica@yahoo.com</t>
  </si>
  <si>
    <t>WOS:000419658400007</t>
  </si>
  <si>
    <t>Dutta,A.;Das,S.;Mallick,A. K.</t>
  </si>
  <si>
    <t>Assessment Of Internet Addiction Among Medical Students and its Association with Personality Dimensions</t>
  </si>
  <si>
    <t>Internet addiction;Medical students;IAT;Personality dimensions;EPQ-R</t>
  </si>
  <si>
    <t>J2: Indian J. Psychiatry; 0 S; ID: 4065</t>
  </si>
  <si>
    <t>Dutta, Arindam; Das, Subrata; Mallick, Asim Kumar] Burdwan Med Coll &amp; Hosp, Burdwan, W Bengal, India. carolinedias19@gmail.com</t>
  </si>
  <si>
    <t>WOS:000392103800344</t>
  </si>
  <si>
    <t>Dutta,S. B.;Keshari,S. S.;Acharya,S. B.</t>
  </si>
  <si>
    <t>Study of self-medication and drug abuse by medical students in a tertiary care teaching hospital</t>
  </si>
  <si>
    <t>Indian Journal of Pharmacology</t>
  </si>
  <si>
    <t>J2: Indian J. Pharmacol.; 0; ID: 4291</t>
  </si>
  <si>
    <t>0253-7613</t>
  </si>
  <si>
    <t>Dutta, S. B.; Keshari, S. S.; Acharya, S. B.] SGRR Inst Med &amp; Hlth Sci, Dehra Dun, Uttar Pradesh, India.</t>
  </si>
  <si>
    <t>WOS:000264924200041</t>
  </si>
  <si>
    <t>Dyrbye,L. N.;West,C. P.;Satele,D.;Boone,S.;Sloan,J.;Shanafelt,T. D.</t>
  </si>
  <si>
    <t>A National Study of Medical Students' Attitudes Toward Self-Prescribing and Responsibility to Report Impaired Colleagues</t>
  </si>
  <si>
    <t>PRESCRIPTION DRUG-USE;QUALITY-OF-LIFE;SUICIDAL-IDEATION;PRIMARY-CARE;PHYSICIANS;BURNOUT;PROFESSIONALISM;DEPRESSION;RESIDENTS;DISTRESS</t>
  </si>
  <si>
    <t>Purpose The authors investigated medical students' attitudes about appropriate prescribing behaviors, their personal responsibility to report impaired colleagues, and what factors may influence these beliefs. Method The authors conducted a cross-sectional study of U.S. medical students in 2012 to assess attitudes about appropriate prescribing behaviors and responsibility to report impaired colleagues, and to explore relationships between prescribing beliefs and burnout, depression, and alcohol abuse/dependence. Chi-square test and multivariate logistic regression were performed. Results Of 12,500 medical students invited to participate, 4,402 (35%) completed surveys. Believing it is appropriate to prescribe an antidepressant to self or spouse was rare (&lt;10%) in comparison with believing it is appropriate to prescribe an antibiotic for oneself (34.5%) or a spouse (57.7%). In multivariate analysis, students with burnout were more likely to agree that each of the inappropriate prescribing behaviors was acceptable (ORs 1.15-1.51). Students with burnout were less likely to believe they had a personal responsibility to report colleagues with impairment due to alcohol or substance use (OR 0.87). Students personally experiencing symptoms of depression were less likely to believe medical students should report colleagues impaired by mental health problems (OR 0.72). Similarly, students with alcohol abuse/dependence were less likely to believe they had a duty to report colleagues impaired by alcohol/substance use (OR 0.55). Conclusions Suboptimal attitudes about prescribing and personal responsibility to report impaired colleagues are common among medical students. Suboptimal attitudes are associated with personal distress, further evidence of a link between personal distress and professionalism.</t>
  </si>
  <si>
    <t>J2: Acad. Med.; American Medical Association (AMA); Mayo Clinic Department of Medicine Program on Physician Well-Being 6 25539515; ID: 4102</t>
  </si>
  <si>
    <t>Dyrbye, Liselotte N.] Mayo Clin, Dept Med, Div Primary Care Internal Med, Med, Rochester, MN USA. West, Colin P.] Mayo Clin, Dept Med, Div Gen Internal Med, Med &amp; Biostat, Rochester, MN USA. Satele, Daniel] Mayo Clin, Biomed Stat &amp; Informat, Rochester, MN USA. Boone, Sonja] Amer Med Assoc, Chicago, IL 60610 USA. Sloan, Jeff] Mayo Clin, Biostat &amp; Oncol, Hlth Sci Res, Rochester, MN USA. Shanafelt, Tait D.] Mayo Clin, Dept Med, Div Hematol, Med, Rochester, MN USA. Dyrbye, LN (reprint author), 200 First St, Rochester, MN 55905 USA. dyrbye.liselotte@mayo.edu</t>
  </si>
  <si>
    <t>WOS:000351775100025</t>
  </si>
  <si>
    <t>10.1097/ACM.0000000000000604</t>
  </si>
  <si>
    <t>Edens,E.;Grunschel,B.;Savage,S.;Gafni,I.;Encandela,J.</t>
  </si>
  <si>
    <t>Pain and Addiction Education: A Comparative Study of Fellowship Directors in Pain Medicine and Addiction Psychiatry</t>
  </si>
  <si>
    <t>J2: Am. J. Addict.; 0; ID: 4115</t>
  </si>
  <si>
    <t>Edens, Ellen; Grunschel, Beth; Encandela, John] Yale Univ, Sch Med, New Haven, CT 06520 USA. Savage, Seddon] Dartmouth Med Sch, Hanover, NH USA. Gafni, Inbal] Womens Coll Hosp, Toronto, ON, Canada.</t>
  </si>
  <si>
    <t>WOS:000352029900042</t>
  </si>
  <si>
    <t>Drug-Abuse Training and Education - Physician</t>
  </si>
  <si>
    <t>J2: Int. J. Addict.; 2 4412869; ID: 4509</t>
  </si>
  <si>
    <t>New jersey coll med &amp; dent,dept publ hlth,newark,nj. new jersey coll med &amp; dent,dept community med,newark,nj. new jersey coll med &amp; dent,dept psychiat,newark,nj.</t>
  </si>
  <si>
    <t>WOS:A1974T572600005</t>
  </si>
  <si>
    <t>10.3109/10826087409046772</t>
  </si>
  <si>
    <t>El Rasheed,A. H.;El Sheikh,M. M.;El Missiry,M. A.;Hatata,H. A.;Ahmed,N.</t>
  </si>
  <si>
    <t>Addiction Stigma Among Mental Health Professionals and Medical Students in Egypt</t>
  </si>
  <si>
    <t>Addictive Disorders &amp; Their Treatment</t>
  </si>
  <si>
    <t>stigma;substance use disorders;medical profession;familiarity;dangerousness;addiction;DRUG-USE;PEOPLE;CONSEQUENCES;ILLNESS;STIGMATIZATION;CARE</t>
  </si>
  <si>
    <t>Objectives: The stigma toward substance use disorders is different from other health conditions, it complicates efforts for social acceptance of patients. Health care providers may hold negative beliefs about addiction patients, that is, that they overuse system resources, fail to adhere to recommended care, abuse the system through drug-seeking and diversion. Therefore, this study was set to compare addiction stigma among psychiatrists, psychiatric nurses, and medical students, and to test whether stigma varies according to the abused substance (alcohol, cannabinoids, heroin, and tramadol). Materials and Methods: A cross-sectional study was conducted on 467 subjects (351 graduating medical students, 65 psychiatric nurses, and 51 psychiatrists). Mental health professionals worked in the Department of Neuropsychiatry in the University Hospital, or Ministry of Health Hospital, or Mental Health and Addiction Treatment Centre. All consenting participants were subjected to questionnaires to assess stigma: Level of Familiarity, Perceived Dangerousness, Fear, and Social Distance with substance use disorder patients. Results: It was found that stigma was significantly lower (P&lt;0.05) toward cannabinoids, whereas it was significantly higher toward heroin (P&lt;0.01). Stigma was significantly higher (P&lt;0.01) amongmedical students, whereas it was significantly lower (P&lt;0.01) among psychiatrists and nurses working in Mental Health and Addiction Treatment Center and significantly (P&lt;0.01) decreased with more years of experience. Conclusions: Interventions aimed at reducing stigma related to substance use disorders should be started from medical school. Contact-based training and education programs targeting medical students, psychiatrists, and other members of the treatment team including nurses, psychologists, and rehabilitation specialists are imperative.</t>
  </si>
  <si>
    <t>J2: Addict. Disord. Treat.; 0; ID: 4039</t>
  </si>
  <si>
    <t>El Rasheed, Amany Haroun; El Sheikh, Mona M.; El Missiry, Marwa A.; Hatata, Hisham A.] Ain Shams Univ, Inst Psychiat, Cairo, Egypt. Ahmed, Nihal] Minist Hlth, Monufia, Egypt. El Sheikh, MM (reprint author), Ain Shams Univ Hosp, Inst Psychiat, WHO Collaborating Ctr Mental Hlth Res &amp; Training, Dept Psychiat, Abbasseyia POB 11657, Dair El Malak Cairo, Egypt. mona.m.elsheikh@gmail.com</t>
  </si>
  <si>
    <t>WOS:000389666300003</t>
  </si>
  <si>
    <t>10.1097/ADT.0000000000000090</t>
  </si>
  <si>
    <t>Erickson,C. K.</t>
  </si>
  <si>
    <t>Alcohol-Use and Abuse by Medical-Students</t>
  </si>
  <si>
    <t>J2: Alcohol; 0; ID: 4467</t>
  </si>
  <si>
    <t>ERICKSON, CK (reprint author), UNIV TEXAS,COLL PHARM,ALCOHOL &amp; DRUG ABUSE RES PROGRAM,AUSTIN,TX 78712, USA.</t>
  </si>
  <si>
    <t>WOS:A1988N358500018</t>
  </si>
  <si>
    <t>10.1016/0741-8329(88)90017-1</t>
  </si>
  <si>
    <t>Fallah,G.;Moudi,S.;Hamidia,A.;Bijani,A.</t>
  </si>
  <si>
    <t>Stimulant use in medical students and residents requires more careful attention</t>
  </si>
  <si>
    <t>Caspian Journal of Internal Medicine</t>
  </si>
  <si>
    <t>Stimulants;Medical students;Residents;METHYLPHENIDATE USE;NONMEDICAL USE;DRUGS;ADHD</t>
  </si>
  <si>
    <t>Background: Stimulant pharmaceuticals are abused among academic students to elevate mood, improve studying, intellectual capacity, memory and concentration, and increase wakefulness. This study was designed to evaluate the current situation of stimulant use among medical students and residents of Babol University of Medical Sciences. Methods: This cross-sectional study was conducted among 560 medical students and clinical residents of Babol University of Medical Sciences during the academic year 2014-2015. A self-administered questionnaire was used for data collection. Results: Four hundred and forty-four (79.3%) students filled out the questionnaires. 49 (11%) individuals reported amphetamine and methylphenidate (ritalin) use. The mean age of the stimulant drug users was 24.6 +/- 4.8 years. The main initiator factor was to improve concentration (29 persons; 59.2%). There were significant statistical correlations between stimulant drugs abuse and male gender, living in dormitor in residence and internship and past medical history of psychiatric disorders (depression, attention deficit hyperactivity disorder and substance abuse) (p&lt;0.05). 16 (32%) students started the drug use on their friends' advice; 15 (30%) due to self-medication and 12 (24%) persons with physician's prescription. Conclusions: Because of significant prevalence of stimulant use, regulatory governmental policies and also planning to improve essential life skills, awareness about the side effects and complications of these drugs, screening of at-risk college students and early identification of the abusers are suggested.</t>
  </si>
  <si>
    <t>J2: Casp. J. Intern. Med.; Vice-Chancellory for Research and Technology of Babol University of Medical Sciences 0 29387325; ID: 3999</t>
  </si>
  <si>
    <t>2008-6164</t>
  </si>
  <si>
    <t>Fallah, Golnaz] Babol Univ Med Sci, Student Res Comm, Babol Sar, Iran. Moudi, Sussan] Babol Univ Med Sci, Hlth Res Inst, Canc Res Ctr, Babol Sar, Iran. Moudi, Sussan; Hamidia, Angela] Babol Univ Med Sci, Dept Psychiary, Babol Sar, Iran. Hamidia, Angela] Babol Univ Med Sci, Hlth Res Inst, Social Determinants Hlth Res Ctr, Babol Sar, Iran. Bijani, Ali] Babol Univ Med Sci, Hlth Res Inst, Noncommunicable Pediat Dis Res Ctr, Babol Sar, Iran. Moudi, S (reprint author), Babol Univ Med Sci, Dept Psychiury, Babol Sar, Iran. sussan.moudi@gmail.com</t>
  </si>
  <si>
    <t>WOS:000431013800014</t>
  </si>
  <si>
    <t>10.22088/cjim.9.1.87</t>
  </si>
  <si>
    <t>Farokhi,M. R.;Zarifsanaiey,N.;Haghighi,F.;Mehrabi,M.</t>
  </si>
  <si>
    <t>E-Learning or in-Person Approaches in Continuous Medical Education: A Comparative Study</t>
  </si>
  <si>
    <t>Iioab Journal</t>
  </si>
  <si>
    <t>E-learning;In-person training;Continuous medical training</t>
  </si>
  <si>
    <t>Introduction: Technological advancement and new discoveries in science has made it practically impossible to deny the need for revolutions in the process of conducting training activities. E-learning is a method of facilitating and promoting learning through the use of information and communication technology tools. The aim of this study is to compare the knowledge of general practitioners participating in addiction detoxification continuous training program employing electronic (offline) and in-person training. Method: This quasi-experimental study was conducted in 2013 in Fars Province, Iran by psychiatrists who participated in the addiction detoxification continuous training program. A total of 118 samples were randomly divided into two equal groups of 59 subjects after completion of the pre-test questionnaire. The in-person retraining method was employed in one group while the electronic learning method was employed in the other group. A posttest was administered after the training. Data was collected with the aid of a written test; the validity and reliability of the questions were determined by 5 members of the medical faculty and Cronbach's alpha of 85%, respectively. Statistical analysis of data was carried out using SPSS (ver. 16), t-test and Levene's test. Results: The results revealed that there was a significant difference between the pretest and posttest scores, and the posttest scores obtained in the e-learning group were significantly higher than the pretest scores (p &lt; 0.01). Conclusion: E-learning method can be employed as an alternative or complement to traditional training in the retraining of practitioners. This method makes it possible for instructors to benefit from several training strategies and foster active learning in students.</t>
  </si>
  <si>
    <t>J2: Iioab J.; 0 2; ID: 4071</t>
  </si>
  <si>
    <t>0976-3104</t>
  </si>
  <si>
    <t>Farokhi, Majid Reza; Haghighi, Fahimeh] Shiraz Univ Med Sci, Virtual Sch, Ctr Excellence E Learning Med Sci, Shiraz, Iran. Zarifsanaiey, Nahid; Mehrabi, Manoosh] Shiraz Univ Med Sci, Virtual Sch, Ctr Excellence E Learning Med Sci, Dept E Learning, Shiraz, Iran. Mehrabi, M (reprint author), Shiraz Univ Med Sci, Virtual Sch, Ctr Excellence E Learning Med Sci, Dept E Learning, Shiraz, Iran. nzarifsanaee@gmail.com</t>
  </si>
  <si>
    <t>WOS:000390579300055</t>
  </si>
  <si>
    <t>Feeley,R.;Moore,D.;Wilkins,K.;Fuehrlein,B.</t>
  </si>
  <si>
    <t>A Novel Addiction Curriculum and its Impact on Medical Student Knowledge, Attitudes, and Confidence for the Treatment of Substance Use</t>
  </si>
  <si>
    <t>J2: Am. J. Addict.; 0; ID: 4018</t>
  </si>
  <si>
    <t>Feeley, Robert; Moore, David; Wilkins, Kirsten] Yale, New Haven, CT USA. Fuehrlein, Brian] Vet Affairs, New Haven, CT USA. Fuehrlein, Brian] Yale Univ, New Haven, CT 06520 USA.</t>
  </si>
  <si>
    <t>WOS:000400574200083</t>
  </si>
  <si>
    <t>DRINKING HISTORY;GENERAL-PRACTICE</t>
  </si>
  <si>
    <t>J2: J. R. Soc. Med.; 2 1404183; ID: 4433</t>
  </si>
  <si>
    <t>FENTON, GW (reprint author), UNIV DUNDEE,NINEWELLS HOSP &amp; MED SCH,DUNDEE DD1 9SY,SCOTLAND.</t>
  </si>
  <si>
    <t>WOS:A1992JF34000001</t>
  </si>
  <si>
    <t>Physicians Effectiveness in Assessing Risk for Human-Immunodeficiency-Virus Infection</t>
  </si>
  <si>
    <t>QUESTIONNAIRE;HEALTH;CARE</t>
  </si>
  <si>
    <t>J2: Arch. Intern. Med.; PHS HHS BRT 0000-33-02-0] 19 2001138; ID: 4447</t>
  </si>
  <si>
    <t>Univ iowa,coll med,off consultat &amp; res med educ,2351 steindler bldg,iowa city,ia 52242. vet affairs med ctr,iowa city,ia. univ iowa,coll med,cirriculum &amp; student affairs,iowa city,ia 52242. univ iowa,coll med,dept internal med,iowa city,ia 52242. univ iowa hosp &amp; clin,dept internal med,iowa city,ia 52242.</t>
  </si>
  <si>
    <t>WOS:A1991FA76800018</t>
  </si>
  <si>
    <t>10.1001/archinte.151.3.561</t>
  </si>
  <si>
    <t>Fernandez-Calderon,D.;Fernandez,F.;Ruiz-Curado,S.;Verdejo-Garcia,A.;Lozano,O. M.</t>
  </si>
  <si>
    <t>Profiles of substance use disorders in patients of therapeutic communities: Link to social, medical and psychiatric characteristics</t>
  </si>
  <si>
    <t>Multiple substance use disorders;Comorbidity;Latent class analysis;HEPATITIS-C VIRUS;NATIONAL EPIDEMIOLOGIC SURVEY;HEROIN USERS;CANNABIS USE;DRUG-USE;BENZODIAZEPINE USE;COCAINE USE;RISK-FACTOR;DEPENDENCE</t>
  </si>
  <si>
    <t>Background: Therapeutic community (TC) clients frequently display a pattern of multiple substance use disorders (SUDs) which is associated with poorer treatment outcomes. This study aimed to characterize multiple SUD profiles in patients enrolled in TCs, and examine the association of these profiles with social, medical and psychiatric outcomes. Methods: Observational study. We acquired substance use diagnoses and sociodemographic, medical and psychiatric comorbidity data for 4102 patients who had been admitted to six public TCs in Andalusia (Spain) from 2004 to 2012. Latent class analysis was applied to participants' substance use diagnoses, and the resulting classes were associated with social (i.e., education, employment, criminality), medical (i.e., infectious diseases) and psychiatric comorbidity. Results: We found four differentiated profiles of substance use diagnoses among TC patients: cocaine/opiates (Class 1: 37% of participants); cocaine/opiates/benzodiazepines (Class 2: 25.3%); alcohol (Class 3: 24.7%); and cocaine/cannabis/alcohol (Class 4: 12.9%). Classes 1 and 2 were associated with poorer social and medical characteristics. Class 2 was also associated with greater prevalence of impulsive spectrum mental disorders. Class 3 was associated with greater prevalence of mood and anxiety disorders and cognitive dysfunction, and Class 4 was associated with higher prevalence of psychotic illness. Conclusions: Patients admitted to TCs have heterogeneous substance use diagnostic profiles. Profiles involving multiple use of heroin, cocaine, alcohol and benzodiazepines are associated with poorer social and medical function and impulse control disorders. Profiles involving alcohol use and cannabis/cocaine use are associated with cognitive dysfunction and psychotic illness respectively. (C) 2015 Elsevier Ireland Ltd. All rights reserved.</t>
  </si>
  <si>
    <t>J2: Drug Alcohol Depend.; 9 25682479; ID: 4103</t>
  </si>
  <si>
    <t>Fernandez-Calderon, David] Agcy Social Serv &amp; Dependence Ansalusia, Therapeut Community Cartaya, Huelva, Spain. Fernandez, Fermin] Agcy Social Serv &amp; Dependence Ansalusia, Res &amp; Informat Syst Dept, Huelva, Spain. Fernandez, Fermin; Lozano, Oscar M.] Univ Huelva, Clin Expt &amp; Social Psychol Dept, Huelva, Spain. Ruiz-Curado, Sofia] Univ Pablo Olavide, Educ &amp; Social Psychol Dept, Seville, Spain. Verdejo-Garcia, Antonio; Lozano, Oscar M.] Univ Granada, Red Trastomos Adictivos, E-18071 Granada, Spain. Verdejo-Garcia, Antonio] Monash Univ, Sch Psychol Sci, Clayton, Vic 3800, Australia. Lozano, OM (reprint author), Univ Huelva, Clin Expt &amp; Social Psychol Dept, Huelva, Spain. oscar.lozano@dpsi.uhu.es</t>
  </si>
  <si>
    <t>WOS:000351799200005</t>
  </si>
  <si>
    <t>10.1016/j.drugalcdep.2015.01.013</t>
  </si>
  <si>
    <t>Ferry,L. H.;Grissino,L. M.</t>
  </si>
  <si>
    <t>Tobacco dependence curricula in medical schools - Reply</t>
  </si>
  <si>
    <t>SMOKING-CESSATION;STUDENTS</t>
  </si>
  <si>
    <t>J2: JAMA-J. Am. Med. Assoc.; 0; ID: 4387</t>
  </si>
  <si>
    <t>Loma Linda Univ, Sch Med, Loma Linda, CA 92354 USA. Ferry, LH (reprint author), Loma Linda Univ, Sch Med, Loma Linda, CA 92354 USA.</t>
  </si>
  <si>
    <t>WOS:000085696700026</t>
  </si>
  <si>
    <t>Flaherty,J. A.;Flaherty,E. G.</t>
  </si>
  <si>
    <t>Medical-Students Performance in Reporting Alcohol-Related Problems</t>
  </si>
  <si>
    <t>J2: J. Stud. Alcohol; 17 6664087; ID: 4492</t>
  </si>
  <si>
    <t>Columbus hosp,dept pediat,chicago,il. FLAHERTY, JA (reprint author), UNIV ILLINOIS,COLL MED,DEPT PSYCHIAT &amp; PREVENT MED,CHICAGO,IL 60680, USA.</t>
  </si>
  <si>
    <t>WOS:A1983SE79800012</t>
  </si>
  <si>
    <t>10.15288/jsa.1983.44.1083</t>
  </si>
  <si>
    <t>Medical-Education About Substance-Abuse - Changes in Curriculum and Faculty between 1976 and 1992</t>
  </si>
  <si>
    <t>DRUG-ABUSE;ALCOHOLISM;SCHOOLS</t>
  </si>
  <si>
    <t>Purpose. To examine changes in substance abuse education in U.S. medical schools between 1976 and 1992. Methods. In 1991-92 the authors conducted a 16-year follow-up survey of six clinical departments in each of the 126 U.S. medical schools. Two previous surveys by scholars and surveys conducted by the Liaison Committee on Medical Education, Association of American Medical Colleges, and the National Center for Medical Fellowships in the Addictions provided baseline data for comparison. The statistical methods used in the comparisons were paired t-tests, one-way analyses of variance, and tests of differences between proportions. Results. Significant increases were found in the numbers of required and elective curriculum units for medical students between 1986-87 and 1991-92. The number of medical schools requiring courses in substance abuse treatment increased from five to eight between 1986-87 and 1991-92. For residents, there were significant increases in the numbers of curriculum units for residents in family medicine and pediatrics. The average number of faculty in the 116 medical schools that reported units on substance abuse was 4.1. There were 45 fellowships in addiction medicine identified in 1991-92, with a total of 61 fellows in training. Conclusion. While the findings confirm positive changes, the amount of curricula time and the number of faculty having expertise in substance abuse education do not compare well with the amounts of time and numbers of faculty involved in clinical problems of similar prevalence, such as cancer and heart disease.</t>
  </si>
  <si>
    <t>J2: Acad. Med.; 46 8166918; ID: 4424</t>
  </si>
  <si>
    <t>Case western reserve univ,sch med,dept family med,cleveland,oh 44106. us bur hlth profess,div med,rockville,md. FLEMING, M (reprint author), UNIV WISCONSIN,DEPT FAMILY MED,OFF ALCOHOL &amp; ADDICT STUDIES,777 S MILLS,MADISON,WI 53715, USA.</t>
  </si>
  <si>
    <t>WOS:A1994NM04500014</t>
  </si>
  <si>
    <t>10.1097/00001888-199405000-00009</t>
  </si>
  <si>
    <t>Floros,G. D.;Siomos,K. E.;Antoniadis,D.;Stogiannidou,A.;Giouzepas,I.;Garyfallos,G.</t>
  </si>
  <si>
    <t>Internet addiction and related addictive behaviors in a sample of medical school students</t>
  </si>
  <si>
    <t>J2: Eur. Psychiat.; 0 1; ID: 4173</t>
  </si>
  <si>
    <t>WOS:000335460600244</t>
  </si>
  <si>
    <t>10.1016/S0924-9338(13)75955-8</t>
  </si>
  <si>
    <t>Fong,T. W.;Schuckit,M. A.</t>
  </si>
  <si>
    <t>A personalized approach to training medical school teachers regarding alcohol and drug disorders: The alcohol medical scholar program (AMSP)</t>
  </si>
  <si>
    <t>J2: Am. J. Addict.; 0; ID: 4325</t>
  </si>
  <si>
    <t>Univ Calif San Diego, La Jolla, CA 92093 USA. Univ Calif Los Angeles, Semel Inst Neurosci &amp; Human Behav, Los Angeles, CA 90024 USA.</t>
  </si>
  <si>
    <t>WOS:000239274900011</t>
  </si>
  <si>
    <t>Ford,J. A.;Arrastia,M. C.</t>
  </si>
  <si>
    <t>Pill-poppers and dopers: A comparison of non-medical prescription drug use and illicit/street drug use among college students</t>
  </si>
  <si>
    <t>college students;non-medical prescription drug use;Illicit/street drug;use;4 HARVARD-SCHOOL;SUBSTANCE USE;NATIONAL-SURVEY;YOUNG ADULTHOOD;UNITED-STATES;INSURANCE STATUS;BINGE-DRINKING;MARIJUANA USE;ALCOHOL-USE;JUVENILE ARRESTEES</t>
  </si>
  <si>
    <t>Data from the 2001 College Alcohol Study, a national sample of U.S. college students, were used to conduct multinomial logistic regression analysis examining correlates of substance use. Students were divided into three groups based on their lifetime substance use: non-users, non-medical prescription drug use only, and illicit/street drug use only. The purpose of this analytic strategy was to examine the similarities/differences in the correlates of non-medical prescription drug use and illicit/street drug use. Findings indicate that race, age, C.P.A., sexual activity, health, binge drinking, marijuana use, social bonding and social learning measures are correlates of non-medical prescription drug use. Correlates of illicit/street drug use include gender, Hispanic ethnicity, sexual activity, binge drinking, marijuana use, social bonding and social learning measures. Finally, the focus of the paper is a comparison of students who report only non-medical prescription drug use to students who report only illicit/street drug use. Findings indicate that gender, race, marital status, sexual activity, marijuana use, and social bonding measures significantly distinguish illicit/street drug use from non-medical prescription drug use. Important implications, limitations, and future research needs were discussed. (C) 2008 Elsevier Ltd. All rights reserved.</t>
  </si>
  <si>
    <t>J2: Addict. Behav.; 30 18403131; ID: 4292</t>
  </si>
  <si>
    <t>Ford, Jason A.; Arrastia, Meagan C.] Univ Cent Florida, Dept Sociol, Orlando, FL 32816 USA. Ford, JA (reprint author), Univ Cent Florida, Dept Sociol, Orlando, FL 32816 USA. jaford@mail.ucf.edu</t>
  </si>
  <si>
    <t>WOS:000256561600007</t>
  </si>
  <si>
    <t>10.1016/j.addbeh.2008.02.016</t>
  </si>
  <si>
    <t>Foreman,K.;Parije,R.;Hughes,J.;Kirk,B.;Gilbert,B.</t>
  </si>
  <si>
    <t>Targeted Opportunistic Multi-Disciplinary Team Training in the Treatment of Opioid Dependence Delivered by a Pharmacist - What Do Doctors and Nurses Think?</t>
  </si>
  <si>
    <t>J2: Drug Alcohol Rev.; 0 S1 SI; ID: 4121</t>
  </si>
  <si>
    <t>Foreman, Kevin; Parije, Raj; Hughes, Jill; Kirk, Bruce] Australian Capital Terr Hlth Directorate, Alcohol Serv, Canberra, ACT, Australia. Foreman, Kevin; Parije, Raj; Hughes, Jill; Kirk, Bruce] Australian Capital Terr Hlth Directorate, Drug Serv, Canberra, ACT, Australia. Foreman, Kevin; Gilbert, Ben] Univ Canberra, Discipline Pharm, Canberra, ACT 2601, Australia. kevin.foreman@act.gov.au</t>
  </si>
  <si>
    <t>WOS:000344914800079</t>
  </si>
  <si>
    <t>Forney,M. A.;Forney,P. D.;Sheets,K.;Sitorius,M.;Rixey,S.;McGinty,D.;Smith,S.;Yates,M. L.</t>
  </si>
  <si>
    <t>The Relationship between Stress and Substance Use among 1st-Year Medical-Students - an Exploratory Investigation</t>
  </si>
  <si>
    <t>Journal of Alcohol and Drug Education</t>
  </si>
  <si>
    <t>J.Alcohol Drug Educ.</t>
  </si>
  <si>
    <t>Spr</t>
  </si>
  <si>
    <t>J2: J. Alcohol Drug Educ.; 1; ID: 4459</t>
  </si>
  <si>
    <t>0090-1482</t>
  </si>
  <si>
    <t>Med coll georgia, augusta, ga 30912 usa. univ michigan, ann arbor, mi 48109 usa. univ nebraska, lincoln, ne 68588 usa. univ maryland, college pk, md 20742 usa. oregon hlth sci univ, portland, or 97201 usa. brown univ, providence, ri 02912 usa. univ calif davis, davis, ca 95616 usa.</t>
  </si>
  <si>
    <t>WOS:A1990CX96400006</t>
  </si>
  <si>
    <t>Forney,P. D.;Forney,M. A.;Fischer,P.;Richards,J. W.;Scherger,J.;Rixey,S.;Smith,S. R.</t>
  </si>
  <si>
    <t>Sociocultural Correlates of Substance Use among Medical-Students</t>
  </si>
  <si>
    <t>J2: J. Drug Educ.; 5 3404367; ID: 4469</t>
  </si>
  <si>
    <t>Univ calif davis,davis,ca 95616. univ maryland,college pk,md 20742. brown univ,providence,ri 02912. FORNEY, PD (reprint author), MED COLL GEORGIA,AUGUSTA,GA 30912, USA.</t>
  </si>
  <si>
    <t>WOS:A1988P257700001</t>
  </si>
  <si>
    <t>10.2190/5XJC-2YAR-XDLU-HJ9H</t>
  </si>
  <si>
    <t>Postgraduate Medical Fellowship Training in Alcoholism and Drug-Abuse - National Consensus Standards</t>
  </si>
  <si>
    <t>EDUCATION</t>
  </si>
  <si>
    <t>J2: Am. J. Drug Alcohol Abuse; 9 2038979; ID: 4449</t>
  </si>
  <si>
    <t>Univ calif irvine,orange,ca 92668. virginia commonwealth univ,med coll virginia,richmond,va 23298. GALANTER, M (reprint author), NYU,SCH MED,DEPT PSYCHIAT,NEW YORK,NY 10016, USA.</t>
  </si>
  <si>
    <t>WOS:A1991FD55000001</t>
  </si>
  <si>
    <t>10.3109/00952999108992805</t>
  </si>
  <si>
    <t>Ganesh,A.;Pragyakumari,D.;Ramsudarsan,N.;Rajkumar,M.;Shyam,S.;Balaji,S. K.</t>
  </si>
  <si>
    <t>Self-Reported Behaviour about Internet Addiction among Medical and Paramedical Students</t>
  </si>
  <si>
    <t>Journal of Clinical and Diagnostic Research</t>
  </si>
  <si>
    <t>LC10</t>
  </si>
  <si>
    <t>LC13</t>
  </si>
  <si>
    <t>Addicts;Mild;Prevalence;Professionals;UNIVERSITY</t>
  </si>
  <si>
    <t>Introduction: Internet has become an essential tool in day to day life. It has become an important and convenient mode for networking and information exchange. Excessive use of internet adversely affects an individual's physical, mental and social health along with academic performance. Aim: The present study aimed at determining the prevalence of internet addiction among undergraduate and postgraduate medical and paramedical students and also the effect of internet on gender. Materials and Methods: This was a questionnaire based, cross-sectional study carried out among 1011 medical and paramedical undergraduate and postgraduate students of Sri Ramachandra University, Chennai. A questionnaire consisting of two components; basic demographic information of the participants and Modified Young's Internet Addiction Test (IAT) was used to gather data. The normal users were categorized as non-addicts and mild, moderate and severe users were categorized as addicts. Descriptive statistics was calculated in terms of frequency and percentage. Inferential statistics was calculated using Chi-Square test. Results: According to the findings, most of the students were mild internet addicts 590 (58.40%) followed by moderate addicts 239 (23.60%), normal users 171 (16.90%) and severe addicts 11 (1.10%). Prevalence of internet addiction was outnumbered by medical 112 (91.10%) students among all the other medical and paramedical specialties. Conclusion: Internet addiction has become an emerging problem among the professional students, which has educational, physical and mental impact on student's life. So, it is necessary to understand the importance of prevention of internet addiction, which is essential for promoting safe and healthy use of the internet.</t>
  </si>
  <si>
    <t>J2: J. Clin. Diagn. Res.; 0; ID: 4010</t>
  </si>
  <si>
    <t>2249-782X</t>
  </si>
  <si>
    <t>Ganesh, Akila; Pragyakumari, D.; Ramsudarsan, N.; Rajkumar, M.] Sri Ramachandra Univ, Fac Dent Sci, Dept Publ Hlth Dent, Chennai, Tamil Nadu, India. Shyam, S.] Meenakshi Univ, Meenakshi Ammal Dent Coll, Dept Publ Hlth Dent, Madras, Tamil Nadu, India. Balaji, S. K.] Sri Ramachandra Univ, Fac Dent Sci, Dept Periodont, Chennai, Tamil Nadu, India. Ganesh, A (reprint author), 7-16,First Main Rd, Chennai 600099, Tamil Nadu, India. drakilgans@yahoo.co.uk</t>
  </si>
  <si>
    <t>WOS:000419155300018</t>
  </si>
  <si>
    <t>10.7860/JCDR/2017/26278.10775</t>
  </si>
  <si>
    <t>Gawlikowska-Sroka,A.;Dzieciolowska,E.;Szczurowski,J.;Kamienska,E.;Czerwinski,F.</t>
  </si>
  <si>
    <t>Tobacco Abuse and Physical Activity among Medical Students</t>
  </si>
  <si>
    <t>health promotion;physical activity;respiratory diseases;smoking</t>
  </si>
  <si>
    <t>Objective: This lifestyle is mainly determined during childhood and connected with poor public prophylactic health policy. The aim of this study was to estimate physical activity and level of tobacco abuse, as well as knowledge about health behaviours, among medical students. Methods: Questionnaires were completed by Polish (243) and foreign medical students (80). Results: It was stated that about 20% of the students smoked cigarettes. Female students from Norway took up smoking significantly more often than other participants, whereas there were more smokers among those from Poland. There was a significantly larger percentage of smoking males from Norway than among male Polish students. The same students presented a low level of physical activity. The smallest level of physical activity was characteristic of the Polish women. Conclusion: This situation requires an intensification of activities aimed at supporting pro-health lifestyles and the elimination of unfavourable effects, especially among medical students.</t>
  </si>
  <si>
    <t>J2: Eur. J. Med. Res.; 4; ID: 4255</t>
  </si>
  <si>
    <t>Gawlikowska-Sroka, A.; Dzieciolowska, E.; Czerwinski, F.] Pomeranian Med Univ, Dept Normal &amp; Clin Anat, Al Powstancow Wielkopolskich 72, PL-70111 Szczecin, Poland. Szczurowski, J.] Univ Wroclaw, Dept Anthropol, Wroclaw, Poland. Kamienska, E.] Pomeranian Med Univ, Clin Pediat Hematol &amp; Oncol, Szczecin, Poland. Gawlikowska-Sroka, A (reprint author), Pomeranian Med Univ, Dept Normal &amp; Clin Anat, Al Powstancow Wielkopolskich 72, PL-70111 Szczecin, Poland. gawlikow@sci.pam.szczecin.pl</t>
  </si>
  <si>
    <t>WOS:000215876500020</t>
  </si>
  <si>
    <t>Gedam,S. R.;Shivji,I. A.;Goyal,A.;Modi,L.;Ghosh,S.</t>
  </si>
  <si>
    <t>Comparison of internet addiction, pattern and psychopathology between medical and dental students</t>
  </si>
  <si>
    <t>Asian Journal of Psychiatry</t>
  </si>
  <si>
    <t>Medical students;Dental students;Health professional students;Internet addiction;Psychopathology;Internet use pattern;COLLEGE-STUDENTS;KOREAN ADOLESCENTS;SCHOOL ADOLESCENTS;PREVALENCE;QUESTIONNAIRE;SYMPTOMS;USAGE</t>
  </si>
  <si>
    <t>Background: There has been an enormous use of internet among health professionals in the last decade. It has made significant changes in the health care system. Besides its several benefits, the excessive undisciplined use has led to the emergence of concept of internet addiction. Objectives: The objectives of our study were to estimate prevalence of internet addiction among medical and dental students; to determine association of internet use pattern and psychopathology between medical and dental internet addicted (IA) students. Materials and methods: A cross-sectional study was conducted among 597 students from medical and dental colleges. They completed semi-structured data, internet addiction test and mental health inventory questionnaires as per instructions provided. Students were divided into medical internet addicts and dental internet addicts for comparison. Results: The prevalence of severe internet addiction was more among dental students (2.3%) than that among medical students (1.2%). There was significant difference between the students of medical and dental faculties, who fall under the category of addiction on the basis of-gender, computer ownership and purpose of internet use (P &lt; 0.05). The psychiatric symptoms such as depression and emotional ties also had statistically significant difference (P &lt; 0.05). Conclusion: Significant differences were seen in some of the parameters of internet use pattern and psychopathology among the two groups of internet addict from health professionals. So, further studies need to be conducted among different groups of internet addicts to evaluate different parameters. Specific measures should be taken to prevent internet addiction and its complications. (C) 2016 Elsevier B.V. All rights reserved.</t>
  </si>
  <si>
    <t>J2: Asian J. Psychiatr.; 1 27520909; ID: 4048</t>
  </si>
  <si>
    <t>1876-2018</t>
  </si>
  <si>
    <t>Gedam, Sachin Ratan; Shivji, Imran Ali; Goyal, Arvind; Modi, Lipsy] Jawaharlal Nehru Med Coll, Dept Psychiat, Wardha, Maharashtra, India. Ghosh, Santanu] Tripura Med Coll, Dept Psychiat, Agartala, India. Gedam, SR (reprint author), Jawaharlal Nehru Med Coll, Dept Psychiat, Wardha, Maharashtra, India. sachinrgedam@gmail.com; imranshivji@gmail.com; arvindgoyal08@gmail.com; vickymodi1989@ymail.com; drsantanu_healthyplanet@yahoo.co.in</t>
  </si>
  <si>
    <t>WOS:000382001400025</t>
  </si>
  <si>
    <t>10.1016/j.ajp.2016.06.007</t>
  </si>
  <si>
    <t>Gignon,M.;Havet,E.;Ammirati,C.;Traulle,S.;Manaouil,C.;Balcaen,T.;Loas,G.;Dubois,G.;Ganry,O.</t>
  </si>
  <si>
    <t>Alcohol, Cigarette, and Illegal Substance Consumption Among Medical Students A Cross-Sectional Survey</t>
  </si>
  <si>
    <t>Workplace Health &amp; Safety</t>
  </si>
  <si>
    <t>medical students;France;alcohol consumption;tobacco;cannabis;DISORDERS IDENTIFICATION TEST;DRUG-USE;BINGE DRINKING;TEST AUDIT;PSYCHOLOGICAL DISTRESS;SUICIDAL IDEATION;NURSING-STUDENTS;COLLEGE-STUDENTS;PHYSICIAN HEALTH;USE ATTITUDES</t>
  </si>
  <si>
    <t>This study investigated addictive substance use by French medical students. A cross-sectional survey was distributed to 255 participants randomly selected from 1,021 second- to sixth-year medical students. Questionnaires were self-administered and included questions on sociodemographic characteristics, mental health, and alcohol (The Alcohol Use Disorders Identification Test AUDIT test]), tobacco (Fagerstrom test), and illegal substance consumption (Cannabis Abuse Screening Test CAST test]). The AUDIT scores indicated that 11% of the study participants were at risk for addiction and 21% were high-risk users. Tobacco dependence was strong or very strong for 12% of the participants. The CAST score showed that 5% of cannabis users needed health care services. Cannabis users were also more likely than non-users to fail their medical school examinations (89% vs. 39%, p &lt; .01). One quarter of medical student participants (n = 41) had used other illegal drugs, and 10% of study participants had considered committing suicide during the previous 12 months. Psychoactive substance consumption by French medical students requires preventive measures, screening, and health care services.</t>
  </si>
  <si>
    <t>J2: Workplace Health Saf.; 5 25881656; ID: 4106</t>
  </si>
  <si>
    <t>2165-0799</t>
  </si>
  <si>
    <t>Gignon, M.; Ammirati, C.] Univ Paris 13, F-93430 Villetaneuse, France. Gignon, M.; Havet, E.; Ammirati, C.; Traulle, S.; Manaouil, C.; Balcaen, T.; Loas, G.; Dubois, G.; Ganry, O.] Jules Verne Univ Picardy, Amiens, France. Gignon, M.; Dubois, G.] Amiens Univ Hosp, Amiens, France. Balcaen, T.] Amiens Univ Hosp, Publ Hlth &amp; Epidemiol, Amiens, France. Ganry, O.] Amiens Univ Hosp, Dept Publ Hlth, Amiens, France. Gignon, M (reprint author), Amiens Univ Hosp, Dept Publ Hlth, Amiens, France. maxime.gignon@u-picardie.fr</t>
  </si>
  <si>
    <t>WOS:000353157500002</t>
  </si>
  <si>
    <t>10.1177/2165079915570917</t>
  </si>
  <si>
    <t>Gilbert,S. S.;Liepman,M. R.</t>
  </si>
  <si>
    <t>Successful Continuing-Education Program for Physicians on Alcoholism and Drug-Abuse</t>
  </si>
  <si>
    <t>Alcoholism-Clinical and Experimental Research</t>
  </si>
  <si>
    <t>J2: Alcoholism; 0 NY; ID: 4502</t>
  </si>
  <si>
    <t>Univ michigan,sch med,ann arbor,mi 48109.</t>
  </si>
  <si>
    <t>WOS:A1978EU86100065</t>
  </si>
  <si>
    <t>Gilder,S. S. B.</t>
  </si>
  <si>
    <t>London Letter - Some More Effects of Oral Contraceptives - a Blow to Medical Education - Toxic Effects of Analgesics - Diazepam in Tetanus - Drug Addiction in Britain - Bus Driving and Coronary Disease</t>
  </si>
  <si>
    <t>J2: Can. Med. Assoc. J.; 0; ID: 4512</t>
  </si>
  <si>
    <t>WOS:A19668557700012</t>
  </si>
  <si>
    <t>Book, Section</t>
  </si>
  <si>
    <t>Gisselmann,A.</t>
  </si>
  <si>
    <t>Appraisal of Medical Specialized Teaching in Drug Addiction and Alcoholism - the French Experience</t>
  </si>
  <si>
    <t>36th International Congress on Alcohol and Drug Dependence, Vols I &amp; Ii</t>
  </si>
  <si>
    <t>Proceedings Paper 36th International Congress on Alcoholism and Drug Dependence AUG 16-21, 1992 GLASGOW, SCOTLAND Int Council Alcohol &amp; Addict, Socttish Council Alcohol CASE POSTALE 140, CH-1001 LAUSANNE, SWITZERLAND; ID: 4439</t>
  </si>
  <si>
    <t>Int Council Alcohol and Additions</t>
  </si>
  <si>
    <t>Lausanne</t>
  </si>
  <si>
    <t>Fac med dijon,dept publ hlth,f-21033 dijon,france.</t>
  </si>
  <si>
    <t>WOS:A1992BC59Z00097</t>
  </si>
  <si>
    <t>Goel,N.;Khandelwal,V.;Pandya,K.;Kotwal,A.</t>
  </si>
  <si>
    <t>Alcohol and Tobacco Use Among Undergraduate and Postgraduate Medical Students in India: A Multicentric Cross-sectional Study</t>
  </si>
  <si>
    <t>Central Asian Journal of Global Health</t>
  </si>
  <si>
    <t>alcohol;tobacco;undergraduate medical students;postgraduate medical;students;cross-sectional</t>
  </si>
  <si>
    <t>Background: Substance use among medical fraternity is a well-known phenomenon among both undergraduate (UG) and postgraduate (PG) medical students. Yet, there have been very few multi-centric studies to estimate the actual burden of this problem in this important population group in India. This study was conducted to estimate the prevalence of alcohol and tobacco use, assess the knowledge and attitudes towards this issue, and identify factors associated with substance use among UG and PG medical students in India. Methods: A pre-tested, self-report, anonymous questionnaire was administered to medical undergraduates and post graduate medical residents of eight medical colleges across India. This study used a convenience sample of medical colleges with random selection of study participants within each college for each group, UG and PG. Results: Prevalence of alcohol and tobacco use among UG students was 16.6%, 95% CI 14.5, 18.9] and 8.0%, 95% CI 6.4, 9.6], respectively, whereas prevalence was 31.5%, 95% CI 26.3, 37.0] and 14.5%, 95% CI 10.7, 18.9], respectively for PGs. For both substances, males had a higher prevalence of use compared to females in both groups (p  0.05 for alcohol) were associated with a greater difficulty to quit the habit. Over 90% of study participants felt that substance use adversely affected their skills and reported not using substances prior to managing their patients. Conclusions: Since substance use is a relatively common phenomenon among UG and PG medical students in India, future prospective studies and interventions are required to better understand the pattern of substance use and reduce its prevalence.</t>
  </si>
  <si>
    <t>J2: Cent. Asian J. Glob. Health; 1; ID: 4118</t>
  </si>
  <si>
    <t>2166-7403</t>
  </si>
  <si>
    <t>Goel, Nidhi; Khandelwal, Vivek; Pandya, Kapil; Kotwal, Atul] Armed Forces Med Serv, New Delhi, India. Goel, N (reprint author), Armed Forces Med Serv, New Delhi, India.</t>
  </si>
  <si>
    <t>WOS:000420810300006</t>
  </si>
  <si>
    <t>10.5195/cajgh.2015.187</t>
  </si>
  <si>
    <t>Goldsmith,R. J.;Miller,N. S.</t>
  </si>
  <si>
    <t>Training Psychiatric-Residents in the Addictions</t>
  </si>
  <si>
    <t>Psychiatric Annals</t>
  </si>
  <si>
    <t>J2: Psychiatr. Ann.; 2; ID: 4423</t>
  </si>
  <si>
    <t>0048-5713</t>
  </si>
  <si>
    <t>Univ cincinnati,coll med,dept psychiat,cincinnati,oh 45221. univ illinois,dept psychiat,chicago,il 60680.</t>
  </si>
  <si>
    <t>WOS:A1994PC89200009</t>
  </si>
  <si>
    <t>10.3928/0048-5713-19940801-13</t>
  </si>
  <si>
    <t>Goodair,C.;Crome,I.</t>
  </si>
  <si>
    <t>How to integrate teaching of addiction medicine in a medical curriculum</t>
  </si>
  <si>
    <t>J2: Heroin Addict. Relat. Clin. Probl.; 0 1; ID: 4051</t>
  </si>
  <si>
    <t>Goodair, C.; Crome, I.] St Georges Univ London, London, England.</t>
  </si>
  <si>
    <t>WOS:000392945000032</t>
  </si>
  <si>
    <t>Gorai,S.;Dhar,G.</t>
  </si>
  <si>
    <t>Prevalence of drug abuse among medical &amp; non-medical students</t>
  </si>
  <si>
    <t>J2: Indian J. Med. Res.; 1st Asian and 2nd National Medical Students Research Conference FEB 20-24, 2008 Pune, INDIA 0; ID: 4295</t>
  </si>
  <si>
    <t>Gorai, S.; Dhar, G.] Midnapore Med Coll, Dept Community Med, Paschim Medinipur 721101, W Bengal, India. surajit_mmch@rediffmail.com</t>
  </si>
  <si>
    <t>WOS:000259235600069</t>
  </si>
  <si>
    <t>Gordon,A. J.;Jenkins,J. A.;Galanter,M.</t>
  </si>
  <si>
    <t>International Addiction Scholarship: Promise, Progress, and Results From the Annual Meeting of the International Society of Addiction Medicine</t>
  </si>
  <si>
    <t>BORDERS</t>
  </si>
  <si>
    <t>J2: Subst. Abus.; 1 SI; ID: 4098</t>
  </si>
  <si>
    <t>Gordon, Adam J.] Univ Pittsburgh, Sch Med, Div Gen Internal Med, Sect Treatment Res &amp; Educ Addict Med, Pittsburgh, PA USA. Gordon, Adam J.] VA Pittsburgh Healthcare Syst, Ctr Hlth Equ Res &amp; Promot, Pittsburgh, PA 15240 USA. Gordon, Adam J.] VA Pittsburgh Healthcare Syst, Mental Illness Res Educ &amp; Clin Ctr, Pittsburgh, PA 15240 USA. Jenkins, Jennifer A.] VA Puget Sound Hlth Care Syst, Ctr Innovat Vet Ctr &amp; Value Driven Care, Seattle, WA USA. Galanter, Marc] NYU, Sch Med, Div Alcoholism &amp; Drug Abuse, New York, NY USA. Gordon, AJ (reprint author), VA Pittsburgh Healthcare Syst, Ctr Hlth Equ Res &amp; Promot, Univ Dr C,Bldg 30,Mailcode 151-C, Pittsburgh, PA 15240 USA. gordona@medschool.pitt.edu</t>
  </si>
  <si>
    <t>WOS:000356363100002</t>
  </si>
  <si>
    <t>10.1080/08897077.2015.1033887</t>
  </si>
  <si>
    <t>Guan,N. C.;Isa,S. M.;Hashim,A. H.;Pillai,S. K.;Singh,M. K. H.</t>
  </si>
  <si>
    <t>Validity of the Malay Version of the Internet Addiction Test: A Study on a Group of Medical Students in Malaysia</t>
  </si>
  <si>
    <t>Asia-Pacific Journal of Public Health</t>
  </si>
  <si>
    <t>NP2210</t>
  </si>
  <si>
    <t>NP2219</t>
  </si>
  <si>
    <t>internet;addiction;reliability;validity;Malaysia;PSYCHOMETRIC PROPERTIES</t>
  </si>
  <si>
    <t>The use of the Internet has been increasing dramatically over the decade in Malaysia. Excessive usage of the Internet has lead to a phenomenon called Internet addiction. There is a need for a reliable, valid, and simple-to-use scale to measure Internet addiction in the Malaysian population for clinical practice and research purposes. The aim of this study was to validate the Malay version of the Internet Addiction Test, using a sample of 162 medical students. The instrument displayed good internal consistency (Cronbach's alpha = .91), parallel reliability (intraclass coefficient = .88, P &lt; .001), and concurrent validity with the Compulsive Internet Use Scale (Pearson's correlation = .84, P &lt; .001). Receiver operating characteristic analysis showed that 43 was the optimal cutoff score to discriminate students with and without Internet dependence. Principal component analysis with varimax rotation identified a 5-factor model. The Malay version of the Internet Addiction Test appeared to be a valid instrument for assessing Internet addiction in Malaysian university students.</t>
  </si>
  <si>
    <t>J2: Asia-Pac. J. Public Health; 5 22652253; ID: 4104</t>
  </si>
  <si>
    <t>1010-5395</t>
  </si>
  <si>
    <t>Guan, Ng Chong; Isa, Saramah Mohammed; Hashim, Aili Hanim; Pillai, Subash Kumar; Singh, Manveen Kaur Harbajan] Univ Malaya, Kuala Lumpur 50603, Malaysia. Guan, NC (reprint author), Univ Malaya, Fac Med, Dept Psychol Med, Kuala Lumpur 50603, Malaysia. chong_guan1975@yahoo.co.uk</t>
  </si>
  <si>
    <t>WOS:000352586200206</t>
  </si>
  <si>
    <t>10.1177/1010539512447808</t>
  </si>
  <si>
    <t>Impact of a substance abuse curriculum on medical resident screening: A chart review</t>
  </si>
  <si>
    <t>J2: J. Addict. Dis.; 1; ID: 4353</t>
  </si>
  <si>
    <t>Columbia Univ Coll Phys &amp; Surg, Div Subst Abuse, New York, NY 10032 USA.</t>
  </si>
  <si>
    <t>WOS:000221396400022</t>
  </si>
  <si>
    <t>Haas,C.</t>
  </si>
  <si>
    <t>Medical numismatics. The medal of the Society Against Tobacco Abuse recalls the 1888 contest and the Prize awarded to Maurice de Fleury, a resident of the Paris Teaching Hospital</t>
  </si>
  <si>
    <t>Semaine Des Hopitaux</t>
  </si>
  <si>
    <t>35-36</t>
  </si>
  <si>
    <t>J2: Sem. Hop.; 0; ID: 4391</t>
  </si>
  <si>
    <t>0037-1777</t>
  </si>
  <si>
    <t>Hop Laennec, Serv Med Interne, F-75340 Paris 07, France. Haas, C (reprint author), Hop Laennec, Serv Med Interne, 42 Rue Sevres, F-75340 Paris 07, France.</t>
  </si>
  <si>
    <t>WOS:000084716900033</t>
  </si>
  <si>
    <t>Harford,T. C.;Muthen,B. O.</t>
  </si>
  <si>
    <t>Alcohol use among college students: The effects of prior problem behaviors and change of residence</t>
  </si>
  <si>
    <t>BINGE-DRINKING;EDUCATIONAL STATUS;SUBSTANCE USE;YOUNG-ADULTS;HIGH-SCHOOL;ASSOCIATIONS;CONSUMPTION;TRANSITION;PATTERNS;FRESHMEN</t>
  </si>
  <si>
    <t>Objective: This article examines the relationship between prior problem behaviors and change in residence on alcohol use patterns among college students. Method: Measures of alcohol consumption (e.g., drinking frequency, average consumption and frequency of heavy episodic drinking were related to residence patterns and prior problem behaviors (e.g., conduct problems, illicit substance involvement and early age at onset of alcohol consumption). Subjects (N = 2,465; 51% women) were a subsample drawn from the National Longitudinal Study of Labor Market Experience in Youth. The analysis was conducted using a linear growth model for continuous outcomes with time-invariant and time-varying covariates for each of the drinking measures. Results: The results of the structural equation analysis yielded significant and direct effects related to residence patterns and prior problem behaviors. problem behaviors were related to drinking measures; however, them was no evidence for a mediational hypothesis. Neither was there systematic evidence that the relationship between prior problem behavior and alcohol use was mediated by residence patterns. The analysis of change in residence was related to both time-specific and longer-term influences on alcohol use. Conclusions: The presence of direct and independent effects for both dispositional and high-risk environmental factors in collegiate drinking practices support targeted and diverse strategies for prevention activities.</t>
  </si>
  <si>
    <t>J2: J. Stud. Alcohol; NIAAA NIH HHS K02 AA00230 01, R21 AA10948 01A1] 27 11414340; ID: 4382</t>
  </si>
  <si>
    <t>Boston Univ, Sch Publ Hlth, Dept Social &amp; Behav Sci, Boston, MA USA. Harford, TC (reprint author), 279 N Main St, Wolfeboro, NH 03894 USA.</t>
  </si>
  <si>
    <t>WOS:000169236000005</t>
  </si>
  <si>
    <t>10.15288/jsa.2001.62.306</t>
  </si>
  <si>
    <t>Harford,T. C.;Wechsler,H.;Muthen,B. O.</t>
  </si>
  <si>
    <t>The impact of current residence and high school drinking on alcohol problems among college students</t>
  </si>
  <si>
    <t>BINGE-DRINKING;NATIONAL SURVEY;SUBSTANCE USE;HEALTH;ASSOCIATIONS;ENVIRONMENT;TRANSITION;DRUG</t>
  </si>
  <si>
    <t>Objective: This study examines relationships between type of (current) residence, heavy episodic drinking in high school and alcohol-related problems among college students. Method: The study participants were respondents in the 1993, 1997 and 1999 Harvard School of Public Health College Alcohol Study (CAS) surveys of students attending 119 4-year U.S. colleges. Based on responses from 6,525 (55.6% female) students in the 1993 CAS, an exploratory factor analysis of the alcohol problem items was specified in a confirmatory factor analysis framework based on a four-factor solution, and related to study variables. The 1993 data were cross-validated with the 1997 and 1999 surveys. Results: When compared with students living in single-gender dormitories, students living off campus with parents reported lower alcohol-related problem consequences and a higher probability of drinking/driving. Students residing off campus without parents, compared with students in single-gender dorms, reported a higher probability of drinking/driving. Associations between off-campus residence and probabilities for drinking/driving were mediated by frequency of driving. Students living in coed dormitories, when compared with students in single-gender dorms, incurred more problem consequences related to drinking but reported significantly lower probabilities associated with designated driving and drinking/driving. Heavy episodic drinking in high school was related to higher probabilities of problems on all outcome measures. Conclusions: The presence of direct and independent effects for both heavy drinking prior to college and high-risk environmental factors in collegiate drinking practices support targeted and diverse strategies for prevention activities.</t>
  </si>
  <si>
    <t>J2: J. Stud. Alcohol; NIAAA NIH HHS K02 AA 00230-01] 62 12086127; ID: 4374</t>
  </si>
  <si>
    <t>WOS:000176296200003</t>
  </si>
  <si>
    <t>10.15288/jsa.2002.63.271</t>
  </si>
  <si>
    <t>Haslam,C.;Ghodse,H.;Agombar,A.;Harrison,P.</t>
  </si>
  <si>
    <t>The Health and Substance Use of Medical-Students</t>
  </si>
  <si>
    <t>0; ID: 4463</t>
  </si>
  <si>
    <t>St georges hosp,sch med,dept psychiat,addict behav sect,london sw17 0re,england.</t>
  </si>
  <si>
    <t>WOS:A1988R301400030</t>
  </si>
  <si>
    <t>Hauli,K. A.;Ndetei,D. M.;Jande,M. B.;Kabangila,R.</t>
  </si>
  <si>
    <t>The Prevalence of Substance Use Among Psychiatric Patients: The Case Study of Bugando Medical Centre, Mwanza (Northern Tanzania)</t>
  </si>
  <si>
    <t>Substance use;psychiatric disorder;co-morbidity;family history of;mental illness;family history of substance use;peer pressure</t>
  </si>
  <si>
    <t>World Health Organization (2004) documented that substance use or abuse and mental disorders are important causes of disease burden accounting for 8.8% and 16.6% of the total burden of disease in low income and lower middle-income countries, respectively. Alcohol use/abuse disorders alone contribute to 0.6%-2.6% of the total burden of disease in these countries. This cross-sectional descriptive study recruited 184 psychiatric patients seen at Bugando Medical centre and assessed them for substance involvement using the WHO Alcohol, Smoking and Substance Involvement Screening Test. The most frequently used substances among respondents were alcohol (59.3%), tobacco (38.6%), and cannabis (29.3%), while heroin and cocaine were least used (2.1% and 1.6%, respectively). Statistical significant difference existed between substance use and participants: level of education, formal employment, marital status, gender, family history of mental illness, and family history of substance use. About a third attributed their involvement into substance exclusively to peer pressure, 8.7 to both peer pressure and curiosity while 7.1% exclusively to curiosity. This result represents one of the most important risks to mental health, and is a leading factor that causes high rates of admission or reason to be seen by a psychiatrist, this cannot be ignored when managing psychiatric disorders and therefore calls for routing screening for substance involvement among clients seeking psychiatric treatment. It also calls for appropriate standard operation policy procedures that can be operationlized as a matter of clinical practice by mental health workers in their routine medical practice.</t>
  </si>
  <si>
    <t>J2: Subst. Abus.; 6 22014254; ID: 4236</t>
  </si>
  <si>
    <t>Hauli, Kiyeti A.; Ndetei, David M.] Univ Nairobi, Nairobi, Kenya. Jande, Mary B.; Kabangila, Rodrick] Weill Bugando Univ, Coll Hlth Sci, Mwanza, Tanzania. Ndetei, DM (reprint author), POB 48423,00100 GPO, Nairobi, Kenya. dmndetei@uonbi.ac.ke</t>
  </si>
  <si>
    <t>WOS:000300016200008</t>
  </si>
  <si>
    <t>10.1080/08897077.2011.599253</t>
  </si>
  <si>
    <t>Hemandez-Avila,C.;Schuckit,M. A.;Tapert,S. F.;Guschwan,M.</t>
  </si>
  <si>
    <t>The impact of Alcohol Medical Scholars Program (AMSP) in improving teaching of alcohol and other substance use disorders in US medical schools</t>
  </si>
  <si>
    <t>J2: Alcoholism; 29th Annual Meeting of the Research-Society-on-Alcoholism JUN 23-29, 2006 Baltimore, MD Res Soc Alcoholism 1 NY S; ID: 4326</t>
  </si>
  <si>
    <t>Univ Connecticut, Sch Med, Alcohol Res Ctr, Farmington, CT 06030 USA.</t>
  </si>
  <si>
    <t>WOS:000238299401257</t>
  </si>
  <si>
    <t>Henderson,N. L.;Dressler,W. W.</t>
  </si>
  <si>
    <t>Medical Disease or Moral Defect? Stigma Attribution and Cultural Models of Addiction Causality in a University Population</t>
  </si>
  <si>
    <t>Culture Medicine and Psychiatry</t>
  </si>
  <si>
    <t>Addiction;Stigma;Cultural models;Cultural consensus analysis;Residual agreement analysis;FORMER MENTAL-PATIENTS;SOCIAL REJECTION;ILLNESS;LABELS;DRUG;DANGEROUSNESS;DISORDERS;CONSENSUS;DRINKING;ALCOHOL</t>
  </si>
  <si>
    <t>This study examines the knowledge individuals use to make judgments about persons with substance use disorder. First, we show that there is a cultural model of addiction causality that is both shared and contested. Second, we examine how individuals' understanding of that model is associated with stigma attribution. Research was conducted among undergraduate students at the University of Alabama. College students in the 18-25 age range are especially at risk for developing substance use disorder, and they are, perhaps more than any other population group, intensely targeted by drug education. The elicited cultural model includes different types of causes distributed across five distinct themes: Biological, Self-Medication, Familial, Social, and Hedonistic. Though there was cultural consensus among respondents overall, residual agreement analysis showed that the cultural model of addiction causality is a multicentric domain. Two centers of the model, the moral and the medical, were discovered. Differing adherence to these centers is associated with the level of stigma attributed towards individuals with substance use disorder. The results suggest that current approaches to substance use education could contribute to stigma attribution, which may or may not be inadvertent. The significance of these results for both theory and the treatment of addiction are discussed.</t>
  </si>
  <si>
    <t>J2: Cult. Med. Psychiatr.; Graduate School at the University of Alabama 0 28378037; ID: 4004</t>
  </si>
  <si>
    <t>0165-005X</t>
  </si>
  <si>
    <t>Henderson, Nicole L.; Dressler, William W.] Univ Alabama, Dept Anthropol, Tuscaloosa, AL 35487 USA. Henderson, NL (reprint author), Univ Alabama, Dept Anthropol, Tuscaloosa, AL 35487 USA. nlhenderson1@crimson.ua.edu; wdressle@ua.edu</t>
  </si>
  <si>
    <t>WOS:000414765100003</t>
  </si>
  <si>
    <t>10.1007/s11013-017-9531-1</t>
  </si>
  <si>
    <t>Filling the Knowledge Gap - a Continuing Medical-Education Course on Prescribing Drugs with Abuse Potential</t>
  </si>
  <si>
    <t>ALCOHOLISM</t>
  </si>
  <si>
    <t>3 S 1771058; ID: 4441</t>
  </si>
  <si>
    <t>HORVATICH, PK (reprint author), VIRGINIA COMMONWEALTH UNIV,MED COLL VIRGINIA,DIV SUBSTANCE ABUSE MED,BOX 109,MCV STN,RICHMOND,VA 23298, USA.</t>
  </si>
  <si>
    <t>WOS:A1991GP42000010</t>
  </si>
  <si>
    <t>Humair,J.;Broers,B.;Gache,P.</t>
  </si>
  <si>
    <t>Teaching addiction medicine in a clinical clerkship of community medicine: Medical students like it!</t>
  </si>
  <si>
    <t>J2: J. Gen. Intern. Med.; 27th Annual Meeting of the Society-of-General-Internal-Medicine MAY 12-15, 2004 Chicago, IL Soc Gen Internal Med 0 1; ID: 4349</t>
  </si>
  <si>
    <t>Univ Hosp Geneva, Dept Community Med, Geneva, Switzerland.</t>
  </si>
  <si>
    <t>WOS:000221125800302</t>
  </si>
  <si>
    <t>Ibrahim,A.;Fouad,Inas</t>
  </si>
  <si>
    <t>The Prevalence and Socio-Demographic Correlates of Internet Addiction among Medical Students</t>
  </si>
  <si>
    <t>Internet Addiction;Medical Students;Suicide</t>
  </si>
  <si>
    <t>J2: Eur. Psychiat.; 0 1; ID: 4142</t>
  </si>
  <si>
    <t>Ibrahim, A.; Fouad, I. N. A. S.] Assiut Univ, Asyut, Egypt.</t>
  </si>
  <si>
    <t>WOS:000347280700506</t>
  </si>
  <si>
    <t>Drug-Abuse among Medical-Students at a Nigerian University .1. Prevalence and Pattern of Use</t>
  </si>
  <si>
    <t>J2: J. Natl. Med. Assoc.; 17 3257527; ID: 4470</t>
  </si>
  <si>
    <t>IHEZUE, UH (reprint author), UNIV NIGERIA,COLL MED,DEPT PSYCHOL MED,ENUGU,NIGERIA.</t>
  </si>
  <si>
    <t>WOS:A1988P138700011</t>
  </si>
  <si>
    <t>Illing,H. A.</t>
  </si>
  <si>
    <t>Drug-Addiction and Misuse - a Brief Handbook for the Physician, Lawyer, and Teacher - German - Laubenthal,F</t>
  </si>
  <si>
    <t>J2: Am. J. Psychiat.; 0; ID: 4513</t>
  </si>
  <si>
    <t>WOS:A1965CBP5300037</t>
  </si>
  <si>
    <t>Imhof,J.</t>
  </si>
  <si>
    <t>The Cohen,Sidney Lectureship in Drug-Abuse Medicine - Editors Introduction</t>
  </si>
  <si>
    <t>J2: J. Subst. Abus. Treat.; 0; ID: 4475</t>
  </si>
  <si>
    <t>WOS:A1987L629000006</t>
  </si>
  <si>
    <t>Irving,M. A.;Evans,S.;Watson,L.</t>
  </si>
  <si>
    <t>British Agencies for Adoption and Fostering in Scotland - Scottish Medical Advisers' Survey</t>
  </si>
  <si>
    <t>child adoption;child fostering;Scottish Medical Advisers survey;medical services;Children Act;Scotland;HEALTH;CHILDREN;CARE</t>
  </si>
  <si>
    <t>Children in local authority care (The survey was conducted before the term 'in care' was replaced by 'looked after' on The Children (Scotland) Act coming into force in October 1996) come from backgrounds of high incidence of mental illness, substance abuse and learning difficulties and have often suffered from neglect and/or abuse. They have a high incidence of medical problems affecting both physical and mental health. The Committee of the Scottish Section of the Medical Group of British Agencies for Adoption and Fostering (BAAF) were concerned about the provision and coordination of medical services for children in local authority care. The aim of the survey was to identify the current and evolving practice among medical advisers across Scotland. Questionnaires were returned from 40 Medical Advisers representing each of the local authorities in Scotland. The responses highlighted a variation in the implementation of practice in clinical services provided to children in care and by whom. It confirmed that difficulties in follow-up did exist and revealed widespread confusion surrounding co-ordination of medical services, absence of procedures and ignorance of legal requirements. The study confirms that involved medical practitioners need to have a pro-active role in co-operating closely with social work colleagues to provide a well co-ordinated service of medical supervision providing a comprehensive assessment of health care needs as part of the overall child care plan.</t>
  </si>
  <si>
    <t>J2: Public Health; 1 9242035; ID: 4407</t>
  </si>
  <si>
    <t>Irving, MA (reprint author), CRICHTON ROYAL HOSP,CRICHTON HALL,BANKEND RD,DUMFRIES DG1 4TG,SCOTLAND.</t>
  </si>
  <si>
    <t>WOS:A1997XM75000007</t>
  </si>
  <si>
    <t>Jackson,E. R.;Shanafelt,T. D.;Hasan,O.;Satele,D. V.;Dyrbye,L. N.</t>
  </si>
  <si>
    <t>Burnout and Alcohol Abuse/Dependence Among US Medical Students</t>
  </si>
  <si>
    <t>QUALITY-OF-LIFE;RANDOMIZED CONTROLLED-TRIAL;IDENTIFICATION TEST AUDIT;USE DISORDERS;UNITED-STATES;GENERAL-POPULATION;AMERICAN SURGEONS;SUICIDAL IDEATION;COLLEGE-STUDENTS;RISK DRINKING</t>
  </si>
  <si>
    <t>Purpose To explore the relationship between alcohol abuse/dependence with burnout and other forms of distress among a national cohort of medical students. Method In 2012, the authors completed a national survey of medical students from the American Medical Association's Physician Masterfile containing validated items assessing alcohol abuse/dependence, burnout, depression, suicidality, quality of life ( QOL), and fatigue. Descriptive and comparative statistical analyses were computed, including chi-square and multivariate logistic regression, to determine relationships between variables. Results Of the 12,500 students, 4,402 ( 35.2%) responded. Of these, 1,411 ( 32.4%) met diagnostic criteria for alcohol abuse/dependence. Students who were burned out ( P =.01), depressed ( P =.01), or reported low mental ( P =. 03) or emotional ( P =.016) QOL were more likely to have alcohol abuse/dependence. Emotional exhaustion and depersonalization domains of burnout were strongly associated with alcohol abuse/dependence. On multivariate analysis, burnout ( OR 1.20; 95% CI 1.05-1.37; P  $ 100,000 ( OR 1.27 versus &lt; $ 50,000; CI 1.08-1.48; P &lt;.01) of educational debt, being unmarried ( OR 1.89; CI 1.57-2.27; P &lt;.001), and being younger ( for every five years, OR 1.15; CI 1.02-1.28; P =.01) were independently associated with increased risk for alcohol abuse/dependence. Conclusions Burnout was strongly related to alcohol abuse/dependence among sampled medical students and increased educational debt predicted a higher risk. A multifaceted approach addressing burnout, medical education costs, and alcohol use is needed.</t>
  </si>
  <si>
    <t>J2: Acad. Med.; American Medical Association (AMA); Mayo Clinic Department of Medicine Program on Physician Well-being 23 26934693; ID: 4045</t>
  </si>
  <si>
    <t>Jackson, Eric R.] Mayo Clin &amp; Mayo Grad Sch Med, Rochester, MN USA. Shanafelt, Tait D.] Mayo Clin, Dept Med, Div Hematol, Med, Rochester, MN USA. Hasan, Omar] Amer Med Assoc, Improving Hlth Outcomes, 515 N State St, Chicago, IL 60610 USA. Satele, Daniel V.] Mayo Clin, Biomed Stat &amp; Informat, Rochester, MN USA. Dyrbye, Liselotte N.] Mayo Clin, Dept Med, Div Primary Care Internal Med, Med, Rochester, MN USA. Dyrbye, LN (reprint author), Mayo Clin, Dept Med, 200 First St SW, Rochester, MN 55905 USA. dyrbye.liselotte@mayo.edu</t>
  </si>
  <si>
    <t>WOS:000386674800023</t>
  </si>
  <si>
    <t>10.1097/ACM.0000000000001138</t>
  </si>
  <si>
    <t>Janichek,J. L.;Reiman,A.</t>
  </si>
  <si>
    <t>Clinical service desires of medical cannabis patients</t>
  </si>
  <si>
    <t>Medical cannabis patients;Harm reduction;Cannabis dispensaries;Substance use;Substance misuse;OPIATE-DEPENDENCE;MARIJUANA;CALIFORNIA;ALCOHOL</t>
  </si>
  <si>
    <t>Background: Medical cannabis dispensaries following the social or hybrid model offer supplementary holistic services in addition to dispensing medical cannabis. Historically, alternative physical health services have been the norm for these dispensaries, including services such as yoga, acupuncture, or chiropractor visits. A clinical service dearth remains for medical cannabis patients seeking substance use, misuse, dependence, and mental health services. This study examined patient desires for various clinical services and level of willingness to participate in specific clinical services. Methods: Anonymous survey data (N = 303) were collected at Harborside Health Center (HHC), a medical cannabis dispensary in Oakland, CA. The sample was 70% male, 48% Caucasian and 21% African American. The mean male age was 38 years old and female mean age was 30. Sixty two percent of the male participants and 44% of the female participants are single. Sixteen percent of the population reported having a domestic partner. Forty six percent of the participants are employed full time, 41% have completed at least some college, and 49% make less than $40,000 a year. Results: A significant portion of the sample, 62%, indicated a desire to participate in free clinical services at HHC, 34% would like more information about substances and use, and 41% want to learn more about reducing harms from substance use. About one quarter of the participants marked "would" or "likely would" participate in individual services such as consultation. Approximately 20% indicated "would" or "likely would" participate in psycho-educational forums, harm reduction information sharing sessions, online support groups, and coping, life, and social skills group. There was little interest in traditional NA/AA 12-step groups or adapted 12-step groups. Conclusions: Desired clinical services can be qualified as a combination of harm reduction, educational, skills-based, peer support and therapeutic individual and group services. Results suggest that medical cannabis patients seek more information about various substances, including cannabis. Dispensaries can help to decrease gaps in substance education and clinical services and fulfill unmet clinical desires. More research is necessary in additional medical cannabis dispensaries in different geographic settings with different service delivery models.</t>
  </si>
  <si>
    <t>J2: Harm Reduct. J.; 7 12 22414074; ID: 4191</t>
  </si>
  <si>
    <t>Reiman, Amanda] Univ Calif Berkeley, Berkeley, CA 94720 USA. Janichek, Jennifer L.] Roosevelt Univ, Inst Metropolitan Affairs, Chicago, IL 60605 USA. Reiman, A (reprint author), Univ Calif Berkeley, Berkeley, CA 94720 USA. areiman@berkeley.edu</t>
  </si>
  <si>
    <t>WOS:000303343900001</t>
  </si>
  <si>
    <t>10.1186/1477-7517-9-12</t>
  </si>
  <si>
    <t>Janik-Koncewicz,K.;Zatonski,T.;Poltyn-Zaradna,K.;Zatonska,K.;Cedzynska,M.;Przewozniak,K.;Wojtyla,A.</t>
  </si>
  <si>
    <t>An attempt to assess knowledge about tobacco dependence among students at the Medical University in Wroclaw</t>
  </si>
  <si>
    <t>Annals of Agricultural and Environmental Medicine</t>
  </si>
  <si>
    <t>medical students;tobacco smoking;tobacco dependence treatment;knowledge on smoking cessation;SMOKING;DISEASES;HEALTH;POLAND;RISK</t>
  </si>
  <si>
    <t>Introduction: Tobacco smoking is still one of the greatest, avoidable, singular causes of death. Although students of medical faculties are expected to have solid knowledge about smoking hazards, a significant number of them still smoke. Aim: The aim of the study was to assess knowledge on tobacco dependence in a sample of students at the Medical University in Wroclaw. Material and methods: Between 2009-2011, non-compulsory lectures on the diagnosis and treatment of tobacco dependence were provided for 3rd to 6th year students of medicine at the Medical University in Wroclaw (170 students). The questionnaire contained 10 questions about smoking-related diseases and medicines used in tobacco dependence treatment. Results: 21% of students smoked cigarettes and 79% were never smokers. 36% of the study group was exposed to passive smoking at the university. Nearly 80% of survey respondents agreed with the statement that cigarette smoking can lead to psychological addiction as strong as drug addiction, but more than 12% of the respondents perceived smoking just as a strong habit. Only 6 out of 10 surveyed students recognised tobacco dependence as an illness classified in an international classification of diseases and health problems (ICD-10). The correct amount of the chemical substances to be found in tobacco smoke was known by 67.1% of all surveyed students. The vast majority of the surveyed students indicated correctly 2 brands of nicotine replacement therapy, but none of them could name even one chemical and corresponding trade name of the pharmaceutical with central effect. Conclusions: The level of knowledge about the diagnosis and treatment of tobacco dependence among the students of the Medical Faculty in Wroclaw Medical University is low, and requires improvement through educational activities at both facultative and compulsory study level. Special attention should be paid to pharmaceutical treatment of the tobacco dependence syndrome.</t>
  </si>
  <si>
    <t>J2: Ann. Agr. Env. Med.; 3 23020022; ID: 4196</t>
  </si>
  <si>
    <t>1232-1966</t>
  </si>
  <si>
    <t>Janik-Koncewicz, Kinga; Cedzynska, Magdalena; Przewozniak, Krzysztof] Maria Sklodowska Curie Mem Canc Ctr, PL-02781 Warsaw, Poland. Janik-Koncewicz, Kinga; Cedzynska, Magdalena; Przewozniak, Krzysztof] Inst Oncol, Dept Canc Epidemiol &amp; Prevent, Warsaw, Poland. Zatonski, Tomasz] Med Acad Wroclaw, Dept &amp; Clin Otolaryngol Head &amp; Neck Surg, Wroclaw, Poland. Poltyn-Zaradna, Katarzyna; Zatonska, Katarzyna] Med Acad Wroclaw, Dept Social Med, Wroclaw, Poland. Wojtyla, Andrzej] Inst Rural Hlth, Dept Hlth Promot Food &amp; Nutr, Lublin, Poland. Janik-Koncewicz, K (reprint author), Maria Sklodowska Curie Mem Canc Ctr, 5 Roentgena, PL-02781 Warsaw, Poland. janikk@coi.pl</t>
  </si>
  <si>
    <t>WOS:000309327800004</t>
  </si>
  <si>
    <t>Johnson,F. Y. A.</t>
  </si>
  <si>
    <t>Attitudes of Nigerian Medical-Students Towards Use and Abuse of Tobacco, Alcohol and Drugs</t>
  </si>
  <si>
    <t>J2: Drug Alcohol Depend.; 3; ID: 4485</t>
  </si>
  <si>
    <t>JOHNSON, FYA (reprint author), UNIV JOS, DEPT PSYCHIAT, JOS, NIGERIA.</t>
  </si>
  <si>
    <t>WOS:A1985ARZ1200002</t>
  </si>
  <si>
    <t>10.1016/0376-8716(85)90009-2</t>
  </si>
  <si>
    <t>Johnson,N. P.;Shouse,D. W.;Shorter,S. G.;Freemire,R. L.</t>
  </si>
  <si>
    <t>Alcohol and Drug-Abuse Education for Physician Assistants - a Survey of Physician Assistant Attitudes and Perceptions About Prescribing Practices and Substance-Abuse</t>
  </si>
  <si>
    <t>Win</t>
  </si>
  <si>
    <t>J2: J. Alcohol Drug Educ.; 0; ID: 4476</t>
  </si>
  <si>
    <t>Western michigan univ,physicians assistance program,kalamazoo,mi 49008. western michigan univ,fetzer business dev ctr,kalamazoo,mi 49008. JOHNSON, NP (reprint author), UNIV S CAROLINA,OFF CAREER TEACHER SUBST ABUSE,COLUMBIA,SC 29208, USA.</t>
  </si>
  <si>
    <t>WOS:A1986A498800008</t>
  </si>
  <si>
    <t>Support Programs Help Medical-Students Stop Addiction before It Starts</t>
  </si>
  <si>
    <t>J2: Can. Med. Assoc. J.; 0 8319158; ID: 4428</t>
  </si>
  <si>
    <t>WOS:A1993LK63200032</t>
  </si>
  <si>
    <t>Jungbluth,G.</t>
  </si>
  <si>
    <t>Training Curriculum "Addiction Medicine Basic Care" for Medical Assistant and Medical Assistants/inside the Adopted the German Medical Association</t>
  </si>
  <si>
    <t>J2: Suchttherapie; 0; ID: 4086</t>
  </si>
  <si>
    <t>WOS:000360248900016</t>
  </si>
  <si>
    <t>Clinical Fellowships in Substance Abuse - New Curriculum Strategy</t>
  </si>
  <si>
    <t>J2: Alcoholism; 0 NY; ID: 4501</t>
  </si>
  <si>
    <t>WOS:A1979GR68500082</t>
  </si>
  <si>
    <t>Khan,M. A.;Shabbir,F.;Rajput,T. A.</t>
  </si>
  <si>
    <t>Effect of Gender and Physical Activity on Internet Addiction in Medical Students</t>
  </si>
  <si>
    <t>Internet addiction;Young's internet addiction test;UNIVERSITY-STUDENTS;RISK-FACTORS;SELF-ESTEEM;PREVALENCE;SYMPTOMS;DISORDER</t>
  </si>
  <si>
    <t>Objective: To determine the effect of gender and physical activity on internet addiction in medical students. Methods: In this cross sectional, analytical study Young's internet addiction test questionnaire was distributed to 350 MBBS students of Army Medical College, Rawalpindi. The study was conducted from January to May 2015. A dichotomous response from students regarding physical activity was obtained which was verified from the sports department of the institution. Based upon total score, internet addiction was categorized as no addiction if the score was less than or equal to 49, moderate addiction when the score was 50 to 79 and severe when the score was 80 to 100. Results: Out of 322 respondents 175 (54.3%) were males and 147 (42.7%) females with a mean age of 19.27 +/- 1.01 years. Total internet addiction score and frequency of internet addiction were similar between males and females (37.71 +/- 11.9 vs 38.63 +/- 14.00, p=0.18 and 25 vs 29, p=0.20). However, total score and frequency of internet addiction were higher in students lacking physical activity as compared to those with regular physical activity (40.37 +/- 15.05 vs 36.38 +/- 11.76, p=0.01 and 30 vs 24, p=0.01). Conclusion: Internet addiction is unrelated to gender however it is inversely related to physical activity.</t>
  </si>
  <si>
    <t>J2: Pak. J. Med. Sci.; 0 28367198; ID: 4030</t>
  </si>
  <si>
    <t>Khan, Muhammad Alamgir] Army Med Coll, Physiol, Rawalpindi, Pakistan. Shabbir, Faizania] Rawalpindi Med Coll, Physiol, Rawalpindi, Pakistan. Rajput, Tausif Ahmed] Shifa Tameer E Millat Univ, Islamabad, Pakistan. Khan, MA (reprint author), Army Med Coll, Dept Physiol, Rawalpindi, Pakistan. docalamgir@gmail.com</t>
  </si>
  <si>
    <t>WOS:000396434100038</t>
  </si>
  <si>
    <t>10.12669/pjms.331.11222</t>
  </si>
  <si>
    <t>Khanal,P.;Ghimire,R. H.;Gautam,B.;Dhungana,S. K.;Parajuli,P.;Jaiswal,A. K.;Khanal,B.</t>
  </si>
  <si>
    <t>Substance Use among Medical Students in Kathmandu Valley</t>
  </si>
  <si>
    <t>Journal of Nepal Medical Association</t>
  </si>
  <si>
    <t>alcohol;medical students;substance use;tobacco</t>
  </si>
  <si>
    <t>Introduction: Substance use including tobacco and alcohol is the most important cause of preventable morbidity, disability, and premature mortality. The study aims to specify the prevalence and the pattern of use of different substance. Methods: A cross sectional study was performed amongst first year and final year students in four medical colleges in Kathmandu using self administered anonymous questionnaire. Data collectedfrom 446 students were analyzed. Results: Prevalence of substance use was found to be 60.3% among the medical students. Alcohol (57.6%) was the substance most prevalently used followed by tobacco (27.58%) and cannabis (12.8%). Mean age of first exposure was 17.94 (Confidence interval: 17.91-17.97). There was significant difference in the useof tobacco and cannabis amongst final year students than first year students. Male and female differed significantly in use of every substance except for benzodiazepine. Medical college, college and school were place of first exposure in 17.26%, 15.92% and 13.23% of the cases respectively. Family history was associated with substance use in medical students and was statistically significant (P &lt; 0.0001). Experimentation was the major reason for the use of most of the substances. Conclusions: Substance use is prevalent in male medical students of both first and final year. Hence steps should be initiated early in school, college and medical college to prevent substance use.</t>
  </si>
  <si>
    <t>J2: J. Nepal Med. Assoc.; 6 22049888; ID: 4241</t>
  </si>
  <si>
    <t>Khanal, P.; Dhungana, S. K.; Jaiswal, A. K.; Khanal, B.] Inst Med, Kathmandu, Nepal. Ghimire, R. H.] Canberra Hosp, Canberra, ACT, Australia. Gautam, B.] Danbury Hosp, Danbury, CT USA. Parajuli, P.] Univ Lousiana, Monroe, LA USA. Khanal, P (reprint author), Inst Med, Kathmandu, Nepal. docpkhanal@gmail.com</t>
  </si>
  <si>
    <t>WOS:000208252000003</t>
  </si>
  <si>
    <t>Kidd,J.;Smith,J.;Tuck,A.;Zuehlke,C.;Williams,A.;Lewis-Fernandez,R.;Bisaga,A.;Nunes,E.;Levin,F.</t>
  </si>
  <si>
    <t>Attitudes of First-Year Medical Students toward Patients with Substance Use Disorders</t>
  </si>
  <si>
    <t>J2: Am. J. Addict.; Substance Abuse and Mental Health Services Administration (SAMHSA) 1H79TI025937-01] 0; ID: 4017</t>
  </si>
  <si>
    <t>Kidd, Jeremy; Smith, Jennifer; Williams, Arthur; Lewis-Fernandez, Roberto; Bisaga, Adam; Nunes, Edward; Levin, Frances] Columbia Univ, NYSPI, New York, NY 10027 USA. Tuck, Andrew] Columbia Univ Coll Phys &amp; Surg, 630 W 168th St, New York, NY 10032 USA. Zuehlke, Caitline] Columbia Univ, Mailman Sch Publ Hlth, New York, NY 10027 USA.</t>
  </si>
  <si>
    <t>WOS:000400574200074</t>
  </si>
  <si>
    <t>Kim,T.;Alford,D. P.;Ellenberg,L.;Clark,D.;Brolin,M.</t>
  </si>
  <si>
    <t>Teaching Medical Students How to Perform Screening and Brief Interventions for Unhealthy Substance Use</t>
  </si>
  <si>
    <t>J2: Subst. Abus.; 0; ID: 4281</t>
  </si>
  <si>
    <t>Boston Univ, Sch Med, Boston Med Ctr, Boston Publ Hlth Commiss, Boston, MA 02215 USA. Brandeis Univ, Waltham, MA 02254 USA.</t>
  </si>
  <si>
    <t>WOS:000283304800049</t>
  </si>
  <si>
    <t>Knight,J. R.;Goodman,E.;Pulerwitz,T.;DuRant,R. H.</t>
  </si>
  <si>
    <t>Reliability of the Problem Oriented Screening Instrument for Teenagers (POSIT) in adolescent medical practice</t>
  </si>
  <si>
    <t>POSIT;reliability;substance abuse;screening;high-risk behavior;adolescents</t>
  </si>
  <si>
    <t>Purpose: To determine the internal consistency and 1-week test-retest reliability of the Problem Oriented Screening Instrument for Teenagers (POSIT) among adolescent medical patients. Methods: A research assistant administered the POSIT to a consecutive sample of 15- to 18-year-old patients arriving for routine medical care at a hospital-based adolescent medical practice. Each subject returned for a retest 1 week later. Internal consistency for each scale on test and retest was calculated using Cronbach alpha, and 1-week test-retest reliability by the intraclass correlation coefficient (r) and the kappa coefficient (kappa). Results: The Substance Use/Abuse, Mental Health Status, Educational Status, and Aggressive Behavior/Delinquency scales had favorable alpha scores (&gt; .70). Others, including Physical Health Status, had lower alpha scores. High intraclass correlation coefficients were found for all 10 POSIT scales (r = .72 to .88), although (r) was lower for males on two of the scales. Kappa coefficients for all scales indicated good reproducibility beyond chance (kappa = .42 to .73). Conclusions: This study provided supportive evidence for the reliability of the POSIT in primary care medical settings, although some POSIT scales could likely be improved. The 20- to 30-min administration time is most practical in settings that are dedicated to adolescent medicine, and computerized administration and scoring are needed. (C) Society for Adolescent Medicine, 2001.</t>
  </si>
  <si>
    <t>J2: J. Adolesc. Health; 38 11472871; ID: 4380</t>
  </si>
  <si>
    <t>Harvard Univ, Sch Med, Dept Pediat, Boston, MA 02115 USA. Childrens Hosp, Div Gen Pediat, Boston, MA 02115 USA. Childrens Hosp, Div Adolescent Young Adult Med, Boston, MA 02115 USA. Goodman, E (reprint author), Childrens Hosp, 300 Longwood Ave, Boston, MA 02115 USA.</t>
  </si>
  <si>
    <t>WOS:000170146100008</t>
  </si>
  <si>
    <t>10.1016/S1054-139X(00)00206-8</t>
  </si>
  <si>
    <t>Kopteff,P. J.</t>
  </si>
  <si>
    <t>A Survey of the Abuse of Medicines and Illicit Drugs by Finnish Students</t>
  </si>
  <si>
    <t>J2: Int. J. Addict.; 1 7399757; ID: 4500</t>
  </si>
  <si>
    <t>KOPTEFF, PJ (reprint author), UNIV TURKU,DEPT PUBL HLTH SCI,SF-20520 TURKU 52,FINLAND.</t>
  </si>
  <si>
    <t>WOS:A1980JR23800010</t>
  </si>
  <si>
    <t>10.3109/10826088009040013</t>
  </si>
  <si>
    <t>Krajewska-Kulak,E.;Kulak,W.;Marcinkowski,J. T.;Van Damme-Ostapowicz,K.;Lewko,J.;Lankau,A.;Lukaszuk,C.;Rozwadowska,E.</t>
  </si>
  <si>
    <t>Internet Addiction Among Students of the Medical University of Bialystok</t>
  </si>
  <si>
    <t>Cin-Computers Informatics Nursing</t>
  </si>
  <si>
    <t>Internet;Internet addiction;Students;COLLEGE-STUDENTS;ADOLESCENTS;SYMPTOMS;THERAPY</t>
  </si>
  <si>
    <t>The objective of this research was to assess Internet addiction among students of the Faculty of Health Prevention at the Medical University of Bialystok. The present study included 358 students-nursing (n = 232), midwifery (n = 71), and medical rescue (n = 55). The following instruments were administered to the participants: the Young test, a test of the intensity of the abstinence syndrome, and a test of "online" addiction. Students who did not have a computer at home spent 3 hours a day on the Internet; students who did have a computer at home spent 0.5 to 8 hours. On average, all respondents spent 1.8 +/- 1.3 hours daily online. Internet addiction was confirmed among 24 (10.3%) nursing, 7 (9.9%) midwifery, and 5 (9.1%) medical rescue students. The abstinence syndrome was noted among 11 (4.7%) nursing, 7 (9.9%) obstetrics, and 7 (12.7%) medical rescue students. Several students had both an Internet addiction and the abstinence syndrome.</t>
  </si>
  <si>
    <t>J2: CIN-Comput. Inform. Nurs.; 9 21697708; ID: 4211</t>
  </si>
  <si>
    <t>1538-2931</t>
  </si>
  <si>
    <t>Krajewska-Kulak, Elzbieta; Van Damme-Ostapowicz, Katarzyna; Lewko, Jolanta; Lankau, Agnieszka; Lukaszuk, Cecylia; Rozwadowska, Emilia] Med Univ Bialystok, Dept Integrated Med Care, PL-15096 Bialystok, Poland. Kulak, Wojciech] Med Univ Bialystok, Dept Pediat Rehabil, PL-15096 Bialystok, Poland. Marcinkowski, Jerzy Tadeusz] Karol Marcinkowski Univ Med Sci, Dept Social Med, Poznan, Poland. Krajewska-Kulak, E (reprint author), Med Univ Bialystok, Dept Integrated Med Care, 7A M Curie Sklodowskiej Str, PL-15096 Bialystok, Poland. elzbieta.krajewska@wp.pl</t>
  </si>
  <si>
    <t>WOS:000296913000006</t>
  </si>
  <si>
    <t>10.1097/NCN.0b013e318224b34f</t>
  </si>
  <si>
    <t>Krampea,H.;Strobel,L.;Beard,E.;Anders,S.;West,R.;Raupach,T.</t>
  </si>
  <si>
    <t>German Medical Students' Beliefs about How Best to Treat Alcohol Use Disorder</t>
  </si>
  <si>
    <t>Alcohol use disorder;Smoking;Treatment;Medical education;Knowledge;MENTAL-DISORDERS;METAANALYSIS;COMORBIDITY;PREVALENCE;DEPENDENCE;PROGRAM;SCHOOLS;TRIALS;ABUSE</t>
  </si>
  <si>
    <t>Background/Aims: A minority of German medical students believe they know how to support smokers willing to quit. This paper examined whether the same would be true for treating alcohol use disorder (AUD), and individual factors associated with incorrect beliefs about the effectiveness of methods to treat AUD. Methods: In this cross-sectional study, 19,526 undergraduate students from 27 German medical schools completed a survey addressing beliefs about the effectiveness of different methods of overcoming AUD. Beliefs about AUD treatment effectiveness were compared across the 5 years of undergraduate education and predictors identified by means of multiple linear regression. Results: Even in the fifth year, 28.1% (95% CI: 26.5-29.7) of students believed that willpower alone was more effective for overcoming AUD than a comprehensive treatment program. The only significant predictor of this belief was a similar belief for stopping smoking. Conclusion: Our results indicate that a considerable proportion of German medical students overestimate the effectiveness of willpower to treat smoking and AUD. The addictive nature of these disorders needs to be stressed during undergraduate medical education to ensure that future physicians will be able and motivated to support patients in their quit attempts. Copyright (c) 2013 S. Karger AG, Basel</t>
  </si>
  <si>
    <t>J2: Eur. Addict. Res.; Cancer Research UK 14135] 2 23428902; ID: 4175</t>
  </si>
  <si>
    <t>Krampea, Henning] Charite, Dept Anesthesiol &amp; Intens Care Med, Berlin, Germany. Strobel, Lisa; West, Robert] Univ Med Ctr, Dept Cardiol &amp; Pneumol, Gottingen, Germany. Anders, Sven] Univ Hamburg Eppendorf, Dept Legal Med, Hamburg, Germany. Raupach, Tobias] UCL, Hlth Behavi Res Ctr, London, England. Raupach, T (reprint author), Univ Hosp Gottingen, Dept Cardiol &amp; Pneumol, Robert Koch Str 40, D-37075 Gottingen, Germany. raupach@med.uni-goettingen.de</t>
  </si>
  <si>
    <t>WOS:000324908200003</t>
  </si>
  <si>
    <t>10.1159/000346672</t>
  </si>
  <si>
    <t>Kraus,J.</t>
  </si>
  <si>
    <t>Drug-Abuse by Doctors - Reply to Comments on Drug-Education</t>
  </si>
  <si>
    <t>Australian Journal of Social Issues</t>
  </si>
  <si>
    <t>J2: Aust. J. Soc. Iss.; 1; ID: 4498</t>
  </si>
  <si>
    <t>0157-6321</t>
  </si>
  <si>
    <t>KRAUS, J (reprint author), DEPT YOUTH &amp; COMMUNITY SERV,HAYMARKET,NSW,AUSTRALIA.</t>
  </si>
  <si>
    <t>WOS:A1980JT23900007</t>
  </si>
  <si>
    <t>10.1002/j.1839-4655.1980.tb00676.x</t>
  </si>
  <si>
    <t>Kuladee,S.;Boonvisudhi,T.</t>
  </si>
  <si>
    <t>Association between Internet addiction and depression in medical students, faculty of medicine in Thailand</t>
  </si>
  <si>
    <t>S310</t>
  </si>
  <si>
    <t>J2: Eur. Psychiat.; 0 S; ID: 4015</t>
  </si>
  <si>
    <t>Kuladee, S.; Boonvisudhi, T.] Ramathibodi Hosp, Psychiat, Fac Med, Bangkok, Thailand.</t>
  </si>
  <si>
    <t>WOS:000404952400026</t>
  </si>
  <si>
    <t>10.1016/j.eurpsy.2017.02.211</t>
  </si>
  <si>
    <t>Kumar,A.;Ward,K. D.;Mellon,L.;Gunning,M.;Stynes,S.;Hickey,A.;Conroy,R.;MacSweeney,S.;Horan,D.;Cormican,L.;Sreenan,S.;Doyle,F.</t>
  </si>
  <si>
    <t>Medical student INtervention to promote effective nicotine dependence and tobacco HEalthcare (MIND-THE-GAP): single-centre feasibility randomised trial results</t>
  </si>
  <si>
    <t>Bmc Medical Education</t>
  </si>
  <si>
    <t>Smoking;Randomised trial;Medical students;Feasibility study;Mixed;methods;SMOKING-CESSATION ADVICE;MISSING DATA ASSUMPTIONS;PREVALENCE;IRELAND;PHYSICIANS;HOSPITALS;PROVISION;KNOWLEDGE;BEHAVIOR;EXAMPLE</t>
  </si>
  <si>
    <t>Background: Although brief cessation advice from healthcare professionals increases quit rates, smokers typically do not get this advice during hospitalisation, possibly due to resource issues, lack of training and professionals' own attitudes to providing such counselling. Medical students are a potentially untapped resource who could deliver cessation counselling, while upskilling themselves and changing their own attitudes to delivering such advice in the future; however, no studies have investigated this. We aimed to determine if brief student-led counselling could enhance motivation to quit and smoking cessation behaviours among hospitalised patients. Method Methods: A mixed-methods, 2-arm pilot feasibility randomised controlled trial with qualitative process evaluation enrolled 67 hospitalised adult smokers, who were recruited and randomized to receive a brief medical student-delivered cessation intervention (n = 33) or usual care (n = 34); 61 medical students received standardised cessation training and 33 were randomly assigned to provide a brief in-hospital consultation and follow-up support by phone or in-person one week post-discharge. Telephone follow-up at 3- and 6-months assessed scores on the Motivation to Stop Smoking Scale (MTSS; primary outcome) and several other outcomes, including 7-day point prevalent abstinence, quit attempts, use of cessation medication, and ratings of student's knowledge and efficacy. Data were analysed as intention to treat (ITT) using penalised imputation, per protocol, and random effects repeated measures. Focus group interviews were conducted with students post-intervention to elicit their views on the training and intervention process. Results: Analyses for primary and most secondary outcomes favoured the intervention group, although results were not statistically significant. Point prevalence abstinence rates were significantly higher for the intervention group during follow-up for all analyses except 6-month ITT analysis. Fidelity was variable. Patients rated students as being "very" knowledgeable about quitting and "somewhat" helpful. Qualitative results showed students were glad to deliver the intervention; were critical of current cessation care; felt constrained by their inability to prescribe cessation medications and wanted to include cessation and other behavioural counselling in their normal history taking. Conclusions: It appears feasible for medical students to be smoking cessation interventionists during their training, although their fidelity to the intervention requires further investigation. A definitive trial is needed to determine if medical students are effective cessation counsellors and if student-led intervention could be tailored for other health behaviours.</t>
  </si>
  <si>
    <t>J2: BMC Med. Educ.; RCSI Senior Management Team 0 249 29233157; ID: 4003</t>
  </si>
  <si>
    <t>Kumar, Anusha; Horan, David] Royal Coll Surgeons Ireland, Dept Med, Dublin 2, Ireland. Ward, Kenneth D.] Univ Memphis, Sch Publ Hlth, Div Social &amp; Behav Sci, Memphis, TN 38152 USA. Mellon, Lisa; Hickey, Anne; MacSweeney, Shane; Doyle, Frank] Royal Coll Surgeons Ireland, Div Populat Hlth Sci Psychol, Dublin 2, Ireland. Gunning, Miriam; Stynes, Sinead] Hlth Serv Execut, Dept Hlth Promot &amp; Improvement, Hlth &amp; Wellbeing Div, Dublin 15, Ireland. Conroy, Ronan] Royal Coll Surgeons Ireland, Div Populat Hlth Sci Epidemiol &amp; Publ Hlth Med, Dublin 2, Ireland. Cormican, Liam] Connolly Hosp, Dept Resp Med, Dublin 15, Ireland. Sreenan, Seamus] Royal Coll Surgeons Ireland, Grad Entry Med, Dublin 2, Ireland. Doyle, F (reprint author), Royal Coll Surgeons Ireland, Div Populat Hlth Sci Psychol, Dublin 2, Ireland. fdoyle4@rcsi.ie</t>
  </si>
  <si>
    <t>WOS:000418175500001</t>
  </si>
  <si>
    <t>10.1186/s12909-017-1069-y</t>
  </si>
  <si>
    <t>Kumar,N.;Sanmogom,P.;Chandrasega,M.;Wah,T. K.;Yi,L. W.;Aithal,P. A.;Ravindra,S. S.</t>
  </si>
  <si>
    <t>What Affects Short-Term Memory? Questionnaire and Experiment Based Cross-Sectional Study On Medical Under Graduate Students</t>
  </si>
  <si>
    <t>short term memory;academic;diet;cognitive</t>
  </si>
  <si>
    <t>Short-term memory (STM) is the part of memory process in which the memory traces from the items and sensory information initially enter the memory state temporarily. The short term memory can be affected by our lifestyle like alcohol consumption, diet, sleep, etc. This study designed to investigate the effect of dietary preferences, eating habits, sleep and exercise attitude of a student with their STM. The study involved 190 medical undergraduate students age ranging between 17-19 years. The study comprised of a questionnaire with the close-ended question about lifestyle details of students, followed by an experiment in which images of familiar objects, words, and numerical digits were projected for specified time. Students recall capacity were tested that implies their STM. Result of the study revealed higher STM for the students who take Omega 3 diet supplements, regular exercises, and adequate sleep. Students who involve in substance abuse, consume more caffeinated drinks were shown to have poor STM'. It can be concluded that lifestyle of the individual is often associated with their STM. Refrain from the attitudes that affect he STM can avoid cognitive deficits and poor academic'performance of the students.</t>
  </si>
  <si>
    <t>J2: Res. J. Pharm. Biol. Chem. Sci.; 0; ID: 4043</t>
  </si>
  <si>
    <t>Kumar, Naveen; Aithal, Ashwini P.; Ravindra, Swamy S.] Manipal Univ, Dept Anat, Melaka Manipal Med Coll, Manipal Campus, Manipal, Karnataka, India. Sanmogom, Pavithiran; Chandrasega, Monishaa; Wah, Tee Kim; Yi, Lim Wee] Manipal Univ, Melaka Manipal Med Coll, Manipal, Karnataka, India. Aithal, PA (reprint author), Manipal Univ, Dept Anat, Melaka Manipal Med Coll, Manipal Campus, Manipal, Karnataka, India.</t>
  </si>
  <si>
    <t>WOS:000410795300155</t>
  </si>
  <si>
    <t>Kumar,V.;Sinha,V.;Bharti,A.;Mishra,A. K.;Anwar,Z.;Ansari,M. H.</t>
  </si>
  <si>
    <t>Internet Addiction among Medical Students: Extent &amp; Effect</t>
  </si>
  <si>
    <t>S38</t>
  </si>
  <si>
    <t>Internet;Internet Addiction;Medical Students</t>
  </si>
  <si>
    <t>J2: Indian J. Psychiatry; 0 1; ID: 4111</t>
  </si>
  <si>
    <t>Kumar, Vipin; Sinha, Vishal; Bharti, Abhishek; Mishra, Ashwini Kumar; Anwar, Zeeshan; Ansari, Mahboobul Hasan] SN Med Coll &amp; Hosp, Jaipur, Rajasthan, India. vipinnarwal@gmail.com; drvisnh2000@yahoo.com; abhishek_bharti55@rediffmail.com; drashwani2010@gmail.com; zeeshan.anwar.mbbs@gmail.com; mha.snmc@gmail.com</t>
  </si>
  <si>
    <t>WOS:000366494300127</t>
  </si>
  <si>
    <t>Kumari,M. M.;Babu,S.</t>
  </si>
  <si>
    <t>A Study on Prevalence of Internet Addiction in Medical Students and its Relationship with Personality Traits</t>
  </si>
  <si>
    <t>Personality traits;internet addiction;medical students</t>
  </si>
  <si>
    <t>J2: Indian J. Psychiatry; 0 1; ID: 3997</t>
  </si>
  <si>
    <t>Kumari, Medikonda Meena; Babu, Somasundara] Asram Med Coll, Eluru, Andhra Pradesh, India. meenamedikonda@gmail.com</t>
  </si>
  <si>
    <t>WOS:000424505100486</t>
  </si>
  <si>
    <t>LaPaglia,D.;Muvvala,S.</t>
  </si>
  <si>
    <t>Development, Implementation and Evaluation of a Leadership Training Course in an Addiction Psychiatry Fellowship Program</t>
  </si>
  <si>
    <t>J2: Am. J. Addict.; 0; ID: 4019</t>
  </si>
  <si>
    <t>LaPaglia, Donna; Muvvala, Srinivas] Yale Univ, New Haven, CT 06520 USA.</t>
  </si>
  <si>
    <t>WOS:000400574200085</t>
  </si>
  <si>
    <t>Larimer,M. E.;Anderson,B. K.;Baer,J. S.;Marlatt,G. A.</t>
  </si>
  <si>
    <t>An individual in context: Predictors of alcohol use and drinking problems among Greek and residence hall students</t>
  </si>
  <si>
    <t>COLLEGE DRINKING;ABUSE PREVENTION;SUBSTANCE USE;EXPECTANCIES;FREQUENCY;QUANTITY;NORMS;CONSUMPTION;FOLLOW;INTERVENTION</t>
  </si>
  <si>
    <t>Fraternity, sorority, and residence hall residents were compared on drinking rates and patterns drinking-related problems, family history of alcohol problems, alcohol outcome expectancies, and high school drinking patterns. Results indicated residence in a fraternity was related to move frequent alcohol consumption and greater negative consequences even after accounting for family history, expectancies, and high school drinking rates. Family history of alcohol problems was only related to negative consequences for men. Only high school drinking rates were related to amount of alcohol consumed per occasion, for both men and women. Fraternity residence was found to be related to more negative consequences even after accounting for current drinking habits. However sorority residence was found to moderate the relationship between current drinking and negative consequences. Both high and low drinkers in sororities indicated similar rates of alcohol-related negative consequences, whereas high frequency female drinkers in the residence hall sample reported significantly more problems.</t>
  </si>
  <si>
    <t>J2: J. Subst. Abuse; NIAAA NIH HHS 5 R37 AA05591] 53 10756514; ID: 4390</t>
  </si>
  <si>
    <t>Univ Washington, Dept Psychol, Seattle, WA 98195 USA. Larimer, ME (reprint author), Univ Washington, Dept Psychol, Box 351525, Seattle, WA 98195 USA.</t>
  </si>
  <si>
    <t>WOS:000086170300006</t>
  </si>
  <si>
    <t>10.1016/S0899-3289(99)00020-6</t>
  </si>
  <si>
    <t>Latorre,J.;Lopez-Torres,J.;Sanchez-Nunez,T.;Serrano,J. P.;Montanes,J.;Escobar,F.</t>
  </si>
  <si>
    <t>Primary care doctors' perception of treatment demand and need for training in drug addiction issues</t>
  </si>
  <si>
    <t>Primary Care &amp; Community Psychiatry</t>
  </si>
  <si>
    <t>attitudes;demand perception;drugs addiction;training need;ALCOHOL-USE DISORDERS;PRIMARY MEDICAL-CARE;IDENTIFICATION TEST AUDIT;SUBSTANCE-ABUSE;PHYSICIAN;EDUCATION;HEALTH;PERSPECTIVES;RELIABILITY;EMERGENCY</t>
  </si>
  <si>
    <t>Aim: To learn the opinion of primary care physicians (PCPs) on healthcare provision for the drug addict population and to determine their knowledge and needs as regards to continuing training and their attitudes towards drug addiction. Methods: We conducted a cross-sectional survey of 301 PCPs in Castilla-La Mancha, Spain using a questionnaire designed to elicit physician's opinions about drug addiction. Results: The response rate was 85.0% (256 cases). 84.2% of the doctors considered that 10% of patient visits to primary care centres were related to drug addiction. The doctors frequently experienced difficulty in: the diagnosis and treatment of organic diseases associated with addiction (18.4%), the assessment of the situation and level of dependence (36.7%), support to treatment of some aspects of drug addiction (51.3%) and, above all, the treatment of these addictions (62.9%). Of all respondents, 53.8% reported they had received some form of postgraduate training in drug addiction issues. Only 28.5% considered they had received sufficient information on specialised. drug addiction services. Conclusions: As regards to PCPs' attitudes to drug addiction, we observed a positive attitude regarding the needs of those who abuse drugs, and the development of intervention programmes. PCPs believe that addicts deserve treatment, that there should be more treatment programmes and that primary healthcare centres should establish links with specialised services.</t>
  </si>
  <si>
    <t>J2: Prim. Care Community Psychiatry; 1; ID: 4320</t>
  </si>
  <si>
    <t>1746-8841</t>
  </si>
  <si>
    <t>Univ Castilla La Mancha, Dept Psychol, Fac Med, Albacete 02006, Spain. Univ Castilla La Mancha, Dept Med Sci, E-13071 Ciudad Real, Spain. CRIB, Castilla La Mancha, Spain. Castilla La Mancha Hlth Serv, Castilla La Mancha, Spain. Univ Castilla La Mancha, Sch Med, E-13071 Ciudad Real, Spain. Latorre, J (reprint author), Univ Castilla La Mancha, Dept Psychol, Fac Med, C Almansa 14, Albacete 02006, Spain. Jose.Latorre@uclm.es</t>
  </si>
  <si>
    <t>WOS:000250870200005</t>
  </si>
  <si>
    <t>10.1080/09513590701592736</t>
  </si>
  <si>
    <t>Lavrova,I. G.;Malaya,E. V.;Benevolensky,A. V.;Shatalova,A. P.</t>
  </si>
  <si>
    <t>Problem of Smoking Rates among Medical-Students</t>
  </si>
  <si>
    <t>Sovetskaya Meditsina</t>
  </si>
  <si>
    <t>0 725677; ID: 4506</t>
  </si>
  <si>
    <t>0038-5077</t>
  </si>
  <si>
    <t>LAVROVA, IG (reprint author), IM SECHENOV MED INST,DEPT SOCIAL HYG &amp; PUBL HLTH ORG,MOSCOW,USSR.</t>
  </si>
  <si>
    <t>WOS:A1978GA18700037</t>
  </si>
  <si>
    <t>Lemon,R.</t>
  </si>
  <si>
    <t>Scholarly Addiction: Doctor Faustus and the Drama of Devotion</t>
  </si>
  <si>
    <t>Renaissance Quarterly</t>
  </si>
  <si>
    <t>Fal</t>
  </si>
  <si>
    <t>'DOCTOR-FAUSTUS'</t>
  </si>
  <si>
    <t>When The English Faust Book describes Faustus as addicted to study and Marlowe's Doctor Faustus depicts necromantic books as "ravishing," these texts draw on classical and Renaissance notions of laudable addiction. Following its Latin origin in contract law, addiction appears in sixteenth-century writings as service, dedication, and devotion. Tracing invocations of addiction from Cicero to Perkins, this essay explores the influence of Calvin and Calvinist-minded Cambridge divines through Doctor Faustus's preoccupation with the challenge of addicted commitment. If Calvinists praise committed devotion, Marlowe challenges such views by staging the terror as well as the wonder of addictive release.</t>
  </si>
  <si>
    <t>J2: Renaiss. Q.; 1; ID: 4046</t>
  </si>
  <si>
    <t>0034-4338</t>
  </si>
  <si>
    <t>Lemon, Rebecca] Univ Southern Calif, Los Angeles, CA 90089 USA. Lemon, R (reprint author), Univ Southern Calif, Los Angeles, CA 90089 USA.</t>
  </si>
  <si>
    <t>WOS:000384056000002</t>
  </si>
  <si>
    <t>Lev-Ran,S.;Steinmetz,Y.;Weiser,M.</t>
  </si>
  <si>
    <t>Attitudes towards substance use and substance use disorders among medical students in Israel</t>
  </si>
  <si>
    <t>Attitudes;medical students;addiction;alcohol;drug;Israel;ALCOHOL DEPENDENCE;GLOBAL BURDEN;DRUG-USE;PHYSICIANS KNOWLEDGE;HEALTH-PROFESSIONALS;NATIONAL-SURVEY;STIGMA;EDUCATION;SMOKING;MISUSE</t>
  </si>
  <si>
    <t>Background: Negative attitudes towards substance use and Substance Use Disorders (SUDs) are among the commonly cited barriers to screening and treating these disorders by physicians. These negative attitudes have also been reported in medical students. The aim of this study was to examine attitudes of medical students in Israel towards nicotine, alcohol and drug use and SUDs based on their stage of training and personal experience. Methods: A sample of 329 medical students responded to the Attitudes Towards Substance Use questionnaire, which includes 50 questions regarding substance use and SUDs, as well as specific questions focusing on nicotine, alcohol, cannabis and heroin use. Results: Students at the clinical phase of their training had higher rates of moralism and lower rates of self-reported competency in treating SUDs compared to those in the pre-clinical phase of training. Personal experience with nicotine or alcohol use, as well as having a friend who suffers from addiction, were associated with lower rates of moralism. Across substances, the lowest ratings of treatment efficacy and of self-reported competence, were directed towards alcohol dependence. Conclusions: Medical education programs should include training in addiction medicine throughout all phases of medical school. This may have a significant role in future physicians' attitudes towards individuals with substance use and SUDs, and eventually in the treatment these patients receive.</t>
  </si>
  <si>
    <t>J2: Drug-Educ. Prev. Policy; 0; ID: 4040</t>
  </si>
  <si>
    <t>Lev-Ran, Shaul; Steinmetz, Yoed] Sheba Med Ctr, Addict Med Serv, Dept Psychiat, IL-52621 Tel Hashomer, Israel. Lev-Ran, Shaul; Weiser, Mark] Tel Aviv Univ, Sackler Fac Med, Tel Aviv, Israel. Weiser, Mark] Sheba Med Ctr, Dept Psychiat, Tel Hashomer, Israel. Lev-Ran, S (reprint author), Sheba Med Ctr, Addict Med Serv, Dept Psychiat, IL-52621 Tel Hashomer, Israel.; Lev-Ran, S (reprint author), Tel Aviv Univ, Sackler Fac Med, Tel Aviv, Israel. shauli.levran@gmail.com</t>
  </si>
  <si>
    <t>WOS:000388753700006</t>
  </si>
  <si>
    <t>10.3109/09687637.2016.1167167</t>
  </si>
  <si>
    <t>Medical-Education for Alcohol and Other Drug-Abuse in the United-States</t>
  </si>
  <si>
    <t>J2: Can. Med. Assoc. J.; NATIONAL CONF ON PREVENTING ALCOHOL PROBLEMS : THE CHALLENGE FOR MEDICAL EDUCATION OCT 16-17, 1989 NIAGARA ON THE LAKE, CANADA LABATT BREWERIES CANADA 9 2224678; ID: 4452</t>
  </si>
  <si>
    <t>LEWIS, DC (reprint author), BROWN UNIV,CTR ALCOHOL &amp; ADDICT STUDIES,PROVIDENCE,RI 02912, USA.</t>
  </si>
  <si>
    <t>WOS:A1990EH49700028</t>
  </si>
  <si>
    <t>Preemployment Drug-Testing of Housestaff Physicians at a Large Urban Hospital</t>
  </si>
  <si>
    <t>In an effort to address drug use and abuse among physicians beginning their graduate medical education, The Presbyterian Hospital at Columbia-Presbyterian Medical Center began a pre-employment drug testing program for housestaff physicians in 1987. Between 1987 and 1990, each of the 791 housestaff physicians beginning training at the hospital received a pre-employment urine toxicology examination. Despite the limitations of pre-employment drug testing, the program did identify two physicians who tested positive for illegal drugs. Based upon their test results and individual clinical evaluations, both physicians were denied a clinical appointment at the hospital. Their clinical training was temporarily interrupted while they received indicated treatment. The author suggests the main value of the program is to provide a focus for addressing issues related to substance abuse during graduate medical education.</t>
  </si>
  <si>
    <t>J2: Acad. Med.; 6 1910406; ID: 4442</t>
  </si>
  <si>
    <t>Columbia univ barnard coll,new york,ny 10027. LEWY, RM (reprint author), COLUMBIA PRESBYTERIAN MED CTR,PRESBYTERIAN MED CTR,622 W 168TH ST,NEW YORK,NY 10032, USA.</t>
  </si>
  <si>
    <t>WOS:A1991GK62100019</t>
  </si>
  <si>
    <t>10.1097/00001888-199110000-00018</t>
  </si>
  <si>
    <t>Li,Y. J.;Palma,M. A.</t>
  </si>
  <si>
    <t>Investigating the effects of medical marijuana laws on educational attainment</t>
  </si>
  <si>
    <t>Economics Letters</t>
  </si>
  <si>
    <t>High school graduation;MML adoption;Spillover effects;CANNABIS USE;ADOLESCENT;ALCOHOL</t>
  </si>
  <si>
    <t>From 1996 to 2013, a total of 19 states and Washington, D.C. adopted medical marijuana laws (MML). Early adolescent marijuana use correlates with several problems later in life, including job-related skill acquisition, illegal substance abuse, and educational attainment. This paper examines the negative externalities of MML on educational attainment by applying a difference-in-differences research design. The results show that MML decrease high school graduation rates by 0.36 percentage points, indicating that nearly 13,000 students will not graduate as a result of the MML implementation. (C) 2018 Elsevier B.V. All rights reserved.</t>
  </si>
  <si>
    <t>J2: Econ. Lett.; 0; ID: 3990</t>
  </si>
  <si>
    <t>0165-1765</t>
  </si>
  <si>
    <t>Li, Yajuan; Palma, Marco A.] Texas A&amp;M Univ, Dept Agr Econ, 2124 TAMU, College Stn, TX 77843 USA. Li, YJ (reprint author), Texas A&amp;M Univ, Dept Agr Econ, 2124 TAMU, College Stn, TX 77843 USA. liyajuan@tamu.edu; mapalma@tamu.edu</t>
  </si>
  <si>
    <t>WOS:000426024600011</t>
  </si>
  <si>
    <t>10.1016/j.econlet.2017.12.035</t>
  </si>
  <si>
    <t>Likic,R.;Vitezic,D.;Maxwell,S.;Polasek,O.;Francetic,I.</t>
  </si>
  <si>
    <t>The effects of problem-based learning integration in a course on rational drug use: a comparative study between two Croatian medical schools</t>
  </si>
  <si>
    <t>European journal of clinical pharmacology</t>
  </si>
  <si>
    <t>Eur.J.Clin.Pharmacol.</t>
  </si>
  <si>
    <t>Clinical pharmacology;Problem-based learning;Teaching;Rational drug;use;PHARMACOLOGY;CURRICULA;STUDENTS</t>
  </si>
  <si>
    <t>Young doctors write prescriptions regularly from their first day of practice. We investigated final-semester students' perceptions of their training in relation to prescribing in two Croatian medical schools with different clinical pharmacology (CPT) teaching styles (Zagreb: problem-based and Rijeka: lecture-based course). A total of 315 students (220 in Zagreb, 95 in Rijeka) underwent a 4-week-long course in CPT in the academic year 2006/2007. We compared the impact of different educational methods on student performance using an MCQ assessment. After the training, students completed a paper questionnaire on prescribing skills and knowledge of pharmacotherapy. Students in Rijeka were significantly more satisfied with their traditional lecture-based course. Only 56% of Zagreb students and 54% of students from Rijeka felt confident about their prescription-writing skills. Only 8% of Zagreb and none of Rijeka students had written more than six prescriptions during their entire medical curriculum. There was no difference in the participants' levels of factual knowledge of rational pharmacotherapy. The style of learning about medicines did not affect students' factual knowledge. Only half of the student cohort felt confident about their ability to prescribe medicines, and few had practiced this skill during their medical training.</t>
  </si>
  <si>
    <t>J2: Eur. J. Clin. Pharmacol.; 8 19083211; ID: 4266</t>
  </si>
  <si>
    <t>0031-6970</t>
  </si>
  <si>
    <t>Likic, Robert; Francetic, Igor] Univ Zagreb, Univ Hosp Rebro, Clin Pharmacol Unit, Dept Internal Med,Sch Med, Zagreb 10000, Croatia. Vitezic, Dinko] Univ Rijeka, Sch Med, Dept Pharmacol, Rijeka 51000, Croatia. Maxwell, Simon] Univ Edinburgh, Queens Med Res Inst, Royal Infirm Edinburgh, Clin Pharmacol Unit,Coll Med, Edinburgh EH16 4TJ, Midlothian, Scotland. Polasek, Ozren] Univ Zagreb, Sch Med, Andrija Stampar Sch Publ Hlth, Dept Med Stat Epidemiol &amp; Med Informat, Zagreb 10000, Croatia. Likic, R (reprint author), Univ Zagreb, Univ Hosp Rebro, Clin Pharmacol Unit, Dept Internal Med,Sch Med, Kispaticeva 12, Zagreb 10000, Croatia. RobertLikic@inet.hr</t>
  </si>
  <si>
    <t>WOS:000263487300003</t>
  </si>
  <si>
    <t>10.1007/s00228-008-0592-5</t>
  </si>
  <si>
    <t>Lloyd-Jones,M.;Pastor,A.;Soh,T.</t>
  </si>
  <si>
    <t>The Addiction Medicine Training Program in Australasia-8 Years Experience: Progress and Outcomes</t>
  </si>
  <si>
    <t>J2: Drug Alcohol Rev.; 0 1 SI; ID: 4212</t>
  </si>
  <si>
    <t>Lloyd-Jones, Martyn; Pastor, Adam] St Vincents Hosp, Dept Addict Med, Melbourne, Vic, Australia. Soh, Tracy] Eastern Hlth, Turning Point Alcohol &amp; Drug Ctr, Melbourne, Vic, Australia. martyn.lloydjones@svhm.org.au</t>
  </si>
  <si>
    <t>WOS:000297019700171</t>
  </si>
  <si>
    <t>Maddux,J. F.;Hoppe,S. K.;Costello,R. M.</t>
  </si>
  <si>
    <t>Psychoactive Substance Use among Medical-Students</t>
  </si>
  <si>
    <t>J2: Am. J. Psychiat.; 59 3946652; ID: 4482</t>
  </si>
  <si>
    <t>MADDUX, JF (reprint author), UNIV TEXAS,HLTH SCI CTR,DEPT PSYCHIAT,7703 FLOYD CURL DR,SAN ANTONIO,TX 78284, USA.</t>
  </si>
  <si>
    <t>WOS:A1986AYS5000010</t>
  </si>
  <si>
    <t>Makanjuola,A. B.;Daramola,T. O.;Obembe,A. O.</t>
  </si>
  <si>
    <t>Psychoactive substance use among medical students in a Nigerian university</t>
  </si>
  <si>
    <t>World Psychiatry</t>
  </si>
  <si>
    <t>psychoactive substance use;medical students;Nigeria;DRUG-USE;MARIJUANA;ALCOHOL;ABUSE;LAGOS</t>
  </si>
  <si>
    <t>The study was aimed at determining the prevalence, pattern and factors associated with psychoactive substance use among medical students in the University of Ilorin, Nigeria. All consenting medical students were requested to compile a 22-item modified, pilot-tested semi-structured self-report questionnaire based on the World Health Organization's guidelines for student substance use survey.. It was found that the most currently used substances were mild stimulants (33.3%), alcohol (13.6%), sedatives (7.3%) and tobacco (3.2%). Except for tobacco, the use of these substances seemed to be only instrumental. Substance use was directly associated with male gender, living alone, self-reported study difficulty, being a clinical student, and being aged 25 years or more. There was an inverse relationship of substance use with religiosity and good mental health.</t>
  </si>
  <si>
    <t>J2: World Psychiatry; 7; ID: 4314</t>
  </si>
  <si>
    <t>1723-8617</t>
  </si>
  <si>
    <t>Univ Teaching Hosp, Dept Behav Sci, Ilorin, Nigeria. Usman Dan Fodiyo Hosp, Dept Med, Sokoto, Nigeria. Makanjuola, AB (reprint author), Univ Teaching Hosp, Dept Behav Sci, POB 617, Ilorin, Nigeria.</t>
  </si>
  <si>
    <t>WOS:000247422900016</t>
  </si>
  <si>
    <t>Mancevska,S.;Bozinovska,L.;Tecce,J.;Pluncevik-Ghgoroska,J.;Sivevska-Smilevska,E.</t>
  </si>
  <si>
    <t>Depression, anxiety and substance use in medical students in the Republic of Macedonia</t>
  </si>
  <si>
    <t>Bratislava Medical Journal-Bratislavske Lekarske Listy</t>
  </si>
  <si>
    <t>depression;anxiety;substance use;medical students;TURKEY;SCHOOL;SYMPTOMS;SMOKING;MOOD</t>
  </si>
  <si>
    <t>Objectives: To determine the prevalence of depressive and high trait anxiety symptoms and substance use, including alcohol and nicotine, in first-year and second-year medical students in Skopje University Medical School, Republic of Macedonia. Background: It is important to investigate medical students because they are under significant pressure during early years of medical education, a period during which the attitudes and behaviors of physicians develop. Methods: A cross-sectional survey in classroom settings, using an anonymous self-administered questionnaire, was performed in 354 participants (181 first-year, 118 females and 63 males and 173 second-year medical students, 116 females and 57 males) aged 18 to 23 years. The Beck Depression Inventory (BDI) and Taylor Manifest Anxiety Scale (TMAS) were used to determine depressive and high trait anxiety symptoms. BDI scores 17 or higher were categorized as depressive and TMAS scores 16 or higher as high anxiety symptoms. A Student Nest was used for continuous data analysis. Results: Out of all participants 10.4% had BDI score 17 or higher and 65.5% had TMAS score 16 or higher. Alcohol was the most frequently used substance in both groups. Smoking prevalence was 25%. Benzodiazepines (diazepam, alprazolam) use was 13.1%. Illicit drug use was rare (1.1% in freshmen and 3.6% in juniors) in both groups. Conclusions: High frequency of manifest high anxiety symptoms and depressive symptoms and benzodiazepine use among Macedonian junior medical students should be taken seriously and a student counseling service offering mental health assistance is necessary (Tab. 3, Ref. 23). Full Text (Free, PDF) www.bmj.sk.</t>
  </si>
  <si>
    <t>J2: Bratisl. Med. J.; 26 19348380; ID: 4306</t>
  </si>
  <si>
    <t>Mancevska, S.; Bozinovska, L.; Pluncevik-Ghgoroska, J.; Sivevska-Smilevska, E.] Univ Ss Cyril &amp; Methodius, Dept Physiol, Fac Med, Skopje 1000, Macedonia. Tecce, J.] Boston Coll Arts &amp; Sci, Dept Psychol, Boston, MA USA. Mancevska, S (reprint author), Univ Ss Cyril &amp; Methodius, Dept Physiol, Fac Med, 50 Divizija Br 6, Skopje 1000, Macedonia. smancevska@medf.ukim.edu.mk</t>
  </si>
  <si>
    <t>WOS:000263813000007</t>
  </si>
  <si>
    <t>Mancevska,S.;Pluncevic,J.;Todorovska,L.;Dejanova,B.;Tecce,J.</t>
  </si>
  <si>
    <t>Substance Use and Perceived Hassles among Junior Medical Students with High Anxiety Levels in the Republic of Macedonia</t>
  </si>
  <si>
    <t>DEPRESSION</t>
  </si>
  <si>
    <t>J2: Iran J. Public Health; 1 26060708; ID: 4124</t>
  </si>
  <si>
    <t>Mancevska, Sanja] Univ Ss Cyril &amp; Methodius, Fac Med, Dept Physiol, Skopje, Macedonia. Boston Coll, Dept Psychol, Chestnut Hill, MA 02167 USA. Mancevska, S (reprint author), Univ Ss Cyril &amp; Methodius, Fac Med, Dept Physiol, Skopje, Macedonia. sanjamancevska@gmail.com</t>
  </si>
  <si>
    <t>WOS:000345526700016</t>
  </si>
  <si>
    <t>Maragh-Bass,A.;Fields,J. C.;McWilliams,J.;Knowlton,A. R.</t>
  </si>
  <si>
    <t>Challenges and Opportunities to Engaging Emergency Medical Service Providers in Substance Use Research: A Qualitative Study</t>
  </si>
  <si>
    <t>Prehospital and Disaster Medicine</t>
  </si>
  <si>
    <t>Prehosp.Disaster Med.</t>
  </si>
  <si>
    <t>Emergency Medical Services;health care utilization;minority health;socio-economic status;substance use;urban health;UNITED-STATES;BRIEF INTERVENTIONS;DEPARTMENT VISITS;AMBULANCE USE;ED;USERS;CARE;IMPLEMENTATION;URBAN;BARRIERS;PERCEPTIONS</t>
  </si>
  <si>
    <t>Introduction Research suggests Emergency Medical Services (EMS) over-use in urban cities is partly due to substance users with limited access to medical/social services. Recent efforts to deliver brief, motivational messages to encourage these individuals to enter treatment have not considered EMS providers. Problem Little research has been done with EMS providers who serve substance-using patients. The EMS providers were interviewed about participating in a pilot program where they would be trained to screen their patients for substance abuse and encourage them to enter drug treatment. Methods Qualitative interviews were conducted with Baltimore City Fire Department (BCFD; Baltimore, Maryland USA) EMS providers (N=22). Topics included EMS misuse, work demands, and views on participating in the pilot program. Interviews were transcribed and analyzed using grounded theory and constant-comparison. Results Participants were mostly white (68.1%); male (68.2%); with Advanced Life Skills training (90.9%). Mean age was 37.5 years. Providers described the frequent flyer problem (eg, EMS over-use by a few repeat non-emergent cases). Providers expressed disappointment with local health delivery due to resource limitations and being excluded from decision making within their administration, leading to reduced team morale and burnout. Nonetheless, providers acknowledged they are well-positioned to intervene with substance-using patients because they are in direct contact and have built rapport with them. They noted patients might be most receptive to motivational messages immediately after overdose revival, which several called hitting their bottom. Several stated that involvement with the proposed study would be facilitated by direct incorporation into EMS providers' current workflow. Many recommended that research team members accompany EMS providers while on-call to observe their day-to-day work. Barriers identified by the providers included time constraints to intervene, limited knowledge of substance abuse treatment modalities, and fearing negative repercussions from supervisors and/or patients. Despite reservations, several EMS providers expressed inclination to deliver brief motivational messages to encourage substance-using patients to consider treatment, given adequate training and skill-building. Conclusions Emergency Medical Service providers may have many demands, including difficult case time/resource limitations. Even so, participants recognized their unique position as first responders to deliver motivational, harm-reduction messages to substance-using patients during transport. With incentivized training, implementing this program could be life- and cost-saving, improving emergency and behavioral health services. Findings will inform future efforts to connect substance users with drug treatment, potentially reducing EMS over-use in Baltimore.</t>
  </si>
  <si>
    <t>J2: Prehospital Disaster Med.; National Institutes of Health (Bethesda, Maryland USA) R01 DA019413, R34 DA034314]; Johns Hopkins Center for AIDS Research (Baltimore, Maryland USA) 1P30AI094189] 1 28122657; ID: 4020</t>
  </si>
  <si>
    <t>1049-023X</t>
  </si>
  <si>
    <t>Maragh-Bass, Allysha C.] Brigham &amp; Womens Hosp, Ctr Surg &amp; Publ Hlth, Harvard Sch Med &amp; Publ Hlth, Boston, MA USA. Fields, Julie C.; McWilliams, Junette; Knowlton, Amy R.] Johns Hopkins Bloomberg Sch Publ Hlth, Dept Hlth Behav &amp; Soc, Baltimore, MD USA. Maragh-Bass, AC (reprint author), Johns Hopkins Bloomberg Sch Publ Hlth, Lighthouse Studies Peer Point, Dept Hlth Behav Soc, 2213 McElderry St,2nd Floor, Baltimore, MD 21205 USA. arobin52@jhu.edu</t>
  </si>
  <si>
    <t>WOS:000398228600005</t>
  </si>
  <si>
    <t>10.1017/S1049023X16001424</t>
  </si>
  <si>
    <t>Maremmani,I.;Pacini,M.;Pani,P. P.</t>
  </si>
  <si>
    <t>Basics on Addiction: a training package for medical practitioners or psychiatrists who treat opioid dependence</t>
  </si>
  <si>
    <t>Tolerance;physical dependence;addiction;clinical assessment;maintenance pharmacotherapies;methadone;buprenorphine;suboxone;METHADONE-MAINTENANCE PATIENTS;CLINICAL-TRIALS NETWORK;BUPRENORPHINE-NALOXONE;HEROIN DEPENDENCE;PARTIAL AGONIST;DRUG-ADDICTION;PHARMACOLOGY;BRAIN;ABUSE;RECEPTORS</t>
  </si>
  <si>
    <t>Opioid dependence is a chronic, relapsing brain disease that causes major medical, social and economic problems to both the individual and society. This seminar is intended to be a useful training resource to aid healthcare professionals - in particular, physicians who prescribe opioid pharmacotherapies in assessing and treating opioid-dependent individuals. Herein we describe the neurobiological basis of the condition; recommended approaches to patient assessment and monitoring; and the main principles and strategies underlying medically assisted approaches to treatment, including the pharmacology and clinical application of methadone, buprenorphine and buprenorphine naloxone.</t>
  </si>
  <si>
    <t>J2: Heroin Addict. Relat. Clin. Probl.; 17; ID: 4219</t>
  </si>
  <si>
    <t>Maremmani, Icro; Basics Addiction Grp] Univ Pisa, Santa Chiara Univ Hosp, Dept Psychiat, Vincent P Dole Dual Diag Unit,NPB, I-56100 Pisa, Italy. Pacini, Matteo] G de Lisio Inst Behav Sci, Pisa, Italy. Pani, Pier Paolo] Hlth Dist 8 ASL 8, Social Hlth Div, Cagliari, Italy. Maremmani, I (reprint author), Univ Pisa, Santa Chiara Univ Hosp, Dept Psychiat, Vincent P Dole Dual Diag Unit,NPB, Via Roma 67, I-56100 Pisa, Italy. maremman@med.unipi.it</t>
  </si>
  <si>
    <t>WOS:000293769900001</t>
  </si>
  <si>
    <t>Masmoudi,J.;Boudabbous,J.;Feki,I.;Masmoudi,R.;Baati,I.;Jaoua,A.</t>
  </si>
  <si>
    <t>Internet Addiction among Medicine Student's in Tunisia</t>
  </si>
  <si>
    <t>J2: Eur. Psychiat.; 0 1; ID: 4143</t>
  </si>
  <si>
    <t>Masmoudi, J.; Boudabbous, J.; Feki, I.; Masmoudi, R.; Baati, I.; Jaoua, A.] CHU HEDI CHAKER SFAX, Sfax, Tunisia.</t>
  </si>
  <si>
    <t>WOS:000347280700347</t>
  </si>
  <si>
    <t>McAuliffe,W. E.;Rohman,M.;Breer,P.;Wyshak,G.;Santangelo,S.;Magnuson,E.</t>
  </si>
  <si>
    <t>Alcohol-Use and Abuse in Random Samples of Physicians and Medical-Students</t>
  </si>
  <si>
    <t>SUBSTANCE USE;DRINKING PATTERNS;DOCTORS;CONSUMPTION;PREVALENCE;BEHAVIORS;ATTITUDES;PROFILE;LAWYERS;STRESS</t>
  </si>
  <si>
    <t>Background. This study sought to resolve conflicting views about whether physicians are especially prone to alcohol abuse. Methods. Using an anonymous, mailed questionnaire on substance use, we surveyed 500 physicians, 510 pharmacists, and 974 of their students. The physicians and pharmacists were selected randomly from the state society's membership lists, and students selected were from local school lists. Follow-up surveys were sent to nonresponders at two-week intervals. Results. The physicians and medical students did not drink especially heavily and were no more vulnerable to alcoholism than were their counterparts in pharmacy and other professions. Physicians differed from pharmacists in their style of drinking (greater frequency, smaller quantity), but not in total amount of alcohol consumed. Drinking habits among physicians were not associated with medical specialty or type of practice, but were positively related to gender (males drank more than females) and to age (older doctors were more apt to qualify as heavy drinkers than were younger doctors). Conclusions. Physicians were no more likely to abuse substances nonmedically than were other professionals. Any group in which alcohol use is nearly universal incurs a risk of abuse and impairment that cannot be ignored.</t>
  </si>
  <si>
    <t>J2: Am. J. Public Health; NIDA NIH HHS DAO5271, DAO3372, DAO4418] 71 1990855; ID: 4448</t>
  </si>
  <si>
    <t>Harvard univ,sch publ hlth,dept behav sci,boston,ma 02115. harvard univ,sch med,boston,ma 02115. blue cross &amp; blue shield massachusetts,boston,ma. harvard univ,ctr populat studies,cambridge,ma 02138. harvard univ,sch publ hlth,dept epidemiol,boston,ma 02115. harvard univ,sch publ hlth,dept biostat,boston,ma 02115. MCAULIFFE, WE (reprint author), HARVARD UNIV,CAMBRIDGE HOSP,SCH MED,DEPT PSYCHIAT,1493 CAMBRIDGE ST,CAMBRIDGE,MA 02139, USA.</t>
  </si>
  <si>
    <t>WOS:A1991EY43000008</t>
  </si>
  <si>
    <t>10.2105/AJPH.81.2.177</t>
  </si>
  <si>
    <t>McBeth,B. D.;Ankel,F. K.;Ling,L. J.;McNamara,R. M.;Flottemesch,T. J.;Asplin,B. R.;Mason,E.</t>
  </si>
  <si>
    <t>J2: Ann. Emerg. Med.; Research Forum of the American-College-of-Emergency-Physicians OCT 15-16, 2006 New Orleans, LA Amer Coll Emergency Physicians 0 S; ID: 4323</t>
  </si>
  <si>
    <t>Reg Hosp, St Paul, MN USA. Hennepin Cty Med Ctr, Minneapolis, MN 55415 USA. Temple Univ Hosp &amp; Med Sch, Philadelphia, PA 19140 USA.</t>
  </si>
  <si>
    <t>WOS:000240958400103</t>
  </si>
  <si>
    <t>McCabe,S. E.</t>
  </si>
  <si>
    <t>Screening for drug abuse among medical and nonmedical users of prescription drugs in a probability sample of college students</t>
  </si>
  <si>
    <t>ATTENTION-DEFICIT/HYPERACTIVITY DISORDER;OPIOID ANALGESICS;NATIONAL;TRENDS;PSYCHOTROPIC MEDICATIONS;YOUNG-ADULTS;METHYLPHENIDATE;ADOLESCENTS;STIMULANTS;PREVALENCE;PATTERNS</t>
  </si>
  <si>
    <t>Objectives: To determine the prevalence of medical and nonmedical use of 4 classes of prescription drugs (opioid, stimulant, sleeping, and sedative or anxiety) and to assess probable drug abuse among 4 mutually exclusive groups of medical and nonmedical use of prescription drugs. Design: In 2005, a Web survey was self-administered by a probability sample of 3639 college students (68% response rate). Setting: A large, midwestern 4-year university. Participants: The sample had a mean age of 19.9 years, and respondents were 53.6% female, 67.4% white, 12.1% Asian, 6.0% African American, 4.2% Hispanic, and 10.2% other racial categories. Main Outcome Measures: Medical and nonmedical use of prescription drugs was measured. Probable drug abuse was assessed using a modified version of the Drug Abuse Screening Test, Short Form. Results: A total of 40.1% of respondents reported no lifetime use of at least 1 of 4 classes of prescription drugs, 39.7% reported medical use only, 15.8% reported both medical and nonmedical use, and 4.4% reported nonmedical use only. The odds of a positive screening result for drug abuse were greater among medical and nonmedical users (adjusted odds ratio, 5.5; 95% confidence interval, 3.4-7.3) and nonmedical users only (adjusted odds ratio, 6.5; 95% confidence interval, 4.0-10.6) compared with nonusers. The odds of a positive screening result for drug abuse did not differ between medical users only and nonusers. Conclusions: Nonmedical users of prescription drugs are at heightened risk for drug abuse, whereas medical users without a history of nonmedical use are generally not at increased risk. Drug abuse screening should be routine for college students, especially among individuals with any history of nonmedical use of prescription drugs.</t>
  </si>
  <si>
    <t>J2: Arch. Pediatr. Adolesc. Med.; NIDA NIH HHS R03 DA018239-02, R03 DA019492-01, DA018239, R03 DA018239, R03 DA019492, R03 DA018239-01, DA019492]; NIAAA NIH HHS U18 AA015275] 44 18316659; ID: 4299</t>
  </si>
  <si>
    <t>Univ Michigan, Substance Abuse Res Ctr, Ann Arbor, MI 48105 USA. McCabe, SE (reprint author), Univ Michigan, Substance Abuse Res Ctr, 2025 Traverwood Dr,Ste C, Ann Arbor, MI 48105 USA. plius@umich.edu</t>
  </si>
  <si>
    <t>WOS:000253672100005</t>
  </si>
  <si>
    <t>10.1001/archpediatrics.2007.41</t>
  </si>
  <si>
    <t>McLellan,A. T.</t>
  </si>
  <si>
    <t>Changes at Journal of Substance Abuse Treatment: Rotations on the editorial board and the 2007 JSAT editorial fellowship</t>
  </si>
  <si>
    <t>J2: J. Subst. Abus. Treat.; 0; ID: 4317</t>
  </si>
  <si>
    <t>Treatment Res Inst, Philadelphia, PA USA. McLellan, AT (reprint author), Treatment Res Inst, Philadelphia, PA USA.</t>
  </si>
  <si>
    <t>WOS:000244617800001</t>
  </si>
  <si>
    <t>10.1016/j.jsat.2007.01.003</t>
  </si>
  <si>
    <t>Mercadante,L.</t>
  </si>
  <si>
    <t>Sin and Addiction: Conceptual Enemies or Fellow Travelers?</t>
  </si>
  <si>
    <t>Religions</t>
  </si>
  <si>
    <t>addiction recovery;theology;sin;spirituality;Oxford Group;religion;Protestant;will power;disease;moralism</t>
  </si>
  <si>
    <t>The addiction recovery metaphor of Alcoholics Anonymous (AA) and the sin/salvation metaphor of Protestant heritage have a lot more in common than people realize. On the surface, of course, it seems that the addiction recovery process is quite the opposite of what is assumed to be a religious approach to addiction. Many assume that religion takes a moralistic or judgmental attitude to addiction, focusing on intentional wrong-doing, lack of will power, or sin, i.e., offending God, self and others. Instead, from a theological perspective, sin and addiction are not the opposites generally assumed. The identification of alienation from God, and the focus on spirituality and healing are core issues for both concepts. Understanding this congruence can facilitate a very productive conversation between theologians, religious believers, and recovering persons.1</t>
  </si>
  <si>
    <t>J2: Religions; 0; ID: 4093</t>
  </si>
  <si>
    <t>2077-1444</t>
  </si>
  <si>
    <t>Methodist Theol Sch Ohio, Hist Theol, Delaware, OH 43015 USA. Mercadante, L (reprint author), Methodist Theol Sch Ohio, Hist Theol, 3081 Columbus Pike, Delaware, OH 43015 USA. LMercadante@mtso.edu</t>
  </si>
  <si>
    <t>WOS:000357638800001</t>
  </si>
  <si>
    <t>10.3390/rel6020614</t>
  </si>
  <si>
    <t>Merlo,L. J.;Curran,J. S.;Watson,R.</t>
  </si>
  <si>
    <t>Gender differences in substance use and psychiatric distress among medical students: A comprehensive statewide evaluation</t>
  </si>
  <si>
    <t>Gender differences;medical education;medical student wellness;physician impairment;substance use disorders;PSYCHOLOGICAL DISTRESS;USE DISORDERS;AMERICAN-SURGEONS;SUICIDAL-IDEATION;MENTAL-HEALTH;PHYSICIANS;DEPRESSION;ALCOHOL;BURNOUT;POPULATION</t>
  </si>
  <si>
    <t>Background: Medical student wellness has emerged as an important issue in medical education. The purpose of the present study was to obtain a comprehensive assessment of substance use, psychological distress, and help-seeking among male and female medical students in order to identify targets for continued intervention efforts. Methods: Medical students from all 9 medical schools in the state of Florida were invited via e-mail and/or announcements to complete an anonymous online questionnaire assessing their well-being. Of 5053 matriculating medical students, 1137 (57.1% female) responded to the questionnaire. Descriptive statistics, t tests, and chi-square analyses were computed using SPSS 20. Results: Over 70% of students acknowledged binge drinking, with men reporting higher frequency than women ((2) = 13.90, P = .003), and 22.7% (n = 201) reported marijuana use during medical school, with higher rates ((2) = 9.50, P = .02) among men (27.0%, n = 99) than women (18.9%, n = 93). A significant minority of students reported nonmedical use of prescription stimulants and prescription opioids. In addition, 3.3% of male students (n = 12) compared with 0.6% of female students (n = 3) reported problematic drug use. Further, almost 2/3 of respondents reported decreased psychological health since beginning medical school, with women noting greater reductions ((2) = 12.39, P = .05) and higher levels of stress ((2) = 16.30, P = .003). Over 10% of students (n = 102) endorsed thoughts of committing suicide during medical school, and 70.1% felt they would benefit from mental healthcare (79.3% of women vs. 59.6% of men; (2) = 41.94, P &lt; .001), although only 39.8% accessed help. Conclusions: Despite efforts to address medical student wellness, students continue to report concerning levels of psychological distress, suicidal ideation, and substance use. More work is needed to effectively address medical student mental health and well-being.</t>
  </si>
  <si>
    <t>J2: Subst. Abus.; Professionals Resource Network, Inc. (PRN), an integral arm of the Florida Medical Association; University of Florida 0 28832279; ID: 4028</t>
  </si>
  <si>
    <t>Merlo, Lisa J.] Univ Florida, Dept Psychiat, Coll Med, POB 100183, Gainesville, FL 32610 USA. Curran, John S.] Univ S Florida, Morsani Coll Med, Tampa, FL USA. Watson, Robert] Florida State Univ, Coll Med, Dept Clin Sci, Tallahassee, FL 32306 USA. Watson, Robert] Univ Florida, Coll Med, Gainesville, FL USA. Merlo, LJ (reprint author), Univ Florida, Dept Psychiat, Coll Med, POB 100183, Gainesville, FL 32610 USA. lmerlo@ufl.edu</t>
  </si>
  <si>
    <t>WOS:000415738200007</t>
  </si>
  <si>
    <t>10.1080/08897077.2017.1355871</t>
  </si>
  <si>
    <t>Merlo,L. J.;Ruffalo,M.;Averbuch,R.</t>
  </si>
  <si>
    <t>Changes in Medical Student Beliefs About Addiction Following Participation in an Addiction Medicine Rotation</t>
  </si>
  <si>
    <t>J2: Subst. Abus.; 0; ID: 4198</t>
  </si>
  <si>
    <t>Merlo, Lisa J.; Ruffalo, Melissa; Averbuch, Robert] Univ Florida, Gainesville, FL 32611 USA.</t>
  </si>
  <si>
    <t>WOS:000306464200025</t>
  </si>
  <si>
    <t>Metcalf,M. P.;Tanner,T. B.;Wilhelm,S.</t>
  </si>
  <si>
    <t>Assessing the Impact on Medical Students of an Online Curriculum on Opioid Dependence and Treatment</t>
  </si>
  <si>
    <t>J2: Subst. Abus.; 0; ID: 4226</t>
  </si>
  <si>
    <t>WOS:000287030800037</t>
  </si>
  <si>
    <t>Miller,N. S.;Sheppard,L. M.;Magen,J.</t>
  </si>
  <si>
    <t>Barriers to improving education and training in addiction medicine</t>
  </si>
  <si>
    <t>SUBSTANCE-ABUSE EDUCATION;ALCOHOL-PROBLEMS;PRIMARY-CARE;DRUG-ABUSE;SCHOOLS;CURRICULUM;SPECIALTIES;INTEGRATION;PHYSICIANS;STUDENTS</t>
  </si>
  <si>
    <t>J2: Psychiatr. Ann.; 4; ID: 4378</t>
  </si>
  <si>
    <t>Michigan State Univ, Coll Human Med, Dept Psychiat, E Lansing, MI 48824 USA. Michigan State Univ, Dept Educ Psychol, E Lansing, MI 48824 USA. Miller, NS (reprint author), Michigan State Univ, Coll Human Med, Dept Psychiat, A-227 E Fee Hall, E Lansing, MI 48824 USA.</t>
  </si>
  <si>
    <t>WOS:000172050700003</t>
  </si>
  <si>
    <t>10.3928/0048-5713-20011101-06</t>
  </si>
  <si>
    <t>Miller,N. S.;Wesson,D. R.</t>
  </si>
  <si>
    <t>Integration of addiction medicine: Education, treatment and research</t>
  </si>
  <si>
    <t>J2: J. Psychoact. Drugs; 1; ID: 4404</t>
  </si>
  <si>
    <t>Mpi treatment serv,oakland,ca. univ calif san francisco,med ctr,dept psychiat,san francisco,ca 94143. Miller, NS (reprint author), UNIV ILLINOIS,DEPT PSYCHIAT,DIV ADDICT TREATMENT PROGRAMS,CHICAGO,IL 60612, USA.</t>
  </si>
  <si>
    <t>WOS:A1997XZ87400001</t>
  </si>
  <si>
    <t>Mishra,A. K.;Parmar,A.;Kaloiya,G. S.;Balhara,Y. P. S.</t>
  </si>
  <si>
    <t>A Descriptive Analysis of Instructions to Authors For Statistical Reporting of Article in Addiction Medicine Journals</t>
  </si>
  <si>
    <t>SCImago;Journal;Manuscript</t>
  </si>
  <si>
    <t>J2: Indian J. Psychiatry; 0 S; ID: 4066</t>
  </si>
  <si>
    <t>AIIMS, Dept Psychiat, Delhi, India. AIIMS, Natl Drug Dependence Treatment Ctr, Delhi, India. dr.arpitparmar@yahoo.in</t>
  </si>
  <si>
    <t>WOS:000392103800242</t>
  </si>
  <si>
    <t>Monnat,M.;Broers,B.</t>
  </si>
  <si>
    <t>Addiction medicine and harm reduction: limits, challenges and perspectives</t>
  </si>
  <si>
    <t>INJECTION-DRUG USERS;RISK BEHAVIOR;HEPATITIS-C;HIV;PARAPHERNALIA;PREVALENCE;EQUIPMENT;EXCHANGE;CARE</t>
  </si>
  <si>
    <t>Collective harm reduction measures for drug users are part of the official Swiss drug policy since 1991, and have contributed to the important decrease in prevalence and incidence of HIV and viral hepatitis. However, the recent and massive use of cocaine among drug users have confronted us with an increase in viral and bacterial diseases. We propose a reflection about the need to expand existing collective harm reduction measures and to develop indivualised strategies based on the individual's needs and capacities. Harm reduction advice should be given by every professional working with drug users, independent of his &gt; working domain. Otherwise, the aging of the drug using population with chronic health problems impose a strengthening of the somatic pole of addiction medicine, and a reflection about future education of and collaboration among different partners working in the addiction field.</t>
  </si>
  <si>
    <t>J2: Med. Hyg.; 0; ID: 4360</t>
  </si>
  <si>
    <t>Ctr St Martin, CH-1003 Lausanne, Switzerland. Hop Univ Geneva, Dept Med Communautaire, Addict Med Communautaire, CH-1211 Geneva 14, Switzerland. Monnat, M (reprint author), Ctr St Martin, Rue St Martin 7, CH-1003 Lausanne, Switzerland.</t>
  </si>
  <si>
    <t>WOS:000186168000004</t>
  </si>
  <si>
    <t>Mooney,C. D.;Sufrin,C.</t>
  </si>
  <si>
    <t>Teaching Resident Physicians about Substance Use in Pregnancy</t>
  </si>
  <si>
    <t>J2: Subst. Abus.; 0; ID: 4147</t>
  </si>
  <si>
    <t>Mooney, Claudia D.] Univ Calif San Francisco, San Francisco, CA 94143 USA.</t>
  </si>
  <si>
    <t>WOS:000337244900067</t>
  </si>
  <si>
    <t>Muriungi,S. K.;Ndetei,D. M.</t>
  </si>
  <si>
    <t>Effectiveness of psycho-education on depression, hopelessness, suicidality, anxiety and substance use among basic diploma students at Kenya Medical Training College</t>
  </si>
  <si>
    <t>COGNITIVE-BEHAVIORAL THERAPY;RANDOMIZED CONTROLLED-TRIAL;PSYCHOLOGICAL-PROBLEMS;USE DISORDERS;ALCOHOL-USE;PSYCHOEDUCATION;PREVALENCE;SYMPTOMS;OUTCOMES;CARE</t>
  </si>
  <si>
    <t>Objective. To determine the effectiveness of psycho-education on symptom severity in depression, hopelessness, suicidality, anxiety and risk of substance abuse among para-medical students at Kenya Medical Training College (KMTC). Methodology. A clinical trial drew experimental (N=1 181) and control (N=1 926) groups from different KMTC campuses. Self-administered questionnaires were used to collect data: the researcher-designed social demographic questionnaire was used at baseline only, while Beck's Depression Inventory, Beck's Hopelessness Scale, Beck's Suicide Ideation Scale, Beck's Anxiety Inventory and World Health Organization alcohol, smoking and substance involvement screening test (ASSIST) (for drug abuse) were used for baseline, mid-point and end-point assessments at 3-month intervals. The experimental group received a total of 16 hours of structured psycho-education. All study participants gave informed consent. Results. Overall, there was no significant reduction in symptom severity between the experimental and control groups at 3 months (p&gt;0.05) but there was a significant difference at 6 months (p&lt;0.05). Conclusion. Psycho-education was effective in reducing the severity of symptoms of depression, hopelessness, suicidality, anxiety and risk of substance abuse at 6 months.</t>
  </si>
  <si>
    <t>J2: Sajp; 3; ID: 4165</t>
  </si>
  <si>
    <t>Muriungi, S. K.] Kenya Med Training Coll, Nairobi, Kenya. Muriungi, S. K.] Daystar Univ, Nairobi, Kenya. Ndetei, D. M.] Univ Nairobi, Dept Psychiat, Nairobi, Kenya. Ndetei, D. M.] Africa Mental Hlth Fdn, Nairobi, Kenya. Muriungi, SK (reprint author), Kenya Med Training Coll, Nairobi, Kenya. skagwi2004@yahoo.com</t>
  </si>
  <si>
    <t>WOS:000323461700004</t>
  </si>
  <si>
    <t>10.7196/SAJP.401</t>
  </si>
  <si>
    <t>Murphy,M. K.;Chabon,B.;Delgado,A.;Newville,H.;Nicolson,S. E.</t>
  </si>
  <si>
    <t>Development of a Substance Abuse Consultation and Referral Service in an Academic Medical Center: Challenges, Achievements and Dissemination</t>
  </si>
  <si>
    <t>Journal of Clinical Psychology in Medical Settings</t>
  </si>
  <si>
    <t>Substance abuse;Consultation service;SBIRT;Hospitalized substance;users;ALCOHOL;PERSPECTIVES;DISORDERS;CARE</t>
  </si>
  <si>
    <t>Approximately 25% of US hospital beds are occupied by individuals with active substance use disorders (SUD). Acute medical hospitalization provides an opportunity to address SUDs and provide patient-centered intervention and referral for treatment. Nationally, some hospitals have developed substance abuse consultation departments to improve the care of hospitalized substance users. In this paper we describe the Addiction Psychiatry Service (APS) in a large urban hospital which provides bed-side SUD consultation, screening, intervention and referral to treatment. APS utilizes the multiple disciplines of psychology, social work and medicine to integrate substance abuse services throughout the hospital and educate future generations of medical and psychology trainees. We conclude with how the APS service is informing the development of similar programs in other academic departments within our hospital and best practice recommendations to further disseminate this service model.</t>
  </si>
  <si>
    <t>J2: J. Clin. Psychol. Med. Settings; 0 19219627; ID: 4267</t>
  </si>
  <si>
    <t>1068-9583</t>
  </si>
  <si>
    <t>Murphy, Mary K.] Albert Einstein Coll Med, Dept Emergency Med, Bronx, NY 10467 USA. Chabon, Brenda; Delgado, Arelis; Newville, Howard; Nicolson, Stephen E.] Dept Psychiat &amp; Behav Sci, Montefiore Med Ctr, Addict Psychiat Serv, Bronx, NY USA. Chabon, Brenda; Delgado, Arelis; Newville, Howard; Nicolson, Stephen E.] Montefiore Med Ctr, Addict Psychiat Serv, Dept Psychiat &amp; Behav Sci, Bronx, NY 10467 USA. Murphy, MK (reprint author), Albert Einstein Coll Med, Dept Emergency Med, 111 E 210th St, Bronx, NY 10467 USA. mmurphy@aecom.yu.edu; bchabon@montefiore.org</t>
  </si>
  <si>
    <t>WOS:000264325400010</t>
  </si>
  <si>
    <t>10.1007/s10880-009-9149-8</t>
  </si>
  <si>
    <t>Nagabhirava,G.;Gupte,S. G.;Shah,R.</t>
  </si>
  <si>
    <t>A Study Of Prevalence Of Internet Addiction And Patterns Of Usage Among Medical Students</t>
  </si>
  <si>
    <t>J2: Indian J. Psychiatry; 0 1; ID: 3995</t>
  </si>
  <si>
    <t>Nagabhirava, Gautami; Gupte, S. G.; Shah, Rohan] Dr Vasantrao Pawar Med Coll Hosptial &amp; Res Ctr, Nasik, Maharashtra, India. gnagabhirava@gmail.com</t>
  </si>
  <si>
    <t>WOS:000424505100241</t>
  </si>
  <si>
    <t>Nagori,N.;Vala,A. U.;Ratnani,I. J.;Vasava,K.</t>
  </si>
  <si>
    <t>Association of Internet Addiction With Anxiety and Quality of Life Among Medical Students</t>
  </si>
  <si>
    <t>S133</t>
  </si>
  <si>
    <t>Internet Addiction;Anxiety;Quality of Life</t>
  </si>
  <si>
    <t>J2: Indian J. Psychiatry; 0 S; ID: 4067</t>
  </si>
  <si>
    <t>WOS:000392103800482</t>
  </si>
  <si>
    <t>Nazir,H. M. A.;Ghader,Z. B.;Reza,G. S. H.</t>
  </si>
  <si>
    <t>Opiate and Alcohol abuse and related factors in Yasouj University of Medical Sciences (south of Iran)</t>
  </si>
  <si>
    <t>Life Science Journal-Acta Zhengzhou University Overseas Edition</t>
  </si>
  <si>
    <t>opiate;alcohol;medical student;Yasouj;HIGH-SCHOOL-STUDENTS;SUBSTANCE-ABUSE;OPIUM USE;DRUG-USE;POPULATION;TRENDS</t>
  </si>
  <si>
    <t>Introduction: Substance abuse is a major concern all over the word and among medical students and physicians should be taken more seriously. Materials and methods: samples were selected by randomized systematic sampling of all students of Yasouj University of medical sciences. Sample size was estimated 215 students. Data were collected using questionnaire prepared by researchers. Result: 30 (13.95%) of 215 students had usage of alcohol, 14 (6.5%) had usage of opium with inhalation method, 3 (1.39%) had usage of morphine and 2 (0.93%) had usage of heroin with inhalation method, with significant male and single predominance. Conclusion: There is substance abuse in medical students with high usage rate and most intuition factor is seeking pleasure. Hashemi Mohammad Abad Nazir, Zadeh-Bagheri Ghader and Ghafarian Shirazi Hamid Reza.. Life Sci J 2012;9(3):1195-1198]. (ISSN: 1097-8135). http://www.lifesciencesite.com. 168</t>
  </si>
  <si>
    <t>J2: Life Sci. J.; Social Determinants of Health Research Center 1; ID: 4194</t>
  </si>
  <si>
    <t>1097-8135</t>
  </si>
  <si>
    <t>Nazir, Hashemi Mohammad Abad; Ghader, Zadeh-Bagheri] Yasouj Univ Med Sci, Fac Med, Dept Psychiat, Yasuj, Iran. Reza, Ghafarian Shirazi Hamid] Yasouj Univ Med Sci, Res Ctr Social Factors Affecting Hlth, Fac Med, Yasuj, Iran. Reza, Ghafarian Shirazi Hamid] Univ Tehran Med Sci, Sch Publ Hlth, Tehran, Iran. Reza, GSH (reprint author), Yasouj Univ Med Sci, Res Ctr Social Factors Affecting Hlth, Fac Med, Yasuj, Iran. nazir.hashemi@gmail.com</t>
  </si>
  <si>
    <t>WOS:000315724100166</t>
  </si>
  <si>
    <t>Neuner,B.;Spies,C.;Miller,P.;Weiss-Gerlach,E.;Neumann,T.;Schoenfeld,H.;Eisenmann,D.;Maulhardt,A.;Braehler,E.;Schlattmann,P.</t>
  </si>
  <si>
    <t>Unobserved heterogeneity in trauma patients' desire for autonomy in medical decision making in an emergency department</t>
  </si>
  <si>
    <t>Medical Science Monitor</t>
  </si>
  <si>
    <t>CR366</t>
  </si>
  <si>
    <t>CR371</t>
  </si>
  <si>
    <t>substance use;patient's desire for autonomy;medical decision making;emergency department;DISORDERS IDENTIFICATION TEST;ALCOHOL-CONSUMPTION;BRIEF INTERVENTION;SMOKING;INJURY;RISK;DISEASE;MODELS;ABUSE;CARE</t>
  </si>
  <si>
    <t>Background: To evaluate unobserved heterogeneity in trauma patients' desire for autonomy in medical decision making (DAD). Material/Methods: This cross-sectional study at an inner-city emergency department screened 1009 patients for DAD (using the Decision Making Preference Scale of the Antonomy Preference Index), education level, and substance use. To investigate unobserved heterogeneity, a covariate adjusted finite mixture model was established. Model fit was evaluated with the Bayesian Information Criterion. Results: The median age of participants was 32 years (range, 18-84 years) and 62% were male. Unobserved heterogeneity explained more variance in DAD than did sex, age, or substance use, but less variance than level of education. The best overall model fit was found with 3 latent subpopulations: 53.3% of patients with low DAD, 35.6% of patients with medium DAD, and 11.1% of patients with high DAD. Female sex and level of education showed a positive association; higher age and substance use showed a negative association with patients DAD. Conclusions: Apart from a negative association with substance use and the known associations with sex and level of education, trauma patients' DAD showed substantial variability between individuals, and this variability could not be explained by these factors.</t>
  </si>
  <si>
    <t>J2: Med. Sci. Monitor; German Ministry of Health BMG 217-43794-5/5] 0 18591918; ID: 4294</t>
  </si>
  <si>
    <t>1234-1010</t>
  </si>
  <si>
    <t>Neuner, Bruno; Spies, Claudia; Weiss-Gerlach, Edith; Neumann, Tim; Schoenfeld, Helge; Eisenmann, Dorothea; Maulhardt, Andrea] Charite Univ Med Berlin, Dept Anesthesiol &amp; Intens Care Med, D-10117 Berlin, Germany. Miller, Peter] Med Univ S Carolina, Ctr Drug &amp; Alcohol Programs, Charleston, SC 29425 USA. Braehler, Elmar] Univ Leipzig, Independent Dept Med Psychol &amp; Med Sociol, Leipzig, Germany. Schlattmann, Peter] Charite Univ Med Berlin, Inst Biometry &amp; Clin Epidemiol, D-10117 Berlin, Germany. Neuner, B (reprint author), Charite Univ Med Berlin, Dept Anesthesiol &amp; Intens Care Med, Campus Virchow Klinikum &amp; Campus Charite Mitte,Ch, D-10117 Berlin, Germany. bruno.neuner@charite.de</t>
  </si>
  <si>
    <t>WOS:000259114900010</t>
  </si>
  <si>
    <t>Neville,K.;Roan,N.</t>
  </si>
  <si>
    <t>Challenges in Nursing Practice Nurses' Perceptions in Caring for Hospitalized Medical-Surgical Patients With Substance Abuse/Dependence</t>
  </si>
  <si>
    <t>Journal of Nursing Administration</t>
  </si>
  <si>
    <t>J.Nurs.Adm.</t>
  </si>
  <si>
    <t>USE ILLICIT DRUGS;THERAPEUTIC ATTITUDE;STIGMA</t>
  </si>
  <si>
    <t>OBJECTIVE: The objective of this study was to investigate nurses' perceptions of caring for hospitalized medical-surgical patients with comorbid conditions of substance abuse/dependence. BACKGROUND: Critical to this issue of quality patient care is the rising incidence of comorbid drug and alcohol abuse among hospitalized patients. Little research exists on the perceptions of nurses providing care to substance abuse/dependent medical-surgical hospitalized patients. There exists the need to further explore nurses' perceptions regarding caring for this challenging population. METHODS: Using a qualitative inductive approach, a convenience sample of 24 nurses completed research questions regarding their perceptions of caring for hospitalized patients with substance abuse/dependence. RESULTS: Data analysis revealed ethical duty to care, negative perceptions toward patients with substance abuse/dependence, need for further education, sympathy, and issues with pain management. Providing quality nursing care for the hospitalized medical-surgical patient with concomitant alcohol and/or drug dependence is challenging for nursing. Nurses need additional education and professional support in caring for these individuals.</t>
  </si>
  <si>
    <t>J2: J. Nurs. Adm.; 4 24835142; ID: 4131</t>
  </si>
  <si>
    <t>0002-0443</t>
  </si>
  <si>
    <t>Neville, Kathleen] Kean Univ, Sch Nursing, Union, NJ 07083 USA. Roan, Nora] Somerset Med Ctr, Somerville, NJ USA. Neville, K (reprint author), Kean Univ, Sch Nursing, 1000 Morris Ave, Union, NJ 07083 USA. kneville@kean.edu</t>
  </si>
  <si>
    <t>WOS:000337144200008</t>
  </si>
  <si>
    <t>10.1097/NNA.0000000000000079</t>
  </si>
  <si>
    <t>Educational half day: An innovative way to incorporate substance abuse curriculum into residency training</t>
  </si>
  <si>
    <t>J2: J. Gen. Intern. Med.; 0 4; ID: 4330</t>
  </si>
  <si>
    <t>Rochester Gen Hosp, Rochester, NY USA. Univ Rochester, Rochester, NY 14627 USA.</t>
  </si>
  <si>
    <t>WOS:000202962000612</t>
  </si>
  <si>
    <t>Nordin,A. S. A.;Hairi,F. M.;Bullen,C.;Sobri,M. K. M.</t>
  </si>
  <si>
    <t>Knowledge and practices of tobacco dependence treatment among junior doctors in a Malaysian teaching hospital</t>
  </si>
  <si>
    <t>Journal of Smoking Cessation</t>
  </si>
  <si>
    <t>Introduction: Junior doctors are ideally placed to assist smokers quit yet little is known about their knowledge and practices. Aims: To determine knowledge and practices in providing smoking cessation support, among junior doctors in a Malaysian teaching hospital. Methods: In 2012, all junior doctors at University Malaya Medical Centre were invited to complete a self-administered questionnaire. The data were collated and analysed using standard descriptive methods. Results/Findings: Seventy per cent (n = 122/173) of those eligible completed the questionnaire, 71% reporting cessation training at medical school. Most (90%) asked patients their smoking status but only 52% asked about quitting. Sixty-one per cent lacked confidence in providing assistance to quit, especially female doctors (70.8%, p&lt;0.01). Most (80%) were unaware of local cessation clinics, and over half (59%) were unaware of the existence of guidelines for smoking cessation (p &lt; 0.001). Conclusions: Asking about smoking was undertaken at satisfactory levels, but low knowledge, confidence and skills among this group of junior doctors indicates that cessation education should be included in undergraduate and in postgraduate curriculum training programmes. Awareness of specialist services and guidelines should be raised. Our findings are unlikely to be unique to this hospital, suggesting the need for a nationally consistent approach.</t>
  </si>
  <si>
    <t>J2: J. Smok. Cess.; University Malaya Centre of Addiction Sciences (UMCAS) 0; ID: 4078</t>
  </si>
  <si>
    <t>1834-2612</t>
  </si>
  <si>
    <t>Nordin, Amer Siddiq Amer] Univ Malaya, Ctr Addict Sci UMCAS, Kuala Lumpur, Malaysia. Hairi, Farizah Mohd] Univ Malaya, Fac Med, Ctr Populat Hlth CePH, Dept Social &amp; Prevent Med, Kuala Lumpur, Malaysia. Bullen, Christopher] Univ Auckland, Natl Inst Hlth Innovat, Auckland, New Zealand. Sobri, Mohd Khairuddin Mohd] Univ Malaya, Fac Med, Kuala Lumpur, Malaysia. Nordin, ASA (reprint author), Univ Malaya, Ctr Addict Sci UMCAS Aras 21, Wisma R&amp;D UM Jalan Pantai Baharu, Kuala Lumpur 59200, Malaysia. amersiddiq@um.edu.my</t>
  </si>
  <si>
    <t>WOS:000217980000010</t>
  </si>
  <si>
    <t>10.1017/jsc.2014.8</t>
  </si>
  <si>
    <t>O'Hare,T.;Sherrer,M. V.</t>
  </si>
  <si>
    <t>Campus substance abuse policies in action: The role of the resident hall staff</t>
  </si>
  <si>
    <t>COLLEGE-STUDENTS;DRINKING;VIOLENCE;ALCOHOL;PERSPECTIVES;CONSEQUENCES;PREVENTION</t>
  </si>
  <si>
    <t>Resident hall staff (RHS) are on the front lines implementing university substance abuse policies. In the current survey of 87 RHS, frequency data and factor analysis were employed to summarize the following. RHS reported estimates of student substance abuse and related problems, their level of knowledge about these drugs, frequency of problems experienced by students and interventions employed the degree of confidence in dealing with specific problem and utilizing specific intervention skills. The correlations among these factors were examined, and oneway ANOVA were conducted to determine whether background questions concerning their role as RHS varied with student problems and interventions, Qualitative responses about their role and suggestions for improving university policies were also summarized. RHS see their role as a combination of counselor and enforcer, see substance abuse problems as essentially learned behavior, and lean toward a harm reduction approach to intervention. These role factors vary significantly with how they deal with student problems. implications for evaluating university substance abuse policies are discussed.</t>
  </si>
  <si>
    <t>J2: J. Alcohol Drug Educ.; 2; ID: 4395</t>
  </si>
  <si>
    <t>Boston Coll GSSW, Boston, MA 02167 USA. O'Hare, T (reprint author), Boston Coll GSSW, 202 McGuinn Hall, Boston, MA 02167 USA.</t>
  </si>
  <si>
    <t>WOS:000088560800002</t>
  </si>
  <si>
    <t>Ordak,M.;Wozny,E.;Matsumoto,H. Z.;Abramowska,M.;Dziklinska,A.;Sygitowicz,G.;Biecek,P.;Sitkiewicz,D.</t>
  </si>
  <si>
    <t>Biomarkers of alcohol abuse: beta-hexosaminidase activity in serum and urine in a sample of students of Medical University of Warsaw</t>
  </si>
  <si>
    <t>Therapeutic drug monitoring</t>
  </si>
  <si>
    <t>Ther.Drug Monit.</t>
  </si>
  <si>
    <t>beta-hexosaminidase in serum and urine;biomarkers of alcohol abuse;drug of abuse tests;students of medical university</t>
  </si>
  <si>
    <t>J2: Ther. Drug Monit.; 12th International Congress of Therapeutic Drug Monitoring and Clinical Toxicology OCT 02-06, 2011 Stuttgart, GERMANY 0; ID: 4218</t>
  </si>
  <si>
    <t>0163-4356</t>
  </si>
  <si>
    <t>Ordak, M.; Wozny, E.; Matsumoto, H. Z.; Abramowska, M.; Dziklinska, A.] Med Univ Warsaw, Dept Psychiat, Warsaw, Poland. Sygitowicz, G.; Sitkiewicz, D.] Med Univ Warsaw, Dept Biochem, Warsaw, Poland. Biecek, P.] Univ Warsaw, Fac Math, Warsaw, Poland.</t>
  </si>
  <si>
    <t>WOS:000292761500125</t>
  </si>
  <si>
    <t>Osama,M.;Islam,M. Y.;Hussain,S. A.;Masroor,S. M. Z.;Burney,M. U.;Masood,M. A.;Menezes,R. G.;Rehman,R.</t>
  </si>
  <si>
    <t>Suicidal ideation among medical students of Pakistan: A cross-sectional study</t>
  </si>
  <si>
    <t>Journal of Forensic and Legal Medicine</t>
  </si>
  <si>
    <t>Suicide;Suicidal ideation;Suicide intent;Risk factors;Medical;students;Pakistan;DEPRESSION;ANXIETY;ABUSE;PREVALENCE;PHYSICIANS;BEHAVIOR;COLLEGE;US</t>
  </si>
  <si>
    <t>Few studies have investigated suicidal ideation among medical students in the developing world. We found only one report on suicidal ideation among medical students in Pakistan published in the year 2005. The present cross-sectional survey on suicidal ideation conducted in July 2013 involved 331 medical students of Dow University of Health Sciences, Karachi, Pakistan. In the past one year, suicidal ideation was found in 118 (35.6%) students. Forty-six (13.9%) of all the students had made a plan in their life time to commit suicide while 16 (4.8%) of the 331 students tried to commit suicide at some point of time in their life. More females than males pondered suicide while first year medical students formed the majority of those with suicidal ideation. The single greatest risk factor predisposing to suicidal ideation was substance abuse. This was followed jointly by parental neglect and previous psychiatric disorder. Campaigns against substance abuse and counseling of vulnerable students will help in eradicating suicidal intent. (C) 2014 Elsevier Ltd and Faculty of Forensic and Legal Medicine. All rights reserved.</t>
  </si>
  <si>
    <t>J2: J. Forensic Leg. Med.; 13 25287803; ID: 4125</t>
  </si>
  <si>
    <t>1752-928X</t>
  </si>
  <si>
    <t>Osama, Muhammad; Islam, Mohammad Yousuful; Hussain, Syed Ather; Masroor, Syed Muhammad Zia; Burney, Muhammad Usman; Masood, Muhammad Atif] Dow Univ Hlth Sci, Dow Med Coll, Karachi, Pakistan. Menezes, Ritesh G.] Univ Dammam, King Fahd Hosp Univ, Dept Pathol, Forens Med Div,Coll Med, Dammam, Saudi Arabia. Rehman, Razaur] Civil Hosp, Dept Psychiat, Karachi, Pakistan. Menezes, RG (reprint author), Univ Dammam, King Fahd Hosp Univ, Dept Pathol, Forens Med Div,Coll Med, Dammam, Saudi Arabia. mangalore971@yahoo.co.in</t>
  </si>
  <si>
    <t>WOS:000343302100014</t>
  </si>
  <si>
    <t>10.1016/j.jflm.2014.08.006</t>
  </si>
  <si>
    <t>Pace,N.;Schwartz,C. E.;Ciccaroni,W.;Levounis,P.;Parish,S.;Schwartzberg,M. Y.</t>
  </si>
  <si>
    <t>Screening, Brief Intervention, Referral, and Treatment (SBIRT): The Physician Alcoholism and Other Addictions Training Program (PAAT)</t>
  </si>
  <si>
    <t>J2: Subst. Abus.; 0; ID: 4201</t>
  </si>
  <si>
    <t>Pace, Nicholas] NYU, New York, NY 10003 USA. Schwartz, Charles E.; Parish, Sharon] Albert Einstein Coll Med, Montefiore Med Ctr, New York, NY USA. Levounis, Petros] Columbia Univ Coll Phys &amp; Surg, New York, NY USA.</t>
  </si>
  <si>
    <t>WOS:000306464200075</t>
  </si>
  <si>
    <t>Pace,N. A.;Polydorou,S.;Rabinowitz,E.;Andrieni,J.;Meredith,J.</t>
  </si>
  <si>
    <t>The effect of Addiction Training on internal medicine residents' perception of addictive diseases</t>
  </si>
  <si>
    <t>J2: J. Addict. Dis.; 0; ID: 4343</t>
  </si>
  <si>
    <t>NYU, Sch Med, FASAM, New York, NY USA.</t>
  </si>
  <si>
    <t>WOS:000228614600031</t>
  </si>
  <si>
    <t>Pace,N. A.;Schwartz,C. E.</t>
  </si>
  <si>
    <t>A Model for a Community-Based, Standardized 12 Hour Resident Physicians Alcoholism Addiction Training Program (PAAT)</t>
  </si>
  <si>
    <t>J2: Subst. Abus.; 0; ID: 4276</t>
  </si>
  <si>
    <t>Pace, N. A.; Schwartz, C. E.] NYU Med Ctr, New York, NY 10016 USA.</t>
  </si>
  <si>
    <t>WOS:000283304800031</t>
  </si>
  <si>
    <t>Pandey,A. K.;Mallick,A. K.;Ray,P.;Ghosal,S.</t>
  </si>
  <si>
    <t>Prevalance Of Internet Addiction And Its Relationship To Anxiety And Depression In Post Graduate Medical Students</t>
  </si>
  <si>
    <t>Internet addiction;Anxiety and Depression;PG Medical Students</t>
  </si>
  <si>
    <t>J2: Indian J. Psychiatry; 0 1; ID: 3993</t>
  </si>
  <si>
    <t>Pandey, Ambuj Kumar; Mallick, Asim Kumar; Ray, Prasenjit; Ghosal, Satrajit] Burdwan Med Coll, Kancharapara, W Bengal, India. drambujmmch@gmail.com</t>
  </si>
  <si>
    <t>WOS:000424505100190</t>
  </si>
  <si>
    <t>Papazisis,G.;Sarrigiannidis,A.;Pourzitaki,C.;Apostolidou,E.;Garyfallos,G.;Kouvelas,D.</t>
  </si>
  <si>
    <t>Substance Use among Medical Students in Greece</t>
  </si>
  <si>
    <t>E95</t>
  </si>
  <si>
    <t>J2: Clin. Ther.; 12th Congress of the European-Association-for-Clinical-Pharmacology-and-Therapeutics JUN 27-30, 2015 Madrid, SPAIN European Assoc Clin Pharmacol &amp; Therapeut 1 S; ID: 4088</t>
  </si>
  <si>
    <t>Papazisis, G.; Pourzitaki, Ch.; Apostolidou, E.; Kouvelas, D.] Aristotle Univ Thessaloniki, Fac Med, Dept Pharmacol &amp; Clin Pharmacol, Thessaloniki, Greece. Sarrigiannidis, A.; Garyfallos, G.] Aristotle Univ Thessaloniki, Fac Med, Dept Psychiat 2, Thessaloniki, Greece.</t>
  </si>
  <si>
    <t>WOS:000384951200265</t>
  </si>
  <si>
    <t>10.1016/j.clinthera.2015.05.273</t>
  </si>
  <si>
    <t>Parish,S. J.;Stein,M. R.;Goldberg,U.;Arnsten,J. H.</t>
  </si>
  <si>
    <t>Teaching and assessing residents skills in managing opioid addiction with objective structured clinical exams</t>
  </si>
  <si>
    <t>J2: J. Gen. Intern. Med.; 30th Annual Meeting of the Society-of-General-Internal-Medicine APR 25-28, 2007 Toronto, CANADA Soc Gen Internal Med 0 1; ID: 4316</t>
  </si>
  <si>
    <t>Parish, S. J.; Stein, M. R.; Goldberg, U.; Arnsten, J. H.] Albert Einstein Coll Med, Bronx, NY 10467 USA.</t>
  </si>
  <si>
    <t>WOS:000251610700645</t>
  </si>
  <si>
    <t>Residents' Objective Structured Clinical Exam Skills Scores Improve After Participation in an Enhanced Substance Abuse Curriculum</t>
  </si>
  <si>
    <t>J2: Subst. Abus.; 0; ID: 4279</t>
  </si>
  <si>
    <t>Parish, S. J.; Stein, M. R.; Hahn, S. R.; Goldberg, U.; Arnsten, J. H.] Albert Einstein Coll Med, Bronx, NY USA.</t>
  </si>
  <si>
    <t>WOS:000283304800036</t>
  </si>
  <si>
    <t>Residents' objective structured clinical exam skills scores improve after introduction of enhanced substance abuse curriculum</t>
  </si>
  <si>
    <t>J2: J. Gen. Intern. Med.; 31st Annual Meeting of the Society-of-General-Internal-Medicine APR 09-12, 2008 Pittsburgh, PA Soc Gen Internal Med 0 2; ID: 4301</t>
  </si>
  <si>
    <t>Parish, S. J.; Stein, M. R.; Hahn, S. R.; Goldberg, U.; Arnsten, J. H.] Albert Einstein Coll Med, Bronx, NY 10467 USA.</t>
  </si>
  <si>
    <t>WOS:000254237100329</t>
  </si>
  <si>
    <t>Pastor,A.;Soh,T.</t>
  </si>
  <si>
    <t>Symposium - Australasian Chapter of Addiction Medicine Trainees' Symposium</t>
  </si>
  <si>
    <t>J2: Drug Alcohol Rev.; 0 1; ID: 4238</t>
  </si>
  <si>
    <t>Pastor, Adam] St Vincents Hosp, Melbourne, Vic, Australia. Soh, Tracy] Turning Point Alcohol &amp; Drug Ctr, Melbourne, Vic, Australia. Soh, Tracy] Monash Univ, Clayton, Vic 3800, Australia. adam.pastor@svhm.org.au</t>
  </si>
  <si>
    <t>WOS:000284895600151</t>
  </si>
  <si>
    <t>Patel,F. B.;Chhatrola,N.;Lakdawala,B. M.</t>
  </si>
  <si>
    <t>Substance Use Related Mental Health Literacy among Medical and Nursing College Students</t>
  </si>
  <si>
    <t>Substance Use;Mental Health Literacy;Medical Students;Nursing;Students</t>
  </si>
  <si>
    <t>J2: Indian J. Psychiatry; 0 1; ID: 3994</t>
  </si>
  <si>
    <t>AMC MET Med Coll, Ahmadabad, Gujarat, India. Sheth LG Gen Hosp, Ahmadabad, Gujarat, India. drfalu.patel91@gmail.com</t>
  </si>
  <si>
    <t>WOS:000424505100197</t>
  </si>
  <si>
    <t>Pena,J. B.;Matthieu,M. M.;Zayas,L. H.;Masyn,K. E.;Caine,E. D.</t>
  </si>
  <si>
    <t>Co-occurring risk behaviors among White, Black, and Hispanic US high school adolescents with suicide attempts requiring medical attention, 1999-2007: Implications for future prevention initiatives</t>
  </si>
  <si>
    <t>Social psychiatry and psychiatric epidemiology</t>
  </si>
  <si>
    <t>Soc.Psychiatry Psychiatr.Epidemiol.</t>
  </si>
  <si>
    <t>Suicide attempted;Adolescent;Prevention;Health status disparities;Risk-taking;DELIBERATE SELF-HARM;SUBSTANCE USE;FOLLOW-UP;DATING VIOLENCE;MULTISYSTEMIC THERAPY;PEER VIOLENCE;UNITED-STATES;YOUTH;IDEATION;INTERVENTIONS</t>
  </si>
  <si>
    <t>To identify subtypes of adolescent suicide attempters by examining risk profiles related to substance use, violent behavior, and depressive symptoms. To examine the relationship between these subtypes and having had two or more suicide attempts during the past year. To explore race and gender differences across subtypes of suicide attempters. Data were combined from five nationally representative cohorts of the US Youth Risk Behavior Surveillance System (YRBSS) and focused on a subpopulation of youth who reported a suicide attempt requiring medical attention. Latent class analysis was used to identify subtypes of suicide attempters. Analysis yielded three classes of youth who attempted suicide, distinguishable by their levels of substance use and violent behaviors: low substance use and violent behaviors, high substance use and violent behaviors, and extreme substance use and violent behaviors. All three classes had a high propensity for endorsing depressive symptoms. The proportion of youth with two or more suicide attempts during the past year increased across subgroup of attempters with higher levels of substance use and violent behaviors. Racial and gender differences were found across subtypes of suicide attempters. Preventing and treating the co-occurrence of substance use and violent behaviors may serve as essential strategies for reducing suicide attempts, especially among male youth. The use of public health strategies for suicide prevention should take into account the different needs of youth at risk for suicide.</t>
  </si>
  <si>
    <t>J2: Soc. Psychiatry Psychiatr. Epidemiol.; Brown Center for Violence and Injury Prevention 1R49CE001510]; Centers for Disease Control (CDC); Center for Public Health and Population Interventions for Preventing Suicide P20MH071897]; University of Rochester Medical Center R01MH070689]; Center for Latino Family Research; Center for Mental Health Services Research at Washington University in St. Louis; Prevention Science Methodology Group 28 21153018; ID: 4208</t>
  </si>
  <si>
    <t>Pena, Juan B.; Matthieu, Monica M.; Zayas, Luis H.] Washington Univ, St Louis, MO 63130 USA. Masyn, Katherine E.] Harvard Univ, Grad Sch Educ, Cambridge, MA 02138 USA. Caine, Eric D.] Univ Rochester, Dept Psychiat, Med Ctr, Rochester, NY 14627 USA. Pena, JB (reprint author), Washington Univ, 1 Brookings Dr,CB 1196, St Louis, MO 63130 USA. JPena@wustl.edu</t>
  </si>
  <si>
    <t>WOS:000298755800004</t>
  </si>
  <si>
    <t>10.1007/s00127-010-0322-z</t>
  </si>
  <si>
    <t>Pham,D. B.;Clough,A. R.;Nguyen,H. V.;Kim,G. B.;Buettner,P. G.</t>
  </si>
  <si>
    <t>Alcohol consumption and alcohol-related problems among Vietnamese medical students</t>
  </si>
  <si>
    <t>medical student;alcohol consumption;alcohol-related problem;Vietnam;sex difference;DISORDERS IDENTIFICATION TEST;HAZARDOUS DRINKING;BINGE DRINKING;SCREENING TOOL;TEST AUDIT;DRUG-USE;UNIVERSITY;HEALTH;CARE;KNOWLEDGE</t>
  </si>
  <si>
    <t>Introduction and Aims. This study examined prevalence and predictors of alcohol consumption and alcohol problems in a sample of medical students in Vietnam. Design and Methods. A cross-sectional survey using a multi-stage cluster sampling approach was conducted in 2007 in two universities in Vietnam. The students (n = 619, 100% response rate) completed questionnaires based on the Alcohol Use Disorder Identification Test. A score of &gt;= 8 defined presence of alcohol problems. Data analyses adjusted for the cluster sampling approach. Results. Overall 65.5% of students had drunk alcohol during the previous year while alcohol problems were detected in 12.5%. Male students, students who reported that their family members drank and students who reported that their flat mates were drinking were more likely to be current drinkers. Male students were 14.3 times more likely to have an Alcohol Use Disorder Identification Test score of &gt;= 8 compared with female students (P = 0.005). Discussion and Conclusions. Intervention programs focusing on male students and their social environment are warranted. As Vietnamese society rapidly modernises prevention programs for female students may also be needed. Pham DB, Clough AR, Nguyen HV, Kim GB, Buettner PG. Alcohol consumption and alcohol-related problems among Vietnamese medical students. Drug Alcohol Rev 2009].</t>
  </si>
  <si>
    <t>J2: Drug Alcohol Rev.; 16 20447232; ID: 4248</t>
  </si>
  <si>
    <t>Pham, Diep B.; Nguyen, Hien V.; Kim, Giang B.] Hanoi Med Univ, Fac Publ Hlth, Hanoi, Vietnam. Pham, Diep B.; Clough, Alan R.; Buettner, Petra G.] James Cook Univ, Sch Publ Hlth Trop Med &amp; Rehabil Sci, Townsville, Qld 4811, Australia. Clough, Alan R.] James Cook Univ, Sch Indigenous Australian Studies, Townsville, Qld 4811, Australia. Pham, DB (reprint author), Hanoi Med Univ, Fac Publ Hlth, 1 Ton Tung St, Hanoi, Vietnam. phambichdiep@gmail.com</t>
  </si>
  <si>
    <t>WOS:000275142500016</t>
  </si>
  <si>
    <t>10.1111/j.1465-3362.2009.00094.x</t>
  </si>
  <si>
    <t>Phillips,K. A.;Walley,A. Y.;Gordon,A. J.</t>
  </si>
  <si>
    <t>Patients in Recovery (PIR): Success at Teaching Opioid Addiction Treatments to Physicians</t>
  </si>
  <si>
    <t>J2: Subst. Abus.; 0; ID: 4280</t>
  </si>
  <si>
    <t>Phillips, K. A.] NIDA, NIH, Bethesda, MD USA. Walley, A. Y.] Boston Univ, Sch Med, Boston, MA 02215 USA. Gordon, A. J.] Univ Pittsburgh, Sch Med, Pittsburgh, PA 15260 USA.</t>
  </si>
  <si>
    <t>WOS:000283304800037</t>
  </si>
  <si>
    <t>Pinxten,W. J. L.;Siregar,I. M. P.;Hidayat,T.;Istiqomah,A. N.;Achmad,Y. M.;Norviatin,D.;Purnama,R. R.;Luycks,L.;De Jong, C. A. J.</t>
  </si>
  <si>
    <t>Developing a competence-based addiction medicine curriculum in Indonesia: "work in progress"</t>
  </si>
  <si>
    <t>3rd World Conference on Educational Sciences</t>
  </si>
  <si>
    <t>Indonesia;competence-based;addiction medicine;evidence-based Ehtical;clearance: not applicable for this workshop-based organisations research</t>
  </si>
  <si>
    <t>Indonesia has one of the fastest growing, former or currently Injecting Drugs User (IDU)-driven, HIV epidemics in Asia. Coverage of needle syringe programs (NSP), opioid substitution therapy (OST) and anti-retroviral treatment (ART) is increasing, but still low, while professional training in addiction medicine is not yet established. Urgent development and scaling-up of professional capacity in comprehensive, evidence-based addiction medicine is needed. In this article the results of the first steps in the development of a national addiction medicine curriculum are presented: taking the an initiative to collaborate with the organizers of the Dutch Master course in Addiction Medicine, development of a training need assessment (TNA) and the first draft of training modules.</t>
  </si>
  <si>
    <t>2011 Proceedings Paper 3rd World Conference on Educational Sciences (WCES) FEB 03-07, 2011 Bahcesehir Univ, Istanbul, TURKEY Ankara Univ, Bahcesehir Univ, Near E Univ SARA BURGERHARTSTRAAT 25, PO BOX 211, 1000 AE AMSTERDAM, NETHERLANDS; ID: 4228</t>
  </si>
  <si>
    <t>Elsevier Science Bv</t>
  </si>
  <si>
    <t>Amsterdam</t>
  </si>
  <si>
    <t>Procedia Social and Behavioral Sciences</t>
  </si>
  <si>
    <t>1877-0428</t>
  </si>
  <si>
    <t>Pinxten, W. J. L.; Achmad, Y. M.; Norviatin, D.; Purnama, Raya R.] Univ Padjadjaran UNPAD, Fac Med, Hlth Res Unit, Bandung, Indonesia. lpinxten@yahoo.com</t>
  </si>
  <si>
    <t>WOS:000298605100110</t>
  </si>
  <si>
    <t>Drug-Abuse and Alcoholism Teaching in United-States Medical and Osteopathic Schools</t>
  </si>
  <si>
    <t>39 581388; ID: 4504</t>
  </si>
  <si>
    <t>Temple univ,sch med,philadelphia,pa 19122. POKORNY, A (reprint author), BAYLOR UNIV,COLL MED,CAREER TEACHING CTR ADDICT,HOUSTON,TX 77025, USA.</t>
  </si>
  <si>
    <t>WOS:A1978FS98100004</t>
  </si>
  <si>
    <t>Poland,C.;Samet,J. H.;Jackson,A. H.;Winter,M. R.;Alford,D. P.</t>
  </si>
  <si>
    <t>Barriers to Teaching Addiction Medicine</t>
  </si>
  <si>
    <t>J2: Subst. Abus.; 0; ID: 4146</t>
  </si>
  <si>
    <t>Poland, Cara; Samet, J. H.; Jackson, A. H.; Alford, D. P.] Boston Univ, Sch Med, Boston Med Ctr, Boston, MA 02215 USA. Poland, Cara] Boston VA Med Ctr, Boston, MA USA. Winter, M. R.] Boston Univ, Sch Publ Hlth, Data Coordinating Ctr, Boston, MA 02215 USA.</t>
  </si>
  <si>
    <t>WOS:000337244900064</t>
  </si>
  <si>
    <t>Rai,D.;Gaete,J.;Girotra,S.;Pal,H. R.;Araya,R.</t>
  </si>
  <si>
    <t>Substance use among medical students: Time to reignite the debate?</t>
  </si>
  <si>
    <t>ILLICIT DRUG-USE;ALCOHOL;PHYSICIANS;UNIVERSITY;ABUSE</t>
  </si>
  <si>
    <t>Background. Substance use among medical students could impact on the conduct, safety and efficiency of future doctors. Despite serious medicolegal, ethical and political ramifications, there is little research on the subject, especially from the Indian subcontinent. We aimed to explore the patterns of substance use among a sample of medical students from the Indian subcontinent. Methods. An opportunistic, cross-sectional survey of medical students from 76 medical schools attending an inter-medical school festival. A brief self-reported questionnaire was used to identify current and lifetime use of tobacco, alcohol, cannabis, heroin and non-prescription drugs. Multivariable logistic regression analysis was used to identify factors associated with illicit substance use. Results. Responses from 2135 medical students were analysed. Current alcohol and tobacco (chewable or smoked) use was reported by 7.1% and 6.1% of the respondents, respectively. Lifetime use of illicit substances was reported by 143 (6.7%) respondents. Use of illicit substances was strongly associated with use of tobacco, alcohol and non-prescription drugs. Conclusion. This study provides a snapshot of the problem of substance use among medical students from the Indian subcontinent. The reported prevalence of alcohol and illicit substance use in our sample was lower, while tobacco use was similar, when compared with data from western studies. Further research is needed from the Indian subcontinent to study nationwide patterns of substance use among medical students, and to identify important determinants and reinforce protective factors. Strategies need to be developed for supporting students with a substance use problem.</t>
  </si>
  <si>
    <t>J2: Natl. Med. J. India; 12 18807312; ID: 4304</t>
  </si>
  <si>
    <t>Rai, Dheeraj; Gaete, Jorge; Girotra, Saket; Pal, Hem Raj; Araya, Ricardo] Univ Bristol, Acad Unit Psychiat, Bristol, Avon, England. Rai, D (reprint author), Univ Los Andes, Sch Psychol, Santiago, Chile. dheeraj.rai@awp.nhs.uk</t>
  </si>
  <si>
    <t>WOS:000256243100005</t>
  </si>
  <si>
    <t>Ramos,J.;Louis-Ashby,C.;Holt,S.;Harma,M.;Cabrera,F.;Dinh,A.;Tetrault,J.;Fiellin,D.</t>
  </si>
  <si>
    <t>Prevalence of Unhealthy Substance Use on Teaching and Hospitalist Medical Services: Implications for Education</t>
  </si>
  <si>
    <t>J2: J. Gen. Intern. Med.; 33rd Annual Meeting of the Society-of-General-Internal-Medicine APR 18-MAY 01, 2010 Minneapolis, MN Soc Gen Internal Med 0 3; ID: 4244</t>
  </si>
  <si>
    <t>Ramos, Jorge; Holt, Stephen; Harma, Michael; Cabrera, Felix] Yale Univ, Primary Care Program, Waterbury, CT USA. Louis-Ashby, Coeurlida] Tampa Family Hlth Ctr, Tampa, FL USA. Dinh, An; Tetrault, Jeanette; Fiellin, David] Yale Univ, Sch Med, New Haven, CT USA.</t>
  </si>
  <si>
    <t>WOS:000277282300342</t>
  </si>
  <si>
    <t>Rastegar,D. A.;Fingerhood,M. I.;Burgert,S. L.;Jasinski,D. R.</t>
  </si>
  <si>
    <t>Training residents in HIV and substance abuse care in an inpatientand outpatient rotation</t>
  </si>
  <si>
    <t>J2: J. Gen. Intern. Med.; 26th Annual Meeting of the Society-of-General-Internal-Medicine APR 30-MAY 03, 2003 VANCOUVER, CANADA Soc Gen Internal Med 0 1; ID: 4361</t>
  </si>
  <si>
    <t>Johns Hopkins Univ, Baltimore, MD USA. Johns Hopkins Bayview Med Ctr, Baltimore, MD USA.</t>
  </si>
  <si>
    <t>WOS:000182564300417</t>
  </si>
  <si>
    <t>Rastegar,D. A.;Sisson,S. D.</t>
  </si>
  <si>
    <t>Use of a web-based curriculum to teach internal medicine residents about addiction</t>
  </si>
  <si>
    <t>J2: J. Gen. Intern. Med.; 31st Annual Meeting of the Society-of-General-Internal-Medicine APR 09-12, 2008 Pittsburgh, PA Soc Gen Internal Med 0 2; ID: 4302</t>
  </si>
  <si>
    <t>Rastegar, D. A.; Sisson, S. D.] Johns Hopkins Univ, Baltimore, MD USA.</t>
  </si>
  <si>
    <t>WOS:000254237100345</t>
  </si>
  <si>
    <t>Rathore,S.;Sushil,C. S.;Sharma,D. K.</t>
  </si>
  <si>
    <t>Study Of Internet Addiction Disorder In Medical Students</t>
  </si>
  <si>
    <t>Internet Addiction Disorder(IAD);youngs Internet Addiction Test;Medical Students;Mobile Phones;Prevalence</t>
  </si>
  <si>
    <t>J2: Indian J. Psychiatry; 0 2; ID: 4036</t>
  </si>
  <si>
    <t>Rathore, Siddharth; Sushil, C. S.; Sharma, D. K.] Coll Med, Dept Psychiat, Kota, India. Sidsrk7@gmail.com</t>
  </si>
  <si>
    <t>WOS:000392104500127</t>
  </si>
  <si>
    <t>Rayburn,W. F.;Meng,C.;Ramirez-Cacho,W.;Rayburn,B.</t>
  </si>
  <si>
    <t>Impact of a specialized prenatal clinic on medical students' attitudes toward alcohol abuse</t>
  </si>
  <si>
    <t>J2: Birth Defects Res. Part A-Clin. Mol. Teratol.; 0; ID: 4327</t>
  </si>
  <si>
    <t>Univ New Mexico, Hlth Sci Ctr, Albuquerque, NM 87131 USA.</t>
  </si>
  <si>
    <t>WOS:000237936200119</t>
  </si>
  <si>
    <t>Reid,S. R.</t>
  </si>
  <si>
    <t>Injection drug use, unsafe medical injections, and HIV in Africa: a systematic review</t>
  </si>
  <si>
    <t>SUB-SAHARAN AFRICA;SOUTH-AFRICA;HEALTH-CARE;TRANSITIONAL COUNTRIES;NATIONAL MULTICENTER;HEROIN INJECTION;NYANZA PROVINCE;UNITED-STATES;TRANSMISSION;INFECTION</t>
  </si>
  <si>
    <t>The reuse of injecting equipment in clinical settings is well documented in Africa and appears to play a substantial role in generalized HIV epidemics. The U. S. and the WHO have begun to support large scale injection safety interventions, increased professional education and training programs, and the development and wider dissemination of infection control guidelines. Several African governments have also taken steps to control injecting equipment, including banning syringes that can be reused. However injection drug use (IDU), of heroin and stimulants, is a growing risk factor for acquiring HIV in the region. IDU is increasingly common among young adults in sub-Saharan Africa and is associated with high risk sex, thus linking IDU to the already well established and concentrated generalized HIV epidemics in the region. Demand reduction programs based on effective substance use education and drug treatment services are very limited, and imprisonment is more common than access to drug treatment services. Drug policies are still very punitive and there is widespread misunderstanding of and hostility to harm reduction programs e. g. needle exchange programs are almost non-existent in the region. Among injection drug users and among drug treatment patients in Africa, knowledge that needle sharing and syringe reuse transmit HIV is still very limited, in contrast with the more successfully instilled knowledge that HIV is transmitted sexually. These new injection risks will take on increased epidemiological significance over the coming decade and will require much more attention by African nations to the range of effective harm reduction tools now available in Europe, Asia, and North America.</t>
  </si>
  <si>
    <t>J2: Harm Reduct. J.; 37 24 19715601; ID: 4260</t>
  </si>
  <si>
    <t>Univ Nevada, Sch Community Hlth Sci, Las Vegas, NV 89154 USA. Reid, SR (reprint author), Univ Nevada, Sch Community Hlth Sci, 4505 Maryland Pkwy, Las Vegas, NV 89154 USA. inkwell_11@yahoo.com</t>
  </si>
  <si>
    <t>WOS:000273533400001</t>
  </si>
  <si>
    <t>10.1186/1477-7517-6-24</t>
  </si>
  <si>
    <t>Resnick,R. B.;Galanter,M.;Pycha,C.;Cohen,A.;Grandison,P.;Flood,N.</t>
  </si>
  <si>
    <t>Buprenorphine - an Alternative to Methadone for Heroin Dependence Treatment</t>
  </si>
  <si>
    <t>ADDICTION;DETOXIFICATION</t>
  </si>
  <si>
    <t>Eighty-five heroin addicts who were unwilling to receive methadone maintenance or enter therapeutic communities were assessed, single-blind, for the lowest sublingual dose of buprenorphine that blocked heroin craving (8.0 mg max). All doses were administered daily under observation. After maintenance for 4 to 12 weeks, abstinent subjects (confirmed by urine drug screens) entered a double-blind discontinuation trial and were randomly assigned to receive dose reductions (10% twice weekly for 5 weeks to zero dose, then placebo for 2 weeks) or a stable dose for 7 weeks. Subjects were terminated from discontinuation if heroin was used or they had increased craving/symptoms. Subjects completed the trial if they did not use heroin and had no increase in craving/symptoms. A wide dose range (1.5-8.0 mg/day) was effective in reducing heroin craving and use. Of 73 subjects who received buprenorphine for 4 to 52 weeks, 40 had no prior treatment, despite high levels (mean $/day heroin = 70.5 +/- 94.7) and many years (mean years = 10.7 +/- 8.6) of dependence. Subjects who received dose reductions developed abstinence symptoms, low energy most commonly, associated with drug-seeking behavior. Discontinuation trial outcome (n = 51) shows a highly significant difference between 29 subjects who received dose reductions (28 terminated, 1 completed) and 22 subjects who received no dose reductions (3 terminated; 19 completed) (chi-square = 36.08; p &lt; .00001). The findings suggest that buprenorphine could be an important medication for reducing demand for heroin by many heroin addicts who remain outside the present health-care system. Establishing buprenorphine treatment programs that are independent of methadone maintenance programs, conducted by physicians who have received training and subspecialty certification in addiction medicine, would minimize health risks to the general public and maximize its acceptance as a treatment modality.</t>
  </si>
  <si>
    <t>J2: Psychopharmacol. Bull.; 31ST ANNUAL MEETING OF THE NEW CLINICAL DRUG EVALUATION UNIT MAY 28-31, 1991 KEY BISCAYNE, FL NEW CLIN DRUG EVALUAT UNIT, NIMH, DIV CLIN RES 36 1609035; ID: 4440</t>
  </si>
  <si>
    <t>RESNICK, RB (reprint author), NYU MED CTR,DEPT PSYCHIAT,550 1ST AVE,NEW YORK,NY 10016, USA.</t>
  </si>
  <si>
    <t>WOS:A1992HX58900018</t>
  </si>
  <si>
    <t>Rodriguez,M. E.;Cami,J.</t>
  </si>
  <si>
    <t>Substance Use among Medical-Students in Barcelona (Spain) - a Comparison with Previous Surveys</t>
  </si>
  <si>
    <t>J2: Drug Alcohol Depend.; 10 3803200; ID: 4477</t>
  </si>
  <si>
    <t>Inst municipal invest med,passeig maritim s-n,e-08003 barcelona,spain. univ autonoma barcelona,dept pharmacol &amp; toxicol,bellaterra barcelona,spain.</t>
  </si>
  <si>
    <t>WOS:A1986F349100009</t>
  </si>
  <si>
    <t>10.1016/0376-8716(86)90062-1</t>
  </si>
  <si>
    <t>Roncero,C.;Egido,A.;Rodriguez-Cintas,L.;Perez-Pazos,J.;Collazos,F.;Casas,M.</t>
  </si>
  <si>
    <t>Substance Use among Medical Students: A Literature Review 1988-2013</t>
  </si>
  <si>
    <t>Actas Espanolas de Psiquiatria</t>
  </si>
  <si>
    <t>Actas Esp.Psiquiatr.</t>
  </si>
  <si>
    <t>Medical students;Substance abuse;Addiction;Alcohol;Tobacco;Sedatives;PONTIFICIA UNIVERSIDAD CATOLICA;COLLEGE-STUDENTS;DRUG-USE;USE;ALCOHOL-CONSUMPTION;SMOKING-HABITS;CIGARETTE-SMOKING;PSYCHOACTIVE SUBSTANCES;SMOKELESS TOBACCO;NURSING-STUDENTS</t>
  </si>
  <si>
    <t>The use of legal and illegal substances by medical students is a phenomenon that is only partially known. The aim of this paper was to review the literature published internationally in the last 25 years about the use of legal and illegal substances by medical students. A systematic search was made of MEDLINE and LILACS. One hundred and six manuscripts were evaluated, which included a population of 88,413 medical students. We validated 74,001 questionnaires, which represented 83.7% of responses. The methodology and the rigor of its application are not the same in all the publications. There are many regional variations, most studies being made in America and Europe. With the exception of alcohol in some areas of the Western world, medical students use substances less than university students in general and the general population. The substances used are mainly alcohol (24%), tobacco (17.2%), and cannabis (11.8%). The use of hypnotic and sedative drugs also is common (9.9%). The rate of use of stimulants is 7.7% and of cocaine, 2.1%; opiate use being very low (0.4%). In some parts of Latin America, up to 14.1% use inhalants. Students in the last years of school have a higher rate of substance use. The use of substances, except for hypnotics and sedatives, is more common among men than women. The use of substances by medical students is a phenomenon that should be evaluated systematically due to its prevalence and potential impact.</t>
  </si>
  <si>
    <t>J2: Actas Esp. Psiquiatri.; 8 25999158; ID: 4097</t>
  </si>
  <si>
    <t>1139-9287</t>
  </si>
  <si>
    <t>Roncero, Carlos; Egido, Angel; Rodriguez-Cintas, Lola; Perez-Pazos, Jesus] Hosp Univ Vall dHebron, Ctr Atenc Drogodependencias CAS Vall dHebron, ASPB, CIBERSAM, Barcelona 08035, Spain. Roncero, Carlos; Perez-Pazos, Jesus; Collazos, Francisco; Casas, Miguel] Hosp Univ Vall dHebron, CIBERSAM, Dept Psychiat, Barcelona 08035, Spain. Roncero, Carlos; Collazos, Francisco; Casas, Miguel] Univ Autonoma Barcelona, Dept Psychiat &amp; Forens Med, E-08193 Barcelona, Spain. Roncero, C (reprint author), Hosp Univ Vall dHebron, Dept Psiquiatria, Passeig Vall dHebron 119-129, Barcelona 08035, Spain. croncero@vhebron.net</t>
  </si>
  <si>
    <t>WOS:000356028200005</t>
  </si>
  <si>
    <t>Roncero,C.;Rodriguez-Cintas,L.;Egido,A.;Barral,C.;Perez-Pazos,J.;Collazos,F.;Grau-Lupez,L.;Casas,M.</t>
  </si>
  <si>
    <t>The Influence of Medical Student Gender and Drug Use on the Detection of Addiction in Patients</t>
  </si>
  <si>
    <t>J2: Eur. Psychiat.; 0 1; ID: 4144</t>
  </si>
  <si>
    <t>Roncero, C.; Rodriguez-Cintas, L.; Egido, A.; Barral, C.; Perez-Pazos, J.; Grau-Lupez, L.] Vall dHebron Univ Hosp, ASPB, Dept Psychiat, Outpatient Drug Clin, Barcelona, Spain. Collazos, F.; Casas, M.] Vall dHebron Univ Hosp, Dept Psychiat, Barcelona, Spain.</t>
  </si>
  <si>
    <t>WOS:000347280700888</t>
  </si>
  <si>
    <t>Rowley,B. D.;Baldwin,D. C.</t>
  </si>
  <si>
    <t>Datagram - Substance Abuse Policies and Programs at United-States Medical-Schools</t>
  </si>
  <si>
    <t>2 3172155; ID: 4466</t>
  </si>
  <si>
    <t>Amer med assoc,off educ res,chicago,il 60610. ROWLEY, BD (reprint author), AMER MED ASSOC,OFF MED INFORMAT &amp; ANAL,CHICAGO,IL 60610, USA.</t>
  </si>
  <si>
    <t>WOS:A1988Q417700003</t>
  </si>
  <si>
    <t>Roy,P. J.;Weinstein,Z. M.;Yuh,D.;Neville,L.;Walley,A. Y.</t>
  </si>
  <si>
    <t>A Curriculum to Improve Resident Knowledge and Satisfaction in Caring for Hospitalized Patients with Addiction</t>
  </si>
  <si>
    <t>S796</t>
  </si>
  <si>
    <t>J2: J. Gen. Intern. Med.; Meeting of the Society-of-General-Internal-Medicine (SGIM) MAY 11-14, 2015-2016 Hollywood, FL Soc Gen Internal Med 0 2; ID: 4060</t>
  </si>
  <si>
    <t>Weinstein, Zoe M.] Boston Med Ctr, Boston, MA USA. Walley, Alexander Y.] Boston Univ, Boston, MA 02215 USA. Roy, Payel J.] Boston Univ, Med Ctr, Boston, MA USA. Yuh, David; Neville, Linda] Boston Univ, Sch Med, Boston, MA 02118 USA.</t>
  </si>
  <si>
    <t>WOS:000392201603160</t>
  </si>
  <si>
    <t>Ruzhenkov,V. A.;Lukyantseva,I. S.;Ruzhenkova,V. V.;Gomelyak,J. N.</t>
  </si>
  <si>
    <t>Clinical Structure and Comorbidity of Additive Behavior and Dependencies in Medical Students</t>
  </si>
  <si>
    <t>Helix</t>
  </si>
  <si>
    <t>Addictive Behavior;Dependence;Medical Students;Risk Factors;Stress;Anxiety;Depression;SAUDI-ARABIA</t>
  </si>
  <si>
    <t>A high level of academic load and stress create the risk of addictive behavior and addictions in medical students as a way of stress overcoming. The purpose of our study was to verify the prevalence of addictive behavior and dependencies in medical students and their comorbidity with mental disorders for the development of approaches to their prevention. In this regard, we examined 455 senior students of the Medical Institute using the medical-sociological, psychometric methods and the "Method of clinical screening-diagnostics of addictive and dependent behavior". It was found that the addictive behavior and formed dependence were revealed in 37.1% of students. At the same time, various kinds of addictive behavior and dependencies were combined among themselves in 37.5% of cases. Persons with addictive behavior and dependence were characterized by personal immaturity, low level of responsibility, tolerance and negative thinking. The study revealed a high level of comorbidity of addictive behavior and addictions to mental disorders, among which neurotic, stress-related and somatoform disorders (58.5%), as well as personality disorders (14.2%), prevailed. Persons with addictive behavior and addictions had a higher incidence of asthenia, anxiety and depression, as well as obsessive-compulsive symptoms, social phobia and dysmorphophobia, which created additional difficulties in social adaptation. Thus, prevention of addictive behavior and addictions should, first of all, be aimed at the timely detection and therapy of mental disorders, as well as includes measures to reduce the level of educational stress.</t>
  </si>
  <si>
    <t>J2: Helix; 0; ID: 4001</t>
  </si>
  <si>
    <t>2277-3495</t>
  </si>
  <si>
    <t>Ruzhenkov, Victor A.; Lukyantseva, Inna S.; Ruzhenkova, Victoria V.; Gomelyak, Julia N.] Belgorod State Univ, Pobeda St 85, Belgorod 308000, Russia. Ruzhenkov, VA (reprint author), Belgorod State Univ, Pobeda St 85, Belgorod 308000, Russia. ruzhenkov@bsu.edu.ru</t>
  </si>
  <si>
    <t>WOS:000427456200086</t>
  </si>
  <si>
    <t>10.29042/2018-2597-2601</t>
  </si>
  <si>
    <t>Rymowicz,R.</t>
  </si>
  <si>
    <t>Substance Use Amongst Medical Students in Their Pre-Clinical Years</t>
  </si>
  <si>
    <t>J2: Am. J. Addict.; 0; ID: 4114</t>
  </si>
  <si>
    <t>Rymowicz, Robert] Western Univ, London, ON, Canada.</t>
  </si>
  <si>
    <t>WOS:000352029900032</t>
  </si>
  <si>
    <t>Sachdeva,S.;Sachdev,T. R.;Sachdeva,R.;Dwivedi,N.;Taneja,N.</t>
  </si>
  <si>
    <t>Published research studies conducted amongst Indian medical undergraduate students: Bibliometric Analysis</t>
  </si>
  <si>
    <t>Indian Journal of Community Health</t>
  </si>
  <si>
    <t>Original Research;Publication;Medical Students;Pedogogy;Medical;Education;IMPACT;OUTPUT</t>
  </si>
  <si>
    <t>Objective: Evaluation of published original research conducted amongst Indian medical undergraduate students. Methodology: A systematic review was undertaken using keywords "MBBS students" or "medical students" or "health students" or "university students" and "India" through search engines, PUBMED and Google scholar. Considering feasibility, time frame of published original research article was restricted to one-year only i.e. 2016. Research domain, research design, author and other bibliometric details of research manuscript were captured using check-list and analysis carried out using descriptive statistics. Results: A total of 99 suitable original research articles were identified under certain criteria and considered in present analysis. With regard to thematic research domain, highest, 29 (29.2%) articles were related to teaching and learning process followed by 13 (13.1%) to mental health (depression, anxiety, sleep, spirituality) of students; 07 (7.0%) were based on physical fitness/exercise/yoga; and substance abuse (6.0%) amongst medical students etc. Nearly, 86 (86.8%) of articles were cross-sectional descriptive based studies while 13 (13.1%) had intervention based research design. A total of 34 (34.3%) research articles could be labeled as "KAP" (knowledge, attitude and practice) survey. Department wise detail of corresponding author was largely dominated by faculty from pre and para-clinical departments. Highest was community medicine in (35.3%) articles, pharmacology (23.2%), physiology (17.1%), microbiology (6.0%), and biochemistry (4.0%) etc. The studies covered an average sample size of 188.8 MBBS students (20-360, range); 57.5% of research article covered students from only one professional year. However, in 42 (42.4%) articles there was no further mention of gender based sample information. Out of all the references used in research articles, only 57.3% were of recent (2005-2015) origin while the rest were from older time-frame. Conclusion: A systematic evaluation of published original research articles conducted upon MBBS undergraduate students studying in Indian medical colleges was undertaken, probably first of its kind in India. In conclusion, diverse topics of research have been conducted by the teaching faculties and this study provides the over-view of the same</t>
  </si>
  <si>
    <t>J2: Indian J. Community Health; 0; ID: 4013</t>
  </si>
  <si>
    <t>0971-7587</t>
  </si>
  <si>
    <t>Sachdeva, Sandeep] North DMC Med Coll, MD Dept Community Med, Delhi 110007, India. Sachdeva, Sandeep] Hindu Rao Hosp, New Delhi 110007, India. Sachdev, T. R.] VMMC &amp; Safdarjung Hosp, MD Dept Community Med, New Delhi, India. Sachdeva, Ruchi] ESIC Med Coll &amp; Hosp, DNB Dept Resp Med, Faridabad, Haryana, India. Dwivedi, Nidhi; Taneja, Neha] North DMC Med Coll, Dept Community Med, New Delhi, India. Dwivedi, Nidhi; Taneja, Neha] Hindu Rao Hosp, New Delhi 110007, India. Sachdeva, S (reprint author), North DMC Med Coll, Dept Community Med, New Delhi, India.; Sachdeva, S (reprint author), Hindu Rao Hosp, New Delhi 110007, India. sachdevadr@yahoo.in</t>
  </si>
  <si>
    <t>WOS:000428113700013</t>
  </si>
  <si>
    <t>Savage,S.;West,D.</t>
  </si>
  <si>
    <t>Review of Undergraduate Medical Education in Addiction Medicine Using a Curricular Template Keyed to ACGME Competency Domains</t>
  </si>
  <si>
    <t>J2: Subst. Abus.; 0; ID: 4283</t>
  </si>
  <si>
    <t>Savage, S.; West, D.] Dartmouth Med Sch, Hanover, NH USA.</t>
  </si>
  <si>
    <t>WOS:000283306600029</t>
  </si>
  <si>
    <t>Schneiderman,J. F.;Rankin,J. G.</t>
  </si>
  <si>
    <t>Attitudes Towards Alcohol Dependence - Medical-Students Vs Professionals Working in Alcohol and Drug Services</t>
  </si>
  <si>
    <t>Clinical and Investigative Medicine-Medecine Clinique Et Experimentale</t>
  </si>
  <si>
    <t>B102</t>
  </si>
  <si>
    <t>J2: Clin. Invest. Med.-Med. Clin. Exp.; 0 B; ID: 4474</t>
  </si>
  <si>
    <t>Addict res fdn,toronto m5s 2s1,ontario,canada. univ toronto,toronto m5s 1a1,ontario,canada.</t>
  </si>
  <si>
    <t>WOS:A1987J625700331</t>
  </si>
  <si>
    <t>Schnoll,S. H.</t>
  </si>
  <si>
    <t>Reflections of an Academic Clinical Researcher on the Past 40 Years of Addiction Development</t>
  </si>
  <si>
    <t>This paper reflects on three areas of addiction: prescription drug abuse, perinatal addiction, and the clinical fields of addiction medicine and addiction psychiatry. The concerns about the abuse and misuse of prescription drugs date back over a century with numerous laws passed to address these problems. Despite these laws, there has been increasing concern over the past decade about the increases in the nonmedical use and abuse of prescription drugs. This begs the question of whether the passing of laws addressing the supply side of the problem is the correct approach. Abuse of licit and illicit drugs by pregnant women creates concern because of the effects of drugs and alcohol on the fetus and future development of the child. Most of the studies have addressed newborn development without adequate studies of the effects of the drugs and withdrawal on pregnancy and the fetus. In addition, studies of long-term effects on the development of the child are needed. The only way to adequately address these important clinical issues will be to have well-trained clinicians and clinical investigators in addiction medicine and addiction psychiatry.</t>
  </si>
  <si>
    <t>J2: J. Drug Issues; 0; ID: 4256</t>
  </si>
  <si>
    <t>Schnoll, Sidney H.] Virginia Commonwealth Univ, Sch Med, Internal Med &amp; Psychiat, Richmond, VA 23284 USA.</t>
  </si>
  <si>
    <t>WOS:000266508900004</t>
  </si>
  <si>
    <t>10.1177/002204260903900103</t>
  </si>
  <si>
    <t>Medical-Education for Pain and Addiction - Making Progress toward Answering a Need</t>
  </si>
  <si>
    <t>Journal of Law Medicine &amp; Ethics</t>
  </si>
  <si>
    <t>J2: J. Law Med. Ethics; 15 7749481; ID: 4422</t>
  </si>
  <si>
    <t>0277-8459</t>
  </si>
  <si>
    <t>Virginia commonwealth univ,dept psychiat,richmond,va. virginia commonwealth univ,div substance abuse med,richmond,va. n carolina governors inst alcohol &amp; subst abuse,res triangle pk,nc. durham cty subst abuse serv,res triangle pk,nc. SCHNOLL, SH (reprint author), VIRGINIA COMMONWEALTH UNIV,DEPT INTERNAL MED,RICHMOND,VA, USA.</t>
  </si>
  <si>
    <t>WOS:A1994QA21100009</t>
  </si>
  <si>
    <t>10.1111/j.1748-720X.1994.tb01303.x</t>
  </si>
  <si>
    <t>Schuster,R.;Gavas,F.;Schneider,U.;Glahn,A.;Hillemacher,T.;Frischknecht,U.;Reinhard,I.;Kleimann,A.;Bleich,S.;Heberlein,A.</t>
  </si>
  <si>
    <t>Stigmatisation of Alcohol Dependence: Attitudes of Alcohol-Dependent Patients During Detoxifi cation, Medical Staff and Students</t>
  </si>
  <si>
    <t>Sucht-Zeitschrift Fur Wissenschaft Und Praxis</t>
  </si>
  <si>
    <t>Alcohol dependence;attitudes;detoxification;stigmatization;stigma;ABSTINENCE SELF-EFFICACY;MENTAL-ILLNESS;CAUSAL EXPLANATIONS;SOCIAL;DISTANCE;SCHIZOPHRENIA;DISORDERS;IMPACT;DANGEROUSNESS;CONSEQUENCES</t>
  </si>
  <si>
    <t>The study investigated attitudes towards people with alcohol dependency and the acceptance of neurobiological as well as social causes of the disease. Methods: The 75-item questionnaire surveyed the views of 254 participants towards alcohol-dependent people and compared attitudes of affected and healthy individuals. The persons affected by alcohol dependency (n = 122) were surveyed during an inpatient treatment program following physical withdrawal. In the comparison groups, medical staff (n = 70) as well as students without medical background knowledge (n = 62) were interviewed. Results: We did not fi nd any differences in the attribution of neurobiological factors as causes of alcohol dependence between the affected persons and the medical staff. Students considered neurobiological factors to have less of a role in causing alcohol dependence compared to those affected and medical staff. Concerning social factors as causes of alcohol dependency, there were no signifi cant differences between the three groups. Affected persons assessed the character characteristics of alcohol-dependent patients overall more positively than medical staff and students. Conclusion: Those affected by alcohol dependency report more positive attitudes towards people suffereing from the disease than medical staff and students with no medical or psychological background.</t>
  </si>
  <si>
    <t>J2: Sucht; 0; ID: 4005</t>
  </si>
  <si>
    <t>Schuster, Rilana; Frischknecht, Ulrich] Heidelberg Univ, Med Fak Mannheim, Zent Inst Seel Gesundheit, Klin Abhangiges Verhalten &amp; Suchtmed, Mannheim, Germany. Schuster, Rilana; Glahn, Alexander; Hillemacher, Thomas; Kleimann, Alexandra; Bleich, Stefan; Heberlein, Annemarie] Hannover Med Sch, Klin Psychiat Sozialpsychiat &amp; Psychotherapie, Ctr Addict Res CARe, Hannover, Germany. Gavas, Funda; Schneider, Udo] Ruhr Univ Bochum, Univ Klin Psychiat &amp; Psychotherapie, Lubeck, Germany. Frischknecht, Ulrich] Heidelberg Univ, Feuerlein Ctr Translat Suchtmed, Heidelberg, Germany. Reinhard, Iris] Heidelberg Univ, Med Fak Mannheim, Biostat, Zent Inst Seel Gesundheit, Mannheim, Germany. Schuster, R (reprint author), Heidelberg Univ, Med Fak Mannheim, Zent Inst Seel Gesundheit, Klin Abhangiges Verhalten &amp; Suchtmed, Mannheim, Germany. rilana.schuster@zi-mannheim.de</t>
  </si>
  <si>
    <t>WOS:000425083600003</t>
  </si>
  <si>
    <t>10.1024/0939-5911/a000502</t>
  </si>
  <si>
    <t>Physicians Attitudes toward Preventive Care Services - a 7-Year Prospective Cohort Study</t>
  </si>
  <si>
    <t>J2: Am. J. Prev. Med.; 22 1524861; ID: 4434</t>
  </si>
  <si>
    <t>SCOTT, CS (reprint author), UNIV WASHINGTON,SCH MED,DEPT MED EDUC,MAIL STOP 3C-45,SEATTLE,WA 98195, USA.</t>
  </si>
  <si>
    <t>WOS:A1992JJ97000007</t>
  </si>
  <si>
    <t>Seshadri,S.</t>
  </si>
  <si>
    <t>Substance abuse among medical students and doctors: A call for action</t>
  </si>
  <si>
    <t>J2: Natl. Med. J. India; 7 18807308; ID: 4303</t>
  </si>
  <si>
    <t>Natl Inst Mental Hlth &amp; Neurosci, Dept Psychiat, Unit Child &amp; Adolescent Psychiat, Bangalore 560029, Karnataka, India. Seshadri, S (reprint author), Natl Inst Mental Hlth &amp; Neurosci, Dept Psychiat, Unit Child &amp; Adolescent Psychiat, Bangalore 560029, Karnataka, India. shekhar@nimhans.kar.nic.in</t>
  </si>
  <si>
    <t>WOS:000256243100001</t>
  </si>
  <si>
    <t>Shah,A. A.;Bazargan-Hejazi,S.;Lindstrom,R. W.;Wolf,K. E.</t>
  </si>
  <si>
    <t>Prevalence of At-Risk Drinking Among a National Sample of Medical Students</t>
  </si>
  <si>
    <t>Alcohol;at-risk drinking;behaviors;medical school;medical student;risky behaviors;IDENTIFICATION TEST AUDIT;SUBSTANCE USE;ALCOHOL-CONSUMPTION;HAZARDOUS;DRINKING;BINGE DRINKING;UNITED-STATES;SCHOOL;INJURY;PERSONALITY;DISTRESS</t>
  </si>
  <si>
    <t>As limited research exists on medical students' substance use patterns, including over-consumption of alcohol, the objective of this study was to determine prevalence and correlates of at-risk drinking among a national sample of medical students, using a cross-sectional, anonymous, Web-based survey. A total of 2710 medical students from 36 U.S. medical schools (1st to 4th year) completed the survey. Included in the instruments was a 10-item scale (AUDIT) to assess at-risk drinking behaviors within the last 12 months. Over 15% of the subjects (n = 412) scored positive for at-risk drinking (&gt;= 8). Multivariate analysis of the data revealed the following independent predictors were statistically significant (P &lt;= 0.05) for at-risk drinking: being of younger age, male, unmarried, using illicit drugs, smoking tobacco products within the last 30 days, having low perception of risk, showing impulsive behavior, being depressed, and having gambling problems. Findings from this study provides initial data for investigating further associations between risky drinking behavior, lifestyle, and psychosocial factors, as well as effectiveness of curriculum or campus-wide policy interventions to reduce over-consumption of drinking among this population.</t>
  </si>
  <si>
    <t>J2: Subst. Abus.; Charles Drew University of Medicine and Science; NIH NCRR 5 S21 MD00103-04] 32 19347753; ID: 4282</t>
  </si>
  <si>
    <t>Bazargan-Hejazi, Shahrzad] Charles R Drew Univ Med &amp; Sci, Coll Med, Dept Psychiat, Los Angeles, CA 90059 USA. Shah, Ameet Arvind] Kaiser Permanente Los Angeles, Dept Family Med, Los Angeles, CA USA. Bazargan-Hejazi, Shahrzad] Univ Calif Los Angeles, David Geffen Sch Med, Semel Inst, Los Angeles, CA 90095 USA. Lindstrom, Richard W.] Charles R Drew Univ Med &amp; Sci, Coll Med, Dept Internal Med, Los Angeles, CA 90059 USA. Wolf, Kenneth E.] Charles R Drew Univ Med &amp; Sci, Coll Med, Dept Otolaryngol, Los Angeles, CA 90059 USA. Bazargan-Hejazi, S (reprint author), Charles R Drew Univ Med &amp; Sci, Coll Med, Dept Psychiat, 1621 E 120th St, Los Angeles, CA 90059 USA. shahrzadbazargan@cdrewu.edu</t>
  </si>
  <si>
    <t>WOS:000283306600004</t>
  </si>
  <si>
    <t>10.1080/08897070902802067</t>
  </si>
  <si>
    <t>Sheikhie,H.;Jahrimi,M. Z.;Kouhi,B.;Mastalizade,H.</t>
  </si>
  <si>
    <t>A Study of Drug Abuse in Medical Students: A Cross-Sectional Study</t>
  </si>
  <si>
    <t>Quid-Investigacion Ciencia Y Tecnologia</t>
  </si>
  <si>
    <t>Drug Abuse;Addiction;Medical Sciences;Kerman</t>
  </si>
  <si>
    <t>Objective: This study examines drug tendencies of medical science students. Study Design: Cross-sectional study. Place and Duration of study: 3 months in Kerman University of medical science Materials and methods: This descriptive study was conducted on 413 (from 645) students, ages of 18-19 years old, of the colleges affiliated with Kerman University of Medical Sciences for 60 days from November 3, 2014, to January. 2, 2015. Data analysis was done by SPSS software version 21. Results: Medical students had gained highest average score (12.26 +/- 2.68) and management students had gained the lowest average score (10.40 +/- 2.31) in the environmental dimension tendency toward drug addiction. The highest average of the total drug tendency was for laboratory non-continuous students (and the lowest average of the total tendency was for midwifery students (34.23 +/- 5.80). May it could be because of their female gender. There is also a significant difference between the total score and the different dimensions of drug tendency in terms of field of study. Conclusion: The main cause of drug orientation among students is social dimension especially friends. The emphasis of families and Higher education officials is on choosing a good friend. Student justification provided by the Department of Cultural and Student Affairs Can be helpful.</t>
  </si>
  <si>
    <t>J2: QUID-Investig. Cienc. Tecnol.; 0 SI; ID: 4025</t>
  </si>
  <si>
    <t>1692-343X</t>
  </si>
  <si>
    <t>Sheikhie, Hamidreza; Mastalizade, Hadis] Zabol Univ Med Sci, Fac Nursing, Nursing, Zabol, Iran. Sheikhie, Hamidreza; Mastalizade, Hadis] Zabol Univ Med Sci, Midwifery Sch, Zabol, Iran. Jahrimi, Mojtaba Zeini] Jahrom Univ Med Sci, Fac Nursing &amp; Midwifery Jahrom, Nursing, Jahrom, Iran. Kouhi, Batool] Zabol Univ Med Sci, Fac Nursing, Clin Psychol, Zabol, Iran. Kouhi, Batool] Zabol Univ Med Sci, Midwifery Sch, Zabol, Iran. Mastalizade, H (reprint author), Zabol Univ Med Sci, Fac Nursing, Nursing, Zabol, Iran.; Mastalizade, H (reprint author), Zabol Univ Med Sci, Midwifery Sch, Zabol, Iran. hadismast@gmail.com</t>
  </si>
  <si>
    <t>WOS:000429928000010</t>
  </si>
  <si>
    <t>Teaching Medical-Students About Substance Abuse in a Weekend Intervention Program</t>
  </si>
  <si>
    <t>7 6834410; ID: 4490</t>
  </si>
  <si>
    <t>Wright state univ,sch med,dept sociol,dayton,oh 45435. wright state univ,sch med,dept family practice,dayton,oh 45435. wright state univ,sch med,dept psychiat,dayton,oh 45435. SIEGAL, H (reprint author), WRIGHT STATE UNIV,SCH MED,DEPT MED SOC,DAYTON,OH 45435, USA.</t>
  </si>
  <si>
    <t>WOS:A1983QZ38700005</t>
  </si>
  <si>
    <t>Simcharoen,S.;Pinyopornpanish,M.;Haoprom,P.;Kuntawong,P.;Wongpakaran,N.;Wongpakaran,T.</t>
  </si>
  <si>
    <t>Prevalence, associated factors and impact of loneliness and interpersonal problems on internet addiction: A study in Chiang Mai medical students</t>
  </si>
  <si>
    <t>Loneliness;Interpersonal problems;Internet addiction;Medical students;ACADEMIC-PERFORMANCE;DEPRESSIVE SYMPTOMS;ADOLESCENTS;METAANALYSIS;PREDICTORS;DEPENDENCE;SHYNESS;STYLES</t>
  </si>
  <si>
    <t>Introduction: Internet addiction is common among medical students, and the prevalence is higher than the general population. Identifying and creating solutions for this problem is important. The aim of this study was to examine the prevalence and associated factors, particularly loneliness and interpersonal problems among Chiang Mai medical students. Materials and methods: Of 324 first to sixth year medical students, 56.8% comprised females with a mean age of 20.88 (SD 1.8). All completed questionnaires related to the objectives and activities of internet use, the Young Internet Addiction Test, the UCLA loneliness scale, and the Interpersonal Problems Inventory were employed to identify internet addiction. Results: In all, 36.7% of the subjects exhibited internet addiction, mostly at mild level. Amount of time used daily, loneliness and interpersonal problems were strong predictors (beta= 0.441, p &lt; 0.05, beta = 0.219, p &lt; 0.001 and beta = 0.203 p &lt; 0.001, respectively), whereas age and sex were not. All objectives of using internet contributed to the variance of internet addiction score. For internet activities, only non-academic or studying contributed. The final model accounted for 42.8% of total variance of the internet addiction score. Conclusion: Even though most addiction was at a mild level, careful strategies should be applied to better understand the situation. Along with a screening for potential internet addiction among medical students, attention should be paid to identifying those who experience loneliness and interpersonal problems, because both are strong predictors that can be improved by a variety of appropriate intervention.</t>
  </si>
  <si>
    <t>J2: Asian J. Psychiatr.; 0 29306727; ID: 4000</t>
  </si>
  <si>
    <t>Simcharoen, Sutapat; Pinyopornpanish, Manee; Kuntawong, Pimolpun; Wongpakaran, Nahathai; Wongpakaran, Tinakon] Chiang Mai Univ, Fac Med, Dept Psychiat, 110 Intawaroros Rd, Chiang Mai 50200, Thailand. Haoprom, Pattaraporn] Chiang Mai Univ, Fac Med, Chiang Mai, Thailand. Wongpakaran, T (reprint author), Chiang Mai Univ, Fac Med, Dept Psychiat, 110 Intawaroros Rd, Chiang Mai 50200, Thailand. tinakon.w@cmu.ac.th</t>
  </si>
  <si>
    <t>WOS:000429590000003</t>
  </si>
  <si>
    <t>10.1016/j.ajp.2017.12.017</t>
  </si>
  <si>
    <t>Singh,J.;Pal,T.;Chandra,P.</t>
  </si>
  <si>
    <t>The Prevalence Of Internet Addiction Among The Students In A Western UP Medical College</t>
  </si>
  <si>
    <t>S226</t>
  </si>
  <si>
    <t>Prevalence;Internet Addiction;Saraswathi;Students</t>
  </si>
  <si>
    <t>J2: Indian J. Psychiatry; 0 2; ID: 4037</t>
  </si>
  <si>
    <t>Singh, Jitender; Pal, Tarun; Chandra, Prakash] Saraswathi Inst Med Sci, Hapur, UP, India. Dr.rktomar111@gmail.com</t>
  </si>
  <si>
    <t>WOS:000392104500305</t>
  </si>
  <si>
    <t>Sinthubua,A.;Das,S.;Ruengdit,S.;Singsuwan,P.;Mahakkanukrauh,P.</t>
  </si>
  <si>
    <t>Health Issues in Medical Students: How We Need To Take Care of Our Future Generation Doctors</t>
  </si>
  <si>
    <t>Journal of Krishna Institute of Medical Sciences University</t>
  </si>
  <si>
    <t>Disease;Illness;Medical;Students;SUBSTANCE USE</t>
  </si>
  <si>
    <t>Medical profession is one of the most coveted professions in the society. During the medical course, individuals are subjected to much stress and hardships. Many fail to cope up and quit the course or even land up in substance abuse. A major cause of concern is the health of any medico. On few occasion the disease may be imaginative in nature whereas at other times it may be actually present. There is a need to differentiate between two. At many occasions, there are illnesses which are a cause of worry for both parents and administration. The health of every single budding doctor is important as entrance to medical course is an intellectual superior individual it incurs heavy expenses on the part of the administration and we cannot afford to compromise on such a potential asset to the society. We performed an extensive search of literature such as Pubmed, Scopus and Google for obtaining necessary articles for this short narrative mini review. Search terms included: "medical", students", "illnesses", disease." The present review is first of its kind which aims to discuss the medical illness and various diseases affecting the medicos during their professional career. The results of the review may help in better planning in terms of taking care of the health of medical students.</t>
  </si>
  <si>
    <t>J2: J. Krishna Inst. Med. Sci. Univ.; 0; ID: 4063</t>
  </si>
  <si>
    <t>2231-4261</t>
  </si>
  <si>
    <t>Sinthubua, Apichat; Ruengdit, Sittiporn; Singsuwan, Phruksachat; Mahakkanukrauh, Pasuk] Chiang Mai Univ, Fac Med, Forens Osteol Res Ctr, Chiang Mai 50200, Thailand. Sinthubua, Apichat; Mahakkanukrauh, Pasuk] Chiang Mai Univ, Fac Med, Dept Anat, Chiang Mai 50200, Thailand. Sinthubua, Apichat; Mahakkanukrauh, Pasuk] Chiang Mai Univ, Excellent Ctr Osteol Res &amp; Training Ctr ORTC, Chiang Mai 50200, Thailand. Das, Srijit] Univ Kebangsaan Malaysia, Med Ctr, Dept Anat, Kuala Lumpur 56000, Malaysia. Mahakkanukrauh, P (reprint author), Chiang Mai Univ, Fac Med, Dept Anat, Chiang Mai 50200, Thailand.; Mahakkanukrauh, P (reprint author), Chiang Mai Univ, Excellent Ctr Osteol Res &amp; Training Ctr ORTC, Chiang Mai 50200, Thailand. pasuk034@gmail.com</t>
  </si>
  <si>
    <t>WOS:000384882100002</t>
  </si>
  <si>
    <t>Smit,P.;Pretorius,P. J.;Joubert,G.</t>
  </si>
  <si>
    <t>University of the Free State medical students' view of at-risk drinking behaviour and psychoactive substance use</t>
  </si>
  <si>
    <t>DRUG-USE;ALCOHOL;CONSUMPTION;DISEASE;SCHOOL</t>
  </si>
  <si>
    <t>Objectives. To investigate undergraduate medical students' knowledge of at-risk drinking behaviour and their own patterns of alcohol intake. The use of non-alcoholic psychoactive substances was also investigated. Design. A cross-sectional study design was used. Participants completed a self-administered anonymous questionnaire designed using the US Department of Health and Human Services guidelines for identifying at-risk drinking. Setting. The School of Medicine, University of the Free State, Bloemfontein. Subjects. Participants included first-, fourth- and fifth-year medical students enrolled in 2006. Results. Of 408 questionnaires, 371 (90.9%) were returned. Of students who repeated an academic year, 10% ascribed it to substance use. The majority of students conservatively estimated the maximum daily and weekly safe levels of alcohol consumption for both men and women as notably lower than set by the guidelines. Nevertheless, 32% of students admitted to alcohol intake exceeding these limits, and 55.3% were identified as at-risk drinkers. Marijuana was the most common non-alcoholic substance used by medical students (14.6%) in the preceding 3 years. Alcohol and other substances were most frequently used during social activities with friends. Conclusion. Both medical students' knowledge of levels of alcohol intake associated with increased risks and their own drinking patterns could potentially influence their approach to patients with alcohol-related problems. Education regarding at-risk drinking behaviour therefore needs to be addressed.</t>
  </si>
  <si>
    <t>J2: Sajp; 1; ID: 4268</t>
  </si>
  <si>
    <t>Smit, P.; Pretorius, P. J.] Univ Free State, Dept Psychiat, Fac Hlth Sci, Bloemfontein, South Africa. Joubert, G.] Univ Free State, Dept Biostat, Fac Hlth Sci, Bloemfontein, South Africa. Smit, P (reprint author), Univ Free State, Dept Psychiat, Fac Hlth Sci, Bloemfontein, South Africa.</t>
  </si>
  <si>
    <t>WOS:000265925500005</t>
  </si>
  <si>
    <t>Soleimani,M. A.;Sharif,S. P.;Yaghoobzadeh,A.;Ong,F. S.</t>
  </si>
  <si>
    <t>Relationship Between Hardiness and Addiction Potential in Medical Students</t>
  </si>
  <si>
    <t>Addiction;Hardiness;Medical Students;Socio-Economic Factors</t>
  </si>
  <si>
    <t>Background: Hardiness as one of the personality traits is an important factor in predisposing risky behaviors including addiction. Objectives: This research examines the relationship between hardiness and addiction potential and identifies socio-economic determinants of hardiness and tendency to addiction among medical students in Iran. Materials and Methods: In this study, 577 medical students selected based on the convenience sampling method were examined. They were selected from five faculties of Qazvin University of Medical Sciences. Data were collected on hardiness scale, addiction potential scale and demographic variables. Data analysis included descriptive and inferential statistics powered by SPSS (v. 22). Results: Research results showed that there was a negative relationship between hardiness and addiction potential (r = -227, P &lt; 0.001). Males had a higher level of hardiness (P &lt; 0.05) and lower addiction potential than females (P &lt; 0.01). Respondents who had an addicted person in their family showed a lower addiction potential than those who did not have an addicted family member (P &lt; 0.01). Being in a family with cold relationships was associated with higher levels of hardiness; they showed less addiction potential compared to persons who enjoyed a warm family with friendly relationships (P &lt; 0.01), but lower levels of hardiness. Conclusions: Hardiness had a significant negative relationship with tendency to addiction. Regarding demographic factors that were found to be the predictors of hardiness and addiction potential, a consistent pattern was observed in which those who had high tendency for addition were low in hardiness. This is not surprising since hardiness is a shield that provides a defense mechanism for coping behavior when a person is faced with negative life events or adverse life conditions. Based on the results, individuals high in hardiness are perhaps less likely to resort to drugs. However, further researches are recommended on this subject.</t>
  </si>
  <si>
    <t>J2: Iran. J. Psychiatry Behav. Sci.; social determinants of health research center, Qazvin University of Medical Sciences, Qazvin, Iran 0 UNSP e6225; ID: 4038</t>
  </si>
  <si>
    <t>1735-8639</t>
  </si>
  <si>
    <t>Soleimani, Mohammad Ali] Qazvin Univ Med Sci, Social Determinants Hlth Res Ctr, Qazvin, Iran. Sharif, Saeed Pahlevan] Taylors Univ, Taylors Business Sch, 1 Jalan Taylors, Subang Jaya 47500, Selangor, Malaysia. Yaghoobzadeh, Ameneh] Univ Tehran Med Sci, Tehran, Iran. Ong, Fon Sim] Univ Nottingham, Mkt, Malaysia Campus,Jalan Broga, Selangor 43500, Malaysia. Yaghoobzadeh, A (reprint author), Univ Tehran Med Sci, Tehran, Iran. a.yaghoobzadeh@yahoo.com</t>
  </si>
  <si>
    <t>WOS:000399913900018</t>
  </si>
  <si>
    <t>10.17795/ijpbs-6225</t>
  </si>
  <si>
    <t>Update on Medical-Education in Alcohol and Drug-Abuse</t>
  </si>
  <si>
    <t>8 671505; ID: 4503</t>
  </si>
  <si>
    <t>George washington univ,sch med,washington,dc 20006. SOLOMON, J (reprint author), SUNY,DOWNSTATE MED CTR,CTR CAREER TEACHER,BROOKLYN,NY 11203, USA.</t>
  </si>
  <si>
    <t>WOS:A1978FG42700011</t>
  </si>
  <si>
    <t>Solomon,J.;Pokorny,A.;Zimberg,S.</t>
  </si>
  <si>
    <t>Alcoholism and Drug-Abuse Training during Psychiatric Residency</t>
  </si>
  <si>
    <t>Journal of Psychiatric Education</t>
  </si>
  <si>
    <t>8; ID: 4496</t>
  </si>
  <si>
    <t>0363-1907</t>
  </si>
  <si>
    <t>SOLOMON, J (reprint author), SUNY DOWNSTATE MED CTR,BROOKLYN,NY 11203, USA.</t>
  </si>
  <si>
    <t>WOS:A1981LZ71200002</t>
  </si>
  <si>
    <t>Spickard,W. A.;Burger,M. C.;Johnson,P.</t>
  </si>
  <si>
    <t>Training Medical-Students to Interview Alcohol and Drug Dependent Patients</t>
  </si>
  <si>
    <t>Clinical research</t>
  </si>
  <si>
    <t>Clin.Res.</t>
  </si>
  <si>
    <t>A87</t>
  </si>
  <si>
    <t>J2: Clin. Res.; 0; ID: 4461</t>
  </si>
  <si>
    <t>Vanderbilt univ,dept med,nashville,tn 37240. univ s carolina,sch med,columbia,sc 29208.</t>
  </si>
  <si>
    <t>WOS:A1989R585100504</t>
  </si>
  <si>
    <t>Stein,M.;Osinaga,A. M.;Kunins,H. V.;Roose,R. J.</t>
  </si>
  <si>
    <t>Teaching Residents About Caring for Patients with Substance Use Disorders: An Experiential Approach</t>
  </si>
  <si>
    <t>J2: Subst. Abus.; 0; ID: 4199</t>
  </si>
  <si>
    <t>Stein, Melissa; Kunins, Hillary V.; Roose, Robert J.] Albert Einstein Coll Med, Bronx, NY 10461 USA. Osinaga, Alda M.; Kunins, Hillary V.] Montefiore Med Ctr, Bronx, NY USA.</t>
  </si>
  <si>
    <t>WOS:000306464200049</t>
  </si>
  <si>
    <t>Stein,M. R.;Kunins,H. V.;Parish,S. J.;Arnsten,J.</t>
  </si>
  <si>
    <t>J2: J. Gen. Intern. Med.; 31st Annual Meeting of the Society-of-General-Internal-Medicine APR 09-12, 2008 Pittsburgh, PA Soc Gen Internal Med 0 2; ID: 4300</t>
  </si>
  <si>
    <t>Stein, M. R.; Kunins, H. V.; Parish, S. J.; Arnsten, J.] Montefiore Med Ctr, Albert Einstein Coll Med, Bronx, NY 10467 USA.</t>
  </si>
  <si>
    <t>WOS:000254237100306</t>
  </si>
  <si>
    <t>Stiefelhagen,P.</t>
  </si>
  <si>
    <t>Progress and continuing education in medicine - Part Two: Depressive disorders, prenatal medical treatments, autoimmune diseases, drug therapy</t>
  </si>
  <si>
    <t>Internist</t>
  </si>
  <si>
    <t>J2: Internist; 0; ID: 4397</t>
  </si>
  <si>
    <t>0020-9554</t>
  </si>
  <si>
    <t>DRK Krankenhaus Westerwald, Innere Abt, D-57627 Hachenburg, Germany. Stiefelhagen, P (reprint author), DRK Krankenhaus Westerwald, Innere Abt, D-57627 Hachenburg, Germany.</t>
  </si>
  <si>
    <t>WOS:000080917700020</t>
  </si>
  <si>
    <t>10.1007/s001080050390</t>
  </si>
  <si>
    <t>Stimmel,B.;Colliver,J. A.;Cohen,D. S.;Smith,L.;Swartz,M. H.</t>
  </si>
  <si>
    <t>Using SPs for teaching and assessing clinical skills for encounters with patients with problems of substance abuse, pain control, and AIDS</t>
  </si>
  <si>
    <t>Advances in Medical Education</t>
  </si>
  <si>
    <t>The ability of house staff to assess standardized patients (SP) presenting in pain or with substance abuse problems, as compared to general medical problems, was studied with 24 recent graduates of U.S. medical schools (USMGs) and 65 recent graduates of international medical schools (IMGs). Their performance was compared with that of 12 physician or nurse practitioners utilizing four Sp cases. The reliability of all four cases was quite good. The IMGs were found to perform significantly less well than the USMGs in all al eas except the poststation encounter: However, within each group the performance on the SP cases of pain control and substance abuse was considerably less than that seen in the general medical cases, suggesting that education of residents in these areas is lacking.</t>
  </si>
  <si>
    <t>Proceedings Paper 7th Ottawa International Conference on Medical Education and Assessment JUN 25-28, 1996 MAASTRICHT, NETHERLANDS PO BOX 17, 3300 AA DORDRECHT, NETHERLANDS; ID: 4411</t>
  </si>
  <si>
    <t>Springer</t>
  </si>
  <si>
    <t>Dordrecht</t>
  </si>
  <si>
    <t>0-7923-4149-X</t>
  </si>
  <si>
    <t>Mt Sinai Sch Med, New York, NY 10029 USA.</t>
  </si>
  <si>
    <t>WOS:000075331500218</t>
  </si>
  <si>
    <t>Susman,J.;Sitorius,M.;Schneider,M.;Gilbert,C.</t>
  </si>
  <si>
    <t>Effect of a Substance-Abuse Curriculum on the Recognition of Alcoholism by Family Medicine Residents</t>
  </si>
  <si>
    <t>AREA</t>
  </si>
  <si>
    <t>This study prospectively evaluated the identification of alcohol abusers by family practice residents in 278 family medicine inpatients. A certified alcohol counselor (CAC) administered a standardized interview, the Michigan Alcoholism Screening Test (MAST) and the CAGE test. Retrospective chart review was used to assess resident history taking and identification of alcoholism. Residents took an alcohol-use history in 74% of patients. Taking an alcohol history was significantly more likely if the patient had an alcohol-related admission diagnosis. The CAC identified 37.8% of the patients as alcohol abusers and there was a high correlation among the interview diagnosis, the MAST and the CAGE. Overall, residents correctly identified 38.8% of current or past alcohol abusers and 94.8% of the non-alcoholics when compared to the CAC interview. Correct resident diagnosis was unrelated to demographic factors, alcohol-related admission diagnosis or years of alcohol abuse. At the beginning of the third study year, we instituted a comprehensive substance abuse curriculum. Despite statistically significant gains in knowledge, resident history taking and correct assessment of alcohol status did not improve.</t>
  </si>
  <si>
    <t>J2: J. Alcohol Drug Educ.; 2; ID: 4432</t>
  </si>
  <si>
    <t>SUSMAN, J (reprint author), UNIV NEBRASKA,MED CTR,DEPT FAMILY PRACTICE,600 S 42ND ST,OMAHA,NE 68198, USA.</t>
  </si>
  <si>
    <t>WOS:A1992JR97400010</t>
  </si>
  <si>
    <t>Talih,F.;Daher,M.;Daou,D.;Ajaltouni,J.</t>
  </si>
  <si>
    <t>Examining Burnout, Depression, and Attitudes Regarding Drug Use Among Lebanese Medical Students During the 4 Years of Medical School</t>
  </si>
  <si>
    <t>Medical students;Mental health;Suicide;Burnout;Depression;PSYCHOACTIVE PRESCRIPTION DRUGS;SUICIDAL IDEATION;SUBSTANCE USE;IDENTIFICATION TEST;SLEEP-DEPRIVATION;COLLEGE-STUDENTS;NONMEDICAL;USE;RISK-FACTORS;STRESS;PREVALENCE</t>
  </si>
  <si>
    <t>Objectives This study aims to evaluate the prevalence of burnout, depressive symptoms, and anxiety symptoms and attitudes toward substance use in medical students as well as their evolution during the 4 years of medical school. Methods A cross-sectional study was carried out at the American University of Beirut Medical Center (AUBMC) between September and December 2016. In total, 176 out of 412 eligible medical students responded. The survey was anonymous and administered via e-mail link to an electronic form. The study included general socio-demographic questions and standardized validated tools to measure depressive symptomatology (PHQ-9), burnout (Burnout Measure), anxiety (GAD-7), alcohol use (AUDIT), and substance abuse (DAST-10) as well as questions pertaining to attitudes toward recreational substance use. Results Overall, 23.8% of medical students reported depressive symptomatology, with 14.5% having suicidal ideations. Forty-three percent were found to have burnout. Those who screened positive for burnout were more likely to be males, to be living away from their parents, and to have experienced a stressful life event during the last year. With the exception of burnout, there was no significant difference in the prevalence of depression or anxiety among the 4 years of medical school. There was a significant difference in alcohol use, illicit substance use, and marijuana use during the four medical school years. Conclusions The results of this study show high rates of depression, burnout, and suicidal ideation among medical students from the Middle East region. Increased rates of substance use were detected as well as a more tolerant attitude toward substance use in general, specifically cannabis. It is crucial that medical educators and policymakers keep tackling the complex multifactorial mental health issues affecting medical students and design effective solutions and support systems.</t>
  </si>
  <si>
    <t>J2: Acad. Psych.; 1 29396837; ID: 3987</t>
  </si>
  <si>
    <t>Talih, Farid; Daher, Michel; Ajaltouni, Jean] Amer Univ Beirut, Med Ctr, Beirut, Lebanon. Daou, Dayane] Amer Univ Beirut, Beirut, Lebanon. Talih, F (reprint author), Amer Univ Beirut, Med Ctr, Beirut, Lebanon. ft10@aub.edu.lb</t>
  </si>
  <si>
    <t>WOS:000429715400024</t>
  </si>
  <si>
    <t>10.1007/s40596-017-0879-x</t>
  </si>
  <si>
    <t>Tanner,T. B.</t>
  </si>
  <si>
    <t>Online opiate addiction education for primary care physicians</t>
  </si>
  <si>
    <t>J2: J. Addict. Dis.; 0; ID: 4366</t>
  </si>
  <si>
    <t>Clin Tools Inc, Chapel Hill, NC 27516 USA.</t>
  </si>
  <si>
    <t>WOS:000182829600016</t>
  </si>
  <si>
    <t>Tanner,T. B.;Metcalf,M. P.;Rossie,K. M.;Wilhelm,S. E.</t>
  </si>
  <si>
    <t>The Interface of Pain and Addiction: Meeting Curriculum and Clinical Skills Needs of Medical Students via Faculty Input</t>
  </si>
  <si>
    <t>J2: Subst. Abus.; 0; ID: 4227</t>
  </si>
  <si>
    <t>WOS:000287030800038</t>
  </si>
  <si>
    <t>Tanner,T. B.;Metcalf,M. P.;Wilhelm,S.</t>
  </si>
  <si>
    <t>Web Based Training for Medical Students on Alcohol Use Disorders</t>
  </si>
  <si>
    <t>J2: Subst. Abus.; 0; ID: 4278</t>
  </si>
  <si>
    <t>WOS:000283304800033</t>
  </si>
  <si>
    <t>Tetrault,J.;Degutis,L.;D'Onofrio,G.;Ryan,S.;Karsif,B.;Martel,S.;Pantalon,M.;O'Connor,P.;Fiellin,D.;Martino,S.;Thung,S.;Green,M.;Bernstein,S.</t>
  </si>
  <si>
    <t>A Multi-Specialty, Graduate Medical Education Screening, Brief Intervention and Referral to Treatment (Sbirt) Curriculum for Alcohol and Substance Use Disorders</t>
  </si>
  <si>
    <t>J2: J. Gen. Intern. Med.; 33rd Annual Meeting of the Society-of-General-Internal-Medicine APR 18-MAY 01, 2010 Minneapolis, MN Soc Gen Internal Med 0 3; ID: 4245</t>
  </si>
  <si>
    <t>Tetrault, Jeanette; D'Onofrio, Gail; Ryan, Sheryl; Karsif, Brian; Martel, Shara; Pantalon, Michael; O'Connor, Patrick; Fiellin, David; Martino, Steve; Thung, Stephen; Bernstein, Steven] Yale Univ, Sch Med, New Haven, CT USA. Degutis, Linda] Yale Univ, Sch Publ Hlth, New Haven, CT USA. Green, Michael] Yale Univ, Sch Med, Waterbury, CT USA.</t>
  </si>
  <si>
    <t>WOS:000277282300508</t>
  </si>
  <si>
    <t>Tetrault,J. M.;Green,M.;Martino,S.;Ryan,S.;Bernstein,S. L.;Illuzzi,J.;Martel,S.;Pantalon,M.;O'Connor,P.;Fiellin,D. A.;D'Onofrio,G.</t>
  </si>
  <si>
    <t>Outcomes of a Multi-Specialty, Screening, Brief Intervention, and Referral to Treatment (Sbirt) Residency Curriculum for Unhealthy Alcohol and Other Substance Use</t>
  </si>
  <si>
    <t>S318</t>
  </si>
  <si>
    <t>S319</t>
  </si>
  <si>
    <t>J2: J. Gen. Intern. Med.; Meeting of the Society-of-General-Internal-Medicine (SGIM) MAY 11-14, 2015-2016 Hollywood, FL Soc Gen Internal Med 0 2; ID: 4061</t>
  </si>
  <si>
    <t>Tetrault, Jeanette M.; Green, Michael; O'Connor, Patrick; Fiellin, David A.] Yale Sch Med, New Haven, CT USA. Martino, Steve] Yale Univ, Sch Med, New Haven, CT USA. Ryan, Sheryl; Bernstein, Steven L.; Illuzzi, Jessica; Martel, Shara; Pantalon, Michael; D'Onofrio, Gail] Yale Univ, New Haven, CT USA.</t>
  </si>
  <si>
    <t>WOS:000392201601039</t>
  </si>
  <si>
    <t>Thiehoff,E. V.</t>
  </si>
  <si>
    <t>Drug Addiction Among Adolescents</t>
  </si>
  <si>
    <t>J2: J. Med. Educ.; 0; ID: 4514</t>
  </si>
  <si>
    <t>WOS:000205883400008</t>
  </si>
  <si>
    <t>Thomsen,N. M.</t>
  </si>
  <si>
    <t>Medical training needs to include alcohol abuse</t>
  </si>
  <si>
    <t>J2: J. Natl. Med. Assoc.; 0; ID: 4335</t>
  </si>
  <si>
    <t>WOS:000203403400019</t>
  </si>
  <si>
    <t>Physicians need more training for controlled prescription drug abuse</t>
  </si>
  <si>
    <t>J2: J. Natl. Med. Assoc.; 0; ID: 4336</t>
  </si>
  <si>
    <t>WOS:000203403400018</t>
  </si>
  <si>
    <t>Tialam,G.;Macharapu,R.;Mallepalli,P. K. R.</t>
  </si>
  <si>
    <t>To Assess the Knowledge of Psychiatric Aspects of Alcohol Use Disorders in Medical Students</t>
  </si>
  <si>
    <t>S88</t>
  </si>
  <si>
    <t>Knowledge;Alcohol use disorders;Medical students</t>
  </si>
  <si>
    <t>J2: Indian J. Psychiatry; 0 S; ID: 4070</t>
  </si>
  <si>
    <t>gautham.tialam@gmail.com</t>
  </si>
  <si>
    <t>WOS:000392103800317</t>
  </si>
  <si>
    <t>Tsimtsiou,Z.;Haidich,A. B.;Spachos,D.;Kokkali,S.;Bamidis,P.;Dardavesis,T.;Arvanitidou,M.</t>
  </si>
  <si>
    <t>Internet Addiction in Greek Medical Students: an Online Survey</t>
  </si>
  <si>
    <t>Internet addiction;Impulsive behavior;Medical students;TURKISH UNIVERSITY-STUDENTS</t>
  </si>
  <si>
    <t>The authors investigated the prevalence of Internet addiction (IA) in undergraduate medical students to identify possible associations with sociodemographics and Internet habits. All students at the Aristotle University of Thessaloniki School of Medicine, Greece, were invited to complete the online Internet Addiction Test (IAT) along with sociodemographics and preferences on Internet activities. The authors received 585 responses after three reminders (23.5 % response rate). Mild IA was found in 24.5 %, moderate in 5.4 %, and severe in 0.2 %. In multivariable analysis, the odds to develop IA were increased with visits in Internet cafes (Odds Ratio OR] 3.49, 95 % Confidence Interval CI]: 1.45, 8.46), the use of Facebook (OR 2.43, 95 % CI: 1.35, 4.38), Twitter (OR 2.45, 95 % CI: 1.37, 4.39), and online games (OR 1.95, 95 % CI: 1.29, 2.94). Using e-mails seemed to be protective against IA (OR 0.59, 95 % CI: 0.37, 0.94). This is the first IA prevalence study in a European medical school. Early-detection systems and other ways to help students with pathological behaviors should be developed.</t>
  </si>
  <si>
    <t>J2: Acad. Psych.; 5 25669634; ID: 4095</t>
  </si>
  <si>
    <t>Tsimtsiou, Zoi; Haidich, Anna-Bettina; Spachos, Dimitris; Kokkali, Stamatia; Bamidis, Panagiotis; Dardavesis, Theodoros; Arvanitidou, Malamatenia] Aristotle Univ Thessaloniki, GR-54006 Thessaloniki, Greece. Tsimtsiou, Z (reprint author), Aristotle Univ Thessaloniki, GR-54006 Thessaloniki, Greece. zoitsimtsiou@yahoo.gr</t>
  </si>
  <si>
    <t>WOS:000354084100011</t>
  </si>
  <si>
    <t>10.1007/s40596-014-0273-x</t>
  </si>
  <si>
    <t>Turner,M.;Fellers,J.;Wallace,E.</t>
  </si>
  <si>
    <t>New Drugs of Abuse: Psychiatry Resident Education and Awareness</t>
  </si>
  <si>
    <t>J2: Am. J. Addict.; 0; ID: 4116</t>
  </si>
  <si>
    <t>Turner, Mary; Fellers, Jonathan; Wallace, Erin] Oregon Hlth &amp; Sci Univ, Portland, VA USA.</t>
  </si>
  <si>
    <t>WOS:000352029900067</t>
  </si>
  <si>
    <t>Vasylyeva,A.;Tabachnikov,S.;Ritkis,I.;Gurkova,A.</t>
  </si>
  <si>
    <t>Smoking, nicotine dependence and anxiety in medical students</t>
  </si>
  <si>
    <t>S412</t>
  </si>
  <si>
    <t>J2: Eur. Neuropsychopharmacol.; 25th Congress of the European-College-of-Neuropsychopharmacology (ECNP) OCT 13-17, 2012 Vienna, AUSTRIA European Coll Neuropsychopharmacol (ECNP) 0 2; ID: 4182</t>
  </si>
  <si>
    <t>Vasylyeva, A.] Donetsk Natl Med Univ, Ukrainian Res Inst Social &amp; Forens Psychiat &amp; Dru, Dept Psychiat Addictol &amp; Med Psychol, Kyiv Donetsk, Ukraine. Tabachnikov, S.; Ritkis, I.; Gurkova, A.] Ukrainian Res Inst Social &amp; Forens Psychiat &amp; Dru, Dept Addictol, Kiev, Ukraine.</t>
  </si>
  <si>
    <t>WOS:000317948600535</t>
  </si>
  <si>
    <t>10.1016/S0924-977X(12)70644-2</t>
  </si>
  <si>
    <t>Vaysse,B.;Gignon,M.;Zerkly,S.;Ganry,O.</t>
  </si>
  <si>
    <t>Alcohol, tobacco, cannabis, anxiety and depression among second-year medical students. Identify in order to act</t>
  </si>
  <si>
    <t>Alcohol drinking;Marijuana smoking;Students, medical;Smoking;Depressive disorder;Anxiety disorders;COLLEGE-ATTENDING PEERS;ILLICIT DRUG-USE;BINGE-DRINKING;USE;DISORDERS;SUICIDAL IDEATION;CONSUMPTION;HEALTH;DOCTORS;PREVALENCE;PHYSICIANS</t>
  </si>
  <si>
    <t>Introduction: Excessive alcohol consumption and illicit drug use among students have negative repercussions on their health, education and society in general. Medical students are no exception. Methods: The objective of this study was to evaluate the consumption of alcohol, tobacco and cannabis as well as levels of anxiety and depression of students admitted to the second year of medical studies based on anonymous self-administered questionnaires containing the following tests: AUDIT; Fagerstrom, CAST and HAD. Results: 198 of the 207 students involved agreed to participate. Excessive alcohol consumption was higher among women than among men (35% versus 22%), but fewer women were alcohol-dependent (2% versus 8%) (p &lt; 0.05). 16% of students were tobacco smokers, with no signs of dependence in 80% of cases. 15% of students smoked cannabis and 52% of them presented problem use. 21% of women had a suspected anxiety disorder and 23% had a proven anxiety disorder, versus 17% and 6% of men, respectively (p = 0.002). 3% had a suspected depressive disorder and 0.5% had a proven depressive disorder. High-risk alcohol consumption was significantly correlated with high-risk cannabis use. No correlation was demonstrated between anxiety or depression and these consumptions. Discussion: Doctors appear to be particularly affected by psychological disorders or addictions and medical students are paradoxically less likely than the general population to receive appropriate care. Universities must provide monitoring and support for students in order to improve their health, but also to enable them to provide care and appropriate educational messages to their patients.</t>
  </si>
  <si>
    <t>J2: Sante Publique; 3 25490220; ID: 4126</t>
  </si>
  <si>
    <t>Vaysse, Benoit; Gignon, Maxime; Zerkly, Salah; Ganry, Olivier] CHU Amiens Picardie, Hop Nord, Serv Epidemiol Hyg Hosp &amp; Sante Publ, F-80054 Amiens, France. Gignon, Maxime] Lab Pedag Sante, EA 3412, Paris, France. Vaysse, B (reprint author), CHU Amiens Picardie, Hop Nord, Serv Epidemiol Hyg Hosp &amp; Sante Publ, Pl Victor Pauchet, F-80054 Amiens, France. bevaysse@live.fr</t>
  </si>
  <si>
    <t>WOS:000346754600004</t>
  </si>
  <si>
    <t>10.3917/spub.145.0613</t>
  </si>
  <si>
    <t>Vergara,C. M.;Lindberg,W.;Gruman,C.;Wild-Wesley,R.</t>
  </si>
  <si>
    <t>J2: J. Gen. Intern. Med.; 28th Annual Meeting of the Society-of-General-Internal-Medicine MAY 11-14, 2005 New Orleans, LA Soc General Internal Med 0 1; ID: 4342</t>
  </si>
  <si>
    <t>Hartford Hosp, Hartford, CT 06115 USA. Braceland Ctr Mental Hlth &amp; Aging, Hartford, CT USA.</t>
  </si>
  <si>
    <t>WOS:000228831001140</t>
  </si>
  <si>
    <t>Volgemut,Z.;Ferk,P.</t>
  </si>
  <si>
    <t>Substance abuse among medical students in Maribor, Slovenia</t>
  </si>
  <si>
    <t>CONSUMPTION;ALCOHOL</t>
  </si>
  <si>
    <t>J2: Clin. Toxicol.; 0; ID: 4075</t>
  </si>
  <si>
    <t>Volgemut, Ziga; Ferk, Polonca] Univ Maribor, Fac Med, SLO-2000 Maribor, Slovenia.</t>
  </si>
  <si>
    <t>WOS:000374999800081</t>
  </si>
  <si>
    <t>Wakefield,J. C.</t>
  </si>
  <si>
    <t>Addiction and the Concept of Disorder, Part 1: Why Addiction is a Medical Disorder</t>
  </si>
  <si>
    <t>Addiction;Substance use disorder;Diagnosis;Biological function;Harmful dysfunction;Philosophy of psychiatry;THEORY-NEUTRAL NOSOLOGY;BRAIN DISEASE-MODEL;MENTAL-DISORDER;HARMFUL;DYSFUNCTION;FALSE POSITIVES;DRUG-ADDICTION;CRITERIA;SCIENCE;EVOLUTIONARY</t>
  </si>
  <si>
    <t>In this two-part analysis, I analyze Marc Lewis's arguments against the brain-disease view of substance addiction and for a developmental-learning approach that demedicalizes addiction. I focus especially on the question of whether addiction is a medical disorder. Addiction is currently classified as a medical disorder in DSM-5 and ICD-10. It is further labeled a brain disease by NIDA, based on observed brain changes in addicts that are interpreted as brain damage. Lewis argues that the changes result instead from normal neuroplasticity and learning in response to the intense rewards provided by addictive substances, thus that addiction is not a brain disease and by implication not a medical disorder at all. I argue that even if one accepts Lewis's reinterpretation of the brain evidence, his conclusions do not follow. Relying on my harmful-dysfunction analysis of medical disorder, I defend the view that substance addiction is in fact a medical disorder and a brain disorder. In Part 1, I identify five arguments Lewis puts forward against the brain-disease view and evaluate them as arguments that addiction is not a disorder: (1) Addiction is not a chronic, relapsing condition; (2) There is no clear boundary between addiction and other strong desires; (3) Negative consequences are not unique to disorders; (4) The brain disease model does not account for behavioral addictions; and, (5) Addiction is like love. I argue that Lewis's arguments are invalid because they fail to take account of the context of addiction and its relation to biological design.</t>
  </si>
  <si>
    <t>J2: Neuroethics; 2; ID: 4016</t>
  </si>
  <si>
    <t>1874-5490</t>
  </si>
  <si>
    <t>Wakefield, Jerome C.] NYU, Silver Sch Social Work, Washington Sq N, New York, NY 10003 USA. Wakefield, Jerome C.] NYU, Sch Med, Dept Psychiat, Washington Sq N, New York, NY 10003 USA. Wakefield, JC (reprint author), NYU, Silver Sch Social Work, Washington Sq N, New York, NY 10003 USA.; Wakefield, JC (reprint author), NYU, Sch Med, Dept Psychiat, Washington Sq N, New York, NY 10003 USA. jw111@nyu.edu</t>
  </si>
  <si>
    <t>WOS:000402982200007</t>
  </si>
  <si>
    <t>10.1007/s12152-016-9300-9</t>
  </si>
  <si>
    <t>Wakeman,S.;Baggett,M.;Campbell,E.;Pham-Kanter,G.</t>
  </si>
  <si>
    <t>Internal Medicine Residents' Training in Substance Use Disorders</t>
  </si>
  <si>
    <t>J2: J. Gen. Intern. Med.; 36th Annual Meeting of the Society-of-General-Internal-Medicine APR 24-27, 2013 Denver, CO Soc Gen Internal Med 0 1; ID: 4164</t>
  </si>
  <si>
    <t>Wakeman, Sarah; Baggett, Meridale] Massachusetts Gen Hosp, Boston, MA 02114 USA. Wakeman, Sarah; Campbell, Eric] Harvard Univ, Sch Med, Boston, MA USA. Campbell, Eric; Pham-Kanter, Genevieve] Mongan Inst Hlth Policy, Boston, MA USA. Pham-Kanter, Genevieve] Univ Colorado Anschutz Med Campus, Denver, CO USA.</t>
  </si>
  <si>
    <t>WOS:000331939301022</t>
  </si>
  <si>
    <t>Teaching About Substance-Abuse in Medical-School</t>
  </si>
  <si>
    <t>8 2285841; ID: 4453</t>
  </si>
  <si>
    <t>Med ctr hosp vermont,day 1 program,burlington,vt 05405. WALLER, JA (reprint author), UNIV VERMONT,DEPT MED,MANSFIELD HOUSE,BURLINGTON,VT 05405, USA.</t>
  </si>
  <si>
    <t>WOS:A1990EK16700012</t>
  </si>
  <si>
    <t>Walley,A. Y.;Phillips,K. A.;Gordon,A. J.</t>
  </si>
  <si>
    <t>The Patients in Recovery (PIR) Perspective: Teaching Physicians About Methamphetamine</t>
  </si>
  <si>
    <t>Methamphetamine abuse;physician education;substance abuse training</t>
  </si>
  <si>
    <t>Methamphetamine dependence is an emerging epidemic confronting physicians. In an effort to improve understanding of its impact, the authors presented an educational workshop at a national meeting for general internists featuring small group discussions with patients in recovery (PIR) from methamphetamine dependence. Participants rated the workshop highly, stating it would lead to concrete change in their teaching, research, or patient care practices and they would invite the workshop to their institution for presentation. Direct interaction with PIR was the most valued aspect of the workshop. Lessons learned included patient's fear of being "turned in" limits disclosure of methamphetamine use to physicians; active users have little insight into methamphetamine-related changes in physical appearance; and a sense of productivity reinforces ongoing methamphetamine use. Workshops that include small group discussions between physicians and PIR are an innovative, practical, and acceptable method to teach physicians about their role in helping patients with substance dependence.</t>
  </si>
  <si>
    <t>J2: Subst. Abus.; National Institute on Drug Abuse R25-DA13582]; National Institute of Allergy and Infectious Diseases T32-AI52074]; VA HSR&amp;D Research Career Development Award RCD-00038-2] 0 19042199; ID: 4308</t>
  </si>
  <si>
    <t>Walley, Alexander Y.] Boston Med Ctr, Gen Internal Med Sect, Clin Addict Res &amp; Educ Unit, Boston, MA 02218 USA. Phillips, Karran A.] Johns Hopkins Sch Med, Div Gen Internal Med, Baltimore, MD USA. Gordon, Adam J.] VA Pittsburgh Healthcare Syst, Mental Illness Res Educ &amp; Clin Ctr, VISN 4, Pittsburgh, PA USA. Gordon, Adam J.] VA Pittsburgh Healthcare Syst, Ctr Hlth Equity Res &amp; Promot, Pittsburgh, PA USA. Gordon, Adam J.] Univ Pittsburgh, Ctr Res Hlth Care, Pittsburgh, PA USA. Walley, AY (reprint author), Boston Med Ctr, Gen Internal Med Sect, Clin Addict Res &amp; Educ Unit, 801 Massachusetts Ave,2nd Floor, Boston, MA 02218 USA. awalley@bu.edu</t>
  </si>
  <si>
    <t>WOS:000207708600006</t>
  </si>
  <si>
    <t>10.1080/08897070802418493</t>
  </si>
  <si>
    <t>Waqas,A.;Farooq,F.;Raza,M.;Javed,S. T.;Khan,S.;Ghumman,M. E.;Naveed,S.;Haddad,M.</t>
  </si>
  <si>
    <t>Validation of the Internet Addiction Test in Students at a Pakistani Medical and Dental School</t>
  </si>
  <si>
    <t>Internet;Validation;Pakistani;Students;Addiction;PSYCHOMETRIC PROPERTIES;DIAGNOSTIC-CRITERIA;COLLEGE-STUDENTS;VERSION;PSYCHOPATHOLOGY;RECOMMENDATIONS;RELIABILITY;ADOLESCENTS;QUALITY;SAMPLE</t>
  </si>
  <si>
    <t>Despite growing concerns over pathological internet usage, studies based on validated psychometric instruments are still lacking in Pakistan. This study aimed to examine the psychometric properties of the Internet Addiction Test (IAT) in a sample of Pakistani students. A total of 522 students of medicine and dentistry completed the questionnaire, which consisted of four sections: (a) demographics, (b) number of hours spent on the Internet per day, (c) English version of the IAT, and (d) the Defense Style Questionnaire-40. Maximum likelihood analysis and principal axis factoring were used to validate the factor structure of the IAT. Convergent and criterion validity were assessed by correlating IAT scores with number of hours spent online and defense styles. Exploratory and confirmatory factor analysis reflected the goodness of fit of a unidimensional structure of the IAT, with a high alpha coefficient. The IAT had good face and convergent validity and no floor and ceiling effects, and was judged easy to read by participants.</t>
  </si>
  <si>
    <t>J2: Psychiatr. Q.; 0 28815479; ID: 3991</t>
  </si>
  <si>
    <t>Waqas, Ahmed; Farooq, Faisal; Raza, Mohsin; Javed, Saamia Tahir; Khan, Spogmai; Ghumman, Mahrukh Elahi] CMH Lahore Med Coll &amp; Inst Dent, Lahore Cantt, Pakistan. Naveed, Sadiq] KVC Hlth Syst, Kansas City, KS USA. Haddad, Mark] City Univ London, Sch Hlth Sci, Mental Hlth Res Ctr, Northampton Sq, London EC1V 0HB, England. Waqas, A (reprint author), CMH Lahore Med Coll &amp; Inst Dent, Lahore Cantt, Pakistan. ahmedwaqas1990@hotmail.com; faisalfarooq123@hotmail.com; azar.nishom@gmail.com; saamia32@hotmail.com; spogmaikhan@rocketmail.com; ghuman9191@gmail.com; snaveed@kvc.org; Mark.Haddad.1@city.ac.uk</t>
  </si>
  <si>
    <t>WOS:000424682500022</t>
  </si>
  <si>
    <t>10.1007/s11126-017-9528-5</t>
  </si>
  <si>
    <t>Wege,N.;Muth,T.;Li,J.;Angerer,P.</t>
  </si>
  <si>
    <t>Mental health among currently enrolled medical students in Germany</t>
  </si>
  <si>
    <t>Medical students;Common mental disorders;Somatisation;Psychotropic;medication;SUICIDAL IDEATION;GENERAL-POPULATION;PRIMARY-CARE;DEPRESSIVE-DISORDERS;SOCIOECONOMIC-STATUS;MAJOR DEPRESSION;SOMATIC;SYMPTOMS;PHYSICIANS;VALIDATION;QUESTIONNAIRE</t>
  </si>
  <si>
    <t>Objectives: The study identifies the prevalence of common mental disorders according to the patient health questionnaire (PHQ) and the use of psychotropic substances in a sample of currently enrolled medical students. Study design: A cross-sectional survey with a self-administrated questionnaire. Methods: All newly enrolled medical students at the University of Dusseldorf, with study beginning either in 2012 or 2013, respectively, were invited to participate. The evaluation was based on 590 completed questionnaires. Mental health outcomes were measured by the PHQ, including major depression, other depressive symptoms (subthreshold depression), anxiety, panic disorders and psychosomatic complaints. Moreover, information about psychotropic substances use (including medication) was obtained. Multiple logistic regression analysis was used to estimate associations between sociodemographic and socio-economic factors and mental health outcomes. Results: The prevalence rates, measured by the PHQ, were 4.7% for major depression, 5.8% for other depressive symptoms, 4.4% for anxiety, 1.9% for panic disorders, and 15.7% for psychosomatic complaints. These prevalence rates were higher than those reported in the general population, but lower than in medical students in the course of medical training. In all, 10.7% of the students reported regular psychotropic substance use: 5.1% of students used medication 'to calm down,' 4.6% to improve their sleep,' 4.4% 'to elevate mood,' and 3.1% 'to improve cognitive performance.' In the fully adjusted model, expected financial difficulties were significantly associated with poor mental health (odds ratio OR]: 2.14; 95% confidence interval CI]: 1.31-3.48), psychosomatic symptoms (OR: 1.85; 95% CI: 1.11-3.09) and psychotropic substances use (OR: 2.68; 95% CI: 1.51-4.75). Conclusion: The high rates of mental disorders among currently enrolled medical students call for the promotion of mental health, with a special emphasis on vulnerable groups. (C) 2016 The Royal Society for Public Health. Published by Elsevier Ltd. All rights reserved.</t>
  </si>
  <si>
    <t>J2: Public Health; 7 26880490; ID: 4064</t>
  </si>
  <si>
    <t>Wege, N.; Muth, T.; Li, J.; Angerer, P.] Univ Dusseldorf, Inst Occupat Med &amp; Social Med, Ctr Hlth &amp; Soc CHS, Fac Med, D-40001 Dusseldorf, Germany. Wege, N (reprint author), Univ Dusseldorf, MPH Inst Occupat Hlth Med &amp; Social Med, Ctr Hlth &amp; Soc CHS, Fac Med, POB 10 10 07, D-40001 Dusseldorf, Germany. natalia.wege@uni-duesseldorf.de</t>
  </si>
  <si>
    <t>WOS:000372327300014</t>
  </si>
  <si>
    <t>10.1016/j.puhe.2015.12.014</t>
  </si>
  <si>
    <t>Wile,C.;Jenkins,K.</t>
  </si>
  <si>
    <t>The value of a support group for medical professionals with substance use disorders</t>
  </si>
  <si>
    <t>doctors;medical professionals;medical students;substance use;disorders;support group;PHYSICIANS;PROGRAM;SPECIALTY;OUTCOMES</t>
  </si>
  <si>
    <t>Objective: The objective of this study was to explore how a support group in Victoria, Australia, that has been set up for doctors and medical students with substance use disorders is perceived by group members. Method: Past and present participants were surveyed anonymously regarding their attitudes to the group and its role in their recovery. Results: Respondents overwhelmingly valued the support group, seeing it as an integral and essential part of their recovery and on-going health. Conclusions: It is recommended that such support groups for doctors who have substance use disorders be more widely available in jurisdictions other than Victoria.</t>
  </si>
  <si>
    <t>J2: Australas. Psychiatry; 1 23897729; ID: 4158</t>
  </si>
  <si>
    <t>1039-8562</t>
  </si>
  <si>
    <t>Wile, Cheryl; Jenkins, Kym] VDHP, Fitzroy, Vic 3065, Australia. Wile, C (reprint author), VDHP, Level 8,Aikenhead Bldg,27 Victoria Parade, Fitzroy, Vic 3065, Australia. cheryl@vdhp.org.au</t>
  </si>
  <si>
    <t>WOS:000325100600010</t>
  </si>
  <si>
    <t>10.1177/1039856213498289</t>
  </si>
  <si>
    <t>Wilhelm,S.;Metcalf,M. P.;Tanner,T. B.</t>
  </si>
  <si>
    <t>Improving Medical Student Knowledge and Clinical Skills Regarding Alcohol Use Disorders</t>
  </si>
  <si>
    <t>J2: Subst. Abus.; 0; ID: 4277</t>
  </si>
  <si>
    <t>WOS:000283304800032</t>
  </si>
  <si>
    <t>Wilk,A.;Chheda,S. G.</t>
  </si>
  <si>
    <t>Teaching medical students the assessment of substance abuse when evaluating patients during their primary care clerkship</t>
  </si>
  <si>
    <t>J2: J. Gen. Intern. Med.; 27th Annual Meeting of the Society-of-General-Internal-Medicine MAY 12-15, 2004 Chicago, IL Soc Gen Internal Med 0 1; ID: 4350</t>
  </si>
  <si>
    <t>Univ Wisconsin, Sch Med, Madison, WI 53706 USA.</t>
  </si>
  <si>
    <t>WOS:000221125800306</t>
  </si>
  <si>
    <t>Wilson,L.;Midmer,D.;Kahan,M.</t>
  </si>
  <si>
    <t>Twenty Years of Advancing Canadian Medical Education in Substance Use Disorders: Lessons Learned</t>
  </si>
  <si>
    <t>J2: Subst. Abus.; 0; ID: 4225</t>
  </si>
  <si>
    <t>Wilson, L.; Midmer, D.; Kahan, M.] Univ Toronto, Toronto, ON M5S 1A1, Canada.</t>
  </si>
  <si>
    <t>WOS:000287030800025</t>
  </si>
  <si>
    <t>Wilson,M.;Cullen,W.;Goodair,C.;Klimas,J.</t>
  </si>
  <si>
    <t>Off the record: Substance-related disorders in the undergraduate medical curricula in Ireland</t>
  </si>
  <si>
    <t>Addiction medicine;curriculum;education;medical;undergraduate;GENERAL-PRACTITIONER;CARE</t>
  </si>
  <si>
    <t>Background: Substance use disorders (SUDs) are a worldwide problem, and have become a major health concern in Ireland particularly. We aimed to determine the extent to which addiction medicine is embedded in the undergraduate medical curriculum in Ireland. Methods: To further investigate the degree to which drug addiction is taught in the Irish medical curriculum an online literature search was performed using Google Scholar, PubMed (from 2009 to present), EMBASE, PsycINFO, CINAHL, and Medline using the keywords "substance-related disorders," "undergraduate," "curriculum" and "Ireland." Additionally, all Irish medical school websites were examined (n = 6), and a Google search and manual searches of conference programs were performed. We used the Preferred Reporting Items for Systematic Review and Meta-Analysis (PRISMA) guidelines to systematically review and discuss findings. Results: A total of zero published studies met the criteria for inclusion in an updated systematic literature search of addiction medicine education in the undergraduate medical curriculum in Ireland. Conclusion: There is currently no documentation of drug addiction teaching sessions in Irish medical schools. Investigations that offer direct contact with medical schools, such as a telephone survey, may provide a more accurate representation of how addiction medicine education is incorporated into the medical school curricula.</t>
  </si>
  <si>
    <t>J2: J. Subst. Use; 1; ID: 4041</t>
  </si>
  <si>
    <t>Wilson, Mitch; Cullen, Walter; Klimas, Jan] Univ Coll Dublin, UCD Sch Med &amp; Med Sci, Dublin, Ireland. Goodair, Christine] St Georges Univ London, Populat Hlth Res Inst, London, England. Klimas, Jan] Univ British Columbia, BC Ctr Excellence HIV AIDS, Urban Hlth Res Initiat, Vancouver, BC, Canada. Klimas, J (reprint author), Univ Coll Dublin, Sch Med &amp; Med Sci, Coombe Healthcare Ctr, Dublin 08, Ireland. jan.klimas@ucd.ie</t>
  </si>
  <si>
    <t>WOS:000383640200007</t>
  </si>
  <si>
    <t>10.3109/14659891.2015.1112853</t>
  </si>
  <si>
    <t>Xiao,Q.;Dong,M. X.;Yao,J.;Li,W. X.;Ye,D. Q.</t>
  </si>
  <si>
    <t>Parental Alcoholism, Adverse Childhood Experiences, and Later Risk of Personal Alcohol Abuse among Chinese Medical Students</t>
  </si>
  <si>
    <t>Biomedical and Environmental Sciences</t>
  </si>
  <si>
    <t>Alcohol abuse;Child abuse;Child neglect;China;Household dysfunction;SEXUAL-ABUSE;NEGLECT;PREVALENCE;SUICIDE;ADULT;WOMEN;MEN</t>
  </si>
  <si>
    <t>Objective To determine the status of adverse childhood experiences (ACEs) and the association of multiple ACEs with both parental alcoholism and latter personal alcohol among Chinese medical students with a view of improving adolescent health and reducing alcohol abuse among them. Methods In this cross-sectional study, 2073 Chinese medical students completed a survey on ten categories of ACEs in Anhui province of China. The association of parental alcoholism with ACEs and personal alcohol abuse was assessed by logistic regression analyses. Results The adjusted odds ratio (OR) for each category of ACEs in the subjects whose parents (either fathers or mothers or both) had alcohol abuse was 2 to 14 times higher than that in those with parental alcoholism (P&lt;0.05). Subjects with bi-parental alcoholism had the highest likelihood of ACEs. Compared with the subjects without ACEs, the risk of personal alcohol abuse was increased by 2-4-folds in the subjects with ACEs, irrespective of parental alcoholism (P&lt;0.05). The total number of ACEs (ACE score) had a graded relationship to 4 categories of personal alcohol abuse with or without parental alcoholism. The prevalence of personal alcohol abuse among the subjects with parental alcoholism was higher, which was independent of ACE scores. Conclusion The prevalence of ACEs is generally serious in China. Efforts should be made to prevent and treat children with ACEs and subsequently to reduce alcohol abuse and later problems.</t>
  </si>
  <si>
    <t>J2: Biomed. Environ. Sci.; National Natural Science Foundation of China 30671815]; Anhui Provincial Natural Science Foundation 070413106] 8 19133615; ID: 4290</t>
  </si>
  <si>
    <t>0895-3988</t>
  </si>
  <si>
    <t>Xiao, Qin; Dong, Ma-Xia; Li, Wen-Xian; Ye, Dong-Qing] Anhui Med Univ, Sch Publ Hlth, Dept Epidemiol &amp; Biostat, Hefei 230032, Anhui, Peoples R China. Yao, Jie] Jiangsu Inst Planned Parenthood Res, Nanjing 210036, Jiangsu, Peoples R China. Ye, DQ (reprint author), Anhui Med Univ, Sch Publ Hlth, Dept Epidemiol &amp; Biostat, Hefei 230032, Anhui, Peoples R China. xiaoqin-2002@163.com; ydq@ahmu.edu.cn</t>
  </si>
  <si>
    <t>WOS:000260448100008</t>
  </si>
  <si>
    <t>10.1016/S0895-3988(08)60062-8</t>
  </si>
  <si>
    <t>Yandow,V. W.;Frances,R. J.</t>
  </si>
  <si>
    <t>A Model for Teaching Psychiatric-Residents About Substance-Abuse</t>
  </si>
  <si>
    <t>1; ID: 4483</t>
  </si>
  <si>
    <t>Dartmouth coll,hitchcock med ctr,dartmouth med sch,hanover,nh 03756.</t>
  </si>
  <si>
    <t>WOS:A1985E352700003</t>
  </si>
  <si>
    <t>Zahid,M. F.;Haque,A.;Aslam,M.;Aleem,N. A.;Hussain,S.;Fahad,H.;Naqvi,H. A.;Ghias,K.</t>
  </si>
  <si>
    <t>Health-Related Anxiety and Hypochondriacal Concerns in Medical Students: A Cross-Sectional Study From Pakistan</t>
  </si>
  <si>
    <t>medical education;medical students;health-related anxiety;hypochondriasis;transient hypochondriasis;CIGARETTE-SMOKING;DEPRESSION;DISORDERS;INVENTORY;DISEASE;SAMPLE;ASSOCIATION;DIMENSIONS;KARACHI</t>
  </si>
  <si>
    <t>Phenomenon: Transient health-related anxiety/hypochondriacal concerns in medical students are well documented. The literature suggests that after studying a particular disease, medical students are likely to consider any symptoms earlier regarded as normal to be signs of the disease they are studying. The aim of this study was to investigate the prevalence of these phenomena and their cognitive and distress aspects among medicals students in Karachi, Pakistan. Approach: This was an analytical, cross-sectional study. Self-administered questionnaires comprising demographic details, the Short Health Anxiety Inventory, Medical Students' Disease (MSD) Perception Scale, and MSD Distress Scale were distributed to 1st- through 5th-year medical students. Findings: In total, 513 medical students (66% female) participated. Their mean age was 21 +/- 1.6years. Three hundred seventy-five students (73%) reported having visited a doctor at least once in the past 6 months. Fifty students (9.9%) admitted to having addictions. The overall prevalence of significant hypochondriacal concerns was 11.9% (61 students). The presence of addiction was associated with a greater likelihood of developing significant health-related anxiety (odds ratio = 3.82, p = .003), 95% confidence interval 1.51, 7.11]. Age, gender, medical school, year of medical school, and visits to the doctor in the previous 6 months were not associated with greater likelihood of developing significant health-related anxiety. Second-year medical students experienced a significantly greater degree of worry (MSD-Distress scale) than 5th-year students (M score = 12.6 +/- 4.6vs. 10.7 +/- 4.4, p = .04). Insights: The prevalence of substantial hypochondriacal concerns in medical students in Pakistan was low in comparison to similar studies published in literature. Student health physicians should be aware of the true prevalence of hypochondriacal concerns and behavior and not dismiss legitimate complaints. Educational sessions to counteract this phenomenon can be incorporated into the curriculum of undergraduate medicine. By defining heightened awareness of symptoms as a normal process, different coping techniques can be discussed to help medical students reduce their level of stress.</t>
  </si>
  <si>
    <t>J2: Teach. Learn. Med.; 0 27092575; ID: 4073</t>
  </si>
  <si>
    <t>Zahid, Mohammad Faizan; Aslam, Moaz; Aleem, Numra Abdul; Hussain, Sheraz; Fahad, Hamna] Aga Khan Univ, Coll Med, Karachi, Pakistan. Haque, Ambreen] Jinnah Sindh Med Univ, Karachi, Pakistan. Naqvi, Haider Ali] Liaquat Univ Med &amp; Hlth Sci, Dept Psychiat, Karachi, Pakistan. Ghias, Kulsoom] Aga Khan Univ, Dept Biol &amp; Biomed Sci, Karachi, Pakistan. Zahid, MF (reprint author), Def Housing Author, House 54-1 Sect E,Phase 1, Lahore, Pakistan. faizanzahid91@hotmail.com</t>
  </si>
  <si>
    <t>WOS:000379862600003</t>
  </si>
  <si>
    <t>10.1080/10401334.2016.1155459</t>
  </si>
  <si>
    <t>Zaremba,N.;Zimenkovsky,A.;Boretska,O.</t>
  </si>
  <si>
    <t>Attitude of Medical Students for Taking Drugs: Problem of Irresponsible Self-Treatment</t>
  </si>
  <si>
    <t>Pharmacia</t>
  </si>
  <si>
    <t>irresponsible self-treatment;medical students;drugs</t>
  </si>
  <si>
    <t>The problem of irresponsible self-treatment among future doctors was argued according to the survey of 1305 medical students studying in 4th course of higher educational medical establishments from different regions of Ukraine. It was detected number of uncontrolled receptions of drugs depending on the place of study, sex and the degree of harm awareness from irresponsible self-treatment.</t>
  </si>
  <si>
    <t>J2: Pharmacia; 0; ID: 4119</t>
  </si>
  <si>
    <t>0428-0296</t>
  </si>
  <si>
    <t>Zaremba, N.; Zimenkovsky, A.; Boretska, O.] Danylo Halytsky Lviv Natl Med Univ, Dept Clin Pharm Pharmacotherapy &amp; Med Standardiza, 69,Pekarska Str, UA-79010 Lvov, Ukraine. Boretska, O (reprint author), Danylo Halytsky Lviv Natl Med Univ, Dept Clin Pharm Pharmacotherapy &amp; Med Standardiza, 69,Pekarska Str, UA-79010 Lvov, Ukraine. boretska-olga@mail.ru</t>
  </si>
  <si>
    <t>WOS:000421180800002</t>
  </si>
  <si>
    <t>Zhang,M. W. B.;Lim,R. B. C.;Lee,C.;Ho,R. C. M.</t>
  </si>
  <si>
    <t>Prevalence of Internet Addiction in Medical Students: a Meta-analysis</t>
  </si>
  <si>
    <t>Internet addiction;Medical students;Meta-analysis;Prevalence,;problematic Internet use;SYSTEMIC-LUPUS-ERYTHEMATOSUS;META-REGRESSION;DEPRESSIVE SYMPTOMS;ADOLESCENTS;QUALITY;ANXIETY;LIFE</t>
  </si>
  <si>
    <t>Objective With the development of online learning, communication, and entertainment, the Internet has become an indispensable tool for university students. Internet addiction (IA) has emerged as a health problem and the prevalence of IA varies from country to country. To date, the global prevalence of IA in medical students remains unknown. The objective of this meta-analysis was to establish precise estimates of the prevalence of IA among medical students in different countries. Methods The pooled prevalence of IA among medical students was determined by the random-effects model. Metaregression and subgroup analysis were performed to identify potential factors that could contribute to heterogeneity. Results The pooled prevalence of IA among 3651 medical students is 30.1% (95% confidence interval (CI) 28.531.8%, Z = -20.66, df = 9, tau(2) = 0.90) with significant heterogeneity (I-2 = 98.12). Subgroup analysis shows the pooled prevalence of IA diagnosed by the Chen's Internet Addiction Scale (CIAS) (5.2, 95% CI 3.4-8.0%) is significantly lower than Young's Internet Addiction Test (YIAT) (32.2, 95% CI 20.9-45.9%) (p &lt; 0.0001). Meta-regression analyses show that the mean age of medical students, gender proportion and the severity of IA are not significant moderators. Conclusions In conclusion, this meta-analysis identified the pooled prevalence of IA among medical students is approximately five times than that of the general population. Age, gender, and severity of IA did not account for high heterogeneity in prevalence, but IA assessment questionnaire was a potential source of heterogeneity. Given the high prevalence of IA, medical teachers and medical school administrators should identify medical students who suffer from IA and refer them for intervention.</t>
  </si>
  <si>
    <t>J2: Acad. Psych.; 2 28849574; ID: 3998</t>
  </si>
  <si>
    <t>Zhang, Melvyn W. B.; Lee, Cheng] Inst Mental Hlth, Natl Addict Management Serv, Singapore, Singapore. Zhang, Melvyn W. B.] Natl Univ Singapore, Singapore, Singapore. Lim, Russell B. C.; Ho, Roger C. M.] Natl Univ Singapore, Yong Loo Lin Sch Med, Singapore, Singapore. Zhang, MWB (reprint author), Inst Mental Hlth, Natl Addict Management Serv, Singapore, Singapore.; Zhang, MWB (reprint author), Natl Univ Singapore, Singapore, Singapore. Melvyn_wb_zhang@imh.com.sg</t>
  </si>
  <si>
    <t>WOS:000424047400014</t>
  </si>
  <si>
    <t>10.1007/s40596-017-0794-1</t>
  </si>
  <si>
    <t>Zieglgansberger,W.;Kuntze,M. F.</t>
  </si>
  <si>
    <t>Learning, interneurons and addiction medicine</t>
  </si>
  <si>
    <t>Basic and Clinical Science of Opioid Addiction</t>
  </si>
  <si>
    <t>Proceedings Paper Symposium on Opioid-Assisted Treatment NOV, 2001 BASEL, SWITZERLAND Janssen-Cilag AG, Organon AG, AstraZeneca AG, Lundbeck AG, Pfizer AG, Swiss Acad, Med Sci POSTFACH, CH-4009 BASEL, SWITZERLAND; ID: 4365</t>
  </si>
  <si>
    <t>Karger</t>
  </si>
  <si>
    <t>Basel</t>
  </si>
  <si>
    <t>Bibliotheca Psychiatrica</t>
  </si>
  <si>
    <t>0067-8147 3-8055-7504-1</t>
  </si>
  <si>
    <t>Max Planck Inst Psychiat, Klin Pharmakol, D-80804 Munich, Germany. Univ Basel, Psychiat Klin, Basel, Switzerland. Zieglgansberger, W (reprint author), Max Planck Inst Psychiat, Klin Pharmakol, Kraepelinstr 2-10, D-80804 Munich, Germany.</t>
  </si>
  <si>
    <t>WOS:000182662100010</t>
  </si>
  <si>
    <t>Report</t>
  </si>
  <si>
    <t>Treatment for Addiction: Advancing the Common Good. Recommendations from a Join Together Policy Panel on Treatment and Recovery</t>
  </si>
  <si>
    <t>-9394; e-mail: info@jointogether.org; Web site: www.jointogether.org ($5).; 1998-</t>
  </si>
  <si>
    <t>Community Programs;Delivery Systems;Health Education;Health Insurance;Integrated Activities;Law Enforcement;Policy Formation;Public Policy;Substance Abuse;Therapy;Identifier: Addictive Behavior</t>
  </si>
  <si>
    <t>Join Together convened a panel of experts to review U.S. policies for addiction treatment and recovery. Although the panel reached an agreement on six recommendations for policy changes that can make help more accessible and expand treatment to more people. These recommendations are: (1) treatment for alcoholism and other drug addiction must be covered as a health benefit on an equal basis with treatment for other diseases; (2) limited access to treatment for alcoholism and drug addiction is a national crisis that calls for a broad-based national campaign to educate the public and build political support; (3) research on the nature and treatment of addiction and recovery should be expanded and the results made accessible to professionals, policymakers, and the public; (4) education and training on addiction and recovery should be required for all health, mental health, social service, and justice system professionals; (5) treatment for alcoholism and drug addiction must be monitored by independent treatment managers with no vested financial interests in order to ensure ongoing treatment effectiveness; and (6) diagnosis, treatment, and long-term recovery must be integrated into a coordinated community-wide strategy to reduce alcohol and other drug problems. One appendix contains a glossary of treatment terms, and the other is a statement from the Physician's Leadership on National Drug Policy. Forty-five treatment resource organizations are listed. (SLD)</t>
  </si>
  <si>
    <t>Connect to the Mirlyn catalog at the University of Michigan Audience: Community; Associated Inst: Robert Wood Johnson Foundation, Princeton, NJ.; RP: Connect to the Mirlyn catalog at the University of Michigan Audience: Community; Associated Inst: Robert Wood Johnson Foundation, Princeton, NJ.; ID: 4583</t>
  </si>
  <si>
    <t>Join Together, Boston, MA</t>
  </si>
  <si>
    <t>Join Together, 441 Stuart Street, 7th Floor, Boston, MA 02116</t>
  </si>
  <si>
    <t>Tel: 617-437-1500</t>
  </si>
  <si>
    <t>ED427109</t>
  </si>
  <si>
    <t>ERIC Treatment for Addiction: Advancing the Common Good. Recommendations from a Join Together Policy Panel on Treatment and Recovery. Join Together, Boston, MA. 1998 English Document (ED) 43 Join Together, 441 Stuart Street, 7th Floor, Boston, M(TRUNCATED)</t>
  </si>
  <si>
    <t>Research, Programmatic, and Curricular Presentations</t>
  </si>
  <si>
    <t>Conferences (Gatherings);Conference Papers;Drug Abuse;Alcohol Abuse;Diseases;Drug Therapy;Safety;Marijuana;Drug Addiction;Therapy;Patients;Substance Abuse;Graduate Medical Education;Social Work;Cocaine;Acquired Immunodeficiency Syndrome (AIDS);Smoking;Nursing Education;Military Personnel;Adolescents;Student Attitudes</t>
  </si>
  <si>
    <t>This article presents abstracts from the 2011 AMERSA National Meeting. It includes 2011 best abstracts on research, programmatic, and curricular presentations.</t>
  </si>
  <si>
    <t>FirstSearch indicates your institution subscribes to this publication. Libraries worldwide that own item: 400 University of Michigan Library Search the Mirlyn catalog at the University of Michigan 27 pages Education Level: Higher Education Article (EJ); ID: 4577</t>
  </si>
  <si>
    <t>Routledge. Available from: Taylor &amp; Francis, Ltd. 325 Chestnut Street Suite 800, Philadelphia, PA 19106. Tel: 800-354-1420; Fax: 215-625-2940; Web site: http://www.tandf.co.uk/journals; http://dx.doi.org/10.1080/08897077.2011.653923</t>
  </si>
  <si>
    <t>EJ961848</t>
  </si>
  <si>
    <t>ERIC; OCLC; Research, Programmatic, and Curricular Presentations</t>
  </si>
  <si>
    <t>Addressing Viral Hepatitis in People with Substance Use Disorders. Treatment Improvement Protocol (TIP) Series 53</t>
  </si>
  <si>
    <t>Communicable Diseases;Substance Abuse;Comorbidity;Mental Disorders;Medical Services;Screening Tests;Counseling Techniques;Chronic Illness;Patient Education;Genetics;Clinical Diagnosis;Diagnostic Tests;Barriers;Counselor Role;Outcomes of Treatment;Recidivism;Behavior Disorders;Drug Therapy;Patients;Needs;Physician Patient Relationship;Family Role;Program Evaluation;Prevention;Immunization Programs;Legal Problems;Ethics;Outreach Programs;Readiness;Acquired Immunodeficiency Syndrome (AIDS);Decision Making;Therapy;Social Influences;Counselor Client Relationship</t>
  </si>
  <si>
    <t>Treatment Improvement Protocols (TIPs) are developed by the Center for Substance Abuse Treatment (CSAT), part of the Substance Abuse and Mental Health Services Administration (SAMHSA) within the U.S. Department of Health and Human Services (HHS). Each TIP involves the development of topic-specific best-practice guidelines for the prevention and treatment of substance use and mental disorders. TIPs draw on the experience and knowledge of clinical, research, and administrative experts of various forms of treatment and prevention. TIPs are distributed to facilities and individuals across the country. Published TIPs can be accessed via the Internet at http://www.kap.samhsa.gov. Although each consensus-based TIP strives to include an evidence base for the practices it recommends, SAMHSA recognizes that behavioral health is continually evolving, and research frequently lags behind the innovations pioneered in the field. A major goal of each TIP is to convey "front-line" information quickly but responsibly. If research supports a particular approach, citations are provided. This TIP is organized into two parts: Part 1 is for counselors and administrators of behavioral health programs providing substance abuse treatment. It comprises seven chapters and emphasizes steps substance abuse treatment counselors and administrators can take to educate clients, prevent new hepatitis infections, and help clients who have viral hepatitis recover from their substance use disorders (SUDs). Information is provided at a basic level so that it can be understood by readers without medical training. Chapter 1 presents an overview of the most common types of viral hepatitis. Chapters 2 and 3 provide detailed information on screening for hepatitis and evaluation, respectively. Factors to consider when helping a client decide whether to undergo hepatitis treatment are addressed in Chapter 4; the treatment process is explained in Chapter 5. Chapter 6 describes counseling approaches for treating clients who have SUDs and viral hepatitis. Chapter 7 offers recommendations for administrators on how to add or improve hepatitis services, showcasing programs with proven track records. Note: Many people in treatment for SUDs are affected by mental disorders prior to the start of hepatitis treatment; mental disorders also may arise through the course of hepatitis treatment. Guidance for addressing co-occurring mental disorders is included throughout the TIP. Hepatitis-related issues specific to the treatment of mental disorders, not in the context of co-occurring SUDs, are covered in Appendix F. Part 2 is an online literature review for clinical supervisors, program administrators, and counselors interested in reviewing the medical literature on which this TIP is based. The literature review, available at http://www.kap.samhsa.gov, will be updated every 6 months for 5 years following publication of this TIP. Appended are: (1) Bibliography; (2) Glossary; (3) Hepatitis Resources; (4) Managing Side Effects of Hepatitis C Antiviral Treatment; (5) Medicinal Plants/Alternative Treatments Potentially Harmful to People Who Have Hepatitis; (6) Mental Health Treatment Considerations for People Who Have Chronic Viral Hepatitis C; (7) Motivational Interviewing and Counseling Resources; (8) Sources for Financial Assistance; (9) Hepatitis C Training Programs for Substance Abuse Treatment Program Staff; (10) Stakeholders Meeting Participants; (11) Field Reviewers; and (12) Acknowledgments. An index is included. (Contains 21 exhibits.)</t>
  </si>
  <si>
    <t>Connect to the Mirlyn catalog at the University of Michigan Audience: Counselors/ Administrators; RP: Connect to the Mirlyn catalog at the University of Michigan Audience: Counselors/ Administrators; ID: 4582</t>
  </si>
  <si>
    <t>Substance Abuse and Mental Health Services Administration (DHHS/PHS)</t>
  </si>
  <si>
    <t>SAMHSA's National Clearinghouse for Alcohol and Drug Information (NCADI). P.O. Box 2345, Rockville, MD 20847-2345. Tel: 800-729- 6686</t>
  </si>
  <si>
    <t>Tel: 301-468-2600</t>
  </si>
  <si>
    <t>ED533526</t>
  </si>
  <si>
    <t>ERIC; OCLC; Addressing Viral Hepatitis in People with Substance Use Disorders. Treatment Improvement Protocol (TIP) Series 53</t>
  </si>
  <si>
    <t>Leadership Conference on Medical Education in Substance Abuse (Washington, DC, December 1-2, 2004)</t>
  </si>
  <si>
    <t>Public Agencies;Physicians;Leadership;Private Sector;Drug Abuse;Medical Education;Conferences;Substance Abuse;Surveys;Identifier: District of Columbia;District of Columbia</t>
  </si>
  <si>
    <t>In December 2004, the Office of National Drug Control Policy (ONDCP) in the Executive Office of the President hosted an important Leadership Conference on Medical Education in Substance Abuse. The conference brought together leaders of private sector organizations, Federal agencies, organized medicine, and licensure and certification bodies to discuss ways to enhance the training of physicians in the prevention, diagnosis, and management of alcohol and drug use disorders, including prescription drug abuse. Participants were charged with identifying strategies and action steps to improve physician knowledge and skills through enhanced undergraduate, graduate, and continuing medical education. The conference was co-sponsored by the Center for Substance Abuse Treatment of the Substance Abuse and Mental Health Services Administration, as well as the National Institute on Alcohol Abuse and Alcoholism and the National Institute on Drug Abuse of the National Institutes of Health, with the assistance of the Robert Wood Johnson Foundation. This report of the Leadership Conference outlines the rationale for greater physician involvement in recognizing and treating patients with substance use disorders (SUDs), describes current barriers to education in this field, and evaluates the impact of prior initiatives to improve physician education about SUDs. In addition, it proposes core clinical competencies for all physicians, based on important work that has been done by a number of organizations over the past 30 years (AMA, 1979; Lewis, 1994; AMERSA, 2002a, 2002b). Finally, it summarizes the recommendations of the leaders in organized medicine, medical education, licensure and accreditation, and Federal health agencies who gathered for the Leadership Conference. Appended are: (1) Conference Agenda; (2) Acknowledgments; (3) Conference Participants and Small Group Assignments; (4) Follow-up Survey of the Conferees; (5) Glossary; (6) Acronyms; and (7) Supporting Literature.</t>
  </si>
  <si>
    <t>Connect to the Mirlyn catalog at the University of Michigan; RP: Connect to the Mirlyn catalog at the University of Michigan; ID: 4538</t>
  </si>
  <si>
    <t>Office of National Drug Control Policy, Washington, DC</t>
  </si>
  <si>
    <t>Office of National Drug Control Policy. Executive Office of the President, Washington, DC 20503. Tel: 202-395-6700</t>
  </si>
  <si>
    <t>Fax: 202-395-6708</t>
  </si>
  <si>
    <t>ED495789</t>
  </si>
  <si>
    <t>ERIC; OCLC; Leadership Conference on Medical Education in Substance Abuse (Washington, DC, December 1-2, 2004)</t>
  </si>
  <si>
    <t>So Help Me God: Substance Abuse, Religion and Spirituality. A CASA White Paper</t>
  </si>
  <si>
    <t>Attitude Measures;Counseling;Counselor Training;Drug Rehabilitation;Illegal Drug Use;Intervention;Psychologists;Spirituality;Theological Education;(Major): Beliefs;Clergy;Religion;Religious Factors;Substance Abuse</t>
  </si>
  <si>
    <t>There is a powerful religious commitment among people in America; nearly 92% of the population is affiliated with a specific religion. This report presents findings from a 2-year study of the attitudes and experiences of clergy regarding substance abuse and the training they received in schools of theology or in seminaries. Too often clergy and physicians do not overlap their care, something that could help recovery and ease the pain of substance abuse clients. Prior research from the National Center on Addiction and Substance Abuse has identified a helpful connection between spiritual and religious practices and a lower risk for substance abuse or addiction. A main finding of this study suggests that a better understanding by clergy of the disease of addiction and a better appreciation by helping professionals, especially psychiatrists and psychologists, about the power of God, religion, and spirituality holds enormous potential for the prevention and treatment of substance abuse. (Contains 1 table, 10 figures, and 124 references.) (JDM)</t>
  </si>
  <si>
    <t>Connect to the Mirlyn catalog at the University of Michigan Also sponsored by The Bodman Foundation.; Associated Inst: John Templeton Foundation, Radnor, PA.; RP: Connect to the Mirlyn catalog at the University of Michigan Also sponsored by The Bodman Foundation.; Associated Inst: John Templeton Foundation, Radnor, PA.; ID: 4534</t>
  </si>
  <si>
    <t>Columbia Univ., New York, NY. National Center on Addiction and Substance Abuse</t>
  </si>
  <si>
    <t>National Center on Addiction and Substance Abuse at Columbia University, 633 Third Ave., 19th Floor, New York, NY 10017-6706 ($10). Tel: 212-841-5255</t>
  </si>
  <si>
    <t>Fax: 212-956-8020</t>
  </si>
  <si>
    <t>ED460332</t>
  </si>
  <si>
    <t>ERIC; OCLC; So Help Me God: Substance Abuse, Religion and Spirituality. A CASA White Paper</t>
  </si>
  <si>
    <t>Missed Opportunity: National Survey of Primary Care Physicians and Patients on Substance Abuse</t>
  </si>
  <si>
    <t>Alcohol Abuse;Drug Addiction;Higher Education;Medical Schools;Medical Students;National Surveys;Outcomes of Treatment;Primary Health Care;(Major): Clinical Diagnosis;Drug Education;Physician Patient Relationship;Physicians;Substance Abuse</t>
  </si>
  <si>
    <t>A national representative survey of primary care physicians (N=648) was conducted to determine how they deal with patients who have substance abuse problems. The survey revealed how physicians identify substance abuse in their patients, what efforts they make to help these patients, and what barriers they find to effective diagnosis and treatment. The most troubling finding of the survey was that 94 percent of the physicians failed to include substance abuse among the five diagnoses they offered when presented with early symptoms of alcohol abuse in an adult patient. Also surveyed were 510 adults currently receiving treatment for substance abuse. Most patients said their physicians did nothing about their substance abuse. These findings add up to an enormous lost opportunity. Substance abuse and addiction are the leading cause of death, disability, and disease in the United States. Primary care physicians have a unique opportunity to intervene to avoid these consequences. To avoid the missed opportunity, this report recommends that medical schools increase training in substance abuse, that primary care physicians screen patients for substance abuse, and that insurers provide for physicians talking to patients about substance abuse. (Contains 3 appendixes, 27 figures, and 30 references.) (JDM)</t>
  </si>
  <si>
    <t>Connect to the Mirlyn catalog at the University of Michigan Associated Inst: Josiah Macy, Jr. Foundation, New York, NY.; RP: Connect to the Mirlyn catalog at the University of Michigan Associated Inst: Josiah Macy, Jr. Foundation, New York, NY.; ID: 4550</t>
  </si>
  <si>
    <t>ED452442</t>
  </si>
  <si>
    <t>ERIC; OCLC; Missed Opportunity: National Survey of Primary Care Physicians and Patients on Substance Abuse</t>
  </si>
  <si>
    <t>Substance Abuse and Learning Disabilities: Peas in a Pod or Apples and Oranges?</t>
  </si>
  <si>
    <t>Adolescents;Alcoholism;Children;Drug Abuse;Drug Addiction;Etiology;Multiple Disabilities;Research Needs;Student Characteristics;(Major): Behavior Disorders;Disability Identification;Drug Therapy;Learning Disabilities;Substance Abuse</t>
  </si>
  <si>
    <t>This paper was developed as a result of a 1999 conference on substance abuse and learning disabilities. An introductory chapter urges early identification of learning disabilities and appropriate treatment for both problems when they co-exist. The second chapter discusses the differences between learning disabilities and behavioral disorders, the size of the problem of substance abuse in this population, financial and social costs to society, and possible negative outcomes of unnecessary drug treatment of children with learning disabilities. The third chapter examines the question of whether substance abuse leads to learning disabilities and/or behavioral disorders or the reverse. Evidence for the following three theories is reviewed: (1) behavioral effects of learning disabilities are also risk factors for substance abuse; (2) learning disabled children turn to drugs for self medication; and (3) children on psychoactive medication are more likely to believe in the positive effects of drugs. Also examined are the possibilities that behavioral disorders among children lead to parental substance abuse and that learning disabilities and substance abuse are the result of a common cause. The paper urges research with refined diagnostic criteria and greater efforts to inform parents, physicians, teachers, and treatment providers. (Contains approximately 210 references and 101 notes.) (DB)</t>
  </si>
  <si>
    <t>Connect to the Mirlyn catalog at the University of Michigan This CASA White Paper is based on the National CASA Conference "Substance Abuse and Learning Disabilities: Peas in a Pod or Apples and Oranges?" (New York, NY, February 1, 1999). Also funded by the Ira Harris Foundation.; Associated Inst: National Inst. on Drug Abuse (DHHS/PHS), Rockville, MD.; National Center for Learning Disabilities, Inc., New York, NY.; RP: Connect to the Mirlyn catalog at the University of Michigan This CASA White Paper is based on the National CASA Conference "Substance Abuse and Learning Disabilities: Peas in a Pod or Apples and Oranges?" (New York, NY, February 1, 1999). Also funded by the Ira Harris Foundation.; Associated Inst: National Inst. on Drug Abuse (DHHS/PHS), Rockville, MD.; National Center for Learning Disabilities, Inc., New York, NY.; ID: 4548</t>
  </si>
  <si>
    <t>Columbia Univ., National Center on Addiction and Substance Abuse, 633 Third Ave., New York, NY 10017-6706</t>
  </si>
  <si>
    <t>Web site: http://www.casacolumbia.org.</t>
  </si>
  <si>
    <t>ED452630</t>
  </si>
  <si>
    <t>ERIC; OCLC; Substance Abuse and Learning Disabilities: Peas in a Pod or Apples and Oranges?</t>
  </si>
  <si>
    <t>Rio Arriba County Strategy To Combat Heroin Addiction. Hearing before a Subcommittee of the Committee on Appropriations, United States Senate, One Hundred Sixth Congress, First Session. Special Hearing (Espanola, New Mexico, March 30, 1999)</t>
  </si>
  <si>
    <t>Community Programs;Crime;Drug Abuse;Drug Addiction;Drug Education;Drug Rehabilitation;Early Childhood Education;Elementary Secondary Education;Federal Aid;Hearings;Heroin;Planning;Prevention;Rural Areas;Youth Programs;Identifier: Congress 106th;New Mexico (Rio Arriba County)</t>
  </si>
  <si>
    <t>At an Espanola (New Mexico) hearing, the Subcommittee on Commerce, Justice, and State, the Judiciary, and Related Agencies of the Senate Committee on Appropriations heard testimony on heroin addiction and intervention efforts in Rio Arriba County, New Mexico. An opening statement of Senator Pete Domenici outlined the problem of an epidemic of black tar heroin addiction afflicting the county, with accompanying crime and delinquency problems. A representative of the federal Office of Justice Programs (OJP) described relevant OJP initiatives, particularly Weed and Seed, which provides funding for community law enforcement, drug treatment programs, and after-school youth activities aimed at drug and delinquency prevention. Other federal officials discussed block grants and state incentive grants for drug prevention and treatment programs, the Starting Early Starting Smart program for children aged 0-7, physical and mental health problems related to drug abuse, the science of heroin addiction and treatment, and science-based drug education materials for grades 5-9. Representatives of state and local agencies discussed substance abuse-related detention costs; substance abuse, mental health, and related medical costs for local prisoners; the Rio Arriba Strategic Plan for Substance and Alcohol Abuse and Treatment; the rationale for a county-wide plan; current substance abuse reduction activities in the county; youth development as primary prevention; the high rates of drug-related death in New Mexico; the special problems of isolated rural communities; and a drug treatment program based on yoga, meditation, and nutrition. (SV)</t>
  </si>
  <si>
    <t>Search the Mirlyn catalog at the University of Michigan ISBN: ISBN-0-16-058704-2; RP: Search the Mirlyn catalog at the University of Michigan ISBN: ISBN-0-16-058704-2; ID: 4553</t>
  </si>
  <si>
    <t>Congress of the U.S., Washington, DC. Senate Committee on Appropriations</t>
  </si>
  <si>
    <t>U.S. Government Printing Office, Superintendent of Documents, Congressional Sales Office, Washington, DC 20402. For full text: http://www.access.gpo.gov/congress/senate.</t>
  </si>
  <si>
    <t>ED440816</t>
  </si>
  <si>
    <t>ERIC; OCLC; Rio Arriba County Strategy To Combat Heroin Addiction. Hearing before a Subcommittee of the Committee on Appropriations, United States Senate, One Hundred Sixth Congress, First Session. Special Hearing (Espanola, New Mexico, March 30, 1999)</t>
  </si>
  <si>
    <t>Substance Abuse and Addiction: The Interface of the Health and Criminal Justice Systems. Second Policy Report of the Physician Consortium on Substance Abuse Education, 1998</t>
  </si>
  <si>
    <t>Educational Improvement;Higher Education;(Major): Cooperation;Law Enforcement;Medical Education;Physicians;Substance Abuse</t>
  </si>
  <si>
    <t>The purpose of the Physician Consortium on Substance Abuse Education is to promote the role of physicians in prevention, diagnosis, treatment, and after-care referral for substance abuse by improving medical education and training. This policy report is the product of 2 years of work and a national conference of the consortium and presents in full its findings on medical education in substance abuse at the interface of the health and criminal justice systems. The report makes recommendations for improving the quality of medical education and the ability of physicians to work more effectively with professionals in the criminal justice system, including police, courts, and local, state, and federal detention systems. The report is intended for widespread circulation to national medical organizations and to federal and state agencies for their use in supporting the education of physicians to overcome the barriers to effective treatment of substance abuse. Following listings of represented organizations and conference participants and an executive summary, the report's contents are: (1) "Physician Consortium on Substance Abuse Education"; (2) "Consortium Deliberations"; (3) "Findings of the Physician Consortium"; (4) "Recommendations of the Physician Consortium"; (5) "Background on the Substance Abuse Problem"; (6) "Pre-Trial Services"; and (7) "Background on Drug Courts." (Contains 20 references.) (EV)</t>
  </si>
  <si>
    <t>Connect to the Mirlyn catalog at the University of Michigan Associated Inst: Health Resources and Services Administration (DHHS/PHS), Rockville, MD. Bureau of Health Professions.; RP: Connect to the Mirlyn catalog at the University of Michigan Associated Inst: Health Resources and Services Administration (DHHS/PHS), Rockville, MD. Bureau of Health Professions.; ID: 4541</t>
  </si>
  <si>
    <t>ED449701</t>
  </si>
  <si>
    <t>ERIC; OCLC; Substance Abuse and Addiction: The Interface of the Health and Criminal Justice Systems. Second Policy Report of the Physician Consortium on Substance Abuse Education, 1998</t>
  </si>
  <si>
    <t>Under the Rug: Substance Abuse and the Mature Woman</t>
  </si>
  <si>
    <t>Depression (Psychology);Medical Education;Middle Aged Adults;National Surveys;Professional Continuing Education;Psychological Needs;(Major): Drinking;Females;Health Education;Identification;Physicians;Substance Abuse</t>
  </si>
  <si>
    <t>This report follows an extensive survey of primary care physicians (N=400) about the problem of substance abuse in women over the age of 59. Research has shown that an individual who reaches the age of 21 without smoking, using drugs, or abusing alcohol is virtually never at risk to abuse these substances. The only exception occurs with mature women, especially those who suffer the loss of a child or spouse, have financial difficulties, or experience loneliness. Only one percent of the physicians in this survey ever even considered a substance abuse diagnosis when presented with the typical early symptoms of alcohol and prescription drug abuse in these women. As gatekeepers of their care, physicians need to assume a key role in detecting early signs of trouble. There is strong evidence that brief physician interventions can improve medication compliance, improve smoking cessation rates, and reduce risky drinking. Medical schools and Continuing Education Programs need to provide physicians with the information about recognizing early signs of substance abuse. The problem can be directly addressed by training physicians who then in turn train their patients about the dangers and risks of alcohol and substance abuse. Suggestions are presented for policymakers and future research. (Contains 6 appendixes, 10 tables, and 538 references.) (JDM)</t>
  </si>
  <si>
    <t>Connect to the Mirlyn catalog at the University of Michigan Associated Inst: Bristol-Myers Squibb Foundation, Inc., New York, NY.; RP: Connect to the Mirlyn catalog at the University of Michigan Associated Inst: Bristol-Myers Squibb Foundation, Inc., New York, NY.; ID: 4549</t>
  </si>
  <si>
    <t>National Center on Addiction and Substance Abuse at Columbia University, 633 Third Ave., New York, NY 10017-6706. Tel: 212-841-5255</t>
  </si>
  <si>
    <t>ED452443</t>
  </si>
  <si>
    <t>ERIC; OCLC; Under the Rug: Substance Abuse and the Mature Woman</t>
  </si>
  <si>
    <t>Building Partnerships for Better Communities: Success Stories from Indian Country</t>
  </si>
  <si>
    <t>Community Education;Community Involvement;Cultural Maintenance;Federal Programs;Housing;Prevention;Tribes;(Major): Alaska Natives;American Indian Reservations;American Indians;Community Programs;Substance Abuse;Youth Programs</t>
  </si>
  <si>
    <t>This report describes 18 American Indian and Alaska Native community programs administered by Indian Housing Authorities (IHAs). The programs were funded first by the U.S. Department of Housing and Urban Development's Community Relations and Involvement programs aimed at improving quality of life for housing authority residents, but most IHAs have obtained supplemental funding from tribal and nongovernmental sources. The individual programs highlighted show responses to social and economic isolation, substance abuse, educational needs, employment patterns, job training needs, child care needs, youth needs, community needs, traditional culture, and community values. The programs are located on the Fond du Lac Reservation of Chippewa (Minnesota), Ho-Chunk Nation (Wisconsin), Mississippi Band of Choctaw reservations, Sault Ste. Marie Tribe of Chippewas lands (Michigan), Choctaw Nation (Oklahoma), Cherokee Nation (Oklahoma), Chickasaw Nation (Oklahoma), Standing Rock Reservation (South Dakota), Crow Reservation (Montana), Fort Berthold Reservation (North Dakota), Navajo Nation (Arizona), northern California rancherias, Makah Nation (Washington), Puyallup Nation (Washington), communities of the Pribilof and Aleutian Islands (Alaska), rural villages of Alaska's interior, communities of Cook Inlet (Alaska), and Tlingit-Haida villages of Alaska's southeast panhandle. (SAS)</t>
  </si>
  <si>
    <t>Connect to the Mirlyn catalog at the University of Michigan Contract No: DU100C000018407; Associated Inst: Office of Native American Programs (HUD), Washington, DC.; RP: Connect to the Mirlyn catalog at the University of Michigan Contract No: DU100C000018407; Associated Inst: Office of Native American Programs (HUD), Washington, DC.; ID: 4520</t>
  </si>
  <si>
    <t>Aspen Systems Corp., Rockville, MD</t>
  </si>
  <si>
    <t>ED418826</t>
  </si>
  <si>
    <t>ERIC; OCLC; Building Partnerships for Better Communities: Success Stories from Indian Country</t>
  </si>
  <si>
    <t>Comprehensive Health Care Program for American Indians &amp; Alaska Natives</t>
  </si>
  <si>
    <t>Alaska Natives;Allied Health Occupations Education;American Indian Reservations;American Indians;Delivery Systems;Elementary Secondary Education;Federal Indian Relationship;Health Education;Health Occupations;Health Programs;Health Services;Medical Education;Postsecondary Education;Public Health;Special Health Problems;Technical Education;Tribes;Identifier: Indian Health Service</t>
  </si>
  <si>
    <t>This booklet summarizes programs of the Indian Health Service (IHS). The IHS was created in 1954 as part of the Public Health Service when responsibility for American Indian and Alaska Native health care was transferred from the Department of the Interior's Bureau of Indian Affairs to the Department of Health, Education, and Welfare. The goal of the IHS is to raise the health status of American Indians and Alaska Natives to the highest possible level. Since 1955 the average life expectancy for American Indians and Alaska Natives has risen 19%; mortality rate among Indians with tuberculosis has decreased 96%; and infant mortality rates have decreased 85%. These improved health numbers are the result of stronger central program supervision, more qualified staff, and an accelerated public health program, including establishment of public health clinics on all reservations. The booklet describes the following IHS programs: (1) health care programs (preventive health services, emergency medical services, environmental health and engineering services, pharmacy services, contract health services, health education program, community-based programs, alcoholism and substance abuse program, school-based programs, diabetes program, nutrition program, mental health program, community health representative program, dental program, laboratory program); (2) special health concerns and initiatives (AIDS, maternal and child health, otitis media, nursing, aging, health care database management system, physician services); (3) IHS career opportunities and training programs (IHS manpower program, advanced professional and specialty training, Commissioned Officer Student Training and Extern Program); and (4) paraprofessional training (community health aide training, mental health worker training, nutrition and dietetics training, optometric assistant training, dental assistant training). The 12 Area Offices of the IHS health care delivery system are also described. Includes photographs and a national map of IHS health facilities. (TSP)</t>
  </si>
  <si>
    <t>Connect to the Mirlyn catalog at the University of Michigan; RP: Connect to the Mirlyn catalog at the University of Michigan; ID: 4521</t>
  </si>
  <si>
    <t>Indian Health Service (PHS/HSA), Rockville, MD</t>
  </si>
  <si>
    <t>ED414114</t>
  </si>
  <si>
    <t>ERIC; OCLC; Comprehensive Health Care Program for American Indians &amp; Alaska Natives</t>
  </si>
  <si>
    <t>The State of Hispanic Health, 1992. Facing the Facts</t>
  </si>
  <si>
    <t>Access to Health Care;Acquired Immune Deficiency Syndrome;Children;Death;Demography;Health Needs;Hispanic Americans;Medical Education;Medical Services;Migrant Workers;Mothers;National Surveys;Older Adults;Social Problems;Special Health Problems;Statistical Data;Substance Abuse;Identifier: Maternal Health;Fact Sheets;United States</t>
  </si>
  <si>
    <t>This publication offers an overview of the health of Hispanic Americans in the United States. Topics covered include the following: (1) Hispanic representation in health fields; (2) access to health care; (3) maternal and child health; (4) substance abuse; (5) Acquired Immune Deficiency Syndrome and Hispanics; (6) Hispanic elderly; (7) migrant farm workers; (8) leading causes of death; and (9) availability of Hispanic health data. The paper notes that 1 out of every 10 women of reproductive age is Hispanic, that 51 percent of Hispanic women of child-bearing age have family incomes at least 200 percent below the poverty level; that 31 percent of Hispanics have no private or public health insurance compared to 12 percent of Whites and 22 percent of African Americans; and that 2 times as many Hispanics as Whites use the emergency room as a source of primary care. (Contains 15 references.) (JB)</t>
  </si>
  <si>
    <t>Connect to the Mirlyn catalog at the University of Michigan Associated Inst: Public Health Service (DHHS), Rockville, MD.; RP: Connect to the Mirlyn catalog at the University of Michigan Associated Inst: Public Health Service (DHHS), Rockville, MD.; ID: 4542</t>
  </si>
  <si>
    <t>ASPIRA Association, Inc., Washington, DC. National Office</t>
  </si>
  <si>
    <t>Publications, ASPIRA Association, Inc., National Office, 1112 16th Street, N.W., Suite 340, Washington, DC 20036.</t>
  </si>
  <si>
    <t>ED357115</t>
  </si>
  <si>
    <t>ERIC; OCLC; The State of Hispanic Health, 1992. Facing the Facts</t>
  </si>
  <si>
    <t>Alcohol/Drug Abuse for East Carolina University Students, Faculty, and Staff</t>
  </si>
  <si>
    <t>Alcohol Abuse;Community Health Services;Drug Abuse;Drug Education;Higher Education;Policy Formation;Prevention;Religious Organizations;State Legislation;Identifier: Network for Drug Free Colleges;East Carolina University NC</t>
  </si>
  <si>
    <t>This booklet for distribution to students and employees contains East Carolina University's (ECU/North Carolina) policy prohibiting illegal drug use, a description of the medical and legal implications of using illegal substances, and a listing of campus and off-campus resources available to assist persons with substance abuse problems. A statement of ECU philosophy proceeds the policy statement which includes sections on educational programs to prevent drug abuse, preventative counseling and rehabilitation programs, disciplinary actions, assignment of responsibilities under the policy, and policy dissemination. There follows a chart indicating for each category of illicit drug and for alcoholic beverages the health risks, the legal penalties under North Carolina law, and ECU disciplinary actions. Two more charts show the penalties for possession of drug paraphernalia, and for counterfeit controlled substances. Four final sections list various resources to assist with substance abuse including drug and alcohol resources and clinical services (address, telephone, contact person and program description for each service); self help resources (e.g., listing of times and places of local Alcoholics Anonymous meetings); academic resources (classes on substance abuse and faculty resources); religious organizations (address, contact person, and telephone number for each). (JB)</t>
  </si>
  <si>
    <t>Connect to the Mirlyn catalog at the University of Michigan Audience: Students/ Practitioners/ Support Staff; RP: Connect to the Mirlyn catalog at the University of Michigan Audience: Students/ Practitioners/ Support Staff; ID: 4590</t>
  </si>
  <si>
    <t>East Carolina Univ., Greenville, NC</t>
  </si>
  <si>
    <t>ED332576</t>
  </si>
  <si>
    <t>ERIC; OCLC; Alcohol/Drug Abuse for East Carolina University Students, Faculty, and Staff</t>
  </si>
  <si>
    <t>Drug Affected Babies: A Bibliography</t>
  </si>
  <si>
    <t>Child Development;Child Health;Cocaine;Crack;Drug Addiction;Early Childhood Education;Heroin;Illegal Drug Use;Infants;Mothers;Neonates;Parent Child Relationship;Perinatal Influences;Special Health Problems;Urban Schools;Identifier: Crack Babies;Fetal Drug Exposure</t>
  </si>
  <si>
    <t>This 42-item annotated bibliography, represents a comprehensive effort to gather information on the educational problems of infant children of substance-abusing parents. Extensive searches were conducted in databases in the fields of education, medicine, social sciences, and the humanities. In particular, studies on the problems of "crack babies" are only beginning to appear in the literature. "Crack" is having an impact on the educational world that is almost beyond comprehension, and its duration and gravity are not yet fully known. Early studies examine the severity, permanence, and nature of the problem. Of special note among the sources cited are the papers of the National Association for Perinatal Addiction Research and Education (NAPARE), which must be viewed at the Portland School District professional library due to copyright restrictions or may be ordered from the publisher. Copies of all materials, except the NAPARE papers, are available from the professional library and an order form is appended. (FMW)</t>
  </si>
  <si>
    <t>Connect to the Mirlyn catalog at the University of Michigan; RP: Connect to the Mirlyn catalog at the University of Michigan; ID: 4588</t>
  </si>
  <si>
    <t>Portland Public Schools, OR. Dept. of Research, Evaluation, and Testing</t>
  </si>
  <si>
    <t>Professional Library, Portland Public Schools, P.O. Box 3107, Portland, OR 97208 (503) 249-2000 x267.</t>
  </si>
  <si>
    <t>ED333055</t>
  </si>
  <si>
    <t>ERIC; OCLC; Drug Affected Babies: A Bibliography</t>
  </si>
  <si>
    <t>Substance Abuse Education for Health Professionals. Report on a European Symposium (The Hague, The Netherlands, October 9-11, 1989). EUR/HFA Target 17</t>
  </si>
  <si>
    <t>Alcohol Abuse;Drug Abuse;Educational Needs;Foreign Countries;Health Education;Higher Education;International Cooperation;Nurses;Professional Education;Professional Training;Psychologists;Social Workers;Substance Abuse;Training Methods;Identifier: Health for All by the Year 2000;Europe;World Health Organization</t>
  </si>
  <si>
    <t>This report presents the results of a symposium attended by health representatives (nursing, social work, psychology) of eight European governments who met in accordance with target 17 of the World Health Organization (WHO), "Decreasing health-damaging behaviour," to examine the reorientation of education (substance abuse) for health personnel to make it more relevant to health needs. The report first describes the symposium's purpose, scope, and various sessions. Next, discussions are presented concerning current training availability of various groups of health professionals regarding substance abuse, as well as what was found to exist in undergraduate medical student education, and within the medical specialties. This is followed by discussions of the organization of training for the trainers of drug and alcohol abuse education programs, and the use of multiprofessional and multidisciplinary training. Finally, it is concluded that national planning efforts are needed in the coordination of substance abuse training, that international cooperation should be maintained in the form of a European network of substance abuse training centers, and bilateral or multilateral exchanges, and that an international catalogue of training resources should be developed and disseminated. The report concludes with several recommendations on the objectives and technologies of substance abuse training for health professionals. Appendices contain a list of participants, working papers and background documents. In addition summaries of the report provided in French, German, and Russian. (GLR)</t>
  </si>
  <si>
    <t>Connect to the Mirlyn catalog at the University of Michigan; RP: Connect to the Mirlyn catalog at the University of Michigan; ID: 4593</t>
  </si>
  <si>
    <t>World Health Organization, Copenhagen (Denmark). Regional Office for Europe</t>
  </si>
  <si>
    <t>ED344543</t>
  </si>
  <si>
    <t>ERIC; OCLC; Substance Abuse Education for Health Professionals. Report on a European Symposium (The Hague, The Netherlands, October 9-11, 1989). EUR/HFA Target 17</t>
  </si>
  <si>
    <t>Project Descriptions: Model Curricula for Alcohol and Other Drug Abuse Physician and Nurse Education</t>
  </si>
  <si>
    <t>Course Descriptions;Curriculum Design;Family Practice (Medicine);Higher Education;Internal Medicine;Pediatrics;(Major): Alcohol Abuse;Drug Abuse;Drug Education;Graduate Medical Education;Medical Education;Nursing Education</t>
  </si>
  <si>
    <t>Brief descriptions are presented of 12 model curriculum projects which are part of a program to develop and demonstrate effective models for integrating alcohol and other drug abuse teaching into the medical and nurse education curriculum. The models are based upon discipline-specific knowledge and skill objectives and address undergraduate, graduate, residency, and faculty training needs within physician and nurse education. The 12 curricula projects include the following: Brown University School of Medicine Center for Alcohol and Addiction Studies: Project ADEPT--Brown University Alcohol and Drug Education for Physician Training in Primary Care"; "Society of Teachers of Family Medicine--Project to Develop, Implement, and Evaluate a Model Program an Curriculum in Alcohol and Drug Abuse in Family Medicine"; "The Johns Hopkins Hospital" Specialty Specific Model: Develop, Implement, and Evaluate a Model Program and Curriculum in Alcohol and Other Drug Abuse for Pediatric Faculty, Residents, and Medical Students"; "The Johns Hopkins University School of Medicine: Development, Implementation and Evaluation of a Model Program and Curriculum in Alcohol and Other Drug Abuse Education for Medical Students, Residents, and Faculty In Internal Medicine"; "Medical College of Virginia Program for Alcohol and Other Drug Abuse Education, Research, and Treatment"; "Vanderbilt University: Vanderbilt's Integrated Curriculum on Alcohol and Drugs"; "University of Alabama at Birmingham Medical Education Facility: Curriculum for Clinical Competency in Substance Abuse Medicine for Primary Care Physicians"; "University of Virginia School of Medicine: Project SAGE (Substance Abuse General Education)"; "University of North Dakota School of Medicine: PEPSA, University of North Dakota Physician Education Project on Substance Abuse"; "New York University Division of Nursing: NIAA-NIDA Alcohol and Other Drug Curriculum Development Project for Nursing"; "The Ohio State University College of Nursing: Project CANDID--Curriculum for Addictions Nursing: Directions for Integrated Design (Tentative)"; "University of Connecticut School of Nursing: Project NEADA--Nursing Education Alcohol and Drug Abuse." Each description includes a list of those who worked on developing the project as well as information on purpose, approach, and materials. (JB)</t>
  </si>
  <si>
    <t>Connect to the Mirlyn catalog at the University of Michigan For related documents, see HE 024 476-477./ Audience: Practitioners/ Report: RPO-736; RP: Connect to the Mirlyn catalog at the University of Michigan For related documents, see HE 024 476-477./ Audience: Practitioners/ Report: RPO-736; ID: 4628</t>
  </si>
  <si>
    <t>National Inst. on Drug Abuse (DHHS/PHS), Rockville, MD</t>
  </si>
  <si>
    <t>ED332565</t>
  </si>
  <si>
    <t>ERIC; OCLC; Project Descriptions: Model Curricula for Alcohol and Other Drug Abuse Physician and Nurse Education</t>
  </si>
  <si>
    <t>Substance Abuse Curriculum Development in Family Medicine: An Instructors' Manual in Two Parts</t>
  </si>
  <si>
    <t>Faculty Development;Higher Education;Program Evaluation;(Major): Curriculum Development;Family Practice (Medicine);Institutes (Training Programs);Medical Education;Substance Abuse</t>
  </si>
  <si>
    <t>This instructor's manual is a practical guide to a faculty development training program on substance abuse within family medicine emphasizing a meshing of individual curriculum projects by participants with group instruction and support. Organized into two parts the manual describes the training program in detail in Part 1 and provides 10 actual curriculum examples in Part 2. The training program description includes a section on how to use the manual, an exposition of the program's philosophy, suggestions for evaluation, a list of the faculty resources materials and facilities needed to run the program, suggestions for adapting the program, and practical hints for a successful program. The curriculum examples in Part Two are grouped according to educational level including undergraduate (e.g., improving early diagnosis of substance abuse by medical students), residency (e.g., the impaired health professional), faculty (e.g., a curriculum in substance abuse for family practice faculty), and two applicable to all levels (e.g., how to stay sober and serene in dealing with alcoholic patients). Each curriculum is outlined listing such elements as rationale, objectives, activity sequences, instructional resources, evaluation strategies, hints to the instructor, and an appendix of key materials. (JB)</t>
  </si>
  <si>
    <t>Connect to the Mirlyn catalog at the University of Michigan For related documents, see HE 024 447-452/ Contract No: ADM-281-87-0002/ Audience: Practitioners/ Report: PH275; Associated Inst: National Inst. on Drug Abuse (DHHS/PHS), Rockville, MD.; National Inst. on Alcohol Abuse and Alcoholism (DHHS), Rockville, MD.; RP: Connect to the Mirlyn catalog at the University of Michigan For related documents, see HE 024 447-452/ Contract No: ADM-281-87-0002/ Audience: Practitioners/ Report: PH275; Associated Inst: National Inst. on Drug Abuse (DHHS/PHS), Rockville, MD.; National Inst. on Alcohol Abuse and Alcoholism (DHHS), Rockville, MD.; ID: 4630</t>
  </si>
  <si>
    <t>Society for Teachers of Family Medicine, Kansas City, MO</t>
  </si>
  <si>
    <t>ED331394</t>
  </si>
  <si>
    <t>ERIC; OCLC; Substance Abuse Curriculum Development in Family Medicine: An Instructors' Manual in Two Parts</t>
  </si>
  <si>
    <t>Substance-Abuse Education for Health Professionals. Report on a WHO Consultation (Vienna, Austria, May 20-22, 1987)</t>
  </si>
  <si>
    <t>Courses;Curriculum;Drug Abuse;Foreign Countries;Graduate Medical Education;Health Education;Health Personnel;Higher Education;Medical Schools;Policy Formation;Professional Education;Skills;Substance Abuse;Training Methods;Training Objectives;Undergraduate Study;Identifier: Sweden;Austria;USSR;United States;France;World Health Organization European Region;Spain;Sweden</t>
  </si>
  <si>
    <t>The major results of a World Health Organization consultation meeting which was organized to examine ways and means of improving the status of substance abuse education for health professionals in some European countries is presented. Conference participants included researchers, psychiatrists, advisers, clinicians, health administrators, and experts from 10 European countries and the United States involved in the design and implementation of substance abuse courses in the curricula of medical schools both at the postgraduate and undergraduate level. The report discusses several important aspects: (1) substance abuse problems in the European region including Austria, France, Spain, Sweden and the Soviet Union; (2) differences among national substance abuse policies in the European region; (3) substance abuse education in the United States; (4) the objectives of substance abuse training; (5) training methods; (6) structural conditions for the implementation of training programmes; and (7) postgraduate training programmes. A number of general and specific recommendations are provided for undergraduate and postgraduate training programmes. Specific guidelines for the training of general practitioners and general psychiatrists, and for implementing programmes for disciplines specifically related to substance abuse problems are outlined together with recommendations for training nonmedical health professionals. Participants, and their addresses and affiliations, are listed. (LPT)</t>
  </si>
  <si>
    <t>Connect to the Mirlyn catalog at the University of Michigan; RP: Connect to the Mirlyn catalog at the University of Michigan; ID: 4632</t>
  </si>
  <si>
    <t>WHO Regional Office for Europe, Scherfigsvej 8, DK-2100 Copenhagen, Denmark.</t>
  </si>
  <si>
    <t>ED329186</t>
  </si>
  <si>
    <t>ERIC; OCLC; Substance-Abuse Education for Health Professionals. Report on a WHO Consultation (Vienna, Austria, May 20-22, 1987)</t>
  </si>
  <si>
    <t>CRACKDOWN: A Guide to Preventing Substance Abuse Elementary. Citywide Teach-in--September 30</t>
  </si>
  <si>
    <t>Drug Abuse;Drug Education;Elementary Education;Health;Illegal Drug Use;Instructional Materials;Primary Education;Science Education;Social Problems;Social Studies;Urban Schools;Identifier: Cocaine;Crack;New York (New York)</t>
  </si>
  <si>
    <t>This elementary school curriculum guide, the subject of a citywide teach-in in the New York City schools, provides facts, lessons, and learning activities designed to provide information about and to prevent the use of crack, a form of cocaine. The lessons are divided into two groups, one for grades K-3 and the other grades 4-6. The primary curriculum consists of four interdisciplinary lessons: (1) You Are What You Eat: How Foods Help Us; (2) Dangers in the House; (3) Dangers in Your Medicine Cabinet; and (4) Pinocchio Goes to Pleasure Island: A Story of Peer Pressure. These lessons provide a framework for teaching about substance abuse if the children raise this problem. The lessons for grades 4-6 focus on the facts about crack, the reasons people give for using crack, how to say no, and on deciding whether to use drugs: titles of lessons are (1) Pharmacology of Crack: What It Does to the Body; (2) Reasons Given for Drug Abuse; and (3) Consequences of Using Crack. Follow-up activities for grades 4-6, a fact sheet for teachers, a poster, and an evaluation form are also included. (KH)</t>
  </si>
  <si>
    <t>Search the Mirlyn catalog at the University of Michigan ISBN: ISBN-88315-813-2 Audience: Practitioners; RP: Search the Mirlyn catalog at the University of Michigan ISBN: ISBN-88315-813-2 Audience: Practitioners; ID: 4596</t>
  </si>
  <si>
    <t>New York City Board of Education, Brooklyn, NY. Div. of Curriculum and Instruction</t>
  </si>
  <si>
    <t>New York City Board of Education, Curriculum Editorial and Production Unit, Office of Curriculum Development and Support, Room 613, 131 Livingston St., Brooklyn, NY 11201 ($3.00).</t>
  </si>
  <si>
    <t>ED281954</t>
  </si>
  <si>
    <t>ERIC; OCLC; CRACKDOWN: A Guide to Preventing Substance Abuse Elementary. Citywide Teach-in--September 30</t>
  </si>
  <si>
    <t>Alcohol Abuse and Its Implications for Families. Hearing before the Select Committee on Children, Youth, and Families. House of Representatives, Ninety-Ninth Congress, First Session</t>
  </si>
  <si>
    <t>Adolescents;Alcoholism;Drug Abuse;Educational Needs;Family Counseling;Family Problems;Family Relationship;Hearings;Parent Child Relationship;Prevention;State Programs;Identifier: Congress 99th</t>
  </si>
  <si>
    <t>This document contains transcripts of testimony and prepared statements from the Congressional hearing called to examine the effects of alcoholism on children and families. Testimonies are presented from the director of the Alcoholism Control Administration, Department of Health and Mental Hygiene; the medical director of the Alcoholism and Compulsive Gambling Programs; the vice president (programs) of the National Federation of Parents for Drug-Free Youth; vice-chairperson of the Florida Governor's Commission on Drug and Alcohol Concerns; a juvenile court judge from Ohio; the presiding justice of the Quincy District Court, Quincy, Massachusetts; the administrator of the Alcohol, Drug Abuse and Mental Health Administration, Department of Health and Human Services; and from recovering alcoholics and parents of alcoholics. Topics covered include the causes of alcoholism, the need for education at all levels about the causes and consequences of drinking, state and federal efforts to promote substance abuse prevention and education, and treatment needs of children and families involved in alcohol abuse. The appendix contains the prepared statements, letters, and supplemental materials submitted for the record. (MCF)</t>
  </si>
  <si>
    <t>Connect to the Mirlyn catalog at the University of Michigan Audience: Policymakers; RP: Connect to the Mirlyn catalog at the University of Michigan Audience: Policymakers; ID: 4617</t>
  </si>
  <si>
    <t>Congress of the U.S., Washington, DC. House Select Committee on Children, Youth, and Families</t>
  </si>
  <si>
    <t>Superintendent of Documents, U.S. Government Printing Office, Washington, DC 20402.</t>
  </si>
  <si>
    <t>ED261306</t>
  </si>
  <si>
    <t>ERIC; OCLC; Alcohol Abuse and Its Implications for Families. Hearing before the Select Committee on Children, Youth, and Families. House of Representatives, Ninety-Ninth Congress, First Session</t>
  </si>
  <si>
    <t>Dulce Public Schools Community Education Needs Assessment</t>
  </si>
  <si>
    <t>American Indian Education;American Indians;Anglo Americans;Community Surveys;Educational Assessment;Elementary Secondary Education;Mexican Americans;Needs Assessment;Parent Attitudes;Program Evaluation;Rural Education;Rural Schools;School Community Relationship;School Effectiveness;Small Schools;Spanish Americans;Tribes;Identifier: Jicarilla Apache (Tribe);New Mexico (Dulce);Tribal Government</t>
  </si>
  <si>
    <t>Adults in a multi-ethnic, small, rural school district were surveyed to determine their evaluation and expectations of district schools. Of the 301 respondents, 72% were Jicarilla Apache/other Indian, 14% Spanish/Mexican, and 14% Anglo; most were aged 19-45; 81% had completed high school; 76% were employed. Respondents rated the elementary, high, and parochial schools generally adequate, particularly in facilities, bussing, and teachers, but found counseling services unsatisfactory; strongly supported occupational training, personal finance classes, cultural heritage emphasis, and a substance abuse program; found lack of motivation, self-discipline, and parental involvement the most common impediments to education; rated high school graduation very important; and believed student goals should be good grades and preparation for further education and employment. Respondents recognized that parents have a primary responsibility for education and wanted the school system to teach basic skills. The survey's second part, answered by Jicarilla Apache tribal members, evaluated programs offered by tribal government and demonstrated need for better communication between residents, school system, and tribal government, and need for more adult education. Survey conclusions included the need to improve communication between school system and residents, to improve social behavior and educational climate, and to integrate native language and culture into the schools. (LFL)</t>
  </si>
  <si>
    <t>Connect to the Mirlyn catalog at the University of Michigan; RP: Connect to the Mirlyn catalog at the University of Michigan; ID: 4614</t>
  </si>
  <si>
    <t>New Mexico Univ., Albuquerque. Bureau of Educational Planning and Development</t>
  </si>
  <si>
    <t>ED264053</t>
  </si>
  <si>
    <t>ERIC; OCLC; Dulce Public Schools Community Education Needs Assessment</t>
  </si>
  <si>
    <t>Caring, Coping, Change: Challenges for the 80's. A Report of the National Indian Child Conference (4th, Albuquerque, New Mexico, September 12-16, 1982)</t>
  </si>
  <si>
    <t>Adult Education;Alcohol Education;American Indian Education;American Indians;Bilingual Education;Child Abuse;Child Welfare;Children;Cultural Awareness;Cultural Education;Day Care;Educational Trends;Elementary Secondary Education;Family Programs;Health Education;Health Programs;Human Resources;Leadership;Microcomputers;Parenthood Education;Preschool Education;Self Esteem;Special Programs;Tribes;Youth Problems;Identifier: Traditional Healing;Save the Children Fund;National Indian Child Conference 4th</t>
  </si>
  <si>
    <t>The report of the fourth National Indian Child Conference (1982), sponsored by Save the Children, contains a statistical portrait of the American Indian child, synopses of 7 major presentations and 64 workshops, recommendations, a conference evaluation, and lists of conference staff, presenters, and tribal representation. Topics of major presentations are traditional Indian medicine; ways to teach children a Native American perspective; microcomputers in education; trends in education; Save the Children; family day care; and leadership. Workshop topics include self-esteem, creative writing, community planning, cultural awareness/preservation, handicapped children, suicide prevention, mental health programs, parenting, bilingual education, adult education, child abuse, fund raising, local school boards, teenage pregnancy, preventative health education, early childhood education, gifted children, and substance abuse and therapy. Recommendations presented are for increased funding for Indian Child Welfare Act programs; improved communication between federal agencies affecting Indian children; opposition to closure of the Southwestern Indian Polytechnical Institute and other Indian schools; dissemination of information regarding the 1982 Indian Housing Act to Indian communities; continued pre-kindergarten programs through Indian Student Equalization Programs; increased community involvement in planning preventative health education curriculum; school-age parenting classes and child care in Indian communities; and encouraging use of native foods through the schools. (MH)</t>
  </si>
  <si>
    <t>Connect to the Mirlyn catalog at the University of Michigan Associated Inst: Save the Children, Westport, CT.; RP: Connect to the Mirlyn catalog at the University of Michigan Associated Inst: Save the Children, Westport, CT.; ID: 4610</t>
  </si>
  <si>
    <t>Save the Children, Albuquerque, NM</t>
  </si>
  <si>
    <t>ED234936</t>
  </si>
  <si>
    <t>ERIC; OCLC; Caring, Coping, Change: Challenges for the 80's. A Report of the National Indian Child Conference (4th, Albuquerque, New Mexico, September 12-16, 1982)</t>
  </si>
  <si>
    <t>Institution Libraries Statistics/1979-80</t>
  </si>
  <si>
    <t>Annual Reports;Institutional Libraries;Institutions;Library Circulation;Library Expenditures;Library Materials;Library Networks;Library Personnel;Working Hours;Identifier: Library Statistics</t>
  </si>
  <si>
    <t>This compilation of annual reports of 151 New York State institution libraries for the year ending March 31, 1980, presents data on total resident population, library materials, dollar expenditures, and weekly staff hours. The types of institutions represented include correctional services, division of substance abuse services, education, health, office of mental health, office of mental retardation, and developmental disabilities and youth. In a separate table, a comparative summary indicates annual library expenditures for salary, materials, and other categories by institution type since 1973, including percentages of increase and decrease. Appendices comprise a key to the abbreviations used; a directory of state institutions which includes their addresses, the state department and system with which they are associated, and the names of both the librarian and the head of the institution; and a list of public library systems showing the institutions in the same geographical area. (RBF)</t>
  </si>
  <si>
    <t>Connect to the Mirlyn catalog at the University of Michigan; RP: Connect to the Mirlyn catalog at the University of Michigan; ID: 4622</t>
  </si>
  <si>
    <t>New York State Library, Albany</t>
  </si>
  <si>
    <t>ED211096</t>
  </si>
  <si>
    <t>ERIC; OCLC; Institution Libraries Statistics/1979-80</t>
  </si>
  <si>
    <t>Applied Communication, Argumentation, and Debate: Abstracts of Doctoral Dissertations Published in "Dissertation Abstracts International," July through December 1979 (Vol. 40 Nos. 1 through 6)</t>
  </si>
  <si>
    <t>Annotated Bibliographies;Behavior Patterns;Discourse Analysis;Higher Education;Listening Skills;Research;Rhetoric;Teaching Methods;Verbal Communication;(Major): Communication Research;Communication (Thought Transfer);Debate;Doctoral Dissertations;Persuasive Discourse;Speech Communication</t>
  </si>
  <si>
    <t>This collection of abstracts is part of a continuing series providing information on recent doctoral dissertations. The 16 titles deal with the following topics: the use of mass distribution as a method of diffusing ideas on college campuses; compliance-gaining message selection; the rhetoric of Divorced Catholics Groups and the founding of a national organization; the conceptual foundations of communication and their implications for school personnel in devising and selecting strategies for communicating with their publics; the Newspaper in Education Program in Maryland; communication behavior patterns of academic educators; verbal participation and outcomes in medical education; leadership communication style, group response, and problem solving effectiveness; communication behaviors of short-term imprisoned women; source credibility and persuasion; the effects of camera shot and witness type on jurors' responses to a videotaped deposition; attitude change from forewarning and its relationship to the listener's choice and the listener's prior attitude toward the topic; the rhetoric of collective bargaining in higher education; communication influences on selected substance abuse behavior in Mexico City; communication training of staff nurses; and the cognitive structure/cognitive response model of communication impact. (FL)</t>
  </si>
  <si>
    <t>Connect to the Mirlyn catalog at the University of Michigan; RP: Connect to the Mirlyn catalog at the University of Michigan; ID: 4636</t>
  </si>
  <si>
    <t>ERIC Clearinghouse on Reading and Communication Skills, Urbana, IL</t>
  </si>
  <si>
    <t>ED181524</t>
  </si>
  <si>
    <t>ERIC; OCLC; Applied Communication, Argumentation, and Debate: Abstracts of Doctoral Dissertations Published in "Dissertation Abstracts International," July through December 1979 (Vol. 40 Nos. 1 through 6)</t>
  </si>
  <si>
    <t>The Changing Character of Drug Abuse: The Federal Response. Hearing Before the Subcommittee on Health and the Environment of the Committee on Interstate and Foreign Commerce, House of Representatives, Ninety-Sixth Congress, First Session on "Where Should the Federal Drug Abuse Policy be Headed in the 1980's?"</t>
  </si>
  <si>
    <t>Adolescents;Drug Abuse;Federal Programs;Federal State Relationship;Illegal Drug Use;Older Adults;State Programs;Young Adults;Youth Problems;Identifier: New York;Congress 96th;New York</t>
  </si>
  <si>
    <t>This document represents the testimony given before the Subcommittee on Health and the Environment of the Committee on Interstate and Foreign Commerce of the House of Representatives on November 30, 1979. These presentations address the following areas of concern: (1) New York state services and commissions established to deal with drug abuse; (2) federal financial assistance for national and state drug abuse programs; (3) marihuana and heroin use by young adults; (4) methadone maintenance treatment programs; and (5) drug use/abuse by the elderly. Additional material submitted for the record includes articles on accidental drug addiction, sales of illegal drugs, drug treatment programs sponsored by the New York City Board of Education and the New York State Commission on Alcohol and Substance Abuse Prevention and Education, and reports of substance abuse incidents in emergency rooms and medical examiner offices. (HLM)</t>
  </si>
  <si>
    <t>Connect to the Mirlyn catalog at the University of Michigan; RP: Connect to the Mirlyn catalog at the University of Michigan; ID: 4635</t>
  </si>
  <si>
    <t>Congress of the U. S., Washington, DC. House Committee on Interstate and Foreign Commerce</t>
  </si>
  <si>
    <t>ED188035</t>
  </si>
  <si>
    <t>ERIC; OCLC; The Changing Character of Drug Abuse: The Federal Response. Hearing Before the Subcommittee on Health and the Environment of the Committee on Interstate and Foreign Commerce, House of Representatives, Ninety-Sixth Congress, First Ses(TRUNCATED)</t>
  </si>
  <si>
    <t>Career Teacher Program Evaluation. Final Report. Volume I: The Career Teacher Program</t>
  </si>
  <si>
    <t>Alcohol Education;College Faculty;Curriculum Development;Data Collection;Drug Abuse;Drug Education;Faculty Development;Higher Education;Medical Education;Medical Schools;Medical Students;Physicians;Professional Continuing Education;Professional Training;Program Evaluation;Identifier: National Institute on Drug Abuse;National Institute of Alcohol Abuse and Alcoholism;Career Teacher Program</t>
  </si>
  <si>
    <t>This first volume of the evaluation of the Career Teacher Program describes the background of the program, the purpose of the evaluation, a description of the evaluation methodology, the results and findings of implementing the methodology, program outcomes, and conclusions and recommendations for the program. The program was designed to improve the training of medical students concerning drug abuse and alcohol abuse by increasing the number and knowledge of academic faculty in medical schools in these areas and by developing regular courses of instruction on these major health problems, and in continuing education programs for doctors. Training grants to qualified degree-granting programs to provide an opportunity to fund medical school faculty members for further training in drug abuse and addiction were authorized by the program. In order to answer evaluation questions and test the hypotheses of the study, a data collection plan involving six different checklist instruments was developed. The activities involved: site visits to career teacher sites and training centers, a telephone survey of "career" teachers, an institutions survey of "noncareer" teachers, a trainee mail survey, and interviews with officials of the National Institute of Alcohol Abuse and Alcoholism (NIAAA) and the National Institute on Drug Abuse (NIDA). Conclusions and recommendations are presented concerning the career teacher project grantees (career teachers, sponsors, and institutions); the training centers; and the NIAAA and NIDA. (SW)</t>
  </si>
  <si>
    <t>Connect to the Mirlyn catalog at the University of Michigan Associated Inst: National Inst. on Alcohol Abuse and Alcoholism (DHEW/PHS), Rockville, MD.; National Inst. on Drug Abuse (DHEW/PHS), Rockville, MD.; RP: Connect to the Mirlyn catalog at the University of Michigan Associated Inst: National Inst. on Alcohol Abuse and Alcoholism (DHEW/PHS), Rockville, MD.; National Inst. on Drug Abuse (DHEW/PHS), Rockville, MD.; ID: 4603</t>
  </si>
  <si>
    <t>CONSAD Research Corp., Pittsburgh, PA</t>
  </si>
  <si>
    <t>ED168401</t>
  </si>
  <si>
    <t>ERIC; OCLC; Career Teacher Program Evaluation. Final Report. Volume I: The Career Teacher Program</t>
  </si>
  <si>
    <t>Task Force Report: Narcotics and Drug Abuse</t>
  </si>
  <si>
    <t>Antisocial Behavior;Crime;Law Enforcement;Legal Problems;Marihuana;(Major): Drug Abuse;Drug Addiction;Drug Education;Drug Legislation;Narcotics</t>
  </si>
  <si>
    <t>This report contains a number of the papers submitted to the President's Commission on Law Enforcement and Administration of Justice, by outside consultants. Chapter Eight of that commission's report, "The Challenge of Crime in a Free Society," is reprinted at the beginning of this report, with the addition of annotations to indicate source materials considered. But this volume does not in any sense embody a comprehensive treatment of the complex and important problems of drug abuse. Limitation of resources has led this commission to limit the scope and depth of its work in this area. Among the topics discussed in this report are: (1) the drugs and their reputation, (2) enforcement, (3) drug abuse and crime, (4) penalties, (5) marihuana, (6) treatment, (7) civil commitment, (8) medical practice and addiction, and (9) education. Six appendix sections are presented covering such topics as dangerous drugs, narcotics, drug legislation, treatment of drug addiction, and civil commitment of narcotic addicts. (Author/BW)</t>
  </si>
  <si>
    <t>Connect to the Mirlyn catalog at the University of Michigan; RP: Connect to the Mirlyn catalog at the University of Michigan; ID: 4620</t>
  </si>
  <si>
    <t>President's Commission on Law Enforcement and Administration of Justice, Washington, DC</t>
  </si>
  <si>
    <t>ED066678</t>
  </si>
  <si>
    <t>No language available</t>
  </si>
  <si>
    <t>ERIC; OCLC; Task Force Report: Narcotics and Drug Abuse</t>
  </si>
  <si>
    <t>Study Shows How Barbiturates Affect Brain</t>
  </si>
  <si>
    <t>Chemical and Engineering News</t>
  </si>
  <si>
    <t>Chem.Eng.News</t>
  </si>
  <si>
    <t>Biological Sciences;Drug Therapy;Metabolism;Rats;Resource Materials;Scientific Research;(Major): Drug Addiction;Health Education;Medical Education;Narcotics</t>
  </si>
  <si>
    <t>Connect to the Mirlyn catalog at the University of Michigan Article (EJ); ID: 4619</t>
  </si>
  <si>
    <t>EJ076339</t>
  </si>
  <si>
    <t>ERIC; OCLC; Study Shows How Barbiturates Affect Brain</t>
  </si>
  <si>
    <t>Abuya,Benta A.;Elungata,Patricia;Mutisya,Maurice;Kabiru,Caroline W.</t>
  </si>
  <si>
    <t>Parental Education and High School Completion in the Urban Informal Settlements in Kenya</t>
  </si>
  <si>
    <t>Cogent Education v4</t>
  </si>
  <si>
    <t>489 2017 (13</t>
  </si>
  <si>
    <t>Foreign Countries;Parent Background;High School Graduates;Graduation Rate;Urban Population;Educational Attainment;Regression (Statistics);Socioeconomic Status;Marital Status;Substance Abuse;Gender Differences;College Bound Students;Achievement Need;Predictor Variables;Performance Factors;Identifier: Kenya</t>
  </si>
  <si>
    <t>A well-established empirical association exists between family background and children's educational attainment. Studies have shown the importance of parental education for not just children's educational outcomes but also other behavioral, and health outcomes. In this paper, data collected by African Population and Health Research Center in 2012 across Nairobi's slums are fitted to a logistic regression to estimate the likelihood of secondary school completion. Even after controlling for influential covariates such as socioeconomic status; parental survivorship; slum area of residence and duration of stay; marital status; and substance abuse the effect of parental education on secondary school completion persists. Among female adolescents compared to male adolescents, parental presence, drug abuse, and migration into the slum compared to birth in the slum were associated with lower school completion. Overall, the study confirms the importance of parental education for adolescent secondary school completion but extends its effects beyond that reported in the literature on SSA, which is that mother's and father's education affect the acquisition of literacy and numeracy, math achievement, age for grade, and cognitive development.</t>
  </si>
  <si>
    <t>Search the Mirlyn catalog at the University of Michigan Education Level: High Schools Article (EJ); ID: 4562</t>
  </si>
  <si>
    <t>EISSN-2331-186X</t>
  </si>
  <si>
    <t>Cogent OA. Available from: Taylor &amp; Francis, Ltd. 530 Walnut Street Suite 850, Philadelphia, PA 19106. Tel: 800-354-1420; Tel: 215-625-8900; Fax: 215-207-0050; Web site: http://www.tandf.co.uk/journals; http://dx.doi.org/10.1080/2331186X.2017.1369489</t>
  </si>
  <si>
    <t>EJ1168414</t>
  </si>
  <si>
    <t>ERIC; OCLC; Parental Education and High School Completion in the Urban Informal Settlements in Kenya</t>
  </si>
  <si>
    <t>Adger,Hoover</t>
  </si>
  <si>
    <t>Model Program and Curriculum in Alcohol and Other Drug Abuse for Pediatric Medical Students, Residents, and Faculty. Instructor's Guide</t>
  </si>
  <si>
    <t>Adolescents;Curriculum Guides;Demonstration Programs;Evaluation Methods;Higher Education;Interviews;Pediatrics;Teaching Methods;(Major): Alcohol Abuse;Clinical Diagnosis;Drug Abuse;Medical Education;Medical Evaluation</t>
  </si>
  <si>
    <t>This instructor's guide provides a description of the Johns Hopkins Substance Abuse Curriculum, detailed educational models and other aids for conducting substance abuse teaching activities. The guide is in six sections with Section 1 as a brief introduction and list of 20 references. Section 2 sketches the Johns Hopkins Pediatric Substance Abuse Curriculum by listing knowledge and attitudinal objectives organized under 5 curriculum goals. Section 3, Developing the Program at Your Institution, discusses such topics as needs assessment, goals, instructional plan, choosing teaching methods, evaluations, and recommendations. Section 4 addresses six different teaching strategies. Section 5 contains five substance abuse education modules: (1) Substance Abuse Overview; (2) Current Drugs of Abuse; (3) Substance Abuse Interviewing; (4) Assessment and Evaluation of Adolescent Substance Abuse; (5) Adolescent Substance Abuse Treatment. Each module contains a format, session guidelines, objectives, related curriculum goal(s), synopsis, instructor's resources, session outline, instructor's materials, masters of learner's handouts, equipment list and suggested preparation activities. A final section, Substance Abuse Resources, lists alcohol and other drug abuse resource organizations (including address, telephone number and indication of what type of materials may be available), and audio-visual materials (with a description of each and suggestion for use). (JB)</t>
  </si>
  <si>
    <t>Connect to the Mirlyn catalog at the University of Michigan For related documents, see HE 024 447-452./ Contract No: ADM-281-86-0009/ Audience: Practitioners/ Report: RP0745; Associated Inst: National Inst. on Drug Abuse (DHHS/PHS), Rockville, MD.; National Inst. on Alcohol Abuse and Alcoholism (DHHS), Rockville, MD.; RP: Connect to the Mirlyn catalog at the University of Michigan For related documents, see HE 024 447-452./ Contract No: ADM-281-86-0009/ Audience: Practitioners/ Report: RP0745; Associated Inst: National Inst. on Drug Abuse (DHHS/PHS), Rockville, MD.; National Inst. on Alcohol Abuse and Alcoholism (DHHS), Rockville, MD.; ID: 4631</t>
  </si>
  <si>
    <t>Johns Hopkins Univ., Baltimore, MD. School of Medicine</t>
  </si>
  <si>
    <t>ED331392</t>
  </si>
  <si>
    <t>ERIC; OCLC; Model Program and Curriculum in Alcohol and Other Drug Abuse for Pediatric Medical Students, Residents, and Faculty. Instructor's Guide</t>
  </si>
  <si>
    <t>Altmaier,Elizabeth M.</t>
  </si>
  <si>
    <t>Survey of Health Psychology Training among Counseling Psychology Programs</t>
  </si>
  <si>
    <t>College Faculty;College Students;Counseling Services;Counselor Training;Higher Education;Practicums;Program Development;Identifier: Health Psychology</t>
  </si>
  <si>
    <t>Health psychology has emerged as a potentially distinct specialty within counseling psychology. To determine the nature and extent of health psychology training in counseling psychology programs, 55 training directors of counseling psychology programs that are either members of the Council of Counseling Psychology Training Programs (CCPTP) or are approved, or being approved, by the American Psychological Association were surveyed. The survey focused on identifying information about the program, course work in health psychology available either within or outside the program, applied experiences, research interests, and placement. The results of the survey (response rate of 89%) showed that almost 60% of the programs had no health psychology course work. Those programs offering relevant courses indicated courses focusing on substance abuse, disability, general health psychology, and rehabilitation. Fifty-nine percent of the programs reported practicum placements in health psychology. An average of 1.5 faculty per program was reported to have health psychology as an interest area. Students reported a moderate interest in the subject area, with 18% of them participating in related research. A moderate percentage (35-40%) of the programs reported no internships or job placements in health psychology related settings. These findings suggest that there is a moderate interest in health psychology research and practice among counseling psychology faculty and students. (The survey questionnaire is attached.) (BL)</t>
  </si>
  <si>
    <t>Connect to the Mirlyn catalog at the University of Michigan; RP: Connect to the Mirlyn catalog at the University of Michigan; ID: 4600</t>
  </si>
  <si>
    <t>ED250625</t>
  </si>
  <si>
    <t>ERIC; OCLC; Survey of Health Psychology Training among Counseling Psychology Programs</t>
  </si>
  <si>
    <t>Beauvais,Caroline;McKay,Lindsey;Seddon,Adam</t>
  </si>
  <si>
    <t>A Literature Review on Youth and Citizenship. CPRN Discussion Paper</t>
  </si>
  <si>
    <t>Age Discrimination;Citizen Participation;Citizen Role;Citizenship;Citizenship Education;Citizenship Responsibility;Dropouts;Literature Reviews;Poverty;Racial Discrimination;Role of Education;School Effectiveness;Secondary Education;Sex Discrimination;Subcultures;Youth;Youth Opportunities;Youth Problems;Identifier: Canada;Personal Independence;Canada</t>
  </si>
  <si>
    <t>Using the yardsticks of independence and equality, an analysis of the literature on youth from a citizenship perspective can track youth's citizenship status and capacity to become full citizens. For young people, education is an avenue to either exclusion or independence and equality. For example, dropouts are more likely to live in poverty, and economic independence is considered key to achieving full citizenship. Exclusion exists in the school system, as schools continue to stream young women into traditional career paths and allow racial discrimination. Schools fail to provide the knowledge and capacity to make informed, intelligent choices about substance abuse and sexuality. Access to education, student debt, and labor market conditions delay economic independence. Young people face discrimination due to age and membership in a particular community. Examples of differential treatment are found in the areas of work, medicine, social services, and legal system. Their right to protection from harm is infringed upon most by the transportation system and societal problems related to gender, poverty, and marginalization. Having hope for the future and feelings of belonging influence youth participation in politics and resistance to marginalization through formation of subcultures and via political protest. The notion of precariousness best captures the experience of youth citizenship with respect to exercise of rights and responsibilities, access, and belonging. (Appendixes include a 271-item bibliography and roundtable summary.) (YLB)</t>
  </si>
  <si>
    <t>Connect to the Mirlyn catalog at the University of Michigan; RP: Connect to the Mirlyn catalog at the University of Michigan; ID: 4595</t>
  </si>
  <si>
    <t>Canadian Policy Research Networks Inc., Ottawa (Ontario)</t>
  </si>
  <si>
    <t>For full text: http://www.cprn.org/docs/corporate/rlryc_e.pdf.</t>
  </si>
  <si>
    <t>ED475454</t>
  </si>
  <si>
    <t>ERIC; OCLC; A Literature Review on Youth and Citizenship. CPRN Discussion Paper</t>
  </si>
  <si>
    <t>Becker,Sara J.;Spirito,Anthony;Vanmali,Roshani</t>
  </si>
  <si>
    <t>Perceptions of "'Evidence-Based Practice" among the Consumers of Adolescent Substance Use Treatment</t>
  </si>
  <si>
    <t>Evidence Based Practice;Qualitative Research;Substance Abuse;Adolescents;Structured Interviews;Familiarity;Scientific Research;Focus Groups;Patients;Misconceptions;Medical Evaluation;Juvenile Justice;Counseling Techniques;Adolescent Attitudes;Parent Attitudes;Instructional Materials;Definitions;Coding;Participant Characteristics;Identifier: United States (Northeast)</t>
  </si>
  <si>
    <t>Objective: Several national organisations in the USA have recently developed educational materials that encourage substance use disorder treatment consumers to seek out approaches supported by scientific evidence in order to promote the use of "evidence-based practice" (EBP). This study aimed to explore how adolescents (young people aged 12-17?years) with substance use disorders and their caregivers perceive, understand and react to the concept of EBP. Methods: Qualitative focus groups and structured interviews were conducted with 29 caregivers and 24 adolescents with substance use disorders in the Northeastern USA. Discussions explored four themes: (a) familiarity with EBP, (b) assumptions about what EBP means, (c) impressions of EBP after reading a common definition and (d) recommended terms to describe EBP in educational materials. Participants' responses were transcribed and qualitatively analysed by two independent coders. Results: Only 2 of the 53 participants had ever heard the term EBP, and only 1 was able to define it correctly. Common assumptions about the term "evidence-based" were that it referred to treatment based on the patient's medical history, legal evidence of substance use or the clinician's prior experience. The misperception that EBP was associated with legal evidence was common among adolescents involved in the justice system. After reading a common definition of EBP, most participants thought that the approach sounded inflexible. Alternative terms the participants recommended to educate potential treatment consumers about EBP included proven, successful, better and therapy that works. Conclusion: Results suggest that future efforts to educate treatment consumers should use the phrase EBP with caution and emphasise the flexibility of the approach.</t>
  </si>
  <si>
    <t>FirstSearch indicates your institution subscribes to this publication. Libraries worldwide that own item: 813 University of Michigan Library Search the Mirlyn catalog at the University of MichiganLocal Holdings Information: 15-30,32-68; 1957-2009; 1943- 12 pages Associated Inst: National Institute on Drug Abuse (DHHS/PHS); Contract No: K23DA031743 Article (EJ); ID: 4565</t>
  </si>
  <si>
    <t>SAGE Publications. 2455 Teller Road, Thousand Oaks, CA 91320. Tel: 800-818-7243; Tel: 805-499-9774; Fax: 800-583-2665; e-mail: journals@sagepub.com; Web site: http://sagepub.com; http://dx.doi.org/10.1177/0017896915581061</t>
  </si>
  <si>
    <t>EJ1095323</t>
  </si>
  <si>
    <t>ERIC; OCLC; Perceptions of "'Evidence-Based Practice" among the Consumers of Adolescent Substance Use Treatment</t>
  </si>
  <si>
    <t>Bigby,JudyAnn</t>
  </si>
  <si>
    <t>Resource Manual for Alcohol and Other Drug Abuse Education in Internal Medicine</t>
  </si>
  <si>
    <t>Alcohol Abuse;Drug Abuse;Graduate Medical Students;Higher Education;Internal Medicine;Medical Education;Physicians;Reference Materials;Resource Materials;(Major): Curriculum Development;Medical Students;Substance Abuse</t>
  </si>
  <si>
    <t>The resource manual provides guidelines and resources for individuals interested in integrating a substance abuse curriculum into existing programs for medical students and residents in internal medicine. Materials and resources appropriate for practicing physicians are also included. Three sections are: (1) a statement of minimum knowledge and clinical skills for all practicing physicians, medical students, practicing interns and internal medical residents, and medical students completing internal medicine clinical experiences (e.g., general concepts, prevention, pharmacology and pathophysiology, evaluation of patient, patient management, legal aspects, and impairment of health professionals); (2) a description of resources and activities for reaching selected goals and achieving the minimum knowledge and clinical skills desirable for general internists (including residents and students) in managing patients who abuse alcohol and other drugs; and (3) a list of model curricula. This document contains approximately 200 references and a list of 23 audiovisual material resources. (SM)</t>
  </si>
  <si>
    <t>Connect to the Mirlyn catalog at the University of Michigan Contract No: ADM 281-85-0013; Associated Inst: National Inst. on Drug Abuse (DHHS/PHS), Rockville, MD.; National Inst. on Alcohol Abuse and Alcoholism (DHHS), Rockville, MD.; RP: Connect to the Mirlyn catalog at the University of Michigan Contract No: ADM 281-85-0013; Associated Inst: National Inst. on Drug Abuse (DHHS/PHS), Rockville, MD.; National Inst. on Alcohol Abuse and Alcoholism (DHHS), Rockville, MD.; ID: 4604</t>
  </si>
  <si>
    <t>Society of General Internal Medicine</t>
  </si>
  <si>
    <t>ED316150</t>
  </si>
  <si>
    <t>ERIC; OCLC; Resource Manual for Alcohol and Other Drug Abuse Education in Internal Medicine</t>
  </si>
  <si>
    <t>Bloss,Meredith</t>
  </si>
  <si>
    <t>A Report on New Haven's Library Neighborhood Centers</t>
  </si>
  <si>
    <t>Agency Cooperation;Cooperative Planning;Disadvantaged;Financial Support;Inner City;(Major): Community Centers;Community Involvement;Library Services;Public Libraries</t>
  </si>
  <si>
    <t>A library neighborhood center is a community built around a branch library, providing the usual branch library functions of self-education and improvement. Four of New Haven's eight branch libraries are designed as library neighborhood centers. The centers are supported by the Ford Foundation, the City of New Haven, the Office of Economic Opportunity, the New Haven Foundation, and Library Services and Construction Act (LSCA) funds. Programs, activities, and staffing at the Centers are discussed in this report. The Centers have concentrated efforts to provide information for six groups of users in their areas: (1) those in financial need, (2) those with consumer problems, (3) tenants, (4) those accused or convicted of a crime, (5) those with medical problems, including alcoholism and drug addiction, and (6) those seeking higher education. Some observations on the Centers are:A.) There is still much apathy and ignorance surrounding the Centers. B.) People-oriented librarians are necessary to ensure success for the project. C.) The multi-agency approach has been beneficial. (Author/CC)</t>
  </si>
  <si>
    <t>Connect to the Mirlyn catalog at the University of Michigan Related documents are LI 001 562 and LI 001 563.; RP: Connect to the Mirlyn catalog at the University of Michigan Related documents are LI 001 562 and LI 001 563.; ID: 4627</t>
  </si>
  <si>
    <t>New Haven Free Public Library, CT</t>
  </si>
  <si>
    <t>ED032078</t>
  </si>
  <si>
    <t>ERIC; OCLC; A Report on New Haven's Library Neighborhood Centers</t>
  </si>
  <si>
    <t>Bowser,Benjamin P.;Whittle,K. D.</t>
  </si>
  <si>
    <t>How Community Efforts To Reduce Substance Abuse Have Influenced Race Relations. Lessons Learned Conferences Seminar Report (Cleveland, Ohio, March 30-31, 1998)</t>
  </si>
  <si>
    <t>-9394; Web site: www.jointogether.org; e-mail: info@jointogether.org; 1998-</t>
  </si>
  <si>
    <t>Cooperation;Cultural Differences;Ethnicity;Program Descriptions;Racial Differences;Urban Problems;Urban Youth;(Major): Community Action;Prevention;Racial Relations;Substance Abuse</t>
  </si>
  <si>
    <t>A series of meetings with leaders from six communities explored how efforts to reduce substance abuse may be affecting race relations. Leaders from these communities, located in Los Angeles (California), Mobile (Alabama), Gallup (New Mexico), Kansas City (Missouri), San Francisco (California), and Vallejo (California), spoke about discord between racial groups and the tensions of cultural and ethnic diversity. The participants arrived at a consensus that local race relations had improved as a consequence of working together to reduce substance abuse. Common themes were identified from the various experiences of these communities: (1) a common cause can bring diverse groups together; (2) it is important to understand and acknowledge diversity within racial groups; (3) it is important to involve community residents and institutional leaders as participants of equal status; and (4) local governments can be instrumental in facilitating constructive community efforts. Brief profiles provide more specific information about the substance abuse efforts in each of the communities. Critical questions to be considered in implementing substance abuse programs with implications for race relations are posed. (SLD)</t>
  </si>
  <si>
    <t>Connect to the Mirlyn catalog at the University of Michigan Associated Inst: Robert Wood Johnson Foundation, Princeton, NJ.; RP: Connect to the Mirlyn catalog at the University of Michigan Associated Inst: Robert Wood Johnson Foundation, Princeton, NJ.; ID: 4584</t>
  </si>
  <si>
    <t>Join Together, 441 Stuart Street, Seventh Floor, Boston, MA 02116</t>
  </si>
  <si>
    <t>ED426163</t>
  </si>
  <si>
    <t>ERIC; OCLC; How Community Efforts To Reduce Substance Abuse Have Influenced Race Relations. Lessons Learned Conferences Seminar Report (Cleveland, Ohio, March 30-31, 1998)</t>
  </si>
  <si>
    <t>Brown,Prudence;Butler,Benjamin;Hamilton,Ralph</t>
  </si>
  <si>
    <t>The Sandtown-Winchester Neighborhood Transformation Initiative: Lessons Learned about Community Building and Implementation</t>
  </si>
  <si>
    <t>Blacks;Community Change;Community Development;Elementary Education;Neighborhood Improvement;Poverty;Program Development;Program Evaluation;School Effectiveness;Urban Areas;Urban Renewal;Identifier: Maryland (Baltimore);Maryland (Baltimore)</t>
  </si>
  <si>
    <t>This report documents results of Baltimore's Sandtown-Winchester Neighborhood Transformation (NT) Initiative, focusing on key decisions that helped shape the initiative. NT was one of the first attempts to systematically bring together diverse strands of thinking about comprehensive community change to overcome conditions that undermine impoverished communities. NT's partners (the mayor, the residents, and the Enterprise Foundation) focused the vision for change on eight key areas: physical development, economic development, health, education, family support, substance abuse, crime and safety, and community pride and spirit. Data for this report come from interviews, focus groups, review of relevant documents, and on-site observations. The lessons learned from the NT experience include: build on deep understanding of the neighborhood; invest in community capacity early; generate belief in ownership of the change; specify the rules of engagement; consider partnership with the public sector; embed community building in every activity; balance funding against pace and priorities; build residents' economic self-sufficiency; and use neighborhood-focused intermediaries to change systems. Abiding challenges include: altering the balance of power; acknowledging issues of race and class; showing respect; honoring residents' competence as leaders; and harnessing the community's spiritual strength. (SM)</t>
  </si>
  <si>
    <t>Connect to the Mirlyn catalog at the University of Michigan Associated Inst: Annie E. Casey Foundation, Baltimore, MD.; Enterprise Foundation, Columbia, MD.; Kellogg Foundation, Battle Creek, MI.; RP: Connect to the Mirlyn catalog at the University of Michigan Associated Inst: Annie E. Casey Foundation, Baltimore, MD.; Enterprise Foundation, Columbia, MD.; Kellogg Foundation, Battle Creek, MI.; ID: 4535</t>
  </si>
  <si>
    <t>Annie E. Casey Foundation, 701 St. Paul St., Baltimore, MD 21202. Tel: 410-223-2890</t>
  </si>
  <si>
    <t>Web site: http://www.aecf.org.</t>
  </si>
  <si>
    <t>ED458312</t>
  </si>
  <si>
    <t>ERIC; OCLC; The Sandtown-Winchester Neighborhood Transformation Initiative: Lessons Learned about Community Building and Implementation</t>
  </si>
  <si>
    <t>Butler,Mary Alice</t>
  </si>
  <si>
    <t>The Education of Iowa's Professionals in Substance Abuse by Pregnant Women</t>
  </si>
  <si>
    <t>Alcohol Abuse;Curriculum;Drug Abuse;Drug Use;Health Education;Health Personnel;Medical Education;Mothers;Pregnancy;Prenatal Care;Prevention;School Surveys;Substance Abuse;Surveys;Identifier: Iowa;Iowa</t>
  </si>
  <si>
    <t>This article reports on a survey of 115 schools of education and training for health professionals, inquiring into the recognition of substance abuse and substance abuse in pregnancy as a curriculum concern. Although most schools reported that substance abuse falls within their curricula, some respondents requested continuing education on the subject. (RJM)</t>
  </si>
  <si>
    <t>FirstSearch indicates your institution subscribes to this publication. Libraries worldwide that own item: 1550 University of Michigan Library INDEPENDENT U-M LIBRARIES Search the Mirlyn catalog at the University of MichiganLocal Holdings Information: 1993-; 17-57; 1971/1972-2013; 58-; 2014- Article (EJ); ID: 4523</t>
  </si>
  <si>
    <t>EJ495926</t>
  </si>
  <si>
    <t>ERIC; OCLC; The Education of Iowa's Professionals in Substance Abuse by Pregnant Women</t>
  </si>
  <si>
    <t>Carlson,Joan M.;Schwindt,Rhonda;Agley,J.;Gassman,R. A.;Vannerson,J.;Crapp,D.</t>
  </si>
  <si>
    <t>Effects of Training on Social Work, Nursing and Medical Trainees' Knowledge, Attitudes and Beliefs Related to Screening and Brief Intervention for Alcohol Use</t>
  </si>
  <si>
    <t>Training;Social Work;Nurses;Drinking;Medical Students;Medical Education;Intervention;Physicians;Caseworkers;Statistical Analysis;Surveys;Pretests Posttests;Nursing;Substance Abuse;Alcohol Abuse;Screening Tests;Attitudes;Beliefs;Identifier: Indiana (Indianapolis)</t>
  </si>
  <si>
    <t>Indiana University's Schools of Social Work, Nursing and Medicine formed a consortium to advance education for Screening Brief Intervention and Referral to Treatment (SBIRT). Trainees participated in SBIRT training and completed data collection before, immediately after, and 30 days after a face-to-face training. The study explored participants' perceptions about the training and the likelihood of implementing SBI in practice, including attitudes and beliefs that may be predictive of SBIRT utilization in clinical practice. Results show the training targeting SBI and MI behaviors may improve participants' self-reported competence with SBI. This improvement was consistent and strong in all programs. The study results also provided a preliminary indication that the training affected participants' perception of time utilization and compensation for performing SBI.</t>
  </si>
  <si>
    <t>FirstSearch indicates your institution subscribes to this publication. Libraries worldwide that own item: 1550 University of Michigan Library INDEPENDENT U-M LIBRARIES Search the Mirlyn catalog at the University of MichiganLocal Holdings Information: 1993-; 17-57; 1971/1972-2013; 58-; 2014- 22 pages Associated Inst: Substance Abuse and Mental Health Services Administration (DHHS/PHS); Education Level: Higher Education; Postsecondary Education Article (EJ); ID: 4563</t>
  </si>
  <si>
    <t>American Alcohol and Drug Information Foundation. P.O. Box 10212, Lansing, MI 48901. Tel: 517-484-1770; Fax: 517-487-2474; e-mail: jadejournal@earthlink.net; Web site: http://www.jadejournal.com; http://www.jadejournal.com/journal-abstracts.aspx</t>
  </si>
  <si>
    <t>EJ1142109</t>
  </si>
  <si>
    <t>ERIC; OCLC; Effects of Training on Social Work, Nursing and Medical Trainees' Knowledge, Attitudes and Beliefs Related to Screening and Brief Intervention for Alcohol Use</t>
  </si>
  <si>
    <t>Carmo,Mafalda</t>
  </si>
  <si>
    <t>END 2015: International Conference on Education and New Developments. Conference Proceedings (Porto, Portugal, June 27-29, 2015)</t>
  </si>
  <si>
    <t>Foreign Countries;Educational Development;Educational Change;Educational Trends;Trend Analysis;Culturally Relevant Education;Learner Engagement;Competence;Simulation;Legal Education (Professions);Problem Solving;Teacher Education;Educational Improvement;Phonics;Reading Instruction;Reading Achievement;Elementary School Students;Grade 1;Language Maintenance;Second Language Learning;Ethical Instruction;Decision Making;Values;Social Networks;Social Media;Addictive Behavior;Active Learning;Biology;Learning Experience;Language Planning;Higher Education;Educational Practices;Scoring Rubrics;Course Evaluation;Technology Education;Peer Evaluation;Gender Differences;Educational Assessment;Student Evaluation;Computer Assisted Testing;College Students;Knowledge Level;Social Bias;Interprofessional Relationship;Interpersonal Relationship;Teacher Education Programs;School Administration;Public Education;Fathers;Employment Potential;Best Practices;Scientific Research;Adult Learning;Professional Development;Multilingualism;Second Language Instruction;English (Second Language);Science Education;Educational Theories;Theory Practice Relationship;Cultural Awareness;Electronic Learning;Chinese;Technology Uses in Education;Blended Learning;Online Courses;Educational Innovation;Computer Mediated Communication;Clubs;Adult Education;Informal Education;Health Education;Educational Games;Entrepreneurship;Values Education;Student Attrition;Visual Impairments;Autism;Pervasive Developmental Disorders;Educational Quality;Peace;Cooperative Learning;Medical Education;Inclusion;International Relations;Conflict;Multicultural Education;Gardening;Art Education;Drama;Risk Assessment;Nursing Students;At Risk Students;Lecture Method;Case Studies;Early Childhood Education;Athletics;Pedagogical Content Knowledge;Scientific Principles;Death;Picture Books;Kindergarten;Emotional Development;Writing Instruction;Statistics;French;Computer Science Education;Computer Oriented Programs;Disabilities;Work Environment;Cultural Capital;Education Work Relationship;Money Management;Social Justice;Refugees;Immigrants;Aesthetics;Films;Lifelong Learning;Scientific Concepts;Misconceptions;Teacher Attitudes;Psychological Patterns;Extracurricular Activities;Computer Simulation;Motivation;Early Intervention;Reading Difficulties;Family Influence;Reading Comprehension;Dyslexia;Response to Intervention;Service Learning;International Cooperation;Scholarship;Socioeconomic Status;Readiness;Scientific Attitudes;Chemistry;Science Process Skills;Critical Thinking;Trust (Psychology);Web 2.0 Technologies;Earth Science;Governance;Mental Disorders;Identifier: United States;Hungary;Canada;Kazakhstan;Colombia;Malaysia;Maldives;Japan;Portugal;Europe;Ukraine;Denmark;United Arab Emirates;South Africa;Norway;China;Mexico;Cyprus;Hong Kong;Germany</t>
  </si>
  <si>
    <t>We are delighted to welcome you to the International Conference on Education and New Developments 2015-END 2015, taking place in Porto, Portugal, from 27 to 29 of June. Education, in our contemporary world, is a right since we are born. Every experience has a formative effect on the constitution of the human being, in the way one thinks, feels and acts. One of the most important contributions resides in what and how we learn through the improvement of educational processes, both in formal and informal settings. Our International Conference seeks to provide some answers and explore the processes, actions, challenges and outcomes of learning, teaching and human development. Our goal is to offer a worldwide connection between teachers, students, researchers and lecturers, from a wide range of academic fields, interested in exploring and giving their contribution in educational issues. We take pride in having been able to connect and bring together academics, scholars, practitioners and others interested in a field that is fertile in new perspectives, ideas and knowledge. We counted on an extensive variety of contributors and presenters, which can supplement our view of the human essence and behavior, showing the impact of their different personal, academic and cultural experiences. This is, certainly, one of the reasons we have many nationalities and cultures represented, inspiring multi-disciplinary collaborative links, fomenting intellectual encounter and development. END 2015 received 528 submissions, from 63 different countries, reviewed by a double-blind process. Submissions were prepared to take form as Oral Presentations, Posters, Virtual Presentations and Workshops. It was accepted for presentation in the conference, 176 submissions (33% acceptance rate). The conference also includes a keynote presentation from an internationally distinguished researcher, Professor Dr. Martin Braund, Adjunct Professor at Cape Peninsula University of Technology in Cape Town, South Africa and Honorary Fellow in the Department of Education at the University of York, UK, to whom we express our most gratitude. This volume is composed by the proceedings of the International Conference on Education and New Developments (END 2015), organized by the World Institute for Advanced Research and Science (W.I.A.R.S.) and had the help of our respected media partners that we reference in the dedicated page. This conference addressed different categories inside the Education area and papers are expected to fit broadly into one of the named themes and sub-themes. To develop the conference program we have chosen four main broad-ranging categories, which also cover different interest areas: (1) In TEACHERS AND STUDENTS: Teachers and Staff training and education; Educational quality and standards; Curriculum and Pedagogy; Vocational education and Counseling; Ubiquitous and lifelong learning; Training programs and professional guidance; Teaching and learning relationship; Student affairs (learning, experiences and diversity); Extra-curricular activities; Assessment and measurements in Education. (2) In PROJECTS AND TRENDS: Pedagogic innovations; Challenges and transformations in Education; Technology in teaching and learning; Distance Education and eLearning; Global and sustainable developments for Education; New learning and teaching models; Multicultural and (inter)cultural communications; Inclusive and Special Education; Rural and indigenous Education; Educational projects. (3) In TEACHING AND LEARNING: Educational foundations; Research and development methodologies; Early childhood and Primary Education; Secondary Education; Higher Education; Science and technology Education; Literacy, languages and Linguistics (TESL/TEFL); Health Education; Religious Education; Sports Education. (4) In ORGANIZATIONAL ISSUES: Educational policy and leadership; Human Resources development; Educational environment; Business, Administration, and Management in Education; Economics in Education; Institutional accreditations and rankings; International Education and Exchange programs; Equity, social justice and social change; Ethics and values; Organizational learning and change. The proceedings contain the results of the research and developments conducted by authors who focused on what they are passionate about: to promote growth in research methods intimately related to teaching, learning and applications in Education nowadays. It includes an extensive variety of contributors and presenters, who will extend our view in exploring and giving their contribution in educational issues, by sharing with us their different personal, academic and cultural experiences. (Individual papers contain references.)</t>
  </si>
  <si>
    <t>Search the Mirlyn catalog at the University of Michigan ISBN: 978-989-99389-2-2 Education Level: Higher Education; RP: Search the Mirlyn catalog at the University of Michigan ISBN: 978-989-99389-2-2 Education Level: Higher Education; ID: 4561</t>
  </si>
  <si>
    <t>World Institute for Advanced Research and Science (WIARS) (Portugal)</t>
  </si>
  <si>
    <t>ED578161</t>
  </si>
  <si>
    <t>ERIC; OCLC; END 2015: International Conference on Education and New Developments. Conference Proceedings (Porto, Portugal, June 27-29, 2015)</t>
  </si>
  <si>
    <t>Coleman,Elizabeth Ann</t>
  </si>
  <si>
    <t>Assessing Substance Abuse among Health Care Students and the Efficacy of Educational Interventions</t>
  </si>
  <si>
    <t>Journal of Professional Nursing</t>
  </si>
  <si>
    <t>Allied Health Occupations Education;Higher Education;Medical Education;Pharmaceutical Education;(Major): Alcohol Education;Attitude Change;Drug Education;Nursing Education;Substance Abuse</t>
  </si>
  <si>
    <t>At entry, 185 nursing, 152 medical, 140 pharmacy, and 111 allied health students were surveyed; all but the medical students were resurveyed two years later following educational interventions. Nursing students displayed more drug use than did pharmacy students, whose curriculum placed more emphasis on drug and alcohol education. (SK)</t>
  </si>
  <si>
    <t>FirstSearch indicates your institution subscribes to this publication. Libraries worldwide that own item: 1487 University of Michigan Library Search the Mirlyn catalog at the University of MichiganLocal Holdings Information: 1-22; 1985-2006; 1985- Article (EJ); ID: 4531</t>
  </si>
  <si>
    <t>8755-7223</t>
  </si>
  <si>
    <t>EJ537122</t>
  </si>
  <si>
    <t>ERIC; OCLC; Assessing Substance Abuse among Health Care Students and the Efficacy of Educational Interventions</t>
  </si>
  <si>
    <t>Cook,Jana;McClure,Scott;Koutsenok,Igor;Lord,Scot</t>
  </si>
  <si>
    <t>The Implementation of Inmate Mentor Programs in the Correctional Treatment System as an Innovative Approach</t>
  </si>
  <si>
    <t>Journal of Teaching in the Addictions</t>
  </si>
  <si>
    <t>Educational Needs;Mentors;Substance Abuse;Program Improvement;Labor Turnover;Therapeutic Environment;Psychotherapy;Correctional Institutions;Correctional Rehabilitation;Attendance;Peer Groups;Program Effectiveness;Drug Addiction;Identifier: California;California</t>
  </si>
  <si>
    <t>In October 2006, the California Men's Colony (CMC) in San Luis Obispo, faced with staff recruitment and retention difficulties, took an innovative step to utilize long-term sentenced inmates as peer mentors and primary counselors to lead their prison-based therapeutic community (TC) program. The program was designed, developed, and implemented through the collaborative efforts of CMC's Our House program, the California Department of Corrections and Rehabilitation (CDCR), the University of California, San Diego (UCSD), Center for Criminality and Addiction Research, Training and Application (CCARTA), and the Orange County Department of Education (OCDE). The program is designed to be a peer mentor-driven 24-hour TC built to uphold the fundamental TC principles that have been lost in many treatment programs. UCSD CCARTA was instrumental in training the long-term residents who served as peer mentors in substance abuse treatment principles and strategies, equivalent to the training received by state-funded providers for the nationally accredited Forensic Addictions Corrections Treatment certification program, and the OCDE joined the program to support the community's structural and educational needs. Since the implementation of the peer-driven Our House program, the peer mentors have demonstrated exceptional command of a TC environment and have yielded a postrelease aftercare attendance of approximately 81%, a number much higher than that of most treatment programs in CDCR. Thus, the peer-mentor-driven treatment model may be a much needed solution for the improvement of program quality and effectiveness, especially in rural and other hard-to-hire regions with constant staff retention problems.</t>
  </si>
  <si>
    <t>FirstSearch indicates your institution subscribes to this publication. Libraries worldwide that own item: 278 University of Michigan Library Search the Mirlyn catalog at the University of MichiganLocal Holdings Information: 2002- 10 pages Article (EJ); ID: 4518</t>
  </si>
  <si>
    <t>1533-2705</t>
  </si>
  <si>
    <t>Routledge. Available from: Taylor &amp; Francis, Ltd. 325 Chestnut Street Suite 800, Philadelphia, PA 19106. Tel: 800-354-1420; Fax: 215-625-2940; Web site: http://www.tandf.co.uk/journals; http://www.informaworld.com/openurl?genre=article&amp;id=doi:10.1080/15332700802418758</t>
  </si>
  <si>
    <t>EJ876177</t>
  </si>
  <si>
    <t>ERIC; OCLC; The Implementation of Inmate Mentor Programs in the Correctional Treatment System as an Innovative Approach</t>
  </si>
  <si>
    <t>DeJong,William</t>
  </si>
  <si>
    <t>Project DARE: Teaching Kids To Say "No" to Drugs and Alcohol</t>
  </si>
  <si>
    <t>Assertiveness;Curriculum;Elementary School Students;Junior High School Students;Junior High Schools;Peer Influence;Police;(Major): Alcohol Abuse;Drug Abuse;Elementary Education;Police School Relationship;Prevention</t>
  </si>
  <si>
    <t>A joint project of the Los Angeles Police Department and the Los Angeles Unified School District, Project DARE (Drug Abuse Resistance Education) is designed to equip elementary and junior high school children with the skills for resisting peer pressure to experiment with drugs and alcohol. The goal is to teach students how to say "no." A growing consensus among experts in education and medicine holds that substance abuse prevention must begin early, well before children have been led by their peers to experiment with drugs and alcohol. Most important, Project DARE introduces this training just at the time when the peer pressure begins. DARE's instructors are Los Angeles police officers on full-time duty with the project. Assigned to five schools per semester, the officers visit classrooms once a week to present an innovative curriculum developed by school district personnel. Veteran police officers with several years of street experience, the DARE instructors have a credibility unmatched by regular classroom teachers. Through the DARE lessons, students learn that: real friends will not push them into trying drugs and alcohol; the majority of their peers do not use these substances; being grown up means making their own decisions and coping with problems in a positive way; and they can assert themselves in the face of peer pressure. The DARE curriculum is organized into 17 classroom sessions in which a wide range of teaching activities are used that are designed to encourage student participation and response. (ABL)</t>
  </si>
  <si>
    <t>Connect to the Mirlyn catalog at the University of Michigan Reprinted from NIJ Reports.; RP: Connect to the Mirlyn catalog at the University of Michigan Reprinted from NIJ Reports.; ID: 4606</t>
  </si>
  <si>
    <t>Department of Justice, Washington, DC. National Inst. of Justice</t>
  </si>
  <si>
    <t>ED309338</t>
  </si>
  <si>
    <t>ERIC; OCLC; Project DARE: Teaching Kids To Say "No" to Drugs and Alcohol</t>
  </si>
  <si>
    <t>Eliason,Michele J.;Skinstad,Anne Helene</t>
  </si>
  <si>
    <t>Family Practice Physicians: Training Needs in Regards to Substance Abuse</t>
  </si>
  <si>
    <t>Educational Needs;Graduate Medical Students;Substance Abuse;(Major): Physicians;Professional Continuing Education</t>
  </si>
  <si>
    <t>Family medicine physicians were surveyed about their knowledge of substance abuse and wishes for continuing education. Results showed 10% had no substance abuse training in medical school, 15% had none during residency, and 21% had no continuing education on substance abuse. Most preferred continuing education programs as part of an annual conference, and were unlikely to use distance learning techniques. (Contains 10 references and 2 tables.)</t>
  </si>
  <si>
    <t>FirstSearch indicates your institution subscribes to this publication. Libraries worldwide that own item: 278 University of Michigan Library Search the Mirlyn catalog at the University of MichiganLocal Holdings Information: 2002- Article (EJ); ID: 4594</t>
  </si>
  <si>
    <t>EJ669360</t>
  </si>
  <si>
    <t>ERIC; OCLC; Family Practice Physicians: Training Needs in Regards to Substance Abuse</t>
  </si>
  <si>
    <t>Fisher,Wayne W.</t>
  </si>
  <si>
    <t>Handbook of Applied Behavior Analysis</t>
  </si>
  <si>
    <t>-6708; e-mail: info@guilford.com; Web site: http:www.guilford.com; 2011-07-00</t>
  </si>
  <si>
    <t>Verbal Stimuli;Substance Abuse;Early Reading;Autism;Gerontology;Drug Addiction;Classical Conditioning;Behavior Modification;Behavior Rating Scales;Behavioral Science Research;Guides;Behavior Theories;Intervention;Best Practices;Behavior Problems;Measures (Individuals);Addictive Behavior;Intellectual Disciplines;Behavior Disorders;Operant Conditioning;Reading Skills;Instructional Design;Measurement Techniques;Research Design;Research Methodology;Evaluation Methods;Interviews;Observation;Functional Behavioral Assessment;Staff Development;Personnel Management;Educational Strategies;Discipline;Psychoeducational Methods;Safety Education;Pediatrics;Ethics;Certification;Training</t>
  </si>
  <si>
    <t>Describing the state of the science of ABA, this comprehensive handbook provides detailed information about theory, research, and intervention. The contributors are leading ABA authorities who present current best practices in behavioral assessment and demonstrate evidence-based strategies for supporting positive behaviors and reducing problem behaviors. Conceptual, empirical, and procedural building blocks of ABA are reviewed and specific applications described in education, autism treatment, addiction treatment, and other areas. The volume also addresses crucial professional and ethical issues, making it a complete reference and training tool for ABA practitioners and students. This book contains eight sections. Section I, Introduction, contains the following: (1) Applied Behavior Analysis: History, Philosophy, Principles, and Basic Methods (Wayne W. Fisher, Rebecca A. Groff, and Henry S. Roane). Section II, Basic Principles and Concepts, contains the following: (2) Respondent (Pavlovian) Conditioning (John W. Donahoe and Rocio Vegas); (3) Basic Operant Contingencies: Main Effects and Side Effects (A. Charles Catania); (4) Schedules of Reinforcement (F. Charles Mace, Jamie L. Pratt, Amanda N. Zangrillo, and Mark W. Steege); (5) Stimulus Control and Generalization (Joseph E. Spradlin and Jennifer L. Simon); and (6) Designing Instructional Programming for Early Reading Skills (Kathryn J. Saunders). Section III, Measurement, Design, and Methodological Issues, includes: (7) Defining and Measuring Behavior (SungWoo Kahng, Einar T. Ingvarsson, Anna M. Quigg, Kimberly E. Seckinger, and Heather M. Teichman); and (8) Single-Case Experimental Designs (Henry S. Roane, Joel E. Ringdahl, Michael E. Kelley, and Ashley C. Glover). Section IV, Behavioral Assessment, contains: (9) Identifying and Enhancing the Effectiveness of Positive Reinforcement (Cathleen C. Piazza, Henry S. Roane, and Amanda Karsten); (10) Functional and Structural Approaches to Behavioral Assessment of Problem Behavior (David P. Wacker, Wendy K. Berg, Jay W. Harding, and Linda J. Cooper-Brown); (11) Indirect Behavioral Assessments: Interviews and Rating Scales (Michael E. Kelley, Robert H. LaRue, Henry S. Roane, and Dana M. Gadaire); (12) Direct Observation (Rachel H. Thompson and John C. Borrero); and (13) Functional Analysis: History and Methods (Alison M. Betz and Wayne W. Fisher). Section V, Interventions For Increasing Desirable Behavior, presents: (14) Differential Reinforcement Procedures (Gregory P. Hanley and Jeffrey H. Tiger); (15) Building Complex Repertoires from Discrete Behaviors by Establishing Stimulus Control, Behavioral Chains, and Strategic Behavior (George H. Noell, Nathan A. Call, and Scott P. Ardoin); (16) Teaching Verbal Behavior (Matt Tincani, Andy Bondy, and Shannon Crozier); and (17) Staff Training and Management (Dennis H. Reid, Niamh P. O'Kane, and Kenneth M. Macurik). Section IV, Interventions For Decreasing Problem Behavior, contains: (18) Developing Antecedent Interventions for Problem Behavior (Richard G. Smith); (19) Developing Function-Based Extinction Procedures for Problem Behavior (Timothy R. Vollmer and Elizabeth Athens); (20) Developing Function-Based Reinforcement Procedures for Problem Behavior (Wayne W. Fisher and Kelly Bouxsein); (21) Developing Function-Based Punishment Procedures for Problem Behavior (Dorothea C. Lerman and Lisa M. Toole); and (22) Token Economies (Kyle W. Boerke and David Reitman). Section VII, Subspecialties, presents: (23) Behavioral Approaches to Education (Brian K. Martens, Edward J. Daly III, John C. Begeny, and Amanda VanDerHeyden); (24) Behavioral Treatment of Autism (Tiffany Kodak and Laura L. Grow); (25) Teaching Safety Skills to Children (Raymond G. Miltenberger and Amy C. Gross); (26) Behavioral Pediatrics: Integrating Applied Behavior Analysis with Pediatric Medicine (Patrick C. Friman and Cathleen C. Piazza); (27) Behavior Analysis and Treatment of Drug Addiction (Kenneth Silverman, Barbara J. Kaminski, Stephen T. Higgins, and Joseph V. Brady); and (28) Behavioral Gerontology (Linda A. LeBlanc, Paige B. Raetz, and Leilani Feliciano). Section VIII, Professional Issues, concludes with: (29) Behavior Analysis and Ethics (William O'Donohue and Kyle E. Ferguson); and (30) Training and Professional Certification in Applied Behavior Analysis (Gerald L. Shook and James M. Johnston).</t>
  </si>
  <si>
    <t>Search the Mirlyn catalog at the University of Michigan ISBN: ISBN-978-1-6091-8468-1 Education Level: Adult Education; Elementary Secondary Education; Postsecondary Education; RP: Search the Mirlyn catalog at the University of Michigan ISBN: ISBN-978-1-6091-8468-1 Education Level: Adult Education; Elementary Secondary Education; Postsecondary Education; ID: 4578</t>
  </si>
  <si>
    <t>Guilford Press. 72 Spring Street, New York, NY 10012. Tel: 800-365-7006</t>
  </si>
  <si>
    <t>Tel: 212-431-9800 http://www.guilford.com/cgi-bin/cartscript.cgi?page=pr/fisher.htm&amp;dir=pp/dd&amp;cart_id=156595.3656</t>
  </si>
  <si>
    <t>ED528187</t>
  </si>
  <si>
    <t>ERIC; OCLC; Handbook of Applied Behavior Analysis</t>
  </si>
  <si>
    <t>Flynn,Stephen P.</t>
  </si>
  <si>
    <t>Teaching about Substance Abuse: A Resource Manual for Faculty Development</t>
  </si>
  <si>
    <t>Experiential Learning;Higher Education;Medical Education;(Major): Audiovisual Aids;Curriculum Development;Faculty Development;Family Practice (Medicine);Professional Continuing Education;Substance Abuse</t>
  </si>
  <si>
    <t>This concise guide to resources on substance abuse is intended for those teaching in academic family medical education and reviews written and audiovisual materials, experiential learning, continuing medical education, and networking resources. Section 1, on written and audiovisual materials, lists 36 resources with a description of each and availability information for some. SEction 2, on experiential learning includes descriptions of experiences available at several treatment centers, formal rotations at residency programs, attendance at self-help group meetings, and substance abuse fellowships. The section on continuing education lists four short substance abuse courses sponsored by organizations such as the American Society of Addiction Medicine. Included are descriptions of the programs and contacts for obtaining more information. Section 4, on networking resources, describes 13 organizations, their mission, materials available, meetings, and services. In addition this section includes a list of information sources: major organizations such as the National Clearinghouse for Alcohol and Drug Information, professional journals in substance abuse. A final section covers other teaching resources and lists curriculum guides and resource manuals. Four appendices are attached including a membership list of Society of Teachers of Family Medicine working and special interest groups, summaries of seven health professions projects, and a list of the 10 curriculum projects and authors. (JB)</t>
  </si>
  <si>
    <t>Connect to the Mirlyn catalog at the University of Michigan For related documents, see HE 024 447-451./ Audience: Practitioners/ Report: PH276; RP: Connect to the Mirlyn catalog at the University of Michigan For related documents, see HE 024 447-451./ Audience: Practitioners/ Report: PH276; ID: 4629</t>
  </si>
  <si>
    <t>ED331395</t>
  </si>
  <si>
    <t>ERIC; OCLC; Teaching about Substance Abuse: A Resource Manual for Faculty Development</t>
  </si>
  <si>
    <t>Fridinger,Fred;Dehart,Beverly</t>
  </si>
  <si>
    <t>A Model for the Inclusion of a Physical Fitness and Health Promotion Component in a Chemical Abuse Treatment Program</t>
  </si>
  <si>
    <t>Counseling Techniques;Models;Nutrition;(Major): Drug Rehabilitation;Exercise;Health Promotion;Physical Fitness;Substance Abuse</t>
  </si>
  <si>
    <t>Describes treatment program at Charter Hospital in Fort Worth, Texas, which incorporates comprehensive medical examination, fitness and nutritional screenings, and appropriate exercise activities into alcohol and other substance abuse treatment. Notes that educational sessions are offered on health fitness, risk reduction, stress management, smoking cessation, proper nutrition, and positive psychological aspects of exercise. (Author/NB)</t>
  </si>
  <si>
    <t>FirstSearch indicates your institution subscribes to this publication. Libraries worldwide that own item: 964 University of Michigan Library Search the Mirlyn catalog at the University of MichiganLocal Holdings Information: 13-14,31,43-; 1983-1984,2001,2013-; 1999- Article (EJ); ID: 4539</t>
  </si>
  <si>
    <t>EJ472271</t>
  </si>
  <si>
    <t>ERIC; OCLC; A Model for the Inclusion of a Physical Fitness and Health Promotion Component in a Chemical Abuse Treatment Program</t>
  </si>
  <si>
    <t>Gallant,Donald S.</t>
  </si>
  <si>
    <t>Alcohol and Drug Abuse Curriculum Guide for Psychiatry Faculty. Medicine 2. Health Professions Education Curriculum Resource Series</t>
  </si>
  <si>
    <t>Curriculum Guides;Health Education;Health Personnel;Higher Education;Medical Schools;Medical Students;Psychiatry;(Major): Alcoholism;Curriculum Development;Drug Abuse;Drug Education;Medical Education</t>
  </si>
  <si>
    <t>This guide, one of a series of publications written for medical school faculty to use in designing substance abuse instruction, focuses on curriculum content for drug and alcohol abuse instruction. Following a brief introduction, discussions of positive attitude development toward substance abuse patients, and the psychological, cultural, and biological aspects of substance abuse are presented. Diagnostic techniques, patient referral and early intervention therapeutic treatment techniques, especially with adolescents, are also discussed. Treatment of acute and chronic phases of alcohol and drug abuse, and therapy goals and techniques are explored. Substance abuse among physicians is presented in terms of early symptoms, problems in delayed treatment, and successful treatment; and substance induced organic mental disorders are discussed. A section on community prevention of substance abuse focuses on primary (legal and educational approaches), secondary (medical and legal approaches), and tertiary prevention. The guide concludes with a list of references, appendices, and tables dealing with diagnostic instruments and drug signs and symptoms, and an annotated list of curriculum materials. (BL)</t>
  </si>
  <si>
    <t>Connect to the Mirlyn catalog at the University of Michigan For related document, see CG 017 313. Appendix C, "A Technique for Intervention and Confrontation of Substance Abusers," by Michael Liepman, is copyrighted and therefore not available./ Contract No: ADM-281-79-0001/ Audience: Teachers/ Practitioners/ Report: DHHS-ADM-82-1159; Associated Inst: National Inst. on Alcohol Abuse and Alcoholism (DHHS), Rockville, MD.; RP: Connect to the Mirlyn catalog at the University of Michigan For related document, see CG 017 313. Appendix C, "A Technique for Intervention and Confrontation of Substance Abusers," by Michael Liepman, is copyrighted and therefore not available./ Contract No: ADM-281-79-0001/ Audience: Teachers/ Practitioners/ Report: DHHS-ADM-82-1159; Associated Inst: National Inst. on Alcohol Abuse and Alcoholism (DHHS), Rockville, MD.; ID: 4608</t>
  </si>
  <si>
    <t>ED241837</t>
  </si>
  <si>
    <t>ERIC; OCLC; Alcohol and Drug Abuse Curriculum Guide for Psychiatry Faculty. Medicine 2. Health Professions Education Curriculum Resource Series</t>
  </si>
  <si>
    <t>Geboy,Michael J.;Fried,Jacquelyn L.</t>
  </si>
  <si>
    <t>A Model Curriculum for Tobacco Use Cessation and Prevention Intervention</t>
  </si>
  <si>
    <t>Health Values: The Journal of Health Behavior, Education &amp; Promotion</t>
  </si>
  <si>
    <t>Behavior Modification;Curriculum Development;Dental Hygienists;Dental Schools;Dental Students;Dentists;Health Behavior;Health Promotion;Higher Education;Intervention;Medical Education;Smoking;Substance Abuse;Tobacco;Identifier: Smoking Cessation;Professional Role</t>
  </si>
  <si>
    <t>Proposes a curriculum for dental/dental hygiene schools that would teach oral health care providers how to routinely assess tobacco use, advise cessation, and provide assistance and follow-up for tobacco-using patients. The article emphasizes the importance of making tobacco interventions routine components of schools' clinical teaching programs. (SM)</t>
  </si>
  <si>
    <t>FirstSearch indicates your institution subscribes to this publication. Libraries worldwide that own item: 652 University of Michigan Library Search the Mirlyn catalog at the University of MichiganLocal Holdings Information: 1-19; 1977-1995; 1-6,8-9; 1977-1985; 1990-1995 Article (EJ); ID: 4533</t>
  </si>
  <si>
    <t>0147-0353</t>
  </si>
  <si>
    <t>EJ480359</t>
  </si>
  <si>
    <t>ERIC; OCLC; A Model Curriculum for Tobacco Use Cessation and Prevention Intervention</t>
  </si>
  <si>
    <t>Hettema,Jennifer E.;Ratanawongsa,Neda;Manuel,Jennifer K.;Ciccarone,Daniel;Coffa,Diana;Jain,Sharad;Lum,Paula J.</t>
  </si>
  <si>
    <t>A SBIRT Curriculum for Medical Residents: Development of a Performance Feedback Tool to Build Learner Confidence</t>
  </si>
  <si>
    <t>Evidence;Feedback (Response);Check Lists;Curriculum Development;Graduate Medical Education;Federal Aid;Physicians;Public Health;Internal Medicine;Graduate Students;Medical Students;Intervention;Screening Tests;Referral;Drug Abuse;Alcohol Abuse;Substance Abuse;Patients;Surveys</t>
  </si>
  <si>
    <t>A major barrier to actualizing the public health impact potential of screening, brief intervention, and referral to treatment (SBIRT) is the suboptimal development and implementation of evidence-based training curricula for healthcare providers. As part of a federal grant to develop and implement SBIRT training in medical residency programs, the authors assessed 95 internal medicine residents before they received SBIRT training to identify self-reported characteristics and behaviors that would inform curriculum development. Residents' confidence in their SBIRT skills significantly predicted SBIRT practice. Lack of experience dealing with alcohol or drug problems and discomfort in dealing with these issues were significantly associated with low confidence. To target these barriers, the authors revised their SBIRT curriculum to increase residents' confidence in their skills and developed an innovative SBIRT Proficiency Checklist and Feedback Protocol for skills practice observations. Qualitative feedback suggests that, despite the discomfort residents experience in being observed, a proficiency checklist and feedback protocol appear to boost learner confidence. (Contains 3 tables.)</t>
  </si>
  <si>
    <t>FirstSearch indicates your institution subscribes to this publication. Libraries worldwide that own item: 400 University of Michigan Library Search the Mirlyn catalog at the University of Michigan 10 pages Article (EJ); ID: 4558</t>
  </si>
  <si>
    <t>Routledge. Available from: Taylor &amp; Francis, Ltd. 325 Chestnut Street Suite 800, Philadelphia, PA 19106. Tel: 800-354-1420; Fax: 215-625-2940; Web site: http://www.tandf.co.uk/journals; http://dx.doi.org/10.1080/08897077.2011.640172</t>
  </si>
  <si>
    <t>EJ971263</t>
  </si>
  <si>
    <t>ERIC; OCLC; A SBIRT Curriculum for Medical Residents: Development of a Performance Feedback Tool to Build Learner Confidence</t>
  </si>
  <si>
    <t>Hostetler,Jeptha R.</t>
  </si>
  <si>
    <t>Alcohol and Drug Abuse Teaching Methodology Guide for Medical Faculty. Medicine 1. Health Professions Education Curriculum Resource Series</t>
  </si>
  <si>
    <t>Audiovisual Aids;Curriculum;Health Education;Higher Education;Instructional Materials;Medical Schools;Medical Students;Teaching Guides;(Major): Alcoholism;Drug Abuse;Drug Education;Medical Education;Teaching Methods</t>
  </si>
  <si>
    <t>This guide, one of a series of publications written for medical faculty to use in designing substance abuse instruction, focuses on the teaching of alcohol and drug abuse intervention in medical and osteopathic schools. Following a brief introducton to the booklet, the career teacher program, which is supported by federal grants, is explained. Curriculum objectives, focusing on definitions; scientific, social, and psychological factors; diagnosis; treatment; and prevention, are given. A discussion on attitude change as a goal of education and a description of various teaching modalities complete chapter 1. Chapter 2 discusses the teaching methodologies of clinical teaching, lecture, interactive teaching, role playing, computer-assisted instruction, small group setting, and audiovisual utilization. For each methodology specific goals or discussion points are offered. The booklet concludes with a list of references and three appendices: the curriculum objectives and goals; an annotated audiovisual materials listing; and an annotated listing of other teaching materials/resources with addresses. (BL)</t>
  </si>
  <si>
    <t>Connect to the Mirlyn catalog at the University of Michigan For related document, see CG 017 314./ Contract No: ADM-281-79-0001/ Audience: Teachers/ Practitioners/ Report: DHHS-ADM-82-1158; Associated Inst: National Inst. on Alcohol Abuse and Alcoholism (DHHS), Rockville, MD.; RP: Connect to the Mirlyn catalog at the University of Michigan For related document, see CG 017 314./ Contract No: ADM-281-79-0001/ Audience: Teachers/ Practitioners/ Report: DHHS-ADM-82-1158; Associated Inst: National Inst. on Alcohol Abuse and Alcoholism (DHHS), Rockville, MD.; ID: 4609</t>
  </si>
  <si>
    <t>ED241836</t>
  </si>
  <si>
    <t>ERIC; OCLC; Alcohol and Drug Abuse Teaching Methodology Guide for Medical Faculty. Medicine 1. Health Professions Education Curriculum Resource Series</t>
  </si>
  <si>
    <t>Hutchinson,Robert J.</t>
  </si>
  <si>
    <t>An Annotated Bibliography of Journal Articles on the Subject of Native American Students with Special Needs, 1985-1992</t>
  </si>
  <si>
    <t>American Indians;Annotated Bibliographies;Cognitive Style;Cultural Influences;Disabilities;Educational Methods;Elementary Secondary Education;Gifted;Handicap Identification;Health;Learning Disabilities;Periodicals;Program Development;Social Problems;Staff Development;Student Evaluation;Student Placement;Substance Abuse;Talent;Identifier: Native Americans</t>
  </si>
  <si>
    <t>This project attempts to provide a comprehensive list of recently written, high quality journal articles relating to the subject of Native Americans and special education, handicapping conditions, social and medical issues that may contribute to handicapping conditions, and alternative teaching methods that can be used to help Native Americans in special education settings. The journal articles listed were published from 1985 to 1992. All articles were selected based on: (1) relevance to the subject of Native American students and special education, and (2) the article's possible value as a resource to school personnel and teachers of exceptional Native American students. Articles describing research done in Canada are included. The bibliography is divided into seven sections, covering the following topics: (1) assessment (referral, identification, and special education placement); (2) health issues (medical problems, psychological problems, and substance abuse); (3) learning handicaps; (4) gifted and talented Native Americans and the need for alternative methods of referral and assessment; (5) program development and personnel training; (6) culture/language issues; and (7) cognitive style. Conclusions are drawn about the state of the literature in each of the seven bibliography areas, and suggestions for future research are offered. An appendix lists descriptors used in an Educational Resources Information Center (ERIC) search on this subject. (JDD)</t>
  </si>
  <si>
    <t>Connect to the Mirlyn catalog at the University of Michigan Audience: Practitioners; RP: Connect to the Mirlyn catalog at the University of Michigan Audience: Practitioners; ID: 4543</t>
  </si>
  <si>
    <t>ED352760</t>
  </si>
  <si>
    <t>ERIC; OCLC; An Annotated Bibliography of Journal Articles on the Subject of Native American Students with Special Needs, 1985-1992</t>
  </si>
  <si>
    <t>Johnson,N. P.</t>
  </si>
  <si>
    <t>Alcohol and Drug Abuse Education for Physician Assistants: A Survey of Physician Assistant Attitudes and Perceptions about Prescribing Practices and Substance Abuse</t>
  </si>
  <si>
    <t>Drug Abuse;(Major): Alcohol Education;Drug Education;Employee Attitudes;Perception;Physicians Assistants</t>
  </si>
  <si>
    <t>Physician assistant attitudes and perceptions about substance abuse education and prescribing practices indicate that 81 percent of respondents were responsible for prescribing. Of prescribers, 97.7 percent counseled about medication; of nonprescribers, 95.0 percent counseled about medication. Diagnosis and prevention were the most highly ranked aspects of substance abuse education needed. (Author/BL)</t>
  </si>
  <si>
    <t>Connect to the Mirlyn catalog at the University of Michigan Article (EJ); ID: 4612</t>
  </si>
  <si>
    <t>EJ335598</t>
  </si>
  <si>
    <t>ERIC; OCLC; Alcohol and Drug Abuse Education for Physician Assistants: A Survey of Physician Assistant Attitudes and Perceptions about Prescribing Practices and Substance Abuse</t>
  </si>
  <si>
    <t>Juul,Dorthea;Scheiber,Stephen C.;Kramer,Thomas A. M.</t>
  </si>
  <si>
    <t>Subspecialty Certification by the American Board of Psychiatry and Neurology</t>
  </si>
  <si>
    <t>Substance Abuse;Physicians;Psychiatry;Neurology;Geriatrics;Certification;Teaching Methods;Psychological Studies;Specialization;Clinical Experience;Program Evaluation;Medical Education</t>
  </si>
  <si>
    <t>Objective: The authors describe the approval processes for subspecialties and the mechanisms for certification and recertification and review the status of training programs and numbers of diplomates with subspecialty certification. Methods: Published information and relevant data bases were reviewed. To date, 5,327 child and adolescent psychiatry, 2,595 geriatric psychiatry, 1,854 addiction psychiatry, and 1,384 forensic psychiatry certificates have been awarded. In clinical neurophysiology and pain medicine, specialties that are primarily for neurologists and child neurologists, 21 and 28 psychiatrists, respectively, have been certified. There are 113 residency programs in child and adolescent psychiatry, 62 in geriatric psychiatry, 43 in addiction psychiatry, and 40 in forensic psychiatry. There are no psychiatry-based training programs in clinical neurophysiology and pain medicine. While this may not be of concern for clinical neurophysiology, it may lessen psychiatry's contribution to pain medicine. Results: The ABPN took a conservative approach to establishing subspecialty certification in psychiatry. Conclusion: It is expected that subspecialists will enhance patient care through their clinical activities as well as through teaching and research.</t>
  </si>
  <si>
    <t>FirstSearch indicates your institution subscribes to this publication. Libraries worldwide that own item: 855 University of Michigan Library Search the Mirlyn catalog at the University of MichiganLocal Holdings Information: 1997- 6 pages Education Level: Higher Education Article (EJ); ID: 4537</t>
  </si>
  <si>
    <t>American Psychiatric Publishing, Inc. 1000 Wilson Boulevard Suite 1825, Arlington, VA 22209-3901. Tel: 800-368-5777; Tel: 703-907-7856; Fax: 703-907-1092; e-mail: appi@psych.org; Web site: http://ap.psychiatryonline.org; http://ap.psychiatryonline.org/cgi/content/abstract/28/1/12</t>
  </si>
  <si>
    <t>EJ808810</t>
  </si>
  <si>
    <t>ERIC; OCLC; Subspecialty Certification by the American Board of Psychiatry and Neurology</t>
  </si>
  <si>
    <t>Klitzner,Michael;Stewart,Kathryn</t>
  </si>
  <si>
    <t>Evaluating Faculty Development and Clinical Training Programs in Substance Abuse: A Guide Book</t>
  </si>
  <si>
    <t>Alcohol Abuse;Allied Health Occupations Education;Drug Abuse;Graduate Medical Education;Higher Education;Medical Education;Medical School Faculty;Mental Health;Qualitative Research;Sampling;Statistical Bias;(Major): Clinical Teaching (Health Professions);Evaluation Methods;Faculty Development;Program Evaluation;Research Methodology;Substance Abuse</t>
  </si>
  <si>
    <t>Intended to provide an overview of program evaluation as it applies to the evaluation of faculty development and clinical training programs in substance abuse for health and mental health professional schools, this guide enables program developers and other faculty to work as partners with evaluators in the development of evaluation designs that meet the specialized needs of faculty development and clinical training programs. Section I discusses conceptual issues in program evaluation, including the uses of evaluation (management and monitoring, program description, program improvement, accountability, and creating new knowledge); the major options (formative/summative, process/outcome/impact, quantitative/qualitative); and the benefits and risks of conducting evaluation studies. Section II, an introduction to research methods, includes the following discussions: sampling with known sampling errors (simple random, systematic, multistage random, stratified, cluster, stratified cluster, and sequential sampling); sampling without known sampling errors (convenience, quota, modal, purposive, and snowball sampling); sample size and generalizability and sample size and statistical power; the validity of evaluations and potential sources of bias, including issues related to internal validity (history, maturation, testing, instrumentation, statistical regression, selection, mortality, interactions with selection, and ambiguity about the direction of causal influence); comparison and control groups; measurement of outcomes; and qualitative evaluation methods and analysis. (5 references) (JB)</t>
  </si>
  <si>
    <t>Connect to the Mirlyn catalog at the University of Michigan Report: RPO778; Associated Inst: National Inst. on Drug Abuse (DHHS/PHS), Rockville, MD.; National Inst. on Alcohol Abuse and Alcoholism (DHHS), Rockville, MD.; RP: Connect to the Mirlyn catalog at the University of Michigan Report: RPO778; Associated Inst: National Inst. on Drug Abuse (DHHS/PHS), Rockville, MD.; National Inst. on Alcohol Abuse and Alcoholism (DHHS), Rockville, MD.; ID: 4589</t>
  </si>
  <si>
    <t>Pacific Inst. for Research and Evaluation, Walnut Creek, CA</t>
  </si>
  <si>
    <t>ED332636</t>
  </si>
  <si>
    <t>ERIC; OCLC; Evaluating Faculty Development and Clinical Training Programs in Substance Abuse: A Guide Book</t>
  </si>
  <si>
    <t>Koch,D. S.;Sneed,Zachery;Davis,Sharon J.;Benshoff,John J.</t>
  </si>
  <si>
    <t>A Pilot Study of the Relationship between Counselor Trainees' Characteristics and Attitudes toward Substance Abuse</t>
  </si>
  <si>
    <t>Graduate Students;Student Attitudes;Drug Abuse;Counselor Training;Interaction;Counselor Attitudes;Substance Abuse;Alcohol Abuse;Attitude Measures;Undergraduate Students;Age Differences;Majors (Students);Course Selection (Students);Disabilities;Counseling Techniques;Rehabilitation;Familiarity;Moral Values</t>
  </si>
  <si>
    <t>Researchers in this study sought to construct an instrument specifically designed to measure counselor trainee attitudes toward alcohol and drug abuse. The instrument, the "Counselor Trainee Attitudes Measure" (CTAM), used for this research was developed collectively by the researchers. The CTAM gathered demographic data including undergraduate or graduate status, gender, current major, age, postsecondary institution and the total number of addiction specific courses completed at both the undergraduate and graduate level. Student attitudes were measured through the use of 35 statements about substance abuse, people with alcohol and drug abuse issues, people with disabilities, and treatment options for AODA problems. There were 74 complete and usable responses for the instrument. Nineteen males and 55 females completed the survey. Forty respondents (54%) were classified as undergraduates and 34 (46%) were classified as graduate students. Respondents' ranged in age from 19 years to 55 years. The mean age of all respondents was 29.2 years. Findings included significant differences in the between-subjects variable of recovery status, as well as an interaction effect for class standing and recovery status. Respondents who did have someone close to them experience a substance use disorder reported higher mean agreements with the medical and natural recovery models than the moral model; whereas individuals that did not have an experience with someone close to them reported higher agreement with the moral model and lower agreement with the medical and natural recovery models. The interaction effect of class standing and recovery status was significant; however interpretation of the results proved difficult due to a small sample size.</t>
  </si>
  <si>
    <t>FirstSearch indicates your institution subscribes to this publication. Libraries worldwide that own item: 278 University of Michigan Library Search the Mirlyn catalog at the University of MichiganLocal Holdings Information: 2002- 15 pages Target Audience: Counselors; Education Level: Higher Education Article (EJ); ID: 4556</t>
  </si>
  <si>
    <t>Routledge. Available from: Taylor &amp; Francis, Ltd. 325 Chestnut Street Suite 800, Philadelphia, PA 19106. Tel: 800-354-1420; Fax: 215-625-2940; Web site: http://www.tandf.co.uk/journals; http://www.informaworld.com/openurl?genre=article&amp;id=doi:10.1300/J188v05n02_07</t>
  </si>
  <si>
    <t>EJ843959</t>
  </si>
  <si>
    <t>ERIC; OCLC; A Pilot Study of the Relationship between Counselor Trainees' Characteristics and Attitudes toward Substance Abuse</t>
  </si>
  <si>
    <t>Lewis,David C.;Faggett,Walter L.</t>
  </si>
  <si>
    <t>Policy Report of the Physician Consortium on Substance Abuse Education</t>
  </si>
  <si>
    <t>Adolescents;Alcohol Abuse;Children;Continuing Education;Drug Abuse;Educational Needs;Ethnic Groups;Graduate Medical Education;Health Programs;Health Promotion;Higher Education;Medical Education;Minority Groups;National Surveys;Physicians;Professional Education;Substance Abuse;Undergraduate Study;Identifier: Primary Prevention</t>
  </si>
  <si>
    <t>This report contains the recommendations of the Physician Consortium for significantly improving medical education and training to enhance the physician's role in early identification, treatment, and prevention of substance abuse. In addition, the consortium subcommittees report on their examination of substance abuse treatment needs of ethnic and racial minority groups and on the unique training needs that are especially germane to the care of adolescents and children. Recommendations address the need for changes in undergraduate medical education, graduate medical education, and continuing medical education; they also focus special attention on the concerns of adolescents and children and the multicultural issues in substance abuse education and training of physicians. The report concludes with background information on the problems of substance abuse in general and on certain specific substances--cocaine, marijuana, alcohol and tobacco products--in particular. Contains 32 references. (GLR)</t>
  </si>
  <si>
    <t>Connect to the Mirlyn catalog at the University of Michigan Audience: Policymakers; RP: Connect to the Mirlyn catalog at the University of Michigan Audience: Policymakers; ID: 4544</t>
  </si>
  <si>
    <t>Health Resources and Services Administration (DHHS/PHS), Rockville, MD. Bureau of Health Professions</t>
  </si>
  <si>
    <t>ED350944</t>
  </si>
  <si>
    <t>ERIC; OCLC; Policy Report of the Physician Consortium on Substance Abuse Education</t>
  </si>
  <si>
    <t>Liepman,Michael R.</t>
  </si>
  <si>
    <t>Family Medicine Curriculum Guide to Substance Abuse</t>
  </si>
  <si>
    <t>Curriculum Development;Curriculum Guides;Family Problems;High Risk Persons;Higher Education;Pathology;(Major): Alcoholism;Drug Abuse;Drug Rehabilitation;Family Practice (Medicine);Pharmacology;Prevention</t>
  </si>
  <si>
    <t>This curriculum guide on substance abuse is intended for teachers of family medicine. Comments, learning objectives, teaching hints, and evaluations of knowledge are provided for each area in all chapters. Chapter 1 focuses on the pharmacology of commonly abused drugs including depressants, opioids, stimulants, hallucinogens, inhalants, and various drug interactions. For each substance, the chemistry, metabolism, psychoactive properties, body system effects, intoxication, and tolerance and dependence levels are discussed. Chapter 2 discusses the pathophysiology of ethanol abuse. Chapter 3 deals with the identification of substance abusers, while chapter 4 addresses change motivation. Chapters 5 through 7 address detoxification, rehabilitation, and prevention. Chapters 8 and 9 address chemical dependency in the family and in the family physician, taking into consideration assessment, treatment, and education and counseling needs. The last chapter presents strategies for curricular change in the university, the medical school, family medicine departments, and community training programs. References and materials citations are appended. (BL)</t>
  </si>
  <si>
    <t>Connect to the Mirlyn catalog at the University of Michigan Developed and compiled by the Task Force on Substance Abuse. Dot matrix printing, some pages are marginally reproducible./ Contract No: HRP-0905868/ Audience: Teachers/ Practitioners; Associated Inst: Health Resources Administration (DHHS/PHS), Hyattsville, MD. Div. of Medicine.; RP: Connect to the Mirlyn catalog at the University of Michigan Developed and compiled by the Task Force on Substance Abuse. Dot matrix printing, some pages are marginally reproducible./ Contract No: HRP-0905868/ Audience: Teachers/ Practitioners; Associated Inst: Health Resources Administration (DHHS/PHS), Hyattsville, MD. Div. of Medicine.; ID: 4601</t>
  </si>
  <si>
    <t>Society for Teachers of Family Medicine, 1740 West 92nd Street, Kansas City, MO 64114.</t>
  </si>
  <si>
    <t>ED248437</t>
  </si>
  <si>
    <t>ERIC; OCLC; Family Medicine Curriculum Guide to Substance Abuse</t>
  </si>
  <si>
    <t>Lucero,John A.</t>
  </si>
  <si>
    <t>A Study To Increase Computer Applications in Social Work Management</t>
  </si>
  <si>
    <t>Artificial Intelligence;Counselors;Databases;Higher Education;Professional Training;Psychiatric Services;Psychological Testing;Spreadsheets;Therapy;(Major): Management Information Systems;Mental Health Workers;Social Workers</t>
  </si>
  <si>
    <t>The purpose of this study was to address the use of computers in social work practice and to survey the field for tools, concepts, and trends that could assist social workers in their practice. In addition to a review of the relevant literature, information was requested from the Social Work Service and Ambulatory Care Database Section at Walter Reed Medical Center in the District of Columbia, and from the School of Social Welfare at the University of California at Los Angeles. The review of the literature focused on issues regarding information management systems for social work practice and computer applications in the areas of psychological testing, DSM-III evaluation, psychotherapy, psychopharmacology treatment, family therapy, consultant liaison psychiatry, chronic care, geriatric psychiatry, neurobehavioral training, computer games in child psychotherapy, patient education, music therapy, therapy for addictions, full-service psychiatric programs, computer imaging, the computerized electroencephalograph (EEG), psychiatric research, computerized second opinions, expert systems, and "neural" computers. Computer applications in the social work curriculum are also discussed. Ways in which word processing, databases, spreadsheets, and information management systems could be used in social work are suggested, and a discussion of the implications of computer use for social workers concludes the report. Appended materials include a glossary of computer terminology, a description of an appropriate computer system, a checklist for developing an agency database system, and a list of computer software that could be used by social workers to enhance their work and computer skills. (Contains 83 references.) (BBM)</t>
  </si>
  <si>
    <t>Connect to the Mirlyn catalog at the University of Michigan Continuing Education Self-Directed Learning Project, Behavioral Sciences Regulatory Board.; RP: Connect to the Mirlyn catalog at the University of Michigan Continuing Education Self-Directed Learning Project, Behavioral Sciences Regulatory Board.; ID: 4551</t>
  </si>
  <si>
    <t>ED348972</t>
  </si>
  <si>
    <t>ERIC; OCLC; A Study To Increase Computer Applications in Social Work Management</t>
  </si>
  <si>
    <t>Lutsky,Irving</t>
  </si>
  <si>
    <t>Substance Abuse by Anesthesiology Residents</t>
  </si>
  <si>
    <t>Alcohol Abuse;Anesthesiology;Drug Abuse;Graduate Medical Students;Graduate Surveys;Higher Education;Incidence;Medical Education;Medical Schools;Substance Abuse;Identifier: Medical College of Wisconsin</t>
  </si>
  <si>
    <t>The analysis of 183 responses to a survey of former anesthesiology residents of the Medical College of Wisconsin found that 29 had been self-administered problematic substance abusers during their residencies, 23 had been alcohol dependent, and 6 had been drug dependent. More than 85 percent of respondents considered the drug policy information available during their residencies inadequate. (Author/DB)</t>
  </si>
  <si>
    <t>FirstSearch indicates your institution subscribes to this publication. Libraries worldwide that own item: 985 University of Michigan Library Search the Mirlyn catalog at the University of MichiganLocal Holdings Information: 71-82; 1996-2007; 64-70; 1989-1995; 64-; 1989- Article (EJ); ID: 4587</t>
  </si>
  <si>
    <t>EJ424780</t>
  </si>
  <si>
    <t>ERIC; OCLC; Substance Abuse by Anesthesiology Residents</t>
  </si>
  <si>
    <t>Miller,Lillian A.;Alexander,Stephen F.</t>
  </si>
  <si>
    <t>Substance Use and Older Persons</t>
  </si>
  <si>
    <t>Community Education;Community Organizations;Drug Abuse;Drug Education;Instructional Materials;Staff Development;(Major): Adult Education;Alcohol Education;Drug Use;Inservice Education;Older Adults;Service Workers</t>
  </si>
  <si>
    <t>This guide contains materials developed for senior adults and service providers concerned with substance abuse by the elderly. A module, "Substance Use and Older Persons," is presented in a session-by-session outline of the three one-hour programs. The agenda for the first two sessions focuses on prescription and over-the-counter drugs, while the agenda for the third session concentrates on alcohol education. Use of the module as both an inservice training program for senior center staff members and as an educational program for senior center participants is described. Training session handouts and center presentation handouts are provided along with evaluation forms. Followup materials are provided, including: (1) a three-part article to be used as a handout for participants; (2) center presentation handouts; and (3) a brochure, "Be Responsible for Your Own Health." A one and one-half hour component condensed from the three-hour module for use in senior clubs and other community or civic organizations is outlined. Additionally, a four-hour alcohol awareness module for delivery to residents and staff in a adult home is presented. (NRB)</t>
  </si>
  <si>
    <t>Connect to the Mirlyn catalog at the University of Michigan; RP: Connect to the Mirlyn catalog at the University of Michigan; ID: 4621</t>
  </si>
  <si>
    <t>Northwestern Community Services, P.O. Box 632, Winchester, VA 22601 ($10.50).</t>
  </si>
  <si>
    <t>ED211876</t>
  </si>
  <si>
    <t>ERIC; OCLC; Substance Use and Older Persons</t>
  </si>
  <si>
    <t>Miller,Richard E.;Kitzerow,Leslie J.</t>
  </si>
  <si>
    <t>Drug Education for University Students and Residence Services</t>
  </si>
  <si>
    <t>College Students;Dormitories;Drug Education;Drug Use;Higher Education;Information Dissemination;Program Development;Resident Assistants;Residential Programs;School Health Services;Student Attitudes;Identifier: Kent State University OH</t>
  </si>
  <si>
    <t>Attempts at providing drug information and drug education to resident students, Residence Directors (RD's), and Residence Student Advisors (RSA's) at Kent State Universtiy (Ohio) had three major objectives: (1) provide substance abuse awareness to residence hall students by disseminating drug information; (2) supplement the training of RD's and RSA's with drug education; and (3) institute drug education programming in residence halls. The Substance Abuse Committee, consisting of a residence-area coordinator, two RD's, and two RSA's, was formed. Resources for educating students were obtained and distributed, and a survey to ascertain student attitudes and behavior concerning drug use was developed. The first and second objectives were accomplished successfully. The third, implementing drug education in the dormitories, was less successful. It was felt that the university's Department of Residence Services had difficulty in perceiving and understanding the nature of this task and its relation to their operations, and the notion of drug education was mistakenly confused with drug information. Further plans are being made for implementing a comprehensive drug education program. Appendixes include: (1) a resource list for substance abuse information; (2) a sample survey questionnaire eliciting information on student drug involvement; (3) survey findings from the questionnaire distributed at Kent State University; and (4) a sample drug education presentation. (JD)</t>
  </si>
  <si>
    <t>Connect to the Mirlyn catalog at the University of Michigan; RP: Connect to the Mirlyn catalog at the University of Michigan; ID: 4626</t>
  </si>
  <si>
    <t>ED223613</t>
  </si>
  <si>
    <t>ERIC; OCLC; Drug Education for University Students and Residence Services</t>
  </si>
  <si>
    <t>Miller,William R.;Anderson,Robert E.</t>
  </si>
  <si>
    <t>Impact of a Faculty Development Program in Addiction Psychology</t>
  </si>
  <si>
    <t>Substance Abuse;Professional Training;Doctoral Dissertations;Psychology;Faculty Development;College Faculty;College Curriculum;Alcohol Education;Drug Education;Faculty Publishing;College Graduates;Theses;Addictive Behavior;Identifier: New Mexico;New Mexico</t>
  </si>
  <si>
    <t>The Faculty Development Programs (FDP) were intended to increase substance abuse education in mainstream professional training programs by attracting and educating core faculty to teach about addictions. Five psychology faculty in the PhD program at the University of New Mexico participated in the only FDP funded within the discipline of psychology. Although none had a primary focus or expertise in substance use disorders prior to the FDP, all four of the Assistant Professors became addiction researchers. During the 5 years prior to FDP, 11% of their publications had focused on addictions, a figure not significantly different from other psychology department faculty. This figure rose to 43% during the 5 FDP years, and 70% during the 5 years after FDP. The number of addiction courses taught in the department of psychology rose from 5, to 11, to 22 during these same three 5-year periods. Graduate theses and dissertations on addiction topics also rose from 1.1 per year prior to FDP (all chaired by the same faculty member), to 3.4 per year during FDP and 3.5 per year after FDP. In the 5 years following FDP, 46 theses and dissertations focused on addictions, chaired by 13 different psychology department faculty. Effects of FDP were also apparent among PhD graduates of the department, who showed significant increases in knowledge about addictions, willingness and confidence to treat (rather than refer) substance use disorders, and a doubling of addictive disorders in their post-degree caseloads. This diffusion effect is also seen in the presence of 11 new "second generation" research faculty in the department of psychology who were trained by FDP faculty, and who work full-time in addiction research, of whom six have already been awarded extramural funding. Although only one of the original five FDP fellows remains on faculty, clear effects of FDP endure in departmental teaching and scholarship, and in the addiction training and research of PhD graduates. Based on this program case study, FDP appears to be a promising model for institutionalizing substance abuse research and teaching within a scientist-practitioner training program, and for developing new investigators in addiction research. (Contains 1 figure and 2 tables.)</t>
  </si>
  <si>
    <t>FirstSearch indicates your institution subscribes to this publication. Libraries worldwide that own item: 278 University of Michigan Library Search the Mirlyn catalog at the University of MichiganLocal Holdings Information: 2002- 15 pages Target Audience: Teachers; Education Level: Higher Education; Postsecondary Education Article (EJ); ID: 4519</t>
  </si>
  <si>
    <t>Routledge. Available from: Taylor &amp; Francis, Ltd. 325 Chestnut Street Suite 800, Philadelphia, PA 19106. Tel: 800-354-1420; Fax: 215-625-2940; Web site: http://www.tandf.co.uk/journals; http://www.informaworld.com/openurl?genre=article&amp;id=doi:10.1300/J188v02n02_01</t>
  </si>
  <si>
    <t>EJ843895</t>
  </si>
  <si>
    <t>ERIC; OCLC; Impact of a Faculty Development Program in Addiction Psychology</t>
  </si>
  <si>
    <t>Morgenstern,Melvin;Strongin,Harriet</t>
  </si>
  <si>
    <t>Study of a Pilot Educational Program between Nassau Community College and Topic House (Nassau County Drug Addiction Rehabilitation Center). Report of Pilot Project</t>
  </si>
  <si>
    <t>Adult Education;Community Colleges;Drug Addiction;Drug Rehabilitation;Enrollment;Higher Education;Patients;Pilot Projects;Prevocational Education;Program Evaluation;Secondary Education;Identifier: Topic House NY;Nassau Community College NY</t>
  </si>
  <si>
    <t>Effects were explored of a multifaceted program of higher and secondary education for former drug addicts at Topic House, Nassau County, New York. Community college courses, High School Equivalency Diploma classes, vocational and technical training, and orientation for teachers and participating addicts, were among the activities offered. Of the 75 Topic House residents involved in the 1969-70 program, 44 are now (Fall 1970) working and attending Nassau Community College, 26 are working full time, one has married and two are back on drugs. Ten persons are studying for equivalency diplomas. Fifteen have expressed interest in other vocational areas, and suitable training centers are being sought. Persistence in therapy, academic and work performance, and certain other criteria seem to favor those who have participated in the pilot programs. Numerous recommendations in such areas as public relations, course planning, and professional training, were formulated; and the Nassau County Drug Abuse and Addiction Commission has already taken steps to implement inhouse courses for Topic House patients and staff. (LY)</t>
  </si>
  <si>
    <t>Connect to the Mirlyn catalog at the University of Michigan Associated Inst: New York State Education Dept., Albany. Bureau of Occupational Education Research.; Nassau Community Coll., Garden City, NY.; RP: Connect to the Mirlyn catalog at the University of Michigan Associated Inst: New York State Education Dept., Albany. Bureau of Occupational Education Research.; Nassau Community Coll., Garden City, NY.; ID: 4599</t>
  </si>
  <si>
    <t>ED048572</t>
  </si>
  <si>
    <t>ERIC; OCLC; Study of a Pilot Educational Program between Nassau Community College and Topic House (Nassau County Drug Addiction Rehabilitation Center). Report of Pilot Project</t>
  </si>
  <si>
    <t>Ndetei,David M.;Khasakhala,Lincoln I.;Mutiso,Victoria;Ongecha-Owuor,Francisca;Kokonya,Donald A.</t>
  </si>
  <si>
    <t>Psychosocial and Health Aspects of Drug Use by Students in Public Secondary Schools in Nairobi, Kenya</t>
  </si>
  <si>
    <t>Secondary School Students;Boarding Schools;Attendance;Drug Abuse;Drug Use;Foreign Countries;Questionnaires;Substance Abuse;Correlation;Age Differences;Gender Differences;Attendance Patterns;Student Characteristics;Intervention;Family Influence;Student Behavior;Psychological Patterns;Social Influences;Mental Health;Physical Health;Identifier: Kenya;Kenya</t>
  </si>
  <si>
    <t>The objective of this study was to evaluate the influence of family, psychosocial, health, demographic, and behavioral characteristics on regular drug use. All the students of 17 randomly stratified public secondary schools in Nairobi were required to complete self-administered sociodemographic and the Drug Use Screening Inventory-Revised (DUSI-R) questionnaires in a cross-sectional descriptive study. All the 1328 students, of whom 58.9% were male, responded to all the questions, giving a response rate of 100%. The mean age of the respondents was 16 years and 78.1% were in boarding school. One third (33.9%) scored positively for substance abuse. Significant correlations were found between several domains of substance abuse and school, class, mode of school attendance, age, and gender. Students abusing drugs have multiple comorbidity of medical, psychological, and social pathologies. There are evidence-based intervention entry points for drug abuse that go beyond mere impartation on knowledge about the harmful effects of drugs. (Contains 3 tables.)</t>
  </si>
  <si>
    <t>FirstSearch indicates your institution subscribes to this publication. Libraries worldwide that own item: 400 University of Michigan Library Search the Mirlyn catalog at the University of Michigan 8 pages Education Level: Secondary Education Article (EJ); ID: 4564</t>
  </si>
  <si>
    <t>Routledge. Available from: Taylor &amp; Francis, Ltd. 325 Chestnut Street Suite 800, Philadelphia, PA 19106. Tel: 800-354-1420; Fax: 215-625-2940; Web site: http://www.tandf.co.uk/journals; http://www.informaworld.com/openurl?genre=article&amp;id=doi:10.1080/08897070802606410</t>
  </si>
  <si>
    <t>EJ857071</t>
  </si>
  <si>
    <t>ERIC; OCLC; Psychosocial and Health Aspects of Drug Use by Students in Public Secondary Schools in Nairobi, Kenya</t>
  </si>
  <si>
    <t>Oakley,Claire;Moore,Douglas;Burford,Duncan;Fahrenwald,Roxanne;Woodward,Kathryn</t>
  </si>
  <si>
    <t>The Montana Model: Integrated Primary Care and Behavioral Health in a Family Practice Residency Program</t>
  </si>
  <si>
    <t>Teaching Models;Patients;Physicians;Medical Services;Substance Abuse;Public Health;Mental Health;Health Needs;Clinics;Family Practice (Medicine);Low Income Groups;Medical Students;Medical Education;Identifier: Montana;Montana</t>
  </si>
  <si>
    <t>To address the local health care needs of both patients and primary care providers in Montana, an integrated primary care and behavioral health family practice clinic was developed. In this paper we describe our experience with integrating mental health and substance abuse services into a primary care setting (a community health center) while simultaneously teaching family practice physicians to take the lead in providing these services. The Deering Community Health Center in Billings, Montana, is a Federally Qualified Health Center serving a largely low-income patient population. The medical care at the clinic is provided primarily by the faculty and residents of the Montana Family Medicine Residency. The teaching model was founded on the belief that improved care will result when physicians have increased comfort with, and are able to enjoy the challenges of, patients with mental illnesses. The enhanced longitudinal curriculum incorporates mental health across the 3 years of the family practice residency. Unique characteristics of this model include staffing and the concurrent delivery of a high volume mental health service while teaching family practice resident physicians and the faculty to integrate this competency into their primary care practices.</t>
  </si>
  <si>
    <t>FirstSearch indicates your institution subscribes to this publication. Libraries worldwide that own item: 906 University of Michigan Library Search the Mirlyn catalog at the University of MichiganLocal Holdings Information: 5-25; 1989-2009; 1-; 1985- 4 pages Article (EJ); ID: 4572</t>
  </si>
  <si>
    <t>0890-765X</t>
  </si>
  <si>
    <t>Blackwell Publishing. 350 Main Street, Malden, MA 02148. Tel: 800-835-6770; Tel: 781-388-8599; Fax: 781-388-8232; e-mail: customerservices@blackwellpublishing.com; Web site: http://www.blackwellpublishing.com/jnl_default.asp; http://dx.doi.org/10.1111/j.1748-0361.2005.tb00106.x</t>
  </si>
  <si>
    <t>EJ748892</t>
  </si>
  <si>
    <t>ERIC; OCLC; The Montana Model: Integrated Primary Care and Behavioral Health in a Family Practice Residency Program</t>
  </si>
  <si>
    <t>O'Connor-Merrigan,Mary L.</t>
  </si>
  <si>
    <t>Faculty Attitudes toward Addressing Mental Health Conditions and Substance Abuse among College Students</t>
  </si>
  <si>
    <t>Incidence;Mental Disorders;Substance Abuse;College Faculty;Teacher Characteristics;Academic Achievement;School Holding Power;Academic Persistence;Graduation Rate;Resilience (Psychology);Guidelines;Teacher Attitudes;Teacher Surveys;Likert Scales;Statistical Analysis;Teacher Role;Identification;Symptoms (Individual Disorders);Referral;College Students;Teacher Student Relationship;Identifier: Tukeys Test;United States (Great Plains States)</t>
  </si>
  <si>
    <t>The continued prevalence of mental health conditions and substance abuse among students enrolled in institutions of higher education is a significant and progressing concern, with marked impact on retention, academic success, graduation rate, and alarming personal consequences. Yet, many institutions struggle with successfully addressing these concerns. Resiliency theory offers a framework through which instructions can transition away from compartmentalization and random policies toward collaboration among the entire campus community to effectively address mental health conditions and substance abuse on campus. This level of collaboration among the entire campus community includes faculty. However, research on the benefits of faculty participation is limited. The purpose of this study was to determine faculty members' perceptions of their knowledge and attitudes toward identifying, approaching, and referring students with mental health conditions and substance abuse to appropriate services; and if perceptions were influenced by faculty's personal characteristics. Data were collected from 339 full-time faculty at a Great Plains university using a modified survey instrument developed by Marion Becker, utilizing a five-point Likert-type scale to examine faculty perceptions. The data (25.9% return rate) were analyzed through the calculations of means and standard deviations, t tests, and one-way analyses of variance (ANOVAs) with a post hoc Tukey's test (p &lt;0.05). The results of the study indicated a wide range of faculty attitudes and perceptions. Faculty (91.0%) agreed they can play a significant role in supporting students with mental health conditions and substance abuse. Faculty (96.0%) also agreed that students can recover and be successful. Faculty's perceptions of their knowledge in identifying specific symptomology were noteworthy yet, faculty were reluctant to directly approach a student and make a referral. Academic discipline strongly influenced faculty perceptions. Faculty in Medicine/Health Science with formal education on mental health conditions and substance abuse perceived themselves as more knowledgeable and comfortable than did faculty without formal education. Therefore, professional development can be tailored toward refining the skills of formally educated faculty and more comprehensively train faculty with less formal education on mental health and substance abuse. Faculty (67.0%) respondents indicated a significant willingness to participate in profession development to enhance knowledge. The dissertation citations contained here are published with the permission of ProQuest LLC. Further reproduction is prohibited without permission. Copies of dissertations may be obtained by Telephone (800) 1-800-521-0600. Web page: http://www.proquest.com/en-US/products/dissertations/individuals.shtml.]</t>
  </si>
  <si>
    <t>Search the Mirlyn catalog at the University of Michigan ISBN: 978-1-3036-5409-1 Education Level: Higher Education; Postsecondary Education; RP: Search the Mirlyn catalog at the University of Michigan ISBN: 978-1-3036-5409-1 Education Level: Higher Education; Postsecondary Education; ID: 4567</t>
  </si>
  <si>
    <t>ProQuest LLC. 789 East Eisenhower Parkway, P.O. Box 1346, Ann Arbor, MI 48106. Tel: 800-521-0600</t>
  </si>
  <si>
    <t>Web site: http://www.proquest.com/en-US/products/dissertations/individuals.shtml http://gateway.proquest.com/openurl?url_ver=Z39.88-2004&amp;rft_val_fmt=info:ofi/fmt:kev:mtx:dissertation&amp;res_dat=xri:pqm&amp;rft_dat=xri:pqdiss:3607727</t>
  </si>
  <si>
    <t>ED564884</t>
  </si>
  <si>
    <t>ERIC; OCLC; Faculty Attitudes toward Addressing Mental Health Conditions and Substance Abuse among College Students</t>
  </si>
  <si>
    <t>Ordover,Eileen L.;Boundy,Kathleen B.</t>
  </si>
  <si>
    <t>Educational Rights of Children with Disabilities: A Primer for Advocates</t>
  </si>
  <si>
    <t>Acquired Immune Deficiency Syndrome;Child Advocacy;Compliance (Legal);Conflict Resolution;Definitions;Disabilities;Discipline;Due Process;Early Intervention;Educational Legislation;Elementary Secondary Education;Eligibility;Federal Legislation;Individualized Education Programs;Legal Responsibility;Parent School Relationship;Pupil Personnel Services;Rehabilitation;School Law;Social Discrimination;Special Health Problems;Student Evaluation;Student Placement;Student Rights;Identifier: Individuals with Disabilities Education Act;Rehabilitation Act 1973 (Section 504);Individuals with Disabilities Education Act</t>
  </si>
  <si>
    <t>Intended for child advocates, this book analyzes children's educational rights under two federal statutes, the Individuals with Disabilities Education Act (IDEA) and Section 504 of the Rehabilitation Act of 1973. The nine chapters address the following topics: (1) the statutory framework of the two laws (including eligibility, age ranges, operation, and reach); (2) content, quality, and the meaning of "free appropriate public education" (e.g., meanings of "special education,""related services," and "least restrictive environment"); (3) special issues regarding related services (e.g., the "medical exclusion," in-school assistance with health-related needs, and children with substance abuse problems or psychiatric disorders); (4) educational evaluations (rights, procedures, and safeguards); (5) individualized education programs, placement decisions, and parent participation; (6) procedural safeguards and dispute resolution (e.g., surrogate parents, administrative complaints, due process, civil action); (7) discrimination against children who have AIDS (acquired immune deficiency syndrome), are positive for HIV (human immunodeficiency virus), or are carriers of hepatitis B; (8) discipline of students with disabilities (statutory entitlements and unresolved issues); and (9) early intervention services for infants and toddlers. Appended are a guide to legal notations and references, and a listing of regional offices of the U.S. Department of Education, Office for Civil Rights. (DB)</t>
  </si>
  <si>
    <t>Search the Mirlyn catalog at the University of Michigan ISBN: ISBN-0-912585-06-4 Audience: Community; Associated Inst: Legal Services Corp., Washington, DC.; Mental Health Law Project, Washington, DC.; RP: Search the Mirlyn catalog at the University of Michigan ISBN: ISBN-0-912585-06-4 Audience: Community; Associated Inst: Legal Services Corp., Washington, DC.; Mental Health Law Project, Washington, DC.; ID: 4547</t>
  </si>
  <si>
    <t>Center for Law and Education, Boston, MA</t>
  </si>
  <si>
    <t>Center for Law &amp; Education, 955 Massachusetts Ave., Cambridge, MA 02139 ($12.50).</t>
  </si>
  <si>
    <t>ED358597</t>
  </si>
  <si>
    <t>ERIC; OCLC; Educational Rights of Children with Disabilities: A Primer for Advocates</t>
  </si>
  <si>
    <t>Rabak-Wagener,Judith;Davis,R. E.</t>
  </si>
  <si>
    <t>Analysis of Substance Use and Abuse Instruction in U.S. Physician Assistant Education Programs</t>
  </si>
  <si>
    <t>Alcohol Education;Allied Health Occupations Education;Cross Cultural Training;Cultural Pluralism;Curriculum Development;Drug Education;Minority Groups;Physicians Assistants;Professional Training;Program Attitudes;Identifier: United States;United States</t>
  </si>
  <si>
    <t>Reports results of a survey of 50 accredited physician assistant programs regarding their substance use/abuse education: curricula, legal and ethical perspectives, and teaching methodologies. Traditional teaching methods, general biomedical concepts, and treatment modes and outcomes are emphasized, while developing students' multicultural awareness and treatment skills is not stressed by most programs. (LKS)</t>
  </si>
  <si>
    <t>FirstSearch indicates your institution subscribes to this publication. Libraries worldwide that own item: 1550 University of Michigan Library INDEPENDENT U-M LIBRARIES Search the Mirlyn catalog at the University of MichiganLocal Holdings Information: 1993-; 17-57; 1971/1972-2013; 58-; 2014- Article (EJ); ID: 4524</t>
  </si>
  <si>
    <t>EJ509563</t>
  </si>
  <si>
    <t>ERIC; OCLC; Analysis of Substance Use and Abuse Instruction in U.S. Physician Assistant Education Programs</t>
  </si>
  <si>
    <t>Raymond,James H., I.,II</t>
  </si>
  <si>
    <t>American Indian Education and the Reservation Community College</t>
  </si>
  <si>
    <t>American Indians;Curriculum Development;Educational History;Two Year Colleges;(Major): American Indian Education;College Curriculum;College Role;Community Colleges</t>
  </si>
  <si>
    <t>On almost any socioeconomic indicator measuring achievement or material acquisition (e.g., educational attainment, life expectancy, or unemployment), the American Indian ranks lower than any ethnic or racial group, other than those most recently immigrated. In an effort to overcome the shortcomings of reservation education and to exercise internal control of the educational process, in the 1960s, tribal leaders began providing facility space to area community colleges willing to deliver an Indian-centered curriculum. While these endeavors proved to be somewhat successful in establishing good working relationships, the range of Indian-related courses fell far short of tribal expectations. With federal and private aid, Indian-controlled and directed community colleges were established on reservations to address the specific needs of the tribes. In 1972, the American Indian Higher Education Consortium (AINEC) was formed to provide training and technical assistance to member colleges and to develop methodologies to deliver a curriculum that would satisfy special interests, provide remedial education, offer vocational skills training, and develop lower division courses that would transfer to senior institutions. In answer to the greatest needs, the staples of the reservation community college curricula are in business management, substance abuse services, and medical assistance. In addition, all of the community colleges offer studies in tribal history and language development. Some of the colleges have achieved articulation and transfer agreements with four-year institutions as well. The two most pressing needs of the reservation communities are Indian-delivered education at all levels, and vocational/technical paraprofessionals. While the latter can help to effect the development of the reservations, the former can prepare the communities for newly emerging realities. Community colleges can influence both processes. (EJV)</t>
  </si>
  <si>
    <t>Connect to the Mirlyn catalog at the University of Michigan Graduate Seminar Paper, University of Florida.; RP: Connect to the Mirlyn catalog at the University of Michigan Graduate Seminar Paper, University of Florida.; ID: 4597</t>
  </si>
  <si>
    <t>ED276489</t>
  </si>
  <si>
    <t>ERIC; OCLC; American Indian Education and the Reservation Community College</t>
  </si>
  <si>
    <t>Roman,Brenda;Borges,Nicole;Morrison,Ann K.</t>
  </si>
  <si>
    <t>Teaching Motivational Interviewing Skills to Third-Year Psychiatry Clerkship Students</t>
  </si>
  <si>
    <t>Obesity;Role Playing;Substance Abuse;Smoking;Physicians;Health Behavior;Behavior Modification;Psychiatry;Interviews;Patients;Motivation Techniques;Costs;Graduate Medical Education;Pretests Posttests;Questionnaires;Self Efficacy;Medical Students</t>
  </si>
  <si>
    <t>Background: Despite a large percentage of health care costs being related to smoking, obesity, and substance abuse, most physicians are not confident in motivating patients to change health behaviors. Motivational interviewing (MI) is a directive, patient-centered approach for eliciting behavior change. The purpose of this study was to teach students MI skills and assess their confidence and knowledge during the psychiatry clerkship using smoking cessation as the target behavior. Methods: Using a pretest/posttest design, 98 students were given a 10-item questionnaire during the psychiatry clerkship to assess their knowledge and confidence in health behavior change. Students received a 3-hour presentation on the principles of MI and practiced skills through role play. Students were encouraged to utilize these skills with patients. Results: Paired t tests results showed significant differences pre- and postclerkship for nine of the 10 items, including the student's confidence in working with patients in the area of smoking cessation. Conclusion: Students can gain basic knowledge and increased confidence in working with patients for promoting behavioral change, even with a brief session, taught by nonexperts in motivational interviewing theory.</t>
  </si>
  <si>
    <t>FirstSearch indicates your institution subscribes to this publication. Libraries worldwide that own item: 855 University of Michigan Library Search the Mirlyn catalog at the University of MichiganLocal Holdings Information: 1997- 3 pages Education Level: Higher Education Article (EJ); ID: 4529</t>
  </si>
  <si>
    <t>American Psychiatric Publishing, Inc. 1000 Wilson Boulevard Suite 1825, Arlington, VA 22209-3901. Tel: 800-368-5777; Tel: 703-907-7856; Fax: 703-907-1092; e-mail: appi@psych.org; Web site: http://ap.psychiatryonline.org; http://dx.doi.org/10.1176/appi.ap.35.1.51</t>
  </si>
  <si>
    <t>EJ915507</t>
  </si>
  <si>
    <t>ERIC; OCLC; Teaching Motivational Interviewing Skills to Third-Year Psychiatry Clerkship Students</t>
  </si>
  <si>
    <t>Rush,Andrea Green</t>
  </si>
  <si>
    <t>Seasons: The National Native American AIDS Prevention Center Quarterly. Summer 1990-Autumn 1992</t>
  </si>
  <si>
    <t>Acquired Immune Deficiency Syndrome;Alaska Natives;American Indians;Community Attitudes;Community Programs;Disease Control;Health Education;Health Programs;Health Services;Homosexuality;Patient Education;Prevention;Risk;Secondary Education;Sex Education;Sexuality;Substance Abuse;Tribes;Values;Identifier: Risk Taking;Native Americans</t>
  </si>
  <si>
    <t>Nine issues of this quarterly periodical examine AIDS prevention, education, and health care services for Native Americans and their communities. Major articles include personal narratives, interviews, roundtable discussions, program descriptions, guidelines for physicians and educators, and overviews of available services, and cover the following topics: (1) stereotypes and negative attitudes toward homosexuality and AIDS patients in Native American communities and among health-care and human services workers; (2) Alaska Natives' lack of access to AIDS testing, risk factors for the spread of HIV among Alaska Natives, and efforts by outreach workers to provide AIDS education to Native villages; (3) chemical dependency as a risk factor for contracting AIDS and the role of substance-abuse workers in providing AIDS education; (4) tribal substance abuse programs that incorporate AIDS education and sex education; (5) the efforts of Native American AIDS patients to educate others; (6) AIDS prevention education in Oklahoma's Indian communities; (7) confidentiality issues, particularly at Indian Health Service facilities; (8) culture-based counseling and education for the prevention of high risk behaviors; (9) building a cooperative relationship between physician and patient; (10) the high risk of AIDS in communities of color and how these communities can educate their youth; (11) a 19-year-old Indian woman who works as an AIDS peer educator; (12) traditional cultural values and techniques as applied to HIV survival issues; and (13) issues of sexuality and sexual identity. Also included are reviews of available educational and prevention materials; artwork; poems; employment opportunities; and announcements of conferences, workshops, and public events. (SV)</t>
  </si>
  <si>
    <t>Connect to the Mirlyn catalog at the University of Michigan Associated Inst: Centers for Disease Control (DHHS/PHS), Atlanta, GA.; RP: Connect to the Mirlyn catalog at the University of Michigan Associated Inst: Centers for Disease Control (DHHS/PHS), Atlanta, GA.; ID: 4540</t>
  </si>
  <si>
    <t>National Native American AIDS Prevention Center, Oakland, CA</t>
  </si>
  <si>
    <t>National Native American AIDS Prevention Center, 6239 College Avenue, Suite 201, Oakland, CA 94618 (free subscriptions).</t>
  </si>
  <si>
    <t>ED372876</t>
  </si>
  <si>
    <t>ERIC; OCLC; Seasons: The National Native American AIDS Prevention Center Quarterly. Summer 1990-Autumn 1992</t>
  </si>
  <si>
    <t>Russell,Todd T.;Madrigal,Julio F.</t>
  </si>
  <si>
    <t>Counseling in the U.S.-Mexico Border Region</t>
  </si>
  <si>
    <t>Biculturalism;Bilingual Education;Code Switching (Language);Counseling;Counselor Training;Cultural Context;Hispanic American Culture;Mental Health Workers;Mexican American Education;Mexican Americans;School Counseling;Substance Abuse;Identifier: Mexico United States Border</t>
  </si>
  <si>
    <t>Residents of the U. S.-Mexico border region have the immense task of reconciling two different and often incompatible cultures, traditions, and languages. The cultural and environmental conditions of the South Texas border region are briefly described, and economic and social conditions are reviewed. The unique counseling needs of borderlanders of Mexican descent are identified and discussed. In order to properly provide counseling services to "fronterizos," mental health professionals must be bilingual and must understand the socioeconomic factors of the area and the social dynamics between the two nations. The counselor is confronted by challenges of counseling bilingual clients in two languages, differences of culture within each of the language or national traditions, high rates of substance abuse, violence, and depression, and the not always smooth transformation of traditions from the past. Assets of the region include a strong emphasis on family and personal relationships. Specific issues for school, college, mental health, and substance abuse counselors are highlighted; education opportunities and issues are reviewed. The counseling professional "en la frontera" can facilitate the process of a client developing a strong bicultural identity that effectively weaves together the fabrics of the two cultures. (EMK)</t>
  </si>
  <si>
    <t>Connect to the Mirlyn catalog at the University of Michigan; RP: Connect to the Mirlyn catalog at the University of Michigan; ID: 4586</t>
  </si>
  <si>
    <t>ED422552</t>
  </si>
  <si>
    <t>ERIC; OCLC; Counseling in the U.S.-Mexico Border Region</t>
  </si>
  <si>
    <t>Schneider,Karl A.</t>
  </si>
  <si>
    <t>Behavioral Outcomes and Self-Concept Improvement Through Adult Education of Addicts &amp; Alcoholics in a Combined Abstinent Therapeutic Community</t>
  </si>
  <si>
    <t>Alcoholism;Program Descriptions;Research Projects;Self Concept;Social Behavior;(Major): Adult Basic Education;Drug Abuse;Reading Skills;Rehabilitation;Remedial Instruction</t>
  </si>
  <si>
    <t>This paper describes the results of the Eagleville Reading Academy and Satellite Program, a demonstration project funded by the U.S. Office of Education. Eagleville is a private, nonprofit hospital devoted to treatment, research, education and training for alcoholism and drug addiction. The therapeutic community setting includes individual and group therapy, industrial therapy, occupational therapy, physical rehabilitation, family therapy and general medical care. Education is available on a voluntary, self-selection basis in the inpatient phase. The results of the study show that treatment outcome for students is superior at all stages of treatment than for nonstudents. They also show that part of the improved self-concept of patients in treatment at Eagleton is ascribable to the education program. The authors conclude that adult remedial education is an integral component for recovery and deserves serious consideration for inclusion in the continuum of services for drug and alcohol rehabilitation programs. (Author)</t>
  </si>
  <si>
    <t>Connect to the Mirlyn catalog at the University of Michigan Paper presented at the Annual Meeting of the Alcohol and Drug Problem Association of North America (28th, Detroit, Michigan, September 25-29, 1977); RP: Connect to the Mirlyn catalog at the University of Michigan Paper presented at the Annual Meeting of the Alcohol and Drug Problem Association of North America (28th, Detroit, Michigan, September 25-29, 1977); ID: 4624</t>
  </si>
  <si>
    <t>ED153114</t>
  </si>
  <si>
    <t>ERIC; OCLC; Behavioral Outcomes and Self-Concept Improvement Through Adult Education of Addicts &amp; Alcoholics in a Combined Abstinent Therapeutic Community</t>
  </si>
  <si>
    <t>Reading and Writing; Adult Education in Comprehensive Combined Addiction Treatment: Needs, Problems, and Benefits</t>
  </si>
  <si>
    <t>Adult Basic Education;Antisocial Behavior;Patients;Program Descriptions;Program Evaluation;Therapeutic Environment;(Major): Alcoholism;Drug Addiction;Educational Therapy;Literacy Education;Rehabilitation Programs;Remedial Programs</t>
  </si>
  <si>
    <t>This paper describes the results of the first year of the Eagleville Reading Academy and Satellite Program, a demonstration project funded by the U.S. Office of Education, Right to Read. Eagleville Hospital and Rehabilitation Center treats addicts and alcoholics in a combined abstinent therapeutic community program setting. The goals of the Eagleville Reading Academy Grant are as follows: (1) To demonstrate the necessity of individualized adult personalized education assistance for addicts and alcoholics as an integral component of the addiction/treatment rehabilitation process in the therapeutic community; (2) To develop a model program which involves a team concept of professionally accredited teachers working with a core group of trained volunteers who will work in concert with a resident/candidate; (3) To create a variety of methods, approaches and particularly high interest materials; (4) To offer referral and follow-up services linking to other adult educational programs when patients leave the Eagleville program; and (5) To offer an evaluation process of the effect of education on recovery and to provide data concerning this relationship. Eagleville's first-year operational data indicate that remedial education is an integral component for patient recovery in drug and alcohol rehabilitation programs. (Author/JLL)</t>
  </si>
  <si>
    <t>Connect to the Mirlyn catalog at the University of Michigan Paper presented at the Annual Meeting of the Alcohol and Drug Problem Association (27th, New Orleans, Louisiana, September 12-16, 1976) ; Some pages of the document mey be marginally legible; RP: Connect to the Mirlyn catalog at the University of Michigan Paper presented at the Annual Meeting of the Alcohol and Drug Problem Association (27th, New Orleans, Louisiana, September 12-16, 1976) ; Some pages of the document mey be marginally legible; ID: 4623</t>
  </si>
  <si>
    <t>ED155539</t>
  </si>
  <si>
    <t>ERIC; OCLC; Reading and Writing; Adult Education in Comprehensive Combined Addiction Treatment: Needs, Problems, and Benefits</t>
  </si>
  <si>
    <t>Senreich,Evan;Straussner,Shulamith Lala A.</t>
  </si>
  <si>
    <t>The Effect of MSW Education on Students' Knowledge and Attitudes Regarding Substance Abusing Clients</t>
  </si>
  <si>
    <t>Journal of Social Work Education</t>
  </si>
  <si>
    <t>Substance Abuse;Social Work;Client Characteristics (Human Services);Knowledge Level;Multivariate Analysis;Graduate Students;Achievement Gains;Educational Experience;Positive Attitudes;Predictor Variables;Questionnaires;Student Surveys;Cohort Analysis;Counselor Training;Performance Factors;Student Attitudes;Attitude Change;Identifier: United States (Northeast)</t>
  </si>
  <si>
    <t>Entering ("n"?=?475) and graduating ("n"?=?454) students at 3 master's of social work programs in the northeast were compared regarding their knowledge and attitudes concerning working with substance abusing clients. In comparison to entering students, graduating students demonstrated modestly higher levels of knowledge, role adequacy, and role legitimacy, but less desire to work with this population. A multivariate analysis revealed numerous factors that affected students' knowledge and attitudes: gender; ethnicity; exposure to substance abuse through family, friends, or self; taking a substance abuse course in an academic setting; having an internship in a substance abuse setting; substance abuse training outside of an academic setting; and exposure to substance abusers through employment. Implications of these findings for social work education are discussed. (Contains 4 tables.)</t>
  </si>
  <si>
    <t>FirstSearch indicates your institution subscribes to this publication. Libraries worldwide that own item: 1441 University of Michigan Library Search the Mirlyn catalog at the University of MichiganLocal Holdings Information: 21-47; 1985-2011; 1996-; 48:4-49:1-2,50:1-3; 2012-2014 16 pages Education Level: Higher Education; Postsecondary Education Article (EJ); ID: 4517</t>
  </si>
  <si>
    <t>1043-7797</t>
  </si>
  <si>
    <t>Routledge. Available from: Taylor &amp; Francis, Ltd. 325 Chestnut Street Suite 800, Philadelphia, PA 19106. Tel: 800-354-1420; Fax: 215-625-2940; Web site: http://www.tandf.co.uk/journals; http://www.tandfonline.com/doi/full/10.1080/10437797.2013.768485</t>
  </si>
  <si>
    <t>EJ1011557</t>
  </si>
  <si>
    <t>ERIC; OCLC; The Effect of MSW Education on Students' Knowledge and Attitudes Regarding Substance Abusing Clients</t>
  </si>
  <si>
    <t>Shea,Christopher</t>
  </si>
  <si>
    <t>An Anthropologist Bridges Two Worlds</t>
  </si>
  <si>
    <t>Chronicle of Higher Education</t>
  </si>
  <si>
    <t>B6</t>
  </si>
  <si>
    <t>Subcultures;Special Programs;Interdisciplinary Approach;Unified Studies Curriculum;Substance Abuse;Medical Education;Health Education;Disadvantaged Environment;Change Agents</t>
  </si>
  <si>
    <t>Philippe Bourgois, who has spent his career studying some of America's roughest neighborhoods and subcultures, got an unusually harsh welcome to his new hometown: Last May, during a trip to North Philly to make contact with some drug dealers, he got caught up in a police raid. The arrest was Bourgois's first, though hardly his first brush with risk. In his 1995 book, "In Search of Respect: Selling Crack in El Barrio," he recounts how one drug kingpin reacted after a newspaper article drew attention to Bourgois's fieldwork with dealers. The University of California Press has just published "Righteous Dopefiend," Bourgois's long-awaited follow-up to his first book. It's an ethnographic work based on more than a decade of studying homeless heroin addicts in San Francisco. Some of his findings, which have trickled out in journal articles and lectures, have already helped change how some doctors in the Bay City treat the most-destitute addicts. Bourgois arrived at the University of Pennsylvania two years ago from the University of California at San Francisco, hired into a special program devised by Penn's president, Amy Gutmann, to expand the university's interdisciplinary offerings. His appointment bridges the anthropology department and the medical school, and part of his mandate is to make sure that medical professors and students don't get so wrapped up in the biochemistry of disease and addiction that they forget about its social context. He also advises M.D./Ph.D. candidates with an interest in social science. Having an interdisciplinary perspective, in a sense, means one serves different masters, and that is unusually evident in Bourgois's case. On the one hand, he is a cultural anthropologist in the humanistic, participant-observer tradition. He can emit at will great clouds of jargon that draw on the writings of Michel Foucault and Pierre Bourdieu. But he also produces concrete recommendations about treating drug abuse and limiting the spread of blood-borne diseases, which is why the National Institutes of Health has long financed his work.</t>
  </si>
  <si>
    <t>FirstSearch indicates your institution subscribes to this publication. Libraries worldwide that own item: 3378 University of Michigan Library Search the Mirlyn catalog at the University of MichiganLocal Holdings Information: 1-10,13-; 1966/1967-; 1988- 1 pages Education Level: Higher Education Article (EJ); ID: 4560</t>
  </si>
  <si>
    <t>Chronicle of Higher Education. 1255 23rd Street NW Suite 700, Washington, DC 20037. Tel: 800-728-2803; e-mail: circulation@chronicle.com; Web site: http://chronicle.com/; http://chronicle.com/</t>
  </si>
  <si>
    <t>EJ847219</t>
  </si>
  <si>
    <t>ERIC; OCLC; An Anthropologist Bridges Two Worlds</t>
  </si>
  <si>
    <t>Shepherd,Robin</t>
  </si>
  <si>
    <t>If These Walls Could Talk: Reflective Practice in Addiction Studies among Undergraduates in New Zealand</t>
  </si>
  <si>
    <t>Eating Disorders;Public Health;Foreign Countries;Majors (Students);Teaching Methods;Addictive Behavior;Undergraduate Students;Reflection;Essays;Substance Abuse;Smoking;Health Personnel;Student Attitudes;Identifier: New Zealand;New Zealand</t>
  </si>
  <si>
    <t>This exploratory study examined reflective practice among a class of students studying a "communities and addictions" course as part of the undergraduate health science degree. Most reflective practice publications are focused on medical or teachers' training rather than undergraduates in general. This is surprising given that reflective practice is an impetus to deeper learning. The students were required to write a 500 word reflective piece after writing essays on the disease model and a public health approach to problem gambling, substance use, tobacco use, or eating disorders. This innovative study demonstrated that reflective practice can help the students learn on a deeper level both academically and personally. In particular, reflective practice should become compulsory for graduates entering the health sectors as they will cross paths with those suffering from addictions. Themes emerging from the reflective writing were discussed.</t>
  </si>
  <si>
    <t>FirstSearch indicates your institution subscribes to this publication. Libraries worldwide that own item: 978 University of Michigan Library Search the Mirlyn catalog at the University of MichiganLocal Holdings Information: 2006- 12 pages Article (EJ); ID: 4528</t>
  </si>
  <si>
    <t>Springer. 233 Spring Street, New York, NY 10013. Tel: 800-777-4643; Tel: 212-460-1500; Fax: 212-348-4505; e-mail: service-ny@springer.com; Web site: http://www.springerlink.com; http://dx.doi.org/10.1007/s11469-009-9235-z</t>
  </si>
  <si>
    <t>EJ900172</t>
  </si>
  <si>
    <t>ERIC; OCLC; If These Walls Could Talk: Reflective Practice in Addiction Studies among Undergraduates in New Zealand</t>
  </si>
  <si>
    <t>Siegal,Harvey A.</t>
  </si>
  <si>
    <t>The Weekend Intervention Program</t>
  </si>
  <si>
    <t>Alcohol Abuse;Counseling Services;Drug Abuse;Drug Addiction;Drug Education;Health Activities;Higher Education;Intervention;Medical Education;Medical Schools;Medical Students;Models;Outreach Programs;Program Descriptions;Social Problems;State Universities;Substance Abuse;Traffic Safety;Identifier: Wright State University OH;AASCU ERIC Model Programs Inventory Project</t>
  </si>
  <si>
    <t>The Weekend Intervention Program (WIP) at the Wright State University School of Medicine is described in this report. Designed to address severe health and social problems while supporting the university's academic mission, the program began with the goal of addressing the health and social problems of alcohol abusers. WIP is a 72-hour intensive program of education and counseling for alcohol abusers which provides local courts a therapeutic alternative to incarceration for people convicted of alcohol-related offenses. Its educational strength is a "real world" experience that gives understanding and skills in helping people with substance abuse problems. Medical student participation in the WIP is required. As participant-observers, students work in the counseling groups conducted by professionals. They attend alcohol/drug education sessions and a introductory meeting of Alcoholics Anonymous. Evidence of program effectiveness includes the following: WIP was the first driver-intervention program accredited by the Ohio Department of Health; WIP now serves a 10-county area adjacent to the university; WIP personnel make presentations at major national and international traffic safety and substance abuse conferences; and WIP has been replicated nationwide. A followup study indicates there is a significant retention of learning by students. The appendices include three Wright state University School of Medicine news releases. (SM)</t>
  </si>
  <si>
    <t>Connect to the Mirlyn catalog at the University of Michigan; RP: Connect to the Mirlyn catalog at the University of Michigan; ID: 4634</t>
  </si>
  <si>
    <t>Wright State Univ., Dayton, OH</t>
  </si>
  <si>
    <t>ED306845</t>
  </si>
  <si>
    <t>ERIC; OCLC; The Weekend Intervention Program</t>
  </si>
  <si>
    <t>Smith,Steven Rathgeb</t>
  </si>
  <si>
    <t>How Effects To Fight Substance Abuse Have Strengthened Civic Infrastructure. Lessons Learned Conferences Seminar Report (Washington, D.C., September 29-30, 1997)</t>
  </si>
  <si>
    <t>Accountability;Conferences;Problem Solving;Program Descriptions;Program Effectiveness;Strategic Planning;Urban Areas;Urban Youth;(Major): Community Action;Networks;Prevention;Substance Abuse</t>
  </si>
  <si>
    <t>A conference in Washington, D.C., brought together leaders from six communities to share their strategies to mobilize residents to fight substance abuse problems. The actions taken by community groups and leaders in the following cities are described: Portland (Oregon); Hampton (Virginia); Baltimore (Maryland); New Haven (Connecticut); Newark (New Jersey); and Kansas City (Missouri). In each of these cities, strengthening the community's civic infrastructure to respond to pressing issues was an unintended but positive outcome of efforts to reduce alcohol and drug abuse. The central strategy of these successful programs has been creating new social and professional networks to reduce substance abuse and crime in their communities. The following lessons can be drawn from the communities' experiences: (1) strategy matters, and a sound strategy is required to guide community efforts; (2) leadership is key to building and sustaining a healthy civic infrastructure; (3) public-private partnerships must exist; and (4) community accountability is crucial. Profiles of the six partnerships provide additional information about their implementation and operation. Suggestions are given for building civic infrastructure. (SLD)</t>
  </si>
  <si>
    <t>Connect to the Mirlyn catalog at the University of Michigan Associated Inst: Robert Wood Johnson Foundation, Princeton, NJ.; RP: Connect to the Mirlyn catalog at the University of Michigan Associated Inst: Robert Wood Johnson Foundation, Princeton, NJ.; ID: 4585</t>
  </si>
  <si>
    <t>ED426161</t>
  </si>
  <si>
    <t>ERIC; OCLC; How Effects To Fight Substance Abuse Have Strengthened Civic Infrastructure. Lessons Learned Conferences Seminar Report (Washington, D.C., September 29-30, 1997)</t>
  </si>
  <si>
    <t>Southwick,Paula S.</t>
  </si>
  <si>
    <t>Curriculum for Community Health Workers</t>
  </si>
  <si>
    <t>Allied Health Occupations Education;College Curriculum;Community Health Services;Course Content;Curriculum Design;Curriculum Development;Health Education;Health Personnel;Health Services;Outreach Programs;Postsecondary Education;Identifier: Arizona (Pima County);Arizona</t>
  </si>
  <si>
    <t>The Community Outreach Curriculum described in this paper is designed to prepare community health aides employed through the Outreach Department of Pima County (Arizona) Indian Health Inc., (PCIHI), which consists of two medical clinics on two separate reservations. The first sections of the paper describe PCIHI, provide a rationale for the curriculum based on the rising community health needs of the Indian population of Pima County, offer a statement of goals and objectives for the curriculum, and describe the students for whom the curriculum is intended. Next, brief descriptions of the following courses offered in the curriculum are given: (1) Traffic Safety; (2) Patient Vital Signs; (3) Charting; (4) First Aid; (5) Cardio-Pulmonary Resuscitation; (6) Hygiene; (7) Diet; (8) Venereal Disease; (9) Contraception; (10) Health in Pregnancy; (11) New Baby Care; (12) Parasites; (13) Home Bound Patients; (14) Diabetic Teaching; (15) Hypertension; and (16) Substance Abuse. The final sections of the paper examine issues related to the implementation of the curriculum, evaluation criteria for each of the curricular objectives, and procedures for curriculum revision. (LAL)</t>
  </si>
  <si>
    <t>Connect to the Mirlyn catalog at the University of Michigan Audience: Teachers/ Practitioners; RP: Connect to the Mirlyn catalog at the University of Michigan Audience: Teachers/ Practitioners; ID: 4615</t>
  </si>
  <si>
    <t>ED263951</t>
  </si>
  <si>
    <t>ERIC; OCLC; Curriculum for Community Health Workers</t>
  </si>
  <si>
    <t>Spero,Ellen</t>
  </si>
  <si>
    <t>Substance Abuse, School Policy and Special Education</t>
  </si>
  <si>
    <t>Academic Achievement;Adolescents;Court Litigation;Discipline Policy;Dropouts;High Schools;Special Education;(Major): Alcoholism;Disabilities;Drug Addiction;Policy Formation;School Policy;Substance Abuse</t>
  </si>
  <si>
    <t>This paper reviews the literature which examines school policies currently guiding educational practice in the area of student substance abuse and discusses the relationship between special education and substance-using and substance-abusing students. Reviewed are: (1) definitions of substance abuse, which vary with the conceptualization of the problem, based on various models--moral, legal, medical, social learning, or ecological; (2) court cases which indicate that when drug or alcohol use by a special education student is related to a handicapping condition, exclusion from school does not appear to be an appropriate response; (3) studies on school performance and substance abuse, supporting the conclusion that substance-using adolescents are less committed to education and at greater risk for leaving school before graduating; (4) requirements that schools provide specialized educational services to students who abuse drugs; and (5) current responses of high schools to drug and alcohol use/abuse among students. The paper outlines reasons that schools should address the issue of policies and practices in the area of substance abuse and lists recommended steps to be taken by educators. (JDD)</t>
  </si>
  <si>
    <t>Connect to the Mirlyn catalog at the University of Michigan Contract No: G00-8530284; G00-8715099/ Audience: Practitioners/ Policymakers; Associated Inst: Office of Special Education and Rehabilitative Services (ED), Washington, DC.; RP: Connect to the Mirlyn catalog at the University of Michigan Contract No: G00-8530284; G00-8715099/ Audience: Practitioners/ Policymakers; Associated Inst: Office of Special Education and Rehabilitative Services (ED), Washington, DC.; ID: 4605</t>
  </si>
  <si>
    <t>ED312797</t>
  </si>
  <si>
    <t>ERIC; OCLC; Substance Abuse, School Policy and Special Education</t>
  </si>
  <si>
    <t>Van Kampen,Pamela Sue</t>
  </si>
  <si>
    <t>The Effects of Education on the Attitudes of Counselors in Training toward Alcoholism</t>
  </si>
  <si>
    <t>Education Courses;Alcoholism;Alcohol Abuse;Drinking;Counselor Training;Attitude Measures;Outcomes of Education;Counselor Attitudes;Social Attitudes;Attitude Change;Pretests Posttests;Self Efficacy;Competence;Emotional Problems;Psychological Patterns;Mental Disorders;Diseases;Identifier: Alcoholism Questionnaire</t>
  </si>
  <si>
    <t>The purpose of this paper is to determine the effects of education on the attitudes of counselors in training toward alcoholism. Alcoholism is a treatable disease if recognized, properly diagnosed and the appropriate interventions are made available to the alcoholic and their families. There is estimated to be more than two billion people worldwide who consume alcoholic beverages, and approximately 76.3 million of them have diagnosable disorders, psychological, and/or social difficulties associated with their alcohol use. Currently there is a relationship to more than 60 types of injury and disease with alcohol. In addition to health problems related to alcoholism, alcohol addiction, and binge drinking, chronic alcohol use is estimated to cause 20 - 30% of all motor vehicle accidents, homicides, liver cirrhosis, esophageal cancer, liver cancer, and epileptic seizures worldwide. The American Cancer Society recognizes the following cancers to be related causally to alcohol: larynx, rectum, breast, liver, esophagus, pharynx, and oral cavity. The risk for these cancers increase with the number of drinks a person consumes. In spite of these well know facts, alcoholism remains a very misunderstood and stigmatized disease. Societal attitudes toward alcoholics tend to be negative, and shame and behavior based. Research shows these same attitudes are prevalent among medical and mental health care professionals. Alcohol related problems are frequently misdiagnosed, and sometimes the expectation for recovery is limited or negligible. This study posited that the attitudes of counselors in training would become more positive as a result of a substance abuse education course as evidenced by a comparison of the pre- and post- scores on The Marcus Alcoholism Questionnaire (MAQ) (Marcus, 1962). Moreover, they would demonstrate significant changes in their perceptions of personal confidence and competencies in working with alcoholics in a therapeutic setting. There was a significant positive effect on the belief that emotional difficulties or psychological problems are an important contributing factor in the development of alcoholism, that periodic excessive drinking can be alcoholism, and that alcoholism is an illness based on a comparison of the mean gain scores and related to their experience in the course. Moreover, students who had at least one course in substance abuse prior to the workshop believed more strongly at the end of the course that alcoholics are not weak willed individuals compared to students who had not had not had any formal coursework on the topic of substance abuse when comparing pre- and post- mean gains. There were no significant differences among mean gain scores for groupings based on ethnicity. Students who were confident in their ability to work with alcoholics therapeutically believed more strongly that alcoholics are not weak willed individuals compared to students who judged themselves as not confident, and students who judged themselves to be competent to work with alcoholics in therapy believed more strongly that alcoholics can recover from alcoholism. Finally, more students judged themselves to be confident in working with alcoholics after participating in the substance abuse education workshop. The results of this study show that attitudes toward alcoholism can be changed through education. With increased public education along with the proper training and instructional opportunities in medical and all medically related fields including psychology, counseling and social work, alcohol related disorders, diseases and deaths would decrease substantially. The dissertation citations contained here are published with the permission of ProQuest LLC. Further reproduction is prohibited without permission. Copies of dissertations may be obtained by Telephone (800) 1-800-521-0600. Web page: http://www.proquest.com/en-US/products/dissertations/individuals.shtml.]</t>
  </si>
  <si>
    <t>Search the Mirlyn catalog at the University of Michigan ISBN: ISBN-978-1-1097-0315-3 Education Level: Higher Education; RP: Search the Mirlyn catalog at the University of Michigan ISBN: ISBN-978-1-1097-0315-3 Education Level: Higher Education; ID: 4527</t>
  </si>
  <si>
    <t>Web site: http://www.proquest.com/en-US/products/dissertations/individuals.shtml http://gateway.proquest.com/openurl?url_ver=Z39.88-2004&amp;rft_val_fmt=info:ofi/fmt:kev:mtx:dissertation&amp;res_dat=xri:pqdiss&amp;rft_dat=xri:pqdiss:3397900</t>
  </si>
  <si>
    <t>ED514882</t>
  </si>
  <si>
    <t>ERIC; OCLC; The Effects of Education on the Attitudes of Counselors in Training toward Alcoholism</t>
  </si>
  <si>
    <t>Voigt,Thomas J. K.</t>
  </si>
  <si>
    <t>Learning as It Relates to Addiction Recovery: A Case Study of the Learning Experiences of Men in a Faith-Based Addiction Recovery Program</t>
  </si>
  <si>
    <t>Case Studies;Addictive Behavior;Rehabilitation;Males;Urban Areas;Religion;Residential Programs;Adult Learning;Interviews;Experience;Learning Activities;Change</t>
  </si>
  <si>
    <t>This case study is about learning as it relates to addiction recovery within the Men's Ministry (a pseudonym) program at an urban, faith-based mission, hereafter referred to as WCM (an acronym). The program is free and long-term residential. Its purpose is to be a "life transformation ministry for troubled men whose lives are out of control as a result of drugs, alcohol or some other destructive behavior pattern.". The study examines the described experiences of 13 WCM residents from the perspectives of two researchers: Cranton and DiClemente. Cranton's work explains change through adult learning, which can be transformative. DiClemente's work describes steps of change of becoming addicted and of recovering from addiction. At my request, the chaplain at WCM selected Men's Ministry residents willing to share their life experiences as part of this study. During three 90-minute interviews based on Seidman's interview model, 13 residents shared their experiences before WCM in the first interview, their experiences at WCM in the second interview, and reflections on the first two interviews in the third interview. The research questions that guided the study were (a)-How did the subjects in this faith-based addiction recovery program describe their own learning? and (b)-What were the subjects' perceptions of changes they experienced while in this faith-based addiction recovery program? Participants' descriptions resulted in four conclusions: Multiple formal activities affected each participant; informal learning occurred throughout the WCM facility; participants' descriptions of changes at WCM resulted in recognition of changes throughout their prior lives; there was no single description by participants of a change, or a motive for change, at WCM. Implications for future research include conducting longitudinal studies of this program's graduates, conducting studies with different participants to compare to this study, analyzing subsets of the data obtained, determining the indicated key programmatic elements, conducting studies about nonfaith-based residential substance addiction recovery programs to compare to this study. Implications for practice include seeking adult educator's advice about including adult learning principles in substance addiction recovery, using adult educators as instructors in substance addiction recovery, and co-ordinating all practice activities with research findings. The dissertation citations contained here are published with the permission of ProQuest LLC. Further reproduction is prohibited without permission. Copies of dissertations may be obtained by Telephone (800) 1-800-521-0600. Web page: http://www.proquest.com/en-US/products/dissertations/individuals.shtml.]</t>
  </si>
  <si>
    <t>Search the Mirlyn catalog at the University of Michigan ISBN: 978-1-3037-2018-5 Education Level: Adult Education; RP: Search the Mirlyn catalog at the University of Michigan ISBN: 978-1-3037-2018-5 Education Level: Adult Education; ID: 4566</t>
  </si>
  <si>
    <t>Web site: http://www.proquest.com/en-US/products/dissertations/individuals.shtml http://gateway.proquest.com/openurl?url_ver=Z39.88-2004&amp;rft_val_fmt=info:ofi/fmt:kev:mtx:dissertation&amp;res_dat=xri:pqm&amp;rft_dat=xri:pqdiss:3611362</t>
  </si>
  <si>
    <t>ED565964</t>
  </si>
  <si>
    <t>ERIC; OCLC; Learning as It Relates to Addiction Recovery: A Case Study of the Learning Experiences of Men in a Faith-Based Addiction Recovery Program</t>
  </si>
  <si>
    <t>Wamsley,Maria A.;Julian,Katherine A.;O'Sullivan,Patricia;Satterfield,Jason M.;Satre,Derek D.;McCance-Katz,Elinore;Batki,Steven L.</t>
  </si>
  <si>
    <t>Designing Standardized Patient Assessments to Measure SBIRT Skillsfor Residents: A Literature Review and Case Study</t>
  </si>
  <si>
    <t>Substance Abuse;Physicians;Screening Tests;Intervention;Referral;Internal Medicine;Curriculum;Satisfaction;Alcohol Abuse;Graduate Medical Education;Drug Abuse;Competence;Check Lists;Self Efficacy;Medical Students;Knowledge Level;Clinical Diagnosis;Surveys;Literature Reviews</t>
  </si>
  <si>
    <t>Objectives: Resident physicians report insufficient experience caring for patients with substance use disorders (SUDs). Resident training in Screening, Brief Intervention, and Referral to Treatment (SBIRT) has been recommended. We describe the development of a standardized patient (SP) assessment to measure SBIRT skills, resident perceptions of the exercise, and confidence in SBIRT skills. Methods: Fifteen Internal Medicine residents participated in the pre-curriculum SP assessment and 12 participated in the post-curriculum assessment. Results: Residents reported that</t>
  </si>
  <si>
    <t>FirstSearch indicates your institution subscribes to this publication. Libraries worldwide that own item: 1550 University of Michigan Library INDEPENDENT U-M LIBRARIES Search the Mirlyn catalog at the University of MichiganLocal Holdings Information: 1993-; 17-57; 1971/1972-2013; 58-; 2014- 20 pages Education Level: Higher Education; Postsecondary Education Article (EJ); ID: 4516</t>
  </si>
  <si>
    <t>American Alcohol and Drug Information Foundation. P.O. Box 10212, Lansing, MI 48901. Tel: 517-484-1770; Fax: 517-487-2474; e-mail: jadejournal@earthlink.net; Web site: http://www.jadejournal.com; http://jadejournal.com/journal_abstracts%201.htm</t>
  </si>
  <si>
    <t>EJ1014109</t>
  </si>
  <si>
    <t>ERIC; OCLC; Designing Standardized Patient Assessments to Measure SBIRT Skillsfor Residents: A Literature Review and Case Study</t>
  </si>
  <si>
    <t>Zeldow,Peter B.</t>
  </si>
  <si>
    <t>Masculinity, Femininity, and Psychosocial Adjustment in Medical Students: Two-Year Follow-Up</t>
  </si>
  <si>
    <t>Depression (Psychology);Drinking;Drug Abuse;Femininity;Followup Studies;Higher Education;Interpersonal Competence;Masculinity;Medical Education;Medical Students;Personality Traits;Predictor Variables;Self Esteem;Social Adjustment;Student Attitudes;Identifier: Substance Abuse;Alcohol Abuse</t>
  </si>
  <si>
    <t>Although research on masculinity and femininity has increased over the past decade, longitudinal studies addressing predictive elements are lacking. The Rush Medical College Longitudinal Study examines the correlation between masculinity and femininity on the one hand and adjustment, interpersonal functioning, and impairment on the other. During orientation, 67 male and 32 female first-year medical students completed the Personality Attributes Questionnaire and 21 months later also completed measures of psychological well-being, interpersonal functioning, humanistic attitudes toward patient care, and alcohol consumption. Hierarchical multiple regression analyses with interaction terms revealed main effects of masculinity on self-esteem, extroversion, and confidence, and main effects of femininity on hedonic capacity, interpersonal satisfaction, sharing of personal problems, and alcohol consumption. Measures of impaired mood and alcohol and drug impairment were also studied in relation to masculinity and femininity. Both variables contributed to the prediction of depressed mood; femininity also contributed to the prediction of drug impairment. Neither scale has sufficient sensitivity or specificity to be used by itself as a test of impairment. Further study is needed to measure the precise relationship among low femininity, low hedonic capacity, and high potential for substance abuse. (Six data tables are included.) (Author/TW)</t>
  </si>
  <si>
    <t>Connect to the Mirlyn catalog at the University of Michigan Audience: Researchers; Associated Inst: Chicago Community Trust, IL.; RP: Connect to the Mirlyn catalog at the University of Michigan Audience: Researchers; Associated Inst: Chicago Community Trust, IL.; ID: 4616</t>
  </si>
  <si>
    <t>ED262339</t>
  </si>
  <si>
    <t>ERIC; OCLC; Masculinity, Femininity, and Psychosocial Adjustment in Medical Students: Two-Year Follow-Up</t>
  </si>
</sst>
</file>

<file path=xl/styles.xml><?xml version="1.0" encoding="utf-8"?>
<styleSheet xmlns="http://schemas.openxmlformats.org/spreadsheetml/2006/main" xmlns:mc="http://schemas.openxmlformats.org/markup-compatibility/2006" xmlns:x14ac="http://schemas.microsoft.com/office/spreadsheetml/2009/9/ac" mc:Ignorable="x14ac">
  <fonts count="4" x14ac:knownFonts="1">
    <font>
      <sz val="12"/>
      <color theme="1"/>
      <name val="Calibri"/>
      <family val="2"/>
      <scheme val="minor"/>
    </font>
    <font>
      <sz val="12"/>
      <color rgb="FF000000"/>
      <name val="Calibri"/>
      <family val="2"/>
      <scheme val="minor"/>
    </font>
    <font>
      <u/>
      <sz val="12"/>
      <color theme="10"/>
      <name val="Calibri"/>
      <family val="2"/>
      <scheme val="minor"/>
    </font>
    <font>
      <u/>
      <sz val="12"/>
      <color theme="11"/>
      <name val="Calibri"/>
      <family val="2"/>
      <scheme val="minor"/>
    </font>
  </fonts>
  <fills count="2">
    <fill>
      <patternFill patternType="none"/>
    </fill>
    <fill>
      <patternFill patternType="gray125"/>
    </fill>
  </fills>
  <borders count="1">
    <border>
      <left/>
      <right/>
      <top/>
      <bottom/>
      <diagonal/>
    </border>
  </borders>
  <cellStyleXfs count="3">
    <xf numFmtId="0" fontId="0" fillId="0" borderId="0"/>
    <xf numFmtId="0" fontId="2" fillId="0" borderId="0" applyNumberFormat="0" applyFill="0" applyBorder="0" applyAlignment="0" applyProtection="0"/>
    <xf numFmtId="0" fontId="3" fillId="0" borderId="0" applyNumberFormat="0" applyFill="0" applyBorder="0" applyAlignment="0" applyProtection="0"/>
  </cellStyleXfs>
  <cellXfs count="10">
    <xf numFmtId="0" fontId="0" fillId="0" borderId="0" xfId="0"/>
    <xf numFmtId="16" fontId="0" fillId="0" borderId="0" xfId="0" applyNumberFormat="1"/>
    <xf numFmtId="17" fontId="0" fillId="0" borderId="0" xfId="0" applyNumberFormat="1"/>
    <xf numFmtId="11" fontId="0" fillId="0" borderId="0" xfId="0" applyNumberFormat="1"/>
    <xf numFmtId="0" fontId="1" fillId="0" borderId="0" xfId="0" applyFont="1"/>
    <xf numFmtId="17" fontId="1" fillId="0" borderId="0" xfId="0" applyNumberFormat="1" applyFont="1"/>
    <xf numFmtId="16" fontId="1" fillId="0" borderId="0" xfId="0" applyNumberFormat="1" applyFont="1"/>
    <xf numFmtId="46" fontId="1" fillId="0" borderId="0" xfId="0" applyNumberFormat="1" applyFont="1"/>
    <xf numFmtId="20" fontId="1" fillId="0" borderId="0" xfId="0" applyNumberFormat="1" applyFont="1"/>
    <xf numFmtId="11" fontId="1" fillId="0" borderId="0" xfId="0" applyNumberFormat="1" applyFont="1"/>
  </cellXfs>
  <cellStyles count="3">
    <cellStyle name="Followed Hyperlink" xfId="2" builtinId="9" hidden="1"/>
    <cellStyle name="Hyperlink" xfId="1" builtinId="8" hidden="1"/>
    <cellStyle name="Normal" xfId="0" builtinId="0"/>
  </cellStyles>
  <dxfs count="0"/>
  <tableStyles count="0" defaultTableStyle="TableStyleMedium9" defaultPivotStyle="PivotStyleMedium4"/>
</styleSheet>
</file>

<file path=xl/_rels/workbook.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tyles" Target="styles.xml"/><Relationship Id="rId5" Type="http://schemas.openxmlformats.org/officeDocument/2006/relationships/sharedStrings" Target="sharedStrings.xml"/><Relationship Id="rId1" Type="http://schemas.openxmlformats.org/officeDocument/2006/relationships/worksheet" Target="worksheets/sheet1.xml"/><Relationship Id="rId2" Type="http://schemas.openxmlformats.org/officeDocument/2006/relationships/worksheet" Target="worksheets/sheet2.xml"/></Relationships>
</file>

<file path=xl/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2:BF3181"/>
  <sheetViews>
    <sheetView tabSelected="1" workbookViewId="0">
      <selection activeCell="A3095" sqref="A3095:XFD3097"/>
    </sheetView>
  </sheetViews>
  <sheetFormatPr baseColWidth="10" defaultRowHeight="15" x14ac:dyDescent="0"/>
  <sheetData>
    <row r="2" spans="1:58">
      <c r="A2" t="s">
        <v>0</v>
      </c>
      <c r="B2" t="s">
        <v>1</v>
      </c>
      <c r="C2" t="s">
        <v>2</v>
      </c>
      <c r="D2" t="s">
        <v>3</v>
      </c>
      <c r="E2" t="s">
        <v>4</v>
      </c>
      <c r="F2" t="s">
        <v>5</v>
      </c>
      <c r="G2" t="s">
        <v>6</v>
      </c>
      <c r="H2" t="s">
        <v>7</v>
      </c>
      <c r="I2" t="s">
        <v>8</v>
      </c>
      <c r="J2" t="s">
        <v>9</v>
      </c>
      <c r="K2" t="s">
        <v>10</v>
      </c>
      <c r="L2" t="s">
        <v>11</v>
      </c>
      <c r="M2" t="s">
        <v>12</v>
      </c>
      <c r="N2" t="s">
        <v>13</v>
      </c>
      <c r="O2" t="s">
        <v>14</v>
      </c>
      <c r="P2" t="s">
        <v>15</v>
      </c>
      <c r="Q2" t="s">
        <v>16</v>
      </c>
      <c r="R2" t="s">
        <v>17</v>
      </c>
      <c r="S2" t="s">
        <v>18</v>
      </c>
      <c r="T2" t="s">
        <v>19</v>
      </c>
      <c r="U2" t="s">
        <v>20</v>
      </c>
      <c r="V2" t="s">
        <v>21</v>
      </c>
      <c r="W2" t="s">
        <v>22</v>
      </c>
      <c r="X2" t="s">
        <v>23</v>
      </c>
      <c r="Y2" t="s">
        <v>24</v>
      </c>
      <c r="Z2" t="s">
        <v>25</v>
      </c>
      <c r="AA2" t="s">
        <v>26</v>
      </c>
      <c r="AB2" t="s">
        <v>27</v>
      </c>
      <c r="AC2" t="s">
        <v>28</v>
      </c>
      <c r="AD2" t="s">
        <v>29</v>
      </c>
      <c r="AE2" t="s">
        <v>30</v>
      </c>
      <c r="AF2" t="s">
        <v>31</v>
      </c>
      <c r="AG2" t="s">
        <v>32</v>
      </c>
      <c r="AH2" t="s">
        <v>33</v>
      </c>
      <c r="AI2" t="s">
        <v>34</v>
      </c>
      <c r="AJ2" t="s">
        <v>35</v>
      </c>
      <c r="AK2" t="s">
        <v>36</v>
      </c>
      <c r="AL2" t="s">
        <v>37</v>
      </c>
      <c r="AM2" t="s">
        <v>38</v>
      </c>
      <c r="AN2" t="s">
        <v>39</v>
      </c>
      <c r="AO2" t="s">
        <v>40</v>
      </c>
      <c r="AP2" t="s">
        <v>41</v>
      </c>
      <c r="AQ2" t="s">
        <v>42</v>
      </c>
      <c r="AR2" t="s">
        <v>43</v>
      </c>
      <c r="AS2" t="s">
        <v>44</v>
      </c>
      <c r="AT2" t="s">
        <v>45</v>
      </c>
      <c r="AU2" t="s">
        <v>46</v>
      </c>
      <c r="AV2" t="s">
        <v>47</v>
      </c>
      <c r="AW2" t="s">
        <v>48</v>
      </c>
      <c r="AX2" t="s">
        <v>49</v>
      </c>
      <c r="AY2" t="s">
        <v>50</v>
      </c>
      <c r="AZ2" t="s">
        <v>51</v>
      </c>
      <c r="BA2" t="s">
        <v>52</v>
      </c>
      <c r="BB2" t="s">
        <v>53</v>
      </c>
      <c r="BC2" t="s">
        <v>54</v>
      </c>
      <c r="BD2" t="s">
        <v>55</v>
      </c>
      <c r="BE2" t="s">
        <v>56</v>
      </c>
      <c r="BF2" t="s">
        <v>57</v>
      </c>
    </row>
    <row r="4" spans="1:58">
      <c r="A4" t="s">
        <v>58</v>
      </c>
      <c r="C4" t="s">
        <v>59</v>
      </c>
      <c r="D4" t="s">
        <v>60</v>
      </c>
      <c r="E4" t="s">
        <v>61</v>
      </c>
      <c r="F4">
        <v>2016</v>
      </c>
      <c r="G4" s="1">
        <v>41804</v>
      </c>
      <c r="H4">
        <v>93</v>
      </c>
      <c r="I4">
        <v>12</v>
      </c>
      <c r="J4" t="s">
        <v>62</v>
      </c>
      <c r="K4" t="s">
        <v>63</v>
      </c>
      <c r="L4" t="s">
        <v>64</v>
      </c>
      <c r="M4" t="s">
        <v>63</v>
      </c>
      <c r="N4" t="s">
        <v>65</v>
      </c>
      <c r="O4" t="s">
        <v>63</v>
      </c>
      <c r="Q4" t="s">
        <v>63</v>
      </c>
      <c r="R4" t="s">
        <v>63</v>
      </c>
      <c r="S4" t="s">
        <v>63</v>
      </c>
      <c r="T4" t="s">
        <v>63</v>
      </c>
      <c r="X4" t="s">
        <v>63</v>
      </c>
      <c r="Y4" t="s">
        <v>66</v>
      </c>
      <c r="Z4" t="s">
        <v>63</v>
      </c>
      <c r="AA4" t="s">
        <v>63</v>
      </c>
      <c r="AB4">
        <v>27304780</v>
      </c>
      <c r="AC4" t="s">
        <v>67</v>
      </c>
      <c r="AD4" t="s">
        <v>63</v>
      </c>
      <c r="AE4" t="s">
        <v>63</v>
      </c>
      <c r="AF4" t="s">
        <v>63</v>
      </c>
      <c r="AG4" t="s">
        <v>68</v>
      </c>
      <c r="AH4" t="s">
        <v>63</v>
      </c>
      <c r="AI4" t="s">
        <v>63</v>
      </c>
      <c r="AJ4" t="s">
        <v>63</v>
      </c>
      <c r="AK4" t="s">
        <v>63</v>
      </c>
      <c r="AL4" t="s">
        <v>63</v>
      </c>
      <c r="AM4" t="s">
        <v>69</v>
      </c>
      <c r="AN4" t="s">
        <v>63</v>
      </c>
      <c r="AO4" t="s">
        <v>63</v>
      </c>
      <c r="AP4" t="s">
        <v>63</v>
      </c>
      <c r="AQ4" t="s">
        <v>63</v>
      </c>
      <c r="AR4" t="s">
        <v>63</v>
      </c>
      <c r="AS4" t="s">
        <v>63</v>
      </c>
      <c r="AT4" t="s">
        <v>63</v>
      </c>
      <c r="AU4" t="s">
        <v>63</v>
      </c>
      <c r="AV4" t="s">
        <v>63</v>
      </c>
      <c r="AW4" t="s">
        <v>63</v>
      </c>
      <c r="AX4" t="s">
        <v>63</v>
      </c>
      <c r="AY4" t="s">
        <v>63</v>
      </c>
      <c r="AZ4" t="s">
        <v>63</v>
      </c>
      <c r="BA4" t="s">
        <v>63</v>
      </c>
      <c r="BB4" t="s">
        <v>63</v>
      </c>
      <c r="BC4" t="s">
        <v>63</v>
      </c>
      <c r="BD4" t="s">
        <v>63</v>
      </c>
      <c r="BE4" t="s">
        <v>63</v>
      </c>
      <c r="BF4" t="s">
        <v>63</v>
      </c>
    </row>
    <row r="5" spans="1:58">
      <c r="A5" t="s">
        <v>58</v>
      </c>
      <c r="C5" t="s">
        <v>70</v>
      </c>
      <c r="D5" t="s">
        <v>71</v>
      </c>
      <c r="E5" t="s">
        <v>72</v>
      </c>
      <c r="F5">
        <v>2015</v>
      </c>
      <c r="G5" t="s">
        <v>73</v>
      </c>
      <c r="H5" t="s">
        <v>63</v>
      </c>
      <c r="I5">
        <v>426</v>
      </c>
      <c r="J5">
        <v>1</v>
      </c>
      <c r="K5">
        <v>15</v>
      </c>
      <c r="L5" t="s">
        <v>74</v>
      </c>
      <c r="M5" t="s">
        <v>63</v>
      </c>
      <c r="N5" t="s">
        <v>75</v>
      </c>
      <c r="O5" t="s">
        <v>63</v>
      </c>
      <c r="Q5" t="s">
        <v>63</v>
      </c>
      <c r="R5" t="s">
        <v>63</v>
      </c>
      <c r="S5" t="s">
        <v>63</v>
      </c>
      <c r="T5" t="s">
        <v>63</v>
      </c>
      <c r="X5" t="s">
        <v>63</v>
      </c>
      <c r="Y5" t="s">
        <v>63</v>
      </c>
      <c r="Z5" t="s">
        <v>63</v>
      </c>
      <c r="AA5" t="s">
        <v>63</v>
      </c>
      <c r="AB5">
        <v>27735173</v>
      </c>
      <c r="AC5" t="s">
        <v>67</v>
      </c>
      <c r="AD5" t="s">
        <v>63</v>
      </c>
      <c r="AE5" t="s">
        <v>63</v>
      </c>
      <c r="AF5" t="s">
        <v>63</v>
      </c>
      <c r="AG5" t="s">
        <v>76</v>
      </c>
      <c r="AH5" t="s">
        <v>63</v>
      </c>
      <c r="AI5" t="s">
        <v>63</v>
      </c>
      <c r="AJ5" t="s">
        <v>63</v>
      </c>
      <c r="AK5" t="s">
        <v>63</v>
      </c>
      <c r="AL5" t="s">
        <v>63</v>
      </c>
      <c r="AM5" t="s">
        <v>77</v>
      </c>
      <c r="AN5" t="s">
        <v>63</v>
      </c>
      <c r="AO5" t="s">
        <v>63</v>
      </c>
      <c r="AP5" t="s">
        <v>63</v>
      </c>
      <c r="AQ5" t="s">
        <v>63</v>
      </c>
      <c r="AR5" t="s">
        <v>63</v>
      </c>
      <c r="AS5" t="s">
        <v>63</v>
      </c>
      <c r="AT5" t="s">
        <v>63</v>
      </c>
      <c r="AU5" t="s">
        <v>63</v>
      </c>
      <c r="AV5" t="s">
        <v>63</v>
      </c>
      <c r="AW5" t="s">
        <v>63</v>
      </c>
      <c r="AX5" t="s">
        <v>63</v>
      </c>
      <c r="AY5" t="s">
        <v>63</v>
      </c>
      <c r="AZ5" t="s">
        <v>63</v>
      </c>
      <c r="BA5" t="s">
        <v>63</v>
      </c>
      <c r="BB5" t="s">
        <v>63</v>
      </c>
      <c r="BC5" t="s">
        <v>63</v>
      </c>
      <c r="BD5" t="s">
        <v>63</v>
      </c>
      <c r="BE5" t="s">
        <v>63</v>
      </c>
      <c r="BF5" t="s">
        <v>63</v>
      </c>
    </row>
    <row r="6" spans="1:58">
      <c r="A6" t="s">
        <v>58</v>
      </c>
      <c r="C6" t="s">
        <v>78</v>
      </c>
      <c r="D6" t="s">
        <v>60</v>
      </c>
      <c r="E6" t="s">
        <v>61</v>
      </c>
      <c r="F6">
        <v>2015</v>
      </c>
      <c r="G6" s="1">
        <v>41790</v>
      </c>
      <c r="H6">
        <v>91</v>
      </c>
      <c r="I6">
        <v>11</v>
      </c>
      <c r="J6">
        <v>752</v>
      </c>
      <c r="K6" t="s">
        <v>63</v>
      </c>
      <c r="L6" t="s">
        <v>79</v>
      </c>
      <c r="M6" t="s">
        <v>63</v>
      </c>
      <c r="N6" t="s">
        <v>80</v>
      </c>
      <c r="O6" t="s">
        <v>63</v>
      </c>
      <c r="Q6" t="s">
        <v>63</v>
      </c>
      <c r="R6" t="s">
        <v>63</v>
      </c>
      <c r="S6" t="s">
        <v>63</v>
      </c>
      <c r="T6" t="s">
        <v>63</v>
      </c>
      <c r="X6" t="s">
        <v>63</v>
      </c>
      <c r="Y6" t="s">
        <v>66</v>
      </c>
      <c r="Z6" t="s">
        <v>63</v>
      </c>
      <c r="AA6" t="s">
        <v>63</v>
      </c>
      <c r="AB6">
        <v>27489906</v>
      </c>
      <c r="AC6" t="s">
        <v>67</v>
      </c>
      <c r="AD6" t="s">
        <v>63</v>
      </c>
      <c r="AE6" t="s">
        <v>63</v>
      </c>
      <c r="AF6" t="s">
        <v>63</v>
      </c>
      <c r="AG6" t="s">
        <v>81</v>
      </c>
      <c r="AH6" t="s">
        <v>63</v>
      </c>
      <c r="AI6" t="s">
        <v>63</v>
      </c>
      <c r="AJ6" t="s">
        <v>63</v>
      </c>
      <c r="AK6" t="s">
        <v>63</v>
      </c>
      <c r="AL6" t="s">
        <v>63</v>
      </c>
      <c r="AM6" t="s">
        <v>82</v>
      </c>
      <c r="AN6" t="s">
        <v>63</v>
      </c>
      <c r="AO6" t="s">
        <v>63</v>
      </c>
      <c r="AP6" t="s">
        <v>63</v>
      </c>
      <c r="AQ6" t="s">
        <v>63</v>
      </c>
      <c r="AR6" t="s">
        <v>63</v>
      </c>
      <c r="AS6" t="s">
        <v>63</v>
      </c>
      <c r="AT6" t="s">
        <v>63</v>
      </c>
      <c r="AU6" t="s">
        <v>63</v>
      </c>
      <c r="AV6" t="s">
        <v>63</v>
      </c>
      <c r="AW6" t="s">
        <v>63</v>
      </c>
      <c r="AX6" t="s">
        <v>63</v>
      </c>
      <c r="AY6" t="s">
        <v>63</v>
      </c>
      <c r="AZ6" t="s">
        <v>63</v>
      </c>
      <c r="BA6" t="s">
        <v>63</v>
      </c>
      <c r="BB6" t="s">
        <v>63</v>
      </c>
      <c r="BC6" t="s">
        <v>63</v>
      </c>
      <c r="BD6" t="s">
        <v>63</v>
      </c>
      <c r="BE6" t="s">
        <v>63</v>
      </c>
      <c r="BF6" t="s">
        <v>63</v>
      </c>
    </row>
    <row r="7" spans="1:58">
      <c r="A7" t="s">
        <v>58</v>
      </c>
      <c r="C7" t="s">
        <v>83</v>
      </c>
      <c r="D7" t="s">
        <v>71</v>
      </c>
      <c r="E7" t="s">
        <v>72</v>
      </c>
      <c r="F7">
        <v>2011</v>
      </c>
      <c r="G7" t="s">
        <v>84</v>
      </c>
      <c r="H7" t="s">
        <v>63</v>
      </c>
      <c r="I7">
        <v>426</v>
      </c>
      <c r="J7">
        <v>1</v>
      </c>
      <c r="K7">
        <v>17</v>
      </c>
      <c r="L7" t="s">
        <v>85</v>
      </c>
      <c r="M7" t="s">
        <v>63</v>
      </c>
      <c r="N7" t="s">
        <v>86</v>
      </c>
      <c r="O7" t="s">
        <v>63</v>
      </c>
      <c r="Q7" t="s">
        <v>63</v>
      </c>
      <c r="R7" t="s">
        <v>63</v>
      </c>
      <c r="S7" t="s">
        <v>63</v>
      </c>
      <c r="T7" t="s">
        <v>63</v>
      </c>
      <c r="X7" t="s">
        <v>63</v>
      </c>
      <c r="Y7" t="s">
        <v>63</v>
      </c>
      <c r="Z7" t="s">
        <v>63</v>
      </c>
      <c r="AA7" t="s">
        <v>63</v>
      </c>
      <c r="AB7">
        <v>21696020</v>
      </c>
      <c r="AC7" t="s">
        <v>67</v>
      </c>
      <c r="AD7" t="s">
        <v>63</v>
      </c>
      <c r="AE7" t="s">
        <v>63</v>
      </c>
      <c r="AF7" t="s">
        <v>63</v>
      </c>
      <c r="AG7" t="s">
        <v>87</v>
      </c>
      <c r="AH7" t="s">
        <v>63</v>
      </c>
      <c r="AI7" t="s">
        <v>63</v>
      </c>
      <c r="AJ7" t="s">
        <v>63</v>
      </c>
      <c r="AK7" t="s">
        <v>63</v>
      </c>
      <c r="AL7" t="s">
        <v>63</v>
      </c>
      <c r="AM7" t="s">
        <v>88</v>
      </c>
      <c r="AN7" t="s">
        <v>63</v>
      </c>
      <c r="AO7" t="s">
        <v>63</v>
      </c>
      <c r="AP7" t="s">
        <v>63</v>
      </c>
      <c r="AQ7" t="s">
        <v>63</v>
      </c>
      <c r="AR7" t="s">
        <v>63</v>
      </c>
      <c r="AS7" t="s">
        <v>63</v>
      </c>
      <c r="AT7" t="s">
        <v>63</v>
      </c>
      <c r="AU7" t="s">
        <v>63</v>
      </c>
      <c r="AV7" t="s">
        <v>63</v>
      </c>
      <c r="AW7" t="s">
        <v>63</v>
      </c>
      <c r="AX7" t="s">
        <v>63</v>
      </c>
      <c r="AY7" t="s">
        <v>63</v>
      </c>
      <c r="AZ7" t="s">
        <v>63</v>
      </c>
      <c r="BA7" t="s">
        <v>63</v>
      </c>
      <c r="BB7" t="s">
        <v>63</v>
      </c>
      <c r="BC7" t="s">
        <v>63</v>
      </c>
      <c r="BD7" t="s">
        <v>63</v>
      </c>
      <c r="BE7" t="s">
        <v>63</v>
      </c>
      <c r="BF7" t="s">
        <v>63</v>
      </c>
    </row>
    <row r="8" spans="1:58">
      <c r="A8" t="s">
        <v>58</v>
      </c>
      <c r="C8" t="s">
        <v>89</v>
      </c>
      <c r="D8" t="s">
        <v>90</v>
      </c>
      <c r="E8" t="s">
        <v>63</v>
      </c>
      <c r="F8">
        <v>2005</v>
      </c>
      <c r="G8" t="s">
        <v>63</v>
      </c>
      <c r="H8">
        <v>24</v>
      </c>
      <c r="I8">
        <v>3</v>
      </c>
      <c r="J8">
        <v>153</v>
      </c>
      <c r="K8">
        <v>161</v>
      </c>
      <c r="L8" t="s">
        <v>91</v>
      </c>
      <c r="M8" t="s">
        <v>63</v>
      </c>
      <c r="N8" t="s">
        <v>92</v>
      </c>
      <c r="O8" t="s">
        <v>63</v>
      </c>
      <c r="Q8" t="s">
        <v>63</v>
      </c>
      <c r="R8" t="s">
        <v>63</v>
      </c>
      <c r="S8" t="s">
        <v>63</v>
      </c>
      <c r="T8" t="s">
        <v>63</v>
      </c>
      <c r="X8" t="s">
        <v>63</v>
      </c>
      <c r="Y8" t="s">
        <v>93</v>
      </c>
      <c r="Z8" t="s">
        <v>63</v>
      </c>
      <c r="AA8" t="s">
        <v>63</v>
      </c>
      <c r="AB8">
        <v>16186090</v>
      </c>
      <c r="AC8" t="s">
        <v>67</v>
      </c>
      <c r="AD8" t="s">
        <v>63</v>
      </c>
      <c r="AE8" t="s">
        <v>63</v>
      </c>
      <c r="AF8" t="s">
        <v>63</v>
      </c>
      <c r="AG8" t="s">
        <v>94</v>
      </c>
      <c r="AH8" t="s">
        <v>63</v>
      </c>
      <c r="AI8" t="s">
        <v>63</v>
      </c>
      <c r="AJ8" t="s">
        <v>63</v>
      </c>
      <c r="AK8" t="s">
        <v>63</v>
      </c>
      <c r="AL8" t="s">
        <v>63</v>
      </c>
      <c r="AM8" t="s">
        <v>95</v>
      </c>
      <c r="AN8" t="s">
        <v>63</v>
      </c>
      <c r="AO8" t="s">
        <v>63</v>
      </c>
      <c r="AP8" t="s">
        <v>63</v>
      </c>
      <c r="AQ8" t="s">
        <v>63</v>
      </c>
      <c r="AR8" t="s">
        <v>63</v>
      </c>
      <c r="AS8" t="s">
        <v>63</v>
      </c>
      <c r="AT8" t="s">
        <v>63</v>
      </c>
      <c r="AU8" t="s">
        <v>63</v>
      </c>
      <c r="AV8" t="s">
        <v>63</v>
      </c>
      <c r="AW8" t="s">
        <v>63</v>
      </c>
      <c r="AX8" t="s">
        <v>63</v>
      </c>
      <c r="AY8" t="s">
        <v>63</v>
      </c>
      <c r="AZ8" t="s">
        <v>63</v>
      </c>
      <c r="BA8" t="s">
        <v>63</v>
      </c>
      <c r="BB8" t="s">
        <v>63</v>
      </c>
      <c r="BC8" t="s">
        <v>63</v>
      </c>
      <c r="BD8" t="s">
        <v>63</v>
      </c>
      <c r="BE8" t="s">
        <v>63</v>
      </c>
      <c r="BF8" t="s">
        <v>63</v>
      </c>
    </row>
    <row r="9" spans="1:58">
      <c r="A9" t="s">
        <v>58</v>
      </c>
      <c r="C9" t="s">
        <v>96</v>
      </c>
      <c r="D9" t="s">
        <v>97</v>
      </c>
      <c r="E9" t="s">
        <v>98</v>
      </c>
      <c r="F9">
        <v>2005</v>
      </c>
      <c r="G9" t="s">
        <v>63</v>
      </c>
      <c r="H9">
        <v>43</v>
      </c>
      <c r="I9" s="1">
        <v>41829</v>
      </c>
      <c r="J9">
        <v>248</v>
      </c>
      <c r="K9" t="s">
        <v>63</v>
      </c>
      <c r="L9" t="s">
        <v>99</v>
      </c>
      <c r="M9" t="s">
        <v>63</v>
      </c>
      <c r="N9" t="s">
        <v>100</v>
      </c>
      <c r="O9" t="s">
        <v>63</v>
      </c>
      <c r="Q9" t="s">
        <v>63</v>
      </c>
      <c r="R9" t="s">
        <v>63</v>
      </c>
      <c r="S9" t="s">
        <v>63</v>
      </c>
      <c r="T9" t="s">
        <v>63</v>
      </c>
      <c r="X9" t="s">
        <v>63</v>
      </c>
      <c r="Y9" t="s">
        <v>101</v>
      </c>
      <c r="Z9" t="s">
        <v>63</v>
      </c>
      <c r="AA9" t="s">
        <v>63</v>
      </c>
      <c r="AB9">
        <v>16515317</v>
      </c>
      <c r="AC9" t="s">
        <v>102</v>
      </c>
      <c r="AD9" t="s">
        <v>63</v>
      </c>
      <c r="AE9" t="s">
        <v>63</v>
      </c>
      <c r="AF9" t="s">
        <v>63</v>
      </c>
      <c r="AG9" t="s">
        <v>103</v>
      </c>
      <c r="AH9" t="s">
        <v>63</v>
      </c>
      <c r="AI9" t="s">
        <v>63</v>
      </c>
      <c r="AJ9" t="s">
        <v>63</v>
      </c>
      <c r="AK9" t="s">
        <v>63</v>
      </c>
      <c r="AL9" t="s">
        <v>63</v>
      </c>
      <c r="AM9" t="s">
        <v>104</v>
      </c>
      <c r="AN9" t="s">
        <v>63</v>
      </c>
      <c r="AO9" t="s">
        <v>63</v>
      </c>
      <c r="AP9" t="s">
        <v>63</v>
      </c>
      <c r="AQ9" t="s">
        <v>63</v>
      </c>
      <c r="AR9" t="s">
        <v>63</v>
      </c>
      <c r="AS9" t="s">
        <v>63</v>
      </c>
      <c r="AT9" t="s">
        <v>63</v>
      </c>
      <c r="AU9" t="s">
        <v>63</v>
      </c>
      <c r="AV9" t="s">
        <v>63</v>
      </c>
      <c r="AW9" t="s">
        <v>63</v>
      </c>
      <c r="AX9" t="s">
        <v>63</v>
      </c>
      <c r="AY9" t="s">
        <v>63</v>
      </c>
      <c r="AZ9" t="s">
        <v>63</v>
      </c>
      <c r="BA9" t="s">
        <v>63</v>
      </c>
      <c r="BB9" t="s">
        <v>63</v>
      </c>
      <c r="BC9" t="s">
        <v>63</v>
      </c>
      <c r="BD9" t="s">
        <v>63</v>
      </c>
      <c r="BE9" t="s">
        <v>63</v>
      </c>
      <c r="BF9" t="s">
        <v>63</v>
      </c>
    </row>
    <row r="10" spans="1:58">
      <c r="A10" t="s">
        <v>58</v>
      </c>
      <c r="C10" t="s">
        <v>105</v>
      </c>
      <c r="D10" t="s">
        <v>71</v>
      </c>
      <c r="E10" t="s">
        <v>72</v>
      </c>
      <c r="F10">
        <v>2004</v>
      </c>
      <c r="G10" t="s">
        <v>84</v>
      </c>
      <c r="H10" t="s">
        <v>63</v>
      </c>
      <c r="I10">
        <v>123</v>
      </c>
      <c r="J10">
        <v>1</v>
      </c>
      <c r="K10">
        <v>8</v>
      </c>
      <c r="L10" t="s">
        <v>106</v>
      </c>
      <c r="M10" t="s">
        <v>63</v>
      </c>
      <c r="N10" t="s">
        <v>107</v>
      </c>
      <c r="O10" t="s">
        <v>63</v>
      </c>
      <c r="Q10" t="s">
        <v>63</v>
      </c>
      <c r="R10" t="s">
        <v>63</v>
      </c>
      <c r="S10" t="s">
        <v>63</v>
      </c>
      <c r="T10" t="s">
        <v>63</v>
      </c>
      <c r="X10" t="s">
        <v>63</v>
      </c>
      <c r="Y10" t="s">
        <v>63</v>
      </c>
      <c r="Z10" t="s">
        <v>63</v>
      </c>
      <c r="AA10" t="s">
        <v>63</v>
      </c>
      <c r="AB10">
        <v>15061141</v>
      </c>
      <c r="AC10" t="s">
        <v>67</v>
      </c>
      <c r="AD10" t="s">
        <v>63</v>
      </c>
      <c r="AE10" t="s">
        <v>63</v>
      </c>
      <c r="AF10" t="s">
        <v>63</v>
      </c>
      <c r="AG10" t="s">
        <v>108</v>
      </c>
      <c r="AH10" t="s">
        <v>63</v>
      </c>
      <c r="AI10" t="s">
        <v>63</v>
      </c>
      <c r="AJ10" t="s">
        <v>63</v>
      </c>
      <c r="AK10" t="s">
        <v>63</v>
      </c>
      <c r="AL10" t="s">
        <v>63</v>
      </c>
      <c r="AM10" t="s">
        <v>109</v>
      </c>
      <c r="AN10" t="s">
        <v>63</v>
      </c>
      <c r="AO10" t="s">
        <v>63</v>
      </c>
      <c r="AP10" t="s">
        <v>63</v>
      </c>
      <c r="AQ10" t="s">
        <v>63</v>
      </c>
      <c r="AR10" t="s">
        <v>63</v>
      </c>
      <c r="AS10" t="s">
        <v>63</v>
      </c>
      <c r="AT10" t="s">
        <v>63</v>
      </c>
      <c r="AU10" t="s">
        <v>63</v>
      </c>
      <c r="AV10" t="s">
        <v>63</v>
      </c>
      <c r="AW10" t="s">
        <v>63</v>
      </c>
      <c r="AX10" t="s">
        <v>63</v>
      </c>
      <c r="AY10" t="s">
        <v>63</v>
      </c>
      <c r="AZ10" t="s">
        <v>63</v>
      </c>
      <c r="BA10" t="s">
        <v>63</v>
      </c>
      <c r="BB10" t="s">
        <v>63</v>
      </c>
      <c r="BC10" t="s">
        <v>63</v>
      </c>
      <c r="BD10" t="s">
        <v>63</v>
      </c>
      <c r="BE10" t="s">
        <v>63</v>
      </c>
      <c r="BF10" t="s">
        <v>63</v>
      </c>
    </row>
    <row r="11" spans="1:58">
      <c r="A11" t="s">
        <v>58</v>
      </c>
      <c r="C11" t="s">
        <v>110</v>
      </c>
      <c r="D11" t="s">
        <v>111</v>
      </c>
      <c r="E11" t="s">
        <v>112</v>
      </c>
      <c r="F11">
        <v>2002</v>
      </c>
      <c r="G11" s="1">
        <v>41716</v>
      </c>
      <c r="H11">
        <v>136</v>
      </c>
      <c r="I11">
        <v>6</v>
      </c>
      <c r="J11" t="s">
        <v>113</v>
      </c>
      <c r="K11" t="s">
        <v>63</v>
      </c>
      <c r="L11" t="s">
        <v>114</v>
      </c>
      <c r="M11" t="s">
        <v>63</v>
      </c>
      <c r="N11" t="s">
        <v>115</v>
      </c>
      <c r="O11" t="s">
        <v>63</v>
      </c>
      <c r="Q11" t="s">
        <v>63</v>
      </c>
      <c r="R11" t="s">
        <v>63</v>
      </c>
      <c r="S11" t="s">
        <v>63</v>
      </c>
      <c r="T11" t="s">
        <v>63</v>
      </c>
      <c r="X11" t="s">
        <v>63</v>
      </c>
      <c r="Y11" t="s">
        <v>116</v>
      </c>
      <c r="Z11" t="s">
        <v>63</v>
      </c>
      <c r="AA11" t="s">
        <v>63</v>
      </c>
      <c r="AB11">
        <v>11900514</v>
      </c>
      <c r="AC11" t="s">
        <v>67</v>
      </c>
      <c r="AD11" t="s">
        <v>63</v>
      </c>
      <c r="AE11" t="s">
        <v>63</v>
      </c>
      <c r="AF11" t="s">
        <v>63</v>
      </c>
      <c r="AG11" t="s">
        <v>117</v>
      </c>
      <c r="AH11" t="s">
        <v>63</v>
      </c>
      <c r="AI11" t="s">
        <v>63</v>
      </c>
      <c r="AJ11" t="s">
        <v>63</v>
      </c>
      <c r="AK11" t="s">
        <v>63</v>
      </c>
      <c r="AL11" t="s">
        <v>63</v>
      </c>
      <c r="AM11" t="s">
        <v>118</v>
      </c>
      <c r="AN11" t="s">
        <v>63</v>
      </c>
      <c r="AO11" t="s">
        <v>63</v>
      </c>
      <c r="AP11" t="s">
        <v>63</v>
      </c>
      <c r="AQ11" t="s">
        <v>63</v>
      </c>
      <c r="AR11" t="s">
        <v>63</v>
      </c>
      <c r="AS11" t="s">
        <v>63</v>
      </c>
      <c r="AT11" t="s">
        <v>63</v>
      </c>
      <c r="AU11" t="s">
        <v>63</v>
      </c>
      <c r="AV11" t="s">
        <v>63</v>
      </c>
      <c r="AW11" t="s">
        <v>63</v>
      </c>
      <c r="AX11" t="s">
        <v>63</v>
      </c>
      <c r="AY11" t="s">
        <v>63</v>
      </c>
      <c r="AZ11" t="s">
        <v>63</v>
      </c>
      <c r="BA11" t="s">
        <v>63</v>
      </c>
      <c r="BB11" t="s">
        <v>63</v>
      </c>
      <c r="BC11" t="s">
        <v>63</v>
      </c>
      <c r="BD11" t="s">
        <v>63</v>
      </c>
      <c r="BE11" t="s">
        <v>63</v>
      </c>
      <c r="BF11" t="s">
        <v>63</v>
      </c>
    </row>
    <row r="12" spans="1:58">
      <c r="A12" t="s">
        <v>58</v>
      </c>
      <c r="C12" t="s">
        <v>119</v>
      </c>
      <c r="D12" t="s">
        <v>120</v>
      </c>
      <c r="E12" t="s">
        <v>121</v>
      </c>
      <c r="F12">
        <v>1999</v>
      </c>
      <c r="G12" s="1">
        <v>41751</v>
      </c>
      <c r="H12">
        <v>64</v>
      </c>
      <c r="I12">
        <v>78</v>
      </c>
      <c r="J12">
        <v>20009</v>
      </c>
      <c r="K12">
        <v>20010</v>
      </c>
      <c r="L12" t="s">
        <v>122</v>
      </c>
      <c r="M12" t="s">
        <v>123</v>
      </c>
      <c r="N12" t="s">
        <v>124</v>
      </c>
      <c r="O12" t="s">
        <v>63</v>
      </c>
      <c r="Q12" t="s">
        <v>63</v>
      </c>
      <c r="R12" t="s">
        <v>63</v>
      </c>
      <c r="S12" t="s">
        <v>63</v>
      </c>
      <c r="T12" t="s">
        <v>63</v>
      </c>
      <c r="X12" t="s">
        <v>63</v>
      </c>
      <c r="Y12" t="s">
        <v>125</v>
      </c>
      <c r="Z12" t="s">
        <v>63</v>
      </c>
      <c r="AA12" t="s">
        <v>63</v>
      </c>
      <c r="AB12">
        <v>10558480</v>
      </c>
      <c r="AC12" t="s">
        <v>67</v>
      </c>
      <c r="AD12" t="s">
        <v>63</v>
      </c>
      <c r="AE12" t="s">
        <v>63</v>
      </c>
      <c r="AF12" t="s">
        <v>63</v>
      </c>
      <c r="AG12" t="s">
        <v>126</v>
      </c>
      <c r="AH12" t="s">
        <v>63</v>
      </c>
      <c r="AI12" t="s">
        <v>63</v>
      </c>
      <c r="AJ12" t="s">
        <v>63</v>
      </c>
      <c r="AK12" t="s">
        <v>63</v>
      </c>
      <c r="AL12" t="s">
        <v>63</v>
      </c>
      <c r="AM12" t="s">
        <v>127</v>
      </c>
      <c r="AN12" t="s">
        <v>63</v>
      </c>
      <c r="AO12" t="s">
        <v>63</v>
      </c>
      <c r="AP12" t="s">
        <v>63</v>
      </c>
      <c r="AQ12" t="s">
        <v>63</v>
      </c>
      <c r="AR12" t="s">
        <v>63</v>
      </c>
      <c r="AS12" t="s">
        <v>63</v>
      </c>
      <c r="AT12" t="s">
        <v>63</v>
      </c>
      <c r="AU12" t="s">
        <v>63</v>
      </c>
      <c r="AV12" t="s">
        <v>63</v>
      </c>
      <c r="AW12" t="s">
        <v>63</v>
      </c>
      <c r="AX12" t="s">
        <v>63</v>
      </c>
      <c r="AY12" t="s">
        <v>63</v>
      </c>
      <c r="AZ12" t="s">
        <v>63</v>
      </c>
      <c r="BA12" t="s">
        <v>63</v>
      </c>
      <c r="BB12" t="s">
        <v>63</v>
      </c>
      <c r="BC12" t="s">
        <v>63</v>
      </c>
      <c r="BD12" t="s">
        <v>63</v>
      </c>
      <c r="BE12" t="s">
        <v>63</v>
      </c>
      <c r="BF12" t="s">
        <v>63</v>
      </c>
    </row>
    <row r="13" spans="1:58">
      <c r="A13" t="s">
        <v>58</v>
      </c>
      <c r="C13" t="s">
        <v>128</v>
      </c>
      <c r="D13" t="s">
        <v>129</v>
      </c>
      <c r="E13" t="s">
        <v>130</v>
      </c>
      <c r="F13">
        <v>1998</v>
      </c>
      <c r="G13" t="s">
        <v>63</v>
      </c>
      <c r="H13" t="s">
        <v>63</v>
      </c>
      <c r="I13">
        <v>142</v>
      </c>
      <c r="J13">
        <v>125</v>
      </c>
      <c r="K13">
        <v>136</v>
      </c>
      <c r="L13" t="s">
        <v>131</v>
      </c>
      <c r="M13" t="s">
        <v>63</v>
      </c>
      <c r="N13" t="s">
        <v>132</v>
      </c>
      <c r="O13" t="s">
        <v>63</v>
      </c>
      <c r="Q13" t="s">
        <v>63</v>
      </c>
      <c r="R13" t="s">
        <v>63</v>
      </c>
      <c r="S13" t="s">
        <v>63</v>
      </c>
      <c r="T13" t="s">
        <v>63</v>
      </c>
      <c r="X13" t="s">
        <v>63</v>
      </c>
      <c r="Y13" t="s">
        <v>133</v>
      </c>
      <c r="Z13" t="s">
        <v>63</v>
      </c>
      <c r="AA13" t="s">
        <v>63</v>
      </c>
      <c r="AB13">
        <v>9890153</v>
      </c>
      <c r="AC13" t="s">
        <v>67</v>
      </c>
      <c r="AD13" t="s">
        <v>63</v>
      </c>
      <c r="AE13" t="s">
        <v>63</v>
      </c>
      <c r="AF13" t="s">
        <v>63</v>
      </c>
      <c r="AG13" t="s">
        <v>134</v>
      </c>
      <c r="AH13" t="s">
        <v>63</v>
      </c>
      <c r="AI13" t="s">
        <v>63</v>
      </c>
      <c r="AJ13" t="s">
        <v>63</v>
      </c>
      <c r="AK13" t="s">
        <v>63</v>
      </c>
      <c r="AL13" t="s">
        <v>63</v>
      </c>
      <c r="AM13" t="s">
        <v>135</v>
      </c>
      <c r="AN13" t="s">
        <v>63</v>
      </c>
      <c r="AO13" t="s">
        <v>63</v>
      </c>
      <c r="AP13" t="s">
        <v>63</v>
      </c>
      <c r="AQ13" t="s">
        <v>63</v>
      </c>
      <c r="AR13" t="s">
        <v>63</v>
      </c>
      <c r="AS13" t="s">
        <v>63</v>
      </c>
      <c r="AT13" t="s">
        <v>63</v>
      </c>
      <c r="AU13" t="s">
        <v>63</v>
      </c>
      <c r="AV13" t="s">
        <v>63</v>
      </c>
      <c r="AW13" t="s">
        <v>63</v>
      </c>
      <c r="AX13" t="s">
        <v>63</v>
      </c>
      <c r="AY13" t="s">
        <v>63</v>
      </c>
      <c r="AZ13" t="s">
        <v>63</v>
      </c>
      <c r="BA13" t="s">
        <v>63</v>
      </c>
      <c r="BB13" t="s">
        <v>63</v>
      </c>
      <c r="BC13" t="s">
        <v>63</v>
      </c>
      <c r="BD13" t="s">
        <v>63</v>
      </c>
      <c r="BE13" t="s">
        <v>63</v>
      </c>
      <c r="BF13" t="s">
        <v>63</v>
      </c>
    </row>
    <row r="14" spans="1:58">
      <c r="A14" t="s">
        <v>58</v>
      </c>
      <c r="C14" t="s">
        <v>136</v>
      </c>
      <c r="D14" t="s">
        <v>137</v>
      </c>
      <c r="E14" t="s">
        <v>63</v>
      </c>
      <c r="F14">
        <v>1998</v>
      </c>
      <c r="G14" t="s">
        <v>138</v>
      </c>
      <c r="H14">
        <v>44</v>
      </c>
      <c r="I14" t="s">
        <v>63</v>
      </c>
      <c r="J14">
        <v>2188</v>
      </c>
      <c r="K14" t="s">
        <v>63</v>
      </c>
      <c r="L14" t="s">
        <v>139</v>
      </c>
      <c r="M14" t="s">
        <v>63</v>
      </c>
      <c r="N14" t="s">
        <v>140</v>
      </c>
      <c r="O14" t="s">
        <v>63</v>
      </c>
      <c r="Q14" t="s">
        <v>63</v>
      </c>
      <c r="R14" t="s">
        <v>63</v>
      </c>
      <c r="S14" t="s">
        <v>63</v>
      </c>
      <c r="T14" t="s">
        <v>63</v>
      </c>
      <c r="X14" t="s">
        <v>63</v>
      </c>
      <c r="Y14" t="s">
        <v>141</v>
      </c>
      <c r="Z14" t="s">
        <v>63</v>
      </c>
      <c r="AA14" t="s">
        <v>63</v>
      </c>
      <c r="AB14">
        <v>9805174</v>
      </c>
      <c r="AC14" t="s">
        <v>67</v>
      </c>
      <c r="AD14" t="s">
        <v>63</v>
      </c>
      <c r="AE14" t="s">
        <v>63</v>
      </c>
      <c r="AF14" t="s">
        <v>63</v>
      </c>
      <c r="AG14" t="s">
        <v>142</v>
      </c>
      <c r="AH14" t="s">
        <v>63</v>
      </c>
      <c r="AI14" t="s">
        <v>63</v>
      </c>
      <c r="AJ14" t="s">
        <v>63</v>
      </c>
      <c r="AK14" t="s">
        <v>63</v>
      </c>
      <c r="AL14" t="s">
        <v>63</v>
      </c>
      <c r="AM14" t="s">
        <v>143</v>
      </c>
      <c r="AN14" t="s">
        <v>63</v>
      </c>
      <c r="AO14" t="s">
        <v>63</v>
      </c>
      <c r="AP14" t="s">
        <v>63</v>
      </c>
      <c r="AQ14" t="s">
        <v>63</v>
      </c>
      <c r="AR14" t="s">
        <v>63</v>
      </c>
      <c r="AS14" t="s">
        <v>63</v>
      </c>
      <c r="AT14" t="s">
        <v>63</v>
      </c>
      <c r="AU14" t="s">
        <v>63</v>
      </c>
      <c r="AV14" t="s">
        <v>63</v>
      </c>
      <c r="AW14" t="s">
        <v>63</v>
      </c>
      <c r="AX14" t="s">
        <v>63</v>
      </c>
      <c r="AY14" t="s">
        <v>63</v>
      </c>
      <c r="AZ14" t="s">
        <v>63</v>
      </c>
      <c r="BA14" t="s">
        <v>63</v>
      </c>
      <c r="BB14" t="s">
        <v>63</v>
      </c>
      <c r="BC14" t="s">
        <v>63</v>
      </c>
      <c r="BD14" t="s">
        <v>63</v>
      </c>
      <c r="BE14" t="s">
        <v>63</v>
      </c>
      <c r="BF14" t="s">
        <v>63</v>
      </c>
    </row>
    <row r="15" spans="1:58">
      <c r="A15" t="s">
        <v>58</v>
      </c>
      <c r="C15" t="s">
        <v>144</v>
      </c>
      <c r="D15" t="s">
        <v>145</v>
      </c>
      <c r="E15" t="s">
        <v>146</v>
      </c>
      <c r="F15">
        <v>1998</v>
      </c>
      <c r="G15" t="s">
        <v>147</v>
      </c>
      <c r="H15">
        <v>69</v>
      </c>
      <c r="I15">
        <v>4</v>
      </c>
      <c r="J15">
        <v>343</v>
      </c>
      <c r="K15">
        <v>350</v>
      </c>
      <c r="L15" t="s">
        <v>148</v>
      </c>
      <c r="M15" t="s">
        <v>149</v>
      </c>
      <c r="N15" t="s">
        <v>150</v>
      </c>
      <c r="O15" t="s">
        <v>63</v>
      </c>
      <c r="Q15" t="s">
        <v>63</v>
      </c>
      <c r="R15" t="s">
        <v>63</v>
      </c>
      <c r="S15" t="s">
        <v>63</v>
      </c>
      <c r="T15" t="s">
        <v>63</v>
      </c>
      <c r="X15" t="s">
        <v>63</v>
      </c>
      <c r="Y15" t="s">
        <v>151</v>
      </c>
      <c r="Z15" t="s">
        <v>63</v>
      </c>
      <c r="AA15" t="s">
        <v>63</v>
      </c>
      <c r="AB15">
        <v>9549764</v>
      </c>
      <c r="AC15" t="s">
        <v>67</v>
      </c>
      <c r="AD15" t="s">
        <v>63</v>
      </c>
      <c r="AE15" t="s">
        <v>63</v>
      </c>
      <c r="AF15" t="s">
        <v>63</v>
      </c>
      <c r="AG15" t="s">
        <v>152</v>
      </c>
      <c r="AH15" t="s">
        <v>63</v>
      </c>
      <c r="AI15" t="s">
        <v>63</v>
      </c>
      <c r="AJ15" t="s">
        <v>63</v>
      </c>
      <c r="AK15" t="s">
        <v>63</v>
      </c>
      <c r="AL15" t="s">
        <v>63</v>
      </c>
      <c r="AM15" t="s">
        <v>153</v>
      </c>
      <c r="AN15" t="s">
        <v>63</v>
      </c>
      <c r="AO15" t="s">
        <v>63</v>
      </c>
      <c r="AP15" t="s">
        <v>63</v>
      </c>
      <c r="AQ15" t="s">
        <v>63</v>
      </c>
      <c r="AR15" t="s">
        <v>63</v>
      </c>
      <c r="AS15" t="s">
        <v>63</v>
      </c>
      <c r="AT15" t="s">
        <v>63</v>
      </c>
      <c r="AU15" t="s">
        <v>63</v>
      </c>
      <c r="AV15" t="s">
        <v>63</v>
      </c>
      <c r="AW15" t="s">
        <v>63</v>
      </c>
      <c r="AX15" t="s">
        <v>63</v>
      </c>
      <c r="AY15" t="s">
        <v>63</v>
      </c>
      <c r="AZ15" t="s">
        <v>63</v>
      </c>
      <c r="BA15" t="s">
        <v>63</v>
      </c>
      <c r="BB15" t="s">
        <v>63</v>
      </c>
      <c r="BC15" t="s">
        <v>63</v>
      </c>
      <c r="BD15" t="s">
        <v>63</v>
      </c>
      <c r="BE15" t="s">
        <v>63</v>
      </c>
      <c r="BF15" t="s">
        <v>63</v>
      </c>
    </row>
    <row r="16" spans="1:58">
      <c r="A16" t="s">
        <v>58</v>
      </c>
      <c r="C16" t="s">
        <v>154</v>
      </c>
      <c r="D16" t="s">
        <v>155</v>
      </c>
      <c r="E16" t="s">
        <v>156</v>
      </c>
      <c r="F16">
        <v>1997</v>
      </c>
      <c r="G16" t="s">
        <v>157</v>
      </c>
      <c r="H16">
        <v>30</v>
      </c>
      <c r="I16">
        <v>6</v>
      </c>
      <c r="J16">
        <v>819</v>
      </c>
      <c r="K16">
        <v>820</v>
      </c>
      <c r="L16" t="s">
        <v>158</v>
      </c>
      <c r="M16" t="s">
        <v>63</v>
      </c>
      <c r="N16" t="s">
        <v>159</v>
      </c>
      <c r="O16" t="s">
        <v>63</v>
      </c>
      <c r="Q16" t="s">
        <v>63</v>
      </c>
      <c r="R16" t="s">
        <v>63</v>
      </c>
      <c r="S16" t="s">
        <v>63</v>
      </c>
      <c r="T16" t="s">
        <v>63</v>
      </c>
      <c r="X16" t="s">
        <v>63</v>
      </c>
      <c r="Y16" t="s">
        <v>160</v>
      </c>
      <c r="Z16" t="s">
        <v>63</v>
      </c>
      <c r="AA16" t="s">
        <v>63</v>
      </c>
      <c r="AB16">
        <v>9398783</v>
      </c>
      <c r="AC16" t="s">
        <v>67</v>
      </c>
      <c r="AD16" t="s">
        <v>63</v>
      </c>
      <c r="AE16" t="s">
        <v>63</v>
      </c>
      <c r="AF16" t="s">
        <v>63</v>
      </c>
      <c r="AG16" t="s">
        <v>161</v>
      </c>
      <c r="AH16" t="s">
        <v>63</v>
      </c>
      <c r="AI16" t="s">
        <v>63</v>
      </c>
      <c r="AJ16" t="s">
        <v>63</v>
      </c>
      <c r="AK16" t="s">
        <v>63</v>
      </c>
      <c r="AL16" t="s">
        <v>63</v>
      </c>
      <c r="AM16" t="s">
        <v>162</v>
      </c>
      <c r="AN16" t="s">
        <v>63</v>
      </c>
      <c r="AO16" t="s">
        <v>63</v>
      </c>
      <c r="AP16" t="s">
        <v>63</v>
      </c>
      <c r="AQ16" t="s">
        <v>63</v>
      </c>
      <c r="AR16" t="s">
        <v>63</v>
      </c>
      <c r="AS16" t="s">
        <v>63</v>
      </c>
      <c r="AT16" t="s">
        <v>63</v>
      </c>
      <c r="AU16" t="s">
        <v>63</v>
      </c>
      <c r="AV16" t="s">
        <v>63</v>
      </c>
      <c r="AW16" t="s">
        <v>63</v>
      </c>
      <c r="AX16" t="s">
        <v>63</v>
      </c>
      <c r="AY16" t="s">
        <v>63</v>
      </c>
      <c r="AZ16" t="s">
        <v>63</v>
      </c>
      <c r="BA16" t="s">
        <v>63</v>
      </c>
      <c r="BB16" t="s">
        <v>63</v>
      </c>
      <c r="BC16" t="s">
        <v>63</v>
      </c>
      <c r="BD16" t="s">
        <v>63</v>
      </c>
      <c r="BE16" t="s">
        <v>63</v>
      </c>
      <c r="BF16" t="s">
        <v>63</v>
      </c>
    </row>
    <row r="17" spans="1:58">
      <c r="A17" t="s">
        <v>58</v>
      </c>
      <c r="C17" t="s">
        <v>163</v>
      </c>
      <c r="D17" t="s">
        <v>164</v>
      </c>
      <c r="E17" t="s">
        <v>165</v>
      </c>
      <c r="F17">
        <v>1996</v>
      </c>
      <c r="G17" t="s">
        <v>73</v>
      </c>
      <c r="H17">
        <v>153</v>
      </c>
      <c r="I17">
        <v>6</v>
      </c>
      <c r="J17">
        <v>852</v>
      </c>
      <c r="K17">
        <v>853</v>
      </c>
      <c r="L17" t="s">
        <v>166</v>
      </c>
      <c r="M17" t="s">
        <v>167</v>
      </c>
      <c r="N17" t="s">
        <v>168</v>
      </c>
      <c r="O17" t="s">
        <v>63</v>
      </c>
      <c r="Q17" t="s">
        <v>63</v>
      </c>
      <c r="R17" t="s">
        <v>63</v>
      </c>
      <c r="S17" t="s">
        <v>63</v>
      </c>
      <c r="T17" t="s">
        <v>63</v>
      </c>
      <c r="X17" t="s">
        <v>63</v>
      </c>
      <c r="Y17" t="s">
        <v>169</v>
      </c>
      <c r="Z17" t="s">
        <v>63</v>
      </c>
      <c r="AA17" t="s">
        <v>63</v>
      </c>
      <c r="AB17">
        <v>8633725</v>
      </c>
      <c r="AC17" t="s">
        <v>67</v>
      </c>
      <c r="AD17" t="s">
        <v>63</v>
      </c>
      <c r="AE17" t="s">
        <v>63</v>
      </c>
      <c r="AF17" t="s">
        <v>63</v>
      </c>
      <c r="AG17" t="s">
        <v>170</v>
      </c>
      <c r="AH17" t="s">
        <v>63</v>
      </c>
      <c r="AI17" t="s">
        <v>63</v>
      </c>
      <c r="AJ17" t="s">
        <v>63</v>
      </c>
      <c r="AK17" t="s">
        <v>63</v>
      </c>
      <c r="AL17" t="s">
        <v>63</v>
      </c>
      <c r="AM17" t="s">
        <v>171</v>
      </c>
      <c r="AN17" t="s">
        <v>63</v>
      </c>
      <c r="AO17" t="s">
        <v>63</v>
      </c>
      <c r="AP17" t="s">
        <v>63</v>
      </c>
      <c r="AQ17" t="s">
        <v>63</v>
      </c>
      <c r="AR17" t="s">
        <v>63</v>
      </c>
      <c r="AS17" t="s">
        <v>63</v>
      </c>
      <c r="AT17" t="s">
        <v>63</v>
      </c>
      <c r="AU17" t="s">
        <v>63</v>
      </c>
      <c r="AV17" t="s">
        <v>63</v>
      </c>
      <c r="AW17" t="s">
        <v>63</v>
      </c>
      <c r="AX17" t="s">
        <v>63</v>
      </c>
      <c r="AY17" t="s">
        <v>63</v>
      </c>
      <c r="AZ17" t="s">
        <v>63</v>
      </c>
      <c r="BA17" t="s">
        <v>63</v>
      </c>
      <c r="BB17" t="s">
        <v>63</v>
      </c>
      <c r="BC17" t="s">
        <v>63</v>
      </c>
      <c r="BD17" t="s">
        <v>63</v>
      </c>
      <c r="BE17" t="s">
        <v>63</v>
      </c>
      <c r="BF17" t="s">
        <v>63</v>
      </c>
    </row>
    <row r="18" spans="1:58">
      <c r="A18" t="s">
        <v>58</v>
      </c>
      <c r="C18" t="s">
        <v>172</v>
      </c>
      <c r="D18" t="s">
        <v>173</v>
      </c>
      <c r="E18" t="s">
        <v>63</v>
      </c>
      <c r="F18">
        <v>1995</v>
      </c>
      <c r="G18" t="s">
        <v>73</v>
      </c>
      <c r="H18">
        <v>89</v>
      </c>
      <c r="I18">
        <v>3</v>
      </c>
      <c r="J18">
        <v>313</v>
      </c>
      <c r="K18">
        <v>314</v>
      </c>
      <c r="L18" t="s">
        <v>174</v>
      </c>
      <c r="M18" t="s">
        <v>63</v>
      </c>
      <c r="N18" t="s">
        <v>175</v>
      </c>
      <c r="O18" t="s">
        <v>63</v>
      </c>
      <c r="Q18" t="s">
        <v>63</v>
      </c>
      <c r="R18" t="s">
        <v>63</v>
      </c>
      <c r="S18" t="s">
        <v>63</v>
      </c>
      <c r="T18" t="s">
        <v>63</v>
      </c>
      <c r="X18" t="s">
        <v>63</v>
      </c>
      <c r="Y18" t="s">
        <v>176</v>
      </c>
      <c r="Z18" t="s">
        <v>63</v>
      </c>
      <c r="AA18" t="s">
        <v>63</v>
      </c>
      <c r="AB18">
        <v>7668021</v>
      </c>
      <c r="AC18" t="s">
        <v>102</v>
      </c>
      <c r="AD18" t="s">
        <v>63</v>
      </c>
      <c r="AE18" t="s">
        <v>63</v>
      </c>
      <c r="AF18" t="s">
        <v>63</v>
      </c>
      <c r="AG18" t="s">
        <v>177</v>
      </c>
      <c r="AH18" t="s">
        <v>63</v>
      </c>
      <c r="AI18" t="s">
        <v>63</v>
      </c>
      <c r="AJ18" t="s">
        <v>63</v>
      </c>
      <c r="AK18" t="s">
        <v>63</v>
      </c>
      <c r="AL18" t="s">
        <v>63</v>
      </c>
      <c r="AM18" t="s">
        <v>178</v>
      </c>
      <c r="AN18" t="s">
        <v>63</v>
      </c>
      <c r="AO18" t="s">
        <v>63</v>
      </c>
      <c r="AP18" t="s">
        <v>63</v>
      </c>
      <c r="AQ18" t="s">
        <v>63</v>
      </c>
      <c r="AR18" t="s">
        <v>63</v>
      </c>
      <c r="AS18" t="s">
        <v>63</v>
      </c>
      <c r="AT18" t="s">
        <v>63</v>
      </c>
      <c r="AU18" t="s">
        <v>63</v>
      </c>
      <c r="AV18" t="s">
        <v>63</v>
      </c>
      <c r="AW18" t="s">
        <v>63</v>
      </c>
      <c r="AX18" t="s">
        <v>63</v>
      </c>
      <c r="AY18" t="s">
        <v>63</v>
      </c>
      <c r="AZ18" t="s">
        <v>63</v>
      </c>
      <c r="BA18" t="s">
        <v>63</v>
      </c>
      <c r="BB18" t="s">
        <v>63</v>
      </c>
      <c r="BC18" t="s">
        <v>63</v>
      </c>
      <c r="BD18" t="s">
        <v>63</v>
      </c>
      <c r="BE18" t="s">
        <v>63</v>
      </c>
      <c r="BF18" t="s">
        <v>63</v>
      </c>
    </row>
    <row r="19" spans="1:58">
      <c r="A19" t="s">
        <v>58</v>
      </c>
      <c r="C19" t="s">
        <v>179</v>
      </c>
      <c r="D19" t="s">
        <v>180</v>
      </c>
      <c r="E19" t="s">
        <v>63</v>
      </c>
      <c r="F19">
        <v>1995</v>
      </c>
      <c r="G19" t="s">
        <v>181</v>
      </c>
      <c r="H19">
        <v>30</v>
      </c>
      <c r="I19">
        <v>5</v>
      </c>
      <c r="J19">
        <v>571</v>
      </c>
      <c r="K19">
        <v>575</v>
      </c>
      <c r="L19" t="s">
        <v>182</v>
      </c>
      <c r="M19" t="s">
        <v>183</v>
      </c>
      <c r="N19" t="s">
        <v>184</v>
      </c>
      <c r="O19" t="s">
        <v>63</v>
      </c>
      <c r="Q19" t="s">
        <v>63</v>
      </c>
      <c r="R19" t="s">
        <v>63</v>
      </c>
      <c r="S19" t="s">
        <v>63</v>
      </c>
      <c r="T19" t="s">
        <v>63</v>
      </c>
      <c r="X19" t="s">
        <v>63</v>
      </c>
      <c r="Y19" t="s">
        <v>185</v>
      </c>
      <c r="Z19" t="s">
        <v>63</v>
      </c>
      <c r="AA19" t="s">
        <v>63</v>
      </c>
      <c r="AB19">
        <v>8554638</v>
      </c>
      <c r="AC19" t="s">
        <v>67</v>
      </c>
      <c r="AD19" t="s">
        <v>63</v>
      </c>
      <c r="AE19" t="s">
        <v>63</v>
      </c>
      <c r="AF19" t="s">
        <v>63</v>
      </c>
      <c r="AG19" t="s">
        <v>186</v>
      </c>
      <c r="AH19" t="s">
        <v>63</v>
      </c>
      <c r="AI19" t="s">
        <v>63</v>
      </c>
      <c r="AJ19" t="s">
        <v>63</v>
      </c>
      <c r="AK19" t="s">
        <v>63</v>
      </c>
      <c r="AL19" t="s">
        <v>63</v>
      </c>
      <c r="AM19" t="s">
        <v>187</v>
      </c>
      <c r="AN19" t="s">
        <v>63</v>
      </c>
      <c r="AO19" t="s">
        <v>63</v>
      </c>
      <c r="AP19" t="s">
        <v>63</v>
      </c>
      <c r="AQ19" t="s">
        <v>63</v>
      </c>
      <c r="AR19" t="s">
        <v>63</v>
      </c>
      <c r="AS19" t="s">
        <v>63</v>
      </c>
      <c r="AT19" t="s">
        <v>63</v>
      </c>
      <c r="AU19" t="s">
        <v>63</v>
      </c>
      <c r="AV19" t="s">
        <v>63</v>
      </c>
      <c r="AW19" t="s">
        <v>63</v>
      </c>
      <c r="AX19" t="s">
        <v>63</v>
      </c>
      <c r="AY19" t="s">
        <v>63</v>
      </c>
      <c r="AZ19" t="s">
        <v>63</v>
      </c>
      <c r="BA19" t="s">
        <v>63</v>
      </c>
      <c r="BB19" t="s">
        <v>63</v>
      </c>
      <c r="BC19" t="s">
        <v>63</v>
      </c>
      <c r="BD19" t="s">
        <v>63</v>
      </c>
      <c r="BE19" t="s">
        <v>63</v>
      </c>
      <c r="BF19" t="s">
        <v>63</v>
      </c>
    </row>
    <row r="20" spans="1:58">
      <c r="A20" t="s">
        <v>58</v>
      </c>
      <c r="C20" t="s">
        <v>188</v>
      </c>
      <c r="D20" t="s">
        <v>164</v>
      </c>
      <c r="E20" t="s">
        <v>165</v>
      </c>
      <c r="F20">
        <v>1994</v>
      </c>
      <c r="G20" t="s">
        <v>189</v>
      </c>
      <c r="H20">
        <v>151</v>
      </c>
      <c r="I20">
        <v>5</v>
      </c>
      <c r="J20">
        <v>795</v>
      </c>
      <c r="K20">
        <v>796</v>
      </c>
      <c r="L20" t="s">
        <v>190</v>
      </c>
      <c r="M20" t="s">
        <v>191</v>
      </c>
      <c r="N20" t="s">
        <v>192</v>
      </c>
      <c r="O20" t="s">
        <v>63</v>
      </c>
      <c r="Q20" t="s">
        <v>63</v>
      </c>
      <c r="R20" t="s">
        <v>63</v>
      </c>
      <c r="S20" t="s">
        <v>63</v>
      </c>
      <c r="T20" t="s">
        <v>63</v>
      </c>
      <c r="X20" t="s">
        <v>63</v>
      </c>
      <c r="Y20" t="s">
        <v>169</v>
      </c>
      <c r="Z20" t="s">
        <v>63</v>
      </c>
      <c r="AA20" t="s">
        <v>63</v>
      </c>
      <c r="AB20">
        <v>8166344</v>
      </c>
      <c r="AC20" t="s">
        <v>67</v>
      </c>
      <c r="AD20" t="s">
        <v>63</v>
      </c>
      <c r="AE20" t="s">
        <v>63</v>
      </c>
      <c r="AF20" t="s">
        <v>63</v>
      </c>
      <c r="AG20" t="s">
        <v>193</v>
      </c>
      <c r="AH20" t="s">
        <v>63</v>
      </c>
      <c r="AI20" t="s">
        <v>63</v>
      </c>
      <c r="AJ20" t="s">
        <v>63</v>
      </c>
      <c r="AK20" t="s">
        <v>63</v>
      </c>
      <c r="AL20" t="s">
        <v>63</v>
      </c>
      <c r="AM20" t="s">
        <v>194</v>
      </c>
      <c r="AN20" t="s">
        <v>63</v>
      </c>
      <c r="AO20" t="s">
        <v>63</v>
      </c>
      <c r="AP20" t="s">
        <v>63</v>
      </c>
      <c r="AQ20" t="s">
        <v>63</v>
      </c>
      <c r="AR20" t="s">
        <v>63</v>
      </c>
      <c r="AS20" t="s">
        <v>63</v>
      </c>
      <c r="AT20" t="s">
        <v>63</v>
      </c>
      <c r="AU20" t="s">
        <v>63</v>
      </c>
      <c r="AV20" t="s">
        <v>63</v>
      </c>
      <c r="AW20" t="s">
        <v>63</v>
      </c>
      <c r="AX20" t="s">
        <v>63</v>
      </c>
      <c r="AY20" t="s">
        <v>63</v>
      </c>
      <c r="AZ20" t="s">
        <v>63</v>
      </c>
      <c r="BA20" t="s">
        <v>63</v>
      </c>
      <c r="BB20" t="s">
        <v>63</v>
      </c>
      <c r="BC20" t="s">
        <v>63</v>
      </c>
      <c r="BD20" t="s">
        <v>63</v>
      </c>
      <c r="BE20" t="s">
        <v>63</v>
      </c>
      <c r="BF20" t="s">
        <v>63</v>
      </c>
    </row>
    <row r="21" spans="1:58">
      <c r="A21" t="s">
        <v>58</v>
      </c>
      <c r="C21" t="s">
        <v>195</v>
      </c>
      <c r="D21" t="s">
        <v>196</v>
      </c>
      <c r="E21" t="s">
        <v>197</v>
      </c>
      <c r="F21">
        <v>1994</v>
      </c>
      <c r="G21" t="s">
        <v>198</v>
      </c>
      <c r="H21">
        <v>45</v>
      </c>
      <c r="I21">
        <v>1</v>
      </c>
      <c r="J21">
        <v>70</v>
      </c>
      <c r="K21">
        <v>71</v>
      </c>
      <c r="L21" t="s">
        <v>199</v>
      </c>
      <c r="M21" t="s">
        <v>63</v>
      </c>
      <c r="N21" t="s">
        <v>200</v>
      </c>
      <c r="O21" t="s">
        <v>63</v>
      </c>
      <c r="Q21" t="s">
        <v>63</v>
      </c>
      <c r="R21" t="s">
        <v>63</v>
      </c>
      <c r="S21" t="s">
        <v>63</v>
      </c>
      <c r="T21" t="s">
        <v>63</v>
      </c>
      <c r="X21" t="s">
        <v>63</v>
      </c>
      <c r="Y21" t="s">
        <v>201</v>
      </c>
      <c r="Z21" t="s">
        <v>63</v>
      </c>
      <c r="AA21" t="s">
        <v>63</v>
      </c>
      <c r="AB21">
        <v>8125466</v>
      </c>
      <c r="AC21" t="s">
        <v>67</v>
      </c>
      <c r="AD21" t="s">
        <v>63</v>
      </c>
      <c r="AE21" t="s">
        <v>63</v>
      </c>
      <c r="AF21" t="s">
        <v>63</v>
      </c>
      <c r="AG21" t="s">
        <v>202</v>
      </c>
      <c r="AH21" t="s">
        <v>63</v>
      </c>
      <c r="AI21" t="s">
        <v>63</v>
      </c>
      <c r="AJ21" t="s">
        <v>63</v>
      </c>
      <c r="AK21" t="s">
        <v>63</v>
      </c>
      <c r="AL21" t="s">
        <v>63</v>
      </c>
      <c r="AM21" t="s">
        <v>203</v>
      </c>
      <c r="AN21" t="s">
        <v>63</v>
      </c>
      <c r="AO21" t="s">
        <v>63</v>
      </c>
      <c r="AP21" t="s">
        <v>63</v>
      </c>
      <c r="AQ21" t="s">
        <v>63</v>
      </c>
      <c r="AR21" t="s">
        <v>63</v>
      </c>
      <c r="AS21" t="s">
        <v>63</v>
      </c>
      <c r="AT21" t="s">
        <v>63</v>
      </c>
      <c r="AU21" t="s">
        <v>63</v>
      </c>
      <c r="AV21" t="s">
        <v>63</v>
      </c>
      <c r="AW21" t="s">
        <v>63</v>
      </c>
      <c r="AX21" t="s">
        <v>63</v>
      </c>
      <c r="AY21" t="s">
        <v>63</v>
      </c>
      <c r="AZ21" t="s">
        <v>63</v>
      </c>
      <c r="BA21" t="s">
        <v>63</v>
      </c>
      <c r="BB21" t="s">
        <v>63</v>
      </c>
      <c r="BC21" t="s">
        <v>63</v>
      </c>
      <c r="BD21" t="s">
        <v>63</v>
      </c>
      <c r="BE21" t="s">
        <v>63</v>
      </c>
      <c r="BF21" t="s">
        <v>63</v>
      </c>
    </row>
    <row r="22" spans="1:58">
      <c r="A22" t="s">
        <v>58</v>
      </c>
      <c r="C22" t="s">
        <v>204</v>
      </c>
      <c r="D22" t="s">
        <v>205</v>
      </c>
      <c r="E22" t="s">
        <v>205</v>
      </c>
      <c r="F22">
        <v>1991</v>
      </c>
      <c r="G22" s="1">
        <v>41899</v>
      </c>
      <c r="H22">
        <v>266</v>
      </c>
      <c r="I22">
        <v>11</v>
      </c>
      <c r="J22">
        <v>1512</v>
      </c>
      <c r="K22">
        <v>1514</v>
      </c>
      <c r="L22" t="s">
        <v>206</v>
      </c>
      <c r="M22" t="s">
        <v>63</v>
      </c>
      <c r="N22" t="s">
        <v>207</v>
      </c>
      <c r="O22" t="s">
        <v>63</v>
      </c>
      <c r="Q22" t="s">
        <v>63</v>
      </c>
      <c r="R22" t="s">
        <v>63</v>
      </c>
      <c r="S22" t="s">
        <v>63</v>
      </c>
      <c r="T22" t="s">
        <v>63</v>
      </c>
      <c r="X22" t="s">
        <v>63</v>
      </c>
      <c r="Y22" t="s">
        <v>208</v>
      </c>
      <c r="Z22" t="s">
        <v>63</v>
      </c>
      <c r="AA22" t="s">
        <v>63</v>
      </c>
      <c r="AB22">
        <v>1880882</v>
      </c>
      <c r="AC22" t="s">
        <v>67</v>
      </c>
      <c r="AD22" t="s">
        <v>63</v>
      </c>
      <c r="AE22" t="s">
        <v>63</v>
      </c>
      <c r="AF22" t="s">
        <v>63</v>
      </c>
      <c r="AG22" t="s">
        <v>209</v>
      </c>
      <c r="AH22" t="s">
        <v>63</v>
      </c>
      <c r="AI22" t="s">
        <v>63</v>
      </c>
      <c r="AJ22" t="s">
        <v>63</v>
      </c>
      <c r="AK22" t="s">
        <v>63</v>
      </c>
      <c r="AL22" t="s">
        <v>63</v>
      </c>
      <c r="AM22" t="s">
        <v>210</v>
      </c>
      <c r="AN22" t="s">
        <v>63</v>
      </c>
      <c r="AO22" t="s">
        <v>63</v>
      </c>
      <c r="AP22" t="s">
        <v>63</v>
      </c>
      <c r="AQ22" t="s">
        <v>63</v>
      </c>
      <c r="AR22" t="s">
        <v>63</v>
      </c>
      <c r="AS22" t="s">
        <v>63</v>
      </c>
      <c r="AT22" t="s">
        <v>63</v>
      </c>
      <c r="AU22" t="s">
        <v>63</v>
      </c>
      <c r="AV22" t="s">
        <v>63</v>
      </c>
      <c r="AW22" t="s">
        <v>63</v>
      </c>
      <c r="AX22" t="s">
        <v>63</v>
      </c>
      <c r="AY22" t="s">
        <v>63</v>
      </c>
      <c r="AZ22" t="s">
        <v>63</v>
      </c>
      <c r="BA22" t="s">
        <v>63</v>
      </c>
      <c r="BB22" t="s">
        <v>63</v>
      </c>
      <c r="BC22" t="s">
        <v>63</v>
      </c>
      <c r="BD22" t="s">
        <v>63</v>
      </c>
      <c r="BE22" t="s">
        <v>63</v>
      </c>
      <c r="BF22" t="s">
        <v>63</v>
      </c>
    </row>
    <row r="23" spans="1:58">
      <c r="A23" t="s">
        <v>58</v>
      </c>
      <c r="C23" t="s">
        <v>211</v>
      </c>
      <c r="D23" t="s">
        <v>212</v>
      </c>
      <c r="E23" t="s">
        <v>63</v>
      </c>
      <c r="F23">
        <v>1990</v>
      </c>
      <c r="G23" s="1">
        <v>41957</v>
      </c>
      <c r="H23">
        <v>143</v>
      </c>
      <c r="I23">
        <v>10</v>
      </c>
      <c r="J23">
        <v>1041</v>
      </c>
      <c r="K23">
        <v>1098</v>
      </c>
      <c r="L23" t="s">
        <v>213</v>
      </c>
      <c r="M23" t="s">
        <v>63</v>
      </c>
      <c r="N23" t="s">
        <v>214</v>
      </c>
      <c r="O23" t="s">
        <v>63</v>
      </c>
      <c r="Q23" t="s">
        <v>63</v>
      </c>
      <c r="R23" t="s">
        <v>63</v>
      </c>
      <c r="S23" t="s">
        <v>63</v>
      </c>
      <c r="T23" t="s">
        <v>63</v>
      </c>
      <c r="X23" t="s">
        <v>63</v>
      </c>
      <c r="Y23" t="s">
        <v>215</v>
      </c>
      <c r="Z23" t="s">
        <v>63</v>
      </c>
      <c r="AA23" t="s">
        <v>63</v>
      </c>
      <c r="AB23">
        <v>1977509</v>
      </c>
      <c r="AC23" t="s">
        <v>67</v>
      </c>
      <c r="AD23" t="s">
        <v>63</v>
      </c>
      <c r="AE23" t="s">
        <v>63</v>
      </c>
      <c r="AF23" t="s">
        <v>63</v>
      </c>
      <c r="AG23" t="s">
        <v>216</v>
      </c>
      <c r="AH23" t="s">
        <v>63</v>
      </c>
      <c r="AI23" t="s">
        <v>63</v>
      </c>
      <c r="AJ23" t="s">
        <v>63</v>
      </c>
      <c r="AK23" t="s">
        <v>63</v>
      </c>
      <c r="AL23" t="s">
        <v>63</v>
      </c>
      <c r="AM23" t="s">
        <v>217</v>
      </c>
      <c r="AN23" t="s">
        <v>63</v>
      </c>
      <c r="AO23" t="s">
        <v>63</v>
      </c>
      <c r="AP23" t="s">
        <v>63</v>
      </c>
      <c r="AQ23" t="s">
        <v>63</v>
      </c>
      <c r="AR23" t="s">
        <v>63</v>
      </c>
      <c r="AS23" t="s">
        <v>63</v>
      </c>
      <c r="AT23" t="s">
        <v>63</v>
      </c>
      <c r="AU23" t="s">
        <v>63</v>
      </c>
      <c r="AV23" t="s">
        <v>63</v>
      </c>
      <c r="AW23" t="s">
        <v>63</v>
      </c>
      <c r="AX23" t="s">
        <v>63</v>
      </c>
      <c r="AY23" t="s">
        <v>63</v>
      </c>
      <c r="AZ23" t="s">
        <v>63</v>
      </c>
      <c r="BA23" t="s">
        <v>63</v>
      </c>
      <c r="BB23" t="s">
        <v>63</v>
      </c>
      <c r="BC23" t="s">
        <v>63</v>
      </c>
      <c r="BD23" t="s">
        <v>63</v>
      </c>
      <c r="BE23" t="s">
        <v>63</v>
      </c>
      <c r="BF23" t="s">
        <v>63</v>
      </c>
    </row>
    <row r="24" spans="1:58">
      <c r="A24" t="s">
        <v>58</v>
      </c>
      <c r="C24" t="s">
        <v>218</v>
      </c>
      <c r="D24" t="s">
        <v>60</v>
      </c>
      <c r="E24" t="s">
        <v>61</v>
      </c>
      <c r="F24">
        <v>1990</v>
      </c>
      <c r="G24" t="s">
        <v>219</v>
      </c>
      <c r="H24">
        <v>42</v>
      </c>
      <c r="I24">
        <v>5</v>
      </c>
      <c r="J24">
        <v>1437</v>
      </c>
      <c r="K24">
        <v>1438</v>
      </c>
      <c r="L24" t="s">
        <v>220</v>
      </c>
      <c r="M24" t="s">
        <v>63</v>
      </c>
      <c r="N24" t="s">
        <v>221</v>
      </c>
      <c r="O24" t="s">
        <v>63</v>
      </c>
      <c r="Q24" t="s">
        <v>63</v>
      </c>
      <c r="R24" t="s">
        <v>63</v>
      </c>
      <c r="S24" t="s">
        <v>63</v>
      </c>
      <c r="T24" t="s">
        <v>63</v>
      </c>
      <c r="X24" t="s">
        <v>63</v>
      </c>
      <c r="Y24" t="s">
        <v>222</v>
      </c>
      <c r="Z24" t="s">
        <v>63</v>
      </c>
      <c r="AA24" t="s">
        <v>63</v>
      </c>
      <c r="AB24">
        <v>2239643</v>
      </c>
      <c r="AC24" t="s">
        <v>67</v>
      </c>
      <c r="AD24" t="s">
        <v>63</v>
      </c>
      <c r="AE24" t="s">
        <v>63</v>
      </c>
      <c r="AF24" t="s">
        <v>63</v>
      </c>
      <c r="AG24" t="s">
        <v>223</v>
      </c>
      <c r="AH24" t="s">
        <v>63</v>
      </c>
      <c r="AI24" t="s">
        <v>63</v>
      </c>
      <c r="AJ24" t="s">
        <v>63</v>
      </c>
      <c r="AK24" t="s">
        <v>63</v>
      </c>
      <c r="AL24" t="s">
        <v>63</v>
      </c>
      <c r="AM24" t="s">
        <v>224</v>
      </c>
      <c r="AN24" t="s">
        <v>63</v>
      </c>
      <c r="AO24" t="s">
        <v>63</v>
      </c>
      <c r="AP24" t="s">
        <v>63</v>
      </c>
      <c r="AQ24" t="s">
        <v>63</v>
      </c>
      <c r="AR24" t="s">
        <v>63</v>
      </c>
      <c r="AS24" t="s">
        <v>63</v>
      </c>
      <c r="AT24" t="s">
        <v>63</v>
      </c>
      <c r="AU24" t="s">
        <v>63</v>
      </c>
      <c r="AV24" t="s">
        <v>63</v>
      </c>
      <c r="AW24" t="s">
        <v>63</v>
      </c>
      <c r="AX24" t="s">
        <v>63</v>
      </c>
      <c r="AY24" t="s">
        <v>63</v>
      </c>
      <c r="AZ24" t="s">
        <v>63</v>
      </c>
      <c r="BA24" t="s">
        <v>63</v>
      </c>
      <c r="BB24" t="s">
        <v>63</v>
      </c>
      <c r="BC24" t="s">
        <v>63</v>
      </c>
      <c r="BD24" t="s">
        <v>63</v>
      </c>
      <c r="BE24" t="s">
        <v>63</v>
      </c>
      <c r="BF24" t="s">
        <v>63</v>
      </c>
    </row>
    <row r="25" spans="1:58">
      <c r="A25" t="s">
        <v>58</v>
      </c>
      <c r="C25" t="s">
        <v>225</v>
      </c>
      <c r="D25" t="s">
        <v>205</v>
      </c>
      <c r="E25" t="s">
        <v>205</v>
      </c>
      <c r="F25">
        <v>1990</v>
      </c>
      <c r="G25" s="1">
        <v>41699</v>
      </c>
      <c r="H25">
        <v>263</v>
      </c>
      <c r="I25">
        <v>9</v>
      </c>
      <c r="J25">
        <v>1198</v>
      </c>
      <c r="K25">
        <v>1199</v>
      </c>
      <c r="L25" t="s">
        <v>226</v>
      </c>
      <c r="M25" t="s">
        <v>63</v>
      </c>
      <c r="N25" t="s">
        <v>227</v>
      </c>
      <c r="O25" t="s">
        <v>63</v>
      </c>
      <c r="Q25" t="s">
        <v>63</v>
      </c>
      <c r="R25" t="s">
        <v>63</v>
      </c>
      <c r="S25" t="s">
        <v>63</v>
      </c>
      <c r="T25" t="s">
        <v>63</v>
      </c>
      <c r="X25" t="s">
        <v>63</v>
      </c>
      <c r="Y25" t="s">
        <v>208</v>
      </c>
      <c r="Z25" t="s">
        <v>63</v>
      </c>
      <c r="AA25" t="s">
        <v>63</v>
      </c>
      <c r="AB25">
        <v>2304230</v>
      </c>
      <c r="AC25" t="s">
        <v>67</v>
      </c>
      <c r="AD25" t="s">
        <v>63</v>
      </c>
      <c r="AE25" t="s">
        <v>63</v>
      </c>
      <c r="AF25" t="s">
        <v>63</v>
      </c>
      <c r="AG25" t="s">
        <v>228</v>
      </c>
      <c r="AH25" t="s">
        <v>63</v>
      </c>
      <c r="AI25" t="s">
        <v>63</v>
      </c>
      <c r="AJ25" t="s">
        <v>63</v>
      </c>
      <c r="AK25" t="s">
        <v>63</v>
      </c>
      <c r="AL25" t="s">
        <v>63</v>
      </c>
      <c r="AM25" t="s">
        <v>229</v>
      </c>
      <c r="AN25" t="s">
        <v>63</v>
      </c>
      <c r="AO25" t="s">
        <v>63</v>
      </c>
      <c r="AP25" t="s">
        <v>63</v>
      </c>
      <c r="AQ25" t="s">
        <v>63</v>
      </c>
      <c r="AR25" t="s">
        <v>63</v>
      </c>
      <c r="AS25" t="s">
        <v>63</v>
      </c>
      <c r="AT25" t="s">
        <v>63</v>
      </c>
      <c r="AU25" t="s">
        <v>63</v>
      </c>
      <c r="AV25" t="s">
        <v>63</v>
      </c>
      <c r="AW25" t="s">
        <v>63</v>
      </c>
      <c r="AX25" t="s">
        <v>63</v>
      </c>
      <c r="AY25" t="s">
        <v>63</v>
      </c>
      <c r="AZ25" t="s">
        <v>63</v>
      </c>
      <c r="BA25" t="s">
        <v>63</v>
      </c>
      <c r="BB25" t="s">
        <v>63</v>
      </c>
      <c r="BC25" t="s">
        <v>63</v>
      </c>
      <c r="BD25" t="s">
        <v>63</v>
      </c>
      <c r="BE25" t="s">
        <v>63</v>
      </c>
      <c r="BF25" t="s">
        <v>63</v>
      </c>
    </row>
    <row r="26" spans="1:58">
      <c r="A26" t="s">
        <v>58</v>
      </c>
      <c r="C26" t="s">
        <v>230</v>
      </c>
      <c r="D26" t="s">
        <v>231</v>
      </c>
      <c r="E26" t="s">
        <v>63</v>
      </c>
      <c r="F26">
        <v>1988</v>
      </c>
      <c r="G26" t="s">
        <v>219</v>
      </c>
      <c r="H26">
        <v>80</v>
      </c>
      <c r="I26">
        <v>11</v>
      </c>
      <c r="J26">
        <v>445</v>
      </c>
      <c r="K26">
        <v>446</v>
      </c>
      <c r="L26" t="s">
        <v>232</v>
      </c>
      <c r="M26" t="s">
        <v>63</v>
      </c>
      <c r="N26" t="s">
        <v>233</v>
      </c>
      <c r="O26" t="s">
        <v>63</v>
      </c>
      <c r="Q26" t="s">
        <v>63</v>
      </c>
      <c r="R26" t="s">
        <v>63</v>
      </c>
      <c r="S26" t="s">
        <v>63</v>
      </c>
      <c r="T26" t="s">
        <v>63</v>
      </c>
      <c r="X26" t="s">
        <v>63</v>
      </c>
      <c r="Y26" s="2">
        <v>1075731</v>
      </c>
      <c r="Z26" t="s">
        <v>63</v>
      </c>
      <c r="AA26" t="s">
        <v>63</v>
      </c>
      <c r="AB26">
        <v>3219169</v>
      </c>
      <c r="AC26" t="s">
        <v>67</v>
      </c>
      <c r="AD26" t="s">
        <v>63</v>
      </c>
      <c r="AE26" t="s">
        <v>63</v>
      </c>
      <c r="AF26" t="s">
        <v>63</v>
      </c>
      <c r="AG26" t="s">
        <v>234</v>
      </c>
      <c r="AH26" t="s">
        <v>63</v>
      </c>
      <c r="AI26" t="s">
        <v>63</v>
      </c>
      <c r="AJ26" t="s">
        <v>63</v>
      </c>
      <c r="AK26" t="s">
        <v>63</v>
      </c>
      <c r="AL26" t="s">
        <v>63</v>
      </c>
      <c r="AM26" t="s">
        <v>235</v>
      </c>
      <c r="AN26" t="s">
        <v>63</v>
      </c>
      <c r="AO26" t="s">
        <v>63</v>
      </c>
      <c r="AP26" t="s">
        <v>63</v>
      </c>
      <c r="AQ26" t="s">
        <v>63</v>
      </c>
      <c r="AR26" t="s">
        <v>63</v>
      </c>
      <c r="AS26" t="s">
        <v>63</v>
      </c>
      <c r="AT26" t="s">
        <v>63</v>
      </c>
      <c r="AU26" t="s">
        <v>63</v>
      </c>
      <c r="AV26" t="s">
        <v>63</v>
      </c>
      <c r="AW26" t="s">
        <v>63</v>
      </c>
      <c r="AX26" t="s">
        <v>63</v>
      </c>
      <c r="AY26" t="s">
        <v>63</v>
      </c>
      <c r="AZ26" t="s">
        <v>63</v>
      </c>
      <c r="BA26" t="s">
        <v>63</v>
      </c>
      <c r="BB26" t="s">
        <v>63</v>
      </c>
      <c r="BC26" t="s">
        <v>63</v>
      </c>
      <c r="BD26" t="s">
        <v>63</v>
      </c>
      <c r="BE26" t="s">
        <v>63</v>
      </c>
      <c r="BF26" t="s">
        <v>63</v>
      </c>
    </row>
    <row r="27" spans="1:58">
      <c r="A27" t="s">
        <v>58</v>
      </c>
      <c r="C27" t="s">
        <v>236</v>
      </c>
      <c r="D27" t="s">
        <v>237</v>
      </c>
      <c r="E27" t="s">
        <v>63</v>
      </c>
      <c r="F27">
        <v>1987</v>
      </c>
      <c r="G27" t="s">
        <v>63</v>
      </c>
      <c r="H27">
        <v>26</v>
      </c>
      <c r="I27" t="s">
        <v>63</v>
      </c>
      <c r="J27">
        <v>275</v>
      </c>
      <c r="K27">
        <v>282</v>
      </c>
      <c r="L27" t="s">
        <v>238</v>
      </c>
      <c r="M27" t="s">
        <v>63</v>
      </c>
      <c r="N27" t="s">
        <v>239</v>
      </c>
      <c r="O27" t="s">
        <v>63</v>
      </c>
      <c r="Q27" t="s">
        <v>63</v>
      </c>
      <c r="R27" t="s">
        <v>63</v>
      </c>
      <c r="S27" t="s">
        <v>63</v>
      </c>
      <c r="T27" t="s">
        <v>63</v>
      </c>
      <c r="X27" t="s">
        <v>63</v>
      </c>
      <c r="Y27" t="s">
        <v>63</v>
      </c>
      <c r="Z27" t="s">
        <v>63</v>
      </c>
      <c r="AA27" t="s">
        <v>63</v>
      </c>
      <c r="AB27">
        <v>3331511</v>
      </c>
      <c r="AC27" t="s">
        <v>67</v>
      </c>
      <c r="AD27" t="s">
        <v>63</v>
      </c>
      <c r="AE27" t="s">
        <v>63</v>
      </c>
      <c r="AF27" t="s">
        <v>63</v>
      </c>
      <c r="AG27" t="s">
        <v>240</v>
      </c>
      <c r="AH27" t="s">
        <v>63</v>
      </c>
      <c r="AI27" t="s">
        <v>63</v>
      </c>
      <c r="AJ27" t="s">
        <v>63</v>
      </c>
      <c r="AK27" t="s">
        <v>63</v>
      </c>
      <c r="AL27" t="s">
        <v>63</v>
      </c>
      <c r="AM27" t="s">
        <v>241</v>
      </c>
      <c r="AN27" t="s">
        <v>63</v>
      </c>
      <c r="AO27" t="s">
        <v>63</v>
      </c>
      <c r="AP27" t="s">
        <v>63</v>
      </c>
      <c r="AQ27" t="s">
        <v>63</v>
      </c>
      <c r="AR27" t="s">
        <v>63</v>
      </c>
      <c r="AS27" t="s">
        <v>63</v>
      </c>
      <c r="AT27" t="s">
        <v>63</v>
      </c>
      <c r="AU27" t="s">
        <v>63</v>
      </c>
      <c r="AV27" t="s">
        <v>63</v>
      </c>
      <c r="AW27" t="s">
        <v>63</v>
      </c>
      <c r="AX27" t="s">
        <v>63</v>
      </c>
      <c r="AY27" t="s">
        <v>63</v>
      </c>
      <c r="AZ27" t="s">
        <v>63</v>
      </c>
      <c r="BA27" t="s">
        <v>63</v>
      </c>
      <c r="BB27" t="s">
        <v>63</v>
      </c>
      <c r="BC27" t="s">
        <v>63</v>
      </c>
      <c r="BD27" t="s">
        <v>63</v>
      </c>
      <c r="BE27" t="s">
        <v>63</v>
      </c>
      <c r="BF27" t="s">
        <v>63</v>
      </c>
    </row>
    <row r="28" spans="1:58">
      <c r="A28" t="s">
        <v>58</v>
      </c>
      <c r="C28" t="s">
        <v>242</v>
      </c>
      <c r="D28" t="s">
        <v>243</v>
      </c>
      <c r="E28" t="s">
        <v>243</v>
      </c>
      <c r="F28">
        <v>1987</v>
      </c>
      <c r="G28" s="1">
        <v>41844</v>
      </c>
      <c r="H28">
        <v>2</v>
      </c>
      <c r="I28">
        <v>8552</v>
      </c>
      <c r="J28">
        <v>196</v>
      </c>
      <c r="K28" t="s">
        <v>63</v>
      </c>
      <c r="L28" t="s">
        <v>244</v>
      </c>
      <c r="M28" t="s">
        <v>63</v>
      </c>
      <c r="N28" t="s">
        <v>245</v>
      </c>
      <c r="O28" t="s">
        <v>63</v>
      </c>
      <c r="Q28" t="s">
        <v>63</v>
      </c>
      <c r="R28" t="s">
        <v>63</v>
      </c>
      <c r="S28" t="s">
        <v>63</v>
      </c>
      <c r="T28" t="s">
        <v>63</v>
      </c>
      <c r="X28" t="s">
        <v>63</v>
      </c>
      <c r="Y28" t="s">
        <v>246</v>
      </c>
      <c r="Z28" t="s">
        <v>63</v>
      </c>
      <c r="AA28" t="s">
        <v>63</v>
      </c>
      <c r="AB28">
        <v>2885647</v>
      </c>
      <c r="AC28" t="s">
        <v>67</v>
      </c>
      <c r="AD28" t="s">
        <v>63</v>
      </c>
      <c r="AE28" t="s">
        <v>63</v>
      </c>
      <c r="AF28" t="s">
        <v>63</v>
      </c>
      <c r="AG28" t="s">
        <v>247</v>
      </c>
      <c r="AH28" t="s">
        <v>63</v>
      </c>
      <c r="AI28" t="s">
        <v>63</v>
      </c>
      <c r="AJ28" t="s">
        <v>63</v>
      </c>
      <c r="AK28" t="s">
        <v>63</v>
      </c>
      <c r="AL28" t="s">
        <v>63</v>
      </c>
      <c r="AM28" t="s">
        <v>248</v>
      </c>
      <c r="AN28" t="s">
        <v>63</v>
      </c>
      <c r="AO28" t="s">
        <v>63</v>
      </c>
      <c r="AP28" t="s">
        <v>63</v>
      </c>
      <c r="AQ28" t="s">
        <v>63</v>
      </c>
      <c r="AR28" t="s">
        <v>63</v>
      </c>
      <c r="AS28" t="s">
        <v>63</v>
      </c>
      <c r="AT28" t="s">
        <v>63</v>
      </c>
      <c r="AU28" t="s">
        <v>63</v>
      </c>
      <c r="AV28" t="s">
        <v>63</v>
      </c>
      <c r="AW28" t="s">
        <v>63</v>
      </c>
      <c r="AX28" t="s">
        <v>63</v>
      </c>
      <c r="AY28" t="s">
        <v>63</v>
      </c>
      <c r="AZ28" t="s">
        <v>63</v>
      </c>
      <c r="BA28" t="s">
        <v>63</v>
      </c>
      <c r="BB28" t="s">
        <v>63</v>
      </c>
      <c r="BC28" t="s">
        <v>63</v>
      </c>
      <c r="BD28" t="s">
        <v>63</v>
      </c>
      <c r="BE28" t="s">
        <v>63</v>
      </c>
      <c r="BF28" t="s">
        <v>63</v>
      </c>
    </row>
    <row r="29" spans="1:58">
      <c r="A29" t="s">
        <v>58</v>
      </c>
      <c r="C29" t="s">
        <v>249</v>
      </c>
      <c r="D29" t="s">
        <v>250</v>
      </c>
      <c r="E29" t="s">
        <v>251</v>
      </c>
      <c r="F29">
        <v>1984</v>
      </c>
      <c r="G29" s="1">
        <v>41834</v>
      </c>
      <c r="H29">
        <v>131</v>
      </c>
      <c r="I29">
        <v>2</v>
      </c>
      <c r="J29">
        <v>98</v>
      </c>
      <c r="K29">
        <v>99</v>
      </c>
      <c r="L29" t="s">
        <v>252</v>
      </c>
      <c r="M29" t="s">
        <v>63</v>
      </c>
      <c r="N29" t="s">
        <v>253</v>
      </c>
      <c r="O29" t="s">
        <v>63</v>
      </c>
      <c r="Q29" t="s">
        <v>63</v>
      </c>
      <c r="R29" t="s">
        <v>63</v>
      </c>
      <c r="S29" t="s">
        <v>63</v>
      </c>
      <c r="T29" t="s">
        <v>63</v>
      </c>
      <c r="X29" t="s">
        <v>63</v>
      </c>
      <c r="Y29" s="2">
        <v>915146</v>
      </c>
      <c r="Z29" t="s">
        <v>63</v>
      </c>
      <c r="AA29" t="s">
        <v>63</v>
      </c>
      <c r="AB29">
        <v>6744159</v>
      </c>
      <c r="AC29" t="s">
        <v>67</v>
      </c>
      <c r="AD29" t="s">
        <v>63</v>
      </c>
      <c r="AE29" t="s">
        <v>63</v>
      </c>
      <c r="AF29" t="s">
        <v>63</v>
      </c>
      <c r="AG29" t="s">
        <v>254</v>
      </c>
      <c r="AH29" t="s">
        <v>63</v>
      </c>
      <c r="AI29" t="s">
        <v>63</v>
      </c>
      <c r="AJ29" t="s">
        <v>63</v>
      </c>
      <c r="AK29" t="s">
        <v>63</v>
      </c>
      <c r="AL29" t="s">
        <v>63</v>
      </c>
      <c r="AM29" t="s">
        <v>255</v>
      </c>
      <c r="AN29" t="s">
        <v>63</v>
      </c>
      <c r="AO29" t="s">
        <v>63</v>
      </c>
      <c r="AP29" t="s">
        <v>63</v>
      </c>
      <c r="AQ29" t="s">
        <v>63</v>
      </c>
      <c r="AR29" t="s">
        <v>63</v>
      </c>
      <c r="AS29" t="s">
        <v>63</v>
      </c>
      <c r="AT29" t="s">
        <v>63</v>
      </c>
      <c r="AU29" t="s">
        <v>63</v>
      </c>
      <c r="AV29" t="s">
        <v>63</v>
      </c>
      <c r="AW29" t="s">
        <v>63</v>
      </c>
      <c r="AX29" t="s">
        <v>63</v>
      </c>
      <c r="AY29" t="s">
        <v>63</v>
      </c>
      <c r="AZ29" t="s">
        <v>63</v>
      </c>
      <c r="BA29" t="s">
        <v>63</v>
      </c>
      <c r="BB29" t="s">
        <v>63</v>
      </c>
      <c r="BC29" t="s">
        <v>63</v>
      </c>
      <c r="BD29" t="s">
        <v>63</v>
      </c>
      <c r="BE29" t="s">
        <v>63</v>
      </c>
      <c r="BF29" t="s">
        <v>63</v>
      </c>
    </row>
    <row r="30" spans="1:58">
      <c r="A30" t="s">
        <v>58</v>
      </c>
      <c r="C30" t="s">
        <v>256</v>
      </c>
      <c r="D30" t="s">
        <v>257</v>
      </c>
      <c r="E30" t="s">
        <v>258</v>
      </c>
      <c r="F30">
        <v>1981</v>
      </c>
      <c r="G30" t="s">
        <v>138</v>
      </c>
      <c r="H30">
        <v>71</v>
      </c>
      <c r="I30">
        <v>10</v>
      </c>
      <c r="J30">
        <v>426</v>
      </c>
      <c r="K30">
        <v>427</v>
      </c>
      <c r="L30" t="s">
        <v>259</v>
      </c>
      <c r="M30" t="s">
        <v>63</v>
      </c>
      <c r="N30" t="s">
        <v>260</v>
      </c>
      <c r="O30" t="s">
        <v>63</v>
      </c>
      <c r="Q30" t="s">
        <v>63</v>
      </c>
      <c r="R30" t="s">
        <v>63</v>
      </c>
      <c r="S30" t="s">
        <v>63</v>
      </c>
      <c r="T30" t="s">
        <v>63</v>
      </c>
      <c r="X30" t="s">
        <v>63</v>
      </c>
      <c r="Y30" t="s">
        <v>261</v>
      </c>
      <c r="Z30" t="s">
        <v>63</v>
      </c>
      <c r="AA30" t="s">
        <v>63</v>
      </c>
      <c r="AB30">
        <v>7334242</v>
      </c>
      <c r="AC30" t="s">
        <v>67</v>
      </c>
      <c r="AD30" t="s">
        <v>63</v>
      </c>
      <c r="AE30" t="s">
        <v>63</v>
      </c>
      <c r="AF30" t="s">
        <v>63</v>
      </c>
      <c r="AG30" t="s">
        <v>262</v>
      </c>
      <c r="AH30" t="s">
        <v>63</v>
      </c>
      <c r="AI30" t="s">
        <v>63</v>
      </c>
      <c r="AJ30" t="s">
        <v>63</v>
      </c>
      <c r="AK30" t="s">
        <v>63</v>
      </c>
      <c r="AL30" t="s">
        <v>63</v>
      </c>
      <c r="AM30" t="s">
        <v>263</v>
      </c>
      <c r="AN30" t="s">
        <v>63</v>
      </c>
      <c r="AO30" t="s">
        <v>63</v>
      </c>
      <c r="AP30" t="s">
        <v>63</v>
      </c>
      <c r="AQ30" t="s">
        <v>63</v>
      </c>
      <c r="AR30" t="s">
        <v>63</v>
      </c>
      <c r="AS30" t="s">
        <v>63</v>
      </c>
      <c r="AT30" t="s">
        <v>63</v>
      </c>
      <c r="AU30" t="s">
        <v>63</v>
      </c>
      <c r="AV30" t="s">
        <v>63</v>
      </c>
      <c r="AW30" t="s">
        <v>63</v>
      </c>
      <c r="AX30" t="s">
        <v>63</v>
      </c>
      <c r="AY30" t="s">
        <v>63</v>
      </c>
      <c r="AZ30" t="s">
        <v>63</v>
      </c>
      <c r="BA30" t="s">
        <v>63</v>
      </c>
      <c r="BB30" t="s">
        <v>63</v>
      </c>
      <c r="BC30" t="s">
        <v>63</v>
      </c>
      <c r="BD30" t="s">
        <v>63</v>
      </c>
      <c r="BE30" t="s">
        <v>63</v>
      </c>
      <c r="BF30" t="s">
        <v>63</v>
      </c>
    </row>
    <row r="31" spans="1:58">
      <c r="A31" t="s">
        <v>58</v>
      </c>
      <c r="C31" t="s">
        <v>264</v>
      </c>
      <c r="D31" t="s">
        <v>265</v>
      </c>
      <c r="E31" t="s">
        <v>63</v>
      </c>
      <c r="F31">
        <v>1979</v>
      </c>
      <c r="G31" s="1">
        <v>41916</v>
      </c>
      <c r="H31">
        <v>121</v>
      </c>
      <c r="I31">
        <v>40</v>
      </c>
      <c r="J31">
        <v>1264</v>
      </c>
      <c r="K31">
        <v>1274</v>
      </c>
      <c r="L31" t="s">
        <v>266</v>
      </c>
      <c r="M31" t="s">
        <v>63</v>
      </c>
      <c r="N31" t="s">
        <v>267</v>
      </c>
      <c r="O31" t="s">
        <v>63</v>
      </c>
      <c r="Q31" t="s">
        <v>63</v>
      </c>
      <c r="R31" t="s">
        <v>63</v>
      </c>
      <c r="S31" t="s">
        <v>63</v>
      </c>
      <c r="T31" t="s">
        <v>63</v>
      </c>
      <c r="X31" t="s">
        <v>63</v>
      </c>
      <c r="Y31" t="s">
        <v>268</v>
      </c>
      <c r="Z31" t="s">
        <v>63</v>
      </c>
      <c r="AA31" t="s">
        <v>63</v>
      </c>
      <c r="AB31">
        <v>40122</v>
      </c>
      <c r="AC31" t="s">
        <v>102</v>
      </c>
      <c r="AD31" t="s">
        <v>63</v>
      </c>
      <c r="AE31" t="s">
        <v>63</v>
      </c>
      <c r="AF31" t="s">
        <v>63</v>
      </c>
      <c r="AG31" t="s">
        <v>269</v>
      </c>
      <c r="AH31" t="s">
        <v>63</v>
      </c>
      <c r="AI31" t="s">
        <v>63</v>
      </c>
      <c r="AJ31" t="s">
        <v>63</v>
      </c>
      <c r="AK31" t="s">
        <v>63</v>
      </c>
      <c r="AL31" t="s">
        <v>63</v>
      </c>
      <c r="AM31" t="s">
        <v>270</v>
      </c>
      <c r="AN31" t="s">
        <v>63</v>
      </c>
      <c r="AO31" t="s">
        <v>63</v>
      </c>
      <c r="AP31" t="s">
        <v>63</v>
      </c>
      <c r="AQ31" t="s">
        <v>63</v>
      </c>
      <c r="AR31" t="s">
        <v>63</v>
      </c>
      <c r="AS31" t="s">
        <v>63</v>
      </c>
      <c r="AT31" t="s">
        <v>63</v>
      </c>
      <c r="AU31" t="s">
        <v>63</v>
      </c>
      <c r="AV31" t="s">
        <v>63</v>
      </c>
      <c r="AW31" t="s">
        <v>63</v>
      </c>
      <c r="AX31" t="s">
        <v>63</v>
      </c>
      <c r="AY31" t="s">
        <v>63</v>
      </c>
      <c r="AZ31" t="s">
        <v>63</v>
      </c>
      <c r="BA31" t="s">
        <v>63</v>
      </c>
      <c r="BB31" t="s">
        <v>63</v>
      </c>
      <c r="BC31" t="s">
        <v>63</v>
      </c>
      <c r="BD31" t="s">
        <v>63</v>
      </c>
      <c r="BE31" t="s">
        <v>63</v>
      </c>
      <c r="BF31" t="s">
        <v>63</v>
      </c>
    </row>
    <row r="32" spans="1:58">
      <c r="A32" t="s">
        <v>58</v>
      </c>
      <c r="C32" t="s">
        <v>271</v>
      </c>
      <c r="D32" t="s">
        <v>272</v>
      </c>
      <c r="E32" t="s">
        <v>273</v>
      </c>
      <c r="F32">
        <v>1979</v>
      </c>
      <c r="G32" t="s">
        <v>274</v>
      </c>
      <c r="H32">
        <v>35</v>
      </c>
      <c r="I32" s="1">
        <v>41641</v>
      </c>
      <c r="J32">
        <v>261</v>
      </c>
      <c r="K32">
        <v>268</v>
      </c>
      <c r="L32" t="s">
        <v>275</v>
      </c>
      <c r="M32" t="s">
        <v>63</v>
      </c>
      <c r="N32" t="s">
        <v>276</v>
      </c>
      <c r="O32" t="s">
        <v>63</v>
      </c>
      <c r="Q32" t="s">
        <v>63</v>
      </c>
      <c r="R32" t="s">
        <v>63</v>
      </c>
      <c r="S32" t="s">
        <v>63</v>
      </c>
      <c r="T32" t="s">
        <v>63</v>
      </c>
      <c r="X32" t="s">
        <v>63</v>
      </c>
      <c r="Y32" t="s">
        <v>277</v>
      </c>
      <c r="Z32" t="s">
        <v>63</v>
      </c>
      <c r="AA32" t="s">
        <v>63</v>
      </c>
      <c r="AB32">
        <v>454891</v>
      </c>
      <c r="AC32" t="s">
        <v>278</v>
      </c>
      <c r="AD32" t="s">
        <v>63</v>
      </c>
      <c r="AE32" t="s">
        <v>63</v>
      </c>
      <c r="AF32" t="s">
        <v>63</v>
      </c>
      <c r="AG32" t="s">
        <v>279</v>
      </c>
      <c r="AH32" t="s">
        <v>63</v>
      </c>
      <c r="AI32" t="s">
        <v>63</v>
      </c>
      <c r="AJ32" t="s">
        <v>63</v>
      </c>
      <c r="AK32" t="s">
        <v>63</v>
      </c>
      <c r="AL32" t="s">
        <v>63</v>
      </c>
      <c r="AM32" t="s">
        <v>280</v>
      </c>
      <c r="AN32" t="s">
        <v>63</v>
      </c>
      <c r="AO32" t="s">
        <v>63</v>
      </c>
      <c r="AP32" t="s">
        <v>63</v>
      </c>
      <c r="AQ32" t="s">
        <v>63</v>
      </c>
      <c r="AR32" t="s">
        <v>63</v>
      </c>
      <c r="AS32" t="s">
        <v>63</v>
      </c>
      <c r="AT32" t="s">
        <v>63</v>
      </c>
      <c r="AU32" t="s">
        <v>63</v>
      </c>
      <c r="AV32" t="s">
        <v>63</v>
      </c>
      <c r="AW32" t="s">
        <v>63</v>
      </c>
      <c r="AX32" t="s">
        <v>63</v>
      </c>
      <c r="AY32" t="s">
        <v>63</v>
      </c>
      <c r="AZ32" t="s">
        <v>63</v>
      </c>
      <c r="BA32" t="s">
        <v>63</v>
      </c>
      <c r="BB32" t="s">
        <v>63</v>
      </c>
      <c r="BC32" t="s">
        <v>63</v>
      </c>
      <c r="BD32" t="s">
        <v>63</v>
      </c>
      <c r="BE32" t="s">
        <v>63</v>
      </c>
      <c r="BF32" t="s">
        <v>63</v>
      </c>
    </row>
    <row r="33" spans="1:58">
      <c r="A33" t="s">
        <v>58</v>
      </c>
      <c r="C33" t="s">
        <v>281</v>
      </c>
      <c r="D33" t="s">
        <v>282</v>
      </c>
      <c r="E33" t="s">
        <v>283</v>
      </c>
      <c r="F33">
        <v>1975</v>
      </c>
      <c r="G33" t="s">
        <v>274</v>
      </c>
      <c r="H33">
        <v>29</v>
      </c>
      <c r="I33">
        <v>3</v>
      </c>
      <c r="J33">
        <v>141</v>
      </c>
      <c r="K33">
        <v>142</v>
      </c>
      <c r="L33" t="s">
        <v>284</v>
      </c>
      <c r="M33" t="s">
        <v>63</v>
      </c>
      <c r="N33" t="s">
        <v>285</v>
      </c>
      <c r="O33" t="s">
        <v>63</v>
      </c>
      <c r="Q33" t="s">
        <v>63</v>
      </c>
      <c r="R33" t="s">
        <v>63</v>
      </c>
      <c r="S33" t="s">
        <v>63</v>
      </c>
      <c r="T33" t="s">
        <v>63</v>
      </c>
      <c r="X33" t="s">
        <v>63</v>
      </c>
      <c r="Y33" t="s">
        <v>286</v>
      </c>
      <c r="Z33" t="s">
        <v>63</v>
      </c>
      <c r="AA33" t="s">
        <v>63</v>
      </c>
      <c r="AB33">
        <v>1124066</v>
      </c>
      <c r="AC33" t="s">
        <v>102</v>
      </c>
      <c r="AD33" t="s">
        <v>63</v>
      </c>
      <c r="AE33" t="s">
        <v>63</v>
      </c>
      <c r="AF33" t="s">
        <v>63</v>
      </c>
      <c r="AG33" t="s">
        <v>287</v>
      </c>
      <c r="AH33" t="s">
        <v>63</v>
      </c>
      <c r="AI33" t="s">
        <v>63</v>
      </c>
      <c r="AJ33" t="s">
        <v>63</v>
      </c>
      <c r="AK33" t="s">
        <v>63</v>
      </c>
      <c r="AL33" t="s">
        <v>63</v>
      </c>
      <c r="AM33" t="s">
        <v>288</v>
      </c>
      <c r="AN33" t="s">
        <v>63</v>
      </c>
      <c r="AO33" t="s">
        <v>63</v>
      </c>
      <c r="AP33" t="s">
        <v>63</v>
      </c>
      <c r="AQ33" t="s">
        <v>63</v>
      </c>
      <c r="AR33" t="s">
        <v>63</v>
      </c>
      <c r="AS33" t="s">
        <v>63</v>
      </c>
      <c r="AT33" t="s">
        <v>63</v>
      </c>
      <c r="AU33" t="s">
        <v>63</v>
      </c>
      <c r="AV33" t="s">
        <v>63</v>
      </c>
      <c r="AW33" t="s">
        <v>63</v>
      </c>
      <c r="AX33" t="s">
        <v>63</v>
      </c>
      <c r="AY33" t="s">
        <v>63</v>
      </c>
      <c r="AZ33" t="s">
        <v>63</v>
      </c>
      <c r="BA33" t="s">
        <v>63</v>
      </c>
      <c r="BB33" t="s">
        <v>63</v>
      </c>
      <c r="BC33" t="s">
        <v>63</v>
      </c>
      <c r="BD33" t="s">
        <v>63</v>
      </c>
      <c r="BE33" t="s">
        <v>63</v>
      </c>
      <c r="BF33" t="s">
        <v>63</v>
      </c>
    </row>
    <row r="34" spans="1:58">
      <c r="A34" t="s">
        <v>58</v>
      </c>
      <c r="C34" t="s">
        <v>289</v>
      </c>
      <c r="D34" t="s">
        <v>290</v>
      </c>
      <c r="E34" t="s">
        <v>291</v>
      </c>
      <c r="F34">
        <v>1972</v>
      </c>
      <c r="G34" s="1">
        <v>41820</v>
      </c>
      <c r="H34">
        <v>2</v>
      </c>
      <c r="I34">
        <v>1</v>
      </c>
      <c r="J34">
        <v>2</v>
      </c>
      <c r="K34">
        <v>4</v>
      </c>
      <c r="L34" t="s">
        <v>292</v>
      </c>
      <c r="M34" t="s">
        <v>63</v>
      </c>
      <c r="N34" t="s">
        <v>293</v>
      </c>
      <c r="O34" t="s">
        <v>63</v>
      </c>
      <c r="Q34" t="s">
        <v>63</v>
      </c>
      <c r="R34" t="s">
        <v>63</v>
      </c>
      <c r="S34" t="s">
        <v>63</v>
      </c>
      <c r="T34" t="s">
        <v>63</v>
      </c>
      <c r="X34" t="s">
        <v>63</v>
      </c>
      <c r="Y34" t="s">
        <v>294</v>
      </c>
      <c r="Z34" t="s">
        <v>63</v>
      </c>
      <c r="AA34" t="s">
        <v>63</v>
      </c>
      <c r="AB34">
        <v>5074867</v>
      </c>
      <c r="AC34" t="s">
        <v>67</v>
      </c>
      <c r="AD34" t="s">
        <v>63</v>
      </c>
      <c r="AE34" t="s">
        <v>63</v>
      </c>
      <c r="AF34" t="s">
        <v>63</v>
      </c>
      <c r="AG34" t="s">
        <v>295</v>
      </c>
      <c r="AH34" t="s">
        <v>63</v>
      </c>
      <c r="AI34" t="s">
        <v>63</v>
      </c>
      <c r="AJ34" t="s">
        <v>63</v>
      </c>
      <c r="AK34" t="s">
        <v>63</v>
      </c>
      <c r="AL34" t="s">
        <v>63</v>
      </c>
      <c r="AM34" t="s">
        <v>296</v>
      </c>
      <c r="AN34" t="s">
        <v>63</v>
      </c>
      <c r="AO34" t="s">
        <v>63</v>
      </c>
      <c r="AP34" t="s">
        <v>63</v>
      </c>
      <c r="AQ34" t="s">
        <v>63</v>
      </c>
      <c r="AR34" t="s">
        <v>63</v>
      </c>
      <c r="AS34" t="s">
        <v>63</v>
      </c>
      <c r="AT34" t="s">
        <v>63</v>
      </c>
      <c r="AU34" t="s">
        <v>63</v>
      </c>
      <c r="AV34" t="s">
        <v>63</v>
      </c>
      <c r="AW34" t="s">
        <v>63</v>
      </c>
      <c r="AX34" t="s">
        <v>63</v>
      </c>
      <c r="AY34" t="s">
        <v>63</v>
      </c>
      <c r="AZ34" t="s">
        <v>63</v>
      </c>
      <c r="BA34" t="s">
        <v>63</v>
      </c>
      <c r="BB34" t="s">
        <v>63</v>
      </c>
      <c r="BC34" t="s">
        <v>63</v>
      </c>
      <c r="BD34" t="s">
        <v>63</v>
      </c>
      <c r="BE34" t="s">
        <v>63</v>
      </c>
      <c r="BF34" t="s">
        <v>63</v>
      </c>
    </row>
    <row r="35" spans="1:58">
      <c r="A35" t="s">
        <v>58</v>
      </c>
      <c r="C35" t="s">
        <v>297</v>
      </c>
      <c r="D35" t="s">
        <v>205</v>
      </c>
      <c r="E35" t="s">
        <v>205</v>
      </c>
      <c r="F35">
        <v>1972</v>
      </c>
      <c r="G35" s="1">
        <v>41724</v>
      </c>
      <c r="H35">
        <v>219</v>
      </c>
      <c r="I35">
        <v>13</v>
      </c>
      <c r="J35">
        <v>1757</v>
      </c>
      <c r="K35" t="s">
        <v>63</v>
      </c>
      <c r="L35" t="s">
        <v>298</v>
      </c>
      <c r="M35" t="s">
        <v>63</v>
      </c>
      <c r="N35" t="s">
        <v>299</v>
      </c>
      <c r="O35" t="s">
        <v>63</v>
      </c>
      <c r="Q35" t="s">
        <v>63</v>
      </c>
      <c r="R35" t="s">
        <v>63</v>
      </c>
      <c r="S35" t="s">
        <v>63</v>
      </c>
      <c r="T35" t="s">
        <v>63</v>
      </c>
      <c r="X35" t="s">
        <v>63</v>
      </c>
      <c r="Y35" t="s">
        <v>208</v>
      </c>
      <c r="Z35" t="s">
        <v>63</v>
      </c>
      <c r="AA35" t="s">
        <v>63</v>
      </c>
      <c r="AB35">
        <v>5067243</v>
      </c>
      <c r="AC35" t="s">
        <v>67</v>
      </c>
      <c r="AD35" t="s">
        <v>63</v>
      </c>
      <c r="AE35" t="s">
        <v>63</v>
      </c>
      <c r="AF35" t="s">
        <v>63</v>
      </c>
      <c r="AG35" t="s">
        <v>300</v>
      </c>
      <c r="AH35" t="s">
        <v>63</v>
      </c>
      <c r="AI35" t="s">
        <v>63</v>
      </c>
      <c r="AJ35" t="s">
        <v>63</v>
      </c>
      <c r="AK35" t="s">
        <v>63</v>
      </c>
      <c r="AL35" t="s">
        <v>63</v>
      </c>
      <c r="AM35" t="s">
        <v>301</v>
      </c>
      <c r="AN35" t="s">
        <v>63</v>
      </c>
      <c r="AO35" t="s">
        <v>63</v>
      </c>
      <c r="AP35" t="s">
        <v>63</v>
      </c>
      <c r="AQ35" t="s">
        <v>63</v>
      </c>
      <c r="AR35" t="s">
        <v>63</v>
      </c>
      <c r="AS35" t="s">
        <v>63</v>
      </c>
      <c r="AT35" t="s">
        <v>63</v>
      </c>
      <c r="AU35" t="s">
        <v>63</v>
      </c>
      <c r="AV35" t="s">
        <v>63</v>
      </c>
      <c r="AW35" t="s">
        <v>63</v>
      </c>
      <c r="AX35" t="s">
        <v>63</v>
      </c>
      <c r="AY35" t="s">
        <v>63</v>
      </c>
      <c r="AZ35" t="s">
        <v>63</v>
      </c>
      <c r="BA35" t="s">
        <v>63</v>
      </c>
      <c r="BB35" t="s">
        <v>63</v>
      </c>
      <c r="BC35" t="s">
        <v>63</v>
      </c>
      <c r="BD35" t="s">
        <v>63</v>
      </c>
      <c r="BE35" t="s">
        <v>63</v>
      </c>
      <c r="BF35" t="s">
        <v>63</v>
      </c>
    </row>
    <row r="36" spans="1:58">
      <c r="A36" t="s">
        <v>58</v>
      </c>
      <c r="C36" t="s">
        <v>302</v>
      </c>
      <c r="D36" t="s">
        <v>205</v>
      </c>
      <c r="E36" t="s">
        <v>205</v>
      </c>
      <c r="F36">
        <v>1972</v>
      </c>
      <c r="G36" s="1">
        <v>41724</v>
      </c>
      <c r="H36">
        <v>219</v>
      </c>
      <c r="I36">
        <v>13</v>
      </c>
      <c r="J36">
        <v>1746</v>
      </c>
      <c r="K36">
        <v>1749</v>
      </c>
      <c r="L36" t="s">
        <v>303</v>
      </c>
      <c r="M36" t="s">
        <v>63</v>
      </c>
      <c r="N36" t="s">
        <v>304</v>
      </c>
      <c r="O36" t="s">
        <v>63</v>
      </c>
      <c r="Q36" t="s">
        <v>63</v>
      </c>
      <c r="R36" t="s">
        <v>63</v>
      </c>
      <c r="S36" t="s">
        <v>63</v>
      </c>
      <c r="T36" t="s">
        <v>63</v>
      </c>
      <c r="X36" t="s">
        <v>63</v>
      </c>
      <c r="Y36" t="s">
        <v>208</v>
      </c>
      <c r="Z36" t="s">
        <v>63</v>
      </c>
      <c r="AA36" t="s">
        <v>63</v>
      </c>
      <c r="AB36">
        <v>5067240</v>
      </c>
      <c r="AC36" t="s">
        <v>67</v>
      </c>
      <c r="AD36" t="s">
        <v>63</v>
      </c>
      <c r="AE36" t="s">
        <v>63</v>
      </c>
      <c r="AF36" t="s">
        <v>63</v>
      </c>
      <c r="AG36" t="s">
        <v>305</v>
      </c>
      <c r="AH36" t="s">
        <v>63</v>
      </c>
      <c r="AI36" t="s">
        <v>63</v>
      </c>
      <c r="AJ36" t="s">
        <v>63</v>
      </c>
      <c r="AK36" t="s">
        <v>63</v>
      </c>
      <c r="AL36" t="s">
        <v>63</v>
      </c>
      <c r="AM36" t="s">
        <v>306</v>
      </c>
      <c r="AN36" t="s">
        <v>63</v>
      </c>
      <c r="AO36" t="s">
        <v>63</v>
      </c>
      <c r="AP36" t="s">
        <v>63</v>
      </c>
      <c r="AQ36" t="s">
        <v>63</v>
      </c>
      <c r="AR36" t="s">
        <v>63</v>
      </c>
      <c r="AS36" t="s">
        <v>63</v>
      </c>
      <c r="AT36" t="s">
        <v>63</v>
      </c>
      <c r="AU36" t="s">
        <v>63</v>
      </c>
      <c r="AV36" t="s">
        <v>63</v>
      </c>
      <c r="AW36" t="s">
        <v>63</v>
      </c>
      <c r="AX36" t="s">
        <v>63</v>
      </c>
      <c r="AY36" t="s">
        <v>63</v>
      </c>
      <c r="AZ36" t="s">
        <v>63</v>
      </c>
      <c r="BA36" t="s">
        <v>63</v>
      </c>
      <c r="BB36" t="s">
        <v>63</v>
      </c>
      <c r="BC36" t="s">
        <v>63</v>
      </c>
      <c r="BD36" t="s">
        <v>63</v>
      </c>
      <c r="BE36" t="s">
        <v>63</v>
      </c>
      <c r="BF36" t="s">
        <v>63</v>
      </c>
    </row>
    <row r="37" spans="1:58">
      <c r="A37" t="s">
        <v>58</v>
      </c>
      <c r="C37" t="s">
        <v>307</v>
      </c>
      <c r="D37" t="s">
        <v>308</v>
      </c>
      <c r="E37" t="s">
        <v>309</v>
      </c>
      <c r="F37">
        <v>1968</v>
      </c>
      <c r="G37" t="s">
        <v>189</v>
      </c>
      <c r="H37">
        <v>18</v>
      </c>
      <c r="I37">
        <v>5</v>
      </c>
      <c r="J37">
        <v>513</v>
      </c>
      <c r="K37">
        <v>517</v>
      </c>
      <c r="L37" t="s">
        <v>310</v>
      </c>
      <c r="M37" t="s">
        <v>63</v>
      </c>
      <c r="N37" t="s">
        <v>311</v>
      </c>
      <c r="O37" t="s">
        <v>63</v>
      </c>
      <c r="Q37" t="s">
        <v>63</v>
      </c>
      <c r="R37" t="s">
        <v>63</v>
      </c>
      <c r="S37" t="s">
        <v>63</v>
      </c>
      <c r="T37" t="s">
        <v>63</v>
      </c>
      <c r="X37" t="s">
        <v>63</v>
      </c>
      <c r="Y37" t="s">
        <v>312</v>
      </c>
      <c r="Z37" t="s">
        <v>63</v>
      </c>
      <c r="AA37" t="s">
        <v>63</v>
      </c>
      <c r="AB37">
        <v>5647530</v>
      </c>
      <c r="AC37" t="s">
        <v>67</v>
      </c>
      <c r="AD37" t="s">
        <v>63</v>
      </c>
      <c r="AE37" t="s">
        <v>63</v>
      </c>
      <c r="AF37" t="s">
        <v>63</v>
      </c>
      <c r="AG37" t="s">
        <v>313</v>
      </c>
      <c r="AH37" t="s">
        <v>63</v>
      </c>
      <c r="AI37" t="s">
        <v>63</v>
      </c>
      <c r="AJ37" t="s">
        <v>63</v>
      </c>
      <c r="AK37" t="s">
        <v>63</v>
      </c>
      <c r="AL37" t="s">
        <v>63</v>
      </c>
      <c r="AM37" t="s">
        <v>314</v>
      </c>
      <c r="AN37" t="s">
        <v>63</v>
      </c>
      <c r="AO37" t="s">
        <v>63</v>
      </c>
      <c r="AP37" t="s">
        <v>63</v>
      </c>
      <c r="AQ37" t="s">
        <v>63</v>
      </c>
      <c r="AR37" t="s">
        <v>63</v>
      </c>
      <c r="AS37" t="s">
        <v>63</v>
      </c>
      <c r="AT37" t="s">
        <v>63</v>
      </c>
      <c r="AU37" t="s">
        <v>63</v>
      </c>
      <c r="AV37" t="s">
        <v>63</v>
      </c>
      <c r="AW37" t="s">
        <v>63</v>
      </c>
      <c r="AX37" t="s">
        <v>63</v>
      </c>
      <c r="AY37" t="s">
        <v>63</v>
      </c>
      <c r="AZ37" t="s">
        <v>63</v>
      </c>
      <c r="BA37" t="s">
        <v>63</v>
      </c>
      <c r="BB37" t="s">
        <v>63</v>
      </c>
      <c r="BC37" t="s">
        <v>63</v>
      </c>
      <c r="BD37" t="s">
        <v>63</v>
      </c>
      <c r="BE37" t="s">
        <v>63</v>
      </c>
      <c r="BF37" t="s">
        <v>63</v>
      </c>
    </row>
    <row r="38" spans="1:58">
      <c r="A38" t="s">
        <v>58</v>
      </c>
      <c r="B38" t="s">
        <v>315</v>
      </c>
      <c r="C38" t="s">
        <v>316</v>
      </c>
      <c r="D38" t="s">
        <v>111</v>
      </c>
      <c r="E38" t="s">
        <v>112</v>
      </c>
      <c r="F38">
        <v>1992</v>
      </c>
      <c r="G38" s="1">
        <v>41670</v>
      </c>
      <c r="H38">
        <v>116</v>
      </c>
      <c r="I38">
        <v>3</v>
      </c>
      <c r="J38">
        <v>245</v>
      </c>
      <c r="K38">
        <v>254</v>
      </c>
      <c r="L38" t="s">
        <v>317</v>
      </c>
      <c r="M38" t="s">
        <v>318</v>
      </c>
      <c r="N38" t="s">
        <v>319</v>
      </c>
      <c r="O38" t="s">
        <v>63</v>
      </c>
      <c r="Q38" t="s">
        <v>63</v>
      </c>
      <c r="R38" t="s">
        <v>63</v>
      </c>
      <c r="S38" t="s">
        <v>63</v>
      </c>
      <c r="T38" t="s">
        <v>63</v>
      </c>
      <c r="X38" t="s">
        <v>63</v>
      </c>
      <c r="Y38" s="2">
        <v>1064742</v>
      </c>
      <c r="Z38" t="s">
        <v>63</v>
      </c>
      <c r="AA38" t="s">
        <v>320</v>
      </c>
      <c r="AB38">
        <v>1728207</v>
      </c>
      <c r="AC38" t="s">
        <v>67</v>
      </c>
      <c r="AD38" t="s">
        <v>63</v>
      </c>
      <c r="AE38" t="s">
        <v>63</v>
      </c>
      <c r="AF38" t="s">
        <v>63</v>
      </c>
      <c r="AG38" t="s">
        <v>321</v>
      </c>
      <c r="AH38" t="s">
        <v>63</v>
      </c>
      <c r="AI38" t="s">
        <v>63</v>
      </c>
      <c r="AJ38" t="s">
        <v>63</v>
      </c>
      <c r="AK38" t="s">
        <v>63</v>
      </c>
      <c r="AL38" t="s">
        <v>63</v>
      </c>
      <c r="AM38" t="s">
        <v>322</v>
      </c>
      <c r="AN38" t="s">
        <v>63</v>
      </c>
      <c r="AO38" t="s">
        <v>63</v>
      </c>
      <c r="AP38" t="s">
        <v>63</v>
      </c>
      <c r="AQ38" t="s">
        <v>63</v>
      </c>
      <c r="AR38" t="s">
        <v>63</v>
      </c>
      <c r="AS38" t="s">
        <v>63</v>
      </c>
      <c r="AT38" t="s">
        <v>63</v>
      </c>
      <c r="AU38" t="s">
        <v>63</v>
      </c>
      <c r="AV38" t="s">
        <v>63</v>
      </c>
      <c r="AW38" t="s">
        <v>63</v>
      </c>
      <c r="AX38" t="s">
        <v>63</v>
      </c>
      <c r="AY38" t="s">
        <v>63</v>
      </c>
      <c r="AZ38" t="s">
        <v>63</v>
      </c>
      <c r="BA38" t="s">
        <v>63</v>
      </c>
      <c r="BB38" t="s">
        <v>63</v>
      </c>
      <c r="BC38" t="s">
        <v>63</v>
      </c>
      <c r="BD38" t="s">
        <v>63</v>
      </c>
      <c r="BE38" t="s">
        <v>63</v>
      </c>
      <c r="BF38" t="s">
        <v>63</v>
      </c>
    </row>
    <row r="39" spans="1:58">
      <c r="A39" t="s">
        <v>58</v>
      </c>
      <c r="B39" t="s">
        <v>323</v>
      </c>
      <c r="C39" t="s">
        <v>324</v>
      </c>
      <c r="D39" t="s">
        <v>325</v>
      </c>
      <c r="E39" t="s">
        <v>63</v>
      </c>
      <c r="F39">
        <v>2016</v>
      </c>
      <c r="G39" t="s">
        <v>326</v>
      </c>
      <c r="H39">
        <v>40</v>
      </c>
      <c r="I39">
        <v>1</v>
      </c>
      <c r="J39">
        <v>149</v>
      </c>
      <c r="K39">
        <v>152</v>
      </c>
      <c r="L39" t="s">
        <v>327</v>
      </c>
      <c r="M39" t="s">
        <v>328</v>
      </c>
      <c r="N39" t="s">
        <v>329</v>
      </c>
      <c r="O39" t="s">
        <v>63</v>
      </c>
      <c r="Q39" t="s">
        <v>63</v>
      </c>
      <c r="R39" t="s">
        <v>63</v>
      </c>
      <c r="S39" t="s">
        <v>63</v>
      </c>
      <c r="T39" t="s">
        <v>63</v>
      </c>
      <c r="X39" t="s">
        <v>63</v>
      </c>
      <c r="Y39" t="s">
        <v>330</v>
      </c>
      <c r="Z39" t="s">
        <v>63</v>
      </c>
      <c r="AA39" t="s">
        <v>331</v>
      </c>
      <c r="AB39">
        <v>24832675</v>
      </c>
      <c r="AC39" t="s">
        <v>67</v>
      </c>
      <c r="AD39" t="s">
        <v>63</v>
      </c>
      <c r="AE39" t="s">
        <v>63</v>
      </c>
      <c r="AF39" t="s">
        <v>63</v>
      </c>
      <c r="AG39" t="s">
        <v>332</v>
      </c>
      <c r="AH39" t="s">
        <v>63</v>
      </c>
      <c r="AI39" t="s">
        <v>333</v>
      </c>
      <c r="AJ39" t="s">
        <v>63</v>
      </c>
      <c r="AK39" t="s">
        <v>63</v>
      </c>
      <c r="AL39" t="s">
        <v>63</v>
      </c>
      <c r="AM39" t="s">
        <v>334</v>
      </c>
      <c r="AN39" t="s">
        <v>63</v>
      </c>
      <c r="AO39" t="s">
        <v>63</v>
      </c>
      <c r="AP39" t="s">
        <v>63</v>
      </c>
      <c r="AQ39" t="s">
        <v>63</v>
      </c>
      <c r="AR39" t="s">
        <v>63</v>
      </c>
      <c r="AS39" t="s">
        <v>63</v>
      </c>
      <c r="AT39" t="s">
        <v>63</v>
      </c>
      <c r="AU39" t="s">
        <v>63</v>
      </c>
      <c r="AV39" t="s">
        <v>63</v>
      </c>
      <c r="AW39" t="s">
        <v>63</v>
      </c>
      <c r="AX39" t="s">
        <v>63</v>
      </c>
      <c r="AY39" t="s">
        <v>63</v>
      </c>
      <c r="AZ39" t="s">
        <v>63</v>
      </c>
      <c r="BA39" t="s">
        <v>63</v>
      </c>
      <c r="BB39" t="s">
        <v>63</v>
      </c>
      <c r="BC39" t="s">
        <v>63</v>
      </c>
      <c r="BD39" t="s">
        <v>63</v>
      </c>
      <c r="BE39" t="s">
        <v>63</v>
      </c>
      <c r="BF39" t="s">
        <v>63</v>
      </c>
    </row>
    <row r="40" spans="1:58">
      <c r="A40" t="s">
        <v>58</v>
      </c>
      <c r="B40" t="s">
        <v>335</v>
      </c>
      <c r="C40" t="s">
        <v>336</v>
      </c>
      <c r="D40" t="s">
        <v>337</v>
      </c>
      <c r="E40" t="s">
        <v>63</v>
      </c>
      <c r="F40">
        <v>2013</v>
      </c>
      <c r="G40" t="s">
        <v>338</v>
      </c>
      <c r="H40">
        <v>12</v>
      </c>
      <c r="I40">
        <v>2</v>
      </c>
      <c r="J40">
        <v>120</v>
      </c>
      <c r="K40">
        <v>126</v>
      </c>
      <c r="L40" t="s">
        <v>339</v>
      </c>
      <c r="M40" t="s">
        <v>340</v>
      </c>
      <c r="N40" t="s">
        <v>341</v>
      </c>
      <c r="O40" t="s">
        <v>63</v>
      </c>
      <c r="Q40" t="s">
        <v>63</v>
      </c>
      <c r="R40" t="s">
        <v>63</v>
      </c>
      <c r="S40" t="s">
        <v>63</v>
      </c>
      <c r="T40" t="s">
        <v>63</v>
      </c>
      <c r="X40" t="s">
        <v>63</v>
      </c>
      <c r="Y40" t="s">
        <v>342</v>
      </c>
      <c r="Z40" t="s">
        <v>63</v>
      </c>
      <c r="AA40" t="s">
        <v>343</v>
      </c>
      <c r="AB40">
        <v>23713020</v>
      </c>
      <c r="AC40" t="s">
        <v>67</v>
      </c>
      <c r="AD40" t="s">
        <v>63</v>
      </c>
      <c r="AE40" t="s">
        <v>63</v>
      </c>
      <c r="AF40" t="s">
        <v>63</v>
      </c>
      <c r="AG40" t="s">
        <v>344</v>
      </c>
      <c r="AH40" t="s">
        <v>63</v>
      </c>
      <c r="AI40" t="s">
        <v>345</v>
      </c>
      <c r="AJ40" t="s">
        <v>63</v>
      </c>
      <c r="AK40" t="s">
        <v>63</v>
      </c>
      <c r="AL40" t="s">
        <v>63</v>
      </c>
      <c r="AM40" t="s">
        <v>346</v>
      </c>
      <c r="AN40" t="s">
        <v>63</v>
      </c>
      <c r="AO40" t="s">
        <v>63</v>
      </c>
      <c r="AP40" t="s">
        <v>63</v>
      </c>
      <c r="AQ40" t="s">
        <v>63</v>
      </c>
      <c r="AR40" t="s">
        <v>63</v>
      </c>
      <c r="AS40" t="s">
        <v>63</v>
      </c>
      <c r="AT40" t="s">
        <v>63</v>
      </c>
      <c r="AU40" t="s">
        <v>63</v>
      </c>
      <c r="AV40" t="s">
        <v>63</v>
      </c>
      <c r="AW40" t="s">
        <v>63</v>
      </c>
      <c r="AX40" t="s">
        <v>63</v>
      </c>
      <c r="AY40" t="s">
        <v>63</v>
      </c>
      <c r="AZ40" t="s">
        <v>63</v>
      </c>
      <c r="BA40" t="s">
        <v>63</v>
      </c>
      <c r="BB40" t="s">
        <v>63</v>
      </c>
      <c r="BC40" t="s">
        <v>63</v>
      </c>
      <c r="BD40" t="s">
        <v>63</v>
      </c>
      <c r="BE40" t="s">
        <v>63</v>
      </c>
      <c r="BF40" t="s">
        <v>63</v>
      </c>
    </row>
    <row r="41" spans="1:58">
      <c r="A41" t="s">
        <v>58</v>
      </c>
      <c r="B41" t="s">
        <v>347</v>
      </c>
      <c r="C41" t="s">
        <v>348</v>
      </c>
      <c r="D41" t="s">
        <v>349</v>
      </c>
      <c r="E41" t="s">
        <v>350</v>
      </c>
      <c r="F41">
        <v>2003</v>
      </c>
      <c r="G41" t="s">
        <v>198</v>
      </c>
      <c r="H41">
        <v>24</v>
      </c>
      <c r="I41">
        <v>1</v>
      </c>
      <c r="J41">
        <v>101</v>
      </c>
      <c r="K41">
        <v>105</v>
      </c>
      <c r="L41" t="s">
        <v>351</v>
      </c>
      <c r="M41" t="s">
        <v>352</v>
      </c>
      <c r="N41" t="s">
        <v>353</v>
      </c>
      <c r="O41" t="s">
        <v>63</v>
      </c>
      <c r="Q41" t="s">
        <v>63</v>
      </c>
      <c r="R41" t="s">
        <v>63</v>
      </c>
      <c r="S41" t="s">
        <v>63</v>
      </c>
      <c r="T41" t="s">
        <v>63</v>
      </c>
      <c r="X41" t="s">
        <v>63</v>
      </c>
      <c r="Y41" t="s">
        <v>354</v>
      </c>
      <c r="Z41" t="s">
        <v>63</v>
      </c>
      <c r="AA41" t="s">
        <v>355</v>
      </c>
      <c r="AB41">
        <v>12554029</v>
      </c>
      <c r="AC41" t="s">
        <v>67</v>
      </c>
      <c r="AD41" t="s">
        <v>63</v>
      </c>
      <c r="AE41" t="s">
        <v>63</v>
      </c>
      <c r="AF41" t="s">
        <v>63</v>
      </c>
      <c r="AG41" t="s">
        <v>356</v>
      </c>
      <c r="AH41" t="s">
        <v>63</v>
      </c>
      <c r="AI41" t="s">
        <v>63</v>
      </c>
      <c r="AJ41" t="s">
        <v>63</v>
      </c>
      <c r="AK41" t="s">
        <v>63</v>
      </c>
      <c r="AL41" t="s">
        <v>63</v>
      </c>
      <c r="AM41" t="s">
        <v>357</v>
      </c>
      <c r="AN41" t="s">
        <v>63</v>
      </c>
      <c r="AO41" t="s">
        <v>63</v>
      </c>
      <c r="AP41" t="s">
        <v>63</v>
      </c>
      <c r="AQ41" t="s">
        <v>63</v>
      </c>
      <c r="AR41" t="s">
        <v>63</v>
      </c>
      <c r="AS41" t="s">
        <v>63</v>
      </c>
      <c r="AT41" t="s">
        <v>63</v>
      </c>
      <c r="AU41" t="s">
        <v>63</v>
      </c>
      <c r="AV41" t="s">
        <v>63</v>
      </c>
      <c r="AW41" t="s">
        <v>63</v>
      </c>
      <c r="AX41" t="s">
        <v>63</v>
      </c>
      <c r="AY41" t="s">
        <v>63</v>
      </c>
      <c r="AZ41" t="s">
        <v>63</v>
      </c>
      <c r="BA41" t="s">
        <v>63</v>
      </c>
      <c r="BB41" t="s">
        <v>63</v>
      </c>
      <c r="BC41" t="s">
        <v>63</v>
      </c>
      <c r="BD41" t="s">
        <v>63</v>
      </c>
      <c r="BE41" t="s">
        <v>63</v>
      </c>
      <c r="BF41" t="s">
        <v>63</v>
      </c>
    </row>
    <row r="42" spans="1:58">
      <c r="A42" t="s">
        <v>58</v>
      </c>
      <c r="B42" t="s">
        <v>358</v>
      </c>
      <c r="C42" t="s">
        <v>359</v>
      </c>
      <c r="D42" t="s">
        <v>360</v>
      </c>
      <c r="E42" t="s">
        <v>63</v>
      </c>
      <c r="F42">
        <v>2011</v>
      </c>
      <c r="G42" t="s">
        <v>219</v>
      </c>
      <c r="H42">
        <v>37</v>
      </c>
      <c r="I42">
        <v>6</v>
      </c>
      <c r="J42">
        <v>515</v>
      </c>
      <c r="K42">
        <v>519</v>
      </c>
      <c r="L42" t="s">
        <v>361</v>
      </c>
      <c r="M42" t="s">
        <v>362</v>
      </c>
      <c r="N42" t="s">
        <v>363</v>
      </c>
      <c r="O42" t="s">
        <v>63</v>
      </c>
      <c r="Q42" t="s">
        <v>63</v>
      </c>
      <c r="R42" t="s">
        <v>63</v>
      </c>
      <c r="S42" t="s">
        <v>63</v>
      </c>
      <c r="T42" t="s">
        <v>63</v>
      </c>
      <c r="X42" t="s">
        <v>63</v>
      </c>
      <c r="Y42" t="s">
        <v>364</v>
      </c>
      <c r="Z42" t="s">
        <v>63</v>
      </c>
      <c r="AA42" t="s">
        <v>365</v>
      </c>
      <c r="AB42">
        <v>21846304</v>
      </c>
      <c r="AC42" t="s">
        <v>67</v>
      </c>
      <c r="AD42" t="s">
        <v>63</v>
      </c>
      <c r="AE42" t="s">
        <v>63</v>
      </c>
      <c r="AF42" t="s">
        <v>63</v>
      </c>
      <c r="AG42" t="s">
        <v>366</v>
      </c>
      <c r="AH42" t="s">
        <v>63</v>
      </c>
      <c r="AI42" t="s">
        <v>367</v>
      </c>
      <c r="AJ42" t="s">
        <v>63</v>
      </c>
      <c r="AK42" t="s">
        <v>63</v>
      </c>
      <c r="AL42" t="s">
        <v>63</v>
      </c>
      <c r="AM42" t="s">
        <v>368</v>
      </c>
      <c r="AN42" t="s">
        <v>63</v>
      </c>
      <c r="AO42" t="s">
        <v>63</v>
      </c>
      <c r="AP42" t="s">
        <v>63</v>
      </c>
      <c r="AQ42" t="s">
        <v>63</v>
      </c>
      <c r="AR42" t="s">
        <v>63</v>
      </c>
      <c r="AS42" t="s">
        <v>63</v>
      </c>
      <c r="AT42" t="s">
        <v>63</v>
      </c>
      <c r="AU42" t="s">
        <v>63</v>
      </c>
      <c r="AV42" t="s">
        <v>63</v>
      </c>
      <c r="AW42" t="s">
        <v>63</v>
      </c>
      <c r="AX42" t="s">
        <v>63</v>
      </c>
      <c r="AY42" t="s">
        <v>63</v>
      </c>
      <c r="AZ42" t="s">
        <v>63</v>
      </c>
      <c r="BA42" t="s">
        <v>63</v>
      </c>
      <c r="BB42" t="s">
        <v>63</v>
      </c>
      <c r="BC42" t="s">
        <v>63</v>
      </c>
      <c r="BD42" t="s">
        <v>63</v>
      </c>
      <c r="BE42" t="s">
        <v>63</v>
      </c>
      <c r="BF42" t="s">
        <v>63</v>
      </c>
    </row>
    <row r="43" spans="1:58">
      <c r="A43" t="s">
        <v>58</v>
      </c>
      <c r="B43" t="s">
        <v>369</v>
      </c>
      <c r="C43" t="s">
        <v>370</v>
      </c>
      <c r="D43" t="s">
        <v>371</v>
      </c>
      <c r="E43" t="s">
        <v>63</v>
      </c>
      <c r="F43">
        <v>1998</v>
      </c>
      <c r="G43" t="s">
        <v>138</v>
      </c>
      <c r="H43">
        <v>13</v>
      </c>
      <c r="I43">
        <v>10</v>
      </c>
      <c r="J43">
        <v>692</v>
      </c>
      <c r="K43">
        <v>698</v>
      </c>
      <c r="L43" t="s">
        <v>372</v>
      </c>
      <c r="M43" t="s">
        <v>373</v>
      </c>
      <c r="N43" t="s">
        <v>374</v>
      </c>
      <c r="O43" t="s">
        <v>63</v>
      </c>
      <c r="Q43" t="s">
        <v>63</v>
      </c>
      <c r="R43" t="s">
        <v>63</v>
      </c>
      <c r="S43" t="s">
        <v>63</v>
      </c>
      <c r="T43" t="s">
        <v>63</v>
      </c>
      <c r="X43" t="s">
        <v>63</v>
      </c>
      <c r="Y43" t="s">
        <v>375</v>
      </c>
      <c r="Z43" t="s">
        <v>63</v>
      </c>
      <c r="AA43" t="s">
        <v>376</v>
      </c>
      <c r="AB43">
        <v>9798817</v>
      </c>
      <c r="AC43" t="s">
        <v>67</v>
      </c>
      <c r="AD43" t="s">
        <v>63</v>
      </c>
      <c r="AE43" t="s">
        <v>63</v>
      </c>
      <c r="AF43" t="s">
        <v>63</v>
      </c>
      <c r="AG43" t="s">
        <v>377</v>
      </c>
      <c r="AH43" t="s">
        <v>63</v>
      </c>
      <c r="AI43" t="s">
        <v>63</v>
      </c>
      <c r="AJ43" t="s">
        <v>63</v>
      </c>
      <c r="AK43" t="s">
        <v>63</v>
      </c>
      <c r="AL43" t="s">
        <v>63</v>
      </c>
      <c r="AM43" t="s">
        <v>378</v>
      </c>
      <c r="AN43" t="s">
        <v>63</v>
      </c>
      <c r="AO43" t="s">
        <v>63</v>
      </c>
      <c r="AP43" t="s">
        <v>63</v>
      </c>
      <c r="AQ43" t="s">
        <v>63</v>
      </c>
      <c r="AR43" t="s">
        <v>63</v>
      </c>
      <c r="AS43" t="s">
        <v>63</v>
      </c>
      <c r="AT43" t="s">
        <v>63</v>
      </c>
      <c r="AU43" t="s">
        <v>63</v>
      </c>
      <c r="AV43" t="s">
        <v>63</v>
      </c>
      <c r="AW43" t="s">
        <v>63</v>
      </c>
      <c r="AX43" t="s">
        <v>63</v>
      </c>
      <c r="AY43" t="s">
        <v>63</v>
      </c>
      <c r="AZ43" t="s">
        <v>63</v>
      </c>
      <c r="BA43" t="s">
        <v>63</v>
      </c>
      <c r="BB43" t="s">
        <v>63</v>
      </c>
      <c r="BC43" t="s">
        <v>63</v>
      </c>
      <c r="BD43" t="s">
        <v>63</v>
      </c>
      <c r="BE43" t="s">
        <v>63</v>
      </c>
      <c r="BF43" t="s">
        <v>63</v>
      </c>
    </row>
    <row r="44" spans="1:58">
      <c r="A44" t="s">
        <v>58</v>
      </c>
      <c r="B44" t="s">
        <v>379</v>
      </c>
      <c r="C44" t="s">
        <v>380</v>
      </c>
      <c r="D44" t="s">
        <v>381</v>
      </c>
      <c r="E44" t="s">
        <v>63</v>
      </c>
      <c r="F44">
        <v>1975</v>
      </c>
      <c r="G44" t="s">
        <v>181</v>
      </c>
      <c r="H44">
        <v>58</v>
      </c>
      <c r="I44">
        <v>9</v>
      </c>
      <c r="J44">
        <v>387</v>
      </c>
      <c r="K44">
        <v>388</v>
      </c>
      <c r="L44" t="s">
        <v>382</v>
      </c>
      <c r="M44" t="s">
        <v>63</v>
      </c>
      <c r="N44" t="s">
        <v>383</v>
      </c>
      <c r="O44" t="s">
        <v>63</v>
      </c>
      <c r="Q44" t="s">
        <v>63</v>
      </c>
      <c r="R44" t="s">
        <v>63</v>
      </c>
      <c r="S44" t="s">
        <v>63</v>
      </c>
      <c r="T44" t="s">
        <v>63</v>
      </c>
      <c r="X44" t="s">
        <v>63</v>
      </c>
      <c r="Y44" t="s">
        <v>384</v>
      </c>
      <c r="Z44" t="s">
        <v>63</v>
      </c>
      <c r="AA44" t="s">
        <v>63</v>
      </c>
      <c r="AB44">
        <v>127373</v>
      </c>
      <c r="AC44" t="s">
        <v>67</v>
      </c>
      <c r="AD44" t="s">
        <v>63</v>
      </c>
      <c r="AE44" t="s">
        <v>63</v>
      </c>
      <c r="AF44" t="s">
        <v>63</v>
      </c>
      <c r="AG44" t="s">
        <v>385</v>
      </c>
      <c r="AH44" t="s">
        <v>63</v>
      </c>
      <c r="AI44" t="s">
        <v>63</v>
      </c>
      <c r="AJ44" t="s">
        <v>63</v>
      </c>
      <c r="AK44" t="s">
        <v>63</v>
      </c>
      <c r="AL44" t="s">
        <v>63</v>
      </c>
      <c r="AM44" t="s">
        <v>386</v>
      </c>
      <c r="AN44" t="s">
        <v>63</v>
      </c>
      <c r="AO44" t="s">
        <v>63</v>
      </c>
      <c r="AP44" t="s">
        <v>63</v>
      </c>
      <c r="AQ44" t="s">
        <v>63</v>
      </c>
      <c r="AR44" t="s">
        <v>63</v>
      </c>
      <c r="AS44" t="s">
        <v>63</v>
      </c>
      <c r="AT44" t="s">
        <v>63</v>
      </c>
      <c r="AU44" t="s">
        <v>63</v>
      </c>
      <c r="AV44" t="s">
        <v>63</v>
      </c>
      <c r="AW44" t="s">
        <v>63</v>
      </c>
      <c r="AX44" t="s">
        <v>63</v>
      </c>
      <c r="AY44" t="s">
        <v>63</v>
      </c>
      <c r="AZ44" t="s">
        <v>63</v>
      </c>
      <c r="BA44" t="s">
        <v>63</v>
      </c>
      <c r="BB44" t="s">
        <v>63</v>
      </c>
      <c r="BC44" t="s">
        <v>63</v>
      </c>
      <c r="BD44" t="s">
        <v>63</v>
      </c>
      <c r="BE44" t="s">
        <v>63</v>
      </c>
      <c r="BF44" t="s">
        <v>63</v>
      </c>
    </row>
    <row r="45" spans="1:58">
      <c r="A45" t="s">
        <v>58</v>
      </c>
      <c r="B45" t="s">
        <v>387</v>
      </c>
      <c r="C45" t="s">
        <v>388</v>
      </c>
      <c r="D45" t="s">
        <v>389</v>
      </c>
      <c r="E45" t="s">
        <v>63</v>
      </c>
      <c r="F45">
        <v>2002</v>
      </c>
      <c r="G45" t="s">
        <v>181</v>
      </c>
      <c r="H45">
        <v>23</v>
      </c>
      <c r="I45">
        <v>3</v>
      </c>
      <c r="J45">
        <v>133</v>
      </c>
      <c r="K45">
        <v>141</v>
      </c>
      <c r="L45" t="s">
        <v>390</v>
      </c>
      <c r="M45" t="s">
        <v>63</v>
      </c>
      <c r="N45" t="s">
        <v>391</v>
      </c>
      <c r="O45" t="s">
        <v>63</v>
      </c>
      <c r="Q45" t="s">
        <v>63</v>
      </c>
      <c r="R45" t="s">
        <v>63</v>
      </c>
      <c r="S45" t="s">
        <v>63</v>
      </c>
      <c r="T45" t="s">
        <v>63</v>
      </c>
      <c r="X45" t="s">
        <v>63</v>
      </c>
      <c r="Y45" t="s">
        <v>392</v>
      </c>
      <c r="Z45" t="s">
        <v>63</v>
      </c>
      <c r="AA45" t="s">
        <v>393</v>
      </c>
      <c r="AB45">
        <v>23580991</v>
      </c>
      <c r="AC45" t="s">
        <v>67</v>
      </c>
      <c r="AD45" t="s">
        <v>63</v>
      </c>
      <c r="AE45" t="s">
        <v>63</v>
      </c>
      <c r="AF45" t="s">
        <v>63</v>
      </c>
      <c r="AG45" t="s">
        <v>394</v>
      </c>
      <c r="AH45" t="s">
        <v>63</v>
      </c>
      <c r="AI45" t="s">
        <v>63</v>
      </c>
      <c r="AJ45" t="s">
        <v>63</v>
      </c>
      <c r="AK45" t="s">
        <v>63</v>
      </c>
      <c r="AL45" t="s">
        <v>63</v>
      </c>
      <c r="AM45" t="s">
        <v>395</v>
      </c>
      <c r="AN45" t="s">
        <v>63</v>
      </c>
      <c r="AO45" t="s">
        <v>63</v>
      </c>
      <c r="AP45" t="s">
        <v>63</v>
      </c>
      <c r="AQ45" t="s">
        <v>63</v>
      </c>
      <c r="AR45" t="s">
        <v>63</v>
      </c>
      <c r="AS45" t="s">
        <v>63</v>
      </c>
      <c r="AT45" t="s">
        <v>63</v>
      </c>
      <c r="AU45" t="s">
        <v>63</v>
      </c>
      <c r="AV45" t="s">
        <v>63</v>
      </c>
      <c r="AW45" t="s">
        <v>63</v>
      </c>
      <c r="AX45" t="s">
        <v>63</v>
      </c>
      <c r="AY45" t="s">
        <v>63</v>
      </c>
      <c r="AZ45" t="s">
        <v>63</v>
      </c>
      <c r="BA45" t="s">
        <v>63</v>
      </c>
      <c r="BB45" t="s">
        <v>63</v>
      </c>
      <c r="BC45" t="s">
        <v>63</v>
      </c>
      <c r="BD45" t="s">
        <v>63</v>
      </c>
      <c r="BE45" t="s">
        <v>63</v>
      </c>
      <c r="BF45" t="s">
        <v>63</v>
      </c>
    </row>
    <row r="46" spans="1:58">
      <c r="A46" t="s">
        <v>58</v>
      </c>
      <c r="B46" t="s">
        <v>396</v>
      </c>
      <c r="C46" t="s">
        <v>397</v>
      </c>
      <c r="D46" t="s">
        <v>398</v>
      </c>
      <c r="E46" t="s">
        <v>398</v>
      </c>
      <c r="F46">
        <v>1990</v>
      </c>
      <c r="G46" t="s">
        <v>138</v>
      </c>
      <c r="H46">
        <v>86</v>
      </c>
      <c r="I46">
        <v>4</v>
      </c>
      <c r="J46">
        <v>555</v>
      </c>
      <c r="K46">
        <v>560</v>
      </c>
      <c r="L46" t="s">
        <v>399</v>
      </c>
      <c r="M46" t="s">
        <v>400</v>
      </c>
      <c r="N46" t="s">
        <v>401</v>
      </c>
      <c r="O46" t="s">
        <v>63</v>
      </c>
      <c r="Q46" t="s">
        <v>63</v>
      </c>
      <c r="R46" t="s">
        <v>63</v>
      </c>
      <c r="S46" t="s">
        <v>63</v>
      </c>
      <c r="T46" t="s">
        <v>63</v>
      </c>
      <c r="X46" t="s">
        <v>63</v>
      </c>
      <c r="Y46" t="s">
        <v>402</v>
      </c>
      <c r="Z46" t="s">
        <v>63</v>
      </c>
      <c r="AA46" t="s">
        <v>403</v>
      </c>
      <c r="AB46">
        <v>2216620</v>
      </c>
      <c r="AC46" t="s">
        <v>67</v>
      </c>
      <c r="AD46" t="s">
        <v>63</v>
      </c>
      <c r="AE46" t="s">
        <v>63</v>
      </c>
      <c r="AF46" t="s">
        <v>63</v>
      </c>
      <c r="AG46" t="s">
        <v>404</v>
      </c>
      <c r="AH46" t="s">
        <v>63</v>
      </c>
      <c r="AI46" t="s">
        <v>63</v>
      </c>
      <c r="AJ46" t="s">
        <v>63</v>
      </c>
      <c r="AK46" t="s">
        <v>63</v>
      </c>
      <c r="AL46" t="s">
        <v>63</v>
      </c>
      <c r="AM46" t="s">
        <v>405</v>
      </c>
      <c r="AN46" t="s">
        <v>63</v>
      </c>
      <c r="AO46" t="s">
        <v>63</v>
      </c>
      <c r="AP46" t="s">
        <v>63</v>
      </c>
      <c r="AQ46" t="s">
        <v>63</v>
      </c>
      <c r="AR46" t="s">
        <v>63</v>
      </c>
      <c r="AS46" t="s">
        <v>63</v>
      </c>
      <c r="AT46" t="s">
        <v>63</v>
      </c>
      <c r="AU46" t="s">
        <v>63</v>
      </c>
      <c r="AV46" t="s">
        <v>63</v>
      </c>
      <c r="AW46" t="s">
        <v>63</v>
      </c>
      <c r="AX46" t="s">
        <v>63</v>
      </c>
      <c r="AY46" t="s">
        <v>63</v>
      </c>
      <c r="AZ46" t="s">
        <v>63</v>
      </c>
      <c r="BA46" t="s">
        <v>63</v>
      </c>
      <c r="BB46" t="s">
        <v>63</v>
      </c>
      <c r="BC46" t="s">
        <v>63</v>
      </c>
      <c r="BD46" t="s">
        <v>63</v>
      </c>
      <c r="BE46" t="s">
        <v>63</v>
      </c>
      <c r="BF46" t="s">
        <v>63</v>
      </c>
    </row>
    <row r="47" spans="1:58">
      <c r="A47" t="s">
        <v>58</v>
      </c>
      <c r="B47" t="s">
        <v>406</v>
      </c>
      <c r="C47" t="s">
        <v>407</v>
      </c>
      <c r="D47" t="s">
        <v>408</v>
      </c>
      <c r="E47" t="s">
        <v>409</v>
      </c>
      <c r="F47">
        <v>2018</v>
      </c>
      <c r="G47" s="1">
        <v>41684</v>
      </c>
      <c r="H47" t="s">
        <v>63</v>
      </c>
      <c r="I47" t="s">
        <v>63</v>
      </c>
      <c r="J47">
        <v>1</v>
      </c>
      <c r="K47">
        <v>6</v>
      </c>
      <c r="L47" t="s">
        <v>63</v>
      </c>
      <c r="M47" t="s">
        <v>410</v>
      </c>
      <c r="N47" t="s">
        <v>411</v>
      </c>
      <c r="O47" t="s">
        <v>63</v>
      </c>
      <c r="Q47" t="s">
        <v>63</v>
      </c>
      <c r="R47" t="s">
        <v>63</v>
      </c>
      <c r="S47" t="s">
        <v>63</v>
      </c>
      <c r="T47" t="s">
        <v>63</v>
      </c>
      <c r="X47" t="s">
        <v>63</v>
      </c>
      <c r="Y47" t="s">
        <v>412</v>
      </c>
      <c r="Z47" t="s">
        <v>63</v>
      </c>
      <c r="AA47" t="s">
        <v>413</v>
      </c>
      <c r="AB47">
        <v>29447544</v>
      </c>
      <c r="AC47" t="s">
        <v>67</v>
      </c>
      <c r="AD47" t="s">
        <v>63</v>
      </c>
      <c r="AE47" t="s">
        <v>63</v>
      </c>
      <c r="AF47" t="s">
        <v>63</v>
      </c>
      <c r="AG47" t="s">
        <v>414</v>
      </c>
      <c r="AH47" t="s">
        <v>63</v>
      </c>
      <c r="AI47" t="s">
        <v>415</v>
      </c>
      <c r="AJ47" t="s">
        <v>63</v>
      </c>
      <c r="AK47" t="s">
        <v>63</v>
      </c>
      <c r="AL47" t="s">
        <v>63</v>
      </c>
      <c r="AM47" t="s">
        <v>416</v>
      </c>
      <c r="AN47" t="s">
        <v>63</v>
      </c>
      <c r="AO47" t="s">
        <v>63</v>
      </c>
      <c r="AP47" t="s">
        <v>63</v>
      </c>
      <c r="AQ47" t="s">
        <v>63</v>
      </c>
      <c r="AR47" t="s">
        <v>63</v>
      </c>
      <c r="AS47" t="s">
        <v>63</v>
      </c>
      <c r="AT47" t="s">
        <v>63</v>
      </c>
      <c r="AU47" t="s">
        <v>63</v>
      </c>
      <c r="AV47" t="s">
        <v>63</v>
      </c>
      <c r="AW47" t="s">
        <v>63</v>
      </c>
      <c r="AX47" t="s">
        <v>63</v>
      </c>
      <c r="AY47" t="s">
        <v>63</v>
      </c>
      <c r="AZ47" t="s">
        <v>63</v>
      </c>
      <c r="BA47" t="s">
        <v>63</v>
      </c>
      <c r="BB47" t="s">
        <v>63</v>
      </c>
      <c r="BC47" t="s">
        <v>63</v>
      </c>
      <c r="BD47" t="s">
        <v>63</v>
      </c>
      <c r="BE47" t="s">
        <v>63</v>
      </c>
      <c r="BF47" t="s">
        <v>63</v>
      </c>
    </row>
    <row r="48" spans="1:58">
      <c r="A48" t="s">
        <v>58</v>
      </c>
      <c r="B48" t="s">
        <v>417</v>
      </c>
      <c r="C48" t="s">
        <v>418</v>
      </c>
      <c r="D48" t="s">
        <v>325</v>
      </c>
      <c r="E48" t="s">
        <v>63</v>
      </c>
      <c r="F48">
        <v>2016</v>
      </c>
      <c r="G48" t="s">
        <v>73</v>
      </c>
      <c r="H48">
        <v>40</v>
      </c>
      <c r="I48">
        <v>3</v>
      </c>
      <c r="J48">
        <v>475</v>
      </c>
      <c r="K48">
        <v>480</v>
      </c>
      <c r="L48" t="s">
        <v>419</v>
      </c>
      <c r="M48" t="s">
        <v>420</v>
      </c>
      <c r="N48" t="s">
        <v>421</v>
      </c>
      <c r="O48" t="s">
        <v>63</v>
      </c>
      <c r="Q48" t="s">
        <v>63</v>
      </c>
      <c r="R48" t="s">
        <v>63</v>
      </c>
      <c r="S48" t="s">
        <v>63</v>
      </c>
      <c r="T48" t="s">
        <v>63</v>
      </c>
      <c r="X48" t="s">
        <v>63</v>
      </c>
      <c r="Y48" t="s">
        <v>330</v>
      </c>
      <c r="Z48" t="s">
        <v>63</v>
      </c>
      <c r="AA48" t="s">
        <v>422</v>
      </c>
      <c r="AB48">
        <v>27056051</v>
      </c>
      <c r="AC48" t="s">
        <v>67</v>
      </c>
      <c r="AD48" t="s">
        <v>63</v>
      </c>
      <c r="AE48" t="s">
        <v>63</v>
      </c>
      <c r="AF48" t="s">
        <v>63</v>
      </c>
      <c r="AG48" t="s">
        <v>423</v>
      </c>
      <c r="AH48" t="s">
        <v>63</v>
      </c>
      <c r="AI48" t="s">
        <v>424</v>
      </c>
      <c r="AJ48" t="s">
        <v>63</v>
      </c>
      <c r="AK48" t="s">
        <v>63</v>
      </c>
      <c r="AL48" t="s">
        <v>63</v>
      </c>
      <c r="AM48" t="s">
        <v>425</v>
      </c>
      <c r="AN48" t="s">
        <v>63</v>
      </c>
      <c r="AO48" t="s">
        <v>63</v>
      </c>
      <c r="AP48" t="s">
        <v>63</v>
      </c>
      <c r="AQ48" t="s">
        <v>63</v>
      </c>
      <c r="AR48" t="s">
        <v>63</v>
      </c>
      <c r="AS48" t="s">
        <v>63</v>
      </c>
      <c r="AT48" t="s">
        <v>63</v>
      </c>
      <c r="AU48" t="s">
        <v>63</v>
      </c>
      <c r="AV48" t="s">
        <v>63</v>
      </c>
      <c r="AW48" t="s">
        <v>63</v>
      </c>
      <c r="AX48" t="s">
        <v>63</v>
      </c>
      <c r="AY48" t="s">
        <v>63</v>
      </c>
      <c r="AZ48" t="s">
        <v>63</v>
      </c>
      <c r="BA48" t="s">
        <v>63</v>
      </c>
      <c r="BB48" t="s">
        <v>63</v>
      </c>
      <c r="BC48" t="s">
        <v>63</v>
      </c>
      <c r="BD48" t="s">
        <v>63</v>
      </c>
      <c r="BE48" t="s">
        <v>63</v>
      </c>
      <c r="BF48" t="s">
        <v>63</v>
      </c>
    </row>
    <row r="49" spans="1:58">
      <c r="A49" t="s">
        <v>58</v>
      </c>
      <c r="B49" t="s">
        <v>426</v>
      </c>
      <c r="C49" t="s">
        <v>427</v>
      </c>
      <c r="D49" t="s">
        <v>428</v>
      </c>
      <c r="E49" t="s">
        <v>63</v>
      </c>
      <c r="F49">
        <v>2004</v>
      </c>
      <c r="G49" t="s">
        <v>73</v>
      </c>
      <c r="H49">
        <v>39</v>
      </c>
      <c r="I49">
        <v>6</v>
      </c>
      <c r="J49">
        <v>502</v>
      </c>
      <c r="K49">
        <v>506</v>
      </c>
      <c r="L49" t="s">
        <v>429</v>
      </c>
      <c r="M49" t="s">
        <v>430</v>
      </c>
      <c r="N49" t="s">
        <v>431</v>
      </c>
      <c r="O49" t="s">
        <v>63</v>
      </c>
      <c r="Q49" t="s">
        <v>63</v>
      </c>
      <c r="R49" t="s">
        <v>63</v>
      </c>
      <c r="S49" t="s">
        <v>63</v>
      </c>
      <c r="T49" t="s">
        <v>63</v>
      </c>
      <c r="X49" t="s">
        <v>63</v>
      </c>
      <c r="Y49" t="s">
        <v>432</v>
      </c>
      <c r="Z49" t="s">
        <v>63</v>
      </c>
      <c r="AA49" t="s">
        <v>433</v>
      </c>
      <c r="AB49">
        <v>15205736</v>
      </c>
      <c r="AC49" t="s">
        <v>67</v>
      </c>
      <c r="AD49" t="s">
        <v>63</v>
      </c>
      <c r="AE49" t="s">
        <v>63</v>
      </c>
      <c r="AF49" t="s">
        <v>63</v>
      </c>
      <c r="AG49" t="s">
        <v>434</v>
      </c>
      <c r="AH49" t="s">
        <v>63</v>
      </c>
      <c r="AI49" t="s">
        <v>63</v>
      </c>
      <c r="AJ49" t="s">
        <v>63</v>
      </c>
      <c r="AK49" t="s">
        <v>63</v>
      </c>
      <c r="AL49" t="s">
        <v>63</v>
      </c>
      <c r="AM49" t="s">
        <v>435</v>
      </c>
      <c r="AN49" t="s">
        <v>63</v>
      </c>
      <c r="AO49" t="s">
        <v>63</v>
      </c>
      <c r="AP49" t="s">
        <v>63</v>
      </c>
      <c r="AQ49" t="s">
        <v>63</v>
      </c>
      <c r="AR49" t="s">
        <v>63</v>
      </c>
      <c r="AS49" t="s">
        <v>63</v>
      </c>
      <c r="AT49" t="s">
        <v>63</v>
      </c>
      <c r="AU49" t="s">
        <v>63</v>
      </c>
      <c r="AV49" t="s">
        <v>63</v>
      </c>
      <c r="AW49" t="s">
        <v>63</v>
      </c>
      <c r="AX49" t="s">
        <v>63</v>
      </c>
      <c r="AY49" t="s">
        <v>63</v>
      </c>
      <c r="AZ49" t="s">
        <v>63</v>
      </c>
      <c r="BA49" t="s">
        <v>63</v>
      </c>
      <c r="BB49" t="s">
        <v>63</v>
      </c>
      <c r="BC49" t="s">
        <v>63</v>
      </c>
      <c r="BD49" t="s">
        <v>63</v>
      </c>
      <c r="BE49" t="s">
        <v>63</v>
      </c>
      <c r="BF49" t="s">
        <v>63</v>
      </c>
    </row>
    <row r="50" spans="1:58">
      <c r="A50" t="s">
        <v>58</v>
      </c>
      <c r="B50" t="s">
        <v>436</v>
      </c>
      <c r="C50" t="s">
        <v>437</v>
      </c>
      <c r="D50" t="s">
        <v>438</v>
      </c>
      <c r="E50" t="s">
        <v>63</v>
      </c>
      <c r="F50">
        <v>2010</v>
      </c>
      <c r="G50" t="s">
        <v>63</v>
      </c>
      <c r="H50">
        <v>21</v>
      </c>
      <c r="I50">
        <v>1</v>
      </c>
      <c r="J50">
        <v>5</v>
      </c>
      <c r="K50">
        <v>13</v>
      </c>
      <c r="L50" t="s">
        <v>439</v>
      </c>
      <c r="M50" t="s">
        <v>440</v>
      </c>
      <c r="N50" t="s">
        <v>441</v>
      </c>
      <c r="O50" t="s">
        <v>63</v>
      </c>
      <c r="Q50" t="s">
        <v>63</v>
      </c>
      <c r="R50" t="s">
        <v>63</v>
      </c>
      <c r="S50" t="s">
        <v>63</v>
      </c>
      <c r="T50" t="s">
        <v>63</v>
      </c>
      <c r="X50" t="s">
        <v>63</v>
      </c>
      <c r="Y50" t="s">
        <v>442</v>
      </c>
      <c r="Z50" t="s">
        <v>63</v>
      </c>
      <c r="AA50" t="s">
        <v>443</v>
      </c>
      <c r="AB50">
        <v>20204900</v>
      </c>
      <c r="AC50" t="s">
        <v>444</v>
      </c>
      <c r="AD50" t="s">
        <v>63</v>
      </c>
      <c r="AE50" t="s">
        <v>63</v>
      </c>
      <c r="AF50" t="s">
        <v>63</v>
      </c>
      <c r="AG50" t="s">
        <v>445</v>
      </c>
      <c r="AH50" t="s">
        <v>63</v>
      </c>
      <c r="AI50" t="s">
        <v>63</v>
      </c>
      <c r="AJ50" t="s">
        <v>63</v>
      </c>
      <c r="AK50" t="s">
        <v>63</v>
      </c>
      <c r="AL50" t="s">
        <v>63</v>
      </c>
      <c r="AM50" t="s">
        <v>446</v>
      </c>
      <c r="AN50" t="s">
        <v>63</v>
      </c>
      <c r="AO50" t="s">
        <v>63</v>
      </c>
      <c r="AP50" t="s">
        <v>63</v>
      </c>
      <c r="AQ50" t="s">
        <v>63</v>
      </c>
      <c r="AR50" t="s">
        <v>63</v>
      </c>
      <c r="AS50" t="s">
        <v>63</v>
      </c>
      <c r="AT50" t="s">
        <v>63</v>
      </c>
      <c r="AU50" t="s">
        <v>63</v>
      </c>
      <c r="AV50" t="s">
        <v>63</v>
      </c>
      <c r="AW50" t="s">
        <v>63</v>
      </c>
      <c r="AX50" t="s">
        <v>63</v>
      </c>
      <c r="AY50" t="s">
        <v>63</v>
      </c>
      <c r="AZ50" t="s">
        <v>63</v>
      </c>
      <c r="BA50" t="s">
        <v>63</v>
      </c>
      <c r="BB50" t="s">
        <v>63</v>
      </c>
      <c r="BC50" t="s">
        <v>63</v>
      </c>
      <c r="BD50" t="s">
        <v>63</v>
      </c>
      <c r="BE50" t="s">
        <v>63</v>
      </c>
      <c r="BF50" t="s">
        <v>63</v>
      </c>
    </row>
    <row r="51" spans="1:58">
      <c r="A51" t="s">
        <v>58</v>
      </c>
      <c r="B51" t="s">
        <v>447</v>
      </c>
      <c r="C51" t="s">
        <v>448</v>
      </c>
      <c r="D51" t="s">
        <v>449</v>
      </c>
      <c r="E51" t="s">
        <v>63</v>
      </c>
      <c r="F51">
        <v>2011</v>
      </c>
      <c r="G51" t="s">
        <v>73</v>
      </c>
      <c r="H51">
        <v>16</v>
      </c>
      <c r="I51">
        <v>6</v>
      </c>
      <c r="J51">
        <v>793</v>
      </c>
      <c r="K51">
        <v>800</v>
      </c>
      <c r="L51" t="s">
        <v>63</v>
      </c>
      <c r="M51" t="s">
        <v>450</v>
      </c>
      <c r="N51" t="s">
        <v>451</v>
      </c>
      <c r="O51" t="s">
        <v>63</v>
      </c>
      <c r="Q51" t="s">
        <v>63</v>
      </c>
      <c r="R51" t="s">
        <v>63</v>
      </c>
      <c r="S51" t="s">
        <v>63</v>
      </c>
      <c r="T51" t="s">
        <v>63</v>
      </c>
      <c r="X51" t="s">
        <v>63</v>
      </c>
      <c r="Y51" t="s">
        <v>452</v>
      </c>
      <c r="Z51" t="s">
        <v>63</v>
      </c>
      <c r="AA51" t="s">
        <v>453</v>
      </c>
      <c r="AB51">
        <v>22091309</v>
      </c>
      <c r="AC51" t="s">
        <v>67</v>
      </c>
      <c r="AD51" t="s">
        <v>63</v>
      </c>
      <c r="AE51" t="s">
        <v>63</v>
      </c>
      <c r="AF51" t="s">
        <v>63</v>
      </c>
      <c r="AG51" t="s">
        <v>454</v>
      </c>
      <c r="AH51" t="s">
        <v>63</v>
      </c>
      <c r="AI51" t="s">
        <v>63</v>
      </c>
      <c r="AJ51" t="s">
        <v>63</v>
      </c>
      <c r="AK51" t="s">
        <v>63</v>
      </c>
      <c r="AL51" t="s">
        <v>63</v>
      </c>
      <c r="AM51" t="s">
        <v>455</v>
      </c>
      <c r="AN51" t="s">
        <v>63</v>
      </c>
      <c r="AO51" t="s">
        <v>63</v>
      </c>
      <c r="AP51" t="s">
        <v>63</v>
      </c>
      <c r="AQ51" t="s">
        <v>63</v>
      </c>
      <c r="AR51" t="s">
        <v>63</v>
      </c>
      <c r="AS51" t="s">
        <v>63</v>
      </c>
      <c r="AT51" t="s">
        <v>63</v>
      </c>
      <c r="AU51" t="s">
        <v>63</v>
      </c>
      <c r="AV51" t="s">
        <v>63</v>
      </c>
      <c r="AW51" t="s">
        <v>63</v>
      </c>
      <c r="AX51" t="s">
        <v>63</v>
      </c>
      <c r="AY51" t="s">
        <v>63</v>
      </c>
      <c r="AZ51" t="s">
        <v>63</v>
      </c>
      <c r="BA51" t="s">
        <v>63</v>
      </c>
      <c r="BB51" t="s">
        <v>63</v>
      </c>
      <c r="BC51" t="s">
        <v>63</v>
      </c>
      <c r="BD51" t="s">
        <v>63</v>
      </c>
      <c r="BE51" t="s">
        <v>63</v>
      </c>
      <c r="BF51" t="s">
        <v>63</v>
      </c>
    </row>
    <row r="52" spans="1:58">
      <c r="A52" t="s">
        <v>58</v>
      </c>
      <c r="B52" t="s">
        <v>456</v>
      </c>
      <c r="C52" t="s">
        <v>457</v>
      </c>
      <c r="D52" t="s">
        <v>458</v>
      </c>
      <c r="E52" t="s">
        <v>459</v>
      </c>
      <c r="F52">
        <v>2016</v>
      </c>
      <c r="G52" t="s">
        <v>84</v>
      </c>
      <c r="H52">
        <v>80</v>
      </c>
      <c r="I52">
        <v>4</v>
      </c>
      <c r="J52">
        <v>408</v>
      </c>
      <c r="K52">
        <v>415</v>
      </c>
      <c r="L52" t="s">
        <v>460</v>
      </c>
      <c r="M52" t="s">
        <v>461</v>
      </c>
      <c r="N52" t="s">
        <v>462</v>
      </c>
      <c r="O52" t="s">
        <v>63</v>
      </c>
      <c r="Q52" t="s">
        <v>63</v>
      </c>
      <c r="R52" t="s">
        <v>63</v>
      </c>
      <c r="S52" t="s">
        <v>63</v>
      </c>
      <c r="T52" t="s">
        <v>63</v>
      </c>
      <c r="X52" t="s">
        <v>63</v>
      </c>
      <c r="Y52" t="s">
        <v>463</v>
      </c>
      <c r="Z52" t="s">
        <v>63</v>
      </c>
      <c r="AA52" t="s">
        <v>464</v>
      </c>
      <c r="AB52">
        <v>27037448</v>
      </c>
      <c r="AC52" t="s">
        <v>67</v>
      </c>
      <c r="AD52" t="s">
        <v>63</v>
      </c>
      <c r="AE52" t="s">
        <v>63</v>
      </c>
      <c r="AF52" t="s">
        <v>63</v>
      </c>
      <c r="AG52" t="s">
        <v>465</v>
      </c>
      <c r="AH52" t="s">
        <v>63</v>
      </c>
      <c r="AI52" t="s">
        <v>63</v>
      </c>
      <c r="AJ52" t="s">
        <v>63</v>
      </c>
      <c r="AK52" t="s">
        <v>63</v>
      </c>
      <c r="AL52" t="s">
        <v>63</v>
      </c>
      <c r="AM52" t="s">
        <v>466</v>
      </c>
      <c r="AN52" t="s">
        <v>63</v>
      </c>
      <c r="AO52" t="s">
        <v>63</v>
      </c>
      <c r="AP52" t="s">
        <v>63</v>
      </c>
      <c r="AQ52" t="s">
        <v>63</v>
      </c>
      <c r="AR52" t="s">
        <v>63</v>
      </c>
      <c r="AS52" t="s">
        <v>63</v>
      </c>
      <c r="AT52" t="s">
        <v>63</v>
      </c>
      <c r="AU52" t="s">
        <v>63</v>
      </c>
      <c r="AV52" t="s">
        <v>63</v>
      </c>
      <c r="AW52" t="s">
        <v>63</v>
      </c>
      <c r="AX52" t="s">
        <v>63</v>
      </c>
      <c r="AY52" t="s">
        <v>63</v>
      </c>
      <c r="AZ52" t="s">
        <v>63</v>
      </c>
      <c r="BA52" t="s">
        <v>63</v>
      </c>
      <c r="BB52" t="s">
        <v>63</v>
      </c>
      <c r="BC52" t="s">
        <v>63</v>
      </c>
      <c r="BD52" t="s">
        <v>63</v>
      </c>
      <c r="BE52" t="s">
        <v>63</v>
      </c>
      <c r="BF52" t="s">
        <v>63</v>
      </c>
    </row>
    <row r="53" spans="1:58">
      <c r="A53" t="s">
        <v>58</v>
      </c>
      <c r="B53" t="s">
        <v>467</v>
      </c>
      <c r="C53" t="s">
        <v>468</v>
      </c>
      <c r="D53" t="s">
        <v>325</v>
      </c>
      <c r="E53" t="s">
        <v>63</v>
      </c>
      <c r="F53">
        <v>2012</v>
      </c>
      <c r="G53" s="1">
        <v>41943</v>
      </c>
      <c r="H53">
        <v>36</v>
      </c>
      <c r="I53">
        <v>6</v>
      </c>
      <c r="J53">
        <v>457</v>
      </c>
      <c r="K53">
        <v>460</v>
      </c>
      <c r="L53" t="s">
        <v>469</v>
      </c>
      <c r="M53" t="s">
        <v>470</v>
      </c>
      <c r="N53" t="s">
        <v>471</v>
      </c>
      <c r="O53" t="s">
        <v>63</v>
      </c>
      <c r="Q53" t="s">
        <v>63</v>
      </c>
      <c r="R53" t="s">
        <v>63</v>
      </c>
      <c r="S53" t="s">
        <v>63</v>
      </c>
      <c r="T53" t="s">
        <v>63</v>
      </c>
      <c r="X53" t="s">
        <v>63</v>
      </c>
      <c r="Y53" t="s">
        <v>330</v>
      </c>
      <c r="Z53" t="s">
        <v>63</v>
      </c>
      <c r="AA53" t="s">
        <v>472</v>
      </c>
      <c r="AB53">
        <v>23154692</v>
      </c>
      <c r="AC53" t="s">
        <v>67</v>
      </c>
      <c r="AD53" t="s">
        <v>63</v>
      </c>
      <c r="AE53" t="s">
        <v>63</v>
      </c>
      <c r="AF53" t="s">
        <v>63</v>
      </c>
      <c r="AG53" t="s">
        <v>473</v>
      </c>
      <c r="AH53" t="s">
        <v>63</v>
      </c>
      <c r="AI53" t="s">
        <v>474</v>
      </c>
      <c r="AJ53" t="s">
        <v>63</v>
      </c>
      <c r="AK53" t="s">
        <v>63</v>
      </c>
      <c r="AL53" t="s">
        <v>63</v>
      </c>
      <c r="AM53" t="s">
        <v>475</v>
      </c>
      <c r="AN53" t="s">
        <v>63</v>
      </c>
      <c r="AO53" t="s">
        <v>63</v>
      </c>
      <c r="AP53" t="s">
        <v>63</v>
      </c>
      <c r="AQ53" t="s">
        <v>63</v>
      </c>
      <c r="AR53" t="s">
        <v>63</v>
      </c>
      <c r="AS53" t="s">
        <v>63</v>
      </c>
      <c r="AT53" t="s">
        <v>63</v>
      </c>
      <c r="AU53" t="s">
        <v>63</v>
      </c>
      <c r="AV53" t="s">
        <v>63</v>
      </c>
      <c r="AW53" t="s">
        <v>63</v>
      </c>
      <c r="AX53" t="s">
        <v>63</v>
      </c>
      <c r="AY53" t="s">
        <v>63</v>
      </c>
      <c r="AZ53" t="s">
        <v>63</v>
      </c>
      <c r="BA53" t="s">
        <v>63</v>
      </c>
      <c r="BB53" t="s">
        <v>63</v>
      </c>
      <c r="BC53" t="s">
        <v>63</v>
      </c>
      <c r="BD53" t="s">
        <v>63</v>
      </c>
      <c r="BE53" t="s">
        <v>63</v>
      </c>
      <c r="BF53" t="s">
        <v>63</v>
      </c>
    </row>
    <row r="54" spans="1:58">
      <c r="A54" t="s">
        <v>58</v>
      </c>
      <c r="B54" t="s">
        <v>476</v>
      </c>
      <c r="C54" t="s">
        <v>477</v>
      </c>
      <c r="D54" t="s">
        <v>478</v>
      </c>
      <c r="E54" t="s">
        <v>63</v>
      </c>
      <c r="F54">
        <v>2016</v>
      </c>
      <c r="G54" t="s">
        <v>63</v>
      </c>
      <c r="H54">
        <v>2</v>
      </c>
      <c r="I54" t="s">
        <v>63</v>
      </c>
      <c r="J54">
        <v>44</v>
      </c>
      <c r="K54" t="s">
        <v>63</v>
      </c>
      <c r="L54" t="s">
        <v>63</v>
      </c>
      <c r="M54" t="s">
        <v>479</v>
      </c>
      <c r="N54" t="s">
        <v>480</v>
      </c>
      <c r="O54" t="s">
        <v>63</v>
      </c>
      <c r="Q54" t="s">
        <v>63</v>
      </c>
      <c r="R54" t="s">
        <v>63</v>
      </c>
      <c r="S54" t="s">
        <v>63</v>
      </c>
      <c r="T54" t="s">
        <v>63</v>
      </c>
      <c r="X54" t="s">
        <v>63</v>
      </c>
      <c r="Y54" t="s">
        <v>481</v>
      </c>
      <c r="Z54" t="s">
        <v>63</v>
      </c>
      <c r="AA54" t="s">
        <v>482</v>
      </c>
      <c r="AB54">
        <v>28293614</v>
      </c>
      <c r="AC54" t="s">
        <v>67</v>
      </c>
      <c r="AD54" t="s">
        <v>63</v>
      </c>
      <c r="AE54" t="s">
        <v>63</v>
      </c>
      <c r="AF54" t="s">
        <v>63</v>
      </c>
      <c r="AG54" t="s">
        <v>483</v>
      </c>
      <c r="AH54" t="s">
        <v>63</v>
      </c>
      <c r="AI54" t="s">
        <v>484</v>
      </c>
      <c r="AJ54" t="s">
        <v>63</v>
      </c>
      <c r="AK54" t="s">
        <v>63</v>
      </c>
      <c r="AL54" t="s">
        <v>63</v>
      </c>
      <c r="AM54" t="s">
        <v>485</v>
      </c>
      <c r="AN54" t="s">
        <v>63</v>
      </c>
      <c r="AO54" t="s">
        <v>63</v>
      </c>
      <c r="AP54" t="s">
        <v>63</v>
      </c>
      <c r="AQ54" t="s">
        <v>63</v>
      </c>
      <c r="AR54" t="s">
        <v>63</v>
      </c>
      <c r="AS54" t="s">
        <v>63</v>
      </c>
      <c r="AT54" t="s">
        <v>63</v>
      </c>
      <c r="AU54" t="s">
        <v>63</v>
      </c>
      <c r="AV54" t="s">
        <v>63</v>
      </c>
      <c r="AW54" t="s">
        <v>63</v>
      </c>
      <c r="AX54" t="s">
        <v>63</v>
      </c>
      <c r="AY54" t="s">
        <v>63</v>
      </c>
      <c r="AZ54" t="s">
        <v>63</v>
      </c>
      <c r="BA54" t="s">
        <v>63</v>
      </c>
      <c r="BB54" t="s">
        <v>63</v>
      </c>
      <c r="BC54" t="s">
        <v>63</v>
      </c>
      <c r="BD54" t="s">
        <v>63</v>
      </c>
      <c r="BE54" t="s">
        <v>63</v>
      </c>
      <c r="BF54" t="s">
        <v>63</v>
      </c>
    </row>
    <row r="55" spans="1:58">
      <c r="A55" t="s">
        <v>58</v>
      </c>
      <c r="B55" t="s">
        <v>486</v>
      </c>
      <c r="C55" t="s">
        <v>487</v>
      </c>
      <c r="D55" t="s">
        <v>488</v>
      </c>
      <c r="E55" t="s">
        <v>489</v>
      </c>
      <c r="F55">
        <v>1996</v>
      </c>
      <c r="G55" t="s">
        <v>138</v>
      </c>
      <c r="H55">
        <v>34</v>
      </c>
      <c r="I55">
        <v>10</v>
      </c>
      <c r="J55" t="s">
        <v>490</v>
      </c>
      <c r="K55">
        <v>31</v>
      </c>
      <c r="L55" t="s">
        <v>491</v>
      </c>
      <c r="M55" t="s">
        <v>492</v>
      </c>
      <c r="N55" t="s">
        <v>493</v>
      </c>
      <c r="O55" t="s">
        <v>63</v>
      </c>
      <c r="Q55" t="s">
        <v>63</v>
      </c>
      <c r="R55" t="s">
        <v>63</v>
      </c>
      <c r="S55" t="s">
        <v>63</v>
      </c>
      <c r="T55" t="s">
        <v>63</v>
      </c>
      <c r="X55" t="s">
        <v>63</v>
      </c>
      <c r="Y55" t="s">
        <v>494</v>
      </c>
      <c r="Z55" t="s">
        <v>63</v>
      </c>
      <c r="AA55" t="s">
        <v>495</v>
      </c>
      <c r="AB55">
        <v>8843934</v>
      </c>
      <c r="AC55" t="s">
        <v>67</v>
      </c>
      <c r="AD55" t="s">
        <v>63</v>
      </c>
      <c r="AE55" t="s">
        <v>63</v>
      </c>
      <c r="AF55" t="s">
        <v>63</v>
      </c>
      <c r="AG55" t="s">
        <v>496</v>
      </c>
      <c r="AH55" t="s">
        <v>63</v>
      </c>
      <c r="AI55" t="s">
        <v>63</v>
      </c>
      <c r="AJ55" t="s">
        <v>63</v>
      </c>
      <c r="AK55" t="s">
        <v>63</v>
      </c>
      <c r="AL55" t="s">
        <v>63</v>
      </c>
      <c r="AM55" t="s">
        <v>497</v>
      </c>
      <c r="AN55" t="s">
        <v>63</v>
      </c>
      <c r="AO55" t="s">
        <v>63</v>
      </c>
      <c r="AP55" t="s">
        <v>63</v>
      </c>
      <c r="AQ55" t="s">
        <v>63</v>
      </c>
      <c r="AR55" t="s">
        <v>63</v>
      </c>
      <c r="AS55" t="s">
        <v>63</v>
      </c>
      <c r="AT55" t="s">
        <v>63</v>
      </c>
      <c r="AU55" t="s">
        <v>63</v>
      </c>
      <c r="AV55" t="s">
        <v>63</v>
      </c>
      <c r="AW55" t="s">
        <v>63</v>
      </c>
      <c r="AX55" t="s">
        <v>63</v>
      </c>
      <c r="AY55" t="s">
        <v>63</v>
      </c>
      <c r="AZ55" t="s">
        <v>63</v>
      </c>
      <c r="BA55" t="s">
        <v>63</v>
      </c>
      <c r="BB55" t="s">
        <v>63</v>
      </c>
      <c r="BC55" t="s">
        <v>63</v>
      </c>
      <c r="BD55" t="s">
        <v>63</v>
      </c>
      <c r="BE55" t="s">
        <v>63</v>
      </c>
      <c r="BF55" t="s">
        <v>63</v>
      </c>
    </row>
    <row r="56" spans="1:58">
      <c r="A56" t="s">
        <v>58</v>
      </c>
      <c r="B56" t="s">
        <v>498</v>
      </c>
      <c r="C56" t="s">
        <v>499</v>
      </c>
      <c r="D56" t="s">
        <v>500</v>
      </c>
      <c r="E56" t="s">
        <v>501</v>
      </c>
      <c r="F56">
        <v>2011</v>
      </c>
      <c r="G56" t="s">
        <v>63</v>
      </c>
      <c r="H56" t="s">
        <v>502</v>
      </c>
      <c r="I56" t="s">
        <v>63</v>
      </c>
      <c r="J56" t="s">
        <v>503</v>
      </c>
      <c r="K56">
        <v>20</v>
      </c>
      <c r="L56" t="s">
        <v>504</v>
      </c>
      <c r="M56" t="s">
        <v>505</v>
      </c>
      <c r="N56" t="s">
        <v>506</v>
      </c>
      <c r="O56" t="s">
        <v>63</v>
      </c>
      <c r="Q56" t="s">
        <v>63</v>
      </c>
      <c r="R56" t="s">
        <v>63</v>
      </c>
      <c r="S56" t="s">
        <v>63</v>
      </c>
      <c r="T56" t="s">
        <v>63</v>
      </c>
      <c r="X56" t="s">
        <v>63</v>
      </c>
      <c r="Y56" t="s">
        <v>507</v>
      </c>
      <c r="Z56" t="s">
        <v>63</v>
      </c>
      <c r="AA56" t="s">
        <v>508</v>
      </c>
      <c r="AB56">
        <v>22190096</v>
      </c>
      <c r="AC56" t="s">
        <v>67</v>
      </c>
      <c r="AD56" t="s">
        <v>63</v>
      </c>
      <c r="AE56" t="s">
        <v>63</v>
      </c>
      <c r="AF56" t="s">
        <v>63</v>
      </c>
      <c r="AG56" t="s">
        <v>509</v>
      </c>
      <c r="AH56" t="s">
        <v>63</v>
      </c>
      <c r="AI56" t="s">
        <v>510</v>
      </c>
      <c r="AJ56" t="s">
        <v>63</v>
      </c>
      <c r="AK56" t="s">
        <v>63</v>
      </c>
      <c r="AL56" t="s">
        <v>63</v>
      </c>
      <c r="AM56" t="s">
        <v>511</v>
      </c>
      <c r="AN56" t="s">
        <v>63</v>
      </c>
      <c r="AO56" t="s">
        <v>63</v>
      </c>
      <c r="AP56" t="s">
        <v>63</v>
      </c>
      <c r="AQ56" t="s">
        <v>63</v>
      </c>
      <c r="AR56" t="s">
        <v>63</v>
      </c>
      <c r="AS56" t="s">
        <v>63</v>
      </c>
      <c r="AT56" t="s">
        <v>63</v>
      </c>
      <c r="AU56" t="s">
        <v>63</v>
      </c>
      <c r="AV56" t="s">
        <v>63</v>
      </c>
      <c r="AW56" t="s">
        <v>63</v>
      </c>
      <c r="AX56" t="s">
        <v>63</v>
      </c>
      <c r="AY56" t="s">
        <v>63</v>
      </c>
      <c r="AZ56" t="s">
        <v>63</v>
      </c>
      <c r="BA56" t="s">
        <v>63</v>
      </c>
      <c r="BB56" t="s">
        <v>63</v>
      </c>
      <c r="BC56" t="s">
        <v>63</v>
      </c>
      <c r="BD56" t="s">
        <v>63</v>
      </c>
      <c r="BE56" t="s">
        <v>63</v>
      </c>
      <c r="BF56" t="s">
        <v>63</v>
      </c>
    </row>
    <row r="57" spans="1:58">
      <c r="A57" t="s">
        <v>58</v>
      </c>
      <c r="B57" t="s">
        <v>512</v>
      </c>
      <c r="C57" t="s">
        <v>513</v>
      </c>
      <c r="D57" t="s">
        <v>389</v>
      </c>
      <c r="E57" t="s">
        <v>63</v>
      </c>
      <c r="F57">
        <v>2005</v>
      </c>
      <c r="G57" t="s">
        <v>157</v>
      </c>
      <c r="H57">
        <v>26</v>
      </c>
      <c r="I57" s="1">
        <v>41701</v>
      </c>
      <c r="J57">
        <v>63</v>
      </c>
      <c r="K57">
        <v>66</v>
      </c>
      <c r="L57" t="s">
        <v>514</v>
      </c>
      <c r="M57" t="s">
        <v>515</v>
      </c>
      <c r="N57" t="s">
        <v>516</v>
      </c>
      <c r="O57" t="s">
        <v>63</v>
      </c>
      <c r="Q57" t="s">
        <v>63</v>
      </c>
      <c r="R57" t="s">
        <v>63</v>
      </c>
      <c r="S57" t="s">
        <v>63</v>
      </c>
      <c r="T57" t="s">
        <v>63</v>
      </c>
      <c r="X57" t="s">
        <v>63</v>
      </c>
      <c r="Y57" t="s">
        <v>392</v>
      </c>
      <c r="Z57" t="s">
        <v>63</v>
      </c>
      <c r="AA57" t="s">
        <v>517</v>
      </c>
      <c r="AB57">
        <v>16837417</v>
      </c>
      <c r="AC57" t="s">
        <v>67</v>
      </c>
      <c r="AD57" t="s">
        <v>63</v>
      </c>
      <c r="AE57" t="s">
        <v>63</v>
      </c>
      <c r="AF57" t="s">
        <v>63</v>
      </c>
      <c r="AG57" t="s">
        <v>518</v>
      </c>
      <c r="AH57" t="s">
        <v>63</v>
      </c>
      <c r="AI57" t="s">
        <v>63</v>
      </c>
      <c r="AJ57" t="s">
        <v>63</v>
      </c>
      <c r="AK57" t="s">
        <v>63</v>
      </c>
      <c r="AL57" t="s">
        <v>63</v>
      </c>
      <c r="AM57" t="s">
        <v>519</v>
      </c>
      <c r="AN57" t="s">
        <v>63</v>
      </c>
      <c r="AO57" t="s">
        <v>63</v>
      </c>
      <c r="AP57" t="s">
        <v>63</v>
      </c>
      <c r="AQ57" t="s">
        <v>63</v>
      </c>
      <c r="AR57" t="s">
        <v>63</v>
      </c>
      <c r="AS57" t="s">
        <v>63</v>
      </c>
      <c r="AT57" t="s">
        <v>63</v>
      </c>
      <c r="AU57" t="s">
        <v>63</v>
      </c>
      <c r="AV57" t="s">
        <v>63</v>
      </c>
      <c r="AW57" t="s">
        <v>63</v>
      </c>
      <c r="AX57" t="s">
        <v>63</v>
      </c>
      <c r="AY57" t="s">
        <v>63</v>
      </c>
      <c r="AZ57" t="s">
        <v>63</v>
      </c>
      <c r="BA57" t="s">
        <v>63</v>
      </c>
      <c r="BB57" t="s">
        <v>63</v>
      </c>
      <c r="BC57" t="s">
        <v>63</v>
      </c>
      <c r="BD57" t="s">
        <v>63</v>
      </c>
      <c r="BE57" t="s">
        <v>63</v>
      </c>
      <c r="BF57" t="s">
        <v>63</v>
      </c>
    </row>
    <row r="58" spans="1:58">
      <c r="A58" t="s">
        <v>58</v>
      </c>
      <c r="B58" t="s">
        <v>520</v>
      </c>
      <c r="C58" t="s">
        <v>521</v>
      </c>
      <c r="D58" t="s">
        <v>522</v>
      </c>
      <c r="E58" t="s">
        <v>523</v>
      </c>
      <c r="F58">
        <v>1995</v>
      </c>
      <c r="G58" t="s">
        <v>326</v>
      </c>
      <c r="H58">
        <v>42</v>
      </c>
      <c r="I58">
        <v>1</v>
      </c>
      <c r="J58">
        <v>217</v>
      </c>
      <c r="K58">
        <v>234</v>
      </c>
      <c r="L58" t="s">
        <v>524</v>
      </c>
      <c r="M58" t="s">
        <v>525</v>
      </c>
      <c r="N58" t="s">
        <v>526</v>
      </c>
      <c r="O58" t="s">
        <v>63</v>
      </c>
      <c r="Q58" t="s">
        <v>63</v>
      </c>
      <c r="R58" t="s">
        <v>63</v>
      </c>
      <c r="S58" t="s">
        <v>63</v>
      </c>
      <c r="T58" t="s">
        <v>63</v>
      </c>
      <c r="X58" t="s">
        <v>63</v>
      </c>
      <c r="Y58" t="s">
        <v>527</v>
      </c>
      <c r="Z58" t="s">
        <v>63</v>
      </c>
      <c r="AA58" t="s">
        <v>528</v>
      </c>
      <c r="AB58">
        <v>7854875</v>
      </c>
      <c r="AC58" t="s">
        <v>67</v>
      </c>
      <c r="AD58" t="s">
        <v>63</v>
      </c>
      <c r="AE58" t="s">
        <v>63</v>
      </c>
      <c r="AF58" t="s">
        <v>63</v>
      </c>
      <c r="AG58" t="s">
        <v>529</v>
      </c>
      <c r="AH58" t="s">
        <v>63</v>
      </c>
      <c r="AI58" t="s">
        <v>63</v>
      </c>
      <c r="AJ58" t="s">
        <v>63</v>
      </c>
      <c r="AK58" t="s">
        <v>63</v>
      </c>
      <c r="AL58" t="s">
        <v>63</v>
      </c>
      <c r="AM58" t="s">
        <v>530</v>
      </c>
      <c r="AN58" t="s">
        <v>63</v>
      </c>
      <c r="AO58" t="s">
        <v>63</v>
      </c>
      <c r="AP58" t="s">
        <v>63</v>
      </c>
      <c r="AQ58" t="s">
        <v>63</v>
      </c>
      <c r="AR58" t="s">
        <v>63</v>
      </c>
      <c r="AS58" t="s">
        <v>63</v>
      </c>
      <c r="AT58" t="s">
        <v>63</v>
      </c>
      <c r="AU58" t="s">
        <v>63</v>
      </c>
      <c r="AV58" t="s">
        <v>63</v>
      </c>
      <c r="AW58" t="s">
        <v>63</v>
      </c>
      <c r="AX58" t="s">
        <v>63</v>
      </c>
      <c r="AY58" t="s">
        <v>63</v>
      </c>
      <c r="AZ58" t="s">
        <v>63</v>
      </c>
      <c r="BA58" t="s">
        <v>63</v>
      </c>
      <c r="BB58" t="s">
        <v>63</v>
      </c>
      <c r="BC58" t="s">
        <v>63</v>
      </c>
      <c r="BD58" t="s">
        <v>63</v>
      </c>
      <c r="BE58" t="s">
        <v>63</v>
      </c>
      <c r="BF58" t="s">
        <v>63</v>
      </c>
    </row>
    <row r="59" spans="1:58">
      <c r="A59" t="s">
        <v>58</v>
      </c>
      <c r="B59" t="s">
        <v>531</v>
      </c>
      <c r="C59" t="s">
        <v>532</v>
      </c>
      <c r="D59" t="s">
        <v>533</v>
      </c>
      <c r="E59" t="s">
        <v>534</v>
      </c>
      <c r="F59">
        <v>2016</v>
      </c>
      <c r="G59" s="1">
        <v>41666</v>
      </c>
      <c r="H59">
        <v>374</v>
      </c>
      <c r="I59">
        <v>4</v>
      </c>
      <c r="J59">
        <v>301</v>
      </c>
      <c r="K59">
        <v>303</v>
      </c>
      <c r="L59" t="s">
        <v>535</v>
      </c>
      <c r="M59" t="s">
        <v>63</v>
      </c>
      <c r="N59" t="s">
        <v>536</v>
      </c>
      <c r="O59" t="s">
        <v>63</v>
      </c>
      <c r="Q59" t="s">
        <v>63</v>
      </c>
      <c r="R59" t="s">
        <v>63</v>
      </c>
      <c r="S59" t="s">
        <v>63</v>
      </c>
      <c r="T59" t="s">
        <v>63</v>
      </c>
      <c r="X59" t="s">
        <v>63</v>
      </c>
      <c r="Y59" t="s">
        <v>537</v>
      </c>
      <c r="Z59" t="s">
        <v>63</v>
      </c>
      <c r="AA59" t="s">
        <v>538</v>
      </c>
      <c r="AB59">
        <v>26816007</v>
      </c>
      <c r="AC59" t="s">
        <v>67</v>
      </c>
      <c r="AD59" t="s">
        <v>63</v>
      </c>
      <c r="AE59" t="s">
        <v>63</v>
      </c>
      <c r="AF59" t="s">
        <v>63</v>
      </c>
      <c r="AG59" t="s">
        <v>539</v>
      </c>
      <c r="AH59" t="s">
        <v>63</v>
      </c>
      <c r="AI59" t="s">
        <v>540</v>
      </c>
      <c r="AJ59" t="s">
        <v>63</v>
      </c>
      <c r="AK59" t="s">
        <v>63</v>
      </c>
      <c r="AL59" t="s">
        <v>63</v>
      </c>
      <c r="AM59" t="s">
        <v>541</v>
      </c>
      <c r="AN59" t="s">
        <v>63</v>
      </c>
      <c r="AO59" t="s">
        <v>63</v>
      </c>
      <c r="AP59" t="s">
        <v>63</v>
      </c>
      <c r="AQ59" t="s">
        <v>63</v>
      </c>
      <c r="AR59" t="s">
        <v>63</v>
      </c>
      <c r="AS59" t="s">
        <v>63</v>
      </c>
      <c r="AT59" t="s">
        <v>63</v>
      </c>
      <c r="AU59" t="s">
        <v>63</v>
      </c>
      <c r="AV59" t="s">
        <v>63</v>
      </c>
      <c r="AW59" t="s">
        <v>63</v>
      </c>
      <c r="AX59" t="s">
        <v>63</v>
      </c>
      <c r="AY59" t="s">
        <v>63</v>
      </c>
      <c r="AZ59" t="s">
        <v>63</v>
      </c>
      <c r="BA59" t="s">
        <v>63</v>
      </c>
      <c r="BB59" t="s">
        <v>63</v>
      </c>
      <c r="BC59" t="s">
        <v>63</v>
      </c>
      <c r="BD59" t="s">
        <v>63</v>
      </c>
      <c r="BE59" t="s">
        <v>63</v>
      </c>
      <c r="BF59" t="s">
        <v>63</v>
      </c>
    </row>
    <row r="60" spans="1:58">
      <c r="A60" t="s">
        <v>58</v>
      </c>
      <c r="B60" t="s">
        <v>542</v>
      </c>
      <c r="C60" t="s">
        <v>543</v>
      </c>
      <c r="D60" t="s">
        <v>371</v>
      </c>
      <c r="E60" t="s">
        <v>63</v>
      </c>
      <c r="F60">
        <v>2009</v>
      </c>
      <c r="G60" t="s">
        <v>198</v>
      </c>
      <c r="H60">
        <v>24</v>
      </c>
      <c r="I60">
        <v>1</v>
      </c>
      <c r="J60">
        <v>40</v>
      </c>
      <c r="K60">
        <v>47</v>
      </c>
      <c r="L60" t="s">
        <v>544</v>
      </c>
      <c r="M60" t="s">
        <v>545</v>
      </c>
      <c r="N60" t="s">
        <v>546</v>
      </c>
      <c r="O60" t="s">
        <v>63</v>
      </c>
      <c r="Q60" t="s">
        <v>63</v>
      </c>
      <c r="R60" t="s">
        <v>63</v>
      </c>
      <c r="S60" t="s">
        <v>63</v>
      </c>
      <c r="T60" t="s">
        <v>63</v>
      </c>
      <c r="X60" t="s">
        <v>63</v>
      </c>
      <c r="Y60" t="s">
        <v>547</v>
      </c>
      <c r="Z60" t="s">
        <v>63</v>
      </c>
      <c r="AA60" t="s">
        <v>548</v>
      </c>
      <c r="AB60">
        <v>18937015</v>
      </c>
      <c r="AC60" t="s">
        <v>67</v>
      </c>
      <c r="AD60" t="s">
        <v>63</v>
      </c>
      <c r="AE60" t="s">
        <v>63</v>
      </c>
      <c r="AF60" t="s">
        <v>63</v>
      </c>
      <c r="AG60" t="s">
        <v>549</v>
      </c>
      <c r="AH60" t="s">
        <v>63</v>
      </c>
      <c r="AI60" t="s">
        <v>550</v>
      </c>
      <c r="AJ60" t="s">
        <v>63</v>
      </c>
      <c r="AK60" t="s">
        <v>63</v>
      </c>
      <c r="AL60" t="s">
        <v>63</v>
      </c>
      <c r="AM60" t="s">
        <v>551</v>
      </c>
      <c r="AN60" t="s">
        <v>63</v>
      </c>
      <c r="AO60" t="s">
        <v>63</v>
      </c>
      <c r="AP60" t="s">
        <v>63</v>
      </c>
      <c r="AQ60" t="s">
        <v>63</v>
      </c>
      <c r="AR60" t="s">
        <v>63</v>
      </c>
      <c r="AS60" t="s">
        <v>63</v>
      </c>
      <c r="AT60" t="s">
        <v>63</v>
      </c>
      <c r="AU60" t="s">
        <v>63</v>
      </c>
      <c r="AV60" t="s">
        <v>63</v>
      </c>
      <c r="AW60" t="s">
        <v>63</v>
      </c>
      <c r="AX60" t="s">
        <v>63</v>
      </c>
      <c r="AY60" t="s">
        <v>63</v>
      </c>
      <c r="AZ60" t="s">
        <v>63</v>
      </c>
      <c r="BA60" t="s">
        <v>63</v>
      </c>
      <c r="BB60" t="s">
        <v>63</v>
      </c>
      <c r="BC60" t="s">
        <v>63</v>
      </c>
      <c r="BD60" t="s">
        <v>63</v>
      </c>
      <c r="BE60" t="s">
        <v>63</v>
      </c>
      <c r="BF60" t="s">
        <v>63</v>
      </c>
    </row>
    <row r="61" spans="1:58">
      <c r="A61" t="s">
        <v>58</v>
      </c>
      <c r="B61" t="s">
        <v>552</v>
      </c>
      <c r="C61" t="s">
        <v>553</v>
      </c>
      <c r="D61" t="s">
        <v>389</v>
      </c>
      <c r="E61" t="s">
        <v>63</v>
      </c>
      <c r="F61">
        <v>2018</v>
      </c>
      <c r="G61" s="1">
        <v>41685</v>
      </c>
      <c r="H61" t="s">
        <v>63</v>
      </c>
      <c r="I61" t="s">
        <v>63</v>
      </c>
      <c r="J61">
        <v>1</v>
      </c>
      <c r="K61">
        <v>7</v>
      </c>
      <c r="L61" t="s">
        <v>63</v>
      </c>
      <c r="M61" t="s">
        <v>554</v>
      </c>
      <c r="N61" t="s">
        <v>555</v>
      </c>
      <c r="O61" t="s">
        <v>63</v>
      </c>
      <c r="Q61" t="s">
        <v>63</v>
      </c>
      <c r="R61" t="s">
        <v>63</v>
      </c>
      <c r="S61" t="s">
        <v>63</v>
      </c>
      <c r="T61" t="s">
        <v>63</v>
      </c>
      <c r="X61" t="s">
        <v>63</v>
      </c>
      <c r="Y61" t="s">
        <v>556</v>
      </c>
      <c r="Z61" t="s">
        <v>63</v>
      </c>
      <c r="AA61" t="s">
        <v>557</v>
      </c>
      <c r="AB61">
        <v>29452056</v>
      </c>
      <c r="AC61" t="s">
        <v>67</v>
      </c>
      <c r="AD61" t="s">
        <v>63</v>
      </c>
      <c r="AE61" t="s">
        <v>63</v>
      </c>
      <c r="AF61" t="s">
        <v>63</v>
      </c>
      <c r="AG61" t="s">
        <v>558</v>
      </c>
      <c r="AH61" t="s">
        <v>63</v>
      </c>
      <c r="AI61" t="s">
        <v>559</v>
      </c>
      <c r="AJ61" t="s">
        <v>63</v>
      </c>
      <c r="AK61" t="s">
        <v>63</v>
      </c>
      <c r="AL61" t="s">
        <v>63</v>
      </c>
      <c r="AM61" t="s">
        <v>560</v>
      </c>
      <c r="AN61" t="s">
        <v>63</v>
      </c>
      <c r="AO61" t="s">
        <v>63</v>
      </c>
      <c r="AP61" t="s">
        <v>63</v>
      </c>
      <c r="AQ61" t="s">
        <v>63</v>
      </c>
      <c r="AR61" t="s">
        <v>63</v>
      </c>
      <c r="AS61" t="s">
        <v>63</v>
      </c>
      <c r="AT61" t="s">
        <v>63</v>
      </c>
      <c r="AU61" t="s">
        <v>63</v>
      </c>
      <c r="AV61" t="s">
        <v>63</v>
      </c>
      <c r="AW61" t="s">
        <v>63</v>
      </c>
      <c r="AX61" t="s">
        <v>63</v>
      </c>
      <c r="AY61" t="s">
        <v>63</v>
      </c>
      <c r="AZ61" t="s">
        <v>63</v>
      </c>
      <c r="BA61" t="s">
        <v>63</v>
      </c>
      <c r="BB61" t="s">
        <v>63</v>
      </c>
      <c r="BC61" t="s">
        <v>63</v>
      </c>
      <c r="BD61" t="s">
        <v>63</v>
      </c>
      <c r="BE61" t="s">
        <v>63</v>
      </c>
      <c r="BF61" t="s">
        <v>63</v>
      </c>
    </row>
    <row r="62" spans="1:58">
      <c r="A62" t="s">
        <v>58</v>
      </c>
      <c r="B62" t="s">
        <v>561</v>
      </c>
      <c r="C62" t="s">
        <v>562</v>
      </c>
      <c r="D62" t="s">
        <v>563</v>
      </c>
      <c r="E62" t="s">
        <v>63</v>
      </c>
      <c r="F62">
        <v>2008</v>
      </c>
      <c r="G62" s="1">
        <v>41703</v>
      </c>
      <c r="H62">
        <v>8</v>
      </c>
      <c r="I62" t="s">
        <v>63</v>
      </c>
      <c r="J62">
        <v>11</v>
      </c>
      <c r="K62" t="s">
        <v>63</v>
      </c>
      <c r="L62" t="s">
        <v>564</v>
      </c>
      <c r="M62" t="s">
        <v>565</v>
      </c>
      <c r="N62" t="s">
        <v>566</v>
      </c>
      <c r="O62" t="s">
        <v>63</v>
      </c>
      <c r="Q62" t="s">
        <v>63</v>
      </c>
      <c r="R62" t="s">
        <v>63</v>
      </c>
      <c r="S62" t="s">
        <v>63</v>
      </c>
      <c r="T62" t="s">
        <v>63</v>
      </c>
      <c r="X62" t="s">
        <v>63</v>
      </c>
      <c r="Y62" t="s">
        <v>567</v>
      </c>
      <c r="Z62" t="s">
        <v>63</v>
      </c>
      <c r="AA62" t="s">
        <v>568</v>
      </c>
      <c r="AB62">
        <v>18325102</v>
      </c>
      <c r="AC62" t="s">
        <v>67</v>
      </c>
      <c r="AD62" t="s">
        <v>63</v>
      </c>
      <c r="AE62" t="s">
        <v>63</v>
      </c>
      <c r="AF62" t="s">
        <v>63</v>
      </c>
      <c r="AG62" t="s">
        <v>569</v>
      </c>
      <c r="AH62" t="s">
        <v>63</v>
      </c>
      <c r="AI62" t="s">
        <v>570</v>
      </c>
      <c r="AJ62" t="s">
        <v>63</v>
      </c>
      <c r="AK62" t="s">
        <v>63</v>
      </c>
      <c r="AL62" t="s">
        <v>63</v>
      </c>
      <c r="AM62" t="s">
        <v>571</v>
      </c>
      <c r="AN62" t="s">
        <v>63</v>
      </c>
      <c r="AO62" t="s">
        <v>63</v>
      </c>
      <c r="AP62" t="s">
        <v>63</v>
      </c>
      <c r="AQ62" t="s">
        <v>63</v>
      </c>
      <c r="AR62" t="s">
        <v>63</v>
      </c>
      <c r="AS62" t="s">
        <v>63</v>
      </c>
      <c r="AT62" t="s">
        <v>63</v>
      </c>
      <c r="AU62" t="s">
        <v>63</v>
      </c>
      <c r="AV62" t="s">
        <v>63</v>
      </c>
      <c r="AW62" t="s">
        <v>63</v>
      </c>
      <c r="AX62" t="s">
        <v>63</v>
      </c>
      <c r="AY62" t="s">
        <v>63</v>
      </c>
      <c r="AZ62" t="s">
        <v>63</v>
      </c>
      <c r="BA62" t="s">
        <v>63</v>
      </c>
      <c r="BB62" t="s">
        <v>63</v>
      </c>
      <c r="BC62" t="s">
        <v>63</v>
      </c>
      <c r="BD62" t="s">
        <v>63</v>
      </c>
      <c r="BE62" t="s">
        <v>63</v>
      </c>
      <c r="BF62" t="s">
        <v>63</v>
      </c>
    </row>
    <row r="63" spans="1:58">
      <c r="A63" t="s">
        <v>58</v>
      </c>
      <c r="B63" t="s">
        <v>572</v>
      </c>
      <c r="C63" t="s">
        <v>573</v>
      </c>
      <c r="D63" t="s">
        <v>574</v>
      </c>
      <c r="E63" t="s">
        <v>63</v>
      </c>
      <c r="F63">
        <v>2016</v>
      </c>
      <c r="G63" t="s">
        <v>198</v>
      </c>
      <c r="H63">
        <v>17</v>
      </c>
      <c r="I63">
        <v>1</v>
      </c>
      <c r="J63">
        <v>52</v>
      </c>
      <c r="K63">
        <v>63</v>
      </c>
      <c r="L63" t="s">
        <v>575</v>
      </c>
      <c r="M63" t="s">
        <v>576</v>
      </c>
      <c r="N63" t="s">
        <v>577</v>
      </c>
      <c r="O63" t="s">
        <v>63</v>
      </c>
      <c r="Q63" t="s">
        <v>63</v>
      </c>
      <c r="R63" t="s">
        <v>63</v>
      </c>
      <c r="S63" t="s">
        <v>63</v>
      </c>
      <c r="T63" t="s">
        <v>63</v>
      </c>
      <c r="X63" t="s">
        <v>63</v>
      </c>
      <c r="Y63" t="s">
        <v>578</v>
      </c>
      <c r="Z63" t="s">
        <v>63</v>
      </c>
      <c r="AA63" t="s">
        <v>63</v>
      </c>
      <c r="AB63">
        <v>26304703</v>
      </c>
      <c r="AC63" t="s">
        <v>67</v>
      </c>
      <c r="AD63" t="s">
        <v>63</v>
      </c>
      <c r="AE63" t="s">
        <v>63</v>
      </c>
      <c r="AF63" t="s">
        <v>63</v>
      </c>
      <c r="AG63" t="s">
        <v>579</v>
      </c>
      <c r="AH63" t="s">
        <v>63</v>
      </c>
      <c r="AI63" t="s">
        <v>63</v>
      </c>
      <c r="AJ63" t="s">
        <v>63</v>
      </c>
      <c r="AK63" t="s">
        <v>63</v>
      </c>
      <c r="AL63" t="s">
        <v>63</v>
      </c>
      <c r="AM63" t="s">
        <v>580</v>
      </c>
      <c r="AN63" t="s">
        <v>63</v>
      </c>
      <c r="AO63" t="s">
        <v>63</v>
      </c>
      <c r="AP63" t="s">
        <v>63</v>
      </c>
      <c r="AQ63" t="s">
        <v>63</v>
      </c>
      <c r="AR63" t="s">
        <v>63</v>
      </c>
      <c r="AS63" t="s">
        <v>63</v>
      </c>
      <c r="AT63" t="s">
        <v>63</v>
      </c>
      <c r="AU63" t="s">
        <v>63</v>
      </c>
      <c r="AV63" t="s">
        <v>63</v>
      </c>
      <c r="AW63" t="s">
        <v>63</v>
      </c>
      <c r="AX63" t="s">
        <v>63</v>
      </c>
      <c r="AY63" t="s">
        <v>63</v>
      </c>
      <c r="AZ63" t="s">
        <v>63</v>
      </c>
      <c r="BA63" t="s">
        <v>63</v>
      </c>
      <c r="BB63" t="s">
        <v>63</v>
      </c>
      <c r="BC63" t="s">
        <v>63</v>
      </c>
      <c r="BD63" t="s">
        <v>63</v>
      </c>
      <c r="BE63" t="s">
        <v>63</v>
      </c>
      <c r="BF63" t="s">
        <v>63</v>
      </c>
    </row>
    <row r="64" spans="1:58">
      <c r="A64" t="s">
        <v>58</v>
      </c>
      <c r="B64" t="s">
        <v>581</v>
      </c>
      <c r="C64" t="s">
        <v>582</v>
      </c>
      <c r="D64" t="s">
        <v>583</v>
      </c>
      <c r="E64" t="s">
        <v>583</v>
      </c>
      <c r="F64">
        <v>1990</v>
      </c>
      <c r="G64" t="s">
        <v>274</v>
      </c>
      <c r="H64">
        <v>9</v>
      </c>
      <c r="I64">
        <v>1</v>
      </c>
      <c r="J64">
        <v>13</v>
      </c>
      <c r="K64">
        <v>15</v>
      </c>
      <c r="L64" t="s">
        <v>584</v>
      </c>
      <c r="M64" t="s">
        <v>63</v>
      </c>
      <c r="N64" t="s">
        <v>585</v>
      </c>
      <c r="O64" t="s">
        <v>63</v>
      </c>
      <c r="Q64" t="s">
        <v>63</v>
      </c>
      <c r="R64" t="s">
        <v>63</v>
      </c>
      <c r="S64" t="s">
        <v>63</v>
      </c>
      <c r="T64" t="s">
        <v>63</v>
      </c>
      <c r="X64" t="s">
        <v>63</v>
      </c>
      <c r="Y64" t="s">
        <v>586</v>
      </c>
      <c r="Z64" t="s">
        <v>63</v>
      </c>
      <c r="AA64" t="s">
        <v>587</v>
      </c>
      <c r="AB64">
        <v>2335356</v>
      </c>
      <c r="AC64" t="s">
        <v>67</v>
      </c>
      <c r="AD64" t="s">
        <v>63</v>
      </c>
      <c r="AE64" t="s">
        <v>63</v>
      </c>
      <c r="AF64" t="s">
        <v>63</v>
      </c>
      <c r="AG64" t="s">
        <v>588</v>
      </c>
      <c r="AH64" t="s">
        <v>63</v>
      </c>
      <c r="AI64" t="s">
        <v>63</v>
      </c>
      <c r="AJ64" t="s">
        <v>63</v>
      </c>
      <c r="AK64" t="s">
        <v>63</v>
      </c>
      <c r="AL64" t="s">
        <v>63</v>
      </c>
      <c r="AM64" t="s">
        <v>589</v>
      </c>
      <c r="AN64" t="s">
        <v>63</v>
      </c>
      <c r="AO64" t="s">
        <v>63</v>
      </c>
      <c r="AP64" t="s">
        <v>63</v>
      </c>
      <c r="AQ64" t="s">
        <v>63</v>
      </c>
      <c r="AR64" t="s">
        <v>63</v>
      </c>
      <c r="AS64" t="s">
        <v>63</v>
      </c>
      <c r="AT64" t="s">
        <v>63</v>
      </c>
      <c r="AU64" t="s">
        <v>63</v>
      </c>
      <c r="AV64" t="s">
        <v>63</v>
      </c>
      <c r="AW64" t="s">
        <v>63</v>
      </c>
      <c r="AX64" t="s">
        <v>63</v>
      </c>
      <c r="AY64" t="s">
        <v>63</v>
      </c>
      <c r="AZ64" t="s">
        <v>63</v>
      </c>
      <c r="BA64" t="s">
        <v>63</v>
      </c>
      <c r="BB64" t="s">
        <v>63</v>
      </c>
      <c r="BC64" t="s">
        <v>63</v>
      </c>
      <c r="BD64" t="s">
        <v>63</v>
      </c>
      <c r="BE64" t="s">
        <v>63</v>
      </c>
      <c r="BF64" t="s">
        <v>63</v>
      </c>
    </row>
    <row r="65" spans="1:58">
      <c r="A65" t="s">
        <v>58</v>
      </c>
      <c r="B65" t="s">
        <v>590</v>
      </c>
      <c r="C65" t="s">
        <v>591</v>
      </c>
      <c r="D65" t="s">
        <v>592</v>
      </c>
      <c r="E65" t="s">
        <v>593</v>
      </c>
      <c r="F65">
        <v>2011</v>
      </c>
      <c r="G65" t="s">
        <v>219</v>
      </c>
      <c r="H65">
        <v>40</v>
      </c>
      <c r="I65">
        <v>11</v>
      </c>
      <c r="J65">
        <v>927</v>
      </c>
      <c r="K65">
        <v>929</v>
      </c>
      <c r="L65" t="s">
        <v>594</v>
      </c>
      <c r="M65" t="s">
        <v>595</v>
      </c>
      <c r="N65" t="s">
        <v>596</v>
      </c>
      <c r="O65" t="s">
        <v>63</v>
      </c>
      <c r="Q65" t="s">
        <v>63</v>
      </c>
      <c r="R65" t="s">
        <v>63</v>
      </c>
      <c r="S65" t="s">
        <v>63</v>
      </c>
      <c r="T65" t="s">
        <v>63</v>
      </c>
      <c r="X65" t="s">
        <v>63</v>
      </c>
      <c r="Y65" t="s">
        <v>597</v>
      </c>
      <c r="Z65" t="s">
        <v>63</v>
      </c>
      <c r="AA65" t="s">
        <v>598</v>
      </c>
      <c r="AB65">
        <v>22059226</v>
      </c>
      <c r="AC65" t="s">
        <v>67</v>
      </c>
      <c r="AD65" t="s">
        <v>63</v>
      </c>
      <c r="AE65" t="s">
        <v>63</v>
      </c>
      <c r="AF65" t="s">
        <v>63</v>
      </c>
      <c r="AG65" t="s">
        <v>599</v>
      </c>
      <c r="AH65" t="s">
        <v>63</v>
      </c>
      <c r="AI65" t="s">
        <v>63</v>
      </c>
      <c r="AJ65" t="s">
        <v>63</v>
      </c>
      <c r="AK65" t="s">
        <v>63</v>
      </c>
      <c r="AL65" t="s">
        <v>63</v>
      </c>
      <c r="AM65" t="s">
        <v>600</v>
      </c>
      <c r="AN65" t="s">
        <v>63</v>
      </c>
      <c r="AO65" t="s">
        <v>63</v>
      </c>
      <c r="AP65" t="s">
        <v>63</v>
      </c>
      <c r="AQ65" t="s">
        <v>63</v>
      </c>
      <c r="AR65" t="s">
        <v>63</v>
      </c>
      <c r="AS65" t="s">
        <v>63</v>
      </c>
      <c r="AT65" t="s">
        <v>63</v>
      </c>
      <c r="AU65" t="s">
        <v>63</v>
      </c>
      <c r="AV65" t="s">
        <v>63</v>
      </c>
      <c r="AW65" t="s">
        <v>63</v>
      </c>
      <c r="AX65" t="s">
        <v>63</v>
      </c>
      <c r="AY65" t="s">
        <v>63</v>
      </c>
      <c r="AZ65" t="s">
        <v>63</v>
      </c>
      <c r="BA65" t="s">
        <v>63</v>
      </c>
      <c r="BB65" t="s">
        <v>63</v>
      </c>
      <c r="BC65" t="s">
        <v>63</v>
      </c>
      <c r="BD65" t="s">
        <v>63</v>
      </c>
      <c r="BE65" t="s">
        <v>63</v>
      </c>
      <c r="BF65" t="s">
        <v>63</v>
      </c>
    </row>
    <row r="66" spans="1:58">
      <c r="A66" t="s">
        <v>58</v>
      </c>
      <c r="B66" t="s">
        <v>601</v>
      </c>
      <c r="C66" t="s">
        <v>602</v>
      </c>
      <c r="D66" t="s">
        <v>603</v>
      </c>
      <c r="E66" t="s">
        <v>604</v>
      </c>
      <c r="F66">
        <v>1998</v>
      </c>
      <c r="G66" t="s">
        <v>138</v>
      </c>
      <c r="H66">
        <v>90</v>
      </c>
      <c r="I66">
        <v>10</v>
      </c>
      <c r="J66">
        <v>597</v>
      </c>
      <c r="K66">
        <v>604</v>
      </c>
      <c r="L66" t="s">
        <v>605</v>
      </c>
      <c r="M66" t="s">
        <v>606</v>
      </c>
      <c r="N66" t="s">
        <v>607</v>
      </c>
      <c r="O66" t="s">
        <v>63</v>
      </c>
      <c r="Q66" t="s">
        <v>63</v>
      </c>
      <c r="R66" t="s">
        <v>63</v>
      </c>
      <c r="S66" t="s">
        <v>63</v>
      </c>
      <c r="T66" t="s">
        <v>63</v>
      </c>
      <c r="X66" t="s">
        <v>63</v>
      </c>
      <c r="Y66" t="s">
        <v>608</v>
      </c>
      <c r="Z66" t="s">
        <v>63</v>
      </c>
      <c r="AA66" t="s">
        <v>609</v>
      </c>
      <c r="AB66">
        <v>9803724</v>
      </c>
      <c r="AC66" t="s">
        <v>67</v>
      </c>
      <c r="AD66" t="s">
        <v>63</v>
      </c>
      <c r="AE66" t="s">
        <v>63</v>
      </c>
      <c r="AF66" t="s">
        <v>63</v>
      </c>
      <c r="AG66" t="s">
        <v>610</v>
      </c>
      <c r="AH66" t="s">
        <v>63</v>
      </c>
      <c r="AI66" t="s">
        <v>63</v>
      </c>
      <c r="AJ66" t="s">
        <v>63</v>
      </c>
      <c r="AK66" t="s">
        <v>63</v>
      </c>
      <c r="AL66" t="s">
        <v>63</v>
      </c>
      <c r="AM66" t="s">
        <v>611</v>
      </c>
      <c r="AN66" t="s">
        <v>63</v>
      </c>
      <c r="AO66" t="s">
        <v>63</v>
      </c>
      <c r="AP66" t="s">
        <v>63</v>
      </c>
      <c r="AQ66" t="s">
        <v>63</v>
      </c>
      <c r="AR66" t="s">
        <v>63</v>
      </c>
      <c r="AS66" t="s">
        <v>63</v>
      </c>
      <c r="AT66" t="s">
        <v>63</v>
      </c>
      <c r="AU66" t="s">
        <v>63</v>
      </c>
      <c r="AV66" t="s">
        <v>63</v>
      </c>
      <c r="AW66" t="s">
        <v>63</v>
      </c>
      <c r="AX66" t="s">
        <v>63</v>
      </c>
      <c r="AY66" t="s">
        <v>63</v>
      </c>
      <c r="AZ66" t="s">
        <v>63</v>
      </c>
      <c r="BA66" t="s">
        <v>63</v>
      </c>
      <c r="BB66" t="s">
        <v>63</v>
      </c>
      <c r="BC66" t="s">
        <v>63</v>
      </c>
      <c r="BD66" t="s">
        <v>63</v>
      </c>
      <c r="BE66" t="s">
        <v>63</v>
      </c>
      <c r="BF66" t="s">
        <v>63</v>
      </c>
    </row>
    <row r="67" spans="1:58">
      <c r="A67" t="s">
        <v>58</v>
      </c>
      <c r="B67" t="s">
        <v>612</v>
      </c>
      <c r="C67" t="s">
        <v>613</v>
      </c>
      <c r="D67" t="s">
        <v>458</v>
      </c>
      <c r="E67" t="s">
        <v>459</v>
      </c>
      <c r="F67">
        <v>2016</v>
      </c>
      <c r="G67" t="s">
        <v>614</v>
      </c>
      <c r="H67">
        <v>80</v>
      </c>
      <c r="I67">
        <v>8</v>
      </c>
      <c r="J67">
        <v>959</v>
      </c>
      <c r="K67">
        <v>965</v>
      </c>
      <c r="L67" t="s">
        <v>615</v>
      </c>
      <c r="M67" t="s">
        <v>616</v>
      </c>
      <c r="N67" t="s">
        <v>617</v>
      </c>
      <c r="O67" t="s">
        <v>63</v>
      </c>
      <c r="Q67" t="s">
        <v>63</v>
      </c>
      <c r="R67" t="s">
        <v>63</v>
      </c>
      <c r="S67" t="s">
        <v>63</v>
      </c>
      <c r="T67" t="s">
        <v>63</v>
      </c>
      <c r="X67" t="s">
        <v>63</v>
      </c>
      <c r="Y67" t="s">
        <v>463</v>
      </c>
      <c r="Z67" t="s">
        <v>63</v>
      </c>
      <c r="AA67" t="s">
        <v>618</v>
      </c>
      <c r="AB67">
        <v>27480707</v>
      </c>
      <c r="AC67" t="s">
        <v>67</v>
      </c>
      <c r="AD67" t="s">
        <v>63</v>
      </c>
      <c r="AE67" t="s">
        <v>63</v>
      </c>
      <c r="AF67" t="s">
        <v>63</v>
      </c>
      <c r="AG67" t="s">
        <v>619</v>
      </c>
      <c r="AH67" t="s">
        <v>63</v>
      </c>
      <c r="AI67" t="s">
        <v>63</v>
      </c>
      <c r="AJ67" t="s">
        <v>63</v>
      </c>
      <c r="AK67" t="s">
        <v>63</v>
      </c>
      <c r="AL67" t="s">
        <v>63</v>
      </c>
      <c r="AM67" t="s">
        <v>620</v>
      </c>
      <c r="AN67" t="s">
        <v>63</v>
      </c>
      <c r="AO67" t="s">
        <v>63</v>
      </c>
      <c r="AP67" t="s">
        <v>63</v>
      </c>
      <c r="AQ67" t="s">
        <v>63</v>
      </c>
      <c r="AR67" t="s">
        <v>63</v>
      </c>
      <c r="AS67" t="s">
        <v>63</v>
      </c>
      <c r="AT67" t="s">
        <v>63</v>
      </c>
      <c r="AU67" t="s">
        <v>63</v>
      </c>
      <c r="AV67" t="s">
        <v>63</v>
      </c>
      <c r="AW67" t="s">
        <v>63</v>
      </c>
      <c r="AX67" t="s">
        <v>63</v>
      </c>
      <c r="AY67" t="s">
        <v>63</v>
      </c>
      <c r="AZ67" t="s">
        <v>63</v>
      </c>
      <c r="BA67" t="s">
        <v>63</v>
      </c>
      <c r="BB67" t="s">
        <v>63</v>
      </c>
      <c r="BC67" t="s">
        <v>63</v>
      </c>
      <c r="BD67" t="s">
        <v>63</v>
      </c>
      <c r="BE67" t="s">
        <v>63</v>
      </c>
      <c r="BF67" t="s">
        <v>63</v>
      </c>
    </row>
    <row r="68" spans="1:58">
      <c r="A68" t="s">
        <v>58</v>
      </c>
      <c r="B68" t="s">
        <v>621</v>
      </c>
      <c r="C68" t="s">
        <v>622</v>
      </c>
      <c r="D68" t="s">
        <v>349</v>
      </c>
      <c r="E68" t="s">
        <v>350</v>
      </c>
      <c r="F68">
        <v>1990</v>
      </c>
      <c r="G68" t="s">
        <v>623</v>
      </c>
      <c r="H68">
        <v>6</v>
      </c>
      <c r="I68">
        <v>1</v>
      </c>
      <c r="J68">
        <v>28</v>
      </c>
      <c r="K68">
        <v>33</v>
      </c>
      <c r="L68" t="s">
        <v>624</v>
      </c>
      <c r="M68" t="s">
        <v>625</v>
      </c>
      <c r="N68" t="s">
        <v>626</v>
      </c>
      <c r="O68" t="s">
        <v>63</v>
      </c>
      <c r="Q68" t="s">
        <v>63</v>
      </c>
      <c r="R68" t="s">
        <v>63</v>
      </c>
      <c r="S68" t="s">
        <v>63</v>
      </c>
      <c r="T68" t="s">
        <v>63</v>
      </c>
      <c r="X68" t="s">
        <v>63</v>
      </c>
      <c r="Y68" t="s">
        <v>354</v>
      </c>
      <c r="Z68" t="s">
        <v>63</v>
      </c>
      <c r="AA68" t="s">
        <v>627</v>
      </c>
      <c r="AB68">
        <v>2340189</v>
      </c>
      <c r="AC68" t="s">
        <v>67</v>
      </c>
      <c r="AD68" t="s">
        <v>63</v>
      </c>
      <c r="AE68" t="s">
        <v>63</v>
      </c>
      <c r="AF68" t="s">
        <v>63</v>
      </c>
      <c r="AG68" t="s">
        <v>628</v>
      </c>
      <c r="AH68" t="s">
        <v>63</v>
      </c>
      <c r="AI68" t="s">
        <v>63</v>
      </c>
      <c r="AJ68" t="s">
        <v>63</v>
      </c>
      <c r="AK68" t="s">
        <v>63</v>
      </c>
      <c r="AL68" t="s">
        <v>63</v>
      </c>
      <c r="AM68" t="s">
        <v>629</v>
      </c>
      <c r="AN68" t="s">
        <v>63</v>
      </c>
      <c r="AO68" t="s">
        <v>63</v>
      </c>
      <c r="AP68" t="s">
        <v>63</v>
      </c>
      <c r="AQ68" t="s">
        <v>63</v>
      </c>
      <c r="AR68" t="s">
        <v>63</v>
      </c>
      <c r="AS68" t="s">
        <v>63</v>
      </c>
      <c r="AT68" t="s">
        <v>63</v>
      </c>
      <c r="AU68" t="s">
        <v>63</v>
      </c>
      <c r="AV68" t="s">
        <v>63</v>
      </c>
      <c r="AW68" t="s">
        <v>63</v>
      </c>
      <c r="AX68" t="s">
        <v>63</v>
      </c>
      <c r="AY68" t="s">
        <v>63</v>
      </c>
      <c r="AZ68" t="s">
        <v>63</v>
      </c>
      <c r="BA68" t="s">
        <v>63</v>
      </c>
      <c r="BB68" t="s">
        <v>63</v>
      </c>
      <c r="BC68" t="s">
        <v>63</v>
      </c>
      <c r="BD68" t="s">
        <v>63</v>
      </c>
      <c r="BE68" t="s">
        <v>63</v>
      </c>
      <c r="BF68" t="s">
        <v>63</v>
      </c>
    </row>
    <row r="69" spans="1:58">
      <c r="A69" t="s">
        <v>58</v>
      </c>
      <c r="B69" t="s">
        <v>630</v>
      </c>
      <c r="C69" t="s">
        <v>631</v>
      </c>
      <c r="D69" t="s">
        <v>632</v>
      </c>
      <c r="E69" t="s">
        <v>63</v>
      </c>
      <c r="F69">
        <v>1974</v>
      </c>
      <c r="G69" s="1">
        <v>41803</v>
      </c>
      <c r="H69">
        <v>25</v>
      </c>
      <c r="I69">
        <v>24</v>
      </c>
      <c r="J69">
        <v>1076</v>
      </c>
      <c r="K69">
        <v>1078</v>
      </c>
      <c r="L69" t="s">
        <v>633</v>
      </c>
      <c r="M69" t="s">
        <v>63</v>
      </c>
      <c r="N69" t="s">
        <v>634</v>
      </c>
      <c r="O69" t="s">
        <v>63</v>
      </c>
      <c r="Q69" t="s">
        <v>63</v>
      </c>
      <c r="R69" t="s">
        <v>63</v>
      </c>
      <c r="S69" t="s">
        <v>63</v>
      </c>
      <c r="T69" t="s">
        <v>63</v>
      </c>
      <c r="X69" t="s">
        <v>63</v>
      </c>
      <c r="Y69" t="s">
        <v>635</v>
      </c>
      <c r="Z69" t="s">
        <v>63</v>
      </c>
      <c r="AA69" t="s">
        <v>63</v>
      </c>
      <c r="AB69">
        <v>4849269</v>
      </c>
      <c r="AC69" t="s">
        <v>102</v>
      </c>
      <c r="AD69" t="s">
        <v>63</v>
      </c>
      <c r="AE69" t="s">
        <v>63</v>
      </c>
      <c r="AF69" t="s">
        <v>63</v>
      </c>
      <c r="AG69" t="s">
        <v>636</v>
      </c>
      <c r="AH69" t="s">
        <v>63</v>
      </c>
      <c r="AI69" t="s">
        <v>63</v>
      </c>
      <c r="AJ69" t="s">
        <v>63</v>
      </c>
      <c r="AK69" t="s">
        <v>63</v>
      </c>
      <c r="AL69" t="s">
        <v>63</v>
      </c>
      <c r="AM69" t="s">
        <v>637</v>
      </c>
      <c r="AN69" t="s">
        <v>63</v>
      </c>
      <c r="AO69" t="s">
        <v>63</v>
      </c>
      <c r="AP69" t="s">
        <v>63</v>
      </c>
      <c r="AQ69" t="s">
        <v>63</v>
      </c>
      <c r="AR69" t="s">
        <v>63</v>
      </c>
      <c r="AS69" t="s">
        <v>63</v>
      </c>
      <c r="AT69" t="s">
        <v>63</v>
      </c>
      <c r="AU69" t="s">
        <v>63</v>
      </c>
      <c r="AV69" t="s">
        <v>63</v>
      </c>
      <c r="AW69" t="s">
        <v>63</v>
      </c>
      <c r="AX69" t="s">
        <v>63</v>
      </c>
      <c r="AY69" t="s">
        <v>63</v>
      </c>
      <c r="AZ69" t="s">
        <v>63</v>
      </c>
      <c r="BA69" t="s">
        <v>63</v>
      </c>
      <c r="BB69" t="s">
        <v>63</v>
      </c>
      <c r="BC69" t="s">
        <v>63</v>
      </c>
      <c r="BD69" t="s">
        <v>63</v>
      </c>
      <c r="BE69" t="s">
        <v>63</v>
      </c>
      <c r="BF69" t="s">
        <v>63</v>
      </c>
    </row>
    <row r="70" spans="1:58">
      <c r="A70" t="s">
        <v>58</v>
      </c>
      <c r="B70" t="s">
        <v>638</v>
      </c>
      <c r="C70" t="s">
        <v>639</v>
      </c>
      <c r="D70" t="s">
        <v>640</v>
      </c>
      <c r="E70" t="s">
        <v>63</v>
      </c>
      <c r="F70">
        <v>2002</v>
      </c>
      <c r="G70" t="s">
        <v>181</v>
      </c>
      <c r="H70">
        <v>21</v>
      </c>
      <c r="I70">
        <v>3</v>
      </c>
      <c r="J70">
        <v>215</v>
      </c>
      <c r="K70">
        <v>222</v>
      </c>
      <c r="L70" t="s">
        <v>641</v>
      </c>
      <c r="M70" t="s">
        <v>642</v>
      </c>
      <c r="N70" t="s">
        <v>643</v>
      </c>
      <c r="O70" t="s">
        <v>63</v>
      </c>
      <c r="Q70" t="s">
        <v>63</v>
      </c>
      <c r="R70" t="s">
        <v>63</v>
      </c>
      <c r="S70" t="s">
        <v>63</v>
      </c>
      <c r="T70" t="s">
        <v>63</v>
      </c>
      <c r="X70" t="s">
        <v>63</v>
      </c>
      <c r="Y70" t="s">
        <v>644</v>
      </c>
      <c r="Z70" t="s">
        <v>63</v>
      </c>
      <c r="AA70" t="s">
        <v>645</v>
      </c>
      <c r="AB70">
        <v>12270071</v>
      </c>
      <c r="AC70" t="s">
        <v>67</v>
      </c>
      <c r="AD70" t="s">
        <v>63</v>
      </c>
      <c r="AE70" t="s">
        <v>63</v>
      </c>
      <c r="AF70" t="s">
        <v>63</v>
      </c>
      <c r="AG70" t="s">
        <v>646</v>
      </c>
      <c r="AH70" t="s">
        <v>63</v>
      </c>
      <c r="AI70" t="s">
        <v>63</v>
      </c>
      <c r="AJ70" t="s">
        <v>63</v>
      </c>
      <c r="AK70" t="s">
        <v>63</v>
      </c>
      <c r="AL70" t="s">
        <v>63</v>
      </c>
      <c r="AM70" t="s">
        <v>647</v>
      </c>
      <c r="AN70" t="s">
        <v>63</v>
      </c>
      <c r="AO70" t="s">
        <v>63</v>
      </c>
      <c r="AP70" t="s">
        <v>63</v>
      </c>
      <c r="AQ70" t="s">
        <v>63</v>
      </c>
      <c r="AR70" t="s">
        <v>63</v>
      </c>
      <c r="AS70" t="s">
        <v>63</v>
      </c>
      <c r="AT70" t="s">
        <v>63</v>
      </c>
      <c r="AU70" t="s">
        <v>63</v>
      </c>
      <c r="AV70" t="s">
        <v>63</v>
      </c>
      <c r="AW70" t="s">
        <v>63</v>
      </c>
      <c r="AX70" t="s">
        <v>63</v>
      </c>
      <c r="AY70" t="s">
        <v>63</v>
      </c>
      <c r="AZ70" t="s">
        <v>63</v>
      </c>
      <c r="BA70" t="s">
        <v>63</v>
      </c>
      <c r="BB70" t="s">
        <v>63</v>
      </c>
      <c r="BC70" t="s">
        <v>63</v>
      </c>
      <c r="BD70" t="s">
        <v>63</v>
      </c>
      <c r="BE70" t="s">
        <v>63</v>
      </c>
      <c r="BF70" t="s">
        <v>63</v>
      </c>
    </row>
    <row r="71" spans="1:58">
      <c r="A71" t="s">
        <v>58</v>
      </c>
      <c r="B71" t="s">
        <v>648</v>
      </c>
      <c r="C71" t="s">
        <v>649</v>
      </c>
      <c r="D71" t="s">
        <v>650</v>
      </c>
      <c r="E71" t="s">
        <v>63</v>
      </c>
      <c r="F71">
        <v>2018</v>
      </c>
      <c r="G71" t="s">
        <v>63</v>
      </c>
      <c r="H71">
        <v>12</v>
      </c>
      <c r="I71" t="s">
        <v>63</v>
      </c>
      <c r="J71">
        <v>21</v>
      </c>
      <c r="K71" t="s">
        <v>63</v>
      </c>
      <c r="L71" t="s">
        <v>63</v>
      </c>
      <c r="M71" t="s">
        <v>651</v>
      </c>
      <c r="N71" t="s">
        <v>652</v>
      </c>
      <c r="O71" t="s">
        <v>63</v>
      </c>
      <c r="Q71" t="s">
        <v>63</v>
      </c>
      <c r="R71" t="s">
        <v>63</v>
      </c>
      <c r="S71" t="s">
        <v>63</v>
      </c>
      <c r="T71" t="s">
        <v>63</v>
      </c>
      <c r="X71" t="s">
        <v>63</v>
      </c>
      <c r="Y71" t="s">
        <v>653</v>
      </c>
      <c r="Z71" t="s">
        <v>63</v>
      </c>
      <c r="AA71" t="s">
        <v>654</v>
      </c>
      <c r="AB71">
        <v>29755581</v>
      </c>
      <c r="AC71" t="s">
        <v>67</v>
      </c>
      <c r="AD71" t="s">
        <v>63</v>
      </c>
      <c r="AE71" t="s">
        <v>63</v>
      </c>
      <c r="AF71" t="s">
        <v>63</v>
      </c>
      <c r="AG71" t="s">
        <v>655</v>
      </c>
      <c r="AH71" t="s">
        <v>63</v>
      </c>
      <c r="AI71" t="s">
        <v>656</v>
      </c>
      <c r="AJ71" t="s">
        <v>63</v>
      </c>
      <c r="AK71" t="s">
        <v>63</v>
      </c>
      <c r="AL71" t="s">
        <v>63</v>
      </c>
      <c r="AM71" t="s">
        <v>657</v>
      </c>
      <c r="AN71" t="s">
        <v>63</v>
      </c>
      <c r="AO71" t="s">
        <v>63</v>
      </c>
      <c r="AP71" t="s">
        <v>63</v>
      </c>
      <c r="AQ71" t="s">
        <v>63</v>
      </c>
      <c r="AR71" t="s">
        <v>63</v>
      </c>
      <c r="AS71" t="s">
        <v>63</v>
      </c>
      <c r="AT71" t="s">
        <v>63</v>
      </c>
      <c r="AU71" t="s">
        <v>63</v>
      </c>
      <c r="AV71" t="s">
        <v>63</v>
      </c>
      <c r="AW71" t="s">
        <v>63</v>
      </c>
      <c r="AX71" t="s">
        <v>63</v>
      </c>
      <c r="AY71" t="s">
        <v>63</v>
      </c>
      <c r="AZ71" t="s">
        <v>63</v>
      </c>
      <c r="BA71" t="s">
        <v>63</v>
      </c>
      <c r="BB71" t="s">
        <v>63</v>
      </c>
      <c r="BC71" t="s">
        <v>63</v>
      </c>
      <c r="BD71" t="s">
        <v>63</v>
      </c>
      <c r="BE71" t="s">
        <v>63</v>
      </c>
      <c r="BF71" t="s">
        <v>63</v>
      </c>
    </row>
    <row r="72" spans="1:58">
      <c r="A72" t="s">
        <v>58</v>
      </c>
      <c r="B72" t="s">
        <v>658</v>
      </c>
      <c r="C72" t="s">
        <v>659</v>
      </c>
      <c r="D72" t="s">
        <v>660</v>
      </c>
      <c r="E72" t="s">
        <v>661</v>
      </c>
      <c r="F72">
        <v>1991</v>
      </c>
      <c r="G72" s="1">
        <v>41896</v>
      </c>
      <c r="H72">
        <v>90</v>
      </c>
      <c r="I72">
        <v>4</v>
      </c>
      <c r="J72">
        <v>50</v>
      </c>
      <c r="K72">
        <v>55</v>
      </c>
      <c r="L72" t="s">
        <v>662</v>
      </c>
      <c r="M72" t="s">
        <v>663</v>
      </c>
      <c r="N72" t="s">
        <v>664</v>
      </c>
      <c r="O72" t="s">
        <v>63</v>
      </c>
      <c r="Q72" t="s">
        <v>63</v>
      </c>
      <c r="R72" t="s">
        <v>63</v>
      </c>
      <c r="S72" t="s">
        <v>63</v>
      </c>
      <c r="T72" t="s">
        <v>63</v>
      </c>
      <c r="X72" t="s">
        <v>63</v>
      </c>
      <c r="Y72" t="s">
        <v>665</v>
      </c>
      <c r="Z72" t="s">
        <v>63</v>
      </c>
      <c r="AA72" t="s">
        <v>666</v>
      </c>
      <c r="AB72">
        <v>1891433</v>
      </c>
      <c r="AC72" t="s">
        <v>67</v>
      </c>
      <c r="AD72" t="s">
        <v>63</v>
      </c>
      <c r="AE72" t="s">
        <v>63</v>
      </c>
      <c r="AF72" t="s">
        <v>63</v>
      </c>
      <c r="AG72" t="s">
        <v>667</v>
      </c>
      <c r="AH72" t="s">
        <v>63</v>
      </c>
      <c r="AI72" t="s">
        <v>63</v>
      </c>
      <c r="AJ72" t="s">
        <v>63</v>
      </c>
      <c r="AK72" t="s">
        <v>63</v>
      </c>
      <c r="AL72" t="s">
        <v>63</v>
      </c>
      <c r="AM72" t="s">
        <v>668</v>
      </c>
      <c r="AN72" t="s">
        <v>63</v>
      </c>
      <c r="AO72" t="s">
        <v>63</v>
      </c>
      <c r="AP72" t="s">
        <v>63</v>
      </c>
      <c r="AQ72" t="s">
        <v>63</v>
      </c>
      <c r="AR72" t="s">
        <v>63</v>
      </c>
      <c r="AS72" t="s">
        <v>63</v>
      </c>
      <c r="AT72" t="s">
        <v>63</v>
      </c>
      <c r="AU72" t="s">
        <v>63</v>
      </c>
      <c r="AV72" t="s">
        <v>63</v>
      </c>
      <c r="AW72" t="s">
        <v>63</v>
      </c>
      <c r="AX72" t="s">
        <v>63</v>
      </c>
      <c r="AY72" t="s">
        <v>63</v>
      </c>
      <c r="AZ72" t="s">
        <v>63</v>
      </c>
      <c r="BA72" t="s">
        <v>63</v>
      </c>
      <c r="BB72" t="s">
        <v>63</v>
      </c>
      <c r="BC72" t="s">
        <v>63</v>
      </c>
      <c r="BD72" t="s">
        <v>63</v>
      </c>
      <c r="BE72" t="s">
        <v>63</v>
      </c>
      <c r="BF72" t="s">
        <v>63</v>
      </c>
    </row>
    <row r="73" spans="1:58">
      <c r="A73" t="s">
        <v>58</v>
      </c>
      <c r="B73" t="s">
        <v>669</v>
      </c>
      <c r="C73" t="s">
        <v>670</v>
      </c>
      <c r="D73" t="s">
        <v>671</v>
      </c>
      <c r="E73" t="s">
        <v>63</v>
      </c>
      <c r="F73">
        <v>2010</v>
      </c>
      <c r="G73" s="1">
        <v>41990</v>
      </c>
      <c r="H73">
        <v>10</v>
      </c>
      <c r="I73">
        <v>2</v>
      </c>
      <c r="J73">
        <v>104</v>
      </c>
      <c r="K73">
        <v>109</v>
      </c>
      <c r="L73" t="s">
        <v>63</v>
      </c>
      <c r="M73" t="s">
        <v>672</v>
      </c>
      <c r="N73" t="s">
        <v>673</v>
      </c>
      <c r="O73" t="s">
        <v>63</v>
      </c>
      <c r="Q73" t="s">
        <v>63</v>
      </c>
      <c r="R73" t="s">
        <v>63</v>
      </c>
      <c r="S73" t="s">
        <v>63</v>
      </c>
      <c r="T73" t="s">
        <v>63</v>
      </c>
      <c r="X73" t="s">
        <v>63</v>
      </c>
      <c r="Y73" t="s">
        <v>674</v>
      </c>
      <c r="Z73" t="s">
        <v>63</v>
      </c>
      <c r="AA73" t="s">
        <v>675</v>
      </c>
      <c r="AB73">
        <v>22911932</v>
      </c>
      <c r="AC73" t="s">
        <v>67</v>
      </c>
      <c r="AD73" t="s">
        <v>63</v>
      </c>
      <c r="AE73" t="s">
        <v>63</v>
      </c>
      <c r="AF73" t="s">
        <v>63</v>
      </c>
      <c r="AG73" t="s">
        <v>676</v>
      </c>
      <c r="AH73" t="s">
        <v>63</v>
      </c>
      <c r="AI73" t="s">
        <v>63</v>
      </c>
      <c r="AJ73" t="s">
        <v>63</v>
      </c>
      <c r="AK73" t="s">
        <v>63</v>
      </c>
      <c r="AL73" t="s">
        <v>63</v>
      </c>
      <c r="AM73" t="s">
        <v>677</v>
      </c>
      <c r="AN73" t="s">
        <v>63</v>
      </c>
      <c r="AO73" t="s">
        <v>63</v>
      </c>
      <c r="AP73" t="s">
        <v>63</v>
      </c>
      <c r="AQ73" t="s">
        <v>63</v>
      </c>
      <c r="AR73" t="s">
        <v>63</v>
      </c>
      <c r="AS73" t="s">
        <v>63</v>
      </c>
      <c r="AT73" t="s">
        <v>63</v>
      </c>
      <c r="AU73" t="s">
        <v>63</v>
      </c>
      <c r="AV73" t="s">
        <v>63</v>
      </c>
      <c r="AW73" t="s">
        <v>63</v>
      </c>
      <c r="AX73" t="s">
        <v>63</v>
      </c>
      <c r="AY73" t="s">
        <v>63</v>
      </c>
      <c r="AZ73" t="s">
        <v>63</v>
      </c>
      <c r="BA73" t="s">
        <v>63</v>
      </c>
      <c r="BB73" t="s">
        <v>63</v>
      </c>
      <c r="BC73" t="s">
        <v>63</v>
      </c>
      <c r="BD73" t="s">
        <v>63</v>
      </c>
      <c r="BE73" t="s">
        <v>63</v>
      </c>
      <c r="BF73" t="s">
        <v>63</v>
      </c>
    </row>
    <row r="74" spans="1:58">
      <c r="A74" t="s">
        <v>58</v>
      </c>
      <c r="B74" t="s">
        <v>678</v>
      </c>
      <c r="C74" t="s">
        <v>679</v>
      </c>
      <c r="D74" t="s">
        <v>680</v>
      </c>
      <c r="E74" t="s">
        <v>63</v>
      </c>
      <c r="F74">
        <v>2008</v>
      </c>
      <c r="G74" s="1">
        <v>41864</v>
      </c>
      <c r="H74">
        <v>13</v>
      </c>
      <c r="I74" t="s">
        <v>63</v>
      </c>
      <c r="J74">
        <v>12</v>
      </c>
      <c r="K74" t="s">
        <v>63</v>
      </c>
      <c r="L74" t="s">
        <v>63</v>
      </c>
      <c r="M74" t="s">
        <v>681</v>
      </c>
      <c r="N74" t="s">
        <v>682</v>
      </c>
      <c r="O74" t="s">
        <v>63</v>
      </c>
      <c r="Q74" t="s">
        <v>63</v>
      </c>
      <c r="R74" t="s">
        <v>63</v>
      </c>
      <c r="S74" t="s">
        <v>63</v>
      </c>
      <c r="T74" t="s">
        <v>63</v>
      </c>
      <c r="X74" t="s">
        <v>63</v>
      </c>
      <c r="Y74" t="s">
        <v>683</v>
      </c>
      <c r="Z74" t="s">
        <v>63</v>
      </c>
      <c r="AA74" t="s">
        <v>684</v>
      </c>
      <c r="AB74">
        <v>20168973</v>
      </c>
      <c r="AC74" t="s">
        <v>67</v>
      </c>
      <c r="AD74" t="s">
        <v>63</v>
      </c>
      <c r="AE74" t="s">
        <v>63</v>
      </c>
      <c r="AF74" t="s">
        <v>63</v>
      </c>
      <c r="AG74" t="s">
        <v>685</v>
      </c>
      <c r="AH74" t="s">
        <v>63</v>
      </c>
      <c r="AI74" t="s">
        <v>686</v>
      </c>
      <c r="AJ74" t="s">
        <v>63</v>
      </c>
      <c r="AK74" t="s">
        <v>63</v>
      </c>
      <c r="AL74" t="s">
        <v>63</v>
      </c>
      <c r="AM74" t="s">
        <v>687</v>
      </c>
      <c r="AN74" t="s">
        <v>63</v>
      </c>
      <c r="AO74" t="s">
        <v>63</v>
      </c>
      <c r="AP74" t="s">
        <v>63</v>
      </c>
      <c r="AQ74" t="s">
        <v>63</v>
      </c>
      <c r="AR74" t="s">
        <v>63</v>
      </c>
      <c r="AS74" t="s">
        <v>63</v>
      </c>
      <c r="AT74" t="s">
        <v>63</v>
      </c>
      <c r="AU74" t="s">
        <v>63</v>
      </c>
      <c r="AV74" t="s">
        <v>63</v>
      </c>
      <c r="AW74" t="s">
        <v>63</v>
      </c>
      <c r="AX74" t="s">
        <v>63</v>
      </c>
      <c r="AY74" t="s">
        <v>63</v>
      </c>
      <c r="AZ74" t="s">
        <v>63</v>
      </c>
      <c r="BA74" t="s">
        <v>63</v>
      </c>
      <c r="BB74" t="s">
        <v>63</v>
      </c>
      <c r="BC74" t="s">
        <v>63</v>
      </c>
      <c r="BD74" t="s">
        <v>63</v>
      </c>
      <c r="BE74" t="s">
        <v>63</v>
      </c>
      <c r="BF74" t="s">
        <v>63</v>
      </c>
    </row>
    <row r="75" spans="1:58">
      <c r="A75" t="s">
        <v>58</v>
      </c>
      <c r="B75" t="s">
        <v>688</v>
      </c>
      <c r="C75" t="s">
        <v>689</v>
      </c>
      <c r="D75" t="s">
        <v>690</v>
      </c>
      <c r="E75" t="s">
        <v>63</v>
      </c>
      <c r="F75">
        <v>2006</v>
      </c>
      <c r="G75" t="s">
        <v>63</v>
      </c>
      <c r="H75">
        <v>63</v>
      </c>
      <c r="I75">
        <v>10</v>
      </c>
      <c r="J75">
        <v>1052</v>
      </c>
      <c r="K75">
        <v>1053</v>
      </c>
      <c r="L75" t="s">
        <v>691</v>
      </c>
      <c r="M75" t="s">
        <v>692</v>
      </c>
      <c r="N75" t="s">
        <v>693</v>
      </c>
      <c r="O75" t="s">
        <v>63</v>
      </c>
      <c r="Q75" t="s">
        <v>63</v>
      </c>
      <c r="R75" t="s">
        <v>63</v>
      </c>
      <c r="S75" t="s">
        <v>63</v>
      </c>
      <c r="T75" t="s">
        <v>63</v>
      </c>
      <c r="X75" t="s">
        <v>63</v>
      </c>
      <c r="Y75" t="s">
        <v>694</v>
      </c>
      <c r="Z75" t="s">
        <v>63</v>
      </c>
      <c r="AA75" t="s">
        <v>695</v>
      </c>
      <c r="AB75">
        <v>17288214</v>
      </c>
      <c r="AC75" t="s">
        <v>696</v>
      </c>
      <c r="AD75" t="s">
        <v>63</v>
      </c>
      <c r="AE75" t="s">
        <v>63</v>
      </c>
      <c r="AF75" t="s">
        <v>63</v>
      </c>
      <c r="AG75" t="s">
        <v>697</v>
      </c>
      <c r="AH75" t="s">
        <v>63</v>
      </c>
      <c r="AI75" t="s">
        <v>63</v>
      </c>
      <c r="AJ75" t="s">
        <v>63</v>
      </c>
      <c r="AK75" t="s">
        <v>63</v>
      </c>
      <c r="AL75" t="s">
        <v>63</v>
      </c>
      <c r="AM75" t="s">
        <v>698</v>
      </c>
      <c r="AN75" t="s">
        <v>63</v>
      </c>
      <c r="AO75" t="s">
        <v>63</v>
      </c>
      <c r="AP75" t="s">
        <v>63</v>
      </c>
      <c r="AQ75" t="s">
        <v>63</v>
      </c>
      <c r="AR75" t="s">
        <v>63</v>
      </c>
      <c r="AS75" t="s">
        <v>63</v>
      </c>
      <c r="AT75" t="s">
        <v>63</v>
      </c>
      <c r="AU75" t="s">
        <v>63</v>
      </c>
      <c r="AV75" t="s">
        <v>63</v>
      </c>
      <c r="AW75" t="s">
        <v>63</v>
      </c>
      <c r="AX75" t="s">
        <v>63</v>
      </c>
      <c r="AY75" t="s">
        <v>63</v>
      </c>
      <c r="AZ75" t="s">
        <v>63</v>
      </c>
      <c r="BA75" t="s">
        <v>63</v>
      </c>
      <c r="BB75" t="s">
        <v>63</v>
      </c>
      <c r="BC75" t="s">
        <v>63</v>
      </c>
      <c r="BD75" t="s">
        <v>63</v>
      </c>
      <c r="BE75" t="s">
        <v>63</v>
      </c>
      <c r="BF75" t="s">
        <v>63</v>
      </c>
    </row>
    <row r="76" spans="1:58">
      <c r="A76" t="s">
        <v>58</v>
      </c>
      <c r="B76" t="s">
        <v>699</v>
      </c>
      <c r="C76" t="s">
        <v>700</v>
      </c>
      <c r="D76" t="s">
        <v>701</v>
      </c>
      <c r="E76" t="s">
        <v>63</v>
      </c>
      <c r="F76">
        <v>2010</v>
      </c>
      <c r="G76" s="1">
        <v>41784</v>
      </c>
      <c r="H76">
        <v>4</v>
      </c>
      <c r="I76" t="s">
        <v>63</v>
      </c>
      <c r="J76">
        <v>6</v>
      </c>
      <c r="K76" t="s">
        <v>63</v>
      </c>
      <c r="L76" t="s">
        <v>63</v>
      </c>
      <c r="M76" t="s">
        <v>702</v>
      </c>
      <c r="N76" t="s">
        <v>703</v>
      </c>
      <c r="O76" t="s">
        <v>63</v>
      </c>
      <c r="Q76" t="s">
        <v>63</v>
      </c>
      <c r="R76" t="s">
        <v>63</v>
      </c>
      <c r="S76" t="s">
        <v>63</v>
      </c>
      <c r="T76" t="s">
        <v>63</v>
      </c>
      <c r="X76" t="s">
        <v>63</v>
      </c>
      <c r="Y76" t="s">
        <v>704</v>
      </c>
      <c r="Z76" t="s">
        <v>63</v>
      </c>
      <c r="AA76" t="s">
        <v>705</v>
      </c>
      <c r="AB76">
        <v>20504353</v>
      </c>
      <c r="AC76" t="s">
        <v>67</v>
      </c>
      <c r="AD76" t="s">
        <v>63</v>
      </c>
      <c r="AE76" t="s">
        <v>63</v>
      </c>
      <c r="AF76" t="s">
        <v>63</v>
      </c>
      <c r="AG76" t="s">
        <v>706</v>
      </c>
      <c r="AH76" t="s">
        <v>63</v>
      </c>
      <c r="AI76" t="s">
        <v>707</v>
      </c>
      <c r="AJ76" t="s">
        <v>63</v>
      </c>
      <c r="AK76" t="s">
        <v>63</v>
      </c>
      <c r="AL76" t="s">
        <v>63</v>
      </c>
      <c r="AM76" t="s">
        <v>708</v>
      </c>
      <c r="AN76" t="s">
        <v>63</v>
      </c>
      <c r="AO76" t="s">
        <v>63</v>
      </c>
      <c r="AP76" t="s">
        <v>63</v>
      </c>
      <c r="AQ76" t="s">
        <v>63</v>
      </c>
      <c r="AR76" t="s">
        <v>63</v>
      </c>
      <c r="AS76" t="s">
        <v>63</v>
      </c>
      <c r="AT76" t="s">
        <v>63</v>
      </c>
      <c r="AU76" t="s">
        <v>63</v>
      </c>
      <c r="AV76" t="s">
        <v>63</v>
      </c>
      <c r="AW76" t="s">
        <v>63</v>
      </c>
      <c r="AX76" t="s">
        <v>63</v>
      </c>
      <c r="AY76" t="s">
        <v>63</v>
      </c>
      <c r="AZ76" t="s">
        <v>63</v>
      </c>
      <c r="BA76" t="s">
        <v>63</v>
      </c>
      <c r="BB76" t="s">
        <v>63</v>
      </c>
      <c r="BC76" t="s">
        <v>63</v>
      </c>
      <c r="BD76" t="s">
        <v>63</v>
      </c>
      <c r="BE76" t="s">
        <v>63</v>
      </c>
      <c r="BF76" t="s">
        <v>63</v>
      </c>
    </row>
    <row r="77" spans="1:58">
      <c r="A77" t="s">
        <v>58</v>
      </c>
      <c r="B77" t="s">
        <v>709</v>
      </c>
      <c r="C77" t="s">
        <v>710</v>
      </c>
      <c r="D77" t="s">
        <v>711</v>
      </c>
      <c r="E77" t="s">
        <v>712</v>
      </c>
      <c r="F77">
        <v>2013</v>
      </c>
      <c r="G77" t="s">
        <v>198</v>
      </c>
      <c r="H77">
        <v>138</v>
      </c>
      <c r="I77" s="1">
        <v>41640</v>
      </c>
      <c r="J77">
        <v>23</v>
      </c>
      <c r="K77">
        <v>27</v>
      </c>
      <c r="L77" t="s">
        <v>713</v>
      </c>
      <c r="M77" t="s">
        <v>714</v>
      </c>
      <c r="N77" t="s">
        <v>715</v>
      </c>
      <c r="O77" t="s">
        <v>63</v>
      </c>
      <c r="Q77" t="s">
        <v>63</v>
      </c>
      <c r="R77" t="s">
        <v>63</v>
      </c>
      <c r="S77" t="s">
        <v>63</v>
      </c>
      <c r="T77" t="s">
        <v>63</v>
      </c>
      <c r="X77" t="s">
        <v>63</v>
      </c>
      <c r="Y77" t="s">
        <v>716</v>
      </c>
      <c r="Z77" t="s">
        <v>63</v>
      </c>
      <c r="AA77" t="s">
        <v>717</v>
      </c>
      <c r="AB77">
        <v>23250691</v>
      </c>
      <c r="AC77" t="s">
        <v>102</v>
      </c>
      <c r="AD77" t="s">
        <v>63</v>
      </c>
      <c r="AE77" t="s">
        <v>63</v>
      </c>
      <c r="AF77" t="s">
        <v>63</v>
      </c>
      <c r="AG77" t="s">
        <v>718</v>
      </c>
      <c r="AH77" t="s">
        <v>63</v>
      </c>
      <c r="AI77" t="s">
        <v>719</v>
      </c>
      <c r="AJ77" t="s">
        <v>63</v>
      </c>
      <c r="AK77" t="s">
        <v>63</v>
      </c>
      <c r="AL77" t="s">
        <v>63</v>
      </c>
      <c r="AM77" t="s">
        <v>720</v>
      </c>
      <c r="AN77" t="s">
        <v>63</v>
      </c>
      <c r="AO77" t="s">
        <v>63</v>
      </c>
      <c r="AP77" t="s">
        <v>63</v>
      </c>
      <c r="AQ77" t="s">
        <v>63</v>
      </c>
      <c r="AR77" t="s">
        <v>63</v>
      </c>
      <c r="AS77" t="s">
        <v>63</v>
      </c>
      <c r="AT77" t="s">
        <v>63</v>
      </c>
      <c r="AU77" t="s">
        <v>63</v>
      </c>
      <c r="AV77" t="s">
        <v>63</v>
      </c>
      <c r="AW77" t="s">
        <v>63</v>
      </c>
      <c r="AX77" t="s">
        <v>63</v>
      </c>
      <c r="AY77" t="s">
        <v>63</v>
      </c>
      <c r="AZ77" t="s">
        <v>63</v>
      </c>
      <c r="BA77" t="s">
        <v>63</v>
      </c>
      <c r="BB77" t="s">
        <v>63</v>
      </c>
      <c r="BC77" t="s">
        <v>63</v>
      </c>
      <c r="BD77" t="s">
        <v>63</v>
      </c>
      <c r="BE77" t="s">
        <v>63</v>
      </c>
      <c r="BF77" t="s">
        <v>63</v>
      </c>
    </row>
    <row r="78" spans="1:58">
      <c r="A78" t="s">
        <v>58</v>
      </c>
      <c r="B78" t="s">
        <v>721</v>
      </c>
      <c r="C78" t="s">
        <v>722</v>
      </c>
      <c r="D78" t="s">
        <v>723</v>
      </c>
      <c r="E78" t="s">
        <v>63</v>
      </c>
      <c r="F78">
        <v>2013</v>
      </c>
      <c r="G78" t="s">
        <v>219</v>
      </c>
      <c r="H78">
        <v>68</v>
      </c>
      <c r="I78">
        <v>11</v>
      </c>
      <c r="J78">
        <v>1392</v>
      </c>
      <c r="K78">
        <v>1399</v>
      </c>
      <c r="L78" t="s">
        <v>724</v>
      </c>
      <c r="M78" t="s">
        <v>725</v>
      </c>
      <c r="N78" t="s">
        <v>726</v>
      </c>
      <c r="O78" t="s">
        <v>63</v>
      </c>
      <c r="Q78" t="s">
        <v>63</v>
      </c>
      <c r="R78" t="s">
        <v>63</v>
      </c>
      <c r="S78" t="s">
        <v>63</v>
      </c>
      <c r="T78" t="s">
        <v>63</v>
      </c>
      <c r="X78" t="s">
        <v>63</v>
      </c>
      <c r="Y78" t="s">
        <v>727</v>
      </c>
      <c r="Z78" t="s">
        <v>63</v>
      </c>
      <c r="AA78" t="s">
        <v>728</v>
      </c>
      <c r="AB78">
        <v>24270949</v>
      </c>
      <c r="AC78" t="s">
        <v>67</v>
      </c>
      <c r="AD78" t="s">
        <v>63</v>
      </c>
      <c r="AE78" t="s">
        <v>63</v>
      </c>
      <c r="AF78" t="s">
        <v>63</v>
      </c>
      <c r="AG78" t="s">
        <v>729</v>
      </c>
      <c r="AH78" t="s">
        <v>63</v>
      </c>
      <c r="AI78" t="s">
        <v>730</v>
      </c>
      <c r="AJ78" t="s">
        <v>63</v>
      </c>
      <c r="AK78" t="s">
        <v>63</v>
      </c>
      <c r="AL78" t="s">
        <v>63</v>
      </c>
      <c r="AM78" t="s">
        <v>731</v>
      </c>
      <c r="AN78" t="s">
        <v>63</v>
      </c>
      <c r="AO78" t="s">
        <v>63</v>
      </c>
      <c r="AP78" t="s">
        <v>63</v>
      </c>
      <c r="AQ78" t="s">
        <v>63</v>
      </c>
      <c r="AR78" t="s">
        <v>63</v>
      </c>
      <c r="AS78" t="s">
        <v>63</v>
      </c>
      <c r="AT78" t="s">
        <v>63</v>
      </c>
      <c r="AU78" t="s">
        <v>63</v>
      </c>
      <c r="AV78" t="s">
        <v>63</v>
      </c>
      <c r="AW78" t="s">
        <v>63</v>
      </c>
      <c r="AX78" t="s">
        <v>63</v>
      </c>
      <c r="AY78" t="s">
        <v>63</v>
      </c>
      <c r="AZ78" t="s">
        <v>63</v>
      </c>
      <c r="BA78" t="s">
        <v>63</v>
      </c>
      <c r="BB78" t="s">
        <v>63</v>
      </c>
      <c r="BC78" t="s">
        <v>63</v>
      </c>
      <c r="BD78" t="s">
        <v>63</v>
      </c>
      <c r="BE78" t="s">
        <v>63</v>
      </c>
      <c r="BF78" t="s">
        <v>63</v>
      </c>
    </row>
    <row r="79" spans="1:58">
      <c r="A79" t="s">
        <v>58</v>
      </c>
      <c r="B79" t="s">
        <v>732</v>
      </c>
      <c r="C79" t="s">
        <v>733</v>
      </c>
      <c r="D79" t="s">
        <v>734</v>
      </c>
      <c r="E79" t="s">
        <v>63</v>
      </c>
      <c r="F79">
        <v>2018</v>
      </c>
      <c r="G79" t="s">
        <v>84</v>
      </c>
      <c r="H79">
        <v>54</v>
      </c>
      <c r="I79" t="s">
        <v>63</v>
      </c>
      <c r="J79">
        <v>9</v>
      </c>
      <c r="K79">
        <v>17</v>
      </c>
      <c r="L79" t="s">
        <v>63</v>
      </c>
      <c r="M79" t="s">
        <v>735</v>
      </c>
      <c r="N79" t="s">
        <v>736</v>
      </c>
      <c r="O79" t="s">
        <v>63</v>
      </c>
      <c r="Q79" t="s">
        <v>63</v>
      </c>
      <c r="R79" t="s">
        <v>63</v>
      </c>
      <c r="S79" t="s">
        <v>63</v>
      </c>
      <c r="T79" t="s">
        <v>63</v>
      </c>
      <c r="X79" t="s">
        <v>63</v>
      </c>
      <c r="Y79" t="s">
        <v>737</v>
      </c>
      <c r="Z79" t="s">
        <v>63</v>
      </c>
      <c r="AA79" t="s">
        <v>738</v>
      </c>
      <c r="AB79">
        <v>29324253</v>
      </c>
      <c r="AC79" t="s">
        <v>67</v>
      </c>
      <c r="AD79" t="s">
        <v>63</v>
      </c>
      <c r="AE79" t="s">
        <v>63</v>
      </c>
      <c r="AF79" t="s">
        <v>63</v>
      </c>
      <c r="AG79" t="s">
        <v>739</v>
      </c>
      <c r="AH79" t="s">
        <v>63</v>
      </c>
      <c r="AI79" t="s">
        <v>740</v>
      </c>
      <c r="AJ79" t="s">
        <v>63</v>
      </c>
      <c r="AK79" t="s">
        <v>63</v>
      </c>
      <c r="AL79" t="s">
        <v>63</v>
      </c>
      <c r="AM79" t="s">
        <v>741</v>
      </c>
      <c r="AN79" t="s">
        <v>63</v>
      </c>
      <c r="AO79" t="s">
        <v>63</v>
      </c>
      <c r="AP79" t="s">
        <v>63</v>
      </c>
      <c r="AQ79" t="s">
        <v>63</v>
      </c>
      <c r="AR79" t="s">
        <v>63</v>
      </c>
      <c r="AS79" t="s">
        <v>63</v>
      </c>
      <c r="AT79" t="s">
        <v>63</v>
      </c>
      <c r="AU79" t="s">
        <v>63</v>
      </c>
      <c r="AV79" t="s">
        <v>63</v>
      </c>
      <c r="AW79" t="s">
        <v>63</v>
      </c>
      <c r="AX79" t="s">
        <v>63</v>
      </c>
      <c r="AY79" t="s">
        <v>63</v>
      </c>
      <c r="AZ79" t="s">
        <v>63</v>
      </c>
      <c r="BA79" t="s">
        <v>63</v>
      </c>
      <c r="BB79" t="s">
        <v>63</v>
      </c>
      <c r="BC79" t="s">
        <v>63</v>
      </c>
      <c r="BD79" t="s">
        <v>63</v>
      </c>
      <c r="BE79" t="s">
        <v>63</v>
      </c>
      <c r="BF79" t="s">
        <v>63</v>
      </c>
    </row>
    <row r="80" spans="1:58">
      <c r="A80" t="s">
        <v>58</v>
      </c>
      <c r="B80" t="s">
        <v>742</v>
      </c>
      <c r="C80" t="s">
        <v>743</v>
      </c>
      <c r="D80" t="s">
        <v>533</v>
      </c>
      <c r="E80" t="s">
        <v>534</v>
      </c>
      <c r="F80">
        <v>2001</v>
      </c>
      <c r="G80" t="s">
        <v>744</v>
      </c>
      <c r="H80">
        <v>344</v>
      </c>
      <c r="I80">
        <v>22</v>
      </c>
      <c r="J80">
        <v>1729</v>
      </c>
      <c r="K80">
        <v>1732</v>
      </c>
      <c r="L80" t="s">
        <v>745</v>
      </c>
      <c r="M80" t="s">
        <v>63</v>
      </c>
      <c r="N80" t="s">
        <v>746</v>
      </c>
      <c r="O80" t="s">
        <v>63</v>
      </c>
      <c r="Q80" t="s">
        <v>63</v>
      </c>
      <c r="R80" t="s">
        <v>63</v>
      </c>
      <c r="S80" t="s">
        <v>63</v>
      </c>
      <c r="T80" t="s">
        <v>63</v>
      </c>
      <c r="X80" t="s">
        <v>63</v>
      </c>
      <c r="Y80" t="s">
        <v>747</v>
      </c>
      <c r="Z80" t="s">
        <v>63</v>
      </c>
      <c r="AA80" t="s">
        <v>748</v>
      </c>
      <c r="AB80">
        <v>11386286</v>
      </c>
      <c r="AC80" t="s">
        <v>67</v>
      </c>
      <c r="AD80" t="s">
        <v>63</v>
      </c>
      <c r="AE80" t="s">
        <v>63</v>
      </c>
      <c r="AF80" t="s">
        <v>63</v>
      </c>
      <c r="AG80" t="s">
        <v>749</v>
      </c>
      <c r="AH80" t="s">
        <v>63</v>
      </c>
      <c r="AI80" t="s">
        <v>63</v>
      </c>
      <c r="AJ80" t="s">
        <v>63</v>
      </c>
      <c r="AK80" t="s">
        <v>63</v>
      </c>
      <c r="AL80" t="s">
        <v>63</v>
      </c>
      <c r="AM80" t="s">
        <v>750</v>
      </c>
      <c r="AN80" t="s">
        <v>63</v>
      </c>
      <c r="AO80" t="s">
        <v>63</v>
      </c>
      <c r="AP80" t="s">
        <v>63</v>
      </c>
      <c r="AQ80" t="s">
        <v>63</v>
      </c>
      <c r="AR80" t="s">
        <v>63</v>
      </c>
      <c r="AS80" t="s">
        <v>63</v>
      </c>
      <c r="AT80" t="s">
        <v>63</v>
      </c>
      <c r="AU80" t="s">
        <v>63</v>
      </c>
      <c r="AV80" t="s">
        <v>63</v>
      </c>
      <c r="AW80" t="s">
        <v>63</v>
      </c>
      <c r="AX80" t="s">
        <v>63</v>
      </c>
      <c r="AY80" t="s">
        <v>63</v>
      </c>
      <c r="AZ80" t="s">
        <v>63</v>
      </c>
      <c r="BA80" t="s">
        <v>63</v>
      </c>
      <c r="BB80" t="s">
        <v>63</v>
      </c>
      <c r="BC80" t="s">
        <v>63</v>
      </c>
      <c r="BD80" t="s">
        <v>63</v>
      </c>
      <c r="BE80" t="s">
        <v>63</v>
      </c>
      <c r="BF80" t="s">
        <v>63</v>
      </c>
    </row>
    <row r="81" spans="1:58">
      <c r="A81" t="s">
        <v>58</v>
      </c>
      <c r="B81" t="s">
        <v>751</v>
      </c>
      <c r="C81" t="s">
        <v>752</v>
      </c>
      <c r="D81" t="s">
        <v>753</v>
      </c>
      <c r="E81" t="s">
        <v>63</v>
      </c>
      <c r="F81">
        <v>2015</v>
      </c>
      <c r="G81" t="s">
        <v>63</v>
      </c>
      <c r="H81">
        <v>8</v>
      </c>
      <c r="I81" t="s">
        <v>63</v>
      </c>
      <c r="J81">
        <v>175</v>
      </c>
      <c r="K81">
        <v>185</v>
      </c>
      <c r="L81" t="s">
        <v>63</v>
      </c>
      <c r="M81" t="s">
        <v>754</v>
      </c>
      <c r="N81" t="s">
        <v>755</v>
      </c>
      <c r="O81" t="s">
        <v>63</v>
      </c>
      <c r="Q81" t="s">
        <v>63</v>
      </c>
      <c r="R81" t="s">
        <v>63</v>
      </c>
      <c r="S81" t="s">
        <v>63</v>
      </c>
      <c r="T81" t="s">
        <v>63</v>
      </c>
      <c r="X81" t="s">
        <v>63</v>
      </c>
      <c r="Y81" t="s">
        <v>756</v>
      </c>
      <c r="Z81" t="s">
        <v>63</v>
      </c>
      <c r="AA81" t="s">
        <v>757</v>
      </c>
      <c r="AB81">
        <v>26005357</v>
      </c>
      <c r="AC81" t="s">
        <v>67</v>
      </c>
      <c r="AD81" t="s">
        <v>63</v>
      </c>
      <c r="AE81" t="s">
        <v>63</v>
      </c>
      <c r="AF81" t="s">
        <v>63</v>
      </c>
      <c r="AG81" t="s">
        <v>758</v>
      </c>
      <c r="AH81" t="s">
        <v>63</v>
      </c>
      <c r="AI81" t="s">
        <v>759</v>
      </c>
      <c r="AJ81" t="s">
        <v>63</v>
      </c>
      <c r="AK81" t="s">
        <v>63</v>
      </c>
      <c r="AL81" t="s">
        <v>63</v>
      </c>
      <c r="AM81" t="s">
        <v>760</v>
      </c>
      <c r="AN81" t="s">
        <v>63</v>
      </c>
      <c r="AO81" t="s">
        <v>63</v>
      </c>
      <c r="AP81" t="s">
        <v>63</v>
      </c>
      <c r="AQ81" t="s">
        <v>63</v>
      </c>
      <c r="AR81" t="s">
        <v>63</v>
      </c>
      <c r="AS81" t="s">
        <v>63</v>
      </c>
      <c r="AT81" t="s">
        <v>63</v>
      </c>
      <c r="AU81" t="s">
        <v>63</v>
      </c>
      <c r="AV81" t="s">
        <v>63</v>
      </c>
      <c r="AW81" t="s">
        <v>63</v>
      </c>
      <c r="AX81" t="s">
        <v>63</v>
      </c>
      <c r="AY81" t="s">
        <v>63</v>
      </c>
      <c r="AZ81" t="s">
        <v>63</v>
      </c>
      <c r="BA81" t="s">
        <v>63</v>
      </c>
      <c r="BB81" t="s">
        <v>63</v>
      </c>
      <c r="BC81" t="s">
        <v>63</v>
      </c>
      <c r="BD81" t="s">
        <v>63</v>
      </c>
      <c r="BE81" t="s">
        <v>63</v>
      </c>
      <c r="BF81" t="s">
        <v>63</v>
      </c>
    </row>
    <row r="82" spans="1:58">
      <c r="A82" t="s">
        <v>58</v>
      </c>
      <c r="B82" t="s">
        <v>761</v>
      </c>
      <c r="C82" t="s">
        <v>762</v>
      </c>
      <c r="D82" t="s">
        <v>763</v>
      </c>
      <c r="E82" t="s">
        <v>63</v>
      </c>
      <c r="F82">
        <v>2016</v>
      </c>
      <c r="G82" t="s">
        <v>138</v>
      </c>
      <c r="H82">
        <v>91</v>
      </c>
      <c r="I82">
        <v>10</v>
      </c>
      <c r="J82">
        <v>1348</v>
      </c>
      <c r="K82">
        <v>1351</v>
      </c>
      <c r="L82" t="s">
        <v>63</v>
      </c>
      <c r="M82" t="s">
        <v>764</v>
      </c>
      <c r="N82" t="s">
        <v>765</v>
      </c>
      <c r="O82" t="s">
        <v>63</v>
      </c>
      <c r="Q82" t="s">
        <v>63</v>
      </c>
      <c r="R82" t="s">
        <v>63</v>
      </c>
      <c r="S82" t="s">
        <v>63</v>
      </c>
      <c r="T82" t="s">
        <v>63</v>
      </c>
      <c r="X82" t="s">
        <v>63</v>
      </c>
      <c r="Y82" t="s">
        <v>766</v>
      </c>
      <c r="Z82" t="s">
        <v>63</v>
      </c>
      <c r="AA82" t="s">
        <v>767</v>
      </c>
      <c r="AB82">
        <v>27532868</v>
      </c>
      <c r="AC82" t="s">
        <v>67</v>
      </c>
      <c r="AD82" t="s">
        <v>63</v>
      </c>
      <c r="AE82" t="s">
        <v>63</v>
      </c>
      <c r="AF82" t="s">
        <v>63</v>
      </c>
      <c r="AG82" t="s">
        <v>768</v>
      </c>
      <c r="AH82" t="s">
        <v>63</v>
      </c>
      <c r="AI82" t="s">
        <v>63</v>
      </c>
      <c r="AJ82" t="s">
        <v>63</v>
      </c>
      <c r="AK82" t="s">
        <v>63</v>
      </c>
      <c r="AL82" t="s">
        <v>63</v>
      </c>
      <c r="AM82" t="s">
        <v>769</v>
      </c>
      <c r="AN82" t="s">
        <v>63</v>
      </c>
      <c r="AO82" t="s">
        <v>63</v>
      </c>
      <c r="AP82" t="s">
        <v>63</v>
      </c>
      <c r="AQ82" t="s">
        <v>63</v>
      </c>
      <c r="AR82" t="s">
        <v>63</v>
      </c>
      <c r="AS82" t="s">
        <v>63</v>
      </c>
      <c r="AT82" t="s">
        <v>63</v>
      </c>
      <c r="AU82" t="s">
        <v>63</v>
      </c>
      <c r="AV82" t="s">
        <v>63</v>
      </c>
      <c r="AW82" t="s">
        <v>63</v>
      </c>
      <c r="AX82" t="s">
        <v>63</v>
      </c>
      <c r="AY82" t="s">
        <v>63</v>
      </c>
      <c r="AZ82" t="s">
        <v>63</v>
      </c>
      <c r="BA82" t="s">
        <v>63</v>
      </c>
      <c r="BB82" t="s">
        <v>63</v>
      </c>
      <c r="BC82" t="s">
        <v>63</v>
      </c>
      <c r="BD82" t="s">
        <v>63</v>
      </c>
      <c r="BE82" t="s">
        <v>63</v>
      </c>
      <c r="BF82" t="s">
        <v>63</v>
      </c>
    </row>
    <row r="83" spans="1:58">
      <c r="A83" t="s">
        <v>58</v>
      </c>
      <c r="B83" t="s">
        <v>770</v>
      </c>
      <c r="C83" t="s">
        <v>771</v>
      </c>
      <c r="D83" t="s">
        <v>772</v>
      </c>
      <c r="E83" t="s">
        <v>773</v>
      </c>
      <c r="F83">
        <v>2016</v>
      </c>
      <c r="G83" s="1">
        <v>41937</v>
      </c>
      <c r="H83" t="s">
        <v>63</v>
      </c>
      <c r="I83" t="s">
        <v>63</v>
      </c>
      <c r="J83">
        <v>26</v>
      </c>
      <c r="K83" t="s">
        <v>63</v>
      </c>
      <c r="L83" t="s">
        <v>63</v>
      </c>
      <c r="M83" t="s">
        <v>774</v>
      </c>
      <c r="N83" t="s">
        <v>775</v>
      </c>
      <c r="O83" t="s">
        <v>63</v>
      </c>
      <c r="Q83" t="s">
        <v>63</v>
      </c>
      <c r="R83" t="s">
        <v>63</v>
      </c>
      <c r="S83" t="s">
        <v>63</v>
      </c>
      <c r="T83" t="s">
        <v>63</v>
      </c>
      <c r="X83" t="s">
        <v>63</v>
      </c>
      <c r="Y83" t="s">
        <v>776</v>
      </c>
      <c r="Z83" t="s">
        <v>63</v>
      </c>
      <c r="AA83" t="s">
        <v>777</v>
      </c>
      <c r="AB83">
        <v>27798553</v>
      </c>
      <c r="AC83" t="s">
        <v>67</v>
      </c>
      <c r="AD83" t="s">
        <v>63</v>
      </c>
      <c r="AE83" t="s">
        <v>63</v>
      </c>
      <c r="AF83" t="s">
        <v>63</v>
      </c>
      <c r="AG83" t="s">
        <v>778</v>
      </c>
      <c r="AH83" t="s">
        <v>63</v>
      </c>
      <c r="AI83" t="s">
        <v>63</v>
      </c>
      <c r="AJ83" t="s">
        <v>63</v>
      </c>
      <c r="AK83" t="s">
        <v>63</v>
      </c>
      <c r="AL83" t="s">
        <v>63</v>
      </c>
      <c r="AM83" t="s">
        <v>779</v>
      </c>
      <c r="AN83" t="s">
        <v>63</v>
      </c>
      <c r="AO83" t="s">
        <v>63</v>
      </c>
      <c r="AP83" t="s">
        <v>63</v>
      </c>
      <c r="AQ83" t="s">
        <v>63</v>
      </c>
      <c r="AR83" t="s">
        <v>63</v>
      </c>
      <c r="AS83" t="s">
        <v>63</v>
      </c>
      <c r="AT83" t="s">
        <v>63</v>
      </c>
      <c r="AU83" t="s">
        <v>63</v>
      </c>
      <c r="AV83" t="s">
        <v>63</v>
      </c>
      <c r="AW83" t="s">
        <v>63</v>
      </c>
      <c r="AX83" t="s">
        <v>63</v>
      </c>
      <c r="AY83" t="s">
        <v>63</v>
      </c>
      <c r="AZ83" t="s">
        <v>63</v>
      </c>
      <c r="BA83" t="s">
        <v>63</v>
      </c>
      <c r="BB83" t="s">
        <v>63</v>
      </c>
      <c r="BC83" t="s">
        <v>63</v>
      </c>
      <c r="BD83" t="s">
        <v>63</v>
      </c>
      <c r="BE83" t="s">
        <v>63</v>
      </c>
      <c r="BF83" t="s">
        <v>63</v>
      </c>
    </row>
    <row r="84" spans="1:58">
      <c r="A84" t="s">
        <v>58</v>
      </c>
      <c r="B84" t="s">
        <v>780</v>
      </c>
      <c r="C84" t="s">
        <v>781</v>
      </c>
      <c r="D84" t="s">
        <v>782</v>
      </c>
      <c r="E84" t="s">
        <v>63</v>
      </c>
      <c r="F84">
        <v>1994</v>
      </c>
      <c r="G84" t="s">
        <v>274</v>
      </c>
      <c r="H84">
        <v>63</v>
      </c>
      <c r="I84">
        <v>9</v>
      </c>
      <c r="J84">
        <v>20</v>
      </c>
      <c r="K84">
        <v>23</v>
      </c>
      <c r="L84" t="s">
        <v>783</v>
      </c>
      <c r="M84" t="s">
        <v>63</v>
      </c>
      <c r="N84" t="s">
        <v>784</v>
      </c>
      <c r="O84" t="s">
        <v>63</v>
      </c>
      <c r="Q84" t="s">
        <v>63</v>
      </c>
      <c r="R84" t="s">
        <v>63</v>
      </c>
      <c r="S84" t="s">
        <v>63</v>
      </c>
      <c r="T84" t="s">
        <v>63</v>
      </c>
      <c r="X84" t="s">
        <v>63</v>
      </c>
      <c r="Y84" t="s">
        <v>785</v>
      </c>
      <c r="Z84" t="s">
        <v>63</v>
      </c>
      <c r="AA84" t="s">
        <v>63</v>
      </c>
      <c r="AB84">
        <v>7942395</v>
      </c>
      <c r="AC84" t="s">
        <v>67</v>
      </c>
      <c r="AD84" t="s">
        <v>63</v>
      </c>
      <c r="AE84" t="s">
        <v>63</v>
      </c>
      <c r="AF84" t="s">
        <v>63</v>
      </c>
      <c r="AG84" t="s">
        <v>786</v>
      </c>
      <c r="AH84" t="s">
        <v>63</v>
      </c>
      <c r="AI84" t="s">
        <v>63</v>
      </c>
      <c r="AJ84" t="s">
        <v>63</v>
      </c>
      <c r="AK84" t="s">
        <v>63</v>
      </c>
      <c r="AL84" t="s">
        <v>63</v>
      </c>
      <c r="AM84" t="s">
        <v>787</v>
      </c>
      <c r="AN84" t="s">
        <v>63</v>
      </c>
      <c r="AO84" t="s">
        <v>63</v>
      </c>
      <c r="AP84" t="s">
        <v>63</v>
      </c>
      <c r="AQ84" t="s">
        <v>63</v>
      </c>
      <c r="AR84" t="s">
        <v>63</v>
      </c>
      <c r="AS84" t="s">
        <v>63</v>
      </c>
      <c r="AT84" t="s">
        <v>63</v>
      </c>
      <c r="AU84" t="s">
        <v>63</v>
      </c>
      <c r="AV84" t="s">
        <v>63</v>
      </c>
      <c r="AW84" t="s">
        <v>63</v>
      </c>
      <c r="AX84" t="s">
        <v>63</v>
      </c>
      <c r="AY84" t="s">
        <v>63</v>
      </c>
      <c r="AZ84" t="s">
        <v>63</v>
      </c>
      <c r="BA84" t="s">
        <v>63</v>
      </c>
      <c r="BB84" t="s">
        <v>63</v>
      </c>
      <c r="BC84" t="s">
        <v>63</v>
      </c>
      <c r="BD84" t="s">
        <v>63</v>
      </c>
      <c r="BE84" t="s">
        <v>63</v>
      </c>
      <c r="BF84" t="s">
        <v>63</v>
      </c>
    </row>
    <row r="85" spans="1:58">
      <c r="A85" t="s">
        <v>58</v>
      </c>
      <c r="B85" t="s">
        <v>788</v>
      </c>
      <c r="C85" t="s">
        <v>789</v>
      </c>
      <c r="D85" t="s">
        <v>790</v>
      </c>
      <c r="E85" t="s">
        <v>791</v>
      </c>
      <c r="F85">
        <v>2005</v>
      </c>
      <c r="G85" t="s">
        <v>181</v>
      </c>
      <c r="H85">
        <v>30</v>
      </c>
      <c r="I85">
        <v>8</v>
      </c>
      <c r="J85">
        <v>1592</v>
      </c>
      <c r="K85">
        <v>1596</v>
      </c>
      <c r="L85" t="s">
        <v>792</v>
      </c>
      <c r="M85" t="s">
        <v>793</v>
      </c>
      <c r="N85" t="s">
        <v>794</v>
      </c>
      <c r="O85" t="s">
        <v>63</v>
      </c>
      <c r="Q85" t="s">
        <v>63</v>
      </c>
      <c r="R85" t="s">
        <v>63</v>
      </c>
      <c r="S85" t="s">
        <v>63</v>
      </c>
      <c r="T85" t="s">
        <v>63</v>
      </c>
      <c r="X85" t="s">
        <v>63</v>
      </c>
      <c r="Y85" t="s">
        <v>795</v>
      </c>
      <c r="Z85" t="s">
        <v>63</v>
      </c>
      <c r="AA85" t="s">
        <v>796</v>
      </c>
      <c r="AB85">
        <v>16122619</v>
      </c>
      <c r="AC85" t="s">
        <v>67</v>
      </c>
      <c r="AD85" t="s">
        <v>63</v>
      </c>
      <c r="AE85" t="s">
        <v>63</v>
      </c>
      <c r="AF85" t="s">
        <v>63</v>
      </c>
      <c r="AG85" t="s">
        <v>797</v>
      </c>
      <c r="AH85" t="s">
        <v>63</v>
      </c>
      <c r="AI85" t="s">
        <v>63</v>
      </c>
      <c r="AJ85" t="s">
        <v>63</v>
      </c>
      <c r="AK85" t="s">
        <v>63</v>
      </c>
      <c r="AL85" t="s">
        <v>63</v>
      </c>
      <c r="AM85" t="s">
        <v>798</v>
      </c>
      <c r="AN85" t="s">
        <v>63</v>
      </c>
      <c r="AO85" t="s">
        <v>63</v>
      </c>
      <c r="AP85" t="s">
        <v>63</v>
      </c>
      <c r="AQ85" t="s">
        <v>63</v>
      </c>
      <c r="AR85" t="s">
        <v>63</v>
      </c>
      <c r="AS85" t="s">
        <v>63</v>
      </c>
      <c r="AT85" t="s">
        <v>63</v>
      </c>
      <c r="AU85" t="s">
        <v>63</v>
      </c>
      <c r="AV85" t="s">
        <v>63</v>
      </c>
      <c r="AW85" t="s">
        <v>63</v>
      </c>
      <c r="AX85" t="s">
        <v>63</v>
      </c>
      <c r="AY85" t="s">
        <v>63</v>
      </c>
      <c r="AZ85" t="s">
        <v>63</v>
      </c>
      <c r="BA85" t="s">
        <v>63</v>
      </c>
      <c r="BB85" t="s">
        <v>63</v>
      </c>
      <c r="BC85" t="s">
        <v>63</v>
      </c>
      <c r="BD85" t="s">
        <v>63</v>
      </c>
      <c r="BE85" t="s">
        <v>63</v>
      </c>
      <c r="BF85" t="s">
        <v>63</v>
      </c>
    </row>
    <row r="86" spans="1:58">
      <c r="A86" t="s">
        <v>58</v>
      </c>
      <c r="B86" t="s">
        <v>799</v>
      </c>
      <c r="C86" t="s">
        <v>800</v>
      </c>
      <c r="D86" t="s">
        <v>574</v>
      </c>
      <c r="E86" t="s">
        <v>63</v>
      </c>
      <c r="F86">
        <v>2015</v>
      </c>
      <c r="G86" t="s">
        <v>326</v>
      </c>
      <c r="H86">
        <v>16</v>
      </c>
      <c r="I86">
        <v>2</v>
      </c>
      <c r="J86">
        <v>301</v>
      </c>
      <c r="K86">
        <v>311</v>
      </c>
      <c r="L86" t="s">
        <v>801</v>
      </c>
      <c r="M86" t="s">
        <v>802</v>
      </c>
      <c r="N86" t="s">
        <v>803</v>
      </c>
      <c r="O86" t="s">
        <v>63</v>
      </c>
      <c r="Q86" t="s">
        <v>63</v>
      </c>
      <c r="R86" t="s">
        <v>63</v>
      </c>
      <c r="S86" t="s">
        <v>63</v>
      </c>
      <c r="T86" t="s">
        <v>63</v>
      </c>
      <c r="X86" t="s">
        <v>63</v>
      </c>
      <c r="Y86" t="s">
        <v>578</v>
      </c>
      <c r="Z86" t="s">
        <v>63</v>
      </c>
      <c r="AA86" t="s">
        <v>804</v>
      </c>
      <c r="AB86">
        <v>25219419</v>
      </c>
      <c r="AC86" t="s">
        <v>67</v>
      </c>
      <c r="AD86" t="s">
        <v>63</v>
      </c>
      <c r="AE86" t="s">
        <v>63</v>
      </c>
      <c r="AF86" t="s">
        <v>63</v>
      </c>
      <c r="AG86" t="s">
        <v>805</v>
      </c>
      <c r="AH86" t="s">
        <v>63</v>
      </c>
      <c r="AI86" t="s">
        <v>806</v>
      </c>
      <c r="AJ86" t="s">
        <v>63</v>
      </c>
      <c r="AK86" t="s">
        <v>63</v>
      </c>
      <c r="AL86" t="s">
        <v>63</v>
      </c>
      <c r="AM86" t="s">
        <v>807</v>
      </c>
      <c r="AN86" t="s">
        <v>63</v>
      </c>
      <c r="AO86" t="s">
        <v>63</v>
      </c>
      <c r="AP86" t="s">
        <v>63</v>
      </c>
      <c r="AQ86" t="s">
        <v>63</v>
      </c>
      <c r="AR86" t="s">
        <v>63</v>
      </c>
      <c r="AS86" t="s">
        <v>63</v>
      </c>
      <c r="AT86" t="s">
        <v>63</v>
      </c>
      <c r="AU86" t="s">
        <v>63</v>
      </c>
      <c r="AV86" t="s">
        <v>63</v>
      </c>
      <c r="AW86" t="s">
        <v>63</v>
      </c>
      <c r="AX86" t="s">
        <v>63</v>
      </c>
      <c r="AY86" t="s">
        <v>63</v>
      </c>
      <c r="AZ86" t="s">
        <v>63</v>
      </c>
      <c r="BA86" t="s">
        <v>63</v>
      </c>
      <c r="BB86" t="s">
        <v>63</v>
      </c>
      <c r="BC86" t="s">
        <v>63</v>
      </c>
      <c r="BD86" t="s">
        <v>63</v>
      </c>
      <c r="BE86" t="s">
        <v>63</v>
      </c>
      <c r="BF86" t="s">
        <v>63</v>
      </c>
    </row>
    <row r="87" spans="1:58">
      <c r="A87" t="s">
        <v>58</v>
      </c>
      <c r="B87" t="s">
        <v>808</v>
      </c>
      <c r="C87" t="s">
        <v>809</v>
      </c>
      <c r="D87" t="s">
        <v>810</v>
      </c>
      <c r="E87" t="s">
        <v>63</v>
      </c>
      <c r="F87">
        <v>2017</v>
      </c>
      <c r="G87" t="s">
        <v>63</v>
      </c>
      <c r="H87">
        <v>50</v>
      </c>
      <c r="I87">
        <v>3</v>
      </c>
      <c r="J87">
        <v>177</v>
      </c>
      <c r="K87">
        <v>187</v>
      </c>
      <c r="L87" t="s">
        <v>811</v>
      </c>
      <c r="M87" t="s">
        <v>812</v>
      </c>
      <c r="N87" t="s">
        <v>813</v>
      </c>
      <c r="O87" t="s">
        <v>63</v>
      </c>
      <c r="Q87" t="s">
        <v>63</v>
      </c>
      <c r="R87" t="s">
        <v>63</v>
      </c>
      <c r="S87" t="s">
        <v>63</v>
      </c>
      <c r="T87" t="s">
        <v>63</v>
      </c>
      <c r="X87" t="s">
        <v>63</v>
      </c>
      <c r="Y87" t="s">
        <v>814</v>
      </c>
      <c r="Z87" t="s">
        <v>63</v>
      </c>
      <c r="AA87" t="s">
        <v>815</v>
      </c>
      <c r="AB87">
        <v>28605889</v>
      </c>
      <c r="AC87" t="s">
        <v>67</v>
      </c>
      <c r="AD87" t="s">
        <v>63</v>
      </c>
      <c r="AE87" t="s">
        <v>63</v>
      </c>
      <c r="AF87" t="s">
        <v>63</v>
      </c>
      <c r="AG87" t="s">
        <v>816</v>
      </c>
      <c r="AH87" t="s">
        <v>63</v>
      </c>
      <c r="AI87" t="s">
        <v>817</v>
      </c>
      <c r="AJ87" t="s">
        <v>63</v>
      </c>
      <c r="AK87" t="s">
        <v>63</v>
      </c>
      <c r="AL87" t="s">
        <v>63</v>
      </c>
      <c r="AM87" t="s">
        <v>818</v>
      </c>
      <c r="AN87" t="s">
        <v>63</v>
      </c>
      <c r="AO87" t="s">
        <v>63</v>
      </c>
      <c r="AP87" t="s">
        <v>63</v>
      </c>
      <c r="AQ87" t="s">
        <v>63</v>
      </c>
      <c r="AR87" t="s">
        <v>63</v>
      </c>
      <c r="AS87" t="s">
        <v>63</v>
      </c>
      <c r="AT87" t="s">
        <v>63</v>
      </c>
      <c r="AU87" t="s">
        <v>63</v>
      </c>
      <c r="AV87" t="s">
        <v>63</v>
      </c>
      <c r="AW87" t="s">
        <v>63</v>
      </c>
      <c r="AX87" t="s">
        <v>63</v>
      </c>
      <c r="AY87" t="s">
        <v>63</v>
      </c>
      <c r="AZ87" t="s">
        <v>63</v>
      </c>
      <c r="BA87" t="s">
        <v>63</v>
      </c>
      <c r="BB87" t="s">
        <v>63</v>
      </c>
      <c r="BC87" t="s">
        <v>63</v>
      </c>
      <c r="BD87" t="s">
        <v>63</v>
      </c>
      <c r="BE87" t="s">
        <v>63</v>
      </c>
      <c r="BF87" t="s">
        <v>63</v>
      </c>
    </row>
    <row r="88" spans="1:58">
      <c r="A88" t="s">
        <v>58</v>
      </c>
      <c r="B88" t="s">
        <v>819</v>
      </c>
      <c r="C88" t="s">
        <v>820</v>
      </c>
      <c r="D88" t="s">
        <v>325</v>
      </c>
      <c r="E88" t="s">
        <v>63</v>
      </c>
      <c r="F88">
        <v>2018</v>
      </c>
      <c r="G88" t="s">
        <v>84</v>
      </c>
      <c r="H88">
        <v>42</v>
      </c>
      <c r="I88">
        <v>2</v>
      </c>
      <c r="J88">
        <v>313</v>
      </c>
      <c r="K88">
        <v>316</v>
      </c>
      <c r="L88" t="s">
        <v>63</v>
      </c>
      <c r="M88" t="s">
        <v>63</v>
      </c>
      <c r="N88" t="s">
        <v>821</v>
      </c>
      <c r="O88" t="s">
        <v>63</v>
      </c>
      <c r="Q88" t="s">
        <v>63</v>
      </c>
      <c r="R88" t="s">
        <v>63</v>
      </c>
      <c r="S88" t="s">
        <v>63</v>
      </c>
      <c r="T88" t="s">
        <v>63</v>
      </c>
      <c r="X88" t="s">
        <v>63</v>
      </c>
      <c r="Y88" t="s">
        <v>330</v>
      </c>
      <c r="Z88" t="s">
        <v>63</v>
      </c>
      <c r="AA88" t="s">
        <v>822</v>
      </c>
      <c r="AB88">
        <v>29302930</v>
      </c>
      <c r="AC88" t="s">
        <v>67</v>
      </c>
      <c r="AD88" t="s">
        <v>63</v>
      </c>
      <c r="AE88" t="s">
        <v>63</v>
      </c>
      <c r="AF88" t="s">
        <v>63</v>
      </c>
      <c r="AG88" t="s">
        <v>823</v>
      </c>
      <c r="AH88" t="s">
        <v>63</v>
      </c>
      <c r="AI88" t="s">
        <v>824</v>
      </c>
      <c r="AJ88" t="s">
        <v>63</v>
      </c>
      <c r="AK88" t="s">
        <v>63</v>
      </c>
      <c r="AL88" t="s">
        <v>63</v>
      </c>
      <c r="AM88" t="s">
        <v>825</v>
      </c>
      <c r="AN88" t="s">
        <v>63</v>
      </c>
      <c r="AO88" t="s">
        <v>63</v>
      </c>
      <c r="AP88" t="s">
        <v>63</v>
      </c>
      <c r="AQ88" t="s">
        <v>63</v>
      </c>
      <c r="AR88" t="s">
        <v>63</v>
      </c>
      <c r="AS88" t="s">
        <v>63</v>
      </c>
      <c r="AT88" t="s">
        <v>63</v>
      </c>
      <c r="AU88" t="s">
        <v>63</v>
      </c>
      <c r="AV88" t="s">
        <v>63</v>
      </c>
      <c r="AW88" t="s">
        <v>63</v>
      </c>
      <c r="AX88" t="s">
        <v>63</v>
      </c>
      <c r="AY88" t="s">
        <v>63</v>
      </c>
      <c r="AZ88" t="s">
        <v>63</v>
      </c>
      <c r="BA88" t="s">
        <v>63</v>
      </c>
      <c r="BB88" t="s">
        <v>63</v>
      </c>
      <c r="BC88" t="s">
        <v>63</v>
      </c>
      <c r="BD88" t="s">
        <v>63</v>
      </c>
      <c r="BE88" t="s">
        <v>63</v>
      </c>
      <c r="BF88" t="s">
        <v>63</v>
      </c>
    </row>
    <row r="89" spans="1:58">
      <c r="A89" t="s">
        <v>58</v>
      </c>
      <c r="B89" t="s">
        <v>826</v>
      </c>
      <c r="C89" t="s">
        <v>827</v>
      </c>
      <c r="D89" t="s">
        <v>828</v>
      </c>
      <c r="E89" t="s">
        <v>63</v>
      </c>
      <c r="F89">
        <v>2013</v>
      </c>
      <c r="G89" t="s">
        <v>63</v>
      </c>
      <c r="H89">
        <v>20</v>
      </c>
      <c r="I89">
        <v>1</v>
      </c>
      <c r="J89" t="s">
        <v>829</v>
      </c>
      <c r="K89">
        <v>25</v>
      </c>
      <c r="L89" t="s">
        <v>830</v>
      </c>
      <c r="M89" t="s">
        <v>831</v>
      </c>
      <c r="N89" t="s">
        <v>832</v>
      </c>
      <c r="O89" t="s">
        <v>63</v>
      </c>
      <c r="Q89" t="s">
        <v>63</v>
      </c>
      <c r="R89" t="s">
        <v>63</v>
      </c>
      <c r="S89" t="s">
        <v>63</v>
      </c>
      <c r="T89" t="s">
        <v>63</v>
      </c>
      <c r="X89" t="s">
        <v>63</v>
      </c>
      <c r="Y89" t="s">
        <v>833</v>
      </c>
      <c r="Z89" t="s">
        <v>63</v>
      </c>
      <c r="AA89" t="s">
        <v>834</v>
      </c>
      <c r="AB89">
        <v>23392849</v>
      </c>
      <c r="AC89" t="s">
        <v>67</v>
      </c>
      <c r="AD89" t="s">
        <v>63</v>
      </c>
      <c r="AE89" t="s">
        <v>63</v>
      </c>
      <c r="AF89" t="s">
        <v>63</v>
      </c>
      <c r="AG89" t="s">
        <v>835</v>
      </c>
      <c r="AH89" t="s">
        <v>63</v>
      </c>
      <c r="AI89" t="s">
        <v>63</v>
      </c>
      <c r="AJ89" t="s">
        <v>63</v>
      </c>
      <c r="AK89" t="s">
        <v>63</v>
      </c>
      <c r="AL89" t="s">
        <v>63</v>
      </c>
      <c r="AM89" t="s">
        <v>836</v>
      </c>
      <c r="AN89" t="s">
        <v>63</v>
      </c>
      <c r="AO89" t="s">
        <v>63</v>
      </c>
      <c r="AP89" t="s">
        <v>63</v>
      </c>
      <c r="AQ89" t="s">
        <v>63</v>
      </c>
      <c r="AR89" t="s">
        <v>63</v>
      </c>
      <c r="AS89" t="s">
        <v>63</v>
      </c>
      <c r="AT89" t="s">
        <v>63</v>
      </c>
      <c r="AU89" t="s">
        <v>63</v>
      </c>
      <c r="AV89" t="s">
        <v>63</v>
      </c>
      <c r="AW89" t="s">
        <v>63</v>
      </c>
      <c r="AX89" t="s">
        <v>63</v>
      </c>
      <c r="AY89" t="s">
        <v>63</v>
      </c>
      <c r="AZ89" t="s">
        <v>63</v>
      </c>
      <c r="BA89" t="s">
        <v>63</v>
      </c>
      <c r="BB89" t="s">
        <v>63</v>
      </c>
      <c r="BC89" t="s">
        <v>63</v>
      </c>
      <c r="BD89" t="s">
        <v>63</v>
      </c>
      <c r="BE89" t="s">
        <v>63</v>
      </c>
      <c r="BF89" t="s">
        <v>63</v>
      </c>
    </row>
    <row r="90" spans="1:58">
      <c r="A90" t="s">
        <v>58</v>
      </c>
      <c r="B90" t="s">
        <v>837</v>
      </c>
      <c r="C90" t="s">
        <v>838</v>
      </c>
      <c r="D90" t="s">
        <v>839</v>
      </c>
      <c r="E90" t="s">
        <v>63</v>
      </c>
      <c r="F90">
        <v>1980</v>
      </c>
      <c r="G90" t="s">
        <v>623</v>
      </c>
      <c r="H90">
        <v>63</v>
      </c>
      <c r="I90" s="1">
        <v>41640</v>
      </c>
      <c r="J90">
        <v>11</v>
      </c>
      <c r="K90">
        <v>12</v>
      </c>
      <c r="L90" t="s">
        <v>840</v>
      </c>
      <c r="M90" t="s">
        <v>63</v>
      </c>
      <c r="N90" t="s">
        <v>841</v>
      </c>
      <c r="O90" t="s">
        <v>63</v>
      </c>
      <c r="Q90" t="s">
        <v>63</v>
      </c>
      <c r="R90" t="s">
        <v>63</v>
      </c>
      <c r="S90" t="s">
        <v>63</v>
      </c>
      <c r="T90" t="s">
        <v>63</v>
      </c>
      <c r="X90" t="s">
        <v>63</v>
      </c>
      <c r="Y90" t="s">
        <v>842</v>
      </c>
      <c r="Z90" t="s">
        <v>63</v>
      </c>
      <c r="AA90" t="s">
        <v>63</v>
      </c>
      <c r="AB90">
        <v>6928322</v>
      </c>
      <c r="AC90" t="s">
        <v>67</v>
      </c>
      <c r="AD90" t="s">
        <v>63</v>
      </c>
      <c r="AE90" t="s">
        <v>63</v>
      </c>
      <c r="AF90" t="s">
        <v>63</v>
      </c>
      <c r="AG90" t="s">
        <v>843</v>
      </c>
      <c r="AH90" t="s">
        <v>63</v>
      </c>
      <c r="AI90" t="s">
        <v>63</v>
      </c>
      <c r="AJ90" t="s">
        <v>63</v>
      </c>
      <c r="AK90" t="s">
        <v>63</v>
      </c>
      <c r="AL90" t="s">
        <v>63</v>
      </c>
      <c r="AM90" t="s">
        <v>844</v>
      </c>
      <c r="AN90" t="s">
        <v>63</v>
      </c>
      <c r="AO90" t="s">
        <v>63</v>
      </c>
      <c r="AP90" t="s">
        <v>63</v>
      </c>
      <c r="AQ90" t="s">
        <v>63</v>
      </c>
      <c r="AR90" t="s">
        <v>63</v>
      </c>
      <c r="AS90" t="s">
        <v>63</v>
      </c>
      <c r="AT90" t="s">
        <v>63</v>
      </c>
      <c r="AU90" t="s">
        <v>63</v>
      </c>
      <c r="AV90" t="s">
        <v>63</v>
      </c>
      <c r="AW90" t="s">
        <v>63</v>
      </c>
      <c r="AX90" t="s">
        <v>63</v>
      </c>
      <c r="AY90" t="s">
        <v>63</v>
      </c>
      <c r="AZ90" t="s">
        <v>63</v>
      </c>
      <c r="BA90" t="s">
        <v>63</v>
      </c>
      <c r="BB90" t="s">
        <v>63</v>
      </c>
      <c r="BC90" t="s">
        <v>63</v>
      </c>
      <c r="BD90" t="s">
        <v>63</v>
      </c>
      <c r="BE90" t="s">
        <v>63</v>
      </c>
      <c r="BF90" t="s">
        <v>63</v>
      </c>
    </row>
    <row r="91" spans="1:58">
      <c r="A91" t="s">
        <v>58</v>
      </c>
      <c r="B91" t="s">
        <v>845</v>
      </c>
      <c r="C91" t="s">
        <v>846</v>
      </c>
      <c r="D91" t="s">
        <v>389</v>
      </c>
      <c r="E91" t="s">
        <v>63</v>
      </c>
      <c r="F91">
        <v>2018</v>
      </c>
      <c r="G91" s="1">
        <v>41640</v>
      </c>
      <c r="H91">
        <v>39</v>
      </c>
      <c r="I91">
        <v>1</v>
      </c>
      <c r="J91">
        <v>6</v>
      </c>
      <c r="K91">
        <v>8</v>
      </c>
      <c r="L91" t="s">
        <v>63</v>
      </c>
      <c r="M91" t="s">
        <v>847</v>
      </c>
      <c r="N91" t="s">
        <v>848</v>
      </c>
      <c r="O91" t="s">
        <v>63</v>
      </c>
      <c r="Q91" t="s">
        <v>63</v>
      </c>
      <c r="R91" t="s">
        <v>63</v>
      </c>
      <c r="S91" t="s">
        <v>63</v>
      </c>
      <c r="T91" t="s">
        <v>63</v>
      </c>
      <c r="X91" t="s">
        <v>63</v>
      </c>
      <c r="Y91" t="s">
        <v>556</v>
      </c>
      <c r="Z91" t="s">
        <v>63</v>
      </c>
      <c r="AA91" t="s">
        <v>849</v>
      </c>
      <c r="AB91">
        <v>28723248</v>
      </c>
      <c r="AC91" t="s">
        <v>67</v>
      </c>
      <c r="AD91" t="s">
        <v>63</v>
      </c>
      <c r="AE91" t="s">
        <v>63</v>
      </c>
      <c r="AF91" t="s">
        <v>63</v>
      </c>
      <c r="AG91" t="s">
        <v>850</v>
      </c>
      <c r="AH91" t="s">
        <v>63</v>
      </c>
      <c r="AI91" t="s">
        <v>851</v>
      </c>
      <c r="AJ91" t="s">
        <v>63</v>
      </c>
      <c r="AK91" t="s">
        <v>63</v>
      </c>
      <c r="AL91" t="s">
        <v>63</v>
      </c>
      <c r="AM91" t="s">
        <v>852</v>
      </c>
      <c r="AN91" t="s">
        <v>63</v>
      </c>
      <c r="AO91" t="s">
        <v>63</v>
      </c>
      <c r="AP91" t="s">
        <v>63</v>
      </c>
      <c r="AQ91" t="s">
        <v>63</v>
      </c>
      <c r="AR91" t="s">
        <v>63</v>
      </c>
      <c r="AS91" t="s">
        <v>63</v>
      </c>
      <c r="AT91" t="s">
        <v>63</v>
      </c>
      <c r="AU91" t="s">
        <v>63</v>
      </c>
      <c r="AV91" t="s">
        <v>63</v>
      </c>
      <c r="AW91" t="s">
        <v>63</v>
      </c>
      <c r="AX91" t="s">
        <v>63</v>
      </c>
      <c r="AY91" t="s">
        <v>63</v>
      </c>
      <c r="AZ91" t="s">
        <v>63</v>
      </c>
      <c r="BA91" t="s">
        <v>63</v>
      </c>
      <c r="BB91" t="s">
        <v>63</v>
      </c>
      <c r="BC91" t="s">
        <v>63</v>
      </c>
      <c r="BD91" t="s">
        <v>63</v>
      </c>
      <c r="BE91" t="s">
        <v>63</v>
      </c>
      <c r="BF91" t="s">
        <v>63</v>
      </c>
    </row>
    <row r="92" spans="1:58">
      <c r="A92" t="s">
        <v>58</v>
      </c>
      <c r="B92" t="s">
        <v>853</v>
      </c>
      <c r="C92" t="s">
        <v>854</v>
      </c>
      <c r="D92" t="s">
        <v>763</v>
      </c>
      <c r="E92" t="s">
        <v>63</v>
      </c>
      <c r="F92">
        <v>2007</v>
      </c>
      <c r="G92" t="s">
        <v>326</v>
      </c>
      <c r="H92">
        <v>82</v>
      </c>
      <c r="I92">
        <v>2</v>
      </c>
      <c r="J92">
        <v>154</v>
      </c>
      <c r="K92">
        <v>160</v>
      </c>
      <c r="L92" t="s">
        <v>855</v>
      </c>
      <c r="M92" t="s">
        <v>856</v>
      </c>
      <c r="N92" t="s">
        <v>857</v>
      </c>
      <c r="O92" t="s">
        <v>63</v>
      </c>
      <c r="Q92" t="s">
        <v>63</v>
      </c>
      <c r="R92" t="s">
        <v>63</v>
      </c>
      <c r="S92" t="s">
        <v>63</v>
      </c>
      <c r="T92" t="s">
        <v>63</v>
      </c>
      <c r="X92" t="s">
        <v>63</v>
      </c>
      <c r="Y92" t="s">
        <v>858</v>
      </c>
      <c r="Z92" t="s">
        <v>63</v>
      </c>
      <c r="AA92" t="s">
        <v>859</v>
      </c>
      <c r="AB92">
        <v>17264693</v>
      </c>
      <c r="AC92" t="s">
        <v>67</v>
      </c>
      <c r="AD92" t="s">
        <v>63</v>
      </c>
      <c r="AE92" t="s">
        <v>63</v>
      </c>
      <c r="AF92" t="s">
        <v>63</v>
      </c>
      <c r="AG92" t="s">
        <v>860</v>
      </c>
      <c r="AH92" t="s">
        <v>63</v>
      </c>
      <c r="AI92" t="s">
        <v>63</v>
      </c>
      <c r="AJ92" t="s">
        <v>63</v>
      </c>
      <c r="AK92" t="s">
        <v>63</v>
      </c>
      <c r="AL92" t="s">
        <v>63</v>
      </c>
      <c r="AM92" t="s">
        <v>861</v>
      </c>
      <c r="AN92" t="s">
        <v>63</v>
      </c>
      <c r="AO92" t="s">
        <v>63</v>
      </c>
      <c r="AP92" t="s">
        <v>63</v>
      </c>
      <c r="AQ92" t="s">
        <v>63</v>
      </c>
      <c r="AR92" t="s">
        <v>63</v>
      </c>
      <c r="AS92" t="s">
        <v>63</v>
      </c>
      <c r="AT92" t="s">
        <v>63</v>
      </c>
      <c r="AU92" t="s">
        <v>63</v>
      </c>
      <c r="AV92" t="s">
        <v>63</v>
      </c>
      <c r="AW92" t="s">
        <v>63</v>
      </c>
      <c r="AX92" t="s">
        <v>63</v>
      </c>
      <c r="AY92" t="s">
        <v>63</v>
      </c>
      <c r="AZ92" t="s">
        <v>63</v>
      </c>
      <c r="BA92" t="s">
        <v>63</v>
      </c>
      <c r="BB92" t="s">
        <v>63</v>
      </c>
      <c r="BC92" t="s">
        <v>63</v>
      </c>
      <c r="BD92" t="s">
        <v>63</v>
      </c>
      <c r="BE92" t="s">
        <v>63</v>
      </c>
      <c r="BF92" t="s">
        <v>63</v>
      </c>
    </row>
    <row r="93" spans="1:58">
      <c r="A93" t="s">
        <v>58</v>
      </c>
      <c r="B93" t="s">
        <v>862</v>
      </c>
      <c r="C93" t="s">
        <v>863</v>
      </c>
      <c r="D93" t="s">
        <v>325</v>
      </c>
      <c r="E93" t="s">
        <v>63</v>
      </c>
      <c r="F93">
        <v>1989</v>
      </c>
      <c r="G93" t="s">
        <v>274</v>
      </c>
      <c r="H93">
        <v>13</v>
      </c>
      <c r="I93">
        <v>1</v>
      </c>
      <c r="J93">
        <v>44</v>
      </c>
      <c r="K93">
        <v>47</v>
      </c>
      <c r="L93" t="s">
        <v>63</v>
      </c>
      <c r="M93" t="s">
        <v>864</v>
      </c>
      <c r="N93" t="s">
        <v>865</v>
      </c>
      <c r="O93" t="s">
        <v>63</v>
      </c>
      <c r="Q93" t="s">
        <v>63</v>
      </c>
      <c r="R93" t="s">
        <v>63</v>
      </c>
      <c r="S93" t="s">
        <v>63</v>
      </c>
      <c r="T93" t="s">
        <v>63</v>
      </c>
      <c r="X93" t="s">
        <v>63</v>
      </c>
      <c r="Y93" t="s">
        <v>866</v>
      </c>
      <c r="Z93" t="s">
        <v>63</v>
      </c>
      <c r="AA93" t="s">
        <v>867</v>
      </c>
      <c r="AB93">
        <v>24442976</v>
      </c>
      <c r="AC93" t="s">
        <v>67</v>
      </c>
      <c r="AD93" t="s">
        <v>63</v>
      </c>
      <c r="AE93" t="s">
        <v>63</v>
      </c>
      <c r="AF93" t="s">
        <v>63</v>
      </c>
      <c r="AG93" t="s">
        <v>868</v>
      </c>
      <c r="AH93" t="s">
        <v>63</v>
      </c>
      <c r="AI93" t="s">
        <v>869</v>
      </c>
      <c r="AJ93" t="s">
        <v>63</v>
      </c>
      <c r="AK93" t="s">
        <v>63</v>
      </c>
      <c r="AL93" t="s">
        <v>63</v>
      </c>
      <c r="AM93" t="s">
        <v>870</v>
      </c>
      <c r="AN93" t="s">
        <v>63</v>
      </c>
      <c r="AO93" t="s">
        <v>63</v>
      </c>
      <c r="AP93" t="s">
        <v>63</v>
      </c>
      <c r="AQ93" t="s">
        <v>63</v>
      </c>
      <c r="AR93" t="s">
        <v>63</v>
      </c>
      <c r="AS93" t="s">
        <v>63</v>
      </c>
      <c r="AT93" t="s">
        <v>63</v>
      </c>
      <c r="AU93" t="s">
        <v>63</v>
      </c>
      <c r="AV93" t="s">
        <v>63</v>
      </c>
      <c r="AW93" t="s">
        <v>63</v>
      </c>
      <c r="AX93" t="s">
        <v>63</v>
      </c>
      <c r="AY93" t="s">
        <v>63</v>
      </c>
      <c r="AZ93" t="s">
        <v>63</v>
      </c>
      <c r="BA93" t="s">
        <v>63</v>
      </c>
      <c r="BB93" t="s">
        <v>63</v>
      </c>
      <c r="BC93" t="s">
        <v>63</v>
      </c>
      <c r="BD93" t="s">
        <v>63</v>
      </c>
      <c r="BE93" t="s">
        <v>63</v>
      </c>
      <c r="BF93" t="s">
        <v>63</v>
      </c>
    </row>
    <row r="94" spans="1:58">
      <c r="A94" t="s">
        <v>58</v>
      </c>
      <c r="B94" t="s">
        <v>871</v>
      </c>
      <c r="C94" t="s">
        <v>872</v>
      </c>
      <c r="D94" t="s">
        <v>408</v>
      </c>
      <c r="E94" t="s">
        <v>409</v>
      </c>
      <c r="F94">
        <v>2012</v>
      </c>
      <c r="G94" t="s">
        <v>873</v>
      </c>
      <c r="H94">
        <v>47</v>
      </c>
      <c r="I94" s="1">
        <v>41859</v>
      </c>
      <c r="J94">
        <v>1041</v>
      </c>
      <c r="K94">
        <v>1048</v>
      </c>
      <c r="L94" t="s">
        <v>874</v>
      </c>
      <c r="M94" t="s">
        <v>875</v>
      </c>
      <c r="N94" t="s">
        <v>876</v>
      </c>
      <c r="O94" t="s">
        <v>63</v>
      </c>
      <c r="Q94" t="s">
        <v>63</v>
      </c>
      <c r="R94" t="s">
        <v>63</v>
      </c>
      <c r="S94" t="s">
        <v>63</v>
      </c>
      <c r="T94" t="s">
        <v>63</v>
      </c>
      <c r="X94" t="s">
        <v>63</v>
      </c>
      <c r="Y94" t="s">
        <v>412</v>
      </c>
      <c r="Z94" t="s">
        <v>63</v>
      </c>
      <c r="AA94" t="s">
        <v>877</v>
      </c>
      <c r="AB94">
        <v>22676571</v>
      </c>
      <c r="AC94" t="s">
        <v>67</v>
      </c>
      <c r="AD94" t="s">
        <v>63</v>
      </c>
      <c r="AE94" t="s">
        <v>63</v>
      </c>
      <c r="AF94" t="s">
        <v>63</v>
      </c>
      <c r="AG94" t="s">
        <v>878</v>
      </c>
      <c r="AH94" t="s">
        <v>63</v>
      </c>
      <c r="AI94" t="s">
        <v>879</v>
      </c>
      <c r="AJ94" t="s">
        <v>63</v>
      </c>
      <c r="AK94" t="s">
        <v>63</v>
      </c>
      <c r="AL94" t="s">
        <v>63</v>
      </c>
      <c r="AM94" t="s">
        <v>880</v>
      </c>
      <c r="AN94" t="s">
        <v>63</v>
      </c>
      <c r="AO94" t="s">
        <v>63</v>
      </c>
      <c r="AP94" t="s">
        <v>63</v>
      </c>
      <c r="AQ94" t="s">
        <v>63</v>
      </c>
      <c r="AR94" t="s">
        <v>63</v>
      </c>
      <c r="AS94" t="s">
        <v>63</v>
      </c>
      <c r="AT94" t="s">
        <v>63</v>
      </c>
      <c r="AU94" t="s">
        <v>63</v>
      </c>
      <c r="AV94" t="s">
        <v>63</v>
      </c>
      <c r="AW94" t="s">
        <v>63</v>
      </c>
      <c r="AX94" t="s">
        <v>63</v>
      </c>
      <c r="AY94" t="s">
        <v>63</v>
      </c>
      <c r="AZ94" t="s">
        <v>63</v>
      </c>
      <c r="BA94" t="s">
        <v>63</v>
      </c>
      <c r="BB94" t="s">
        <v>63</v>
      </c>
      <c r="BC94" t="s">
        <v>63</v>
      </c>
      <c r="BD94" t="s">
        <v>63</v>
      </c>
      <c r="BE94" t="s">
        <v>63</v>
      </c>
      <c r="BF94" t="s">
        <v>63</v>
      </c>
    </row>
    <row r="95" spans="1:58">
      <c r="A95" t="s">
        <v>58</v>
      </c>
      <c r="B95" t="s">
        <v>881</v>
      </c>
      <c r="C95" t="s">
        <v>882</v>
      </c>
      <c r="D95" t="s">
        <v>574</v>
      </c>
      <c r="E95" t="s">
        <v>63</v>
      </c>
      <c r="F95">
        <v>2017</v>
      </c>
      <c r="G95" s="1">
        <v>41912</v>
      </c>
      <c r="H95">
        <v>18</v>
      </c>
      <c r="I95">
        <v>10</v>
      </c>
      <c r="J95">
        <v>1890</v>
      </c>
      <c r="K95">
        <v>1894</v>
      </c>
      <c r="L95" t="s">
        <v>63</v>
      </c>
      <c r="M95" t="s">
        <v>883</v>
      </c>
      <c r="N95" t="s">
        <v>884</v>
      </c>
      <c r="O95" t="s">
        <v>63</v>
      </c>
      <c r="Q95" t="s">
        <v>63</v>
      </c>
      <c r="R95" t="s">
        <v>63</v>
      </c>
      <c r="S95" t="s">
        <v>63</v>
      </c>
      <c r="T95" t="s">
        <v>63</v>
      </c>
      <c r="X95" t="s">
        <v>63</v>
      </c>
      <c r="Y95" t="s">
        <v>578</v>
      </c>
      <c r="Z95" t="s">
        <v>63</v>
      </c>
      <c r="AA95" t="s">
        <v>885</v>
      </c>
      <c r="AB95">
        <v>28339890</v>
      </c>
      <c r="AC95" t="s">
        <v>67</v>
      </c>
      <c r="AD95" t="s">
        <v>63</v>
      </c>
      <c r="AE95" t="s">
        <v>63</v>
      </c>
      <c r="AF95" t="s">
        <v>63</v>
      </c>
      <c r="AG95" t="s">
        <v>886</v>
      </c>
      <c r="AH95" t="s">
        <v>63</v>
      </c>
      <c r="AI95" t="s">
        <v>887</v>
      </c>
      <c r="AJ95" t="s">
        <v>63</v>
      </c>
      <c r="AK95" t="s">
        <v>63</v>
      </c>
      <c r="AL95" t="s">
        <v>63</v>
      </c>
      <c r="AM95" t="s">
        <v>888</v>
      </c>
      <c r="AN95" t="s">
        <v>63</v>
      </c>
      <c r="AO95" t="s">
        <v>63</v>
      </c>
      <c r="AP95" t="s">
        <v>63</v>
      </c>
      <c r="AQ95" t="s">
        <v>63</v>
      </c>
      <c r="AR95" t="s">
        <v>63</v>
      </c>
      <c r="AS95" t="s">
        <v>63</v>
      </c>
      <c r="AT95" t="s">
        <v>63</v>
      </c>
      <c r="AU95" t="s">
        <v>63</v>
      </c>
      <c r="AV95" t="s">
        <v>63</v>
      </c>
      <c r="AW95" t="s">
        <v>63</v>
      </c>
      <c r="AX95" t="s">
        <v>63</v>
      </c>
      <c r="AY95" t="s">
        <v>63</v>
      </c>
      <c r="AZ95" t="s">
        <v>63</v>
      </c>
      <c r="BA95" t="s">
        <v>63</v>
      </c>
      <c r="BB95" t="s">
        <v>63</v>
      </c>
      <c r="BC95" t="s">
        <v>63</v>
      </c>
      <c r="BD95" t="s">
        <v>63</v>
      </c>
      <c r="BE95" t="s">
        <v>63</v>
      </c>
      <c r="BF95" t="s">
        <v>63</v>
      </c>
    </row>
    <row r="96" spans="1:58">
      <c r="A96" t="s">
        <v>58</v>
      </c>
      <c r="B96" t="s">
        <v>889</v>
      </c>
      <c r="C96" t="s">
        <v>890</v>
      </c>
      <c r="D96" t="s">
        <v>212</v>
      </c>
      <c r="E96" t="s">
        <v>63</v>
      </c>
      <c r="F96">
        <v>1990</v>
      </c>
      <c r="G96" s="1">
        <v>41957</v>
      </c>
      <c r="H96">
        <v>143</v>
      </c>
      <c r="I96">
        <v>10</v>
      </c>
      <c r="J96">
        <v>1097</v>
      </c>
      <c r="K96">
        <v>1098</v>
      </c>
      <c r="L96" t="s">
        <v>891</v>
      </c>
      <c r="M96" t="s">
        <v>63</v>
      </c>
      <c r="N96" t="s">
        <v>892</v>
      </c>
      <c r="O96" t="s">
        <v>63</v>
      </c>
      <c r="Q96" t="s">
        <v>63</v>
      </c>
      <c r="R96" t="s">
        <v>63</v>
      </c>
      <c r="S96" t="s">
        <v>63</v>
      </c>
      <c r="T96" t="s">
        <v>63</v>
      </c>
      <c r="X96" t="s">
        <v>63</v>
      </c>
      <c r="Y96" t="s">
        <v>215</v>
      </c>
      <c r="Z96" t="s">
        <v>63</v>
      </c>
      <c r="AA96" t="s">
        <v>893</v>
      </c>
      <c r="AB96">
        <v>2224679</v>
      </c>
      <c r="AC96" t="s">
        <v>67</v>
      </c>
      <c r="AD96" t="s">
        <v>63</v>
      </c>
      <c r="AE96" t="s">
        <v>63</v>
      </c>
      <c r="AF96" t="s">
        <v>63</v>
      </c>
      <c r="AG96" t="s">
        <v>894</v>
      </c>
      <c r="AH96" t="s">
        <v>63</v>
      </c>
      <c r="AI96" t="s">
        <v>63</v>
      </c>
      <c r="AJ96" t="s">
        <v>63</v>
      </c>
      <c r="AK96" t="s">
        <v>63</v>
      </c>
      <c r="AL96" t="s">
        <v>63</v>
      </c>
      <c r="AM96" t="s">
        <v>895</v>
      </c>
      <c r="AN96" t="s">
        <v>63</v>
      </c>
      <c r="AO96" t="s">
        <v>63</v>
      </c>
      <c r="AP96" t="s">
        <v>63</v>
      </c>
      <c r="AQ96" t="s">
        <v>63</v>
      </c>
      <c r="AR96" t="s">
        <v>63</v>
      </c>
      <c r="AS96" t="s">
        <v>63</v>
      </c>
      <c r="AT96" t="s">
        <v>63</v>
      </c>
      <c r="AU96" t="s">
        <v>63</v>
      </c>
      <c r="AV96" t="s">
        <v>63</v>
      </c>
      <c r="AW96" t="s">
        <v>63</v>
      </c>
      <c r="AX96" t="s">
        <v>63</v>
      </c>
      <c r="AY96" t="s">
        <v>63</v>
      </c>
      <c r="AZ96" t="s">
        <v>63</v>
      </c>
      <c r="BA96" t="s">
        <v>63</v>
      </c>
      <c r="BB96" t="s">
        <v>63</v>
      </c>
      <c r="BC96" t="s">
        <v>63</v>
      </c>
      <c r="BD96" t="s">
        <v>63</v>
      </c>
      <c r="BE96" t="s">
        <v>63</v>
      </c>
      <c r="BF96" t="s">
        <v>63</v>
      </c>
    </row>
    <row r="97" spans="1:58">
      <c r="A97" t="s">
        <v>58</v>
      </c>
      <c r="B97" t="s">
        <v>896</v>
      </c>
      <c r="C97" t="s">
        <v>897</v>
      </c>
      <c r="D97" t="s">
        <v>898</v>
      </c>
      <c r="E97" t="s">
        <v>63</v>
      </c>
      <c r="F97">
        <v>2018</v>
      </c>
      <c r="G97" s="1">
        <v>41640</v>
      </c>
      <c r="H97">
        <v>23</v>
      </c>
      <c r="I97">
        <v>11</v>
      </c>
      <c r="J97">
        <v>734</v>
      </c>
      <c r="K97">
        <v>743</v>
      </c>
      <c r="L97" t="s">
        <v>63</v>
      </c>
      <c r="M97" t="s">
        <v>899</v>
      </c>
      <c r="N97" t="s">
        <v>900</v>
      </c>
      <c r="O97" t="s">
        <v>63</v>
      </c>
      <c r="Q97" t="s">
        <v>63</v>
      </c>
      <c r="R97" t="s">
        <v>63</v>
      </c>
      <c r="S97" t="s">
        <v>63</v>
      </c>
      <c r="T97" t="s">
        <v>63</v>
      </c>
      <c r="X97" t="s">
        <v>63</v>
      </c>
      <c r="Y97" t="s">
        <v>901</v>
      </c>
      <c r="Z97" t="s">
        <v>63</v>
      </c>
      <c r="AA97" t="s">
        <v>902</v>
      </c>
      <c r="AB97">
        <v>29319145</v>
      </c>
      <c r="AC97" t="s">
        <v>67</v>
      </c>
      <c r="AD97" t="s">
        <v>63</v>
      </c>
      <c r="AE97" t="s">
        <v>63</v>
      </c>
      <c r="AF97" t="s">
        <v>63</v>
      </c>
      <c r="AG97" t="s">
        <v>903</v>
      </c>
      <c r="AH97" t="s">
        <v>63</v>
      </c>
      <c r="AI97" t="s">
        <v>63</v>
      </c>
      <c r="AJ97" t="s">
        <v>63</v>
      </c>
      <c r="AK97" t="s">
        <v>63</v>
      </c>
      <c r="AL97" t="s">
        <v>63</v>
      </c>
      <c r="AM97" t="s">
        <v>904</v>
      </c>
      <c r="AN97" t="s">
        <v>63</v>
      </c>
      <c r="AO97" t="s">
        <v>63</v>
      </c>
      <c r="AP97" t="s">
        <v>63</v>
      </c>
      <c r="AQ97" t="s">
        <v>63</v>
      </c>
      <c r="AR97" t="s">
        <v>63</v>
      </c>
      <c r="AS97" t="s">
        <v>63</v>
      </c>
      <c r="AT97" t="s">
        <v>63</v>
      </c>
      <c r="AU97" t="s">
        <v>63</v>
      </c>
      <c r="AV97" t="s">
        <v>63</v>
      </c>
      <c r="AW97" t="s">
        <v>63</v>
      </c>
      <c r="AX97" t="s">
        <v>63</v>
      </c>
      <c r="AY97" t="s">
        <v>63</v>
      </c>
      <c r="AZ97" t="s">
        <v>63</v>
      </c>
      <c r="BA97" t="s">
        <v>63</v>
      </c>
      <c r="BB97" t="s">
        <v>63</v>
      </c>
      <c r="BC97" t="s">
        <v>63</v>
      </c>
      <c r="BD97" t="s">
        <v>63</v>
      </c>
      <c r="BE97" t="s">
        <v>63</v>
      </c>
      <c r="BF97" t="s">
        <v>63</v>
      </c>
    </row>
    <row r="98" spans="1:58">
      <c r="A98" t="s">
        <v>58</v>
      </c>
      <c r="B98" t="s">
        <v>905</v>
      </c>
      <c r="C98" t="s">
        <v>906</v>
      </c>
      <c r="D98" t="s">
        <v>907</v>
      </c>
      <c r="E98" t="s">
        <v>63</v>
      </c>
      <c r="F98">
        <v>1993</v>
      </c>
      <c r="G98" t="s">
        <v>908</v>
      </c>
      <c r="H98">
        <v>12</v>
      </c>
      <c r="I98">
        <v>3</v>
      </c>
      <c r="J98">
        <v>166</v>
      </c>
      <c r="K98">
        <v>172</v>
      </c>
      <c r="L98" t="s">
        <v>909</v>
      </c>
      <c r="M98" t="s">
        <v>63</v>
      </c>
      <c r="N98" t="s">
        <v>910</v>
      </c>
      <c r="O98" t="s">
        <v>63</v>
      </c>
      <c r="Q98" t="s">
        <v>63</v>
      </c>
      <c r="R98" t="s">
        <v>63</v>
      </c>
      <c r="S98" t="s">
        <v>63</v>
      </c>
      <c r="T98" t="s">
        <v>63</v>
      </c>
      <c r="X98" t="s">
        <v>63</v>
      </c>
      <c r="Y98" t="s">
        <v>911</v>
      </c>
      <c r="Z98" t="s">
        <v>63</v>
      </c>
      <c r="AA98" t="s">
        <v>912</v>
      </c>
      <c r="AB98">
        <v>8338910</v>
      </c>
      <c r="AC98" t="s">
        <v>913</v>
      </c>
      <c r="AD98" t="s">
        <v>63</v>
      </c>
      <c r="AE98" t="s">
        <v>63</v>
      </c>
      <c r="AF98" t="s">
        <v>63</v>
      </c>
      <c r="AG98" t="s">
        <v>914</v>
      </c>
      <c r="AH98" t="s">
        <v>63</v>
      </c>
      <c r="AI98" t="s">
        <v>63</v>
      </c>
      <c r="AJ98" t="s">
        <v>63</v>
      </c>
      <c r="AK98" t="s">
        <v>63</v>
      </c>
      <c r="AL98" t="s">
        <v>63</v>
      </c>
      <c r="AM98" t="s">
        <v>915</v>
      </c>
      <c r="AN98" t="s">
        <v>63</v>
      </c>
      <c r="AO98" t="s">
        <v>63</v>
      </c>
      <c r="AP98" t="s">
        <v>63</v>
      </c>
      <c r="AQ98" t="s">
        <v>63</v>
      </c>
      <c r="AR98" t="s">
        <v>63</v>
      </c>
      <c r="AS98" t="s">
        <v>63</v>
      </c>
      <c r="AT98" t="s">
        <v>63</v>
      </c>
      <c r="AU98" t="s">
        <v>63</v>
      </c>
      <c r="AV98" t="s">
        <v>63</v>
      </c>
      <c r="AW98" t="s">
        <v>63</v>
      </c>
      <c r="AX98" t="s">
        <v>63</v>
      </c>
      <c r="AY98" t="s">
        <v>63</v>
      </c>
      <c r="AZ98" t="s">
        <v>63</v>
      </c>
      <c r="BA98" t="s">
        <v>63</v>
      </c>
      <c r="BB98" t="s">
        <v>63</v>
      </c>
      <c r="BC98" t="s">
        <v>63</v>
      </c>
      <c r="BD98" t="s">
        <v>63</v>
      </c>
      <c r="BE98" t="s">
        <v>63</v>
      </c>
      <c r="BF98" t="s">
        <v>63</v>
      </c>
    </row>
    <row r="99" spans="1:58">
      <c r="A99" t="s">
        <v>58</v>
      </c>
      <c r="B99" t="s">
        <v>916</v>
      </c>
      <c r="C99" t="s">
        <v>917</v>
      </c>
      <c r="D99" t="s">
        <v>918</v>
      </c>
      <c r="E99" t="s">
        <v>919</v>
      </c>
      <c r="F99">
        <v>1959</v>
      </c>
      <c r="G99" t="s">
        <v>274</v>
      </c>
      <c r="H99">
        <v>90</v>
      </c>
      <c r="I99">
        <v>3</v>
      </c>
      <c r="J99">
        <v>224</v>
      </c>
      <c r="K99">
        <v>226</v>
      </c>
      <c r="L99" t="s">
        <v>920</v>
      </c>
      <c r="M99" t="s">
        <v>921</v>
      </c>
      <c r="N99" t="s">
        <v>922</v>
      </c>
      <c r="O99" t="s">
        <v>63</v>
      </c>
      <c r="Q99" t="s">
        <v>63</v>
      </c>
      <c r="R99" t="s">
        <v>63</v>
      </c>
      <c r="S99" t="s">
        <v>63</v>
      </c>
      <c r="T99" t="s">
        <v>63</v>
      </c>
      <c r="X99" t="s">
        <v>63</v>
      </c>
      <c r="Y99" t="s">
        <v>923</v>
      </c>
      <c r="Z99" t="s">
        <v>63</v>
      </c>
      <c r="AA99" t="s">
        <v>63</v>
      </c>
      <c r="AB99">
        <v>13638829</v>
      </c>
      <c r="AC99" t="s">
        <v>67</v>
      </c>
      <c r="AD99" t="s">
        <v>63</v>
      </c>
      <c r="AE99" t="s">
        <v>63</v>
      </c>
      <c r="AF99" t="s">
        <v>63</v>
      </c>
      <c r="AG99" t="s">
        <v>924</v>
      </c>
      <c r="AH99" t="s">
        <v>63</v>
      </c>
      <c r="AI99" t="s">
        <v>63</v>
      </c>
      <c r="AJ99" t="s">
        <v>63</v>
      </c>
      <c r="AK99" t="s">
        <v>63</v>
      </c>
      <c r="AL99" t="s">
        <v>63</v>
      </c>
      <c r="AM99" t="s">
        <v>925</v>
      </c>
      <c r="AN99" t="s">
        <v>63</v>
      </c>
      <c r="AO99" t="s">
        <v>63</v>
      </c>
      <c r="AP99" t="s">
        <v>63</v>
      </c>
      <c r="AQ99" t="s">
        <v>63</v>
      </c>
      <c r="AR99" t="s">
        <v>63</v>
      </c>
      <c r="AS99" t="s">
        <v>63</v>
      </c>
      <c r="AT99" t="s">
        <v>63</v>
      </c>
      <c r="AU99" t="s">
        <v>63</v>
      </c>
      <c r="AV99" t="s">
        <v>63</v>
      </c>
      <c r="AW99" t="s">
        <v>63</v>
      </c>
      <c r="AX99" t="s">
        <v>63</v>
      </c>
      <c r="AY99" t="s">
        <v>63</v>
      </c>
      <c r="AZ99" t="s">
        <v>63</v>
      </c>
      <c r="BA99" t="s">
        <v>63</v>
      </c>
      <c r="BB99" t="s">
        <v>63</v>
      </c>
      <c r="BC99" t="s">
        <v>63</v>
      </c>
      <c r="BD99" t="s">
        <v>63</v>
      </c>
      <c r="BE99" t="s">
        <v>63</v>
      </c>
      <c r="BF99" t="s">
        <v>63</v>
      </c>
    </row>
    <row r="100" spans="1:58">
      <c r="A100" t="s">
        <v>58</v>
      </c>
      <c r="B100" t="s">
        <v>926</v>
      </c>
      <c r="C100" t="s">
        <v>927</v>
      </c>
      <c r="D100" t="s">
        <v>928</v>
      </c>
      <c r="E100" t="s">
        <v>63</v>
      </c>
      <c r="F100">
        <v>2007</v>
      </c>
      <c r="G100" t="s">
        <v>63</v>
      </c>
      <c r="H100">
        <v>19</v>
      </c>
      <c r="I100">
        <v>1</v>
      </c>
      <c r="J100">
        <v>47</v>
      </c>
      <c r="K100">
        <v>54</v>
      </c>
      <c r="L100" t="s">
        <v>929</v>
      </c>
      <c r="M100" t="s">
        <v>930</v>
      </c>
      <c r="N100" t="s">
        <v>931</v>
      </c>
      <c r="O100" t="s">
        <v>63</v>
      </c>
      <c r="Q100" t="s">
        <v>63</v>
      </c>
      <c r="R100" t="s">
        <v>63</v>
      </c>
      <c r="S100" t="s">
        <v>63</v>
      </c>
      <c r="T100" t="s">
        <v>63</v>
      </c>
      <c r="X100" t="s">
        <v>63</v>
      </c>
      <c r="Y100" t="s">
        <v>932</v>
      </c>
      <c r="Z100" t="s">
        <v>63</v>
      </c>
      <c r="AA100" t="s">
        <v>933</v>
      </c>
      <c r="AB100">
        <v>17330999</v>
      </c>
      <c r="AC100" t="s">
        <v>67</v>
      </c>
      <c r="AD100" t="s">
        <v>63</v>
      </c>
      <c r="AE100" t="s">
        <v>63</v>
      </c>
      <c r="AF100" t="s">
        <v>63</v>
      </c>
      <c r="AG100" t="s">
        <v>934</v>
      </c>
      <c r="AH100" t="s">
        <v>63</v>
      </c>
      <c r="AI100" t="s">
        <v>63</v>
      </c>
      <c r="AJ100" t="s">
        <v>63</v>
      </c>
      <c r="AK100" t="s">
        <v>63</v>
      </c>
      <c r="AL100" t="s">
        <v>63</v>
      </c>
      <c r="AM100" t="s">
        <v>935</v>
      </c>
      <c r="AN100" t="s">
        <v>63</v>
      </c>
      <c r="AO100" t="s">
        <v>63</v>
      </c>
      <c r="AP100" t="s">
        <v>63</v>
      </c>
      <c r="AQ100" t="s">
        <v>63</v>
      </c>
      <c r="AR100" t="s">
        <v>63</v>
      </c>
      <c r="AS100" t="s">
        <v>63</v>
      </c>
      <c r="AT100" t="s">
        <v>63</v>
      </c>
      <c r="AU100" t="s">
        <v>63</v>
      </c>
      <c r="AV100" t="s">
        <v>63</v>
      </c>
      <c r="AW100" t="s">
        <v>63</v>
      </c>
      <c r="AX100" t="s">
        <v>63</v>
      </c>
      <c r="AY100" t="s">
        <v>63</v>
      </c>
      <c r="AZ100" t="s">
        <v>63</v>
      </c>
      <c r="BA100" t="s">
        <v>63</v>
      </c>
      <c r="BB100" t="s">
        <v>63</v>
      </c>
      <c r="BC100" t="s">
        <v>63</v>
      </c>
      <c r="BD100" t="s">
        <v>63</v>
      </c>
      <c r="BE100" t="s">
        <v>63</v>
      </c>
      <c r="BF100" t="s">
        <v>63</v>
      </c>
    </row>
    <row r="101" spans="1:58">
      <c r="A101" t="s">
        <v>58</v>
      </c>
      <c r="B101" t="s">
        <v>936</v>
      </c>
      <c r="C101" t="s">
        <v>937</v>
      </c>
      <c r="D101" t="s">
        <v>938</v>
      </c>
      <c r="E101" t="s">
        <v>63</v>
      </c>
      <c r="F101">
        <v>2017</v>
      </c>
      <c r="G101" t="s">
        <v>198</v>
      </c>
      <c r="H101">
        <v>26</v>
      </c>
      <c r="I101">
        <v>1</v>
      </c>
      <c r="J101">
        <v>75</v>
      </c>
      <c r="K101">
        <v>79</v>
      </c>
      <c r="L101" t="s">
        <v>939</v>
      </c>
      <c r="M101" t="s">
        <v>940</v>
      </c>
      <c r="N101" t="s">
        <v>941</v>
      </c>
      <c r="O101" t="s">
        <v>63</v>
      </c>
      <c r="Q101" t="s">
        <v>63</v>
      </c>
      <c r="R101" t="s">
        <v>63</v>
      </c>
      <c r="S101" t="s">
        <v>63</v>
      </c>
      <c r="T101" t="s">
        <v>63</v>
      </c>
      <c r="X101" t="s">
        <v>63</v>
      </c>
      <c r="Y101" t="s">
        <v>942</v>
      </c>
      <c r="Z101" t="s">
        <v>63</v>
      </c>
      <c r="AA101" t="s">
        <v>943</v>
      </c>
      <c r="AB101">
        <v>27749984</v>
      </c>
      <c r="AC101" t="s">
        <v>67</v>
      </c>
      <c r="AD101" t="s">
        <v>63</v>
      </c>
      <c r="AE101" t="s">
        <v>63</v>
      </c>
      <c r="AF101" t="s">
        <v>63</v>
      </c>
      <c r="AG101" t="s">
        <v>944</v>
      </c>
      <c r="AH101" t="s">
        <v>63</v>
      </c>
      <c r="AI101" t="s">
        <v>945</v>
      </c>
      <c r="AJ101" t="s">
        <v>63</v>
      </c>
      <c r="AK101" t="s">
        <v>63</v>
      </c>
      <c r="AL101" t="s">
        <v>63</v>
      </c>
      <c r="AM101" t="s">
        <v>946</v>
      </c>
      <c r="AN101" t="s">
        <v>63</v>
      </c>
      <c r="AO101" t="s">
        <v>63</v>
      </c>
      <c r="AP101" t="s">
        <v>63</v>
      </c>
      <c r="AQ101" t="s">
        <v>63</v>
      </c>
      <c r="AR101" t="s">
        <v>63</v>
      </c>
      <c r="AS101" t="s">
        <v>63</v>
      </c>
      <c r="AT101" t="s">
        <v>63</v>
      </c>
      <c r="AU101" t="s">
        <v>63</v>
      </c>
      <c r="AV101" t="s">
        <v>63</v>
      </c>
      <c r="AW101" t="s">
        <v>63</v>
      </c>
      <c r="AX101" t="s">
        <v>63</v>
      </c>
      <c r="AY101" t="s">
        <v>63</v>
      </c>
      <c r="AZ101" t="s">
        <v>63</v>
      </c>
      <c r="BA101" t="s">
        <v>63</v>
      </c>
      <c r="BB101" t="s">
        <v>63</v>
      </c>
      <c r="BC101" t="s">
        <v>63</v>
      </c>
      <c r="BD101" t="s">
        <v>63</v>
      </c>
      <c r="BE101" t="s">
        <v>63</v>
      </c>
      <c r="BF101" t="s">
        <v>63</v>
      </c>
    </row>
    <row r="102" spans="1:58">
      <c r="A102" t="s">
        <v>58</v>
      </c>
      <c r="B102" t="s">
        <v>947</v>
      </c>
      <c r="C102" t="s">
        <v>948</v>
      </c>
      <c r="D102" t="s">
        <v>949</v>
      </c>
      <c r="E102" t="s">
        <v>950</v>
      </c>
      <c r="F102">
        <v>2015</v>
      </c>
      <c r="G102" t="s">
        <v>908</v>
      </c>
      <c r="H102">
        <v>23</v>
      </c>
      <c r="I102">
        <v>4</v>
      </c>
      <c r="J102">
        <v>296</v>
      </c>
      <c r="K102">
        <v>300</v>
      </c>
      <c r="L102" t="s">
        <v>951</v>
      </c>
      <c r="M102" t="s">
        <v>952</v>
      </c>
      <c r="N102" t="s">
        <v>953</v>
      </c>
      <c r="O102" t="s">
        <v>63</v>
      </c>
      <c r="Q102" t="s">
        <v>63</v>
      </c>
      <c r="R102" t="s">
        <v>63</v>
      </c>
      <c r="S102" t="s">
        <v>63</v>
      </c>
      <c r="T102" t="s">
        <v>63</v>
      </c>
      <c r="X102" t="s">
        <v>63</v>
      </c>
      <c r="Y102" t="s">
        <v>954</v>
      </c>
      <c r="Z102" t="s">
        <v>63</v>
      </c>
      <c r="AA102" t="s">
        <v>955</v>
      </c>
      <c r="AB102">
        <v>26146757</v>
      </c>
      <c r="AC102" t="s">
        <v>67</v>
      </c>
      <c r="AD102" t="s">
        <v>63</v>
      </c>
      <c r="AE102" t="s">
        <v>63</v>
      </c>
      <c r="AF102" t="s">
        <v>63</v>
      </c>
      <c r="AG102" t="s">
        <v>956</v>
      </c>
      <c r="AH102" t="s">
        <v>63</v>
      </c>
      <c r="AI102" t="s">
        <v>957</v>
      </c>
      <c r="AJ102" t="s">
        <v>63</v>
      </c>
      <c r="AK102" t="s">
        <v>63</v>
      </c>
      <c r="AL102" t="s">
        <v>63</v>
      </c>
      <c r="AM102" t="s">
        <v>958</v>
      </c>
      <c r="AN102" t="s">
        <v>63</v>
      </c>
      <c r="AO102" t="s">
        <v>63</v>
      </c>
      <c r="AP102" t="s">
        <v>63</v>
      </c>
      <c r="AQ102" t="s">
        <v>63</v>
      </c>
      <c r="AR102" t="s">
        <v>63</v>
      </c>
      <c r="AS102" t="s">
        <v>63</v>
      </c>
      <c r="AT102" t="s">
        <v>63</v>
      </c>
      <c r="AU102" t="s">
        <v>63</v>
      </c>
      <c r="AV102" t="s">
        <v>63</v>
      </c>
      <c r="AW102" t="s">
        <v>63</v>
      </c>
      <c r="AX102" t="s">
        <v>63</v>
      </c>
      <c r="AY102" t="s">
        <v>63</v>
      </c>
      <c r="AZ102" t="s">
        <v>63</v>
      </c>
      <c r="BA102" t="s">
        <v>63</v>
      </c>
      <c r="BB102" t="s">
        <v>63</v>
      </c>
      <c r="BC102" t="s">
        <v>63</v>
      </c>
      <c r="BD102" t="s">
        <v>63</v>
      </c>
      <c r="BE102" t="s">
        <v>63</v>
      </c>
      <c r="BF102" t="s">
        <v>63</v>
      </c>
    </row>
    <row r="103" spans="1:58">
      <c r="A103" t="s">
        <v>58</v>
      </c>
      <c r="B103" t="s">
        <v>959</v>
      </c>
      <c r="C103" t="s">
        <v>960</v>
      </c>
      <c r="D103" t="s">
        <v>680</v>
      </c>
      <c r="E103" t="s">
        <v>63</v>
      </c>
      <c r="F103">
        <v>2017</v>
      </c>
      <c r="G103" t="s">
        <v>63</v>
      </c>
      <c r="H103">
        <v>22</v>
      </c>
      <c r="I103">
        <v>1</v>
      </c>
      <c r="J103">
        <v>1392824</v>
      </c>
      <c r="K103" t="s">
        <v>63</v>
      </c>
      <c r="L103" t="s">
        <v>961</v>
      </c>
      <c r="M103" t="s">
        <v>962</v>
      </c>
      <c r="N103" t="s">
        <v>963</v>
      </c>
      <c r="O103" t="s">
        <v>63</v>
      </c>
      <c r="Q103" t="s">
        <v>63</v>
      </c>
      <c r="R103" t="s">
        <v>63</v>
      </c>
      <c r="S103" t="s">
        <v>63</v>
      </c>
      <c r="T103" t="s">
        <v>63</v>
      </c>
      <c r="X103" t="s">
        <v>63</v>
      </c>
      <c r="Y103" t="s">
        <v>683</v>
      </c>
      <c r="Z103" t="s">
        <v>63</v>
      </c>
      <c r="AA103" t="s">
        <v>964</v>
      </c>
      <c r="AB103">
        <v>29072119</v>
      </c>
      <c r="AC103" t="s">
        <v>67</v>
      </c>
      <c r="AD103" t="s">
        <v>63</v>
      </c>
      <c r="AE103" t="s">
        <v>63</v>
      </c>
      <c r="AF103" t="s">
        <v>63</v>
      </c>
      <c r="AG103" t="s">
        <v>965</v>
      </c>
      <c r="AH103" t="s">
        <v>63</v>
      </c>
      <c r="AI103" t="s">
        <v>966</v>
      </c>
      <c r="AJ103" t="s">
        <v>63</v>
      </c>
      <c r="AK103" t="s">
        <v>63</v>
      </c>
      <c r="AL103" t="s">
        <v>63</v>
      </c>
      <c r="AM103" t="s">
        <v>967</v>
      </c>
      <c r="AN103" t="s">
        <v>63</v>
      </c>
      <c r="AO103" t="s">
        <v>63</v>
      </c>
      <c r="AP103" t="s">
        <v>63</v>
      </c>
      <c r="AQ103" t="s">
        <v>63</v>
      </c>
      <c r="AR103" t="s">
        <v>63</v>
      </c>
      <c r="AS103" t="s">
        <v>63</v>
      </c>
      <c r="AT103" t="s">
        <v>63</v>
      </c>
      <c r="AU103" t="s">
        <v>63</v>
      </c>
      <c r="AV103" t="s">
        <v>63</v>
      </c>
      <c r="AW103" t="s">
        <v>63</v>
      </c>
      <c r="AX103" t="s">
        <v>63</v>
      </c>
      <c r="AY103" t="s">
        <v>63</v>
      </c>
      <c r="AZ103" t="s">
        <v>63</v>
      </c>
      <c r="BA103" t="s">
        <v>63</v>
      </c>
      <c r="BB103" t="s">
        <v>63</v>
      </c>
      <c r="BC103" t="s">
        <v>63</v>
      </c>
      <c r="BD103" t="s">
        <v>63</v>
      </c>
      <c r="BE103" t="s">
        <v>63</v>
      </c>
      <c r="BF103" t="s">
        <v>63</v>
      </c>
    </row>
    <row r="104" spans="1:58">
      <c r="A104" t="s">
        <v>58</v>
      </c>
      <c r="B104" t="s">
        <v>968</v>
      </c>
      <c r="C104" t="s">
        <v>969</v>
      </c>
      <c r="D104" t="s">
        <v>970</v>
      </c>
      <c r="E104" t="s">
        <v>63</v>
      </c>
      <c r="F104">
        <v>2016</v>
      </c>
      <c r="G104" t="s">
        <v>63</v>
      </c>
      <c r="H104">
        <v>11</v>
      </c>
      <c r="I104">
        <v>11</v>
      </c>
      <c r="J104" t="s">
        <v>971</v>
      </c>
      <c r="K104" t="s">
        <v>63</v>
      </c>
      <c r="L104" t="s">
        <v>972</v>
      </c>
      <c r="M104" t="s">
        <v>973</v>
      </c>
      <c r="N104" t="s">
        <v>974</v>
      </c>
      <c r="O104" t="s">
        <v>63</v>
      </c>
      <c r="Q104" t="s">
        <v>63</v>
      </c>
      <c r="R104" t="s">
        <v>63</v>
      </c>
      <c r="S104" t="s">
        <v>63</v>
      </c>
      <c r="T104" t="s">
        <v>63</v>
      </c>
      <c r="X104" t="s">
        <v>63</v>
      </c>
      <c r="Y104" t="s">
        <v>975</v>
      </c>
      <c r="Z104" t="s">
        <v>63</v>
      </c>
      <c r="AA104" t="s">
        <v>976</v>
      </c>
      <c r="AB104">
        <v>27824872</v>
      </c>
      <c r="AC104" t="s">
        <v>67</v>
      </c>
      <c r="AD104" t="s">
        <v>63</v>
      </c>
      <c r="AE104" t="s">
        <v>63</v>
      </c>
      <c r="AF104" t="s">
        <v>63</v>
      </c>
      <c r="AG104" t="s">
        <v>977</v>
      </c>
      <c r="AH104" t="s">
        <v>63</v>
      </c>
      <c r="AI104" t="s">
        <v>978</v>
      </c>
      <c r="AJ104" t="s">
        <v>63</v>
      </c>
      <c r="AK104" t="s">
        <v>63</v>
      </c>
      <c r="AL104" t="s">
        <v>63</v>
      </c>
      <c r="AM104" t="s">
        <v>979</v>
      </c>
      <c r="AN104" t="s">
        <v>63</v>
      </c>
      <c r="AO104" t="s">
        <v>63</v>
      </c>
      <c r="AP104" t="s">
        <v>63</v>
      </c>
      <c r="AQ104" t="s">
        <v>63</v>
      </c>
      <c r="AR104" t="s">
        <v>63</v>
      </c>
      <c r="AS104" t="s">
        <v>63</v>
      </c>
      <c r="AT104" t="s">
        <v>63</v>
      </c>
      <c r="AU104" t="s">
        <v>63</v>
      </c>
      <c r="AV104" t="s">
        <v>63</v>
      </c>
      <c r="AW104" t="s">
        <v>63</v>
      </c>
      <c r="AX104" t="s">
        <v>63</v>
      </c>
      <c r="AY104" t="s">
        <v>63</v>
      </c>
      <c r="AZ104" t="s">
        <v>63</v>
      </c>
      <c r="BA104" t="s">
        <v>63</v>
      </c>
      <c r="BB104" t="s">
        <v>63</v>
      </c>
      <c r="BC104" t="s">
        <v>63</v>
      </c>
      <c r="BD104" t="s">
        <v>63</v>
      </c>
      <c r="BE104" t="s">
        <v>63</v>
      </c>
      <c r="BF104" t="s">
        <v>63</v>
      </c>
    </row>
    <row r="105" spans="1:58">
      <c r="A105" t="s">
        <v>58</v>
      </c>
      <c r="B105" t="s">
        <v>980</v>
      </c>
      <c r="C105" t="s">
        <v>981</v>
      </c>
      <c r="D105" t="s">
        <v>389</v>
      </c>
      <c r="E105" t="s">
        <v>63</v>
      </c>
      <c r="F105">
        <v>2017</v>
      </c>
      <c r="G105" t="s">
        <v>982</v>
      </c>
      <c r="H105">
        <v>38</v>
      </c>
      <c r="I105">
        <v>4</v>
      </c>
      <c r="J105">
        <v>483</v>
      </c>
      <c r="K105">
        <v>487</v>
      </c>
      <c r="L105" t="s">
        <v>63</v>
      </c>
      <c r="M105" t="s">
        <v>983</v>
      </c>
      <c r="N105" t="s">
        <v>984</v>
      </c>
      <c r="O105" t="s">
        <v>63</v>
      </c>
      <c r="Q105" t="s">
        <v>63</v>
      </c>
      <c r="R105" t="s">
        <v>63</v>
      </c>
      <c r="S105" t="s">
        <v>63</v>
      </c>
      <c r="T105" t="s">
        <v>63</v>
      </c>
      <c r="X105" t="s">
        <v>63</v>
      </c>
      <c r="Y105" t="s">
        <v>556</v>
      </c>
      <c r="Z105" t="s">
        <v>63</v>
      </c>
      <c r="AA105" t="s">
        <v>985</v>
      </c>
      <c r="AB105">
        <v>28718723</v>
      </c>
      <c r="AC105" t="s">
        <v>67</v>
      </c>
      <c r="AD105" t="s">
        <v>63</v>
      </c>
      <c r="AE105" t="s">
        <v>63</v>
      </c>
      <c r="AF105" t="s">
        <v>63</v>
      </c>
      <c r="AG105" t="s">
        <v>986</v>
      </c>
      <c r="AH105" t="s">
        <v>63</v>
      </c>
      <c r="AI105" t="s">
        <v>987</v>
      </c>
      <c r="AJ105" t="s">
        <v>63</v>
      </c>
      <c r="AK105" t="s">
        <v>63</v>
      </c>
      <c r="AL105" t="s">
        <v>63</v>
      </c>
      <c r="AM105" t="s">
        <v>988</v>
      </c>
      <c r="AN105" t="s">
        <v>63</v>
      </c>
      <c r="AO105" t="s">
        <v>63</v>
      </c>
      <c r="AP105" t="s">
        <v>63</v>
      </c>
      <c r="AQ105" t="s">
        <v>63</v>
      </c>
      <c r="AR105" t="s">
        <v>63</v>
      </c>
      <c r="AS105" t="s">
        <v>63</v>
      </c>
      <c r="AT105" t="s">
        <v>63</v>
      </c>
      <c r="AU105" t="s">
        <v>63</v>
      </c>
      <c r="AV105" t="s">
        <v>63</v>
      </c>
      <c r="AW105" t="s">
        <v>63</v>
      </c>
      <c r="AX105" t="s">
        <v>63</v>
      </c>
      <c r="AY105" t="s">
        <v>63</v>
      </c>
      <c r="AZ105" t="s">
        <v>63</v>
      </c>
      <c r="BA105" t="s">
        <v>63</v>
      </c>
      <c r="BB105" t="s">
        <v>63</v>
      </c>
      <c r="BC105" t="s">
        <v>63</v>
      </c>
      <c r="BD105" t="s">
        <v>63</v>
      </c>
      <c r="BE105" t="s">
        <v>63</v>
      </c>
      <c r="BF105" t="s">
        <v>63</v>
      </c>
    </row>
    <row r="106" spans="1:58">
      <c r="A106" t="s">
        <v>58</v>
      </c>
      <c r="B106" t="s">
        <v>989</v>
      </c>
      <c r="C106" t="s">
        <v>990</v>
      </c>
      <c r="D106" t="s">
        <v>991</v>
      </c>
      <c r="E106" t="s">
        <v>992</v>
      </c>
      <c r="F106">
        <v>2015</v>
      </c>
      <c r="G106" t="s">
        <v>63</v>
      </c>
      <c r="H106">
        <v>21</v>
      </c>
      <c r="I106">
        <v>5</v>
      </c>
      <c r="J106">
        <v>223</v>
      </c>
      <c r="K106">
        <v>239</v>
      </c>
      <c r="L106" t="s">
        <v>993</v>
      </c>
      <c r="M106" t="s">
        <v>994</v>
      </c>
      <c r="N106" t="s">
        <v>995</v>
      </c>
      <c r="O106" t="s">
        <v>63</v>
      </c>
      <c r="Q106" t="s">
        <v>63</v>
      </c>
      <c r="R106" t="s">
        <v>63</v>
      </c>
      <c r="S106" t="s">
        <v>63</v>
      </c>
      <c r="T106" t="s">
        <v>63</v>
      </c>
      <c r="X106" t="s">
        <v>63</v>
      </c>
      <c r="Y106" t="s">
        <v>996</v>
      </c>
      <c r="Z106" t="s">
        <v>63</v>
      </c>
      <c r="AA106" t="s">
        <v>997</v>
      </c>
      <c r="AB106">
        <v>25966903</v>
      </c>
      <c r="AC106" t="s">
        <v>67</v>
      </c>
      <c r="AD106" t="s">
        <v>63</v>
      </c>
      <c r="AE106" t="s">
        <v>63</v>
      </c>
      <c r="AF106" t="s">
        <v>63</v>
      </c>
      <c r="AG106" t="s">
        <v>998</v>
      </c>
      <c r="AH106" t="s">
        <v>63</v>
      </c>
      <c r="AI106" t="s">
        <v>999</v>
      </c>
      <c r="AJ106" t="s">
        <v>63</v>
      </c>
      <c r="AK106" t="s">
        <v>63</v>
      </c>
      <c r="AL106" t="s">
        <v>63</v>
      </c>
      <c r="AM106" t="s">
        <v>1000</v>
      </c>
      <c r="AN106" t="s">
        <v>63</v>
      </c>
      <c r="AO106" t="s">
        <v>63</v>
      </c>
      <c r="AP106" t="s">
        <v>63</v>
      </c>
      <c r="AQ106" t="s">
        <v>63</v>
      </c>
      <c r="AR106" t="s">
        <v>63</v>
      </c>
      <c r="AS106" t="s">
        <v>63</v>
      </c>
      <c r="AT106" t="s">
        <v>63</v>
      </c>
      <c r="AU106" t="s">
        <v>63</v>
      </c>
      <c r="AV106" t="s">
        <v>63</v>
      </c>
      <c r="AW106" t="s">
        <v>63</v>
      </c>
      <c r="AX106" t="s">
        <v>63</v>
      </c>
      <c r="AY106" t="s">
        <v>63</v>
      </c>
      <c r="AZ106" t="s">
        <v>63</v>
      </c>
      <c r="BA106" t="s">
        <v>63</v>
      </c>
      <c r="BB106" t="s">
        <v>63</v>
      </c>
      <c r="BC106" t="s">
        <v>63</v>
      </c>
      <c r="BD106" t="s">
        <v>63</v>
      </c>
      <c r="BE106" t="s">
        <v>63</v>
      </c>
      <c r="BF106" t="s">
        <v>63</v>
      </c>
    </row>
    <row r="107" spans="1:58">
      <c r="A107" t="s">
        <v>58</v>
      </c>
      <c r="B107" t="s">
        <v>1001</v>
      </c>
      <c r="C107" t="s">
        <v>1002</v>
      </c>
      <c r="D107" t="s">
        <v>212</v>
      </c>
      <c r="E107" t="s">
        <v>63</v>
      </c>
      <c r="F107">
        <v>1990</v>
      </c>
      <c r="G107" s="1">
        <v>41957</v>
      </c>
      <c r="H107">
        <v>143</v>
      </c>
      <c r="I107">
        <v>10</v>
      </c>
      <c r="J107">
        <v>1070</v>
      </c>
      <c r="K107">
        <v>1076</v>
      </c>
      <c r="L107" t="s">
        <v>1003</v>
      </c>
      <c r="M107" t="s">
        <v>1004</v>
      </c>
      <c r="N107" t="s">
        <v>1005</v>
      </c>
      <c r="O107" t="s">
        <v>63</v>
      </c>
      <c r="Q107" t="s">
        <v>63</v>
      </c>
      <c r="R107" t="s">
        <v>63</v>
      </c>
      <c r="S107" t="s">
        <v>63</v>
      </c>
      <c r="T107" t="s">
        <v>63</v>
      </c>
      <c r="X107" t="s">
        <v>63</v>
      </c>
      <c r="Y107" t="s">
        <v>215</v>
      </c>
      <c r="Z107" t="s">
        <v>63</v>
      </c>
      <c r="AA107" t="s">
        <v>1006</v>
      </c>
      <c r="AB107">
        <v>2224675</v>
      </c>
      <c r="AC107" t="s">
        <v>67</v>
      </c>
      <c r="AD107" t="s">
        <v>63</v>
      </c>
      <c r="AE107" t="s">
        <v>63</v>
      </c>
      <c r="AF107" t="s">
        <v>63</v>
      </c>
      <c r="AG107" t="s">
        <v>1007</v>
      </c>
      <c r="AH107" t="s">
        <v>63</v>
      </c>
      <c r="AI107" t="s">
        <v>63</v>
      </c>
      <c r="AJ107" t="s">
        <v>63</v>
      </c>
      <c r="AK107" t="s">
        <v>63</v>
      </c>
      <c r="AL107" t="s">
        <v>63</v>
      </c>
      <c r="AM107" t="s">
        <v>1008</v>
      </c>
      <c r="AN107" t="s">
        <v>63</v>
      </c>
      <c r="AO107" t="s">
        <v>63</v>
      </c>
      <c r="AP107" t="s">
        <v>63</v>
      </c>
      <c r="AQ107" t="s">
        <v>63</v>
      </c>
      <c r="AR107" t="s">
        <v>63</v>
      </c>
      <c r="AS107" t="s">
        <v>63</v>
      </c>
      <c r="AT107" t="s">
        <v>63</v>
      </c>
      <c r="AU107" t="s">
        <v>63</v>
      </c>
      <c r="AV107" t="s">
        <v>63</v>
      </c>
      <c r="AW107" t="s">
        <v>63</v>
      </c>
      <c r="AX107" t="s">
        <v>63</v>
      </c>
      <c r="AY107" t="s">
        <v>63</v>
      </c>
      <c r="AZ107" t="s">
        <v>63</v>
      </c>
      <c r="BA107" t="s">
        <v>63</v>
      </c>
      <c r="BB107" t="s">
        <v>63</v>
      </c>
      <c r="BC107" t="s">
        <v>63</v>
      </c>
      <c r="BD107" t="s">
        <v>63</v>
      </c>
      <c r="BE107" t="s">
        <v>63</v>
      </c>
      <c r="BF107" t="s">
        <v>63</v>
      </c>
    </row>
    <row r="108" spans="1:58">
      <c r="A108" t="s">
        <v>58</v>
      </c>
      <c r="B108" t="s">
        <v>1009</v>
      </c>
      <c r="C108" t="s">
        <v>1010</v>
      </c>
      <c r="D108" t="s">
        <v>389</v>
      </c>
      <c r="E108" t="s">
        <v>63</v>
      </c>
      <c r="F108">
        <v>2004</v>
      </c>
      <c r="G108" t="s">
        <v>274</v>
      </c>
      <c r="H108">
        <v>25</v>
      </c>
      <c r="I108">
        <v>1</v>
      </c>
      <c r="J108">
        <v>17</v>
      </c>
      <c r="K108">
        <v>26</v>
      </c>
      <c r="L108" t="s">
        <v>1011</v>
      </c>
      <c r="M108" t="s">
        <v>1012</v>
      </c>
      <c r="N108" t="s">
        <v>1013</v>
      </c>
      <c r="O108" t="s">
        <v>63</v>
      </c>
      <c r="Q108" t="s">
        <v>63</v>
      </c>
      <c r="R108" t="s">
        <v>63</v>
      </c>
      <c r="S108" t="s">
        <v>63</v>
      </c>
      <c r="T108" t="s">
        <v>63</v>
      </c>
      <c r="X108" t="s">
        <v>63</v>
      </c>
      <c r="Y108" t="s">
        <v>392</v>
      </c>
      <c r="Z108" t="s">
        <v>63</v>
      </c>
      <c r="AA108" t="s">
        <v>1014</v>
      </c>
      <c r="AB108">
        <v>15201108</v>
      </c>
      <c r="AC108" t="s">
        <v>67</v>
      </c>
      <c r="AD108" t="s">
        <v>63</v>
      </c>
      <c r="AE108" t="s">
        <v>63</v>
      </c>
      <c r="AF108" t="s">
        <v>63</v>
      </c>
      <c r="AG108" t="s">
        <v>1015</v>
      </c>
      <c r="AH108" t="s">
        <v>63</v>
      </c>
      <c r="AI108" t="s">
        <v>63</v>
      </c>
      <c r="AJ108" t="s">
        <v>63</v>
      </c>
      <c r="AK108" t="s">
        <v>63</v>
      </c>
      <c r="AL108" t="s">
        <v>63</v>
      </c>
      <c r="AM108" t="s">
        <v>1016</v>
      </c>
      <c r="AN108" t="s">
        <v>63</v>
      </c>
      <c r="AO108" t="s">
        <v>63</v>
      </c>
      <c r="AP108" t="s">
        <v>63</v>
      </c>
      <c r="AQ108" t="s">
        <v>63</v>
      </c>
      <c r="AR108" t="s">
        <v>63</v>
      </c>
      <c r="AS108" t="s">
        <v>63</v>
      </c>
      <c r="AT108" t="s">
        <v>63</v>
      </c>
      <c r="AU108" t="s">
        <v>63</v>
      </c>
      <c r="AV108" t="s">
        <v>63</v>
      </c>
      <c r="AW108" t="s">
        <v>63</v>
      </c>
      <c r="AX108" t="s">
        <v>63</v>
      </c>
      <c r="AY108" t="s">
        <v>63</v>
      </c>
      <c r="AZ108" t="s">
        <v>63</v>
      </c>
      <c r="BA108" t="s">
        <v>63</v>
      </c>
      <c r="BB108" t="s">
        <v>63</v>
      </c>
      <c r="BC108" t="s">
        <v>63</v>
      </c>
      <c r="BD108" t="s">
        <v>63</v>
      </c>
      <c r="BE108" t="s">
        <v>63</v>
      </c>
      <c r="BF108" t="s">
        <v>63</v>
      </c>
    </row>
    <row r="109" spans="1:58">
      <c r="A109" t="s">
        <v>58</v>
      </c>
      <c r="B109" t="s">
        <v>1017</v>
      </c>
      <c r="C109" t="s">
        <v>1018</v>
      </c>
      <c r="D109" t="s">
        <v>1019</v>
      </c>
      <c r="E109" t="s">
        <v>1020</v>
      </c>
      <c r="F109">
        <v>1954</v>
      </c>
      <c r="G109" t="s">
        <v>1021</v>
      </c>
      <c r="H109">
        <v>68</v>
      </c>
      <c r="I109" t="s">
        <v>1022</v>
      </c>
      <c r="J109">
        <v>157</v>
      </c>
      <c r="K109">
        <v>161</v>
      </c>
      <c r="L109" t="s">
        <v>1023</v>
      </c>
      <c r="M109" t="s">
        <v>63</v>
      </c>
      <c r="N109" t="s">
        <v>1024</v>
      </c>
      <c r="O109" t="s">
        <v>63</v>
      </c>
      <c r="Q109" t="s">
        <v>63</v>
      </c>
      <c r="R109" t="s">
        <v>63</v>
      </c>
      <c r="S109" t="s">
        <v>63</v>
      </c>
      <c r="T109" t="s">
        <v>63</v>
      </c>
      <c r="X109" t="s">
        <v>63</v>
      </c>
      <c r="Y109" s="2">
        <v>1068791</v>
      </c>
      <c r="Z109" t="s">
        <v>63</v>
      </c>
      <c r="AA109" t="s">
        <v>63</v>
      </c>
      <c r="AB109">
        <v>13204688</v>
      </c>
      <c r="AC109" t="s">
        <v>913</v>
      </c>
      <c r="AD109" t="s">
        <v>63</v>
      </c>
      <c r="AE109" t="s">
        <v>63</v>
      </c>
      <c r="AF109" t="s">
        <v>63</v>
      </c>
      <c r="AG109" t="s">
        <v>1025</v>
      </c>
      <c r="AH109" t="s">
        <v>63</v>
      </c>
      <c r="AI109" t="s">
        <v>63</v>
      </c>
      <c r="AJ109" t="s">
        <v>63</v>
      </c>
      <c r="AK109" t="s">
        <v>63</v>
      </c>
      <c r="AL109" t="s">
        <v>63</v>
      </c>
      <c r="AM109" t="s">
        <v>1026</v>
      </c>
      <c r="AN109" t="s">
        <v>63</v>
      </c>
      <c r="AO109" t="s">
        <v>63</v>
      </c>
      <c r="AP109" t="s">
        <v>63</v>
      </c>
      <c r="AQ109" t="s">
        <v>63</v>
      </c>
      <c r="AR109" t="s">
        <v>63</v>
      </c>
      <c r="AS109" t="s">
        <v>63</v>
      </c>
      <c r="AT109" t="s">
        <v>63</v>
      </c>
      <c r="AU109" t="s">
        <v>63</v>
      </c>
      <c r="AV109" t="s">
        <v>63</v>
      </c>
      <c r="AW109" t="s">
        <v>63</v>
      </c>
      <c r="AX109" t="s">
        <v>63</v>
      </c>
      <c r="AY109" t="s">
        <v>63</v>
      </c>
      <c r="AZ109" t="s">
        <v>63</v>
      </c>
      <c r="BA109" t="s">
        <v>63</v>
      </c>
      <c r="BB109" t="s">
        <v>63</v>
      </c>
      <c r="BC109" t="s">
        <v>63</v>
      </c>
      <c r="BD109" t="s">
        <v>63</v>
      </c>
      <c r="BE109" t="s">
        <v>63</v>
      </c>
      <c r="BF109" t="s">
        <v>63</v>
      </c>
    </row>
    <row r="110" spans="1:58">
      <c r="A110" t="s">
        <v>58</v>
      </c>
      <c r="B110" t="s">
        <v>1027</v>
      </c>
      <c r="C110" t="s">
        <v>1028</v>
      </c>
      <c r="D110" t="s">
        <v>389</v>
      </c>
      <c r="E110" t="s">
        <v>63</v>
      </c>
      <c r="F110">
        <v>2004</v>
      </c>
      <c r="G110" t="s">
        <v>181</v>
      </c>
      <c r="H110">
        <v>25</v>
      </c>
      <c r="I110">
        <v>3</v>
      </c>
      <c r="J110">
        <v>33</v>
      </c>
      <c r="K110">
        <v>37</v>
      </c>
      <c r="L110" t="s">
        <v>1029</v>
      </c>
      <c r="M110" t="s">
        <v>63</v>
      </c>
      <c r="N110" t="s">
        <v>1030</v>
      </c>
      <c r="O110" t="s">
        <v>63</v>
      </c>
      <c r="Q110" t="s">
        <v>63</v>
      </c>
      <c r="R110" t="s">
        <v>63</v>
      </c>
      <c r="S110" t="s">
        <v>63</v>
      </c>
      <c r="T110" t="s">
        <v>63</v>
      </c>
      <c r="X110" t="s">
        <v>63</v>
      </c>
      <c r="Y110" t="s">
        <v>392</v>
      </c>
      <c r="Z110" t="s">
        <v>63</v>
      </c>
      <c r="AA110" t="s">
        <v>1031</v>
      </c>
      <c r="AB110">
        <v>16150679</v>
      </c>
      <c r="AC110" t="s">
        <v>67</v>
      </c>
      <c r="AD110" t="s">
        <v>63</v>
      </c>
      <c r="AE110" t="s">
        <v>63</v>
      </c>
      <c r="AF110" t="s">
        <v>63</v>
      </c>
      <c r="AG110" t="s">
        <v>1032</v>
      </c>
      <c r="AH110" t="s">
        <v>63</v>
      </c>
      <c r="AI110" t="s">
        <v>63</v>
      </c>
      <c r="AJ110" t="s">
        <v>63</v>
      </c>
      <c r="AK110" t="s">
        <v>63</v>
      </c>
      <c r="AL110" t="s">
        <v>63</v>
      </c>
      <c r="AM110" t="s">
        <v>1033</v>
      </c>
      <c r="AN110" t="s">
        <v>63</v>
      </c>
      <c r="AO110" t="s">
        <v>63</v>
      </c>
      <c r="AP110" t="s">
        <v>63</v>
      </c>
      <c r="AQ110" t="s">
        <v>63</v>
      </c>
      <c r="AR110" t="s">
        <v>63</v>
      </c>
      <c r="AS110" t="s">
        <v>63</v>
      </c>
      <c r="AT110" t="s">
        <v>63</v>
      </c>
      <c r="AU110" t="s">
        <v>63</v>
      </c>
      <c r="AV110" t="s">
        <v>63</v>
      </c>
      <c r="AW110" t="s">
        <v>63</v>
      </c>
      <c r="AX110" t="s">
        <v>63</v>
      </c>
      <c r="AY110" t="s">
        <v>63</v>
      </c>
      <c r="AZ110" t="s">
        <v>63</v>
      </c>
      <c r="BA110" t="s">
        <v>63</v>
      </c>
      <c r="BB110" t="s">
        <v>63</v>
      </c>
      <c r="BC110" t="s">
        <v>63</v>
      </c>
      <c r="BD110" t="s">
        <v>63</v>
      </c>
      <c r="BE110" t="s">
        <v>63</v>
      </c>
      <c r="BF110" t="s">
        <v>63</v>
      </c>
    </row>
    <row r="111" spans="1:58">
      <c r="A111" t="s">
        <v>58</v>
      </c>
      <c r="B111" t="s">
        <v>1034</v>
      </c>
      <c r="C111" t="s">
        <v>1035</v>
      </c>
      <c r="D111" t="s">
        <v>1036</v>
      </c>
      <c r="E111" t="s">
        <v>63</v>
      </c>
      <c r="F111">
        <v>2009</v>
      </c>
      <c r="G111" t="s">
        <v>157</v>
      </c>
      <c r="H111">
        <v>50</v>
      </c>
      <c r="I111">
        <v>4</v>
      </c>
      <c r="J111">
        <v>241</v>
      </c>
      <c r="K111">
        <v>245</v>
      </c>
      <c r="L111" t="s">
        <v>1037</v>
      </c>
      <c r="M111" t="s">
        <v>1038</v>
      </c>
      <c r="N111" t="s">
        <v>1039</v>
      </c>
      <c r="O111" t="s">
        <v>63</v>
      </c>
      <c r="Q111" t="s">
        <v>63</v>
      </c>
      <c r="R111" t="s">
        <v>63</v>
      </c>
      <c r="S111" t="s">
        <v>63</v>
      </c>
      <c r="T111" t="s">
        <v>63</v>
      </c>
      <c r="X111" t="s">
        <v>63</v>
      </c>
      <c r="Y111" t="s">
        <v>1040</v>
      </c>
      <c r="Z111" t="s">
        <v>63</v>
      </c>
      <c r="AA111" t="s">
        <v>1041</v>
      </c>
      <c r="AB111">
        <v>20812521</v>
      </c>
      <c r="AC111" t="s">
        <v>67</v>
      </c>
      <c r="AD111" t="s">
        <v>63</v>
      </c>
      <c r="AE111" t="s">
        <v>63</v>
      </c>
      <c r="AF111" t="s">
        <v>63</v>
      </c>
      <c r="AG111" t="s">
        <v>1042</v>
      </c>
      <c r="AH111" t="s">
        <v>63</v>
      </c>
      <c r="AI111" t="s">
        <v>63</v>
      </c>
      <c r="AJ111" t="s">
        <v>63</v>
      </c>
      <c r="AK111" t="s">
        <v>63</v>
      </c>
      <c r="AL111" t="s">
        <v>63</v>
      </c>
      <c r="AM111" t="s">
        <v>1043</v>
      </c>
      <c r="AN111" t="s">
        <v>63</v>
      </c>
      <c r="AO111" t="s">
        <v>63</v>
      </c>
      <c r="AP111" t="s">
        <v>63</v>
      </c>
      <c r="AQ111" t="s">
        <v>63</v>
      </c>
      <c r="AR111" t="s">
        <v>63</v>
      </c>
      <c r="AS111" t="s">
        <v>63</v>
      </c>
      <c r="AT111" t="s">
        <v>63</v>
      </c>
      <c r="AU111" t="s">
        <v>63</v>
      </c>
      <c r="AV111" t="s">
        <v>63</v>
      </c>
      <c r="AW111" t="s">
        <v>63</v>
      </c>
      <c r="AX111" t="s">
        <v>63</v>
      </c>
      <c r="AY111" t="s">
        <v>63</v>
      </c>
      <c r="AZ111" t="s">
        <v>63</v>
      </c>
      <c r="BA111" t="s">
        <v>63</v>
      </c>
      <c r="BB111" t="s">
        <v>63</v>
      </c>
      <c r="BC111" t="s">
        <v>63</v>
      </c>
      <c r="BD111" t="s">
        <v>63</v>
      </c>
      <c r="BE111" t="s">
        <v>63</v>
      </c>
      <c r="BF111" t="s">
        <v>63</v>
      </c>
    </row>
    <row r="112" spans="1:58">
      <c r="A112" t="s">
        <v>58</v>
      </c>
      <c r="B112" t="s">
        <v>1044</v>
      </c>
      <c r="C112" t="s">
        <v>1045</v>
      </c>
      <c r="D112" t="s">
        <v>574</v>
      </c>
      <c r="E112" t="s">
        <v>63</v>
      </c>
      <c r="F112">
        <v>2010</v>
      </c>
      <c r="G112" t="s">
        <v>157</v>
      </c>
      <c r="H112">
        <v>11</v>
      </c>
      <c r="I112">
        <v>12</v>
      </c>
      <c r="J112">
        <v>1803</v>
      </c>
      <c r="K112">
        <v>1818</v>
      </c>
      <c r="L112" t="s">
        <v>1046</v>
      </c>
      <c r="M112" t="s">
        <v>1047</v>
      </c>
      <c r="N112" t="s">
        <v>1048</v>
      </c>
      <c r="O112" t="s">
        <v>63</v>
      </c>
      <c r="Q112" t="s">
        <v>63</v>
      </c>
      <c r="R112" t="s">
        <v>63</v>
      </c>
      <c r="S112" t="s">
        <v>63</v>
      </c>
      <c r="T112" t="s">
        <v>63</v>
      </c>
      <c r="X112" t="s">
        <v>63</v>
      </c>
      <c r="Y112" t="s">
        <v>578</v>
      </c>
      <c r="Z112" t="s">
        <v>63</v>
      </c>
      <c r="AA112" t="s">
        <v>1049</v>
      </c>
      <c r="AB112">
        <v>21040437</v>
      </c>
      <c r="AC112" t="s">
        <v>67</v>
      </c>
      <c r="AD112" t="s">
        <v>63</v>
      </c>
      <c r="AE112" t="s">
        <v>63</v>
      </c>
      <c r="AF112" t="s">
        <v>63</v>
      </c>
      <c r="AG112" t="s">
        <v>1050</v>
      </c>
      <c r="AH112" t="s">
        <v>63</v>
      </c>
      <c r="AI112" t="s">
        <v>1051</v>
      </c>
      <c r="AJ112" t="s">
        <v>63</v>
      </c>
      <c r="AK112" t="s">
        <v>63</v>
      </c>
      <c r="AL112" t="s">
        <v>63</v>
      </c>
      <c r="AM112" t="s">
        <v>1052</v>
      </c>
      <c r="AN112" t="s">
        <v>63</v>
      </c>
      <c r="AO112" t="s">
        <v>63</v>
      </c>
      <c r="AP112" t="s">
        <v>63</v>
      </c>
      <c r="AQ112" t="s">
        <v>63</v>
      </c>
      <c r="AR112" t="s">
        <v>63</v>
      </c>
      <c r="AS112" t="s">
        <v>63</v>
      </c>
      <c r="AT112" t="s">
        <v>63</v>
      </c>
      <c r="AU112" t="s">
        <v>63</v>
      </c>
      <c r="AV112" t="s">
        <v>63</v>
      </c>
      <c r="AW112" t="s">
        <v>63</v>
      </c>
      <c r="AX112" t="s">
        <v>63</v>
      </c>
      <c r="AY112" t="s">
        <v>63</v>
      </c>
      <c r="AZ112" t="s">
        <v>63</v>
      </c>
      <c r="BA112" t="s">
        <v>63</v>
      </c>
      <c r="BB112" t="s">
        <v>63</v>
      </c>
      <c r="BC112" t="s">
        <v>63</v>
      </c>
      <c r="BD112" t="s">
        <v>63</v>
      </c>
      <c r="BE112" t="s">
        <v>63</v>
      </c>
      <c r="BF112" t="s">
        <v>63</v>
      </c>
    </row>
    <row r="113" spans="1:58">
      <c r="A113" t="s">
        <v>58</v>
      </c>
      <c r="B113" t="s">
        <v>1053</v>
      </c>
      <c r="C113" t="s">
        <v>1054</v>
      </c>
      <c r="D113" t="s">
        <v>1055</v>
      </c>
      <c r="E113" t="s">
        <v>1056</v>
      </c>
      <c r="F113">
        <v>2005</v>
      </c>
      <c r="G113" t="s">
        <v>189</v>
      </c>
      <c r="H113">
        <v>39</v>
      </c>
      <c r="I113">
        <v>5</v>
      </c>
      <c r="J113">
        <v>508</v>
      </c>
      <c r="K113" t="s">
        <v>63</v>
      </c>
      <c r="L113" t="s">
        <v>1057</v>
      </c>
      <c r="M113" t="s">
        <v>63</v>
      </c>
      <c r="N113" t="s">
        <v>1058</v>
      </c>
      <c r="O113" t="s">
        <v>63</v>
      </c>
      <c r="Q113" t="s">
        <v>63</v>
      </c>
      <c r="R113" t="s">
        <v>63</v>
      </c>
      <c r="S113" t="s">
        <v>63</v>
      </c>
      <c r="T113" t="s">
        <v>63</v>
      </c>
      <c r="X113" t="s">
        <v>63</v>
      </c>
      <c r="Y113" t="s">
        <v>1059</v>
      </c>
      <c r="Z113" t="s">
        <v>63</v>
      </c>
      <c r="AA113" t="s">
        <v>1060</v>
      </c>
      <c r="AB113">
        <v>15842688</v>
      </c>
      <c r="AC113" t="s">
        <v>67</v>
      </c>
      <c r="AD113" t="s">
        <v>63</v>
      </c>
      <c r="AE113" t="s">
        <v>63</v>
      </c>
      <c r="AF113" t="s">
        <v>63</v>
      </c>
      <c r="AG113" t="s">
        <v>1061</v>
      </c>
      <c r="AH113" t="s">
        <v>63</v>
      </c>
      <c r="AI113" t="s">
        <v>63</v>
      </c>
      <c r="AJ113" t="s">
        <v>63</v>
      </c>
      <c r="AK113" t="s">
        <v>63</v>
      </c>
      <c r="AL113" t="s">
        <v>63</v>
      </c>
      <c r="AM113" t="s">
        <v>1062</v>
      </c>
      <c r="AN113" t="s">
        <v>63</v>
      </c>
      <c r="AO113" t="s">
        <v>63</v>
      </c>
      <c r="AP113" t="s">
        <v>63</v>
      </c>
      <c r="AQ113" t="s">
        <v>63</v>
      </c>
      <c r="AR113" t="s">
        <v>63</v>
      </c>
      <c r="AS113" t="s">
        <v>63</v>
      </c>
      <c r="AT113" t="s">
        <v>63</v>
      </c>
      <c r="AU113" t="s">
        <v>63</v>
      </c>
      <c r="AV113" t="s">
        <v>63</v>
      </c>
      <c r="AW113" t="s">
        <v>63</v>
      </c>
      <c r="AX113" t="s">
        <v>63</v>
      </c>
      <c r="AY113" t="s">
        <v>63</v>
      </c>
      <c r="AZ113" t="s">
        <v>63</v>
      </c>
      <c r="BA113" t="s">
        <v>63</v>
      </c>
      <c r="BB113" t="s">
        <v>63</v>
      </c>
      <c r="BC113" t="s">
        <v>63</v>
      </c>
      <c r="BD113" t="s">
        <v>63</v>
      </c>
      <c r="BE113" t="s">
        <v>63</v>
      </c>
      <c r="BF113" t="s">
        <v>63</v>
      </c>
    </row>
    <row r="114" spans="1:58">
      <c r="A114" t="s">
        <v>58</v>
      </c>
      <c r="B114" t="s">
        <v>1063</v>
      </c>
      <c r="C114" t="s">
        <v>1064</v>
      </c>
      <c r="D114" t="s">
        <v>1065</v>
      </c>
      <c r="E114" t="s">
        <v>63</v>
      </c>
      <c r="F114">
        <v>2011</v>
      </c>
      <c r="G114" s="1">
        <v>41746</v>
      </c>
      <c r="H114">
        <v>11</v>
      </c>
      <c r="I114" t="s">
        <v>63</v>
      </c>
      <c r="J114">
        <v>80</v>
      </c>
      <c r="K114" t="s">
        <v>63</v>
      </c>
      <c r="L114" t="s">
        <v>1066</v>
      </c>
      <c r="M114" t="s">
        <v>1067</v>
      </c>
      <c r="N114" t="s">
        <v>1068</v>
      </c>
      <c r="O114" t="s">
        <v>63</v>
      </c>
      <c r="Q114" t="s">
        <v>63</v>
      </c>
      <c r="R114" t="s">
        <v>63</v>
      </c>
      <c r="S114" t="s">
        <v>63</v>
      </c>
      <c r="T114" t="s">
        <v>63</v>
      </c>
      <c r="X114" t="s">
        <v>63</v>
      </c>
      <c r="Y114" t="s">
        <v>1069</v>
      </c>
      <c r="Z114" t="s">
        <v>63</v>
      </c>
      <c r="AA114" t="s">
        <v>1070</v>
      </c>
      <c r="AB114">
        <v>21501479</v>
      </c>
      <c r="AC114" t="s">
        <v>67</v>
      </c>
      <c r="AD114" t="s">
        <v>63</v>
      </c>
      <c r="AE114" t="s">
        <v>63</v>
      </c>
      <c r="AF114" t="s">
        <v>63</v>
      </c>
      <c r="AG114" t="s">
        <v>1071</v>
      </c>
      <c r="AH114" t="s">
        <v>63</v>
      </c>
      <c r="AI114" t="s">
        <v>1072</v>
      </c>
      <c r="AJ114" t="s">
        <v>63</v>
      </c>
      <c r="AK114" t="s">
        <v>63</v>
      </c>
      <c r="AL114" t="s">
        <v>63</v>
      </c>
      <c r="AM114" t="s">
        <v>1073</v>
      </c>
      <c r="AN114" t="s">
        <v>63</v>
      </c>
      <c r="AO114" t="s">
        <v>63</v>
      </c>
      <c r="AP114" t="s">
        <v>63</v>
      </c>
      <c r="AQ114" t="s">
        <v>63</v>
      </c>
      <c r="AR114" t="s">
        <v>63</v>
      </c>
      <c r="AS114" t="s">
        <v>63</v>
      </c>
      <c r="AT114" t="s">
        <v>63</v>
      </c>
      <c r="AU114" t="s">
        <v>63</v>
      </c>
      <c r="AV114" t="s">
        <v>63</v>
      </c>
      <c r="AW114" t="s">
        <v>63</v>
      </c>
      <c r="AX114" t="s">
        <v>63</v>
      </c>
      <c r="AY114" t="s">
        <v>63</v>
      </c>
      <c r="AZ114" t="s">
        <v>63</v>
      </c>
      <c r="BA114" t="s">
        <v>63</v>
      </c>
      <c r="BB114" t="s">
        <v>63</v>
      </c>
      <c r="BC114" t="s">
        <v>63</v>
      </c>
      <c r="BD114" t="s">
        <v>63</v>
      </c>
      <c r="BE114" t="s">
        <v>63</v>
      </c>
      <c r="BF114" t="s">
        <v>63</v>
      </c>
    </row>
    <row r="115" spans="1:58">
      <c r="A115" t="s">
        <v>58</v>
      </c>
      <c r="B115" t="s">
        <v>1074</v>
      </c>
      <c r="C115" t="s">
        <v>1075</v>
      </c>
      <c r="D115" t="s">
        <v>237</v>
      </c>
      <c r="E115" t="s">
        <v>63</v>
      </c>
      <c r="F115">
        <v>1988</v>
      </c>
      <c r="G115" t="s">
        <v>63</v>
      </c>
      <c r="H115">
        <v>27</v>
      </c>
      <c r="I115" t="s">
        <v>63</v>
      </c>
      <c r="J115">
        <v>262</v>
      </c>
      <c r="K115">
        <v>267</v>
      </c>
      <c r="L115" t="s">
        <v>1076</v>
      </c>
      <c r="M115" t="s">
        <v>1077</v>
      </c>
      <c r="N115" t="s">
        <v>1078</v>
      </c>
      <c r="O115" t="s">
        <v>63</v>
      </c>
      <c r="Q115" t="s">
        <v>63</v>
      </c>
      <c r="R115" t="s">
        <v>63</v>
      </c>
      <c r="S115" t="s">
        <v>63</v>
      </c>
      <c r="T115" t="s">
        <v>63</v>
      </c>
      <c r="X115" t="s">
        <v>63</v>
      </c>
      <c r="Y115" t="s">
        <v>63</v>
      </c>
      <c r="Z115" t="s">
        <v>63</v>
      </c>
      <c r="AA115" t="s">
        <v>1079</v>
      </c>
      <c r="AB115">
        <v>3265296</v>
      </c>
      <c r="AC115" t="s">
        <v>67</v>
      </c>
      <c r="AD115" t="s">
        <v>63</v>
      </c>
      <c r="AE115" t="s">
        <v>63</v>
      </c>
      <c r="AF115" t="s">
        <v>63</v>
      </c>
      <c r="AG115" t="s">
        <v>1080</v>
      </c>
      <c r="AH115" t="s">
        <v>63</v>
      </c>
      <c r="AI115" t="s">
        <v>63</v>
      </c>
      <c r="AJ115" t="s">
        <v>63</v>
      </c>
      <c r="AK115" t="s">
        <v>63</v>
      </c>
      <c r="AL115" t="s">
        <v>63</v>
      </c>
      <c r="AM115" t="s">
        <v>1081</v>
      </c>
      <c r="AN115" t="s">
        <v>63</v>
      </c>
      <c r="AO115" t="s">
        <v>63</v>
      </c>
      <c r="AP115" t="s">
        <v>63</v>
      </c>
      <c r="AQ115" t="s">
        <v>63</v>
      </c>
      <c r="AR115" t="s">
        <v>63</v>
      </c>
      <c r="AS115" t="s">
        <v>63</v>
      </c>
      <c r="AT115" t="s">
        <v>63</v>
      </c>
      <c r="AU115" t="s">
        <v>63</v>
      </c>
      <c r="AV115" t="s">
        <v>63</v>
      </c>
      <c r="AW115" t="s">
        <v>63</v>
      </c>
      <c r="AX115" t="s">
        <v>63</v>
      </c>
      <c r="AY115" t="s">
        <v>63</v>
      </c>
      <c r="AZ115" t="s">
        <v>63</v>
      </c>
      <c r="BA115" t="s">
        <v>63</v>
      </c>
      <c r="BB115" t="s">
        <v>63</v>
      </c>
      <c r="BC115" t="s">
        <v>63</v>
      </c>
      <c r="BD115" t="s">
        <v>63</v>
      </c>
      <c r="BE115" t="s">
        <v>63</v>
      </c>
      <c r="BF115" t="s">
        <v>63</v>
      </c>
    </row>
    <row r="116" spans="1:58">
      <c r="A116" t="s">
        <v>58</v>
      </c>
      <c r="B116" t="s">
        <v>1082</v>
      </c>
      <c r="C116" t="s">
        <v>1083</v>
      </c>
      <c r="D116" t="s">
        <v>1084</v>
      </c>
      <c r="E116" t="s">
        <v>63</v>
      </c>
      <c r="F116">
        <v>2006</v>
      </c>
      <c r="G116" t="s">
        <v>1085</v>
      </c>
      <c r="H116">
        <v>55</v>
      </c>
      <c r="I116">
        <v>2</v>
      </c>
      <c r="J116">
        <v>115</v>
      </c>
      <c r="K116">
        <v>119</v>
      </c>
      <c r="L116" t="s">
        <v>1086</v>
      </c>
      <c r="M116" t="s">
        <v>1087</v>
      </c>
      <c r="N116" t="s">
        <v>1088</v>
      </c>
      <c r="O116" t="s">
        <v>63</v>
      </c>
      <c r="Q116" t="s">
        <v>63</v>
      </c>
      <c r="R116" t="s">
        <v>63</v>
      </c>
      <c r="S116" t="s">
        <v>63</v>
      </c>
      <c r="T116" t="s">
        <v>63</v>
      </c>
      <c r="X116" t="s">
        <v>63</v>
      </c>
      <c r="Y116" t="s">
        <v>1089</v>
      </c>
      <c r="Z116" t="s">
        <v>63</v>
      </c>
      <c r="AA116" t="s">
        <v>1090</v>
      </c>
      <c r="AB116">
        <v>17017308</v>
      </c>
      <c r="AC116" t="s">
        <v>67</v>
      </c>
      <c r="AD116" t="s">
        <v>63</v>
      </c>
      <c r="AE116" t="s">
        <v>63</v>
      </c>
      <c r="AF116" t="s">
        <v>63</v>
      </c>
      <c r="AG116" t="s">
        <v>1091</v>
      </c>
      <c r="AH116" t="s">
        <v>63</v>
      </c>
      <c r="AI116" t="s">
        <v>63</v>
      </c>
      <c r="AJ116" t="s">
        <v>63</v>
      </c>
      <c r="AK116" t="s">
        <v>63</v>
      </c>
      <c r="AL116" t="s">
        <v>63</v>
      </c>
      <c r="AM116" t="s">
        <v>1092</v>
      </c>
      <c r="AN116" t="s">
        <v>63</v>
      </c>
      <c r="AO116" t="s">
        <v>63</v>
      </c>
      <c r="AP116" t="s">
        <v>63</v>
      </c>
      <c r="AQ116" t="s">
        <v>63</v>
      </c>
      <c r="AR116" t="s">
        <v>63</v>
      </c>
      <c r="AS116" t="s">
        <v>63</v>
      </c>
      <c r="AT116" t="s">
        <v>63</v>
      </c>
      <c r="AU116" t="s">
        <v>63</v>
      </c>
      <c r="AV116" t="s">
        <v>63</v>
      </c>
      <c r="AW116" t="s">
        <v>63</v>
      </c>
      <c r="AX116" t="s">
        <v>63</v>
      </c>
      <c r="AY116" t="s">
        <v>63</v>
      </c>
      <c r="AZ116" t="s">
        <v>63</v>
      </c>
      <c r="BA116" t="s">
        <v>63</v>
      </c>
      <c r="BB116" t="s">
        <v>63</v>
      </c>
      <c r="BC116" t="s">
        <v>63</v>
      </c>
      <c r="BD116" t="s">
        <v>63</v>
      </c>
      <c r="BE116" t="s">
        <v>63</v>
      </c>
      <c r="BF116" t="s">
        <v>63</v>
      </c>
    </row>
    <row r="117" spans="1:58">
      <c r="A117" t="s">
        <v>58</v>
      </c>
      <c r="B117" t="s">
        <v>1093</v>
      </c>
      <c r="C117" t="s">
        <v>1094</v>
      </c>
      <c r="D117" t="s">
        <v>325</v>
      </c>
      <c r="E117" t="s">
        <v>63</v>
      </c>
      <c r="F117">
        <v>2015</v>
      </c>
      <c r="G117" t="s">
        <v>157</v>
      </c>
      <c r="H117">
        <v>39</v>
      </c>
      <c r="I117">
        <v>6</v>
      </c>
      <c r="J117">
        <v>634</v>
      </c>
      <c r="K117">
        <v>638</v>
      </c>
      <c r="L117" t="s">
        <v>1095</v>
      </c>
      <c r="M117" t="s">
        <v>1096</v>
      </c>
      <c r="N117" t="s">
        <v>1097</v>
      </c>
      <c r="O117" t="s">
        <v>63</v>
      </c>
      <c r="Q117" t="s">
        <v>63</v>
      </c>
      <c r="R117" t="s">
        <v>63</v>
      </c>
      <c r="S117" t="s">
        <v>63</v>
      </c>
      <c r="T117" t="s">
        <v>63</v>
      </c>
      <c r="X117" t="s">
        <v>63</v>
      </c>
      <c r="Y117" t="s">
        <v>330</v>
      </c>
      <c r="Z117" t="s">
        <v>63</v>
      </c>
      <c r="AA117" t="s">
        <v>1098</v>
      </c>
      <c r="AB117">
        <v>26130501</v>
      </c>
      <c r="AC117" t="s">
        <v>67</v>
      </c>
      <c r="AD117" t="s">
        <v>63</v>
      </c>
      <c r="AE117" t="s">
        <v>63</v>
      </c>
      <c r="AF117" t="s">
        <v>63</v>
      </c>
      <c r="AG117" t="s">
        <v>1099</v>
      </c>
      <c r="AH117" t="s">
        <v>63</v>
      </c>
      <c r="AI117" t="s">
        <v>1100</v>
      </c>
      <c r="AJ117" t="s">
        <v>63</v>
      </c>
      <c r="AK117" t="s">
        <v>63</v>
      </c>
      <c r="AL117" t="s">
        <v>63</v>
      </c>
      <c r="AM117" t="s">
        <v>1101</v>
      </c>
      <c r="AN117" t="s">
        <v>63</v>
      </c>
      <c r="AO117" t="s">
        <v>63</v>
      </c>
      <c r="AP117" t="s">
        <v>63</v>
      </c>
      <c r="AQ117" t="s">
        <v>63</v>
      </c>
      <c r="AR117" t="s">
        <v>63</v>
      </c>
      <c r="AS117" t="s">
        <v>63</v>
      </c>
      <c r="AT117" t="s">
        <v>63</v>
      </c>
      <c r="AU117" t="s">
        <v>63</v>
      </c>
      <c r="AV117" t="s">
        <v>63</v>
      </c>
      <c r="AW117" t="s">
        <v>63</v>
      </c>
      <c r="AX117" t="s">
        <v>63</v>
      </c>
      <c r="AY117" t="s">
        <v>63</v>
      </c>
      <c r="AZ117" t="s">
        <v>63</v>
      </c>
      <c r="BA117" t="s">
        <v>63</v>
      </c>
      <c r="BB117" t="s">
        <v>63</v>
      </c>
      <c r="BC117" t="s">
        <v>63</v>
      </c>
      <c r="BD117" t="s">
        <v>63</v>
      </c>
      <c r="BE117" t="s">
        <v>63</v>
      </c>
      <c r="BF117" t="s">
        <v>63</v>
      </c>
    </row>
    <row r="118" spans="1:58">
      <c r="A118" t="s">
        <v>58</v>
      </c>
      <c r="B118" t="s">
        <v>1102</v>
      </c>
      <c r="C118" t="s">
        <v>1103</v>
      </c>
      <c r="D118" t="s">
        <v>1104</v>
      </c>
      <c r="E118" t="s">
        <v>63</v>
      </c>
      <c r="F118">
        <v>2007</v>
      </c>
      <c r="G118" t="s">
        <v>189</v>
      </c>
      <c r="H118">
        <v>10</v>
      </c>
      <c r="I118">
        <v>3</v>
      </c>
      <c r="J118">
        <v>479</v>
      </c>
      <c r="K118">
        <v>491</v>
      </c>
      <c r="L118" t="s">
        <v>1105</v>
      </c>
      <c r="M118" t="s">
        <v>1106</v>
      </c>
      <c r="N118" t="s">
        <v>1107</v>
      </c>
      <c r="O118" t="s">
        <v>63</v>
      </c>
      <c r="Q118" t="s">
        <v>63</v>
      </c>
      <c r="R118" t="s">
        <v>63</v>
      </c>
      <c r="S118" t="s">
        <v>63</v>
      </c>
      <c r="T118" t="s">
        <v>63</v>
      </c>
      <c r="X118" t="s">
        <v>63</v>
      </c>
      <c r="Y118" t="s">
        <v>1108</v>
      </c>
      <c r="Z118" t="s">
        <v>63</v>
      </c>
      <c r="AA118" t="s">
        <v>1109</v>
      </c>
      <c r="AB118">
        <v>17525783</v>
      </c>
      <c r="AC118" t="s">
        <v>67</v>
      </c>
      <c r="AD118" t="s">
        <v>63</v>
      </c>
      <c r="AE118" t="s">
        <v>63</v>
      </c>
      <c r="AF118" t="s">
        <v>63</v>
      </c>
      <c r="AG118" t="s">
        <v>1110</v>
      </c>
      <c r="AH118" t="s">
        <v>63</v>
      </c>
      <c r="AI118" t="s">
        <v>63</v>
      </c>
      <c r="AJ118" t="s">
        <v>63</v>
      </c>
      <c r="AK118" t="s">
        <v>63</v>
      </c>
      <c r="AL118" t="s">
        <v>63</v>
      </c>
      <c r="AM118" t="s">
        <v>1111</v>
      </c>
      <c r="AN118" t="s">
        <v>63</v>
      </c>
      <c r="AO118" t="s">
        <v>63</v>
      </c>
      <c r="AP118" t="s">
        <v>63</v>
      </c>
      <c r="AQ118" t="s">
        <v>63</v>
      </c>
      <c r="AR118" t="s">
        <v>63</v>
      </c>
      <c r="AS118" t="s">
        <v>63</v>
      </c>
      <c r="AT118" t="s">
        <v>63</v>
      </c>
      <c r="AU118" t="s">
        <v>63</v>
      </c>
      <c r="AV118" t="s">
        <v>63</v>
      </c>
      <c r="AW118" t="s">
        <v>63</v>
      </c>
      <c r="AX118" t="s">
        <v>63</v>
      </c>
      <c r="AY118" t="s">
        <v>63</v>
      </c>
      <c r="AZ118" t="s">
        <v>63</v>
      </c>
      <c r="BA118" t="s">
        <v>63</v>
      </c>
      <c r="BB118" t="s">
        <v>63</v>
      </c>
      <c r="BC118" t="s">
        <v>63</v>
      </c>
      <c r="BD118" t="s">
        <v>63</v>
      </c>
      <c r="BE118" t="s">
        <v>63</v>
      </c>
      <c r="BF118" t="s">
        <v>63</v>
      </c>
    </row>
    <row r="119" spans="1:58">
      <c r="A119" t="s">
        <v>58</v>
      </c>
      <c r="B119" t="s">
        <v>1112</v>
      </c>
      <c r="C119" t="s">
        <v>1113</v>
      </c>
      <c r="D119" t="s">
        <v>325</v>
      </c>
      <c r="E119" t="s">
        <v>63</v>
      </c>
      <c r="F119">
        <v>2008</v>
      </c>
      <c r="G119" t="s">
        <v>1114</v>
      </c>
      <c r="H119">
        <v>32</v>
      </c>
      <c r="I119">
        <v>3</v>
      </c>
      <c r="J119">
        <v>218</v>
      </c>
      <c r="K119">
        <v>224</v>
      </c>
      <c r="L119" t="s">
        <v>1115</v>
      </c>
      <c r="M119" t="s">
        <v>1116</v>
      </c>
      <c r="N119" t="s">
        <v>1117</v>
      </c>
      <c r="O119" t="s">
        <v>63</v>
      </c>
      <c r="Q119" t="s">
        <v>63</v>
      </c>
      <c r="R119" t="s">
        <v>63</v>
      </c>
      <c r="S119" t="s">
        <v>63</v>
      </c>
      <c r="T119" t="s">
        <v>63</v>
      </c>
      <c r="X119" t="s">
        <v>63</v>
      </c>
      <c r="Y119" t="s">
        <v>866</v>
      </c>
      <c r="Z119" t="s">
        <v>63</v>
      </c>
      <c r="AA119" t="s">
        <v>1118</v>
      </c>
      <c r="AB119">
        <v>18467479</v>
      </c>
      <c r="AC119" t="s">
        <v>67</v>
      </c>
      <c r="AD119" t="s">
        <v>63</v>
      </c>
      <c r="AE119" t="s">
        <v>63</v>
      </c>
      <c r="AF119" t="s">
        <v>63</v>
      </c>
      <c r="AG119" t="s">
        <v>1119</v>
      </c>
      <c r="AH119" t="s">
        <v>63</v>
      </c>
      <c r="AI119" t="s">
        <v>1120</v>
      </c>
      <c r="AJ119" t="s">
        <v>63</v>
      </c>
      <c r="AK119" t="s">
        <v>63</v>
      </c>
      <c r="AL119" t="s">
        <v>63</v>
      </c>
      <c r="AM119" t="s">
        <v>1121</v>
      </c>
      <c r="AN119" t="s">
        <v>63</v>
      </c>
      <c r="AO119" t="s">
        <v>63</v>
      </c>
      <c r="AP119" t="s">
        <v>63</v>
      </c>
      <c r="AQ119" t="s">
        <v>63</v>
      </c>
      <c r="AR119" t="s">
        <v>63</v>
      </c>
      <c r="AS119" t="s">
        <v>63</v>
      </c>
      <c r="AT119" t="s">
        <v>63</v>
      </c>
      <c r="AU119" t="s">
        <v>63</v>
      </c>
      <c r="AV119" t="s">
        <v>63</v>
      </c>
      <c r="AW119" t="s">
        <v>63</v>
      </c>
      <c r="AX119" t="s">
        <v>63</v>
      </c>
      <c r="AY119" t="s">
        <v>63</v>
      </c>
      <c r="AZ119" t="s">
        <v>63</v>
      </c>
      <c r="BA119" t="s">
        <v>63</v>
      </c>
      <c r="BB119" t="s">
        <v>63</v>
      </c>
      <c r="BC119" t="s">
        <v>63</v>
      </c>
      <c r="BD119" t="s">
        <v>63</v>
      </c>
      <c r="BE119" t="s">
        <v>63</v>
      </c>
      <c r="BF119" t="s">
        <v>63</v>
      </c>
    </row>
    <row r="120" spans="1:58">
      <c r="A120" t="s">
        <v>58</v>
      </c>
      <c r="B120" t="s">
        <v>1122</v>
      </c>
      <c r="C120" t="s">
        <v>1123</v>
      </c>
      <c r="D120" t="s">
        <v>603</v>
      </c>
      <c r="E120" t="s">
        <v>604</v>
      </c>
      <c r="F120">
        <v>1987</v>
      </c>
      <c r="G120" t="s">
        <v>84</v>
      </c>
      <c r="H120">
        <v>79</v>
      </c>
      <c r="I120">
        <v>4</v>
      </c>
      <c r="J120">
        <v>430</v>
      </c>
      <c r="K120">
        <v>432</v>
      </c>
      <c r="L120" t="s">
        <v>1124</v>
      </c>
      <c r="M120" t="s">
        <v>1125</v>
      </c>
      <c r="N120" t="s">
        <v>1126</v>
      </c>
      <c r="O120" t="s">
        <v>63</v>
      </c>
      <c r="Q120" t="s">
        <v>63</v>
      </c>
      <c r="R120" t="s">
        <v>63</v>
      </c>
      <c r="S120" t="s">
        <v>63</v>
      </c>
      <c r="T120" t="s">
        <v>63</v>
      </c>
      <c r="X120" t="s">
        <v>63</v>
      </c>
      <c r="Y120" t="s">
        <v>608</v>
      </c>
      <c r="Z120" t="s">
        <v>63</v>
      </c>
      <c r="AA120" t="s">
        <v>63</v>
      </c>
      <c r="AB120">
        <v>3586041</v>
      </c>
      <c r="AC120" t="s">
        <v>67</v>
      </c>
      <c r="AD120" t="s">
        <v>63</v>
      </c>
      <c r="AE120" t="s">
        <v>63</v>
      </c>
      <c r="AF120" t="s">
        <v>63</v>
      </c>
      <c r="AG120" t="s">
        <v>1127</v>
      </c>
      <c r="AH120" t="s">
        <v>63</v>
      </c>
      <c r="AI120" t="s">
        <v>63</v>
      </c>
      <c r="AJ120" t="s">
        <v>63</v>
      </c>
      <c r="AK120" t="s">
        <v>63</v>
      </c>
      <c r="AL120" t="s">
        <v>63</v>
      </c>
      <c r="AM120" t="s">
        <v>1128</v>
      </c>
      <c r="AN120" t="s">
        <v>63</v>
      </c>
      <c r="AO120" t="s">
        <v>63</v>
      </c>
      <c r="AP120" t="s">
        <v>63</v>
      </c>
      <c r="AQ120" t="s">
        <v>63</v>
      </c>
      <c r="AR120" t="s">
        <v>63</v>
      </c>
      <c r="AS120" t="s">
        <v>63</v>
      </c>
      <c r="AT120" t="s">
        <v>63</v>
      </c>
      <c r="AU120" t="s">
        <v>63</v>
      </c>
      <c r="AV120" t="s">
        <v>63</v>
      </c>
      <c r="AW120" t="s">
        <v>63</v>
      </c>
      <c r="AX120" t="s">
        <v>63</v>
      </c>
      <c r="AY120" t="s">
        <v>63</v>
      </c>
      <c r="AZ120" t="s">
        <v>63</v>
      </c>
      <c r="BA120" t="s">
        <v>63</v>
      </c>
      <c r="BB120" t="s">
        <v>63</v>
      </c>
      <c r="BC120" t="s">
        <v>63</v>
      </c>
      <c r="BD120" t="s">
        <v>63</v>
      </c>
      <c r="BE120" t="s">
        <v>63</v>
      </c>
      <c r="BF120" t="s">
        <v>63</v>
      </c>
    </row>
    <row r="121" spans="1:58">
      <c r="A121" t="s">
        <v>58</v>
      </c>
      <c r="B121" t="s">
        <v>1129</v>
      </c>
      <c r="C121" t="s">
        <v>1130</v>
      </c>
      <c r="D121" t="s">
        <v>1131</v>
      </c>
      <c r="E121" t="s">
        <v>1131</v>
      </c>
      <c r="F121">
        <v>1965</v>
      </c>
      <c r="G121" t="s">
        <v>198</v>
      </c>
      <c r="H121">
        <v>194</v>
      </c>
      <c r="I121" t="s">
        <v>63</v>
      </c>
      <c r="J121">
        <v>111</v>
      </c>
      <c r="K121">
        <v>119</v>
      </c>
      <c r="L121" t="s">
        <v>1132</v>
      </c>
      <c r="M121" t="s">
        <v>63</v>
      </c>
      <c r="N121" t="s">
        <v>1133</v>
      </c>
      <c r="O121" t="s">
        <v>63</v>
      </c>
      <c r="Q121" t="s">
        <v>63</v>
      </c>
      <c r="R121" t="s">
        <v>63</v>
      </c>
      <c r="S121" t="s">
        <v>63</v>
      </c>
      <c r="T121" t="s">
        <v>63</v>
      </c>
      <c r="X121" t="s">
        <v>63</v>
      </c>
      <c r="Y121" t="s">
        <v>1134</v>
      </c>
      <c r="Z121" t="s">
        <v>63</v>
      </c>
      <c r="AA121" t="s">
        <v>63</v>
      </c>
      <c r="AB121">
        <v>14259677</v>
      </c>
      <c r="AC121" t="s">
        <v>67</v>
      </c>
      <c r="AD121" t="s">
        <v>63</v>
      </c>
      <c r="AE121" t="s">
        <v>63</v>
      </c>
      <c r="AF121" t="s">
        <v>63</v>
      </c>
      <c r="AG121" t="s">
        <v>1135</v>
      </c>
      <c r="AH121" t="s">
        <v>63</v>
      </c>
      <c r="AI121" t="s">
        <v>63</v>
      </c>
      <c r="AJ121" t="s">
        <v>63</v>
      </c>
      <c r="AK121" t="s">
        <v>63</v>
      </c>
      <c r="AL121" t="s">
        <v>63</v>
      </c>
      <c r="AM121" t="s">
        <v>1136</v>
      </c>
      <c r="AN121" t="s">
        <v>63</v>
      </c>
      <c r="AO121" t="s">
        <v>63</v>
      </c>
      <c r="AP121" t="s">
        <v>63</v>
      </c>
      <c r="AQ121" t="s">
        <v>63</v>
      </c>
      <c r="AR121" t="s">
        <v>63</v>
      </c>
      <c r="AS121" t="s">
        <v>63</v>
      </c>
      <c r="AT121" t="s">
        <v>63</v>
      </c>
      <c r="AU121" t="s">
        <v>63</v>
      </c>
      <c r="AV121" t="s">
        <v>63</v>
      </c>
      <c r="AW121" t="s">
        <v>63</v>
      </c>
      <c r="AX121" t="s">
        <v>63</v>
      </c>
      <c r="AY121" t="s">
        <v>63</v>
      </c>
      <c r="AZ121" t="s">
        <v>63</v>
      </c>
      <c r="BA121" t="s">
        <v>63</v>
      </c>
      <c r="BB121" t="s">
        <v>63</v>
      </c>
      <c r="BC121" t="s">
        <v>63</v>
      </c>
      <c r="BD121" t="s">
        <v>63</v>
      </c>
      <c r="BE121" t="s">
        <v>63</v>
      </c>
      <c r="BF121" t="s">
        <v>63</v>
      </c>
    </row>
    <row r="122" spans="1:58">
      <c r="A122" t="s">
        <v>58</v>
      </c>
      <c r="B122" t="s">
        <v>1137</v>
      </c>
      <c r="C122" t="s">
        <v>1138</v>
      </c>
      <c r="D122" t="s">
        <v>1139</v>
      </c>
      <c r="E122" t="s">
        <v>63</v>
      </c>
      <c r="F122">
        <v>2006</v>
      </c>
      <c r="G122" t="s">
        <v>614</v>
      </c>
      <c r="H122">
        <v>12</v>
      </c>
      <c r="I122">
        <v>3</v>
      </c>
      <c r="J122">
        <v>216</v>
      </c>
      <c r="K122">
        <v>221</v>
      </c>
      <c r="L122" t="s">
        <v>1140</v>
      </c>
      <c r="M122" t="s">
        <v>1141</v>
      </c>
      <c r="N122" t="s">
        <v>1142</v>
      </c>
      <c r="O122" t="s">
        <v>63</v>
      </c>
      <c r="Q122" t="s">
        <v>63</v>
      </c>
      <c r="R122" t="s">
        <v>63</v>
      </c>
      <c r="S122" t="s">
        <v>63</v>
      </c>
      <c r="T122" t="s">
        <v>63</v>
      </c>
      <c r="X122" t="s">
        <v>63</v>
      </c>
      <c r="Y122" t="s">
        <v>1143</v>
      </c>
      <c r="Z122" t="s">
        <v>63</v>
      </c>
      <c r="AA122" t="s">
        <v>1144</v>
      </c>
      <c r="AB122">
        <v>16835034</v>
      </c>
      <c r="AC122" t="s">
        <v>67</v>
      </c>
      <c r="AD122" t="s">
        <v>63</v>
      </c>
      <c r="AE122" t="s">
        <v>63</v>
      </c>
      <c r="AF122" t="s">
        <v>63</v>
      </c>
      <c r="AG122" t="s">
        <v>1145</v>
      </c>
      <c r="AH122" t="s">
        <v>63</v>
      </c>
      <c r="AI122" t="s">
        <v>63</v>
      </c>
      <c r="AJ122" t="s">
        <v>63</v>
      </c>
      <c r="AK122" t="s">
        <v>63</v>
      </c>
      <c r="AL122" t="s">
        <v>63</v>
      </c>
      <c r="AM122" t="s">
        <v>1146</v>
      </c>
      <c r="AN122" t="s">
        <v>63</v>
      </c>
      <c r="AO122" t="s">
        <v>63</v>
      </c>
      <c r="AP122" t="s">
        <v>63</v>
      </c>
      <c r="AQ122" t="s">
        <v>63</v>
      </c>
      <c r="AR122" t="s">
        <v>63</v>
      </c>
      <c r="AS122" t="s">
        <v>63</v>
      </c>
      <c r="AT122" t="s">
        <v>63</v>
      </c>
      <c r="AU122" t="s">
        <v>63</v>
      </c>
      <c r="AV122" t="s">
        <v>63</v>
      </c>
      <c r="AW122" t="s">
        <v>63</v>
      </c>
      <c r="AX122" t="s">
        <v>63</v>
      </c>
      <c r="AY122" t="s">
        <v>63</v>
      </c>
      <c r="AZ122" t="s">
        <v>63</v>
      </c>
      <c r="BA122" t="s">
        <v>63</v>
      </c>
      <c r="BB122" t="s">
        <v>63</v>
      </c>
      <c r="BC122" t="s">
        <v>63</v>
      </c>
      <c r="BD122" t="s">
        <v>63</v>
      </c>
      <c r="BE122" t="s">
        <v>63</v>
      </c>
      <c r="BF122" t="s">
        <v>63</v>
      </c>
    </row>
    <row r="123" spans="1:58">
      <c r="A123" t="s">
        <v>58</v>
      </c>
      <c r="B123" t="s">
        <v>1147</v>
      </c>
      <c r="C123" t="s">
        <v>1148</v>
      </c>
      <c r="D123" t="s">
        <v>1149</v>
      </c>
      <c r="E123" t="s">
        <v>1150</v>
      </c>
      <c r="F123">
        <v>1986</v>
      </c>
      <c r="G123" t="s">
        <v>84</v>
      </c>
      <c r="H123">
        <v>47</v>
      </c>
      <c r="I123">
        <v>4</v>
      </c>
      <c r="J123">
        <v>209</v>
      </c>
      <c r="K123">
        <v>211</v>
      </c>
      <c r="L123" t="s">
        <v>1151</v>
      </c>
      <c r="M123" t="s">
        <v>63</v>
      </c>
      <c r="N123" t="s">
        <v>1152</v>
      </c>
      <c r="O123" t="s">
        <v>63</v>
      </c>
      <c r="Q123" t="s">
        <v>63</v>
      </c>
      <c r="R123" t="s">
        <v>63</v>
      </c>
      <c r="S123" t="s">
        <v>63</v>
      </c>
      <c r="T123" t="s">
        <v>63</v>
      </c>
      <c r="X123" t="s">
        <v>63</v>
      </c>
      <c r="Y123" t="s">
        <v>1153</v>
      </c>
      <c r="Z123" t="s">
        <v>63</v>
      </c>
      <c r="AA123" t="s">
        <v>63</v>
      </c>
      <c r="AB123">
        <v>3459029</v>
      </c>
      <c r="AC123" t="s">
        <v>67</v>
      </c>
      <c r="AD123" t="s">
        <v>63</v>
      </c>
      <c r="AE123" t="s">
        <v>63</v>
      </c>
      <c r="AF123" t="s">
        <v>63</v>
      </c>
      <c r="AG123" t="s">
        <v>1154</v>
      </c>
      <c r="AH123" t="s">
        <v>63</v>
      </c>
      <c r="AI123" t="s">
        <v>63</v>
      </c>
      <c r="AJ123" t="s">
        <v>63</v>
      </c>
      <c r="AK123" t="s">
        <v>63</v>
      </c>
      <c r="AL123" t="s">
        <v>63</v>
      </c>
      <c r="AM123" t="s">
        <v>1155</v>
      </c>
      <c r="AN123" t="s">
        <v>63</v>
      </c>
      <c r="AO123" t="s">
        <v>63</v>
      </c>
      <c r="AP123" t="s">
        <v>63</v>
      </c>
      <c r="AQ123" t="s">
        <v>63</v>
      </c>
      <c r="AR123" t="s">
        <v>63</v>
      </c>
      <c r="AS123" t="s">
        <v>63</v>
      </c>
      <c r="AT123" t="s">
        <v>63</v>
      </c>
      <c r="AU123" t="s">
        <v>63</v>
      </c>
      <c r="AV123" t="s">
        <v>63</v>
      </c>
      <c r="AW123" t="s">
        <v>63</v>
      </c>
      <c r="AX123" t="s">
        <v>63</v>
      </c>
      <c r="AY123" t="s">
        <v>63</v>
      </c>
      <c r="AZ123" t="s">
        <v>63</v>
      </c>
      <c r="BA123" t="s">
        <v>63</v>
      </c>
      <c r="BB123" t="s">
        <v>63</v>
      </c>
      <c r="BC123" t="s">
        <v>63</v>
      </c>
      <c r="BD123" t="s">
        <v>63</v>
      </c>
      <c r="BE123" t="s">
        <v>63</v>
      </c>
      <c r="BF123" t="s">
        <v>63</v>
      </c>
    </row>
    <row r="124" spans="1:58">
      <c r="A124" t="s">
        <v>58</v>
      </c>
      <c r="B124" t="s">
        <v>1156</v>
      </c>
      <c r="C124" t="s">
        <v>1157</v>
      </c>
      <c r="D124" t="s">
        <v>500</v>
      </c>
      <c r="E124" t="s">
        <v>501</v>
      </c>
      <c r="F124">
        <v>2018</v>
      </c>
      <c r="G124" s="1">
        <v>41683</v>
      </c>
      <c r="H124" t="s">
        <v>63</v>
      </c>
      <c r="I124" t="s">
        <v>63</v>
      </c>
      <c r="J124">
        <v>14</v>
      </c>
      <c r="K124" t="s">
        <v>63</v>
      </c>
      <c r="L124" t="s">
        <v>63</v>
      </c>
      <c r="M124" t="s">
        <v>1158</v>
      </c>
      <c r="N124" t="s">
        <v>1159</v>
      </c>
      <c r="O124" t="s">
        <v>63</v>
      </c>
      <c r="Q124" t="s">
        <v>63</v>
      </c>
      <c r="R124" t="s">
        <v>63</v>
      </c>
      <c r="S124" t="s">
        <v>63</v>
      </c>
      <c r="T124" t="s">
        <v>63</v>
      </c>
      <c r="X124" t="s">
        <v>63</v>
      </c>
      <c r="Y124" t="s">
        <v>507</v>
      </c>
      <c r="Z124" t="s">
        <v>63</v>
      </c>
      <c r="AA124" t="s">
        <v>1160</v>
      </c>
      <c r="AB124">
        <v>29461308</v>
      </c>
      <c r="AC124" t="s">
        <v>67</v>
      </c>
      <c r="AD124" t="s">
        <v>63</v>
      </c>
      <c r="AE124" t="s">
        <v>63</v>
      </c>
      <c r="AF124" t="s">
        <v>63</v>
      </c>
      <c r="AG124" t="s">
        <v>1161</v>
      </c>
      <c r="AH124" t="s">
        <v>63</v>
      </c>
      <c r="AI124" t="s">
        <v>1162</v>
      </c>
      <c r="AJ124" t="s">
        <v>63</v>
      </c>
      <c r="AK124" t="s">
        <v>63</v>
      </c>
      <c r="AL124" t="s">
        <v>63</v>
      </c>
      <c r="AM124" t="s">
        <v>1163</v>
      </c>
      <c r="AN124" t="s">
        <v>63</v>
      </c>
      <c r="AO124" t="s">
        <v>63</v>
      </c>
      <c r="AP124" t="s">
        <v>63</v>
      </c>
      <c r="AQ124" t="s">
        <v>63</v>
      </c>
      <c r="AR124" t="s">
        <v>63</v>
      </c>
      <c r="AS124" t="s">
        <v>63</v>
      </c>
      <c r="AT124" t="s">
        <v>63</v>
      </c>
      <c r="AU124" t="s">
        <v>63</v>
      </c>
      <c r="AV124" t="s">
        <v>63</v>
      </c>
      <c r="AW124" t="s">
        <v>63</v>
      </c>
      <c r="AX124" t="s">
        <v>63</v>
      </c>
      <c r="AY124" t="s">
        <v>63</v>
      </c>
      <c r="AZ124" t="s">
        <v>63</v>
      </c>
      <c r="BA124" t="s">
        <v>63</v>
      </c>
      <c r="BB124" t="s">
        <v>63</v>
      </c>
      <c r="BC124" t="s">
        <v>63</v>
      </c>
      <c r="BD124" t="s">
        <v>63</v>
      </c>
      <c r="BE124" t="s">
        <v>63</v>
      </c>
      <c r="BF124" t="s">
        <v>63</v>
      </c>
    </row>
    <row r="125" spans="1:58">
      <c r="A125" t="s">
        <v>58</v>
      </c>
      <c r="B125" t="s">
        <v>1164</v>
      </c>
      <c r="C125" t="s">
        <v>1165</v>
      </c>
      <c r="D125" t="s">
        <v>1166</v>
      </c>
      <c r="E125" t="s">
        <v>63</v>
      </c>
      <c r="F125">
        <v>2012</v>
      </c>
      <c r="G125" t="s">
        <v>181</v>
      </c>
      <c r="H125">
        <v>2</v>
      </c>
      <c r="I125">
        <v>5</v>
      </c>
      <c r="J125">
        <v>435</v>
      </c>
      <c r="K125">
        <v>436</v>
      </c>
      <c r="L125" t="s">
        <v>63</v>
      </c>
      <c r="M125" t="s">
        <v>1167</v>
      </c>
      <c r="N125" t="s">
        <v>1168</v>
      </c>
      <c r="O125" t="s">
        <v>63</v>
      </c>
      <c r="Q125" t="s">
        <v>63</v>
      </c>
      <c r="R125" t="s">
        <v>63</v>
      </c>
      <c r="S125" t="s">
        <v>63</v>
      </c>
      <c r="T125" t="s">
        <v>63</v>
      </c>
      <c r="X125" t="s">
        <v>63</v>
      </c>
      <c r="Y125" t="s">
        <v>1169</v>
      </c>
      <c r="Z125" t="s">
        <v>63</v>
      </c>
      <c r="AA125" t="s">
        <v>1170</v>
      </c>
      <c r="AB125">
        <v>24645858</v>
      </c>
      <c r="AC125" t="s">
        <v>67</v>
      </c>
      <c r="AD125" t="s">
        <v>63</v>
      </c>
      <c r="AE125" t="s">
        <v>63</v>
      </c>
      <c r="AF125" t="s">
        <v>63</v>
      </c>
      <c r="AG125" t="s">
        <v>1171</v>
      </c>
      <c r="AH125" t="s">
        <v>63</v>
      </c>
      <c r="AI125" t="s">
        <v>1172</v>
      </c>
      <c r="AJ125" t="s">
        <v>63</v>
      </c>
      <c r="AK125" t="s">
        <v>63</v>
      </c>
      <c r="AL125" t="s">
        <v>63</v>
      </c>
      <c r="AM125" t="s">
        <v>1173</v>
      </c>
      <c r="AN125" t="s">
        <v>63</v>
      </c>
      <c r="AO125" t="s">
        <v>63</v>
      </c>
      <c r="AP125" t="s">
        <v>63</v>
      </c>
      <c r="AQ125" t="s">
        <v>63</v>
      </c>
      <c r="AR125" t="s">
        <v>63</v>
      </c>
      <c r="AS125" t="s">
        <v>63</v>
      </c>
      <c r="AT125" t="s">
        <v>63</v>
      </c>
      <c r="AU125" t="s">
        <v>63</v>
      </c>
      <c r="AV125" t="s">
        <v>63</v>
      </c>
      <c r="AW125" t="s">
        <v>63</v>
      </c>
      <c r="AX125" t="s">
        <v>63</v>
      </c>
      <c r="AY125" t="s">
        <v>63</v>
      </c>
      <c r="AZ125" t="s">
        <v>63</v>
      </c>
      <c r="BA125" t="s">
        <v>63</v>
      </c>
      <c r="BB125" t="s">
        <v>63</v>
      </c>
      <c r="BC125" t="s">
        <v>63</v>
      </c>
      <c r="BD125" t="s">
        <v>63</v>
      </c>
      <c r="BE125" t="s">
        <v>63</v>
      </c>
      <c r="BF125" t="s">
        <v>63</v>
      </c>
    </row>
    <row r="126" spans="1:58">
      <c r="A126" t="s">
        <v>58</v>
      </c>
      <c r="B126" t="s">
        <v>1174</v>
      </c>
      <c r="C126" t="s">
        <v>1175</v>
      </c>
      <c r="D126" t="s">
        <v>389</v>
      </c>
      <c r="E126" t="s">
        <v>63</v>
      </c>
      <c r="F126">
        <v>2002</v>
      </c>
      <c r="G126" t="s">
        <v>157</v>
      </c>
      <c r="H126">
        <v>23</v>
      </c>
      <c r="I126">
        <v>4</v>
      </c>
      <c r="J126">
        <v>203</v>
      </c>
      <c r="K126">
        <v>209</v>
      </c>
      <c r="L126" t="s">
        <v>1176</v>
      </c>
      <c r="M126" t="s">
        <v>1177</v>
      </c>
      <c r="N126" t="s">
        <v>1178</v>
      </c>
      <c r="O126" t="s">
        <v>63</v>
      </c>
      <c r="Q126" t="s">
        <v>63</v>
      </c>
      <c r="R126" t="s">
        <v>63</v>
      </c>
      <c r="S126" t="s">
        <v>63</v>
      </c>
      <c r="T126" t="s">
        <v>63</v>
      </c>
      <c r="X126" t="s">
        <v>63</v>
      </c>
      <c r="Y126" t="s">
        <v>392</v>
      </c>
      <c r="Z126" t="s">
        <v>63</v>
      </c>
      <c r="AA126" t="s">
        <v>1179</v>
      </c>
      <c r="AB126">
        <v>12555770</v>
      </c>
      <c r="AC126" t="s">
        <v>67</v>
      </c>
      <c r="AD126" t="s">
        <v>63</v>
      </c>
      <c r="AE126" t="s">
        <v>63</v>
      </c>
      <c r="AF126" t="s">
        <v>63</v>
      </c>
      <c r="AG126" t="s">
        <v>1180</v>
      </c>
      <c r="AH126" t="s">
        <v>63</v>
      </c>
      <c r="AI126" t="s">
        <v>63</v>
      </c>
      <c r="AJ126" t="s">
        <v>63</v>
      </c>
      <c r="AK126" t="s">
        <v>63</v>
      </c>
      <c r="AL126" t="s">
        <v>63</v>
      </c>
      <c r="AM126" t="s">
        <v>1181</v>
      </c>
      <c r="AN126" t="s">
        <v>63</v>
      </c>
      <c r="AO126" t="s">
        <v>63</v>
      </c>
      <c r="AP126" t="s">
        <v>63</v>
      </c>
      <c r="AQ126" t="s">
        <v>63</v>
      </c>
      <c r="AR126" t="s">
        <v>63</v>
      </c>
      <c r="AS126" t="s">
        <v>63</v>
      </c>
      <c r="AT126" t="s">
        <v>63</v>
      </c>
      <c r="AU126" t="s">
        <v>63</v>
      </c>
      <c r="AV126" t="s">
        <v>63</v>
      </c>
      <c r="AW126" t="s">
        <v>63</v>
      </c>
      <c r="AX126" t="s">
        <v>63</v>
      </c>
      <c r="AY126" t="s">
        <v>63</v>
      </c>
      <c r="AZ126" t="s">
        <v>63</v>
      </c>
      <c r="BA126" t="s">
        <v>63</v>
      </c>
      <c r="BB126" t="s">
        <v>63</v>
      </c>
      <c r="BC126" t="s">
        <v>63</v>
      </c>
      <c r="BD126" t="s">
        <v>63</v>
      </c>
      <c r="BE126" t="s">
        <v>63</v>
      </c>
      <c r="BF126" t="s">
        <v>63</v>
      </c>
    </row>
    <row r="127" spans="1:58">
      <c r="A127" t="s">
        <v>58</v>
      </c>
      <c r="B127" t="s">
        <v>1182</v>
      </c>
      <c r="C127" t="s">
        <v>1183</v>
      </c>
      <c r="D127" t="s">
        <v>1184</v>
      </c>
      <c r="E127" t="s">
        <v>1185</v>
      </c>
      <c r="F127">
        <v>1984</v>
      </c>
      <c r="G127" t="s">
        <v>219</v>
      </c>
      <c r="H127">
        <v>59</v>
      </c>
      <c r="I127">
        <v>11</v>
      </c>
      <c r="J127">
        <v>904</v>
      </c>
      <c r="K127">
        <v>906</v>
      </c>
      <c r="L127" t="s">
        <v>1186</v>
      </c>
      <c r="M127" t="s">
        <v>63</v>
      </c>
      <c r="N127" t="s">
        <v>1187</v>
      </c>
      <c r="O127" t="s">
        <v>63</v>
      </c>
      <c r="Q127" t="s">
        <v>63</v>
      </c>
      <c r="R127" t="s">
        <v>63</v>
      </c>
      <c r="S127" t="s">
        <v>63</v>
      </c>
      <c r="T127" t="s">
        <v>63</v>
      </c>
      <c r="X127" t="s">
        <v>63</v>
      </c>
      <c r="Y127" t="s">
        <v>1188</v>
      </c>
      <c r="Z127" t="s">
        <v>63</v>
      </c>
      <c r="AA127" t="s">
        <v>63</v>
      </c>
      <c r="AB127">
        <v>6492111</v>
      </c>
      <c r="AC127" t="s">
        <v>67</v>
      </c>
      <c r="AD127" t="s">
        <v>63</v>
      </c>
      <c r="AE127" t="s">
        <v>63</v>
      </c>
      <c r="AF127" t="s">
        <v>63</v>
      </c>
      <c r="AG127" t="s">
        <v>1189</v>
      </c>
      <c r="AH127" t="s">
        <v>63</v>
      </c>
      <c r="AI127" t="s">
        <v>63</v>
      </c>
      <c r="AJ127" t="s">
        <v>63</v>
      </c>
      <c r="AK127" t="s">
        <v>63</v>
      </c>
      <c r="AL127" t="s">
        <v>63</v>
      </c>
      <c r="AM127" t="s">
        <v>1190</v>
      </c>
      <c r="AN127" t="s">
        <v>63</v>
      </c>
      <c r="AO127" t="s">
        <v>63</v>
      </c>
      <c r="AP127" t="s">
        <v>63</v>
      </c>
      <c r="AQ127" t="s">
        <v>63</v>
      </c>
      <c r="AR127" t="s">
        <v>63</v>
      </c>
      <c r="AS127" t="s">
        <v>63</v>
      </c>
      <c r="AT127" t="s">
        <v>63</v>
      </c>
      <c r="AU127" t="s">
        <v>63</v>
      </c>
      <c r="AV127" t="s">
        <v>63</v>
      </c>
      <c r="AW127" t="s">
        <v>63</v>
      </c>
      <c r="AX127" t="s">
        <v>63</v>
      </c>
      <c r="AY127" t="s">
        <v>63</v>
      </c>
      <c r="AZ127" t="s">
        <v>63</v>
      </c>
      <c r="BA127" t="s">
        <v>63</v>
      </c>
      <c r="BB127" t="s">
        <v>63</v>
      </c>
      <c r="BC127" t="s">
        <v>63</v>
      </c>
      <c r="BD127" t="s">
        <v>63</v>
      </c>
      <c r="BE127" t="s">
        <v>63</v>
      </c>
      <c r="BF127" t="s">
        <v>63</v>
      </c>
    </row>
    <row r="128" spans="1:58">
      <c r="A128" t="s">
        <v>58</v>
      </c>
      <c r="B128" t="s">
        <v>1191</v>
      </c>
      <c r="C128" t="s">
        <v>1192</v>
      </c>
      <c r="D128" t="s">
        <v>1193</v>
      </c>
      <c r="E128" t="s">
        <v>1194</v>
      </c>
      <c r="F128">
        <v>1970</v>
      </c>
      <c r="G128" t="s">
        <v>326</v>
      </c>
      <c r="H128">
        <v>68</v>
      </c>
      <c r="I128">
        <v>2</v>
      </c>
      <c r="J128">
        <v>113</v>
      </c>
      <c r="K128">
        <v>114</v>
      </c>
      <c r="L128" t="s">
        <v>1195</v>
      </c>
      <c r="M128" t="s">
        <v>63</v>
      </c>
      <c r="N128" t="s">
        <v>1196</v>
      </c>
      <c r="O128" t="s">
        <v>63</v>
      </c>
      <c r="Q128" t="s">
        <v>63</v>
      </c>
      <c r="R128" t="s">
        <v>63</v>
      </c>
      <c r="S128" t="s">
        <v>63</v>
      </c>
      <c r="T128" t="s">
        <v>63</v>
      </c>
      <c r="X128" t="s">
        <v>63</v>
      </c>
      <c r="Y128" t="s">
        <v>1197</v>
      </c>
      <c r="Z128" t="s">
        <v>63</v>
      </c>
      <c r="AA128" t="s">
        <v>63</v>
      </c>
      <c r="AB128">
        <v>5412070</v>
      </c>
      <c r="AC128" t="s">
        <v>67</v>
      </c>
      <c r="AD128" t="s">
        <v>63</v>
      </c>
      <c r="AE128" t="s">
        <v>63</v>
      </c>
      <c r="AF128" t="s">
        <v>63</v>
      </c>
      <c r="AG128" t="s">
        <v>1198</v>
      </c>
      <c r="AH128" t="s">
        <v>63</v>
      </c>
      <c r="AI128" t="s">
        <v>63</v>
      </c>
      <c r="AJ128" t="s">
        <v>63</v>
      </c>
      <c r="AK128" t="s">
        <v>63</v>
      </c>
      <c r="AL128" t="s">
        <v>63</v>
      </c>
      <c r="AM128" t="s">
        <v>1199</v>
      </c>
      <c r="AN128" t="s">
        <v>63</v>
      </c>
      <c r="AO128" t="s">
        <v>63</v>
      </c>
      <c r="AP128" t="s">
        <v>63</v>
      </c>
      <c r="AQ128" t="s">
        <v>63</v>
      </c>
      <c r="AR128" t="s">
        <v>63</v>
      </c>
      <c r="AS128" t="s">
        <v>63</v>
      </c>
      <c r="AT128" t="s">
        <v>63</v>
      </c>
      <c r="AU128" t="s">
        <v>63</v>
      </c>
      <c r="AV128" t="s">
        <v>63</v>
      </c>
      <c r="AW128" t="s">
        <v>63</v>
      </c>
      <c r="AX128" t="s">
        <v>63</v>
      </c>
      <c r="AY128" t="s">
        <v>63</v>
      </c>
      <c r="AZ128" t="s">
        <v>63</v>
      </c>
      <c r="BA128" t="s">
        <v>63</v>
      </c>
      <c r="BB128" t="s">
        <v>63</v>
      </c>
      <c r="BC128" t="s">
        <v>63</v>
      </c>
      <c r="BD128" t="s">
        <v>63</v>
      </c>
      <c r="BE128" t="s">
        <v>63</v>
      </c>
      <c r="BF128" t="s">
        <v>63</v>
      </c>
    </row>
    <row r="129" spans="1:58">
      <c r="A129" t="s">
        <v>58</v>
      </c>
      <c r="B129" t="s">
        <v>1200</v>
      </c>
      <c r="C129" t="s">
        <v>1201</v>
      </c>
      <c r="D129" t="s">
        <v>1202</v>
      </c>
      <c r="E129" t="s">
        <v>63</v>
      </c>
      <c r="F129">
        <v>2008</v>
      </c>
      <c r="G129" t="s">
        <v>138</v>
      </c>
      <c r="H129">
        <v>25</v>
      </c>
      <c r="I129">
        <v>10</v>
      </c>
      <c r="J129">
        <v>688</v>
      </c>
      <c r="K129">
        <v>689</v>
      </c>
      <c r="L129" t="s">
        <v>1203</v>
      </c>
      <c r="M129" t="s">
        <v>63</v>
      </c>
      <c r="N129" t="s">
        <v>1204</v>
      </c>
      <c r="O129" t="s">
        <v>63</v>
      </c>
      <c r="Q129" t="s">
        <v>63</v>
      </c>
      <c r="R129" t="s">
        <v>63</v>
      </c>
      <c r="S129" t="s">
        <v>63</v>
      </c>
      <c r="T129" t="s">
        <v>63</v>
      </c>
      <c r="X129" t="s">
        <v>63</v>
      </c>
      <c r="Y129" t="s">
        <v>1205</v>
      </c>
      <c r="Z129" t="s">
        <v>63</v>
      </c>
      <c r="AA129" t="s">
        <v>1206</v>
      </c>
      <c r="AB129">
        <v>18843073</v>
      </c>
      <c r="AC129" t="s">
        <v>67</v>
      </c>
      <c r="AD129" t="s">
        <v>63</v>
      </c>
      <c r="AE129" t="s">
        <v>63</v>
      </c>
      <c r="AF129" t="s">
        <v>63</v>
      </c>
      <c r="AG129" t="s">
        <v>1207</v>
      </c>
      <c r="AH129" t="s">
        <v>63</v>
      </c>
      <c r="AI129" t="s">
        <v>1208</v>
      </c>
      <c r="AJ129" t="s">
        <v>63</v>
      </c>
      <c r="AK129" t="s">
        <v>63</v>
      </c>
      <c r="AL129" t="s">
        <v>63</v>
      </c>
      <c r="AM129" t="s">
        <v>1209</v>
      </c>
      <c r="AN129" t="s">
        <v>63</v>
      </c>
      <c r="AO129" t="s">
        <v>63</v>
      </c>
      <c r="AP129" t="s">
        <v>63</v>
      </c>
      <c r="AQ129" t="s">
        <v>63</v>
      </c>
      <c r="AR129" t="s">
        <v>63</v>
      </c>
      <c r="AS129" t="s">
        <v>63</v>
      </c>
      <c r="AT129" t="s">
        <v>63</v>
      </c>
      <c r="AU129" t="s">
        <v>63</v>
      </c>
      <c r="AV129" t="s">
        <v>63</v>
      </c>
      <c r="AW129" t="s">
        <v>63</v>
      </c>
      <c r="AX129" t="s">
        <v>63</v>
      </c>
      <c r="AY129" t="s">
        <v>63</v>
      </c>
      <c r="AZ129" t="s">
        <v>63</v>
      </c>
      <c r="BA129" t="s">
        <v>63</v>
      </c>
      <c r="BB129" t="s">
        <v>63</v>
      </c>
      <c r="BC129" t="s">
        <v>63</v>
      </c>
      <c r="BD129" t="s">
        <v>63</v>
      </c>
      <c r="BE129" t="s">
        <v>63</v>
      </c>
      <c r="BF129" t="s">
        <v>63</v>
      </c>
    </row>
    <row r="130" spans="1:58">
      <c r="A130" t="s">
        <v>58</v>
      </c>
      <c r="B130" t="s">
        <v>1210</v>
      </c>
      <c r="C130" t="s">
        <v>1211</v>
      </c>
      <c r="D130" t="s">
        <v>1212</v>
      </c>
      <c r="E130" t="s">
        <v>63</v>
      </c>
      <c r="F130">
        <v>2012</v>
      </c>
      <c r="G130" t="s">
        <v>73</v>
      </c>
      <c r="H130">
        <v>6</v>
      </c>
      <c r="I130">
        <v>2</v>
      </c>
      <c r="J130">
        <v>131</v>
      </c>
      <c r="K130">
        <v>136</v>
      </c>
      <c r="L130" t="s">
        <v>1213</v>
      </c>
      <c r="M130" t="s">
        <v>1214</v>
      </c>
      <c r="N130" t="s">
        <v>1215</v>
      </c>
      <c r="O130" t="s">
        <v>63</v>
      </c>
      <c r="Q130" t="s">
        <v>63</v>
      </c>
      <c r="R130" t="s">
        <v>63</v>
      </c>
      <c r="S130" t="s">
        <v>63</v>
      </c>
      <c r="T130" t="s">
        <v>63</v>
      </c>
      <c r="X130" t="s">
        <v>63</v>
      </c>
      <c r="Y130" t="s">
        <v>1216</v>
      </c>
      <c r="Z130" t="s">
        <v>63</v>
      </c>
      <c r="AA130" t="s">
        <v>1217</v>
      </c>
      <c r="AB130">
        <v>22534417</v>
      </c>
      <c r="AC130" t="s">
        <v>67</v>
      </c>
      <c r="AD130" t="s">
        <v>63</v>
      </c>
      <c r="AE130" t="s">
        <v>63</v>
      </c>
      <c r="AF130" t="s">
        <v>63</v>
      </c>
      <c r="AG130" t="s">
        <v>1218</v>
      </c>
      <c r="AH130" t="s">
        <v>63</v>
      </c>
      <c r="AI130" t="s">
        <v>1219</v>
      </c>
      <c r="AJ130" t="s">
        <v>63</v>
      </c>
      <c r="AK130" t="s">
        <v>63</v>
      </c>
      <c r="AL130" t="s">
        <v>63</v>
      </c>
      <c r="AM130" t="s">
        <v>1220</v>
      </c>
      <c r="AN130" t="s">
        <v>63</v>
      </c>
      <c r="AO130" t="s">
        <v>63</v>
      </c>
      <c r="AP130" t="s">
        <v>63</v>
      </c>
      <c r="AQ130" t="s">
        <v>63</v>
      </c>
      <c r="AR130" t="s">
        <v>63</v>
      </c>
      <c r="AS130" t="s">
        <v>63</v>
      </c>
      <c r="AT130" t="s">
        <v>63</v>
      </c>
      <c r="AU130" t="s">
        <v>63</v>
      </c>
      <c r="AV130" t="s">
        <v>63</v>
      </c>
      <c r="AW130" t="s">
        <v>63</v>
      </c>
      <c r="AX130" t="s">
        <v>63</v>
      </c>
      <c r="AY130" t="s">
        <v>63</v>
      </c>
      <c r="AZ130" t="s">
        <v>63</v>
      </c>
      <c r="BA130" t="s">
        <v>63</v>
      </c>
      <c r="BB130" t="s">
        <v>63</v>
      </c>
      <c r="BC130" t="s">
        <v>63</v>
      </c>
      <c r="BD130" t="s">
        <v>63</v>
      </c>
      <c r="BE130" t="s">
        <v>63</v>
      </c>
      <c r="BF130" t="s">
        <v>63</v>
      </c>
    </row>
    <row r="131" spans="1:58">
      <c r="A131" t="s">
        <v>58</v>
      </c>
      <c r="B131" t="s">
        <v>1221</v>
      </c>
      <c r="C131" t="s">
        <v>1222</v>
      </c>
      <c r="D131" t="s">
        <v>1223</v>
      </c>
      <c r="E131" t="s">
        <v>1224</v>
      </c>
      <c r="F131">
        <v>1984</v>
      </c>
      <c r="G131" t="s">
        <v>198</v>
      </c>
      <c r="H131">
        <v>50</v>
      </c>
      <c r="I131">
        <v>1</v>
      </c>
      <c r="J131">
        <v>49</v>
      </c>
      <c r="K131">
        <v>51</v>
      </c>
      <c r="L131" t="s">
        <v>1225</v>
      </c>
      <c r="M131" t="s">
        <v>1226</v>
      </c>
      <c r="N131" t="s">
        <v>1227</v>
      </c>
      <c r="O131" t="s">
        <v>63</v>
      </c>
      <c r="Q131" t="s">
        <v>63</v>
      </c>
      <c r="R131" t="s">
        <v>63</v>
      </c>
      <c r="S131" t="s">
        <v>63</v>
      </c>
      <c r="T131" t="s">
        <v>63</v>
      </c>
      <c r="X131" t="s">
        <v>63</v>
      </c>
      <c r="Y131" t="s">
        <v>1228</v>
      </c>
      <c r="Z131" t="s">
        <v>63</v>
      </c>
      <c r="AA131" t="s">
        <v>63</v>
      </c>
      <c r="AB131">
        <v>6607002</v>
      </c>
      <c r="AC131" t="s">
        <v>67</v>
      </c>
      <c r="AD131" t="s">
        <v>63</v>
      </c>
      <c r="AE131" t="s">
        <v>63</v>
      </c>
      <c r="AF131" t="s">
        <v>63</v>
      </c>
      <c r="AG131" t="s">
        <v>1229</v>
      </c>
      <c r="AH131" t="s">
        <v>63</v>
      </c>
      <c r="AI131" t="s">
        <v>63</v>
      </c>
      <c r="AJ131" t="s">
        <v>63</v>
      </c>
      <c r="AK131" t="s">
        <v>63</v>
      </c>
      <c r="AL131" t="s">
        <v>63</v>
      </c>
      <c r="AM131" t="s">
        <v>1230</v>
      </c>
      <c r="AN131" t="s">
        <v>63</v>
      </c>
      <c r="AO131" t="s">
        <v>63</v>
      </c>
      <c r="AP131" t="s">
        <v>63</v>
      </c>
      <c r="AQ131" t="s">
        <v>63</v>
      </c>
      <c r="AR131" t="s">
        <v>63</v>
      </c>
      <c r="AS131" t="s">
        <v>63</v>
      </c>
      <c r="AT131" t="s">
        <v>63</v>
      </c>
      <c r="AU131" t="s">
        <v>63</v>
      </c>
      <c r="AV131" t="s">
        <v>63</v>
      </c>
      <c r="AW131" t="s">
        <v>63</v>
      </c>
      <c r="AX131" t="s">
        <v>63</v>
      </c>
      <c r="AY131" t="s">
        <v>63</v>
      </c>
      <c r="AZ131" t="s">
        <v>63</v>
      </c>
      <c r="BA131" t="s">
        <v>63</v>
      </c>
      <c r="BB131" t="s">
        <v>63</v>
      </c>
      <c r="BC131" t="s">
        <v>63</v>
      </c>
      <c r="BD131" t="s">
        <v>63</v>
      </c>
      <c r="BE131" t="s">
        <v>63</v>
      </c>
      <c r="BF131" t="s">
        <v>63</v>
      </c>
    </row>
    <row r="132" spans="1:58">
      <c r="A132" t="s">
        <v>58</v>
      </c>
      <c r="B132" t="s">
        <v>1231</v>
      </c>
      <c r="C132" t="s">
        <v>1232</v>
      </c>
      <c r="D132" t="s">
        <v>389</v>
      </c>
      <c r="E132" t="s">
        <v>63</v>
      </c>
      <c r="F132">
        <v>2002</v>
      </c>
      <c r="G132" t="s">
        <v>181</v>
      </c>
      <c r="H132">
        <v>23</v>
      </c>
      <c r="I132">
        <v>3</v>
      </c>
      <c r="J132">
        <v>105</v>
      </c>
      <c r="K132">
        <v>131</v>
      </c>
      <c r="L132" t="s">
        <v>1233</v>
      </c>
      <c r="M132" t="s">
        <v>63</v>
      </c>
      <c r="N132" t="s">
        <v>1234</v>
      </c>
      <c r="O132" t="s">
        <v>63</v>
      </c>
      <c r="Q132" t="s">
        <v>63</v>
      </c>
      <c r="R132" t="s">
        <v>63</v>
      </c>
      <c r="S132" t="s">
        <v>63</v>
      </c>
      <c r="T132" t="s">
        <v>63</v>
      </c>
      <c r="X132" t="s">
        <v>63</v>
      </c>
      <c r="Y132" t="s">
        <v>392</v>
      </c>
      <c r="Z132" t="s">
        <v>63</v>
      </c>
      <c r="AA132" t="s">
        <v>1235</v>
      </c>
      <c r="AB132">
        <v>23580990</v>
      </c>
      <c r="AC132" t="s">
        <v>67</v>
      </c>
      <c r="AD132" t="s">
        <v>63</v>
      </c>
      <c r="AE132" t="s">
        <v>63</v>
      </c>
      <c r="AF132" t="s">
        <v>63</v>
      </c>
      <c r="AG132" t="s">
        <v>1236</v>
      </c>
      <c r="AH132" t="s">
        <v>63</v>
      </c>
      <c r="AI132" t="s">
        <v>63</v>
      </c>
      <c r="AJ132" t="s">
        <v>63</v>
      </c>
      <c r="AK132" t="s">
        <v>63</v>
      </c>
      <c r="AL132" t="s">
        <v>63</v>
      </c>
      <c r="AM132" t="s">
        <v>1237</v>
      </c>
      <c r="AN132" t="s">
        <v>63</v>
      </c>
      <c r="AO132" t="s">
        <v>63</v>
      </c>
      <c r="AP132" t="s">
        <v>63</v>
      </c>
      <c r="AQ132" t="s">
        <v>63</v>
      </c>
      <c r="AR132" t="s">
        <v>63</v>
      </c>
      <c r="AS132" t="s">
        <v>63</v>
      </c>
      <c r="AT132" t="s">
        <v>63</v>
      </c>
      <c r="AU132" t="s">
        <v>63</v>
      </c>
      <c r="AV132" t="s">
        <v>63</v>
      </c>
      <c r="AW132" t="s">
        <v>63</v>
      </c>
      <c r="AX132" t="s">
        <v>63</v>
      </c>
      <c r="AY132" t="s">
        <v>63</v>
      </c>
      <c r="AZ132" t="s">
        <v>63</v>
      </c>
      <c r="BA132" t="s">
        <v>63</v>
      </c>
      <c r="BB132" t="s">
        <v>63</v>
      </c>
      <c r="BC132" t="s">
        <v>63</v>
      </c>
      <c r="BD132" t="s">
        <v>63</v>
      </c>
      <c r="BE132" t="s">
        <v>63</v>
      </c>
      <c r="BF132" t="s">
        <v>63</v>
      </c>
    </row>
    <row r="133" spans="1:58">
      <c r="A133" t="s">
        <v>58</v>
      </c>
      <c r="B133" t="s">
        <v>1238</v>
      </c>
      <c r="C133" t="s">
        <v>1239</v>
      </c>
      <c r="D133" t="s">
        <v>1240</v>
      </c>
      <c r="E133" t="s">
        <v>63</v>
      </c>
      <c r="F133">
        <v>2017</v>
      </c>
      <c r="G133" t="s">
        <v>84</v>
      </c>
      <c r="H133">
        <v>67</v>
      </c>
      <c r="I133">
        <v>657</v>
      </c>
      <c r="J133" t="s">
        <v>1241</v>
      </c>
      <c r="K133" t="s">
        <v>1242</v>
      </c>
      <c r="L133" t="s">
        <v>1243</v>
      </c>
      <c r="M133" t="s">
        <v>1244</v>
      </c>
      <c r="N133" t="s">
        <v>1245</v>
      </c>
      <c r="O133" t="s">
        <v>63</v>
      </c>
      <c r="Q133" t="s">
        <v>63</v>
      </c>
      <c r="R133" t="s">
        <v>63</v>
      </c>
      <c r="S133" t="s">
        <v>63</v>
      </c>
      <c r="T133" t="s">
        <v>63</v>
      </c>
      <c r="X133" t="s">
        <v>63</v>
      </c>
      <c r="Y133" t="s">
        <v>1246</v>
      </c>
      <c r="Z133" t="s">
        <v>63</v>
      </c>
      <c r="AA133" t="s">
        <v>1247</v>
      </c>
      <c r="AB133">
        <v>28246098</v>
      </c>
      <c r="AC133" t="s">
        <v>67</v>
      </c>
      <c r="AD133" t="s">
        <v>63</v>
      </c>
      <c r="AE133" t="s">
        <v>63</v>
      </c>
      <c r="AF133" t="s">
        <v>63</v>
      </c>
      <c r="AG133" t="s">
        <v>1248</v>
      </c>
      <c r="AH133" t="s">
        <v>63</v>
      </c>
      <c r="AI133" t="s">
        <v>1249</v>
      </c>
      <c r="AJ133" t="s">
        <v>63</v>
      </c>
      <c r="AK133" t="s">
        <v>63</v>
      </c>
      <c r="AL133" t="s">
        <v>63</v>
      </c>
      <c r="AM133" t="s">
        <v>1250</v>
      </c>
      <c r="AN133" t="s">
        <v>63</v>
      </c>
      <c r="AO133" t="s">
        <v>63</v>
      </c>
      <c r="AP133" t="s">
        <v>63</v>
      </c>
      <c r="AQ133" t="s">
        <v>63</v>
      </c>
      <c r="AR133" t="s">
        <v>63</v>
      </c>
      <c r="AS133" t="s">
        <v>63</v>
      </c>
      <c r="AT133" t="s">
        <v>63</v>
      </c>
      <c r="AU133" t="s">
        <v>63</v>
      </c>
      <c r="AV133" t="s">
        <v>63</v>
      </c>
      <c r="AW133" t="s">
        <v>63</v>
      </c>
      <c r="AX133" t="s">
        <v>63</v>
      </c>
      <c r="AY133" t="s">
        <v>63</v>
      </c>
      <c r="AZ133" t="s">
        <v>63</v>
      </c>
      <c r="BA133" t="s">
        <v>63</v>
      </c>
      <c r="BB133" t="s">
        <v>63</v>
      </c>
      <c r="BC133" t="s">
        <v>63</v>
      </c>
      <c r="BD133" t="s">
        <v>63</v>
      </c>
      <c r="BE133" t="s">
        <v>63</v>
      </c>
      <c r="BF133" t="s">
        <v>63</v>
      </c>
    </row>
    <row r="134" spans="1:58">
      <c r="A134" t="s">
        <v>58</v>
      </c>
      <c r="B134" t="s">
        <v>1251</v>
      </c>
      <c r="C134" t="s">
        <v>1252</v>
      </c>
      <c r="D134" t="s">
        <v>1253</v>
      </c>
      <c r="E134" t="s">
        <v>63</v>
      </c>
      <c r="F134">
        <v>2002</v>
      </c>
      <c r="G134" t="s">
        <v>84</v>
      </c>
      <c r="H134">
        <v>83</v>
      </c>
      <c r="I134">
        <v>4</v>
      </c>
      <c r="J134">
        <v>517</v>
      </c>
      <c r="K134">
        <v>522</v>
      </c>
      <c r="L134" t="s">
        <v>1254</v>
      </c>
      <c r="M134" t="s">
        <v>1255</v>
      </c>
      <c r="N134" t="s">
        <v>1256</v>
      </c>
      <c r="O134" t="s">
        <v>63</v>
      </c>
      <c r="Q134" t="s">
        <v>63</v>
      </c>
      <c r="R134" t="s">
        <v>63</v>
      </c>
      <c r="S134" t="s">
        <v>63</v>
      </c>
      <c r="T134" t="s">
        <v>63</v>
      </c>
      <c r="X134" t="s">
        <v>63</v>
      </c>
      <c r="Y134" s="2">
        <v>2954507</v>
      </c>
      <c r="Z134" t="s">
        <v>63</v>
      </c>
      <c r="AA134" t="s">
        <v>1257</v>
      </c>
      <c r="AB134">
        <v>11932854</v>
      </c>
      <c r="AC134" t="s">
        <v>67</v>
      </c>
      <c r="AD134" t="s">
        <v>63</v>
      </c>
      <c r="AE134" t="s">
        <v>63</v>
      </c>
      <c r="AF134" t="s">
        <v>63</v>
      </c>
      <c r="AG134" t="s">
        <v>1258</v>
      </c>
      <c r="AH134" t="s">
        <v>63</v>
      </c>
      <c r="AI134" t="s">
        <v>63</v>
      </c>
      <c r="AJ134" t="s">
        <v>63</v>
      </c>
      <c r="AK134" t="s">
        <v>63</v>
      </c>
      <c r="AL134" t="s">
        <v>63</v>
      </c>
      <c r="AM134" t="s">
        <v>1259</v>
      </c>
      <c r="AN134" t="s">
        <v>63</v>
      </c>
      <c r="AO134" t="s">
        <v>63</v>
      </c>
      <c r="AP134" t="s">
        <v>63</v>
      </c>
      <c r="AQ134" t="s">
        <v>63</v>
      </c>
      <c r="AR134" t="s">
        <v>63</v>
      </c>
      <c r="AS134" t="s">
        <v>63</v>
      </c>
      <c r="AT134" t="s">
        <v>63</v>
      </c>
      <c r="AU134" t="s">
        <v>63</v>
      </c>
      <c r="AV134" t="s">
        <v>63</v>
      </c>
      <c r="AW134" t="s">
        <v>63</v>
      </c>
      <c r="AX134" t="s">
        <v>63</v>
      </c>
      <c r="AY134" t="s">
        <v>63</v>
      </c>
      <c r="AZ134" t="s">
        <v>63</v>
      </c>
      <c r="BA134" t="s">
        <v>63</v>
      </c>
      <c r="BB134" t="s">
        <v>63</v>
      </c>
      <c r="BC134" t="s">
        <v>63</v>
      </c>
      <c r="BD134" t="s">
        <v>63</v>
      </c>
      <c r="BE134" t="s">
        <v>63</v>
      </c>
      <c r="BF134" t="s">
        <v>63</v>
      </c>
    </row>
    <row r="135" spans="1:58">
      <c r="A135" t="s">
        <v>58</v>
      </c>
      <c r="B135" t="s">
        <v>1260</v>
      </c>
      <c r="C135" t="s">
        <v>1261</v>
      </c>
      <c r="D135" t="s">
        <v>1253</v>
      </c>
      <c r="E135" t="s">
        <v>63</v>
      </c>
      <c r="F135">
        <v>2003</v>
      </c>
      <c r="G135" t="s">
        <v>181</v>
      </c>
      <c r="H135">
        <v>84</v>
      </c>
      <c r="I135">
        <v>9</v>
      </c>
      <c r="J135">
        <v>1301</v>
      </c>
      <c r="K135">
        <v>1307</v>
      </c>
      <c r="L135" t="s">
        <v>1262</v>
      </c>
      <c r="M135" t="s">
        <v>1263</v>
      </c>
      <c r="N135" t="s">
        <v>1264</v>
      </c>
      <c r="O135" t="s">
        <v>63</v>
      </c>
      <c r="Q135" t="s">
        <v>63</v>
      </c>
      <c r="R135" t="s">
        <v>63</v>
      </c>
      <c r="S135" t="s">
        <v>63</v>
      </c>
      <c r="T135" t="s">
        <v>63</v>
      </c>
      <c r="X135" t="s">
        <v>63</v>
      </c>
      <c r="Y135" s="2">
        <v>2954507</v>
      </c>
      <c r="Z135" t="s">
        <v>63</v>
      </c>
      <c r="AA135" t="s">
        <v>1265</v>
      </c>
      <c r="AB135">
        <v>13680565</v>
      </c>
      <c r="AC135" t="s">
        <v>67</v>
      </c>
      <c r="AD135" t="s">
        <v>63</v>
      </c>
      <c r="AE135" t="s">
        <v>63</v>
      </c>
      <c r="AF135" t="s">
        <v>63</v>
      </c>
      <c r="AG135" t="s">
        <v>1266</v>
      </c>
      <c r="AH135" t="s">
        <v>63</v>
      </c>
      <c r="AI135" t="s">
        <v>63</v>
      </c>
      <c r="AJ135" t="s">
        <v>63</v>
      </c>
      <c r="AK135" t="s">
        <v>63</v>
      </c>
      <c r="AL135" t="s">
        <v>63</v>
      </c>
      <c r="AM135" t="s">
        <v>1267</v>
      </c>
      <c r="AN135" t="s">
        <v>63</v>
      </c>
      <c r="AO135" t="s">
        <v>63</v>
      </c>
      <c r="AP135" t="s">
        <v>63</v>
      </c>
      <c r="AQ135" t="s">
        <v>63</v>
      </c>
      <c r="AR135" t="s">
        <v>63</v>
      </c>
      <c r="AS135" t="s">
        <v>63</v>
      </c>
      <c r="AT135" t="s">
        <v>63</v>
      </c>
      <c r="AU135" t="s">
        <v>63</v>
      </c>
      <c r="AV135" t="s">
        <v>63</v>
      </c>
      <c r="AW135" t="s">
        <v>63</v>
      </c>
      <c r="AX135" t="s">
        <v>63</v>
      </c>
      <c r="AY135" t="s">
        <v>63</v>
      </c>
      <c r="AZ135" t="s">
        <v>63</v>
      </c>
      <c r="BA135" t="s">
        <v>63</v>
      </c>
      <c r="BB135" t="s">
        <v>63</v>
      </c>
      <c r="BC135" t="s">
        <v>63</v>
      </c>
      <c r="BD135" t="s">
        <v>63</v>
      </c>
      <c r="BE135" t="s">
        <v>63</v>
      </c>
      <c r="BF135" t="s">
        <v>63</v>
      </c>
    </row>
    <row r="136" spans="1:58">
      <c r="A136" t="s">
        <v>58</v>
      </c>
      <c r="B136" t="s">
        <v>1268</v>
      </c>
      <c r="C136" t="s">
        <v>1269</v>
      </c>
      <c r="D136" t="s">
        <v>1270</v>
      </c>
      <c r="E136" t="s">
        <v>1270</v>
      </c>
      <c r="F136">
        <v>2009</v>
      </c>
      <c r="G136" t="s">
        <v>181</v>
      </c>
      <c r="H136">
        <v>80</v>
      </c>
      <c r="I136">
        <v>9</v>
      </c>
      <c r="J136">
        <v>1022</v>
      </c>
      <c r="K136">
        <v>1029</v>
      </c>
      <c r="L136" t="s">
        <v>1271</v>
      </c>
      <c r="M136" t="s">
        <v>1272</v>
      </c>
      <c r="N136" t="s">
        <v>1273</v>
      </c>
      <c r="O136" t="s">
        <v>63</v>
      </c>
      <c r="Q136" t="s">
        <v>63</v>
      </c>
      <c r="R136" t="s">
        <v>63</v>
      </c>
      <c r="S136" t="s">
        <v>63</v>
      </c>
      <c r="T136" t="s">
        <v>63</v>
      </c>
      <c r="X136" t="s">
        <v>63</v>
      </c>
      <c r="Y136" t="s">
        <v>1274</v>
      </c>
      <c r="Z136" t="s">
        <v>63</v>
      </c>
      <c r="AA136" t="s">
        <v>1275</v>
      </c>
      <c r="AB136">
        <v>19693479</v>
      </c>
      <c r="AC136" t="s">
        <v>102</v>
      </c>
      <c r="AD136" t="s">
        <v>63</v>
      </c>
      <c r="AE136" t="s">
        <v>63</v>
      </c>
      <c r="AF136" t="s">
        <v>63</v>
      </c>
      <c r="AG136" t="s">
        <v>1276</v>
      </c>
      <c r="AH136" t="s">
        <v>63</v>
      </c>
      <c r="AI136" t="s">
        <v>1277</v>
      </c>
      <c r="AJ136" t="s">
        <v>63</v>
      </c>
      <c r="AK136" t="s">
        <v>63</v>
      </c>
      <c r="AL136" t="s">
        <v>63</v>
      </c>
      <c r="AM136" t="s">
        <v>1278</v>
      </c>
      <c r="AN136" t="s">
        <v>63</v>
      </c>
      <c r="AO136" t="s">
        <v>63</v>
      </c>
      <c r="AP136" t="s">
        <v>63</v>
      </c>
      <c r="AQ136" t="s">
        <v>63</v>
      </c>
      <c r="AR136" t="s">
        <v>63</v>
      </c>
      <c r="AS136" t="s">
        <v>63</v>
      </c>
      <c r="AT136" t="s">
        <v>63</v>
      </c>
      <c r="AU136" t="s">
        <v>63</v>
      </c>
      <c r="AV136" t="s">
        <v>63</v>
      </c>
      <c r="AW136" t="s">
        <v>63</v>
      </c>
      <c r="AX136" t="s">
        <v>63</v>
      </c>
      <c r="AY136" t="s">
        <v>63</v>
      </c>
      <c r="AZ136" t="s">
        <v>63</v>
      </c>
      <c r="BA136" t="s">
        <v>63</v>
      </c>
      <c r="BB136" t="s">
        <v>63</v>
      </c>
      <c r="BC136" t="s">
        <v>63</v>
      </c>
      <c r="BD136" t="s">
        <v>63</v>
      </c>
      <c r="BE136" t="s">
        <v>63</v>
      </c>
      <c r="BF136" t="s">
        <v>63</v>
      </c>
    </row>
    <row r="137" spans="1:58">
      <c r="A137" t="s">
        <v>58</v>
      </c>
      <c r="B137" t="s">
        <v>1279</v>
      </c>
      <c r="C137" t="s">
        <v>1280</v>
      </c>
      <c r="D137" t="s">
        <v>1281</v>
      </c>
      <c r="E137" t="s">
        <v>1282</v>
      </c>
      <c r="F137">
        <v>2006</v>
      </c>
      <c r="G137" t="s">
        <v>181</v>
      </c>
      <c r="H137">
        <v>118</v>
      </c>
      <c r="I137" t="s">
        <v>1283</v>
      </c>
      <c r="J137">
        <v>521</v>
      </c>
      <c r="K137">
        <v>530</v>
      </c>
      <c r="L137" t="s">
        <v>1284</v>
      </c>
      <c r="M137" t="s">
        <v>1285</v>
      </c>
      <c r="N137" t="s">
        <v>1286</v>
      </c>
      <c r="O137" t="s">
        <v>63</v>
      </c>
      <c r="Q137" t="s">
        <v>63</v>
      </c>
      <c r="R137" t="s">
        <v>63</v>
      </c>
      <c r="S137" t="s">
        <v>63</v>
      </c>
      <c r="T137" t="s">
        <v>63</v>
      </c>
      <c r="X137" t="s">
        <v>63</v>
      </c>
      <c r="Y137" t="s">
        <v>1287</v>
      </c>
      <c r="Z137" t="s">
        <v>63</v>
      </c>
      <c r="AA137" t="s">
        <v>1288</v>
      </c>
      <c r="AB137">
        <v>17009064</v>
      </c>
      <c r="AC137" t="s">
        <v>102</v>
      </c>
      <c r="AD137" t="s">
        <v>63</v>
      </c>
      <c r="AE137" t="s">
        <v>63</v>
      </c>
      <c r="AF137" t="s">
        <v>63</v>
      </c>
      <c r="AG137" t="s">
        <v>1289</v>
      </c>
      <c r="AH137" t="s">
        <v>63</v>
      </c>
      <c r="AI137" t="s">
        <v>63</v>
      </c>
      <c r="AJ137" t="s">
        <v>63</v>
      </c>
      <c r="AK137" t="s">
        <v>63</v>
      </c>
      <c r="AL137" t="s">
        <v>63</v>
      </c>
      <c r="AM137" t="s">
        <v>1290</v>
      </c>
      <c r="AN137" t="s">
        <v>63</v>
      </c>
      <c r="AO137" t="s">
        <v>63</v>
      </c>
      <c r="AP137" t="s">
        <v>63</v>
      </c>
      <c r="AQ137" t="s">
        <v>63</v>
      </c>
      <c r="AR137" t="s">
        <v>63</v>
      </c>
      <c r="AS137" t="s">
        <v>63</v>
      </c>
      <c r="AT137" t="s">
        <v>63</v>
      </c>
      <c r="AU137" t="s">
        <v>63</v>
      </c>
      <c r="AV137" t="s">
        <v>63</v>
      </c>
      <c r="AW137" t="s">
        <v>63</v>
      </c>
      <c r="AX137" t="s">
        <v>63</v>
      </c>
      <c r="AY137" t="s">
        <v>63</v>
      </c>
      <c r="AZ137" t="s">
        <v>63</v>
      </c>
      <c r="BA137" t="s">
        <v>63</v>
      </c>
      <c r="BB137" t="s">
        <v>63</v>
      </c>
      <c r="BC137" t="s">
        <v>63</v>
      </c>
      <c r="BD137" t="s">
        <v>63</v>
      </c>
      <c r="BE137" t="s">
        <v>63</v>
      </c>
      <c r="BF137" t="s">
        <v>63</v>
      </c>
    </row>
    <row r="138" spans="1:58">
      <c r="A138" t="s">
        <v>58</v>
      </c>
      <c r="B138" t="s">
        <v>1291</v>
      </c>
      <c r="C138" t="s">
        <v>1292</v>
      </c>
      <c r="D138" t="s">
        <v>1293</v>
      </c>
      <c r="E138" t="s">
        <v>1294</v>
      </c>
      <c r="F138">
        <v>1992</v>
      </c>
      <c r="G138" t="s">
        <v>1085</v>
      </c>
      <c r="H138">
        <v>24</v>
      </c>
      <c r="I138">
        <v>7</v>
      </c>
      <c r="J138">
        <v>488</v>
      </c>
      <c r="K138" t="s">
        <v>63</v>
      </c>
      <c r="L138" t="s">
        <v>1295</v>
      </c>
      <c r="M138" t="s">
        <v>63</v>
      </c>
      <c r="N138" t="s">
        <v>1296</v>
      </c>
      <c r="O138" t="s">
        <v>63</v>
      </c>
      <c r="Q138" t="s">
        <v>63</v>
      </c>
      <c r="R138" t="s">
        <v>63</v>
      </c>
      <c r="S138" t="s">
        <v>63</v>
      </c>
      <c r="T138" t="s">
        <v>63</v>
      </c>
      <c r="X138" t="s">
        <v>63</v>
      </c>
      <c r="Y138" t="s">
        <v>1297</v>
      </c>
      <c r="Z138" t="s">
        <v>63</v>
      </c>
      <c r="AA138" t="s">
        <v>63</v>
      </c>
      <c r="AB138">
        <v>1397820</v>
      </c>
      <c r="AC138" t="s">
        <v>67</v>
      </c>
      <c r="AD138" t="s">
        <v>63</v>
      </c>
      <c r="AE138" t="s">
        <v>63</v>
      </c>
      <c r="AF138" t="s">
        <v>63</v>
      </c>
      <c r="AG138" t="s">
        <v>1298</v>
      </c>
      <c r="AH138" t="s">
        <v>63</v>
      </c>
      <c r="AI138" t="s">
        <v>63</v>
      </c>
      <c r="AJ138" t="s">
        <v>63</v>
      </c>
      <c r="AK138" t="s">
        <v>63</v>
      </c>
      <c r="AL138" t="s">
        <v>63</v>
      </c>
      <c r="AM138" t="s">
        <v>1299</v>
      </c>
      <c r="AN138" t="s">
        <v>63</v>
      </c>
      <c r="AO138" t="s">
        <v>63</v>
      </c>
      <c r="AP138" t="s">
        <v>63</v>
      </c>
      <c r="AQ138" t="s">
        <v>63</v>
      </c>
      <c r="AR138" t="s">
        <v>63</v>
      </c>
      <c r="AS138" t="s">
        <v>63</v>
      </c>
      <c r="AT138" t="s">
        <v>63</v>
      </c>
      <c r="AU138" t="s">
        <v>63</v>
      </c>
      <c r="AV138" t="s">
        <v>63</v>
      </c>
      <c r="AW138" t="s">
        <v>63</v>
      </c>
      <c r="AX138" t="s">
        <v>63</v>
      </c>
      <c r="AY138" t="s">
        <v>63</v>
      </c>
      <c r="AZ138" t="s">
        <v>63</v>
      </c>
      <c r="BA138" t="s">
        <v>63</v>
      </c>
      <c r="BB138" t="s">
        <v>63</v>
      </c>
      <c r="BC138" t="s">
        <v>63</v>
      </c>
      <c r="BD138" t="s">
        <v>63</v>
      </c>
      <c r="BE138" t="s">
        <v>63</v>
      </c>
      <c r="BF138" t="s">
        <v>63</v>
      </c>
    </row>
    <row r="139" spans="1:58">
      <c r="A139" t="s">
        <v>58</v>
      </c>
      <c r="B139" t="s">
        <v>1300</v>
      </c>
      <c r="C139" t="s">
        <v>1301</v>
      </c>
      <c r="D139" t="s">
        <v>1302</v>
      </c>
      <c r="E139" t="s">
        <v>1303</v>
      </c>
      <c r="F139">
        <v>2016</v>
      </c>
      <c r="G139" t="s">
        <v>84</v>
      </c>
      <c r="H139">
        <v>28</v>
      </c>
      <c r="I139">
        <v>2</v>
      </c>
      <c r="J139">
        <v>258</v>
      </c>
      <c r="K139">
        <v>265</v>
      </c>
      <c r="L139" t="s">
        <v>1304</v>
      </c>
      <c r="M139" t="s">
        <v>1305</v>
      </c>
      <c r="N139" t="s">
        <v>1306</v>
      </c>
      <c r="O139" t="s">
        <v>63</v>
      </c>
      <c r="Q139" t="s">
        <v>63</v>
      </c>
      <c r="R139" t="s">
        <v>63</v>
      </c>
      <c r="S139" t="s">
        <v>63</v>
      </c>
      <c r="T139" t="s">
        <v>63</v>
      </c>
      <c r="X139" t="s">
        <v>63</v>
      </c>
      <c r="Y139" t="s">
        <v>1307</v>
      </c>
      <c r="Z139" t="s">
        <v>63</v>
      </c>
      <c r="AA139" t="s">
        <v>1308</v>
      </c>
      <c r="AB139">
        <v>26867164</v>
      </c>
      <c r="AC139" t="s">
        <v>67</v>
      </c>
      <c r="AD139" t="s">
        <v>63</v>
      </c>
      <c r="AE139" t="s">
        <v>63</v>
      </c>
      <c r="AF139" t="s">
        <v>63</v>
      </c>
      <c r="AG139" t="s">
        <v>1309</v>
      </c>
      <c r="AH139" t="s">
        <v>63</v>
      </c>
      <c r="AI139" t="s">
        <v>1310</v>
      </c>
      <c r="AJ139" t="s">
        <v>63</v>
      </c>
      <c r="AK139" t="s">
        <v>63</v>
      </c>
      <c r="AL139" t="s">
        <v>63</v>
      </c>
      <c r="AM139" t="s">
        <v>1311</v>
      </c>
      <c r="AN139" t="s">
        <v>63</v>
      </c>
      <c r="AO139" t="s">
        <v>63</v>
      </c>
      <c r="AP139" t="s">
        <v>63</v>
      </c>
      <c r="AQ139" t="s">
        <v>63</v>
      </c>
      <c r="AR139" t="s">
        <v>63</v>
      </c>
      <c r="AS139" t="s">
        <v>63</v>
      </c>
      <c r="AT139" t="s">
        <v>63</v>
      </c>
      <c r="AU139" t="s">
        <v>63</v>
      </c>
      <c r="AV139" t="s">
        <v>63</v>
      </c>
      <c r="AW139" t="s">
        <v>63</v>
      </c>
      <c r="AX139" t="s">
        <v>63</v>
      </c>
      <c r="AY139" t="s">
        <v>63</v>
      </c>
      <c r="AZ139" t="s">
        <v>63</v>
      </c>
      <c r="BA139" t="s">
        <v>63</v>
      </c>
      <c r="BB139" t="s">
        <v>63</v>
      </c>
      <c r="BC139" t="s">
        <v>63</v>
      </c>
      <c r="BD139" t="s">
        <v>63</v>
      </c>
      <c r="BE139" t="s">
        <v>63</v>
      </c>
      <c r="BF139" t="s">
        <v>63</v>
      </c>
    </row>
    <row r="140" spans="1:58">
      <c r="A140" t="s">
        <v>58</v>
      </c>
      <c r="B140" t="s">
        <v>1312</v>
      </c>
      <c r="C140" t="s">
        <v>1313</v>
      </c>
      <c r="D140" t="s">
        <v>1314</v>
      </c>
      <c r="E140" t="s">
        <v>63</v>
      </c>
      <c r="F140">
        <v>2015</v>
      </c>
      <c r="G140" t="s">
        <v>181</v>
      </c>
      <c r="H140">
        <v>11</v>
      </c>
      <c r="I140">
        <v>3</v>
      </c>
      <c r="J140">
        <v>279</v>
      </c>
      <c r="K140">
        <v>280</v>
      </c>
      <c r="L140" t="s">
        <v>1315</v>
      </c>
      <c r="M140" t="s">
        <v>63</v>
      </c>
      <c r="N140" t="s">
        <v>1316</v>
      </c>
      <c r="O140" t="s">
        <v>63</v>
      </c>
      <c r="Q140" t="s">
        <v>63</v>
      </c>
      <c r="R140" t="s">
        <v>63</v>
      </c>
      <c r="S140" t="s">
        <v>63</v>
      </c>
      <c r="T140" t="s">
        <v>63</v>
      </c>
      <c r="X140" t="s">
        <v>63</v>
      </c>
      <c r="Y140" t="s">
        <v>1317</v>
      </c>
      <c r="Z140" t="s">
        <v>63</v>
      </c>
      <c r="AA140" t="s">
        <v>1318</v>
      </c>
      <c r="AB140">
        <v>26123686</v>
      </c>
      <c r="AC140" t="s">
        <v>67</v>
      </c>
      <c r="AD140" t="s">
        <v>63</v>
      </c>
      <c r="AE140" t="s">
        <v>63</v>
      </c>
      <c r="AF140" t="s">
        <v>63</v>
      </c>
      <c r="AG140" t="s">
        <v>1319</v>
      </c>
      <c r="AH140" t="s">
        <v>63</v>
      </c>
      <c r="AI140" t="s">
        <v>1320</v>
      </c>
      <c r="AJ140" t="s">
        <v>63</v>
      </c>
      <c r="AK140" t="s">
        <v>63</v>
      </c>
      <c r="AL140" t="s">
        <v>63</v>
      </c>
      <c r="AM140" t="s">
        <v>1321</v>
      </c>
      <c r="AN140" t="s">
        <v>63</v>
      </c>
      <c r="AO140" t="s">
        <v>63</v>
      </c>
      <c r="AP140" t="s">
        <v>63</v>
      </c>
      <c r="AQ140" t="s">
        <v>63</v>
      </c>
      <c r="AR140" t="s">
        <v>63</v>
      </c>
      <c r="AS140" t="s">
        <v>63</v>
      </c>
      <c r="AT140" t="s">
        <v>63</v>
      </c>
      <c r="AU140" t="s">
        <v>63</v>
      </c>
      <c r="AV140" t="s">
        <v>63</v>
      </c>
      <c r="AW140" t="s">
        <v>63</v>
      </c>
      <c r="AX140" t="s">
        <v>63</v>
      </c>
      <c r="AY140" t="s">
        <v>63</v>
      </c>
      <c r="AZ140" t="s">
        <v>63</v>
      </c>
      <c r="BA140" t="s">
        <v>63</v>
      </c>
      <c r="BB140" t="s">
        <v>63</v>
      </c>
      <c r="BC140" t="s">
        <v>63</v>
      </c>
      <c r="BD140" t="s">
        <v>63</v>
      </c>
      <c r="BE140" t="s">
        <v>63</v>
      </c>
      <c r="BF140" t="s">
        <v>63</v>
      </c>
    </row>
    <row r="141" spans="1:58">
      <c r="A141" t="s">
        <v>58</v>
      </c>
      <c r="B141" t="s">
        <v>1322</v>
      </c>
      <c r="C141" t="s">
        <v>1323</v>
      </c>
      <c r="D141" t="s">
        <v>111</v>
      </c>
      <c r="E141" t="s">
        <v>112</v>
      </c>
      <c r="F141">
        <v>2012</v>
      </c>
      <c r="G141" s="1">
        <v>41857</v>
      </c>
      <c r="H141">
        <v>157</v>
      </c>
      <c r="I141">
        <v>3</v>
      </c>
      <c r="J141">
        <v>205</v>
      </c>
      <c r="K141">
        <v>206</v>
      </c>
      <c r="L141" t="s">
        <v>1324</v>
      </c>
      <c r="M141" t="s">
        <v>63</v>
      </c>
      <c r="N141" t="s">
        <v>1325</v>
      </c>
      <c r="O141" t="s">
        <v>63</v>
      </c>
      <c r="Q141" t="s">
        <v>63</v>
      </c>
      <c r="R141" t="s">
        <v>63</v>
      </c>
      <c r="S141" t="s">
        <v>63</v>
      </c>
      <c r="T141" t="s">
        <v>63</v>
      </c>
      <c r="X141" t="s">
        <v>63</v>
      </c>
      <c r="Y141" t="s">
        <v>116</v>
      </c>
      <c r="Z141" t="s">
        <v>63</v>
      </c>
      <c r="AA141" t="s">
        <v>1326</v>
      </c>
      <c r="AB141">
        <v>22868838</v>
      </c>
      <c r="AC141" t="s">
        <v>67</v>
      </c>
      <c r="AD141" t="s">
        <v>63</v>
      </c>
      <c r="AE141" t="s">
        <v>63</v>
      </c>
      <c r="AF141" t="s">
        <v>63</v>
      </c>
      <c r="AG141" t="s">
        <v>1327</v>
      </c>
      <c r="AH141" t="s">
        <v>63</v>
      </c>
      <c r="AI141" t="s">
        <v>1328</v>
      </c>
      <c r="AJ141" t="s">
        <v>63</v>
      </c>
      <c r="AK141" t="s">
        <v>63</v>
      </c>
      <c r="AL141" t="s">
        <v>63</v>
      </c>
      <c r="AM141" t="s">
        <v>1329</v>
      </c>
      <c r="AN141" t="s">
        <v>63</v>
      </c>
      <c r="AO141" t="s">
        <v>63</v>
      </c>
      <c r="AP141" t="s">
        <v>63</v>
      </c>
      <c r="AQ141" t="s">
        <v>63</v>
      </c>
      <c r="AR141" t="s">
        <v>63</v>
      </c>
      <c r="AS141" t="s">
        <v>63</v>
      </c>
      <c r="AT141" t="s">
        <v>63</v>
      </c>
      <c r="AU141" t="s">
        <v>63</v>
      </c>
      <c r="AV141" t="s">
        <v>63</v>
      </c>
      <c r="AW141" t="s">
        <v>63</v>
      </c>
      <c r="AX141" t="s">
        <v>63</v>
      </c>
      <c r="AY141" t="s">
        <v>63</v>
      </c>
      <c r="AZ141" t="s">
        <v>63</v>
      </c>
      <c r="BA141" t="s">
        <v>63</v>
      </c>
      <c r="BB141" t="s">
        <v>63</v>
      </c>
      <c r="BC141" t="s">
        <v>63</v>
      </c>
      <c r="BD141" t="s">
        <v>63</v>
      </c>
      <c r="BE141" t="s">
        <v>63</v>
      </c>
      <c r="BF141" t="s">
        <v>63</v>
      </c>
    </row>
    <row r="142" spans="1:58">
      <c r="A142" t="s">
        <v>58</v>
      </c>
      <c r="B142" t="s">
        <v>1330</v>
      </c>
      <c r="C142" t="s">
        <v>1331</v>
      </c>
      <c r="D142" t="s">
        <v>1332</v>
      </c>
      <c r="E142" t="s">
        <v>63</v>
      </c>
      <c r="F142">
        <v>2009</v>
      </c>
      <c r="G142" t="s">
        <v>157</v>
      </c>
      <c r="H142">
        <v>45</v>
      </c>
      <c r="I142">
        <v>6</v>
      </c>
      <c r="J142">
        <v>595</v>
      </c>
      <c r="K142">
        <v>601</v>
      </c>
      <c r="L142" t="s">
        <v>1333</v>
      </c>
      <c r="M142" t="s">
        <v>1334</v>
      </c>
      <c r="N142" t="s">
        <v>1335</v>
      </c>
      <c r="O142" t="s">
        <v>63</v>
      </c>
      <c r="Q142" t="s">
        <v>63</v>
      </c>
      <c r="R142" t="s">
        <v>63</v>
      </c>
      <c r="S142" t="s">
        <v>63</v>
      </c>
      <c r="T142" t="s">
        <v>63</v>
      </c>
      <c r="X142" t="s">
        <v>63</v>
      </c>
      <c r="Y142" t="s">
        <v>1336</v>
      </c>
      <c r="Z142" t="s">
        <v>63</v>
      </c>
      <c r="AA142" t="s">
        <v>1337</v>
      </c>
      <c r="AB142">
        <v>19931832</v>
      </c>
      <c r="AC142" t="s">
        <v>67</v>
      </c>
      <c r="AD142" t="s">
        <v>63</v>
      </c>
      <c r="AE142" t="s">
        <v>63</v>
      </c>
      <c r="AF142" t="s">
        <v>63</v>
      </c>
      <c r="AG142" t="s">
        <v>1338</v>
      </c>
      <c r="AH142" t="s">
        <v>63</v>
      </c>
      <c r="AI142" t="s">
        <v>1339</v>
      </c>
      <c r="AJ142" t="s">
        <v>63</v>
      </c>
      <c r="AK142" t="s">
        <v>63</v>
      </c>
      <c r="AL142" t="s">
        <v>63</v>
      </c>
      <c r="AM142" t="s">
        <v>1340</v>
      </c>
      <c r="AN142" t="s">
        <v>63</v>
      </c>
      <c r="AO142" t="s">
        <v>63</v>
      </c>
      <c r="AP142" t="s">
        <v>63</v>
      </c>
      <c r="AQ142" t="s">
        <v>63</v>
      </c>
      <c r="AR142" t="s">
        <v>63</v>
      </c>
      <c r="AS142" t="s">
        <v>63</v>
      </c>
      <c r="AT142" t="s">
        <v>63</v>
      </c>
      <c r="AU142" t="s">
        <v>63</v>
      </c>
      <c r="AV142" t="s">
        <v>63</v>
      </c>
      <c r="AW142" t="s">
        <v>63</v>
      </c>
      <c r="AX142" t="s">
        <v>63</v>
      </c>
      <c r="AY142" t="s">
        <v>63</v>
      </c>
      <c r="AZ142" t="s">
        <v>63</v>
      </c>
      <c r="BA142" t="s">
        <v>63</v>
      </c>
      <c r="BB142" t="s">
        <v>63</v>
      </c>
      <c r="BC142" t="s">
        <v>63</v>
      </c>
      <c r="BD142" t="s">
        <v>63</v>
      </c>
      <c r="BE142" t="s">
        <v>63</v>
      </c>
      <c r="BF142" t="s">
        <v>63</v>
      </c>
    </row>
    <row r="143" spans="1:58">
      <c r="A143" t="s">
        <v>58</v>
      </c>
      <c r="B143" t="s">
        <v>1341</v>
      </c>
      <c r="C143" t="s">
        <v>1342</v>
      </c>
      <c r="D143" t="s">
        <v>522</v>
      </c>
      <c r="E143" t="s">
        <v>523</v>
      </c>
      <c r="F143">
        <v>1995</v>
      </c>
      <c r="G143" t="s">
        <v>84</v>
      </c>
      <c r="H143">
        <v>42</v>
      </c>
      <c r="I143">
        <v>2</v>
      </c>
      <c r="J143">
        <v>261</v>
      </c>
      <c r="K143">
        <v>281</v>
      </c>
      <c r="L143" t="s">
        <v>1343</v>
      </c>
      <c r="M143" t="s">
        <v>1344</v>
      </c>
      <c r="N143" t="s">
        <v>1345</v>
      </c>
      <c r="O143" t="s">
        <v>63</v>
      </c>
      <c r="Q143" t="s">
        <v>63</v>
      </c>
      <c r="R143" t="s">
        <v>63</v>
      </c>
      <c r="S143" t="s">
        <v>63</v>
      </c>
      <c r="T143" t="s">
        <v>63</v>
      </c>
      <c r="X143" t="s">
        <v>63</v>
      </c>
      <c r="Y143" t="s">
        <v>527</v>
      </c>
      <c r="Z143" t="s">
        <v>63</v>
      </c>
      <c r="AA143" t="s">
        <v>1346</v>
      </c>
      <c r="AB143">
        <v>7536914</v>
      </c>
      <c r="AC143" t="s">
        <v>67</v>
      </c>
      <c r="AD143" t="s">
        <v>63</v>
      </c>
      <c r="AE143" t="s">
        <v>63</v>
      </c>
      <c r="AF143" t="s">
        <v>63</v>
      </c>
      <c r="AG143" t="s">
        <v>1347</v>
      </c>
      <c r="AH143" t="s">
        <v>63</v>
      </c>
      <c r="AI143" t="s">
        <v>63</v>
      </c>
      <c r="AJ143" t="s">
        <v>63</v>
      </c>
      <c r="AK143" t="s">
        <v>63</v>
      </c>
      <c r="AL143" t="s">
        <v>63</v>
      </c>
      <c r="AM143" t="s">
        <v>1348</v>
      </c>
      <c r="AN143" t="s">
        <v>63</v>
      </c>
      <c r="AO143" t="s">
        <v>63</v>
      </c>
      <c r="AP143" t="s">
        <v>63</v>
      </c>
      <c r="AQ143" t="s">
        <v>63</v>
      </c>
      <c r="AR143" t="s">
        <v>63</v>
      </c>
      <c r="AS143" t="s">
        <v>63</v>
      </c>
      <c r="AT143" t="s">
        <v>63</v>
      </c>
      <c r="AU143" t="s">
        <v>63</v>
      </c>
      <c r="AV143" t="s">
        <v>63</v>
      </c>
      <c r="AW143" t="s">
        <v>63</v>
      </c>
      <c r="AX143" t="s">
        <v>63</v>
      </c>
      <c r="AY143" t="s">
        <v>63</v>
      </c>
      <c r="AZ143" t="s">
        <v>63</v>
      </c>
      <c r="BA143" t="s">
        <v>63</v>
      </c>
      <c r="BB143" t="s">
        <v>63</v>
      </c>
      <c r="BC143" t="s">
        <v>63</v>
      </c>
      <c r="BD143" t="s">
        <v>63</v>
      </c>
      <c r="BE143" t="s">
        <v>63</v>
      </c>
      <c r="BF143" t="s">
        <v>63</v>
      </c>
    </row>
    <row r="144" spans="1:58">
      <c r="A144" t="s">
        <v>58</v>
      </c>
      <c r="B144" t="s">
        <v>1349</v>
      </c>
      <c r="C144" t="s">
        <v>1350</v>
      </c>
      <c r="D144" t="s">
        <v>290</v>
      </c>
      <c r="E144" t="s">
        <v>291</v>
      </c>
      <c r="F144">
        <v>1995</v>
      </c>
      <c r="G144" s="1">
        <v>41675</v>
      </c>
      <c r="H144">
        <v>162</v>
      </c>
      <c r="I144">
        <v>3</v>
      </c>
      <c r="J144">
        <v>143</v>
      </c>
      <c r="K144">
        <v>144</v>
      </c>
      <c r="L144" t="s">
        <v>1351</v>
      </c>
      <c r="M144" t="s">
        <v>63</v>
      </c>
      <c r="N144" t="s">
        <v>1352</v>
      </c>
      <c r="O144" t="s">
        <v>63</v>
      </c>
      <c r="Q144" t="s">
        <v>63</v>
      </c>
      <c r="R144" t="s">
        <v>63</v>
      </c>
      <c r="S144" t="s">
        <v>63</v>
      </c>
      <c r="T144" t="s">
        <v>63</v>
      </c>
      <c r="X144" t="s">
        <v>63</v>
      </c>
      <c r="Y144" t="s">
        <v>294</v>
      </c>
      <c r="Z144" t="s">
        <v>63</v>
      </c>
      <c r="AA144" t="s">
        <v>1353</v>
      </c>
      <c r="AB144">
        <v>7854227</v>
      </c>
      <c r="AC144" t="s">
        <v>67</v>
      </c>
      <c r="AD144" t="s">
        <v>63</v>
      </c>
      <c r="AE144" t="s">
        <v>63</v>
      </c>
      <c r="AF144" t="s">
        <v>63</v>
      </c>
      <c r="AG144" t="s">
        <v>1354</v>
      </c>
      <c r="AH144" t="s">
        <v>63</v>
      </c>
      <c r="AI144" t="s">
        <v>63</v>
      </c>
      <c r="AJ144" t="s">
        <v>63</v>
      </c>
      <c r="AK144" t="s">
        <v>63</v>
      </c>
      <c r="AL144" t="s">
        <v>63</v>
      </c>
      <c r="AM144" t="s">
        <v>1355</v>
      </c>
      <c r="AN144" t="s">
        <v>63</v>
      </c>
      <c r="AO144" t="s">
        <v>63</v>
      </c>
      <c r="AP144" t="s">
        <v>63</v>
      </c>
      <c r="AQ144" t="s">
        <v>63</v>
      </c>
      <c r="AR144" t="s">
        <v>63</v>
      </c>
      <c r="AS144" t="s">
        <v>63</v>
      </c>
      <c r="AT144" t="s">
        <v>63</v>
      </c>
      <c r="AU144" t="s">
        <v>63</v>
      </c>
      <c r="AV144" t="s">
        <v>63</v>
      </c>
      <c r="AW144" t="s">
        <v>63</v>
      </c>
      <c r="AX144" t="s">
        <v>63</v>
      </c>
      <c r="AY144" t="s">
        <v>63</v>
      </c>
      <c r="AZ144" t="s">
        <v>63</v>
      </c>
      <c r="BA144" t="s">
        <v>63</v>
      </c>
      <c r="BB144" t="s">
        <v>63</v>
      </c>
      <c r="BC144" t="s">
        <v>63</v>
      </c>
      <c r="BD144" t="s">
        <v>63</v>
      </c>
      <c r="BE144" t="s">
        <v>63</v>
      </c>
      <c r="BF144" t="s">
        <v>63</v>
      </c>
    </row>
    <row r="145" spans="1:58">
      <c r="A145" t="s">
        <v>58</v>
      </c>
      <c r="B145" t="s">
        <v>1356</v>
      </c>
      <c r="C145" t="s">
        <v>1357</v>
      </c>
      <c r="D145" t="s">
        <v>180</v>
      </c>
      <c r="E145" t="s">
        <v>63</v>
      </c>
      <c r="F145">
        <v>1999</v>
      </c>
      <c r="G145" t="s">
        <v>1085</v>
      </c>
      <c r="H145">
        <v>34</v>
      </c>
      <c r="I145">
        <v>5</v>
      </c>
      <c r="J145">
        <v>795</v>
      </c>
      <c r="K145">
        <v>800</v>
      </c>
      <c r="L145" t="s">
        <v>1358</v>
      </c>
      <c r="M145" t="s">
        <v>1359</v>
      </c>
      <c r="N145" t="s">
        <v>1360</v>
      </c>
      <c r="O145" t="s">
        <v>63</v>
      </c>
      <c r="Q145" t="s">
        <v>63</v>
      </c>
      <c r="R145" t="s">
        <v>63</v>
      </c>
      <c r="S145" t="s">
        <v>63</v>
      </c>
      <c r="T145" t="s">
        <v>63</v>
      </c>
      <c r="X145" t="s">
        <v>63</v>
      </c>
      <c r="Y145" t="s">
        <v>185</v>
      </c>
      <c r="Z145" t="s">
        <v>63</v>
      </c>
      <c r="AA145" t="s">
        <v>1361</v>
      </c>
      <c r="AB145">
        <v>10528823</v>
      </c>
      <c r="AC145" t="s">
        <v>67</v>
      </c>
      <c r="AD145" t="s">
        <v>63</v>
      </c>
      <c r="AE145" t="s">
        <v>63</v>
      </c>
      <c r="AF145" t="s">
        <v>63</v>
      </c>
      <c r="AG145" t="s">
        <v>1362</v>
      </c>
      <c r="AH145" t="s">
        <v>63</v>
      </c>
      <c r="AI145" t="s">
        <v>63</v>
      </c>
      <c r="AJ145" t="s">
        <v>63</v>
      </c>
      <c r="AK145" t="s">
        <v>63</v>
      </c>
      <c r="AL145" t="s">
        <v>63</v>
      </c>
      <c r="AM145" t="s">
        <v>1363</v>
      </c>
      <c r="AN145" t="s">
        <v>63</v>
      </c>
      <c r="AO145" t="s">
        <v>63</v>
      </c>
      <c r="AP145" t="s">
        <v>63</v>
      </c>
      <c r="AQ145" t="s">
        <v>63</v>
      </c>
      <c r="AR145" t="s">
        <v>63</v>
      </c>
      <c r="AS145" t="s">
        <v>63</v>
      </c>
      <c r="AT145" t="s">
        <v>63</v>
      </c>
      <c r="AU145" t="s">
        <v>63</v>
      </c>
      <c r="AV145" t="s">
        <v>63</v>
      </c>
      <c r="AW145" t="s">
        <v>63</v>
      </c>
      <c r="AX145" t="s">
        <v>63</v>
      </c>
      <c r="AY145" t="s">
        <v>63</v>
      </c>
      <c r="AZ145" t="s">
        <v>63</v>
      </c>
      <c r="BA145" t="s">
        <v>63</v>
      </c>
      <c r="BB145" t="s">
        <v>63</v>
      </c>
      <c r="BC145" t="s">
        <v>63</v>
      </c>
      <c r="BD145" t="s">
        <v>63</v>
      </c>
      <c r="BE145" t="s">
        <v>63</v>
      </c>
      <c r="BF145" t="s">
        <v>63</v>
      </c>
    </row>
    <row r="146" spans="1:58">
      <c r="A146" t="s">
        <v>58</v>
      </c>
      <c r="B146" t="s">
        <v>1364</v>
      </c>
      <c r="C146" t="s">
        <v>1365</v>
      </c>
      <c r="D146" t="s">
        <v>1366</v>
      </c>
      <c r="E146" t="s">
        <v>1367</v>
      </c>
      <c r="F146">
        <v>1988</v>
      </c>
      <c r="G146" t="s">
        <v>274</v>
      </c>
      <c r="H146">
        <v>146</v>
      </c>
      <c r="I146">
        <v>3</v>
      </c>
      <c r="J146">
        <v>222</v>
      </c>
      <c r="K146">
        <v>229</v>
      </c>
      <c r="L146" t="s">
        <v>1368</v>
      </c>
      <c r="M146" t="s">
        <v>63</v>
      </c>
      <c r="N146" t="s">
        <v>1369</v>
      </c>
      <c r="O146" t="s">
        <v>63</v>
      </c>
      <c r="Q146" t="s">
        <v>63</v>
      </c>
      <c r="R146" t="s">
        <v>63</v>
      </c>
      <c r="S146" t="s">
        <v>63</v>
      </c>
      <c r="T146" t="s">
        <v>63</v>
      </c>
      <c r="X146" t="s">
        <v>63</v>
      </c>
      <c r="Y146" s="2">
        <v>943482</v>
      </c>
      <c r="Z146" t="s">
        <v>63</v>
      </c>
      <c r="AA146" t="s">
        <v>1370</v>
      </c>
      <c r="AB146">
        <v>3389623</v>
      </c>
      <c r="AC146" t="s">
        <v>1371</v>
      </c>
      <c r="AD146" t="s">
        <v>63</v>
      </c>
      <c r="AE146" t="s">
        <v>63</v>
      </c>
      <c r="AF146" t="s">
        <v>63</v>
      </c>
      <c r="AG146" t="s">
        <v>1372</v>
      </c>
      <c r="AH146" t="s">
        <v>63</v>
      </c>
      <c r="AI146" t="s">
        <v>63</v>
      </c>
      <c r="AJ146" t="s">
        <v>63</v>
      </c>
      <c r="AK146" t="s">
        <v>63</v>
      </c>
      <c r="AL146" t="s">
        <v>63</v>
      </c>
      <c r="AM146" t="s">
        <v>1373</v>
      </c>
      <c r="AN146" t="s">
        <v>63</v>
      </c>
      <c r="AO146" t="s">
        <v>63</v>
      </c>
      <c r="AP146" t="s">
        <v>63</v>
      </c>
      <c r="AQ146" t="s">
        <v>63</v>
      </c>
      <c r="AR146" t="s">
        <v>63</v>
      </c>
      <c r="AS146" t="s">
        <v>63</v>
      </c>
      <c r="AT146" t="s">
        <v>63</v>
      </c>
      <c r="AU146" t="s">
        <v>63</v>
      </c>
      <c r="AV146" t="s">
        <v>63</v>
      </c>
      <c r="AW146" t="s">
        <v>63</v>
      </c>
      <c r="AX146" t="s">
        <v>63</v>
      </c>
      <c r="AY146" t="s">
        <v>63</v>
      </c>
      <c r="AZ146" t="s">
        <v>63</v>
      </c>
      <c r="BA146" t="s">
        <v>63</v>
      </c>
      <c r="BB146" t="s">
        <v>63</v>
      </c>
      <c r="BC146" t="s">
        <v>63</v>
      </c>
      <c r="BD146" t="s">
        <v>63</v>
      </c>
      <c r="BE146" t="s">
        <v>63</v>
      </c>
      <c r="BF146" t="s">
        <v>63</v>
      </c>
    </row>
    <row r="147" spans="1:58">
      <c r="A147" t="s">
        <v>58</v>
      </c>
      <c r="B147" t="s">
        <v>1374</v>
      </c>
      <c r="C147" t="s">
        <v>1375</v>
      </c>
      <c r="D147" t="s">
        <v>1376</v>
      </c>
      <c r="E147" t="s">
        <v>1377</v>
      </c>
      <c r="F147">
        <v>1985</v>
      </c>
      <c r="G147" t="s">
        <v>198</v>
      </c>
      <c r="H147">
        <v>71</v>
      </c>
      <c r="I147">
        <v>1</v>
      </c>
      <c r="J147">
        <v>48</v>
      </c>
      <c r="K147">
        <v>66</v>
      </c>
      <c r="L147" t="s">
        <v>1378</v>
      </c>
      <c r="M147" t="s">
        <v>1379</v>
      </c>
      <c r="N147" t="s">
        <v>1380</v>
      </c>
      <c r="O147" t="s">
        <v>63</v>
      </c>
      <c r="Q147" t="s">
        <v>63</v>
      </c>
      <c r="R147" t="s">
        <v>63</v>
      </c>
      <c r="S147" t="s">
        <v>63</v>
      </c>
      <c r="T147" t="s">
        <v>63</v>
      </c>
      <c r="X147" t="s">
        <v>63</v>
      </c>
      <c r="Y147" t="s">
        <v>1381</v>
      </c>
      <c r="Z147" t="s">
        <v>63</v>
      </c>
      <c r="AA147" t="s">
        <v>63</v>
      </c>
      <c r="AB147">
        <v>3871549</v>
      </c>
      <c r="AC147" t="s">
        <v>67</v>
      </c>
      <c r="AD147" t="s">
        <v>63</v>
      </c>
      <c r="AE147" t="s">
        <v>63</v>
      </c>
      <c r="AF147" t="s">
        <v>63</v>
      </c>
      <c r="AG147" t="s">
        <v>1382</v>
      </c>
      <c r="AH147" t="s">
        <v>63</v>
      </c>
      <c r="AI147" t="s">
        <v>63</v>
      </c>
      <c r="AJ147" t="s">
        <v>63</v>
      </c>
      <c r="AK147" t="s">
        <v>63</v>
      </c>
      <c r="AL147" t="s">
        <v>63</v>
      </c>
      <c r="AM147" t="s">
        <v>1383</v>
      </c>
      <c r="AN147" t="s">
        <v>63</v>
      </c>
      <c r="AO147" t="s">
        <v>63</v>
      </c>
      <c r="AP147" t="s">
        <v>63</v>
      </c>
      <c r="AQ147" t="s">
        <v>63</v>
      </c>
      <c r="AR147" t="s">
        <v>63</v>
      </c>
      <c r="AS147" t="s">
        <v>63</v>
      </c>
      <c r="AT147" t="s">
        <v>63</v>
      </c>
      <c r="AU147" t="s">
        <v>63</v>
      </c>
      <c r="AV147" t="s">
        <v>63</v>
      </c>
      <c r="AW147" t="s">
        <v>63</v>
      </c>
      <c r="AX147" t="s">
        <v>63</v>
      </c>
      <c r="AY147" t="s">
        <v>63</v>
      </c>
      <c r="AZ147" t="s">
        <v>63</v>
      </c>
      <c r="BA147" t="s">
        <v>63</v>
      </c>
      <c r="BB147" t="s">
        <v>63</v>
      </c>
      <c r="BC147" t="s">
        <v>63</v>
      </c>
      <c r="BD147" t="s">
        <v>63</v>
      </c>
      <c r="BE147" t="s">
        <v>63</v>
      </c>
      <c r="BF147" t="s">
        <v>63</v>
      </c>
    </row>
    <row r="148" spans="1:58">
      <c r="A148" t="s">
        <v>58</v>
      </c>
      <c r="B148" t="s">
        <v>1384</v>
      </c>
      <c r="C148" t="s">
        <v>1385</v>
      </c>
      <c r="D148" t="s">
        <v>111</v>
      </c>
      <c r="E148" t="s">
        <v>112</v>
      </c>
      <c r="F148">
        <v>2014</v>
      </c>
      <c r="G148" s="1">
        <v>41869</v>
      </c>
      <c r="H148">
        <v>161</v>
      </c>
      <c r="I148">
        <v>4</v>
      </c>
      <c r="J148">
        <v>302</v>
      </c>
      <c r="K148">
        <v>303</v>
      </c>
      <c r="L148" t="s">
        <v>1386</v>
      </c>
      <c r="M148" t="s">
        <v>63</v>
      </c>
      <c r="N148" t="s">
        <v>1387</v>
      </c>
      <c r="O148" t="s">
        <v>63</v>
      </c>
      <c r="Q148" t="s">
        <v>63</v>
      </c>
      <c r="R148" t="s">
        <v>63</v>
      </c>
      <c r="S148" t="s">
        <v>63</v>
      </c>
      <c r="T148" t="s">
        <v>63</v>
      </c>
      <c r="X148" t="s">
        <v>63</v>
      </c>
      <c r="Y148" t="s">
        <v>116</v>
      </c>
      <c r="Z148" t="s">
        <v>63</v>
      </c>
      <c r="AA148" t="s">
        <v>63</v>
      </c>
      <c r="AB148">
        <v>25133364</v>
      </c>
      <c r="AC148" t="s">
        <v>67</v>
      </c>
      <c r="AD148" t="s">
        <v>63</v>
      </c>
      <c r="AE148" t="s">
        <v>63</v>
      </c>
      <c r="AF148" t="s">
        <v>63</v>
      </c>
      <c r="AG148" t="s">
        <v>1388</v>
      </c>
      <c r="AH148" t="s">
        <v>63</v>
      </c>
      <c r="AI148" t="s">
        <v>1389</v>
      </c>
      <c r="AJ148" t="s">
        <v>63</v>
      </c>
      <c r="AK148" t="s">
        <v>63</v>
      </c>
      <c r="AL148" t="s">
        <v>63</v>
      </c>
      <c r="AM148" t="s">
        <v>1390</v>
      </c>
      <c r="AN148" t="s">
        <v>63</v>
      </c>
      <c r="AO148" t="s">
        <v>63</v>
      </c>
      <c r="AP148" t="s">
        <v>63</v>
      </c>
      <c r="AQ148" t="s">
        <v>63</v>
      </c>
      <c r="AR148" t="s">
        <v>63</v>
      </c>
      <c r="AS148" t="s">
        <v>63</v>
      </c>
      <c r="AT148" t="s">
        <v>63</v>
      </c>
      <c r="AU148" t="s">
        <v>63</v>
      </c>
      <c r="AV148" t="s">
        <v>63</v>
      </c>
      <c r="AW148" t="s">
        <v>63</v>
      </c>
      <c r="AX148" t="s">
        <v>63</v>
      </c>
      <c r="AY148" t="s">
        <v>63</v>
      </c>
      <c r="AZ148" t="s">
        <v>63</v>
      </c>
      <c r="BA148" t="s">
        <v>63</v>
      </c>
      <c r="BB148" t="s">
        <v>63</v>
      </c>
      <c r="BC148" t="s">
        <v>63</v>
      </c>
      <c r="BD148" t="s">
        <v>63</v>
      </c>
      <c r="BE148" t="s">
        <v>63</v>
      </c>
      <c r="BF148" t="s">
        <v>63</v>
      </c>
    </row>
    <row r="149" spans="1:58">
      <c r="A149" t="s">
        <v>58</v>
      </c>
      <c r="B149" t="s">
        <v>1391</v>
      </c>
      <c r="C149" t="s">
        <v>1392</v>
      </c>
      <c r="D149" t="s">
        <v>1393</v>
      </c>
      <c r="E149" t="s">
        <v>1394</v>
      </c>
      <c r="F149">
        <v>2002</v>
      </c>
      <c r="G149" t="s">
        <v>63</v>
      </c>
      <c r="H149" t="s">
        <v>1395</v>
      </c>
      <c r="I149" t="s">
        <v>63</v>
      </c>
      <c r="J149" t="s">
        <v>1396</v>
      </c>
      <c r="K149">
        <v>17</v>
      </c>
      <c r="L149" t="s">
        <v>1397</v>
      </c>
      <c r="M149" t="s">
        <v>1398</v>
      </c>
      <c r="N149" t="s">
        <v>1399</v>
      </c>
      <c r="O149" t="s">
        <v>63</v>
      </c>
      <c r="Q149" t="s">
        <v>63</v>
      </c>
      <c r="R149" t="s">
        <v>63</v>
      </c>
      <c r="S149" t="s">
        <v>63</v>
      </c>
      <c r="T149" t="s">
        <v>63</v>
      </c>
      <c r="X149" t="s">
        <v>63</v>
      </c>
      <c r="Y149" t="s">
        <v>1400</v>
      </c>
      <c r="Z149" t="s">
        <v>63</v>
      </c>
      <c r="AA149" t="s">
        <v>1401</v>
      </c>
      <c r="AB149">
        <v>11945214</v>
      </c>
      <c r="AC149" t="s">
        <v>67</v>
      </c>
      <c r="AD149" t="s">
        <v>63</v>
      </c>
      <c r="AE149" t="s">
        <v>63</v>
      </c>
      <c r="AF149" t="s">
        <v>63</v>
      </c>
      <c r="AG149" t="s">
        <v>1402</v>
      </c>
      <c r="AH149" t="s">
        <v>63</v>
      </c>
      <c r="AI149" t="s">
        <v>63</v>
      </c>
      <c r="AJ149" t="s">
        <v>63</v>
      </c>
      <c r="AK149" t="s">
        <v>63</v>
      </c>
      <c r="AL149" t="s">
        <v>63</v>
      </c>
      <c r="AM149" t="s">
        <v>1403</v>
      </c>
      <c r="AN149" t="s">
        <v>63</v>
      </c>
      <c r="AO149" t="s">
        <v>63</v>
      </c>
      <c r="AP149" t="s">
        <v>63</v>
      </c>
      <c r="AQ149" t="s">
        <v>63</v>
      </c>
      <c r="AR149" t="s">
        <v>63</v>
      </c>
      <c r="AS149" t="s">
        <v>63</v>
      </c>
      <c r="AT149" t="s">
        <v>63</v>
      </c>
      <c r="AU149" t="s">
        <v>63</v>
      </c>
      <c r="AV149" t="s">
        <v>63</v>
      </c>
      <c r="AW149" t="s">
        <v>63</v>
      </c>
      <c r="AX149" t="s">
        <v>63</v>
      </c>
      <c r="AY149" t="s">
        <v>63</v>
      </c>
      <c r="AZ149" t="s">
        <v>63</v>
      </c>
      <c r="BA149" t="s">
        <v>63</v>
      </c>
      <c r="BB149" t="s">
        <v>63</v>
      </c>
      <c r="BC149" t="s">
        <v>63</v>
      </c>
      <c r="BD149" t="s">
        <v>63</v>
      </c>
      <c r="BE149" t="s">
        <v>63</v>
      </c>
      <c r="BF149" t="s">
        <v>63</v>
      </c>
    </row>
    <row r="150" spans="1:58">
      <c r="A150" t="s">
        <v>58</v>
      </c>
      <c r="B150" t="s">
        <v>1404</v>
      </c>
      <c r="C150" t="s">
        <v>1405</v>
      </c>
      <c r="D150" t="s">
        <v>1406</v>
      </c>
      <c r="E150" t="s">
        <v>1407</v>
      </c>
      <c r="F150">
        <v>1993</v>
      </c>
      <c r="G150" t="s">
        <v>326</v>
      </c>
      <c r="H150">
        <v>93</v>
      </c>
      <c r="I150">
        <v>2</v>
      </c>
      <c r="J150">
        <v>217</v>
      </c>
      <c r="K150">
        <v>220</v>
      </c>
      <c r="L150" t="s">
        <v>1408</v>
      </c>
      <c r="M150" t="s">
        <v>1409</v>
      </c>
      <c r="N150" t="s">
        <v>1410</v>
      </c>
      <c r="O150" t="s">
        <v>63</v>
      </c>
      <c r="Q150" t="s">
        <v>63</v>
      </c>
      <c r="R150" t="s">
        <v>63</v>
      </c>
      <c r="S150" t="s">
        <v>63</v>
      </c>
      <c r="T150" t="s">
        <v>63</v>
      </c>
      <c r="X150" t="s">
        <v>63</v>
      </c>
      <c r="Y150" t="s">
        <v>1411</v>
      </c>
      <c r="Z150" t="s">
        <v>63</v>
      </c>
      <c r="AA150" t="s">
        <v>1412</v>
      </c>
      <c r="AB150">
        <v>8240473</v>
      </c>
      <c r="AC150" t="s">
        <v>67</v>
      </c>
      <c r="AD150" t="s">
        <v>63</v>
      </c>
      <c r="AE150" t="s">
        <v>63</v>
      </c>
      <c r="AF150" t="s">
        <v>63</v>
      </c>
      <c r="AG150" t="s">
        <v>1413</v>
      </c>
      <c r="AH150" t="s">
        <v>63</v>
      </c>
      <c r="AI150" t="s">
        <v>63</v>
      </c>
      <c r="AJ150" t="s">
        <v>63</v>
      </c>
      <c r="AK150" t="s">
        <v>63</v>
      </c>
      <c r="AL150" t="s">
        <v>63</v>
      </c>
      <c r="AM150" t="s">
        <v>1414</v>
      </c>
      <c r="AN150" t="s">
        <v>63</v>
      </c>
      <c r="AO150" t="s">
        <v>63</v>
      </c>
      <c r="AP150" t="s">
        <v>63</v>
      </c>
      <c r="AQ150" t="s">
        <v>63</v>
      </c>
      <c r="AR150" t="s">
        <v>63</v>
      </c>
      <c r="AS150" t="s">
        <v>63</v>
      </c>
      <c r="AT150" t="s">
        <v>63</v>
      </c>
      <c r="AU150" t="s">
        <v>63</v>
      </c>
      <c r="AV150" t="s">
        <v>63</v>
      </c>
      <c r="AW150" t="s">
        <v>63</v>
      </c>
      <c r="AX150" t="s">
        <v>63</v>
      </c>
      <c r="AY150" t="s">
        <v>63</v>
      </c>
      <c r="AZ150" t="s">
        <v>63</v>
      </c>
      <c r="BA150" t="s">
        <v>63</v>
      </c>
      <c r="BB150" t="s">
        <v>63</v>
      </c>
      <c r="BC150" t="s">
        <v>63</v>
      </c>
      <c r="BD150" t="s">
        <v>63</v>
      </c>
      <c r="BE150" t="s">
        <v>63</v>
      </c>
      <c r="BF150" t="s">
        <v>63</v>
      </c>
    </row>
    <row r="151" spans="1:58">
      <c r="A151" t="s">
        <v>58</v>
      </c>
      <c r="B151" t="s">
        <v>1415</v>
      </c>
      <c r="C151" t="s">
        <v>1416</v>
      </c>
      <c r="D151" t="s">
        <v>1417</v>
      </c>
      <c r="E151" t="s">
        <v>63</v>
      </c>
      <c r="F151">
        <v>2017</v>
      </c>
      <c r="G151">
        <v>11</v>
      </c>
      <c r="H151">
        <v>125</v>
      </c>
      <c r="I151">
        <v>5</v>
      </c>
      <c r="J151">
        <v>1435</v>
      </c>
      <c r="K151">
        <v>1437</v>
      </c>
      <c r="L151" t="s">
        <v>1418</v>
      </c>
      <c r="M151" t="s">
        <v>63</v>
      </c>
      <c r="N151" t="s">
        <v>1419</v>
      </c>
      <c r="O151" t="s">
        <v>63</v>
      </c>
      <c r="Q151" t="s">
        <v>63</v>
      </c>
      <c r="R151" t="s">
        <v>63</v>
      </c>
      <c r="S151" t="s">
        <v>63</v>
      </c>
      <c r="T151" t="s">
        <v>63</v>
      </c>
      <c r="X151" t="s">
        <v>63</v>
      </c>
      <c r="Y151" t="s">
        <v>1420</v>
      </c>
      <c r="Z151" t="s">
        <v>63</v>
      </c>
      <c r="AA151" t="s">
        <v>1421</v>
      </c>
      <c r="AB151">
        <v>29049105</v>
      </c>
      <c r="AC151" t="s">
        <v>67</v>
      </c>
      <c r="AD151" t="s">
        <v>63</v>
      </c>
      <c r="AE151" t="s">
        <v>63</v>
      </c>
      <c r="AF151" t="s">
        <v>63</v>
      </c>
      <c r="AG151" t="s">
        <v>1422</v>
      </c>
      <c r="AH151" t="s">
        <v>63</v>
      </c>
      <c r="AI151" t="s">
        <v>1423</v>
      </c>
      <c r="AJ151" t="s">
        <v>63</v>
      </c>
      <c r="AK151" t="s">
        <v>63</v>
      </c>
      <c r="AL151" t="s">
        <v>63</v>
      </c>
      <c r="AM151" t="s">
        <v>1424</v>
      </c>
      <c r="AN151" t="s">
        <v>63</v>
      </c>
      <c r="AO151" t="s">
        <v>63</v>
      </c>
      <c r="AP151" t="s">
        <v>63</v>
      </c>
      <c r="AQ151" t="s">
        <v>63</v>
      </c>
      <c r="AR151" t="s">
        <v>63</v>
      </c>
      <c r="AS151" t="s">
        <v>63</v>
      </c>
      <c r="AT151" t="s">
        <v>63</v>
      </c>
      <c r="AU151" t="s">
        <v>63</v>
      </c>
      <c r="AV151" t="s">
        <v>63</v>
      </c>
      <c r="AW151" t="s">
        <v>63</v>
      </c>
      <c r="AX151" t="s">
        <v>63</v>
      </c>
      <c r="AY151" t="s">
        <v>63</v>
      </c>
      <c r="AZ151" t="s">
        <v>63</v>
      </c>
      <c r="BA151" t="s">
        <v>63</v>
      </c>
      <c r="BB151" t="s">
        <v>63</v>
      </c>
      <c r="BC151" t="s">
        <v>63</v>
      </c>
      <c r="BD151" t="s">
        <v>63</v>
      </c>
      <c r="BE151" t="s">
        <v>63</v>
      </c>
      <c r="BF151" t="s">
        <v>63</v>
      </c>
    </row>
    <row r="152" spans="1:58">
      <c r="A152" t="s">
        <v>58</v>
      </c>
      <c r="B152" t="s">
        <v>1425</v>
      </c>
      <c r="C152" t="s">
        <v>1426</v>
      </c>
      <c r="D152" t="s">
        <v>1427</v>
      </c>
      <c r="E152" t="s">
        <v>63</v>
      </c>
      <c r="F152">
        <v>2014</v>
      </c>
      <c r="G152" t="s">
        <v>63</v>
      </c>
      <c r="H152">
        <v>31</v>
      </c>
      <c r="I152">
        <v>1</v>
      </c>
      <c r="J152" t="s">
        <v>1428</v>
      </c>
      <c r="K152" t="s">
        <v>63</v>
      </c>
      <c r="L152" t="s">
        <v>1429</v>
      </c>
      <c r="M152" t="s">
        <v>1430</v>
      </c>
      <c r="N152" t="s">
        <v>1431</v>
      </c>
      <c r="O152" t="s">
        <v>63</v>
      </c>
      <c r="Q152" t="s">
        <v>63</v>
      </c>
      <c r="R152" t="s">
        <v>63</v>
      </c>
      <c r="S152" t="s">
        <v>63</v>
      </c>
      <c r="T152" t="s">
        <v>63</v>
      </c>
      <c r="X152" t="s">
        <v>63</v>
      </c>
      <c r="Y152" t="s">
        <v>1432</v>
      </c>
      <c r="Z152" t="s">
        <v>63</v>
      </c>
      <c r="AA152" t="s">
        <v>1433</v>
      </c>
      <c r="AB152">
        <v>24575160</v>
      </c>
      <c r="AC152" t="s">
        <v>67</v>
      </c>
      <c r="AD152" t="s">
        <v>63</v>
      </c>
      <c r="AE152" t="s">
        <v>63</v>
      </c>
      <c r="AF152" t="s">
        <v>63</v>
      </c>
      <c r="AG152" t="s">
        <v>1434</v>
      </c>
      <c r="AH152" t="s">
        <v>63</v>
      </c>
      <c r="AI152" t="s">
        <v>1435</v>
      </c>
      <c r="AJ152" t="s">
        <v>63</v>
      </c>
      <c r="AK152" t="s">
        <v>63</v>
      </c>
      <c r="AL152" t="s">
        <v>63</v>
      </c>
      <c r="AM152" t="s">
        <v>1436</v>
      </c>
      <c r="AN152" t="s">
        <v>63</v>
      </c>
      <c r="AO152" t="s">
        <v>63</v>
      </c>
      <c r="AP152" t="s">
        <v>63</v>
      </c>
      <c r="AQ152" t="s">
        <v>63</v>
      </c>
      <c r="AR152" t="s">
        <v>63</v>
      </c>
      <c r="AS152" t="s">
        <v>63</v>
      </c>
      <c r="AT152" t="s">
        <v>63</v>
      </c>
      <c r="AU152" t="s">
        <v>63</v>
      </c>
      <c r="AV152" t="s">
        <v>63</v>
      </c>
      <c r="AW152" t="s">
        <v>63</v>
      </c>
      <c r="AX152" t="s">
        <v>63</v>
      </c>
      <c r="AY152" t="s">
        <v>63</v>
      </c>
      <c r="AZ152" t="s">
        <v>63</v>
      </c>
      <c r="BA152" t="s">
        <v>63</v>
      </c>
      <c r="BB152" t="s">
        <v>63</v>
      </c>
      <c r="BC152" t="s">
        <v>63</v>
      </c>
      <c r="BD152" t="s">
        <v>63</v>
      </c>
      <c r="BE152" t="s">
        <v>63</v>
      </c>
      <c r="BF152" t="s">
        <v>63</v>
      </c>
    </row>
    <row r="153" spans="1:58">
      <c r="A153" t="s">
        <v>58</v>
      </c>
      <c r="B153" t="s">
        <v>1437</v>
      </c>
      <c r="C153" t="s">
        <v>1438</v>
      </c>
      <c r="D153" t="s">
        <v>1439</v>
      </c>
      <c r="E153" t="s">
        <v>1439</v>
      </c>
      <c r="F153">
        <v>2002</v>
      </c>
      <c r="G153" s="1">
        <v>41935</v>
      </c>
      <c r="H153">
        <v>99</v>
      </c>
      <c r="I153">
        <v>43</v>
      </c>
      <c r="J153">
        <v>4250</v>
      </c>
      <c r="K153">
        <v>4251</v>
      </c>
      <c r="L153" t="s">
        <v>1440</v>
      </c>
      <c r="M153" t="s">
        <v>63</v>
      </c>
      <c r="N153" t="s">
        <v>1441</v>
      </c>
      <c r="O153" t="s">
        <v>63</v>
      </c>
      <c r="Q153" t="s">
        <v>63</v>
      </c>
      <c r="R153" t="s">
        <v>63</v>
      </c>
      <c r="S153" t="s">
        <v>63</v>
      </c>
      <c r="T153" t="s">
        <v>63</v>
      </c>
      <c r="X153" t="s">
        <v>63</v>
      </c>
      <c r="Y153" t="s">
        <v>1442</v>
      </c>
      <c r="Z153" t="s">
        <v>63</v>
      </c>
      <c r="AA153" t="s">
        <v>1443</v>
      </c>
      <c r="AB153">
        <v>12448308</v>
      </c>
      <c r="AC153" t="s">
        <v>1444</v>
      </c>
      <c r="AD153" t="s">
        <v>63</v>
      </c>
      <c r="AE153" t="s">
        <v>63</v>
      </c>
      <c r="AF153" t="s">
        <v>63</v>
      </c>
      <c r="AG153" t="s">
        <v>1445</v>
      </c>
      <c r="AH153" t="s">
        <v>63</v>
      </c>
      <c r="AI153" t="s">
        <v>63</v>
      </c>
      <c r="AJ153" t="s">
        <v>63</v>
      </c>
      <c r="AK153" t="s">
        <v>63</v>
      </c>
      <c r="AL153" t="s">
        <v>63</v>
      </c>
      <c r="AM153" t="s">
        <v>1446</v>
      </c>
      <c r="AN153" t="s">
        <v>63</v>
      </c>
      <c r="AO153" t="s">
        <v>63</v>
      </c>
      <c r="AP153" t="s">
        <v>63</v>
      </c>
      <c r="AQ153" t="s">
        <v>63</v>
      </c>
      <c r="AR153" t="s">
        <v>63</v>
      </c>
      <c r="AS153" t="s">
        <v>63</v>
      </c>
      <c r="AT153" t="s">
        <v>63</v>
      </c>
      <c r="AU153" t="s">
        <v>63</v>
      </c>
      <c r="AV153" t="s">
        <v>63</v>
      </c>
      <c r="AW153" t="s">
        <v>63</v>
      </c>
      <c r="AX153" t="s">
        <v>63</v>
      </c>
      <c r="AY153" t="s">
        <v>63</v>
      </c>
      <c r="AZ153" t="s">
        <v>63</v>
      </c>
      <c r="BA153" t="s">
        <v>63</v>
      </c>
      <c r="BB153" t="s">
        <v>63</v>
      </c>
      <c r="BC153" t="s">
        <v>63</v>
      </c>
      <c r="BD153" t="s">
        <v>63</v>
      </c>
      <c r="BE153" t="s">
        <v>63</v>
      </c>
      <c r="BF153" t="s">
        <v>63</v>
      </c>
    </row>
    <row r="154" spans="1:58">
      <c r="A154" t="s">
        <v>58</v>
      </c>
      <c r="B154" t="s">
        <v>1447</v>
      </c>
      <c r="C154" t="s">
        <v>1448</v>
      </c>
      <c r="D154" t="s">
        <v>389</v>
      </c>
      <c r="E154" t="s">
        <v>63</v>
      </c>
      <c r="F154">
        <v>2017</v>
      </c>
      <c r="G154" t="s">
        <v>338</v>
      </c>
      <c r="H154">
        <v>38</v>
      </c>
      <c r="I154">
        <v>2</v>
      </c>
      <c r="J154">
        <v>123</v>
      </c>
      <c r="K154">
        <v>128</v>
      </c>
      <c r="L154" t="s">
        <v>1449</v>
      </c>
      <c r="M154" t="s">
        <v>1450</v>
      </c>
      <c r="N154" t="s">
        <v>1451</v>
      </c>
      <c r="O154" t="s">
        <v>63</v>
      </c>
      <c r="Q154" t="s">
        <v>63</v>
      </c>
      <c r="R154" t="s">
        <v>63</v>
      </c>
      <c r="S154" t="s">
        <v>63</v>
      </c>
      <c r="T154" t="s">
        <v>63</v>
      </c>
      <c r="X154" t="s">
        <v>63</v>
      </c>
      <c r="Y154" t="s">
        <v>556</v>
      </c>
      <c r="Z154" t="s">
        <v>63</v>
      </c>
      <c r="AA154" t="s">
        <v>1452</v>
      </c>
      <c r="AB154">
        <v>28027016</v>
      </c>
      <c r="AC154" t="s">
        <v>67</v>
      </c>
      <c r="AD154" t="s">
        <v>63</v>
      </c>
      <c r="AE154" t="s">
        <v>63</v>
      </c>
      <c r="AF154" t="s">
        <v>63</v>
      </c>
      <c r="AG154" t="s">
        <v>1453</v>
      </c>
      <c r="AH154" t="s">
        <v>63</v>
      </c>
      <c r="AI154" t="s">
        <v>1454</v>
      </c>
      <c r="AJ154" t="s">
        <v>63</v>
      </c>
      <c r="AK154" t="s">
        <v>63</v>
      </c>
      <c r="AL154" t="s">
        <v>63</v>
      </c>
      <c r="AM154" t="s">
        <v>1455</v>
      </c>
      <c r="AN154" t="s">
        <v>63</v>
      </c>
      <c r="AO154" t="s">
        <v>63</v>
      </c>
      <c r="AP154" t="s">
        <v>63</v>
      </c>
      <c r="AQ154" t="s">
        <v>63</v>
      </c>
      <c r="AR154" t="s">
        <v>63</v>
      </c>
      <c r="AS154" t="s">
        <v>63</v>
      </c>
      <c r="AT154" t="s">
        <v>63</v>
      </c>
      <c r="AU154" t="s">
        <v>63</v>
      </c>
      <c r="AV154" t="s">
        <v>63</v>
      </c>
      <c r="AW154" t="s">
        <v>63</v>
      </c>
      <c r="AX154" t="s">
        <v>63</v>
      </c>
      <c r="AY154" t="s">
        <v>63</v>
      </c>
      <c r="AZ154" t="s">
        <v>63</v>
      </c>
      <c r="BA154" t="s">
        <v>63</v>
      </c>
      <c r="BB154" t="s">
        <v>63</v>
      </c>
      <c r="BC154" t="s">
        <v>63</v>
      </c>
      <c r="BD154" t="s">
        <v>63</v>
      </c>
      <c r="BE154" t="s">
        <v>63</v>
      </c>
      <c r="BF154" t="s">
        <v>63</v>
      </c>
    </row>
    <row r="155" spans="1:58">
      <c r="A155" t="s">
        <v>58</v>
      </c>
      <c r="B155" t="s">
        <v>1456</v>
      </c>
      <c r="C155" t="s">
        <v>1457</v>
      </c>
      <c r="D155" t="s">
        <v>1458</v>
      </c>
      <c r="E155" t="s">
        <v>1459</v>
      </c>
      <c r="F155">
        <v>1999</v>
      </c>
      <c r="G155" s="1">
        <v>41750</v>
      </c>
      <c r="H155">
        <v>109</v>
      </c>
      <c r="I155">
        <v>5651</v>
      </c>
      <c r="J155">
        <v>28</v>
      </c>
      <c r="K155">
        <v>29</v>
      </c>
      <c r="L155" t="s">
        <v>1460</v>
      </c>
      <c r="M155" t="s">
        <v>1461</v>
      </c>
      <c r="N155" t="s">
        <v>1462</v>
      </c>
      <c r="O155" t="s">
        <v>63</v>
      </c>
      <c r="Q155" t="s">
        <v>63</v>
      </c>
      <c r="R155" t="s">
        <v>63</v>
      </c>
      <c r="S155" t="s">
        <v>63</v>
      </c>
      <c r="T155" t="s">
        <v>63</v>
      </c>
      <c r="X155" t="s">
        <v>63</v>
      </c>
      <c r="Y155" t="s">
        <v>1463</v>
      </c>
      <c r="Z155" t="s">
        <v>63</v>
      </c>
      <c r="AA155" t="s">
        <v>1464</v>
      </c>
      <c r="AB155">
        <v>10387798</v>
      </c>
      <c r="AC155" t="s">
        <v>67</v>
      </c>
      <c r="AD155" t="s">
        <v>63</v>
      </c>
      <c r="AE155" t="s">
        <v>63</v>
      </c>
      <c r="AF155" t="s">
        <v>63</v>
      </c>
      <c r="AG155" t="s">
        <v>1465</v>
      </c>
      <c r="AH155" t="s">
        <v>63</v>
      </c>
      <c r="AI155" t="s">
        <v>63</v>
      </c>
      <c r="AJ155" t="s">
        <v>63</v>
      </c>
      <c r="AK155" t="s">
        <v>63</v>
      </c>
      <c r="AL155" t="s">
        <v>63</v>
      </c>
      <c r="AM155" t="s">
        <v>1466</v>
      </c>
      <c r="AN155" t="s">
        <v>63</v>
      </c>
      <c r="AO155" t="s">
        <v>63</v>
      </c>
      <c r="AP155" t="s">
        <v>63</v>
      </c>
      <c r="AQ155" t="s">
        <v>63</v>
      </c>
      <c r="AR155" t="s">
        <v>63</v>
      </c>
      <c r="AS155" t="s">
        <v>63</v>
      </c>
      <c r="AT155" t="s">
        <v>63</v>
      </c>
      <c r="AU155" t="s">
        <v>63</v>
      </c>
      <c r="AV155" t="s">
        <v>63</v>
      </c>
      <c r="AW155" t="s">
        <v>63</v>
      </c>
      <c r="AX155" t="s">
        <v>63</v>
      </c>
      <c r="AY155" t="s">
        <v>63</v>
      </c>
      <c r="AZ155" t="s">
        <v>63</v>
      </c>
      <c r="BA155" t="s">
        <v>63</v>
      </c>
      <c r="BB155" t="s">
        <v>63</v>
      </c>
      <c r="BC155" t="s">
        <v>63</v>
      </c>
      <c r="BD155" t="s">
        <v>63</v>
      </c>
      <c r="BE155" t="s">
        <v>63</v>
      </c>
      <c r="BF155" t="s">
        <v>63</v>
      </c>
    </row>
    <row r="156" spans="1:58">
      <c r="A156" t="s">
        <v>58</v>
      </c>
      <c r="B156" t="s">
        <v>1467</v>
      </c>
      <c r="C156" t="s">
        <v>1468</v>
      </c>
      <c r="D156" t="s">
        <v>1469</v>
      </c>
      <c r="E156" t="s">
        <v>1470</v>
      </c>
      <c r="F156">
        <v>2009</v>
      </c>
      <c r="G156" t="s">
        <v>219</v>
      </c>
      <c r="H156">
        <v>16</v>
      </c>
      <c r="I156">
        <v>11</v>
      </c>
      <c r="J156">
        <v>1225</v>
      </c>
      <c r="K156">
        <v>1233</v>
      </c>
      <c r="L156" t="s">
        <v>1471</v>
      </c>
      <c r="M156" t="s">
        <v>1472</v>
      </c>
      <c r="N156" t="s">
        <v>1473</v>
      </c>
      <c r="O156" t="s">
        <v>63</v>
      </c>
      <c r="Q156" t="s">
        <v>63</v>
      </c>
      <c r="R156" t="s">
        <v>63</v>
      </c>
      <c r="S156" t="s">
        <v>63</v>
      </c>
      <c r="T156" t="s">
        <v>63</v>
      </c>
      <c r="X156" t="s">
        <v>63</v>
      </c>
      <c r="Y156" t="s">
        <v>1474</v>
      </c>
      <c r="Z156" t="s">
        <v>63</v>
      </c>
      <c r="AA156" t="s">
        <v>1475</v>
      </c>
      <c r="AB156">
        <v>20053242</v>
      </c>
      <c r="AC156" t="s">
        <v>67</v>
      </c>
      <c r="AD156" t="s">
        <v>63</v>
      </c>
      <c r="AE156" t="s">
        <v>63</v>
      </c>
      <c r="AF156" t="s">
        <v>63</v>
      </c>
      <c r="AG156" t="s">
        <v>1476</v>
      </c>
      <c r="AH156" t="s">
        <v>63</v>
      </c>
      <c r="AI156" t="s">
        <v>1477</v>
      </c>
      <c r="AJ156" t="s">
        <v>63</v>
      </c>
      <c r="AK156" t="s">
        <v>63</v>
      </c>
      <c r="AL156" t="s">
        <v>63</v>
      </c>
      <c r="AM156" t="s">
        <v>1478</v>
      </c>
      <c r="AN156" t="s">
        <v>63</v>
      </c>
      <c r="AO156" t="s">
        <v>63</v>
      </c>
      <c r="AP156" t="s">
        <v>63</v>
      </c>
      <c r="AQ156" t="s">
        <v>63</v>
      </c>
      <c r="AR156" t="s">
        <v>63</v>
      </c>
      <c r="AS156" t="s">
        <v>63</v>
      </c>
      <c r="AT156" t="s">
        <v>63</v>
      </c>
      <c r="AU156" t="s">
        <v>63</v>
      </c>
      <c r="AV156" t="s">
        <v>63</v>
      </c>
      <c r="AW156" t="s">
        <v>63</v>
      </c>
      <c r="AX156" t="s">
        <v>63</v>
      </c>
      <c r="AY156" t="s">
        <v>63</v>
      </c>
      <c r="AZ156" t="s">
        <v>63</v>
      </c>
      <c r="BA156" t="s">
        <v>63</v>
      </c>
      <c r="BB156" t="s">
        <v>63</v>
      </c>
      <c r="BC156" t="s">
        <v>63</v>
      </c>
      <c r="BD156" t="s">
        <v>63</v>
      </c>
      <c r="BE156" t="s">
        <v>63</v>
      </c>
      <c r="BF156" t="s">
        <v>63</v>
      </c>
    </row>
    <row r="157" spans="1:58">
      <c r="A157" t="s">
        <v>58</v>
      </c>
      <c r="B157" t="s">
        <v>1479</v>
      </c>
      <c r="C157" t="s">
        <v>1480</v>
      </c>
      <c r="D157" t="s">
        <v>1481</v>
      </c>
      <c r="E157" t="s">
        <v>1481</v>
      </c>
      <c r="F157">
        <v>2008</v>
      </c>
      <c r="G157" t="s">
        <v>157</v>
      </c>
      <c r="H157">
        <v>103</v>
      </c>
      <c r="I157">
        <v>12</v>
      </c>
      <c r="J157">
        <v>1950</v>
      </c>
      <c r="K157">
        <v>1951</v>
      </c>
      <c r="L157" t="s">
        <v>1482</v>
      </c>
      <c r="M157" t="s">
        <v>63</v>
      </c>
      <c r="N157" t="s">
        <v>1483</v>
      </c>
      <c r="O157" t="s">
        <v>63</v>
      </c>
      <c r="Q157" t="s">
        <v>63</v>
      </c>
      <c r="R157" t="s">
        <v>63</v>
      </c>
      <c r="S157" t="s">
        <v>63</v>
      </c>
      <c r="T157" t="s">
        <v>63</v>
      </c>
      <c r="X157" t="s">
        <v>63</v>
      </c>
      <c r="Y157" t="s">
        <v>1484</v>
      </c>
      <c r="Z157" t="s">
        <v>63</v>
      </c>
      <c r="AA157" t="s">
        <v>1485</v>
      </c>
      <c r="AB157">
        <v>19469735</v>
      </c>
      <c r="AC157" t="s">
        <v>67</v>
      </c>
      <c r="AD157" t="s">
        <v>63</v>
      </c>
      <c r="AE157" t="s">
        <v>63</v>
      </c>
      <c r="AF157" t="s">
        <v>63</v>
      </c>
      <c r="AG157" t="s">
        <v>1486</v>
      </c>
      <c r="AH157" t="s">
        <v>63</v>
      </c>
      <c r="AI157" t="s">
        <v>1487</v>
      </c>
      <c r="AJ157" t="s">
        <v>63</v>
      </c>
      <c r="AK157" t="s">
        <v>63</v>
      </c>
      <c r="AL157" t="s">
        <v>63</v>
      </c>
      <c r="AM157" t="s">
        <v>1488</v>
      </c>
      <c r="AN157" t="s">
        <v>63</v>
      </c>
      <c r="AO157" t="s">
        <v>63</v>
      </c>
      <c r="AP157" t="s">
        <v>63</v>
      </c>
      <c r="AQ157" t="s">
        <v>63</v>
      </c>
      <c r="AR157" t="s">
        <v>63</v>
      </c>
      <c r="AS157" t="s">
        <v>63</v>
      </c>
      <c r="AT157" t="s">
        <v>63</v>
      </c>
      <c r="AU157" t="s">
        <v>63</v>
      </c>
      <c r="AV157" t="s">
        <v>63</v>
      </c>
      <c r="AW157" t="s">
        <v>63</v>
      </c>
      <c r="AX157" t="s">
        <v>63</v>
      </c>
      <c r="AY157" t="s">
        <v>63</v>
      </c>
      <c r="AZ157" t="s">
        <v>63</v>
      </c>
      <c r="BA157" t="s">
        <v>63</v>
      </c>
      <c r="BB157" t="s">
        <v>63</v>
      </c>
      <c r="BC157" t="s">
        <v>63</v>
      </c>
      <c r="BD157" t="s">
        <v>63</v>
      </c>
      <c r="BE157" t="s">
        <v>63</v>
      </c>
      <c r="BF157" t="s">
        <v>63</v>
      </c>
    </row>
    <row r="158" spans="1:58">
      <c r="A158" t="s">
        <v>58</v>
      </c>
      <c r="B158" t="s">
        <v>1489</v>
      </c>
      <c r="C158" t="s">
        <v>1490</v>
      </c>
      <c r="D158" t="s">
        <v>1491</v>
      </c>
      <c r="E158" t="s">
        <v>63</v>
      </c>
      <c r="F158">
        <v>1994</v>
      </c>
      <c r="G158" s="1">
        <v>41873</v>
      </c>
      <c r="H158">
        <v>83</v>
      </c>
      <c r="I158">
        <v>34</v>
      </c>
      <c r="J158">
        <v>927</v>
      </c>
      <c r="K158">
        <v>930</v>
      </c>
      <c r="L158" t="s">
        <v>1492</v>
      </c>
      <c r="M158" t="s">
        <v>1493</v>
      </c>
      <c r="N158" t="s">
        <v>1494</v>
      </c>
      <c r="O158" t="s">
        <v>63</v>
      </c>
      <c r="Q158" t="s">
        <v>63</v>
      </c>
      <c r="R158" t="s">
        <v>63</v>
      </c>
      <c r="S158" t="s">
        <v>63</v>
      </c>
      <c r="T158" t="s">
        <v>63</v>
      </c>
      <c r="X158" t="s">
        <v>63</v>
      </c>
      <c r="Y158" t="s">
        <v>1495</v>
      </c>
      <c r="Z158" t="s">
        <v>63</v>
      </c>
      <c r="AA158" t="s">
        <v>1496</v>
      </c>
      <c r="AB158">
        <v>7939044</v>
      </c>
      <c r="AC158" t="s">
        <v>102</v>
      </c>
      <c r="AD158" t="s">
        <v>63</v>
      </c>
      <c r="AE158" t="s">
        <v>63</v>
      </c>
      <c r="AF158" t="s">
        <v>63</v>
      </c>
      <c r="AG158" t="s">
        <v>1497</v>
      </c>
      <c r="AH158" t="s">
        <v>63</v>
      </c>
      <c r="AI158" t="s">
        <v>63</v>
      </c>
      <c r="AJ158" t="s">
        <v>63</v>
      </c>
      <c r="AK158" t="s">
        <v>63</v>
      </c>
      <c r="AL158" t="s">
        <v>63</v>
      </c>
      <c r="AM158" t="s">
        <v>1498</v>
      </c>
      <c r="AN158" t="s">
        <v>63</v>
      </c>
      <c r="AO158" t="s">
        <v>63</v>
      </c>
      <c r="AP158" t="s">
        <v>63</v>
      </c>
      <c r="AQ158" t="s">
        <v>63</v>
      </c>
      <c r="AR158" t="s">
        <v>63</v>
      </c>
      <c r="AS158" t="s">
        <v>63</v>
      </c>
      <c r="AT158" t="s">
        <v>63</v>
      </c>
      <c r="AU158" t="s">
        <v>63</v>
      </c>
      <c r="AV158" t="s">
        <v>63</v>
      </c>
      <c r="AW158" t="s">
        <v>63</v>
      </c>
      <c r="AX158" t="s">
        <v>63</v>
      </c>
      <c r="AY158" t="s">
        <v>63</v>
      </c>
      <c r="AZ158" t="s">
        <v>63</v>
      </c>
      <c r="BA158" t="s">
        <v>63</v>
      </c>
      <c r="BB158" t="s">
        <v>63</v>
      </c>
      <c r="BC158" t="s">
        <v>63</v>
      </c>
      <c r="BD158" t="s">
        <v>63</v>
      </c>
      <c r="BE158" t="s">
        <v>63</v>
      </c>
      <c r="BF158" t="s">
        <v>63</v>
      </c>
    </row>
    <row r="159" spans="1:58">
      <c r="A159" t="s">
        <v>58</v>
      </c>
      <c r="B159" t="s">
        <v>1489</v>
      </c>
      <c r="C159" t="s">
        <v>1499</v>
      </c>
      <c r="D159" t="s">
        <v>1500</v>
      </c>
      <c r="E159" t="s">
        <v>1501</v>
      </c>
      <c r="F159">
        <v>1993</v>
      </c>
      <c r="G159" t="s">
        <v>189</v>
      </c>
      <c r="H159">
        <v>113</v>
      </c>
      <c r="I159">
        <v>5</v>
      </c>
      <c r="J159">
        <v>391</v>
      </c>
      <c r="K159">
        <v>392</v>
      </c>
      <c r="L159" t="s">
        <v>1502</v>
      </c>
      <c r="M159" t="s">
        <v>63</v>
      </c>
      <c r="N159" t="s">
        <v>1503</v>
      </c>
      <c r="O159" t="s">
        <v>63</v>
      </c>
      <c r="Q159" t="s">
        <v>63</v>
      </c>
      <c r="R159" t="s">
        <v>63</v>
      </c>
      <c r="S159" t="s">
        <v>63</v>
      </c>
      <c r="T159" t="s">
        <v>63</v>
      </c>
      <c r="X159" t="s">
        <v>63</v>
      </c>
      <c r="Y159" t="s">
        <v>1504</v>
      </c>
      <c r="Z159" t="s">
        <v>63</v>
      </c>
      <c r="AA159" t="s">
        <v>1505</v>
      </c>
      <c r="AB159">
        <v>8316726</v>
      </c>
      <c r="AC159" t="s">
        <v>1371</v>
      </c>
      <c r="AD159" t="s">
        <v>63</v>
      </c>
      <c r="AE159" t="s">
        <v>63</v>
      </c>
      <c r="AF159" t="s">
        <v>63</v>
      </c>
      <c r="AG159" t="s">
        <v>1506</v>
      </c>
      <c r="AH159" t="s">
        <v>63</v>
      </c>
      <c r="AI159" t="s">
        <v>63</v>
      </c>
      <c r="AJ159" t="s">
        <v>63</v>
      </c>
      <c r="AK159" t="s">
        <v>63</v>
      </c>
      <c r="AL159" t="s">
        <v>63</v>
      </c>
      <c r="AM159" t="s">
        <v>1507</v>
      </c>
      <c r="AN159" t="s">
        <v>63</v>
      </c>
      <c r="AO159" t="s">
        <v>63</v>
      </c>
      <c r="AP159" t="s">
        <v>63</v>
      </c>
      <c r="AQ159" t="s">
        <v>63</v>
      </c>
      <c r="AR159" t="s">
        <v>63</v>
      </c>
      <c r="AS159" t="s">
        <v>63</v>
      </c>
      <c r="AT159" t="s">
        <v>63</v>
      </c>
      <c r="AU159" t="s">
        <v>63</v>
      </c>
      <c r="AV159" t="s">
        <v>63</v>
      </c>
      <c r="AW159" t="s">
        <v>63</v>
      </c>
      <c r="AX159" t="s">
        <v>63</v>
      </c>
      <c r="AY159" t="s">
        <v>63</v>
      </c>
      <c r="AZ159" t="s">
        <v>63</v>
      </c>
      <c r="BA159" t="s">
        <v>63</v>
      </c>
      <c r="BB159" t="s">
        <v>63</v>
      </c>
      <c r="BC159" t="s">
        <v>63</v>
      </c>
      <c r="BD159" t="s">
        <v>63</v>
      </c>
      <c r="BE159" t="s">
        <v>63</v>
      </c>
      <c r="BF159" t="s">
        <v>63</v>
      </c>
    </row>
    <row r="160" spans="1:58">
      <c r="A160" t="s">
        <v>58</v>
      </c>
      <c r="B160" t="s">
        <v>1508</v>
      </c>
      <c r="C160" t="s">
        <v>1509</v>
      </c>
      <c r="D160" t="s">
        <v>1510</v>
      </c>
      <c r="E160" t="s">
        <v>1511</v>
      </c>
      <c r="F160">
        <v>1972</v>
      </c>
      <c r="G160" t="s">
        <v>274</v>
      </c>
      <c r="H160">
        <v>109</v>
      </c>
      <c r="I160">
        <v>1</v>
      </c>
      <c r="J160">
        <v>51</v>
      </c>
      <c r="K160">
        <v>57</v>
      </c>
      <c r="L160" t="s">
        <v>1512</v>
      </c>
      <c r="M160" t="s">
        <v>63</v>
      </c>
      <c r="N160" t="s">
        <v>1513</v>
      </c>
      <c r="O160" t="s">
        <v>63</v>
      </c>
      <c r="Q160" t="s">
        <v>63</v>
      </c>
      <c r="R160" t="s">
        <v>63</v>
      </c>
      <c r="S160" t="s">
        <v>63</v>
      </c>
      <c r="T160" t="s">
        <v>63</v>
      </c>
      <c r="X160" t="s">
        <v>63</v>
      </c>
      <c r="Y160" t="s">
        <v>1514</v>
      </c>
      <c r="Z160" t="s">
        <v>63</v>
      </c>
      <c r="AA160" t="s">
        <v>63</v>
      </c>
      <c r="AB160">
        <v>5056097</v>
      </c>
      <c r="AC160" t="s">
        <v>1371</v>
      </c>
      <c r="AD160" t="s">
        <v>63</v>
      </c>
      <c r="AE160" t="s">
        <v>63</v>
      </c>
      <c r="AF160" t="s">
        <v>63</v>
      </c>
      <c r="AG160" t="s">
        <v>1515</v>
      </c>
      <c r="AH160" t="s">
        <v>63</v>
      </c>
      <c r="AI160" t="s">
        <v>63</v>
      </c>
      <c r="AJ160" t="s">
        <v>63</v>
      </c>
      <c r="AK160" t="s">
        <v>63</v>
      </c>
      <c r="AL160" t="s">
        <v>63</v>
      </c>
      <c r="AM160" t="s">
        <v>1516</v>
      </c>
      <c r="AN160" t="s">
        <v>63</v>
      </c>
      <c r="AO160" t="s">
        <v>63</v>
      </c>
      <c r="AP160" t="s">
        <v>63</v>
      </c>
      <c r="AQ160" t="s">
        <v>63</v>
      </c>
      <c r="AR160" t="s">
        <v>63</v>
      </c>
      <c r="AS160" t="s">
        <v>63</v>
      </c>
      <c r="AT160" t="s">
        <v>63</v>
      </c>
      <c r="AU160" t="s">
        <v>63</v>
      </c>
      <c r="AV160" t="s">
        <v>63</v>
      </c>
      <c r="AW160" t="s">
        <v>63</v>
      </c>
      <c r="AX160" t="s">
        <v>63</v>
      </c>
      <c r="AY160" t="s">
        <v>63</v>
      </c>
      <c r="AZ160" t="s">
        <v>63</v>
      </c>
      <c r="BA160" t="s">
        <v>63</v>
      </c>
      <c r="BB160" t="s">
        <v>63</v>
      </c>
      <c r="BC160" t="s">
        <v>63</v>
      </c>
      <c r="BD160" t="s">
        <v>63</v>
      </c>
      <c r="BE160" t="s">
        <v>63</v>
      </c>
      <c r="BF160" t="s">
        <v>63</v>
      </c>
    </row>
    <row r="161" spans="1:58">
      <c r="A161" t="s">
        <v>58</v>
      </c>
      <c r="B161" t="s">
        <v>1517</v>
      </c>
      <c r="C161" t="s">
        <v>1518</v>
      </c>
      <c r="D161" t="s">
        <v>1519</v>
      </c>
      <c r="E161" t="s">
        <v>63</v>
      </c>
      <c r="F161">
        <v>2015</v>
      </c>
      <c r="G161" s="1">
        <v>41666</v>
      </c>
      <c r="H161">
        <v>11</v>
      </c>
      <c r="I161">
        <v>459</v>
      </c>
      <c r="J161">
        <v>278</v>
      </c>
      <c r="K161">
        <v>279</v>
      </c>
      <c r="L161" t="s">
        <v>1520</v>
      </c>
      <c r="M161" t="s">
        <v>63</v>
      </c>
      <c r="N161" t="s">
        <v>1521</v>
      </c>
      <c r="O161" t="s">
        <v>63</v>
      </c>
      <c r="Q161" t="s">
        <v>63</v>
      </c>
      <c r="R161" t="s">
        <v>63</v>
      </c>
      <c r="S161" t="s">
        <v>63</v>
      </c>
      <c r="T161" t="s">
        <v>63</v>
      </c>
      <c r="X161" t="s">
        <v>63</v>
      </c>
      <c r="Y161" t="s">
        <v>1522</v>
      </c>
      <c r="Z161" t="s">
        <v>63</v>
      </c>
      <c r="AA161" t="s">
        <v>63</v>
      </c>
      <c r="AB161">
        <v>25845176</v>
      </c>
      <c r="AC161" t="s">
        <v>1371</v>
      </c>
      <c r="AD161" t="s">
        <v>63</v>
      </c>
      <c r="AE161" t="s">
        <v>63</v>
      </c>
      <c r="AF161" t="s">
        <v>63</v>
      </c>
      <c r="AG161" t="s">
        <v>1523</v>
      </c>
      <c r="AH161" t="s">
        <v>63</v>
      </c>
      <c r="AI161" t="s">
        <v>63</v>
      </c>
      <c r="AJ161" t="s">
        <v>63</v>
      </c>
      <c r="AK161" t="s">
        <v>63</v>
      </c>
      <c r="AL161" t="s">
        <v>63</v>
      </c>
      <c r="AM161" t="s">
        <v>1524</v>
      </c>
      <c r="AN161" t="s">
        <v>63</v>
      </c>
      <c r="AO161" t="s">
        <v>63</v>
      </c>
      <c r="AP161" t="s">
        <v>63</v>
      </c>
      <c r="AQ161" t="s">
        <v>63</v>
      </c>
      <c r="AR161" t="s">
        <v>63</v>
      </c>
      <c r="AS161" t="s">
        <v>63</v>
      </c>
      <c r="AT161" t="s">
        <v>63</v>
      </c>
      <c r="AU161" t="s">
        <v>63</v>
      </c>
      <c r="AV161" t="s">
        <v>63</v>
      </c>
      <c r="AW161" t="s">
        <v>63</v>
      </c>
      <c r="AX161" t="s">
        <v>63</v>
      </c>
      <c r="AY161" t="s">
        <v>63</v>
      </c>
      <c r="AZ161" t="s">
        <v>63</v>
      </c>
      <c r="BA161" t="s">
        <v>63</v>
      </c>
      <c r="BB161" t="s">
        <v>63</v>
      </c>
      <c r="BC161" t="s">
        <v>63</v>
      </c>
      <c r="BD161" t="s">
        <v>63</v>
      </c>
      <c r="BE161" t="s">
        <v>63</v>
      </c>
      <c r="BF161" t="s">
        <v>63</v>
      </c>
    </row>
    <row r="162" spans="1:58">
      <c r="A162" t="s">
        <v>58</v>
      </c>
      <c r="B162" t="s">
        <v>1525</v>
      </c>
      <c r="C162" t="s">
        <v>1526</v>
      </c>
      <c r="D162" t="s">
        <v>1527</v>
      </c>
      <c r="E162" t="s">
        <v>63</v>
      </c>
      <c r="F162">
        <v>2011</v>
      </c>
      <c r="G162" t="s">
        <v>1528</v>
      </c>
      <c r="H162">
        <v>5</v>
      </c>
      <c r="I162">
        <v>1</v>
      </c>
      <c r="J162">
        <v>12</v>
      </c>
      <c r="K162">
        <v>16</v>
      </c>
      <c r="L162" t="s">
        <v>1529</v>
      </c>
      <c r="M162" t="s">
        <v>1530</v>
      </c>
      <c r="N162" t="s">
        <v>1531</v>
      </c>
      <c r="O162" t="s">
        <v>63</v>
      </c>
      <c r="Q162" t="s">
        <v>63</v>
      </c>
      <c r="R162" t="s">
        <v>63</v>
      </c>
      <c r="S162" t="s">
        <v>63</v>
      </c>
      <c r="T162" t="s">
        <v>63</v>
      </c>
      <c r="X162" t="s">
        <v>63</v>
      </c>
      <c r="Y162" t="s">
        <v>1532</v>
      </c>
      <c r="Z162" t="s">
        <v>63</v>
      </c>
      <c r="AA162" t="s">
        <v>1533</v>
      </c>
      <c r="AB162">
        <v>22814835</v>
      </c>
      <c r="AC162" t="s">
        <v>67</v>
      </c>
      <c r="AD162" t="s">
        <v>63</v>
      </c>
      <c r="AE162" t="s">
        <v>63</v>
      </c>
      <c r="AF162" t="s">
        <v>63</v>
      </c>
      <c r="AG162" t="s">
        <v>1534</v>
      </c>
      <c r="AH162" t="s">
        <v>63</v>
      </c>
      <c r="AI162" t="s">
        <v>1535</v>
      </c>
      <c r="AJ162" t="s">
        <v>63</v>
      </c>
      <c r="AK162" t="s">
        <v>63</v>
      </c>
      <c r="AL162" t="s">
        <v>63</v>
      </c>
      <c r="AM162" t="s">
        <v>1536</v>
      </c>
      <c r="AN162" t="s">
        <v>63</v>
      </c>
      <c r="AO162" t="s">
        <v>63</v>
      </c>
      <c r="AP162" t="s">
        <v>63</v>
      </c>
      <c r="AQ162" t="s">
        <v>63</v>
      </c>
      <c r="AR162" t="s">
        <v>63</v>
      </c>
      <c r="AS162" t="s">
        <v>63</v>
      </c>
      <c r="AT162" t="s">
        <v>63</v>
      </c>
      <c r="AU162" t="s">
        <v>63</v>
      </c>
      <c r="AV162" t="s">
        <v>63</v>
      </c>
      <c r="AW162" t="s">
        <v>63</v>
      </c>
      <c r="AX162" t="s">
        <v>63</v>
      </c>
      <c r="AY162" t="s">
        <v>63</v>
      </c>
      <c r="AZ162" t="s">
        <v>63</v>
      </c>
      <c r="BA162" t="s">
        <v>63</v>
      </c>
      <c r="BB162" t="s">
        <v>63</v>
      </c>
      <c r="BC162" t="s">
        <v>63</v>
      </c>
      <c r="BD162" t="s">
        <v>63</v>
      </c>
      <c r="BE162" t="s">
        <v>63</v>
      </c>
      <c r="BF162" t="s">
        <v>63</v>
      </c>
    </row>
    <row r="163" spans="1:58">
      <c r="A163" t="s">
        <v>58</v>
      </c>
      <c r="B163" t="s">
        <v>1537</v>
      </c>
      <c r="C163" t="s">
        <v>1538</v>
      </c>
      <c r="D163" t="s">
        <v>1055</v>
      </c>
      <c r="E163" t="s">
        <v>1056</v>
      </c>
      <c r="F163">
        <v>2016</v>
      </c>
      <c r="G163" t="s">
        <v>219</v>
      </c>
      <c r="H163">
        <v>50</v>
      </c>
      <c r="I163">
        <v>11</v>
      </c>
      <c r="J163">
        <v>1161</v>
      </c>
      <c r="K163" t="s">
        <v>63</v>
      </c>
      <c r="L163" t="s">
        <v>1539</v>
      </c>
      <c r="M163" t="s">
        <v>63</v>
      </c>
      <c r="N163" t="s">
        <v>1540</v>
      </c>
      <c r="O163" t="s">
        <v>63</v>
      </c>
      <c r="Q163" t="s">
        <v>63</v>
      </c>
      <c r="R163" t="s">
        <v>63</v>
      </c>
      <c r="S163" t="s">
        <v>63</v>
      </c>
      <c r="T163" t="s">
        <v>63</v>
      </c>
      <c r="X163" t="s">
        <v>63</v>
      </c>
      <c r="Y163" t="s">
        <v>1541</v>
      </c>
      <c r="Z163" t="s">
        <v>63</v>
      </c>
      <c r="AA163" t="s">
        <v>1542</v>
      </c>
      <c r="AB163">
        <v>27762005</v>
      </c>
      <c r="AC163" t="s">
        <v>67</v>
      </c>
      <c r="AD163" t="s">
        <v>63</v>
      </c>
      <c r="AE163" t="s">
        <v>63</v>
      </c>
      <c r="AF163" t="s">
        <v>63</v>
      </c>
      <c r="AG163" t="s">
        <v>1543</v>
      </c>
      <c r="AH163" t="s">
        <v>63</v>
      </c>
      <c r="AI163" t="s">
        <v>1544</v>
      </c>
      <c r="AJ163" t="s">
        <v>63</v>
      </c>
      <c r="AK163" t="s">
        <v>63</v>
      </c>
      <c r="AL163" t="s">
        <v>63</v>
      </c>
      <c r="AM163" t="s">
        <v>1545</v>
      </c>
      <c r="AN163" t="s">
        <v>63</v>
      </c>
      <c r="AO163" t="s">
        <v>63</v>
      </c>
      <c r="AP163" t="s">
        <v>63</v>
      </c>
      <c r="AQ163" t="s">
        <v>63</v>
      </c>
      <c r="AR163" t="s">
        <v>63</v>
      </c>
      <c r="AS163" t="s">
        <v>63</v>
      </c>
      <c r="AT163" t="s">
        <v>63</v>
      </c>
      <c r="AU163" t="s">
        <v>63</v>
      </c>
      <c r="AV163" t="s">
        <v>63</v>
      </c>
      <c r="AW163" t="s">
        <v>63</v>
      </c>
      <c r="AX163" t="s">
        <v>63</v>
      </c>
      <c r="AY163" t="s">
        <v>63</v>
      </c>
      <c r="AZ163" t="s">
        <v>63</v>
      </c>
      <c r="BA163" t="s">
        <v>63</v>
      </c>
      <c r="BB163" t="s">
        <v>63</v>
      </c>
      <c r="BC163" t="s">
        <v>63</v>
      </c>
      <c r="BD163" t="s">
        <v>63</v>
      </c>
      <c r="BE163" t="s">
        <v>63</v>
      </c>
      <c r="BF163" t="s">
        <v>63</v>
      </c>
    </row>
    <row r="164" spans="1:58">
      <c r="A164" t="s">
        <v>58</v>
      </c>
      <c r="B164" t="s">
        <v>1546</v>
      </c>
      <c r="C164" t="s">
        <v>1547</v>
      </c>
      <c r="D164" t="s">
        <v>690</v>
      </c>
      <c r="E164" t="s">
        <v>63</v>
      </c>
      <c r="F164">
        <v>2006</v>
      </c>
      <c r="G164" t="s">
        <v>63</v>
      </c>
      <c r="H164">
        <v>63</v>
      </c>
      <c r="I164">
        <v>10</v>
      </c>
      <c r="J164">
        <v>1031</v>
      </c>
      <c r="K164">
        <v>1037</v>
      </c>
      <c r="L164" t="s">
        <v>1548</v>
      </c>
      <c r="M164" t="s">
        <v>1549</v>
      </c>
      <c r="N164" t="s">
        <v>1550</v>
      </c>
      <c r="O164" t="s">
        <v>63</v>
      </c>
      <c r="Q164" t="s">
        <v>63</v>
      </c>
      <c r="R164" t="s">
        <v>63</v>
      </c>
      <c r="S164" t="s">
        <v>63</v>
      </c>
      <c r="T164" t="s">
        <v>63</v>
      </c>
      <c r="X164" t="s">
        <v>63</v>
      </c>
      <c r="Y164" t="s">
        <v>694</v>
      </c>
      <c r="Z164" t="s">
        <v>63</v>
      </c>
      <c r="AA164" t="s">
        <v>1551</v>
      </c>
      <c r="AB164">
        <v>17288209</v>
      </c>
      <c r="AC164" t="s">
        <v>696</v>
      </c>
      <c r="AD164" t="s">
        <v>63</v>
      </c>
      <c r="AE164" t="s">
        <v>63</v>
      </c>
      <c r="AF164" t="s">
        <v>63</v>
      </c>
      <c r="AG164" t="s">
        <v>1552</v>
      </c>
      <c r="AH164" t="s">
        <v>63</v>
      </c>
      <c r="AI164" t="s">
        <v>63</v>
      </c>
      <c r="AJ164" t="s">
        <v>63</v>
      </c>
      <c r="AK164" t="s">
        <v>63</v>
      </c>
      <c r="AL164" t="s">
        <v>63</v>
      </c>
      <c r="AM164" t="s">
        <v>1553</v>
      </c>
      <c r="AN164" t="s">
        <v>63</v>
      </c>
      <c r="AO164" t="s">
        <v>63</v>
      </c>
      <c r="AP164" t="s">
        <v>63</v>
      </c>
      <c r="AQ164" t="s">
        <v>63</v>
      </c>
      <c r="AR164" t="s">
        <v>63</v>
      </c>
      <c r="AS164" t="s">
        <v>63</v>
      </c>
      <c r="AT164" t="s">
        <v>63</v>
      </c>
      <c r="AU164" t="s">
        <v>63</v>
      </c>
      <c r="AV164" t="s">
        <v>63</v>
      </c>
      <c r="AW164" t="s">
        <v>63</v>
      </c>
      <c r="AX164" t="s">
        <v>63</v>
      </c>
      <c r="AY164" t="s">
        <v>63</v>
      </c>
      <c r="AZ164" t="s">
        <v>63</v>
      </c>
      <c r="BA164" t="s">
        <v>63</v>
      </c>
      <c r="BB164" t="s">
        <v>63</v>
      </c>
      <c r="BC164" t="s">
        <v>63</v>
      </c>
      <c r="BD164" t="s">
        <v>63</v>
      </c>
      <c r="BE164" t="s">
        <v>63</v>
      </c>
      <c r="BF164" t="s">
        <v>63</v>
      </c>
    </row>
    <row r="165" spans="1:58">
      <c r="A165" t="s">
        <v>58</v>
      </c>
      <c r="B165" t="s">
        <v>1554</v>
      </c>
      <c r="C165" t="s">
        <v>1555</v>
      </c>
      <c r="D165" t="s">
        <v>690</v>
      </c>
      <c r="E165" t="s">
        <v>63</v>
      </c>
      <c r="F165">
        <v>2014</v>
      </c>
      <c r="G165" t="s">
        <v>63</v>
      </c>
      <c r="H165">
        <v>71</v>
      </c>
      <c r="I165">
        <v>11</v>
      </c>
      <c r="J165">
        <v>597</v>
      </c>
      <c r="K165">
        <v>600</v>
      </c>
      <c r="L165" t="s">
        <v>1556</v>
      </c>
      <c r="M165" t="s">
        <v>1557</v>
      </c>
      <c r="N165" t="s">
        <v>1558</v>
      </c>
      <c r="O165" t="s">
        <v>63</v>
      </c>
      <c r="Q165" t="s">
        <v>63</v>
      </c>
      <c r="R165" t="s">
        <v>63</v>
      </c>
      <c r="S165" t="s">
        <v>63</v>
      </c>
      <c r="T165" t="s">
        <v>63</v>
      </c>
      <c r="X165" t="s">
        <v>63</v>
      </c>
      <c r="Y165" t="s">
        <v>694</v>
      </c>
      <c r="Z165" t="s">
        <v>63</v>
      </c>
      <c r="AA165" t="s">
        <v>63</v>
      </c>
      <c r="AB165">
        <v>25799852</v>
      </c>
      <c r="AC165" t="s">
        <v>696</v>
      </c>
      <c r="AD165" t="s">
        <v>63</v>
      </c>
      <c r="AE165" t="s">
        <v>63</v>
      </c>
      <c r="AF165" t="s">
        <v>63</v>
      </c>
      <c r="AG165" t="s">
        <v>1559</v>
      </c>
      <c r="AH165" t="s">
        <v>63</v>
      </c>
      <c r="AI165" t="s">
        <v>63</v>
      </c>
      <c r="AJ165" t="s">
        <v>63</v>
      </c>
      <c r="AK165" t="s">
        <v>63</v>
      </c>
      <c r="AL165" t="s">
        <v>63</v>
      </c>
      <c r="AM165" t="s">
        <v>1560</v>
      </c>
      <c r="AN165" t="s">
        <v>63</v>
      </c>
      <c r="AO165" t="s">
        <v>63</v>
      </c>
      <c r="AP165" t="s">
        <v>63</v>
      </c>
      <c r="AQ165" t="s">
        <v>63</v>
      </c>
      <c r="AR165" t="s">
        <v>63</v>
      </c>
      <c r="AS165" t="s">
        <v>63</v>
      </c>
      <c r="AT165" t="s">
        <v>63</v>
      </c>
      <c r="AU165" t="s">
        <v>63</v>
      </c>
      <c r="AV165" t="s">
        <v>63</v>
      </c>
      <c r="AW165" t="s">
        <v>63</v>
      </c>
      <c r="AX165" t="s">
        <v>63</v>
      </c>
      <c r="AY165" t="s">
        <v>63</v>
      </c>
      <c r="AZ165" t="s">
        <v>63</v>
      </c>
      <c r="BA165" t="s">
        <v>63</v>
      </c>
      <c r="BB165" t="s">
        <v>63</v>
      </c>
      <c r="BC165" t="s">
        <v>63</v>
      </c>
      <c r="BD165" t="s">
        <v>63</v>
      </c>
      <c r="BE165" t="s">
        <v>63</v>
      </c>
      <c r="BF165" t="s">
        <v>63</v>
      </c>
    </row>
    <row r="166" spans="1:58">
      <c r="A166" t="s">
        <v>58</v>
      </c>
      <c r="B166" t="s">
        <v>1561</v>
      </c>
      <c r="C166" t="s">
        <v>1562</v>
      </c>
      <c r="D166" t="s">
        <v>690</v>
      </c>
      <c r="E166" t="s">
        <v>63</v>
      </c>
      <c r="F166">
        <v>2005</v>
      </c>
      <c r="G166" t="s">
        <v>63</v>
      </c>
      <c r="H166">
        <v>62</v>
      </c>
      <c r="I166">
        <v>10</v>
      </c>
      <c r="J166">
        <v>1116</v>
      </c>
      <c r="K166">
        <v>1118</v>
      </c>
      <c r="L166" t="s">
        <v>1563</v>
      </c>
      <c r="M166" t="s">
        <v>1564</v>
      </c>
      <c r="N166" t="s">
        <v>1565</v>
      </c>
      <c r="O166" t="s">
        <v>63</v>
      </c>
      <c r="Q166" t="s">
        <v>63</v>
      </c>
      <c r="R166" t="s">
        <v>63</v>
      </c>
      <c r="S166" t="s">
        <v>63</v>
      </c>
      <c r="T166" t="s">
        <v>63</v>
      </c>
      <c r="X166" t="s">
        <v>63</v>
      </c>
      <c r="Y166" t="s">
        <v>694</v>
      </c>
      <c r="Z166" t="s">
        <v>63</v>
      </c>
      <c r="AA166" t="s">
        <v>1566</v>
      </c>
      <c r="AB166">
        <v>16521968</v>
      </c>
      <c r="AC166" t="s">
        <v>696</v>
      </c>
      <c r="AD166" t="s">
        <v>63</v>
      </c>
      <c r="AE166" t="s">
        <v>63</v>
      </c>
      <c r="AF166" t="s">
        <v>63</v>
      </c>
      <c r="AG166" t="s">
        <v>1567</v>
      </c>
      <c r="AH166" t="s">
        <v>63</v>
      </c>
      <c r="AI166" t="s">
        <v>63</v>
      </c>
      <c r="AJ166" t="s">
        <v>63</v>
      </c>
      <c r="AK166" t="s">
        <v>63</v>
      </c>
      <c r="AL166" t="s">
        <v>63</v>
      </c>
      <c r="AM166" t="s">
        <v>1568</v>
      </c>
      <c r="AN166" t="s">
        <v>63</v>
      </c>
      <c r="AO166" t="s">
        <v>63</v>
      </c>
      <c r="AP166" t="s">
        <v>63</v>
      </c>
      <c r="AQ166" t="s">
        <v>63</v>
      </c>
      <c r="AR166" t="s">
        <v>63</v>
      </c>
      <c r="AS166" t="s">
        <v>63</v>
      </c>
      <c r="AT166" t="s">
        <v>63</v>
      </c>
      <c r="AU166" t="s">
        <v>63</v>
      </c>
      <c r="AV166" t="s">
        <v>63</v>
      </c>
      <c r="AW166" t="s">
        <v>63</v>
      </c>
      <c r="AX166" t="s">
        <v>63</v>
      </c>
      <c r="AY166" t="s">
        <v>63</v>
      </c>
      <c r="AZ166" t="s">
        <v>63</v>
      </c>
      <c r="BA166" t="s">
        <v>63</v>
      </c>
      <c r="BB166" t="s">
        <v>63</v>
      </c>
      <c r="BC166" t="s">
        <v>63</v>
      </c>
      <c r="BD166" t="s">
        <v>63</v>
      </c>
      <c r="BE166" t="s">
        <v>63</v>
      </c>
      <c r="BF166" t="s">
        <v>63</v>
      </c>
    </row>
    <row r="167" spans="1:58">
      <c r="A167" t="s">
        <v>58</v>
      </c>
      <c r="B167" t="s">
        <v>1569</v>
      </c>
      <c r="C167" t="s">
        <v>1570</v>
      </c>
      <c r="D167" t="s">
        <v>690</v>
      </c>
      <c r="E167" t="s">
        <v>63</v>
      </c>
      <c r="F167">
        <v>2007</v>
      </c>
      <c r="G167" t="s">
        <v>63</v>
      </c>
      <c r="H167">
        <v>64</v>
      </c>
      <c r="I167">
        <v>10</v>
      </c>
      <c r="J167">
        <v>777</v>
      </c>
      <c r="K167">
        <v>780</v>
      </c>
      <c r="L167" t="s">
        <v>1571</v>
      </c>
      <c r="M167" t="s">
        <v>1572</v>
      </c>
      <c r="N167" t="s">
        <v>1573</v>
      </c>
      <c r="O167" t="s">
        <v>63</v>
      </c>
      <c r="Q167" t="s">
        <v>63</v>
      </c>
      <c r="R167" t="s">
        <v>63</v>
      </c>
      <c r="S167" t="s">
        <v>63</v>
      </c>
      <c r="T167" t="s">
        <v>63</v>
      </c>
      <c r="X167" t="s">
        <v>63</v>
      </c>
      <c r="Y167" t="s">
        <v>694</v>
      </c>
      <c r="Z167" t="s">
        <v>63</v>
      </c>
      <c r="AA167" t="s">
        <v>1574</v>
      </c>
      <c r="AB167">
        <v>18409307</v>
      </c>
      <c r="AC167" t="s">
        <v>696</v>
      </c>
      <c r="AD167" t="s">
        <v>63</v>
      </c>
      <c r="AE167" t="s">
        <v>63</v>
      </c>
      <c r="AF167" t="s">
        <v>63</v>
      </c>
      <c r="AG167" t="s">
        <v>1575</v>
      </c>
      <c r="AH167" t="s">
        <v>63</v>
      </c>
      <c r="AI167" t="s">
        <v>63</v>
      </c>
      <c r="AJ167" t="s">
        <v>63</v>
      </c>
      <c r="AK167" t="s">
        <v>63</v>
      </c>
      <c r="AL167" t="s">
        <v>63</v>
      </c>
      <c r="AM167" t="s">
        <v>1576</v>
      </c>
      <c r="AN167" t="s">
        <v>63</v>
      </c>
      <c r="AO167" t="s">
        <v>63</v>
      </c>
      <c r="AP167" t="s">
        <v>63</v>
      </c>
      <c r="AQ167" t="s">
        <v>63</v>
      </c>
      <c r="AR167" t="s">
        <v>63</v>
      </c>
      <c r="AS167" t="s">
        <v>63</v>
      </c>
      <c r="AT167" t="s">
        <v>63</v>
      </c>
      <c r="AU167" t="s">
        <v>63</v>
      </c>
      <c r="AV167" t="s">
        <v>63</v>
      </c>
      <c r="AW167" t="s">
        <v>63</v>
      </c>
      <c r="AX167" t="s">
        <v>63</v>
      </c>
      <c r="AY167" t="s">
        <v>63</v>
      </c>
      <c r="AZ167" t="s">
        <v>63</v>
      </c>
      <c r="BA167" t="s">
        <v>63</v>
      </c>
      <c r="BB167" t="s">
        <v>63</v>
      </c>
      <c r="BC167" t="s">
        <v>63</v>
      </c>
      <c r="BD167" t="s">
        <v>63</v>
      </c>
      <c r="BE167" t="s">
        <v>63</v>
      </c>
      <c r="BF167" t="s">
        <v>63</v>
      </c>
    </row>
    <row r="168" spans="1:58">
      <c r="A168" t="s">
        <v>58</v>
      </c>
      <c r="B168" t="s">
        <v>1577</v>
      </c>
      <c r="C168" t="s">
        <v>1578</v>
      </c>
      <c r="D168" t="s">
        <v>690</v>
      </c>
      <c r="E168" t="s">
        <v>63</v>
      </c>
      <c r="F168">
        <v>2009</v>
      </c>
      <c r="G168" t="s">
        <v>63</v>
      </c>
      <c r="H168">
        <v>66</v>
      </c>
      <c r="I168">
        <v>10</v>
      </c>
      <c r="J168">
        <v>816</v>
      </c>
      <c r="K168">
        <v>818</v>
      </c>
      <c r="L168" t="s">
        <v>1579</v>
      </c>
      <c r="M168" t="s">
        <v>1580</v>
      </c>
      <c r="N168" t="s">
        <v>1581</v>
      </c>
      <c r="O168" t="s">
        <v>63</v>
      </c>
      <c r="Q168" t="s">
        <v>63</v>
      </c>
      <c r="R168" t="s">
        <v>63</v>
      </c>
      <c r="S168" t="s">
        <v>63</v>
      </c>
      <c r="T168" t="s">
        <v>63</v>
      </c>
      <c r="X168" t="s">
        <v>63</v>
      </c>
      <c r="Y168" t="s">
        <v>694</v>
      </c>
      <c r="Z168" t="s">
        <v>63</v>
      </c>
      <c r="AA168" t="s">
        <v>1582</v>
      </c>
      <c r="AB168">
        <v>20301944</v>
      </c>
      <c r="AC168" t="s">
        <v>696</v>
      </c>
      <c r="AD168" t="s">
        <v>63</v>
      </c>
      <c r="AE168" t="s">
        <v>63</v>
      </c>
      <c r="AF168" t="s">
        <v>63</v>
      </c>
      <c r="AG168" t="s">
        <v>1583</v>
      </c>
      <c r="AH168" t="s">
        <v>63</v>
      </c>
      <c r="AI168" t="s">
        <v>63</v>
      </c>
      <c r="AJ168" t="s">
        <v>63</v>
      </c>
      <c r="AK168" t="s">
        <v>63</v>
      </c>
      <c r="AL168" t="s">
        <v>63</v>
      </c>
      <c r="AM168" t="s">
        <v>1584</v>
      </c>
      <c r="AN168" t="s">
        <v>63</v>
      </c>
      <c r="AO168" t="s">
        <v>63</v>
      </c>
      <c r="AP168" t="s">
        <v>63</v>
      </c>
      <c r="AQ168" t="s">
        <v>63</v>
      </c>
      <c r="AR168" t="s">
        <v>63</v>
      </c>
      <c r="AS168" t="s">
        <v>63</v>
      </c>
      <c r="AT168" t="s">
        <v>63</v>
      </c>
      <c r="AU168" t="s">
        <v>63</v>
      </c>
      <c r="AV168" t="s">
        <v>63</v>
      </c>
      <c r="AW168" t="s">
        <v>63</v>
      </c>
      <c r="AX168" t="s">
        <v>63</v>
      </c>
      <c r="AY168" t="s">
        <v>63</v>
      </c>
      <c r="AZ168" t="s">
        <v>63</v>
      </c>
      <c r="BA168" t="s">
        <v>63</v>
      </c>
      <c r="BB168" t="s">
        <v>63</v>
      </c>
      <c r="BC168" t="s">
        <v>63</v>
      </c>
      <c r="BD168" t="s">
        <v>63</v>
      </c>
      <c r="BE168" t="s">
        <v>63</v>
      </c>
      <c r="BF168" t="s">
        <v>63</v>
      </c>
    </row>
    <row r="169" spans="1:58">
      <c r="A169" t="s">
        <v>58</v>
      </c>
      <c r="B169" t="s">
        <v>1585</v>
      </c>
      <c r="C169" t="s">
        <v>1586</v>
      </c>
      <c r="D169" t="s">
        <v>1587</v>
      </c>
      <c r="E169" t="s">
        <v>63</v>
      </c>
      <c r="F169">
        <v>2003</v>
      </c>
      <c r="G169" t="s">
        <v>138</v>
      </c>
      <c r="H169">
        <v>26</v>
      </c>
      <c r="I169">
        <v>5</v>
      </c>
      <c r="J169">
        <v>259</v>
      </c>
      <c r="K169">
        <v>268</v>
      </c>
      <c r="L169" t="s">
        <v>1588</v>
      </c>
      <c r="M169" t="s">
        <v>1589</v>
      </c>
      <c r="N169" t="s">
        <v>1590</v>
      </c>
      <c r="O169" t="s">
        <v>63</v>
      </c>
      <c r="Q169" t="s">
        <v>63</v>
      </c>
      <c r="R169" t="s">
        <v>63</v>
      </c>
      <c r="S169" t="s">
        <v>63</v>
      </c>
      <c r="T169" t="s">
        <v>63</v>
      </c>
      <c r="X169" t="s">
        <v>63</v>
      </c>
      <c r="Y169" t="s">
        <v>1591</v>
      </c>
      <c r="Z169" t="s">
        <v>63</v>
      </c>
      <c r="AA169" t="s">
        <v>1592</v>
      </c>
      <c r="AB169">
        <v>14596488</v>
      </c>
      <c r="AC169" t="s">
        <v>67</v>
      </c>
      <c r="AD169" t="s">
        <v>63</v>
      </c>
      <c r="AE169" t="s">
        <v>63</v>
      </c>
      <c r="AF169" t="s">
        <v>63</v>
      </c>
      <c r="AG169" t="s">
        <v>1593</v>
      </c>
      <c r="AH169" t="s">
        <v>63</v>
      </c>
      <c r="AI169" t="s">
        <v>63</v>
      </c>
      <c r="AJ169" t="s">
        <v>63</v>
      </c>
      <c r="AK169" t="s">
        <v>63</v>
      </c>
      <c r="AL169" t="s">
        <v>63</v>
      </c>
      <c r="AM169" t="s">
        <v>1594</v>
      </c>
      <c r="AN169" t="s">
        <v>63</v>
      </c>
      <c r="AO169" t="s">
        <v>63</v>
      </c>
      <c r="AP169" t="s">
        <v>63</v>
      </c>
      <c r="AQ169" t="s">
        <v>63</v>
      </c>
      <c r="AR169" t="s">
        <v>63</v>
      </c>
      <c r="AS169" t="s">
        <v>63</v>
      </c>
      <c r="AT169" t="s">
        <v>63</v>
      </c>
      <c r="AU169" t="s">
        <v>63</v>
      </c>
      <c r="AV169" t="s">
        <v>63</v>
      </c>
      <c r="AW169" t="s">
        <v>63</v>
      </c>
      <c r="AX169" t="s">
        <v>63</v>
      </c>
      <c r="AY169" t="s">
        <v>63</v>
      </c>
      <c r="AZ169" t="s">
        <v>63</v>
      </c>
      <c r="BA169" t="s">
        <v>63</v>
      </c>
      <c r="BB169" t="s">
        <v>63</v>
      </c>
      <c r="BC169" t="s">
        <v>63</v>
      </c>
      <c r="BD169" t="s">
        <v>63</v>
      </c>
      <c r="BE169" t="s">
        <v>63</v>
      </c>
      <c r="BF169" t="s">
        <v>63</v>
      </c>
    </row>
    <row r="170" spans="1:58">
      <c r="A170" t="s">
        <v>58</v>
      </c>
      <c r="B170" t="s">
        <v>1595</v>
      </c>
      <c r="C170" t="s">
        <v>1596</v>
      </c>
      <c r="D170" t="s">
        <v>265</v>
      </c>
      <c r="E170" t="s">
        <v>63</v>
      </c>
      <c r="F170">
        <v>1982</v>
      </c>
      <c r="G170" s="1">
        <v>41975</v>
      </c>
      <c r="H170">
        <v>124</v>
      </c>
      <c r="I170">
        <v>48</v>
      </c>
      <c r="J170">
        <v>1087</v>
      </c>
      <c r="K170">
        <v>1088</v>
      </c>
      <c r="L170" t="s">
        <v>1597</v>
      </c>
      <c r="M170" t="s">
        <v>63</v>
      </c>
      <c r="N170" t="s">
        <v>1598</v>
      </c>
      <c r="O170" t="s">
        <v>63</v>
      </c>
      <c r="Q170" t="s">
        <v>63</v>
      </c>
      <c r="R170" t="s">
        <v>63</v>
      </c>
      <c r="S170" t="s">
        <v>63</v>
      </c>
      <c r="T170" t="s">
        <v>63</v>
      </c>
      <c r="X170" t="s">
        <v>63</v>
      </c>
      <c r="Y170" t="s">
        <v>268</v>
      </c>
      <c r="Z170" t="s">
        <v>63</v>
      </c>
      <c r="AA170" t="s">
        <v>63</v>
      </c>
      <c r="AB170">
        <v>6817131</v>
      </c>
      <c r="AC170" t="s">
        <v>102</v>
      </c>
      <c r="AD170" t="s">
        <v>63</v>
      </c>
      <c r="AE170" t="s">
        <v>63</v>
      </c>
      <c r="AF170" t="s">
        <v>63</v>
      </c>
      <c r="AG170" t="s">
        <v>1599</v>
      </c>
      <c r="AH170" t="s">
        <v>63</v>
      </c>
      <c r="AI170" t="s">
        <v>63</v>
      </c>
      <c r="AJ170" t="s">
        <v>63</v>
      </c>
      <c r="AK170" t="s">
        <v>63</v>
      </c>
      <c r="AL170" t="s">
        <v>63</v>
      </c>
      <c r="AM170" t="s">
        <v>1600</v>
      </c>
      <c r="AN170" t="s">
        <v>63</v>
      </c>
      <c r="AO170" t="s">
        <v>63</v>
      </c>
      <c r="AP170" t="s">
        <v>63</v>
      </c>
      <c r="AQ170" t="s">
        <v>63</v>
      </c>
      <c r="AR170" t="s">
        <v>63</v>
      </c>
      <c r="AS170" t="s">
        <v>63</v>
      </c>
      <c r="AT170" t="s">
        <v>63</v>
      </c>
      <c r="AU170" t="s">
        <v>63</v>
      </c>
      <c r="AV170" t="s">
        <v>63</v>
      </c>
      <c r="AW170" t="s">
        <v>63</v>
      </c>
      <c r="AX170" t="s">
        <v>63</v>
      </c>
      <c r="AY170" t="s">
        <v>63</v>
      </c>
      <c r="AZ170" t="s">
        <v>63</v>
      </c>
      <c r="BA170" t="s">
        <v>63</v>
      </c>
      <c r="BB170" t="s">
        <v>63</v>
      </c>
      <c r="BC170" t="s">
        <v>63</v>
      </c>
      <c r="BD170" t="s">
        <v>63</v>
      </c>
      <c r="BE170" t="s">
        <v>63</v>
      </c>
      <c r="BF170" t="s">
        <v>63</v>
      </c>
    </row>
    <row r="171" spans="1:58">
      <c r="A171" t="s">
        <v>58</v>
      </c>
      <c r="B171" t="s">
        <v>1595</v>
      </c>
      <c r="C171" t="s">
        <v>1601</v>
      </c>
      <c r="D171" t="s">
        <v>1602</v>
      </c>
      <c r="E171" t="s">
        <v>63</v>
      </c>
      <c r="F171">
        <v>1974</v>
      </c>
      <c r="G171" s="1">
        <v>41769</v>
      </c>
      <c r="H171">
        <v>104</v>
      </c>
      <c r="I171">
        <v>19</v>
      </c>
      <c r="J171">
        <v>700</v>
      </c>
      <c r="K171">
        <v>704</v>
      </c>
      <c r="L171" t="s">
        <v>1603</v>
      </c>
      <c r="M171" t="s">
        <v>63</v>
      </c>
      <c r="N171" t="s">
        <v>1604</v>
      </c>
      <c r="O171" t="s">
        <v>63</v>
      </c>
      <c r="Q171" t="s">
        <v>63</v>
      </c>
      <c r="R171" t="s">
        <v>63</v>
      </c>
      <c r="S171" t="s">
        <v>63</v>
      </c>
      <c r="T171" t="s">
        <v>63</v>
      </c>
      <c r="X171" t="s">
        <v>63</v>
      </c>
      <c r="Y171" t="s">
        <v>1605</v>
      </c>
      <c r="Z171" t="s">
        <v>63</v>
      </c>
      <c r="AA171" t="s">
        <v>63</v>
      </c>
      <c r="AB171">
        <v>4831000</v>
      </c>
      <c r="AC171" t="s">
        <v>102</v>
      </c>
      <c r="AD171" t="s">
        <v>63</v>
      </c>
      <c r="AE171" t="s">
        <v>63</v>
      </c>
      <c r="AF171" t="s">
        <v>63</v>
      </c>
      <c r="AG171" t="s">
        <v>1606</v>
      </c>
      <c r="AH171" t="s">
        <v>63</v>
      </c>
      <c r="AI171" t="s">
        <v>63</v>
      </c>
      <c r="AJ171" t="s">
        <v>63</v>
      </c>
      <c r="AK171" t="s">
        <v>63</v>
      </c>
      <c r="AL171" t="s">
        <v>63</v>
      </c>
      <c r="AM171" t="s">
        <v>1607</v>
      </c>
      <c r="AN171" t="s">
        <v>63</v>
      </c>
      <c r="AO171" t="s">
        <v>63</v>
      </c>
      <c r="AP171" t="s">
        <v>63</v>
      </c>
      <c r="AQ171" t="s">
        <v>63</v>
      </c>
      <c r="AR171" t="s">
        <v>63</v>
      </c>
      <c r="AS171" t="s">
        <v>63</v>
      </c>
      <c r="AT171" t="s">
        <v>63</v>
      </c>
      <c r="AU171" t="s">
        <v>63</v>
      </c>
      <c r="AV171" t="s">
        <v>63</v>
      </c>
      <c r="AW171" t="s">
        <v>63</v>
      </c>
      <c r="AX171" t="s">
        <v>63</v>
      </c>
      <c r="AY171" t="s">
        <v>63</v>
      </c>
      <c r="AZ171" t="s">
        <v>63</v>
      </c>
      <c r="BA171" t="s">
        <v>63</v>
      </c>
      <c r="BB171" t="s">
        <v>63</v>
      </c>
      <c r="BC171" t="s">
        <v>63</v>
      </c>
      <c r="BD171" t="s">
        <v>63</v>
      </c>
      <c r="BE171" t="s">
        <v>63</v>
      </c>
      <c r="BF171" t="s">
        <v>63</v>
      </c>
    </row>
    <row r="172" spans="1:58">
      <c r="A172" t="s">
        <v>58</v>
      </c>
      <c r="B172" t="s">
        <v>1608</v>
      </c>
      <c r="C172" t="s">
        <v>1609</v>
      </c>
      <c r="D172" t="s">
        <v>371</v>
      </c>
      <c r="E172" t="s">
        <v>63</v>
      </c>
      <c r="F172">
        <v>1989</v>
      </c>
      <c r="G172" t="s">
        <v>623</v>
      </c>
      <c r="H172">
        <v>4</v>
      </c>
      <c r="I172">
        <v>1</v>
      </c>
      <c r="J172">
        <v>74</v>
      </c>
      <c r="K172">
        <v>76</v>
      </c>
      <c r="L172" t="s">
        <v>1610</v>
      </c>
      <c r="M172" t="s">
        <v>63</v>
      </c>
      <c r="N172" t="s">
        <v>1611</v>
      </c>
      <c r="O172" t="s">
        <v>63</v>
      </c>
      <c r="Q172" t="s">
        <v>63</v>
      </c>
      <c r="R172" t="s">
        <v>63</v>
      </c>
      <c r="S172" t="s">
        <v>63</v>
      </c>
      <c r="T172" t="s">
        <v>63</v>
      </c>
      <c r="X172" t="s">
        <v>63</v>
      </c>
      <c r="Y172" t="s">
        <v>375</v>
      </c>
      <c r="Z172" t="s">
        <v>63</v>
      </c>
      <c r="AA172" t="s">
        <v>1612</v>
      </c>
      <c r="AB172">
        <v>2915278</v>
      </c>
      <c r="AC172" t="s">
        <v>67</v>
      </c>
      <c r="AD172" t="s">
        <v>63</v>
      </c>
      <c r="AE172" t="s">
        <v>63</v>
      </c>
      <c r="AF172" t="s">
        <v>63</v>
      </c>
      <c r="AG172" t="s">
        <v>1613</v>
      </c>
      <c r="AH172" t="s">
        <v>63</v>
      </c>
      <c r="AI172" t="s">
        <v>63</v>
      </c>
      <c r="AJ172" t="s">
        <v>63</v>
      </c>
      <c r="AK172" t="s">
        <v>63</v>
      </c>
      <c r="AL172" t="s">
        <v>63</v>
      </c>
      <c r="AM172" t="s">
        <v>1614</v>
      </c>
      <c r="AN172" t="s">
        <v>63</v>
      </c>
      <c r="AO172" t="s">
        <v>63</v>
      </c>
      <c r="AP172" t="s">
        <v>63</v>
      </c>
      <c r="AQ172" t="s">
        <v>63</v>
      </c>
      <c r="AR172" t="s">
        <v>63</v>
      </c>
      <c r="AS172" t="s">
        <v>63</v>
      </c>
      <c r="AT172" t="s">
        <v>63</v>
      </c>
      <c r="AU172" t="s">
        <v>63</v>
      </c>
      <c r="AV172" t="s">
        <v>63</v>
      </c>
      <c r="AW172" t="s">
        <v>63</v>
      </c>
      <c r="AX172" t="s">
        <v>63</v>
      </c>
      <c r="AY172" t="s">
        <v>63</v>
      </c>
      <c r="AZ172" t="s">
        <v>63</v>
      </c>
      <c r="BA172" t="s">
        <v>63</v>
      </c>
      <c r="BB172" t="s">
        <v>63</v>
      </c>
      <c r="BC172" t="s">
        <v>63</v>
      </c>
      <c r="BD172" t="s">
        <v>63</v>
      </c>
      <c r="BE172" t="s">
        <v>63</v>
      </c>
      <c r="BF172" t="s">
        <v>63</v>
      </c>
    </row>
    <row r="173" spans="1:58">
      <c r="A173" t="s">
        <v>58</v>
      </c>
      <c r="B173" t="s">
        <v>1615</v>
      </c>
      <c r="C173" t="s">
        <v>1616</v>
      </c>
      <c r="D173" t="s">
        <v>371</v>
      </c>
      <c r="E173" t="s">
        <v>63</v>
      </c>
      <c r="F173">
        <v>1993</v>
      </c>
      <c r="G173" t="s">
        <v>73</v>
      </c>
      <c r="H173">
        <v>8</v>
      </c>
      <c r="I173">
        <v>6</v>
      </c>
      <c r="J173">
        <v>301</v>
      </c>
      <c r="K173">
        <v>305</v>
      </c>
      <c r="L173" t="s">
        <v>1617</v>
      </c>
      <c r="M173" t="s">
        <v>1618</v>
      </c>
      <c r="N173" t="s">
        <v>1619</v>
      </c>
      <c r="O173" t="s">
        <v>63</v>
      </c>
      <c r="Q173" t="s">
        <v>63</v>
      </c>
      <c r="R173" t="s">
        <v>63</v>
      </c>
      <c r="S173" t="s">
        <v>63</v>
      </c>
      <c r="T173" t="s">
        <v>63</v>
      </c>
      <c r="X173" t="s">
        <v>63</v>
      </c>
      <c r="Y173" t="s">
        <v>375</v>
      </c>
      <c r="Z173" t="s">
        <v>63</v>
      </c>
      <c r="AA173" t="s">
        <v>1620</v>
      </c>
      <c r="AB173">
        <v>8320573</v>
      </c>
      <c r="AC173" t="s">
        <v>67</v>
      </c>
      <c r="AD173" t="s">
        <v>63</v>
      </c>
      <c r="AE173" t="s">
        <v>63</v>
      </c>
      <c r="AF173" t="s">
        <v>63</v>
      </c>
      <c r="AG173" t="s">
        <v>1621</v>
      </c>
      <c r="AH173" t="s">
        <v>63</v>
      </c>
      <c r="AI173" t="s">
        <v>63</v>
      </c>
      <c r="AJ173" t="s">
        <v>63</v>
      </c>
      <c r="AK173" t="s">
        <v>63</v>
      </c>
      <c r="AL173" t="s">
        <v>63</v>
      </c>
      <c r="AM173" t="s">
        <v>1622</v>
      </c>
      <c r="AN173" t="s">
        <v>63</v>
      </c>
      <c r="AO173" t="s">
        <v>63</v>
      </c>
      <c r="AP173" t="s">
        <v>63</v>
      </c>
      <c r="AQ173" t="s">
        <v>63</v>
      </c>
      <c r="AR173" t="s">
        <v>63</v>
      </c>
      <c r="AS173" t="s">
        <v>63</v>
      </c>
      <c r="AT173" t="s">
        <v>63</v>
      </c>
      <c r="AU173" t="s">
        <v>63</v>
      </c>
      <c r="AV173" t="s">
        <v>63</v>
      </c>
      <c r="AW173" t="s">
        <v>63</v>
      </c>
      <c r="AX173" t="s">
        <v>63</v>
      </c>
      <c r="AY173" t="s">
        <v>63</v>
      </c>
      <c r="AZ173" t="s">
        <v>63</v>
      </c>
      <c r="BA173" t="s">
        <v>63</v>
      </c>
      <c r="BB173" t="s">
        <v>63</v>
      </c>
      <c r="BC173" t="s">
        <v>63</v>
      </c>
      <c r="BD173" t="s">
        <v>63</v>
      </c>
      <c r="BE173" t="s">
        <v>63</v>
      </c>
      <c r="BF173" t="s">
        <v>63</v>
      </c>
    </row>
    <row r="174" spans="1:58">
      <c r="A174" t="s">
        <v>58</v>
      </c>
      <c r="B174" t="s">
        <v>1623</v>
      </c>
      <c r="C174" t="s">
        <v>1624</v>
      </c>
      <c r="D174" t="s">
        <v>938</v>
      </c>
      <c r="E174" t="s">
        <v>63</v>
      </c>
      <c r="F174">
        <v>2015</v>
      </c>
      <c r="G174" t="s">
        <v>84</v>
      </c>
      <c r="H174">
        <v>24</v>
      </c>
      <c r="I174">
        <v>3</v>
      </c>
      <c r="J174">
        <v>191</v>
      </c>
      <c r="K174">
        <v>192</v>
      </c>
      <c r="L174" t="s">
        <v>1625</v>
      </c>
      <c r="M174" t="s">
        <v>63</v>
      </c>
      <c r="N174" t="s">
        <v>1626</v>
      </c>
      <c r="O174" t="s">
        <v>63</v>
      </c>
      <c r="Q174" t="s">
        <v>63</v>
      </c>
      <c r="R174" t="s">
        <v>63</v>
      </c>
      <c r="S174" t="s">
        <v>63</v>
      </c>
      <c r="T174" t="s">
        <v>63</v>
      </c>
      <c r="X174" t="s">
        <v>63</v>
      </c>
      <c r="Y174" t="s">
        <v>942</v>
      </c>
      <c r="Z174" t="s">
        <v>63</v>
      </c>
      <c r="AA174" t="s">
        <v>1627</v>
      </c>
      <c r="AB174">
        <v>25809494</v>
      </c>
      <c r="AC174" t="s">
        <v>67</v>
      </c>
      <c r="AD174" t="s">
        <v>63</v>
      </c>
      <c r="AE174" t="s">
        <v>63</v>
      </c>
      <c r="AF174" t="s">
        <v>63</v>
      </c>
      <c r="AG174" t="s">
        <v>1628</v>
      </c>
      <c r="AH174" t="s">
        <v>63</v>
      </c>
      <c r="AI174" t="s">
        <v>1629</v>
      </c>
      <c r="AJ174" t="s">
        <v>63</v>
      </c>
      <c r="AK174" t="s">
        <v>63</v>
      </c>
      <c r="AL174" t="s">
        <v>63</v>
      </c>
      <c r="AM174" t="s">
        <v>1630</v>
      </c>
      <c r="AN174" t="s">
        <v>63</v>
      </c>
      <c r="AO174" t="s">
        <v>63</v>
      </c>
      <c r="AP174" t="s">
        <v>63</v>
      </c>
      <c r="AQ174" t="s">
        <v>63</v>
      </c>
      <c r="AR174" t="s">
        <v>63</v>
      </c>
      <c r="AS174" t="s">
        <v>63</v>
      </c>
      <c r="AT174" t="s">
        <v>63</v>
      </c>
      <c r="AU174" t="s">
        <v>63</v>
      </c>
      <c r="AV174" t="s">
        <v>63</v>
      </c>
      <c r="AW174" t="s">
        <v>63</v>
      </c>
      <c r="AX174" t="s">
        <v>63</v>
      </c>
      <c r="AY174" t="s">
        <v>63</v>
      </c>
      <c r="AZ174" t="s">
        <v>63</v>
      </c>
      <c r="BA174" t="s">
        <v>63</v>
      </c>
      <c r="BB174" t="s">
        <v>63</v>
      </c>
      <c r="BC174" t="s">
        <v>63</v>
      </c>
      <c r="BD174" t="s">
        <v>63</v>
      </c>
      <c r="BE174" t="s">
        <v>63</v>
      </c>
      <c r="BF174" t="s">
        <v>63</v>
      </c>
    </row>
    <row r="175" spans="1:58">
      <c r="A175" t="s">
        <v>58</v>
      </c>
      <c r="B175" t="s">
        <v>1631</v>
      </c>
      <c r="C175" t="s">
        <v>1632</v>
      </c>
      <c r="D175" t="s">
        <v>1633</v>
      </c>
      <c r="E175" t="s">
        <v>63</v>
      </c>
      <c r="F175">
        <v>2004</v>
      </c>
      <c r="G175" t="s">
        <v>157</v>
      </c>
      <c r="H175">
        <v>16</v>
      </c>
      <c r="I175">
        <v>4</v>
      </c>
      <c r="J175">
        <v>719</v>
      </c>
      <c r="K175">
        <v>720</v>
      </c>
      <c r="L175" t="s">
        <v>1634</v>
      </c>
      <c r="M175" t="s">
        <v>63</v>
      </c>
      <c r="N175" t="s">
        <v>1635</v>
      </c>
      <c r="O175" t="s">
        <v>63</v>
      </c>
      <c r="Q175" t="s">
        <v>63</v>
      </c>
      <c r="R175" t="s">
        <v>63</v>
      </c>
      <c r="S175" t="s">
        <v>63</v>
      </c>
      <c r="T175" t="s">
        <v>63</v>
      </c>
      <c r="X175" t="s">
        <v>63</v>
      </c>
      <c r="Y175" t="s">
        <v>1636</v>
      </c>
      <c r="Z175" t="s">
        <v>63</v>
      </c>
      <c r="AA175" t="s">
        <v>1637</v>
      </c>
      <c r="AB175">
        <v>15768767</v>
      </c>
      <c r="AC175" t="s">
        <v>1371</v>
      </c>
      <c r="AD175" t="s">
        <v>63</v>
      </c>
      <c r="AE175" t="s">
        <v>63</v>
      </c>
      <c r="AF175" t="s">
        <v>63</v>
      </c>
      <c r="AG175" t="s">
        <v>1638</v>
      </c>
      <c r="AH175" t="s">
        <v>63</v>
      </c>
      <c r="AI175" t="s">
        <v>63</v>
      </c>
      <c r="AJ175" t="s">
        <v>63</v>
      </c>
      <c r="AK175" t="s">
        <v>63</v>
      </c>
      <c r="AL175" t="s">
        <v>63</v>
      </c>
      <c r="AM175" t="s">
        <v>1639</v>
      </c>
      <c r="AN175" t="s">
        <v>63</v>
      </c>
      <c r="AO175" t="s">
        <v>63</v>
      </c>
      <c r="AP175" t="s">
        <v>63</v>
      </c>
      <c r="AQ175" t="s">
        <v>63</v>
      </c>
      <c r="AR175" t="s">
        <v>63</v>
      </c>
      <c r="AS175" t="s">
        <v>63</v>
      </c>
      <c r="AT175" t="s">
        <v>63</v>
      </c>
      <c r="AU175" t="s">
        <v>63</v>
      </c>
      <c r="AV175" t="s">
        <v>63</v>
      </c>
      <c r="AW175" t="s">
        <v>63</v>
      </c>
      <c r="AX175" t="s">
        <v>63</v>
      </c>
      <c r="AY175" t="s">
        <v>63</v>
      </c>
      <c r="AZ175" t="s">
        <v>63</v>
      </c>
      <c r="BA175" t="s">
        <v>63</v>
      </c>
      <c r="BB175" t="s">
        <v>63</v>
      </c>
      <c r="BC175" t="s">
        <v>63</v>
      </c>
      <c r="BD175" t="s">
        <v>63</v>
      </c>
      <c r="BE175" t="s">
        <v>63</v>
      </c>
      <c r="BF175" t="s">
        <v>63</v>
      </c>
    </row>
    <row r="176" spans="1:58">
      <c r="A176" t="s">
        <v>58</v>
      </c>
      <c r="B176" t="s">
        <v>1640</v>
      </c>
      <c r="C176" t="s">
        <v>1641</v>
      </c>
      <c r="D176" t="s">
        <v>389</v>
      </c>
      <c r="E176" t="s">
        <v>63</v>
      </c>
      <c r="F176">
        <v>2016</v>
      </c>
      <c r="G176" t="s">
        <v>63</v>
      </c>
      <c r="H176">
        <v>37</v>
      </c>
      <c r="I176">
        <v>1</v>
      </c>
      <c r="J176">
        <v>1</v>
      </c>
      <c r="K176">
        <v>3</v>
      </c>
      <c r="L176" t="s">
        <v>1642</v>
      </c>
      <c r="M176" t="s">
        <v>63</v>
      </c>
      <c r="N176" t="s">
        <v>1643</v>
      </c>
      <c r="O176" t="s">
        <v>63</v>
      </c>
      <c r="Q176" t="s">
        <v>63</v>
      </c>
      <c r="R176" t="s">
        <v>63</v>
      </c>
      <c r="S176" t="s">
        <v>63</v>
      </c>
      <c r="T176" t="s">
        <v>63</v>
      </c>
      <c r="X176" t="s">
        <v>63</v>
      </c>
      <c r="Y176" t="s">
        <v>556</v>
      </c>
      <c r="Z176" t="s">
        <v>63</v>
      </c>
      <c r="AA176" t="s">
        <v>1644</v>
      </c>
      <c r="AB176">
        <v>26820257</v>
      </c>
      <c r="AC176" t="s">
        <v>67</v>
      </c>
      <c r="AD176" t="s">
        <v>63</v>
      </c>
      <c r="AE176" t="s">
        <v>63</v>
      </c>
      <c r="AF176" t="s">
        <v>63</v>
      </c>
      <c r="AG176" t="s">
        <v>1645</v>
      </c>
      <c r="AH176" t="s">
        <v>63</v>
      </c>
      <c r="AI176" t="s">
        <v>1646</v>
      </c>
      <c r="AJ176" t="s">
        <v>63</v>
      </c>
      <c r="AK176" t="s">
        <v>63</v>
      </c>
      <c r="AL176" t="s">
        <v>63</v>
      </c>
      <c r="AM176" t="s">
        <v>1647</v>
      </c>
      <c r="AN176" t="s">
        <v>63</v>
      </c>
      <c r="AO176" t="s">
        <v>63</v>
      </c>
      <c r="AP176" t="s">
        <v>63</v>
      </c>
      <c r="AQ176" t="s">
        <v>63</v>
      </c>
      <c r="AR176" t="s">
        <v>63</v>
      </c>
      <c r="AS176" t="s">
        <v>63</v>
      </c>
      <c r="AT176" t="s">
        <v>63</v>
      </c>
      <c r="AU176" t="s">
        <v>63</v>
      </c>
      <c r="AV176" t="s">
        <v>63</v>
      </c>
      <c r="AW176" t="s">
        <v>63</v>
      </c>
      <c r="AX176" t="s">
        <v>63</v>
      </c>
      <c r="AY176" t="s">
        <v>63</v>
      </c>
      <c r="AZ176" t="s">
        <v>63</v>
      </c>
      <c r="BA176" t="s">
        <v>63</v>
      </c>
      <c r="BB176" t="s">
        <v>63</v>
      </c>
      <c r="BC176" t="s">
        <v>63</v>
      </c>
      <c r="BD176" t="s">
        <v>63</v>
      </c>
      <c r="BE176" t="s">
        <v>63</v>
      </c>
      <c r="BF176" t="s">
        <v>63</v>
      </c>
    </row>
    <row r="177" spans="1:58">
      <c r="A177" t="s">
        <v>58</v>
      </c>
      <c r="B177" t="s">
        <v>1648</v>
      </c>
      <c r="C177" t="s">
        <v>1649</v>
      </c>
      <c r="D177" t="s">
        <v>371</v>
      </c>
      <c r="E177" t="s">
        <v>63</v>
      </c>
      <c r="F177">
        <v>2015</v>
      </c>
      <c r="G177" t="s">
        <v>157</v>
      </c>
      <c r="H177">
        <v>30</v>
      </c>
      <c r="I177">
        <v>12</v>
      </c>
      <c r="J177">
        <v>1837</v>
      </c>
      <c r="K177">
        <v>1844</v>
      </c>
      <c r="L177" t="s">
        <v>1650</v>
      </c>
      <c r="M177" t="s">
        <v>1651</v>
      </c>
      <c r="N177" t="s">
        <v>1652</v>
      </c>
      <c r="O177" t="s">
        <v>63</v>
      </c>
      <c r="Q177" t="s">
        <v>63</v>
      </c>
      <c r="R177" t="s">
        <v>63</v>
      </c>
      <c r="S177" t="s">
        <v>63</v>
      </c>
      <c r="T177" t="s">
        <v>63</v>
      </c>
      <c r="X177" t="s">
        <v>63</v>
      </c>
      <c r="Y177" t="s">
        <v>547</v>
      </c>
      <c r="Z177" t="s">
        <v>63</v>
      </c>
      <c r="AA177" t="s">
        <v>1653</v>
      </c>
      <c r="AB177">
        <v>26055224</v>
      </c>
      <c r="AC177" t="s">
        <v>67</v>
      </c>
      <c r="AD177" t="s">
        <v>63</v>
      </c>
      <c r="AE177" t="s">
        <v>63</v>
      </c>
      <c r="AF177" t="s">
        <v>63</v>
      </c>
      <c r="AG177" t="s">
        <v>1654</v>
      </c>
      <c r="AH177" t="s">
        <v>63</v>
      </c>
      <c r="AI177" t="s">
        <v>1655</v>
      </c>
      <c r="AJ177" t="s">
        <v>63</v>
      </c>
      <c r="AK177" t="s">
        <v>63</v>
      </c>
      <c r="AL177" t="s">
        <v>63</v>
      </c>
      <c r="AM177" t="s">
        <v>1656</v>
      </c>
      <c r="AN177" t="s">
        <v>63</v>
      </c>
      <c r="AO177" t="s">
        <v>63</v>
      </c>
      <c r="AP177" t="s">
        <v>63</v>
      </c>
      <c r="AQ177" t="s">
        <v>63</v>
      </c>
      <c r="AR177" t="s">
        <v>63</v>
      </c>
      <c r="AS177" t="s">
        <v>63</v>
      </c>
      <c r="AT177" t="s">
        <v>63</v>
      </c>
      <c r="AU177" t="s">
        <v>63</v>
      </c>
      <c r="AV177" t="s">
        <v>63</v>
      </c>
      <c r="AW177" t="s">
        <v>63</v>
      </c>
      <c r="AX177" t="s">
        <v>63</v>
      </c>
      <c r="AY177" t="s">
        <v>63</v>
      </c>
      <c r="AZ177" t="s">
        <v>63</v>
      </c>
      <c r="BA177" t="s">
        <v>63</v>
      </c>
      <c r="BB177" t="s">
        <v>63</v>
      </c>
      <c r="BC177" t="s">
        <v>63</v>
      </c>
      <c r="BD177" t="s">
        <v>63</v>
      </c>
      <c r="BE177" t="s">
        <v>63</v>
      </c>
      <c r="BF177" t="s">
        <v>63</v>
      </c>
    </row>
    <row r="178" spans="1:58">
      <c r="A178" t="s">
        <v>58</v>
      </c>
      <c r="B178" t="s">
        <v>1657</v>
      </c>
      <c r="C178" t="s">
        <v>1658</v>
      </c>
      <c r="D178" t="s">
        <v>1055</v>
      </c>
      <c r="E178" t="s">
        <v>1056</v>
      </c>
      <c r="F178">
        <v>2014</v>
      </c>
      <c r="G178" t="s">
        <v>274</v>
      </c>
      <c r="H178">
        <v>48</v>
      </c>
      <c r="I178">
        <v>3</v>
      </c>
      <c r="J178">
        <v>268</v>
      </c>
      <c r="K178">
        <v>279</v>
      </c>
      <c r="L178" t="s">
        <v>1659</v>
      </c>
      <c r="M178" t="s">
        <v>1660</v>
      </c>
      <c r="N178" t="s">
        <v>1661</v>
      </c>
      <c r="O178" t="s">
        <v>63</v>
      </c>
      <c r="Q178" t="s">
        <v>63</v>
      </c>
      <c r="R178" t="s">
        <v>63</v>
      </c>
      <c r="S178" t="s">
        <v>63</v>
      </c>
      <c r="T178" t="s">
        <v>63</v>
      </c>
      <c r="X178" t="s">
        <v>63</v>
      </c>
      <c r="Y178" t="s">
        <v>1541</v>
      </c>
      <c r="Z178" t="s">
        <v>63</v>
      </c>
      <c r="AA178" t="s">
        <v>1662</v>
      </c>
      <c r="AB178">
        <v>24528462</v>
      </c>
      <c r="AC178" t="s">
        <v>67</v>
      </c>
      <c r="AD178" t="s">
        <v>63</v>
      </c>
      <c r="AE178" t="s">
        <v>63</v>
      </c>
      <c r="AF178" t="s">
        <v>63</v>
      </c>
      <c r="AG178" t="s">
        <v>1663</v>
      </c>
      <c r="AH178" t="s">
        <v>63</v>
      </c>
      <c r="AI178" t="s">
        <v>1664</v>
      </c>
      <c r="AJ178" t="s">
        <v>63</v>
      </c>
      <c r="AK178" t="s">
        <v>63</v>
      </c>
      <c r="AL178" t="s">
        <v>63</v>
      </c>
      <c r="AM178" t="s">
        <v>1665</v>
      </c>
      <c r="AN178" t="s">
        <v>63</v>
      </c>
      <c r="AO178" t="s">
        <v>63</v>
      </c>
      <c r="AP178" t="s">
        <v>63</v>
      </c>
      <c r="AQ178" t="s">
        <v>63</v>
      </c>
      <c r="AR178" t="s">
        <v>63</v>
      </c>
      <c r="AS178" t="s">
        <v>63</v>
      </c>
      <c r="AT178" t="s">
        <v>63</v>
      </c>
      <c r="AU178" t="s">
        <v>63</v>
      </c>
      <c r="AV178" t="s">
        <v>63</v>
      </c>
      <c r="AW178" t="s">
        <v>63</v>
      </c>
      <c r="AX178" t="s">
        <v>63</v>
      </c>
      <c r="AY178" t="s">
        <v>63</v>
      </c>
      <c r="AZ178" t="s">
        <v>63</v>
      </c>
      <c r="BA178" t="s">
        <v>63</v>
      </c>
      <c r="BB178" t="s">
        <v>63</v>
      </c>
      <c r="BC178" t="s">
        <v>63</v>
      </c>
      <c r="BD178" t="s">
        <v>63</v>
      </c>
      <c r="BE178" t="s">
        <v>63</v>
      </c>
      <c r="BF178" t="s">
        <v>63</v>
      </c>
    </row>
    <row r="179" spans="1:58">
      <c r="A179" t="s">
        <v>58</v>
      </c>
      <c r="B179" t="s">
        <v>1666</v>
      </c>
      <c r="C179" t="s">
        <v>1667</v>
      </c>
      <c r="D179" t="s">
        <v>1668</v>
      </c>
      <c r="E179" t="s">
        <v>1669</v>
      </c>
      <c r="F179">
        <v>2009</v>
      </c>
      <c r="G179" t="s">
        <v>1670</v>
      </c>
      <c r="H179">
        <v>31</v>
      </c>
      <c r="I179">
        <v>7</v>
      </c>
      <c r="J179">
        <v>571</v>
      </c>
      <c r="K179">
        <v>573</v>
      </c>
      <c r="L179" t="s">
        <v>1671</v>
      </c>
      <c r="M179" t="s">
        <v>63</v>
      </c>
      <c r="N179" t="s">
        <v>1672</v>
      </c>
      <c r="O179" t="s">
        <v>63</v>
      </c>
      <c r="Q179" t="s">
        <v>63</v>
      </c>
      <c r="R179" t="s">
        <v>63</v>
      </c>
      <c r="S179" t="s">
        <v>63</v>
      </c>
      <c r="T179" t="s">
        <v>63</v>
      </c>
      <c r="X179" t="s">
        <v>63</v>
      </c>
      <c r="Y179" t="s">
        <v>1673</v>
      </c>
      <c r="Z179" t="s">
        <v>63</v>
      </c>
      <c r="AA179" t="s">
        <v>1674</v>
      </c>
      <c r="AB179">
        <v>19296369</v>
      </c>
      <c r="AC179" t="s">
        <v>67</v>
      </c>
      <c r="AD179" t="s">
        <v>63</v>
      </c>
      <c r="AE179" t="s">
        <v>63</v>
      </c>
      <c r="AF179" t="s">
        <v>63</v>
      </c>
      <c r="AG179" t="s">
        <v>1675</v>
      </c>
      <c r="AH179" t="s">
        <v>63</v>
      </c>
      <c r="AI179" t="s">
        <v>1676</v>
      </c>
      <c r="AJ179" t="s">
        <v>63</v>
      </c>
      <c r="AK179" t="s">
        <v>63</v>
      </c>
      <c r="AL179" t="s">
        <v>63</v>
      </c>
      <c r="AM179" t="s">
        <v>1677</v>
      </c>
      <c r="AN179" t="s">
        <v>63</v>
      </c>
      <c r="AO179" t="s">
        <v>63</v>
      </c>
      <c r="AP179" t="s">
        <v>63</v>
      </c>
      <c r="AQ179" t="s">
        <v>63</v>
      </c>
      <c r="AR179" t="s">
        <v>63</v>
      </c>
      <c r="AS179" t="s">
        <v>63</v>
      </c>
      <c r="AT179" t="s">
        <v>63</v>
      </c>
      <c r="AU179" t="s">
        <v>63</v>
      </c>
      <c r="AV179" t="s">
        <v>63</v>
      </c>
      <c r="AW179" t="s">
        <v>63</v>
      </c>
      <c r="AX179" t="s">
        <v>63</v>
      </c>
      <c r="AY179" t="s">
        <v>63</v>
      </c>
      <c r="AZ179" t="s">
        <v>63</v>
      </c>
      <c r="BA179" t="s">
        <v>63</v>
      </c>
      <c r="BB179" t="s">
        <v>63</v>
      </c>
      <c r="BC179" t="s">
        <v>63</v>
      </c>
      <c r="BD179" t="s">
        <v>63</v>
      </c>
      <c r="BE179" t="s">
        <v>63</v>
      </c>
      <c r="BF179" t="s">
        <v>63</v>
      </c>
    </row>
    <row r="180" spans="1:58">
      <c r="A180" t="s">
        <v>58</v>
      </c>
      <c r="B180" t="s">
        <v>1678</v>
      </c>
      <c r="C180" t="s">
        <v>1679</v>
      </c>
      <c r="D180" t="s">
        <v>360</v>
      </c>
      <c r="E180" t="s">
        <v>63</v>
      </c>
      <c r="F180">
        <v>2001</v>
      </c>
      <c r="G180" t="s">
        <v>614</v>
      </c>
      <c r="H180">
        <v>27</v>
      </c>
      <c r="I180">
        <v>3</v>
      </c>
      <c r="J180">
        <v>483</v>
      </c>
      <c r="K180">
        <v>490</v>
      </c>
      <c r="L180" t="s">
        <v>1680</v>
      </c>
      <c r="M180" t="s">
        <v>1681</v>
      </c>
      <c r="N180" t="s">
        <v>1682</v>
      </c>
      <c r="O180" t="s">
        <v>63</v>
      </c>
      <c r="Q180" t="s">
        <v>63</v>
      </c>
      <c r="R180" t="s">
        <v>63</v>
      </c>
      <c r="S180" t="s">
        <v>63</v>
      </c>
      <c r="T180" t="s">
        <v>63</v>
      </c>
      <c r="X180" t="s">
        <v>63</v>
      </c>
      <c r="Y180" t="s">
        <v>1683</v>
      </c>
      <c r="Z180" t="s">
        <v>63</v>
      </c>
      <c r="AA180" t="s">
        <v>1684</v>
      </c>
      <c r="AB180">
        <v>11506263</v>
      </c>
      <c r="AC180" t="s">
        <v>67</v>
      </c>
      <c r="AD180" t="s">
        <v>63</v>
      </c>
      <c r="AE180" t="s">
        <v>63</v>
      </c>
      <c r="AF180" t="s">
        <v>63</v>
      </c>
      <c r="AG180" t="s">
        <v>1685</v>
      </c>
      <c r="AH180" t="s">
        <v>63</v>
      </c>
      <c r="AI180" t="s">
        <v>63</v>
      </c>
      <c r="AJ180" t="s">
        <v>63</v>
      </c>
      <c r="AK180" t="s">
        <v>63</v>
      </c>
      <c r="AL180" t="s">
        <v>63</v>
      </c>
      <c r="AM180" t="s">
        <v>1686</v>
      </c>
      <c r="AN180" t="s">
        <v>63</v>
      </c>
      <c r="AO180" t="s">
        <v>63</v>
      </c>
      <c r="AP180" t="s">
        <v>63</v>
      </c>
      <c r="AQ180" t="s">
        <v>63</v>
      </c>
      <c r="AR180" t="s">
        <v>63</v>
      </c>
      <c r="AS180" t="s">
        <v>63</v>
      </c>
      <c r="AT180" t="s">
        <v>63</v>
      </c>
      <c r="AU180" t="s">
        <v>63</v>
      </c>
      <c r="AV180" t="s">
        <v>63</v>
      </c>
      <c r="AW180" t="s">
        <v>63</v>
      </c>
      <c r="AX180" t="s">
        <v>63</v>
      </c>
      <c r="AY180" t="s">
        <v>63</v>
      </c>
      <c r="AZ180" t="s">
        <v>63</v>
      </c>
      <c r="BA180" t="s">
        <v>63</v>
      </c>
      <c r="BB180" t="s">
        <v>63</v>
      </c>
      <c r="BC180" t="s">
        <v>63</v>
      </c>
      <c r="BD180" t="s">
        <v>63</v>
      </c>
      <c r="BE180" t="s">
        <v>63</v>
      </c>
      <c r="BF180" t="s">
        <v>63</v>
      </c>
    </row>
    <row r="181" spans="1:58">
      <c r="A181" t="s">
        <v>58</v>
      </c>
      <c r="B181" t="s">
        <v>1687</v>
      </c>
      <c r="C181" t="s">
        <v>1688</v>
      </c>
      <c r="D181" t="s">
        <v>1689</v>
      </c>
      <c r="E181" t="s">
        <v>63</v>
      </c>
      <c r="F181">
        <v>2013</v>
      </c>
      <c r="G181" t="s">
        <v>138</v>
      </c>
      <c r="H181">
        <v>21</v>
      </c>
      <c r="I181">
        <v>10</v>
      </c>
      <c r="J181">
        <v>1038</v>
      </c>
      <c r="K181">
        <v>1042</v>
      </c>
      <c r="L181" t="s">
        <v>1690</v>
      </c>
      <c r="M181" t="s">
        <v>63</v>
      </c>
      <c r="N181" t="s">
        <v>1691</v>
      </c>
      <c r="O181" t="s">
        <v>63</v>
      </c>
      <c r="Q181" t="s">
        <v>63</v>
      </c>
      <c r="R181" t="s">
        <v>63</v>
      </c>
      <c r="S181" t="s">
        <v>63</v>
      </c>
      <c r="T181" t="s">
        <v>63</v>
      </c>
      <c r="X181" t="s">
        <v>63</v>
      </c>
      <c r="Y181" t="s">
        <v>1692</v>
      </c>
      <c r="Z181" t="s">
        <v>63</v>
      </c>
      <c r="AA181" t="s">
        <v>1693</v>
      </c>
      <c r="AB181">
        <v>23969089</v>
      </c>
      <c r="AC181" t="s">
        <v>67</v>
      </c>
      <c r="AD181" t="s">
        <v>63</v>
      </c>
      <c r="AE181" t="s">
        <v>63</v>
      </c>
      <c r="AF181" t="s">
        <v>63</v>
      </c>
      <c r="AG181" t="s">
        <v>1694</v>
      </c>
      <c r="AH181" t="s">
        <v>63</v>
      </c>
      <c r="AI181" t="s">
        <v>1695</v>
      </c>
      <c r="AJ181" t="s">
        <v>63</v>
      </c>
      <c r="AK181" t="s">
        <v>63</v>
      </c>
      <c r="AL181" t="s">
        <v>63</v>
      </c>
      <c r="AM181" t="s">
        <v>1696</v>
      </c>
      <c r="AN181" t="s">
        <v>63</v>
      </c>
      <c r="AO181" t="s">
        <v>63</v>
      </c>
      <c r="AP181" t="s">
        <v>63</v>
      </c>
      <c r="AQ181" t="s">
        <v>63</v>
      </c>
      <c r="AR181" t="s">
        <v>63</v>
      </c>
      <c r="AS181" t="s">
        <v>63</v>
      </c>
      <c r="AT181" t="s">
        <v>63</v>
      </c>
      <c r="AU181" t="s">
        <v>63</v>
      </c>
      <c r="AV181" t="s">
        <v>63</v>
      </c>
      <c r="AW181" t="s">
        <v>63</v>
      </c>
      <c r="AX181" t="s">
        <v>63</v>
      </c>
      <c r="AY181" t="s">
        <v>63</v>
      </c>
      <c r="AZ181" t="s">
        <v>63</v>
      </c>
      <c r="BA181" t="s">
        <v>63</v>
      </c>
      <c r="BB181" t="s">
        <v>63</v>
      </c>
      <c r="BC181" t="s">
        <v>63</v>
      </c>
      <c r="BD181" t="s">
        <v>63</v>
      </c>
      <c r="BE181" t="s">
        <v>63</v>
      </c>
      <c r="BF181" t="s">
        <v>63</v>
      </c>
    </row>
    <row r="182" spans="1:58">
      <c r="A182" t="s">
        <v>58</v>
      </c>
      <c r="B182" t="s">
        <v>1697</v>
      </c>
      <c r="C182" t="s">
        <v>1698</v>
      </c>
      <c r="D182" t="s">
        <v>1699</v>
      </c>
      <c r="E182" t="s">
        <v>63</v>
      </c>
      <c r="F182">
        <v>1953</v>
      </c>
      <c r="G182" t="s">
        <v>138</v>
      </c>
      <c r="H182">
        <v>4</v>
      </c>
      <c r="I182">
        <v>10</v>
      </c>
      <c r="J182">
        <v>694</v>
      </c>
      <c r="K182">
        <v>699</v>
      </c>
      <c r="L182" t="s">
        <v>1700</v>
      </c>
      <c r="M182" t="s">
        <v>63</v>
      </c>
      <c r="N182" t="s">
        <v>1701</v>
      </c>
      <c r="O182" t="s">
        <v>63</v>
      </c>
      <c r="Q182" t="s">
        <v>63</v>
      </c>
      <c r="R182" t="s">
        <v>63</v>
      </c>
      <c r="S182" t="s">
        <v>63</v>
      </c>
      <c r="T182" t="s">
        <v>63</v>
      </c>
      <c r="X182" t="s">
        <v>63</v>
      </c>
      <c r="Y182" t="s">
        <v>63</v>
      </c>
      <c r="Z182" t="s">
        <v>63</v>
      </c>
      <c r="AA182" t="s">
        <v>63</v>
      </c>
      <c r="AB182">
        <v>13092408</v>
      </c>
      <c r="AC182" t="s">
        <v>67</v>
      </c>
      <c r="AD182" t="s">
        <v>63</v>
      </c>
      <c r="AE182" t="s">
        <v>63</v>
      </c>
      <c r="AF182" t="s">
        <v>63</v>
      </c>
      <c r="AG182" t="s">
        <v>1702</v>
      </c>
      <c r="AH182" t="s">
        <v>63</v>
      </c>
      <c r="AI182" t="s">
        <v>63</v>
      </c>
      <c r="AJ182" t="s">
        <v>63</v>
      </c>
      <c r="AK182" t="s">
        <v>63</v>
      </c>
      <c r="AL182" t="s">
        <v>63</v>
      </c>
      <c r="AM182" t="s">
        <v>1703</v>
      </c>
      <c r="AN182" t="s">
        <v>63</v>
      </c>
      <c r="AO182" t="s">
        <v>63</v>
      </c>
      <c r="AP182" t="s">
        <v>63</v>
      </c>
      <c r="AQ182" t="s">
        <v>63</v>
      </c>
      <c r="AR182" t="s">
        <v>63</v>
      </c>
      <c r="AS182" t="s">
        <v>63</v>
      </c>
      <c r="AT182" t="s">
        <v>63</v>
      </c>
      <c r="AU182" t="s">
        <v>63</v>
      </c>
      <c r="AV182" t="s">
        <v>63</v>
      </c>
      <c r="AW182" t="s">
        <v>63</v>
      </c>
      <c r="AX182" t="s">
        <v>63</v>
      </c>
      <c r="AY182" t="s">
        <v>63</v>
      </c>
      <c r="AZ182" t="s">
        <v>63</v>
      </c>
      <c r="BA182" t="s">
        <v>63</v>
      </c>
      <c r="BB182" t="s">
        <v>63</v>
      </c>
      <c r="BC182" t="s">
        <v>63</v>
      </c>
      <c r="BD182" t="s">
        <v>63</v>
      </c>
      <c r="BE182" t="s">
        <v>63</v>
      </c>
      <c r="BF182" t="s">
        <v>63</v>
      </c>
    </row>
    <row r="183" spans="1:58">
      <c r="A183" t="s">
        <v>58</v>
      </c>
      <c r="B183" t="s">
        <v>1704</v>
      </c>
      <c r="C183" t="s">
        <v>1705</v>
      </c>
      <c r="D183" t="s">
        <v>1706</v>
      </c>
      <c r="E183" t="s">
        <v>63</v>
      </c>
      <c r="F183">
        <v>2017</v>
      </c>
      <c r="G183" t="s">
        <v>63</v>
      </c>
      <c r="H183">
        <v>2</v>
      </c>
      <c r="I183">
        <v>1</v>
      </c>
      <c r="J183">
        <v>17</v>
      </c>
      <c r="K183">
        <v>22</v>
      </c>
      <c r="L183" t="s">
        <v>63</v>
      </c>
      <c r="M183" t="s">
        <v>1707</v>
      </c>
      <c r="N183" t="s">
        <v>1708</v>
      </c>
      <c r="O183" t="s">
        <v>63</v>
      </c>
      <c r="Q183" t="s">
        <v>63</v>
      </c>
      <c r="R183" t="s">
        <v>63</v>
      </c>
      <c r="S183" t="s">
        <v>63</v>
      </c>
      <c r="T183" t="s">
        <v>63</v>
      </c>
      <c r="X183" t="s">
        <v>63</v>
      </c>
      <c r="Y183" t="s">
        <v>1709</v>
      </c>
      <c r="Z183" t="s">
        <v>63</v>
      </c>
      <c r="AA183" t="s">
        <v>1710</v>
      </c>
      <c r="AB183">
        <v>29372187</v>
      </c>
      <c r="AC183" t="s">
        <v>67</v>
      </c>
      <c r="AD183" t="s">
        <v>63</v>
      </c>
      <c r="AE183" t="s">
        <v>63</v>
      </c>
      <c r="AF183" t="s">
        <v>63</v>
      </c>
      <c r="AG183" t="s">
        <v>1711</v>
      </c>
      <c r="AH183" t="s">
        <v>63</v>
      </c>
      <c r="AI183" t="s">
        <v>63</v>
      </c>
      <c r="AJ183" t="s">
        <v>63</v>
      </c>
      <c r="AK183" t="s">
        <v>63</v>
      </c>
      <c r="AL183" t="s">
        <v>63</v>
      </c>
      <c r="AM183" t="s">
        <v>1712</v>
      </c>
      <c r="AN183" t="s">
        <v>63</v>
      </c>
      <c r="AO183" t="s">
        <v>63</v>
      </c>
      <c r="AP183" t="s">
        <v>63</v>
      </c>
      <c r="AQ183" t="s">
        <v>63</v>
      </c>
      <c r="AR183" t="s">
        <v>63</v>
      </c>
      <c r="AS183" t="s">
        <v>63</v>
      </c>
      <c r="AT183" t="s">
        <v>63</v>
      </c>
      <c r="AU183" t="s">
        <v>63</v>
      </c>
      <c r="AV183" t="s">
        <v>63</v>
      </c>
      <c r="AW183" t="s">
        <v>63</v>
      </c>
      <c r="AX183" t="s">
        <v>63</v>
      </c>
      <c r="AY183" t="s">
        <v>63</v>
      </c>
      <c r="AZ183" t="s">
        <v>63</v>
      </c>
      <c r="BA183" t="s">
        <v>63</v>
      </c>
      <c r="BB183" t="s">
        <v>63</v>
      </c>
      <c r="BC183" t="s">
        <v>63</v>
      </c>
      <c r="BD183" t="s">
        <v>63</v>
      </c>
      <c r="BE183" t="s">
        <v>63</v>
      </c>
      <c r="BF183" t="s">
        <v>63</v>
      </c>
    </row>
    <row r="184" spans="1:58">
      <c r="A184" t="s">
        <v>58</v>
      </c>
      <c r="B184" t="s">
        <v>1713</v>
      </c>
      <c r="C184" t="s">
        <v>1714</v>
      </c>
      <c r="D184" t="s">
        <v>1715</v>
      </c>
      <c r="E184" t="s">
        <v>1716</v>
      </c>
      <c r="F184">
        <v>2002</v>
      </c>
      <c r="G184" t="s">
        <v>1717</v>
      </c>
      <c r="H184">
        <v>42</v>
      </c>
      <c r="I184">
        <v>6</v>
      </c>
      <c r="J184" t="s">
        <v>1718</v>
      </c>
      <c r="K184">
        <v>9</v>
      </c>
      <c r="L184" t="s">
        <v>1719</v>
      </c>
      <c r="M184" t="s">
        <v>1720</v>
      </c>
      <c r="N184" t="s">
        <v>1721</v>
      </c>
      <c r="O184" t="s">
        <v>63</v>
      </c>
      <c r="Q184" t="s">
        <v>63</v>
      </c>
      <c r="R184" t="s">
        <v>63</v>
      </c>
      <c r="S184" t="s">
        <v>63</v>
      </c>
      <c r="T184" t="s">
        <v>63</v>
      </c>
      <c r="X184" t="s">
        <v>63</v>
      </c>
      <c r="Y184" t="s">
        <v>1722</v>
      </c>
      <c r="Z184" t="s">
        <v>63</v>
      </c>
      <c r="AA184" t="s">
        <v>1723</v>
      </c>
      <c r="AB184">
        <v>12489613</v>
      </c>
      <c r="AC184" t="s">
        <v>67</v>
      </c>
      <c r="AD184" t="s">
        <v>63</v>
      </c>
      <c r="AE184" t="s">
        <v>63</v>
      </c>
      <c r="AF184" t="s">
        <v>63</v>
      </c>
      <c r="AG184" t="s">
        <v>1724</v>
      </c>
      <c r="AH184" t="s">
        <v>63</v>
      </c>
      <c r="AI184" t="s">
        <v>63</v>
      </c>
      <c r="AJ184" t="s">
        <v>63</v>
      </c>
      <c r="AK184" t="s">
        <v>63</v>
      </c>
      <c r="AL184" t="s">
        <v>63</v>
      </c>
      <c r="AM184" t="s">
        <v>1725</v>
      </c>
      <c r="AN184" t="s">
        <v>63</v>
      </c>
      <c r="AO184" t="s">
        <v>63</v>
      </c>
      <c r="AP184" t="s">
        <v>63</v>
      </c>
      <c r="AQ184" t="s">
        <v>63</v>
      </c>
      <c r="AR184" t="s">
        <v>63</v>
      </c>
      <c r="AS184" t="s">
        <v>63</v>
      </c>
      <c r="AT184" t="s">
        <v>63</v>
      </c>
      <c r="AU184" t="s">
        <v>63</v>
      </c>
      <c r="AV184" t="s">
        <v>63</v>
      </c>
      <c r="AW184" t="s">
        <v>63</v>
      </c>
      <c r="AX184" t="s">
        <v>63</v>
      </c>
      <c r="AY184" t="s">
        <v>63</v>
      </c>
      <c r="AZ184" t="s">
        <v>63</v>
      </c>
      <c r="BA184" t="s">
        <v>63</v>
      </c>
      <c r="BB184" t="s">
        <v>63</v>
      </c>
      <c r="BC184" t="s">
        <v>63</v>
      </c>
      <c r="BD184" t="s">
        <v>63</v>
      </c>
      <c r="BE184" t="s">
        <v>63</v>
      </c>
      <c r="BF184" t="s">
        <v>63</v>
      </c>
    </row>
    <row r="185" spans="1:58">
      <c r="A185" t="s">
        <v>58</v>
      </c>
      <c r="B185" t="s">
        <v>1726</v>
      </c>
      <c r="C185" t="s">
        <v>1727</v>
      </c>
      <c r="D185" t="s">
        <v>1728</v>
      </c>
      <c r="E185" t="s">
        <v>1729</v>
      </c>
      <c r="F185">
        <v>1992</v>
      </c>
      <c r="G185" t="s">
        <v>338</v>
      </c>
      <c r="H185">
        <v>24</v>
      </c>
      <c r="I185">
        <v>2</v>
      </c>
      <c r="J185">
        <v>123</v>
      </c>
      <c r="K185">
        <v>129</v>
      </c>
      <c r="L185" t="s">
        <v>1730</v>
      </c>
      <c r="M185" t="s">
        <v>1731</v>
      </c>
      <c r="N185" t="s">
        <v>1732</v>
      </c>
      <c r="O185" t="s">
        <v>63</v>
      </c>
      <c r="Q185" t="s">
        <v>63</v>
      </c>
      <c r="R185" t="s">
        <v>63</v>
      </c>
      <c r="S185" t="s">
        <v>63</v>
      </c>
      <c r="T185" t="s">
        <v>63</v>
      </c>
      <c r="X185" t="s">
        <v>63</v>
      </c>
      <c r="Y185" t="s">
        <v>1733</v>
      </c>
      <c r="Z185" t="s">
        <v>63</v>
      </c>
      <c r="AA185" t="s">
        <v>1734</v>
      </c>
      <c r="AB185">
        <v>1506997</v>
      </c>
      <c r="AC185" t="s">
        <v>67</v>
      </c>
      <c r="AD185" t="s">
        <v>63</v>
      </c>
      <c r="AE185" t="s">
        <v>63</v>
      </c>
      <c r="AF185" t="s">
        <v>63</v>
      </c>
      <c r="AG185" t="s">
        <v>1735</v>
      </c>
      <c r="AH185" t="s">
        <v>63</v>
      </c>
      <c r="AI185" t="s">
        <v>63</v>
      </c>
      <c r="AJ185" t="s">
        <v>63</v>
      </c>
      <c r="AK185" t="s">
        <v>63</v>
      </c>
      <c r="AL185" t="s">
        <v>63</v>
      </c>
      <c r="AM185" t="s">
        <v>1736</v>
      </c>
      <c r="AN185" t="s">
        <v>63</v>
      </c>
      <c r="AO185" t="s">
        <v>63</v>
      </c>
      <c r="AP185" t="s">
        <v>63</v>
      </c>
      <c r="AQ185" t="s">
        <v>63</v>
      </c>
      <c r="AR185" t="s">
        <v>63</v>
      </c>
      <c r="AS185" t="s">
        <v>63</v>
      </c>
      <c r="AT185" t="s">
        <v>63</v>
      </c>
      <c r="AU185" t="s">
        <v>63</v>
      </c>
      <c r="AV185" t="s">
        <v>63</v>
      </c>
      <c r="AW185" t="s">
        <v>63</v>
      </c>
      <c r="AX185" t="s">
        <v>63</v>
      </c>
      <c r="AY185" t="s">
        <v>63</v>
      </c>
      <c r="AZ185" t="s">
        <v>63</v>
      </c>
      <c r="BA185" t="s">
        <v>63</v>
      </c>
      <c r="BB185" t="s">
        <v>63</v>
      </c>
      <c r="BC185" t="s">
        <v>63</v>
      </c>
      <c r="BD185" t="s">
        <v>63</v>
      </c>
      <c r="BE185" t="s">
        <v>63</v>
      </c>
      <c r="BF185" t="s">
        <v>63</v>
      </c>
    </row>
    <row r="186" spans="1:58">
      <c r="A186" t="s">
        <v>58</v>
      </c>
      <c r="B186" t="s">
        <v>1726</v>
      </c>
      <c r="C186" t="s">
        <v>1727</v>
      </c>
      <c r="D186" t="s">
        <v>1728</v>
      </c>
      <c r="E186" t="s">
        <v>1729</v>
      </c>
      <c r="F186">
        <v>1989</v>
      </c>
      <c r="G186" t="s">
        <v>1737</v>
      </c>
      <c r="H186">
        <v>21</v>
      </c>
      <c r="I186">
        <v>3</v>
      </c>
      <c r="J186">
        <v>323</v>
      </c>
      <c r="K186">
        <v>329</v>
      </c>
      <c r="L186" t="s">
        <v>1738</v>
      </c>
      <c r="M186" t="s">
        <v>1739</v>
      </c>
      <c r="N186" t="s">
        <v>1740</v>
      </c>
      <c r="O186" t="s">
        <v>63</v>
      </c>
      <c r="Q186" t="s">
        <v>63</v>
      </c>
      <c r="R186" t="s">
        <v>63</v>
      </c>
      <c r="S186" t="s">
        <v>63</v>
      </c>
      <c r="T186" t="s">
        <v>63</v>
      </c>
      <c r="X186" t="s">
        <v>63</v>
      </c>
      <c r="Y186" t="s">
        <v>1733</v>
      </c>
      <c r="Z186" t="s">
        <v>63</v>
      </c>
      <c r="AA186" t="s">
        <v>1734</v>
      </c>
      <c r="AB186">
        <v>2681630</v>
      </c>
      <c r="AC186" t="s">
        <v>67</v>
      </c>
      <c r="AD186" t="s">
        <v>63</v>
      </c>
      <c r="AE186" t="s">
        <v>63</v>
      </c>
      <c r="AF186" t="s">
        <v>63</v>
      </c>
      <c r="AG186" t="s">
        <v>1741</v>
      </c>
      <c r="AH186" t="s">
        <v>63</v>
      </c>
      <c r="AI186" t="s">
        <v>63</v>
      </c>
      <c r="AJ186" t="s">
        <v>63</v>
      </c>
      <c r="AK186" t="s">
        <v>63</v>
      </c>
      <c r="AL186" t="s">
        <v>63</v>
      </c>
      <c r="AM186" t="s">
        <v>1736</v>
      </c>
      <c r="AN186" t="s">
        <v>63</v>
      </c>
      <c r="AO186" t="s">
        <v>63</v>
      </c>
      <c r="AP186" t="s">
        <v>63</v>
      </c>
      <c r="AQ186" t="s">
        <v>63</v>
      </c>
      <c r="AR186" t="s">
        <v>63</v>
      </c>
      <c r="AS186" t="s">
        <v>63</v>
      </c>
      <c r="AT186" t="s">
        <v>63</v>
      </c>
      <c r="AU186" t="s">
        <v>63</v>
      </c>
      <c r="AV186" t="s">
        <v>63</v>
      </c>
      <c r="AW186" t="s">
        <v>63</v>
      </c>
      <c r="AX186" t="s">
        <v>63</v>
      </c>
      <c r="AY186" t="s">
        <v>63</v>
      </c>
      <c r="AZ186" t="s">
        <v>63</v>
      </c>
      <c r="BA186" t="s">
        <v>63</v>
      </c>
      <c r="BB186" t="s">
        <v>63</v>
      </c>
      <c r="BC186" t="s">
        <v>63</v>
      </c>
      <c r="BD186" t="s">
        <v>63</v>
      </c>
      <c r="BE186" t="s">
        <v>63</v>
      </c>
      <c r="BF186" t="s">
        <v>63</v>
      </c>
    </row>
    <row r="187" spans="1:58">
      <c r="A187" t="s">
        <v>58</v>
      </c>
      <c r="B187" t="s">
        <v>1742</v>
      </c>
      <c r="C187" t="s">
        <v>1743</v>
      </c>
      <c r="D187" t="s">
        <v>1744</v>
      </c>
      <c r="E187" t="s">
        <v>1745</v>
      </c>
      <c r="F187">
        <v>2001</v>
      </c>
      <c r="G187" t="s">
        <v>63</v>
      </c>
      <c r="H187">
        <v>31</v>
      </c>
      <c r="I187">
        <v>2</v>
      </c>
      <c r="J187">
        <v>233</v>
      </c>
      <c r="K187">
        <v>235</v>
      </c>
      <c r="L187" t="s">
        <v>1746</v>
      </c>
      <c r="M187" t="s">
        <v>1747</v>
      </c>
      <c r="N187" t="s">
        <v>1748</v>
      </c>
      <c r="O187" t="s">
        <v>63</v>
      </c>
      <c r="Q187" t="s">
        <v>63</v>
      </c>
      <c r="R187" t="s">
        <v>63</v>
      </c>
      <c r="S187" t="s">
        <v>63</v>
      </c>
      <c r="T187" t="s">
        <v>63</v>
      </c>
      <c r="X187" t="s">
        <v>63</v>
      </c>
      <c r="Y187" t="s">
        <v>1749</v>
      </c>
      <c r="Z187" t="s">
        <v>63</v>
      </c>
      <c r="AA187" t="s">
        <v>1750</v>
      </c>
      <c r="AB187">
        <v>11760866</v>
      </c>
      <c r="AC187" t="s">
        <v>67</v>
      </c>
      <c r="AD187" t="s">
        <v>63</v>
      </c>
      <c r="AE187" t="s">
        <v>63</v>
      </c>
      <c r="AF187" t="s">
        <v>63</v>
      </c>
      <c r="AG187" t="s">
        <v>1751</v>
      </c>
      <c r="AH187" t="s">
        <v>63</v>
      </c>
      <c r="AI187" t="s">
        <v>63</v>
      </c>
      <c r="AJ187" t="s">
        <v>63</v>
      </c>
      <c r="AK187" t="s">
        <v>63</v>
      </c>
      <c r="AL187" t="s">
        <v>63</v>
      </c>
      <c r="AM187" t="s">
        <v>1752</v>
      </c>
      <c r="AN187" t="s">
        <v>63</v>
      </c>
      <c r="AO187" t="s">
        <v>63</v>
      </c>
      <c r="AP187" t="s">
        <v>63</v>
      </c>
      <c r="AQ187" t="s">
        <v>63</v>
      </c>
      <c r="AR187" t="s">
        <v>63</v>
      </c>
      <c r="AS187" t="s">
        <v>63</v>
      </c>
      <c r="AT187" t="s">
        <v>63</v>
      </c>
      <c r="AU187" t="s">
        <v>63</v>
      </c>
      <c r="AV187" t="s">
        <v>63</v>
      </c>
      <c r="AW187" t="s">
        <v>63</v>
      </c>
      <c r="AX187" t="s">
        <v>63</v>
      </c>
      <c r="AY187" t="s">
        <v>63</v>
      </c>
      <c r="AZ187" t="s">
        <v>63</v>
      </c>
      <c r="BA187" t="s">
        <v>63</v>
      </c>
      <c r="BB187" t="s">
        <v>63</v>
      </c>
      <c r="BC187" t="s">
        <v>63</v>
      </c>
      <c r="BD187" t="s">
        <v>63</v>
      </c>
      <c r="BE187" t="s">
        <v>63</v>
      </c>
      <c r="BF187" t="s">
        <v>63</v>
      </c>
    </row>
    <row r="188" spans="1:58">
      <c r="A188" t="s">
        <v>58</v>
      </c>
      <c r="B188" t="s">
        <v>1753</v>
      </c>
      <c r="C188" t="s">
        <v>1754</v>
      </c>
      <c r="D188" t="s">
        <v>1055</v>
      </c>
      <c r="E188" t="s">
        <v>1056</v>
      </c>
      <c r="F188">
        <v>1996</v>
      </c>
      <c r="G188" t="s">
        <v>1670</v>
      </c>
      <c r="H188">
        <v>30</v>
      </c>
      <c r="I188">
        <v>4</v>
      </c>
      <c r="J188">
        <v>283</v>
      </c>
      <c r="K188">
        <v>289</v>
      </c>
      <c r="L188" t="s">
        <v>1755</v>
      </c>
      <c r="M188" t="s">
        <v>1756</v>
      </c>
      <c r="N188" t="s">
        <v>1757</v>
      </c>
      <c r="O188" t="s">
        <v>63</v>
      </c>
      <c r="Q188" t="s">
        <v>63</v>
      </c>
      <c r="R188" t="s">
        <v>63</v>
      </c>
      <c r="S188" t="s">
        <v>63</v>
      </c>
      <c r="T188" t="s">
        <v>63</v>
      </c>
      <c r="X188" t="s">
        <v>63</v>
      </c>
      <c r="Y188" t="s">
        <v>1059</v>
      </c>
      <c r="Z188" t="s">
        <v>63</v>
      </c>
      <c r="AA188" t="s">
        <v>1758</v>
      </c>
      <c r="AB188">
        <v>8949540</v>
      </c>
      <c r="AC188" t="s">
        <v>67</v>
      </c>
      <c r="AD188" t="s">
        <v>63</v>
      </c>
      <c r="AE188" t="s">
        <v>63</v>
      </c>
      <c r="AF188" t="s">
        <v>63</v>
      </c>
      <c r="AG188" t="s">
        <v>1759</v>
      </c>
      <c r="AH188" t="s">
        <v>63</v>
      </c>
      <c r="AI188" t="s">
        <v>63</v>
      </c>
      <c r="AJ188" t="s">
        <v>63</v>
      </c>
      <c r="AK188" t="s">
        <v>63</v>
      </c>
      <c r="AL188" t="s">
        <v>63</v>
      </c>
      <c r="AM188" t="s">
        <v>1760</v>
      </c>
      <c r="AN188" t="s">
        <v>63</v>
      </c>
      <c r="AO188" t="s">
        <v>63</v>
      </c>
      <c r="AP188" t="s">
        <v>63</v>
      </c>
      <c r="AQ188" t="s">
        <v>63</v>
      </c>
      <c r="AR188" t="s">
        <v>63</v>
      </c>
      <c r="AS188" t="s">
        <v>63</v>
      </c>
      <c r="AT188" t="s">
        <v>63</v>
      </c>
      <c r="AU188" t="s">
        <v>63</v>
      </c>
      <c r="AV188" t="s">
        <v>63</v>
      </c>
      <c r="AW188" t="s">
        <v>63</v>
      </c>
      <c r="AX188" t="s">
        <v>63</v>
      </c>
      <c r="AY188" t="s">
        <v>63</v>
      </c>
      <c r="AZ188" t="s">
        <v>63</v>
      </c>
      <c r="BA188" t="s">
        <v>63</v>
      </c>
      <c r="BB188" t="s">
        <v>63</v>
      </c>
      <c r="BC188" t="s">
        <v>63</v>
      </c>
      <c r="BD188" t="s">
        <v>63</v>
      </c>
      <c r="BE188" t="s">
        <v>63</v>
      </c>
      <c r="BF188" t="s">
        <v>63</v>
      </c>
    </row>
    <row r="189" spans="1:58">
      <c r="A189" t="s">
        <v>58</v>
      </c>
      <c r="B189" t="s">
        <v>1761</v>
      </c>
      <c r="C189" t="s">
        <v>1762</v>
      </c>
      <c r="D189" t="s">
        <v>1500</v>
      </c>
      <c r="E189" t="s">
        <v>1501</v>
      </c>
      <c r="F189">
        <v>1993</v>
      </c>
      <c r="G189" t="s">
        <v>189</v>
      </c>
      <c r="H189">
        <v>113</v>
      </c>
      <c r="I189">
        <v>5</v>
      </c>
      <c r="J189">
        <v>343</v>
      </c>
      <c r="K189" t="s">
        <v>63</v>
      </c>
      <c r="L189" t="s">
        <v>1295</v>
      </c>
      <c r="M189" t="s">
        <v>63</v>
      </c>
      <c r="N189" t="s">
        <v>1763</v>
      </c>
      <c r="O189" t="s">
        <v>63</v>
      </c>
      <c r="Q189" t="s">
        <v>63</v>
      </c>
      <c r="R189" t="s">
        <v>63</v>
      </c>
      <c r="S189" t="s">
        <v>63</v>
      </c>
      <c r="T189" t="s">
        <v>63</v>
      </c>
      <c r="X189" t="s">
        <v>63</v>
      </c>
      <c r="Y189" t="s">
        <v>1504</v>
      </c>
      <c r="Z189" t="s">
        <v>63</v>
      </c>
      <c r="AA189" t="s">
        <v>63</v>
      </c>
      <c r="AB189">
        <v>8316716</v>
      </c>
      <c r="AC189" t="s">
        <v>1371</v>
      </c>
      <c r="AD189" t="s">
        <v>63</v>
      </c>
      <c r="AE189" t="s">
        <v>63</v>
      </c>
      <c r="AF189" t="s">
        <v>63</v>
      </c>
      <c r="AG189" t="s">
        <v>1764</v>
      </c>
      <c r="AH189" t="s">
        <v>63</v>
      </c>
      <c r="AI189" t="s">
        <v>63</v>
      </c>
      <c r="AJ189" t="s">
        <v>63</v>
      </c>
      <c r="AK189" t="s">
        <v>63</v>
      </c>
      <c r="AL189" t="s">
        <v>63</v>
      </c>
      <c r="AM189" t="s">
        <v>1765</v>
      </c>
      <c r="AN189" t="s">
        <v>63</v>
      </c>
      <c r="AO189" t="s">
        <v>63</v>
      </c>
      <c r="AP189" t="s">
        <v>63</v>
      </c>
      <c r="AQ189" t="s">
        <v>63</v>
      </c>
      <c r="AR189" t="s">
        <v>63</v>
      </c>
      <c r="AS189" t="s">
        <v>63</v>
      </c>
      <c r="AT189" t="s">
        <v>63</v>
      </c>
      <c r="AU189" t="s">
        <v>63</v>
      </c>
      <c r="AV189" t="s">
        <v>63</v>
      </c>
      <c r="AW189" t="s">
        <v>63</v>
      </c>
      <c r="AX189" t="s">
        <v>63</v>
      </c>
      <c r="AY189" t="s">
        <v>63</v>
      </c>
      <c r="AZ189" t="s">
        <v>63</v>
      </c>
      <c r="BA189" t="s">
        <v>63</v>
      </c>
      <c r="BB189" t="s">
        <v>63</v>
      </c>
      <c r="BC189" t="s">
        <v>63</v>
      </c>
      <c r="BD189" t="s">
        <v>63</v>
      </c>
      <c r="BE189" t="s">
        <v>63</v>
      </c>
      <c r="BF189" t="s">
        <v>63</v>
      </c>
    </row>
    <row r="190" spans="1:58">
      <c r="A190" t="s">
        <v>58</v>
      </c>
      <c r="B190" t="s">
        <v>1766</v>
      </c>
      <c r="C190" t="s">
        <v>1767</v>
      </c>
      <c r="D190" t="s">
        <v>360</v>
      </c>
      <c r="E190" t="s">
        <v>63</v>
      </c>
      <c r="F190">
        <v>2015</v>
      </c>
      <c r="G190" t="s">
        <v>63</v>
      </c>
      <c r="H190">
        <v>41</v>
      </c>
      <c r="I190">
        <v>5</v>
      </c>
      <c r="J190">
        <v>449</v>
      </c>
      <c r="K190">
        <v>457</v>
      </c>
      <c r="L190" t="s">
        <v>1768</v>
      </c>
      <c r="M190" t="s">
        <v>1769</v>
      </c>
      <c r="N190" t="s">
        <v>1770</v>
      </c>
      <c r="O190" t="s">
        <v>63</v>
      </c>
      <c r="Q190" t="s">
        <v>63</v>
      </c>
      <c r="R190" t="s">
        <v>63</v>
      </c>
      <c r="S190" t="s">
        <v>63</v>
      </c>
      <c r="T190" t="s">
        <v>63</v>
      </c>
      <c r="X190" t="s">
        <v>63</v>
      </c>
      <c r="Y190" t="s">
        <v>364</v>
      </c>
      <c r="Z190" t="s">
        <v>63</v>
      </c>
      <c r="AA190" t="s">
        <v>1771</v>
      </c>
      <c r="AB190">
        <v>26337202</v>
      </c>
      <c r="AC190" t="s">
        <v>67</v>
      </c>
      <c r="AD190" t="s">
        <v>63</v>
      </c>
      <c r="AE190" t="s">
        <v>63</v>
      </c>
      <c r="AF190" t="s">
        <v>63</v>
      </c>
      <c r="AG190" t="s">
        <v>1772</v>
      </c>
      <c r="AH190" t="s">
        <v>63</v>
      </c>
      <c r="AI190" t="s">
        <v>1773</v>
      </c>
      <c r="AJ190" t="s">
        <v>63</v>
      </c>
      <c r="AK190" t="s">
        <v>63</v>
      </c>
      <c r="AL190" t="s">
        <v>63</v>
      </c>
      <c r="AM190" t="s">
        <v>1774</v>
      </c>
      <c r="AN190" t="s">
        <v>63</v>
      </c>
      <c r="AO190" t="s">
        <v>63</v>
      </c>
      <c r="AP190" t="s">
        <v>63</v>
      </c>
      <c r="AQ190" t="s">
        <v>63</v>
      </c>
      <c r="AR190" t="s">
        <v>63</v>
      </c>
      <c r="AS190" t="s">
        <v>63</v>
      </c>
      <c r="AT190" t="s">
        <v>63</v>
      </c>
      <c r="AU190" t="s">
        <v>63</v>
      </c>
      <c r="AV190" t="s">
        <v>63</v>
      </c>
      <c r="AW190" t="s">
        <v>63</v>
      </c>
      <c r="AX190" t="s">
        <v>63</v>
      </c>
      <c r="AY190" t="s">
        <v>63</v>
      </c>
      <c r="AZ190" t="s">
        <v>63</v>
      </c>
      <c r="BA190" t="s">
        <v>63</v>
      </c>
      <c r="BB190" t="s">
        <v>63</v>
      </c>
      <c r="BC190" t="s">
        <v>63</v>
      </c>
      <c r="BD190" t="s">
        <v>63</v>
      </c>
      <c r="BE190" t="s">
        <v>63</v>
      </c>
      <c r="BF190" t="s">
        <v>63</v>
      </c>
    </row>
    <row r="191" spans="1:58">
      <c r="A191" t="s">
        <v>58</v>
      </c>
      <c r="B191" t="s">
        <v>1775</v>
      </c>
      <c r="C191" t="s">
        <v>1776</v>
      </c>
      <c r="D191" t="s">
        <v>389</v>
      </c>
      <c r="E191" t="s">
        <v>63</v>
      </c>
      <c r="F191">
        <v>2005</v>
      </c>
      <c r="G191" t="s">
        <v>157</v>
      </c>
      <c r="H191">
        <v>26</v>
      </c>
      <c r="I191" s="1">
        <v>41701</v>
      </c>
      <c r="J191">
        <v>27</v>
      </c>
      <c r="K191">
        <v>30</v>
      </c>
      <c r="L191" t="s">
        <v>1777</v>
      </c>
      <c r="M191" t="s">
        <v>1778</v>
      </c>
      <c r="N191" t="s">
        <v>1779</v>
      </c>
      <c r="O191" t="s">
        <v>63</v>
      </c>
      <c r="Q191" t="s">
        <v>63</v>
      </c>
      <c r="R191" t="s">
        <v>63</v>
      </c>
      <c r="S191" t="s">
        <v>63</v>
      </c>
      <c r="T191" t="s">
        <v>63</v>
      </c>
      <c r="X191" t="s">
        <v>63</v>
      </c>
      <c r="Y191" t="s">
        <v>392</v>
      </c>
      <c r="Z191" t="s">
        <v>63</v>
      </c>
      <c r="AA191" t="s">
        <v>1780</v>
      </c>
      <c r="AB191">
        <v>16837409</v>
      </c>
      <c r="AC191" t="s">
        <v>67</v>
      </c>
      <c r="AD191" t="s">
        <v>63</v>
      </c>
      <c r="AE191" t="s">
        <v>63</v>
      </c>
      <c r="AF191" t="s">
        <v>63</v>
      </c>
      <c r="AG191" t="s">
        <v>1781</v>
      </c>
      <c r="AH191" t="s">
        <v>63</v>
      </c>
      <c r="AI191" t="s">
        <v>63</v>
      </c>
      <c r="AJ191" t="s">
        <v>63</v>
      </c>
      <c r="AK191" t="s">
        <v>63</v>
      </c>
      <c r="AL191" t="s">
        <v>63</v>
      </c>
      <c r="AM191" t="s">
        <v>1782</v>
      </c>
      <c r="AN191" t="s">
        <v>63</v>
      </c>
      <c r="AO191" t="s">
        <v>63</v>
      </c>
      <c r="AP191" t="s">
        <v>63</v>
      </c>
      <c r="AQ191" t="s">
        <v>63</v>
      </c>
      <c r="AR191" t="s">
        <v>63</v>
      </c>
      <c r="AS191" t="s">
        <v>63</v>
      </c>
      <c r="AT191" t="s">
        <v>63</v>
      </c>
      <c r="AU191" t="s">
        <v>63</v>
      </c>
      <c r="AV191" t="s">
        <v>63</v>
      </c>
      <c r="AW191" t="s">
        <v>63</v>
      </c>
      <c r="AX191" t="s">
        <v>63</v>
      </c>
      <c r="AY191" t="s">
        <v>63</v>
      </c>
      <c r="AZ191" t="s">
        <v>63</v>
      </c>
      <c r="BA191" t="s">
        <v>63</v>
      </c>
      <c r="BB191" t="s">
        <v>63</v>
      </c>
      <c r="BC191" t="s">
        <v>63</v>
      </c>
      <c r="BD191" t="s">
        <v>63</v>
      </c>
      <c r="BE191" t="s">
        <v>63</v>
      </c>
      <c r="BF191" t="s">
        <v>63</v>
      </c>
    </row>
    <row r="192" spans="1:58">
      <c r="A192" t="s">
        <v>58</v>
      </c>
      <c r="B192" t="s">
        <v>1783</v>
      </c>
      <c r="C192" t="s">
        <v>1784</v>
      </c>
      <c r="D192" t="s">
        <v>640</v>
      </c>
      <c r="E192" t="s">
        <v>63</v>
      </c>
      <c r="F192">
        <v>2007</v>
      </c>
      <c r="G192" t="s">
        <v>189</v>
      </c>
      <c r="H192">
        <v>26</v>
      </c>
      <c r="I192">
        <v>3</v>
      </c>
      <c r="J192">
        <v>279</v>
      </c>
      <c r="K192">
        <v>285</v>
      </c>
      <c r="L192" t="s">
        <v>1785</v>
      </c>
      <c r="M192" t="s">
        <v>1786</v>
      </c>
      <c r="N192" t="s">
        <v>1787</v>
      </c>
      <c r="O192" t="s">
        <v>63</v>
      </c>
      <c r="Q192" t="s">
        <v>63</v>
      </c>
      <c r="R192" t="s">
        <v>63</v>
      </c>
      <c r="S192" t="s">
        <v>63</v>
      </c>
      <c r="T192" t="s">
        <v>63</v>
      </c>
      <c r="X192" t="s">
        <v>63</v>
      </c>
      <c r="Y192" t="s">
        <v>644</v>
      </c>
      <c r="Z192" t="s">
        <v>63</v>
      </c>
      <c r="AA192" t="s">
        <v>1788</v>
      </c>
      <c r="AB192">
        <v>17454017</v>
      </c>
      <c r="AC192" t="s">
        <v>67</v>
      </c>
      <c r="AD192" t="s">
        <v>63</v>
      </c>
      <c r="AE192" t="s">
        <v>63</v>
      </c>
      <c r="AF192" t="s">
        <v>63</v>
      </c>
      <c r="AG192" t="s">
        <v>1789</v>
      </c>
      <c r="AH192" t="s">
        <v>63</v>
      </c>
      <c r="AI192" t="s">
        <v>63</v>
      </c>
      <c r="AJ192" t="s">
        <v>63</v>
      </c>
      <c r="AK192" t="s">
        <v>63</v>
      </c>
      <c r="AL192" t="s">
        <v>63</v>
      </c>
      <c r="AM192" t="s">
        <v>1790</v>
      </c>
      <c r="AN192" t="s">
        <v>63</v>
      </c>
      <c r="AO192" t="s">
        <v>63</v>
      </c>
      <c r="AP192" t="s">
        <v>63</v>
      </c>
      <c r="AQ192" t="s">
        <v>63</v>
      </c>
      <c r="AR192" t="s">
        <v>63</v>
      </c>
      <c r="AS192" t="s">
        <v>63</v>
      </c>
      <c r="AT192" t="s">
        <v>63</v>
      </c>
      <c r="AU192" t="s">
        <v>63</v>
      </c>
      <c r="AV192" t="s">
        <v>63</v>
      </c>
      <c r="AW192" t="s">
        <v>63</v>
      </c>
      <c r="AX192" t="s">
        <v>63</v>
      </c>
      <c r="AY192" t="s">
        <v>63</v>
      </c>
      <c r="AZ192" t="s">
        <v>63</v>
      </c>
      <c r="BA192" t="s">
        <v>63</v>
      </c>
      <c r="BB192" t="s">
        <v>63</v>
      </c>
      <c r="BC192" t="s">
        <v>63</v>
      </c>
      <c r="BD192" t="s">
        <v>63</v>
      </c>
      <c r="BE192" t="s">
        <v>63</v>
      </c>
      <c r="BF192" t="s">
        <v>63</v>
      </c>
    </row>
    <row r="193" spans="1:58">
      <c r="A193" t="s">
        <v>58</v>
      </c>
      <c r="B193" t="s">
        <v>1791</v>
      </c>
      <c r="C193" t="s">
        <v>1792</v>
      </c>
      <c r="D193" t="s">
        <v>1793</v>
      </c>
      <c r="E193" t="s">
        <v>63</v>
      </c>
      <c r="F193">
        <v>2018</v>
      </c>
      <c r="G193" s="1">
        <v>41670</v>
      </c>
      <c r="H193" t="s">
        <v>63</v>
      </c>
      <c r="I193" t="s">
        <v>63</v>
      </c>
      <c r="J193">
        <v>1039856218758560</v>
      </c>
      <c r="K193" t="s">
        <v>63</v>
      </c>
      <c r="L193" t="s">
        <v>63</v>
      </c>
      <c r="M193" t="s">
        <v>1794</v>
      </c>
      <c r="N193" t="s">
        <v>1795</v>
      </c>
      <c r="O193" t="s">
        <v>63</v>
      </c>
      <c r="Q193" t="s">
        <v>63</v>
      </c>
      <c r="R193" t="s">
        <v>63</v>
      </c>
      <c r="S193" t="s">
        <v>63</v>
      </c>
      <c r="T193" t="s">
        <v>63</v>
      </c>
      <c r="X193" t="s">
        <v>63</v>
      </c>
      <c r="Y193" t="s">
        <v>1796</v>
      </c>
      <c r="Z193" t="s">
        <v>63</v>
      </c>
      <c r="AA193" t="s">
        <v>1797</v>
      </c>
      <c r="AB193">
        <v>29480014</v>
      </c>
      <c r="AC193" t="s">
        <v>67</v>
      </c>
      <c r="AD193" t="s">
        <v>63</v>
      </c>
      <c r="AE193" t="s">
        <v>63</v>
      </c>
      <c r="AF193" t="s">
        <v>63</v>
      </c>
      <c r="AG193" t="s">
        <v>1798</v>
      </c>
      <c r="AH193" t="s">
        <v>63</v>
      </c>
      <c r="AI193" t="s">
        <v>1799</v>
      </c>
      <c r="AJ193" t="s">
        <v>63</v>
      </c>
      <c r="AK193" t="s">
        <v>63</v>
      </c>
      <c r="AL193" t="s">
        <v>63</v>
      </c>
      <c r="AM193" t="s">
        <v>1800</v>
      </c>
      <c r="AN193" t="s">
        <v>63</v>
      </c>
      <c r="AO193" t="s">
        <v>63</v>
      </c>
      <c r="AP193" t="s">
        <v>63</v>
      </c>
      <c r="AQ193" t="s">
        <v>63</v>
      </c>
      <c r="AR193" t="s">
        <v>63</v>
      </c>
      <c r="AS193" t="s">
        <v>63</v>
      </c>
      <c r="AT193" t="s">
        <v>63</v>
      </c>
      <c r="AU193" t="s">
        <v>63</v>
      </c>
      <c r="AV193" t="s">
        <v>63</v>
      </c>
      <c r="AW193" t="s">
        <v>63</v>
      </c>
      <c r="AX193" t="s">
        <v>63</v>
      </c>
      <c r="AY193" t="s">
        <v>63</v>
      </c>
      <c r="AZ193" t="s">
        <v>63</v>
      </c>
      <c r="BA193" t="s">
        <v>63</v>
      </c>
      <c r="BB193" t="s">
        <v>63</v>
      </c>
      <c r="BC193" t="s">
        <v>63</v>
      </c>
      <c r="BD193" t="s">
        <v>63</v>
      </c>
      <c r="BE193" t="s">
        <v>63</v>
      </c>
      <c r="BF193" t="s">
        <v>63</v>
      </c>
    </row>
    <row r="194" spans="1:58">
      <c r="A194" t="s">
        <v>58</v>
      </c>
      <c r="B194" t="s">
        <v>1801</v>
      </c>
      <c r="C194" t="s">
        <v>1802</v>
      </c>
      <c r="D194" t="s">
        <v>1728</v>
      </c>
      <c r="E194" t="s">
        <v>1729</v>
      </c>
      <c r="F194">
        <v>2012</v>
      </c>
      <c r="G194" t="s">
        <v>338</v>
      </c>
      <c r="H194">
        <v>44</v>
      </c>
      <c r="I194">
        <v>2</v>
      </c>
      <c r="J194">
        <v>186</v>
      </c>
      <c r="K194">
        <v>190</v>
      </c>
      <c r="L194" t="s">
        <v>1803</v>
      </c>
      <c r="M194" t="s">
        <v>1804</v>
      </c>
      <c r="N194" t="s">
        <v>1805</v>
      </c>
      <c r="O194" t="s">
        <v>63</v>
      </c>
      <c r="Q194" t="s">
        <v>63</v>
      </c>
      <c r="R194" t="s">
        <v>63</v>
      </c>
      <c r="S194" t="s">
        <v>63</v>
      </c>
      <c r="T194" t="s">
        <v>63</v>
      </c>
      <c r="X194" t="s">
        <v>63</v>
      </c>
      <c r="Y194" t="s">
        <v>1733</v>
      </c>
      <c r="Z194" t="s">
        <v>63</v>
      </c>
      <c r="AA194" t="s">
        <v>1806</v>
      </c>
      <c r="AB194">
        <v>22880547</v>
      </c>
      <c r="AC194" t="s">
        <v>67</v>
      </c>
      <c r="AD194" t="s">
        <v>63</v>
      </c>
      <c r="AE194" t="s">
        <v>63</v>
      </c>
      <c r="AF194" t="s">
        <v>63</v>
      </c>
      <c r="AG194" t="s">
        <v>1807</v>
      </c>
      <c r="AH194" t="s">
        <v>63</v>
      </c>
      <c r="AI194" t="s">
        <v>63</v>
      </c>
      <c r="AJ194" t="s">
        <v>63</v>
      </c>
      <c r="AK194" t="s">
        <v>63</v>
      </c>
      <c r="AL194" t="s">
        <v>63</v>
      </c>
      <c r="AM194" t="s">
        <v>1808</v>
      </c>
      <c r="AN194" t="s">
        <v>63</v>
      </c>
      <c r="AO194" t="s">
        <v>63</v>
      </c>
      <c r="AP194" t="s">
        <v>63</v>
      </c>
      <c r="AQ194" t="s">
        <v>63</v>
      </c>
      <c r="AR194" t="s">
        <v>63</v>
      </c>
      <c r="AS194" t="s">
        <v>63</v>
      </c>
      <c r="AT194" t="s">
        <v>63</v>
      </c>
      <c r="AU194" t="s">
        <v>63</v>
      </c>
      <c r="AV194" t="s">
        <v>63</v>
      </c>
      <c r="AW194" t="s">
        <v>63</v>
      </c>
      <c r="AX194" t="s">
        <v>63</v>
      </c>
      <c r="AY194" t="s">
        <v>63</v>
      </c>
      <c r="AZ194" t="s">
        <v>63</v>
      </c>
      <c r="BA194" t="s">
        <v>63</v>
      </c>
      <c r="BB194" t="s">
        <v>63</v>
      </c>
      <c r="BC194" t="s">
        <v>63</v>
      </c>
      <c r="BD194" t="s">
        <v>63</v>
      </c>
      <c r="BE194" t="s">
        <v>63</v>
      </c>
      <c r="BF194" t="s">
        <v>63</v>
      </c>
    </row>
    <row r="195" spans="1:58">
      <c r="A195" t="s">
        <v>58</v>
      </c>
      <c r="B195" t="s">
        <v>1809</v>
      </c>
      <c r="C195" t="s">
        <v>1810</v>
      </c>
      <c r="D195" t="s">
        <v>1417</v>
      </c>
      <c r="E195" t="s">
        <v>63</v>
      </c>
      <c r="F195">
        <v>2002</v>
      </c>
      <c r="G195" t="s">
        <v>138</v>
      </c>
      <c r="H195">
        <v>95</v>
      </c>
      <c r="I195">
        <v>4</v>
      </c>
      <c r="J195">
        <v>1024</v>
      </c>
      <c r="K195" t="s">
        <v>1811</v>
      </c>
      <c r="L195" t="s">
        <v>1812</v>
      </c>
      <c r="M195" t="s">
        <v>1813</v>
      </c>
      <c r="N195" t="s">
        <v>1814</v>
      </c>
      <c r="O195" t="s">
        <v>63</v>
      </c>
      <c r="Q195" t="s">
        <v>63</v>
      </c>
      <c r="R195" t="s">
        <v>63</v>
      </c>
      <c r="S195" t="s">
        <v>63</v>
      </c>
      <c r="T195" t="s">
        <v>63</v>
      </c>
      <c r="X195" t="s">
        <v>63</v>
      </c>
      <c r="Y195" s="2">
        <v>400001</v>
      </c>
      <c r="Z195" t="s">
        <v>63</v>
      </c>
      <c r="AA195" t="s">
        <v>1815</v>
      </c>
      <c r="AB195">
        <v>12351288</v>
      </c>
      <c r="AC195" t="s">
        <v>67</v>
      </c>
      <c r="AD195" t="s">
        <v>63</v>
      </c>
      <c r="AE195" t="s">
        <v>63</v>
      </c>
      <c r="AF195" t="s">
        <v>63</v>
      </c>
      <c r="AG195" t="s">
        <v>1816</v>
      </c>
      <c r="AH195" t="s">
        <v>63</v>
      </c>
      <c r="AI195" t="s">
        <v>63</v>
      </c>
      <c r="AJ195" t="s">
        <v>63</v>
      </c>
      <c r="AK195" t="s">
        <v>63</v>
      </c>
      <c r="AL195" t="s">
        <v>63</v>
      </c>
      <c r="AM195" t="s">
        <v>1817</v>
      </c>
      <c r="AN195" t="s">
        <v>63</v>
      </c>
      <c r="AO195" t="s">
        <v>63</v>
      </c>
      <c r="AP195" t="s">
        <v>63</v>
      </c>
      <c r="AQ195" t="s">
        <v>63</v>
      </c>
      <c r="AR195" t="s">
        <v>63</v>
      </c>
      <c r="AS195" t="s">
        <v>63</v>
      </c>
      <c r="AT195" t="s">
        <v>63</v>
      </c>
      <c r="AU195" t="s">
        <v>63</v>
      </c>
      <c r="AV195" t="s">
        <v>63</v>
      </c>
      <c r="AW195" t="s">
        <v>63</v>
      </c>
      <c r="AX195" t="s">
        <v>63</v>
      </c>
      <c r="AY195" t="s">
        <v>63</v>
      </c>
      <c r="AZ195" t="s">
        <v>63</v>
      </c>
      <c r="BA195" t="s">
        <v>63</v>
      </c>
      <c r="BB195" t="s">
        <v>63</v>
      </c>
      <c r="BC195" t="s">
        <v>63</v>
      </c>
      <c r="BD195" t="s">
        <v>63</v>
      </c>
      <c r="BE195" t="s">
        <v>63</v>
      </c>
      <c r="BF195" t="s">
        <v>63</v>
      </c>
    </row>
    <row r="196" spans="1:58">
      <c r="A196" t="s">
        <v>58</v>
      </c>
      <c r="B196" t="s">
        <v>1818</v>
      </c>
      <c r="C196" t="s">
        <v>1819</v>
      </c>
      <c r="D196" t="s">
        <v>1820</v>
      </c>
      <c r="E196" t="s">
        <v>1821</v>
      </c>
      <c r="F196">
        <v>1977</v>
      </c>
      <c r="G196" t="s">
        <v>219</v>
      </c>
      <c r="H196">
        <v>73</v>
      </c>
      <c r="I196">
        <v>11</v>
      </c>
      <c r="J196">
        <v>740</v>
      </c>
      <c r="K196">
        <v>742</v>
      </c>
      <c r="L196" t="s">
        <v>1822</v>
      </c>
      <c r="M196" t="s">
        <v>63</v>
      </c>
      <c r="N196" t="s">
        <v>1823</v>
      </c>
      <c r="O196" t="s">
        <v>63</v>
      </c>
      <c r="Q196" t="s">
        <v>63</v>
      </c>
      <c r="R196" t="s">
        <v>63</v>
      </c>
      <c r="S196" t="s">
        <v>63</v>
      </c>
      <c r="T196" t="s">
        <v>63</v>
      </c>
      <c r="X196" t="s">
        <v>63</v>
      </c>
      <c r="Y196" t="s">
        <v>1824</v>
      </c>
      <c r="Z196" t="s">
        <v>63</v>
      </c>
      <c r="AA196" t="s">
        <v>63</v>
      </c>
      <c r="AB196">
        <v>927771</v>
      </c>
      <c r="AC196" t="s">
        <v>67</v>
      </c>
      <c r="AD196" t="s">
        <v>63</v>
      </c>
      <c r="AE196" t="s">
        <v>63</v>
      </c>
      <c r="AF196" t="s">
        <v>63</v>
      </c>
      <c r="AG196" t="s">
        <v>1825</v>
      </c>
      <c r="AH196" t="s">
        <v>63</v>
      </c>
      <c r="AI196" t="s">
        <v>63</v>
      </c>
      <c r="AJ196" t="s">
        <v>63</v>
      </c>
      <c r="AK196" t="s">
        <v>63</v>
      </c>
      <c r="AL196" t="s">
        <v>63</v>
      </c>
      <c r="AM196" t="s">
        <v>1826</v>
      </c>
      <c r="AN196" t="s">
        <v>63</v>
      </c>
      <c r="AO196" t="s">
        <v>63</v>
      </c>
      <c r="AP196" t="s">
        <v>63</v>
      </c>
      <c r="AQ196" t="s">
        <v>63</v>
      </c>
      <c r="AR196" t="s">
        <v>63</v>
      </c>
      <c r="AS196" t="s">
        <v>63</v>
      </c>
      <c r="AT196" t="s">
        <v>63</v>
      </c>
      <c r="AU196" t="s">
        <v>63</v>
      </c>
      <c r="AV196" t="s">
        <v>63</v>
      </c>
      <c r="AW196" t="s">
        <v>63</v>
      </c>
      <c r="AX196" t="s">
        <v>63</v>
      </c>
      <c r="AY196" t="s">
        <v>63</v>
      </c>
      <c r="AZ196" t="s">
        <v>63</v>
      </c>
      <c r="BA196" t="s">
        <v>63</v>
      </c>
      <c r="BB196" t="s">
        <v>63</v>
      </c>
      <c r="BC196" t="s">
        <v>63</v>
      </c>
      <c r="BD196" t="s">
        <v>63</v>
      </c>
      <c r="BE196" t="s">
        <v>63</v>
      </c>
      <c r="BF196" t="s">
        <v>63</v>
      </c>
    </row>
    <row r="197" spans="1:58">
      <c r="A197" t="s">
        <v>58</v>
      </c>
      <c r="B197" t="s">
        <v>1827</v>
      </c>
      <c r="C197" t="s">
        <v>1828</v>
      </c>
      <c r="D197" t="s">
        <v>1829</v>
      </c>
      <c r="E197" t="s">
        <v>1830</v>
      </c>
      <c r="F197">
        <v>1999</v>
      </c>
      <c r="G197" t="s">
        <v>138</v>
      </c>
      <c r="H197">
        <v>92</v>
      </c>
      <c r="I197">
        <v>10</v>
      </c>
      <c r="J197">
        <v>977</v>
      </c>
      <c r="K197">
        <v>980</v>
      </c>
      <c r="L197" t="s">
        <v>1831</v>
      </c>
      <c r="M197" t="s">
        <v>1832</v>
      </c>
      <c r="N197" t="s">
        <v>1833</v>
      </c>
      <c r="O197" t="s">
        <v>63</v>
      </c>
      <c r="Q197" t="s">
        <v>63</v>
      </c>
      <c r="R197" t="s">
        <v>63</v>
      </c>
      <c r="S197" t="s">
        <v>63</v>
      </c>
      <c r="T197" t="s">
        <v>63</v>
      </c>
      <c r="X197" t="s">
        <v>63</v>
      </c>
      <c r="Y197" t="s">
        <v>1834</v>
      </c>
      <c r="Z197" t="s">
        <v>63</v>
      </c>
      <c r="AA197" t="s">
        <v>1835</v>
      </c>
      <c r="AB197">
        <v>10548170</v>
      </c>
      <c r="AC197" t="s">
        <v>67</v>
      </c>
      <c r="AD197" t="s">
        <v>63</v>
      </c>
      <c r="AE197" t="s">
        <v>63</v>
      </c>
      <c r="AF197" t="s">
        <v>63</v>
      </c>
      <c r="AG197" t="s">
        <v>1836</v>
      </c>
      <c r="AH197" t="s">
        <v>63</v>
      </c>
      <c r="AI197" t="s">
        <v>63</v>
      </c>
      <c r="AJ197" t="s">
        <v>63</v>
      </c>
      <c r="AK197" t="s">
        <v>63</v>
      </c>
      <c r="AL197" t="s">
        <v>63</v>
      </c>
      <c r="AM197" t="s">
        <v>1837</v>
      </c>
      <c r="AN197" t="s">
        <v>63</v>
      </c>
      <c r="AO197" t="s">
        <v>63</v>
      </c>
      <c r="AP197" t="s">
        <v>63</v>
      </c>
      <c r="AQ197" t="s">
        <v>63</v>
      </c>
      <c r="AR197" t="s">
        <v>63</v>
      </c>
      <c r="AS197" t="s">
        <v>63</v>
      </c>
      <c r="AT197" t="s">
        <v>63</v>
      </c>
      <c r="AU197" t="s">
        <v>63</v>
      </c>
      <c r="AV197" t="s">
        <v>63</v>
      </c>
      <c r="AW197" t="s">
        <v>63</v>
      </c>
      <c r="AX197" t="s">
        <v>63</v>
      </c>
      <c r="AY197" t="s">
        <v>63</v>
      </c>
      <c r="AZ197" t="s">
        <v>63</v>
      </c>
      <c r="BA197" t="s">
        <v>63</v>
      </c>
      <c r="BB197" t="s">
        <v>63</v>
      </c>
      <c r="BC197" t="s">
        <v>63</v>
      </c>
      <c r="BD197" t="s">
        <v>63</v>
      </c>
      <c r="BE197" t="s">
        <v>63</v>
      </c>
      <c r="BF197" t="s">
        <v>63</v>
      </c>
    </row>
    <row r="198" spans="1:58">
      <c r="A198" t="s">
        <v>58</v>
      </c>
      <c r="B198" t="s">
        <v>1838</v>
      </c>
      <c r="C198" t="s">
        <v>1839</v>
      </c>
      <c r="D198" t="s">
        <v>381</v>
      </c>
      <c r="E198" t="s">
        <v>63</v>
      </c>
      <c r="F198">
        <v>1975</v>
      </c>
      <c r="G198" t="s">
        <v>181</v>
      </c>
      <c r="H198">
        <v>58</v>
      </c>
      <c r="I198">
        <v>9</v>
      </c>
      <c r="J198">
        <v>391</v>
      </c>
      <c r="K198" t="s">
        <v>1840</v>
      </c>
      <c r="L198" t="s">
        <v>1841</v>
      </c>
      <c r="M198" t="s">
        <v>63</v>
      </c>
      <c r="N198" t="s">
        <v>1842</v>
      </c>
      <c r="O198" t="s">
        <v>63</v>
      </c>
      <c r="Q198" t="s">
        <v>63</v>
      </c>
      <c r="R198" t="s">
        <v>63</v>
      </c>
      <c r="S198" t="s">
        <v>63</v>
      </c>
      <c r="T198" t="s">
        <v>63</v>
      </c>
      <c r="X198" t="s">
        <v>63</v>
      </c>
      <c r="Y198" t="s">
        <v>384</v>
      </c>
      <c r="Z198" t="s">
        <v>63</v>
      </c>
      <c r="AA198" t="s">
        <v>63</v>
      </c>
      <c r="AB198">
        <v>127375</v>
      </c>
      <c r="AC198" t="s">
        <v>67</v>
      </c>
      <c r="AD198" t="s">
        <v>63</v>
      </c>
      <c r="AE198" t="s">
        <v>63</v>
      </c>
      <c r="AF198" t="s">
        <v>63</v>
      </c>
      <c r="AG198" t="s">
        <v>1843</v>
      </c>
      <c r="AH198" t="s">
        <v>63</v>
      </c>
      <c r="AI198" t="s">
        <v>63</v>
      </c>
      <c r="AJ198" t="s">
        <v>63</v>
      </c>
      <c r="AK198" t="s">
        <v>63</v>
      </c>
      <c r="AL198" t="s">
        <v>63</v>
      </c>
      <c r="AM198" t="s">
        <v>1844</v>
      </c>
      <c r="AN198" t="s">
        <v>63</v>
      </c>
      <c r="AO198" t="s">
        <v>63</v>
      </c>
      <c r="AP198" t="s">
        <v>63</v>
      </c>
      <c r="AQ198" t="s">
        <v>63</v>
      </c>
      <c r="AR198" t="s">
        <v>63</v>
      </c>
      <c r="AS198" t="s">
        <v>63</v>
      </c>
      <c r="AT198" t="s">
        <v>63</v>
      </c>
      <c r="AU198" t="s">
        <v>63</v>
      </c>
      <c r="AV198" t="s">
        <v>63</v>
      </c>
      <c r="AW198" t="s">
        <v>63</v>
      </c>
      <c r="AX198" t="s">
        <v>63</v>
      </c>
      <c r="AY198" t="s">
        <v>63</v>
      </c>
      <c r="AZ198" t="s">
        <v>63</v>
      </c>
      <c r="BA198" t="s">
        <v>63</v>
      </c>
      <c r="BB198" t="s">
        <v>63</v>
      </c>
      <c r="BC198" t="s">
        <v>63</v>
      </c>
      <c r="BD198" t="s">
        <v>63</v>
      </c>
      <c r="BE198" t="s">
        <v>63</v>
      </c>
      <c r="BF198" t="s">
        <v>63</v>
      </c>
    </row>
    <row r="199" spans="1:58">
      <c r="A199" t="s">
        <v>58</v>
      </c>
      <c r="B199" t="s">
        <v>1838</v>
      </c>
      <c r="C199" t="s">
        <v>1845</v>
      </c>
      <c r="D199" t="s">
        <v>1846</v>
      </c>
      <c r="E199" t="s">
        <v>1847</v>
      </c>
      <c r="F199">
        <v>1973</v>
      </c>
      <c r="G199" t="s">
        <v>219</v>
      </c>
      <c r="H199">
        <v>22</v>
      </c>
      <c r="I199">
        <v>11</v>
      </c>
      <c r="J199">
        <v>84</v>
      </c>
      <c r="K199">
        <v>87</v>
      </c>
      <c r="L199" t="s">
        <v>1848</v>
      </c>
      <c r="M199" t="s">
        <v>63</v>
      </c>
      <c r="N199" t="s">
        <v>1849</v>
      </c>
      <c r="O199" t="s">
        <v>63</v>
      </c>
      <c r="Q199" t="s">
        <v>63</v>
      </c>
      <c r="R199" t="s">
        <v>63</v>
      </c>
      <c r="S199" t="s">
        <v>63</v>
      </c>
      <c r="T199" t="s">
        <v>63</v>
      </c>
      <c r="X199" t="s">
        <v>63</v>
      </c>
      <c r="Y199" t="s">
        <v>1850</v>
      </c>
      <c r="Z199" t="s">
        <v>63</v>
      </c>
      <c r="AA199" t="s">
        <v>63</v>
      </c>
      <c r="AB199">
        <v>4756973</v>
      </c>
      <c r="AC199" t="s">
        <v>67</v>
      </c>
      <c r="AD199" t="s">
        <v>63</v>
      </c>
      <c r="AE199" t="s">
        <v>63</v>
      </c>
      <c r="AF199" t="s">
        <v>63</v>
      </c>
      <c r="AG199" t="s">
        <v>1851</v>
      </c>
      <c r="AH199" t="s">
        <v>63</v>
      </c>
      <c r="AI199" t="s">
        <v>63</v>
      </c>
      <c r="AJ199" t="s">
        <v>63</v>
      </c>
      <c r="AK199" t="s">
        <v>63</v>
      </c>
      <c r="AL199" t="s">
        <v>63</v>
      </c>
      <c r="AM199" t="s">
        <v>1852</v>
      </c>
      <c r="AN199" t="s">
        <v>63</v>
      </c>
      <c r="AO199" t="s">
        <v>63</v>
      </c>
      <c r="AP199" t="s">
        <v>63</v>
      </c>
      <c r="AQ199" t="s">
        <v>63</v>
      </c>
      <c r="AR199" t="s">
        <v>63</v>
      </c>
      <c r="AS199" t="s">
        <v>63</v>
      </c>
      <c r="AT199" t="s">
        <v>63</v>
      </c>
      <c r="AU199" t="s">
        <v>63</v>
      </c>
      <c r="AV199" t="s">
        <v>63</v>
      </c>
      <c r="AW199" t="s">
        <v>63</v>
      </c>
      <c r="AX199" t="s">
        <v>63</v>
      </c>
      <c r="AY199" t="s">
        <v>63</v>
      </c>
      <c r="AZ199" t="s">
        <v>63</v>
      </c>
      <c r="BA199" t="s">
        <v>63</v>
      </c>
      <c r="BB199" t="s">
        <v>63</v>
      </c>
      <c r="BC199" t="s">
        <v>63</v>
      </c>
      <c r="BD199" t="s">
        <v>63</v>
      </c>
      <c r="BE199" t="s">
        <v>63</v>
      </c>
      <c r="BF199" t="s">
        <v>63</v>
      </c>
    </row>
    <row r="200" spans="1:58">
      <c r="A200" t="s">
        <v>58</v>
      </c>
      <c r="B200" t="s">
        <v>1853</v>
      </c>
      <c r="C200" t="s">
        <v>1854</v>
      </c>
      <c r="D200" t="s">
        <v>1855</v>
      </c>
      <c r="E200" t="s">
        <v>63</v>
      </c>
      <c r="F200">
        <v>2015</v>
      </c>
      <c r="G200" t="s">
        <v>181</v>
      </c>
      <c r="H200">
        <v>62</v>
      </c>
      <c r="I200">
        <v>9</v>
      </c>
      <c r="J200">
        <v>964</v>
      </c>
      <c r="K200">
        <v>971</v>
      </c>
      <c r="L200" t="s">
        <v>1856</v>
      </c>
      <c r="M200" t="s">
        <v>1857</v>
      </c>
      <c r="N200" t="s">
        <v>1858</v>
      </c>
      <c r="O200" t="s">
        <v>63</v>
      </c>
      <c r="Q200" t="s">
        <v>63</v>
      </c>
      <c r="R200" t="s">
        <v>63</v>
      </c>
      <c r="S200" t="s">
        <v>63</v>
      </c>
      <c r="T200" t="s">
        <v>63</v>
      </c>
      <c r="X200" t="s">
        <v>63</v>
      </c>
      <c r="Y200" t="s">
        <v>1859</v>
      </c>
      <c r="Z200" t="s">
        <v>63</v>
      </c>
      <c r="AA200" t="s">
        <v>1860</v>
      </c>
      <c r="AB200">
        <v>26001750</v>
      </c>
      <c r="AC200" t="s">
        <v>67</v>
      </c>
      <c r="AD200" t="s">
        <v>63</v>
      </c>
      <c r="AE200" t="s">
        <v>63</v>
      </c>
      <c r="AF200" t="s">
        <v>63</v>
      </c>
      <c r="AG200" t="s">
        <v>1861</v>
      </c>
      <c r="AH200" t="s">
        <v>63</v>
      </c>
      <c r="AI200" t="s">
        <v>1862</v>
      </c>
      <c r="AJ200" t="s">
        <v>63</v>
      </c>
      <c r="AK200" t="s">
        <v>63</v>
      </c>
      <c r="AL200" t="s">
        <v>63</v>
      </c>
      <c r="AM200" t="s">
        <v>1863</v>
      </c>
      <c r="AN200" t="s">
        <v>63</v>
      </c>
      <c r="AO200" t="s">
        <v>63</v>
      </c>
      <c r="AP200" t="s">
        <v>63</v>
      </c>
      <c r="AQ200" t="s">
        <v>63</v>
      </c>
      <c r="AR200" t="s">
        <v>63</v>
      </c>
      <c r="AS200" t="s">
        <v>63</v>
      </c>
      <c r="AT200" t="s">
        <v>63</v>
      </c>
      <c r="AU200" t="s">
        <v>63</v>
      </c>
      <c r="AV200" t="s">
        <v>63</v>
      </c>
      <c r="AW200" t="s">
        <v>63</v>
      </c>
      <c r="AX200" t="s">
        <v>63</v>
      </c>
      <c r="AY200" t="s">
        <v>63</v>
      </c>
      <c r="AZ200" t="s">
        <v>63</v>
      </c>
      <c r="BA200" t="s">
        <v>63</v>
      </c>
      <c r="BB200" t="s">
        <v>63</v>
      </c>
      <c r="BC200" t="s">
        <v>63</v>
      </c>
      <c r="BD200" t="s">
        <v>63</v>
      </c>
      <c r="BE200" t="s">
        <v>63</v>
      </c>
      <c r="BF200" t="s">
        <v>63</v>
      </c>
    </row>
    <row r="201" spans="1:58">
      <c r="A201" t="s">
        <v>58</v>
      </c>
      <c r="B201" t="s">
        <v>1864</v>
      </c>
      <c r="C201" t="s">
        <v>1865</v>
      </c>
      <c r="D201" t="s">
        <v>1866</v>
      </c>
      <c r="E201" t="s">
        <v>1867</v>
      </c>
      <c r="F201">
        <v>1983</v>
      </c>
      <c r="G201" t="s">
        <v>63</v>
      </c>
      <c r="H201">
        <v>42</v>
      </c>
      <c r="I201">
        <v>2</v>
      </c>
      <c r="J201">
        <v>57</v>
      </c>
      <c r="K201">
        <v>63</v>
      </c>
      <c r="L201" t="s">
        <v>1868</v>
      </c>
      <c r="M201" t="s">
        <v>63</v>
      </c>
      <c r="N201" t="s">
        <v>1869</v>
      </c>
      <c r="O201" t="s">
        <v>63</v>
      </c>
      <c r="Q201" t="s">
        <v>63</v>
      </c>
      <c r="R201" t="s">
        <v>63</v>
      </c>
      <c r="S201" t="s">
        <v>63</v>
      </c>
      <c r="T201" t="s">
        <v>63</v>
      </c>
      <c r="X201" t="s">
        <v>63</v>
      </c>
      <c r="Y201" t="s">
        <v>1870</v>
      </c>
      <c r="Z201" t="s">
        <v>63</v>
      </c>
      <c r="AA201" t="s">
        <v>63</v>
      </c>
      <c r="AB201">
        <v>10264318</v>
      </c>
      <c r="AC201" t="s">
        <v>67</v>
      </c>
      <c r="AD201" t="s">
        <v>63</v>
      </c>
      <c r="AE201" t="s">
        <v>63</v>
      </c>
      <c r="AF201" t="s">
        <v>63</v>
      </c>
      <c r="AG201" t="s">
        <v>1871</v>
      </c>
      <c r="AH201" t="s">
        <v>63</v>
      </c>
      <c r="AI201" t="s">
        <v>63</v>
      </c>
      <c r="AJ201" t="s">
        <v>63</v>
      </c>
      <c r="AK201" t="s">
        <v>63</v>
      </c>
      <c r="AL201" t="s">
        <v>63</v>
      </c>
      <c r="AM201" t="s">
        <v>1872</v>
      </c>
      <c r="AN201" t="s">
        <v>63</v>
      </c>
      <c r="AO201" t="s">
        <v>63</v>
      </c>
      <c r="AP201" t="s">
        <v>63</v>
      </c>
      <c r="AQ201" t="s">
        <v>63</v>
      </c>
      <c r="AR201" t="s">
        <v>63</v>
      </c>
      <c r="AS201" t="s">
        <v>63</v>
      </c>
      <c r="AT201" t="s">
        <v>63</v>
      </c>
      <c r="AU201" t="s">
        <v>63</v>
      </c>
      <c r="AV201" t="s">
        <v>63</v>
      </c>
      <c r="AW201" t="s">
        <v>63</v>
      </c>
      <c r="AX201" t="s">
        <v>63</v>
      </c>
      <c r="AY201" t="s">
        <v>63</v>
      </c>
      <c r="AZ201" t="s">
        <v>63</v>
      </c>
      <c r="BA201" t="s">
        <v>63</v>
      </c>
      <c r="BB201" t="s">
        <v>63</v>
      </c>
      <c r="BC201" t="s">
        <v>63</v>
      </c>
      <c r="BD201" t="s">
        <v>63</v>
      </c>
      <c r="BE201" t="s">
        <v>63</v>
      </c>
      <c r="BF201" t="s">
        <v>63</v>
      </c>
    </row>
    <row r="202" spans="1:58">
      <c r="A202" t="s">
        <v>58</v>
      </c>
      <c r="B202" t="s">
        <v>1873</v>
      </c>
      <c r="C202" t="s">
        <v>1874</v>
      </c>
      <c r="D202" t="s">
        <v>563</v>
      </c>
      <c r="E202" t="s">
        <v>63</v>
      </c>
      <c r="F202">
        <v>2010</v>
      </c>
      <c r="G202" s="1">
        <v>41932</v>
      </c>
      <c r="H202">
        <v>10</v>
      </c>
      <c r="I202" t="s">
        <v>63</v>
      </c>
      <c r="J202">
        <v>71</v>
      </c>
      <c r="K202" t="s">
        <v>63</v>
      </c>
      <c r="L202" t="s">
        <v>1875</v>
      </c>
      <c r="M202" t="s">
        <v>1876</v>
      </c>
      <c r="N202" t="s">
        <v>1877</v>
      </c>
      <c r="O202" t="s">
        <v>63</v>
      </c>
      <c r="Q202" t="s">
        <v>63</v>
      </c>
      <c r="R202" t="s">
        <v>63</v>
      </c>
      <c r="S202" t="s">
        <v>63</v>
      </c>
      <c r="T202" t="s">
        <v>63</v>
      </c>
      <c r="X202" t="s">
        <v>63</v>
      </c>
      <c r="Y202" t="s">
        <v>567</v>
      </c>
      <c r="Z202" t="s">
        <v>63</v>
      </c>
      <c r="AA202" t="s">
        <v>1878</v>
      </c>
      <c r="AB202">
        <v>20964840</v>
      </c>
      <c r="AC202" t="s">
        <v>67</v>
      </c>
      <c r="AD202" t="s">
        <v>63</v>
      </c>
      <c r="AE202" t="s">
        <v>63</v>
      </c>
      <c r="AF202" t="s">
        <v>63</v>
      </c>
      <c r="AG202" t="s">
        <v>1879</v>
      </c>
      <c r="AH202" t="s">
        <v>63</v>
      </c>
      <c r="AI202" t="s">
        <v>1880</v>
      </c>
      <c r="AJ202" t="s">
        <v>63</v>
      </c>
      <c r="AK202" t="s">
        <v>63</v>
      </c>
      <c r="AL202" t="s">
        <v>63</v>
      </c>
      <c r="AM202" t="s">
        <v>1881</v>
      </c>
      <c r="AN202" t="s">
        <v>63</v>
      </c>
      <c r="AO202" t="s">
        <v>63</v>
      </c>
      <c r="AP202" t="s">
        <v>63</v>
      </c>
      <c r="AQ202" t="s">
        <v>63</v>
      </c>
      <c r="AR202" t="s">
        <v>63</v>
      </c>
      <c r="AS202" t="s">
        <v>63</v>
      </c>
      <c r="AT202" t="s">
        <v>63</v>
      </c>
      <c r="AU202" t="s">
        <v>63</v>
      </c>
      <c r="AV202" t="s">
        <v>63</v>
      </c>
      <c r="AW202" t="s">
        <v>63</v>
      </c>
      <c r="AX202" t="s">
        <v>63</v>
      </c>
      <c r="AY202" t="s">
        <v>63</v>
      </c>
      <c r="AZ202" t="s">
        <v>63</v>
      </c>
      <c r="BA202" t="s">
        <v>63</v>
      </c>
      <c r="BB202" t="s">
        <v>63</v>
      </c>
      <c r="BC202" t="s">
        <v>63</v>
      </c>
      <c r="BD202" t="s">
        <v>63</v>
      </c>
      <c r="BE202" t="s">
        <v>63</v>
      </c>
      <c r="BF202" t="s">
        <v>63</v>
      </c>
    </row>
    <row r="203" spans="1:58">
      <c r="A203" t="s">
        <v>58</v>
      </c>
      <c r="B203" t="s">
        <v>1882</v>
      </c>
      <c r="C203" t="s">
        <v>1883</v>
      </c>
      <c r="D203" t="s">
        <v>371</v>
      </c>
      <c r="E203" t="s">
        <v>63</v>
      </c>
      <c r="F203">
        <v>1994</v>
      </c>
      <c r="G203" t="s">
        <v>189</v>
      </c>
      <c r="H203">
        <v>9</v>
      </c>
      <c r="I203">
        <v>5</v>
      </c>
      <c r="J203">
        <v>296</v>
      </c>
      <c r="K203">
        <v>298</v>
      </c>
      <c r="L203" t="s">
        <v>1884</v>
      </c>
      <c r="M203" t="s">
        <v>63</v>
      </c>
      <c r="N203" t="s">
        <v>1885</v>
      </c>
      <c r="O203" t="s">
        <v>63</v>
      </c>
      <c r="Q203" t="s">
        <v>63</v>
      </c>
      <c r="R203" t="s">
        <v>63</v>
      </c>
      <c r="S203" t="s">
        <v>63</v>
      </c>
      <c r="T203" t="s">
        <v>63</v>
      </c>
      <c r="X203" t="s">
        <v>63</v>
      </c>
      <c r="Y203" t="s">
        <v>375</v>
      </c>
      <c r="Z203" t="s">
        <v>63</v>
      </c>
      <c r="AA203" t="s">
        <v>63</v>
      </c>
      <c r="AB203">
        <v>8046535</v>
      </c>
      <c r="AC203" t="s">
        <v>67</v>
      </c>
      <c r="AD203" t="s">
        <v>63</v>
      </c>
      <c r="AE203" t="s">
        <v>63</v>
      </c>
      <c r="AF203" t="s">
        <v>63</v>
      </c>
      <c r="AG203" t="s">
        <v>1886</v>
      </c>
      <c r="AH203" t="s">
        <v>63</v>
      </c>
      <c r="AI203" t="s">
        <v>63</v>
      </c>
      <c r="AJ203" t="s">
        <v>63</v>
      </c>
      <c r="AK203" t="s">
        <v>63</v>
      </c>
      <c r="AL203" t="s">
        <v>63</v>
      </c>
      <c r="AM203" t="s">
        <v>1887</v>
      </c>
      <c r="AN203" t="s">
        <v>63</v>
      </c>
      <c r="AO203" t="s">
        <v>63</v>
      </c>
      <c r="AP203" t="s">
        <v>63</v>
      </c>
      <c r="AQ203" t="s">
        <v>63</v>
      </c>
      <c r="AR203" t="s">
        <v>63</v>
      </c>
      <c r="AS203" t="s">
        <v>63</v>
      </c>
      <c r="AT203" t="s">
        <v>63</v>
      </c>
      <c r="AU203" t="s">
        <v>63</v>
      </c>
      <c r="AV203" t="s">
        <v>63</v>
      </c>
      <c r="AW203" t="s">
        <v>63</v>
      </c>
      <c r="AX203" t="s">
        <v>63</v>
      </c>
      <c r="AY203" t="s">
        <v>63</v>
      </c>
      <c r="AZ203" t="s">
        <v>63</v>
      </c>
      <c r="BA203" t="s">
        <v>63</v>
      </c>
      <c r="BB203" t="s">
        <v>63</v>
      </c>
      <c r="BC203" t="s">
        <v>63</v>
      </c>
      <c r="BD203" t="s">
        <v>63</v>
      </c>
      <c r="BE203" t="s">
        <v>63</v>
      </c>
      <c r="BF203" t="s">
        <v>63</v>
      </c>
    </row>
    <row r="204" spans="1:58">
      <c r="A204" t="s">
        <v>58</v>
      </c>
      <c r="B204" t="s">
        <v>1888</v>
      </c>
      <c r="C204" t="s">
        <v>1889</v>
      </c>
      <c r="D204" t="s">
        <v>389</v>
      </c>
      <c r="E204" t="s">
        <v>63</v>
      </c>
      <c r="F204">
        <v>2002</v>
      </c>
      <c r="G204" t="s">
        <v>181</v>
      </c>
      <c r="H204">
        <v>23</v>
      </c>
      <c r="I204">
        <v>3</v>
      </c>
      <c r="J204">
        <v>143</v>
      </c>
      <c r="K204">
        <v>154</v>
      </c>
      <c r="L204" t="s">
        <v>1890</v>
      </c>
      <c r="M204" t="s">
        <v>63</v>
      </c>
      <c r="N204" t="s">
        <v>1891</v>
      </c>
      <c r="O204" t="s">
        <v>63</v>
      </c>
      <c r="Q204" t="s">
        <v>63</v>
      </c>
      <c r="R204" t="s">
        <v>63</v>
      </c>
      <c r="S204" t="s">
        <v>63</v>
      </c>
      <c r="T204" t="s">
        <v>63</v>
      </c>
      <c r="X204" t="s">
        <v>63</v>
      </c>
      <c r="Y204" t="s">
        <v>392</v>
      </c>
      <c r="Z204" t="s">
        <v>63</v>
      </c>
      <c r="AA204" t="s">
        <v>1892</v>
      </c>
      <c r="AB204">
        <v>23580992</v>
      </c>
      <c r="AC204" t="s">
        <v>67</v>
      </c>
      <c r="AD204" t="s">
        <v>63</v>
      </c>
      <c r="AE204" t="s">
        <v>63</v>
      </c>
      <c r="AF204" t="s">
        <v>63</v>
      </c>
      <c r="AG204" t="s">
        <v>1893</v>
      </c>
      <c r="AH204" t="s">
        <v>63</v>
      </c>
      <c r="AI204" t="s">
        <v>63</v>
      </c>
      <c r="AJ204" t="s">
        <v>63</v>
      </c>
      <c r="AK204" t="s">
        <v>63</v>
      </c>
      <c r="AL204" t="s">
        <v>63</v>
      </c>
      <c r="AM204" t="s">
        <v>1894</v>
      </c>
      <c r="AN204" t="s">
        <v>63</v>
      </c>
      <c r="AO204" t="s">
        <v>63</v>
      </c>
      <c r="AP204" t="s">
        <v>63</v>
      </c>
      <c r="AQ204" t="s">
        <v>63</v>
      </c>
      <c r="AR204" t="s">
        <v>63</v>
      </c>
      <c r="AS204" t="s">
        <v>63</v>
      </c>
      <c r="AT204" t="s">
        <v>63</v>
      </c>
      <c r="AU204" t="s">
        <v>63</v>
      </c>
      <c r="AV204" t="s">
        <v>63</v>
      </c>
      <c r="AW204" t="s">
        <v>63</v>
      </c>
      <c r="AX204" t="s">
        <v>63</v>
      </c>
      <c r="AY204" t="s">
        <v>63</v>
      </c>
      <c r="AZ204" t="s">
        <v>63</v>
      </c>
      <c r="BA204" t="s">
        <v>63</v>
      </c>
      <c r="BB204" t="s">
        <v>63</v>
      </c>
      <c r="BC204" t="s">
        <v>63</v>
      </c>
      <c r="BD204" t="s">
        <v>63</v>
      </c>
      <c r="BE204" t="s">
        <v>63</v>
      </c>
      <c r="BF204" t="s">
        <v>63</v>
      </c>
    </row>
    <row r="205" spans="1:58">
      <c r="A205" t="s">
        <v>58</v>
      </c>
      <c r="B205" t="s">
        <v>1895</v>
      </c>
      <c r="C205" t="s">
        <v>1896</v>
      </c>
      <c r="D205" t="s">
        <v>1481</v>
      </c>
      <c r="E205" t="s">
        <v>1481</v>
      </c>
      <c r="F205">
        <v>2011</v>
      </c>
      <c r="G205" t="s">
        <v>614</v>
      </c>
      <c r="H205">
        <v>106</v>
      </c>
      <c r="I205">
        <v>8</v>
      </c>
      <c r="J205">
        <v>1381</v>
      </c>
      <c r="K205">
        <v>1385</v>
      </c>
      <c r="L205" t="s">
        <v>1897</v>
      </c>
      <c r="M205" t="s">
        <v>1898</v>
      </c>
      <c r="N205" t="s">
        <v>1899</v>
      </c>
      <c r="O205" t="s">
        <v>63</v>
      </c>
      <c r="Q205" t="s">
        <v>63</v>
      </c>
      <c r="R205" t="s">
        <v>63</v>
      </c>
      <c r="S205" t="s">
        <v>63</v>
      </c>
      <c r="T205" t="s">
        <v>63</v>
      </c>
      <c r="X205" t="s">
        <v>63</v>
      </c>
      <c r="Y205" t="s">
        <v>1484</v>
      </c>
      <c r="Z205" t="s">
        <v>63</v>
      </c>
      <c r="AA205" t="s">
        <v>1900</v>
      </c>
      <c r="AB205">
        <v>20735364</v>
      </c>
      <c r="AC205" t="s">
        <v>67</v>
      </c>
      <c r="AD205" t="s">
        <v>63</v>
      </c>
      <c r="AE205" t="s">
        <v>63</v>
      </c>
      <c r="AF205" t="s">
        <v>63</v>
      </c>
      <c r="AG205" t="s">
        <v>1901</v>
      </c>
      <c r="AH205" t="s">
        <v>63</v>
      </c>
      <c r="AI205" t="s">
        <v>1902</v>
      </c>
      <c r="AJ205" t="s">
        <v>63</v>
      </c>
      <c r="AK205" t="s">
        <v>63</v>
      </c>
      <c r="AL205" t="s">
        <v>63</v>
      </c>
      <c r="AM205" t="s">
        <v>1903</v>
      </c>
      <c r="AN205" t="s">
        <v>63</v>
      </c>
      <c r="AO205" t="s">
        <v>63</v>
      </c>
      <c r="AP205" t="s">
        <v>63</v>
      </c>
      <c r="AQ205" t="s">
        <v>63</v>
      </c>
      <c r="AR205" t="s">
        <v>63</v>
      </c>
      <c r="AS205" t="s">
        <v>63</v>
      </c>
      <c r="AT205" t="s">
        <v>63</v>
      </c>
      <c r="AU205" t="s">
        <v>63</v>
      </c>
      <c r="AV205" t="s">
        <v>63</v>
      </c>
      <c r="AW205" t="s">
        <v>63</v>
      </c>
      <c r="AX205" t="s">
        <v>63</v>
      </c>
      <c r="AY205" t="s">
        <v>63</v>
      </c>
      <c r="AZ205" t="s">
        <v>63</v>
      </c>
      <c r="BA205" t="s">
        <v>63</v>
      </c>
      <c r="BB205" t="s">
        <v>63</v>
      </c>
      <c r="BC205" t="s">
        <v>63</v>
      </c>
      <c r="BD205" t="s">
        <v>63</v>
      </c>
      <c r="BE205" t="s">
        <v>63</v>
      </c>
      <c r="BF205" t="s">
        <v>63</v>
      </c>
    </row>
    <row r="206" spans="1:58">
      <c r="A206" t="s">
        <v>58</v>
      </c>
      <c r="B206" t="s">
        <v>1904</v>
      </c>
      <c r="C206" t="s">
        <v>1905</v>
      </c>
      <c r="D206" t="s">
        <v>690</v>
      </c>
      <c r="E206" t="s">
        <v>63</v>
      </c>
      <c r="F206">
        <v>2009</v>
      </c>
      <c r="G206" t="s">
        <v>63</v>
      </c>
      <c r="H206">
        <v>66</v>
      </c>
      <c r="I206">
        <v>10</v>
      </c>
      <c r="J206">
        <v>709</v>
      </c>
      <c r="K206">
        <v>713</v>
      </c>
      <c r="L206" t="s">
        <v>1906</v>
      </c>
      <c r="M206" t="s">
        <v>1907</v>
      </c>
      <c r="N206" t="s">
        <v>1908</v>
      </c>
      <c r="O206" t="s">
        <v>63</v>
      </c>
      <c r="Q206" t="s">
        <v>63</v>
      </c>
      <c r="R206" t="s">
        <v>63</v>
      </c>
      <c r="S206" t="s">
        <v>63</v>
      </c>
      <c r="T206" t="s">
        <v>63</v>
      </c>
      <c r="X206" t="s">
        <v>63</v>
      </c>
      <c r="Y206" t="s">
        <v>694</v>
      </c>
      <c r="Z206" t="s">
        <v>63</v>
      </c>
      <c r="AA206" t="s">
        <v>1909</v>
      </c>
      <c r="AB206">
        <v>20301917</v>
      </c>
      <c r="AC206" t="s">
        <v>696</v>
      </c>
      <c r="AD206" t="s">
        <v>63</v>
      </c>
      <c r="AE206" t="s">
        <v>63</v>
      </c>
      <c r="AF206" t="s">
        <v>63</v>
      </c>
      <c r="AG206" t="s">
        <v>1910</v>
      </c>
      <c r="AH206" t="s">
        <v>63</v>
      </c>
      <c r="AI206" t="s">
        <v>63</v>
      </c>
      <c r="AJ206" t="s">
        <v>63</v>
      </c>
      <c r="AK206" t="s">
        <v>63</v>
      </c>
      <c r="AL206" t="s">
        <v>63</v>
      </c>
      <c r="AM206" t="s">
        <v>1911</v>
      </c>
      <c r="AN206" t="s">
        <v>63</v>
      </c>
      <c r="AO206" t="s">
        <v>63</v>
      </c>
      <c r="AP206" t="s">
        <v>63</v>
      </c>
      <c r="AQ206" t="s">
        <v>63</v>
      </c>
      <c r="AR206" t="s">
        <v>63</v>
      </c>
      <c r="AS206" t="s">
        <v>63</v>
      </c>
      <c r="AT206" t="s">
        <v>63</v>
      </c>
      <c r="AU206" t="s">
        <v>63</v>
      </c>
      <c r="AV206" t="s">
        <v>63</v>
      </c>
      <c r="AW206" t="s">
        <v>63</v>
      </c>
      <c r="AX206" t="s">
        <v>63</v>
      </c>
      <c r="AY206" t="s">
        <v>63</v>
      </c>
      <c r="AZ206" t="s">
        <v>63</v>
      </c>
      <c r="BA206" t="s">
        <v>63</v>
      </c>
      <c r="BB206" t="s">
        <v>63</v>
      </c>
      <c r="BC206" t="s">
        <v>63</v>
      </c>
      <c r="BD206" t="s">
        <v>63</v>
      </c>
      <c r="BE206" t="s">
        <v>63</v>
      </c>
      <c r="BF206" t="s">
        <v>63</v>
      </c>
    </row>
    <row r="207" spans="1:58">
      <c r="A207" t="s">
        <v>58</v>
      </c>
      <c r="B207" t="s">
        <v>1912</v>
      </c>
      <c r="C207" t="s">
        <v>1913</v>
      </c>
      <c r="D207" t="s">
        <v>389</v>
      </c>
      <c r="E207" t="s">
        <v>63</v>
      </c>
      <c r="F207">
        <v>2014</v>
      </c>
      <c r="G207" t="s">
        <v>63</v>
      </c>
      <c r="H207">
        <v>35</v>
      </c>
      <c r="I207">
        <v>4</v>
      </c>
      <c r="J207">
        <v>442</v>
      </c>
      <c r="K207">
        <v>449</v>
      </c>
      <c r="L207" t="s">
        <v>1914</v>
      </c>
      <c r="M207" t="s">
        <v>1915</v>
      </c>
      <c r="N207" t="s">
        <v>1916</v>
      </c>
      <c r="O207" t="s">
        <v>63</v>
      </c>
      <c r="Q207" t="s">
        <v>63</v>
      </c>
      <c r="R207" t="s">
        <v>63</v>
      </c>
      <c r="S207" t="s">
        <v>63</v>
      </c>
      <c r="T207" t="s">
        <v>63</v>
      </c>
      <c r="X207" t="s">
        <v>63</v>
      </c>
      <c r="Y207" t="s">
        <v>556</v>
      </c>
      <c r="Z207" t="s">
        <v>63</v>
      </c>
      <c r="AA207" t="s">
        <v>1917</v>
      </c>
      <c r="AB207">
        <v>25148650</v>
      </c>
      <c r="AC207" t="s">
        <v>67</v>
      </c>
      <c r="AD207" t="s">
        <v>63</v>
      </c>
      <c r="AE207" t="s">
        <v>63</v>
      </c>
      <c r="AF207" t="s">
        <v>63</v>
      </c>
      <c r="AG207" t="s">
        <v>1918</v>
      </c>
      <c r="AH207" t="s">
        <v>63</v>
      </c>
      <c r="AI207" t="s">
        <v>1919</v>
      </c>
      <c r="AJ207" t="s">
        <v>63</v>
      </c>
      <c r="AK207" t="s">
        <v>63</v>
      </c>
      <c r="AL207" t="s">
        <v>63</v>
      </c>
      <c r="AM207" t="s">
        <v>1920</v>
      </c>
      <c r="AN207" t="s">
        <v>63</v>
      </c>
      <c r="AO207" t="s">
        <v>63</v>
      </c>
      <c r="AP207" t="s">
        <v>63</v>
      </c>
      <c r="AQ207" t="s">
        <v>63</v>
      </c>
      <c r="AR207" t="s">
        <v>63</v>
      </c>
      <c r="AS207" t="s">
        <v>63</v>
      </c>
      <c r="AT207" t="s">
        <v>63</v>
      </c>
      <c r="AU207" t="s">
        <v>63</v>
      </c>
      <c r="AV207" t="s">
        <v>63</v>
      </c>
      <c r="AW207" t="s">
        <v>63</v>
      </c>
      <c r="AX207" t="s">
        <v>63</v>
      </c>
      <c r="AY207" t="s">
        <v>63</v>
      </c>
      <c r="AZ207" t="s">
        <v>63</v>
      </c>
      <c r="BA207" t="s">
        <v>63</v>
      </c>
      <c r="BB207" t="s">
        <v>63</v>
      </c>
      <c r="BC207" t="s">
        <v>63</v>
      </c>
      <c r="BD207" t="s">
        <v>63</v>
      </c>
      <c r="BE207" t="s">
        <v>63</v>
      </c>
      <c r="BF207" t="s">
        <v>63</v>
      </c>
    </row>
    <row r="208" spans="1:58">
      <c r="A208" t="s">
        <v>58</v>
      </c>
      <c r="B208" t="s">
        <v>1921</v>
      </c>
      <c r="C208" t="s">
        <v>1922</v>
      </c>
      <c r="D208" t="s">
        <v>389</v>
      </c>
      <c r="E208" t="s">
        <v>63</v>
      </c>
      <c r="F208">
        <v>2012</v>
      </c>
      <c r="G208" t="s">
        <v>63</v>
      </c>
      <c r="H208">
        <v>33</v>
      </c>
      <c r="I208">
        <v>3</v>
      </c>
      <c r="J208">
        <v>231</v>
      </c>
      <c r="K208">
        <v>240</v>
      </c>
      <c r="L208" t="s">
        <v>1923</v>
      </c>
      <c r="M208" t="s">
        <v>1924</v>
      </c>
      <c r="N208" t="s">
        <v>1925</v>
      </c>
      <c r="O208" t="s">
        <v>63</v>
      </c>
      <c r="Q208" t="s">
        <v>63</v>
      </c>
      <c r="R208" t="s">
        <v>63</v>
      </c>
      <c r="S208" t="s">
        <v>63</v>
      </c>
      <c r="T208" t="s">
        <v>63</v>
      </c>
      <c r="X208" t="s">
        <v>63</v>
      </c>
      <c r="Y208" t="s">
        <v>556</v>
      </c>
      <c r="Z208" t="s">
        <v>63</v>
      </c>
      <c r="AA208" t="s">
        <v>1926</v>
      </c>
      <c r="AB208">
        <v>22738000</v>
      </c>
      <c r="AC208" t="s">
        <v>67</v>
      </c>
      <c r="AD208" t="s">
        <v>63</v>
      </c>
      <c r="AE208" t="s">
        <v>63</v>
      </c>
      <c r="AF208" t="s">
        <v>63</v>
      </c>
      <c r="AG208" t="s">
        <v>1927</v>
      </c>
      <c r="AH208" t="s">
        <v>63</v>
      </c>
      <c r="AI208" t="s">
        <v>1928</v>
      </c>
      <c r="AJ208" t="s">
        <v>63</v>
      </c>
      <c r="AK208" t="s">
        <v>63</v>
      </c>
      <c r="AL208" t="s">
        <v>63</v>
      </c>
      <c r="AM208" t="s">
        <v>1929</v>
      </c>
      <c r="AN208" t="s">
        <v>63</v>
      </c>
      <c r="AO208" t="s">
        <v>63</v>
      </c>
      <c r="AP208" t="s">
        <v>63</v>
      </c>
      <c r="AQ208" t="s">
        <v>63</v>
      </c>
      <c r="AR208" t="s">
        <v>63</v>
      </c>
      <c r="AS208" t="s">
        <v>63</v>
      </c>
      <c r="AT208" t="s">
        <v>63</v>
      </c>
      <c r="AU208" t="s">
        <v>63</v>
      </c>
      <c r="AV208" t="s">
        <v>63</v>
      </c>
      <c r="AW208" t="s">
        <v>63</v>
      </c>
      <c r="AX208" t="s">
        <v>63</v>
      </c>
      <c r="AY208" t="s">
        <v>63</v>
      </c>
      <c r="AZ208" t="s">
        <v>63</v>
      </c>
      <c r="BA208" t="s">
        <v>63</v>
      </c>
      <c r="BB208" t="s">
        <v>63</v>
      </c>
      <c r="BC208" t="s">
        <v>63</v>
      </c>
      <c r="BD208" t="s">
        <v>63</v>
      </c>
      <c r="BE208" t="s">
        <v>63</v>
      </c>
      <c r="BF208" t="s">
        <v>63</v>
      </c>
    </row>
    <row r="209" spans="1:58">
      <c r="A209" t="s">
        <v>58</v>
      </c>
      <c r="B209" t="s">
        <v>1930</v>
      </c>
      <c r="C209" t="s">
        <v>1931</v>
      </c>
      <c r="D209" t="s">
        <v>1932</v>
      </c>
      <c r="E209" t="s">
        <v>63</v>
      </c>
      <c r="F209">
        <v>2012</v>
      </c>
      <c r="G209" t="s">
        <v>63</v>
      </c>
      <c r="H209">
        <v>66</v>
      </c>
      <c r="I209">
        <v>4</v>
      </c>
      <c r="J209">
        <v>313</v>
      </c>
      <c r="K209">
        <v>332</v>
      </c>
      <c r="L209" t="s">
        <v>1933</v>
      </c>
      <c r="M209" t="s">
        <v>1934</v>
      </c>
      <c r="N209" t="s">
        <v>1935</v>
      </c>
      <c r="O209" t="s">
        <v>63</v>
      </c>
      <c r="Q209" t="s">
        <v>63</v>
      </c>
      <c r="R209" t="s">
        <v>63</v>
      </c>
      <c r="S209" t="s">
        <v>63</v>
      </c>
      <c r="T209" t="s">
        <v>63</v>
      </c>
      <c r="X209" t="s">
        <v>63</v>
      </c>
      <c r="Y209" t="s">
        <v>1936</v>
      </c>
      <c r="Z209" t="s">
        <v>63</v>
      </c>
      <c r="AA209" t="s">
        <v>1937</v>
      </c>
      <c r="AB209">
        <v>23785983</v>
      </c>
      <c r="AC209" t="s">
        <v>67</v>
      </c>
      <c r="AD209" t="s">
        <v>63</v>
      </c>
      <c r="AE209" t="s">
        <v>63</v>
      </c>
      <c r="AF209" t="s">
        <v>63</v>
      </c>
      <c r="AG209" t="s">
        <v>1938</v>
      </c>
      <c r="AH209" t="s">
        <v>63</v>
      </c>
      <c r="AI209" t="s">
        <v>63</v>
      </c>
      <c r="AJ209" t="s">
        <v>63</v>
      </c>
      <c r="AK209" t="s">
        <v>63</v>
      </c>
      <c r="AL209" t="s">
        <v>63</v>
      </c>
      <c r="AM209" t="s">
        <v>1939</v>
      </c>
      <c r="AN209" t="s">
        <v>63</v>
      </c>
      <c r="AO209" t="s">
        <v>63</v>
      </c>
      <c r="AP209" t="s">
        <v>63</v>
      </c>
      <c r="AQ209" t="s">
        <v>63</v>
      </c>
      <c r="AR209" t="s">
        <v>63</v>
      </c>
      <c r="AS209" t="s">
        <v>63</v>
      </c>
      <c r="AT209" t="s">
        <v>63</v>
      </c>
      <c r="AU209" t="s">
        <v>63</v>
      </c>
      <c r="AV209" t="s">
        <v>63</v>
      </c>
      <c r="AW209" t="s">
        <v>63</v>
      </c>
      <c r="AX209" t="s">
        <v>63</v>
      </c>
      <c r="AY209" t="s">
        <v>63</v>
      </c>
      <c r="AZ209" t="s">
        <v>63</v>
      </c>
      <c r="BA209" t="s">
        <v>63</v>
      </c>
      <c r="BB209" t="s">
        <v>63</v>
      </c>
      <c r="BC209" t="s">
        <v>63</v>
      </c>
      <c r="BD209" t="s">
        <v>63</v>
      </c>
      <c r="BE209" t="s">
        <v>63</v>
      </c>
      <c r="BF209" t="s">
        <v>63</v>
      </c>
    </row>
    <row r="210" spans="1:58">
      <c r="A210" t="s">
        <v>58</v>
      </c>
      <c r="B210" t="s">
        <v>1940</v>
      </c>
      <c r="C210" t="s">
        <v>1941</v>
      </c>
      <c r="D210" t="s">
        <v>1846</v>
      </c>
      <c r="E210" t="s">
        <v>1847</v>
      </c>
      <c r="F210">
        <v>1974</v>
      </c>
      <c r="G210" t="s">
        <v>138</v>
      </c>
      <c r="H210">
        <v>23</v>
      </c>
      <c r="I210">
        <v>10</v>
      </c>
      <c r="J210">
        <v>63</v>
      </c>
      <c r="K210">
        <v>67</v>
      </c>
      <c r="L210" t="s">
        <v>1942</v>
      </c>
      <c r="M210" t="s">
        <v>63</v>
      </c>
      <c r="N210" t="s">
        <v>1943</v>
      </c>
      <c r="O210" t="s">
        <v>63</v>
      </c>
      <c r="Q210" t="s">
        <v>63</v>
      </c>
      <c r="R210" t="s">
        <v>63</v>
      </c>
      <c r="S210" t="s">
        <v>63</v>
      </c>
      <c r="T210" t="s">
        <v>63</v>
      </c>
      <c r="X210" t="s">
        <v>63</v>
      </c>
      <c r="Y210" t="s">
        <v>1850</v>
      </c>
      <c r="Z210" t="s">
        <v>63</v>
      </c>
      <c r="AA210" t="s">
        <v>63</v>
      </c>
      <c r="AB210">
        <v>4449267</v>
      </c>
      <c r="AC210" t="s">
        <v>67</v>
      </c>
      <c r="AD210" t="s">
        <v>63</v>
      </c>
      <c r="AE210" t="s">
        <v>63</v>
      </c>
      <c r="AF210" t="s">
        <v>63</v>
      </c>
      <c r="AG210" t="s">
        <v>1944</v>
      </c>
      <c r="AH210" t="s">
        <v>63</v>
      </c>
      <c r="AI210" t="s">
        <v>63</v>
      </c>
      <c r="AJ210" t="s">
        <v>63</v>
      </c>
      <c r="AK210" t="s">
        <v>63</v>
      </c>
      <c r="AL210" t="s">
        <v>63</v>
      </c>
      <c r="AM210" t="s">
        <v>1945</v>
      </c>
      <c r="AN210" t="s">
        <v>63</v>
      </c>
      <c r="AO210" t="s">
        <v>63</v>
      </c>
      <c r="AP210" t="s">
        <v>63</v>
      </c>
      <c r="AQ210" t="s">
        <v>63</v>
      </c>
      <c r="AR210" t="s">
        <v>63</v>
      </c>
      <c r="AS210" t="s">
        <v>63</v>
      </c>
      <c r="AT210" t="s">
        <v>63</v>
      </c>
      <c r="AU210" t="s">
        <v>63</v>
      </c>
      <c r="AV210" t="s">
        <v>63</v>
      </c>
      <c r="AW210" t="s">
        <v>63</v>
      </c>
      <c r="AX210" t="s">
        <v>63</v>
      </c>
      <c r="AY210" t="s">
        <v>63</v>
      </c>
      <c r="AZ210" t="s">
        <v>63</v>
      </c>
      <c r="BA210" t="s">
        <v>63</v>
      </c>
      <c r="BB210" t="s">
        <v>63</v>
      </c>
      <c r="BC210" t="s">
        <v>63</v>
      </c>
      <c r="BD210" t="s">
        <v>63</v>
      </c>
      <c r="BE210" t="s">
        <v>63</v>
      </c>
      <c r="BF210" t="s">
        <v>63</v>
      </c>
    </row>
    <row r="211" spans="1:58">
      <c r="A211" t="s">
        <v>58</v>
      </c>
      <c r="B211" t="s">
        <v>1946</v>
      </c>
      <c r="C211" t="s">
        <v>1947</v>
      </c>
      <c r="D211" t="s">
        <v>1948</v>
      </c>
      <c r="E211" t="s">
        <v>1949</v>
      </c>
      <c r="F211">
        <v>2017</v>
      </c>
      <c r="G211" t="s">
        <v>198</v>
      </c>
      <c r="H211">
        <v>38</v>
      </c>
      <c r="I211">
        <v>1</v>
      </c>
      <c r="J211">
        <v>42</v>
      </c>
      <c r="K211">
        <v>60</v>
      </c>
      <c r="L211" t="s">
        <v>1950</v>
      </c>
      <c r="M211" t="s">
        <v>1951</v>
      </c>
      <c r="N211" t="s">
        <v>1952</v>
      </c>
      <c r="O211" t="s">
        <v>63</v>
      </c>
      <c r="Q211" t="s">
        <v>63</v>
      </c>
      <c r="R211" t="s">
        <v>63</v>
      </c>
      <c r="S211" t="s">
        <v>63</v>
      </c>
      <c r="T211" t="s">
        <v>63</v>
      </c>
      <c r="X211" t="s">
        <v>63</v>
      </c>
      <c r="Y211" t="s">
        <v>1953</v>
      </c>
      <c r="Z211" t="s">
        <v>63</v>
      </c>
      <c r="AA211" t="s">
        <v>1954</v>
      </c>
      <c r="AB211">
        <v>27960576</v>
      </c>
      <c r="AC211" t="s">
        <v>67</v>
      </c>
      <c r="AD211" t="s">
        <v>63</v>
      </c>
      <c r="AE211" t="s">
        <v>63</v>
      </c>
      <c r="AF211" t="s">
        <v>63</v>
      </c>
      <c r="AG211" t="s">
        <v>1955</v>
      </c>
      <c r="AH211" t="s">
        <v>63</v>
      </c>
      <c r="AI211" t="s">
        <v>1956</v>
      </c>
      <c r="AJ211" t="s">
        <v>63</v>
      </c>
      <c r="AK211" t="s">
        <v>63</v>
      </c>
      <c r="AL211" t="s">
        <v>63</v>
      </c>
      <c r="AM211" t="s">
        <v>1957</v>
      </c>
      <c r="AN211" t="s">
        <v>63</v>
      </c>
      <c r="AO211" t="s">
        <v>63</v>
      </c>
      <c r="AP211" t="s">
        <v>63</v>
      </c>
      <c r="AQ211" t="s">
        <v>63</v>
      </c>
      <c r="AR211" t="s">
        <v>63</v>
      </c>
      <c r="AS211" t="s">
        <v>63</v>
      </c>
      <c r="AT211" t="s">
        <v>63</v>
      </c>
      <c r="AU211" t="s">
        <v>63</v>
      </c>
      <c r="AV211" t="s">
        <v>63</v>
      </c>
      <c r="AW211" t="s">
        <v>63</v>
      </c>
      <c r="AX211" t="s">
        <v>63</v>
      </c>
      <c r="AY211" t="s">
        <v>63</v>
      </c>
      <c r="AZ211" t="s">
        <v>63</v>
      </c>
      <c r="BA211" t="s">
        <v>63</v>
      </c>
      <c r="BB211" t="s">
        <v>63</v>
      </c>
      <c r="BC211" t="s">
        <v>63</v>
      </c>
      <c r="BD211" t="s">
        <v>63</v>
      </c>
      <c r="BE211" t="s">
        <v>63</v>
      </c>
      <c r="BF211" t="s">
        <v>63</v>
      </c>
    </row>
    <row r="212" spans="1:58">
      <c r="A212" t="s">
        <v>58</v>
      </c>
      <c r="B212" t="s">
        <v>1958</v>
      </c>
      <c r="C212" t="s">
        <v>1959</v>
      </c>
      <c r="D212" t="s">
        <v>1960</v>
      </c>
      <c r="E212" t="s">
        <v>63</v>
      </c>
      <c r="F212">
        <v>2008</v>
      </c>
      <c r="G212" t="s">
        <v>63</v>
      </c>
      <c r="H212">
        <v>20</v>
      </c>
      <c r="I212">
        <v>1</v>
      </c>
      <c r="J212">
        <v>5</v>
      </c>
      <c r="K212">
        <v>13</v>
      </c>
      <c r="L212" t="s">
        <v>1961</v>
      </c>
      <c r="M212" t="s">
        <v>1962</v>
      </c>
      <c r="N212" t="s">
        <v>1963</v>
      </c>
      <c r="O212" t="s">
        <v>63</v>
      </c>
      <c r="Q212" t="s">
        <v>63</v>
      </c>
      <c r="R212" t="s">
        <v>63</v>
      </c>
      <c r="S212" t="s">
        <v>63</v>
      </c>
      <c r="T212" t="s">
        <v>63</v>
      </c>
      <c r="X212" t="s">
        <v>63</v>
      </c>
      <c r="Y212" t="s">
        <v>1964</v>
      </c>
      <c r="Z212" t="s">
        <v>63</v>
      </c>
      <c r="AA212" t="s">
        <v>63</v>
      </c>
      <c r="AB212">
        <v>18299776</v>
      </c>
      <c r="AC212" t="s">
        <v>1965</v>
      </c>
      <c r="AD212" t="s">
        <v>63</v>
      </c>
      <c r="AE212" t="s">
        <v>63</v>
      </c>
      <c r="AF212" t="s">
        <v>63</v>
      </c>
      <c r="AG212" t="s">
        <v>1966</v>
      </c>
      <c r="AH212" t="s">
        <v>63</v>
      </c>
      <c r="AI212" t="s">
        <v>63</v>
      </c>
      <c r="AJ212" t="s">
        <v>63</v>
      </c>
      <c r="AK212" t="s">
        <v>63</v>
      </c>
      <c r="AL212" t="s">
        <v>63</v>
      </c>
      <c r="AM212" t="s">
        <v>1967</v>
      </c>
      <c r="AN212" t="s">
        <v>63</v>
      </c>
      <c r="AO212" t="s">
        <v>63</v>
      </c>
      <c r="AP212" t="s">
        <v>63</v>
      </c>
      <c r="AQ212" t="s">
        <v>63</v>
      </c>
      <c r="AR212" t="s">
        <v>63</v>
      </c>
      <c r="AS212" t="s">
        <v>63</v>
      </c>
      <c r="AT212" t="s">
        <v>63</v>
      </c>
      <c r="AU212" t="s">
        <v>63</v>
      </c>
      <c r="AV212" t="s">
        <v>63</v>
      </c>
      <c r="AW212" t="s">
        <v>63</v>
      </c>
      <c r="AX212" t="s">
        <v>63</v>
      </c>
      <c r="AY212" t="s">
        <v>63</v>
      </c>
      <c r="AZ212" t="s">
        <v>63</v>
      </c>
      <c r="BA212" t="s">
        <v>63</v>
      </c>
      <c r="BB212" t="s">
        <v>63</v>
      </c>
      <c r="BC212" t="s">
        <v>63</v>
      </c>
      <c r="BD212" t="s">
        <v>63</v>
      </c>
      <c r="BE212" t="s">
        <v>63</v>
      </c>
      <c r="BF212" t="s">
        <v>63</v>
      </c>
    </row>
    <row r="213" spans="1:58">
      <c r="A213" t="s">
        <v>58</v>
      </c>
      <c r="B213" t="s">
        <v>1968</v>
      </c>
      <c r="C213" t="s">
        <v>1969</v>
      </c>
      <c r="D213" t="s">
        <v>1469</v>
      </c>
      <c r="E213" t="s">
        <v>1470</v>
      </c>
      <c r="F213">
        <v>1998</v>
      </c>
      <c r="G213" t="s">
        <v>274</v>
      </c>
      <c r="H213">
        <v>5</v>
      </c>
      <c r="I213">
        <v>3</v>
      </c>
      <c r="J213">
        <v>280</v>
      </c>
      <c r="K213">
        <v>281</v>
      </c>
      <c r="L213" t="s">
        <v>1970</v>
      </c>
      <c r="M213" t="s">
        <v>63</v>
      </c>
      <c r="N213" t="s">
        <v>1971</v>
      </c>
      <c r="O213" t="s">
        <v>63</v>
      </c>
      <c r="Q213" t="s">
        <v>63</v>
      </c>
      <c r="R213" t="s">
        <v>63</v>
      </c>
      <c r="S213" t="s">
        <v>63</v>
      </c>
      <c r="T213" t="s">
        <v>63</v>
      </c>
      <c r="X213" t="s">
        <v>63</v>
      </c>
      <c r="Y213" t="s">
        <v>1972</v>
      </c>
      <c r="Z213" t="s">
        <v>63</v>
      </c>
      <c r="AA213" t="s">
        <v>63</v>
      </c>
      <c r="AB213">
        <v>9523944</v>
      </c>
      <c r="AC213" t="s">
        <v>67</v>
      </c>
      <c r="AD213" t="s">
        <v>63</v>
      </c>
      <c r="AE213" t="s">
        <v>63</v>
      </c>
      <c r="AF213" t="s">
        <v>63</v>
      </c>
      <c r="AG213" t="s">
        <v>1973</v>
      </c>
      <c r="AH213" t="s">
        <v>63</v>
      </c>
      <c r="AI213" t="s">
        <v>63</v>
      </c>
      <c r="AJ213" t="s">
        <v>63</v>
      </c>
      <c r="AK213" t="s">
        <v>63</v>
      </c>
      <c r="AL213" t="s">
        <v>63</v>
      </c>
      <c r="AM213" t="s">
        <v>1974</v>
      </c>
      <c r="AN213" t="s">
        <v>63</v>
      </c>
      <c r="AO213" t="s">
        <v>63</v>
      </c>
      <c r="AP213" t="s">
        <v>63</v>
      </c>
      <c r="AQ213" t="s">
        <v>63</v>
      </c>
      <c r="AR213" t="s">
        <v>63</v>
      </c>
      <c r="AS213" t="s">
        <v>63</v>
      </c>
      <c r="AT213" t="s">
        <v>63</v>
      </c>
      <c r="AU213" t="s">
        <v>63</v>
      </c>
      <c r="AV213" t="s">
        <v>63</v>
      </c>
      <c r="AW213" t="s">
        <v>63</v>
      </c>
      <c r="AX213" t="s">
        <v>63</v>
      </c>
      <c r="AY213" t="s">
        <v>63</v>
      </c>
      <c r="AZ213" t="s">
        <v>63</v>
      </c>
      <c r="BA213" t="s">
        <v>63</v>
      </c>
      <c r="BB213" t="s">
        <v>63</v>
      </c>
      <c r="BC213" t="s">
        <v>63</v>
      </c>
      <c r="BD213" t="s">
        <v>63</v>
      </c>
      <c r="BE213" t="s">
        <v>63</v>
      </c>
      <c r="BF213" t="s">
        <v>63</v>
      </c>
    </row>
    <row r="214" spans="1:58">
      <c r="A214" t="s">
        <v>58</v>
      </c>
      <c r="B214" t="s">
        <v>1975</v>
      </c>
      <c r="C214" t="s">
        <v>1976</v>
      </c>
      <c r="D214" t="s">
        <v>212</v>
      </c>
      <c r="E214" t="s">
        <v>63</v>
      </c>
      <c r="F214">
        <v>2010</v>
      </c>
      <c r="G214" s="1">
        <v>41951</v>
      </c>
      <c r="H214">
        <v>182</v>
      </c>
      <c r="I214">
        <v>16</v>
      </c>
      <c r="J214">
        <v>1761</v>
      </c>
      <c r="K214" t="s">
        <v>63</v>
      </c>
      <c r="L214" t="s">
        <v>1977</v>
      </c>
      <c r="M214" t="s">
        <v>63</v>
      </c>
      <c r="N214" t="s">
        <v>1978</v>
      </c>
      <c r="O214" t="s">
        <v>63</v>
      </c>
      <c r="Q214" t="s">
        <v>63</v>
      </c>
      <c r="R214" t="s">
        <v>63</v>
      </c>
      <c r="S214" t="s">
        <v>63</v>
      </c>
      <c r="T214" t="s">
        <v>63</v>
      </c>
      <c r="X214" t="s">
        <v>63</v>
      </c>
      <c r="Y214" t="s">
        <v>1979</v>
      </c>
      <c r="Z214" t="s">
        <v>63</v>
      </c>
      <c r="AA214" t="s">
        <v>63</v>
      </c>
      <c r="AB214">
        <v>21059784</v>
      </c>
      <c r="AC214" t="s">
        <v>67</v>
      </c>
      <c r="AD214" t="s">
        <v>63</v>
      </c>
      <c r="AE214" t="s">
        <v>63</v>
      </c>
      <c r="AF214" t="s">
        <v>63</v>
      </c>
      <c r="AG214" t="s">
        <v>1980</v>
      </c>
      <c r="AH214" t="s">
        <v>63</v>
      </c>
      <c r="AI214" t="s">
        <v>1981</v>
      </c>
      <c r="AJ214" t="s">
        <v>63</v>
      </c>
      <c r="AK214" t="s">
        <v>63</v>
      </c>
      <c r="AL214" t="s">
        <v>63</v>
      </c>
      <c r="AM214" t="s">
        <v>1982</v>
      </c>
      <c r="AN214" t="s">
        <v>63</v>
      </c>
      <c r="AO214" t="s">
        <v>63</v>
      </c>
      <c r="AP214" t="s">
        <v>63</v>
      </c>
      <c r="AQ214" t="s">
        <v>63</v>
      </c>
      <c r="AR214" t="s">
        <v>63</v>
      </c>
      <c r="AS214" t="s">
        <v>63</v>
      </c>
      <c r="AT214" t="s">
        <v>63</v>
      </c>
      <c r="AU214" t="s">
        <v>63</v>
      </c>
      <c r="AV214" t="s">
        <v>63</v>
      </c>
      <c r="AW214" t="s">
        <v>63</v>
      </c>
      <c r="AX214" t="s">
        <v>63</v>
      </c>
      <c r="AY214" t="s">
        <v>63</v>
      </c>
      <c r="AZ214" t="s">
        <v>63</v>
      </c>
      <c r="BA214" t="s">
        <v>63</v>
      </c>
      <c r="BB214" t="s">
        <v>63</v>
      </c>
      <c r="BC214" t="s">
        <v>63</v>
      </c>
      <c r="BD214" t="s">
        <v>63</v>
      </c>
      <c r="BE214" t="s">
        <v>63</v>
      </c>
      <c r="BF214" t="s">
        <v>63</v>
      </c>
    </row>
    <row r="215" spans="1:58">
      <c r="A215" t="s">
        <v>58</v>
      </c>
      <c r="B215" t="s">
        <v>1983</v>
      </c>
      <c r="C215" t="s">
        <v>1984</v>
      </c>
      <c r="D215" t="s">
        <v>212</v>
      </c>
      <c r="E215" t="s">
        <v>63</v>
      </c>
      <c r="F215">
        <v>1990</v>
      </c>
      <c r="G215" s="1">
        <v>41957</v>
      </c>
      <c r="H215">
        <v>143</v>
      </c>
      <c r="I215">
        <v>10</v>
      </c>
      <c r="J215">
        <v>1076</v>
      </c>
      <c r="K215">
        <v>1082</v>
      </c>
      <c r="L215" t="s">
        <v>1985</v>
      </c>
      <c r="M215" t="s">
        <v>1986</v>
      </c>
      <c r="N215" t="s">
        <v>1987</v>
      </c>
      <c r="O215" t="s">
        <v>63</v>
      </c>
      <c r="Q215" t="s">
        <v>63</v>
      </c>
      <c r="R215" t="s">
        <v>63</v>
      </c>
      <c r="S215" t="s">
        <v>63</v>
      </c>
      <c r="T215" t="s">
        <v>63</v>
      </c>
      <c r="X215" t="s">
        <v>63</v>
      </c>
      <c r="Y215" t="s">
        <v>215</v>
      </c>
      <c r="Z215" t="s">
        <v>63</v>
      </c>
      <c r="AA215" t="s">
        <v>1988</v>
      </c>
      <c r="AB215">
        <v>2224676</v>
      </c>
      <c r="AC215" t="s">
        <v>67</v>
      </c>
      <c r="AD215" t="s">
        <v>63</v>
      </c>
      <c r="AE215" t="s">
        <v>63</v>
      </c>
      <c r="AF215" t="s">
        <v>63</v>
      </c>
      <c r="AG215" t="s">
        <v>1989</v>
      </c>
      <c r="AH215" t="s">
        <v>63</v>
      </c>
      <c r="AI215" t="s">
        <v>63</v>
      </c>
      <c r="AJ215" t="s">
        <v>63</v>
      </c>
      <c r="AK215" t="s">
        <v>63</v>
      </c>
      <c r="AL215" t="s">
        <v>63</v>
      </c>
      <c r="AM215" t="s">
        <v>1990</v>
      </c>
      <c r="AN215" t="s">
        <v>63</v>
      </c>
      <c r="AO215" t="s">
        <v>63</v>
      </c>
      <c r="AP215" t="s">
        <v>63</v>
      </c>
      <c r="AQ215" t="s">
        <v>63</v>
      </c>
      <c r="AR215" t="s">
        <v>63</v>
      </c>
      <c r="AS215" t="s">
        <v>63</v>
      </c>
      <c r="AT215" t="s">
        <v>63</v>
      </c>
      <c r="AU215" t="s">
        <v>63</v>
      </c>
      <c r="AV215" t="s">
        <v>63</v>
      </c>
      <c r="AW215" t="s">
        <v>63</v>
      </c>
      <c r="AX215" t="s">
        <v>63</v>
      </c>
      <c r="AY215" t="s">
        <v>63</v>
      </c>
      <c r="AZ215" t="s">
        <v>63</v>
      </c>
      <c r="BA215" t="s">
        <v>63</v>
      </c>
      <c r="BB215" t="s">
        <v>63</v>
      </c>
      <c r="BC215" t="s">
        <v>63</v>
      </c>
      <c r="BD215" t="s">
        <v>63</v>
      </c>
      <c r="BE215" t="s">
        <v>63</v>
      </c>
      <c r="BF215" t="s">
        <v>63</v>
      </c>
    </row>
    <row r="216" spans="1:58">
      <c r="A216" t="s">
        <v>58</v>
      </c>
      <c r="B216" t="s">
        <v>1991</v>
      </c>
      <c r="C216" t="s">
        <v>1992</v>
      </c>
      <c r="D216" t="s">
        <v>1993</v>
      </c>
      <c r="E216" t="s">
        <v>1994</v>
      </c>
      <c r="F216">
        <v>1973</v>
      </c>
      <c r="G216" t="s">
        <v>219</v>
      </c>
      <c r="H216">
        <v>56</v>
      </c>
      <c r="I216">
        <v>11</v>
      </c>
      <c r="J216">
        <v>960</v>
      </c>
      <c r="K216" t="s">
        <v>63</v>
      </c>
      <c r="L216" t="s">
        <v>1995</v>
      </c>
      <c r="M216" t="s">
        <v>63</v>
      </c>
      <c r="N216" t="s">
        <v>1996</v>
      </c>
      <c r="O216" t="s">
        <v>63</v>
      </c>
      <c r="Q216" t="s">
        <v>63</v>
      </c>
      <c r="R216" t="s">
        <v>63</v>
      </c>
      <c r="S216" t="s">
        <v>63</v>
      </c>
      <c r="T216" t="s">
        <v>63</v>
      </c>
      <c r="X216" t="s">
        <v>63</v>
      </c>
      <c r="Y216" t="s">
        <v>1997</v>
      </c>
      <c r="Z216" t="s">
        <v>63</v>
      </c>
      <c r="AA216" t="s">
        <v>63</v>
      </c>
      <c r="AB216">
        <v>4756982</v>
      </c>
      <c r="AC216" t="s">
        <v>67</v>
      </c>
      <c r="AD216" t="s">
        <v>63</v>
      </c>
      <c r="AE216" t="s">
        <v>63</v>
      </c>
      <c r="AF216" t="s">
        <v>63</v>
      </c>
      <c r="AG216" t="s">
        <v>1998</v>
      </c>
      <c r="AH216" t="s">
        <v>63</v>
      </c>
      <c r="AI216" t="s">
        <v>63</v>
      </c>
      <c r="AJ216" t="s">
        <v>63</v>
      </c>
      <c r="AK216" t="s">
        <v>63</v>
      </c>
      <c r="AL216" t="s">
        <v>63</v>
      </c>
      <c r="AM216" t="s">
        <v>1999</v>
      </c>
      <c r="AN216" t="s">
        <v>63</v>
      </c>
      <c r="AO216" t="s">
        <v>63</v>
      </c>
      <c r="AP216" t="s">
        <v>63</v>
      </c>
      <c r="AQ216" t="s">
        <v>63</v>
      </c>
      <c r="AR216" t="s">
        <v>63</v>
      </c>
      <c r="AS216" t="s">
        <v>63</v>
      </c>
      <c r="AT216" t="s">
        <v>63</v>
      </c>
      <c r="AU216" t="s">
        <v>63</v>
      </c>
      <c r="AV216" t="s">
        <v>63</v>
      </c>
      <c r="AW216" t="s">
        <v>63</v>
      </c>
      <c r="AX216" t="s">
        <v>63</v>
      </c>
      <c r="AY216" t="s">
        <v>63</v>
      </c>
      <c r="AZ216" t="s">
        <v>63</v>
      </c>
      <c r="BA216" t="s">
        <v>63</v>
      </c>
      <c r="BB216" t="s">
        <v>63</v>
      </c>
      <c r="BC216" t="s">
        <v>63</v>
      </c>
      <c r="BD216" t="s">
        <v>63</v>
      </c>
      <c r="BE216" t="s">
        <v>63</v>
      </c>
      <c r="BF216" t="s">
        <v>63</v>
      </c>
    </row>
    <row r="217" spans="1:58">
      <c r="A217" t="s">
        <v>58</v>
      </c>
      <c r="B217" t="s">
        <v>2000</v>
      </c>
      <c r="C217" t="s">
        <v>2001</v>
      </c>
      <c r="D217" t="s">
        <v>2002</v>
      </c>
      <c r="E217" t="s">
        <v>63</v>
      </c>
      <c r="F217">
        <v>2017</v>
      </c>
      <c r="G217" s="1">
        <v>41795</v>
      </c>
      <c r="H217">
        <v>19</v>
      </c>
      <c r="I217">
        <v>6</v>
      </c>
      <c r="J217" t="s">
        <v>2003</v>
      </c>
      <c r="K217" t="s">
        <v>63</v>
      </c>
      <c r="L217" t="s">
        <v>2004</v>
      </c>
      <c r="M217" t="s">
        <v>2005</v>
      </c>
      <c r="N217" t="s">
        <v>2006</v>
      </c>
      <c r="O217" t="s">
        <v>63</v>
      </c>
      <c r="Q217" t="s">
        <v>63</v>
      </c>
      <c r="R217" t="s">
        <v>63</v>
      </c>
      <c r="S217" t="s">
        <v>63</v>
      </c>
      <c r="T217" t="s">
        <v>63</v>
      </c>
      <c r="X217" t="s">
        <v>63</v>
      </c>
      <c r="Y217" t="s">
        <v>2007</v>
      </c>
      <c r="Z217" t="s">
        <v>63</v>
      </c>
      <c r="AA217" t="s">
        <v>2008</v>
      </c>
      <c r="AB217">
        <v>28588007</v>
      </c>
      <c r="AC217" t="s">
        <v>67</v>
      </c>
      <c r="AD217" t="s">
        <v>63</v>
      </c>
      <c r="AE217" t="s">
        <v>63</v>
      </c>
      <c r="AF217" t="s">
        <v>63</v>
      </c>
      <c r="AG217" t="s">
        <v>2009</v>
      </c>
      <c r="AH217" t="s">
        <v>63</v>
      </c>
      <c r="AI217" t="s">
        <v>2010</v>
      </c>
      <c r="AJ217" t="s">
        <v>63</v>
      </c>
      <c r="AK217" t="s">
        <v>63</v>
      </c>
      <c r="AL217" t="s">
        <v>63</v>
      </c>
      <c r="AM217" t="s">
        <v>2011</v>
      </c>
      <c r="AN217" t="s">
        <v>63</v>
      </c>
      <c r="AO217" t="s">
        <v>63</v>
      </c>
      <c r="AP217" t="s">
        <v>63</v>
      </c>
      <c r="AQ217" t="s">
        <v>63</v>
      </c>
      <c r="AR217" t="s">
        <v>63</v>
      </c>
      <c r="AS217" t="s">
        <v>63</v>
      </c>
      <c r="AT217" t="s">
        <v>63</v>
      </c>
      <c r="AU217" t="s">
        <v>63</v>
      </c>
      <c r="AV217" t="s">
        <v>63</v>
      </c>
      <c r="AW217" t="s">
        <v>63</v>
      </c>
      <c r="AX217" t="s">
        <v>63</v>
      </c>
      <c r="AY217" t="s">
        <v>63</v>
      </c>
      <c r="AZ217" t="s">
        <v>63</v>
      </c>
      <c r="BA217" t="s">
        <v>63</v>
      </c>
      <c r="BB217" t="s">
        <v>63</v>
      </c>
      <c r="BC217" t="s">
        <v>63</v>
      </c>
      <c r="BD217" t="s">
        <v>63</v>
      </c>
      <c r="BE217" t="s">
        <v>63</v>
      </c>
      <c r="BF217" t="s">
        <v>63</v>
      </c>
    </row>
    <row r="218" spans="1:58">
      <c r="A218" t="s">
        <v>58</v>
      </c>
      <c r="B218" t="s">
        <v>2012</v>
      </c>
      <c r="C218" t="s">
        <v>2013</v>
      </c>
      <c r="D218" t="s">
        <v>2014</v>
      </c>
      <c r="E218" t="s">
        <v>63</v>
      </c>
      <c r="F218">
        <v>2014</v>
      </c>
      <c r="G218" s="1">
        <v>41843</v>
      </c>
      <c r="H218">
        <v>4</v>
      </c>
      <c r="I218">
        <v>7</v>
      </c>
      <c r="J218" t="s">
        <v>2015</v>
      </c>
      <c r="K218" t="s">
        <v>63</v>
      </c>
      <c r="L218" t="s">
        <v>2016</v>
      </c>
      <c r="M218" t="s">
        <v>2017</v>
      </c>
      <c r="N218" t="s">
        <v>2018</v>
      </c>
      <c r="O218" t="s">
        <v>63</v>
      </c>
      <c r="Q218" t="s">
        <v>63</v>
      </c>
      <c r="R218" t="s">
        <v>63</v>
      </c>
      <c r="S218" t="s">
        <v>63</v>
      </c>
      <c r="T218" t="s">
        <v>63</v>
      </c>
      <c r="X218" t="s">
        <v>63</v>
      </c>
      <c r="Y218" t="s">
        <v>2019</v>
      </c>
      <c r="Z218" t="s">
        <v>63</v>
      </c>
      <c r="AA218" t="s">
        <v>2020</v>
      </c>
      <c r="AB218">
        <v>25059969</v>
      </c>
      <c r="AC218" t="s">
        <v>67</v>
      </c>
      <c r="AD218" t="s">
        <v>63</v>
      </c>
      <c r="AE218" t="s">
        <v>63</v>
      </c>
      <c r="AF218" t="s">
        <v>63</v>
      </c>
      <c r="AG218" t="s">
        <v>2021</v>
      </c>
      <c r="AH218" t="s">
        <v>63</v>
      </c>
      <c r="AI218" t="s">
        <v>2022</v>
      </c>
      <c r="AJ218" t="s">
        <v>63</v>
      </c>
      <c r="AK218" t="s">
        <v>63</v>
      </c>
      <c r="AL218" t="s">
        <v>63</v>
      </c>
      <c r="AM218" t="s">
        <v>2023</v>
      </c>
      <c r="AN218" t="s">
        <v>63</v>
      </c>
      <c r="AO218" t="s">
        <v>63</v>
      </c>
      <c r="AP218" t="s">
        <v>63</v>
      </c>
      <c r="AQ218" t="s">
        <v>63</v>
      </c>
      <c r="AR218" t="s">
        <v>63</v>
      </c>
      <c r="AS218" t="s">
        <v>63</v>
      </c>
      <c r="AT218" t="s">
        <v>63</v>
      </c>
      <c r="AU218" t="s">
        <v>63</v>
      </c>
      <c r="AV218" t="s">
        <v>63</v>
      </c>
      <c r="AW218" t="s">
        <v>63</v>
      </c>
      <c r="AX218" t="s">
        <v>63</v>
      </c>
      <c r="AY218" t="s">
        <v>63</v>
      </c>
      <c r="AZ218" t="s">
        <v>63</v>
      </c>
      <c r="BA218" t="s">
        <v>63</v>
      </c>
      <c r="BB218" t="s">
        <v>63</v>
      </c>
      <c r="BC218" t="s">
        <v>63</v>
      </c>
      <c r="BD218" t="s">
        <v>63</v>
      </c>
      <c r="BE218" t="s">
        <v>63</v>
      </c>
      <c r="BF218" t="s">
        <v>63</v>
      </c>
    </row>
    <row r="219" spans="1:58">
      <c r="A219" t="s">
        <v>58</v>
      </c>
      <c r="B219" t="s">
        <v>2024</v>
      </c>
      <c r="C219" t="s">
        <v>2025</v>
      </c>
      <c r="D219" t="s">
        <v>2014</v>
      </c>
      <c r="E219" t="s">
        <v>63</v>
      </c>
      <c r="F219">
        <v>2015</v>
      </c>
      <c r="G219" s="1">
        <v>41899</v>
      </c>
      <c r="H219">
        <v>5</v>
      </c>
      <c r="I219">
        <v>9</v>
      </c>
      <c r="J219" t="s">
        <v>2026</v>
      </c>
      <c r="K219" t="s">
        <v>63</v>
      </c>
      <c r="L219" t="s">
        <v>2027</v>
      </c>
      <c r="M219" t="s">
        <v>2028</v>
      </c>
      <c r="N219" t="s">
        <v>2029</v>
      </c>
      <c r="O219" t="s">
        <v>63</v>
      </c>
      <c r="Q219" t="s">
        <v>63</v>
      </c>
      <c r="R219" t="s">
        <v>63</v>
      </c>
      <c r="S219" t="s">
        <v>63</v>
      </c>
      <c r="T219" t="s">
        <v>63</v>
      </c>
      <c r="X219" t="s">
        <v>63</v>
      </c>
      <c r="Y219" t="s">
        <v>2019</v>
      </c>
      <c r="Z219" t="s">
        <v>63</v>
      </c>
      <c r="AA219" t="s">
        <v>2030</v>
      </c>
      <c r="AB219">
        <v>26384722</v>
      </c>
      <c r="AC219" t="s">
        <v>67</v>
      </c>
      <c r="AD219" t="s">
        <v>63</v>
      </c>
      <c r="AE219" t="s">
        <v>63</v>
      </c>
      <c r="AF219" t="s">
        <v>63</v>
      </c>
      <c r="AG219" t="s">
        <v>2031</v>
      </c>
      <c r="AH219" t="s">
        <v>63</v>
      </c>
      <c r="AI219" t="s">
        <v>2032</v>
      </c>
      <c r="AJ219" t="s">
        <v>63</v>
      </c>
      <c r="AK219" t="s">
        <v>63</v>
      </c>
      <c r="AL219" t="s">
        <v>63</v>
      </c>
      <c r="AM219" t="s">
        <v>2033</v>
      </c>
      <c r="AN219" t="s">
        <v>63</v>
      </c>
      <c r="AO219" t="s">
        <v>63</v>
      </c>
      <c r="AP219" t="s">
        <v>63</v>
      </c>
      <c r="AQ219" t="s">
        <v>63</v>
      </c>
      <c r="AR219" t="s">
        <v>63</v>
      </c>
      <c r="AS219" t="s">
        <v>63</v>
      </c>
      <c r="AT219" t="s">
        <v>63</v>
      </c>
      <c r="AU219" t="s">
        <v>63</v>
      </c>
      <c r="AV219" t="s">
        <v>63</v>
      </c>
      <c r="AW219" t="s">
        <v>63</v>
      </c>
      <c r="AX219" t="s">
        <v>63</v>
      </c>
      <c r="AY219" t="s">
        <v>63</v>
      </c>
      <c r="AZ219" t="s">
        <v>63</v>
      </c>
      <c r="BA219" t="s">
        <v>63</v>
      </c>
      <c r="BB219" t="s">
        <v>63</v>
      </c>
      <c r="BC219" t="s">
        <v>63</v>
      </c>
      <c r="BD219" t="s">
        <v>63</v>
      </c>
      <c r="BE219" t="s">
        <v>63</v>
      </c>
      <c r="BF219" t="s">
        <v>63</v>
      </c>
    </row>
    <row r="220" spans="1:58">
      <c r="A220" t="s">
        <v>58</v>
      </c>
      <c r="B220" t="s">
        <v>2034</v>
      </c>
      <c r="C220" t="s">
        <v>2035</v>
      </c>
      <c r="D220" t="s">
        <v>2036</v>
      </c>
      <c r="E220" t="s">
        <v>63</v>
      </c>
      <c r="F220">
        <v>2018</v>
      </c>
      <c r="G220" t="s">
        <v>2037</v>
      </c>
      <c r="H220">
        <v>185</v>
      </c>
      <c r="I220" t="s">
        <v>63</v>
      </c>
      <c r="J220">
        <v>189</v>
      </c>
      <c r="K220">
        <v>191</v>
      </c>
      <c r="L220" t="s">
        <v>63</v>
      </c>
      <c r="M220" t="s">
        <v>2038</v>
      </c>
      <c r="N220" t="s">
        <v>2039</v>
      </c>
      <c r="O220" t="s">
        <v>63</v>
      </c>
      <c r="Q220" t="s">
        <v>63</v>
      </c>
      <c r="R220" t="s">
        <v>63</v>
      </c>
      <c r="S220" t="s">
        <v>63</v>
      </c>
      <c r="T220" t="s">
        <v>63</v>
      </c>
      <c r="X220" t="s">
        <v>63</v>
      </c>
      <c r="Y220" t="s">
        <v>2040</v>
      </c>
      <c r="Z220" t="s">
        <v>63</v>
      </c>
      <c r="AA220" t="s">
        <v>2041</v>
      </c>
      <c r="AB220">
        <v>29459328</v>
      </c>
      <c r="AC220" t="s">
        <v>67</v>
      </c>
      <c r="AD220" t="s">
        <v>63</v>
      </c>
      <c r="AE220" t="s">
        <v>63</v>
      </c>
      <c r="AF220" t="s">
        <v>63</v>
      </c>
      <c r="AG220" t="s">
        <v>2042</v>
      </c>
      <c r="AH220" t="s">
        <v>63</v>
      </c>
      <c r="AI220" t="s">
        <v>2043</v>
      </c>
      <c r="AJ220" t="s">
        <v>63</v>
      </c>
      <c r="AK220" t="s">
        <v>63</v>
      </c>
      <c r="AL220" t="s">
        <v>63</v>
      </c>
      <c r="AM220" t="s">
        <v>2044</v>
      </c>
      <c r="AN220" t="s">
        <v>63</v>
      </c>
      <c r="AO220" t="s">
        <v>63</v>
      </c>
      <c r="AP220" t="s">
        <v>63</v>
      </c>
      <c r="AQ220" t="s">
        <v>63</v>
      </c>
      <c r="AR220" t="s">
        <v>63</v>
      </c>
      <c r="AS220" t="s">
        <v>63</v>
      </c>
      <c r="AT220" t="s">
        <v>63</v>
      </c>
      <c r="AU220" t="s">
        <v>63</v>
      </c>
      <c r="AV220" t="s">
        <v>63</v>
      </c>
      <c r="AW220" t="s">
        <v>63</v>
      </c>
      <c r="AX220" t="s">
        <v>63</v>
      </c>
      <c r="AY220" t="s">
        <v>63</v>
      </c>
      <c r="AZ220" t="s">
        <v>63</v>
      </c>
      <c r="BA220" t="s">
        <v>63</v>
      </c>
      <c r="BB220" t="s">
        <v>63</v>
      </c>
      <c r="BC220" t="s">
        <v>63</v>
      </c>
      <c r="BD220" t="s">
        <v>63</v>
      </c>
      <c r="BE220" t="s">
        <v>63</v>
      </c>
      <c r="BF220" t="s">
        <v>63</v>
      </c>
    </row>
    <row r="221" spans="1:58">
      <c r="A221" t="s">
        <v>58</v>
      </c>
      <c r="B221" t="s">
        <v>2045</v>
      </c>
      <c r="C221" t="s">
        <v>2046</v>
      </c>
      <c r="D221" t="s">
        <v>2047</v>
      </c>
      <c r="E221" t="s">
        <v>63</v>
      </c>
      <c r="F221">
        <v>2001</v>
      </c>
      <c r="G221" s="1">
        <v>41820</v>
      </c>
      <c r="H221">
        <v>164</v>
      </c>
      <c r="I221">
        <v>1</v>
      </c>
      <c r="J221">
        <v>13</v>
      </c>
      <c r="K221">
        <v>15</v>
      </c>
      <c r="L221" t="s">
        <v>2048</v>
      </c>
      <c r="M221" t="s">
        <v>63</v>
      </c>
      <c r="N221" t="s">
        <v>2049</v>
      </c>
      <c r="O221" t="s">
        <v>63</v>
      </c>
      <c r="Q221" t="s">
        <v>63</v>
      </c>
      <c r="R221" t="s">
        <v>63</v>
      </c>
      <c r="S221" t="s">
        <v>63</v>
      </c>
      <c r="T221" t="s">
        <v>63</v>
      </c>
      <c r="X221" t="s">
        <v>63</v>
      </c>
      <c r="Y221" t="s">
        <v>2050</v>
      </c>
      <c r="Z221" t="s">
        <v>63</v>
      </c>
      <c r="AA221" t="s">
        <v>2051</v>
      </c>
      <c r="AB221">
        <v>11435233</v>
      </c>
      <c r="AC221" t="s">
        <v>67</v>
      </c>
      <c r="AD221" t="s">
        <v>63</v>
      </c>
      <c r="AE221" t="s">
        <v>63</v>
      </c>
      <c r="AF221" t="s">
        <v>63</v>
      </c>
      <c r="AG221" t="s">
        <v>2052</v>
      </c>
      <c r="AH221" t="s">
        <v>63</v>
      </c>
      <c r="AI221" t="s">
        <v>63</v>
      </c>
      <c r="AJ221" t="s">
        <v>63</v>
      </c>
      <c r="AK221" t="s">
        <v>63</v>
      </c>
      <c r="AL221" t="s">
        <v>63</v>
      </c>
      <c r="AM221" t="s">
        <v>2053</v>
      </c>
      <c r="AN221" t="s">
        <v>63</v>
      </c>
      <c r="AO221" t="s">
        <v>63</v>
      </c>
      <c r="AP221" t="s">
        <v>63</v>
      </c>
      <c r="AQ221" t="s">
        <v>63</v>
      </c>
      <c r="AR221" t="s">
        <v>63</v>
      </c>
      <c r="AS221" t="s">
        <v>63</v>
      </c>
      <c r="AT221" t="s">
        <v>63</v>
      </c>
      <c r="AU221" t="s">
        <v>63</v>
      </c>
      <c r="AV221" t="s">
        <v>63</v>
      </c>
      <c r="AW221" t="s">
        <v>63</v>
      </c>
      <c r="AX221" t="s">
        <v>63</v>
      </c>
      <c r="AY221" t="s">
        <v>63</v>
      </c>
      <c r="AZ221" t="s">
        <v>63</v>
      </c>
      <c r="BA221" t="s">
        <v>63</v>
      </c>
      <c r="BB221" t="s">
        <v>63</v>
      </c>
      <c r="BC221" t="s">
        <v>63</v>
      </c>
      <c r="BD221" t="s">
        <v>63</v>
      </c>
      <c r="BE221" t="s">
        <v>63</v>
      </c>
      <c r="BF221" t="s">
        <v>63</v>
      </c>
    </row>
    <row r="222" spans="1:58">
      <c r="A222" t="s">
        <v>58</v>
      </c>
      <c r="B222" t="s">
        <v>2054</v>
      </c>
      <c r="C222" t="s">
        <v>2055</v>
      </c>
      <c r="D222" t="s">
        <v>1417</v>
      </c>
      <c r="E222" t="s">
        <v>63</v>
      </c>
      <c r="F222">
        <v>2009</v>
      </c>
      <c r="G222" t="s">
        <v>326</v>
      </c>
      <c r="H222">
        <v>108</v>
      </c>
      <c r="I222">
        <v>2</v>
      </c>
      <c r="J222" t="s">
        <v>2056</v>
      </c>
      <c r="K222">
        <v>7</v>
      </c>
      <c r="L222" t="s">
        <v>2057</v>
      </c>
      <c r="M222" t="s">
        <v>63</v>
      </c>
      <c r="N222" t="s">
        <v>2058</v>
      </c>
      <c r="O222" t="s">
        <v>63</v>
      </c>
      <c r="Q222" t="s">
        <v>63</v>
      </c>
      <c r="R222" t="s">
        <v>63</v>
      </c>
      <c r="S222" t="s">
        <v>63</v>
      </c>
      <c r="T222" t="s">
        <v>63</v>
      </c>
      <c r="X222" t="s">
        <v>63</v>
      </c>
      <c r="Y222" t="s">
        <v>1420</v>
      </c>
      <c r="Z222" t="s">
        <v>63</v>
      </c>
      <c r="AA222" t="s">
        <v>63</v>
      </c>
      <c r="AB222">
        <v>19151314</v>
      </c>
      <c r="AC222" t="s">
        <v>67</v>
      </c>
      <c r="AD222" t="s">
        <v>63</v>
      </c>
      <c r="AE222" t="s">
        <v>63</v>
      </c>
      <c r="AF222" t="s">
        <v>63</v>
      </c>
      <c r="AG222" t="s">
        <v>2059</v>
      </c>
      <c r="AH222" t="s">
        <v>63</v>
      </c>
      <c r="AI222" t="s">
        <v>2060</v>
      </c>
      <c r="AJ222" t="s">
        <v>63</v>
      </c>
      <c r="AK222" t="s">
        <v>63</v>
      </c>
      <c r="AL222" t="s">
        <v>63</v>
      </c>
      <c r="AM222" t="s">
        <v>2061</v>
      </c>
      <c r="AN222" t="s">
        <v>63</v>
      </c>
      <c r="AO222" t="s">
        <v>63</v>
      </c>
      <c r="AP222" t="s">
        <v>63</v>
      </c>
      <c r="AQ222" t="s">
        <v>63</v>
      </c>
      <c r="AR222" t="s">
        <v>63</v>
      </c>
      <c r="AS222" t="s">
        <v>63</v>
      </c>
      <c r="AT222" t="s">
        <v>63</v>
      </c>
      <c r="AU222" t="s">
        <v>63</v>
      </c>
      <c r="AV222" t="s">
        <v>63</v>
      </c>
      <c r="AW222" t="s">
        <v>63</v>
      </c>
      <c r="AX222" t="s">
        <v>63</v>
      </c>
      <c r="AY222" t="s">
        <v>63</v>
      </c>
      <c r="AZ222" t="s">
        <v>63</v>
      </c>
      <c r="BA222" t="s">
        <v>63</v>
      </c>
      <c r="BB222" t="s">
        <v>63</v>
      </c>
      <c r="BC222" t="s">
        <v>63</v>
      </c>
      <c r="BD222" t="s">
        <v>63</v>
      </c>
      <c r="BE222" t="s">
        <v>63</v>
      </c>
      <c r="BF222" t="s">
        <v>63</v>
      </c>
    </row>
    <row r="223" spans="1:58">
      <c r="A223" t="s">
        <v>58</v>
      </c>
      <c r="B223" t="s">
        <v>2062</v>
      </c>
      <c r="C223" t="s">
        <v>2063</v>
      </c>
      <c r="D223" t="s">
        <v>2064</v>
      </c>
      <c r="E223" t="s">
        <v>2065</v>
      </c>
      <c r="F223">
        <v>2015</v>
      </c>
      <c r="G223" t="s">
        <v>138</v>
      </c>
      <c r="H223">
        <v>49</v>
      </c>
      <c r="I223">
        <v>4</v>
      </c>
      <c r="J223">
        <v>400</v>
      </c>
      <c r="K223">
        <v>407</v>
      </c>
      <c r="L223" t="s">
        <v>2066</v>
      </c>
      <c r="M223" t="s">
        <v>2067</v>
      </c>
      <c r="N223" t="s">
        <v>2068</v>
      </c>
      <c r="O223" t="s">
        <v>63</v>
      </c>
      <c r="Q223" t="s">
        <v>63</v>
      </c>
      <c r="R223" t="s">
        <v>63</v>
      </c>
      <c r="S223" t="s">
        <v>63</v>
      </c>
      <c r="T223" t="s">
        <v>63</v>
      </c>
      <c r="X223" t="s">
        <v>63</v>
      </c>
      <c r="Y223" t="s">
        <v>2069</v>
      </c>
      <c r="Z223" t="s">
        <v>63</v>
      </c>
      <c r="AA223" t="s">
        <v>2070</v>
      </c>
      <c r="AB223">
        <v>26234716</v>
      </c>
      <c r="AC223" t="s">
        <v>67</v>
      </c>
      <c r="AD223" t="s">
        <v>63</v>
      </c>
      <c r="AE223" t="s">
        <v>63</v>
      </c>
      <c r="AF223" t="s">
        <v>63</v>
      </c>
      <c r="AG223" t="s">
        <v>2071</v>
      </c>
      <c r="AH223" t="s">
        <v>63</v>
      </c>
      <c r="AI223" t="s">
        <v>2072</v>
      </c>
      <c r="AJ223" t="s">
        <v>63</v>
      </c>
      <c r="AK223" t="s">
        <v>63</v>
      </c>
      <c r="AL223" t="s">
        <v>63</v>
      </c>
      <c r="AM223" t="s">
        <v>2073</v>
      </c>
      <c r="AN223" t="s">
        <v>63</v>
      </c>
      <c r="AO223" t="s">
        <v>63</v>
      </c>
      <c r="AP223" t="s">
        <v>63</v>
      </c>
      <c r="AQ223" t="s">
        <v>63</v>
      </c>
      <c r="AR223" t="s">
        <v>63</v>
      </c>
      <c r="AS223" t="s">
        <v>63</v>
      </c>
      <c r="AT223" t="s">
        <v>63</v>
      </c>
      <c r="AU223" t="s">
        <v>63</v>
      </c>
      <c r="AV223" t="s">
        <v>63</v>
      </c>
      <c r="AW223" t="s">
        <v>63</v>
      </c>
      <c r="AX223" t="s">
        <v>63</v>
      </c>
      <c r="AY223" t="s">
        <v>63</v>
      </c>
      <c r="AZ223" t="s">
        <v>63</v>
      </c>
      <c r="BA223" t="s">
        <v>63</v>
      </c>
      <c r="BB223" t="s">
        <v>63</v>
      </c>
      <c r="BC223" t="s">
        <v>63</v>
      </c>
      <c r="BD223" t="s">
        <v>63</v>
      </c>
      <c r="BE223" t="s">
        <v>63</v>
      </c>
      <c r="BF223" t="s">
        <v>63</v>
      </c>
    </row>
    <row r="224" spans="1:58">
      <c r="A224" t="s">
        <v>58</v>
      </c>
      <c r="B224" t="s">
        <v>2074</v>
      </c>
      <c r="C224" t="s">
        <v>2075</v>
      </c>
      <c r="D224" t="s">
        <v>1055</v>
      </c>
      <c r="E224" t="s">
        <v>1056</v>
      </c>
      <c r="F224">
        <v>1981</v>
      </c>
      <c r="G224" t="s">
        <v>181</v>
      </c>
      <c r="H224">
        <v>15</v>
      </c>
      <c r="I224">
        <v>5</v>
      </c>
      <c r="J224">
        <v>335</v>
      </c>
      <c r="K224">
        <v>339</v>
      </c>
      <c r="L224" t="s">
        <v>2076</v>
      </c>
      <c r="M224" t="s">
        <v>2077</v>
      </c>
      <c r="N224" t="s">
        <v>2078</v>
      </c>
      <c r="O224" t="s">
        <v>63</v>
      </c>
      <c r="Q224" t="s">
        <v>63</v>
      </c>
      <c r="R224" t="s">
        <v>63</v>
      </c>
      <c r="S224" t="s">
        <v>63</v>
      </c>
      <c r="T224" t="s">
        <v>63</v>
      </c>
      <c r="X224" t="s">
        <v>63</v>
      </c>
      <c r="Y224" t="s">
        <v>1059</v>
      </c>
      <c r="Z224" t="s">
        <v>63</v>
      </c>
      <c r="AA224" t="s">
        <v>63</v>
      </c>
      <c r="AB224">
        <v>7266399</v>
      </c>
      <c r="AC224" t="s">
        <v>67</v>
      </c>
      <c r="AD224" t="s">
        <v>63</v>
      </c>
      <c r="AE224" t="s">
        <v>63</v>
      </c>
      <c r="AF224" t="s">
        <v>63</v>
      </c>
      <c r="AG224" t="s">
        <v>2079</v>
      </c>
      <c r="AH224" t="s">
        <v>63</v>
      </c>
      <c r="AI224" t="s">
        <v>63</v>
      </c>
      <c r="AJ224" t="s">
        <v>63</v>
      </c>
      <c r="AK224" t="s">
        <v>63</v>
      </c>
      <c r="AL224" t="s">
        <v>63</v>
      </c>
      <c r="AM224" t="s">
        <v>2080</v>
      </c>
      <c r="AN224" t="s">
        <v>63</v>
      </c>
      <c r="AO224" t="s">
        <v>63</v>
      </c>
      <c r="AP224" t="s">
        <v>63</v>
      </c>
      <c r="AQ224" t="s">
        <v>63</v>
      </c>
      <c r="AR224" t="s">
        <v>63</v>
      </c>
      <c r="AS224" t="s">
        <v>63</v>
      </c>
      <c r="AT224" t="s">
        <v>63</v>
      </c>
      <c r="AU224" t="s">
        <v>63</v>
      </c>
      <c r="AV224" t="s">
        <v>63</v>
      </c>
      <c r="AW224" t="s">
        <v>63</v>
      </c>
      <c r="AX224" t="s">
        <v>63</v>
      </c>
      <c r="AY224" t="s">
        <v>63</v>
      </c>
      <c r="AZ224" t="s">
        <v>63</v>
      </c>
      <c r="BA224" t="s">
        <v>63</v>
      </c>
      <c r="BB224" t="s">
        <v>63</v>
      </c>
      <c r="BC224" t="s">
        <v>63</v>
      </c>
      <c r="BD224" t="s">
        <v>63</v>
      </c>
      <c r="BE224" t="s">
        <v>63</v>
      </c>
      <c r="BF224" t="s">
        <v>63</v>
      </c>
    </row>
    <row r="225" spans="1:58">
      <c r="A225" t="s">
        <v>58</v>
      </c>
      <c r="B225" t="s">
        <v>2081</v>
      </c>
      <c r="C225" t="s">
        <v>2082</v>
      </c>
      <c r="D225" t="s">
        <v>2083</v>
      </c>
      <c r="E225" t="s">
        <v>63</v>
      </c>
      <c r="F225">
        <v>2007</v>
      </c>
      <c r="G225" t="s">
        <v>147</v>
      </c>
      <c r="H225">
        <v>7</v>
      </c>
      <c r="I225">
        <v>2</v>
      </c>
      <c r="J225">
        <v>187</v>
      </c>
      <c r="K225">
        <v>191</v>
      </c>
      <c r="L225" t="s">
        <v>2084</v>
      </c>
      <c r="M225" t="s">
        <v>2085</v>
      </c>
      <c r="N225" t="s">
        <v>2086</v>
      </c>
      <c r="O225" t="s">
        <v>63</v>
      </c>
      <c r="Q225" t="s">
        <v>63</v>
      </c>
      <c r="R225" t="s">
        <v>63</v>
      </c>
      <c r="S225" t="s">
        <v>63</v>
      </c>
      <c r="T225" t="s">
        <v>63</v>
      </c>
      <c r="X225" t="s">
        <v>63</v>
      </c>
      <c r="Y225" t="s">
        <v>2087</v>
      </c>
      <c r="Z225" t="s">
        <v>63</v>
      </c>
      <c r="AA225" t="s">
        <v>2088</v>
      </c>
      <c r="AB225">
        <v>17368415</v>
      </c>
      <c r="AC225" t="s">
        <v>67</v>
      </c>
      <c r="AD225" t="s">
        <v>63</v>
      </c>
      <c r="AE225" t="s">
        <v>63</v>
      </c>
      <c r="AF225" t="s">
        <v>63</v>
      </c>
      <c r="AG225" t="s">
        <v>2089</v>
      </c>
      <c r="AH225" t="s">
        <v>63</v>
      </c>
      <c r="AI225" t="s">
        <v>63</v>
      </c>
      <c r="AJ225" t="s">
        <v>63</v>
      </c>
      <c r="AK225" t="s">
        <v>63</v>
      </c>
      <c r="AL225" t="s">
        <v>63</v>
      </c>
      <c r="AM225" t="s">
        <v>2090</v>
      </c>
      <c r="AN225" t="s">
        <v>63</v>
      </c>
      <c r="AO225" t="s">
        <v>63</v>
      </c>
      <c r="AP225" t="s">
        <v>63</v>
      </c>
      <c r="AQ225" t="s">
        <v>63</v>
      </c>
      <c r="AR225" t="s">
        <v>63</v>
      </c>
      <c r="AS225" t="s">
        <v>63</v>
      </c>
      <c r="AT225" t="s">
        <v>63</v>
      </c>
      <c r="AU225" t="s">
        <v>63</v>
      </c>
      <c r="AV225" t="s">
        <v>63</v>
      </c>
      <c r="AW225" t="s">
        <v>63</v>
      </c>
      <c r="AX225" t="s">
        <v>63</v>
      </c>
      <c r="AY225" t="s">
        <v>63</v>
      </c>
      <c r="AZ225" t="s">
        <v>63</v>
      </c>
      <c r="BA225" t="s">
        <v>63</v>
      </c>
      <c r="BB225" t="s">
        <v>63</v>
      </c>
      <c r="BC225" t="s">
        <v>63</v>
      </c>
      <c r="BD225" t="s">
        <v>63</v>
      </c>
      <c r="BE225" t="s">
        <v>63</v>
      </c>
      <c r="BF225" t="s">
        <v>63</v>
      </c>
    </row>
    <row r="226" spans="1:58">
      <c r="A226" t="s">
        <v>58</v>
      </c>
      <c r="B226" t="s">
        <v>2091</v>
      </c>
      <c r="C226" t="s">
        <v>2092</v>
      </c>
      <c r="D226" t="s">
        <v>2093</v>
      </c>
      <c r="E226" t="s">
        <v>63</v>
      </c>
      <c r="F226">
        <v>2013</v>
      </c>
      <c r="G226" t="s">
        <v>274</v>
      </c>
      <c r="H226">
        <v>106</v>
      </c>
      <c r="I226">
        <v>3</v>
      </c>
      <c r="J226">
        <v>31</v>
      </c>
      <c r="K226">
        <v>33</v>
      </c>
      <c r="L226" t="s">
        <v>2094</v>
      </c>
      <c r="M226" t="s">
        <v>2095</v>
      </c>
      <c r="N226" t="s">
        <v>2096</v>
      </c>
      <c r="O226" t="s">
        <v>63</v>
      </c>
      <c r="Q226" t="s">
        <v>63</v>
      </c>
      <c r="R226" t="s">
        <v>63</v>
      </c>
      <c r="S226" t="s">
        <v>63</v>
      </c>
      <c r="T226" t="s">
        <v>63</v>
      </c>
      <c r="X226" t="s">
        <v>63</v>
      </c>
      <c r="Y226" t="s">
        <v>2097</v>
      </c>
      <c r="Z226" t="s">
        <v>63</v>
      </c>
      <c r="AA226" t="s">
        <v>2098</v>
      </c>
      <c r="AB226">
        <v>23544288</v>
      </c>
      <c r="AC226" t="s">
        <v>67</v>
      </c>
      <c r="AD226" t="s">
        <v>63</v>
      </c>
      <c r="AE226" t="s">
        <v>63</v>
      </c>
      <c r="AF226" t="s">
        <v>63</v>
      </c>
      <c r="AG226" t="s">
        <v>2099</v>
      </c>
      <c r="AH226" t="s">
        <v>63</v>
      </c>
      <c r="AI226" t="s">
        <v>63</v>
      </c>
      <c r="AJ226" t="s">
        <v>63</v>
      </c>
      <c r="AK226" t="s">
        <v>63</v>
      </c>
      <c r="AL226" t="s">
        <v>63</v>
      </c>
      <c r="AM226" t="s">
        <v>2100</v>
      </c>
      <c r="AN226" t="s">
        <v>63</v>
      </c>
      <c r="AO226" t="s">
        <v>63</v>
      </c>
      <c r="AP226" t="s">
        <v>63</v>
      </c>
      <c r="AQ226" t="s">
        <v>63</v>
      </c>
      <c r="AR226" t="s">
        <v>63</v>
      </c>
      <c r="AS226" t="s">
        <v>63</v>
      </c>
      <c r="AT226" t="s">
        <v>63</v>
      </c>
      <c r="AU226" t="s">
        <v>63</v>
      </c>
      <c r="AV226" t="s">
        <v>63</v>
      </c>
      <c r="AW226" t="s">
        <v>63</v>
      </c>
      <c r="AX226" t="s">
        <v>63</v>
      </c>
      <c r="AY226" t="s">
        <v>63</v>
      </c>
      <c r="AZ226" t="s">
        <v>63</v>
      </c>
      <c r="BA226" t="s">
        <v>63</v>
      </c>
      <c r="BB226" t="s">
        <v>63</v>
      </c>
      <c r="BC226" t="s">
        <v>63</v>
      </c>
      <c r="BD226" t="s">
        <v>63</v>
      </c>
      <c r="BE226" t="s">
        <v>63</v>
      </c>
      <c r="BF226" t="s">
        <v>63</v>
      </c>
    </row>
    <row r="227" spans="1:58">
      <c r="A227" t="s">
        <v>58</v>
      </c>
      <c r="B227" t="s">
        <v>2101</v>
      </c>
      <c r="C227" t="s">
        <v>2102</v>
      </c>
      <c r="D227" t="s">
        <v>1728</v>
      </c>
      <c r="E227" t="s">
        <v>1729</v>
      </c>
      <c r="F227">
        <v>2012</v>
      </c>
      <c r="G227" t="s">
        <v>1528</v>
      </c>
      <c r="H227">
        <v>44</v>
      </c>
      <c r="I227">
        <v>1</v>
      </c>
      <c r="J227">
        <v>79</v>
      </c>
      <c r="K227">
        <v>85</v>
      </c>
      <c r="L227" t="s">
        <v>2103</v>
      </c>
      <c r="M227" t="s">
        <v>2104</v>
      </c>
      <c r="N227" t="s">
        <v>2105</v>
      </c>
      <c r="O227" t="s">
        <v>63</v>
      </c>
      <c r="Q227" t="s">
        <v>63</v>
      </c>
      <c r="R227" t="s">
        <v>63</v>
      </c>
      <c r="S227" t="s">
        <v>63</v>
      </c>
      <c r="T227" t="s">
        <v>63</v>
      </c>
      <c r="X227" t="s">
        <v>63</v>
      </c>
      <c r="Y227" t="s">
        <v>1733</v>
      </c>
      <c r="Z227" t="s">
        <v>63</v>
      </c>
      <c r="AA227" t="s">
        <v>2106</v>
      </c>
      <c r="AB227">
        <v>22641969</v>
      </c>
      <c r="AC227" t="s">
        <v>67</v>
      </c>
      <c r="AD227" t="s">
        <v>63</v>
      </c>
      <c r="AE227" t="s">
        <v>63</v>
      </c>
      <c r="AF227" t="s">
        <v>63</v>
      </c>
      <c r="AG227" t="s">
        <v>2107</v>
      </c>
      <c r="AH227" t="s">
        <v>63</v>
      </c>
      <c r="AI227" t="s">
        <v>63</v>
      </c>
      <c r="AJ227" t="s">
        <v>63</v>
      </c>
      <c r="AK227" t="s">
        <v>63</v>
      </c>
      <c r="AL227" t="s">
        <v>63</v>
      </c>
      <c r="AM227" t="s">
        <v>2108</v>
      </c>
      <c r="AN227" t="s">
        <v>63</v>
      </c>
      <c r="AO227" t="s">
        <v>63</v>
      </c>
      <c r="AP227" t="s">
        <v>63</v>
      </c>
      <c r="AQ227" t="s">
        <v>63</v>
      </c>
      <c r="AR227" t="s">
        <v>63</v>
      </c>
      <c r="AS227" t="s">
        <v>63</v>
      </c>
      <c r="AT227" t="s">
        <v>63</v>
      </c>
      <c r="AU227" t="s">
        <v>63</v>
      </c>
      <c r="AV227" t="s">
        <v>63</v>
      </c>
      <c r="AW227" t="s">
        <v>63</v>
      </c>
      <c r="AX227" t="s">
        <v>63</v>
      </c>
      <c r="AY227" t="s">
        <v>63</v>
      </c>
      <c r="AZ227" t="s">
        <v>63</v>
      </c>
      <c r="BA227" t="s">
        <v>63</v>
      </c>
      <c r="BB227" t="s">
        <v>63</v>
      </c>
      <c r="BC227" t="s">
        <v>63</v>
      </c>
      <c r="BD227" t="s">
        <v>63</v>
      </c>
      <c r="BE227" t="s">
        <v>63</v>
      </c>
      <c r="BF227" t="s">
        <v>63</v>
      </c>
    </row>
    <row r="228" spans="1:58">
      <c r="A228" t="s">
        <v>58</v>
      </c>
      <c r="B228" t="s">
        <v>2109</v>
      </c>
      <c r="C228" t="s">
        <v>2110</v>
      </c>
      <c r="D228" t="s">
        <v>1184</v>
      </c>
      <c r="E228" t="s">
        <v>1185</v>
      </c>
      <c r="F228">
        <v>1988</v>
      </c>
      <c r="G228" t="s">
        <v>73</v>
      </c>
      <c r="H228">
        <v>63</v>
      </c>
      <c r="I228">
        <v>6</v>
      </c>
      <c r="J228">
        <v>482</v>
      </c>
      <c r="K228">
        <v>484</v>
      </c>
      <c r="L228" t="s">
        <v>2111</v>
      </c>
      <c r="M228" t="s">
        <v>63</v>
      </c>
      <c r="N228" t="s">
        <v>2112</v>
      </c>
      <c r="O228" t="s">
        <v>63</v>
      </c>
      <c r="Q228" t="s">
        <v>63</v>
      </c>
      <c r="R228" t="s">
        <v>63</v>
      </c>
      <c r="S228" t="s">
        <v>63</v>
      </c>
      <c r="T228" t="s">
        <v>63</v>
      </c>
      <c r="X228" t="s">
        <v>63</v>
      </c>
      <c r="Y228" t="s">
        <v>1188</v>
      </c>
      <c r="Z228" t="s">
        <v>63</v>
      </c>
      <c r="AA228" t="s">
        <v>2113</v>
      </c>
      <c r="AB228">
        <v>3286871</v>
      </c>
      <c r="AC228" t="s">
        <v>67</v>
      </c>
      <c r="AD228" t="s">
        <v>63</v>
      </c>
      <c r="AE228" t="s">
        <v>63</v>
      </c>
      <c r="AF228" t="s">
        <v>63</v>
      </c>
      <c r="AG228" t="s">
        <v>2114</v>
      </c>
      <c r="AH228" t="s">
        <v>63</v>
      </c>
      <c r="AI228" t="s">
        <v>63</v>
      </c>
      <c r="AJ228" t="s">
        <v>63</v>
      </c>
      <c r="AK228" t="s">
        <v>63</v>
      </c>
      <c r="AL228" t="s">
        <v>63</v>
      </c>
      <c r="AM228" t="s">
        <v>2115</v>
      </c>
      <c r="AN228" t="s">
        <v>63</v>
      </c>
      <c r="AO228" t="s">
        <v>63</v>
      </c>
      <c r="AP228" t="s">
        <v>63</v>
      </c>
      <c r="AQ228" t="s">
        <v>63</v>
      </c>
      <c r="AR228" t="s">
        <v>63</v>
      </c>
      <c r="AS228" t="s">
        <v>63</v>
      </c>
      <c r="AT228" t="s">
        <v>63</v>
      </c>
      <c r="AU228" t="s">
        <v>63</v>
      </c>
      <c r="AV228" t="s">
        <v>63</v>
      </c>
      <c r="AW228" t="s">
        <v>63</v>
      </c>
      <c r="AX228" t="s">
        <v>63</v>
      </c>
      <c r="AY228" t="s">
        <v>63</v>
      </c>
      <c r="AZ228" t="s">
        <v>63</v>
      </c>
      <c r="BA228" t="s">
        <v>63</v>
      </c>
      <c r="BB228" t="s">
        <v>63</v>
      </c>
      <c r="BC228" t="s">
        <v>63</v>
      </c>
      <c r="BD228" t="s">
        <v>63</v>
      </c>
      <c r="BE228" t="s">
        <v>63</v>
      </c>
      <c r="BF228" t="s">
        <v>63</v>
      </c>
    </row>
    <row r="229" spans="1:58">
      <c r="A229" t="s">
        <v>58</v>
      </c>
      <c r="B229" t="s">
        <v>2116</v>
      </c>
      <c r="C229" t="s">
        <v>2117</v>
      </c>
      <c r="D229" t="s">
        <v>1293</v>
      </c>
      <c r="E229" t="s">
        <v>1294</v>
      </c>
      <c r="F229">
        <v>1990</v>
      </c>
      <c r="G229" t="s">
        <v>908</v>
      </c>
      <c r="H229">
        <v>22</v>
      </c>
      <c r="I229">
        <v>4</v>
      </c>
      <c r="J229">
        <v>288</v>
      </c>
      <c r="K229">
        <v>292</v>
      </c>
      <c r="L229" t="s">
        <v>2118</v>
      </c>
      <c r="M229" t="s">
        <v>2119</v>
      </c>
      <c r="N229" t="s">
        <v>2120</v>
      </c>
      <c r="O229" t="s">
        <v>63</v>
      </c>
      <c r="Q229" t="s">
        <v>63</v>
      </c>
      <c r="R229" t="s">
        <v>63</v>
      </c>
      <c r="S229" t="s">
        <v>63</v>
      </c>
      <c r="T229" t="s">
        <v>63</v>
      </c>
      <c r="X229" t="s">
        <v>63</v>
      </c>
      <c r="Y229" t="s">
        <v>1297</v>
      </c>
      <c r="Z229" t="s">
        <v>63</v>
      </c>
      <c r="AA229" t="s">
        <v>2121</v>
      </c>
      <c r="AB229">
        <v>2200732</v>
      </c>
      <c r="AC229" t="s">
        <v>67</v>
      </c>
      <c r="AD229" t="s">
        <v>63</v>
      </c>
      <c r="AE229" t="s">
        <v>63</v>
      </c>
      <c r="AF229" t="s">
        <v>63</v>
      </c>
      <c r="AG229" t="s">
        <v>2122</v>
      </c>
      <c r="AH229" t="s">
        <v>63</v>
      </c>
      <c r="AI229" t="s">
        <v>63</v>
      </c>
      <c r="AJ229" t="s">
        <v>63</v>
      </c>
      <c r="AK229" t="s">
        <v>63</v>
      </c>
      <c r="AL229" t="s">
        <v>63</v>
      </c>
      <c r="AM229" t="s">
        <v>2123</v>
      </c>
      <c r="AN229" t="s">
        <v>63</v>
      </c>
      <c r="AO229" t="s">
        <v>63</v>
      </c>
      <c r="AP229" t="s">
        <v>63</v>
      </c>
      <c r="AQ229" t="s">
        <v>63</v>
      </c>
      <c r="AR229" t="s">
        <v>63</v>
      </c>
      <c r="AS229" t="s">
        <v>63</v>
      </c>
      <c r="AT229" t="s">
        <v>63</v>
      </c>
      <c r="AU229" t="s">
        <v>63</v>
      </c>
      <c r="AV229" t="s">
        <v>63</v>
      </c>
      <c r="AW229" t="s">
        <v>63</v>
      </c>
      <c r="AX229" t="s">
        <v>63</v>
      </c>
      <c r="AY229" t="s">
        <v>63</v>
      </c>
      <c r="AZ229" t="s">
        <v>63</v>
      </c>
      <c r="BA229" t="s">
        <v>63</v>
      </c>
      <c r="BB229" t="s">
        <v>63</v>
      </c>
      <c r="BC229" t="s">
        <v>63</v>
      </c>
      <c r="BD229" t="s">
        <v>63</v>
      </c>
      <c r="BE229" t="s">
        <v>63</v>
      </c>
      <c r="BF229" t="s">
        <v>63</v>
      </c>
    </row>
    <row r="230" spans="1:58">
      <c r="A230" t="s">
        <v>58</v>
      </c>
      <c r="B230" t="s">
        <v>2124</v>
      </c>
      <c r="C230" t="s">
        <v>2125</v>
      </c>
      <c r="D230" t="s">
        <v>1055</v>
      </c>
      <c r="E230" t="s">
        <v>1056</v>
      </c>
      <c r="F230">
        <v>1990</v>
      </c>
      <c r="G230" t="s">
        <v>181</v>
      </c>
      <c r="H230">
        <v>24</v>
      </c>
      <c r="I230">
        <v>5</v>
      </c>
      <c r="J230">
        <v>438</v>
      </c>
      <c r="K230">
        <v>446</v>
      </c>
      <c r="L230" t="s">
        <v>2126</v>
      </c>
      <c r="M230" t="s">
        <v>2127</v>
      </c>
      <c r="N230" t="s">
        <v>2128</v>
      </c>
      <c r="O230" t="s">
        <v>63</v>
      </c>
      <c r="Q230" t="s">
        <v>63</v>
      </c>
      <c r="R230" t="s">
        <v>63</v>
      </c>
      <c r="S230" t="s">
        <v>63</v>
      </c>
      <c r="T230" t="s">
        <v>63</v>
      </c>
      <c r="X230" t="s">
        <v>63</v>
      </c>
      <c r="Y230" t="s">
        <v>1059</v>
      </c>
      <c r="Z230" t="s">
        <v>63</v>
      </c>
      <c r="AA230" t="s">
        <v>2129</v>
      </c>
      <c r="AB230">
        <v>2215297</v>
      </c>
      <c r="AC230" t="s">
        <v>67</v>
      </c>
      <c r="AD230" t="s">
        <v>63</v>
      </c>
      <c r="AE230" t="s">
        <v>63</v>
      </c>
      <c r="AF230" t="s">
        <v>63</v>
      </c>
      <c r="AG230" t="s">
        <v>2130</v>
      </c>
      <c r="AH230" t="s">
        <v>63</v>
      </c>
      <c r="AI230" t="s">
        <v>63</v>
      </c>
      <c r="AJ230" t="s">
        <v>63</v>
      </c>
      <c r="AK230" t="s">
        <v>63</v>
      </c>
      <c r="AL230" t="s">
        <v>63</v>
      </c>
      <c r="AM230" t="s">
        <v>2131</v>
      </c>
      <c r="AN230" t="s">
        <v>63</v>
      </c>
      <c r="AO230" t="s">
        <v>63</v>
      </c>
      <c r="AP230" t="s">
        <v>63</v>
      </c>
      <c r="AQ230" t="s">
        <v>63</v>
      </c>
      <c r="AR230" t="s">
        <v>63</v>
      </c>
      <c r="AS230" t="s">
        <v>63</v>
      </c>
      <c r="AT230" t="s">
        <v>63</v>
      </c>
      <c r="AU230" t="s">
        <v>63</v>
      </c>
      <c r="AV230" t="s">
        <v>63</v>
      </c>
      <c r="AW230" t="s">
        <v>63</v>
      </c>
      <c r="AX230" t="s">
        <v>63</v>
      </c>
      <c r="AY230" t="s">
        <v>63</v>
      </c>
      <c r="AZ230" t="s">
        <v>63</v>
      </c>
      <c r="BA230" t="s">
        <v>63</v>
      </c>
      <c r="BB230" t="s">
        <v>63</v>
      </c>
      <c r="BC230" t="s">
        <v>63</v>
      </c>
      <c r="BD230" t="s">
        <v>63</v>
      </c>
      <c r="BE230" t="s">
        <v>63</v>
      </c>
      <c r="BF230" t="s">
        <v>63</v>
      </c>
    </row>
    <row r="231" spans="1:58">
      <c r="A231" t="s">
        <v>58</v>
      </c>
      <c r="B231" t="s">
        <v>2132</v>
      </c>
      <c r="C231" t="s">
        <v>2133</v>
      </c>
      <c r="D231" t="s">
        <v>1744</v>
      </c>
      <c r="E231" t="s">
        <v>1745</v>
      </c>
      <c r="F231">
        <v>1998</v>
      </c>
      <c r="G231" t="s">
        <v>63</v>
      </c>
      <c r="H231">
        <v>28</v>
      </c>
      <c r="I231">
        <v>1</v>
      </c>
      <c r="J231">
        <v>137</v>
      </c>
      <c r="K231">
        <v>146</v>
      </c>
      <c r="L231" t="s">
        <v>2134</v>
      </c>
      <c r="M231" t="s">
        <v>2135</v>
      </c>
      <c r="N231" t="s">
        <v>2136</v>
      </c>
      <c r="O231" t="s">
        <v>63</v>
      </c>
      <c r="Q231" t="s">
        <v>63</v>
      </c>
      <c r="R231" t="s">
        <v>63</v>
      </c>
      <c r="S231" t="s">
        <v>63</v>
      </c>
      <c r="T231" t="s">
        <v>63</v>
      </c>
      <c r="X231" t="s">
        <v>63</v>
      </c>
      <c r="Y231" t="s">
        <v>1749</v>
      </c>
      <c r="Z231" t="s">
        <v>63</v>
      </c>
      <c r="AA231" t="s">
        <v>2137</v>
      </c>
      <c r="AB231">
        <v>9617653</v>
      </c>
      <c r="AC231" t="s">
        <v>67</v>
      </c>
      <c r="AD231" t="s">
        <v>63</v>
      </c>
      <c r="AE231" t="s">
        <v>63</v>
      </c>
      <c r="AF231" t="s">
        <v>63</v>
      </c>
      <c r="AG231" t="s">
        <v>2138</v>
      </c>
      <c r="AH231" t="s">
        <v>63</v>
      </c>
      <c r="AI231" t="s">
        <v>63</v>
      </c>
      <c r="AJ231" t="s">
        <v>63</v>
      </c>
      <c r="AK231" t="s">
        <v>63</v>
      </c>
      <c r="AL231" t="s">
        <v>63</v>
      </c>
      <c r="AM231" t="s">
        <v>2139</v>
      </c>
      <c r="AN231" t="s">
        <v>63</v>
      </c>
      <c r="AO231" t="s">
        <v>63</v>
      </c>
      <c r="AP231" t="s">
        <v>63</v>
      </c>
      <c r="AQ231" t="s">
        <v>63</v>
      </c>
      <c r="AR231" t="s">
        <v>63</v>
      </c>
      <c r="AS231" t="s">
        <v>63</v>
      </c>
      <c r="AT231" t="s">
        <v>63</v>
      </c>
      <c r="AU231" t="s">
        <v>63</v>
      </c>
      <c r="AV231" t="s">
        <v>63</v>
      </c>
      <c r="AW231" t="s">
        <v>63</v>
      </c>
      <c r="AX231" t="s">
        <v>63</v>
      </c>
      <c r="AY231" t="s">
        <v>63</v>
      </c>
      <c r="AZ231" t="s">
        <v>63</v>
      </c>
      <c r="BA231" t="s">
        <v>63</v>
      </c>
      <c r="BB231" t="s">
        <v>63</v>
      </c>
      <c r="BC231" t="s">
        <v>63</v>
      </c>
      <c r="BD231" t="s">
        <v>63</v>
      </c>
      <c r="BE231" t="s">
        <v>63</v>
      </c>
      <c r="BF231" t="s">
        <v>63</v>
      </c>
    </row>
    <row r="232" spans="1:58">
      <c r="A232" t="s">
        <v>58</v>
      </c>
      <c r="B232" t="s">
        <v>2140</v>
      </c>
      <c r="C232" t="s">
        <v>2141</v>
      </c>
      <c r="D232" t="s">
        <v>371</v>
      </c>
      <c r="E232" t="s">
        <v>63</v>
      </c>
      <c r="F232">
        <v>2004</v>
      </c>
      <c r="G232" t="s">
        <v>189</v>
      </c>
      <c r="H232">
        <v>19</v>
      </c>
      <c r="I232">
        <v>5</v>
      </c>
      <c r="J232">
        <v>534</v>
      </c>
      <c r="K232">
        <v>539</v>
      </c>
      <c r="L232" t="s">
        <v>2142</v>
      </c>
      <c r="M232" t="s">
        <v>2143</v>
      </c>
      <c r="N232" t="s">
        <v>2144</v>
      </c>
      <c r="O232" t="s">
        <v>63</v>
      </c>
      <c r="Q232" t="s">
        <v>63</v>
      </c>
      <c r="R232" t="s">
        <v>63</v>
      </c>
      <c r="S232" t="s">
        <v>63</v>
      </c>
      <c r="T232" t="s">
        <v>63</v>
      </c>
      <c r="X232" t="s">
        <v>63</v>
      </c>
      <c r="Y232" t="s">
        <v>375</v>
      </c>
      <c r="Z232" t="s">
        <v>63</v>
      </c>
      <c r="AA232" t="s">
        <v>2145</v>
      </c>
      <c r="AB232">
        <v>15109319</v>
      </c>
      <c r="AC232" t="s">
        <v>67</v>
      </c>
      <c r="AD232" t="s">
        <v>63</v>
      </c>
      <c r="AE232" t="s">
        <v>63</v>
      </c>
      <c r="AF232" t="s">
        <v>63</v>
      </c>
      <c r="AG232" t="s">
        <v>2146</v>
      </c>
      <c r="AH232" t="s">
        <v>63</v>
      </c>
      <c r="AI232" t="s">
        <v>63</v>
      </c>
      <c r="AJ232" t="s">
        <v>63</v>
      </c>
      <c r="AK232" t="s">
        <v>63</v>
      </c>
      <c r="AL232" t="s">
        <v>63</v>
      </c>
      <c r="AM232" t="s">
        <v>2147</v>
      </c>
      <c r="AN232" t="s">
        <v>63</v>
      </c>
      <c r="AO232" t="s">
        <v>63</v>
      </c>
      <c r="AP232" t="s">
        <v>63</v>
      </c>
      <c r="AQ232" t="s">
        <v>63</v>
      </c>
      <c r="AR232" t="s">
        <v>63</v>
      </c>
      <c r="AS232" t="s">
        <v>63</v>
      </c>
      <c r="AT232" t="s">
        <v>63</v>
      </c>
      <c r="AU232" t="s">
        <v>63</v>
      </c>
      <c r="AV232" t="s">
        <v>63</v>
      </c>
      <c r="AW232" t="s">
        <v>63</v>
      </c>
      <c r="AX232" t="s">
        <v>63</v>
      </c>
      <c r="AY232" t="s">
        <v>63</v>
      </c>
      <c r="AZ232" t="s">
        <v>63</v>
      </c>
      <c r="BA232" t="s">
        <v>63</v>
      </c>
      <c r="BB232" t="s">
        <v>63</v>
      </c>
      <c r="BC232" t="s">
        <v>63</v>
      </c>
      <c r="BD232" t="s">
        <v>63</v>
      </c>
      <c r="BE232" t="s">
        <v>63</v>
      </c>
      <c r="BF232" t="s">
        <v>63</v>
      </c>
    </row>
    <row r="233" spans="1:58">
      <c r="A233" t="s">
        <v>58</v>
      </c>
      <c r="B233" t="s">
        <v>2148</v>
      </c>
      <c r="C233" t="s">
        <v>2149</v>
      </c>
      <c r="D233" t="s">
        <v>2150</v>
      </c>
      <c r="E233" t="s">
        <v>2151</v>
      </c>
      <c r="F233">
        <v>1995</v>
      </c>
      <c r="G233" t="s">
        <v>63</v>
      </c>
      <c r="H233">
        <v>94</v>
      </c>
      <c r="I233">
        <v>3</v>
      </c>
      <c r="J233">
        <v>135</v>
      </c>
      <c r="K233">
        <v>140</v>
      </c>
      <c r="L233" t="s">
        <v>2152</v>
      </c>
      <c r="M233" t="s">
        <v>2153</v>
      </c>
      <c r="N233" t="s">
        <v>2154</v>
      </c>
      <c r="O233" t="s">
        <v>63</v>
      </c>
      <c r="Q233" t="s">
        <v>63</v>
      </c>
      <c r="R233" t="s">
        <v>63</v>
      </c>
      <c r="S233" t="s">
        <v>63</v>
      </c>
      <c r="T233" t="s">
        <v>63</v>
      </c>
      <c r="X233" t="s">
        <v>63</v>
      </c>
      <c r="Y233" t="s">
        <v>2155</v>
      </c>
      <c r="Z233" t="s">
        <v>63</v>
      </c>
      <c r="AA233" t="s">
        <v>2137</v>
      </c>
      <c r="AB233">
        <v>7778330</v>
      </c>
      <c r="AC233" t="s">
        <v>67</v>
      </c>
      <c r="AD233" t="s">
        <v>63</v>
      </c>
      <c r="AE233" t="s">
        <v>63</v>
      </c>
      <c r="AF233" t="s">
        <v>63</v>
      </c>
      <c r="AG233" t="s">
        <v>2156</v>
      </c>
      <c r="AH233" t="s">
        <v>63</v>
      </c>
      <c r="AI233" t="s">
        <v>63</v>
      </c>
      <c r="AJ233" t="s">
        <v>63</v>
      </c>
      <c r="AK233" t="s">
        <v>63</v>
      </c>
      <c r="AL233" t="s">
        <v>63</v>
      </c>
      <c r="AM233" t="s">
        <v>2157</v>
      </c>
      <c r="AN233" t="s">
        <v>63</v>
      </c>
      <c r="AO233" t="s">
        <v>63</v>
      </c>
      <c r="AP233" t="s">
        <v>63</v>
      </c>
      <c r="AQ233" t="s">
        <v>63</v>
      </c>
      <c r="AR233" t="s">
        <v>63</v>
      </c>
      <c r="AS233" t="s">
        <v>63</v>
      </c>
      <c r="AT233" t="s">
        <v>63</v>
      </c>
      <c r="AU233" t="s">
        <v>63</v>
      </c>
      <c r="AV233" t="s">
        <v>63</v>
      </c>
      <c r="AW233" t="s">
        <v>63</v>
      </c>
      <c r="AX233" t="s">
        <v>63</v>
      </c>
      <c r="AY233" t="s">
        <v>63</v>
      </c>
      <c r="AZ233" t="s">
        <v>63</v>
      </c>
      <c r="BA233" t="s">
        <v>63</v>
      </c>
      <c r="BB233" t="s">
        <v>63</v>
      </c>
      <c r="BC233" t="s">
        <v>63</v>
      </c>
      <c r="BD233" t="s">
        <v>63</v>
      </c>
      <c r="BE233" t="s">
        <v>63</v>
      </c>
      <c r="BF233" t="s">
        <v>63</v>
      </c>
    </row>
    <row r="234" spans="1:58">
      <c r="A234" t="s">
        <v>58</v>
      </c>
      <c r="B234" t="s">
        <v>2158</v>
      </c>
      <c r="C234" t="s">
        <v>2159</v>
      </c>
      <c r="D234" t="s">
        <v>111</v>
      </c>
      <c r="E234" t="s">
        <v>112</v>
      </c>
      <c r="F234">
        <v>1972</v>
      </c>
      <c r="G234" t="s">
        <v>614</v>
      </c>
      <c r="H234">
        <v>77</v>
      </c>
      <c r="I234">
        <v>2</v>
      </c>
      <c r="J234">
        <v>316</v>
      </c>
      <c r="K234">
        <v>317</v>
      </c>
      <c r="L234" t="s">
        <v>2160</v>
      </c>
      <c r="M234" t="s">
        <v>63</v>
      </c>
      <c r="N234" t="s">
        <v>2161</v>
      </c>
      <c r="O234" t="s">
        <v>63</v>
      </c>
      <c r="Q234" t="s">
        <v>63</v>
      </c>
      <c r="R234" t="s">
        <v>63</v>
      </c>
      <c r="S234" t="s">
        <v>63</v>
      </c>
      <c r="T234" t="s">
        <v>63</v>
      </c>
      <c r="X234" t="s">
        <v>63</v>
      </c>
      <c r="Y234" s="2">
        <v>1064742</v>
      </c>
      <c r="Z234" t="s">
        <v>63</v>
      </c>
      <c r="AA234" t="s">
        <v>63</v>
      </c>
      <c r="AB234">
        <v>4641661</v>
      </c>
      <c r="AC234" t="s">
        <v>67</v>
      </c>
      <c r="AD234" t="s">
        <v>63</v>
      </c>
      <c r="AE234" t="s">
        <v>63</v>
      </c>
      <c r="AF234" t="s">
        <v>63</v>
      </c>
      <c r="AG234" t="s">
        <v>2162</v>
      </c>
      <c r="AH234" t="s">
        <v>63</v>
      </c>
      <c r="AI234" t="s">
        <v>63</v>
      </c>
      <c r="AJ234" t="s">
        <v>63</v>
      </c>
      <c r="AK234" t="s">
        <v>63</v>
      </c>
      <c r="AL234" t="s">
        <v>63</v>
      </c>
      <c r="AM234" t="s">
        <v>2163</v>
      </c>
      <c r="AN234" t="s">
        <v>63</v>
      </c>
      <c r="AO234" t="s">
        <v>63</v>
      </c>
      <c r="AP234" t="s">
        <v>63</v>
      </c>
      <c r="AQ234" t="s">
        <v>63</v>
      </c>
      <c r="AR234" t="s">
        <v>63</v>
      </c>
      <c r="AS234" t="s">
        <v>63</v>
      </c>
      <c r="AT234" t="s">
        <v>63</v>
      </c>
      <c r="AU234" t="s">
        <v>63</v>
      </c>
      <c r="AV234" t="s">
        <v>63</v>
      </c>
      <c r="AW234" t="s">
        <v>63</v>
      </c>
      <c r="AX234" t="s">
        <v>63</v>
      </c>
      <c r="AY234" t="s">
        <v>63</v>
      </c>
      <c r="AZ234" t="s">
        <v>63</v>
      </c>
      <c r="BA234" t="s">
        <v>63</v>
      </c>
      <c r="BB234" t="s">
        <v>63</v>
      </c>
      <c r="BC234" t="s">
        <v>63</v>
      </c>
      <c r="BD234" t="s">
        <v>63</v>
      </c>
      <c r="BE234" t="s">
        <v>63</v>
      </c>
      <c r="BF234" t="s">
        <v>63</v>
      </c>
    </row>
    <row r="235" spans="1:58">
      <c r="A235" t="s">
        <v>58</v>
      </c>
      <c r="B235" t="s">
        <v>2164</v>
      </c>
      <c r="C235" t="s">
        <v>2165</v>
      </c>
      <c r="D235" t="s">
        <v>2166</v>
      </c>
      <c r="E235" t="s">
        <v>2167</v>
      </c>
      <c r="F235">
        <v>1967</v>
      </c>
      <c r="G235" t="s">
        <v>219</v>
      </c>
      <c r="H235">
        <v>50</v>
      </c>
      <c r="I235">
        <v>11</v>
      </c>
      <c r="J235">
        <v>753</v>
      </c>
      <c r="K235">
        <v>756</v>
      </c>
      <c r="L235" t="s">
        <v>2168</v>
      </c>
      <c r="M235" t="s">
        <v>63</v>
      </c>
      <c r="N235" t="s">
        <v>2169</v>
      </c>
      <c r="O235" t="s">
        <v>63</v>
      </c>
      <c r="Q235" t="s">
        <v>63</v>
      </c>
      <c r="R235" t="s">
        <v>63</v>
      </c>
      <c r="S235" t="s">
        <v>63</v>
      </c>
      <c r="T235" t="s">
        <v>63</v>
      </c>
      <c r="X235" t="s">
        <v>63</v>
      </c>
      <c r="Y235" t="s">
        <v>2170</v>
      </c>
      <c r="Z235" t="s">
        <v>63</v>
      </c>
      <c r="AA235" t="s">
        <v>63</v>
      </c>
      <c r="AB235">
        <v>5234973</v>
      </c>
      <c r="AC235" t="s">
        <v>67</v>
      </c>
      <c r="AD235" t="s">
        <v>63</v>
      </c>
      <c r="AE235" t="s">
        <v>63</v>
      </c>
      <c r="AF235" t="s">
        <v>63</v>
      </c>
      <c r="AG235" t="s">
        <v>2171</v>
      </c>
      <c r="AH235" t="s">
        <v>63</v>
      </c>
      <c r="AI235" t="s">
        <v>63</v>
      </c>
      <c r="AJ235" t="s">
        <v>63</v>
      </c>
      <c r="AK235" t="s">
        <v>63</v>
      </c>
      <c r="AL235" t="s">
        <v>63</v>
      </c>
      <c r="AM235" t="s">
        <v>2172</v>
      </c>
      <c r="AN235" t="s">
        <v>63</v>
      </c>
      <c r="AO235" t="s">
        <v>63</v>
      </c>
      <c r="AP235" t="s">
        <v>63</v>
      </c>
      <c r="AQ235" t="s">
        <v>63</v>
      </c>
      <c r="AR235" t="s">
        <v>63</v>
      </c>
      <c r="AS235" t="s">
        <v>63</v>
      </c>
      <c r="AT235" t="s">
        <v>63</v>
      </c>
      <c r="AU235" t="s">
        <v>63</v>
      </c>
      <c r="AV235" t="s">
        <v>63</v>
      </c>
      <c r="AW235" t="s">
        <v>63</v>
      </c>
      <c r="AX235" t="s">
        <v>63</v>
      </c>
      <c r="AY235" t="s">
        <v>63</v>
      </c>
      <c r="AZ235" t="s">
        <v>63</v>
      </c>
      <c r="BA235" t="s">
        <v>63</v>
      </c>
      <c r="BB235" t="s">
        <v>63</v>
      </c>
      <c r="BC235" t="s">
        <v>63</v>
      </c>
      <c r="BD235" t="s">
        <v>63</v>
      </c>
      <c r="BE235" t="s">
        <v>63</v>
      </c>
      <c r="BF235" t="s">
        <v>63</v>
      </c>
    </row>
    <row r="236" spans="1:58">
      <c r="A236" t="s">
        <v>58</v>
      </c>
      <c r="B236" t="s">
        <v>2173</v>
      </c>
      <c r="C236" t="s">
        <v>2174</v>
      </c>
      <c r="D236" t="s">
        <v>2175</v>
      </c>
      <c r="E236" t="s">
        <v>63</v>
      </c>
      <c r="F236">
        <v>2012</v>
      </c>
      <c r="G236" s="1">
        <v>41760</v>
      </c>
      <c r="H236">
        <v>7</v>
      </c>
      <c r="I236" t="s">
        <v>63</v>
      </c>
      <c r="J236">
        <v>7</v>
      </c>
      <c r="K236" t="s">
        <v>63</v>
      </c>
      <c r="L236" t="s">
        <v>2176</v>
      </c>
      <c r="M236" t="s">
        <v>2177</v>
      </c>
      <c r="N236" t="s">
        <v>2178</v>
      </c>
      <c r="O236" t="s">
        <v>63</v>
      </c>
      <c r="Q236" t="s">
        <v>63</v>
      </c>
      <c r="R236" t="s">
        <v>63</v>
      </c>
      <c r="S236" t="s">
        <v>63</v>
      </c>
      <c r="T236" t="s">
        <v>63</v>
      </c>
      <c r="X236" t="s">
        <v>63</v>
      </c>
      <c r="Y236" t="s">
        <v>2179</v>
      </c>
      <c r="Z236" t="s">
        <v>63</v>
      </c>
      <c r="AA236" t="s">
        <v>63</v>
      </c>
      <c r="AB236">
        <v>23186245</v>
      </c>
      <c r="AC236" t="s">
        <v>67</v>
      </c>
      <c r="AD236" t="s">
        <v>63</v>
      </c>
      <c r="AE236" t="s">
        <v>63</v>
      </c>
      <c r="AF236" t="s">
        <v>63</v>
      </c>
      <c r="AG236" t="s">
        <v>2180</v>
      </c>
      <c r="AH236" t="s">
        <v>63</v>
      </c>
      <c r="AI236" t="s">
        <v>2181</v>
      </c>
      <c r="AJ236" t="s">
        <v>63</v>
      </c>
      <c r="AK236" t="s">
        <v>63</v>
      </c>
      <c r="AL236" t="s">
        <v>63</v>
      </c>
      <c r="AM236" t="s">
        <v>2182</v>
      </c>
      <c r="AN236" t="s">
        <v>63</v>
      </c>
      <c r="AO236" t="s">
        <v>63</v>
      </c>
      <c r="AP236" t="s">
        <v>63</v>
      </c>
      <c r="AQ236" t="s">
        <v>63</v>
      </c>
      <c r="AR236" t="s">
        <v>63</v>
      </c>
      <c r="AS236" t="s">
        <v>63</v>
      </c>
      <c r="AT236" t="s">
        <v>63</v>
      </c>
      <c r="AU236" t="s">
        <v>63</v>
      </c>
      <c r="AV236" t="s">
        <v>63</v>
      </c>
      <c r="AW236" t="s">
        <v>63</v>
      </c>
      <c r="AX236" t="s">
        <v>63</v>
      </c>
      <c r="AY236" t="s">
        <v>63</v>
      </c>
      <c r="AZ236" t="s">
        <v>63</v>
      </c>
      <c r="BA236" t="s">
        <v>63</v>
      </c>
      <c r="BB236" t="s">
        <v>63</v>
      </c>
      <c r="BC236" t="s">
        <v>63</v>
      </c>
      <c r="BD236" t="s">
        <v>63</v>
      </c>
      <c r="BE236" t="s">
        <v>63</v>
      </c>
      <c r="BF236" t="s">
        <v>63</v>
      </c>
    </row>
    <row r="237" spans="1:58">
      <c r="A237" t="s">
        <v>58</v>
      </c>
      <c r="B237" t="s">
        <v>2183</v>
      </c>
      <c r="C237" t="s">
        <v>2184</v>
      </c>
      <c r="D237" t="s">
        <v>2185</v>
      </c>
      <c r="E237" t="s">
        <v>63</v>
      </c>
      <c r="F237">
        <v>1996</v>
      </c>
      <c r="G237" t="s">
        <v>138</v>
      </c>
      <c r="H237">
        <v>88</v>
      </c>
      <c r="I237">
        <v>4</v>
      </c>
      <c r="J237">
        <v>544</v>
      </c>
      <c r="K237">
        <v>548</v>
      </c>
      <c r="L237" t="s">
        <v>2186</v>
      </c>
      <c r="M237" t="s">
        <v>2187</v>
      </c>
      <c r="N237" t="s">
        <v>2188</v>
      </c>
      <c r="O237" t="s">
        <v>63</v>
      </c>
      <c r="Q237" t="s">
        <v>63</v>
      </c>
      <c r="R237" t="s">
        <v>63</v>
      </c>
      <c r="S237" t="s">
        <v>63</v>
      </c>
      <c r="T237" t="s">
        <v>63</v>
      </c>
      <c r="X237" t="s">
        <v>63</v>
      </c>
      <c r="Y237" t="s">
        <v>2189</v>
      </c>
      <c r="Z237" t="s">
        <v>63</v>
      </c>
      <c r="AA237" t="s">
        <v>2190</v>
      </c>
      <c r="AB237">
        <v>8841215</v>
      </c>
      <c r="AC237" t="s">
        <v>67</v>
      </c>
      <c r="AD237" t="s">
        <v>63</v>
      </c>
      <c r="AE237" t="s">
        <v>63</v>
      </c>
      <c r="AF237" t="s">
        <v>63</v>
      </c>
      <c r="AG237" t="s">
        <v>2191</v>
      </c>
      <c r="AH237" t="s">
        <v>63</v>
      </c>
      <c r="AI237" t="s">
        <v>63</v>
      </c>
      <c r="AJ237" t="s">
        <v>63</v>
      </c>
      <c r="AK237" t="s">
        <v>63</v>
      </c>
      <c r="AL237" t="s">
        <v>63</v>
      </c>
      <c r="AM237" t="s">
        <v>2192</v>
      </c>
      <c r="AN237" t="s">
        <v>63</v>
      </c>
      <c r="AO237" t="s">
        <v>63</v>
      </c>
      <c r="AP237" t="s">
        <v>63</v>
      </c>
      <c r="AQ237" t="s">
        <v>63</v>
      </c>
      <c r="AR237" t="s">
        <v>63</v>
      </c>
      <c r="AS237" t="s">
        <v>63</v>
      </c>
      <c r="AT237" t="s">
        <v>63</v>
      </c>
      <c r="AU237" t="s">
        <v>63</v>
      </c>
      <c r="AV237" t="s">
        <v>63</v>
      </c>
      <c r="AW237" t="s">
        <v>63</v>
      </c>
      <c r="AX237" t="s">
        <v>63</v>
      </c>
      <c r="AY237" t="s">
        <v>63</v>
      </c>
      <c r="AZ237" t="s">
        <v>63</v>
      </c>
      <c r="BA237" t="s">
        <v>63</v>
      </c>
      <c r="BB237" t="s">
        <v>63</v>
      </c>
      <c r="BC237" t="s">
        <v>63</v>
      </c>
      <c r="BD237" t="s">
        <v>63</v>
      </c>
      <c r="BE237" t="s">
        <v>63</v>
      </c>
      <c r="BF237" t="s">
        <v>63</v>
      </c>
    </row>
    <row r="238" spans="1:58">
      <c r="A238" t="s">
        <v>58</v>
      </c>
      <c r="B238" t="s">
        <v>2193</v>
      </c>
      <c r="C238" t="s">
        <v>2194</v>
      </c>
      <c r="D238" t="s">
        <v>2195</v>
      </c>
      <c r="E238" t="s">
        <v>63</v>
      </c>
      <c r="F238">
        <v>2016</v>
      </c>
      <c r="G238" t="s">
        <v>198</v>
      </c>
      <c r="H238">
        <v>45</v>
      </c>
      <c r="I238">
        <v>1</v>
      </c>
      <c r="J238">
        <v>29</v>
      </c>
      <c r="K238">
        <v>39</v>
      </c>
      <c r="L238" t="s">
        <v>2196</v>
      </c>
      <c r="M238" t="s">
        <v>2197</v>
      </c>
      <c r="N238" t="s">
        <v>2198</v>
      </c>
      <c r="O238" t="s">
        <v>63</v>
      </c>
      <c r="Q238" t="s">
        <v>63</v>
      </c>
      <c r="R238" t="s">
        <v>63</v>
      </c>
      <c r="S238" t="s">
        <v>63</v>
      </c>
      <c r="T238" t="s">
        <v>63</v>
      </c>
      <c r="X238" t="s">
        <v>63</v>
      </c>
      <c r="Y238" t="s">
        <v>2199</v>
      </c>
      <c r="Z238" t="s">
        <v>63</v>
      </c>
      <c r="AA238" t="s">
        <v>2200</v>
      </c>
      <c r="AB238">
        <v>26482489</v>
      </c>
      <c r="AC238" t="s">
        <v>1371</v>
      </c>
      <c r="AD238" t="s">
        <v>63</v>
      </c>
      <c r="AE238" t="s">
        <v>63</v>
      </c>
      <c r="AF238" t="s">
        <v>63</v>
      </c>
      <c r="AG238" t="s">
        <v>2201</v>
      </c>
      <c r="AH238" t="s">
        <v>63</v>
      </c>
      <c r="AI238" t="s">
        <v>2202</v>
      </c>
      <c r="AJ238" t="s">
        <v>63</v>
      </c>
      <c r="AK238" t="s">
        <v>63</v>
      </c>
      <c r="AL238" t="s">
        <v>63</v>
      </c>
      <c r="AM238" t="s">
        <v>2203</v>
      </c>
      <c r="AN238" t="s">
        <v>63</v>
      </c>
      <c r="AO238" t="s">
        <v>63</v>
      </c>
      <c r="AP238" t="s">
        <v>63</v>
      </c>
      <c r="AQ238" t="s">
        <v>63</v>
      </c>
      <c r="AR238" t="s">
        <v>63</v>
      </c>
      <c r="AS238" t="s">
        <v>63</v>
      </c>
      <c r="AT238" t="s">
        <v>63</v>
      </c>
      <c r="AU238" t="s">
        <v>63</v>
      </c>
      <c r="AV238" t="s">
        <v>63</v>
      </c>
      <c r="AW238" t="s">
        <v>63</v>
      </c>
      <c r="AX238" t="s">
        <v>63</v>
      </c>
      <c r="AY238" t="s">
        <v>63</v>
      </c>
      <c r="AZ238" t="s">
        <v>63</v>
      </c>
      <c r="BA238" t="s">
        <v>63</v>
      </c>
      <c r="BB238" t="s">
        <v>63</v>
      </c>
      <c r="BC238" t="s">
        <v>63</v>
      </c>
      <c r="BD238" t="s">
        <v>63</v>
      </c>
      <c r="BE238" t="s">
        <v>63</v>
      </c>
      <c r="BF238" t="s">
        <v>63</v>
      </c>
    </row>
    <row r="239" spans="1:58">
      <c r="A239" t="s">
        <v>58</v>
      </c>
      <c r="B239" t="s">
        <v>2204</v>
      </c>
      <c r="C239" t="s">
        <v>2205</v>
      </c>
      <c r="D239" t="s">
        <v>2206</v>
      </c>
      <c r="E239" t="s">
        <v>2207</v>
      </c>
      <c r="F239">
        <v>2009</v>
      </c>
      <c r="G239" t="s">
        <v>219</v>
      </c>
      <c r="H239">
        <v>21</v>
      </c>
      <c r="I239">
        <v>7</v>
      </c>
      <c r="J239">
        <v>508</v>
      </c>
      <c r="K239">
        <v>513</v>
      </c>
      <c r="L239" t="s">
        <v>2208</v>
      </c>
      <c r="M239" t="s">
        <v>2209</v>
      </c>
      <c r="N239" t="s">
        <v>2210</v>
      </c>
      <c r="O239" t="s">
        <v>63</v>
      </c>
      <c r="Q239" t="s">
        <v>63</v>
      </c>
      <c r="R239" t="s">
        <v>63</v>
      </c>
      <c r="S239" t="s">
        <v>63</v>
      </c>
      <c r="T239" t="s">
        <v>63</v>
      </c>
      <c r="X239" t="s">
        <v>63</v>
      </c>
      <c r="Y239" t="s">
        <v>2211</v>
      </c>
      <c r="Z239" t="s">
        <v>63</v>
      </c>
      <c r="AA239" t="s">
        <v>2212</v>
      </c>
      <c r="AB239">
        <v>20006259</v>
      </c>
      <c r="AC239" t="s">
        <v>67</v>
      </c>
      <c r="AD239" t="s">
        <v>63</v>
      </c>
      <c r="AE239" t="s">
        <v>63</v>
      </c>
      <c r="AF239" t="s">
        <v>63</v>
      </c>
      <c r="AG239" t="s">
        <v>2213</v>
      </c>
      <c r="AH239" t="s">
        <v>63</v>
      </c>
      <c r="AI239" t="s">
        <v>2214</v>
      </c>
      <c r="AJ239" t="s">
        <v>63</v>
      </c>
      <c r="AK239" t="s">
        <v>63</v>
      </c>
      <c r="AL239" t="s">
        <v>63</v>
      </c>
      <c r="AM239" t="s">
        <v>2215</v>
      </c>
      <c r="AN239" t="s">
        <v>63</v>
      </c>
      <c r="AO239" t="s">
        <v>63</v>
      </c>
      <c r="AP239" t="s">
        <v>63</v>
      </c>
      <c r="AQ239" t="s">
        <v>63</v>
      </c>
      <c r="AR239" t="s">
        <v>63</v>
      </c>
      <c r="AS239" t="s">
        <v>63</v>
      </c>
      <c r="AT239" t="s">
        <v>63</v>
      </c>
      <c r="AU239" t="s">
        <v>63</v>
      </c>
      <c r="AV239" t="s">
        <v>63</v>
      </c>
      <c r="AW239" t="s">
        <v>63</v>
      </c>
      <c r="AX239" t="s">
        <v>63</v>
      </c>
      <c r="AY239" t="s">
        <v>63</v>
      </c>
      <c r="AZ239" t="s">
        <v>63</v>
      </c>
      <c r="BA239" t="s">
        <v>63</v>
      </c>
      <c r="BB239" t="s">
        <v>63</v>
      </c>
      <c r="BC239" t="s">
        <v>63</v>
      </c>
      <c r="BD239" t="s">
        <v>63</v>
      </c>
      <c r="BE239" t="s">
        <v>63</v>
      </c>
      <c r="BF239" t="s">
        <v>63</v>
      </c>
    </row>
    <row r="240" spans="1:58">
      <c r="A240" t="s">
        <v>58</v>
      </c>
      <c r="B240" t="s">
        <v>2216</v>
      </c>
      <c r="C240" t="s">
        <v>2217</v>
      </c>
      <c r="D240" t="s">
        <v>2206</v>
      </c>
      <c r="E240" t="s">
        <v>2207</v>
      </c>
      <c r="F240">
        <v>2008</v>
      </c>
      <c r="G240" t="s">
        <v>614</v>
      </c>
      <c r="H240">
        <v>20</v>
      </c>
      <c r="I240">
        <v>5</v>
      </c>
      <c r="J240">
        <v>397</v>
      </c>
      <c r="K240">
        <v>400</v>
      </c>
      <c r="L240" t="s">
        <v>2218</v>
      </c>
      <c r="M240" t="s">
        <v>2219</v>
      </c>
      <c r="N240" t="s">
        <v>2220</v>
      </c>
      <c r="O240" t="s">
        <v>63</v>
      </c>
      <c r="Q240" t="s">
        <v>63</v>
      </c>
      <c r="R240" t="s">
        <v>63</v>
      </c>
      <c r="S240" t="s">
        <v>63</v>
      </c>
      <c r="T240" t="s">
        <v>63</v>
      </c>
      <c r="X240" t="s">
        <v>63</v>
      </c>
      <c r="Y240" t="s">
        <v>2221</v>
      </c>
      <c r="Z240" t="s">
        <v>63</v>
      </c>
      <c r="AA240" t="s">
        <v>2222</v>
      </c>
      <c r="AB240">
        <v>18761254</v>
      </c>
      <c r="AC240" t="s">
        <v>67</v>
      </c>
      <c r="AD240" t="s">
        <v>63</v>
      </c>
      <c r="AE240" t="s">
        <v>63</v>
      </c>
      <c r="AF240" t="s">
        <v>63</v>
      </c>
      <c r="AG240" t="s">
        <v>2223</v>
      </c>
      <c r="AH240" t="s">
        <v>63</v>
      </c>
      <c r="AI240" t="s">
        <v>2224</v>
      </c>
      <c r="AJ240" t="s">
        <v>63</v>
      </c>
      <c r="AK240" t="s">
        <v>63</v>
      </c>
      <c r="AL240" t="s">
        <v>63</v>
      </c>
      <c r="AM240" t="s">
        <v>2225</v>
      </c>
      <c r="AN240" t="s">
        <v>63</v>
      </c>
      <c r="AO240" t="s">
        <v>63</v>
      </c>
      <c r="AP240" t="s">
        <v>63</v>
      </c>
      <c r="AQ240" t="s">
        <v>63</v>
      </c>
      <c r="AR240" t="s">
        <v>63</v>
      </c>
      <c r="AS240" t="s">
        <v>63</v>
      </c>
      <c r="AT240" t="s">
        <v>63</v>
      </c>
      <c r="AU240" t="s">
        <v>63</v>
      </c>
      <c r="AV240" t="s">
        <v>63</v>
      </c>
      <c r="AW240" t="s">
        <v>63</v>
      </c>
      <c r="AX240" t="s">
        <v>63</v>
      </c>
      <c r="AY240" t="s">
        <v>63</v>
      </c>
      <c r="AZ240" t="s">
        <v>63</v>
      </c>
      <c r="BA240" t="s">
        <v>63</v>
      </c>
      <c r="BB240" t="s">
        <v>63</v>
      </c>
      <c r="BC240" t="s">
        <v>63</v>
      </c>
      <c r="BD240" t="s">
        <v>63</v>
      </c>
      <c r="BE240" t="s">
        <v>63</v>
      </c>
      <c r="BF240" t="s">
        <v>63</v>
      </c>
    </row>
    <row r="241" spans="1:58">
      <c r="A241" t="s">
        <v>58</v>
      </c>
      <c r="B241" t="s">
        <v>2226</v>
      </c>
      <c r="C241" t="s">
        <v>2227</v>
      </c>
      <c r="D241" t="s">
        <v>1065</v>
      </c>
      <c r="E241" t="s">
        <v>63</v>
      </c>
      <c r="F241">
        <v>2014</v>
      </c>
      <c r="G241" s="1">
        <v>41992</v>
      </c>
      <c r="H241">
        <v>14</v>
      </c>
      <c r="I241" t="s">
        <v>63</v>
      </c>
      <c r="J241">
        <v>651</v>
      </c>
      <c r="K241" t="s">
        <v>63</v>
      </c>
      <c r="L241" t="s">
        <v>2228</v>
      </c>
      <c r="M241" t="s">
        <v>2229</v>
      </c>
      <c r="N241" t="s">
        <v>2230</v>
      </c>
      <c r="O241" t="s">
        <v>63</v>
      </c>
      <c r="Q241" t="s">
        <v>63</v>
      </c>
      <c r="R241" t="s">
        <v>63</v>
      </c>
      <c r="S241" t="s">
        <v>63</v>
      </c>
      <c r="T241" t="s">
        <v>63</v>
      </c>
      <c r="X241" t="s">
        <v>63</v>
      </c>
      <c r="Y241" t="s">
        <v>1069</v>
      </c>
      <c r="Z241" t="s">
        <v>63</v>
      </c>
      <c r="AA241" t="s">
        <v>2231</v>
      </c>
      <c r="AB241">
        <v>25526749</v>
      </c>
      <c r="AC241" t="s">
        <v>67</v>
      </c>
      <c r="AD241" t="s">
        <v>63</v>
      </c>
      <c r="AE241" t="s">
        <v>63</v>
      </c>
      <c r="AF241" t="s">
        <v>63</v>
      </c>
      <c r="AG241" t="s">
        <v>2232</v>
      </c>
      <c r="AH241" t="s">
        <v>63</v>
      </c>
      <c r="AI241" t="s">
        <v>2233</v>
      </c>
      <c r="AJ241" t="s">
        <v>63</v>
      </c>
      <c r="AK241" t="s">
        <v>63</v>
      </c>
      <c r="AL241" t="s">
        <v>63</v>
      </c>
      <c r="AM241" t="s">
        <v>2234</v>
      </c>
      <c r="AN241" t="s">
        <v>63</v>
      </c>
      <c r="AO241" t="s">
        <v>63</v>
      </c>
      <c r="AP241" t="s">
        <v>63</v>
      </c>
      <c r="AQ241" t="s">
        <v>63</v>
      </c>
      <c r="AR241" t="s">
        <v>63</v>
      </c>
      <c r="AS241" t="s">
        <v>63</v>
      </c>
      <c r="AT241" t="s">
        <v>63</v>
      </c>
      <c r="AU241" t="s">
        <v>63</v>
      </c>
      <c r="AV241" t="s">
        <v>63</v>
      </c>
      <c r="AW241" t="s">
        <v>63</v>
      </c>
      <c r="AX241" t="s">
        <v>63</v>
      </c>
      <c r="AY241" t="s">
        <v>63</v>
      </c>
      <c r="AZ241" t="s">
        <v>63</v>
      </c>
      <c r="BA241" t="s">
        <v>63</v>
      </c>
      <c r="BB241" t="s">
        <v>63</v>
      </c>
      <c r="BC241" t="s">
        <v>63</v>
      </c>
      <c r="BD241" t="s">
        <v>63</v>
      </c>
      <c r="BE241" t="s">
        <v>63</v>
      </c>
      <c r="BF241" t="s">
        <v>63</v>
      </c>
    </row>
    <row r="242" spans="1:58">
      <c r="A242" t="s">
        <v>58</v>
      </c>
      <c r="B242" t="s">
        <v>2235</v>
      </c>
      <c r="C242" t="s">
        <v>2236</v>
      </c>
      <c r="D242" t="s">
        <v>2237</v>
      </c>
      <c r="E242" t="s">
        <v>63</v>
      </c>
      <c r="F242">
        <v>2010</v>
      </c>
      <c r="G242" t="s">
        <v>84</v>
      </c>
      <c r="H242">
        <v>8</v>
      </c>
      <c r="I242">
        <v>1</v>
      </c>
      <c r="J242">
        <v>15</v>
      </c>
      <c r="K242">
        <v>18</v>
      </c>
      <c r="L242" t="s">
        <v>2238</v>
      </c>
      <c r="M242" t="s">
        <v>2239</v>
      </c>
      <c r="N242" t="s">
        <v>2240</v>
      </c>
      <c r="O242" t="s">
        <v>63</v>
      </c>
      <c r="Q242" t="s">
        <v>63</v>
      </c>
      <c r="R242" t="s">
        <v>63</v>
      </c>
      <c r="S242" t="s">
        <v>63</v>
      </c>
      <c r="T242" t="s">
        <v>63</v>
      </c>
      <c r="X242" t="s">
        <v>63</v>
      </c>
      <c r="Y242" t="s">
        <v>2241</v>
      </c>
      <c r="Z242" t="s">
        <v>63</v>
      </c>
      <c r="AA242" t="s">
        <v>2242</v>
      </c>
      <c r="AB242">
        <v>21879007</v>
      </c>
      <c r="AC242" t="s">
        <v>67</v>
      </c>
      <c r="AD242" t="s">
        <v>63</v>
      </c>
      <c r="AE242" t="s">
        <v>63</v>
      </c>
      <c r="AF242" t="s">
        <v>63</v>
      </c>
      <c r="AG242" t="s">
        <v>2243</v>
      </c>
      <c r="AH242" t="s">
        <v>63</v>
      </c>
      <c r="AI242" t="s">
        <v>63</v>
      </c>
      <c r="AJ242" t="s">
        <v>63</v>
      </c>
      <c r="AK242" t="s">
        <v>63</v>
      </c>
      <c r="AL242" t="s">
        <v>63</v>
      </c>
      <c r="AM242" t="s">
        <v>2244</v>
      </c>
      <c r="AN242" t="s">
        <v>63</v>
      </c>
      <c r="AO242" t="s">
        <v>63</v>
      </c>
      <c r="AP242" t="s">
        <v>63</v>
      </c>
      <c r="AQ242" t="s">
        <v>63</v>
      </c>
      <c r="AR242" t="s">
        <v>63</v>
      </c>
      <c r="AS242" t="s">
        <v>63</v>
      </c>
      <c r="AT242" t="s">
        <v>63</v>
      </c>
      <c r="AU242" t="s">
        <v>63</v>
      </c>
      <c r="AV242" t="s">
        <v>63</v>
      </c>
      <c r="AW242" t="s">
        <v>63</v>
      </c>
      <c r="AX242" t="s">
        <v>63</v>
      </c>
      <c r="AY242" t="s">
        <v>63</v>
      </c>
      <c r="AZ242" t="s">
        <v>63</v>
      </c>
      <c r="BA242" t="s">
        <v>63</v>
      </c>
      <c r="BB242" t="s">
        <v>63</v>
      </c>
      <c r="BC242" t="s">
        <v>63</v>
      </c>
      <c r="BD242" t="s">
        <v>63</v>
      </c>
      <c r="BE242" t="s">
        <v>63</v>
      </c>
      <c r="BF242" t="s">
        <v>63</v>
      </c>
    </row>
    <row r="243" spans="1:58">
      <c r="A243" t="s">
        <v>58</v>
      </c>
      <c r="B243" t="s">
        <v>2245</v>
      </c>
      <c r="C243" t="s">
        <v>2246</v>
      </c>
      <c r="D243" t="s">
        <v>2247</v>
      </c>
      <c r="E243" t="s">
        <v>2248</v>
      </c>
      <c r="F243">
        <v>1996</v>
      </c>
      <c r="G243" s="1">
        <v>41684</v>
      </c>
      <c r="H243">
        <v>61</v>
      </c>
      <c r="I243">
        <v>1</v>
      </c>
      <c r="J243">
        <v>108</v>
      </c>
      <c r="K243">
        <v>112</v>
      </c>
      <c r="L243" t="s">
        <v>2249</v>
      </c>
      <c r="M243" t="s">
        <v>2250</v>
      </c>
      <c r="N243" t="s">
        <v>2251</v>
      </c>
      <c r="O243" t="s">
        <v>63</v>
      </c>
      <c r="Q243" t="s">
        <v>63</v>
      </c>
      <c r="R243" t="s">
        <v>63</v>
      </c>
      <c r="S243" t="s">
        <v>63</v>
      </c>
      <c r="T243" t="s">
        <v>63</v>
      </c>
      <c r="X243" t="s">
        <v>63</v>
      </c>
      <c r="Y243" t="s">
        <v>2252</v>
      </c>
      <c r="Z243" t="s">
        <v>63</v>
      </c>
      <c r="AA243" t="s">
        <v>2253</v>
      </c>
      <c r="AB243">
        <v>8769951</v>
      </c>
      <c r="AC243" t="s">
        <v>67</v>
      </c>
      <c r="AD243" t="s">
        <v>63</v>
      </c>
      <c r="AE243" t="s">
        <v>63</v>
      </c>
      <c r="AF243" t="s">
        <v>63</v>
      </c>
      <c r="AG243" t="s">
        <v>2254</v>
      </c>
      <c r="AH243" t="s">
        <v>63</v>
      </c>
      <c r="AI243" t="s">
        <v>63</v>
      </c>
      <c r="AJ243" t="s">
        <v>63</v>
      </c>
      <c r="AK243" t="s">
        <v>63</v>
      </c>
      <c r="AL243" t="s">
        <v>63</v>
      </c>
      <c r="AM243" t="s">
        <v>2255</v>
      </c>
      <c r="AN243" t="s">
        <v>63</v>
      </c>
      <c r="AO243" t="s">
        <v>63</v>
      </c>
      <c r="AP243" t="s">
        <v>63</v>
      </c>
      <c r="AQ243" t="s">
        <v>63</v>
      </c>
      <c r="AR243" t="s">
        <v>63</v>
      </c>
      <c r="AS243" t="s">
        <v>63</v>
      </c>
      <c r="AT243" t="s">
        <v>63</v>
      </c>
      <c r="AU243" t="s">
        <v>63</v>
      </c>
      <c r="AV243" t="s">
        <v>63</v>
      </c>
      <c r="AW243" t="s">
        <v>63</v>
      </c>
      <c r="AX243" t="s">
        <v>63</v>
      </c>
      <c r="AY243" t="s">
        <v>63</v>
      </c>
      <c r="AZ243" t="s">
        <v>63</v>
      </c>
      <c r="BA243" t="s">
        <v>63</v>
      </c>
      <c r="BB243" t="s">
        <v>63</v>
      </c>
      <c r="BC243" t="s">
        <v>63</v>
      </c>
      <c r="BD243" t="s">
        <v>63</v>
      </c>
      <c r="BE243" t="s">
        <v>63</v>
      </c>
      <c r="BF243" t="s">
        <v>63</v>
      </c>
    </row>
    <row r="244" spans="1:58">
      <c r="A244" t="s">
        <v>58</v>
      </c>
      <c r="B244" t="s">
        <v>2256</v>
      </c>
      <c r="C244" t="s">
        <v>2257</v>
      </c>
      <c r="D244" t="s">
        <v>592</v>
      </c>
      <c r="E244" t="s">
        <v>593</v>
      </c>
      <c r="F244">
        <v>2008</v>
      </c>
      <c r="G244" t="s">
        <v>623</v>
      </c>
      <c r="H244">
        <v>37</v>
      </c>
      <c r="I244" s="1">
        <v>41640</v>
      </c>
      <c r="J244">
        <v>57</v>
      </c>
      <c r="K244">
        <v>60</v>
      </c>
      <c r="L244" t="s">
        <v>2258</v>
      </c>
      <c r="M244" t="s">
        <v>2259</v>
      </c>
      <c r="N244" t="s">
        <v>2260</v>
      </c>
      <c r="O244" t="s">
        <v>63</v>
      </c>
      <c r="Q244" t="s">
        <v>63</v>
      </c>
      <c r="R244" t="s">
        <v>63</v>
      </c>
      <c r="S244" t="s">
        <v>63</v>
      </c>
      <c r="T244" t="s">
        <v>63</v>
      </c>
      <c r="X244" t="s">
        <v>63</v>
      </c>
      <c r="Y244" t="s">
        <v>597</v>
      </c>
      <c r="Z244" t="s">
        <v>63</v>
      </c>
      <c r="AA244" t="s">
        <v>2261</v>
      </c>
      <c r="AB244">
        <v>18239755</v>
      </c>
      <c r="AC244" t="s">
        <v>67</v>
      </c>
      <c r="AD244" t="s">
        <v>63</v>
      </c>
      <c r="AE244" t="s">
        <v>63</v>
      </c>
      <c r="AF244" t="s">
        <v>63</v>
      </c>
      <c r="AG244" t="s">
        <v>2262</v>
      </c>
      <c r="AH244" t="s">
        <v>63</v>
      </c>
      <c r="AI244" t="s">
        <v>63</v>
      </c>
      <c r="AJ244" t="s">
        <v>63</v>
      </c>
      <c r="AK244" t="s">
        <v>63</v>
      </c>
      <c r="AL244" t="s">
        <v>63</v>
      </c>
      <c r="AM244" t="s">
        <v>2263</v>
      </c>
      <c r="AN244" t="s">
        <v>63</v>
      </c>
      <c r="AO244" t="s">
        <v>63</v>
      </c>
      <c r="AP244" t="s">
        <v>63</v>
      </c>
      <c r="AQ244" t="s">
        <v>63</v>
      </c>
      <c r="AR244" t="s">
        <v>63</v>
      </c>
      <c r="AS244" t="s">
        <v>63</v>
      </c>
      <c r="AT244" t="s">
        <v>63</v>
      </c>
      <c r="AU244" t="s">
        <v>63</v>
      </c>
      <c r="AV244" t="s">
        <v>63</v>
      </c>
      <c r="AW244" t="s">
        <v>63</v>
      </c>
      <c r="AX244" t="s">
        <v>63</v>
      </c>
      <c r="AY244" t="s">
        <v>63</v>
      </c>
      <c r="AZ244" t="s">
        <v>63</v>
      </c>
      <c r="BA244" t="s">
        <v>63</v>
      </c>
      <c r="BB244" t="s">
        <v>63</v>
      </c>
      <c r="BC244" t="s">
        <v>63</v>
      </c>
      <c r="BD244" t="s">
        <v>63</v>
      </c>
      <c r="BE244" t="s">
        <v>63</v>
      </c>
      <c r="BF244" t="s">
        <v>63</v>
      </c>
    </row>
    <row r="245" spans="1:58">
      <c r="A245" t="s">
        <v>58</v>
      </c>
      <c r="B245" t="s">
        <v>2264</v>
      </c>
      <c r="C245" t="s">
        <v>2265</v>
      </c>
      <c r="D245" t="s">
        <v>2185</v>
      </c>
      <c r="E245" t="s">
        <v>63</v>
      </c>
      <c r="F245">
        <v>2016</v>
      </c>
      <c r="G245" t="s">
        <v>198</v>
      </c>
      <c r="H245">
        <v>127</v>
      </c>
      <c r="I245">
        <v>1</v>
      </c>
      <c r="J245">
        <v>157</v>
      </c>
      <c r="K245">
        <v>158</v>
      </c>
      <c r="L245" t="s">
        <v>2266</v>
      </c>
      <c r="M245" t="s">
        <v>2267</v>
      </c>
      <c r="N245" t="s">
        <v>2268</v>
      </c>
      <c r="O245" t="s">
        <v>63</v>
      </c>
      <c r="Q245" t="s">
        <v>63</v>
      </c>
      <c r="R245" t="s">
        <v>63</v>
      </c>
      <c r="S245" t="s">
        <v>63</v>
      </c>
      <c r="T245" t="s">
        <v>63</v>
      </c>
      <c r="X245" t="s">
        <v>63</v>
      </c>
      <c r="Y245" t="s">
        <v>2269</v>
      </c>
      <c r="Z245" t="s">
        <v>63</v>
      </c>
      <c r="AA245" t="s">
        <v>2270</v>
      </c>
      <c r="AB245">
        <v>26646137</v>
      </c>
      <c r="AC245" t="s">
        <v>67</v>
      </c>
      <c r="AD245" t="s">
        <v>63</v>
      </c>
      <c r="AE245" t="s">
        <v>63</v>
      </c>
      <c r="AF245" t="s">
        <v>63</v>
      </c>
      <c r="AG245" t="s">
        <v>2271</v>
      </c>
      <c r="AH245" t="s">
        <v>63</v>
      </c>
      <c r="AI245" t="s">
        <v>2272</v>
      </c>
      <c r="AJ245" t="s">
        <v>63</v>
      </c>
      <c r="AK245" t="s">
        <v>63</v>
      </c>
      <c r="AL245" t="s">
        <v>63</v>
      </c>
      <c r="AM245" t="s">
        <v>2273</v>
      </c>
      <c r="AN245" t="s">
        <v>63</v>
      </c>
      <c r="AO245" t="s">
        <v>63</v>
      </c>
      <c r="AP245" t="s">
        <v>63</v>
      </c>
      <c r="AQ245" t="s">
        <v>63</v>
      </c>
      <c r="AR245" t="s">
        <v>63</v>
      </c>
      <c r="AS245" t="s">
        <v>63</v>
      </c>
      <c r="AT245" t="s">
        <v>63</v>
      </c>
      <c r="AU245" t="s">
        <v>63</v>
      </c>
      <c r="AV245" t="s">
        <v>63</v>
      </c>
      <c r="AW245" t="s">
        <v>63</v>
      </c>
      <c r="AX245" t="s">
        <v>63</v>
      </c>
      <c r="AY245" t="s">
        <v>63</v>
      </c>
      <c r="AZ245" t="s">
        <v>63</v>
      </c>
      <c r="BA245" t="s">
        <v>63</v>
      </c>
      <c r="BB245" t="s">
        <v>63</v>
      </c>
      <c r="BC245" t="s">
        <v>63</v>
      </c>
      <c r="BD245" t="s">
        <v>63</v>
      </c>
      <c r="BE245" t="s">
        <v>63</v>
      </c>
      <c r="BF245" t="s">
        <v>63</v>
      </c>
    </row>
    <row r="246" spans="1:58">
      <c r="A246" t="s">
        <v>58</v>
      </c>
      <c r="B246" t="s">
        <v>2274</v>
      </c>
      <c r="C246" t="s">
        <v>2275</v>
      </c>
      <c r="D246" t="s">
        <v>137</v>
      </c>
      <c r="E246" t="s">
        <v>63</v>
      </c>
      <c r="F246">
        <v>1992</v>
      </c>
      <c r="G246" t="s">
        <v>1670</v>
      </c>
      <c r="H246">
        <v>38</v>
      </c>
      <c r="I246" t="s">
        <v>63</v>
      </c>
      <c r="J246">
        <v>1609</v>
      </c>
      <c r="K246">
        <v>1612</v>
      </c>
      <c r="L246" t="s">
        <v>63</v>
      </c>
      <c r="M246" t="s">
        <v>63</v>
      </c>
      <c r="N246" t="s">
        <v>2276</v>
      </c>
      <c r="O246" t="s">
        <v>63</v>
      </c>
      <c r="Q246" t="s">
        <v>63</v>
      </c>
      <c r="R246" t="s">
        <v>63</v>
      </c>
      <c r="S246" t="s">
        <v>63</v>
      </c>
      <c r="T246" t="s">
        <v>63</v>
      </c>
      <c r="X246" t="s">
        <v>63</v>
      </c>
      <c r="Y246" t="s">
        <v>141</v>
      </c>
      <c r="Z246" t="s">
        <v>63</v>
      </c>
      <c r="AA246" t="s">
        <v>63</v>
      </c>
      <c r="AB246">
        <v>21221361</v>
      </c>
      <c r="AC246" t="s">
        <v>67</v>
      </c>
      <c r="AD246" t="s">
        <v>63</v>
      </c>
      <c r="AE246" t="s">
        <v>63</v>
      </c>
      <c r="AF246" t="s">
        <v>63</v>
      </c>
      <c r="AG246" t="s">
        <v>2277</v>
      </c>
      <c r="AH246" t="s">
        <v>63</v>
      </c>
      <c r="AI246" t="s">
        <v>63</v>
      </c>
      <c r="AJ246" t="s">
        <v>63</v>
      </c>
      <c r="AK246" t="s">
        <v>63</v>
      </c>
      <c r="AL246" t="s">
        <v>63</v>
      </c>
      <c r="AM246" t="s">
        <v>2278</v>
      </c>
      <c r="AN246" t="s">
        <v>63</v>
      </c>
      <c r="AO246" t="s">
        <v>63</v>
      </c>
      <c r="AP246" t="s">
        <v>63</v>
      </c>
      <c r="AQ246" t="s">
        <v>63</v>
      </c>
      <c r="AR246" t="s">
        <v>63</v>
      </c>
      <c r="AS246" t="s">
        <v>63</v>
      </c>
      <c r="AT246" t="s">
        <v>63</v>
      </c>
      <c r="AU246" t="s">
        <v>63</v>
      </c>
      <c r="AV246" t="s">
        <v>63</v>
      </c>
      <c r="AW246" t="s">
        <v>63</v>
      </c>
      <c r="AX246" t="s">
        <v>63</v>
      </c>
      <c r="AY246" t="s">
        <v>63</v>
      </c>
      <c r="AZ246" t="s">
        <v>63</v>
      </c>
      <c r="BA246" t="s">
        <v>63</v>
      </c>
      <c r="BB246" t="s">
        <v>63</v>
      </c>
      <c r="BC246" t="s">
        <v>63</v>
      </c>
      <c r="BD246" t="s">
        <v>63</v>
      </c>
      <c r="BE246" t="s">
        <v>63</v>
      </c>
      <c r="BF246" t="s">
        <v>63</v>
      </c>
    </row>
    <row r="247" spans="1:58">
      <c r="A247" t="s">
        <v>58</v>
      </c>
      <c r="B247" t="s">
        <v>2279</v>
      </c>
      <c r="C247" t="s">
        <v>2280</v>
      </c>
      <c r="D247" t="s">
        <v>2281</v>
      </c>
      <c r="E247" t="s">
        <v>2282</v>
      </c>
      <c r="F247">
        <v>1991</v>
      </c>
      <c r="G247" t="s">
        <v>181</v>
      </c>
      <c r="H247">
        <v>302</v>
      </c>
      <c r="I247">
        <v>3</v>
      </c>
      <c r="J247">
        <v>181</v>
      </c>
      <c r="K247">
        <v>184</v>
      </c>
      <c r="L247" t="s">
        <v>2283</v>
      </c>
      <c r="M247" t="s">
        <v>2284</v>
      </c>
      <c r="N247" t="s">
        <v>2285</v>
      </c>
      <c r="O247" t="s">
        <v>63</v>
      </c>
      <c r="Q247" t="s">
        <v>63</v>
      </c>
      <c r="R247" t="s">
        <v>63</v>
      </c>
      <c r="S247" t="s">
        <v>63</v>
      </c>
      <c r="T247" t="s">
        <v>63</v>
      </c>
      <c r="X247" t="s">
        <v>63</v>
      </c>
      <c r="Y247" s="2">
        <v>2821531</v>
      </c>
      <c r="Z247" t="s">
        <v>63</v>
      </c>
      <c r="AA247" t="s">
        <v>2286</v>
      </c>
      <c r="AB247">
        <v>1928229</v>
      </c>
      <c r="AC247" t="s">
        <v>67</v>
      </c>
      <c r="AD247" t="s">
        <v>63</v>
      </c>
      <c r="AE247" t="s">
        <v>63</v>
      </c>
      <c r="AF247" t="s">
        <v>63</v>
      </c>
      <c r="AG247" t="s">
        <v>2287</v>
      </c>
      <c r="AH247" t="s">
        <v>63</v>
      </c>
      <c r="AI247" t="s">
        <v>63</v>
      </c>
      <c r="AJ247" t="s">
        <v>63</v>
      </c>
      <c r="AK247" t="s">
        <v>63</v>
      </c>
      <c r="AL247" t="s">
        <v>63</v>
      </c>
      <c r="AM247" t="s">
        <v>2288</v>
      </c>
      <c r="AN247" t="s">
        <v>63</v>
      </c>
      <c r="AO247" t="s">
        <v>63</v>
      </c>
      <c r="AP247" t="s">
        <v>63</v>
      </c>
      <c r="AQ247" t="s">
        <v>63</v>
      </c>
      <c r="AR247" t="s">
        <v>63</v>
      </c>
      <c r="AS247" t="s">
        <v>63</v>
      </c>
      <c r="AT247" t="s">
        <v>63</v>
      </c>
      <c r="AU247" t="s">
        <v>63</v>
      </c>
      <c r="AV247" t="s">
        <v>63</v>
      </c>
      <c r="AW247" t="s">
        <v>63</v>
      </c>
      <c r="AX247" t="s">
        <v>63</v>
      </c>
      <c r="AY247" t="s">
        <v>63</v>
      </c>
      <c r="AZ247" t="s">
        <v>63</v>
      </c>
      <c r="BA247" t="s">
        <v>63</v>
      </c>
      <c r="BB247" t="s">
        <v>63</v>
      </c>
      <c r="BC247" t="s">
        <v>63</v>
      </c>
      <c r="BD247" t="s">
        <v>63</v>
      </c>
      <c r="BE247" t="s">
        <v>63</v>
      </c>
      <c r="BF247" t="s">
        <v>63</v>
      </c>
    </row>
    <row r="248" spans="1:58">
      <c r="A248" t="s">
        <v>58</v>
      </c>
      <c r="B248" t="s">
        <v>2289</v>
      </c>
      <c r="C248" t="s">
        <v>2290</v>
      </c>
      <c r="D248" t="s">
        <v>2291</v>
      </c>
      <c r="E248" t="s">
        <v>2291</v>
      </c>
      <c r="F248">
        <v>1996</v>
      </c>
      <c r="G248" s="1">
        <v>41762</v>
      </c>
      <c r="H248">
        <v>312</v>
      </c>
      <c r="I248">
        <v>7039</v>
      </c>
      <c r="J248">
        <v>1162</v>
      </c>
      <c r="K248" t="s">
        <v>63</v>
      </c>
      <c r="L248" t="s">
        <v>2292</v>
      </c>
      <c r="M248" t="s">
        <v>63</v>
      </c>
      <c r="N248" t="s">
        <v>2293</v>
      </c>
      <c r="O248" t="s">
        <v>63</v>
      </c>
      <c r="Q248" t="s">
        <v>63</v>
      </c>
      <c r="R248" t="s">
        <v>63</v>
      </c>
      <c r="S248" t="s">
        <v>63</v>
      </c>
      <c r="T248" t="s">
        <v>63</v>
      </c>
      <c r="X248" t="s">
        <v>63</v>
      </c>
      <c r="Y248" t="s">
        <v>2294</v>
      </c>
      <c r="Z248" t="s">
        <v>63</v>
      </c>
      <c r="AA248" t="s">
        <v>63</v>
      </c>
      <c r="AB248">
        <v>8620162</v>
      </c>
      <c r="AC248" t="s">
        <v>67</v>
      </c>
      <c r="AD248" t="s">
        <v>63</v>
      </c>
      <c r="AE248" t="s">
        <v>63</v>
      </c>
      <c r="AF248" t="s">
        <v>63</v>
      </c>
      <c r="AG248" t="s">
        <v>2295</v>
      </c>
      <c r="AH248" t="s">
        <v>63</v>
      </c>
      <c r="AI248" t="s">
        <v>63</v>
      </c>
      <c r="AJ248" t="s">
        <v>63</v>
      </c>
      <c r="AK248" t="s">
        <v>63</v>
      </c>
      <c r="AL248" t="s">
        <v>63</v>
      </c>
      <c r="AM248" t="s">
        <v>2296</v>
      </c>
      <c r="AN248" t="s">
        <v>63</v>
      </c>
      <c r="AO248" t="s">
        <v>63</v>
      </c>
      <c r="AP248" t="s">
        <v>63</v>
      </c>
      <c r="AQ248" t="s">
        <v>63</v>
      </c>
      <c r="AR248" t="s">
        <v>63</v>
      </c>
      <c r="AS248" t="s">
        <v>63</v>
      </c>
      <c r="AT248" t="s">
        <v>63</v>
      </c>
      <c r="AU248" t="s">
        <v>63</v>
      </c>
      <c r="AV248" t="s">
        <v>63</v>
      </c>
      <c r="AW248" t="s">
        <v>63</v>
      </c>
      <c r="AX248" t="s">
        <v>63</v>
      </c>
      <c r="AY248" t="s">
        <v>63</v>
      </c>
      <c r="AZ248" t="s">
        <v>63</v>
      </c>
      <c r="BA248" t="s">
        <v>63</v>
      </c>
      <c r="BB248" t="s">
        <v>63</v>
      </c>
      <c r="BC248" t="s">
        <v>63</v>
      </c>
      <c r="BD248" t="s">
        <v>63</v>
      </c>
      <c r="BE248" t="s">
        <v>63</v>
      </c>
      <c r="BF248" t="s">
        <v>63</v>
      </c>
    </row>
    <row r="249" spans="1:58">
      <c r="A249" t="s">
        <v>58</v>
      </c>
      <c r="B249" t="s">
        <v>2297</v>
      </c>
      <c r="C249" t="s">
        <v>2298</v>
      </c>
      <c r="D249" t="s">
        <v>2299</v>
      </c>
      <c r="E249" t="s">
        <v>63</v>
      </c>
      <c r="F249">
        <v>1984</v>
      </c>
      <c r="G249" t="s">
        <v>1717</v>
      </c>
      <c r="H249">
        <v>26</v>
      </c>
      <c r="I249">
        <v>6</v>
      </c>
      <c r="J249">
        <v>553</v>
      </c>
      <c r="K249">
        <v>560</v>
      </c>
      <c r="L249" t="s">
        <v>2300</v>
      </c>
      <c r="M249" t="s">
        <v>63</v>
      </c>
      <c r="N249" t="s">
        <v>2301</v>
      </c>
      <c r="O249" t="s">
        <v>63</v>
      </c>
      <c r="Q249" t="s">
        <v>63</v>
      </c>
      <c r="R249" t="s">
        <v>63</v>
      </c>
      <c r="S249" t="s">
        <v>63</v>
      </c>
      <c r="T249" t="s">
        <v>63</v>
      </c>
      <c r="X249" t="s">
        <v>63</v>
      </c>
      <c r="Y249" t="s">
        <v>2302</v>
      </c>
      <c r="Z249" t="s">
        <v>63</v>
      </c>
      <c r="AA249" t="s">
        <v>63</v>
      </c>
      <c r="AB249">
        <v>6515465</v>
      </c>
      <c r="AC249" t="s">
        <v>913</v>
      </c>
      <c r="AD249" t="s">
        <v>63</v>
      </c>
      <c r="AE249" t="s">
        <v>63</v>
      </c>
      <c r="AF249" t="s">
        <v>63</v>
      </c>
      <c r="AG249" t="s">
        <v>2303</v>
      </c>
      <c r="AH249" t="s">
        <v>63</v>
      </c>
      <c r="AI249" t="s">
        <v>63</v>
      </c>
      <c r="AJ249" t="s">
        <v>63</v>
      </c>
      <c r="AK249" t="s">
        <v>63</v>
      </c>
      <c r="AL249" t="s">
        <v>63</v>
      </c>
      <c r="AM249" t="s">
        <v>2304</v>
      </c>
      <c r="AN249" t="s">
        <v>63</v>
      </c>
      <c r="AO249" t="s">
        <v>63</v>
      </c>
      <c r="AP249" t="s">
        <v>63</v>
      </c>
      <c r="AQ249" t="s">
        <v>63</v>
      </c>
      <c r="AR249" t="s">
        <v>63</v>
      </c>
      <c r="AS249" t="s">
        <v>63</v>
      </c>
      <c r="AT249" t="s">
        <v>63</v>
      </c>
      <c r="AU249" t="s">
        <v>63</v>
      </c>
      <c r="AV249" t="s">
        <v>63</v>
      </c>
      <c r="AW249" t="s">
        <v>63</v>
      </c>
      <c r="AX249" t="s">
        <v>63</v>
      </c>
      <c r="AY249" t="s">
        <v>63</v>
      </c>
      <c r="AZ249" t="s">
        <v>63</v>
      </c>
      <c r="BA249" t="s">
        <v>63</v>
      </c>
      <c r="BB249" t="s">
        <v>63</v>
      </c>
      <c r="BC249" t="s">
        <v>63</v>
      </c>
      <c r="BD249" t="s">
        <v>63</v>
      </c>
      <c r="BE249" t="s">
        <v>63</v>
      </c>
      <c r="BF249" t="s">
        <v>63</v>
      </c>
    </row>
    <row r="250" spans="1:58">
      <c r="A250" t="s">
        <v>58</v>
      </c>
      <c r="B250" t="s">
        <v>2305</v>
      </c>
      <c r="C250" t="s">
        <v>2306</v>
      </c>
      <c r="D250" t="s">
        <v>155</v>
      </c>
      <c r="E250" t="s">
        <v>156</v>
      </c>
      <c r="F250">
        <v>2016</v>
      </c>
      <c r="G250" t="s">
        <v>614</v>
      </c>
      <c r="H250">
        <v>68</v>
      </c>
      <c r="I250">
        <v>2</v>
      </c>
      <c r="J250">
        <v>202</v>
      </c>
      <c r="K250">
        <v>208</v>
      </c>
      <c r="L250" t="s">
        <v>2307</v>
      </c>
      <c r="M250" t="s">
        <v>2308</v>
      </c>
      <c r="N250" t="s">
        <v>2309</v>
      </c>
      <c r="O250" t="s">
        <v>63</v>
      </c>
      <c r="Q250" t="s">
        <v>63</v>
      </c>
      <c r="R250" t="s">
        <v>63</v>
      </c>
      <c r="S250" t="s">
        <v>63</v>
      </c>
      <c r="T250" t="s">
        <v>63</v>
      </c>
      <c r="X250" t="s">
        <v>63</v>
      </c>
      <c r="Y250" t="s">
        <v>2310</v>
      </c>
      <c r="Z250" t="s">
        <v>63</v>
      </c>
      <c r="AA250" t="s">
        <v>2311</v>
      </c>
      <c r="AB250">
        <v>26875061</v>
      </c>
      <c r="AC250" t="s">
        <v>67</v>
      </c>
      <c r="AD250" t="s">
        <v>63</v>
      </c>
      <c r="AE250" t="s">
        <v>63</v>
      </c>
      <c r="AF250" t="s">
        <v>63</v>
      </c>
      <c r="AG250" t="s">
        <v>2312</v>
      </c>
      <c r="AH250" t="s">
        <v>63</v>
      </c>
      <c r="AI250" t="s">
        <v>2313</v>
      </c>
      <c r="AJ250" t="s">
        <v>63</v>
      </c>
      <c r="AK250" t="s">
        <v>63</v>
      </c>
      <c r="AL250" t="s">
        <v>63</v>
      </c>
      <c r="AM250" t="s">
        <v>2314</v>
      </c>
      <c r="AN250" t="s">
        <v>63</v>
      </c>
      <c r="AO250" t="s">
        <v>63</v>
      </c>
      <c r="AP250" t="s">
        <v>63</v>
      </c>
      <c r="AQ250" t="s">
        <v>63</v>
      </c>
      <c r="AR250" t="s">
        <v>63</v>
      </c>
      <c r="AS250" t="s">
        <v>63</v>
      </c>
      <c r="AT250" t="s">
        <v>63</v>
      </c>
      <c r="AU250" t="s">
        <v>63</v>
      </c>
      <c r="AV250" t="s">
        <v>63</v>
      </c>
      <c r="AW250" t="s">
        <v>63</v>
      </c>
      <c r="AX250" t="s">
        <v>63</v>
      </c>
      <c r="AY250" t="s">
        <v>63</v>
      </c>
      <c r="AZ250" t="s">
        <v>63</v>
      </c>
      <c r="BA250" t="s">
        <v>63</v>
      </c>
      <c r="BB250" t="s">
        <v>63</v>
      </c>
      <c r="BC250" t="s">
        <v>63</v>
      </c>
      <c r="BD250" t="s">
        <v>63</v>
      </c>
      <c r="BE250" t="s">
        <v>63</v>
      </c>
      <c r="BF250" t="s">
        <v>63</v>
      </c>
    </row>
    <row r="251" spans="1:58">
      <c r="A251" t="s">
        <v>58</v>
      </c>
      <c r="B251" t="s">
        <v>2315</v>
      </c>
      <c r="C251" t="s">
        <v>2316</v>
      </c>
      <c r="D251" t="s">
        <v>2317</v>
      </c>
      <c r="E251" t="s">
        <v>63</v>
      </c>
      <c r="F251">
        <v>2009</v>
      </c>
      <c r="G251" t="s">
        <v>181</v>
      </c>
      <c r="H251">
        <v>129</v>
      </c>
      <c r="I251">
        <v>5</v>
      </c>
      <c r="J251">
        <v>210</v>
      </c>
      <c r="K251">
        <v>211</v>
      </c>
      <c r="L251" t="s">
        <v>2318</v>
      </c>
      <c r="M251" t="s">
        <v>63</v>
      </c>
      <c r="N251" t="s">
        <v>2319</v>
      </c>
      <c r="O251" t="s">
        <v>63</v>
      </c>
      <c r="Q251" t="s">
        <v>63</v>
      </c>
      <c r="R251" t="s">
        <v>63</v>
      </c>
      <c r="S251" t="s">
        <v>63</v>
      </c>
      <c r="T251" t="s">
        <v>63</v>
      </c>
      <c r="X251" t="s">
        <v>63</v>
      </c>
      <c r="Y251" t="s">
        <v>2320</v>
      </c>
      <c r="Z251" t="s">
        <v>63</v>
      </c>
      <c r="AA251" t="s">
        <v>63</v>
      </c>
      <c r="AB251">
        <v>19788161</v>
      </c>
      <c r="AC251" t="s">
        <v>67</v>
      </c>
      <c r="AD251" t="s">
        <v>63</v>
      </c>
      <c r="AE251" t="s">
        <v>63</v>
      </c>
      <c r="AF251" t="s">
        <v>63</v>
      </c>
      <c r="AG251" t="s">
        <v>2321</v>
      </c>
      <c r="AH251" t="s">
        <v>63</v>
      </c>
      <c r="AI251" t="s">
        <v>63</v>
      </c>
      <c r="AJ251" t="s">
        <v>63</v>
      </c>
      <c r="AK251" t="s">
        <v>63</v>
      </c>
      <c r="AL251" t="s">
        <v>63</v>
      </c>
      <c r="AM251" t="s">
        <v>2322</v>
      </c>
      <c r="AN251" t="s">
        <v>63</v>
      </c>
      <c r="AO251" t="s">
        <v>63</v>
      </c>
      <c r="AP251" t="s">
        <v>63</v>
      </c>
      <c r="AQ251" t="s">
        <v>63</v>
      </c>
      <c r="AR251" t="s">
        <v>63</v>
      </c>
      <c r="AS251" t="s">
        <v>63</v>
      </c>
      <c r="AT251" t="s">
        <v>63</v>
      </c>
      <c r="AU251" t="s">
        <v>63</v>
      </c>
      <c r="AV251" t="s">
        <v>63</v>
      </c>
      <c r="AW251" t="s">
        <v>63</v>
      </c>
      <c r="AX251" t="s">
        <v>63</v>
      </c>
      <c r="AY251" t="s">
        <v>63</v>
      </c>
      <c r="AZ251" t="s">
        <v>63</v>
      </c>
      <c r="BA251" t="s">
        <v>63</v>
      </c>
      <c r="BB251" t="s">
        <v>63</v>
      </c>
      <c r="BC251" t="s">
        <v>63</v>
      </c>
      <c r="BD251" t="s">
        <v>63</v>
      </c>
      <c r="BE251" t="s">
        <v>63</v>
      </c>
      <c r="BF251" t="s">
        <v>63</v>
      </c>
    </row>
    <row r="252" spans="1:58">
      <c r="A252" t="s">
        <v>58</v>
      </c>
      <c r="B252" t="s">
        <v>2323</v>
      </c>
      <c r="C252" t="s">
        <v>2324</v>
      </c>
      <c r="D252" t="s">
        <v>2325</v>
      </c>
      <c r="E252" t="s">
        <v>63</v>
      </c>
      <c r="F252">
        <v>2007</v>
      </c>
      <c r="G252" t="s">
        <v>1717</v>
      </c>
      <c r="H252">
        <v>20</v>
      </c>
      <c r="I252">
        <v>6</v>
      </c>
      <c r="J252">
        <v>572</v>
      </c>
      <c r="K252">
        <v>580</v>
      </c>
      <c r="L252" t="s">
        <v>2326</v>
      </c>
      <c r="M252" t="s">
        <v>2327</v>
      </c>
      <c r="N252" t="s">
        <v>2328</v>
      </c>
      <c r="O252" t="s">
        <v>63</v>
      </c>
      <c r="Q252" t="s">
        <v>63</v>
      </c>
      <c r="R252" t="s">
        <v>63</v>
      </c>
      <c r="S252" t="s">
        <v>63</v>
      </c>
      <c r="T252" t="s">
        <v>63</v>
      </c>
      <c r="X252" t="s">
        <v>63</v>
      </c>
      <c r="Y252" t="s">
        <v>2329</v>
      </c>
      <c r="Z252" t="s">
        <v>63</v>
      </c>
      <c r="AA252" t="s">
        <v>2330</v>
      </c>
      <c r="AB252">
        <v>17954865</v>
      </c>
      <c r="AC252" t="s">
        <v>67</v>
      </c>
      <c r="AD252" t="s">
        <v>63</v>
      </c>
      <c r="AE252" t="s">
        <v>63</v>
      </c>
      <c r="AF252" t="s">
        <v>63</v>
      </c>
      <c r="AG252" t="s">
        <v>2331</v>
      </c>
      <c r="AH252" t="s">
        <v>63</v>
      </c>
      <c r="AI252" t="s">
        <v>63</v>
      </c>
      <c r="AJ252" t="s">
        <v>63</v>
      </c>
      <c r="AK252" t="s">
        <v>63</v>
      </c>
      <c r="AL252" t="s">
        <v>63</v>
      </c>
      <c r="AM252" t="s">
        <v>2332</v>
      </c>
      <c r="AN252" t="s">
        <v>63</v>
      </c>
      <c r="AO252" t="s">
        <v>63</v>
      </c>
      <c r="AP252" t="s">
        <v>63</v>
      </c>
      <c r="AQ252" t="s">
        <v>63</v>
      </c>
      <c r="AR252" t="s">
        <v>63</v>
      </c>
      <c r="AS252" t="s">
        <v>63</v>
      </c>
      <c r="AT252" t="s">
        <v>63</v>
      </c>
      <c r="AU252" t="s">
        <v>63</v>
      </c>
      <c r="AV252" t="s">
        <v>63</v>
      </c>
      <c r="AW252" t="s">
        <v>63</v>
      </c>
      <c r="AX252" t="s">
        <v>63</v>
      </c>
      <c r="AY252" t="s">
        <v>63</v>
      </c>
      <c r="AZ252" t="s">
        <v>63</v>
      </c>
      <c r="BA252" t="s">
        <v>63</v>
      </c>
      <c r="BB252" t="s">
        <v>63</v>
      </c>
      <c r="BC252" t="s">
        <v>63</v>
      </c>
      <c r="BD252" t="s">
        <v>63</v>
      </c>
      <c r="BE252" t="s">
        <v>63</v>
      </c>
      <c r="BF252" t="s">
        <v>63</v>
      </c>
    </row>
    <row r="253" spans="1:58">
      <c r="A253" t="s">
        <v>58</v>
      </c>
      <c r="B253" t="s">
        <v>2333</v>
      </c>
      <c r="C253" t="s">
        <v>2334</v>
      </c>
      <c r="D253" t="s">
        <v>2325</v>
      </c>
      <c r="E253" t="s">
        <v>63</v>
      </c>
      <c r="F253">
        <v>2006</v>
      </c>
      <c r="G253" t="s">
        <v>1717</v>
      </c>
      <c r="H253">
        <v>19</v>
      </c>
      <c r="I253">
        <v>6</v>
      </c>
      <c r="J253">
        <v>579</v>
      </c>
      <c r="K253">
        <v>589</v>
      </c>
      <c r="L253" t="s">
        <v>2335</v>
      </c>
      <c r="M253" t="s">
        <v>2336</v>
      </c>
      <c r="N253" t="s">
        <v>2337</v>
      </c>
      <c r="O253" t="s">
        <v>63</v>
      </c>
      <c r="Q253" t="s">
        <v>63</v>
      </c>
      <c r="R253" t="s">
        <v>63</v>
      </c>
      <c r="S253" t="s">
        <v>63</v>
      </c>
      <c r="T253" t="s">
        <v>63</v>
      </c>
      <c r="X253" t="s">
        <v>63</v>
      </c>
      <c r="Y253" t="s">
        <v>2329</v>
      </c>
      <c r="Z253" t="s">
        <v>63</v>
      </c>
      <c r="AA253" t="s">
        <v>2338</v>
      </c>
      <c r="AB253">
        <v>17090791</v>
      </c>
      <c r="AC253" t="s">
        <v>67</v>
      </c>
      <c r="AD253" t="s">
        <v>63</v>
      </c>
      <c r="AE253" t="s">
        <v>63</v>
      </c>
      <c r="AF253" t="s">
        <v>63</v>
      </c>
      <c r="AG253" t="s">
        <v>2339</v>
      </c>
      <c r="AH253" t="s">
        <v>63</v>
      </c>
      <c r="AI253" t="s">
        <v>63</v>
      </c>
      <c r="AJ253" t="s">
        <v>63</v>
      </c>
      <c r="AK253" t="s">
        <v>63</v>
      </c>
      <c r="AL253" t="s">
        <v>63</v>
      </c>
      <c r="AM253" t="s">
        <v>2340</v>
      </c>
      <c r="AN253" t="s">
        <v>63</v>
      </c>
      <c r="AO253" t="s">
        <v>63</v>
      </c>
      <c r="AP253" t="s">
        <v>63</v>
      </c>
      <c r="AQ253" t="s">
        <v>63</v>
      </c>
      <c r="AR253" t="s">
        <v>63</v>
      </c>
      <c r="AS253" t="s">
        <v>63</v>
      </c>
      <c r="AT253" t="s">
        <v>63</v>
      </c>
      <c r="AU253" t="s">
        <v>63</v>
      </c>
      <c r="AV253" t="s">
        <v>63</v>
      </c>
      <c r="AW253" t="s">
        <v>63</v>
      </c>
      <c r="AX253" t="s">
        <v>63</v>
      </c>
      <c r="AY253" t="s">
        <v>63</v>
      </c>
      <c r="AZ253" t="s">
        <v>63</v>
      </c>
      <c r="BA253" t="s">
        <v>63</v>
      </c>
      <c r="BB253" t="s">
        <v>63</v>
      </c>
      <c r="BC253" t="s">
        <v>63</v>
      </c>
      <c r="BD253" t="s">
        <v>63</v>
      </c>
      <c r="BE253" t="s">
        <v>63</v>
      </c>
      <c r="BF253" t="s">
        <v>63</v>
      </c>
    </row>
    <row r="254" spans="1:58">
      <c r="A254" t="s">
        <v>58</v>
      </c>
      <c r="B254" t="s">
        <v>2341</v>
      </c>
      <c r="C254" t="s">
        <v>2342</v>
      </c>
      <c r="D254" t="s">
        <v>2343</v>
      </c>
      <c r="E254" t="s">
        <v>2344</v>
      </c>
      <c r="F254">
        <v>1992</v>
      </c>
      <c r="G254" t="s">
        <v>274</v>
      </c>
      <c r="H254">
        <v>34</v>
      </c>
      <c r="I254">
        <v>3</v>
      </c>
      <c r="J254">
        <v>267</v>
      </c>
      <c r="K254">
        <v>268</v>
      </c>
      <c r="L254" t="s">
        <v>2345</v>
      </c>
      <c r="M254" t="s">
        <v>63</v>
      </c>
      <c r="N254" t="s">
        <v>2346</v>
      </c>
      <c r="O254" t="s">
        <v>63</v>
      </c>
      <c r="Q254" t="s">
        <v>63</v>
      </c>
      <c r="R254" t="s">
        <v>63</v>
      </c>
      <c r="S254" t="s">
        <v>63</v>
      </c>
      <c r="T254" t="s">
        <v>63</v>
      </c>
      <c r="X254" t="s">
        <v>63</v>
      </c>
      <c r="Y254" t="s">
        <v>2347</v>
      </c>
      <c r="Z254" t="s">
        <v>63</v>
      </c>
      <c r="AA254" t="s">
        <v>2348</v>
      </c>
      <c r="AB254">
        <v>1541950</v>
      </c>
      <c r="AC254" t="s">
        <v>67</v>
      </c>
      <c r="AD254" t="s">
        <v>63</v>
      </c>
      <c r="AE254" t="s">
        <v>63</v>
      </c>
      <c r="AF254" t="s">
        <v>63</v>
      </c>
      <c r="AG254" t="s">
        <v>2349</v>
      </c>
      <c r="AH254" t="s">
        <v>63</v>
      </c>
      <c r="AI254" t="s">
        <v>63</v>
      </c>
      <c r="AJ254" t="s">
        <v>63</v>
      </c>
      <c r="AK254" t="s">
        <v>63</v>
      </c>
      <c r="AL254" t="s">
        <v>63</v>
      </c>
      <c r="AM254" t="s">
        <v>2350</v>
      </c>
      <c r="AN254" t="s">
        <v>63</v>
      </c>
      <c r="AO254" t="s">
        <v>63</v>
      </c>
      <c r="AP254" t="s">
        <v>63</v>
      </c>
      <c r="AQ254" t="s">
        <v>63</v>
      </c>
      <c r="AR254" t="s">
        <v>63</v>
      </c>
      <c r="AS254" t="s">
        <v>63</v>
      </c>
      <c r="AT254" t="s">
        <v>63</v>
      </c>
      <c r="AU254" t="s">
        <v>63</v>
      </c>
      <c r="AV254" t="s">
        <v>63</v>
      </c>
      <c r="AW254" t="s">
        <v>63</v>
      </c>
      <c r="AX254" t="s">
        <v>63</v>
      </c>
      <c r="AY254" t="s">
        <v>63</v>
      </c>
      <c r="AZ254" t="s">
        <v>63</v>
      </c>
      <c r="BA254" t="s">
        <v>63</v>
      </c>
      <c r="BB254" t="s">
        <v>63</v>
      </c>
      <c r="BC254" t="s">
        <v>63</v>
      </c>
      <c r="BD254" t="s">
        <v>63</v>
      </c>
      <c r="BE254" t="s">
        <v>63</v>
      </c>
      <c r="BF254" t="s">
        <v>63</v>
      </c>
    </row>
    <row r="255" spans="1:58">
      <c r="A255" t="s">
        <v>58</v>
      </c>
      <c r="B255" t="s">
        <v>2351</v>
      </c>
      <c r="C255" t="s">
        <v>2352</v>
      </c>
      <c r="D255" t="s">
        <v>2353</v>
      </c>
      <c r="E255" t="s">
        <v>2354</v>
      </c>
      <c r="F255">
        <v>2007</v>
      </c>
      <c r="G255" t="s">
        <v>138</v>
      </c>
      <c r="H255">
        <v>33</v>
      </c>
      <c r="I255">
        <v>3</v>
      </c>
      <c r="J255">
        <v>279</v>
      </c>
      <c r="K255">
        <v>285</v>
      </c>
      <c r="L255" t="s">
        <v>2355</v>
      </c>
      <c r="M255" t="s">
        <v>2356</v>
      </c>
      <c r="N255" t="s">
        <v>2357</v>
      </c>
      <c r="O255" t="s">
        <v>63</v>
      </c>
      <c r="Q255" t="s">
        <v>63</v>
      </c>
      <c r="R255" t="s">
        <v>63</v>
      </c>
      <c r="S255" t="s">
        <v>63</v>
      </c>
      <c r="T255" t="s">
        <v>63</v>
      </c>
      <c r="X255" t="s">
        <v>63</v>
      </c>
      <c r="Y255" t="s">
        <v>2358</v>
      </c>
      <c r="Z255" t="s">
        <v>63</v>
      </c>
      <c r="AA255" t="s">
        <v>2359</v>
      </c>
      <c r="AB255">
        <v>17376637</v>
      </c>
      <c r="AC255" t="s">
        <v>67</v>
      </c>
      <c r="AD255" t="s">
        <v>63</v>
      </c>
      <c r="AE255" t="s">
        <v>63</v>
      </c>
      <c r="AF255" t="s">
        <v>63</v>
      </c>
      <c r="AG255" t="s">
        <v>2360</v>
      </c>
      <c r="AH255" t="s">
        <v>63</v>
      </c>
      <c r="AI255" t="s">
        <v>63</v>
      </c>
      <c r="AJ255" t="s">
        <v>63</v>
      </c>
      <c r="AK255" t="s">
        <v>63</v>
      </c>
      <c r="AL255" t="s">
        <v>63</v>
      </c>
      <c r="AM255" t="s">
        <v>2361</v>
      </c>
      <c r="AN255" t="s">
        <v>63</v>
      </c>
      <c r="AO255" t="s">
        <v>63</v>
      </c>
      <c r="AP255" t="s">
        <v>63</v>
      </c>
      <c r="AQ255" t="s">
        <v>63</v>
      </c>
      <c r="AR255" t="s">
        <v>63</v>
      </c>
      <c r="AS255" t="s">
        <v>63</v>
      </c>
      <c r="AT255" t="s">
        <v>63</v>
      </c>
      <c r="AU255" t="s">
        <v>63</v>
      </c>
      <c r="AV255" t="s">
        <v>63</v>
      </c>
      <c r="AW255" t="s">
        <v>63</v>
      </c>
      <c r="AX255" t="s">
        <v>63</v>
      </c>
      <c r="AY255" t="s">
        <v>63</v>
      </c>
      <c r="AZ255" t="s">
        <v>63</v>
      </c>
      <c r="BA255" t="s">
        <v>63</v>
      </c>
      <c r="BB255" t="s">
        <v>63</v>
      </c>
      <c r="BC255" t="s">
        <v>63</v>
      </c>
      <c r="BD255" t="s">
        <v>63</v>
      </c>
      <c r="BE255" t="s">
        <v>63</v>
      </c>
      <c r="BF255" t="s">
        <v>63</v>
      </c>
    </row>
    <row r="256" spans="1:58">
      <c r="A256" t="s">
        <v>58</v>
      </c>
      <c r="B256" t="s">
        <v>2362</v>
      </c>
      <c r="C256" t="s">
        <v>2363</v>
      </c>
      <c r="D256" t="s">
        <v>1212</v>
      </c>
      <c r="E256" t="s">
        <v>63</v>
      </c>
      <c r="F256">
        <v>2017</v>
      </c>
      <c r="G256" t="s">
        <v>2364</v>
      </c>
      <c r="H256">
        <v>11</v>
      </c>
      <c r="I256">
        <v>5</v>
      </c>
      <c r="J256">
        <v>333</v>
      </c>
      <c r="K256">
        <v>338</v>
      </c>
      <c r="L256" t="s">
        <v>63</v>
      </c>
      <c r="M256" t="s">
        <v>2365</v>
      </c>
      <c r="N256" t="s">
        <v>2366</v>
      </c>
      <c r="O256" t="s">
        <v>63</v>
      </c>
      <c r="Q256" t="s">
        <v>63</v>
      </c>
      <c r="R256" t="s">
        <v>63</v>
      </c>
      <c r="S256" t="s">
        <v>63</v>
      </c>
      <c r="T256" t="s">
        <v>63</v>
      </c>
      <c r="X256" t="s">
        <v>63</v>
      </c>
      <c r="Y256" t="s">
        <v>2367</v>
      </c>
      <c r="Z256" t="s">
        <v>63</v>
      </c>
      <c r="AA256" t="s">
        <v>2368</v>
      </c>
      <c r="AB256">
        <v>28590393</v>
      </c>
      <c r="AC256" t="s">
        <v>67</v>
      </c>
      <c r="AD256" t="s">
        <v>63</v>
      </c>
      <c r="AE256" t="s">
        <v>63</v>
      </c>
      <c r="AF256" t="s">
        <v>63</v>
      </c>
      <c r="AG256" t="s">
        <v>2369</v>
      </c>
      <c r="AH256" t="s">
        <v>63</v>
      </c>
      <c r="AI256" t="s">
        <v>2370</v>
      </c>
      <c r="AJ256" t="s">
        <v>63</v>
      </c>
      <c r="AK256" t="s">
        <v>63</v>
      </c>
      <c r="AL256" t="s">
        <v>63</v>
      </c>
      <c r="AM256" t="s">
        <v>2371</v>
      </c>
      <c r="AN256" t="s">
        <v>63</v>
      </c>
      <c r="AO256" t="s">
        <v>63</v>
      </c>
      <c r="AP256" t="s">
        <v>63</v>
      </c>
      <c r="AQ256" t="s">
        <v>63</v>
      </c>
      <c r="AR256" t="s">
        <v>63</v>
      </c>
      <c r="AS256" t="s">
        <v>63</v>
      </c>
      <c r="AT256" t="s">
        <v>63</v>
      </c>
      <c r="AU256" t="s">
        <v>63</v>
      </c>
      <c r="AV256" t="s">
        <v>63</v>
      </c>
      <c r="AW256" t="s">
        <v>63</v>
      </c>
      <c r="AX256" t="s">
        <v>63</v>
      </c>
      <c r="AY256" t="s">
        <v>63</v>
      </c>
      <c r="AZ256" t="s">
        <v>63</v>
      </c>
      <c r="BA256" t="s">
        <v>63</v>
      </c>
      <c r="BB256" t="s">
        <v>63</v>
      </c>
      <c r="BC256" t="s">
        <v>63</v>
      </c>
      <c r="BD256" t="s">
        <v>63</v>
      </c>
      <c r="BE256" t="s">
        <v>63</v>
      </c>
      <c r="BF256" t="s">
        <v>63</v>
      </c>
    </row>
    <row r="257" spans="1:58">
      <c r="A257" t="s">
        <v>58</v>
      </c>
      <c r="B257" t="s">
        <v>2372</v>
      </c>
      <c r="C257" t="s">
        <v>2373</v>
      </c>
      <c r="D257" t="s">
        <v>1240</v>
      </c>
      <c r="E257" t="s">
        <v>63</v>
      </c>
      <c r="F257">
        <v>1996</v>
      </c>
      <c r="G257" t="s">
        <v>157</v>
      </c>
      <c r="H257">
        <v>46</v>
      </c>
      <c r="I257">
        <v>413</v>
      </c>
      <c r="J257">
        <v>753</v>
      </c>
      <c r="K257" t="s">
        <v>63</v>
      </c>
      <c r="L257" t="s">
        <v>2374</v>
      </c>
      <c r="M257" t="s">
        <v>63</v>
      </c>
      <c r="N257" t="s">
        <v>2375</v>
      </c>
      <c r="O257" t="s">
        <v>63</v>
      </c>
      <c r="Q257" t="s">
        <v>63</v>
      </c>
      <c r="R257" t="s">
        <v>63</v>
      </c>
      <c r="S257" t="s">
        <v>63</v>
      </c>
      <c r="T257" t="s">
        <v>63</v>
      </c>
      <c r="X257" t="s">
        <v>63</v>
      </c>
      <c r="Y257" t="s">
        <v>2376</v>
      </c>
      <c r="Z257" t="s">
        <v>63</v>
      </c>
      <c r="AA257" t="s">
        <v>63</v>
      </c>
      <c r="AB257">
        <v>8995860</v>
      </c>
      <c r="AC257" t="s">
        <v>67</v>
      </c>
      <c r="AD257" t="s">
        <v>63</v>
      </c>
      <c r="AE257" t="s">
        <v>63</v>
      </c>
      <c r="AF257" t="s">
        <v>63</v>
      </c>
      <c r="AG257" t="s">
        <v>2377</v>
      </c>
      <c r="AH257" t="s">
        <v>63</v>
      </c>
      <c r="AI257" t="s">
        <v>63</v>
      </c>
      <c r="AJ257" t="s">
        <v>63</v>
      </c>
      <c r="AK257" t="s">
        <v>63</v>
      </c>
      <c r="AL257" t="s">
        <v>63</v>
      </c>
      <c r="AM257" t="s">
        <v>2378</v>
      </c>
      <c r="AN257" t="s">
        <v>63</v>
      </c>
      <c r="AO257" t="s">
        <v>63</v>
      </c>
      <c r="AP257" t="s">
        <v>63</v>
      </c>
      <c r="AQ257" t="s">
        <v>63</v>
      </c>
      <c r="AR257" t="s">
        <v>63</v>
      </c>
      <c r="AS257" t="s">
        <v>63</v>
      </c>
      <c r="AT257" t="s">
        <v>63</v>
      </c>
      <c r="AU257" t="s">
        <v>63</v>
      </c>
      <c r="AV257" t="s">
        <v>63</v>
      </c>
      <c r="AW257" t="s">
        <v>63</v>
      </c>
      <c r="AX257" t="s">
        <v>63</v>
      </c>
      <c r="AY257" t="s">
        <v>63</v>
      </c>
      <c r="AZ257" t="s">
        <v>63</v>
      </c>
      <c r="BA257" t="s">
        <v>63</v>
      </c>
      <c r="BB257" t="s">
        <v>63</v>
      </c>
      <c r="BC257" t="s">
        <v>63</v>
      </c>
      <c r="BD257" t="s">
        <v>63</v>
      </c>
      <c r="BE257" t="s">
        <v>63</v>
      </c>
      <c r="BF257" t="s">
        <v>63</v>
      </c>
    </row>
    <row r="258" spans="1:58">
      <c r="A258" t="s">
        <v>58</v>
      </c>
      <c r="B258" t="s">
        <v>2379</v>
      </c>
      <c r="C258" t="s">
        <v>2380</v>
      </c>
      <c r="D258" t="s">
        <v>438</v>
      </c>
      <c r="E258" t="s">
        <v>63</v>
      </c>
      <c r="F258">
        <v>2017</v>
      </c>
      <c r="G258" t="s">
        <v>63</v>
      </c>
      <c r="H258">
        <v>28</v>
      </c>
      <c r="I258">
        <v>2</v>
      </c>
      <c r="J258">
        <v>139</v>
      </c>
      <c r="K258">
        <v>141</v>
      </c>
      <c r="L258" t="s">
        <v>63</v>
      </c>
      <c r="M258" t="s">
        <v>63</v>
      </c>
      <c r="N258" t="s">
        <v>2381</v>
      </c>
      <c r="O258" t="s">
        <v>63</v>
      </c>
      <c r="Q258" t="s">
        <v>63</v>
      </c>
      <c r="R258" t="s">
        <v>63</v>
      </c>
      <c r="S258" t="s">
        <v>63</v>
      </c>
      <c r="T258" t="s">
        <v>63</v>
      </c>
      <c r="X258" t="s">
        <v>63</v>
      </c>
      <c r="Y258" t="s">
        <v>442</v>
      </c>
      <c r="Z258" t="s">
        <v>63</v>
      </c>
      <c r="AA258" t="s">
        <v>63</v>
      </c>
      <c r="AB258">
        <v>29313874</v>
      </c>
      <c r="AC258" t="s">
        <v>444</v>
      </c>
      <c r="AD258" t="s">
        <v>63</v>
      </c>
      <c r="AE258" t="s">
        <v>63</v>
      </c>
      <c r="AF258" t="s">
        <v>63</v>
      </c>
      <c r="AG258" t="s">
        <v>2382</v>
      </c>
      <c r="AH258" t="s">
        <v>63</v>
      </c>
      <c r="AI258" t="s">
        <v>63</v>
      </c>
      <c r="AJ258" t="s">
        <v>63</v>
      </c>
      <c r="AK258" t="s">
        <v>63</v>
      </c>
      <c r="AL258" t="s">
        <v>63</v>
      </c>
      <c r="AM258" t="s">
        <v>2383</v>
      </c>
      <c r="AN258" t="s">
        <v>63</v>
      </c>
      <c r="AO258" t="s">
        <v>63</v>
      </c>
      <c r="AP258" t="s">
        <v>63</v>
      </c>
      <c r="AQ258" t="s">
        <v>63</v>
      </c>
      <c r="AR258" t="s">
        <v>63</v>
      </c>
      <c r="AS258" t="s">
        <v>63</v>
      </c>
      <c r="AT258" t="s">
        <v>63</v>
      </c>
      <c r="AU258" t="s">
        <v>63</v>
      </c>
      <c r="AV258" t="s">
        <v>63</v>
      </c>
      <c r="AW258" t="s">
        <v>63</v>
      </c>
      <c r="AX258" t="s">
        <v>63</v>
      </c>
      <c r="AY258" t="s">
        <v>63</v>
      </c>
      <c r="AZ258" t="s">
        <v>63</v>
      </c>
      <c r="BA258" t="s">
        <v>63</v>
      </c>
      <c r="BB258" t="s">
        <v>63</v>
      </c>
      <c r="BC258" t="s">
        <v>63</v>
      </c>
      <c r="BD258" t="s">
        <v>63</v>
      </c>
      <c r="BE258" t="s">
        <v>63</v>
      </c>
      <c r="BF258" t="s">
        <v>63</v>
      </c>
    </row>
    <row r="259" spans="1:58">
      <c r="A259" t="s">
        <v>58</v>
      </c>
      <c r="B259" t="s">
        <v>2384</v>
      </c>
      <c r="C259" t="s">
        <v>2385</v>
      </c>
      <c r="D259" t="s">
        <v>1668</v>
      </c>
      <c r="E259" t="s">
        <v>1669</v>
      </c>
      <c r="F259">
        <v>2018</v>
      </c>
      <c r="G259" t="s">
        <v>84</v>
      </c>
      <c r="H259">
        <v>40</v>
      </c>
      <c r="I259">
        <v>4</v>
      </c>
      <c r="J259">
        <v>421</v>
      </c>
      <c r="K259">
        <v>422</v>
      </c>
      <c r="L259" t="s">
        <v>63</v>
      </c>
      <c r="M259" t="s">
        <v>2386</v>
      </c>
      <c r="N259" t="s">
        <v>2387</v>
      </c>
      <c r="O259" t="s">
        <v>63</v>
      </c>
      <c r="Q259" t="s">
        <v>63</v>
      </c>
      <c r="R259" t="s">
        <v>63</v>
      </c>
      <c r="S259" t="s">
        <v>63</v>
      </c>
      <c r="T259" t="s">
        <v>63</v>
      </c>
      <c r="X259" t="s">
        <v>63</v>
      </c>
      <c r="Y259" t="s">
        <v>1673</v>
      </c>
      <c r="Z259" t="s">
        <v>63</v>
      </c>
      <c r="AA259" t="s">
        <v>2388</v>
      </c>
      <c r="AB259">
        <v>29094624</v>
      </c>
      <c r="AC259" t="s">
        <v>67</v>
      </c>
      <c r="AD259" t="s">
        <v>63</v>
      </c>
      <c r="AE259" t="s">
        <v>63</v>
      </c>
      <c r="AF259" t="s">
        <v>63</v>
      </c>
      <c r="AG259" t="s">
        <v>2389</v>
      </c>
      <c r="AH259" t="s">
        <v>63</v>
      </c>
      <c r="AI259" t="s">
        <v>2390</v>
      </c>
      <c r="AJ259" t="s">
        <v>63</v>
      </c>
      <c r="AK259" t="s">
        <v>63</v>
      </c>
      <c r="AL259" t="s">
        <v>63</v>
      </c>
      <c r="AM259" t="s">
        <v>2391</v>
      </c>
      <c r="AN259" t="s">
        <v>63</v>
      </c>
      <c r="AO259" t="s">
        <v>63</v>
      </c>
      <c r="AP259" t="s">
        <v>63</v>
      </c>
      <c r="AQ259" t="s">
        <v>63</v>
      </c>
      <c r="AR259" t="s">
        <v>63</v>
      </c>
      <c r="AS259" t="s">
        <v>63</v>
      </c>
      <c r="AT259" t="s">
        <v>63</v>
      </c>
      <c r="AU259" t="s">
        <v>63</v>
      </c>
      <c r="AV259" t="s">
        <v>63</v>
      </c>
      <c r="AW259" t="s">
        <v>63</v>
      </c>
      <c r="AX259" t="s">
        <v>63</v>
      </c>
      <c r="AY259" t="s">
        <v>63</v>
      </c>
      <c r="AZ259" t="s">
        <v>63</v>
      </c>
      <c r="BA259" t="s">
        <v>63</v>
      </c>
      <c r="BB259" t="s">
        <v>63</v>
      </c>
      <c r="BC259" t="s">
        <v>63</v>
      </c>
      <c r="BD259" t="s">
        <v>63</v>
      </c>
      <c r="BE259" t="s">
        <v>63</v>
      </c>
      <c r="BF259" t="s">
        <v>63</v>
      </c>
    </row>
    <row r="260" spans="1:58">
      <c r="A260" t="s">
        <v>58</v>
      </c>
      <c r="B260" t="s">
        <v>2392</v>
      </c>
      <c r="C260" t="s">
        <v>2393</v>
      </c>
      <c r="D260" t="s">
        <v>790</v>
      </c>
      <c r="E260" t="s">
        <v>791</v>
      </c>
      <c r="F260">
        <v>2015</v>
      </c>
      <c r="G260" t="s">
        <v>73</v>
      </c>
      <c r="H260">
        <v>45</v>
      </c>
      <c r="I260" t="s">
        <v>63</v>
      </c>
      <c r="J260">
        <v>79</v>
      </c>
      <c r="K260">
        <v>86</v>
      </c>
      <c r="L260" t="s">
        <v>2394</v>
      </c>
      <c r="M260" t="s">
        <v>2395</v>
      </c>
      <c r="N260" t="s">
        <v>2396</v>
      </c>
      <c r="O260" t="s">
        <v>63</v>
      </c>
      <c r="Q260" t="s">
        <v>63</v>
      </c>
      <c r="R260" t="s">
        <v>63</v>
      </c>
      <c r="S260" t="s">
        <v>63</v>
      </c>
      <c r="T260" t="s">
        <v>63</v>
      </c>
      <c r="X260" t="s">
        <v>63</v>
      </c>
      <c r="Y260" t="s">
        <v>2397</v>
      </c>
      <c r="Z260" t="s">
        <v>63</v>
      </c>
      <c r="AA260" t="s">
        <v>2398</v>
      </c>
      <c r="AB260">
        <v>25644592</v>
      </c>
      <c r="AC260" t="s">
        <v>67</v>
      </c>
      <c r="AD260" t="s">
        <v>63</v>
      </c>
      <c r="AE260" t="s">
        <v>63</v>
      </c>
      <c r="AF260" t="s">
        <v>63</v>
      </c>
      <c r="AG260" t="s">
        <v>2399</v>
      </c>
      <c r="AH260" t="s">
        <v>63</v>
      </c>
      <c r="AI260" t="s">
        <v>2400</v>
      </c>
      <c r="AJ260" t="s">
        <v>63</v>
      </c>
      <c r="AK260" t="s">
        <v>63</v>
      </c>
      <c r="AL260" t="s">
        <v>63</v>
      </c>
      <c r="AM260" t="s">
        <v>2401</v>
      </c>
      <c r="AN260" t="s">
        <v>63</v>
      </c>
      <c r="AO260" t="s">
        <v>63</v>
      </c>
      <c r="AP260" t="s">
        <v>63</v>
      </c>
      <c r="AQ260" t="s">
        <v>63</v>
      </c>
      <c r="AR260" t="s">
        <v>63</v>
      </c>
      <c r="AS260" t="s">
        <v>63</v>
      </c>
      <c r="AT260" t="s">
        <v>63</v>
      </c>
      <c r="AU260" t="s">
        <v>63</v>
      </c>
      <c r="AV260" t="s">
        <v>63</v>
      </c>
      <c r="AW260" t="s">
        <v>63</v>
      </c>
      <c r="AX260" t="s">
        <v>63</v>
      </c>
      <c r="AY260" t="s">
        <v>63</v>
      </c>
      <c r="AZ260" t="s">
        <v>63</v>
      </c>
      <c r="BA260" t="s">
        <v>63</v>
      </c>
      <c r="BB260" t="s">
        <v>63</v>
      </c>
      <c r="BC260" t="s">
        <v>63</v>
      </c>
      <c r="BD260" t="s">
        <v>63</v>
      </c>
      <c r="BE260" t="s">
        <v>63</v>
      </c>
      <c r="BF260" t="s">
        <v>63</v>
      </c>
    </row>
    <row r="261" spans="1:58">
      <c r="A261" t="s">
        <v>58</v>
      </c>
      <c r="B261" t="s">
        <v>2402</v>
      </c>
      <c r="C261" t="s">
        <v>2403</v>
      </c>
      <c r="D261" t="s">
        <v>1633</v>
      </c>
      <c r="E261" t="s">
        <v>63</v>
      </c>
      <c r="F261">
        <v>1997</v>
      </c>
      <c r="G261" t="s">
        <v>73</v>
      </c>
      <c r="H261">
        <v>9</v>
      </c>
      <c r="I261">
        <v>2</v>
      </c>
      <c r="J261">
        <v>221</v>
      </c>
      <c r="K261">
        <v>226</v>
      </c>
      <c r="L261" t="s">
        <v>2404</v>
      </c>
      <c r="M261" t="s">
        <v>2405</v>
      </c>
      <c r="N261" t="s">
        <v>2406</v>
      </c>
      <c r="O261" t="s">
        <v>63</v>
      </c>
      <c r="Q261" t="s">
        <v>63</v>
      </c>
      <c r="R261" t="s">
        <v>63</v>
      </c>
      <c r="S261" t="s">
        <v>63</v>
      </c>
      <c r="T261" t="s">
        <v>63</v>
      </c>
      <c r="X261" t="s">
        <v>63</v>
      </c>
      <c r="Y261" t="s">
        <v>1636</v>
      </c>
      <c r="Z261" t="s">
        <v>63</v>
      </c>
      <c r="AA261" t="s">
        <v>2407</v>
      </c>
      <c r="AB261">
        <v>9417376</v>
      </c>
      <c r="AC261" t="s">
        <v>1371</v>
      </c>
      <c r="AD261" t="s">
        <v>63</v>
      </c>
      <c r="AE261" t="s">
        <v>63</v>
      </c>
      <c r="AF261" t="s">
        <v>63</v>
      </c>
      <c r="AG261" t="s">
        <v>2408</v>
      </c>
      <c r="AH261" t="s">
        <v>63</v>
      </c>
      <c r="AI261" t="s">
        <v>63</v>
      </c>
      <c r="AJ261" t="s">
        <v>63</v>
      </c>
      <c r="AK261" t="s">
        <v>63</v>
      </c>
      <c r="AL261" t="s">
        <v>63</v>
      </c>
      <c r="AM261" t="s">
        <v>2409</v>
      </c>
      <c r="AN261" t="s">
        <v>63</v>
      </c>
      <c r="AO261" t="s">
        <v>63</v>
      </c>
      <c r="AP261" t="s">
        <v>63</v>
      </c>
      <c r="AQ261" t="s">
        <v>63</v>
      </c>
      <c r="AR261" t="s">
        <v>63</v>
      </c>
      <c r="AS261" t="s">
        <v>63</v>
      </c>
      <c r="AT261" t="s">
        <v>63</v>
      </c>
      <c r="AU261" t="s">
        <v>63</v>
      </c>
      <c r="AV261" t="s">
        <v>63</v>
      </c>
      <c r="AW261" t="s">
        <v>63</v>
      </c>
      <c r="AX261" t="s">
        <v>63</v>
      </c>
      <c r="AY261" t="s">
        <v>63</v>
      </c>
      <c r="AZ261" t="s">
        <v>63</v>
      </c>
      <c r="BA261" t="s">
        <v>63</v>
      </c>
      <c r="BB261" t="s">
        <v>63</v>
      </c>
      <c r="BC261" t="s">
        <v>63</v>
      </c>
      <c r="BD261" t="s">
        <v>63</v>
      </c>
      <c r="BE261" t="s">
        <v>63</v>
      </c>
      <c r="BF261" t="s">
        <v>63</v>
      </c>
    </row>
    <row r="262" spans="1:58">
      <c r="A262" t="s">
        <v>58</v>
      </c>
      <c r="B262" t="s">
        <v>2410</v>
      </c>
      <c r="C262" t="s">
        <v>2411</v>
      </c>
      <c r="D262" t="s">
        <v>2412</v>
      </c>
      <c r="E262" t="s">
        <v>63</v>
      </c>
      <c r="F262">
        <v>2009</v>
      </c>
      <c r="G262" t="s">
        <v>73</v>
      </c>
      <c r="H262">
        <v>21</v>
      </c>
      <c r="I262">
        <v>3</v>
      </c>
      <c r="J262">
        <v>213</v>
      </c>
      <c r="K262">
        <v>217</v>
      </c>
      <c r="L262" t="s">
        <v>2413</v>
      </c>
      <c r="M262" t="s">
        <v>2414</v>
      </c>
      <c r="N262" t="s">
        <v>2415</v>
      </c>
      <c r="O262" t="s">
        <v>63</v>
      </c>
      <c r="Q262" t="s">
        <v>63</v>
      </c>
      <c r="R262" t="s">
        <v>63</v>
      </c>
      <c r="S262" t="s">
        <v>63</v>
      </c>
      <c r="T262" t="s">
        <v>63</v>
      </c>
      <c r="X262" t="s">
        <v>63</v>
      </c>
      <c r="Y262" t="s">
        <v>2416</v>
      </c>
      <c r="Z262" t="s">
        <v>63</v>
      </c>
      <c r="AA262" t="s">
        <v>2417</v>
      </c>
      <c r="AB262">
        <v>19459096</v>
      </c>
      <c r="AC262" t="s">
        <v>67</v>
      </c>
      <c r="AD262" t="s">
        <v>63</v>
      </c>
      <c r="AE262" t="s">
        <v>63</v>
      </c>
      <c r="AF262" t="s">
        <v>63</v>
      </c>
      <c r="AG262" t="s">
        <v>2418</v>
      </c>
      <c r="AH262" t="s">
        <v>63</v>
      </c>
      <c r="AI262" t="s">
        <v>2419</v>
      </c>
      <c r="AJ262" t="s">
        <v>63</v>
      </c>
      <c r="AK262" t="s">
        <v>63</v>
      </c>
      <c r="AL262" t="s">
        <v>63</v>
      </c>
      <c r="AM262" t="s">
        <v>2420</v>
      </c>
      <c r="AN262" t="s">
        <v>63</v>
      </c>
      <c r="AO262" t="s">
        <v>63</v>
      </c>
      <c r="AP262" t="s">
        <v>63</v>
      </c>
      <c r="AQ262" t="s">
        <v>63</v>
      </c>
      <c r="AR262" t="s">
        <v>63</v>
      </c>
      <c r="AS262" t="s">
        <v>63</v>
      </c>
      <c r="AT262" t="s">
        <v>63</v>
      </c>
      <c r="AU262" t="s">
        <v>63</v>
      </c>
      <c r="AV262" t="s">
        <v>63</v>
      </c>
      <c r="AW262" t="s">
        <v>63</v>
      </c>
      <c r="AX262" t="s">
        <v>63</v>
      </c>
      <c r="AY262" t="s">
        <v>63</v>
      </c>
      <c r="AZ262" t="s">
        <v>63</v>
      </c>
      <c r="BA262" t="s">
        <v>63</v>
      </c>
      <c r="BB262" t="s">
        <v>63</v>
      </c>
      <c r="BC262" t="s">
        <v>63</v>
      </c>
      <c r="BD262" t="s">
        <v>63</v>
      </c>
      <c r="BE262" t="s">
        <v>63</v>
      </c>
      <c r="BF262" t="s">
        <v>63</v>
      </c>
    </row>
    <row r="263" spans="1:58">
      <c r="A263" t="s">
        <v>58</v>
      </c>
      <c r="B263" t="s">
        <v>2421</v>
      </c>
      <c r="C263" t="s">
        <v>2422</v>
      </c>
      <c r="D263" t="s">
        <v>1481</v>
      </c>
      <c r="E263" t="s">
        <v>1481</v>
      </c>
      <c r="F263">
        <v>2006</v>
      </c>
      <c r="G263" t="s">
        <v>73</v>
      </c>
      <c r="H263">
        <v>101</v>
      </c>
      <c r="I263">
        <v>6</v>
      </c>
      <c r="J263">
        <v>841</v>
      </c>
      <c r="K263">
        <v>849</v>
      </c>
      <c r="L263" t="s">
        <v>2423</v>
      </c>
      <c r="M263" t="s">
        <v>2424</v>
      </c>
      <c r="N263" t="s">
        <v>2425</v>
      </c>
      <c r="O263" t="s">
        <v>63</v>
      </c>
      <c r="Q263" t="s">
        <v>63</v>
      </c>
      <c r="R263" t="s">
        <v>63</v>
      </c>
      <c r="S263" t="s">
        <v>63</v>
      </c>
      <c r="T263" t="s">
        <v>63</v>
      </c>
      <c r="X263" t="s">
        <v>63</v>
      </c>
      <c r="Y263" t="s">
        <v>2426</v>
      </c>
      <c r="Z263" t="s">
        <v>63</v>
      </c>
      <c r="AA263" t="s">
        <v>2417</v>
      </c>
      <c r="AB263">
        <v>16696628</v>
      </c>
      <c r="AC263" t="s">
        <v>67</v>
      </c>
      <c r="AD263" t="s">
        <v>63</v>
      </c>
      <c r="AE263" t="s">
        <v>63</v>
      </c>
      <c r="AF263" t="s">
        <v>63</v>
      </c>
      <c r="AG263" t="s">
        <v>2427</v>
      </c>
      <c r="AH263" t="s">
        <v>63</v>
      </c>
      <c r="AI263" t="s">
        <v>63</v>
      </c>
      <c r="AJ263" t="s">
        <v>63</v>
      </c>
      <c r="AK263" t="s">
        <v>63</v>
      </c>
      <c r="AL263" t="s">
        <v>63</v>
      </c>
      <c r="AM263" t="s">
        <v>2428</v>
      </c>
      <c r="AN263" t="s">
        <v>63</v>
      </c>
      <c r="AO263" t="s">
        <v>63</v>
      </c>
      <c r="AP263" t="s">
        <v>63</v>
      </c>
      <c r="AQ263" t="s">
        <v>63</v>
      </c>
      <c r="AR263" t="s">
        <v>63</v>
      </c>
      <c r="AS263" t="s">
        <v>63</v>
      </c>
      <c r="AT263" t="s">
        <v>63</v>
      </c>
      <c r="AU263" t="s">
        <v>63</v>
      </c>
      <c r="AV263" t="s">
        <v>63</v>
      </c>
      <c r="AW263" t="s">
        <v>63</v>
      </c>
      <c r="AX263" t="s">
        <v>63</v>
      </c>
      <c r="AY263" t="s">
        <v>63</v>
      </c>
      <c r="AZ263" t="s">
        <v>63</v>
      </c>
      <c r="BA263" t="s">
        <v>63</v>
      </c>
      <c r="BB263" t="s">
        <v>63</v>
      </c>
      <c r="BC263" t="s">
        <v>63</v>
      </c>
      <c r="BD263" t="s">
        <v>63</v>
      </c>
      <c r="BE263" t="s">
        <v>63</v>
      </c>
      <c r="BF263" t="s">
        <v>63</v>
      </c>
    </row>
    <row r="264" spans="1:58">
      <c r="A264" t="s">
        <v>58</v>
      </c>
      <c r="B264" t="s">
        <v>2429</v>
      </c>
      <c r="C264" t="s">
        <v>2430</v>
      </c>
      <c r="D264" t="s">
        <v>2431</v>
      </c>
      <c r="E264" t="s">
        <v>2432</v>
      </c>
      <c r="F264">
        <v>2011</v>
      </c>
      <c r="G264" t="s">
        <v>84</v>
      </c>
      <c r="H264">
        <v>36</v>
      </c>
      <c r="I264">
        <v>2</v>
      </c>
      <c r="J264">
        <v>238</v>
      </c>
      <c r="K264">
        <v>243</v>
      </c>
      <c r="L264" t="s">
        <v>2433</v>
      </c>
      <c r="M264" t="s">
        <v>2434</v>
      </c>
      <c r="N264" t="s">
        <v>2435</v>
      </c>
      <c r="O264" t="s">
        <v>63</v>
      </c>
      <c r="Q264" t="s">
        <v>63</v>
      </c>
      <c r="R264" t="s">
        <v>63</v>
      </c>
      <c r="S264" t="s">
        <v>63</v>
      </c>
      <c r="T264" t="s">
        <v>63</v>
      </c>
      <c r="X264" t="s">
        <v>63</v>
      </c>
      <c r="Y264" t="s">
        <v>2436</v>
      </c>
      <c r="Z264" t="s">
        <v>63</v>
      </c>
      <c r="AA264" t="s">
        <v>2437</v>
      </c>
      <c r="AB264">
        <v>20697785</v>
      </c>
      <c r="AC264" t="s">
        <v>67</v>
      </c>
      <c r="AD264" t="s">
        <v>63</v>
      </c>
      <c r="AE264" t="s">
        <v>63</v>
      </c>
      <c r="AF264" t="s">
        <v>63</v>
      </c>
      <c r="AG264" t="s">
        <v>2438</v>
      </c>
      <c r="AH264" t="s">
        <v>63</v>
      </c>
      <c r="AI264" t="s">
        <v>2439</v>
      </c>
      <c r="AJ264" t="s">
        <v>63</v>
      </c>
      <c r="AK264" t="s">
        <v>63</v>
      </c>
      <c r="AL264" t="s">
        <v>63</v>
      </c>
      <c r="AM264" t="s">
        <v>2440</v>
      </c>
      <c r="AN264" t="s">
        <v>63</v>
      </c>
      <c r="AO264" t="s">
        <v>63</v>
      </c>
      <c r="AP264" t="s">
        <v>63</v>
      </c>
      <c r="AQ264" t="s">
        <v>63</v>
      </c>
      <c r="AR264" t="s">
        <v>63</v>
      </c>
      <c r="AS264" t="s">
        <v>63</v>
      </c>
      <c r="AT264" t="s">
        <v>63</v>
      </c>
      <c r="AU264" t="s">
        <v>63</v>
      </c>
      <c r="AV264" t="s">
        <v>63</v>
      </c>
      <c r="AW264" t="s">
        <v>63</v>
      </c>
      <c r="AX264" t="s">
        <v>63</v>
      </c>
      <c r="AY264" t="s">
        <v>63</v>
      </c>
      <c r="AZ264" t="s">
        <v>63</v>
      </c>
      <c r="BA264" t="s">
        <v>63</v>
      </c>
      <c r="BB264" t="s">
        <v>63</v>
      </c>
      <c r="BC264" t="s">
        <v>63</v>
      </c>
      <c r="BD264" t="s">
        <v>63</v>
      </c>
      <c r="BE264" t="s">
        <v>63</v>
      </c>
      <c r="BF264" t="s">
        <v>63</v>
      </c>
    </row>
    <row r="265" spans="1:58">
      <c r="A265" t="s">
        <v>58</v>
      </c>
      <c r="B265" t="s">
        <v>2441</v>
      </c>
      <c r="C265" t="s">
        <v>2442</v>
      </c>
      <c r="D265" t="s">
        <v>938</v>
      </c>
      <c r="E265" t="s">
        <v>63</v>
      </c>
      <c r="F265">
        <v>2017</v>
      </c>
      <c r="G265" t="s">
        <v>198</v>
      </c>
      <c r="H265">
        <v>26</v>
      </c>
      <c r="I265">
        <v>1</v>
      </c>
      <c r="J265">
        <v>83</v>
      </c>
      <c r="K265">
        <v>86</v>
      </c>
      <c r="L265" t="s">
        <v>63</v>
      </c>
      <c r="M265" t="s">
        <v>63</v>
      </c>
      <c r="N265" t="s">
        <v>2443</v>
      </c>
      <c r="O265" t="s">
        <v>63</v>
      </c>
      <c r="Q265" t="s">
        <v>63</v>
      </c>
      <c r="R265" t="s">
        <v>63</v>
      </c>
      <c r="S265" t="s">
        <v>63</v>
      </c>
      <c r="T265" t="s">
        <v>63</v>
      </c>
      <c r="X265" t="s">
        <v>63</v>
      </c>
      <c r="Y265" t="s">
        <v>942</v>
      </c>
      <c r="Z265" t="s">
        <v>63</v>
      </c>
      <c r="AA265" t="s">
        <v>2444</v>
      </c>
      <c r="AB265">
        <v>28005316</v>
      </c>
      <c r="AC265" t="s">
        <v>67</v>
      </c>
      <c r="AD265" t="s">
        <v>63</v>
      </c>
      <c r="AE265" t="s">
        <v>63</v>
      </c>
      <c r="AF265" t="s">
        <v>63</v>
      </c>
      <c r="AG265" t="s">
        <v>2445</v>
      </c>
      <c r="AH265" t="s">
        <v>63</v>
      </c>
      <c r="AI265" t="s">
        <v>2446</v>
      </c>
      <c r="AJ265" t="s">
        <v>63</v>
      </c>
      <c r="AK265" t="s">
        <v>63</v>
      </c>
      <c r="AL265" t="s">
        <v>63</v>
      </c>
      <c r="AM265" t="s">
        <v>2447</v>
      </c>
      <c r="AN265" t="s">
        <v>63</v>
      </c>
      <c r="AO265" t="s">
        <v>63</v>
      </c>
      <c r="AP265" t="s">
        <v>63</v>
      </c>
      <c r="AQ265" t="s">
        <v>63</v>
      </c>
      <c r="AR265" t="s">
        <v>63</v>
      </c>
      <c r="AS265" t="s">
        <v>63</v>
      </c>
      <c r="AT265" t="s">
        <v>63</v>
      </c>
      <c r="AU265" t="s">
        <v>63</v>
      </c>
      <c r="AV265" t="s">
        <v>63</v>
      </c>
      <c r="AW265" t="s">
        <v>63</v>
      </c>
      <c r="AX265" t="s">
        <v>63</v>
      </c>
      <c r="AY265" t="s">
        <v>63</v>
      </c>
      <c r="AZ265" t="s">
        <v>63</v>
      </c>
      <c r="BA265" t="s">
        <v>63</v>
      </c>
      <c r="BB265" t="s">
        <v>63</v>
      </c>
      <c r="BC265" t="s">
        <v>63</v>
      </c>
      <c r="BD265" t="s">
        <v>63</v>
      </c>
      <c r="BE265" t="s">
        <v>63</v>
      </c>
      <c r="BF265" t="s">
        <v>63</v>
      </c>
    </row>
    <row r="266" spans="1:58">
      <c r="A266" t="s">
        <v>58</v>
      </c>
      <c r="B266" t="s">
        <v>2448</v>
      </c>
      <c r="C266" t="s">
        <v>2449</v>
      </c>
      <c r="D266" t="s">
        <v>2450</v>
      </c>
      <c r="E266" t="s">
        <v>2451</v>
      </c>
      <c r="F266">
        <v>1973</v>
      </c>
      <c r="G266" t="s">
        <v>84</v>
      </c>
      <c r="H266">
        <v>72</v>
      </c>
      <c r="I266">
        <v>12</v>
      </c>
      <c r="J266">
        <v>277</v>
      </c>
      <c r="K266">
        <v>278</v>
      </c>
      <c r="L266" t="s">
        <v>2452</v>
      </c>
      <c r="M266" t="s">
        <v>63</v>
      </c>
      <c r="N266" t="s">
        <v>2453</v>
      </c>
      <c r="O266" t="s">
        <v>63</v>
      </c>
      <c r="Q266" t="s">
        <v>63</v>
      </c>
      <c r="R266" t="s">
        <v>63</v>
      </c>
      <c r="S266" t="s">
        <v>63</v>
      </c>
      <c r="T266" t="s">
        <v>63</v>
      </c>
      <c r="X266" t="s">
        <v>63</v>
      </c>
      <c r="Y266" t="s">
        <v>2454</v>
      </c>
      <c r="Z266" t="s">
        <v>63</v>
      </c>
      <c r="AA266" t="s">
        <v>63</v>
      </c>
      <c r="AB266">
        <v>4735172</v>
      </c>
      <c r="AC266" t="s">
        <v>67</v>
      </c>
      <c r="AD266" t="s">
        <v>63</v>
      </c>
      <c r="AE266" t="s">
        <v>63</v>
      </c>
      <c r="AF266" t="s">
        <v>63</v>
      </c>
      <c r="AG266" t="s">
        <v>2455</v>
      </c>
      <c r="AH266" t="s">
        <v>63</v>
      </c>
      <c r="AI266" t="s">
        <v>63</v>
      </c>
      <c r="AJ266" t="s">
        <v>63</v>
      </c>
      <c r="AK266" t="s">
        <v>63</v>
      </c>
      <c r="AL266" t="s">
        <v>63</v>
      </c>
      <c r="AM266" t="s">
        <v>2456</v>
      </c>
      <c r="AN266" t="s">
        <v>63</v>
      </c>
      <c r="AO266" t="s">
        <v>63</v>
      </c>
      <c r="AP266" t="s">
        <v>63</v>
      </c>
      <c r="AQ266" t="s">
        <v>63</v>
      </c>
      <c r="AR266" t="s">
        <v>63</v>
      </c>
      <c r="AS266" t="s">
        <v>63</v>
      </c>
      <c r="AT266" t="s">
        <v>63</v>
      </c>
      <c r="AU266" t="s">
        <v>63</v>
      </c>
      <c r="AV266" t="s">
        <v>63</v>
      </c>
      <c r="AW266" t="s">
        <v>63</v>
      </c>
      <c r="AX266" t="s">
        <v>63</v>
      </c>
      <c r="AY266" t="s">
        <v>63</v>
      </c>
      <c r="AZ266" t="s">
        <v>63</v>
      </c>
      <c r="BA266" t="s">
        <v>63</v>
      </c>
      <c r="BB266" t="s">
        <v>63</v>
      </c>
      <c r="BC266" t="s">
        <v>63</v>
      </c>
      <c r="BD266" t="s">
        <v>63</v>
      </c>
      <c r="BE266" t="s">
        <v>63</v>
      </c>
      <c r="BF266" t="s">
        <v>63</v>
      </c>
    </row>
    <row r="267" spans="1:58">
      <c r="A267" t="s">
        <v>58</v>
      </c>
      <c r="B267" t="s">
        <v>2457</v>
      </c>
      <c r="C267" t="s">
        <v>2458</v>
      </c>
      <c r="D267" t="s">
        <v>2459</v>
      </c>
      <c r="E267" t="s">
        <v>2460</v>
      </c>
      <c r="F267">
        <v>2013</v>
      </c>
      <c r="G267" t="s">
        <v>326</v>
      </c>
      <c r="H267">
        <v>68</v>
      </c>
      <c r="I267">
        <v>2</v>
      </c>
      <c r="J267">
        <v>119</v>
      </c>
      <c r="K267">
        <v>129</v>
      </c>
      <c r="L267" t="s">
        <v>2461</v>
      </c>
      <c r="M267" t="s">
        <v>2462</v>
      </c>
      <c r="N267" t="s">
        <v>2463</v>
      </c>
      <c r="O267" t="s">
        <v>63</v>
      </c>
      <c r="Q267" t="s">
        <v>63</v>
      </c>
      <c r="R267" t="s">
        <v>63</v>
      </c>
      <c r="S267" t="s">
        <v>63</v>
      </c>
      <c r="T267" t="s">
        <v>63</v>
      </c>
      <c r="X267" t="s">
        <v>63</v>
      </c>
      <c r="Y267" t="s">
        <v>2464</v>
      </c>
      <c r="Z267" t="s">
        <v>63</v>
      </c>
      <c r="AA267" t="s">
        <v>2465</v>
      </c>
      <c r="AB267">
        <v>23417218</v>
      </c>
      <c r="AC267" t="s">
        <v>67</v>
      </c>
      <c r="AD267" t="s">
        <v>63</v>
      </c>
      <c r="AE267" t="s">
        <v>63</v>
      </c>
      <c r="AF267" t="s">
        <v>63</v>
      </c>
      <c r="AG267" t="s">
        <v>2466</v>
      </c>
      <c r="AH267" t="s">
        <v>63</v>
      </c>
      <c r="AI267" t="s">
        <v>2467</v>
      </c>
      <c r="AJ267" t="s">
        <v>63</v>
      </c>
      <c r="AK267" t="s">
        <v>63</v>
      </c>
      <c r="AL267" t="s">
        <v>63</v>
      </c>
      <c r="AM267" t="s">
        <v>2468</v>
      </c>
      <c r="AN267" t="s">
        <v>63</v>
      </c>
      <c r="AO267" t="s">
        <v>63</v>
      </c>
      <c r="AP267" t="s">
        <v>63</v>
      </c>
      <c r="AQ267" t="s">
        <v>63</v>
      </c>
      <c r="AR267" t="s">
        <v>63</v>
      </c>
      <c r="AS267" t="s">
        <v>63</v>
      </c>
      <c r="AT267" t="s">
        <v>63</v>
      </c>
      <c r="AU267" t="s">
        <v>63</v>
      </c>
      <c r="AV267" t="s">
        <v>63</v>
      </c>
      <c r="AW267" t="s">
        <v>63</v>
      </c>
      <c r="AX267" t="s">
        <v>63</v>
      </c>
      <c r="AY267" t="s">
        <v>63</v>
      </c>
      <c r="AZ267" t="s">
        <v>63</v>
      </c>
      <c r="BA267" t="s">
        <v>63</v>
      </c>
      <c r="BB267" t="s">
        <v>63</v>
      </c>
      <c r="BC267" t="s">
        <v>63</v>
      </c>
      <c r="BD267" t="s">
        <v>63</v>
      </c>
      <c r="BE267" t="s">
        <v>63</v>
      </c>
      <c r="BF267" t="s">
        <v>63</v>
      </c>
    </row>
    <row r="268" spans="1:58">
      <c r="A268" t="s">
        <v>58</v>
      </c>
      <c r="B268" t="s">
        <v>2469</v>
      </c>
      <c r="C268" t="s">
        <v>2470</v>
      </c>
      <c r="D268" t="s">
        <v>1293</v>
      </c>
      <c r="E268" t="s">
        <v>1294</v>
      </c>
      <c r="F268">
        <v>2016</v>
      </c>
      <c r="G268" t="s">
        <v>181</v>
      </c>
      <c r="H268">
        <v>48</v>
      </c>
      <c r="I268">
        <v>8</v>
      </c>
      <c r="J268">
        <v>618</v>
      </c>
      <c r="K268">
        <v>623</v>
      </c>
      <c r="L268" t="s">
        <v>2471</v>
      </c>
      <c r="M268" t="s">
        <v>63</v>
      </c>
      <c r="N268" t="s">
        <v>2472</v>
      </c>
      <c r="O268" t="s">
        <v>63</v>
      </c>
      <c r="Q268" t="s">
        <v>63</v>
      </c>
      <c r="R268" t="s">
        <v>63</v>
      </c>
      <c r="S268" t="s">
        <v>63</v>
      </c>
      <c r="T268" t="s">
        <v>63</v>
      </c>
      <c r="X268" t="s">
        <v>63</v>
      </c>
      <c r="Y268" t="s">
        <v>2473</v>
      </c>
      <c r="Z268" t="s">
        <v>63</v>
      </c>
      <c r="AA268" t="s">
        <v>2474</v>
      </c>
      <c r="AB268">
        <v>27655194</v>
      </c>
      <c r="AC268" t="s">
        <v>67</v>
      </c>
      <c r="AD268" t="s">
        <v>63</v>
      </c>
      <c r="AE268" t="s">
        <v>63</v>
      </c>
      <c r="AF268" t="s">
        <v>63</v>
      </c>
      <c r="AG268" t="s">
        <v>2475</v>
      </c>
      <c r="AH268" t="s">
        <v>63</v>
      </c>
      <c r="AI268" t="s">
        <v>63</v>
      </c>
      <c r="AJ268" t="s">
        <v>63</v>
      </c>
      <c r="AK268" t="s">
        <v>63</v>
      </c>
      <c r="AL268" t="s">
        <v>63</v>
      </c>
      <c r="AM268" t="s">
        <v>2476</v>
      </c>
      <c r="AN268" t="s">
        <v>63</v>
      </c>
      <c r="AO268" t="s">
        <v>63</v>
      </c>
      <c r="AP268" t="s">
        <v>63</v>
      </c>
      <c r="AQ268" t="s">
        <v>63</v>
      </c>
      <c r="AR268" t="s">
        <v>63</v>
      </c>
      <c r="AS268" t="s">
        <v>63</v>
      </c>
      <c r="AT268" t="s">
        <v>63</v>
      </c>
      <c r="AU268" t="s">
        <v>63</v>
      </c>
      <c r="AV268" t="s">
        <v>63</v>
      </c>
      <c r="AW268" t="s">
        <v>63</v>
      </c>
      <c r="AX268" t="s">
        <v>63</v>
      </c>
      <c r="AY268" t="s">
        <v>63</v>
      </c>
      <c r="AZ268" t="s">
        <v>63</v>
      </c>
      <c r="BA268" t="s">
        <v>63</v>
      </c>
      <c r="BB268" t="s">
        <v>63</v>
      </c>
      <c r="BC268" t="s">
        <v>63</v>
      </c>
      <c r="BD268" t="s">
        <v>63</v>
      </c>
      <c r="BE268" t="s">
        <v>63</v>
      </c>
      <c r="BF268" t="s">
        <v>63</v>
      </c>
    </row>
    <row r="269" spans="1:58">
      <c r="A269" t="s">
        <v>58</v>
      </c>
      <c r="B269" t="s">
        <v>2477</v>
      </c>
      <c r="C269" t="s">
        <v>2478</v>
      </c>
      <c r="D269" t="s">
        <v>325</v>
      </c>
      <c r="E269" t="s">
        <v>63</v>
      </c>
      <c r="F269">
        <v>2013</v>
      </c>
      <c r="G269" s="1">
        <v>41820</v>
      </c>
      <c r="H269">
        <v>37</v>
      </c>
      <c r="I269">
        <v>4</v>
      </c>
      <c r="J269">
        <v>243</v>
      </c>
      <c r="K269">
        <v>247</v>
      </c>
      <c r="L269" t="s">
        <v>2479</v>
      </c>
      <c r="M269" t="s">
        <v>2480</v>
      </c>
      <c r="N269" t="s">
        <v>2481</v>
      </c>
      <c r="O269" t="s">
        <v>63</v>
      </c>
      <c r="Q269" t="s">
        <v>63</v>
      </c>
      <c r="R269" t="s">
        <v>63</v>
      </c>
      <c r="S269" t="s">
        <v>63</v>
      </c>
      <c r="T269" t="s">
        <v>63</v>
      </c>
      <c r="X269" t="s">
        <v>63</v>
      </c>
      <c r="Y269" t="s">
        <v>330</v>
      </c>
      <c r="Z269" t="s">
        <v>63</v>
      </c>
      <c r="AA269" t="s">
        <v>2482</v>
      </c>
      <c r="AB269">
        <v>23820908</v>
      </c>
      <c r="AC269" t="s">
        <v>67</v>
      </c>
      <c r="AD269" t="s">
        <v>63</v>
      </c>
      <c r="AE269" t="s">
        <v>63</v>
      </c>
      <c r="AF269" t="s">
        <v>63</v>
      </c>
      <c r="AG269" t="s">
        <v>2483</v>
      </c>
      <c r="AH269" t="s">
        <v>63</v>
      </c>
      <c r="AI269" t="s">
        <v>2484</v>
      </c>
      <c r="AJ269" t="s">
        <v>63</v>
      </c>
      <c r="AK269" t="s">
        <v>63</v>
      </c>
      <c r="AL269" t="s">
        <v>63</v>
      </c>
      <c r="AM269" t="s">
        <v>2485</v>
      </c>
      <c r="AN269" t="s">
        <v>63</v>
      </c>
      <c r="AO269" t="s">
        <v>63</v>
      </c>
      <c r="AP269" t="s">
        <v>63</v>
      </c>
      <c r="AQ269" t="s">
        <v>63</v>
      </c>
      <c r="AR269" t="s">
        <v>63</v>
      </c>
      <c r="AS269" t="s">
        <v>63</v>
      </c>
      <c r="AT269" t="s">
        <v>63</v>
      </c>
      <c r="AU269" t="s">
        <v>63</v>
      </c>
      <c r="AV269" t="s">
        <v>63</v>
      </c>
      <c r="AW269" t="s">
        <v>63</v>
      </c>
      <c r="AX269" t="s">
        <v>63</v>
      </c>
      <c r="AY269" t="s">
        <v>63</v>
      </c>
      <c r="AZ269" t="s">
        <v>63</v>
      </c>
      <c r="BA269" t="s">
        <v>63</v>
      </c>
      <c r="BB269" t="s">
        <v>63</v>
      </c>
      <c r="BC269" t="s">
        <v>63</v>
      </c>
      <c r="BD269" t="s">
        <v>63</v>
      </c>
      <c r="BE269" t="s">
        <v>63</v>
      </c>
      <c r="BF269" t="s">
        <v>63</v>
      </c>
    </row>
    <row r="270" spans="1:58">
      <c r="A270" t="s">
        <v>58</v>
      </c>
      <c r="B270" t="s">
        <v>2486</v>
      </c>
      <c r="C270" t="s">
        <v>2487</v>
      </c>
      <c r="D270" t="s">
        <v>500</v>
      </c>
      <c r="E270" t="s">
        <v>501</v>
      </c>
      <c r="F270">
        <v>2012</v>
      </c>
      <c r="G270" t="s">
        <v>63</v>
      </c>
      <c r="H270">
        <v>32</v>
      </c>
      <c r="I270">
        <v>3</v>
      </c>
      <c r="J270">
        <v>187</v>
      </c>
      <c r="K270">
        <v>195</v>
      </c>
      <c r="L270" t="s">
        <v>2488</v>
      </c>
      <c r="M270" t="s">
        <v>2489</v>
      </c>
      <c r="N270" t="s">
        <v>2490</v>
      </c>
      <c r="O270" t="s">
        <v>63</v>
      </c>
      <c r="Q270" t="s">
        <v>63</v>
      </c>
      <c r="R270" t="s">
        <v>63</v>
      </c>
      <c r="S270" t="s">
        <v>63</v>
      </c>
      <c r="T270" t="s">
        <v>63</v>
      </c>
      <c r="X270" t="s">
        <v>63</v>
      </c>
      <c r="Y270" t="s">
        <v>507</v>
      </c>
      <c r="Z270" t="s">
        <v>63</v>
      </c>
      <c r="AA270" t="s">
        <v>2491</v>
      </c>
      <c r="AB270">
        <v>23008081</v>
      </c>
      <c r="AC270" t="s">
        <v>67</v>
      </c>
      <c r="AD270" t="s">
        <v>63</v>
      </c>
      <c r="AE270" t="s">
        <v>63</v>
      </c>
      <c r="AF270" t="s">
        <v>63</v>
      </c>
      <c r="AG270" t="s">
        <v>2492</v>
      </c>
      <c r="AH270" t="s">
        <v>63</v>
      </c>
      <c r="AI270" t="s">
        <v>2493</v>
      </c>
      <c r="AJ270" t="s">
        <v>63</v>
      </c>
      <c r="AK270" t="s">
        <v>63</v>
      </c>
      <c r="AL270" t="s">
        <v>63</v>
      </c>
      <c r="AM270" t="s">
        <v>2494</v>
      </c>
      <c r="AN270" t="s">
        <v>63</v>
      </c>
      <c r="AO270" t="s">
        <v>63</v>
      </c>
      <c r="AP270" t="s">
        <v>63</v>
      </c>
      <c r="AQ270" t="s">
        <v>63</v>
      </c>
      <c r="AR270" t="s">
        <v>63</v>
      </c>
      <c r="AS270" t="s">
        <v>63</v>
      </c>
      <c r="AT270" t="s">
        <v>63</v>
      </c>
      <c r="AU270" t="s">
        <v>63</v>
      </c>
      <c r="AV270" t="s">
        <v>63</v>
      </c>
      <c r="AW270" t="s">
        <v>63</v>
      </c>
      <c r="AX270" t="s">
        <v>63</v>
      </c>
      <c r="AY270" t="s">
        <v>63</v>
      </c>
      <c r="AZ270" t="s">
        <v>63</v>
      </c>
      <c r="BA270" t="s">
        <v>63</v>
      </c>
      <c r="BB270" t="s">
        <v>63</v>
      </c>
      <c r="BC270" t="s">
        <v>63</v>
      </c>
      <c r="BD270" t="s">
        <v>63</v>
      </c>
      <c r="BE270" t="s">
        <v>63</v>
      </c>
      <c r="BF270" t="s">
        <v>63</v>
      </c>
    </row>
    <row r="271" spans="1:58">
      <c r="A271" t="s">
        <v>58</v>
      </c>
      <c r="B271" t="s">
        <v>2495</v>
      </c>
      <c r="C271" t="s">
        <v>2496</v>
      </c>
      <c r="D271" t="s">
        <v>938</v>
      </c>
      <c r="E271" t="s">
        <v>63</v>
      </c>
      <c r="F271">
        <v>2006</v>
      </c>
      <c r="G271" t="s">
        <v>147</v>
      </c>
      <c r="H271">
        <v>15</v>
      </c>
      <c r="I271">
        <v>2</v>
      </c>
      <c r="J271">
        <v>125</v>
      </c>
      <c r="K271">
        <v>130</v>
      </c>
      <c r="L271" t="s">
        <v>2497</v>
      </c>
      <c r="M271" t="s">
        <v>2498</v>
      </c>
      <c r="N271" t="s">
        <v>2499</v>
      </c>
      <c r="O271" t="s">
        <v>63</v>
      </c>
      <c r="Q271" t="s">
        <v>63</v>
      </c>
      <c r="R271" t="s">
        <v>63</v>
      </c>
      <c r="S271" t="s">
        <v>63</v>
      </c>
      <c r="T271" t="s">
        <v>63</v>
      </c>
      <c r="X271" t="s">
        <v>63</v>
      </c>
      <c r="Y271" t="s">
        <v>2500</v>
      </c>
      <c r="Z271" t="s">
        <v>63</v>
      </c>
      <c r="AA271" t="s">
        <v>2501</v>
      </c>
      <c r="AB271">
        <v>16595349</v>
      </c>
      <c r="AC271" t="s">
        <v>67</v>
      </c>
      <c r="AD271" t="s">
        <v>63</v>
      </c>
      <c r="AE271" t="s">
        <v>63</v>
      </c>
      <c r="AF271" t="s">
        <v>63</v>
      </c>
      <c r="AG271" t="s">
        <v>2502</v>
      </c>
      <c r="AH271" t="s">
        <v>63</v>
      </c>
      <c r="AI271" t="s">
        <v>63</v>
      </c>
      <c r="AJ271" t="s">
        <v>63</v>
      </c>
      <c r="AK271" t="s">
        <v>63</v>
      </c>
      <c r="AL271" t="s">
        <v>63</v>
      </c>
      <c r="AM271" t="s">
        <v>2503</v>
      </c>
      <c r="AN271" t="s">
        <v>63</v>
      </c>
      <c r="AO271" t="s">
        <v>63</v>
      </c>
      <c r="AP271" t="s">
        <v>63</v>
      </c>
      <c r="AQ271" t="s">
        <v>63</v>
      </c>
      <c r="AR271" t="s">
        <v>63</v>
      </c>
      <c r="AS271" t="s">
        <v>63</v>
      </c>
      <c r="AT271" t="s">
        <v>63</v>
      </c>
      <c r="AU271" t="s">
        <v>63</v>
      </c>
      <c r="AV271" t="s">
        <v>63</v>
      </c>
      <c r="AW271" t="s">
        <v>63</v>
      </c>
      <c r="AX271" t="s">
        <v>63</v>
      </c>
      <c r="AY271" t="s">
        <v>63</v>
      </c>
      <c r="AZ271" t="s">
        <v>63</v>
      </c>
      <c r="BA271" t="s">
        <v>63</v>
      </c>
      <c r="BB271" t="s">
        <v>63</v>
      </c>
      <c r="BC271" t="s">
        <v>63</v>
      </c>
      <c r="BD271" t="s">
        <v>63</v>
      </c>
      <c r="BE271" t="s">
        <v>63</v>
      </c>
      <c r="BF271" t="s">
        <v>63</v>
      </c>
    </row>
    <row r="272" spans="1:58">
      <c r="A272" t="s">
        <v>58</v>
      </c>
      <c r="B272" t="s">
        <v>2504</v>
      </c>
      <c r="C272" t="s">
        <v>2505</v>
      </c>
      <c r="D272" t="s">
        <v>2506</v>
      </c>
      <c r="E272" t="s">
        <v>2507</v>
      </c>
      <c r="F272">
        <v>2003</v>
      </c>
      <c r="G272" t="s">
        <v>614</v>
      </c>
      <c r="H272">
        <v>39</v>
      </c>
      <c r="I272">
        <v>8</v>
      </c>
      <c r="J272">
        <v>346</v>
      </c>
      <c r="K272">
        <v>352</v>
      </c>
      <c r="L272" t="s">
        <v>2508</v>
      </c>
      <c r="M272" t="s">
        <v>2509</v>
      </c>
      <c r="N272" t="s">
        <v>2510</v>
      </c>
      <c r="O272" t="s">
        <v>63</v>
      </c>
      <c r="Q272" t="s">
        <v>63</v>
      </c>
      <c r="R272" t="s">
        <v>63</v>
      </c>
      <c r="S272" t="s">
        <v>63</v>
      </c>
      <c r="T272" t="s">
        <v>63</v>
      </c>
      <c r="X272" t="s">
        <v>63</v>
      </c>
      <c r="Y272" t="s">
        <v>2511</v>
      </c>
      <c r="Z272" t="s">
        <v>63</v>
      </c>
      <c r="AA272" t="s">
        <v>2512</v>
      </c>
      <c r="AB272">
        <v>12890402</v>
      </c>
      <c r="AC272" t="s">
        <v>913</v>
      </c>
      <c r="AD272" t="s">
        <v>63</v>
      </c>
      <c r="AE272" t="s">
        <v>63</v>
      </c>
      <c r="AF272" t="s">
        <v>63</v>
      </c>
      <c r="AG272" t="s">
        <v>2513</v>
      </c>
      <c r="AH272" t="s">
        <v>63</v>
      </c>
      <c r="AI272" t="s">
        <v>63</v>
      </c>
      <c r="AJ272" t="s">
        <v>63</v>
      </c>
      <c r="AK272" t="s">
        <v>63</v>
      </c>
      <c r="AL272" t="s">
        <v>63</v>
      </c>
      <c r="AM272" t="s">
        <v>2514</v>
      </c>
      <c r="AN272" t="s">
        <v>63</v>
      </c>
      <c r="AO272" t="s">
        <v>63</v>
      </c>
      <c r="AP272" t="s">
        <v>63</v>
      </c>
      <c r="AQ272" t="s">
        <v>63</v>
      </c>
      <c r="AR272" t="s">
        <v>63</v>
      </c>
      <c r="AS272" t="s">
        <v>63</v>
      </c>
      <c r="AT272" t="s">
        <v>63</v>
      </c>
      <c r="AU272" t="s">
        <v>63</v>
      </c>
      <c r="AV272" t="s">
        <v>63</v>
      </c>
      <c r="AW272" t="s">
        <v>63</v>
      </c>
      <c r="AX272" t="s">
        <v>63</v>
      </c>
      <c r="AY272" t="s">
        <v>63</v>
      </c>
      <c r="AZ272" t="s">
        <v>63</v>
      </c>
      <c r="BA272" t="s">
        <v>63</v>
      </c>
      <c r="BB272" t="s">
        <v>63</v>
      </c>
      <c r="BC272" t="s">
        <v>63</v>
      </c>
      <c r="BD272" t="s">
        <v>63</v>
      </c>
      <c r="BE272" t="s">
        <v>63</v>
      </c>
      <c r="BF272" t="s">
        <v>63</v>
      </c>
    </row>
    <row r="273" spans="1:58">
      <c r="A273" t="s">
        <v>58</v>
      </c>
      <c r="B273" t="s">
        <v>2515</v>
      </c>
      <c r="C273" t="s">
        <v>2516</v>
      </c>
      <c r="D273" t="s">
        <v>563</v>
      </c>
      <c r="E273" t="s">
        <v>63</v>
      </c>
      <c r="F273">
        <v>2014</v>
      </c>
      <c r="G273" s="1">
        <v>41686</v>
      </c>
      <c r="H273">
        <v>14</v>
      </c>
      <c r="I273" t="s">
        <v>63</v>
      </c>
      <c r="J273">
        <v>34</v>
      </c>
      <c r="K273" t="s">
        <v>63</v>
      </c>
      <c r="L273" t="s">
        <v>2517</v>
      </c>
      <c r="M273" t="s">
        <v>2518</v>
      </c>
      <c r="N273" t="s">
        <v>2519</v>
      </c>
      <c r="O273" t="s">
        <v>63</v>
      </c>
      <c r="Q273" t="s">
        <v>63</v>
      </c>
      <c r="R273" t="s">
        <v>63</v>
      </c>
      <c r="S273" t="s">
        <v>63</v>
      </c>
      <c r="T273" t="s">
        <v>63</v>
      </c>
      <c r="X273" t="s">
        <v>63</v>
      </c>
      <c r="Y273" t="s">
        <v>567</v>
      </c>
      <c r="Z273" t="s">
        <v>63</v>
      </c>
      <c r="AA273" t="s">
        <v>2520</v>
      </c>
      <c r="AB273">
        <v>24533849</v>
      </c>
      <c r="AC273" t="s">
        <v>67</v>
      </c>
      <c r="AD273" t="s">
        <v>63</v>
      </c>
      <c r="AE273" t="s">
        <v>63</v>
      </c>
      <c r="AF273" t="s">
        <v>63</v>
      </c>
      <c r="AG273" t="s">
        <v>2521</v>
      </c>
      <c r="AH273" t="s">
        <v>63</v>
      </c>
      <c r="AI273" t="s">
        <v>2522</v>
      </c>
      <c r="AJ273" t="s">
        <v>63</v>
      </c>
      <c r="AK273" t="s">
        <v>63</v>
      </c>
      <c r="AL273" t="s">
        <v>63</v>
      </c>
      <c r="AM273" t="s">
        <v>2523</v>
      </c>
      <c r="AN273" t="s">
        <v>63</v>
      </c>
      <c r="AO273" t="s">
        <v>63</v>
      </c>
      <c r="AP273" t="s">
        <v>63</v>
      </c>
      <c r="AQ273" t="s">
        <v>63</v>
      </c>
      <c r="AR273" t="s">
        <v>63</v>
      </c>
      <c r="AS273" t="s">
        <v>63</v>
      </c>
      <c r="AT273" t="s">
        <v>63</v>
      </c>
      <c r="AU273" t="s">
        <v>63</v>
      </c>
      <c r="AV273" t="s">
        <v>63</v>
      </c>
      <c r="AW273" t="s">
        <v>63</v>
      </c>
      <c r="AX273" t="s">
        <v>63</v>
      </c>
      <c r="AY273" t="s">
        <v>63</v>
      </c>
      <c r="AZ273" t="s">
        <v>63</v>
      </c>
      <c r="BA273" t="s">
        <v>63</v>
      </c>
      <c r="BB273" t="s">
        <v>63</v>
      </c>
      <c r="BC273" t="s">
        <v>63</v>
      </c>
      <c r="BD273" t="s">
        <v>63</v>
      </c>
      <c r="BE273" t="s">
        <v>63</v>
      </c>
      <c r="BF273" t="s">
        <v>63</v>
      </c>
    </row>
    <row r="274" spans="1:58">
      <c r="A274" t="s">
        <v>58</v>
      </c>
      <c r="B274" t="s">
        <v>2524</v>
      </c>
      <c r="C274" t="s">
        <v>2525</v>
      </c>
      <c r="D274" t="s">
        <v>2526</v>
      </c>
      <c r="E274" t="s">
        <v>2527</v>
      </c>
      <c r="F274">
        <v>2012</v>
      </c>
      <c r="G274" t="s">
        <v>63</v>
      </c>
      <c r="H274">
        <v>130</v>
      </c>
      <c r="I274">
        <v>6</v>
      </c>
      <c r="J274">
        <v>380</v>
      </c>
      <c r="K274">
        <v>391</v>
      </c>
      <c r="L274" t="s">
        <v>2528</v>
      </c>
      <c r="M274" t="s">
        <v>2529</v>
      </c>
      <c r="N274" t="s">
        <v>2530</v>
      </c>
      <c r="O274" t="s">
        <v>63</v>
      </c>
      <c r="Q274" t="s">
        <v>63</v>
      </c>
      <c r="R274" t="s">
        <v>63</v>
      </c>
      <c r="S274" t="s">
        <v>63</v>
      </c>
      <c r="T274" t="s">
        <v>63</v>
      </c>
      <c r="X274" t="s">
        <v>63</v>
      </c>
      <c r="Y274" t="s">
        <v>2531</v>
      </c>
      <c r="Z274" t="s">
        <v>63</v>
      </c>
      <c r="AA274" t="s">
        <v>2532</v>
      </c>
      <c r="AB274">
        <v>23338735</v>
      </c>
      <c r="AC274" t="s">
        <v>67</v>
      </c>
      <c r="AD274" t="s">
        <v>63</v>
      </c>
      <c r="AE274" t="s">
        <v>63</v>
      </c>
      <c r="AF274" t="s">
        <v>63</v>
      </c>
      <c r="AG274" t="s">
        <v>2533</v>
      </c>
      <c r="AH274" t="s">
        <v>63</v>
      </c>
      <c r="AI274" t="s">
        <v>63</v>
      </c>
      <c r="AJ274" t="s">
        <v>63</v>
      </c>
      <c r="AK274" t="s">
        <v>63</v>
      </c>
      <c r="AL274" t="s">
        <v>63</v>
      </c>
      <c r="AM274" t="s">
        <v>2534</v>
      </c>
      <c r="AN274" t="s">
        <v>63</v>
      </c>
      <c r="AO274" t="s">
        <v>63</v>
      </c>
      <c r="AP274" t="s">
        <v>63</v>
      </c>
      <c r="AQ274" t="s">
        <v>63</v>
      </c>
      <c r="AR274" t="s">
        <v>63</v>
      </c>
      <c r="AS274" t="s">
        <v>63</v>
      </c>
      <c r="AT274" t="s">
        <v>63</v>
      </c>
      <c r="AU274" t="s">
        <v>63</v>
      </c>
      <c r="AV274" t="s">
        <v>63</v>
      </c>
      <c r="AW274" t="s">
        <v>63</v>
      </c>
      <c r="AX274" t="s">
        <v>63</v>
      </c>
      <c r="AY274" t="s">
        <v>63</v>
      </c>
      <c r="AZ274" t="s">
        <v>63</v>
      </c>
      <c r="BA274" t="s">
        <v>63</v>
      </c>
      <c r="BB274" t="s">
        <v>63</v>
      </c>
      <c r="BC274" t="s">
        <v>63</v>
      </c>
      <c r="BD274" t="s">
        <v>63</v>
      </c>
      <c r="BE274" t="s">
        <v>63</v>
      </c>
      <c r="BF274" t="s">
        <v>63</v>
      </c>
    </row>
    <row r="275" spans="1:58">
      <c r="A275" t="s">
        <v>58</v>
      </c>
      <c r="B275" t="s">
        <v>2535</v>
      </c>
      <c r="C275" t="s">
        <v>2536</v>
      </c>
      <c r="D275" t="s">
        <v>2537</v>
      </c>
      <c r="E275" t="s">
        <v>63</v>
      </c>
      <c r="F275">
        <v>2016</v>
      </c>
      <c r="G275" t="s">
        <v>1670</v>
      </c>
      <c r="H275">
        <v>6</v>
      </c>
      <c r="I275">
        <v>3</v>
      </c>
      <c r="J275">
        <v>469</v>
      </c>
      <c r="K275">
        <v>477</v>
      </c>
      <c r="L275" t="s">
        <v>63</v>
      </c>
      <c r="M275" t="s">
        <v>2538</v>
      </c>
      <c r="N275" t="s">
        <v>2539</v>
      </c>
      <c r="O275" t="s">
        <v>63</v>
      </c>
      <c r="Q275" t="s">
        <v>63</v>
      </c>
      <c r="R275" t="s">
        <v>63</v>
      </c>
      <c r="S275" t="s">
        <v>63</v>
      </c>
      <c r="T275" t="s">
        <v>63</v>
      </c>
      <c r="X275" t="s">
        <v>63</v>
      </c>
      <c r="Y275" t="s">
        <v>2540</v>
      </c>
      <c r="Z275" t="s">
        <v>63</v>
      </c>
      <c r="AA275" t="s">
        <v>2541</v>
      </c>
      <c r="AB275">
        <v>27398257</v>
      </c>
      <c r="AC275" t="s">
        <v>67</v>
      </c>
      <c r="AD275" t="s">
        <v>63</v>
      </c>
      <c r="AE275" t="s">
        <v>63</v>
      </c>
      <c r="AF275" t="s">
        <v>63</v>
      </c>
      <c r="AG275" t="s">
        <v>2542</v>
      </c>
      <c r="AH275" t="s">
        <v>63</v>
      </c>
      <c r="AI275" t="s">
        <v>63</v>
      </c>
      <c r="AJ275" t="s">
        <v>63</v>
      </c>
      <c r="AK275" t="s">
        <v>63</v>
      </c>
      <c r="AL275" t="s">
        <v>63</v>
      </c>
      <c r="AM275" t="s">
        <v>2543</v>
      </c>
      <c r="AN275" t="s">
        <v>63</v>
      </c>
      <c r="AO275" t="s">
        <v>63</v>
      </c>
      <c r="AP275" t="s">
        <v>63</v>
      </c>
      <c r="AQ275" t="s">
        <v>63</v>
      </c>
      <c r="AR275" t="s">
        <v>63</v>
      </c>
      <c r="AS275" t="s">
        <v>63</v>
      </c>
      <c r="AT275" t="s">
        <v>63</v>
      </c>
      <c r="AU275" t="s">
        <v>63</v>
      </c>
      <c r="AV275" t="s">
        <v>63</v>
      </c>
      <c r="AW275" t="s">
        <v>63</v>
      </c>
      <c r="AX275" t="s">
        <v>63</v>
      </c>
      <c r="AY275" t="s">
        <v>63</v>
      </c>
      <c r="AZ275" t="s">
        <v>63</v>
      </c>
      <c r="BA275" t="s">
        <v>63</v>
      </c>
      <c r="BB275" t="s">
        <v>63</v>
      </c>
      <c r="BC275" t="s">
        <v>63</v>
      </c>
      <c r="BD275" t="s">
        <v>63</v>
      </c>
      <c r="BE275" t="s">
        <v>63</v>
      </c>
      <c r="BF275" t="s">
        <v>63</v>
      </c>
    </row>
    <row r="276" spans="1:58">
      <c r="A276" t="s">
        <v>58</v>
      </c>
      <c r="B276" t="s">
        <v>2544</v>
      </c>
      <c r="C276" t="s">
        <v>2545</v>
      </c>
      <c r="D276" t="s">
        <v>2546</v>
      </c>
      <c r="E276" t="s">
        <v>63</v>
      </c>
      <c r="F276">
        <v>2014</v>
      </c>
      <c r="G276" s="1">
        <v>41787</v>
      </c>
      <c r="H276">
        <v>11</v>
      </c>
      <c r="I276" t="s">
        <v>63</v>
      </c>
      <c r="J276" t="s">
        <v>2547</v>
      </c>
      <c r="K276" t="s">
        <v>63</v>
      </c>
      <c r="L276" t="s">
        <v>2548</v>
      </c>
      <c r="M276" t="s">
        <v>2549</v>
      </c>
      <c r="N276" t="s">
        <v>2550</v>
      </c>
      <c r="O276" t="s">
        <v>63</v>
      </c>
      <c r="Q276" t="s">
        <v>63</v>
      </c>
      <c r="R276" t="s">
        <v>63</v>
      </c>
      <c r="S276" t="s">
        <v>63</v>
      </c>
      <c r="T276" t="s">
        <v>63</v>
      </c>
      <c r="X276" t="s">
        <v>63</v>
      </c>
      <c r="Y276" t="s">
        <v>2551</v>
      </c>
      <c r="Z276" t="s">
        <v>63</v>
      </c>
      <c r="AA276" t="s">
        <v>2552</v>
      </c>
      <c r="AB276">
        <v>24874783</v>
      </c>
      <c r="AC276" t="s">
        <v>67</v>
      </c>
      <c r="AD276" t="s">
        <v>63</v>
      </c>
      <c r="AE276" t="s">
        <v>63</v>
      </c>
      <c r="AF276" t="s">
        <v>63</v>
      </c>
      <c r="AG276" t="s">
        <v>2553</v>
      </c>
      <c r="AH276" t="s">
        <v>63</v>
      </c>
      <c r="AI276" t="s">
        <v>2554</v>
      </c>
      <c r="AJ276" t="s">
        <v>63</v>
      </c>
      <c r="AK276" t="s">
        <v>63</v>
      </c>
      <c r="AL276" t="s">
        <v>63</v>
      </c>
      <c r="AM276" t="s">
        <v>2555</v>
      </c>
      <c r="AN276" t="s">
        <v>63</v>
      </c>
      <c r="AO276" t="s">
        <v>63</v>
      </c>
      <c r="AP276" t="s">
        <v>63</v>
      </c>
      <c r="AQ276" t="s">
        <v>63</v>
      </c>
      <c r="AR276" t="s">
        <v>63</v>
      </c>
      <c r="AS276" t="s">
        <v>63</v>
      </c>
      <c r="AT276" t="s">
        <v>63</v>
      </c>
      <c r="AU276" t="s">
        <v>63</v>
      </c>
      <c r="AV276" t="s">
        <v>63</v>
      </c>
      <c r="AW276" t="s">
        <v>63</v>
      </c>
      <c r="AX276" t="s">
        <v>63</v>
      </c>
      <c r="AY276" t="s">
        <v>63</v>
      </c>
      <c r="AZ276" t="s">
        <v>63</v>
      </c>
      <c r="BA276" t="s">
        <v>63</v>
      </c>
      <c r="BB276" t="s">
        <v>63</v>
      </c>
      <c r="BC276" t="s">
        <v>63</v>
      </c>
      <c r="BD276" t="s">
        <v>63</v>
      </c>
      <c r="BE276" t="s">
        <v>63</v>
      </c>
      <c r="BF276" t="s">
        <v>63</v>
      </c>
    </row>
    <row r="277" spans="1:58">
      <c r="A277" t="s">
        <v>58</v>
      </c>
      <c r="B277" t="s">
        <v>2556</v>
      </c>
      <c r="C277" t="s">
        <v>2557</v>
      </c>
      <c r="D277" t="s">
        <v>574</v>
      </c>
      <c r="E277" t="s">
        <v>63</v>
      </c>
      <c r="F277">
        <v>2017</v>
      </c>
      <c r="G277" t="s">
        <v>2558</v>
      </c>
      <c r="H277">
        <v>18</v>
      </c>
      <c r="I277">
        <v>1</v>
      </c>
      <c r="J277">
        <v>78</v>
      </c>
      <c r="K277">
        <v>85</v>
      </c>
      <c r="L277" t="s">
        <v>2559</v>
      </c>
      <c r="M277" t="s">
        <v>2560</v>
      </c>
      <c r="N277" t="s">
        <v>2561</v>
      </c>
      <c r="O277" t="s">
        <v>63</v>
      </c>
      <c r="Q277" t="s">
        <v>63</v>
      </c>
      <c r="R277" t="s">
        <v>63</v>
      </c>
      <c r="S277" t="s">
        <v>63</v>
      </c>
      <c r="T277" t="s">
        <v>63</v>
      </c>
      <c r="X277" t="s">
        <v>63</v>
      </c>
      <c r="Y277" t="s">
        <v>578</v>
      </c>
      <c r="Z277" t="s">
        <v>63</v>
      </c>
      <c r="AA277" t="s">
        <v>2562</v>
      </c>
      <c r="AB277">
        <v>27373304</v>
      </c>
      <c r="AC277" t="s">
        <v>67</v>
      </c>
      <c r="AD277" t="s">
        <v>63</v>
      </c>
      <c r="AE277" t="s">
        <v>63</v>
      </c>
      <c r="AF277" t="s">
        <v>63</v>
      </c>
      <c r="AG277" t="s">
        <v>2563</v>
      </c>
      <c r="AH277" t="s">
        <v>63</v>
      </c>
      <c r="AI277" t="s">
        <v>2564</v>
      </c>
      <c r="AJ277" t="s">
        <v>63</v>
      </c>
      <c r="AK277" t="s">
        <v>63</v>
      </c>
      <c r="AL277" t="s">
        <v>63</v>
      </c>
      <c r="AM277" t="s">
        <v>2565</v>
      </c>
      <c r="AN277" t="s">
        <v>63</v>
      </c>
      <c r="AO277" t="s">
        <v>63</v>
      </c>
      <c r="AP277" t="s">
        <v>63</v>
      </c>
      <c r="AQ277" t="s">
        <v>63</v>
      </c>
      <c r="AR277" t="s">
        <v>63</v>
      </c>
      <c r="AS277" t="s">
        <v>63</v>
      </c>
      <c r="AT277" t="s">
        <v>63</v>
      </c>
      <c r="AU277" t="s">
        <v>63</v>
      </c>
      <c r="AV277" t="s">
        <v>63</v>
      </c>
      <c r="AW277" t="s">
        <v>63</v>
      </c>
      <c r="AX277" t="s">
        <v>63</v>
      </c>
      <c r="AY277" t="s">
        <v>63</v>
      </c>
      <c r="AZ277" t="s">
        <v>63</v>
      </c>
      <c r="BA277" t="s">
        <v>63</v>
      </c>
      <c r="BB277" t="s">
        <v>63</v>
      </c>
      <c r="BC277" t="s">
        <v>63</v>
      </c>
      <c r="BD277" t="s">
        <v>63</v>
      </c>
      <c r="BE277" t="s">
        <v>63</v>
      </c>
      <c r="BF277" t="s">
        <v>63</v>
      </c>
    </row>
    <row r="278" spans="1:58">
      <c r="A278" t="s">
        <v>58</v>
      </c>
      <c r="B278" t="s">
        <v>2566</v>
      </c>
      <c r="C278" t="s">
        <v>2567</v>
      </c>
      <c r="D278" t="s">
        <v>1829</v>
      </c>
      <c r="E278" t="s">
        <v>1830</v>
      </c>
      <c r="F278">
        <v>1998</v>
      </c>
      <c r="G278" t="s">
        <v>198</v>
      </c>
      <c r="H278">
        <v>91</v>
      </c>
      <c r="I278">
        <v>1</v>
      </c>
      <c r="J278">
        <v>27</v>
      </c>
      <c r="K278">
        <v>32</v>
      </c>
      <c r="L278" t="s">
        <v>2568</v>
      </c>
      <c r="M278" t="s">
        <v>2569</v>
      </c>
      <c r="N278" t="s">
        <v>2570</v>
      </c>
      <c r="O278" t="s">
        <v>63</v>
      </c>
      <c r="Q278" t="s">
        <v>63</v>
      </c>
      <c r="R278" t="s">
        <v>63</v>
      </c>
      <c r="S278" t="s">
        <v>63</v>
      </c>
      <c r="T278" t="s">
        <v>63</v>
      </c>
      <c r="X278" t="s">
        <v>63</v>
      </c>
      <c r="Y278" t="s">
        <v>1834</v>
      </c>
      <c r="Z278" t="s">
        <v>63</v>
      </c>
      <c r="AA278" t="s">
        <v>2571</v>
      </c>
      <c r="AB278">
        <v>9438398</v>
      </c>
      <c r="AC278" t="s">
        <v>67</v>
      </c>
      <c r="AD278" t="s">
        <v>63</v>
      </c>
      <c r="AE278" t="s">
        <v>63</v>
      </c>
      <c r="AF278" t="s">
        <v>63</v>
      </c>
      <c r="AG278" t="s">
        <v>2572</v>
      </c>
      <c r="AH278" t="s">
        <v>63</v>
      </c>
      <c r="AI278" t="s">
        <v>63</v>
      </c>
      <c r="AJ278" t="s">
        <v>63</v>
      </c>
      <c r="AK278" t="s">
        <v>63</v>
      </c>
      <c r="AL278" t="s">
        <v>63</v>
      </c>
      <c r="AM278" t="s">
        <v>2573</v>
      </c>
      <c r="AN278" t="s">
        <v>63</v>
      </c>
      <c r="AO278" t="s">
        <v>63</v>
      </c>
      <c r="AP278" t="s">
        <v>63</v>
      </c>
      <c r="AQ278" t="s">
        <v>63</v>
      </c>
      <c r="AR278" t="s">
        <v>63</v>
      </c>
      <c r="AS278" t="s">
        <v>63</v>
      </c>
      <c r="AT278" t="s">
        <v>63</v>
      </c>
      <c r="AU278" t="s">
        <v>63</v>
      </c>
      <c r="AV278" t="s">
        <v>63</v>
      </c>
      <c r="AW278" t="s">
        <v>63</v>
      </c>
      <c r="AX278" t="s">
        <v>63</v>
      </c>
      <c r="AY278" t="s">
        <v>63</v>
      </c>
      <c r="AZ278" t="s">
        <v>63</v>
      </c>
      <c r="BA278" t="s">
        <v>63</v>
      </c>
      <c r="BB278" t="s">
        <v>63</v>
      </c>
      <c r="BC278" t="s">
        <v>63</v>
      </c>
      <c r="BD278" t="s">
        <v>63</v>
      </c>
      <c r="BE278" t="s">
        <v>63</v>
      </c>
      <c r="BF278" t="s">
        <v>63</v>
      </c>
    </row>
    <row r="279" spans="1:58">
      <c r="A279" t="s">
        <v>58</v>
      </c>
      <c r="B279" t="s">
        <v>2574</v>
      </c>
      <c r="C279" t="s">
        <v>2575</v>
      </c>
      <c r="D279" t="s">
        <v>2576</v>
      </c>
      <c r="E279" t="s">
        <v>2577</v>
      </c>
      <c r="F279">
        <v>1971</v>
      </c>
      <c r="G279" s="1">
        <v>41726</v>
      </c>
      <c r="H279">
        <v>178</v>
      </c>
      <c r="I279" t="s">
        <v>63</v>
      </c>
      <c r="J279">
        <v>82</v>
      </c>
      <c r="K279">
        <v>86</v>
      </c>
      <c r="L279" t="s">
        <v>2578</v>
      </c>
      <c r="M279" t="s">
        <v>63</v>
      </c>
      <c r="N279" t="s">
        <v>2579</v>
      </c>
      <c r="O279" t="s">
        <v>63</v>
      </c>
      <c r="Q279" t="s">
        <v>63</v>
      </c>
      <c r="R279" t="s">
        <v>63</v>
      </c>
      <c r="S279" t="s">
        <v>63</v>
      </c>
      <c r="T279" t="s">
        <v>63</v>
      </c>
      <c r="X279" t="s">
        <v>63</v>
      </c>
      <c r="Y279" t="s">
        <v>2580</v>
      </c>
      <c r="Z279" t="s">
        <v>63</v>
      </c>
      <c r="AA279" t="s">
        <v>63</v>
      </c>
      <c r="AB279">
        <v>5282662</v>
      </c>
      <c r="AC279" t="s">
        <v>67</v>
      </c>
      <c r="AD279" t="s">
        <v>63</v>
      </c>
      <c r="AE279" t="s">
        <v>63</v>
      </c>
      <c r="AF279" t="s">
        <v>63</v>
      </c>
      <c r="AG279" t="s">
        <v>2581</v>
      </c>
      <c r="AH279" t="s">
        <v>63</v>
      </c>
      <c r="AI279" t="s">
        <v>63</v>
      </c>
      <c r="AJ279" t="s">
        <v>63</v>
      </c>
      <c r="AK279" t="s">
        <v>63</v>
      </c>
      <c r="AL279" t="s">
        <v>63</v>
      </c>
      <c r="AM279" t="s">
        <v>2582</v>
      </c>
      <c r="AN279" t="s">
        <v>63</v>
      </c>
      <c r="AO279" t="s">
        <v>63</v>
      </c>
      <c r="AP279" t="s">
        <v>63</v>
      </c>
      <c r="AQ279" t="s">
        <v>63</v>
      </c>
      <c r="AR279" t="s">
        <v>63</v>
      </c>
      <c r="AS279" t="s">
        <v>63</v>
      </c>
      <c r="AT279" t="s">
        <v>63</v>
      </c>
      <c r="AU279" t="s">
        <v>63</v>
      </c>
      <c r="AV279" t="s">
        <v>63</v>
      </c>
      <c r="AW279" t="s">
        <v>63</v>
      </c>
      <c r="AX279" t="s">
        <v>63</v>
      </c>
      <c r="AY279" t="s">
        <v>63</v>
      </c>
      <c r="AZ279" t="s">
        <v>63</v>
      </c>
      <c r="BA279" t="s">
        <v>63</v>
      </c>
      <c r="BB279" t="s">
        <v>63</v>
      </c>
      <c r="BC279" t="s">
        <v>63</v>
      </c>
      <c r="BD279" t="s">
        <v>63</v>
      </c>
      <c r="BE279" t="s">
        <v>63</v>
      </c>
      <c r="BF279" t="s">
        <v>63</v>
      </c>
    </row>
    <row r="280" spans="1:58">
      <c r="A280" t="s">
        <v>58</v>
      </c>
      <c r="B280" t="s">
        <v>2583</v>
      </c>
      <c r="C280" t="s">
        <v>2584</v>
      </c>
      <c r="D280" t="s">
        <v>389</v>
      </c>
      <c r="E280" t="s">
        <v>63</v>
      </c>
      <c r="F280">
        <v>2018</v>
      </c>
      <c r="G280" s="1">
        <v>41640</v>
      </c>
      <c r="H280">
        <v>39</v>
      </c>
      <c r="I280">
        <v>1</v>
      </c>
      <c r="J280">
        <v>27</v>
      </c>
      <c r="K280">
        <v>31</v>
      </c>
      <c r="L280" t="s">
        <v>63</v>
      </c>
      <c r="M280" t="s">
        <v>2585</v>
      </c>
      <c r="N280" t="s">
        <v>2586</v>
      </c>
      <c r="O280" t="s">
        <v>63</v>
      </c>
      <c r="Q280" t="s">
        <v>63</v>
      </c>
      <c r="R280" t="s">
        <v>63</v>
      </c>
      <c r="S280" t="s">
        <v>63</v>
      </c>
      <c r="T280" t="s">
        <v>63</v>
      </c>
      <c r="X280" t="s">
        <v>63</v>
      </c>
      <c r="Y280" t="s">
        <v>556</v>
      </c>
      <c r="Z280" t="s">
        <v>63</v>
      </c>
      <c r="AA280" t="s">
        <v>2587</v>
      </c>
      <c r="AB280">
        <v>28873050</v>
      </c>
      <c r="AC280" t="s">
        <v>67</v>
      </c>
      <c r="AD280" t="s">
        <v>63</v>
      </c>
      <c r="AE280" t="s">
        <v>63</v>
      </c>
      <c r="AF280" t="s">
        <v>63</v>
      </c>
      <c r="AG280" t="s">
        <v>2588</v>
      </c>
      <c r="AH280" t="s">
        <v>63</v>
      </c>
      <c r="AI280" t="s">
        <v>2589</v>
      </c>
      <c r="AJ280" t="s">
        <v>63</v>
      </c>
      <c r="AK280" t="s">
        <v>63</v>
      </c>
      <c r="AL280" t="s">
        <v>63</v>
      </c>
      <c r="AM280" t="s">
        <v>2590</v>
      </c>
      <c r="AN280" t="s">
        <v>63</v>
      </c>
      <c r="AO280" t="s">
        <v>63</v>
      </c>
      <c r="AP280" t="s">
        <v>63</v>
      </c>
      <c r="AQ280" t="s">
        <v>63</v>
      </c>
      <c r="AR280" t="s">
        <v>63</v>
      </c>
      <c r="AS280" t="s">
        <v>63</v>
      </c>
      <c r="AT280" t="s">
        <v>63</v>
      </c>
      <c r="AU280" t="s">
        <v>63</v>
      </c>
      <c r="AV280" t="s">
        <v>63</v>
      </c>
      <c r="AW280" t="s">
        <v>63</v>
      </c>
      <c r="AX280" t="s">
        <v>63</v>
      </c>
      <c r="AY280" t="s">
        <v>63</v>
      </c>
      <c r="AZ280" t="s">
        <v>63</v>
      </c>
      <c r="BA280" t="s">
        <v>63</v>
      </c>
      <c r="BB280" t="s">
        <v>63</v>
      </c>
      <c r="BC280" t="s">
        <v>63</v>
      </c>
      <c r="BD280" t="s">
        <v>63</v>
      </c>
      <c r="BE280" t="s">
        <v>63</v>
      </c>
      <c r="BF280" t="s">
        <v>63</v>
      </c>
    </row>
    <row r="281" spans="1:58">
      <c r="A281" t="s">
        <v>58</v>
      </c>
      <c r="B281" t="s">
        <v>2591</v>
      </c>
      <c r="C281" t="s">
        <v>2592</v>
      </c>
      <c r="D281" t="s">
        <v>2593</v>
      </c>
      <c r="E281" t="s">
        <v>63</v>
      </c>
      <c r="F281">
        <v>2010</v>
      </c>
      <c r="G281" t="s">
        <v>326</v>
      </c>
      <c r="H281">
        <v>61</v>
      </c>
      <c r="I281">
        <v>2</v>
      </c>
      <c r="J281">
        <v>184</v>
      </c>
      <c r="K281">
        <v>188</v>
      </c>
      <c r="L281" t="s">
        <v>2594</v>
      </c>
      <c r="M281" t="s">
        <v>2595</v>
      </c>
      <c r="N281" t="s">
        <v>2596</v>
      </c>
      <c r="O281" t="s">
        <v>63</v>
      </c>
      <c r="Q281" t="s">
        <v>63</v>
      </c>
      <c r="R281" t="s">
        <v>63</v>
      </c>
      <c r="S281" t="s">
        <v>63</v>
      </c>
      <c r="T281" t="s">
        <v>63</v>
      </c>
      <c r="X281" t="s">
        <v>63</v>
      </c>
      <c r="Y281" t="s">
        <v>2597</v>
      </c>
      <c r="Z281" t="s">
        <v>63</v>
      </c>
      <c r="AA281" t="s">
        <v>2598</v>
      </c>
      <c r="AB281">
        <v>20123825</v>
      </c>
      <c r="AC281" t="s">
        <v>67</v>
      </c>
      <c r="AD281" t="s">
        <v>63</v>
      </c>
      <c r="AE281" t="s">
        <v>63</v>
      </c>
      <c r="AF281" t="s">
        <v>63</v>
      </c>
      <c r="AG281" t="s">
        <v>2599</v>
      </c>
      <c r="AH281" t="s">
        <v>63</v>
      </c>
      <c r="AI281" t="s">
        <v>2600</v>
      </c>
      <c r="AJ281" t="s">
        <v>63</v>
      </c>
      <c r="AK281" t="s">
        <v>63</v>
      </c>
      <c r="AL281" t="s">
        <v>63</v>
      </c>
      <c r="AM281" t="s">
        <v>2601</v>
      </c>
      <c r="AN281" t="s">
        <v>63</v>
      </c>
      <c r="AO281" t="s">
        <v>63</v>
      </c>
      <c r="AP281" t="s">
        <v>63</v>
      </c>
      <c r="AQ281" t="s">
        <v>63</v>
      </c>
      <c r="AR281" t="s">
        <v>63</v>
      </c>
      <c r="AS281" t="s">
        <v>63</v>
      </c>
      <c r="AT281" t="s">
        <v>63</v>
      </c>
      <c r="AU281" t="s">
        <v>63</v>
      </c>
      <c r="AV281" t="s">
        <v>63</v>
      </c>
      <c r="AW281" t="s">
        <v>63</v>
      </c>
      <c r="AX281" t="s">
        <v>63</v>
      </c>
      <c r="AY281" t="s">
        <v>63</v>
      </c>
      <c r="AZ281" t="s">
        <v>63</v>
      </c>
      <c r="BA281" t="s">
        <v>63</v>
      </c>
      <c r="BB281" t="s">
        <v>63</v>
      </c>
      <c r="BC281" t="s">
        <v>63</v>
      </c>
      <c r="BD281" t="s">
        <v>63</v>
      </c>
      <c r="BE281" t="s">
        <v>63</v>
      </c>
      <c r="BF281" t="s">
        <v>63</v>
      </c>
    </row>
    <row r="282" spans="1:58">
      <c r="A282" t="s">
        <v>58</v>
      </c>
      <c r="B282" t="s">
        <v>2602</v>
      </c>
      <c r="C282" t="s">
        <v>2603</v>
      </c>
      <c r="D282" t="s">
        <v>2604</v>
      </c>
      <c r="E282" t="s">
        <v>2604</v>
      </c>
      <c r="F282">
        <v>2002</v>
      </c>
      <c r="G282" t="s">
        <v>614</v>
      </c>
      <c r="H282" t="s">
        <v>2605</v>
      </c>
      <c r="I282" t="s">
        <v>63</v>
      </c>
      <c r="J282" t="s">
        <v>2606</v>
      </c>
      <c r="K282">
        <v>83</v>
      </c>
      <c r="L282" t="s">
        <v>2607</v>
      </c>
      <c r="M282" t="s">
        <v>2608</v>
      </c>
      <c r="N282" t="s">
        <v>2609</v>
      </c>
      <c r="O282" t="s">
        <v>63</v>
      </c>
      <c r="Q282" t="s">
        <v>63</v>
      </c>
      <c r="R282" t="s">
        <v>63</v>
      </c>
      <c r="S282" t="s">
        <v>63</v>
      </c>
      <c r="T282" t="s">
        <v>63</v>
      </c>
      <c r="X282" t="s">
        <v>63</v>
      </c>
      <c r="Y282" t="s">
        <v>2610</v>
      </c>
      <c r="Z282" t="s">
        <v>63</v>
      </c>
      <c r="AA282" t="s">
        <v>2611</v>
      </c>
      <c r="AB282">
        <v>12204143</v>
      </c>
      <c r="AC282" t="s">
        <v>67</v>
      </c>
      <c r="AD282" t="s">
        <v>63</v>
      </c>
      <c r="AE282" t="s">
        <v>63</v>
      </c>
      <c r="AF282" t="s">
        <v>63</v>
      </c>
      <c r="AG282" t="s">
        <v>2612</v>
      </c>
      <c r="AH282" t="s">
        <v>63</v>
      </c>
      <c r="AI282" t="s">
        <v>63</v>
      </c>
      <c r="AJ282" t="s">
        <v>63</v>
      </c>
      <c r="AK282" t="s">
        <v>63</v>
      </c>
      <c r="AL282" t="s">
        <v>63</v>
      </c>
      <c r="AM282" t="s">
        <v>2613</v>
      </c>
      <c r="AN282" t="s">
        <v>63</v>
      </c>
      <c r="AO282" t="s">
        <v>63</v>
      </c>
      <c r="AP282" t="s">
        <v>63</v>
      </c>
      <c r="AQ282" t="s">
        <v>63</v>
      </c>
      <c r="AR282" t="s">
        <v>63</v>
      </c>
      <c r="AS282" t="s">
        <v>63</v>
      </c>
      <c r="AT282" t="s">
        <v>63</v>
      </c>
      <c r="AU282" t="s">
        <v>63</v>
      </c>
      <c r="AV282" t="s">
        <v>63</v>
      </c>
      <c r="AW282" t="s">
        <v>63</v>
      </c>
      <c r="AX282" t="s">
        <v>63</v>
      </c>
      <c r="AY282" t="s">
        <v>63</v>
      </c>
      <c r="AZ282" t="s">
        <v>63</v>
      </c>
      <c r="BA282" t="s">
        <v>63</v>
      </c>
      <c r="BB282" t="s">
        <v>63</v>
      </c>
      <c r="BC282" t="s">
        <v>63</v>
      </c>
      <c r="BD282" t="s">
        <v>63</v>
      </c>
      <c r="BE282" t="s">
        <v>63</v>
      </c>
      <c r="BF282" t="s">
        <v>63</v>
      </c>
    </row>
    <row r="283" spans="1:58">
      <c r="A283" t="s">
        <v>58</v>
      </c>
      <c r="B283" t="s">
        <v>2614</v>
      </c>
      <c r="C283" t="s">
        <v>2615</v>
      </c>
      <c r="D283" t="s">
        <v>2616</v>
      </c>
      <c r="E283" t="s">
        <v>2616</v>
      </c>
      <c r="F283">
        <v>2007</v>
      </c>
      <c r="G283" s="1">
        <v>41916</v>
      </c>
      <c r="H283">
        <v>7</v>
      </c>
      <c r="I283" t="s">
        <v>63</v>
      </c>
      <c r="J283">
        <v>280</v>
      </c>
      <c r="K283" t="s">
        <v>63</v>
      </c>
      <c r="L283" t="s">
        <v>2617</v>
      </c>
      <c r="M283" t="s">
        <v>2618</v>
      </c>
      <c r="N283" t="s">
        <v>2619</v>
      </c>
      <c r="O283" t="s">
        <v>63</v>
      </c>
      <c r="Q283" t="s">
        <v>63</v>
      </c>
      <c r="R283" t="s">
        <v>63</v>
      </c>
      <c r="S283" t="s">
        <v>63</v>
      </c>
      <c r="T283" t="s">
        <v>63</v>
      </c>
      <c r="X283" t="s">
        <v>63</v>
      </c>
      <c r="Y283" t="s">
        <v>2620</v>
      </c>
      <c r="Z283" t="s">
        <v>63</v>
      </c>
      <c r="AA283" t="s">
        <v>2621</v>
      </c>
      <c r="AB283">
        <v>17919317</v>
      </c>
      <c r="AC283" t="s">
        <v>67</v>
      </c>
      <c r="AD283" t="s">
        <v>63</v>
      </c>
      <c r="AE283" t="s">
        <v>63</v>
      </c>
      <c r="AF283" t="s">
        <v>63</v>
      </c>
      <c r="AG283" t="s">
        <v>2622</v>
      </c>
      <c r="AH283" t="s">
        <v>63</v>
      </c>
      <c r="AI283" t="s">
        <v>63</v>
      </c>
      <c r="AJ283" t="s">
        <v>63</v>
      </c>
      <c r="AK283" t="s">
        <v>63</v>
      </c>
      <c r="AL283" t="s">
        <v>63</v>
      </c>
      <c r="AM283" t="s">
        <v>2623</v>
      </c>
      <c r="AN283" t="s">
        <v>63</v>
      </c>
      <c r="AO283" t="s">
        <v>63</v>
      </c>
      <c r="AP283" t="s">
        <v>63</v>
      </c>
      <c r="AQ283" t="s">
        <v>63</v>
      </c>
      <c r="AR283" t="s">
        <v>63</v>
      </c>
      <c r="AS283" t="s">
        <v>63</v>
      </c>
      <c r="AT283" t="s">
        <v>63</v>
      </c>
      <c r="AU283" t="s">
        <v>63</v>
      </c>
      <c r="AV283" t="s">
        <v>63</v>
      </c>
      <c r="AW283" t="s">
        <v>63</v>
      </c>
      <c r="AX283" t="s">
        <v>63</v>
      </c>
      <c r="AY283" t="s">
        <v>63</v>
      </c>
      <c r="AZ283" t="s">
        <v>63</v>
      </c>
      <c r="BA283" t="s">
        <v>63</v>
      </c>
      <c r="BB283" t="s">
        <v>63</v>
      </c>
      <c r="BC283" t="s">
        <v>63</v>
      </c>
      <c r="BD283" t="s">
        <v>63</v>
      </c>
      <c r="BE283" t="s">
        <v>63</v>
      </c>
      <c r="BF283" t="s">
        <v>63</v>
      </c>
    </row>
    <row r="284" spans="1:58">
      <c r="A284" t="s">
        <v>58</v>
      </c>
      <c r="B284" t="s">
        <v>2624</v>
      </c>
      <c r="C284" t="s">
        <v>2625</v>
      </c>
      <c r="D284" t="s">
        <v>2626</v>
      </c>
      <c r="E284" t="s">
        <v>2627</v>
      </c>
      <c r="F284">
        <v>1998</v>
      </c>
      <c r="G284" t="s">
        <v>219</v>
      </c>
      <c r="H284">
        <v>45</v>
      </c>
      <c r="I284">
        <v>5</v>
      </c>
      <c r="J284">
        <v>401</v>
      </c>
      <c r="K284">
        <v>409</v>
      </c>
      <c r="L284" t="s">
        <v>2628</v>
      </c>
      <c r="M284" t="s">
        <v>2629</v>
      </c>
      <c r="N284" t="s">
        <v>2630</v>
      </c>
      <c r="O284" t="s">
        <v>63</v>
      </c>
      <c r="Q284" t="s">
        <v>63</v>
      </c>
      <c r="R284" t="s">
        <v>63</v>
      </c>
      <c r="S284" t="s">
        <v>63</v>
      </c>
      <c r="T284" t="s">
        <v>63</v>
      </c>
      <c r="X284" t="s">
        <v>63</v>
      </c>
      <c r="Y284" t="s">
        <v>2631</v>
      </c>
      <c r="Z284" t="s">
        <v>63</v>
      </c>
      <c r="AA284" t="s">
        <v>2632</v>
      </c>
      <c r="AB284">
        <v>9835233</v>
      </c>
      <c r="AC284" t="s">
        <v>67</v>
      </c>
      <c r="AD284" t="s">
        <v>63</v>
      </c>
      <c r="AE284" t="s">
        <v>63</v>
      </c>
      <c r="AF284" t="s">
        <v>63</v>
      </c>
      <c r="AG284" t="s">
        <v>2633</v>
      </c>
      <c r="AH284" t="s">
        <v>63</v>
      </c>
      <c r="AI284" t="s">
        <v>63</v>
      </c>
      <c r="AJ284" t="s">
        <v>63</v>
      </c>
      <c r="AK284" t="s">
        <v>63</v>
      </c>
      <c r="AL284" t="s">
        <v>63</v>
      </c>
      <c r="AM284" t="s">
        <v>2634</v>
      </c>
      <c r="AN284" t="s">
        <v>63</v>
      </c>
      <c r="AO284" t="s">
        <v>63</v>
      </c>
      <c r="AP284" t="s">
        <v>63</v>
      </c>
      <c r="AQ284" t="s">
        <v>63</v>
      </c>
      <c r="AR284" t="s">
        <v>63</v>
      </c>
      <c r="AS284" t="s">
        <v>63</v>
      </c>
      <c r="AT284" t="s">
        <v>63</v>
      </c>
      <c r="AU284" t="s">
        <v>63</v>
      </c>
      <c r="AV284" t="s">
        <v>63</v>
      </c>
      <c r="AW284" t="s">
        <v>63</v>
      </c>
      <c r="AX284" t="s">
        <v>63</v>
      </c>
      <c r="AY284" t="s">
        <v>63</v>
      </c>
      <c r="AZ284" t="s">
        <v>63</v>
      </c>
      <c r="BA284" t="s">
        <v>63</v>
      </c>
      <c r="BB284" t="s">
        <v>63</v>
      </c>
      <c r="BC284" t="s">
        <v>63</v>
      </c>
      <c r="BD284" t="s">
        <v>63</v>
      </c>
      <c r="BE284" t="s">
        <v>63</v>
      </c>
      <c r="BF284" t="s">
        <v>63</v>
      </c>
    </row>
    <row r="285" spans="1:58">
      <c r="A285" t="s">
        <v>58</v>
      </c>
      <c r="B285" t="s">
        <v>2635</v>
      </c>
      <c r="C285" t="s">
        <v>2636</v>
      </c>
      <c r="D285" t="s">
        <v>137</v>
      </c>
      <c r="E285" t="s">
        <v>63</v>
      </c>
      <c r="F285">
        <v>2002</v>
      </c>
      <c r="G285" t="s">
        <v>198</v>
      </c>
      <c r="H285">
        <v>48</v>
      </c>
      <c r="I285" t="s">
        <v>63</v>
      </c>
      <c r="J285">
        <v>120</v>
      </c>
      <c r="K285" t="s">
        <v>2637</v>
      </c>
      <c r="L285" t="s">
        <v>2638</v>
      </c>
      <c r="M285" t="s">
        <v>63</v>
      </c>
      <c r="N285" t="s">
        <v>2639</v>
      </c>
      <c r="O285" t="s">
        <v>63</v>
      </c>
      <c r="Q285" t="s">
        <v>63</v>
      </c>
      <c r="R285" t="s">
        <v>63</v>
      </c>
      <c r="S285" t="s">
        <v>63</v>
      </c>
      <c r="T285" t="s">
        <v>63</v>
      </c>
      <c r="X285" t="s">
        <v>63</v>
      </c>
      <c r="Y285" t="s">
        <v>141</v>
      </c>
      <c r="Z285" t="s">
        <v>63</v>
      </c>
      <c r="AA285" t="s">
        <v>2640</v>
      </c>
      <c r="AB285">
        <v>11852601</v>
      </c>
      <c r="AC285" t="s">
        <v>2641</v>
      </c>
      <c r="AD285" t="s">
        <v>63</v>
      </c>
      <c r="AE285" t="s">
        <v>63</v>
      </c>
      <c r="AF285" t="s">
        <v>63</v>
      </c>
      <c r="AG285" t="s">
        <v>2642</v>
      </c>
      <c r="AH285" t="s">
        <v>63</v>
      </c>
      <c r="AI285" t="s">
        <v>63</v>
      </c>
      <c r="AJ285" t="s">
        <v>63</v>
      </c>
      <c r="AK285" t="s">
        <v>63</v>
      </c>
      <c r="AL285" t="s">
        <v>63</v>
      </c>
      <c r="AM285" t="s">
        <v>2643</v>
      </c>
      <c r="AN285" t="s">
        <v>63</v>
      </c>
      <c r="AO285" t="s">
        <v>63</v>
      </c>
      <c r="AP285" t="s">
        <v>63</v>
      </c>
      <c r="AQ285" t="s">
        <v>63</v>
      </c>
      <c r="AR285" t="s">
        <v>63</v>
      </c>
      <c r="AS285" t="s">
        <v>63</v>
      </c>
      <c r="AT285" t="s">
        <v>63</v>
      </c>
      <c r="AU285" t="s">
        <v>63</v>
      </c>
      <c r="AV285" t="s">
        <v>63</v>
      </c>
      <c r="AW285" t="s">
        <v>63</v>
      </c>
      <c r="AX285" t="s">
        <v>63</v>
      </c>
      <c r="AY285" t="s">
        <v>63</v>
      </c>
      <c r="AZ285" t="s">
        <v>63</v>
      </c>
      <c r="BA285" t="s">
        <v>63</v>
      </c>
      <c r="BB285" t="s">
        <v>63</v>
      </c>
      <c r="BC285" t="s">
        <v>63</v>
      </c>
      <c r="BD285" t="s">
        <v>63</v>
      </c>
      <c r="BE285" t="s">
        <v>63</v>
      </c>
      <c r="BF285" t="s">
        <v>63</v>
      </c>
    </row>
    <row r="286" spans="1:58">
      <c r="A286" t="s">
        <v>58</v>
      </c>
      <c r="B286" t="s">
        <v>2644</v>
      </c>
      <c r="C286" t="s">
        <v>2645</v>
      </c>
      <c r="D286" t="s">
        <v>2646</v>
      </c>
      <c r="E286" t="s">
        <v>2647</v>
      </c>
      <c r="F286">
        <v>1992</v>
      </c>
      <c r="G286" t="s">
        <v>157</v>
      </c>
      <c r="H286">
        <v>85</v>
      </c>
      <c r="I286">
        <v>12</v>
      </c>
      <c r="J286">
        <v>774</v>
      </c>
      <c r="K286" t="s">
        <v>63</v>
      </c>
      <c r="L286" t="s">
        <v>63</v>
      </c>
      <c r="M286" t="s">
        <v>63</v>
      </c>
      <c r="N286" t="s">
        <v>2648</v>
      </c>
      <c r="O286" t="s">
        <v>63</v>
      </c>
      <c r="Q286" t="s">
        <v>63</v>
      </c>
      <c r="R286" t="s">
        <v>63</v>
      </c>
      <c r="S286" t="s">
        <v>63</v>
      </c>
      <c r="T286" t="s">
        <v>63</v>
      </c>
      <c r="X286" t="s">
        <v>63</v>
      </c>
      <c r="Y286" t="s">
        <v>2649</v>
      </c>
      <c r="Z286" t="s">
        <v>63</v>
      </c>
      <c r="AA286" t="s">
        <v>2650</v>
      </c>
      <c r="AB286">
        <v>20894844</v>
      </c>
      <c r="AC286" t="s">
        <v>67</v>
      </c>
      <c r="AD286" t="s">
        <v>63</v>
      </c>
      <c r="AE286" t="s">
        <v>63</v>
      </c>
      <c r="AF286" t="s">
        <v>63</v>
      </c>
      <c r="AG286" t="s">
        <v>2651</v>
      </c>
      <c r="AH286" t="s">
        <v>63</v>
      </c>
      <c r="AI286" t="s">
        <v>63</v>
      </c>
      <c r="AJ286" t="s">
        <v>63</v>
      </c>
      <c r="AK286" t="s">
        <v>63</v>
      </c>
      <c r="AL286" t="s">
        <v>63</v>
      </c>
      <c r="AM286" t="s">
        <v>2652</v>
      </c>
      <c r="AN286" t="s">
        <v>63</v>
      </c>
      <c r="AO286" t="s">
        <v>63</v>
      </c>
      <c r="AP286" t="s">
        <v>63</v>
      </c>
      <c r="AQ286" t="s">
        <v>63</v>
      </c>
      <c r="AR286" t="s">
        <v>63</v>
      </c>
      <c r="AS286" t="s">
        <v>63</v>
      </c>
      <c r="AT286" t="s">
        <v>63</v>
      </c>
      <c r="AU286" t="s">
        <v>63</v>
      </c>
      <c r="AV286" t="s">
        <v>63</v>
      </c>
      <c r="AW286" t="s">
        <v>63</v>
      </c>
      <c r="AX286" t="s">
        <v>63</v>
      </c>
      <c r="AY286" t="s">
        <v>63</v>
      </c>
      <c r="AZ286" t="s">
        <v>63</v>
      </c>
      <c r="BA286" t="s">
        <v>63</v>
      </c>
      <c r="BB286" t="s">
        <v>63</v>
      </c>
      <c r="BC286" t="s">
        <v>63</v>
      </c>
      <c r="BD286" t="s">
        <v>63</v>
      </c>
      <c r="BE286" t="s">
        <v>63</v>
      </c>
      <c r="BF286" t="s">
        <v>63</v>
      </c>
    </row>
    <row r="287" spans="1:58">
      <c r="A287" t="s">
        <v>58</v>
      </c>
      <c r="B287" t="s">
        <v>2653</v>
      </c>
      <c r="C287" t="s">
        <v>2654</v>
      </c>
      <c r="D287" t="s">
        <v>1728</v>
      </c>
      <c r="E287" t="s">
        <v>1729</v>
      </c>
      <c r="F287">
        <v>1993</v>
      </c>
      <c r="G287" t="s">
        <v>982</v>
      </c>
      <c r="H287">
        <v>25</v>
      </c>
      <c r="I287">
        <v>4</v>
      </c>
      <c r="J287">
        <v>293</v>
      </c>
      <c r="K287">
        <v>300</v>
      </c>
      <c r="L287" t="s">
        <v>2655</v>
      </c>
      <c r="M287" t="s">
        <v>2656</v>
      </c>
      <c r="N287" t="s">
        <v>2657</v>
      </c>
      <c r="O287" t="s">
        <v>63</v>
      </c>
      <c r="Q287" t="s">
        <v>63</v>
      </c>
      <c r="R287" t="s">
        <v>63</v>
      </c>
      <c r="S287" t="s">
        <v>63</v>
      </c>
      <c r="T287" t="s">
        <v>63</v>
      </c>
      <c r="X287" t="s">
        <v>63</v>
      </c>
      <c r="Y287" t="s">
        <v>1733</v>
      </c>
      <c r="Z287" t="s">
        <v>63</v>
      </c>
      <c r="AA287" t="s">
        <v>2658</v>
      </c>
      <c r="AB287">
        <v>8126601</v>
      </c>
      <c r="AC287" t="s">
        <v>67</v>
      </c>
      <c r="AD287" t="s">
        <v>63</v>
      </c>
      <c r="AE287" t="s">
        <v>63</v>
      </c>
      <c r="AF287" t="s">
        <v>63</v>
      </c>
      <c r="AG287" t="s">
        <v>2659</v>
      </c>
      <c r="AH287" t="s">
        <v>63</v>
      </c>
      <c r="AI287" t="s">
        <v>63</v>
      </c>
      <c r="AJ287" t="s">
        <v>63</v>
      </c>
      <c r="AK287" t="s">
        <v>63</v>
      </c>
      <c r="AL287" t="s">
        <v>63</v>
      </c>
      <c r="AM287" t="s">
        <v>2660</v>
      </c>
      <c r="AN287" t="s">
        <v>63</v>
      </c>
      <c r="AO287" t="s">
        <v>63</v>
      </c>
      <c r="AP287" t="s">
        <v>63</v>
      </c>
      <c r="AQ287" t="s">
        <v>63</v>
      </c>
      <c r="AR287" t="s">
        <v>63</v>
      </c>
      <c r="AS287" t="s">
        <v>63</v>
      </c>
      <c r="AT287" t="s">
        <v>63</v>
      </c>
      <c r="AU287" t="s">
        <v>63</v>
      </c>
      <c r="AV287" t="s">
        <v>63</v>
      </c>
      <c r="AW287" t="s">
        <v>63</v>
      </c>
      <c r="AX287" t="s">
        <v>63</v>
      </c>
      <c r="AY287" t="s">
        <v>63</v>
      </c>
      <c r="AZ287" t="s">
        <v>63</v>
      </c>
      <c r="BA287" t="s">
        <v>63</v>
      </c>
      <c r="BB287" t="s">
        <v>63</v>
      </c>
      <c r="BC287" t="s">
        <v>63</v>
      </c>
      <c r="BD287" t="s">
        <v>63</v>
      </c>
      <c r="BE287" t="s">
        <v>63</v>
      </c>
      <c r="BF287" t="s">
        <v>63</v>
      </c>
    </row>
    <row r="288" spans="1:58">
      <c r="A288" t="s">
        <v>58</v>
      </c>
      <c r="B288" t="s">
        <v>2653</v>
      </c>
      <c r="C288" t="s">
        <v>2661</v>
      </c>
      <c r="D288" t="s">
        <v>1728</v>
      </c>
      <c r="E288" t="s">
        <v>1729</v>
      </c>
      <c r="F288">
        <v>1991</v>
      </c>
      <c r="G288" t="s">
        <v>982</v>
      </c>
      <c r="H288">
        <v>23</v>
      </c>
      <c r="I288">
        <v>4</v>
      </c>
      <c r="J288">
        <v>359</v>
      </c>
      <c r="K288">
        <v>363</v>
      </c>
      <c r="L288" t="s">
        <v>2662</v>
      </c>
      <c r="M288" t="s">
        <v>2663</v>
      </c>
      <c r="N288" t="s">
        <v>2664</v>
      </c>
      <c r="O288" t="s">
        <v>63</v>
      </c>
      <c r="Q288" t="s">
        <v>63</v>
      </c>
      <c r="R288" t="s">
        <v>63</v>
      </c>
      <c r="S288" t="s">
        <v>63</v>
      </c>
      <c r="T288" t="s">
        <v>63</v>
      </c>
      <c r="X288" t="s">
        <v>63</v>
      </c>
      <c r="Y288" t="s">
        <v>1733</v>
      </c>
      <c r="Z288" t="s">
        <v>63</v>
      </c>
      <c r="AA288" t="s">
        <v>2665</v>
      </c>
      <c r="AB288">
        <v>1813608</v>
      </c>
      <c r="AC288" t="s">
        <v>67</v>
      </c>
      <c r="AD288" t="s">
        <v>63</v>
      </c>
      <c r="AE288" t="s">
        <v>63</v>
      </c>
      <c r="AF288" t="s">
        <v>63</v>
      </c>
      <c r="AG288" t="s">
        <v>2666</v>
      </c>
      <c r="AH288" t="s">
        <v>63</v>
      </c>
      <c r="AI288" t="s">
        <v>63</v>
      </c>
      <c r="AJ288" t="s">
        <v>63</v>
      </c>
      <c r="AK288" t="s">
        <v>63</v>
      </c>
      <c r="AL288" t="s">
        <v>63</v>
      </c>
      <c r="AM288" t="s">
        <v>2667</v>
      </c>
      <c r="AN288" t="s">
        <v>63</v>
      </c>
      <c r="AO288" t="s">
        <v>63</v>
      </c>
      <c r="AP288" t="s">
        <v>63</v>
      </c>
      <c r="AQ288" t="s">
        <v>63</v>
      </c>
      <c r="AR288" t="s">
        <v>63</v>
      </c>
      <c r="AS288" t="s">
        <v>63</v>
      </c>
      <c r="AT288" t="s">
        <v>63</v>
      </c>
      <c r="AU288" t="s">
        <v>63</v>
      </c>
      <c r="AV288" t="s">
        <v>63</v>
      </c>
      <c r="AW288" t="s">
        <v>63</v>
      </c>
      <c r="AX288" t="s">
        <v>63</v>
      </c>
      <c r="AY288" t="s">
        <v>63</v>
      </c>
      <c r="AZ288" t="s">
        <v>63</v>
      </c>
      <c r="BA288" t="s">
        <v>63</v>
      </c>
      <c r="BB288" t="s">
        <v>63</v>
      </c>
      <c r="BC288" t="s">
        <v>63</v>
      </c>
      <c r="BD288" t="s">
        <v>63</v>
      </c>
      <c r="BE288" t="s">
        <v>63</v>
      </c>
      <c r="BF288" t="s">
        <v>63</v>
      </c>
    </row>
    <row r="289" spans="1:58">
      <c r="A289" t="s">
        <v>58</v>
      </c>
      <c r="B289" t="s">
        <v>2668</v>
      </c>
      <c r="C289" t="s">
        <v>2669</v>
      </c>
      <c r="D289" t="s">
        <v>164</v>
      </c>
      <c r="E289" t="s">
        <v>165</v>
      </c>
      <c r="F289">
        <v>1977</v>
      </c>
      <c r="G289" t="s">
        <v>84</v>
      </c>
      <c r="H289">
        <v>134</v>
      </c>
      <c r="I289">
        <v>4</v>
      </c>
      <c r="J289">
        <v>379</v>
      </c>
      <c r="K289">
        <v>384</v>
      </c>
      <c r="L289" t="s">
        <v>2670</v>
      </c>
      <c r="M289" t="s">
        <v>2671</v>
      </c>
      <c r="N289" t="s">
        <v>2672</v>
      </c>
      <c r="O289" t="s">
        <v>63</v>
      </c>
      <c r="Q289" t="s">
        <v>63</v>
      </c>
      <c r="R289" t="s">
        <v>63</v>
      </c>
      <c r="S289" t="s">
        <v>63</v>
      </c>
      <c r="T289" t="s">
        <v>63</v>
      </c>
      <c r="X289" t="s">
        <v>63</v>
      </c>
      <c r="Y289" t="s">
        <v>169</v>
      </c>
      <c r="Z289" t="s">
        <v>63</v>
      </c>
      <c r="AA289" t="s">
        <v>63</v>
      </c>
      <c r="AB289">
        <v>842723</v>
      </c>
      <c r="AC289" t="s">
        <v>67</v>
      </c>
      <c r="AD289" t="s">
        <v>63</v>
      </c>
      <c r="AE289" t="s">
        <v>63</v>
      </c>
      <c r="AF289" t="s">
        <v>63</v>
      </c>
      <c r="AG289" t="s">
        <v>2673</v>
      </c>
      <c r="AH289" t="s">
        <v>63</v>
      </c>
      <c r="AI289" t="s">
        <v>63</v>
      </c>
      <c r="AJ289" t="s">
        <v>63</v>
      </c>
      <c r="AK289" t="s">
        <v>63</v>
      </c>
      <c r="AL289" t="s">
        <v>63</v>
      </c>
      <c r="AM289" t="s">
        <v>2674</v>
      </c>
      <c r="AN289" t="s">
        <v>63</v>
      </c>
      <c r="AO289" t="s">
        <v>63</v>
      </c>
      <c r="AP289" t="s">
        <v>63</v>
      </c>
      <c r="AQ289" t="s">
        <v>63</v>
      </c>
      <c r="AR289" t="s">
        <v>63</v>
      </c>
      <c r="AS289" t="s">
        <v>63</v>
      </c>
      <c r="AT289" t="s">
        <v>63</v>
      </c>
      <c r="AU289" t="s">
        <v>63</v>
      </c>
      <c r="AV289" t="s">
        <v>63</v>
      </c>
      <c r="AW289" t="s">
        <v>63</v>
      </c>
      <c r="AX289" t="s">
        <v>63</v>
      </c>
      <c r="AY289" t="s">
        <v>63</v>
      </c>
      <c r="AZ289" t="s">
        <v>63</v>
      </c>
      <c r="BA289" t="s">
        <v>63</v>
      </c>
      <c r="BB289" t="s">
        <v>63</v>
      </c>
      <c r="BC289" t="s">
        <v>63</v>
      </c>
      <c r="BD289" t="s">
        <v>63</v>
      </c>
      <c r="BE289" t="s">
        <v>63</v>
      </c>
      <c r="BF289" t="s">
        <v>63</v>
      </c>
    </row>
    <row r="290" spans="1:58">
      <c r="A290" t="s">
        <v>58</v>
      </c>
      <c r="B290" t="s">
        <v>2675</v>
      </c>
      <c r="C290" t="s">
        <v>2676</v>
      </c>
      <c r="D290" t="s">
        <v>2677</v>
      </c>
      <c r="E290" t="s">
        <v>2678</v>
      </c>
      <c r="F290">
        <v>1980</v>
      </c>
      <c r="G290" t="s">
        <v>2679</v>
      </c>
      <c r="H290">
        <v>12</v>
      </c>
      <c r="I290" s="1">
        <v>41701</v>
      </c>
      <c r="J290">
        <v>301</v>
      </c>
      <c r="K290">
        <v>306</v>
      </c>
      <c r="L290" t="s">
        <v>2680</v>
      </c>
      <c r="M290" t="s">
        <v>63</v>
      </c>
      <c r="N290" t="s">
        <v>2681</v>
      </c>
      <c r="O290" t="s">
        <v>63</v>
      </c>
      <c r="Q290" t="s">
        <v>63</v>
      </c>
      <c r="R290" t="s">
        <v>63</v>
      </c>
      <c r="S290" t="s">
        <v>63</v>
      </c>
      <c r="T290" t="s">
        <v>63</v>
      </c>
      <c r="X290" t="s">
        <v>63</v>
      </c>
      <c r="Y290" t="s">
        <v>2682</v>
      </c>
      <c r="Z290" t="s">
        <v>63</v>
      </c>
      <c r="AA290" t="s">
        <v>63</v>
      </c>
      <c r="AB290">
        <v>7431429</v>
      </c>
      <c r="AC290" t="s">
        <v>67</v>
      </c>
      <c r="AD290" t="s">
        <v>63</v>
      </c>
      <c r="AE290" t="s">
        <v>63</v>
      </c>
      <c r="AF290" t="s">
        <v>63</v>
      </c>
      <c r="AG290" t="s">
        <v>2683</v>
      </c>
      <c r="AH290" t="s">
        <v>63</v>
      </c>
      <c r="AI290" t="s">
        <v>63</v>
      </c>
      <c r="AJ290" t="s">
        <v>63</v>
      </c>
      <c r="AK290" t="s">
        <v>63</v>
      </c>
      <c r="AL290" t="s">
        <v>63</v>
      </c>
      <c r="AM290" t="s">
        <v>2684</v>
      </c>
      <c r="AN290" t="s">
        <v>63</v>
      </c>
      <c r="AO290" t="s">
        <v>63</v>
      </c>
      <c r="AP290" t="s">
        <v>63</v>
      </c>
      <c r="AQ290" t="s">
        <v>63</v>
      </c>
      <c r="AR290" t="s">
        <v>63</v>
      </c>
      <c r="AS290" t="s">
        <v>63</v>
      </c>
      <c r="AT290" t="s">
        <v>63</v>
      </c>
      <c r="AU290" t="s">
        <v>63</v>
      </c>
      <c r="AV290" t="s">
        <v>63</v>
      </c>
      <c r="AW290" t="s">
        <v>63</v>
      </c>
      <c r="AX290" t="s">
        <v>63</v>
      </c>
      <c r="AY290" t="s">
        <v>63</v>
      </c>
      <c r="AZ290" t="s">
        <v>63</v>
      </c>
      <c r="BA290" t="s">
        <v>63</v>
      </c>
      <c r="BB290" t="s">
        <v>63</v>
      </c>
      <c r="BC290" t="s">
        <v>63</v>
      </c>
      <c r="BD290" t="s">
        <v>63</v>
      </c>
      <c r="BE290" t="s">
        <v>63</v>
      </c>
      <c r="BF290" t="s">
        <v>63</v>
      </c>
    </row>
    <row r="291" spans="1:58">
      <c r="A291" t="s">
        <v>58</v>
      </c>
      <c r="B291" t="s">
        <v>2685</v>
      </c>
      <c r="C291" t="s">
        <v>2686</v>
      </c>
      <c r="D291" t="s">
        <v>1184</v>
      </c>
      <c r="E291" t="s">
        <v>1185</v>
      </c>
      <c r="F291">
        <v>1987</v>
      </c>
      <c r="G291" t="s">
        <v>189</v>
      </c>
      <c r="H291">
        <v>62</v>
      </c>
      <c r="I291">
        <v>5</v>
      </c>
      <c r="J291">
        <v>394</v>
      </c>
      <c r="K291">
        <v>400</v>
      </c>
      <c r="L291" t="s">
        <v>2687</v>
      </c>
      <c r="M291" t="s">
        <v>2688</v>
      </c>
      <c r="N291" t="s">
        <v>2689</v>
      </c>
      <c r="O291" t="s">
        <v>63</v>
      </c>
      <c r="Q291" t="s">
        <v>63</v>
      </c>
      <c r="R291" t="s">
        <v>63</v>
      </c>
      <c r="S291" t="s">
        <v>63</v>
      </c>
      <c r="T291" t="s">
        <v>63</v>
      </c>
      <c r="X291" t="s">
        <v>63</v>
      </c>
      <c r="Y291" t="s">
        <v>1188</v>
      </c>
      <c r="Z291" t="s">
        <v>63</v>
      </c>
      <c r="AA291" t="s">
        <v>63</v>
      </c>
      <c r="AB291">
        <v>3573018</v>
      </c>
      <c r="AC291" t="s">
        <v>67</v>
      </c>
      <c r="AD291" t="s">
        <v>63</v>
      </c>
      <c r="AE291" t="s">
        <v>63</v>
      </c>
      <c r="AF291" t="s">
        <v>63</v>
      </c>
      <c r="AG291" t="s">
        <v>2690</v>
      </c>
      <c r="AH291" t="s">
        <v>63</v>
      </c>
      <c r="AI291" t="s">
        <v>63</v>
      </c>
      <c r="AJ291" t="s">
        <v>63</v>
      </c>
      <c r="AK291" t="s">
        <v>63</v>
      </c>
      <c r="AL291" t="s">
        <v>63</v>
      </c>
      <c r="AM291" t="s">
        <v>2691</v>
      </c>
      <c r="AN291" t="s">
        <v>63</v>
      </c>
      <c r="AO291" t="s">
        <v>63</v>
      </c>
      <c r="AP291" t="s">
        <v>63</v>
      </c>
      <c r="AQ291" t="s">
        <v>63</v>
      </c>
      <c r="AR291" t="s">
        <v>63</v>
      </c>
      <c r="AS291" t="s">
        <v>63</v>
      </c>
      <c r="AT291" t="s">
        <v>63</v>
      </c>
      <c r="AU291" t="s">
        <v>63</v>
      </c>
      <c r="AV291" t="s">
        <v>63</v>
      </c>
      <c r="AW291" t="s">
        <v>63</v>
      </c>
      <c r="AX291" t="s">
        <v>63</v>
      </c>
      <c r="AY291" t="s">
        <v>63</v>
      </c>
      <c r="AZ291" t="s">
        <v>63</v>
      </c>
      <c r="BA291" t="s">
        <v>63</v>
      </c>
      <c r="BB291" t="s">
        <v>63</v>
      </c>
      <c r="BC291" t="s">
        <v>63</v>
      </c>
      <c r="BD291" t="s">
        <v>63</v>
      </c>
      <c r="BE291" t="s">
        <v>63</v>
      </c>
      <c r="BF291" t="s">
        <v>63</v>
      </c>
    </row>
    <row r="292" spans="1:58">
      <c r="A292" t="s">
        <v>58</v>
      </c>
      <c r="B292" t="s">
        <v>2692</v>
      </c>
      <c r="C292" t="s">
        <v>2693</v>
      </c>
      <c r="D292" t="s">
        <v>2694</v>
      </c>
      <c r="E292" t="s">
        <v>63</v>
      </c>
      <c r="F292">
        <v>1994</v>
      </c>
      <c r="G292" t="s">
        <v>63</v>
      </c>
      <c r="H292">
        <v>42</v>
      </c>
      <c r="I292">
        <v>3</v>
      </c>
      <c r="J292">
        <v>224</v>
      </c>
      <c r="K292">
        <v>234</v>
      </c>
      <c r="L292" t="s">
        <v>2695</v>
      </c>
      <c r="M292" t="s">
        <v>2696</v>
      </c>
      <c r="N292" t="s">
        <v>2697</v>
      </c>
      <c r="O292" t="s">
        <v>63</v>
      </c>
      <c r="Q292" t="s">
        <v>63</v>
      </c>
      <c r="R292" t="s">
        <v>63</v>
      </c>
      <c r="S292" t="s">
        <v>63</v>
      </c>
      <c r="T292" t="s">
        <v>63</v>
      </c>
      <c r="X292" t="s">
        <v>63</v>
      </c>
      <c r="Y292" t="s">
        <v>2698</v>
      </c>
      <c r="Z292" t="s">
        <v>63</v>
      </c>
      <c r="AA292" t="s">
        <v>2699</v>
      </c>
      <c r="AB292">
        <v>7911589</v>
      </c>
      <c r="AC292" t="s">
        <v>1371</v>
      </c>
      <c r="AD292" t="s">
        <v>63</v>
      </c>
      <c r="AE292" t="s">
        <v>63</v>
      </c>
      <c r="AF292" t="s">
        <v>63</v>
      </c>
      <c r="AG292" t="s">
        <v>2700</v>
      </c>
      <c r="AH292" t="s">
        <v>63</v>
      </c>
      <c r="AI292" t="s">
        <v>63</v>
      </c>
      <c r="AJ292" t="s">
        <v>63</v>
      </c>
      <c r="AK292" t="s">
        <v>63</v>
      </c>
      <c r="AL292" t="s">
        <v>63</v>
      </c>
      <c r="AM292" t="s">
        <v>2701</v>
      </c>
      <c r="AN292" t="s">
        <v>63</v>
      </c>
      <c r="AO292" t="s">
        <v>63</v>
      </c>
      <c r="AP292" t="s">
        <v>63</v>
      </c>
      <c r="AQ292" t="s">
        <v>63</v>
      </c>
      <c r="AR292" t="s">
        <v>63</v>
      </c>
      <c r="AS292" t="s">
        <v>63</v>
      </c>
      <c r="AT292" t="s">
        <v>63</v>
      </c>
      <c r="AU292" t="s">
        <v>63</v>
      </c>
      <c r="AV292" t="s">
        <v>63</v>
      </c>
      <c r="AW292" t="s">
        <v>63</v>
      </c>
      <c r="AX292" t="s">
        <v>63</v>
      </c>
      <c r="AY292" t="s">
        <v>63</v>
      </c>
      <c r="AZ292" t="s">
        <v>63</v>
      </c>
      <c r="BA292" t="s">
        <v>63</v>
      </c>
      <c r="BB292" t="s">
        <v>63</v>
      </c>
      <c r="BC292" t="s">
        <v>63</v>
      </c>
      <c r="BD292" t="s">
        <v>63</v>
      </c>
      <c r="BE292" t="s">
        <v>63</v>
      </c>
      <c r="BF292" t="s">
        <v>63</v>
      </c>
    </row>
    <row r="293" spans="1:58">
      <c r="A293" t="s">
        <v>2702</v>
      </c>
      <c r="B293" t="s">
        <v>2703</v>
      </c>
      <c r="C293" t="s">
        <v>2704</v>
      </c>
      <c r="D293" t="s">
        <v>2694</v>
      </c>
      <c r="E293" t="s">
        <v>63</v>
      </c>
      <c r="F293">
        <v>1997</v>
      </c>
      <c r="G293" t="s">
        <v>274</v>
      </c>
      <c r="H293">
        <v>45</v>
      </c>
      <c r="I293">
        <v>1</v>
      </c>
      <c r="J293">
        <v>13</v>
      </c>
      <c r="K293">
        <v>22</v>
      </c>
      <c r="L293" t="s">
        <v>2705</v>
      </c>
      <c r="M293" t="s">
        <v>2706</v>
      </c>
      <c r="N293" t="s">
        <v>2707</v>
      </c>
      <c r="O293" t="s">
        <v>63</v>
      </c>
      <c r="Q293" t="s">
        <v>63</v>
      </c>
      <c r="R293" t="s">
        <v>63</v>
      </c>
      <c r="S293" t="s">
        <v>63</v>
      </c>
      <c r="T293" t="s">
        <v>63</v>
      </c>
      <c r="X293" t="s">
        <v>63</v>
      </c>
      <c r="Y293" t="s">
        <v>2698</v>
      </c>
      <c r="Z293" t="s">
        <v>63</v>
      </c>
      <c r="AA293" t="s">
        <v>2699</v>
      </c>
      <c r="AB293">
        <v>9173454</v>
      </c>
      <c r="AC293" t="s">
        <v>1371</v>
      </c>
      <c r="AD293" t="s">
        <v>63</v>
      </c>
      <c r="AE293" t="s">
        <v>63</v>
      </c>
      <c r="AF293" t="s">
        <v>63</v>
      </c>
      <c r="AG293" t="s">
        <v>2708</v>
      </c>
      <c r="AH293" t="s">
        <v>63</v>
      </c>
      <c r="AI293" t="s">
        <v>63</v>
      </c>
      <c r="AJ293" t="s">
        <v>63</v>
      </c>
      <c r="AK293" t="s">
        <v>63</v>
      </c>
      <c r="AL293" t="s">
        <v>63</v>
      </c>
      <c r="AM293" t="s">
        <v>2709</v>
      </c>
      <c r="AN293" t="s">
        <v>63</v>
      </c>
      <c r="AO293" t="s">
        <v>63</v>
      </c>
      <c r="AP293" t="s">
        <v>63</v>
      </c>
      <c r="AQ293" t="s">
        <v>63</v>
      </c>
      <c r="AR293" t="s">
        <v>63</v>
      </c>
      <c r="AS293" t="s">
        <v>63</v>
      </c>
      <c r="AT293" t="s">
        <v>63</v>
      </c>
      <c r="AU293" t="s">
        <v>63</v>
      </c>
      <c r="AV293" t="s">
        <v>63</v>
      </c>
      <c r="AW293" t="s">
        <v>63</v>
      </c>
      <c r="AX293" t="s">
        <v>63</v>
      </c>
      <c r="AY293" t="s">
        <v>63</v>
      </c>
      <c r="AZ293" t="s">
        <v>63</v>
      </c>
      <c r="BA293" t="s">
        <v>63</v>
      </c>
      <c r="BB293" t="s">
        <v>63</v>
      </c>
      <c r="BC293" t="s">
        <v>63</v>
      </c>
      <c r="BD293" t="s">
        <v>63</v>
      </c>
      <c r="BE293" t="s">
        <v>63</v>
      </c>
      <c r="BF293" t="s">
        <v>63</v>
      </c>
    </row>
    <row r="294" spans="1:58">
      <c r="A294" t="s">
        <v>58</v>
      </c>
      <c r="B294" t="s">
        <v>2710</v>
      </c>
      <c r="C294" t="s">
        <v>2711</v>
      </c>
      <c r="D294" t="s">
        <v>2712</v>
      </c>
      <c r="E294" t="s">
        <v>63</v>
      </c>
      <c r="F294">
        <v>1996</v>
      </c>
      <c r="G294" t="s">
        <v>63</v>
      </c>
      <c r="H294">
        <v>44</v>
      </c>
      <c r="I294">
        <v>312</v>
      </c>
      <c r="J294">
        <v>389</v>
      </c>
      <c r="K294">
        <v>391</v>
      </c>
      <c r="L294" t="s">
        <v>2713</v>
      </c>
      <c r="M294" t="s">
        <v>63</v>
      </c>
      <c r="N294" t="s">
        <v>2714</v>
      </c>
      <c r="O294" t="s">
        <v>63</v>
      </c>
      <c r="Q294" t="s">
        <v>63</v>
      </c>
      <c r="R294" t="s">
        <v>63</v>
      </c>
      <c r="S294" t="s">
        <v>63</v>
      </c>
      <c r="T294" t="s">
        <v>63</v>
      </c>
      <c r="X294" t="s">
        <v>63</v>
      </c>
      <c r="Y294" t="s">
        <v>2715</v>
      </c>
      <c r="Z294" t="s">
        <v>63</v>
      </c>
      <c r="AA294" t="s">
        <v>2716</v>
      </c>
      <c r="AB294">
        <v>11618683</v>
      </c>
      <c r="AC294" t="s">
        <v>1371</v>
      </c>
      <c r="AD294" t="s">
        <v>63</v>
      </c>
      <c r="AE294" t="s">
        <v>63</v>
      </c>
      <c r="AF294" t="s">
        <v>63</v>
      </c>
      <c r="AG294" t="s">
        <v>2717</v>
      </c>
      <c r="AH294" t="s">
        <v>63</v>
      </c>
      <c r="AI294" t="s">
        <v>63</v>
      </c>
      <c r="AJ294" t="s">
        <v>63</v>
      </c>
      <c r="AK294" t="s">
        <v>63</v>
      </c>
      <c r="AL294" t="s">
        <v>63</v>
      </c>
      <c r="AM294" t="s">
        <v>2718</v>
      </c>
      <c r="AN294" t="s">
        <v>63</v>
      </c>
      <c r="AO294" t="s">
        <v>63</v>
      </c>
      <c r="AP294" t="s">
        <v>63</v>
      </c>
      <c r="AQ294" t="s">
        <v>63</v>
      </c>
      <c r="AR294" t="s">
        <v>63</v>
      </c>
      <c r="AS294" t="s">
        <v>63</v>
      </c>
      <c r="AT294" t="s">
        <v>63</v>
      </c>
      <c r="AU294" t="s">
        <v>63</v>
      </c>
      <c r="AV294" t="s">
        <v>63</v>
      </c>
      <c r="AW294" t="s">
        <v>63</v>
      </c>
      <c r="AX294" t="s">
        <v>63</v>
      </c>
      <c r="AY294" t="s">
        <v>63</v>
      </c>
      <c r="AZ294" t="s">
        <v>63</v>
      </c>
      <c r="BA294" t="s">
        <v>63</v>
      </c>
      <c r="BB294" t="s">
        <v>63</v>
      </c>
      <c r="BC294" t="s">
        <v>63</v>
      </c>
      <c r="BD294" t="s">
        <v>63</v>
      </c>
      <c r="BE294" t="s">
        <v>63</v>
      </c>
      <c r="BF294" t="s">
        <v>63</v>
      </c>
    </row>
    <row r="295" spans="1:58">
      <c r="A295" t="s">
        <v>58</v>
      </c>
      <c r="B295" t="s">
        <v>2719</v>
      </c>
      <c r="C295" t="s">
        <v>2720</v>
      </c>
      <c r="D295" t="s">
        <v>2721</v>
      </c>
      <c r="E295" t="s">
        <v>63</v>
      </c>
      <c r="F295">
        <v>2009</v>
      </c>
      <c r="G295" t="s">
        <v>84</v>
      </c>
      <c r="H295">
        <v>13</v>
      </c>
      <c r="I295">
        <v>4</v>
      </c>
      <c r="J295">
        <v>429</v>
      </c>
      <c r="K295">
        <v>437</v>
      </c>
      <c r="L295" t="s">
        <v>2722</v>
      </c>
      <c r="M295" t="s">
        <v>2723</v>
      </c>
      <c r="N295" t="s">
        <v>2724</v>
      </c>
      <c r="O295" t="s">
        <v>63</v>
      </c>
      <c r="Q295" t="s">
        <v>63</v>
      </c>
      <c r="R295" t="s">
        <v>63</v>
      </c>
      <c r="S295" t="s">
        <v>63</v>
      </c>
      <c r="T295" t="s">
        <v>63</v>
      </c>
      <c r="X295" t="s">
        <v>63</v>
      </c>
      <c r="Y295" t="s">
        <v>2725</v>
      </c>
      <c r="Z295" t="s">
        <v>63</v>
      </c>
      <c r="AA295" t="s">
        <v>2726</v>
      </c>
      <c r="AB295">
        <v>19335946</v>
      </c>
      <c r="AC295" t="s">
        <v>67</v>
      </c>
      <c r="AD295" t="s">
        <v>63</v>
      </c>
      <c r="AE295" t="s">
        <v>63</v>
      </c>
      <c r="AF295" t="s">
        <v>63</v>
      </c>
      <c r="AG295" t="s">
        <v>2727</v>
      </c>
      <c r="AH295" t="s">
        <v>63</v>
      </c>
      <c r="AI295" t="s">
        <v>63</v>
      </c>
      <c r="AJ295" t="s">
        <v>63</v>
      </c>
      <c r="AK295" t="s">
        <v>63</v>
      </c>
      <c r="AL295" t="s">
        <v>63</v>
      </c>
      <c r="AM295" t="s">
        <v>2728</v>
      </c>
      <c r="AN295" t="s">
        <v>63</v>
      </c>
      <c r="AO295" t="s">
        <v>63</v>
      </c>
      <c r="AP295" t="s">
        <v>63</v>
      </c>
      <c r="AQ295" t="s">
        <v>63</v>
      </c>
      <c r="AR295" t="s">
        <v>63</v>
      </c>
      <c r="AS295" t="s">
        <v>63</v>
      </c>
      <c r="AT295" t="s">
        <v>63</v>
      </c>
      <c r="AU295" t="s">
        <v>63</v>
      </c>
      <c r="AV295" t="s">
        <v>63</v>
      </c>
      <c r="AW295" t="s">
        <v>63</v>
      </c>
      <c r="AX295" t="s">
        <v>63</v>
      </c>
      <c r="AY295" t="s">
        <v>63</v>
      </c>
      <c r="AZ295" t="s">
        <v>63</v>
      </c>
      <c r="BA295" t="s">
        <v>63</v>
      </c>
      <c r="BB295" t="s">
        <v>63</v>
      </c>
      <c r="BC295" t="s">
        <v>63</v>
      </c>
      <c r="BD295" t="s">
        <v>63</v>
      </c>
      <c r="BE295" t="s">
        <v>63</v>
      </c>
      <c r="BF295" t="s">
        <v>63</v>
      </c>
    </row>
    <row r="296" spans="1:58">
      <c r="A296" t="s">
        <v>58</v>
      </c>
      <c r="B296" t="s">
        <v>2729</v>
      </c>
      <c r="C296" t="s">
        <v>2730</v>
      </c>
      <c r="D296" t="s">
        <v>2731</v>
      </c>
      <c r="E296" t="s">
        <v>63</v>
      </c>
      <c r="F296">
        <v>2013</v>
      </c>
      <c r="G296" t="s">
        <v>1085</v>
      </c>
      <c r="H296">
        <v>9</v>
      </c>
      <c r="I296">
        <v>5</v>
      </c>
      <c r="J296">
        <v>315</v>
      </c>
      <c r="K296">
        <v>324</v>
      </c>
      <c r="L296" t="s">
        <v>2732</v>
      </c>
      <c r="M296" t="s">
        <v>2733</v>
      </c>
      <c r="N296" t="s">
        <v>2734</v>
      </c>
      <c r="O296" t="s">
        <v>63</v>
      </c>
      <c r="Q296" t="s">
        <v>63</v>
      </c>
      <c r="R296" t="s">
        <v>63</v>
      </c>
      <c r="S296" t="s">
        <v>63</v>
      </c>
      <c r="T296" t="s">
        <v>63</v>
      </c>
      <c r="X296" t="s">
        <v>63</v>
      </c>
      <c r="Y296" t="s">
        <v>2735</v>
      </c>
      <c r="Z296" t="s">
        <v>63</v>
      </c>
      <c r="AA296" t="s">
        <v>2736</v>
      </c>
      <c r="AB296">
        <v>24353044</v>
      </c>
      <c r="AC296" t="s">
        <v>67</v>
      </c>
      <c r="AD296" t="s">
        <v>63</v>
      </c>
      <c r="AE296" t="s">
        <v>63</v>
      </c>
      <c r="AF296" t="s">
        <v>63</v>
      </c>
      <c r="AG296" t="s">
        <v>2737</v>
      </c>
      <c r="AH296" t="s">
        <v>63</v>
      </c>
      <c r="AI296" t="s">
        <v>2738</v>
      </c>
      <c r="AJ296" t="s">
        <v>63</v>
      </c>
      <c r="AK296" t="s">
        <v>63</v>
      </c>
      <c r="AL296" t="s">
        <v>63</v>
      </c>
      <c r="AM296" t="s">
        <v>2739</v>
      </c>
      <c r="AN296" t="s">
        <v>63</v>
      </c>
      <c r="AO296" t="s">
        <v>63</v>
      </c>
      <c r="AP296" t="s">
        <v>63</v>
      </c>
      <c r="AQ296" t="s">
        <v>63</v>
      </c>
      <c r="AR296" t="s">
        <v>63</v>
      </c>
      <c r="AS296" t="s">
        <v>63</v>
      </c>
      <c r="AT296" t="s">
        <v>63</v>
      </c>
      <c r="AU296" t="s">
        <v>63</v>
      </c>
      <c r="AV296" t="s">
        <v>63</v>
      </c>
      <c r="AW296" t="s">
        <v>63</v>
      </c>
      <c r="AX296" t="s">
        <v>63</v>
      </c>
      <c r="AY296" t="s">
        <v>63</v>
      </c>
      <c r="AZ296" t="s">
        <v>63</v>
      </c>
      <c r="BA296" t="s">
        <v>63</v>
      </c>
      <c r="BB296" t="s">
        <v>63</v>
      </c>
      <c r="BC296" t="s">
        <v>63</v>
      </c>
      <c r="BD296" t="s">
        <v>63</v>
      </c>
      <c r="BE296" t="s">
        <v>63</v>
      </c>
      <c r="BF296" t="s">
        <v>63</v>
      </c>
    </row>
    <row r="297" spans="1:58">
      <c r="A297" t="s">
        <v>58</v>
      </c>
      <c r="B297" t="s">
        <v>2740</v>
      </c>
      <c r="C297" t="s">
        <v>2741</v>
      </c>
      <c r="D297" t="s">
        <v>205</v>
      </c>
      <c r="E297" t="s">
        <v>205</v>
      </c>
      <c r="F297">
        <v>2016</v>
      </c>
      <c r="G297" s="1">
        <v>41754</v>
      </c>
      <c r="H297">
        <v>315</v>
      </c>
      <c r="I297">
        <v>16</v>
      </c>
      <c r="J297">
        <v>1701</v>
      </c>
      <c r="K297">
        <v>1702</v>
      </c>
      <c r="L297" t="s">
        <v>2742</v>
      </c>
      <c r="M297" t="s">
        <v>63</v>
      </c>
      <c r="N297" t="s">
        <v>2743</v>
      </c>
      <c r="O297" t="s">
        <v>63</v>
      </c>
      <c r="Q297" t="s">
        <v>63</v>
      </c>
      <c r="R297" t="s">
        <v>63</v>
      </c>
      <c r="S297" t="s">
        <v>63</v>
      </c>
      <c r="T297" t="s">
        <v>63</v>
      </c>
      <c r="X297" t="s">
        <v>63</v>
      </c>
      <c r="Y297" t="s">
        <v>2744</v>
      </c>
      <c r="Z297" t="s">
        <v>63</v>
      </c>
      <c r="AA297" t="s">
        <v>2745</v>
      </c>
      <c r="AB297">
        <v>27115373</v>
      </c>
      <c r="AC297" t="s">
        <v>67</v>
      </c>
      <c r="AD297" t="s">
        <v>63</v>
      </c>
      <c r="AE297" t="s">
        <v>63</v>
      </c>
      <c r="AF297" t="s">
        <v>63</v>
      </c>
      <c r="AG297" t="s">
        <v>2746</v>
      </c>
      <c r="AH297" t="s">
        <v>63</v>
      </c>
      <c r="AI297" t="s">
        <v>2747</v>
      </c>
      <c r="AJ297" t="s">
        <v>63</v>
      </c>
      <c r="AK297" t="s">
        <v>63</v>
      </c>
      <c r="AL297" t="s">
        <v>63</v>
      </c>
      <c r="AM297" t="s">
        <v>2748</v>
      </c>
      <c r="AN297" t="s">
        <v>63</v>
      </c>
      <c r="AO297" t="s">
        <v>63</v>
      </c>
      <c r="AP297" t="s">
        <v>63</v>
      </c>
      <c r="AQ297" t="s">
        <v>63</v>
      </c>
      <c r="AR297" t="s">
        <v>63</v>
      </c>
      <c r="AS297" t="s">
        <v>63</v>
      </c>
      <c r="AT297" t="s">
        <v>63</v>
      </c>
      <c r="AU297" t="s">
        <v>63</v>
      </c>
      <c r="AV297" t="s">
        <v>63</v>
      </c>
      <c r="AW297" t="s">
        <v>63</v>
      </c>
      <c r="AX297" t="s">
        <v>63</v>
      </c>
      <c r="AY297" t="s">
        <v>63</v>
      </c>
      <c r="AZ297" t="s">
        <v>63</v>
      </c>
      <c r="BA297" t="s">
        <v>63</v>
      </c>
      <c r="BB297" t="s">
        <v>63</v>
      </c>
      <c r="BC297" t="s">
        <v>63</v>
      </c>
      <c r="BD297" t="s">
        <v>63</v>
      </c>
      <c r="BE297" t="s">
        <v>63</v>
      </c>
      <c r="BF297" t="s">
        <v>63</v>
      </c>
    </row>
    <row r="298" spans="1:58">
      <c r="A298" t="s">
        <v>58</v>
      </c>
      <c r="B298" t="s">
        <v>2749</v>
      </c>
      <c r="C298" t="s">
        <v>2750</v>
      </c>
      <c r="D298" t="s">
        <v>1055</v>
      </c>
      <c r="E298" t="s">
        <v>1056</v>
      </c>
      <c r="F298">
        <v>1990</v>
      </c>
      <c r="G298" t="s">
        <v>274</v>
      </c>
      <c r="H298">
        <v>24</v>
      </c>
      <c r="I298">
        <v>2</v>
      </c>
      <c r="J298">
        <v>158</v>
      </c>
      <c r="K298">
        <v>163</v>
      </c>
      <c r="L298" t="s">
        <v>2751</v>
      </c>
      <c r="M298" t="s">
        <v>2752</v>
      </c>
      <c r="N298" t="s">
        <v>2753</v>
      </c>
      <c r="O298" t="s">
        <v>63</v>
      </c>
      <c r="Q298" t="s">
        <v>63</v>
      </c>
      <c r="R298" t="s">
        <v>63</v>
      </c>
      <c r="S298" t="s">
        <v>63</v>
      </c>
      <c r="T298" t="s">
        <v>63</v>
      </c>
      <c r="X298" t="s">
        <v>63</v>
      </c>
      <c r="Y298" t="s">
        <v>1059</v>
      </c>
      <c r="Z298" t="s">
        <v>63</v>
      </c>
      <c r="AA298" t="s">
        <v>2754</v>
      </c>
      <c r="AB298">
        <v>2319974</v>
      </c>
      <c r="AC298" t="s">
        <v>67</v>
      </c>
      <c r="AD298" t="s">
        <v>63</v>
      </c>
      <c r="AE298" t="s">
        <v>63</v>
      </c>
      <c r="AF298" t="s">
        <v>63</v>
      </c>
      <c r="AG298" t="s">
        <v>2755</v>
      </c>
      <c r="AH298" t="s">
        <v>63</v>
      </c>
      <c r="AI298" t="s">
        <v>63</v>
      </c>
      <c r="AJ298" t="s">
        <v>63</v>
      </c>
      <c r="AK298" t="s">
        <v>63</v>
      </c>
      <c r="AL298" t="s">
        <v>63</v>
      </c>
      <c r="AM298" t="s">
        <v>2756</v>
      </c>
      <c r="AN298" t="s">
        <v>63</v>
      </c>
      <c r="AO298" t="s">
        <v>63</v>
      </c>
      <c r="AP298" t="s">
        <v>63</v>
      </c>
      <c r="AQ298" t="s">
        <v>63</v>
      </c>
      <c r="AR298" t="s">
        <v>63</v>
      </c>
      <c r="AS298" t="s">
        <v>63</v>
      </c>
      <c r="AT298" t="s">
        <v>63</v>
      </c>
      <c r="AU298" t="s">
        <v>63</v>
      </c>
      <c r="AV298" t="s">
        <v>63</v>
      </c>
      <c r="AW298" t="s">
        <v>63</v>
      </c>
      <c r="AX298" t="s">
        <v>63</v>
      </c>
      <c r="AY298" t="s">
        <v>63</v>
      </c>
      <c r="AZ298" t="s">
        <v>63</v>
      </c>
      <c r="BA298" t="s">
        <v>63</v>
      </c>
      <c r="BB298" t="s">
        <v>63</v>
      </c>
      <c r="BC298" t="s">
        <v>63</v>
      </c>
      <c r="BD298" t="s">
        <v>63</v>
      </c>
      <c r="BE298" t="s">
        <v>63</v>
      </c>
      <c r="BF298" t="s">
        <v>63</v>
      </c>
    </row>
    <row r="299" spans="1:58">
      <c r="A299" t="s">
        <v>58</v>
      </c>
      <c r="B299" t="s">
        <v>2757</v>
      </c>
      <c r="C299" t="s">
        <v>2758</v>
      </c>
      <c r="D299" t="s">
        <v>2759</v>
      </c>
      <c r="E299" t="s">
        <v>2760</v>
      </c>
      <c r="F299">
        <v>1999</v>
      </c>
      <c r="G299" t="s">
        <v>274</v>
      </c>
      <c r="H299">
        <v>170</v>
      </c>
      <c r="I299">
        <v>3</v>
      </c>
      <c r="J299">
        <v>178</v>
      </c>
      <c r="K299" t="s">
        <v>63</v>
      </c>
      <c r="L299" t="s">
        <v>2761</v>
      </c>
      <c r="M299" t="s">
        <v>63</v>
      </c>
      <c r="N299" t="s">
        <v>2762</v>
      </c>
      <c r="O299" t="s">
        <v>63</v>
      </c>
      <c r="Q299" t="s">
        <v>63</v>
      </c>
      <c r="R299" t="s">
        <v>63</v>
      </c>
      <c r="S299" t="s">
        <v>63</v>
      </c>
      <c r="T299" t="s">
        <v>63</v>
      </c>
      <c r="X299" t="s">
        <v>63</v>
      </c>
      <c r="Y299" t="s">
        <v>2763</v>
      </c>
      <c r="Z299" t="s">
        <v>63</v>
      </c>
      <c r="AA299" t="s">
        <v>63</v>
      </c>
      <c r="AB299">
        <v>10214109</v>
      </c>
      <c r="AC299" t="s">
        <v>67</v>
      </c>
      <c r="AD299" t="s">
        <v>63</v>
      </c>
      <c r="AE299" t="s">
        <v>63</v>
      </c>
      <c r="AF299" t="s">
        <v>63</v>
      </c>
      <c r="AG299" t="s">
        <v>2764</v>
      </c>
      <c r="AH299" t="s">
        <v>63</v>
      </c>
      <c r="AI299" t="s">
        <v>63</v>
      </c>
      <c r="AJ299" t="s">
        <v>63</v>
      </c>
      <c r="AK299" t="s">
        <v>63</v>
      </c>
      <c r="AL299" t="s">
        <v>63</v>
      </c>
      <c r="AM299" t="s">
        <v>2765</v>
      </c>
      <c r="AN299" t="s">
        <v>63</v>
      </c>
      <c r="AO299" t="s">
        <v>63</v>
      </c>
      <c r="AP299" t="s">
        <v>63</v>
      </c>
      <c r="AQ299" t="s">
        <v>63</v>
      </c>
      <c r="AR299" t="s">
        <v>63</v>
      </c>
      <c r="AS299" t="s">
        <v>63</v>
      </c>
      <c r="AT299" t="s">
        <v>63</v>
      </c>
      <c r="AU299" t="s">
        <v>63</v>
      </c>
      <c r="AV299" t="s">
        <v>63</v>
      </c>
      <c r="AW299" t="s">
        <v>63</v>
      </c>
      <c r="AX299" t="s">
        <v>63</v>
      </c>
      <c r="AY299" t="s">
        <v>63</v>
      </c>
      <c r="AZ299" t="s">
        <v>63</v>
      </c>
      <c r="BA299" t="s">
        <v>63</v>
      </c>
      <c r="BB299" t="s">
        <v>63</v>
      </c>
      <c r="BC299" t="s">
        <v>63</v>
      </c>
      <c r="BD299" t="s">
        <v>63</v>
      </c>
      <c r="BE299" t="s">
        <v>63</v>
      </c>
      <c r="BF299" t="s">
        <v>63</v>
      </c>
    </row>
    <row r="300" spans="1:58">
      <c r="A300" t="s">
        <v>58</v>
      </c>
      <c r="B300" t="s">
        <v>2766</v>
      </c>
      <c r="C300" t="s">
        <v>2767</v>
      </c>
      <c r="D300" t="s">
        <v>500</v>
      </c>
      <c r="E300" t="s">
        <v>501</v>
      </c>
      <c r="F300">
        <v>2011</v>
      </c>
      <c r="G300" t="s">
        <v>63</v>
      </c>
      <c r="H300">
        <v>31</v>
      </c>
      <c r="I300">
        <v>4</v>
      </c>
      <c r="J300">
        <v>231</v>
      </c>
      <c r="K300">
        <v>240</v>
      </c>
      <c r="L300" t="s">
        <v>2768</v>
      </c>
      <c r="M300" t="s">
        <v>2769</v>
      </c>
      <c r="N300" t="s">
        <v>2770</v>
      </c>
      <c r="O300" t="s">
        <v>63</v>
      </c>
      <c r="Q300" t="s">
        <v>63</v>
      </c>
      <c r="R300" t="s">
        <v>63</v>
      </c>
      <c r="S300" t="s">
        <v>63</v>
      </c>
      <c r="T300" t="s">
        <v>63</v>
      </c>
      <c r="X300" t="s">
        <v>63</v>
      </c>
      <c r="Y300" t="s">
        <v>507</v>
      </c>
      <c r="Z300" t="s">
        <v>63</v>
      </c>
      <c r="AA300" t="s">
        <v>2771</v>
      </c>
      <c r="AB300">
        <v>22189986</v>
      </c>
      <c r="AC300" t="s">
        <v>67</v>
      </c>
      <c r="AD300" t="s">
        <v>63</v>
      </c>
      <c r="AE300" t="s">
        <v>63</v>
      </c>
      <c r="AF300" t="s">
        <v>63</v>
      </c>
      <c r="AG300" t="s">
        <v>2772</v>
      </c>
      <c r="AH300" t="s">
        <v>63</v>
      </c>
      <c r="AI300" t="s">
        <v>2773</v>
      </c>
      <c r="AJ300" t="s">
        <v>63</v>
      </c>
      <c r="AK300" t="s">
        <v>63</v>
      </c>
      <c r="AL300" t="s">
        <v>63</v>
      </c>
      <c r="AM300" t="s">
        <v>2774</v>
      </c>
      <c r="AN300" t="s">
        <v>63</v>
      </c>
      <c r="AO300" t="s">
        <v>63</v>
      </c>
      <c r="AP300" t="s">
        <v>63</v>
      </c>
      <c r="AQ300" t="s">
        <v>63</v>
      </c>
      <c r="AR300" t="s">
        <v>63</v>
      </c>
      <c r="AS300" t="s">
        <v>63</v>
      </c>
      <c r="AT300" t="s">
        <v>63</v>
      </c>
      <c r="AU300" t="s">
        <v>63</v>
      </c>
      <c r="AV300" t="s">
        <v>63</v>
      </c>
      <c r="AW300" t="s">
        <v>63</v>
      </c>
      <c r="AX300" t="s">
        <v>63</v>
      </c>
      <c r="AY300" t="s">
        <v>63</v>
      </c>
      <c r="AZ300" t="s">
        <v>63</v>
      </c>
      <c r="BA300" t="s">
        <v>63</v>
      </c>
      <c r="BB300" t="s">
        <v>63</v>
      </c>
      <c r="BC300" t="s">
        <v>63</v>
      </c>
      <c r="BD300" t="s">
        <v>63</v>
      </c>
      <c r="BE300" t="s">
        <v>63</v>
      </c>
      <c r="BF300" t="s">
        <v>63</v>
      </c>
    </row>
    <row r="301" spans="1:58">
      <c r="A301" t="s">
        <v>58</v>
      </c>
      <c r="B301" t="s">
        <v>2775</v>
      </c>
      <c r="C301" t="s">
        <v>2776</v>
      </c>
      <c r="D301" t="s">
        <v>2777</v>
      </c>
      <c r="E301" t="s">
        <v>63</v>
      </c>
      <c r="F301">
        <v>2012</v>
      </c>
      <c r="G301" t="s">
        <v>326</v>
      </c>
      <c r="H301">
        <v>43</v>
      </c>
      <c r="I301">
        <v>2</v>
      </c>
      <c r="J301">
        <v>253</v>
      </c>
      <c r="K301">
        <v>260</v>
      </c>
      <c r="L301" t="s">
        <v>2778</v>
      </c>
      <c r="M301" t="s">
        <v>2779</v>
      </c>
      <c r="N301" t="s">
        <v>2780</v>
      </c>
      <c r="O301" t="s">
        <v>63</v>
      </c>
      <c r="Q301" t="s">
        <v>63</v>
      </c>
      <c r="R301" t="s">
        <v>63</v>
      </c>
      <c r="S301" t="s">
        <v>63</v>
      </c>
      <c r="T301" t="s">
        <v>63</v>
      </c>
      <c r="X301" t="s">
        <v>63</v>
      </c>
      <c r="Y301" t="s">
        <v>2781</v>
      </c>
      <c r="Z301" t="s">
        <v>63</v>
      </c>
      <c r="AA301" t="s">
        <v>2782</v>
      </c>
      <c r="AB301">
        <v>21680141</v>
      </c>
      <c r="AC301" t="s">
        <v>67</v>
      </c>
      <c r="AD301" t="s">
        <v>63</v>
      </c>
      <c r="AE301" t="s">
        <v>63</v>
      </c>
      <c r="AF301" t="s">
        <v>63</v>
      </c>
      <c r="AG301" t="s">
        <v>2783</v>
      </c>
      <c r="AH301" t="s">
        <v>63</v>
      </c>
      <c r="AI301" t="s">
        <v>2784</v>
      </c>
      <c r="AJ301" t="s">
        <v>63</v>
      </c>
      <c r="AK301" t="s">
        <v>63</v>
      </c>
      <c r="AL301" t="s">
        <v>63</v>
      </c>
      <c r="AM301" t="s">
        <v>2785</v>
      </c>
      <c r="AN301" t="s">
        <v>63</v>
      </c>
      <c r="AO301" t="s">
        <v>63</v>
      </c>
      <c r="AP301" t="s">
        <v>63</v>
      </c>
      <c r="AQ301" t="s">
        <v>63</v>
      </c>
      <c r="AR301" t="s">
        <v>63</v>
      </c>
      <c r="AS301" t="s">
        <v>63</v>
      </c>
      <c r="AT301" t="s">
        <v>63</v>
      </c>
      <c r="AU301" t="s">
        <v>63</v>
      </c>
      <c r="AV301" t="s">
        <v>63</v>
      </c>
      <c r="AW301" t="s">
        <v>63</v>
      </c>
      <c r="AX301" t="s">
        <v>63</v>
      </c>
      <c r="AY301" t="s">
        <v>63</v>
      </c>
      <c r="AZ301" t="s">
        <v>63</v>
      </c>
      <c r="BA301" t="s">
        <v>63</v>
      </c>
      <c r="BB301" t="s">
        <v>63</v>
      </c>
      <c r="BC301" t="s">
        <v>63</v>
      </c>
      <c r="BD301" t="s">
        <v>63</v>
      </c>
      <c r="BE301" t="s">
        <v>63</v>
      </c>
      <c r="BF301" t="s">
        <v>63</v>
      </c>
    </row>
    <row r="302" spans="1:58">
      <c r="A302" t="s">
        <v>58</v>
      </c>
      <c r="B302" t="s">
        <v>2786</v>
      </c>
      <c r="C302" t="s">
        <v>2787</v>
      </c>
      <c r="D302" t="s">
        <v>2788</v>
      </c>
      <c r="E302" t="s">
        <v>63</v>
      </c>
      <c r="F302">
        <v>2018</v>
      </c>
      <c r="G302" t="s">
        <v>2789</v>
      </c>
      <c r="H302">
        <v>75</v>
      </c>
      <c r="I302">
        <v>1</v>
      </c>
      <c r="J302">
        <v>65</v>
      </c>
      <c r="K302">
        <v>71</v>
      </c>
      <c r="L302" t="s">
        <v>63</v>
      </c>
      <c r="M302" t="s">
        <v>2790</v>
      </c>
      <c r="N302" t="s">
        <v>2791</v>
      </c>
      <c r="O302" t="s">
        <v>63</v>
      </c>
      <c r="Q302" t="s">
        <v>63</v>
      </c>
      <c r="R302" t="s">
        <v>63</v>
      </c>
      <c r="S302" t="s">
        <v>63</v>
      </c>
      <c r="T302" t="s">
        <v>63</v>
      </c>
      <c r="X302" t="s">
        <v>63</v>
      </c>
      <c r="Y302" t="s">
        <v>2792</v>
      </c>
      <c r="Z302" t="s">
        <v>63</v>
      </c>
      <c r="AA302" t="s">
        <v>2793</v>
      </c>
      <c r="AB302">
        <v>28705485</v>
      </c>
      <c r="AC302" t="s">
        <v>67</v>
      </c>
      <c r="AD302" t="s">
        <v>63</v>
      </c>
      <c r="AE302" t="s">
        <v>63</v>
      </c>
      <c r="AF302" t="s">
        <v>63</v>
      </c>
      <c r="AG302" t="s">
        <v>2794</v>
      </c>
      <c r="AH302" t="s">
        <v>63</v>
      </c>
      <c r="AI302" t="s">
        <v>2795</v>
      </c>
      <c r="AJ302" t="s">
        <v>63</v>
      </c>
      <c r="AK302" t="s">
        <v>63</v>
      </c>
      <c r="AL302" t="s">
        <v>63</v>
      </c>
      <c r="AM302" t="s">
        <v>2796</v>
      </c>
      <c r="AN302" t="s">
        <v>63</v>
      </c>
      <c r="AO302" t="s">
        <v>63</v>
      </c>
      <c r="AP302" t="s">
        <v>63</v>
      </c>
      <c r="AQ302" t="s">
        <v>63</v>
      </c>
      <c r="AR302" t="s">
        <v>63</v>
      </c>
      <c r="AS302" t="s">
        <v>63</v>
      </c>
      <c r="AT302" t="s">
        <v>63</v>
      </c>
      <c r="AU302" t="s">
        <v>63</v>
      </c>
      <c r="AV302" t="s">
        <v>63</v>
      </c>
      <c r="AW302" t="s">
        <v>63</v>
      </c>
      <c r="AX302" t="s">
        <v>63</v>
      </c>
      <c r="AY302" t="s">
        <v>63</v>
      </c>
      <c r="AZ302" t="s">
        <v>63</v>
      </c>
      <c r="BA302" t="s">
        <v>63</v>
      </c>
      <c r="BB302" t="s">
        <v>63</v>
      </c>
      <c r="BC302" t="s">
        <v>63</v>
      </c>
      <c r="BD302" t="s">
        <v>63</v>
      </c>
      <c r="BE302" t="s">
        <v>63</v>
      </c>
      <c r="BF302" t="s">
        <v>63</v>
      </c>
    </row>
    <row r="303" spans="1:58">
      <c r="A303" t="s">
        <v>58</v>
      </c>
      <c r="B303" t="s">
        <v>2797</v>
      </c>
      <c r="C303" t="s">
        <v>2798</v>
      </c>
      <c r="D303" t="s">
        <v>2799</v>
      </c>
      <c r="E303" t="s">
        <v>63</v>
      </c>
      <c r="F303">
        <v>1980</v>
      </c>
      <c r="G303" t="s">
        <v>1717</v>
      </c>
      <c r="H303">
        <v>71</v>
      </c>
      <c r="I303">
        <v>6</v>
      </c>
      <c r="J303">
        <v>407</v>
      </c>
      <c r="K303">
        <v>411</v>
      </c>
      <c r="L303" t="s">
        <v>2800</v>
      </c>
      <c r="M303" t="s">
        <v>63</v>
      </c>
      <c r="N303" t="s">
        <v>2801</v>
      </c>
      <c r="O303" t="s">
        <v>63</v>
      </c>
      <c r="Q303" t="s">
        <v>63</v>
      </c>
      <c r="R303" t="s">
        <v>63</v>
      </c>
      <c r="S303" t="s">
        <v>63</v>
      </c>
      <c r="T303" t="s">
        <v>63</v>
      </c>
      <c r="X303" t="s">
        <v>63</v>
      </c>
      <c r="Y303" s="2">
        <v>861820</v>
      </c>
      <c r="Z303" t="s">
        <v>63</v>
      </c>
      <c r="AA303" t="s">
        <v>63</v>
      </c>
      <c r="AB303">
        <v>7225982</v>
      </c>
      <c r="AC303" t="s">
        <v>67</v>
      </c>
      <c r="AD303" t="s">
        <v>63</v>
      </c>
      <c r="AE303" t="s">
        <v>63</v>
      </c>
      <c r="AF303" t="s">
        <v>63</v>
      </c>
      <c r="AG303" t="s">
        <v>2802</v>
      </c>
      <c r="AH303" t="s">
        <v>63</v>
      </c>
      <c r="AI303" t="s">
        <v>63</v>
      </c>
      <c r="AJ303" t="s">
        <v>63</v>
      </c>
      <c r="AK303" t="s">
        <v>63</v>
      </c>
      <c r="AL303" t="s">
        <v>63</v>
      </c>
      <c r="AM303" t="s">
        <v>2803</v>
      </c>
      <c r="AN303" t="s">
        <v>63</v>
      </c>
      <c r="AO303" t="s">
        <v>63</v>
      </c>
      <c r="AP303" t="s">
        <v>63</v>
      </c>
      <c r="AQ303" t="s">
        <v>63</v>
      </c>
      <c r="AR303" t="s">
        <v>63</v>
      </c>
      <c r="AS303" t="s">
        <v>63</v>
      </c>
      <c r="AT303" t="s">
        <v>63</v>
      </c>
      <c r="AU303" t="s">
        <v>63</v>
      </c>
      <c r="AV303" t="s">
        <v>63</v>
      </c>
      <c r="AW303" t="s">
        <v>63</v>
      </c>
      <c r="AX303" t="s">
        <v>63</v>
      </c>
      <c r="AY303" t="s">
        <v>63</v>
      </c>
      <c r="AZ303" t="s">
        <v>63</v>
      </c>
      <c r="BA303" t="s">
        <v>63</v>
      </c>
      <c r="BB303" t="s">
        <v>63</v>
      </c>
      <c r="BC303" t="s">
        <v>63</v>
      </c>
      <c r="BD303" t="s">
        <v>63</v>
      </c>
      <c r="BE303" t="s">
        <v>63</v>
      </c>
      <c r="BF303" t="s">
        <v>63</v>
      </c>
    </row>
    <row r="304" spans="1:58">
      <c r="A304" t="s">
        <v>58</v>
      </c>
      <c r="B304" t="s">
        <v>2804</v>
      </c>
      <c r="C304" t="s">
        <v>2805</v>
      </c>
      <c r="D304" t="s">
        <v>155</v>
      </c>
      <c r="E304" t="s">
        <v>156</v>
      </c>
      <c r="F304">
        <v>2016</v>
      </c>
      <c r="G304" t="s">
        <v>198</v>
      </c>
      <c r="H304">
        <v>67</v>
      </c>
      <c r="I304">
        <v>1</v>
      </c>
      <c r="J304">
        <v>40</v>
      </c>
      <c r="K304">
        <v>48</v>
      </c>
      <c r="L304" t="s">
        <v>2806</v>
      </c>
      <c r="M304" t="s">
        <v>2807</v>
      </c>
      <c r="N304" t="s">
        <v>2808</v>
      </c>
      <c r="O304" t="s">
        <v>63</v>
      </c>
      <c r="Q304" t="s">
        <v>63</v>
      </c>
      <c r="R304" t="s">
        <v>63</v>
      </c>
      <c r="S304" t="s">
        <v>63</v>
      </c>
      <c r="T304" t="s">
        <v>63</v>
      </c>
      <c r="X304" t="s">
        <v>63</v>
      </c>
      <c r="Y304" t="s">
        <v>2310</v>
      </c>
      <c r="Z304" t="s">
        <v>63</v>
      </c>
      <c r="AA304" t="s">
        <v>2809</v>
      </c>
      <c r="AB304">
        <v>26169929</v>
      </c>
      <c r="AC304" t="s">
        <v>67</v>
      </c>
      <c r="AD304" t="s">
        <v>63</v>
      </c>
      <c r="AE304" t="s">
        <v>63</v>
      </c>
      <c r="AF304" t="s">
        <v>63</v>
      </c>
      <c r="AG304" t="s">
        <v>2810</v>
      </c>
      <c r="AH304" t="s">
        <v>63</v>
      </c>
      <c r="AI304" t="s">
        <v>2811</v>
      </c>
      <c r="AJ304" t="s">
        <v>63</v>
      </c>
      <c r="AK304" t="s">
        <v>63</v>
      </c>
      <c r="AL304" t="s">
        <v>63</v>
      </c>
      <c r="AM304" t="s">
        <v>2812</v>
      </c>
      <c r="AN304" t="s">
        <v>63</v>
      </c>
      <c r="AO304" t="s">
        <v>63</v>
      </c>
      <c r="AP304" t="s">
        <v>63</v>
      </c>
      <c r="AQ304" t="s">
        <v>63</v>
      </c>
      <c r="AR304" t="s">
        <v>63</v>
      </c>
      <c r="AS304" t="s">
        <v>63</v>
      </c>
      <c r="AT304" t="s">
        <v>63</v>
      </c>
      <c r="AU304" t="s">
        <v>63</v>
      </c>
      <c r="AV304" t="s">
        <v>63</v>
      </c>
      <c r="AW304" t="s">
        <v>63</v>
      </c>
      <c r="AX304" t="s">
        <v>63</v>
      </c>
      <c r="AY304" t="s">
        <v>63</v>
      </c>
      <c r="AZ304" t="s">
        <v>63</v>
      </c>
      <c r="BA304" t="s">
        <v>63</v>
      </c>
      <c r="BB304" t="s">
        <v>63</v>
      </c>
      <c r="BC304" t="s">
        <v>63</v>
      </c>
      <c r="BD304" t="s">
        <v>63</v>
      </c>
      <c r="BE304" t="s">
        <v>63</v>
      </c>
      <c r="BF304" t="s">
        <v>63</v>
      </c>
    </row>
    <row r="305" spans="1:58">
      <c r="A305" t="s">
        <v>58</v>
      </c>
      <c r="B305" t="s">
        <v>2813</v>
      </c>
      <c r="C305" t="s">
        <v>2814</v>
      </c>
      <c r="D305" t="s">
        <v>371</v>
      </c>
      <c r="E305" t="s">
        <v>63</v>
      </c>
      <c r="F305">
        <v>2007</v>
      </c>
      <c r="G305" t="s">
        <v>614</v>
      </c>
      <c r="H305">
        <v>22</v>
      </c>
      <c r="I305">
        <v>8</v>
      </c>
      <c r="J305">
        <v>1144</v>
      </c>
      <c r="K305">
        <v>1149</v>
      </c>
      <c r="L305" t="s">
        <v>2815</v>
      </c>
      <c r="M305" t="s">
        <v>2816</v>
      </c>
      <c r="N305" t="s">
        <v>2817</v>
      </c>
      <c r="O305" t="s">
        <v>63</v>
      </c>
      <c r="Q305" t="s">
        <v>63</v>
      </c>
      <c r="R305" t="s">
        <v>63</v>
      </c>
      <c r="S305" t="s">
        <v>63</v>
      </c>
      <c r="T305" t="s">
        <v>63</v>
      </c>
      <c r="X305" t="s">
        <v>63</v>
      </c>
      <c r="Y305" t="s">
        <v>547</v>
      </c>
      <c r="Z305" t="s">
        <v>63</v>
      </c>
      <c r="AA305" t="s">
        <v>2818</v>
      </c>
      <c r="AB305">
        <v>17541671</v>
      </c>
      <c r="AC305" t="s">
        <v>67</v>
      </c>
      <c r="AD305" t="s">
        <v>63</v>
      </c>
      <c r="AE305" t="s">
        <v>63</v>
      </c>
      <c r="AF305" t="s">
        <v>63</v>
      </c>
      <c r="AG305" t="s">
        <v>2819</v>
      </c>
      <c r="AH305" t="s">
        <v>63</v>
      </c>
      <c r="AI305" t="s">
        <v>63</v>
      </c>
      <c r="AJ305" t="s">
        <v>63</v>
      </c>
      <c r="AK305" t="s">
        <v>63</v>
      </c>
      <c r="AL305" t="s">
        <v>63</v>
      </c>
      <c r="AM305" t="s">
        <v>2820</v>
      </c>
      <c r="AN305" t="s">
        <v>63</v>
      </c>
      <c r="AO305" t="s">
        <v>63</v>
      </c>
      <c r="AP305" t="s">
        <v>63</v>
      </c>
      <c r="AQ305" t="s">
        <v>63</v>
      </c>
      <c r="AR305" t="s">
        <v>63</v>
      </c>
      <c r="AS305" t="s">
        <v>63</v>
      </c>
      <c r="AT305" t="s">
        <v>63</v>
      </c>
      <c r="AU305" t="s">
        <v>63</v>
      </c>
      <c r="AV305" t="s">
        <v>63</v>
      </c>
      <c r="AW305" t="s">
        <v>63</v>
      </c>
      <c r="AX305" t="s">
        <v>63</v>
      </c>
      <c r="AY305" t="s">
        <v>63</v>
      </c>
      <c r="AZ305" t="s">
        <v>63</v>
      </c>
      <c r="BA305" t="s">
        <v>63</v>
      </c>
      <c r="BB305" t="s">
        <v>63</v>
      </c>
      <c r="BC305" t="s">
        <v>63</v>
      </c>
      <c r="BD305" t="s">
        <v>63</v>
      </c>
      <c r="BE305" t="s">
        <v>63</v>
      </c>
      <c r="BF305" t="s">
        <v>63</v>
      </c>
    </row>
    <row r="306" spans="1:58">
      <c r="A306" t="s">
        <v>58</v>
      </c>
      <c r="B306" t="s">
        <v>2821</v>
      </c>
      <c r="C306" t="s">
        <v>2822</v>
      </c>
      <c r="D306" t="s">
        <v>928</v>
      </c>
      <c r="E306" t="s">
        <v>63</v>
      </c>
      <c r="F306">
        <v>2003</v>
      </c>
      <c r="G306" t="s">
        <v>63</v>
      </c>
      <c r="H306">
        <v>15</v>
      </c>
      <c r="I306">
        <v>2</v>
      </c>
      <c r="J306">
        <v>93</v>
      </c>
      <c r="K306">
        <v>97</v>
      </c>
      <c r="L306" t="s">
        <v>2823</v>
      </c>
      <c r="M306" t="s">
        <v>2824</v>
      </c>
      <c r="N306" t="s">
        <v>2825</v>
      </c>
      <c r="O306" t="s">
        <v>63</v>
      </c>
      <c r="Q306" t="s">
        <v>63</v>
      </c>
      <c r="R306" t="s">
        <v>63</v>
      </c>
      <c r="S306" t="s">
        <v>63</v>
      </c>
      <c r="T306" t="s">
        <v>63</v>
      </c>
      <c r="X306" t="s">
        <v>63</v>
      </c>
      <c r="Y306" t="s">
        <v>932</v>
      </c>
      <c r="Z306" t="s">
        <v>63</v>
      </c>
      <c r="AA306" t="s">
        <v>2826</v>
      </c>
      <c r="AB306">
        <v>12708066</v>
      </c>
      <c r="AC306" t="s">
        <v>67</v>
      </c>
      <c r="AD306" t="s">
        <v>63</v>
      </c>
      <c r="AE306" t="s">
        <v>63</v>
      </c>
      <c r="AF306" t="s">
        <v>63</v>
      </c>
      <c r="AG306" t="s">
        <v>2827</v>
      </c>
      <c r="AH306" t="s">
        <v>63</v>
      </c>
      <c r="AI306" t="s">
        <v>63</v>
      </c>
      <c r="AJ306" t="s">
        <v>63</v>
      </c>
      <c r="AK306" t="s">
        <v>63</v>
      </c>
      <c r="AL306" t="s">
        <v>63</v>
      </c>
      <c r="AM306" t="s">
        <v>2828</v>
      </c>
      <c r="AN306" t="s">
        <v>63</v>
      </c>
      <c r="AO306" t="s">
        <v>63</v>
      </c>
      <c r="AP306" t="s">
        <v>63</v>
      </c>
      <c r="AQ306" t="s">
        <v>63</v>
      </c>
      <c r="AR306" t="s">
        <v>63</v>
      </c>
      <c r="AS306" t="s">
        <v>63</v>
      </c>
      <c r="AT306" t="s">
        <v>63</v>
      </c>
      <c r="AU306" t="s">
        <v>63</v>
      </c>
      <c r="AV306" t="s">
        <v>63</v>
      </c>
      <c r="AW306" t="s">
        <v>63</v>
      </c>
      <c r="AX306" t="s">
        <v>63</v>
      </c>
      <c r="AY306" t="s">
        <v>63</v>
      </c>
      <c r="AZ306" t="s">
        <v>63</v>
      </c>
      <c r="BA306" t="s">
        <v>63</v>
      </c>
      <c r="BB306" t="s">
        <v>63</v>
      </c>
      <c r="BC306" t="s">
        <v>63</v>
      </c>
      <c r="BD306" t="s">
        <v>63</v>
      </c>
      <c r="BE306" t="s">
        <v>63</v>
      </c>
      <c r="BF306" t="s">
        <v>63</v>
      </c>
    </row>
    <row r="307" spans="1:58">
      <c r="A307" t="s">
        <v>58</v>
      </c>
      <c r="B307" t="s">
        <v>2829</v>
      </c>
      <c r="C307" t="s">
        <v>2830</v>
      </c>
      <c r="D307" t="s">
        <v>1055</v>
      </c>
      <c r="E307" t="s">
        <v>1056</v>
      </c>
      <c r="F307">
        <v>2008</v>
      </c>
      <c r="G307" t="s">
        <v>189</v>
      </c>
      <c r="H307">
        <v>42</v>
      </c>
      <c r="I307">
        <v>5</v>
      </c>
      <c r="J307">
        <v>532</v>
      </c>
      <c r="K307" t="s">
        <v>63</v>
      </c>
      <c r="L307" t="s">
        <v>2831</v>
      </c>
      <c r="M307" t="s">
        <v>63</v>
      </c>
      <c r="N307" t="s">
        <v>2832</v>
      </c>
      <c r="O307" t="s">
        <v>63</v>
      </c>
      <c r="Q307" t="s">
        <v>63</v>
      </c>
      <c r="R307" t="s">
        <v>63</v>
      </c>
      <c r="S307" t="s">
        <v>63</v>
      </c>
      <c r="T307" t="s">
        <v>63</v>
      </c>
      <c r="X307" t="s">
        <v>63</v>
      </c>
      <c r="Y307" t="s">
        <v>1541</v>
      </c>
      <c r="Z307" t="s">
        <v>63</v>
      </c>
      <c r="AA307" t="s">
        <v>2833</v>
      </c>
      <c r="AB307">
        <v>18412911</v>
      </c>
      <c r="AC307" t="s">
        <v>67</v>
      </c>
      <c r="AD307" t="s">
        <v>63</v>
      </c>
      <c r="AE307" t="s">
        <v>63</v>
      </c>
      <c r="AF307" t="s">
        <v>63</v>
      </c>
      <c r="AG307" t="s">
        <v>2834</v>
      </c>
      <c r="AH307" t="s">
        <v>63</v>
      </c>
      <c r="AI307" t="s">
        <v>2835</v>
      </c>
      <c r="AJ307" t="s">
        <v>63</v>
      </c>
      <c r="AK307" t="s">
        <v>63</v>
      </c>
      <c r="AL307" t="s">
        <v>63</v>
      </c>
      <c r="AM307" t="s">
        <v>2836</v>
      </c>
      <c r="AN307" t="s">
        <v>63</v>
      </c>
      <c r="AO307" t="s">
        <v>63</v>
      </c>
      <c r="AP307" t="s">
        <v>63</v>
      </c>
      <c r="AQ307" t="s">
        <v>63</v>
      </c>
      <c r="AR307" t="s">
        <v>63</v>
      </c>
      <c r="AS307" t="s">
        <v>63</v>
      </c>
      <c r="AT307" t="s">
        <v>63</v>
      </c>
      <c r="AU307" t="s">
        <v>63</v>
      </c>
      <c r="AV307" t="s">
        <v>63</v>
      </c>
      <c r="AW307" t="s">
        <v>63</v>
      </c>
      <c r="AX307" t="s">
        <v>63</v>
      </c>
      <c r="AY307" t="s">
        <v>63</v>
      </c>
      <c r="AZ307" t="s">
        <v>63</v>
      </c>
      <c r="BA307" t="s">
        <v>63</v>
      </c>
      <c r="BB307" t="s">
        <v>63</v>
      </c>
      <c r="BC307" t="s">
        <v>63</v>
      </c>
      <c r="BD307" t="s">
        <v>63</v>
      </c>
      <c r="BE307" t="s">
        <v>63</v>
      </c>
      <c r="BF307" t="s">
        <v>63</v>
      </c>
    </row>
    <row r="308" spans="1:58">
      <c r="A308" t="s">
        <v>58</v>
      </c>
      <c r="B308" t="s">
        <v>2837</v>
      </c>
      <c r="C308" t="s">
        <v>2838</v>
      </c>
      <c r="D308" t="s">
        <v>2175</v>
      </c>
      <c r="E308" t="s">
        <v>63</v>
      </c>
      <c r="F308">
        <v>2017</v>
      </c>
      <c r="G308" t="s">
        <v>2839</v>
      </c>
      <c r="H308">
        <v>12</v>
      </c>
      <c r="I308">
        <v>1</v>
      </c>
      <c r="J308">
        <v>8</v>
      </c>
      <c r="K308" t="s">
        <v>63</v>
      </c>
      <c r="L308" t="s">
        <v>2840</v>
      </c>
      <c r="M308" t="s">
        <v>2841</v>
      </c>
      <c r="N308" t="s">
        <v>2842</v>
      </c>
      <c r="O308" t="s">
        <v>63</v>
      </c>
      <c r="Q308" t="s">
        <v>63</v>
      </c>
      <c r="R308" t="s">
        <v>63</v>
      </c>
      <c r="S308" t="s">
        <v>63</v>
      </c>
      <c r="T308" t="s">
        <v>63</v>
      </c>
      <c r="X308" t="s">
        <v>63</v>
      </c>
      <c r="Y308" t="s">
        <v>2179</v>
      </c>
      <c r="Z308" t="s">
        <v>63</v>
      </c>
      <c r="AA308" t="s">
        <v>2843</v>
      </c>
      <c r="AB308">
        <v>28288678</v>
      </c>
      <c r="AC308" t="s">
        <v>67</v>
      </c>
      <c r="AD308" t="s">
        <v>63</v>
      </c>
      <c r="AE308" t="s">
        <v>63</v>
      </c>
      <c r="AF308" t="s">
        <v>63</v>
      </c>
      <c r="AG308" t="s">
        <v>2844</v>
      </c>
      <c r="AH308" t="s">
        <v>63</v>
      </c>
      <c r="AI308" t="s">
        <v>2845</v>
      </c>
      <c r="AJ308" t="s">
        <v>63</v>
      </c>
      <c r="AK308" t="s">
        <v>63</v>
      </c>
      <c r="AL308" t="s">
        <v>63</v>
      </c>
      <c r="AM308" t="s">
        <v>2846</v>
      </c>
      <c r="AN308" t="s">
        <v>63</v>
      </c>
      <c r="AO308" t="s">
        <v>63</v>
      </c>
      <c r="AP308" t="s">
        <v>63</v>
      </c>
      <c r="AQ308" t="s">
        <v>63</v>
      </c>
      <c r="AR308" t="s">
        <v>63</v>
      </c>
      <c r="AS308" t="s">
        <v>63</v>
      </c>
      <c r="AT308" t="s">
        <v>63</v>
      </c>
      <c r="AU308" t="s">
        <v>63</v>
      </c>
      <c r="AV308" t="s">
        <v>63</v>
      </c>
      <c r="AW308" t="s">
        <v>63</v>
      </c>
      <c r="AX308" t="s">
        <v>63</v>
      </c>
      <c r="AY308" t="s">
        <v>63</v>
      </c>
      <c r="AZ308" t="s">
        <v>63</v>
      </c>
      <c r="BA308" t="s">
        <v>63</v>
      </c>
      <c r="BB308" t="s">
        <v>63</v>
      </c>
      <c r="BC308" t="s">
        <v>63</v>
      </c>
      <c r="BD308" t="s">
        <v>63</v>
      </c>
      <c r="BE308" t="s">
        <v>63</v>
      </c>
      <c r="BF308" t="s">
        <v>63</v>
      </c>
    </row>
    <row r="309" spans="1:58">
      <c r="A309" t="s">
        <v>58</v>
      </c>
      <c r="B309" t="s">
        <v>2847</v>
      </c>
      <c r="C309" t="s">
        <v>2848</v>
      </c>
      <c r="D309" t="s">
        <v>180</v>
      </c>
      <c r="E309" t="s">
        <v>63</v>
      </c>
      <c r="F309">
        <v>1984</v>
      </c>
      <c r="G309" t="s">
        <v>63</v>
      </c>
      <c r="H309">
        <v>19</v>
      </c>
      <c r="I309">
        <v>4</v>
      </c>
      <c r="J309">
        <v>291</v>
      </c>
      <c r="K309">
        <v>296</v>
      </c>
      <c r="L309" t="s">
        <v>2849</v>
      </c>
      <c r="M309" t="s">
        <v>2850</v>
      </c>
      <c r="N309" t="s">
        <v>2851</v>
      </c>
      <c r="O309" t="s">
        <v>63</v>
      </c>
      <c r="Q309" t="s">
        <v>63</v>
      </c>
      <c r="R309" t="s">
        <v>63</v>
      </c>
      <c r="S309" t="s">
        <v>63</v>
      </c>
      <c r="T309" t="s">
        <v>63</v>
      </c>
      <c r="X309" t="s">
        <v>63</v>
      </c>
      <c r="Y309" t="s">
        <v>185</v>
      </c>
      <c r="Z309" t="s">
        <v>63</v>
      </c>
      <c r="AA309" t="s">
        <v>63</v>
      </c>
      <c r="AB309">
        <v>6532465</v>
      </c>
      <c r="AC309" t="s">
        <v>67</v>
      </c>
      <c r="AD309" t="s">
        <v>63</v>
      </c>
      <c r="AE309" t="s">
        <v>63</v>
      </c>
      <c r="AF309" t="s">
        <v>63</v>
      </c>
      <c r="AG309" t="s">
        <v>2852</v>
      </c>
      <c r="AH309" t="s">
        <v>63</v>
      </c>
      <c r="AI309" t="s">
        <v>63</v>
      </c>
      <c r="AJ309" t="s">
        <v>63</v>
      </c>
      <c r="AK309" t="s">
        <v>63</v>
      </c>
      <c r="AL309" t="s">
        <v>63</v>
      </c>
      <c r="AM309" t="s">
        <v>2853</v>
      </c>
      <c r="AN309" t="s">
        <v>63</v>
      </c>
      <c r="AO309" t="s">
        <v>63</v>
      </c>
      <c r="AP309" t="s">
        <v>63</v>
      </c>
      <c r="AQ309" t="s">
        <v>63</v>
      </c>
      <c r="AR309" t="s">
        <v>63</v>
      </c>
      <c r="AS309" t="s">
        <v>63</v>
      </c>
      <c r="AT309" t="s">
        <v>63</v>
      </c>
      <c r="AU309" t="s">
        <v>63</v>
      </c>
      <c r="AV309" t="s">
        <v>63</v>
      </c>
      <c r="AW309" t="s">
        <v>63</v>
      </c>
      <c r="AX309" t="s">
        <v>63</v>
      </c>
      <c r="AY309" t="s">
        <v>63</v>
      </c>
      <c r="AZ309" t="s">
        <v>63</v>
      </c>
      <c r="BA309" t="s">
        <v>63</v>
      </c>
      <c r="BB309" t="s">
        <v>63</v>
      </c>
      <c r="BC309" t="s">
        <v>63</v>
      </c>
      <c r="BD309" t="s">
        <v>63</v>
      </c>
      <c r="BE309" t="s">
        <v>63</v>
      </c>
      <c r="BF309" t="s">
        <v>63</v>
      </c>
    </row>
    <row r="310" spans="1:58">
      <c r="A310" t="s">
        <v>58</v>
      </c>
      <c r="B310" t="s">
        <v>2854</v>
      </c>
      <c r="C310" t="s">
        <v>2855</v>
      </c>
      <c r="D310" t="s">
        <v>2856</v>
      </c>
      <c r="E310" t="s">
        <v>63</v>
      </c>
      <c r="F310">
        <v>2015</v>
      </c>
      <c r="G310" t="s">
        <v>138</v>
      </c>
      <c r="H310">
        <v>13</v>
      </c>
      <c r="I310">
        <v>10</v>
      </c>
      <c r="J310">
        <v>133</v>
      </c>
      <c r="K310">
        <v>145</v>
      </c>
      <c r="L310" t="s">
        <v>2857</v>
      </c>
      <c r="M310" t="s">
        <v>2858</v>
      </c>
      <c r="N310" t="s">
        <v>2859</v>
      </c>
      <c r="O310" t="s">
        <v>63</v>
      </c>
      <c r="Q310" t="s">
        <v>63</v>
      </c>
      <c r="R310" t="s">
        <v>63</v>
      </c>
      <c r="S310" t="s">
        <v>63</v>
      </c>
      <c r="T310" t="s">
        <v>63</v>
      </c>
      <c r="X310" t="s">
        <v>63</v>
      </c>
      <c r="Y310" t="s">
        <v>2860</v>
      </c>
      <c r="Z310" t="s">
        <v>63</v>
      </c>
      <c r="AA310" t="s">
        <v>2861</v>
      </c>
      <c r="AB310">
        <v>26571289</v>
      </c>
      <c r="AC310" t="s">
        <v>67</v>
      </c>
      <c r="AD310" t="s">
        <v>63</v>
      </c>
      <c r="AE310" t="s">
        <v>63</v>
      </c>
      <c r="AF310" t="s">
        <v>63</v>
      </c>
      <c r="AG310" t="s">
        <v>2862</v>
      </c>
      <c r="AH310" t="s">
        <v>63</v>
      </c>
      <c r="AI310" t="s">
        <v>2863</v>
      </c>
      <c r="AJ310" t="s">
        <v>63</v>
      </c>
      <c r="AK310" t="s">
        <v>63</v>
      </c>
      <c r="AL310" t="s">
        <v>63</v>
      </c>
      <c r="AM310" t="s">
        <v>2864</v>
      </c>
      <c r="AN310" t="s">
        <v>63</v>
      </c>
      <c r="AO310" t="s">
        <v>63</v>
      </c>
      <c r="AP310" t="s">
        <v>63</v>
      </c>
      <c r="AQ310" t="s">
        <v>63</v>
      </c>
      <c r="AR310" t="s">
        <v>63</v>
      </c>
      <c r="AS310" t="s">
        <v>63</v>
      </c>
      <c r="AT310" t="s">
        <v>63</v>
      </c>
      <c r="AU310" t="s">
        <v>63</v>
      </c>
      <c r="AV310" t="s">
        <v>63</v>
      </c>
      <c r="AW310" t="s">
        <v>63</v>
      </c>
      <c r="AX310" t="s">
        <v>63</v>
      </c>
      <c r="AY310" t="s">
        <v>63</v>
      </c>
      <c r="AZ310" t="s">
        <v>63</v>
      </c>
      <c r="BA310" t="s">
        <v>63</v>
      </c>
      <c r="BB310" t="s">
        <v>63</v>
      </c>
      <c r="BC310" t="s">
        <v>63</v>
      </c>
      <c r="BD310" t="s">
        <v>63</v>
      </c>
      <c r="BE310" t="s">
        <v>63</v>
      </c>
      <c r="BF310" t="s">
        <v>63</v>
      </c>
    </row>
    <row r="311" spans="1:58">
      <c r="A311" t="s">
        <v>58</v>
      </c>
      <c r="B311" t="s">
        <v>2865</v>
      </c>
      <c r="C311" t="s">
        <v>2866</v>
      </c>
      <c r="D311" t="s">
        <v>763</v>
      </c>
      <c r="E311" t="s">
        <v>63</v>
      </c>
      <c r="F311">
        <v>2000</v>
      </c>
      <c r="G311" t="s">
        <v>189</v>
      </c>
      <c r="H311">
        <v>75</v>
      </c>
      <c r="I311">
        <v>5</v>
      </c>
      <c r="J311">
        <v>544</v>
      </c>
      <c r="K311" t="s">
        <v>63</v>
      </c>
      <c r="L311" t="s">
        <v>2867</v>
      </c>
      <c r="M311" t="s">
        <v>63</v>
      </c>
      <c r="N311" t="s">
        <v>2868</v>
      </c>
      <c r="O311" t="s">
        <v>63</v>
      </c>
      <c r="Q311" t="s">
        <v>63</v>
      </c>
      <c r="R311" t="s">
        <v>63</v>
      </c>
      <c r="S311" t="s">
        <v>63</v>
      </c>
      <c r="T311" t="s">
        <v>63</v>
      </c>
      <c r="X311" t="s">
        <v>63</v>
      </c>
      <c r="Y311" t="s">
        <v>858</v>
      </c>
      <c r="Z311" t="s">
        <v>63</v>
      </c>
      <c r="AA311" t="s">
        <v>2869</v>
      </c>
      <c r="AB311">
        <v>10824824</v>
      </c>
      <c r="AC311" t="s">
        <v>67</v>
      </c>
      <c r="AD311" t="s">
        <v>63</v>
      </c>
      <c r="AE311" t="s">
        <v>63</v>
      </c>
      <c r="AF311" t="s">
        <v>63</v>
      </c>
      <c r="AG311" t="s">
        <v>2870</v>
      </c>
      <c r="AH311" t="s">
        <v>63</v>
      </c>
      <c r="AI311" t="s">
        <v>63</v>
      </c>
      <c r="AJ311" t="s">
        <v>63</v>
      </c>
      <c r="AK311" t="s">
        <v>63</v>
      </c>
      <c r="AL311" t="s">
        <v>63</v>
      </c>
      <c r="AM311" t="s">
        <v>2871</v>
      </c>
      <c r="AN311" t="s">
        <v>63</v>
      </c>
      <c r="AO311" t="s">
        <v>63</v>
      </c>
      <c r="AP311" t="s">
        <v>63</v>
      </c>
      <c r="AQ311" t="s">
        <v>63</v>
      </c>
      <c r="AR311" t="s">
        <v>63</v>
      </c>
      <c r="AS311" t="s">
        <v>63</v>
      </c>
      <c r="AT311" t="s">
        <v>63</v>
      </c>
      <c r="AU311" t="s">
        <v>63</v>
      </c>
      <c r="AV311" t="s">
        <v>63</v>
      </c>
      <c r="AW311" t="s">
        <v>63</v>
      </c>
      <c r="AX311" t="s">
        <v>63</v>
      </c>
      <c r="AY311" t="s">
        <v>63</v>
      </c>
      <c r="AZ311" t="s">
        <v>63</v>
      </c>
      <c r="BA311" t="s">
        <v>63</v>
      </c>
      <c r="BB311" t="s">
        <v>63</v>
      </c>
      <c r="BC311" t="s">
        <v>63</v>
      </c>
      <c r="BD311" t="s">
        <v>63</v>
      </c>
      <c r="BE311" t="s">
        <v>63</v>
      </c>
      <c r="BF311" t="s">
        <v>63</v>
      </c>
    </row>
    <row r="312" spans="1:58">
      <c r="A312" t="s">
        <v>58</v>
      </c>
      <c r="B312" t="s">
        <v>2872</v>
      </c>
      <c r="C312" t="s">
        <v>2873</v>
      </c>
      <c r="D312" t="s">
        <v>1406</v>
      </c>
      <c r="E312" t="s">
        <v>1407</v>
      </c>
      <c r="F312">
        <v>2008</v>
      </c>
      <c r="G312" t="s">
        <v>84</v>
      </c>
      <c r="H312">
        <v>108</v>
      </c>
      <c r="I312">
        <v>4</v>
      </c>
      <c r="J312">
        <v>214</v>
      </c>
      <c r="K312">
        <v>215</v>
      </c>
      <c r="L312" t="s">
        <v>2874</v>
      </c>
      <c r="M312" t="s">
        <v>63</v>
      </c>
      <c r="N312" t="s">
        <v>2875</v>
      </c>
      <c r="O312" t="s">
        <v>63</v>
      </c>
      <c r="Q312" t="s">
        <v>63</v>
      </c>
      <c r="R312" t="s">
        <v>63</v>
      </c>
      <c r="S312" t="s">
        <v>63</v>
      </c>
      <c r="T312" t="s">
        <v>63</v>
      </c>
      <c r="X312" t="s">
        <v>63</v>
      </c>
      <c r="Y312" t="s">
        <v>2876</v>
      </c>
      <c r="Z312" t="s">
        <v>63</v>
      </c>
      <c r="AA312" t="s">
        <v>63</v>
      </c>
      <c r="AB312">
        <v>18443030</v>
      </c>
      <c r="AC312" t="s">
        <v>67</v>
      </c>
      <c r="AD312" t="s">
        <v>63</v>
      </c>
      <c r="AE312" t="s">
        <v>63</v>
      </c>
      <c r="AF312" t="s">
        <v>63</v>
      </c>
      <c r="AG312" t="s">
        <v>2877</v>
      </c>
      <c r="AH312" t="s">
        <v>63</v>
      </c>
      <c r="AI312" t="s">
        <v>63</v>
      </c>
      <c r="AJ312" t="s">
        <v>63</v>
      </c>
      <c r="AK312" t="s">
        <v>63</v>
      </c>
      <c r="AL312" t="s">
        <v>63</v>
      </c>
      <c r="AM312" t="s">
        <v>2878</v>
      </c>
      <c r="AN312" t="s">
        <v>63</v>
      </c>
      <c r="AO312" t="s">
        <v>63</v>
      </c>
      <c r="AP312" t="s">
        <v>63</v>
      </c>
      <c r="AQ312" t="s">
        <v>63</v>
      </c>
      <c r="AR312" t="s">
        <v>63</v>
      </c>
      <c r="AS312" t="s">
        <v>63</v>
      </c>
      <c r="AT312" t="s">
        <v>63</v>
      </c>
      <c r="AU312" t="s">
        <v>63</v>
      </c>
      <c r="AV312" t="s">
        <v>63</v>
      </c>
      <c r="AW312" t="s">
        <v>63</v>
      </c>
      <c r="AX312" t="s">
        <v>63</v>
      </c>
      <c r="AY312" t="s">
        <v>63</v>
      </c>
      <c r="AZ312" t="s">
        <v>63</v>
      </c>
      <c r="BA312" t="s">
        <v>63</v>
      </c>
      <c r="BB312" t="s">
        <v>63</v>
      </c>
      <c r="BC312" t="s">
        <v>63</v>
      </c>
      <c r="BD312" t="s">
        <v>63</v>
      </c>
      <c r="BE312" t="s">
        <v>63</v>
      </c>
      <c r="BF312" t="s">
        <v>63</v>
      </c>
    </row>
    <row r="313" spans="1:58">
      <c r="A313" t="s">
        <v>58</v>
      </c>
      <c r="B313" t="s">
        <v>2879</v>
      </c>
      <c r="C313" t="s">
        <v>2880</v>
      </c>
      <c r="D313" t="s">
        <v>1668</v>
      </c>
      <c r="E313" t="s">
        <v>1669</v>
      </c>
      <c r="F313">
        <v>2005</v>
      </c>
      <c r="G313" t="s">
        <v>219</v>
      </c>
      <c r="H313">
        <v>27</v>
      </c>
      <c r="I313">
        <v>7</v>
      </c>
      <c r="J313">
        <v>655</v>
      </c>
      <c r="K313">
        <v>657</v>
      </c>
      <c r="L313" t="s">
        <v>2881</v>
      </c>
      <c r="M313" t="s">
        <v>2882</v>
      </c>
      <c r="N313" t="s">
        <v>2883</v>
      </c>
      <c r="O313" t="s">
        <v>63</v>
      </c>
      <c r="Q313" t="s">
        <v>63</v>
      </c>
      <c r="R313" t="s">
        <v>63</v>
      </c>
      <c r="S313" t="s">
        <v>63</v>
      </c>
      <c r="T313" t="s">
        <v>63</v>
      </c>
      <c r="X313" t="s">
        <v>63</v>
      </c>
      <c r="Y313" t="s">
        <v>2884</v>
      </c>
      <c r="Z313" t="s">
        <v>63</v>
      </c>
      <c r="AA313" t="s">
        <v>2885</v>
      </c>
      <c r="AB313">
        <v>16332563</v>
      </c>
      <c r="AC313" t="s">
        <v>67</v>
      </c>
      <c r="AD313" t="s">
        <v>63</v>
      </c>
      <c r="AE313" t="s">
        <v>63</v>
      </c>
      <c r="AF313" t="s">
        <v>63</v>
      </c>
      <c r="AG313" t="s">
        <v>2886</v>
      </c>
      <c r="AH313" t="s">
        <v>63</v>
      </c>
      <c r="AI313" t="s">
        <v>63</v>
      </c>
      <c r="AJ313" t="s">
        <v>63</v>
      </c>
      <c r="AK313" t="s">
        <v>63</v>
      </c>
      <c r="AL313" t="s">
        <v>63</v>
      </c>
      <c r="AM313" t="s">
        <v>2887</v>
      </c>
      <c r="AN313" t="s">
        <v>63</v>
      </c>
      <c r="AO313" t="s">
        <v>63</v>
      </c>
      <c r="AP313" t="s">
        <v>63</v>
      </c>
      <c r="AQ313" t="s">
        <v>63</v>
      </c>
      <c r="AR313" t="s">
        <v>63</v>
      </c>
      <c r="AS313" t="s">
        <v>63</v>
      </c>
      <c r="AT313" t="s">
        <v>63</v>
      </c>
      <c r="AU313" t="s">
        <v>63</v>
      </c>
      <c r="AV313" t="s">
        <v>63</v>
      </c>
      <c r="AW313" t="s">
        <v>63</v>
      </c>
      <c r="AX313" t="s">
        <v>63</v>
      </c>
      <c r="AY313" t="s">
        <v>63</v>
      </c>
      <c r="AZ313" t="s">
        <v>63</v>
      </c>
      <c r="BA313" t="s">
        <v>63</v>
      </c>
      <c r="BB313" t="s">
        <v>63</v>
      </c>
      <c r="BC313" t="s">
        <v>63</v>
      </c>
      <c r="BD313" t="s">
        <v>63</v>
      </c>
      <c r="BE313" t="s">
        <v>63</v>
      </c>
      <c r="BF313" t="s">
        <v>63</v>
      </c>
    </row>
    <row r="314" spans="1:58">
      <c r="A314" t="s">
        <v>58</v>
      </c>
      <c r="B314" t="s">
        <v>2888</v>
      </c>
      <c r="C314" t="s">
        <v>2889</v>
      </c>
      <c r="D314" t="s">
        <v>389</v>
      </c>
      <c r="E314" t="s">
        <v>63</v>
      </c>
      <c r="F314">
        <v>2016</v>
      </c>
      <c r="G314" t="s">
        <v>338</v>
      </c>
      <c r="H314">
        <v>37</v>
      </c>
      <c r="I314">
        <v>2</v>
      </c>
      <c r="J314">
        <v>306</v>
      </c>
      <c r="K314">
        <v>314</v>
      </c>
      <c r="L314" t="s">
        <v>2890</v>
      </c>
      <c r="M314" t="s">
        <v>2891</v>
      </c>
      <c r="N314" t="s">
        <v>2892</v>
      </c>
      <c r="O314" t="s">
        <v>63</v>
      </c>
      <c r="Q314" t="s">
        <v>63</v>
      </c>
      <c r="R314" t="s">
        <v>63</v>
      </c>
      <c r="S314" t="s">
        <v>63</v>
      </c>
      <c r="T314" t="s">
        <v>63</v>
      </c>
      <c r="X314" t="s">
        <v>63</v>
      </c>
      <c r="Y314" t="s">
        <v>556</v>
      </c>
      <c r="Z314" t="s">
        <v>63</v>
      </c>
      <c r="AA314" t="s">
        <v>2893</v>
      </c>
      <c r="AB314">
        <v>26176589</v>
      </c>
      <c r="AC314" t="s">
        <v>67</v>
      </c>
      <c r="AD314" t="s">
        <v>63</v>
      </c>
      <c r="AE314" t="s">
        <v>63</v>
      </c>
      <c r="AF314" t="s">
        <v>63</v>
      </c>
      <c r="AG314" t="s">
        <v>2894</v>
      </c>
      <c r="AH314" t="s">
        <v>63</v>
      </c>
      <c r="AI314" t="s">
        <v>2895</v>
      </c>
      <c r="AJ314" t="s">
        <v>63</v>
      </c>
      <c r="AK314" t="s">
        <v>63</v>
      </c>
      <c r="AL314" t="s">
        <v>63</v>
      </c>
      <c r="AM314" t="s">
        <v>2896</v>
      </c>
      <c r="AN314" t="s">
        <v>63</v>
      </c>
      <c r="AO314" t="s">
        <v>63</v>
      </c>
      <c r="AP314" t="s">
        <v>63</v>
      </c>
      <c r="AQ314" t="s">
        <v>63</v>
      </c>
      <c r="AR314" t="s">
        <v>63</v>
      </c>
      <c r="AS314" t="s">
        <v>63</v>
      </c>
      <c r="AT314" t="s">
        <v>63</v>
      </c>
      <c r="AU314" t="s">
        <v>63</v>
      </c>
      <c r="AV314" t="s">
        <v>63</v>
      </c>
      <c r="AW314" t="s">
        <v>63</v>
      </c>
      <c r="AX314" t="s">
        <v>63</v>
      </c>
      <c r="AY314" t="s">
        <v>63</v>
      </c>
      <c r="AZ314" t="s">
        <v>63</v>
      </c>
      <c r="BA314" t="s">
        <v>63</v>
      </c>
      <c r="BB314" t="s">
        <v>63</v>
      </c>
      <c r="BC314" t="s">
        <v>63</v>
      </c>
      <c r="BD314" t="s">
        <v>63</v>
      </c>
      <c r="BE314" t="s">
        <v>63</v>
      </c>
      <c r="BF314" t="s">
        <v>63</v>
      </c>
    </row>
    <row r="315" spans="1:58">
      <c r="A315" t="s">
        <v>58</v>
      </c>
      <c r="B315" t="s">
        <v>2897</v>
      </c>
      <c r="C315" t="s">
        <v>2898</v>
      </c>
      <c r="D315" t="s">
        <v>389</v>
      </c>
      <c r="E315" t="s">
        <v>63</v>
      </c>
      <c r="F315">
        <v>2016</v>
      </c>
      <c r="G315" t="s">
        <v>338</v>
      </c>
      <c r="H315">
        <v>37</v>
      </c>
      <c r="I315">
        <v>2</v>
      </c>
      <c r="J315">
        <v>356</v>
      </c>
      <c r="K315">
        <v>363</v>
      </c>
      <c r="L315" t="s">
        <v>2899</v>
      </c>
      <c r="M315" t="s">
        <v>2900</v>
      </c>
      <c r="N315" t="s">
        <v>2901</v>
      </c>
      <c r="O315" t="s">
        <v>63</v>
      </c>
      <c r="Q315" t="s">
        <v>63</v>
      </c>
      <c r="R315" t="s">
        <v>63</v>
      </c>
      <c r="S315" t="s">
        <v>63</v>
      </c>
      <c r="T315" t="s">
        <v>63</v>
      </c>
      <c r="X315" t="s">
        <v>63</v>
      </c>
      <c r="Y315" t="s">
        <v>556</v>
      </c>
      <c r="Z315" t="s">
        <v>63</v>
      </c>
      <c r="AA315" t="s">
        <v>2902</v>
      </c>
      <c r="AB315">
        <v>26308425</v>
      </c>
      <c r="AC315" t="s">
        <v>67</v>
      </c>
      <c r="AD315" t="s">
        <v>63</v>
      </c>
      <c r="AE315" t="s">
        <v>63</v>
      </c>
      <c r="AF315" t="s">
        <v>63</v>
      </c>
      <c r="AG315" t="s">
        <v>2903</v>
      </c>
      <c r="AH315" t="s">
        <v>63</v>
      </c>
      <c r="AI315" t="s">
        <v>2904</v>
      </c>
      <c r="AJ315" t="s">
        <v>63</v>
      </c>
      <c r="AK315" t="s">
        <v>63</v>
      </c>
      <c r="AL315" t="s">
        <v>63</v>
      </c>
      <c r="AM315" t="s">
        <v>2905</v>
      </c>
      <c r="AN315" t="s">
        <v>63</v>
      </c>
      <c r="AO315" t="s">
        <v>63</v>
      </c>
      <c r="AP315" t="s">
        <v>63</v>
      </c>
      <c r="AQ315" t="s">
        <v>63</v>
      </c>
      <c r="AR315" t="s">
        <v>63</v>
      </c>
      <c r="AS315" t="s">
        <v>63</v>
      </c>
      <c r="AT315" t="s">
        <v>63</v>
      </c>
      <c r="AU315" t="s">
        <v>63</v>
      </c>
      <c r="AV315" t="s">
        <v>63</v>
      </c>
      <c r="AW315" t="s">
        <v>63</v>
      </c>
      <c r="AX315" t="s">
        <v>63</v>
      </c>
      <c r="AY315" t="s">
        <v>63</v>
      </c>
      <c r="AZ315" t="s">
        <v>63</v>
      </c>
      <c r="BA315" t="s">
        <v>63</v>
      </c>
      <c r="BB315" t="s">
        <v>63</v>
      </c>
      <c r="BC315" t="s">
        <v>63</v>
      </c>
      <c r="BD315" t="s">
        <v>63</v>
      </c>
      <c r="BE315" t="s">
        <v>63</v>
      </c>
      <c r="BF315" t="s">
        <v>63</v>
      </c>
    </row>
    <row r="316" spans="1:58">
      <c r="A316" t="s">
        <v>58</v>
      </c>
      <c r="B316" t="s">
        <v>2906</v>
      </c>
      <c r="C316" t="s">
        <v>2907</v>
      </c>
      <c r="D316" t="s">
        <v>907</v>
      </c>
      <c r="E316" t="s">
        <v>63</v>
      </c>
      <c r="F316">
        <v>1999</v>
      </c>
      <c r="G316" s="1">
        <v>41819</v>
      </c>
      <c r="H316">
        <v>24</v>
      </c>
      <c r="I316">
        <v>2</v>
      </c>
      <c r="J316">
        <v>101</v>
      </c>
      <c r="K316">
        <v>108</v>
      </c>
      <c r="L316" t="s">
        <v>2908</v>
      </c>
      <c r="M316" t="s">
        <v>63</v>
      </c>
      <c r="N316" t="s">
        <v>2909</v>
      </c>
      <c r="O316" t="s">
        <v>63</v>
      </c>
      <c r="Q316" t="s">
        <v>63</v>
      </c>
      <c r="R316" t="s">
        <v>63</v>
      </c>
      <c r="S316" t="s">
        <v>63</v>
      </c>
      <c r="T316" t="s">
        <v>63</v>
      </c>
      <c r="X316" t="s">
        <v>63</v>
      </c>
      <c r="Y316" t="s">
        <v>911</v>
      </c>
      <c r="Z316" t="s">
        <v>63</v>
      </c>
      <c r="AA316" t="s">
        <v>63</v>
      </c>
      <c r="AB316">
        <v>10432755</v>
      </c>
      <c r="AC316" t="s">
        <v>913</v>
      </c>
      <c r="AD316" t="s">
        <v>63</v>
      </c>
      <c r="AE316" t="s">
        <v>63</v>
      </c>
      <c r="AF316" t="s">
        <v>63</v>
      </c>
      <c r="AG316" t="s">
        <v>2910</v>
      </c>
      <c r="AH316" t="s">
        <v>63</v>
      </c>
      <c r="AI316" t="s">
        <v>63</v>
      </c>
      <c r="AJ316" t="s">
        <v>63</v>
      </c>
      <c r="AK316" t="s">
        <v>63</v>
      </c>
      <c r="AL316" t="s">
        <v>63</v>
      </c>
      <c r="AM316" t="s">
        <v>2911</v>
      </c>
      <c r="AN316" t="s">
        <v>63</v>
      </c>
      <c r="AO316" t="s">
        <v>63</v>
      </c>
      <c r="AP316" t="s">
        <v>63</v>
      </c>
      <c r="AQ316" t="s">
        <v>63</v>
      </c>
      <c r="AR316" t="s">
        <v>63</v>
      </c>
      <c r="AS316" t="s">
        <v>63</v>
      </c>
      <c r="AT316" t="s">
        <v>63</v>
      </c>
      <c r="AU316" t="s">
        <v>63</v>
      </c>
      <c r="AV316" t="s">
        <v>63</v>
      </c>
      <c r="AW316" t="s">
        <v>63</v>
      </c>
      <c r="AX316" t="s">
        <v>63</v>
      </c>
      <c r="AY316" t="s">
        <v>63</v>
      </c>
      <c r="AZ316" t="s">
        <v>63</v>
      </c>
      <c r="BA316" t="s">
        <v>63</v>
      </c>
      <c r="BB316" t="s">
        <v>63</v>
      </c>
      <c r="BC316" t="s">
        <v>63</v>
      </c>
      <c r="BD316" t="s">
        <v>63</v>
      </c>
      <c r="BE316" t="s">
        <v>63</v>
      </c>
      <c r="BF316" t="s">
        <v>63</v>
      </c>
    </row>
    <row r="317" spans="1:58">
      <c r="A317" t="s">
        <v>58</v>
      </c>
      <c r="B317" t="s">
        <v>2912</v>
      </c>
      <c r="C317" t="s">
        <v>2913</v>
      </c>
      <c r="D317" t="s">
        <v>2914</v>
      </c>
      <c r="E317" t="s">
        <v>2915</v>
      </c>
      <c r="F317">
        <v>1959</v>
      </c>
      <c r="G317" t="s">
        <v>73</v>
      </c>
      <c r="H317">
        <v>20</v>
      </c>
      <c r="I317">
        <v>2</v>
      </c>
      <c r="J317">
        <v>346</v>
      </c>
      <c r="K317">
        <v>351</v>
      </c>
      <c r="L317" t="s">
        <v>2916</v>
      </c>
      <c r="M317" t="s">
        <v>63</v>
      </c>
      <c r="N317" t="s">
        <v>2917</v>
      </c>
      <c r="O317" t="s">
        <v>63</v>
      </c>
      <c r="Q317" t="s">
        <v>63</v>
      </c>
      <c r="R317" t="s">
        <v>63</v>
      </c>
      <c r="S317" t="s">
        <v>63</v>
      </c>
      <c r="T317" t="s">
        <v>63</v>
      </c>
      <c r="X317" t="s">
        <v>63</v>
      </c>
      <c r="Y317" t="s">
        <v>2918</v>
      </c>
      <c r="Z317" t="s">
        <v>63</v>
      </c>
      <c r="AA317" t="s">
        <v>63</v>
      </c>
      <c r="AB317">
        <v>13668050</v>
      </c>
      <c r="AC317" t="s">
        <v>67</v>
      </c>
      <c r="AD317" t="s">
        <v>63</v>
      </c>
      <c r="AE317" t="s">
        <v>63</v>
      </c>
      <c r="AF317" t="s">
        <v>63</v>
      </c>
      <c r="AG317" t="s">
        <v>2919</v>
      </c>
      <c r="AH317" t="s">
        <v>63</v>
      </c>
      <c r="AI317" t="s">
        <v>63</v>
      </c>
      <c r="AJ317" t="s">
        <v>63</v>
      </c>
      <c r="AK317" t="s">
        <v>63</v>
      </c>
      <c r="AL317" t="s">
        <v>63</v>
      </c>
      <c r="AM317" t="s">
        <v>2920</v>
      </c>
      <c r="AN317" t="s">
        <v>63</v>
      </c>
      <c r="AO317" t="s">
        <v>63</v>
      </c>
      <c r="AP317" t="s">
        <v>63</v>
      </c>
      <c r="AQ317" t="s">
        <v>63</v>
      </c>
      <c r="AR317" t="s">
        <v>63</v>
      </c>
      <c r="AS317" t="s">
        <v>63</v>
      </c>
      <c r="AT317" t="s">
        <v>63</v>
      </c>
      <c r="AU317" t="s">
        <v>63</v>
      </c>
      <c r="AV317" t="s">
        <v>63</v>
      </c>
      <c r="AW317" t="s">
        <v>63</v>
      </c>
      <c r="AX317" t="s">
        <v>63</v>
      </c>
      <c r="AY317" t="s">
        <v>63</v>
      </c>
      <c r="AZ317" t="s">
        <v>63</v>
      </c>
      <c r="BA317" t="s">
        <v>63</v>
      </c>
      <c r="BB317" t="s">
        <v>63</v>
      </c>
      <c r="BC317" t="s">
        <v>63</v>
      </c>
      <c r="BD317" t="s">
        <v>63</v>
      </c>
      <c r="BE317" t="s">
        <v>63</v>
      </c>
      <c r="BF317" t="s">
        <v>63</v>
      </c>
    </row>
    <row r="318" spans="1:58">
      <c r="A318" t="s">
        <v>58</v>
      </c>
      <c r="B318" t="s">
        <v>2921</v>
      </c>
      <c r="C318" t="s">
        <v>2922</v>
      </c>
      <c r="D318" t="s">
        <v>970</v>
      </c>
      <c r="E318" t="s">
        <v>63</v>
      </c>
      <c r="F318">
        <v>2016</v>
      </c>
      <c r="G318" t="s">
        <v>63</v>
      </c>
      <c r="H318">
        <v>11</v>
      </c>
      <c r="I318">
        <v>10</v>
      </c>
      <c r="J318" t="s">
        <v>2923</v>
      </c>
      <c r="K318" t="s">
        <v>63</v>
      </c>
      <c r="L318" t="s">
        <v>2924</v>
      </c>
      <c r="M318" t="s">
        <v>2925</v>
      </c>
      <c r="N318" t="s">
        <v>2926</v>
      </c>
      <c r="O318" t="s">
        <v>63</v>
      </c>
      <c r="Q318" t="s">
        <v>63</v>
      </c>
      <c r="R318" t="s">
        <v>63</v>
      </c>
      <c r="S318" t="s">
        <v>63</v>
      </c>
      <c r="T318" t="s">
        <v>63</v>
      </c>
      <c r="X318" t="s">
        <v>63</v>
      </c>
      <c r="Y318" t="s">
        <v>975</v>
      </c>
      <c r="Z318" t="s">
        <v>63</v>
      </c>
      <c r="AA318" t="s">
        <v>2927</v>
      </c>
      <c r="AB318">
        <v>27749932</v>
      </c>
      <c r="AC318" t="s">
        <v>67</v>
      </c>
      <c r="AD318" t="s">
        <v>63</v>
      </c>
      <c r="AE318" t="s">
        <v>63</v>
      </c>
      <c r="AF318" t="s">
        <v>63</v>
      </c>
      <c r="AG318" t="s">
        <v>2928</v>
      </c>
      <c r="AH318" t="s">
        <v>63</v>
      </c>
      <c r="AI318" t="s">
        <v>2929</v>
      </c>
      <c r="AJ318" t="s">
        <v>63</v>
      </c>
      <c r="AK318" t="s">
        <v>63</v>
      </c>
      <c r="AL318" t="s">
        <v>63</v>
      </c>
      <c r="AM318" t="s">
        <v>2930</v>
      </c>
      <c r="AN318" t="s">
        <v>63</v>
      </c>
      <c r="AO318" t="s">
        <v>63</v>
      </c>
      <c r="AP318" t="s">
        <v>63</v>
      </c>
      <c r="AQ318" t="s">
        <v>63</v>
      </c>
      <c r="AR318" t="s">
        <v>63</v>
      </c>
      <c r="AS318" t="s">
        <v>63</v>
      </c>
      <c r="AT318" t="s">
        <v>63</v>
      </c>
      <c r="AU318" t="s">
        <v>63</v>
      </c>
      <c r="AV318" t="s">
        <v>63</v>
      </c>
      <c r="AW318" t="s">
        <v>63</v>
      </c>
      <c r="AX318" t="s">
        <v>63</v>
      </c>
      <c r="AY318" t="s">
        <v>63</v>
      </c>
      <c r="AZ318" t="s">
        <v>63</v>
      </c>
      <c r="BA318" t="s">
        <v>63</v>
      </c>
      <c r="BB318" t="s">
        <v>63</v>
      </c>
      <c r="BC318" t="s">
        <v>63</v>
      </c>
      <c r="BD318" t="s">
        <v>63</v>
      </c>
      <c r="BE318" t="s">
        <v>63</v>
      </c>
      <c r="BF318" t="s">
        <v>63</v>
      </c>
    </row>
    <row r="319" spans="1:58">
      <c r="A319" t="s">
        <v>58</v>
      </c>
      <c r="B319" t="s">
        <v>2931</v>
      </c>
      <c r="C319" t="s">
        <v>2932</v>
      </c>
      <c r="D319" t="s">
        <v>574</v>
      </c>
      <c r="E319" t="s">
        <v>63</v>
      </c>
      <c r="F319">
        <v>2011</v>
      </c>
      <c r="G319" t="s">
        <v>73</v>
      </c>
      <c r="H319" t="s">
        <v>2933</v>
      </c>
      <c r="I319" t="s">
        <v>63</v>
      </c>
      <c r="J319" t="s">
        <v>2606</v>
      </c>
      <c r="K319">
        <v>6</v>
      </c>
      <c r="L319" t="s">
        <v>2934</v>
      </c>
      <c r="M319" t="s">
        <v>2935</v>
      </c>
      <c r="N319" t="s">
        <v>2936</v>
      </c>
      <c r="O319" t="s">
        <v>63</v>
      </c>
      <c r="Q319" t="s">
        <v>63</v>
      </c>
      <c r="R319" t="s">
        <v>63</v>
      </c>
      <c r="S319" t="s">
        <v>63</v>
      </c>
      <c r="T319" t="s">
        <v>63</v>
      </c>
      <c r="X319" t="s">
        <v>63</v>
      </c>
      <c r="Y319" t="s">
        <v>578</v>
      </c>
      <c r="Z319" t="s">
        <v>63</v>
      </c>
      <c r="AA319" t="s">
        <v>2937</v>
      </c>
      <c r="AB319">
        <v>21668760</v>
      </c>
      <c r="AC319" t="s">
        <v>67</v>
      </c>
      <c r="AD319" t="s">
        <v>63</v>
      </c>
      <c r="AE319" t="s">
        <v>63</v>
      </c>
      <c r="AF319" t="s">
        <v>63</v>
      </c>
      <c r="AG319" t="s">
        <v>2938</v>
      </c>
      <c r="AH319" t="s">
        <v>63</v>
      </c>
      <c r="AI319" t="s">
        <v>2939</v>
      </c>
      <c r="AJ319" t="s">
        <v>63</v>
      </c>
      <c r="AK319" t="s">
        <v>63</v>
      </c>
      <c r="AL319" t="s">
        <v>63</v>
      </c>
      <c r="AM319" t="s">
        <v>2940</v>
      </c>
      <c r="AN319" t="s">
        <v>63</v>
      </c>
      <c r="AO319" t="s">
        <v>63</v>
      </c>
      <c r="AP319" t="s">
        <v>63</v>
      </c>
      <c r="AQ319" t="s">
        <v>63</v>
      </c>
      <c r="AR319" t="s">
        <v>63</v>
      </c>
      <c r="AS319" t="s">
        <v>63</v>
      </c>
      <c r="AT319" t="s">
        <v>63</v>
      </c>
      <c r="AU319" t="s">
        <v>63</v>
      </c>
      <c r="AV319" t="s">
        <v>63</v>
      </c>
      <c r="AW319" t="s">
        <v>63</v>
      </c>
      <c r="AX319" t="s">
        <v>63</v>
      </c>
      <c r="AY319" t="s">
        <v>63</v>
      </c>
      <c r="AZ319" t="s">
        <v>63</v>
      </c>
      <c r="BA319" t="s">
        <v>63</v>
      </c>
      <c r="BB319" t="s">
        <v>63</v>
      </c>
      <c r="BC319" t="s">
        <v>63</v>
      </c>
      <c r="BD319" t="s">
        <v>63</v>
      </c>
      <c r="BE319" t="s">
        <v>63</v>
      </c>
      <c r="BF319" t="s">
        <v>63</v>
      </c>
    </row>
    <row r="320" spans="1:58">
      <c r="A320" t="s">
        <v>58</v>
      </c>
      <c r="B320" t="s">
        <v>2941</v>
      </c>
      <c r="C320" t="s">
        <v>2942</v>
      </c>
      <c r="D320" t="s">
        <v>2343</v>
      </c>
      <c r="E320" t="s">
        <v>2344</v>
      </c>
      <c r="F320">
        <v>1981</v>
      </c>
      <c r="G320" t="s">
        <v>157</v>
      </c>
      <c r="H320">
        <v>13</v>
      </c>
      <c r="I320">
        <v>7</v>
      </c>
      <c r="J320">
        <v>1025</v>
      </c>
      <c r="K320">
        <v>1028</v>
      </c>
      <c r="L320" t="s">
        <v>2943</v>
      </c>
      <c r="M320" t="s">
        <v>2944</v>
      </c>
      <c r="N320" t="s">
        <v>2945</v>
      </c>
      <c r="O320" t="s">
        <v>63</v>
      </c>
      <c r="Q320" t="s">
        <v>63</v>
      </c>
      <c r="R320" t="s">
        <v>63</v>
      </c>
      <c r="S320" t="s">
        <v>63</v>
      </c>
      <c r="T320" t="s">
        <v>63</v>
      </c>
      <c r="X320" t="s">
        <v>63</v>
      </c>
      <c r="Y320" t="s">
        <v>2347</v>
      </c>
      <c r="Z320" t="s">
        <v>63</v>
      </c>
      <c r="AA320" t="s">
        <v>63</v>
      </c>
      <c r="AB320">
        <v>7310352</v>
      </c>
      <c r="AC320" t="s">
        <v>67</v>
      </c>
      <c r="AD320" t="s">
        <v>63</v>
      </c>
      <c r="AE320" t="s">
        <v>63</v>
      </c>
      <c r="AF320" t="s">
        <v>63</v>
      </c>
      <c r="AG320" t="s">
        <v>2946</v>
      </c>
      <c r="AH320" t="s">
        <v>63</v>
      </c>
      <c r="AI320" t="s">
        <v>63</v>
      </c>
      <c r="AJ320" t="s">
        <v>63</v>
      </c>
      <c r="AK320" t="s">
        <v>63</v>
      </c>
      <c r="AL320" t="s">
        <v>63</v>
      </c>
      <c r="AM320" t="s">
        <v>2947</v>
      </c>
      <c r="AN320" t="s">
        <v>63</v>
      </c>
      <c r="AO320" t="s">
        <v>63</v>
      </c>
      <c r="AP320" t="s">
        <v>63</v>
      </c>
      <c r="AQ320" t="s">
        <v>63</v>
      </c>
      <c r="AR320" t="s">
        <v>63</v>
      </c>
      <c r="AS320" t="s">
        <v>63</v>
      </c>
      <c r="AT320" t="s">
        <v>63</v>
      </c>
      <c r="AU320" t="s">
        <v>63</v>
      </c>
      <c r="AV320" t="s">
        <v>63</v>
      </c>
      <c r="AW320" t="s">
        <v>63</v>
      </c>
      <c r="AX320" t="s">
        <v>63</v>
      </c>
      <c r="AY320" t="s">
        <v>63</v>
      </c>
      <c r="AZ320" t="s">
        <v>63</v>
      </c>
      <c r="BA320" t="s">
        <v>63</v>
      </c>
      <c r="BB320" t="s">
        <v>63</v>
      </c>
      <c r="BC320" t="s">
        <v>63</v>
      </c>
      <c r="BD320" t="s">
        <v>63</v>
      </c>
      <c r="BE320" t="s">
        <v>63</v>
      </c>
      <c r="BF320" t="s">
        <v>63</v>
      </c>
    </row>
    <row r="321" spans="1:58">
      <c r="A321" t="s">
        <v>58</v>
      </c>
      <c r="B321" t="s">
        <v>2948</v>
      </c>
      <c r="C321" t="s">
        <v>2949</v>
      </c>
      <c r="D321" t="s">
        <v>2343</v>
      </c>
      <c r="E321" t="s">
        <v>2344</v>
      </c>
      <c r="F321">
        <v>1984</v>
      </c>
      <c r="G321" t="s">
        <v>138</v>
      </c>
      <c r="H321">
        <v>19</v>
      </c>
      <c r="I321">
        <v>4</v>
      </c>
      <c r="J321">
        <v>527</v>
      </c>
      <c r="K321">
        <v>532</v>
      </c>
      <c r="L321" t="s">
        <v>2950</v>
      </c>
      <c r="M321" t="s">
        <v>2951</v>
      </c>
      <c r="N321" t="s">
        <v>2952</v>
      </c>
      <c r="O321" t="s">
        <v>63</v>
      </c>
      <c r="Q321" t="s">
        <v>63</v>
      </c>
      <c r="R321" t="s">
        <v>63</v>
      </c>
      <c r="S321" t="s">
        <v>63</v>
      </c>
      <c r="T321" t="s">
        <v>63</v>
      </c>
      <c r="X321" t="s">
        <v>63</v>
      </c>
      <c r="Y321" t="s">
        <v>2347</v>
      </c>
      <c r="Z321" t="s">
        <v>63</v>
      </c>
      <c r="AA321" t="s">
        <v>63</v>
      </c>
      <c r="AB321">
        <v>6481322</v>
      </c>
      <c r="AC321" t="s">
        <v>67</v>
      </c>
      <c r="AD321" t="s">
        <v>63</v>
      </c>
      <c r="AE321" t="s">
        <v>63</v>
      </c>
      <c r="AF321" t="s">
        <v>63</v>
      </c>
      <c r="AG321" t="s">
        <v>2953</v>
      </c>
      <c r="AH321" t="s">
        <v>63</v>
      </c>
      <c r="AI321" t="s">
        <v>63</v>
      </c>
      <c r="AJ321" t="s">
        <v>63</v>
      </c>
      <c r="AK321" t="s">
        <v>63</v>
      </c>
      <c r="AL321" t="s">
        <v>63</v>
      </c>
      <c r="AM321" t="s">
        <v>2954</v>
      </c>
      <c r="AN321" t="s">
        <v>63</v>
      </c>
      <c r="AO321" t="s">
        <v>63</v>
      </c>
      <c r="AP321" t="s">
        <v>63</v>
      </c>
      <c r="AQ321" t="s">
        <v>63</v>
      </c>
      <c r="AR321" t="s">
        <v>63</v>
      </c>
      <c r="AS321" t="s">
        <v>63</v>
      </c>
      <c r="AT321" t="s">
        <v>63</v>
      </c>
      <c r="AU321" t="s">
        <v>63</v>
      </c>
      <c r="AV321" t="s">
        <v>63</v>
      </c>
      <c r="AW321" t="s">
        <v>63</v>
      </c>
      <c r="AX321" t="s">
        <v>63</v>
      </c>
      <c r="AY321" t="s">
        <v>63</v>
      </c>
      <c r="AZ321" t="s">
        <v>63</v>
      </c>
      <c r="BA321" t="s">
        <v>63</v>
      </c>
      <c r="BB321" t="s">
        <v>63</v>
      </c>
      <c r="BC321" t="s">
        <v>63</v>
      </c>
      <c r="BD321" t="s">
        <v>63</v>
      </c>
      <c r="BE321" t="s">
        <v>63</v>
      </c>
      <c r="BF321" t="s">
        <v>63</v>
      </c>
    </row>
    <row r="322" spans="1:58">
      <c r="A322" t="s">
        <v>58</v>
      </c>
      <c r="B322" t="s">
        <v>2955</v>
      </c>
      <c r="C322" t="s">
        <v>2956</v>
      </c>
      <c r="D322" t="s">
        <v>1744</v>
      </c>
      <c r="E322" t="s">
        <v>1745</v>
      </c>
      <c r="F322">
        <v>1991</v>
      </c>
      <c r="G322" t="s">
        <v>63</v>
      </c>
      <c r="H322">
        <v>21</v>
      </c>
      <c r="I322">
        <v>4</v>
      </c>
      <c r="J322">
        <v>369</v>
      </c>
      <c r="K322">
        <v>378</v>
      </c>
      <c r="L322" t="s">
        <v>2957</v>
      </c>
      <c r="M322" t="s">
        <v>2958</v>
      </c>
      <c r="N322" t="s">
        <v>2959</v>
      </c>
      <c r="O322" t="s">
        <v>63</v>
      </c>
      <c r="Q322" t="s">
        <v>63</v>
      </c>
      <c r="R322" t="s">
        <v>63</v>
      </c>
      <c r="S322" t="s">
        <v>63</v>
      </c>
      <c r="T322" t="s">
        <v>63</v>
      </c>
      <c r="X322" t="s">
        <v>63</v>
      </c>
      <c r="Y322" t="s">
        <v>1749</v>
      </c>
      <c r="Z322" t="s">
        <v>63</v>
      </c>
      <c r="AA322" t="s">
        <v>2960</v>
      </c>
      <c r="AB322">
        <v>1774127</v>
      </c>
      <c r="AC322" t="s">
        <v>67</v>
      </c>
      <c r="AD322" t="s">
        <v>63</v>
      </c>
      <c r="AE322" t="s">
        <v>63</v>
      </c>
      <c r="AF322" t="s">
        <v>63</v>
      </c>
      <c r="AG322" t="s">
        <v>2961</v>
      </c>
      <c r="AH322" t="s">
        <v>63</v>
      </c>
      <c r="AI322" t="s">
        <v>63</v>
      </c>
      <c r="AJ322" t="s">
        <v>63</v>
      </c>
      <c r="AK322" t="s">
        <v>63</v>
      </c>
      <c r="AL322" t="s">
        <v>63</v>
      </c>
      <c r="AM322" t="s">
        <v>2962</v>
      </c>
      <c r="AN322" t="s">
        <v>63</v>
      </c>
      <c r="AO322" t="s">
        <v>63</v>
      </c>
      <c r="AP322" t="s">
        <v>63</v>
      </c>
      <c r="AQ322" t="s">
        <v>63</v>
      </c>
      <c r="AR322" t="s">
        <v>63</v>
      </c>
      <c r="AS322" t="s">
        <v>63</v>
      </c>
      <c r="AT322" t="s">
        <v>63</v>
      </c>
      <c r="AU322" t="s">
        <v>63</v>
      </c>
      <c r="AV322" t="s">
        <v>63</v>
      </c>
      <c r="AW322" t="s">
        <v>63</v>
      </c>
      <c r="AX322" t="s">
        <v>63</v>
      </c>
      <c r="AY322" t="s">
        <v>63</v>
      </c>
      <c r="AZ322" t="s">
        <v>63</v>
      </c>
      <c r="BA322" t="s">
        <v>63</v>
      </c>
      <c r="BB322" t="s">
        <v>63</v>
      </c>
      <c r="BC322" t="s">
        <v>63</v>
      </c>
      <c r="BD322" t="s">
        <v>63</v>
      </c>
      <c r="BE322" t="s">
        <v>63</v>
      </c>
      <c r="BF322" t="s">
        <v>63</v>
      </c>
    </row>
    <row r="323" spans="1:58">
      <c r="A323" t="s">
        <v>58</v>
      </c>
      <c r="B323" t="s">
        <v>2963</v>
      </c>
      <c r="C323" t="s">
        <v>2964</v>
      </c>
      <c r="D323" t="s">
        <v>2731</v>
      </c>
      <c r="E323" t="s">
        <v>63</v>
      </c>
      <c r="F323">
        <v>2012</v>
      </c>
      <c r="G323" t="s">
        <v>1114</v>
      </c>
      <c r="H323">
        <v>8</v>
      </c>
      <c r="I323">
        <v>3</v>
      </c>
      <c r="J323">
        <v>153</v>
      </c>
      <c r="K323">
        <v>160</v>
      </c>
      <c r="L323" t="s">
        <v>2965</v>
      </c>
      <c r="M323" t="s">
        <v>2966</v>
      </c>
      <c r="N323" t="s">
        <v>2967</v>
      </c>
      <c r="O323" t="s">
        <v>63</v>
      </c>
      <c r="Q323" t="s">
        <v>63</v>
      </c>
      <c r="R323" t="s">
        <v>63</v>
      </c>
      <c r="S323" t="s">
        <v>63</v>
      </c>
      <c r="T323" t="s">
        <v>63</v>
      </c>
      <c r="X323" t="s">
        <v>63</v>
      </c>
      <c r="Y323" t="s">
        <v>2735</v>
      </c>
      <c r="Z323" t="s">
        <v>63</v>
      </c>
      <c r="AA323" t="s">
        <v>2968</v>
      </c>
      <c r="AB323">
        <v>22798175</v>
      </c>
      <c r="AC323" t="s">
        <v>67</v>
      </c>
      <c r="AD323" t="s">
        <v>63</v>
      </c>
      <c r="AE323" t="s">
        <v>63</v>
      </c>
      <c r="AF323" t="s">
        <v>63</v>
      </c>
      <c r="AG323" t="s">
        <v>2969</v>
      </c>
      <c r="AH323" t="s">
        <v>63</v>
      </c>
      <c r="AI323" t="s">
        <v>2970</v>
      </c>
      <c r="AJ323" t="s">
        <v>63</v>
      </c>
      <c r="AK323" t="s">
        <v>63</v>
      </c>
      <c r="AL323" t="s">
        <v>63</v>
      </c>
      <c r="AM323" t="s">
        <v>2971</v>
      </c>
      <c r="AN323" t="s">
        <v>63</v>
      </c>
      <c r="AO323" t="s">
        <v>63</v>
      </c>
      <c r="AP323" t="s">
        <v>63</v>
      </c>
      <c r="AQ323" t="s">
        <v>63</v>
      </c>
      <c r="AR323" t="s">
        <v>63</v>
      </c>
      <c r="AS323" t="s">
        <v>63</v>
      </c>
      <c r="AT323" t="s">
        <v>63</v>
      </c>
      <c r="AU323" t="s">
        <v>63</v>
      </c>
      <c r="AV323" t="s">
        <v>63</v>
      </c>
      <c r="AW323" t="s">
        <v>63</v>
      </c>
      <c r="AX323" t="s">
        <v>63</v>
      </c>
      <c r="AY323" t="s">
        <v>63</v>
      </c>
      <c r="AZ323" t="s">
        <v>63</v>
      </c>
      <c r="BA323" t="s">
        <v>63</v>
      </c>
      <c r="BB323" t="s">
        <v>63</v>
      </c>
      <c r="BC323" t="s">
        <v>63</v>
      </c>
      <c r="BD323" t="s">
        <v>63</v>
      </c>
      <c r="BE323" t="s">
        <v>63</v>
      </c>
      <c r="BF323" t="s">
        <v>63</v>
      </c>
    </row>
    <row r="324" spans="1:58">
      <c r="A324" t="s">
        <v>58</v>
      </c>
      <c r="B324" t="s">
        <v>2972</v>
      </c>
      <c r="C324" t="s">
        <v>2973</v>
      </c>
      <c r="D324" t="s">
        <v>389</v>
      </c>
      <c r="E324" t="s">
        <v>63</v>
      </c>
      <c r="F324">
        <v>2012</v>
      </c>
      <c r="G324" t="s">
        <v>63</v>
      </c>
      <c r="H324">
        <v>33</v>
      </c>
      <c r="I324">
        <v>3</v>
      </c>
      <c r="J324">
        <v>278</v>
      </c>
      <c r="K324">
        <v>281</v>
      </c>
      <c r="L324" t="s">
        <v>2974</v>
      </c>
      <c r="M324" t="s">
        <v>2975</v>
      </c>
      <c r="N324" t="s">
        <v>2976</v>
      </c>
      <c r="O324" t="s">
        <v>63</v>
      </c>
      <c r="Q324" t="s">
        <v>63</v>
      </c>
      <c r="R324" t="s">
        <v>63</v>
      </c>
      <c r="S324" t="s">
        <v>63</v>
      </c>
      <c r="T324" t="s">
        <v>63</v>
      </c>
      <c r="X324" t="s">
        <v>63</v>
      </c>
      <c r="Y324" t="s">
        <v>556</v>
      </c>
      <c r="Z324" t="s">
        <v>63</v>
      </c>
      <c r="AA324" t="s">
        <v>2977</v>
      </c>
      <c r="AB324">
        <v>22738005</v>
      </c>
      <c r="AC324" t="s">
        <v>67</v>
      </c>
      <c r="AD324" t="s">
        <v>63</v>
      </c>
      <c r="AE324" t="s">
        <v>63</v>
      </c>
      <c r="AF324" t="s">
        <v>63</v>
      </c>
      <c r="AG324" t="s">
        <v>2978</v>
      </c>
      <c r="AH324" t="s">
        <v>63</v>
      </c>
      <c r="AI324" t="s">
        <v>2979</v>
      </c>
      <c r="AJ324" t="s">
        <v>63</v>
      </c>
      <c r="AK324" t="s">
        <v>63</v>
      </c>
      <c r="AL324" t="s">
        <v>63</v>
      </c>
      <c r="AM324" t="s">
        <v>2980</v>
      </c>
      <c r="AN324" t="s">
        <v>63</v>
      </c>
      <c r="AO324" t="s">
        <v>63</v>
      </c>
      <c r="AP324" t="s">
        <v>63</v>
      </c>
      <c r="AQ324" t="s">
        <v>63</v>
      </c>
      <c r="AR324" t="s">
        <v>63</v>
      </c>
      <c r="AS324" t="s">
        <v>63</v>
      </c>
      <c r="AT324" t="s">
        <v>63</v>
      </c>
      <c r="AU324" t="s">
        <v>63</v>
      </c>
      <c r="AV324" t="s">
        <v>63</v>
      </c>
      <c r="AW324" t="s">
        <v>63</v>
      </c>
      <c r="AX324" t="s">
        <v>63</v>
      </c>
      <c r="AY324" t="s">
        <v>63</v>
      </c>
      <c r="AZ324" t="s">
        <v>63</v>
      </c>
      <c r="BA324" t="s">
        <v>63</v>
      </c>
      <c r="BB324" t="s">
        <v>63</v>
      </c>
      <c r="BC324" t="s">
        <v>63</v>
      </c>
      <c r="BD324" t="s">
        <v>63</v>
      </c>
      <c r="BE324" t="s">
        <v>63</v>
      </c>
      <c r="BF324" t="s">
        <v>63</v>
      </c>
    </row>
    <row r="325" spans="1:58">
      <c r="A325" t="s">
        <v>58</v>
      </c>
      <c r="B325" t="s">
        <v>2981</v>
      </c>
      <c r="C325" t="s">
        <v>2982</v>
      </c>
      <c r="D325" t="s">
        <v>2576</v>
      </c>
      <c r="E325" t="s">
        <v>2577</v>
      </c>
      <c r="F325">
        <v>1971</v>
      </c>
      <c r="G325" s="1">
        <v>41726</v>
      </c>
      <c r="H325">
        <v>178</v>
      </c>
      <c r="I325" t="s">
        <v>63</v>
      </c>
      <c r="J325">
        <v>32</v>
      </c>
      <c r="K325">
        <v>34</v>
      </c>
      <c r="L325" t="s">
        <v>2983</v>
      </c>
      <c r="M325" t="s">
        <v>63</v>
      </c>
      <c r="N325" t="s">
        <v>2984</v>
      </c>
      <c r="O325" t="s">
        <v>63</v>
      </c>
      <c r="Q325" t="s">
        <v>63</v>
      </c>
      <c r="R325" t="s">
        <v>63</v>
      </c>
      <c r="S325" t="s">
        <v>63</v>
      </c>
      <c r="T325" t="s">
        <v>63</v>
      </c>
      <c r="X325" t="s">
        <v>63</v>
      </c>
      <c r="Y325" t="s">
        <v>2580</v>
      </c>
      <c r="Z325" t="s">
        <v>63</v>
      </c>
      <c r="AA325" t="s">
        <v>63</v>
      </c>
      <c r="AB325">
        <v>5282650</v>
      </c>
      <c r="AC325" t="s">
        <v>67</v>
      </c>
      <c r="AD325" t="s">
        <v>63</v>
      </c>
      <c r="AE325" t="s">
        <v>63</v>
      </c>
      <c r="AF325" t="s">
        <v>63</v>
      </c>
      <c r="AG325" t="s">
        <v>2985</v>
      </c>
      <c r="AH325" t="s">
        <v>63</v>
      </c>
      <c r="AI325" t="s">
        <v>63</v>
      </c>
      <c r="AJ325" t="s">
        <v>63</v>
      </c>
      <c r="AK325" t="s">
        <v>63</v>
      </c>
      <c r="AL325" t="s">
        <v>63</v>
      </c>
      <c r="AM325" t="s">
        <v>2986</v>
      </c>
      <c r="AN325" t="s">
        <v>63</v>
      </c>
      <c r="AO325" t="s">
        <v>63</v>
      </c>
      <c r="AP325" t="s">
        <v>63</v>
      </c>
      <c r="AQ325" t="s">
        <v>63</v>
      </c>
      <c r="AR325" t="s">
        <v>63</v>
      </c>
      <c r="AS325" t="s">
        <v>63</v>
      </c>
      <c r="AT325" t="s">
        <v>63</v>
      </c>
      <c r="AU325" t="s">
        <v>63</v>
      </c>
      <c r="AV325" t="s">
        <v>63</v>
      </c>
      <c r="AW325" t="s">
        <v>63</v>
      </c>
      <c r="AX325" t="s">
        <v>63</v>
      </c>
      <c r="AY325" t="s">
        <v>63</v>
      </c>
      <c r="AZ325" t="s">
        <v>63</v>
      </c>
      <c r="BA325" t="s">
        <v>63</v>
      </c>
      <c r="BB325" t="s">
        <v>63</v>
      </c>
      <c r="BC325" t="s">
        <v>63</v>
      </c>
      <c r="BD325" t="s">
        <v>63</v>
      </c>
      <c r="BE325" t="s">
        <v>63</v>
      </c>
      <c r="BF325" t="s">
        <v>63</v>
      </c>
    </row>
    <row r="326" spans="1:58">
      <c r="A326" t="s">
        <v>58</v>
      </c>
      <c r="B326" t="s">
        <v>2987</v>
      </c>
      <c r="C326" t="s">
        <v>2988</v>
      </c>
      <c r="D326" t="s">
        <v>1417</v>
      </c>
      <c r="E326" t="s">
        <v>63</v>
      </c>
      <c r="F326">
        <v>2005</v>
      </c>
      <c r="G326" t="s">
        <v>219</v>
      </c>
      <c r="H326">
        <v>101</v>
      </c>
      <c r="I326">
        <v>5</v>
      </c>
      <c r="J326">
        <v>1457</v>
      </c>
      <c r="K326">
        <v>1462</v>
      </c>
      <c r="L326" t="s">
        <v>2989</v>
      </c>
      <c r="M326" t="s">
        <v>2990</v>
      </c>
      <c r="N326" t="s">
        <v>2991</v>
      </c>
      <c r="O326" t="s">
        <v>63</v>
      </c>
      <c r="Q326" t="s">
        <v>63</v>
      </c>
      <c r="R326" t="s">
        <v>63</v>
      </c>
      <c r="S326" t="s">
        <v>63</v>
      </c>
      <c r="T326" t="s">
        <v>63</v>
      </c>
      <c r="X326" t="s">
        <v>63</v>
      </c>
      <c r="Y326" s="2">
        <v>400001</v>
      </c>
      <c r="Z326" t="s">
        <v>63</v>
      </c>
      <c r="AA326" t="s">
        <v>2992</v>
      </c>
      <c r="AB326">
        <v>16244010</v>
      </c>
      <c r="AC326" t="s">
        <v>67</v>
      </c>
      <c r="AD326" t="s">
        <v>63</v>
      </c>
      <c r="AE326" t="s">
        <v>63</v>
      </c>
      <c r="AF326" t="s">
        <v>63</v>
      </c>
      <c r="AG326" t="s">
        <v>2993</v>
      </c>
      <c r="AH326" t="s">
        <v>63</v>
      </c>
      <c r="AI326" t="s">
        <v>63</v>
      </c>
      <c r="AJ326" t="s">
        <v>63</v>
      </c>
      <c r="AK326" t="s">
        <v>63</v>
      </c>
      <c r="AL326" t="s">
        <v>63</v>
      </c>
      <c r="AM326" t="s">
        <v>2994</v>
      </c>
      <c r="AN326" t="s">
        <v>63</v>
      </c>
      <c r="AO326" t="s">
        <v>63</v>
      </c>
      <c r="AP326" t="s">
        <v>63</v>
      </c>
      <c r="AQ326" t="s">
        <v>63</v>
      </c>
      <c r="AR326" t="s">
        <v>63</v>
      </c>
      <c r="AS326" t="s">
        <v>63</v>
      </c>
      <c r="AT326" t="s">
        <v>63</v>
      </c>
      <c r="AU326" t="s">
        <v>63</v>
      </c>
      <c r="AV326" t="s">
        <v>63</v>
      </c>
      <c r="AW326" t="s">
        <v>63</v>
      </c>
      <c r="AX326" t="s">
        <v>63</v>
      </c>
      <c r="AY326" t="s">
        <v>63</v>
      </c>
      <c r="AZ326" t="s">
        <v>63</v>
      </c>
      <c r="BA326" t="s">
        <v>63</v>
      </c>
      <c r="BB326" t="s">
        <v>63</v>
      </c>
      <c r="BC326" t="s">
        <v>63</v>
      </c>
      <c r="BD326" t="s">
        <v>63</v>
      </c>
      <c r="BE326" t="s">
        <v>63</v>
      </c>
      <c r="BF326" t="s">
        <v>63</v>
      </c>
    </row>
    <row r="327" spans="1:58">
      <c r="A327" t="s">
        <v>58</v>
      </c>
      <c r="B327" t="s">
        <v>2995</v>
      </c>
      <c r="C327" t="s">
        <v>2996</v>
      </c>
      <c r="D327" t="s">
        <v>2997</v>
      </c>
      <c r="E327" t="s">
        <v>63</v>
      </c>
      <c r="F327">
        <v>2005</v>
      </c>
      <c r="G327" s="1">
        <v>41771</v>
      </c>
      <c r="H327">
        <v>5</v>
      </c>
      <c r="I327" t="s">
        <v>63</v>
      </c>
      <c r="J327">
        <v>410</v>
      </c>
      <c r="K327">
        <v>419</v>
      </c>
      <c r="L327" t="s">
        <v>2998</v>
      </c>
      <c r="M327" t="s">
        <v>2999</v>
      </c>
      <c r="N327" t="s">
        <v>3000</v>
      </c>
      <c r="O327" t="s">
        <v>63</v>
      </c>
      <c r="Q327" t="s">
        <v>63</v>
      </c>
      <c r="R327" t="s">
        <v>63</v>
      </c>
      <c r="S327" t="s">
        <v>63</v>
      </c>
      <c r="T327" t="s">
        <v>63</v>
      </c>
      <c r="X327" t="s">
        <v>63</v>
      </c>
      <c r="Y327" t="s">
        <v>3001</v>
      </c>
      <c r="Z327" t="s">
        <v>63</v>
      </c>
      <c r="AA327" t="s">
        <v>3002</v>
      </c>
      <c r="AB327">
        <v>15915295</v>
      </c>
      <c r="AC327" t="s">
        <v>67</v>
      </c>
      <c r="AD327" t="s">
        <v>63</v>
      </c>
      <c r="AE327" t="s">
        <v>63</v>
      </c>
      <c r="AF327" t="s">
        <v>63</v>
      </c>
      <c r="AG327" t="s">
        <v>3003</v>
      </c>
      <c r="AH327" t="s">
        <v>63</v>
      </c>
      <c r="AI327" t="s">
        <v>63</v>
      </c>
      <c r="AJ327" t="s">
        <v>63</v>
      </c>
      <c r="AK327" t="s">
        <v>63</v>
      </c>
      <c r="AL327" t="s">
        <v>63</v>
      </c>
      <c r="AM327" t="s">
        <v>3004</v>
      </c>
      <c r="AN327" t="s">
        <v>63</v>
      </c>
      <c r="AO327" t="s">
        <v>63</v>
      </c>
      <c r="AP327" t="s">
        <v>63</v>
      </c>
      <c r="AQ327" t="s">
        <v>63</v>
      </c>
      <c r="AR327" t="s">
        <v>63</v>
      </c>
      <c r="AS327" t="s">
        <v>63</v>
      </c>
      <c r="AT327" t="s">
        <v>63</v>
      </c>
      <c r="AU327" t="s">
        <v>63</v>
      </c>
      <c r="AV327" t="s">
        <v>63</v>
      </c>
      <c r="AW327" t="s">
        <v>63</v>
      </c>
      <c r="AX327" t="s">
        <v>63</v>
      </c>
      <c r="AY327" t="s">
        <v>63</v>
      </c>
      <c r="AZ327" t="s">
        <v>63</v>
      </c>
      <c r="BA327" t="s">
        <v>63</v>
      </c>
      <c r="BB327" t="s">
        <v>63</v>
      </c>
      <c r="BC327" t="s">
        <v>63</v>
      </c>
      <c r="BD327" t="s">
        <v>63</v>
      </c>
      <c r="BE327" t="s">
        <v>63</v>
      </c>
      <c r="BF327" t="s">
        <v>63</v>
      </c>
    </row>
    <row r="328" spans="1:58">
      <c r="A328" t="s">
        <v>58</v>
      </c>
      <c r="B328" t="s">
        <v>3005</v>
      </c>
      <c r="C328" t="s">
        <v>3006</v>
      </c>
      <c r="D328" t="s">
        <v>3007</v>
      </c>
      <c r="E328" t="s">
        <v>3008</v>
      </c>
      <c r="F328">
        <v>2008</v>
      </c>
      <c r="G328" t="s">
        <v>274</v>
      </c>
      <c r="H328">
        <v>31</v>
      </c>
      <c r="I328">
        <v>1</v>
      </c>
      <c r="J328">
        <v>73</v>
      </c>
      <c r="K328">
        <v>84</v>
      </c>
      <c r="L328" t="s">
        <v>3009</v>
      </c>
      <c r="M328" t="s">
        <v>3010</v>
      </c>
      <c r="N328" t="s">
        <v>3011</v>
      </c>
      <c r="O328" t="s">
        <v>63</v>
      </c>
      <c r="Q328" t="s">
        <v>63</v>
      </c>
      <c r="R328" t="s">
        <v>63</v>
      </c>
      <c r="S328" t="s">
        <v>63</v>
      </c>
      <c r="T328" t="s">
        <v>63</v>
      </c>
      <c r="X328" t="s">
        <v>63</v>
      </c>
      <c r="Y328" t="s">
        <v>3012</v>
      </c>
      <c r="Z328" t="s">
        <v>63</v>
      </c>
      <c r="AA328" t="s">
        <v>3013</v>
      </c>
      <c r="AB328">
        <v>18295039</v>
      </c>
      <c r="AC328" t="s">
        <v>67</v>
      </c>
      <c r="AD328" t="s">
        <v>63</v>
      </c>
      <c r="AE328" t="s">
        <v>63</v>
      </c>
      <c r="AF328" t="s">
        <v>63</v>
      </c>
      <c r="AG328" t="s">
        <v>3014</v>
      </c>
      <c r="AH328" t="s">
        <v>63</v>
      </c>
      <c r="AI328" t="s">
        <v>3015</v>
      </c>
      <c r="AJ328" t="s">
        <v>63</v>
      </c>
      <c r="AK328" t="s">
        <v>63</v>
      </c>
      <c r="AL328" t="s">
        <v>63</v>
      </c>
      <c r="AM328" t="s">
        <v>3016</v>
      </c>
      <c r="AN328" t="s">
        <v>63</v>
      </c>
      <c r="AO328" t="s">
        <v>63</v>
      </c>
      <c r="AP328" t="s">
        <v>63</v>
      </c>
      <c r="AQ328" t="s">
        <v>63</v>
      </c>
      <c r="AR328" t="s">
        <v>63</v>
      </c>
      <c r="AS328" t="s">
        <v>63</v>
      </c>
      <c r="AT328" t="s">
        <v>63</v>
      </c>
      <c r="AU328" t="s">
        <v>63</v>
      </c>
      <c r="AV328" t="s">
        <v>63</v>
      </c>
      <c r="AW328" t="s">
        <v>63</v>
      </c>
      <c r="AX328" t="s">
        <v>63</v>
      </c>
      <c r="AY328" t="s">
        <v>63</v>
      </c>
      <c r="AZ328" t="s">
        <v>63</v>
      </c>
      <c r="BA328" t="s">
        <v>63</v>
      </c>
      <c r="BB328" t="s">
        <v>63</v>
      </c>
      <c r="BC328" t="s">
        <v>63</v>
      </c>
      <c r="BD328" t="s">
        <v>63</v>
      </c>
      <c r="BE328" t="s">
        <v>63</v>
      </c>
      <c r="BF328" t="s">
        <v>63</v>
      </c>
    </row>
    <row r="329" spans="1:58">
      <c r="A329" t="s">
        <v>58</v>
      </c>
      <c r="B329" t="s">
        <v>3017</v>
      </c>
      <c r="C329" t="s">
        <v>3018</v>
      </c>
      <c r="D329" t="s">
        <v>2777</v>
      </c>
      <c r="E329" t="s">
        <v>63</v>
      </c>
      <c r="F329">
        <v>1998</v>
      </c>
      <c r="G329" t="s">
        <v>157</v>
      </c>
      <c r="H329">
        <v>16</v>
      </c>
      <c r="I329">
        <v>6</v>
      </c>
      <c r="J329">
        <v>355</v>
      </c>
      <c r="K329">
        <v>363</v>
      </c>
      <c r="L329" t="s">
        <v>3019</v>
      </c>
      <c r="M329" t="s">
        <v>3020</v>
      </c>
      <c r="N329" t="s">
        <v>3021</v>
      </c>
      <c r="O329" t="s">
        <v>63</v>
      </c>
      <c r="Q329" t="s">
        <v>63</v>
      </c>
      <c r="R329" t="s">
        <v>63</v>
      </c>
      <c r="S329" t="s">
        <v>63</v>
      </c>
      <c r="T329" t="s">
        <v>63</v>
      </c>
      <c r="X329" t="s">
        <v>63</v>
      </c>
      <c r="Y329" t="s">
        <v>3022</v>
      </c>
      <c r="Z329" t="s">
        <v>63</v>
      </c>
      <c r="AA329" t="s">
        <v>3023</v>
      </c>
      <c r="AB329">
        <v>9879160</v>
      </c>
      <c r="AC329" t="s">
        <v>67</v>
      </c>
      <c r="AD329" t="s">
        <v>63</v>
      </c>
      <c r="AE329" t="s">
        <v>63</v>
      </c>
      <c r="AF329" t="s">
        <v>63</v>
      </c>
      <c r="AG329" t="s">
        <v>3024</v>
      </c>
      <c r="AH329" t="s">
        <v>63</v>
      </c>
      <c r="AI329" t="s">
        <v>63</v>
      </c>
      <c r="AJ329" t="s">
        <v>63</v>
      </c>
      <c r="AK329" t="s">
        <v>63</v>
      </c>
      <c r="AL329" t="s">
        <v>63</v>
      </c>
      <c r="AM329" t="s">
        <v>3025</v>
      </c>
      <c r="AN329" t="s">
        <v>63</v>
      </c>
      <c r="AO329" t="s">
        <v>63</v>
      </c>
      <c r="AP329" t="s">
        <v>63</v>
      </c>
      <c r="AQ329" t="s">
        <v>63</v>
      </c>
      <c r="AR329" t="s">
        <v>63</v>
      </c>
      <c r="AS329" t="s">
        <v>63</v>
      </c>
      <c r="AT329" t="s">
        <v>63</v>
      </c>
      <c r="AU329" t="s">
        <v>63</v>
      </c>
      <c r="AV329" t="s">
        <v>63</v>
      </c>
      <c r="AW329" t="s">
        <v>63</v>
      </c>
      <c r="AX329" t="s">
        <v>63</v>
      </c>
      <c r="AY329" t="s">
        <v>63</v>
      </c>
      <c r="AZ329" t="s">
        <v>63</v>
      </c>
      <c r="BA329" t="s">
        <v>63</v>
      </c>
      <c r="BB329" t="s">
        <v>63</v>
      </c>
      <c r="BC329" t="s">
        <v>63</v>
      </c>
      <c r="BD329" t="s">
        <v>63</v>
      </c>
      <c r="BE329" t="s">
        <v>63</v>
      </c>
      <c r="BF329" t="s">
        <v>63</v>
      </c>
    </row>
    <row r="330" spans="1:58">
      <c r="A330" t="s">
        <v>58</v>
      </c>
      <c r="B330" t="s">
        <v>3026</v>
      </c>
      <c r="C330" t="s">
        <v>3027</v>
      </c>
      <c r="D330" t="s">
        <v>1184</v>
      </c>
      <c r="E330" t="s">
        <v>1185</v>
      </c>
      <c r="F330">
        <v>1988</v>
      </c>
      <c r="G330" t="s">
        <v>138</v>
      </c>
      <c r="H330">
        <v>63</v>
      </c>
      <c r="I330">
        <v>10</v>
      </c>
      <c r="J330">
        <v>747</v>
      </c>
      <c r="K330">
        <v>758</v>
      </c>
      <c r="L330" t="s">
        <v>3028</v>
      </c>
      <c r="M330" t="s">
        <v>3029</v>
      </c>
      <c r="N330" t="s">
        <v>3030</v>
      </c>
      <c r="O330" t="s">
        <v>63</v>
      </c>
      <c r="Q330" t="s">
        <v>63</v>
      </c>
      <c r="R330" t="s">
        <v>63</v>
      </c>
      <c r="S330" t="s">
        <v>63</v>
      </c>
      <c r="T330" t="s">
        <v>63</v>
      </c>
      <c r="X330" t="s">
        <v>63</v>
      </c>
      <c r="Y330" t="s">
        <v>1188</v>
      </c>
      <c r="Z330" t="s">
        <v>63</v>
      </c>
      <c r="AA330" t="s">
        <v>3031</v>
      </c>
      <c r="AB330">
        <v>3172154</v>
      </c>
      <c r="AC330" t="s">
        <v>67</v>
      </c>
      <c r="AD330" t="s">
        <v>63</v>
      </c>
      <c r="AE330" t="s">
        <v>63</v>
      </c>
      <c r="AF330" t="s">
        <v>63</v>
      </c>
      <c r="AG330" t="s">
        <v>3032</v>
      </c>
      <c r="AH330" t="s">
        <v>63</v>
      </c>
      <c r="AI330" t="s">
        <v>63</v>
      </c>
      <c r="AJ330" t="s">
        <v>63</v>
      </c>
      <c r="AK330" t="s">
        <v>63</v>
      </c>
      <c r="AL330" t="s">
        <v>63</v>
      </c>
      <c r="AM330" t="s">
        <v>3033</v>
      </c>
      <c r="AN330" t="s">
        <v>63</v>
      </c>
      <c r="AO330" t="s">
        <v>63</v>
      </c>
      <c r="AP330" t="s">
        <v>63</v>
      </c>
      <c r="AQ330" t="s">
        <v>63</v>
      </c>
      <c r="AR330" t="s">
        <v>63</v>
      </c>
      <c r="AS330" t="s">
        <v>63</v>
      </c>
      <c r="AT330" t="s">
        <v>63</v>
      </c>
      <c r="AU330" t="s">
        <v>63</v>
      </c>
      <c r="AV330" t="s">
        <v>63</v>
      </c>
      <c r="AW330" t="s">
        <v>63</v>
      </c>
      <c r="AX330" t="s">
        <v>63</v>
      </c>
      <c r="AY330" t="s">
        <v>63</v>
      </c>
      <c r="AZ330" t="s">
        <v>63</v>
      </c>
      <c r="BA330" t="s">
        <v>63</v>
      </c>
      <c r="BB330" t="s">
        <v>63</v>
      </c>
      <c r="BC330" t="s">
        <v>63</v>
      </c>
      <c r="BD330" t="s">
        <v>63</v>
      </c>
      <c r="BE330" t="s">
        <v>63</v>
      </c>
      <c r="BF330" t="s">
        <v>63</v>
      </c>
    </row>
    <row r="331" spans="1:58">
      <c r="A331" t="s">
        <v>58</v>
      </c>
      <c r="B331" t="s">
        <v>3034</v>
      </c>
      <c r="C331" t="s">
        <v>3035</v>
      </c>
      <c r="D331" t="s">
        <v>237</v>
      </c>
      <c r="E331" t="s">
        <v>63</v>
      </c>
      <c r="F331">
        <v>1988</v>
      </c>
      <c r="G331" t="s">
        <v>63</v>
      </c>
      <c r="H331">
        <v>27</v>
      </c>
      <c r="I331" t="s">
        <v>63</v>
      </c>
      <c r="J331">
        <v>256</v>
      </c>
      <c r="K331">
        <v>261</v>
      </c>
      <c r="L331" t="s">
        <v>3036</v>
      </c>
      <c r="M331" t="s">
        <v>3037</v>
      </c>
      <c r="N331" t="s">
        <v>3038</v>
      </c>
      <c r="O331" t="s">
        <v>63</v>
      </c>
      <c r="Q331" t="s">
        <v>63</v>
      </c>
      <c r="R331" t="s">
        <v>63</v>
      </c>
      <c r="S331" t="s">
        <v>63</v>
      </c>
      <c r="T331" t="s">
        <v>63</v>
      </c>
      <c r="X331" t="s">
        <v>63</v>
      </c>
      <c r="Y331" t="s">
        <v>63</v>
      </c>
      <c r="Z331" t="s">
        <v>63</v>
      </c>
      <c r="AA331" t="s">
        <v>3039</v>
      </c>
      <c r="AB331">
        <v>3265295</v>
      </c>
      <c r="AC331" t="s">
        <v>67</v>
      </c>
      <c r="AD331" t="s">
        <v>63</v>
      </c>
      <c r="AE331" t="s">
        <v>63</v>
      </c>
      <c r="AF331" t="s">
        <v>63</v>
      </c>
      <c r="AG331" t="s">
        <v>3040</v>
      </c>
      <c r="AH331" t="s">
        <v>63</v>
      </c>
      <c r="AI331" t="s">
        <v>63</v>
      </c>
      <c r="AJ331" t="s">
        <v>63</v>
      </c>
      <c r="AK331" t="s">
        <v>63</v>
      </c>
      <c r="AL331" t="s">
        <v>63</v>
      </c>
      <c r="AM331" t="s">
        <v>3041</v>
      </c>
      <c r="AN331" t="s">
        <v>63</v>
      </c>
      <c r="AO331" t="s">
        <v>63</v>
      </c>
      <c r="AP331" t="s">
        <v>63</v>
      </c>
      <c r="AQ331" t="s">
        <v>63</v>
      </c>
      <c r="AR331" t="s">
        <v>63</v>
      </c>
      <c r="AS331" t="s">
        <v>63</v>
      </c>
      <c r="AT331" t="s">
        <v>63</v>
      </c>
      <c r="AU331" t="s">
        <v>63</v>
      </c>
      <c r="AV331" t="s">
        <v>63</v>
      </c>
      <c r="AW331" t="s">
        <v>63</v>
      </c>
      <c r="AX331" t="s">
        <v>63</v>
      </c>
      <c r="AY331" t="s">
        <v>63</v>
      </c>
      <c r="AZ331" t="s">
        <v>63</v>
      </c>
      <c r="BA331" t="s">
        <v>63</v>
      </c>
      <c r="BB331" t="s">
        <v>63</v>
      </c>
      <c r="BC331" t="s">
        <v>63</v>
      </c>
      <c r="BD331" t="s">
        <v>63</v>
      </c>
      <c r="BE331" t="s">
        <v>63</v>
      </c>
      <c r="BF331" t="s">
        <v>63</v>
      </c>
    </row>
    <row r="332" spans="1:58">
      <c r="A332" t="s">
        <v>58</v>
      </c>
      <c r="B332" t="s">
        <v>3042</v>
      </c>
      <c r="C332" t="s">
        <v>3043</v>
      </c>
      <c r="D332" t="s">
        <v>1184</v>
      </c>
      <c r="E332" t="s">
        <v>1185</v>
      </c>
      <c r="F332">
        <v>1982</v>
      </c>
      <c r="G332" t="s">
        <v>189</v>
      </c>
      <c r="H332">
        <v>57</v>
      </c>
      <c r="I332">
        <v>5</v>
      </c>
      <c r="J332">
        <v>409</v>
      </c>
      <c r="K332">
        <v>411</v>
      </c>
      <c r="L332" t="s">
        <v>3044</v>
      </c>
      <c r="M332" t="s">
        <v>63</v>
      </c>
      <c r="N332" t="s">
        <v>3045</v>
      </c>
      <c r="O332" t="s">
        <v>63</v>
      </c>
      <c r="Q332" t="s">
        <v>63</v>
      </c>
      <c r="R332" t="s">
        <v>63</v>
      </c>
      <c r="S332" t="s">
        <v>63</v>
      </c>
      <c r="T332" t="s">
        <v>63</v>
      </c>
      <c r="X332" t="s">
        <v>63</v>
      </c>
      <c r="Y332" t="s">
        <v>1188</v>
      </c>
      <c r="Z332" t="s">
        <v>63</v>
      </c>
      <c r="AA332" t="s">
        <v>63</v>
      </c>
      <c r="AB332">
        <v>7200147</v>
      </c>
      <c r="AC332" t="s">
        <v>67</v>
      </c>
      <c r="AD332" t="s">
        <v>63</v>
      </c>
      <c r="AE332" t="s">
        <v>63</v>
      </c>
      <c r="AF332" t="s">
        <v>63</v>
      </c>
      <c r="AG332" t="s">
        <v>3046</v>
      </c>
      <c r="AH332" t="s">
        <v>63</v>
      </c>
      <c r="AI332" t="s">
        <v>63</v>
      </c>
      <c r="AJ332" t="s">
        <v>63</v>
      </c>
      <c r="AK332" t="s">
        <v>63</v>
      </c>
      <c r="AL332" t="s">
        <v>63</v>
      </c>
      <c r="AM332" t="s">
        <v>3047</v>
      </c>
      <c r="AN332" t="s">
        <v>63</v>
      </c>
      <c r="AO332" t="s">
        <v>63</v>
      </c>
      <c r="AP332" t="s">
        <v>63</v>
      </c>
      <c r="AQ332" t="s">
        <v>63</v>
      </c>
      <c r="AR332" t="s">
        <v>63</v>
      </c>
      <c r="AS332" t="s">
        <v>63</v>
      </c>
      <c r="AT332" t="s">
        <v>63</v>
      </c>
      <c r="AU332" t="s">
        <v>63</v>
      </c>
      <c r="AV332" t="s">
        <v>63</v>
      </c>
      <c r="AW332" t="s">
        <v>63</v>
      </c>
      <c r="AX332" t="s">
        <v>63</v>
      </c>
      <c r="AY332" t="s">
        <v>63</v>
      </c>
      <c r="AZ332" t="s">
        <v>63</v>
      </c>
      <c r="BA332" t="s">
        <v>63</v>
      </c>
      <c r="BB332" t="s">
        <v>63</v>
      </c>
      <c r="BC332" t="s">
        <v>63</v>
      </c>
      <c r="BD332" t="s">
        <v>63</v>
      </c>
      <c r="BE332" t="s">
        <v>63</v>
      </c>
      <c r="BF332" t="s">
        <v>63</v>
      </c>
    </row>
    <row r="333" spans="1:58">
      <c r="A333" t="s">
        <v>58</v>
      </c>
      <c r="B333" t="s">
        <v>3042</v>
      </c>
      <c r="C333" t="s">
        <v>3048</v>
      </c>
      <c r="D333" t="s">
        <v>2343</v>
      </c>
      <c r="E333" t="s">
        <v>2344</v>
      </c>
      <c r="F333">
        <v>1982</v>
      </c>
      <c r="G333" t="s">
        <v>1670</v>
      </c>
      <c r="H333">
        <v>15</v>
      </c>
      <c r="I333">
        <v>1</v>
      </c>
      <c r="J333">
        <v>189</v>
      </c>
      <c r="K333">
        <v>190</v>
      </c>
      <c r="L333" t="s">
        <v>3049</v>
      </c>
      <c r="M333" t="s">
        <v>63</v>
      </c>
      <c r="N333" t="s">
        <v>3050</v>
      </c>
      <c r="O333" t="s">
        <v>63</v>
      </c>
      <c r="Q333" t="s">
        <v>63</v>
      </c>
      <c r="R333" t="s">
        <v>63</v>
      </c>
      <c r="S333" t="s">
        <v>63</v>
      </c>
      <c r="T333" t="s">
        <v>63</v>
      </c>
      <c r="X333" t="s">
        <v>63</v>
      </c>
      <c r="Y333" t="s">
        <v>2347</v>
      </c>
      <c r="Z333" t="s">
        <v>63</v>
      </c>
      <c r="AA333" t="s">
        <v>63</v>
      </c>
      <c r="AB333">
        <v>7086379</v>
      </c>
      <c r="AC333" t="s">
        <v>67</v>
      </c>
      <c r="AD333" t="s">
        <v>63</v>
      </c>
      <c r="AE333" t="s">
        <v>63</v>
      </c>
      <c r="AF333" t="s">
        <v>63</v>
      </c>
      <c r="AG333" t="s">
        <v>3051</v>
      </c>
      <c r="AH333" t="s">
        <v>63</v>
      </c>
      <c r="AI333" t="s">
        <v>63</v>
      </c>
      <c r="AJ333" t="s">
        <v>63</v>
      </c>
      <c r="AK333" t="s">
        <v>63</v>
      </c>
      <c r="AL333" t="s">
        <v>63</v>
      </c>
      <c r="AM333" t="s">
        <v>3052</v>
      </c>
      <c r="AN333" t="s">
        <v>63</v>
      </c>
      <c r="AO333" t="s">
        <v>63</v>
      </c>
      <c r="AP333" t="s">
        <v>63</v>
      </c>
      <c r="AQ333" t="s">
        <v>63</v>
      </c>
      <c r="AR333" t="s">
        <v>63</v>
      </c>
      <c r="AS333" t="s">
        <v>63</v>
      </c>
      <c r="AT333" t="s">
        <v>63</v>
      </c>
      <c r="AU333" t="s">
        <v>63</v>
      </c>
      <c r="AV333" t="s">
        <v>63</v>
      </c>
      <c r="AW333" t="s">
        <v>63</v>
      </c>
      <c r="AX333" t="s">
        <v>63</v>
      </c>
      <c r="AY333" t="s">
        <v>63</v>
      </c>
      <c r="AZ333" t="s">
        <v>63</v>
      </c>
      <c r="BA333" t="s">
        <v>63</v>
      </c>
      <c r="BB333" t="s">
        <v>63</v>
      </c>
      <c r="BC333" t="s">
        <v>63</v>
      </c>
      <c r="BD333" t="s">
        <v>63</v>
      </c>
      <c r="BE333" t="s">
        <v>63</v>
      </c>
      <c r="BF333" t="s">
        <v>63</v>
      </c>
    </row>
    <row r="334" spans="1:58">
      <c r="A334" t="s">
        <v>58</v>
      </c>
      <c r="B334" t="s">
        <v>3053</v>
      </c>
      <c r="C334" t="s">
        <v>3054</v>
      </c>
      <c r="D334" t="s">
        <v>2353</v>
      </c>
      <c r="E334" t="s">
        <v>2354</v>
      </c>
      <c r="F334">
        <v>1988</v>
      </c>
      <c r="G334" t="s">
        <v>63</v>
      </c>
      <c r="H334">
        <v>5</v>
      </c>
      <c r="I334">
        <v>1</v>
      </c>
      <c r="J334">
        <v>19</v>
      </c>
      <c r="K334">
        <v>22</v>
      </c>
      <c r="L334" t="s">
        <v>3055</v>
      </c>
      <c r="M334" t="s">
        <v>3056</v>
      </c>
      <c r="N334" t="s">
        <v>3057</v>
      </c>
      <c r="O334" t="s">
        <v>63</v>
      </c>
      <c r="Q334" t="s">
        <v>63</v>
      </c>
      <c r="R334" t="s">
        <v>63</v>
      </c>
      <c r="S334" t="s">
        <v>63</v>
      </c>
      <c r="T334" t="s">
        <v>63</v>
      </c>
      <c r="X334" t="s">
        <v>63</v>
      </c>
      <c r="Y334" t="s">
        <v>2358</v>
      </c>
      <c r="Z334" t="s">
        <v>63</v>
      </c>
      <c r="AA334" t="s">
        <v>3058</v>
      </c>
      <c r="AB334">
        <v>3361622</v>
      </c>
      <c r="AC334" t="s">
        <v>67</v>
      </c>
      <c r="AD334" t="s">
        <v>63</v>
      </c>
      <c r="AE334" t="s">
        <v>63</v>
      </c>
      <c r="AF334" t="s">
        <v>63</v>
      </c>
      <c r="AG334" t="s">
        <v>3059</v>
      </c>
      <c r="AH334" t="s">
        <v>63</v>
      </c>
      <c r="AI334" t="s">
        <v>63</v>
      </c>
      <c r="AJ334" t="s">
        <v>63</v>
      </c>
      <c r="AK334" t="s">
        <v>63</v>
      </c>
      <c r="AL334" t="s">
        <v>63</v>
      </c>
      <c r="AM334" t="s">
        <v>3060</v>
      </c>
      <c r="AN334" t="s">
        <v>63</v>
      </c>
      <c r="AO334" t="s">
        <v>63</v>
      </c>
      <c r="AP334" t="s">
        <v>63</v>
      </c>
      <c r="AQ334" t="s">
        <v>63</v>
      </c>
      <c r="AR334" t="s">
        <v>63</v>
      </c>
      <c r="AS334" t="s">
        <v>63</v>
      </c>
      <c r="AT334" t="s">
        <v>63</v>
      </c>
      <c r="AU334" t="s">
        <v>63</v>
      </c>
      <c r="AV334" t="s">
        <v>63</v>
      </c>
      <c r="AW334" t="s">
        <v>63</v>
      </c>
      <c r="AX334" t="s">
        <v>63</v>
      </c>
      <c r="AY334" t="s">
        <v>63</v>
      </c>
      <c r="AZ334" t="s">
        <v>63</v>
      </c>
      <c r="BA334" t="s">
        <v>63</v>
      </c>
      <c r="BB334" t="s">
        <v>63</v>
      </c>
      <c r="BC334" t="s">
        <v>63</v>
      </c>
      <c r="BD334" t="s">
        <v>63</v>
      </c>
      <c r="BE334" t="s">
        <v>63</v>
      </c>
      <c r="BF334" t="s">
        <v>63</v>
      </c>
    </row>
    <row r="335" spans="1:58">
      <c r="A335" t="s">
        <v>58</v>
      </c>
      <c r="B335" t="s">
        <v>3061</v>
      </c>
      <c r="C335" t="s">
        <v>3062</v>
      </c>
      <c r="D335" t="s">
        <v>371</v>
      </c>
      <c r="E335" t="s">
        <v>63</v>
      </c>
      <c r="F335">
        <v>1998</v>
      </c>
      <c r="G335" t="s">
        <v>84</v>
      </c>
      <c r="H335">
        <v>13</v>
      </c>
      <c r="I335">
        <v>4</v>
      </c>
      <c r="J335">
        <v>251</v>
      </c>
      <c r="K335">
        <v>256</v>
      </c>
      <c r="L335" t="s">
        <v>3063</v>
      </c>
      <c r="M335" t="s">
        <v>3064</v>
      </c>
      <c r="N335" t="s">
        <v>3065</v>
      </c>
      <c r="O335" t="s">
        <v>63</v>
      </c>
      <c r="Q335" t="s">
        <v>63</v>
      </c>
      <c r="R335" t="s">
        <v>63</v>
      </c>
      <c r="S335" t="s">
        <v>63</v>
      </c>
      <c r="T335" t="s">
        <v>63</v>
      </c>
      <c r="X335" t="s">
        <v>63</v>
      </c>
      <c r="Y335" t="s">
        <v>375</v>
      </c>
      <c r="Z335" t="s">
        <v>63</v>
      </c>
      <c r="AA335" t="s">
        <v>3066</v>
      </c>
      <c r="AB335">
        <v>9565388</v>
      </c>
      <c r="AC335" t="s">
        <v>67</v>
      </c>
      <c r="AD335" t="s">
        <v>63</v>
      </c>
      <c r="AE335" t="s">
        <v>63</v>
      </c>
      <c r="AF335" t="s">
        <v>63</v>
      </c>
      <c r="AG335" t="s">
        <v>3067</v>
      </c>
      <c r="AH335" t="s">
        <v>63</v>
      </c>
      <c r="AI335" t="s">
        <v>63</v>
      </c>
      <c r="AJ335" t="s">
        <v>63</v>
      </c>
      <c r="AK335" t="s">
        <v>63</v>
      </c>
      <c r="AL335" t="s">
        <v>63</v>
      </c>
      <c r="AM335" t="s">
        <v>3068</v>
      </c>
      <c r="AN335" t="s">
        <v>63</v>
      </c>
      <c r="AO335" t="s">
        <v>63</v>
      </c>
      <c r="AP335" t="s">
        <v>63</v>
      </c>
      <c r="AQ335" t="s">
        <v>63</v>
      </c>
      <c r="AR335" t="s">
        <v>63</v>
      </c>
      <c r="AS335" t="s">
        <v>63</v>
      </c>
      <c r="AT335" t="s">
        <v>63</v>
      </c>
      <c r="AU335" t="s">
        <v>63</v>
      </c>
      <c r="AV335" t="s">
        <v>63</v>
      </c>
      <c r="AW335" t="s">
        <v>63</v>
      </c>
      <c r="AX335" t="s">
        <v>63</v>
      </c>
      <c r="AY335" t="s">
        <v>63</v>
      </c>
      <c r="AZ335" t="s">
        <v>63</v>
      </c>
      <c r="BA335" t="s">
        <v>63</v>
      </c>
      <c r="BB335" t="s">
        <v>63</v>
      </c>
      <c r="BC335" t="s">
        <v>63</v>
      </c>
      <c r="BD335" t="s">
        <v>63</v>
      </c>
      <c r="BE335" t="s">
        <v>63</v>
      </c>
      <c r="BF335" t="s">
        <v>63</v>
      </c>
    </row>
    <row r="336" spans="1:58">
      <c r="A336" t="s">
        <v>58</v>
      </c>
      <c r="B336" t="s">
        <v>3069</v>
      </c>
      <c r="C336" t="s">
        <v>3070</v>
      </c>
      <c r="D336" t="s">
        <v>3071</v>
      </c>
      <c r="E336" t="s">
        <v>3072</v>
      </c>
      <c r="F336">
        <v>1986</v>
      </c>
      <c r="G336" t="s">
        <v>614</v>
      </c>
      <c r="H336">
        <v>81</v>
      </c>
      <c r="I336">
        <v>4</v>
      </c>
      <c r="J336">
        <v>461</v>
      </c>
      <c r="K336">
        <v>472</v>
      </c>
      <c r="L336" t="s">
        <v>3073</v>
      </c>
      <c r="M336" t="s">
        <v>63</v>
      </c>
      <c r="N336" t="s">
        <v>3074</v>
      </c>
      <c r="O336" t="s">
        <v>63</v>
      </c>
      <c r="Q336" t="s">
        <v>63</v>
      </c>
      <c r="R336" t="s">
        <v>63</v>
      </c>
      <c r="S336" t="s">
        <v>63</v>
      </c>
      <c r="T336" t="s">
        <v>63</v>
      </c>
      <c r="X336" t="s">
        <v>63</v>
      </c>
      <c r="Y336" t="s">
        <v>3075</v>
      </c>
      <c r="Z336" t="s">
        <v>63</v>
      </c>
      <c r="AA336" t="s">
        <v>63</v>
      </c>
      <c r="AB336">
        <v>3530292</v>
      </c>
      <c r="AC336" t="s">
        <v>67</v>
      </c>
      <c r="AD336" t="s">
        <v>63</v>
      </c>
      <c r="AE336" t="s">
        <v>63</v>
      </c>
      <c r="AF336" t="s">
        <v>63</v>
      </c>
      <c r="AG336" t="s">
        <v>3076</v>
      </c>
      <c r="AH336" t="s">
        <v>63</v>
      </c>
      <c r="AI336" t="s">
        <v>63</v>
      </c>
      <c r="AJ336" t="s">
        <v>63</v>
      </c>
      <c r="AK336" t="s">
        <v>63</v>
      </c>
      <c r="AL336" t="s">
        <v>63</v>
      </c>
      <c r="AM336" t="s">
        <v>3077</v>
      </c>
      <c r="AN336" t="s">
        <v>63</v>
      </c>
      <c r="AO336" t="s">
        <v>63</v>
      </c>
      <c r="AP336" t="s">
        <v>63</v>
      </c>
      <c r="AQ336" t="s">
        <v>63</v>
      </c>
      <c r="AR336" t="s">
        <v>63</v>
      </c>
      <c r="AS336" t="s">
        <v>63</v>
      </c>
      <c r="AT336" t="s">
        <v>63</v>
      </c>
      <c r="AU336" t="s">
        <v>63</v>
      </c>
      <c r="AV336" t="s">
        <v>63</v>
      </c>
      <c r="AW336" t="s">
        <v>63</v>
      </c>
      <c r="AX336" t="s">
        <v>63</v>
      </c>
      <c r="AY336" t="s">
        <v>63</v>
      </c>
      <c r="AZ336" t="s">
        <v>63</v>
      </c>
      <c r="BA336" t="s">
        <v>63</v>
      </c>
      <c r="BB336" t="s">
        <v>63</v>
      </c>
      <c r="BC336" t="s">
        <v>63</v>
      </c>
      <c r="BD336" t="s">
        <v>63</v>
      </c>
      <c r="BE336" t="s">
        <v>63</v>
      </c>
      <c r="BF336" t="s">
        <v>63</v>
      </c>
    </row>
    <row r="337" spans="1:58">
      <c r="A337" t="s">
        <v>58</v>
      </c>
      <c r="B337" t="s">
        <v>3078</v>
      </c>
      <c r="C337" t="s">
        <v>3079</v>
      </c>
      <c r="D337" t="s">
        <v>1481</v>
      </c>
      <c r="E337" t="s">
        <v>1481</v>
      </c>
      <c r="F337">
        <v>2012</v>
      </c>
      <c r="G337" t="s">
        <v>1670</v>
      </c>
      <c r="H337">
        <v>107</v>
      </c>
      <c r="I337">
        <v>7</v>
      </c>
      <c r="J337">
        <v>1214</v>
      </c>
      <c r="K337">
        <v>1220</v>
      </c>
      <c r="L337" t="s">
        <v>3080</v>
      </c>
      <c r="M337" t="s">
        <v>3081</v>
      </c>
      <c r="N337" t="s">
        <v>3082</v>
      </c>
      <c r="O337" t="s">
        <v>63</v>
      </c>
      <c r="Q337" t="s">
        <v>63</v>
      </c>
      <c r="R337" t="s">
        <v>63</v>
      </c>
      <c r="S337" t="s">
        <v>63</v>
      </c>
      <c r="T337" t="s">
        <v>63</v>
      </c>
      <c r="X337" t="s">
        <v>63</v>
      </c>
      <c r="Y337" t="s">
        <v>1484</v>
      </c>
      <c r="Z337" t="s">
        <v>63</v>
      </c>
      <c r="AA337" t="s">
        <v>3083</v>
      </c>
      <c r="AB337">
        <v>21470324</v>
      </c>
      <c r="AC337" t="s">
        <v>67</v>
      </c>
      <c r="AD337" t="s">
        <v>63</v>
      </c>
      <c r="AE337" t="s">
        <v>63</v>
      </c>
      <c r="AF337" t="s">
        <v>63</v>
      </c>
      <c r="AG337" t="s">
        <v>3084</v>
      </c>
      <c r="AH337" t="s">
        <v>63</v>
      </c>
      <c r="AI337" t="s">
        <v>3085</v>
      </c>
      <c r="AJ337" t="s">
        <v>63</v>
      </c>
      <c r="AK337" t="s">
        <v>63</v>
      </c>
      <c r="AL337" t="s">
        <v>63</v>
      </c>
      <c r="AM337" t="s">
        <v>3086</v>
      </c>
      <c r="AN337" t="s">
        <v>63</v>
      </c>
      <c r="AO337" t="s">
        <v>63</v>
      </c>
      <c r="AP337" t="s">
        <v>63</v>
      </c>
      <c r="AQ337" t="s">
        <v>63</v>
      </c>
      <c r="AR337" t="s">
        <v>63</v>
      </c>
      <c r="AS337" t="s">
        <v>63</v>
      </c>
      <c r="AT337" t="s">
        <v>63</v>
      </c>
      <c r="AU337" t="s">
        <v>63</v>
      </c>
      <c r="AV337" t="s">
        <v>63</v>
      </c>
      <c r="AW337" t="s">
        <v>63</v>
      </c>
      <c r="AX337" t="s">
        <v>63</v>
      </c>
      <c r="AY337" t="s">
        <v>63</v>
      </c>
      <c r="AZ337" t="s">
        <v>63</v>
      </c>
      <c r="BA337" t="s">
        <v>63</v>
      </c>
      <c r="BB337" t="s">
        <v>63</v>
      </c>
      <c r="BC337" t="s">
        <v>63</v>
      </c>
      <c r="BD337" t="s">
        <v>63</v>
      </c>
      <c r="BE337" t="s">
        <v>63</v>
      </c>
      <c r="BF337" t="s">
        <v>63</v>
      </c>
    </row>
    <row r="338" spans="1:58">
      <c r="A338" t="s">
        <v>58</v>
      </c>
      <c r="B338" t="s">
        <v>3087</v>
      </c>
      <c r="C338" t="s">
        <v>3088</v>
      </c>
      <c r="D338" t="s">
        <v>3089</v>
      </c>
      <c r="E338" t="s">
        <v>3090</v>
      </c>
      <c r="F338">
        <v>2015</v>
      </c>
      <c r="G338" t="s">
        <v>1670</v>
      </c>
      <c r="H338">
        <v>51</v>
      </c>
      <c r="I338">
        <v>5</v>
      </c>
      <c r="J338">
        <v>546</v>
      </c>
      <c r="K338">
        <v>553</v>
      </c>
      <c r="L338" t="s">
        <v>3091</v>
      </c>
      <c r="M338" t="s">
        <v>3092</v>
      </c>
      <c r="N338" t="s">
        <v>3093</v>
      </c>
      <c r="O338" t="s">
        <v>63</v>
      </c>
      <c r="Q338" t="s">
        <v>63</v>
      </c>
      <c r="R338" t="s">
        <v>63</v>
      </c>
      <c r="S338" t="s">
        <v>63</v>
      </c>
      <c r="T338" t="s">
        <v>63</v>
      </c>
      <c r="X338" t="s">
        <v>63</v>
      </c>
      <c r="Y338" t="s">
        <v>3094</v>
      </c>
      <c r="Z338" t="s">
        <v>63</v>
      </c>
      <c r="AA338" t="s">
        <v>3095</v>
      </c>
      <c r="AB338">
        <v>25628241</v>
      </c>
      <c r="AC338" t="s">
        <v>67</v>
      </c>
      <c r="AD338" t="s">
        <v>63</v>
      </c>
      <c r="AE338" t="s">
        <v>63</v>
      </c>
      <c r="AF338" t="s">
        <v>63</v>
      </c>
      <c r="AG338" t="s">
        <v>3096</v>
      </c>
      <c r="AH338" t="s">
        <v>63</v>
      </c>
      <c r="AI338" t="s">
        <v>3097</v>
      </c>
      <c r="AJ338" t="s">
        <v>63</v>
      </c>
      <c r="AK338" t="s">
        <v>63</v>
      </c>
      <c r="AL338" t="s">
        <v>63</v>
      </c>
      <c r="AM338" t="s">
        <v>3098</v>
      </c>
      <c r="AN338" t="s">
        <v>63</v>
      </c>
      <c r="AO338" t="s">
        <v>63</v>
      </c>
      <c r="AP338" t="s">
        <v>63</v>
      </c>
      <c r="AQ338" t="s">
        <v>63</v>
      </c>
      <c r="AR338" t="s">
        <v>63</v>
      </c>
      <c r="AS338" t="s">
        <v>63</v>
      </c>
      <c r="AT338" t="s">
        <v>63</v>
      </c>
      <c r="AU338" t="s">
        <v>63</v>
      </c>
      <c r="AV338" t="s">
        <v>63</v>
      </c>
      <c r="AW338" t="s">
        <v>63</v>
      </c>
      <c r="AX338" t="s">
        <v>63</v>
      </c>
      <c r="AY338" t="s">
        <v>63</v>
      </c>
      <c r="AZ338" t="s">
        <v>63</v>
      </c>
      <c r="BA338" t="s">
        <v>63</v>
      </c>
      <c r="BB338" t="s">
        <v>63</v>
      </c>
      <c r="BC338" t="s">
        <v>63</v>
      </c>
      <c r="BD338" t="s">
        <v>63</v>
      </c>
      <c r="BE338" t="s">
        <v>63</v>
      </c>
      <c r="BF338" t="s">
        <v>63</v>
      </c>
    </row>
    <row r="339" spans="1:58">
      <c r="A339" t="s">
        <v>58</v>
      </c>
      <c r="B339" t="s">
        <v>3099</v>
      </c>
      <c r="C339" t="s">
        <v>3100</v>
      </c>
      <c r="D339" t="s">
        <v>1458</v>
      </c>
      <c r="E339" t="s">
        <v>1459</v>
      </c>
      <c r="F339">
        <v>2004</v>
      </c>
      <c r="G339" s="1">
        <v>41974</v>
      </c>
      <c r="H339">
        <v>114</v>
      </c>
      <c r="I339">
        <v>5934</v>
      </c>
      <c r="J339">
        <v>26</v>
      </c>
      <c r="K339">
        <v>28</v>
      </c>
      <c r="L339" t="s">
        <v>3101</v>
      </c>
      <c r="M339" t="s">
        <v>3102</v>
      </c>
      <c r="N339" t="s">
        <v>3103</v>
      </c>
      <c r="O339" t="s">
        <v>63</v>
      </c>
      <c r="Q339" t="s">
        <v>63</v>
      </c>
      <c r="R339" t="s">
        <v>63</v>
      </c>
      <c r="S339" t="s">
        <v>63</v>
      </c>
      <c r="T339" t="s">
        <v>63</v>
      </c>
      <c r="X339" t="s">
        <v>63</v>
      </c>
      <c r="Y339" t="s">
        <v>1463</v>
      </c>
      <c r="Z339" t="s">
        <v>63</v>
      </c>
      <c r="AA339" t="s">
        <v>63</v>
      </c>
      <c r="AB339">
        <v>15609753</v>
      </c>
      <c r="AC339" t="s">
        <v>67</v>
      </c>
      <c r="AD339" t="s">
        <v>63</v>
      </c>
      <c r="AE339" t="s">
        <v>63</v>
      </c>
      <c r="AF339" t="s">
        <v>63</v>
      </c>
      <c r="AG339" t="s">
        <v>3104</v>
      </c>
      <c r="AH339" t="s">
        <v>63</v>
      </c>
      <c r="AI339" t="s">
        <v>63</v>
      </c>
      <c r="AJ339" t="s">
        <v>63</v>
      </c>
      <c r="AK339" t="s">
        <v>63</v>
      </c>
      <c r="AL339" t="s">
        <v>63</v>
      </c>
      <c r="AM339" t="s">
        <v>3105</v>
      </c>
      <c r="AN339" t="s">
        <v>63</v>
      </c>
      <c r="AO339" t="s">
        <v>63</v>
      </c>
      <c r="AP339" t="s">
        <v>63</v>
      </c>
      <c r="AQ339" t="s">
        <v>63</v>
      </c>
      <c r="AR339" t="s">
        <v>63</v>
      </c>
      <c r="AS339" t="s">
        <v>63</v>
      </c>
      <c r="AT339" t="s">
        <v>63</v>
      </c>
      <c r="AU339" t="s">
        <v>63</v>
      </c>
      <c r="AV339" t="s">
        <v>63</v>
      </c>
      <c r="AW339" t="s">
        <v>63</v>
      </c>
      <c r="AX339" t="s">
        <v>63</v>
      </c>
      <c r="AY339" t="s">
        <v>63</v>
      </c>
      <c r="AZ339" t="s">
        <v>63</v>
      </c>
      <c r="BA339" t="s">
        <v>63</v>
      </c>
      <c r="BB339" t="s">
        <v>63</v>
      </c>
      <c r="BC339" t="s">
        <v>63</v>
      </c>
      <c r="BD339" t="s">
        <v>63</v>
      </c>
      <c r="BE339" t="s">
        <v>63</v>
      </c>
      <c r="BF339" t="s">
        <v>63</v>
      </c>
    </row>
    <row r="340" spans="1:58">
      <c r="A340" t="s">
        <v>58</v>
      </c>
      <c r="B340" t="s">
        <v>3106</v>
      </c>
      <c r="C340" t="s">
        <v>3107</v>
      </c>
      <c r="D340" t="s">
        <v>2576</v>
      </c>
      <c r="E340" t="s">
        <v>2577</v>
      </c>
      <c r="F340">
        <v>1971</v>
      </c>
      <c r="G340" s="1">
        <v>41726</v>
      </c>
      <c r="H340">
        <v>178</v>
      </c>
      <c r="I340" t="s">
        <v>63</v>
      </c>
      <c r="J340">
        <v>23</v>
      </c>
      <c r="K340" t="s">
        <v>63</v>
      </c>
      <c r="L340" t="s">
        <v>3108</v>
      </c>
      <c r="M340" t="s">
        <v>63</v>
      </c>
      <c r="N340" t="s">
        <v>3109</v>
      </c>
      <c r="O340" t="s">
        <v>63</v>
      </c>
      <c r="Q340" t="s">
        <v>63</v>
      </c>
      <c r="R340" t="s">
        <v>63</v>
      </c>
      <c r="S340" t="s">
        <v>63</v>
      </c>
      <c r="T340" t="s">
        <v>63</v>
      </c>
      <c r="X340" t="s">
        <v>63</v>
      </c>
      <c r="Y340" t="s">
        <v>2580</v>
      </c>
      <c r="Z340" t="s">
        <v>63</v>
      </c>
      <c r="AA340" t="s">
        <v>63</v>
      </c>
      <c r="AB340">
        <v>5282648</v>
      </c>
      <c r="AC340" t="s">
        <v>67</v>
      </c>
      <c r="AD340" t="s">
        <v>63</v>
      </c>
      <c r="AE340" t="s">
        <v>63</v>
      </c>
      <c r="AF340" t="s">
        <v>63</v>
      </c>
      <c r="AG340" t="s">
        <v>3110</v>
      </c>
      <c r="AH340" t="s">
        <v>63</v>
      </c>
      <c r="AI340" t="s">
        <v>63</v>
      </c>
      <c r="AJ340" t="s">
        <v>63</v>
      </c>
      <c r="AK340" t="s">
        <v>63</v>
      </c>
      <c r="AL340" t="s">
        <v>63</v>
      </c>
      <c r="AM340" t="s">
        <v>3111</v>
      </c>
      <c r="AN340" t="s">
        <v>63</v>
      </c>
      <c r="AO340" t="s">
        <v>63</v>
      </c>
      <c r="AP340" t="s">
        <v>63</v>
      </c>
      <c r="AQ340" t="s">
        <v>63</v>
      </c>
      <c r="AR340" t="s">
        <v>63</v>
      </c>
      <c r="AS340" t="s">
        <v>63</v>
      </c>
      <c r="AT340" t="s">
        <v>63</v>
      </c>
      <c r="AU340" t="s">
        <v>63</v>
      </c>
      <c r="AV340" t="s">
        <v>63</v>
      </c>
      <c r="AW340" t="s">
        <v>63</v>
      </c>
      <c r="AX340" t="s">
        <v>63</v>
      </c>
      <c r="AY340" t="s">
        <v>63</v>
      </c>
      <c r="AZ340" t="s">
        <v>63</v>
      </c>
      <c r="BA340" t="s">
        <v>63</v>
      </c>
      <c r="BB340" t="s">
        <v>63</v>
      </c>
      <c r="BC340" t="s">
        <v>63</v>
      </c>
      <c r="BD340" t="s">
        <v>63</v>
      </c>
      <c r="BE340" t="s">
        <v>63</v>
      </c>
      <c r="BF340" t="s">
        <v>63</v>
      </c>
    </row>
    <row r="341" spans="1:58">
      <c r="A341" t="s">
        <v>58</v>
      </c>
      <c r="B341" t="s">
        <v>3112</v>
      </c>
      <c r="C341" t="s">
        <v>3113</v>
      </c>
      <c r="D341" t="s">
        <v>111</v>
      </c>
      <c r="E341" t="s">
        <v>112</v>
      </c>
      <c r="F341">
        <v>2002</v>
      </c>
      <c r="G341" s="1">
        <v>41716</v>
      </c>
      <c r="H341">
        <v>136</v>
      </c>
      <c r="I341">
        <v>6</v>
      </c>
      <c r="J341">
        <v>429</v>
      </c>
      <c r="K341">
        <v>437</v>
      </c>
      <c r="L341" t="s">
        <v>3114</v>
      </c>
      <c r="M341" t="s">
        <v>3115</v>
      </c>
      <c r="N341" t="s">
        <v>3116</v>
      </c>
      <c r="O341" t="s">
        <v>63</v>
      </c>
      <c r="Q341" t="s">
        <v>63</v>
      </c>
      <c r="R341" t="s">
        <v>63</v>
      </c>
      <c r="S341" t="s">
        <v>63</v>
      </c>
      <c r="T341" t="s">
        <v>63</v>
      </c>
      <c r="X341" t="s">
        <v>63</v>
      </c>
      <c r="Y341" t="s">
        <v>116</v>
      </c>
      <c r="Z341" t="s">
        <v>63</v>
      </c>
      <c r="AA341" t="s">
        <v>3117</v>
      </c>
      <c r="AB341">
        <v>11900495</v>
      </c>
      <c r="AC341" t="s">
        <v>67</v>
      </c>
      <c r="AD341" t="s">
        <v>63</v>
      </c>
      <c r="AE341" t="s">
        <v>63</v>
      </c>
      <c r="AF341" t="s">
        <v>63</v>
      </c>
      <c r="AG341" t="s">
        <v>3118</v>
      </c>
      <c r="AH341" t="s">
        <v>63</v>
      </c>
      <c r="AI341" t="s">
        <v>63</v>
      </c>
      <c r="AJ341" t="s">
        <v>63</v>
      </c>
      <c r="AK341" t="s">
        <v>63</v>
      </c>
      <c r="AL341" t="s">
        <v>63</v>
      </c>
      <c r="AM341" t="s">
        <v>3119</v>
      </c>
      <c r="AN341" t="s">
        <v>63</v>
      </c>
      <c r="AO341" t="s">
        <v>63</v>
      </c>
      <c r="AP341" t="s">
        <v>63</v>
      </c>
      <c r="AQ341" t="s">
        <v>63</v>
      </c>
      <c r="AR341" t="s">
        <v>63</v>
      </c>
      <c r="AS341" t="s">
        <v>63</v>
      </c>
      <c r="AT341" t="s">
        <v>63</v>
      </c>
      <c r="AU341" t="s">
        <v>63</v>
      </c>
      <c r="AV341" t="s">
        <v>63</v>
      </c>
      <c r="AW341" t="s">
        <v>63</v>
      </c>
      <c r="AX341" t="s">
        <v>63</v>
      </c>
      <c r="AY341" t="s">
        <v>63</v>
      </c>
      <c r="AZ341" t="s">
        <v>63</v>
      </c>
      <c r="BA341" t="s">
        <v>63</v>
      </c>
      <c r="BB341" t="s">
        <v>63</v>
      </c>
      <c r="BC341" t="s">
        <v>63</v>
      </c>
      <c r="BD341" t="s">
        <v>63</v>
      </c>
      <c r="BE341" t="s">
        <v>63</v>
      </c>
      <c r="BF341" t="s">
        <v>63</v>
      </c>
    </row>
    <row r="342" spans="1:58">
      <c r="A342" t="s">
        <v>58</v>
      </c>
      <c r="B342" t="s">
        <v>3120</v>
      </c>
      <c r="C342" t="s">
        <v>3121</v>
      </c>
      <c r="D342" t="s">
        <v>3122</v>
      </c>
      <c r="E342" t="s">
        <v>63</v>
      </c>
      <c r="F342">
        <v>2007</v>
      </c>
      <c r="G342" t="s">
        <v>1670</v>
      </c>
      <c r="H342">
        <v>62</v>
      </c>
      <c r="I342">
        <v>3</v>
      </c>
      <c r="J342">
        <v>316</v>
      </c>
      <c r="K342">
        <v>335</v>
      </c>
      <c r="L342" t="s">
        <v>3123</v>
      </c>
      <c r="M342" t="s">
        <v>3124</v>
      </c>
      <c r="N342" t="s">
        <v>3125</v>
      </c>
      <c r="O342" t="s">
        <v>63</v>
      </c>
      <c r="Q342" t="s">
        <v>63</v>
      </c>
      <c r="R342" t="s">
        <v>63</v>
      </c>
      <c r="S342" t="s">
        <v>63</v>
      </c>
      <c r="T342" t="s">
        <v>63</v>
      </c>
      <c r="X342" t="s">
        <v>63</v>
      </c>
      <c r="Y342" t="s">
        <v>3126</v>
      </c>
      <c r="Z342" t="s">
        <v>63</v>
      </c>
      <c r="AA342" t="s">
        <v>3127</v>
      </c>
      <c r="AB342">
        <v>17124259</v>
      </c>
      <c r="AC342" t="s">
        <v>67</v>
      </c>
      <c r="AD342" t="s">
        <v>63</v>
      </c>
      <c r="AE342" t="s">
        <v>63</v>
      </c>
      <c r="AF342" t="s">
        <v>63</v>
      </c>
      <c r="AG342" t="s">
        <v>3128</v>
      </c>
      <c r="AH342" t="s">
        <v>63</v>
      </c>
      <c r="AI342" t="s">
        <v>63</v>
      </c>
      <c r="AJ342" t="s">
        <v>63</v>
      </c>
      <c r="AK342" t="s">
        <v>63</v>
      </c>
      <c r="AL342" t="s">
        <v>63</v>
      </c>
      <c r="AM342" t="s">
        <v>3129</v>
      </c>
      <c r="AN342" t="s">
        <v>63</v>
      </c>
      <c r="AO342" t="s">
        <v>63</v>
      </c>
      <c r="AP342" t="s">
        <v>63</v>
      </c>
      <c r="AQ342" t="s">
        <v>63</v>
      </c>
      <c r="AR342" t="s">
        <v>63</v>
      </c>
      <c r="AS342" t="s">
        <v>63</v>
      </c>
      <c r="AT342" t="s">
        <v>63</v>
      </c>
      <c r="AU342" t="s">
        <v>63</v>
      </c>
      <c r="AV342" t="s">
        <v>63</v>
      </c>
      <c r="AW342" t="s">
        <v>63</v>
      </c>
      <c r="AX342" t="s">
        <v>63</v>
      </c>
      <c r="AY342" t="s">
        <v>63</v>
      </c>
      <c r="AZ342" t="s">
        <v>63</v>
      </c>
      <c r="BA342" t="s">
        <v>63</v>
      </c>
      <c r="BB342" t="s">
        <v>63</v>
      </c>
      <c r="BC342" t="s">
        <v>63</v>
      </c>
      <c r="BD342" t="s">
        <v>63</v>
      </c>
      <c r="BE342" t="s">
        <v>63</v>
      </c>
      <c r="BF342" t="s">
        <v>63</v>
      </c>
    </row>
    <row r="343" spans="1:58">
      <c r="A343" t="s">
        <v>58</v>
      </c>
      <c r="B343" t="s">
        <v>3130</v>
      </c>
      <c r="C343" t="s">
        <v>3131</v>
      </c>
      <c r="D343" t="s">
        <v>3132</v>
      </c>
      <c r="E343" t="s">
        <v>3133</v>
      </c>
      <c r="F343">
        <v>1986</v>
      </c>
      <c r="G343" t="s">
        <v>147</v>
      </c>
      <c r="H343">
        <v>86</v>
      </c>
      <c r="I343">
        <v>2</v>
      </c>
      <c r="J343">
        <v>103</v>
      </c>
      <c r="K343">
        <v>110</v>
      </c>
      <c r="L343" t="s">
        <v>3134</v>
      </c>
      <c r="M343" t="s">
        <v>3135</v>
      </c>
      <c r="N343" t="s">
        <v>3136</v>
      </c>
      <c r="O343" t="s">
        <v>63</v>
      </c>
      <c r="Q343" t="s">
        <v>63</v>
      </c>
      <c r="R343" t="s">
        <v>63</v>
      </c>
      <c r="S343" t="s">
        <v>63</v>
      </c>
      <c r="T343" t="s">
        <v>63</v>
      </c>
      <c r="X343" t="s">
        <v>63</v>
      </c>
      <c r="Y343" t="s">
        <v>3137</v>
      </c>
      <c r="Z343" t="s">
        <v>63</v>
      </c>
      <c r="AA343" t="s">
        <v>63</v>
      </c>
      <c r="AB343">
        <v>3728055</v>
      </c>
      <c r="AC343" t="s">
        <v>67</v>
      </c>
      <c r="AD343" t="s">
        <v>63</v>
      </c>
      <c r="AE343" t="s">
        <v>63</v>
      </c>
      <c r="AF343" t="s">
        <v>63</v>
      </c>
      <c r="AG343" t="s">
        <v>3138</v>
      </c>
      <c r="AH343" t="s">
        <v>63</v>
      </c>
      <c r="AI343" t="s">
        <v>63</v>
      </c>
      <c r="AJ343" t="s">
        <v>63</v>
      </c>
      <c r="AK343" t="s">
        <v>63</v>
      </c>
      <c r="AL343" t="s">
        <v>63</v>
      </c>
      <c r="AM343" t="s">
        <v>3139</v>
      </c>
      <c r="AN343" t="s">
        <v>63</v>
      </c>
      <c r="AO343" t="s">
        <v>63</v>
      </c>
      <c r="AP343" t="s">
        <v>63</v>
      </c>
      <c r="AQ343" t="s">
        <v>63</v>
      </c>
      <c r="AR343" t="s">
        <v>63</v>
      </c>
      <c r="AS343" t="s">
        <v>63</v>
      </c>
      <c r="AT343" t="s">
        <v>63</v>
      </c>
      <c r="AU343" t="s">
        <v>63</v>
      </c>
      <c r="AV343" t="s">
        <v>63</v>
      </c>
      <c r="AW343" t="s">
        <v>63</v>
      </c>
      <c r="AX343" t="s">
        <v>63</v>
      </c>
      <c r="AY343" t="s">
        <v>63</v>
      </c>
      <c r="AZ343" t="s">
        <v>63</v>
      </c>
      <c r="BA343" t="s">
        <v>63</v>
      </c>
      <c r="BB343" t="s">
        <v>63</v>
      </c>
      <c r="BC343" t="s">
        <v>63</v>
      </c>
      <c r="BD343" t="s">
        <v>63</v>
      </c>
      <c r="BE343" t="s">
        <v>63</v>
      </c>
      <c r="BF343" t="s">
        <v>63</v>
      </c>
    </row>
    <row r="344" spans="1:58">
      <c r="A344" t="s">
        <v>58</v>
      </c>
      <c r="B344" t="s">
        <v>3140</v>
      </c>
      <c r="C344" t="s">
        <v>3141</v>
      </c>
      <c r="D344" t="s">
        <v>3142</v>
      </c>
      <c r="E344" t="s">
        <v>3143</v>
      </c>
      <c r="F344">
        <v>1987</v>
      </c>
      <c r="G344" t="s">
        <v>326</v>
      </c>
      <c r="H344">
        <v>147</v>
      </c>
      <c r="I344">
        <v>2</v>
      </c>
      <c r="J344">
        <v>349</v>
      </c>
      <c r="K344">
        <v>352</v>
      </c>
      <c r="L344" t="s">
        <v>3144</v>
      </c>
      <c r="M344" t="s">
        <v>3145</v>
      </c>
      <c r="N344" t="s">
        <v>3146</v>
      </c>
      <c r="O344" t="s">
        <v>63</v>
      </c>
      <c r="Q344" t="s">
        <v>63</v>
      </c>
      <c r="R344" t="s">
        <v>63</v>
      </c>
      <c r="S344" t="s">
        <v>63</v>
      </c>
      <c r="T344" t="s">
        <v>63</v>
      </c>
      <c r="X344" t="s">
        <v>63</v>
      </c>
      <c r="Y344" s="2">
        <v>2930035</v>
      </c>
      <c r="Z344" t="s">
        <v>63</v>
      </c>
      <c r="AA344" t="s">
        <v>63</v>
      </c>
      <c r="AB344">
        <v>3813755</v>
      </c>
      <c r="AC344" t="s">
        <v>67</v>
      </c>
      <c r="AD344" t="s">
        <v>63</v>
      </c>
      <c r="AE344" t="s">
        <v>63</v>
      </c>
      <c r="AF344" t="s">
        <v>63</v>
      </c>
      <c r="AG344" t="s">
        <v>3147</v>
      </c>
      <c r="AH344" t="s">
        <v>63</v>
      </c>
      <c r="AI344" t="s">
        <v>63</v>
      </c>
      <c r="AJ344" t="s">
        <v>63</v>
      </c>
      <c r="AK344" t="s">
        <v>63</v>
      </c>
      <c r="AL344" t="s">
        <v>63</v>
      </c>
      <c r="AM344" t="s">
        <v>3148</v>
      </c>
      <c r="AN344" t="s">
        <v>63</v>
      </c>
      <c r="AO344" t="s">
        <v>63</v>
      </c>
      <c r="AP344" t="s">
        <v>63</v>
      </c>
      <c r="AQ344" t="s">
        <v>63</v>
      </c>
      <c r="AR344" t="s">
        <v>63</v>
      </c>
      <c r="AS344" t="s">
        <v>63</v>
      </c>
      <c r="AT344" t="s">
        <v>63</v>
      </c>
      <c r="AU344" t="s">
        <v>63</v>
      </c>
      <c r="AV344" t="s">
        <v>63</v>
      </c>
      <c r="AW344" t="s">
        <v>63</v>
      </c>
      <c r="AX344" t="s">
        <v>63</v>
      </c>
      <c r="AY344" t="s">
        <v>63</v>
      </c>
      <c r="AZ344" t="s">
        <v>63</v>
      </c>
      <c r="BA344" t="s">
        <v>63</v>
      </c>
      <c r="BB344" t="s">
        <v>63</v>
      </c>
      <c r="BC344" t="s">
        <v>63</v>
      </c>
      <c r="BD344" t="s">
        <v>63</v>
      </c>
      <c r="BE344" t="s">
        <v>63</v>
      </c>
      <c r="BF344" t="s">
        <v>63</v>
      </c>
    </row>
    <row r="345" spans="1:58">
      <c r="A345" t="s">
        <v>58</v>
      </c>
      <c r="B345" t="s">
        <v>3149</v>
      </c>
      <c r="C345" t="s">
        <v>3150</v>
      </c>
      <c r="D345" t="s">
        <v>763</v>
      </c>
      <c r="E345" t="s">
        <v>63</v>
      </c>
      <c r="F345">
        <v>1994</v>
      </c>
      <c r="G345" t="s">
        <v>138</v>
      </c>
      <c r="H345">
        <v>69</v>
      </c>
      <c r="I345">
        <v>10</v>
      </c>
      <c r="J345" t="s">
        <v>3151</v>
      </c>
      <c r="K345">
        <v>50</v>
      </c>
      <c r="L345" t="s">
        <v>3152</v>
      </c>
      <c r="M345" t="s">
        <v>63</v>
      </c>
      <c r="N345" t="s">
        <v>3153</v>
      </c>
      <c r="O345" t="s">
        <v>63</v>
      </c>
      <c r="Q345" t="s">
        <v>63</v>
      </c>
      <c r="R345" t="s">
        <v>63</v>
      </c>
      <c r="S345" t="s">
        <v>63</v>
      </c>
      <c r="T345" t="s">
        <v>63</v>
      </c>
      <c r="X345" t="s">
        <v>63</v>
      </c>
      <c r="Y345" t="s">
        <v>858</v>
      </c>
      <c r="Z345" t="s">
        <v>63</v>
      </c>
      <c r="AA345" t="s">
        <v>3154</v>
      </c>
      <c r="AB345">
        <v>7916826</v>
      </c>
      <c r="AC345" t="s">
        <v>67</v>
      </c>
      <c r="AD345" t="s">
        <v>63</v>
      </c>
      <c r="AE345" t="s">
        <v>63</v>
      </c>
      <c r="AF345" t="s">
        <v>63</v>
      </c>
      <c r="AG345" t="s">
        <v>3155</v>
      </c>
      <c r="AH345" t="s">
        <v>63</v>
      </c>
      <c r="AI345" t="s">
        <v>63</v>
      </c>
      <c r="AJ345" t="s">
        <v>63</v>
      </c>
      <c r="AK345" t="s">
        <v>63</v>
      </c>
      <c r="AL345" t="s">
        <v>63</v>
      </c>
      <c r="AM345" t="s">
        <v>3156</v>
      </c>
      <c r="AN345" t="s">
        <v>63</v>
      </c>
      <c r="AO345" t="s">
        <v>63</v>
      </c>
      <c r="AP345" t="s">
        <v>63</v>
      </c>
      <c r="AQ345" t="s">
        <v>63</v>
      </c>
      <c r="AR345" t="s">
        <v>63</v>
      </c>
      <c r="AS345" t="s">
        <v>63</v>
      </c>
      <c r="AT345" t="s">
        <v>63</v>
      </c>
      <c r="AU345" t="s">
        <v>63</v>
      </c>
      <c r="AV345" t="s">
        <v>63</v>
      </c>
      <c r="AW345" t="s">
        <v>63</v>
      </c>
      <c r="AX345" t="s">
        <v>63</v>
      </c>
      <c r="AY345" t="s">
        <v>63</v>
      </c>
      <c r="AZ345" t="s">
        <v>63</v>
      </c>
      <c r="BA345" t="s">
        <v>63</v>
      </c>
      <c r="BB345" t="s">
        <v>63</v>
      </c>
      <c r="BC345" t="s">
        <v>63</v>
      </c>
      <c r="BD345" t="s">
        <v>63</v>
      </c>
      <c r="BE345" t="s">
        <v>63</v>
      </c>
      <c r="BF345" t="s">
        <v>63</v>
      </c>
    </row>
    <row r="346" spans="1:58">
      <c r="A346" t="s">
        <v>58</v>
      </c>
      <c r="B346" t="s">
        <v>3157</v>
      </c>
      <c r="C346" t="s">
        <v>3158</v>
      </c>
      <c r="D346" t="s">
        <v>398</v>
      </c>
      <c r="E346" t="s">
        <v>398</v>
      </c>
      <c r="F346">
        <v>2007</v>
      </c>
      <c r="G346" t="s">
        <v>157</v>
      </c>
      <c r="H346">
        <v>120</v>
      </c>
      <c r="I346">
        <v>6</v>
      </c>
      <c r="J346">
        <v>1379</v>
      </c>
      <c r="K346">
        <v>1384</v>
      </c>
      <c r="L346" t="s">
        <v>3159</v>
      </c>
      <c r="M346" t="s">
        <v>3160</v>
      </c>
      <c r="N346" t="s">
        <v>3161</v>
      </c>
      <c r="O346" t="s">
        <v>63</v>
      </c>
      <c r="Q346" t="s">
        <v>63</v>
      </c>
      <c r="R346" t="s">
        <v>63</v>
      </c>
      <c r="S346" t="s">
        <v>63</v>
      </c>
      <c r="T346" t="s">
        <v>63</v>
      </c>
      <c r="X346" t="s">
        <v>63</v>
      </c>
      <c r="Y346" t="s">
        <v>3162</v>
      </c>
      <c r="Z346" t="s">
        <v>63</v>
      </c>
      <c r="AA346" t="s">
        <v>63</v>
      </c>
      <c r="AB346">
        <v>18055689</v>
      </c>
      <c r="AC346" t="s">
        <v>67</v>
      </c>
      <c r="AD346" t="s">
        <v>63</v>
      </c>
      <c r="AE346" t="s">
        <v>63</v>
      </c>
      <c r="AF346" t="s">
        <v>63</v>
      </c>
      <c r="AG346" t="s">
        <v>3163</v>
      </c>
      <c r="AH346" t="s">
        <v>63</v>
      </c>
      <c r="AI346" t="s">
        <v>63</v>
      </c>
      <c r="AJ346" t="s">
        <v>63</v>
      </c>
      <c r="AK346" t="s">
        <v>63</v>
      </c>
      <c r="AL346" t="s">
        <v>63</v>
      </c>
      <c r="AM346" t="s">
        <v>3164</v>
      </c>
      <c r="AN346" t="s">
        <v>63</v>
      </c>
      <c r="AO346" t="s">
        <v>63</v>
      </c>
      <c r="AP346" t="s">
        <v>63</v>
      </c>
      <c r="AQ346" t="s">
        <v>63</v>
      </c>
      <c r="AR346" t="s">
        <v>63</v>
      </c>
      <c r="AS346" t="s">
        <v>63</v>
      </c>
      <c r="AT346" t="s">
        <v>63</v>
      </c>
      <c r="AU346" t="s">
        <v>63</v>
      </c>
      <c r="AV346" t="s">
        <v>63</v>
      </c>
      <c r="AW346" t="s">
        <v>63</v>
      </c>
      <c r="AX346" t="s">
        <v>63</v>
      </c>
      <c r="AY346" t="s">
        <v>63</v>
      </c>
      <c r="AZ346" t="s">
        <v>63</v>
      </c>
      <c r="BA346" t="s">
        <v>63</v>
      </c>
      <c r="BB346" t="s">
        <v>63</v>
      </c>
      <c r="BC346" t="s">
        <v>63</v>
      </c>
      <c r="BD346" t="s">
        <v>63</v>
      </c>
      <c r="BE346" t="s">
        <v>63</v>
      </c>
      <c r="BF346" t="s">
        <v>63</v>
      </c>
    </row>
    <row r="347" spans="1:58">
      <c r="A347" t="s">
        <v>58</v>
      </c>
      <c r="B347" t="s">
        <v>3165</v>
      </c>
      <c r="C347" t="s">
        <v>3166</v>
      </c>
      <c r="D347" t="s">
        <v>3167</v>
      </c>
      <c r="E347" t="s">
        <v>3168</v>
      </c>
      <c r="F347">
        <v>1994</v>
      </c>
      <c r="G347" t="s">
        <v>274</v>
      </c>
      <c r="H347">
        <v>14</v>
      </c>
      <c r="I347">
        <v>1</v>
      </c>
      <c r="J347">
        <v>41</v>
      </c>
      <c r="K347">
        <v>49</v>
      </c>
      <c r="L347" t="s">
        <v>3169</v>
      </c>
      <c r="M347" t="s">
        <v>3170</v>
      </c>
      <c r="N347" t="s">
        <v>3171</v>
      </c>
      <c r="O347" t="s">
        <v>63</v>
      </c>
      <c r="Q347" t="s">
        <v>63</v>
      </c>
      <c r="R347" t="s">
        <v>63</v>
      </c>
      <c r="S347" t="s">
        <v>63</v>
      </c>
      <c r="T347" t="s">
        <v>63</v>
      </c>
      <c r="X347" t="s">
        <v>63</v>
      </c>
      <c r="Y347" t="s">
        <v>3172</v>
      </c>
      <c r="Z347" t="s">
        <v>63</v>
      </c>
      <c r="AA347" t="s">
        <v>3173</v>
      </c>
      <c r="AB347">
        <v>8048347</v>
      </c>
      <c r="AC347" t="s">
        <v>67</v>
      </c>
      <c r="AD347" t="s">
        <v>63</v>
      </c>
      <c r="AE347" t="s">
        <v>63</v>
      </c>
      <c r="AF347" t="s">
        <v>63</v>
      </c>
      <c r="AG347" t="s">
        <v>3174</v>
      </c>
      <c r="AH347" t="s">
        <v>63</v>
      </c>
      <c r="AI347" t="s">
        <v>63</v>
      </c>
      <c r="AJ347" t="s">
        <v>63</v>
      </c>
      <c r="AK347" t="s">
        <v>63</v>
      </c>
      <c r="AL347" t="s">
        <v>63</v>
      </c>
      <c r="AM347" t="s">
        <v>3175</v>
      </c>
      <c r="AN347" t="s">
        <v>63</v>
      </c>
      <c r="AO347" t="s">
        <v>63</v>
      </c>
      <c r="AP347" t="s">
        <v>63</v>
      </c>
      <c r="AQ347" t="s">
        <v>63</v>
      </c>
      <c r="AR347" t="s">
        <v>63</v>
      </c>
      <c r="AS347" t="s">
        <v>63</v>
      </c>
      <c r="AT347" t="s">
        <v>63</v>
      </c>
      <c r="AU347" t="s">
        <v>63</v>
      </c>
      <c r="AV347" t="s">
        <v>63</v>
      </c>
      <c r="AW347" t="s">
        <v>63</v>
      </c>
      <c r="AX347" t="s">
        <v>63</v>
      </c>
      <c r="AY347" t="s">
        <v>63</v>
      </c>
      <c r="AZ347" t="s">
        <v>63</v>
      </c>
      <c r="BA347" t="s">
        <v>63</v>
      </c>
      <c r="BB347" t="s">
        <v>63</v>
      </c>
      <c r="BC347" t="s">
        <v>63</v>
      </c>
      <c r="BD347" t="s">
        <v>63</v>
      </c>
      <c r="BE347" t="s">
        <v>63</v>
      </c>
      <c r="BF347" t="s">
        <v>63</v>
      </c>
    </row>
    <row r="348" spans="1:58">
      <c r="A348" t="s">
        <v>58</v>
      </c>
      <c r="B348" t="s">
        <v>3176</v>
      </c>
      <c r="C348" t="s">
        <v>3177</v>
      </c>
      <c r="D348" t="s">
        <v>3178</v>
      </c>
      <c r="E348" t="s">
        <v>63</v>
      </c>
      <c r="F348">
        <v>2017</v>
      </c>
      <c r="G348" t="s">
        <v>73</v>
      </c>
      <c r="H348">
        <v>28</v>
      </c>
      <c r="I348">
        <v>2</v>
      </c>
      <c r="J348">
        <v>92</v>
      </c>
      <c r="K348">
        <v>95</v>
      </c>
      <c r="L348" t="s">
        <v>3179</v>
      </c>
      <c r="M348" t="s">
        <v>3180</v>
      </c>
      <c r="N348" t="s">
        <v>3181</v>
      </c>
      <c r="O348" t="s">
        <v>63</v>
      </c>
      <c r="Q348" t="s">
        <v>63</v>
      </c>
      <c r="R348" t="s">
        <v>63</v>
      </c>
      <c r="S348" t="s">
        <v>63</v>
      </c>
      <c r="T348" t="s">
        <v>63</v>
      </c>
      <c r="X348" t="s">
        <v>63</v>
      </c>
      <c r="Y348" t="s">
        <v>3182</v>
      </c>
      <c r="Z348" t="s">
        <v>63</v>
      </c>
      <c r="AA348" t="s">
        <v>3183</v>
      </c>
      <c r="AB348">
        <v>28509838</v>
      </c>
      <c r="AC348" t="s">
        <v>67</v>
      </c>
      <c r="AD348" t="s">
        <v>63</v>
      </c>
      <c r="AE348" t="s">
        <v>63</v>
      </c>
      <c r="AF348" t="s">
        <v>63</v>
      </c>
      <c r="AG348" t="s">
        <v>3184</v>
      </c>
      <c r="AH348" t="s">
        <v>63</v>
      </c>
      <c r="AI348" t="s">
        <v>3185</v>
      </c>
      <c r="AJ348" t="s">
        <v>63</v>
      </c>
      <c r="AK348" t="s">
        <v>63</v>
      </c>
      <c r="AL348" t="s">
        <v>63</v>
      </c>
      <c r="AM348" t="s">
        <v>3186</v>
      </c>
      <c r="AN348" t="s">
        <v>63</v>
      </c>
      <c r="AO348" t="s">
        <v>63</v>
      </c>
      <c r="AP348" t="s">
        <v>63</v>
      </c>
      <c r="AQ348" t="s">
        <v>63</v>
      </c>
      <c r="AR348" t="s">
        <v>63</v>
      </c>
      <c r="AS348" t="s">
        <v>63</v>
      </c>
      <c r="AT348" t="s">
        <v>63</v>
      </c>
      <c r="AU348" t="s">
        <v>63</v>
      </c>
      <c r="AV348" t="s">
        <v>63</v>
      </c>
      <c r="AW348" t="s">
        <v>63</v>
      </c>
      <c r="AX348" t="s">
        <v>63</v>
      </c>
      <c r="AY348" t="s">
        <v>63</v>
      </c>
      <c r="AZ348" t="s">
        <v>63</v>
      </c>
      <c r="BA348" t="s">
        <v>63</v>
      </c>
      <c r="BB348" t="s">
        <v>63</v>
      </c>
      <c r="BC348" t="s">
        <v>63</v>
      </c>
      <c r="BD348" t="s">
        <v>63</v>
      </c>
      <c r="BE348" t="s">
        <v>63</v>
      </c>
      <c r="BF348" t="s">
        <v>63</v>
      </c>
    </row>
    <row r="349" spans="1:58">
      <c r="A349" t="s">
        <v>58</v>
      </c>
      <c r="B349" t="s">
        <v>3187</v>
      </c>
      <c r="C349" t="s">
        <v>3188</v>
      </c>
      <c r="D349" t="s">
        <v>3189</v>
      </c>
      <c r="E349" t="s">
        <v>63</v>
      </c>
      <c r="F349">
        <v>2015</v>
      </c>
      <c r="G349" t="s">
        <v>157</v>
      </c>
      <c r="H349">
        <v>60</v>
      </c>
      <c r="I349">
        <v>12</v>
      </c>
      <c r="J349">
        <v>1</v>
      </c>
      <c r="K349">
        <v>12</v>
      </c>
      <c r="L349" t="s">
        <v>3190</v>
      </c>
      <c r="M349" t="s">
        <v>63</v>
      </c>
      <c r="N349" t="s">
        <v>3191</v>
      </c>
      <c r="O349" t="s">
        <v>63</v>
      </c>
      <c r="Q349" t="s">
        <v>63</v>
      </c>
      <c r="R349" t="s">
        <v>63</v>
      </c>
      <c r="S349" t="s">
        <v>63</v>
      </c>
      <c r="T349" t="s">
        <v>63</v>
      </c>
      <c r="X349" t="s">
        <v>63</v>
      </c>
      <c r="Y349" t="s">
        <v>3192</v>
      </c>
      <c r="Z349" t="s">
        <v>63</v>
      </c>
      <c r="AA349" t="s">
        <v>3193</v>
      </c>
      <c r="AB349">
        <v>26720815</v>
      </c>
      <c r="AC349" t="s">
        <v>67</v>
      </c>
      <c r="AD349" t="s">
        <v>63</v>
      </c>
      <c r="AE349" t="s">
        <v>63</v>
      </c>
      <c r="AF349" t="s">
        <v>63</v>
      </c>
      <c r="AG349" t="s">
        <v>3194</v>
      </c>
      <c r="AH349" t="s">
        <v>63</v>
      </c>
      <c r="AI349" t="s">
        <v>63</v>
      </c>
      <c r="AJ349" t="s">
        <v>63</v>
      </c>
      <c r="AK349" t="s">
        <v>63</v>
      </c>
      <c r="AL349" t="s">
        <v>63</v>
      </c>
      <c r="AM349" t="s">
        <v>3195</v>
      </c>
      <c r="AN349" t="s">
        <v>63</v>
      </c>
      <c r="AO349" t="s">
        <v>63</v>
      </c>
      <c r="AP349" t="s">
        <v>63</v>
      </c>
      <c r="AQ349" t="s">
        <v>63</v>
      </c>
      <c r="AR349" t="s">
        <v>63</v>
      </c>
      <c r="AS349" t="s">
        <v>63</v>
      </c>
      <c r="AT349" t="s">
        <v>63</v>
      </c>
      <c r="AU349" t="s">
        <v>63</v>
      </c>
      <c r="AV349" t="s">
        <v>63</v>
      </c>
      <c r="AW349" t="s">
        <v>63</v>
      </c>
      <c r="AX349" t="s">
        <v>63</v>
      </c>
      <c r="AY349" t="s">
        <v>63</v>
      </c>
      <c r="AZ349" t="s">
        <v>63</v>
      </c>
      <c r="BA349" t="s">
        <v>63</v>
      </c>
      <c r="BB349" t="s">
        <v>63</v>
      </c>
      <c r="BC349" t="s">
        <v>63</v>
      </c>
      <c r="BD349" t="s">
        <v>63</v>
      </c>
      <c r="BE349" t="s">
        <v>63</v>
      </c>
      <c r="BF349" t="s">
        <v>63</v>
      </c>
    </row>
    <row r="350" spans="1:58">
      <c r="A350" t="s">
        <v>58</v>
      </c>
      <c r="B350" t="s">
        <v>3196</v>
      </c>
      <c r="C350" t="s">
        <v>3197</v>
      </c>
      <c r="D350" t="s">
        <v>763</v>
      </c>
      <c r="E350" t="s">
        <v>63</v>
      </c>
      <c r="F350">
        <v>1997</v>
      </c>
      <c r="G350" t="s">
        <v>189</v>
      </c>
      <c r="H350">
        <v>72</v>
      </c>
      <c r="I350">
        <v>5</v>
      </c>
      <c r="J350">
        <v>376</v>
      </c>
      <c r="K350">
        <v>381</v>
      </c>
      <c r="L350" t="s">
        <v>3198</v>
      </c>
      <c r="M350" t="s">
        <v>3199</v>
      </c>
      <c r="N350" t="s">
        <v>3200</v>
      </c>
      <c r="O350" t="s">
        <v>63</v>
      </c>
      <c r="Q350" t="s">
        <v>63</v>
      </c>
      <c r="R350" t="s">
        <v>63</v>
      </c>
      <c r="S350" t="s">
        <v>63</v>
      </c>
      <c r="T350" t="s">
        <v>63</v>
      </c>
      <c r="X350" t="s">
        <v>63</v>
      </c>
      <c r="Y350" t="s">
        <v>858</v>
      </c>
      <c r="Z350" t="s">
        <v>63</v>
      </c>
      <c r="AA350" t="s">
        <v>3201</v>
      </c>
      <c r="AB350">
        <v>9159584</v>
      </c>
      <c r="AC350" t="s">
        <v>67</v>
      </c>
      <c r="AD350" t="s">
        <v>63</v>
      </c>
      <c r="AE350" t="s">
        <v>63</v>
      </c>
      <c r="AF350" t="s">
        <v>63</v>
      </c>
      <c r="AG350" t="s">
        <v>3202</v>
      </c>
      <c r="AH350" t="s">
        <v>63</v>
      </c>
      <c r="AI350" t="s">
        <v>63</v>
      </c>
      <c r="AJ350" t="s">
        <v>63</v>
      </c>
      <c r="AK350" t="s">
        <v>63</v>
      </c>
      <c r="AL350" t="s">
        <v>63</v>
      </c>
      <c r="AM350" t="s">
        <v>3203</v>
      </c>
      <c r="AN350" t="s">
        <v>63</v>
      </c>
      <c r="AO350" t="s">
        <v>63</v>
      </c>
      <c r="AP350" t="s">
        <v>63</v>
      </c>
      <c r="AQ350" t="s">
        <v>63</v>
      </c>
      <c r="AR350" t="s">
        <v>63</v>
      </c>
      <c r="AS350" t="s">
        <v>63</v>
      </c>
      <c r="AT350" t="s">
        <v>63</v>
      </c>
      <c r="AU350" t="s">
        <v>63</v>
      </c>
      <c r="AV350" t="s">
        <v>63</v>
      </c>
      <c r="AW350" t="s">
        <v>63</v>
      </c>
      <c r="AX350" t="s">
        <v>63</v>
      </c>
      <c r="AY350" t="s">
        <v>63</v>
      </c>
      <c r="AZ350" t="s">
        <v>63</v>
      </c>
      <c r="BA350" t="s">
        <v>63</v>
      </c>
      <c r="BB350" t="s">
        <v>63</v>
      </c>
      <c r="BC350" t="s">
        <v>63</v>
      </c>
      <c r="BD350" t="s">
        <v>63</v>
      </c>
      <c r="BE350" t="s">
        <v>63</v>
      </c>
      <c r="BF350" t="s">
        <v>63</v>
      </c>
    </row>
    <row r="351" spans="1:58">
      <c r="A351" t="s">
        <v>58</v>
      </c>
      <c r="B351" t="s">
        <v>3204</v>
      </c>
      <c r="C351" t="s">
        <v>3205</v>
      </c>
      <c r="D351" t="s">
        <v>3206</v>
      </c>
      <c r="E351" t="s">
        <v>63</v>
      </c>
      <c r="F351">
        <v>2010</v>
      </c>
      <c r="G351" t="s">
        <v>84</v>
      </c>
      <c r="H351">
        <v>6</v>
      </c>
      <c r="I351">
        <v>4</v>
      </c>
      <c r="J351">
        <v>191</v>
      </c>
      <c r="K351">
        <v>197</v>
      </c>
      <c r="L351" t="s">
        <v>3207</v>
      </c>
      <c r="M351" t="s">
        <v>3208</v>
      </c>
      <c r="N351" t="s">
        <v>3209</v>
      </c>
      <c r="O351" t="s">
        <v>63</v>
      </c>
      <c r="Q351" t="s">
        <v>63</v>
      </c>
      <c r="R351" t="s">
        <v>63</v>
      </c>
      <c r="S351" t="s">
        <v>63</v>
      </c>
      <c r="T351" t="s">
        <v>63</v>
      </c>
      <c r="X351" t="s">
        <v>63</v>
      </c>
      <c r="Y351" t="s">
        <v>3210</v>
      </c>
      <c r="Z351" t="s">
        <v>63</v>
      </c>
      <c r="AA351" t="s">
        <v>3211</v>
      </c>
      <c r="AB351">
        <v>20357788</v>
      </c>
      <c r="AC351" t="s">
        <v>67</v>
      </c>
      <c r="AD351" t="s">
        <v>63</v>
      </c>
      <c r="AE351" t="s">
        <v>63</v>
      </c>
      <c r="AF351" t="s">
        <v>63</v>
      </c>
      <c r="AG351" t="s">
        <v>3212</v>
      </c>
      <c r="AH351" t="s">
        <v>63</v>
      </c>
      <c r="AI351" t="s">
        <v>3213</v>
      </c>
      <c r="AJ351" t="s">
        <v>63</v>
      </c>
      <c r="AK351" t="s">
        <v>63</v>
      </c>
      <c r="AL351" t="s">
        <v>63</v>
      </c>
      <c r="AM351" t="s">
        <v>3214</v>
      </c>
      <c r="AN351" t="s">
        <v>63</v>
      </c>
      <c r="AO351" t="s">
        <v>63</v>
      </c>
      <c r="AP351" t="s">
        <v>63</v>
      </c>
      <c r="AQ351" t="s">
        <v>63</v>
      </c>
      <c r="AR351" t="s">
        <v>63</v>
      </c>
      <c r="AS351" t="s">
        <v>63</v>
      </c>
      <c r="AT351" t="s">
        <v>63</v>
      </c>
      <c r="AU351" t="s">
        <v>63</v>
      </c>
      <c r="AV351" t="s">
        <v>63</v>
      </c>
      <c r="AW351" t="s">
        <v>63</v>
      </c>
      <c r="AX351" t="s">
        <v>63</v>
      </c>
      <c r="AY351" t="s">
        <v>63</v>
      </c>
      <c r="AZ351" t="s">
        <v>63</v>
      </c>
      <c r="BA351" t="s">
        <v>63</v>
      </c>
      <c r="BB351" t="s">
        <v>63</v>
      </c>
      <c r="BC351" t="s">
        <v>63</v>
      </c>
      <c r="BD351" t="s">
        <v>63</v>
      </c>
      <c r="BE351" t="s">
        <v>63</v>
      </c>
      <c r="BF351" t="s">
        <v>63</v>
      </c>
    </row>
    <row r="352" spans="1:58">
      <c r="A352" t="s">
        <v>58</v>
      </c>
      <c r="B352" t="s">
        <v>3215</v>
      </c>
      <c r="C352" t="s">
        <v>3216</v>
      </c>
      <c r="D352" t="s">
        <v>1055</v>
      </c>
      <c r="E352" t="s">
        <v>1056</v>
      </c>
      <c r="F352">
        <v>1994</v>
      </c>
      <c r="G352" t="s">
        <v>189</v>
      </c>
      <c r="H352">
        <v>28</v>
      </c>
      <c r="I352">
        <v>3</v>
      </c>
      <c r="J352">
        <v>187</v>
      </c>
      <c r="K352">
        <v>196</v>
      </c>
      <c r="L352" t="s">
        <v>3217</v>
      </c>
      <c r="M352" t="s">
        <v>3218</v>
      </c>
      <c r="N352" t="s">
        <v>3219</v>
      </c>
      <c r="O352" t="s">
        <v>63</v>
      </c>
      <c r="Q352" t="s">
        <v>63</v>
      </c>
      <c r="R352" t="s">
        <v>63</v>
      </c>
      <c r="S352" t="s">
        <v>63</v>
      </c>
      <c r="T352" t="s">
        <v>63</v>
      </c>
      <c r="X352" t="s">
        <v>63</v>
      </c>
      <c r="Y352" t="s">
        <v>1059</v>
      </c>
      <c r="Z352" t="s">
        <v>63</v>
      </c>
      <c r="AA352" t="s">
        <v>3220</v>
      </c>
      <c r="AB352">
        <v>8035710</v>
      </c>
      <c r="AC352" t="s">
        <v>67</v>
      </c>
      <c r="AD352" t="s">
        <v>63</v>
      </c>
      <c r="AE352" t="s">
        <v>63</v>
      </c>
      <c r="AF352" t="s">
        <v>63</v>
      </c>
      <c r="AG352" t="s">
        <v>3221</v>
      </c>
      <c r="AH352" t="s">
        <v>63</v>
      </c>
      <c r="AI352" t="s">
        <v>63</v>
      </c>
      <c r="AJ352" t="s">
        <v>63</v>
      </c>
      <c r="AK352" t="s">
        <v>63</v>
      </c>
      <c r="AL352" t="s">
        <v>63</v>
      </c>
      <c r="AM352" t="s">
        <v>3222</v>
      </c>
      <c r="AN352" t="s">
        <v>63</v>
      </c>
      <c r="AO352" t="s">
        <v>63</v>
      </c>
      <c r="AP352" t="s">
        <v>63</v>
      </c>
      <c r="AQ352" t="s">
        <v>63</v>
      </c>
      <c r="AR352" t="s">
        <v>63</v>
      </c>
      <c r="AS352" t="s">
        <v>63</v>
      </c>
      <c r="AT352" t="s">
        <v>63</v>
      </c>
      <c r="AU352" t="s">
        <v>63</v>
      </c>
      <c r="AV352" t="s">
        <v>63</v>
      </c>
      <c r="AW352" t="s">
        <v>63</v>
      </c>
      <c r="AX352" t="s">
        <v>63</v>
      </c>
      <c r="AY352" t="s">
        <v>63</v>
      </c>
      <c r="AZ352" t="s">
        <v>63</v>
      </c>
      <c r="BA352" t="s">
        <v>63</v>
      </c>
      <c r="BB352" t="s">
        <v>63</v>
      </c>
      <c r="BC352" t="s">
        <v>63</v>
      </c>
      <c r="BD352" t="s">
        <v>63</v>
      </c>
      <c r="BE352" t="s">
        <v>63</v>
      </c>
      <c r="BF352" t="s">
        <v>63</v>
      </c>
    </row>
    <row r="353" spans="1:58">
      <c r="A353" t="s">
        <v>58</v>
      </c>
      <c r="B353" t="s">
        <v>3223</v>
      </c>
      <c r="C353" t="s">
        <v>3224</v>
      </c>
      <c r="D353" t="s">
        <v>1481</v>
      </c>
      <c r="E353" t="s">
        <v>1481</v>
      </c>
      <c r="F353">
        <v>2015</v>
      </c>
      <c r="G353" t="s">
        <v>1670</v>
      </c>
      <c r="H353" t="s">
        <v>3225</v>
      </c>
      <c r="I353" t="s">
        <v>63</v>
      </c>
      <c r="J353">
        <v>47</v>
      </c>
      <c r="K353">
        <v>49</v>
      </c>
      <c r="L353" t="s">
        <v>3226</v>
      </c>
      <c r="M353" t="s">
        <v>3227</v>
      </c>
      <c r="N353" t="s">
        <v>3228</v>
      </c>
      <c r="O353" t="s">
        <v>63</v>
      </c>
      <c r="Q353" t="s">
        <v>63</v>
      </c>
      <c r="R353" t="s">
        <v>63</v>
      </c>
      <c r="S353" t="s">
        <v>63</v>
      </c>
      <c r="T353" t="s">
        <v>63</v>
      </c>
      <c r="X353" t="s">
        <v>63</v>
      </c>
      <c r="Y353" t="s">
        <v>1484</v>
      </c>
      <c r="Z353" t="s">
        <v>63</v>
      </c>
      <c r="AA353" t="s">
        <v>3229</v>
      </c>
      <c r="AB353">
        <v>26042568</v>
      </c>
      <c r="AC353" t="s">
        <v>67</v>
      </c>
      <c r="AD353" t="s">
        <v>63</v>
      </c>
      <c r="AE353" t="s">
        <v>63</v>
      </c>
      <c r="AF353" t="s">
        <v>63</v>
      </c>
      <c r="AG353" t="s">
        <v>3230</v>
      </c>
      <c r="AH353" t="s">
        <v>63</v>
      </c>
      <c r="AI353" t="s">
        <v>3231</v>
      </c>
      <c r="AJ353" t="s">
        <v>63</v>
      </c>
      <c r="AK353" t="s">
        <v>63</v>
      </c>
      <c r="AL353" t="s">
        <v>63</v>
      </c>
      <c r="AM353" t="s">
        <v>3232</v>
      </c>
      <c r="AN353" t="s">
        <v>63</v>
      </c>
      <c r="AO353" t="s">
        <v>63</v>
      </c>
      <c r="AP353" t="s">
        <v>63</v>
      </c>
      <c r="AQ353" t="s">
        <v>63</v>
      </c>
      <c r="AR353" t="s">
        <v>63</v>
      </c>
      <c r="AS353" t="s">
        <v>63</v>
      </c>
      <c r="AT353" t="s">
        <v>63</v>
      </c>
      <c r="AU353" t="s">
        <v>63</v>
      </c>
      <c r="AV353" t="s">
        <v>63</v>
      </c>
      <c r="AW353" t="s">
        <v>63</v>
      </c>
      <c r="AX353" t="s">
        <v>63</v>
      </c>
      <c r="AY353" t="s">
        <v>63</v>
      </c>
      <c r="AZ353" t="s">
        <v>63</v>
      </c>
      <c r="BA353" t="s">
        <v>63</v>
      </c>
      <c r="BB353" t="s">
        <v>63</v>
      </c>
      <c r="BC353" t="s">
        <v>63</v>
      </c>
      <c r="BD353" t="s">
        <v>63</v>
      </c>
      <c r="BE353" t="s">
        <v>63</v>
      </c>
      <c r="BF353" t="s">
        <v>63</v>
      </c>
    </row>
    <row r="354" spans="1:58">
      <c r="A354" t="s">
        <v>58</v>
      </c>
      <c r="B354" t="s">
        <v>3223</v>
      </c>
      <c r="C354" t="s">
        <v>3233</v>
      </c>
      <c r="D354" t="s">
        <v>1481</v>
      </c>
      <c r="E354" t="s">
        <v>1481</v>
      </c>
      <c r="F354">
        <v>2009</v>
      </c>
      <c r="G354" t="s">
        <v>326</v>
      </c>
      <c r="H354">
        <v>104</v>
      </c>
      <c r="I354">
        <v>2</v>
      </c>
      <c r="J354">
        <v>174</v>
      </c>
      <c r="K354" t="s">
        <v>3234</v>
      </c>
      <c r="L354" t="s">
        <v>3235</v>
      </c>
      <c r="M354" t="s">
        <v>63</v>
      </c>
      <c r="N354" t="s">
        <v>3236</v>
      </c>
      <c r="O354" t="s">
        <v>63</v>
      </c>
      <c r="Q354" t="s">
        <v>63</v>
      </c>
      <c r="R354" t="s">
        <v>63</v>
      </c>
      <c r="S354" t="s">
        <v>63</v>
      </c>
      <c r="T354" t="s">
        <v>63</v>
      </c>
      <c r="X354" t="s">
        <v>63</v>
      </c>
      <c r="Y354" t="s">
        <v>1484</v>
      </c>
      <c r="Z354" t="s">
        <v>63</v>
      </c>
      <c r="AA354" t="s">
        <v>3237</v>
      </c>
      <c r="AB354">
        <v>19149808</v>
      </c>
      <c r="AC354" t="s">
        <v>67</v>
      </c>
      <c r="AD354" t="s">
        <v>63</v>
      </c>
      <c r="AE354" t="s">
        <v>63</v>
      </c>
      <c r="AF354" t="s">
        <v>63</v>
      </c>
      <c r="AG354" t="s">
        <v>3238</v>
      </c>
      <c r="AH354" t="s">
        <v>63</v>
      </c>
      <c r="AI354" t="s">
        <v>3239</v>
      </c>
      <c r="AJ354" t="s">
        <v>63</v>
      </c>
      <c r="AK354" t="s">
        <v>63</v>
      </c>
      <c r="AL354" t="s">
        <v>63</v>
      </c>
      <c r="AM354" t="s">
        <v>3240</v>
      </c>
      <c r="AN354" t="s">
        <v>63</v>
      </c>
      <c r="AO354" t="s">
        <v>63</v>
      </c>
      <c r="AP354" t="s">
        <v>63</v>
      </c>
      <c r="AQ354" t="s">
        <v>63</v>
      </c>
      <c r="AR354" t="s">
        <v>63</v>
      </c>
      <c r="AS354" t="s">
        <v>63</v>
      </c>
      <c r="AT354" t="s">
        <v>63</v>
      </c>
      <c r="AU354" t="s">
        <v>63</v>
      </c>
      <c r="AV354" t="s">
        <v>63</v>
      </c>
      <c r="AW354" t="s">
        <v>63</v>
      </c>
      <c r="AX354" t="s">
        <v>63</v>
      </c>
      <c r="AY354" t="s">
        <v>63</v>
      </c>
      <c r="AZ354" t="s">
        <v>63</v>
      </c>
      <c r="BA354" t="s">
        <v>63</v>
      </c>
      <c r="BB354" t="s">
        <v>63</v>
      </c>
      <c r="BC354" t="s">
        <v>63</v>
      </c>
      <c r="BD354" t="s">
        <v>63</v>
      </c>
      <c r="BE354" t="s">
        <v>63</v>
      </c>
      <c r="BF354" t="s">
        <v>63</v>
      </c>
    </row>
    <row r="355" spans="1:58">
      <c r="A355" t="s">
        <v>58</v>
      </c>
      <c r="B355" t="s">
        <v>3241</v>
      </c>
      <c r="C355" t="s">
        <v>3242</v>
      </c>
      <c r="D355" t="s">
        <v>3243</v>
      </c>
      <c r="E355" t="s">
        <v>3244</v>
      </c>
      <c r="F355">
        <v>2018</v>
      </c>
      <c r="G355" s="1">
        <v>41752</v>
      </c>
      <c r="H355" t="s">
        <v>63</v>
      </c>
      <c r="I355" t="s">
        <v>63</v>
      </c>
      <c r="J355">
        <v>24</v>
      </c>
      <c r="K355" t="s">
        <v>63</v>
      </c>
      <c r="L355" t="s">
        <v>63</v>
      </c>
      <c r="M355" t="s">
        <v>63</v>
      </c>
      <c r="N355" t="s">
        <v>3245</v>
      </c>
      <c r="O355" t="s">
        <v>63</v>
      </c>
      <c r="Q355" t="s">
        <v>63</v>
      </c>
      <c r="R355" t="s">
        <v>63</v>
      </c>
      <c r="S355" t="s">
        <v>63</v>
      </c>
      <c r="T355" t="s">
        <v>63</v>
      </c>
      <c r="X355" t="s">
        <v>63</v>
      </c>
      <c r="Y355" t="s">
        <v>3246</v>
      </c>
      <c r="Z355" t="s">
        <v>63</v>
      </c>
      <c r="AA355" t="s">
        <v>3247</v>
      </c>
      <c r="AB355">
        <v>29697445</v>
      </c>
      <c r="AC355" t="s">
        <v>67</v>
      </c>
      <c r="AD355" t="s">
        <v>63</v>
      </c>
      <c r="AE355" t="s">
        <v>63</v>
      </c>
      <c r="AF355" t="s">
        <v>63</v>
      </c>
      <c r="AG355" t="s">
        <v>3248</v>
      </c>
      <c r="AH355" t="s">
        <v>63</v>
      </c>
      <c r="AI355" t="s">
        <v>3249</v>
      </c>
      <c r="AJ355" t="s">
        <v>63</v>
      </c>
      <c r="AK355" t="s">
        <v>63</v>
      </c>
      <c r="AL355" t="s">
        <v>63</v>
      </c>
      <c r="AM355" t="s">
        <v>3250</v>
      </c>
      <c r="AN355" t="s">
        <v>63</v>
      </c>
      <c r="AO355" t="s">
        <v>63</v>
      </c>
      <c r="AP355" t="s">
        <v>63</v>
      </c>
      <c r="AQ355" t="s">
        <v>63</v>
      </c>
      <c r="AR355" t="s">
        <v>63</v>
      </c>
      <c r="AS355" t="s">
        <v>63</v>
      </c>
      <c r="AT355" t="s">
        <v>63</v>
      </c>
      <c r="AU355" t="s">
        <v>63</v>
      </c>
      <c r="AV355" t="s">
        <v>63</v>
      </c>
      <c r="AW355" t="s">
        <v>63</v>
      </c>
      <c r="AX355" t="s">
        <v>63</v>
      </c>
      <c r="AY355" t="s">
        <v>63</v>
      </c>
      <c r="AZ355" t="s">
        <v>63</v>
      </c>
      <c r="BA355" t="s">
        <v>63</v>
      </c>
      <c r="BB355" t="s">
        <v>63</v>
      </c>
      <c r="BC355" t="s">
        <v>63</v>
      </c>
      <c r="BD355" t="s">
        <v>63</v>
      </c>
      <c r="BE355" t="s">
        <v>63</v>
      </c>
      <c r="BF355" t="s">
        <v>63</v>
      </c>
    </row>
    <row r="356" spans="1:58">
      <c r="A356" t="s">
        <v>58</v>
      </c>
      <c r="B356" t="s">
        <v>3251</v>
      </c>
      <c r="C356" t="s">
        <v>3252</v>
      </c>
      <c r="D356" t="s">
        <v>3253</v>
      </c>
      <c r="E356" t="s">
        <v>63</v>
      </c>
      <c r="F356">
        <v>2017</v>
      </c>
      <c r="G356" s="1">
        <v>41651</v>
      </c>
      <c r="H356">
        <v>14</v>
      </c>
      <c r="I356">
        <v>1</v>
      </c>
      <c r="J356">
        <v>4</v>
      </c>
      <c r="K356" t="s">
        <v>63</v>
      </c>
      <c r="L356" t="s">
        <v>3254</v>
      </c>
      <c r="M356" t="s">
        <v>3255</v>
      </c>
      <c r="N356" t="s">
        <v>3256</v>
      </c>
      <c r="O356" t="s">
        <v>63</v>
      </c>
      <c r="Q356" t="s">
        <v>63</v>
      </c>
      <c r="R356" t="s">
        <v>63</v>
      </c>
      <c r="S356" t="s">
        <v>63</v>
      </c>
      <c r="T356" t="s">
        <v>63</v>
      </c>
      <c r="X356" t="s">
        <v>63</v>
      </c>
      <c r="Y356" t="s">
        <v>3257</v>
      </c>
      <c r="Z356" t="s">
        <v>63</v>
      </c>
      <c r="AA356" t="s">
        <v>3258</v>
      </c>
      <c r="AB356">
        <v>28086792</v>
      </c>
      <c r="AC356" t="s">
        <v>67</v>
      </c>
      <c r="AD356" t="s">
        <v>63</v>
      </c>
      <c r="AE356" t="s">
        <v>63</v>
      </c>
      <c r="AF356" t="s">
        <v>63</v>
      </c>
      <c r="AG356" t="s">
        <v>3259</v>
      </c>
      <c r="AH356" t="s">
        <v>63</v>
      </c>
      <c r="AI356" t="s">
        <v>3260</v>
      </c>
      <c r="AJ356" t="s">
        <v>63</v>
      </c>
      <c r="AK356" t="s">
        <v>63</v>
      </c>
      <c r="AL356" t="s">
        <v>63</v>
      </c>
      <c r="AM356" t="s">
        <v>3261</v>
      </c>
      <c r="AN356" t="s">
        <v>63</v>
      </c>
      <c r="AO356" t="s">
        <v>63</v>
      </c>
      <c r="AP356" t="s">
        <v>63</v>
      </c>
      <c r="AQ356" t="s">
        <v>63</v>
      </c>
      <c r="AR356" t="s">
        <v>63</v>
      </c>
      <c r="AS356" t="s">
        <v>63</v>
      </c>
      <c r="AT356" t="s">
        <v>63</v>
      </c>
      <c r="AU356" t="s">
        <v>63</v>
      </c>
      <c r="AV356" t="s">
        <v>63</v>
      </c>
      <c r="AW356" t="s">
        <v>63</v>
      </c>
      <c r="AX356" t="s">
        <v>63</v>
      </c>
      <c r="AY356" t="s">
        <v>63</v>
      </c>
      <c r="AZ356" t="s">
        <v>63</v>
      </c>
      <c r="BA356" t="s">
        <v>63</v>
      </c>
      <c r="BB356" t="s">
        <v>63</v>
      </c>
      <c r="BC356" t="s">
        <v>63</v>
      </c>
      <c r="BD356" t="s">
        <v>63</v>
      </c>
      <c r="BE356" t="s">
        <v>63</v>
      </c>
      <c r="BF356" t="s">
        <v>63</v>
      </c>
    </row>
    <row r="357" spans="1:58">
      <c r="A357" t="s">
        <v>58</v>
      </c>
      <c r="B357" t="s">
        <v>3262</v>
      </c>
      <c r="C357" t="s">
        <v>3263</v>
      </c>
      <c r="D357" t="s">
        <v>111</v>
      </c>
      <c r="E357" t="s">
        <v>112</v>
      </c>
      <c r="F357">
        <v>2017</v>
      </c>
      <c r="G357" s="1">
        <v>41774</v>
      </c>
      <c r="H357">
        <v>166</v>
      </c>
      <c r="I357">
        <v>10</v>
      </c>
      <c r="J357">
        <v>733</v>
      </c>
      <c r="K357">
        <v>736</v>
      </c>
      <c r="L357" t="s">
        <v>3264</v>
      </c>
      <c r="M357" t="s">
        <v>3265</v>
      </c>
      <c r="N357" t="s">
        <v>3266</v>
      </c>
      <c r="O357" t="s">
        <v>63</v>
      </c>
      <c r="Q357" t="s">
        <v>63</v>
      </c>
      <c r="R357" t="s">
        <v>63</v>
      </c>
      <c r="S357" t="s">
        <v>63</v>
      </c>
      <c r="T357" t="s">
        <v>63</v>
      </c>
      <c r="X357" t="s">
        <v>63</v>
      </c>
      <c r="Y357" t="s">
        <v>116</v>
      </c>
      <c r="Z357" t="s">
        <v>63</v>
      </c>
      <c r="AA357" t="s">
        <v>3267</v>
      </c>
      <c r="AB357">
        <v>28346947</v>
      </c>
      <c r="AC357" t="s">
        <v>67</v>
      </c>
      <c r="AD357" t="s">
        <v>63</v>
      </c>
      <c r="AE357" t="s">
        <v>63</v>
      </c>
      <c r="AF357" t="s">
        <v>63</v>
      </c>
      <c r="AG357" t="s">
        <v>3268</v>
      </c>
      <c r="AH357" t="s">
        <v>63</v>
      </c>
      <c r="AI357" t="s">
        <v>3269</v>
      </c>
      <c r="AJ357" t="s">
        <v>63</v>
      </c>
      <c r="AK357" t="s">
        <v>63</v>
      </c>
      <c r="AL357" t="s">
        <v>63</v>
      </c>
      <c r="AM357" t="s">
        <v>3270</v>
      </c>
      <c r="AN357" t="s">
        <v>63</v>
      </c>
      <c r="AO357" t="s">
        <v>63</v>
      </c>
      <c r="AP357" t="s">
        <v>63</v>
      </c>
      <c r="AQ357" t="s">
        <v>63</v>
      </c>
      <c r="AR357" t="s">
        <v>63</v>
      </c>
      <c r="AS357" t="s">
        <v>63</v>
      </c>
      <c r="AT357" t="s">
        <v>63</v>
      </c>
      <c r="AU357" t="s">
        <v>63</v>
      </c>
      <c r="AV357" t="s">
        <v>63</v>
      </c>
      <c r="AW357" t="s">
        <v>63</v>
      </c>
      <c r="AX357" t="s">
        <v>63</v>
      </c>
      <c r="AY357" t="s">
        <v>63</v>
      </c>
      <c r="AZ357" t="s">
        <v>63</v>
      </c>
      <c r="BA357" t="s">
        <v>63</v>
      </c>
      <c r="BB357" t="s">
        <v>63</v>
      </c>
      <c r="BC357" t="s">
        <v>63</v>
      </c>
      <c r="BD357" t="s">
        <v>63</v>
      </c>
      <c r="BE357" t="s">
        <v>63</v>
      </c>
      <c r="BF357" t="s">
        <v>63</v>
      </c>
    </row>
    <row r="358" spans="1:58">
      <c r="A358" t="s">
        <v>58</v>
      </c>
      <c r="B358" t="s">
        <v>3271</v>
      </c>
      <c r="C358" t="s">
        <v>3272</v>
      </c>
      <c r="D358" t="s">
        <v>2731</v>
      </c>
      <c r="E358" t="s">
        <v>63</v>
      </c>
      <c r="F358">
        <v>2010</v>
      </c>
      <c r="G358" t="s">
        <v>1085</v>
      </c>
      <c r="H358">
        <v>6</v>
      </c>
      <c r="I358">
        <v>5</v>
      </c>
      <c r="J358">
        <v>359</v>
      </c>
      <c r="K358">
        <v>364</v>
      </c>
      <c r="L358" t="s">
        <v>3273</v>
      </c>
      <c r="M358" t="s">
        <v>3274</v>
      </c>
      <c r="N358" t="s">
        <v>3275</v>
      </c>
      <c r="O358" t="s">
        <v>63</v>
      </c>
      <c r="Q358" t="s">
        <v>63</v>
      </c>
      <c r="R358" t="s">
        <v>63</v>
      </c>
      <c r="S358" t="s">
        <v>63</v>
      </c>
      <c r="T358" t="s">
        <v>63</v>
      </c>
      <c r="X358" t="s">
        <v>63</v>
      </c>
      <c r="Y358" t="s">
        <v>2735</v>
      </c>
      <c r="Z358" t="s">
        <v>63</v>
      </c>
      <c r="AA358" t="s">
        <v>3276</v>
      </c>
      <c r="AB358">
        <v>21046933</v>
      </c>
      <c r="AC358" t="s">
        <v>67</v>
      </c>
      <c r="AD358" t="s">
        <v>63</v>
      </c>
      <c r="AE358" t="s">
        <v>63</v>
      </c>
      <c r="AF358" t="s">
        <v>63</v>
      </c>
      <c r="AG358" t="s">
        <v>3277</v>
      </c>
      <c r="AH358" t="s">
        <v>63</v>
      </c>
      <c r="AI358" t="s">
        <v>63</v>
      </c>
      <c r="AJ358" t="s">
        <v>63</v>
      </c>
      <c r="AK358" t="s">
        <v>63</v>
      </c>
      <c r="AL358" t="s">
        <v>63</v>
      </c>
      <c r="AM358" t="s">
        <v>3278</v>
      </c>
      <c r="AN358" t="s">
        <v>63</v>
      </c>
      <c r="AO358" t="s">
        <v>63</v>
      </c>
      <c r="AP358" t="s">
        <v>63</v>
      </c>
      <c r="AQ358" t="s">
        <v>63</v>
      </c>
      <c r="AR358" t="s">
        <v>63</v>
      </c>
      <c r="AS358" t="s">
        <v>63</v>
      </c>
      <c r="AT358" t="s">
        <v>63</v>
      </c>
      <c r="AU358" t="s">
        <v>63</v>
      </c>
      <c r="AV358" t="s">
        <v>63</v>
      </c>
      <c r="AW358" t="s">
        <v>63</v>
      </c>
      <c r="AX358" t="s">
        <v>63</v>
      </c>
      <c r="AY358" t="s">
        <v>63</v>
      </c>
      <c r="AZ358" t="s">
        <v>63</v>
      </c>
      <c r="BA358" t="s">
        <v>63</v>
      </c>
      <c r="BB358" t="s">
        <v>63</v>
      </c>
      <c r="BC358" t="s">
        <v>63</v>
      </c>
      <c r="BD358" t="s">
        <v>63</v>
      </c>
      <c r="BE358" t="s">
        <v>63</v>
      </c>
      <c r="BF358" t="s">
        <v>63</v>
      </c>
    </row>
    <row r="359" spans="1:58">
      <c r="A359" t="s">
        <v>58</v>
      </c>
      <c r="B359" t="s">
        <v>3279</v>
      </c>
      <c r="C359" t="s">
        <v>3280</v>
      </c>
      <c r="D359" t="s">
        <v>111</v>
      </c>
      <c r="E359" t="s">
        <v>112</v>
      </c>
      <c r="F359">
        <v>1989</v>
      </c>
      <c r="G359" s="1">
        <v>41743</v>
      </c>
      <c r="H359">
        <v>110</v>
      </c>
      <c r="I359">
        <v>8</v>
      </c>
      <c r="J359">
        <v>640</v>
      </c>
      <c r="K359">
        <v>647</v>
      </c>
      <c r="L359" t="s">
        <v>3281</v>
      </c>
      <c r="M359" t="s">
        <v>3282</v>
      </c>
      <c r="N359" t="s">
        <v>3283</v>
      </c>
      <c r="O359" t="s">
        <v>63</v>
      </c>
      <c r="Q359" t="s">
        <v>63</v>
      </c>
      <c r="R359" t="s">
        <v>63</v>
      </c>
      <c r="S359" t="s">
        <v>63</v>
      </c>
      <c r="T359" t="s">
        <v>63</v>
      </c>
      <c r="X359" t="s">
        <v>63</v>
      </c>
      <c r="Y359" s="2">
        <v>1064742</v>
      </c>
      <c r="Z359" t="s">
        <v>63</v>
      </c>
      <c r="AA359" t="s">
        <v>3284</v>
      </c>
      <c r="AB359">
        <v>2930094</v>
      </c>
      <c r="AC359" t="s">
        <v>67</v>
      </c>
      <c r="AD359" t="s">
        <v>63</v>
      </c>
      <c r="AE359" t="s">
        <v>63</v>
      </c>
      <c r="AF359" t="s">
        <v>63</v>
      </c>
      <c r="AG359" t="s">
        <v>3285</v>
      </c>
      <c r="AH359" t="s">
        <v>63</v>
      </c>
      <c r="AI359" t="s">
        <v>63</v>
      </c>
      <c r="AJ359" t="s">
        <v>63</v>
      </c>
      <c r="AK359" t="s">
        <v>63</v>
      </c>
      <c r="AL359" t="s">
        <v>63</v>
      </c>
      <c r="AM359" t="s">
        <v>3286</v>
      </c>
      <c r="AN359" t="s">
        <v>63</v>
      </c>
      <c r="AO359" t="s">
        <v>63</v>
      </c>
      <c r="AP359" t="s">
        <v>63</v>
      </c>
      <c r="AQ359" t="s">
        <v>63</v>
      </c>
      <c r="AR359" t="s">
        <v>63</v>
      </c>
      <c r="AS359" t="s">
        <v>63</v>
      </c>
      <c r="AT359" t="s">
        <v>63</v>
      </c>
      <c r="AU359" t="s">
        <v>63</v>
      </c>
      <c r="AV359" t="s">
        <v>63</v>
      </c>
      <c r="AW359" t="s">
        <v>63</v>
      </c>
      <c r="AX359" t="s">
        <v>63</v>
      </c>
      <c r="AY359" t="s">
        <v>63</v>
      </c>
      <c r="AZ359" t="s">
        <v>63</v>
      </c>
      <c r="BA359" t="s">
        <v>63</v>
      </c>
      <c r="BB359" t="s">
        <v>63</v>
      </c>
      <c r="BC359" t="s">
        <v>63</v>
      </c>
      <c r="BD359" t="s">
        <v>63</v>
      </c>
      <c r="BE359" t="s">
        <v>63</v>
      </c>
      <c r="BF359" t="s">
        <v>63</v>
      </c>
    </row>
    <row r="360" spans="1:58">
      <c r="A360" t="s">
        <v>58</v>
      </c>
      <c r="B360" t="s">
        <v>3287</v>
      </c>
      <c r="C360" t="s">
        <v>3288</v>
      </c>
      <c r="D360" t="s">
        <v>371</v>
      </c>
      <c r="E360" t="s">
        <v>63</v>
      </c>
      <c r="F360">
        <v>1989</v>
      </c>
      <c r="G360" t="s">
        <v>1717</v>
      </c>
      <c r="H360">
        <v>4</v>
      </c>
      <c r="I360">
        <v>6</v>
      </c>
      <c r="J360">
        <v>482</v>
      </c>
      <c r="K360">
        <v>489</v>
      </c>
      <c r="L360" t="s">
        <v>3289</v>
      </c>
      <c r="M360" t="s">
        <v>3290</v>
      </c>
      <c r="N360" t="s">
        <v>3291</v>
      </c>
      <c r="O360" t="s">
        <v>63</v>
      </c>
      <c r="Q360" t="s">
        <v>63</v>
      </c>
      <c r="R360" t="s">
        <v>63</v>
      </c>
      <c r="S360" t="s">
        <v>63</v>
      </c>
      <c r="T360" t="s">
        <v>63</v>
      </c>
      <c r="X360" t="s">
        <v>63</v>
      </c>
      <c r="Y360" t="s">
        <v>375</v>
      </c>
      <c r="Z360" t="s">
        <v>63</v>
      </c>
      <c r="AA360" t="s">
        <v>3292</v>
      </c>
      <c r="AB360">
        <v>2685206</v>
      </c>
      <c r="AC360" t="s">
        <v>67</v>
      </c>
      <c r="AD360" t="s">
        <v>63</v>
      </c>
      <c r="AE360" t="s">
        <v>63</v>
      </c>
      <c r="AF360" t="s">
        <v>63</v>
      </c>
      <c r="AG360" t="s">
        <v>3293</v>
      </c>
      <c r="AH360" t="s">
        <v>63</v>
      </c>
      <c r="AI360" t="s">
        <v>63</v>
      </c>
      <c r="AJ360" t="s">
        <v>63</v>
      </c>
      <c r="AK360" t="s">
        <v>63</v>
      </c>
      <c r="AL360" t="s">
        <v>63</v>
      </c>
      <c r="AM360" t="s">
        <v>3294</v>
      </c>
      <c r="AN360" t="s">
        <v>63</v>
      </c>
      <c r="AO360" t="s">
        <v>63</v>
      </c>
      <c r="AP360" t="s">
        <v>63</v>
      </c>
      <c r="AQ360" t="s">
        <v>63</v>
      </c>
      <c r="AR360" t="s">
        <v>63</v>
      </c>
      <c r="AS360" t="s">
        <v>63</v>
      </c>
      <c r="AT360" t="s">
        <v>63</v>
      </c>
      <c r="AU360" t="s">
        <v>63</v>
      </c>
      <c r="AV360" t="s">
        <v>63</v>
      </c>
      <c r="AW360" t="s">
        <v>63</v>
      </c>
      <c r="AX360" t="s">
        <v>63</v>
      </c>
      <c r="AY360" t="s">
        <v>63</v>
      </c>
      <c r="AZ360" t="s">
        <v>63</v>
      </c>
      <c r="BA360" t="s">
        <v>63</v>
      </c>
      <c r="BB360" t="s">
        <v>63</v>
      </c>
      <c r="BC360" t="s">
        <v>63</v>
      </c>
      <c r="BD360" t="s">
        <v>63</v>
      </c>
      <c r="BE360" t="s">
        <v>63</v>
      </c>
      <c r="BF360" t="s">
        <v>63</v>
      </c>
    </row>
    <row r="361" spans="1:58">
      <c r="A361" t="s">
        <v>58</v>
      </c>
      <c r="B361" t="s">
        <v>3295</v>
      </c>
      <c r="C361" t="s">
        <v>3296</v>
      </c>
      <c r="D361" t="s">
        <v>3297</v>
      </c>
      <c r="E361" t="s">
        <v>63</v>
      </c>
      <c r="F361">
        <v>1981</v>
      </c>
      <c r="G361" s="1">
        <v>41977</v>
      </c>
      <c r="H361">
        <v>283</v>
      </c>
      <c r="I361">
        <v>6305</v>
      </c>
      <c r="J361">
        <v>1497</v>
      </c>
      <c r="K361">
        <v>1502</v>
      </c>
      <c r="L361" t="s">
        <v>3298</v>
      </c>
      <c r="M361" t="s">
        <v>3299</v>
      </c>
      <c r="N361" t="s">
        <v>3300</v>
      </c>
      <c r="O361" t="s">
        <v>63</v>
      </c>
      <c r="Q361" t="s">
        <v>63</v>
      </c>
      <c r="R361" t="s">
        <v>63</v>
      </c>
      <c r="S361" t="s">
        <v>63</v>
      </c>
      <c r="T361" t="s">
        <v>63</v>
      </c>
      <c r="X361" t="s">
        <v>63</v>
      </c>
      <c r="Y361" t="s">
        <v>3301</v>
      </c>
      <c r="Z361" t="s">
        <v>63</v>
      </c>
      <c r="AA361" t="s">
        <v>63</v>
      </c>
      <c r="AB361">
        <v>6799040</v>
      </c>
      <c r="AC361" t="s">
        <v>67</v>
      </c>
      <c r="AD361" t="s">
        <v>63</v>
      </c>
      <c r="AE361" t="s">
        <v>63</v>
      </c>
      <c r="AF361" t="s">
        <v>63</v>
      </c>
      <c r="AG361" t="s">
        <v>3302</v>
      </c>
      <c r="AH361" t="s">
        <v>63</v>
      </c>
      <c r="AI361" t="s">
        <v>63</v>
      </c>
      <c r="AJ361" t="s">
        <v>63</v>
      </c>
      <c r="AK361" t="s">
        <v>63</v>
      </c>
      <c r="AL361" t="s">
        <v>63</v>
      </c>
      <c r="AM361" t="s">
        <v>3303</v>
      </c>
      <c r="AN361" t="s">
        <v>63</v>
      </c>
      <c r="AO361" t="s">
        <v>63</v>
      </c>
      <c r="AP361" t="s">
        <v>63</v>
      </c>
      <c r="AQ361" t="s">
        <v>63</v>
      </c>
      <c r="AR361" t="s">
        <v>63</v>
      </c>
      <c r="AS361" t="s">
        <v>63</v>
      </c>
      <c r="AT361" t="s">
        <v>63</v>
      </c>
      <c r="AU361" t="s">
        <v>63</v>
      </c>
      <c r="AV361" t="s">
        <v>63</v>
      </c>
      <c r="AW361" t="s">
        <v>63</v>
      </c>
      <c r="AX361" t="s">
        <v>63</v>
      </c>
      <c r="AY361" t="s">
        <v>63</v>
      </c>
      <c r="AZ361" t="s">
        <v>63</v>
      </c>
      <c r="BA361" t="s">
        <v>63</v>
      </c>
      <c r="BB361" t="s">
        <v>63</v>
      </c>
      <c r="BC361" t="s">
        <v>63</v>
      </c>
      <c r="BD361" t="s">
        <v>63</v>
      </c>
      <c r="BE361" t="s">
        <v>63</v>
      </c>
      <c r="BF361" t="s">
        <v>63</v>
      </c>
    </row>
    <row r="362" spans="1:58">
      <c r="A362" t="s">
        <v>58</v>
      </c>
      <c r="B362" t="s">
        <v>3304</v>
      </c>
      <c r="C362" t="s">
        <v>3305</v>
      </c>
      <c r="D362" t="s">
        <v>3306</v>
      </c>
      <c r="E362" t="s">
        <v>3307</v>
      </c>
      <c r="F362">
        <v>1989</v>
      </c>
      <c r="G362" t="s">
        <v>84</v>
      </c>
      <c r="H362">
        <v>37</v>
      </c>
      <c r="I362">
        <v>4</v>
      </c>
      <c r="J362">
        <v>310</v>
      </c>
      <c r="K362">
        <v>316</v>
      </c>
      <c r="L362" t="s">
        <v>3308</v>
      </c>
      <c r="M362" t="s">
        <v>3309</v>
      </c>
      <c r="N362" t="s">
        <v>3310</v>
      </c>
      <c r="O362" t="s">
        <v>63</v>
      </c>
      <c r="Q362" t="s">
        <v>63</v>
      </c>
      <c r="R362" t="s">
        <v>63</v>
      </c>
      <c r="S362" t="s">
        <v>63</v>
      </c>
      <c r="T362" t="s">
        <v>63</v>
      </c>
      <c r="X362" t="s">
        <v>63</v>
      </c>
      <c r="Y362" s="2">
        <v>2450809</v>
      </c>
      <c r="Z362" t="s">
        <v>63</v>
      </c>
      <c r="AA362" t="s">
        <v>3311</v>
      </c>
      <c r="AB362">
        <v>2921452</v>
      </c>
      <c r="AC362" t="s">
        <v>67</v>
      </c>
      <c r="AD362" t="s">
        <v>63</v>
      </c>
      <c r="AE362" t="s">
        <v>63</v>
      </c>
      <c r="AF362" t="s">
        <v>63</v>
      </c>
      <c r="AG362" t="s">
        <v>3312</v>
      </c>
      <c r="AH362" t="s">
        <v>63</v>
      </c>
      <c r="AI362" t="s">
        <v>63</v>
      </c>
      <c r="AJ362" t="s">
        <v>63</v>
      </c>
      <c r="AK362" t="s">
        <v>63</v>
      </c>
      <c r="AL362" t="s">
        <v>63</v>
      </c>
      <c r="AM362" t="s">
        <v>3313</v>
      </c>
      <c r="AN362" t="s">
        <v>63</v>
      </c>
      <c r="AO362" t="s">
        <v>63</v>
      </c>
      <c r="AP362" t="s">
        <v>63</v>
      </c>
      <c r="AQ362" t="s">
        <v>63</v>
      </c>
      <c r="AR362" t="s">
        <v>63</v>
      </c>
      <c r="AS362" t="s">
        <v>63</v>
      </c>
      <c r="AT362" t="s">
        <v>63</v>
      </c>
      <c r="AU362" t="s">
        <v>63</v>
      </c>
      <c r="AV362" t="s">
        <v>63</v>
      </c>
      <c r="AW362" t="s">
        <v>63</v>
      </c>
      <c r="AX362" t="s">
        <v>63</v>
      </c>
      <c r="AY362" t="s">
        <v>63</v>
      </c>
      <c r="AZ362" t="s">
        <v>63</v>
      </c>
      <c r="BA362" t="s">
        <v>63</v>
      </c>
      <c r="BB362" t="s">
        <v>63</v>
      </c>
      <c r="BC362" t="s">
        <v>63</v>
      </c>
      <c r="BD362" t="s">
        <v>63</v>
      </c>
      <c r="BE362" t="s">
        <v>63</v>
      </c>
      <c r="BF362" t="s">
        <v>63</v>
      </c>
    </row>
    <row r="363" spans="1:58">
      <c r="A363" t="s">
        <v>58</v>
      </c>
      <c r="B363" t="s">
        <v>3314</v>
      </c>
      <c r="C363" t="s">
        <v>3315</v>
      </c>
      <c r="D363" t="s">
        <v>1728</v>
      </c>
      <c r="E363" t="s">
        <v>1729</v>
      </c>
      <c r="F363">
        <v>1983</v>
      </c>
      <c r="G363" t="s">
        <v>1737</v>
      </c>
      <c r="H363">
        <v>15</v>
      </c>
      <c r="I363">
        <v>3</v>
      </c>
      <c r="J363">
        <v>221</v>
      </c>
      <c r="K363">
        <v>223</v>
      </c>
      <c r="L363" t="s">
        <v>3316</v>
      </c>
      <c r="M363" t="s">
        <v>63</v>
      </c>
      <c r="N363" t="s">
        <v>3317</v>
      </c>
      <c r="O363" t="s">
        <v>63</v>
      </c>
      <c r="Q363" t="s">
        <v>63</v>
      </c>
      <c r="R363" t="s">
        <v>63</v>
      </c>
      <c r="S363" t="s">
        <v>63</v>
      </c>
      <c r="T363" t="s">
        <v>63</v>
      </c>
      <c r="X363" t="s">
        <v>63</v>
      </c>
      <c r="Y363" t="s">
        <v>1733</v>
      </c>
      <c r="Z363" t="s">
        <v>63</v>
      </c>
      <c r="AA363" t="s">
        <v>63</v>
      </c>
      <c r="AB363">
        <v>6631593</v>
      </c>
      <c r="AC363" t="s">
        <v>67</v>
      </c>
      <c r="AD363" t="s">
        <v>63</v>
      </c>
      <c r="AE363" t="s">
        <v>63</v>
      </c>
      <c r="AF363" t="s">
        <v>63</v>
      </c>
      <c r="AG363" t="s">
        <v>3318</v>
      </c>
      <c r="AH363" t="s">
        <v>63</v>
      </c>
      <c r="AI363" t="s">
        <v>63</v>
      </c>
      <c r="AJ363" t="s">
        <v>63</v>
      </c>
      <c r="AK363" t="s">
        <v>63</v>
      </c>
      <c r="AL363" t="s">
        <v>63</v>
      </c>
      <c r="AM363" t="s">
        <v>3319</v>
      </c>
      <c r="AN363" t="s">
        <v>63</v>
      </c>
      <c r="AO363" t="s">
        <v>63</v>
      </c>
      <c r="AP363" t="s">
        <v>63</v>
      </c>
      <c r="AQ363" t="s">
        <v>63</v>
      </c>
      <c r="AR363" t="s">
        <v>63</v>
      </c>
      <c r="AS363" t="s">
        <v>63</v>
      </c>
      <c r="AT363" t="s">
        <v>63</v>
      </c>
      <c r="AU363" t="s">
        <v>63</v>
      </c>
      <c r="AV363" t="s">
        <v>63</v>
      </c>
      <c r="AW363" t="s">
        <v>63</v>
      </c>
      <c r="AX363" t="s">
        <v>63</v>
      </c>
      <c r="AY363" t="s">
        <v>63</v>
      </c>
      <c r="AZ363" t="s">
        <v>63</v>
      </c>
      <c r="BA363" t="s">
        <v>63</v>
      </c>
      <c r="BB363" t="s">
        <v>63</v>
      </c>
      <c r="BC363" t="s">
        <v>63</v>
      </c>
      <c r="BD363" t="s">
        <v>63</v>
      </c>
      <c r="BE363" t="s">
        <v>63</v>
      </c>
      <c r="BF363" t="s">
        <v>63</v>
      </c>
    </row>
    <row r="364" spans="1:58">
      <c r="A364" t="s">
        <v>58</v>
      </c>
      <c r="B364" t="s">
        <v>3314</v>
      </c>
      <c r="C364" t="s">
        <v>3320</v>
      </c>
      <c r="D364" t="s">
        <v>1184</v>
      </c>
      <c r="E364" t="s">
        <v>1185</v>
      </c>
      <c r="F364">
        <v>1981</v>
      </c>
      <c r="G364" t="s">
        <v>138</v>
      </c>
      <c r="H364">
        <v>56</v>
      </c>
      <c r="I364">
        <v>10</v>
      </c>
      <c r="J364">
        <v>866</v>
      </c>
      <c r="K364">
        <v>867</v>
      </c>
      <c r="L364" t="s">
        <v>3321</v>
      </c>
      <c r="M364" t="s">
        <v>63</v>
      </c>
      <c r="N364" t="s">
        <v>3322</v>
      </c>
      <c r="O364" t="s">
        <v>63</v>
      </c>
      <c r="Q364" t="s">
        <v>63</v>
      </c>
      <c r="R364" t="s">
        <v>63</v>
      </c>
      <c r="S364" t="s">
        <v>63</v>
      </c>
      <c r="T364" t="s">
        <v>63</v>
      </c>
      <c r="X364" t="s">
        <v>63</v>
      </c>
      <c r="Y364" t="s">
        <v>1188</v>
      </c>
      <c r="Z364" t="s">
        <v>63</v>
      </c>
      <c r="AA364" t="s">
        <v>63</v>
      </c>
      <c r="AB364">
        <v>7288856</v>
      </c>
      <c r="AC364" t="s">
        <v>67</v>
      </c>
      <c r="AD364" t="s">
        <v>63</v>
      </c>
      <c r="AE364" t="s">
        <v>63</v>
      </c>
      <c r="AF364" t="s">
        <v>63</v>
      </c>
      <c r="AG364" t="s">
        <v>3323</v>
      </c>
      <c r="AH364" t="s">
        <v>63</v>
      </c>
      <c r="AI364" t="s">
        <v>63</v>
      </c>
      <c r="AJ364" t="s">
        <v>63</v>
      </c>
      <c r="AK364" t="s">
        <v>63</v>
      </c>
      <c r="AL364" t="s">
        <v>63</v>
      </c>
      <c r="AM364" t="s">
        <v>3324</v>
      </c>
      <c r="AN364" t="s">
        <v>63</v>
      </c>
      <c r="AO364" t="s">
        <v>63</v>
      </c>
      <c r="AP364" t="s">
        <v>63</v>
      </c>
      <c r="AQ364" t="s">
        <v>63</v>
      </c>
      <c r="AR364" t="s">
        <v>63</v>
      </c>
      <c r="AS364" t="s">
        <v>63</v>
      </c>
      <c r="AT364" t="s">
        <v>63</v>
      </c>
      <c r="AU364" t="s">
        <v>63</v>
      </c>
      <c r="AV364" t="s">
        <v>63</v>
      </c>
      <c r="AW364" t="s">
        <v>63</v>
      </c>
      <c r="AX364" t="s">
        <v>63</v>
      </c>
      <c r="AY364" t="s">
        <v>63</v>
      </c>
      <c r="AZ364" t="s">
        <v>63</v>
      </c>
      <c r="BA364" t="s">
        <v>63</v>
      </c>
      <c r="BB364" t="s">
        <v>63</v>
      </c>
      <c r="BC364" t="s">
        <v>63</v>
      </c>
      <c r="BD364" t="s">
        <v>63</v>
      </c>
      <c r="BE364" t="s">
        <v>63</v>
      </c>
      <c r="BF364" t="s">
        <v>63</v>
      </c>
    </row>
    <row r="365" spans="1:58">
      <c r="A365" t="s">
        <v>58</v>
      </c>
      <c r="B365" t="s">
        <v>3325</v>
      </c>
      <c r="C365" t="s">
        <v>3326</v>
      </c>
      <c r="D365" t="s">
        <v>325</v>
      </c>
      <c r="E365" t="s">
        <v>63</v>
      </c>
      <c r="F365">
        <v>2014</v>
      </c>
      <c r="G365" t="s">
        <v>326</v>
      </c>
      <c r="H365">
        <v>38</v>
      </c>
      <c r="I365">
        <v>1</v>
      </c>
      <c r="J365">
        <v>90</v>
      </c>
      <c r="K365">
        <v>95</v>
      </c>
      <c r="L365" t="s">
        <v>3327</v>
      </c>
      <c r="M365" t="s">
        <v>3328</v>
      </c>
      <c r="N365" t="s">
        <v>3329</v>
      </c>
      <c r="O365" t="s">
        <v>63</v>
      </c>
      <c r="Q365" t="s">
        <v>63</v>
      </c>
      <c r="R365" t="s">
        <v>63</v>
      </c>
      <c r="S365" t="s">
        <v>63</v>
      </c>
      <c r="T365" t="s">
        <v>63</v>
      </c>
      <c r="X365" t="s">
        <v>63</v>
      </c>
      <c r="Y365" t="s">
        <v>330</v>
      </c>
      <c r="Z365" t="s">
        <v>63</v>
      </c>
      <c r="AA365" t="s">
        <v>3330</v>
      </c>
      <c r="AB365">
        <v>24442788</v>
      </c>
      <c r="AC365" t="s">
        <v>67</v>
      </c>
      <c r="AD365" t="s">
        <v>63</v>
      </c>
      <c r="AE365" t="s">
        <v>63</v>
      </c>
      <c r="AF365" t="s">
        <v>63</v>
      </c>
      <c r="AG365" t="s">
        <v>3331</v>
      </c>
      <c r="AH365" t="s">
        <v>63</v>
      </c>
      <c r="AI365" t="s">
        <v>3332</v>
      </c>
      <c r="AJ365" t="s">
        <v>63</v>
      </c>
      <c r="AK365" t="s">
        <v>63</v>
      </c>
      <c r="AL365" t="s">
        <v>63</v>
      </c>
      <c r="AM365" t="s">
        <v>3333</v>
      </c>
      <c r="AN365" t="s">
        <v>63</v>
      </c>
      <c r="AO365" t="s">
        <v>63</v>
      </c>
      <c r="AP365" t="s">
        <v>63</v>
      </c>
      <c r="AQ365" t="s">
        <v>63</v>
      </c>
      <c r="AR365" t="s">
        <v>63</v>
      </c>
      <c r="AS365" t="s">
        <v>63</v>
      </c>
      <c r="AT365" t="s">
        <v>63</v>
      </c>
      <c r="AU365" t="s">
        <v>63</v>
      </c>
      <c r="AV365" t="s">
        <v>63</v>
      </c>
      <c r="AW365" t="s">
        <v>63</v>
      </c>
      <c r="AX365" t="s">
        <v>63</v>
      </c>
      <c r="AY365" t="s">
        <v>63</v>
      </c>
      <c r="AZ365" t="s">
        <v>63</v>
      </c>
      <c r="BA365" t="s">
        <v>63</v>
      </c>
      <c r="BB365" t="s">
        <v>63</v>
      </c>
      <c r="BC365" t="s">
        <v>63</v>
      </c>
      <c r="BD365" t="s">
        <v>63</v>
      </c>
      <c r="BE365" t="s">
        <v>63</v>
      </c>
      <c r="BF365" t="s">
        <v>63</v>
      </c>
    </row>
    <row r="366" spans="1:58">
      <c r="A366" t="s">
        <v>58</v>
      </c>
      <c r="B366" t="s">
        <v>3334</v>
      </c>
      <c r="C366" t="s">
        <v>3335</v>
      </c>
      <c r="D366" t="s">
        <v>790</v>
      </c>
      <c r="E366" t="s">
        <v>791</v>
      </c>
      <c r="F366">
        <v>2008</v>
      </c>
      <c r="G366" t="s">
        <v>274</v>
      </c>
      <c r="H366">
        <v>33</v>
      </c>
      <c r="I366">
        <v>3</v>
      </c>
      <c r="J366">
        <v>490</v>
      </c>
      <c r="K366">
        <v>495</v>
      </c>
      <c r="L366" t="s">
        <v>3336</v>
      </c>
      <c r="M366" t="s">
        <v>3337</v>
      </c>
      <c r="N366" t="s">
        <v>3338</v>
      </c>
      <c r="O366" t="s">
        <v>63</v>
      </c>
      <c r="Q366" t="s">
        <v>63</v>
      </c>
      <c r="R366" t="s">
        <v>63</v>
      </c>
      <c r="S366" t="s">
        <v>63</v>
      </c>
      <c r="T366" t="s">
        <v>63</v>
      </c>
      <c r="X366" t="s">
        <v>63</v>
      </c>
      <c r="Y366" t="s">
        <v>795</v>
      </c>
      <c r="Z366" t="s">
        <v>63</v>
      </c>
      <c r="AA366" t="s">
        <v>3339</v>
      </c>
      <c r="AB366">
        <v>18068309</v>
      </c>
      <c r="AC366" t="s">
        <v>67</v>
      </c>
      <c r="AD366" t="s">
        <v>63</v>
      </c>
      <c r="AE366" t="s">
        <v>63</v>
      </c>
      <c r="AF366" t="s">
        <v>63</v>
      </c>
      <c r="AG366" t="s">
        <v>3340</v>
      </c>
      <c r="AH366" t="s">
        <v>63</v>
      </c>
      <c r="AI366" t="s">
        <v>63</v>
      </c>
      <c r="AJ366" t="s">
        <v>63</v>
      </c>
      <c r="AK366" t="s">
        <v>63</v>
      </c>
      <c r="AL366" t="s">
        <v>63</v>
      </c>
      <c r="AM366" t="s">
        <v>3341</v>
      </c>
      <c r="AN366" t="s">
        <v>63</v>
      </c>
      <c r="AO366" t="s">
        <v>63</v>
      </c>
      <c r="AP366" t="s">
        <v>63</v>
      </c>
      <c r="AQ366" t="s">
        <v>63</v>
      </c>
      <c r="AR366" t="s">
        <v>63</v>
      </c>
      <c r="AS366" t="s">
        <v>63</v>
      </c>
      <c r="AT366" t="s">
        <v>63</v>
      </c>
      <c r="AU366" t="s">
        <v>63</v>
      </c>
      <c r="AV366" t="s">
        <v>63</v>
      </c>
      <c r="AW366" t="s">
        <v>63</v>
      </c>
      <c r="AX366" t="s">
        <v>63</v>
      </c>
      <c r="AY366" t="s">
        <v>63</v>
      </c>
      <c r="AZ366" t="s">
        <v>63</v>
      </c>
      <c r="BA366" t="s">
        <v>63</v>
      </c>
      <c r="BB366" t="s">
        <v>63</v>
      </c>
      <c r="BC366" t="s">
        <v>63</v>
      </c>
      <c r="BD366" t="s">
        <v>63</v>
      </c>
      <c r="BE366" t="s">
        <v>63</v>
      </c>
      <c r="BF366" t="s">
        <v>63</v>
      </c>
    </row>
    <row r="367" spans="1:58">
      <c r="A367" t="s">
        <v>58</v>
      </c>
      <c r="B367" t="s">
        <v>3342</v>
      </c>
      <c r="C367" t="s">
        <v>3343</v>
      </c>
      <c r="D367" t="s">
        <v>3344</v>
      </c>
      <c r="E367" t="s">
        <v>3344</v>
      </c>
      <c r="F367">
        <v>2011</v>
      </c>
      <c r="G367" t="s">
        <v>157</v>
      </c>
      <c r="H367">
        <v>61</v>
      </c>
      <c r="I367">
        <v>7</v>
      </c>
      <c r="J367">
        <v>1088</v>
      </c>
      <c r="K367">
        <v>1096</v>
      </c>
      <c r="L367" t="s">
        <v>3345</v>
      </c>
      <c r="M367" t="s">
        <v>3346</v>
      </c>
      <c r="N367" t="s">
        <v>3347</v>
      </c>
      <c r="O367" t="s">
        <v>63</v>
      </c>
      <c r="Q367" t="s">
        <v>63</v>
      </c>
      <c r="R367" t="s">
        <v>63</v>
      </c>
      <c r="S367" t="s">
        <v>63</v>
      </c>
      <c r="T367" t="s">
        <v>63</v>
      </c>
      <c r="X367" t="s">
        <v>63</v>
      </c>
      <c r="Y367" t="s">
        <v>3348</v>
      </c>
      <c r="Z367" t="s">
        <v>63</v>
      </c>
      <c r="AA367" t="s">
        <v>3349</v>
      </c>
      <c r="AB367">
        <v>21272593</v>
      </c>
      <c r="AC367" t="s">
        <v>67</v>
      </c>
      <c r="AD367" t="s">
        <v>63</v>
      </c>
      <c r="AE367" t="s">
        <v>63</v>
      </c>
      <c r="AF367" t="s">
        <v>63</v>
      </c>
      <c r="AG367" t="s">
        <v>3350</v>
      </c>
      <c r="AH367" t="s">
        <v>63</v>
      </c>
      <c r="AI367" t="s">
        <v>3351</v>
      </c>
      <c r="AJ367" t="s">
        <v>63</v>
      </c>
      <c r="AK367" t="s">
        <v>63</v>
      </c>
      <c r="AL367" t="s">
        <v>63</v>
      </c>
      <c r="AM367" t="s">
        <v>3352</v>
      </c>
      <c r="AN367" t="s">
        <v>63</v>
      </c>
      <c r="AO367" t="s">
        <v>63</v>
      </c>
      <c r="AP367" t="s">
        <v>63</v>
      </c>
      <c r="AQ367" t="s">
        <v>63</v>
      </c>
      <c r="AR367" t="s">
        <v>63</v>
      </c>
      <c r="AS367" t="s">
        <v>63</v>
      </c>
      <c r="AT367" t="s">
        <v>63</v>
      </c>
      <c r="AU367" t="s">
        <v>63</v>
      </c>
      <c r="AV367" t="s">
        <v>63</v>
      </c>
      <c r="AW367" t="s">
        <v>63</v>
      </c>
      <c r="AX367" t="s">
        <v>63</v>
      </c>
      <c r="AY367" t="s">
        <v>63</v>
      </c>
      <c r="AZ367" t="s">
        <v>63</v>
      </c>
      <c r="BA367" t="s">
        <v>63</v>
      </c>
      <c r="BB367" t="s">
        <v>63</v>
      </c>
      <c r="BC367" t="s">
        <v>63</v>
      </c>
      <c r="BD367" t="s">
        <v>63</v>
      </c>
      <c r="BE367" t="s">
        <v>63</v>
      </c>
      <c r="BF367" t="s">
        <v>63</v>
      </c>
    </row>
    <row r="368" spans="1:58">
      <c r="A368" t="s">
        <v>58</v>
      </c>
      <c r="B368" t="s">
        <v>3353</v>
      </c>
      <c r="C368" t="s">
        <v>3354</v>
      </c>
      <c r="D368" t="s">
        <v>3355</v>
      </c>
      <c r="E368" t="s">
        <v>63</v>
      </c>
      <c r="F368">
        <v>1988</v>
      </c>
      <c r="G368" t="s">
        <v>84</v>
      </c>
      <c r="H368">
        <v>173</v>
      </c>
      <c r="I368">
        <v>4</v>
      </c>
      <c r="J368">
        <v>255</v>
      </c>
      <c r="K368">
        <v>258</v>
      </c>
      <c r="L368" t="s">
        <v>3356</v>
      </c>
      <c r="M368" t="s">
        <v>63</v>
      </c>
      <c r="N368" t="s">
        <v>3357</v>
      </c>
      <c r="O368" t="s">
        <v>63</v>
      </c>
      <c r="Q368" t="s">
        <v>63</v>
      </c>
      <c r="R368" t="s">
        <v>63</v>
      </c>
      <c r="S368" t="s">
        <v>63</v>
      </c>
      <c r="T368" t="s">
        <v>63</v>
      </c>
      <c r="X368" t="s">
        <v>63</v>
      </c>
      <c r="Y368" t="s">
        <v>63</v>
      </c>
      <c r="Z368" t="s">
        <v>63</v>
      </c>
      <c r="AA368" t="s">
        <v>63</v>
      </c>
      <c r="AB368">
        <v>2896657</v>
      </c>
      <c r="AC368" t="s">
        <v>67</v>
      </c>
      <c r="AD368" t="s">
        <v>63</v>
      </c>
      <c r="AE368" t="s">
        <v>63</v>
      </c>
      <c r="AF368" t="s">
        <v>63</v>
      </c>
      <c r="AG368" t="s">
        <v>3358</v>
      </c>
      <c r="AH368" t="s">
        <v>63</v>
      </c>
      <c r="AI368" t="s">
        <v>63</v>
      </c>
      <c r="AJ368" t="s">
        <v>63</v>
      </c>
      <c r="AK368" t="s">
        <v>63</v>
      </c>
      <c r="AL368" t="s">
        <v>63</v>
      </c>
      <c r="AM368" t="s">
        <v>3359</v>
      </c>
      <c r="AN368" t="s">
        <v>63</v>
      </c>
      <c r="AO368" t="s">
        <v>63</v>
      </c>
      <c r="AP368" t="s">
        <v>63</v>
      </c>
      <c r="AQ368" t="s">
        <v>63</v>
      </c>
      <c r="AR368" t="s">
        <v>63</v>
      </c>
      <c r="AS368" t="s">
        <v>63</v>
      </c>
      <c r="AT368" t="s">
        <v>63</v>
      </c>
      <c r="AU368" t="s">
        <v>63</v>
      </c>
      <c r="AV368" t="s">
        <v>63</v>
      </c>
      <c r="AW368" t="s">
        <v>63</v>
      </c>
      <c r="AX368" t="s">
        <v>63</v>
      </c>
      <c r="AY368" t="s">
        <v>63</v>
      </c>
      <c r="AZ368" t="s">
        <v>63</v>
      </c>
      <c r="BA368" t="s">
        <v>63</v>
      </c>
      <c r="BB368" t="s">
        <v>63</v>
      </c>
      <c r="BC368" t="s">
        <v>63</v>
      </c>
      <c r="BD368" t="s">
        <v>63</v>
      </c>
      <c r="BE368" t="s">
        <v>63</v>
      </c>
      <c r="BF368" t="s">
        <v>63</v>
      </c>
    </row>
    <row r="369" spans="1:58">
      <c r="A369" t="s">
        <v>58</v>
      </c>
      <c r="B369" t="s">
        <v>3360</v>
      </c>
      <c r="C369" t="s">
        <v>3361</v>
      </c>
      <c r="D369" t="s">
        <v>3362</v>
      </c>
      <c r="E369" t="s">
        <v>63</v>
      </c>
      <c r="F369">
        <v>2007</v>
      </c>
      <c r="G369" t="s">
        <v>181</v>
      </c>
      <c r="H369">
        <v>22</v>
      </c>
      <c r="I369">
        <v>6</v>
      </c>
      <c r="J369">
        <v>411</v>
      </c>
      <c r="K369">
        <v>412</v>
      </c>
      <c r="L369" t="s">
        <v>3363</v>
      </c>
      <c r="M369" t="s">
        <v>63</v>
      </c>
      <c r="N369" t="s">
        <v>3364</v>
      </c>
      <c r="O369" t="s">
        <v>63</v>
      </c>
      <c r="Q369" t="s">
        <v>63</v>
      </c>
      <c r="R369" t="s">
        <v>63</v>
      </c>
      <c r="S369" t="s">
        <v>63</v>
      </c>
      <c r="T369" t="s">
        <v>63</v>
      </c>
      <c r="X369" t="s">
        <v>63</v>
      </c>
      <c r="Y369" t="s">
        <v>3365</v>
      </c>
      <c r="Z369" t="s">
        <v>63</v>
      </c>
      <c r="AA369" t="s">
        <v>3366</v>
      </c>
      <c r="AB369">
        <v>17948351</v>
      </c>
      <c r="AC369" t="s">
        <v>67</v>
      </c>
      <c r="AD369" t="s">
        <v>63</v>
      </c>
      <c r="AE369" t="s">
        <v>63</v>
      </c>
      <c r="AF369" t="s">
        <v>63</v>
      </c>
      <c r="AG369" t="s">
        <v>3367</v>
      </c>
      <c r="AH369" t="s">
        <v>63</v>
      </c>
      <c r="AI369" t="s">
        <v>63</v>
      </c>
      <c r="AJ369" t="s">
        <v>63</v>
      </c>
      <c r="AK369" t="s">
        <v>63</v>
      </c>
      <c r="AL369" t="s">
        <v>63</v>
      </c>
      <c r="AM369" t="s">
        <v>3368</v>
      </c>
      <c r="AN369" t="s">
        <v>63</v>
      </c>
      <c r="AO369" t="s">
        <v>63</v>
      </c>
      <c r="AP369" t="s">
        <v>63</v>
      </c>
      <c r="AQ369" t="s">
        <v>63</v>
      </c>
      <c r="AR369" t="s">
        <v>63</v>
      </c>
      <c r="AS369" t="s">
        <v>63</v>
      </c>
      <c r="AT369" t="s">
        <v>63</v>
      </c>
      <c r="AU369" t="s">
        <v>63</v>
      </c>
      <c r="AV369" t="s">
        <v>63</v>
      </c>
      <c r="AW369" t="s">
        <v>63</v>
      </c>
      <c r="AX369" t="s">
        <v>63</v>
      </c>
      <c r="AY369" t="s">
        <v>63</v>
      </c>
      <c r="AZ369" t="s">
        <v>63</v>
      </c>
      <c r="BA369" t="s">
        <v>63</v>
      </c>
      <c r="BB369" t="s">
        <v>63</v>
      </c>
      <c r="BC369" t="s">
        <v>63</v>
      </c>
      <c r="BD369" t="s">
        <v>63</v>
      </c>
      <c r="BE369" t="s">
        <v>63</v>
      </c>
      <c r="BF369" t="s">
        <v>63</v>
      </c>
    </row>
    <row r="370" spans="1:58">
      <c r="A370" t="s">
        <v>58</v>
      </c>
      <c r="B370" t="s">
        <v>3369</v>
      </c>
      <c r="C370" t="s">
        <v>3370</v>
      </c>
      <c r="D370" t="s">
        <v>734</v>
      </c>
      <c r="E370" t="s">
        <v>63</v>
      </c>
      <c r="F370">
        <v>2012</v>
      </c>
      <c r="G370" t="s">
        <v>181</v>
      </c>
      <c r="H370">
        <v>23</v>
      </c>
      <c r="I370">
        <v>5</v>
      </c>
      <c r="J370">
        <v>374</v>
      </c>
      <c r="K370">
        <v>384</v>
      </c>
      <c r="L370" t="s">
        <v>3371</v>
      </c>
      <c r="M370" t="s">
        <v>3372</v>
      </c>
      <c r="N370" t="s">
        <v>3373</v>
      </c>
      <c r="O370" t="s">
        <v>63</v>
      </c>
      <c r="Q370" t="s">
        <v>63</v>
      </c>
      <c r="R370" t="s">
        <v>63</v>
      </c>
      <c r="S370" t="s">
        <v>63</v>
      </c>
      <c r="T370" t="s">
        <v>63</v>
      </c>
      <c r="X370" t="s">
        <v>63</v>
      </c>
      <c r="Y370" t="s">
        <v>737</v>
      </c>
      <c r="Z370" t="s">
        <v>63</v>
      </c>
      <c r="AA370" t="s">
        <v>3374</v>
      </c>
      <c r="AB370">
        <v>22417823</v>
      </c>
      <c r="AC370" t="s">
        <v>67</v>
      </c>
      <c r="AD370" t="s">
        <v>63</v>
      </c>
      <c r="AE370" t="s">
        <v>63</v>
      </c>
      <c r="AF370" t="s">
        <v>63</v>
      </c>
      <c r="AG370" t="s">
        <v>3375</v>
      </c>
      <c r="AH370" t="s">
        <v>63</v>
      </c>
      <c r="AI370" t="s">
        <v>3376</v>
      </c>
      <c r="AJ370" t="s">
        <v>63</v>
      </c>
      <c r="AK370" t="s">
        <v>63</v>
      </c>
      <c r="AL370" t="s">
        <v>63</v>
      </c>
      <c r="AM370" t="s">
        <v>3377</v>
      </c>
      <c r="AN370" t="s">
        <v>63</v>
      </c>
      <c r="AO370" t="s">
        <v>63</v>
      </c>
      <c r="AP370" t="s">
        <v>63</v>
      </c>
      <c r="AQ370" t="s">
        <v>63</v>
      </c>
      <c r="AR370" t="s">
        <v>63</v>
      </c>
      <c r="AS370" t="s">
        <v>63</v>
      </c>
      <c r="AT370" t="s">
        <v>63</v>
      </c>
      <c r="AU370" t="s">
        <v>63</v>
      </c>
      <c r="AV370" t="s">
        <v>63</v>
      </c>
      <c r="AW370" t="s">
        <v>63</v>
      </c>
      <c r="AX370" t="s">
        <v>63</v>
      </c>
      <c r="AY370" t="s">
        <v>63</v>
      </c>
      <c r="AZ370" t="s">
        <v>63</v>
      </c>
      <c r="BA370" t="s">
        <v>63</v>
      </c>
      <c r="BB370" t="s">
        <v>63</v>
      </c>
      <c r="BC370" t="s">
        <v>63</v>
      </c>
      <c r="BD370" t="s">
        <v>63</v>
      </c>
      <c r="BE370" t="s">
        <v>63</v>
      </c>
      <c r="BF370" t="s">
        <v>63</v>
      </c>
    </row>
    <row r="371" spans="1:58">
      <c r="A371" t="s">
        <v>58</v>
      </c>
      <c r="B371" t="s">
        <v>3378</v>
      </c>
      <c r="C371" t="s">
        <v>3379</v>
      </c>
      <c r="D371" t="s">
        <v>3380</v>
      </c>
      <c r="E371" t="s">
        <v>63</v>
      </c>
      <c r="F371">
        <v>1995</v>
      </c>
      <c r="G371" t="s">
        <v>84</v>
      </c>
      <c r="H371">
        <v>147</v>
      </c>
      <c r="I371">
        <v>4</v>
      </c>
      <c r="J371">
        <v>168</v>
      </c>
      <c r="K371">
        <v>172</v>
      </c>
      <c r="L371" t="s">
        <v>3381</v>
      </c>
      <c r="M371" t="s">
        <v>63</v>
      </c>
      <c r="N371" t="s">
        <v>3382</v>
      </c>
      <c r="O371" t="s">
        <v>63</v>
      </c>
      <c r="Q371" t="s">
        <v>63</v>
      </c>
      <c r="R371" t="s">
        <v>63</v>
      </c>
      <c r="S371" t="s">
        <v>63</v>
      </c>
      <c r="T371" t="s">
        <v>63</v>
      </c>
      <c r="X371" t="s">
        <v>63</v>
      </c>
      <c r="Y371" t="s">
        <v>3383</v>
      </c>
      <c r="Z371" t="s">
        <v>63</v>
      </c>
      <c r="AA371" t="s">
        <v>3384</v>
      </c>
      <c r="AB371">
        <v>7775844</v>
      </c>
      <c r="AC371" t="s">
        <v>67</v>
      </c>
      <c r="AD371" t="s">
        <v>63</v>
      </c>
      <c r="AE371" t="s">
        <v>63</v>
      </c>
      <c r="AF371" t="s">
        <v>63</v>
      </c>
      <c r="AG371" t="s">
        <v>3385</v>
      </c>
      <c r="AH371" t="s">
        <v>63</v>
      </c>
      <c r="AI371" t="s">
        <v>63</v>
      </c>
      <c r="AJ371" t="s">
        <v>63</v>
      </c>
      <c r="AK371" t="s">
        <v>63</v>
      </c>
      <c r="AL371" t="s">
        <v>63</v>
      </c>
      <c r="AM371" t="s">
        <v>3386</v>
      </c>
      <c r="AN371" t="s">
        <v>63</v>
      </c>
      <c r="AO371" t="s">
        <v>63</v>
      </c>
      <c r="AP371" t="s">
        <v>63</v>
      </c>
      <c r="AQ371" t="s">
        <v>63</v>
      </c>
      <c r="AR371" t="s">
        <v>63</v>
      </c>
      <c r="AS371" t="s">
        <v>63</v>
      </c>
      <c r="AT371" t="s">
        <v>63</v>
      </c>
      <c r="AU371" t="s">
        <v>63</v>
      </c>
      <c r="AV371" t="s">
        <v>63</v>
      </c>
      <c r="AW371" t="s">
        <v>63</v>
      </c>
      <c r="AX371" t="s">
        <v>63</v>
      </c>
      <c r="AY371" t="s">
        <v>63</v>
      </c>
      <c r="AZ371" t="s">
        <v>63</v>
      </c>
      <c r="BA371" t="s">
        <v>63</v>
      </c>
      <c r="BB371" t="s">
        <v>63</v>
      </c>
      <c r="BC371" t="s">
        <v>63</v>
      </c>
      <c r="BD371" t="s">
        <v>63</v>
      </c>
      <c r="BE371" t="s">
        <v>63</v>
      </c>
      <c r="BF371" t="s">
        <v>63</v>
      </c>
    </row>
    <row r="372" spans="1:58">
      <c r="A372" t="s">
        <v>58</v>
      </c>
      <c r="B372" t="s">
        <v>3387</v>
      </c>
      <c r="C372" t="s">
        <v>3388</v>
      </c>
      <c r="D372" t="s">
        <v>90</v>
      </c>
      <c r="E372" t="s">
        <v>63</v>
      </c>
      <c r="F372">
        <v>1999</v>
      </c>
      <c r="G372" t="s">
        <v>63</v>
      </c>
      <c r="H372">
        <v>18</v>
      </c>
      <c r="I372">
        <v>1</v>
      </c>
      <c r="J372">
        <v>19</v>
      </c>
      <c r="K372">
        <v>29</v>
      </c>
      <c r="L372" t="s">
        <v>3389</v>
      </c>
      <c r="M372" t="s">
        <v>3390</v>
      </c>
      <c r="N372" t="s">
        <v>3391</v>
      </c>
      <c r="O372" t="s">
        <v>63</v>
      </c>
      <c r="Q372" t="s">
        <v>63</v>
      </c>
      <c r="R372" t="s">
        <v>63</v>
      </c>
      <c r="S372" t="s">
        <v>63</v>
      </c>
      <c r="T372" t="s">
        <v>63</v>
      </c>
      <c r="X372" t="s">
        <v>63</v>
      </c>
      <c r="Y372" t="s">
        <v>93</v>
      </c>
      <c r="Z372" t="s">
        <v>63</v>
      </c>
      <c r="AA372" t="s">
        <v>3392</v>
      </c>
      <c r="AB372">
        <v>10234560</v>
      </c>
      <c r="AC372" t="s">
        <v>67</v>
      </c>
      <c r="AD372" t="s">
        <v>63</v>
      </c>
      <c r="AE372" t="s">
        <v>63</v>
      </c>
      <c r="AF372" t="s">
        <v>63</v>
      </c>
      <c r="AG372" t="s">
        <v>3393</v>
      </c>
      <c r="AH372" t="s">
        <v>63</v>
      </c>
      <c r="AI372" t="s">
        <v>63</v>
      </c>
      <c r="AJ372" t="s">
        <v>63</v>
      </c>
      <c r="AK372" t="s">
        <v>63</v>
      </c>
      <c r="AL372" t="s">
        <v>63</v>
      </c>
      <c r="AM372" t="s">
        <v>3394</v>
      </c>
      <c r="AN372" t="s">
        <v>63</v>
      </c>
      <c r="AO372" t="s">
        <v>63</v>
      </c>
      <c r="AP372" t="s">
        <v>63</v>
      </c>
      <c r="AQ372" t="s">
        <v>63</v>
      </c>
      <c r="AR372" t="s">
        <v>63</v>
      </c>
      <c r="AS372" t="s">
        <v>63</v>
      </c>
      <c r="AT372" t="s">
        <v>63</v>
      </c>
      <c r="AU372" t="s">
        <v>63</v>
      </c>
      <c r="AV372" t="s">
        <v>63</v>
      </c>
      <c r="AW372" t="s">
        <v>63</v>
      </c>
      <c r="AX372" t="s">
        <v>63</v>
      </c>
      <c r="AY372" t="s">
        <v>63</v>
      </c>
      <c r="AZ372" t="s">
        <v>63</v>
      </c>
      <c r="BA372" t="s">
        <v>63</v>
      </c>
      <c r="BB372" t="s">
        <v>63</v>
      </c>
      <c r="BC372" t="s">
        <v>63</v>
      </c>
      <c r="BD372" t="s">
        <v>63</v>
      </c>
      <c r="BE372" t="s">
        <v>63</v>
      </c>
      <c r="BF372" t="s">
        <v>63</v>
      </c>
    </row>
    <row r="373" spans="1:58">
      <c r="A373" t="s">
        <v>58</v>
      </c>
      <c r="B373" t="s">
        <v>3395</v>
      </c>
      <c r="C373" t="s">
        <v>3396</v>
      </c>
      <c r="D373" t="s">
        <v>1184</v>
      </c>
      <c r="E373" t="s">
        <v>1185</v>
      </c>
      <c r="F373">
        <v>1988</v>
      </c>
      <c r="G373" t="s">
        <v>138</v>
      </c>
      <c r="H373">
        <v>63</v>
      </c>
      <c r="I373">
        <v>10</v>
      </c>
      <c r="J373">
        <v>739</v>
      </c>
      <c r="K373">
        <v>746</v>
      </c>
      <c r="L373" t="s">
        <v>3397</v>
      </c>
      <c r="M373" t="s">
        <v>3398</v>
      </c>
      <c r="N373" t="s">
        <v>3399</v>
      </c>
      <c r="O373" t="s">
        <v>63</v>
      </c>
      <c r="Q373" t="s">
        <v>63</v>
      </c>
      <c r="R373" t="s">
        <v>63</v>
      </c>
      <c r="S373" t="s">
        <v>63</v>
      </c>
      <c r="T373" t="s">
        <v>63</v>
      </c>
      <c r="X373" t="s">
        <v>63</v>
      </c>
      <c r="Y373" t="s">
        <v>1188</v>
      </c>
      <c r="Z373" t="s">
        <v>63</v>
      </c>
      <c r="AA373" t="s">
        <v>3400</v>
      </c>
      <c r="AB373">
        <v>3172153</v>
      </c>
      <c r="AC373" t="s">
        <v>67</v>
      </c>
      <c r="AD373" t="s">
        <v>63</v>
      </c>
      <c r="AE373" t="s">
        <v>63</v>
      </c>
      <c r="AF373" t="s">
        <v>63</v>
      </c>
      <c r="AG373" t="s">
        <v>3401</v>
      </c>
      <c r="AH373" t="s">
        <v>63</v>
      </c>
      <c r="AI373" t="s">
        <v>63</v>
      </c>
      <c r="AJ373" t="s">
        <v>63</v>
      </c>
      <c r="AK373" t="s">
        <v>63</v>
      </c>
      <c r="AL373" t="s">
        <v>63</v>
      </c>
      <c r="AM373" t="s">
        <v>3402</v>
      </c>
      <c r="AN373" t="s">
        <v>63</v>
      </c>
      <c r="AO373" t="s">
        <v>63</v>
      </c>
      <c r="AP373" t="s">
        <v>63</v>
      </c>
      <c r="AQ373" t="s">
        <v>63</v>
      </c>
      <c r="AR373" t="s">
        <v>63</v>
      </c>
      <c r="AS373" t="s">
        <v>63</v>
      </c>
      <c r="AT373" t="s">
        <v>63</v>
      </c>
      <c r="AU373" t="s">
        <v>63</v>
      </c>
      <c r="AV373" t="s">
        <v>63</v>
      </c>
      <c r="AW373" t="s">
        <v>63</v>
      </c>
      <c r="AX373" t="s">
        <v>63</v>
      </c>
      <c r="AY373" t="s">
        <v>63</v>
      </c>
      <c r="AZ373" t="s">
        <v>63</v>
      </c>
      <c r="BA373" t="s">
        <v>63</v>
      </c>
      <c r="BB373" t="s">
        <v>63</v>
      </c>
      <c r="BC373" t="s">
        <v>63</v>
      </c>
      <c r="BD373" t="s">
        <v>63</v>
      </c>
      <c r="BE373" t="s">
        <v>63</v>
      </c>
      <c r="BF373" t="s">
        <v>63</v>
      </c>
    </row>
    <row r="374" spans="1:58">
      <c r="A374" t="s">
        <v>58</v>
      </c>
      <c r="B374" t="s">
        <v>3403</v>
      </c>
      <c r="C374" t="s">
        <v>3404</v>
      </c>
      <c r="D374" t="s">
        <v>1293</v>
      </c>
      <c r="E374" t="s">
        <v>1294</v>
      </c>
      <c r="F374">
        <v>1992</v>
      </c>
      <c r="G374" t="s">
        <v>1114</v>
      </c>
      <c r="H374">
        <v>24</v>
      </c>
      <c r="I374">
        <v>4</v>
      </c>
      <c r="J374">
        <v>299</v>
      </c>
      <c r="K374">
        <v>302</v>
      </c>
      <c r="L374" t="s">
        <v>3405</v>
      </c>
      <c r="M374" t="s">
        <v>3406</v>
      </c>
      <c r="N374" t="s">
        <v>3407</v>
      </c>
      <c r="O374" t="s">
        <v>63</v>
      </c>
      <c r="Q374" t="s">
        <v>63</v>
      </c>
      <c r="R374" t="s">
        <v>63</v>
      </c>
      <c r="S374" t="s">
        <v>63</v>
      </c>
      <c r="T374" t="s">
        <v>63</v>
      </c>
      <c r="X374" t="s">
        <v>63</v>
      </c>
      <c r="Y374" t="s">
        <v>1297</v>
      </c>
      <c r="Z374" t="s">
        <v>63</v>
      </c>
      <c r="AA374" t="s">
        <v>3408</v>
      </c>
      <c r="AB374">
        <v>1601241</v>
      </c>
      <c r="AC374" t="s">
        <v>67</v>
      </c>
      <c r="AD374" t="s">
        <v>63</v>
      </c>
      <c r="AE374" t="s">
        <v>63</v>
      </c>
      <c r="AF374" t="s">
        <v>63</v>
      </c>
      <c r="AG374" t="s">
        <v>3409</v>
      </c>
      <c r="AH374" t="s">
        <v>63</v>
      </c>
      <c r="AI374" t="s">
        <v>63</v>
      </c>
      <c r="AJ374" t="s">
        <v>63</v>
      </c>
      <c r="AK374" t="s">
        <v>63</v>
      </c>
      <c r="AL374" t="s">
        <v>63</v>
      </c>
      <c r="AM374" t="s">
        <v>3410</v>
      </c>
      <c r="AN374" t="s">
        <v>63</v>
      </c>
      <c r="AO374" t="s">
        <v>63</v>
      </c>
      <c r="AP374" t="s">
        <v>63</v>
      </c>
      <c r="AQ374" t="s">
        <v>63</v>
      </c>
      <c r="AR374" t="s">
        <v>63</v>
      </c>
      <c r="AS374" t="s">
        <v>63</v>
      </c>
      <c r="AT374" t="s">
        <v>63</v>
      </c>
      <c r="AU374" t="s">
        <v>63</v>
      </c>
      <c r="AV374" t="s">
        <v>63</v>
      </c>
      <c r="AW374" t="s">
        <v>63</v>
      </c>
      <c r="AX374" t="s">
        <v>63</v>
      </c>
      <c r="AY374" t="s">
        <v>63</v>
      </c>
      <c r="AZ374" t="s">
        <v>63</v>
      </c>
      <c r="BA374" t="s">
        <v>63</v>
      </c>
      <c r="BB374" t="s">
        <v>63</v>
      </c>
      <c r="BC374" t="s">
        <v>63</v>
      </c>
      <c r="BD374" t="s">
        <v>63</v>
      </c>
      <c r="BE374" t="s">
        <v>63</v>
      </c>
      <c r="BF374" t="s">
        <v>63</v>
      </c>
    </row>
    <row r="375" spans="1:58">
      <c r="A375" t="s">
        <v>58</v>
      </c>
      <c r="B375" t="s">
        <v>3411</v>
      </c>
      <c r="C375" t="s">
        <v>3412</v>
      </c>
      <c r="D375" t="s">
        <v>3413</v>
      </c>
      <c r="E375" t="s">
        <v>63</v>
      </c>
      <c r="F375">
        <v>1993</v>
      </c>
      <c r="G375" t="s">
        <v>274</v>
      </c>
      <c r="H375">
        <v>20</v>
      </c>
      <c r="I375">
        <v>1</v>
      </c>
      <c r="J375">
        <v>241</v>
      </c>
      <c r="K375">
        <v>250</v>
      </c>
      <c r="L375" t="s">
        <v>3414</v>
      </c>
      <c r="M375" t="s">
        <v>3415</v>
      </c>
      <c r="N375" t="s">
        <v>3416</v>
      </c>
      <c r="O375" t="s">
        <v>63</v>
      </c>
      <c r="Q375" t="s">
        <v>63</v>
      </c>
      <c r="R375" t="s">
        <v>63</v>
      </c>
      <c r="S375" t="s">
        <v>63</v>
      </c>
      <c r="T375" t="s">
        <v>63</v>
      </c>
      <c r="X375" t="s">
        <v>63</v>
      </c>
      <c r="Y375" t="s">
        <v>3417</v>
      </c>
      <c r="Z375" t="s">
        <v>63</v>
      </c>
      <c r="AA375" t="s">
        <v>3418</v>
      </c>
      <c r="AB375">
        <v>8464945</v>
      </c>
      <c r="AC375" t="s">
        <v>67</v>
      </c>
      <c r="AD375" t="s">
        <v>63</v>
      </c>
      <c r="AE375" t="s">
        <v>63</v>
      </c>
      <c r="AF375" t="s">
        <v>63</v>
      </c>
      <c r="AG375" t="s">
        <v>3419</v>
      </c>
      <c r="AH375" t="s">
        <v>63</v>
      </c>
      <c r="AI375" t="s">
        <v>63</v>
      </c>
      <c r="AJ375" t="s">
        <v>63</v>
      </c>
      <c r="AK375" t="s">
        <v>63</v>
      </c>
      <c r="AL375" t="s">
        <v>63</v>
      </c>
      <c r="AM375" t="s">
        <v>3420</v>
      </c>
      <c r="AN375" t="s">
        <v>63</v>
      </c>
      <c r="AO375" t="s">
        <v>63</v>
      </c>
      <c r="AP375" t="s">
        <v>63</v>
      </c>
      <c r="AQ375" t="s">
        <v>63</v>
      </c>
      <c r="AR375" t="s">
        <v>63</v>
      </c>
      <c r="AS375" t="s">
        <v>63</v>
      </c>
      <c r="AT375" t="s">
        <v>63</v>
      </c>
      <c r="AU375" t="s">
        <v>63</v>
      </c>
      <c r="AV375" t="s">
        <v>63</v>
      </c>
      <c r="AW375" t="s">
        <v>63</v>
      </c>
      <c r="AX375" t="s">
        <v>63</v>
      </c>
      <c r="AY375" t="s">
        <v>63</v>
      </c>
      <c r="AZ375" t="s">
        <v>63</v>
      </c>
      <c r="BA375" t="s">
        <v>63</v>
      </c>
      <c r="BB375" t="s">
        <v>63</v>
      </c>
      <c r="BC375" t="s">
        <v>63</v>
      </c>
      <c r="BD375" t="s">
        <v>63</v>
      </c>
      <c r="BE375" t="s">
        <v>63</v>
      </c>
      <c r="BF375" t="s">
        <v>63</v>
      </c>
    </row>
    <row r="376" spans="1:58">
      <c r="A376" t="s">
        <v>58</v>
      </c>
      <c r="B376" t="s">
        <v>3421</v>
      </c>
      <c r="C376" t="s">
        <v>3422</v>
      </c>
      <c r="D376" t="s">
        <v>2036</v>
      </c>
      <c r="E376" t="s">
        <v>63</v>
      </c>
      <c r="F376">
        <v>2016</v>
      </c>
      <c r="G376" t="s">
        <v>3423</v>
      </c>
      <c r="H376">
        <v>163</v>
      </c>
      <c r="I376" t="s">
        <v>63</v>
      </c>
      <c r="J376">
        <v>100</v>
      </c>
      <c r="K376">
        <v>107</v>
      </c>
      <c r="L376" t="s">
        <v>3424</v>
      </c>
      <c r="M376" t="s">
        <v>3425</v>
      </c>
      <c r="N376" t="s">
        <v>3426</v>
      </c>
      <c r="O376" t="s">
        <v>63</v>
      </c>
      <c r="Q376" t="s">
        <v>63</v>
      </c>
      <c r="R376" t="s">
        <v>63</v>
      </c>
      <c r="S376" t="s">
        <v>63</v>
      </c>
      <c r="T376" t="s">
        <v>63</v>
      </c>
      <c r="X376" t="s">
        <v>63</v>
      </c>
      <c r="Y376" t="s">
        <v>2040</v>
      </c>
      <c r="Z376" t="s">
        <v>63</v>
      </c>
      <c r="AA376" t="s">
        <v>3427</v>
      </c>
      <c r="AB376">
        <v>27137406</v>
      </c>
      <c r="AC376" t="s">
        <v>67</v>
      </c>
      <c r="AD376" t="s">
        <v>63</v>
      </c>
      <c r="AE376" t="s">
        <v>63</v>
      </c>
      <c r="AF376" t="s">
        <v>63</v>
      </c>
      <c r="AG376" t="s">
        <v>3428</v>
      </c>
      <c r="AH376" t="s">
        <v>63</v>
      </c>
      <c r="AI376" t="s">
        <v>3429</v>
      </c>
      <c r="AJ376" t="s">
        <v>63</v>
      </c>
      <c r="AK376" t="s">
        <v>63</v>
      </c>
      <c r="AL376" t="s">
        <v>63</v>
      </c>
      <c r="AM376" t="s">
        <v>3430</v>
      </c>
      <c r="AN376" t="s">
        <v>63</v>
      </c>
      <c r="AO376" t="s">
        <v>63</v>
      </c>
      <c r="AP376" t="s">
        <v>63</v>
      </c>
      <c r="AQ376" t="s">
        <v>63</v>
      </c>
      <c r="AR376" t="s">
        <v>63</v>
      </c>
      <c r="AS376" t="s">
        <v>63</v>
      </c>
      <c r="AT376" t="s">
        <v>63</v>
      </c>
      <c r="AU376" t="s">
        <v>63</v>
      </c>
      <c r="AV376" t="s">
        <v>63</v>
      </c>
      <c r="AW376" t="s">
        <v>63</v>
      </c>
      <c r="AX376" t="s">
        <v>63</v>
      </c>
      <c r="AY376" t="s">
        <v>63</v>
      </c>
      <c r="AZ376" t="s">
        <v>63</v>
      </c>
      <c r="BA376" t="s">
        <v>63</v>
      </c>
      <c r="BB376" t="s">
        <v>63</v>
      </c>
      <c r="BC376" t="s">
        <v>63</v>
      </c>
      <c r="BD376" t="s">
        <v>63</v>
      </c>
      <c r="BE376" t="s">
        <v>63</v>
      </c>
      <c r="BF376" t="s">
        <v>63</v>
      </c>
    </row>
    <row r="377" spans="1:58">
      <c r="A377" t="s">
        <v>58</v>
      </c>
      <c r="B377" t="s">
        <v>3431</v>
      </c>
      <c r="C377" t="s">
        <v>3432</v>
      </c>
      <c r="D377" t="s">
        <v>3380</v>
      </c>
      <c r="E377" t="s">
        <v>63</v>
      </c>
      <c r="F377">
        <v>1994</v>
      </c>
      <c r="G377" t="s">
        <v>73</v>
      </c>
      <c r="H377">
        <v>146</v>
      </c>
      <c r="I377">
        <v>6</v>
      </c>
      <c r="J377">
        <v>275</v>
      </c>
      <c r="K377">
        <v>278</v>
      </c>
      <c r="L377" t="s">
        <v>3433</v>
      </c>
      <c r="M377" t="s">
        <v>3434</v>
      </c>
      <c r="N377" t="s">
        <v>3435</v>
      </c>
      <c r="O377" t="s">
        <v>63</v>
      </c>
      <c r="Q377" t="s">
        <v>63</v>
      </c>
      <c r="R377" t="s">
        <v>63</v>
      </c>
      <c r="S377" t="s">
        <v>63</v>
      </c>
      <c r="T377" t="s">
        <v>63</v>
      </c>
      <c r="X377" t="s">
        <v>63</v>
      </c>
      <c r="Y377" t="s">
        <v>3383</v>
      </c>
      <c r="Z377" t="s">
        <v>63</v>
      </c>
      <c r="AA377" t="s">
        <v>3436</v>
      </c>
      <c r="AB377">
        <v>8057051</v>
      </c>
      <c r="AC377" t="s">
        <v>67</v>
      </c>
      <c r="AD377" t="s">
        <v>63</v>
      </c>
      <c r="AE377" t="s">
        <v>63</v>
      </c>
      <c r="AF377" t="s">
        <v>63</v>
      </c>
      <c r="AG377" t="s">
        <v>3437</v>
      </c>
      <c r="AH377" t="s">
        <v>63</v>
      </c>
      <c r="AI377" t="s">
        <v>63</v>
      </c>
      <c r="AJ377" t="s">
        <v>63</v>
      </c>
      <c r="AK377" t="s">
        <v>63</v>
      </c>
      <c r="AL377" t="s">
        <v>63</v>
      </c>
      <c r="AM377" t="s">
        <v>3438</v>
      </c>
      <c r="AN377" t="s">
        <v>63</v>
      </c>
      <c r="AO377" t="s">
        <v>63</v>
      </c>
      <c r="AP377" t="s">
        <v>63</v>
      </c>
      <c r="AQ377" t="s">
        <v>63</v>
      </c>
      <c r="AR377" t="s">
        <v>63</v>
      </c>
      <c r="AS377" t="s">
        <v>63</v>
      </c>
      <c r="AT377" t="s">
        <v>63</v>
      </c>
      <c r="AU377" t="s">
        <v>63</v>
      </c>
      <c r="AV377" t="s">
        <v>63</v>
      </c>
      <c r="AW377" t="s">
        <v>63</v>
      </c>
      <c r="AX377" t="s">
        <v>63</v>
      </c>
      <c r="AY377" t="s">
        <v>63</v>
      </c>
      <c r="AZ377" t="s">
        <v>63</v>
      </c>
      <c r="BA377" t="s">
        <v>63</v>
      </c>
      <c r="BB377" t="s">
        <v>63</v>
      </c>
      <c r="BC377" t="s">
        <v>63</v>
      </c>
      <c r="BD377" t="s">
        <v>63</v>
      </c>
      <c r="BE377" t="s">
        <v>63</v>
      </c>
      <c r="BF377" t="s">
        <v>63</v>
      </c>
    </row>
    <row r="378" spans="1:58">
      <c r="A378" t="s">
        <v>58</v>
      </c>
      <c r="B378" t="s">
        <v>3439</v>
      </c>
      <c r="C378" t="s">
        <v>3440</v>
      </c>
      <c r="D378" t="s">
        <v>371</v>
      </c>
      <c r="E378" t="s">
        <v>63</v>
      </c>
      <c r="F378">
        <v>1992</v>
      </c>
      <c r="G378" t="s">
        <v>623</v>
      </c>
      <c r="H378">
        <v>7</v>
      </c>
      <c r="I378">
        <v>1</v>
      </c>
      <c r="J378">
        <v>38</v>
      </c>
      <c r="K378">
        <v>45</v>
      </c>
      <c r="L378" t="s">
        <v>3441</v>
      </c>
      <c r="M378" t="s">
        <v>3442</v>
      </c>
      <c r="N378" t="s">
        <v>3443</v>
      </c>
      <c r="O378" t="s">
        <v>63</v>
      </c>
      <c r="Q378" t="s">
        <v>63</v>
      </c>
      <c r="R378" t="s">
        <v>63</v>
      </c>
      <c r="S378" t="s">
        <v>63</v>
      </c>
      <c r="T378" t="s">
        <v>63</v>
      </c>
      <c r="X378" t="s">
        <v>63</v>
      </c>
      <c r="Y378" t="s">
        <v>375</v>
      </c>
      <c r="Z378" t="s">
        <v>63</v>
      </c>
      <c r="AA378" t="s">
        <v>3444</v>
      </c>
      <c r="AB378">
        <v>1548546</v>
      </c>
      <c r="AC378" t="s">
        <v>67</v>
      </c>
      <c r="AD378" t="s">
        <v>63</v>
      </c>
      <c r="AE378" t="s">
        <v>63</v>
      </c>
      <c r="AF378" t="s">
        <v>63</v>
      </c>
      <c r="AG378" t="s">
        <v>3445</v>
      </c>
      <c r="AH378" t="s">
        <v>63</v>
      </c>
      <c r="AI378" t="s">
        <v>63</v>
      </c>
      <c r="AJ378" t="s">
        <v>63</v>
      </c>
      <c r="AK378" t="s">
        <v>63</v>
      </c>
      <c r="AL378" t="s">
        <v>63</v>
      </c>
      <c r="AM378" t="s">
        <v>3446</v>
      </c>
      <c r="AN378" t="s">
        <v>63</v>
      </c>
      <c r="AO378" t="s">
        <v>63</v>
      </c>
      <c r="AP378" t="s">
        <v>63</v>
      </c>
      <c r="AQ378" t="s">
        <v>63</v>
      </c>
      <c r="AR378" t="s">
        <v>63</v>
      </c>
      <c r="AS378" t="s">
        <v>63</v>
      </c>
      <c r="AT378" t="s">
        <v>63</v>
      </c>
      <c r="AU378" t="s">
        <v>63</v>
      </c>
      <c r="AV378" t="s">
        <v>63</v>
      </c>
      <c r="AW378" t="s">
        <v>63</v>
      </c>
      <c r="AX378" t="s">
        <v>63</v>
      </c>
      <c r="AY378" t="s">
        <v>63</v>
      </c>
      <c r="AZ378" t="s">
        <v>63</v>
      </c>
      <c r="BA378" t="s">
        <v>63</v>
      </c>
      <c r="BB378" t="s">
        <v>63</v>
      </c>
      <c r="BC378" t="s">
        <v>63</v>
      </c>
      <c r="BD378" t="s">
        <v>63</v>
      </c>
      <c r="BE378" t="s">
        <v>63</v>
      </c>
      <c r="BF378" t="s">
        <v>63</v>
      </c>
    </row>
    <row r="379" spans="1:58">
      <c r="A379" t="s">
        <v>58</v>
      </c>
      <c r="B379" t="s">
        <v>3447</v>
      </c>
      <c r="C379" t="s">
        <v>3448</v>
      </c>
      <c r="D379" t="s">
        <v>3449</v>
      </c>
      <c r="E379" t="s">
        <v>63</v>
      </c>
      <c r="F379">
        <v>1993</v>
      </c>
      <c r="G379" t="s">
        <v>157</v>
      </c>
      <c r="H379">
        <v>10</v>
      </c>
      <c r="I379">
        <v>22</v>
      </c>
      <c r="J379">
        <v>68</v>
      </c>
      <c r="K379">
        <v>75</v>
      </c>
      <c r="L379" t="s">
        <v>3450</v>
      </c>
      <c r="M379" t="s">
        <v>63</v>
      </c>
      <c r="N379" t="s">
        <v>3451</v>
      </c>
      <c r="O379" t="s">
        <v>63</v>
      </c>
      <c r="Q379" t="s">
        <v>63</v>
      </c>
      <c r="R379" t="s">
        <v>63</v>
      </c>
      <c r="S379" t="s">
        <v>63</v>
      </c>
      <c r="T379" t="s">
        <v>63</v>
      </c>
      <c r="X379" t="s">
        <v>63</v>
      </c>
      <c r="Y379" t="s">
        <v>3452</v>
      </c>
      <c r="Z379" t="s">
        <v>63</v>
      </c>
      <c r="AA379" t="s">
        <v>63</v>
      </c>
      <c r="AB379">
        <v>12287894</v>
      </c>
      <c r="AC379" t="s">
        <v>913</v>
      </c>
      <c r="AD379" t="s">
        <v>63</v>
      </c>
      <c r="AE379" t="s">
        <v>63</v>
      </c>
      <c r="AF379" t="s">
        <v>63</v>
      </c>
      <c r="AG379" t="s">
        <v>3453</v>
      </c>
      <c r="AH379" t="s">
        <v>63</v>
      </c>
      <c r="AI379" t="s">
        <v>63</v>
      </c>
      <c r="AJ379" t="s">
        <v>63</v>
      </c>
      <c r="AK379" t="s">
        <v>63</v>
      </c>
      <c r="AL379" t="s">
        <v>63</v>
      </c>
      <c r="AM379" t="s">
        <v>3454</v>
      </c>
      <c r="AN379" t="s">
        <v>63</v>
      </c>
      <c r="AO379" t="s">
        <v>63</v>
      </c>
      <c r="AP379" t="s">
        <v>63</v>
      </c>
      <c r="AQ379" t="s">
        <v>63</v>
      </c>
      <c r="AR379" t="s">
        <v>63</v>
      </c>
      <c r="AS379" t="s">
        <v>63</v>
      </c>
      <c r="AT379" t="s">
        <v>63</v>
      </c>
      <c r="AU379" t="s">
        <v>63</v>
      </c>
      <c r="AV379" t="s">
        <v>63</v>
      </c>
      <c r="AW379" t="s">
        <v>63</v>
      </c>
      <c r="AX379" t="s">
        <v>63</v>
      </c>
      <c r="AY379" t="s">
        <v>63</v>
      </c>
      <c r="AZ379" t="s">
        <v>63</v>
      </c>
      <c r="BA379" t="s">
        <v>63</v>
      </c>
      <c r="BB379" t="s">
        <v>63</v>
      </c>
      <c r="BC379" t="s">
        <v>63</v>
      </c>
      <c r="BD379" t="s">
        <v>63</v>
      </c>
      <c r="BE379" t="s">
        <v>63</v>
      </c>
      <c r="BF379" t="s">
        <v>63</v>
      </c>
    </row>
    <row r="380" spans="1:58">
      <c r="A380" t="s">
        <v>58</v>
      </c>
      <c r="B380" t="s">
        <v>3455</v>
      </c>
      <c r="C380" t="s">
        <v>3456</v>
      </c>
      <c r="D380" t="s">
        <v>3457</v>
      </c>
      <c r="E380" t="s">
        <v>63</v>
      </c>
      <c r="F380">
        <v>2016</v>
      </c>
      <c r="G380" t="s">
        <v>274</v>
      </c>
      <c r="H380">
        <v>89</v>
      </c>
      <c r="I380">
        <v>1</v>
      </c>
      <c r="J380">
        <v>97</v>
      </c>
      <c r="K380">
        <v>103</v>
      </c>
      <c r="L380" t="s">
        <v>3458</v>
      </c>
      <c r="M380" t="s">
        <v>3459</v>
      </c>
      <c r="N380" t="s">
        <v>3460</v>
      </c>
      <c r="O380" t="s">
        <v>63</v>
      </c>
      <c r="Q380" t="s">
        <v>63</v>
      </c>
      <c r="R380" t="s">
        <v>63</v>
      </c>
      <c r="S380" t="s">
        <v>63</v>
      </c>
      <c r="T380" t="s">
        <v>63</v>
      </c>
      <c r="X380" t="s">
        <v>63</v>
      </c>
      <c r="Y380" t="s">
        <v>3461</v>
      </c>
      <c r="Z380" t="s">
        <v>63</v>
      </c>
      <c r="AA380" t="s">
        <v>3462</v>
      </c>
      <c r="AB380">
        <v>27505022</v>
      </c>
      <c r="AC380" t="s">
        <v>67</v>
      </c>
      <c r="AD380" t="s">
        <v>63</v>
      </c>
      <c r="AE380" t="s">
        <v>63</v>
      </c>
      <c r="AF380" t="s">
        <v>63</v>
      </c>
      <c r="AG380" t="s">
        <v>3463</v>
      </c>
      <c r="AH380" t="s">
        <v>63</v>
      </c>
      <c r="AI380" t="s">
        <v>63</v>
      </c>
      <c r="AJ380" t="s">
        <v>63</v>
      </c>
      <c r="AK380" t="s">
        <v>63</v>
      </c>
      <c r="AL380" t="s">
        <v>63</v>
      </c>
      <c r="AM380" t="s">
        <v>3464</v>
      </c>
      <c r="AN380" t="s">
        <v>63</v>
      </c>
      <c r="AO380" t="s">
        <v>63</v>
      </c>
      <c r="AP380" t="s">
        <v>63</v>
      </c>
      <c r="AQ380" t="s">
        <v>63</v>
      </c>
      <c r="AR380" t="s">
        <v>63</v>
      </c>
      <c r="AS380" t="s">
        <v>63</v>
      </c>
      <c r="AT380" t="s">
        <v>63</v>
      </c>
      <c r="AU380" t="s">
        <v>63</v>
      </c>
      <c r="AV380" t="s">
        <v>63</v>
      </c>
      <c r="AW380" t="s">
        <v>63</v>
      </c>
      <c r="AX380" t="s">
        <v>63</v>
      </c>
      <c r="AY380" t="s">
        <v>63</v>
      </c>
      <c r="AZ380" t="s">
        <v>63</v>
      </c>
      <c r="BA380" t="s">
        <v>63</v>
      </c>
      <c r="BB380" t="s">
        <v>63</v>
      </c>
      <c r="BC380" t="s">
        <v>63</v>
      </c>
      <c r="BD380" t="s">
        <v>63</v>
      </c>
      <c r="BE380" t="s">
        <v>63</v>
      </c>
      <c r="BF380" t="s">
        <v>63</v>
      </c>
    </row>
    <row r="381" spans="1:58">
      <c r="A381" t="s">
        <v>58</v>
      </c>
      <c r="B381" t="s">
        <v>3465</v>
      </c>
      <c r="C381" t="s">
        <v>3466</v>
      </c>
      <c r="D381" t="s">
        <v>3467</v>
      </c>
      <c r="E381" t="s">
        <v>3468</v>
      </c>
      <c r="F381">
        <v>2013</v>
      </c>
      <c r="G381" t="s">
        <v>63</v>
      </c>
      <c r="H381">
        <v>157</v>
      </c>
      <c r="I381">
        <v>22</v>
      </c>
      <c r="J381" t="s">
        <v>3469</v>
      </c>
      <c r="K381" t="s">
        <v>63</v>
      </c>
      <c r="L381" t="s">
        <v>3470</v>
      </c>
      <c r="M381" t="s">
        <v>3471</v>
      </c>
      <c r="N381" t="s">
        <v>3472</v>
      </c>
      <c r="O381" t="s">
        <v>63</v>
      </c>
      <c r="Q381" t="s">
        <v>63</v>
      </c>
      <c r="R381" t="s">
        <v>63</v>
      </c>
      <c r="S381" t="s">
        <v>63</v>
      </c>
      <c r="T381" t="s">
        <v>63</v>
      </c>
      <c r="X381" t="s">
        <v>63</v>
      </c>
      <c r="Y381" t="s">
        <v>3473</v>
      </c>
      <c r="Z381" t="s">
        <v>63</v>
      </c>
      <c r="AA381" t="s">
        <v>3474</v>
      </c>
      <c r="AB381">
        <v>23714292</v>
      </c>
      <c r="AC381" t="s">
        <v>3475</v>
      </c>
      <c r="AD381" t="s">
        <v>63</v>
      </c>
      <c r="AE381" t="s">
        <v>63</v>
      </c>
      <c r="AF381" t="s">
        <v>63</v>
      </c>
      <c r="AG381" t="s">
        <v>3476</v>
      </c>
      <c r="AH381" t="s">
        <v>63</v>
      </c>
      <c r="AI381" t="s">
        <v>63</v>
      </c>
      <c r="AJ381" t="s">
        <v>63</v>
      </c>
      <c r="AK381" t="s">
        <v>63</v>
      </c>
      <c r="AL381" t="s">
        <v>63</v>
      </c>
      <c r="AM381" t="s">
        <v>3477</v>
      </c>
      <c r="AN381" t="s">
        <v>63</v>
      </c>
      <c r="AO381" t="s">
        <v>63</v>
      </c>
      <c r="AP381" t="s">
        <v>63</v>
      </c>
      <c r="AQ381" t="s">
        <v>63</v>
      </c>
      <c r="AR381" t="s">
        <v>63</v>
      </c>
      <c r="AS381" t="s">
        <v>63</v>
      </c>
      <c r="AT381" t="s">
        <v>63</v>
      </c>
      <c r="AU381" t="s">
        <v>63</v>
      </c>
      <c r="AV381" t="s">
        <v>63</v>
      </c>
      <c r="AW381" t="s">
        <v>63</v>
      </c>
      <c r="AX381" t="s">
        <v>63</v>
      </c>
      <c r="AY381" t="s">
        <v>63</v>
      </c>
      <c r="AZ381" t="s">
        <v>63</v>
      </c>
      <c r="BA381" t="s">
        <v>63</v>
      </c>
      <c r="BB381" t="s">
        <v>63</v>
      </c>
      <c r="BC381" t="s">
        <v>63</v>
      </c>
      <c r="BD381" t="s">
        <v>63</v>
      </c>
      <c r="BE381" t="s">
        <v>63</v>
      </c>
      <c r="BF381" t="s">
        <v>63</v>
      </c>
    </row>
    <row r="382" spans="1:58">
      <c r="A382" t="s">
        <v>58</v>
      </c>
      <c r="B382" t="s">
        <v>3478</v>
      </c>
      <c r="C382" t="s">
        <v>3479</v>
      </c>
      <c r="D382" t="s">
        <v>1481</v>
      </c>
      <c r="E382" t="s">
        <v>1481</v>
      </c>
      <c r="F382">
        <v>2009</v>
      </c>
      <c r="G382" t="s">
        <v>1670</v>
      </c>
      <c r="H382">
        <v>104</v>
      </c>
      <c r="I382">
        <v>7</v>
      </c>
      <c r="J382">
        <v>1258</v>
      </c>
      <c r="K382">
        <v>1259</v>
      </c>
      <c r="L382" t="s">
        <v>3480</v>
      </c>
      <c r="M382" t="s">
        <v>63</v>
      </c>
      <c r="N382" t="s">
        <v>3481</v>
      </c>
      <c r="O382" t="s">
        <v>63</v>
      </c>
      <c r="Q382" t="s">
        <v>63</v>
      </c>
      <c r="R382" t="s">
        <v>63</v>
      </c>
      <c r="S382" t="s">
        <v>63</v>
      </c>
      <c r="T382" t="s">
        <v>63</v>
      </c>
      <c r="X382" t="s">
        <v>63</v>
      </c>
      <c r="Y382" t="s">
        <v>1484</v>
      </c>
      <c r="Z382" t="s">
        <v>63</v>
      </c>
      <c r="AA382" t="s">
        <v>63</v>
      </c>
      <c r="AB382">
        <v>19563568</v>
      </c>
      <c r="AC382" t="s">
        <v>67</v>
      </c>
      <c r="AD382" t="s">
        <v>63</v>
      </c>
      <c r="AE382" t="s">
        <v>63</v>
      </c>
      <c r="AF382" t="s">
        <v>63</v>
      </c>
      <c r="AG382" t="s">
        <v>3482</v>
      </c>
      <c r="AH382" t="s">
        <v>63</v>
      </c>
      <c r="AI382" t="s">
        <v>3483</v>
      </c>
      <c r="AJ382" t="s">
        <v>63</v>
      </c>
      <c r="AK382" t="s">
        <v>63</v>
      </c>
      <c r="AL382" t="s">
        <v>63</v>
      </c>
      <c r="AM382" t="s">
        <v>3484</v>
      </c>
      <c r="AN382" t="s">
        <v>63</v>
      </c>
      <c r="AO382" t="s">
        <v>63</v>
      </c>
      <c r="AP382" t="s">
        <v>63</v>
      </c>
      <c r="AQ382" t="s">
        <v>63</v>
      </c>
      <c r="AR382" t="s">
        <v>63</v>
      </c>
      <c r="AS382" t="s">
        <v>63</v>
      </c>
      <c r="AT382" t="s">
        <v>63</v>
      </c>
      <c r="AU382" t="s">
        <v>63</v>
      </c>
      <c r="AV382" t="s">
        <v>63</v>
      </c>
      <c r="AW382" t="s">
        <v>63</v>
      </c>
      <c r="AX382" t="s">
        <v>63</v>
      </c>
      <c r="AY382" t="s">
        <v>63</v>
      </c>
      <c r="AZ382" t="s">
        <v>63</v>
      </c>
      <c r="BA382" t="s">
        <v>63</v>
      </c>
      <c r="BB382" t="s">
        <v>63</v>
      </c>
      <c r="BC382" t="s">
        <v>63</v>
      </c>
      <c r="BD382" t="s">
        <v>63</v>
      </c>
      <c r="BE382" t="s">
        <v>63</v>
      </c>
      <c r="BF382" t="s">
        <v>63</v>
      </c>
    </row>
    <row r="383" spans="1:58">
      <c r="A383" t="s">
        <v>58</v>
      </c>
      <c r="B383" t="s">
        <v>3485</v>
      </c>
      <c r="C383" t="s">
        <v>3486</v>
      </c>
      <c r="D383" t="s">
        <v>389</v>
      </c>
      <c r="E383" t="s">
        <v>63</v>
      </c>
      <c r="F383">
        <v>2011</v>
      </c>
      <c r="G383" t="s">
        <v>84</v>
      </c>
      <c r="H383">
        <v>32</v>
      </c>
      <c r="I383">
        <v>2</v>
      </c>
      <c r="J383">
        <v>108</v>
      </c>
      <c r="K383">
        <v>114</v>
      </c>
      <c r="L383" t="s">
        <v>3487</v>
      </c>
      <c r="M383" t="s">
        <v>3488</v>
      </c>
      <c r="N383" t="s">
        <v>3489</v>
      </c>
      <c r="O383" t="s">
        <v>63</v>
      </c>
      <c r="Q383" t="s">
        <v>63</v>
      </c>
      <c r="R383" t="s">
        <v>63</v>
      </c>
      <c r="S383" t="s">
        <v>63</v>
      </c>
      <c r="T383" t="s">
        <v>63</v>
      </c>
      <c r="X383" t="s">
        <v>63</v>
      </c>
      <c r="Y383" t="s">
        <v>556</v>
      </c>
      <c r="Z383" t="s">
        <v>63</v>
      </c>
      <c r="AA383" t="s">
        <v>3490</v>
      </c>
      <c r="AB383">
        <v>21534132</v>
      </c>
      <c r="AC383" t="s">
        <v>67</v>
      </c>
      <c r="AD383" t="s">
        <v>63</v>
      </c>
      <c r="AE383" t="s">
        <v>63</v>
      </c>
      <c r="AF383" t="s">
        <v>63</v>
      </c>
      <c r="AG383" t="s">
        <v>3491</v>
      </c>
      <c r="AH383" t="s">
        <v>63</v>
      </c>
      <c r="AI383" t="s">
        <v>3492</v>
      </c>
      <c r="AJ383" t="s">
        <v>63</v>
      </c>
      <c r="AK383" t="s">
        <v>63</v>
      </c>
      <c r="AL383" t="s">
        <v>63</v>
      </c>
      <c r="AM383" t="s">
        <v>3493</v>
      </c>
      <c r="AN383" t="s">
        <v>63</v>
      </c>
      <c r="AO383" t="s">
        <v>63</v>
      </c>
      <c r="AP383" t="s">
        <v>63</v>
      </c>
      <c r="AQ383" t="s">
        <v>63</v>
      </c>
      <c r="AR383" t="s">
        <v>63</v>
      </c>
      <c r="AS383" t="s">
        <v>63</v>
      </c>
      <c r="AT383" t="s">
        <v>63</v>
      </c>
      <c r="AU383" t="s">
        <v>63</v>
      </c>
      <c r="AV383" t="s">
        <v>63</v>
      </c>
      <c r="AW383" t="s">
        <v>63</v>
      </c>
      <c r="AX383" t="s">
        <v>63</v>
      </c>
      <c r="AY383" t="s">
        <v>63</v>
      </c>
      <c r="AZ383" t="s">
        <v>63</v>
      </c>
      <c r="BA383" t="s">
        <v>63</v>
      </c>
      <c r="BB383" t="s">
        <v>63</v>
      </c>
      <c r="BC383" t="s">
        <v>63</v>
      </c>
      <c r="BD383" t="s">
        <v>63</v>
      </c>
      <c r="BE383" t="s">
        <v>63</v>
      </c>
      <c r="BF383" t="s">
        <v>63</v>
      </c>
    </row>
    <row r="384" spans="1:58">
      <c r="A384" t="s">
        <v>58</v>
      </c>
      <c r="B384" t="s">
        <v>3494</v>
      </c>
      <c r="C384" t="s">
        <v>3495</v>
      </c>
      <c r="D384" t="s">
        <v>3496</v>
      </c>
      <c r="E384" t="s">
        <v>63</v>
      </c>
      <c r="F384">
        <v>2014</v>
      </c>
      <c r="G384" t="s">
        <v>219</v>
      </c>
      <c r="H384">
        <v>14</v>
      </c>
      <c r="I384">
        <v>6</v>
      </c>
      <c r="J384">
        <v>666</v>
      </c>
      <c r="K384">
        <v>673</v>
      </c>
      <c r="L384" t="s">
        <v>3497</v>
      </c>
      <c r="M384" t="s">
        <v>3498</v>
      </c>
      <c r="N384" t="s">
        <v>3499</v>
      </c>
      <c r="O384" t="s">
        <v>63</v>
      </c>
      <c r="Q384" t="s">
        <v>63</v>
      </c>
      <c r="R384" t="s">
        <v>63</v>
      </c>
      <c r="S384" t="s">
        <v>63</v>
      </c>
      <c r="T384" t="s">
        <v>63</v>
      </c>
      <c r="X384" t="s">
        <v>63</v>
      </c>
      <c r="Y384" t="s">
        <v>3500</v>
      </c>
      <c r="Z384" t="s">
        <v>63</v>
      </c>
      <c r="AA384" t="s">
        <v>3501</v>
      </c>
      <c r="AB384">
        <v>25262064</v>
      </c>
      <c r="AC384" t="s">
        <v>67</v>
      </c>
      <c r="AD384" t="s">
        <v>63</v>
      </c>
      <c r="AE384" t="s">
        <v>63</v>
      </c>
      <c r="AF384" t="s">
        <v>63</v>
      </c>
      <c r="AG384" t="s">
        <v>3502</v>
      </c>
      <c r="AH384" t="s">
        <v>63</v>
      </c>
      <c r="AI384" t="s">
        <v>3503</v>
      </c>
      <c r="AJ384" t="s">
        <v>63</v>
      </c>
      <c r="AK384" t="s">
        <v>63</v>
      </c>
      <c r="AL384" t="s">
        <v>63</v>
      </c>
      <c r="AM384" t="s">
        <v>3504</v>
      </c>
      <c r="AN384" t="s">
        <v>63</v>
      </c>
      <c r="AO384" t="s">
        <v>63</v>
      </c>
      <c r="AP384" t="s">
        <v>63</v>
      </c>
      <c r="AQ384" t="s">
        <v>63</v>
      </c>
      <c r="AR384" t="s">
        <v>63</v>
      </c>
      <c r="AS384" t="s">
        <v>63</v>
      </c>
      <c r="AT384" t="s">
        <v>63</v>
      </c>
      <c r="AU384" t="s">
        <v>63</v>
      </c>
      <c r="AV384" t="s">
        <v>63</v>
      </c>
      <c r="AW384" t="s">
        <v>63</v>
      </c>
      <c r="AX384" t="s">
        <v>63</v>
      </c>
      <c r="AY384" t="s">
        <v>63</v>
      </c>
      <c r="AZ384" t="s">
        <v>63</v>
      </c>
      <c r="BA384" t="s">
        <v>63</v>
      </c>
      <c r="BB384" t="s">
        <v>63</v>
      </c>
      <c r="BC384" t="s">
        <v>63</v>
      </c>
      <c r="BD384" t="s">
        <v>63</v>
      </c>
      <c r="BE384" t="s">
        <v>63</v>
      </c>
      <c r="BF384" t="s">
        <v>63</v>
      </c>
    </row>
    <row r="385" spans="1:58">
      <c r="A385" t="s">
        <v>58</v>
      </c>
      <c r="B385" t="s">
        <v>3505</v>
      </c>
      <c r="C385" t="s">
        <v>3506</v>
      </c>
      <c r="D385" t="s">
        <v>1633</v>
      </c>
      <c r="E385" t="s">
        <v>63</v>
      </c>
      <c r="F385">
        <v>2016</v>
      </c>
      <c r="G385" s="1">
        <v>41967</v>
      </c>
      <c r="H385">
        <v>28</v>
      </c>
      <c r="I385">
        <v>5</v>
      </c>
      <c r="J385">
        <v>591</v>
      </c>
      <c r="K385">
        <v>597</v>
      </c>
      <c r="L385" t="s">
        <v>3507</v>
      </c>
      <c r="M385" t="s">
        <v>3508</v>
      </c>
      <c r="N385" t="s">
        <v>3509</v>
      </c>
      <c r="O385" t="s">
        <v>63</v>
      </c>
      <c r="Q385" t="s">
        <v>63</v>
      </c>
      <c r="R385" t="s">
        <v>63</v>
      </c>
      <c r="S385" t="s">
        <v>63</v>
      </c>
      <c r="T385" t="s">
        <v>63</v>
      </c>
      <c r="X385" t="s">
        <v>63</v>
      </c>
      <c r="Y385" t="s">
        <v>1636</v>
      </c>
      <c r="Z385" t="s">
        <v>63</v>
      </c>
      <c r="AA385" t="s">
        <v>63</v>
      </c>
      <c r="AB385">
        <v>28155734</v>
      </c>
      <c r="AC385" t="s">
        <v>1371</v>
      </c>
      <c r="AD385" t="s">
        <v>63</v>
      </c>
      <c r="AE385" t="s">
        <v>63</v>
      </c>
      <c r="AF385" t="s">
        <v>63</v>
      </c>
      <c r="AG385" t="s">
        <v>3510</v>
      </c>
      <c r="AH385" t="s">
        <v>63</v>
      </c>
      <c r="AI385" t="s">
        <v>63</v>
      </c>
      <c r="AJ385" t="s">
        <v>63</v>
      </c>
      <c r="AK385" t="s">
        <v>63</v>
      </c>
      <c r="AL385" t="s">
        <v>63</v>
      </c>
      <c r="AM385" t="s">
        <v>3511</v>
      </c>
      <c r="AN385" t="s">
        <v>63</v>
      </c>
      <c r="AO385" t="s">
        <v>63</v>
      </c>
      <c r="AP385" t="s">
        <v>63</v>
      </c>
      <c r="AQ385" t="s">
        <v>63</v>
      </c>
      <c r="AR385" t="s">
        <v>63</v>
      </c>
      <c r="AS385" t="s">
        <v>63</v>
      </c>
      <c r="AT385" t="s">
        <v>63</v>
      </c>
      <c r="AU385" t="s">
        <v>63</v>
      </c>
      <c r="AV385" t="s">
        <v>63</v>
      </c>
      <c r="AW385" t="s">
        <v>63</v>
      </c>
      <c r="AX385" t="s">
        <v>63</v>
      </c>
      <c r="AY385" t="s">
        <v>63</v>
      </c>
      <c r="AZ385" t="s">
        <v>63</v>
      </c>
      <c r="BA385" t="s">
        <v>63</v>
      </c>
      <c r="BB385" t="s">
        <v>63</v>
      </c>
      <c r="BC385" t="s">
        <v>63</v>
      </c>
      <c r="BD385" t="s">
        <v>63</v>
      </c>
      <c r="BE385" t="s">
        <v>63</v>
      </c>
      <c r="BF385" t="s">
        <v>63</v>
      </c>
    </row>
    <row r="386" spans="1:58">
      <c r="A386" t="s">
        <v>58</v>
      </c>
      <c r="B386" t="s">
        <v>3512</v>
      </c>
      <c r="C386" t="s">
        <v>3513</v>
      </c>
      <c r="D386" t="s">
        <v>3514</v>
      </c>
      <c r="E386" t="s">
        <v>63</v>
      </c>
      <c r="F386">
        <v>2015</v>
      </c>
      <c r="G386" t="s">
        <v>63</v>
      </c>
      <c r="H386">
        <v>15</v>
      </c>
      <c r="I386" t="s">
        <v>63</v>
      </c>
      <c r="J386">
        <v>3019</v>
      </c>
      <c r="K386" t="s">
        <v>63</v>
      </c>
      <c r="L386" t="s">
        <v>3515</v>
      </c>
      <c r="M386" t="s">
        <v>3516</v>
      </c>
      <c r="N386" t="s">
        <v>3517</v>
      </c>
      <c r="O386" t="s">
        <v>63</v>
      </c>
      <c r="Q386" t="s">
        <v>63</v>
      </c>
      <c r="R386" t="s">
        <v>63</v>
      </c>
      <c r="S386" t="s">
        <v>63</v>
      </c>
      <c r="T386" t="s">
        <v>63</v>
      </c>
      <c r="X386" t="s">
        <v>63</v>
      </c>
      <c r="Y386" t="s">
        <v>3518</v>
      </c>
      <c r="Z386" t="s">
        <v>63</v>
      </c>
      <c r="AA386" t="s">
        <v>3519</v>
      </c>
      <c r="AB386">
        <v>25651434</v>
      </c>
      <c r="AC386" t="s">
        <v>67</v>
      </c>
      <c r="AD386" t="s">
        <v>63</v>
      </c>
      <c r="AE386" t="s">
        <v>63</v>
      </c>
      <c r="AF386" t="s">
        <v>63</v>
      </c>
      <c r="AG386" t="s">
        <v>3520</v>
      </c>
      <c r="AH386" t="s">
        <v>63</v>
      </c>
      <c r="AI386" t="s">
        <v>63</v>
      </c>
      <c r="AJ386" t="s">
        <v>63</v>
      </c>
      <c r="AK386" t="s">
        <v>63</v>
      </c>
      <c r="AL386" t="s">
        <v>63</v>
      </c>
      <c r="AM386" t="s">
        <v>3521</v>
      </c>
      <c r="AN386" t="s">
        <v>63</v>
      </c>
      <c r="AO386" t="s">
        <v>63</v>
      </c>
      <c r="AP386" t="s">
        <v>63</v>
      </c>
      <c r="AQ386" t="s">
        <v>63</v>
      </c>
      <c r="AR386" t="s">
        <v>63</v>
      </c>
      <c r="AS386" t="s">
        <v>63</v>
      </c>
      <c r="AT386" t="s">
        <v>63</v>
      </c>
      <c r="AU386" t="s">
        <v>63</v>
      </c>
      <c r="AV386" t="s">
        <v>63</v>
      </c>
      <c r="AW386" t="s">
        <v>63</v>
      </c>
      <c r="AX386" t="s">
        <v>63</v>
      </c>
      <c r="AY386" t="s">
        <v>63</v>
      </c>
      <c r="AZ386" t="s">
        <v>63</v>
      </c>
      <c r="BA386" t="s">
        <v>63</v>
      </c>
      <c r="BB386" t="s">
        <v>63</v>
      </c>
      <c r="BC386" t="s">
        <v>63</v>
      </c>
      <c r="BD386" t="s">
        <v>63</v>
      </c>
      <c r="BE386" t="s">
        <v>63</v>
      </c>
      <c r="BF386" t="s">
        <v>63</v>
      </c>
    </row>
    <row r="387" spans="1:58">
      <c r="A387" t="s">
        <v>58</v>
      </c>
      <c r="B387" t="s">
        <v>3522</v>
      </c>
      <c r="C387" t="s">
        <v>3523</v>
      </c>
      <c r="D387" t="s">
        <v>2616</v>
      </c>
      <c r="E387" t="s">
        <v>2616</v>
      </c>
      <c r="F387">
        <v>2011</v>
      </c>
      <c r="G387" s="1">
        <v>41872</v>
      </c>
      <c r="H387">
        <v>11</v>
      </c>
      <c r="I387" t="s">
        <v>63</v>
      </c>
      <c r="J387">
        <v>660</v>
      </c>
      <c r="K387" t="s">
        <v>63</v>
      </c>
      <c r="L387" t="s">
        <v>3524</v>
      </c>
      <c r="M387" t="s">
        <v>3525</v>
      </c>
      <c r="N387" t="s">
        <v>3526</v>
      </c>
      <c r="O387" t="s">
        <v>63</v>
      </c>
      <c r="Q387" t="s">
        <v>63</v>
      </c>
      <c r="R387" t="s">
        <v>63</v>
      </c>
      <c r="S387" t="s">
        <v>63</v>
      </c>
      <c r="T387" t="s">
        <v>63</v>
      </c>
      <c r="X387" t="s">
        <v>63</v>
      </c>
      <c r="Y387" t="s">
        <v>2620</v>
      </c>
      <c r="Z387" t="s">
        <v>63</v>
      </c>
      <c r="AA387" t="s">
        <v>3527</v>
      </c>
      <c r="AB387">
        <v>21859483</v>
      </c>
      <c r="AC387" t="s">
        <v>67</v>
      </c>
      <c r="AD387" t="s">
        <v>63</v>
      </c>
      <c r="AE387" t="s">
        <v>63</v>
      </c>
      <c r="AF387" t="s">
        <v>63</v>
      </c>
      <c r="AG387" t="s">
        <v>3528</v>
      </c>
      <c r="AH387" t="s">
        <v>63</v>
      </c>
      <c r="AI387" t="s">
        <v>3529</v>
      </c>
      <c r="AJ387" t="s">
        <v>63</v>
      </c>
      <c r="AK387" t="s">
        <v>63</v>
      </c>
      <c r="AL387" t="s">
        <v>63</v>
      </c>
      <c r="AM387" t="s">
        <v>3530</v>
      </c>
      <c r="AN387" t="s">
        <v>63</v>
      </c>
      <c r="AO387" t="s">
        <v>63</v>
      </c>
      <c r="AP387" t="s">
        <v>63</v>
      </c>
      <c r="AQ387" t="s">
        <v>63</v>
      </c>
      <c r="AR387" t="s">
        <v>63</v>
      </c>
      <c r="AS387" t="s">
        <v>63</v>
      </c>
      <c r="AT387" t="s">
        <v>63</v>
      </c>
      <c r="AU387" t="s">
        <v>63</v>
      </c>
      <c r="AV387" t="s">
        <v>63</v>
      </c>
      <c r="AW387" t="s">
        <v>63</v>
      </c>
      <c r="AX387" t="s">
        <v>63</v>
      </c>
      <c r="AY387" t="s">
        <v>63</v>
      </c>
      <c r="AZ387" t="s">
        <v>63</v>
      </c>
      <c r="BA387" t="s">
        <v>63</v>
      </c>
      <c r="BB387" t="s">
        <v>63</v>
      </c>
      <c r="BC387" t="s">
        <v>63</v>
      </c>
      <c r="BD387" t="s">
        <v>63</v>
      </c>
      <c r="BE387" t="s">
        <v>63</v>
      </c>
      <c r="BF387" t="s">
        <v>63</v>
      </c>
    </row>
    <row r="388" spans="1:58">
      <c r="A388" t="s">
        <v>58</v>
      </c>
      <c r="B388" t="s">
        <v>3531</v>
      </c>
      <c r="C388" t="s">
        <v>3532</v>
      </c>
      <c r="D388" t="s">
        <v>563</v>
      </c>
      <c r="E388" t="s">
        <v>63</v>
      </c>
      <c r="F388">
        <v>2014</v>
      </c>
      <c r="G388" s="1">
        <v>41758</v>
      </c>
      <c r="H388">
        <v>14</v>
      </c>
      <c r="I388" t="s">
        <v>63</v>
      </c>
      <c r="J388">
        <v>89</v>
      </c>
      <c r="K388" t="s">
        <v>63</v>
      </c>
      <c r="L388" t="s">
        <v>3533</v>
      </c>
      <c r="M388" t="s">
        <v>3534</v>
      </c>
      <c r="N388" t="s">
        <v>3535</v>
      </c>
      <c r="O388" t="s">
        <v>63</v>
      </c>
      <c r="Q388" t="s">
        <v>63</v>
      </c>
      <c r="R388" t="s">
        <v>63</v>
      </c>
      <c r="S388" t="s">
        <v>63</v>
      </c>
      <c r="T388" t="s">
        <v>63</v>
      </c>
      <c r="X388" t="s">
        <v>63</v>
      </c>
      <c r="Y388" t="s">
        <v>567</v>
      </c>
      <c r="Z388" t="s">
        <v>63</v>
      </c>
      <c r="AA388" t="s">
        <v>3536</v>
      </c>
      <c r="AB388">
        <v>24885973</v>
      </c>
      <c r="AC388" t="s">
        <v>67</v>
      </c>
      <c r="AD388" t="s">
        <v>63</v>
      </c>
      <c r="AE388" t="s">
        <v>63</v>
      </c>
      <c r="AF388" t="s">
        <v>63</v>
      </c>
      <c r="AG388" t="s">
        <v>3537</v>
      </c>
      <c r="AH388" t="s">
        <v>63</v>
      </c>
      <c r="AI388" t="s">
        <v>3538</v>
      </c>
      <c r="AJ388" t="s">
        <v>63</v>
      </c>
      <c r="AK388" t="s">
        <v>63</v>
      </c>
      <c r="AL388" t="s">
        <v>63</v>
      </c>
      <c r="AM388" t="s">
        <v>3539</v>
      </c>
      <c r="AN388" t="s">
        <v>63</v>
      </c>
      <c r="AO388" t="s">
        <v>63</v>
      </c>
      <c r="AP388" t="s">
        <v>63</v>
      </c>
      <c r="AQ388" t="s">
        <v>63</v>
      </c>
      <c r="AR388" t="s">
        <v>63</v>
      </c>
      <c r="AS388" t="s">
        <v>63</v>
      </c>
      <c r="AT388" t="s">
        <v>63</v>
      </c>
      <c r="AU388" t="s">
        <v>63</v>
      </c>
      <c r="AV388" t="s">
        <v>63</v>
      </c>
      <c r="AW388" t="s">
        <v>63</v>
      </c>
      <c r="AX388" t="s">
        <v>63</v>
      </c>
      <c r="AY388" t="s">
        <v>63</v>
      </c>
      <c r="AZ388" t="s">
        <v>63</v>
      </c>
      <c r="BA388" t="s">
        <v>63</v>
      </c>
      <c r="BB388" t="s">
        <v>63</v>
      </c>
      <c r="BC388" t="s">
        <v>63</v>
      </c>
      <c r="BD388" t="s">
        <v>63</v>
      </c>
      <c r="BE388" t="s">
        <v>63</v>
      </c>
      <c r="BF388" t="s">
        <v>63</v>
      </c>
    </row>
    <row r="389" spans="1:58">
      <c r="A389" t="s">
        <v>58</v>
      </c>
      <c r="B389" t="s">
        <v>3540</v>
      </c>
      <c r="C389" t="s">
        <v>3541</v>
      </c>
      <c r="D389" t="s">
        <v>243</v>
      </c>
      <c r="E389" t="s">
        <v>243</v>
      </c>
      <c r="F389">
        <v>2011</v>
      </c>
      <c r="G389" s="1">
        <v>41856</v>
      </c>
      <c r="H389">
        <v>378</v>
      </c>
      <c r="I389">
        <v>9790</v>
      </c>
      <c r="J389">
        <v>473</v>
      </c>
      <c r="K389">
        <v>474</v>
      </c>
      <c r="L389" t="s">
        <v>3542</v>
      </c>
      <c r="M389" t="s">
        <v>63</v>
      </c>
      <c r="N389" t="s">
        <v>3543</v>
      </c>
      <c r="O389" t="s">
        <v>63</v>
      </c>
      <c r="Q389" t="s">
        <v>63</v>
      </c>
      <c r="R389" t="s">
        <v>63</v>
      </c>
      <c r="S389" t="s">
        <v>63</v>
      </c>
      <c r="T389" t="s">
        <v>63</v>
      </c>
      <c r="X389" t="s">
        <v>63</v>
      </c>
      <c r="Y389" t="s">
        <v>3544</v>
      </c>
      <c r="Z389" t="s">
        <v>63</v>
      </c>
      <c r="AA389" t="s">
        <v>63</v>
      </c>
      <c r="AB389">
        <v>21826806</v>
      </c>
      <c r="AC389" t="s">
        <v>67</v>
      </c>
      <c r="AD389" t="s">
        <v>63</v>
      </c>
      <c r="AE389" t="s">
        <v>63</v>
      </c>
      <c r="AF389" t="s">
        <v>63</v>
      </c>
      <c r="AG389" t="s">
        <v>3545</v>
      </c>
      <c r="AH389" t="s">
        <v>63</v>
      </c>
      <c r="AI389" t="s">
        <v>63</v>
      </c>
      <c r="AJ389" t="s">
        <v>63</v>
      </c>
      <c r="AK389" t="s">
        <v>63</v>
      </c>
      <c r="AL389" t="s">
        <v>63</v>
      </c>
      <c r="AM389" t="s">
        <v>3546</v>
      </c>
      <c r="AN389" t="s">
        <v>63</v>
      </c>
      <c r="AO389" t="s">
        <v>63</v>
      </c>
      <c r="AP389" t="s">
        <v>63</v>
      </c>
      <c r="AQ389" t="s">
        <v>63</v>
      </c>
      <c r="AR389" t="s">
        <v>63</v>
      </c>
      <c r="AS389" t="s">
        <v>63</v>
      </c>
      <c r="AT389" t="s">
        <v>63</v>
      </c>
      <c r="AU389" t="s">
        <v>63</v>
      </c>
      <c r="AV389" t="s">
        <v>63</v>
      </c>
      <c r="AW389" t="s">
        <v>63</v>
      </c>
      <c r="AX389" t="s">
        <v>63</v>
      </c>
      <c r="AY389" t="s">
        <v>63</v>
      </c>
      <c r="AZ389" t="s">
        <v>63</v>
      </c>
      <c r="BA389" t="s">
        <v>63</v>
      </c>
      <c r="BB389" t="s">
        <v>63</v>
      </c>
      <c r="BC389" t="s">
        <v>63</v>
      </c>
      <c r="BD389" t="s">
        <v>63</v>
      </c>
      <c r="BE389" t="s">
        <v>63</v>
      </c>
      <c r="BF389" t="s">
        <v>63</v>
      </c>
    </row>
    <row r="390" spans="1:58">
      <c r="A390" t="s">
        <v>58</v>
      </c>
      <c r="B390" t="s">
        <v>3547</v>
      </c>
      <c r="C390" t="s">
        <v>3548</v>
      </c>
      <c r="D390" t="s">
        <v>3549</v>
      </c>
      <c r="E390" t="s">
        <v>3550</v>
      </c>
      <c r="F390">
        <v>1999</v>
      </c>
      <c r="G390" t="s">
        <v>189</v>
      </c>
      <c r="H390">
        <v>92</v>
      </c>
      <c r="I390">
        <v>5</v>
      </c>
      <c r="J390">
        <v>231</v>
      </c>
      <c r="K390">
        <v>233</v>
      </c>
      <c r="L390" t="s">
        <v>3551</v>
      </c>
      <c r="M390" t="s">
        <v>63</v>
      </c>
      <c r="N390" t="s">
        <v>3552</v>
      </c>
      <c r="O390" t="s">
        <v>63</v>
      </c>
      <c r="Q390" t="s">
        <v>63</v>
      </c>
      <c r="R390" t="s">
        <v>63</v>
      </c>
      <c r="S390" t="s">
        <v>63</v>
      </c>
      <c r="T390" t="s">
        <v>63</v>
      </c>
      <c r="X390" t="s">
        <v>63</v>
      </c>
      <c r="Y390" t="s">
        <v>3553</v>
      </c>
      <c r="Z390" t="s">
        <v>63</v>
      </c>
      <c r="AA390" t="s">
        <v>3554</v>
      </c>
      <c r="AB390">
        <v>10432783</v>
      </c>
      <c r="AC390" t="s">
        <v>67</v>
      </c>
      <c r="AD390" t="s">
        <v>63</v>
      </c>
      <c r="AE390" t="s">
        <v>63</v>
      </c>
      <c r="AF390" t="s">
        <v>63</v>
      </c>
      <c r="AG390" t="s">
        <v>3555</v>
      </c>
      <c r="AH390" t="s">
        <v>63</v>
      </c>
      <c r="AI390" t="s">
        <v>63</v>
      </c>
      <c r="AJ390" t="s">
        <v>63</v>
      </c>
      <c r="AK390" t="s">
        <v>63</v>
      </c>
      <c r="AL390" t="s">
        <v>63</v>
      </c>
      <c r="AM390" t="s">
        <v>3556</v>
      </c>
      <c r="AN390" t="s">
        <v>63</v>
      </c>
      <c r="AO390" t="s">
        <v>63</v>
      </c>
      <c r="AP390" t="s">
        <v>63</v>
      </c>
      <c r="AQ390" t="s">
        <v>63</v>
      </c>
      <c r="AR390" t="s">
        <v>63</v>
      </c>
      <c r="AS390" t="s">
        <v>63</v>
      </c>
      <c r="AT390" t="s">
        <v>63</v>
      </c>
      <c r="AU390" t="s">
        <v>63</v>
      </c>
      <c r="AV390" t="s">
        <v>63</v>
      </c>
      <c r="AW390" t="s">
        <v>63</v>
      </c>
      <c r="AX390" t="s">
        <v>63</v>
      </c>
      <c r="AY390" t="s">
        <v>63</v>
      </c>
      <c r="AZ390" t="s">
        <v>63</v>
      </c>
      <c r="BA390" t="s">
        <v>63</v>
      </c>
      <c r="BB390" t="s">
        <v>63</v>
      </c>
      <c r="BC390" t="s">
        <v>63</v>
      </c>
      <c r="BD390" t="s">
        <v>63</v>
      </c>
      <c r="BE390" t="s">
        <v>63</v>
      </c>
      <c r="BF390" t="s">
        <v>63</v>
      </c>
    </row>
    <row r="391" spans="1:58">
      <c r="A391" t="s">
        <v>58</v>
      </c>
      <c r="B391" t="s">
        <v>3557</v>
      </c>
      <c r="C391" t="s">
        <v>3558</v>
      </c>
      <c r="D391" t="s">
        <v>389</v>
      </c>
      <c r="E391" t="s">
        <v>63</v>
      </c>
      <c r="F391">
        <v>2016</v>
      </c>
      <c r="G391" t="s">
        <v>1737</v>
      </c>
      <c r="H391">
        <v>37</v>
      </c>
      <c r="I391">
        <v>3</v>
      </c>
      <c r="J391">
        <v>412</v>
      </c>
      <c r="K391">
        <v>418</v>
      </c>
      <c r="L391" t="s">
        <v>3559</v>
      </c>
      <c r="M391" t="s">
        <v>3560</v>
      </c>
      <c r="N391" t="s">
        <v>3561</v>
      </c>
      <c r="O391" t="s">
        <v>63</v>
      </c>
      <c r="Q391" t="s">
        <v>63</v>
      </c>
      <c r="R391" t="s">
        <v>63</v>
      </c>
      <c r="S391" t="s">
        <v>63</v>
      </c>
      <c r="T391" t="s">
        <v>63</v>
      </c>
      <c r="X391" t="s">
        <v>63</v>
      </c>
      <c r="Y391" t="s">
        <v>556</v>
      </c>
      <c r="Z391" t="s">
        <v>63</v>
      </c>
      <c r="AA391" t="s">
        <v>3562</v>
      </c>
      <c r="AB391">
        <v>26569508</v>
      </c>
      <c r="AC391" t="s">
        <v>67</v>
      </c>
      <c r="AD391" t="s">
        <v>63</v>
      </c>
      <c r="AE391" t="s">
        <v>63</v>
      </c>
      <c r="AF391" t="s">
        <v>63</v>
      </c>
      <c r="AG391" t="s">
        <v>3563</v>
      </c>
      <c r="AH391" t="s">
        <v>63</v>
      </c>
      <c r="AI391" t="s">
        <v>63</v>
      </c>
      <c r="AJ391" t="s">
        <v>63</v>
      </c>
      <c r="AK391" t="s">
        <v>63</v>
      </c>
      <c r="AL391" t="s">
        <v>63</v>
      </c>
      <c r="AM391" t="s">
        <v>3564</v>
      </c>
      <c r="AN391" t="s">
        <v>63</v>
      </c>
      <c r="AO391" t="s">
        <v>63</v>
      </c>
      <c r="AP391" t="s">
        <v>63</v>
      </c>
      <c r="AQ391" t="s">
        <v>63</v>
      </c>
      <c r="AR391" t="s">
        <v>63</v>
      </c>
      <c r="AS391" t="s">
        <v>63</v>
      </c>
      <c r="AT391" t="s">
        <v>63</v>
      </c>
      <c r="AU391" t="s">
        <v>63</v>
      </c>
      <c r="AV391" t="s">
        <v>63</v>
      </c>
      <c r="AW391" t="s">
        <v>63</v>
      </c>
      <c r="AX391" t="s">
        <v>63</v>
      </c>
      <c r="AY391" t="s">
        <v>63</v>
      </c>
      <c r="AZ391" t="s">
        <v>63</v>
      </c>
      <c r="BA391" t="s">
        <v>63</v>
      </c>
      <c r="BB391" t="s">
        <v>63</v>
      </c>
      <c r="BC391" t="s">
        <v>63</v>
      </c>
      <c r="BD391" t="s">
        <v>63</v>
      </c>
      <c r="BE391" t="s">
        <v>63</v>
      </c>
      <c r="BF391" t="s">
        <v>63</v>
      </c>
    </row>
    <row r="392" spans="1:58">
      <c r="A392" t="s">
        <v>58</v>
      </c>
      <c r="B392" t="s">
        <v>3565</v>
      </c>
      <c r="C392" t="s">
        <v>3566</v>
      </c>
      <c r="D392" t="s">
        <v>408</v>
      </c>
      <c r="E392" t="s">
        <v>409</v>
      </c>
      <c r="F392">
        <v>2011</v>
      </c>
      <c r="G392" t="s">
        <v>63</v>
      </c>
      <c r="H392">
        <v>46</v>
      </c>
      <c r="I392">
        <v>4</v>
      </c>
      <c r="J392">
        <v>426</v>
      </c>
      <c r="K392">
        <v>439</v>
      </c>
      <c r="L392" t="s">
        <v>3567</v>
      </c>
      <c r="M392" t="s">
        <v>3568</v>
      </c>
      <c r="N392" t="s">
        <v>3569</v>
      </c>
      <c r="O392" t="s">
        <v>63</v>
      </c>
      <c r="Q392" t="s">
        <v>63</v>
      </c>
      <c r="R392" t="s">
        <v>63</v>
      </c>
      <c r="S392" t="s">
        <v>63</v>
      </c>
      <c r="T392" t="s">
        <v>63</v>
      </c>
      <c r="X392" t="s">
        <v>63</v>
      </c>
      <c r="Y392" t="s">
        <v>412</v>
      </c>
      <c r="Z392" t="s">
        <v>63</v>
      </c>
      <c r="AA392" t="s">
        <v>3570</v>
      </c>
      <c r="AB392">
        <v>20735191</v>
      </c>
      <c r="AC392" t="s">
        <v>67</v>
      </c>
      <c r="AD392" t="s">
        <v>63</v>
      </c>
      <c r="AE392" t="s">
        <v>63</v>
      </c>
      <c r="AF392" t="s">
        <v>63</v>
      </c>
      <c r="AG392" t="s">
        <v>3571</v>
      </c>
      <c r="AH392" t="s">
        <v>63</v>
      </c>
      <c r="AI392" t="s">
        <v>3572</v>
      </c>
      <c r="AJ392" t="s">
        <v>63</v>
      </c>
      <c r="AK392" t="s">
        <v>63</v>
      </c>
      <c r="AL392" t="s">
        <v>63</v>
      </c>
      <c r="AM392" t="s">
        <v>3573</v>
      </c>
      <c r="AN392" t="s">
        <v>63</v>
      </c>
      <c r="AO392" t="s">
        <v>63</v>
      </c>
      <c r="AP392" t="s">
        <v>63</v>
      </c>
      <c r="AQ392" t="s">
        <v>63</v>
      </c>
      <c r="AR392" t="s">
        <v>63</v>
      </c>
      <c r="AS392" t="s">
        <v>63</v>
      </c>
      <c r="AT392" t="s">
        <v>63</v>
      </c>
      <c r="AU392" t="s">
        <v>63</v>
      </c>
      <c r="AV392" t="s">
        <v>63</v>
      </c>
      <c r="AW392" t="s">
        <v>63</v>
      </c>
      <c r="AX392" t="s">
        <v>63</v>
      </c>
      <c r="AY392" t="s">
        <v>63</v>
      </c>
      <c r="AZ392" t="s">
        <v>63</v>
      </c>
      <c r="BA392" t="s">
        <v>63</v>
      </c>
      <c r="BB392" t="s">
        <v>63</v>
      </c>
      <c r="BC392" t="s">
        <v>63</v>
      </c>
      <c r="BD392" t="s">
        <v>63</v>
      </c>
      <c r="BE392" t="s">
        <v>63</v>
      </c>
      <c r="BF392" t="s">
        <v>63</v>
      </c>
    </row>
    <row r="393" spans="1:58">
      <c r="A393" t="s">
        <v>58</v>
      </c>
      <c r="B393" t="s">
        <v>3574</v>
      </c>
      <c r="C393" t="s">
        <v>3575</v>
      </c>
      <c r="D393" t="s">
        <v>3576</v>
      </c>
      <c r="E393" t="s">
        <v>63</v>
      </c>
      <c r="F393">
        <v>2015</v>
      </c>
      <c r="G393" t="s">
        <v>274</v>
      </c>
      <c r="H393">
        <v>29</v>
      </c>
      <c r="I393">
        <v>1</v>
      </c>
      <c r="J393">
        <v>218</v>
      </c>
      <c r="K393">
        <v>224</v>
      </c>
      <c r="L393" t="s">
        <v>3577</v>
      </c>
      <c r="M393" t="s">
        <v>3578</v>
      </c>
      <c r="N393" t="s">
        <v>3579</v>
      </c>
      <c r="O393" t="s">
        <v>63</v>
      </c>
      <c r="Q393" t="s">
        <v>63</v>
      </c>
      <c r="R393" t="s">
        <v>63</v>
      </c>
      <c r="S393" t="s">
        <v>63</v>
      </c>
      <c r="T393" t="s">
        <v>63</v>
      </c>
      <c r="X393" t="s">
        <v>63</v>
      </c>
      <c r="Y393" t="s">
        <v>3580</v>
      </c>
      <c r="Z393" t="s">
        <v>63</v>
      </c>
      <c r="AA393" t="s">
        <v>3581</v>
      </c>
      <c r="AB393">
        <v>25402834</v>
      </c>
      <c r="AC393" t="s">
        <v>67</v>
      </c>
      <c r="AD393" t="s">
        <v>63</v>
      </c>
      <c r="AE393" t="s">
        <v>63</v>
      </c>
      <c r="AF393" t="s">
        <v>63</v>
      </c>
      <c r="AG393" t="s">
        <v>3582</v>
      </c>
      <c r="AH393" t="s">
        <v>63</v>
      </c>
      <c r="AI393" t="s">
        <v>3583</v>
      </c>
      <c r="AJ393" t="s">
        <v>63</v>
      </c>
      <c r="AK393" t="s">
        <v>63</v>
      </c>
      <c r="AL393" t="s">
        <v>63</v>
      </c>
      <c r="AM393" t="s">
        <v>3584</v>
      </c>
      <c r="AN393" t="s">
        <v>63</v>
      </c>
      <c r="AO393" t="s">
        <v>63</v>
      </c>
      <c r="AP393" t="s">
        <v>63</v>
      </c>
      <c r="AQ393" t="s">
        <v>63</v>
      </c>
      <c r="AR393" t="s">
        <v>63</v>
      </c>
      <c r="AS393" t="s">
        <v>63</v>
      </c>
      <c r="AT393" t="s">
        <v>63</v>
      </c>
      <c r="AU393" t="s">
        <v>63</v>
      </c>
      <c r="AV393" t="s">
        <v>63</v>
      </c>
      <c r="AW393" t="s">
        <v>63</v>
      </c>
      <c r="AX393" t="s">
        <v>63</v>
      </c>
      <c r="AY393" t="s">
        <v>63</v>
      </c>
      <c r="AZ393" t="s">
        <v>63</v>
      </c>
      <c r="BA393" t="s">
        <v>63</v>
      </c>
      <c r="BB393" t="s">
        <v>63</v>
      </c>
      <c r="BC393" t="s">
        <v>63</v>
      </c>
      <c r="BD393" t="s">
        <v>63</v>
      </c>
      <c r="BE393" t="s">
        <v>63</v>
      </c>
      <c r="BF393" t="s">
        <v>63</v>
      </c>
    </row>
    <row r="394" spans="1:58">
      <c r="A394" t="s">
        <v>58</v>
      </c>
      <c r="B394" t="s">
        <v>3585</v>
      </c>
      <c r="C394" t="s">
        <v>3586</v>
      </c>
      <c r="D394" t="s">
        <v>2185</v>
      </c>
      <c r="E394" t="s">
        <v>63</v>
      </c>
      <c r="F394">
        <v>2000</v>
      </c>
      <c r="G394" t="s">
        <v>189</v>
      </c>
      <c r="H394">
        <v>95</v>
      </c>
      <c r="I394">
        <v>5</v>
      </c>
      <c r="J394">
        <v>756</v>
      </c>
      <c r="K394">
        <v>763</v>
      </c>
      <c r="L394" t="s">
        <v>3587</v>
      </c>
      <c r="M394" t="s">
        <v>3588</v>
      </c>
      <c r="N394" t="s">
        <v>3589</v>
      </c>
      <c r="O394" t="s">
        <v>63</v>
      </c>
      <c r="Q394" t="s">
        <v>63</v>
      </c>
      <c r="R394" t="s">
        <v>63</v>
      </c>
      <c r="S394" t="s">
        <v>63</v>
      </c>
      <c r="T394" t="s">
        <v>63</v>
      </c>
      <c r="X394" t="s">
        <v>63</v>
      </c>
      <c r="Y394" t="s">
        <v>2189</v>
      </c>
      <c r="Z394" t="s">
        <v>63</v>
      </c>
      <c r="AA394" t="s">
        <v>3590</v>
      </c>
      <c r="AB394">
        <v>10775743</v>
      </c>
      <c r="AC394" t="s">
        <v>67</v>
      </c>
      <c r="AD394" t="s">
        <v>63</v>
      </c>
      <c r="AE394" t="s">
        <v>63</v>
      </c>
      <c r="AF394" t="s">
        <v>63</v>
      </c>
      <c r="AG394" t="s">
        <v>3591</v>
      </c>
      <c r="AH394" t="s">
        <v>63</v>
      </c>
      <c r="AI394" t="s">
        <v>63</v>
      </c>
      <c r="AJ394" t="s">
        <v>63</v>
      </c>
      <c r="AK394" t="s">
        <v>63</v>
      </c>
      <c r="AL394" t="s">
        <v>63</v>
      </c>
      <c r="AM394" t="s">
        <v>3592</v>
      </c>
      <c r="AN394" t="s">
        <v>63</v>
      </c>
      <c r="AO394" t="s">
        <v>63</v>
      </c>
      <c r="AP394" t="s">
        <v>63</v>
      </c>
      <c r="AQ394" t="s">
        <v>63</v>
      </c>
      <c r="AR394" t="s">
        <v>63</v>
      </c>
      <c r="AS394" t="s">
        <v>63</v>
      </c>
      <c r="AT394" t="s">
        <v>63</v>
      </c>
      <c r="AU394" t="s">
        <v>63</v>
      </c>
      <c r="AV394" t="s">
        <v>63</v>
      </c>
      <c r="AW394" t="s">
        <v>63</v>
      </c>
      <c r="AX394" t="s">
        <v>63</v>
      </c>
      <c r="AY394" t="s">
        <v>63</v>
      </c>
      <c r="AZ394" t="s">
        <v>63</v>
      </c>
      <c r="BA394" t="s">
        <v>63</v>
      </c>
      <c r="BB394" t="s">
        <v>63</v>
      </c>
      <c r="BC394" t="s">
        <v>63</v>
      </c>
      <c r="BD394" t="s">
        <v>63</v>
      </c>
      <c r="BE394" t="s">
        <v>63</v>
      </c>
      <c r="BF394" t="s">
        <v>63</v>
      </c>
    </row>
    <row r="395" spans="1:58">
      <c r="A395" t="s">
        <v>58</v>
      </c>
      <c r="B395" t="s">
        <v>3593</v>
      </c>
      <c r="C395" t="s">
        <v>3594</v>
      </c>
      <c r="D395" t="s">
        <v>3595</v>
      </c>
      <c r="E395" t="s">
        <v>63</v>
      </c>
      <c r="F395">
        <v>1999</v>
      </c>
      <c r="G395" t="s">
        <v>326</v>
      </c>
      <c r="H395">
        <v>10</v>
      </c>
      <c r="I395">
        <v>1</v>
      </c>
      <c r="J395">
        <v>159</v>
      </c>
      <c r="K395">
        <v>175</v>
      </c>
      <c r="L395" t="s">
        <v>3596</v>
      </c>
      <c r="M395" t="s">
        <v>3597</v>
      </c>
      <c r="N395" t="s">
        <v>3598</v>
      </c>
      <c r="O395" t="s">
        <v>63</v>
      </c>
      <c r="Q395" t="s">
        <v>63</v>
      </c>
      <c r="R395" t="s">
        <v>63</v>
      </c>
      <c r="S395" t="s">
        <v>63</v>
      </c>
      <c r="T395" t="s">
        <v>63</v>
      </c>
      <c r="X395" t="s">
        <v>63</v>
      </c>
      <c r="Y395" t="s">
        <v>3599</v>
      </c>
      <c r="Z395" t="s">
        <v>63</v>
      </c>
      <c r="AA395" t="s">
        <v>3600</v>
      </c>
      <c r="AB395">
        <v>10081058</v>
      </c>
      <c r="AC395" t="s">
        <v>67</v>
      </c>
      <c r="AD395" t="s">
        <v>63</v>
      </c>
      <c r="AE395" t="s">
        <v>63</v>
      </c>
      <c r="AF395" t="s">
        <v>63</v>
      </c>
      <c r="AG395" t="s">
        <v>3601</v>
      </c>
      <c r="AH395" t="s">
        <v>63</v>
      </c>
      <c r="AI395" t="s">
        <v>63</v>
      </c>
      <c r="AJ395" t="s">
        <v>63</v>
      </c>
      <c r="AK395" t="s">
        <v>63</v>
      </c>
      <c r="AL395" t="s">
        <v>63</v>
      </c>
      <c r="AM395" t="s">
        <v>3602</v>
      </c>
      <c r="AN395" t="s">
        <v>63</v>
      </c>
      <c r="AO395" t="s">
        <v>63</v>
      </c>
      <c r="AP395" t="s">
        <v>63</v>
      </c>
      <c r="AQ395" t="s">
        <v>63</v>
      </c>
      <c r="AR395" t="s">
        <v>63</v>
      </c>
      <c r="AS395" t="s">
        <v>63</v>
      </c>
      <c r="AT395" t="s">
        <v>63</v>
      </c>
      <c r="AU395" t="s">
        <v>63</v>
      </c>
      <c r="AV395" t="s">
        <v>63</v>
      </c>
      <c r="AW395" t="s">
        <v>63</v>
      </c>
      <c r="AX395" t="s">
        <v>63</v>
      </c>
      <c r="AY395" t="s">
        <v>63</v>
      </c>
      <c r="AZ395" t="s">
        <v>63</v>
      </c>
      <c r="BA395" t="s">
        <v>63</v>
      </c>
      <c r="BB395" t="s">
        <v>63</v>
      </c>
      <c r="BC395" t="s">
        <v>63</v>
      </c>
      <c r="BD395" t="s">
        <v>63</v>
      </c>
      <c r="BE395" t="s">
        <v>63</v>
      </c>
      <c r="BF395" t="s">
        <v>63</v>
      </c>
    </row>
    <row r="396" spans="1:58">
      <c r="A396" t="s">
        <v>58</v>
      </c>
      <c r="B396" t="s">
        <v>3603</v>
      </c>
      <c r="C396" t="s">
        <v>3604</v>
      </c>
      <c r="D396" t="s">
        <v>3605</v>
      </c>
      <c r="E396" t="s">
        <v>3606</v>
      </c>
      <c r="F396">
        <v>1989</v>
      </c>
      <c r="G396" t="s">
        <v>219</v>
      </c>
      <c r="H396">
        <v>59</v>
      </c>
      <c r="I396">
        <v>9</v>
      </c>
      <c r="J396">
        <v>398</v>
      </c>
      <c r="K396">
        <v>400</v>
      </c>
      <c r="L396" t="s">
        <v>3607</v>
      </c>
      <c r="M396" t="s">
        <v>63</v>
      </c>
      <c r="N396" t="s">
        <v>3608</v>
      </c>
      <c r="O396" t="s">
        <v>63</v>
      </c>
      <c r="Q396" t="s">
        <v>63</v>
      </c>
      <c r="R396" t="s">
        <v>63</v>
      </c>
      <c r="S396" t="s">
        <v>63</v>
      </c>
      <c r="T396" t="s">
        <v>63</v>
      </c>
      <c r="X396" t="s">
        <v>63</v>
      </c>
      <c r="Y396" t="s">
        <v>3609</v>
      </c>
      <c r="Z396" t="s">
        <v>63</v>
      </c>
      <c r="AA396" t="s">
        <v>3610</v>
      </c>
      <c r="AB396">
        <v>2607754</v>
      </c>
      <c r="AC396" t="s">
        <v>67</v>
      </c>
      <c r="AD396" t="s">
        <v>63</v>
      </c>
      <c r="AE396" t="s">
        <v>63</v>
      </c>
      <c r="AF396" t="s">
        <v>63</v>
      </c>
      <c r="AG396" t="s">
        <v>3611</v>
      </c>
      <c r="AH396" t="s">
        <v>63</v>
      </c>
      <c r="AI396" t="s">
        <v>63</v>
      </c>
      <c r="AJ396" t="s">
        <v>63</v>
      </c>
      <c r="AK396" t="s">
        <v>63</v>
      </c>
      <c r="AL396" t="s">
        <v>63</v>
      </c>
      <c r="AM396" t="s">
        <v>3612</v>
      </c>
      <c r="AN396" t="s">
        <v>63</v>
      </c>
      <c r="AO396" t="s">
        <v>63</v>
      </c>
      <c r="AP396" t="s">
        <v>63</v>
      </c>
      <c r="AQ396" t="s">
        <v>63</v>
      </c>
      <c r="AR396" t="s">
        <v>63</v>
      </c>
      <c r="AS396" t="s">
        <v>63</v>
      </c>
      <c r="AT396" t="s">
        <v>63</v>
      </c>
      <c r="AU396" t="s">
        <v>63</v>
      </c>
      <c r="AV396" t="s">
        <v>63</v>
      </c>
      <c r="AW396" t="s">
        <v>63</v>
      </c>
      <c r="AX396" t="s">
        <v>63</v>
      </c>
      <c r="AY396" t="s">
        <v>63</v>
      </c>
      <c r="AZ396" t="s">
        <v>63</v>
      </c>
      <c r="BA396" t="s">
        <v>63</v>
      </c>
      <c r="BB396" t="s">
        <v>63</v>
      </c>
      <c r="BC396" t="s">
        <v>63</v>
      </c>
      <c r="BD396" t="s">
        <v>63</v>
      </c>
      <c r="BE396" t="s">
        <v>63</v>
      </c>
      <c r="BF396" t="s">
        <v>63</v>
      </c>
    </row>
    <row r="397" spans="1:58">
      <c r="A397" t="s">
        <v>58</v>
      </c>
      <c r="B397" t="s">
        <v>3613</v>
      </c>
      <c r="C397" t="s">
        <v>3614</v>
      </c>
      <c r="D397" t="s">
        <v>290</v>
      </c>
      <c r="E397" t="s">
        <v>291</v>
      </c>
      <c r="F397">
        <v>1998</v>
      </c>
      <c r="G397" s="1">
        <v>41839</v>
      </c>
      <c r="H397">
        <v>169</v>
      </c>
      <c r="I397">
        <v>2</v>
      </c>
      <c r="J397">
        <v>116</v>
      </c>
      <c r="K397">
        <v>117</v>
      </c>
      <c r="L397" t="s">
        <v>3615</v>
      </c>
      <c r="M397" t="s">
        <v>63</v>
      </c>
      <c r="N397" t="s">
        <v>3616</v>
      </c>
      <c r="O397" t="s">
        <v>63</v>
      </c>
      <c r="Q397" t="s">
        <v>63</v>
      </c>
      <c r="R397" t="s">
        <v>63</v>
      </c>
      <c r="S397" t="s">
        <v>63</v>
      </c>
      <c r="T397" t="s">
        <v>63</v>
      </c>
      <c r="X397" t="s">
        <v>63</v>
      </c>
      <c r="Y397" t="s">
        <v>294</v>
      </c>
      <c r="Z397" t="s">
        <v>63</v>
      </c>
      <c r="AA397" t="s">
        <v>63</v>
      </c>
      <c r="AB397">
        <v>9700351</v>
      </c>
      <c r="AC397" t="s">
        <v>67</v>
      </c>
      <c r="AD397" t="s">
        <v>63</v>
      </c>
      <c r="AE397" t="s">
        <v>63</v>
      </c>
      <c r="AF397" t="s">
        <v>63</v>
      </c>
      <c r="AG397" t="s">
        <v>3617</v>
      </c>
      <c r="AH397" t="s">
        <v>63</v>
      </c>
      <c r="AI397" t="s">
        <v>63</v>
      </c>
      <c r="AJ397" t="s">
        <v>63</v>
      </c>
      <c r="AK397" t="s">
        <v>63</v>
      </c>
      <c r="AL397" t="s">
        <v>63</v>
      </c>
      <c r="AM397" t="s">
        <v>3618</v>
      </c>
      <c r="AN397" t="s">
        <v>63</v>
      </c>
      <c r="AO397" t="s">
        <v>63</v>
      </c>
      <c r="AP397" t="s">
        <v>63</v>
      </c>
      <c r="AQ397" t="s">
        <v>63</v>
      </c>
      <c r="AR397" t="s">
        <v>63</v>
      </c>
      <c r="AS397" t="s">
        <v>63</v>
      </c>
      <c r="AT397" t="s">
        <v>63</v>
      </c>
      <c r="AU397" t="s">
        <v>63</v>
      </c>
      <c r="AV397" t="s">
        <v>63</v>
      </c>
      <c r="AW397" t="s">
        <v>63</v>
      </c>
      <c r="AX397" t="s">
        <v>63</v>
      </c>
      <c r="AY397" t="s">
        <v>63</v>
      </c>
      <c r="AZ397" t="s">
        <v>63</v>
      </c>
      <c r="BA397" t="s">
        <v>63</v>
      </c>
      <c r="BB397" t="s">
        <v>63</v>
      </c>
      <c r="BC397" t="s">
        <v>63</v>
      </c>
      <c r="BD397" t="s">
        <v>63</v>
      </c>
      <c r="BE397" t="s">
        <v>63</v>
      </c>
      <c r="BF397" t="s">
        <v>63</v>
      </c>
    </row>
    <row r="398" spans="1:58">
      <c r="A398" t="s">
        <v>58</v>
      </c>
      <c r="B398" t="s">
        <v>3619</v>
      </c>
      <c r="C398" t="s">
        <v>3620</v>
      </c>
      <c r="D398" t="s">
        <v>1084</v>
      </c>
      <c r="E398" t="s">
        <v>63</v>
      </c>
      <c r="F398">
        <v>1993</v>
      </c>
      <c r="G398" t="s">
        <v>181</v>
      </c>
      <c r="H398">
        <v>42</v>
      </c>
      <c r="I398">
        <v>2</v>
      </c>
      <c r="J398">
        <v>82</v>
      </c>
      <c r="K398">
        <v>84</v>
      </c>
      <c r="L398" t="s">
        <v>3621</v>
      </c>
      <c r="M398" t="s">
        <v>3622</v>
      </c>
      <c r="N398" t="s">
        <v>3623</v>
      </c>
      <c r="O398" t="s">
        <v>63</v>
      </c>
      <c r="Q398" t="s">
        <v>63</v>
      </c>
      <c r="R398" t="s">
        <v>63</v>
      </c>
      <c r="S398" t="s">
        <v>63</v>
      </c>
      <c r="T398" t="s">
        <v>63</v>
      </c>
      <c r="X398" t="s">
        <v>63</v>
      </c>
      <c r="Y398" t="s">
        <v>1089</v>
      </c>
      <c r="Z398" t="s">
        <v>63</v>
      </c>
      <c r="AA398" t="s">
        <v>3624</v>
      </c>
      <c r="AB398">
        <v>8245323</v>
      </c>
      <c r="AC398" t="s">
        <v>67</v>
      </c>
      <c r="AD398" t="s">
        <v>63</v>
      </c>
      <c r="AE398" t="s">
        <v>63</v>
      </c>
      <c r="AF398" t="s">
        <v>63</v>
      </c>
      <c r="AG398" t="s">
        <v>3625</v>
      </c>
      <c r="AH398" t="s">
        <v>63</v>
      </c>
      <c r="AI398" t="s">
        <v>63</v>
      </c>
      <c r="AJ398" t="s">
        <v>63</v>
      </c>
      <c r="AK398" t="s">
        <v>63</v>
      </c>
      <c r="AL398" t="s">
        <v>63</v>
      </c>
      <c r="AM398" t="s">
        <v>3626</v>
      </c>
      <c r="AN398" t="s">
        <v>63</v>
      </c>
      <c r="AO398" t="s">
        <v>63</v>
      </c>
      <c r="AP398" t="s">
        <v>63</v>
      </c>
      <c r="AQ398" t="s">
        <v>63</v>
      </c>
      <c r="AR398" t="s">
        <v>63</v>
      </c>
      <c r="AS398" t="s">
        <v>63</v>
      </c>
      <c r="AT398" t="s">
        <v>63</v>
      </c>
      <c r="AU398" t="s">
        <v>63</v>
      </c>
      <c r="AV398" t="s">
        <v>63</v>
      </c>
      <c r="AW398" t="s">
        <v>63</v>
      </c>
      <c r="AX398" t="s">
        <v>63</v>
      </c>
      <c r="AY398" t="s">
        <v>63</v>
      </c>
      <c r="AZ398" t="s">
        <v>63</v>
      </c>
      <c r="BA398" t="s">
        <v>63</v>
      </c>
      <c r="BB398" t="s">
        <v>63</v>
      </c>
      <c r="BC398" t="s">
        <v>63</v>
      </c>
      <c r="BD398" t="s">
        <v>63</v>
      </c>
      <c r="BE398" t="s">
        <v>63</v>
      </c>
      <c r="BF398" t="s">
        <v>63</v>
      </c>
    </row>
    <row r="399" spans="1:58">
      <c r="A399" t="s">
        <v>58</v>
      </c>
      <c r="B399" t="s">
        <v>3627</v>
      </c>
      <c r="C399" t="s">
        <v>3628</v>
      </c>
      <c r="D399" t="s">
        <v>3629</v>
      </c>
      <c r="E399" t="s">
        <v>3630</v>
      </c>
      <c r="F399">
        <v>1972</v>
      </c>
      <c r="G399" t="s">
        <v>63</v>
      </c>
      <c r="H399">
        <v>7</v>
      </c>
      <c r="I399" s="1">
        <v>41642</v>
      </c>
      <c r="J399">
        <v>131</v>
      </c>
      <c r="K399">
        <v>137</v>
      </c>
      <c r="L399" t="s">
        <v>3631</v>
      </c>
      <c r="M399" t="s">
        <v>63</v>
      </c>
      <c r="N399" t="s">
        <v>3632</v>
      </c>
      <c r="O399" t="s">
        <v>63</v>
      </c>
      <c r="Q399" t="s">
        <v>63</v>
      </c>
      <c r="R399" t="s">
        <v>63</v>
      </c>
      <c r="S399" t="s">
        <v>63</v>
      </c>
      <c r="T399" t="s">
        <v>63</v>
      </c>
      <c r="X399" t="s">
        <v>63</v>
      </c>
      <c r="Y399" t="s">
        <v>3633</v>
      </c>
      <c r="Z399" t="s">
        <v>63</v>
      </c>
      <c r="AA399" t="s">
        <v>63</v>
      </c>
      <c r="AB399">
        <v>4681197</v>
      </c>
      <c r="AC399" t="s">
        <v>67</v>
      </c>
      <c r="AD399" t="s">
        <v>63</v>
      </c>
      <c r="AE399" t="s">
        <v>63</v>
      </c>
      <c r="AF399" t="s">
        <v>63</v>
      </c>
      <c r="AG399" t="s">
        <v>3634</v>
      </c>
      <c r="AH399" t="s">
        <v>63</v>
      </c>
      <c r="AI399" t="s">
        <v>63</v>
      </c>
      <c r="AJ399" t="s">
        <v>63</v>
      </c>
      <c r="AK399" t="s">
        <v>63</v>
      </c>
      <c r="AL399" t="s">
        <v>63</v>
      </c>
      <c r="AM399" t="s">
        <v>3635</v>
      </c>
      <c r="AN399" t="s">
        <v>63</v>
      </c>
      <c r="AO399" t="s">
        <v>63</v>
      </c>
      <c r="AP399" t="s">
        <v>63</v>
      </c>
      <c r="AQ399" t="s">
        <v>63</v>
      </c>
      <c r="AR399" t="s">
        <v>63</v>
      </c>
      <c r="AS399" t="s">
        <v>63</v>
      </c>
      <c r="AT399" t="s">
        <v>63</v>
      </c>
      <c r="AU399" t="s">
        <v>63</v>
      </c>
      <c r="AV399" t="s">
        <v>63</v>
      </c>
      <c r="AW399" t="s">
        <v>63</v>
      </c>
      <c r="AX399" t="s">
        <v>63</v>
      </c>
      <c r="AY399" t="s">
        <v>63</v>
      </c>
      <c r="AZ399" t="s">
        <v>63</v>
      </c>
      <c r="BA399" t="s">
        <v>63</v>
      </c>
      <c r="BB399" t="s">
        <v>63</v>
      </c>
      <c r="BC399" t="s">
        <v>63</v>
      </c>
      <c r="BD399" t="s">
        <v>63</v>
      </c>
      <c r="BE399" t="s">
        <v>63</v>
      </c>
      <c r="BF399" t="s">
        <v>63</v>
      </c>
    </row>
    <row r="400" spans="1:58">
      <c r="A400" t="s">
        <v>58</v>
      </c>
      <c r="B400" t="s">
        <v>3636</v>
      </c>
      <c r="C400" t="s">
        <v>3637</v>
      </c>
      <c r="D400" t="s">
        <v>3638</v>
      </c>
      <c r="E400" t="s">
        <v>3639</v>
      </c>
      <c r="F400">
        <v>1999</v>
      </c>
      <c r="G400" s="1">
        <v>41698</v>
      </c>
      <c r="H400" t="s">
        <v>3640</v>
      </c>
      <c r="I400" t="s">
        <v>63</v>
      </c>
      <c r="J400" t="s">
        <v>3641</v>
      </c>
      <c r="K400">
        <v>100</v>
      </c>
      <c r="L400" t="s">
        <v>3642</v>
      </c>
      <c r="M400" t="s">
        <v>3643</v>
      </c>
      <c r="N400" t="s">
        <v>3644</v>
      </c>
      <c r="O400" t="s">
        <v>63</v>
      </c>
      <c r="Q400" t="s">
        <v>63</v>
      </c>
      <c r="R400" t="s">
        <v>63</v>
      </c>
      <c r="S400" t="s">
        <v>63</v>
      </c>
      <c r="T400" t="s">
        <v>63</v>
      </c>
      <c r="X400" t="s">
        <v>63</v>
      </c>
      <c r="Y400" t="s">
        <v>3645</v>
      </c>
      <c r="Z400" t="s">
        <v>63</v>
      </c>
      <c r="AA400" t="s">
        <v>3646</v>
      </c>
      <c r="AB400">
        <v>10190230</v>
      </c>
      <c r="AC400" t="s">
        <v>67</v>
      </c>
      <c r="AD400" t="s">
        <v>63</v>
      </c>
      <c r="AE400" t="s">
        <v>63</v>
      </c>
      <c r="AF400" t="s">
        <v>63</v>
      </c>
      <c r="AG400" t="s">
        <v>3647</v>
      </c>
      <c r="AH400" t="s">
        <v>63</v>
      </c>
      <c r="AI400" t="s">
        <v>63</v>
      </c>
      <c r="AJ400" t="s">
        <v>63</v>
      </c>
      <c r="AK400" t="s">
        <v>63</v>
      </c>
      <c r="AL400" t="s">
        <v>63</v>
      </c>
      <c r="AM400" t="s">
        <v>3648</v>
      </c>
      <c r="AN400" t="s">
        <v>63</v>
      </c>
      <c r="AO400" t="s">
        <v>63</v>
      </c>
      <c r="AP400" t="s">
        <v>63</v>
      </c>
      <c r="AQ400" t="s">
        <v>63</v>
      </c>
      <c r="AR400" t="s">
        <v>63</v>
      </c>
      <c r="AS400" t="s">
        <v>63</v>
      </c>
      <c r="AT400" t="s">
        <v>63</v>
      </c>
      <c r="AU400" t="s">
        <v>63</v>
      </c>
      <c r="AV400" t="s">
        <v>63</v>
      </c>
      <c r="AW400" t="s">
        <v>63</v>
      </c>
      <c r="AX400" t="s">
        <v>63</v>
      </c>
      <c r="AY400" t="s">
        <v>63</v>
      </c>
      <c r="AZ400" t="s">
        <v>63</v>
      </c>
      <c r="BA400" t="s">
        <v>63</v>
      </c>
      <c r="BB400" t="s">
        <v>63</v>
      </c>
      <c r="BC400" t="s">
        <v>63</v>
      </c>
      <c r="BD400" t="s">
        <v>63</v>
      </c>
      <c r="BE400" t="s">
        <v>63</v>
      </c>
      <c r="BF400" t="s">
        <v>63</v>
      </c>
    </row>
    <row r="401" spans="1:58">
      <c r="A401" t="s">
        <v>58</v>
      </c>
      <c r="B401" t="s">
        <v>3649</v>
      </c>
      <c r="C401" t="s">
        <v>3650</v>
      </c>
      <c r="D401" t="s">
        <v>3651</v>
      </c>
      <c r="E401" t="s">
        <v>63</v>
      </c>
      <c r="F401">
        <v>2011</v>
      </c>
      <c r="G401" t="s">
        <v>189</v>
      </c>
      <c r="H401">
        <v>61</v>
      </c>
      <c r="I401">
        <v>5</v>
      </c>
      <c r="J401">
        <v>449</v>
      </c>
      <c r="K401">
        <v>452</v>
      </c>
      <c r="L401" t="s">
        <v>3652</v>
      </c>
      <c r="M401" t="s">
        <v>3653</v>
      </c>
      <c r="N401" t="s">
        <v>3654</v>
      </c>
      <c r="O401" t="s">
        <v>63</v>
      </c>
      <c r="Q401" t="s">
        <v>63</v>
      </c>
      <c r="R401" t="s">
        <v>63</v>
      </c>
      <c r="S401" t="s">
        <v>63</v>
      </c>
      <c r="T401" t="s">
        <v>63</v>
      </c>
      <c r="X401" t="s">
        <v>63</v>
      </c>
      <c r="Y401" t="s">
        <v>3655</v>
      </c>
      <c r="Z401" t="s">
        <v>63</v>
      </c>
      <c r="AA401" t="s">
        <v>3656</v>
      </c>
      <c r="AB401">
        <v>22204177</v>
      </c>
      <c r="AC401" t="s">
        <v>67</v>
      </c>
      <c r="AD401" t="s">
        <v>63</v>
      </c>
      <c r="AE401" t="s">
        <v>63</v>
      </c>
      <c r="AF401" t="s">
        <v>63</v>
      </c>
      <c r="AG401" t="s">
        <v>3657</v>
      </c>
      <c r="AH401" t="s">
        <v>63</v>
      </c>
      <c r="AI401" t="s">
        <v>63</v>
      </c>
      <c r="AJ401" t="s">
        <v>63</v>
      </c>
      <c r="AK401" t="s">
        <v>63</v>
      </c>
      <c r="AL401" t="s">
        <v>63</v>
      </c>
      <c r="AM401" t="s">
        <v>3658</v>
      </c>
      <c r="AN401" t="s">
        <v>63</v>
      </c>
      <c r="AO401" t="s">
        <v>63</v>
      </c>
      <c r="AP401" t="s">
        <v>63</v>
      </c>
      <c r="AQ401" t="s">
        <v>63</v>
      </c>
      <c r="AR401" t="s">
        <v>63</v>
      </c>
      <c r="AS401" t="s">
        <v>63</v>
      </c>
      <c r="AT401" t="s">
        <v>63</v>
      </c>
      <c r="AU401" t="s">
        <v>63</v>
      </c>
      <c r="AV401" t="s">
        <v>63</v>
      </c>
      <c r="AW401" t="s">
        <v>63</v>
      </c>
      <c r="AX401" t="s">
        <v>63</v>
      </c>
      <c r="AY401" t="s">
        <v>63</v>
      </c>
      <c r="AZ401" t="s">
        <v>63</v>
      </c>
      <c r="BA401" t="s">
        <v>63</v>
      </c>
      <c r="BB401" t="s">
        <v>63</v>
      </c>
      <c r="BC401" t="s">
        <v>63</v>
      </c>
      <c r="BD401" t="s">
        <v>63</v>
      </c>
      <c r="BE401" t="s">
        <v>63</v>
      </c>
      <c r="BF401" t="s">
        <v>63</v>
      </c>
    </row>
    <row r="402" spans="1:58">
      <c r="A402" t="s">
        <v>58</v>
      </c>
      <c r="B402" t="s">
        <v>3659</v>
      </c>
      <c r="C402" t="s">
        <v>3660</v>
      </c>
      <c r="D402" t="s">
        <v>3661</v>
      </c>
      <c r="E402" t="s">
        <v>63</v>
      </c>
      <c r="F402">
        <v>2016</v>
      </c>
      <c r="G402" t="s">
        <v>181</v>
      </c>
      <c r="H402">
        <v>5</v>
      </c>
      <c r="I402">
        <v>3</v>
      </c>
      <c r="J402" t="s">
        <v>3662</v>
      </c>
      <c r="K402" t="s">
        <v>63</v>
      </c>
      <c r="L402" t="s">
        <v>63</v>
      </c>
      <c r="M402" t="s">
        <v>3663</v>
      </c>
      <c r="N402" t="s">
        <v>3664</v>
      </c>
      <c r="O402" t="s">
        <v>63</v>
      </c>
      <c r="Q402" t="s">
        <v>63</v>
      </c>
      <c r="R402" t="s">
        <v>63</v>
      </c>
      <c r="S402" t="s">
        <v>63</v>
      </c>
      <c r="T402" t="s">
        <v>63</v>
      </c>
      <c r="X402" t="s">
        <v>63</v>
      </c>
      <c r="Y402" t="s">
        <v>3665</v>
      </c>
      <c r="Z402" t="s">
        <v>63</v>
      </c>
      <c r="AA402" t="s">
        <v>3666</v>
      </c>
      <c r="AB402">
        <v>27803891</v>
      </c>
      <c r="AC402" t="s">
        <v>67</v>
      </c>
      <c r="AD402" t="s">
        <v>63</v>
      </c>
      <c r="AE402" t="s">
        <v>63</v>
      </c>
      <c r="AF402" t="s">
        <v>63</v>
      </c>
      <c r="AG402" t="s">
        <v>3667</v>
      </c>
      <c r="AH402" t="s">
        <v>63</v>
      </c>
      <c r="AI402" t="s">
        <v>63</v>
      </c>
      <c r="AJ402" t="s">
        <v>63</v>
      </c>
      <c r="AK402" t="s">
        <v>63</v>
      </c>
      <c r="AL402" t="s">
        <v>63</v>
      </c>
      <c r="AM402" t="s">
        <v>3668</v>
      </c>
      <c r="AN402" t="s">
        <v>63</v>
      </c>
      <c r="AO402" t="s">
        <v>63</v>
      </c>
      <c r="AP402" t="s">
        <v>63</v>
      </c>
      <c r="AQ402" t="s">
        <v>63</v>
      </c>
      <c r="AR402" t="s">
        <v>63</v>
      </c>
      <c r="AS402" t="s">
        <v>63</v>
      </c>
      <c r="AT402" t="s">
        <v>63</v>
      </c>
      <c r="AU402" t="s">
        <v>63</v>
      </c>
      <c r="AV402" t="s">
        <v>63</v>
      </c>
      <c r="AW402" t="s">
        <v>63</v>
      </c>
      <c r="AX402" t="s">
        <v>63</v>
      </c>
      <c r="AY402" t="s">
        <v>63</v>
      </c>
      <c r="AZ402" t="s">
        <v>63</v>
      </c>
      <c r="BA402" t="s">
        <v>63</v>
      </c>
      <c r="BB402" t="s">
        <v>63</v>
      </c>
      <c r="BC402" t="s">
        <v>63</v>
      </c>
      <c r="BD402" t="s">
        <v>63</v>
      </c>
      <c r="BE402" t="s">
        <v>63</v>
      </c>
      <c r="BF402" t="s">
        <v>63</v>
      </c>
    </row>
    <row r="403" spans="1:58">
      <c r="A403" t="s">
        <v>58</v>
      </c>
      <c r="B403" t="s">
        <v>3669</v>
      </c>
      <c r="C403" t="s">
        <v>3670</v>
      </c>
      <c r="D403" t="s">
        <v>60</v>
      </c>
      <c r="E403" t="s">
        <v>61</v>
      </c>
      <c r="F403">
        <v>2006</v>
      </c>
      <c r="G403" s="1">
        <v>41759</v>
      </c>
      <c r="H403">
        <v>73</v>
      </c>
      <c r="I403">
        <v>9</v>
      </c>
      <c r="J403">
        <v>1573</v>
      </c>
      <c r="K403">
        <v>1578</v>
      </c>
      <c r="L403" t="s">
        <v>3671</v>
      </c>
      <c r="M403" t="s">
        <v>3672</v>
      </c>
      <c r="N403" t="s">
        <v>3673</v>
      </c>
      <c r="O403" t="s">
        <v>63</v>
      </c>
      <c r="Q403" t="s">
        <v>63</v>
      </c>
      <c r="R403" t="s">
        <v>63</v>
      </c>
      <c r="S403" t="s">
        <v>63</v>
      </c>
      <c r="T403" t="s">
        <v>63</v>
      </c>
      <c r="X403" t="s">
        <v>63</v>
      </c>
      <c r="Y403" t="s">
        <v>222</v>
      </c>
      <c r="Z403" t="s">
        <v>63</v>
      </c>
      <c r="AA403" t="s">
        <v>3674</v>
      </c>
      <c r="AB403">
        <v>16719249</v>
      </c>
      <c r="AC403" t="s">
        <v>67</v>
      </c>
      <c r="AD403" t="s">
        <v>63</v>
      </c>
      <c r="AE403" t="s">
        <v>63</v>
      </c>
      <c r="AF403" t="s">
        <v>63</v>
      </c>
      <c r="AG403" t="s">
        <v>3675</v>
      </c>
      <c r="AH403" t="s">
        <v>63</v>
      </c>
      <c r="AI403" t="s">
        <v>63</v>
      </c>
      <c r="AJ403" t="s">
        <v>63</v>
      </c>
      <c r="AK403" t="s">
        <v>63</v>
      </c>
      <c r="AL403" t="s">
        <v>63</v>
      </c>
      <c r="AM403" t="s">
        <v>3676</v>
      </c>
      <c r="AN403" t="s">
        <v>63</v>
      </c>
      <c r="AO403" t="s">
        <v>63</v>
      </c>
      <c r="AP403" t="s">
        <v>63</v>
      </c>
      <c r="AQ403" t="s">
        <v>63</v>
      </c>
      <c r="AR403" t="s">
        <v>63</v>
      </c>
      <c r="AS403" t="s">
        <v>63</v>
      </c>
      <c r="AT403" t="s">
        <v>63</v>
      </c>
      <c r="AU403" t="s">
        <v>63</v>
      </c>
      <c r="AV403" t="s">
        <v>63</v>
      </c>
      <c r="AW403" t="s">
        <v>63</v>
      </c>
      <c r="AX403" t="s">
        <v>63</v>
      </c>
      <c r="AY403" t="s">
        <v>63</v>
      </c>
      <c r="AZ403" t="s">
        <v>63</v>
      </c>
      <c r="BA403" t="s">
        <v>63</v>
      </c>
      <c r="BB403" t="s">
        <v>63</v>
      </c>
      <c r="BC403" t="s">
        <v>63</v>
      </c>
      <c r="BD403" t="s">
        <v>63</v>
      </c>
      <c r="BE403" t="s">
        <v>63</v>
      </c>
      <c r="BF403" t="s">
        <v>63</v>
      </c>
    </row>
    <row r="404" spans="1:58">
      <c r="A404" t="s">
        <v>58</v>
      </c>
      <c r="B404" t="s">
        <v>3677</v>
      </c>
      <c r="C404" t="s">
        <v>3678</v>
      </c>
      <c r="D404" t="s">
        <v>408</v>
      </c>
      <c r="E404" t="s">
        <v>409</v>
      </c>
      <c r="F404">
        <v>2007</v>
      </c>
      <c r="G404" t="s">
        <v>63</v>
      </c>
      <c r="H404">
        <v>42</v>
      </c>
      <c r="I404">
        <v>8</v>
      </c>
      <c r="J404">
        <v>1345</v>
      </c>
      <c r="K404">
        <v>1352</v>
      </c>
      <c r="L404" t="s">
        <v>3679</v>
      </c>
      <c r="M404" t="s">
        <v>3680</v>
      </c>
      <c r="N404" t="s">
        <v>3681</v>
      </c>
      <c r="O404" t="s">
        <v>63</v>
      </c>
      <c r="Q404" t="s">
        <v>63</v>
      </c>
      <c r="R404" t="s">
        <v>63</v>
      </c>
      <c r="S404" t="s">
        <v>63</v>
      </c>
      <c r="T404" t="s">
        <v>63</v>
      </c>
      <c r="X404" t="s">
        <v>63</v>
      </c>
      <c r="Y404" t="s">
        <v>3682</v>
      </c>
      <c r="Z404" t="s">
        <v>63</v>
      </c>
      <c r="AA404" t="s">
        <v>3683</v>
      </c>
      <c r="AB404">
        <v>17674238</v>
      </c>
      <c r="AC404" t="s">
        <v>67</v>
      </c>
      <c r="AD404" t="s">
        <v>63</v>
      </c>
      <c r="AE404" t="s">
        <v>63</v>
      </c>
      <c r="AF404" t="s">
        <v>63</v>
      </c>
      <c r="AG404" t="s">
        <v>3684</v>
      </c>
      <c r="AH404" t="s">
        <v>63</v>
      </c>
      <c r="AI404" t="s">
        <v>63</v>
      </c>
      <c r="AJ404" t="s">
        <v>63</v>
      </c>
      <c r="AK404" t="s">
        <v>63</v>
      </c>
      <c r="AL404" t="s">
        <v>63</v>
      </c>
      <c r="AM404" t="s">
        <v>3685</v>
      </c>
      <c r="AN404" t="s">
        <v>63</v>
      </c>
      <c r="AO404" t="s">
        <v>63</v>
      </c>
      <c r="AP404" t="s">
        <v>63</v>
      </c>
      <c r="AQ404" t="s">
        <v>63</v>
      </c>
      <c r="AR404" t="s">
        <v>63</v>
      </c>
      <c r="AS404" t="s">
        <v>63</v>
      </c>
      <c r="AT404" t="s">
        <v>63</v>
      </c>
      <c r="AU404" t="s">
        <v>63</v>
      </c>
      <c r="AV404" t="s">
        <v>63</v>
      </c>
      <c r="AW404" t="s">
        <v>63</v>
      </c>
      <c r="AX404" t="s">
        <v>63</v>
      </c>
      <c r="AY404" t="s">
        <v>63</v>
      </c>
      <c r="AZ404" t="s">
        <v>63</v>
      </c>
      <c r="BA404" t="s">
        <v>63</v>
      </c>
      <c r="BB404" t="s">
        <v>63</v>
      </c>
      <c r="BC404" t="s">
        <v>63</v>
      </c>
      <c r="BD404" t="s">
        <v>63</v>
      </c>
      <c r="BE404" t="s">
        <v>63</v>
      </c>
      <c r="BF404" t="s">
        <v>63</v>
      </c>
    </row>
    <row r="405" spans="1:58">
      <c r="A405" t="s">
        <v>58</v>
      </c>
      <c r="B405" t="s">
        <v>3686</v>
      </c>
      <c r="C405" t="s">
        <v>3687</v>
      </c>
      <c r="D405" t="s">
        <v>155</v>
      </c>
      <c r="E405" t="s">
        <v>156</v>
      </c>
      <c r="F405">
        <v>2002</v>
      </c>
      <c r="G405" t="s">
        <v>1670</v>
      </c>
      <c r="H405">
        <v>40</v>
      </c>
      <c r="I405">
        <v>1</v>
      </c>
      <c r="J405">
        <v>50</v>
      </c>
      <c r="K405">
        <v>62</v>
      </c>
      <c r="L405" t="s">
        <v>3688</v>
      </c>
      <c r="M405" t="s">
        <v>3689</v>
      </c>
      <c r="N405" t="s">
        <v>3690</v>
      </c>
      <c r="O405" t="s">
        <v>63</v>
      </c>
      <c r="Q405" t="s">
        <v>63</v>
      </c>
      <c r="R405" t="s">
        <v>63</v>
      </c>
      <c r="S405" t="s">
        <v>63</v>
      </c>
      <c r="T405" t="s">
        <v>63</v>
      </c>
      <c r="X405" t="s">
        <v>63</v>
      </c>
      <c r="Y405" t="s">
        <v>160</v>
      </c>
      <c r="Z405" t="s">
        <v>63</v>
      </c>
      <c r="AA405" t="s">
        <v>3691</v>
      </c>
      <c r="AB405">
        <v>12085073</v>
      </c>
      <c r="AC405" t="s">
        <v>67</v>
      </c>
      <c r="AD405" t="s">
        <v>63</v>
      </c>
      <c r="AE405" t="s">
        <v>63</v>
      </c>
      <c r="AF405" t="s">
        <v>63</v>
      </c>
      <c r="AG405" t="s">
        <v>3692</v>
      </c>
      <c r="AH405" t="s">
        <v>63</v>
      </c>
      <c r="AI405" t="s">
        <v>63</v>
      </c>
      <c r="AJ405" t="s">
        <v>63</v>
      </c>
      <c r="AK405" t="s">
        <v>63</v>
      </c>
      <c r="AL405" t="s">
        <v>63</v>
      </c>
      <c r="AM405" t="s">
        <v>3693</v>
      </c>
      <c r="AN405" t="s">
        <v>63</v>
      </c>
      <c r="AO405" t="s">
        <v>63</v>
      </c>
      <c r="AP405" t="s">
        <v>63</v>
      </c>
      <c r="AQ405" t="s">
        <v>63</v>
      </c>
      <c r="AR405" t="s">
        <v>63</v>
      </c>
      <c r="AS405" t="s">
        <v>63</v>
      </c>
      <c r="AT405" t="s">
        <v>63</v>
      </c>
      <c r="AU405" t="s">
        <v>63</v>
      </c>
      <c r="AV405" t="s">
        <v>63</v>
      </c>
      <c r="AW405" t="s">
        <v>63</v>
      </c>
      <c r="AX405" t="s">
        <v>63</v>
      </c>
      <c r="AY405" t="s">
        <v>63</v>
      </c>
      <c r="AZ405" t="s">
        <v>63</v>
      </c>
      <c r="BA405" t="s">
        <v>63</v>
      </c>
      <c r="BB405" t="s">
        <v>63</v>
      </c>
      <c r="BC405" t="s">
        <v>63</v>
      </c>
      <c r="BD405" t="s">
        <v>63</v>
      </c>
      <c r="BE405" t="s">
        <v>63</v>
      </c>
      <c r="BF405" t="s">
        <v>63</v>
      </c>
    </row>
    <row r="406" spans="1:58">
      <c r="A406" t="s">
        <v>58</v>
      </c>
      <c r="B406" t="s">
        <v>3694</v>
      </c>
      <c r="C406" t="s">
        <v>3695</v>
      </c>
      <c r="D406" t="s">
        <v>1469</v>
      </c>
      <c r="E406" t="s">
        <v>1470</v>
      </c>
      <c r="F406">
        <v>2005</v>
      </c>
      <c r="G406" t="s">
        <v>274</v>
      </c>
      <c r="H406">
        <v>12</v>
      </c>
      <c r="I406">
        <v>3</v>
      </c>
      <c r="J406">
        <v>249</v>
      </c>
      <c r="K406">
        <v>256</v>
      </c>
      <c r="L406" t="s">
        <v>3696</v>
      </c>
      <c r="M406" t="s">
        <v>3697</v>
      </c>
      <c r="N406" t="s">
        <v>3698</v>
      </c>
      <c r="O406" t="s">
        <v>63</v>
      </c>
      <c r="Q406" t="s">
        <v>63</v>
      </c>
      <c r="R406" t="s">
        <v>63</v>
      </c>
      <c r="S406" t="s">
        <v>63</v>
      </c>
      <c r="T406" t="s">
        <v>63</v>
      </c>
      <c r="X406" t="s">
        <v>63</v>
      </c>
      <c r="Y406" t="s">
        <v>1474</v>
      </c>
      <c r="Z406" t="s">
        <v>63</v>
      </c>
      <c r="AA406" t="s">
        <v>3699</v>
      </c>
      <c r="AB406">
        <v>15741590</v>
      </c>
      <c r="AC406" t="s">
        <v>67</v>
      </c>
      <c r="AD406" t="s">
        <v>63</v>
      </c>
      <c r="AE406" t="s">
        <v>63</v>
      </c>
      <c r="AF406" t="s">
        <v>63</v>
      </c>
      <c r="AG406" t="s">
        <v>3700</v>
      </c>
      <c r="AH406" t="s">
        <v>63</v>
      </c>
      <c r="AI406" t="s">
        <v>63</v>
      </c>
      <c r="AJ406" t="s">
        <v>63</v>
      </c>
      <c r="AK406" t="s">
        <v>63</v>
      </c>
      <c r="AL406" t="s">
        <v>63</v>
      </c>
      <c r="AM406" t="s">
        <v>3701</v>
      </c>
      <c r="AN406" t="s">
        <v>63</v>
      </c>
      <c r="AO406" t="s">
        <v>63</v>
      </c>
      <c r="AP406" t="s">
        <v>63</v>
      </c>
      <c r="AQ406" t="s">
        <v>63</v>
      </c>
      <c r="AR406" t="s">
        <v>63</v>
      </c>
      <c r="AS406" t="s">
        <v>63</v>
      </c>
      <c r="AT406" t="s">
        <v>63</v>
      </c>
      <c r="AU406" t="s">
        <v>63</v>
      </c>
      <c r="AV406" t="s">
        <v>63</v>
      </c>
      <c r="AW406" t="s">
        <v>63</v>
      </c>
      <c r="AX406" t="s">
        <v>63</v>
      </c>
      <c r="AY406" t="s">
        <v>63</v>
      </c>
      <c r="AZ406" t="s">
        <v>63</v>
      </c>
      <c r="BA406" t="s">
        <v>63</v>
      </c>
      <c r="BB406" t="s">
        <v>63</v>
      </c>
      <c r="BC406" t="s">
        <v>63</v>
      </c>
      <c r="BD406" t="s">
        <v>63</v>
      </c>
      <c r="BE406" t="s">
        <v>63</v>
      </c>
      <c r="BF406" t="s">
        <v>63</v>
      </c>
    </row>
    <row r="407" spans="1:58">
      <c r="A407" t="s">
        <v>58</v>
      </c>
      <c r="B407" t="s">
        <v>3702</v>
      </c>
      <c r="C407" t="s">
        <v>3703</v>
      </c>
      <c r="D407" t="s">
        <v>389</v>
      </c>
      <c r="E407" t="s">
        <v>63</v>
      </c>
      <c r="F407">
        <v>2011</v>
      </c>
      <c r="G407" t="s">
        <v>138</v>
      </c>
      <c r="H407">
        <v>32</v>
      </c>
      <c r="I407">
        <v>4</v>
      </c>
      <c r="J407">
        <v>262</v>
      </c>
      <c r="K407">
        <v>265</v>
      </c>
      <c r="L407" t="s">
        <v>3704</v>
      </c>
      <c r="M407" t="s">
        <v>3705</v>
      </c>
      <c r="N407" t="s">
        <v>3706</v>
      </c>
      <c r="O407" t="s">
        <v>63</v>
      </c>
      <c r="Q407" t="s">
        <v>63</v>
      </c>
      <c r="R407" t="s">
        <v>63</v>
      </c>
      <c r="S407" t="s">
        <v>63</v>
      </c>
      <c r="T407" t="s">
        <v>63</v>
      </c>
      <c r="X407" t="s">
        <v>63</v>
      </c>
      <c r="Y407" t="s">
        <v>556</v>
      </c>
      <c r="Z407" t="s">
        <v>63</v>
      </c>
      <c r="AA407" t="s">
        <v>3707</v>
      </c>
      <c r="AB407">
        <v>22014257</v>
      </c>
      <c r="AC407" t="s">
        <v>67</v>
      </c>
      <c r="AD407" t="s">
        <v>63</v>
      </c>
      <c r="AE407" t="s">
        <v>63</v>
      </c>
      <c r="AF407" t="s">
        <v>63</v>
      </c>
      <c r="AG407" t="s">
        <v>3708</v>
      </c>
      <c r="AH407" t="s">
        <v>63</v>
      </c>
      <c r="AI407" t="s">
        <v>3709</v>
      </c>
      <c r="AJ407" t="s">
        <v>63</v>
      </c>
      <c r="AK407" t="s">
        <v>63</v>
      </c>
      <c r="AL407" t="s">
        <v>63</v>
      </c>
      <c r="AM407" t="s">
        <v>3710</v>
      </c>
      <c r="AN407" t="s">
        <v>63</v>
      </c>
      <c r="AO407" t="s">
        <v>63</v>
      </c>
      <c r="AP407" t="s">
        <v>63</v>
      </c>
      <c r="AQ407" t="s">
        <v>63</v>
      </c>
      <c r="AR407" t="s">
        <v>63</v>
      </c>
      <c r="AS407" t="s">
        <v>63</v>
      </c>
      <c r="AT407" t="s">
        <v>63</v>
      </c>
      <c r="AU407" t="s">
        <v>63</v>
      </c>
      <c r="AV407" t="s">
        <v>63</v>
      </c>
      <c r="AW407" t="s">
        <v>63</v>
      </c>
      <c r="AX407" t="s">
        <v>63</v>
      </c>
      <c r="AY407" t="s">
        <v>63</v>
      </c>
      <c r="AZ407" t="s">
        <v>63</v>
      </c>
      <c r="BA407" t="s">
        <v>63</v>
      </c>
      <c r="BB407" t="s">
        <v>63</v>
      </c>
      <c r="BC407" t="s">
        <v>63</v>
      </c>
      <c r="BD407" t="s">
        <v>63</v>
      </c>
      <c r="BE407" t="s">
        <v>63</v>
      </c>
      <c r="BF407" t="s">
        <v>63</v>
      </c>
    </row>
    <row r="408" spans="1:58">
      <c r="A408" t="s">
        <v>58</v>
      </c>
      <c r="B408" t="s">
        <v>3711</v>
      </c>
      <c r="C408" t="s">
        <v>3712</v>
      </c>
      <c r="D408" t="s">
        <v>3713</v>
      </c>
      <c r="E408" t="s">
        <v>3714</v>
      </c>
      <c r="F408">
        <v>2005</v>
      </c>
      <c r="G408" t="s">
        <v>326</v>
      </c>
      <c r="H408">
        <v>25</v>
      </c>
      <c r="I408">
        <v>1</v>
      </c>
      <c r="J408">
        <v>18</v>
      </c>
      <c r="K408">
        <v>32</v>
      </c>
      <c r="L408" t="s">
        <v>3715</v>
      </c>
      <c r="M408" t="s">
        <v>3716</v>
      </c>
      <c r="N408" t="s">
        <v>3717</v>
      </c>
      <c r="O408" t="s">
        <v>63</v>
      </c>
      <c r="Q408" t="s">
        <v>63</v>
      </c>
      <c r="R408" t="s">
        <v>63</v>
      </c>
      <c r="S408" t="s">
        <v>63</v>
      </c>
      <c r="T408" t="s">
        <v>63</v>
      </c>
      <c r="X408" t="s">
        <v>63</v>
      </c>
      <c r="Y408" t="s">
        <v>3718</v>
      </c>
      <c r="Z408" t="s">
        <v>63</v>
      </c>
      <c r="AA408" t="s">
        <v>3719</v>
      </c>
      <c r="AB408">
        <v>15731995</v>
      </c>
      <c r="AC408" t="s">
        <v>67</v>
      </c>
      <c r="AD408" t="s">
        <v>63</v>
      </c>
      <c r="AE408" t="s">
        <v>63</v>
      </c>
      <c r="AF408" t="s">
        <v>63</v>
      </c>
      <c r="AG408" t="s">
        <v>3720</v>
      </c>
      <c r="AH408" t="s">
        <v>63</v>
      </c>
      <c r="AI408" t="s">
        <v>63</v>
      </c>
      <c r="AJ408" t="s">
        <v>63</v>
      </c>
      <c r="AK408" t="s">
        <v>63</v>
      </c>
      <c r="AL408" t="s">
        <v>63</v>
      </c>
      <c r="AM408" t="s">
        <v>3721</v>
      </c>
      <c r="AN408" t="s">
        <v>63</v>
      </c>
      <c r="AO408" t="s">
        <v>63</v>
      </c>
      <c r="AP408" t="s">
        <v>63</v>
      </c>
      <c r="AQ408" t="s">
        <v>63</v>
      </c>
      <c r="AR408" t="s">
        <v>63</v>
      </c>
      <c r="AS408" t="s">
        <v>63</v>
      </c>
      <c r="AT408" t="s">
        <v>63</v>
      </c>
      <c r="AU408" t="s">
        <v>63</v>
      </c>
      <c r="AV408" t="s">
        <v>63</v>
      </c>
      <c r="AW408" t="s">
        <v>63</v>
      </c>
      <c r="AX408" t="s">
        <v>63</v>
      </c>
      <c r="AY408" t="s">
        <v>63</v>
      </c>
      <c r="AZ408" t="s">
        <v>63</v>
      </c>
      <c r="BA408" t="s">
        <v>63</v>
      </c>
      <c r="BB408" t="s">
        <v>63</v>
      </c>
      <c r="BC408" t="s">
        <v>63</v>
      </c>
      <c r="BD408" t="s">
        <v>63</v>
      </c>
      <c r="BE408" t="s">
        <v>63</v>
      </c>
      <c r="BF408" t="s">
        <v>63</v>
      </c>
    </row>
    <row r="409" spans="1:58">
      <c r="A409" t="s">
        <v>58</v>
      </c>
      <c r="B409" t="s">
        <v>3722</v>
      </c>
      <c r="C409" t="s">
        <v>3723</v>
      </c>
      <c r="D409" t="s">
        <v>3724</v>
      </c>
      <c r="E409" t="s">
        <v>3725</v>
      </c>
      <c r="F409">
        <v>2010</v>
      </c>
      <c r="G409" t="s">
        <v>614</v>
      </c>
      <c r="H409">
        <v>16</v>
      </c>
      <c r="I409">
        <v>4</v>
      </c>
      <c r="J409">
        <v>716</v>
      </c>
      <c r="K409">
        <v>723</v>
      </c>
      <c r="L409" t="s">
        <v>3726</v>
      </c>
      <c r="M409" t="s">
        <v>3727</v>
      </c>
      <c r="N409" t="s">
        <v>3728</v>
      </c>
      <c r="O409" t="s">
        <v>63</v>
      </c>
      <c r="Q409" t="s">
        <v>63</v>
      </c>
      <c r="R409" t="s">
        <v>63</v>
      </c>
      <c r="S409" t="s">
        <v>63</v>
      </c>
      <c r="T409" t="s">
        <v>63</v>
      </c>
      <c r="X409" t="s">
        <v>63</v>
      </c>
      <c r="Y409" t="s">
        <v>3729</v>
      </c>
      <c r="Z409" t="s">
        <v>63</v>
      </c>
      <c r="AA409" t="s">
        <v>3730</v>
      </c>
      <c r="AB409">
        <v>20545804</v>
      </c>
      <c r="AC409" t="s">
        <v>67</v>
      </c>
      <c r="AD409" t="s">
        <v>63</v>
      </c>
      <c r="AE409" t="s">
        <v>63</v>
      </c>
      <c r="AF409" t="s">
        <v>63</v>
      </c>
      <c r="AG409" t="s">
        <v>3731</v>
      </c>
      <c r="AH409" t="s">
        <v>63</v>
      </c>
      <c r="AI409" t="s">
        <v>3732</v>
      </c>
      <c r="AJ409" t="s">
        <v>63</v>
      </c>
      <c r="AK409" t="s">
        <v>63</v>
      </c>
      <c r="AL409" t="s">
        <v>63</v>
      </c>
      <c r="AM409" t="s">
        <v>3733</v>
      </c>
      <c r="AN409" t="s">
        <v>63</v>
      </c>
      <c r="AO409" t="s">
        <v>63</v>
      </c>
      <c r="AP409" t="s">
        <v>63</v>
      </c>
      <c r="AQ409" t="s">
        <v>63</v>
      </c>
      <c r="AR409" t="s">
        <v>63</v>
      </c>
      <c r="AS409" t="s">
        <v>63</v>
      </c>
      <c r="AT409" t="s">
        <v>63</v>
      </c>
      <c r="AU409" t="s">
        <v>63</v>
      </c>
      <c r="AV409" t="s">
        <v>63</v>
      </c>
      <c r="AW409" t="s">
        <v>63</v>
      </c>
      <c r="AX409" t="s">
        <v>63</v>
      </c>
      <c r="AY409" t="s">
        <v>63</v>
      </c>
      <c r="AZ409" t="s">
        <v>63</v>
      </c>
      <c r="BA409" t="s">
        <v>63</v>
      </c>
      <c r="BB409" t="s">
        <v>63</v>
      </c>
      <c r="BC409" t="s">
        <v>63</v>
      </c>
      <c r="BD409" t="s">
        <v>63</v>
      </c>
      <c r="BE409" t="s">
        <v>63</v>
      </c>
      <c r="BF409" t="s">
        <v>63</v>
      </c>
    </row>
    <row r="410" spans="1:58">
      <c r="A410" t="s">
        <v>58</v>
      </c>
      <c r="B410" t="s">
        <v>3734</v>
      </c>
      <c r="C410" t="s">
        <v>3735</v>
      </c>
      <c r="D410" t="s">
        <v>3007</v>
      </c>
      <c r="E410" t="s">
        <v>3008</v>
      </c>
      <c r="F410">
        <v>1999</v>
      </c>
      <c r="G410" t="s">
        <v>73</v>
      </c>
      <c r="H410">
        <v>22</v>
      </c>
      <c r="I410">
        <v>2</v>
      </c>
      <c r="J410">
        <v>481</v>
      </c>
      <c r="K410" t="s">
        <v>3736</v>
      </c>
      <c r="L410" t="s">
        <v>3737</v>
      </c>
      <c r="M410" t="s">
        <v>3738</v>
      </c>
      <c r="N410" t="s">
        <v>3739</v>
      </c>
      <c r="O410" t="s">
        <v>63</v>
      </c>
      <c r="Q410" t="s">
        <v>63</v>
      </c>
      <c r="R410" t="s">
        <v>63</v>
      </c>
      <c r="S410" t="s">
        <v>63</v>
      </c>
      <c r="T410" t="s">
        <v>63</v>
      </c>
      <c r="X410" t="s">
        <v>63</v>
      </c>
      <c r="Y410" t="s">
        <v>3740</v>
      </c>
      <c r="Z410" t="s">
        <v>63</v>
      </c>
      <c r="AA410" t="s">
        <v>3741</v>
      </c>
      <c r="AB410">
        <v>10385945</v>
      </c>
      <c r="AC410" t="s">
        <v>67</v>
      </c>
      <c r="AD410" t="s">
        <v>63</v>
      </c>
      <c r="AE410" t="s">
        <v>63</v>
      </c>
      <c r="AF410" t="s">
        <v>63</v>
      </c>
      <c r="AG410" t="s">
        <v>3742</v>
      </c>
      <c r="AH410" t="s">
        <v>63</v>
      </c>
      <c r="AI410" t="s">
        <v>63</v>
      </c>
      <c r="AJ410" t="s">
        <v>63</v>
      </c>
      <c r="AK410" t="s">
        <v>63</v>
      </c>
      <c r="AL410" t="s">
        <v>63</v>
      </c>
      <c r="AM410" t="s">
        <v>3743</v>
      </c>
      <c r="AN410" t="s">
        <v>63</v>
      </c>
      <c r="AO410" t="s">
        <v>63</v>
      </c>
      <c r="AP410" t="s">
        <v>63</v>
      </c>
      <c r="AQ410" t="s">
        <v>63</v>
      </c>
      <c r="AR410" t="s">
        <v>63</v>
      </c>
      <c r="AS410" t="s">
        <v>63</v>
      </c>
      <c r="AT410" t="s">
        <v>63</v>
      </c>
      <c r="AU410" t="s">
        <v>63</v>
      </c>
      <c r="AV410" t="s">
        <v>63</v>
      </c>
      <c r="AW410" t="s">
        <v>63</v>
      </c>
      <c r="AX410" t="s">
        <v>63</v>
      </c>
      <c r="AY410" t="s">
        <v>63</v>
      </c>
      <c r="AZ410" t="s">
        <v>63</v>
      </c>
      <c r="BA410" t="s">
        <v>63</v>
      </c>
      <c r="BB410" t="s">
        <v>63</v>
      </c>
      <c r="BC410" t="s">
        <v>63</v>
      </c>
      <c r="BD410" t="s">
        <v>63</v>
      </c>
      <c r="BE410" t="s">
        <v>63</v>
      </c>
      <c r="BF410" t="s">
        <v>63</v>
      </c>
    </row>
    <row r="411" spans="1:58">
      <c r="A411" t="s">
        <v>58</v>
      </c>
      <c r="B411" t="s">
        <v>3744</v>
      </c>
      <c r="C411" t="s">
        <v>3745</v>
      </c>
      <c r="D411" t="s">
        <v>3746</v>
      </c>
      <c r="E411" t="s">
        <v>3747</v>
      </c>
      <c r="F411">
        <v>1991</v>
      </c>
      <c r="G411" t="s">
        <v>63</v>
      </c>
      <c r="H411" t="s">
        <v>3748</v>
      </c>
      <c r="I411" t="s">
        <v>63</v>
      </c>
      <c r="J411" t="s">
        <v>3749</v>
      </c>
      <c r="K411">
        <v>3</v>
      </c>
      <c r="L411" t="s">
        <v>3750</v>
      </c>
      <c r="M411" t="s">
        <v>3751</v>
      </c>
      <c r="N411" t="s">
        <v>3752</v>
      </c>
      <c r="O411" t="s">
        <v>63</v>
      </c>
      <c r="Q411" t="s">
        <v>63</v>
      </c>
      <c r="R411" t="s">
        <v>63</v>
      </c>
      <c r="S411" t="s">
        <v>63</v>
      </c>
      <c r="T411" t="s">
        <v>63</v>
      </c>
      <c r="X411" t="s">
        <v>63</v>
      </c>
      <c r="Y411" t="s">
        <v>3753</v>
      </c>
      <c r="Z411" t="s">
        <v>63</v>
      </c>
      <c r="AA411" t="s">
        <v>3754</v>
      </c>
      <c r="AB411">
        <v>1758820</v>
      </c>
      <c r="AC411" t="s">
        <v>67</v>
      </c>
      <c r="AD411" t="s">
        <v>63</v>
      </c>
      <c r="AE411" t="s">
        <v>63</v>
      </c>
      <c r="AF411" t="s">
        <v>63</v>
      </c>
      <c r="AG411" t="s">
        <v>3755</v>
      </c>
      <c r="AH411" t="s">
        <v>63</v>
      </c>
      <c r="AI411" t="s">
        <v>63</v>
      </c>
      <c r="AJ411" t="s">
        <v>63</v>
      </c>
      <c r="AK411" t="s">
        <v>63</v>
      </c>
      <c r="AL411" t="s">
        <v>63</v>
      </c>
      <c r="AM411" t="s">
        <v>3756</v>
      </c>
      <c r="AN411" t="s">
        <v>63</v>
      </c>
      <c r="AO411" t="s">
        <v>63</v>
      </c>
      <c r="AP411" t="s">
        <v>63</v>
      </c>
      <c r="AQ411" t="s">
        <v>63</v>
      </c>
      <c r="AR411" t="s">
        <v>63</v>
      </c>
      <c r="AS411" t="s">
        <v>63</v>
      </c>
      <c r="AT411" t="s">
        <v>63</v>
      </c>
      <c r="AU411" t="s">
        <v>63</v>
      </c>
      <c r="AV411" t="s">
        <v>63</v>
      </c>
      <c r="AW411" t="s">
        <v>63</v>
      </c>
      <c r="AX411" t="s">
        <v>63</v>
      </c>
      <c r="AY411" t="s">
        <v>63</v>
      </c>
      <c r="AZ411" t="s">
        <v>63</v>
      </c>
      <c r="BA411" t="s">
        <v>63</v>
      </c>
      <c r="BB411" t="s">
        <v>63</v>
      </c>
      <c r="BC411" t="s">
        <v>63</v>
      </c>
      <c r="BD411" t="s">
        <v>63</v>
      </c>
      <c r="BE411" t="s">
        <v>63</v>
      </c>
      <c r="BF411" t="s">
        <v>63</v>
      </c>
    </row>
    <row r="412" spans="1:58">
      <c r="A412" t="s">
        <v>58</v>
      </c>
      <c r="B412" t="s">
        <v>3757</v>
      </c>
      <c r="C412" t="s">
        <v>3758</v>
      </c>
      <c r="D412" t="s">
        <v>3759</v>
      </c>
      <c r="E412" t="s">
        <v>63</v>
      </c>
      <c r="F412">
        <v>2018</v>
      </c>
      <c r="G412" s="1">
        <v>41746</v>
      </c>
      <c r="H412" t="s">
        <v>63</v>
      </c>
      <c r="I412" t="s">
        <v>63</v>
      </c>
      <c r="J412">
        <v>1</v>
      </c>
      <c r="K412">
        <v>11</v>
      </c>
      <c r="L412" t="s">
        <v>63</v>
      </c>
      <c r="M412" t="s">
        <v>3760</v>
      </c>
      <c r="N412" t="s">
        <v>3761</v>
      </c>
      <c r="O412" t="s">
        <v>63</v>
      </c>
      <c r="Q412" t="s">
        <v>63</v>
      </c>
      <c r="R412" t="s">
        <v>63</v>
      </c>
      <c r="S412" t="s">
        <v>63</v>
      </c>
      <c r="T412" t="s">
        <v>63</v>
      </c>
      <c r="X412" t="s">
        <v>63</v>
      </c>
      <c r="Y412" t="s">
        <v>3762</v>
      </c>
      <c r="Z412" t="s">
        <v>63</v>
      </c>
      <c r="AA412" t="s">
        <v>3763</v>
      </c>
      <c r="AB412">
        <v>29667452</v>
      </c>
      <c r="AC412" t="s">
        <v>67</v>
      </c>
      <c r="AD412" t="s">
        <v>63</v>
      </c>
      <c r="AE412" t="s">
        <v>63</v>
      </c>
      <c r="AF412" t="s">
        <v>63</v>
      </c>
      <c r="AG412" t="s">
        <v>3764</v>
      </c>
      <c r="AH412" t="s">
        <v>63</v>
      </c>
      <c r="AI412" t="s">
        <v>3765</v>
      </c>
      <c r="AJ412" t="s">
        <v>63</v>
      </c>
      <c r="AK412" t="s">
        <v>63</v>
      </c>
      <c r="AL412" t="s">
        <v>63</v>
      </c>
      <c r="AM412" t="s">
        <v>3766</v>
      </c>
      <c r="AN412" t="s">
        <v>63</v>
      </c>
      <c r="AO412" t="s">
        <v>63</v>
      </c>
      <c r="AP412" t="s">
        <v>63</v>
      </c>
      <c r="AQ412" t="s">
        <v>63</v>
      </c>
      <c r="AR412" t="s">
        <v>63</v>
      </c>
      <c r="AS412" t="s">
        <v>63</v>
      </c>
      <c r="AT412" t="s">
        <v>63</v>
      </c>
      <c r="AU412" t="s">
        <v>63</v>
      </c>
      <c r="AV412" t="s">
        <v>63</v>
      </c>
      <c r="AW412" t="s">
        <v>63</v>
      </c>
      <c r="AX412" t="s">
        <v>63</v>
      </c>
      <c r="AY412" t="s">
        <v>63</v>
      </c>
      <c r="AZ412" t="s">
        <v>63</v>
      </c>
      <c r="BA412" t="s">
        <v>63</v>
      </c>
      <c r="BB412" t="s">
        <v>63</v>
      </c>
      <c r="BC412" t="s">
        <v>63</v>
      </c>
      <c r="BD412" t="s">
        <v>63</v>
      </c>
      <c r="BE412" t="s">
        <v>63</v>
      </c>
      <c r="BF412" t="s">
        <v>63</v>
      </c>
    </row>
    <row r="413" spans="1:58">
      <c r="A413" t="s">
        <v>58</v>
      </c>
      <c r="B413" t="s">
        <v>3767</v>
      </c>
      <c r="C413" t="s">
        <v>3768</v>
      </c>
      <c r="D413" t="s">
        <v>563</v>
      </c>
      <c r="E413" t="s">
        <v>63</v>
      </c>
      <c r="F413">
        <v>2015</v>
      </c>
      <c r="G413" s="1">
        <v>41680</v>
      </c>
      <c r="H413">
        <v>15</v>
      </c>
      <c r="I413" t="s">
        <v>63</v>
      </c>
      <c r="J413">
        <v>13</v>
      </c>
      <c r="K413" t="s">
        <v>63</v>
      </c>
      <c r="L413" t="s">
        <v>3769</v>
      </c>
      <c r="M413" t="s">
        <v>3770</v>
      </c>
      <c r="N413" t="s">
        <v>3771</v>
      </c>
      <c r="O413" t="s">
        <v>63</v>
      </c>
      <c r="Q413" t="s">
        <v>63</v>
      </c>
      <c r="R413" t="s">
        <v>63</v>
      </c>
      <c r="S413" t="s">
        <v>63</v>
      </c>
      <c r="T413" t="s">
        <v>63</v>
      </c>
      <c r="X413" t="s">
        <v>63</v>
      </c>
      <c r="Y413" t="s">
        <v>567</v>
      </c>
      <c r="Z413" t="s">
        <v>63</v>
      </c>
      <c r="AA413" t="s">
        <v>3772</v>
      </c>
      <c r="AB413">
        <v>25889566</v>
      </c>
      <c r="AC413" t="s">
        <v>67</v>
      </c>
      <c r="AD413" t="s">
        <v>63</v>
      </c>
      <c r="AE413" t="s">
        <v>63</v>
      </c>
      <c r="AF413" t="s">
        <v>63</v>
      </c>
      <c r="AG413" t="s">
        <v>3773</v>
      </c>
      <c r="AH413" t="s">
        <v>63</v>
      </c>
      <c r="AI413" t="s">
        <v>3774</v>
      </c>
      <c r="AJ413" t="s">
        <v>63</v>
      </c>
      <c r="AK413" t="s">
        <v>63</v>
      </c>
      <c r="AL413" t="s">
        <v>63</v>
      </c>
      <c r="AM413" t="s">
        <v>3775</v>
      </c>
      <c r="AN413" t="s">
        <v>63</v>
      </c>
      <c r="AO413" t="s">
        <v>63</v>
      </c>
      <c r="AP413" t="s">
        <v>63</v>
      </c>
      <c r="AQ413" t="s">
        <v>63</v>
      </c>
      <c r="AR413" t="s">
        <v>63</v>
      </c>
      <c r="AS413" t="s">
        <v>63</v>
      </c>
      <c r="AT413" t="s">
        <v>63</v>
      </c>
      <c r="AU413" t="s">
        <v>63</v>
      </c>
      <c r="AV413" t="s">
        <v>63</v>
      </c>
      <c r="AW413" t="s">
        <v>63</v>
      </c>
      <c r="AX413" t="s">
        <v>63</v>
      </c>
      <c r="AY413" t="s">
        <v>63</v>
      </c>
      <c r="AZ413" t="s">
        <v>63</v>
      </c>
      <c r="BA413" t="s">
        <v>63</v>
      </c>
      <c r="BB413" t="s">
        <v>63</v>
      </c>
      <c r="BC413" t="s">
        <v>63</v>
      </c>
      <c r="BD413" t="s">
        <v>63</v>
      </c>
      <c r="BE413" t="s">
        <v>63</v>
      </c>
      <c r="BF413" t="s">
        <v>63</v>
      </c>
    </row>
    <row r="414" spans="1:58">
      <c r="A414" t="s">
        <v>58</v>
      </c>
      <c r="B414" t="s">
        <v>3776</v>
      </c>
      <c r="C414" t="s">
        <v>3777</v>
      </c>
      <c r="D414" t="s">
        <v>3778</v>
      </c>
      <c r="E414" t="s">
        <v>63</v>
      </c>
      <c r="F414">
        <v>2011</v>
      </c>
      <c r="G414" t="s">
        <v>181</v>
      </c>
      <c r="H414">
        <v>25</v>
      </c>
      <c r="I414">
        <v>9</v>
      </c>
      <c r="J414">
        <v>1235</v>
      </c>
      <c r="K414">
        <v>1255</v>
      </c>
      <c r="L414" t="s">
        <v>3779</v>
      </c>
      <c r="M414" t="s">
        <v>3780</v>
      </c>
      <c r="N414" t="s">
        <v>3781</v>
      </c>
      <c r="O414" t="s">
        <v>63</v>
      </c>
      <c r="Q414" t="s">
        <v>63</v>
      </c>
      <c r="R414" t="s">
        <v>63</v>
      </c>
      <c r="S414" t="s">
        <v>63</v>
      </c>
      <c r="T414" t="s">
        <v>63</v>
      </c>
      <c r="X414" t="s">
        <v>63</v>
      </c>
      <c r="Y414" t="s">
        <v>3782</v>
      </c>
      <c r="Z414" t="s">
        <v>63</v>
      </c>
      <c r="AA414" t="s">
        <v>3783</v>
      </c>
      <c r="AB414">
        <v>21169391</v>
      </c>
      <c r="AC414" t="s">
        <v>67</v>
      </c>
      <c r="AD414" t="s">
        <v>63</v>
      </c>
      <c r="AE414" t="s">
        <v>63</v>
      </c>
      <c r="AF414" t="s">
        <v>63</v>
      </c>
      <c r="AG414" t="s">
        <v>3784</v>
      </c>
      <c r="AH414" t="s">
        <v>63</v>
      </c>
      <c r="AI414" t="s">
        <v>3785</v>
      </c>
      <c r="AJ414" t="s">
        <v>63</v>
      </c>
      <c r="AK414" t="s">
        <v>63</v>
      </c>
      <c r="AL414" t="s">
        <v>63</v>
      </c>
      <c r="AM414" t="s">
        <v>3786</v>
      </c>
      <c r="AN414" t="s">
        <v>63</v>
      </c>
      <c r="AO414" t="s">
        <v>63</v>
      </c>
      <c r="AP414" t="s">
        <v>63</v>
      </c>
      <c r="AQ414" t="s">
        <v>63</v>
      </c>
      <c r="AR414" t="s">
        <v>63</v>
      </c>
      <c r="AS414" t="s">
        <v>63</v>
      </c>
      <c r="AT414" t="s">
        <v>63</v>
      </c>
      <c r="AU414" t="s">
        <v>63</v>
      </c>
      <c r="AV414" t="s">
        <v>63</v>
      </c>
      <c r="AW414" t="s">
        <v>63</v>
      </c>
      <c r="AX414" t="s">
        <v>63</v>
      </c>
      <c r="AY414" t="s">
        <v>63</v>
      </c>
      <c r="AZ414" t="s">
        <v>63</v>
      </c>
      <c r="BA414" t="s">
        <v>63</v>
      </c>
      <c r="BB414" t="s">
        <v>63</v>
      </c>
      <c r="BC414" t="s">
        <v>63</v>
      </c>
      <c r="BD414" t="s">
        <v>63</v>
      </c>
      <c r="BE414" t="s">
        <v>63</v>
      </c>
      <c r="BF414" t="s">
        <v>63</v>
      </c>
    </row>
    <row r="415" spans="1:58">
      <c r="A415" t="s">
        <v>58</v>
      </c>
      <c r="B415" t="s">
        <v>3787</v>
      </c>
      <c r="C415" t="s">
        <v>3788</v>
      </c>
      <c r="D415" t="s">
        <v>371</v>
      </c>
      <c r="E415" t="s">
        <v>63</v>
      </c>
      <c r="F415">
        <v>1992</v>
      </c>
      <c r="G415" t="s">
        <v>908</v>
      </c>
      <c r="H415">
        <v>7</v>
      </c>
      <c r="I415">
        <v>4</v>
      </c>
      <c r="J415">
        <v>398</v>
      </c>
      <c r="K415">
        <v>404</v>
      </c>
      <c r="L415" t="s">
        <v>3789</v>
      </c>
      <c r="M415" t="s">
        <v>3790</v>
      </c>
      <c r="N415" t="s">
        <v>3791</v>
      </c>
      <c r="O415" t="s">
        <v>63</v>
      </c>
      <c r="Q415" t="s">
        <v>63</v>
      </c>
      <c r="R415" t="s">
        <v>63</v>
      </c>
      <c r="S415" t="s">
        <v>63</v>
      </c>
      <c r="T415" t="s">
        <v>63</v>
      </c>
      <c r="X415" t="s">
        <v>63</v>
      </c>
      <c r="Y415" t="s">
        <v>375</v>
      </c>
      <c r="Z415" t="s">
        <v>63</v>
      </c>
      <c r="AA415" t="s">
        <v>3792</v>
      </c>
      <c r="AB415">
        <v>1506945</v>
      </c>
      <c r="AC415" t="s">
        <v>67</v>
      </c>
      <c r="AD415" t="s">
        <v>63</v>
      </c>
      <c r="AE415" t="s">
        <v>63</v>
      </c>
      <c r="AF415" t="s">
        <v>63</v>
      </c>
      <c r="AG415" t="s">
        <v>3793</v>
      </c>
      <c r="AH415" t="s">
        <v>63</v>
      </c>
      <c r="AI415" t="s">
        <v>63</v>
      </c>
      <c r="AJ415" t="s">
        <v>63</v>
      </c>
      <c r="AK415" t="s">
        <v>63</v>
      </c>
      <c r="AL415" t="s">
        <v>63</v>
      </c>
      <c r="AM415" t="s">
        <v>3794</v>
      </c>
      <c r="AN415" t="s">
        <v>63</v>
      </c>
      <c r="AO415" t="s">
        <v>63</v>
      </c>
      <c r="AP415" t="s">
        <v>63</v>
      </c>
      <c r="AQ415" t="s">
        <v>63</v>
      </c>
      <c r="AR415" t="s">
        <v>63</v>
      </c>
      <c r="AS415" t="s">
        <v>63</v>
      </c>
      <c r="AT415" t="s">
        <v>63</v>
      </c>
      <c r="AU415" t="s">
        <v>63</v>
      </c>
      <c r="AV415" t="s">
        <v>63</v>
      </c>
      <c r="AW415" t="s">
        <v>63</v>
      </c>
      <c r="AX415" t="s">
        <v>63</v>
      </c>
      <c r="AY415" t="s">
        <v>63</v>
      </c>
      <c r="AZ415" t="s">
        <v>63</v>
      </c>
      <c r="BA415" t="s">
        <v>63</v>
      </c>
      <c r="BB415" t="s">
        <v>63</v>
      </c>
      <c r="BC415" t="s">
        <v>63</v>
      </c>
      <c r="BD415" t="s">
        <v>63</v>
      </c>
      <c r="BE415" t="s">
        <v>63</v>
      </c>
      <c r="BF415" t="s">
        <v>63</v>
      </c>
    </row>
    <row r="416" spans="1:58">
      <c r="A416" t="s">
        <v>58</v>
      </c>
      <c r="B416" t="s">
        <v>3795</v>
      </c>
      <c r="C416" t="s">
        <v>3796</v>
      </c>
      <c r="D416" t="s">
        <v>928</v>
      </c>
      <c r="E416" t="s">
        <v>63</v>
      </c>
      <c r="F416">
        <v>2016</v>
      </c>
      <c r="G416" t="s">
        <v>1737</v>
      </c>
      <c r="H416">
        <v>28</v>
      </c>
      <c r="I416">
        <v>3</v>
      </c>
      <c r="J416">
        <v>303</v>
      </c>
      <c r="K416">
        <v>313</v>
      </c>
      <c r="L416" t="s">
        <v>3797</v>
      </c>
      <c r="M416" t="s">
        <v>3798</v>
      </c>
      <c r="N416" t="s">
        <v>3799</v>
      </c>
      <c r="O416" t="s">
        <v>63</v>
      </c>
      <c r="Q416" t="s">
        <v>63</v>
      </c>
      <c r="R416" t="s">
        <v>63</v>
      </c>
      <c r="S416" t="s">
        <v>63</v>
      </c>
      <c r="T416" t="s">
        <v>63</v>
      </c>
      <c r="X416" t="s">
        <v>63</v>
      </c>
      <c r="Y416" t="s">
        <v>3800</v>
      </c>
      <c r="Z416" t="s">
        <v>63</v>
      </c>
      <c r="AA416" t="s">
        <v>3801</v>
      </c>
      <c r="AB416">
        <v>27191587</v>
      </c>
      <c r="AC416" t="s">
        <v>67</v>
      </c>
      <c r="AD416" t="s">
        <v>63</v>
      </c>
      <c r="AE416" t="s">
        <v>63</v>
      </c>
      <c r="AF416" t="s">
        <v>63</v>
      </c>
      <c r="AG416" t="s">
        <v>3802</v>
      </c>
      <c r="AH416" t="s">
        <v>63</v>
      </c>
      <c r="AI416" t="s">
        <v>3803</v>
      </c>
      <c r="AJ416" t="s">
        <v>63</v>
      </c>
      <c r="AK416" t="s">
        <v>63</v>
      </c>
      <c r="AL416" t="s">
        <v>63</v>
      </c>
      <c r="AM416" t="s">
        <v>3804</v>
      </c>
      <c r="AN416" t="s">
        <v>63</v>
      </c>
      <c r="AO416" t="s">
        <v>63</v>
      </c>
      <c r="AP416" t="s">
        <v>63</v>
      </c>
      <c r="AQ416" t="s">
        <v>63</v>
      </c>
      <c r="AR416" t="s">
        <v>63</v>
      </c>
      <c r="AS416" t="s">
        <v>63</v>
      </c>
      <c r="AT416" t="s">
        <v>63</v>
      </c>
      <c r="AU416" t="s">
        <v>63</v>
      </c>
      <c r="AV416" t="s">
        <v>63</v>
      </c>
      <c r="AW416" t="s">
        <v>63</v>
      </c>
      <c r="AX416" t="s">
        <v>63</v>
      </c>
      <c r="AY416" t="s">
        <v>63</v>
      </c>
      <c r="AZ416" t="s">
        <v>63</v>
      </c>
      <c r="BA416" t="s">
        <v>63</v>
      </c>
      <c r="BB416" t="s">
        <v>63</v>
      </c>
      <c r="BC416" t="s">
        <v>63</v>
      </c>
      <c r="BD416" t="s">
        <v>63</v>
      </c>
      <c r="BE416" t="s">
        <v>63</v>
      </c>
      <c r="BF416" t="s">
        <v>63</v>
      </c>
    </row>
    <row r="417" spans="1:58">
      <c r="A417" t="s">
        <v>58</v>
      </c>
      <c r="B417" t="s">
        <v>3805</v>
      </c>
      <c r="C417" t="s">
        <v>3806</v>
      </c>
      <c r="D417" t="s">
        <v>3807</v>
      </c>
      <c r="E417" t="s">
        <v>63</v>
      </c>
      <c r="F417">
        <v>2018</v>
      </c>
      <c r="G417" t="s">
        <v>157</v>
      </c>
      <c r="H417">
        <v>24</v>
      </c>
      <c r="I417">
        <v>1</v>
      </c>
      <c r="J417">
        <v>160</v>
      </c>
      <c r="K417">
        <v>166</v>
      </c>
      <c r="L417" t="s">
        <v>63</v>
      </c>
      <c r="M417" t="s">
        <v>3808</v>
      </c>
      <c r="N417" t="s">
        <v>3809</v>
      </c>
      <c r="O417" t="s">
        <v>63</v>
      </c>
      <c r="Q417" t="s">
        <v>63</v>
      </c>
      <c r="R417" t="s">
        <v>63</v>
      </c>
      <c r="S417" t="s">
        <v>63</v>
      </c>
      <c r="T417" t="s">
        <v>63</v>
      </c>
      <c r="X417" t="s">
        <v>63</v>
      </c>
      <c r="Y417" t="s">
        <v>3810</v>
      </c>
      <c r="Z417" t="s">
        <v>63</v>
      </c>
      <c r="AA417" t="s">
        <v>3811</v>
      </c>
      <c r="AB417">
        <v>29792534</v>
      </c>
      <c r="AC417" t="s">
        <v>67</v>
      </c>
      <c r="AD417" t="s">
        <v>63</v>
      </c>
      <c r="AE417" t="s">
        <v>63</v>
      </c>
      <c r="AF417" t="s">
        <v>63</v>
      </c>
      <c r="AG417" t="s">
        <v>3812</v>
      </c>
      <c r="AH417" t="s">
        <v>63</v>
      </c>
      <c r="AI417" t="s">
        <v>3813</v>
      </c>
      <c r="AJ417" t="s">
        <v>63</v>
      </c>
      <c r="AK417" t="s">
        <v>63</v>
      </c>
      <c r="AL417" t="s">
        <v>63</v>
      </c>
      <c r="AM417" t="s">
        <v>3814</v>
      </c>
      <c r="AN417" t="s">
        <v>63</v>
      </c>
      <c r="AO417" t="s">
        <v>63</v>
      </c>
      <c r="AP417" t="s">
        <v>63</v>
      </c>
      <c r="AQ417" t="s">
        <v>63</v>
      </c>
      <c r="AR417" t="s">
        <v>63</v>
      </c>
      <c r="AS417" t="s">
        <v>63</v>
      </c>
      <c r="AT417" t="s">
        <v>63</v>
      </c>
      <c r="AU417" t="s">
        <v>63</v>
      </c>
      <c r="AV417" t="s">
        <v>63</v>
      </c>
      <c r="AW417" t="s">
        <v>63</v>
      </c>
      <c r="AX417" t="s">
        <v>63</v>
      </c>
      <c r="AY417" t="s">
        <v>63</v>
      </c>
      <c r="AZ417" t="s">
        <v>63</v>
      </c>
      <c r="BA417" t="s">
        <v>63</v>
      </c>
      <c r="BB417" t="s">
        <v>63</v>
      </c>
      <c r="BC417" t="s">
        <v>63</v>
      </c>
      <c r="BD417" t="s">
        <v>63</v>
      </c>
      <c r="BE417" t="s">
        <v>63</v>
      </c>
      <c r="BF417" t="s">
        <v>63</v>
      </c>
    </row>
    <row r="418" spans="1:58">
      <c r="A418" t="s">
        <v>58</v>
      </c>
      <c r="B418" t="s">
        <v>3815</v>
      </c>
      <c r="C418" t="s">
        <v>3816</v>
      </c>
      <c r="D418" t="s">
        <v>3817</v>
      </c>
      <c r="E418" t="s">
        <v>3817</v>
      </c>
      <c r="F418">
        <v>1994</v>
      </c>
      <c r="G418" t="s">
        <v>1717</v>
      </c>
      <c r="H418">
        <v>11</v>
      </c>
      <c r="I418">
        <v>6</v>
      </c>
      <c r="J418">
        <v>483</v>
      </c>
      <c r="K418">
        <v>487</v>
      </c>
      <c r="L418" t="s">
        <v>3818</v>
      </c>
      <c r="M418" t="s">
        <v>3819</v>
      </c>
      <c r="N418" t="s">
        <v>3820</v>
      </c>
      <c r="O418" t="s">
        <v>63</v>
      </c>
      <c r="Q418" t="s">
        <v>63</v>
      </c>
      <c r="R418" t="s">
        <v>63</v>
      </c>
      <c r="S418" t="s">
        <v>63</v>
      </c>
      <c r="T418" t="s">
        <v>63</v>
      </c>
      <c r="X418" t="s">
        <v>63</v>
      </c>
      <c r="Y418" t="s">
        <v>3821</v>
      </c>
      <c r="Z418" t="s">
        <v>63</v>
      </c>
      <c r="AA418" t="s">
        <v>3822</v>
      </c>
      <c r="AB418">
        <v>7865148</v>
      </c>
      <c r="AC418" t="s">
        <v>67</v>
      </c>
      <c r="AD418" t="s">
        <v>63</v>
      </c>
      <c r="AE418" t="s">
        <v>63</v>
      </c>
      <c r="AF418" t="s">
        <v>63</v>
      </c>
      <c r="AG418" t="s">
        <v>3823</v>
      </c>
      <c r="AH418" t="s">
        <v>63</v>
      </c>
      <c r="AI418" t="s">
        <v>63</v>
      </c>
      <c r="AJ418" t="s">
        <v>63</v>
      </c>
      <c r="AK418" t="s">
        <v>63</v>
      </c>
      <c r="AL418" t="s">
        <v>63</v>
      </c>
      <c r="AM418" t="s">
        <v>3824</v>
      </c>
      <c r="AN418" t="s">
        <v>63</v>
      </c>
      <c r="AO418" t="s">
        <v>63</v>
      </c>
      <c r="AP418" t="s">
        <v>63</v>
      </c>
      <c r="AQ418" t="s">
        <v>63</v>
      </c>
      <c r="AR418" t="s">
        <v>63</v>
      </c>
      <c r="AS418" t="s">
        <v>63</v>
      </c>
      <c r="AT418" t="s">
        <v>63</v>
      </c>
      <c r="AU418" t="s">
        <v>63</v>
      </c>
      <c r="AV418" t="s">
        <v>63</v>
      </c>
      <c r="AW418" t="s">
        <v>63</v>
      </c>
      <c r="AX418" t="s">
        <v>63</v>
      </c>
      <c r="AY418" t="s">
        <v>63</v>
      </c>
      <c r="AZ418" t="s">
        <v>63</v>
      </c>
      <c r="BA418" t="s">
        <v>63</v>
      </c>
      <c r="BB418" t="s">
        <v>63</v>
      </c>
      <c r="BC418" t="s">
        <v>63</v>
      </c>
      <c r="BD418" t="s">
        <v>63</v>
      </c>
      <c r="BE418" t="s">
        <v>63</v>
      </c>
      <c r="BF418" t="s">
        <v>63</v>
      </c>
    </row>
    <row r="419" spans="1:58">
      <c r="A419" t="s">
        <v>58</v>
      </c>
      <c r="B419" t="s">
        <v>3825</v>
      </c>
      <c r="C419" t="s">
        <v>3826</v>
      </c>
      <c r="D419" t="s">
        <v>3827</v>
      </c>
      <c r="E419" t="s">
        <v>63</v>
      </c>
      <c r="F419">
        <v>2016</v>
      </c>
      <c r="G419" t="s">
        <v>157</v>
      </c>
      <c r="H419">
        <v>74</v>
      </c>
      <c r="I419">
        <v>12</v>
      </c>
      <c r="J419">
        <v>2351</v>
      </c>
      <c r="K419">
        <v>2358</v>
      </c>
      <c r="L419" t="s">
        <v>3828</v>
      </c>
      <c r="M419" t="s">
        <v>3829</v>
      </c>
      <c r="N419" t="s">
        <v>3830</v>
      </c>
      <c r="O419" t="s">
        <v>63</v>
      </c>
      <c r="Q419" t="s">
        <v>63</v>
      </c>
      <c r="R419" t="s">
        <v>63</v>
      </c>
      <c r="S419" t="s">
        <v>63</v>
      </c>
      <c r="T419" t="s">
        <v>63</v>
      </c>
      <c r="X419" t="s">
        <v>63</v>
      </c>
      <c r="Y419" t="s">
        <v>3831</v>
      </c>
      <c r="Z419" t="s">
        <v>63</v>
      </c>
      <c r="AA419" t="s">
        <v>3832</v>
      </c>
      <c r="AB419">
        <v>27450751</v>
      </c>
      <c r="AC419" t="s">
        <v>67</v>
      </c>
      <c r="AD419" t="s">
        <v>63</v>
      </c>
      <c r="AE419" t="s">
        <v>63</v>
      </c>
      <c r="AF419" t="s">
        <v>63</v>
      </c>
      <c r="AG419" t="s">
        <v>3833</v>
      </c>
      <c r="AH419" t="s">
        <v>63</v>
      </c>
      <c r="AI419" t="s">
        <v>3834</v>
      </c>
      <c r="AJ419" t="s">
        <v>63</v>
      </c>
      <c r="AK419" t="s">
        <v>63</v>
      </c>
      <c r="AL419" t="s">
        <v>63</v>
      </c>
      <c r="AM419" t="s">
        <v>3835</v>
      </c>
      <c r="AN419" t="s">
        <v>63</v>
      </c>
      <c r="AO419" t="s">
        <v>63</v>
      </c>
      <c r="AP419" t="s">
        <v>63</v>
      </c>
      <c r="AQ419" t="s">
        <v>63</v>
      </c>
      <c r="AR419" t="s">
        <v>63</v>
      </c>
      <c r="AS419" t="s">
        <v>63</v>
      </c>
      <c r="AT419" t="s">
        <v>63</v>
      </c>
      <c r="AU419" t="s">
        <v>63</v>
      </c>
      <c r="AV419" t="s">
        <v>63</v>
      </c>
      <c r="AW419" t="s">
        <v>63</v>
      </c>
      <c r="AX419" t="s">
        <v>63</v>
      </c>
      <c r="AY419" t="s">
        <v>63</v>
      </c>
      <c r="AZ419" t="s">
        <v>63</v>
      </c>
      <c r="BA419" t="s">
        <v>63</v>
      </c>
      <c r="BB419" t="s">
        <v>63</v>
      </c>
      <c r="BC419" t="s">
        <v>63</v>
      </c>
      <c r="BD419" t="s">
        <v>63</v>
      </c>
      <c r="BE419" t="s">
        <v>63</v>
      </c>
      <c r="BF419" t="s">
        <v>63</v>
      </c>
    </row>
    <row r="420" spans="1:58">
      <c r="A420" t="s">
        <v>58</v>
      </c>
      <c r="B420" t="s">
        <v>3836</v>
      </c>
      <c r="C420" t="s">
        <v>3837</v>
      </c>
      <c r="D420" t="s">
        <v>389</v>
      </c>
      <c r="E420" t="s">
        <v>63</v>
      </c>
      <c r="F420">
        <v>2005</v>
      </c>
      <c r="G420" t="s">
        <v>157</v>
      </c>
      <c r="H420">
        <v>26</v>
      </c>
      <c r="I420" s="1">
        <v>41701</v>
      </c>
      <c r="J420">
        <v>39</v>
      </c>
      <c r="K420">
        <v>42</v>
      </c>
      <c r="L420" t="s">
        <v>3838</v>
      </c>
      <c r="M420" t="s">
        <v>3839</v>
      </c>
      <c r="N420" t="s">
        <v>3840</v>
      </c>
      <c r="O420" t="s">
        <v>63</v>
      </c>
      <c r="Q420" t="s">
        <v>63</v>
      </c>
      <c r="R420" t="s">
        <v>63</v>
      </c>
      <c r="S420" t="s">
        <v>63</v>
      </c>
      <c r="T420" t="s">
        <v>63</v>
      </c>
      <c r="X420" t="s">
        <v>63</v>
      </c>
      <c r="Y420" t="s">
        <v>392</v>
      </c>
      <c r="Z420" t="s">
        <v>63</v>
      </c>
      <c r="AA420" t="s">
        <v>3841</v>
      </c>
      <c r="AB420">
        <v>16837412</v>
      </c>
      <c r="AC420" t="s">
        <v>67</v>
      </c>
      <c r="AD420" t="s">
        <v>63</v>
      </c>
      <c r="AE420" t="s">
        <v>63</v>
      </c>
      <c r="AF420" t="s">
        <v>63</v>
      </c>
      <c r="AG420" t="s">
        <v>3842</v>
      </c>
      <c r="AH420" t="s">
        <v>63</v>
      </c>
      <c r="AI420" t="s">
        <v>63</v>
      </c>
      <c r="AJ420" t="s">
        <v>63</v>
      </c>
      <c r="AK420" t="s">
        <v>63</v>
      </c>
      <c r="AL420" t="s">
        <v>63</v>
      </c>
      <c r="AM420" t="s">
        <v>3843</v>
      </c>
      <c r="AN420" t="s">
        <v>63</v>
      </c>
      <c r="AO420" t="s">
        <v>63</v>
      </c>
      <c r="AP420" t="s">
        <v>63</v>
      </c>
      <c r="AQ420" t="s">
        <v>63</v>
      </c>
      <c r="AR420" t="s">
        <v>63</v>
      </c>
      <c r="AS420" t="s">
        <v>63</v>
      </c>
      <c r="AT420" t="s">
        <v>63</v>
      </c>
      <c r="AU420" t="s">
        <v>63</v>
      </c>
      <c r="AV420" t="s">
        <v>63</v>
      </c>
      <c r="AW420" t="s">
        <v>63</v>
      </c>
      <c r="AX420" t="s">
        <v>63</v>
      </c>
      <c r="AY420" t="s">
        <v>63</v>
      </c>
      <c r="AZ420" t="s">
        <v>63</v>
      </c>
      <c r="BA420" t="s">
        <v>63</v>
      </c>
      <c r="BB420" t="s">
        <v>63</v>
      </c>
      <c r="BC420" t="s">
        <v>63</v>
      </c>
      <c r="BD420" t="s">
        <v>63</v>
      </c>
      <c r="BE420" t="s">
        <v>63</v>
      </c>
      <c r="BF420" t="s">
        <v>63</v>
      </c>
    </row>
    <row r="421" spans="1:58">
      <c r="A421" t="s">
        <v>58</v>
      </c>
      <c r="B421" t="s">
        <v>3844</v>
      </c>
      <c r="C421" t="s">
        <v>3845</v>
      </c>
      <c r="D421" t="s">
        <v>1212</v>
      </c>
      <c r="E421" t="s">
        <v>63</v>
      </c>
      <c r="F421">
        <v>2012</v>
      </c>
      <c r="G421" t="s">
        <v>73</v>
      </c>
      <c r="H421">
        <v>6</v>
      </c>
      <c r="I421">
        <v>2</v>
      </c>
      <c r="J421">
        <v>159</v>
      </c>
      <c r="K421">
        <v>165</v>
      </c>
      <c r="L421" t="s">
        <v>3846</v>
      </c>
      <c r="M421" t="s">
        <v>3847</v>
      </c>
      <c r="N421" t="s">
        <v>3848</v>
      </c>
      <c r="O421" t="s">
        <v>63</v>
      </c>
      <c r="Q421" t="s">
        <v>63</v>
      </c>
      <c r="R421" t="s">
        <v>63</v>
      </c>
      <c r="S421" t="s">
        <v>63</v>
      </c>
      <c r="T421" t="s">
        <v>63</v>
      </c>
      <c r="X421" t="s">
        <v>63</v>
      </c>
      <c r="Y421" t="s">
        <v>1216</v>
      </c>
      <c r="Z421" t="s">
        <v>63</v>
      </c>
      <c r="AA421" t="s">
        <v>3849</v>
      </c>
      <c r="AB421">
        <v>22367499</v>
      </c>
      <c r="AC421" t="s">
        <v>67</v>
      </c>
      <c r="AD421" t="s">
        <v>63</v>
      </c>
      <c r="AE421" t="s">
        <v>63</v>
      </c>
      <c r="AF421" t="s">
        <v>63</v>
      </c>
      <c r="AG421" t="s">
        <v>3850</v>
      </c>
      <c r="AH421" t="s">
        <v>63</v>
      </c>
      <c r="AI421" t="s">
        <v>3851</v>
      </c>
      <c r="AJ421" t="s">
        <v>63</v>
      </c>
      <c r="AK421" t="s">
        <v>63</v>
      </c>
      <c r="AL421" t="s">
        <v>63</v>
      </c>
      <c r="AM421" t="s">
        <v>3852</v>
      </c>
      <c r="AN421" t="s">
        <v>63</v>
      </c>
      <c r="AO421" t="s">
        <v>63</v>
      </c>
      <c r="AP421" t="s">
        <v>63</v>
      </c>
      <c r="AQ421" t="s">
        <v>63</v>
      </c>
      <c r="AR421" t="s">
        <v>63</v>
      </c>
      <c r="AS421" t="s">
        <v>63</v>
      </c>
      <c r="AT421" t="s">
        <v>63</v>
      </c>
      <c r="AU421" t="s">
        <v>63</v>
      </c>
      <c r="AV421" t="s">
        <v>63</v>
      </c>
      <c r="AW421" t="s">
        <v>63</v>
      </c>
      <c r="AX421" t="s">
        <v>63</v>
      </c>
      <c r="AY421" t="s">
        <v>63</v>
      </c>
      <c r="AZ421" t="s">
        <v>63</v>
      </c>
      <c r="BA421" t="s">
        <v>63</v>
      </c>
      <c r="BB421" t="s">
        <v>63</v>
      </c>
      <c r="BC421" t="s">
        <v>63</v>
      </c>
      <c r="BD421" t="s">
        <v>63</v>
      </c>
      <c r="BE421" t="s">
        <v>63</v>
      </c>
      <c r="BF421" t="s">
        <v>63</v>
      </c>
    </row>
    <row r="422" spans="1:58">
      <c r="A422" t="s">
        <v>58</v>
      </c>
      <c r="B422" t="s">
        <v>3853</v>
      </c>
      <c r="C422" t="s">
        <v>3854</v>
      </c>
      <c r="D422" t="s">
        <v>325</v>
      </c>
      <c r="E422" t="s">
        <v>63</v>
      </c>
      <c r="F422">
        <v>2016</v>
      </c>
      <c r="G422" t="s">
        <v>73</v>
      </c>
      <c r="H422">
        <v>40</v>
      </c>
      <c r="I422">
        <v>3</v>
      </c>
      <c r="J422">
        <v>489</v>
      </c>
      <c r="K422">
        <v>493</v>
      </c>
      <c r="L422" t="s">
        <v>3855</v>
      </c>
      <c r="M422" t="s">
        <v>3856</v>
      </c>
      <c r="N422" t="s">
        <v>3857</v>
      </c>
      <c r="O422" t="s">
        <v>63</v>
      </c>
      <c r="Q422" t="s">
        <v>63</v>
      </c>
      <c r="R422" t="s">
        <v>63</v>
      </c>
      <c r="S422" t="s">
        <v>63</v>
      </c>
      <c r="T422" t="s">
        <v>63</v>
      </c>
      <c r="X422" t="s">
        <v>63</v>
      </c>
      <c r="Y422" t="s">
        <v>330</v>
      </c>
      <c r="Z422" t="s">
        <v>63</v>
      </c>
      <c r="AA422" t="s">
        <v>3858</v>
      </c>
      <c r="AB422">
        <v>26626792</v>
      </c>
      <c r="AC422" t="s">
        <v>67</v>
      </c>
      <c r="AD422" t="s">
        <v>63</v>
      </c>
      <c r="AE422" t="s">
        <v>63</v>
      </c>
      <c r="AF422" t="s">
        <v>63</v>
      </c>
      <c r="AG422" t="s">
        <v>3859</v>
      </c>
      <c r="AH422" t="s">
        <v>63</v>
      </c>
      <c r="AI422" t="s">
        <v>3860</v>
      </c>
      <c r="AJ422" t="s">
        <v>63</v>
      </c>
      <c r="AK422" t="s">
        <v>63</v>
      </c>
      <c r="AL422" t="s">
        <v>63</v>
      </c>
      <c r="AM422" t="s">
        <v>3861</v>
      </c>
      <c r="AN422" t="s">
        <v>63</v>
      </c>
      <c r="AO422" t="s">
        <v>63</v>
      </c>
      <c r="AP422" t="s">
        <v>63</v>
      </c>
      <c r="AQ422" t="s">
        <v>63</v>
      </c>
      <c r="AR422" t="s">
        <v>63</v>
      </c>
      <c r="AS422" t="s">
        <v>63</v>
      </c>
      <c r="AT422" t="s">
        <v>63</v>
      </c>
      <c r="AU422" t="s">
        <v>63</v>
      </c>
      <c r="AV422" t="s">
        <v>63</v>
      </c>
      <c r="AW422" t="s">
        <v>63</v>
      </c>
      <c r="AX422" t="s">
        <v>63</v>
      </c>
      <c r="AY422" t="s">
        <v>63</v>
      </c>
      <c r="AZ422" t="s">
        <v>63</v>
      </c>
      <c r="BA422" t="s">
        <v>63</v>
      </c>
      <c r="BB422" t="s">
        <v>63</v>
      </c>
      <c r="BC422" t="s">
        <v>63</v>
      </c>
      <c r="BD422" t="s">
        <v>63</v>
      </c>
      <c r="BE422" t="s">
        <v>63</v>
      </c>
      <c r="BF422" t="s">
        <v>63</v>
      </c>
    </row>
    <row r="423" spans="1:58">
      <c r="A423" t="s">
        <v>58</v>
      </c>
      <c r="B423" t="s">
        <v>3862</v>
      </c>
      <c r="C423" t="s">
        <v>3863</v>
      </c>
      <c r="D423" t="s">
        <v>1481</v>
      </c>
      <c r="E423" t="s">
        <v>1481</v>
      </c>
      <c r="F423">
        <v>2008</v>
      </c>
      <c r="G423" t="s">
        <v>157</v>
      </c>
      <c r="H423">
        <v>103</v>
      </c>
      <c r="I423">
        <v>12</v>
      </c>
      <c r="J423">
        <v>1939</v>
      </c>
      <c r="K423">
        <v>1947</v>
      </c>
      <c r="L423" t="s">
        <v>3864</v>
      </c>
      <c r="M423" t="s">
        <v>3865</v>
      </c>
      <c r="N423" t="s">
        <v>3866</v>
      </c>
      <c r="O423" t="s">
        <v>63</v>
      </c>
      <c r="Q423" t="s">
        <v>63</v>
      </c>
      <c r="R423" t="s">
        <v>63</v>
      </c>
      <c r="S423" t="s">
        <v>63</v>
      </c>
      <c r="T423" t="s">
        <v>63</v>
      </c>
      <c r="X423" t="s">
        <v>63</v>
      </c>
      <c r="Y423" t="s">
        <v>1484</v>
      </c>
      <c r="Z423" t="s">
        <v>63</v>
      </c>
      <c r="AA423" t="s">
        <v>3867</v>
      </c>
      <c r="AB423">
        <v>18727683</v>
      </c>
      <c r="AC423" t="s">
        <v>67</v>
      </c>
      <c r="AD423" t="s">
        <v>63</v>
      </c>
      <c r="AE423" t="s">
        <v>63</v>
      </c>
      <c r="AF423" t="s">
        <v>63</v>
      </c>
      <c r="AG423" t="s">
        <v>3868</v>
      </c>
      <c r="AH423" t="s">
        <v>63</v>
      </c>
      <c r="AI423" t="s">
        <v>3869</v>
      </c>
      <c r="AJ423" t="s">
        <v>63</v>
      </c>
      <c r="AK423" t="s">
        <v>63</v>
      </c>
      <c r="AL423" t="s">
        <v>63</v>
      </c>
      <c r="AM423" t="s">
        <v>3870</v>
      </c>
      <c r="AN423" t="s">
        <v>63</v>
      </c>
      <c r="AO423" t="s">
        <v>63</v>
      </c>
      <c r="AP423" t="s">
        <v>63</v>
      </c>
      <c r="AQ423" t="s">
        <v>63</v>
      </c>
      <c r="AR423" t="s">
        <v>63</v>
      </c>
      <c r="AS423" t="s">
        <v>63</v>
      </c>
      <c r="AT423" t="s">
        <v>63</v>
      </c>
      <c r="AU423" t="s">
        <v>63</v>
      </c>
      <c r="AV423" t="s">
        <v>63</v>
      </c>
      <c r="AW423" t="s">
        <v>63</v>
      </c>
      <c r="AX423" t="s">
        <v>63</v>
      </c>
      <c r="AY423" t="s">
        <v>63</v>
      </c>
      <c r="AZ423" t="s">
        <v>63</v>
      </c>
      <c r="BA423" t="s">
        <v>63</v>
      </c>
      <c r="BB423" t="s">
        <v>63</v>
      </c>
      <c r="BC423" t="s">
        <v>63</v>
      </c>
      <c r="BD423" t="s">
        <v>63</v>
      </c>
      <c r="BE423" t="s">
        <v>63</v>
      </c>
      <c r="BF423" t="s">
        <v>63</v>
      </c>
    </row>
    <row r="424" spans="1:58">
      <c r="A424" t="s">
        <v>58</v>
      </c>
      <c r="B424" t="s">
        <v>3871</v>
      </c>
      <c r="C424" t="s">
        <v>3872</v>
      </c>
      <c r="D424" t="s">
        <v>371</v>
      </c>
      <c r="E424" t="s">
        <v>63</v>
      </c>
      <c r="F424">
        <v>2010</v>
      </c>
      <c r="G424" t="s">
        <v>181</v>
      </c>
      <c r="H424">
        <v>25</v>
      </c>
      <c r="I424">
        <v>9</v>
      </c>
      <c r="J424">
        <v>936</v>
      </c>
      <c r="K424">
        <v>941</v>
      </c>
      <c r="L424" t="s">
        <v>3873</v>
      </c>
      <c r="M424" t="s">
        <v>3874</v>
      </c>
      <c r="N424" t="s">
        <v>3875</v>
      </c>
      <c r="O424" t="s">
        <v>63</v>
      </c>
      <c r="Q424" t="s">
        <v>63</v>
      </c>
      <c r="R424" t="s">
        <v>63</v>
      </c>
      <c r="S424" t="s">
        <v>63</v>
      </c>
      <c r="T424" t="s">
        <v>63</v>
      </c>
      <c r="X424" t="s">
        <v>63</v>
      </c>
      <c r="Y424" t="s">
        <v>547</v>
      </c>
      <c r="Z424" t="s">
        <v>63</v>
      </c>
      <c r="AA424" t="s">
        <v>3876</v>
      </c>
      <c r="AB424">
        <v>20458550</v>
      </c>
      <c r="AC424" t="s">
        <v>67</v>
      </c>
      <c r="AD424" t="s">
        <v>63</v>
      </c>
      <c r="AE424" t="s">
        <v>63</v>
      </c>
      <c r="AF424" t="s">
        <v>63</v>
      </c>
      <c r="AG424" t="s">
        <v>3877</v>
      </c>
      <c r="AH424" t="s">
        <v>63</v>
      </c>
      <c r="AI424" t="s">
        <v>3878</v>
      </c>
      <c r="AJ424" t="s">
        <v>63</v>
      </c>
      <c r="AK424" t="s">
        <v>63</v>
      </c>
      <c r="AL424" t="s">
        <v>63</v>
      </c>
      <c r="AM424" t="s">
        <v>3879</v>
      </c>
      <c r="AN424" t="s">
        <v>63</v>
      </c>
      <c r="AO424" t="s">
        <v>63</v>
      </c>
      <c r="AP424" t="s">
        <v>63</v>
      </c>
      <c r="AQ424" t="s">
        <v>63</v>
      </c>
      <c r="AR424" t="s">
        <v>63</v>
      </c>
      <c r="AS424" t="s">
        <v>63</v>
      </c>
      <c r="AT424" t="s">
        <v>63</v>
      </c>
      <c r="AU424" t="s">
        <v>63</v>
      </c>
      <c r="AV424" t="s">
        <v>63</v>
      </c>
      <c r="AW424" t="s">
        <v>63</v>
      </c>
      <c r="AX424" t="s">
        <v>63</v>
      </c>
      <c r="AY424" t="s">
        <v>63</v>
      </c>
      <c r="AZ424" t="s">
        <v>63</v>
      </c>
      <c r="BA424" t="s">
        <v>63</v>
      </c>
      <c r="BB424" t="s">
        <v>63</v>
      </c>
      <c r="BC424" t="s">
        <v>63</v>
      </c>
      <c r="BD424" t="s">
        <v>63</v>
      </c>
      <c r="BE424" t="s">
        <v>63</v>
      </c>
      <c r="BF424" t="s">
        <v>63</v>
      </c>
    </row>
    <row r="425" spans="1:58">
      <c r="A425" t="s">
        <v>58</v>
      </c>
      <c r="B425" t="s">
        <v>3880</v>
      </c>
      <c r="C425" t="s">
        <v>3881</v>
      </c>
      <c r="D425" t="s">
        <v>790</v>
      </c>
      <c r="E425" t="s">
        <v>791</v>
      </c>
      <c r="F425">
        <v>2018</v>
      </c>
      <c r="G425" s="1">
        <v>41726</v>
      </c>
      <c r="H425" t="s">
        <v>63</v>
      </c>
      <c r="I425" t="s">
        <v>63</v>
      </c>
      <c r="J425">
        <v>29</v>
      </c>
      <c r="K425" t="s">
        <v>63</v>
      </c>
      <c r="L425" t="s">
        <v>63</v>
      </c>
      <c r="M425" t="s">
        <v>3882</v>
      </c>
      <c r="N425" t="s">
        <v>3883</v>
      </c>
      <c r="O425" t="s">
        <v>63</v>
      </c>
      <c r="Q425" t="s">
        <v>63</v>
      </c>
      <c r="R425" t="s">
        <v>63</v>
      </c>
      <c r="S425" t="s">
        <v>63</v>
      </c>
      <c r="T425" t="s">
        <v>63</v>
      </c>
      <c r="X425" t="s">
        <v>63</v>
      </c>
      <c r="Y425" t="s">
        <v>2397</v>
      </c>
      <c r="Z425" t="s">
        <v>63</v>
      </c>
      <c r="AA425" t="s">
        <v>3884</v>
      </c>
      <c r="AB425">
        <v>29631797</v>
      </c>
      <c r="AC425" t="s">
        <v>67</v>
      </c>
      <c r="AD425" t="s">
        <v>63</v>
      </c>
      <c r="AE425" t="s">
        <v>63</v>
      </c>
      <c r="AF425" t="s">
        <v>63</v>
      </c>
      <c r="AG425" t="s">
        <v>3885</v>
      </c>
      <c r="AH425" t="s">
        <v>63</v>
      </c>
      <c r="AI425" t="s">
        <v>3886</v>
      </c>
      <c r="AJ425" t="s">
        <v>63</v>
      </c>
      <c r="AK425" t="s">
        <v>63</v>
      </c>
      <c r="AL425" t="s">
        <v>63</v>
      </c>
      <c r="AM425" t="s">
        <v>3887</v>
      </c>
      <c r="AN425" t="s">
        <v>63</v>
      </c>
      <c r="AO425" t="s">
        <v>63</v>
      </c>
      <c r="AP425" t="s">
        <v>63</v>
      </c>
      <c r="AQ425" t="s">
        <v>63</v>
      </c>
      <c r="AR425" t="s">
        <v>63</v>
      </c>
      <c r="AS425" t="s">
        <v>63</v>
      </c>
      <c r="AT425" t="s">
        <v>63</v>
      </c>
      <c r="AU425" t="s">
        <v>63</v>
      </c>
      <c r="AV425" t="s">
        <v>63</v>
      </c>
      <c r="AW425" t="s">
        <v>63</v>
      </c>
      <c r="AX425" t="s">
        <v>63</v>
      </c>
      <c r="AY425" t="s">
        <v>63</v>
      </c>
      <c r="AZ425" t="s">
        <v>63</v>
      </c>
      <c r="BA425" t="s">
        <v>63</v>
      </c>
      <c r="BB425" t="s">
        <v>63</v>
      </c>
      <c r="BC425" t="s">
        <v>63</v>
      </c>
      <c r="BD425" t="s">
        <v>63</v>
      </c>
      <c r="BE425" t="s">
        <v>63</v>
      </c>
      <c r="BF425" t="s">
        <v>63</v>
      </c>
    </row>
    <row r="426" spans="1:58">
      <c r="A426" t="s">
        <v>58</v>
      </c>
      <c r="B426" t="s">
        <v>3888</v>
      </c>
      <c r="C426" t="s">
        <v>3889</v>
      </c>
      <c r="D426" t="s">
        <v>3890</v>
      </c>
      <c r="E426" t="s">
        <v>3891</v>
      </c>
      <c r="F426">
        <v>1974</v>
      </c>
      <c r="G426" t="s">
        <v>63</v>
      </c>
      <c r="H426">
        <v>9</v>
      </c>
      <c r="I426">
        <v>1</v>
      </c>
      <c r="J426">
        <v>81</v>
      </c>
      <c r="K426">
        <v>99</v>
      </c>
      <c r="L426" t="s">
        <v>3892</v>
      </c>
      <c r="M426" t="s">
        <v>63</v>
      </c>
      <c r="N426" t="s">
        <v>3893</v>
      </c>
      <c r="O426" t="s">
        <v>63</v>
      </c>
      <c r="Q426" t="s">
        <v>63</v>
      </c>
      <c r="R426" t="s">
        <v>63</v>
      </c>
      <c r="S426" t="s">
        <v>63</v>
      </c>
      <c r="T426" t="s">
        <v>63</v>
      </c>
      <c r="X426" t="s">
        <v>63</v>
      </c>
      <c r="Y426" t="s">
        <v>3894</v>
      </c>
      <c r="Z426" t="s">
        <v>63</v>
      </c>
      <c r="AA426" t="s">
        <v>63</v>
      </c>
      <c r="AB426">
        <v>4412869</v>
      </c>
      <c r="AC426" t="s">
        <v>67</v>
      </c>
      <c r="AD426" t="s">
        <v>63</v>
      </c>
      <c r="AE426" t="s">
        <v>63</v>
      </c>
      <c r="AF426" t="s">
        <v>63</v>
      </c>
      <c r="AG426" t="s">
        <v>3895</v>
      </c>
      <c r="AH426" t="s">
        <v>63</v>
      </c>
      <c r="AI426" t="s">
        <v>63</v>
      </c>
      <c r="AJ426" t="s">
        <v>63</v>
      </c>
      <c r="AK426" t="s">
        <v>63</v>
      </c>
      <c r="AL426" t="s">
        <v>63</v>
      </c>
      <c r="AM426" t="s">
        <v>3896</v>
      </c>
      <c r="AN426" t="s">
        <v>63</v>
      </c>
      <c r="AO426" t="s">
        <v>63</v>
      </c>
      <c r="AP426" t="s">
        <v>63</v>
      </c>
      <c r="AQ426" t="s">
        <v>63</v>
      </c>
      <c r="AR426" t="s">
        <v>63</v>
      </c>
      <c r="AS426" t="s">
        <v>63</v>
      </c>
      <c r="AT426" t="s">
        <v>63</v>
      </c>
      <c r="AU426" t="s">
        <v>63</v>
      </c>
      <c r="AV426" t="s">
        <v>63</v>
      </c>
      <c r="AW426" t="s">
        <v>63</v>
      </c>
      <c r="AX426" t="s">
        <v>63</v>
      </c>
      <c r="AY426" t="s">
        <v>63</v>
      </c>
      <c r="AZ426" t="s">
        <v>63</v>
      </c>
      <c r="BA426" t="s">
        <v>63</v>
      </c>
      <c r="BB426" t="s">
        <v>63</v>
      </c>
      <c r="BC426" t="s">
        <v>63</v>
      </c>
      <c r="BD426" t="s">
        <v>63</v>
      </c>
      <c r="BE426" t="s">
        <v>63</v>
      </c>
      <c r="BF426" t="s">
        <v>63</v>
      </c>
    </row>
    <row r="427" spans="1:58">
      <c r="A427" t="s">
        <v>58</v>
      </c>
      <c r="B427" t="s">
        <v>3897</v>
      </c>
      <c r="C427" t="s">
        <v>3898</v>
      </c>
      <c r="D427" t="s">
        <v>3890</v>
      </c>
      <c r="E427" t="s">
        <v>3891</v>
      </c>
      <c r="F427">
        <v>1970</v>
      </c>
      <c r="G427" t="s">
        <v>73</v>
      </c>
      <c r="H427">
        <v>5</v>
      </c>
      <c r="I427">
        <v>2</v>
      </c>
      <c r="J427">
        <v>295</v>
      </c>
      <c r="K427">
        <v>312</v>
      </c>
      <c r="L427" t="s">
        <v>3899</v>
      </c>
      <c r="M427" t="s">
        <v>63</v>
      </c>
      <c r="N427" t="s">
        <v>3900</v>
      </c>
      <c r="O427" t="s">
        <v>63</v>
      </c>
      <c r="Q427" t="s">
        <v>63</v>
      </c>
      <c r="R427" t="s">
        <v>63</v>
      </c>
      <c r="S427" t="s">
        <v>63</v>
      </c>
      <c r="T427" t="s">
        <v>63</v>
      </c>
      <c r="X427" t="s">
        <v>63</v>
      </c>
      <c r="Y427" t="s">
        <v>3894</v>
      </c>
      <c r="Z427" t="s">
        <v>63</v>
      </c>
      <c r="AA427" t="s">
        <v>63</v>
      </c>
      <c r="AB427">
        <v>5535634</v>
      </c>
      <c r="AC427" t="s">
        <v>67</v>
      </c>
      <c r="AD427" t="s">
        <v>63</v>
      </c>
      <c r="AE427" t="s">
        <v>63</v>
      </c>
      <c r="AF427" t="s">
        <v>63</v>
      </c>
      <c r="AG427" t="s">
        <v>3901</v>
      </c>
      <c r="AH427" t="s">
        <v>63</v>
      </c>
      <c r="AI427" t="s">
        <v>63</v>
      </c>
      <c r="AJ427" t="s">
        <v>63</v>
      </c>
      <c r="AK427" t="s">
        <v>63</v>
      </c>
      <c r="AL427" t="s">
        <v>63</v>
      </c>
      <c r="AM427" t="s">
        <v>3902</v>
      </c>
      <c r="AN427" t="s">
        <v>63</v>
      </c>
      <c r="AO427" t="s">
        <v>63</v>
      </c>
      <c r="AP427" t="s">
        <v>63</v>
      </c>
      <c r="AQ427" t="s">
        <v>63</v>
      </c>
      <c r="AR427" t="s">
        <v>63</v>
      </c>
      <c r="AS427" t="s">
        <v>63</v>
      </c>
      <c r="AT427" t="s">
        <v>63</v>
      </c>
      <c r="AU427" t="s">
        <v>63</v>
      </c>
      <c r="AV427" t="s">
        <v>63</v>
      </c>
      <c r="AW427" t="s">
        <v>63</v>
      </c>
      <c r="AX427" t="s">
        <v>63</v>
      </c>
      <c r="AY427" t="s">
        <v>63</v>
      </c>
      <c r="AZ427" t="s">
        <v>63</v>
      </c>
      <c r="BA427" t="s">
        <v>63</v>
      </c>
      <c r="BB427" t="s">
        <v>63</v>
      </c>
      <c r="BC427" t="s">
        <v>63</v>
      </c>
      <c r="BD427" t="s">
        <v>63</v>
      </c>
      <c r="BE427" t="s">
        <v>63</v>
      </c>
      <c r="BF427" t="s">
        <v>63</v>
      </c>
    </row>
    <row r="428" spans="1:58">
      <c r="A428" t="s">
        <v>58</v>
      </c>
      <c r="B428" t="s">
        <v>3903</v>
      </c>
      <c r="C428" t="s">
        <v>3904</v>
      </c>
      <c r="D428" t="s">
        <v>1633</v>
      </c>
      <c r="E428" t="s">
        <v>63</v>
      </c>
      <c r="F428">
        <v>2014</v>
      </c>
      <c r="G428" t="s">
        <v>1114</v>
      </c>
      <c r="H428">
        <v>26</v>
      </c>
      <c r="I428">
        <v>3</v>
      </c>
      <c r="J428">
        <v>385</v>
      </c>
      <c r="K428">
        <v>391</v>
      </c>
      <c r="L428" t="s">
        <v>3905</v>
      </c>
      <c r="M428" t="s">
        <v>3906</v>
      </c>
      <c r="N428" t="s">
        <v>3907</v>
      </c>
      <c r="O428" t="s">
        <v>63</v>
      </c>
      <c r="Q428" t="s">
        <v>63</v>
      </c>
      <c r="R428" t="s">
        <v>63</v>
      </c>
      <c r="S428" t="s">
        <v>63</v>
      </c>
      <c r="T428" t="s">
        <v>63</v>
      </c>
      <c r="X428" t="s">
        <v>63</v>
      </c>
      <c r="Y428" t="s">
        <v>1636</v>
      </c>
      <c r="Z428" t="s">
        <v>63</v>
      </c>
      <c r="AA428" t="s">
        <v>63</v>
      </c>
      <c r="AB428">
        <v>25291887</v>
      </c>
      <c r="AC428" t="s">
        <v>1371</v>
      </c>
      <c r="AD428" t="s">
        <v>63</v>
      </c>
      <c r="AE428" t="s">
        <v>63</v>
      </c>
      <c r="AF428" t="s">
        <v>63</v>
      </c>
      <c r="AG428" t="s">
        <v>3908</v>
      </c>
      <c r="AH428" t="s">
        <v>63</v>
      </c>
      <c r="AI428" t="s">
        <v>63</v>
      </c>
      <c r="AJ428" t="s">
        <v>63</v>
      </c>
      <c r="AK428" t="s">
        <v>63</v>
      </c>
      <c r="AL428" t="s">
        <v>63</v>
      </c>
      <c r="AM428" t="s">
        <v>3909</v>
      </c>
      <c r="AN428" t="s">
        <v>63</v>
      </c>
      <c r="AO428" t="s">
        <v>63</v>
      </c>
      <c r="AP428" t="s">
        <v>63</v>
      </c>
      <c r="AQ428" t="s">
        <v>63</v>
      </c>
      <c r="AR428" t="s">
        <v>63</v>
      </c>
      <c r="AS428" t="s">
        <v>63</v>
      </c>
      <c r="AT428" t="s">
        <v>63</v>
      </c>
      <c r="AU428" t="s">
        <v>63</v>
      </c>
      <c r="AV428" t="s">
        <v>63</v>
      </c>
      <c r="AW428" t="s">
        <v>63</v>
      </c>
      <c r="AX428" t="s">
        <v>63</v>
      </c>
      <c r="AY428" t="s">
        <v>63</v>
      </c>
      <c r="AZ428" t="s">
        <v>63</v>
      </c>
      <c r="BA428" t="s">
        <v>63</v>
      </c>
      <c r="BB428" t="s">
        <v>63</v>
      </c>
      <c r="BC428" t="s">
        <v>63</v>
      </c>
      <c r="BD428" t="s">
        <v>63</v>
      </c>
      <c r="BE428" t="s">
        <v>63</v>
      </c>
      <c r="BF428" t="s">
        <v>63</v>
      </c>
    </row>
    <row r="429" spans="1:58">
      <c r="A429" t="s">
        <v>58</v>
      </c>
      <c r="B429" t="s">
        <v>3910</v>
      </c>
      <c r="C429" t="s">
        <v>3911</v>
      </c>
      <c r="D429" t="s">
        <v>3912</v>
      </c>
      <c r="E429" t="s">
        <v>3913</v>
      </c>
      <c r="F429">
        <v>2017</v>
      </c>
      <c r="G429" t="s">
        <v>73</v>
      </c>
      <c r="H429">
        <v>81</v>
      </c>
      <c r="I429">
        <v>5</v>
      </c>
      <c r="J429">
        <v>91</v>
      </c>
      <c r="K429" t="s">
        <v>63</v>
      </c>
      <c r="L429" t="s">
        <v>3914</v>
      </c>
      <c r="M429" t="s">
        <v>3915</v>
      </c>
      <c r="N429" t="s">
        <v>3916</v>
      </c>
      <c r="O429" t="s">
        <v>63</v>
      </c>
      <c r="Q429" t="s">
        <v>63</v>
      </c>
      <c r="R429" t="s">
        <v>63</v>
      </c>
      <c r="S429" t="s">
        <v>63</v>
      </c>
      <c r="T429" t="s">
        <v>63</v>
      </c>
      <c r="X429" t="s">
        <v>63</v>
      </c>
      <c r="Y429" t="s">
        <v>3917</v>
      </c>
      <c r="Z429" t="s">
        <v>63</v>
      </c>
      <c r="AA429" t="s">
        <v>3918</v>
      </c>
      <c r="AB429">
        <v>28720919</v>
      </c>
      <c r="AC429" t="s">
        <v>67</v>
      </c>
      <c r="AD429" t="s">
        <v>63</v>
      </c>
      <c r="AE429" t="s">
        <v>63</v>
      </c>
      <c r="AF429" t="s">
        <v>63</v>
      </c>
      <c r="AG429" t="s">
        <v>3919</v>
      </c>
      <c r="AH429" t="s">
        <v>63</v>
      </c>
      <c r="AI429" t="s">
        <v>3920</v>
      </c>
      <c r="AJ429" t="s">
        <v>63</v>
      </c>
      <c r="AK429" t="s">
        <v>63</v>
      </c>
      <c r="AL429" t="s">
        <v>63</v>
      </c>
      <c r="AM429" t="s">
        <v>3921</v>
      </c>
      <c r="AN429" t="s">
        <v>63</v>
      </c>
      <c r="AO429" t="s">
        <v>63</v>
      </c>
      <c r="AP429" t="s">
        <v>63</v>
      </c>
      <c r="AQ429" t="s">
        <v>63</v>
      </c>
      <c r="AR429" t="s">
        <v>63</v>
      </c>
      <c r="AS429" t="s">
        <v>63</v>
      </c>
      <c r="AT429" t="s">
        <v>63</v>
      </c>
      <c r="AU429" t="s">
        <v>63</v>
      </c>
      <c r="AV429" t="s">
        <v>63</v>
      </c>
      <c r="AW429" t="s">
        <v>63</v>
      </c>
      <c r="AX429" t="s">
        <v>63</v>
      </c>
      <c r="AY429" t="s">
        <v>63</v>
      </c>
      <c r="AZ429" t="s">
        <v>63</v>
      </c>
      <c r="BA429" t="s">
        <v>63</v>
      </c>
      <c r="BB429" t="s">
        <v>63</v>
      </c>
      <c r="BC429" t="s">
        <v>63</v>
      </c>
      <c r="BD429" t="s">
        <v>63</v>
      </c>
      <c r="BE429" t="s">
        <v>63</v>
      </c>
      <c r="BF429" t="s">
        <v>63</v>
      </c>
    </row>
    <row r="430" spans="1:58">
      <c r="A430" t="s">
        <v>58</v>
      </c>
      <c r="B430" t="s">
        <v>3922</v>
      </c>
      <c r="C430" t="s">
        <v>3923</v>
      </c>
      <c r="D430" t="s">
        <v>1293</v>
      </c>
      <c r="E430" t="s">
        <v>1294</v>
      </c>
      <c r="F430">
        <v>2002</v>
      </c>
      <c r="G430" t="s">
        <v>73</v>
      </c>
      <c r="H430">
        <v>34</v>
      </c>
      <c r="I430">
        <v>6</v>
      </c>
      <c r="J430">
        <v>426</v>
      </c>
      <c r="K430">
        <v>427</v>
      </c>
      <c r="L430" t="s">
        <v>3924</v>
      </c>
      <c r="M430" t="s">
        <v>63</v>
      </c>
      <c r="N430" t="s">
        <v>3925</v>
      </c>
      <c r="O430" t="s">
        <v>63</v>
      </c>
      <c r="Q430" t="s">
        <v>63</v>
      </c>
      <c r="R430" t="s">
        <v>63</v>
      </c>
      <c r="S430" t="s">
        <v>63</v>
      </c>
      <c r="T430" t="s">
        <v>63</v>
      </c>
      <c r="X430" t="s">
        <v>63</v>
      </c>
      <c r="Y430" t="s">
        <v>1297</v>
      </c>
      <c r="Z430" t="s">
        <v>63</v>
      </c>
      <c r="AA430" t="s">
        <v>3926</v>
      </c>
      <c r="AB430">
        <v>12164618</v>
      </c>
      <c r="AC430" t="s">
        <v>67</v>
      </c>
      <c r="AD430" t="s">
        <v>63</v>
      </c>
      <c r="AE430" t="s">
        <v>63</v>
      </c>
      <c r="AF430" t="s">
        <v>63</v>
      </c>
      <c r="AG430" t="s">
        <v>3927</v>
      </c>
      <c r="AH430" t="s">
        <v>63</v>
      </c>
      <c r="AI430" t="s">
        <v>63</v>
      </c>
      <c r="AJ430" t="s">
        <v>63</v>
      </c>
      <c r="AK430" t="s">
        <v>63</v>
      </c>
      <c r="AL430" t="s">
        <v>63</v>
      </c>
      <c r="AM430" t="s">
        <v>3928</v>
      </c>
      <c r="AN430" t="s">
        <v>63</v>
      </c>
      <c r="AO430" t="s">
        <v>63</v>
      </c>
      <c r="AP430" t="s">
        <v>63</v>
      </c>
      <c r="AQ430" t="s">
        <v>63</v>
      </c>
      <c r="AR430" t="s">
        <v>63</v>
      </c>
      <c r="AS430" t="s">
        <v>63</v>
      </c>
      <c r="AT430" t="s">
        <v>63</v>
      </c>
      <c r="AU430" t="s">
        <v>63</v>
      </c>
      <c r="AV430" t="s">
        <v>63</v>
      </c>
      <c r="AW430" t="s">
        <v>63</v>
      </c>
      <c r="AX430" t="s">
        <v>63</v>
      </c>
      <c r="AY430" t="s">
        <v>63</v>
      </c>
      <c r="AZ430" t="s">
        <v>63</v>
      </c>
      <c r="BA430" t="s">
        <v>63</v>
      </c>
      <c r="BB430" t="s">
        <v>63</v>
      </c>
      <c r="BC430" t="s">
        <v>63</v>
      </c>
      <c r="BD430" t="s">
        <v>63</v>
      </c>
      <c r="BE430" t="s">
        <v>63</v>
      </c>
      <c r="BF430" t="s">
        <v>63</v>
      </c>
    </row>
    <row r="431" spans="1:58">
      <c r="A431" t="s">
        <v>58</v>
      </c>
      <c r="B431" t="s">
        <v>3929</v>
      </c>
      <c r="C431" t="s">
        <v>3930</v>
      </c>
      <c r="D431" t="s">
        <v>3931</v>
      </c>
      <c r="E431" t="s">
        <v>63</v>
      </c>
      <c r="F431">
        <v>2007</v>
      </c>
      <c r="G431" t="s">
        <v>326</v>
      </c>
      <c r="H431">
        <v>96</v>
      </c>
      <c r="I431">
        <v>2</v>
      </c>
      <c r="J431">
        <v>237</v>
      </c>
      <c r="K431">
        <v>241</v>
      </c>
      <c r="L431" t="s">
        <v>3932</v>
      </c>
      <c r="M431" t="s">
        <v>3933</v>
      </c>
      <c r="N431" t="s">
        <v>3934</v>
      </c>
      <c r="O431" t="s">
        <v>63</v>
      </c>
      <c r="Q431" t="s">
        <v>63</v>
      </c>
      <c r="R431" t="s">
        <v>63</v>
      </c>
      <c r="S431" t="s">
        <v>63</v>
      </c>
      <c r="T431" t="s">
        <v>63</v>
      </c>
      <c r="X431" t="s">
        <v>63</v>
      </c>
      <c r="Y431" t="s">
        <v>3935</v>
      </c>
      <c r="Z431" t="s">
        <v>63</v>
      </c>
      <c r="AA431" t="s">
        <v>3936</v>
      </c>
      <c r="AB431">
        <v>17429912</v>
      </c>
      <c r="AC431" t="s">
        <v>67</v>
      </c>
      <c r="AD431" t="s">
        <v>63</v>
      </c>
      <c r="AE431" t="s">
        <v>63</v>
      </c>
      <c r="AF431" t="s">
        <v>63</v>
      </c>
      <c r="AG431" t="s">
        <v>3937</v>
      </c>
      <c r="AH431" t="s">
        <v>63</v>
      </c>
      <c r="AI431" t="s">
        <v>63</v>
      </c>
      <c r="AJ431" t="s">
        <v>63</v>
      </c>
      <c r="AK431" t="s">
        <v>63</v>
      </c>
      <c r="AL431" t="s">
        <v>63</v>
      </c>
      <c r="AM431" t="s">
        <v>3938</v>
      </c>
      <c r="AN431" t="s">
        <v>63</v>
      </c>
      <c r="AO431" t="s">
        <v>63</v>
      </c>
      <c r="AP431" t="s">
        <v>63</v>
      </c>
      <c r="AQ431" t="s">
        <v>63</v>
      </c>
      <c r="AR431" t="s">
        <v>63</v>
      </c>
      <c r="AS431" t="s">
        <v>63</v>
      </c>
      <c r="AT431" t="s">
        <v>63</v>
      </c>
      <c r="AU431" t="s">
        <v>63</v>
      </c>
      <c r="AV431" t="s">
        <v>63</v>
      </c>
      <c r="AW431" t="s">
        <v>63</v>
      </c>
      <c r="AX431" t="s">
        <v>63</v>
      </c>
      <c r="AY431" t="s">
        <v>63</v>
      </c>
      <c r="AZ431" t="s">
        <v>63</v>
      </c>
      <c r="BA431" t="s">
        <v>63</v>
      </c>
      <c r="BB431" t="s">
        <v>63</v>
      </c>
      <c r="BC431" t="s">
        <v>63</v>
      </c>
      <c r="BD431" t="s">
        <v>63</v>
      </c>
      <c r="BE431" t="s">
        <v>63</v>
      </c>
      <c r="BF431" t="s">
        <v>63</v>
      </c>
    </row>
    <row r="432" spans="1:58">
      <c r="A432" t="s">
        <v>58</v>
      </c>
      <c r="B432" t="s">
        <v>3939</v>
      </c>
      <c r="C432" t="s">
        <v>3940</v>
      </c>
      <c r="D432" t="s">
        <v>389</v>
      </c>
      <c r="E432" t="s">
        <v>63</v>
      </c>
      <c r="F432">
        <v>2014</v>
      </c>
      <c r="G432" t="s">
        <v>63</v>
      </c>
      <c r="H432">
        <v>35</v>
      </c>
      <c r="I432">
        <v>3</v>
      </c>
      <c r="J432">
        <v>298</v>
      </c>
      <c r="K432">
        <v>303</v>
      </c>
      <c r="L432" t="s">
        <v>3941</v>
      </c>
      <c r="M432" t="s">
        <v>3942</v>
      </c>
      <c r="N432" t="s">
        <v>3943</v>
      </c>
      <c r="O432" t="s">
        <v>63</v>
      </c>
      <c r="Q432" t="s">
        <v>63</v>
      </c>
      <c r="R432" t="s">
        <v>63</v>
      </c>
      <c r="S432" t="s">
        <v>63</v>
      </c>
      <c r="T432" t="s">
        <v>63</v>
      </c>
      <c r="X432" t="s">
        <v>63</v>
      </c>
      <c r="Y432" t="s">
        <v>556</v>
      </c>
      <c r="Z432" t="s">
        <v>63</v>
      </c>
      <c r="AA432" t="s">
        <v>3944</v>
      </c>
      <c r="AB432">
        <v>24857633</v>
      </c>
      <c r="AC432" t="s">
        <v>67</v>
      </c>
      <c r="AD432" t="s">
        <v>63</v>
      </c>
      <c r="AE432" t="s">
        <v>63</v>
      </c>
      <c r="AF432" t="s">
        <v>63</v>
      </c>
      <c r="AG432" t="s">
        <v>3945</v>
      </c>
      <c r="AH432" t="s">
        <v>63</v>
      </c>
      <c r="AI432" t="s">
        <v>3946</v>
      </c>
      <c r="AJ432" t="s">
        <v>63</v>
      </c>
      <c r="AK432" t="s">
        <v>63</v>
      </c>
      <c r="AL432" t="s">
        <v>63</v>
      </c>
      <c r="AM432" t="s">
        <v>3947</v>
      </c>
      <c r="AN432" t="s">
        <v>63</v>
      </c>
      <c r="AO432" t="s">
        <v>63</v>
      </c>
      <c r="AP432" t="s">
        <v>63</v>
      </c>
      <c r="AQ432" t="s">
        <v>63</v>
      </c>
      <c r="AR432" t="s">
        <v>63</v>
      </c>
      <c r="AS432" t="s">
        <v>63</v>
      </c>
      <c r="AT432" t="s">
        <v>63</v>
      </c>
      <c r="AU432" t="s">
        <v>63</v>
      </c>
      <c r="AV432" t="s">
        <v>63</v>
      </c>
      <c r="AW432" t="s">
        <v>63</v>
      </c>
      <c r="AX432" t="s">
        <v>63</v>
      </c>
      <c r="AY432" t="s">
        <v>63</v>
      </c>
      <c r="AZ432" t="s">
        <v>63</v>
      </c>
      <c r="BA432" t="s">
        <v>63</v>
      </c>
      <c r="BB432" t="s">
        <v>63</v>
      </c>
      <c r="BC432" t="s">
        <v>63</v>
      </c>
      <c r="BD432" t="s">
        <v>63</v>
      </c>
      <c r="BE432" t="s">
        <v>63</v>
      </c>
      <c r="BF432" t="s">
        <v>63</v>
      </c>
    </row>
    <row r="433" spans="1:58">
      <c r="A433" t="s">
        <v>58</v>
      </c>
      <c r="B433" t="s">
        <v>3948</v>
      </c>
      <c r="C433" t="s">
        <v>3949</v>
      </c>
      <c r="D433" t="s">
        <v>389</v>
      </c>
      <c r="E433" t="s">
        <v>63</v>
      </c>
      <c r="F433">
        <v>2011</v>
      </c>
      <c r="G433" t="s">
        <v>84</v>
      </c>
      <c r="H433">
        <v>32</v>
      </c>
      <c r="I433">
        <v>2</v>
      </c>
      <c r="J433">
        <v>93</v>
      </c>
      <c r="K433">
        <v>100</v>
      </c>
      <c r="L433" t="s">
        <v>3950</v>
      </c>
      <c r="M433" t="s">
        <v>3951</v>
      </c>
      <c r="N433" t="s">
        <v>3952</v>
      </c>
      <c r="O433" t="s">
        <v>63</v>
      </c>
      <c r="Q433" t="s">
        <v>63</v>
      </c>
      <c r="R433" t="s">
        <v>63</v>
      </c>
      <c r="S433" t="s">
        <v>63</v>
      </c>
      <c r="T433" t="s">
        <v>63</v>
      </c>
      <c r="X433" t="s">
        <v>63</v>
      </c>
      <c r="Y433" t="s">
        <v>556</v>
      </c>
      <c r="Z433" t="s">
        <v>63</v>
      </c>
      <c r="AA433" t="s">
        <v>3953</v>
      </c>
      <c r="AB433">
        <v>21534130</v>
      </c>
      <c r="AC433" t="s">
        <v>67</v>
      </c>
      <c r="AD433" t="s">
        <v>63</v>
      </c>
      <c r="AE433" t="s">
        <v>63</v>
      </c>
      <c r="AF433" t="s">
        <v>63</v>
      </c>
      <c r="AG433" t="s">
        <v>3954</v>
      </c>
      <c r="AH433" t="s">
        <v>63</v>
      </c>
      <c r="AI433" t="s">
        <v>3955</v>
      </c>
      <c r="AJ433" t="s">
        <v>63</v>
      </c>
      <c r="AK433" t="s">
        <v>63</v>
      </c>
      <c r="AL433" t="s">
        <v>63</v>
      </c>
      <c r="AM433" t="s">
        <v>3956</v>
      </c>
      <c r="AN433" t="s">
        <v>63</v>
      </c>
      <c r="AO433" t="s">
        <v>63</v>
      </c>
      <c r="AP433" t="s">
        <v>63</v>
      </c>
      <c r="AQ433" t="s">
        <v>63</v>
      </c>
      <c r="AR433" t="s">
        <v>63</v>
      </c>
      <c r="AS433" t="s">
        <v>63</v>
      </c>
      <c r="AT433" t="s">
        <v>63</v>
      </c>
      <c r="AU433" t="s">
        <v>63</v>
      </c>
      <c r="AV433" t="s">
        <v>63</v>
      </c>
      <c r="AW433" t="s">
        <v>63</v>
      </c>
      <c r="AX433" t="s">
        <v>63</v>
      </c>
      <c r="AY433" t="s">
        <v>63</v>
      </c>
      <c r="AZ433" t="s">
        <v>63</v>
      </c>
      <c r="BA433" t="s">
        <v>63</v>
      </c>
      <c r="BB433" t="s">
        <v>63</v>
      </c>
      <c r="BC433" t="s">
        <v>63</v>
      </c>
      <c r="BD433" t="s">
        <v>63</v>
      </c>
      <c r="BE433" t="s">
        <v>63</v>
      </c>
      <c r="BF433" t="s">
        <v>63</v>
      </c>
    </row>
    <row r="434" spans="1:58">
      <c r="A434" t="s">
        <v>58</v>
      </c>
      <c r="B434" t="s">
        <v>3957</v>
      </c>
      <c r="C434" t="s">
        <v>3958</v>
      </c>
      <c r="D434" t="s">
        <v>90</v>
      </c>
      <c r="E434" t="s">
        <v>63</v>
      </c>
      <c r="F434">
        <v>1995</v>
      </c>
      <c r="G434" t="s">
        <v>63</v>
      </c>
      <c r="H434">
        <v>14</v>
      </c>
      <c r="I434">
        <v>2</v>
      </c>
      <c r="J434">
        <v>23</v>
      </c>
      <c r="K434">
        <v>31</v>
      </c>
      <c r="L434" t="s">
        <v>3959</v>
      </c>
      <c r="M434" t="s">
        <v>3960</v>
      </c>
      <c r="N434" t="s">
        <v>3961</v>
      </c>
      <c r="O434" t="s">
        <v>63</v>
      </c>
      <c r="Q434" t="s">
        <v>63</v>
      </c>
      <c r="R434" t="s">
        <v>63</v>
      </c>
      <c r="S434" t="s">
        <v>63</v>
      </c>
      <c r="T434" t="s">
        <v>63</v>
      </c>
      <c r="X434" t="s">
        <v>63</v>
      </c>
      <c r="Y434" t="s">
        <v>93</v>
      </c>
      <c r="Z434" t="s">
        <v>63</v>
      </c>
      <c r="AA434" t="s">
        <v>3962</v>
      </c>
      <c r="AB434">
        <v>8541357</v>
      </c>
      <c r="AC434" t="s">
        <v>67</v>
      </c>
      <c r="AD434" t="s">
        <v>63</v>
      </c>
      <c r="AE434" t="s">
        <v>63</v>
      </c>
      <c r="AF434" t="s">
        <v>63</v>
      </c>
      <c r="AG434" t="s">
        <v>3963</v>
      </c>
      <c r="AH434" t="s">
        <v>63</v>
      </c>
      <c r="AI434" t="s">
        <v>63</v>
      </c>
      <c r="AJ434" t="s">
        <v>63</v>
      </c>
      <c r="AK434" t="s">
        <v>63</v>
      </c>
      <c r="AL434" t="s">
        <v>63</v>
      </c>
      <c r="AM434" t="s">
        <v>3964</v>
      </c>
      <c r="AN434" t="s">
        <v>63</v>
      </c>
      <c r="AO434" t="s">
        <v>63</v>
      </c>
      <c r="AP434" t="s">
        <v>63</v>
      </c>
      <c r="AQ434" t="s">
        <v>63</v>
      </c>
      <c r="AR434" t="s">
        <v>63</v>
      </c>
      <c r="AS434" t="s">
        <v>63</v>
      </c>
      <c r="AT434" t="s">
        <v>63</v>
      </c>
      <c r="AU434" t="s">
        <v>63</v>
      </c>
      <c r="AV434" t="s">
        <v>63</v>
      </c>
      <c r="AW434" t="s">
        <v>63</v>
      </c>
      <c r="AX434" t="s">
        <v>63</v>
      </c>
      <c r="AY434" t="s">
        <v>63</v>
      </c>
      <c r="AZ434" t="s">
        <v>63</v>
      </c>
      <c r="BA434" t="s">
        <v>63</v>
      </c>
      <c r="BB434" t="s">
        <v>63</v>
      </c>
      <c r="BC434" t="s">
        <v>63</v>
      </c>
      <c r="BD434" t="s">
        <v>63</v>
      </c>
      <c r="BE434" t="s">
        <v>63</v>
      </c>
      <c r="BF434" t="s">
        <v>63</v>
      </c>
    </row>
    <row r="435" spans="1:58">
      <c r="A435" t="s">
        <v>58</v>
      </c>
      <c r="B435" t="s">
        <v>3965</v>
      </c>
      <c r="C435" t="s">
        <v>3966</v>
      </c>
      <c r="D435" t="s">
        <v>1481</v>
      </c>
      <c r="E435" t="s">
        <v>1481</v>
      </c>
      <c r="F435">
        <v>2000</v>
      </c>
      <c r="G435" t="s">
        <v>73</v>
      </c>
      <c r="H435">
        <v>95</v>
      </c>
      <c r="I435">
        <v>6</v>
      </c>
      <c r="J435">
        <v>949</v>
      </c>
      <c r="K435">
        <v>957</v>
      </c>
      <c r="L435" t="s">
        <v>3967</v>
      </c>
      <c r="M435" t="s">
        <v>3968</v>
      </c>
      <c r="N435" t="s">
        <v>3969</v>
      </c>
      <c r="O435" t="s">
        <v>63</v>
      </c>
      <c r="Q435" t="s">
        <v>63</v>
      </c>
      <c r="R435" t="s">
        <v>63</v>
      </c>
      <c r="S435" t="s">
        <v>63</v>
      </c>
      <c r="T435" t="s">
        <v>63</v>
      </c>
      <c r="X435" t="s">
        <v>63</v>
      </c>
      <c r="Y435" t="s">
        <v>2426</v>
      </c>
      <c r="Z435" t="s">
        <v>63</v>
      </c>
      <c r="AA435" t="s">
        <v>3970</v>
      </c>
      <c r="AB435">
        <v>10946443</v>
      </c>
      <c r="AC435" t="s">
        <v>67</v>
      </c>
      <c r="AD435" t="s">
        <v>63</v>
      </c>
      <c r="AE435" t="s">
        <v>63</v>
      </c>
      <c r="AF435" t="s">
        <v>63</v>
      </c>
      <c r="AG435" t="s">
        <v>3971</v>
      </c>
      <c r="AH435" t="s">
        <v>63</v>
      </c>
      <c r="AI435" t="s">
        <v>63</v>
      </c>
      <c r="AJ435" t="s">
        <v>63</v>
      </c>
      <c r="AK435" t="s">
        <v>63</v>
      </c>
      <c r="AL435" t="s">
        <v>63</v>
      </c>
      <c r="AM435" t="s">
        <v>3972</v>
      </c>
      <c r="AN435" t="s">
        <v>63</v>
      </c>
      <c r="AO435" t="s">
        <v>63</v>
      </c>
      <c r="AP435" t="s">
        <v>63</v>
      </c>
      <c r="AQ435" t="s">
        <v>63</v>
      </c>
      <c r="AR435" t="s">
        <v>63</v>
      </c>
      <c r="AS435" t="s">
        <v>63</v>
      </c>
      <c r="AT435" t="s">
        <v>63</v>
      </c>
      <c r="AU435" t="s">
        <v>63</v>
      </c>
      <c r="AV435" t="s">
        <v>63</v>
      </c>
      <c r="AW435" t="s">
        <v>63</v>
      </c>
      <c r="AX435" t="s">
        <v>63</v>
      </c>
      <c r="AY435" t="s">
        <v>63</v>
      </c>
      <c r="AZ435" t="s">
        <v>63</v>
      </c>
      <c r="BA435" t="s">
        <v>63</v>
      </c>
      <c r="BB435" t="s">
        <v>63</v>
      </c>
      <c r="BC435" t="s">
        <v>63</v>
      </c>
      <c r="BD435" t="s">
        <v>63</v>
      </c>
      <c r="BE435" t="s">
        <v>63</v>
      </c>
      <c r="BF435" t="s">
        <v>63</v>
      </c>
    </row>
    <row r="436" spans="1:58">
      <c r="A436" t="s">
        <v>58</v>
      </c>
      <c r="B436" t="s">
        <v>3973</v>
      </c>
      <c r="C436" t="s">
        <v>3974</v>
      </c>
      <c r="D436" t="s">
        <v>389</v>
      </c>
      <c r="E436" t="s">
        <v>63</v>
      </c>
      <c r="F436">
        <v>2011</v>
      </c>
      <c r="G436" t="s">
        <v>84</v>
      </c>
      <c r="H436">
        <v>32</v>
      </c>
      <c r="I436">
        <v>2</v>
      </c>
      <c r="J436">
        <v>77</v>
      </c>
      <c r="K436">
        <v>83</v>
      </c>
      <c r="L436" t="s">
        <v>3975</v>
      </c>
      <c r="M436" t="s">
        <v>3976</v>
      </c>
      <c r="N436" t="s">
        <v>3977</v>
      </c>
      <c r="O436" t="s">
        <v>63</v>
      </c>
      <c r="Q436" t="s">
        <v>63</v>
      </c>
      <c r="R436" t="s">
        <v>63</v>
      </c>
      <c r="S436" t="s">
        <v>63</v>
      </c>
      <c r="T436" t="s">
        <v>63</v>
      </c>
      <c r="X436" t="s">
        <v>63</v>
      </c>
      <c r="Y436" t="s">
        <v>556</v>
      </c>
      <c r="Z436" t="s">
        <v>63</v>
      </c>
      <c r="AA436" t="s">
        <v>3978</v>
      </c>
      <c r="AB436">
        <v>21534128</v>
      </c>
      <c r="AC436" t="s">
        <v>67</v>
      </c>
      <c r="AD436" t="s">
        <v>63</v>
      </c>
      <c r="AE436" t="s">
        <v>63</v>
      </c>
      <c r="AF436" t="s">
        <v>63</v>
      </c>
      <c r="AG436" t="s">
        <v>3979</v>
      </c>
      <c r="AH436" t="s">
        <v>63</v>
      </c>
      <c r="AI436" t="s">
        <v>3980</v>
      </c>
      <c r="AJ436" t="s">
        <v>63</v>
      </c>
      <c r="AK436" t="s">
        <v>63</v>
      </c>
      <c r="AL436" t="s">
        <v>63</v>
      </c>
      <c r="AM436" t="s">
        <v>3981</v>
      </c>
      <c r="AN436" t="s">
        <v>63</v>
      </c>
      <c r="AO436" t="s">
        <v>63</v>
      </c>
      <c r="AP436" t="s">
        <v>63</v>
      </c>
      <c r="AQ436" t="s">
        <v>63</v>
      </c>
      <c r="AR436" t="s">
        <v>63</v>
      </c>
      <c r="AS436" t="s">
        <v>63</v>
      </c>
      <c r="AT436" t="s">
        <v>63</v>
      </c>
      <c r="AU436" t="s">
        <v>63</v>
      </c>
      <c r="AV436" t="s">
        <v>63</v>
      </c>
      <c r="AW436" t="s">
        <v>63</v>
      </c>
      <c r="AX436" t="s">
        <v>63</v>
      </c>
      <c r="AY436" t="s">
        <v>63</v>
      </c>
      <c r="AZ436" t="s">
        <v>63</v>
      </c>
      <c r="BA436" t="s">
        <v>63</v>
      </c>
      <c r="BB436" t="s">
        <v>63</v>
      </c>
      <c r="BC436" t="s">
        <v>63</v>
      </c>
      <c r="BD436" t="s">
        <v>63</v>
      </c>
      <c r="BE436" t="s">
        <v>63</v>
      </c>
      <c r="BF436" t="s">
        <v>63</v>
      </c>
    </row>
    <row r="437" spans="1:58">
      <c r="A437" t="s">
        <v>58</v>
      </c>
      <c r="B437" t="s">
        <v>3982</v>
      </c>
      <c r="C437" t="s">
        <v>3983</v>
      </c>
      <c r="D437" t="s">
        <v>3984</v>
      </c>
      <c r="E437" t="s">
        <v>63</v>
      </c>
      <c r="F437">
        <v>2010</v>
      </c>
      <c r="G437" t="s">
        <v>157</v>
      </c>
      <c r="H437">
        <v>11</v>
      </c>
      <c r="I437">
        <v>12</v>
      </c>
      <c r="J437">
        <v>1368</v>
      </c>
      <c r="K437">
        <v>1375</v>
      </c>
      <c r="L437" t="s">
        <v>3985</v>
      </c>
      <c r="M437" t="s">
        <v>3986</v>
      </c>
      <c r="N437" t="s">
        <v>3987</v>
      </c>
      <c r="O437" t="s">
        <v>63</v>
      </c>
      <c r="Q437" t="s">
        <v>63</v>
      </c>
      <c r="R437" t="s">
        <v>63</v>
      </c>
      <c r="S437" t="s">
        <v>63</v>
      </c>
      <c r="T437" t="s">
        <v>63</v>
      </c>
      <c r="X437" t="s">
        <v>63</v>
      </c>
      <c r="Y437" t="s">
        <v>3988</v>
      </c>
      <c r="Z437" t="s">
        <v>63</v>
      </c>
      <c r="AA437" t="s">
        <v>3989</v>
      </c>
      <c r="AB437">
        <v>20542743</v>
      </c>
      <c r="AC437" t="s">
        <v>67</v>
      </c>
      <c r="AD437" t="s">
        <v>63</v>
      </c>
      <c r="AE437" t="s">
        <v>63</v>
      </c>
      <c r="AF437" t="s">
        <v>63</v>
      </c>
      <c r="AG437" t="s">
        <v>3990</v>
      </c>
      <c r="AH437" t="s">
        <v>63</v>
      </c>
      <c r="AI437" t="s">
        <v>3991</v>
      </c>
      <c r="AJ437" t="s">
        <v>63</v>
      </c>
      <c r="AK437" t="s">
        <v>63</v>
      </c>
      <c r="AL437" t="s">
        <v>63</v>
      </c>
      <c r="AM437" t="s">
        <v>3992</v>
      </c>
      <c r="AN437" t="s">
        <v>63</v>
      </c>
      <c r="AO437" t="s">
        <v>63</v>
      </c>
      <c r="AP437" t="s">
        <v>63</v>
      </c>
      <c r="AQ437" t="s">
        <v>63</v>
      </c>
      <c r="AR437" t="s">
        <v>63</v>
      </c>
      <c r="AS437" t="s">
        <v>63</v>
      </c>
      <c r="AT437" t="s">
        <v>63</v>
      </c>
      <c r="AU437" t="s">
        <v>63</v>
      </c>
      <c r="AV437" t="s">
        <v>63</v>
      </c>
      <c r="AW437" t="s">
        <v>63</v>
      </c>
      <c r="AX437" t="s">
        <v>63</v>
      </c>
      <c r="AY437" t="s">
        <v>63</v>
      </c>
      <c r="AZ437" t="s">
        <v>63</v>
      </c>
      <c r="BA437" t="s">
        <v>63</v>
      </c>
      <c r="BB437" t="s">
        <v>63</v>
      </c>
      <c r="BC437" t="s">
        <v>63</v>
      </c>
      <c r="BD437" t="s">
        <v>63</v>
      </c>
      <c r="BE437" t="s">
        <v>63</v>
      </c>
      <c r="BF437" t="s">
        <v>63</v>
      </c>
    </row>
    <row r="438" spans="1:58">
      <c r="A438" t="s">
        <v>58</v>
      </c>
      <c r="B438" t="s">
        <v>3993</v>
      </c>
      <c r="C438" t="s">
        <v>3994</v>
      </c>
      <c r="D438" t="s">
        <v>398</v>
      </c>
      <c r="E438" t="s">
        <v>398</v>
      </c>
      <c r="F438">
        <v>1998</v>
      </c>
      <c r="G438" t="s">
        <v>181</v>
      </c>
      <c r="H438">
        <v>102</v>
      </c>
      <c r="I438">
        <v>3</v>
      </c>
      <c r="J438">
        <v>588</v>
      </c>
      <c r="K438">
        <v>595</v>
      </c>
      <c r="L438" t="s">
        <v>3995</v>
      </c>
      <c r="M438" t="s">
        <v>3996</v>
      </c>
      <c r="N438" t="s">
        <v>3997</v>
      </c>
      <c r="O438" t="s">
        <v>63</v>
      </c>
      <c r="Q438" t="s">
        <v>63</v>
      </c>
      <c r="R438" t="s">
        <v>63</v>
      </c>
      <c r="S438" t="s">
        <v>63</v>
      </c>
      <c r="T438" t="s">
        <v>63</v>
      </c>
      <c r="X438" t="s">
        <v>63</v>
      </c>
      <c r="Y438" t="s">
        <v>402</v>
      </c>
      <c r="Z438" t="s">
        <v>63</v>
      </c>
      <c r="AA438" t="s">
        <v>3998</v>
      </c>
      <c r="AB438">
        <v>9738181</v>
      </c>
      <c r="AC438" t="s">
        <v>67</v>
      </c>
      <c r="AD438" t="s">
        <v>63</v>
      </c>
      <c r="AE438" t="s">
        <v>63</v>
      </c>
      <c r="AF438" t="s">
        <v>63</v>
      </c>
      <c r="AG438" t="s">
        <v>3999</v>
      </c>
      <c r="AH438" t="s">
        <v>63</v>
      </c>
      <c r="AI438" t="s">
        <v>63</v>
      </c>
      <c r="AJ438" t="s">
        <v>63</v>
      </c>
      <c r="AK438" t="s">
        <v>63</v>
      </c>
      <c r="AL438" t="s">
        <v>63</v>
      </c>
      <c r="AM438" t="s">
        <v>4000</v>
      </c>
      <c r="AN438" t="s">
        <v>63</v>
      </c>
      <c r="AO438" t="s">
        <v>63</v>
      </c>
      <c r="AP438" t="s">
        <v>63</v>
      </c>
      <c r="AQ438" t="s">
        <v>63</v>
      </c>
      <c r="AR438" t="s">
        <v>63</v>
      </c>
      <c r="AS438" t="s">
        <v>63</v>
      </c>
      <c r="AT438" t="s">
        <v>63</v>
      </c>
      <c r="AU438" t="s">
        <v>63</v>
      </c>
      <c r="AV438" t="s">
        <v>63</v>
      </c>
      <c r="AW438" t="s">
        <v>63</v>
      </c>
      <c r="AX438" t="s">
        <v>63</v>
      </c>
      <c r="AY438" t="s">
        <v>63</v>
      </c>
      <c r="AZ438" t="s">
        <v>63</v>
      </c>
      <c r="BA438" t="s">
        <v>63</v>
      </c>
      <c r="BB438" t="s">
        <v>63</v>
      </c>
      <c r="BC438" t="s">
        <v>63</v>
      </c>
      <c r="BD438" t="s">
        <v>63</v>
      </c>
      <c r="BE438" t="s">
        <v>63</v>
      </c>
      <c r="BF438" t="s">
        <v>63</v>
      </c>
    </row>
    <row r="439" spans="1:58">
      <c r="A439" t="s">
        <v>58</v>
      </c>
      <c r="B439" t="s">
        <v>4001</v>
      </c>
      <c r="C439" t="s">
        <v>4002</v>
      </c>
      <c r="D439" t="s">
        <v>4003</v>
      </c>
      <c r="E439" t="s">
        <v>63</v>
      </c>
      <c r="F439">
        <v>2018</v>
      </c>
      <c r="G439" s="1">
        <v>41753</v>
      </c>
      <c r="H439" t="s">
        <v>63</v>
      </c>
      <c r="I439" t="s">
        <v>63</v>
      </c>
      <c r="J439">
        <v>25</v>
      </c>
      <c r="K439" t="s">
        <v>63</v>
      </c>
      <c r="L439" t="s">
        <v>63</v>
      </c>
      <c r="M439" t="s">
        <v>4004</v>
      </c>
      <c r="N439" t="s">
        <v>4005</v>
      </c>
      <c r="O439" t="s">
        <v>63</v>
      </c>
      <c r="Q439" t="s">
        <v>63</v>
      </c>
      <c r="R439" t="s">
        <v>63</v>
      </c>
      <c r="S439" t="s">
        <v>63</v>
      </c>
      <c r="T439" t="s">
        <v>63</v>
      </c>
      <c r="X439" t="s">
        <v>63</v>
      </c>
      <c r="Y439" t="s">
        <v>4006</v>
      </c>
      <c r="Z439" t="s">
        <v>63</v>
      </c>
      <c r="AA439" t="s">
        <v>4007</v>
      </c>
      <c r="AB439">
        <v>29694454</v>
      </c>
      <c r="AC439" t="s">
        <v>67</v>
      </c>
      <c r="AD439" t="s">
        <v>63</v>
      </c>
      <c r="AE439" t="s">
        <v>63</v>
      </c>
      <c r="AF439" t="s">
        <v>63</v>
      </c>
      <c r="AG439" t="s">
        <v>4008</v>
      </c>
      <c r="AH439" t="s">
        <v>63</v>
      </c>
      <c r="AI439" t="s">
        <v>4009</v>
      </c>
      <c r="AJ439" t="s">
        <v>63</v>
      </c>
      <c r="AK439" t="s">
        <v>63</v>
      </c>
      <c r="AL439" t="s">
        <v>63</v>
      </c>
      <c r="AM439" t="s">
        <v>4010</v>
      </c>
      <c r="AN439" t="s">
        <v>63</v>
      </c>
      <c r="AO439" t="s">
        <v>63</v>
      </c>
      <c r="AP439" t="s">
        <v>63</v>
      </c>
      <c r="AQ439" t="s">
        <v>63</v>
      </c>
      <c r="AR439" t="s">
        <v>63</v>
      </c>
      <c r="AS439" t="s">
        <v>63</v>
      </c>
      <c r="AT439" t="s">
        <v>63</v>
      </c>
      <c r="AU439" t="s">
        <v>63</v>
      </c>
      <c r="AV439" t="s">
        <v>63</v>
      </c>
      <c r="AW439" t="s">
        <v>63</v>
      </c>
      <c r="AX439" t="s">
        <v>63</v>
      </c>
      <c r="AY439" t="s">
        <v>63</v>
      </c>
      <c r="AZ439" t="s">
        <v>63</v>
      </c>
      <c r="BA439" t="s">
        <v>63</v>
      </c>
      <c r="BB439" t="s">
        <v>63</v>
      </c>
      <c r="BC439" t="s">
        <v>63</v>
      </c>
      <c r="BD439" t="s">
        <v>63</v>
      </c>
      <c r="BE439" t="s">
        <v>63</v>
      </c>
      <c r="BF439" t="s">
        <v>63</v>
      </c>
    </row>
    <row r="440" spans="1:58">
      <c r="A440" t="s">
        <v>58</v>
      </c>
      <c r="B440" t="s">
        <v>4011</v>
      </c>
      <c r="C440" t="s">
        <v>4012</v>
      </c>
      <c r="D440" t="s">
        <v>389</v>
      </c>
      <c r="E440" t="s">
        <v>63</v>
      </c>
      <c r="F440">
        <v>2018</v>
      </c>
      <c r="G440" s="1">
        <v>41726</v>
      </c>
      <c r="H440" t="s">
        <v>63</v>
      </c>
      <c r="I440" t="s">
        <v>63</v>
      </c>
      <c r="J440">
        <v>1</v>
      </c>
      <c r="K440">
        <v>25</v>
      </c>
      <c r="L440" t="s">
        <v>63</v>
      </c>
      <c r="M440" t="s">
        <v>4013</v>
      </c>
      <c r="N440" t="s">
        <v>4014</v>
      </c>
      <c r="O440" t="s">
        <v>63</v>
      </c>
      <c r="Q440" t="s">
        <v>63</v>
      </c>
      <c r="R440" t="s">
        <v>63</v>
      </c>
      <c r="S440" t="s">
        <v>63</v>
      </c>
      <c r="T440" t="s">
        <v>63</v>
      </c>
      <c r="X440" t="s">
        <v>63</v>
      </c>
      <c r="Y440" t="s">
        <v>556</v>
      </c>
      <c r="Z440" t="s">
        <v>63</v>
      </c>
      <c r="AA440" t="s">
        <v>4015</v>
      </c>
      <c r="AB440">
        <v>29595367</v>
      </c>
      <c r="AC440" t="s">
        <v>67</v>
      </c>
      <c r="AD440" t="s">
        <v>63</v>
      </c>
      <c r="AE440" t="s">
        <v>63</v>
      </c>
      <c r="AF440" t="s">
        <v>63</v>
      </c>
      <c r="AG440" t="s">
        <v>4016</v>
      </c>
      <c r="AH440" t="s">
        <v>63</v>
      </c>
      <c r="AI440" t="s">
        <v>4017</v>
      </c>
      <c r="AJ440" t="s">
        <v>63</v>
      </c>
      <c r="AK440" t="s">
        <v>63</v>
      </c>
      <c r="AL440" t="s">
        <v>63</v>
      </c>
      <c r="AM440" t="s">
        <v>4018</v>
      </c>
      <c r="AN440" t="s">
        <v>63</v>
      </c>
      <c r="AO440" t="s">
        <v>63</v>
      </c>
      <c r="AP440" t="s">
        <v>63</v>
      </c>
      <c r="AQ440" t="s">
        <v>63</v>
      </c>
      <c r="AR440" t="s">
        <v>63</v>
      </c>
      <c r="AS440" t="s">
        <v>63</v>
      </c>
      <c r="AT440" t="s">
        <v>63</v>
      </c>
      <c r="AU440" t="s">
        <v>63</v>
      </c>
      <c r="AV440" t="s">
        <v>63</v>
      </c>
      <c r="AW440" t="s">
        <v>63</v>
      </c>
      <c r="AX440" t="s">
        <v>63</v>
      </c>
      <c r="AY440" t="s">
        <v>63</v>
      </c>
      <c r="AZ440" t="s">
        <v>63</v>
      </c>
      <c r="BA440" t="s">
        <v>63</v>
      </c>
      <c r="BB440" t="s">
        <v>63</v>
      </c>
      <c r="BC440" t="s">
        <v>63</v>
      </c>
      <c r="BD440" t="s">
        <v>63</v>
      </c>
      <c r="BE440" t="s">
        <v>63</v>
      </c>
      <c r="BF440" t="s">
        <v>63</v>
      </c>
    </row>
    <row r="441" spans="1:58">
      <c r="A441" t="s">
        <v>58</v>
      </c>
      <c r="B441" t="s">
        <v>4019</v>
      </c>
      <c r="C441" t="s">
        <v>4020</v>
      </c>
      <c r="D441" t="s">
        <v>4021</v>
      </c>
      <c r="E441" t="s">
        <v>4022</v>
      </c>
      <c r="F441">
        <v>1998</v>
      </c>
      <c r="G441" t="s">
        <v>198</v>
      </c>
      <c r="H441">
        <v>11</v>
      </c>
      <c r="I441">
        <v>1</v>
      </c>
      <c r="J441">
        <v>14</v>
      </c>
      <c r="K441">
        <v>21</v>
      </c>
      <c r="L441" t="s">
        <v>4023</v>
      </c>
      <c r="M441" t="s">
        <v>63</v>
      </c>
      <c r="N441" t="s">
        <v>4024</v>
      </c>
      <c r="O441" t="s">
        <v>63</v>
      </c>
      <c r="Q441" t="s">
        <v>63</v>
      </c>
      <c r="R441" t="s">
        <v>63</v>
      </c>
      <c r="S441" t="s">
        <v>63</v>
      </c>
      <c r="T441" t="s">
        <v>63</v>
      </c>
      <c r="X441" t="s">
        <v>63</v>
      </c>
      <c r="Y441" t="s">
        <v>4025</v>
      </c>
      <c r="Z441" t="s">
        <v>63</v>
      </c>
      <c r="AA441" t="s">
        <v>63</v>
      </c>
      <c r="AB441">
        <v>11365008</v>
      </c>
      <c r="AC441" t="s">
        <v>67</v>
      </c>
      <c r="AD441" t="s">
        <v>63</v>
      </c>
      <c r="AE441" t="s">
        <v>63</v>
      </c>
      <c r="AF441" t="s">
        <v>63</v>
      </c>
      <c r="AG441" t="s">
        <v>4026</v>
      </c>
      <c r="AH441" t="s">
        <v>63</v>
      </c>
      <c r="AI441" t="s">
        <v>63</v>
      </c>
      <c r="AJ441" t="s">
        <v>63</v>
      </c>
      <c r="AK441" t="s">
        <v>63</v>
      </c>
      <c r="AL441" t="s">
        <v>63</v>
      </c>
      <c r="AM441" t="s">
        <v>4027</v>
      </c>
      <c r="AN441" t="s">
        <v>63</v>
      </c>
      <c r="AO441" t="s">
        <v>63</v>
      </c>
      <c r="AP441" t="s">
        <v>63</v>
      </c>
      <c r="AQ441" t="s">
        <v>63</v>
      </c>
      <c r="AR441" t="s">
        <v>63</v>
      </c>
      <c r="AS441" t="s">
        <v>63</v>
      </c>
      <c r="AT441" t="s">
        <v>63</v>
      </c>
      <c r="AU441" t="s">
        <v>63</v>
      </c>
      <c r="AV441" t="s">
        <v>63</v>
      </c>
      <c r="AW441" t="s">
        <v>63</v>
      </c>
      <c r="AX441" t="s">
        <v>63</v>
      </c>
      <c r="AY441" t="s">
        <v>63</v>
      </c>
      <c r="AZ441" t="s">
        <v>63</v>
      </c>
      <c r="BA441" t="s">
        <v>63</v>
      </c>
      <c r="BB441" t="s">
        <v>63</v>
      </c>
      <c r="BC441" t="s">
        <v>63</v>
      </c>
      <c r="BD441" t="s">
        <v>63</v>
      </c>
      <c r="BE441" t="s">
        <v>63</v>
      </c>
      <c r="BF441" t="s">
        <v>63</v>
      </c>
    </row>
    <row r="442" spans="1:58">
      <c r="A442" t="s">
        <v>58</v>
      </c>
      <c r="B442" t="s">
        <v>4028</v>
      </c>
      <c r="C442" t="s">
        <v>4029</v>
      </c>
      <c r="D442" t="s">
        <v>4030</v>
      </c>
      <c r="E442" t="s">
        <v>4031</v>
      </c>
      <c r="F442">
        <v>2003</v>
      </c>
      <c r="G442" t="s">
        <v>63</v>
      </c>
      <c r="H442">
        <v>33</v>
      </c>
      <c r="I442">
        <v>2</v>
      </c>
      <c r="J442">
        <v>197</v>
      </c>
      <c r="K442">
        <v>216</v>
      </c>
      <c r="L442" t="s">
        <v>4032</v>
      </c>
      <c r="M442" t="s">
        <v>4033</v>
      </c>
      <c r="N442" t="s">
        <v>4034</v>
      </c>
      <c r="O442" t="s">
        <v>63</v>
      </c>
      <c r="Q442" t="s">
        <v>63</v>
      </c>
      <c r="R442" t="s">
        <v>63</v>
      </c>
      <c r="S442" t="s">
        <v>63</v>
      </c>
      <c r="T442" t="s">
        <v>63</v>
      </c>
      <c r="X442" t="s">
        <v>63</v>
      </c>
      <c r="Y442" t="s">
        <v>4035</v>
      </c>
      <c r="Z442" t="s">
        <v>63</v>
      </c>
      <c r="AA442" t="s">
        <v>4036</v>
      </c>
      <c r="AB442">
        <v>12929710</v>
      </c>
      <c r="AC442" t="s">
        <v>67</v>
      </c>
      <c r="AD442" t="s">
        <v>63</v>
      </c>
      <c r="AE442" t="s">
        <v>63</v>
      </c>
      <c r="AF442" t="s">
        <v>63</v>
      </c>
      <c r="AG442" t="s">
        <v>4037</v>
      </c>
      <c r="AH442" t="s">
        <v>63</v>
      </c>
      <c r="AI442" t="s">
        <v>63</v>
      </c>
      <c r="AJ442" t="s">
        <v>63</v>
      </c>
      <c r="AK442" t="s">
        <v>63</v>
      </c>
      <c r="AL442" t="s">
        <v>63</v>
      </c>
      <c r="AM442" t="s">
        <v>4038</v>
      </c>
      <c r="AN442" t="s">
        <v>63</v>
      </c>
      <c r="AO442" t="s">
        <v>63</v>
      </c>
      <c r="AP442" t="s">
        <v>63</v>
      </c>
      <c r="AQ442" t="s">
        <v>63</v>
      </c>
      <c r="AR442" t="s">
        <v>63</v>
      </c>
      <c r="AS442" t="s">
        <v>63</v>
      </c>
      <c r="AT442" t="s">
        <v>63</v>
      </c>
      <c r="AU442" t="s">
        <v>63</v>
      </c>
      <c r="AV442" t="s">
        <v>63</v>
      </c>
      <c r="AW442" t="s">
        <v>63</v>
      </c>
      <c r="AX442" t="s">
        <v>63</v>
      </c>
      <c r="AY442" t="s">
        <v>63</v>
      </c>
      <c r="AZ442" t="s">
        <v>63</v>
      </c>
      <c r="BA442" t="s">
        <v>63</v>
      </c>
      <c r="BB442" t="s">
        <v>63</v>
      </c>
      <c r="BC442" t="s">
        <v>63</v>
      </c>
      <c r="BD442" t="s">
        <v>63</v>
      </c>
      <c r="BE442" t="s">
        <v>63</v>
      </c>
      <c r="BF442" t="s">
        <v>63</v>
      </c>
    </row>
    <row r="443" spans="1:58">
      <c r="A443" t="s">
        <v>58</v>
      </c>
      <c r="B443" t="s">
        <v>4039</v>
      </c>
      <c r="C443" t="s">
        <v>4040</v>
      </c>
      <c r="D443" t="s">
        <v>205</v>
      </c>
      <c r="E443" t="s">
        <v>205</v>
      </c>
      <c r="F443">
        <v>1994</v>
      </c>
      <c r="G443" s="1">
        <v>41888</v>
      </c>
      <c r="H443">
        <v>272</v>
      </c>
      <c r="I443">
        <v>9</v>
      </c>
      <c r="J443">
        <v>659</v>
      </c>
      <c r="K443">
        <v>660</v>
      </c>
      <c r="L443" t="s">
        <v>4041</v>
      </c>
      <c r="M443" t="s">
        <v>63</v>
      </c>
      <c r="N443" t="s">
        <v>4042</v>
      </c>
      <c r="O443" t="s">
        <v>63</v>
      </c>
      <c r="Q443" t="s">
        <v>63</v>
      </c>
      <c r="R443" t="s">
        <v>63</v>
      </c>
      <c r="S443" t="s">
        <v>63</v>
      </c>
      <c r="T443" t="s">
        <v>63</v>
      </c>
      <c r="X443" t="s">
        <v>63</v>
      </c>
      <c r="Y443" t="s">
        <v>208</v>
      </c>
      <c r="Z443" t="s">
        <v>63</v>
      </c>
      <c r="AA443" t="s">
        <v>63</v>
      </c>
      <c r="AB443">
        <v>8064978</v>
      </c>
      <c r="AC443" t="s">
        <v>67</v>
      </c>
      <c r="AD443" t="s">
        <v>63</v>
      </c>
      <c r="AE443" t="s">
        <v>63</v>
      </c>
      <c r="AF443" t="s">
        <v>63</v>
      </c>
      <c r="AG443" t="s">
        <v>4043</v>
      </c>
      <c r="AH443" t="s">
        <v>63</v>
      </c>
      <c r="AI443" t="s">
        <v>63</v>
      </c>
      <c r="AJ443" t="s">
        <v>63</v>
      </c>
      <c r="AK443" t="s">
        <v>63</v>
      </c>
      <c r="AL443" t="s">
        <v>63</v>
      </c>
      <c r="AM443" t="s">
        <v>4044</v>
      </c>
      <c r="AN443" t="s">
        <v>63</v>
      </c>
      <c r="AO443" t="s">
        <v>63</v>
      </c>
      <c r="AP443" t="s">
        <v>63</v>
      </c>
      <c r="AQ443" t="s">
        <v>63</v>
      </c>
      <c r="AR443" t="s">
        <v>63</v>
      </c>
      <c r="AS443" t="s">
        <v>63</v>
      </c>
      <c r="AT443" t="s">
        <v>63</v>
      </c>
      <c r="AU443" t="s">
        <v>63</v>
      </c>
      <c r="AV443" t="s">
        <v>63</v>
      </c>
      <c r="AW443" t="s">
        <v>63</v>
      </c>
      <c r="AX443" t="s">
        <v>63</v>
      </c>
      <c r="AY443" t="s">
        <v>63</v>
      </c>
      <c r="AZ443" t="s">
        <v>63</v>
      </c>
      <c r="BA443" t="s">
        <v>63</v>
      </c>
      <c r="BB443" t="s">
        <v>63</v>
      </c>
      <c r="BC443" t="s">
        <v>63</v>
      </c>
      <c r="BD443" t="s">
        <v>63</v>
      </c>
      <c r="BE443" t="s">
        <v>63</v>
      </c>
      <c r="BF443" t="s">
        <v>63</v>
      </c>
    </row>
    <row r="444" spans="1:58">
      <c r="A444" t="s">
        <v>58</v>
      </c>
      <c r="B444" t="s">
        <v>4045</v>
      </c>
      <c r="C444" t="s">
        <v>4046</v>
      </c>
      <c r="D444" t="s">
        <v>4047</v>
      </c>
      <c r="E444" t="s">
        <v>63</v>
      </c>
      <c r="F444">
        <v>2013</v>
      </c>
      <c r="G444" t="s">
        <v>63</v>
      </c>
      <c r="H444">
        <v>42</v>
      </c>
      <c r="I444">
        <v>6</v>
      </c>
      <c r="J444">
        <v>588</v>
      </c>
      <c r="K444">
        <v>593</v>
      </c>
      <c r="L444" t="s">
        <v>63</v>
      </c>
      <c r="M444" t="s">
        <v>4048</v>
      </c>
      <c r="N444" t="s">
        <v>4049</v>
      </c>
      <c r="O444" t="s">
        <v>63</v>
      </c>
      <c r="Q444" t="s">
        <v>63</v>
      </c>
      <c r="R444" t="s">
        <v>63</v>
      </c>
      <c r="S444" t="s">
        <v>63</v>
      </c>
      <c r="T444" t="s">
        <v>63</v>
      </c>
      <c r="X444" t="s">
        <v>63</v>
      </c>
      <c r="Y444" t="s">
        <v>4050</v>
      </c>
      <c r="Z444" t="s">
        <v>63</v>
      </c>
      <c r="AA444" t="s">
        <v>4051</v>
      </c>
      <c r="AB444">
        <v>23967426</v>
      </c>
      <c r="AC444" t="s">
        <v>67</v>
      </c>
      <c r="AD444" t="s">
        <v>63</v>
      </c>
      <c r="AE444" t="s">
        <v>63</v>
      </c>
      <c r="AF444" t="s">
        <v>63</v>
      </c>
      <c r="AG444" t="s">
        <v>4052</v>
      </c>
      <c r="AH444" t="s">
        <v>63</v>
      </c>
      <c r="AI444" t="s">
        <v>63</v>
      </c>
      <c r="AJ444" t="s">
        <v>63</v>
      </c>
      <c r="AK444" t="s">
        <v>63</v>
      </c>
      <c r="AL444" t="s">
        <v>63</v>
      </c>
      <c r="AM444" t="s">
        <v>4053</v>
      </c>
      <c r="AN444" t="s">
        <v>63</v>
      </c>
      <c r="AO444" t="s">
        <v>63</v>
      </c>
      <c r="AP444" t="s">
        <v>63</v>
      </c>
      <c r="AQ444" t="s">
        <v>63</v>
      </c>
      <c r="AR444" t="s">
        <v>63</v>
      </c>
      <c r="AS444" t="s">
        <v>63</v>
      </c>
      <c r="AT444" t="s">
        <v>63</v>
      </c>
      <c r="AU444" t="s">
        <v>63</v>
      </c>
      <c r="AV444" t="s">
        <v>63</v>
      </c>
      <c r="AW444" t="s">
        <v>63</v>
      </c>
      <c r="AX444" t="s">
        <v>63</v>
      </c>
      <c r="AY444" t="s">
        <v>63</v>
      </c>
      <c r="AZ444" t="s">
        <v>63</v>
      </c>
      <c r="BA444" t="s">
        <v>63</v>
      </c>
      <c r="BB444" t="s">
        <v>63</v>
      </c>
      <c r="BC444" t="s">
        <v>63</v>
      </c>
      <c r="BD444" t="s">
        <v>63</v>
      </c>
      <c r="BE444" t="s">
        <v>63</v>
      </c>
      <c r="BF444" t="s">
        <v>63</v>
      </c>
    </row>
    <row r="445" spans="1:58">
      <c r="A445" t="s">
        <v>58</v>
      </c>
      <c r="B445" t="s">
        <v>4054</v>
      </c>
      <c r="C445" t="s">
        <v>4055</v>
      </c>
      <c r="D445" t="s">
        <v>3931</v>
      </c>
      <c r="E445" t="s">
        <v>63</v>
      </c>
      <c r="F445">
        <v>2010</v>
      </c>
      <c r="G445" t="s">
        <v>326</v>
      </c>
      <c r="H445">
        <v>99</v>
      </c>
      <c r="I445">
        <v>2</v>
      </c>
      <c r="J445">
        <v>209</v>
      </c>
      <c r="K445">
        <v>214</v>
      </c>
      <c r="L445" t="s">
        <v>4056</v>
      </c>
      <c r="M445" t="s">
        <v>4057</v>
      </c>
      <c r="N445" t="s">
        <v>4058</v>
      </c>
      <c r="O445" t="s">
        <v>63</v>
      </c>
      <c r="Q445" t="s">
        <v>63</v>
      </c>
      <c r="R445" t="s">
        <v>63</v>
      </c>
      <c r="S445" t="s">
        <v>63</v>
      </c>
      <c r="T445" t="s">
        <v>63</v>
      </c>
      <c r="X445" t="s">
        <v>63</v>
      </c>
      <c r="Y445" t="s">
        <v>4059</v>
      </c>
      <c r="Z445" t="s">
        <v>63</v>
      </c>
      <c r="AA445" t="s">
        <v>4060</v>
      </c>
      <c r="AB445">
        <v>19839963</v>
      </c>
      <c r="AC445" t="s">
        <v>67</v>
      </c>
      <c r="AD445" t="s">
        <v>63</v>
      </c>
      <c r="AE445" t="s">
        <v>63</v>
      </c>
      <c r="AF445" t="s">
        <v>63</v>
      </c>
      <c r="AG445" t="s">
        <v>4061</v>
      </c>
      <c r="AH445" t="s">
        <v>63</v>
      </c>
      <c r="AI445" t="s">
        <v>4062</v>
      </c>
      <c r="AJ445" t="s">
        <v>63</v>
      </c>
      <c r="AK445" t="s">
        <v>63</v>
      </c>
      <c r="AL445" t="s">
        <v>63</v>
      </c>
      <c r="AM445" t="s">
        <v>4063</v>
      </c>
      <c r="AN445" t="s">
        <v>63</v>
      </c>
      <c r="AO445" t="s">
        <v>63</v>
      </c>
      <c r="AP445" t="s">
        <v>63</v>
      </c>
      <c r="AQ445" t="s">
        <v>63</v>
      </c>
      <c r="AR445" t="s">
        <v>63</v>
      </c>
      <c r="AS445" t="s">
        <v>63</v>
      </c>
      <c r="AT445" t="s">
        <v>63</v>
      </c>
      <c r="AU445" t="s">
        <v>63</v>
      </c>
      <c r="AV445" t="s">
        <v>63</v>
      </c>
      <c r="AW445" t="s">
        <v>63</v>
      </c>
      <c r="AX445" t="s">
        <v>63</v>
      </c>
      <c r="AY445" t="s">
        <v>63</v>
      </c>
      <c r="AZ445" t="s">
        <v>63</v>
      </c>
      <c r="BA445" t="s">
        <v>63</v>
      </c>
      <c r="BB445" t="s">
        <v>63</v>
      </c>
      <c r="BC445" t="s">
        <v>63</v>
      </c>
      <c r="BD445" t="s">
        <v>63</v>
      </c>
      <c r="BE445" t="s">
        <v>63</v>
      </c>
      <c r="BF445" t="s">
        <v>63</v>
      </c>
    </row>
    <row r="446" spans="1:58">
      <c r="A446" t="s">
        <v>58</v>
      </c>
      <c r="B446" t="s">
        <v>4064</v>
      </c>
      <c r="C446" t="s">
        <v>4065</v>
      </c>
      <c r="D446" t="s">
        <v>4066</v>
      </c>
      <c r="E446" t="s">
        <v>4067</v>
      </c>
      <c r="F446">
        <v>2006</v>
      </c>
      <c r="G446" t="s">
        <v>1670</v>
      </c>
      <c r="H446">
        <v>19</v>
      </c>
      <c r="I446">
        <v>2</v>
      </c>
      <c r="J446">
        <v>155</v>
      </c>
      <c r="K446">
        <v>165</v>
      </c>
      <c r="L446" t="s">
        <v>4068</v>
      </c>
      <c r="M446" t="s">
        <v>4069</v>
      </c>
      <c r="N446" t="s">
        <v>4070</v>
      </c>
      <c r="O446" t="s">
        <v>63</v>
      </c>
      <c r="Q446" t="s">
        <v>63</v>
      </c>
      <c r="R446" t="s">
        <v>63</v>
      </c>
      <c r="S446" t="s">
        <v>63</v>
      </c>
      <c r="T446" t="s">
        <v>63</v>
      </c>
      <c r="X446" t="s">
        <v>63</v>
      </c>
      <c r="Y446" t="s">
        <v>4071</v>
      </c>
      <c r="Z446" t="s">
        <v>63</v>
      </c>
      <c r="AA446" t="s">
        <v>4072</v>
      </c>
      <c r="AB446">
        <v>16831798</v>
      </c>
      <c r="AC446" t="s">
        <v>67</v>
      </c>
      <c r="AD446" t="s">
        <v>63</v>
      </c>
      <c r="AE446" t="s">
        <v>63</v>
      </c>
      <c r="AF446" t="s">
        <v>63</v>
      </c>
      <c r="AG446" t="s">
        <v>4073</v>
      </c>
      <c r="AH446" t="s">
        <v>63</v>
      </c>
      <c r="AI446" t="s">
        <v>63</v>
      </c>
      <c r="AJ446" t="s">
        <v>63</v>
      </c>
      <c r="AK446" t="s">
        <v>63</v>
      </c>
      <c r="AL446" t="s">
        <v>63</v>
      </c>
      <c r="AM446" t="s">
        <v>4074</v>
      </c>
      <c r="AN446" t="s">
        <v>63</v>
      </c>
      <c r="AO446" t="s">
        <v>63</v>
      </c>
      <c r="AP446" t="s">
        <v>63</v>
      </c>
      <c r="AQ446" t="s">
        <v>63</v>
      </c>
      <c r="AR446" t="s">
        <v>63</v>
      </c>
      <c r="AS446" t="s">
        <v>63</v>
      </c>
      <c r="AT446" t="s">
        <v>63</v>
      </c>
      <c r="AU446" t="s">
        <v>63</v>
      </c>
      <c r="AV446" t="s">
        <v>63</v>
      </c>
      <c r="AW446" t="s">
        <v>63</v>
      </c>
      <c r="AX446" t="s">
        <v>63</v>
      </c>
      <c r="AY446" t="s">
        <v>63</v>
      </c>
      <c r="AZ446" t="s">
        <v>63</v>
      </c>
      <c r="BA446" t="s">
        <v>63</v>
      </c>
      <c r="BB446" t="s">
        <v>63</v>
      </c>
      <c r="BC446" t="s">
        <v>63</v>
      </c>
      <c r="BD446" t="s">
        <v>63</v>
      </c>
      <c r="BE446" t="s">
        <v>63</v>
      </c>
      <c r="BF446" t="s">
        <v>63</v>
      </c>
    </row>
    <row r="447" spans="1:58">
      <c r="A447" t="s">
        <v>58</v>
      </c>
      <c r="B447" t="s">
        <v>4075</v>
      </c>
      <c r="C447" t="s">
        <v>4076</v>
      </c>
      <c r="D447" t="s">
        <v>4077</v>
      </c>
      <c r="E447" t="s">
        <v>63</v>
      </c>
      <c r="F447">
        <v>2014</v>
      </c>
      <c r="G447" t="s">
        <v>63</v>
      </c>
      <c r="H447">
        <v>5</v>
      </c>
      <c r="I447" t="s">
        <v>63</v>
      </c>
      <c r="J447">
        <v>107</v>
      </c>
      <c r="K447">
        <v>120</v>
      </c>
      <c r="L447" t="s">
        <v>63</v>
      </c>
      <c r="M447" t="s">
        <v>4078</v>
      </c>
      <c r="N447" t="s">
        <v>4079</v>
      </c>
      <c r="O447" t="s">
        <v>63</v>
      </c>
      <c r="Q447" t="s">
        <v>63</v>
      </c>
      <c r="R447" t="s">
        <v>63</v>
      </c>
      <c r="S447" t="s">
        <v>63</v>
      </c>
      <c r="T447" t="s">
        <v>63</v>
      </c>
      <c r="X447" t="s">
        <v>63</v>
      </c>
      <c r="Y447" t="s">
        <v>4080</v>
      </c>
      <c r="Z447" t="s">
        <v>63</v>
      </c>
      <c r="AA447" t="s">
        <v>4081</v>
      </c>
      <c r="AB447">
        <v>25187753</v>
      </c>
      <c r="AC447" t="s">
        <v>67</v>
      </c>
      <c r="AD447" t="s">
        <v>63</v>
      </c>
      <c r="AE447" t="s">
        <v>63</v>
      </c>
      <c r="AF447" t="s">
        <v>63</v>
      </c>
      <c r="AG447" t="s">
        <v>4082</v>
      </c>
      <c r="AH447" t="s">
        <v>63</v>
      </c>
      <c r="AI447" t="s">
        <v>4083</v>
      </c>
      <c r="AJ447" t="s">
        <v>63</v>
      </c>
      <c r="AK447" t="s">
        <v>63</v>
      </c>
      <c r="AL447" t="s">
        <v>63</v>
      </c>
      <c r="AM447" t="s">
        <v>4084</v>
      </c>
      <c r="AN447" t="s">
        <v>63</v>
      </c>
      <c r="AO447" t="s">
        <v>63</v>
      </c>
      <c r="AP447" t="s">
        <v>63</v>
      </c>
      <c r="AQ447" t="s">
        <v>63</v>
      </c>
      <c r="AR447" t="s">
        <v>63</v>
      </c>
      <c r="AS447" t="s">
        <v>63</v>
      </c>
      <c r="AT447" t="s">
        <v>63</v>
      </c>
      <c r="AU447" t="s">
        <v>63</v>
      </c>
      <c r="AV447" t="s">
        <v>63</v>
      </c>
      <c r="AW447" t="s">
        <v>63</v>
      </c>
      <c r="AX447" t="s">
        <v>63</v>
      </c>
      <c r="AY447" t="s">
        <v>63</v>
      </c>
      <c r="AZ447" t="s">
        <v>63</v>
      </c>
      <c r="BA447" t="s">
        <v>63</v>
      </c>
      <c r="BB447" t="s">
        <v>63</v>
      </c>
      <c r="BC447" t="s">
        <v>63</v>
      </c>
      <c r="BD447" t="s">
        <v>63</v>
      </c>
      <c r="BE447" t="s">
        <v>63</v>
      </c>
      <c r="BF447" t="s">
        <v>63</v>
      </c>
    </row>
    <row r="448" spans="1:58">
      <c r="A448" t="s">
        <v>58</v>
      </c>
      <c r="B448" t="s">
        <v>4085</v>
      </c>
      <c r="C448" t="s">
        <v>4086</v>
      </c>
      <c r="D448" t="s">
        <v>4087</v>
      </c>
      <c r="E448" t="s">
        <v>63</v>
      </c>
      <c r="F448">
        <v>2006</v>
      </c>
      <c r="G448" s="1">
        <v>41923</v>
      </c>
      <c r="H448">
        <v>14</v>
      </c>
      <c r="I448" t="s">
        <v>63</v>
      </c>
      <c r="J448">
        <v>24</v>
      </c>
      <c r="K448" t="s">
        <v>63</v>
      </c>
      <c r="L448" t="s">
        <v>63</v>
      </c>
      <c r="M448" t="s">
        <v>4088</v>
      </c>
      <c r="N448" t="s">
        <v>4089</v>
      </c>
      <c r="O448" t="s">
        <v>63</v>
      </c>
      <c r="Q448" t="s">
        <v>63</v>
      </c>
      <c r="R448" t="s">
        <v>63</v>
      </c>
      <c r="S448" t="s">
        <v>63</v>
      </c>
      <c r="T448" t="s">
        <v>63</v>
      </c>
      <c r="X448" t="s">
        <v>63</v>
      </c>
      <c r="Y448" t="s">
        <v>4090</v>
      </c>
      <c r="Z448" t="s">
        <v>63</v>
      </c>
      <c r="AA448" t="s">
        <v>4091</v>
      </c>
      <c r="AB448">
        <v>17038182</v>
      </c>
      <c r="AC448" t="s">
        <v>67</v>
      </c>
      <c r="AD448" t="s">
        <v>63</v>
      </c>
      <c r="AE448" t="s">
        <v>63</v>
      </c>
      <c r="AF448" t="s">
        <v>63</v>
      </c>
      <c r="AG448" t="s">
        <v>4092</v>
      </c>
      <c r="AH448" t="s">
        <v>63</v>
      </c>
      <c r="AI448" t="s">
        <v>63</v>
      </c>
      <c r="AJ448" t="s">
        <v>63</v>
      </c>
      <c r="AK448" t="s">
        <v>63</v>
      </c>
      <c r="AL448" t="s">
        <v>63</v>
      </c>
      <c r="AM448" t="s">
        <v>4093</v>
      </c>
      <c r="AN448" t="s">
        <v>63</v>
      </c>
      <c r="AO448" t="s">
        <v>63</v>
      </c>
      <c r="AP448" t="s">
        <v>63</v>
      </c>
      <c r="AQ448" t="s">
        <v>63</v>
      </c>
      <c r="AR448" t="s">
        <v>63</v>
      </c>
      <c r="AS448" t="s">
        <v>63</v>
      </c>
      <c r="AT448" t="s">
        <v>63</v>
      </c>
      <c r="AU448" t="s">
        <v>63</v>
      </c>
      <c r="AV448" t="s">
        <v>63</v>
      </c>
      <c r="AW448" t="s">
        <v>63</v>
      </c>
      <c r="AX448" t="s">
        <v>63</v>
      </c>
      <c r="AY448" t="s">
        <v>63</v>
      </c>
      <c r="AZ448" t="s">
        <v>63</v>
      </c>
      <c r="BA448" t="s">
        <v>63</v>
      </c>
      <c r="BB448" t="s">
        <v>63</v>
      </c>
      <c r="BC448" t="s">
        <v>63</v>
      </c>
      <c r="BD448" t="s">
        <v>63</v>
      </c>
      <c r="BE448" t="s">
        <v>63</v>
      </c>
      <c r="BF448" t="s">
        <v>63</v>
      </c>
    </row>
    <row r="449" spans="1:58">
      <c r="A449" t="s">
        <v>58</v>
      </c>
      <c r="B449" t="s">
        <v>4094</v>
      </c>
      <c r="C449" t="s">
        <v>4095</v>
      </c>
      <c r="D449" t="s">
        <v>790</v>
      </c>
      <c r="E449" t="s">
        <v>791</v>
      </c>
      <c r="F449">
        <v>2016</v>
      </c>
      <c r="G449" t="s">
        <v>326</v>
      </c>
      <c r="H449">
        <v>53</v>
      </c>
      <c r="I449" t="s">
        <v>63</v>
      </c>
      <c r="J449">
        <v>80</v>
      </c>
      <c r="K449">
        <v>85</v>
      </c>
      <c r="L449" t="s">
        <v>4096</v>
      </c>
      <c r="M449" t="s">
        <v>4097</v>
      </c>
      <c r="N449" t="s">
        <v>4098</v>
      </c>
      <c r="O449" t="s">
        <v>63</v>
      </c>
      <c r="Q449" t="s">
        <v>63</v>
      </c>
      <c r="R449" t="s">
        <v>63</v>
      </c>
      <c r="S449" t="s">
        <v>63</v>
      </c>
      <c r="T449" t="s">
        <v>63</v>
      </c>
      <c r="X449" t="s">
        <v>63</v>
      </c>
      <c r="Y449" t="s">
        <v>2397</v>
      </c>
      <c r="Z449" t="s">
        <v>63</v>
      </c>
      <c r="AA449" t="s">
        <v>4099</v>
      </c>
      <c r="AB449">
        <v>26476004</v>
      </c>
      <c r="AC449" t="s">
        <v>67</v>
      </c>
      <c r="AD449" t="s">
        <v>63</v>
      </c>
      <c r="AE449" t="s">
        <v>63</v>
      </c>
      <c r="AF449" t="s">
        <v>63</v>
      </c>
      <c r="AG449" t="s">
        <v>4100</v>
      </c>
      <c r="AH449" t="s">
        <v>63</v>
      </c>
      <c r="AI449" t="s">
        <v>4101</v>
      </c>
      <c r="AJ449" t="s">
        <v>63</v>
      </c>
      <c r="AK449" t="s">
        <v>63</v>
      </c>
      <c r="AL449" t="s">
        <v>63</v>
      </c>
      <c r="AM449" t="s">
        <v>4102</v>
      </c>
      <c r="AN449" t="s">
        <v>63</v>
      </c>
      <c r="AO449" t="s">
        <v>63</v>
      </c>
      <c r="AP449" t="s">
        <v>63</v>
      </c>
      <c r="AQ449" t="s">
        <v>63</v>
      </c>
      <c r="AR449" t="s">
        <v>63</v>
      </c>
      <c r="AS449" t="s">
        <v>63</v>
      </c>
      <c r="AT449" t="s">
        <v>63</v>
      </c>
      <c r="AU449" t="s">
        <v>63</v>
      </c>
      <c r="AV449" t="s">
        <v>63</v>
      </c>
      <c r="AW449" t="s">
        <v>63</v>
      </c>
      <c r="AX449" t="s">
        <v>63</v>
      </c>
      <c r="AY449" t="s">
        <v>63</v>
      </c>
      <c r="AZ449" t="s">
        <v>63</v>
      </c>
      <c r="BA449" t="s">
        <v>63</v>
      </c>
      <c r="BB449" t="s">
        <v>63</v>
      </c>
      <c r="BC449" t="s">
        <v>63</v>
      </c>
      <c r="BD449" t="s">
        <v>63</v>
      </c>
      <c r="BE449" t="s">
        <v>63</v>
      </c>
      <c r="BF449" t="s">
        <v>63</v>
      </c>
    </row>
    <row r="450" spans="1:58">
      <c r="A450" t="s">
        <v>58</v>
      </c>
      <c r="B450" t="s">
        <v>4103</v>
      </c>
      <c r="C450" t="s">
        <v>4104</v>
      </c>
      <c r="D450" t="s">
        <v>4105</v>
      </c>
      <c r="E450" t="s">
        <v>4106</v>
      </c>
      <c r="F450">
        <v>2006</v>
      </c>
      <c r="G450" t="s">
        <v>147</v>
      </c>
      <c r="H450">
        <v>103</v>
      </c>
      <c r="I450">
        <v>2</v>
      </c>
      <c r="J450">
        <v>175</v>
      </c>
      <c r="K450">
        <v>179</v>
      </c>
      <c r="L450" t="s">
        <v>4107</v>
      </c>
      <c r="M450" t="s">
        <v>4108</v>
      </c>
      <c r="N450" t="s">
        <v>4109</v>
      </c>
      <c r="O450" t="s">
        <v>63</v>
      </c>
      <c r="Q450" t="s">
        <v>63</v>
      </c>
      <c r="R450" t="s">
        <v>63</v>
      </c>
      <c r="S450" t="s">
        <v>63</v>
      </c>
      <c r="T450" t="s">
        <v>63</v>
      </c>
      <c r="X450" t="s">
        <v>63</v>
      </c>
      <c r="Y450" t="s">
        <v>4110</v>
      </c>
      <c r="Z450" t="s">
        <v>63</v>
      </c>
      <c r="AA450" t="s">
        <v>4111</v>
      </c>
      <c r="AB450">
        <v>16703720</v>
      </c>
      <c r="AC450" t="s">
        <v>67</v>
      </c>
      <c r="AD450" t="s">
        <v>63</v>
      </c>
      <c r="AE450" t="s">
        <v>63</v>
      </c>
      <c r="AF450" t="s">
        <v>63</v>
      </c>
      <c r="AG450" t="s">
        <v>4112</v>
      </c>
      <c r="AH450" t="s">
        <v>63</v>
      </c>
      <c r="AI450" t="s">
        <v>63</v>
      </c>
      <c r="AJ450" t="s">
        <v>63</v>
      </c>
      <c r="AK450" t="s">
        <v>63</v>
      </c>
      <c r="AL450" t="s">
        <v>63</v>
      </c>
      <c r="AM450" t="s">
        <v>4113</v>
      </c>
      <c r="AN450" t="s">
        <v>63</v>
      </c>
      <c r="AO450" t="s">
        <v>63</v>
      </c>
      <c r="AP450" t="s">
        <v>63</v>
      </c>
      <c r="AQ450" t="s">
        <v>63</v>
      </c>
      <c r="AR450" t="s">
        <v>63</v>
      </c>
      <c r="AS450" t="s">
        <v>63</v>
      </c>
      <c r="AT450" t="s">
        <v>63</v>
      </c>
      <c r="AU450" t="s">
        <v>63</v>
      </c>
      <c r="AV450" t="s">
        <v>63</v>
      </c>
      <c r="AW450" t="s">
        <v>63</v>
      </c>
      <c r="AX450" t="s">
        <v>63</v>
      </c>
      <c r="AY450" t="s">
        <v>63</v>
      </c>
      <c r="AZ450" t="s">
        <v>63</v>
      </c>
      <c r="BA450" t="s">
        <v>63</v>
      </c>
      <c r="BB450" t="s">
        <v>63</v>
      </c>
      <c r="BC450" t="s">
        <v>63</v>
      </c>
      <c r="BD450" t="s">
        <v>63</v>
      </c>
      <c r="BE450" t="s">
        <v>63</v>
      </c>
      <c r="BF450" t="s">
        <v>63</v>
      </c>
    </row>
    <row r="451" spans="1:58">
      <c r="A451" t="s">
        <v>58</v>
      </c>
      <c r="B451" t="s">
        <v>4114</v>
      </c>
      <c r="C451" t="s">
        <v>4115</v>
      </c>
      <c r="D451" t="s">
        <v>4116</v>
      </c>
      <c r="E451" t="s">
        <v>4117</v>
      </c>
      <c r="F451">
        <v>1983</v>
      </c>
      <c r="G451" t="s">
        <v>181</v>
      </c>
      <c r="H451">
        <v>44</v>
      </c>
      <c r="I451">
        <v>5</v>
      </c>
      <c r="J451">
        <v>885</v>
      </c>
      <c r="K451">
        <v>899</v>
      </c>
      <c r="L451" t="s">
        <v>4118</v>
      </c>
      <c r="M451" t="s">
        <v>4119</v>
      </c>
      <c r="N451" t="s">
        <v>4120</v>
      </c>
      <c r="O451" t="s">
        <v>63</v>
      </c>
      <c r="Q451" t="s">
        <v>63</v>
      </c>
      <c r="R451" t="s">
        <v>63</v>
      </c>
      <c r="S451" t="s">
        <v>63</v>
      </c>
      <c r="T451" t="s">
        <v>63</v>
      </c>
      <c r="X451" t="s">
        <v>63</v>
      </c>
      <c r="Y451" t="s">
        <v>4121</v>
      </c>
      <c r="Z451" t="s">
        <v>63</v>
      </c>
      <c r="AA451" t="s">
        <v>63</v>
      </c>
      <c r="AB451">
        <v>6645548</v>
      </c>
      <c r="AC451" t="s">
        <v>67</v>
      </c>
      <c r="AD451" t="s">
        <v>63</v>
      </c>
      <c r="AE451" t="s">
        <v>63</v>
      </c>
      <c r="AF451" t="s">
        <v>63</v>
      </c>
      <c r="AG451" t="s">
        <v>4122</v>
      </c>
      <c r="AH451" t="s">
        <v>63</v>
      </c>
      <c r="AI451" t="s">
        <v>63</v>
      </c>
      <c r="AJ451" t="s">
        <v>63</v>
      </c>
      <c r="AK451" t="s">
        <v>63</v>
      </c>
      <c r="AL451" t="s">
        <v>63</v>
      </c>
      <c r="AM451" t="s">
        <v>4123</v>
      </c>
      <c r="AN451" t="s">
        <v>63</v>
      </c>
      <c r="AO451" t="s">
        <v>63</v>
      </c>
      <c r="AP451" t="s">
        <v>63</v>
      </c>
      <c r="AQ451" t="s">
        <v>63</v>
      </c>
      <c r="AR451" t="s">
        <v>63</v>
      </c>
      <c r="AS451" t="s">
        <v>63</v>
      </c>
      <c r="AT451" t="s">
        <v>63</v>
      </c>
      <c r="AU451" t="s">
        <v>63</v>
      </c>
      <c r="AV451" t="s">
        <v>63</v>
      </c>
      <c r="AW451" t="s">
        <v>63</v>
      </c>
      <c r="AX451" t="s">
        <v>63</v>
      </c>
      <c r="AY451" t="s">
        <v>63</v>
      </c>
      <c r="AZ451" t="s">
        <v>63</v>
      </c>
      <c r="BA451" t="s">
        <v>63</v>
      </c>
      <c r="BB451" t="s">
        <v>63</v>
      </c>
      <c r="BC451" t="s">
        <v>63</v>
      </c>
      <c r="BD451" t="s">
        <v>63</v>
      </c>
      <c r="BE451" t="s">
        <v>63</v>
      </c>
      <c r="BF451" t="s">
        <v>63</v>
      </c>
    </row>
    <row r="452" spans="1:58">
      <c r="A452" t="s">
        <v>58</v>
      </c>
      <c r="B452" t="s">
        <v>4114</v>
      </c>
      <c r="C452" t="s">
        <v>4124</v>
      </c>
      <c r="D452" t="s">
        <v>3890</v>
      </c>
      <c r="E452" t="s">
        <v>3891</v>
      </c>
      <c r="F452">
        <v>1982</v>
      </c>
      <c r="G452" t="s">
        <v>138</v>
      </c>
      <c r="H452">
        <v>17</v>
      </c>
      <c r="I452">
        <v>7</v>
      </c>
      <c r="J452">
        <v>1211</v>
      </c>
      <c r="K452">
        <v>1229</v>
      </c>
      <c r="L452" t="s">
        <v>4125</v>
      </c>
      <c r="M452" t="s">
        <v>4126</v>
      </c>
      <c r="N452" t="s">
        <v>4127</v>
      </c>
      <c r="O452" t="s">
        <v>63</v>
      </c>
      <c r="Q452" t="s">
        <v>63</v>
      </c>
      <c r="R452" t="s">
        <v>63</v>
      </c>
      <c r="S452" t="s">
        <v>63</v>
      </c>
      <c r="T452" t="s">
        <v>63</v>
      </c>
      <c r="X452" t="s">
        <v>63</v>
      </c>
      <c r="Y452" t="s">
        <v>3894</v>
      </c>
      <c r="Z452" t="s">
        <v>63</v>
      </c>
      <c r="AA452" t="s">
        <v>63</v>
      </c>
      <c r="AB452">
        <v>6757156</v>
      </c>
      <c r="AC452" t="s">
        <v>67</v>
      </c>
      <c r="AD452" t="s">
        <v>63</v>
      </c>
      <c r="AE452" t="s">
        <v>63</v>
      </c>
      <c r="AF452" t="s">
        <v>63</v>
      </c>
      <c r="AG452" t="s">
        <v>4128</v>
      </c>
      <c r="AH452" t="s">
        <v>63</v>
      </c>
      <c r="AI452" t="s">
        <v>63</v>
      </c>
      <c r="AJ452" t="s">
        <v>63</v>
      </c>
      <c r="AK452" t="s">
        <v>63</v>
      </c>
      <c r="AL452" t="s">
        <v>63</v>
      </c>
      <c r="AM452" t="s">
        <v>4129</v>
      </c>
      <c r="AN452" t="s">
        <v>63</v>
      </c>
      <c r="AO452" t="s">
        <v>63</v>
      </c>
      <c r="AP452" t="s">
        <v>63</v>
      </c>
      <c r="AQ452" t="s">
        <v>63</v>
      </c>
      <c r="AR452" t="s">
        <v>63</v>
      </c>
      <c r="AS452" t="s">
        <v>63</v>
      </c>
      <c r="AT452" t="s">
        <v>63</v>
      </c>
      <c r="AU452" t="s">
        <v>63</v>
      </c>
      <c r="AV452" t="s">
        <v>63</v>
      </c>
      <c r="AW452" t="s">
        <v>63</v>
      </c>
      <c r="AX452" t="s">
        <v>63</v>
      </c>
      <c r="AY452" t="s">
        <v>63</v>
      </c>
      <c r="AZ452" t="s">
        <v>63</v>
      </c>
      <c r="BA452" t="s">
        <v>63</v>
      </c>
      <c r="BB452" t="s">
        <v>63</v>
      </c>
      <c r="BC452" t="s">
        <v>63</v>
      </c>
      <c r="BD452" t="s">
        <v>63</v>
      </c>
      <c r="BE452" t="s">
        <v>63</v>
      </c>
      <c r="BF452" t="s">
        <v>63</v>
      </c>
    </row>
    <row r="453" spans="1:58">
      <c r="A453" t="s">
        <v>58</v>
      </c>
      <c r="B453" t="s">
        <v>4130</v>
      </c>
      <c r="C453" t="s">
        <v>4131</v>
      </c>
      <c r="D453" t="s">
        <v>2576</v>
      </c>
      <c r="E453" t="s">
        <v>2577</v>
      </c>
      <c r="F453">
        <v>1971</v>
      </c>
      <c r="G453" s="1">
        <v>41726</v>
      </c>
      <c r="H453">
        <v>178</v>
      </c>
      <c r="I453" t="s">
        <v>63</v>
      </c>
      <c r="J453">
        <v>87</v>
      </c>
      <c r="K453">
        <v>91</v>
      </c>
      <c r="L453" t="s">
        <v>4132</v>
      </c>
      <c r="M453" t="s">
        <v>63</v>
      </c>
      <c r="N453" t="s">
        <v>4133</v>
      </c>
      <c r="O453" t="s">
        <v>63</v>
      </c>
      <c r="Q453" t="s">
        <v>63</v>
      </c>
      <c r="R453" t="s">
        <v>63</v>
      </c>
      <c r="S453" t="s">
        <v>63</v>
      </c>
      <c r="T453" t="s">
        <v>63</v>
      </c>
      <c r="X453" t="s">
        <v>63</v>
      </c>
      <c r="Y453" t="s">
        <v>2580</v>
      </c>
      <c r="Z453" t="s">
        <v>63</v>
      </c>
      <c r="AA453" t="s">
        <v>63</v>
      </c>
      <c r="AB453">
        <v>5282663</v>
      </c>
      <c r="AC453" t="s">
        <v>67</v>
      </c>
      <c r="AD453" t="s">
        <v>63</v>
      </c>
      <c r="AE453" t="s">
        <v>63</v>
      </c>
      <c r="AF453" t="s">
        <v>63</v>
      </c>
      <c r="AG453" t="s">
        <v>4134</v>
      </c>
      <c r="AH453" t="s">
        <v>63</v>
      </c>
      <c r="AI453" t="s">
        <v>63</v>
      </c>
      <c r="AJ453" t="s">
        <v>63</v>
      </c>
      <c r="AK453" t="s">
        <v>63</v>
      </c>
      <c r="AL453" t="s">
        <v>63</v>
      </c>
      <c r="AM453" t="s">
        <v>4135</v>
      </c>
      <c r="AN453" t="s">
        <v>63</v>
      </c>
      <c r="AO453" t="s">
        <v>63</v>
      </c>
      <c r="AP453" t="s">
        <v>63</v>
      </c>
      <c r="AQ453" t="s">
        <v>63</v>
      </c>
      <c r="AR453" t="s">
        <v>63</v>
      </c>
      <c r="AS453" t="s">
        <v>63</v>
      </c>
      <c r="AT453" t="s">
        <v>63</v>
      </c>
      <c r="AU453" t="s">
        <v>63</v>
      </c>
      <c r="AV453" t="s">
        <v>63</v>
      </c>
      <c r="AW453" t="s">
        <v>63</v>
      </c>
      <c r="AX453" t="s">
        <v>63</v>
      </c>
      <c r="AY453" t="s">
        <v>63</v>
      </c>
      <c r="AZ453" t="s">
        <v>63</v>
      </c>
      <c r="BA453" t="s">
        <v>63</v>
      </c>
      <c r="BB453" t="s">
        <v>63</v>
      </c>
      <c r="BC453" t="s">
        <v>63</v>
      </c>
      <c r="BD453" t="s">
        <v>63</v>
      </c>
      <c r="BE453" t="s">
        <v>63</v>
      </c>
      <c r="BF453" t="s">
        <v>63</v>
      </c>
    </row>
    <row r="454" spans="1:58">
      <c r="A454" t="s">
        <v>58</v>
      </c>
      <c r="B454" t="s">
        <v>4136</v>
      </c>
      <c r="C454" t="s">
        <v>4137</v>
      </c>
      <c r="D454" t="s">
        <v>325</v>
      </c>
      <c r="E454" t="s">
        <v>63</v>
      </c>
      <c r="F454">
        <v>2011</v>
      </c>
      <c r="G454" t="s">
        <v>908</v>
      </c>
      <c r="H454">
        <v>35</v>
      </c>
      <c r="I454">
        <v>4</v>
      </c>
      <c r="J454">
        <v>238</v>
      </c>
      <c r="K454">
        <v>240</v>
      </c>
      <c r="L454" t="s">
        <v>4138</v>
      </c>
      <c r="M454" t="s">
        <v>4139</v>
      </c>
      <c r="N454" t="s">
        <v>4140</v>
      </c>
      <c r="O454" t="s">
        <v>63</v>
      </c>
      <c r="Q454" t="s">
        <v>63</v>
      </c>
      <c r="R454" t="s">
        <v>63</v>
      </c>
      <c r="S454" t="s">
        <v>63</v>
      </c>
      <c r="T454" t="s">
        <v>63</v>
      </c>
      <c r="X454" t="s">
        <v>63</v>
      </c>
      <c r="Y454" t="s">
        <v>330</v>
      </c>
      <c r="Z454" t="s">
        <v>63</v>
      </c>
      <c r="AA454" t="s">
        <v>4141</v>
      </c>
      <c r="AB454">
        <v>21804042</v>
      </c>
      <c r="AC454" t="s">
        <v>67</v>
      </c>
      <c r="AD454" t="s">
        <v>63</v>
      </c>
      <c r="AE454" t="s">
        <v>63</v>
      </c>
      <c r="AF454" t="s">
        <v>63</v>
      </c>
      <c r="AG454" t="s">
        <v>4142</v>
      </c>
      <c r="AH454" t="s">
        <v>63</v>
      </c>
      <c r="AI454" t="s">
        <v>4143</v>
      </c>
      <c r="AJ454" t="s">
        <v>63</v>
      </c>
      <c r="AK454" t="s">
        <v>63</v>
      </c>
      <c r="AL454" t="s">
        <v>63</v>
      </c>
      <c r="AM454" t="s">
        <v>4144</v>
      </c>
      <c r="AN454" t="s">
        <v>63</v>
      </c>
      <c r="AO454" t="s">
        <v>63</v>
      </c>
      <c r="AP454" t="s">
        <v>63</v>
      </c>
      <c r="AQ454" t="s">
        <v>63</v>
      </c>
      <c r="AR454" t="s">
        <v>63</v>
      </c>
      <c r="AS454" t="s">
        <v>63</v>
      </c>
      <c r="AT454" t="s">
        <v>63</v>
      </c>
      <c r="AU454" t="s">
        <v>63</v>
      </c>
      <c r="AV454" t="s">
        <v>63</v>
      </c>
      <c r="AW454" t="s">
        <v>63</v>
      </c>
      <c r="AX454" t="s">
        <v>63</v>
      </c>
      <c r="AY454" t="s">
        <v>63</v>
      </c>
      <c r="AZ454" t="s">
        <v>63</v>
      </c>
      <c r="BA454" t="s">
        <v>63</v>
      </c>
      <c r="BB454" t="s">
        <v>63</v>
      </c>
      <c r="BC454" t="s">
        <v>63</v>
      </c>
      <c r="BD454" t="s">
        <v>63</v>
      </c>
      <c r="BE454" t="s">
        <v>63</v>
      </c>
      <c r="BF454" t="s">
        <v>63</v>
      </c>
    </row>
    <row r="455" spans="1:58">
      <c r="A455" t="s">
        <v>58</v>
      </c>
      <c r="B455" t="s">
        <v>4145</v>
      </c>
      <c r="C455" t="s">
        <v>4146</v>
      </c>
      <c r="D455" t="s">
        <v>349</v>
      </c>
      <c r="E455" t="s">
        <v>350</v>
      </c>
      <c r="F455">
        <v>1997</v>
      </c>
      <c r="G455" t="s">
        <v>1114</v>
      </c>
      <c r="H455">
        <v>13</v>
      </c>
      <c r="I455">
        <v>3</v>
      </c>
      <c r="J455">
        <v>153</v>
      </c>
      <c r="K455">
        <v>158</v>
      </c>
      <c r="L455" t="s">
        <v>4147</v>
      </c>
      <c r="M455" t="s">
        <v>4148</v>
      </c>
      <c r="N455" t="s">
        <v>4149</v>
      </c>
      <c r="O455" t="s">
        <v>63</v>
      </c>
      <c r="Q455" t="s">
        <v>63</v>
      </c>
      <c r="R455" t="s">
        <v>63</v>
      </c>
      <c r="S455" t="s">
        <v>63</v>
      </c>
      <c r="T455" t="s">
        <v>63</v>
      </c>
      <c r="X455" t="s">
        <v>63</v>
      </c>
      <c r="Y455" t="s">
        <v>354</v>
      </c>
      <c r="Z455" t="s">
        <v>63</v>
      </c>
      <c r="AA455" t="s">
        <v>4150</v>
      </c>
      <c r="AB455">
        <v>9181201</v>
      </c>
      <c r="AC455" t="s">
        <v>67</v>
      </c>
      <c r="AD455" t="s">
        <v>63</v>
      </c>
      <c r="AE455" t="s">
        <v>63</v>
      </c>
      <c r="AF455" t="s">
        <v>63</v>
      </c>
      <c r="AG455" t="s">
        <v>4151</v>
      </c>
      <c r="AH455" t="s">
        <v>63</v>
      </c>
      <c r="AI455" t="s">
        <v>63</v>
      </c>
      <c r="AJ455" t="s">
        <v>63</v>
      </c>
      <c r="AK455" t="s">
        <v>63</v>
      </c>
      <c r="AL455" t="s">
        <v>63</v>
      </c>
      <c r="AM455" t="s">
        <v>4152</v>
      </c>
      <c r="AN455" t="s">
        <v>63</v>
      </c>
      <c r="AO455" t="s">
        <v>63</v>
      </c>
      <c r="AP455" t="s">
        <v>63</v>
      </c>
      <c r="AQ455" t="s">
        <v>63</v>
      </c>
      <c r="AR455" t="s">
        <v>63</v>
      </c>
      <c r="AS455" t="s">
        <v>63</v>
      </c>
      <c r="AT455" t="s">
        <v>63</v>
      </c>
      <c r="AU455" t="s">
        <v>63</v>
      </c>
      <c r="AV455" t="s">
        <v>63</v>
      </c>
      <c r="AW455" t="s">
        <v>63</v>
      </c>
      <c r="AX455" t="s">
        <v>63</v>
      </c>
      <c r="AY455" t="s">
        <v>63</v>
      </c>
      <c r="AZ455" t="s">
        <v>63</v>
      </c>
      <c r="BA455" t="s">
        <v>63</v>
      </c>
      <c r="BB455" t="s">
        <v>63</v>
      </c>
      <c r="BC455" t="s">
        <v>63</v>
      </c>
      <c r="BD455" t="s">
        <v>63</v>
      </c>
      <c r="BE455" t="s">
        <v>63</v>
      </c>
      <c r="BF455" t="s">
        <v>63</v>
      </c>
    </row>
    <row r="456" spans="1:58">
      <c r="A456" t="s">
        <v>58</v>
      </c>
      <c r="B456" t="s">
        <v>4153</v>
      </c>
      <c r="C456" t="s">
        <v>4154</v>
      </c>
      <c r="D456" t="s">
        <v>4155</v>
      </c>
      <c r="E456" t="s">
        <v>4156</v>
      </c>
      <c r="F456">
        <v>1988</v>
      </c>
      <c r="G456" t="s">
        <v>73</v>
      </c>
      <c r="H456">
        <v>56</v>
      </c>
      <c r="I456">
        <v>6</v>
      </c>
      <c r="J456">
        <v>273</v>
      </c>
      <c r="K456">
        <v>277</v>
      </c>
      <c r="L456" t="s">
        <v>4157</v>
      </c>
      <c r="M456" t="s">
        <v>63</v>
      </c>
      <c r="N456" t="s">
        <v>4158</v>
      </c>
      <c r="O456" t="s">
        <v>63</v>
      </c>
      <c r="Q456" t="s">
        <v>63</v>
      </c>
      <c r="R456" t="s">
        <v>63</v>
      </c>
      <c r="S456" t="s">
        <v>63</v>
      </c>
      <c r="T456" t="s">
        <v>63</v>
      </c>
      <c r="X456" t="s">
        <v>63</v>
      </c>
      <c r="Y456" t="s">
        <v>4159</v>
      </c>
      <c r="Z456" t="s">
        <v>63</v>
      </c>
      <c r="AA456" t="s">
        <v>63</v>
      </c>
      <c r="AB456">
        <v>3265785</v>
      </c>
      <c r="AC456" t="s">
        <v>696</v>
      </c>
      <c r="AD456" t="s">
        <v>63</v>
      </c>
      <c r="AE456" t="s">
        <v>63</v>
      </c>
      <c r="AF456" t="s">
        <v>63</v>
      </c>
      <c r="AG456" t="s">
        <v>4160</v>
      </c>
      <c r="AH456" t="s">
        <v>63</v>
      </c>
      <c r="AI456" t="s">
        <v>63</v>
      </c>
      <c r="AJ456" t="s">
        <v>63</v>
      </c>
      <c r="AK456" t="s">
        <v>63</v>
      </c>
      <c r="AL456" t="s">
        <v>63</v>
      </c>
      <c r="AM456" t="s">
        <v>4161</v>
      </c>
      <c r="AN456" t="s">
        <v>63</v>
      </c>
      <c r="AO456" t="s">
        <v>63</v>
      </c>
      <c r="AP456" t="s">
        <v>63</v>
      </c>
      <c r="AQ456" t="s">
        <v>63</v>
      </c>
      <c r="AR456" t="s">
        <v>63</v>
      </c>
      <c r="AS456" t="s">
        <v>63</v>
      </c>
      <c r="AT456" t="s">
        <v>63</v>
      </c>
      <c r="AU456" t="s">
        <v>63</v>
      </c>
      <c r="AV456" t="s">
        <v>63</v>
      </c>
      <c r="AW456" t="s">
        <v>63</v>
      </c>
      <c r="AX456" t="s">
        <v>63</v>
      </c>
      <c r="AY456" t="s">
        <v>63</v>
      </c>
      <c r="AZ456" t="s">
        <v>63</v>
      </c>
      <c r="BA456" t="s">
        <v>63</v>
      </c>
      <c r="BB456" t="s">
        <v>63</v>
      </c>
      <c r="BC456" t="s">
        <v>63</v>
      </c>
      <c r="BD456" t="s">
        <v>63</v>
      </c>
      <c r="BE456" t="s">
        <v>63</v>
      </c>
      <c r="BF456" t="s">
        <v>63</v>
      </c>
    </row>
    <row r="457" spans="1:58">
      <c r="A457" t="s">
        <v>58</v>
      </c>
      <c r="B457" t="s">
        <v>4162</v>
      </c>
      <c r="C457" t="s">
        <v>4163</v>
      </c>
      <c r="D457" t="s">
        <v>4164</v>
      </c>
      <c r="E457" t="s">
        <v>4165</v>
      </c>
      <c r="F457">
        <v>2016</v>
      </c>
      <c r="G457" t="s">
        <v>63</v>
      </c>
      <c r="H457">
        <v>223</v>
      </c>
      <c r="I457" t="s">
        <v>63</v>
      </c>
      <c r="J457">
        <v>77</v>
      </c>
      <c r="K457">
        <v>89</v>
      </c>
      <c r="L457" t="s">
        <v>4166</v>
      </c>
      <c r="M457" t="s">
        <v>4167</v>
      </c>
      <c r="N457" t="s">
        <v>4168</v>
      </c>
      <c r="O457" t="s">
        <v>63</v>
      </c>
      <c r="Q457" t="s">
        <v>63</v>
      </c>
      <c r="R457" t="s">
        <v>63</v>
      </c>
      <c r="S457" t="s">
        <v>63</v>
      </c>
      <c r="T457" t="s">
        <v>63</v>
      </c>
      <c r="X457" t="s">
        <v>63</v>
      </c>
      <c r="Y457" t="s">
        <v>4169</v>
      </c>
      <c r="Z457" t="s">
        <v>63</v>
      </c>
      <c r="AA457" t="s">
        <v>4170</v>
      </c>
      <c r="AB457">
        <v>26806772</v>
      </c>
      <c r="AC457" t="s">
        <v>67</v>
      </c>
      <c r="AD457" t="s">
        <v>63</v>
      </c>
      <c r="AE457" t="s">
        <v>63</v>
      </c>
      <c r="AF457" t="s">
        <v>63</v>
      </c>
      <c r="AG457" t="s">
        <v>4171</v>
      </c>
      <c r="AH457" t="s">
        <v>63</v>
      </c>
      <c r="AI457" t="s">
        <v>4172</v>
      </c>
      <c r="AJ457" t="s">
        <v>63</v>
      </c>
      <c r="AK457" t="s">
        <v>63</v>
      </c>
      <c r="AL457" t="s">
        <v>63</v>
      </c>
      <c r="AM457" t="s">
        <v>4173</v>
      </c>
      <c r="AN457" t="s">
        <v>63</v>
      </c>
      <c r="AO457" t="s">
        <v>63</v>
      </c>
      <c r="AP457" t="s">
        <v>63</v>
      </c>
      <c r="AQ457" t="s">
        <v>63</v>
      </c>
      <c r="AR457" t="s">
        <v>63</v>
      </c>
      <c r="AS457" t="s">
        <v>63</v>
      </c>
      <c r="AT457" t="s">
        <v>63</v>
      </c>
      <c r="AU457" t="s">
        <v>63</v>
      </c>
      <c r="AV457" t="s">
        <v>63</v>
      </c>
      <c r="AW457" t="s">
        <v>63</v>
      </c>
      <c r="AX457" t="s">
        <v>63</v>
      </c>
      <c r="AY457" t="s">
        <v>63</v>
      </c>
      <c r="AZ457" t="s">
        <v>63</v>
      </c>
      <c r="BA457" t="s">
        <v>63</v>
      </c>
      <c r="BB457" t="s">
        <v>63</v>
      </c>
      <c r="BC457" t="s">
        <v>63</v>
      </c>
      <c r="BD457" t="s">
        <v>63</v>
      </c>
      <c r="BE457" t="s">
        <v>63</v>
      </c>
      <c r="BF457" t="s">
        <v>63</v>
      </c>
    </row>
    <row r="458" spans="1:58">
      <c r="A458" t="s">
        <v>58</v>
      </c>
      <c r="B458" t="s">
        <v>4174</v>
      </c>
      <c r="C458" t="s">
        <v>4175</v>
      </c>
      <c r="D458" t="s">
        <v>898</v>
      </c>
      <c r="E458" t="s">
        <v>63</v>
      </c>
      <c r="F458">
        <v>2009</v>
      </c>
      <c r="G458" t="s">
        <v>908</v>
      </c>
      <c r="H458">
        <v>15</v>
      </c>
      <c r="I458">
        <v>4</v>
      </c>
      <c r="J458">
        <v>969</v>
      </c>
      <c r="K458">
        <v>975</v>
      </c>
      <c r="L458" t="s">
        <v>4176</v>
      </c>
      <c r="M458" t="s">
        <v>4177</v>
      </c>
      <c r="N458" t="s">
        <v>4178</v>
      </c>
      <c r="O458" t="s">
        <v>63</v>
      </c>
      <c r="Q458" t="s">
        <v>63</v>
      </c>
      <c r="R458" t="s">
        <v>63</v>
      </c>
      <c r="S458" t="s">
        <v>63</v>
      </c>
      <c r="T458" t="s">
        <v>63</v>
      </c>
      <c r="X458" t="s">
        <v>63</v>
      </c>
      <c r="Y458" t="s">
        <v>901</v>
      </c>
      <c r="Z458" t="s">
        <v>63</v>
      </c>
      <c r="AA458" t="s">
        <v>4179</v>
      </c>
      <c r="AB458">
        <v>20187549</v>
      </c>
      <c r="AC458" t="s">
        <v>67</v>
      </c>
      <c r="AD458" t="s">
        <v>63</v>
      </c>
      <c r="AE458" t="s">
        <v>63</v>
      </c>
      <c r="AF458" t="s">
        <v>63</v>
      </c>
      <c r="AG458" t="s">
        <v>4180</v>
      </c>
      <c r="AH458" t="s">
        <v>63</v>
      </c>
      <c r="AI458" t="s">
        <v>63</v>
      </c>
      <c r="AJ458" t="s">
        <v>63</v>
      </c>
      <c r="AK458" t="s">
        <v>63</v>
      </c>
      <c r="AL458" t="s">
        <v>63</v>
      </c>
      <c r="AM458" t="s">
        <v>4181</v>
      </c>
      <c r="AN458" t="s">
        <v>63</v>
      </c>
      <c r="AO458" t="s">
        <v>63</v>
      </c>
      <c r="AP458" t="s">
        <v>63</v>
      </c>
      <c r="AQ458" t="s">
        <v>63</v>
      </c>
      <c r="AR458" t="s">
        <v>63</v>
      </c>
      <c r="AS458" t="s">
        <v>63</v>
      </c>
      <c r="AT458" t="s">
        <v>63</v>
      </c>
      <c r="AU458" t="s">
        <v>63</v>
      </c>
      <c r="AV458" t="s">
        <v>63</v>
      </c>
      <c r="AW458" t="s">
        <v>63</v>
      </c>
      <c r="AX458" t="s">
        <v>63</v>
      </c>
      <c r="AY458" t="s">
        <v>63</v>
      </c>
      <c r="AZ458" t="s">
        <v>63</v>
      </c>
      <c r="BA458" t="s">
        <v>63</v>
      </c>
      <c r="BB458" t="s">
        <v>63</v>
      </c>
      <c r="BC458" t="s">
        <v>63</v>
      </c>
      <c r="BD458" t="s">
        <v>63</v>
      </c>
      <c r="BE458" t="s">
        <v>63</v>
      </c>
      <c r="BF458" t="s">
        <v>63</v>
      </c>
    </row>
    <row r="459" spans="1:58">
      <c r="A459" t="s">
        <v>58</v>
      </c>
      <c r="B459" t="s">
        <v>4182</v>
      </c>
      <c r="C459" t="s">
        <v>4183</v>
      </c>
      <c r="D459" t="s">
        <v>3071</v>
      </c>
      <c r="E459" t="s">
        <v>3072</v>
      </c>
      <c r="F459">
        <v>1989</v>
      </c>
      <c r="G459" t="s">
        <v>157</v>
      </c>
      <c r="H459">
        <v>84</v>
      </c>
      <c r="I459">
        <v>12</v>
      </c>
      <c r="J459">
        <v>1539</v>
      </c>
      <c r="K459">
        <v>1542</v>
      </c>
      <c r="L459" t="s">
        <v>4184</v>
      </c>
      <c r="M459" t="s">
        <v>4185</v>
      </c>
      <c r="N459" t="s">
        <v>4186</v>
      </c>
      <c r="O459" t="s">
        <v>63</v>
      </c>
      <c r="Q459" t="s">
        <v>63</v>
      </c>
      <c r="R459" t="s">
        <v>63</v>
      </c>
      <c r="S459" t="s">
        <v>63</v>
      </c>
      <c r="T459" t="s">
        <v>63</v>
      </c>
      <c r="X459" t="s">
        <v>63</v>
      </c>
      <c r="Y459" t="s">
        <v>3075</v>
      </c>
      <c r="Z459" t="s">
        <v>63</v>
      </c>
      <c r="AA459" t="s">
        <v>63</v>
      </c>
      <c r="AB459">
        <v>2611438</v>
      </c>
      <c r="AC459" t="s">
        <v>67</v>
      </c>
      <c r="AD459" t="s">
        <v>63</v>
      </c>
      <c r="AE459" t="s">
        <v>63</v>
      </c>
      <c r="AF459" t="s">
        <v>63</v>
      </c>
      <c r="AG459" t="s">
        <v>4187</v>
      </c>
      <c r="AH459" t="s">
        <v>63</v>
      </c>
      <c r="AI459" t="s">
        <v>63</v>
      </c>
      <c r="AJ459" t="s">
        <v>63</v>
      </c>
      <c r="AK459" t="s">
        <v>63</v>
      </c>
      <c r="AL459" t="s">
        <v>63</v>
      </c>
      <c r="AM459" t="s">
        <v>4188</v>
      </c>
      <c r="AN459" t="s">
        <v>63</v>
      </c>
      <c r="AO459" t="s">
        <v>63</v>
      </c>
      <c r="AP459" t="s">
        <v>63</v>
      </c>
      <c r="AQ459" t="s">
        <v>63</v>
      </c>
      <c r="AR459" t="s">
        <v>63</v>
      </c>
      <c r="AS459" t="s">
        <v>63</v>
      </c>
      <c r="AT459" t="s">
        <v>63</v>
      </c>
      <c r="AU459" t="s">
        <v>63</v>
      </c>
      <c r="AV459" t="s">
        <v>63</v>
      </c>
      <c r="AW459" t="s">
        <v>63</v>
      </c>
      <c r="AX459" t="s">
        <v>63</v>
      </c>
      <c r="AY459" t="s">
        <v>63</v>
      </c>
      <c r="AZ459" t="s">
        <v>63</v>
      </c>
      <c r="BA459" t="s">
        <v>63</v>
      </c>
      <c r="BB459" t="s">
        <v>63</v>
      </c>
      <c r="BC459" t="s">
        <v>63</v>
      </c>
      <c r="BD459" t="s">
        <v>63</v>
      </c>
      <c r="BE459" t="s">
        <v>63</v>
      </c>
      <c r="BF459" t="s">
        <v>63</v>
      </c>
    </row>
    <row r="460" spans="1:58">
      <c r="A460" t="s">
        <v>58</v>
      </c>
      <c r="B460" t="s">
        <v>4189</v>
      </c>
      <c r="C460" t="s">
        <v>4190</v>
      </c>
      <c r="D460" t="s">
        <v>763</v>
      </c>
      <c r="E460" t="s">
        <v>63</v>
      </c>
      <c r="F460">
        <v>1998</v>
      </c>
      <c r="G460" t="s">
        <v>138</v>
      </c>
      <c r="H460">
        <v>73</v>
      </c>
      <c r="I460">
        <v>10</v>
      </c>
      <c r="J460">
        <v>1039</v>
      </c>
      <c r="K460">
        <v>1043</v>
      </c>
      <c r="L460" t="s">
        <v>4191</v>
      </c>
      <c r="M460" t="s">
        <v>4192</v>
      </c>
      <c r="N460" t="s">
        <v>4193</v>
      </c>
      <c r="O460" t="s">
        <v>63</v>
      </c>
      <c r="Q460" t="s">
        <v>63</v>
      </c>
      <c r="R460" t="s">
        <v>63</v>
      </c>
      <c r="S460" t="s">
        <v>63</v>
      </c>
      <c r="T460" t="s">
        <v>63</v>
      </c>
      <c r="X460" t="s">
        <v>63</v>
      </c>
      <c r="Y460" t="s">
        <v>858</v>
      </c>
      <c r="Z460" t="s">
        <v>63</v>
      </c>
      <c r="AA460" t="s">
        <v>4194</v>
      </c>
      <c r="AB460">
        <v>9795618</v>
      </c>
      <c r="AC460" t="s">
        <v>67</v>
      </c>
      <c r="AD460" t="s">
        <v>63</v>
      </c>
      <c r="AE460" t="s">
        <v>63</v>
      </c>
      <c r="AF460" t="s">
        <v>63</v>
      </c>
      <c r="AG460" t="s">
        <v>4195</v>
      </c>
      <c r="AH460" t="s">
        <v>63</v>
      </c>
      <c r="AI460" t="s">
        <v>63</v>
      </c>
      <c r="AJ460" t="s">
        <v>63</v>
      </c>
      <c r="AK460" t="s">
        <v>63</v>
      </c>
      <c r="AL460" t="s">
        <v>63</v>
      </c>
      <c r="AM460" t="s">
        <v>4196</v>
      </c>
      <c r="AN460" t="s">
        <v>63</v>
      </c>
      <c r="AO460" t="s">
        <v>63</v>
      </c>
      <c r="AP460" t="s">
        <v>63</v>
      </c>
      <c r="AQ460" t="s">
        <v>63</v>
      </c>
      <c r="AR460" t="s">
        <v>63</v>
      </c>
      <c r="AS460" t="s">
        <v>63</v>
      </c>
      <c r="AT460" t="s">
        <v>63</v>
      </c>
      <c r="AU460" t="s">
        <v>63</v>
      </c>
      <c r="AV460" t="s">
        <v>63</v>
      </c>
      <c r="AW460" t="s">
        <v>63</v>
      </c>
      <c r="AX460" t="s">
        <v>63</v>
      </c>
      <c r="AY460" t="s">
        <v>63</v>
      </c>
      <c r="AZ460" t="s">
        <v>63</v>
      </c>
      <c r="BA460" t="s">
        <v>63</v>
      </c>
      <c r="BB460" t="s">
        <v>63</v>
      </c>
      <c r="BC460" t="s">
        <v>63</v>
      </c>
      <c r="BD460" t="s">
        <v>63</v>
      </c>
      <c r="BE460" t="s">
        <v>63</v>
      </c>
      <c r="BF460" t="s">
        <v>63</v>
      </c>
    </row>
    <row r="461" spans="1:58">
      <c r="A461" t="s">
        <v>58</v>
      </c>
      <c r="B461" t="s">
        <v>4197</v>
      </c>
      <c r="C461" t="s">
        <v>4198</v>
      </c>
      <c r="D461" t="s">
        <v>4199</v>
      </c>
      <c r="E461" t="s">
        <v>63</v>
      </c>
      <c r="F461">
        <v>2016</v>
      </c>
      <c r="G461" t="s">
        <v>63</v>
      </c>
      <c r="H461">
        <v>112</v>
      </c>
      <c r="I461" t="s">
        <v>63</v>
      </c>
      <c r="J461">
        <v>36</v>
      </c>
      <c r="K461">
        <v>42</v>
      </c>
      <c r="L461" t="s">
        <v>63</v>
      </c>
      <c r="M461" t="s">
        <v>4200</v>
      </c>
      <c r="N461" t="s">
        <v>4201</v>
      </c>
      <c r="O461" t="s">
        <v>63</v>
      </c>
      <c r="Q461" t="s">
        <v>63</v>
      </c>
      <c r="R461" t="s">
        <v>63</v>
      </c>
      <c r="S461" t="s">
        <v>63</v>
      </c>
      <c r="T461" t="s">
        <v>63</v>
      </c>
      <c r="X461" t="s">
        <v>63</v>
      </c>
      <c r="Y461" t="s">
        <v>4202</v>
      </c>
      <c r="Z461" t="s">
        <v>63</v>
      </c>
      <c r="AA461" t="s">
        <v>4203</v>
      </c>
      <c r="AB461">
        <v>27172783</v>
      </c>
      <c r="AC461" t="s">
        <v>102</v>
      </c>
      <c r="AD461" t="s">
        <v>63</v>
      </c>
      <c r="AE461" t="s">
        <v>63</v>
      </c>
      <c r="AF461" t="s">
        <v>63</v>
      </c>
      <c r="AG461" t="s">
        <v>4204</v>
      </c>
      <c r="AH461" t="s">
        <v>63</v>
      </c>
      <c r="AI461" t="s">
        <v>4205</v>
      </c>
      <c r="AJ461" t="s">
        <v>63</v>
      </c>
      <c r="AK461" t="s">
        <v>63</v>
      </c>
      <c r="AL461" t="s">
        <v>63</v>
      </c>
      <c r="AM461" t="s">
        <v>4206</v>
      </c>
      <c r="AN461" t="s">
        <v>63</v>
      </c>
      <c r="AO461" t="s">
        <v>63</v>
      </c>
      <c r="AP461" t="s">
        <v>63</v>
      </c>
      <c r="AQ461" t="s">
        <v>63</v>
      </c>
      <c r="AR461" t="s">
        <v>63</v>
      </c>
      <c r="AS461" t="s">
        <v>63</v>
      </c>
      <c r="AT461" t="s">
        <v>63</v>
      </c>
      <c r="AU461" t="s">
        <v>63</v>
      </c>
      <c r="AV461" t="s">
        <v>63</v>
      </c>
      <c r="AW461" t="s">
        <v>63</v>
      </c>
      <c r="AX461" t="s">
        <v>63</v>
      </c>
      <c r="AY461" t="s">
        <v>63</v>
      </c>
      <c r="AZ461" t="s">
        <v>63</v>
      </c>
      <c r="BA461" t="s">
        <v>63</v>
      </c>
      <c r="BB461" t="s">
        <v>63</v>
      </c>
      <c r="BC461" t="s">
        <v>63</v>
      </c>
      <c r="BD461" t="s">
        <v>63</v>
      </c>
      <c r="BE461" t="s">
        <v>63</v>
      </c>
      <c r="BF461" t="s">
        <v>63</v>
      </c>
    </row>
    <row r="462" spans="1:58">
      <c r="A462" t="s">
        <v>58</v>
      </c>
      <c r="B462" t="s">
        <v>4207</v>
      </c>
      <c r="C462" t="s">
        <v>4208</v>
      </c>
      <c r="D462" t="s">
        <v>1855</v>
      </c>
      <c r="E462" t="s">
        <v>63</v>
      </c>
      <c r="F462">
        <v>1992</v>
      </c>
      <c r="G462" t="s">
        <v>189</v>
      </c>
      <c r="H462">
        <v>39</v>
      </c>
      <c r="I462">
        <v>5</v>
      </c>
      <c r="J462" t="s">
        <v>4209</v>
      </c>
      <c r="K462">
        <v>7</v>
      </c>
      <c r="L462" t="s">
        <v>4210</v>
      </c>
      <c r="M462" t="s">
        <v>4211</v>
      </c>
      <c r="N462" t="s">
        <v>4212</v>
      </c>
      <c r="O462" t="s">
        <v>63</v>
      </c>
      <c r="Q462" t="s">
        <v>63</v>
      </c>
      <c r="R462" t="s">
        <v>63</v>
      </c>
      <c r="S462" t="s">
        <v>63</v>
      </c>
      <c r="T462" t="s">
        <v>63</v>
      </c>
      <c r="X462" t="s">
        <v>63</v>
      </c>
      <c r="Y462" t="s">
        <v>4213</v>
      </c>
      <c r="Z462" t="s">
        <v>63</v>
      </c>
      <c r="AA462" t="s">
        <v>4214</v>
      </c>
      <c r="AB462">
        <v>1600568</v>
      </c>
      <c r="AC462" t="s">
        <v>2641</v>
      </c>
      <c r="AD462" t="s">
        <v>63</v>
      </c>
      <c r="AE462" t="s">
        <v>63</v>
      </c>
      <c r="AF462" t="s">
        <v>63</v>
      </c>
      <c r="AG462" t="s">
        <v>4215</v>
      </c>
      <c r="AH462" t="s">
        <v>63</v>
      </c>
      <c r="AI462" t="s">
        <v>63</v>
      </c>
      <c r="AJ462" t="s">
        <v>63</v>
      </c>
      <c r="AK462" t="s">
        <v>63</v>
      </c>
      <c r="AL462" t="s">
        <v>63</v>
      </c>
      <c r="AM462" t="s">
        <v>4216</v>
      </c>
      <c r="AN462" t="s">
        <v>63</v>
      </c>
      <c r="AO462" t="s">
        <v>63</v>
      </c>
      <c r="AP462" t="s">
        <v>63</v>
      </c>
      <c r="AQ462" t="s">
        <v>63</v>
      </c>
      <c r="AR462" t="s">
        <v>63</v>
      </c>
      <c r="AS462" t="s">
        <v>63</v>
      </c>
      <c r="AT462" t="s">
        <v>63</v>
      </c>
      <c r="AU462" t="s">
        <v>63</v>
      </c>
      <c r="AV462" t="s">
        <v>63</v>
      </c>
      <c r="AW462" t="s">
        <v>63</v>
      </c>
      <c r="AX462" t="s">
        <v>63</v>
      </c>
      <c r="AY462" t="s">
        <v>63</v>
      </c>
      <c r="AZ462" t="s">
        <v>63</v>
      </c>
      <c r="BA462" t="s">
        <v>63</v>
      </c>
      <c r="BB462" t="s">
        <v>63</v>
      </c>
      <c r="BC462" t="s">
        <v>63</v>
      </c>
      <c r="BD462" t="s">
        <v>63</v>
      </c>
      <c r="BE462" t="s">
        <v>63</v>
      </c>
      <c r="BF462" t="s">
        <v>63</v>
      </c>
    </row>
    <row r="463" spans="1:58">
      <c r="A463" t="s">
        <v>58</v>
      </c>
      <c r="B463" t="s">
        <v>4217</v>
      </c>
      <c r="C463" t="s">
        <v>4218</v>
      </c>
      <c r="D463" t="s">
        <v>1184</v>
      </c>
      <c r="E463" t="s">
        <v>1185</v>
      </c>
      <c r="F463">
        <v>1985</v>
      </c>
      <c r="G463" t="s">
        <v>1670</v>
      </c>
      <c r="H463">
        <v>60</v>
      </c>
      <c r="I463">
        <v>7</v>
      </c>
      <c r="J463">
        <v>562</v>
      </c>
      <c r="K463">
        <v>564</v>
      </c>
      <c r="L463" t="s">
        <v>4219</v>
      </c>
      <c r="M463" t="s">
        <v>63</v>
      </c>
      <c r="N463" t="s">
        <v>4220</v>
      </c>
      <c r="O463" t="s">
        <v>63</v>
      </c>
      <c r="Q463" t="s">
        <v>63</v>
      </c>
      <c r="R463" t="s">
        <v>63</v>
      </c>
      <c r="S463" t="s">
        <v>63</v>
      </c>
      <c r="T463" t="s">
        <v>63</v>
      </c>
      <c r="X463" t="s">
        <v>63</v>
      </c>
      <c r="Y463" t="s">
        <v>1188</v>
      </c>
      <c r="Z463" t="s">
        <v>63</v>
      </c>
      <c r="AA463" t="s">
        <v>63</v>
      </c>
      <c r="AB463">
        <v>4009673</v>
      </c>
      <c r="AC463" t="s">
        <v>67</v>
      </c>
      <c r="AD463" t="s">
        <v>63</v>
      </c>
      <c r="AE463" t="s">
        <v>63</v>
      </c>
      <c r="AF463" t="s">
        <v>63</v>
      </c>
      <c r="AG463" t="s">
        <v>4221</v>
      </c>
      <c r="AH463" t="s">
        <v>63</v>
      </c>
      <c r="AI463" t="s">
        <v>63</v>
      </c>
      <c r="AJ463" t="s">
        <v>63</v>
      </c>
      <c r="AK463" t="s">
        <v>63</v>
      </c>
      <c r="AL463" t="s">
        <v>63</v>
      </c>
      <c r="AM463" t="s">
        <v>4222</v>
      </c>
      <c r="AN463" t="s">
        <v>63</v>
      </c>
      <c r="AO463" t="s">
        <v>63</v>
      </c>
      <c r="AP463" t="s">
        <v>63</v>
      </c>
      <c r="AQ463" t="s">
        <v>63</v>
      </c>
      <c r="AR463" t="s">
        <v>63</v>
      </c>
      <c r="AS463" t="s">
        <v>63</v>
      </c>
      <c r="AT463" t="s">
        <v>63</v>
      </c>
      <c r="AU463" t="s">
        <v>63</v>
      </c>
      <c r="AV463" t="s">
        <v>63</v>
      </c>
      <c r="AW463" t="s">
        <v>63</v>
      </c>
      <c r="AX463" t="s">
        <v>63</v>
      </c>
      <c r="AY463" t="s">
        <v>63</v>
      </c>
      <c r="AZ463" t="s">
        <v>63</v>
      </c>
      <c r="BA463" t="s">
        <v>63</v>
      </c>
      <c r="BB463" t="s">
        <v>63</v>
      </c>
      <c r="BC463" t="s">
        <v>63</v>
      </c>
      <c r="BD463" t="s">
        <v>63</v>
      </c>
      <c r="BE463" t="s">
        <v>63</v>
      </c>
      <c r="BF463" t="s">
        <v>63</v>
      </c>
    </row>
    <row r="464" spans="1:58">
      <c r="A464" t="s">
        <v>58</v>
      </c>
      <c r="B464" t="s">
        <v>4223</v>
      </c>
      <c r="C464" t="s">
        <v>4224</v>
      </c>
      <c r="D464" t="s">
        <v>4225</v>
      </c>
      <c r="E464" t="s">
        <v>4226</v>
      </c>
      <c r="F464">
        <v>2016</v>
      </c>
      <c r="G464" t="s">
        <v>138</v>
      </c>
      <c r="H464">
        <v>54</v>
      </c>
      <c r="I464">
        <v>10</v>
      </c>
      <c r="J464">
        <v>662</v>
      </c>
      <c r="K464">
        <v>666</v>
      </c>
      <c r="L464" t="s">
        <v>4227</v>
      </c>
      <c r="M464" t="s">
        <v>4228</v>
      </c>
      <c r="N464" t="s">
        <v>4229</v>
      </c>
      <c r="O464" t="s">
        <v>63</v>
      </c>
      <c r="Q464" t="s">
        <v>63</v>
      </c>
      <c r="R464" t="s">
        <v>63</v>
      </c>
      <c r="S464" t="s">
        <v>63</v>
      </c>
      <c r="T464" t="s">
        <v>63</v>
      </c>
      <c r="X464" t="s">
        <v>63</v>
      </c>
      <c r="Y464" t="s">
        <v>4230</v>
      </c>
      <c r="Z464" t="s">
        <v>63</v>
      </c>
      <c r="AA464" t="s">
        <v>4231</v>
      </c>
      <c r="AB464">
        <v>27888595</v>
      </c>
      <c r="AC464" t="s">
        <v>67</v>
      </c>
      <c r="AD464" t="s">
        <v>63</v>
      </c>
      <c r="AE464" t="s">
        <v>63</v>
      </c>
      <c r="AF464" t="s">
        <v>63</v>
      </c>
      <c r="AG464" t="s">
        <v>4232</v>
      </c>
      <c r="AH464" t="s">
        <v>63</v>
      </c>
      <c r="AI464" t="s">
        <v>63</v>
      </c>
      <c r="AJ464" t="s">
        <v>63</v>
      </c>
      <c r="AK464" t="s">
        <v>63</v>
      </c>
      <c r="AL464" t="s">
        <v>63</v>
      </c>
      <c r="AM464" t="s">
        <v>4233</v>
      </c>
      <c r="AN464" t="s">
        <v>63</v>
      </c>
      <c r="AO464" t="s">
        <v>63</v>
      </c>
      <c r="AP464" t="s">
        <v>63</v>
      </c>
      <c r="AQ464" t="s">
        <v>63</v>
      </c>
      <c r="AR464" t="s">
        <v>63</v>
      </c>
      <c r="AS464" t="s">
        <v>63</v>
      </c>
      <c r="AT464" t="s">
        <v>63</v>
      </c>
      <c r="AU464" t="s">
        <v>63</v>
      </c>
      <c r="AV464" t="s">
        <v>63</v>
      </c>
      <c r="AW464" t="s">
        <v>63</v>
      </c>
      <c r="AX464" t="s">
        <v>63</v>
      </c>
      <c r="AY464" t="s">
        <v>63</v>
      </c>
      <c r="AZ464" t="s">
        <v>63</v>
      </c>
      <c r="BA464" t="s">
        <v>63</v>
      </c>
      <c r="BB464" t="s">
        <v>63</v>
      </c>
      <c r="BC464" t="s">
        <v>63</v>
      </c>
      <c r="BD464" t="s">
        <v>63</v>
      </c>
      <c r="BE464" t="s">
        <v>63</v>
      </c>
      <c r="BF464" t="s">
        <v>63</v>
      </c>
    </row>
    <row r="465" spans="1:58">
      <c r="A465" t="s">
        <v>58</v>
      </c>
      <c r="B465" t="s">
        <v>4234</v>
      </c>
      <c r="C465" t="s">
        <v>4235</v>
      </c>
      <c r="D465" t="s">
        <v>325</v>
      </c>
      <c r="E465" t="s">
        <v>63</v>
      </c>
      <c r="F465">
        <v>2011</v>
      </c>
      <c r="G465" t="s">
        <v>623</v>
      </c>
      <c r="H465">
        <v>35</v>
      </c>
      <c r="I465">
        <v>1</v>
      </c>
      <c r="J465">
        <v>35</v>
      </c>
      <c r="K465">
        <v>39</v>
      </c>
      <c r="L465" t="s">
        <v>4236</v>
      </c>
      <c r="M465" t="s">
        <v>4237</v>
      </c>
      <c r="N465" t="s">
        <v>4238</v>
      </c>
      <c r="O465" t="s">
        <v>63</v>
      </c>
      <c r="Q465" t="s">
        <v>63</v>
      </c>
      <c r="R465" t="s">
        <v>63</v>
      </c>
      <c r="S465" t="s">
        <v>63</v>
      </c>
      <c r="T465" t="s">
        <v>63</v>
      </c>
      <c r="X465" t="s">
        <v>63</v>
      </c>
      <c r="Y465" t="s">
        <v>330</v>
      </c>
      <c r="Z465" t="s">
        <v>63</v>
      </c>
      <c r="AA465" t="s">
        <v>4239</v>
      </c>
      <c r="AB465">
        <v>21209405</v>
      </c>
      <c r="AC465" t="s">
        <v>67</v>
      </c>
      <c r="AD465" t="s">
        <v>63</v>
      </c>
      <c r="AE465" t="s">
        <v>63</v>
      </c>
      <c r="AF465" t="s">
        <v>63</v>
      </c>
      <c r="AG465" t="s">
        <v>4240</v>
      </c>
      <c r="AH465" t="s">
        <v>63</v>
      </c>
      <c r="AI465" t="s">
        <v>4241</v>
      </c>
      <c r="AJ465" t="s">
        <v>63</v>
      </c>
      <c r="AK465" t="s">
        <v>63</v>
      </c>
      <c r="AL465" t="s">
        <v>63</v>
      </c>
      <c r="AM465" t="s">
        <v>4242</v>
      </c>
      <c r="AN465" t="s">
        <v>63</v>
      </c>
      <c r="AO465" t="s">
        <v>63</v>
      </c>
      <c r="AP465" t="s">
        <v>63</v>
      </c>
      <c r="AQ465" t="s">
        <v>63</v>
      </c>
      <c r="AR465" t="s">
        <v>63</v>
      </c>
      <c r="AS465" t="s">
        <v>63</v>
      </c>
      <c r="AT465" t="s">
        <v>63</v>
      </c>
      <c r="AU465" t="s">
        <v>63</v>
      </c>
      <c r="AV465" t="s">
        <v>63</v>
      </c>
      <c r="AW465" t="s">
        <v>63</v>
      </c>
      <c r="AX465" t="s">
        <v>63</v>
      </c>
      <c r="AY465" t="s">
        <v>63</v>
      </c>
      <c r="AZ465" t="s">
        <v>63</v>
      </c>
      <c r="BA465" t="s">
        <v>63</v>
      </c>
      <c r="BB465" t="s">
        <v>63</v>
      </c>
      <c r="BC465" t="s">
        <v>63</v>
      </c>
      <c r="BD465" t="s">
        <v>63</v>
      </c>
      <c r="BE465" t="s">
        <v>63</v>
      </c>
      <c r="BF465" t="s">
        <v>63</v>
      </c>
    </row>
    <row r="466" spans="1:58">
      <c r="A466" t="s">
        <v>58</v>
      </c>
      <c r="B466" t="s">
        <v>4243</v>
      </c>
      <c r="C466" t="s">
        <v>4244</v>
      </c>
      <c r="D466" t="s">
        <v>4245</v>
      </c>
      <c r="E466" t="s">
        <v>4246</v>
      </c>
      <c r="F466">
        <v>1990</v>
      </c>
      <c r="G466" s="1">
        <v>41717</v>
      </c>
      <c r="H466">
        <v>110</v>
      </c>
      <c r="I466">
        <v>8</v>
      </c>
      <c r="J466">
        <v>973</v>
      </c>
      <c r="K466">
        <v>975</v>
      </c>
      <c r="L466" t="s">
        <v>4247</v>
      </c>
      <c r="M466" t="s">
        <v>4248</v>
      </c>
      <c r="N466" t="s">
        <v>4249</v>
      </c>
      <c r="O466" t="s">
        <v>63</v>
      </c>
      <c r="Q466" t="s">
        <v>63</v>
      </c>
      <c r="R466" t="s">
        <v>63</v>
      </c>
      <c r="S466" t="s">
        <v>63</v>
      </c>
      <c r="T466" t="s">
        <v>63</v>
      </c>
      <c r="X466" t="s">
        <v>63</v>
      </c>
      <c r="Y466" t="s">
        <v>4250</v>
      </c>
      <c r="Z466" t="s">
        <v>63</v>
      </c>
      <c r="AA466" t="s">
        <v>4251</v>
      </c>
      <c r="AB466">
        <v>2321230</v>
      </c>
      <c r="AC466" t="s">
        <v>4252</v>
      </c>
      <c r="AD466" t="s">
        <v>63</v>
      </c>
      <c r="AE466" t="s">
        <v>63</v>
      </c>
      <c r="AF466" t="s">
        <v>63</v>
      </c>
      <c r="AG466" t="s">
        <v>4253</v>
      </c>
      <c r="AH466" t="s">
        <v>63</v>
      </c>
      <c r="AI466" t="s">
        <v>63</v>
      </c>
      <c r="AJ466" t="s">
        <v>63</v>
      </c>
      <c r="AK466" t="s">
        <v>63</v>
      </c>
      <c r="AL466" t="s">
        <v>63</v>
      </c>
      <c r="AM466" t="s">
        <v>4254</v>
      </c>
      <c r="AN466" t="s">
        <v>63</v>
      </c>
      <c r="AO466" t="s">
        <v>63</v>
      </c>
      <c r="AP466" t="s">
        <v>63</v>
      </c>
      <c r="AQ466" t="s">
        <v>63</v>
      </c>
      <c r="AR466" t="s">
        <v>63</v>
      </c>
      <c r="AS466" t="s">
        <v>63</v>
      </c>
      <c r="AT466" t="s">
        <v>63</v>
      </c>
      <c r="AU466" t="s">
        <v>63</v>
      </c>
      <c r="AV466" t="s">
        <v>63</v>
      </c>
      <c r="AW466" t="s">
        <v>63</v>
      </c>
      <c r="AX466" t="s">
        <v>63</v>
      </c>
      <c r="AY466" t="s">
        <v>63</v>
      </c>
      <c r="AZ466" t="s">
        <v>63</v>
      </c>
      <c r="BA466" t="s">
        <v>63</v>
      </c>
      <c r="BB466" t="s">
        <v>63</v>
      </c>
      <c r="BC466" t="s">
        <v>63</v>
      </c>
      <c r="BD466" t="s">
        <v>63</v>
      </c>
      <c r="BE466" t="s">
        <v>63</v>
      </c>
      <c r="BF466" t="s">
        <v>63</v>
      </c>
    </row>
    <row r="467" spans="1:58">
      <c r="A467" t="s">
        <v>58</v>
      </c>
      <c r="B467" t="s">
        <v>4255</v>
      </c>
      <c r="C467" t="s">
        <v>4256</v>
      </c>
      <c r="D467" t="s">
        <v>4257</v>
      </c>
      <c r="E467" t="s">
        <v>63</v>
      </c>
      <c r="F467">
        <v>2013</v>
      </c>
      <c r="G467" s="1">
        <v>41943</v>
      </c>
      <c r="H467">
        <v>143</v>
      </c>
      <c r="I467" t="s">
        <v>63</v>
      </c>
      <c r="J467" t="s">
        <v>4258</v>
      </c>
      <c r="K467" t="s">
        <v>63</v>
      </c>
      <c r="L467" t="s">
        <v>4259</v>
      </c>
      <c r="M467" t="s">
        <v>4260</v>
      </c>
      <c r="N467" t="s">
        <v>4261</v>
      </c>
      <c r="O467" t="s">
        <v>63</v>
      </c>
      <c r="Q467" t="s">
        <v>63</v>
      </c>
      <c r="R467" t="s">
        <v>63</v>
      </c>
      <c r="S467" t="s">
        <v>63</v>
      </c>
      <c r="T467" t="s">
        <v>63</v>
      </c>
      <c r="X467" t="s">
        <v>63</v>
      </c>
      <c r="Y467" t="s">
        <v>4262</v>
      </c>
      <c r="Z467" t="s">
        <v>63</v>
      </c>
      <c r="AA467" t="s">
        <v>4263</v>
      </c>
      <c r="AB467">
        <v>24186493</v>
      </c>
      <c r="AC467" t="s">
        <v>67</v>
      </c>
      <c r="AD467" t="s">
        <v>63</v>
      </c>
      <c r="AE467" t="s">
        <v>63</v>
      </c>
      <c r="AF467" t="s">
        <v>63</v>
      </c>
      <c r="AG467" t="s">
        <v>4264</v>
      </c>
      <c r="AH467" t="s">
        <v>63</v>
      </c>
      <c r="AI467" t="s">
        <v>4265</v>
      </c>
      <c r="AJ467" t="s">
        <v>63</v>
      </c>
      <c r="AK467" t="s">
        <v>63</v>
      </c>
      <c r="AL467" t="s">
        <v>63</v>
      </c>
      <c r="AM467" t="s">
        <v>4266</v>
      </c>
      <c r="AN467" t="s">
        <v>63</v>
      </c>
      <c r="AO467" t="s">
        <v>63</v>
      </c>
      <c r="AP467" t="s">
        <v>63</v>
      </c>
      <c r="AQ467" t="s">
        <v>63</v>
      </c>
      <c r="AR467" t="s">
        <v>63</v>
      </c>
      <c r="AS467" t="s">
        <v>63</v>
      </c>
      <c r="AT467" t="s">
        <v>63</v>
      </c>
      <c r="AU467" t="s">
        <v>63</v>
      </c>
      <c r="AV467" t="s">
        <v>63</v>
      </c>
      <c r="AW467" t="s">
        <v>63</v>
      </c>
      <c r="AX467" t="s">
        <v>63</v>
      </c>
      <c r="AY467" t="s">
        <v>63</v>
      </c>
      <c r="AZ467" t="s">
        <v>63</v>
      </c>
      <c r="BA467" t="s">
        <v>63</v>
      </c>
      <c r="BB467" t="s">
        <v>63</v>
      </c>
      <c r="BC467" t="s">
        <v>63</v>
      </c>
      <c r="BD467" t="s">
        <v>63</v>
      </c>
      <c r="BE467" t="s">
        <v>63</v>
      </c>
      <c r="BF467" t="s">
        <v>63</v>
      </c>
    </row>
    <row r="468" spans="1:58">
      <c r="A468" t="s">
        <v>58</v>
      </c>
      <c r="B468" t="s">
        <v>4267</v>
      </c>
      <c r="C468" t="s">
        <v>4268</v>
      </c>
      <c r="D468" t="s">
        <v>389</v>
      </c>
      <c r="E468" t="s">
        <v>63</v>
      </c>
      <c r="F468">
        <v>2003</v>
      </c>
      <c r="G468" t="s">
        <v>181</v>
      </c>
      <c r="H468">
        <v>24</v>
      </c>
      <c r="I468">
        <v>3</v>
      </c>
      <c r="J468">
        <v>175</v>
      </c>
      <c r="K468">
        <v>185</v>
      </c>
      <c r="L468" t="s">
        <v>4269</v>
      </c>
      <c r="M468" t="s">
        <v>4270</v>
      </c>
      <c r="N468" t="s">
        <v>4271</v>
      </c>
      <c r="O468" t="s">
        <v>63</v>
      </c>
      <c r="Q468" t="s">
        <v>63</v>
      </c>
      <c r="R468" t="s">
        <v>63</v>
      </c>
      <c r="S468" t="s">
        <v>63</v>
      </c>
      <c r="T468" t="s">
        <v>63</v>
      </c>
      <c r="X468" t="s">
        <v>63</v>
      </c>
      <c r="Y468" t="s">
        <v>392</v>
      </c>
      <c r="Z468" t="s">
        <v>63</v>
      </c>
      <c r="AA468" t="s">
        <v>4272</v>
      </c>
      <c r="AB468">
        <v>12913366</v>
      </c>
      <c r="AC468" t="s">
        <v>67</v>
      </c>
      <c r="AD468" t="s">
        <v>63</v>
      </c>
      <c r="AE468" t="s">
        <v>63</v>
      </c>
      <c r="AF468" t="s">
        <v>63</v>
      </c>
      <c r="AG468" t="s">
        <v>4273</v>
      </c>
      <c r="AH468" t="s">
        <v>63</v>
      </c>
      <c r="AI468" t="s">
        <v>63</v>
      </c>
      <c r="AJ468" t="s">
        <v>63</v>
      </c>
      <c r="AK468" t="s">
        <v>63</v>
      </c>
      <c r="AL468" t="s">
        <v>63</v>
      </c>
      <c r="AM468" t="s">
        <v>4274</v>
      </c>
      <c r="AN468" t="s">
        <v>63</v>
      </c>
      <c r="AO468" t="s">
        <v>63</v>
      </c>
      <c r="AP468" t="s">
        <v>63</v>
      </c>
      <c r="AQ468" t="s">
        <v>63</v>
      </c>
      <c r="AR468" t="s">
        <v>63</v>
      </c>
      <c r="AS468" t="s">
        <v>63</v>
      </c>
      <c r="AT468" t="s">
        <v>63</v>
      </c>
      <c r="AU468" t="s">
        <v>63</v>
      </c>
      <c r="AV468" t="s">
        <v>63</v>
      </c>
      <c r="AW468" t="s">
        <v>63</v>
      </c>
      <c r="AX468" t="s">
        <v>63</v>
      </c>
      <c r="AY468" t="s">
        <v>63</v>
      </c>
      <c r="AZ468" t="s">
        <v>63</v>
      </c>
      <c r="BA468" t="s">
        <v>63</v>
      </c>
      <c r="BB468" t="s">
        <v>63</v>
      </c>
      <c r="BC468" t="s">
        <v>63</v>
      </c>
      <c r="BD468" t="s">
        <v>63</v>
      </c>
      <c r="BE468" t="s">
        <v>63</v>
      </c>
      <c r="BF468" t="s">
        <v>63</v>
      </c>
    </row>
    <row r="469" spans="1:58">
      <c r="A469" t="s">
        <v>58</v>
      </c>
      <c r="B469" t="s">
        <v>4275</v>
      </c>
      <c r="C469" t="s">
        <v>4276</v>
      </c>
      <c r="D469" t="s">
        <v>325</v>
      </c>
      <c r="E469" t="s">
        <v>63</v>
      </c>
      <c r="F469">
        <v>2018</v>
      </c>
      <c r="G469" t="s">
        <v>84</v>
      </c>
      <c r="H469">
        <v>42</v>
      </c>
      <c r="I469">
        <v>2</v>
      </c>
      <c r="J469">
        <v>304</v>
      </c>
      <c r="K469">
        <v>308</v>
      </c>
      <c r="L469" t="s">
        <v>63</v>
      </c>
      <c r="M469" t="s">
        <v>4277</v>
      </c>
      <c r="N469" t="s">
        <v>4278</v>
      </c>
      <c r="O469" t="s">
        <v>63</v>
      </c>
      <c r="Q469" t="s">
        <v>63</v>
      </c>
      <c r="R469" t="s">
        <v>63</v>
      </c>
      <c r="S469" t="s">
        <v>63</v>
      </c>
      <c r="T469" t="s">
        <v>63</v>
      </c>
      <c r="X469" t="s">
        <v>63</v>
      </c>
      <c r="Y469" t="s">
        <v>330</v>
      </c>
      <c r="Z469" t="s">
        <v>63</v>
      </c>
      <c r="AA469" t="s">
        <v>4279</v>
      </c>
      <c r="AB469">
        <v>28776146</v>
      </c>
      <c r="AC469" t="s">
        <v>67</v>
      </c>
      <c r="AD469" t="s">
        <v>63</v>
      </c>
      <c r="AE469" t="s">
        <v>63</v>
      </c>
      <c r="AF469" t="s">
        <v>63</v>
      </c>
      <c r="AG469" t="s">
        <v>4280</v>
      </c>
      <c r="AH469" t="s">
        <v>63</v>
      </c>
      <c r="AI469" t="s">
        <v>4281</v>
      </c>
      <c r="AJ469" t="s">
        <v>63</v>
      </c>
      <c r="AK469" t="s">
        <v>63</v>
      </c>
      <c r="AL469" t="s">
        <v>63</v>
      </c>
      <c r="AM469" t="s">
        <v>4282</v>
      </c>
      <c r="AN469" t="s">
        <v>63</v>
      </c>
      <c r="AO469" t="s">
        <v>63</v>
      </c>
      <c r="AP469" t="s">
        <v>63</v>
      </c>
      <c r="AQ469" t="s">
        <v>63</v>
      </c>
      <c r="AR469" t="s">
        <v>63</v>
      </c>
      <c r="AS469" t="s">
        <v>63</v>
      </c>
      <c r="AT469" t="s">
        <v>63</v>
      </c>
      <c r="AU469" t="s">
        <v>63</v>
      </c>
      <c r="AV469" t="s">
        <v>63</v>
      </c>
      <c r="AW469" t="s">
        <v>63</v>
      </c>
      <c r="AX469" t="s">
        <v>63</v>
      </c>
      <c r="AY469" t="s">
        <v>63</v>
      </c>
      <c r="AZ469" t="s">
        <v>63</v>
      </c>
      <c r="BA469" t="s">
        <v>63</v>
      </c>
      <c r="BB469" t="s">
        <v>63</v>
      </c>
      <c r="BC469" t="s">
        <v>63</v>
      </c>
      <c r="BD469" t="s">
        <v>63</v>
      </c>
      <c r="BE469" t="s">
        <v>63</v>
      </c>
      <c r="BF469" t="s">
        <v>63</v>
      </c>
    </row>
    <row r="470" spans="1:58">
      <c r="A470" t="s">
        <v>58</v>
      </c>
      <c r="B470" t="s">
        <v>4283</v>
      </c>
      <c r="C470" t="s">
        <v>2645</v>
      </c>
      <c r="D470" t="s">
        <v>2646</v>
      </c>
      <c r="E470" t="s">
        <v>2647</v>
      </c>
      <c r="F470">
        <v>1992</v>
      </c>
      <c r="G470" t="s">
        <v>614</v>
      </c>
      <c r="H470">
        <v>85</v>
      </c>
      <c r="I470">
        <v>8</v>
      </c>
      <c r="J470">
        <v>435</v>
      </c>
      <c r="K470">
        <v>436</v>
      </c>
      <c r="L470" t="s">
        <v>4284</v>
      </c>
      <c r="M470" t="s">
        <v>63</v>
      </c>
      <c r="N470" t="s">
        <v>4285</v>
      </c>
      <c r="O470" t="s">
        <v>63</v>
      </c>
      <c r="Q470" t="s">
        <v>63</v>
      </c>
      <c r="R470" t="s">
        <v>63</v>
      </c>
      <c r="S470" t="s">
        <v>63</v>
      </c>
      <c r="T470" t="s">
        <v>63</v>
      </c>
      <c r="X470" t="s">
        <v>63</v>
      </c>
      <c r="Y470" t="s">
        <v>2649</v>
      </c>
      <c r="Z470" t="s">
        <v>63</v>
      </c>
      <c r="AA470" t="s">
        <v>63</v>
      </c>
      <c r="AB470">
        <v>1404183</v>
      </c>
      <c r="AC470" t="s">
        <v>67</v>
      </c>
      <c r="AD470" t="s">
        <v>63</v>
      </c>
      <c r="AE470" t="s">
        <v>63</v>
      </c>
      <c r="AF470" t="s">
        <v>63</v>
      </c>
      <c r="AG470" t="s">
        <v>4286</v>
      </c>
      <c r="AH470" t="s">
        <v>63</v>
      </c>
      <c r="AI470" t="s">
        <v>63</v>
      </c>
      <c r="AJ470" t="s">
        <v>63</v>
      </c>
      <c r="AK470" t="s">
        <v>63</v>
      </c>
      <c r="AL470" t="s">
        <v>63</v>
      </c>
      <c r="AM470" t="s">
        <v>2652</v>
      </c>
      <c r="AN470" t="s">
        <v>63</v>
      </c>
      <c r="AO470" t="s">
        <v>63</v>
      </c>
      <c r="AP470" t="s">
        <v>63</v>
      </c>
      <c r="AQ470" t="s">
        <v>63</v>
      </c>
      <c r="AR470" t="s">
        <v>63</v>
      </c>
      <c r="AS470" t="s">
        <v>63</v>
      </c>
      <c r="AT470" t="s">
        <v>63</v>
      </c>
      <c r="AU470" t="s">
        <v>63</v>
      </c>
      <c r="AV470" t="s">
        <v>63</v>
      </c>
      <c r="AW470" t="s">
        <v>63</v>
      </c>
      <c r="AX470" t="s">
        <v>63</v>
      </c>
      <c r="AY470" t="s">
        <v>63</v>
      </c>
      <c r="AZ470" t="s">
        <v>63</v>
      </c>
      <c r="BA470" t="s">
        <v>63</v>
      </c>
      <c r="BB470" t="s">
        <v>63</v>
      </c>
      <c r="BC470" t="s">
        <v>63</v>
      </c>
      <c r="BD470" t="s">
        <v>63</v>
      </c>
      <c r="BE470" t="s">
        <v>63</v>
      </c>
      <c r="BF470" t="s">
        <v>63</v>
      </c>
    </row>
    <row r="471" spans="1:58">
      <c r="A471" t="s">
        <v>58</v>
      </c>
      <c r="B471" t="s">
        <v>4287</v>
      </c>
      <c r="C471" t="s">
        <v>4288</v>
      </c>
      <c r="D471" t="s">
        <v>4289</v>
      </c>
      <c r="E471" t="s">
        <v>4290</v>
      </c>
      <c r="F471">
        <v>1993</v>
      </c>
      <c r="G471" t="s">
        <v>63</v>
      </c>
      <c r="H471">
        <v>18</v>
      </c>
      <c r="I471">
        <v>4</v>
      </c>
      <c r="J471">
        <v>87</v>
      </c>
      <c r="K471">
        <v>95</v>
      </c>
      <c r="L471" t="s">
        <v>4291</v>
      </c>
      <c r="M471" t="s">
        <v>4292</v>
      </c>
      <c r="N471" t="s">
        <v>4293</v>
      </c>
      <c r="O471" t="s">
        <v>63</v>
      </c>
      <c r="Q471" t="s">
        <v>63</v>
      </c>
      <c r="R471" t="s">
        <v>63</v>
      </c>
      <c r="S471" t="s">
        <v>63</v>
      </c>
      <c r="T471" t="s">
        <v>63</v>
      </c>
      <c r="X471" t="s">
        <v>63</v>
      </c>
      <c r="Y471" t="s">
        <v>4294</v>
      </c>
      <c r="Z471" t="s">
        <v>63</v>
      </c>
      <c r="AA471" t="s">
        <v>4295</v>
      </c>
      <c r="AB471">
        <v>8282551</v>
      </c>
      <c r="AC471" t="s">
        <v>67</v>
      </c>
      <c r="AD471" t="s">
        <v>63</v>
      </c>
      <c r="AE471" t="s">
        <v>63</v>
      </c>
      <c r="AF471" t="s">
        <v>63</v>
      </c>
      <c r="AG471" t="s">
        <v>4296</v>
      </c>
      <c r="AH471" t="s">
        <v>63</v>
      </c>
      <c r="AI471" t="s">
        <v>63</v>
      </c>
      <c r="AJ471" t="s">
        <v>63</v>
      </c>
      <c r="AK471" t="s">
        <v>63</v>
      </c>
      <c r="AL471" t="s">
        <v>63</v>
      </c>
      <c r="AM471" t="s">
        <v>4297</v>
      </c>
      <c r="AN471" t="s">
        <v>63</v>
      </c>
      <c r="AO471" t="s">
        <v>63</v>
      </c>
      <c r="AP471" t="s">
        <v>63</v>
      </c>
      <c r="AQ471" t="s">
        <v>63</v>
      </c>
      <c r="AR471" t="s">
        <v>63</v>
      </c>
      <c r="AS471" t="s">
        <v>63</v>
      </c>
      <c r="AT471" t="s">
        <v>63</v>
      </c>
      <c r="AU471" t="s">
        <v>63</v>
      </c>
      <c r="AV471" t="s">
        <v>63</v>
      </c>
      <c r="AW471" t="s">
        <v>63</v>
      </c>
      <c r="AX471" t="s">
        <v>63</v>
      </c>
      <c r="AY471" t="s">
        <v>63</v>
      </c>
      <c r="AZ471" t="s">
        <v>63</v>
      </c>
      <c r="BA471" t="s">
        <v>63</v>
      </c>
      <c r="BB471" t="s">
        <v>63</v>
      </c>
      <c r="BC471" t="s">
        <v>63</v>
      </c>
      <c r="BD471" t="s">
        <v>63</v>
      </c>
      <c r="BE471" t="s">
        <v>63</v>
      </c>
      <c r="BF471" t="s">
        <v>63</v>
      </c>
    </row>
    <row r="472" spans="1:58">
      <c r="A472" t="s">
        <v>58</v>
      </c>
      <c r="B472" t="s">
        <v>4298</v>
      </c>
      <c r="C472" t="s">
        <v>4299</v>
      </c>
      <c r="D472" t="s">
        <v>4300</v>
      </c>
      <c r="E472" t="s">
        <v>4301</v>
      </c>
      <c r="F472">
        <v>2011</v>
      </c>
      <c r="G472" t="s">
        <v>614</v>
      </c>
      <c r="H472">
        <v>86</v>
      </c>
      <c r="I472">
        <v>8</v>
      </c>
      <c r="J472">
        <v>820</v>
      </c>
      <c r="K472" t="s">
        <v>4302</v>
      </c>
      <c r="L472" t="s">
        <v>4303</v>
      </c>
      <c r="M472" t="s">
        <v>63</v>
      </c>
      <c r="N472" t="s">
        <v>4304</v>
      </c>
      <c r="O472" t="s">
        <v>63</v>
      </c>
      <c r="Q472" t="s">
        <v>63</v>
      </c>
      <c r="R472" t="s">
        <v>63</v>
      </c>
      <c r="S472" t="s">
        <v>63</v>
      </c>
      <c r="T472" t="s">
        <v>63</v>
      </c>
      <c r="X472" t="s">
        <v>63</v>
      </c>
      <c r="Y472" t="s">
        <v>4305</v>
      </c>
      <c r="Z472" t="s">
        <v>63</v>
      </c>
      <c r="AA472" t="s">
        <v>63</v>
      </c>
      <c r="AB472">
        <v>21803964</v>
      </c>
      <c r="AC472" t="s">
        <v>67</v>
      </c>
      <c r="AD472" t="s">
        <v>63</v>
      </c>
      <c r="AE472" t="s">
        <v>63</v>
      </c>
      <c r="AF472" t="s">
        <v>63</v>
      </c>
      <c r="AG472" t="s">
        <v>4306</v>
      </c>
      <c r="AH472" t="s">
        <v>63</v>
      </c>
      <c r="AI472" t="s">
        <v>4307</v>
      </c>
      <c r="AJ472" t="s">
        <v>63</v>
      </c>
      <c r="AK472" t="s">
        <v>63</v>
      </c>
      <c r="AL472" t="s">
        <v>63</v>
      </c>
      <c r="AM472" t="s">
        <v>4308</v>
      </c>
      <c r="AN472" t="s">
        <v>63</v>
      </c>
      <c r="AO472" t="s">
        <v>63</v>
      </c>
      <c r="AP472" t="s">
        <v>63</v>
      </c>
      <c r="AQ472" t="s">
        <v>63</v>
      </c>
      <c r="AR472" t="s">
        <v>63</v>
      </c>
      <c r="AS472" t="s">
        <v>63</v>
      </c>
      <c r="AT472" t="s">
        <v>63</v>
      </c>
      <c r="AU472" t="s">
        <v>63</v>
      </c>
      <c r="AV472" t="s">
        <v>63</v>
      </c>
      <c r="AW472" t="s">
        <v>63</v>
      </c>
      <c r="AX472" t="s">
        <v>63</v>
      </c>
      <c r="AY472" t="s">
        <v>63</v>
      </c>
      <c r="AZ472" t="s">
        <v>63</v>
      </c>
      <c r="BA472" t="s">
        <v>63</v>
      </c>
      <c r="BB472" t="s">
        <v>63</v>
      </c>
      <c r="BC472" t="s">
        <v>63</v>
      </c>
      <c r="BD472" t="s">
        <v>63</v>
      </c>
      <c r="BE472" t="s">
        <v>63</v>
      </c>
      <c r="BF472" t="s">
        <v>63</v>
      </c>
    </row>
    <row r="473" spans="1:58">
      <c r="A473" t="s">
        <v>58</v>
      </c>
      <c r="B473" t="s">
        <v>4309</v>
      </c>
      <c r="C473" t="s">
        <v>4310</v>
      </c>
      <c r="D473" t="s">
        <v>3142</v>
      </c>
      <c r="E473" t="s">
        <v>3143</v>
      </c>
      <c r="F473">
        <v>1991</v>
      </c>
      <c r="G473" t="s">
        <v>274</v>
      </c>
      <c r="H473">
        <v>151</v>
      </c>
      <c r="I473">
        <v>3</v>
      </c>
      <c r="J473">
        <v>561</v>
      </c>
      <c r="K473">
        <v>564</v>
      </c>
      <c r="L473" t="s">
        <v>4311</v>
      </c>
      <c r="M473" t="s">
        <v>4312</v>
      </c>
      <c r="N473" t="s">
        <v>4313</v>
      </c>
      <c r="O473" t="s">
        <v>63</v>
      </c>
      <c r="Q473" t="s">
        <v>63</v>
      </c>
      <c r="R473" t="s">
        <v>63</v>
      </c>
      <c r="S473" t="s">
        <v>63</v>
      </c>
      <c r="T473" t="s">
        <v>63</v>
      </c>
      <c r="X473" t="s">
        <v>63</v>
      </c>
      <c r="Y473" s="2">
        <v>2930035</v>
      </c>
      <c r="Z473" t="s">
        <v>63</v>
      </c>
      <c r="AA473" t="s">
        <v>4314</v>
      </c>
      <c r="AB473">
        <v>2001138</v>
      </c>
      <c r="AC473" t="s">
        <v>67</v>
      </c>
      <c r="AD473" t="s">
        <v>63</v>
      </c>
      <c r="AE473" t="s">
        <v>63</v>
      </c>
      <c r="AF473" t="s">
        <v>63</v>
      </c>
      <c r="AG473" t="s">
        <v>4315</v>
      </c>
      <c r="AH473" t="s">
        <v>63</v>
      </c>
      <c r="AI473" t="s">
        <v>63</v>
      </c>
      <c r="AJ473" t="s">
        <v>63</v>
      </c>
      <c r="AK473" t="s">
        <v>63</v>
      </c>
      <c r="AL473" t="s">
        <v>63</v>
      </c>
      <c r="AM473" t="s">
        <v>4316</v>
      </c>
      <c r="AN473" t="s">
        <v>63</v>
      </c>
      <c r="AO473" t="s">
        <v>63</v>
      </c>
      <c r="AP473" t="s">
        <v>63</v>
      </c>
      <c r="AQ473" t="s">
        <v>63</v>
      </c>
      <c r="AR473" t="s">
        <v>63</v>
      </c>
      <c r="AS473" t="s">
        <v>63</v>
      </c>
      <c r="AT473" t="s">
        <v>63</v>
      </c>
      <c r="AU473" t="s">
        <v>63</v>
      </c>
      <c r="AV473" t="s">
        <v>63</v>
      </c>
      <c r="AW473" t="s">
        <v>63</v>
      </c>
      <c r="AX473" t="s">
        <v>63</v>
      </c>
      <c r="AY473" t="s">
        <v>63</v>
      </c>
      <c r="AZ473" t="s">
        <v>63</v>
      </c>
      <c r="BA473" t="s">
        <v>63</v>
      </c>
      <c r="BB473" t="s">
        <v>63</v>
      </c>
      <c r="BC473" t="s">
        <v>63</v>
      </c>
      <c r="BD473" t="s">
        <v>63</v>
      </c>
      <c r="BE473" t="s">
        <v>63</v>
      </c>
      <c r="BF473" t="s">
        <v>63</v>
      </c>
    </row>
    <row r="474" spans="1:58">
      <c r="A474" t="s">
        <v>58</v>
      </c>
      <c r="B474" t="s">
        <v>4317</v>
      </c>
      <c r="C474" t="s">
        <v>4318</v>
      </c>
      <c r="D474" t="s">
        <v>90</v>
      </c>
      <c r="E474" t="s">
        <v>63</v>
      </c>
      <c r="F474">
        <v>2003</v>
      </c>
      <c r="G474" t="s">
        <v>63</v>
      </c>
      <c r="H474">
        <v>22</v>
      </c>
      <c r="I474">
        <v>2</v>
      </c>
      <c r="J474">
        <v>79</v>
      </c>
      <c r="K474">
        <v>90</v>
      </c>
      <c r="L474" t="s">
        <v>4319</v>
      </c>
      <c r="M474" t="s">
        <v>4320</v>
      </c>
      <c r="N474" t="s">
        <v>4321</v>
      </c>
      <c r="O474" t="s">
        <v>63</v>
      </c>
      <c r="Q474" t="s">
        <v>63</v>
      </c>
      <c r="R474" t="s">
        <v>63</v>
      </c>
      <c r="S474" t="s">
        <v>63</v>
      </c>
      <c r="T474" t="s">
        <v>63</v>
      </c>
      <c r="X474" t="s">
        <v>63</v>
      </c>
      <c r="Y474" t="s">
        <v>93</v>
      </c>
      <c r="Z474" t="s">
        <v>63</v>
      </c>
      <c r="AA474" t="s">
        <v>4322</v>
      </c>
      <c r="AB474">
        <v>12703671</v>
      </c>
      <c r="AC474" t="s">
        <v>67</v>
      </c>
      <c r="AD474" t="s">
        <v>63</v>
      </c>
      <c r="AE474" t="s">
        <v>63</v>
      </c>
      <c r="AF474" t="s">
        <v>63</v>
      </c>
      <c r="AG474" t="s">
        <v>4323</v>
      </c>
      <c r="AH474" t="s">
        <v>63</v>
      </c>
      <c r="AI474" t="s">
        <v>63</v>
      </c>
      <c r="AJ474" t="s">
        <v>63</v>
      </c>
      <c r="AK474" t="s">
        <v>63</v>
      </c>
      <c r="AL474" t="s">
        <v>63</v>
      </c>
      <c r="AM474" t="s">
        <v>4324</v>
      </c>
      <c r="AN474" t="s">
        <v>63</v>
      </c>
      <c r="AO474" t="s">
        <v>63</v>
      </c>
      <c r="AP474" t="s">
        <v>63</v>
      </c>
      <c r="AQ474" t="s">
        <v>63</v>
      </c>
      <c r="AR474" t="s">
        <v>63</v>
      </c>
      <c r="AS474" t="s">
        <v>63</v>
      </c>
      <c r="AT474" t="s">
        <v>63</v>
      </c>
      <c r="AU474" t="s">
        <v>63</v>
      </c>
      <c r="AV474" t="s">
        <v>63</v>
      </c>
      <c r="AW474" t="s">
        <v>63</v>
      </c>
      <c r="AX474" t="s">
        <v>63</v>
      </c>
      <c r="AY474" t="s">
        <v>63</v>
      </c>
      <c r="AZ474" t="s">
        <v>63</v>
      </c>
      <c r="BA474" t="s">
        <v>63</v>
      </c>
      <c r="BB474" t="s">
        <v>63</v>
      </c>
      <c r="BC474" t="s">
        <v>63</v>
      </c>
      <c r="BD474" t="s">
        <v>63</v>
      </c>
      <c r="BE474" t="s">
        <v>63</v>
      </c>
      <c r="BF474" t="s">
        <v>63</v>
      </c>
    </row>
    <row r="475" spans="1:58">
      <c r="A475" t="s">
        <v>58</v>
      </c>
      <c r="B475" t="s">
        <v>4325</v>
      </c>
      <c r="C475" t="s">
        <v>4326</v>
      </c>
      <c r="D475" t="s">
        <v>4327</v>
      </c>
      <c r="E475" t="s">
        <v>4328</v>
      </c>
      <c r="F475">
        <v>1988</v>
      </c>
      <c r="G475" t="s">
        <v>63</v>
      </c>
      <c r="H475">
        <v>105</v>
      </c>
      <c r="I475">
        <v>4</v>
      </c>
      <c r="J475">
        <v>415</v>
      </c>
      <c r="K475">
        <v>430</v>
      </c>
      <c r="L475" t="s">
        <v>4329</v>
      </c>
      <c r="M475" t="s">
        <v>63</v>
      </c>
      <c r="N475" t="s">
        <v>4330</v>
      </c>
      <c r="O475" t="s">
        <v>63</v>
      </c>
      <c r="Q475" t="s">
        <v>63</v>
      </c>
      <c r="R475" t="s">
        <v>63</v>
      </c>
      <c r="S475" t="s">
        <v>63</v>
      </c>
      <c r="T475" t="s">
        <v>63</v>
      </c>
      <c r="X475" t="s">
        <v>63</v>
      </c>
      <c r="Y475" t="s">
        <v>4331</v>
      </c>
      <c r="Z475" t="s">
        <v>63</v>
      </c>
      <c r="AA475" t="s">
        <v>63</v>
      </c>
      <c r="AB475">
        <v>3252741</v>
      </c>
      <c r="AC475" t="s">
        <v>913</v>
      </c>
      <c r="AD475" t="s">
        <v>63</v>
      </c>
      <c r="AE475" t="s">
        <v>63</v>
      </c>
      <c r="AF475" t="s">
        <v>63</v>
      </c>
      <c r="AG475" t="s">
        <v>4332</v>
      </c>
      <c r="AH475" t="s">
        <v>63</v>
      </c>
      <c r="AI475" t="s">
        <v>63</v>
      </c>
      <c r="AJ475" t="s">
        <v>63</v>
      </c>
      <c r="AK475" t="s">
        <v>63</v>
      </c>
      <c r="AL475" t="s">
        <v>63</v>
      </c>
      <c r="AM475" t="s">
        <v>4333</v>
      </c>
      <c r="AN475" t="s">
        <v>63</v>
      </c>
      <c r="AO475" t="s">
        <v>63</v>
      </c>
      <c r="AP475" t="s">
        <v>63</v>
      </c>
      <c r="AQ475" t="s">
        <v>63</v>
      </c>
      <c r="AR475" t="s">
        <v>63</v>
      </c>
      <c r="AS475" t="s">
        <v>63</v>
      </c>
      <c r="AT475" t="s">
        <v>63</v>
      </c>
      <c r="AU475" t="s">
        <v>63</v>
      </c>
      <c r="AV475" t="s">
        <v>63</v>
      </c>
      <c r="AW475" t="s">
        <v>63</v>
      </c>
      <c r="AX475" t="s">
        <v>63</v>
      </c>
      <c r="AY475" t="s">
        <v>63</v>
      </c>
      <c r="AZ475" t="s">
        <v>63</v>
      </c>
      <c r="BA475" t="s">
        <v>63</v>
      </c>
      <c r="BB475" t="s">
        <v>63</v>
      </c>
      <c r="BC475" t="s">
        <v>63</v>
      </c>
      <c r="BD475" t="s">
        <v>63</v>
      </c>
      <c r="BE475" t="s">
        <v>63</v>
      </c>
      <c r="BF475" t="s">
        <v>63</v>
      </c>
    </row>
    <row r="476" spans="1:58">
      <c r="A476" t="s">
        <v>58</v>
      </c>
      <c r="B476" t="s">
        <v>4334</v>
      </c>
      <c r="C476" t="s">
        <v>4335</v>
      </c>
      <c r="D476" t="s">
        <v>325</v>
      </c>
      <c r="E476" t="s">
        <v>63</v>
      </c>
      <c r="F476">
        <v>1991</v>
      </c>
      <c r="G476" t="s">
        <v>157</v>
      </c>
      <c r="H476">
        <v>15</v>
      </c>
      <c r="I476">
        <v>4</v>
      </c>
      <c r="J476">
        <v>195</v>
      </c>
      <c r="K476">
        <v>198</v>
      </c>
      <c r="L476" t="s">
        <v>63</v>
      </c>
      <c r="M476" t="s">
        <v>4336</v>
      </c>
      <c r="N476" t="s">
        <v>4337</v>
      </c>
      <c r="O476" t="s">
        <v>63</v>
      </c>
      <c r="Q476" t="s">
        <v>63</v>
      </c>
      <c r="R476" t="s">
        <v>63</v>
      </c>
      <c r="S476" t="s">
        <v>63</v>
      </c>
      <c r="T476" t="s">
        <v>63</v>
      </c>
      <c r="X476" t="s">
        <v>63</v>
      </c>
      <c r="Y476" t="s">
        <v>866</v>
      </c>
      <c r="Z476" t="s">
        <v>63</v>
      </c>
      <c r="AA476" t="s">
        <v>4338</v>
      </c>
      <c r="AB476">
        <v>24435311</v>
      </c>
      <c r="AC476" t="s">
        <v>67</v>
      </c>
      <c r="AD476" t="s">
        <v>63</v>
      </c>
      <c r="AE476" t="s">
        <v>63</v>
      </c>
      <c r="AF476" t="s">
        <v>63</v>
      </c>
      <c r="AG476" t="s">
        <v>4339</v>
      </c>
      <c r="AH476" t="s">
        <v>63</v>
      </c>
      <c r="AI476" t="s">
        <v>4340</v>
      </c>
      <c r="AJ476" t="s">
        <v>63</v>
      </c>
      <c r="AK476" t="s">
        <v>63</v>
      </c>
      <c r="AL476" t="s">
        <v>63</v>
      </c>
      <c r="AM476" t="s">
        <v>4341</v>
      </c>
      <c r="AN476" t="s">
        <v>63</v>
      </c>
      <c r="AO476" t="s">
        <v>63</v>
      </c>
      <c r="AP476" t="s">
        <v>63</v>
      </c>
      <c r="AQ476" t="s">
        <v>63</v>
      </c>
      <c r="AR476" t="s">
        <v>63</v>
      </c>
      <c r="AS476" t="s">
        <v>63</v>
      </c>
      <c r="AT476" t="s">
        <v>63</v>
      </c>
      <c r="AU476" t="s">
        <v>63</v>
      </c>
      <c r="AV476" t="s">
        <v>63</v>
      </c>
      <c r="AW476" t="s">
        <v>63</v>
      </c>
      <c r="AX476" t="s">
        <v>63</v>
      </c>
      <c r="AY476" t="s">
        <v>63</v>
      </c>
      <c r="AZ476" t="s">
        <v>63</v>
      </c>
      <c r="BA476" t="s">
        <v>63</v>
      </c>
      <c r="BB476" t="s">
        <v>63</v>
      </c>
      <c r="BC476" t="s">
        <v>63</v>
      </c>
      <c r="BD476" t="s">
        <v>63</v>
      </c>
      <c r="BE476" t="s">
        <v>63</v>
      </c>
      <c r="BF476" t="s">
        <v>63</v>
      </c>
    </row>
    <row r="477" spans="1:58">
      <c r="A477" t="s">
        <v>58</v>
      </c>
      <c r="B477" t="s">
        <v>4342</v>
      </c>
      <c r="C477" t="s">
        <v>4343</v>
      </c>
      <c r="D477" t="s">
        <v>4344</v>
      </c>
      <c r="E477" t="s">
        <v>63</v>
      </c>
      <c r="F477">
        <v>1971</v>
      </c>
      <c r="G477" t="s">
        <v>157</v>
      </c>
      <c r="H477">
        <v>66</v>
      </c>
      <c r="I477">
        <v>4</v>
      </c>
      <c r="J477">
        <v>257</v>
      </c>
      <c r="K477">
        <v>260</v>
      </c>
      <c r="L477" t="s">
        <v>4345</v>
      </c>
      <c r="M477" t="s">
        <v>63</v>
      </c>
      <c r="N477" t="s">
        <v>4346</v>
      </c>
      <c r="O477" t="s">
        <v>63</v>
      </c>
      <c r="Q477" t="s">
        <v>63</v>
      </c>
      <c r="R477" t="s">
        <v>63</v>
      </c>
      <c r="S477" t="s">
        <v>63</v>
      </c>
      <c r="T477" t="s">
        <v>63</v>
      </c>
      <c r="X477" t="s">
        <v>63</v>
      </c>
      <c r="Y477" t="s">
        <v>4347</v>
      </c>
      <c r="Z477" t="s">
        <v>63</v>
      </c>
      <c r="AA477" t="s">
        <v>63</v>
      </c>
      <c r="AB477">
        <v>5289920</v>
      </c>
      <c r="AC477" t="s">
        <v>67</v>
      </c>
      <c r="AD477" t="s">
        <v>63</v>
      </c>
      <c r="AE477" t="s">
        <v>63</v>
      </c>
      <c r="AF477" t="s">
        <v>63</v>
      </c>
      <c r="AG477" t="s">
        <v>4348</v>
      </c>
      <c r="AH477" t="s">
        <v>63</v>
      </c>
      <c r="AI477" t="s">
        <v>63</v>
      </c>
      <c r="AJ477" t="s">
        <v>63</v>
      </c>
      <c r="AK477" t="s">
        <v>63</v>
      </c>
      <c r="AL477" t="s">
        <v>63</v>
      </c>
      <c r="AM477" t="s">
        <v>4349</v>
      </c>
      <c r="AN477" t="s">
        <v>63</v>
      </c>
      <c r="AO477" t="s">
        <v>63</v>
      </c>
      <c r="AP477" t="s">
        <v>63</v>
      </c>
      <c r="AQ477" t="s">
        <v>63</v>
      </c>
      <c r="AR477" t="s">
        <v>63</v>
      </c>
      <c r="AS477" t="s">
        <v>63</v>
      </c>
      <c r="AT477" t="s">
        <v>63</v>
      </c>
      <c r="AU477" t="s">
        <v>63</v>
      </c>
      <c r="AV477" t="s">
        <v>63</v>
      </c>
      <c r="AW477" t="s">
        <v>63</v>
      </c>
      <c r="AX477" t="s">
        <v>63</v>
      </c>
      <c r="AY477" t="s">
        <v>63</v>
      </c>
      <c r="AZ477" t="s">
        <v>63</v>
      </c>
      <c r="BA477" t="s">
        <v>63</v>
      </c>
      <c r="BB477" t="s">
        <v>63</v>
      </c>
      <c r="BC477" t="s">
        <v>63</v>
      </c>
      <c r="BD477" t="s">
        <v>63</v>
      </c>
      <c r="BE477" t="s">
        <v>63</v>
      </c>
      <c r="BF477" t="s">
        <v>63</v>
      </c>
    </row>
    <row r="478" spans="1:58">
      <c r="A478" t="s">
        <v>58</v>
      </c>
      <c r="B478" t="s">
        <v>4350</v>
      </c>
      <c r="C478" t="s">
        <v>4351</v>
      </c>
      <c r="D478" t="s">
        <v>2195</v>
      </c>
      <c r="E478" t="s">
        <v>63</v>
      </c>
      <c r="F478">
        <v>2005</v>
      </c>
      <c r="G478" s="1">
        <v>41919</v>
      </c>
      <c r="H478">
        <v>34</v>
      </c>
      <c r="I478">
        <v>17</v>
      </c>
      <c r="J478">
        <v>1213</v>
      </c>
      <c r="K478">
        <v>1219</v>
      </c>
      <c r="L478" t="s">
        <v>4352</v>
      </c>
      <c r="M478" t="s">
        <v>4353</v>
      </c>
      <c r="N478" t="s">
        <v>4354</v>
      </c>
      <c r="O478" t="s">
        <v>63</v>
      </c>
      <c r="Q478" t="s">
        <v>63</v>
      </c>
      <c r="R478" t="s">
        <v>63</v>
      </c>
      <c r="S478" t="s">
        <v>63</v>
      </c>
      <c r="T478" t="s">
        <v>63</v>
      </c>
      <c r="X478" t="s">
        <v>63</v>
      </c>
      <c r="Y478" t="s">
        <v>4355</v>
      </c>
      <c r="Z478" t="s">
        <v>63</v>
      </c>
      <c r="AA478" t="s">
        <v>4356</v>
      </c>
      <c r="AB478">
        <v>16230961</v>
      </c>
      <c r="AC478" t="s">
        <v>1371</v>
      </c>
      <c r="AD478" t="s">
        <v>63</v>
      </c>
      <c r="AE478" t="s">
        <v>63</v>
      </c>
      <c r="AF478" t="s">
        <v>63</v>
      </c>
      <c r="AG478" t="s">
        <v>4357</v>
      </c>
      <c r="AH478" t="s">
        <v>63</v>
      </c>
      <c r="AI478" t="s">
        <v>63</v>
      </c>
      <c r="AJ478" t="s">
        <v>63</v>
      </c>
      <c r="AK478" t="s">
        <v>63</v>
      </c>
      <c r="AL478" t="s">
        <v>63</v>
      </c>
      <c r="AM478" t="s">
        <v>4358</v>
      </c>
      <c r="AN478" t="s">
        <v>63</v>
      </c>
      <c r="AO478" t="s">
        <v>63</v>
      </c>
      <c r="AP478" t="s">
        <v>63</v>
      </c>
      <c r="AQ478" t="s">
        <v>63</v>
      </c>
      <c r="AR478" t="s">
        <v>63</v>
      </c>
      <c r="AS478" t="s">
        <v>63</v>
      </c>
      <c r="AT478" t="s">
        <v>63</v>
      </c>
      <c r="AU478" t="s">
        <v>63</v>
      </c>
      <c r="AV478" t="s">
        <v>63</v>
      </c>
      <c r="AW478" t="s">
        <v>63</v>
      </c>
      <c r="AX478" t="s">
        <v>63</v>
      </c>
      <c r="AY478" t="s">
        <v>63</v>
      </c>
      <c r="AZ478" t="s">
        <v>63</v>
      </c>
      <c r="BA478" t="s">
        <v>63</v>
      </c>
      <c r="BB478" t="s">
        <v>63</v>
      </c>
      <c r="BC478" t="s">
        <v>63</v>
      </c>
      <c r="BD478" t="s">
        <v>63</v>
      </c>
      <c r="BE478" t="s">
        <v>63</v>
      </c>
      <c r="BF478" t="s">
        <v>63</v>
      </c>
    </row>
    <row r="479" spans="1:58">
      <c r="A479" t="s">
        <v>58</v>
      </c>
      <c r="B479" t="s">
        <v>4359</v>
      </c>
      <c r="C479" t="s">
        <v>4360</v>
      </c>
      <c r="D479" t="s">
        <v>790</v>
      </c>
      <c r="E479" t="s">
        <v>791</v>
      </c>
      <c r="F479">
        <v>2005</v>
      </c>
      <c r="G479" t="s">
        <v>198</v>
      </c>
      <c r="H479">
        <v>30</v>
      </c>
      <c r="I479">
        <v>1</v>
      </c>
      <c r="J479">
        <v>187</v>
      </c>
      <c r="K479">
        <v>191</v>
      </c>
      <c r="L479" t="s">
        <v>4361</v>
      </c>
      <c r="M479" t="s">
        <v>4362</v>
      </c>
      <c r="N479" t="s">
        <v>4363</v>
      </c>
      <c r="O479" t="s">
        <v>63</v>
      </c>
      <c r="Q479" t="s">
        <v>63</v>
      </c>
      <c r="R479" t="s">
        <v>63</v>
      </c>
      <c r="S479" t="s">
        <v>63</v>
      </c>
      <c r="T479" t="s">
        <v>63</v>
      </c>
      <c r="X479" t="s">
        <v>63</v>
      </c>
      <c r="Y479" t="s">
        <v>795</v>
      </c>
      <c r="Z479" t="s">
        <v>63</v>
      </c>
      <c r="AA479" t="s">
        <v>4364</v>
      </c>
      <c r="AB479">
        <v>15561460</v>
      </c>
      <c r="AC479" t="s">
        <v>67</v>
      </c>
      <c r="AD479" t="s">
        <v>63</v>
      </c>
      <c r="AE479" t="s">
        <v>63</v>
      </c>
      <c r="AF479" t="s">
        <v>63</v>
      </c>
      <c r="AG479" t="s">
        <v>4365</v>
      </c>
      <c r="AH479" t="s">
        <v>63</v>
      </c>
      <c r="AI479" t="s">
        <v>63</v>
      </c>
      <c r="AJ479" t="s">
        <v>63</v>
      </c>
      <c r="AK479" t="s">
        <v>63</v>
      </c>
      <c r="AL479" t="s">
        <v>63</v>
      </c>
      <c r="AM479" t="s">
        <v>4366</v>
      </c>
      <c r="AN479" t="s">
        <v>63</v>
      </c>
      <c r="AO479" t="s">
        <v>63</v>
      </c>
      <c r="AP479" t="s">
        <v>63</v>
      </c>
      <c r="AQ479" t="s">
        <v>63</v>
      </c>
      <c r="AR479" t="s">
        <v>63</v>
      </c>
      <c r="AS479" t="s">
        <v>63</v>
      </c>
      <c r="AT479" t="s">
        <v>63</v>
      </c>
      <c r="AU479" t="s">
        <v>63</v>
      </c>
      <c r="AV479" t="s">
        <v>63</v>
      </c>
      <c r="AW479" t="s">
        <v>63</v>
      </c>
      <c r="AX479" t="s">
        <v>63</v>
      </c>
      <c r="AY479" t="s">
        <v>63</v>
      </c>
      <c r="AZ479" t="s">
        <v>63</v>
      </c>
      <c r="BA479" t="s">
        <v>63</v>
      </c>
      <c r="BB479" t="s">
        <v>63</v>
      </c>
      <c r="BC479" t="s">
        <v>63</v>
      </c>
      <c r="BD479" t="s">
        <v>63</v>
      </c>
      <c r="BE479" t="s">
        <v>63</v>
      </c>
      <c r="BF479" t="s">
        <v>63</v>
      </c>
    </row>
    <row r="480" spans="1:58">
      <c r="A480" t="s">
        <v>58</v>
      </c>
      <c r="B480" t="s">
        <v>4367</v>
      </c>
      <c r="C480" t="s">
        <v>4368</v>
      </c>
      <c r="D480" t="s">
        <v>2777</v>
      </c>
      <c r="E480" t="s">
        <v>63</v>
      </c>
      <c r="F480">
        <v>1992</v>
      </c>
      <c r="G480" t="s">
        <v>326</v>
      </c>
      <c r="H480">
        <v>7</v>
      </c>
      <c r="I480">
        <v>2</v>
      </c>
      <c r="J480">
        <v>117</v>
      </c>
      <c r="K480">
        <v>124</v>
      </c>
      <c r="L480" t="s">
        <v>4369</v>
      </c>
      <c r="M480" t="s">
        <v>4370</v>
      </c>
      <c r="N480" t="s">
        <v>4371</v>
      </c>
      <c r="O480" t="s">
        <v>63</v>
      </c>
      <c r="Q480" t="s">
        <v>63</v>
      </c>
      <c r="R480" t="s">
        <v>63</v>
      </c>
      <c r="S480" t="s">
        <v>63</v>
      </c>
      <c r="T480" t="s">
        <v>63</v>
      </c>
      <c r="X480" t="s">
        <v>63</v>
      </c>
      <c r="Y480" t="s">
        <v>3022</v>
      </c>
      <c r="Z480" t="s">
        <v>63</v>
      </c>
      <c r="AA480" t="s">
        <v>63</v>
      </c>
      <c r="AB480">
        <v>1573285</v>
      </c>
      <c r="AC480" t="s">
        <v>67</v>
      </c>
      <c r="AD480" t="s">
        <v>63</v>
      </c>
      <c r="AE480" t="s">
        <v>63</v>
      </c>
      <c r="AF480" t="s">
        <v>63</v>
      </c>
      <c r="AG480" t="s">
        <v>4372</v>
      </c>
      <c r="AH480" t="s">
        <v>63</v>
      </c>
      <c r="AI480" t="s">
        <v>63</v>
      </c>
      <c r="AJ480" t="s">
        <v>63</v>
      </c>
      <c r="AK480" t="s">
        <v>63</v>
      </c>
      <c r="AL480" t="s">
        <v>63</v>
      </c>
      <c r="AM480" t="s">
        <v>4373</v>
      </c>
      <c r="AN480" t="s">
        <v>63</v>
      </c>
      <c r="AO480" t="s">
        <v>63</v>
      </c>
      <c r="AP480" t="s">
        <v>63</v>
      </c>
      <c r="AQ480" t="s">
        <v>63</v>
      </c>
      <c r="AR480" t="s">
        <v>63</v>
      </c>
      <c r="AS480" t="s">
        <v>63</v>
      </c>
      <c r="AT480" t="s">
        <v>63</v>
      </c>
      <c r="AU480" t="s">
        <v>63</v>
      </c>
      <c r="AV480" t="s">
        <v>63</v>
      </c>
      <c r="AW480" t="s">
        <v>63</v>
      </c>
      <c r="AX480" t="s">
        <v>63</v>
      </c>
      <c r="AY480" t="s">
        <v>63</v>
      </c>
      <c r="AZ480" t="s">
        <v>63</v>
      </c>
      <c r="BA480" t="s">
        <v>63</v>
      </c>
      <c r="BB480" t="s">
        <v>63</v>
      </c>
      <c r="BC480" t="s">
        <v>63</v>
      </c>
      <c r="BD480" t="s">
        <v>63</v>
      </c>
      <c r="BE480" t="s">
        <v>63</v>
      </c>
      <c r="BF480" t="s">
        <v>63</v>
      </c>
    </row>
    <row r="481" spans="1:58">
      <c r="A481" t="s">
        <v>58</v>
      </c>
      <c r="B481" t="s">
        <v>4374</v>
      </c>
      <c r="C481" t="s">
        <v>4375</v>
      </c>
      <c r="D481" t="s">
        <v>4376</v>
      </c>
      <c r="E481" t="s">
        <v>63</v>
      </c>
      <c r="F481">
        <v>2004</v>
      </c>
      <c r="G481" t="s">
        <v>73</v>
      </c>
      <c r="H481">
        <v>15</v>
      </c>
      <c r="I481">
        <v>6</v>
      </c>
      <c r="J481">
        <v>395</v>
      </c>
      <c r="K481">
        <v>399</v>
      </c>
      <c r="L481" t="s">
        <v>4377</v>
      </c>
      <c r="M481" t="s">
        <v>4378</v>
      </c>
      <c r="N481" t="s">
        <v>4379</v>
      </c>
      <c r="O481" t="s">
        <v>63</v>
      </c>
      <c r="Q481" t="s">
        <v>63</v>
      </c>
      <c r="R481" t="s">
        <v>63</v>
      </c>
      <c r="S481" t="s">
        <v>63</v>
      </c>
      <c r="T481" t="s">
        <v>63</v>
      </c>
      <c r="X481" t="s">
        <v>63</v>
      </c>
      <c r="Y481" t="s">
        <v>4380</v>
      </c>
      <c r="Z481" t="s">
        <v>63</v>
      </c>
      <c r="AA481" t="s">
        <v>4381</v>
      </c>
      <c r="AB481">
        <v>15272986</v>
      </c>
      <c r="AC481" t="s">
        <v>913</v>
      </c>
      <c r="AD481" t="s">
        <v>63</v>
      </c>
      <c r="AE481" t="s">
        <v>63</v>
      </c>
      <c r="AF481" t="s">
        <v>63</v>
      </c>
      <c r="AG481" t="s">
        <v>4382</v>
      </c>
      <c r="AH481" t="s">
        <v>63</v>
      </c>
      <c r="AI481" t="s">
        <v>63</v>
      </c>
      <c r="AJ481" t="s">
        <v>63</v>
      </c>
      <c r="AK481" t="s">
        <v>63</v>
      </c>
      <c r="AL481" t="s">
        <v>63</v>
      </c>
      <c r="AM481" t="s">
        <v>4383</v>
      </c>
      <c r="AN481" t="s">
        <v>63</v>
      </c>
      <c r="AO481" t="s">
        <v>63</v>
      </c>
      <c r="AP481" t="s">
        <v>63</v>
      </c>
      <c r="AQ481" t="s">
        <v>63</v>
      </c>
      <c r="AR481" t="s">
        <v>63</v>
      </c>
      <c r="AS481" t="s">
        <v>63</v>
      </c>
      <c r="AT481" t="s">
        <v>63</v>
      </c>
      <c r="AU481" t="s">
        <v>63</v>
      </c>
      <c r="AV481" t="s">
        <v>63</v>
      </c>
      <c r="AW481" t="s">
        <v>63</v>
      </c>
      <c r="AX481" t="s">
        <v>63</v>
      </c>
      <c r="AY481" t="s">
        <v>63</v>
      </c>
      <c r="AZ481" t="s">
        <v>63</v>
      </c>
      <c r="BA481" t="s">
        <v>63</v>
      </c>
      <c r="BB481" t="s">
        <v>63</v>
      </c>
      <c r="BC481" t="s">
        <v>63</v>
      </c>
      <c r="BD481" t="s">
        <v>63</v>
      </c>
      <c r="BE481" t="s">
        <v>63</v>
      </c>
      <c r="BF481" t="s">
        <v>63</v>
      </c>
    </row>
    <row r="482" spans="1:58">
      <c r="A482" t="s">
        <v>58</v>
      </c>
      <c r="B482" t="s">
        <v>4384</v>
      </c>
      <c r="C482" t="s">
        <v>4385</v>
      </c>
      <c r="D482" t="s">
        <v>2593</v>
      </c>
      <c r="E482" t="s">
        <v>63</v>
      </c>
      <c r="F482">
        <v>2011</v>
      </c>
      <c r="G482" t="s">
        <v>84</v>
      </c>
      <c r="H482">
        <v>62</v>
      </c>
      <c r="I482">
        <v>4</v>
      </c>
      <c r="J482">
        <v>353</v>
      </c>
      <c r="K482">
        <v>359</v>
      </c>
      <c r="L482" t="s">
        <v>4386</v>
      </c>
      <c r="M482" t="s">
        <v>4387</v>
      </c>
      <c r="N482" t="s">
        <v>4388</v>
      </c>
      <c r="O482" t="s">
        <v>63</v>
      </c>
      <c r="Q482" t="s">
        <v>63</v>
      </c>
      <c r="R482" t="s">
        <v>63</v>
      </c>
      <c r="S482" t="s">
        <v>63</v>
      </c>
      <c r="T482" t="s">
        <v>63</v>
      </c>
      <c r="X482" t="s">
        <v>63</v>
      </c>
      <c r="Y482" t="s">
        <v>2597</v>
      </c>
      <c r="Z482" t="s">
        <v>63</v>
      </c>
      <c r="AA482" t="s">
        <v>4389</v>
      </c>
      <c r="AB482">
        <v>21459985</v>
      </c>
      <c r="AC482" t="s">
        <v>67</v>
      </c>
      <c r="AD482" t="s">
        <v>63</v>
      </c>
      <c r="AE482" t="s">
        <v>63</v>
      </c>
      <c r="AF482" t="s">
        <v>63</v>
      </c>
      <c r="AG482" t="s">
        <v>4390</v>
      </c>
      <c r="AH482" t="s">
        <v>63</v>
      </c>
      <c r="AI482" t="s">
        <v>4391</v>
      </c>
      <c r="AJ482" t="s">
        <v>63</v>
      </c>
      <c r="AK482" t="s">
        <v>63</v>
      </c>
      <c r="AL482" t="s">
        <v>63</v>
      </c>
      <c r="AM482" t="s">
        <v>4392</v>
      </c>
      <c r="AN482" t="s">
        <v>63</v>
      </c>
      <c r="AO482" t="s">
        <v>63</v>
      </c>
      <c r="AP482" t="s">
        <v>63</v>
      </c>
      <c r="AQ482" t="s">
        <v>63</v>
      </c>
      <c r="AR482" t="s">
        <v>63</v>
      </c>
      <c r="AS482" t="s">
        <v>63</v>
      </c>
      <c r="AT482" t="s">
        <v>63</v>
      </c>
      <c r="AU482" t="s">
        <v>63</v>
      </c>
      <c r="AV482" t="s">
        <v>63</v>
      </c>
      <c r="AW482" t="s">
        <v>63</v>
      </c>
      <c r="AX482" t="s">
        <v>63</v>
      </c>
      <c r="AY482" t="s">
        <v>63</v>
      </c>
      <c r="AZ482" t="s">
        <v>63</v>
      </c>
      <c r="BA482" t="s">
        <v>63</v>
      </c>
      <c r="BB482" t="s">
        <v>63</v>
      </c>
      <c r="BC482" t="s">
        <v>63</v>
      </c>
      <c r="BD482" t="s">
        <v>63</v>
      </c>
      <c r="BE482" t="s">
        <v>63</v>
      </c>
      <c r="BF482" t="s">
        <v>63</v>
      </c>
    </row>
    <row r="483" spans="1:58">
      <c r="A483" t="s">
        <v>58</v>
      </c>
      <c r="B483" t="s">
        <v>4393</v>
      </c>
      <c r="C483" t="s">
        <v>4394</v>
      </c>
      <c r="D483" t="s">
        <v>205</v>
      </c>
      <c r="E483" t="s">
        <v>205</v>
      </c>
      <c r="F483">
        <v>1999</v>
      </c>
      <c r="G483" s="1">
        <v>41882</v>
      </c>
      <c r="H483">
        <v>282</v>
      </c>
      <c r="I483">
        <v>9</v>
      </c>
      <c r="J483">
        <v>825</v>
      </c>
      <c r="K483">
        <v>829</v>
      </c>
      <c r="L483" t="s">
        <v>4395</v>
      </c>
      <c r="M483" t="s">
        <v>4396</v>
      </c>
      <c r="N483" t="s">
        <v>4397</v>
      </c>
      <c r="O483" t="s">
        <v>63</v>
      </c>
      <c r="Q483" t="s">
        <v>63</v>
      </c>
      <c r="R483" t="s">
        <v>63</v>
      </c>
      <c r="S483" t="s">
        <v>63</v>
      </c>
      <c r="T483" t="s">
        <v>63</v>
      </c>
      <c r="X483" t="s">
        <v>63</v>
      </c>
      <c r="Y483" t="s">
        <v>208</v>
      </c>
      <c r="Z483" t="s">
        <v>63</v>
      </c>
      <c r="AA483" t="s">
        <v>4398</v>
      </c>
      <c r="AB483">
        <v>10478687</v>
      </c>
      <c r="AC483" t="s">
        <v>67</v>
      </c>
      <c r="AD483" t="s">
        <v>63</v>
      </c>
      <c r="AE483" t="s">
        <v>63</v>
      </c>
      <c r="AF483" t="s">
        <v>63</v>
      </c>
      <c r="AG483" t="s">
        <v>4399</v>
      </c>
      <c r="AH483" t="s">
        <v>63</v>
      </c>
      <c r="AI483" t="s">
        <v>63</v>
      </c>
      <c r="AJ483" t="s">
        <v>63</v>
      </c>
      <c r="AK483" t="s">
        <v>63</v>
      </c>
      <c r="AL483" t="s">
        <v>63</v>
      </c>
      <c r="AM483" t="s">
        <v>4400</v>
      </c>
      <c r="AN483" t="s">
        <v>63</v>
      </c>
      <c r="AO483" t="s">
        <v>63</v>
      </c>
      <c r="AP483" t="s">
        <v>63</v>
      </c>
      <c r="AQ483" t="s">
        <v>63</v>
      </c>
      <c r="AR483" t="s">
        <v>63</v>
      </c>
      <c r="AS483" t="s">
        <v>63</v>
      </c>
      <c r="AT483" t="s">
        <v>63</v>
      </c>
      <c r="AU483" t="s">
        <v>63</v>
      </c>
      <c r="AV483" t="s">
        <v>63</v>
      </c>
      <c r="AW483" t="s">
        <v>63</v>
      </c>
      <c r="AX483" t="s">
        <v>63</v>
      </c>
      <c r="AY483" t="s">
        <v>63</v>
      </c>
      <c r="AZ483" t="s">
        <v>63</v>
      </c>
      <c r="BA483" t="s">
        <v>63</v>
      </c>
      <c r="BB483" t="s">
        <v>63</v>
      </c>
      <c r="BC483" t="s">
        <v>63</v>
      </c>
      <c r="BD483" t="s">
        <v>63</v>
      </c>
      <c r="BE483" t="s">
        <v>63</v>
      </c>
      <c r="BF483" t="s">
        <v>63</v>
      </c>
    </row>
    <row r="484" spans="1:58">
      <c r="A484" t="s">
        <v>58</v>
      </c>
      <c r="B484" t="s">
        <v>4401</v>
      </c>
      <c r="C484" t="s">
        <v>4402</v>
      </c>
      <c r="D484" t="s">
        <v>2281</v>
      </c>
      <c r="E484" t="s">
        <v>2282</v>
      </c>
      <c r="F484">
        <v>2016</v>
      </c>
      <c r="G484" t="s">
        <v>181</v>
      </c>
      <c r="H484">
        <v>352</v>
      </c>
      <c r="I484">
        <v>3</v>
      </c>
      <c r="J484">
        <v>335</v>
      </c>
      <c r="K484">
        <v>336</v>
      </c>
      <c r="L484" t="s">
        <v>4403</v>
      </c>
      <c r="M484" t="s">
        <v>63</v>
      </c>
      <c r="N484" t="s">
        <v>4404</v>
      </c>
      <c r="O484" t="s">
        <v>63</v>
      </c>
      <c r="Q484" t="s">
        <v>63</v>
      </c>
      <c r="R484" t="s">
        <v>63</v>
      </c>
      <c r="S484" t="s">
        <v>63</v>
      </c>
      <c r="T484" t="s">
        <v>63</v>
      </c>
      <c r="X484" t="s">
        <v>63</v>
      </c>
      <c r="Y484" t="s">
        <v>4405</v>
      </c>
      <c r="Z484" t="s">
        <v>63</v>
      </c>
      <c r="AA484" t="s">
        <v>4406</v>
      </c>
      <c r="AB484">
        <v>27650244</v>
      </c>
      <c r="AC484" t="s">
        <v>67</v>
      </c>
      <c r="AD484" t="s">
        <v>63</v>
      </c>
      <c r="AE484" t="s">
        <v>63</v>
      </c>
      <c r="AF484" t="s">
        <v>63</v>
      </c>
      <c r="AG484" t="s">
        <v>4407</v>
      </c>
      <c r="AH484" t="s">
        <v>63</v>
      </c>
      <c r="AI484" t="s">
        <v>4408</v>
      </c>
      <c r="AJ484" t="s">
        <v>63</v>
      </c>
      <c r="AK484" t="s">
        <v>63</v>
      </c>
      <c r="AL484" t="s">
        <v>63</v>
      </c>
      <c r="AM484" t="s">
        <v>4409</v>
      </c>
      <c r="AN484" t="s">
        <v>63</v>
      </c>
      <c r="AO484" t="s">
        <v>63</v>
      </c>
      <c r="AP484" t="s">
        <v>63</v>
      </c>
      <c r="AQ484" t="s">
        <v>63</v>
      </c>
      <c r="AR484" t="s">
        <v>63</v>
      </c>
      <c r="AS484" t="s">
        <v>63</v>
      </c>
      <c r="AT484" t="s">
        <v>63</v>
      </c>
      <c r="AU484" t="s">
        <v>63</v>
      </c>
      <c r="AV484" t="s">
        <v>63</v>
      </c>
      <c r="AW484" t="s">
        <v>63</v>
      </c>
      <c r="AX484" t="s">
        <v>63</v>
      </c>
      <c r="AY484" t="s">
        <v>63</v>
      </c>
      <c r="AZ484" t="s">
        <v>63</v>
      </c>
      <c r="BA484" t="s">
        <v>63</v>
      </c>
      <c r="BB484" t="s">
        <v>63</v>
      </c>
      <c r="BC484" t="s">
        <v>63</v>
      </c>
      <c r="BD484" t="s">
        <v>63</v>
      </c>
      <c r="BE484" t="s">
        <v>63</v>
      </c>
      <c r="BF484" t="s">
        <v>63</v>
      </c>
    </row>
    <row r="485" spans="1:58">
      <c r="A485" t="s">
        <v>58</v>
      </c>
      <c r="B485" t="s">
        <v>4410</v>
      </c>
      <c r="C485" t="s">
        <v>4411</v>
      </c>
      <c r="D485" t="s">
        <v>389</v>
      </c>
      <c r="E485" t="s">
        <v>63</v>
      </c>
      <c r="F485">
        <v>2002</v>
      </c>
      <c r="G485" t="s">
        <v>181</v>
      </c>
      <c r="H485">
        <v>23</v>
      </c>
      <c r="I485">
        <v>3</v>
      </c>
      <c r="J485">
        <v>207</v>
      </c>
      <c r="K485">
        <v>222</v>
      </c>
      <c r="L485" t="s">
        <v>4412</v>
      </c>
      <c r="M485" t="s">
        <v>63</v>
      </c>
      <c r="N485" t="s">
        <v>4413</v>
      </c>
      <c r="O485" t="s">
        <v>63</v>
      </c>
      <c r="Q485" t="s">
        <v>63</v>
      </c>
      <c r="R485" t="s">
        <v>63</v>
      </c>
      <c r="S485" t="s">
        <v>63</v>
      </c>
      <c r="T485" t="s">
        <v>63</v>
      </c>
      <c r="X485" t="s">
        <v>63</v>
      </c>
      <c r="Y485" t="s">
        <v>392</v>
      </c>
      <c r="Z485" t="s">
        <v>63</v>
      </c>
      <c r="AA485" t="s">
        <v>4414</v>
      </c>
      <c r="AB485">
        <v>23580996</v>
      </c>
      <c r="AC485" t="s">
        <v>67</v>
      </c>
      <c r="AD485" t="s">
        <v>63</v>
      </c>
      <c r="AE485" t="s">
        <v>63</v>
      </c>
      <c r="AF485" t="s">
        <v>63</v>
      </c>
      <c r="AG485" t="s">
        <v>4415</v>
      </c>
      <c r="AH485" t="s">
        <v>63</v>
      </c>
      <c r="AI485" t="s">
        <v>63</v>
      </c>
      <c r="AJ485" t="s">
        <v>63</v>
      </c>
      <c r="AK485" t="s">
        <v>63</v>
      </c>
      <c r="AL485" t="s">
        <v>63</v>
      </c>
      <c r="AM485" t="s">
        <v>4416</v>
      </c>
      <c r="AN485" t="s">
        <v>63</v>
      </c>
      <c r="AO485" t="s">
        <v>63</v>
      </c>
      <c r="AP485" t="s">
        <v>63</v>
      </c>
      <c r="AQ485" t="s">
        <v>63</v>
      </c>
      <c r="AR485" t="s">
        <v>63</v>
      </c>
      <c r="AS485" t="s">
        <v>63</v>
      </c>
      <c r="AT485" t="s">
        <v>63</v>
      </c>
      <c r="AU485" t="s">
        <v>63</v>
      </c>
      <c r="AV485" t="s">
        <v>63</v>
      </c>
      <c r="AW485" t="s">
        <v>63</v>
      </c>
      <c r="AX485" t="s">
        <v>63</v>
      </c>
      <c r="AY485" t="s">
        <v>63</v>
      </c>
      <c r="AZ485" t="s">
        <v>63</v>
      </c>
      <c r="BA485" t="s">
        <v>63</v>
      </c>
      <c r="BB485" t="s">
        <v>63</v>
      </c>
      <c r="BC485" t="s">
        <v>63</v>
      </c>
      <c r="BD485" t="s">
        <v>63</v>
      </c>
      <c r="BE485" t="s">
        <v>63</v>
      </c>
      <c r="BF485" t="s">
        <v>63</v>
      </c>
    </row>
    <row r="486" spans="1:58">
      <c r="A486" t="s">
        <v>58</v>
      </c>
      <c r="B486" t="s">
        <v>4417</v>
      </c>
      <c r="C486" t="s">
        <v>4418</v>
      </c>
      <c r="D486" t="s">
        <v>111</v>
      </c>
      <c r="E486" t="s">
        <v>112</v>
      </c>
      <c r="F486">
        <v>2002</v>
      </c>
      <c r="G486" s="1">
        <v>41926</v>
      </c>
      <c r="H486">
        <v>137</v>
      </c>
      <c r="I486">
        <v>8</v>
      </c>
      <c r="J486">
        <v>688</v>
      </c>
      <c r="K486">
        <v>692</v>
      </c>
      <c r="L486" t="s">
        <v>4419</v>
      </c>
      <c r="M486" t="s">
        <v>4420</v>
      </c>
      <c r="N486" t="s">
        <v>4421</v>
      </c>
      <c r="O486" t="s">
        <v>63</v>
      </c>
      <c r="Q486" t="s">
        <v>63</v>
      </c>
      <c r="R486" t="s">
        <v>63</v>
      </c>
      <c r="S486" t="s">
        <v>63</v>
      </c>
      <c r="T486" t="s">
        <v>63</v>
      </c>
      <c r="X486" t="s">
        <v>63</v>
      </c>
      <c r="Y486" t="s">
        <v>116</v>
      </c>
      <c r="Z486" t="s">
        <v>63</v>
      </c>
      <c r="AA486" t="s">
        <v>4422</v>
      </c>
      <c r="AB486">
        <v>12379070</v>
      </c>
      <c r="AC486" t="s">
        <v>67</v>
      </c>
      <c r="AD486" t="s">
        <v>63</v>
      </c>
      <c r="AE486" t="s">
        <v>63</v>
      </c>
      <c r="AF486" t="s">
        <v>63</v>
      </c>
      <c r="AG486" t="s">
        <v>4423</v>
      </c>
      <c r="AH486" t="s">
        <v>63</v>
      </c>
      <c r="AI486" t="s">
        <v>63</v>
      </c>
      <c r="AJ486" t="s">
        <v>63</v>
      </c>
      <c r="AK486" t="s">
        <v>63</v>
      </c>
      <c r="AL486" t="s">
        <v>63</v>
      </c>
      <c r="AM486" t="s">
        <v>4424</v>
      </c>
      <c r="AN486" t="s">
        <v>63</v>
      </c>
      <c r="AO486" t="s">
        <v>63</v>
      </c>
      <c r="AP486" t="s">
        <v>63</v>
      </c>
      <c r="AQ486" t="s">
        <v>63</v>
      </c>
      <c r="AR486" t="s">
        <v>63</v>
      </c>
      <c r="AS486" t="s">
        <v>63</v>
      </c>
      <c r="AT486" t="s">
        <v>63</v>
      </c>
      <c r="AU486" t="s">
        <v>63</v>
      </c>
      <c r="AV486" t="s">
        <v>63</v>
      </c>
      <c r="AW486" t="s">
        <v>63</v>
      </c>
      <c r="AX486" t="s">
        <v>63</v>
      </c>
      <c r="AY486" t="s">
        <v>63</v>
      </c>
      <c r="AZ486" t="s">
        <v>63</v>
      </c>
      <c r="BA486" t="s">
        <v>63</v>
      </c>
      <c r="BB486" t="s">
        <v>63</v>
      </c>
      <c r="BC486" t="s">
        <v>63</v>
      </c>
      <c r="BD486" t="s">
        <v>63</v>
      </c>
      <c r="BE486" t="s">
        <v>63</v>
      </c>
      <c r="BF486" t="s">
        <v>63</v>
      </c>
    </row>
    <row r="487" spans="1:58">
      <c r="A487" t="s">
        <v>58</v>
      </c>
      <c r="B487" t="s">
        <v>4425</v>
      </c>
      <c r="C487" t="s">
        <v>4426</v>
      </c>
      <c r="D487" t="s">
        <v>1149</v>
      </c>
      <c r="E487" t="s">
        <v>1150</v>
      </c>
      <c r="F487">
        <v>2013</v>
      </c>
      <c r="G487" t="s">
        <v>1114</v>
      </c>
      <c r="H487">
        <v>74</v>
      </c>
      <c r="I487">
        <v>3</v>
      </c>
      <c r="J487">
        <v>233</v>
      </c>
      <c r="K487">
        <v>234</v>
      </c>
      <c r="L487" t="s">
        <v>4427</v>
      </c>
      <c r="M487" t="s">
        <v>63</v>
      </c>
      <c r="N487" t="s">
        <v>4428</v>
      </c>
      <c r="O487" t="s">
        <v>63</v>
      </c>
      <c r="Q487" t="s">
        <v>63</v>
      </c>
      <c r="R487" t="s">
        <v>63</v>
      </c>
      <c r="S487" t="s">
        <v>63</v>
      </c>
      <c r="T487" t="s">
        <v>63</v>
      </c>
      <c r="X487" t="s">
        <v>63</v>
      </c>
      <c r="Y487" t="s">
        <v>1153</v>
      </c>
      <c r="Z487" t="s">
        <v>63</v>
      </c>
      <c r="AA487" t="s">
        <v>4429</v>
      </c>
      <c r="AB487">
        <v>23940896</v>
      </c>
      <c r="AC487" t="s">
        <v>67</v>
      </c>
      <c r="AD487" t="s">
        <v>63</v>
      </c>
      <c r="AE487" t="s">
        <v>63</v>
      </c>
      <c r="AF487" t="s">
        <v>63</v>
      </c>
      <c r="AG487" t="s">
        <v>4430</v>
      </c>
      <c r="AH487" t="s">
        <v>63</v>
      </c>
      <c r="AI487" t="s">
        <v>63</v>
      </c>
      <c r="AJ487" t="s">
        <v>63</v>
      </c>
      <c r="AK487" t="s">
        <v>63</v>
      </c>
      <c r="AL487" t="s">
        <v>63</v>
      </c>
      <c r="AM487" t="s">
        <v>4431</v>
      </c>
      <c r="AN487" t="s">
        <v>63</v>
      </c>
      <c r="AO487" t="s">
        <v>63</v>
      </c>
      <c r="AP487" t="s">
        <v>63</v>
      </c>
      <c r="AQ487" t="s">
        <v>63</v>
      </c>
      <c r="AR487" t="s">
        <v>63</v>
      </c>
      <c r="AS487" t="s">
        <v>63</v>
      </c>
      <c r="AT487" t="s">
        <v>63</v>
      </c>
      <c r="AU487" t="s">
        <v>63</v>
      </c>
      <c r="AV487" t="s">
        <v>63</v>
      </c>
      <c r="AW487" t="s">
        <v>63</v>
      </c>
      <c r="AX487" t="s">
        <v>63</v>
      </c>
      <c r="AY487" t="s">
        <v>63</v>
      </c>
      <c r="AZ487" t="s">
        <v>63</v>
      </c>
      <c r="BA487" t="s">
        <v>63</v>
      </c>
      <c r="BB487" t="s">
        <v>63</v>
      </c>
      <c r="BC487" t="s">
        <v>63</v>
      </c>
      <c r="BD487" t="s">
        <v>63</v>
      </c>
      <c r="BE487" t="s">
        <v>63</v>
      </c>
      <c r="BF487" t="s">
        <v>63</v>
      </c>
    </row>
    <row r="488" spans="1:58">
      <c r="A488" t="s">
        <v>58</v>
      </c>
      <c r="B488" t="s">
        <v>4432</v>
      </c>
      <c r="C488" t="s">
        <v>4433</v>
      </c>
      <c r="D488" t="s">
        <v>2576</v>
      </c>
      <c r="E488" t="s">
        <v>2577</v>
      </c>
      <c r="F488">
        <v>1971</v>
      </c>
      <c r="G488" s="1">
        <v>41726</v>
      </c>
      <c r="H488">
        <v>178</v>
      </c>
      <c r="I488" t="s">
        <v>63</v>
      </c>
      <c r="J488">
        <v>75</v>
      </c>
      <c r="K488">
        <v>81</v>
      </c>
      <c r="L488" t="s">
        <v>4434</v>
      </c>
      <c r="M488" t="s">
        <v>63</v>
      </c>
      <c r="N488" t="s">
        <v>4435</v>
      </c>
      <c r="O488" t="s">
        <v>63</v>
      </c>
      <c r="Q488" t="s">
        <v>63</v>
      </c>
      <c r="R488" t="s">
        <v>63</v>
      </c>
      <c r="S488" t="s">
        <v>63</v>
      </c>
      <c r="T488" t="s">
        <v>63</v>
      </c>
      <c r="X488" t="s">
        <v>63</v>
      </c>
      <c r="Y488" t="s">
        <v>2580</v>
      </c>
      <c r="Z488" t="s">
        <v>63</v>
      </c>
      <c r="AA488" t="s">
        <v>63</v>
      </c>
      <c r="AB488">
        <v>5282661</v>
      </c>
      <c r="AC488" t="s">
        <v>67</v>
      </c>
      <c r="AD488" t="s">
        <v>63</v>
      </c>
      <c r="AE488" t="s">
        <v>63</v>
      </c>
      <c r="AF488" t="s">
        <v>63</v>
      </c>
      <c r="AG488" t="s">
        <v>4436</v>
      </c>
      <c r="AH488" t="s">
        <v>63</v>
      </c>
      <c r="AI488" t="s">
        <v>63</v>
      </c>
      <c r="AJ488" t="s">
        <v>63</v>
      </c>
      <c r="AK488" t="s">
        <v>63</v>
      </c>
      <c r="AL488" t="s">
        <v>63</v>
      </c>
      <c r="AM488" t="s">
        <v>4437</v>
      </c>
      <c r="AN488" t="s">
        <v>63</v>
      </c>
      <c r="AO488" t="s">
        <v>63</v>
      </c>
      <c r="AP488" t="s">
        <v>63</v>
      </c>
      <c r="AQ488" t="s">
        <v>63</v>
      </c>
      <c r="AR488" t="s">
        <v>63</v>
      </c>
      <c r="AS488" t="s">
        <v>63</v>
      </c>
      <c r="AT488" t="s">
        <v>63</v>
      </c>
      <c r="AU488" t="s">
        <v>63</v>
      </c>
      <c r="AV488" t="s">
        <v>63</v>
      </c>
      <c r="AW488" t="s">
        <v>63</v>
      </c>
      <c r="AX488" t="s">
        <v>63</v>
      </c>
      <c r="AY488" t="s">
        <v>63</v>
      </c>
      <c r="AZ488" t="s">
        <v>63</v>
      </c>
      <c r="BA488" t="s">
        <v>63</v>
      </c>
      <c r="BB488" t="s">
        <v>63</v>
      </c>
      <c r="BC488" t="s">
        <v>63</v>
      </c>
      <c r="BD488" t="s">
        <v>63</v>
      </c>
      <c r="BE488" t="s">
        <v>63</v>
      </c>
      <c r="BF488" t="s">
        <v>63</v>
      </c>
    </row>
    <row r="489" spans="1:58">
      <c r="A489" t="s">
        <v>58</v>
      </c>
      <c r="B489" t="s">
        <v>4438</v>
      </c>
      <c r="C489" t="s">
        <v>4439</v>
      </c>
      <c r="D489" t="s">
        <v>4440</v>
      </c>
      <c r="E489" t="s">
        <v>63</v>
      </c>
      <c r="F489">
        <v>2011</v>
      </c>
      <c r="G489" s="1">
        <v>41698</v>
      </c>
      <c r="H489" t="s">
        <v>4441</v>
      </c>
      <c r="I489" t="s">
        <v>63</v>
      </c>
      <c r="J489" t="s">
        <v>4442</v>
      </c>
      <c r="K489" t="s">
        <v>4443</v>
      </c>
      <c r="L489" t="s">
        <v>4444</v>
      </c>
      <c r="M489" t="s">
        <v>4445</v>
      </c>
      <c r="N489" t="s">
        <v>4446</v>
      </c>
      <c r="O489" t="s">
        <v>63</v>
      </c>
      <c r="Q489" t="s">
        <v>63</v>
      </c>
      <c r="R489" t="s">
        <v>63</v>
      </c>
      <c r="S489" t="s">
        <v>63</v>
      </c>
      <c r="T489" t="s">
        <v>63</v>
      </c>
      <c r="X489" t="s">
        <v>63</v>
      </c>
      <c r="Y489" t="s">
        <v>4447</v>
      </c>
      <c r="Z489" t="s">
        <v>63</v>
      </c>
      <c r="AA489" t="s">
        <v>4448</v>
      </c>
      <c r="AB489">
        <v>21317602</v>
      </c>
      <c r="AC489" t="s">
        <v>67</v>
      </c>
      <c r="AD489" t="s">
        <v>63</v>
      </c>
      <c r="AE489" t="s">
        <v>63</v>
      </c>
      <c r="AF489" t="s">
        <v>63</v>
      </c>
      <c r="AG489" t="s">
        <v>4449</v>
      </c>
      <c r="AH489" t="s">
        <v>63</v>
      </c>
      <c r="AI489" t="s">
        <v>4450</v>
      </c>
      <c r="AJ489" t="s">
        <v>63</v>
      </c>
      <c r="AK489" t="s">
        <v>63</v>
      </c>
      <c r="AL489" t="s">
        <v>63</v>
      </c>
      <c r="AM489" t="s">
        <v>4451</v>
      </c>
      <c r="AN489" t="s">
        <v>63</v>
      </c>
      <c r="AO489" t="s">
        <v>63</v>
      </c>
      <c r="AP489" t="s">
        <v>63</v>
      </c>
      <c r="AQ489" t="s">
        <v>63</v>
      </c>
      <c r="AR489" t="s">
        <v>63</v>
      </c>
      <c r="AS489" t="s">
        <v>63</v>
      </c>
      <c r="AT489" t="s">
        <v>63</v>
      </c>
      <c r="AU489" t="s">
        <v>63</v>
      </c>
      <c r="AV489" t="s">
        <v>63</v>
      </c>
      <c r="AW489" t="s">
        <v>63</v>
      </c>
      <c r="AX489" t="s">
        <v>63</v>
      </c>
      <c r="AY489" t="s">
        <v>63</v>
      </c>
      <c r="AZ489" t="s">
        <v>63</v>
      </c>
      <c r="BA489" t="s">
        <v>63</v>
      </c>
      <c r="BB489" t="s">
        <v>63</v>
      </c>
      <c r="BC489" t="s">
        <v>63</v>
      </c>
      <c r="BD489" t="s">
        <v>63</v>
      </c>
      <c r="BE489" t="s">
        <v>63</v>
      </c>
      <c r="BF489" t="s">
        <v>63</v>
      </c>
    </row>
    <row r="490" spans="1:58">
      <c r="A490" t="s">
        <v>58</v>
      </c>
      <c r="B490" t="s">
        <v>4452</v>
      </c>
      <c r="C490" t="s">
        <v>4453</v>
      </c>
      <c r="D490" t="s">
        <v>488</v>
      </c>
      <c r="E490" t="s">
        <v>489</v>
      </c>
      <c r="F490">
        <v>2000</v>
      </c>
      <c r="G490" t="s">
        <v>73</v>
      </c>
      <c r="H490">
        <v>38</v>
      </c>
      <c r="I490">
        <v>6</v>
      </c>
      <c r="J490" t="s">
        <v>4454</v>
      </c>
      <c r="K490">
        <v>13</v>
      </c>
      <c r="L490" t="s">
        <v>4455</v>
      </c>
      <c r="M490" t="s">
        <v>4456</v>
      </c>
      <c r="N490" t="s">
        <v>4457</v>
      </c>
      <c r="O490" t="s">
        <v>63</v>
      </c>
      <c r="Q490" t="s">
        <v>63</v>
      </c>
      <c r="R490" t="s">
        <v>63</v>
      </c>
      <c r="S490" t="s">
        <v>63</v>
      </c>
      <c r="T490" t="s">
        <v>63</v>
      </c>
      <c r="X490" t="s">
        <v>63</v>
      </c>
      <c r="Y490" t="s">
        <v>494</v>
      </c>
      <c r="Z490" t="s">
        <v>63</v>
      </c>
      <c r="AA490" t="s">
        <v>4458</v>
      </c>
      <c r="AB490">
        <v>10843275</v>
      </c>
      <c r="AC490" t="s">
        <v>67</v>
      </c>
      <c r="AD490" t="s">
        <v>63</v>
      </c>
      <c r="AE490" t="s">
        <v>63</v>
      </c>
      <c r="AF490" t="s">
        <v>63</v>
      </c>
      <c r="AG490" t="s">
        <v>4459</v>
      </c>
      <c r="AH490" t="s">
        <v>63</v>
      </c>
      <c r="AI490" t="s">
        <v>63</v>
      </c>
      <c r="AJ490" t="s">
        <v>63</v>
      </c>
      <c r="AK490" t="s">
        <v>63</v>
      </c>
      <c r="AL490" t="s">
        <v>63</v>
      </c>
      <c r="AM490" t="s">
        <v>4460</v>
      </c>
      <c r="AN490" t="s">
        <v>63</v>
      </c>
      <c r="AO490" t="s">
        <v>63</v>
      </c>
      <c r="AP490" t="s">
        <v>63</v>
      </c>
      <c r="AQ490" t="s">
        <v>63</v>
      </c>
      <c r="AR490" t="s">
        <v>63</v>
      </c>
      <c r="AS490" t="s">
        <v>63</v>
      </c>
      <c r="AT490" t="s">
        <v>63</v>
      </c>
      <c r="AU490" t="s">
        <v>63</v>
      </c>
      <c r="AV490" t="s">
        <v>63</v>
      </c>
      <c r="AW490" t="s">
        <v>63</v>
      </c>
      <c r="AX490" t="s">
        <v>63</v>
      </c>
      <c r="AY490" t="s">
        <v>63</v>
      </c>
      <c r="AZ490" t="s">
        <v>63</v>
      </c>
      <c r="BA490" t="s">
        <v>63</v>
      </c>
      <c r="BB490" t="s">
        <v>63</v>
      </c>
      <c r="BC490" t="s">
        <v>63</v>
      </c>
      <c r="BD490" t="s">
        <v>63</v>
      </c>
      <c r="BE490" t="s">
        <v>63</v>
      </c>
      <c r="BF490" t="s">
        <v>63</v>
      </c>
    </row>
    <row r="491" spans="1:58">
      <c r="A491" t="s">
        <v>58</v>
      </c>
      <c r="B491" t="s">
        <v>4461</v>
      </c>
      <c r="C491" t="s">
        <v>4462</v>
      </c>
      <c r="D491" t="s">
        <v>205</v>
      </c>
      <c r="E491" t="s">
        <v>205</v>
      </c>
      <c r="F491">
        <v>1994</v>
      </c>
      <c r="G491" s="1">
        <v>41692</v>
      </c>
      <c r="H491">
        <v>271</v>
      </c>
      <c r="I491">
        <v>8</v>
      </c>
      <c r="J491">
        <v>624</v>
      </c>
      <c r="K491">
        <v>626</v>
      </c>
      <c r="L491" t="s">
        <v>4463</v>
      </c>
      <c r="M491" t="s">
        <v>63</v>
      </c>
      <c r="N491" t="s">
        <v>4464</v>
      </c>
      <c r="O491" t="s">
        <v>63</v>
      </c>
      <c r="Q491" t="s">
        <v>63</v>
      </c>
      <c r="R491" t="s">
        <v>63</v>
      </c>
      <c r="S491" t="s">
        <v>63</v>
      </c>
      <c r="T491" t="s">
        <v>63</v>
      </c>
      <c r="X491" t="s">
        <v>63</v>
      </c>
      <c r="Y491" t="s">
        <v>208</v>
      </c>
      <c r="Z491" t="s">
        <v>63</v>
      </c>
      <c r="AA491" t="s">
        <v>4465</v>
      </c>
      <c r="AB491">
        <v>8301797</v>
      </c>
      <c r="AC491" t="s">
        <v>67</v>
      </c>
      <c r="AD491" t="s">
        <v>63</v>
      </c>
      <c r="AE491" t="s">
        <v>63</v>
      </c>
      <c r="AF491" t="s">
        <v>63</v>
      </c>
      <c r="AG491" t="s">
        <v>4466</v>
      </c>
      <c r="AH491" t="s">
        <v>63</v>
      </c>
      <c r="AI491" t="s">
        <v>63</v>
      </c>
      <c r="AJ491" t="s">
        <v>63</v>
      </c>
      <c r="AK491" t="s">
        <v>63</v>
      </c>
      <c r="AL491" t="s">
        <v>63</v>
      </c>
      <c r="AM491" t="s">
        <v>4467</v>
      </c>
      <c r="AN491" t="s">
        <v>63</v>
      </c>
      <c r="AO491" t="s">
        <v>63</v>
      </c>
      <c r="AP491" t="s">
        <v>63</v>
      </c>
      <c r="AQ491" t="s">
        <v>63</v>
      </c>
      <c r="AR491" t="s">
        <v>63</v>
      </c>
      <c r="AS491" t="s">
        <v>63</v>
      </c>
      <c r="AT491" t="s">
        <v>63</v>
      </c>
      <c r="AU491" t="s">
        <v>63</v>
      </c>
      <c r="AV491" t="s">
        <v>63</v>
      </c>
      <c r="AW491" t="s">
        <v>63</v>
      </c>
      <c r="AX491" t="s">
        <v>63</v>
      </c>
      <c r="AY491" t="s">
        <v>63</v>
      </c>
      <c r="AZ491" t="s">
        <v>63</v>
      </c>
      <c r="BA491" t="s">
        <v>63</v>
      </c>
      <c r="BB491" t="s">
        <v>63</v>
      </c>
      <c r="BC491" t="s">
        <v>63</v>
      </c>
      <c r="BD491" t="s">
        <v>63</v>
      </c>
      <c r="BE491" t="s">
        <v>63</v>
      </c>
      <c r="BF491" t="s">
        <v>63</v>
      </c>
    </row>
    <row r="492" spans="1:58">
      <c r="A492" t="s">
        <v>58</v>
      </c>
      <c r="B492" t="s">
        <v>4468</v>
      </c>
      <c r="C492" t="s">
        <v>4469</v>
      </c>
      <c r="D492" t="s">
        <v>3746</v>
      </c>
      <c r="E492" t="s">
        <v>3747</v>
      </c>
      <c r="F492">
        <v>2008</v>
      </c>
      <c r="G492" t="s">
        <v>73</v>
      </c>
      <c r="H492">
        <v>84</v>
      </c>
      <c r="I492">
        <v>992</v>
      </c>
      <c r="J492">
        <v>318</v>
      </c>
      <c r="K492">
        <v>320</v>
      </c>
      <c r="L492" t="s">
        <v>4470</v>
      </c>
      <c r="M492" t="s">
        <v>4471</v>
      </c>
      <c r="N492" t="s">
        <v>4472</v>
      </c>
      <c r="O492" t="s">
        <v>63</v>
      </c>
      <c r="Q492" t="s">
        <v>63</v>
      </c>
      <c r="R492" t="s">
        <v>63</v>
      </c>
      <c r="S492" t="s">
        <v>63</v>
      </c>
      <c r="T492" t="s">
        <v>63</v>
      </c>
      <c r="X492" t="s">
        <v>63</v>
      </c>
      <c r="Y492" t="s">
        <v>4473</v>
      </c>
      <c r="Z492" t="s">
        <v>63</v>
      </c>
      <c r="AA492" t="s">
        <v>4474</v>
      </c>
      <c r="AB492">
        <v>18644923</v>
      </c>
      <c r="AC492" t="s">
        <v>67</v>
      </c>
      <c r="AD492" t="s">
        <v>63</v>
      </c>
      <c r="AE492" t="s">
        <v>63</v>
      </c>
      <c r="AF492" t="s">
        <v>63</v>
      </c>
      <c r="AG492" t="s">
        <v>4475</v>
      </c>
      <c r="AH492" t="s">
        <v>63</v>
      </c>
      <c r="AI492" t="s">
        <v>4476</v>
      </c>
      <c r="AJ492" t="s">
        <v>63</v>
      </c>
      <c r="AK492" t="s">
        <v>63</v>
      </c>
      <c r="AL492" t="s">
        <v>63</v>
      </c>
      <c r="AM492" t="s">
        <v>4477</v>
      </c>
      <c r="AN492" t="s">
        <v>63</v>
      </c>
      <c r="AO492" t="s">
        <v>63</v>
      </c>
      <c r="AP492" t="s">
        <v>63</v>
      </c>
      <c r="AQ492" t="s">
        <v>63</v>
      </c>
      <c r="AR492" t="s">
        <v>63</v>
      </c>
      <c r="AS492" t="s">
        <v>63</v>
      </c>
      <c r="AT492" t="s">
        <v>63</v>
      </c>
      <c r="AU492" t="s">
        <v>63</v>
      </c>
      <c r="AV492" t="s">
        <v>63</v>
      </c>
      <c r="AW492" t="s">
        <v>63</v>
      </c>
      <c r="AX492" t="s">
        <v>63</v>
      </c>
      <c r="AY492" t="s">
        <v>63</v>
      </c>
      <c r="AZ492" t="s">
        <v>63</v>
      </c>
      <c r="BA492" t="s">
        <v>63</v>
      </c>
      <c r="BB492" t="s">
        <v>63</v>
      </c>
      <c r="BC492" t="s">
        <v>63</v>
      </c>
      <c r="BD492" t="s">
        <v>63</v>
      </c>
      <c r="BE492" t="s">
        <v>63</v>
      </c>
      <c r="BF492" t="s">
        <v>63</v>
      </c>
    </row>
    <row r="493" spans="1:58">
      <c r="A493" t="s">
        <v>58</v>
      </c>
      <c r="B493" t="s">
        <v>4478</v>
      </c>
      <c r="C493" t="s">
        <v>4479</v>
      </c>
      <c r="D493" t="s">
        <v>574</v>
      </c>
      <c r="E493" t="s">
        <v>63</v>
      </c>
      <c r="F493">
        <v>2003</v>
      </c>
      <c r="G493" t="s">
        <v>73</v>
      </c>
      <c r="H493">
        <v>4</v>
      </c>
      <c r="I493">
        <v>2</v>
      </c>
      <c r="J493">
        <v>195</v>
      </c>
      <c r="K493">
        <v>201</v>
      </c>
      <c r="L493" t="s">
        <v>4480</v>
      </c>
      <c r="M493" t="s">
        <v>4481</v>
      </c>
      <c r="N493" t="s">
        <v>4482</v>
      </c>
      <c r="O493" t="s">
        <v>63</v>
      </c>
      <c r="Q493" t="s">
        <v>63</v>
      </c>
      <c r="R493" t="s">
        <v>63</v>
      </c>
      <c r="S493" t="s">
        <v>63</v>
      </c>
      <c r="T493" t="s">
        <v>63</v>
      </c>
      <c r="X493" t="s">
        <v>63</v>
      </c>
      <c r="Y493" t="s">
        <v>4483</v>
      </c>
      <c r="Z493" t="s">
        <v>63</v>
      </c>
      <c r="AA493" t="s">
        <v>4484</v>
      </c>
      <c r="AB493">
        <v>12873269</v>
      </c>
      <c r="AC493" t="s">
        <v>67</v>
      </c>
      <c r="AD493" t="s">
        <v>63</v>
      </c>
      <c r="AE493" t="s">
        <v>63</v>
      </c>
      <c r="AF493" t="s">
        <v>63</v>
      </c>
      <c r="AG493" t="s">
        <v>4485</v>
      </c>
      <c r="AH493" t="s">
        <v>63</v>
      </c>
      <c r="AI493" t="s">
        <v>63</v>
      </c>
      <c r="AJ493" t="s">
        <v>63</v>
      </c>
      <c r="AK493" t="s">
        <v>63</v>
      </c>
      <c r="AL493" t="s">
        <v>63</v>
      </c>
      <c r="AM493" t="s">
        <v>4486</v>
      </c>
      <c r="AN493" t="s">
        <v>63</v>
      </c>
      <c r="AO493" t="s">
        <v>63</v>
      </c>
      <c r="AP493" t="s">
        <v>63</v>
      </c>
      <c r="AQ493" t="s">
        <v>63</v>
      </c>
      <c r="AR493" t="s">
        <v>63</v>
      </c>
      <c r="AS493" t="s">
        <v>63</v>
      </c>
      <c r="AT493" t="s">
        <v>63</v>
      </c>
      <c r="AU493" t="s">
        <v>63</v>
      </c>
      <c r="AV493" t="s">
        <v>63</v>
      </c>
      <c r="AW493" t="s">
        <v>63</v>
      </c>
      <c r="AX493" t="s">
        <v>63</v>
      </c>
      <c r="AY493" t="s">
        <v>63</v>
      </c>
      <c r="AZ493" t="s">
        <v>63</v>
      </c>
      <c r="BA493" t="s">
        <v>63</v>
      </c>
      <c r="BB493" t="s">
        <v>63</v>
      </c>
      <c r="BC493" t="s">
        <v>63</v>
      </c>
      <c r="BD493" t="s">
        <v>63</v>
      </c>
      <c r="BE493" t="s">
        <v>63</v>
      </c>
      <c r="BF493" t="s">
        <v>63</v>
      </c>
    </row>
    <row r="494" spans="1:58">
      <c r="A494" t="s">
        <v>58</v>
      </c>
      <c r="B494" t="s">
        <v>4487</v>
      </c>
      <c r="C494" t="s">
        <v>4488</v>
      </c>
      <c r="D494" t="s">
        <v>4116</v>
      </c>
      <c r="E494" t="s">
        <v>4117</v>
      </c>
      <c r="F494">
        <v>1975</v>
      </c>
      <c r="G494" t="s">
        <v>189</v>
      </c>
      <c r="H494">
        <v>36</v>
      </c>
      <c r="I494">
        <v>5</v>
      </c>
      <c r="J494">
        <v>626</v>
      </c>
      <c r="K494">
        <v>633</v>
      </c>
      <c r="L494" t="s">
        <v>4489</v>
      </c>
      <c r="M494" t="s">
        <v>4490</v>
      </c>
      <c r="N494" t="s">
        <v>4491</v>
      </c>
      <c r="O494" t="s">
        <v>63</v>
      </c>
      <c r="Q494" t="s">
        <v>63</v>
      </c>
      <c r="R494" t="s">
        <v>63</v>
      </c>
      <c r="S494" t="s">
        <v>63</v>
      </c>
      <c r="T494" t="s">
        <v>63</v>
      </c>
      <c r="X494" t="s">
        <v>63</v>
      </c>
      <c r="Y494" t="s">
        <v>4121</v>
      </c>
      <c r="Z494" t="s">
        <v>63</v>
      </c>
      <c r="AA494" t="s">
        <v>63</v>
      </c>
      <c r="AB494">
        <v>239284</v>
      </c>
      <c r="AC494" t="s">
        <v>67</v>
      </c>
      <c r="AD494" t="s">
        <v>63</v>
      </c>
      <c r="AE494" t="s">
        <v>63</v>
      </c>
      <c r="AF494" t="s">
        <v>63</v>
      </c>
      <c r="AG494" t="s">
        <v>4492</v>
      </c>
      <c r="AH494" t="s">
        <v>63</v>
      </c>
      <c r="AI494" t="s">
        <v>63</v>
      </c>
      <c r="AJ494" t="s">
        <v>63</v>
      </c>
      <c r="AK494" t="s">
        <v>63</v>
      </c>
      <c r="AL494" t="s">
        <v>63</v>
      </c>
      <c r="AM494" t="s">
        <v>4493</v>
      </c>
      <c r="AN494" t="s">
        <v>63</v>
      </c>
      <c r="AO494" t="s">
        <v>63</v>
      </c>
      <c r="AP494" t="s">
        <v>63</v>
      </c>
      <c r="AQ494" t="s">
        <v>63</v>
      </c>
      <c r="AR494" t="s">
        <v>63</v>
      </c>
      <c r="AS494" t="s">
        <v>63</v>
      </c>
      <c r="AT494" t="s">
        <v>63</v>
      </c>
      <c r="AU494" t="s">
        <v>63</v>
      </c>
      <c r="AV494" t="s">
        <v>63</v>
      </c>
      <c r="AW494" t="s">
        <v>63</v>
      </c>
      <c r="AX494" t="s">
        <v>63</v>
      </c>
      <c r="AY494" t="s">
        <v>63</v>
      </c>
      <c r="AZ494" t="s">
        <v>63</v>
      </c>
      <c r="BA494" t="s">
        <v>63</v>
      </c>
      <c r="BB494" t="s">
        <v>63</v>
      </c>
      <c r="BC494" t="s">
        <v>63</v>
      </c>
      <c r="BD494" t="s">
        <v>63</v>
      </c>
      <c r="BE494" t="s">
        <v>63</v>
      </c>
      <c r="BF494" t="s">
        <v>63</v>
      </c>
    </row>
    <row r="495" spans="1:58">
      <c r="A495" t="s">
        <v>58</v>
      </c>
      <c r="B495" t="s">
        <v>4494</v>
      </c>
      <c r="C495" t="s">
        <v>4495</v>
      </c>
      <c r="D495" t="s">
        <v>4116</v>
      </c>
      <c r="E495" t="s">
        <v>4117</v>
      </c>
      <c r="F495">
        <v>1975</v>
      </c>
      <c r="G495" t="s">
        <v>1670</v>
      </c>
      <c r="H495">
        <v>36</v>
      </c>
      <c r="I495">
        <v>7</v>
      </c>
      <c r="J495">
        <v>949</v>
      </c>
      <c r="K495">
        <v>955</v>
      </c>
      <c r="L495" t="s">
        <v>4496</v>
      </c>
      <c r="M495" t="s">
        <v>4497</v>
      </c>
      <c r="N495" t="s">
        <v>4498</v>
      </c>
      <c r="O495" t="s">
        <v>63</v>
      </c>
      <c r="Q495" t="s">
        <v>63</v>
      </c>
      <c r="R495" t="s">
        <v>63</v>
      </c>
      <c r="S495" t="s">
        <v>63</v>
      </c>
      <c r="T495" t="s">
        <v>63</v>
      </c>
      <c r="X495" t="s">
        <v>63</v>
      </c>
      <c r="Y495" t="s">
        <v>4121</v>
      </c>
      <c r="Z495" t="s">
        <v>63</v>
      </c>
      <c r="AA495" t="s">
        <v>63</v>
      </c>
      <c r="AB495">
        <v>240074</v>
      </c>
      <c r="AC495" t="s">
        <v>67</v>
      </c>
      <c r="AD495" t="s">
        <v>63</v>
      </c>
      <c r="AE495" t="s">
        <v>63</v>
      </c>
      <c r="AF495" t="s">
        <v>63</v>
      </c>
      <c r="AG495" t="s">
        <v>4499</v>
      </c>
      <c r="AH495" t="s">
        <v>63</v>
      </c>
      <c r="AI495" t="s">
        <v>63</v>
      </c>
      <c r="AJ495" t="s">
        <v>63</v>
      </c>
      <c r="AK495" t="s">
        <v>63</v>
      </c>
      <c r="AL495" t="s">
        <v>63</v>
      </c>
      <c r="AM495" t="s">
        <v>4500</v>
      </c>
      <c r="AN495" t="s">
        <v>63</v>
      </c>
      <c r="AO495" t="s">
        <v>63</v>
      </c>
      <c r="AP495" t="s">
        <v>63</v>
      </c>
      <c r="AQ495" t="s">
        <v>63</v>
      </c>
      <c r="AR495" t="s">
        <v>63</v>
      </c>
      <c r="AS495" t="s">
        <v>63</v>
      </c>
      <c r="AT495" t="s">
        <v>63</v>
      </c>
      <c r="AU495" t="s">
        <v>63</v>
      </c>
      <c r="AV495" t="s">
        <v>63</v>
      </c>
      <c r="AW495" t="s">
        <v>63</v>
      </c>
      <c r="AX495" t="s">
        <v>63</v>
      </c>
      <c r="AY495" t="s">
        <v>63</v>
      </c>
      <c r="AZ495" t="s">
        <v>63</v>
      </c>
      <c r="BA495" t="s">
        <v>63</v>
      </c>
      <c r="BB495" t="s">
        <v>63</v>
      </c>
      <c r="BC495" t="s">
        <v>63</v>
      </c>
      <c r="BD495" t="s">
        <v>63</v>
      </c>
      <c r="BE495" t="s">
        <v>63</v>
      </c>
      <c r="BF495" t="s">
        <v>63</v>
      </c>
    </row>
    <row r="496" spans="1:58">
      <c r="A496" t="s">
        <v>58</v>
      </c>
      <c r="B496" t="s">
        <v>4501</v>
      </c>
      <c r="C496" t="s">
        <v>4502</v>
      </c>
      <c r="D496" t="s">
        <v>4116</v>
      </c>
      <c r="E496" t="s">
        <v>4117</v>
      </c>
      <c r="F496">
        <v>1976</v>
      </c>
      <c r="G496" t="s">
        <v>219</v>
      </c>
      <c r="H496">
        <v>37</v>
      </c>
      <c r="I496">
        <v>11</v>
      </c>
      <c r="J496">
        <v>1686</v>
      </c>
      <c r="K496">
        <v>1693</v>
      </c>
      <c r="L496" t="s">
        <v>4503</v>
      </c>
      <c r="M496" t="s">
        <v>4504</v>
      </c>
      <c r="N496" t="s">
        <v>4505</v>
      </c>
      <c r="O496" t="s">
        <v>63</v>
      </c>
      <c r="Q496" t="s">
        <v>63</v>
      </c>
      <c r="R496" t="s">
        <v>63</v>
      </c>
      <c r="S496" t="s">
        <v>63</v>
      </c>
      <c r="T496" t="s">
        <v>63</v>
      </c>
      <c r="X496" t="s">
        <v>63</v>
      </c>
      <c r="Y496" t="s">
        <v>4121</v>
      </c>
      <c r="Z496" t="s">
        <v>63</v>
      </c>
      <c r="AA496" t="s">
        <v>63</v>
      </c>
      <c r="AB496">
        <v>1003983</v>
      </c>
      <c r="AC496" t="s">
        <v>67</v>
      </c>
      <c r="AD496" t="s">
        <v>63</v>
      </c>
      <c r="AE496" t="s">
        <v>63</v>
      </c>
      <c r="AF496" t="s">
        <v>63</v>
      </c>
      <c r="AG496" t="s">
        <v>4506</v>
      </c>
      <c r="AH496" t="s">
        <v>63</v>
      </c>
      <c r="AI496" t="s">
        <v>63</v>
      </c>
      <c r="AJ496" t="s">
        <v>63</v>
      </c>
      <c r="AK496" t="s">
        <v>63</v>
      </c>
      <c r="AL496" t="s">
        <v>63</v>
      </c>
      <c r="AM496" t="s">
        <v>4507</v>
      </c>
      <c r="AN496" t="s">
        <v>63</v>
      </c>
      <c r="AO496" t="s">
        <v>63</v>
      </c>
      <c r="AP496" t="s">
        <v>63</v>
      </c>
      <c r="AQ496" t="s">
        <v>63</v>
      </c>
      <c r="AR496" t="s">
        <v>63</v>
      </c>
      <c r="AS496" t="s">
        <v>63</v>
      </c>
      <c r="AT496" t="s">
        <v>63</v>
      </c>
      <c r="AU496" t="s">
        <v>63</v>
      </c>
      <c r="AV496" t="s">
        <v>63</v>
      </c>
      <c r="AW496" t="s">
        <v>63</v>
      </c>
      <c r="AX496" t="s">
        <v>63</v>
      </c>
      <c r="AY496" t="s">
        <v>63</v>
      </c>
      <c r="AZ496" t="s">
        <v>63</v>
      </c>
      <c r="BA496" t="s">
        <v>63</v>
      </c>
      <c r="BB496" t="s">
        <v>63</v>
      </c>
      <c r="BC496" t="s">
        <v>63</v>
      </c>
      <c r="BD496" t="s">
        <v>63</v>
      </c>
      <c r="BE496" t="s">
        <v>63</v>
      </c>
      <c r="BF496" t="s">
        <v>63</v>
      </c>
    </row>
    <row r="497" spans="1:58">
      <c r="A497" t="s">
        <v>58</v>
      </c>
      <c r="B497" t="s">
        <v>4508</v>
      </c>
      <c r="C497" t="s">
        <v>4509</v>
      </c>
      <c r="D497" t="s">
        <v>205</v>
      </c>
      <c r="E497" t="s">
        <v>205</v>
      </c>
      <c r="F497">
        <v>2011</v>
      </c>
      <c r="G497" s="1">
        <v>41846</v>
      </c>
      <c r="H497">
        <v>306</v>
      </c>
      <c r="I497">
        <v>4</v>
      </c>
      <c r="J497" t="s">
        <v>4510</v>
      </c>
      <c r="K497">
        <v>3</v>
      </c>
      <c r="L497" t="s">
        <v>4511</v>
      </c>
      <c r="M497" t="s">
        <v>63</v>
      </c>
      <c r="N497" t="s">
        <v>4512</v>
      </c>
      <c r="O497" t="s">
        <v>63</v>
      </c>
      <c r="Q497" t="s">
        <v>63</v>
      </c>
      <c r="R497" t="s">
        <v>63</v>
      </c>
      <c r="S497" t="s">
        <v>63</v>
      </c>
      <c r="T497" t="s">
        <v>63</v>
      </c>
      <c r="X497" t="s">
        <v>63</v>
      </c>
      <c r="Y497" t="s">
        <v>2744</v>
      </c>
      <c r="Z497" t="s">
        <v>63</v>
      </c>
      <c r="AA497" t="s">
        <v>63</v>
      </c>
      <c r="AB497">
        <v>21791684</v>
      </c>
      <c r="AC497" t="s">
        <v>67</v>
      </c>
      <c r="AD497" t="s">
        <v>63</v>
      </c>
      <c r="AE497" t="s">
        <v>63</v>
      </c>
      <c r="AF497" t="s">
        <v>63</v>
      </c>
      <c r="AG497" t="s">
        <v>4513</v>
      </c>
      <c r="AH497" t="s">
        <v>63</v>
      </c>
      <c r="AI497" t="s">
        <v>4514</v>
      </c>
      <c r="AJ497" t="s">
        <v>63</v>
      </c>
      <c r="AK497" t="s">
        <v>63</v>
      </c>
      <c r="AL497" t="s">
        <v>63</v>
      </c>
      <c r="AM497" t="s">
        <v>4515</v>
      </c>
      <c r="AN497" t="s">
        <v>63</v>
      </c>
      <c r="AO497" t="s">
        <v>63</v>
      </c>
      <c r="AP497" t="s">
        <v>63</v>
      </c>
      <c r="AQ497" t="s">
        <v>63</v>
      </c>
      <c r="AR497" t="s">
        <v>63</v>
      </c>
      <c r="AS497" t="s">
        <v>63</v>
      </c>
      <c r="AT497" t="s">
        <v>63</v>
      </c>
      <c r="AU497" t="s">
        <v>63</v>
      </c>
      <c r="AV497" t="s">
        <v>63</v>
      </c>
      <c r="AW497" t="s">
        <v>63</v>
      </c>
      <c r="AX497" t="s">
        <v>63</v>
      </c>
      <c r="AY497" t="s">
        <v>63</v>
      </c>
      <c r="AZ497" t="s">
        <v>63</v>
      </c>
      <c r="BA497" t="s">
        <v>63</v>
      </c>
      <c r="BB497" t="s">
        <v>63</v>
      </c>
      <c r="BC497" t="s">
        <v>63</v>
      </c>
      <c r="BD497" t="s">
        <v>63</v>
      </c>
      <c r="BE497" t="s">
        <v>63</v>
      </c>
      <c r="BF497" t="s">
        <v>63</v>
      </c>
    </row>
    <row r="498" spans="1:58">
      <c r="A498" t="s">
        <v>58</v>
      </c>
      <c r="B498" t="s">
        <v>4516</v>
      </c>
      <c r="C498" t="s">
        <v>4517</v>
      </c>
      <c r="D498" t="s">
        <v>3007</v>
      </c>
      <c r="E498" t="s">
        <v>3008</v>
      </c>
      <c r="F498">
        <v>1993</v>
      </c>
      <c r="G498" t="s">
        <v>274</v>
      </c>
      <c r="H498">
        <v>16</v>
      </c>
      <c r="I498">
        <v>1</v>
      </c>
      <c r="J498">
        <v>189</v>
      </c>
      <c r="K498">
        <v>197</v>
      </c>
      <c r="L498" t="s">
        <v>4518</v>
      </c>
      <c r="M498" t="s">
        <v>4519</v>
      </c>
      <c r="N498" t="s">
        <v>4520</v>
      </c>
      <c r="O498" t="s">
        <v>63</v>
      </c>
      <c r="Q498" t="s">
        <v>63</v>
      </c>
      <c r="R498" t="s">
        <v>63</v>
      </c>
      <c r="S498" t="s">
        <v>63</v>
      </c>
      <c r="T498" t="s">
        <v>63</v>
      </c>
      <c r="X498" t="s">
        <v>63</v>
      </c>
      <c r="Y498" t="s">
        <v>3740</v>
      </c>
      <c r="Z498" t="s">
        <v>63</v>
      </c>
      <c r="AA498" t="s">
        <v>4521</v>
      </c>
      <c r="AB498">
        <v>8456044</v>
      </c>
      <c r="AC498" t="s">
        <v>67</v>
      </c>
      <c r="AD498" t="s">
        <v>63</v>
      </c>
      <c r="AE498" t="s">
        <v>63</v>
      </c>
      <c r="AF498" t="s">
        <v>63</v>
      </c>
      <c r="AG498" t="s">
        <v>4522</v>
      </c>
      <c r="AH498" t="s">
        <v>63</v>
      </c>
      <c r="AI498" t="s">
        <v>63</v>
      </c>
      <c r="AJ498" t="s">
        <v>63</v>
      </c>
      <c r="AK498" t="s">
        <v>63</v>
      </c>
      <c r="AL498" t="s">
        <v>63</v>
      </c>
      <c r="AM498" t="s">
        <v>4523</v>
      </c>
      <c r="AN498" t="s">
        <v>63</v>
      </c>
      <c r="AO498" t="s">
        <v>63</v>
      </c>
      <c r="AP498" t="s">
        <v>63</v>
      </c>
      <c r="AQ498" t="s">
        <v>63</v>
      </c>
      <c r="AR498" t="s">
        <v>63</v>
      </c>
      <c r="AS498" t="s">
        <v>63</v>
      </c>
      <c r="AT498" t="s">
        <v>63</v>
      </c>
      <c r="AU498" t="s">
        <v>63</v>
      </c>
      <c r="AV498" t="s">
        <v>63</v>
      </c>
      <c r="AW498" t="s">
        <v>63</v>
      </c>
      <c r="AX498" t="s">
        <v>63</v>
      </c>
      <c r="AY498" t="s">
        <v>63</v>
      </c>
      <c r="AZ498" t="s">
        <v>63</v>
      </c>
      <c r="BA498" t="s">
        <v>63</v>
      </c>
      <c r="BB498" t="s">
        <v>63</v>
      </c>
      <c r="BC498" t="s">
        <v>63</v>
      </c>
      <c r="BD498" t="s">
        <v>63</v>
      </c>
      <c r="BE498" t="s">
        <v>63</v>
      </c>
      <c r="BF498" t="s">
        <v>63</v>
      </c>
    </row>
    <row r="499" spans="1:58">
      <c r="A499" t="s">
        <v>58</v>
      </c>
      <c r="B499" t="s">
        <v>4524</v>
      </c>
      <c r="C499" t="s">
        <v>4525</v>
      </c>
      <c r="D499" t="s">
        <v>763</v>
      </c>
      <c r="E499" t="s">
        <v>63</v>
      </c>
      <c r="F499">
        <v>1994</v>
      </c>
      <c r="G499" t="s">
        <v>189</v>
      </c>
      <c r="H499">
        <v>69</v>
      </c>
      <c r="I499">
        <v>5</v>
      </c>
      <c r="J499">
        <v>362</v>
      </c>
      <c r="K499">
        <v>369</v>
      </c>
      <c r="L499" t="s">
        <v>4526</v>
      </c>
      <c r="M499" t="s">
        <v>4527</v>
      </c>
      <c r="N499" t="s">
        <v>4528</v>
      </c>
      <c r="O499" t="s">
        <v>63</v>
      </c>
      <c r="Q499" t="s">
        <v>63</v>
      </c>
      <c r="R499" t="s">
        <v>63</v>
      </c>
      <c r="S499" t="s">
        <v>63</v>
      </c>
      <c r="T499" t="s">
        <v>63</v>
      </c>
      <c r="X499" t="s">
        <v>63</v>
      </c>
      <c r="Y499" t="s">
        <v>858</v>
      </c>
      <c r="Z499" t="s">
        <v>63</v>
      </c>
      <c r="AA499" t="s">
        <v>4529</v>
      </c>
      <c r="AB499">
        <v>8166918</v>
      </c>
      <c r="AC499" t="s">
        <v>67</v>
      </c>
      <c r="AD499" t="s">
        <v>63</v>
      </c>
      <c r="AE499" t="s">
        <v>63</v>
      </c>
      <c r="AF499" t="s">
        <v>63</v>
      </c>
      <c r="AG499" t="s">
        <v>4530</v>
      </c>
      <c r="AH499" t="s">
        <v>63</v>
      </c>
      <c r="AI499" t="s">
        <v>63</v>
      </c>
      <c r="AJ499" t="s">
        <v>63</v>
      </c>
      <c r="AK499" t="s">
        <v>63</v>
      </c>
      <c r="AL499" t="s">
        <v>63</v>
      </c>
      <c r="AM499" t="s">
        <v>4531</v>
      </c>
      <c r="AN499" t="s">
        <v>63</v>
      </c>
      <c r="AO499" t="s">
        <v>63</v>
      </c>
      <c r="AP499" t="s">
        <v>63</v>
      </c>
      <c r="AQ499" t="s">
        <v>63</v>
      </c>
      <c r="AR499" t="s">
        <v>63</v>
      </c>
      <c r="AS499" t="s">
        <v>63</v>
      </c>
      <c r="AT499" t="s">
        <v>63</v>
      </c>
      <c r="AU499" t="s">
        <v>63</v>
      </c>
      <c r="AV499" t="s">
        <v>63</v>
      </c>
      <c r="AW499" t="s">
        <v>63</v>
      </c>
      <c r="AX499" t="s">
        <v>63</v>
      </c>
      <c r="AY499" t="s">
        <v>63</v>
      </c>
      <c r="AZ499" t="s">
        <v>63</v>
      </c>
      <c r="BA499" t="s">
        <v>63</v>
      </c>
      <c r="BB499" t="s">
        <v>63</v>
      </c>
      <c r="BC499" t="s">
        <v>63</v>
      </c>
      <c r="BD499" t="s">
        <v>63</v>
      </c>
      <c r="BE499" t="s">
        <v>63</v>
      </c>
      <c r="BF499" t="s">
        <v>63</v>
      </c>
    </row>
    <row r="500" spans="1:58">
      <c r="A500" t="s">
        <v>58</v>
      </c>
      <c r="B500" t="s">
        <v>4532</v>
      </c>
      <c r="C500" t="s">
        <v>4533</v>
      </c>
      <c r="D500" t="s">
        <v>763</v>
      </c>
      <c r="E500" t="s">
        <v>63</v>
      </c>
      <c r="F500">
        <v>1992</v>
      </c>
      <c r="G500" t="s">
        <v>138</v>
      </c>
      <c r="H500">
        <v>67</v>
      </c>
      <c r="I500">
        <v>10</v>
      </c>
      <c r="J500">
        <v>691</v>
      </c>
      <c r="K500">
        <v>693</v>
      </c>
      <c r="L500" t="s">
        <v>4534</v>
      </c>
      <c r="M500" t="s">
        <v>4535</v>
      </c>
      <c r="N500" t="s">
        <v>4536</v>
      </c>
      <c r="O500" t="s">
        <v>63</v>
      </c>
      <c r="Q500" t="s">
        <v>63</v>
      </c>
      <c r="R500" t="s">
        <v>63</v>
      </c>
      <c r="S500" t="s">
        <v>63</v>
      </c>
      <c r="T500" t="s">
        <v>63</v>
      </c>
      <c r="X500" t="s">
        <v>63</v>
      </c>
      <c r="Y500" t="s">
        <v>858</v>
      </c>
      <c r="Z500" t="s">
        <v>63</v>
      </c>
      <c r="AA500" t="s">
        <v>4537</v>
      </c>
      <c r="AB500">
        <v>1388535</v>
      </c>
      <c r="AC500" t="s">
        <v>67</v>
      </c>
      <c r="AD500" t="s">
        <v>63</v>
      </c>
      <c r="AE500" t="s">
        <v>63</v>
      </c>
      <c r="AF500" t="s">
        <v>63</v>
      </c>
      <c r="AG500" t="s">
        <v>4538</v>
      </c>
      <c r="AH500" t="s">
        <v>63</v>
      </c>
      <c r="AI500" t="s">
        <v>63</v>
      </c>
      <c r="AJ500" t="s">
        <v>63</v>
      </c>
      <c r="AK500" t="s">
        <v>63</v>
      </c>
      <c r="AL500" t="s">
        <v>63</v>
      </c>
      <c r="AM500" t="s">
        <v>4539</v>
      </c>
      <c r="AN500" t="s">
        <v>63</v>
      </c>
      <c r="AO500" t="s">
        <v>63</v>
      </c>
      <c r="AP500" t="s">
        <v>63</v>
      </c>
      <c r="AQ500" t="s">
        <v>63</v>
      </c>
      <c r="AR500" t="s">
        <v>63</v>
      </c>
      <c r="AS500" t="s">
        <v>63</v>
      </c>
      <c r="AT500" t="s">
        <v>63</v>
      </c>
      <c r="AU500" t="s">
        <v>63</v>
      </c>
      <c r="AV500" t="s">
        <v>63</v>
      </c>
      <c r="AW500" t="s">
        <v>63</v>
      </c>
      <c r="AX500" t="s">
        <v>63</v>
      </c>
      <c r="AY500" t="s">
        <v>63</v>
      </c>
      <c r="AZ500" t="s">
        <v>63</v>
      </c>
      <c r="BA500" t="s">
        <v>63</v>
      </c>
      <c r="BB500" t="s">
        <v>63</v>
      </c>
      <c r="BC500" t="s">
        <v>63</v>
      </c>
      <c r="BD500" t="s">
        <v>63</v>
      </c>
      <c r="BE500" t="s">
        <v>63</v>
      </c>
      <c r="BF500" t="s">
        <v>63</v>
      </c>
    </row>
    <row r="501" spans="1:58">
      <c r="A501" t="s">
        <v>58</v>
      </c>
      <c r="B501" t="s">
        <v>4540</v>
      </c>
      <c r="C501" t="s">
        <v>4541</v>
      </c>
      <c r="D501" t="s">
        <v>1293</v>
      </c>
      <c r="E501" t="s">
        <v>1294</v>
      </c>
      <c r="F501">
        <v>1994</v>
      </c>
      <c r="G501" t="s">
        <v>84</v>
      </c>
      <c r="H501">
        <v>26</v>
      </c>
      <c r="I501">
        <v>4</v>
      </c>
      <c r="J501">
        <v>221</v>
      </c>
      <c r="K501">
        <v>225</v>
      </c>
      <c r="L501" t="s">
        <v>4542</v>
      </c>
      <c r="M501" t="s">
        <v>4543</v>
      </c>
      <c r="N501" t="s">
        <v>4544</v>
      </c>
      <c r="O501" t="s">
        <v>63</v>
      </c>
      <c r="Q501" t="s">
        <v>63</v>
      </c>
      <c r="R501" t="s">
        <v>63</v>
      </c>
      <c r="S501" t="s">
        <v>63</v>
      </c>
      <c r="T501" t="s">
        <v>63</v>
      </c>
      <c r="X501" t="s">
        <v>63</v>
      </c>
      <c r="Y501" t="s">
        <v>1297</v>
      </c>
      <c r="Z501" t="s">
        <v>63</v>
      </c>
      <c r="AA501" t="s">
        <v>4545</v>
      </c>
      <c r="AB501">
        <v>8034139</v>
      </c>
      <c r="AC501" t="s">
        <v>67</v>
      </c>
      <c r="AD501" t="s">
        <v>63</v>
      </c>
      <c r="AE501" t="s">
        <v>63</v>
      </c>
      <c r="AF501" t="s">
        <v>63</v>
      </c>
      <c r="AG501" t="s">
        <v>4546</v>
      </c>
      <c r="AH501" t="s">
        <v>63</v>
      </c>
      <c r="AI501" t="s">
        <v>63</v>
      </c>
      <c r="AJ501" t="s">
        <v>63</v>
      </c>
      <c r="AK501" t="s">
        <v>63</v>
      </c>
      <c r="AL501" t="s">
        <v>63</v>
      </c>
      <c r="AM501" t="s">
        <v>4547</v>
      </c>
      <c r="AN501" t="s">
        <v>63</v>
      </c>
      <c r="AO501" t="s">
        <v>63</v>
      </c>
      <c r="AP501" t="s">
        <v>63</v>
      </c>
      <c r="AQ501" t="s">
        <v>63</v>
      </c>
      <c r="AR501" t="s">
        <v>63</v>
      </c>
      <c r="AS501" t="s">
        <v>63</v>
      </c>
      <c r="AT501" t="s">
        <v>63</v>
      </c>
      <c r="AU501" t="s">
        <v>63</v>
      </c>
      <c r="AV501" t="s">
        <v>63</v>
      </c>
      <c r="AW501" t="s">
        <v>63</v>
      </c>
      <c r="AX501" t="s">
        <v>63</v>
      </c>
      <c r="AY501" t="s">
        <v>63</v>
      </c>
      <c r="AZ501" t="s">
        <v>63</v>
      </c>
      <c r="BA501" t="s">
        <v>63</v>
      </c>
      <c r="BB501" t="s">
        <v>63</v>
      </c>
      <c r="BC501" t="s">
        <v>63</v>
      </c>
      <c r="BD501" t="s">
        <v>63</v>
      </c>
      <c r="BE501" t="s">
        <v>63</v>
      </c>
      <c r="BF501" t="s">
        <v>63</v>
      </c>
    </row>
    <row r="502" spans="1:58">
      <c r="A502" t="s">
        <v>58</v>
      </c>
      <c r="B502" t="s">
        <v>4548</v>
      </c>
      <c r="C502" t="s">
        <v>4549</v>
      </c>
      <c r="D502" t="s">
        <v>2343</v>
      </c>
      <c r="E502" t="s">
        <v>2344</v>
      </c>
      <c r="F502">
        <v>1999</v>
      </c>
      <c r="G502" t="s">
        <v>181</v>
      </c>
      <c r="H502">
        <v>48</v>
      </c>
      <c r="I502">
        <v>9</v>
      </c>
      <c r="J502">
        <v>725</v>
      </c>
      <c r="K502">
        <v>729</v>
      </c>
      <c r="L502" t="s">
        <v>4550</v>
      </c>
      <c r="M502" t="s">
        <v>4551</v>
      </c>
      <c r="N502" t="s">
        <v>4552</v>
      </c>
      <c r="O502" t="s">
        <v>63</v>
      </c>
      <c r="Q502" t="s">
        <v>63</v>
      </c>
      <c r="R502" t="s">
        <v>63</v>
      </c>
      <c r="S502" t="s">
        <v>63</v>
      </c>
      <c r="T502" t="s">
        <v>63</v>
      </c>
      <c r="X502" t="s">
        <v>63</v>
      </c>
      <c r="Y502" t="s">
        <v>2347</v>
      </c>
      <c r="Z502" t="s">
        <v>63</v>
      </c>
      <c r="AA502" t="s">
        <v>4553</v>
      </c>
      <c r="AB502">
        <v>10498080</v>
      </c>
      <c r="AC502" t="s">
        <v>67</v>
      </c>
      <c r="AD502" t="s">
        <v>63</v>
      </c>
      <c r="AE502" t="s">
        <v>63</v>
      </c>
      <c r="AF502" t="s">
        <v>63</v>
      </c>
      <c r="AG502" t="s">
        <v>4554</v>
      </c>
      <c r="AH502" t="s">
        <v>63</v>
      </c>
      <c r="AI502" t="s">
        <v>63</v>
      </c>
      <c r="AJ502" t="s">
        <v>63</v>
      </c>
      <c r="AK502" t="s">
        <v>63</v>
      </c>
      <c r="AL502" t="s">
        <v>63</v>
      </c>
      <c r="AM502" t="s">
        <v>4555</v>
      </c>
      <c r="AN502" t="s">
        <v>63</v>
      </c>
      <c r="AO502" t="s">
        <v>63</v>
      </c>
      <c r="AP502" t="s">
        <v>63</v>
      </c>
      <c r="AQ502" t="s">
        <v>63</v>
      </c>
      <c r="AR502" t="s">
        <v>63</v>
      </c>
      <c r="AS502" t="s">
        <v>63</v>
      </c>
      <c r="AT502" t="s">
        <v>63</v>
      </c>
      <c r="AU502" t="s">
        <v>63</v>
      </c>
      <c r="AV502" t="s">
        <v>63</v>
      </c>
      <c r="AW502" t="s">
        <v>63</v>
      </c>
      <c r="AX502" t="s">
        <v>63</v>
      </c>
      <c r="AY502" t="s">
        <v>63</v>
      </c>
      <c r="AZ502" t="s">
        <v>63</v>
      </c>
      <c r="BA502" t="s">
        <v>63</v>
      </c>
      <c r="BB502" t="s">
        <v>63</v>
      </c>
      <c r="BC502" t="s">
        <v>63</v>
      </c>
      <c r="BD502" t="s">
        <v>63</v>
      </c>
      <c r="BE502" t="s">
        <v>63</v>
      </c>
      <c r="BF502" t="s">
        <v>63</v>
      </c>
    </row>
    <row r="503" spans="1:58">
      <c r="A503" t="s">
        <v>58</v>
      </c>
      <c r="B503" t="s">
        <v>4556</v>
      </c>
      <c r="C503" t="s">
        <v>4557</v>
      </c>
      <c r="D503" t="s">
        <v>1065</v>
      </c>
      <c r="E503" t="s">
        <v>63</v>
      </c>
      <c r="F503">
        <v>2012</v>
      </c>
      <c r="G503" s="1">
        <v>41761</v>
      </c>
      <c r="H503">
        <v>12</v>
      </c>
      <c r="I503" t="s">
        <v>63</v>
      </c>
      <c r="J503">
        <v>109</v>
      </c>
      <c r="K503" t="s">
        <v>63</v>
      </c>
      <c r="L503" t="s">
        <v>4558</v>
      </c>
      <c r="M503" t="s">
        <v>4559</v>
      </c>
      <c r="N503" t="s">
        <v>4560</v>
      </c>
      <c r="O503" t="s">
        <v>63</v>
      </c>
      <c r="Q503" t="s">
        <v>63</v>
      </c>
      <c r="R503" t="s">
        <v>63</v>
      </c>
      <c r="S503" t="s">
        <v>63</v>
      </c>
      <c r="T503" t="s">
        <v>63</v>
      </c>
      <c r="X503" t="s">
        <v>63</v>
      </c>
      <c r="Y503" t="s">
        <v>1069</v>
      </c>
      <c r="Z503" t="s">
        <v>63</v>
      </c>
      <c r="AA503" t="s">
        <v>4561</v>
      </c>
      <c r="AB503">
        <v>22554310</v>
      </c>
      <c r="AC503" t="s">
        <v>67</v>
      </c>
      <c r="AD503" t="s">
        <v>63</v>
      </c>
      <c r="AE503" t="s">
        <v>63</v>
      </c>
      <c r="AF503" t="s">
        <v>63</v>
      </c>
      <c r="AG503" t="s">
        <v>4562</v>
      </c>
      <c r="AH503" t="s">
        <v>63</v>
      </c>
      <c r="AI503" t="s">
        <v>4563</v>
      </c>
      <c r="AJ503" t="s">
        <v>63</v>
      </c>
      <c r="AK503" t="s">
        <v>63</v>
      </c>
      <c r="AL503" t="s">
        <v>63</v>
      </c>
      <c r="AM503" t="s">
        <v>4564</v>
      </c>
      <c r="AN503" t="s">
        <v>63</v>
      </c>
      <c r="AO503" t="s">
        <v>63</v>
      </c>
      <c r="AP503" t="s">
        <v>63</v>
      </c>
      <c r="AQ503" t="s">
        <v>63</v>
      </c>
      <c r="AR503" t="s">
        <v>63</v>
      </c>
      <c r="AS503" t="s">
        <v>63</v>
      </c>
      <c r="AT503" t="s">
        <v>63</v>
      </c>
      <c r="AU503" t="s">
        <v>63</v>
      </c>
      <c r="AV503" t="s">
        <v>63</v>
      </c>
      <c r="AW503" t="s">
        <v>63</v>
      </c>
      <c r="AX503" t="s">
        <v>63</v>
      </c>
      <c r="AY503" t="s">
        <v>63</v>
      </c>
      <c r="AZ503" t="s">
        <v>63</v>
      </c>
      <c r="BA503" t="s">
        <v>63</v>
      </c>
      <c r="BB503" t="s">
        <v>63</v>
      </c>
      <c r="BC503" t="s">
        <v>63</v>
      </c>
      <c r="BD503" t="s">
        <v>63</v>
      </c>
      <c r="BE503" t="s">
        <v>63</v>
      </c>
      <c r="BF503" t="s">
        <v>63</v>
      </c>
    </row>
    <row r="504" spans="1:58">
      <c r="A504" t="s">
        <v>58</v>
      </c>
      <c r="B504" t="s">
        <v>4565</v>
      </c>
      <c r="C504" t="s">
        <v>4566</v>
      </c>
      <c r="D504" t="s">
        <v>4567</v>
      </c>
      <c r="E504" t="s">
        <v>4568</v>
      </c>
      <c r="F504">
        <v>2014</v>
      </c>
      <c r="G504" t="s">
        <v>157</v>
      </c>
      <c r="H504">
        <v>69</v>
      </c>
      <c r="I504" t="s">
        <v>63</v>
      </c>
      <c r="J504">
        <v>267</v>
      </c>
      <c r="K504">
        <v>273</v>
      </c>
      <c r="L504" t="s">
        <v>4569</v>
      </c>
      <c r="M504" t="s">
        <v>4570</v>
      </c>
      <c r="N504" t="s">
        <v>4571</v>
      </c>
      <c r="O504" t="s">
        <v>63</v>
      </c>
      <c r="Q504" t="s">
        <v>63</v>
      </c>
      <c r="R504" t="s">
        <v>63</v>
      </c>
      <c r="S504" t="s">
        <v>63</v>
      </c>
      <c r="T504" t="s">
        <v>63</v>
      </c>
      <c r="X504" t="s">
        <v>63</v>
      </c>
      <c r="Y504" t="s">
        <v>4572</v>
      </c>
      <c r="Z504" t="s">
        <v>63</v>
      </c>
      <c r="AA504" t="s">
        <v>4573</v>
      </c>
      <c r="AB504">
        <v>25456811</v>
      </c>
      <c r="AC504" t="s">
        <v>67</v>
      </c>
      <c r="AD504" t="s">
        <v>63</v>
      </c>
      <c r="AE504" t="s">
        <v>63</v>
      </c>
      <c r="AF504" t="s">
        <v>63</v>
      </c>
      <c r="AG504" t="s">
        <v>4574</v>
      </c>
      <c r="AH504" t="s">
        <v>63</v>
      </c>
      <c r="AI504" t="s">
        <v>4575</v>
      </c>
      <c r="AJ504" t="s">
        <v>63</v>
      </c>
      <c r="AK504" t="s">
        <v>63</v>
      </c>
      <c r="AL504" t="s">
        <v>63</v>
      </c>
      <c r="AM504" t="s">
        <v>4576</v>
      </c>
      <c r="AN504" t="s">
        <v>63</v>
      </c>
      <c r="AO504" t="s">
        <v>63</v>
      </c>
      <c r="AP504" t="s">
        <v>63</v>
      </c>
      <c r="AQ504" t="s">
        <v>63</v>
      </c>
      <c r="AR504" t="s">
        <v>63</v>
      </c>
      <c r="AS504" t="s">
        <v>63</v>
      </c>
      <c r="AT504" t="s">
        <v>63</v>
      </c>
      <c r="AU504" t="s">
        <v>63</v>
      </c>
      <c r="AV504" t="s">
        <v>63</v>
      </c>
      <c r="AW504" t="s">
        <v>63</v>
      </c>
      <c r="AX504" t="s">
        <v>63</v>
      </c>
      <c r="AY504" t="s">
        <v>63</v>
      </c>
      <c r="AZ504" t="s">
        <v>63</v>
      </c>
      <c r="BA504" t="s">
        <v>63</v>
      </c>
      <c r="BB504" t="s">
        <v>63</v>
      </c>
      <c r="BC504" t="s">
        <v>63</v>
      </c>
      <c r="BD504" t="s">
        <v>63</v>
      </c>
      <c r="BE504" t="s">
        <v>63</v>
      </c>
      <c r="BF504" t="s">
        <v>63</v>
      </c>
    </row>
    <row r="505" spans="1:58">
      <c r="A505" t="s">
        <v>58</v>
      </c>
      <c r="B505" t="s">
        <v>4577</v>
      </c>
      <c r="C505" t="s">
        <v>4578</v>
      </c>
      <c r="D505" t="s">
        <v>690</v>
      </c>
      <c r="E505" t="s">
        <v>63</v>
      </c>
      <c r="F505">
        <v>2005</v>
      </c>
      <c r="G505" t="s">
        <v>63</v>
      </c>
      <c r="H505">
        <v>62</v>
      </c>
      <c r="I505">
        <v>10</v>
      </c>
      <c r="J505">
        <v>1148</v>
      </c>
      <c r="K505">
        <v>1150</v>
      </c>
      <c r="L505" t="s">
        <v>4579</v>
      </c>
      <c r="M505" t="s">
        <v>4580</v>
      </c>
      <c r="N505" t="s">
        <v>4581</v>
      </c>
      <c r="O505" t="s">
        <v>63</v>
      </c>
      <c r="Q505" t="s">
        <v>63</v>
      </c>
      <c r="R505" t="s">
        <v>63</v>
      </c>
      <c r="S505" t="s">
        <v>63</v>
      </c>
      <c r="T505" t="s">
        <v>63</v>
      </c>
      <c r="X505" t="s">
        <v>63</v>
      </c>
      <c r="Y505" t="s">
        <v>694</v>
      </c>
      <c r="Z505" t="s">
        <v>63</v>
      </c>
      <c r="AA505" t="s">
        <v>4582</v>
      </c>
      <c r="AB505">
        <v>16521976</v>
      </c>
      <c r="AC505" t="s">
        <v>67</v>
      </c>
      <c r="AD505" t="s">
        <v>63</v>
      </c>
      <c r="AE505" t="s">
        <v>63</v>
      </c>
      <c r="AF505" t="s">
        <v>63</v>
      </c>
      <c r="AG505" t="s">
        <v>4583</v>
      </c>
      <c r="AH505" t="s">
        <v>63</v>
      </c>
      <c r="AI505" t="s">
        <v>63</v>
      </c>
      <c r="AJ505" t="s">
        <v>63</v>
      </c>
      <c r="AK505" t="s">
        <v>63</v>
      </c>
      <c r="AL505" t="s">
        <v>63</v>
      </c>
      <c r="AM505" t="s">
        <v>4584</v>
      </c>
      <c r="AN505" t="s">
        <v>63</v>
      </c>
      <c r="AO505" t="s">
        <v>63</v>
      </c>
      <c r="AP505" t="s">
        <v>63</v>
      </c>
      <c r="AQ505" t="s">
        <v>63</v>
      </c>
      <c r="AR505" t="s">
        <v>63</v>
      </c>
      <c r="AS505" t="s">
        <v>63</v>
      </c>
      <c r="AT505" t="s">
        <v>63</v>
      </c>
      <c r="AU505" t="s">
        <v>63</v>
      </c>
      <c r="AV505" t="s">
        <v>63</v>
      </c>
      <c r="AW505" t="s">
        <v>63</v>
      </c>
      <c r="AX505" t="s">
        <v>63</v>
      </c>
      <c r="AY505" t="s">
        <v>63</v>
      </c>
      <c r="AZ505" t="s">
        <v>63</v>
      </c>
      <c r="BA505" t="s">
        <v>63</v>
      </c>
      <c r="BB505" t="s">
        <v>63</v>
      </c>
      <c r="BC505" t="s">
        <v>63</v>
      </c>
      <c r="BD505" t="s">
        <v>63</v>
      </c>
      <c r="BE505" t="s">
        <v>63</v>
      </c>
      <c r="BF505" t="s">
        <v>63</v>
      </c>
    </row>
    <row r="506" spans="1:58">
      <c r="A506" t="s">
        <v>58</v>
      </c>
      <c r="B506" t="s">
        <v>4585</v>
      </c>
      <c r="C506" t="s">
        <v>4586</v>
      </c>
      <c r="D506" t="s">
        <v>4587</v>
      </c>
      <c r="E506" t="s">
        <v>4588</v>
      </c>
      <c r="F506">
        <v>1985</v>
      </c>
      <c r="G506" t="s">
        <v>157</v>
      </c>
      <c r="H506">
        <v>113</v>
      </c>
      <c r="I506">
        <v>12</v>
      </c>
      <c r="J506">
        <v>1188</v>
      </c>
      <c r="K506">
        <v>1193</v>
      </c>
      <c r="L506" t="s">
        <v>4589</v>
      </c>
      <c r="M506" t="s">
        <v>63</v>
      </c>
      <c r="N506" t="s">
        <v>4590</v>
      </c>
      <c r="O506" t="s">
        <v>63</v>
      </c>
      <c r="Q506" t="s">
        <v>63</v>
      </c>
      <c r="R506" t="s">
        <v>63</v>
      </c>
      <c r="S506" t="s">
        <v>63</v>
      </c>
      <c r="T506" t="s">
        <v>63</v>
      </c>
      <c r="X506" t="s">
        <v>63</v>
      </c>
      <c r="Y506" t="s">
        <v>4591</v>
      </c>
      <c r="Z506" t="s">
        <v>63</v>
      </c>
      <c r="AA506" t="s">
        <v>63</v>
      </c>
      <c r="AB506">
        <v>3837303</v>
      </c>
      <c r="AC506" t="s">
        <v>913</v>
      </c>
      <c r="AD506" t="s">
        <v>63</v>
      </c>
      <c r="AE506" t="s">
        <v>63</v>
      </c>
      <c r="AF506" t="s">
        <v>63</v>
      </c>
      <c r="AG506" t="s">
        <v>4592</v>
      </c>
      <c r="AH506" t="s">
        <v>63</v>
      </c>
      <c r="AI506" t="s">
        <v>63</v>
      </c>
      <c r="AJ506" t="s">
        <v>63</v>
      </c>
      <c r="AK506" t="s">
        <v>63</v>
      </c>
      <c r="AL506" t="s">
        <v>63</v>
      </c>
      <c r="AM506" t="s">
        <v>4593</v>
      </c>
      <c r="AN506" t="s">
        <v>63</v>
      </c>
      <c r="AO506" t="s">
        <v>63</v>
      </c>
      <c r="AP506" t="s">
        <v>63</v>
      </c>
      <c r="AQ506" t="s">
        <v>63</v>
      </c>
      <c r="AR506" t="s">
        <v>63</v>
      </c>
      <c r="AS506" t="s">
        <v>63</v>
      </c>
      <c r="AT506" t="s">
        <v>63</v>
      </c>
      <c r="AU506" t="s">
        <v>63</v>
      </c>
      <c r="AV506" t="s">
        <v>63</v>
      </c>
      <c r="AW506" t="s">
        <v>63</v>
      </c>
      <c r="AX506" t="s">
        <v>63</v>
      </c>
      <c r="AY506" t="s">
        <v>63</v>
      </c>
      <c r="AZ506" t="s">
        <v>63</v>
      </c>
      <c r="BA506" t="s">
        <v>63</v>
      </c>
      <c r="BB506" t="s">
        <v>63</v>
      </c>
      <c r="BC506" t="s">
        <v>63</v>
      </c>
      <c r="BD506" t="s">
        <v>63</v>
      </c>
      <c r="BE506" t="s">
        <v>63</v>
      </c>
      <c r="BF506" t="s">
        <v>63</v>
      </c>
    </row>
    <row r="507" spans="1:58">
      <c r="A507" t="s">
        <v>58</v>
      </c>
      <c r="B507" t="s">
        <v>4594</v>
      </c>
      <c r="C507" t="s">
        <v>4595</v>
      </c>
      <c r="D507" t="s">
        <v>4596</v>
      </c>
      <c r="E507" t="s">
        <v>4597</v>
      </c>
      <c r="F507">
        <v>1980</v>
      </c>
      <c r="G507" t="s">
        <v>274</v>
      </c>
      <c r="H507">
        <v>61</v>
      </c>
      <c r="I507">
        <v>3</v>
      </c>
      <c r="J507">
        <v>44</v>
      </c>
      <c r="K507">
        <v>47</v>
      </c>
      <c r="L507" t="s">
        <v>4598</v>
      </c>
      <c r="M507" t="s">
        <v>4599</v>
      </c>
      <c r="N507" t="s">
        <v>4600</v>
      </c>
      <c r="O507" t="s">
        <v>63</v>
      </c>
      <c r="Q507" t="s">
        <v>63</v>
      </c>
      <c r="R507" t="s">
        <v>63</v>
      </c>
      <c r="S507" t="s">
        <v>63</v>
      </c>
      <c r="T507" t="s">
        <v>63</v>
      </c>
      <c r="X507" t="s">
        <v>63</v>
      </c>
      <c r="Y507" t="s">
        <v>4601</v>
      </c>
      <c r="Z507" t="s">
        <v>63</v>
      </c>
      <c r="AA507" t="s">
        <v>63</v>
      </c>
      <c r="AB507">
        <v>10316938</v>
      </c>
      <c r="AC507" t="s">
        <v>67</v>
      </c>
      <c r="AD507" t="s">
        <v>63</v>
      </c>
      <c r="AE507" t="s">
        <v>63</v>
      </c>
      <c r="AF507" t="s">
        <v>63</v>
      </c>
      <c r="AG507" t="s">
        <v>4602</v>
      </c>
      <c r="AH507" t="s">
        <v>63</v>
      </c>
      <c r="AI507" t="s">
        <v>63</v>
      </c>
      <c r="AJ507" t="s">
        <v>63</v>
      </c>
      <c r="AK507" t="s">
        <v>63</v>
      </c>
      <c r="AL507" t="s">
        <v>63</v>
      </c>
      <c r="AM507" t="s">
        <v>4603</v>
      </c>
      <c r="AN507" t="s">
        <v>63</v>
      </c>
      <c r="AO507" t="s">
        <v>63</v>
      </c>
      <c r="AP507" t="s">
        <v>63</v>
      </c>
      <c r="AQ507" t="s">
        <v>63</v>
      </c>
      <c r="AR507" t="s">
        <v>63</v>
      </c>
      <c r="AS507" t="s">
        <v>63</v>
      </c>
      <c r="AT507" t="s">
        <v>63</v>
      </c>
      <c r="AU507" t="s">
        <v>63</v>
      </c>
      <c r="AV507" t="s">
        <v>63</v>
      </c>
      <c r="AW507" t="s">
        <v>63</v>
      </c>
      <c r="AX507" t="s">
        <v>63</v>
      </c>
      <c r="AY507" t="s">
        <v>63</v>
      </c>
      <c r="AZ507" t="s">
        <v>63</v>
      </c>
      <c r="BA507" t="s">
        <v>63</v>
      </c>
      <c r="BB507" t="s">
        <v>63</v>
      </c>
      <c r="BC507" t="s">
        <v>63</v>
      </c>
      <c r="BD507" t="s">
        <v>63</v>
      </c>
      <c r="BE507" t="s">
        <v>63</v>
      </c>
      <c r="BF507" t="s">
        <v>63</v>
      </c>
    </row>
    <row r="508" spans="1:58">
      <c r="A508" t="s">
        <v>58</v>
      </c>
      <c r="B508" t="s">
        <v>4604</v>
      </c>
      <c r="C508" t="s">
        <v>4605</v>
      </c>
      <c r="D508" t="s">
        <v>349</v>
      </c>
      <c r="E508" t="s">
        <v>350</v>
      </c>
      <c r="F508">
        <v>2015</v>
      </c>
      <c r="G508" t="s">
        <v>614</v>
      </c>
      <c r="H508">
        <v>49</v>
      </c>
      <c r="I508">
        <v>2</v>
      </c>
      <c r="J508" t="s">
        <v>4606</v>
      </c>
      <c r="K508" t="s">
        <v>4607</v>
      </c>
      <c r="L508" t="s">
        <v>4608</v>
      </c>
      <c r="M508" t="s">
        <v>4609</v>
      </c>
      <c r="N508" t="s">
        <v>4610</v>
      </c>
      <c r="O508" t="s">
        <v>63</v>
      </c>
      <c r="Q508" t="s">
        <v>63</v>
      </c>
      <c r="R508" t="s">
        <v>63</v>
      </c>
      <c r="S508" t="s">
        <v>63</v>
      </c>
      <c r="T508" t="s">
        <v>63</v>
      </c>
      <c r="X508" t="s">
        <v>63</v>
      </c>
      <c r="Y508" t="s">
        <v>4611</v>
      </c>
      <c r="Z508" t="s">
        <v>63</v>
      </c>
      <c r="AA508" t="s">
        <v>4612</v>
      </c>
      <c r="AB508">
        <v>26091923</v>
      </c>
      <c r="AC508" t="s">
        <v>67</v>
      </c>
      <c r="AD508" t="s">
        <v>63</v>
      </c>
      <c r="AE508" t="s">
        <v>63</v>
      </c>
      <c r="AF508" t="s">
        <v>63</v>
      </c>
      <c r="AG508" t="s">
        <v>4613</v>
      </c>
      <c r="AH508" t="s">
        <v>63</v>
      </c>
      <c r="AI508" t="s">
        <v>4614</v>
      </c>
      <c r="AJ508" t="s">
        <v>63</v>
      </c>
      <c r="AK508" t="s">
        <v>63</v>
      </c>
      <c r="AL508" t="s">
        <v>63</v>
      </c>
      <c r="AM508" t="s">
        <v>4615</v>
      </c>
      <c r="AN508" t="s">
        <v>63</v>
      </c>
      <c r="AO508" t="s">
        <v>63</v>
      </c>
      <c r="AP508" t="s">
        <v>63</v>
      </c>
      <c r="AQ508" t="s">
        <v>63</v>
      </c>
      <c r="AR508" t="s">
        <v>63</v>
      </c>
      <c r="AS508" t="s">
        <v>63</v>
      </c>
      <c r="AT508" t="s">
        <v>63</v>
      </c>
      <c r="AU508" t="s">
        <v>63</v>
      </c>
      <c r="AV508" t="s">
        <v>63</v>
      </c>
      <c r="AW508" t="s">
        <v>63</v>
      </c>
      <c r="AX508" t="s">
        <v>63</v>
      </c>
      <c r="AY508" t="s">
        <v>63</v>
      </c>
      <c r="AZ508" t="s">
        <v>63</v>
      </c>
      <c r="BA508" t="s">
        <v>63</v>
      </c>
      <c r="BB508" t="s">
        <v>63</v>
      </c>
      <c r="BC508" t="s">
        <v>63</v>
      </c>
      <c r="BD508" t="s">
        <v>63</v>
      </c>
      <c r="BE508" t="s">
        <v>63</v>
      </c>
      <c r="BF508" t="s">
        <v>63</v>
      </c>
    </row>
    <row r="509" spans="1:58">
      <c r="A509" t="s">
        <v>58</v>
      </c>
      <c r="B509" t="s">
        <v>4616</v>
      </c>
      <c r="C509" t="s">
        <v>4617</v>
      </c>
      <c r="D509" t="s">
        <v>1293</v>
      </c>
      <c r="E509" t="s">
        <v>1294</v>
      </c>
      <c r="F509">
        <v>2006</v>
      </c>
      <c r="G509" t="s">
        <v>198</v>
      </c>
      <c r="H509">
        <v>38</v>
      </c>
      <c r="I509">
        <v>1</v>
      </c>
      <c r="J509">
        <v>28</v>
      </c>
      <c r="K509">
        <v>37</v>
      </c>
      <c r="L509" t="s">
        <v>4618</v>
      </c>
      <c r="M509" t="s">
        <v>4619</v>
      </c>
      <c r="N509" t="s">
        <v>4620</v>
      </c>
      <c r="O509" t="s">
        <v>63</v>
      </c>
      <c r="Q509" t="s">
        <v>63</v>
      </c>
      <c r="R509" t="s">
        <v>63</v>
      </c>
      <c r="S509" t="s">
        <v>63</v>
      </c>
      <c r="T509" t="s">
        <v>63</v>
      </c>
      <c r="X509" t="s">
        <v>63</v>
      </c>
      <c r="Y509" t="s">
        <v>1297</v>
      </c>
      <c r="Z509" t="s">
        <v>63</v>
      </c>
      <c r="AA509" t="s">
        <v>4621</v>
      </c>
      <c r="AB509">
        <v>16378256</v>
      </c>
      <c r="AC509" t="s">
        <v>67</v>
      </c>
      <c r="AD509" t="s">
        <v>63</v>
      </c>
      <c r="AE509" t="s">
        <v>63</v>
      </c>
      <c r="AF509" t="s">
        <v>63</v>
      </c>
      <c r="AG509" t="s">
        <v>4622</v>
      </c>
      <c r="AH509" t="s">
        <v>63</v>
      </c>
      <c r="AI509" t="s">
        <v>63</v>
      </c>
      <c r="AJ509" t="s">
        <v>63</v>
      </c>
      <c r="AK509" t="s">
        <v>63</v>
      </c>
      <c r="AL509" t="s">
        <v>63</v>
      </c>
      <c r="AM509" t="s">
        <v>4623</v>
      </c>
      <c r="AN509" t="s">
        <v>63</v>
      </c>
      <c r="AO509" t="s">
        <v>63</v>
      </c>
      <c r="AP509" t="s">
        <v>63</v>
      </c>
      <c r="AQ509" t="s">
        <v>63</v>
      </c>
      <c r="AR509" t="s">
        <v>63</v>
      </c>
      <c r="AS509" t="s">
        <v>63</v>
      </c>
      <c r="AT509" t="s">
        <v>63</v>
      </c>
      <c r="AU509" t="s">
        <v>63</v>
      </c>
      <c r="AV509" t="s">
        <v>63</v>
      </c>
      <c r="AW509" t="s">
        <v>63</v>
      </c>
      <c r="AX509" t="s">
        <v>63</v>
      </c>
      <c r="AY509" t="s">
        <v>63</v>
      </c>
      <c r="AZ509" t="s">
        <v>63</v>
      </c>
      <c r="BA509" t="s">
        <v>63</v>
      </c>
      <c r="BB509" t="s">
        <v>63</v>
      </c>
      <c r="BC509" t="s">
        <v>63</v>
      </c>
      <c r="BD509" t="s">
        <v>63</v>
      </c>
      <c r="BE509" t="s">
        <v>63</v>
      </c>
      <c r="BF509" t="s">
        <v>63</v>
      </c>
    </row>
    <row r="510" spans="1:58">
      <c r="A510" t="s">
        <v>58</v>
      </c>
      <c r="B510" t="s">
        <v>4624</v>
      </c>
      <c r="C510" t="s">
        <v>4625</v>
      </c>
      <c r="D510" t="s">
        <v>389</v>
      </c>
      <c r="E510" t="s">
        <v>63</v>
      </c>
      <c r="F510">
        <v>2000</v>
      </c>
      <c r="G510" t="s">
        <v>73</v>
      </c>
      <c r="H510">
        <v>21</v>
      </c>
      <c r="I510">
        <v>2</v>
      </c>
      <c r="J510">
        <v>111</v>
      </c>
      <c r="K510">
        <v>119</v>
      </c>
      <c r="L510" t="s">
        <v>63</v>
      </c>
      <c r="M510" t="s">
        <v>4626</v>
      </c>
      <c r="N510" t="s">
        <v>4627</v>
      </c>
      <c r="O510" t="s">
        <v>63</v>
      </c>
      <c r="Q510" t="s">
        <v>63</v>
      </c>
      <c r="R510" t="s">
        <v>63</v>
      </c>
      <c r="S510" t="s">
        <v>63</v>
      </c>
      <c r="T510" t="s">
        <v>63</v>
      </c>
      <c r="X510" t="s">
        <v>63</v>
      </c>
      <c r="Y510" t="s">
        <v>556</v>
      </c>
      <c r="Z510" t="s">
        <v>63</v>
      </c>
      <c r="AA510" t="s">
        <v>4628</v>
      </c>
      <c r="AB510">
        <v>12466651</v>
      </c>
      <c r="AC510" t="s">
        <v>67</v>
      </c>
      <c r="AD510" t="s">
        <v>63</v>
      </c>
      <c r="AE510" t="s">
        <v>63</v>
      </c>
      <c r="AF510" t="s">
        <v>63</v>
      </c>
      <c r="AG510" t="s">
        <v>4629</v>
      </c>
      <c r="AH510" t="s">
        <v>63</v>
      </c>
      <c r="AI510" t="s">
        <v>63</v>
      </c>
      <c r="AJ510" t="s">
        <v>63</v>
      </c>
      <c r="AK510" t="s">
        <v>63</v>
      </c>
      <c r="AL510" t="s">
        <v>63</v>
      </c>
      <c r="AM510" t="s">
        <v>4630</v>
      </c>
      <c r="AN510" t="s">
        <v>63</v>
      </c>
      <c r="AO510" t="s">
        <v>63</v>
      </c>
      <c r="AP510" t="s">
        <v>63</v>
      </c>
      <c r="AQ510" t="s">
        <v>63</v>
      </c>
      <c r="AR510" t="s">
        <v>63</v>
      </c>
      <c r="AS510" t="s">
        <v>63</v>
      </c>
      <c r="AT510" t="s">
        <v>63</v>
      </c>
      <c r="AU510" t="s">
        <v>63</v>
      </c>
      <c r="AV510" t="s">
        <v>63</v>
      </c>
      <c r="AW510" t="s">
        <v>63</v>
      </c>
      <c r="AX510" t="s">
        <v>63</v>
      </c>
      <c r="AY510" t="s">
        <v>63</v>
      </c>
      <c r="AZ510" t="s">
        <v>63</v>
      </c>
      <c r="BA510" t="s">
        <v>63</v>
      </c>
      <c r="BB510" t="s">
        <v>63</v>
      </c>
      <c r="BC510" t="s">
        <v>63</v>
      </c>
      <c r="BD510" t="s">
        <v>63</v>
      </c>
      <c r="BE510" t="s">
        <v>63</v>
      </c>
      <c r="BF510" t="s">
        <v>63</v>
      </c>
    </row>
    <row r="511" spans="1:58">
      <c r="A511" t="s">
        <v>58</v>
      </c>
      <c r="B511" t="s">
        <v>4631</v>
      </c>
      <c r="C511" t="s">
        <v>4632</v>
      </c>
      <c r="D511" t="s">
        <v>4633</v>
      </c>
      <c r="E511" t="s">
        <v>4633</v>
      </c>
      <c r="F511">
        <v>2006</v>
      </c>
      <c r="G511" t="s">
        <v>219</v>
      </c>
      <c r="H511">
        <v>3</v>
      </c>
      <c r="I511">
        <v>11</v>
      </c>
      <c r="J511">
        <v>51</v>
      </c>
      <c r="K511">
        <v>58</v>
      </c>
      <c r="L511" t="s">
        <v>63</v>
      </c>
      <c r="M511" t="s">
        <v>4634</v>
      </c>
      <c r="N511" t="s">
        <v>4635</v>
      </c>
      <c r="O511" t="s">
        <v>63</v>
      </c>
      <c r="Q511" t="s">
        <v>63</v>
      </c>
      <c r="R511" t="s">
        <v>63</v>
      </c>
      <c r="S511" t="s">
        <v>63</v>
      </c>
      <c r="T511" t="s">
        <v>63</v>
      </c>
      <c r="X511" t="s">
        <v>63</v>
      </c>
      <c r="Y511" t="s">
        <v>4636</v>
      </c>
      <c r="Z511" t="s">
        <v>63</v>
      </c>
      <c r="AA511" t="s">
        <v>4637</v>
      </c>
      <c r="AB511">
        <v>20877518</v>
      </c>
      <c r="AC511" t="s">
        <v>67</v>
      </c>
      <c r="AD511" t="s">
        <v>63</v>
      </c>
      <c r="AE511" t="s">
        <v>63</v>
      </c>
      <c r="AF511" t="s">
        <v>63</v>
      </c>
      <c r="AG511" t="s">
        <v>4638</v>
      </c>
      <c r="AH511" t="s">
        <v>63</v>
      </c>
      <c r="AI511" t="s">
        <v>63</v>
      </c>
      <c r="AJ511" t="s">
        <v>63</v>
      </c>
      <c r="AK511" t="s">
        <v>63</v>
      </c>
      <c r="AL511" t="s">
        <v>63</v>
      </c>
      <c r="AM511" t="s">
        <v>4639</v>
      </c>
      <c r="AN511" t="s">
        <v>63</v>
      </c>
      <c r="AO511" t="s">
        <v>63</v>
      </c>
      <c r="AP511" t="s">
        <v>63</v>
      </c>
      <c r="AQ511" t="s">
        <v>63</v>
      </c>
      <c r="AR511" t="s">
        <v>63</v>
      </c>
      <c r="AS511" t="s">
        <v>63</v>
      </c>
      <c r="AT511" t="s">
        <v>63</v>
      </c>
      <c r="AU511" t="s">
        <v>63</v>
      </c>
      <c r="AV511" t="s">
        <v>63</v>
      </c>
      <c r="AW511" t="s">
        <v>63</v>
      </c>
      <c r="AX511" t="s">
        <v>63</v>
      </c>
      <c r="AY511" t="s">
        <v>63</v>
      </c>
      <c r="AZ511" t="s">
        <v>63</v>
      </c>
      <c r="BA511" t="s">
        <v>63</v>
      </c>
      <c r="BB511" t="s">
        <v>63</v>
      </c>
      <c r="BC511" t="s">
        <v>63</v>
      </c>
      <c r="BD511" t="s">
        <v>63</v>
      </c>
      <c r="BE511" t="s">
        <v>63</v>
      </c>
      <c r="BF511" t="s">
        <v>63</v>
      </c>
    </row>
    <row r="512" spans="1:58">
      <c r="A512" t="s">
        <v>58</v>
      </c>
      <c r="B512" t="s">
        <v>4640</v>
      </c>
      <c r="C512" t="s">
        <v>4641</v>
      </c>
      <c r="D512" t="s">
        <v>938</v>
      </c>
      <c r="E512" t="s">
        <v>63</v>
      </c>
      <c r="F512">
        <v>2017</v>
      </c>
      <c r="G512" t="s">
        <v>198</v>
      </c>
      <c r="H512">
        <v>26</v>
      </c>
      <c r="I512">
        <v>1</v>
      </c>
      <c r="J512">
        <v>34</v>
      </c>
      <c r="K512">
        <v>41</v>
      </c>
      <c r="L512" t="s">
        <v>4642</v>
      </c>
      <c r="M512" t="s">
        <v>4643</v>
      </c>
      <c r="N512" t="s">
        <v>4644</v>
      </c>
      <c r="O512" t="s">
        <v>63</v>
      </c>
      <c r="Q512" t="s">
        <v>63</v>
      </c>
      <c r="R512" t="s">
        <v>63</v>
      </c>
      <c r="S512" t="s">
        <v>63</v>
      </c>
      <c r="T512" t="s">
        <v>63</v>
      </c>
      <c r="X512" t="s">
        <v>63</v>
      </c>
      <c r="Y512" t="s">
        <v>942</v>
      </c>
      <c r="Z512" t="s">
        <v>63</v>
      </c>
      <c r="AA512" t="s">
        <v>4645</v>
      </c>
      <c r="AB512">
        <v>27973746</v>
      </c>
      <c r="AC512" t="s">
        <v>67</v>
      </c>
      <c r="AD512" t="s">
        <v>63</v>
      </c>
      <c r="AE512" t="s">
        <v>63</v>
      </c>
      <c r="AF512" t="s">
        <v>63</v>
      </c>
      <c r="AG512" t="s">
        <v>4646</v>
      </c>
      <c r="AH512" t="s">
        <v>63</v>
      </c>
      <c r="AI512" t="s">
        <v>4647</v>
      </c>
      <c r="AJ512" t="s">
        <v>63</v>
      </c>
      <c r="AK512" t="s">
        <v>63</v>
      </c>
      <c r="AL512" t="s">
        <v>63</v>
      </c>
      <c r="AM512" t="s">
        <v>4648</v>
      </c>
      <c r="AN512" t="s">
        <v>63</v>
      </c>
      <c r="AO512" t="s">
        <v>63</v>
      </c>
      <c r="AP512" t="s">
        <v>63</v>
      </c>
      <c r="AQ512" t="s">
        <v>63</v>
      </c>
      <c r="AR512" t="s">
        <v>63</v>
      </c>
      <c r="AS512" t="s">
        <v>63</v>
      </c>
      <c r="AT512" t="s">
        <v>63</v>
      </c>
      <c r="AU512" t="s">
        <v>63</v>
      </c>
      <c r="AV512" t="s">
        <v>63</v>
      </c>
      <c r="AW512" t="s">
        <v>63</v>
      </c>
      <c r="AX512" t="s">
        <v>63</v>
      </c>
      <c r="AY512" t="s">
        <v>63</v>
      </c>
      <c r="AZ512" t="s">
        <v>63</v>
      </c>
      <c r="BA512" t="s">
        <v>63</v>
      </c>
      <c r="BB512" t="s">
        <v>63</v>
      </c>
      <c r="BC512" t="s">
        <v>63</v>
      </c>
      <c r="BD512" t="s">
        <v>63</v>
      </c>
      <c r="BE512" t="s">
        <v>63</v>
      </c>
      <c r="BF512" t="s">
        <v>63</v>
      </c>
    </row>
    <row r="513" spans="1:58">
      <c r="A513" t="s">
        <v>58</v>
      </c>
      <c r="B513" t="s">
        <v>4649</v>
      </c>
      <c r="C513" t="s">
        <v>4650</v>
      </c>
      <c r="D513" t="s">
        <v>325</v>
      </c>
      <c r="E513" t="s">
        <v>63</v>
      </c>
      <c r="F513">
        <v>2018</v>
      </c>
      <c r="G513" t="s">
        <v>84</v>
      </c>
      <c r="H513">
        <v>42</v>
      </c>
      <c r="I513">
        <v>2</v>
      </c>
      <c r="J513">
        <v>273</v>
      </c>
      <c r="K513">
        <v>276</v>
      </c>
      <c r="L513" t="s">
        <v>63</v>
      </c>
      <c r="M513" t="s">
        <v>63</v>
      </c>
      <c r="N513" t="s">
        <v>4651</v>
      </c>
      <c r="O513" t="s">
        <v>63</v>
      </c>
      <c r="Q513" t="s">
        <v>63</v>
      </c>
      <c r="R513" t="s">
        <v>63</v>
      </c>
      <c r="S513" t="s">
        <v>63</v>
      </c>
      <c r="T513" t="s">
        <v>63</v>
      </c>
      <c r="X513" t="s">
        <v>63</v>
      </c>
      <c r="Y513" t="s">
        <v>330</v>
      </c>
      <c r="Z513" t="s">
        <v>63</v>
      </c>
      <c r="AA513" t="s">
        <v>4652</v>
      </c>
      <c r="AB513">
        <v>29423826</v>
      </c>
      <c r="AC513" t="s">
        <v>67</v>
      </c>
      <c r="AD513" t="s">
        <v>63</v>
      </c>
      <c r="AE513" t="s">
        <v>63</v>
      </c>
      <c r="AF513" t="s">
        <v>63</v>
      </c>
      <c r="AG513" t="s">
        <v>4653</v>
      </c>
      <c r="AH513" t="s">
        <v>63</v>
      </c>
      <c r="AI513" t="s">
        <v>4654</v>
      </c>
      <c r="AJ513" t="s">
        <v>63</v>
      </c>
      <c r="AK513" t="s">
        <v>63</v>
      </c>
      <c r="AL513" t="s">
        <v>63</v>
      </c>
      <c r="AM513" t="s">
        <v>4655</v>
      </c>
      <c r="AN513" t="s">
        <v>63</v>
      </c>
      <c r="AO513" t="s">
        <v>63</v>
      </c>
      <c r="AP513" t="s">
        <v>63</v>
      </c>
      <c r="AQ513" t="s">
        <v>63</v>
      </c>
      <c r="AR513" t="s">
        <v>63</v>
      </c>
      <c r="AS513" t="s">
        <v>63</v>
      </c>
      <c r="AT513" t="s">
        <v>63</v>
      </c>
      <c r="AU513" t="s">
        <v>63</v>
      </c>
      <c r="AV513" t="s">
        <v>63</v>
      </c>
      <c r="AW513" t="s">
        <v>63</v>
      </c>
      <c r="AX513" t="s">
        <v>63</v>
      </c>
      <c r="AY513" t="s">
        <v>63</v>
      </c>
      <c r="AZ513" t="s">
        <v>63</v>
      </c>
      <c r="BA513" t="s">
        <v>63</v>
      </c>
      <c r="BB513" t="s">
        <v>63</v>
      </c>
      <c r="BC513" t="s">
        <v>63</v>
      </c>
      <c r="BD513" t="s">
        <v>63</v>
      </c>
      <c r="BE513" t="s">
        <v>63</v>
      </c>
      <c r="BF513" t="s">
        <v>63</v>
      </c>
    </row>
    <row r="514" spans="1:58">
      <c r="A514" t="s">
        <v>58</v>
      </c>
      <c r="B514" t="s">
        <v>4656</v>
      </c>
      <c r="C514" t="s">
        <v>4657</v>
      </c>
      <c r="D514" t="s">
        <v>4658</v>
      </c>
      <c r="E514" t="s">
        <v>4659</v>
      </c>
      <c r="F514">
        <v>1999</v>
      </c>
      <c r="G514" t="s">
        <v>274</v>
      </c>
      <c r="H514">
        <v>95</v>
      </c>
      <c r="I514">
        <v>3</v>
      </c>
      <c r="J514">
        <v>42</v>
      </c>
      <c r="K514">
        <v>52</v>
      </c>
      <c r="L514" t="s">
        <v>4660</v>
      </c>
      <c r="M514" t="s">
        <v>63</v>
      </c>
      <c r="N514" t="s">
        <v>4661</v>
      </c>
      <c r="O514" t="s">
        <v>63</v>
      </c>
      <c r="Q514" t="s">
        <v>63</v>
      </c>
      <c r="R514" t="s">
        <v>63</v>
      </c>
      <c r="S514" t="s">
        <v>63</v>
      </c>
      <c r="T514" t="s">
        <v>63</v>
      </c>
      <c r="X514" t="s">
        <v>63</v>
      </c>
      <c r="Y514" t="s">
        <v>4662</v>
      </c>
      <c r="Z514" t="s">
        <v>63</v>
      </c>
      <c r="AA514" t="s">
        <v>63</v>
      </c>
      <c r="AB514">
        <v>10932634</v>
      </c>
      <c r="AC514" t="s">
        <v>67</v>
      </c>
      <c r="AD514" t="s">
        <v>63</v>
      </c>
      <c r="AE514" t="s">
        <v>63</v>
      </c>
      <c r="AF514" t="s">
        <v>63</v>
      </c>
      <c r="AG514" t="s">
        <v>4663</v>
      </c>
      <c r="AH514" t="s">
        <v>63</v>
      </c>
      <c r="AI514" t="s">
        <v>63</v>
      </c>
      <c r="AJ514" t="s">
        <v>63</v>
      </c>
      <c r="AK514" t="s">
        <v>63</v>
      </c>
      <c r="AL514" t="s">
        <v>63</v>
      </c>
      <c r="AM514" t="s">
        <v>4664</v>
      </c>
      <c r="AN514" t="s">
        <v>63</v>
      </c>
      <c r="AO514" t="s">
        <v>63</v>
      </c>
      <c r="AP514" t="s">
        <v>63</v>
      </c>
      <c r="AQ514" t="s">
        <v>63</v>
      </c>
      <c r="AR514" t="s">
        <v>63</v>
      </c>
      <c r="AS514" t="s">
        <v>63</v>
      </c>
      <c r="AT514" t="s">
        <v>63</v>
      </c>
      <c r="AU514" t="s">
        <v>63</v>
      </c>
      <c r="AV514" t="s">
        <v>63</v>
      </c>
      <c r="AW514" t="s">
        <v>63</v>
      </c>
      <c r="AX514" t="s">
        <v>63</v>
      </c>
      <c r="AY514" t="s">
        <v>63</v>
      </c>
      <c r="AZ514" t="s">
        <v>63</v>
      </c>
      <c r="BA514" t="s">
        <v>63</v>
      </c>
      <c r="BB514" t="s">
        <v>63</v>
      </c>
      <c r="BC514" t="s">
        <v>63</v>
      </c>
      <c r="BD514" t="s">
        <v>63</v>
      </c>
      <c r="BE514" t="s">
        <v>63</v>
      </c>
      <c r="BF514" t="s">
        <v>63</v>
      </c>
    </row>
    <row r="515" spans="1:58">
      <c r="A515" t="s">
        <v>58</v>
      </c>
      <c r="B515" t="s">
        <v>4665</v>
      </c>
      <c r="C515" t="s">
        <v>4666</v>
      </c>
      <c r="D515" t="s">
        <v>4667</v>
      </c>
      <c r="E515" t="s">
        <v>4668</v>
      </c>
      <c r="F515">
        <v>1974</v>
      </c>
      <c r="G515" t="s">
        <v>219</v>
      </c>
      <c r="H515">
        <v>65</v>
      </c>
      <c r="I515">
        <v>5</v>
      </c>
      <c r="J515">
        <v>562</v>
      </c>
      <c r="K515">
        <v>566</v>
      </c>
      <c r="L515" t="s">
        <v>4669</v>
      </c>
      <c r="M515" t="s">
        <v>63</v>
      </c>
      <c r="N515" t="s">
        <v>4670</v>
      </c>
      <c r="O515" t="s">
        <v>63</v>
      </c>
      <c r="Q515" t="s">
        <v>63</v>
      </c>
      <c r="R515" t="s">
        <v>63</v>
      </c>
      <c r="S515" t="s">
        <v>63</v>
      </c>
      <c r="T515" t="s">
        <v>63</v>
      </c>
      <c r="X515" t="s">
        <v>63</v>
      </c>
      <c r="Y515" s="2">
        <v>2307999</v>
      </c>
      <c r="Z515" t="s">
        <v>63</v>
      </c>
      <c r="AA515" t="s">
        <v>63</v>
      </c>
      <c r="AB515">
        <v>4422644</v>
      </c>
      <c r="AC515" t="s">
        <v>67</v>
      </c>
      <c r="AD515" t="s">
        <v>63</v>
      </c>
      <c r="AE515" t="s">
        <v>63</v>
      </c>
      <c r="AF515" t="s">
        <v>63</v>
      </c>
      <c r="AG515" t="s">
        <v>4671</v>
      </c>
      <c r="AH515" t="s">
        <v>63</v>
      </c>
      <c r="AI515" t="s">
        <v>63</v>
      </c>
      <c r="AJ515" t="s">
        <v>63</v>
      </c>
      <c r="AK515" t="s">
        <v>63</v>
      </c>
      <c r="AL515" t="s">
        <v>63</v>
      </c>
      <c r="AM515" t="s">
        <v>4672</v>
      </c>
      <c r="AN515" t="s">
        <v>63</v>
      </c>
      <c r="AO515" t="s">
        <v>63</v>
      </c>
      <c r="AP515" t="s">
        <v>63</v>
      </c>
      <c r="AQ515" t="s">
        <v>63</v>
      </c>
      <c r="AR515" t="s">
        <v>63</v>
      </c>
      <c r="AS515" t="s">
        <v>63</v>
      </c>
      <c r="AT515" t="s">
        <v>63</v>
      </c>
      <c r="AU515" t="s">
        <v>63</v>
      </c>
      <c r="AV515" t="s">
        <v>63</v>
      </c>
      <c r="AW515" t="s">
        <v>63</v>
      </c>
      <c r="AX515" t="s">
        <v>63</v>
      </c>
      <c r="AY515" t="s">
        <v>63</v>
      </c>
      <c r="AZ515" t="s">
        <v>63</v>
      </c>
      <c r="BA515" t="s">
        <v>63</v>
      </c>
      <c r="BB515" t="s">
        <v>63</v>
      </c>
      <c r="BC515" t="s">
        <v>63</v>
      </c>
      <c r="BD515" t="s">
        <v>63</v>
      </c>
      <c r="BE515" t="s">
        <v>63</v>
      </c>
      <c r="BF515" t="s">
        <v>63</v>
      </c>
    </row>
    <row r="516" spans="1:58">
      <c r="A516" t="s">
        <v>58</v>
      </c>
      <c r="B516" t="s">
        <v>4673</v>
      </c>
      <c r="C516" t="s">
        <v>4674</v>
      </c>
      <c r="D516" t="s">
        <v>4675</v>
      </c>
      <c r="E516" t="s">
        <v>63</v>
      </c>
      <c r="F516">
        <v>2012</v>
      </c>
      <c r="G516" t="s">
        <v>84</v>
      </c>
      <c r="H516">
        <v>10</v>
      </c>
      <c r="I516">
        <v>2</v>
      </c>
      <c r="J516">
        <v>92</v>
      </c>
      <c r="K516">
        <v>96</v>
      </c>
      <c r="L516" t="s">
        <v>63</v>
      </c>
      <c r="M516" t="s">
        <v>4676</v>
      </c>
      <c r="N516" t="s">
        <v>4677</v>
      </c>
      <c r="O516" t="s">
        <v>63</v>
      </c>
      <c r="Q516" t="s">
        <v>63</v>
      </c>
      <c r="R516" t="s">
        <v>63</v>
      </c>
      <c r="S516" t="s">
        <v>63</v>
      </c>
      <c r="T516" t="s">
        <v>63</v>
      </c>
      <c r="X516" t="s">
        <v>63</v>
      </c>
      <c r="Y516" t="s">
        <v>4678</v>
      </c>
      <c r="Z516" t="s">
        <v>63</v>
      </c>
      <c r="AA516" t="s">
        <v>4679</v>
      </c>
      <c r="AB516">
        <v>24155823</v>
      </c>
      <c r="AC516" t="s">
        <v>67</v>
      </c>
      <c r="AD516" t="s">
        <v>63</v>
      </c>
      <c r="AE516" t="s">
        <v>63</v>
      </c>
      <c r="AF516" t="s">
        <v>63</v>
      </c>
      <c r="AG516" t="s">
        <v>4680</v>
      </c>
      <c r="AH516" t="s">
        <v>63</v>
      </c>
      <c r="AI516" t="s">
        <v>63</v>
      </c>
      <c r="AJ516" t="s">
        <v>63</v>
      </c>
      <c r="AK516" t="s">
        <v>63</v>
      </c>
      <c r="AL516" t="s">
        <v>63</v>
      </c>
      <c r="AM516" t="s">
        <v>4681</v>
      </c>
      <c r="AN516" t="s">
        <v>63</v>
      </c>
      <c r="AO516" t="s">
        <v>63</v>
      </c>
      <c r="AP516" t="s">
        <v>63</v>
      </c>
      <c r="AQ516" t="s">
        <v>63</v>
      </c>
      <c r="AR516" t="s">
        <v>63</v>
      </c>
      <c r="AS516" t="s">
        <v>63</v>
      </c>
      <c r="AT516" t="s">
        <v>63</v>
      </c>
      <c r="AU516" t="s">
        <v>63</v>
      </c>
      <c r="AV516" t="s">
        <v>63</v>
      </c>
      <c r="AW516" t="s">
        <v>63</v>
      </c>
      <c r="AX516" t="s">
        <v>63</v>
      </c>
      <c r="AY516" t="s">
        <v>63</v>
      </c>
      <c r="AZ516" t="s">
        <v>63</v>
      </c>
      <c r="BA516" t="s">
        <v>63</v>
      </c>
      <c r="BB516" t="s">
        <v>63</v>
      </c>
      <c r="BC516" t="s">
        <v>63</v>
      </c>
      <c r="BD516" t="s">
        <v>63</v>
      </c>
      <c r="BE516" t="s">
        <v>63</v>
      </c>
      <c r="BF516" t="s">
        <v>63</v>
      </c>
    </row>
    <row r="517" spans="1:58">
      <c r="A517" t="s">
        <v>58</v>
      </c>
      <c r="B517" t="s">
        <v>4682</v>
      </c>
      <c r="C517" t="s">
        <v>4683</v>
      </c>
      <c r="D517" t="s">
        <v>4684</v>
      </c>
      <c r="E517" t="s">
        <v>63</v>
      </c>
      <c r="F517">
        <v>2017</v>
      </c>
      <c r="G517" s="1">
        <v>41892</v>
      </c>
      <c r="H517">
        <v>3</v>
      </c>
      <c r="I517">
        <v>2</v>
      </c>
      <c r="J517" t="s">
        <v>4685</v>
      </c>
      <c r="K517" t="s">
        <v>63</v>
      </c>
      <c r="L517" t="s">
        <v>63</v>
      </c>
      <c r="M517" t="s">
        <v>4686</v>
      </c>
      <c r="N517" t="s">
        <v>4687</v>
      </c>
      <c r="O517" t="s">
        <v>63</v>
      </c>
      <c r="Q517" t="s">
        <v>63</v>
      </c>
      <c r="R517" t="s">
        <v>63</v>
      </c>
      <c r="S517" t="s">
        <v>63</v>
      </c>
      <c r="T517" t="s">
        <v>63</v>
      </c>
      <c r="X517" t="s">
        <v>63</v>
      </c>
      <c r="Y517" t="s">
        <v>4688</v>
      </c>
      <c r="Z517" t="s">
        <v>63</v>
      </c>
      <c r="AA517" t="s">
        <v>4689</v>
      </c>
      <c r="AB517">
        <v>28893726</v>
      </c>
      <c r="AC517" t="s">
        <v>67</v>
      </c>
      <c r="AD517" t="s">
        <v>63</v>
      </c>
      <c r="AE517" t="s">
        <v>63</v>
      </c>
      <c r="AF517" t="s">
        <v>63</v>
      </c>
      <c r="AG517" t="s">
        <v>4690</v>
      </c>
      <c r="AH517" t="s">
        <v>63</v>
      </c>
      <c r="AI517" t="s">
        <v>4691</v>
      </c>
      <c r="AJ517" t="s">
        <v>63</v>
      </c>
      <c r="AK517" t="s">
        <v>63</v>
      </c>
      <c r="AL517" t="s">
        <v>63</v>
      </c>
      <c r="AM517" t="s">
        <v>4692</v>
      </c>
      <c r="AN517" t="s">
        <v>63</v>
      </c>
      <c r="AO517" t="s">
        <v>63</v>
      </c>
      <c r="AP517" t="s">
        <v>63</v>
      </c>
      <c r="AQ517" t="s">
        <v>63</v>
      </c>
      <c r="AR517" t="s">
        <v>63</v>
      </c>
      <c r="AS517" t="s">
        <v>63</v>
      </c>
      <c r="AT517" t="s">
        <v>63</v>
      </c>
      <c r="AU517" t="s">
        <v>63</v>
      </c>
      <c r="AV517" t="s">
        <v>63</v>
      </c>
      <c r="AW517" t="s">
        <v>63</v>
      </c>
      <c r="AX517" t="s">
        <v>63</v>
      </c>
      <c r="AY517" t="s">
        <v>63</v>
      </c>
      <c r="AZ517" t="s">
        <v>63</v>
      </c>
      <c r="BA517" t="s">
        <v>63</v>
      </c>
      <c r="BB517" t="s">
        <v>63</v>
      </c>
      <c r="BC517" t="s">
        <v>63</v>
      </c>
      <c r="BD517" t="s">
        <v>63</v>
      </c>
      <c r="BE517" t="s">
        <v>63</v>
      </c>
      <c r="BF517" t="s">
        <v>63</v>
      </c>
    </row>
    <row r="518" spans="1:58">
      <c r="A518" t="s">
        <v>58</v>
      </c>
      <c r="B518" t="s">
        <v>4693</v>
      </c>
      <c r="C518" t="s">
        <v>4694</v>
      </c>
      <c r="D518" t="s">
        <v>458</v>
      </c>
      <c r="E518" t="s">
        <v>459</v>
      </c>
      <c r="F518">
        <v>2004</v>
      </c>
      <c r="G518" t="s">
        <v>274</v>
      </c>
      <c r="H518">
        <v>68</v>
      </c>
      <c r="I518">
        <v>3</v>
      </c>
      <c r="J518">
        <v>370</v>
      </c>
      <c r="K518">
        <v>377</v>
      </c>
      <c r="L518" t="s">
        <v>4695</v>
      </c>
      <c r="M518" t="s">
        <v>4696</v>
      </c>
      <c r="N518" t="s">
        <v>4697</v>
      </c>
      <c r="O518" t="s">
        <v>63</v>
      </c>
      <c r="Q518" t="s">
        <v>63</v>
      </c>
      <c r="R518" t="s">
        <v>63</v>
      </c>
      <c r="S518" t="s">
        <v>63</v>
      </c>
      <c r="T518" t="s">
        <v>63</v>
      </c>
      <c r="X518" t="s">
        <v>63</v>
      </c>
      <c r="Y518" t="s">
        <v>4698</v>
      </c>
      <c r="Z518" t="s">
        <v>63</v>
      </c>
      <c r="AA518" t="s">
        <v>4699</v>
      </c>
      <c r="AB518">
        <v>15038638</v>
      </c>
      <c r="AC518" t="s">
        <v>67</v>
      </c>
      <c r="AD518" t="s">
        <v>63</v>
      </c>
      <c r="AE518" t="s">
        <v>63</v>
      </c>
      <c r="AF518" t="s">
        <v>63</v>
      </c>
      <c r="AG518" t="s">
        <v>4700</v>
      </c>
      <c r="AH518" t="s">
        <v>63</v>
      </c>
      <c r="AI518" t="s">
        <v>63</v>
      </c>
      <c r="AJ518" t="s">
        <v>63</v>
      </c>
      <c r="AK518" t="s">
        <v>63</v>
      </c>
      <c r="AL518" t="s">
        <v>63</v>
      </c>
      <c r="AM518" t="s">
        <v>4701</v>
      </c>
      <c r="AN518" t="s">
        <v>63</v>
      </c>
      <c r="AO518" t="s">
        <v>63</v>
      </c>
      <c r="AP518" t="s">
        <v>63</v>
      </c>
      <c r="AQ518" t="s">
        <v>63</v>
      </c>
      <c r="AR518" t="s">
        <v>63</v>
      </c>
      <c r="AS518" t="s">
        <v>63</v>
      </c>
      <c r="AT518" t="s">
        <v>63</v>
      </c>
      <c r="AU518" t="s">
        <v>63</v>
      </c>
      <c r="AV518" t="s">
        <v>63</v>
      </c>
      <c r="AW518" t="s">
        <v>63</v>
      </c>
      <c r="AX518" t="s">
        <v>63</v>
      </c>
      <c r="AY518" t="s">
        <v>63</v>
      </c>
      <c r="AZ518" t="s">
        <v>63</v>
      </c>
      <c r="BA518" t="s">
        <v>63</v>
      </c>
      <c r="BB518" t="s">
        <v>63</v>
      </c>
      <c r="BC518" t="s">
        <v>63</v>
      </c>
      <c r="BD518" t="s">
        <v>63</v>
      </c>
      <c r="BE518" t="s">
        <v>63</v>
      </c>
      <c r="BF518" t="s">
        <v>63</v>
      </c>
    </row>
    <row r="519" spans="1:58">
      <c r="A519" t="s">
        <v>58</v>
      </c>
      <c r="B519" t="s">
        <v>4702</v>
      </c>
      <c r="C519" t="s">
        <v>4703</v>
      </c>
      <c r="D519" t="s">
        <v>4704</v>
      </c>
      <c r="E519" t="s">
        <v>63</v>
      </c>
      <c r="F519">
        <v>2015</v>
      </c>
      <c r="G519" t="s">
        <v>4705</v>
      </c>
      <c r="H519" t="s">
        <v>63</v>
      </c>
      <c r="I519" t="s">
        <v>63</v>
      </c>
      <c r="J519">
        <v>26</v>
      </c>
      <c r="K519" t="s">
        <v>63</v>
      </c>
      <c r="L519" t="s">
        <v>63</v>
      </c>
      <c r="M519" t="s">
        <v>4706</v>
      </c>
      <c r="N519" t="s">
        <v>4707</v>
      </c>
      <c r="O519" t="s">
        <v>63</v>
      </c>
      <c r="Q519" t="s">
        <v>63</v>
      </c>
      <c r="R519" t="s">
        <v>63</v>
      </c>
      <c r="S519" t="s">
        <v>63</v>
      </c>
      <c r="T519" t="s">
        <v>63</v>
      </c>
      <c r="X519" t="s">
        <v>63</v>
      </c>
      <c r="Y519" t="s">
        <v>63</v>
      </c>
      <c r="Z519" t="s">
        <v>63</v>
      </c>
      <c r="AA519" t="s">
        <v>63</v>
      </c>
      <c r="AB519">
        <v>27748106</v>
      </c>
      <c r="AC519" t="s">
        <v>67</v>
      </c>
      <c r="AD519" t="s">
        <v>63</v>
      </c>
      <c r="AE519" t="s">
        <v>63</v>
      </c>
      <c r="AF519" t="s">
        <v>63</v>
      </c>
      <c r="AG519" t="s">
        <v>4708</v>
      </c>
      <c r="AH519" t="s">
        <v>63</v>
      </c>
      <c r="AI519" t="s">
        <v>63</v>
      </c>
      <c r="AJ519" t="s">
        <v>63</v>
      </c>
      <c r="AK519" t="s">
        <v>63</v>
      </c>
      <c r="AL519" t="s">
        <v>63</v>
      </c>
      <c r="AM519" t="s">
        <v>4709</v>
      </c>
      <c r="AN519" t="s">
        <v>63</v>
      </c>
      <c r="AO519" t="s">
        <v>63</v>
      </c>
      <c r="AP519" t="s">
        <v>63</v>
      </c>
      <c r="AQ519" t="s">
        <v>63</v>
      </c>
      <c r="AR519" t="s">
        <v>63</v>
      </c>
      <c r="AS519" t="s">
        <v>63</v>
      </c>
      <c r="AT519" t="s">
        <v>63</v>
      </c>
      <c r="AU519" t="s">
        <v>63</v>
      </c>
      <c r="AV519" t="s">
        <v>63</v>
      </c>
      <c r="AW519" t="s">
        <v>63</v>
      </c>
      <c r="AX519" t="s">
        <v>63</v>
      </c>
      <c r="AY519" t="s">
        <v>63</v>
      </c>
      <c r="AZ519" t="s">
        <v>63</v>
      </c>
      <c r="BA519" t="s">
        <v>63</v>
      </c>
      <c r="BB519" t="s">
        <v>63</v>
      </c>
      <c r="BC519" t="s">
        <v>63</v>
      </c>
      <c r="BD519" t="s">
        <v>63</v>
      </c>
      <c r="BE519" t="s">
        <v>63</v>
      </c>
      <c r="BF519" t="s">
        <v>63</v>
      </c>
    </row>
    <row r="520" spans="1:58">
      <c r="A520" t="s">
        <v>58</v>
      </c>
      <c r="B520" t="s">
        <v>4710</v>
      </c>
      <c r="C520" t="s">
        <v>4711</v>
      </c>
      <c r="D520" t="s">
        <v>371</v>
      </c>
      <c r="E520" t="s">
        <v>63</v>
      </c>
      <c r="F520">
        <v>2006</v>
      </c>
      <c r="G520" t="s">
        <v>157</v>
      </c>
      <c r="H520">
        <v>21</v>
      </c>
      <c r="I520">
        <v>12</v>
      </c>
      <c r="J520">
        <v>1269</v>
      </c>
      <c r="K520">
        <v>1275</v>
      </c>
      <c r="L520" t="s">
        <v>4712</v>
      </c>
      <c r="M520" t="s">
        <v>4713</v>
      </c>
      <c r="N520" t="s">
        <v>4714</v>
      </c>
      <c r="O520" t="s">
        <v>63</v>
      </c>
      <c r="Q520" t="s">
        <v>63</v>
      </c>
      <c r="R520" t="s">
        <v>63</v>
      </c>
      <c r="S520" t="s">
        <v>63</v>
      </c>
      <c r="T520" t="s">
        <v>63</v>
      </c>
      <c r="X520" t="s">
        <v>63</v>
      </c>
      <c r="Y520" t="s">
        <v>547</v>
      </c>
      <c r="Z520" t="s">
        <v>63</v>
      </c>
      <c r="AA520" t="s">
        <v>4715</v>
      </c>
      <c r="AB520">
        <v>16965560</v>
      </c>
      <c r="AC520" t="s">
        <v>67</v>
      </c>
      <c r="AD520" t="s">
        <v>63</v>
      </c>
      <c r="AE520" t="s">
        <v>63</v>
      </c>
      <c r="AF520" t="s">
        <v>63</v>
      </c>
      <c r="AG520" t="s">
        <v>4716</v>
      </c>
      <c r="AH520" t="s">
        <v>63</v>
      </c>
      <c r="AI520" t="s">
        <v>63</v>
      </c>
      <c r="AJ520" t="s">
        <v>63</v>
      </c>
      <c r="AK520" t="s">
        <v>63</v>
      </c>
      <c r="AL520" t="s">
        <v>63</v>
      </c>
      <c r="AM520" t="s">
        <v>4717</v>
      </c>
      <c r="AN520" t="s">
        <v>63</v>
      </c>
      <c r="AO520" t="s">
        <v>63</v>
      </c>
      <c r="AP520" t="s">
        <v>63</v>
      </c>
      <c r="AQ520" t="s">
        <v>63</v>
      </c>
      <c r="AR520" t="s">
        <v>63</v>
      </c>
      <c r="AS520" t="s">
        <v>63</v>
      </c>
      <c r="AT520" t="s">
        <v>63</v>
      </c>
      <c r="AU520" t="s">
        <v>63</v>
      </c>
      <c r="AV520" t="s">
        <v>63</v>
      </c>
      <c r="AW520" t="s">
        <v>63</v>
      </c>
      <c r="AX520" t="s">
        <v>63</v>
      </c>
      <c r="AY520" t="s">
        <v>63</v>
      </c>
      <c r="AZ520" t="s">
        <v>63</v>
      </c>
      <c r="BA520" t="s">
        <v>63</v>
      </c>
      <c r="BB520" t="s">
        <v>63</v>
      </c>
      <c r="BC520" t="s">
        <v>63</v>
      </c>
      <c r="BD520" t="s">
        <v>63</v>
      </c>
      <c r="BE520" t="s">
        <v>63</v>
      </c>
      <c r="BF520" t="s">
        <v>63</v>
      </c>
    </row>
    <row r="521" spans="1:58">
      <c r="A521" t="s">
        <v>58</v>
      </c>
      <c r="B521" t="s">
        <v>4718</v>
      </c>
      <c r="C521" t="s">
        <v>4719</v>
      </c>
      <c r="D521" t="s">
        <v>4116</v>
      </c>
      <c r="E521" t="s">
        <v>4117</v>
      </c>
      <c r="F521">
        <v>2001</v>
      </c>
      <c r="G521" t="s">
        <v>274</v>
      </c>
      <c r="H521">
        <v>62</v>
      </c>
      <c r="I521">
        <v>2</v>
      </c>
      <c r="J521">
        <v>234</v>
      </c>
      <c r="K521">
        <v>238</v>
      </c>
      <c r="L521" t="s">
        <v>4720</v>
      </c>
      <c r="M521" t="s">
        <v>4721</v>
      </c>
      <c r="N521" t="s">
        <v>4722</v>
      </c>
      <c r="O521" t="s">
        <v>63</v>
      </c>
      <c r="Q521" t="s">
        <v>63</v>
      </c>
      <c r="R521" t="s">
        <v>63</v>
      </c>
      <c r="S521" t="s">
        <v>63</v>
      </c>
      <c r="T521" t="s">
        <v>63</v>
      </c>
      <c r="X521" t="s">
        <v>63</v>
      </c>
      <c r="Y521" t="s">
        <v>4121</v>
      </c>
      <c r="Z521" t="s">
        <v>63</v>
      </c>
      <c r="AA521" t="s">
        <v>4723</v>
      </c>
      <c r="AB521">
        <v>11332444</v>
      </c>
      <c r="AC521" t="s">
        <v>67</v>
      </c>
      <c r="AD521" t="s">
        <v>63</v>
      </c>
      <c r="AE521" t="s">
        <v>63</v>
      </c>
      <c r="AF521" t="s">
        <v>63</v>
      </c>
      <c r="AG521" t="s">
        <v>4724</v>
      </c>
      <c r="AH521" t="s">
        <v>63</v>
      </c>
      <c r="AI521" t="s">
        <v>63</v>
      </c>
      <c r="AJ521" t="s">
        <v>63</v>
      </c>
      <c r="AK521" t="s">
        <v>63</v>
      </c>
      <c r="AL521" t="s">
        <v>63</v>
      </c>
      <c r="AM521" t="s">
        <v>4725</v>
      </c>
      <c r="AN521" t="s">
        <v>63</v>
      </c>
      <c r="AO521" t="s">
        <v>63</v>
      </c>
      <c r="AP521" t="s">
        <v>63</v>
      </c>
      <c r="AQ521" t="s">
        <v>63</v>
      </c>
      <c r="AR521" t="s">
        <v>63</v>
      </c>
      <c r="AS521" t="s">
        <v>63</v>
      </c>
      <c r="AT521" t="s">
        <v>63</v>
      </c>
      <c r="AU521" t="s">
        <v>63</v>
      </c>
      <c r="AV521" t="s">
        <v>63</v>
      </c>
      <c r="AW521" t="s">
        <v>63</v>
      </c>
      <c r="AX521" t="s">
        <v>63</v>
      </c>
      <c r="AY521" t="s">
        <v>63</v>
      </c>
      <c r="AZ521" t="s">
        <v>63</v>
      </c>
      <c r="BA521" t="s">
        <v>63</v>
      </c>
      <c r="BB521" t="s">
        <v>63</v>
      </c>
      <c r="BC521" t="s">
        <v>63</v>
      </c>
      <c r="BD521" t="s">
        <v>63</v>
      </c>
      <c r="BE521" t="s">
        <v>63</v>
      </c>
      <c r="BF521" t="s">
        <v>63</v>
      </c>
    </row>
    <row r="522" spans="1:58">
      <c r="A522" t="s">
        <v>58</v>
      </c>
      <c r="B522" t="s">
        <v>4726</v>
      </c>
      <c r="C522" t="s">
        <v>4727</v>
      </c>
      <c r="D522" t="s">
        <v>1993</v>
      </c>
      <c r="E522" t="s">
        <v>1994</v>
      </c>
      <c r="F522">
        <v>2013</v>
      </c>
      <c r="G522" t="s">
        <v>274</v>
      </c>
      <c r="H522">
        <v>96</v>
      </c>
      <c r="I522">
        <v>3</v>
      </c>
      <c r="J522">
        <v>10</v>
      </c>
      <c r="K522">
        <v>11</v>
      </c>
      <c r="L522" t="s">
        <v>4728</v>
      </c>
      <c r="M522" t="s">
        <v>63</v>
      </c>
      <c r="N522" t="s">
        <v>4729</v>
      </c>
      <c r="O522" t="s">
        <v>63</v>
      </c>
      <c r="Q522" t="s">
        <v>63</v>
      </c>
      <c r="R522" t="s">
        <v>63</v>
      </c>
      <c r="S522" t="s">
        <v>63</v>
      </c>
      <c r="T522" t="s">
        <v>63</v>
      </c>
      <c r="X522" t="s">
        <v>63</v>
      </c>
      <c r="Y522" t="s">
        <v>1997</v>
      </c>
      <c r="Z522" t="s">
        <v>63</v>
      </c>
      <c r="AA522" t="s">
        <v>63</v>
      </c>
      <c r="AB522">
        <v>23930460</v>
      </c>
      <c r="AC522" t="s">
        <v>67</v>
      </c>
      <c r="AD522" t="s">
        <v>63</v>
      </c>
      <c r="AE522" t="s">
        <v>63</v>
      </c>
      <c r="AF522" t="s">
        <v>63</v>
      </c>
      <c r="AG522" t="s">
        <v>4730</v>
      </c>
      <c r="AH522" t="s">
        <v>63</v>
      </c>
      <c r="AI522" t="s">
        <v>63</v>
      </c>
      <c r="AJ522" t="s">
        <v>63</v>
      </c>
      <c r="AK522" t="s">
        <v>63</v>
      </c>
      <c r="AL522" t="s">
        <v>63</v>
      </c>
      <c r="AM522" t="s">
        <v>4731</v>
      </c>
      <c r="AN522" t="s">
        <v>63</v>
      </c>
      <c r="AO522" t="s">
        <v>63</v>
      </c>
      <c r="AP522" t="s">
        <v>63</v>
      </c>
      <c r="AQ522" t="s">
        <v>63</v>
      </c>
      <c r="AR522" t="s">
        <v>63</v>
      </c>
      <c r="AS522" t="s">
        <v>63</v>
      </c>
      <c r="AT522" t="s">
        <v>63</v>
      </c>
      <c r="AU522" t="s">
        <v>63</v>
      </c>
      <c r="AV522" t="s">
        <v>63</v>
      </c>
      <c r="AW522" t="s">
        <v>63</v>
      </c>
      <c r="AX522" t="s">
        <v>63</v>
      </c>
      <c r="AY522" t="s">
        <v>63</v>
      </c>
      <c r="AZ522" t="s">
        <v>63</v>
      </c>
      <c r="BA522" t="s">
        <v>63</v>
      </c>
      <c r="BB522" t="s">
        <v>63</v>
      </c>
      <c r="BC522" t="s">
        <v>63</v>
      </c>
      <c r="BD522" t="s">
        <v>63</v>
      </c>
      <c r="BE522" t="s">
        <v>63</v>
      </c>
      <c r="BF522" t="s">
        <v>63</v>
      </c>
    </row>
    <row r="523" spans="1:58">
      <c r="A523" t="s">
        <v>58</v>
      </c>
      <c r="B523" t="s">
        <v>4732</v>
      </c>
      <c r="C523" t="s">
        <v>4733</v>
      </c>
      <c r="D523" t="s">
        <v>4734</v>
      </c>
      <c r="E523" t="s">
        <v>4735</v>
      </c>
      <c r="F523">
        <v>1990</v>
      </c>
      <c r="G523" s="1">
        <v>41835</v>
      </c>
      <c r="H523">
        <v>152</v>
      </c>
      <c r="I523">
        <v>29</v>
      </c>
      <c r="J523">
        <v>2101</v>
      </c>
      <c r="K523">
        <v>2104</v>
      </c>
      <c r="L523" t="s">
        <v>4736</v>
      </c>
      <c r="M523" t="s">
        <v>4737</v>
      </c>
      <c r="N523" t="s">
        <v>4738</v>
      </c>
      <c r="O523" t="s">
        <v>63</v>
      </c>
      <c r="Q523" t="s">
        <v>63</v>
      </c>
      <c r="R523" t="s">
        <v>63</v>
      </c>
      <c r="S523" t="s">
        <v>63</v>
      </c>
      <c r="T523" t="s">
        <v>63</v>
      </c>
      <c r="X523" t="s">
        <v>63</v>
      </c>
      <c r="Y523" t="s">
        <v>4739</v>
      </c>
      <c r="Z523" t="s">
        <v>63</v>
      </c>
      <c r="AA523" t="s">
        <v>4740</v>
      </c>
      <c r="AB523">
        <v>2399576</v>
      </c>
      <c r="AC523" t="s">
        <v>4741</v>
      </c>
      <c r="AD523" t="s">
        <v>63</v>
      </c>
      <c r="AE523" t="s">
        <v>63</v>
      </c>
      <c r="AF523" t="s">
        <v>63</v>
      </c>
      <c r="AG523" t="s">
        <v>4742</v>
      </c>
      <c r="AH523" t="s">
        <v>63</v>
      </c>
      <c r="AI523" t="s">
        <v>63</v>
      </c>
      <c r="AJ523" t="s">
        <v>63</v>
      </c>
      <c r="AK523" t="s">
        <v>63</v>
      </c>
      <c r="AL523" t="s">
        <v>63</v>
      </c>
      <c r="AM523" t="s">
        <v>4743</v>
      </c>
      <c r="AN523" t="s">
        <v>63</v>
      </c>
      <c r="AO523" t="s">
        <v>63</v>
      </c>
      <c r="AP523" t="s">
        <v>63</v>
      </c>
      <c r="AQ523" t="s">
        <v>63</v>
      </c>
      <c r="AR523" t="s">
        <v>63</v>
      </c>
      <c r="AS523" t="s">
        <v>63</v>
      </c>
      <c r="AT523" t="s">
        <v>63</v>
      </c>
      <c r="AU523" t="s">
        <v>63</v>
      </c>
      <c r="AV523" t="s">
        <v>63</v>
      </c>
      <c r="AW523" t="s">
        <v>63</v>
      </c>
      <c r="AX523" t="s">
        <v>63</v>
      </c>
      <c r="AY523" t="s">
        <v>63</v>
      </c>
      <c r="AZ523" t="s">
        <v>63</v>
      </c>
      <c r="BA523" t="s">
        <v>63</v>
      </c>
      <c r="BB523" t="s">
        <v>63</v>
      </c>
      <c r="BC523" t="s">
        <v>63</v>
      </c>
      <c r="BD523" t="s">
        <v>63</v>
      </c>
      <c r="BE523" t="s">
        <v>63</v>
      </c>
      <c r="BF523" t="s">
        <v>63</v>
      </c>
    </row>
    <row r="524" spans="1:58">
      <c r="A524" t="s">
        <v>58</v>
      </c>
      <c r="B524" t="s">
        <v>4744</v>
      </c>
      <c r="C524" t="s">
        <v>4745</v>
      </c>
      <c r="D524" t="s">
        <v>592</v>
      </c>
      <c r="E524" t="s">
        <v>593</v>
      </c>
      <c r="F524">
        <v>1996</v>
      </c>
      <c r="G524" t="s">
        <v>84</v>
      </c>
      <c r="H524">
        <v>25</v>
      </c>
      <c r="I524">
        <v>4</v>
      </c>
      <c r="J524">
        <v>532</v>
      </c>
      <c r="K524">
        <v>533</v>
      </c>
      <c r="L524" t="s">
        <v>4746</v>
      </c>
      <c r="M524" t="s">
        <v>4747</v>
      </c>
      <c r="N524" t="s">
        <v>4748</v>
      </c>
      <c r="O524" t="s">
        <v>63</v>
      </c>
      <c r="Q524" t="s">
        <v>63</v>
      </c>
      <c r="R524" t="s">
        <v>63</v>
      </c>
      <c r="S524" t="s">
        <v>63</v>
      </c>
      <c r="T524" t="s">
        <v>63</v>
      </c>
      <c r="X524" t="s">
        <v>63</v>
      </c>
      <c r="Y524" t="s">
        <v>597</v>
      </c>
      <c r="Z524" t="s">
        <v>63</v>
      </c>
      <c r="AA524" t="s">
        <v>4749</v>
      </c>
      <c r="AB524">
        <v>8857056</v>
      </c>
      <c r="AC524" t="s">
        <v>67</v>
      </c>
      <c r="AD524" t="s">
        <v>63</v>
      </c>
      <c r="AE524" t="s">
        <v>63</v>
      </c>
      <c r="AF524" t="s">
        <v>63</v>
      </c>
      <c r="AG524" t="s">
        <v>4750</v>
      </c>
      <c r="AH524" t="s">
        <v>63</v>
      </c>
      <c r="AI524" t="s">
        <v>63</v>
      </c>
      <c r="AJ524" t="s">
        <v>63</v>
      </c>
      <c r="AK524" t="s">
        <v>63</v>
      </c>
      <c r="AL524" t="s">
        <v>63</v>
      </c>
      <c r="AM524" t="s">
        <v>4751</v>
      </c>
      <c r="AN524" t="s">
        <v>63</v>
      </c>
      <c r="AO524" t="s">
        <v>63</v>
      </c>
      <c r="AP524" t="s">
        <v>63</v>
      </c>
      <c r="AQ524" t="s">
        <v>63</v>
      </c>
      <c r="AR524" t="s">
        <v>63</v>
      </c>
      <c r="AS524" t="s">
        <v>63</v>
      </c>
      <c r="AT524" t="s">
        <v>63</v>
      </c>
      <c r="AU524" t="s">
        <v>63</v>
      </c>
      <c r="AV524" t="s">
        <v>63</v>
      </c>
      <c r="AW524" t="s">
        <v>63</v>
      </c>
      <c r="AX524" t="s">
        <v>63</v>
      </c>
      <c r="AY524" t="s">
        <v>63</v>
      </c>
      <c r="AZ524" t="s">
        <v>63</v>
      </c>
      <c r="BA524" t="s">
        <v>63</v>
      </c>
      <c r="BB524" t="s">
        <v>63</v>
      </c>
      <c r="BC524" t="s">
        <v>63</v>
      </c>
      <c r="BD524" t="s">
        <v>63</v>
      </c>
      <c r="BE524" t="s">
        <v>63</v>
      </c>
      <c r="BF524" t="s">
        <v>63</v>
      </c>
    </row>
    <row r="525" spans="1:58">
      <c r="A525" t="s">
        <v>58</v>
      </c>
      <c r="B525" t="s">
        <v>4752</v>
      </c>
      <c r="C525" t="s">
        <v>4753</v>
      </c>
      <c r="D525" t="s">
        <v>90</v>
      </c>
      <c r="E525" t="s">
        <v>63</v>
      </c>
      <c r="F525">
        <v>2004</v>
      </c>
      <c r="G525" t="s">
        <v>63</v>
      </c>
      <c r="H525">
        <v>23</v>
      </c>
      <c r="I525">
        <v>2</v>
      </c>
      <c r="J525">
        <v>1</v>
      </c>
      <c r="K525">
        <v>13</v>
      </c>
      <c r="L525" t="s">
        <v>4754</v>
      </c>
      <c r="M525" t="s">
        <v>4755</v>
      </c>
      <c r="N525" t="s">
        <v>4756</v>
      </c>
      <c r="O525" t="s">
        <v>63</v>
      </c>
      <c r="Q525" t="s">
        <v>63</v>
      </c>
      <c r="R525" t="s">
        <v>63</v>
      </c>
      <c r="S525" t="s">
        <v>63</v>
      </c>
      <c r="T525" t="s">
        <v>63</v>
      </c>
      <c r="X525" t="s">
        <v>63</v>
      </c>
      <c r="Y525" t="s">
        <v>93</v>
      </c>
      <c r="Z525" t="s">
        <v>63</v>
      </c>
      <c r="AA525" t="s">
        <v>4757</v>
      </c>
      <c r="AB525">
        <v>15132339</v>
      </c>
      <c r="AC525" t="s">
        <v>67</v>
      </c>
      <c r="AD525" t="s">
        <v>63</v>
      </c>
      <c r="AE525" t="s">
        <v>63</v>
      </c>
      <c r="AF525" t="s">
        <v>63</v>
      </c>
      <c r="AG525" t="s">
        <v>4758</v>
      </c>
      <c r="AH525" t="s">
        <v>63</v>
      </c>
      <c r="AI525" t="s">
        <v>63</v>
      </c>
      <c r="AJ525" t="s">
        <v>63</v>
      </c>
      <c r="AK525" t="s">
        <v>63</v>
      </c>
      <c r="AL525" t="s">
        <v>63</v>
      </c>
      <c r="AM525" t="s">
        <v>4759</v>
      </c>
      <c r="AN525" t="s">
        <v>63</v>
      </c>
      <c r="AO525" t="s">
        <v>63</v>
      </c>
      <c r="AP525" t="s">
        <v>63</v>
      </c>
      <c r="AQ525" t="s">
        <v>63</v>
      </c>
      <c r="AR525" t="s">
        <v>63</v>
      </c>
      <c r="AS525" t="s">
        <v>63</v>
      </c>
      <c r="AT525" t="s">
        <v>63</v>
      </c>
      <c r="AU525" t="s">
        <v>63</v>
      </c>
      <c r="AV525" t="s">
        <v>63</v>
      </c>
      <c r="AW525" t="s">
        <v>63</v>
      </c>
      <c r="AX525" t="s">
        <v>63</v>
      </c>
      <c r="AY525" t="s">
        <v>63</v>
      </c>
      <c r="AZ525" t="s">
        <v>63</v>
      </c>
      <c r="BA525" t="s">
        <v>63</v>
      </c>
      <c r="BB525" t="s">
        <v>63</v>
      </c>
      <c r="BC525" t="s">
        <v>63</v>
      </c>
      <c r="BD525" t="s">
        <v>63</v>
      </c>
      <c r="BE525" t="s">
        <v>63</v>
      </c>
      <c r="BF525" t="s">
        <v>63</v>
      </c>
    </row>
    <row r="526" spans="1:58">
      <c r="A526" t="s">
        <v>58</v>
      </c>
      <c r="B526" t="s">
        <v>4760</v>
      </c>
      <c r="C526" t="s">
        <v>4761</v>
      </c>
      <c r="D526" t="s">
        <v>1481</v>
      </c>
      <c r="E526" t="s">
        <v>1481</v>
      </c>
      <c r="F526">
        <v>2003</v>
      </c>
      <c r="G526" t="s">
        <v>326</v>
      </c>
      <c r="H526">
        <v>98</v>
      </c>
      <c r="I526">
        <v>2</v>
      </c>
      <c r="J526">
        <v>171</v>
      </c>
      <c r="K526">
        <v>178</v>
      </c>
      <c r="L526" t="s">
        <v>4762</v>
      </c>
      <c r="M526" t="s">
        <v>4763</v>
      </c>
      <c r="N526" t="s">
        <v>4764</v>
      </c>
      <c r="O526" t="s">
        <v>63</v>
      </c>
      <c r="Q526" t="s">
        <v>63</v>
      </c>
      <c r="R526" t="s">
        <v>63</v>
      </c>
      <c r="S526" t="s">
        <v>63</v>
      </c>
      <c r="T526" t="s">
        <v>63</v>
      </c>
      <c r="X526" t="s">
        <v>63</v>
      </c>
      <c r="Y526" t="s">
        <v>2426</v>
      </c>
      <c r="Z526" t="s">
        <v>63</v>
      </c>
      <c r="AA526" t="s">
        <v>4765</v>
      </c>
      <c r="AB526">
        <v>12534421</v>
      </c>
      <c r="AC526" t="s">
        <v>67</v>
      </c>
      <c r="AD526" t="s">
        <v>63</v>
      </c>
      <c r="AE526" t="s">
        <v>63</v>
      </c>
      <c r="AF526" t="s">
        <v>63</v>
      </c>
      <c r="AG526" t="s">
        <v>4766</v>
      </c>
      <c r="AH526" t="s">
        <v>63</v>
      </c>
      <c r="AI526" t="s">
        <v>63</v>
      </c>
      <c r="AJ526" t="s">
        <v>63</v>
      </c>
      <c r="AK526" t="s">
        <v>63</v>
      </c>
      <c r="AL526" t="s">
        <v>63</v>
      </c>
      <c r="AM526" t="s">
        <v>4767</v>
      </c>
      <c r="AN526" t="s">
        <v>63</v>
      </c>
      <c r="AO526" t="s">
        <v>63</v>
      </c>
      <c r="AP526" t="s">
        <v>63</v>
      </c>
      <c r="AQ526" t="s">
        <v>63</v>
      </c>
      <c r="AR526" t="s">
        <v>63</v>
      </c>
      <c r="AS526" t="s">
        <v>63</v>
      </c>
      <c r="AT526" t="s">
        <v>63</v>
      </c>
      <c r="AU526" t="s">
        <v>63</v>
      </c>
      <c r="AV526" t="s">
        <v>63</v>
      </c>
      <c r="AW526" t="s">
        <v>63</v>
      </c>
      <c r="AX526" t="s">
        <v>63</v>
      </c>
      <c r="AY526" t="s">
        <v>63</v>
      </c>
      <c r="AZ526" t="s">
        <v>63</v>
      </c>
      <c r="BA526" t="s">
        <v>63</v>
      </c>
      <c r="BB526" t="s">
        <v>63</v>
      </c>
      <c r="BC526" t="s">
        <v>63</v>
      </c>
      <c r="BD526" t="s">
        <v>63</v>
      </c>
      <c r="BE526" t="s">
        <v>63</v>
      </c>
      <c r="BF526" t="s">
        <v>63</v>
      </c>
    </row>
    <row r="527" spans="1:58">
      <c r="A527" t="s">
        <v>58</v>
      </c>
      <c r="B527" t="s">
        <v>4768</v>
      </c>
      <c r="C527" t="s">
        <v>4769</v>
      </c>
      <c r="D527" t="s">
        <v>1417</v>
      </c>
      <c r="E527" t="s">
        <v>63</v>
      </c>
      <c r="F527">
        <v>2006</v>
      </c>
      <c r="G527" t="s">
        <v>157</v>
      </c>
      <c r="H527">
        <v>103</v>
      </c>
      <c r="I527">
        <v>6</v>
      </c>
      <c r="J527" t="s">
        <v>4770</v>
      </c>
      <c r="K527">
        <v>9</v>
      </c>
      <c r="L527" t="s">
        <v>4771</v>
      </c>
      <c r="M527" t="s">
        <v>63</v>
      </c>
      <c r="N527" t="s">
        <v>4772</v>
      </c>
      <c r="O527" t="s">
        <v>63</v>
      </c>
      <c r="Q527" t="s">
        <v>63</v>
      </c>
      <c r="R527" t="s">
        <v>63</v>
      </c>
      <c r="S527" t="s">
        <v>63</v>
      </c>
      <c r="T527" t="s">
        <v>63</v>
      </c>
      <c r="X527" t="s">
        <v>63</v>
      </c>
      <c r="Y527" t="s">
        <v>1420</v>
      </c>
      <c r="Z527" t="s">
        <v>63</v>
      </c>
      <c r="AA527" t="s">
        <v>63</v>
      </c>
      <c r="AB527">
        <v>17122254</v>
      </c>
      <c r="AC527" t="s">
        <v>67</v>
      </c>
      <c r="AD527" t="s">
        <v>63</v>
      </c>
      <c r="AE527" t="s">
        <v>63</v>
      </c>
      <c r="AF527" t="s">
        <v>63</v>
      </c>
      <c r="AG527" t="s">
        <v>4773</v>
      </c>
      <c r="AH527" t="s">
        <v>63</v>
      </c>
      <c r="AI527" t="s">
        <v>63</v>
      </c>
      <c r="AJ527" t="s">
        <v>63</v>
      </c>
      <c r="AK527" t="s">
        <v>63</v>
      </c>
      <c r="AL527" t="s">
        <v>63</v>
      </c>
      <c r="AM527" t="s">
        <v>4774</v>
      </c>
      <c r="AN527" t="s">
        <v>63</v>
      </c>
      <c r="AO527" t="s">
        <v>63</v>
      </c>
      <c r="AP527" t="s">
        <v>63</v>
      </c>
      <c r="AQ527" t="s">
        <v>63</v>
      </c>
      <c r="AR527" t="s">
        <v>63</v>
      </c>
      <c r="AS527" t="s">
        <v>63</v>
      </c>
      <c r="AT527" t="s">
        <v>63</v>
      </c>
      <c r="AU527" t="s">
        <v>63</v>
      </c>
      <c r="AV527" t="s">
        <v>63</v>
      </c>
      <c r="AW527" t="s">
        <v>63</v>
      </c>
      <c r="AX527" t="s">
        <v>63</v>
      </c>
      <c r="AY527" t="s">
        <v>63</v>
      </c>
      <c r="AZ527" t="s">
        <v>63</v>
      </c>
      <c r="BA527" t="s">
        <v>63</v>
      </c>
      <c r="BB527" t="s">
        <v>63</v>
      </c>
      <c r="BC527" t="s">
        <v>63</v>
      </c>
      <c r="BD527" t="s">
        <v>63</v>
      </c>
      <c r="BE527" t="s">
        <v>63</v>
      </c>
      <c r="BF527" t="s">
        <v>63</v>
      </c>
    </row>
    <row r="528" spans="1:58">
      <c r="A528" t="s">
        <v>58</v>
      </c>
      <c r="B528" t="s">
        <v>4775</v>
      </c>
      <c r="C528" t="s">
        <v>4776</v>
      </c>
      <c r="D528" t="s">
        <v>4777</v>
      </c>
      <c r="E528" t="s">
        <v>63</v>
      </c>
      <c r="F528">
        <v>2015</v>
      </c>
      <c r="G528" t="s">
        <v>1670</v>
      </c>
      <c r="H528">
        <v>43</v>
      </c>
      <c r="I528">
        <v>4</v>
      </c>
      <c r="J528">
        <v>530</v>
      </c>
      <c r="K528" t="s">
        <v>63</v>
      </c>
      <c r="L528" t="s">
        <v>4778</v>
      </c>
      <c r="M528" t="s">
        <v>63</v>
      </c>
      <c r="N528" t="s">
        <v>4779</v>
      </c>
      <c r="O528" t="s">
        <v>63</v>
      </c>
      <c r="Q528" t="s">
        <v>63</v>
      </c>
      <c r="R528" t="s">
        <v>63</v>
      </c>
      <c r="S528" t="s">
        <v>63</v>
      </c>
      <c r="T528" t="s">
        <v>63</v>
      </c>
      <c r="X528" t="s">
        <v>63</v>
      </c>
      <c r="Y528" t="s">
        <v>4780</v>
      </c>
      <c r="Z528" t="s">
        <v>63</v>
      </c>
      <c r="AA528" t="s">
        <v>4781</v>
      </c>
      <c r="AB528">
        <v>26099770</v>
      </c>
      <c r="AC528" t="s">
        <v>67</v>
      </c>
      <c r="AD528" t="s">
        <v>63</v>
      </c>
      <c r="AE528" t="s">
        <v>63</v>
      </c>
      <c r="AF528" t="s">
        <v>63</v>
      </c>
      <c r="AG528" t="s">
        <v>4782</v>
      </c>
      <c r="AH528" t="s">
        <v>63</v>
      </c>
      <c r="AI528" t="s">
        <v>63</v>
      </c>
      <c r="AJ528" t="s">
        <v>63</v>
      </c>
      <c r="AK528" t="s">
        <v>63</v>
      </c>
      <c r="AL528" t="s">
        <v>63</v>
      </c>
      <c r="AM528" t="s">
        <v>4783</v>
      </c>
      <c r="AN528" t="s">
        <v>63</v>
      </c>
      <c r="AO528" t="s">
        <v>63</v>
      </c>
      <c r="AP528" t="s">
        <v>63</v>
      </c>
      <c r="AQ528" t="s">
        <v>63</v>
      </c>
      <c r="AR528" t="s">
        <v>63</v>
      </c>
      <c r="AS528" t="s">
        <v>63</v>
      </c>
      <c r="AT528" t="s">
        <v>63</v>
      </c>
      <c r="AU528" t="s">
        <v>63</v>
      </c>
      <c r="AV528" t="s">
        <v>63</v>
      </c>
      <c r="AW528" t="s">
        <v>63</v>
      </c>
      <c r="AX528" t="s">
        <v>63</v>
      </c>
      <c r="AY528" t="s">
        <v>63</v>
      </c>
      <c r="AZ528" t="s">
        <v>63</v>
      </c>
      <c r="BA528" t="s">
        <v>63</v>
      </c>
      <c r="BB528" t="s">
        <v>63</v>
      </c>
      <c r="BC528" t="s">
        <v>63</v>
      </c>
      <c r="BD528" t="s">
        <v>63</v>
      </c>
      <c r="BE528" t="s">
        <v>63</v>
      </c>
      <c r="BF528" t="s">
        <v>63</v>
      </c>
    </row>
    <row r="529" spans="1:58">
      <c r="A529" t="s">
        <v>58</v>
      </c>
      <c r="B529" t="s">
        <v>4784</v>
      </c>
      <c r="C529" t="s">
        <v>4785</v>
      </c>
      <c r="D529" t="s">
        <v>4786</v>
      </c>
      <c r="E529" t="s">
        <v>63</v>
      </c>
      <c r="F529">
        <v>1993</v>
      </c>
      <c r="G529" t="s">
        <v>1737</v>
      </c>
      <c r="H529">
        <v>12</v>
      </c>
      <c r="I529">
        <v>3</v>
      </c>
      <c r="J529">
        <v>161</v>
      </c>
      <c r="K529">
        <v>165</v>
      </c>
      <c r="L529" t="s">
        <v>4787</v>
      </c>
      <c r="M529" t="s">
        <v>4788</v>
      </c>
      <c r="N529" t="s">
        <v>4789</v>
      </c>
      <c r="O529" t="s">
        <v>63</v>
      </c>
      <c r="Q529" t="s">
        <v>63</v>
      </c>
      <c r="R529" t="s">
        <v>63</v>
      </c>
      <c r="S529" t="s">
        <v>63</v>
      </c>
      <c r="T529" t="s">
        <v>63</v>
      </c>
      <c r="X529" t="s">
        <v>63</v>
      </c>
      <c r="Y529" t="s">
        <v>4790</v>
      </c>
      <c r="Z529" t="s">
        <v>63</v>
      </c>
      <c r="AA529" t="s">
        <v>4791</v>
      </c>
      <c r="AB529">
        <v>8189370</v>
      </c>
      <c r="AC529" t="s">
        <v>67</v>
      </c>
      <c r="AD529" t="s">
        <v>63</v>
      </c>
      <c r="AE529" t="s">
        <v>63</v>
      </c>
      <c r="AF529" t="s">
        <v>63</v>
      </c>
      <c r="AG529" t="s">
        <v>4792</v>
      </c>
      <c r="AH529" t="s">
        <v>63</v>
      </c>
      <c r="AI529" t="s">
        <v>63</v>
      </c>
      <c r="AJ529" t="s">
        <v>63</v>
      </c>
      <c r="AK529" t="s">
        <v>63</v>
      </c>
      <c r="AL529" t="s">
        <v>63</v>
      </c>
      <c r="AM529" t="s">
        <v>4793</v>
      </c>
      <c r="AN529" t="s">
        <v>63</v>
      </c>
      <c r="AO529" t="s">
        <v>63</v>
      </c>
      <c r="AP529" t="s">
        <v>63</v>
      </c>
      <c r="AQ529" t="s">
        <v>63</v>
      </c>
      <c r="AR529" t="s">
        <v>63</v>
      </c>
      <c r="AS529" t="s">
        <v>63</v>
      </c>
      <c r="AT529" t="s">
        <v>63</v>
      </c>
      <c r="AU529" t="s">
        <v>63</v>
      </c>
      <c r="AV529" t="s">
        <v>63</v>
      </c>
      <c r="AW529" t="s">
        <v>63</v>
      </c>
      <c r="AX529" t="s">
        <v>63</v>
      </c>
      <c r="AY529" t="s">
        <v>63</v>
      </c>
      <c r="AZ529" t="s">
        <v>63</v>
      </c>
      <c r="BA529" t="s">
        <v>63</v>
      </c>
      <c r="BB529" t="s">
        <v>63</v>
      </c>
      <c r="BC529" t="s">
        <v>63</v>
      </c>
      <c r="BD529" t="s">
        <v>63</v>
      </c>
      <c r="BE529" t="s">
        <v>63</v>
      </c>
      <c r="BF529" t="s">
        <v>63</v>
      </c>
    </row>
    <row r="530" spans="1:58">
      <c r="A530" t="s">
        <v>58</v>
      </c>
      <c r="B530" t="s">
        <v>4794</v>
      </c>
      <c r="C530" t="s">
        <v>4795</v>
      </c>
      <c r="D530" t="s">
        <v>640</v>
      </c>
      <c r="E530" t="s">
        <v>63</v>
      </c>
      <c r="F530">
        <v>2003</v>
      </c>
      <c r="G530" t="s">
        <v>157</v>
      </c>
      <c r="H530">
        <v>22</v>
      </c>
      <c r="I530">
        <v>4</v>
      </c>
      <c r="J530">
        <v>417</v>
      </c>
      <c r="K530">
        <v>424</v>
      </c>
      <c r="L530" t="s">
        <v>4796</v>
      </c>
      <c r="M530" t="s">
        <v>4797</v>
      </c>
      <c r="N530" t="s">
        <v>4798</v>
      </c>
      <c r="O530" t="s">
        <v>63</v>
      </c>
      <c r="Q530" t="s">
        <v>63</v>
      </c>
      <c r="R530" t="s">
        <v>63</v>
      </c>
      <c r="S530" t="s">
        <v>63</v>
      </c>
      <c r="T530" t="s">
        <v>63</v>
      </c>
      <c r="X530" t="s">
        <v>63</v>
      </c>
      <c r="Y530" t="s">
        <v>644</v>
      </c>
      <c r="Z530" t="s">
        <v>63</v>
      </c>
      <c r="AA530" t="s">
        <v>4799</v>
      </c>
      <c r="AB530">
        <v>14660131</v>
      </c>
      <c r="AC530" t="s">
        <v>67</v>
      </c>
      <c r="AD530" t="s">
        <v>63</v>
      </c>
      <c r="AE530" t="s">
        <v>63</v>
      </c>
      <c r="AF530" t="s">
        <v>63</v>
      </c>
      <c r="AG530" t="s">
        <v>4800</v>
      </c>
      <c r="AH530" t="s">
        <v>63</v>
      </c>
      <c r="AI530" t="s">
        <v>63</v>
      </c>
      <c r="AJ530" t="s">
        <v>63</v>
      </c>
      <c r="AK530" t="s">
        <v>63</v>
      </c>
      <c r="AL530" t="s">
        <v>63</v>
      </c>
      <c r="AM530" t="s">
        <v>4801</v>
      </c>
      <c r="AN530" t="s">
        <v>63</v>
      </c>
      <c r="AO530" t="s">
        <v>63</v>
      </c>
      <c r="AP530" t="s">
        <v>63</v>
      </c>
      <c r="AQ530" t="s">
        <v>63</v>
      </c>
      <c r="AR530" t="s">
        <v>63</v>
      </c>
      <c r="AS530" t="s">
        <v>63</v>
      </c>
      <c r="AT530" t="s">
        <v>63</v>
      </c>
      <c r="AU530" t="s">
        <v>63</v>
      </c>
      <c r="AV530" t="s">
        <v>63</v>
      </c>
      <c r="AW530" t="s">
        <v>63</v>
      </c>
      <c r="AX530" t="s">
        <v>63</v>
      </c>
      <c r="AY530" t="s">
        <v>63</v>
      </c>
      <c r="AZ530" t="s">
        <v>63</v>
      </c>
      <c r="BA530" t="s">
        <v>63</v>
      </c>
      <c r="BB530" t="s">
        <v>63</v>
      </c>
      <c r="BC530" t="s">
        <v>63</v>
      </c>
      <c r="BD530" t="s">
        <v>63</v>
      </c>
      <c r="BE530" t="s">
        <v>63</v>
      </c>
      <c r="BF530" t="s">
        <v>63</v>
      </c>
    </row>
    <row r="531" spans="1:58">
      <c r="A531" t="s">
        <v>58</v>
      </c>
      <c r="B531" t="s">
        <v>4802</v>
      </c>
      <c r="C531" t="s">
        <v>4803</v>
      </c>
      <c r="D531" t="s">
        <v>4804</v>
      </c>
      <c r="E531" t="s">
        <v>63</v>
      </c>
      <c r="F531">
        <v>2015</v>
      </c>
      <c r="G531" t="s">
        <v>63</v>
      </c>
      <c r="H531">
        <v>62</v>
      </c>
      <c r="I531">
        <v>7</v>
      </c>
      <c r="J531">
        <v>347</v>
      </c>
      <c r="K531">
        <v>356</v>
      </c>
      <c r="L531" t="s">
        <v>4805</v>
      </c>
      <c r="M531" t="s">
        <v>4806</v>
      </c>
      <c r="N531" t="s">
        <v>4807</v>
      </c>
      <c r="O531" t="s">
        <v>63</v>
      </c>
      <c r="Q531" t="s">
        <v>63</v>
      </c>
      <c r="R531" t="s">
        <v>63</v>
      </c>
      <c r="S531" t="s">
        <v>63</v>
      </c>
      <c r="T531" t="s">
        <v>63</v>
      </c>
      <c r="X531" t="s">
        <v>63</v>
      </c>
      <c r="Y531" t="s">
        <v>4808</v>
      </c>
      <c r="Z531" t="s">
        <v>63</v>
      </c>
      <c r="AA531" t="s">
        <v>4809</v>
      </c>
      <c r="AB531">
        <v>26310955</v>
      </c>
      <c r="AC531" t="s">
        <v>4810</v>
      </c>
      <c r="AD531" t="s">
        <v>63</v>
      </c>
      <c r="AE531" t="s">
        <v>63</v>
      </c>
      <c r="AF531" t="s">
        <v>63</v>
      </c>
      <c r="AG531" t="s">
        <v>4811</v>
      </c>
      <c r="AH531" t="s">
        <v>63</v>
      </c>
      <c r="AI531" t="s">
        <v>4812</v>
      </c>
      <c r="AJ531" t="s">
        <v>63</v>
      </c>
      <c r="AK531" t="s">
        <v>63</v>
      </c>
      <c r="AL531" t="s">
        <v>63</v>
      </c>
      <c r="AM531" t="s">
        <v>4813</v>
      </c>
      <c r="AN531" t="s">
        <v>63</v>
      </c>
      <c r="AO531" t="s">
        <v>63</v>
      </c>
      <c r="AP531" t="s">
        <v>63</v>
      </c>
      <c r="AQ531" t="s">
        <v>63</v>
      </c>
      <c r="AR531" t="s">
        <v>63</v>
      </c>
      <c r="AS531" t="s">
        <v>63</v>
      </c>
      <c r="AT531" t="s">
        <v>63</v>
      </c>
      <c r="AU531" t="s">
        <v>63</v>
      </c>
      <c r="AV531" t="s">
        <v>63</v>
      </c>
      <c r="AW531" t="s">
        <v>63</v>
      </c>
      <c r="AX531" t="s">
        <v>63</v>
      </c>
      <c r="AY531" t="s">
        <v>63</v>
      </c>
      <c r="AZ531" t="s">
        <v>63</v>
      </c>
      <c r="BA531" t="s">
        <v>63</v>
      </c>
      <c r="BB531" t="s">
        <v>63</v>
      </c>
      <c r="BC531" t="s">
        <v>63</v>
      </c>
      <c r="BD531" t="s">
        <v>63</v>
      </c>
      <c r="BE531" t="s">
        <v>63</v>
      </c>
      <c r="BF531" t="s">
        <v>63</v>
      </c>
    </row>
    <row r="532" spans="1:58">
      <c r="A532" t="s">
        <v>58</v>
      </c>
      <c r="B532" t="s">
        <v>4814</v>
      </c>
      <c r="C532" t="s">
        <v>4815</v>
      </c>
      <c r="D532" t="s">
        <v>4816</v>
      </c>
      <c r="E532" t="s">
        <v>4817</v>
      </c>
      <c r="F532">
        <v>1990</v>
      </c>
      <c r="G532" t="s">
        <v>1737</v>
      </c>
      <c r="H532">
        <v>31</v>
      </c>
      <c r="I532">
        <v>3</v>
      </c>
      <c r="J532">
        <v>145</v>
      </c>
      <c r="K532">
        <v>149</v>
      </c>
      <c r="L532" t="s">
        <v>4818</v>
      </c>
      <c r="M532" t="s">
        <v>4819</v>
      </c>
      <c r="N532" t="s">
        <v>4820</v>
      </c>
      <c r="O532" t="s">
        <v>63</v>
      </c>
      <c r="Q532" t="s">
        <v>63</v>
      </c>
      <c r="R532" t="s">
        <v>63</v>
      </c>
      <c r="S532" t="s">
        <v>63</v>
      </c>
      <c r="T532" t="s">
        <v>63</v>
      </c>
      <c r="X532" t="s">
        <v>63</v>
      </c>
      <c r="Y532" t="s">
        <v>4821</v>
      </c>
      <c r="Z532" t="s">
        <v>63</v>
      </c>
      <c r="AA532" t="s">
        <v>4822</v>
      </c>
      <c r="AB532">
        <v>2283947</v>
      </c>
      <c r="AC532" t="s">
        <v>4823</v>
      </c>
      <c r="AD532" t="s">
        <v>63</v>
      </c>
      <c r="AE532" t="s">
        <v>63</v>
      </c>
      <c r="AF532" t="s">
        <v>63</v>
      </c>
      <c r="AG532" t="s">
        <v>4824</v>
      </c>
      <c r="AH532" t="s">
        <v>63</v>
      </c>
      <c r="AI532" t="s">
        <v>63</v>
      </c>
      <c r="AJ532" t="s">
        <v>63</v>
      </c>
      <c r="AK532" t="s">
        <v>63</v>
      </c>
      <c r="AL532" t="s">
        <v>63</v>
      </c>
      <c r="AM532" t="s">
        <v>4825</v>
      </c>
      <c r="AN532" t="s">
        <v>63</v>
      </c>
      <c r="AO532" t="s">
        <v>63</v>
      </c>
      <c r="AP532" t="s">
        <v>63</v>
      </c>
      <c r="AQ532" t="s">
        <v>63</v>
      </c>
      <c r="AR532" t="s">
        <v>63</v>
      </c>
      <c r="AS532" t="s">
        <v>63</v>
      </c>
      <c r="AT532" t="s">
        <v>63</v>
      </c>
      <c r="AU532" t="s">
        <v>63</v>
      </c>
      <c r="AV532" t="s">
        <v>63</v>
      </c>
      <c r="AW532" t="s">
        <v>63</v>
      </c>
      <c r="AX532" t="s">
        <v>63</v>
      </c>
      <c r="AY532" t="s">
        <v>63</v>
      </c>
      <c r="AZ532" t="s">
        <v>63</v>
      </c>
      <c r="BA532" t="s">
        <v>63</v>
      </c>
      <c r="BB532" t="s">
        <v>63</v>
      </c>
      <c r="BC532" t="s">
        <v>63</v>
      </c>
      <c r="BD532" t="s">
        <v>63</v>
      </c>
      <c r="BE532" t="s">
        <v>63</v>
      </c>
      <c r="BF532" t="s">
        <v>63</v>
      </c>
    </row>
    <row r="533" spans="1:58">
      <c r="A533" t="s">
        <v>58</v>
      </c>
      <c r="B533" t="s">
        <v>4826</v>
      </c>
      <c r="C533" t="s">
        <v>4827</v>
      </c>
      <c r="D533" t="s">
        <v>3122</v>
      </c>
      <c r="E533" t="s">
        <v>63</v>
      </c>
      <c r="F533">
        <v>1985</v>
      </c>
      <c r="G533" t="s">
        <v>84</v>
      </c>
      <c r="H533">
        <v>40</v>
      </c>
      <c r="I533">
        <v>2</v>
      </c>
      <c r="J533">
        <v>133</v>
      </c>
      <c r="K533">
        <v>166</v>
      </c>
      <c r="L533" t="s">
        <v>4828</v>
      </c>
      <c r="M533" t="s">
        <v>63</v>
      </c>
      <c r="N533" t="s">
        <v>4829</v>
      </c>
      <c r="O533" t="s">
        <v>63</v>
      </c>
      <c r="Q533" t="s">
        <v>63</v>
      </c>
      <c r="R533" t="s">
        <v>63</v>
      </c>
      <c r="S533" t="s">
        <v>63</v>
      </c>
      <c r="T533" t="s">
        <v>63</v>
      </c>
      <c r="X533" t="s">
        <v>63</v>
      </c>
      <c r="Y533" t="s">
        <v>3126</v>
      </c>
      <c r="Z533" t="s">
        <v>63</v>
      </c>
      <c r="AA533" t="s">
        <v>63</v>
      </c>
      <c r="AB533">
        <v>3891838</v>
      </c>
      <c r="AC533" t="s">
        <v>67</v>
      </c>
      <c r="AD533" t="s">
        <v>63</v>
      </c>
      <c r="AE533" t="s">
        <v>63</v>
      </c>
      <c r="AF533" t="s">
        <v>63</v>
      </c>
      <c r="AG533" t="s">
        <v>4830</v>
      </c>
      <c r="AH533" t="s">
        <v>63</v>
      </c>
      <c r="AI533" t="s">
        <v>63</v>
      </c>
      <c r="AJ533" t="s">
        <v>63</v>
      </c>
      <c r="AK533" t="s">
        <v>63</v>
      </c>
      <c r="AL533" t="s">
        <v>63</v>
      </c>
      <c r="AM533" t="s">
        <v>4831</v>
      </c>
      <c r="AN533" t="s">
        <v>63</v>
      </c>
      <c r="AO533" t="s">
        <v>63</v>
      </c>
      <c r="AP533" t="s">
        <v>63</v>
      </c>
      <c r="AQ533" t="s">
        <v>63</v>
      </c>
      <c r="AR533" t="s">
        <v>63</v>
      </c>
      <c r="AS533" t="s">
        <v>63</v>
      </c>
      <c r="AT533" t="s">
        <v>63</v>
      </c>
      <c r="AU533" t="s">
        <v>63</v>
      </c>
      <c r="AV533" t="s">
        <v>63</v>
      </c>
      <c r="AW533" t="s">
        <v>63</v>
      </c>
      <c r="AX533" t="s">
        <v>63</v>
      </c>
      <c r="AY533" t="s">
        <v>63</v>
      </c>
      <c r="AZ533" t="s">
        <v>63</v>
      </c>
      <c r="BA533" t="s">
        <v>63</v>
      </c>
      <c r="BB533" t="s">
        <v>63</v>
      </c>
      <c r="BC533" t="s">
        <v>63</v>
      </c>
      <c r="BD533" t="s">
        <v>63</v>
      </c>
      <c r="BE533" t="s">
        <v>63</v>
      </c>
      <c r="BF533" t="s">
        <v>63</v>
      </c>
    </row>
    <row r="534" spans="1:58">
      <c r="A534" t="s">
        <v>58</v>
      </c>
      <c r="B534" t="s">
        <v>4832</v>
      </c>
      <c r="C534" t="s">
        <v>4833</v>
      </c>
      <c r="D534" t="s">
        <v>4834</v>
      </c>
      <c r="E534" t="s">
        <v>4835</v>
      </c>
      <c r="F534">
        <v>1993</v>
      </c>
      <c r="G534" t="s">
        <v>157</v>
      </c>
      <c r="H534">
        <v>10</v>
      </c>
      <c r="I534">
        <v>4</v>
      </c>
      <c r="J534">
        <v>400</v>
      </c>
      <c r="K534">
        <v>405</v>
      </c>
      <c r="L534" t="s">
        <v>4836</v>
      </c>
      <c r="M534" t="s">
        <v>4837</v>
      </c>
      <c r="N534" t="s">
        <v>4838</v>
      </c>
      <c r="O534" t="s">
        <v>63</v>
      </c>
      <c r="Q534" t="s">
        <v>63</v>
      </c>
      <c r="R534" t="s">
        <v>63</v>
      </c>
      <c r="S534" t="s">
        <v>63</v>
      </c>
      <c r="T534" t="s">
        <v>63</v>
      </c>
      <c r="X534" t="s">
        <v>63</v>
      </c>
      <c r="Y534" t="s">
        <v>4839</v>
      </c>
      <c r="Z534" t="s">
        <v>63</v>
      </c>
      <c r="AA534" t="s">
        <v>4840</v>
      </c>
      <c r="AB534">
        <v>8168676</v>
      </c>
      <c r="AC534" t="s">
        <v>67</v>
      </c>
      <c r="AD534" t="s">
        <v>63</v>
      </c>
      <c r="AE534" t="s">
        <v>63</v>
      </c>
      <c r="AF534" t="s">
        <v>63</v>
      </c>
      <c r="AG534" t="s">
        <v>4841</v>
      </c>
      <c r="AH534" t="s">
        <v>63</v>
      </c>
      <c r="AI534" t="s">
        <v>63</v>
      </c>
      <c r="AJ534" t="s">
        <v>63</v>
      </c>
      <c r="AK534" t="s">
        <v>63</v>
      </c>
      <c r="AL534" t="s">
        <v>63</v>
      </c>
      <c r="AM534" t="s">
        <v>4842</v>
      </c>
      <c r="AN534" t="s">
        <v>63</v>
      </c>
      <c r="AO534" t="s">
        <v>63</v>
      </c>
      <c r="AP534" t="s">
        <v>63</v>
      </c>
      <c r="AQ534" t="s">
        <v>63</v>
      </c>
      <c r="AR534" t="s">
        <v>63</v>
      </c>
      <c r="AS534" t="s">
        <v>63</v>
      </c>
      <c r="AT534" t="s">
        <v>63</v>
      </c>
      <c r="AU534" t="s">
        <v>63</v>
      </c>
      <c r="AV534" t="s">
        <v>63</v>
      </c>
      <c r="AW534" t="s">
        <v>63</v>
      </c>
      <c r="AX534" t="s">
        <v>63</v>
      </c>
      <c r="AY534" t="s">
        <v>63</v>
      </c>
      <c r="AZ534" t="s">
        <v>63</v>
      </c>
      <c r="BA534" t="s">
        <v>63</v>
      </c>
      <c r="BB534" t="s">
        <v>63</v>
      </c>
      <c r="BC534" t="s">
        <v>63</v>
      </c>
      <c r="BD534" t="s">
        <v>63</v>
      </c>
      <c r="BE534" t="s">
        <v>63</v>
      </c>
      <c r="BF534" t="s">
        <v>63</v>
      </c>
    </row>
    <row r="535" spans="1:58">
      <c r="A535" t="s">
        <v>58</v>
      </c>
      <c r="B535" t="s">
        <v>4843</v>
      </c>
      <c r="C535" t="s">
        <v>4844</v>
      </c>
      <c r="D535" t="s">
        <v>164</v>
      </c>
      <c r="E535" t="s">
        <v>165</v>
      </c>
      <c r="F535">
        <v>1989</v>
      </c>
      <c r="G535" t="s">
        <v>198</v>
      </c>
      <c r="H535">
        <v>146</v>
      </c>
      <c r="I535">
        <v>1</v>
      </c>
      <c r="J535">
        <v>8</v>
      </c>
      <c r="K535">
        <v>9</v>
      </c>
      <c r="L535" t="s">
        <v>4845</v>
      </c>
      <c r="M535" t="s">
        <v>63</v>
      </c>
      <c r="N535" t="s">
        <v>4846</v>
      </c>
      <c r="O535" t="s">
        <v>63</v>
      </c>
      <c r="Q535" t="s">
        <v>63</v>
      </c>
      <c r="R535" t="s">
        <v>63</v>
      </c>
      <c r="S535" t="s">
        <v>63</v>
      </c>
      <c r="T535" t="s">
        <v>63</v>
      </c>
      <c r="X535" t="s">
        <v>63</v>
      </c>
      <c r="Y535" t="s">
        <v>169</v>
      </c>
      <c r="Z535" t="s">
        <v>63</v>
      </c>
      <c r="AA535" t="s">
        <v>63</v>
      </c>
      <c r="AB535">
        <v>2912253</v>
      </c>
      <c r="AC535" t="s">
        <v>67</v>
      </c>
      <c r="AD535" t="s">
        <v>63</v>
      </c>
      <c r="AE535" t="s">
        <v>63</v>
      </c>
      <c r="AF535" t="s">
        <v>63</v>
      </c>
      <c r="AG535" t="s">
        <v>4847</v>
      </c>
      <c r="AH535" t="s">
        <v>63</v>
      </c>
      <c r="AI535" t="s">
        <v>63</v>
      </c>
      <c r="AJ535" t="s">
        <v>63</v>
      </c>
      <c r="AK535" t="s">
        <v>63</v>
      </c>
      <c r="AL535" t="s">
        <v>63</v>
      </c>
      <c r="AM535" t="s">
        <v>4848</v>
      </c>
      <c r="AN535" t="s">
        <v>63</v>
      </c>
      <c r="AO535" t="s">
        <v>63</v>
      </c>
      <c r="AP535" t="s">
        <v>63</v>
      </c>
      <c r="AQ535" t="s">
        <v>63</v>
      </c>
      <c r="AR535" t="s">
        <v>63</v>
      </c>
      <c r="AS535" t="s">
        <v>63</v>
      </c>
      <c r="AT535" t="s">
        <v>63</v>
      </c>
      <c r="AU535" t="s">
        <v>63</v>
      </c>
      <c r="AV535" t="s">
        <v>63</v>
      </c>
      <c r="AW535" t="s">
        <v>63</v>
      </c>
      <c r="AX535" t="s">
        <v>63</v>
      </c>
      <c r="AY535" t="s">
        <v>63</v>
      </c>
      <c r="AZ535" t="s">
        <v>63</v>
      </c>
      <c r="BA535" t="s">
        <v>63</v>
      </c>
      <c r="BB535" t="s">
        <v>63</v>
      </c>
      <c r="BC535" t="s">
        <v>63</v>
      </c>
      <c r="BD535" t="s">
        <v>63</v>
      </c>
      <c r="BE535" t="s">
        <v>63</v>
      </c>
      <c r="BF535" t="s">
        <v>63</v>
      </c>
    </row>
    <row r="536" spans="1:58">
      <c r="A536" t="s">
        <v>58</v>
      </c>
      <c r="B536" t="s">
        <v>4843</v>
      </c>
      <c r="C536" t="s">
        <v>4849</v>
      </c>
      <c r="D536" t="s">
        <v>4850</v>
      </c>
      <c r="E536" t="s">
        <v>63</v>
      </c>
      <c r="F536">
        <v>1985</v>
      </c>
      <c r="G536" t="s">
        <v>1085</v>
      </c>
      <c r="H536">
        <v>9</v>
      </c>
      <c r="I536">
        <v>5</v>
      </c>
      <c r="J536">
        <v>387</v>
      </c>
      <c r="K536">
        <v>389</v>
      </c>
      <c r="L536" t="s">
        <v>4851</v>
      </c>
      <c r="M536" t="s">
        <v>63</v>
      </c>
      <c r="N536" t="s">
        <v>4852</v>
      </c>
      <c r="O536" t="s">
        <v>63</v>
      </c>
      <c r="Q536" t="s">
        <v>63</v>
      </c>
      <c r="R536" t="s">
        <v>63</v>
      </c>
      <c r="S536" t="s">
        <v>63</v>
      </c>
      <c r="T536" t="s">
        <v>63</v>
      </c>
      <c r="X536" t="s">
        <v>63</v>
      </c>
      <c r="Y536" t="s">
        <v>4853</v>
      </c>
      <c r="Z536" t="s">
        <v>63</v>
      </c>
      <c r="AA536" t="s">
        <v>63</v>
      </c>
      <c r="AB536">
        <v>3904501</v>
      </c>
      <c r="AC536" t="s">
        <v>67</v>
      </c>
      <c r="AD536" t="s">
        <v>63</v>
      </c>
      <c r="AE536" t="s">
        <v>63</v>
      </c>
      <c r="AF536" t="s">
        <v>63</v>
      </c>
      <c r="AG536" t="s">
        <v>4854</v>
      </c>
      <c r="AH536" t="s">
        <v>63</v>
      </c>
      <c r="AI536" t="s">
        <v>63</v>
      </c>
      <c r="AJ536" t="s">
        <v>63</v>
      </c>
      <c r="AK536" t="s">
        <v>63</v>
      </c>
      <c r="AL536" t="s">
        <v>63</v>
      </c>
      <c r="AM536" t="s">
        <v>4855</v>
      </c>
      <c r="AN536" t="s">
        <v>63</v>
      </c>
      <c r="AO536" t="s">
        <v>63</v>
      </c>
      <c r="AP536" t="s">
        <v>63</v>
      </c>
      <c r="AQ536" t="s">
        <v>63</v>
      </c>
      <c r="AR536" t="s">
        <v>63</v>
      </c>
      <c r="AS536" t="s">
        <v>63</v>
      </c>
      <c r="AT536" t="s">
        <v>63</v>
      </c>
      <c r="AU536" t="s">
        <v>63</v>
      </c>
      <c r="AV536" t="s">
        <v>63</v>
      </c>
      <c r="AW536" t="s">
        <v>63</v>
      </c>
      <c r="AX536" t="s">
        <v>63</v>
      </c>
      <c r="AY536" t="s">
        <v>63</v>
      </c>
      <c r="AZ536" t="s">
        <v>63</v>
      </c>
      <c r="BA536" t="s">
        <v>63</v>
      </c>
      <c r="BB536" t="s">
        <v>63</v>
      </c>
      <c r="BC536" t="s">
        <v>63</v>
      </c>
      <c r="BD536" t="s">
        <v>63</v>
      </c>
      <c r="BE536" t="s">
        <v>63</v>
      </c>
      <c r="BF536" t="s">
        <v>63</v>
      </c>
    </row>
    <row r="537" spans="1:58">
      <c r="A537" t="s">
        <v>58</v>
      </c>
      <c r="B537" t="s">
        <v>4856</v>
      </c>
      <c r="C537" t="s">
        <v>4857</v>
      </c>
      <c r="D537" t="s">
        <v>4850</v>
      </c>
      <c r="E537" t="s">
        <v>63</v>
      </c>
      <c r="F537">
        <v>1989</v>
      </c>
      <c r="G537" t="s">
        <v>326</v>
      </c>
      <c r="H537">
        <v>13</v>
      </c>
      <c r="I537">
        <v>1</v>
      </c>
      <c r="J537">
        <v>1</v>
      </c>
      <c r="K537">
        <v>2</v>
      </c>
      <c r="L537" t="s">
        <v>4858</v>
      </c>
      <c r="M537" t="s">
        <v>63</v>
      </c>
      <c r="N537" t="s">
        <v>4859</v>
      </c>
      <c r="O537" t="s">
        <v>63</v>
      </c>
      <c r="Q537" t="s">
        <v>63</v>
      </c>
      <c r="R537" t="s">
        <v>63</v>
      </c>
      <c r="S537" t="s">
        <v>63</v>
      </c>
      <c r="T537" t="s">
        <v>63</v>
      </c>
      <c r="X537" t="s">
        <v>63</v>
      </c>
      <c r="Y537" t="s">
        <v>4853</v>
      </c>
      <c r="Z537" t="s">
        <v>63</v>
      </c>
      <c r="AA537" t="s">
        <v>63</v>
      </c>
      <c r="AB537">
        <v>2646961</v>
      </c>
      <c r="AC537" t="s">
        <v>67</v>
      </c>
      <c r="AD537" t="s">
        <v>63</v>
      </c>
      <c r="AE537" t="s">
        <v>63</v>
      </c>
      <c r="AF537" t="s">
        <v>63</v>
      </c>
      <c r="AG537" t="s">
        <v>4860</v>
      </c>
      <c r="AH537" t="s">
        <v>63</v>
      </c>
      <c r="AI537" t="s">
        <v>63</v>
      </c>
      <c r="AJ537" t="s">
        <v>63</v>
      </c>
      <c r="AK537" t="s">
        <v>63</v>
      </c>
      <c r="AL537" t="s">
        <v>63</v>
      </c>
      <c r="AM537" t="s">
        <v>4861</v>
      </c>
      <c r="AN537" t="s">
        <v>63</v>
      </c>
      <c r="AO537" t="s">
        <v>63</v>
      </c>
      <c r="AP537" t="s">
        <v>63</v>
      </c>
      <c r="AQ537" t="s">
        <v>63</v>
      </c>
      <c r="AR537" t="s">
        <v>63</v>
      </c>
      <c r="AS537" t="s">
        <v>63</v>
      </c>
      <c r="AT537" t="s">
        <v>63</v>
      </c>
      <c r="AU537" t="s">
        <v>63</v>
      </c>
      <c r="AV537" t="s">
        <v>63</v>
      </c>
      <c r="AW537" t="s">
        <v>63</v>
      </c>
      <c r="AX537" t="s">
        <v>63</v>
      </c>
      <c r="AY537" t="s">
        <v>63</v>
      </c>
      <c r="AZ537" t="s">
        <v>63</v>
      </c>
      <c r="BA537" t="s">
        <v>63</v>
      </c>
      <c r="BB537" t="s">
        <v>63</v>
      </c>
      <c r="BC537" t="s">
        <v>63</v>
      </c>
      <c r="BD537" t="s">
        <v>63</v>
      </c>
      <c r="BE537" t="s">
        <v>63</v>
      </c>
      <c r="BF537" t="s">
        <v>63</v>
      </c>
    </row>
    <row r="538" spans="1:58">
      <c r="A538" t="s">
        <v>58</v>
      </c>
      <c r="B538" t="s">
        <v>4862</v>
      </c>
      <c r="C538" t="s">
        <v>4863</v>
      </c>
      <c r="D538" t="s">
        <v>2353</v>
      </c>
      <c r="E538" t="s">
        <v>2354</v>
      </c>
      <c r="F538">
        <v>2007</v>
      </c>
      <c r="G538" t="s">
        <v>138</v>
      </c>
      <c r="H538">
        <v>33</v>
      </c>
      <c r="I538">
        <v>3</v>
      </c>
      <c r="J538">
        <v>257</v>
      </c>
      <c r="K538">
        <v>264</v>
      </c>
      <c r="L538" t="s">
        <v>4864</v>
      </c>
      <c r="M538" t="s">
        <v>4865</v>
      </c>
      <c r="N538" t="s">
        <v>4866</v>
      </c>
      <c r="O538" t="s">
        <v>63</v>
      </c>
      <c r="Q538" t="s">
        <v>63</v>
      </c>
      <c r="R538" t="s">
        <v>63</v>
      </c>
      <c r="S538" t="s">
        <v>63</v>
      </c>
      <c r="T538" t="s">
        <v>63</v>
      </c>
      <c r="X538" t="s">
        <v>63</v>
      </c>
      <c r="Y538" t="s">
        <v>2358</v>
      </c>
      <c r="Z538" t="s">
        <v>63</v>
      </c>
      <c r="AA538" t="s">
        <v>4867</v>
      </c>
      <c r="AB538">
        <v>17574800</v>
      </c>
      <c r="AC538" t="s">
        <v>67</v>
      </c>
      <c r="AD538" t="s">
        <v>63</v>
      </c>
      <c r="AE538" t="s">
        <v>63</v>
      </c>
      <c r="AF538" t="s">
        <v>63</v>
      </c>
      <c r="AG538" t="s">
        <v>4868</v>
      </c>
      <c r="AH538" t="s">
        <v>63</v>
      </c>
      <c r="AI538" t="s">
        <v>63</v>
      </c>
      <c r="AJ538" t="s">
        <v>63</v>
      </c>
      <c r="AK538" t="s">
        <v>63</v>
      </c>
      <c r="AL538" t="s">
        <v>63</v>
      </c>
      <c r="AM538" t="s">
        <v>4869</v>
      </c>
      <c r="AN538" t="s">
        <v>63</v>
      </c>
      <c r="AO538" t="s">
        <v>63</v>
      </c>
      <c r="AP538" t="s">
        <v>63</v>
      </c>
      <c r="AQ538" t="s">
        <v>63</v>
      </c>
      <c r="AR538" t="s">
        <v>63</v>
      </c>
      <c r="AS538" t="s">
        <v>63</v>
      </c>
      <c r="AT538" t="s">
        <v>63</v>
      </c>
      <c r="AU538" t="s">
        <v>63</v>
      </c>
      <c r="AV538" t="s">
        <v>63</v>
      </c>
      <c r="AW538" t="s">
        <v>63</v>
      </c>
      <c r="AX538" t="s">
        <v>63</v>
      </c>
      <c r="AY538" t="s">
        <v>63</v>
      </c>
      <c r="AZ538" t="s">
        <v>63</v>
      </c>
      <c r="BA538" t="s">
        <v>63</v>
      </c>
      <c r="BB538" t="s">
        <v>63</v>
      </c>
      <c r="BC538" t="s">
        <v>63</v>
      </c>
      <c r="BD538" t="s">
        <v>63</v>
      </c>
      <c r="BE538" t="s">
        <v>63</v>
      </c>
      <c r="BF538" t="s">
        <v>63</v>
      </c>
    </row>
    <row r="539" spans="1:58">
      <c r="A539" t="s">
        <v>58</v>
      </c>
      <c r="B539" t="s">
        <v>4870</v>
      </c>
      <c r="C539" t="s">
        <v>4871</v>
      </c>
      <c r="D539" t="s">
        <v>938</v>
      </c>
      <c r="E539" t="s">
        <v>63</v>
      </c>
      <c r="F539">
        <v>2002</v>
      </c>
      <c r="G539" t="s">
        <v>63</v>
      </c>
      <c r="H539">
        <v>11</v>
      </c>
      <c r="I539">
        <v>3</v>
      </c>
      <c r="J539">
        <v>192</v>
      </c>
      <c r="K539">
        <v>199</v>
      </c>
      <c r="L539" t="s">
        <v>4872</v>
      </c>
      <c r="M539" t="s">
        <v>4873</v>
      </c>
      <c r="N539" t="s">
        <v>4874</v>
      </c>
      <c r="O539" t="s">
        <v>63</v>
      </c>
      <c r="Q539" t="s">
        <v>63</v>
      </c>
      <c r="R539" t="s">
        <v>63</v>
      </c>
      <c r="S539" t="s">
        <v>63</v>
      </c>
      <c r="T539" t="s">
        <v>63</v>
      </c>
      <c r="X539" t="s">
        <v>63</v>
      </c>
      <c r="Y539" t="s">
        <v>2500</v>
      </c>
      <c r="Z539" t="s">
        <v>63</v>
      </c>
      <c r="AA539" t="s">
        <v>4875</v>
      </c>
      <c r="AB539">
        <v>12202011</v>
      </c>
      <c r="AC539" t="s">
        <v>67</v>
      </c>
      <c r="AD539" t="s">
        <v>63</v>
      </c>
      <c r="AE539" t="s">
        <v>63</v>
      </c>
      <c r="AF539" t="s">
        <v>63</v>
      </c>
      <c r="AG539" t="s">
        <v>4876</v>
      </c>
      <c r="AH539" t="s">
        <v>63</v>
      </c>
      <c r="AI539" t="s">
        <v>63</v>
      </c>
      <c r="AJ539" t="s">
        <v>63</v>
      </c>
      <c r="AK539" t="s">
        <v>63</v>
      </c>
      <c r="AL539" t="s">
        <v>63</v>
      </c>
      <c r="AM539" t="s">
        <v>4877</v>
      </c>
      <c r="AN539" t="s">
        <v>63</v>
      </c>
      <c r="AO539" t="s">
        <v>63</v>
      </c>
      <c r="AP539" t="s">
        <v>63</v>
      </c>
      <c r="AQ539" t="s">
        <v>63</v>
      </c>
      <c r="AR539" t="s">
        <v>63</v>
      </c>
      <c r="AS539" t="s">
        <v>63</v>
      </c>
      <c r="AT539" t="s">
        <v>63</v>
      </c>
      <c r="AU539" t="s">
        <v>63</v>
      </c>
      <c r="AV539" t="s">
        <v>63</v>
      </c>
      <c r="AW539" t="s">
        <v>63</v>
      </c>
      <c r="AX539" t="s">
        <v>63</v>
      </c>
      <c r="AY539" t="s">
        <v>63</v>
      </c>
      <c r="AZ539" t="s">
        <v>63</v>
      </c>
      <c r="BA539" t="s">
        <v>63</v>
      </c>
      <c r="BB539" t="s">
        <v>63</v>
      </c>
      <c r="BC539" t="s">
        <v>63</v>
      </c>
      <c r="BD539" t="s">
        <v>63</v>
      </c>
      <c r="BE539" t="s">
        <v>63</v>
      </c>
      <c r="BF539" t="s">
        <v>63</v>
      </c>
    </row>
    <row r="540" spans="1:58">
      <c r="A540" t="s">
        <v>58</v>
      </c>
      <c r="B540" t="s">
        <v>4878</v>
      </c>
      <c r="C540" t="s">
        <v>4879</v>
      </c>
      <c r="D540" t="s">
        <v>90</v>
      </c>
      <c r="E540" t="s">
        <v>63</v>
      </c>
      <c r="F540">
        <v>2003</v>
      </c>
      <c r="G540" t="s">
        <v>63</v>
      </c>
      <c r="H540">
        <v>22</v>
      </c>
      <c r="I540">
        <v>3</v>
      </c>
      <c r="J540">
        <v>39</v>
      </c>
      <c r="K540">
        <v>49</v>
      </c>
      <c r="L540" t="s">
        <v>4880</v>
      </c>
      <c r="M540" t="s">
        <v>4881</v>
      </c>
      <c r="N540" t="s">
        <v>4882</v>
      </c>
      <c r="O540" t="s">
        <v>63</v>
      </c>
      <c r="Q540" t="s">
        <v>63</v>
      </c>
      <c r="R540" t="s">
        <v>63</v>
      </c>
      <c r="S540" t="s">
        <v>63</v>
      </c>
      <c r="T540" t="s">
        <v>63</v>
      </c>
      <c r="X540" t="s">
        <v>63</v>
      </c>
      <c r="Y540" t="s">
        <v>93</v>
      </c>
      <c r="Z540" t="s">
        <v>63</v>
      </c>
      <c r="AA540" t="s">
        <v>4883</v>
      </c>
      <c r="AB540">
        <v>14621343</v>
      </c>
      <c r="AC540" t="s">
        <v>67</v>
      </c>
      <c r="AD540" t="s">
        <v>63</v>
      </c>
      <c r="AE540" t="s">
        <v>63</v>
      </c>
      <c r="AF540" t="s">
        <v>63</v>
      </c>
      <c r="AG540" t="s">
        <v>4884</v>
      </c>
      <c r="AH540" t="s">
        <v>63</v>
      </c>
      <c r="AI540" t="s">
        <v>63</v>
      </c>
      <c r="AJ540" t="s">
        <v>63</v>
      </c>
      <c r="AK540" t="s">
        <v>63</v>
      </c>
      <c r="AL540" t="s">
        <v>63</v>
      </c>
      <c r="AM540" t="s">
        <v>4885</v>
      </c>
      <c r="AN540" t="s">
        <v>63</v>
      </c>
      <c r="AO540" t="s">
        <v>63</v>
      </c>
      <c r="AP540" t="s">
        <v>63</v>
      </c>
      <c r="AQ540" t="s">
        <v>63</v>
      </c>
      <c r="AR540" t="s">
        <v>63</v>
      </c>
      <c r="AS540" t="s">
        <v>63</v>
      </c>
      <c r="AT540" t="s">
        <v>63</v>
      </c>
      <c r="AU540" t="s">
        <v>63</v>
      </c>
      <c r="AV540" t="s">
        <v>63</v>
      </c>
      <c r="AW540" t="s">
        <v>63</v>
      </c>
      <c r="AX540" t="s">
        <v>63</v>
      </c>
      <c r="AY540" t="s">
        <v>63</v>
      </c>
      <c r="AZ540" t="s">
        <v>63</v>
      </c>
      <c r="BA540" t="s">
        <v>63</v>
      </c>
      <c r="BB540" t="s">
        <v>63</v>
      </c>
      <c r="BC540" t="s">
        <v>63</v>
      </c>
      <c r="BD540" t="s">
        <v>63</v>
      </c>
      <c r="BE540" t="s">
        <v>63</v>
      </c>
      <c r="BF540" t="s">
        <v>63</v>
      </c>
    </row>
    <row r="541" spans="1:58">
      <c r="A541" t="s">
        <v>58</v>
      </c>
      <c r="B541" t="s">
        <v>4886</v>
      </c>
      <c r="C541" t="s">
        <v>4887</v>
      </c>
      <c r="D541" t="s">
        <v>196</v>
      </c>
      <c r="E541" t="s">
        <v>197</v>
      </c>
      <c r="F541">
        <v>1992</v>
      </c>
      <c r="G541" t="s">
        <v>219</v>
      </c>
      <c r="H541">
        <v>43</v>
      </c>
      <c r="I541">
        <v>11</v>
      </c>
      <c r="J541">
        <v>1067</v>
      </c>
      <c r="K541" t="s">
        <v>4888</v>
      </c>
      <c r="L541" t="s">
        <v>4889</v>
      </c>
      <c r="M541" t="s">
        <v>63</v>
      </c>
      <c r="N541" t="s">
        <v>4890</v>
      </c>
      <c r="O541" t="s">
        <v>63</v>
      </c>
      <c r="Q541" t="s">
        <v>63</v>
      </c>
      <c r="R541" t="s">
        <v>63</v>
      </c>
      <c r="S541" t="s">
        <v>63</v>
      </c>
      <c r="T541" t="s">
        <v>63</v>
      </c>
      <c r="X541" t="s">
        <v>63</v>
      </c>
      <c r="Y541" t="s">
        <v>201</v>
      </c>
      <c r="Z541" t="s">
        <v>63</v>
      </c>
      <c r="AA541" t="s">
        <v>4891</v>
      </c>
      <c r="AB541">
        <v>1490703</v>
      </c>
      <c r="AC541" t="s">
        <v>67</v>
      </c>
      <c r="AD541" t="s">
        <v>63</v>
      </c>
      <c r="AE541" t="s">
        <v>63</v>
      </c>
      <c r="AF541" t="s">
        <v>63</v>
      </c>
      <c r="AG541" t="s">
        <v>4892</v>
      </c>
      <c r="AH541" t="s">
        <v>63</v>
      </c>
      <c r="AI541" t="s">
        <v>63</v>
      </c>
      <c r="AJ541" t="s">
        <v>63</v>
      </c>
      <c r="AK541" t="s">
        <v>63</v>
      </c>
      <c r="AL541" t="s">
        <v>63</v>
      </c>
      <c r="AM541" t="s">
        <v>4893</v>
      </c>
      <c r="AN541" t="s">
        <v>63</v>
      </c>
      <c r="AO541" t="s">
        <v>63</v>
      </c>
      <c r="AP541" t="s">
        <v>63</v>
      </c>
      <c r="AQ541" t="s">
        <v>63</v>
      </c>
      <c r="AR541" t="s">
        <v>63</v>
      </c>
      <c r="AS541" t="s">
        <v>63</v>
      </c>
      <c r="AT541" t="s">
        <v>63</v>
      </c>
      <c r="AU541" t="s">
        <v>63</v>
      </c>
      <c r="AV541" t="s">
        <v>63</v>
      </c>
      <c r="AW541" t="s">
        <v>63</v>
      </c>
      <c r="AX541" t="s">
        <v>63</v>
      </c>
      <c r="AY541" t="s">
        <v>63</v>
      </c>
      <c r="AZ541" t="s">
        <v>63</v>
      </c>
      <c r="BA541" t="s">
        <v>63</v>
      </c>
      <c r="BB541" t="s">
        <v>63</v>
      </c>
      <c r="BC541" t="s">
        <v>63</v>
      </c>
      <c r="BD541" t="s">
        <v>63</v>
      </c>
      <c r="BE541" t="s">
        <v>63</v>
      </c>
      <c r="BF541" t="s">
        <v>63</v>
      </c>
    </row>
    <row r="542" spans="1:58">
      <c r="A542" t="s">
        <v>58</v>
      </c>
      <c r="B542" t="s">
        <v>4894</v>
      </c>
      <c r="C542" t="s">
        <v>4895</v>
      </c>
      <c r="D542" t="s">
        <v>360</v>
      </c>
      <c r="E542" t="s">
        <v>63</v>
      </c>
      <c r="F542">
        <v>1991</v>
      </c>
      <c r="G542" t="s">
        <v>63</v>
      </c>
      <c r="H542">
        <v>17</v>
      </c>
      <c r="I542">
        <v>1</v>
      </c>
      <c r="J542">
        <v>1</v>
      </c>
      <c r="K542">
        <v>12</v>
      </c>
      <c r="L542" t="s">
        <v>4896</v>
      </c>
      <c r="M542" t="s">
        <v>4897</v>
      </c>
      <c r="N542" t="s">
        <v>4898</v>
      </c>
      <c r="O542" t="s">
        <v>63</v>
      </c>
      <c r="Q542" t="s">
        <v>63</v>
      </c>
      <c r="R542" t="s">
        <v>63</v>
      </c>
      <c r="S542" t="s">
        <v>63</v>
      </c>
      <c r="T542" t="s">
        <v>63</v>
      </c>
      <c r="X542" t="s">
        <v>63</v>
      </c>
      <c r="Y542" t="s">
        <v>1683</v>
      </c>
      <c r="Z542" t="s">
        <v>63</v>
      </c>
      <c r="AA542" t="s">
        <v>4899</v>
      </c>
      <c r="AB542">
        <v>2038979</v>
      </c>
      <c r="AC542" t="s">
        <v>67</v>
      </c>
      <c r="AD542" t="s">
        <v>63</v>
      </c>
      <c r="AE542" t="s">
        <v>63</v>
      </c>
      <c r="AF542" t="s">
        <v>63</v>
      </c>
      <c r="AG542" t="s">
        <v>4900</v>
      </c>
      <c r="AH542" t="s">
        <v>63</v>
      </c>
      <c r="AI542" t="s">
        <v>63</v>
      </c>
      <c r="AJ542" t="s">
        <v>63</v>
      </c>
      <c r="AK542" t="s">
        <v>63</v>
      </c>
      <c r="AL542" t="s">
        <v>63</v>
      </c>
      <c r="AM542" t="s">
        <v>4901</v>
      </c>
      <c r="AN542" t="s">
        <v>63</v>
      </c>
      <c r="AO542" t="s">
        <v>63</v>
      </c>
      <c r="AP542" t="s">
        <v>63</v>
      </c>
      <c r="AQ542" t="s">
        <v>63</v>
      </c>
      <c r="AR542" t="s">
        <v>63</v>
      </c>
      <c r="AS542" t="s">
        <v>63</v>
      </c>
      <c r="AT542" t="s">
        <v>63</v>
      </c>
      <c r="AU542" t="s">
        <v>63</v>
      </c>
      <c r="AV542" t="s">
        <v>63</v>
      </c>
      <c r="AW542" t="s">
        <v>63</v>
      </c>
      <c r="AX542" t="s">
        <v>63</v>
      </c>
      <c r="AY542" t="s">
        <v>63</v>
      </c>
      <c r="AZ542" t="s">
        <v>63</v>
      </c>
      <c r="BA542" t="s">
        <v>63</v>
      </c>
      <c r="BB542" t="s">
        <v>63</v>
      </c>
      <c r="BC542" t="s">
        <v>63</v>
      </c>
      <c r="BD542" t="s">
        <v>63</v>
      </c>
      <c r="BE542" t="s">
        <v>63</v>
      </c>
      <c r="BF542" t="s">
        <v>63</v>
      </c>
    </row>
    <row r="543" spans="1:58">
      <c r="A543" t="s">
        <v>58</v>
      </c>
      <c r="B543" t="s">
        <v>4902</v>
      </c>
      <c r="C543" t="s">
        <v>4903</v>
      </c>
      <c r="D543" t="s">
        <v>164</v>
      </c>
      <c r="E543" t="s">
        <v>165</v>
      </c>
      <c r="F543">
        <v>1989</v>
      </c>
      <c r="G543" t="s">
        <v>198</v>
      </c>
      <c r="H543">
        <v>146</v>
      </c>
      <c r="I543">
        <v>1</v>
      </c>
      <c r="J543">
        <v>35</v>
      </c>
      <c r="K543">
        <v>39</v>
      </c>
      <c r="L543" t="s">
        <v>4904</v>
      </c>
      <c r="M543" t="s">
        <v>4905</v>
      </c>
      <c r="N543" t="s">
        <v>4906</v>
      </c>
      <c r="O543" t="s">
        <v>63</v>
      </c>
      <c r="Q543" t="s">
        <v>63</v>
      </c>
      <c r="R543" t="s">
        <v>63</v>
      </c>
      <c r="S543" t="s">
        <v>63</v>
      </c>
      <c r="T543" t="s">
        <v>63</v>
      </c>
      <c r="X543" t="s">
        <v>63</v>
      </c>
      <c r="Y543" t="s">
        <v>169</v>
      </c>
      <c r="Z543" t="s">
        <v>63</v>
      </c>
      <c r="AA543" t="s">
        <v>4907</v>
      </c>
      <c r="AB543">
        <v>2912248</v>
      </c>
      <c r="AC543" t="s">
        <v>67</v>
      </c>
      <c r="AD543" t="s">
        <v>63</v>
      </c>
      <c r="AE543" t="s">
        <v>63</v>
      </c>
      <c r="AF543" t="s">
        <v>63</v>
      </c>
      <c r="AG543" t="s">
        <v>4908</v>
      </c>
      <c r="AH543" t="s">
        <v>63</v>
      </c>
      <c r="AI543" t="s">
        <v>63</v>
      </c>
      <c r="AJ543" t="s">
        <v>63</v>
      </c>
      <c r="AK543" t="s">
        <v>63</v>
      </c>
      <c r="AL543" t="s">
        <v>63</v>
      </c>
      <c r="AM543" t="s">
        <v>4909</v>
      </c>
      <c r="AN543" t="s">
        <v>63</v>
      </c>
      <c r="AO543" t="s">
        <v>63</v>
      </c>
      <c r="AP543" t="s">
        <v>63</v>
      </c>
      <c r="AQ543" t="s">
        <v>63</v>
      </c>
      <c r="AR543" t="s">
        <v>63</v>
      </c>
      <c r="AS543" t="s">
        <v>63</v>
      </c>
      <c r="AT543" t="s">
        <v>63</v>
      </c>
      <c r="AU543" t="s">
        <v>63</v>
      </c>
      <c r="AV543" t="s">
        <v>63</v>
      </c>
      <c r="AW543" t="s">
        <v>63</v>
      </c>
      <c r="AX543" t="s">
        <v>63</v>
      </c>
      <c r="AY543" t="s">
        <v>63</v>
      </c>
      <c r="AZ543" t="s">
        <v>63</v>
      </c>
      <c r="BA543" t="s">
        <v>63</v>
      </c>
      <c r="BB543" t="s">
        <v>63</v>
      </c>
      <c r="BC543" t="s">
        <v>63</v>
      </c>
      <c r="BD543" t="s">
        <v>63</v>
      </c>
      <c r="BE543" t="s">
        <v>63</v>
      </c>
      <c r="BF543" t="s">
        <v>63</v>
      </c>
    </row>
    <row r="544" spans="1:58">
      <c r="A544" t="s">
        <v>58</v>
      </c>
      <c r="B544" t="s">
        <v>4910</v>
      </c>
      <c r="C544" t="s">
        <v>4911</v>
      </c>
      <c r="D544" t="s">
        <v>360</v>
      </c>
      <c r="E544" t="s">
        <v>63</v>
      </c>
      <c r="F544">
        <v>1997</v>
      </c>
      <c r="G544" t="s">
        <v>614</v>
      </c>
      <c r="H544">
        <v>23</v>
      </c>
      <c r="I544">
        <v>3</v>
      </c>
      <c r="J544">
        <v>355</v>
      </c>
      <c r="K544">
        <v>367</v>
      </c>
      <c r="L544" t="s">
        <v>4912</v>
      </c>
      <c r="M544" t="s">
        <v>4913</v>
      </c>
      <c r="N544" t="s">
        <v>4914</v>
      </c>
      <c r="O544" t="s">
        <v>63</v>
      </c>
      <c r="Q544" t="s">
        <v>63</v>
      </c>
      <c r="R544" t="s">
        <v>63</v>
      </c>
      <c r="S544" t="s">
        <v>63</v>
      </c>
      <c r="T544" t="s">
        <v>63</v>
      </c>
      <c r="X544" t="s">
        <v>63</v>
      </c>
      <c r="Y544" t="s">
        <v>1683</v>
      </c>
      <c r="Z544" t="s">
        <v>63</v>
      </c>
      <c r="AA544" t="s">
        <v>4915</v>
      </c>
      <c r="AB544">
        <v>9261485</v>
      </c>
      <c r="AC544" t="s">
        <v>67</v>
      </c>
      <c r="AD544" t="s">
        <v>63</v>
      </c>
      <c r="AE544" t="s">
        <v>63</v>
      </c>
      <c r="AF544" t="s">
        <v>63</v>
      </c>
      <c r="AG544" t="s">
        <v>4916</v>
      </c>
      <c r="AH544" t="s">
        <v>63</v>
      </c>
      <c r="AI544" t="s">
        <v>63</v>
      </c>
      <c r="AJ544" t="s">
        <v>63</v>
      </c>
      <c r="AK544" t="s">
        <v>63</v>
      </c>
      <c r="AL544" t="s">
        <v>63</v>
      </c>
      <c r="AM544" t="s">
        <v>4917</v>
      </c>
      <c r="AN544" t="s">
        <v>63</v>
      </c>
      <c r="AO544" t="s">
        <v>63</v>
      </c>
      <c r="AP544" t="s">
        <v>63</v>
      </c>
      <c r="AQ544" t="s">
        <v>63</v>
      </c>
      <c r="AR544" t="s">
        <v>63</v>
      </c>
      <c r="AS544" t="s">
        <v>63</v>
      </c>
      <c r="AT544" t="s">
        <v>63</v>
      </c>
      <c r="AU544" t="s">
        <v>63</v>
      </c>
      <c r="AV544" t="s">
        <v>63</v>
      </c>
      <c r="AW544" t="s">
        <v>63</v>
      </c>
      <c r="AX544" t="s">
        <v>63</v>
      </c>
      <c r="AY544" t="s">
        <v>63</v>
      </c>
      <c r="AZ544" t="s">
        <v>63</v>
      </c>
      <c r="BA544" t="s">
        <v>63</v>
      </c>
      <c r="BB544" t="s">
        <v>63</v>
      </c>
      <c r="BC544" t="s">
        <v>63</v>
      </c>
      <c r="BD544" t="s">
        <v>63</v>
      </c>
      <c r="BE544" t="s">
        <v>63</v>
      </c>
      <c r="BF544" t="s">
        <v>63</v>
      </c>
    </row>
    <row r="545" spans="1:58">
      <c r="A545" t="s">
        <v>58</v>
      </c>
      <c r="B545" t="s">
        <v>4910</v>
      </c>
      <c r="C545" t="s">
        <v>4918</v>
      </c>
      <c r="D545" t="s">
        <v>2593</v>
      </c>
      <c r="E545" t="s">
        <v>63</v>
      </c>
      <c r="F545">
        <v>1997</v>
      </c>
      <c r="G545" t="s">
        <v>614</v>
      </c>
      <c r="H545">
        <v>48</v>
      </c>
      <c r="I545">
        <v>8</v>
      </c>
      <c r="J545">
        <v>999</v>
      </c>
      <c r="K545" t="s">
        <v>4919</v>
      </c>
      <c r="L545" t="s">
        <v>4920</v>
      </c>
      <c r="M545" t="s">
        <v>63</v>
      </c>
      <c r="N545" t="s">
        <v>4921</v>
      </c>
      <c r="O545" t="s">
        <v>63</v>
      </c>
      <c r="Q545" t="s">
        <v>63</v>
      </c>
      <c r="R545" t="s">
        <v>63</v>
      </c>
      <c r="S545" t="s">
        <v>63</v>
      </c>
      <c r="T545" t="s">
        <v>63</v>
      </c>
      <c r="X545" t="s">
        <v>63</v>
      </c>
      <c r="Y545" t="s">
        <v>4922</v>
      </c>
      <c r="Z545" t="s">
        <v>63</v>
      </c>
      <c r="AA545" t="s">
        <v>4923</v>
      </c>
      <c r="AB545">
        <v>9255829</v>
      </c>
      <c r="AC545" t="s">
        <v>67</v>
      </c>
      <c r="AD545" t="s">
        <v>63</v>
      </c>
      <c r="AE545" t="s">
        <v>63</v>
      </c>
      <c r="AF545" t="s">
        <v>63</v>
      </c>
      <c r="AG545" t="s">
        <v>4924</v>
      </c>
      <c r="AH545" t="s">
        <v>63</v>
      </c>
      <c r="AI545" t="s">
        <v>63</v>
      </c>
      <c r="AJ545" t="s">
        <v>63</v>
      </c>
      <c r="AK545" t="s">
        <v>63</v>
      </c>
      <c r="AL545" t="s">
        <v>63</v>
      </c>
      <c r="AM545" t="s">
        <v>4925</v>
      </c>
      <c r="AN545" t="s">
        <v>63</v>
      </c>
      <c r="AO545" t="s">
        <v>63</v>
      </c>
      <c r="AP545" t="s">
        <v>63</v>
      </c>
      <c r="AQ545" t="s">
        <v>63</v>
      </c>
      <c r="AR545" t="s">
        <v>63</v>
      </c>
      <c r="AS545" t="s">
        <v>63</v>
      </c>
      <c r="AT545" t="s">
        <v>63</v>
      </c>
      <c r="AU545" t="s">
        <v>63</v>
      </c>
      <c r="AV545" t="s">
        <v>63</v>
      </c>
      <c r="AW545" t="s">
        <v>63</v>
      </c>
      <c r="AX545" t="s">
        <v>63</v>
      </c>
      <c r="AY545" t="s">
        <v>63</v>
      </c>
      <c r="AZ545" t="s">
        <v>63</v>
      </c>
      <c r="BA545" t="s">
        <v>63</v>
      </c>
      <c r="BB545" t="s">
        <v>63</v>
      </c>
      <c r="BC545" t="s">
        <v>63</v>
      </c>
      <c r="BD545" t="s">
        <v>63</v>
      </c>
      <c r="BE545" t="s">
        <v>63</v>
      </c>
      <c r="BF545" t="s">
        <v>63</v>
      </c>
    </row>
    <row r="546" spans="1:58">
      <c r="A546" t="s">
        <v>58</v>
      </c>
      <c r="B546" t="s">
        <v>4926</v>
      </c>
      <c r="C546" t="s">
        <v>4927</v>
      </c>
      <c r="D546" t="s">
        <v>4928</v>
      </c>
      <c r="E546" t="s">
        <v>4929</v>
      </c>
      <c r="F546">
        <v>1979</v>
      </c>
      <c r="G546" t="s">
        <v>63</v>
      </c>
      <c r="H546">
        <v>6</v>
      </c>
      <c r="I546" t="s">
        <v>63</v>
      </c>
      <c r="J546">
        <v>15</v>
      </c>
      <c r="K546">
        <v>24</v>
      </c>
      <c r="L546" t="s">
        <v>4930</v>
      </c>
      <c r="M546" t="s">
        <v>63</v>
      </c>
      <c r="N546" t="s">
        <v>4931</v>
      </c>
      <c r="O546" t="s">
        <v>63</v>
      </c>
      <c r="Q546" t="s">
        <v>63</v>
      </c>
      <c r="R546" t="s">
        <v>63</v>
      </c>
      <c r="S546" t="s">
        <v>63</v>
      </c>
      <c r="T546" t="s">
        <v>63</v>
      </c>
      <c r="X546" t="s">
        <v>63</v>
      </c>
      <c r="Y546" t="s">
        <v>4932</v>
      </c>
      <c r="Z546" t="s">
        <v>63</v>
      </c>
      <c r="AA546" t="s">
        <v>63</v>
      </c>
      <c r="AB546">
        <v>520046</v>
      </c>
      <c r="AC546" t="s">
        <v>67</v>
      </c>
      <c r="AD546" t="s">
        <v>63</v>
      </c>
      <c r="AE546" t="s">
        <v>63</v>
      </c>
      <c r="AF546" t="s">
        <v>63</v>
      </c>
      <c r="AG546" t="s">
        <v>4933</v>
      </c>
      <c r="AH546" t="s">
        <v>63</v>
      </c>
      <c r="AI546" t="s">
        <v>63</v>
      </c>
      <c r="AJ546" t="s">
        <v>63</v>
      </c>
      <c r="AK546" t="s">
        <v>63</v>
      </c>
      <c r="AL546" t="s">
        <v>63</v>
      </c>
      <c r="AM546" t="s">
        <v>4934</v>
      </c>
      <c r="AN546" t="s">
        <v>63</v>
      </c>
      <c r="AO546" t="s">
        <v>63</v>
      </c>
      <c r="AP546" t="s">
        <v>63</v>
      </c>
      <c r="AQ546" t="s">
        <v>63</v>
      </c>
      <c r="AR546" t="s">
        <v>63</v>
      </c>
      <c r="AS546" t="s">
        <v>63</v>
      </c>
      <c r="AT546" t="s">
        <v>63</v>
      </c>
      <c r="AU546" t="s">
        <v>63</v>
      </c>
      <c r="AV546" t="s">
        <v>63</v>
      </c>
      <c r="AW546" t="s">
        <v>63</v>
      </c>
      <c r="AX546" t="s">
        <v>63</v>
      </c>
      <c r="AY546" t="s">
        <v>63</v>
      </c>
      <c r="AZ546" t="s">
        <v>63</v>
      </c>
      <c r="BA546" t="s">
        <v>63</v>
      </c>
      <c r="BB546" t="s">
        <v>63</v>
      </c>
      <c r="BC546" t="s">
        <v>63</v>
      </c>
      <c r="BD546" t="s">
        <v>63</v>
      </c>
      <c r="BE546" t="s">
        <v>63</v>
      </c>
      <c r="BF546" t="s">
        <v>63</v>
      </c>
    </row>
    <row r="547" spans="1:58">
      <c r="A547" t="s">
        <v>58</v>
      </c>
      <c r="B547" t="s">
        <v>4935</v>
      </c>
      <c r="C547" t="s">
        <v>4936</v>
      </c>
      <c r="D547" t="s">
        <v>2036</v>
      </c>
      <c r="E547" t="s">
        <v>63</v>
      </c>
      <c r="F547">
        <v>2007</v>
      </c>
      <c r="G547" t="s">
        <v>181</v>
      </c>
      <c r="H547" t="s">
        <v>4937</v>
      </c>
      <c r="I547" t="s">
        <v>63</v>
      </c>
      <c r="J547" t="s">
        <v>4938</v>
      </c>
      <c r="K547">
        <v>15</v>
      </c>
      <c r="L547" t="s">
        <v>4939</v>
      </c>
      <c r="M547" t="s">
        <v>4940</v>
      </c>
      <c r="N547" t="s">
        <v>4941</v>
      </c>
      <c r="O547" t="s">
        <v>63</v>
      </c>
      <c r="Q547" t="s">
        <v>63</v>
      </c>
      <c r="R547" t="s">
        <v>63</v>
      </c>
      <c r="S547" t="s">
        <v>63</v>
      </c>
      <c r="T547" t="s">
        <v>63</v>
      </c>
      <c r="X547" t="s">
        <v>63</v>
      </c>
      <c r="Y547" t="s">
        <v>4942</v>
      </c>
      <c r="Z547" t="s">
        <v>63</v>
      </c>
      <c r="AA547" t="s">
        <v>4943</v>
      </c>
      <c r="AB547">
        <v>17129684</v>
      </c>
      <c r="AC547" t="s">
        <v>67</v>
      </c>
      <c r="AD547" t="s">
        <v>63</v>
      </c>
      <c r="AE547" t="s">
        <v>63</v>
      </c>
      <c r="AF547" t="s">
        <v>63</v>
      </c>
      <c r="AG547" t="s">
        <v>4944</v>
      </c>
      <c r="AH547" t="s">
        <v>63</v>
      </c>
      <c r="AI547" t="s">
        <v>63</v>
      </c>
      <c r="AJ547" t="s">
        <v>63</v>
      </c>
      <c r="AK547" t="s">
        <v>63</v>
      </c>
      <c r="AL547" t="s">
        <v>63</v>
      </c>
      <c r="AM547" t="s">
        <v>4945</v>
      </c>
      <c r="AN547" t="s">
        <v>63</v>
      </c>
      <c r="AO547" t="s">
        <v>63</v>
      </c>
      <c r="AP547" t="s">
        <v>63</v>
      </c>
      <c r="AQ547" t="s">
        <v>63</v>
      </c>
      <c r="AR547" t="s">
        <v>63</v>
      </c>
      <c r="AS547" t="s">
        <v>63</v>
      </c>
      <c r="AT547" t="s">
        <v>63</v>
      </c>
      <c r="AU547" t="s">
        <v>63</v>
      </c>
      <c r="AV547" t="s">
        <v>63</v>
      </c>
      <c r="AW547" t="s">
        <v>63</v>
      </c>
      <c r="AX547" t="s">
        <v>63</v>
      </c>
      <c r="AY547" t="s">
        <v>63</v>
      </c>
      <c r="AZ547" t="s">
        <v>63</v>
      </c>
      <c r="BA547" t="s">
        <v>63</v>
      </c>
      <c r="BB547" t="s">
        <v>63</v>
      </c>
      <c r="BC547" t="s">
        <v>63</v>
      </c>
      <c r="BD547" t="s">
        <v>63</v>
      </c>
      <c r="BE547" t="s">
        <v>63</v>
      </c>
      <c r="BF547" t="s">
        <v>63</v>
      </c>
    </row>
    <row r="548" spans="1:58">
      <c r="A548" t="s">
        <v>58</v>
      </c>
      <c r="B548" t="s">
        <v>4946</v>
      </c>
      <c r="C548" t="s">
        <v>4947</v>
      </c>
      <c r="D548" t="s">
        <v>381</v>
      </c>
      <c r="E548" t="s">
        <v>63</v>
      </c>
      <c r="F548">
        <v>1975</v>
      </c>
      <c r="G548" t="s">
        <v>181</v>
      </c>
      <c r="H548">
        <v>58</v>
      </c>
      <c r="I548">
        <v>9</v>
      </c>
      <c r="J548">
        <v>396</v>
      </c>
      <c r="K548" t="s">
        <v>4948</v>
      </c>
      <c r="L548" t="s">
        <v>4949</v>
      </c>
      <c r="M548" t="s">
        <v>63</v>
      </c>
      <c r="N548" t="s">
        <v>4950</v>
      </c>
      <c r="O548" t="s">
        <v>63</v>
      </c>
      <c r="Q548" t="s">
        <v>63</v>
      </c>
      <c r="R548" t="s">
        <v>63</v>
      </c>
      <c r="S548" t="s">
        <v>63</v>
      </c>
      <c r="T548" t="s">
        <v>63</v>
      </c>
      <c r="X548" t="s">
        <v>63</v>
      </c>
      <c r="Y548" t="s">
        <v>384</v>
      </c>
      <c r="Z548" t="s">
        <v>63</v>
      </c>
      <c r="AA548" t="s">
        <v>63</v>
      </c>
      <c r="AB548">
        <v>127377</v>
      </c>
      <c r="AC548" t="s">
        <v>67</v>
      </c>
      <c r="AD548" t="s">
        <v>63</v>
      </c>
      <c r="AE548" t="s">
        <v>63</v>
      </c>
      <c r="AF548" t="s">
        <v>63</v>
      </c>
      <c r="AG548" t="s">
        <v>4951</v>
      </c>
      <c r="AH548" t="s">
        <v>63</v>
      </c>
      <c r="AI548" t="s">
        <v>63</v>
      </c>
      <c r="AJ548" t="s">
        <v>63</v>
      </c>
      <c r="AK548" t="s">
        <v>63</v>
      </c>
      <c r="AL548" t="s">
        <v>63</v>
      </c>
      <c r="AM548" t="s">
        <v>4952</v>
      </c>
      <c r="AN548" t="s">
        <v>63</v>
      </c>
      <c r="AO548" t="s">
        <v>63</v>
      </c>
      <c r="AP548" t="s">
        <v>63</v>
      </c>
      <c r="AQ548" t="s">
        <v>63</v>
      </c>
      <c r="AR548" t="s">
        <v>63</v>
      </c>
      <c r="AS548" t="s">
        <v>63</v>
      </c>
      <c r="AT548" t="s">
        <v>63</v>
      </c>
      <c r="AU548" t="s">
        <v>63</v>
      </c>
      <c r="AV548" t="s">
        <v>63</v>
      </c>
      <c r="AW548" t="s">
        <v>63</v>
      </c>
      <c r="AX548" t="s">
        <v>63</v>
      </c>
      <c r="AY548" t="s">
        <v>63</v>
      </c>
      <c r="AZ548" t="s">
        <v>63</v>
      </c>
      <c r="BA548" t="s">
        <v>63</v>
      </c>
      <c r="BB548" t="s">
        <v>63</v>
      </c>
      <c r="BC548" t="s">
        <v>63</v>
      </c>
      <c r="BD548" t="s">
        <v>63</v>
      </c>
      <c r="BE548" t="s">
        <v>63</v>
      </c>
      <c r="BF548" t="s">
        <v>63</v>
      </c>
    </row>
    <row r="549" spans="1:58">
      <c r="A549" t="s">
        <v>58</v>
      </c>
      <c r="B549" t="s">
        <v>4953</v>
      </c>
      <c r="C549" t="s">
        <v>4954</v>
      </c>
      <c r="D549" t="s">
        <v>772</v>
      </c>
      <c r="E549" t="s">
        <v>773</v>
      </c>
      <c r="F549">
        <v>2017</v>
      </c>
      <c r="G549" t="s">
        <v>84</v>
      </c>
      <c r="H549">
        <v>31</v>
      </c>
      <c r="I549">
        <v>4</v>
      </c>
      <c r="J549" t="s">
        <v>4955</v>
      </c>
      <c r="K549" t="s">
        <v>4956</v>
      </c>
      <c r="L549" t="s">
        <v>4957</v>
      </c>
      <c r="M549" t="s">
        <v>4958</v>
      </c>
      <c r="N549" t="s">
        <v>4959</v>
      </c>
      <c r="O549" t="s">
        <v>63</v>
      </c>
      <c r="Q549" t="s">
        <v>63</v>
      </c>
      <c r="R549" t="s">
        <v>63</v>
      </c>
      <c r="S549" t="s">
        <v>63</v>
      </c>
      <c r="T549" t="s">
        <v>63</v>
      </c>
      <c r="X549" t="s">
        <v>63</v>
      </c>
      <c r="Y549" t="s">
        <v>776</v>
      </c>
      <c r="Z549" t="s">
        <v>63</v>
      </c>
      <c r="AA549" t="s">
        <v>4960</v>
      </c>
      <c r="AB549">
        <v>28323765</v>
      </c>
      <c r="AC549" t="s">
        <v>67</v>
      </c>
      <c r="AD549" t="s">
        <v>63</v>
      </c>
      <c r="AE549" t="s">
        <v>63</v>
      </c>
      <c r="AF549" t="s">
        <v>63</v>
      </c>
      <c r="AG549" t="s">
        <v>4961</v>
      </c>
      <c r="AH549" t="s">
        <v>63</v>
      </c>
      <c r="AI549" t="s">
        <v>4962</v>
      </c>
      <c r="AJ549" t="s">
        <v>63</v>
      </c>
      <c r="AK549" t="s">
        <v>63</v>
      </c>
      <c r="AL549" t="s">
        <v>63</v>
      </c>
      <c r="AM549" t="s">
        <v>4963</v>
      </c>
      <c r="AN549" t="s">
        <v>63</v>
      </c>
      <c r="AO549" t="s">
        <v>63</v>
      </c>
      <c r="AP549" t="s">
        <v>63</v>
      </c>
      <c r="AQ549" t="s">
        <v>63</v>
      </c>
      <c r="AR549" t="s">
        <v>63</v>
      </c>
      <c r="AS549" t="s">
        <v>63</v>
      </c>
      <c r="AT549" t="s">
        <v>63</v>
      </c>
      <c r="AU549" t="s">
        <v>63</v>
      </c>
      <c r="AV549" t="s">
        <v>63</v>
      </c>
      <c r="AW549" t="s">
        <v>63</v>
      </c>
      <c r="AX549" t="s">
        <v>63</v>
      </c>
      <c r="AY549" t="s">
        <v>63</v>
      </c>
      <c r="AZ549" t="s">
        <v>63</v>
      </c>
      <c r="BA549" t="s">
        <v>63</v>
      </c>
      <c r="BB549" t="s">
        <v>63</v>
      </c>
      <c r="BC549" t="s">
        <v>63</v>
      </c>
      <c r="BD549" t="s">
        <v>63</v>
      </c>
      <c r="BE549" t="s">
        <v>63</v>
      </c>
      <c r="BF549" t="s">
        <v>63</v>
      </c>
    </row>
    <row r="550" spans="1:58">
      <c r="A550" t="s">
        <v>58</v>
      </c>
      <c r="B550" t="s">
        <v>4964</v>
      </c>
      <c r="C550" t="s">
        <v>4965</v>
      </c>
      <c r="D550" t="s">
        <v>243</v>
      </c>
      <c r="E550" t="s">
        <v>243</v>
      </c>
      <c r="F550">
        <v>2012</v>
      </c>
      <c r="G550" s="1">
        <v>41728</v>
      </c>
      <c r="H550">
        <v>379</v>
      </c>
      <c r="I550">
        <v>9822</v>
      </c>
      <c r="J550">
        <v>1190</v>
      </c>
      <c r="K550">
        <v>1191</v>
      </c>
      <c r="L550" t="s">
        <v>4966</v>
      </c>
      <c r="M550" t="s">
        <v>63</v>
      </c>
      <c r="N550" t="s">
        <v>4967</v>
      </c>
      <c r="O550" t="s">
        <v>63</v>
      </c>
      <c r="Q550" t="s">
        <v>63</v>
      </c>
      <c r="R550" t="s">
        <v>63</v>
      </c>
      <c r="S550" t="s">
        <v>63</v>
      </c>
      <c r="T550" t="s">
        <v>63</v>
      </c>
      <c r="X550" t="s">
        <v>63</v>
      </c>
      <c r="Y550" t="s">
        <v>3544</v>
      </c>
      <c r="Z550" t="s">
        <v>63</v>
      </c>
      <c r="AA550" t="s">
        <v>4968</v>
      </c>
      <c r="AB550">
        <v>22470930</v>
      </c>
      <c r="AC550" t="s">
        <v>67</v>
      </c>
      <c r="AD550" t="s">
        <v>63</v>
      </c>
      <c r="AE550" t="s">
        <v>63</v>
      </c>
      <c r="AF550" t="s">
        <v>63</v>
      </c>
      <c r="AG550" t="s">
        <v>4969</v>
      </c>
      <c r="AH550" t="s">
        <v>63</v>
      </c>
      <c r="AI550" t="s">
        <v>63</v>
      </c>
      <c r="AJ550" t="s">
        <v>63</v>
      </c>
      <c r="AK550" t="s">
        <v>63</v>
      </c>
      <c r="AL550" t="s">
        <v>63</v>
      </c>
      <c r="AM550" t="s">
        <v>4970</v>
      </c>
      <c r="AN550" t="s">
        <v>63</v>
      </c>
      <c r="AO550" t="s">
        <v>63</v>
      </c>
      <c r="AP550" t="s">
        <v>63</v>
      </c>
      <c r="AQ550" t="s">
        <v>63</v>
      </c>
      <c r="AR550" t="s">
        <v>63</v>
      </c>
      <c r="AS550" t="s">
        <v>63</v>
      </c>
      <c r="AT550" t="s">
        <v>63</v>
      </c>
      <c r="AU550" t="s">
        <v>63</v>
      </c>
      <c r="AV550" t="s">
        <v>63</v>
      </c>
      <c r="AW550" t="s">
        <v>63</v>
      </c>
      <c r="AX550" t="s">
        <v>63</v>
      </c>
      <c r="AY550" t="s">
        <v>63</v>
      </c>
      <c r="AZ550" t="s">
        <v>63</v>
      </c>
      <c r="BA550" t="s">
        <v>63</v>
      </c>
      <c r="BB550" t="s">
        <v>63</v>
      </c>
      <c r="BC550" t="s">
        <v>63</v>
      </c>
      <c r="BD550" t="s">
        <v>63</v>
      </c>
      <c r="BE550" t="s">
        <v>63</v>
      </c>
      <c r="BF550" t="s">
        <v>63</v>
      </c>
    </row>
    <row r="551" spans="1:58">
      <c r="A551" t="s">
        <v>58</v>
      </c>
      <c r="B551" t="s">
        <v>4971</v>
      </c>
      <c r="C551" t="s">
        <v>4972</v>
      </c>
      <c r="D551" t="s">
        <v>4376</v>
      </c>
      <c r="E551" t="s">
        <v>63</v>
      </c>
      <c r="F551">
        <v>2002</v>
      </c>
      <c r="G551" t="s">
        <v>614</v>
      </c>
      <c r="H551">
        <v>12</v>
      </c>
      <c r="I551">
        <v>2</v>
      </c>
      <c r="J551">
        <v>79</v>
      </c>
      <c r="K551">
        <v>85</v>
      </c>
      <c r="L551" t="s">
        <v>4973</v>
      </c>
      <c r="M551" t="s">
        <v>4974</v>
      </c>
      <c r="N551" t="s">
        <v>4975</v>
      </c>
      <c r="O551" t="s">
        <v>63</v>
      </c>
      <c r="Q551" t="s">
        <v>63</v>
      </c>
      <c r="R551" t="s">
        <v>63</v>
      </c>
      <c r="S551" t="s">
        <v>63</v>
      </c>
      <c r="T551" t="s">
        <v>63</v>
      </c>
      <c r="X551" t="s">
        <v>63</v>
      </c>
      <c r="Y551" t="s">
        <v>4380</v>
      </c>
      <c r="Z551" t="s">
        <v>63</v>
      </c>
      <c r="AA551" t="s">
        <v>4976</v>
      </c>
      <c r="AB551">
        <v>12371405</v>
      </c>
      <c r="AC551" t="s">
        <v>913</v>
      </c>
      <c r="AD551" t="s">
        <v>63</v>
      </c>
      <c r="AE551" t="s">
        <v>63</v>
      </c>
      <c r="AF551" t="s">
        <v>63</v>
      </c>
      <c r="AG551" t="s">
        <v>4977</v>
      </c>
      <c r="AH551" t="s">
        <v>63</v>
      </c>
      <c r="AI551" t="s">
        <v>63</v>
      </c>
      <c r="AJ551" t="s">
        <v>63</v>
      </c>
      <c r="AK551" t="s">
        <v>63</v>
      </c>
      <c r="AL551" t="s">
        <v>63</v>
      </c>
      <c r="AM551" t="s">
        <v>4978</v>
      </c>
      <c r="AN551" t="s">
        <v>63</v>
      </c>
      <c r="AO551" t="s">
        <v>63</v>
      </c>
      <c r="AP551" t="s">
        <v>63</v>
      </c>
      <c r="AQ551" t="s">
        <v>63</v>
      </c>
      <c r="AR551" t="s">
        <v>63</v>
      </c>
      <c r="AS551" t="s">
        <v>63</v>
      </c>
      <c r="AT551" t="s">
        <v>63</v>
      </c>
      <c r="AU551" t="s">
        <v>63</v>
      </c>
      <c r="AV551" t="s">
        <v>63</v>
      </c>
      <c r="AW551" t="s">
        <v>63</v>
      </c>
      <c r="AX551" t="s">
        <v>63</v>
      </c>
      <c r="AY551" t="s">
        <v>63</v>
      </c>
      <c r="AZ551" t="s">
        <v>63</v>
      </c>
      <c r="BA551" t="s">
        <v>63</v>
      </c>
      <c r="BB551" t="s">
        <v>63</v>
      </c>
      <c r="BC551" t="s">
        <v>63</v>
      </c>
      <c r="BD551" t="s">
        <v>63</v>
      </c>
      <c r="BE551" t="s">
        <v>63</v>
      </c>
      <c r="BF551" t="s">
        <v>63</v>
      </c>
    </row>
    <row r="552" spans="1:58">
      <c r="A552" t="s">
        <v>58</v>
      </c>
      <c r="B552" t="s">
        <v>4979</v>
      </c>
      <c r="C552" t="s">
        <v>4980</v>
      </c>
      <c r="D552" t="s">
        <v>1055</v>
      </c>
      <c r="E552" t="s">
        <v>1056</v>
      </c>
      <c r="F552">
        <v>2000</v>
      </c>
      <c r="G552" t="s">
        <v>274</v>
      </c>
      <c r="H552">
        <v>34</v>
      </c>
      <c r="I552">
        <v>3</v>
      </c>
      <c r="J552">
        <v>170</v>
      </c>
      <c r="K552">
        <v>174</v>
      </c>
      <c r="L552" t="s">
        <v>4981</v>
      </c>
      <c r="M552" t="s">
        <v>4982</v>
      </c>
      <c r="N552" t="s">
        <v>4983</v>
      </c>
      <c r="O552" t="s">
        <v>63</v>
      </c>
      <c r="Q552" t="s">
        <v>63</v>
      </c>
      <c r="R552" t="s">
        <v>63</v>
      </c>
      <c r="S552" t="s">
        <v>63</v>
      </c>
      <c r="T552" t="s">
        <v>63</v>
      </c>
      <c r="X552" t="s">
        <v>63</v>
      </c>
      <c r="Y552" t="s">
        <v>1059</v>
      </c>
      <c r="Z552" t="s">
        <v>63</v>
      </c>
      <c r="AA552" t="s">
        <v>4984</v>
      </c>
      <c r="AB552">
        <v>10733701</v>
      </c>
      <c r="AC552" t="s">
        <v>67</v>
      </c>
      <c r="AD552" t="s">
        <v>63</v>
      </c>
      <c r="AE552" t="s">
        <v>63</v>
      </c>
      <c r="AF552" t="s">
        <v>63</v>
      </c>
      <c r="AG552" t="s">
        <v>4985</v>
      </c>
      <c r="AH552" t="s">
        <v>63</v>
      </c>
      <c r="AI552" t="s">
        <v>63</v>
      </c>
      <c r="AJ552" t="s">
        <v>63</v>
      </c>
      <c r="AK552" t="s">
        <v>63</v>
      </c>
      <c r="AL552" t="s">
        <v>63</v>
      </c>
      <c r="AM552" t="s">
        <v>4986</v>
      </c>
      <c r="AN552" t="s">
        <v>63</v>
      </c>
      <c r="AO552" t="s">
        <v>63</v>
      </c>
      <c r="AP552" t="s">
        <v>63</v>
      </c>
      <c r="AQ552" t="s">
        <v>63</v>
      </c>
      <c r="AR552" t="s">
        <v>63</v>
      </c>
      <c r="AS552" t="s">
        <v>63</v>
      </c>
      <c r="AT552" t="s">
        <v>63</v>
      </c>
      <c r="AU552" t="s">
        <v>63</v>
      </c>
      <c r="AV552" t="s">
        <v>63</v>
      </c>
      <c r="AW552" t="s">
        <v>63</v>
      </c>
      <c r="AX552" t="s">
        <v>63</v>
      </c>
      <c r="AY552" t="s">
        <v>63</v>
      </c>
      <c r="AZ552" t="s">
        <v>63</v>
      </c>
      <c r="BA552" t="s">
        <v>63</v>
      </c>
      <c r="BB552" t="s">
        <v>63</v>
      </c>
      <c r="BC552" t="s">
        <v>63</v>
      </c>
      <c r="BD552" t="s">
        <v>63</v>
      </c>
      <c r="BE552" t="s">
        <v>63</v>
      </c>
      <c r="BF552" t="s">
        <v>63</v>
      </c>
    </row>
    <row r="553" spans="1:58">
      <c r="A553" t="s">
        <v>58</v>
      </c>
      <c r="B553" t="s">
        <v>4987</v>
      </c>
      <c r="C553" t="s">
        <v>4988</v>
      </c>
      <c r="D553" t="s">
        <v>4989</v>
      </c>
      <c r="E553" t="s">
        <v>4990</v>
      </c>
      <c r="F553">
        <v>2009</v>
      </c>
      <c r="G553" t="s">
        <v>189</v>
      </c>
      <c r="H553">
        <v>35</v>
      </c>
      <c r="I553">
        <v>5</v>
      </c>
      <c r="J553">
        <v>300</v>
      </c>
      <c r="K553">
        <v>303</v>
      </c>
      <c r="L553" t="s">
        <v>4991</v>
      </c>
      <c r="M553" t="s">
        <v>4992</v>
      </c>
      <c r="N553" t="s">
        <v>4993</v>
      </c>
      <c r="O553" t="s">
        <v>63</v>
      </c>
      <c r="Q553" t="s">
        <v>63</v>
      </c>
      <c r="R553" t="s">
        <v>63</v>
      </c>
      <c r="S553" t="s">
        <v>63</v>
      </c>
      <c r="T553" t="s">
        <v>63</v>
      </c>
      <c r="X553" t="s">
        <v>63</v>
      </c>
      <c r="Y553" t="s">
        <v>4994</v>
      </c>
      <c r="Z553" t="s">
        <v>63</v>
      </c>
      <c r="AA553" t="s">
        <v>4995</v>
      </c>
      <c r="AB553">
        <v>19407034</v>
      </c>
      <c r="AC553" t="s">
        <v>67</v>
      </c>
      <c r="AD553" t="s">
        <v>63</v>
      </c>
      <c r="AE553" t="s">
        <v>63</v>
      </c>
      <c r="AF553" t="s">
        <v>63</v>
      </c>
      <c r="AG553" t="s">
        <v>4996</v>
      </c>
      <c r="AH553" t="s">
        <v>63</v>
      </c>
      <c r="AI553" t="s">
        <v>4997</v>
      </c>
      <c r="AJ553" t="s">
        <v>63</v>
      </c>
      <c r="AK553" t="s">
        <v>63</v>
      </c>
      <c r="AL553" t="s">
        <v>63</v>
      </c>
      <c r="AM553" t="s">
        <v>4998</v>
      </c>
      <c r="AN553" t="s">
        <v>63</v>
      </c>
      <c r="AO553" t="s">
        <v>63</v>
      </c>
      <c r="AP553" t="s">
        <v>63</v>
      </c>
      <c r="AQ553" t="s">
        <v>63</v>
      </c>
      <c r="AR553" t="s">
        <v>63</v>
      </c>
      <c r="AS553" t="s">
        <v>63</v>
      </c>
      <c r="AT553" t="s">
        <v>63</v>
      </c>
      <c r="AU553" t="s">
        <v>63</v>
      </c>
      <c r="AV553" t="s">
        <v>63</v>
      </c>
      <c r="AW553" t="s">
        <v>63</v>
      </c>
      <c r="AX553" t="s">
        <v>63</v>
      </c>
      <c r="AY553" t="s">
        <v>63</v>
      </c>
      <c r="AZ553" t="s">
        <v>63</v>
      </c>
      <c r="BA553" t="s">
        <v>63</v>
      </c>
      <c r="BB553" t="s">
        <v>63</v>
      </c>
      <c r="BC553" t="s">
        <v>63</v>
      </c>
      <c r="BD553" t="s">
        <v>63</v>
      </c>
      <c r="BE553" t="s">
        <v>63</v>
      </c>
      <c r="BF553" t="s">
        <v>63</v>
      </c>
    </row>
    <row r="554" spans="1:58">
      <c r="A554" t="s">
        <v>58</v>
      </c>
      <c r="B554" t="s">
        <v>4999</v>
      </c>
      <c r="C554" t="s">
        <v>5000</v>
      </c>
      <c r="D554" t="s">
        <v>5001</v>
      </c>
      <c r="E554" t="s">
        <v>5001</v>
      </c>
      <c r="F554">
        <v>1994</v>
      </c>
      <c r="G554" t="s">
        <v>73</v>
      </c>
      <c r="H554">
        <v>57</v>
      </c>
      <c r="I554">
        <v>3</v>
      </c>
      <c r="J554">
        <v>293</v>
      </c>
      <c r="K554">
        <v>299</v>
      </c>
      <c r="L554" t="s">
        <v>5002</v>
      </c>
      <c r="M554" t="s">
        <v>5003</v>
      </c>
      <c r="N554" t="s">
        <v>5004</v>
      </c>
      <c r="O554" t="s">
        <v>63</v>
      </c>
      <c r="Q554" t="s">
        <v>63</v>
      </c>
      <c r="R554" t="s">
        <v>63</v>
      </c>
      <c r="S554" t="s">
        <v>63</v>
      </c>
      <c r="T554" t="s">
        <v>63</v>
      </c>
      <c r="X554" t="s">
        <v>63</v>
      </c>
      <c r="Y554" t="s">
        <v>5005</v>
      </c>
      <c r="Z554" t="s">
        <v>63</v>
      </c>
      <c r="AA554" t="s">
        <v>5006</v>
      </c>
      <c r="AB554">
        <v>7524009</v>
      </c>
      <c r="AC554" t="s">
        <v>67</v>
      </c>
      <c r="AD554" t="s">
        <v>63</v>
      </c>
      <c r="AE554" t="s">
        <v>63</v>
      </c>
      <c r="AF554" t="s">
        <v>63</v>
      </c>
      <c r="AG554" t="s">
        <v>5007</v>
      </c>
      <c r="AH554" t="s">
        <v>63</v>
      </c>
      <c r="AI554" t="s">
        <v>63</v>
      </c>
      <c r="AJ554" t="s">
        <v>63</v>
      </c>
      <c r="AK554" t="s">
        <v>63</v>
      </c>
      <c r="AL554" t="s">
        <v>63</v>
      </c>
      <c r="AM554" t="s">
        <v>5008</v>
      </c>
      <c r="AN554" t="s">
        <v>63</v>
      </c>
      <c r="AO554" t="s">
        <v>63</v>
      </c>
      <c r="AP554" t="s">
        <v>63</v>
      </c>
      <c r="AQ554" t="s">
        <v>63</v>
      </c>
      <c r="AR554" t="s">
        <v>63</v>
      </c>
      <c r="AS554" t="s">
        <v>63</v>
      </c>
      <c r="AT554" t="s">
        <v>63</v>
      </c>
      <c r="AU554" t="s">
        <v>63</v>
      </c>
      <c r="AV554" t="s">
        <v>63</v>
      </c>
      <c r="AW554" t="s">
        <v>63</v>
      </c>
      <c r="AX554" t="s">
        <v>63</v>
      </c>
      <c r="AY554" t="s">
        <v>63</v>
      </c>
      <c r="AZ554" t="s">
        <v>63</v>
      </c>
      <c r="BA554" t="s">
        <v>63</v>
      </c>
      <c r="BB554" t="s">
        <v>63</v>
      </c>
      <c r="BC554" t="s">
        <v>63</v>
      </c>
      <c r="BD554" t="s">
        <v>63</v>
      </c>
      <c r="BE554" t="s">
        <v>63</v>
      </c>
      <c r="BF554" t="s">
        <v>63</v>
      </c>
    </row>
    <row r="555" spans="1:58">
      <c r="A555" t="s">
        <v>58</v>
      </c>
      <c r="B555" t="s">
        <v>5009</v>
      </c>
      <c r="C555" t="s">
        <v>5010</v>
      </c>
      <c r="D555" t="s">
        <v>180</v>
      </c>
      <c r="E555" t="s">
        <v>63</v>
      </c>
      <c r="F555">
        <v>2005</v>
      </c>
      <c r="G555" t="s">
        <v>1085</v>
      </c>
      <c r="H555">
        <v>40</v>
      </c>
      <c r="I555">
        <v>5</v>
      </c>
      <c r="J555">
        <v>388</v>
      </c>
      <c r="K555">
        <v>393</v>
      </c>
      <c r="L555" t="s">
        <v>5011</v>
      </c>
      <c r="M555" t="s">
        <v>5012</v>
      </c>
      <c r="N555" t="s">
        <v>5013</v>
      </c>
      <c r="O555" t="s">
        <v>63</v>
      </c>
      <c r="Q555" t="s">
        <v>63</v>
      </c>
      <c r="R555" t="s">
        <v>63</v>
      </c>
      <c r="S555" t="s">
        <v>63</v>
      </c>
      <c r="T555" t="s">
        <v>63</v>
      </c>
      <c r="X555" t="s">
        <v>63</v>
      </c>
      <c r="Y555" t="s">
        <v>185</v>
      </c>
      <c r="Z555" t="s">
        <v>63</v>
      </c>
      <c r="AA555" t="s">
        <v>5014</v>
      </c>
      <c r="AB555">
        <v>16043435</v>
      </c>
      <c r="AC555" t="s">
        <v>67</v>
      </c>
      <c r="AD555" t="s">
        <v>63</v>
      </c>
      <c r="AE555" t="s">
        <v>63</v>
      </c>
      <c r="AF555" t="s">
        <v>63</v>
      </c>
      <c r="AG555" t="s">
        <v>5015</v>
      </c>
      <c r="AH555" t="s">
        <v>63</v>
      </c>
      <c r="AI555" t="s">
        <v>63</v>
      </c>
      <c r="AJ555" t="s">
        <v>63</v>
      </c>
      <c r="AK555" t="s">
        <v>63</v>
      </c>
      <c r="AL555" t="s">
        <v>63</v>
      </c>
      <c r="AM555" t="s">
        <v>5016</v>
      </c>
      <c r="AN555" t="s">
        <v>63</v>
      </c>
      <c r="AO555" t="s">
        <v>63</v>
      </c>
      <c r="AP555" t="s">
        <v>63</v>
      </c>
      <c r="AQ555" t="s">
        <v>63</v>
      </c>
      <c r="AR555" t="s">
        <v>63</v>
      </c>
      <c r="AS555" t="s">
        <v>63</v>
      </c>
      <c r="AT555" t="s">
        <v>63</v>
      </c>
      <c r="AU555" t="s">
        <v>63</v>
      </c>
      <c r="AV555" t="s">
        <v>63</v>
      </c>
      <c r="AW555" t="s">
        <v>63</v>
      </c>
      <c r="AX555" t="s">
        <v>63</v>
      </c>
      <c r="AY555" t="s">
        <v>63</v>
      </c>
      <c r="AZ555" t="s">
        <v>63</v>
      </c>
      <c r="BA555" t="s">
        <v>63</v>
      </c>
      <c r="BB555" t="s">
        <v>63</v>
      </c>
      <c r="BC555" t="s">
        <v>63</v>
      </c>
      <c r="BD555" t="s">
        <v>63</v>
      </c>
      <c r="BE555" t="s">
        <v>63</v>
      </c>
      <c r="BF555" t="s">
        <v>63</v>
      </c>
    </row>
    <row r="556" spans="1:58">
      <c r="A556" t="s">
        <v>58</v>
      </c>
      <c r="B556" t="s">
        <v>5017</v>
      </c>
      <c r="C556" t="s">
        <v>5018</v>
      </c>
      <c r="D556" t="s">
        <v>4567</v>
      </c>
      <c r="E556" t="s">
        <v>4568</v>
      </c>
      <c r="F556">
        <v>2013</v>
      </c>
      <c r="G556" t="s">
        <v>614</v>
      </c>
      <c r="H556">
        <v>57</v>
      </c>
      <c r="I556">
        <v>2</v>
      </c>
      <c r="J556">
        <v>81</v>
      </c>
      <c r="K556">
        <v>86</v>
      </c>
      <c r="L556" t="s">
        <v>5019</v>
      </c>
      <c r="M556" t="s">
        <v>5020</v>
      </c>
      <c r="N556" t="s">
        <v>5021</v>
      </c>
      <c r="O556" t="s">
        <v>63</v>
      </c>
      <c r="Q556" t="s">
        <v>63</v>
      </c>
      <c r="R556" t="s">
        <v>63</v>
      </c>
      <c r="S556" t="s">
        <v>63</v>
      </c>
      <c r="T556" t="s">
        <v>63</v>
      </c>
      <c r="X556" t="s">
        <v>63</v>
      </c>
      <c r="Y556" t="s">
        <v>4572</v>
      </c>
      <c r="Z556" t="s">
        <v>63</v>
      </c>
      <c r="AA556" t="s">
        <v>5022</v>
      </c>
      <c r="AB556">
        <v>23623894</v>
      </c>
      <c r="AC556" t="s">
        <v>67</v>
      </c>
      <c r="AD556" t="s">
        <v>63</v>
      </c>
      <c r="AE556" t="s">
        <v>63</v>
      </c>
      <c r="AF556" t="s">
        <v>63</v>
      </c>
      <c r="AG556" t="s">
        <v>5023</v>
      </c>
      <c r="AH556" t="s">
        <v>63</v>
      </c>
      <c r="AI556" t="s">
        <v>5024</v>
      </c>
      <c r="AJ556" t="s">
        <v>63</v>
      </c>
      <c r="AK556" t="s">
        <v>63</v>
      </c>
      <c r="AL556" t="s">
        <v>63</v>
      </c>
      <c r="AM556" t="s">
        <v>5025</v>
      </c>
      <c r="AN556" t="s">
        <v>63</v>
      </c>
      <c r="AO556" t="s">
        <v>63</v>
      </c>
      <c r="AP556" t="s">
        <v>63</v>
      </c>
      <c r="AQ556" t="s">
        <v>63</v>
      </c>
      <c r="AR556" t="s">
        <v>63</v>
      </c>
      <c r="AS556" t="s">
        <v>63</v>
      </c>
      <c r="AT556" t="s">
        <v>63</v>
      </c>
      <c r="AU556" t="s">
        <v>63</v>
      </c>
      <c r="AV556" t="s">
        <v>63</v>
      </c>
      <c r="AW556" t="s">
        <v>63</v>
      </c>
      <c r="AX556" t="s">
        <v>63</v>
      </c>
      <c r="AY556" t="s">
        <v>63</v>
      </c>
      <c r="AZ556" t="s">
        <v>63</v>
      </c>
      <c r="BA556" t="s">
        <v>63</v>
      </c>
      <c r="BB556" t="s">
        <v>63</v>
      </c>
      <c r="BC556" t="s">
        <v>63</v>
      </c>
      <c r="BD556" t="s">
        <v>63</v>
      </c>
      <c r="BE556" t="s">
        <v>63</v>
      </c>
      <c r="BF556" t="s">
        <v>63</v>
      </c>
    </row>
    <row r="557" spans="1:58">
      <c r="A557" t="s">
        <v>58</v>
      </c>
      <c r="B557" t="s">
        <v>5026</v>
      </c>
      <c r="C557" t="s">
        <v>5027</v>
      </c>
      <c r="D557" t="s">
        <v>5028</v>
      </c>
      <c r="E557" t="s">
        <v>63</v>
      </c>
      <c r="F557">
        <v>2007</v>
      </c>
      <c r="G557" s="1">
        <v>41639</v>
      </c>
      <c r="H557">
        <v>9</v>
      </c>
      <c r="I557">
        <v>1</v>
      </c>
      <c r="J557">
        <v>21</v>
      </c>
      <c r="K557">
        <v>25</v>
      </c>
      <c r="L557" t="s">
        <v>63</v>
      </c>
      <c r="M557" t="s">
        <v>63</v>
      </c>
      <c r="N557" t="s">
        <v>5029</v>
      </c>
      <c r="O557" t="s">
        <v>63</v>
      </c>
      <c r="Q557" t="s">
        <v>63</v>
      </c>
      <c r="R557" t="s">
        <v>63</v>
      </c>
      <c r="S557" t="s">
        <v>63</v>
      </c>
      <c r="T557" t="s">
        <v>63</v>
      </c>
      <c r="X557" t="s">
        <v>63</v>
      </c>
      <c r="Y557" t="s">
        <v>5030</v>
      </c>
      <c r="Z557" t="s">
        <v>63</v>
      </c>
      <c r="AA557" t="s">
        <v>5031</v>
      </c>
      <c r="AB557">
        <v>23217665</v>
      </c>
      <c r="AC557" t="s">
        <v>67</v>
      </c>
      <c r="AD557" t="s">
        <v>63</v>
      </c>
      <c r="AE557" t="s">
        <v>63</v>
      </c>
      <c r="AF557" t="s">
        <v>63</v>
      </c>
      <c r="AG557" t="s">
        <v>5032</v>
      </c>
      <c r="AH557" t="s">
        <v>63</v>
      </c>
      <c r="AI557" t="s">
        <v>5033</v>
      </c>
      <c r="AJ557" t="s">
        <v>63</v>
      </c>
      <c r="AK557" t="s">
        <v>63</v>
      </c>
      <c r="AL557" t="s">
        <v>63</v>
      </c>
      <c r="AM557" t="s">
        <v>5034</v>
      </c>
      <c r="AN557" t="s">
        <v>63</v>
      </c>
      <c r="AO557" t="s">
        <v>63</v>
      </c>
      <c r="AP557" t="s">
        <v>63</v>
      </c>
      <c r="AQ557" t="s">
        <v>63</v>
      </c>
      <c r="AR557" t="s">
        <v>63</v>
      </c>
      <c r="AS557" t="s">
        <v>63</v>
      </c>
      <c r="AT557" t="s">
        <v>63</v>
      </c>
      <c r="AU557" t="s">
        <v>63</v>
      </c>
      <c r="AV557" t="s">
        <v>63</v>
      </c>
      <c r="AW557" t="s">
        <v>63</v>
      </c>
      <c r="AX557" t="s">
        <v>63</v>
      </c>
      <c r="AY557" t="s">
        <v>63</v>
      </c>
      <c r="AZ557" t="s">
        <v>63</v>
      </c>
      <c r="BA557" t="s">
        <v>63</v>
      </c>
      <c r="BB557" t="s">
        <v>63</v>
      </c>
      <c r="BC557" t="s">
        <v>63</v>
      </c>
      <c r="BD557" t="s">
        <v>63</v>
      </c>
      <c r="BE557" t="s">
        <v>63</v>
      </c>
      <c r="BF557" t="s">
        <v>63</v>
      </c>
    </row>
    <row r="558" spans="1:58">
      <c r="A558" t="s">
        <v>58</v>
      </c>
      <c r="B558" t="s">
        <v>5035</v>
      </c>
      <c r="C558" t="s">
        <v>5036</v>
      </c>
      <c r="D558" t="s">
        <v>5037</v>
      </c>
      <c r="E558" t="s">
        <v>5038</v>
      </c>
      <c r="F558">
        <v>2005</v>
      </c>
      <c r="G558" t="s">
        <v>73</v>
      </c>
      <c r="H558">
        <v>95</v>
      </c>
      <c r="I558">
        <v>6</v>
      </c>
      <c r="J558">
        <v>950</v>
      </c>
      <c r="K558">
        <v>955</v>
      </c>
      <c r="L558" t="s">
        <v>5039</v>
      </c>
      <c r="M558" t="s">
        <v>5040</v>
      </c>
      <c r="N558" t="s">
        <v>5041</v>
      </c>
      <c r="O558" t="s">
        <v>63</v>
      </c>
      <c r="Q558" t="s">
        <v>63</v>
      </c>
      <c r="R558" t="s">
        <v>63</v>
      </c>
      <c r="S558" t="s">
        <v>63</v>
      </c>
      <c r="T558" t="s">
        <v>63</v>
      </c>
      <c r="X558" t="s">
        <v>63</v>
      </c>
      <c r="Y558" t="s">
        <v>5042</v>
      </c>
      <c r="Z558" t="s">
        <v>63</v>
      </c>
      <c r="AA558" t="s">
        <v>5043</v>
      </c>
      <c r="AB558">
        <v>15914815</v>
      </c>
      <c r="AC558" t="s">
        <v>67</v>
      </c>
      <c r="AD558" t="s">
        <v>63</v>
      </c>
      <c r="AE558" t="s">
        <v>63</v>
      </c>
      <c r="AF558" t="s">
        <v>63</v>
      </c>
      <c r="AG558" t="s">
        <v>5044</v>
      </c>
      <c r="AH558" t="s">
        <v>63</v>
      </c>
      <c r="AI558" t="s">
        <v>63</v>
      </c>
      <c r="AJ558" t="s">
        <v>63</v>
      </c>
      <c r="AK558" t="s">
        <v>63</v>
      </c>
      <c r="AL558" t="s">
        <v>63</v>
      </c>
      <c r="AM558" t="s">
        <v>5045</v>
      </c>
      <c r="AN558" t="s">
        <v>63</v>
      </c>
      <c r="AO558" t="s">
        <v>63</v>
      </c>
      <c r="AP558" t="s">
        <v>63</v>
      </c>
      <c r="AQ558" t="s">
        <v>63</v>
      </c>
      <c r="AR558" t="s">
        <v>63</v>
      </c>
      <c r="AS558" t="s">
        <v>63</v>
      </c>
      <c r="AT558" t="s">
        <v>63</v>
      </c>
      <c r="AU558" t="s">
        <v>63</v>
      </c>
      <c r="AV558" t="s">
        <v>63</v>
      </c>
      <c r="AW558" t="s">
        <v>63</v>
      </c>
      <c r="AX558" t="s">
        <v>63</v>
      </c>
      <c r="AY558" t="s">
        <v>63</v>
      </c>
      <c r="AZ558" t="s">
        <v>63</v>
      </c>
      <c r="BA558" t="s">
        <v>63</v>
      </c>
      <c r="BB558" t="s">
        <v>63</v>
      </c>
      <c r="BC558" t="s">
        <v>63</v>
      </c>
      <c r="BD558" t="s">
        <v>63</v>
      </c>
      <c r="BE558" t="s">
        <v>63</v>
      </c>
      <c r="BF558" t="s">
        <v>63</v>
      </c>
    </row>
    <row r="559" spans="1:58">
      <c r="A559" t="s">
        <v>58</v>
      </c>
      <c r="B559" t="s">
        <v>5046</v>
      </c>
      <c r="C559" t="s">
        <v>5047</v>
      </c>
      <c r="D559" t="s">
        <v>205</v>
      </c>
      <c r="E559" t="s">
        <v>205</v>
      </c>
      <c r="F559">
        <v>1989</v>
      </c>
      <c r="G559" s="1">
        <v>41791</v>
      </c>
      <c r="H559">
        <v>261</v>
      </c>
      <c r="I559">
        <v>21</v>
      </c>
      <c r="J559">
        <v>3115</v>
      </c>
      <c r="K559">
        <v>3120</v>
      </c>
      <c r="L559" t="s">
        <v>5048</v>
      </c>
      <c r="M559" t="s">
        <v>5049</v>
      </c>
      <c r="N559" t="s">
        <v>5050</v>
      </c>
      <c r="O559" t="s">
        <v>63</v>
      </c>
      <c r="Q559" t="s">
        <v>63</v>
      </c>
      <c r="R559" t="s">
        <v>63</v>
      </c>
      <c r="S559" t="s">
        <v>63</v>
      </c>
      <c r="T559" t="s">
        <v>63</v>
      </c>
      <c r="X559" t="s">
        <v>63</v>
      </c>
      <c r="Y559" t="s">
        <v>208</v>
      </c>
      <c r="Z559" t="s">
        <v>63</v>
      </c>
      <c r="AA559" t="s">
        <v>5051</v>
      </c>
      <c r="AB559">
        <v>2716143</v>
      </c>
      <c r="AC559" t="s">
        <v>67</v>
      </c>
      <c r="AD559" t="s">
        <v>63</v>
      </c>
      <c r="AE559" t="s">
        <v>63</v>
      </c>
      <c r="AF559" t="s">
        <v>63</v>
      </c>
      <c r="AG559" t="s">
        <v>5052</v>
      </c>
      <c r="AH559" t="s">
        <v>63</v>
      </c>
      <c r="AI559" t="s">
        <v>63</v>
      </c>
      <c r="AJ559" t="s">
        <v>63</v>
      </c>
      <c r="AK559" t="s">
        <v>63</v>
      </c>
      <c r="AL559" t="s">
        <v>63</v>
      </c>
      <c r="AM559" t="s">
        <v>5053</v>
      </c>
      <c r="AN559" t="s">
        <v>63</v>
      </c>
      <c r="AO559" t="s">
        <v>63</v>
      </c>
      <c r="AP559" t="s">
        <v>63</v>
      </c>
      <c r="AQ559" t="s">
        <v>63</v>
      </c>
      <c r="AR559" t="s">
        <v>63</v>
      </c>
      <c r="AS559" t="s">
        <v>63</v>
      </c>
      <c r="AT559" t="s">
        <v>63</v>
      </c>
      <c r="AU559" t="s">
        <v>63</v>
      </c>
      <c r="AV559" t="s">
        <v>63</v>
      </c>
      <c r="AW559" t="s">
        <v>63</v>
      </c>
      <c r="AX559" t="s">
        <v>63</v>
      </c>
      <c r="AY559" t="s">
        <v>63</v>
      </c>
      <c r="AZ559" t="s">
        <v>63</v>
      </c>
      <c r="BA559" t="s">
        <v>63</v>
      </c>
      <c r="BB559" t="s">
        <v>63</v>
      </c>
      <c r="BC559" t="s">
        <v>63</v>
      </c>
      <c r="BD559" t="s">
        <v>63</v>
      </c>
      <c r="BE559" t="s">
        <v>63</v>
      </c>
      <c r="BF559" t="s">
        <v>63</v>
      </c>
    </row>
    <row r="560" spans="1:58">
      <c r="A560" t="s">
        <v>58</v>
      </c>
      <c r="B560" t="s">
        <v>5054</v>
      </c>
      <c r="C560" t="s">
        <v>5055</v>
      </c>
      <c r="D560" t="s">
        <v>1728</v>
      </c>
      <c r="E560" t="s">
        <v>1729</v>
      </c>
      <c r="F560">
        <v>1997</v>
      </c>
      <c r="G560" t="s">
        <v>1737</v>
      </c>
      <c r="H560">
        <v>29</v>
      </c>
      <c r="I560">
        <v>3</v>
      </c>
      <c r="J560">
        <v>269</v>
      </c>
      <c r="K560">
        <v>274</v>
      </c>
      <c r="L560" t="s">
        <v>5056</v>
      </c>
      <c r="M560" t="s">
        <v>5057</v>
      </c>
      <c r="N560" t="s">
        <v>5058</v>
      </c>
      <c r="O560" t="s">
        <v>63</v>
      </c>
      <c r="Q560" t="s">
        <v>63</v>
      </c>
      <c r="R560" t="s">
        <v>63</v>
      </c>
      <c r="S560" t="s">
        <v>63</v>
      </c>
      <c r="T560" t="s">
        <v>63</v>
      </c>
      <c r="X560" t="s">
        <v>63</v>
      </c>
      <c r="Y560" t="s">
        <v>1733</v>
      </c>
      <c r="Z560" t="s">
        <v>63</v>
      </c>
      <c r="AA560" t="s">
        <v>5059</v>
      </c>
      <c r="AB560">
        <v>9339859</v>
      </c>
      <c r="AC560" t="s">
        <v>67</v>
      </c>
      <c r="AD560" t="s">
        <v>63</v>
      </c>
      <c r="AE560" t="s">
        <v>63</v>
      </c>
      <c r="AF560" t="s">
        <v>63</v>
      </c>
      <c r="AG560" t="s">
        <v>5060</v>
      </c>
      <c r="AH560" t="s">
        <v>63</v>
      </c>
      <c r="AI560" t="s">
        <v>63</v>
      </c>
      <c r="AJ560" t="s">
        <v>63</v>
      </c>
      <c r="AK560" t="s">
        <v>63</v>
      </c>
      <c r="AL560" t="s">
        <v>63</v>
      </c>
      <c r="AM560" t="s">
        <v>5061</v>
      </c>
      <c r="AN560" t="s">
        <v>63</v>
      </c>
      <c r="AO560" t="s">
        <v>63</v>
      </c>
      <c r="AP560" t="s">
        <v>63</v>
      </c>
      <c r="AQ560" t="s">
        <v>63</v>
      </c>
      <c r="AR560" t="s">
        <v>63</v>
      </c>
      <c r="AS560" t="s">
        <v>63</v>
      </c>
      <c r="AT560" t="s">
        <v>63</v>
      </c>
      <c r="AU560" t="s">
        <v>63</v>
      </c>
      <c r="AV560" t="s">
        <v>63</v>
      </c>
      <c r="AW560" t="s">
        <v>63</v>
      </c>
      <c r="AX560" t="s">
        <v>63</v>
      </c>
      <c r="AY560" t="s">
        <v>63</v>
      </c>
      <c r="AZ560" t="s">
        <v>63</v>
      </c>
      <c r="BA560" t="s">
        <v>63</v>
      </c>
      <c r="BB560" t="s">
        <v>63</v>
      </c>
      <c r="BC560" t="s">
        <v>63</v>
      </c>
      <c r="BD560" t="s">
        <v>63</v>
      </c>
      <c r="BE560" t="s">
        <v>63</v>
      </c>
      <c r="BF560" t="s">
        <v>63</v>
      </c>
    </row>
    <row r="561" spans="1:58">
      <c r="A561" t="s">
        <v>58</v>
      </c>
      <c r="B561" t="s">
        <v>5062</v>
      </c>
      <c r="C561" t="s">
        <v>5063</v>
      </c>
      <c r="D561" t="s">
        <v>3007</v>
      </c>
      <c r="E561" t="s">
        <v>3008</v>
      </c>
      <c r="F561">
        <v>2004</v>
      </c>
      <c r="G561" t="s">
        <v>157</v>
      </c>
      <c r="H561">
        <v>27</v>
      </c>
      <c r="I561">
        <v>4</v>
      </c>
      <c r="J561">
        <v>611</v>
      </c>
      <c r="K561">
        <v>626</v>
      </c>
      <c r="L561" t="s">
        <v>5064</v>
      </c>
      <c r="M561" t="s">
        <v>5065</v>
      </c>
      <c r="N561" t="s">
        <v>5066</v>
      </c>
      <c r="O561" t="s">
        <v>63</v>
      </c>
      <c r="Q561" t="s">
        <v>63</v>
      </c>
      <c r="R561" t="s">
        <v>63</v>
      </c>
      <c r="S561" t="s">
        <v>63</v>
      </c>
      <c r="T561" t="s">
        <v>63</v>
      </c>
      <c r="X561" t="s">
        <v>63</v>
      </c>
      <c r="Y561" t="s">
        <v>3740</v>
      </c>
      <c r="Z561" t="s">
        <v>63</v>
      </c>
      <c r="AA561" t="s">
        <v>5067</v>
      </c>
      <c r="AB561">
        <v>15550283</v>
      </c>
      <c r="AC561" t="s">
        <v>67</v>
      </c>
      <c r="AD561" t="s">
        <v>63</v>
      </c>
      <c r="AE561" t="s">
        <v>63</v>
      </c>
      <c r="AF561" t="s">
        <v>63</v>
      </c>
      <c r="AG561" t="s">
        <v>5068</v>
      </c>
      <c r="AH561" t="s">
        <v>63</v>
      </c>
      <c r="AI561" t="s">
        <v>63</v>
      </c>
      <c r="AJ561" t="s">
        <v>63</v>
      </c>
      <c r="AK561" t="s">
        <v>63</v>
      </c>
      <c r="AL561" t="s">
        <v>63</v>
      </c>
      <c r="AM561" t="s">
        <v>5069</v>
      </c>
      <c r="AN561" t="s">
        <v>63</v>
      </c>
      <c r="AO561" t="s">
        <v>63</v>
      </c>
      <c r="AP561" t="s">
        <v>63</v>
      </c>
      <c r="AQ561" t="s">
        <v>63</v>
      </c>
      <c r="AR561" t="s">
        <v>63</v>
      </c>
      <c r="AS561" t="s">
        <v>63</v>
      </c>
      <c r="AT561" t="s">
        <v>63</v>
      </c>
      <c r="AU561" t="s">
        <v>63</v>
      </c>
      <c r="AV561" t="s">
        <v>63</v>
      </c>
      <c r="AW561" t="s">
        <v>63</v>
      </c>
      <c r="AX561" t="s">
        <v>63</v>
      </c>
      <c r="AY561" t="s">
        <v>63</v>
      </c>
      <c r="AZ561" t="s">
        <v>63</v>
      </c>
      <c r="BA561" t="s">
        <v>63</v>
      </c>
      <c r="BB561" t="s">
        <v>63</v>
      </c>
      <c r="BC561" t="s">
        <v>63</v>
      </c>
      <c r="BD561" t="s">
        <v>63</v>
      </c>
      <c r="BE561" t="s">
        <v>63</v>
      </c>
      <c r="BF561" t="s">
        <v>63</v>
      </c>
    </row>
    <row r="562" spans="1:58">
      <c r="A562" t="s">
        <v>58</v>
      </c>
      <c r="B562" t="s">
        <v>5070</v>
      </c>
      <c r="C562" t="s">
        <v>5071</v>
      </c>
      <c r="D562" t="s">
        <v>5072</v>
      </c>
      <c r="E562" t="s">
        <v>63</v>
      </c>
      <c r="F562">
        <v>1997</v>
      </c>
      <c r="G562" s="1">
        <v>41715</v>
      </c>
      <c r="H562">
        <v>181</v>
      </c>
      <c r="I562">
        <v>3</v>
      </c>
      <c r="J562">
        <v>569</v>
      </c>
      <c r="K562" t="s">
        <v>5073</v>
      </c>
      <c r="L562" t="s">
        <v>5074</v>
      </c>
      <c r="M562" t="s">
        <v>5075</v>
      </c>
      <c r="N562" t="s">
        <v>5076</v>
      </c>
      <c r="O562" t="s">
        <v>63</v>
      </c>
      <c r="Q562" t="s">
        <v>63</v>
      </c>
      <c r="R562" t="s">
        <v>63</v>
      </c>
      <c r="S562" t="s">
        <v>63</v>
      </c>
      <c r="T562" t="s">
        <v>63</v>
      </c>
      <c r="X562" t="s">
        <v>63</v>
      </c>
      <c r="Y562" s="2">
        <v>794404</v>
      </c>
      <c r="Z562" t="s">
        <v>63</v>
      </c>
      <c r="AA562" t="s">
        <v>5077</v>
      </c>
      <c r="AB562">
        <v>9203743</v>
      </c>
      <c r="AC562" t="s">
        <v>1371</v>
      </c>
      <c r="AD562" t="s">
        <v>63</v>
      </c>
      <c r="AE562" t="s">
        <v>63</v>
      </c>
      <c r="AF562" t="s">
        <v>63</v>
      </c>
      <c r="AG562" t="s">
        <v>5078</v>
      </c>
      <c r="AH562" t="s">
        <v>63</v>
      </c>
      <c r="AI562" t="s">
        <v>63</v>
      </c>
      <c r="AJ562" t="s">
        <v>63</v>
      </c>
      <c r="AK562" t="s">
        <v>63</v>
      </c>
      <c r="AL562" t="s">
        <v>63</v>
      </c>
      <c r="AM562" t="s">
        <v>5079</v>
      </c>
      <c r="AN562" t="s">
        <v>63</v>
      </c>
      <c r="AO562" t="s">
        <v>63</v>
      </c>
      <c r="AP562" t="s">
        <v>63</v>
      </c>
      <c r="AQ562" t="s">
        <v>63</v>
      </c>
      <c r="AR562" t="s">
        <v>63</v>
      </c>
      <c r="AS562" t="s">
        <v>63</v>
      </c>
      <c r="AT562" t="s">
        <v>63</v>
      </c>
      <c r="AU562" t="s">
        <v>63</v>
      </c>
      <c r="AV562" t="s">
        <v>63</v>
      </c>
      <c r="AW562" t="s">
        <v>63</v>
      </c>
      <c r="AX562" t="s">
        <v>63</v>
      </c>
      <c r="AY562" t="s">
        <v>63</v>
      </c>
      <c r="AZ562" t="s">
        <v>63</v>
      </c>
      <c r="BA562" t="s">
        <v>63</v>
      </c>
      <c r="BB562" t="s">
        <v>63</v>
      </c>
      <c r="BC562" t="s">
        <v>63</v>
      </c>
      <c r="BD562" t="s">
        <v>63</v>
      </c>
      <c r="BE562" t="s">
        <v>63</v>
      </c>
      <c r="BF562" t="s">
        <v>63</v>
      </c>
    </row>
    <row r="563" spans="1:58">
      <c r="A563" t="s">
        <v>58</v>
      </c>
      <c r="B563" t="s">
        <v>5080</v>
      </c>
      <c r="C563" t="s">
        <v>5081</v>
      </c>
      <c r="D563" t="s">
        <v>5082</v>
      </c>
      <c r="E563" t="s">
        <v>63</v>
      </c>
      <c r="F563">
        <v>2017</v>
      </c>
      <c r="G563" s="1">
        <v>41698</v>
      </c>
      <c r="H563">
        <v>74</v>
      </c>
      <c r="I563">
        <v>3</v>
      </c>
      <c r="J563">
        <v>214</v>
      </c>
      <c r="K563">
        <v>223</v>
      </c>
      <c r="L563" t="s">
        <v>5083</v>
      </c>
      <c r="M563" t="s">
        <v>5084</v>
      </c>
      <c r="N563" t="s">
        <v>5085</v>
      </c>
      <c r="O563" t="s">
        <v>63</v>
      </c>
      <c r="Q563" t="s">
        <v>63</v>
      </c>
      <c r="R563" t="s">
        <v>63</v>
      </c>
      <c r="S563" t="s">
        <v>63</v>
      </c>
      <c r="T563" t="s">
        <v>63</v>
      </c>
      <c r="X563" t="s">
        <v>63</v>
      </c>
      <c r="Y563" t="s">
        <v>5086</v>
      </c>
      <c r="Z563" t="s">
        <v>63</v>
      </c>
      <c r="AA563" t="s">
        <v>5087</v>
      </c>
      <c r="AB563">
        <v>28146243</v>
      </c>
      <c r="AC563" t="s">
        <v>67</v>
      </c>
      <c r="AD563" t="s">
        <v>63</v>
      </c>
      <c r="AE563" t="s">
        <v>63</v>
      </c>
      <c r="AF563" t="s">
        <v>63</v>
      </c>
      <c r="AG563" t="s">
        <v>5088</v>
      </c>
      <c r="AH563" t="s">
        <v>63</v>
      </c>
      <c r="AI563" t="s">
        <v>5089</v>
      </c>
      <c r="AJ563" t="s">
        <v>63</v>
      </c>
      <c r="AK563" t="s">
        <v>63</v>
      </c>
      <c r="AL563" t="s">
        <v>63</v>
      </c>
      <c r="AM563" t="s">
        <v>5090</v>
      </c>
      <c r="AN563" t="s">
        <v>63</v>
      </c>
      <c r="AO563" t="s">
        <v>63</v>
      </c>
      <c r="AP563" t="s">
        <v>63</v>
      </c>
      <c r="AQ563" t="s">
        <v>63</v>
      </c>
      <c r="AR563" t="s">
        <v>63</v>
      </c>
      <c r="AS563" t="s">
        <v>63</v>
      </c>
      <c r="AT563" t="s">
        <v>63</v>
      </c>
      <c r="AU563" t="s">
        <v>63</v>
      </c>
      <c r="AV563" t="s">
        <v>63</v>
      </c>
      <c r="AW563" t="s">
        <v>63</v>
      </c>
      <c r="AX563" t="s">
        <v>63</v>
      </c>
      <c r="AY563" t="s">
        <v>63</v>
      </c>
      <c r="AZ563" t="s">
        <v>63</v>
      </c>
      <c r="BA563" t="s">
        <v>63</v>
      </c>
      <c r="BB563" t="s">
        <v>63</v>
      </c>
      <c r="BC563" t="s">
        <v>63</v>
      </c>
      <c r="BD563" t="s">
        <v>63</v>
      </c>
      <c r="BE563" t="s">
        <v>63</v>
      </c>
      <c r="BF563" t="s">
        <v>63</v>
      </c>
    </row>
    <row r="564" spans="1:58">
      <c r="A564" t="s">
        <v>58</v>
      </c>
      <c r="B564" t="s">
        <v>5091</v>
      </c>
      <c r="C564" t="s">
        <v>5092</v>
      </c>
      <c r="D564" t="s">
        <v>4344</v>
      </c>
      <c r="E564" t="s">
        <v>63</v>
      </c>
      <c r="F564">
        <v>1974</v>
      </c>
      <c r="G564" t="s">
        <v>157</v>
      </c>
      <c r="H564">
        <v>69</v>
      </c>
      <c r="I564">
        <v>4</v>
      </c>
      <c r="J564">
        <v>371</v>
      </c>
      <c r="K564">
        <v>374</v>
      </c>
      <c r="L564" t="s">
        <v>5093</v>
      </c>
      <c r="M564" t="s">
        <v>63</v>
      </c>
      <c r="N564" t="s">
        <v>5094</v>
      </c>
      <c r="O564" t="s">
        <v>63</v>
      </c>
      <c r="Q564" t="s">
        <v>63</v>
      </c>
      <c r="R564" t="s">
        <v>63</v>
      </c>
      <c r="S564" t="s">
        <v>63</v>
      </c>
      <c r="T564" t="s">
        <v>63</v>
      </c>
      <c r="X564" t="s">
        <v>63</v>
      </c>
      <c r="Y564" t="s">
        <v>4347</v>
      </c>
      <c r="Z564" t="s">
        <v>63</v>
      </c>
      <c r="AA564" t="s">
        <v>63</v>
      </c>
      <c r="AB564">
        <v>4532052</v>
      </c>
      <c r="AC564" t="s">
        <v>67</v>
      </c>
      <c r="AD564" t="s">
        <v>63</v>
      </c>
      <c r="AE564" t="s">
        <v>63</v>
      </c>
      <c r="AF564" t="s">
        <v>63</v>
      </c>
      <c r="AG564" t="s">
        <v>5095</v>
      </c>
      <c r="AH564" t="s">
        <v>63</v>
      </c>
      <c r="AI564" t="s">
        <v>63</v>
      </c>
      <c r="AJ564" t="s">
        <v>63</v>
      </c>
      <c r="AK564" t="s">
        <v>63</v>
      </c>
      <c r="AL564" t="s">
        <v>63</v>
      </c>
      <c r="AM564" t="s">
        <v>5096</v>
      </c>
      <c r="AN564" t="s">
        <v>63</v>
      </c>
      <c r="AO564" t="s">
        <v>63</v>
      </c>
      <c r="AP564" t="s">
        <v>63</v>
      </c>
      <c r="AQ564" t="s">
        <v>63</v>
      </c>
      <c r="AR564" t="s">
        <v>63</v>
      </c>
      <c r="AS564" t="s">
        <v>63</v>
      </c>
      <c r="AT564" t="s">
        <v>63</v>
      </c>
      <c r="AU564" t="s">
        <v>63</v>
      </c>
      <c r="AV564" t="s">
        <v>63</v>
      </c>
      <c r="AW564" t="s">
        <v>63</v>
      </c>
      <c r="AX564" t="s">
        <v>63</v>
      </c>
      <c r="AY564" t="s">
        <v>63</v>
      </c>
      <c r="AZ564" t="s">
        <v>63</v>
      </c>
      <c r="BA564" t="s">
        <v>63</v>
      </c>
      <c r="BB564" t="s">
        <v>63</v>
      </c>
      <c r="BC564" t="s">
        <v>63</v>
      </c>
      <c r="BD564" t="s">
        <v>63</v>
      </c>
      <c r="BE564" t="s">
        <v>63</v>
      </c>
      <c r="BF564" t="s">
        <v>63</v>
      </c>
    </row>
    <row r="565" spans="1:58">
      <c r="A565" t="s">
        <v>58</v>
      </c>
      <c r="B565" t="s">
        <v>5097</v>
      </c>
      <c r="C565" t="s">
        <v>5098</v>
      </c>
      <c r="D565" t="s">
        <v>5099</v>
      </c>
      <c r="E565" t="s">
        <v>63</v>
      </c>
      <c r="F565">
        <v>2016</v>
      </c>
      <c r="G565" t="s">
        <v>84</v>
      </c>
      <c r="H565">
        <v>13</v>
      </c>
      <c r="I565">
        <v>4</v>
      </c>
      <c r="J565">
        <v>460</v>
      </c>
      <c r="K565">
        <v>461</v>
      </c>
      <c r="L565" t="s">
        <v>5100</v>
      </c>
      <c r="M565" t="s">
        <v>63</v>
      </c>
      <c r="N565" t="s">
        <v>5101</v>
      </c>
      <c r="O565" t="s">
        <v>63</v>
      </c>
      <c r="Q565" t="s">
        <v>63</v>
      </c>
      <c r="R565" t="s">
        <v>63</v>
      </c>
      <c r="S565" t="s">
        <v>63</v>
      </c>
      <c r="T565" t="s">
        <v>63</v>
      </c>
      <c r="X565" t="s">
        <v>63</v>
      </c>
      <c r="Y565" t="s">
        <v>5102</v>
      </c>
      <c r="Z565" t="s">
        <v>63</v>
      </c>
      <c r="AA565" t="s">
        <v>5103</v>
      </c>
      <c r="AB565">
        <v>27058182</v>
      </c>
      <c r="AC565" t="s">
        <v>67</v>
      </c>
      <c r="AD565" t="s">
        <v>63</v>
      </c>
      <c r="AE565" t="s">
        <v>63</v>
      </c>
      <c r="AF565" t="s">
        <v>63</v>
      </c>
      <c r="AG565" t="s">
        <v>5104</v>
      </c>
      <c r="AH565" t="s">
        <v>63</v>
      </c>
      <c r="AI565" t="s">
        <v>5105</v>
      </c>
      <c r="AJ565" t="s">
        <v>63</v>
      </c>
      <c r="AK565" t="s">
        <v>63</v>
      </c>
      <c r="AL565" t="s">
        <v>63</v>
      </c>
      <c r="AM565" t="s">
        <v>5106</v>
      </c>
      <c r="AN565" t="s">
        <v>63</v>
      </c>
      <c r="AO565" t="s">
        <v>63</v>
      </c>
      <c r="AP565" t="s">
        <v>63</v>
      </c>
      <c r="AQ565" t="s">
        <v>63</v>
      </c>
      <c r="AR565" t="s">
        <v>63</v>
      </c>
      <c r="AS565" t="s">
        <v>63</v>
      </c>
      <c r="AT565" t="s">
        <v>63</v>
      </c>
      <c r="AU565" t="s">
        <v>63</v>
      </c>
      <c r="AV565" t="s">
        <v>63</v>
      </c>
      <c r="AW565" t="s">
        <v>63</v>
      </c>
      <c r="AX565" t="s">
        <v>63</v>
      </c>
      <c r="AY565" t="s">
        <v>63</v>
      </c>
      <c r="AZ565" t="s">
        <v>63</v>
      </c>
      <c r="BA565" t="s">
        <v>63</v>
      </c>
      <c r="BB565" t="s">
        <v>63</v>
      </c>
      <c r="BC565" t="s">
        <v>63</v>
      </c>
      <c r="BD565" t="s">
        <v>63</v>
      </c>
      <c r="BE565" t="s">
        <v>63</v>
      </c>
      <c r="BF565" t="s">
        <v>63</v>
      </c>
    </row>
    <row r="566" spans="1:58">
      <c r="A566" t="s">
        <v>58</v>
      </c>
      <c r="B566" t="s">
        <v>5107</v>
      </c>
      <c r="C566" t="s">
        <v>5108</v>
      </c>
      <c r="D566" t="s">
        <v>3297</v>
      </c>
      <c r="E566" t="s">
        <v>63</v>
      </c>
      <c r="F566">
        <v>1985</v>
      </c>
      <c r="G566" s="1">
        <v>41678</v>
      </c>
      <c r="H566">
        <v>290</v>
      </c>
      <c r="I566">
        <v>6466</v>
      </c>
      <c r="J566">
        <v>425</v>
      </c>
      <c r="K566">
        <v>428</v>
      </c>
      <c r="L566" t="s">
        <v>5109</v>
      </c>
      <c r="M566" t="s">
        <v>5110</v>
      </c>
      <c r="N566" t="s">
        <v>5111</v>
      </c>
      <c r="O566" t="s">
        <v>63</v>
      </c>
      <c r="Q566" t="s">
        <v>63</v>
      </c>
      <c r="R566" t="s">
        <v>63</v>
      </c>
      <c r="S566" t="s">
        <v>63</v>
      </c>
      <c r="T566" t="s">
        <v>63</v>
      </c>
      <c r="X566" t="s">
        <v>63</v>
      </c>
      <c r="Y566" t="s">
        <v>3301</v>
      </c>
      <c r="Z566" t="s">
        <v>63</v>
      </c>
      <c r="AA566" t="s">
        <v>63</v>
      </c>
      <c r="AB566">
        <v>3918614</v>
      </c>
      <c r="AC566" t="s">
        <v>67</v>
      </c>
      <c r="AD566" t="s">
        <v>63</v>
      </c>
      <c r="AE566" t="s">
        <v>63</v>
      </c>
      <c r="AF566" t="s">
        <v>63</v>
      </c>
      <c r="AG566" t="s">
        <v>5112</v>
      </c>
      <c r="AH566" t="s">
        <v>63</v>
      </c>
      <c r="AI566" t="s">
        <v>63</v>
      </c>
      <c r="AJ566" t="s">
        <v>63</v>
      </c>
      <c r="AK566" t="s">
        <v>63</v>
      </c>
      <c r="AL566" t="s">
        <v>63</v>
      </c>
      <c r="AM566" t="s">
        <v>5113</v>
      </c>
      <c r="AN566" t="s">
        <v>63</v>
      </c>
      <c r="AO566" t="s">
        <v>63</v>
      </c>
      <c r="AP566" t="s">
        <v>63</v>
      </c>
      <c r="AQ566" t="s">
        <v>63</v>
      </c>
      <c r="AR566" t="s">
        <v>63</v>
      </c>
      <c r="AS566" t="s">
        <v>63</v>
      </c>
      <c r="AT566" t="s">
        <v>63</v>
      </c>
      <c r="AU566" t="s">
        <v>63</v>
      </c>
      <c r="AV566" t="s">
        <v>63</v>
      </c>
      <c r="AW566" t="s">
        <v>63</v>
      </c>
      <c r="AX566" t="s">
        <v>63</v>
      </c>
      <c r="AY566" t="s">
        <v>63</v>
      </c>
      <c r="AZ566" t="s">
        <v>63</v>
      </c>
      <c r="BA566" t="s">
        <v>63</v>
      </c>
      <c r="BB566" t="s">
        <v>63</v>
      </c>
      <c r="BC566" t="s">
        <v>63</v>
      </c>
      <c r="BD566" t="s">
        <v>63</v>
      </c>
      <c r="BE566" t="s">
        <v>63</v>
      </c>
      <c r="BF566" t="s">
        <v>63</v>
      </c>
    </row>
    <row r="567" spans="1:58">
      <c r="A567" t="s">
        <v>58</v>
      </c>
      <c r="B567" t="s">
        <v>5114</v>
      </c>
      <c r="C567" t="s">
        <v>5115</v>
      </c>
      <c r="D567" t="s">
        <v>5116</v>
      </c>
      <c r="E567" t="s">
        <v>5117</v>
      </c>
      <c r="F567">
        <v>1993</v>
      </c>
      <c r="G567" t="s">
        <v>157</v>
      </c>
      <c r="H567">
        <v>33</v>
      </c>
      <c r="I567">
        <v>12</v>
      </c>
      <c r="J567">
        <v>1139</v>
      </c>
      <c r="K567">
        <v>1146</v>
      </c>
      <c r="L567" t="s">
        <v>5118</v>
      </c>
      <c r="M567" t="s">
        <v>5119</v>
      </c>
      <c r="N567" t="s">
        <v>5120</v>
      </c>
      <c r="O567" t="s">
        <v>63</v>
      </c>
      <c r="Q567" t="s">
        <v>63</v>
      </c>
      <c r="R567" t="s">
        <v>63</v>
      </c>
      <c r="S567" t="s">
        <v>63</v>
      </c>
      <c r="T567" t="s">
        <v>63</v>
      </c>
      <c r="X567" t="s">
        <v>63</v>
      </c>
      <c r="Y567" t="s">
        <v>5121</v>
      </c>
      <c r="Z567" t="s">
        <v>63</v>
      </c>
      <c r="AA567" t="s">
        <v>5122</v>
      </c>
      <c r="AB567">
        <v>7510314</v>
      </c>
      <c r="AC567" t="s">
        <v>67</v>
      </c>
      <c r="AD567" t="s">
        <v>63</v>
      </c>
      <c r="AE567" t="s">
        <v>63</v>
      </c>
      <c r="AF567" t="s">
        <v>63</v>
      </c>
      <c r="AG567" t="s">
        <v>5123</v>
      </c>
      <c r="AH567" t="s">
        <v>63</v>
      </c>
      <c r="AI567" t="s">
        <v>63</v>
      </c>
      <c r="AJ567" t="s">
        <v>63</v>
      </c>
      <c r="AK567" t="s">
        <v>63</v>
      </c>
      <c r="AL567" t="s">
        <v>63</v>
      </c>
      <c r="AM567" t="s">
        <v>5124</v>
      </c>
      <c r="AN567" t="s">
        <v>63</v>
      </c>
      <c r="AO567" t="s">
        <v>63</v>
      </c>
      <c r="AP567" t="s">
        <v>63</v>
      </c>
      <c r="AQ567" t="s">
        <v>63</v>
      </c>
      <c r="AR567" t="s">
        <v>63</v>
      </c>
      <c r="AS567" t="s">
        <v>63</v>
      </c>
      <c r="AT567" t="s">
        <v>63</v>
      </c>
      <c r="AU567" t="s">
        <v>63</v>
      </c>
      <c r="AV567" t="s">
        <v>63</v>
      </c>
      <c r="AW567" t="s">
        <v>63</v>
      </c>
      <c r="AX567" t="s">
        <v>63</v>
      </c>
      <c r="AY567" t="s">
        <v>63</v>
      </c>
      <c r="AZ567" t="s">
        <v>63</v>
      </c>
      <c r="BA567" t="s">
        <v>63</v>
      </c>
      <c r="BB567" t="s">
        <v>63</v>
      </c>
      <c r="BC567" t="s">
        <v>63</v>
      </c>
      <c r="BD567" t="s">
        <v>63</v>
      </c>
      <c r="BE567" t="s">
        <v>63</v>
      </c>
      <c r="BF567" t="s">
        <v>63</v>
      </c>
    </row>
    <row r="568" spans="1:58">
      <c r="A568" t="s">
        <v>58</v>
      </c>
      <c r="B568" t="s">
        <v>5125</v>
      </c>
      <c r="C568" t="s">
        <v>5126</v>
      </c>
      <c r="D568" t="s">
        <v>5116</v>
      </c>
      <c r="E568" t="s">
        <v>5117</v>
      </c>
      <c r="F568">
        <v>2000</v>
      </c>
      <c r="G568" t="s">
        <v>1670</v>
      </c>
      <c r="H568">
        <v>40</v>
      </c>
      <c r="I568">
        <v>7</v>
      </c>
      <c r="J568">
        <v>708</v>
      </c>
      <c r="K568">
        <v>712</v>
      </c>
      <c r="L568" t="s">
        <v>5127</v>
      </c>
      <c r="M568" t="s">
        <v>5128</v>
      </c>
      <c r="N568" t="s">
        <v>5129</v>
      </c>
      <c r="O568" t="s">
        <v>63</v>
      </c>
      <c r="Q568" t="s">
        <v>63</v>
      </c>
      <c r="R568" t="s">
        <v>63</v>
      </c>
      <c r="S568" t="s">
        <v>63</v>
      </c>
      <c r="T568" t="s">
        <v>63</v>
      </c>
      <c r="X568" t="s">
        <v>63</v>
      </c>
      <c r="Y568" t="s">
        <v>5121</v>
      </c>
      <c r="Z568" t="s">
        <v>63</v>
      </c>
      <c r="AA568" t="s">
        <v>5130</v>
      </c>
      <c r="AB568">
        <v>10883411</v>
      </c>
      <c r="AC568" t="s">
        <v>67</v>
      </c>
      <c r="AD568" t="s">
        <v>63</v>
      </c>
      <c r="AE568" t="s">
        <v>63</v>
      </c>
      <c r="AF568" t="s">
        <v>63</v>
      </c>
      <c r="AG568" t="s">
        <v>5131</v>
      </c>
      <c r="AH568" t="s">
        <v>63</v>
      </c>
      <c r="AI568" t="s">
        <v>63</v>
      </c>
      <c r="AJ568" t="s">
        <v>63</v>
      </c>
      <c r="AK568" t="s">
        <v>63</v>
      </c>
      <c r="AL568" t="s">
        <v>63</v>
      </c>
      <c r="AM568" t="s">
        <v>5132</v>
      </c>
      <c r="AN568" t="s">
        <v>63</v>
      </c>
      <c r="AO568" t="s">
        <v>63</v>
      </c>
      <c r="AP568" t="s">
        <v>63</v>
      </c>
      <c r="AQ568" t="s">
        <v>63</v>
      </c>
      <c r="AR568" t="s">
        <v>63</v>
      </c>
      <c r="AS568" t="s">
        <v>63</v>
      </c>
      <c r="AT568" t="s">
        <v>63</v>
      </c>
      <c r="AU568" t="s">
        <v>63</v>
      </c>
      <c r="AV568" t="s">
        <v>63</v>
      </c>
      <c r="AW568" t="s">
        <v>63</v>
      </c>
      <c r="AX568" t="s">
        <v>63</v>
      </c>
      <c r="AY568" t="s">
        <v>63</v>
      </c>
      <c r="AZ568" t="s">
        <v>63</v>
      </c>
      <c r="BA568" t="s">
        <v>63</v>
      </c>
      <c r="BB568" t="s">
        <v>63</v>
      </c>
      <c r="BC568" t="s">
        <v>63</v>
      </c>
      <c r="BD568" t="s">
        <v>63</v>
      </c>
      <c r="BE568" t="s">
        <v>63</v>
      </c>
      <c r="BF568" t="s">
        <v>63</v>
      </c>
    </row>
    <row r="569" spans="1:58">
      <c r="A569" t="s">
        <v>58</v>
      </c>
      <c r="B569" t="s">
        <v>5133</v>
      </c>
      <c r="C569" t="s">
        <v>5134</v>
      </c>
      <c r="D569" t="s">
        <v>1481</v>
      </c>
      <c r="E569" t="s">
        <v>1481</v>
      </c>
      <c r="F569">
        <v>2007</v>
      </c>
      <c r="G569" t="s">
        <v>219</v>
      </c>
      <c r="H569">
        <v>102</v>
      </c>
      <c r="I569">
        <v>11</v>
      </c>
      <c r="J569">
        <v>1840</v>
      </c>
      <c r="K569" t="s">
        <v>63</v>
      </c>
      <c r="L569" t="s">
        <v>5135</v>
      </c>
      <c r="M569" t="s">
        <v>63</v>
      </c>
      <c r="N569" t="s">
        <v>5136</v>
      </c>
      <c r="O569" t="s">
        <v>63</v>
      </c>
      <c r="Q569" t="s">
        <v>63</v>
      </c>
      <c r="R569" t="s">
        <v>63</v>
      </c>
      <c r="S569" t="s">
        <v>63</v>
      </c>
      <c r="T569" t="s">
        <v>63</v>
      </c>
      <c r="X569" t="s">
        <v>63</v>
      </c>
      <c r="Y569" t="s">
        <v>2426</v>
      </c>
      <c r="Z569" t="s">
        <v>63</v>
      </c>
      <c r="AA569" t="s">
        <v>63</v>
      </c>
      <c r="AB569">
        <v>17935588</v>
      </c>
      <c r="AC569" t="s">
        <v>67</v>
      </c>
      <c r="AD569" t="s">
        <v>63</v>
      </c>
      <c r="AE569" t="s">
        <v>63</v>
      </c>
      <c r="AF569" t="s">
        <v>63</v>
      </c>
      <c r="AG569" t="s">
        <v>5137</v>
      </c>
      <c r="AH569" t="s">
        <v>63</v>
      </c>
      <c r="AI569" t="s">
        <v>63</v>
      </c>
      <c r="AJ569" t="s">
        <v>63</v>
      </c>
      <c r="AK569" t="s">
        <v>63</v>
      </c>
      <c r="AL569" t="s">
        <v>63</v>
      </c>
      <c r="AM569" t="s">
        <v>5138</v>
      </c>
      <c r="AN569" t="s">
        <v>63</v>
      </c>
      <c r="AO569" t="s">
        <v>63</v>
      </c>
      <c r="AP569" t="s">
        <v>63</v>
      </c>
      <c r="AQ569" t="s">
        <v>63</v>
      </c>
      <c r="AR569" t="s">
        <v>63</v>
      </c>
      <c r="AS569" t="s">
        <v>63</v>
      </c>
      <c r="AT569" t="s">
        <v>63</v>
      </c>
      <c r="AU569" t="s">
        <v>63</v>
      </c>
      <c r="AV569" t="s">
        <v>63</v>
      </c>
      <c r="AW569" t="s">
        <v>63</v>
      </c>
      <c r="AX569" t="s">
        <v>63</v>
      </c>
      <c r="AY569" t="s">
        <v>63</v>
      </c>
      <c r="AZ569" t="s">
        <v>63</v>
      </c>
      <c r="BA569" t="s">
        <v>63</v>
      </c>
      <c r="BB569" t="s">
        <v>63</v>
      </c>
      <c r="BC569" t="s">
        <v>63</v>
      </c>
      <c r="BD569" t="s">
        <v>63</v>
      </c>
      <c r="BE569" t="s">
        <v>63</v>
      </c>
      <c r="BF569" t="s">
        <v>63</v>
      </c>
    </row>
    <row r="570" spans="1:58">
      <c r="A570" t="s">
        <v>58</v>
      </c>
      <c r="B570" t="s">
        <v>5139</v>
      </c>
      <c r="C570" t="s">
        <v>5140</v>
      </c>
      <c r="D570" t="s">
        <v>1439</v>
      </c>
      <c r="E570" t="s">
        <v>1439</v>
      </c>
      <c r="F570">
        <v>1992</v>
      </c>
      <c r="G570" s="1">
        <v>41764</v>
      </c>
      <c r="H570">
        <v>89</v>
      </c>
      <c r="I570">
        <v>19</v>
      </c>
      <c r="J570">
        <v>1697</v>
      </c>
      <c r="K570">
        <v>1699</v>
      </c>
      <c r="L570" t="s">
        <v>5141</v>
      </c>
      <c r="M570" t="s">
        <v>63</v>
      </c>
      <c r="N570" t="s">
        <v>5142</v>
      </c>
      <c r="O570" t="s">
        <v>63</v>
      </c>
      <c r="Q570" t="s">
        <v>63</v>
      </c>
      <c r="R570" t="s">
        <v>63</v>
      </c>
      <c r="S570" t="s">
        <v>63</v>
      </c>
      <c r="T570" t="s">
        <v>63</v>
      </c>
      <c r="X570" t="s">
        <v>63</v>
      </c>
      <c r="Y570" t="s">
        <v>1442</v>
      </c>
      <c r="Z570" t="s">
        <v>63</v>
      </c>
      <c r="AA570" t="s">
        <v>5143</v>
      </c>
      <c r="AB570">
        <v>1579040</v>
      </c>
      <c r="AC570" t="s">
        <v>1444</v>
      </c>
      <c r="AD570" t="s">
        <v>63</v>
      </c>
      <c r="AE570" t="s">
        <v>63</v>
      </c>
      <c r="AF570" t="s">
        <v>63</v>
      </c>
      <c r="AG570" t="s">
        <v>5144</v>
      </c>
      <c r="AH570" t="s">
        <v>63</v>
      </c>
      <c r="AI570" t="s">
        <v>63</v>
      </c>
      <c r="AJ570" t="s">
        <v>63</v>
      </c>
      <c r="AK570" t="s">
        <v>63</v>
      </c>
      <c r="AL570" t="s">
        <v>63</v>
      </c>
      <c r="AM570" t="s">
        <v>5145</v>
      </c>
      <c r="AN570" t="s">
        <v>63</v>
      </c>
      <c r="AO570" t="s">
        <v>63</v>
      </c>
      <c r="AP570" t="s">
        <v>63</v>
      </c>
      <c r="AQ570" t="s">
        <v>63</v>
      </c>
      <c r="AR570" t="s">
        <v>63</v>
      </c>
      <c r="AS570" t="s">
        <v>63</v>
      </c>
      <c r="AT570" t="s">
        <v>63</v>
      </c>
      <c r="AU570" t="s">
        <v>63</v>
      </c>
      <c r="AV570" t="s">
        <v>63</v>
      </c>
      <c r="AW570" t="s">
        <v>63</v>
      </c>
      <c r="AX570" t="s">
        <v>63</v>
      </c>
      <c r="AY570" t="s">
        <v>63</v>
      </c>
      <c r="AZ570" t="s">
        <v>63</v>
      </c>
      <c r="BA570" t="s">
        <v>63</v>
      </c>
      <c r="BB570" t="s">
        <v>63</v>
      </c>
      <c r="BC570" t="s">
        <v>63</v>
      </c>
      <c r="BD570" t="s">
        <v>63</v>
      </c>
      <c r="BE570" t="s">
        <v>63</v>
      </c>
      <c r="BF570" t="s">
        <v>63</v>
      </c>
    </row>
    <row r="571" spans="1:58">
      <c r="A571" t="s">
        <v>58</v>
      </c>
      <c r="B571" t="s">
        <v>5146</v>
      </c>
      <c r="C571" t="s">
        <v>5147</v>
      </c>
      <c r="D571" t="s">
        <v>5148</v>
      </c>
      <c r="E571" t="s">
        <v>5148</v>
      </c>
      <c r="F571">
        <v>1989</v>
      </c>
      <c r="G571" t="s">
        <v>73</v>
      </c>
      <c r="H571">
        <v>43</v>
      </c>
      <c r="I571">
        <v>6</v>
      </c>
      <c r="J571">
        <v>284</v>
      </c>
      <c r="K571">
        <v>289</v>
      </c>
      <c r="L571" t="s">
        <v>5149</v>
      </c>
      <c r="M571" t="s">
        <v>5150</v>
      </c>
      <c r="N571" t="s">
        <v>5151</v>
      </c>
      <c r="O571" t="s">
        <v>63</v>
      </c>
      <c r="Q571" t="s">
        <v>63</v>
      </c>
      <c r="R571" t="s">
        <v>63</v>
      </c>
      <c r="S571" t="s">
        <v>63</v>
      </c>
      <c r="T571" t="s">
        <v>63</v>
      </c>
      <c r="X571" t="s">
        <v>63</v>
      </c>
      <c r="Y571" t="s">
        <v>5152</v>
      </c>
      <c r="Z571" t="s">
        <v>63</v>
      </c>
      <c r="AA571" t="s">
        <v>63</v>
      </c>
      <c r="AB571">
        <v>2755926</v>
      </c>
      <c r="AC571" t="s">
        <v>102</v>
      </c>
      <c r="AD571" t="s">
        <v>63</v>
      </c>
      <c r="AE571" t="s">
        <v>63</v>
      </c>
      <c r="AF571" t="s">
        <v>63</v>
      </c>
      <c r="AG571" t="s">
        <v>5153</v>
      </c>
      <c r="AH571" t="s">
        <v>63</v>
      </c>
      <c r="AI571" t="s">
        <v>63</v>
      </c>
      <c r="AJ571" t="s">
        <v>63</v>
      </c>
      <c r="AK571" t="s">
        <v>63</v>
      </c>
      <c r="AL571" t="s">
        <v>63</v>
      </c>
      <c r="AM571" t="s">
        <v>5154</v>
      </c>
      <c r="AN571" t="s">
        <v>63</v>
      </c>
      <c r="AO571" t="s">
        <v>63</v>
      </c>
      <c r="AP571" t="s">
        <v>63</v>
      </c>
      <c r="AQ571" t="s">
        <v>63</v>
      </c>
      <c r="AR571" t="s">
        <v>63</v>
      </c>
      <c r="AS571" t="s">
        <v>63</v>
      </c>
      <c r="AT571" t="s">
        <v>63</v>
      </c>
      <c r="AU571" t="s">
        <v>63</v>
      </c>
      <c r="AV571" t="s">
        <v>63</v>
      </c>
      <c r="AW571" t="s">
        <v>63</v>
      </c>
      <c r="AX571" t="s">
        <v>63</v>
      </c>
      <c r="AY571" t="s">
        <v>63</v>
      </c>
      <c r="AZ571" t="s">
        <v>63</v>
      </c>
      <c r="BA571" t="s">
        <v>63</v>
      </c>
      <c r="BB571" t="s">
        <v>63</v>
      </c>
      <c r="BC571" t="s">
        <v>63</v>
      </c>
      <c r="BD571" t="s">
        <v>63</v>
      </c>
      <c r="BE571" t="s">
        <v>63</v>
      </c>
      <c r="BF571" t="s">
        <v>63</v>
      </c>
    </row>
    <row r="572" spans="1:58">
      <c r="A572" t="s">
        <v>58</v>
      </c>
      <c r="B572" t="s">
        <v>5155</v>
      </c>
      <c r="C572" t="s">
        <v>5156</v>
      </c>
      <c r="D572" t="s">
        <v>3984</v>
      </c>
      <c r="E572" t="s">
        <v>63</v>
      </c>
      <c r="F572">
        <v>2007</v>
      </c>
      <c r="G572" t="s">
        <v>181</v>
      </c>
      <c r="H572">
        <v>8</v>
      </c>
      <c r="I572">
        <v>9</v>
      </c>
      <c r="J572">
        <v>682</v>
      </c>
      <c r="K572">
        <v>691</v>
      </c>
      <c r="L572" t="s">
        <v>5157</v>
      </c>
      <c r="M572" t="s">
        <v>5158</v>
      </c>
      <c r="N572" t="s">
        <v>5159</v>
      </c>
      <c r="O572" t="s">
        <v>63</v>
      </c>
      <c r="Q572" t="s">
        <v>63</v>
      </c>
      <c r="R572" t="s">
        <v>63</v>
      </c>
      <c r="S572" t="s">
        <v>63</v>
      </c>
      <c r="T572" t="s">
        <v>63</v>
      </c>
      <c r="X572" t="s">
        <v>63</v>
      </c>
      <c r="Y572" t="s">
        <v>5160</v>
      </c>
      <c r="Z572" t="s">
        <v>63</v>
      </c>
      <c r="AA572" t="s">
        <v>5161</v>
      </c>
      <c r="AB572">
        <v>17627894</v>
      </c>
      <c r="AC572" t="s">
        <v>67</v>
      </c>
      <c r="AD572" t="s">
        <v>63</v>
      </c>
      <c r="AE572" t="s">
        <v>63</v>
      </c>
      <c r="AF572" t="s">
        <v>63</v>
      </c>
      <c r="AG572" t="s">
        <v>5162</v>
      </c>
      <c r="AH572" t="s">
        <v>63</v>
      </c>
      <c r="AI572" t="s">
        <v>63</v>
      </c>
      <c r="AJ572" t="s">
        <v>63</v>
      </c>
      <c r="AK572" t="s">
        <v>63</v>
      </c>
      <c r="AL572" t="s">
        <v>63</v>
      </c>
      <c r="AM572" t="s">
        <v>5163</v>
      </c>
      <c r="AN572" t="s">
        <v>63</v>
      </c>
      <c r="AO572" t="s">
        <v>63</v>
      </c>
      <c r="AP572" t="s">
        <v>63</v>
      </c>
      <c r="AQ572" t="s">
        <v>63</v>
      </c>
      <c r="AR572" t="s">
        <v>63</v>
      </c>
      <c r="AS572" t="s">
        <v>63</v>
      </c>
      <c r="AT572" t="s">
        <v>63</v>
      </c>
      <c r="AU572" t="s">
        <v>63</v>
      </c>
      <c r="AV572" t="s">
        <v>63</v>
      </c>
      <c r="AW572" t="s">
        <v>63</v>
      </c>
      <c r="AX572" t="s">
        <v>63</v>
      </c>
      <c r="AY572" t="s">
        <v>63</v>
      </c>
      <c r="AZ572" t="s">
        <v>63</v>
      </c>
      <c r="BA572" t="s">
        <v>63</v>
      </c>
      <c r="BB572" t="s">
        <v>63</v>
      </c>
      <c r="BC572" t="s">
        <v>63</v>
      </c>
      <c r="BD572" t="s">
        <v>63</v>
      </c>
      <c r="BE572" t="s">
        <v>63</v>
      </c>
      <c r="BF572" t="s">
        <v>63</v>
      </c>
    </row>
    <row r="573" spans="1:58">
      <c r="A573" t="s">
        <v>58</v>
      </c>
      <c r="B573" t="s">
        <v>5164</v>
      </c>
      <c r="C573" t="s">
        <v>5165</v>
      </c>
      <c r="D573" t="s">
        <v>5166</v>
      </c>
      <c r="E573" t="s">
        <v>5167</v>
      </c>
      <c r="F573">
        <v>1985</v>
      </c>
      <c r="G573" t="s">
        <v>1670</v>
      </c>
      <c r="H573">
        <v>85</v>
      </c>
      <c r="I573">
        <v>7</v>
      </c>
      <c r="J573">
        <v>299</v>
      </c>
      <c r="K573">
        <v>301</v>
      </c>
      <c r="L573" t="s">
        <v>5168</v>
      </c>
      <c r="M573" t="s">
        <v>63</v>
      </c>
      <c r="N573" t="s">
        <v>5169</v>
      </c>
      <c r="O573" t="s">
        <v>63</v>
      </c>
      <c r="Q573" t="s">
        <v>63</v>
      </c>
      <c r="R573" t="s">
        <v>63</v>
      </c>
      <c r="S573" t="s">
        <v>63</v>
      </c>
      <c r="T573" t="s">
        <v>63</v>
      </c>
      <c r="X573" t="s">
        <v>63</v>
      </c>
      <c r="Y573" t="s">
        <v>5170</v>
      </c>
      <c r="Z573" t="s">
        <v>63</v>
      </c>
      <c r="AA573" t="s">
        <v>63</v>
      </c>
      <c r="AB573">
        <v>3862986</v>
      </c>
      <c r="AC573" t="s">
        <v>67</v>
      </c>
      <c r="AD573" t="s">
        <v>63</v>
      </c>
      <c r="AE573" t="s">
        <v>63</v>
      </c>
      <c r="AF573" t="s">
        <v>63</v>
      </c>
      <c r="AG573" t="s">
        <v>5171</v>
      </c>
      <c r="AH573" t="s">
        <v>63</v>
      </c>
      <c r="AI573" t="s">
        <v>63</v>
      </c>
      <c r="AJ573" t="s">
        <v>63</v>
      </c>
      <c r="AK573" t="s">
        <v>63</v>
      </c>
      <c r="AL573" t="s">
        <v>63</v>
      </c>
      <c r="AM573" t="s">
        <v>5172</v>
      </c>
      <c r="AN573" t="s">
        <v>63</v>
      </c>
      <c r="AO573" t="s">
        <v>63</v>
      </c>
      <c r="AP573" t="s">
        <v>63</v>
      </c>
      <c r="AQ573" t="s">
        <v>63</v>
      </c>
      <c r="AR573" t="s">
        <v>63</v>
      </c>
      <c r="AS573" t="s">
        <v>63</v>
      </c>
      <c r="AT573" t="s">
        <v>63</v>
      </c>
      <c r="AU573" t="s">
        <v>63</v>
      </c>
      <c r="AV573" t="s">
        <v>63</v>
      </c>
      <c r="AW573" t="s">
        <v>63</v>
      </c>
      <c r="AX573" t="s">
        <v>63</v>
      </c>
      <c r="AY573" t="s">
        <v>63</v>
      </c>
      <c r="AZ573" t="s">
        <v>63</v>
      </c>
      <c r="BA573" t="s">
        <v>63</v>
      </c>
      <c r="BB573" t="s">
        <v>63</v>
      </c>
      <c r="BC573" t="s">
        <v>63</v>
      </c>
      <c r="BD573" t="s">
        <v>63</v>
      </c>
      <c r="BE573" t="s">
        <v>63</v>
      </c>
      <c r="BF573" t="s">
        <v>63</v>
      </c>
    </row>
    <row r="574" spans="1:58">
      <c r="A574" t="s">
        <v>58</v>
      </c>
      <c r="B574" t="s">
        <v>5173</v>
      </c>
      <c r="C574" t="s">
        <v>5174</v>
      </c>
      <c r="D574" t="s">
        <v>5175</v>
      </c>
      <c r="E574" t="s">
        <v>63</v>
      </c>
      <c r="F574">
        <v>1990</v>
      </c>
      <c r="G574" t="s">
        <v>63</v>
      </c>
      <c r="H574">
        <v>339</v>
      </c>
      <c r="I574" t="s">
        <v>63</v>
      </c>
      <c r="J574">
        <v>27</v>
      </c>
      <c r="K574">
        <v>48</v>
      </c>
      <c r="L574" t="s">
        <v>5176</v>
      </c>
      <c r="M574" t="s">
        <v>63</v>
      </c>
      <c r="N574" t="s">
        <v>5177</v>
      </c>
      <c r="O574" t="s">
        <v>63</v>
      </c>
      <c r="Q574" t="s">
        <v>63</v>
      </c>
      <c r="R574" t="s">
        <v>63</v>
      </c>
      <c r="S574" t="s">
        <v>63</v>
      </c>
      <c r="T574" t="s">
        <v>63</v>
      </c>
      <c r="X574" t="s">
        <v>63</v>
      </c>
      <c r="Y574" t="s">
        <v>5178</v>
      </c>
      <c r="Z574" t="s">
        <v>63</v>
      </c>
      <c r="AA574" t="s">
        <v>5179</v>
      </c>
      <c r="AB574">
        <v>2392425</v>
      </c>
      <c r="AC574" t="s">
        <v>67</v>
      </c>
      <c r="AD574" t="s">
        <v>63</v>
      </c>
      <c r="AE574" t="s">
        <v>63</v>
      </c>
      <c r="AF574" t="s">
        <v>63</v>
      </c>
      <c r="AG574" t="s">
        <v>5180</v>
      </c>
      <c r="AH574" t="s">
        <v>63</v>
      </c>
      <c r="AI574" t="s">
        <v>63</v>
      </c>
      <c r="AJ574" t="s">
        <v>63</v>
      </c>
      <c r="AK574" t="s">
        <v>63</v>
      </c>
      <c r="AL574" t="s">
        <v>63</v>
      </c>
      <c r="AM574" t="s">
        <v>5181</v>
      </c>
      <c r="AN574" t="s">
        <v>63</v>
      </c>
      <c r="AO574" t="s">
        <v>63</v>
      </c>
      <c r="AP574" t="s">
        <v>63</v>
      </c>
      <c r="AQ574" t="s">
        <v>63</v>
      </c>
      <c r="AR574" t="s">
        <v>63</v>
      </c>
      <c r="AS574" t="s">
        <v>63</v>
      </c>
      <c r="AT574" t="s">
        <v>63</v>
      </c>
      <c r="AU574" t="s">
        <v>63</v>
      </c>
      <c r="AV574" t="s">
        <v>63</v>
      </c>
      <c r="AW574" t="s">
        <v>63</v>
      </c>
      <c r="AX574" t="s">
        <v>63</v>
      </c>
      <c r="AY574" t="s">
        <v>63</v>
      </c>
      <c r="AZ574" t="s">
        <v>63</v>
      </c>
      <c r="BA574" t="s">
        <v>63</v>
      </c>
      <c r="BB574" t="s">
        <v>63</v>
      </c>
      <c r="BC574" t="s">
        <v>63</v>
      </c>
      <c r="BD574" t="s">
        <v>63</v>
      </c>
      <c r="BE574" t="s">
        <v>63</v>
      </c>
      <c r="BF574" t="s">
        <v>63</v>
      </c>
    </row>
    <row r="575" spans="1:58">
      <c r="A575" t="s">
        <v>58</v>
      </c>
      <c r="B575" t="s">
        <v>5182</v>
      </c>
      <c r="C575" t="s">
        <v>5183</v>
      </c>
      <c r="D575" t="s">
        <v>290</v>
      </c>
      <c r="E575" t="s">
        <v>291</v>
      </c>
      <c r="F575">
        <v>1987</v>
      </c>
      <c r="G575" s="1">
        <v>41916</v>
      </c>
      <c r="H575">
        <v>147</v>
      </c>
      <c r="I575">
        <v>7</v>
      </c>
      <c r="J575">
        <v>339</v>
      </c>
      <c r="K575">
        <v>341</v>
      </c>
      <c r="L575" t="s">
        <v>5184</v>
      </c>
      <c r="M575" t="s">
        <v>5185</v>
      </c>
      <c r="N575" t="s">
        <v>5186</v>
      </c>
      <c r="O575" t="s">
        <v>63</v>
      </c>
      <c r="Q575" t="s">
        <v>63</v>
      </c>
      <c r="R575" t="s">
        <v>63</v>
      </c>
      <c r="S575" t="s">
        <v>63</v>
      </c>
      <c r="T575" t="s">
        <v>63</v>
      </c>
      <c r="X575" t="s">
        <v>63</v>
      </c>
      <c r="Y575" t="s">
        <v>294</v>
      </c>
      <c r="Z575" t="s">
        <v>63</v>
      </c>
      <c r="AA575" t="s">
        <v>5187</v>
      </c>
      <c r="AB575">
        <v>3657660</v>
      </c>
      <c r="AC575" t="s">
        <v>67</v>
      </c>
      <c r="AD575" t="s">
        <v>63</v>
      </c>
      <c r="AE575" t="s">
        <v>63</v>
      </c>
      <c r="AF575" t="s">
        <v>63</v>
      </c>
      <c r="AG575" t="s">
        <v>5188</v>
      </c>
      <c r="AH575" t="s">
        <v>63</v>
      </c>
      <c r="AI575" t="s">
        <v>63</v>
      </c>
      <c r="AJ575" t="s">
        <v>63</v>
      </c>
      <c r="AK575" t="s">
        <v>63</v>
      </c>
      <c r="AL575" t="s">
        <v>63</v>
      </c>
      <c r="AM575" t="s">
        <v>5189</v>
      </c>
      <c r="AN575" t="s">
        <v>63</v>
      </c>
      <c r="AO575" t="s">
        <v>63</v>
      </c>
      <c r="AP575" t="s">
        <v>63</v>
      </c>
      <c r="AQ575" t="s">
        <v>63</v>
      </c>
      <c r="AR575" t="s">
        <v>63</v>
      </c>
      <c r="AS575" t="s">
        <v>63</v>
      </c>
      <c r="AT575" t="s">
        <v>63</v>
      </c>
      <c r="AU575" t="s">
        <v>63</v>
      </c>
      <c r="AV575" t="s">
        <v>63</v>
      </c>
      <c r="AW575" t="s">
        <v>63</v>
      </c>
      <c r="AX575" t="s">
        <v>63</v>
      </c>
      <c r="AY575" t="s">
        <v>63</v>
      </c>
      <c r="AZ575" t="s">
        <v>63</v>
      </c>
      <c r="BA575" t="s">
        <v>63</v>
      </c>
      <c r="BB575" t="s">
        <v>63</v>
      </c>
      <c r="BC575" t="s">
        <v>63</v>
      </c>
      <c r="BD575" t="s">
        <v>63</v>
      </c>
      <c r="BE575" t="s">
        <v>63</v>
      </c>
      <c r="BF575" t="s">
        <v>63</v>
      </c>
    </row>
    <row r="576" spans="1:58">
      <c r="A576" t="s">
        <v>58</v>
      </c>
      <c r="B576" t="s">
        <v>5190</v>
      </c>
      <c r="C576" t="s">
        <v>5191</v>
      </c>
      <c r="D576" t="s">
        <v>3071</v>
      </c>
      <c r="E576" t="s">
        <v>3072</v>
      </c>
      <c r="F576">
        <v>1989</v>
      </c>
      <c r="G576" t="s">
        <v>326</v>
      </c>
      <c r="H576">
        <v>84</v>
      </c>
      <c r="I576">
        <v>2</v>
      </c>
      <c r="J576">
        <v>197</v>
      </c>
      <c r="K576">
        <v>202</v>
      </c>
      <c r="L576" t="s">
        <v>5192</v>
      </c>
      <c r="M576" t="s">
        <v>5193</v>
      </c>
      <c r="N576" t="s">
        <v>5194</v>
      </c>
      <c r="O576" t="s">
        <v>63</v>
      </c>
      <c r="Q576" t="s">
        <v>63</v>
      </c>
      <c r="R576" t="s">
        <v>63</v>
      </c>
      <c r="S576" t="s">
        <v>63</v>
      </c>
      <c r="T576" t="s">
        <v>63</v>
      </c>
      <c r="X576" t="s">
        <v>63</v>
      </c>
      <c r="Y576" t="s">
        <v>3075</v>
      </c>
      <c r="Z576" t="s">
        <v>63</v>
      </c>
      <c r="AA576" t="s">
        <v>63</v>
      </c>
      <c r="AB576">
        <v>2720184</v>
      </c>
      <c r="AC576" t="s">
        <v>67</v>
      </c>
      <c r="AD576" t="s">
        <v>63</v>
      </c>
      <c r="AE576" t="s">
        <v>63</v>
      </c>
      <c r="AF576" t="s">
        <v>63</v>
      </c>
      <c r="AG576" t="s">
        <v>5195</v>
      </c>
      <c r="AH576" t="s">
        <v>63</v>
      </c>
      <c r="AI576" t="s">
        <v>63</v>
      </c>
      <c r="AJ576" t="s">
        <v>63</v>
      </c>
      <c r="AK576" t="s">
        <v>63</v>
      </c>
      <c r="AL576" t="s">
        <v>63</v>
      </c>
      <c r="AM576" t="s">
        <v>5196</v>
      </c>
      <c r="AN576" t="s">
        <v>63</v>
      </c>
      <c r="AO576" t="s">
        <v>63</v>
      </c>
      <c r="AP576" t="s">
        <v>63</v>
      </c>
      <c r="AQ576" t="s">
        <v>63</v>
      </c>
      <c r="AR576" t="s">
        <v>63</v>
      </c>
      <c r="AS576" t="s">
        <v>63</v>
      </c>
      <c r="AT576" t="s">
        <v>63</v>
      </c>
      <c r="AU576" t="s">
        <v>63</v>
      </c>
      <c r="AV576" t="s">
        <v>63</v>
      </c>
      <c r="AW576" t="s">
        <v>63</v>
      </c>
      <c r="AX576" t="s">
        <v>63</v>
      </c>
      <c r="AY576" t="s">
        <v>63</v>
      </c>
      <c r="AZ576" t="s">
        <v>63</v>
      </c>
      <c r="BA576" t="s">
        <v>63</v>
      </c>
      <c r="BB576" t="s">
        <v>63</v>
      </c>
      <c r="BC576" t="s">
        <v>63</v>
      </c>
      <c r="BD576" t="s">
        <v>63</v>
      </c>
      <c r="BE576" t="s">
        <v>63</v>
      </c>
      <c r="BF576" t="s">
        <v>63</v>
      </c>
    </row>
    <row r="577" spans="1:58">
      <c r="A577" t="s">
        <v>58</v>
      </c>
      <c r="B577" t="s">
        <v>5190</v>
      </c>
      <c r="C577" t="s">
        <v>5197</v>
      </c>
      <c r="D577" t="s">
        <v>3071</v>
      </c>
      <c r="E577" t="s">
        <v>3072</v>
      </c>
      <c r="F577">
        <v>1988</v>
      </c>
      <c r="G577" t="s">
        <v>181</v>
      </c>
      <c r="H577">
        <v>83</v>
      </c>
      <c r="I577">
        <v>9</v>
      </c>
      <c r="J577">
        <v>999</v>
      </c>
      <c r="K577">
        <v>1001</v>
      </c>
      <c r="L577" t="s">
        <v>5198</v>
      </c>
      <c r="M577" t="s">
        <v>63</v>
      </c>
      <c r="N577" t="s">
        <v>5199</v>
      </c>
      <c r="O577" t="s">
        <v>63</v>
      </c>
      <c r="Q577" t="s">
        <v>63</v>
      </c>
      <c r="R577" t="s">
        <v>63</v>
      </c>
      <c r="S577" t="s">
        <v>63</v>
      </c>
      <c r="T577" t="s">
        <v>63</v>
      </c>
      <c r="X577" t="s">
        <v>63</v>
      </c>
      <c r="Y577" t="s">
        <v>3075</v>
      </c>
      <c r="Z577" t="s">
        <v>63</v>
      </c>
      <c r="AA577" t="s">
        <v>63</v>
      </c>
      <c r="AB577">
        <v>3224197</v>
      </c>
      <c r="AC577" t="s">
        <v>67</v>
      </c>
      <c r="AD577" t="s">
        <v>63</v>
      </c>
      <c r="AE577" t="s">
        <v>63</v>
      </c>
      <c r="AF577" t="s">
        <v>63</v>
      </c>
      <c r="AG577" t="s">
        <v>5200</v>
      </c>
      <c r="AH577" t="s">
        <v>63</v>
      </c>
      <c r="AI577" t="s">
        <v>63</v>
      </c>
      <c r="AJ577" t="s">
        <v>63</v>
      </c>
      <c r="AK577" t="s">
        <v>63</v>
      </c>
      <c r="AL577" t="s">
        <v>63</v>
      </c>
      <c r="AM577" t="s">
        <v>5201</v>
      </c>
      <c r="AN577" t="s">
        <v>63</v>
      </c>
      <c r="AO577" t="s">
        <v>63</v>
      </c>
      <c r="AP577" t="s">
        <v>63</v>
      </c>
      <c r="AQ577" t="s">
        <v>63</v>
      </c>
      <c r="AR577" t="s">
        <v>63</v>
      </c>
      <c r="AS577" t="s">
        <v>63</v>
      </c>
      <c r="AT577" t="s">
        <v>63</v>
      </c>
      <c r="AU577" t="s">
        <v>63</v>
      </c>
      <c r="AV577" t="s">
        <v>63</v>
      </c>
      <c r="AW577" t="s">
        <v>63</v>
      </c>
      <c r="AX577" t="s">
        <v>63</v>
      </c>
      <c r="AY577" t="s">
        <v>63</v>
      </c>
      <c r="AZ577" t="s">
        <v>63</v>
      </c>
      <c r="BA577" t="s">
        <v>63</v>
      </c>
      <c r="BB577" t="s">
        <v>63</v>
      </c>
      <c r="BC577" t="s">
        <v>63</v>
      </c>
      <c r="BD577" t="s">
        <v>63</v>
      </c>
      <c r="BE577" t="s">
        <v>63</v>
      </c>
      <c r="BF577" t="s">
        <v>63</v>
      </c>
    </row>
    <row r="578" spans="1:58">
      <c r="A578" t="s">
        <v>58</v>
      </c>
      <c r="B578" t="s">
        <v>5202</v>
      </c>
      <c r="C578" t="s">
        <v>5203</v>
      </c>
      <c r="D578" t="s">
        <v>5204</v>
      </c>
      <c r="E578" t="s">
        <v>5205</v>
      </c>
      <c r="F578">
        <v>1994</v>
      </c>
      <c r="G578" t="s">
        <v>198</v>
      </c>
      <c r="H578">
        <v>50</v>
      </c>
      <c r="I578">
        <v>1</v>
      </c>
      <c r="J578">
        <v>164</v>
      </c>
      <c r="K578">
        <v>170</v>
      </c>
      <c r="L578" t="s">
        <v>5206</v>
      </c>
      <c r="M578" t="s">
        <v>5207</v>
      </c>
      <c r="N578" t="s">
        <v>5208</v>
      </c>
      <c r="O578" t="s">
        <v>63</v>
      </c>
      <c r="Q578" t="s">
        <v>63</v>
      </c>
      <c r="R578" t="s">
        <v>63</v>
      </c>
      <c r="S578" t="s">
        <v>63</v>
      </c>
      <c r="T578" t="s">
        <v>63</v>
      </c>
      <c r="X578" t="s">
        <v>63</v>
      </c>
      <c r="Y578" t="s">
        <v>5209</v>
      </c>
      <c r="Z578" t="s">
        <v>63</v>
      </c>
      <c r="AA578" t="s">
        <v>5210</v>
      </c>
      <c r="AB578">
        <v>8149191</v>
      </c>
      <c r="AC578" t="s">
        <v>67</v>
      </c>
      <c r="AD578" t="s">
        <v>63</v>
      </c>
      <c r="AE578" t="s">
        <v>63</v>
      </c>
      <c r="AF578" t="s">
        <v>63</v>
      </c>
      <c r="AG578" t="s">
        <v>5211</v>
      </c>
      <c r="AH578" t="s">
        <v>63</v>
      </c>
      <c r="AI578" t="s">
        <v>63</v>
      </c>
      <c r="AJ578" t="s">
        <v>63</v>
      </c>
      <c r="AK578" t="s">
        <v>63</v>
      </c>
      <c r="AL578" t="s">
        <v>63</v>
      </c>
      <c r="AM578" t="s">
        <v>5212</v>
      </c>
      <c r="AN578" t="s">
        <v>63</v>
      </c>
      <c r="AO578" t="s">
        <v>63</v>
      </c>
      <c r="AP578" t="s">
        <v>63</v>
      </c>
      <c r="AQ578" t="s">
        <v>63</v>
      </c>
      <c r="AR578" t="s">
        <v>63</v>
      </c>
      <c r="AS578" t="s">
        <v>63</v>
      </c>
      <c r="AT578" t="s">
        <v>63</v>
      </c>
      <c r="AU578" t="s">
        <v>63</v>
      </c>
      <c r="AV578" t="s">
        <v>63</v>
      </c>
      <c r="AW578" t="s">
        <v>63</v>
      </c>
      <c r="AX578" t="s">
        <v>63</v>
      </c>
      <c r="AY578" t="s">
        <v>63</v>
      </c>
      <c r="AZ578" t="s">
        <v>63</v>
      </c>
      <c r="BA578" t="s">
        <v>63</v>
      </c>
      <c r="BB578" t="s">
        <v>63</v>
      </c>
      <c r="BC578" t="s">
        <v>63</v>
      </c>
      <c r="BD578" t="s">
        <v>63</v>
      </c>
      <c r="BE578" t="s">
        <v>63</v>
      </c>
      <c r="BF578" t="s">
        <v>63</v>
      </c>
    </row>
    <row r="579" spans="1:58">
      <c r="A579" t="s">
        <v>58</v>
      </c>
      <c r="B579" t="s">
        <v>5213</v>
      </c>
      <c r="C579" t="s">
        <v>5214</v>
      </c>
      <c r="D579" t="s">
        <v>180</v>
      </c>
      <c r="E579" t="s">
        <v>63</v>
      </c>
      <c r="F579">
        <v>1997</v>
      </c>
      <c r="G579" t="s">
        <v>1085</v>
      </c>
      <c r="H579">
        <v>32</v>
      </c>
      <c r="I579">
        <v>5</v>
      </c>
      <c r="J579">
        <v>627</v>
      </c>
      <c r="K579">
        <v>628</v>
      </c>
      <c r="L579" t="s">
        <v>5215</v>
      </c>
      <c r="M579" t="s">
        <v>63</v>
      </c>
      <c r="N579" t="s">
        <v>5216</v>
      </c>
      <c r="O579" t="s">
        <v>63</v>
      </c>
      <c r="Q579" t="s">
        <v>63</v>
      </c>
      <c r="R579" t="s">
        <v>63</v>
      </c>
      <c r="S579" t="s">
        <v>63</v>
      </c>
      <c r="T579" t="s">
        <v>63</v>
      </c>
      <c r="X579" t="s">
        <v>63</v>
      </c>
      <c r="Y579" t="s">
        <v>185</v>
      </c>
      <c r="Z579" t="s">
        <v>63</v>
      </c>
      <c r="AA579" t="s">
        <v>63</v>
      </c>
      <c r="AB579">
        <v>9373706</v>
      </c>
      <c r="AC579" t="s">
        <v>67</v>
      </c>
      <c r="AD579" t="s">
        <v>63</v>
      </c>
      <c r="AE579" t="s">
        <v>63</v>
      </c>
      <c r="AF579" t="s">
        <v>63</v>
      </c>
      <c r="AG579" t="s">
        <v>5217</v>
      </c>
      <c r="AH579" t="s">
        <v>63</v>
      </c>
      <c r="AI579" t="s">
        <v>63</v>
      </c>
      <c r="AJ579" t="s">
        <v>63</v>
      </c>
      <c r="AK579" t="s">
        <v>63</v>
      </c>
      <c r="AL579" t="s">
        <v>63</v>
      </c>
      <c r="AM579" t="s">
        <v>5218</v>
      </c>
      <c r="AN579" t="s">
        <v>63</v>
      </c>
      <c r="AO579" t="s">
        <v>63</v>
      </c>
      <c r="AP579" t="s">
        <v>63</v>
      </c>
      <c r="AQ579" t="s">
        <v>63</v>
      </c>
      <c r="AR579" t="s">
        <v>63</v>
      </c>
      <c r="AS579" t="s">
        <v>63</v>
      </c>
      <c r="AT579" t="s">
        <v>63</v>
      </c>
      <c r="AU579" t="s">
        <v>63</v>
      </c>
      <c r="AV579" t="s">
        <v>63</v>
      </c>
      <c r="AW579" t="s">
        <v>63</v>
      </c>
      <c r="AX579" t="s">
        <v>63</v>
      </c>
      <c r="AY579" t="s">
        <v>63</v>
      </c>
      <c r="AZ579" t="s">
        <v>63</v>
      </c>
      <c r="BA579" t="s">
        <v>63</v>
      </c>
      <c r="BB579" t="s">
        <v>63</v>
      </c>
      <c r="BC579" t="s">
        <v>63</v>
      </c>
      <c r="BD579" t="s">
        <v>63</v>
      </c>
      <c r="BE579" t="s">
        <v>63</v>
      </c>
      <c r="BF579" t="s">
        <v>63</v>
      </c>
    </row>
    <row r="580" spans="1:58">
      <c r="A580" t="s">
        <v>58</v>
      </c>
      <c r="B580" t="s">
        <v>5213</v>
      </c>
      <c r="C580" t="s">
        <v>5219</v>
      </c>
      <c r="D580" t="s">
        <v>5220</v>
      </c>
      <c r="E580" t="s">
        <v>5221</v>
      </c>
      <c r="F580">
        <v>1975</v>
      </c>
      <c r="G580" s="1">
        <v>41838</v>
      </c>
      <c r="H580">
        <v>3</v>
      </c>
      <c r="I580">
        <v>5976</v>
      </c>
      <c r="J580">
        <v>157</v>
      </c>
      <c r="K580" t="s">
        <v>63</v>
      </c>
      <c r="L580" t="s">
        <v>5222</v>
      </c>
      <c r="M580" t="s">
        <v>63</v>
      </c>
      <c r="N580" t="s">
        <v>5223</v>
      </c>
      <c r="O580" t="s">
        <v>63</v>
      </c>
      <c r="Q580" t="s">
        <v>63</v>
      </c>
      <c r="R580" t="s">
        <v>63</v>
      </c>
      <c r="S580" t="s">
        <v>63</v>
      </c>
      <c r="T580" t="s">
        <v>63</v>
      </c>
      <c r="X580" t="s">
        <v>63</v>
      </c>
      <c r="Y580" t="s">
        <v>5224</v>
      </c>
      <c r="Z580" t="s">
        <v>63</v>
      </c>
      <c r="AA580" t="s">
        <v>63</v>
      </c>
      <c r="AB580">
        <v>1139267</v>
      </c>
      <c r="AC580" t="s">
        <v>67</v>
      </c>
      <c r="AD580" t="s">
        <v>63</v>
      </c>
      <c r="AE580" t="s">
        <v>63</v>
      </c>
      <c r="AF580" t="s">
        <v>63</v>
      </c>
      <c r="AG580" t="s">
        <v>5225</v>
      </c>
      <c r="AH580" t="s">
        <v>63</v>
      </c>
      <c r="AI580" t="s">
        <v>63</v>
      </c>
      <c r="AJ580" t="s">
        <v>63</v>
      </c>
      <c r="AK580" t="s">
        <v>63</v>
      </c>
      <c r="AL580" t="s">
        <v>63</v>
      </c>
      <c r="AM580" t="s">
        <v>5226</v>
      </c>
      <c r="AN580" t="s">
        <v>63</v>
      </c>
      <c r="AO580" t="s">
        <v>63</v>
      </c>
      <c r="AP580" t="s">
        <v>63</v>
      </c>
      <c r="AQ580" t="s">
        <v>63</v>
      </c>
      <c r="AR580" t="s">
        <v>63</v>
      </c>
      <c r="AS580" t="s">
        <v>63</v>
      </c>
      <c r="AT580" t="s">
        <v>63</v>
      </c>
      <c r="AU580" t="s">
        <v>63</v>
      </c>
      <c r="AV580" t="s">
        <v>63</v>
      </c>
      <c r="AW580" t="s">
        <v>63</v>
      </c>
      <c r="AX580" t="s">
        <v>63</v>
      </c>
      <c r="AY580" t="s">
        <v>63</v>
      </c>
      <c r="AZ580" t="s">
        <v>63</v>
      </c>
      <c r="BA580" t="s">
        <v>63</v>
      </c>
      <c r="BB580" t="s">
        <v>63</v>
      </c>
      <c r="BC580" t="s">
        <v>63</v>
      </c>
      <c r="BD580" t="s">
        <v>63</v>
      </c>
      <c r="BE580" t="s">
        <v>63</v>
      </c>
      <c r="BF580" t="s">
        <v>63</v>
      </c>
    </row>
    <row r="581" spans="1:58">
      <c r="A581" t="s">
        <v>58</v>
      </c>
      <c r="B581" t="s">
        <v>5227</v>
      </c>
      <c r="C581" t="s">
        <v>5228</v>
      </c>
      <c r="D581" t="s">
        <v>360</v>
      </c>
      <c r="E581" t="s">
        <v>63</v>
      </c>
      <c r="F581">
        <v>1996</v>
      </c>
      <c r="G581" t="s">
        <v>219</v>
      </c>
      <c r="H581">
        <v>22</v>
      </c>
      <c r="I581">
        <v>4</v>
      </c>
      <c r="J581">
        <v>549</v>
      </c>
      <c r="K581">
        <v>561</v>
      </c>
      <c r="L581" t="s">
        <v>5229</v>
      </c>
      <c r="M581" t="s">
        <v>5230</v>
      </c>
      <c r="N581" t="s">
        <v>5231</v>
      </c>
      <c r="O581" t="s">
        <v>63</v>
      </c>
      <c r="Q581" t="s">
        <v>63</v>
      </c>
      <c r="R581" t="s">
        <v>63</v>
      </c>
      <c r="S581" t="s">
        <v>63</v>
      </c>
      <c r="T581" t="s">
        <v>63</v>
      </c>
      <c r="X581" t="s">
        <v>63</v>
      </c>
      <c r="Y581" t="s">
        <v>1683</v>
      </c>
      <c r="Z581" t="s">
        <v>63</v>
      </c>
      <c r="AA581" t="s">
        <v>5232</v>
      </c>
      <c r="AB581">
        <v>8911592</v>
      </c>
      <c r="AC581" t="s">
        <v>67</v>
      </c>
      <c r="AD581" t="s">
        <v>63</v>
      </c>
      <c r="AE581" t="s">
        <v>63</v>
      </c>
      <c r="AF581" t="s">
        <v>63</v>
      </c>
      <c r="AG581" t="s">
        <v>5233</v>
      </c>
      <c r="AH581" t="s">
        <v>63</v>
      </c>
      <c r="AI581" t="s">
        <v>63</v>
      </c>
      <c r="AJ581" t="s">
        <v>63</v>
      </c>
      <c r="AK581" t="s">
        <v>63</v>
      </c>
      <c r="AL581" t="s">
        <v>63</v>
      </c>
      <c r="AM581" t="s">
        <v>5234</v>
      </c>
      <c r="AN581" t="s">
        <v>63</v>
      </c>
      <c r="AO581" t="s">
        <v>63</v>
      </c>
      <c r="AP581" t="s">
        <v>63</v>
      </c>
      <c r="AQ581" t="s">
        <v>63</v>
      </c>
      <c r="AR581" t="s">
        <v>63</v>
      </c>
      <c r="AS581" t="s">
        <v>63</v>
      </c>
      <c r="AT581" t="s">
        <v>63</v>
      </c>
      <c r="AU581" t="s">
        <v>63</v>
      </c>
      <c r="AV581" t="s">
        <v>63</v>
      </c>
      <c r="AW581" t="s">
        <v>63</v>
      </c>
      <c r="AX581" t="s">
        <v>63</v>
      </c>
      <c r="AY581" t="s">
        <v>63</v>
      </c>
      <c r="AZ581" t="s">
        <v>63</v>
      </c>
      <c r="BA581" t="s">
        <v>63</v>
      </c>
      <c r="BB581" t="s">
        <v>63</v>
      </c>
      <c r="BC581" t="s">
        <v>63</v>
      </c>
      <c r="BD581" t="s">
        <v>63</v>
      </c>
      <c r="BE581" t="s">
        <v>63</v>
      </c>
      <c r="BF581" t="s">
        <v>63</v>
      </c>
    </row>
    <row r="582" spans="1:58">
      <c r="A582" t="s">
        <v>58</v>
      </c>
      <c r="B582" t="s">
        <v>5235</v>
      </c>
      <c r="C582" t="s">
        <v>5236</v>
      </c>
      <c r="D582" t="s">
        <v>2343</v>
      </c>
      <c r="E582" t="s">
        <v>2344</v>
      </c>
      <c r="F582">
        <v>1987</v>
      </c>
      <c r="G582" t="s">
        <v>326</v>
      </c>
      <c r="H582">
        <v>24</v>
      </c>
      <c r="I582">
        <v>2</v>
      </c>
      <c r="J582">
        <v>195</v>
      </c>
      <c r="K582">
        <v>197</v>
      </c>
      <c r="L582" t="s">
        <v>5237</v>
      </c>
      <c r="M582" t="s">
        <v>63</v>
      </c>
      <c r="N582" t="s">
        <v>5238</v>
      </c>
      <c r="O582" t="s">
        <v>63</v>
      </c>
      <c r="Q582" t="s">
        <v>63</v>
      </c>
      <c r="R582" t="s">
        <v>63</v>
      </c>
      <c r="S582" t="s">
        <v>63</v>
      </c>
      <c r="T582" t="s">
        <v>63</v>
      </c>
      <c r="X582" t="s">
        <v>63</v>
      </c>
      <c r="Y582" t="s">
        <v>2347</v>
      </c>
      <c r="Z582" t="s">
        <v>63</v>
      </c>
      <c r="AA582" t="s">
        <v>63</v>
      </c>
      <c r="AB582">
        <v>3806030</v>
      </c>
      <c r="AC582" t="s">
        <v>67</v>
      </c>
      <c r="AD582" t="s">
        <v>63</v>
      </c>
      <c r="AE582" t="s">
        <v>63</v>
      </c>
      <c r="AF582" t="s">
        <v>63</v>
      </c>
      <c r="AG582" t="s">
        <v>5239</v>
      </c>
      <c r="AH582" t="s">
        <v>63</v>
      </c>
      <c r="AI582" t="s">
        <v>63</v>
      </c>
      <c r="AJ582" t="s">
        <v>63</v>
      </c>
      <c r="AK582" t="s">
        <v>63</v>
      </c>
      <c r="AL582" t="s">
        <v>63</v>
      </c>
      <c r="AM582" t="s">
        <v>5240</v>
      </c>
      <c r="AN582" t="s">
        <v>63</v>
      </c>
      <c r="AO582" t="s">
        <v>63</v>
      </c>
      <c r="AP582" t="s">
        <v>63</v>
      </c>
      <c r="AQ582" t="s">
        <v>63</v>
      </c>
      <c r="AR582" t="s">
        <v>63</v>
      </c>
      <c r="AS582" t="s">
        <v>63</v>
      </c>
      <c r="AT582" t="s">
        <v>63</v>
      </c>
      <c r="AU582" t="s">
        <v>63</v>
      </c>
      <c r="AV582" t="s">
        <v>63</v>
      </c>
      <c r="AW582" t="s">
        <v>63</v>
      </c>
      <c r="AX582" t="s">
        <v>63</v>
      </c>
      <c r="AY582" t="s">
        <v>63</v>
      </c>
      <c r="AZ582" t="s">
        <v>63</v>
      </c>
      <c r="BA582" t="s">
        <v>63</v>
      </c>
      <c r="BB582" t="s">
        <v>63</v>
      </c>
      <c r="BC582" t="s">
        <v>63</v>
      </c>
      <c r="BD582" t="s">
        <v>63</v>
      </c>
      <c r="BE582" t="s">
        <v>63</v>
      </c>
      <c r="BF582" t="s">
        <v>63</v>
      </c>
    </row>
    <row r="583" spans="1:58">
      <c r="A583" t="s">
        <v>58</v>
      </c>
      <c r="B583" t="s">
        <v>5241</v>
      </c>
      <c r="C583" t="s">
        <v>5242</v>
      </c>
      <c r="D583" t="s">
        <v>5243</v>
      </c>
      <c r="E583" t="s">
        <v>5244</v>
      </c>
      <c r="F583">
        <v>2009</v>
      </c>
      <c r="G583" t="s">
        <v>181</v>
      </c>
      <c r="H583">
        <v>11</v>
      </c>
      <c r="I583">
        <v>6</v>
      </c>
      <c r="J583">
        <v>657</v>
      </c>
      <c r="K583">
        <v>662</v>
      </c>
      <c r="L583" t="s">
        <v>5245</v>
      </c>
      <c r="M583" t="s">
        <v>5246</v>
      </c>
      <c r="N583" t="s">
        <v>5247</v>
      </c>
      <c r="O583" t="s">
        <v>63</v>
      </c>
      <c r="Q583" t="s">
        <v>63</v>
      </c>
      <c r="R583" t="s">
        <v>63</v>
      </c>
      <c r="S583" t="s">
        <v>63</v>
      </c>
      <c r="T583" t="s">
        <v>63</v>
      </c>
      <c r="X583" t="s">
        <v>63</v>
      </c>
      <c r="Y583" t="s">
        <v>5248</v>
      </c>
      <c r="Z583" t="s">
        <v>63</v>
      </c>
      <c r="AA583" t="s">
        <v>5249</v>
      </c>
      <c r="AB583">
        <v>19689508</v>
      </c>
      <c r="AC583" t="s">
        <v>67</v>
      </c>
      <c r="AD583" t="s">
        <v>63</v>
      </c>
      <c r="AE583" t="s">
        <v>63</v>
      </c>
      <c r="AF583" t="s">
        <v>63</v>
      </c>
      <c r="AG583" t="s">
        <v>5250</v>
      </c>
      <c r="AH583" t="s">
        <v>63</v>
      </c>
      <c r="AI583" t="s">
        <v>5251</v>
      </c>
      <c r="AJ583" t="s">
        <v>63</v>
      </c>
      <c r="AK583" t="s">
        <v>63</v>
      </c>
      <c r="AL583" t="s">
        <v>63</v>
      </c>
      <c r="AM583" t="s">
        <v>5252</v>
      </c>
      <c r="AN583" t="s">
        <v>63</v>
      </c>
      <c r="AO583" t="s">
        <v>63</v>
      </c>
      <c r="AP583" t="s">
        <v>63</v>
      </c>
      <c r="AQ583" t="s">
        <v>63</v>
      </c>
      <c r="AR583" t="s">
        <v>63</v>
      </c>
      <c r="AS583" t="s">
        <v>63</v>
      </c>
      <c r="AT583" t="s">
        <v>63</v>
      </c>
      <c r="AU583" t="s">
        <v>63</v>
      </c>
      <c r="AV583" t="s">
        <v>63</v>
      </c>
      <c r="AW583" t="s">
        <v>63</v>
      </c>
      <c r="AX583" t="s">
        <v>63</v>
      </c>
      <c r="AY583" t="s">
        <v>63</v>
      </c>
      <c r="AZ583" t="s">
        <v>63</v>
      </c>
      <c r="BA583" t="s">
        <v>63</v>
      </c>
      <c r="BB583" t="s">
        <v>63</v>
      </c>
      <c r="BC583" t="s">
        <v>63</v>
      </c>
      <c r="BD583" t="s">
        <v>63</v>
      </c>
      <c r="BE583" t="s">
        <v>63</v>
      </c>
      <c r="BF583" t="s">
        <v>63</v>
      </c>
    </row>
    <row r="584" spans="1:58">
      <c r="A584" t="s">
        <v>58</v>
      </c>
      <c r="B584" t="s">
        <v>5253</v>
      </c>
      <c r="C584" t="s">
        <v>5254</v>
      </c>
      <c r="D584" t="s">
        <v>1406</v>
      </c>
      <c r="E584" t="s">
        <v>1407</v>
      </c>
      <c r="F584">
        <v>1999</v>
      </c>
      <c r="G584" t="s">
        <v>181</v>
      </c>
      <c r="H584">
        <v>99</v>
      </c>
      <c r="I584">
        <v>9</v>
      </c>
      <c r="J584">
        <v>456</v>
      </c>
      <c r="K584" t="s">
        <v>63</v>
      </c>
      <c r="L584" t="s">
        <v>5255</v>
      </c>
      <c r="M584" t="s">
        <v>63</v>
      </c>
      <c r="N584" t="s">
        <v>5256</v>
      </c>
      <c r="O584" t="s">
        <v>63</v>
      </c>
      <c r="Q584" t="s">
        <v>63</v>
      </c>
      <c r="R584" t="s">
        <v>63</v>
      </c>
      <c r="S584" t="s">
        <v>63</v>
      </c>
      <c r="T584" t="s">
        <v>63</v>
      </c>
      <c r="X584" t="s">
        <v>63</v>
      </c>
      <c r="Y584" t="s">
        <v>1411</v>
      </c>
      <c r="Z584" t="s">
        <v>63</v>
      </c>
      <c r="AA584" t="s">
        <v>63</v>
      </c>
      <c r="AB584">
        <v>10522083</v>
      </c>
      <c r="AC584" t="s">
        <v>67</v>
      </c>
      <c r="AD584" t="s">
        <v>63</v>
      </c>
      <c r="AE584" t="s">
        <v>63</v>
      </c>
      <c r="AF584" t="s">
        <v>63</v>
      </c>
      <c r="AG584" t="s">
        <v>5257</v>
      </c>
      <c r="AH584" t="s">
        <v>63</v>
      </c>
      <c r="AI584" t="s">
        <v>63</v>
      </c>
      <c r="AJ584" t="s">
        <v>63</v>
      </c>
      <c r="AK584" t="s">
        <v>63</v>
      </c>
      <c r="AL584" t="s">
        <v>63</v>
      </c>
      <c r="AM584" t="s">
        <v>5258</v>
      </c>
      <c r="AN584" t="s">
        <v>63</v>
      </c>
      <c r="AO584" t="s">
        <v>63</v>
      </c>
      <c r="AP584" t="s">
        <v>63</v>
      </c>
      <c r="AQ584" t="s">
        <v>63</v>
      </c>
      <c r="AR584" t="s">
        <v>63</v>
      </c>
      <c r="AS584" t="s">
        <v>63</v>
      </c>
      <c r="AT584" t="s">
        <v>63</v>
      </c>
      <c r="AU584" t="s">
        <v>63</v>
      </c>
      <c r="AV584" t="s">
        <v>63</v>
      </c>
      <c r="AW584" t="s">
        <v>63</v>
      </c>
      <c r="AX584" t="s">
        <v>63</v>
      </c>
      <c r="AY584" t="s">
        <v>63</v>
      </c>
      <c r="AZ584" t="s">
        <v>63</v>
      </c>
      <c r="BA584" t="s">
        <v>63</v>
      </c>
      <c r="BB584" t="s">
        <v>63</v>
      </c>
      <c r="BC584" t="s">
        <v>63</v>
      </c>
      <c r="BD584" t="s">
        <v>63</v>
      </c>
      <c r="BE584" t="s">
        <v>63</v>
      </c>
      <c r="BF584" t="s">
        <v>63</v>
      </c>
    </row>
    <row r="585" spans="1:58">
      <c r="A585" t="s">
        <v>58</v>
      </c>
      <c r="B585" t="s">
        <v>5259</v>
      </c>
      <c r="C585" t="s">
        <v>5260</v>
      </c>
      <c r="D585" t="s">
        <v>5261</v>
      </c>
      <c r="E585" t="s">
        <v>63</v>
      </c>
      <c r="F585">
        <v>2013</v>
      </c>
      <c r="G585" t="s">
        <v>63</v>
      </c>
      <c r="H585">
        <v>113</v>
      </c>
      <c r="I585">
        <v>6</v>
      </c>
      <c r="J585">
        <v>75</v>
      </c>
      <c r="K585">
        <v>79</v>
      </c>
      <c r="L585" t="s">
        <v>5262</v>
      </c>
      <c r="M585" t="s">
        <v>5263</v>
      </c>
      <c r="N585" t="s">
        <v>5264</v>
      </c>
      <c r="O585" t="s">
        <v>63</v>
      </c>
      <c r="Q585" t="s">
        <v>63</v>
      </c>
      <c r="R585" t="s">
        <v>63</v>
      </c>
      <c r="S585" t="s">
        <v>63</v>
      </c>
      <c r="T585" t="s">
        <v>63</v>
      </c>
      <c r="X585" t="s">
        <v>63</v>
      </c>
      <c r="Y585" t="s">
        <v>5265</v>
      </c>
      <c r="Z585" t="s">
        <v>63</v>
      </c>
      <c r="AA585" t="s">
        <v>63</v>
      </c>
      <c r="AB585">
        <v>23887474</v>
      </c>
      <c r="AC585" t="s">
        <v>5266</v>
      </c>
      <c r="AD585" t="s">
        <v>63</v>
      </c>
      <c r="AE585" t="s">
        <v>63</v>
      </c>
      <c r="AF585" t="s">
        <v>63</v>
      </c>
      <c r="AG585" t="s">
        <v>5267</v>
      </c>
      <c r="AH585" t="s">
        <v>63</v>
      </c>
      <c r="AI585" t="s">
        <v>63</v>
      </c>
      <c r="AJ585" t="s">
        <v>63</v>
      </c>
      <c r="AK585" t="s">
        <v>63</v>
      </c>
      <c r="AL585" t="s">
        <v>63</v>
      </c>
      <c r="AM585" t="s">
        <v>5268</v>
      </c>
      <c r="AN585" t="s">
        <v>63</v>
      </c>
      <c r="AO585" t="s">
        <v>63</v>
      </c>
      <c r="AP585" t="s">
        <v>63</v>
      </c>
      <c r="AQ585" t="s">
        <v>63</v>
      </c>
      <c r="AR585" t="s">
        <v>63</v>
      </c>
      <c r="AS585" t="s">
        <v>63</v>
      </c>
      <c r="AT585" t="s">
        <v>63</v>
      </c>
      <c r="AU585" t="s">
        <v>63</v>
      </c>
      <c r="AV585" t="s">
        <v>63</v>
      </c>
      <c r="AW585" t="s">
        <v>63</v>
      </c>
      <c r="AX585" t="s">
        <v>63</v>
      </c>
      <c r="AY585" t="s">
        <v>63</v>
      </c>
      <c r="AZ585" t="s">
        <v>63</v>
      </c>
      <c r="BA585" t="s">
        <v>63</v>
      </c>
      <c r="BB585" t="s">
        <v>63</v>
      </c>
      <c r="BC585" t="s">
        <v>63</v>
      </c>
      <c r="BD585" t="s">
        <v>63</v>
      </c>
      <c r="BE585" t="s">
        <v>63</v>
      </c>
      <c r="BF585" t="s">
        <v>63</v>
      </c>
    </row>
    <row r="586" spans="1:58">
      <c r="A586" t="s">
        <v>58</v>
      </c>
      <c r="B586" t="s">
        <v>5269</v>
      </c>
      <c r="C586" t="s">
        <v>5270</v>
      </c>
      <c r="D586" t="s">
        <v>173</v>
      </c>
      <c r="E586" t="s">
        <v>63</v>
      </c>
      <c r="F586">
        <v>1996</v>
      </c>
      <c r="G586" t="s">
        <v>73</v>
      </c>
      <c r="H586">
        <v>90</v>
      </c>
      <c r="I586">
        <v>4</v>
      </c>
      <c r="J586">
        <v>271</v>
      </c>
      <c r="K586">
        <v>278</v>
      </c>
      <c r="L586" t="s">
        <v>5271</v>
      </c>
      <c r="M586" t="s">
        <v>5272</v>
      </c>
      <c r="N586" t="s">
        <v>5273</v>
      </c>
      <c r="O586" t="s">
        <v>63</v>
      </c>
      <c r="Q586" t="s">
        <v>63</v>
      </c>
      <c r="R586" t="s">
        <v>63</v>
      </c>
      <c r="S586" t="s">
        <v>63</v>
      </c>
      <c r="T586" t="s">
        <v>63</v>
      </c>
      <c r="X586" t="s">
        <v>63</v>
      </c>
      <c r="Y586" t="s">
        <v>176</v>
      </c>
      <c r="Z586" t="s">
        <v>63</v>
      </c>
      <c r="AA586" t="s">
        <v>63</v>
      </c>
      <c r="AB586">
        <v>8928526</v>
      </c>
      <c r="AC586" t="s">
        <v>102</v>
      </c>
      <c r="AD586" t="s">
        <v>63</v>
      </c>
      <c r="AE586" t="s">
        <v>63</v>
      </c>
      <c r="AF586" t="s">
        <v>63</v>
      </c>
      <c r="AG586" t="s">
        <v>5274</v>
      </c>
      <c r="AH586" t="s">
        <v>63</v>
      </c>
      <c r="AI586" t="s">
        <v>63</v>
      </c>
      <c r="AJ586" t="s">
        <v>63</v>
      </c>
      <c r="AK586" t="s">
        <v>63</v>
      </c>
      <c r="AL586" t="s">
        <v>63</v>
      </c>
      <c r="AM586" t="s">
        <v>5275</v>
      </c>
      <c r="AN586" t="s">
        <v>63</v>
      </c>
      <c r="AO586" t="s">
        <v>63</v>
      </c>
      <c r="AP586" t="s">
        <v>63</v>
      </c>
      <c r="AQ586" t="s">
        <v>63</v>
      </c>
      <c r="AR586" t="s">
        <v>63</v>
      </c>
      <c r="AS586" t="s">
        <v>63</v>
      </c>
      <c r="AT586" t="s">
        <v>63</v>
      </c>
      <c r="AU586" t="s">
        <v>63</v>
      </c>
      <c r="AV586" t="s">
        <v>63</v>
      </c>
      <c r="AW586" t="s">
        <v>63</v>
      </c>
      <c r="AX586" t="s">
        <v>63</v>
      </c>
      <c r="AY586" t="s">
        <v>63</v>
      </c>
      <c r="AZ586" t="s">
        <v>63</v>
      </c>
      <c r="BA586" t="s">
        <v>63</v>
      </c>
      <c r="BB586" t="s">
        <v>63</v>
      </c>
      <c r="BC586" t="s">
        <v>63</v>
      </c>
      <c r="BD586" t="s">
        <v>63</v>
      </c>
      <c r="BE586" t="s">
        <v>63</v>
      </c>
      <c r="BF586" t="s">
        <v>63</v>
      </c>
    </row>
    <row r="587" spans="1:58">
      <c r="A587" t="s">
        <v>58</v>
      </c>
      <c r="B587" t="s">
        <v>5276</v>
      </c>
      <c r="C587" t="s">
        <v>5277</v>
      </c>
      <c r="D587" t="s">
        <v>5278</v>
      </c>
      <c r="E587" t="s">
        <v>5279</v>
      </c>
      <c r="F587">
        <v>1998</v>
      </c>
      <c r="G587" t="s">
        <v>1670</v>
      </c>
      <c r="H587">
        <v>47</v>
      </c>
      <c r="I587">
        <v>2</v>
      </c>
      <c r="J587">
        <v>203</v>
      </c>
      <c r="K587">
        <v>211</v>
      </c>
      <c r="L587" t="s">
        <v>5280</v>
      </c>
      <c r="M587" t="s">
        <v>5281</v>
      </c>
      <c r="N587" t="s">
        <v>5282</v>
      </c>
      <c r="O587" t="s">
        <v>63</v>
      </c>
      <c r="Q587" t="s">
        <v>63</v>
      </c>
      <c r="R587" t="s">
        <v>63</v>
      </c>
      <c r="S587" t="s">
        <v>63</v>
      </c>
      <c r="T587" t="s">
        <v>63</v>
      </c>
      <c r="X587" t="s">
        <v>63</v>
      </c>
      <c r="Y587" t="s">
        <v>5283</v>
      </c>
      <c r="Z587" t="s">
        <v>63</v>
      </c>
      <c r="AA587" t="s">
        <v>5284</v>
      </c>
      <c r="AB587">
        <v>9720639</v>
      </c>
      <c r="AC587" t="s">
        <v>67</v>
      </c>
      <c r="AD587" t="s">
        <v>63</v>
      </c>
      <c r="AE587" t="s">
        <v>63</v>
      </c>
      <c r="AF587" t="s">
        <v>63</v>
      </c>
      <c r="AG587" t="s">
        <v>5285</v>
      </c>
      <c r="AH587" t="s">
        <v>63</v>
      </c>
      <c r="AI587" t="s">
        <v>63</v>
      </c>
      <c r="AJ587" t="s">
        <v>63</v>
      </c>
      <c r="AK587" t="s">
        <v>63</v>
      </c>
      <c r="AL587" t="s">
        <v>63</v>
      </c>
      <c r="AM587" t="s">
        <v>5286</v>
      </c>
      <c r="AN587" t="s">
        <v>63</v>
      </c>
      <c r="AO587" t="s">
        <v>63</v>
      </c>
      <c r="AP587" t="s">
        <v>63</v>
      </c>
      <c r="AQ587" t="s">
        <v>63</v>
      </c>
      <c r="AR587" t="s">
        <v>63</v>
      </c>
      <c r="AS587" t="s">
        <v>63</v>
      </c>
      <c r="AT587" t="s">
        <v>63</v>
      </c>
      <c r="AU587" t="s">
        <v>63</v>
      </c>
      <c r="AV587" t="s">
        <v>63</v>
      </c>
      <c r="AW587" t="s">
        <v>63</v>
      </c>
      <c r="AX587" t="s">
        <v>63</v>
      </c>
      <c r="AY587" t="s">
        <v>63</v>
      </c>
      <c r="AZ587" t="s">
        <v>63</v>
      </c>
      <c r="BA587" t="s">
        <v>63</v>
      </c>
      <c r="BB587" t="s">
        <v>63</v>
      </c>
      <c r="BC587" t="s">
        <v>63</v>
      </c>
      <c r="BD587" t="s">
        <v>63</v>
      </c>
      <c r="BE587" t="s">
        <v>63</v>
      </c>
      <c r="BF587" t="s">
        <v>63</v>
      </c>
    </row>
    <row r="588" spans="1:58">
      <c r="A588" t="s">
        <v>58</v>
      </c>
      <c r="B588" t="s">
        <v>5287</v>
      </c>
      <c r="C588" t="s">
        <v>5288</v>
      </c>
      <c r="D588" t="s">
        <v>5289</v>
      </c>
      <c r="E588" t="s">
        <v>63</v>
      </c>
      <c r="F588">
        <v>2014</v>
      </c>
      <c r="G588" t="s">
        <v>63</v>
      </c>
      <c r="H588">
        <v>35</v>
      </c>
      <c r="I588">
        <v>2</v>
      </c>
      <c r="J588">
        <v>42</v>
      </c>
      <c r="K588">
        <v>47</v>
      </c>
      <c r="L588" t="s">
        <v>63</v>
      </c>
      <c r="M588" t="s">
        <v>5290</v>
      </c>
      <c r="N588" t="s">
        <v>5291</v>
      </c>
      <c r="O588" t="s">
        <v>63</v>
      </c>
      <c r="Q588" t="s">
        <v>63</v>
      </c>
      <c r="R588" t="s">
        <v>63</v>
      </c>
      <c r="S588" t="s">
        <v>63</v>
      </c>
      <c r="T588" t="s">
        <v>63</v>
      </c>
      <c r="X588" t="s">
        <v>63</v>
      </c>
      <c r="Y588" t="s">
        <v>5292</v>
      </c>
      <c r="Z588" t="s">
        <v>63</v>
      </c>
      <c r="AA588" t="s">
        <v>5293</v>
      </c>
      <c r="AB588">
        <v>25018591</v>
      </c>
      <c r="AC588" t="s">
        <v>67</v>
      </c>
      <c r="AD588" t="s">
        <v>63</v>
      </c>
      <c r="AE588" t="s">
        <v>63</v>
      </c>
      <c r="AF588" t="s">
        <v>63</v>
      </c>
      <c r="AG588" t="s">
        <v>5294</v>
      </c>
      <c r="AH588" t="s">
        <v>63</v>
      </c>
      <c r="AI588" t="s">
        <v>63</v>
      </c>
      <c r="AJ588" t="s">
        <v>63</v>
      </c>
      <c r="AK588" t="s">
        <v>63</v>
      </c>
      <c r="AL588" t="s">
        <v>63</v>
      </c>
      <c r="AM588" t="s">
        <v>5295</v>
      </c>
      <c r="AN588" t="s">
        <v>63</v>
      </c>
      <c r="AO588" t="s">
        <v>63</v>
      </c>
      <c r="AP588" t="s">
        <v>63</v>
      </c>
      <c r="AQ588" t="s">
        <v>63</v>
      </c>
      <c r="AR588" t="s">
        <v>63</v>
      </c>
      <c r="AS588" t="s">
        <v>63</v>
      </c>
      <c r="AT588" t="s">
        <v>63</v>
      </c>
      <c r="AU588" t="s">
        <v>63</v>
      </c>
      <c r="AV588" t="s">
        <v>63</v>
      </c>
      <c r="AW588" t="s">
        <v>63</v>
      </c>
      <c r="AX588" t="s">
        <v>63</v>
      </c>
      <c r="AY588" t="s">
        <v>63</v>
      </c>
      <c r="AZ588" t="s">
        <v>63</v>
      </c>
      <c r="BA588" t="s">
        <v>63</v>
      </c>
      <c r="BB588" t="s">
        <v>63</v>
      </c>
      <c r="BC588" t="s">
        <v>63</v>
      </c>
      <c r="BD588" t="s">
        <v>63</v>
      </c>
      <c r="BE588" t="s">
        <v>63</v>
      </c>
      <c r="BF588" t="s">
        <v>63</v>
      </c>
    </row>
    <row r="589" spans="1:58">
      <c r="A589" t="s">
        <v>58</v>
      </c>
      <c r="B589" t="s">
        <v>5296</v>
      </c>
      <c r="C589" t="s">
        <v>5297</v>
      </c>
      <c r="D589" t="s">
        <v>205</v>
      </c>
      <c r="E589" t="s">
        <v>205</v>
      </c>
      <c r="F589">
        <v>1982</v>
      </c>
      <c r="G589" s="1">
        <v>41919</v>
      </c>
      <c r="H589">
        <v>248</v>
      </c>
      <c r="I589">
        <v>14</v>
      </c>
      <c r="J589">
        <v>1686</v>
      </c>
      <c r="K589">
        <v>1688</v>
      </c>
      <c r="L589" t="s">
        <v>5298</v>
      </c>
      <c r="M589" t="s">
        <v>63</v>
      </c>
      <c r="N589" t="s">
        <v>5299</v>
      </c>
      <c r="O589" t="s">
        <v>63</v>
      </c>
      <c r="Q589" t="s">
        <v>63</v>
      </c>
      <c r="R589" t="s">
        <v>63</v>
      </c>
      <c r="S589" t="s">
        <v>63</v>
      </c>
      <c r="T589" t="s">
        <v>63</v>
      </c>
      <c r="X589" t="s">
        <v>63</v>
      </c>
      <c r="Y589" t="s">
        <v>208</v>
      </c>
      <c r="Z589" t="s">
        <v>63</v>
      </c>
      <c r="AA589" t="s">
        <v>63</v>
      </c>
      <c r="AB589">
        <v>7120584</v>
      </c>
      <c r="AC589" t="s">
        <v>67</v>
      </c>
      <c r="AD589" t="s">
        <v>63</v>
      </c>
      <c r="AE589" t="s">
        <v>63</v>
      </c>
      <c r="AF589" t="s">
        <v>63</v>
      </c>
      <c r="AG589" t="s">
        <v>5300</v>
      </c>
      <c r="AH589" t="s">
        <v>63</v>
      </c>
      <c r="AI589" t="s">
        <v>63</v>
      </c>
      <c r="AJ589" t="s">
        <v>63</v>
      </c>
      <c r="AK589" t="s">
        <v>63</v>
      </c>
      <c r="AL589" t="s">
        <v>63</v>
      </c>
      <c r="AM589" t="s">
        <v>5301</v>
      </c>
      <c r="AN589" t="s">
        <v>63</v>
      </c>
      <c r="AO589" t="s">
        <v>63</v>
      </c>
      <c r="AP589" t="s">
        <v>63</v>
      </c>
      <c r="AQ589" t="s">
        <v>63</v>
      </c>
      <c r="AR589" t="s">
        <v>63</v>
      </c>
      <c r="AS589" t="s">
        <v>63</v>
      </c>
      <c r="AT589" t="s">
        <v>63</v>
      </c>
      <c r="AU589" t="s">
        <v>63</v>
      </c>
      <c r="AV589" t="s">
        <v>63</v>
      </c>
      <c r="AW589" t="s">
        <v>63</v>
      </c>
      <c r="AX589" t="s">
        <v>63</v>
      </c>
      <c r="AY589" t="s">
        <v>63</v>
      </c>
      <c r="AZ589" t="s">
        <v>63</v>
      </c>
      <c r="BA589" t="s">
        <v>63</v>
      </c>
      <c r="BB589" t="s">
        <v>63</v>
      </c>
      <c r="BC589" t="s">
        <v>63</v>
      </c>
      <c r="BD589" t="s">
        <v>63</v>
      </c>
      <c r="BE589" t="s">
        <v>63</v>
      </c>
      <c r="BF589" t="s">
        <v>63</v>
      </c>
    </row>
    <row r="590" spans="1:58">
      <c r="A590" t="s">
        <v>58</v>
      </c>
      <c r="B590" t="s">
        <v>5302</v>
      </c>
      <c r="C590" t="s">
        <v>5303</v>
      </c>
      <c r="D590" t="s">
        <v>763</v>
      </c>
      <c r="E590" t="s">
        <v>63</v>
      </c>
      <c r="F590">
        <v>1992</v>
      </c>
      <c r="G590" t="s">
        <v>84</v>
      </c>
      <c r="H590">
        <v>67</v>
      </c>
      <c r="I590">
        <v>4</v>
      </c>
      <c r="J590">
        <v>260</v>
      </c>
      <c r="K590">
        <v>266</v>
      </c>
      <c r="L590" t="s">
        <v>5304</v>
      </c>
      <c r="M590" t="s">
        <v>5305</v>
      </c>
      <c r="N590" t="s">
        <v>5306</v>
      </c>
      <c r="O590" t="s">
        <v>63</v>
      </c>
      <c r="Q590" t="s">
        <v>63</v>
      </c>
      <c r="R590" t="s">
        <v>63</v>
      </c>
      <c r="S590" t="s">
        <v>63</v>
      </c>
      <c r="T590" t="s">
        <v>63</v>
      </c>
      <c r="X590" t="s">
        <v>63</v>
      </c>
      <c r="Y590" t="s">
        <v>858</v>
      </c>
      <c r="Z590" t="s">
        <v>63</v>
      </c>
      <c r="AA590" t="s">
        <v>5307</v>
      </c>
      <c r="AB590">
        <v>1558600</v>
      </c>
      <c r="AC590" t="s">
        <v>67</v>
      </c>
      <c r="AD590" t="s">
        <v>63</v>
      </c>
      <c r="AE590" t="s">
        <v>63</v>
      </c>
      <c r="AF590" t="s">
        <v>63</v>
      </c>
      <c r="AG590" t="s">
        <v>5308</v>
      </c>
      <c r="AH590" t="s">
        <v>63</v>
      </c>
      <c r="AI590" t="s">
        <v>63</v>
      </c>
      <c r="AJ590" t="s">
        <v>63</v>
      </c>
      <c r="AK590" t="s">
        <v>63</v>
      </c>
      <c r="AL590" t="s">
        <v>63</v>
      </c>
      <c r="AM590" t="s">
        <v>5309</v>
      </c>
      <c r="AN590" t="s">
        <v>63</v>
      </c>
      <c r="AO590" t="s">
        <v>63</v>
      </c>
      <c r="AP590" t="s">
        <v>63</v>
      </c>
      <c r="AQ590" t="s">
        <v>63</v>
      </c>
      <c r="AR590" t="s">
        <v>63</v>
      </c>
      <c r="AS590" t="s">
        <v>63</v>
      </c>
      <c r="AT590" t="s">
        <v>63</v>
      </c>
      <c r="AU590" t="s">
        <v>63</v>
      </c>
      <c r="AV590" t="s">
        <v>63</v>
      </c>
      <c r="AW590" t="s">
        <v>63</v>
      </c>
      <c r="AX590" t="s">
        <v>63</v>
      </c>
      <c r="AY590" t="s">
        <v>63</v>
      </c>
      <c r="AZ590" t="s">
        <v>63</v>
      </c>
      <c r="BA590" t="s">
        <v>63</v>
      </c>
      <c r="BB590" t="s">
        <v>63</v>
      </c>
      <c r="BC590" t="s">
        <v>63</v>
      </c>
      <c r="BD590" t="s">
        <v>63</v>
      </c>
      <c r="BE590" t="s">
        <v>63</v>
      </c>
      <c r="BF590" t="s">
        <v>63</v>
      </c>
    </row>
    <row r="591" spans="1:58">
      <c r="A591" t="s">
        <v>58</v>
      </c>
      <c r="B591" t="s">
        <v>5310</v>
      </c>
      <c r="C591" t="s">
        <v>5311</v>
      </c>
      <c r="D591" t="s">
        <v>389</v>
      </c>
      <c r="E591" t="s">
        <v>63</v>
      </c>
      <c r="F591">
        <v>2018</v>
      </c>
      <c r="G591" s="1">
        <v>41640</v>
      </c>
      <c r="H591">
        <v>39</v>
      </c>
      <c r="I591">
        <v>1</v>
      </c>
      <c r="J591">
        <v>1</v>
      </c>
      <c r="K591" t="s">
        <v>63</v>
      </c>
      <c r="L591" t="s">
        <v>63</v>
      </c>
      <c r="M591" t="s">
        <v>5312</v>
      </c>
      <c r="N591" t="s">
        <v>5313</v>
      </c>
      <c r="O591" t="s">
        <v>63</v>
      </c>
      <c r="Q591" t="s">
        <v>63</v>
      </c>
      <c r="R591" t="s">
        <v>63</v>
      </c>
      <c r="S591" t="s">
        <v>63</v>
      </c>
      <c r="T591" t="s">
        <v>63</v>
      </c>
      <c r="X591" t="s">
        <v>63</v>
      </c>
      <c r="Y591" t="s">
        <v>556</v>
      </c>
      <c r="Z591" t="s">
        <v>63</v>
      </c>
      <c r="AA591" t="s">
        <v>5314</v>
      </c>
      <c r="AB591">
        <v>29509099</v>
      </c>
      <c r="AC591" t="s">
        <v>67</v>
      </c>
      <c r="AD591" t="s">
        <v>63</v>
      </c>
      <c r="AE591" t="s">
        <v>63</v>
      </c>
      <c r="AF591" t="s">
        <v>63</v>
      </c>
      <c r="AG591" t="s">
        <v>5315</v>
      </c>
      <c r="AH591" t="s">
        <v>63</v>
      </c>
      <c r="AI591" t="s">
        <v>5316</v>
      </c>
      <c r="AJ591" t="s">
        <v>63</v>
      </c>
      <c r="AK591" t="s">
        <v>63</v>
      </c>
      <c r="AL591" t="s">
        <v>63</v>
      </c>
      <c r="AM591" t="s">
        <v>5317</v>
      </c>
      <c r="AN591" t="s">
        <v>63</v>
      </c>
      <c r="AO591" t="s">
        <v>63</v>
      </c>
      <c r="AP591" t="s">
        <v>63</v>
      </c>
      <c r="AQ591" t="s">
        <v>63</v>
      </c>
      <c r="AR591" t="s">
        <v>63</v>
      </c>
      <c r="AS591" t="s">
        <v>63</v>
      </c>
      <c r="AT591" t="s">
        <v>63</v>
      </c>
      <c r="AU591" t="s">
        <v>63</v>
      </c>
      <c r="AV591" t="s">
        <v>63</v>
      </c>
      <c r="AW591" t="s">
        <v>63</v>
      </c>
      <c r="AX591" t="s">
        <v>63</v>
      </c>
      <c r="AY591" t="s">
        <v>63</v>
      </c>
      <c r="AZ591" t="s">
        <v>63</v>
      </c>
      <c r="BA591" t="s">
        <v>63</v>
      </c>
      <c r="BB591" t="s">
        <v>63</v>
      </c>
      <c r="BC591" t="s">
        <v>63</v>
      </c>
      <c r="BD591" t="s">
        <v>63</v>
      </c>
      <c r="BE591" t="s">
        <v>63</v>
      </c>
      <c r="BF591" t="s">
        <v>63</v>
      </c>
    </row>
    <row r="592" spans="1:58">
      <c r="A592" t="s">
        <v>58</v>
      </c>
      <c r="B592" t="s">
        <v>5318</v>
      </c>
      <c r="C592" t="s">
        <v>5319</v>
      </c>
      <c r="D592" t="s">
        <v>938</v>
      </c>
      <c r="E592" t="s">
        <v>63</v>
      </c>
      <c r="F592">
        <v>2008</v>
      </c>
      <c r="G592" t="s">
        <v>1717</v>
      </c>
      <c r="H592">
        <v>17</v>
      </c>
      <c r="I592">
        <v>6</v>
      </c>
      <c r="J592">
        <v>459</v>
      </c>
      <c r="K592">
        <v>462</v>
      </c>
      <c r="L592" t="s">
        <v>5320</v>
      </c>
      <c r="M592" t="s">
        <v>5321</v>
      </c>
      <c r="N592" t="s">
        <v>5322</v>
      </c>
      <c r="O592" t="s">
        <v>63</v>
      </c>
      <c r="Q592" t="s">
        <v>63</v>
      </c>
      <c r="R592" t="s">
        <v>63</v>
      </c>
      <c r="S592" t="s">
        <v>63</v>
      </c>
      <c r="T592" t="s">
        <v>63</v>
      </c>
      <c r="X592" t="s">
        <v>63</v>
      </c>
      <c r="Y592" t="s">
        <v>942</v>
      </c>
      <c r="Z592" t="s">
        <v>63</v>
      </c>
      <c r="AA592" t="s">
        <v>5323</v>
      </c>
      <c r="AB592">
        <v>19034736</v>
      </c>
      <c r="AC592" t="s">
        <v>67</v>
      </c>
      <c r="AD592" t="s">
        <v>63</v>
      </c>
      <c r="AE592" t="s">
        <v>63</v>
      </c>
      <c r="AF592" t="s">
        <v>63</v>
      </c>
      <c r="AG592" t="s">
        <v>5324</v>
      </c>
      <c r="AH592" t="s">
        <v>63</v>
      </c>
      <c r="AI592" t="s">
        <v>5325</v>
      </c>
      <c r="AJ592" t="s">
        <v>63</v>
      </c>
      <c r="AK592" t="s">
        <v>63</v>
      </c>
      <c r="AL592" t="s">
        <v>63</v>
      </c>
      <c r="AM592" t="s">
        <v>5326</v>
      </c>
      <c r="AN592" t="s">
        <v>63</v>
      </c>
      <c r="AO592" t="s">
        <v>63</v>
      </c>
      <c r="AP592" t="s">
        <v>63</v>
      </c>
      <c r="AQ592" t="s">
        <v>63</v>
      </c>
      <c r="AR592" t="s">
        <v>63</v>
      </c>
      <c r="AS592" t="s">
        <v>63</v>
      </c>
      <c r="AT592" t="s">
        <v>63</v>
      </c>
      <c r="AU592" t="s">
        <v>63</v>
      </c>
      <c r="AV592" t="s">
        <v>63</v>
      </c>
      <c r="AW592" t="s">
        <v>63</v>
      </c>
      <c r="AX592" t="s">
        <v>63</v>
      </c>
      <c r="AY592" t="s">
        <v>63</v>
      </c>
      <c r="AZ592" t="s">
        <v>63</v>
      </c>
      <c r="BA592" t="s">
        <v>63</v>
      </c>
      <c r="BB592" t="s">
        <v>63</v>
      </c>
      <c r="BC592" t="s">
        <v>63</v>
      </c>
      <c r="BD592" t="s">
        <v>63</v>
      </c>
      <c r="BE592" t="s">
        <v>63</v>
      </c>
      <c r="BF592" t="s">
        <v>63</v>
      </c>
    </row>
    <row r="593" spans="1:58">
      <c r="A593" t="s">
        <v>58</v>
      </c>
      <c r="B593" t="s">
        <v>5327</v>
      </c>
      <c r="C593" t="s">
        <v>5328</v>
      </c>
      <c r="D593" t="s">
        <v>2593</v>
      </c>
      <c r="E593" t="s">
        <v>63</v>
      </c>
      <c r="F593">
        <v>2008</v>
      </c>
      <c r="G593" t="s">
        <v>181</v>
      </c>
      <c r="H593">
        <v>59</v>
      </c>
      <c r="I593">
        <v>9</v>
      </c>
      <c r="J593">
        <v>1056</v>
      </c>
      <c r="K593">
        <v>1059</v>
      </c>
      <c r="L593" t="s">
        <v>5329</v>
      </c>
      <c r="M593" t="s">
        <v>5330</v>
      </c>
      <c r="N593" t="s">
        <v>5331</v>
      </c>
      <c r="O593" t="s">
        <v>63</v>
      </c>
      <c r="Q593" t="s">
        <v>63</v>
      </c>
      <c r="R593" t="s">
        <v>63</v>
      </c>
      <c r="S593" t="s">
        <v>63</v>
      </c>
      <c r="T593" t="s">
        <v>63</v>
      </c>
      <c r="X593" t="s">
        <v>63</v>
      </c>
      <c r="Y593" t="s">
        <v>2597</v>
      </c>
      <c r="Z593" t="s">
        <v>63</v>
      </c>
      <c r="AA593" t="s">
        <v>5332</v>
      </c>
      <c r="AB593">
        <v>18757602</v>
      </c>
      <c r="AC593" t="s">
        <v>67</v>
      </c>
      <c r="AD593" t="s">
        <v>63</v>
      </c>
      <c r="AE593" t="s">
        <v>63</v>
      </c>
      <c r="AF593" t="s">
        <v>63</v>
      </c>
      <c r="AG593" t="s">
        <v>5333</v>
      </c>
      <c r="AH593" t="s">
        <v>63</v>
      </c>
      <c r="AI593" t="s">
        <v>5334</v>
      </c>
      <c r="AJ593" t="s">
        <v>63</v>
      </c>
      <c r="AK593" t="s">
        <v>63</v>
      </c>
      <c r="AL593" t="s">
        <v>63</v>
      </c>
      <c r="AM593" t="s">
        <v>5335</v>
      </c>
      <c r="AN593" t="s">
        <v>63</v>
      </c>
      <c r="AO593" t="s">
        <v>63</v>
      </c>
      <c r="AP593" t="s">
        <v>63</v>
      </c>
      <c r="AQ593" t="s">
        <v>63</v>
      </c>
      <c r="AR593" t="s">
        <v>63</v>
      </c>
      <c r="AS593" t="s">
        <v>63</v>
      </c>
      <c r="AT593" t="s">
        <v>63</v>
      </c>
      <c r="AU593" t="s">
        <v>63</v>
      </c>
      <c r="AV593" t="s">
        <v>63</v>
      </c>
      <c r="AW593" t="s">
        <v>63</v>
      </c>
      <c r="AX593" t="s">
        <v>63</v>
      </c>
      <c r="AY593" t="s">
        <v>63</v>
      </c>
      <c r="AZ593" t="s">
        <v>63</v>
      </c>
      <c r="BA593" t="s">
        <v>63</v>
      </c>
      <c r="BB593" t="s">
        <v>63</v>
      </c>
      <c r="BC593" t="s">
        <v>63</v>
      </c>
      <c r="BD593" t="s">
        <v>63</v>
      </c>
      <c r="BE593" t="s">
        <v>63</v>
      </c>
      <c r="BF593" t="s">
        <v>63</v>
      </c>
    </row>
    <row r="594" spans="1:58">
      <c r="A594" t="s">
        <v>58</v>
      </c>
      <c r="B594" t="s">
        <v>5336</v>
      </c>
      <c r="C594" t="s">
        <v>5337</v>
      </c>
      <c r="D594" t="s">
        <v>5338</v>
      </c>
      <c r="E594" t="s">
        <v>5339</v>
      </c>
      <c r="F594">
        <v>2002</v>
      </c>
      <c r="G594" t="s">
        <v>73</v>
      </c>
      <c r="H594">
        <v>21</v>
      </c>
      <c r="I594">
        <v>5</v>
      </c>
      <c r="J594">
        <v>22</v>
      </c>
      <c r="K594">
        <v>24</v>
      </c>
      <c r="L594" t="s">
        <v>5340</v>
      </c>
      <c r="M594" t="s">
        <v>63</v>
      </c>
      <c r="N594" t="s">
        <v>5341</v>
      </c>
      <c r="O594" t="s">
        <v>63</v>
      </c>
      <c r="Q594" t="s">
        <v>63</v>
      </c>
      <c r="R594" t="s">
        <v>63</v>
      </c>
      <c r="S594" t="s">
        <v>63</v>
      </c>
      <c r="T594" t="s">
        <v>63</v>
      </c>
      <c r="X594" t="s">
        <v>63</v>
      </c>
      <c r="Y594" t="s">
        <v>5342</v>
      </c>
      <c r="Z594" t="s">
        <v>63</v>
      </c>
      <c r="AA594" t="s">
        <v>5343</v>
      </c>
      <c r="AB594">
        <v>12122780</v>
      </c>
      <c r="AC594" t="s">
        <v>67</v>
      </c>
      <c r="AD594" t="s">
        <v>63</v>
      </c>
      <c r="AE594" t="s">
        <v>63</v>
      </c>
      <c r="AF594" t="s">
        <v>63</v>
      </c>
      <c r="AG594" t="s">
        <v>5344</v>
      </c>
      <c r="AH594" t="s">
        <v>63</v>
      </c>
      <c r="AI594" t="s">
        <v>63</v>
      </c>
      <c r="AJ594" t="s">
        <v>63</v>
      </c>
      <c r="AK594" t="s">
        <v>63</v>
      </c>
      <c r="AL594" t="s">
        <v>63</v>
      </c>
      <c r="AM594" t="s">
        <v>5345</v>
      </c>
      <c r="AN594" t="s">
        <v>63</v>
      </c>
      <c r="AO594" t="s">
        <v>63</v>
      </c>
      <c r="AP594" t="s">
        <v>63</v>
      </c>
      <c r="AQ594" t="s">
        <v>63</v>
      </c>
      <c r="AR594" t="s">
        <v>63</v>
      </c>
      <c r="AS594" t="s">
        <v>63</v>
      </c>
      <c r="AT594" t="s">
        <v>63</v>
      </c>
      <c r="AU594" t="s">
        <v>63</v>
      </c>
      <c r="AV594" t="s">
        <v>63</v>
      </c>
      <c r="AW594" t="s">
        <v>63</v>
      </c>
      <c r="AX594" t="s">
        <v>63</v>
      </c>
      <c r="AY594" t="s">
        <v>63</v>
      </c>
      <c r="AZ594" t="s">
        <v>63</v>
      </c>
      <c r="BA594" t="s">
        <v>63</v>
      </c>
      <c r="BB594" t="s">
        <v>63</v>
      </c>
      <c r="BC594" t="s">
        <v>63</v>
      </c>
      <c r="BD594" t="s">
        <v>63</v>
      </c>
      <c r="BE594" t="s">
        <v>63</v>
      </c>
      <c r="BF594" t="s">
        <v>63</v>
      </c>
    </row>
    <row r="595" spans="1:58">
      <c r="A595" t="s">
        <v>58</v>
      </c>
      <c r="B595" t="s">
        <v>5346</v>
      </c>
      <c r="C595" t="s">
        <v>5347</v>
      </c>
      <c r="D595" t="s">
        <v>3071</v>
      </c>
      <c r="E595" t="s">
        <v>3072</v>
      </c>
      <c r="F595">
        <v>1990</v>
      </c>
      <c r="G595" t="s">
        <v>326</v>
      </c>
      <c r="H595">
        <v>85</v>
      </c>
      <c r="I595">
        <v>2</v>
      </c>
      <c r="J595">
        <v>223</v>
      </c>
      <c r="K595">
        <v>233</v>
      </c>
      <c r="L595" t="s">
        <v>5348</v>
      </c>
      <c r="M595" t="s">
        <v>5349</v>
      </c>
      <c r="N595" t="s">
        <v>5350</v>
      </c>
      <c r="O595" t="s">
        <v>63</v>
      </c>
      <c r="Q595" t="s">
        <v>63</v>
      </c>
      <c r="R595" t="s">
        <v>63</v>
      </c>
      <c r="S595" t="s">
        <v>63</v>
      </c>
      <c r="T595" t="s">
        <v>63</v>
      </c>
      <c r="X595" t="s">
        <v>63</v>
      </c>
      <c r="Y595" t="s">
        <v>3075</v>
      </c>
      <c r="Z595" t="s">
        <v>63</v>
      </c>
      <c r="AA595" t="s">
        <v>5351</v>
      </c>
      <c r="AB595">
        <v>2317588</v>
      </c>
      <c r="AC595" t="s">
        <v>67</v>
      </c>
      <c r="AD595" t="s">
        <v>63</v>
      </c>
      <c r="AE595" t="s">
        <v>63</v>
      </c>
      <c r="AF595" t="s">
        <v>63</v>
      </c>
      <c r="AG595" t="s">
        <v>5352</v>
      </c>
      <c r="AH595" t="s">
        <v>63</v>
      </c>
      <c r="AI595" t="s">
        <v>63</v>
      </c>
      <c r="AJ595" t="s">
        <v>63</v>
      </c>
      <c r="AK595" t="s">
        <v>63</v>
      </c>
      <c r="AL595" t="s">
        <v>63</v>
      </c>
      <c r="AM595" t="s">
        <v>5353</v>
      </c>
      <c r="AN595" t="s">
        <v>63</v>
      </c>
      <c r="AO595" t="s">
        <v>63</v>
      </c>
      <c r="AP595" t="s">
        <v>63</v>
      </c>
      <c r="AQ595" t="s">
        <v>63</v>
      </c>
      <c r="AR595" t="s">
        <v>63</v>
      </c>
      <c r="AS595" t="s">
        <v>63</v>
      </c>
      <c r="AT595" t="s">
        <v>63</v>
      </c>
      <c r="AU595" t="s">
        <v>63</v>
      </c>
      <c r="AV595" t="s">
        <v>63</v>
      </c>
      <c r="AW595" t="s">
        <v>63</v>
      </c>
      <c r="AX595" t="s">
        <v>63</v>
      </c>
      <c r="AY595" t="s">
        <v>63</v>
      </c>
      <c r="AZ595" t="s">
        <v>63</v>
      </c>
      <c r="BA595" t="s">
        <v>63</v>
      </c>
      <c r="BB595" t="s">
        <v>63</v>
      </c>
      <c r="BC595" t="s">
        <v>63</v>
      </c>
      <c r="BD595" t="s">
        <v>63</v>
      </c>
      <c r="BE595" t="s">
        <v>63</v>
      </c>
      <c r="BF595" t="s">
        <v>63</v>
      </c>
    </row>
    <row r="596" spans="1:58">
      <c r="A596" t="s">
        <v>58</v>
      </c>
      <c r="B596" t="s">
        <v>5354</v>
      </c>
      <c r="C596" t="s">
        <v>5355</v>
      </c>
      <c r="D596" t="s">
        <v>389</v>
      </c>
      <c r="E596" t="s">
        <v>63</v>
      </c>
      <c r="F596">
        <v>1999</v>
      </c>
      <c r="G596" t="s">
        <v>274</v>
      </c>
      <c r="H596">
        <v>20</v>
      </c>
      <c r="I596">
        <v>1</v>
      </c>
      <c r="J596">
        <v>33</v>
      </c>
      <c r="K596">
        <v>43</v>
      </c>
      <c r="L596" t="s">
        <v>63</v>
      </c>
      <c r="M596" t="s">
        <v>5356</v>
      </c>
      <c r="N596" t="s">
        <v>5357</v>
      </c>
      <c r="O596" t="s">
        <v>63</v>
      </c>
      <c r="Q596" t="s">
        <v>63</v>
      </c>
      <c r="R596" t="s">
        <v>63</v>
      </c>
      <c r="S596" t="s">
        <v>63</v>
      </c>
      <c r="T596" t="s">
        <v>63</v>
      </c>
      <c r="X596" t="s">
        <v>63</v>
      </c>
      <c r="Y596" t="s">
        <v>556</v>
      </c>
      <c r="Z596" t="s">
        <v>63</v>
      </c>
      <c r="AA596" t="s">
        <v>5358</v>
      </c>
      <c r="AB596">
        <v>12511819</v>
      </c>
      <c r="AC596" t="s">
        <v>67</v>
      </c>
      <c r="AD596" t="s">
        <v>63</v>
      </c>
      <c r="AE596" t="s">
        <v>63</v>
      </c>
      <c r="AF596" t="s">
        <v>63</v>
      </c>
      <c r="AG596" t="s">
        <v>5359</v>
      </c>
      <c r="AH596" t="s">
        <v>63</v>
      </c>
      <c r="AI596" t="s">
        <v>63</v>
      </c>
      <c r="AJ596" t="s">
        <v>63</v>
      </c>
      <c r="AK596" t="s">
        <v>63</v>
      </c>
      <c r="AL596" t="s">
        <v>63</v>
      </c>
      <c r="AM596" t="s">
        <v>5360</v>
      </c>
      <c r="AN596" t="s">
        <v>63</v>
      </c>
      <c r="AO596" t="s">
        <v>63</v>
      </c>
      <c r="AP596" t="s">
        <v>63</v>
      </c>
      <c r="AQ596" t="s">
        <v>63</v>
      </c>
      <c r="AR596" t="s">
        <v>63</v>
      </c>
      <c r="AS596" t="s">
        <v>63</v>
      </c>
      <c r="AT596" t="s">
        <v>63</v>
      </c>
      <c r="AU596" t="s">
        <v>63</v>
      </c>
      <c r="AV596" t="s">
        <v>63</v>
      </c>
      <c r="AW596" t="s">
        <v>63</v>
      </c>
      <c r="AX596" t="s">
        <v>63</v>
      </c>
      <c r="AY596" t="s">
        <v>63</v>
      </c>
      <c r="AZ596" t="s">
        <v>63</v>
      </c>
      <c r="BA596" t="s">
        <v>63</v>
      </c>
      <c r="BB596" t="s">
        <v>63</v>
      </c>
      <c r="BC596" t="s">
        <v>63</v>
      </c>
      <c r="BD596" t="s">
        <v>63</v>
      </c>
      <c r="BE596" t="s">
        <v>63</v>
      </c>
      <c r="BF596" t="s">
        <v>63</v>
      </c>
    </row>
    <row r="597" spans="1:58">
      <c r="A597" t="s">
        <v>58</v>
      </c>
      <c r="B597" t="s">
        <v>5361</v>
      </c>
      <c r="C597" t="s">
        <v>5362</v>
      </c>
      <c r="D597" t="s">
        <v>1293</v>
      </c>
      <c r="E597" t="s">
        <v>1294</v>
      </c>
      <c r="F597">
        <v>1997</v>
      </c>
      <c r="G597" t="s">
        <v>274</v>
      </c>
      <c r="H597">
        <v>29</v>
      </c>
      <c r="I597">
        <v>3</v>
      </c>
      <c r="J597">
        <v>194</v>
      </c>
      <c r="K597">
        <v>198</v>
      </c>
      <c r="L597" t="s">
        <v>5363</v>
      </c>
      <c r="M597" t="s">
        <v>5364</v>
      </c>
      <c r="N597" t="s">
        <v>5365</v>
      </c>
      <c r="O597" t="s">
        <v>63</v>
      </c>
      <c r="Q597" t="s">
        <v>63</v>
      </c>
      <c r="R597" t="s">
        <v>63</v>
      </c>
      <c r="S597" t="s">
        <v>63</v>
      </c>
      <c r="T597" t="s">
        <v>63</v>
      </c>
      <c r="X597" t="s">
        <v>63</v>
      </c>
      <c r="Y597" t="s">
        <v>1297</v>
      </c>
      <c r="Z597" t="s">
        <v>63</v>
      </c>
      <c r="AA597" t="s">
        <v>5366</v>
      </c>
      <c r="AB597">
        <v>9085102</v>
      </c>
      <c r="AC597" t="s">
        <v>67</v>
      </c>
      <c r="AD597" t="s">
        <v>63</v>
      </c>
      <c r="AE597" t="s">
        <v>63</v>
      </c>
      <c r="AF597" t="s">
        <v>63</v>
      </c>
      <c r="AG597" t="s">
        <v>5367</v>
      </c>
      <c r="AH597" t="s">
        <v>63</v>
      </c>
      <c r="AI597" t="s">
        <v>63</v>
      </c>
      <c r="AJ597" t="s">
        <v>63</v>
      </c>
      <c r="AK597" t="s">
        <v>63</v>
      </c>
      <c r="AL597" t="s">
        <v>63</v>
      </c>
      <c r="AM597" t="s">
        <v>5368</v>
      </c>
      <c r="AN597" t="s">
        <v>63</v>
      </c>
      <c r="AO597" t="s">
        <v>63</v>
      </c>
      <c r="AP597" t="s">
        <v>63</v>
      </c>
      <c r="AQ597" t="s">
        <v>63</v>
      </c>
      <c r="AR597" t="s">
        <v>63</v>
      </c>
      <c r="AS597" t="s">
        <v>63</v>
      </c>
      <c r="AT597" t="s">
        <v>63</v>
      </c>
      <c r="AU597" t="s">
        <v>63</v>
      </c>
      <c r="AV597" t="s">
        <v>63</v>
      </c>
      <c r="AW597" t="s">
        <v>63</v>
      </c>
      <c r="AX597" t="s">
        <v>63</v>
      </c>
      <c r="AY597" t="s">
        <v>63</v>
      </c>
      <c r="AZ597" t="s">
        <v>63</v>
      </c>
      <c r="BA597" t="s">
        <v>63</v>
      </c>
      <c r="BB597" t="s">
        <v>63</v>
      </c>
      <c r="BC597" t="s">
        <v>63</v>
      </c>
      <c r="BD597" t="s">
        <v>63</v>
      </c>
      <c r="BE597" t="s">
        <v>63</v>
      </c>
      <c r="BF597" t="s">
        <v>63</v>
      </c>
    </row>
    <row r="598" spans="1:58">
      <c r="A598" t="s">
        <v>58</v>
      </c>
      <c r="B598" t="s">
        <v>5369</v>
      </c>
      <c r="C598" t="s">
        <v>5370</v>
      </c>
      <c r="D598" t="s">
        <v>5371</v>
      </c>
      <c r="E598" t="s">
        <v>5372</v>
      </c>
      <c r="F598">
        <v>1994</v>
      </c>
      <c r="G598" t="s">
        <v>63</v>
      </c>
      <c r="H598">
        <v>6</v>
      </c>
      <c r="I598">
        <v>1</v>
      </c>
      <c r="J598">
        <v>95</v>
      </c>
      <c r="K598">
        <v>103</v>
      </c>
      <c r="L598" t="s">
        <v>5373</v>
      </c>
      <c r="M598" t="s">
        <v>5374</v>
      </c>
      <c r="N598" t="s">
        <v>5375</v>
      </c>
      <c r="O598" t="s">
        <v>63</v>
      </c>
      <c r="Q598" t="s">
        <v>63</v>
      </c>
      <c r="R598" t="s">
        <v>63</v>
      </c>
      <c r="S598" t="s">
        <v>63</v>
      </c>
      <c r="T598" t="s">
        <v>63</v>
      </c>
      <c r="X598" t="s">
        <v>63</v>
      </c>
      <c r="Y598" t="s">
        <v>5376</v>
      </c>
      <c r="Z598" t="s">
        <v>63</v>
      </c>
      <c r="AA598" t="s">
        <v>5377</v>
      </c>
      <c r="AB598">
        <v>8081112</v>
      </c>
      <c r="AC598" t="s">
        <v>67</v>
      </c>
      <c r="AD598" t="s">
        <v>63</v>
      </c>
      <c r="AE598" t="s">
        <v>63</v>
      </c>
      <c r="AF598" t="s">
        <v>63</v>
      </c>
      <c r="AG598" t="s">
        <v>5378</v>
      </c>
      <c r="AH598" t="s">
        <v>63</v>
      </c>
      <c r="AI598" t="s">
        <v>63</v>
      </c>
      <c r="AJ598" t="s">
        <v>63</v>
      </c>
      <c r="AK598" t="s">
        <v>63</v>
      </c>
      <c r="AL598" t="s">
        <v>63</v>
      </c>
      <c r="AM598" t="s">
        <v>5379</v>
      </c>
      <c r="AN598" t="s">
        <v>63</v>
      </c>
      <c r="AO598" t="s">
        <v>63</v>
      </c>
      <c r="AP598" t="s">
        <v>63</v>
      </c>
      <c r="AQ598" t="s">
        <v>63</v>
      </c>
      <c r="AR598" t="s">
        <v>63</v>
      </c>
      <c r="AS598" t="s">
        <v>63</v>
      </c>
      <c r="AT598" t="s">
        <v>63</v>
      </c>
      <c r="AU598" t="s">
        <v>63</v>
      </c>
      <c r="AV598" t="s">
        <v>63</v>
      </c>
      <c r="AW598" t="s">
        <v>63</v>
      </c>
      <c r="AX598" t="s">
        <v>63</v>
      </c>
      <c r="AY598" t="s">
        <v>63</v>
      </c>
      <c r="AZ598" t="s">
        <v>63</v>
      </c>
      <c r="BA598" t="s">
        <v>63</v>
      </c>
      <c r="BB598" t="s">
        <v>63</v>
      </c>
      <c r="BC598" t="s">
        <v>63</v>
      </c>
      <c r="BD598" t="s">
        <v>63</v>
      </c>
      <c r="BE598" t="s">
        <v>63</v>
      </c>
      <c r="BF598" t="s">
        <v>63</v>
      </c>
    </row>
    <row r="599" spans="1:58">
      <c r="A599" t="s">
        <v>58</v>
      </c>
      <c r="B599" t="s">
        <v>5380</v>
      </c>
      <c r="C599" t="s">
        <v>5381</v>
      </c>
      <c r="D599" t="s">
        <v>4667</v>
      </c>
      <c r="E599" t="s">
        <v>4668</v>
      </c>
      <c r="F599">
        <v>2004</v>
      </c>
      <c r="G599" t="s">
        <v>84</v>
      </c>
      <c r="H599">
        <v>104</v>
      </c>
      <c r="I599">
        <v>4</v>
      </c>
      <c r="J599">
        <v>604</v>
      </c>
      <c r="K599">
        <v>610</v>
      </c>
      <c r="L599" t="s">
        <v>5382</v>
      </c>
      <c r="M599" t="s">
        <v>5383</v>
      </c>
      <c r="N599" t="s">
        <v>5384</v>
      </c>
      <c r="O599" t="s">
        <v>63</v>
      </c>
      <c r="Q599" t="s">
        <v>63</v>
      </c>
      <c r="R599" t="s">
        <v>63</v>
      </c>
      <c r="S599" t="s">
        <v>63</v>
      </c>
      <c r="T599" t="s">
        <v>63</v>
      </c>
      <c r="X599" t="s">
        <v>63</v>
      </c>
      <c r="Y599" s="2">
        <v>2307999</v>
      </c>
      <c r="Z599" t="s">
        <v>63</v>
      </c>
      <c r="AA599" t="s">
        <v>5385</v>
      </c>
      <c r="AB599">
        <v>15054346</v>
      </c>
      <c r="AC599" t="s">
        <v>67</v>
      </c>
      <c r="AD599" t="s">
        <v>63</v>
      </c>
      <c r="AE599" t="s">
        <v>63</v>
      </c>
      <c r="AF599" t="s">
        <v>63</v>
      </c>
      <c r="AG599" t="s">
        <v>5386</v>
      </c>
      <c r="AH599" t="s">
        <v>63</v>
      </c>
      <c r="AI599" t="s">
        <v>63</v>
      </c>
      <c r="AJ599" t="s">
        <v>63</v>
      </c>
      <c r="AK599" t="s">
        <v>63</v>
      </c>
      <c r="AL599" t="s">
        <v>63</v>
      </c>
      <c r="AM599" t="s">
        <v>5387</v>
      </c>
      <c r="AN599" t="s">
        <v>63</v>
      </c>
      <c r="AO599" t="s">
        <v>63</v>
      </c>
      <c r="AP599" t="s">
        <v>63</v>
      </c>
      <c r="AQ599" t="s">
        <v>63</v>
      </c>
      <c r="AR599" t="s">
        <v>63</v>
      </c>
      <c r="AS599" t="s">
        <v>63</v>
      </c>
      <c r="AT599" t="s">
        <v>63</v>
      </c>
      <c r="AU599" t="s">
        <v>63</v>
      </c>
      <c r="AV599" t="s">
        <v>63</v>
      </c>
      <c r="AW599" t="s">
        <v>63</v>
      </c>
      <c r="AX599" t="s">
        <v>63</v>
      </c>
      <c r="AY599" t="s">
        <v>63</v>
      </c>
      <c r="AZ599" t="s">
        <v>63</v>
      </c>
      <c r="BA599" t="s">
        <v>63</v>
      </c>
      <c r="BB599" t="s">
        <v>63</v>
      </c>
      <c r="BC599" t="s">
        <v>63</v>
      </c>
      <c r="BD599" t="s">
        <v>63</v>
      </c>
      <c r="BE599" t="s">
        <v>63</v>
      </c>
      <c r="BF599" t="s">
        <v>63</v>
      </c>
    </row>
    <row r="600" spans="1:58">
      <c r="A600" t="s">
        <v>58</v>
      </c>
      <c r="B600" t="s">
        <v>5388</v>
      </c>
      <c r="C600" t="s">
        <v>5389</v>
      </c>
      <c r="D600" t="s">
        <v>5390</v>
      </c>
      <c r="E600" t="s">
        <v>63</v>
      </c>
      <c r="F600">
        <v>2014</v>
      </c>
      <c r="G600" t="s">
        <v>63</v>
      </c>
      <c r="H600">
        <v>2014</v>
      </c>
      <c r="I600" t="s">
        <v>63</v>
      </c>
      <c r="J600">
        <v>321657</v>
      </c>
      <c r="K600" t="s">
        <v>63</v>
      </c>
      <c r="L600" t="s">
        <v>5391</v>
      </c>
      <c r="M600" t="s">
        <v>5392</v>
      </c>
      <c r="N600" t="s">
        <v>5393</v>
      </c>
      <c r="O600" t="s">
        <v>63</v>
      </c>
      <c r="Q600" t="s">
        <v>63</v>
      </c>
      <c r="R600" t="s">
        <v>63</v>
      </c>
      <c r="S600" t="s">
        <v>63</v>
      </c>
      <c r="T600" t="s">
        <v>63</v>
      </c>
      <c r="X600" t="s">
        <v>63</v>
      </c>
      <c r="Y600" t="s">
        <v>5394</v>
      </c>
      <c r="Z600" t="s">
        <v>63</v>
      </c>
      <c r="AA600" t="s">
        <v>5395</v>
      </c>
      <c r="AB600">
        <v>24804212</v>
      </c>
      <c r="AC600" t="s">
        <v>67</v>
      </c>
      <c r="AD600" t="s">
        <v>63</v>
      </c>
      <c r="AE600" t="s">
        <v>63</v>
      </c>
      <c r="AF600" t="s">
        <v>63</v>
      </c>
      <c r="AG600" t="s">
        <v>5396</v>
      </c>
      <c r="AH600" t="s">
        <v>63</v>
      </c>
      <c r="AI600" t="s">
        <v>5397</v>
      </c>
      <c r="AJ600" t="s">
        <v>63</v>
      </c>
      <c r="AK600" t="s">
        <v>63</v>
      </c>
      <c r="AL600" t="s">
        <v>63</v>
      </c>
      <c r="AM600" t="s">
        <v>5398</v>
      </c>
      <c r="AN600" t="s">
        <v>63</v>
      </c>
      <c r="AO600" t="s">
        <v>63</v>
      </c>
      <c r="AP600" t="s">
        <v>63</v>
      </c>
      <c r="AQ600" t="s">
        <v>63</v>
      </c>
      <c r="AR600" t="s">
        <v>63</v>
      </c>
      <c r="AS600" t="s">
        <v>63</v>
      </c>
      <c r="AT600" t="s">
        <v>63</v>
      </c>
      <c r="AU600" t="s">
        <v>63</v>
      </c>
      <c r="AV600" t="s">
        <v>63</v>
      </c>
      <c r="AW600" t="s">
        <v>63</v>
      </c>
      <c r="AX600" t="s">
        <v>63</v>
      </c>
      <c r="AY600" t="s">
        <v>63</v>
      </c>
      <c r="AZ600" t="s">
        <v>63</v>
      </c>
      <c r="BA600" t="s">
        <v>63</v>
      </c>
      <c r="BB600" t="s">
        <v>63</v>
      </c>
      <c r="BC600" t="s">
        <v>63</v>
      </c>
      <c r="BD600" t="s">
        <v>63</v>
      </c>
      <c r="BE600" t="s">
        <v>63</v>
      </c>
      <c r="BF600" t="s">
        <v>63</v>
      </c>
    </row>
    <row r="601" spans="1:58">
      <c r="A601" t="s">
        <v>58</v>
      </c>
      <c r="B601" t="s">
        <v>5399</v>
      </c>
      <c r="C601" t="s">
        <v>5400</v>
      </c>
      <c r="D601" t="s">
        <v>1393</v>
      </c>
      <c r="E601" t="s">
        <v>1394</v>
      </c>
      <c r="F601">
        <v>2012</v>
      </c>
      <c r="G601" t="s">
        <v>181</v>
      </c>
      <c r="H601">
        <v>14</v>
      </c>
      <c r="I601">
        <v>9</v>
      </c>
      <c r="J601">
        <v>1065</v>
      </c>
      <c r="K601">
        <v>1072</v>
      </c>
      <c r="L601" t="s">
        <v>5401</v>
      </c>
      <c r="M601" t="s">
        <v>5402</v>
      </c>
      <c r="N601" t="s">
        <v>5403</v>
      </c>
      <c r="O601" t="s">
        <v>63</v>
      </c>
      <c r="Q601" t="s">
        <v>63</v>
      </c>
      <c r="R601" t="s">
        <v>63</v>
      </c>
      <c r="S601" t="s">
        <v>63</v>
      </c>
      <c r="T601" t="s">
        <v>63</v>
      </c>
      <c r="X601" t="s">
        <v>63</v>
      </c>
      <c r="Y601" t="s">
        <v>5404</v>
      </c>
      <c r="Z601" t="s">
        <v>63</v>
      </c>
      <c r="AA601" t="s">
        <v>5405</v>
      </c>
      <c r="AB601">
        <v>22345319</v>
      </c>
      <c r="AC601" t="s">
        <v>67</v>
      </c>
      <c r="AD601" t="s">
        <v>63</v>
      </c>
      <c r="AE601" t="s">
        <v>63</v>
      </c>
      <c r="AF601" t="s">
        <v>63</v>
      </c>
      <c r="AG601" t="s">
        <v>5406</v>
      </c>
      <c r="AH601" t="s">
        <v>63</v>
      </c>
      <c r="AI601" t="s">
        <v>5407</v>
      </c>
      <c r="AJ601" t="s">
        <v>63</v>
      </c>
      <c r="AK601" t="s">
        <v>63</v>
      </c>
      <c r="AL601" t="s">
        <v>63</v>
      </c>
      <c r="AM601" t="s">
        <v>5408</v>
      </c>
      <c r="AN601" t="s">
        <v>63</v>
      </c>
      <c r="AO601" t="s">
        <v>63</v>
      </c>
      <c r="AP601" t="s">
        <v>63</v>
      </c>
      <c r="AQ601" t="s">
        <v>63</v>
      </c>
      <c r="AR601" t="s">
        <v>63</v>
      </c>
      <c r="AS601" t="s">
        <v>63</v>
      </c>
      <c r="AT601" t="s">
        <v>63</v>
      </c>
      <c r="AU601" t="s">
        <v>63</v>
      </c>
      <c r="AV601" t="s">
        <v>63</v>
      </c>
      <c r="AW601" t="s">
        <v>63</v>
      </c>
      <c r="AX601" t="s">
        <v>63</v>
      </c>
      <c r="AY601" t="s">
        <v>63</v>
      </c>
      <c r="AZ601" t="s">
        <v>63</v>
      </c>
      <c r="BA601" t="s">
        <v>63</v>
      </c>
      <c r="BB601" t="s">
        <v>63</v>
      </c>
      <c r="BC601" t="s">
        <v>63</v>
      </c>
      <c r="BD601" t="s">
        <v>63</v>
      </c>
      <c r="BE601" t="s">
        <v>63</v>
      </c>
      <c r="BF601" t="s">
        <v>63</v>
      </c>
    </row>
    <row r="602" spans="1:58">
      <c r="A602" t="s">
        <v>58</v>
      </c>
      <c r="B602" t="s">
        <v>5409</v>
      </c>
      <c r="C602" t="s">
        <v>5410</v>
      </c>
      <c r="D602" t="s">
        <v>1293</v>
      </c>
      <c r="E602" t="s">
        <v>1294</v>
      </c>
      <c r="F602">
        <v>1992</v>
      </c>
      <c r="G602" t="s">
        <v>1717</v>
      </c>
      <c r="H602">
        <v>24</v>
      </c>
      <c r="I602">
        <v>8</v>
      </c>
      <c r="J602">
        <v>613</v>
      </c>
      <c r="K602">
        <v>617</v>
      </c>
      <c r="L602" t="s">
        <v>5411</v>
      </c>
      <c r="M602" t="s">
        <v>5412</v>
      </c>
      <c r="N602" t="s">
        <v>5413</v>
      </c>
      <c r="O602" t="s">
        <v>63</v>
      </c>
      <c r="Q602" t="s">
        <v>63</v>
      </c>
      <c r="R602" t="s">
        <v>63</v>
      </c>
      <c r="S602" t="s">
        <v>63</v>
      </c>
      <c r="T602" t="s">
        <v>63</v>
      </c>
      <c r="X602" t="s">
        <v>63</v>
      </c>
      <c r="Y602" t="s">
        <v>1297</v>
      </c>
      <c r="Z602" t="s">
        <v>63</v>
      </c>
      <c r="AA602" t="s">
        <v>5414</v>
      </c>
      <c r="AB602">
        <v>1426731</v>
      </c>
      <c r="AC602" t="s">
        <v>67</v>
      </c>
      <c r="AD602" t="s">
        <v>63</v>
      </c>
      <c r="AE602" t="s">
        <v>63</v>
      </c>
      <c r="AF602" t="s">
        <v>63</v>
      </c>
      <c r="AG602" t="s">
        <v>5415</v>
      </c>
      <c r="AH602" t="s">
        <v>63</v>
      </c>
      <c r="AI602" t="s">
        <v>63</v>
      </c>
      <c r="AJ602" t="s">
        <v>63</v>
      </c>
      <c r="AK602" t="s">
        <v>63</v>
      </c>
      <c r="AL602" t="s">
        <v>63</v>
      </c>
      <c r="AM602" t="s">
        <v>5416</v>
      </c>
      <c r="AN602" t="s">
        <v>63</v>
      </c>
      <c r="AO602" t="s">
        <v>63</v>
      </c>
      <c r="AP602" t="s">
        <v>63</v>
      </c>
      <c r="AQ602" t="s">
        <v>63</v>
      </c>
      <c r="AR602" t="s">
        <v>63</v>
      </c>
      <c r="AS602" t="s">
        <v>63</v>
      </c>
      <c r="AT602" t="s">
        <v>63</v>
      </c>
      <c r="AU602" t="s">
        <v>63</v>
      </c>
      <c r="AV602" t="s">
        <v>63</v>
      </c>
      <c r="AW602" t="s">
        <v>63</v>
      </c>
      <c r="AX602" t="s">
        <v>63</v>
      </c>
      <c r="AY602" t="s">
        <v>63</v>
      </c>
      <c r="AZ602" t="s">
        <v>63</v>
      </c>
      <c r="BA602" t="s">
        <v>63</v>
      </c>
      <c r="BB602" t="s">
        <v>63</v>
      </c>
      <c r="BC602" t="s">
        <v>63</v>
      </c>
      <c r="BD602" t="s">
        <v>63</v>
      </c>
      <c r="BE602" t="s">
        <v>63</v>
      </c>
      <c r="BF602" t="s">
        <v>63</v>
      </c>
    </row>
    <row r="603" spans="1:58">
      <c r="A603" t="s">
        <v>58</v>
      </c>
      <c r="B603" t="s">
        <v>5417</v>
      </c>
      <c r="C603" t="s">
        <v>5418</v>
      </c>
      <c r="D603" t="s">
        <v>5419</v>
      </c>
      <c r="E603" t="s">
        <v>5420</v>
      </c>
      <c r="F603">
        <v>1986</v>
      </c>
      <c r="G603" t="s">
        <v>157</v>
      </c>
      <c r="H603">
        <v>36</v>
      </c>
      <c r="I603">
        <v>293</v>
      </c>
      <c r="J603">
        <v>541</v>
      </c>
      <c r="K603" t="s">
        <v>63</v>
      </c>
      <c r="L603" t="s">
        <v>5421</v>
      </c>
      <c r="M603" t="s">
        <v>63</v>
      </c>
      <c r="N603" t="s">
        <v>5422</v>
      </c>
      <c r="O603" t="s">
        <v>63</v>
      </c>
      <c r="Q603" t="s">
        <v>63</v>
      </c>
      <c r="R603" t="s">
        <v>63</v>
      </c>
      <c r="S603" t="s">
        <v>63</v>
      </c>
      <c r="T603" t="s">
        <v>63</v>
      </c>
      <c r="X603" t="s">
        <v>63</v>
      </c>
      <c r="Y603" t="s">
        <v>5423</v>
      </c>
      <c r="Z603" t="s">
        <v>63</v>
      </c>
      <c r="AA603" t="s">
        <v>63</v>
      </c>
      <c r="AB603">
        <v>3668901</v>
      </c>
      <c r="AC603" t="s">
        <v>67</v>
      </c>
      <c r="AD603" t="s">
        <v>63</v>
      </c>
      <c r="AE603" t="s">
        <v>63</v>
      </c>
      <c r="AF603" t="s">
        <v>63</v>
      </c>
      <c r="AG603" t="s">
        <v>5424</v>
      </c>
      <c r="AH603" t="s">
        <v>63</v>
      </c>
      <c r="AI603" t="s">
        <v>63</v>
      </c>
      <c r="AJ603" t="s">
        <v>63</v>
      </c>
      <c r="AK603" t="s">
        <v>63</v>
      </c>
      <c r="AL603" t="s">
        <v>63</v>
      </c>
      <c r="AM603" t="s">
        <v>5425</v>
      </c>
      <c r="AN603" t="s">
        <v>63</v>
      </c>
      <c r="AO603" t="s">
        <v>63</v>
      </c>
      <c r="AP603" t="s">
        <v>63</v>
      </c>
      <c r="AQ603" t="s">
        <v>63</v>
      </c>
      <c r="AR603" t="s">
        <v>63</v>
      </c>
      <c r="AS603" t="s">
        <v>63</v>
      </c>
      <c r="AT603" t="s">
        <v>63</v>
      </c>
      <c r="AU603" t="s">
        <v>63</v>
      </c>
      <c r="AV603" t="s">
        <v>63</v>
      </c>
      <c r="AW603" t="s">
        <v>63</v>
      </c>
      <c r="AX603" t="s">
        <v>63</v>
      </c>
      <c r="AY603" t="s">
        <v>63</v>
      </c>
      <c r="AZ603" t="s">
        <v>63</v>
      </c>
      <c r="BA603" t="s">
        <v>63</v>
      </c>
      <c r="BB603" t="s">
        <v>63</v>
      </c>
      <c r="BC603" t="s">
        <v>63</v>
      </c>
      <c r="BD603" t="s">
        <v>63</v>
      </c>
      <c r="BE603" t="s">
        <v>63</v>
      </c>
      <c r="BF603" t="s">
        <v>63</v>
      </c>
    </row>
    <row r="604" spans="1:58">
      <c r="A604" t="s">
        <v>58</v>
      </c>
      <c r="B604" t="s">
        <v>5426</v>
      </c>
      <c r="C604" t="s">
        <v>5427</v>
      </c>
      <c r="D604" t="s">
        <v>1055</v>
      </c>
      <c r="E604" t="s">
        <v>1056</v>
      </c>
      <c r="F604">
        <v>1998</v>
      </c>
      <c r="G604" t="s">
        <v>274</v>
      </c>
      <c r="H604">
        <v>32</v>
      </c>
      <c r="I604">
        <v>2</v>
      </c>
      <c r="J604">
        <v>138</v>
      </c>
      <c r="K604">
        <v>142</v>
      </c>
      <c r="L604" t="s">
        <v>5428</v>
      </c>
      <c r="M604" t="s">
        <v>5429</v>
      </c>
      <c r="N604" t="s">
        <v>5430</v>
      </c>
      <c r="O604" t="s">
        <v>63</v>
      </c>
      <c r="Q604" t="s">
        <v>63</v>
      </c>
      <c r="R604" t="s">
        <v>63</v>
      </c>
      <c r="S604" t="s">
        <v>63</v>
      </c>
      <c r="T604" t="s">
        <v>63</v>
      </c>
      <c r="X604" t="s">
        <v>63</v>
      </c>
      <c r="Y604" t="s">
        <v>1059</v>
      </c>
      <c r="Z604" t="s">
        <v>63</v>
      </c>
      <c r="AA604" t="s">
        <v>5431</v>
      </c>
      <c r="AB604">
        <v>9743764</v>
      </c>
      <c r="AC604" t="s">
        <v>67</v>
      </c>
      <c r="AD604" t="s">
        <v>63</v>
      </c>
      <c r="AE604" t="s">
        <v>63</v>
      </c>
      <c r="AF604" t="s">
        <v>63</v>
      </c>
      <c r="AG604" t="s">
        <v>5432</v>
      </c>
      <c r="AH604" t="s">
        <v>63</v>
      </c>
      <c r="AI604" t="s">
        <v>63</v>
      </c>
      <c r="AJ604" t="s">
        <v>63</v>
      </c>
      <c r="AK604" t="s">
        <v>63</v>
      </c>
      <c r="AL604" t="s">
        <v>63</v>
      </c>
      <c r="AM604" t="s">
        <v>5433</v>
      </c>
      <c r="AN604" t="s">
        <v>63</v>
      </c>
      <c r="AO604" t="s">
        <v>63</v>
      </c>
      <c r="AP604" t="s">
        <v>63</v>
      </c>
      <c r="AQ604" t="s">
        <v>63</v>
      </c>
      <c r="AR604" t="s">
        <v>63</v>
      </c>
      <c r="AS604" t="s">
        <v>63</v>
      </c>
      <c r="AT604" t="s">
        <v>63</v>
      </c>
      <c r="AU604" t="s">
        <v>63</v>
      </c>
      <c r="AV604" t="s">
        <v>63</v>
      </c>
      <c r="AW604" t="s">
        <v>63</v>
      </c>
      <c r="AX604" t="s">
        <v>63</v>
      </c>
      <c r="AY604" t="s">
        <v>63</v>
      </c>
      <c r="AZ604" t="s">
        <v>63</v>
      </c>
      <c r="BA604" t="s">
        <v>63</v>
      </c>
      <c r="BB604" t="s">
        <v>63</v>
      </c>
      <c r="BC604" t="s">
        <v>63</v>
      </c>
      <c r="BD604" t="s">
        <v>63</v>
      </c>
      <c r="BE604" t="s">
        <v>63</v>
      </c>
      <c r="BF604" t="s">
        <v>63</v>
      </c>
    </row>
    <row r="605" spans="1:58">
      <c r="A605" t="s">
        <v>58</v>
      </c>
      <c r="B605" t="s">
        <v>5434</v>
      </c>
      <c r="C605" t="s">
        <v>5435</v>
      </c>
      <c r="D605" t="s">
        <v>5436</v>
      </c>
      <c r="E605" t="s">
        <v>63</v>
      </c>
      <c r="F605">
        <v>2018</v>
      </c>
      <c r="G605" t="s">
        <v>274</v>
      </c>
      <c r="H605">
        <v>101</v>
      </c>
      <c r="I605">
        <v>3</v>
      </c>
      <c r="J605">
        <v>541</v>
      </c>
      <c r="K605">
        <v>545</v>
      </c>
      <c r="L605" t="s">
        <v>63</v>
      </c>
      <c r="M605" t="s">
        <v>5437</v>
      </c>
      <c r="N605" t="s">
        <v>5438</v>
      </c>
      <c r="O605" t="s">
        <v>63</v>
      </c>
      <c r="Q605" t="s">
        <v>63</v>
      </c>
      <c r="R605" t="s">
        <v>63</v>
      </c>
      <c r="S605" t="s">
        <v>63</v>
      </c>
      <c r="T605" t="s">
        <v>63</v>
      </c>
      <c r="X605" t="s">
        <v>63</v>
      </c>
      <c r="Y605" t="s">
        <v>5439</v>
      </c>
      <c r="Z605" t="s">
        <v>63</v>
      </c>
      <c r="AA605" t="s">
        <v>5440</v>
      </c>
      <c r="AB605">
        <v>28947361</v>
      </c>
      <c r="AC605" t="s">
        <v>67</v>
      </c>
      <c r="AD605" t="s">
        <v>63</v>
      </c>
      <c r="AE605" t="s">
        <v>63</v>
      </c>
      <c r="AF605" t="s">
        <v>63</v>
      </c>
      <c r="AG605" t="s">
        <v>5441</v>
      </c>
      <c r="AH605" t="s">
        <v>63</v>
      </c>
      <c r="AI605" t="s">
        <v>5442</v>
      </c>
      <c r="AJ605" t="s">
        <v>63</v>
      </c>
      <c r="AK605" t="s">
        <v>63</v>
      </c>
      <c r="AL605" t="s">
        <v>63</v>
      </c>
      <c r="AM605" t="s">
        <v>5443</v>
      </c>
      <c r="AN605" t="s">
        <v>63</v>
      </c>
      <c r="AO605" t="s">
        <v>63</v>
      </c>
      <c r="AP605" t="s">
        <v>63</v>
      </c>
      <c r="AQ605" t="s">
        <v>63</v>
      </c>
      <c r="AR605" t="s">
        <v>63</v>
      </c>
      <c r="AS605" t="s">
        <v>63</v>
      </c>
      <c r="AT605" t="s">
        <v>63</v>
      </c>
      <c r="AU605" t="s">
        <v>63</v>
      </c>
      <c r="AV605" t="s">
        <v>63</v>
      </c>
      <c r="AW605" t="s">
        <v>63</v>
      </c>
      <c r="AX605" t="s">
        <v>63</v>
      </c>
      <c r="AY605" t="s">
        <v>63</v>
      </c>
      <c r="AZ605" t="s">
        <v>63</v>
      </c>
      <c r="BA605" t="s">
        <v>63</v>
      </c>
      <c r="BB605" t="s">
        <v>63</v>
      </c>
      <c r="BC605" t="s">
        <v>63</v>
      </c>
      <c r="BD605" t="s">
        <v>63</v>
      </c>
      <c r="BE605" t="s">
        <v>63</v>
      </c>
      <c r="BF605" t="s">
        <v>63</v>
      </c>
    </row>
    <row r="606" spans="1:58">
      <c r="A606" t="s">
        <v>58</v>
      </c>
      <c r="B606" t="s">
        <v>5444</v>
      </c>
      <c r="C606" t="s">
        <v>5445</v>
      </c>
      <c r="D606" t="s">
        <v>5446</v>
      </c>
      <c r="E606" t="s">
        <v>5447</v>
      </c>
      <c r="F606">
        <v>2002</v>
      </c>
      <c r="G606" t="s">
        <v>219</v>
      </c>
      <c r="H606">
        <v>22</v>
      </c>
      <c r="I606">
        <v>8</v>
      </c>
      <c r="J606">
        <v>648</v>
      </c>
      <c r="K606">
        <v>653</v>
      </c>
      <c r="L606" t="s">
        <v>5448</v>
      </c>
      <c r="M606" t="s">
        <v>5449</v>
      </c>
      <c r="N606" t="s">
        <v>5450</v>
      </c>
      <c r="O606" t="s">
        <v>63</v>
      </c>
      <c r="Q606" t="s">
        <v>63</v>
      </c>
      <c r="R606" t="s">
        <v>63</v>
      </c>
      <c r="S606" t="s">
        <v>63</v>
      </c>
      <c r="T606" t="s">
        <v>63</v>
      </c>
      <c r="X606" t="s">
        <v>63</v>
      </c>
      <c r="Y606" t="s">
        <v>5451</v>
      </c>
      <c r="Z606" t="s">
        <v>63</v>
      </c>
      <c r="AA606" t="s">
        <v>5452</v>
      </c>
      <c r="AB606">
        <v>12443701</v>
      </c>
      <c r="AC606" t="s">
        <v>67</v>
      </c>
      <c r="AD606" t="s">
        <v>63</v>
      </c>
      <c r="AE606" t="s">
        <v>63</v>
      </c>
      <c r="AF606" t="s">
        <v>63</v>
      </c>
      <c r="AG606" t="s">
        <v>5453</v>
      </c>
      <c r="AH606" t="s">
        <v>63</v>
      </c>
      <c r="AI606" t="s">
        <v>63</v>
      </c>
      <c r="AJ606" t="s">
        <v>63</v>
      </c>
      <c r="AK606" t="s">
        <v>63</v>
      </c>
      <c r="AL606" t="s">
        <v>63</v>
      </c>
      <c r="AM606" t="s">
        <v>5454</v>
      </c>
      <c r="AN606" t="s">
        <v>63</v>
      </c>
      <c r="AO606" t="s">
        <v>63</v>
      </c>
      <c r="AP606" t="s">
        <v>63</v>
      </c>
      <c r="AQ606" t="s">
        <v>63</v>
      </c>
      <c r="AR606" t="s">
        <v>63</v>
      </c>
      <c r="AS606" t="s">
        <v>63</v>
      </c>
      <c r="AT606" t="s">
        <v>63</v>
      </c>
      <c r="AU606" t="s">
        <v>63</v>
      </c>
      <c r="AV606" t="s">
        <v>63</v>
      </c>
      <c r="AW606" t="s">
        <v>63</v>
      </c>
      <c r="AX606" t="s">
        <v>63</v>
      </c>
      <c r="AY606" t="s">
        <v>63</v>
      </c>
      <c r="AZ606" t="s">
        <v>63</v>
      </c>
      <c r="BA606" t="s">
        <v>63</v>
      </c>
      <c r="BB606" t="s">
        <v>63</v>
      </c>
      <c r="BC606" t="s">
        <v>63</v>
      </c>
      <c r="BD606" t="s">
        <v>63</v>
      </c>
      <c r="BE606" t="s">
        <v>63</v>
      </c>
      <c r="BF606" t="s">
        <v>63</v>
      </c>
    </row>
    <row r="607" spans="1:58">
      <c r="A607" t="s">
        <v>58</v>
      </c>
      <c r="B607" t="s">
        <v>5455</v>
      </c>
      <c r="C607" t="s">
        <v>5456</v>
      </c>
      <c r="D607" t="s">
        <v>5457</v>
      </c>
      <c r="E607" t="s">
        <v>5458</v>
      </c>
      <c r="F607">
        <v>2014</v>
      </c>
      <c r="G607" s="1">
        <v>41912</v>
      </c>
      <c r="H607">
        <v>97</v>
      </c>
      <c r="I607">
        <v>10</v>
      </c>
      <c r="J607">
        <v>29</v>
      </c>
      <c r="K607">
        <v>33</v>
      </c>
      <c r="L607" t="s">
        <v>5459</v>
      </c>
      <c r="M607" t="s">
        <v>5460</v>
      </c>
      <c r="N607" t="s">
        <v>5461</v>
      </c>
      <c r="O607" t="s">
        <v>63</v>
      </c>
      <c r="Q607" t="s">
        <v>63</v>
      </c>
      <c r="R607" t="s">
        <v>63</v>
      </c>
      <c r="S607" t="s">
        <v>63</v>
      </c>
      <c r="T607" t="s">
        <v>63</v>
      </c>
      <c r="X607" t="s">
        <v>63</v>
      </c>
      <c r="Y607" t="s">
        <v>5462</v>
      </c>
      <c r="Z607" t="s">
        <v>63</v>
      </c>
      <c r="AA607" t="s">
        <v>5463</v>
      </c>
      <c r="AB607">
        <v>25271657</v>
      </c>
      <c r="AC607" t="s">
        <v>67</v>
      </c>
      <c r="AD607" t="s">
        <v>63</v>
      </c>
      <c r="AE607" t="s">
        <v>63</v>
      </c>
      <c r="AF607" t="s">
        <v>63</v>
      </c>
      <c r="AG607" t="s">
        <v>5464</v>
      </c>
      <c r="AH607" t="s">
        <v>63</v>
      </c>
      <c r="AI607" t="s">
        <v>63</v>
      </c>
      <c r="AJ607" t="s">
        <v>63</v>
      </c>
      <c r="AK607" t="s">
        <v>63</v>
      </c>
      <c r="AL607" t="s">
        <v>63</v>
      </c>
      <c r="AM607" t="s">
        <v>5465</v>
      </c>
      <c r="AN607" t="s">
        <v>63</v>
      </c>
      <c r="AO607" t="s">
        <v>63</v>
      </c>
      <c r="AP607" t="s">
        <v>63</v>
      </c>
      <c r="AQ607" t="s">
        <v>63</v>
      </c>
      <c r="AR607" t="s">
        <v>63</v>
      </c>
      <c r="AS607" t="s">
        <v>63</v>
      </c>
      <c r="AT607" t="s">
        <v>63</v>
      </c>
      <c r="AU607" t="s">
        <v>63</v>
      </c>
      <c r="AV607" t="s">
        <v>63</v>
      </c>
      <c r="AW607" t="s">
        <v>63</v>
      </c>
      <c r="AX607" t="s">
        <v>63</v>
      </c>
      <c r="AY607" t="s">
        <v>63</v>
      </c>
      <c r="AZ607" t="s">
        <v>63</v>
      </c>
      <c r="BA607" t="s">
        <v>63</v>
      </c>
      <c r="BB607" t="s">
        <v>63</v>
      </c>
      <c r="BC607" t="s">
        <v>63</v>
      </c>
      <c r="BD607" t="s">
        <v>63</v>
      </c>
      <c r="BE607" t="s">
        <v>63</v>
      </c>
      <c r="BF607" t="s">
        <v>63</v>
      </c>
    </row>
    <row r="608" spans="1:58">
      <c r="A608" t="s">
        <v>58</v>
      </c>
      <c r="B608" t="s">
        <v>5466</v>
      </c>
      <c r="C608" t="s">
        <v>5467</v>
      </c>
      <c r="D608" t="s">
        <v>325</v>
      </c>
      <c r="E608" t="s">
        <v>63</v>
      </c>
      <c r="F608">
        <v>2002</v>
      </c>
      <c r="G608" t="s">
        <v>63</v>
      </c>
      <c r="H608">
        <v>26</v>
      </c>
      <c r="I608">
        <v>2</v>
      </c>
      <c r="J608">
        <v>105</v>
      </c>
      <c r="K608">
        <v>109</v>
      </c>
      <c r="L608" t="s">
        <v>63</v>
      </c>
      <c r="M608" t="s">
        <v>5468</v>
      </c>
      <c r="N608" t="s">
        <v>5469</v>
      </c>
      <c r="O608" t="s">
        <v>63</v>
      </c>
      <c r="Q608" t="s">
        <v>63</v>
      </c>
      <c r="R608" t="s">
        <v>63</v>
      </c>
      <c r="S608" t="s">
        <v>63</v>
      </c>
      <c r="T608" t="s">
        <v>63</v>
      </c>
      <c r="X608" t="s">
        <v>63</v>
      </c>
      <c r="Y608" t="s">
        <v>866</v>
      </c>
      <c r="Z608" t="s">
        <v>63</v>
      </c>
      <c r="AA608" t="s">
        <v>5470</v>
      </c>
      <c r="AB608">
        <v>12824152</v>
      </c>
      <c r="AC608" t="s">
        <v>67</v>
      </c>
      <c r="AD608" t="s">
        <v>63</v>
      </c>
      <c r="AE608" t="s">
        <v>63</v>
      </c>
      <c r="AF608" t="s">
        <v>63</v>
      </c>
      <c r="AG608" t="s">
        <v>5471</v>
      </c>
      <c r="AH608" t="s">
        <v>63</v>
      </c>
      <c r="AI608" t="s">
        <v>63</v>
      </c>
      <c r="AJ608" t="s">
        <v>63</v>
      </c>
      <c r="AK608" t="s">
        <v>63</v>
      </c>
      <c r="AL608" t="s">
        <v>63</v>
      </c>
      <c r="AM608" t="s">
        <v>5472</v>
      </c>
      <c r="AN608" t="s">
        <v>63</v>
      </c>
      <c r="AO608" t="s">
        <v>63</v>
      </c>
      <c r="AP608" t="s">
        <v>63</v>
      </c>
      <c r="AQ608" t="s">
        <v>63</v>
      </c>
      <c r="AR608" t="s">
        <v>63</v>
      </c>
      <c r="AS608" t="s">
        <v>63</v>
      </c>
      <c r="AT608" t="s">
        <v>63</v>
      </c>
      <c r="AU608" t="s">
        <v>63</v>
      </c>
      <c r="AV608" t="s">
        <v>63</v>
      </c>
      <c r="AW608" t="s">
        <v>63</v>
      </c>
      <c r="AX608" t="s">
        <v>63</v>
      </c>
      <c r="AY608" t="s">
        <v>63</v>
      </c>
      <c r="AZ608" t="s">
        <v>63</v>
      </c>
      <c r="BA608" t="s">
        <v>63</v>
      </c>
      <c r="BB608" t="s">
        <v>63</v>
      </c>
      <c r="BC608" t="s">
        <v>63</v>
      </c>
      <c r="BD608" t="s">
        <v>63</v>
      </c>
      <c r="BE608" t="s">
        <v>63</v>
      </c>
      <c r="BF608" t="s">
        <v>63</v>
      </c>
    </row>
    <row r="609" spans="1:58">
      <c r="A609" t="s">
        <v>58</v>
      </c>
      <c r="B609" t="s">
        <v>5473</v>
      </c>
      <c r="C609" t="s">
        <v>5474</v>
      </c>
      <c r="D609" t="s">
        <v>5475</v>
      </c>
      <c r="E609" t="s">
        <v>5476</v>
      </c>
      <c r="F609">
        <v>2001</v>
      </c>
      <c r="G609" t="s">
        <v>73</v>
      </c>
      <c r="H609">
        <v>17</v>
      </c>
      <c r="I609">
        <v>2</v>
      </c>
      <c r="J609">
        <v>157</v>
      </c>
      <c r="K609">
        <v>164</v>
      </c>
      <c r="L609" t="s">
        <v>5477</v>
      </c>
      <c r="M609" t="s">
        <v>5478</v>
      </c>
      <c r="N609" t="s">
        <v>5479</v>
      </c>
      <c r="O609" t="s">
        <v>63</v>
      </c>
      <c r="Q609" t="s">
        <v>63</v>
      </c>
      <c r="R609" t="s">
        <v>63</v>
      </c>
      <c r="S609" t="s">
        <v>63</v>
      </c>
      <c r="T609" t="s">
        <v>63</v>
      </c>
      <c r="X609" t="s">
        <v>63</v>
      </c>
      <c r="Y609" t="s">
        <v>5480</v>
      </c>
      <c r="Z609" t="s">
        <v>63</v>
      </c>
      <c r="AA609" t="s">
        <v>5481</v>
      </c>
      <c r="AB609">
        <v>11444717</v>
      </c>
      <c r="AC609" t="s">
        <v>67</v>
      </c>
      <c r="AD609" t="s">
        <v>63</v>
      </c>
      <c r="AE609" t="s">
        <v>63</v>
      </c>
      <c r="AF609" t="s">
        <v>63</v>
      </c>
      <c r="AG609" t="s">
        <v>5482</v>
      </c>
      <c r="AH609" t="s">
        <v>63</v>
      </c>
      <c r="AI609" t="s">
        <v>63</v>
      </c>
      <c r="AJ609" t="s">
        <v>63</v>
      </c>
      <c r="AK609" t="s">
        <v>63</v>
      </c>
      <c r="AL609" t="s">
        <v>63</v>
      </c>
      <c r="AM609" t="s">
        <v>5483</v>
      </c>
      <c r="AN609" t="s">
        <v>63</v>
      </c>
      <c r="AO609" t="s">
        <v>63</v>
      </c>
      <c r="AP609" t="s">
        <v>63</v>
      </c>
      <c r="AQ609" t="s">
        <v>63</v>
      </c>
      <c r="AR609" t="s">
        <v>63</v>
      </c>
      <c r="AS609" t="s">
        <v>63</v>
      </c>
      <c r="AT609" t="s">
        <v>63</v>
      </c>
      <c r="AU609" t="s">
        <v>63</v>
      </c>
      <c r="AV609" t="s">
        <v>63</v>
      </c>
      <c r="AW609" t="s">
        <v>63</v>
      </c>
      <c r="AX609" t="s">
        <v>63</v>
      </c>
      <c r="AY609" t="s">
        <v>63</v>
      </c>
      <c r="AZ609" t="s">
        <v>63</v>
      </c>
      <c r="BA609" t="s">
        <v>63</v>
      </c>
      <c r="BB609" t="s">
        <v>63</v>
      </c>
      <c r="BC609" t="s">
        <v>63</v>
      </c>
      <c r="BD609" t="s">
        <v>63</v>
      </c>
      <c r="BE609" t="s">
        <v>63</v>
      </c>
      <c r="BF609" t="s">
        <v>63</v>
      </c>
    </row>
    <row r="610" spans="1:58">
      <c r="A610" t="s">
        <v>58</v>
      </c>
      <c r="B610" t="s">
        <v>5484</v>
      </c>
      <c r="C610" t="s">
        <v>5485</v>
      </c>
      <c r="D610" t="s">
        <v>5486</v>
      </c>
      <c r="E610" t="s">
        <v>63</v>
      </c>
      <c r="F610">
        <v>1990</v>
      </c>
      <c r="G610" t="s">
        <v>219</v>
      </c>
      <c r="H610">
        <v>144</v>
      </c>
      <c r="I610">
        <v>11</v>
      </c>
      <c r="J610">
        <v>1234</v>
      </c>
      <c r="K610">
        <v>1237</v>
      </c>
      <c r="L610" t="s">
        <v>5487</v>
      </c>
      <c r="M610" t="s">
        <v>5488</v>
      </c>
      <c r="N610" t="s">
        <v>5489</v>
      </c>
      <c r="O610" t="s">
        <v>63</v>
      </c>
      <c r="Q610" t="s">
        <v>63</v>
      </c>
      <c r="R610" t="s">
        <v>63</v>
      </c>
      <c r="S610" t="s">
        <v>63</v>
      </c>
      <c r="T610" t="s">
        <v>63</v>
      </c>
      <c r="X610" t="s">
        <v>63</v>
      </c>
      <c r="Y610" t="s">
        <v>5490</v>
      </c>
      <c r="Z610" t="s">
        <v>63</v>
      </c>
      <c r="AA610" t="s">
        <v>5491</v>
      </c>
      <c r="AB610">
        <v>2239863</v>
      </c>
      <c r="AC610" t="s">
        <v>67</v>
      </c>
      <c r="AD610" t="s">
        <v>63</v>
      </c>
      <c r="AE610" t="s">
        <v>63</v>
      </c>
      <c r="AF610" t="s">
        <v>63</v>
      </c>
      <c r="AG610" t="s">
        <v>5492</v>
      </c>
      <c r="AH610" t="s">
        <v>63</v>
      </c>
      <c r="AI610" t="s">
        <v>63</v>
      </c>
      <c r="AJ610" t="s">
        <v>63</v>
      </c>
      <c r="AK610" t="s">
        <v>63</v>
      </c>
      <c r="AL610" t="s">
        <v>63</v>
      </c>
      <c r="AM610" t="s">
        <v>5493</v>
      </c>
      <c r="AN610" t="s">
        <v>63</v>
      </c>
      <c r="AO610" t="s">
        <v>63</v>
      </c>
      <c r="AP610" t="s">
        <v>63</v>
      </c>
      <c r="AQ610" t="s">
        <v>63</v>
      </c>
      <c r="AR610" t="s">
        <v>63</v>
      </c>
      <c r="AS610" t="s">
        <v>63</v>
      </c>
      <c r="AT610" t="s">
        <v>63</v>
      </c>
      <c r="AU610" t="s">
        <v>63</v>
      </c>
      <c r="AV610" t="s">
        <v>63</v>
      </c>
      <c r="AW610" t="s">
        <v>63</v>
      </c>
      <c r="AX610" t="s">
        <v>63</v>
      </c>
      <c r="AY610" t="s">
        <v>63</v>
      </c>
      <c r="AZ610" t="s">
        <v>63</v>
      </c>
      <c r="BA610" t="s">
        <v>63</v>
      </c>
      <c r="BB610" t="s">
        <v>63</v>
      </c>
      <c r="BC610" t="s">
        <v>63</v>
      </c>
      <c r="BD610" t="s">
        <v>63</v>
      </c>
      <c r="BE610" t="s">
        <v>63</v>
      </c>
      <c r="BF610" t="s">
        <v>63</v>
      </c>
    </row>
    <row r="611" spans="1:58">
      <c r="A611" t="s">
        <v>58</v>
      </c>
      <c r="B611" t="s">
        <v>5494</v>
      </c>
      <c r="C611" t="s">
        <v>5495</v>
      </c>
      <c r="D611" t="s">
        <v>205</v>
      </c>
      <c r="E611" t="s">
        <v>205</v>
      </c>
      <c r="F611">
        <v>2017</v>
      </c>
      <c r="G611" s="1">
        <v>41928</v>
      </c>
      <c r="H611">
        <v>318</v>
      </c>
      <c r="I611">
        <v>15</v>
      </c>
      <c r="J611">
        <v>1441</v>
      </c>
      <c r="K611">
        <v>1442</v>
      </c>
      <c r="L611" t="s">
        <v>5496</v>
      </c>
      <c r="M611" t="s">
        <v>63</v>
      </c>
      <c r="N611" t="s">
        <v>5497</v>
      </c>
      <c r="O611" t="s">
        <v>63</v>
      </c>
      <c r="Q611" t="s">
        <v>63</v>
      </c>
      <c r="R611" t="s">
        <v>63</v>
      </c>
      <c r="S611" t="s">
        <v>63</v>
      </c>
      <c r="T611" t="s">
        <v>63</v>
      </c>
      <c r="X611" t="s">
        <v>63</v>
      </c>
      <c r="Y611" t="s">
        <v>2744</v>
      </c>
      <c r="Z611" t="s">
        <v>63</v>
      </c>
      <c r="AA611" t="s">
        <v>5498</v>
      </c>
      <c r="AB611">
        <v>29049657</v>
      </c>
      <c r="AC611" t="s">
        <v>67</v>
      </c>
      <c r="AD611" t="s">
        <v>63</v>
      </c>
      <c r="AE611" t="s">
        <v>63</v>
      </c>
      <c r="AF611" t="s">
        <v>63</v>
      </c>
      <c r="AG611" t="s">
        <v>5499</v>
      </c>
      <c r="AH611" t="s">
        <v>63</v>
      </c>
      <c r="AI611" t="s">
        <v>5500</v>
      </c>
      <c r="AJ611" t="s">
        <v>63</v>
      </c>
      <c r="AK611" t="s">
        <v>63</v>
      </c>
      <c r="AL611" t="s">
        <v>63</v>
      </c>
      <c r="AM611" t="s">
        <v>5501</v>
      </c>
      <c r="AN611" t="s">
        <v>63</v>
      </c>
      <c r="AO611" t="s">
        <v>63</v>
      </c>
      <c r="AP611" t="s">
        <v>63</v>
      </c>
      <c r="AQ611" t="s">
        <v>63</v>
      </c>
      <c r="AR611" t="s">
        <v>63</v>
      </c>
      <c r="AS611" t="s">
        <v>63</v>
      </c>
      <c r="AT611" t="s">
        <v>63</v>
      </c>
      <c r="AU611" t="s">
        <v>63</v>
      </c>
      <c r="AV611" t="s">
        <v>63</v>
      </c>
      <c r="AW611" t="s">
        <v>63</v>
      </c>
      <c r="AX611" t="s">
        <v>63</v>
      </c>
      <c r="AY611" t="s">
        <v>63</v>
      </c>
      <c r="AZ611" t="s">
        <v>63</v>
      </c>
      <c r="BA611" t="s">
        <v>63</v>
      </c>
      <c r="BB611" t="s">
        <v>63</v>
      </c>
      <c r="BC611" t="s">
        <v>63</v>
      </c>
      <c r="BD611" t="s">
        <v>63</v>
      </c>
      <c r="BE611" t="s">
        <v>63</v>
      </c>
      <c r="BF611" t="s">
        <v>63</v>
      </c>
    </row>
    <row r="612" spans="1:58">
      <c r="A612" t="s">
        <v>58</v>
      </c>
      <c r="B612" t="s">
        <v>5502</v>
      </c>
      <c r="C612" t="s">
        <v>5503</v>
      </c>
      <c r="D612" t="s">
        <v>5504</v>
      </c>
      <c r="E612" t="s">
        <v>5505</v>
      </c>
      <c r="F612">
        <v>2016</v>
      </c>
      <c r="G612" t="s">
        <v>1114</v>
      </c>
      <c r="H612">
        <v>112</v>
      </c>
      <c r="I612">
        <v>3</v>
      </c>
      <c r="J612">
        <v>42</v>
      </c>
      <c r="K612">
        <v>47</v>
      </c>
      <c r="L612" t="s">
        <v>5506</v>
      </c>
      <c r="M612" t="s">
        <v>5507</v>
      </c>
      <c r="N612" t="s">
        <v>5508</v>
      </c>
      <c r="O612" t="s">
        <v>63</v>
      </c>
      <c r="Q612" t="s">
        <v>63</v>
      </c>
      <c r="R612" t="s">
        <v>63</v>
      </c>
      <c r="S612" t="s">
        <v>63</v>
      </c>
      <c r="T612" t="s">
        <v>63</v>
      </c>
      <c r="X612" t="s">
        <v>63</v>
      </c>
      <c r="Y612" t="s">
        <v>5509</v>
      </c>
      <c r="Z612" t="s">
        <v>63</v>
      </c>
      <c r="AA612" t="s">
        <v>63</v>
      </c>
      <c r="AB612">
        <v>27301154</v>
      </c>
      <c r="AC612" t="s">
        <v>67</v>
      </c>
      <c r="AD612" t="s">
        <v>63</v>
      </c>
      <c r="AE612" t="s">
        <v>63</v>
      </c>
      <c r="AF612" t="s">
        <v>63</v>
      </c>
      <c r="AG612" t="s">
        <v>5510</v>
      </c>
      <c r="AH612" t="s">
        <v>63</v>
      </c>
      <c r="AI612" t="s">
        <v>63</v>
      </c>
      <c r="AJ612" t="s">
        <v>63</v>
      </c>
      <c r="AK612" t="s">
        <v>63</v>
      </c>
      <c r="AL612" t="s">
        <v>63</v>
      </c>
      <c r="AM612" t="s">
        <v>5511</v>
      </c>
      <c r="AN612" t="s">
        <v>63</v>
      </c>
      <c r="AO612" t="s">
        <v>63</v>
      </c>
      <c r="AP612" t="s">
        <v>63</v>
      </c>
      <c r="AQ612" t="s">
        <v>63</v>
      </c>
      <c r="AR612" t="s">
        <v>63</v>
      </c>
      <c r="AS612" t="s">
        <v>63</v>
      </c>
      <c r="AT612" t="s">
        <v>63</v>
      </c>
      <c r="AU612" t="s">
        <v>63</v>
      </c>
      <c r="AV612" t="s">
        <v>63</v>
      </c>
      <c r="AW612" t="s">
        <v>63</v>
      </c>
      <c r="AX612" t="s">
        <v>63</v>
      </c>
      <c r="AY612" t="s">
        <v>63</v>
      </c>
      <c r="AZ612" t="s">
        <v>63</v>
      </c>
      <c r="BA612" t="s">
        <v>63</v>
      </c>
      <c r="BB612" t="s">
        <v>63</v>
      </c>
      <c r="BC612" t="s">
        <v>63</v>
      </c>
      <c r="BD612" t="s">
        <v>63</v>
      </c>
      <c r="BE612" t="s">
        <v>63</v>
      </c>
      <c r="BF612" t="s">
        <v>63</v>
      </c>
    </row>
    <row r="613" spans="1:58">
      <c r="A613" t="s">
        <v>58</v>
      </c>
      <c r="B613" t="s">
        <v>5512</v>
      </c>
      <c r="C613" t="s">
        <v>5513</v>
      </c>
      <c r="D613" t="s">
        <v>1184</v>
      </c>
      <c r="E613" t="s">
        <v>1185</v>
      </c>
      <c r="F613">
        <v>1983</v>
      </c>
      <c r="G613" t="s">
        <v>219</v>
      </c>
      <c r="H613">
        <v>58</v>
      </c>
      <c r="I613">
        <v>11</v>
      </c>
      <c r="J613">
        <v>859</v>
      </c>
      <c r="K613">
        <v>863</v>
      </c>
      <c r="L613" t="s">
        <v>5514</v>
      </c>
      <c r="M613" t="s">
        <v>5515</v>
      </c>
      <c r="N613" t="s">
        <v>5516</v>
      </c>
      <c r="O613" t="s">
        <v>63</v>
      </c>
      <c r="Q613" t="s">
        <v>63</v>
      </c>
      <c r="R613" t="s">
        <v>63</v>
      </c>
      <c r="S613" t="s">
        <v>63</v>
      </c>
      <c r="T613" t="s">
        <v>63</v>
      </c>
      <c r="X613" t="s">
        <v>63</v>
      </c>
      <c r="Y613" t="s">
        <v>1188</v>
      </c>
      <c r="Z613" t="s">
        <v>63</v>
      </c>
      <c r="AA613" t="s">
        <v>63</v>
      </c>
      <c r="AB613">
        <v>6631924</v>
      </c>
      <c r="AC613" t="s">
        <v>67</v>
      </c>
      <c r="AD613" t="s">
        <v>63</v>
      </c>
      <c r="AE613" t="s">
        <v>63</v>
      </c>
      <c r="AF613" t="s">
        <v>63</v>
      </c>
      <c r="AG613" t="s">
        <v>5517</v>
      </c>
      <c r="AH613" t="s">
        <v>63</v>
      </c>
      <c r="AI613" t="s">
        <v>63</v>
      </c>
      <c r="AJ613" t="s">
        <v>63</v>
      </c>
      <c r="AK613" t="s">
        <v>63</v>
      </c>
      <c r="AL613" t="s">
        <v>63</v>
      </c>
      <c r="AM613" t="s">
        <v>5518</v>
      </c>
      <c r="AN613" t="s">
        <v>63</v>
      </c>
      <c r="AO613" t="s">
        <v>63</v>
      </c>
      <c r="AP613" t="s">
        <v>63</v>
      </c>
      <c r="AQ613" t="s">
        <v>63</v>
      </c>
      <c r="AR613" t="s">
        <v>63</v>
      </c>
      <c r="AS613" t="s">
        <v>63</v>
      </c>
      <c r="AT613" t="s">
        <v>63</v>
      </c>
      <c r="AU613" t="s">
        <v>63</v>
      </c>
      <c r="AV613" t="s">
        <v>63</v>
      </c>
      <c r="AW613" t="s">
        <v>63</v>
      </c>
      <c r="AX613" t="s">
        <v>63</v>
      </c>
      <c r="AY613" t="s">
        <v>63</v>
      </c>
      <c r="AZ613" t="s">
        <v>63</v>
      </c>
      <c r="BA613" t="s">
        <v>63</v>
      </c>
      <c r="BB613" t="s">
        <v>63</v>
      </c>
      <c r="BC613" t="s">
        <v>63</v>
      </c>
      <c r="BD613" t="s">
        <v>63</v>
      </c>
      <c r="BE613" t="s">
        <v>63</v>
      </c>
      <c r="BF613" t="s">
        <v>63</v>
      </c>
    </row>
    <row r="614" spans="1:58">
      <c r="A614" t="s">
        <v>58</v>
      </c>
      <c r="B614" t="s">
        <v>5519</v>
      </c>
      <c r="C614" t="s">
        <v>5520</v>
      </c>
      <c r="D614" t="s">
        <v>5521</v>
      </c>
      <c r="E614" t="s">
        <v>63</v>
      </c>
      <c r="F614">
        <v>2017</v>
      </c>
      <c r="G614" t="s">
        <v>73</v>
      </c>
      <c r="H614">
        <v>17</v>
      </c>
      <c r="I614">
        <v>5</v>
      </c>
      <c r="J614">
        <v>625</v>
      </c>
      <c r="K614">
        <v>632</v>
      </c>
      <c r="L614" t="s">
        <v>5522</v>
      </c>
      <c r="M614" t="s">
        <v>5523</v>
      </c>
      <c r="N614" t="s">
        <v>5524</v>
      </c>
      <c r="O614" t="s">
        <v>63</v>
      </c>
      <c r="Q614" t="s">
        <v>63</v>
      </c>
      <c r="R614" t="s">
        <v>63</v>
      </c>
      <c r="S614" t="s">
        <v>63</v>
      </c>
      <c r="T614" t="s">
        <v>63</v>
      </c>
      <c r="X614" t="s">
        <v>63</v>
      </c>
      <c r="Y614" t="s">
        <v>5525</v>
      </c>
      <c r="Z614" t="s">
        <v>63</v>
      </c>
      <c r="AA614" t="s">
        <v>5526</v>
      </c>
      <c r="AB614">
        <v>27739258</v>
      </c>
      <c r="AC614" t="s">
        <v>67</v>
      </c>
      <c r="AD614" t="s">
        <v>63</v>
      </c>
      <c r="AE614" t="s">
        <v>63</v>
      </c>
      <c r="AF614" t="s">
        <v>63</v>
      </c>
      <c r="AG614" t="s">
        <v>5527</v>
      </c>
      <c r="AH614" t="s">
        <v>63</v>
      </c>
      <c r="AI614" t="s">
        <v>5528</v>
      </c>
      <c r="AJ614" t="s">
        <v>63</v>
      </c>
      <c r="AK614" t="s">
        <v>63</v>
      </c>
      <c r="AL614" t="s">
        <v>63</v>
      </c>
      <c r="AM614" t="s">
        <v>5529</v>
      </c>
      <c r="AN614" t="s">
        <v>63</v>
      </c>
      <c r="AO614" t="s">
        <v>63</v>
      </c>
      <c r="AP614" t="s">
        <v>63</v>
      </c>
      <c r="AQ614" t="s">
        <v>63</v>
      </c>
      <c r="AR614" t="s">
        <v>63</v>
      </c>
      <c r="AS614" t="s">
        <v>63</v>
      </c>
      <c r="AT614" t="s">
        <v>63</v>
      </c>
      <c r="AU614" t="s">
        <v>63</v>
      </c>
      <c r="AV614" t="s">
        <v>63</v>
      </c>
      <c r="AW614" t="s">
        <v>63</v>
      </c>
      <c r="AX614" t="s">
        <v>63</v>
      </c>
      <c r="AY614" t="s">
        <v>63</v>
      </c>
      <c r="AZ614" t="s">
        <v>63</v>
      </c>
      <c r="BA614" t="s">
        <v>63</v>
      </c>
      <c r="BB614" t="s">
        <v>63</v>
      </c>
      <c r="BC614" t="s">
        <v>63</v>
      </c>
      <c r="BD614" t="s">
        <v>63</v>
      </c>
      <c r="BE614" t="s">
        <v>63</v>
      </c>
      <c r="BF614" t="s">
        <v>63</v>
      </c>
    </row>
    <row r="615" spans="1:58">
      <c r="A615" t="s">
        <v>58</v>
      </c>
      <c r="B615" t="s">
        <v>5530</v>
      </c>
      <c r="C615" t="s">
        <v>5531</v>
      </c>
      <c r="D615" t="s">
        <v>1406</v>
      </c>
      <c r="E615" t="s">
        <v>1407</v>
      </c>
      <c r="F615">
        <v>2013</v>
      </c>
      <c r="G615" t="s">
        <v>219</v>
      </c>
      <c r="H615">
        <v>113</v>
      </c>
      <c r="I615">
        <v>11</v>
      </c>
      <c r="J615">
        <v>838</v>
      </c>
      <c r="K615">
        <v>848</v>
      </c>
      <c r="L615" t="s">
        <v>5532</v>
      </c>
      <c r="M615" t="s">
        <v>5533</v>
      </c>
      <c r="N615" t="s">
        <v>5534</v>
      </c>
      <c r="O615" t="s">
        <v>63</v>
      </c>
      <c r="Q615" t="s">
        <v>63</v>
      </c>
      <c r="R615" t="s">
        <v>63</v>
      </c>
      <c r="S615" t="s">
        <v>63</v>
      </c>
      <c r="T615" t="s">
        <v>63</v>
      </c>
      <c r="X615" t="s">
        <v>63</v>
      </c>
      <c r="Y615" t="s">
        <v>2876</v>
      </c>
      <c r="Z615" t="s">
        <v>63</v>
      </c>
      <c r="AA615" t="s">
        <v>5535</v>
      </c>
      <c r="AB615">
        <v>24174505</v>
      </c>
      <c r="AC615" t="s">
        <v>67</v>
      </c>
      <c r="AD615" t="s">
        <v>63</v>
      </c>
      <c r="AE615" t="s">
        <v>63</v>
      </c>
      <c r="AF615" t="s">
        <v>63</v>
      </c>
      <c r="AG615" t="s">
        <v>5536</v>
      </c>
      <c r="AH615" t="s">
        <v>63</v>
      </c>
      <c r="AI615" t="s">
        <v>5537</v>
      </c>
      <c r="AJ615" t="s">
        <v>63</v>
      </c>
      <c r="AK615" t="s">
        <v>63</v>
      </c>
      <c r="AL615" t="s">
        <v>63</v>
      </c>
      <c r="AM615" t="s">
        <v>5538</v>
      </c>
      <c r="AN615" t="s">
        <v>63</v>
      </c>
      <c r="AO615" t="s">
        <v>63</v>
      </c>
      <c r="AP615" t="s">
        <v>63</v>
      </c>
      <c r="AQ615" t="s">
        <v>63</v>
      </c>
      <c r="AR615" t="s">
        <v>63</v>
      </c>
      <c r="AS615" t="s">
        <v>63</v>
      </c>
      <c r="AT615" t="s">
        <v>63</v>
      </c>
      <c r="AU615" t="s">
        <v>63</v>
      </c>
      <c r="AV615" t="s">
        <v>63</v>
      </c>
      <c r="AW615" t="s">
        <v>63</v>
      </c>
      <c r="AX615" t="s">
        <v>63</v>
      </c>
      <c r="AY615" t="s">
        <v>63</v>
      </c>
      <c r="AZ615" t="s">
        <v>63</v>
      </c>
      <c r="BA615" t="s">
        <v>63</v>
      </c>
      <c r="BB615" t="s">
        <v>63</v>
      </c>
      <c r="BC615" t="s">
        <v>63</v>
      </c>
      <c r="BD615" t="s">
        <v>63</v>
      </c>
      <c r="BE615" t="s">
        <v>63</v>
      </c>
      <c r="BF615" t="s">
        <v>63</v>
      </c>
    </row>
    <row r="616" spans="1:58">
      <c r="A616" t="s">
        <v>58</v>
      </c>
      <c r="B616" t="s">
        <v>5539</v>
      </c>
      <c r="C616" t="s">
        <v>5540</v>
      </c>
      <c r="D616" t="s">
        <v>349</v>
      </c>
      <c r="E616" t="s">
        <v>350</v>
      </c>
      <c r="F616">
        <v>2007</v>
      </c>
      <c r="G616" t="s">
        <v>157</v>
      </c>
      <c r="H616">
        <v>33</v>
      </c>
      <c r="I616">
        <v>6</v>
      </c>
      <c r="J616" t="s">
        <v>5541</v>
      </c>
      <c r="K616">
        <v>22</v>
      </c>
      <c r="L616" t="s">
        <v>5542</v>
      </c>
      <c r="M616" t="s">
        <v>5543</v>
      </c>
      <c r="N616" t="s">
        <v>5544</v>
      </c>
      <c r="O616" t="s">
        <v>63</v>
      </c>
      <c r="Q616" t="s">
        <v>63</v>
      </c>
      <c r="R616" t="s">
        <v>63</v>
      </c>
      <c r="S616" t="s">
        <v>63</v>
      </c>
      <c r="T616" t="s">
        <v>63</v>
      </c>
      <c r="X616" t="s">
        <v>63</v>
      </c>
      <c r="Y616" t="s">
        <v>354</v>
      </c>
      <c r="Z616" t="s">
        <v>63</v>
      </c>
      <c r="AA616" t="s">
        <v>5545</v>
      </c>
      <c r="AB616">
        <v>18021917</v>
      </c>
      <c r="AC616" t="s">
        <v>67</v>
      </c>
      <c r="AD616" t="s">
        <v>63</v>
      </c>
      <c r="AE616" t="s">
        <v>63</v>
      </c>
      <c r="AF616" t="s">
        <v>63</v>
      </c>
      <c r="AG616" t="s">
        <v>5546</v>
      </c>
      <c r="AH616" t="s">
        <v>63</v>
      </c>
      <c r="AI616" t="s">
        <v>63</v>
      </c>
      <c r="AJ616" t="s">
        <v>63</v>
      </c>
      <c r="AK616" t="s">
        <v>63</v>
      </c>
      <c r="AL616" t="s">
        <v>63</v>
      </c>
      <c r="AM616" t="s">
        <v>5547</v>
      </c>
      <c r="AN616" t="s">
        <v>63</v>
      </c>
      <c r="AO616" t="s">
        <v>63</v>
      </c>
      <c r="AP616" t="s">
        <v>63</v>
      </c>
      <c r="AQ616" t="s">
        <v>63</v>
      </c>
      <c r="AR616" t="s">
        <v>63</v>
      </c>
      <c r="AS616" t="s">
        <v>63</v>
      </c>
      <c r="AT616" t="s">
        <v>63</v>
      </c>
      <c r="AU616" t="s">
        <v>63</v>
      </c>
      <c r="AV616" t="s">
        <v>63</v>
      </c>
      <c r="AW616" t="s">
        <v>63</v>
      </c>
      <c r="AX616" t="s">
        <v>63</v>
      </c>
      <c r="AY616" t="s">
        <v>63</v>
      </c>
      <c r="AZ616" t="s">
        <v>63</v>
      </c>
      <c r="BA616" t="s">
        <v>63</v>
      </c>
      <c r="BB616" t="s">
        <v>63</v>
      </c>
      <c r="BC616" t="s">
        <v>63</v>
      </c>
      <c r="BD616" t="s">
        <v>63</v>
      </c>
      <c r="BE616" t="s">
        <v>63</v>
      </c>
      <c r="BF616" t="s">
        <v>63</v>
      </c>
    </row>
    <row r="617" spans="1:58">
      <c r="A617" t="s">
        <v>58</v>
      </c>
      <c r="B617" t="s">
        <v>5548</v>
      </c>
      <c r="C617" t="s">
        <v>5549</v>
      </c>
      <c r="D617" t="s">
        <v>5550</v>
      </c>
      <c r="E617" t="s">
        <v>63</v>
      </c>
      <c r="F617">
        <v>2015</v>
      </c>
      <c r="G617" t="s">
        <v>157</v>
      </c>
      <c r="H617">
        <v>41</v>
      </c>
      <c r="I617">
        <v>2</v>
      </c>
      <c r="J617">
        <v>143</v>
      </c>
      <c r="K617">
        <v>144</v>
      </c>
      <c r="L617" t="s">
        <v>5551</v>
      </c>
      <c r="M617" t="s">
        <v>63</v>
      </c>
      <c r="N617" t="s">
        <v>5552</v>
      </c>
      <c r="O617" t="s">
        <v>63</v>
      </c>
      <c r="Q617" t="s">
        <v>63</v>
      </c>
      <c r="R617" t="s">
        <v>63</v>
      </c>
      <c r="S617" t="s">
        <v>63</v>
      </c>
      <c r="T617" t="s">
        <v>63</v>
      </c>
      <c r="X617" t="s">
        <v>63</v>
      </c>
      <c r="Y617" t="s">
        <v>5553</v>
      </c>
      <c r="Z617" t="s">
        <v>63</v>
      </c>
      <c r="AA617" t="s">
        <v>5554</v>
      </c>
      <c r="AB617">
        <v>26129681</v>
      </c>
      <c r="AC617" t="s">
        <v>67</v>
      </c>
      <c r="AD617" t="s">
        <v>63</v>
      </c>
      <c r="AE617" t="s">
        <v>63</v>
      </c>
      <c r="AF617" t="s">
        <v>63</v>
      </c>
      <c r="AG617" t="s">
        <v>5555</v>
      </c>
      <c r="AH617" t="s">
        <v>63</v>
      </c>
      <c r="AI617" t="s">
        <v>5556</v>
      </c>
      <c r="AJ617" t="s">
        <v>63</v>
      </c>
      <c r="AK617" t="s">
        <v>63</v>
      </c>
      <c r="AL617" t="s">
        <v>63</v>
      </c>
      <c r="AM617" t="s">
        <v>5557</v>
      </c>
      <c r="AN617" t="s">
        <v>63</v>
      </c>
      <c r="AO617" t="s">
        <v>63</v>
      </c>
      <c r="AP617" t="s">
        <v>63</v>
      </c>
      <c r="AQ617" t="s">
        <v>63</v>
      </c>
      <c r="AR617" t="s">
        <v>63</v>
      </c>
      <c r="AS617" t="s">
        <v>63</v>
      </c>
      <c r="AT617" t="s">
        <v>63</v>
      </c>
      <c r="AU617" t="s">
        <v>63</v>
      </c>
      <c r="AV617" t="s">
        <v>63</v>
      </c>
      <c r="AW617" t="s">
        <v>63</v>
      </c>
      <c r="AX617" t="s">
        <v>63</v>
      </c>
      <c r="AY617" t="s">
        <v>63</v>
      </c>
      <c r="AZ617" t="s">
        <v>63</v>
      </c>
      <c r="BA617" t="s">
        <v>63</v>
      </c>
      <c r="BB617" t="s">
        <v>63</v>
      </c>
      <c r="BC617" t="s">
        <v>63</v>
      </c>
      <c r="BD617" t="s">
        <v>63</v>
      </c>
      <c r="BE617" t="s">
        <v>63</v>
      </c>
      <c r="BF617" t="s">
        <v>63</v>
      </c>
    </row>
    <row r="618" spans="1:58">
      <c r="A618" t="s">
        <v>58</v>
      </c>
      <c r="B618" t="s">
        <v>5558</v>
      </c>
      <c r="C618" t="s">
        <v>5559</v>
      </c>
      <c r="D618" t="s">
        <v>2576</v>
      </c>
      <c r="E618" t="s">
        <v>2577</v>
      </c>
      <c r="F618">
        <v>1976</v>
      </c>
      <c r="G618" t="s">
        <v>63</v>
      </c>
      <c r="H618">
        <v>273</v>
      </c>
      <c r="I618" t="s">
        <v>63</v>
      </c>
      <c r="J618">
        <v>433</v>
      </c>
      <c r="K618">
        <v>435</v>
      </c>
      <c r="L618" t="s">
        <v>5560</v>
      </c>
      <c r="M618" t="s">
        <v>63</v>
      </c>
      <c r="N618" t="s">
        <v>5561</v>
      </c>
      <c r="O618" t="s">
        <v>63</v>
      </c>
      <c r="Q618" t="s">
        <v>63</v>
      </c>
      <c r="R618" t="s">
        <v>63</v>
      </c>
      <c r="S618" t="s">
        <v>63</v>
      </c>
      <c r="T618" t="s">
        <v>63</v>
      </c>
      <c r="X618" t="s">
        <v>63</v>
      </c>
      <c r="Y618" t="s">
        <v>2580</v>
      </c>
      <c r="Z618" t="s">
        <v>63</v>
      </c>
      <c r="AA618" t="s">
        <v>63</v>
      </c>
      <c r="AB618">
        <v>1072372</v>
      </c>
      <c r="AC618" t="s">
        <v>67</v>
      </c>
      <c r="AD618" t="s">
        <v>63</v>
      </c>
      <c r="AE618" t="s">
        <v>63</v>
      </c>
      <c r="AF618" t="s">
        <v>63</v>
      </c>
      <c r="AG618" t="s">
        <v>5562</v>
      </c>
      <c r="AH618" t="s">
        <v>63</v>
      </c>
      <c r="AI618" t="s">
        <v>63</v>
      </c>
      <c r="AJ618" t="s">
        <v>63</v>
      </c>
      <c r="AK618" t="s">
        <v>63</v>
      </c>
      <c r="AL618" t="s">
        <v>63</v>
      </c>
      <c r="AM618" t="s">
        <v>5563</v>
      </c>
      <c r="AN618" t="s">
        <v>63</v>
      </c>
      <c r="AO618" t="s">
        <v>63</v>
      </c>
      <c r="AP618" t="s">
        <v>63</v>
      </c>
      <c r="AQ618" t="s">
        <v>63</v>
      </c>
      <c r="AR618" t="s">
        <v>63</v>
      </c>
      <c r="AS618" t="s">
        <v>63</v>
      </c>
      <c r="AT618" t="s">
        <v>63</v>
      </c>
      <c r="AU618" t="s">
        <v>63</v>
      </c>
      <c r="AV618" t="s">
        <v>63</v>
      </c>
      <c r="AW618" t="s">
        <v>63</v>
      </c>
      <c r="AX618" t="s">
        <v>63</v>
      </c>
      <c r="AY618" t="s">
        <v>63</v>
      </c>
      <c r="AZ618" t="s">
        <v>63</v>
      </c>
      <c r="BA618" t="s">
        <v>63</v>
      </c>
      <c r="BB618" t="s">
        <v>63</v>
      </c>
      <c r="BC618" t="s">
        <v>63</v>
      </c>
      <c r="BD618" t="s">
        <v>63</v>
      </c>
      <c r="BE618" t="s">
        <v>63</v>
      </c>
      <c r="BF618" t="s">
        <v>63</v>
      </c>
    </row>
    <row r="619" spans="1:58">
      <c r="A619" t="s">
        <v>58</v>
      </c>
      <c r="B619" t="s">
        <v>5564</v>
      </c>
      <c r="C619" t="s">
        <v>5565</v>
      </c>
      <c r="D619" t="s">
        <v>5566</v>
      </c>
      <c r="E619" t="s">
        <v>63</v>
      </c>
      <c r="F619">
        <v>2012</v>
      </c>
      <c r="G619" t="s">
        <v>73</v>
      </c>
      <c r="H619">
        <v>62</v>
      </c>
      <c r="I619">
        <v>4</v>
      </c>
      <c r="J619">
        <v>254</v>
      </c>
      <c r="K619">
        <v>260</v>
      </c>
      <c r="L619" t="s">
        <v>5567</v>
      </c>
      <c r="M619" t="s">
        <v>5568</v>
      </c>
      <c r="N619" t="s">
        <v>5569</v>
      </c>
      <c r="O619" t="s">
        <v>63</v>
      </c>
      <c r="Q619" t="s">
        <v>63</v>
      </c>
      <c r="R619" t="s">
        <v>63</v>
      </c>
      <c r="S619" t="s">
        <v>63</v>
      </c>
      <c r="T619" t="s">
        <v>63</v>
      </c>
      <c r="X619" t="s">
        <v>63</v>
      </c>
      <c r="Y619" t="s">
        <v>5570</v>
      </c>
      <c r="Z619" t="s">
        <v>63</v>
      </c>
      <c r="AA619" t="s">
        <v>5571</v>
      </c>
      <c r="AB619">
        <v>22661661</v>
      </c>
      <c r="AC619" t="s">
        <v>67</v>
      </c>
      <c r="AD619" t="s">
        <v>63</v>
      </c>
      <c r="AE619" t="s">
        <v>63</v>
      </c>
      <c r="AF619" t="s">
        <v>63</v>
      </c>
      <c r="AG619" t="s">
        <v>5572</v>
      </c>
      <c r="AH619" t="s">
        <v>63</v>
      </c>
      <c r="AI619" t="s">
        <v>5573</v>
      </c>
      <c r="AJ619" t="s">
        <v>63</v>
      </c>
      <c r="AK619" t="s">
        <v>63</v>
      </c>
      <c r="AL619" t="s">
        <v>63</v>
      </c>
      <c r="AM619" t="s">
        <v>5574</v>
      </c>
      <c r="AN619" t="s">
        <v>63</v>
      </c>
      <c r="AO619" t="s">
        <v>63</v>
      </c>
      <c r="AP619" t="s">
        <v>63</v>
      </c>
      <c r="AQ619" t="s">
        <v>63</v>
      </c>
      <c r="AR619" t="s">
        <v>63</v>
      </c>
      <c r="AS619" t="s">
        <v>63</v>
      </c>
      <c r="AT619" t="s">
        <v>63</v>
      </c>
      <c r="AU619" t="s">
        <v>63</v>
      </c>
      <c r="AV619" t="s">
        <v>63</v>
      </c>
      <c r="AW619" t="s">
        <v>63</v>
      </c>
      <c r="AX619" t="s">
        <v>63</v>
      </c>
      <c r="AY619" t="s">
        <v>63</v>
      </c>
      <c r="AZ619" t="s">
        <v>63</v>
      </c>
      <c r="BA619" t="s">
        <v>63</v>
      </c>
      <c r="BB619" t="s">
        <v>63</v>
      </c>
      <c r="BC619" t="s">
        <v>63</v>
      </c>
      <c r="BD619" t="s">
        <v>63</v>
      </c>
      <c r="BE619" t="s">
        <v>63</v>
      </c>
      <c r="BF619" t="s">
        <v>63</v>
      </c>
    </row>
    <row r="620" spans="1:58">
      <c r="A620" t="s">
        <v>58</v>
      </c>
      <c r="B620" t="s">
        <v>5575</v>
      </c>
      <c r="C620" t="s">
        <v>5576</v>
      </c>
      <c r="D620" t="s">
        <v>212</v>
      </c>
      <c r="E620" t="s">
        <v>63</v>
      </c>
      <c r="F620">
        <v>1986</v>
      </c>
      <c r="G620" s="1">
        <v>41820</v>
      </c>
      <c r="H620">
        <v>135</v>
      </c>
      <c r="I620">
        <v>1</v>
      </c>
      <c r="J620">
        <v>23</v>
      </c>
      <c r="K620">
        <v>26</v>
      </c>
      <c r="L620" t="s">
        <v>5577</v>
      </c>
      <c r="M620" t="s">
        <v>5578</v>
      </c>
      <c r="N620" t="s">
        <v>5579</v>
      </c>
      <c r="O620" t="s">
        <v>63</v>
      </c>
      <c r="Q620" t="s">
        <v>63</v>
      </c>
      <c r="R620" t="s">
        <v>63</v>
      </c>
      <c r="S620" t="s">
        <v>63</v>
      </c>
      <c r="T620" t="s">
        <v>63</v>
      </c>
      <c r="X620" t="s">
        <v>63</v>
      </c>
      <c r="Y620" t="s">
        <v>215</v>
      </c>
      <c r="Z620" t="s">
        <v>63</v>
      </c>
      <c r="AA620" t="s">
        <v>63</v>
      </c>
      <c r="AB620">
        <v>3719482</v>
      </c>
      <c r="AC620" t="s">
        <v>67</v>
      </c>
      <c r="AD620" t="s">
        <v>63</v>
      </c>
      <c r="AE620" t="s">
        <v>63</v>
      </c>
      <c r="AF620" t="s">
        <v>63</v>
      </c>
      <c r="AG620" t="s">
        <v>5580</v>
      </c>
      <c r="AH620" t="s">
        <v>63</v>
      </c>
      <c r="AI620" t="s">
        <v>63</v>
      </c>
      <c r="AJ620" t="s">
        <v>63</v>
      </c>
      <c r="AK620" t="s">
        <v>63</v>
      </c>
      <c r="AL620" t="s">
        <v>63</v>
      </c>
      <c r="AM620" t="s">
        <v>5581</v>
      </c>
      <c r="AN620" t="s">
        <v>63</v>
      </c>
      <c r="AO620" t="s">
        <v>63</v>
      </c>
      <c r="AP620" t="s">
        <v>63</v>
      </c>
      <c r="AQ620" t="s">
        <v>63</v>
      </c>
      <c r="AR620" t="s">
        <v>63</v>
      </c>
      <c r="AS620" t="s">
        <v>63</v>
      </c>
      <c r="AT620" t="s">
        <v>63</v>
      </c>
      <c r="AU620" t="s">
        <v>63</v>
      </c>
      <c r="AV620" t="s">
        <v>63</v>
      </c>
      <c r="AW620" t="s">
        <v>63</v>
      </c>
      <c r="AX620" t="s">
        <v>63</v>
      </c>
      <c r="AY620" t="s">
        <v>63</v>
      </c>
      <c r="AZ620" t="s">
        <v>63</v>
      </c>
      <c r="BA620" t="s">
        <v>63</v>
      </c>
      <c r="BB620" t="s">
        <v>63</v>
      </c>
      <c r="BC620" t="s">
        <v>63</v>
      </c>
      <c r="BD620" t="s">
        <v>63</v>
      </c>
      <c r="BE620" t="s">
        <v>63</v>
      </c>
      <c r="BF620" t="s">
        <v>63</v>
      </c>
    </row>
    <row r="621" spans="1:58">
      <c r="A621" t="s">
        <v>58</v>
      </c>
      <c r="B621" t="s">
        <v>5582</v>
      </c>
      <c r="C621" t="s">
        <v>5583</v>
      </c>
      <c r="D621" t="s">
        <v>5584</v>
      </c>
      <c r="E621" t="s">
        <v>5585</v>
      </c>
      <c r="F621">
        <v>2010</v>
      </c>
      <c r="G621" t="s">
        <v>1737</v>
      </c>
      <c r="H621">
        <v>50</v>
      </c>
      <c r="I621">
        <v>3</v>
      </c>
      <c r="J621">
        <v>375</v>
      </c>
      <c r="K621">
        <v>396</v>
      </c>
      <c r="L621" t="s">
        <v>5586</v>
      </c>
      <c r="M621" t="s">
        <v>5587</v>
      </c>
      <c r="N621" t="s">
        <v>5588</v>
      </c>
      <c r="O621" t="s">
        <v>63</v>
      </c>
      <c r="Q621" t="s">
        <v>63</v>
      </c>
      <c r="R621" t="s">
        <v>63</v>
      </c>
      <c r="S621" t="s">
        <v>63</v>
      </c>
      <c r="T621" t="s">
        <v>63</v>
      </c>
      <c r="X621" t="s">
        <v>63</v>
      </c>
      <c r="Y621" s="2">
        <v>2955359</v>
      </c>
      <c r="Z621" t="s">
        <v>63</v>
      </c>
      <c r="AA621" t="s">
        <v>5589</v>
      </c>
      <c r="AB621">
        <v>21086771</v>
      </c>
      <c r="AC621" t="s">
        <v>67</v>
      </c>
      <c r="AD621" t="s">
        <v>63</v>
      </c>
      <c r="AE621" t="s">
        <v>63</v>
      </c>
      <c r="AF621" t="s">
        <v>63</v>
      </c>
      <c r="AG621" t="s">
        <v>5590</v>
      </c>
      <c r="AH621" t="s">
        <v>63</v>
      </c>
      <c r="AI621" t="s">
        <v>63</v>
      </c>
      <c r="AJ621" t="s">
        <v>63</v>
      </c>
      <c r="AK621" t="s">
        <v>63</v>
      </c>
      <c r="AL621" t="s">
        <v>63</v>
      </c>
      <c r="AM621" t="s">
        <v>5591</v>
      </c>
      <c r="AN621" t="s">
        <v>63</v>
      </c>
      <c r="AO621" t="s">
        <v>63</v>
      </c>
      <c r="AP621" t="s">
        <v>63</v>
      </c>
      <c r="AQ621" t="s">
        <v>63</v>
      </c>
      <c r="AR621" t="s">
        <v>63</v>
      </c>
      <c r="AS621" t="s">
        <v>63</v>
      </c>
      <c r="AT621" t="s">
        <v>63</v>
      </c>
      <c r="AU621" t="s">
        <v>63</v>
      </c>
      <c r="AV621" t="s">
        <v>63</v>
      </c>
      <c r="AW621" t="s">
        <v>63</v>
      </c>
      <c r="AX621" t="s">
        <v>63</v>
      </c>
      <c r="AY621" t="s">
        <v>63</v>
      </c>
      <c r="AZ621" t="s">
        <v>63</v>
      </c>
      <c r="BA621" t="s">
        <v>63</v>
      </c>
      <c r="BB621" t="s">
        <v>63</v>
      </c>
      <c r="BC621" t="s">
        <v>63</v>
      </c>
      <c r="BD621" t="s">
        <v>63</v>
      </c>
      <c r="BE621" t="s">
        <v>63</v>
      </c>
      <c r="BF621" t="s">
        <v>63</v>
      </c>
    </row>
    <row r="622" spans="1:58">
      <c r="A622" t="s">
        <v>58</v>
      </c>
      <c r="B622" t="s">
        <v>5592</v>
      </c>
      <c r="C622" t="s">
        <v>5593</v>
      </c>
      <c r="D622" t="s">
        <v>2291</v>
      </c>
      <c r="E622" t="s">
        <v>2291</v>
      </c>
      <c r="F622">
        <v>1997</v>
      </c>
      <c r="G622" s="1">
        <v>41803</v>
      </c>
      <c r="H622">
        <v>314</v>
      </c>
      <c r="I622">
        <v>7096</v>
      </c>
      <c r="J622">
        <v>1730</v>
      </c>
      <c r="K622">
        <v>1735</v>
      </c>
      <c r="L622" t="s">
        <v>5594</v>
      </c>
      <c r="M622" t="s">
        <v>63</v>
      </c>
      <c r="N622" t="s">
        <v>5595</v>
      </c>
      <c r="O622" t="s">
        <v>63</v>
      </c>
      <c r="Q622" t="s">
        <v>63</v>
      </c>
      <c r="R622" t="s">
        <v>63</v>
      </c>
      <c r="S622" t="s">
        <v>63</v>
      </c>
      <c r="T622" t="s">
        <v>63</v>
      </c>
      <c r="X622" t="s">
        <v>63</v>
      </c>
      <c r="Y622" t="s">
        <v>2294</v>
      </c>
      <c r="Z622" t="s">
        <v>63</v>
      </c>
      <c r="AA622" t="s">
        <v>5596</v>
      </c>
      <c r="AB622">
        <v>9202504</v>
      </c>
      <c r="AC622" t="s">
        <v>67</v>
      </c>
      <c r="AD622" t="s">
        <v>63</v>
      </c>
      <c r="AE622" t="s">
        <v>63</v>
      </c>
      <c r="AF622" t="s">
        <v>63</v>
      </c>
      <c r="AG622" t="s">
        <v>5597</v>
      </c>
      <c r="AH622" t="s">
        <v>63</v>
      </c>
      <c r="AI622" t="s">
        <v>63</v>
      </c>
      <c r="AJ622" t="s">
        <v>63</v>
      </c>
      <c r="AK622" t="s">
        <v>63</v>
      </c>
      <c r="AL622" t="s">
        <v>63</v>
      </c>
      <c r="AM622" t="s">
        <v>5598</v>
      </c>
      <c r="AN622" t="s">
        <v>63</v>
      </c>
      <c r="AO622" t="s">
        <v>63</v>
      </c>
      <c r="AP622" t="s">
        <v>63</v>
      </c>
      <c r="AQ622" t="s">
        <v>63</v>
      </c>
      <c r="AR622" t="s">
        <v>63</v>
      </c>
      <c r="AS622" t="s">
        <v>63</v>
      </c>
      <c r="AT622" t="s">
        <v>63</v>
      </c>
      <c r="AU622" t="s">
        <v>63</v>
      </c>
      <c r="AV622" t="s">
        <v>63</v>
      </c>
      <c r="AW622" t="s">
        <v>63</v>
      </c>
      <c r="AX622" t="s">
        <v>63</v>
      </c>
      <c r="AY622" t="s">
        <v>63</v>
      </c>
      <c r="AZ622" t="s">
        <v>63</v>
      </c>
      <c r="BA622" t="s">
        <v>63</v>
      </c>
      <c r="BB622" t="s">
        <v>63</v>
      </c>
      <c r="BC622" t="s">
        <v>63</v>
      </c>
      <c r="BD622" t="s">
        <v>63</v>
      </c>
      <c r="BE622" t="s">
        <v>63</v>
      </c>
      <c r="BF622" t="s">
        <v>63</v>
      </c>
    </row>
    <row r="623" spans="1:58">
      <c r="A623" t="s">
        <v>58</v>
      </c>
      <c r="B623" t="s">
        <v>5599</v>
      </c>
      <c r="C623" t="s">
        <v>5600</v>
      </c>
      <c r="D623" t="s">
        <v>690</v>
      </c>
      <c r="E623" t="s">
        <v>63</v>
      </c>
      <c r="F623">
        <v>2006</v>
      </c>
      <c r="G623" t="s">
        <v>63</v>
      </c>
      <c r="H623">
        <v>63</v>
      </c>
      <c r="I623">
        <v>10</v>
      </c>
      <c r="J623">
        <v>1131</v>
      </c>
      <c r="K623">
        <v>1134</v>
      </c>
      <c r="L623" t="s">
        <v>5601</v>
      </c>
      <c r="M623" t="s">
        <v>5602</v>
      </c>
      <c r="N623" t="s">
        <v>5603</v>
      </c>
      <c r="O623" t="s">
        <v>63</v>
      </c>
      <c r="Q623" t="s">
        <v>63</v>
      </c>
      <c r="R623" t="s">
        <v>63</v>
      </c>
      <c r="S623" t="s">
        <v>63</v>
      </c>
      <c r="T623" t="s">
        <v>63</v>
      </c>
      <c r="X623" t="s">
        <v>63</v>
      </c>
      <c r="Y623" t="s">
        <v>694</v>
      </c>
      <c r="Z623" t="s">
        <v>63</v>
      </c>
      <c r="AA623" t="s">
        <v>5604</v>
      </c>
      <c r="AB623">
        <v>17288236</v>
      </c>
      <c r="AC623" t="s">
        <v>696</v>
      </c>
      <c r="AD623" t="s">
        <v>63</v>
      </c>
      <c r="AE623" t="s">
        <v>63</v>
      </c>
      <c r="AF623" t="s">
        <v>63</v>
      </c>
      <c r="AG623" t="s">
        <v>5605</v>
      </c>
      <c r="AH623" t="s">
        <v>63</v>
      </c>
      <c r="AI623" t="s">
        <v>63</v>
      </c>
      <c r="AJ623" t="s">
        <v>63</v>
      </c>
      <c r="AK623" t="s">
        <v>63</v>
      </c>
      <c r="AL623" t="s">
        <v>63</v>
      </c>
      <c r="AM623" t="s">
        <v>5606</v>
      </c>
      <c r="AN623" t="s">
        <v>63</v>
      </c>
      <c r="AO623" t="s">
        <v>63</v>
      </c>
      <c r="AP623" t="s">
        <v>63</v>
      </c>
      <c r="AQ623" t="s">
        <v>63</v>
      </c>
      <c r="AR623" t="s">
        <v>63</v>
      </c>
      <c r="AS623" t="s">
        <v>63</v>
      </c>
      <c r="AT623" t="s">
        <v>63</v>
      </c>
      <c r="AU623" t="s">
        <v>63</v>
      </c>
      <c r="AV623" t="s">
        <v>63</v>
      </c>
      <c r="AW623" t="s">
        <v>63</v>
      </c>
      <c r="AX623" t="s">
        <v>63</v>
      </c>
      <c r="AY623" t="s">
        <v>63</v>
      </c>
      <c r="AZ623" t="s">
        <v>63</v>
      </c>
      <c r="BA623" t="s">
        <v>63</v>
      </c>
      <c r="BB623" t="s">
        <v>63</v>
      </c>
      <c r="BC623" t="s">
        <v>63</v>
      </c>
      <c r="BD623" t="s">
        <v>63</v>
      </c>
      <c r="BE623" t="s">
        <v>63</v>
      </c>
      <c r="BF623" t="s">
        <v>63</v>
      </c>
    </row>
    <row r="624" spans="1:58">
      <c r="A624" t="s">
        <v>58</v>
      </c>
      <c r="B624" t="s">
        <v>5607</v>
      </c>
      <c r="C624" t="s">
        <v>5608</v>
      </c>
      <c r="D624" t="s">
        <v>640</v>
      </c>
      <c r="E624" t="s">
        <v>63</v>
      </c>
      <c r="F624">
        <v>2007</v>
      </c>
      <c r="G624" t="s">
        <v>198</v>
      </c>
      <c r="H624">
        <v>26</v>
      </c>
      <c r="I624">
        <v>1</v>
      </c>
      <c r="J624">
        <v>65</v>
      </c>
      <c r="K624">
        <v>71</v>
      </c>
      <c r="L624" t="s">
        <v>5609</v>
      </c>
      <c r="M624" t="s">
        <v>5610</v>
      </c>
      <c r="N624" t="s">
        <v>5611</v>
      </c>
      <c r="O624" t="s">
        <v>63</v>
      </c>
      <c r="Q624" t="s">
        <v>63</v>
      </c>
      <c r="R624" t="s">
        <v>63</v>
      </c>
      <c r="S624" t="s">
        <v>63</v>
      </c>
      <c r="T624" t="s">
        <v>63</v>
      </c>
      <c r="X624" t="s">
        <v>63</v>
      </c>
      <c r="Y624" t="s">
        <v>644</v>
      </c>
      <c r="Z624" t="s">
        <v>63</v>
      </c>
      <c r="AA624" t="s">
        <v>5612</v>
      </c>
      <c r="AB624">
        <v>17364838</v>
      </c>
      <c r="AC624" t="s">
        <v>67</v>
      </c>
      <c r="AD624" t="s">
        <v>63</v>
      </c>
      <c r="AE624" t="s">
        <v>63</v>
      </c>
      <c r="AF624" t="s">
        <v>63</v>
      </c>
      <c r="AG624" t="s">
        <v>5613</v>
      </c>
      <c r="AH624" t="s">
        <v>63</v>
      </c>
      <c r="AI624" t="s">
        <v>63</v>
      </c>
      <c r="AJ624" t="s">
        <v>63</v>
      </c>
      <c r="AK624" t="s">
        <v>63</v>
      </c>
      <c r="AL624" t="s">
        <v>63</v>
      </c>
      <c r="AM624" t="s">
        <v>5614</v>
      </c>
      <c r="AN624" t="s">
        <v>63</v>
      </c>
      <c r="AO624" t="s">
        <v>63</v>
      </c>
      <c r="AP624" t="s">
        <v>63</v>
      </c>
      <c r="AQ624" t="s">
        <v>63</v>
      </c>
      <c r="AR624" t="s">
        <v>63</v>
      </c>
      <c r="AS624" t="s">
        <v>63</v>
      </c>
      <c r="AT624" t="s">
        <v>63</v>
      </c>
      <c r="AU624" t="s">
        <v>63</v>
      </c>
      <c r="AV624" t="s">
        <v>63</v>
      </c>
      <c r="AW624" t="s">
        <v>63</v>
      </c>
      <c r="AX624" t="s">
        <v>63</v>
      </c>
      <c r="AY624" t="s">
        <v>63</v>
      </c>
      <c r="AZ624" t="s">
        <v>63</v>
      </c>
      <c r="BA624" t="s">
        <v>63</v>
      </c>
      <c r="BB624" t="s">
        <v>63</v>
      </c>
      <c r="BC624" t="s">
        <v>63</v>
      </c>
      <c r="BD624" t="s">
        <v>63</v>
      </c>
      <c r="BE624" t="s">
        <v>63</v>
      </c>
      <c r="BF624" t="s">
        <v>63</v>
      </c>
    </row>
    <row r="625" spans="1:58">
      <c r="A625" t="s">
        <v>58</v>
      </c>
      <c r="B625" t="s">
        <v>5615</v>
      </c>
      <c r="C625" t="s">
        <v>5616</v>
      </c>
      <c r="D625" t="s">
        <v>5617</v>
      </c>
      <c r="E625" t="s">
        <v>5618</v>
      </c>
      <c r="F625">
        <v>2003</v>
      </c>
      <c r="G625" t="s">
        <v>623</v>
      </c>
      <c r="H625">
        <v>77</v>
      </c>
      <c r="I625">
        <v>1</v>
      </c>
      <c r="J625">
        <v>117</v>
      </c>
      <c r="K625">
        <v>124</v>
      </c>
      <c r="L625" t="s">
        <v>5619</v>
      </c>
      <c r="M625" t="s">
        <v>5620</v>
      </c>
      <c r="N625" t="s">
        <v>5621</v>
      </c>
      <c r="O625" t="s">
        <v>63</v>
      </c>
      <c r="Q625" t="s">
        <v>63</v>
      </c>
      <c r="R625" t="s">
        <v>63</v>
      </c>
      <c r="S625" t="s">
        <v>63</v>
      </c>
      <c r="T625" t="s">
        <v>63</v>
      </c>
      <c r="X625" t="s">
        <v>63</v>
      </c>
      <c r="Y625" t="s">
        <v>5622</v>
      </c>
      <c r="Z625" t="s">
        <v>63</v>
      </c>
      <c r="AA625" t="s">
        <v>5623</v>
      </c>
      <c r="AB625">
        <v>12696391</v>
      </c>
      <c r="AC625" t="s">
        <v>913</v>
      </c>
      <c r="AD625" t="s">
        <v>63</v>
      </c>
      <c r="AE625" t="s">
        <v>63</v>
      </c>
      <c r="AF625" t="s">
        <v>63</v>
      </c>
      <c r="AG625" t="s">
        <v>5624</v>
      </c>
      <c r="AH625" t="s">
        <v>63</v>
      </c>
      <c r="AI625" t="s">
        <v>63</v>
      </c>
      <c r="AJ625" t="s">
        <v>63</v>
      </c>
      <c r="AK625" t="s">
        <v>63</v>
      </c>
      <c r="AL625" t="s">
        <v>63</v>
      </c>
      <c r="AM625" t="s">
        <v>5625</v>
      </c>
      <c r="AN625" t="s">
        <v>63</v>
      </c>
      <c r="AO625" t="s">
        <v>63</v>
      </c>
      <c r="AP625" t="s">
        <v>63</v>
      </c>
      <c r="AQ625" t="s">
        <v>63</v>
      </c>
      <c r="AR625" t="s">
        <v>63</v>
      </c>
      <c r="AS625" t="s">
        <v>63</v>
      </c>
      <c r="AT625" t="s">
        <v>63</v>
      </c>
      <c r="AU625" t="s">
        <v>63</v>
      </c>
      <c r="AV625" t="s">
        <v>63</v>
      </c>
      <c r="AW625" t="s">
        <v>63</v>
      </c>
      <c r="AX625" t="s">
        <v>63</v>
      </c>
      <c r="AY625" t="s">
        <v>63</v>
      </c>
      <c r="AZ625" t="s">
        <v>63</v>
      </c>
      <c r="BA625" t="s">
        <v>63</v>
      </c>
      <c r="BB625" t="s">
        <v>63</v>
      </c>
      <c r="BC625" t="s">
        <v>63</v>
      </c>
      <c r="BD625" t="s">
        <v>63</v>
      </c>
      <c r="BE625" t="s">
        <v>63</v>
      </c>
      <c r="BF625" t="s">
        <v>63</v>
      </c>
    </row>
    <row r="626" spans="1:58">
      <c r="A626" t="s">
        <v>58</v>
      </c>
      <c r="B626" t="s">
        <v>5626</v>
      </c>
      <c r="C626" t="s">
        <v>5627</v>
      </c>
      <c r="D626" t="s">
        <v>3142</v>
      </c>
      <c r="E626" t="s">
        <v>3143</v>
      </c>
      <c r="F626">
        <v>2010</v>
      </c>
      <c r="G626" s="1">
        <v>41922</v>
      </c>
      <c r="H626">
        <v>170</v>
      </c>
      <c r="I626">
        <v>18</v>
      </c>
      <c r="J626">
        <v>1646</v>
      </c>
      <c r="K626">
        <v>1647</v>
      </c>
      <c r="L626" t="s">
        <v>5628</v>
      </c>
      <c r="M626" t="s">
        <v>63</v>
      </c>
      <c r="N626" t="s">
        <v>5629</v>
      </c>
      <c r="O626" t="s">
        <v>63</v>
      </c>
      <c r="Q626" t="s">
        <v>63</v>
      </c>
      <c r="R626" t="s">
        <v>63</v>
      </c>
      <c r="S626" t="s">
        <v>63</v>
      </c>
      <c r="T626" t="s">
        <v>63</v>
      </c>
      <c r="X626" t="s">
        <v>63</v>
      </c>
      <c r="Y626" t="s">
        <v>5630</v>
      </c>
      <c r="Z626" t="s">
        <v>63</v>
      </c>
      <c r="AA626" t="s">
        <v>5631</v>
      </c>
      <c r="AB626">
        <v>20937923</v>
      </c>
      <c r="AC626" t="s">
        <v>67</v>
      </c>
      <c r="AD626" t="s">
        <v>63</v>
      </c>
      <c r="AE626" t="s">
        <v>63</v>
      </c>
      <c r="AF626" t="s">
        <v>63</v>
      </c>
      <c r="AG626" t="s">
        <v>5632</v>
      </c>
      <c r="AH626" t="s">
        <v>63</v>
      </c>
      <c r="AI626" t="s">
        <v>5633</v>
      </c>
      <c r="AJ626" t="s">
        <v>63</v>
      </c>
      <c r="AK626" t="s">
        <v>63</v>
      </c>
      <c r="AL626" t="s">
        <v>63</v>
      </c>
      <c r="AM626" t="s">
        <v>5634</v>
      </c>
      <c r="AN626" t="s">
        <v>63</v>
      </c>
      <c r="AO626" t="s">
        <v>63</v>
      </c>
      <c r="AP626" t="s">
        <v>63</v>
      </c>
      <c r="AQ626" t="s">
        <v>63</v>
      </c>
      <c r="AR626" t="s">
        <v>63</v>
      </c>
      <c r="AS626" t="s">
        <v>63</v>
      </c>
      <c r="AT626" t="s">
        <v>63</v>
      </c>
      <c r="AU626" t="s">
        <v>63</v>
      </c>
      <c r="AV626" t="s">
        <v>63</v>
      </c>
      <c r="AW626" t="s">
        <v>63</v>
      </c>
      <c r="AX626" t="s">
        <v>63</v>
      </c>
      <c r="AY626" t="s">
        <v>63</v>
      </c>
      <c r="AZ626" t="s">
        <v>63</v>
      </c>
      <c r="BA626" t="s">
        <v>63</v>
      </c>
      <c r="BB626" t="s">
        <v>63</v>
      </c>
      <c r="BC626" t="s">
        <v>63</v>
      </c>
      <c r="BD626" t="s">
        <v>63</v>
      </c>
      <c r="BE626" t="s">
        <v>63</v>
      </c>
      <c r="BF626" t="s">
        <v>63</v>
      </c>
    </row>
    <row r="627" spans="1:58">
      <c r="A627" t="s">
        <v>58</v>
      </c>
      <c r="B627" t="s">
        <v>5635</v>
      </c>
      <c r="C627" t="s">
        <v>5636</v>
      </c>
      <c r="D627" t="s">
        <v>389</v>
      </c>
      <c r="E627" t="s">
        <v>63</v>
      </c>
      <c r="F627">
        <v>2009</v>
      </c>
      <c r="G627" t="s">
        <v>1737</v>
      </c>
      <c r="H627">
        <v>30</v>
      </c>
      <c r="I627">
        <v>3</v>
      </c>
      <c r="J627">
        <v>253</v>
      </c>
      <c r="K627">
        <v>260</v>
      </c>
      <c r="L627" t="s">
        <v>5637</v>
      </c>
      <c r="M627" t="s">
        <v>5638</v>
      </c>
      <c r="N627" t="s">
        <v>5639</v>
      </c>
      <c r="O627" t="s">
        <v>63</v>
      </c>
      <c r="Q627" t="s">
        <v>63</v>
      </c>
      <c r="R627" t="s">
        <v>63</v>
      </c>
      <c r="S627" t="s">
        <v>63</v>
      </c>
      <c r="T627" t="s">
        <v>63</v>
      </c>
      <c r="X627" t="s">
        <v>63</v>
      </c>
      <c r="Y627" t="s">
        <v>392</v>
      </c>
      <c r="Z627" t="s">
        <v>63</v>
      </c>
      <c r="AA627" t="s">
        <v>5640</v>
      </c>
      <c r="AB627">
        <v>19591063</v>
      </c>
      <c r="AC627" t="s">
        <v>67</v>
      </c>
      <c r="AD627" t="s">
        <v>63</v>
      </c>
      <c r="AE627" t="s">
        <v>63</v>
      </c>
      <c r="AF627" t="s">
        <v>63</v>
      </c>
      <c r="AG627" t="s">
        <v>5641</v>
      </c>
      <c r="AH627" t="s">
        <v>63</v>
      </c>
      <c r="AI627" t="s">
        <v>5642</v>
      </c>
      <c r="AJ627" t="s">
        <v>63</v>
      </c>
      <c r="AK627" t="s">
        <v>63</v>
      </c>
      <c r="AL627" t="s">
        <v>63</v>
      </c>
      <c r="AM627" t="s">
        <v>5643</v>
      </c>
      <c r="AN627" t="s">
        <v>63</v>
      </c>
      <c r="AO627" t="s">
        <v>63</v>
      </c>
      <c r="AP627" t="s">
        <v>63</v>
      </c>
      <c r="AQ627" t="s">
        <v>63</v>
      </c>
      <c r="AR627" t="s">
        <v>63</v>
      </c>
      <c r="AS627" t="s">
        <v>63</v>
      </c>
      <c r="AT627" t="s">
        <v>63</v>
      </c>
      <c r="AU627" t="s">
        <v>63</v>
      </c>
      <c r="AV627" t="s">
        <v>63</v>
      </c>
      <c r="AW627" t="s">
        <v>63</v>
      </c>
      <c r="AX627" t="s">
        <v>63</v>
      </c>
      <c r="AY627" t="s">
        <v>63</v>
      </c>
      <c r="AZ627" t="s">
        <v>63</v>
      </c>
      <c r="BA627" t="s">
        <v>63</v>
      </c>
      <c r="BB627" t="s">
        <v>63</v>
      </c>
      <c r="BC627" t="s">
        <v>63</v>
      </c>
      <c r="BD627" t="s">
        <v>63</v>
      </c>
      <c r="BE627" t="s">
        <v>63</v>
      </c>
      <c r="BF627" t="s">
        <v>63</v>
      </c>
    </row>
    <row r="628" spans="1:58">
      <c r="A628" t="s">
        <v>58</v>
      </c>
      <c r="B628" t="s">
        <v>5644</v>
      </c>
      <c r="C628" t="s">
        <v>5645</v>
      </c>
      <c r="D628" t="s">
        <v>389</v>
      </c>
      <c r="E628" t="s">
        <v>63</v>
      </c>
      <c r="F628">
        <v>2006</v>
      </c>
      <c r="G628" t="s">
        <v>181</v>
      </c>
      <c r="H628">
        <v>27</v>
      </c>
      <c r="I628">
        <v>3</v>
      </c>
      <c r="J628">
        <v>39</v>
      </c>
      <c r="K628">
        <v>45</v>
      </c>
      <c r="L628" t="s">
        <v>5646</v>
      </c>
      <c r="M628" t="s">
        <v>5647</v>
      </c>
      <c r="N628" t="s">
        <v>5648</v>
      </c>
      <c r="O628" t="s">
        <v>63</v>
      </c>
      <c r="Q628" t="s">
        <v>63</v>
      </c>
      <c r="R628" t="s">
        <v>63</v>
      </c>
      <c r="S628" t="s">
        <v>63</v>
      </c>
      <c r="T628" t="s">
        <v>63</v>
      </c>
      <c r="X628" t="s">
        <v>63</v>
      </c>
      <c r="Y628" t="s">
        <v>392</v>
      </c>
      <c r="Z628" t="s">
        <v>63</v>
      </c>
      <c r="AA628" t="s">
        <v>5649</v>
      </c>
      <c r="AB628">
        <v>17135179</v>
      </c>
      <c r="AC628" t="s">
        <v>67</v>
      </c>
      <c r="AD628" t="s">
        <v>63</v>
      </c>
      <c r="AE628" t="s">
        <v>63</v>
      </c>
      <c r="AF628" t="s">
        <v>63</v>
      </c>
      <c r="AG628" t="s">
        <v>5650</v>
      </c>
      <c r="AH628" t="s">
        <v>63</v>
      </c>
      <c r="AI628" t="s">
        <v>63</v>
      </c>
      <c r="AJ628" t="s">
        <v>63</v>
      </c>
      <c r="AK628" t="s">
        <v>63</v>
      </c>
      <c r="AL628" t="s">
        <v>63</v>
      </c>
      <c r="AM628" t="s">
        <v>5651</v>
      </c>
      <c r="AN628" t="s">
        <v>63</v>
      </c>
      <c r="AO628" t="s">
        <v>63</v>
      </c>
      <c r="AP628" t="s">
        <v>63</v>
      </c>
      <c r="AQ628" t="s">
        <v>63</v>
      </c>
      <c r="AR628" t="s">
        <v>63</v>
      </c>
      <c r="AS628" t="s">
        <v>63</v>
      </c>
      <c r="AT628" t="s">
        <v>63</v>
      </c>
      <c r="AU628" t="s">
        <v>63</v>
      </c>
      <c r="AV628" t="s">
        <v>63</v>
      </c>
      <c r="AW628" t="s">
        <v>63</v>
      </c>
      <c r="AX628" t="s">
        <v>63</v>
      </c>
      <c r="AY628" t="s">
        <v>63</v>
      </c>
      <c r="AZ628" t="s">
        <v>63</v>
      </c>
      <c r="BA628" t="s">
        <v>63</v>
      </c>
      <c r="BB628" t="s">
        <v>63</v>
      </c>
      <c r="BC628" t="s">
        <v>63</v>
      </c>
      <c r="BD628" t="s">
        <v>63</v>
      </c>
      <c r="BE628" t="s">
        <v>63</v>
      </c>
      <c r="BF628" t="s">
        <v>63</v>
      </c>
    </row>
    <row r="629" spans="1:58">
      <c r="A629" t="s">
        <v>58</v>
      </c>
      <c r="B629" t="s">
        <v>5652</v>
      </c>
      <c r="C629" t="s">
        <v>5653</v>
      </c>
      <c r="D629" t="s">
        <v>938</v>
      </c>
      <c r="E629" t="s">
        <v>63</v>
      </c>
      <c r="F629">
        <v>2008</v>
      </c>
      <c r="G629" t="s">
        <v>147</v>
      </c>
      <c r="H629">
        <v>17</v>
      </c>
      <c r="I629">
        <v>2</v>
      </c>
      <c r="J629">
        <v>149</v>
      </c>
      <c r="K629">
        <v>154</v>
      </c>
      <c r="L629" t="s">
        <v>5654</v>
      </c>
      <c r="M629" t="s">
        <v>5655</v>
      </c>
      <c r="N629" t="s">
        <v>5656</v>
      </c>
      <c r="O629" t="s">
        <v>63</v>
      </c>
      <c r="Q629" t="s">
        <v>63</v>
      </c>
      <c r="R629" t="s">
        <v>63</v>
      </c>
      <c r="S629" t="s">
        <v>63</v>
      </c>
      <c r="T629" t="s">
        <v>63</v>
      </c>
      <c r="X629" t="s">
        <v>63</v>
      </c>
      <c r="Y629" t="s">
        <v>942</v>
      </c>
      <c r="Z629" t="s">
        <v>63</v>
      </c>
      <c r="AA629" t="s">
        <v>5657</v>
      </c>
      <c r="AB629">
        <v>18393059</v>
      </c>
      <c r="AC629" t="s">
        <v>67</v>
      </c>
      <c r="AD629" t="s">
        <v>63</v>
      </c>
      <c r="AE629" t="s">
        <v>63</v>
      </c>
      <c r="AF629" t="s">
        <v>63</v>
      </c>
      <c r="AG629" t="s">
        <v>5658</v>
      </c>
      <c r="AH629" t="s">
        <v>63</v>
      </c>
      <c r="AI629" t="s">
        <v>5659</v>
      </c>
      <c r="AJ629" t="s">
        <v>63</v>
      </c>
      <c r="AK629" t="s">
        <v>63</v>
      </c>
      <c r="AL629" t="s">
        <v>63</v>
      </c>
      <c r="AM629" t="s">
        <v>5660</v>
      </c>
      <c r="AN629" t="s">
        <v>63</v>
      </c>
      <c r="AO629" t="s">
        <v>63</v>
      </c>
      <c r="AP629" t="s">
        <v>63</v>
      </c>
      <c r="AQ629" t="s">
        <v>63</v>
      </c>
      <c r="AR629" t="s">
        <v>63</v>
      </c>
      <c r="AS629" t="s">
        <v>63</v>
      </c>
      <c r="AT629" t="s">
        <v>63</v>
      </c>
      <c r="AU629" t="s">
        <v>63</v>
      </c>
      <c r="AV629" t="s">
        <v>63</v>
      </c>
      <c r="AW629" t="s">
        <v>63</v>
      </c>
      <c r="AX629" t="s">
        <v>63</v>
      </c>
      <c r="AY629" t="s">
        <v>63</v>
      </c>
      <c r="AZ629" t="s">
        <v>63</v>
      </c>
      <c r="BA629" t="s">
        <v>63</v>
      </c>
      <c r="BB629" t="s">
        <v>63</v>
      </c>
      <c r="BC629" t="s">
        <v>63</v>
      </c>
      <c r="BD629" t="s">
        <v>63</v>
      </c>
      <c r="BE629" t="s">
        <v>63</v>
      </c>
      <c r="BF629" t="s">
        <v>63</v>
      </c>
    </row>
    <row r="630" spans="1:58">
      <c r="A630" t="s">
        <v>58</v>
      </c>
      <c r="B630" t="s">
        <v>5661</v>
      </c>
      <c r="C630" t="s">
        <v>5662</v>
      </c>
      <c r="D630" t="s">
        <v>90</v>
      </c>
      <c r="E630" t="s">
        <v>63</v>
      </c>
      <c r="F630">
        <v>2005</v>
      </c>
      <c r="G630" t="s">
        <v>63</v>
      </c>
      <c r="H630">
        <v>24</v>
      </c>
      <c r="I630">
        <v>2</v>
      </c>
      <c r="J630">
        <v>1</v>
      </c>
      <c r="K630">
        <v>18</v>
      </c>
      <c r="L630" t="s">
        <v>5663</v>
      </c>
      <c r="M630" t="s">
        <v>5664</v>
      </c>
      <c r="N630" t="s">
        <v>5665</v>
      </c>
      <c r="O630" t="s">
        <v>63</v>
      </c>
      <c r="Q630" t="s">
        <v>63</v>
      </c>
      <c r="R630" t="s">
        <v>63</v>
      </c>
      <c r="S630" t="s">
        <v>63</v>
      </c>
      <c r="T630" t="s">
        <v>63</v>
      </c>
      <c r="X630" t="s">
        <v>63</v>
      </c>
      <c r="Y630" t="s">
        <v>93</v>
      </c>
      <c r="Z630" t="s">
        <v>63</v>
      </c>
      <c r="AA630" t="s">
        <v>5666</v>
      </c>
      <c r="AB630">
        <v>15784519</v>
      </c>
      <c r="AC630" t="s">
        <v>67</v>
      </c>
      <c r="AD630" t="s">
        <v>63</v>
      </c>
      <c r="AE630" t="s">
        <v>63</v>
      </c>
      <c r="AF630" t="s">
        <v>63</v>
      </c>
      <c r="AG630" t="s">
        <v>5667</v>
      </c>
      <c r="AH630" t="s">
        <v>63</v>
      </c>
      <c r="AI630" t="s">
        <v>63</v>
      </c>
      <c r="AJ630" t="s">
        <v>63</v>
      </c>
      <c r="AK630" t="s">
        <v>63</v>
      </c>
      <c r="AL630" t="s">
        <v>63</v>
      </c>
      <c r="AM630" t="s">
        <v>5668</v>
      </c>
      <c r="AN630" t="s">
        <v>63</v>
      </c>
      <c r="AO630" t="s">
        <v>63</v>
      </c>
      <c r="AP630" t="s">
        <v>63</v>
      </c>
      <c r="AQ630" t="s">
        <v>63</v>
      </c>
      <c r="AR630" t="s">
        <v>63</v>
      </c>
      <c r="AS630" t="s">
        <v>63</v>
      </c>
      <c r="AT630" t="s">
        <v>63</v>
      </c>
      <c r="AU630" t="s">
        <v>63</v>
      </c>
      <c r="AV630" t="s">
        <v>63</v>
      </c>
      <c r="AW630" t="s">
        <v>63</v>
      </c>
      <c r="AX630" t="s">
        <v>63</v>
      </c>
      <c r="AY630" t="s">
        <v>63</v>
      </c>
      <c r="AZ630" t="s">
        <v>63</v>
      </c>
      <c r="BA630" t="s">
        <v>63</v>
      </c>
      <c r="BB630" t="s">
        <v>63</v>
      </c>
      <c r="BC630" t="s">
        <v>63</v>
      </c>
      <c r="BD630" t="s">
        <v>63</v>
      </c>
      <c r="BE630" t="s">
        <v>63</v>
      </c>
      <c r="BF630" t="s">
        <v>63</v>
      </c>
    </row>
    <row r="631" spans="1:58">
      <c r="A631" t="s">
        <v>58</v>
      </c>
      <c r="B631" t="s">
        <v>5669</v>
      </c>
      <c r="C631" t="s">
        <v>5670</v>
      </c>
      <c r="D631" t="s">
        <v>5671</v>
      </c>
      <c r="E631" t="s">
        <v>5671</v>
      </c>
      <c r="F631">
        <v>2006</v>
      </c>
      <c r="G631" t="s">
        <v>274</v>
      </c>
      <c r="H631">
        <v>33</v>
      </c>
      <c r="I631">
        <v>1</v>
      </c>
      <c r="J631">
        <v>46</v>
      </c>
      <c r="K631">
        <v>55</v>
      </c>
      <c r="L631" t="s">
        <v>5672</v>
      </c>
      <c r="M631" t="s">
        <v>5673</v>
      </c>
      <c r="N631" t="s">
        <v>5674</v>
      </c>
      <c r="O631" t="s">
        <v>63</v>
      </c>
      <c r="Q631" t="s">
        <v>63</v>
      </c>
      <c r="R631" t="s">
        <v>63</v>
      </c>
      <c r="S631" t="s">
        <v>63</v>
      </c>
      <c r="T631" t="s">
        <v>63</v>
      </c>
      <c r="X631" t="s">
        <v>63</v>
      </c>
      <c r="Y631" t="s">
        <v>5675</v>
      </c>
      <c r="Z631" t="s">
        <v>63</v>
      </c>
      <c r="AA631" t="s">
        <v>5676</v>
      </c>
      <c r="AB631">
        <v>16499531</v>
      </c>
      <c r="AC631" t="s">
        <v>67</v>
      </c>
      <c r="AD631" t="s">
        <v>63</v>
      </c>
      <c r="AE631" t="s">
        <v>63</v>
      </c>
      <c r="AF631" t="s">
        <v>63</v>
      </c>
      <c r="AG631" t="s">
        <v>5677</v>
      </c>
      <c r="AH631" t="s">
        <v>63</v>
      </c>
      <c r="AI631" t="s">
        <v>63</v>
      </c>
      <c r="AJ631" t="s">
        <v>63</v>
      </c>
      <c r="AK631" t="s">
        <v>63</v>
      </c>
      <c r="AL631" t="s">
        <v>63</v>
      </c>
      <c r="AM631" t="s">
        <v>5678</v>
      </c>
      <c r="AN631" t="s">
        <v>63</v>
      </c>
      <c r="AO631" t="s">
        <v>63</v>
      </c>
      <c r="AP631" t="s">
        <v>63</v>
      </c>
      <c r="AQ631" t="s">
        <v>63</v>
      </c>
      <c r="AR631" t="s">
        <v>63</v>
      </c>
      <c r="AS631" t="s">
        <v>63</v>
      </c>
      <c r="AT631" t="s">
        <v>63</v>
      </c>
      <c r="AU631" t="s">
        <v>63</v>
      </c>
      <c r="AV631" t="s">
        <v>63</v>
      </c>
      <c r="AW631" t="s">
        <v>63</v>
      </c>
      <c r="AX631" t="s">
        <v>63</v>
      </c>
      <c r="AY631" t="s">
        <v>63</v>
      </c>
      <c r="AZ631" t="s">
        <v>63</v>
      </c>
      <c r="BA631" t="s">
        <v>63</v>
      </c>
      <c r="BB631" t="s">
        <v>63</v>
      </c>
      <c r="BC631" t="s">
        <v>63</v>
      </c>
      <c r="BD631" t="s">
        <v>63</v>
      </c>
      <c r="BE631" t="s">
        <v>63</v>
      </c>
      <c r="BF631" t="s">
        <v>63</v>
      </c>
    </row>
    <row r="632" spans="1:58">
      <c r="A632" t="s">
        <v>58</v>
      </c>
      <c r="B632" t="s">
        <v>5679</v>
      </c>
      <c r="C632" t="s">
        <v>5680</v>
      </c>
      <c r="D632" t="s">
        <v>205</v>
      </c>
      <c r="E632" t="s">
        <v>205</v>
      </c>
      <c r="F632">
        <v>1998</v>
      </c>
      <c r="G632" s="1">
        <v>41918</v>
      </c>
      <c r="H632">
        <v>280</v>
      </c>
      <c r="I632">
        <v>13</v>
      </c>
      <c r="J632" t="s">
        <v>5681</v>
      </c>
      <c r="K632" t="s">
        <v>63</v>
      </c>
      <c r="L632" t="s">
        <v>5682</v>
      </c>
      <c r="M632" t="s">
        <v>63</v>
      </c>
      <c r="N632" t="s">
        <v>5683</v>
      </c>
      <c r="O632" t="s">
        <v>63</v>
      </c>
      <c r="Q632" t="s">
        <v>63</v>
      </c>
      <c r="R632" t="s">
        <v>63</v>
      </c>
      <c r="S632" t="s">
        <v>63</v>
      </c>
      <c r="T632" t="s">
        <v>63</v>
      </c>
      <c r="X632" t="s">
        <v>63</v>
      </c>
      <c r="Y632" t="s">
        <v>208</v>
      </c>
      <c r="Z632" t="s">
        <v>63</v>
      </c>
      <c r="AA632" t="s">
        <v>5684</v>
      </c>
      <c r="AB632">
        <v>9777822</v>
      </c>
      <c r="AC632" t="s">
        <v>67</v>
      </c>
      <c r="AD632" t="s">
        <v>63</v>
      </c>
      <c r="AE632" t="s">
        <v>63</v>
      </c>
      <c r="AF632" t="s">
        <v>63</v>
      </c>
      <c r="AG632" t="s">
        <v>5685</v>
      </c>
      <c r="AH632" t="s">
        <v>63</v>
      </c>
      <c r="AI632" t="s">
        <v>63</v>
      </c>
      <c r="AJ632" t="s">
        <v>63</v>
      </c>
      <c r="AK632" t="s">
        <v>63</v>
      </c>
      <c r="AL632" t="s">
        <v>63</v>
      </c>
      <c r="AM632" t="s">
        <v>5686</v>
      </c>
      <c r="AN632" t="s">
        <v>63</v>
      </c>
      <c r="AO632" t="s">
        <v>63</v>
      </c>
      <c r="AP632" t="s">
        <v>63</v>
      </c>
      <c r="AQ632" t="s">
        <v>63</v>
      </c>
      <c r="AR632" t="s">
        <v>63</v>
      </c>
      <c r="AS632" t="s">
        <v>63</v>
      </c>
      <c r="AT632" t="s">
        <v>63</v>
      </c>
      <c r="AU632" t="s">
        <v>63</v>
      </c>
      <c r="AV632" t="s">
        <v>63</v>
      </c>
      <c r="AW632" t="s">
        <v>63</v>
      </c>
      <c r="AX632" t="s">
        <v>63</v>
      </c>
      <c r="AY632" t="s">
        <v>63</v>
      </c>
      <c r="AZ632" t="s">
        <v>63</v>
      </c>
      <c r="BA632" t="s">
        <v>63</v>
      </c>
      <c r="BB632" t="s">
        <v>63</v>
      </c>
      <c r="BC632" t="s">
        <v>63</v>
      </c>
      <c r="BD632" t="s">
        <v>63</v>
      </c>
      <c r="BE632" t="s">
        <v>63</v>
      </c>
      <c r="BF632" t="s">
        <v>63</v>
      </c>
    </row>
    <row r="633" spans="1:58">
      <c r="A633" t="s">
        <v>58</v>
      </c>
      <c r="B633" t="s">
        <v>5687</v>
      </c>
      <c r="C633" t="s">
        <v>5688</v>
      </c>
      <c r="D633" t="s">
        <v>2616</v>
      </c>
      <c r="E633" t="s">
        <v>2616</v>
      </c>
      <c r="F633">
        <v>2010</v>
      </c>
      <c r="G633" s="1">
        <v>41687</v>
      </c>
      <c r="H633">
        <v>10</v>
      </c>
      <c r="I633" t="s">
        <v>63</v>
      </c>
      <c r="J633">
        <v>77</v>
      </c>
      <c r="K633" t="s">
        <v>63</v>
      </c>
      <c r="L633" t="s">
        <v>5689</v>
      </c>
      <c r="M633" t="s">
        <v>5690</v>
      </c>
      <c r="N633" t="s">
        <v>5691</v>
      </c>
      <c r="O633" t="s">
        <v>63</v>
      </c>
      <c r="Q633" t="s">
        <v>63</v>
      </c>
      <c r="R633" t="s">
        <v>63</v>
      </c>
      <c r="S633" t="s">
        <v>63</v>
      </c>
      <c r="T633" t="s">
        <v>63</v>
      </c>
      <c r="X633" t="s">
        <v>63</v>
      </c>
      <c r="Y633" t="s">
        <v>2620</v>
      </c>
      <c r="Z633" t="s">
        <v>63</v>
      </c>
      <c r="AA633" t="s">
        <v>5692</v>
      </c>
      <c r="AB633">
        <v>20163745</v>
      </c>
      <c r="AC633" t="s">
        <v>67</v>
      </c>
      <c r="AD633" t="s">
        <v>63</v>
      </c>
      <c r="AE633" t="s">
        <v>63</v>
      </c>
      <c r="AF633" t="s">
        <v>63</v>
      </c>
      <c r="AG633" t="s">
        <v>5693</v>
      </c>
      <c r="AH633" t="s">
        <v>63</v>
      </c>
      <c r="AI633" t="s">
        <v>5694</v>
      </c>
      <c r="AJ633" t="s">
        <v>63</v>
      </c>
      <c r="AK633" t="s">
        <v>63</v>
      </c>
      <c r="AL633" t="s">
        <v>63</v>
      </c>
      <c r="AM633" t="s">
        <v>5695</v>
      </c>
      <c r="AN633" t="s">
        <v>63</v>
      </c>
      <c r="AO633" t="s">
        <v>63</v>
      </c>
      <c r="AP633" t="s">
        <v>63</v>
      </c>
      <c r="AQ633" t="s">
        <v>63</v>
      </c>
      <c r="AR633" t="s">
        <v>63</v>
      </c>
      <c r="AS633" t="s">
        <v>63</v>
      </c>
      <c r="AT633" t="s">
        <v>63</v>
      </c>
      <c r="AU633" t="s">
        <v>63</v>
      </c>
      <c r="AV633" t="s">
        <v>63</v>
      </c>
      <c r="AW633" t="s">
        <v>63</v>
      </c>
      <c r="AX633" t="s">
        <v>63</v>
      </c>
      <c r="AY633" t="s">
        <v>63</v>
      </c>
      <c r="AZ633" t="s">
        <v>63</v>
      </c>
      <c r="BA633" t="s">
        <v>63</v>
      </c>
      <c r="BB633" t="s">
        <v>63</v>
      </c>
      <c r="BC633" t="s">
        <v>63</v>
      </c>
      <c r="BD633" t="s">
        <v>63</v>
      </c>
      <c r="BE633" t="s">
        <v>63</v>
      </c>
      <c r="BF633" t="s">
        <v>63</v>
      </c>
    </row>
    <row r="634" spans="1:58">
      <c r="A634" t="s">
        <v>58</v>
      </c>
      <c r="B634" t="s">
        <v>5696</v>
      </c>
      <c r="C634" t="s">
        <v>5697</v>
      </c>
      <c r="D634" t="s">
        <v>3467</v>
      </c>
      <c r="E634" t="s">
        <v>3468</v>
      </c>
      <c r="F634">
        <v>2014</v>
      </c>
      <c r="G634" t="s">
        <v>63</v>
      </c>
      <c r="H634">
        <v>158</v>
      </c>
      <c r="I634" t="s">
        <v>63</v>
      </c>
      <c r="J634" t="s">
        <v>5698</v>
      </c>
      <c r="K634" t="s">
        <v>63</v>
      </c>
      <c r="L634" t="s">
        <v>5699</v>
      </c>
      <c r="M634" t="s">
        <v>5700</v>
      </c>
      <c r="N634" t="s">
        <v>5701</v>
      </c>
      <c r="O634" t="s">
        <v>63</v>
      </c>
      <c r="Q634" t="s">
        <v>63</v>
      </c>
      <c r="R634" t="s">
        <v>63</v>
      </c>
      <c r="S634" t="s">
        <v>63</v>
      </c>
      <c r="T634" t="s">
        <v>63</v>
      </c>
      <c r="X634" t="s">
        <v>63</v>
      </c>
      <c r="Y634" t="s">
        <v>3473</v>
      </c>
      <c r="Z634" t="s">
        <v>63</v>
      </c>
      <c r="AA634" t="s">
        <v>5702</v>
      </c>
      <c r="AB634">
        <v>24754929</v>
      </c>
      <c r="AC634" t="s">
        <v>3475</v>
      </c>
      <c r="AD634" t="s">
        <v>63</v>
      </c>
      <c r="AE634" t="s">
        <v>63</v>
      </c>
      <c r="AF634" t="s">
        <v>63</v>
      </c>
      <c r="AG634" t="s">
        <v>5703</v>
      </c>
      <c r="AH634" t="s">
        <v>63</v>
      </c>
      <c r="AI634" t="s">
        <v>63</v>
      </c>
      <c r="AJ634" t="s">
        <v>63</v>
      </c>
      <c r="AK634" t="s">
        <v>63</v>
      </c>
      <c r="AL634" t="s">
        <v>63</v>
      </c>
      <c r="AM634" t="s">
        <v>5704</v>
      </c>
      <c r="AN634" t="s">
        <v>63</v>
      </c>
      <c r="AO634" t="s">
        <v>63</v>
      </c>
      <c r="AP634" t="s">
        <v>63</v>
      </c>
      <c r="AQ634" t="s">
        <v>63</v>
      </c>
      <c r="AR634" t="s">
        <v>63</v>
      </c>
      <c r="AS634" t="s">
        <v>63</v>
      </c>
      <c r="AT634" t="s">
        <v>63</v>
      </c>
      <c r="AU634" t="s">
        <v>63</v>
      </c>
      <c r="AV634" t="s">
        <v>63</v>
      </c>
      <c r="AW634" t="s">
        <v>63</v>
      </c>
      <c r="AX634" t="s">
        <v>63</v>
      </c>
      <c r="AY634" t="s">
        <v>63</v>
      </c>
      <c r="AZ634" t="s">
        <v>63</v>
      </c>
      <c r="BA634" t="s">
        <v>63</v>
      </c>
      <c r="BB634" t="s">
        <v>63</v>
      </c>
      <c r="BC634" t="s">
        <v>63</v>
      </c>
      <c r="BD634" t="s">
        <v>63</v>
      </c>
      <c r="BE634" t="s">
        <v>63</v>
      </c>
      <c r="BF634" t="s">
        <v>63</v>
      </c>
    </row>
    <row r="635" spans="1:58">
      <c r="A635" t="s">
        <v>58</v>
      </c>
      <c r="B635" t="s">
        <v>5705</v>
      </c>
      <c r="C635" t="s">
        <v>5706</v>
      </c>
      <c r="D635" t="s">
        <v>5707</v>
      </c>
      <c r="E635" t="s">
        <v>63</v>
      </c>
      <c r="F635">
        <v>1955</v>
      </c>
      <c r="G635" t="s">
        <v>1670</v>
      </c>
      <c r="H635">
        <v>54</v>
      </c>
      <c r="I635">
        <v>7</v>
      </c>
      <c r="J635">
        <v>822</v>
      </c>
      <c r="K635">
        <v>824</v>
      </c>
      <c r="L635" t="s">
        <v>5708</v>
      </c>
      <c r="M635" t="s">
        <v>63</v>
      </c>
      <c r="N635" t="s">
        <v>5709</v>
      </c>
      <c r="O635" t="s">
        <v>63</v>
      </c>
      <c r="Q635" t="s">
        <v>63</v>
      </c>
      <c r="R635" t="s">
        <v>63</v>
      </c>
      <c r="S635" t="s">
        <v>63</v>
      </c>
      <c r="T635" t="s">
        <v>63</v>
      </c>
      <c r="X635" t="s">
        <v>63</v>
      </c>
      <c r="Y635" t="s">
        <v>5710</v>
      </c>
      <c r="Z635" t="s">
        <v>63</v>
      </c>
      <c r="AA635" t="s">
        <v>63</v>
      </c>
      <c r="AB635">
        <v>13243064</v>
      </c>
      <c r="AC635" t="s">
        <v>67</v>
      </c>
      <c r="AD635" t="s">
        <v>63</v>
      </c>
      <c r="AE635" t="s">
        <v>63</v>
      </c>
      <c r="AF635" t="s">
        <v>63</v>
      </c>
      <c r="AG635" t="s">
        <v>5711</v>
      </c>
      <c r="AH635" t="s">
        <v>63</v>
      </c>
      <c r="AI635" t="s">
        <v>63</v>
      </c>
      <c r="AJ635" t="s">
        <v>63</v>
      </c>
      <c r="AK635" t="s">
        <v>63</v>
      </c>
      <c r="AL635" t="s">
        <v>63</v>
      </c>
      <c r="AM635" t="s">
        <v>5712</v>
      </c>
      <c r="AN635" t="s">
        <v>63</v>
      </c>
      <c r="AO635" t="s">
        <v>63</v>
      </c>
      <c r="AP635" t="s">
        <v>63</v>
      </c>
      <c r="AQ635" t="s">
        <v>63</v>
      </c>
      <c r="AR635" t="s">
        <v>63</v>
      </c>
      <c r="AS635" t="s">
        <v>63</v>
      </c>
      <c r="AT635" t="s">
        <v>63</v>
      </c>
      <c r="AU635" t="s">
        <v>63</v>
      </c>
      <c r="AV635" t="s">
        <v>63</v>
      </c>
      <c r="AW635" t="s">
        <v>63</v>
      </c>
      <c r="AX635" t="s">
        <v>63</v>
      </c>
      <c r="AY635" t="s">
        <v>63</v>
      </c>
      <c r="AZ635" t="s">
        <v>63</v>
      </c>
      <c r="BA635" t="s">
        <v>63</v>
      </c>
      <c r="BB635" t="s">
        <v>63</v>
      </c>
      <c r="BC635" t="s">
        <v>63</v>
      </c>
      <c r="BD635" t="s">
        <v>63</v>
      </c>
      <c r="BE635" t="s">
        <v>63</v>
      </c>
      <c r="BF635" t="s">
        <v>63</v>
      </c>
    </row>
    <row r="636" spans="1:58">
      <c r="A636" t="s">
        <v>58</v>
      </c>
      <c r="B636" t="s">
        <v>5713</v>
      </c>
      <c r="C636" t="s">
        <v>5714</v>
      </c>
      <c r="D636" t="s">
        <v>389</v>
      </c>
      <c r="E636" t="s">
        <v>63</v>
      </c>
      <c r="F636">
        <v>2011</v>
      </c>
      <c r="G636" t="s">
        <v>84</v>
      </c>
      <c r="H636">
        <v>32</v>
      </c>
      <c r="I636">
        <v>2</v>
      </c>
      <c r="J636">
        <v>75</v>
      </c>
      <c r="K636">
        <v>76</v>
      </c>
      <c r="L636" t="s">
        <v>5715</v>
      </c>
      <c r="M636" t="s">
        <v>63</v>
      </c>
      <c r="N636" t="s">
        <v>5716</v>
      </c>
      <c r="O636" t="s">
        <v>63</v>
      </c>
      <c r="Q636" t="s">
        <v>63</v>
      </c>
      <c r="R636" t="s">
        <v>63</v>
      </c>
      <c r="S636" t="s">
        <v>63</v>
      </c>
      <c r="T636" t="s">
        <v>63</v>
      </c>
      <c r="X636" t="s">
        <v>63</v>
      </c>
      <c r="Y636" t="s">
        <v>556</v>
      </c>
      <c r="Z636" t="s">
        <v>63</v>
      </c>
      <c r="AA636" t="s">
        <v>63</v>
      </c>
      <c r="AB636">
        <v>21534127</v>
      </c>
      <c r="AC636" t="s">
        <v>67</v>
      </c>
      <c r="AD636" t="s">
        <v>63</v>
      </c>
      <c r="AE636" t="s">
        <v>63</v>
      </c>
      <c r="AF636" t="s">
        <v>63</v>
      </c>
      <c r="AG636" t="s">
        <v>5717</v>
      </c>
      <c r="AH636" t="s">
        <v>63</v>
      </c>
      <c r="AI636" t="s">
        <v>5718</v>
      </c>
      <c r="AJ636" t="s">
        <v>63</v>
      </c>
      <c r="AK636" t="s">
        <v>63</v>
      </c>
      <c r="AL636" t="s">
        <v>63</v>
      </c>
      <c r="AM636" t="s">
        <v>5719</v>
      </c>
      <c r="AN636" t="s">
        <v>63</v>
      </c>
      <c r="AO636" t="s">
        <v>63</v>
      </c>
      <c r="AP636" t="s">
        <v>63</v>
      </c>
      <c r="AQ636" t="s">
        <v>63</v>
      </c>
      <c r="AR636" t="s">
        <v>63</v>
      </c>
      <c r="AS636" t="s">
        <v>63</v>
      </c>
      <c r="AT636" t="s">
        <v>63</v>
      </c>
      <c r="AU636" t="s">
        <v>63</v>
      </c>
      <c r="AV636" t="s">
        <v>63</v>
      </c>
      <c r="AW636" t="s">
        <v>63</v>
      </c>
      <c r="AX636" t="s">
        <v>63</v>
      </c>
      <c r="AY636" t="s">
        <v>63</v>
      </c>
      <c r="AZ636" t="s">
        <v>63</v>
      </c>
      <c r="BA636" t="s">
        <v>63</v>
      </c>
      <c r="BB636" t="s">
        <v>63</v>
      </c>
      <c r="BC636" t="s">
        <v>63</v>
      </c>
      <c r="BD636" t="s">
        <v>63</v>
      </c>
      <c r="BE636" t="s">
        <v>63</v>
      </c>
      <c r="BF636" t="s">
        <v>63</v>
      </c>
    </row>
    <row r="637" spans="1:58">
      <c r="A637" t="s">
        <v>58</v>
      </c>
      <c r="B637" t="s">
        <v>5720</v>
      </c>
      <c r="C637" t="s">
        <v>5721</v>
      </c>
      <c r="D637" t="s">
        <v>389</v>
      </c>
      <c r="E637" t="s">
        <v>63</v>
      </c>
      <c r="F637">
        <v>2011</v>
      </c>
      <c r="G637" t="s">
        <v>84</v>
      </c>
      <c r="H637">
        <v>32</v>
      </c>
      <c r="I637">
        <v>2</v>
      </c>
      <c r="J637">
        <v>115</v>
      </c>
      <c r="K637">
        <v>119</v>
      </c>
      <c r="L637" t="s">
        <v>5722</v>
      </c>
      <c r="M637" t="s">
        <v>5723</v>
      </c>
      <c r="N637" t="s">
        <v>5724</v>
      </c>
      <c r="O637" t="s">
        <v>63</v>
      </c>
      <c r="Q637" t="s">
        <v>63</v>
      </c>
      <c r="R637" t="s">
        <v>63</v>
      </c>
      <c r="S637" t="s">
        <v>63</v>
      </c>
      <c r="T637" t="s">
        <v>63</v>
      </c>
      <c r="X637" t="s">
        <v>63</v>
      </c>
      <c r="Y637" t="s">
        <v>556</v>
      </c>
      <c r="Z637" t="s">
        <v>63</v>
      </c>
      <c r="AA637" t="s">
        <v>5725</v>
      </c>
      <c r="AB637">
        <v>21534133</v>
      </c>
      <c r="AC637" t="s">
        <v>67</v>
      </c>
      <c r="AD637" t="s">
        <v>63</v>
      </c>
      <c r="AE637" t="s">
        <v>63</v>
      </c>
      <c r="AF637" t="s">
        <v>63</v>
      </c>
      <c r="AG637" t="s">
        <v>5726</v>
      </c>
      <c r="AH637" t="s">
        <v>63</v>
      </c>
      <c r="AI637" t="s">
        <v>5727</v>
      </c>
      <c r="AJ637" t="s">
        <v>63</v>
      </c>
      <c r="AK637" t="s">
        <v>63</v>
      </c>
      <c r="AL637" t="s">
        <v>63</v>
      </c>
      <c r="AM637" t="s">
        <v>5728</v>
      </c>
      <c r="AN637" t="s">
        <v>63</v>
      </c>
      <c r="AO637" t="s">
        <v>63</v>
      </c>
      <c r="AP637" t="s">
        <v>63</v>
      </c>
      <c r="AQ637" t="s">
        <v>63</v>
      </c>
      <c r="AR637" t="s">
        <v>63</v>
      </c>
      <c r="AS637" t="s">
        <v>63</v>
      </c>
      <c r="AT637" t="s">
        <v>63</v>
      </c>
      <c r="AU637" t="s">
        <v>63</v>
      </c>
      <c r="AV637" t="s">
        <v>63</v>
      </c>
      <c r="AW637" t="s">
        <v>63</v>
      </c>
      <c r="AX637" t="s">
        <v>63</v>
      </c>
      <c r="AY637" t="s">
        <v>63</v>
      </c>
      <c r="AZ637" t="s">
        <v>63</v>
      </c>
      <c r="BA637" t="s">
        <v>63</v>
      </c>
      <c r="BB637" t="s">
        <v>63</v>
      </c>
      <c r="BC637" t="s">
        <v>63</v>
      </c>
      <c r="BD637" t="s">
        <v>63</v>
      </c>
      <c r="BE637" t="s">
        <v>63</v>
      </c>
      <c r="BF637" t="s">
        <v>63</v>
      </c>
    </row>
    <row r="638" spans="1:58">
      <c r="A638" t="s">
        <v>58</v>
      </c>
      <c r="B638" t="s">
        <v>5729</v>
      </c>
      <c r="C638" t="s">
        <v>5730</v>
      </c>
      <c r="D638" t="s">
        <v>5731</v>
      </c>
      <c r="E638" t="s">
        <v>63</v>
      </c>
      <c r="F638">
        <v>2005</v>
      </c>
      <c r="G638" s="1">
        <v>41743</v>
      </c>
      <c r="H638" t="s">
        <v>5732</v>
      </c>
      <c r="I638" t="s">
        <v>63</v>
      </c>
      <c r="J638" t="s">
        <v>5733</v>
      </c>
      <c r="K638">
        <v>303</v>
      </c>
      <c r="L638" t="s">
        <v>5734</v>
      </c>
      <c r="M638" t="s">
        <v>5735</v>
      </c>
      <c r="N638" t="s">
        <v>5736</v>
      </c>
      <c r="O638" t="s">
        <v>63</v>
      </c>
      <c r="Q638" t="s">
        <v>63</v>
      </c>
      <c r="R638" t="s">
        <v>63</v>
      </c>
      <c r="S638" t="s">
        <v>63</v>
      </c>
      <c r="T638" t="s">
        <v>63</v>
      </c>
      <c r="X638" t="s">
        <v>63</v>
      </c>
      <c r="Y638" t="s">
        <v>5737</v>
      </c>
      <c r="Z638" t="s">
        <v>63</v>
      </c>
      <c r="AA638" t="s">
        <v>5738</v>
      </c>
      <c r="AB638">
        <v>15768338</v>
      </c>
      <c r="AC638" t="s">
        <v>67</v>
      </c>
      <c r="AD638" t="s">
        <v>63</v>
      </c>
      <c r="AE638" t="s">
        <v>63</v>
      </c>
      <c r="AF638" t="s">
        <v>63</v>
      </c>
      <c r="AG638" t="s">
        <v>5739</v>
      </c>
      <c r="AH638" t="s">
        <v>63</v>
      </c>
      <c r="AI638" t="s">
        <v>63</v>
      </c>
      <c r="AJ638" t="s">
        <v>63</v>
      </c>
      <c r="AK638" t="s">
        <v>63</v>
      </c>
      <c r="AL638" t="s">
        <v>63</v>
      </c>
      <c r="AM638" t="s">
        <v>5740</v>
      </c>
      <c r="AN638" t="s">
        <v>63</v>
      </c>
      <c r="AO638" t="s">
        <v>63</v>
      </c>
      <c r="AP638" t="s">
        <v>63</v>
      </c>
      <c r="AQ638" t="s">
        <v>63</v>
      </c>
      <c r="AR638" t="s">
        <v>63</v>
      </c>
      <c r="AS638" t="s">
        <v>63</v>
      </c>
      <c r="AT638" t="s">
        <v>63</v>
      </c>
      <c r="AU638" t="s">
        <v>63</v>
      </c>
      <c r="AV638" t="s">
        <v>63</v>
      </c>
      <c r="AW638" t="s">
        <v>63</v>
      </c>
      <c r="AX638" t="s">
        <v>63</v>
      </c>
      <c r="AY638" t="s">
        <v>63</v>
      </c>
      <c r="AZ638" t="s">
        <v>63</v>
      </c>
      <c r="BA638" t="s">
        <v>63</v>
      </c>
      <c r="BB638" t="s">
        <v>63</v>
      </c>
      <c r="BC638" t="s">
        <v>63</v>
      </c>
      <c r="BD638" t="s">
        <v>63</v>
      </c>
      <c r="BE638" t="s">
        <v>63</v>
      </c>
      <c r="BF638" t="s">
        <v>63</v>
      </c>
    </row>
    <row r="639" spans="1:58">
      <c r="A639" t="s">
        <v>58</v>
      </c>
      <c r="B639" t="s">
        <v>5741</v>
      </c>
      <c r="C639" t="s">
        <v>5742</v>
      </c>
      <c r="D639" t="s">
        <v>360</v>
      </c>
      <c r="E639" t="s">
        <v>63</v>
      </c>
      <c r="F639">
        <v>2010</v>
      </c>
      <c r="G639" t="s">
        <v>198</v>
      </c>
      <c r="H639">
        <v>36</v>
      </c>
      <c r="I639">
        <v>1</v>
      </c>
      <c r="J639">
        <v>57</v>
      </c>
      <c r="K639">
        <v>60</v>
      </c>
      <c r="L639" t="s">
        <v>5743</v>
      </c>
      <c r="M639" t="s">
        <v>5744</v>
      </c>
      <c r="N639" t="s">
        <v>5745</v>
      </c>
      <c r="O639" t="s">
        <v>63</v>
      </c>
      <c r="Q639" t="s">
        <v>63</v>
      </c>
      <c r="R639" t="s">
        <v>63</v>
      </c>
      <c r="S639" t="s">
        <v>63</v>
      </c>
      <c r="T639" t="s">
        <v>63</v>
      </c>
      <c r="X639" t="s">
        <v>63</v>
      </c>
      <c r="Y639" t="s">
        <v>364</v>
      </c>
      <c r="Z639" t="s">
        <v>63</v>
      </c>
      <c r="AA639" t="s">
        <v>5746</v>
      </c>
      <c r="AB639">
        <v>20141398</v>
      </c>
      <c r="AC639" t="s">
        <v>67</v>
      </c>
      <c r="AD639" t="s">
        <v>63</v>
      </c>
      <c r="AE639" t="s">
        <v>63</v>
      </c>
      <c r="AF639" t="s">
        <v>63</v>
      </c>
      <c r="AG639" t="s">
        <v>5747</v>
      </c>
      <c r="AH639" t="s">
        <v>63</v>
      </c>
      <c r="AI639" t="s">
        <v>5748</v>
      </c>
      <c r="AJ639" t="s">
        <v>63</v>
      </c>
      <c r="AK639" t="s">
        <v>63</v>
      </c>
      <c r="AL639" t="s">
        <v>63</v>
      </c>
      <c r="AM639" t="s">
        <v>5749</v>
      </c>
      <c r="AN639" t="s">
        <v>63</v>
      </c>
      <c r="AO639" t="s">
        <v>63</v>
      </c>
      <c r="AP639" t="s">
        <v>63</v>
      </c>
      <c r="AQ639" t="s">
        <v>63</v>
      </c>
      <c r="AR639" t="s">
        <v>63</v>
      </c>
      <c r="AS639" t="s">
        <v>63</v>
      </c>
      <c r="AT639" t="s">
        <v>63</v>
      </c>
      <c r="AU639" t="s">
        <v>63</v>
      </c>
      <c r="AV639" t="s">
        <v>63</v>
      </c>
      <c r="AW639" t="s">
        <v>63</v>
      </c>
      <c r="AX639" t="s">
        <v>63</v>
      </c>
      <c r="AY639" t="s">
        <v>63</v>
      </c>
      <c r="AZ639" t="s">
        <v>63</v>
      </c>
      <c r="BA639" t="s">
        <v>63</v>
      </c>
      <c r="BB639" t="s">
        <v>63</v>
      </c>
      <c r="BC639" t="s">
        <v>63</v>
      </c>
      <c r="BD639" t="s">
        <v>63</v>
      </c>
      <c r="BE639" t="s">
        <v>63</v>
      </c>
      <c r="BF639" t="s">
        <v>63</v>
      </c>
    </row>
    <row r="640" spans="1:58">
      <c r="A640" t="s">
        <v>58</v>
      </c>
      <c r="B640" t="s">
        <v>5750</v>
      </c>
      <c r="C640" t="s">
        <v>5751</v>
      </c>
      <c r="D640" t="s">
        <v>212</v>
      </c>
      <c r="E640" t="s">
        <v>63</v>
      </c>
      <c r="F640">
        <v>1991</v>
      </c>
      <c r="G640" s="1">
        <v>41790</v>
      </c>
      <c r="H640">
        <v>144</v>
      </c>
      <c r="I640">
        <v>11</v>
      </c>
      <c r="J640">
        <v>1388</v>
      </c>
      <c r="K640" t="s">
        <v>63</v>
      </c>
      <c r="L640" t="s">
        <v>5752</v>
      </c>
      <c r="M640" t="s">
        <v>63</v>
      </c>
      <c r="N640" t="s">
        <v>5753</v>
      </c>
      <c r="O640" t="s">
        <v>63</v>
      </c>
      <c r="Q640" t="s">
        <v>63</v>
      </c>
      <c r="R640" t="s">
        <v>63</v>
      </c>
      <c r="S640" t="s">
        <v>63</v>
      </c>
      <c r="T640" t="s">
        <v>63</v>
      </c>
      <c r="X640" t="s">
        <v>63</v>
      </c>
      <c r="Y640" t="s">
        <v>215</v>
      </c>
      <c r="Z640" t="s">
        <v>63</v>
      </c>
      <c r="AA640" t="s">
        <v>63</v>
      </c>
      <c r="AB640">
        <v>1823121</v>
      </c>
      <c r="AC640" t="s">
        <v>67</v>
      </c>
      <c r="AD640" t="s">
        <v>63</v>
      </c>
      <c r="AE640" t="s">
        <v>63</v>
      </c>
      <c r="AF640" t="s">
        <v>63</v>
      </c>
      <c r="AG640" t="s">
        <v>5754</v>
      </c>
      <c r="AH640" t="s">
        <v>63</v>
      </c>
      <c r="AI640" t="s">
        <v>63</v>
      </c>
      <c r="AJ640" t="s">
        <v>63</v>
      </c>
      <c r="AK640" t="s">
        <v>63</v>
      </c>
      <c r="AL640" t="s">
        <v>63</v>
      </c>
      <c r="AM640" t="s">
        <v>5755</v>
      </c>
      <c r="AN640" t="s">
        <v>63</v>
      </c>
      <c r="AO640" t="s">
        <v>63</v>
      </c>
      <c r="AP640" t="s">
        <v>63</v>
      </c>
      <c r="AQ640" t="s">
        <v>63</v>
      </c>
      <c r="AR640" t="s">
        <v>63</v>
      </c>
      <c r="AS640" t="s">
        <v>63</v>
      </c>
      <c r="AT640" t="s">
        <v>63</v>
      </c>
      <c r="AU640" t="s">
        <v>63</v>
      </c>
      <c r="AV640" t="s">
        <v>63</v>
      </c>
      <c r="AW640" t="s">
        <v>63</v>
      </c>
      <c r="AX640" t="s">
        <v>63</v>
      </c>
      <c r="AY640" t="s">
        <v>63</v>
      </c>
      <c r="AZ640" t="s">
        <v>63</v>
      </c>
      <c r="BA640" t="s">
        <v>63</v>
      </c>
      <c r="BB640" t="s">
        <v>63</v>
      </c>
      <c r="BC640" t="s">
        <v>63</v>
      </c>
      <c r="BD640" t="s">
        <v>63</v>
      </c>
      <c r="BE640" t="s">
        <v>63</v>
      </c>
      <c r="BF640" t="s">
        <v>63</v>
      </c>
    </row>
    <row r="641" spans="1:58">
      <c r="A641" t="s">
        <v>58</v>
      </c>
      <c r="B641" t="s">
        <v>5756</v>
      </c>
      <c r="C641" t="s">
        <v>5757</v>
      </c>
      <c r="D641" t="s">
        <v>4567</v>
      </c>
      <c r="E641" t="s">
        <v>4568</v>
      </c>
      <c r="F641">
        <v>2002</v>
      </c>
      <c r="G641" t="s">
        <v>73</v>
      </c>
      <c r="H641">
        <v>34</v>
      </c>
      <c r="I641">
        <v>6</v>
      </c>
      <c r="J641">
        <v>632</v>
      </c>
      <c r="K641">
        <v>637</v>
      </c>
      <c r="L641" t="s">
        <v>5758</v>
      </c>
      <c r="M641" t="s">
        <v>5759</v>
      </c>
      <c r="N641" t="s">
        <v>5760</v>
      </c>
      <c r="O641" t="s">
        <v>63</v>
      </c>
      <c r="Q641" t="s">
        <v>63</v>
      </c>
      <c r="R641" t="s">
        <v>63</v>
      </c>
      <c r="S641" t="s">
        <v>63</v>
      </c>
      <c r="T641" t="s">
        <v>63</v>
      </c>
      <c r="X641" t="s">
        <v>63</v>
      </c>
      <c r="Y641" t="s">
        <v>5761</v>
      </c>
      <c r="Z641" t="s">
        <v>63</v>
      </c>
      <c r="AA641" t="s">
        <v>5762</v>
      </c>
      <c r="AB641">
        <v>12052024</v>
      </c>
      <c r="AC641" t="s">
        <v>67</v>
      </c>
      <c r="AD641" t="s">
        <v>63</v>
      </c>
      <c r="AE641" t="s">
        <v>63</v>
      </c>
      <c r="AF641" t="s">
        <v>63</v>
      </c>
      <c r="AG641" t="s">
        <v>5763</v>
      </c>
      <c r="AH641" t="s">
        <v>63</v>
      </c>
      <c r="AI641" t="s">
        <v>63</v>
      </c>
      <c r="AJ641" t="s">
        <v>63</v>
      </c>
      <c r="AK641" t="s">
        <v>63</v>
      </c>
      <c r="AL641" t="s">
        <v>63</v>
      </c>
      <c r="AM641" t="s">
        <v>5764</v>
      </c>
      <c r="AN641" t="s">
        <v>63</v>
      </c>
      <c r="AO641" t="s">
        <v>63</v>
      </c>
      <c r="AP641" t="s">
        <v>63</v>
      </c>
      <c r="AQ641" t="s">
        <v>63</v>
      </c>
      <c r="AR641" t="s">
        <v>63</v>
      </c>
      <c r="AS641" t="s">
        <v>63</v>
      </c>
      <c r="AT641" t="s">
        <v>63</v>
      </c>
      <c r="AU641" t="s">
        <v>63</v>
      </c>
      <c r="AV641" t="s">
        <v>63</v>
      </c>
      <c r="AW641" t="s">
        <v>63</v>
      </c>
      <c r="AX641" t="s">
        <v>63</v>
      </c>
      <c r="AY641" t="s">
        <v>63</v>
      </c>
      <c r="AZ641" t="s">
        <v>63</v>
      </c>
      <c r="BA641" t="s">
        <v>63</v>
      </c>
      <c r="BB641" t="s">
        <v>63</v>
      </c>
      <c r="BC641" t="s">
        <v>63</v>
      </c>
      <c r="BD641" t="s">
        <v>63</v>
      </c>
      <c r="BE641" t="s">
        <v>63</v>
      </c>
      <c r="BF641" t="s">
        <v>63</v>
      </c>
    </row>
    <row r="642" spans="1:58">
      <c r="A642" t="s">
        <v>58</v>
      </c>
      <c r="B642" t="s">
        <v>5765</v>
      </c>
      <c r="C642" t="s">
        <v>5766</v>
      </c>
      <c r="D642" t="s">
        <v>5767</v>
      </c>
      <c r="E642" t="s">
        <v>63</v>
      </c>
      <c r="F642">
        <v>1990</v>
      </c>
      <c r="G642" t="s">
        <v>181</v>
      </c>
      <c r="H642">
        <v>29</v>
      </c>
      <c r="I642">
        <v>5</v>
      </c>
      <c r="J642">
        <v>817</v>
      </c>
      <c r="K642">
        <v>820</v>
      </c>
      <c r="L642" t="s">
        <v>5768</v>
      </c>
      <c r="M642" t="s">
        <v>5769</v>
      </c>
      <c r="N642" t="s">
        <v>5770</v>
      </c>
      <c r="O642" t="s">
        <v>63</v>
      </c>
      <c r="Q642" t="s">
        <v>63</v>
      </c>
      <c r="R642" t="s">
        <v>63</v>
      </c>
      <c r="S642" t="s">
        <v>63</v>
      </c>
      <c r="T642" t="s">
        <v>63</v>
      </c>
      <c r="X642" t="s">
        <v>63</v>
      </c>
      <c r="Y642" t="s">
        <v>5771</v>
      </c>
      <c r="Z642" t="s">
        <v>63</v>
      </c>
      <c r="AA642" t="s">
        <v>5772</v>
      </c>
      <c r="AB642">
        <v>2228939</v>
      </c>
      <c r="AC642" t="s">
        <v>67</v>
      </c>
      <c r="AD642" t="s">
        <v>63</v>
      </c>
      <c r="AE642" t="s">
        <v>63</v>
      </c>
      <c r="AF642" t="s">
        <v>63</v>
      </c>
      <c r="AG642" t="s">
        <v>5773</v>
      </c>
      <c r="AH642" t="s">
        <v>63</v>
      </c>
      <c r="AI642" t="s">
        <v>63</v>
      </c>
      <c r="AJ642" t="s">
        <v>63</v>
      </c>
      <c r="AK642" t="s">
        <v>63</v>
      </c>
      <c r="AL642" t="s">
        <v>63</v>
      </c>
      <c r="AM642" t="s">
        <v>5774</v>
      </c>
      <c r="AN642" t="s">
        <v>63</v>
      </c>
      <c r="AO642" t="s">
        <v>63</v>
      </c>
      <c r="AP642" t="s">
        <v>63</v>
      </c>
      <c r="AQ642" t="s">
        <v>63</v>
      </c>
      <c r="AR642" t="s">
        <v>63</v>
      </c>
      <c r="AS642" t="s">
        <v>63</v>
      </c>
      <c r="AT642" t="s">
        <v>63</v>
      </c>
      <c r="AU642" t="s">
        <v>63</v>
      </c>
      <c r="AV642" t="s">
        <v>63</v>
      </c>
      <c r="AW642" t="s">
        <v>63</v>
      </c>
      <c r="AX642" t="s">
        <v>63</v>
      </c>
      <c r="AY642" t="s">
        <v>63</v>
      </c>
      <c r="AZ642" t="s">
        <v>63</v>
      </c>
      <c r="BA642" t="s">
        <v>63</v>
      </c>
      <c r="BB642" t="s">
        <v>63</v>
      </c>
      <c r="BC642" t="s">
        <v>63</v>
      </c>
      <c r="BD642" t="s">
        <v>63</v>
      </c>
      <c r="BE642" t="s">
        <v>63</v>
      </c>
      <c r="BF642" t="s">
        <v>63</v>
      </c>
    </row>
    <row r="643" spans="1:58">
      <c r="A643" t="s">
        <v>58</v>
      </c>
      <c r="B643" t="s">
        <v>5775</v>
      </c>
      <c r="C643" t="s">
        <v>5776</v>
      </c>
      <c r="D643" t="s">
        <v>1293</v>
      </c>
      <c r="E643" t="s">
        <v>1294</v>
      </c>
      <c r="F643">
        <v>1996</v>
      </c>
      <c r="G643" t="s">
        <v>189</v>
      </c>
      <c r="H643">
        <v>28</v>
      </c>
      <c r="I643">
        <v>5</v>
      </c>
      <c r="J643">
        <v>331</v>
      </c>
      <c r="K643">
        <v>336</v>
      </c>
      <c r="L643" t="s">
        <v>5777</v>
      </c>
      <c r="M643" t="s">
        <v>5778</v>
      </c>
      <c r="N643" t="s">
        <v>5779</v>
      </c>
      <c r="O643" t="s">
        <v>63</v>
      </c>
      <c r="Q643" t="s">
        <v>63</v>
      </c>
      <c r="R643" t="s">
        <v>63</v>
      </c>
      <c r="S643" t="s">
        <v>63</v>
      </c>
      <c r="T643" t="s">
        <v>63</v>
      </c>
      <c r="X643" t="s">
        <v>63</v>
      </c>
      <c r="Y643" t="s">
        <v>1297</v>
      </c>
      <c r="Z643" t="s">
        <v>63</v>
      </c>
      <c r="AA643" t="s">
        <v>5780</v>
      </c>
      <c r="AB643">
        <v>8735059</v>
      </c>
      <c r="AC643" t="s">
        <v>67</v>
      </c>
      <c r="AD643" t="s">
        <v>63</v>
      </c>
      <c r="AE643" t="s">
        <v>63</v>
      </c>
      <c r="AF643" t="s">
        <v>63</v>
      </c>
      <c r="AG643" t="s">
        <v>5781</v>
      </c>
      <c r="AH643" t="s">
        <v>63</v>
      </c>
      <c r="AI643" t="s">
        <v>63</v>
      </c>
      <c r="AJ643" t="s">
        <v>63</v>
      </c>
      <c r="AK643" t="s">
        <v>63</v>
      </c>
      <c r="AL643" t="s">
        <v>63</v>
      </c>
      <c r="AM643" t="s">
        <v>5782</v>
      </c>
      <c r="AN643" t="s">
        <v>63</v>
      </c>
      <c r="AO643" t="s">
        <v>63</v>
      </c>
      <c r="AP643" t="s">
        <v>63</v>
      </c>
      <c r="AQ643" t="s">
        <v>63</v>
      </c>
      <c r="AR643" t="s">
        <v>63</v>
      </c>
      <c r="AS643" t="s">
        <v>63</v>
      </c>
      <c r="AT643" t="s">
        <v>63</v>
      </c>
      <c r="AU643" t="s">
        <v>63</v>
      </c>
      <c r="AV643" t="s">
        <v>63</v>
      </c>
      <c r="AW643" t="s">
        <v>63</v>
      </c>
      <c r="AX643" t="s">
        <v>63</v>
      </c>
      <c r="AY643" t="s">
        <v>63</v>
      </c>
      <c r="AZ643" t="s">
        <v>63</v>
      </c>
      <c r="BA643" t="s">
        <v>63</v>
      </c>
      <c r="BB643" t="s">
        <v>63</v>
      </c>
      <c r="BC643" t="s">
        <v>63</v>
      </c>
      <c r="BD643" t="s">
        <v>63</v>
      </c>
      <c r="BE643" t="s">
        <v>63</v>
      </c>
      <c r="BF643" t="s">
        <v>63</v>
      </c>
    </row>
    <row r="644" spans="1:58">
      <c r="A644" t="s">
        <v>58</v>
      </c>
      <c r="B644" t="s">
        <v>5783</v>
      </c>
      <c r="C644" t="s">
        <v>5784</v>
      </c>
      <c r="D644" t="s">
        <v>2546</v>
      </c>
      <c r="E644" t="s">
        <v>63</v>
      </c>
      <c r="F644">
        <v>2015</v>
      </c>
      <c r="G644" s="1">
        <v>41674</v>
      </c>
      <c r="H644">
        <v>12</v>
      </c>
      <c r="I644" t="s">
        <v>63</v>
      </c>
      <c r="J644" t="s">
        <v>5785</v>
      </c>
      <c r="K644" t="s">
        <v>63</v>
      </c>
      <c r="L644" t="s">
        <v>5786</v>
      </c>
      <c r="M644" t="s">
        <v>5787</v>
      </c>
      <c r="N644" t="s">
        <v>5788</v>
      </c>
      <c r="O644" t="s">
        <v>63</v>
      </c>
      <c r="Q644" t="s">
        <v>63</v>
      </c>
      <c r="R644" t="s">
        <v>63</v>
      </c>
      <c r="S644" t="s">
        <v>63</v>
      </c>
      <c r="T644" t="s">
        <v>63</v>
      </c>
      <c r="X644" t="s">
        <v>63</v>
      </c>
      <c r="Y644" t="s">
        <v>2551</v>
      </c>
      <c r="Z644" t="s">
        <v>63</v>
      </c>
      <c r="AA644" t="s">
        <v>5789</v>
      </c>
      <c r="AB644">
        <v>25654219</v>
      </c>
      <c r="AC644" t="s">
        <v>67</v>
      </c>
      <c r="AD644" t="s">
        <v>63</v>
      </c>
      <c r="AE644" t="s">
        <v>63</v>
      </c>
      <c r="AF644" t="s">
        <v>63</v>
      </c>
      <c r="AG644" t="s">
        <v>5790</v>
      </c>
      <c r="AH644" t="s">
        <v>63</v>
      </c>
      <c r="AI644" t="s">
        <v>5791</v>
      </c>
      <c r="AJ644" t="s">
        <v>63</v>
      </c>
      <c r="AK644" t="s">
        <v>63</v>
      </c>
      <c r="AL644" t="s">
        <v>63</v>
      </c>
      <c r="AM644" t="s">
        <v>5792</v>
      </c>
      <c r="AN644" t="s">
        <v>63</v>
      </c>
      <c r="AO644" t="s">
        <v>63</v>
      </c>
      <c r="AP644" t="s">
        <v>63</v>
      </c>
      <c r="AQ644" t="s">
        <v>63</v>
      </c>
      <c r="AR644" t="s">
        <v>63</v>
      </c>
      <c r="AS644" t="s">
        <v>63</v>
      </c>
      <c r="AT644" t="s">
        <v>63</v>
      </c>
      <c r="AU644" t="s">
        <v>63</v>
      </c>
      <c r="AV644" t="s">
        <v>63</v>
      </c>
      <c r="AW644" t="s">
        <v>63</v>
      </c>
      <c r="AX644" t="s">
        <v>63</v>
      </c>
      <c r="AY644" t="s">
        <v>63</v>
      </c>
      <c r="AZ644" t="s">
        <v>63</v>
      </c>
      <c r="BA644" t="s">
        <v>63</v>
      </c>
      <c r="BB644" t="s">
        <v>63</v>
      </c>
      <c r="BC644" t="s">
        <v>63</v>
      </c>
      <c r="BD644" t="s">
        <v>63</v>
      </c>
      <c r="BE644" t="s">
        <v>63</v>
      </c>
      <c r="BF644" t="s">
        <v>63</v>
      </c>
    </row>
    <row r="645" spans="1:58">
      <c r="A645" t="s">
        <v>58</v>
      </c>
      <c r="B645" t="s">
        <v>5793</v>
      </c>
      <c r="C645" t="s">
        <v>5794</v>
      </c>
      <c r="D645" t="s">
        <v>212</v>
      </c>
      <c r="E645" t="s">
        <v>63</v>
      </c>
      <c r="F645">
        <v>2014</v>
      </c>
      <c r="G645" s="1">
        <v>41771</v>
      </c>
      <c r="H645">
        <v>186</v>
      </c>
      <c r="I645">
        <v>8</v>
      </c>
      <c r="J645" t="s">
        <v>5795</v>
      </c>
      <c r="K645">
        <v>72</v>
      </c>
      <c r="L645" t="s">
        <v>5796</v>
      </c>
      <c r="M645" t="s">
        <v>5797</v>
      </c>
      <c r="N645" t="s">
        <v>5798</v>
      </c>
      <c r="O645" t="s">
        <v>63</v>
      </c>
      <c r="Q645" t="s">
        <v>63</v>
      </c>
      <c r="R645" t="s">
        <v>63</v>
      </c>
      <c r="S645" t="s">
        <v>63</v>
      </c>
      <c r="T645" t="s">
        <v>63</v>
      </c>
      <c r="X645" t="s">
        <v>63</v>
      </c>
      <c r="Y645" t="s">
        <v>1979</v>
      </c>
      <c r="Z645" t="s">
        <v>63</v>
      </c>
      <c r="AA645" t="s">
        <v>63</v>
      </c>
      <c r="AB645">
        <v>24616136</v>
      </c>
      <c r="AC645" t="s">
        <v>67</v>
      </c>
      <c r="AD645" t="s">
        <v>63</v>
      </c>
      <c r="AE645" t="s">
        <v>63</v>
      </c>
      <c r="AF645" t="s">
        <v>63</v>
      </c>
      <c r="AG645" t="s">
        <v>5799</v>
      </c>
      <c r="AH645" t="s">
        <v>63</v>
      </c>
      <c r="AI645" t="s">
        <v>5800</v>
      </c>
      <c r="AJ645" t="s">
        <v>63</v>
      </c>
      <c r="AK645" t="s">
        <v>63</v>
      </c>
      <c r="AL645" t="s">
        <v>63</v>
      </c>
      <c r="AM645" t="s">
        <v>5801</v>
      </c>
      <c r="AN645" t="s">
        <v>63</v>
      </c>
      <c r="AO645" t="s">
        <v>63</v>
      </c>
      <c r="AP645" t="s">
        <v>63</v>
      </c>
      <c r="AQ645" t="s">
        <v>63</v>
      </c>
      <c r="AR645" t="s">
        <v>63</v>
      </c>
      <c r="AS645" t="s">
        <v>63</v>
      </c>
      <c r="AT645" t="s">
        <v>63</v>
      </c>
      <c r="AU645" t="s">
        <v>63</v>
      </c>
      <c r="AV645" t="s">
        <v>63</v>
      </c>
      <c r="AW645" t="s">
        <v>63</v>
      </c>
      <c r="AX645" t="s">
        <v>63</v>
      </c>
      <c r="AY645" t="s">
        <v>63</v>
      </c>
      <c r="AZ645" t="s">
        <v>63</v>
      </c>
      <c r="BA645" t="s">
        <v>63</v>
      </c>
      <c r="BB645" t="s">
        <v>63</v>
      </c>
      <c r="BC645" t="s">
        <v>63</v>
      </c>
      <c r="BD645" t="s">
        <v>63</v>
      </c>
      <c r="BE645" t="s">
        <v>63</v>
      </c>
      <c r="BF645" t="s">
        <v>63</v>
      </c>
    </row>
    <row r="646" spans="1:58">
      <c r="A646" t="s">
        <v>58</v>
      </c>
      <c r="B646" t="s">
        <v>5802</v>
      </c>
      <c r="C646" t="s">
        <v>5803</v>
      </c>
      <c r="D646" t="s">
        <v>5804</v>
      </c>
      <c r="E646" t="s">
        <v>5805</v>
      </c>
      <c r="F646">
        <v>1971</v>
      </c>
      <c r="G646" t="s">
        <v>84</v>
      </c>
      <c r="H646">
        <v>68</v>
      </c>
      <c r="I646">
        <v>4</v>
      </c>
      <c r="J646">
        <v>43</v>
      </c>
      <c r="K646">
        <v>46</v>
      </c>
      <c r="L646" t="s">
        <v>5806</v>
      </c>
      <c r="M646" t="s">
        <v>63</v>
      </c>
      <c r="N646" t="s">
        <v>5807</v>
      </c>
      <c r="O646" t="s">
        <v>63</v>
      </c>
      <c r="Q646" t="s">
        <v>63</v>
      </c>
      <c r="R646" t="s">
        <v>63</v>
      </c>
      <c r="S646" t="s">
        <v>63</v>
      </c>
      <c r="T646" t="s">
        <v>63</v>
      </c>
      <c r="X646" t="s">
        <v>63</v>
      </c>
      <c r="Y646" t="s">
        <v>5808</v>
      </c>
      <c r="Z646" t="s">
        <v>63</v>
      </c>
      <c r="AA646" t="s">
        <v>63</v>
      </c>
      <c r="AB646">
        <v>5575490</v>
      </c>
      <c r="AC646" t="s">
        <v>67</v>
      </c>
      <c r="AD646" t="s">
        <v>63</v>
      </c>
      <c r="AE646" t="s">
        <v>63</v>
      </c>
      <c r="AF646" t="s">
        <v>63</v>
      </c>
      <c r="AG646" t="s">
        <v>5809</v>
      </c>
      <c r="AH646" t="s">
        <v>63</v>
      </c>
      <c r="AI646" t="s">
        <v>63</v>
      </c>
      <c r="AJ646" t="s">
        <v>63</v>
      </c>
      <c r="AK646" t="s">
        <v>63</v>
      </c>
      <c r="AL646" t="s">
        <v>63</v>
      </c>
      <c r="AM646" t="s">
        <v>5810</v>
      </c>
      <c r="AN646" t="s">
        <v>63</v>
      </c>
      <c r="AO646" t="s">
        <v>63</v>
      </c>
      <c r="AP646" t="s">
        <v>63</v>
      </c>
      <c r="AQ646" t="s">
        <v>63</v>
      </c>
      <c r="AR646" t="s">
        <v>63</v>
      </c>
      <c r="AS646" t="s">
        <v>63</v>
      </c>
      <c r="AT646" t="s">
        <v>63</v>
      </c>
      <c r="AU646" t="s">
        <v>63</v>
      </c>
      <c r="AV646" t="s">
        <v>63</v>
      </c>
      <c r="AW646" t="s">
        <v>63</v>
      </c>
      <c r="AX646" t="s">
        <v>63</v>
      </c>
      <c r="AY646" t="s">
        <v>63</v>
      </c>
      <c r="AZ646" t="s">
        <v>63</v>
      </c>
      <c r="BA646" t="s">
        <v>63</v>
      </c>
      <c r="BB646" t="s">
        <v>63</v>
      </c>
      <c r="BC646" t="s">
        <v>63</v>
      </c>
      <c r="BD646" t="s">
        <v>63</v>
      </c>
      <c r="BE646" t="s">
        <v>63</v>
      </c>
      <c r="BF646" t="s">
        <v>63</v>
      </c>
    </row>
    <row r="647" spans="1:58">
      <c r="A647" t="s">
        <v>58</v>
      </c>
      <c r="B647" t="s">
        <v>5811</v>
      </c>
      <c r="C647" t="s">
        <v>5812</v>
      </c>
      <c r="D647" t="s">
        <v>5813</v>
      </c>
      <c r="E647" t="s">
        <v>5814</v>
      </c>
      <c r="F647">
        <v>2010</v>
      </c>
      <c r="G647" t="s">
        <v>198</v>
      </c>
      <c r="H647">
        <v>69</v>
      </c>
      <c r="I647">
        <v>1</v>
      </c>
      <c r="J647">
        <v>4</v>
      </c>
      <c r="K647">
        <v>7</v>
      </c>
      <c r="L647" t="s">
        <v>5815</v>
      </c>
      <c r="M647" t="s">
        <v>5816</v>
      </c>
      <c r="N647" t="s">
        <v>5817</v>
      </c>
      <c r="O647" t="s">
        <v>63</v>
      </c>
      <c r="Q647" t="s">
        <v>63</v>
      </c>
      <c r="R647" t="s">
        <v>63</v>
      </c>
      <c r="S647" t="s">
        <v>63</v>
      </c>
      <c r="T647" t="s">
        <v>63</v>
      </c>
      <c r="X647" t="s">
        <v>63</v>
      </c>
      <c r="Y647" t="s">
        <v>5818</v>
      </c>
      <c r="Z647" t="s">
        <v>63</v>
      </c>
      <c r="AA647" t="s">
        <v>5819</v>
      </c>
      <c r="AB647">
        <v>20222489</v>
      </c>
      <c r="AC647" t="s">
        <v>67</v>
      </c>
      <c r="AD647" t="s">
        <v>63</v>
      </c>
      <c r="AE647" t="s">
        <v>63</v>
      </c>
      <c r="AF647" t="s">
        <v>63</v>
      </c>
      <c r="AG647" t="s">
        <v>5820</v>
      </c>
      <c r="AH647" t="s">
        <v>63</v>
      </c>
      <c r="AI647" t="s">
        <v>63</v>
      </c>
      <c r="AJ647" t="s">
        <v>63</v>
      </c>
      <c r="AK647" t="s">
        <v>63</v>
      </c>
      <c r="AL647" t="s">
        <v>63</v>
      </c>
      <c r="AM647" t="s">
        <v>5821</v>
      </c>
      <c r="AN647" t="s">
        <v>63</v>
      </c>
      <c r="AO647" t="s">
        <v>63</v>
      </c>
      <c r="AP647" t="s">
        <v>63</v>
      </c>
      <c r="AQ647" t="s">
        <v>63</v>
      </c>
      <c r="AR647" t="s">
        <v>63</v>
      </c>
      <c r="AS647" t="s">
        <v>63</v>
      </c>
      <c r="AT647" t="s">
        <v>63</v>
      </c>
      <c r="AU647" t="s">
        <v>63</v>
      </c>
      <c r="AV647" t="s">
        <v>63</v>
      </c>
      <c r="AW647" t="s">
        <v>63</v>
      </c>
      <c r="AX647" t="s">
        <v>63</v>
      </c>
      <c r="AY647" t="s">
        <v>63</v>
      </c>
      <c r="AZ647" t="s">
        <v>63</v>
      </c>
      <c r="BA647" t="s">
        <v>63</v>
      </c>
      <c r="BB647" t="s">
        <v>63</v>
      </c>
      <c r="BC647" t="s">
        <v>63</v>
      </c>
      <c r="BD647" t="s">
        <v>63</v>
      </c>
      <c r="BE647" t="s">
        <v>63</v>
      </c>
      <c r="BF647" t="s">
        <v>63</v>
      </c>
    </row>
    <row r="648" spans="1:58">
      <c r="A648" t="s">
        <v>58</v>
      </c>
      <c r="B648" t="s">
        <v>5822</v>
      </c>
      <c r="C648" t="s">
        <v>5823</v>
      </c>
      <c r="D648" t="s">
        <v>5824</v>
      </c>
      <c r="E648" t="s">
        <v>5825</v>
      </c>
      <c r="F648">
        <v>2002</v>
      </c>
      <c r="G648" t="s">
        <v>147</v>
      </c>
      <c r="H648">
        <v>6</v>
      </c>
      <c r="I648">
        <v>2</v>
      </c>
      <c r="J648">
        <v>109</v>
      </c>
      <c r="K648">
        <v>110</v>
      </c>
      <c r="L648" t="s">
        <v>5826</v>
      </c>
      <c r="M648" t="s">
        <v>63</v>
      </c>
      <c r="N648" t="s">
        <v>5827</v>
      </c>
      <c r="O648" t="s">
        <v>63</v>
      </c>
      <c r="Q648" t="s">
        <v>63</v>
      </c>
      <c r="R648" t="s">
        <v>63</v>
      </c>
      <c r="S648" t="s">
        <v>63</v>
      </c>
      <c r="T648" t="s">
        <v>63</v>
      </c>
      <c r="X648" t="s">
        <v>63</v>
      </c>
      <c r="Y648" t="s">
        <v>5828</v>
      </c>
      <c r="Z648" t="s">
        <v>63</v>
      </c>
      <c r="AA648" t="s">
        <v>63</v>
      </c>
      <c r="AB648">
        <v>11889673</v>
      </c>
      <c r="AC648" t="s">
        <v>67</v>
      </c>
      <c r="AD648" t="s">
        <v>63</v>
      </c>
      <c r="AE648" t="s">
        <v>63</v>
      </c>
      <c r="AF648" t="s">
        <v>63</v>
      </c>
      <c r="AG648" t="s">
        <v>5829</v>
      </c>
      <c r="AH648" t="s">
        <v>63</v>
      </c>
      <c r="AI648" t="s">
        <v>63</v>
      </c>
      <c r="AJ648" t="s">
        <v>63</v>
      </c>
      <c r="AK648" t="s">
        <v>63</v>
      </c>
      <c r="AL648" t="s">
        <v>63</v>
      </c>
      <c r="AM648" t="s">
        <v>5830</v>
      </c>
      <c r="AN648" t="s">
        <v>63</v>
      </c>
      <c r="AO648" t="s">
        <v>63</v>
      </c>
      <c r="AP648" t="s">
        <v>63</v>
      </c>
      <c r="AQ648" t="s">
        <v>63</v>
      </c>
      <c r="AR648" t="s">
        <v>63</v>
      </c>
      <c r="AS648" t="s">
        <v>63</v>
      </c>
      <c r="AT648" t="s">
        <v>63</v>
      </c>
      <c r="AU648" t="s">
        <v>63</v>
      </c>
      <c r="AV648" t="s">
        <v>63</v>
      </c>
      <c r="AW648" t="s">
        <v>63</v>
      </c>
      <c r="AX648" t="s">
        <v>63</v>
      </c>
      <c r="AY648" t="s">
        <v>63</v>
      </c>
      <c r="AZ648" t="s">
        <v>63</v>
      </c>
      <c r="BA648" t="s">
        <v>63</v>
      </c>
      <c r="BB648" t="s">
        <v>63</v>
      </c>
      <c r="BC648" t="s">
        <v>63</v>
      </c>
      <c r="BD648" t="s">
        <v>63</v>
      </c>
      <c r="BE648" t="s">
        <v>63</v>
      </c>
      <c r="BF648" t="s">
        <v>63</v>
      </c>
    </row>
    <row r="649" spans="1:58">
      <c r="A649" t="s">
        <v>58</v>
      </c>
      <c r="B649" t="s">
        <v>5831</v>
      </c>
      <c r="C649" t="s">
        <v>5832</v>
      </c>
      <c r="D649" t="s">
        <v>389</v>
      </c>
      <c r="E649" t="s">
        <v>63</v>
      </c>
      <c r="F649">
        <v>2018</v>
      </c>
      <c r="G649" s="1">
        <v>41719</v>
      </c>
      <c r="H649" t="s">
        <v>63</v>
      </c>
      <c r="I649" t="s">
        <v>63</v>
      </c>
      <c r="J649">
        <v>1</v>
      </c>
      <c r="K649">
        <v>19</v>
      </c>
      <c r="L649" t="s">
        <v>63</v>
      </c>
      <c r="M649" t="s">
        <v>5833</v>
      </c>
      <c r="N649" t="s">
        <v>5834</v>
      </c>
      <c r="O649" t="s">
        <v>63</v>
      </c>
      <c r="Q649" t="s">
        <v>63</v>
      </c>
      <c r="R649" t="s">
        <v>63</v>
      </c>
      <c r="S649" t="s">
        <v>63</v>
      </c>
      <c r="T649" t="s">
        <v>63</v>
      </c>
      <c r="X649" t="s">
        <v>63</v>
      </c>
      <c r="Y649" t="s">
        <v>556</v>
      </c>
      <c r="Z649" t="s">
        <v>63</v>
      </c>
      <c r="AA649" t="s">
        <v>5835</v>
      </c>
      <c r="AB649">
        <v>29565782</v>
      </c>
      <c r="AC649" t="s">
        <v>67</v>
      </c>
      <c r="AD649" t="s">
        <v>63</v>
      </c>
      <c r="AE649" t="s">
        <v>63</v>
      </c>
      <c r="AF649" t="s">
        <v>63</v>
      </c>
      <c r="AG649" t="s">
        <v>5836</v>
      </c>
      <c r="AH649" t="s">
        <v>63</v>
      </c>
      <c r="AI649" t="s">
        <v>5837</v>
      </c>
      <c r="AJ649" t="s">
        <v>63</v>
      </c>
      <c r="AK649" t="s">
        <v>63</v>
      </c>
      <c r="AL649" t="s">
        <v>63</v>
      </c>
      <c r="AM649" t="s">
        <v>5838</v>
      </c>
      <c r="AN649" t="s">
        <v>63</v>
      </c>
      <c r="AO649" t="s">
        <v>63</v>
      </c>
      <c r="AP649" t="s">
        <v>63</v>
      </c>
      <c r="AQ649" t="s">
        <v>63</v>
      </c>
      <c r="AR649" t="s">
        <v>63</v>
      </c>
      <c r="AS649" t="s">
        <v>63</v>
      </c>
      <c r="AT649" t="s">
        <v>63</v>
      </c>
      <c r="AU649" t="s">
        <v>63</v>
      </c>
      <c r="AV649" t="s">
        <v>63</v>
      </c>
      <c r="AW649" t="s">
        <v>63</v>
      </c>
      <c r="AX649" t="s">
        <v>63</v>
      </c>
      <c r="AY649" t="s">
        <v>63</v>
      </c>
      <c r="AZ649" t="s">
        <v>63</v>
      </c>
      <c r="BA649" t="s">
        <v>63</v>
      </c>
      <c r="BB649" t="s">
        <v>63</v>
      </c>
      <c r="BC649" t="s">
        <v>63</v>
      </c>
      <c r="BD649" t="s">
        <v>63</v>
      </c>
      <c r="BE649" t="s">
        <v>63</v>
      </c>
      <c r="BF649" t="s">
        <v>63</v>
      </c>
    </row>
    <row r="650" spans="1:58">
      <c r="A650" t="s">
        <v>58</v>
      </c>
      <c r="B650" t="s">
        <v>5839</v>
      </c>
      <c r="C650" t="s">
        <v>5840</v>
      </c>
      <c r="D650" t="s">
        <v>1184</v>
      </c>
      <c r="E650" t="s">
        <v>1185</v>
      </c>
      <c r="F650">
        <v>1985</v>
      </c>
      <c r="G650" t="s">
        <v>614</v>
      </c>
      <c r="H650">
        <v>60</v>
      </c>
      <c r="I650">
        <v>8</v>
      </c>
      <c r="J650">
        <v>618</v>
      </c>
      <c r="K650">
        <v>626</v>
      </c>
      <c r="L650" t="s">
        <v>5841</v>
      </c>
      <c r="M650" t="s">
        <v>5842</v>
      </c>
      <c r="N650" t="s">
        <v>5843</v>
      </c>
      <c r="O650" t="s">
        <v>63</v>
      </c>
      <c r="Q650" t="s">
        <v>63</v>
      </c>
      <c r="R650" t="s">
        <v>63</v>
      </c>
      <c r="S650" t="s">
        <v>63</v>
      </c>
      <c r="T650" t="s">
        <v>63</v>
      </c>
      <c r="X650" t="s">
        <v>63</v>
      </c>
      <c r="Y650" t="s">
        <v>1188</v>
      </c>
      <c r="Z650" t="s">
        <v>63</v>
      </c>
      <c r="AA650" t="s">
        <v>63</v>
      </c>
      <c r="AB650">
        <v>3894664</v>
      </c>
      <c r="AC650" t="s">
        <v>67</v>
      </c>
      <c r="AD650" t="s">
        <v>63</v>
      </c>
      <c r="AE650" t="s">
        <v>63</v>
      </c>
      <c r="AF650" t="s">
        <v>63</v>
      </c>
      <c r="AG650" t="s">
        <v>5844</v>
      </c>
      <c r="AH650" t="s">
        <v>63</v>
      </c>
      <c r="AI650" t="s">
        <v>63</v>
      </c>
      <c r="AJ650" t="s">
        <v>63</v>
      </c>
      <c r="AK650" t="s">
        <v>63</v>
      </c>
      <c r="AL650" t="s">
        <v>63</v>
      </c>
      <c r="AM650" t="s">
        <v>5845</v>
      </c>
      <c r="AN650" t="s">
        <v>63</v>
      </c>
      <c r="AO650" t="s">
        <v>63</v>
      </c>
      <c r="AP650" t="s">
        <v>63</v>
      </c>
      <c r="AQ650" t="s">
        <v>63</v>
      </c>
      <c r="AR650" t="s">
        <v>63</v>
      </c>
      <c r="AS650" t="s">
        <v>63</v>
      </c>
      <c r="AT650" t="s">
        <v>63</v>
      </c>
      <c r="AU650" t="s">
        <v>63</v>
      </c>
      <c r="AV650" t="s">
        <v>63</v>
      </c>
      <c r="AW650" t="s">
        <v>63</v>
      </c>
      <c r="AX650" t="s">
        <v>63</v>
      </c>
      <c r="AY650" t="s">
        <v>63</v>
      </c>
      <c r="AZ650" t="s">
        <v>63</v>
      </c>
      <c r="BA650" t="s">
        <v>63</v>
      </c>
      <c r="BB650" t="s">
        <v>63</v>
      </c>
      <c r="BC650" t="s">
        <v>63</v>
      </c>
      <c r="BD650" t="s">
        <v>63</v>
      </c>
      <c r="BE650" t="s">
        <v>63</v>
      </c>
      <c r="BF650" t="s">
        <v>63</v>
      </c>
    </row>
    <row r="651" spans="1:58">
      <c r="A651" t="s">
        <v>58</v>
      </c>
      <c r="B651" t="s">
        <v>5846</v>
      </c>
      <c r="C651" t="s">
        <v>5847</v>
      </c>
      <c r="D651" t="s">
        <v>5504</v>
      </c>
      <c r="E651" t="s">
        <v>5505</v>
      </c>
      <c r="F651">
        <v>2010</v>
      </c>
      <c r="G651" t="s">
        <v>63</v>
      </c>
      <c r="H651">
        <v>106</v>
      </c>
      <c r="I651">
        <v>4</v>
      </c>
      <c r="J651">
        <v>22</v>
      </c>
      <c r="K651">
        <v>24</v>
      </c>
      <c r="L651" t="s">
        <v>5848</v>
      </c>
      <c r="M651" t="s">
        <v>5849</v>
      </c>
      <c r="N651" t="s">
        <v>5850</v>
      </c>
      <c r="O651" t="s">
        <v>63</v>
      </c>
      <c r="Q651" t="s">
        <v>63</v>
      </c>
      <c r="R651" t="s">
        <v>63</v>
      </c>
      <c r="S651" t="s">
        <v>63</v>
      </c>
      <c r="T651" t="s">
        <v>63</v>
      </c>
      <c r="X651" t="s">
        <v>63</v>
      </c>
      <c r="Y651" t="s">
        <v>5509</v>
      </c>
      <c r="Z651" t="s">
        <v>63</v>
      </c>
      <c r="AA651" t="s">
        <v>5851</v>
      </c>
      <c r="AB651">
        <v>21932749</v>
      </c>
      <c r="AC651" t="s">
        <v>67</v>
      </c>
      <c r="AD651" t="s">
        <v>63</v>
      </c>
      <c r="AE651" t="s">
        <v>63</v>
      </c>
      <c r="AF651" t="s">
        <v>63</v>
      </c>
      <c r="AG651" t="s">
        <v>5852</v>
      </c>
      <c r="AH651" t="s">
        <v>63</v>
      </c>
      <c r="AI651" t="s">
        <v>63</v>
      </c>
      <c r="AJ651" t="s">
        <v>63</v>
      </c>
      <c r="AK651" t="s">
        <v>63</v>
      </c>
      <c r="AL651" t="s">
        <v>63</v>
      </c>
      <c r="AM651" t="s">
        <v>5853</v>
      </c>
      <c r="AN651" t="s">
        <v>63</v>
      </c>
      <c r="AO651" t="s">
        <v>63</v>
      </c>
      <c r="AP651" t="s">
        <v>63</v>
      </c>
      <c r="AQ651" t="s">
        <v>63</v>
      </c>
      <c r="AR651" t="s">
        <v>63</v>
      </c>
      <c r="AS651" t="s">
        <v>63</v>
      </c>
      <c r="AT651" t="s">
        <v>63</v>
      </c>
      <c r="AU651" t="s">
        <v>63</v>
      </c>
      <c r="AV651" t="s">
        <v>63</v>
      </c>
      <c r="AW651" t="s">
        <v>63</v>
      </c>
      <c r="AX651" t="s">
        <v>63</v>
      </c>
      <c r="AY651" t="s">
        <v>63</v>
      </c>
      <c r="AZ651" t="s">
        <v>63</v>
      </c>
      <c r="BA651" t="s">
        <v>63</v>
      </c>
      <c r="BB651" t="s">
        <v>63</v>
      </c>
      <c r="BC651" t="s">
        <v>63</v>
      </c>
      <c r="BD651" t="s">
        <v>63</v>
      </c>
      <c r="BE651" t="s">
        <v>63</v>
      </c>
      <c r="BF651" t="s">
        <v>63</v>
      </c>
    </row>
    <row r="652" spans="1:58">
      <c r="A652" t="s">
        <v>58</v>
      </c>
      <c r="B652" t="s">
        <v>5854</v>
      </c>
      <c r="C652" t="s">
        <v>5855</v>
      </c>
      <c r="D652" t="s">
        <v>5856</v>
      </c>
      <c r="E652" t="s">
        <v>63</v>
      </c>
      <c r="F652">
        <v>2016</v>
      </c>
      <c r="G652" t="s">
        <v>63</v>
      </c>
      <c r="H652">
        <v>9</v>
      </c>
      <c r="I652" t="s">
        <v>63</v>
      </c>
      <c r="J652">
        <v>297</v>
      </c>
      <c r="K652">
        <v>307</v>
      </c>
      <c r="L652" t="s">
        <v>63</v>
      </c>
      <c r="M652" t="s">
        <v>5857</v>
      </c>
      <c r="N652" t="s">
        <v>5858</v>
      </c>
      <c r="O652" t="s">
        <v>63</v>
      </c>
      <c r="Q652" t="s">
        <v>63</v>
      </c>
      <c r="R652" t="s">
        <v>63</v>
      </c>
      <c r="S652" t="s">
        <v>63</v>
      </c>
      <c r="T652" t="s">
        <v>63</v>
      </c>
      <c r="X652" t="s">
        <v>63</v>
      </c>
      <c r="Y652" t="s">
        <v>5859</v>
      </c>
      <c r="Z652" t="s">
        <v>63</v>
      </c>
      <c r="AA652" t="s">
        <v>5860</v>
      </c>
      <c r="AB652">
        <v>27881928</v>
      </c>
      <c r="AC652" t="s">
        <v>67</v>
      </c>
      <c r="AD652" t="s">
        <v>63</v>
      </c>
      <c r="AE652" t="s">
        <v>63</v>
      </c>
      <c r="AF652" t="s">
        <v>63</v>
      </c>
      <c r="AG652" t="s">
        <v>5861</v>
      </c>
      <c r="AH652" t="s">
        <v>63</v>
      </c>
      <c r="AI652" t="s">
        <v>63</v>
      </c>
      <c r="AJ652" t="s">
        <v>63</v>
      </c>
      <c r="AK652" t="s">
        <v>63</v>
      </c>
      <c r="AL652" t="s">
        <v>63</v>
      </c>
      <c r="AM652" t="s">
        <v>5862</v>
      </c>
      <c r="AN652" t="s">
        <v>63</v>
      </c>
      <c r="AO652" t="s">
        <v>63</v>
      </c>
      <c r="AP652" t="s">
        <v>63</v>
      </c>
      <c r="AQ652" t="s">
        <v>63</v>
      </c>
      <c r="AR652" t="s">
        <v>63</v>
      </c>
      <c r="AS652" t="s">
        <v>63</v>
      </c>
      <c r="AT652" t="s">
        <v>63</v>
      </c>
      <c r="AU652" t="s">
        <v>63</v>
      </c>
      <c r="AV652" t="s">
        <v>63</v>
      </c>
      <c r="AW652" t="s">
        <v>63</v>
      </c>
      <c r="AX652" t="s">
        <v>63</v>
      </c>
      <c r="AY652" t="s">
        <v>63</v>
      </c>
      <c r="AZ652" t="s">
        <v>63</v>
      </c>
      <c r="BA652" t="s">
        <v>63</v>
      </c>
      <c r="BB652" t="s">
        <v>63</v>
      </c>
      <c r="BC652" t="s">
        <v>63</v>
      </c>
      <c r="BD652" t="s">
        <v>63</v>
      </c>
      <c r="BE652" t="s">
        <v>63</v>
      </c>
      <c r="BF652" t="s">
        <v>63</v>
      </c>
    </row>
    <row r="653" spans="1:58">
      <c r="A653" t="s">
        <v>58</v>
      </c>
      <c r="B653" t="s">
        <v>5863</v>
      </c>
      <c r="C653" t="s">
        <v>5864</v>
      </c>
      <c r="D653" t="s">
        <v>5865</v>
      </c>
      <c r="E653" t="s">
        <v>63</v>
      </c>
      <c r="F653">
        <v>2013</v>
      </c>
      <c r="G653" t="s">
        <v>219</v>
      </c>
      <c r="H653">
        <v>50</v>
      </c>
      <c r="I653">
        <v>9</v>
      </c>
      <c r="J653">
        <v>968</v>
      </c>
      <c r="K653">
        <v>974</v>
      </c>
      <c r="L653" t="s">
        <v>5866</v>
      </c>
      <c r="M653" t="s">
        <v>5867</v>
      </c>
      <c r="N653" t="s">
        <v>5868</v>
      </c>
      <c r="O653" t="s">
        <v>63</v>
      </c>
      <c r="Q653" t="s">
        <v>63</v>
      </c>
      <c r="R653" t="s">
        <v>63</v>
      </c>
      <c r="S653" t="s">
        <v>63</v>
      </c>
      <c r="T653" t="s">
        <v>63</v>
      </c>
      <c r="X653" t="s">
        <v>63</v>
      </c>
      <c r="Y653" t="s">
        <v>5869</v>
      </c>
      <c r="Z653" t="s">
        <v>63</v>
      </c>
      <c r="AA653" t="s">
        <v>5870</v>
      </c>
      <c r="AB653">
        <v>23883356</v>
      </c>
      <c r="AC653" t="s">
        <v>67</v>
      </c>
      <c r="AD653" t="s">
        <v>63</v>
      </c>
      <c r="AE653" t="s">
        <v>63</v>
      </c>
      <c r="AF653" t="s">
        <v>63</v>
      </c>
      <c r="AG653" t="s">
        <v>5871</v>
      </c>
      <c r="AH653" t="s">
        <v>63</v>
      </c>
      <c r="AI653" t="s">
        <v>5872</v>
      </c>
      <c r="AJ653" t="s">
        <v>63</v>
      </c>
      <c r="AK653" t="s">
        <v>63</v>
      </c>
      <c r="AL653" t="s">
        <v>63</v>
      </c>
      <c r="AM653" t="s">
        <v>5873</v>
      </c>
      <c r="AN653" t="s">
        <v>63</v>
      </c>
      <c r="AO653" t="s">
        <v>63</v>
      </c>
      <c r="AP653" t="s">
        <v>63</v>
      </c>
      <c r="AQ653" t="s">
        <v>63</v>
      </c>
      <c r="AR653" t="s">
        <v>63</v>
      </c>
      <c r="AS653" t="s">
        <v>63</v>
      </c>
      <c r="AT653" t="s">
        <v>63</v>
      </c>
      <c r="AU653" t="s">
        <v>63</v>
      </c>
      <c r="AV653" t="s">
        <v>63</v>
      </c>
      <c r="AW653" t="s">
        <v>63</v>
      </c>
      <c r="AX653" t="s">
        <v>63</v>
      </c>
      <c r="AY653" t="s">
        <v>63</v>
      </c>
      <c r="AZ653" t="s">
        <v>63</v>
      </c>
      <c r="BA653" t="s">
        <v>63</v>
      </c>
      <c r="BB653" t="s">
        <v>63</v>
      </c>
      <c r="BC653" t="s">
        <v>63</v>
      </c>
      <c r="BD653" t="s">
        <v>63</v>
      </c>
      <c r="BE653" t="s">
        <v>63</v>
      </c>
      <c r="BF653" t="s">
        <v>63</v>
      </c>
    </row>
    <row r="654" spans="1:58">
      <c r="A654" t="s">
        <v>58</v>
      </c>
      <c r="B654" t="s">
        <v>5874</v>
      </c>
      <c r="C654" t="s">
        <v>5875</v>
      </c>
      <c r="D654" t="s">
        <v>5876</v>
      </c>
      <c r="E654" t="s">
        <v>63</v>
      </c>
      <c r="F654">
        <v>2011</v>
      </c>
      <c r="G654" t="s">
        <v>274</v>
      </c>
      <c r="H654">
        <v>8</v>
      </c>
      <c r="I654">
        <v>1</v>
      </c>
      <c r="J654">
        <v>13</v>
      </c>
      <c r="K654">
        <v>16</v>
      </c>
      <c r="L654" t="s">
        <v>5877</v>
      </c>
      <c r="M654" t="s">
        <v>5878</v>
      </c>
      <c r="N654" t="s">
        <v>5879</v>
      </c>
      <c r="O654" t="s">
        <v>63</v>
      </c>
      <c r="Q654" t="s">
        <v>63</v>
      </c>
      <c r="R654" t="s">
        <v>63</v>
      </c>
      <c r="S654" t="s">
        <v>63</v>
      </c>
      <c r="T654" t="s">
        <v>63</v>
      </c>
      <c r="X654" t="s">
        <v>63</v>
      </c>
      <c r="Y654" t="s">
        <v>5880</v>
      </c>
      <c r="Z654" t="s">
        <v>63</v>
      </c>
      <c r="AA654" t="s">
        <v>5881</v>
      </c>
      <c r="AB654">
        <v>21324066</v>
      </c>
      <c r="AC654" t="s">
        <v>67</v>
      </c>
      <c r="AD654" t="s">
        <v>63</v>
      </c>
      <c r="AE654" t="s">
        <v>63</v>
      </c>
      <c r="AF654" t="s">
        <v>63</v>
      </c>
      <c r="AG654" t="s">
        <v>5882</v>
      </c>
      <c r="AH654" t="s">
        <v>63</v>
      </c>
      <c r="AI654" t="s">
        <v>5883</v>
      </c>
      <c r="AJ654" t="s">
        <v>63</v>
      </c>
      <c r="AK654" t="s">
        <v>63</v>
      </c>
      <c r="AL654" t="s">
        <v>63</v>
      </c>
      <c r="AM654" t="s">
        <v>5884</v>
      </c>
      <c r="AN654" t="s">
        <v>63</v>
      </c>
      <c r="AO654" t="s">
        <v>63</v>
      </c>
      <c r="AP654" t="s">
        <v>63</v>
      </c>
      <c r="AQ654" t="s">
        <v>63</v>
      </c>
      <c r="AR654" t="s">
        <v>63</v>
      </c>
      <c r="AS654" t="s">
        <v>63</v>
      </c>
      <c r="AT654" t="s">
        <v>63</v>
      </c>
      <c r="AU654" t="s">
        <v>63</v>
      </c>
      <c r="AV654" t="s">
        <v>63</v>
      </c>
      <c r="AW654" t="s">
        <v>63</v>
      </c>
      <c r="AX654" t="s">
        <v>63</v>
      </c>
      <c r="AY654" t="s">
        <v>63</v>
      </c>
      <c r="AZ654" t="s">
        <v>63</v>
      </c>
      <c r="BA654" t="s">
        <v>63</v>
      </c>
      <c r="BB654" t="s">
        <v>63</v>
      </c>
      <c r="BC654" t="s">
        <v>63</v>
      </c>
      <c r="BD654" t="s">
        <v>63</v>
      </c>
      <c r="BE654" t="s">
        <v>63</v>
      </c>
      <c r="BF654" t="s">
        <v>63</v>
      </c>
    </row>
    <row r="655" spans="1:58">
      <c r="A655" t="s">
        <v>58</v>
      </c>
      <c r="B655" t="s">
        <v>5885</v>
      </c>
      <c r="C655" t="s">
        <v>5886</v>
      </c>
      <c r="D655" t="s">
        <v>360</v>
      </c>
      <c r="E655" t="s">
        <v>63</v>
      </c>
      <c r="F655">
        <v>1978</v>
      </c>
      <c r="G655" t="s">
        <v>63</v>
      </c>
      <c r="H655">
        <v>5</v>
      </c>
      <c r="I655">
        <v>1</v>
      </c>
      <c r="J655">
        <v>59</v>
      </c>
      <c r="K655">
        <v>74</v>
      </c>
      <c r="L655" t="s">
        <v>5887</v>
      </c>
      <c r="M655" t="s">
        <v>5888</v>
      </c>
      <c r="N655" t="s">
        <v>5889</v>
      </c>
      <c r="O655" t="s">
        <v>63</v>
      </c>
      <c r="Q655" t="s">
        <v>63</v>
      </c>
      <c r="R655" t="s">
        <v>63</v>
      </c>
      <c r="S655" t="s">
        <v>63</v>
      </c>
      <c r="T655" t="s">
        <v>63</v>
      </c>
      <c r="X655" t="s">
        <v>63</v>
      </c>
      <c r="Y655" t="s">
        <v>1683</v>
      </c>
      <c r="Z655" t="s">
        <v>63</v>
      </c>
      <c r="AA655" t="s">
        <v>63</v>
      </c>
      <c r="AB655">
        <v>696707</v>
      </c>
      <c r="AC655" t="s">
        <v>67</v>
      </c>
      <c r="AD655" t="s">
        <v>63</v>
      </c>
      <c r="AE655" t="s">
        <v>63</v>
      </c>
      <c r="AF655" t="s">
        <v>63</v>
      </c>
      <c r="AG655" t="s">
        <v>5890</v>
      </c>
      <c r="AH655" t="s">
        <v>63</v>
      </c>
      <c r="AI655" t="s">
        <v>63</v>
      </c>
      <c r="AJ655" t="s">
        <v>63</v>
      </c>
      <c r="AK655" t="s">
        <v>63</v>
      </c>
      <c r="AL655" t="s">
        <v>63</v>
      </c>
      <c r="AM655" t="s">
        <v>5891</v>
      </c>
      <c r="AN655" t="s">
        <v>63</v>
      </c>
      <c r="AO655" t="s">
        <v>63</v>
      </c>
      <c r="AP655" t="s">
        <v>63</v>
      </c>
      <c r="AQ655" t="s">
        <v>63</v>
      </c>
      <c r="AR655" t="s">
        <v>63</v>
      </c>
      <c r="AS655" t="s">
        <v>63</v>
      </c>
      <c r="AT655" t="s">
        <v>63</v>
      </c>
      <c r="AU655" t="s">
        <v>63</v>
      </c>
      <c r="AV655" t="s">
        <v>63</v>
      </c>
      <c r="AW655" t="s">
        <v>63</v>
      </c>
      <c r="AX655" t="s">
        <v>63</v>
      </c>
      <c r="AY655" t="s">
        <v>63</v>
      </c>
      <c r="AZ655" t="s">
        <v>63</v>
      </c>
      <c r="BA655" t="s">
        <v>63</v>
      </c>
      <c r="BB655" t="s">
        <v>63</v>
      </c>
      <c r="BC655" t="s">
        <v>63</v>
      </c>
      <c r="BD655" t="s">
        <v>63</v>
      </c>
      <c r="BE655" t="s">
        <v>63</v>
      </c>
      <c r="BF655" t="s">
        <v>63</v>
      </c>
    </row>
    <row r="656" spans="1:58">
      <c r="A656" t="s">
        <v>58</v>
      </c>
      <c r="B656" t="s">
        <v>5892</v>
      </c>
      <c r="C656" t="s">
        <v>5893</v>
      </c>
      <c r="D656" t="s">
        <v>763</v>
      </c>
      <c r="E656" t="s">
        <v>63</v>
      </c>
      <c r="F656">
        <v>2013</v>
      </c>
      <c r="G656" t="s">
        <v>181</v>
      </c>
      <c r="H656">
        <v>88</v>
      </c>
      <c r="I656">
        <v>9</v>
      </c>
      <c r="J656">
        <v>1357</v>
      </c>
      <c r="K656">
        <v>1362</v>
      </c>
      <c r="L656" t="s">
        <v>5894</v>
      </c>
      <c r="M656" t="s">
        <v>5895</v>
      </c>
      <c r="N656" t="s">
        <v>5896</v>
      </c>
      <c r="O656" t="s">
        <v>63</v>
      </c>
      <c r="Q656" t="s">
        <v>63</v>
      </c>
      <c r="R656" t="s">
        <v>63</v>
      </c>
      <c r="S656" t="s">
        <v>63</v>
      </c>
      <c r="T656" t="s">
        <v>63</v>
      </c>
      <c r="X656" t="s">
        <v>63</v>
      </c>
      <c r="Y656" t="s">
        <v>766</v>
      </c>
      <c r="Z656" t="s">
        <v>63</v>
      </c>
      <c r="AA656" t="s">
        <v>5897</v>
      </c>
      <c r="AB656">
        <v>23887001</v>
      </c>
      <c r="AC656" t="s">
        <v>67</v>
      </c>
      <c r="AD656" t="s">
        <v>63</v>
      </c>
      <c r="AE656" t="s">
        <v>63</v>
      </c>
      <c r="AF656" t="s">
        <v>63</v>
      </c>
      <c r="AG656" t="s">
        <v>5898</v>
      </c>
      <c r="AH656" t="s">
        <v>63</v>
      </c>
      <c r="AI656" t="s">
        <v>5899</v>
      </c>
      <c r="AJ656" t="s">
        <v>63</v>
      </c>
      <c r="AK656" t="s">
        <v>63</v>
      </c>
      <c r="AL656" t="s">
        <v>63</v>
      </c>
      <c r="AM656" t="s">
        <v>5900</v>
      </c>
      <c r="AN656" t="s">
        <v>63</v>
      </c>
      <c r="AO656" t="s">
        <v>63</v>
      </c>
      <c r="AP656" t="s">
        <v>63</v>
      </c>
      <c r="AQ656" t="s">
        <v>63</v>
      </c>
      <c r="AR656" t="s">
        <v>63</v>
      </c>
      <c r="AS656" t="s">
        <v>63</v>
      </c>
      <c r="AT656" t="s">
        <v>63</v>
      </c>
      <c r="AU656" t="s">
        <v>63</v>
      </c>
      <c r="AV656" t="s">
        <v>63</v>
      </c>
      <c r="AW656" t="s">
        <v>63</v>
      </c>
      <c r="AX656" t="s">
        <v>63</v>
      </c>
      <c r="AY656" t="s">
        <v>63</v>
      </c>
      <c r="AZ656" t="s">
        <v>63</v>
      </c>
      <c r="BA656" t="s">
        <v>63</v>
      </c>
      <c r="BB656" t="s">
        <v>63</v>
      </c>
      <c r="BC656" t="s">
        <v>63</v>
      </c>
      <c r="BD656" t="s">
        <v>63</v>
      </c>
      <c r="BE656" t="s">
        <v>63</v>
      </c>
      <c r="BF656" t="s">
        <v>63</v>
      </c>
    </row>
    <row r="657" spans="1:58">
      <c r="A657" t="s">
        <v>58</v>
      </c>
      <c r="B657" t="s">
        <v>5892</v>
      </c>
      <c r="C657" t="s">
        <v>5901</v>
      </c>
      <c r="D657" t="s">
        <v>2036</v>
      </c>
      <c r="E657" t="s">
        <v>63</v>
      </c>
      <c r="F657">
        <v>2012</v>
      </c>
      <c r="G657" s="1">
        <v>41759</v>
      </c>
      <c r="H657">
        <v>122</v>
      </c>
      <c r="I657">
        <v>3</v>
      </c>
      <c r="J657">
        <v>236</v>
      </c>
      <c r="K657">
        <v>240</v>
      </c>
      <c r="L657" t="s">
        <v>5902</v>
      </c>
      <c r="M657" t="s">
        <v>5903</v>
      </c>
      <c r="N657" t="s">
        <v>5904</v>
      </c>
      <c r="O657" t="s">
        <v>63</v>
      </c>
      <c r="Q657" t="s">
        <v>63</v>
      </c>
      <c r="R657" t="s">
        <v>63</v>
      </c>
      <c r="S657" t="s">
        <v>63</v>
      </c>
      <c r="T657" t="s">
        <v>63</v>
      </c>
      <c r="X657" t="s">
        <v>63</v>
      </c>
      <c r="Y657" t="s">
        <v>2040</v>
      </c>
      <c r="Z657" t="s">
        <v>63</v>
      </c>
      <c r="AA657" t="s">
        <v>5905</v>
      </c>
      <c r="AB657">
        <v>22055011</v>
      </c>
      <c r="AC657" t="s">
        <v>67</v>
      </c>
      <c r="AD657" t="s">
        <v>63</v>
      </c>
      <c r="AE657" t="s">
        <v>63</v>
      </c>
      <c r="AF657" t="s">
        <v>63</v>
      </c>
      <c r="AG657" t="s">
        <v>5906</v>
      </c>
      <c r="AH657" t="s">
        <v>63</v>
      </c>
      <c r="AI657" t="s">
        <v>5907</v>
      </c>
      <c r="AJ657" t="s">
        <v>63</v>
      </c>
      <c r="AK657" t="s">
        <v>63</v>
      </c>
      <c r="AL657" t="s">
        <v>63</v>
      </c>
      <c r="AM657" t="s">
        <v>5908</v>
      </c>
      <c r="AN657" t="s">
        <v>63</v>
      </c>
      <c r="AO657" t="s">
        <v>63</v>
      </c>
      <c r="AP657" t="s">
        <v>63</v>
      </c>
      <c r="AQ657" t="s">
        <v>63</v>
      </c>
      <c r="AR657" t="s">
        <v>63</v>
      </c>
      <c r="AS657" t="s">
        <v>63</v>
      </c>
      <c r="AT657" t="s">
        <v>63</v>
      </c>
      <c r="AU657" t="s">
        <v>63</v>
      </c>
      <c r="AV657" t="s">
        <v>63</v>
      </c>
      <c r="AW657" t="s">
        <v>63</v>
      </c>
      <c r="AX657" t="s">
        <v>63</v>
      </c>
      <c r="AY657" t="s">
        <v>63</v>
      </c>
      <c r="AZ657" t="s">
        <v>63</v>
      </c>
      <c r="BA657" t="s">
        <v>63</v>
      </c>
      <c r="BB657" t="s">
        <v>63</v>
      </c>
      <c r="BC657" t="s">
        <v>63</v>
      </c>
      <c r="BD657" t="s">
        <v>63</v>
      </c>
      <c r="BE657" t="s">
        <v>63</v>
      </c>
      <c r="BF657" t="s">
        <v>63</v>
      </c>
    </row>
    <row r="658" spans="1:58">
      <c r="A658" t="s">
        <v>58</v>
      </c>
      <c r="B658" t="s">
        <v>5909</v>
      </c>
      <c r="C658" t="s">
        <v>5910</v>
      </c>
      <c r="D658" t="s">
        <v>2576</v>
      </c>
      <c r="E658" t="s">
        <v>2577</v>
      </c>
      <c r="F658">
        <v>1971</v>
      </c>
      <c r="G658" s="1">
        <v>41726</v>
      </c>
      <c r="H658">
        <v>178</v>
      </c>
      <c r="I658" t="s">
        <v>63</v>
      </c>
      <c r="J658">
        <v>43</v>
      </c>
      <c r="K658">
        <v>47</v>
      </c>
      <c r="L658" t="s">
        <v>5911</v>
      </c>
      <c r="M658" t="s">
        <v>63</v>
      </c>
      <c r="N658" t="s">
        <v>5912</v>
      </c>
      <c r="O658" t="s">
        <v>63</v>
      </c>
      <c r="Q658" t="s">
        <v>63</v>
      </c>
      <c r="R658" t="s">
        <v>63</v>
      </c>
      <c r="S658" t="s">
        <v>63</v>
      </c>
      <c r="T658" t="s">
        <v>63</v>
      </c>
      <c r="X658" t="s">
        <v>63</v>
      </c>
      <c r="Y658" t="s">
        <v>2580</v>
      </c>
      <c r="Z658" t="s">
        <v>63</v>
      </c>
      <c r="AA658" t="s">
        <v>63</v>
      </c>
      <c r="AB658">
        <v>4996708</v>
      </c>
      <c r="AC658" t="s">
        <v>67</v>
      </c>
      <c r="AD658" t="s">
        <v>63</v>
      </c>
      <c r="AE658" t="s">
        <v>63</v>
      </c>
      <c r="AF658" t="s">
        <v>63</v>
      </c>
      <c r="AG658" t="s">
        <v>5913</v>
      </c>
      <c r="AH658" t="s">
        <v>63</v>
      </c>
      <c r="AI658" t="s">
        <v>63</v>
      </c>
      <c r="AJ658" t="s">
        <v>63</v>
      </c>
      <c r="AK658" t="s">
        <v>63</v>
      </c>
      <c r="AL658" t="s">
        <v>63</v>
      </c>
      <c r="AM658" t="s">
        <v>5914</v>
      </c>
      <c r="AN658" t="s">
        <v>63</v>
      </c>
      <c r="AO658" t="s">
        <v>63</v>
      </c>
      <c r="AP658" t="s">
        <v>63</v>
      </c>
      <c r="AQ658" t="s">
        <v>63</v>
      </c>
      <c r="AR658" t="s">
        <v>63</v>
      </c>
      <c r="AS658" t="s">
        <v>63</v>
      </c>
      <c r="AT658" t="s">
        <v>63</v>
      </c>
      <c r="AU658" t="s">
        <v>63</v>
      </c>
      <c r="AV658" t="s">
        <v>63</v>
      </c>
      <c r="AW658" t="s">
        <v>63</v>
      </c>
      <c r="AX658" t="s">
        <v>63</v>
      </c>
      <c r="AY658" t="s">
        <v>63</v>
      </c>
      <c r="AZ658" t="s">
        <v>63</v>
      </c>
      <c r="BA658" t="s">
        <v>63</v>
      </c>
      <c r="BB658" t="s">
        <v>63</v>
      </c>
      <c r="BC658" t="s">
        <v>63</v>
      </c>
      <c r="BD658" t="s">
        <v>63</v>
      </c>
      <c r="BE658" t="s">
        <v>63</v>
      </c>
      <c r="BF658" t="s">
        <v>63</v>
      </c>
    </row>
    <row r="659" spans="1:58">
      <c r="A659" t="s">
        <v>58</v>
      </c>
      <c r="B659" t="s">
        <v>5915</v>
      </c>
      <c r="C659" t="s">
        <v>5916</v>
      </c>
      <c r="D659" t="s">
        <v>389</v>
      </c>
      <c r="E659" t="s">
        <v>63</v>
      </c>
      <c r="F659">
        <v>2012</v>
      </c>
      <c r="G659" t="s">
        <v>63</v>
      </c>
      <c r="H659">
        <v>33</v>
      </c>
      <c r="I659">
        <v>4</v>
      </c>
      <c r="J659">
        <v>321</v>
      </c>
      <c r="K659">
        <v>326</v>
      </c>
      <c r="L659" t="s">
        <v>5917</v>
      </c>
      <c r="M659" t="s">
        <v>5918</v>
      </c>
      <c r="N659" t="s">
        <v>5919</v>
      </c>
      <c r="O659" t="s">
        <v>63</v>
      </c>
      <c r="Q659" t="s">
        <v>63</v>
      </c>
      <c r="R659" t="s">
        <v>63</v>
      </c>
      <c r="S659" t="s">
        <v>63</v>
      </c>
      <c r="T659" t="s">
        <v>63</v>
      </c>
      <c r="X659" t="s">
        <v>63</v>
      </c>
      <c r="Y659" t="s">
        <v>556</v>
      </c>
      <c r="Z659" t="s">
        <v>63</v>
      </c>
      <c r="AA659" t="s">
        <v>5920</v>
      </c>
      <c r="AB659">
        <v>22989275</v>
      </c>
      <c r="AC659" t="s">
        <v>67</v>
      </c>
      <c r="AD659" t="s">
        <v>63</v>
      </c>
      <c r="AE659" t="s">
        <v>63</v>
      </c>
      <c r="AF659" t="s">
        <v>63</v>
      </c>
      <c r="AG659" t="s">
        <v>5921</v>
      </c>
      <c r="AH659" t="s">
        <v>63</v>
      </c>
      <c r="AI659" t="s">
        <v>63</v>
      </c>
      <c r="AJ659" t="s">
        <v>63</v>
      </c>
      <c r="AK659" t="s">
        <v>63</v>
      </c>
      <c r="AL659" t="s">
        <v>63</v>
      </c>
      <c r="AM659" t="s">
        <v>5922</v>
      </c>
      <c r="AN659" t="s">
        <v>63</v>
      </c>
      <c r="AO659" t="s">
        <v>63</v>
      </c>
      <c r="AP659" t="s">
        <v>63</v>
      </c>
      <c r="AQ659" t="s">
        <v>63</v>
      </c>
      <c r="AR659" t="s">
        <v>63</v>
      </c>
      <c r="AS659" t="s">
        <v>63</v>
      </c>
      <c r="AT659" t="s">
        <v>63</v>
      </c>
      <c r="AU659" t="s">
        <v>63</v>
      </c>
      <c r="AV659" t="s">
        <v>63</v>
      </c>
      <c r="AW659" t="s">
        <v>63</v>
      </c>
      <c r="AX659" t="s">
        <v>63</v>
      </c>
      <c r="AY659" t="s">
        <v>63</v>
      </c>
      <c r="AZ659" t="s">
        <v>63</v>
      </c>
      <c r="BA659" t="s">
        <v>63</v>
      </c>
      <c r="BB659" t="s">
        <v>63</v>
      </c>
      <c r="BC659" t="s">
        <v>63</v>
      </c>
      <c r="BD659" t="s">
        <v>63</v>
      </c>
      <c r="BE659" t="s">
        <v>63</v>
      </c>
      <c r="BF659" t="s">
        <v>63</v>
      </c>
    </row>
    <row r="660" spans="1:58">
      <c r="A660" t="s">
        <v>58</v>
      </c>
      <c r="B660" t="s">
        <v>5923</v>
      </c>
      <c r="C660" t="s">
        <v>5924</v>
      </c>
      <c r="D660" t="s">
        <v>5925</v>
      </c>
      <c r="E660" t="s">
        <v>63</v>
      </c>
      <c r="F660">
        <v>2004</v>
      </c>
      <c r="G660" t="s">
        <v>219</v>
      </c>
      <c r="H660">
        <v>32</v>
      </c>
      <c r="I660">
        <v>2</v>
      </c>
      <c r="J660">
        <v>189</v>
      </c>
      <c r="K660">
        <v>205</v>
      </c>
      <c r="L660" t="s">
        <v>5926</v>
      </c>
      <c r="M660" t="s">
        <v>5927</v>
      </c>
      <c r="N660" t="s">
        <v>5928</v>
      </c>
      <c r="O660" t="s">
        <v>63</v>
      </c>
      <c r="Q660" t="s">
        <v>63</v>
      </c>
      <c r="R660" t="s">
        <v>63</v>
      </c>
      <c r="S660" t="s">
        <v>63</v>
      </c>
      <c r="T660" t="s">
        <v>63</v>
      </c>
      <c r="X660" t="s">
        <v>63</v>
      </c>
      <c r="Y660" t="s">
        <v>5929</v>
      </c>
      <c r="Z660" t="s">
        <v>63</v>
      </c>
      <c r="AA660" t="s">
        <v>5930</v>
      </c>
      <c r="AB660">
        <v>15586850</v>
      </c>
      <c r="AC660" t="s">
        <v>67</v>
      </c>
      <c r="AD660" t="s">
        <v>63</v>
      </c>
      <c r="AE660" t="s">
        <v>63</v>
      </c>
      <c r="AF660" t="s">
        <v>63</v>
      </c>
      <c r="AG660" t="s">
        <v>5931</v>
      </c>
      <c r="AH660" t="s">
        <v>63</v>
      </c>
      <c r="AI660" t="s">
        <v>63</v>
      </c>
      <c r="AJ660" t="s">
        <v>63</v>
      </c>
      <c r="AK660" t="s">
        <v>63</v>
      </c>
      <c r="AL660" t="s">
        <v>63</v>
      </c>
      <c r="AM660" t="s">
        <v>5932</v>
      </c>
      <c r="AN660" t="s">
        <v>63</v>
      </c>
      <c r="AO660" t="s">
        <v>63</v>
      </c>
      <c r="AP660" t="s">
        <v>63</v>
      </c>
      <c r="AQ660" t="s">
        <v>63</v>
      </c>
      <c r="AR660" t="s">
        <v>63</v>
      </c>
      <c r="AS660" t="s">
        <v>63</v>
      </c>
      <c r="AT660" t="s">
        <v>63</v>
      </c>
      <c r="AU660" t="s">
        <v>63</v>
      </c>
      <c r="AV660" t="s">
        <v>63</v>
      </c>
      <c r="AW660" t="s">
        <v>63</v>
      </c>
      <c r="AX660" t="s">
        <v>63</v>
      </c>
      <c r="AY660" t="s">
        <v>63</v>
      </c>
      <c r="AZ660" t="s">
        <v>63</v>
      </c>
      <c r="BA660" t="s">
        <v>63</v>
      </c>
      <c r="BB660" t="s">
        <v>63</v>
      </c>
      <c r="BC660" t="s">
        <v>63</v>
      </c>
      <c r="BD660" t="s">
        <v>63</v>
      </c>
      <c r="BE660" t="s">
        <v>63</v>
      </c>
      <c r="BF660" t="s">
        <v>63</v>
      </c>
    </row>
    <row r="661" spans="1:58">
      <c r="A661" t="s">
        <v>58</v>
      </c>
      <c r="B661" t="s">
        <v>5933</v>
      </c>
      <c r="C661" t="s">
        <v>5934</v>
      </c>
      <c r="D661" t="s">
        <v>2731</v>
      </c>
      <c r="E661" t="s">
        <v>63</v>
      </c>
      <c r="F661">
        <v>2010</v>
      </c>
      <c r="G661" t="s">
        <v>147</v>
      </c>
      <c r="H661">
        <v>6</v>
      </c>
      <c r="I661">
        <v>2</v>
      </c>
      <c r="J661">
        <v>125</v>
      </c>
      <c r="K661">
        <v>132</v>
      </c>
      <c r="L661" t="s">
        <v>5935</v>
      </c>
      <c r="M661" t="s">
        <v>5936</v>
      </c>
      <c r="N661" t="s">
        <v>5937</v>
      </c>
      <c r="O661" t="s">
        <v>63</v>
      </c>
      <c r="Q661" t="s">
        <v>63</v>
      </c>
      <c r="R661" t="s">
        <v>63</v>
      </c>
      <c r="S661" t="s">
        <v>63</v>
      </c>
      <c r="T661" t="s">
        <v>63</v>
      </c>
      <c r="X661" t="s">
        <v>63</v>
      </c>
      <c r="Y661" t="s">
        <v>2735</v>
      </c>
      <c r="Z661" t="s">
        <v>63</v>
      </c>
      <c r="AA661" t="s">
        <v>5938</v>
      </c>
      <c r="AB661">
        <v>20481177</v>
      </c>
      <c r="AC661" t="s">
        <v>67</v>
      </c>
      <c r="AD661" t="s">
        <v>63</v>
      </c>
      <c r="AE661" t="s">
        <v>63</v>
      </c>
      <c r="AF661" t="s">
        <v>63</v>
      </c>
      <c r="AG661" t="s">
        <v>5939</v>
      </c>
      <c r="AH661" t="s">
        <v>63</v>
      </c>
      <c r="AI661" t="s">
        <v>63</v>
      </c>
      <c r="AJ661" t="s">
        <v>63</v>
      </c>
      <c r="AK661" t="s">
        <v>63</v>
      </c>
      <c r="AL661" t="s">
        <v>63</v>
      </c>
      <c r="AM661" t="s">
        <v>5940</v>
      </c>
      <c r="AN661" t="s">
        <v>63</v>
      </c>
      <c r="AO661" t="s">
        <v>63</v>
      </c>
      <c r="AP661" t="s">
        <v>63</v>
      </c>
      <c r="AQ661" t="s">
        <v>63</v>
      </c>
      <c r="AR661" t="s">
        <v>63</v>
      </c>
      <c r="AS661" t="s">
        <v>63</v>
      </c>
      <c r="AT661" t="s">
        <v>63</v>
      </c>
      <c r="AU661" t="s">
        <v>63</v>
      </c>
      <c r="AV661" t="s">
        <v>63</v>
      </c>
      <c r="AW661" t="s">
        <v>63</v>
      </c>
      <c r="AX661" t="s">
        <v>63</v>
      </c>
      <c r="AY661" t="s">
        <v>63</v>
      </c>
      <c r="AZ661" t="s">
        <v>63</v>
      </c>
      <c r="BA661" t="s">
        <v>63</v>
      </c>
      <c r="BB661" t="s">
        <v>63</v>
      </c>
      <c r="BC661" t="s">
        <v>63</v>
      </c>
      <c r="BD661" t="s">
        <v>63</v>
      </c>
      <c r="BE661" t="s">
        <v>63</v>
      </c>
      <c r="BF661" t="s">
        <v>63</v>
      </c>
    </row>
    <row r="662" spans="1:58">
      <c r="A662" t="s">
        <v>58</v>
      </c>
      <c r="B662" t="s">
        <v>5941</v>
      </c>
      <c r="C662" t="s">
        <v>5942</v>
      </c>
      <c r="D662" t="s">
        <v>5943</v>
      </c>
      <c r="E662" t="s">
        <v>63</v>
      </c>
      <c r="F662">
        <v>2007</v>
      </c>
      <c r="G662" t="s">
        <v>198</v>
      </c>
      <c r="H662">
        <v>10</v>
      </c>
      <c r="I662">
        <v>1</v>
      </c>
      <c r="J662">
        <v>20</v>
      </c>
      <c r="K662">
        <v>23</v>
      </c>
      <c r="L662" t="s">
        <v>5944</v>
      </c>
      <c r="M662" t="s">
        <v>5945</v>
      </c>
      <c r="N662" t="s">
        <v>5946</v>
      </c>
      <c r="O662" t="s">
        <v>63</v>
      </c>
      <c r="Q662" t="s">
        <v>63</v>
      </c>
      <c r="R662" t="s">
        <v>63</v>
      </c>
      <c r="S662" t="s">
        <v>63</v>
      </c>
      <c r="T662" t="s">
        <v>63</v>
      </c>
      <c r="X662" t="s">
        <v>63</v>
      </c>
      <c r="Y662" t="s">
        <v>5947</v>
      </c>
      <c r="Z662" t="s">
        <v>63</v>
      </c>
      <c r="AA662" t="s">
        <v>5948</v>
      </c>
      <c r="AB662">
        <v>17198448</v>
      </c>
      <c r="AC662" t="s">
        <v>67</v>
      </c>
      <c r="AD662" t="s">
        <v>63</v>
      </c>
      <c r="AE662" t="s">
        <v>63</v>
      </c>
      <c r="AF662" t="s">
        <v>63</v>
      </c>
      <c r="AG662" t="s">
        <v>5949</v>
      </c>
      <c r="AH662" t="s">
        <v>63</v>
      </c>
      <c r="AI662" t="s">
        <v>63</v>
      </c>
      <c r="AJ662" t="s">
        <v>63</v>
      </c>
      <c r="AK662" t="s">
        <v>63</v>
      </c>
      <c r="AL662" t="s">
        <v>63</v>
      </c>
      <c r="AM662" t="s">
        <v>5950</v>
      </c>
      <c r="AN662" t="s">
        <v>63</v>
      </c>
      <c r="AO662" t="s">
        <v>63</v>
      </c>
      <c r="AP662" t="s">
        <v>63</v>
      </c>
      <c r="AQ662" t="s">
        <v>63</v>
      </c>
      <c r="AR662" t="s">
        <v>63</v>
      </c>
      <c r="AS662" t="s">
        <v>63</v>
      </c>
      <c r="AT662" t="s">
        <v>63</v>
      </c>
      <c r="AU662" t="s">
        <v>63</v>
      </c>
      <c r="AV662" t="s">
        <v>63</v>
      </c>
      <c r="AW662" t="s">
        <v>63</v>
      </c>
      <c r="AX662" t="s">
        <v>63</v>
      </c>
      <c r="AY662" t="s">
        <v>63</v>
      </c>
      <c r="AZ662" t="s">
        <v>63</v>
      </c>
      <c r="BA662" t="s">
        <v>63</v>
      </c>
      <c r="BB662" t="s">
        <v>63</v>
      </c>
      <c r="BC662" t="s">
        <v>63</v>
      </c>
      <c r="BD662" t="s">
        <v>63</v>
      </c>
      <c r="BE662" t="s">
        <v>63</v>
      </c>
      <c r="BF662" t="s">
        <v>63</v>
      </c>
    </row>
    <row r="663" spans="1:58">
      <c r="A663" t="s">
        <v>58</v>
      </c>
      <c r="B663" t="s">
        <v>5951</v>
      </c>
      <c r="C663" t="s">
        <v>5952</v>
      </c>
      <c r="D663" t="s">
        <v>5953</v>
      </c>
      <c r="E663" t="s">
        <v>63</v>
      </c>
      <c r="F663">
        <v>2014</v>
      </c>
      <c r="G663" t="s">
        <v>274</v>
      </c>
      <c r="H663">
        <v>37</v>
      </c>
      <c r="I663">
        <v>2</v>
      </c>
      <c r="J663">
        <v>284</v>
      </c>
      <c r="K663">
        <v>293</v>
      </c>
      <c r="L663" t="s">
        <v>5954</v>
      </c>
      <c r="M663" t="s">
        <v>5955</v>
      </c>
      <c r="N663" t="s">
        <v>5956</v>
      </c>
      <c r="O663" t="s">
        <v>63</v>
      </c>
      <c r="Q663" t="s">
        <v>63</v>
      </c>
      <c r="R663" t="s">
        <v>63</v>
      </c>
      <c r="S663" t="s">
        <v>63</v>
      </c>
      <c r="T663" t="s">
        <v>63</v>
      </c>
      <c r="X663" t="s">
        <v>63</v>
      </c>
      <c r="Y663" t="s">
        <v>5957</v>
      </c>
      <c r="Z663" t="s">
        <v>63</v>
      </c>
      <c r="AA663" t="s">
        <v>5958</v>
      </c>
      <c r="AB663">
        <v>24486635</v>
      </c>
      <c r="AC663" t="s">
        <v>67</v>
      </c>
      <c r="AD663" t="s">
        <v>63</v>
      </c>
      <c r="AE663" t="s">
        <v>63</v>
      </c>
      <c r="AF663" t="s">
        <v>63</v>
      </c>
      <c r="AG663" t="s">
        <v>5959</v>
      </c>
      <c r="AH663" t="s">
        <v>63</v>
      </c>
      <c r="AI663" t="s">
        <v>5960</v>
      </c>
      <c r="AJ663" t="s">
        <v>63</v>
      </c>
      <c r="AK663" t="s">
        <v>63</v>
      </c>
      <c r="AL663" t="s">
        <v>63</v>
      </c>
      <c r="AM663" t="s">
        <v>5961</v>
      </c>
      <c r="AN663" t="s">
        <v>63</v>
      </c>
      <c r="AO663" t="s">
        <v>63</v>
      </c>
      <c r="AP663" t="s">
        <v>63</v>
      </c>
      <c r="AQ663" t="s">
        <v>63</v>
      </c>
      <c r="AR663" t="s">
        <v>63</v>
      </c>
      <c r="AS663" t="s">
        <v>63</v>
      </c>
      <c r="AT663" t="s">
        <v>63</v>
      </c>
      <c r="AU663" t="s">
        <v>63</v>
      </c>
      <c r="AV663" t="s">
        <v>63</v>
      </c>
      <c r="AW663" t="s">
        <v>63</v>
      </c>
      <c r="AX663" t="s">
        <v>63</v>
      </c>
      <c r="AY663" t="s">
        <v>63</v>
      </c>
      <c r="AZ663" t="s">
        <v>63</v>
      </c>
      <c r="BA663" t="s">
        <v>63</v>
      </c>
      <c r="BB663" t="s">
        <v>63</v>
      </c>
      <c r="BC663" t="s">
        <v>63</v>
      </c>
      <c r="BD663" t="s">
        <v>63</v>
      </c>
      <c r="BE663" t="s">
        <v>63</v>
      </c>
      <c r="BF663" t="s">
        <v>63</v>
      </c>
    </row>
    <row r="664" spans="1:58">
      <c r="A664" t="s">
        <v>58</v>
      </c>
      <c r="B664" t="s">
        <v>5962</v>
      </c>
      <c r="C664" t="s">
        <v>5963</v>
      </c>
      <c r="D664" t="s">
        <v>4567</v>
      </c>
      <c r="E664" t="s">
        <v>4568</v>
      </c>
      <c r="F664">
        <v>2015</v>
      </c>
      <c r="G664" t="s">
        <v>274</v>
      </c>
      <c r="H664">
        <v>72</v>
      </c>
      <c r="I664" t="s">
        <v>63</v>
      </c>
      <c r="J664">
        <v>56</v>
      </c>
      <c r="K664">
        <v>63</v>
      </c>
      <c r="L664" t="s">
        <v>5964</v>
      </c>
      <c r="M664" t="s">
        <v>5965</v>
      </c>
      <c r="N664" t="s">
        <v>5966</v>
      </c>
      <c r="O664" t="s">
        <v>63</v>
      </c>
      <c r="Q664" t="s">
        <v>63</v>
      </c>
      <c r="R664" t="s">
        <v>63</v>
      </c>
      <c r="S664" t="s">
        <v>63</v>
      </c>
      <c r="T664" t="s">
        <v>63</v>
      </c>
      <c r="X664" t="s">
        <v>63</v>
      </c>
      <c r="Y664" t="s">
        <v>4572</v>
      </c>
      <c r="Z664" t="s">
        <v>63</v>
      </c>
      <c r="AA664" t="s">
        <v>5967</v>
      </c>
      <c r="AB664">
        <v>25572623</v>
      </c>
      <c r="AC664" t="s">
        <v>67</v>
      </c>
      <c r="AD664" t="s">
        <v>63</v>
      </c>
      <c r="AE664" t="s">
        <v>63</v>
      </c>
      <c r="AF664" t="s">
        <v>63</v>
      </c>
      <c r="AG664" t="s">
        <v>5968</v>
      </c>
      <c r="AH664" t="s">
        <v>63</v>
      </c>
      <c r="AI664" t="s">
        <v>5969</v>
      </c>
      <c r="AJ664" t="s">
        <v>63</v>
      </c>
      <c r="AK664" t="s">
        <v>63</v>
      </c>
      <c r="AL664" t="s">
        <v>63</v>
      </c>
      <c r="AM664" t="s">
        <v>5970</v>
      </c>
      <c r="AN664" t="s">
        <v>63</v>
      </c>
      <c r="AO664" t="s">
        <v>63</v>
      </c>
      <c r="AP664" t="s">
        <v>63</v>
      </c>
      <c r="AQ664" t="s">
        <v>63</v>
      </c>
      <c r="AR664" t="s">
        <v>63</v>
      </c>
      <c r="AS664" t="s">
        <v>63</v>
      </c>
      <c r="AT664" t="s">
        <v>63</v>
      </c>
      <c r="AU664" t="s">
        <v>63</v>
      </c>
      <c r="AV664" t="s">
        <v>63</v>
      </c>
      <c r="AW664" t="s">
        <v>63</v>
      </c>
      <c r="AX664" t="s">
        <v>63</v>
      </c>
      <c r="AY664" t="s">
        <v>63</v>
      </c>
      <c r="AZ664" t="s">
        <v>63</v>
      </c>
      <c r="BA664" t="s">
        <v>63</v>
      </c>
      <c r="BB664" t="s">
        <v>63</v>
      </c>
      <c r="BC664" t="s">
        <v>63</v>
      </c>
      <c r="BD664" t="s">
        <v>63</v>
      </c>
      <c r="BE664" t="s">
        <v>63</v>
      </c>
      <c r="BF664" t="s">
        <v>63</v>
      </c>
    </row>
    <row r="665" spans="1:58">
      <c r="A665" t="s">
        <v>58</v>
      </c>
      <c r="B665" t="s">
        <v>5971</v>
      </c>
      <c r="C665" t="s">
        <v>5972</v>
      </c>
      <c r="D665" t="s">
        <v>5973</v>
      </c>
      <c r="E665" t="s">
        <v>5974</v>
      </c>
      <c r="F665">
        <v>1988</v>
      </c>
      <c r="G665" t="s">
        <v>138</v>
      </c>
      <c r="H665">
        <v>45</v>
      </c>
      <c r="I665">
        <v>10</v>
      </c>
      <c r="J665">
        <v>2099</v>
      </c>
      <c r="K665">
        <v>2101</v>
      </c>
      <c r="L665" t="s">
        <v>5975</v>
      </c>
      <c r="M665" t="s">
        <v>5976</v>
      </c>
      <c r="N665" t="s">
        <v>5977</v>
      </c>
      <c r="O665" t="s">
        <v>63</v>
      </c>
      <c r="Q665" t="s">
        <v>63</v>
      </c>
      <c r="R665" t="s">
        <v>63</v>
      </c>
      <c r="S665" t="s">
        <v>63</v>
      </c>
      <c r="T665" t="s">
        <v>63</v>
      </c>
      <c r="X665" t="s">
        <v>63</v>
      </c>
      <c r="Y665" s="2">
        <v>2697349</v>
      </c>
      <c r="Z665" t="s">
        <v>63</v>
      </c>
      <c r="AA665" t="s">
        <v>5978</v>
      </c>
      <c r="AB665">
        <v>3228081</v>
      </c>
      <c r="AC665" t="s">
        <v>67</v>
      </c>
      <c r="AD665" t="s">
        <v>63</v>
      </c>
      <c r="AE665" t="s">
        <v>63</v>
      </c>
      <c r="AF665" t="s">
        <v>63</v>
      </c>
      <c r="AG665" t="s">
        <v>5979</v>
      </c>
      <c r="AH665" t="s">
        <v>63</v>
      </c>
      <c r="AI665" t="s">
        <v>63</v>
      </c>
      <c r="AJ665" t="s">
        <v>63</v>
      </c>
      <c r="AK665" t="s">
        <v>63</v>
      </c>
      <c r="AL665" t="s">
        <v>63</v>
      </c>
      <c r="AM665" t="s">
        <v>5980</v>
      </c>
      <c r="AN665" t="s">
        <v>63</v>
      </c>
      <c r="AO665" t="s">
        <v>63</v>
      </c>
      <c r="AP665" t="s">
        <v>63</v>
      </c>
      <c r="AQ665" t="s">
        <v>63</v>
      </c>
      <c r="AR665" t="s">
        <v>63</v>
      </c>
      <c r="AS665" t="s">
        <v>63</v>
      </c>
      <c r="AT665" t="s">
        <v>63</v>
      </c>
      <c r="AU665" t="s">
        <v>63</v>
      </c>
      <c r="AV665" t="s">
        <v>63</v>
      </c>
      <c r="AW665" t="s">
        <v>63</v>
      </c>
      <c r="AX665" t="s">
        <v>63</v>
      </c>
      <c r="AY665" t="s">
        <v>63</v>
      </c>
      <c r="AZ665" t="s">
        <v>63</v>
      </c>
      <c r="BA665" t="s">
        <v>63</v>
      </c>
      <c r="BB665" t="s">
        <v>63</v>
      </c>
      <c r="BC665" t="s">
        <v>63</v>
      </c>
      <c r="BD665" t="s">
        <v>63</v>
      </c>
      <c r="BE665" t="s">
        <v>63</v>
      </c>
      <c r="BF665" t="s">
        <v>63</v>
      </c>
    </row>
    <row r="666" spans="1:58">
      <c r="A666" t="s">
        <v>58</v>
      </c>
      <c r="B666" t="s">
        <v>5981</v>
      </c>
      <c r="C666" t="s">
        <v>5982</v>
      </c>
      <c r="D666" t="s">
        <v>1293</v>
      </c>
      <c r="E666" t="s">
        <v>1294</v>
      </c>
      <c r="F666">
        <v>1994</v>
      </c>
      <c r="G666" t="s">
        <v>908</v>
      </c>
      <c r="H666">
        <v>26</v>
      </c>
      <c r="I666">
        <v>7</v>
      </c>
      <c r="J666">
        <v>447</v>
      </c>
      <c r="K666">
        <v>451</v>
      </c>
      <c r="L666" t="s">
        <v>5983</v>
      </c>
      <c r="M666" t="s">
        <v>5984</v>
      </c>
      <c r="N666" t="s">
        <v>5985</v>
      </c>
      <c r="O666" t="s">
        <v>63</v>
      </c>
      <c r="Q666" t="s">
        <v>63</v>
      </c>
      <c r="R666" t="s">
        <v>63</v>
      </c>
      <c r="S666" t="s">
        <v>63</v>
      </c>
      <c r="T666" t="s">
        <v>63</v>
      </c>
      <c r="X666" t="s">
        <v>63</v>
      </c>
      <c r="Y666" t="s">
        <v>1297</v>
      </c>
      <c r="Z666" t="s">
        <v>63</v>
      </c>
      <c r="AA666" t="s">
        <v>5986</v>
      </c>
      <c r="AB666">
        <v>7926362</v>
      </c>
      <c r="AC666" t="s">
        <v>67</v>
      </c>
      <c r="AD666" t="s">
        <v>63</v>
      </c>
      <c r="AE666" t="s">
        <v>63</v>
      </c>
      <c r="AF666" t="s">
        <v>63</v>
      </c>
      <c r="AG666" t="s">
        <v>5987</v>
      </c>
      <c r="AH666" t="s">
        <v>63</v>
      </c>
      <c r="AI666" t="s">
        <v>63</v>
      </c>
      <c r="AJ666" t="s">
        <v>63</v>
      </c>
      <c r="AK666" t="s">
        <v>63</v>
      </c>
      <c r="AL666" t="s">
        <v>63</v>
      </c>
      <c r="AM666" t="s">
        <v>5988</v>
      </c>
      <c r="AN666" t="s">
        <v>63</v>
      </c>
      <c r="AO666" t="s">
        <v>63</v>
      </c>
      <c r="AP666" t="s">
        <v>63</v>
      </c>
      <c r="AQ666" t="s">
        <v>63</v>
      </c>
      <c r="AR666" t="s">
        <v>63</v>
      </c>
      <c r="AS666" t="s">
        <v>63</v>
      </c>
      <c r="AT666" t="s">
        <v>63</v>
      </c>
      <c r="AU666" t="s">
        <v>63</v>
      </c>
      <c r="AV666" t="s">
        <v>63</v>
      </c>
      <c r="AW666" t="s">
        <v>63</v>
      </c>
      <c r="AX666" t="s">
        <v>63</v>
      </c>
      <c r="AY666" t="s">
        <v>63</v>
      </c>
      <c r="AZ666" t="s">
        <v>63</v>
      </c>
      <c r="BA666" t="s">
        <v>63</v>
      </c>
      <c r="BB666" t="s">
        <v>63</v>
      </c>
      <c r="BC666" t="s">
        <v>63</v>
      </c>
      <c r="BD666" t="s">
        <v>63</v>
      </c>
      <c r="BE666" t="s">
        <v>63</v>
      </c>
      <c r="BF666" t="s">
        <v>63</v>
      </c>
    </row>
    <row r="667" spans="1:58">
      <c r="A667" t="s">
        <v>58</v>
      </c>
      <c r="B667" t="s">
        <v>5989</v>
      </c>
      <c r="C667" t="s">
        <v>5990</v>
      </c>
      <c r="D667" t="s">
        <v>5991</v>
      </c>
      <c r="E667" t="s">
        <v>5992</v>
      </c>
      <c r="F667">
        <v>2004</v>
      </c>
      <c r="G667" t="s">
        <v>623</v>
      </c>
      <c r="H667">
        <v>119</v>
      </c>
      <c r="I667">
        <v>1</v>
      </c>
      <c r="J667">
        <v>32</v>
      </c>
      <c r="K667">
        <v>39</v>
      </c>
      <c r="L667" t="s">
        <v>5993</v>
      </c>
      <c r="M667" t="s">
        <v>5994</v>
      </c>
      <c r="N667" t="s">
        <v>5995</v>
      </c>
      <c r="O667" t="s">
        <v>63</v>
      </c>
      <c r="Q667" t="s">
        <v>63</v>
      </c>
      <c r="R667" t="s">
        <v>63</v>
      </c>
      <c r="S667" t="s">
        <v>63</v>
      </c>
      <c r="T667" t="s">
        <v>63</v>
      </c>
      <c r="X667" t="s">
        <v>63</v>
      </c>
      <c r="Y667" t="s">
        <v>5996</v>
      </c>
      <c r="Z667" t="s">
        <v>63</v>
      </c>
      <c r="AA667" t="s">
        <v>5997</v>
      </c>
      <c r="AB667">
        <v>15147647</v>
      </c>
      <c r="AC667" t="s">
        <v>67</v>
      </c>
      <c r="AD667" t="s">
        <v>63</v>
      </c>
      <c r="AE667" t="s">
        <v>63</v>
      </c>
      <c r="AF667" t="s">
        <v>63</v>
      </c>
      <c r="AG667" t="s">
        <v>5998</v>
      </c>
      <c r="AH667" t="s">
        <v>63</v>
      </c>
      <c r="AI667" t="s">
        <v>63</v>
      </c>
      <c r="AJ667" t="s">
        <v>63</v>
      </c>
      <c r="AK667" t="s">
        <v>63</v>
      </c>
      <c r="AL667" t="s">
        <v>63</v>
      </c>
      <c r="AM667" t="s">
        <v>5999</v>
      </c>
      <c r="AN667" t="s">
        <v>63</v>
      </c>
      <c r="AO667" t="s">
        <v>63</v>
      </c>
      <c r="AP667" t="s">
        <v>63</v>
      </c>
      <c r="AQ667" t="s">
        <v>63</v>
      </c>
      <c r="AR667" t="s">
        <v>63</v>
      </c>
      <c r="AS667" t="s">
        <v>63</v>
      </c>
      <c r="AT667" t="s">
        <v>63</v>
      </c>
      <c r="AU667" t="s">
        <v>63</v>
      </c>
      <c r="AV667" t="s">
        <v>63</v>
      </c>
      <c r="AW667" t="s">
        <v>63</v>
      </c>
      <c r="AX667" t="s">
        <v>63</v>
      </c>
      <c r="AY667" t="s">
        <v>63</v>
      </c>
      <c r="AZ667" t="s">
        <v>63</v>
      </c>
      <c r="BA667" t="s">
        <v>63</v>
      </c>
      <c r="BB667" t="s">
        <v>63</v>
      </c>
      <c r="BC667" t="s">
        <v>63</v>
      </c>
      <c r="BD667" t="s">
        <v>63</v>
      </c>
      <c r="BE667" t="s">
        <v>63</v>
      </c>
      <c r="BF667" t="s">
        <v>63</v>
      </c>
    </row>
    <row r="668" spans="1:58">
      <c r="A668" t="s">
        <v>58</v>
      </c>
      <c r="B668" t="s">
        <v>6000</v>
      </c>
      <c r="C668" t="s">
        <v>6001</v>
      </c>
      <c r="D668" t="s">
        <v>1184</v>
      </c>
      <c r="E668" t="s">
        <v>1185</v>
      </c>
      <c r="F668">
        <v>1985</v>
      </c>
      <c r="G668" t="s">
        <v>181</v>
      </c>
      <c r="H668">
        <v>60</v>
      </c>
      <c r="I668">
        <v>9</v>
      </c>
      <c r="J668">
        <v>707</v>
      </c>
      <c r="K668">
        <v>711</v>
      </c>
      <c r="L668" t="s">
        <v>6002</v>
      </c>
      <c r="M668" t="s">
        <v>6003</v>
      </c>
      <c r="N668" t="s">
        <v>6004</v>
      </c>
      <c r="O668" t="s">
        <v>63</v>
      </c>
      <c r="Q668" t="s">
        <v>63</v>
      </c>
      <c r="R668" t="s">
        <v>63</v>
      </c>
      <c r="S668" t="s">
        <v>63</v>
      </c>
      <c r="T668" t="s">
        <v>63</v>
      </c>
      <c r="X668" t="s">
        <v>63</v>
      </c>
      <c r="Y668" t="s">
        <v>1188</v>
      </c>
      <c r="Z668" t="s">
        <v>63</v>
      </c>
      <c r="AA668" t="s">
        <v>63</v>
      </c>
      <c r="AB668">
        <v>4032445</v>
      </c>
      <c r="AC668" t="s">
        <v>67</v>
      </c>
      <c r="AD668" t="s">
        <v>63</v>
      </c>
      <c r="AE668" t="s">
        <v>63</v>
      </c>
      <c r="AF668" t="s">
        <v>63</v>
      </c>
      <c r="AG668" t="s">
        <v>6005</v>
      </c>
      <c r="AH668" t="s">
        <v>63</v>
      </c>
      <c r="AI668" t="s">
        <v>63</v>
      </c>
      <c r="AJ668" t="s">
        <v>63</v>
      </c>
      <c r="AK668" t="s">
        <v>63</v>
      </c>
      <c r="AL668" t="s">
        <v>63</v>
      </c>
      <c r="AM668" t="s">
        <v>6006</v>
      </c>
      <c r="AN668" t="s">
        <v>63</v>
      </c>
      <c r="AO668" t="s">
        <v>63</v>
      </c>
      <c r="AP668" t="s">
        <v>63</v>
      </c>
      <c r="AQ668" t="s">
        <v>63</v>
      </c>
      <c r="AR668" t="s">
        <v>63</v>
      </c>
      <c r="AS668" t="s">
        <v>63</v>
      </c>
      <c r="AT668" t="s">
        <v>63</v>
      </c>
      <c r="AU668" t="s">
        <v>63</v>
      </c>
      <c r="AV668" t="s">
        <v>63</v>
      </c>
      <c r="AW668" t="s">
        <v>63</v>
      </c>
      <c r="AX668" t="s">
        <v>63</v>
      </c>
      <c r="AY668" t="s">
        <v>63</v>
      </c>
      <c r="AZ668" t="s">
        <v>63</v>
      </c>
      <c r="BA668" t="s">
        <v>63</v>
      </c>
      <c r="BB668" t="s">
        <v>63</v>
      </c>
      <c r="BC668" t="s">
        <v>63</v>
      </c>
      <c r="BD668" t="s">
        <v>63</v>
      </c>
      <c r="BE668" t="s">
        <v>63</v>
      </c>
      <c r="BF668" t="s">
        <v>63</v>
      </c>
    </row>
    <row r="669" spans="1:58">
      <c r="A669" t="s">
        <v>58</v>
      </c>
      <c r="B669" t="s">
        <v>6007</v>
      </c>
      <c r="C669" t="s">
        <v>6008</v>
      </c>
      <c r="D669" t="s">
        <v>6009</v>
      </c>
      <c r="E669" t="s">
        <v>6010</v>
      </c>
      <c r="F669">
        <v>2008</v>
      </c>
      <c r="G669" t="s">
        <v>908</v>
      </c>
      <c r="H669" t="s">
        <v>6011</v>
      </c>
      <c r="I669" t="s">
        <v>63</v>
      </c>
      <c r="J669">
        <v>621</v>
      </c>
      <c r="K669">
        <v>626</v>
      </c>
      <c r="L669" t="s">
        <v>6012</v>
      </c>
      <c r="M669" t="s">
        <v>6013</v>
      </c>
      <c r="N669" t="s">
        <v>6014</v>
      </c>
      <c r="O669" t="s">
        <v>63</v>
      </c>
      <c r="Q669" t="s">
        <v>63</v>
      </c>
      <c r="R669" t="s">
        <v>63</v>
      </c>
      <c r="S669" t="s">
        <v>63</v>
      </c>
      <c r="T669" t="s">
        <v>63</v>
      </c>
      <c r="X669" t="s">
        <v>63</v>
      </c>
      <c r="Y669" t="s">
        <v>6015</v>
      </c>
      <c r="Z669" t="s">
        <v>63</v>
      </c>
      <c r="AA669" t="s">
        <v>6016</v>
      </c>
      <c r="AB669">
        <v>18709285</v>
      </c>
      <c r="AC669" t="s">
        <v>67</v>
      </c>
      <c r="AD669" t="s">
        <v>63</v>
      </c>
      <c r="AE669" t="s">
        <v>63</v>
      </c>
      <c r="AF669" t="s">
        <v>63</v>
      </c>
      <c r="AG669" t="s">
        <v>6017</v>
      </c>
      <c r="AH669" t="s">
        <v>63</v>
      </c>
      <c r="AI669" t="s">
        <v>63</v>
      </c>
      <c r="AJ669" t="s">
        <v>63</v>
      </c>
      <c r="AK669" t="s">
        <v>63</v>
      </c>
      <c r="AL669" t="s">
        <v>63</v>
      </c>
      <c r="AM669" t="s">
        <v>6018</v>
      </c>
      <c r="AN669" t="s">
        <v>63</v>
      </c>
      <c r="AO669" t="s">
        <v>63</v>
      </c>
      <c r="AP669" t="s">
        <v>63</v>
      </c>
      <c r="AQ669" t="s">
        <v>63</v>
      </c>
      <c r="AR669" t="s">
        <v>63</v>
      </c>
      <c r="AS669" t="s">
        <v>63</v>
      </c>
      <c r="AT669" t="s">
        <v>63</v>
      </c>
      <c r="AU669" t="s">
        <v>63</v>
      </c>
      <c r="AV669" t="s">
        <v>63</v>
      </c>
      <c r="AW669" t="s">
        <v>63</v>
      </c>
      <c r="AX669" t="s">
        <v>63</v>
      </c>
      <c r="AY669" t="s">
        <v>63</v>
      </c>
      <c r="AZ669" t="s">
        <v>63</v>
      </c>
      <c r="BA669" t="s">
        <v>63</v>
      </c>
      <c r="BB669" t="s">
        <v>63</v>
      </c>
      <c r="BC669" t="s">
        <v>63</v>
      </c>
      <c r="BD669" t="s">
        <v>63</v>
      </c>
      <c r="BE669" t="s">
        <v>63</v>
      </c>
      <c r="BF669" t="s">
        <v>63</v>
      </c>
    </row>
    <row r="670" spans="1:58">
      <c r="A670" t="s">
        <v>58</v>
      </c>
      <c r="B670" t="s">
        <v>6019</v>
      </c>
      <c r="C670" t="s">
        <v>6020</v>
      </c>
      <c r="D670" t="s">
        <v>349</v>
      </c>
      <c r="E670" t="s">
        <v>350</v>
      </c>
      <c r="F670">
        <v>2000</v>
      </c>
      <c r="G670" t="s">
        <v>189</v>
      </c>
      <c r="H670">
        <v>18</v>
      </c>
      <c r="I670">
        <v>4</v>
      </c>
      <c r="J670">
        <v>300</v>
      </c>
      <c r="K670">
        <v>304</v>
      </c>
      <c r="L670" t="s">
        <v>6021</v>
      </c>
      <c r="M670" t="s">
        <v>6022</v>
      </c>
      <c r="N670" t="s">
        <v>6023</v>
      </c>
      <c r="O670" t="s">
        <v>63</v>
      </c>
      <c r="Q670" t="s">
        <v>63</v>
      </c>
      <c r="R670" t="s">
        <v>63</v>
      </c>
      <c r="S670" t="s">
        <v>63</v>
      </c>
      <c r="T670" t="s">
        <v>63</v>
      </c>
      <c r="X670" t="s">
        <v>63</v>
      </c>
      <c r="Y670" t="s">
        <v>354</v>
      </c>
      <c r="Z670" t="s">
        <v>63</v>
      </c>
      <c r="AA670" t="s">
        <v>6024</v>
      </c>
      <c r="AB670">
        <v>10788732</v>
      </c>
      <c r="AC670" t="s">
        <v>67</v>
      </c>
      <c r="AD670" t="s">
        <v>63</v>
      </c>
      <c r="AE670" t="s">
        <v>63</v>
      </c>
      <c r="AF670" t="s">
        <v>63</v>
      </c>
      <c r="AG670" t="s">
        <v>6025</v>
      </c>
      <c r="AH670" t="s">
        <v>63</v>
      </c>
      <c r="AI670" t="s">
        <v>63</v>
      </c>
      <c r="AJ670" t="s">
        <v>63</v>
      </c>
      <c r="AK670" t="s">
        <v>63</v>
      </c>
      <c r="AL670" t="s">
        <v>63</v>
      </c>
      <c r="AM670" t="s">
        <v>6026</v>
      </c>
      <c r="AN670" t="s">
        <v>63</v>
      </c>
      <c r="AO670" t="s">
        <v>63</v>
      </c>
      <c r="AP670" t="s">
        <v>63</v>
      </c>
      <c r="AQ670" t="s">
        <v>63</v>
      </c>
      <c r="AR670" t="s">
        <v>63</v>
      </c>
      <c r="AS670" t="s">
        <v>63</v>
      </c>
      <c r="AT670" t="s">
        <v>63</v>
      </c>
      <c r="AU670" t="s">
        <v>63</v>
      </c>
      <c r="AV670" t="s">
        <v>63</v>
      </c>
      <c r="AW670" t="s">
        <v>63</v>
      </c>
      <c r="AX670" t="s">
        <v>63</v>
      </c>
      <c r="AY670" t="s">
        <v>63</v>
      </c>
      <c r="AZ670" t="s">
        <v>63</v>
      </c>
      <c r="BA670" t="s">
        <v>63</v>
      </c>
      <c r="BB670" t="s">
        <v>63</v>
      </c>
      <c r="BC670" t="s">
        <v>63</v>
      </c>
      <c r="BD670" t="s">
        <v>63</v>
      </c>
      <c r="BE670" t="s">
        <v>63</v>
      </c>
      <c r="BF670" t="s">
        <v>63</v>
      </c>
    </row>
    <row r="671" spans="1:58">
      <c r="A671" t="s">
        <v>58</v>
      </c>
      <c r="B671" t="s">
        <v>6027</v>
      </c>
      <c r="C671" t="s">
        <v>6028</v>
      </c>
      <c r="D671" t="s">
        <v>5436</v>
      </c>
      <c r="E671" t="s">
        <v>63</v>
      </c>
      <c r="F671">
        <v>2012</v>
      </c>
      <c r="G671" t="s">
        <v>198</v>
      </c>
      <c r="H671">
        <v>86</v>
      </c>
      <c r="I671">
        <v>1</v>
      </c>
      <c r="J671">
        <v>49</v>
      </c>
      <c r="K671">
        <v>56</v>
      </c>
      <c r="L671" t="s">
        <v>6029</v>
      </c>
      <c r="M671" t="s">
        <v>6030</v>
      </c>
      <c r="N671" t="s">
        <v>6031</v>
      </c>
      <c r="O671" t="s">
        <v>63</v>
      </c>
      <c r="Q671" t="s">
        <v>63</v>
      </c>
      <c r="R671" t="s">
        <v>63</v>
      </c>
      <c r="S671" t="s">
        <v>63</v>
      </c>
      <c r="T671" t="s">
        <v>63</v>
      </c>
      <c r="X671" t="s">
        <v>63</v>
      </c>
      <c r="Y671" t="s">
        <v>5439</v>
      </c>
      <c r="Z671" t="s">
        <v>63</v>
      </c>
      <c r="AA671" t="s">
        <v>6032</v>
      </c>
      <c r="AB671">
        <v>21612884</v>
      </c>
      <c r="AC671" t="s">
        <v>67</v>
      </c>
      <c r="AD671" t="s">
        <v>63</v>
      </c>
      <c r="AE671" t="s">
        <v>63</v>
      </c>
      <c r="AF671" t="s">
        <v>63</v>
      </c>
      <c r="AG671" t="s">
        <v>6033</v>
      </c>
      <c r="AH671" t="s">
        <v>63</v>
      </c>
      <c r="AI671" t="s">
        <v>6034</v>
      </c>
      <c r="AJ671" t="s">
        <v>63</v>
      </c>
      <c r="AK671" t="s">
        <v>63</v>
      </c>
      <c r="AL671" t="s">
        <v>63</v>
      </c>
      <c r="AM671" t="s">
        <v>6035</v>
      </c>
      <c r="AN671" t="s">
        <v>63</v>
      </c>
      <c r="AO671" t="s">
        <v>63</v>
      </c>
      <c r="AP671" t="s">
        <v>63</v>
      </c>
      <c r="AQ671" t="s">
        <v>63</v>
      </c>
      <c r="AR671" t="s">
        <v>63</v>
      </c>
      <c r="AS671" t="s">
        <v>63</v>
      </c>
      <c r="AT671" t="s">
        <v>63</v>
      </c>
      <c r="AU671" t="s">
        <v>63</v>
      </c>
      <c r="AV671" t="s">
        <v>63</v>
      </c>
      <c r="AW671" t="s">
        <v>63</v>
      </c>
      <c r="AX671" t="s">
        <v>63</v>
      </c>
      <c r="AY671" t="s">
        <v>63</v>
      </c>
      <c r="AZ671" t="s">
        <v>63</v>
      </c>
      <c r="BA671" t="s">
        <v>63</v>
      </c>
      <c r="BB671" t="s">
        <v>63</v>
      </c>
      <c r="BC671" t="s">
        <v>63</v>
      </c>
      <c r="BD671" t="s">
        <v>63</v>
      </c>
      <c r="BE671" t="s">
        <v>63</v>
      </c>
      <c r="BF671" t="s">
        <v>63</v>
      </c>
    </row>
    <row r="672" spans="1:58">
      <c r="A672" t="s">
        <v>58</v>
      </c>
      <c r="B672" t="s">
        <v>6036</v>
      </c>
      <c r="C672" t="s">
        <v>6037</v>
      </c>
      <c r="D672" t="s">
        <v>6009</v>
      </c>
      <c r="E672" t="s">
        <v>6010</v>
      </c>
      <c r="F672">
        <v>2008</v>
      </c>
      <c r="G672" t="s">
        <v>908</v>
      </c>
      <c r="H672" t="s">
        <v>6011</v>
      </c>
      <c r="I672" t="s">
        <v>63</v>
      </c>
      <c r="J672">
        <v>572</v>
      </c>
      <c r="K672">
        <v>576</v>
      </c>
      <c r="L672" t="s">
        <v>6038</v>
      </c>
      <c r="M672" t="s">
        <v>6039</v>
      </c>
      <c r="N672" t="s">
        <v>6040</v>
      </c>
      <c r="O672" t="s">
        <v>63</v>
      </c>
      <c r="Q672" t="s">
        <v>63</v>
      </c>
      <c r="R672" t="s">
        <v>63</v>
      </c>
      <c r="S672" t="s">
        <v>63</v>
      </c>
      <c r="T672" t="s">
        <v>63</v>
      </c>
      <c r="X672" t="s">
        <v>63</v>
      </c>
      <c r="Y672" t="s">
        <v>6015</v>
      </c>
      <c r="Z672" t="s">
        <v>63</v>
      </c>
      <c r="AA672" t="s">
        <v>6041</v>
      </c>
      <c r="AB672">
        <v>18709277</v>
      </c>
      <c r="AC672" t="s">
        <v>67</v>
      </c>
      <c r="AD672" t="s">
        <v>63</v>
      </c>
      <c r="AE672" t="s">
        <v>63</v>
      </c>
      <c r="AF672" t="s">
        <v>63</v>
      </c>
      <c r="AG672" t="s">
        <v>6042</v>
      </c>
      <c r="AH672" t="s">
        <v>63</v>
      </c>
      <c r="AI672" t="s">
        <v>63</v>
      </c>
      <c r="AJ672" t="s">
        <v>63</v>
      </c>
      <c r="AK672" t="s">
        <v>63</v>
      </c>
      <c r="AL672" t="s">
        <v>63</v>
      </c>
      <c r="AM672" t="s">
        <v>6043</v>
      </c>
      <c r="AN672" t="s">
        <v>63</v>
      </c>
      <c r="AO672" t="s">
        <v>63</v>
      </c>
      <c r="AP672" t="s">
        <v>63</v>
      </c>
      <c r="AQ672" t="s">
        <v>63</v>
      </c>
      <c r="AR672" t="s">
        <v>63</v>
      </c>
      <c r="AS672" t="s">
        <v>63</v>
      </c>
      <c r="AT672" t="s">
        <v>63</v>
      </c>
      <c r="AU672" t="s">
        <v>63</v>
      </c>
      <c r="AV672" t="s">
        <v>63</v>
      </c>
      <c r="AW672" t="s">
        <v>63</v>
      </c>
      <c r="AX672" t="s">
        <v>63</v>
      </c>
      <c r="AY672" t="s">
        <v>63</v>
      </c>
      <c r="AZ672" t="s">
        <v>63</v>
      </c>
      <c r="BA672" t="s">
        <v>63</v>
      </c>
      <c r="BB672" t="s">
        <v>63</v>
      </c>
      <c r="BC672" t="s">
        <v>63</v>
      </c>
      <c r="BD672" t="s">
        <v>63</v>
      </c>
      <c r="BE672" t="s">
        <v>63</v>
      </c>
      <c r="BF672" t="s">
        <v>63</v>
      </c>
    </row>
    <row r="673" spans="1:58">
      <c r="A673" t="s">
        <v>58</v>
      </c>
      <c r="B673" t="s">
        <v>6044</v>
      </c>
      <c r="C673" t="s">
        <v>6045</v>
      </c>
      <c r="D673" t="s">
        <v>1393</v>
      </c>
      <c r="E673" t="s">
        <v>1394</v>
      </c>
      <c r="F673">
        <v>2016</v>
      </c>
      <c r="G673">
        <v>12</v>
      </c>
      <c r="H673">
        <v>18</v>
      </c>
      <c r="I673">
        <v>12</v>
      </c>
      <c r="J673">
        <v>2209</v>
      </c>
      <c r="K673">
        <v>2215</v>
      </c>
      <c r="L673" t="s">
        <v>6046</v>
      </c>
      <c r="M673" t="s">
        <v>6047</v>
      </c>
      <c r="N673" t="s">
        <v>6048</v>
      </c>
      <c r="O673" t="s">
        <v>63</v>
      </c>
      <c r="Q673" t="s">
        <v>63</v>
      </c>
      <c r="R673" t="s">
        <v>63</v>
      </c>
      <c r="S673" t="s">
        <v>63</v>
      </c>
      <c r="T673" t="s">
        <v>63</v>
      </c>
      <c r="X673" t="s">
        <v>63</v>
      </c>
      <c r="Y673" t="s">
        <v>5404</v>
      </c>
      <c r="Z673" t="s">
        <v>63</v>
      </c>
      <c r="AA673" t="s">
        <v>6049</v>
      </c>
      <c r="AB673">
        <v>27613926</v>
      </c>
      <c r="AC673" t="s">
        <v>67</v>
      </c>
      <c r="AD673" t="s">
        <v>63</v>
      </c>
      <c r="AE673" t="s">
        <v>63</v>
      </c>
      <c r="AF673" t="s">
        <v>63</v>
      </c>
      <c r="AG673" t="s">
        <v>6050</v>
      </c>
      <c r="AH673" t="s">
        <v>63</v>
      </c>
      <c r="AI673" t="s">
        <v>63</v>
      </c>
      <c r="AJ673" t="s">
        <v>63</v>
      </c>
      <c r="AK673" t="s">
        <v>63</v>
      </c>
      <c r="AL673" t="s">
        <v>63</v>
      </c>
      <c r="AM673" t="s">
        <v>6051</v>
      </c>
      <c r="AN673" t="s">
        <v>63</v>
      </c>
      <c r="AO673" t="s">
        <v>63</v>
      </c>
      <c r="AP673" t="s">
        <v>63</v>
      </c>
      <c r="AQ673" t="s">
        <v>63</v>
      </c>
      <c r="AR673" t="s">
        <v>63</v>
      </c>
      <c r="AS673" t="s">
        <v>63</v>
      </c>
      <c r="AT673" t="s">
        <v>63</v>
      </c>
      <c r="AU673" t="s">
        <v>63</v>
      </c>
      <c r="AV673" t="s">
        <v>63</v>
      </c>
      <c r="AW673" t="s">
        <v>63</v>
      </c>
      <c r="AX673" t="s">
        <v>63</v>
      </c>
      <c r="AY673" t="s">
        <v>63</v>
      </c>
      <c r="AZ673" t="s">
        <v>63</v>
      </c>
      <c r="BA673" t="s">
        <v>63</v>
      </c>
      <c r="BB673" t="s">
        <v>63</v>
      </c>
      <c r="BC673" t="s">
        <v>63</v>
      </c>
      <c r="BD673" t="s">
        <v>63</v>
      </c>
      <c r="BE673" t="s">
        <v>63</v>
      </c>
      <c r="BF673" t="s">
        <v>63</v>
      </c>
    </row>
    <row r="674" spans="1:58">
      <c r="A674" t="s">
        <v>58</v>
      </c>
      <c r="B674" t="s">
        <v>6052</v>
      </c>
      <c r="C674" t="s">
        <v>6053</v>
      </c>
      <c r="D674" t="s">
        <v>1184</v>
      </c>
      <c r="E674" t="s">
        <v>1185</v>
      </c>
      <c r="F674">
        <v>1987</v>
      </c>
      <c r="G674" t="s">
        <v>614</v>
      </c>
      <c r="H674">
        <v>62</v>
      </c>
      <c r="I674">
        <v>8</v>
      </c>
      <c r="J674">
        <v>651</v>
      </c>
      <c r="K674">
        <v>657</v>
      </c>
      <c r="L674" t="s">
        <v>6054</v>
      </c>
      <c r="M674" t="s">
        <v>6055</v>
      </c>
      <c r="N674" t="s">
        <v>6056</v>
      </c>
      <c r="O674" t="s">
        <v>63</v>
      </c>
      <c r="Q674" t="s">
        <v>63</v>
      </c>
      <c r="R674" t="s">
        <v>63</v>
      </c>
      <c r="S674" t="s">
        <v>63</v>
      </c>
      <c r="T674" t="s">
        <v>63</v>
      </c>
      <c r="X674" t="s">
        <v>63</v>
      </c>
      <c r="Y674" t="s">
        <v>1188</v>
      </c>
      <c r="Z674" t="s">
        <v>63</v>
      </c>
      <c r="AA674" t="s">
        <v>63</v>
      </c>
      <c r="AB674">
        <v>3475473</v>
      </c>
      <c r="AC674" t="s">
        <v>67</v>
      </c>
      <c r="AD674" t="s">
        <v>63</v>
      </c>
      <c r="AE674" t="s">
        <v>63</v>
      </c>
      <c r="AF674" t="s">
        <v>63</v>
      </c>
      <c r="AG674" t="s">
        <v>6057</v>
      </c>
      <c r="AH674" t="s">
        <v>63</v>
      </c>
      <c r="AI674" t="s">
        <v>63</v>
      </c>
      <c r="AJ674" t="s">
        <v>63</v>
      </c>
      <c r="AK674" t="s">
        <v>63</v>
      </c>
      <c r="AL674" t="s">
        <v>63</v>
      </c>
      <c r="AM674" t="s">
        <v>6058</v>
      </c>
      <c r="AN674" t="s">
        <v>63</v>
      </c>
      <c r="AO674" t="s">
        <v>63</v>
      </c>
      <c r="AP674" t="s">
        <v>63</v>
      </c>
      <c r="AQ674" t="s">
        <v>63</v>
      </c>
      <c r="AR674" t="s">
        <v>63</v>
      </c>
      <c r="AS674" t="s">
        <v>63</v>
      </c>
      <c r="AT674" t="s">
        <v>63</v>
      </c>
      <c r="AU674" t="s">
        <v>63</v>
      </c>
      <c r="AV674" t="s">
        <v>63</v>
      </c>
      <c r="AW674" t="s">
        <v>63</v>
      </c>
      <c r="AX674" t="s">
        <v>63</v>
      </c>
      <c r="AY674" t="s">
        <v>63</v>
      </c>
      <c r="AZ674" t="s">
        <v>63</v>
      </c>
      <c r="BA674" t="s">
        <v>63</v>
      </c>
      <c r="BB674" t="s">
        <v>63</v>
      </c>
      <c r="BC674" t="s">
        <v>63</v>
      </c>
      <c r="BD674" t="s">
        <v>63</v>
      </c>
      <c r="BE674" t="s">
        <v>63</v>
      </c>
      <c r="BF674" t="s">
        <v>63</v>
      </c>
    </row>
    <row r="675" spans="1:58">
      <c r="A675" t="s">
        <v>58</v>
      </c>
      <c r="B675" t="s">
        <v>6059</v>
      </c>
      <c r="C675" t="s">
        <v>6060</v>
      </c>
      <c r="D675" t="s">
        <v>389</v>
      </c>
      <c r="E675" t="s">
        <v>63</v>
      </c>
      <c r="F675">
        <v>2009</v>
      </c>
      <c r="G675" t="s">
        <v>1737</v>
      </c>
      <c r="H675">
        <v>30</v>
      </c>
      <c r="I675">
        <v>3</v>
      </c>
      <c r="J675">
        <v>244</v>
      </c>
      <c r="K675">
        <v>247</v>
      </c>
      <c r="L675" t="s">
        <v>6061</v>
      </c>
      <c r="M675" t="s">
        <v>6062</v>
      </c>
      <c r="N675" t="s">
        <v>6063</v>
      </c>
      <c r="O675" t="s">
        <v>63</v>
      </c>
      <c r="Q675" t="s">
        <v>63</v>
      </c>
      <c r="R675" t="s">
        <v>63</v>
      </c>
      <c r="S675" t="s">
        <v>63</v>
      </c>
      <c r="T675" t="s">
        <v>63</v>
      </c>
      <c r="X675" t="s">
        <v>63</v>
      </c>
      <c r="Y675" t="s">
        <v>392</v>
      </c>
      <c r="Z675" t="s">
        <v>63</v>
      </c>
      <c r="AA675" t="s">
        <v>6064</v>
      </c>
      <c r="AB675">
        <v>19591061</v>
      </c>
      <c r="AC675" t="s">
        <v>67</v>
      </c>
      <c r="AD675" t="s">
        <v>63</v>
      </c>
      <c r="AE675" t="s">
        <v>63</v>
      </c>
      <c r="AF675" t="s">
        <v>63</v>
      </c>
      <c r="AG675" t="s">
        <v>6065</v>
      </c>
      <c r="AH675" t="s">
        <v>63</v>
      </c>
      <c r="AI675" t="s">
        <v>6066</v>
      </c>
      <c r="AJ675" t="s">
        <v>63</v>
      </c>
      <c r="AK675" t="s">
        <v>63</v>
      </c>
      <c r="AL675" t="s">
        <v>63</v>
      </c>
      <c r="AM675" t="s">
        <v>6067</v>
      </c>
      <c r="AN675" t="s">
        <v>63</v>
      </c>
      <c r="AO675" t="s">
        <v>63</v>
      </c>
      <c r="AP675" t="s">
        <v>63</v>
      </c>
      <c r="AQ675" t="s">
        <v>63</v>
      </c>
      <c r="AR675" t="s">
        <v>63</v>
      </c>
      <c r="AS675" t="s">
        <v>63</v>
      </c>
      <c r="AT675" t="s">
        <v>63</v>
      </c>
      <c r="AU675" t="s">
        <v>63</v>
      </c>
      <c r="AV675" t="s">
        <v>63</v>
      </c>
      <c r="AW675" t="s">
        <v>63</v>
      </c>
      <c r="AX675" t="s">
        <v>63</v>
      </c>
      <c r="AY675" t="s">
        <v>63</v>
      </c>
      <c r="AZ675" t="s">
        <v>63</v>
      </c>
      <c r="BA675" t="s">
        <v>63</v>
      </c>
      <c r="BB675" t="s">
        <v>63</v>
      </c>
      <c r="BC675" t="s">
        <v>63</v>
      </c>
      <c r="BD675" t="s">
        <v>63</v>
      </c>
      <c r="BE675" t="s">
        <v>63</v>
      </c>
      <c r="BF675" t="s">
        <v>63</v>
      </c>
    </row>
    <row r="676" spans="1:58">
      <c r="A676" t="s">
        <v>58</v>
      </c>
      <c r="B676" t="s">
        <v>6068</v>
      </c>
      <c r="C676" t="s">
        <v>6069</v>
      </c>
      <c r="D676" t="s">
        <v>1668</v>
      </c>
      <c r="E676" t="s">
        <v>1669</v>
      </c>
      <c r="F676">
        <v>2009</v>
      </c>
      <c r="G676" t="s">
        <v>614</v>
      </c>
      <c r="H676">
        <v>31</v>
      </c>
      <c r="I676">
        <v>8</v>
      </c>
      <c r="J676">
        <v>774</v>
      </c>
      <c r="K676">
        <v>775</v>
      </c>
      <c r="L676" t="s">
        <v>6070</v>
      </c>
      <c r="M676" t="s">
        <v>63</v>
      </c>
      <c r="N676" t="s">
        <v>6071</v>
      </c>
      <c r="O676" t="s">
        <v>63</v>
      </c>
      <c r="Q676" t="s">
        <v>63</v>
      </c>
      <c r="R676" t="s">
        <v>63</v>
      </c>
      <c r="S676" t="s">
        <v>63</v>
      </c>
      <c r="T676" t="s">
        <v>63</v>
      </c>
      <c r="X676" t="s">
        <v>63</v>
      </c>
      <c r="Y676" t="s">
        <v>1673</v>
      </c>
      <c r="Z676" t="s">
        <v>63</v>
      </c>
      <c r="AA676" t="s">
        <v>63</v>
      </c>
      <c r="AB676">
        <v>19824138</v>
      </c>
      <c r="AC676" t="s">
        <v>67</v>
      </c>
      <c r="AD676" t="s">
        <v>63</v>
      </c>
      <c r="AE676" t="s">
        <v>63</v>
      </c>
      <c r="AF676" t="s">
        <v>63</v>
      </c>
      <c r="AG676" t="s">
        <v>6072</v>
      </c>
      <c r="AH676" t="s">
        <v>63</v>
      </c>
      <c r="AI676" t="s">
        <v>63</v>
      </c>
      <c r="AJ676" t="s">
        <v>63</v>
      </c>
      <c r="AK676" t="s">
        <v>63</v>
      </c>
      <c r="AL676" t="s">
        <v>63</v>
      </c>
      <c r="AM676" t="s">
        <v>6073</v>
      </c>
      <c r="AN676" t="s">
        <v>63</v>
      </c>
      <c r="AO676" t="s">
        <v>63</v>
      </c>
      <c r="AP676" t="s">
        <v>63</v>
      </c>
      <c r="AQ676" t="s">
        <v>63</v>
      </c>
      <c r="AR676" t="s">
        <v>63</v>
      </c>
      <c r="AS676" t="s">
        <v>63</v>
      </c>
      <c r="AT676" t="s">
        <v>63</v>
      </c>
      <c r="AU676" t="s">
        <v>63</v>
      </c>
      <c r="AV676" t="s">
        <v>63</v>
      </c>
      <c r="AW676" t="s">
        <v>63</v>
      </c>
      <c r="AX676" t="s">
        <v>63</v>
      </c>
      <c r="AY676" t="s">
        <v>63</v>
      </c>
      <c r="AZ676" t="s">
        <v>63</v>
      </c>
      <c r="BA676" t="s">
        <v>63</v>
      </c>
      <c r="BB676" t="s">
        <v>63</v>
      </c>
      <c r="BC676" t="s">
        <v>63</v>
      </c>
      <c r="BD676" t="s">
        <v>63</v>
      </c>
      <c r="BE676" t="s">
        <v>63</v>
      </c>
      <c r="BF676" t="s">
        <v>63</v>
      </c>
    </row>
    <row r="677" spans="1:58">
      <c r="A677" t="s">
        <v>58</v>
      </c>
      <c r="B677" t="s">
        <v>6074</v>
      </c>
      <c r="C677" t="s">
        <v>6075</v>
      </c>
      <c r="D677" t="s">
        <v>6076</v>
      </c>
      <c r="E677" t="s">
        <v>6077</v>
      </c>
      <c r="F677">
        <v>2001</v>
      </c>
      <c r="G677" t="s">
        <v>219</v>
      </c>
      <c r="H677">
        <v>59</v>
      </c>
      <c r="I677">
        <v>6</v>
      </c>
      <c r="J677">
        <v>420</v>
      </c>
      <c r="K677">
        <v>423</v>
      </c>
      <c r="L677" t="s">
        <v>6078</v>
      </c>
      <c r="M677" t="s">
        <v>6079</v>
      </c>
      <c r="N677" t="s">
        <v>6080</v>
      </c>
      <c r="O677" t="s">
        <v>63</v>
      </c>
      <c r="Q677" t="s">
        <v>63</v>
      </c>
      <c r="R677" t="s">
        <v>63</v>
      </c>
      <c r="S677" t="s">
        <v>63</v>
      </c>
      <c r="T677" t="s">
        <v>63</v>
      </c>
      <c r="X677" t="s">
        <v>63</v>
      </c>
      <c r="Y677" t="s">
        <v>6081</v>
      </c>
      <c r="Z677" t="s">
        <v>63</v>
      </c>
      <c r="AA677" t="s">
        <v>6082</v>
      </c>
      <c r="AB677">
        <v>12661394</v>
      </c>
      <c r="AC677" t="s">
        <v>67</v>
      </c>
      <c r="AD677" t="s">
        <v>63</v>
      </c>
      <c r="AE677" t="s">
        <v>63</v>
      </c>
      <c r="AF677" t="s">
        <v>63</v>
      </c>
      <c r="AG677" t="s">
        <v>6083</v>
      </c>
      <c r="AH677" t="s">
        <v>63</v>
      </c>
      <c r="AI677" t="s">
        <v>63</v>
      </c>
      <c r="AJ677" t="s">
        <v>63</v>
      </c>
      <c r="AK677" t="s">
        <v>63</v>
      </c>
      <c r="AL677" t="s">
        <v>63</v>
      </c>
      <c r="AM677" t="s">
        <v>6084</v>
      </c>
      <c r="AN677" t="s">
        <v>63</v>
      </c>
      <c r="AO677" t="s">
        <v>63</v>
      </c>
      <c r="AP677" t="s">
        <v>63</v>
      </c>
      <c r="AQ677" t="s">
        <v>63</v>
      </c>
      <c r="AR677" t="s">
        <v>63</v>
      </c>
      <c r="AS677" t="s">
        <v>63</v>
      </c>
      <c r="AT677" t="s">
        <v>63</v>
      </c>
      <c r="AU677" t="s">
        <v>63</v>
      </c>
      <c r="AV677" t="s">
        <v>63</v>
      </c>
      <c r="AW677" t="s">
        <v>63</v>
      </c>
      <c r="AX677" t="s">
        <v>63</v>
      </c>
      <c r="AY677" t="s">
        <v>63</v>
      </c>
      <c r="AZ677" t="s">
        <v>63</v>
      </c>
      <c r="BA677" t="s">
        <v>63</v>
      </c>
      <c r="BB677" t="s">
        <v>63</v>
      </c>
      <c r="BC677" t="s">
        <v>63</v>
      </c>
      <c r="BD677" t="s">
        <v>63</v>
      </c>
      <c r="BE677" t="s">
        <v>63</v>
      </c>
      <c r="BF677" t="s">
        <v>63</v>
      </c>
    </row>
    <row r="678" spans="1:58">
      <c r="A678" t="s">
        <v>58</v>
      </c>
      <c r="B678" t="s">
        <v>6085</v>
      </c>
      <c r="C678" t="s">
        <v>6086</v>
      </c>
      <c r="D678" t="s">
        <v>6087</v>
      </c>
      <c r="E678" t="s">
        <v>63</v>
      </c>
      <c r="F678">
        <v>2013</v>
      </c>
      <c r="G678" s="1">
        <v>41745</v>
      </c>
      <c r="H678">
        <v>13</v>
      </c>
      <c r="I678" t="s">
        <v>63</v>
      </c>
      <c r="J678">
        <v>56</v>
      </c>
      <c r="K678" t="s">
        <v>63</v>
      </c>
      <c r="L678" t="s">
        <v>6088</v>
      </c>
      <c r="M678" t="s">
        <v>6089</v>
      </c>
      <c r="N678" t="s">
        <v>6090</v>
      </c>
      <c r="O678" t="s">
        <v>63</v>
      </c>
      <c r="Q678" t="s">
        <v>63</v>
      </c>
      <c r="R678" t="s">
        <v>63</v>
      </c>
      <c r="S678" t="s">
        <v>63</v>
      </c>
      <c r="T678" t="s">
        <v>63</v>
      </c>
      <c r="X678" t="s">
        <v>63</v>
      </c>
      <c r="Y678" t="s">
        <v>6091</v>
      </c>
      <c r="Z678" t="s">
        <v>63</v>
      </c>
      <c r="AA678" t="s">
        <v>6092</v>
      </c>
      <c r="AB678">
        <v>23594832</v>
      </c>
      <c r="AC678" t="s">
        <v>67</v>
      </c>
      <c r="AD678" t="s">
        <v>63</v>
      </c>
      <c r="AE678" t="s">
        <v>63</v>
      </c>
      <c r="AF678" t="s">
        <v>63</v>
      </c>
      <c r="AG678" t="s">
        <v>6093</v>
      </c>
      <c r="AH678" t="s">
        <v>63</v>
      </c>
      <c r="AI678" t="s">
        <v>6094</v>
      </c>
      <c r="AJ678" t="s">
        <v>63</v>
      </c>
      <c r="AK678" t="s">
        <v>63</v>
      </c>
      <c r="AL678" t="s">
        <v>63</v>
      </c>
      <c r="AM678" t="s">
        <v>6095</v>
      </c>
      <c r="AN678" t="s">
        <v>63</v>
      </c>
      <c r="AO678" t="s">
        <v>63</v>
      </c>
      <c r="AP678" t="s">
        <v>63</v>
      </c>
      <c r="AQ678" t="s">
        <v>63</v>
      </c>
      <c r="AR678" t="s">
        <v>63</v>
      </c>
      <c r="AS678" t="s">
        <v>63</v>
      </c>
      <c r="AT678" t="s">
        <v>63</v>
      </c>
      <c r="AU678" t="s">
        <v>63</v>
      </c>
      <c r="AV678" t="s">
        <v>63</v>
      </c>
      <c r="AW678" t="s">
        <v>63</v>
      </c>
      <c r="AX678" t="s">
        <v>63</v>
      </c>
      <c r="AY678" t="s">
        <v>63</v>
      </c>
      <c r="AZ678" t="s">
        <v>63</v>
      </c>
      <c r="BA678" t="s">
        <v>63</v>
      </c>
      <c r="BB678" t="s">
        <v>63</v>
      </c>
      <c r="BC678" t="s">
        <v>63</v>
      </c>
      <c r="BD678" t="s">
        <v>63</v>
      </c>
      <c r="BE678" t="s">
        <v>63</v>
      </c>
      <c r="BF678" t="s">
        <v>63</v>
      </c>
    </row>
    <row r="679" spans="1:58">
      <c r="A679" t="s">
        <v>58</v>
      </c>
      <c r="B679" t="s">
        <v>6096</v>
      </c>
      <c r="C679" t="s">
        <v>6097</v>
      </c>
      <c r="D679" t="s">
        <v>2353</v>
      </c>
      <c r="E679" t="s">
        <v>2354</v>
      </c>
      <c r="F679">
        <v>1999</v>
      </c>
      <c r="G679" t="s">
        <v>138</v>
      </c>
      <c r="H679">
        <v>17</v>
      </c>
      <c r="I679">
        <v>3</v>
      </c>
      <c r="J679">
        <v>263</v>
      </c>
      <c r="K679">
        <v>264</v>
      </c>
      <c r="L679" t="s">
        <v>6098</v>
      </c>
      <c r="M679" t="s">
        <v>63</v>
      </c>
      <c r="N679" t="s">
        <v>6099</v>
      </c>
      <c r="O679" t="s">
        <v>63</v>
      </c>
      <c r="Q679" t="s">
        <v>63</v>
      </c>
      <c r="R679" t="s">
        <v>63</v>
      </c>
      <c r="S679" t="s">
        <v>63</v>
      </c>
      <c r="T679" t="s">
        <v>63</v>
      </c>
      <c r="X679" t="s">
        <v>63</v>
      </c>
      <c r="Y679" t="s">
        <v>2358</v>
      </c>
      <c r="Z679" t="s">
        <v>63</v>
      </c>
      <c r="AA679" t="s">
        <v>6100</v>
      </c>
      <c r="AB679">
        <v>10531633</v>
      </c>
      <c r="AC679" t="s">
        <v>67</v>
      </c>
      <c r="AD679" t="s">
        <v>63</v>
      </c>
      <c r="AE679" t="s">
        <v>63</v>
      </c>
      <c r="AF679" t="s">
        <v>63</v>
      </c>
      <c r="AG679" t="s">
        <v>6101</v>
      </c>
      <c r="AH679" t="s">
        <v>63</v>
      </c>
      <c r="AI679" t="s">
        <v>63</v>
      </c>
      <c r="AJ679" t="s">
        <v>63</v>
      </c>
      <c r="AK679" t="s">
        <v>63</v>
      </c>
      <c r="AL679" t="s">
        <v>63</v>
      </c>
      <c r="AM679" t="s">
        <v>6102</v>
      </c>
      <c r="AN679" t="s">
        <v>63</v>
      </c>
      <c r="AO679" t="s">
        <v>63</v>
      </c>
      <c r="AP679" t="s">
        <v>63</v>
      </c>
      <c r="AQ679" t="s">
        <v>63</v>
      </c>
      <c r="AR679" t="s">
        <v>63</v>
      </c>
      <c r="AS679" t="s">
        <v>63</v>
      </c>
      <c r="AT679" t="s">
        <v>63</v>
      </c>
      <c r="AU679" t="s">
        <v>63</v>
      </c>
      <c r="AV679" t="s">
        <v>63</v>
      </c>
      <c r="AW679" t="s">
        <v>63</v>
      </c>
      <c r="AX679" t="s">
        <v>63</v>
      </c>
      <c r="AY679" t="s">
        <v>63</v>
      </c>
      <c r="AZ679" t="s">
        <v>63</v>
      </c>
      <c r="BA679" t="s">
        <v>63</v>
      </c>
      <c r="BB679" t="s">
        <v>63</v>
      </c>
      <c r="BC679" t="s">
        <v>63</v>
      </c>
      <c r="BD679" t="s">
        <v>63</v>
      </c>
      <c r="BE679" t="s">
        <v>63</v>
      </c>
      <c r="BF679" t="s">
        <v>63</v>
      </c>
    </row>
    <row r="680" spans="1:58">
      <c r="A680" t="s">
        <v>58</v>
      </c>
      <c r="B680" t="s">
        <v>6103</v>
      </c>
      <c r="C680" t="s">
        <v>6104</v>
      </c>
      <c r="D680" t="s">
        <v>2914</v>
      </c>
      <c r="E680" t="s">
        <v>2915</v>
      </c>
      <c r="F680">
        <v>1961</v>
      </c>
      <c r="G680" t="s">
        <v>274</v>
      </c>
      <c r="H680">
        <v>22</v>
      </c>
      <c r="I680" t="s">
        <v>63</v>
      </c>
      <c r="J680">
        <v>135</v>
      </c>
      <c r="K680">
        <v>142</v>
      </c>
      <c r="L680" t="s">
        <v>6105</v>
      </c>
      <c r="M680" t="s">
        <v>63</v>
      </c>
      <c r="N680" t="s">
        <v>6106</v>
      </c>
      <c r="O680" t="s">
        <v>63</v>
      </c>
      <c r="Q680" t="s">
        <v>63</v>
      </c>
      <c r="R680" t="s">
        <v>63</v>
      </c>
      <c r="S680" t="s">
        <v>63</v>
      </c>
      <c r="T680" t="s">
        <v>63</v>
      </c>
      <c r="X680" t="s">
        <v>63</v>
      </c>
      <c r="Y680" t="s">
        <v>2918</v>
      </c>
      <c r="Z680" t="s">
        <v>63</v>
      </c>
      <c r="AA680" t="s">
        <v>63</v>
      </c>
      <c r="AB680">
        <v>13714626</v>
      </c>
      <c r="AC680" t="s">
        <v>67</v>
      </c>
      <c r="AD680" t="s">
        <v>63</v>
      </c>
      <c r="AE680" t="s">
        <v>63</v>
      </c>
      <c r="AF680" t="s">
        <v>63</v>
      </c>
      <c r="AG680" t="s">
        <v>6107</v>
      </c>
      <c r="AH680" t="s">
        <v>63</v>
      </c>
      <c r="AI680" t="s">
        <v>63</v>
      </c>
      <c r="AJ680" t="s">
        <v>63</v>
      </c>
      <c r="AK680" t="s">
        <v>63</v>
      </c>
      <c r="AL680" t="s">
        <v>63</v>
      </c>
      <c r="AM680" t="s">
        <v>6108</v>
      </c>
      <c r="AN680" t="s">
        <v>63</v>
      </c>
      <c r="AO680" t="s">
        <v>63</v>
      </c>
      <c r="AP680" t="s">
        <v>63</v>
      </c>
      <c r="AQ680" t="s">
        <v>63</v>
      </c>
      <c r="AR680" t="s">
        <v>63</v>
      </c>
      <c r="AS680" t="s">
        <v>63</v>
      </c>
      <c r="AT680" t="s">
        <v>63</v>
      </c>
      <c r="AU680" t="s">
        <v>63</v>
      </c>
      <c r="AV680" t="s">
        <v>63</v>
      </c>
      <c r="AW680" t="s">
        <v>63</v>
      </c>
      <c r="AX680" t="s">
        <v>63</v>
      </c>
      <c r="AY680" t="s">
        <v>63</v>
      </c>
      <c r="AZ680" t="s">
        <v>63</v>
      </c>
      <c r="BA680" t="s">
        <v>63</v>
      </c>
      <c r="BB680" t="s">
        <v>63</v>
      </c>
      <c r="BC680" t="s">
        <v>63</v>
      </c>
      <c r="BD680" t="s">
        <v>63</v>
      </c>
      <c r="BE680" t="s">
        <v>63</v>
      </c>
      <c r="BF680" t="s">
        <v>63</v>
      </c>
    </row>
    <row r="681" spans="1:58">
      <c r="A681" t="s">
        <v>58</v>
      </c>
      <c r="B681" t="s">
        <v>6109</v>
      </c>
      <c r="C681" t="s">
        <v>6110</v>
      </c>
      <c r="D681" t="s">
        <v>6111</v>
      </c>
      <c r="E681" t="s">
        <v>6112</v>
      </c>
      <c r="F681">
        <v>2013</v>
      </c>
      <c r="G681" t="s">
        <v>326</v>
      </c>
      <c r="H681">
        <v>205</v>
      </c>
      <c r="I681">
        <v>2</v>
      </c>
      <c r="J681">
        <v>141</v>
      </c>
      <c r="K681">
        <v>146</v>
      </c>
      <c r="L681" t="s">
        <v>6113</v>
      </c>
      <c r="M681" t="s">
        <v>6114</v>
      </c>
      <c r="N681" t="s">
        <v>6115</v>
      </c>
      <c r="O681" t="s">
        <v>63</v>
      </c>
      <c r="Q681" t="s">
        <v>63</v>
      </c>
      <c r="R681" t="s">
        <v>63</v>
      </c>
      <c r="S681" t="s">
        <v>63</v>
      </c>
      <c r="T681" t="s">
        <v>63</v>
      </c>
      <c r="X681" t="s">
        <v>63</v>
      </c>
      <c r="Y681" t="s">
        <v>6116</v>
      </c>
      <c r="Z681" t="s">
        <v>63</v>
      </c>
      <c r="AA681" t="s">
        <v>6117</v>
      </c>
      <c r="AB681">
        <v>23246287</v>
      </c>
      <c r="AC681" t="s">
        <v>67</v>
      </c>
      <c r="AD681" t="s">
        <v>63</v>
      </c>
      <c r="AE681" t="s">
        <v>63</v>
      </c>
      <c r="AF681" t="s">
        <v>63</v>
      </c>
      <c r="AG681" t="s">
        <v>6118</v>
      </c>
      <c r="AH681" t="s">
        <v>63</v>
      </c>
      <c r="AI681" t="s">
        <v>6119</v>
      </c>
      <c r="AJ681" t="s">
        <v>63</v>
      </c>
      <c r="AK681" t="s">
        <v>63</v>
      </c>
      <c r="AL681" t="s">
        <v>63</v>
      </c>
      <c r="AM681" t="s">
        <v>6120</v>
      </c>
      <c r="AN681" t="s">
        <v>63</v>
      </c>
      <c r="AO681" t="s">
        <v>63</v>
      </c>
      <c r="AP681" t="s">
        <v>63</v>
      </c>
      <c r="AQ681" t="s">
        <v>63</v>
      </c>
      <c r="AR681" t="s">
        <v>63</v>
      </c>
      <c r="AS681" t="s">
        <v>63</v>
      </c>
      <c r="AT681" t="s">
        <v>63</v>
      </c>
      <c r="AU681" t="s">
        <v>63</v>
      </c>
      <c r="AV681" t="s">
        <v>63</v>
      </c>
      <c r="AW681" t="s">
        <v>63</v>
      </c>
      <c r="AX681" t="s">
        <v>63</v>
      </c>
      <c r="AY681" t="s">
        <v>63</v>
      </c>
      <c r="AZ681" t="s">
        <v>63</v>
      </c>
      <c r="BA681" t="s">
        <v>63</v>
      </c>
      <c r="BB681" t="s">
        <v>63</v>
      </c>
      <c r="BC681" t="s">
        <v>63</v>
      </c>
      <c r="BD681" t="s">
        <v>63</v>
      </c>
      <c r="BE681" t="s">
        <v>63</v>
      </c>
      <c r="BF681" t="s">
        <v>63</v>
      </c>
    </row>
    <row r="682" spans="1:58">
      <c r="A682" t="s">
        <v>58</v>
      </c>
      <c r="B682" t="s">
        <v>6121</v>
      </c>
      <c r="C682" t="s">
        <v>6122</v>
      </c>
      <c r="D682" t="s">
        <v>6123</v>
      </c>
      <c r="E682" t="s">
        <v>6124</v>
      </c>
      <c r="F682">
        <v>1995</v>
      </c>
      <c r="G682" t="s">
        <v>181</v>
      </c>
      <c r="H682">
        <v>98</v>
      </c>
      <c r="I682">
        <v>9</v>
      </c>
      <c r="J682">
        <v>30</v>
      </c>
      <c r="K682">
        <v>31</v>
      </c>
      <c r="L682" t="s">
        <v>6125</v>
      </c>
      <c r="M682" t="s">
        <v>6126</v>
      </c>
      <c r="N682" t="s">
        <v>6127</v>
      </c>
      <c r="O682" t="s">
        <v>63</v>
      </c>
      <c r="Q682" t="s">
        <v>63</v>
      </c>
      <c r="R682" t="s">
        <v>63</v>
      </c>
      <c r="S682" t="s">
        <v>63</v>
      </c>
      <c r="T682" t="s">
        <v>63</v>
      </c>
      <c r="X682" t="s">
        <v>63</v>
      </c>
      <c r="Y682" t="s">
        <v>6128</v>
      </c>
      <c r="Z682" t="s">
        <v>63</v>
      </c>
      <c r="AA682" t="s">
        <v>63</v>
      </c>
      <c r="AB682">
        <v>7478668</v>
      </c>
      <c r="AC682" t="s">
        <v>67</v>
      </c>
      <c r="AD682" t="s">
        <v>63</v>
      </c>
      <c r="AE682" t="s">
        <v>63</v>
      </c>
      <c r="AF682" t="s">
        <v>63</v>
      </c>
      <c r="AG682" t="s">
        <v>6129</v>
      </c>
      <c r="AH682" t="s">
        <v>63</v>
      </c>
      <c r="AI682" t="s">
        <v>63</v>
      </c>
      <c r="AJ682" t="s">
        <v>63</v>
      </c>
      <c r="AK682" t="s">
        <v>63</v>
      </c>
      <c r="AL682" t="s">
        <v>63</v>
      </c>
      <c r="AM682" t="s">
        <v>6130</v>
      </c>
      <c r="AN682" t="s">
        <v>63</v>
      </c>
      <c r="AO682" t="s">
        <v>63</v>
      </c>
      <c r="AP682" t="s">
        <v>63</v>
      </c>
      <c r="AQ682" t="s">
        <v>63</v>
      </c>
      <c r="AR682" t="s">
        <v>63</v>
      </c>
      <c r="AS682" t="s">
        <v>63</v>
      </c>
      <c r="AT682" t="s">
        <v>63</v>
      </c>
      <c r="AU682" t="s">
        <v>63</v>
      </c>
      <c r="AV682" t="s">
        <v>63</v>
      </c>
      <c r="AW682" t="s">
        <v>63</v>
      </c>
      <c r="AX682" t="s">
        <v>63</v>
      </c>
      <c r="AY682" t="s">
        <v>63</v>
      </c>
      <c r="AZ682" t="s">
        <v>63</v>
      </c>
      <c r="BA682" t="s">
        <v>63</v>
      </c>
      <c r="BB682" t="s">
        <v>63</v>
      </c>
      <c r="BC682" t="s">
        <v>63</v>
      </c>
      <c r="BD682" t="s">
        <v>63</v>
      </c>
      <c r="BE682" t="s">
        <v>63</v>
      </c>
      <c r="BF682" t="s">
        <v>63</v>
      </c>
    </row>
    <row r="683" spans="1:58">
      <c r="A683" t="s">
        <v>58</v>
      </c>
      <c r="B683" t="s">
        <v>6131</v>
      </c>
      <c r="C683" t="s">
        <v>6132</v>
      </c>
      <c r="D683" t="s">
        <v>6133</v>
      </c>
      <c r="E683" t="s">
        <v>6134</v>
      </c>
      <c r="F683">
        <v>1987</v>
      </c>
      <c r="G683" t="s">
        <v>181</v>
      </c>
      <c r="H683">
        <v>26</v>
      </c>
      <c r="I683">
        <v>7</v>
      </c>
      <c r="J683">
        <v>282</v>
      </c>
      <c r="K683">
        <v>287</v>
      </c>
      <c r="L683" t="s">
        <v>6135</v>
      </c>
      <c r="M683" t="s">
        <v>6136</v>
      </c>
      <c r="N683" t="s">
        <v>6137</v>
      </c>
      <c r="O683" t="s">
        <v>63</v>
      </c>
      <c r="Q683" t="s">
        <v>63</v>
      </c>
      <c r="R683" t="s">
        <v>63</v>
      </c>
      <c r="S683" t="s">
        <v>63</v>
      </c>
      <c r="T683" t="s">
        <v>63</v>
      </c>
      <c r="X683" t="s">
        <v>63</v>
      </c>
      <c r="Y683" t="s">
        <v>6138</v>
      </c>
      <c r="Z683" t="s">
        <v>63</v>
      </c>
      <c r="AA683" t="s">
        <v>6139</v>
      </c>
      <c r="AB683">
        <v>2822872</v>
      </c>
      <c r="AC683" t="s">
        <v>67</v>
      </c>
      <c r="AD683" t="s">
        <v>63</v>
      </c>
      <c r="AE683" t="s">
        <v>63</v>
      </c>
      <c r="AF683" t="s">
        <v>63</v>
      </c>
      <c r="AG683" t="s">
        <v>6140</v>
      </c>
      <c r="AH683" t="s">
        <v>63</v>
      </c>
      <c r="AI683" t="s">
        <v>63</v>
      </c>
      <c r="AJ683" t="s">
        <v>63</v>
      </c>
      <c r="AK683" t="s">
        <v>63</v>
      </c>
      <c r="AL683" t="s">
        <v>63</v>
      </c>
      <c r="AM683" t="s">
        <v>6141</v>
      </c>
      <c r="AN683" t="s">
        <v>63</v>
      </c>
      <c r="AO683" t="s">
        <v>63</v>
      </c>
      <c r="AP683" t="s">
        <v>63</v>
      </c>
      <c r="AQ683" t="s">
        <v>63</v>
      </c>
      <c r="AR683" t="s">
        <v>63</v>
      </c>
      <c r="AS683" t="s">
        <v>63</v>
      </c>
      <c r="AT683" t="s">
        <v>63</v>
      </c>
      <c r="AU683" t="s">
        <v>63</v>
      </c>
      <c r="AV683" t="s">
        <v>63</v>
      </c>
      <c r="AW683" t="s">
        <v>63</v>
      </c>
      <c r="AX683" t="s">
        <v>63</v>
      </c>
      <c r="AY683" t="s">
        <v>63</v>
      </c>
      <c r="AZ683" t="s">
        <v>63</v>
      </c>
      <c r="BA683" t="s">
        <v>63</v>
      </c>
      <c r="BB683" t="s">
        <v>63</v>
      </c>
      <c r="BC683" t="s">
        <v>63</v>
      </c>
      <c r="BD683" t="s">
        <v>63</v>
      </c>
      <c r="BE683" t="s">
        <v>63</v>
      </c>
      <c r="BF683" t="s">
        <v>63</v>
      </c>
    </row>
    <row r="684" spans="1:58">
      <c r="A684" t="s">
        <v>58</v>
      </c>
      <c r="B684" t="s">
        <v>6142</v>
      </c>
      <c r="C684" t="s">
        <v>6143</v>
      </c>
      <c r="D684" t="s">
        <v>90</v>
      </c>
      <c r="E684" t="s">
        <v>63</v>
      </c>
      <c r="F684">
        <v>2000</v>
      </c>
      <c r="G684" t="s">
        <v>63</v>
      </c>
      <c r="H684">
        <v>19</v>
      </c>
      <c r="I684">
        <v>3</v>
      </c>
      <c r="J684">
        <v>1</v>
      </c>
      <c r="K684">
        <v>12</v>
      </c>
      <c r="L684" t="s">
        <v>6144</v>
      </c>
      <c r="M684" t="s">
        <v>6145</v>
      </c>
      <c r="N684" t="s">
        <v>6146</v>
      </c>
      <c r="O684" t="s">
        <v>63</v>
      </c>
      <c r="Q684" t="s">
        <v>63</v>
      </c>
      <c r="R684" t="s">
        <v>63</v>
      </c>
      <c r="S684" t="s">
        <v>63</v>
      </c>
      <c r="T684" t="s">
        <v>63</v>
      </c>
      <c r="X684" t="s">
        <v>63</v>
      </c>
      <c r="Y684" t="s">
        <v>93</v>
      </c>
      <c r="Z684" t="s">
        <v>63</v>
      </c>
      <c r="AA684" t="s">
        <v>6147</v>
      </c>
      <c r="AB684">
        <v>11076116</v>
      </c>
      <c r="AC684" t="s">
        <v>67</v>
      </c>
      <c r="AD684" t="s">
        <v>63</v>
      </c>
      <c r="AE684" t="s">
        <v>63</v>
      </c>
      <c r="AF684" t="s">
        <v>63</v>
      </c>
      <c r="AG684" t="s">
        <v>6148</v>
      </c>
      <c r="AH684" t="s">
        <v>63</v>
      </c>
      <c r="AI684" t="s">
        <v>63</v>
      </c>
      <c r="AJ684" t="s">
        <v>63</v>
      </c>
      <c r="AK684" t="s">
        <v>63</v>
      </c>
      <c r="AL684" t="s">
        <v>63</v>
      </c>
      <c r="AM684" t="s">
        <v>6149</v>
      </c>
      <c r="AN684" t="s">
        <v>63</v>
      </c>
      <c r="AO684" t="s">
        <v>63</v>
      </c>
      <c r="AP684" t="s">
        <v>63</v>
      </c>
      <c r="AQ684" t="s">
        <v>63</v>
      </c>
      <c r="AR684" t="s">
        <v>63</v>
      </c>
      <c r="AS684" t="s">
        <v>63</v>
      </c>
      <c r="AT684" t="s">
        <v>63</v>
      </c>
      <c r="AU684" t="s">
        <v>63</v>
      </c>
      <c r="AV684" t="s">
        <v>63</v>
      </c>
      <c r="AW684" t="s">
        <v>63</v>
      </c>
      <c r="AX684" t="s">
        <v>63</v>
      </c>
      <c r="AY684" t="s">
        <v>63</v>
      </c>
      <c r="AZ684" t="s">
        <v>63</v>
      </c>
      <c r="BA684" t="s">
        <v>63</v>
      </c>
      <c r="BB684" t="s">
        <v>63</v>
      </c>
      <c r="BC684" t="s">
        <v>63</v>
      </c>
      <c r="BD684" t="s">
        <v>63</v>
      </c>
      <c r="BE684" t="s">
        <v>63</v>
      </c>
      <c r="BF684" t="s">
        <v>63</v>
      </c>
    </row>
    <row r="685" spans="1:58">
      <c r="A685" t="s">
        <v>58</v>
      </c>
      <c r="B685" t="s">
        <v>6150</v>
      </c>
      <c r="C685" t="s">
        <v>6151</v>
      </c>
      <c r="D685" t="s">
        <v>6152</v>
      </c>
      <c r="E685" t="s">
        <v>6152</v>
      </c>
      <c r="F685">
        <v>1985</v>
      </c>
      <c r="G685" s="1">
        <v>41873</v>
      </c>
      <c r="H685">
        <v>229</v>
      </c>
      <c r="I685">
        <v>4715</v>
      </c>
      <c r="J685">
        <v>741</v>
      </c>
      <c r="K685">
        <v>742</v>
      </c>
      <c r="L685" t="s">
        <v>6153</v>
      </c>
      <c r="M685" t="s">
        <v>63</v>
      </c>
      <c r="N685" t="s">
        <v>6154</v>
      </c>
      <c r="O685" t="s">
        <v>63</v>
      </c>
      <c r="Q685" t="s">
        <v>63</v>
      </c>
      <c r="R685" t="s">
        <v>63</v>
      </c>
      <c r="S685" t="s">
        <v>63</v>
      </c>
      <c r="T685" t="s">
        <v>63</v>
      </c>
      <c r="X685" t="s">
        <v>63</v>
      </c>
      <c r="Y685" t="s">
        <v>6155</v>
      </c>
      <c r="Z685" t="s">
        <v>63</v>
      </c>
      <c r="AA685" t="s">
        <v>63</v>
      </c>
      <c r="AB685">
        <v>4023709</v>
      </c>
      <c r="AC685" t="s">
        <v>67</v>
      </c>
      <c r="AD685" t="s">
        <v>63</v>
      </c>
      <c r="AE685" t="s">
        <v>63</v>
      </c>
      <c r="AF685" t="s">
        <v>63</v>
      </c>
      <c r="AG685" t="s">
        <v>6156</v>
      </c>
      <c r="AH685" t="s">
        <v>63</v>
      </c>
      <c r="AI685" t="s">
        <v>63</v>
      </c>
      <c r="AJ685" t="s">
        <v>63</v>
      </c>
      <c r="AK685" t="s">
        <v>63</v>
      </c>
      <c r="AL685" t="s">
        <v>63</v>
      </c>
      <c r="AM685" t="s">
        <v>6157</v>
      </c>
      <c r="AN685" t="s">
        <v>63</v>
      </c>
      <c r="AO685" t="s">
        <v>63</v>
      </c>
      <c r="AP685" t="s">
        <v>63</v>
      </c>
      <c r="AQ685" t="s">
        <v>63</v>
      </c>
      <c r="AR685" t="s">
        <v>63</v>
      </c>
      <c r="AS685" t="s">
        <v>63</v>
      </c>
      <c r="AT685" t="s">
        <v>63</v>
      </c>
      <c r="AU685" t="s">
        <v>63</v>
      </c>
      <c r="AV685" t="s">
        <v>63</v>
      </c>
      <c r="AW685" t="s">
        <v>63</v>
      </c>
      <c r="AX685" t="s">
        <v>63</v>
      </c>
      <c r="AY685" t="s">
        <v>63</v>
      </c>
      <c r="AZ685" t="s">
        <v>63</v>
      </c>
      <c r="BA685" t="s">
        <v>63</v>
      </c>
      <c r="BB685" t="s">
        <v>63</v>
      </c>
      <c r="BC685" t="s">
        <v>63</v>
      </c>
      <c r="BD685" t="s">
        <v>63</v>
      </c>
      <c r="BE685" t="s">
        <v>63</v>
      </c>
      <c r="BF685" t="s">
        <v>63</v>
      </c>
    </row>
    <row r="686" spans="1:58">
      <c r="A686" t="s">
        <v>58</v>
      </c>
      <c r="B686" t="s">
        <v>6158</v>
      </c>
      <c r="C686" t="s">
        <v>6159</v>
      </c>
      <c r="D686" t="s">
        <v>6160</v>
      </c>
      <c r="E686" t="s">
        <v>63</v>
      </c>
      <c r="F686">
        <v>1987</v>
      </c>
      <c r="G686" t="s">
        <v>219</v>
      </c>
      <c r="H686">
        <v>83</v>
      </c>
      <c r="I686">
        <v>11</v>
      </c>
      <c r="J686">
        <v>778</v>
      </c>
      <c r="K686">
        <v>779</v>
      </c>
      <c r="L686" t="s">
        <v>6161</v>
      </c>
      <c r="M686" t="s">
        <v>63</v>
      </c>
      <c r="N686" t="s">
        <v>6162</v>
      </c>
      <c r="O686" t="s">
        <v>63</v>
      </c>
      <c r="Q686" t="s">
        <v>63</v>
      </c>
      <c r="R686" t="s">
        <v>63</v>
      </c>
      <c r="S686" t="s">
        <v>63</v>
      </c>
      <c r="T686" t="s">
        <v>63</v>
      </c>
      <c r="X686" t="s">
        <v>63</v>
      </c>
      <c r="Y686" t="s">
        <v>6163</v>
      </c>
      <c r="Z686" t="s">
        <v>63</v>
      </c>
      <c r="AA686" t="s">
        <v>63</v>
      </c>
      <c r="AB686">
        <v>3696656</v>
      </c>
      <c r="AC686" t="s">
        <v>67</v>
      </c>
      <c r="AD686" t="s">
        <v>63</v>
      </c>
      <c r="AE686" t="s">
        <v>63</v>
      </c>
      <c r="AF686" t="s">
        <v>63</v>
      </c>
      <c r="AG686" t="s">
        <v>6164</v>
      </c>
      <c r="AH686" t="s">
        <v>63</v>
      </c>
      <c r="AI686" t="s">
        <v>63</v>
      </c>
      <c r="AJ686" t="s">
        <v>63</v>
      </c>
      <c r="AK686" t="s">
        <v>63</v>
      </c>
      <c r="AL686" t="s">
        <v>63</v>
      </c>
      <c r="AM686" t="s">
        <v>6165</v>
      </c>
      <c r="AN686" t="s">
        <v>63</v>
      </c>
      <c r="AO686" t="s">
        <v>63</v>
      </c>
      <c r="AP686" t="s">
        <v>63</v>
      </c>
      <c r="AQ686" t="s">
        <v>63</v>
      </c>
      <c r="AR686" t="s">
        <v>63</v>
      </c>
      <c r="AS686" t="s">
        <v>63</v>
      </c>
      <c r="AT686" t="s">
        <v>63</v>
      </c>
      <c r="AU686" t="s">
        <v>63</v>
      </c>
      <c r="AV686" t="s">
        <v>63</v>
      </c>
      <c r="AW686" t="s">
        <v>63</v>
      </c>
      <c r="AX686" t="s">
        <v>63</v>
      </c>
      <c r="AY686" t="s">
        <v>63</v>
      </c>
      <c r="AZ686" t="s">
        <v>63</v>
      </c>
      <c r="BA686" t="s">
        <v>63</v>
      </c>
      <c r="BB686" t="s">
        <v>63</v>
      </c>
      <c r="BC686" t="s">
        <v>63</v>
      </c>
      <c r="BD686" t="s">
        <v>63</v>
      </c>
      <c r="BE686" t="s">
        <v>63</v>
      </c>
      <c r="BF686" t="s">
        <v>63</v>
      </c>
    </row>
    <row r="687" spans="1:58">
      <c r="A687" t="s">
        <v>58</v>
      </c>
      <c r="B687" t="s">
        <v>6166</v>
      </c>
      <c r="C687" t="s">
        <v>6167</v>
      </c>
      <c r="D687" t="s">
        <v>574</v>
      </c>
      <c r="E687" t="s">
        <v>63</v>
      </c>
      <c r="F687">
        <v>2013</v>
      </c>
      <c r="G687" t="s">
        <v>198</v>
      </c>
      <c r="H687">
        <v>14</v>
      </c>
      <c r="I687">
        <v>1</v>
      </c>
      <c r="J687">
        <v>62</v>
      </c>
      <c r="K687">
        <v>74</v>
      </c>
      <c r="L687" t="s">
        <v>6168</v>
      </c>
      <c r="M687" t="s">
        <v>6169</v>
      </c>
      <c r="N687" t="s">
        <v>6170</v>
      </c>
      <c r="O687" t="s">
        <v>63</v>
      </c>
      <c r="Q687" t="s">
        <v>63</v>
      </c>
      <c r="R687" t="s">
        <v>63</v>
      </c>
      <c r="S687" t="s">
        <v>63</v>
      </c>
      <c r="T687" t="s">
        <v>63</v>
      </c>
      <c r="X687" t="s">
        <v>63</v>
      </c>
      <c r="Y687" t="s">
        <v>578</v>
      </c>
      <c r="Z687" t="s">
        <v>63</v>
      </c>
      <c r="AA687" t="s">
        <v>6171</v>
      </c>
      <c r="AB687">
        <v>23279722</v>
      </c>
      <c r="AC687" t="s">
        <v>67</v>
      </c>
      <c r="AD687" t="s">
        <v>63</v>
      </c>
      <c r="AE687" t="s">
        <v>63</v>
      </c>
      <c r="AF687" t="s">
        <v>63</v>
      </c>
      <c r="AG687" t="s">
        <v>6172</v>
      </c>
      <c r="AH687" t="s">
        <v>63</v>
      </c>
      <c r="AI687" t="s">
        <v>6173</v>
      </c>
      <c r="AJ687" t="s">
        <v>63</v>
      </c>
      <c r="AK687" t="s">
        <v>63</v>
      </c>
      <c r="AL687" t="s">
        <v>63</v>
      </c>
      <c r="AM687" t="s">
        <v>6174</v>
      </c>
      <c r="AN687" t="s">
        <v>63</v>
      </c>
      <c r="AO687" t="s">
        <v>63</v>
      </c>
      <c r="AP687" t="s">
        <v>63</v>
      </c>
      <c r="AQ687" t="s">
        <v>63</v>
      </c>
      <c r="AR687" t="s">
        <v>63</v>
      </c>
      <c r="AS687" t="s">
        <v>63</v>
      </c>
      <c r="AT687" t="s">
        <v>63</v>
      </c>
      <c r="AU687" t="s">
        <v>63</v>
      </c>
      <c r="AV687" t="s">
        <v>63</v>
      </c>
      <c r="AW687" t="s">
        <v>63</v>
      </c>
      <c r="AX687" t="s">
        <v>63</v>
      </c>
      <c r="AY687" t="s">
        <v>63</v>
      </c>
      <c r="AZ687" t="s">
        <v>63</v>
      </c>
      <c r="BA687" t="s">
        <v>63</v>
      </c>
      <c r="BB687" t="s">
        <v>63</v>
      </c>
      <c r="BC687" t="s">
        <v>63</v>
      </c>
      <c r="BD687" t="s">
        <v>63</v>
      </c>
      <c r="BE687" t="s">
        <v>63</v>
      </c>
      <c r="BF687" t="s">
        <v>63</v>
      </c>
    </row>
    <row r="688" spans="1:58">
      <c r="A688" t="s">
        <v>58</v>
      </c>
      <c r="B688" t="s">
        <v>6175</v>
      </c>
      <c r="C688" t="s">
        <v>6176</v>
      </c>
      <c r="D688" t="s">
        <v>574</v>
      </c>
      <c r="E688" t="s">
        <v>63</v>
      </c>
      <c r="F688">
        <v>2015</v>
      </c>
      <c r="G688" t="s">
        <v>181</v>
      </c>
      <c r="H688">
        <v>16</v>
      </c>
      <c r="I688">
        <v>9</v>
      </c>
      <c r="J688">
        <v>1720</v>
      </c>
      <c r="K688">
        <v>1731</v>
      </c>
      <c r="L688" t="s">
        <v>6177</v>
      </c>
      <c r="M688" t="s">
        <v>6178</v>
      </c>
      <c r="N688" t="s">
        <v>6179</v>
      </c>
      <c r="O688" t="s">
        <v>63</v>
      </c>
      <c r="Q688" t="s">
        <v>63</v>
      </c>
      <c r="R688" t="s">
        <v>63</v>
      </c>
      <c r="S688" t="s">
        <v>63</v>
      </c>
      <c r="T688" t="s">
        <v>63</v>
      </c>
      <c r="X688" t="s">
        <v>63</v>
      </c>
      <c r="Y688" t="s">
        <v>578</v>
      </c>
      <c r="Z688" t="s">
        <v>63</v>
      </c>
      <c r="AA688" t="s">
        <v>6180</v>
      </c>
      <c r="AB688">
        <v>26118466</v>
      </c>
      <c r="AC688" t="s">
        <v>67</v>
      </c>
      <c r="AD688" t="s">
        <v>63</v>
      </c>
      <c r="AE688" t="s">
        <v>63</v>
      </c>
      <c r="AF688" t="s">
        <v>63</v>
      </c>
      <c r="AG688" t="s">
        <v>6181</v>
      </c>
      <c r="AH688" t="s">
        <v>63</v>
      </c>
      <c r="AI688" t="s">
        <v>6182</v>
      </c>
      <c r="AJ688" t="s">
        <v>63</v>
      </c>
      <c r="AK688" t="s">
        <v>63</v>
      </c>
      <c r="AL688" t="s">
        <v>63</v>
      </c>
      <c r="AM688" t="s">
        <v>6183</v>
      </c>
      <c r="AN688" t="s">
        <v>63</v>
      </c>
      <c r="AO688" t="s">
        <v>63</v>
      </c>
      <c r="AP688" t="s">
        <v>63</v>
      </c>
      <c r="AQ688" t="s">
        <v>63</v>
      </c>
      <c r="AR688" t="s">
        <v>63</v>
      </c>
      <c r="AS688" t="s">
        <v>63</v>
      </c>
      <c r="AT688" t="s">
        <v>63</v>
      </c>
      <c r="AU688" t="s">
        <v>63</v>
      </c>
      <c r="AV688" t="s">
        <v>63</v>
      </c>
      <c r="AW688" t="s">
        <v>63</v>
      </c>
      <c r="AX688" t="s">
        <v>63</v>
      </c>
      <c r="AY688" t="s">
        <v>63</v>
      </c>
      <c r="AZ688" t="s">
        <v>63</v>
      </c>
      <c r="BA688" t="s">
        <v>63</v>
      </c>
      <c r="BB688" t="s">
        <v>63</v>
      </c>
      <c r="BC688" t="s">
        <v>63</v>
      </c>
      <c r="BD688" t="s">
        <v>63</v>
      </c>
      <c r="BE688" t="s">
        <v>63</v>
      </c>
      <c r="BF688" t="s">
        <v>63</v>
      </c>
    </row>
    <row r="689" spans="1:58">
      <c r="A689" t="s">
        <v>58</v>
      </c>
      <c r="B689" t="s">
        <v>6184</v>
      </c>
      <c r="C689" t="s">
        <v>6185</v>
      </c>
      <c r="D689" t="s">
        <v>5001</v>
      </c>
      <c r="E689" t="s">
        <v>5001</v>
      </c>
      <c r="F689">
        <v>2017</v>
      </c>
      <c r="G689" t="s">
        <v>326</v>
      </c>
      <c r="H689">
        <v>158</v>
      </c>
      <c r="I689">
        <v>2</v>
      </c>
      <c r="J689">
        <v>278</v>
      </c>
      <c r="K689">
        <v>288</v>
      </c>
      <c r="L689" t="s">
        <v>6186</v>
      </c>
      <c r="M689" t="s">
        <v>6187</v>
      </c>
      <c r="N689" t="s">
        <v>6188</v>
      </c>
      <c r="O689" t="s">
        <v>63</v>
      </c>
      <c r="Q689" t="s">
        <v>63</v>
      </c>
      <c r="R689" t="s">
        <v>63</v>
      </c>
      <c r="S689" t="s">
        <v>63</v>
      </c>
      <c r="T689" t="s">
        <v>63</v>
      </c>
      <c r="X689" t="s">
        <v>63</v>
      </c>
      <c r="Y689" t="s">
        <v>6189</v>
      </c>
      <c r="Z689" t="s">
        <v>63</v>
      </c>
      <c r="AA689" t="s">
        <v>6190</v>
      </c>
      <c r="AB689">
        <v>28092648</v>
      </c>
      <c r="AC689" t="s">
        <v>67</v>
      </c>
      <c r="AD689" t="s">
        <v>63</v>
      </c>
      <c r="AE689" t="s">
        <v>63</v>
      </c>
      <c r="AF689" t="s">
        <v>63</v>
      </c>
      <c r="AG689" t="s">
        <v>6191</v>
      </c>
      <c r="AH689" t="s">
        <v>63</v>
      </c>
      <c r="AI689" t="s">
        <v>6192</v>
      </c>
      <c r="AJ689" t="s">
        <v>63</v>
      </c>
      <c r="AK689" t="s">
        <v>63</v>
      </c>
      <c r="AL689" t="s">
        <v>63</v>
      </c>
      <c r="AM689" t="s">
        <v>6193</v>
      </c>
      <c r="AN689" t="s">
        <v>63</v>
      </c>
      <c r="AO689" t="s">
        <v>63</v>
      </c>
      <c r="AP689" t="s">
        <v>63</v>
      </c>
      <c r="AQ689" t="s">
        <v>63</v>
      </c>
      <c r="AR689" t="s">
        <v>63</v>
      </c>
      <c r="AS689" t="s">
        <v>63</v>
      </c>
      <c r="AT689" t="s">
        <v>63</v>
      </c>
      <c r="AU689" t="s">
        <v>63</v>
      </c>
      <c r="AV689" t="s">
        <v>63</v>
      </c>
      <c r="AW689" t="s">
        <v>63</v>
      </c>
      <c r="AX689" t="s">
        <v>63</v>
      </c>
      <c r="AY689" t="s">
        <v>63</v>
      </c>
      <c r="AZ689" t="s">
        <v>63</v>
      </c>
      <c r="BA689" t="s">
        <v>63</v>
      </c>
      <c r="BB689" t="s">
        <v>63</v>
      </c>
      <c r="BC689" t="s">
        <v>63</v>
      </c>
      <c r="BD689" t="s">
        <v>63</v>
      </c>
      <c r="BE689" t="s">
        <v>63</v>
      </c>
      <c r="BF689" t="s">
        <v>63</v>
      </c>
    </row>
    <row r="690" spans="1:58">
      <c r="A690" t="s">
        <v>58</v>
      </c>
      <c r="B690" t="s">
        <v>6194</v>
      </c>
      <c r="C690" t="s">
        <v>6195</v>
      </c>
      <c r="D690" t="s">
        <v>360</v>
      </c>
      <c r="E690" t="s">
        <v>63</v>
      </c>
      <c r="F690">
        <v>2013</v>
      </c>
      <c r="G690" t="s">
        <v>274</v>
      </c>
      <c r="H690">
        <v>39</v>
      </c>
      <c r="I690">
        <v>2</v>
      </c>
      <c r="J690">
        <v>121</v>
      </c>
      <c r="K690">
        <v>129</v>
      </c>
      <c r="L690" t="s">
        <v>6196</v>
      </c>
      <c r="M690" t="s">
        <v>6197</v>
      </c>
      <c r="N690" t="s">
        <v>6198</v>
      </c>
      <c r="O690" t="s">
        <v>63</v>
      </c>
      <c r="Q690" t="s">
        <v>63</v>
      </c>
      <c r="R690" t="s">
        <v>63</v>
      </c>
      <c r="S690" t="s">
        <v>63</v>
      </c>
      <c r="T690" t="s">
        <v>63</v>
      </c>
      <c r="X690" t="s">
        <v>63</v>
      </c>
      <c r="Y690" t="s">
        <v>364</v>
      </c>
      <c r="Z690" t="s">
        <v>63</v>
      </c>
      <c r="AA690" t="s">
        <v>6199</v>
      </c>
      <c r="AB690">
        <v>22992028</v>
      </c>
      <c r="AC690" t="s">
        <v>67</v>
      </c>
      <c r="AD690" t="s">
        <v>63</v>
      </c>
      <c r="AE690" t="s">
        <v>63</v>
      </c>
      <c r="AF690" t="s">
        <v>63</v>
      </c>
      <c r="AG690" t="s">
        <v>6200</v>
      </c>
      <c r="AH690" t="s">
        <v>63</v>
      </c>
      <c r="AI690" t="s">
        <v>6201</v>
      </c>
      <c r="AJ690" t="s">
        <v>63</v>
      </c>
      <c r="AK690" t="s">
        <v>63</v>
      </c>
      <c r="AL690" t="s">
        <v>63</v>
      </c>
      <c r="AM690" t="s">
        <v>6202</v>
      </c>
      <c r="AN690" t="s">
        <v>63</v>
      </c>
      <c r="AO690" t="s">
        <v>63</v>
      </c>
      <c r="AP690" t="s">
        <v>63</v>
      </c>
      <c r="AQ690" t="s">
        <v>63</v>
      </c>
      <c r="AR690" t="s">
        <v>63</v>
      </c>
      <c r="AS690" t="s">
        <v>63</v>
      </c>
      <c r="AT690" t="s">
        <v>63</v>
      </c>
      <c r="AU690" t="s">
        <v>63</v>
      </c>
      <c r="AV690" t="s">
        <v>63</v>
      </c>
      <c r="AW690" t="s">
        <v>63</v>
      </c>
      <c r="AX690" t="s">
        <v>63</v>
      </c>
      <c r="AY690" t="s">
        <v>63</v>
      </c>
      <c r="AZ690" t="s">
        <v>63</v>
      </c>
      <c r="BA690" t="s">
        <v>63</v>
      </c>
      <c r="BB690" t="s">
        <v>63</v>
      </c>
      <c r="BC690" t="s">
        <v>63</v>
      </c>
      <c r="BD690" t="s">
        <v>63</v>
      </c>
      <c r="BE690" t="s">
        <v>63</v>
      </c>
      <c r="BF690" t="s">
        <v>63</v>
      </c>
    </row>
    <row r="691" spans="1:58">
      <c r="A691" t="s">
        <v>58</v>
      </c>
      <c r="B691" t="s">
        <v>6203</v>
      </c>
      <c r="C691" t="s">
        <v>6204</v>
      </c>
      <c r="D691" t="s">
        <v>938</v>
      </c>
      <c r="E691" t="s">
        <v>63</v>
      </c>
      <c r="F691">
        <v>2012</v>
      </c>
      <c r="G691" t="s">
        <v>147</v>
      </c>
      <c r="H691">
        <v>21</v>
      </c>
      <c r="I691">
        <v>2</v>
      </c>
      <c r="J691">
        <v>111</v>
      </c>
      <c r="K691">
        <v>119</v>
      </c>
      <c r="L691" t="s">
        <v>6205</v>
      </c>
      <c r="M691" t="s">
        <v>6206</v>
      </c>
      <c r="N691" t="s">
        <v>6207</v>
      </c>
      <c r="O691" t="s">
        <v>63</v>
      </c>
      <c r="Q691" t="s">
        <v>63</v>
      </c>
      <c r="R691" t="s">
        <v>63</v>
      </c>
      <c r="S691" t="s">
        <v>63</v>
      </c>
      <c r="T691" t="s">
        <v>63</v>
      </c>
      <c r="X691" t="s">
        <v>63</v>
      </c>
      <c r="Y691" t="s">
        <v>942</v>
      </c>
      <c r="Z691" t="s">
        <v>63</v>
      </c>
      <c r="AA691" t="s">
        <v>6208</v>
      </c>
      <c r="AB691">
        <v>22332853</v>
      </c>
      <c r="AC691" t="s">
        <v>67</v>
      </c>
      <c r="AD691" t="s">
        <v>63</v>
      </c>
      <c r="AE691" t="s">
        <v>63</v>
      </c>
      <c r="AF691" t="s">
        <v>63</v>
      </c>
      <c r="AG691" t="s">
        <v>6209</v>
      </c>
      <c r="AH691" t="s">
        <v>63</v>
      </c>
      <c r="AI691" t="s">
        <v>6210</v>
      </c>
      <c r="AJ691" t="s">
        <v>63</v>
      </c>
      <c r="AK691" t="s">
        <v>63</v>
      </c>
      <c r="AL691" t="s">
        <v>63</v>
      </c>
      <c r="AM691" t="s">
        <v>6211</v>
      </c>
      <c r="AN691" t="s">
        <v>63</v>
      </c>
      <c r="AO691" t="s">
        <v>63</v>
      </c>
      <c r="AP691" t="s">
        <v>63</v>
      </c>
      <c r="AQ691" t="s">
        <v>63</v>
      </c>
      <c r="AR691" t="s">
        <v>63</v>
      </c>
      <c r="AS691" t="s">
        <v>63</v>
      </c>
      <c r="AT691" t="s">
        <v>63</v>
      </c>
      <c r="AU691" t="s">
        <v>63</v>
      </c>
      <c r="AV691" t="s">
        <v>63</v>
      </c>
      <c r="AW691" t="s">
        <v>63</v>
      </c>
      <c r="AX691" t="s">
        <v>63</v>
      </c>
      <c r="AY691" t="s">
        <v>63</v>
      </c>
      <c r="AZ691" t="s">
        <v>63</v>
      </c>
      <c r="BA691" t="s">
        <v>63</v>
      </c>
      <c r="BB691" t="s">
        <v>63</v>
      </c>
      <c r="BC691" t="s">
        <v>63</v>
      </c>
      <c r="BD691" t="s">
        <v>63</v>
      </c>
      <c r="BE691" t="s">
        <v>63</v>
      </c>
      <c r="BF691" t="s">
        <v>63</v>
      </c>
    </row>
    <row r="692" spans="1:58">
      <c r="A692" t="s">
        <v>58</v>
      </c>
      <c r="B692" t="s">
        <v>6212</v>
      </c>
      <c r="C692" t="s">
        <v>6213</v>
      </c>
      <c r="D692" t="s">
        <v>763</v>
      </c>
      <c r="E692" t="s">
        <v>63</v>
      </c>
      <c r="F692">
        <v>2017</v>
      </c>
      <c r="G692" t="s">
        <v>189</v>
      </c>
      <c r="H692">
        <v>92</v>
      </c>
      <c r="I692">
        <v>5</v>
      </c>
      <c r="J692">
        <v>680</v>
      </c>
      <c r="K692">
        <v>683</v>
      </c>
      <c r="L692" t="s">
        <v>6214</v>
      </c>
      <c r="M692" t="s">
        <v>6215</v>
      </c>
      <c r="N692" t="s">
        <v>6216</v>
      </c>
      <c r="O692" t="s">
        <v>63</v>
      </c>
      <c r="Q692" t="s">
        <v>63</v>
      </c>
      <c r="R692" t="s">
        <v>63</v>
      </c>
      <c r="S692" t="s">
        <v>63</v>
      </c>
      <c r="T692" t="s">
        <v>63</v>
      </c>
      <c r="X692" t="s">
        <v>63</v>
      </c>
      <c r="Y692" t="s">
        <v>766</v>
      </c>
      <c r="Z692" t="s">
        <v>63</v>
      </c>
      <c r="AA692" t="s">
        <v>6217</v>
      </c>
      <c r="AB692">
        <v>28441678</v>
      </c>
      <c r="AC692" t="s">
        <v>67</v>
      </c>
      <c r="AD692" t="s">
        <v>63</v>
      </c>
      <c r="AE692" t="s">
        <v>63</v>
      </c>
      <c r="AF692" t="s">
        <v>63</v>
      </c>
      <c r="AG692" t="s">
        <v>6218</v>
      </c>
      <c r="AH692" t="s">
        <v>63</v>
      </c>
      <c r="AI692" t="s">
        <v>6219</v>
      </c>
      <c r="AJ692" t="s">
        <v>63</v>
      </c>
      <c r="AK692" t="s">
        <v>63</v>
      </c>
      <c r="AL692" t="s">
        <v>63</v>
      </c>
      <c r="AM692" t="s">
        <v>6220</v>
      </c>
      <c r="AN692" t="s">
        <v>63</v>
      </c>
      <c r="AO692" t="s">
        <v>63</v>
      </c>
      <c r="AP692" t="s">
        <v>63</v>
      </c>
      <c r="AQ692" t="s">
        <v>63</v>
      </c>
      <c r="AR692" t="s">
        <v>63</v>
      </c>
      <c r="AS692" t="s">
        <v>63</v>
      </c>
      <c r="AT692" t="s">
        <v>63</v>
      </c>
      <c r="AU692" t="s">
        <v>63</v>
      </c>
      <c r="AV692" t="s">
        <v>63</v>
      </c>
      <c r="AW692" t="s">
        <v>63</v>
      </c>
      <c r="AX692" t="s">
        <v>63</v>
      </c>
      <c r="AY692" t="s">
        <v>63</v>
      </c>
      <c r="AZ692" t="s">
        <v>63</v>
      </c>
      <c r="BA692" t="s">
        <v>63</v>
      </c>
      <c r="BB692" t="s">
        <v>63</v>
      </c>
      <c r="BC692" t="s">
        <v>63</v>
      </c>
      <c r="BD692" t="s">
        <v>63</v>
      </c>
      <c r="BE692" t="s">
        <v>63</v>
      </c>
      <c r="BF692" t="s">
        <v>63</v>
      </c>
    </row>
    <row r="693" spans="1:58">
      <c r="A693" t="s">
        <v>58</v>
      </c>
      <c r="B693" t="s">
        <v>6221</v>
      </c>
      <c r="C693" t="s">
        <v>6222</v>
      </c>
      <c r="D693" t="s">
        <v>6223</v>
      </c>
      <c r="E693" t="s">
        <v>63</v>
      </c>
      <c r="F693">
        <v>2013</v>
      </c>
      <c r="G693" t="s">
        <v>274</v>
      </c>
      <c r="H693">
        <v>35</v>
      </c>
      <c r="I693">
        <v>6</v>
      </c>
      <c r="J693">
        <v>498</v>
      </c>
      <c r="K693">
        <v>505</v>
      </c>
      <c r="L693" t="s">
        <v>6224</v>
      </c>
      <c r="M693" t="s">
        <v>6225</v>
      </c>
      <c r="N693" t="s">
        <v>6226</v>
      </c>
      <c r="O693" t="s">
        <v>63</v>
      </c>
      <c r="Q693" t="s">
        <v>63</v>
      </c>
      <c r="R693" t="s">
        <v>63</v>
      </c>
      <c r="S693" t="s">
        <v>63</v>
      </c>
      <c r="T693" t="s">
        <v>63</v>
      </c>
      <c r="X693" t="s">
        <v>63</v>
      </c>
      <c r="Y693" t="s">
        <v>6227</v>
      </c>
      <c r="Z693" t="s">
        <v>63</v>
      </c>
      <c r="AA693" t="s">
        <v>6228</v>
      </c>
      <c r="AB693">
        <v>22823955</v>
      </c>
      <c r="AC693" t="s">
        <v>67</v>
      </c>
      <c r="AD693" t="s">
        <v>63</v>
      </c>
      <c r="AE693" t="s">
        <v>63</v>
      </c>
      <c r="AF693" t="s">
        <v>63</v>
      </c>
      <c r="AG693" t="s">
        <v>6229</v>
      </c>
      <c r="AH693" t="s">
        <v>63</v>
      </c>
      <c r="AI693" t="s">
        <v>6230</v>
      </c>
      <c r="AJ693" t="s">
        <v>63</v>
      </c>
      <c r="AK693" t="s">
        <v>63</v>
      </c>
      <c r="AL693" t="s">
        <v>63</v>
      </c>
      <c r="AM693" t="s">
        <v>6231</v>
      </c>
      <c r="AN693" t="s">
        <v>63</v>
      </c>
      <c r="AO693" t="s">
        <v>63</v>
      </c>
      <c r="AP693" t="s">
        <v>63</v>
      </c>
      <c r="AQ693" t="s">
        <v>63</v>
      </c>
      <c r="AR693" t="s">
        <v>63</v>
      </c>
      <c r="AS693" t="s">
        <v>63</v>
      </c>
      <c r="AT693" t="s">
        <v>63</v>
      </c>
      <c r="AU693" t="s">
        <v>63</v>
      </c>
      <c r="AV693" t="s">
        <v>63</v>
      </c>
      <c r="AW693" t="s">
        <v>63</v>
      </c>
      <c r="AX693" t="s">
        <v>63</v>
      </c>
      <c r="AY693" t="s">
        <v>63</v>
      </c>
      <c r="AZ693" t="s">
        <v>63</v>
      </c>
      <c r="BA693" t="s">
        <v>63</v>
      </c>
      <c r="BB693" t="s">
        <v>63</v>
      </c>
      <c r="BC693" t="s">
        <v>63</v>
      </c>
      <c r="BD693" t="s">
        <v>63</v>
      </c>
      <c r="BE693" t="s">
        <v>63</v>
      </c>
      <c r="BF693" t="s">
        <v>63</v>
      </c>
    </row>
    <row r="694" spans="1:58">
      <c r="A694" t="s">
        <v>58</v>
      </c>
      <c r="B694" t="s">
        <v>6232</v>
      </c>
      <c r="C694" t="s">
        <v>6233</v>
      </c>
      <c r="D694" t="s">
        <v>2731</v>
      </c>
      <c r="E694" t="s">
        <v>63</v>
      </c>
      <c r="F694">
        <v>2011</v>
      </c>
      <c r="G694" t="s">
        <v>1717</v>
      </c>
      <c r="H694">
        <v>7</v>
      </c>
      <c r="I694">
        <v>6</v>
      </c>
      <c r="J694">
        <v>417</v>
      </c>
      <c r="K694">
        <v>424</v>
      </c>
      <c r="L694" t="s">
        <v>6234</v>
      </c>
      <c r="M694" t="s">
        <v>6235</v>
      </c>
      <c r="N694" t="s">
        <v>6236</v>
      </c>
      <c r="O694" t="s">
        <v>63</v>
      </c>
      <c r="Q694" t="s">
        <v>63</v>
      </c>
      <c r="R694" t="s">
        <v>63</v>
      </c>
      <c r="S694" t="s">
        <v>63</v>
      </c>
      <c r="T694" t="s">
        <v>63</v>
      </c>
      <c r="X694" t="s">
        <v>63</v>
      </c>
      <c r="Y694" t="s">
        <v>2735</v>
      </c>
      <c r="Z694" t="s">
        <v>63</v>
      </c>
      <c r="AA694" t="s">
        <v>6237</v>
      </c>
      <c r="AB694">
        <v>22320023</v>
      </c>
      <c r="AC694" t="s">
        <v>67</v>
      </c>
      <c r="AD694" t="s">
        <v>63</v>
      </c>
      <c r="AE694" t="s">
        <v>63</v>
      </c>
      <c r="AF694" t="s">
        <v>63</v>
      </c>
      <c r="AG694" t="s">
        <v>6238</v>
      </c>
      <c r="AH694" t="s">
        <v>63</v>
      </c>
      <c r="AI694" t="s">
        <v>63</v>
      </c>
      <c r="AJ694" t="s">
        <v>63</v>
      </c>
      <c r="AK694" t="s">
        <v>63</v>
      </c>
      <c r="AL694" t="s">
        <v>63</v>
      </c>
      <c r="AM694" t="s">
        <v>6239</v>
      </c>
      <c r="AN694" t="s">
        <v>63</v>
      </c>
      <c r="AO694" t="s">
        <v>63</v>
      </c>
      <c r="AP694" t="s">
        <v>63</v>
      </c>
      <c r="AQ694" t="s">
        <v>63</v>
      </c>
      <c r="AR694" t="s">
        <v>63</v>
      </c>
      <c r="AS694" t="s">
        <v>63</v>
      </c>
      <c r="AT694" t="s">
        <v>63</v>
      </c>
      <c r="AU694" t="s">
        <v>63</v>
      </c>
      <c r="AV694" t="s">
        <v>63</v>
      </c>
      <c r="AW694" t="s">
        <v>63</v>
      </c>
      <c r="AX694" t="s">
        <v>63</v>
      </c>
      <c r="AY694" t="s">
        <v>63</v>
      </c>
      <c r="AZ694" t="s">
        <v>63</v>
      </c>
      <c r="BA694" t="s">
        <v>63</v>
      </c>
      <c r="BB694" t="s">
        <v>63</v>
      </c>
      <c r="BC694" t="s">
        <v>63</v>
      </c>
      <c r="BD694" t="s">
        <v>63</v>
      </c>
      <c r="BE694" t="s">
        <v>63</v>
      </c>
      <c r="BF694" t="s">
        <v>63</v>
      </c>
    </row>
    <row r="695" spans="1:58">
      <c r="A695" t="s">
        <v>58</v>
      </c>
      <c r="B695" t="s">
        <v>6240</v>
      </c>
      <c r="C695" t="s">
        <v>6241</v>
      </c>
      <c r="D695" t="s">
        <v>325</v>
      </c>
      <c r="E695" t="s">
        <v>63</v>
      </c>
      <c r="F695">
        <v>2018</v>
      </c>
      <c r="G695" t="s">
        <v>73</v>
      </c>
      <c r="H695">
        <v>42</v>
      </c>
      <c r="I695">
        <v>3</v>
      </c>
      <c r="J695">
        <v>438</v>
      </c>
      <c r="K695">
        <v>439</v>
      </c>
      <c r="L695" t="s">
        <v>63</v>
      </c>
      <c r="M695" t="s">
        <v>63</v>
      </c>
      <c r="N695" t="s">
        <v>6242</v>
      </c>
      <c r="O695" t="s">
        <v>63</v>
      </c>
      <c r="Q695" t="s">
        <v>63</v>
      </c>
      <c r="R695" t="s">
        <v>63</v>
      </c>
      <c r="S695" t="s">
        <v>63</v>
      </c>
      <c r="T695" t="s">
        <v>63</v>
      </c>
      <c r="X695" t="s">
        <v>63</v>
      </c>
      <c r="Y695" t="s">
        <v>330</v>
      </c>
      <c r="Z695" t="s">
        <v>63</v>
      </c>
      <c r="AA695" t="s">
        <v>6243</v>
      </c>
      <c r="AB695">
        <v>29511970</v>
      </c>
      <c r="AC695" t="s">
        <v>67</v>
      </c>
      <c r="AD695" t="s">
        <v>63</v>
      </c>
      <c r="AE695" t="s">
        <v>63</v>
      </c>
      <c r="AF695" t="s">
        <v>63</v>
      </c>
      <c r="AG695" t="s">
        <v>6244</v>
      </c>
      <c r="AH695" t="s">
        <v>63</v>
      </c>
      <c r="AI695" t="s">
        <v>6245</v>
      </c>
      <c r="AJ695" t="s">
        <v>63</v>
      </c>
      <c r="AK695" t="s">
        <v>63</v>
      </c>
      <c r="AL695" t="s">
        <v>63</v>
      </c>
      <c r="AM695" t="s">
        <v>6246</v>
      </c>
      <c r="AN695" t="s">
        <v>63</v>
      </c>
      <c r="AO695" t="s">
        <v>63</v>
      </c>
      <c r="AP695" t="s">
        <v>63</v>
      </c>
      <c r="AQ695" t="s">
        <v>63</v>
      </c>
      <c r="AR695" t="s">
        <v>63</v>
      </c>
      <c r="AS695" t="s">
        <v>63</v>
      </c>
      <c r="AT695" t="s">
        <v>63</v>
      </c>
      <c r="AU695" t="s">
        <v>63</v>
      </c>
      <c r="AV695" t="s">
        <v>63</v>
      </c>
      <c r="AW695" t="s">
        <v>63</v>
      </c>
      <c r="AX695" t="s">
        <v>63</v>
      </c>
      <c r="AY695" t="s">
        <v>63</v>
      </c>
      <c r="AZ695" t="s">
        <v>63</v>
      </c>
      <c r="BA695" t="s">
        <v>63</v>
      </c>
      <c r="BB695" t="s">
        <v>63</v>
      </c>
      <c r="BC695" t="s">
        <v>63</v>
      </c>
      <c r="BD695" t="s">
        <v>63</v>
      </c>
      <c r="BE695" t="s">
        <v>63</v>
      </c>
      <c r="BF695" t="s">
        <v>63</v>
      </c>
    </row>
    <row r="696" spans="1:58">
      <c r="A696" t="s">
        <v>58</v>
      </c>
      <c r="B696" t="s">
        <v>6247</v>
      </c>
      <c r="C696" t="s">
        <v>6248</v>
      </c>
      <c r="D696" t="s">
        <v>6249</v>
      </c>
      <c r="E696" t="s">
        <v>63</v>
      </c>
      <c r="F696">
        <v>2015</v>
      </c>
      <c r="G696" t="s">
        <v>147</v>
      </c>
      <c r="H696">
        <v>29</v>
      </c>
      <c r="I696">
        <v>2</v>
      </c>
      <c r="J696">
        <v>191</v>
      </c>
      <c r="K696">
        <v>198</v>
      </c>
      <c r="L696" t="s">
        <v>6250</v>
      </c>
      <c r="M696" t="s">
        <v>6251</v>
      </c>
      <c r="N696" t="s">
        <v>6252</v>
      </c>
      <c r="O696" t="s">
        <v>63</v>
      </c>
      <c r="Q696" t="s">
        <v>63</v>
      </c>
      <c r="R696" t="s">
        <v>63</v>
      </c>
      <c r="S696" t="s">
        <v>63</v>
      </c>
      <c r="T696" t="s">
        <v>63</v>
      </c>
      <c r="X696" t="s">
        <v>63</v>
      </c>
      <c r="Y696" t="s">
        <v>6253</v>
      </c>
      <c r="Z696" t="s">
        <v>63</v>
      </c>
      <c r="AA696" t="s">
        <v>63</v>
      </c>
      <c r="AB696">
        <v>25697767</v>
      </c>
      <c r="AC696" t="s">
        <v>67</v>
      </c>
      <c r="AD696" t="s">
        <v>63</v>
      </c>
      <c r="AE696" t="s">
        <v>63</v>
      </c>
      <c r="AF696" t="s">
        <v>63</v>
      </c>
      <c r="AG696" t="s">
        <v>6254</v>
      </c>
      <c r="AH696" t="s">
        <v>63</v>
      </c>
      <c r="AI696" t="s">
        <v>6255</v>
      </c>
      <c r="AJ696" t="s">
        <v>63</v>
      </c>
      <c r="AK696" t="s">
        <v>63</v>
      </c>
      <c r="AL696" t="s">
        <v>63</v>
      </c>
      <c r="AM696" t="s">
        <v>6256</v>
      </c>
      <c r="AN696" t="s">
        <v>63</v>
      </c>
      <c r="AO696" t="s">
        <v>63</v>
      </c>
      <c r="AP696" t="s">
        <v>63</v>
      </c>
      <c r="AQ696" t="s">
        <v>63</v>
      </c>
      <c r="AR696" t="s">
        <v>63</v>
      </c>
      <c r="AS696" t="s">
        <v>63</v>
      </c>
      <c r="AT696" t="s">
        <v>63</v>
      </c>
      <c r="AU696" t="s">
        <v>63</v>
      </c>
      <c r="AV696" t="s">
        <v>63</v>
      </c>
      <c r="AW696" t="s">
        <v>63</v>
      </c>
      <c r="AX696" t="s">
        <v>63</v>
      </c>
      <c r="AY696" t="s">
        <v>63</v>
      </c>
      <c r="AZ696" t="s">
        <v>63</v>
      </c>
      <c r="BA696" t="s">
        <v>63</v>
      </c>
      <c r="BB696" t="s">
        <v>63</v>
      </c>
      <c r="BC696" t="s">
        <v>63</v>
      </c>
      <c r="BD696" t="s">
        <v>63</v>
      </c>
      <c r="BE696" t="s">
        <v>63</v>
      </c>
      <c r="BF696" t="s">
        <v>63</v>
      </c>
    </row>
    <row r="697" spans="1:58">
      <c r="A697" t="s">
        <v>58</v>
      </c>
      <c r="B697" t="s">
        <v>6257</v>
      </c>
      <c r="C697" t="s">
        <v>6258</v>
      </c>
      <c r="D697" t="s">
        <v>6259</v>
      </c>
      <c r="E697" t="s">
        <v>63</v>
      </c>
      <c r="F697">
        <v>1986</v>
      </c>
      <c r="G697" t="s">
        <v>63</v>
      </c>
      <c r="H697">
        <v>9</v>
      </c>
      <c r="I697" s="1">
        <v>41764</v>
      </c>
      <c r="J697">
        <v>417</v>
      </c>
      <c r="K697">
        <v>420</v>
      </c>
      <c r="L697" t="s">
        <v>6260</v>
      </c>
      <c r="M697" t="s">
        <v>6261</v>
      </c>
      <c r="N697" t="s">
        <v>6262</v>
      </c>
      <c r="O697" t="s">
        <v>63</v>
      </c>
      <c r="Q697" t="s">
        <v>63</v>
      </c>
      <c r="R697" t="s">
        <v>63</v>
      </c>
      <c r="S697" t="s">
        <v>63</v>
      </c>
      <c r="T697" t="s">
        <v>63</v>
      </c>
      <c r="X697" t="s">
        <v>63</v>
      </c>
      <c r="Y697" t="s">
        <v>6263</v>
      </c>
      <c r="Z697" t="s">
        <v>63</v>
      </c>
      <c r="AA697" t="s">
        <v>63</v>
      </c>
      <c r="AB697">
        <v>3779702</v>
      </c>
      <c r="AC697" t="s">
        <v>67</v>
      </c>
      <c r="AD697" t="s">
        <v>63</v>
      </c>
      <c r="AE697" t="s">
        <v>63</v>
      </c>
      <c r="AF697" t="s">
        <v>63</v>
      </c>
      <c r="AG697" t="s">
        <v>6264</v>
      </c>
      <c r="AH697" t="s">
        <v>63</v>
      </c>
      <c r="AI697" t="s">
        <v>63</v>
      </c>
      <c r="AJ697" t="s">
        <v>63</v>
      </c>
      <c r="AK697" t="s">
        <v>63</v>
      </c>
      <c r="AL697" t="s">
        <v>63</v>
      </c>
      <c r="AM697" t="s">
        <v>6265</v>
      </c>
      <c r="AN697" t="s">
        <v>63</v>
      </c>
      <c r="AO697" t="s">
        <v>63</v>
      </c>
      <c r="AP697" t="s">
        <v>63</v>
      </c>
      <c r="AQ697" t="s">
        <v>63</v>
      </c>
      <c r="AR697" t="s">
        <v>63</v>
      </c>
      <c r="AS697" t="s">
        <v>63</v>
      </c>
      <c r="AT697" t="s">
        <v>63</v>
      </c>
      <c r="AU697" t="s">
        <v>63</v>
      </c>
      <c r="AV697" t="s">
        <v>63</v>
      </c>
      <c r="AW697" t="s">
        <v>63</v>
      </c>
      <c r="AX697" t="s">
        <v>63</v>
      </c>
      <c r="AY697" t="s">
        <v>63</v>
      </c>
      <c r="AZ697" t="s">
        <v>63</v>
      </c>
      <c r="BA697" t="s">
        <v>63</v>
      </c>
      <c r="BB697" t="s">
        <v>63</v>
      </c>
      <c r="BC697" t="s">
        <v>63</v>
      </c>
      <c r="BD697" t="s">
        <v>63</v>
      </c>
      <c r="BE697" t="s">
        <v>63</v>
      </c>
      <c r="BF697" t="s">
        <v>63</v>
      </c>
    </row>
    <row r="698" spans="1:58">
      <c r="A698" t="s">
        <v>58</v>
      </c>
      <c r="B698" t="s">
        <v>6266</v>
      </c>
      <c r="C698" t="s">
        <v>6267</v>
      </c>
      <c r="D698" t="s">
        <v>5166</v>
      </c>
      <c r="E698" t="s">
        <v>5167</v>
      </c>
      <c r="F698">
        <v>1991</v>
      </c>
      <c r="G698" t="s">
        <v>219</v>
      </c>
      <c r="H698">
        <v>91</v>
      </c>
      <c r="I698">
        <v>11</v>
      </c>
      <c r="J698" t="s">
        <v>6268</v>
      </c>
      <c r="K698" t="s">
        <v>6269</v>
      </c>
      <c r="L698" t="s">
        <v>6270</v>
      </c>
      <c r="M698" t="s">
        <v>6271</v>
      </c>
      <c r="N698" t="s">
        <v>6272</v>
      </c>
      <c r="O698" t="s">
        <v>63</v>
      </c>
      <c r="Q698" t="s">
        <v>63</v>
      </c>
      <c r="R698" t="s">
        <v>63</v>
      </c>
      <c r="S698" t="s">
        <v>63</v>
      </c>
      <c r="T698" t="s">
        <v>63</v>
      </c>
      <c r="X698" t="s">
        <v>63</v>
      </c>
      <c r="Y698" t="s">
        <v>5170</v>
      </c>
      <c r="Z698" t="s">
        <v>63</v>
      </c>
      <c r="AA698" t="s">
        <v>6273</v>
      </c>
      <c r="AB698">
        <v>1771058</v>
      </c>
      <c r="AC698" t="s">
        <v>67</v>
      </c>
      <c r="AD698" t="s">
        <v>63</v>
      </c>
      <c r="AE698" t="s">
        <v>63</v>
      </c>
      <c r="AF698" t="s">
        <v>63</v>
      </c>
      <c r="AG698" t="s">
        <v>6274</v>
      </c>
      <c r="AH698" t="s">
        <v>63</v>
      </c>
      <c r="AI698" t="s">
        <v>63</v>
      </c>
      <c r="AJ698" t="s">
        <v>63</v>
      </c>
      <c r="AK698" t="s">
        <v>63</v>
      </c>
      <c r="AL698" t="s">
        <v>63</v>
      </c>
      <c r="AM698" t="s">
        <v>6275</v>
      </c>
      <c r="AN698" t="s">
        <v>63</v>
      </c>
      <c r="AO698" t="s">
        <v>63</v>
      </c>
      <c r="AP698" t="s">
        <v>63</v>
      </c>
      <c r="AQ698" t="s">
        <v>63</v>
      </c>
      <c r="AR698" t="s">
        <v>63</v>
      </c>
      <c r="AS698" t="s">
        <v>63</v>
      </c>
      <c r="AT698" t="s">
        <v>63</v>
      </c>
      <c r="AU698" t="s">
        <v>63</v>
      </c>
      <c r="AV698" t="s">
        <v>63</v>
      </c>
      <c r="AW698" t="s">
        <v>63</v>
      </c>
      <c r="AX698" t="s">
        <v>63</v>
      </c>
      <c r="AY698" t="s">
        <v>63</v>
      </c>
      <c r="AZ698" t="s">
        <v>63</v>
      </c>
      <c r="BA698" t="s">
        <v>63</v>
      </c>
      <c r="BB698" t="s">
        <v>63</v>
      </c>
      <c r="BC698" t="s">
        <v>63</v>
      </c>
      <c r="BD698" t="s">
        <v>63</v>
      </c>
      <c r="BE698" t="s">
        <v>63</v>
      </c>
      <c r="BF698" t="s">
        <v>63</v>
      </c>
    </row>
    <row r="699" spans="1:58">
      <c r="A699" t="s">
        <v>58</v>
      </c>
      <c r="B699" t="s">
        <v>6276</v>
      </c>
      <c r="C699" t="s">
        <v>6277</v>
      </c>
      <c r="D699" t="s">
        <v>5037</v>
      </c>
      <c r="E699" t="s">
        <v>5038</v>
      </c>
      <c r="F699">
        <v>2014</v>
      </c>
      <c r="G699" t="s">
        <v>614</v>
      </c>
      <c r="H699">
        <v>104</v>
      </c>
      <c r="I699">
        <v>8</v>
      </c>
      <c r="J699" t="s">
        <v>6278</v>
      </c>
      <c r="K699" t="s">
        <v>63</v>
      </c>
      <c r="L699" t="s">
        <v>6279</v>
      </c>
      <c r="M699" t="s">
        <v>63</v>
      </c>
      <c r="N699" t="s">
        <v>6280</v>
      </c>
      <c r="O699" t="s">
        <v>63</v>
      </c>
      <c r="Q699" t="s">
        <v>63</v>
      </c>
      <c r="R699" t="s">
        <v>63</v>
      </c>
      <c r="S699" t="s">
        <v>63</v>
      </c>
      <c r="T699" t="s">
        <v>63</v>
      </c>
      <c r="X699" t="s">
        <v>63</v>
      </c>
      <c r="Y699" t="s">
        <v>6281</v>
      </c>
      <c r="Z699" t="s">
        <v>63</v>
      </c>
      <c r="AA699" t="s">
        <v>6282</v>
      </c>
      <c r="AB699">
        <v>24922156</v>
      </c>
      <c r="AC699" t="s">
        <v>67</v>
      </c>
      <c r="AD699" t="s">
        <v>63</v>
      </c>
      <c r="AE699" t="s">
        <v>63</v>
      </c>
      <c r="AF699" t="s">
        <v>63</v>
      </c>
      <c r="AG699" t="s">
        <v>6283</v>
      </c>
      <c r="AH699" t="s">
        <v>63</v>
      </c>
      <c r="AI699" t="s">
        <v>6284</v>
      </c>
      <c r="AJ699" t="s">
        <v>63</v>
      </c>
      <c r="AK699" t="s">
        <v>63</v>
      </c>
      <c r="AL699" t="s">
        <v>63</v>
      </c>
      <c r="AM699" t="s">
        <v>6285</v>
      </c>
      <c r="AN699" t="s">
        <v>63</v>
      </c>
      <c r="AO699" t="s">
        <v>63</v>
      </c>
      <c r="AP699" t="s">
        <v>63</v>
      </c>
      <c r="AQ699" t="s">
        <v>63</v>
      </c>
      <c r="AR699" t="s">
        <v>63</v>
      </c>
      <c r="AS699" t="s">
        <v>63</v>
      </c>
      <c r="AT699" t="s">
        <v>63</v>
      </c>
      <c r="AU699" t="s">
        <v>63</v>
      </c>
      <c r="AV699" t="s">
        <v>63</v>
      </c>
      <c r="AW699" t="s">
        <v>63</v>
      </c>
      <c r="AX699" t="s">
        <v>63</v>
      </c>
      <c r="AY699" t="s">
        <v>63</v>
      </c>
      <c r="AZ699" t="s">
        <v>63</v>
      </c>
      <c r="BA699" t="s">
        <v>63</v>
      </c>
      <c r="BB699" t="s">
        <v>63</v>
      </c>
      <c r="BC699" t="s">
        <v>63</v>
      </c>
      <c r="BD699" t="s">
        <v>63</v>
      </c>
      <c r="BE699" t="s">
        <v>63</v>
      </c>
      <c r="BF699" t="s">
        <v>63</v>
      </c>
    </row>
    <row r="700" spans="1:58">
      <c r="A700" t="s">
        <v>58</v>
      </c>
      <c r="B700" t="s">
        <v>6286</v>
      </c>
      <c r="C700" t="s">
        <v>6287</v>
      </c>
      <c r="D700" t="s">
        <v>408</v>
      </c>
      <c r="E700" t="s">
        <v>409</v>
      </c>
      <c r="F700">
        <v>1999</v>
      </c>
      <c r="G700" t="s">
        <v>138</v>
      </c>
      <c r="H700">
        <v>34</v>
      </c>
      <c r="I700">
        <v>12</v>
      </c>
      <c r="J700">
        <v>1605</v>
      </c>
      <c r="K700">
        <v>1617</v>
      </c>
      <c r="L700" t="s">
        <v>6288</v>
      </c>
      <c r="M700" t="s">
        <v>6289</v>
      </c>
      <c r="N700" t="s">
        <v>6290</v>
      </c>
      <c r="O700" t="s">
        <v>63</v>
      </c>
      <c r="Q700" t="s">
        <v>63</v>
      </c>
      <c r="R700" t="s">
        <v>63</v>
      </c>
      <c r="S700" t="s">
        <v>63</v>
      </c>
      <c r="T700" t="s">
        <v>63</v>
      </c>
      <c r="X700" t="s">
        <v>63</v>
      </c>
      <c r="Y700" t="s">
        <v>3682</v>
      </c>
      <c r="Z700" t="s">
        <v>63</v>
      </c>
      <c r="AA700" t="s">
        <v>6291</v>
      </c>
      <c r="AB700">
        <v>10499411</v>
      </c>
      <c r="AC700" t="s">
        <v>67</v>
      </c>
      <c r="AD700" t="s">
        <v>63</v>
      </c>
      <c r="AE700" t="s">
        <v>63</v>
      </c>
      <c r="AF700" t="s">
        <v>63</v>
      </c>
      <c r="AG700" t="s">
        <v>6292</v>
      </c>
      <c r="AH700" t="s">
        <v>63</v>
      </c>
      <c r="AI700" t="s">
        <v>63</v>
      </c>
      <c r="AJ700" t="s">
        <v>63</v>
      </c>
      <c r="AK700" t="s">
        <v>63</v>
      </c>
      <c r="AL700" t="s">
        <v>63</v>
      </c>
      <c r="AM700" t="s">
        <v>6293</v>
      </c>
      <c r="AN700" t="s">
        <v>63</v>
      </c>
      <c r="AO700" t="s">
        <v>63</v>
      </c>
      <c r="AP700" t="s">
        <v>63</v>
      </c>
      <c r="AQ700" t="s">
        <v>63</v>
      </c>
      <c r="AR700" t="s">
        <v>63</v>
      </c>
      <c r="AS700" t="s">
        <v>63</v>
      </c>
      <c r="AT700" t="s">
        <v>63</v>
      </c>
      <c r="AU700" t="s">
        <v>63</v>
      </c>
      <c r="AV700" t="s">
        <v>63</v>
      </c>
      <c r="AW700" t="s">
        <v>63</v>
      </c>
      <c r="AX700" t="s">
        <v>63</v>
      </c>
      <c r="AY700" t="s">
        <v>63</v>
      </c>
      <c r="AZ700" t="s">
        <v>63</v>
      </c>
      <c r="BA700" t="s">
        <v>63</v>
      </c>
      <c r="BB700" t="s">
        <v>63</v>
      </c>
      <c r="BC700" t="s">
        <v>63</v>
      </c>
      <c r="BD700" t="s">
        <v>63</v>
      </c>
      <c r="BE700" t="s">
        <v>63</v>
      </c>
      <c r="BF700" t="s">
        <v>63</v>
      </c>
    </row>
    <row r="701" spans="1:58">
      <c r="A701" t="s">
        <v>58</v>
      </c>
      <c r="B701" t="s">
        <v>6294</v>
      </c>
      <c r="C701" t="s">
        <v>6295</v>
      </c>
      <c r="D701" t="s">
        <v>6296</v>
      </c>
      <c r="E701" t="s">
        <v>63</v>
      </c>
      <c r="F701">
        <v>2015</v>
      </c>
      <c r="G701" t="s">
        <v>982</v>
      </c>
      <c r="H701">
        <v>12</v>
      </c>
      <c r="I701">
        <v>4</v>
      </c>
      <c r="J701">
        <v>248</v>
      </c>
      <c r="K701">
        <v>250</v>
      </c>
      <c r="L701" t="s">
        <v>6297</v>
      </c>
      <c r="M701" t="s">
        <v>6298</v>
      </c>
      <c r="N701" t="s">
        <v>6299</v>
      </c>
      <c r="O701" t="s">
        <v>63</v>
      </c>
      <c r="Q701" t="s">
        <v>63</v>
      </c>
      <c r="R701" t="s">
        <v>63</v>
      </c>
      <c r="S701" t="s">
        <v>63</v>
      </c>
      <c r="T701" t="s">
        <v>63</v>
      </c>
      <c r="X701" t="s">
        <v>63</v>
      </c>
      <c r="Y701" t="s">
        <v>6300</v>
      </c>
      <c r="Z701" t="s">
        <v>63</v>
      </c>
      <c r="AA701" t="s">
        <v>6301</v>
      </c>
      <c r="AB701">
        <v>26592790</v>
      </c>
      <c r="AC701" t="s">
        <v>67</v>
      </c>
      <c r="AD701" t="s">
        <v>63</v>
      </c>
      <c r="AE701" t="s">
        <v>63</v>
      </c>
      <c r="AF701" t="s">
        <v>63</v>
      </c>
      <c r="AG701" t="s">
        <v>6302</v>
      </c>
      <c r="AH701" t="s">
        <v>63</v>
      </c>
      <c r="AI701" t="s">
        <v>63</v>
      </c>
      <c r="AJ701" t="s">
        <v>63</v>
      </c>
      <c r="AK701" t="s">
        <v>63</v>
      </c>
      <c r="AL701" t="s">
        <v>63</v>
      </c>
      <c r="AM701" t="s">
        <v>6303</v>
      </c>
      <c r="AN701" t="s">
        <v>63</v>
      </c>
      <c r="AO701" t="s">
        <v>63</v>
      </c>
      <c r="AP701" t="s">
        <v>63</v>
      </c>
      <c r="AQ701" t="s">
        <v>63</v>
      </c>
      <c r="AR701" t="s">
        <v>63</v>
      </c>
      <c r="AS701" t="s">
        <v>63</v>
      </c>
      <c r="AT701" t="s">
        <v>63</v>
      </c>
      <c r="AU701" t="s">
        <v>63</v>
      </c>
      <c r="AV701" t="s">
        <v>63</v>
      </c>
      <c r="AW701" t="s">
        <v>63</v>
      </c>
      <c r="AX701" t="s">
        <v>63</v>
      </c>
      <c r="AY701" t="s">
        <v>63</v>
      </c>
      <c r="AZ701" t="s">
        <v>63</v>
      </c>
      <c r="BA701" t="s">
        <v>63</v>
      </c>
      <c r="BB701" t="s">
        <v>63</v>
      </c>
      <c r="BC701" t="s">
        <v>63</v>
      </c>
      <c r="BD701" t="s">
        <v>63</v>
      </c>
      <c r="BE701" t="s">
        <v>63</v>
      </c>
      <c r="BF701" t="s">
        <v>63</v>
      </c>
    </row>
    <row r="702" spans="1:58">
      <c r="A702" t="s">
        <v>58</v>
      </c>
      <c r="B702" t="s">
        <v>6304</v>
      </c>
      <c r="C702" t="s">
        <v>6305</v>
      </c>
      <c r="D702" t="s">
        <v>6306</v>
      </c>
      <c r="E702" t="s">
        <v>63</v>
      </c>
      <c r="F702">
        <v>2009</v>
      </c>
      <c r="G702" t="s">
        <v>63</v>
      </c>
      <c r="H702">
        <v>24</v>
      </c>
      <c r="I702">
        <v>2</v>
      </c>
      <c r="J702">
        <v>107</v>
      </c>
      <c r="K702">
        <v>113</v>
      </c>
      <c r="L702" t="s">
        <v>6307</v>
      </c>
      <c r="M702" t="s">
        <v>6308</v>
      </c>
      <c r="N702" t="s">
        <v>6309</v>
      </c>
      <c r="O702" t="s">
        <v>63</v>
      </c>
      <c r="Q702" t="s">
        <v>63</v>
      </c>
      <c r="R702" t="s">
        <v>63</v>
      </c>
      <c r="S702" t="s">
        <v>63</v>
      </c>
      <c r="T702" t="s">
        <v>63</v>
      </c>
      <c r="X702" t="s">
        <v>63</v>
      </c>
      <c r="Y702" t="s">
        <v>6310</v>
      </c>
      <c r="Z702" t="s">
        <v>63</v>
      </c>
      <c r="AA702" t="s">
        <v>6311</v>
      </c>
      <c r="AB702">
        <v>19431026</v>
      </c>
      <c r="AC702" t="s">
        <v>67</v>
      </c>
      <c r="AD702" t="s">
        <v>63</v>
      </c>
      <c r="AE702" t="s">
        <v>63</v>
      </c>
      <c r="AF702" t="s">
        <v>63</v>
      </c>
      <c r="AG702" t="s">
        <v>6312</v>
      </c>
      <c r="AH702" t="s">
        <v>63</v>
      </c>
      <c r="AI702" t="s">
        <v>6313</v>
      </c>
      <c r="AJ702" t="s">
        <v>63</v>
      </c>
      <c r="AK702" t="s">
        <v>63</v>
      </c>
      <c r="AL702" t="s">
        <v>63</v>
      </c>
      <c r="AM702" t="s">
        <v>6314</v>
      </c>
      <c r="AN702" t="s">
        <v>63</v>
      </c>
      <c r="AO702" t="s">
        <v>63</v>
      </c>
      <c r="AP702" t="s">
        <v>63</v>
      </c>
      <c r="AQ702" t="s">
        <v>63</v>
      </c>
      <c r="AR702" t="s">
        <v>63</v>
      </c>
      <c r="AS702" t="s">
        <v>63</v>
      </c>
      <c r="AT702" t="s">
        <v>63</v>
      </c>
      <c r="AU702" t="s">
        <v>63</v>
      </c>
      <c r="AV702" t="s">
        <v>63</v>
      </c>
      <c r="AW702" t="s">
        <v>63</v>
      </c>
      <c r="AX702" t="s">
        <v>63</v>
      </c>
      <c r="AY702" t="s">
        <v>63</v>
      </c>
      <c r="AZ702" t="s">
        <v>63</v>
      </c>
      <c r="BA702" t="s">
        <v>63</v>
      </c>
      <c r="BB702" t="s">
        <v>63</v>
      </c>
      <c r="BC702" t="s">
        <v>63</v>
      </c>
      <c r="BD702" t="s">
        <v>63</v>
      </c>
      <c r="BE702" t="s">
        <v>63</v>
      </c>
      <c r="BF702" t="s">
        <v>63</v>
      </c>
    </row>
    <row r="703" spans="1:58">
      <c r="A703" t="s">
        <v>58</v>
      </c>
      <c r="B703" t="s">
        <v>6315</v>
      </c>
      <c r="C703" t="s">
        <v>6316</v>
      </c>
      <c r="D703" t="s">
        <v>205</v>
      </c>
      <c r="E703" t="s">
        <v>205</v>
      </c>
      <c r="F703">
        <v>1998</v>
      </c>
      <c r="G703" s="1">
        <v>41918</v>
      </c>
      <c r="H703">
        <v>280</v>
      </c>
      <c r="I703">
        <v>13</v>
      </c>
      <c r="J703">
        <v>1190</v>
      </c>
      <c r="K703" t="s">
        <v>63</v>
      </c>
      <c r="L703" t="s">
        <v>6317</v>
      </c>
      <c r="M703" t="s">
        <v>63</v>
      </c>
      <c r="N703" t="s">
        <v>6318</v>
      </c>
      <c r="O703" t="s">
        <v>63</v>
      </c>
      <c r="Q703" t="s">
        <v>63</v>
      </c>
      <c r="R703" t="s">
        <v>63</v>
      </c>
      <c r="S703" t="s">
        <v>63</v>
      </c>
      <c r="T703" t="s">
        <v>63</v>
      </c>
      <c r="X703" t="s">
        <v>63</v>
      </c>
      <c r="Y703" t="s">
        <v>208</v>
      </c>
      <c r="Z703" t="s">
        <v>63</v>
      </c>
      <c r="AA703" t="s">
        <v>63</v>
      </c>
      <c r="AB703">
        <v>9777821</v>
      </c>
      <c r="AC703" t="s">
        <v>67</v>
      </c>
      <c r="AD703" t="s">
        <v>63</v>
      </c>
      <c r="AE703" t="s">
        <v>63</v>
      </c>
      <c r="AF703" t="s">
        <v>63</v>
      </c>
      <c r="AG703" t="s">
        <v>6319</v>
      </c>
      <c r="AH703" t="s">
        <v>63</v>
      </c>
      <c r="AI703" t="s">
        <v>63</v>
      </c>
      <c r="AJ703" t="s">
        <v>63</v>
      </c>
      <c r="AK703" t="s">
        <v>63</v>
      </c>
      <c r="AL703" t="s">
        <v>63</v>
      </c>
      <c r="AM703" t="s">
        <v>6320</v>
      </c>
      <c r="AN703" t="s">
        <v>63</v>
      </c>
      <c r="AO703" t="s">
        <v>63</v>
      </c>
      <c r="AP703" t="s">
        <v>63</v>
      </c>
      <c r="AQ703" t="s">
        <v>63</v>
      </c>
      <c r="AR703" t="s">
        <v>63</v>
      </c>
      <c r="AS703" t="s">
        <v>63</v>
      </c>
      <c r="AT703" t="s">
        <v>63</v>
      </c>
      <c r="AU703" t="s">
        <v>63</v>
      </c>
      <c r="AV703" t="s">
        <v>63</v>
      </c>
      <c r="AW703" t="s">
        <v>63</v>
      </c>
      <c r="AX703" t="s">
        <v>63</v>
      </c>
      <c r="AY703" t="s">
        <v>63</v>
      </c>
      <c r="AZ703" t="s">
        <v>63</v>
      </c>
      <c r="BA703" t="s">
        <v>63</v>
      </c>
      <c r="BB703" t="s">
        <v>63</v>
      </c>
      <c r="BC703" t="s">
        <v>63</v>
      </c>
      <c r="BD703" t="s">
        <v>63</v>
      </c>
      <c r="BE703" t="s">
        <v>63</v>
      </c>
      <c r="BF703" t="s">
        <v>63</v>
      </c>
    </row>
    <row r="704" spans="1:58">
      <c r="A704" t="s">
        <v>58</v>
      </c>
      <c r="B704" t="s">
        <v>6321</v>
      </c>
      <c r="C704" t="s">
        <v>6322</v>
      </c>
      <c r="D704" t="s">
        <v>6323</v>
      </c>
      <c r="E704" t="s">
        <v>63</v>
      </c>
      <c r="F704">
        <v>2016</v>
      </c>
      <c r="G704" s="1">
        <v>41783</v>
      </c>
      <c r="H704">
        <v>4</v>
      </c>
      <c r="I704">
        <v>2</v>
      </c>
      <c r="J704">
        <v>25</v>
      </c>
      <c r="K704" t="s">
        <v>63</v>
      </c>
      <c r="L704" t="s">
        <v>63</v>
      </c>
      <c r="M704" t="s">
        <v>6324</v>
      </c>
      <c r="N704" t="s">
        <v>6325</v>
      </c>
      <c r="O704" t="s">
        <v>63</v>
      </c>
      <c r="Q704" t="s">
        <v>63</v>
      </c>
      <c r="R704" t="s">
        <v>63</v>
      </c>
      <c r="S704" t="s">
        <v>63</v>
      </c>
      <c r="T704" t="s">
        <v>63</v>
      </c>
      <c r="X704" t="s">
        <v>63</v>
      </c>
      <c r="Y704" t="s">
        <v>6326</v>
      </c>
      <c r="Z704" t="s">
        <v>63</v>
      </c>
      <c r="AA704" t="s">
        <v>6327</v>
      </c>
      <c r="AB704">
        <v>27417617</v>
      </c>
      <c r="AC704" t="s">
        <v>67</v>
      </c>
      <c r="AD704" t="s">
        <v>63</v>
      </c>
      <c r="AE704" t="s">
        <v>63</v>
      </c>
      <c r="AF704" t="s">
        <v>63</v>
      </c>
      <c r="AG704" t="s">
        <v>6328</v>
      </c>
      <c r="AH704" t="s">
        <v>63</v>
      </c>
      <c r="AI704" t="s">
        <v>6329</v>
      </c>
      <c r="AJ704" t="s">
        <v>63</v>
      </c>
      <c r="AK704" t="s">
        <v>63</v>
      </c>
      <c r="AL704" t="s">
        <v>63</v>
      </c>
      <c r="AM704" t="s">
        <v>6330</v>
      </c>
      <c r="AN704" t="s">
        <v>63</v>
      </c>
      <c r="AO704" t="s">
        <v>63</v>
      </c>
      <c r="AP704" t="s">
        <v>63</v>
      </c>
      <c r="AQ704" t="s">
        <v>63</v>
      </c>
      <c r="AR704" t="s">
        <v>63</v>
      </c>
      <c r="AS704" t="s">
        <v>63</v>
      </c>
      <c r="AT704" t="s">
        <v>63</v>
      </c>
      <c r="AU704" t="s">
        <v>63</v>
      </c>
      <c r="AV704" t="s">
        <v>63</v>
      </c>
      <c r="AW704" t="s">
        <v>63</v>
      </c>
      <c r="AX704" t="s">
        <v>63</v>
      </c>
      <c r="AY704" t="s">
        <v>63</v>
      </c>
      <c r="AZ704" t="s">
        <v>63</v>
      </c>
      <c r="BA704" t="s">
        <v>63</v>
      </c>
      <c r="BB704" t="s">
        <v>63</v>
      </c>
      <c r="BC704" t="s">
        <v>63</v>
      </c>
      <c r="BD704" t="s">
        <v>63</v>
      </c>
      <c r="BE704" t="s">
        <v>63</v>
      </c>
      <c r="BF704" t="s">
        <v>63</v>
      </c>
    </row>
    <row r="705" spans="1:58">
      <c r="A705" t="s">
        <v>58</v>
      </c>
      <c r="B705" t="s">
        <v>6331</v>
      </c>
      <c r="C705" t="s">
        <v>6332</v>
      </c>
      <c r="D705" t="s">
        <v>6306</v>
      </c>
      <c r="E705" t="s">
        <v>63</v>
      </c>
      <c r="F705">
        <v>2003</v>
      </c>
      <c r="G705" t="s">
        <v>63</v>
      </c>
      <c r="H705">
        <v>18</v>
      </c>
      <c r="I705">
        <v>3</v>
      </c>
      <c r="J705">
        <v>142</v>
      </c>
      <c r="K705">
        <v>149</v>
      </c>
      <c r="L705" t="s">
        <v>6333</v>
      </c>
      <c r="M705" t="s">
        <v>6334</v>
      </c>
      <c r="N705" t="s">
        <v>6335</v>
      </c>
      <c r="O705" t="s">
        <v>63</v>
      </c>
      <c r="Q705" t="s">
        <v>63</v>
      </c>
      <c r="R705" t="s">
        <v>63</v>
      </c>
      <c r="S705" t="s">
        <v>63</v>
      </c>
      <c r="T705" t="s">
        <v>63</v>
      </c>
      <c r="X705" t="s">
        <v>63</v>
      </c>
      <c r="Y705" t="s">
        <v>6336</v>
      </c>
      <c r="Z705" t="s">
        <v>63</v>
      </c>
      <c r="AA705" t="s">
        <v>6337</v>
      </c>
      <c r="AB705">
        <v>14512261</v>
      </c>
      <c r="AC705" t="s">
        <v>67</v>
      </c>
      <c r="AD705" t="s">
        <v>63</v>
      </c>
      <c r="AE705" t="s">
        <v>63</v>
      </c>
      <c r="AF705" t="s">
        <v>63</v>
      </c>
      <c r="AG705" t="s">
        <v>6338</v>
      </c>
      <c r="AH705" t="s">
        <v>63</v>
      </c>
      <c r="AI705" t="s">
        <v>63</v>
      </c>
      <c r="AJ705" t="s">
        <v>63</v>
      </c>
      <c r="AK705" t="s">
        <v>63</v>
      </c>
      <c r="AL705" t="s">
        <v>63</v>
      </c>
      <c r="AM705" t="s">
        <v>6339</v>
      </c>
      <c r="AN705" t="s">
        <v>63</v>
      </c>
      <c r="AO705" t="s">
        <v>63</v>
      </c>
      <c r="AP705" t="s">
        <v>63</v>
      </c>
      <c r="AQ705" t="s">
        <v>63</v>
      </c>
      <c r="AR705" t="s">
        <v>63</v>
      </c>
      <c r="AS705" t="s">
        <v>63</v>
      </c>
      <c r="AT705" t="s">
        <v>63</v>
      </c>
      <c r="AU705" t="s">
        <v>63</v>
      </c>
      <c r="AV705" t="s">
        <v>63</v>
      </c>
      <c r="AW705" t="s">
        <v>63</v>
      </c>
      <c r="AX705" t="s">
        <v>63</v>
      </c>
      <c r="AY705" t="s">
        <v>63</v>
      </c>
      <c r="AZ705" t="s">
        <v>63</v>
      </c>
      <c r="BA705" t="s">
        <v>63</v>
      </c>
      <c r="BB705" t="s">
        <v>63</v>
      </c>
      <c r="BC705" t="s">
        <v>63</v>
      </c>
      <c r="BD705" t="s">
        <v>63</v>
      </c>
      <c r="BE705" t="s">
        <v>63</v>
      </c>
      <c r="BF705" t="s">
        <v>63</v>
      </c>
    </row>
    <row r="706" spans="1:58">
      <c r="A706" t="s">
        <v>58</v>
      </c>
      <c r="B706" t="s">
        <v>6340</v>
      </c>
      <c r="C706" t="s">
        <v>6341</v>
      </c>
      <c r="D706" t="s">
        <v>164</v>
      </c>
      <c r="E706" t="s">
        <v>165</v>
      </c>
      <c r="F706">
        <v>1992</v>
      </c>
      <c r="G706" t="s">
        <v>138</v>
      </c>
      <c r="H706">
        <v>149</v>
      </c>
      <c r="I706">
        <v>10</v>
      </c>
      <c r="J706">
        <v>1348</v>
      </c>
      <c r="K706">
        <v>1354</v>
      </c>
      <c r="L706" t="s">
        <v>6342</v>
      </c>
      <c r="M706" t="s">
        <v>6343</v>
      </c>
      <c r="N706" t="s">
        <v>6344</v>
      </c>
      <c r="O706" t="s">
        <v>63</v>
      </c>
      <c r="Q706" t="s">
        <v>63</v>
      </c>
      <c r="R706" t="s">
        <v>63</v>
      </c>
      <c r="S706" t="s">
        <v>63</v>
      </c>
      <c r="T706" t="s">
        <v>63</v>
      </c>
      <c r="X706" t="s">
        <v>63</v>
      </c>
      <c r="Y706" t="s">
        <v>169</v>
      </c>
      <c r="Z706" t="s">
        <v>63</v>
      </c>
      <c r="AA706" t="s">
        <v>6345</v>
      </c>
      <c r="AB706">
        <v>1530071</v>
      </c>
      <c r="AC706" t="s">
        <v>67</v>
      </c>
      <c r="AD706" t="s">
        <v>63</v>
      </c>
      <c r="AE706" t="s">
        <v>63</v>
      </c>
      <c r="AF706" t="s">
        <v>63</v>
      </c>
      <c r="AG706" t="s">
        <v>6346</v>
      </c>
      <c r="AH706" t="s">
        <v>63</v>
      </c>
      <c r="AI706" t="s">
        <v>63</v>
      </c>
      <c r="AJ706" t="s">
        <v>63</v>
      </c>
      <c r="AK706" t="s">
        <v>63</v>
      </c>
      <c r="AL706" t="s">
        <v>63</v>
      </c>
      <c r="AM706" t="s">
        <v>6347</v>
      </c>
      <c r="AN706" t="s">
        <v>63</v>
      </c>
      <c r="AO706" t="s">
        <v>63</v>
      </c>
      <c r="AP706" t="s">
        <v>63</v>
      </c>
      <c r="AQ706" t="s">
        <v>63</v>
      </c>
      <c r="AR706" t="s">
        <v>63</v>
      </c>
      <c r="AS706" t="s">
        <v>63</v>
      </c>
      <c r="AT706" t="s">
        <v>63</v>
      </c>
      <c r="AU706" t="s">
        <v>63</v>
      </c>
      <c r="AV706" t="s">
        <v>63</v>
      </c>
      <c r="AW706" t="s">
        <v>63</v>
      </c>
      <c r="AX706" t="s">
        <v>63</v>
      </c>
      <c r="AY706" t="s">
        <v>63</v>
      </c>
      <c r="AZ706" t="s">
        <v>63</v>
      </c>
      <c r="BA706" t="s">
        <v>63</v>
      </c>
      <c r="BB706" t="s">
        <v>63</v>
      </c>
      <c r="BC706" t="s">
        <v>63</v>
      </c>
      <c r="BD706" t="s">
        <v>63</v>
      </c>
      <c r="BE706" t="s">
        <v>63</v>
      </c>
      <c r="BF706" t="s">
        <v>63</v>
      </c>
    </row>
    <row r="707" spans="1:58">
      <c r="A707" t="s">
        <v>58</v>
      </c>
      <c r="B707" t="s">
        <v>6348</v>
      </c>
      <c r="C707" t="s">
        <v>6349</v>
      </c>
      <c r="D707" t="s">
        <v>205</v>
      </c>
      <c r="E707" t="s">
        <v>205</v>
      </c>
      <c r="F707">
        <v>1991</v>
      </c>
      <c r="G707" s="1">
        <v>41752</v>
      </c>
      <c r="H707">
        <v>265</v>
      </c>
      <c r="I707">
        <v>16</v>
      </c>
      <c r="J707">
        <v>2069</v>
      </c>
      <c r="K707">
        <v>2073</v>
      </c>
      <c r="L707" t="s">
        <v>6350</v>
      </c>
      <c r="M707" t="s">
        <v>6351</v>
      </c>
      <c r="N707" t="s">
        <v>6352</v>
      </c>
      <c r="O707" t="s">
        <v>63</v>
      </c>
      <c r="Q707" t="s">
        <v>63</v>
      </c>
      <c r="R707" t="s">
        <v>63</v>
      </c>
      <c r="S707" t="s">
        <v>63</v>
      </c>
      <c r="T707" t="s">
        <v>63</v>
      </c>
      <c r="X707" t="s">
        <v>63</v>
      </c>
      <c r="Y707" t="s">
        <v>208</v>
      </c>
      <c r="Z707" t="s">
        <v>63</v>
      </c>
      <c r="AA707" t="s">
        <v>6353</v>
      </c>
      <c r="AB707">
        <v>2013925</v>
      </c>
      <c r="AC707" t="s">
        <v>67</v>
      </c>
      <c r="AD707" t="s">
        <v>63</v>
      </c>
      <c r="AE707" t="s">
        <v>63</v>
      </c>
      <c r="AF707" t="s">
        <v>63</v>
      </c>
      <c r="AG707" t="s">
        <v>6354</v>
      </c>
      <c r="AH707" t="s">
        <v>63</v>
      </c>
      <c r="AI707" t="s">
        <v>63</v>
      </c>
      <c r="AJ707" t="s">
        <v>63</v>
      </c>
      <c r="AK707" t="s">
        <v>63</v>
      </c>
      <c r="AL707" t="s">
        <v>63</v>
      </c>
      <c r="AM707" t="s">
        <v>6355</v>
      </c>
      <c r="AN707" t="s">
        <v>63</v>
      </c>
      <c r="AO707" t="s">
        <v>63</v>
      </c>
      <c r="AP707" t="s">
        <v>63</v>
      </c>
      <c r="AQ707" t="s">
        <v>63</v>
      </c>
      <c r="AR707" t="s">
        <v>63</v>
      </c>
      <c r="AS707" t="s">
        <v>63</v>
      </c>
      <c r="AT707" t="s">
        <v>63</v>
      </c>
      <c r="AU707" t="s">
        <v>63</v>
      </c>
      <c r="AV707" t="s">
        <v>63</v>
      </c>
      <c r="AW707" t="s">
        <v>63</v>
      </c>
      <c r="AX707" t="s">
        <v>63</v>
      </c>
      <c r="AY707" t="s">
        <v>63</v>
      </c>
      <c r="AZ707" t="s">
        <v>63</v>
      </c>
      <c r="BA707" t="s">
        <v>63</v>
      </c>
      <c r="BB707" t="s">
        <v>63</v>
      </c>
      <c r="BC707" t="s">
        <v>63</v>
      </c>
      <c r="BD707" t="s">
        <v>63</v>
      </c>
      <c r="BE707" t="s">
        <v>63</v>
      </c>
      <c r="BF707" t="s">
        <v>63</v>
      </c>
    </row>
    <row r="708" spans="1:58">
      <c r="A708" t="s">
        <v>58</v>
      </c>
      <c r="B708" t="s">
        <v>6356</v>
      </c>
      <c r="C708" t="s">
        <v>6357</v>
      </c>
      <c r="D708" t="s">
        <v>6358</v>
      </c>
      <c r="E708" t="s">
        <v>63</v>
      </c>
      <c r="F708">
        <v>1992</v>
      </c>
      <c r="G708" t="s">
        <v>84</v>
      </c>
      <c r="H708">
        <v>41</v>
      </c>
      <c r="I708">
        <v>4</v>
      </c>
      <c r="J708">
        <v>311</v>
      </c>
      <c r="K708">
        <v>314</v>
      </c>
      <c r="L708" t="s">
        <v>6359</v>
      </c>
      <c r="M708" t="s">
        <v>6360</v>
      </c>
      <c r="N708" t="s">
        <v>6361</v>
      </c>
      <c r="O708" t="s">
        <v>63</v>
      </c>
      <c r="Q708" t="s">
        <v>63</v>
      </c>
      <c r="R708" t="s">
        <v>63</v>
      </c>
      <c r="S708" t="s">
        <v>63</v>
      </c>
      <c r="T708" t="s">
        <v>63</v>
      </c>
      <c r="X708" t="s">
        <v>63</v>
      </c>
      <c r="Y708" t="s">
        <v>6362</v>
      </c>
      <c r="Z708" t="s">
        <v>63</v>
      </c>
      <c r="AA708" t="s">
        <v>6363</v>
      </c>
      <c r="AB708">
        <v>1569839</v>
      </c>
      <c r="AC708" t="s">
        <v>67</v>
      </c>
      <c r="AD708" t="s">
        <v>63</v>
      </c>
      <c r="AE708" t="s">
        <v>63</v>
      </c>
      <c r="AF708" t="s">
        <v>63</v>
      </c>
      <c r="AG708" t="s">
        <v>6364</v>
      </c>
      <c r="AH708" t="s">
        <v>63</v>
      </c>
      <c r="AI708" t="s">
        <v>63</v>
      </c>
      <c r="AJ708" t="s">
        <v>63</v>
      </c>
      <c r="AK708" t="s">
        <v>63</v>
      </c>
      <c r="AL708" t="s">
        <v>63</v>
      </c>
      <c r="AM708" t="s">
        <v>6365</v>
      </c>
      <c r="AN708" t="s">
        <v>63</v>
      </c>
      <c r="AO708" t="s">
        <v>63</v>
      </c>
      <c r="AP708" t="s">
        <v>63</v>
      </c>
      <c r="AQ708" t="s">
        <v>63</v>
      </c>
      <c r="AR708" t="s">
        <v>63</v>
      </c>
      <c r="AS708" t="s">
        <v>63</v>
      </c>
      <c r="AT708" t="s">
        <v>63</v>
      </c>
      <c r="AU708" t="s">
        <v>63</v>
      </c>
      <c r="AV708" t="s">
        <v>63</v>
      </c>
      <c r="AW708" t="s">
        <v>63</v>
      </c>
      <c r="AX708" t="s">
        <v>63</v>
      </c>
      <c r="AY708" t="s">
        <v>63</v>
      </c>
      <c r="AZ708" t="s">
        <v>63</v>
      </c>
      <c r="BA708" t="s">
        <v>63</v>
      </c>
      <c r="BB708" t="s">
        <v>63</v>
      </c>
      <c r="BC708" t="s">
        <v>63</v>
      </c>
      <c r="BD708" t="s">
        <v>63</v>
      </c>
      <c r="BE708" t="s">
        <v>63</v>
      </c>
      <c r="BF708" t="s">
        <v>63</v>
      </c>
    </row>
    <row r="709" spans="1:58">
      <c r="A709" t="s">
        <v>58</v>
      </c>
      <c r="B709" t="s">
        <v>6366</v>
      </c>
      <c r="C709" t="s">
        <v>6367</v>
      </c>
      <c r="D709" t="s">
        <v>371</v>
      </c>
      <c r="E709" t="s">
        <v>63</v>
      </c>
      <c r="F709">
        <v>2003</v>
      </c>
      <c r="G709" t="s">
        <v>157</v>
      </c>
      <c r="H709">
        <v>18</v>
      </c>
      <c r="I709">
        <v>12</v>
      </c>
      <c r="J709">
        <v>1023</v>
      </c>
      <c r="K709">
        <v>1027</v>
      </c>
      <c r="L709" t="s">
        <v>6368</v>
      </c>
      <c r="M709" t="s">
        <v>6369</v>
      </c>
      <c r="N709" t="s">
        <v>6370</v>
      </c>
      <c r="O709" t="s">
        <v>63</v>
      </c>
      <c r="Q709" t="s">
        <v>63</v>
      </c>
      <c r="R709" t="s">
        <v>63</v>
      </c>
      <c r="S709" t="s">
        <v>63</v>
      </c>
      <c r="T709" t="s">
        <v>63</v>
      </c>
      <c r="X709" t="s">
        <v>63</v>
      </c>
      <c r="Y709" t="s">
        <v>375</v>
      </c>
      <c r="Z709" t="s">
        <v>63</v>
      </c>
      <c r="AA709" t="s">
        <v>6371</v>
      </c>
      <c r="AB709">
        <v>14687261</v>
      </c>
      <c r="AC709" t="s">
        <v>67</v>
      </c>
      <c r="AD709" t="s">
        <v>63</v>
      </c>
      <c r="AE709" t="s">
        <v>63</v>
      </c>
      <c r="AF709" t="s">
        <v>63</v>
      </c>
      <c r="AG709" t="s">
        <v>6372</v>
      </c>
      <c r="AH709" t="s">
        <v>63</v>
      </c>
      <c r="AI709" t="s">
        <v>63</v>
      </c>
      <c r="AJ709" t="s">
        <v>63</v>
      </c>
      <c r="AK709" t="s">
        <v>63</v>
      </c>
      <c r="AL709" t="s">
        <v>63</v>
      </c>
      <c r="AM709" t="s">
        <v>6373</v>
      </c>
      <c r="AN709" t="s">
        <v>63</v>
      </c>
      <c r="AO709" t="s">
        <v>63</v>
      </c>
      <c r="AP709" t="s">
        <v>63</v>
      </c>
      <c r="AQ709" t="s">
        <v>63</v>
      </c>
      <c r="AR709" t="s">
        <v>63</v>
      </c>
      <c r="AS709" t="s">
        <v>63</v>
      </c>
      <c r="AT709" t="s">
        <v>63</v>
      </c>
      <c r="AU709" t="s">
        <v>63</v>
      </c>
      <c r="AV709" t="s">
        <v>63</v>
      </c>
      <c r="AW709" t="s">
        <v>63</v>
      </c>
      <c r="AX709" t="s">
        <v>63</v>
      </c>
      <c r="AY709" t="s">
        <v>63</v>
      </c>
      <c r="AZ709" t="s">
        <v>63</v>
      </c>
      <c r="BA709" t="s">
        <v>63</v>
      </c>
      <c r="BB709" t="s">
        <v>63</v>
      </c>
      <c r="BC709" t="s">
        <v>63</v>
      </c>
      <c r="BD709" t="s">
        <v>63</v>
      </c>
      <c r="BE709" t="s">
        <v>63</v>
      </c>
      <c r="BF709" t="s">
        <v>63</v>
      </c>
    </row>
    <row r="710" spans="1:58">
      <c r="A710" t="s">
        <v>58</v>
      </c>
      <c r="B710" t="s">
        <v>6374</v>
      </c>
      <c r="C710" t="s">
        <v>6375</v>
      </c>
      <c r="D710" t="s">
        <v>1212</v>
      </c>
      <c r="E710" t="s">
        <v>63</v>
      </c>
      <c r="F710">
        <v>2017</v>
      </c>
      <c r="G710" t="s">
        <v>6376</v>
      </c>
      <c r="H710">
        <v>11</v>
      </c>
      <c r="I710">
        <v>3</v>
      </c>
      <c r="J710">
        <v>174</v>
      </c>
      <c r="K710">
        <v>175</v>
      </c>
      <c r="L710" t="s">
        <v>6377</v>
      </c>
      <c r="M710" t="s">
        <v>6378</v>
      </c>
      <c r="N710" t="s">
        <v>6379</v>
      </c>
      <c r="O710" t="s">
        <v>63</v>
      </c>
      <c r="Q710" t="s">
        <v>63</v>
      </c>
      <c r="R710" t="s">
        <v>63</v>
      </c>
      <c r="S710" t="s">
        <v>63</v>
      </c>
      <c r="T710" t="s">
        <v>63</v>
      </c>
      <c r="X710" t="s">
        <v>63</v>
      </c>
      <c r="Y710" t="s">
        <v>2367</v>
      </c>
      <c r="Z710" t="s">
        <v>63</v>
      </c>
      <c r="AA710" t="s">
        <v>6380</v>
      </c>
      <c r="AB710">
        <v>28557959</v>
      </c>
      <c r="AC710" t="s">
        <v>67</v>
      </c>
      <c r="AD710" t="s">
        <v>63</v>
      </c>
      <c r="AE710" t="s">
        <v>63</v>
      </c>
      <c r="AF710" t="s">
        <v>63</v>
      </c>
      <c r="AG710" t="s">
        <v>6381</v>
      </c>
      <c r="AH710" t="s">
        <v>63</v>
      </c>
      <c r="AI710" t="s">
        <v>6382</v>
      </c>
      <c r="AJ710" t="s">
        <v>63</v>
      </c>
      <c r="AK710" t="s">
        <v>63</v>
      </c>
      <c r="AL710" t="s">
        <v>63</v>
      </c>
      <c r="AM710" t="s">
        <v>6383</v>
      </c>
      <c r="AN710" t="s">
        <v>63</v>
      </c>
      <c r="AO710" t="s">
        <v>63</v>
      </c>
      <c r="AP710" t="s">
        <v>63</v>
      </c>
      <c r="AQ710" t="s">
        <v>63</v>
      </c>
      <c r="AR710" t="s">
        <v>63</v>
      </c>
      <c r="AS710" t="s">
        <v>63</v>
      </c>
      <c r="AT710" t="s">
        <v>63</v>
      </c>
      <c r="AU710" t="s">
        <v>63</v>
      </c>
      <c r="AV710" t="s">
        <v>63</v>
      </c>
      <c r="AW710" t="s">
        <v>63</v>
      </c>
      <c r="AX710" t="s">
        <v>63</v>
      </c>
      <c r="AY710" t="s">
        <v>63</v>
      </c>
      <c r="AZ710" t="s">
        <v>63</v>
      </c>
      <c r="BA710" t="s">
        <v>63</v>
      </c>
      <c r="BB710" t="s">
        <v>63</v>
      </c>
      <c r="BC710" t="s">
        <v>63</v>
      </c>
      <c r="BD710" t="s">
        <v>63</v>
      </c>
      <c r="BE710" t="s">
        <v>63</v>
      </c>
      <c r="BF710" t="s">
        <v>63</v>
      </c>
    </row>
    <row r="711" spans="1:58">
      <c r="A711" t="s">
        <v>58</v>
      </c>
      <c r="B711" t="s">
        <v>6384</v>
      </c>
      <c r="C711" t="s">
        <v>6385</v>
      </c>
      <c r="D711" t="s">
        <v>6386</v>
      </c>
      <c r="E711" t="s">
        <v>63</v>
      </c>
      <c r="F711">
        <v>1972</v>
      </c>
      <c r="G711" t="s">
        <v>198</v>
      </c>
      <c r="H711">
        <v>34</v>
      </c>
      <c r="I711">
        <v>1</v>
      </c>
      <c r="J711">
        <v>1</v>
      </c>
      <c r="K711">
        <v>8</v>
      </c>
      <c r="L711" t="s">
        <v>6387</v>
      </c>
      <c r="M711" t="s">
        <v>63</v>
      </c>
      <c r="N711" t="s">
        <v>6388</v>
      </c>
      <c r="O711" t="s">
        <v>63</v>
      </c>
      <c r="Q711" t="s">
        <v>63</v>
      </c>
      <c r="R711" t="s">
        <v>63</v>
      </c>
      <c r="S711" t="s">
        <v>63</v>
      </c>
      <c r="T711" t="s">
        <v>63</v>
      </c>
      <c r="X711" t="s">
        <v>63</v>
      </c>
      <c r="Y711" t="s">
        <v>6389</v>
      </c>
      <c r="Z711" t="s">
        <v>63</v>
      </c>
      <c r="AA711" t="s">
        <v>63</v>
      </c>
      <c r="AB711">
        <v>4259776</v>
      </c>
      <c r="AC711" t="s">
        <v>102</v>
      </c>
      <c r="AD711" t="s">
        <v>63</v>
      </c>
      <c r="AE711" t="s">
        <v>63</v>
      </c>
      <c r="AF711" t="s">
        <v>63</v>
      </c>
      <c r="AG711" t="s">
        <v>6390</v>
      </c>
      <c r="AH711" t="s">
        <v>63</v>
      </c>
      <c r="AI711" t="s">
        <v>63</v>
      </c>
      <c r="AJ711" t="s">
        <v>63</v>
      </c>
      <c r="AK711" t="s">
        <v>63</v>
      </c>
      <c r="AL711" t="s">
        <v>63</v>
      </c>
      <c r="AM711" t="s">
        <v>6391</v>
      </c>
      <c r="AN711" t="s">
        <v>63</v>
      </c>
      <c r="AO711" t="s">
        <v>63</v>
      </c>
      <c r="AP711" t="s">
        <v>63</v>
      </c>
      <c r="AQ711" t="s">
        <v>63</v>
      </c>
      <c r="AR711" t="s">
        <v>63</v>
      </c>
      <c r="AS711" t="s">
        <v>63</v>
      </c>
      <c r="AT711" t="s">
        <v>63</v>
      </c>
      <c r="AU711" t="s">
        <v>63</v>
      </c>
      <c r="AV711" t="s">
        <v>63</v>
      </c>
      <c r="AW711" t="s">
        <v>63</v>
      </c>
      <c r="AX711" t="s">
        <v>63</v>
      </c>
      <c r="AY711" t="s">
        <v>63</v>
      </c>
      <c r="AZ711" t="s">
        <v>63</v>
      </c>
      <c r="BA711" t="s">
        <v>63</v>
      </c>
      <c r="BB711" t="s">
        <v>63</v>
      </c>
      <c r="BC711" t="s">
        <v>63</v>
      </c>
      <c r="BD711" t="s">
        <v>63</v>
      </c>
      <c r="BE711" t="s">
        <v>63</v>
      </c>
      <c r="BF711" t="s">
        <v>63</v>
      </c>
    </row>
    <row r="712" spans="1:58">
      <c r="A712" t="s">
        <v>58</v>
      </c>
      <c r="B712" t="s">
        <v>6392</v>
      </c>
      <c r="C712" t="s">
        <v>6393</v>
      </c>
      <c r="D712" t="s">
        <v>6394</v>
      </c>
      <c r="E712" t="s">
        <v>63</v>
      </c>
      <c r="F712">
        <v>2014</v>
      </c>
      <c r="G712" t="s">
        <v>147</v>
      </c>
      <c r="H712">
        <v>12</v>
      </c>
      <c r="I712">
        <v>2</v>
      </c>
      <c r="J712">
        <v>128</v>
      </c>
      <c r="K712">
        <v>133</v>
      </c>
      <c r="L712" t="s">
        <v>6395</v>
      </c>
      <c r="M712" t="s">
        <v>6396</v>
      </c>
      <c r="N712" t="s">
        <v>6397</v>
      </c>
      <c r="O712" t="s">
        <v>63</v>
      </c>
      <c r="Q712" t="s">
        <v>63</v>
      </c>
      <c r="R712" t="s">
        <v>63</v>
      </c>
      <c r="S712" t="s">
        <v>63</v>
      </c>
      <c r="T712" t="s">
        <v>63</v>
      </c>
      <c r="X712" t="s">
        <v>63</v>
      </c>
      <c r="Y712" t="s">
        <v>6398</v>
      </c>
      <c r="Z712" t="s">
        <v>63</v>
      </c>
      <c r="AA712" t="s">
        <v>6399</v>
      </c>
      <c r="AB712">
        <v>24615308</v>
      </c>
      <c r="AC712" t="s">
        <v>67</v>
      </c>
      <c r="AD712" t="s">
        <v>63</v>
      </c>
      <c r="AE712" t="s">
        <v>63</v>
      </c>
      <c r="AF712" t="s">
        <v>63</v>
      </c>
      <c r="AG712" t="s">
        <v>6400</v>
      </c>
      <c r="AH712" t="s">
        <v>63</v>
      </c>
      <c r="AI712" t="s">
        <v>6401</v>
      </c>
      <c r="AJ712" t="s">
        <v>63</v>
      </c>
      <c r="AK712" t="s">
        <v>63</v>
      </c>
      <c r="AL712" t="s">
        <v>63</v>
      </c>
      <c r="AM712" t="s">
        <v>6402</v>
      </c>
      <c r="AN712" t="s">
        <v>63</v>
      </c>
      <c r="AO712" t="s">
        <v>63</v>
      </c>
      <c r="AP712" t="s">
        <v>63</v>
      </c>
      <c r="AQ712" t="s">
        <v>63</v>
      </c>
      <c r="AR712" t="s">
        <v>63</v>
      </c>
      <c r="AS712" t="s">
        <v>63</v>
      </c>
      <c r="AT712" t="s">
        <v>63</v>
      </c>
      <c r="AU712" t="s">
        <v>63</v>
      </c>
      <c r="AV712" t="s">
        <v>63</v>
      </c>
      <c r="AW712" t="s">
        <v>63</v>
      </c>
      <c r="AX712" t="s">
        <v>63</v>
      </c>
      <c r="AY712" t="s">
        <v>63</v>
      </c>
      <c r="AZ712" t="s">
        <v>63</v>
      </c>
      <c r="BA712" t="s">
        <v>63</v>
      </c>
      <c r="BB712" t="s">
        <v>63</v>
      </c>
      <c r="BC712" t="s">
        <v>63</v>
      </c>
      <c r="BD712" t="s">
        <v>63</v>
      </c>
      <c r="BE712" t="s">
        <v>63</v>
      </c>
      <c r="BF712" t="s">
        <v>63</v>
      </c>
    </row>
    <row r="713" spans="1:58">
      <c r="A713" t="s">
        <v>58</v>
      </c>
      <c r="B713" t="s">
        <v>6403</v>
      </c>
      <c r="C713" t="s">
        <v>6404</v>
      </c>
      <c r="D713" t="s">
        <v>6405</v>
      </c>
      <c r="E713" t="s">
        <v>6406</v>
      </c>
      <c r="F713">
        <v>1995</v>
      </c>
      <c r="G713" t="s">
        <v>1670</v>
      </c>
      <c r="H713">
        <v>181</v>
      </c>
      <c r="I713">
        <v>1</v>
      </c>
      <c r="J713">
        <v>1</v>
      </c>
      <c r="K713">
        <v>5</v>
      </c>
      <c r="L713" t="s">
        <v>6407</v>
      </c>
      <c r="M713" t="s">
        <v>6408</v>
      </c>
      <c r="N713" t="s">
        <v>6409</v>
      </c>
      <c r="O713" t="s">
        <v>63</v>
      </c>
      <c r="Q713" t="s">
        <v>63</v>
      </c>
      <c r="R713" t="s">
        <v>63</v>
      </c>
      <c r="S713" t="s">
        <v>63</v>
      </c>
      <c r="T713" t="s">
        <v>63</v>
      </c>
      <c r="X713" t="s">
        <v>63</v>
      </c>
      <c r="Y713" t="s">
        <v>6410</v>
      </c>
      <c r="Z713" t="s">
        <v>63</v>
      </c>
      <c r="AA713" t="s">
        <v>6411</v>
      </c>
      <c r="AB713">
        <v>7599762</v>
      </c>
      <c r="AC713" t="s">
        <v>67</v>
      </c>
      <c r="AD713" t="s">
        <v>63</v>
      </c>
      <c r="AE713" t="s">
        <v>63</v>
      </c>
      <c r="AF713" t="s">
        <v>63</v>
      </c>
      <c r="AG713" t="s">
        <v>6412</v>
      </c>
      <c r="AH713" t="s">
        <v>63</v>
      </c>
      <c r="AI713" t="s">
        <v>63</v>
      </c>
      <c r="AJ713" t="s">
        <v>63</v>
      </c>
      <c r="AK713" t="s">
        <v>63</v>
      </c>
      <c r="AL713" t="s">
        <v>63</v>
      </c>
      <c r="AM713" t="s">
        <v>6413</v>
      </c>
      <c r="AN713" t="s">
        <v>63</v>
      </c>
      <c r="AO713" t="s">
        <v>63</v>
      </c>
      <c r="AP713" t="s">
        <v>63</v>
      </c>
      <c r="AQ713" t="s">
        <v>63</v>
      </c>
      <c r="AR713" t="s">
        <v>63</v>
      </c>
      <c r="AS713" t="s">
        <v>63</v>
      </c>
      <c r="AT713" t="s">
        <v>63</v>
      </c>
      <c r="AU713" t="s">
        <v>63</v>
      </c>
      <c r="AV713" t="s">
        <v>63</v>
      </c>
      <c r="AW713" t="s">
        <v>63</v>
      </c>
      <c r="AX713" t="s">
        <v>63</v>
      </c>
      <c r="AY713" t="s">
        <v>63</v>
      </c>
      <c r="AZ713" t="s">
        <v>63</v>
      </c>
      <c r="BA713" t="s">
        <v>63</v>
      </c>
      <c r="BB713" t="s">
        <v>63</v>
      </c>
      <c r="BC713" t="s">
        <v>63</v>
      </c>
      <c r="BD713" t="s">
        <v>63</v>
      </c>
      <c r="BE713" t="s">
        <v>63</v>
      </c>
      <c r="BF713" t="s">
        <v>63</v>
      </c>
    </row>
    <row r="714" spans="1:58">
      <c r="A714" t="s">
        <v>58</v>
      </c>
      <c r="B714" t="s">
        <v>6414</v>
      </c>
      <c r="C714" t="s">
        <v>6415</v>
      </c>
      <c r="D714" t="s">
        <v>603</v>
      </c>
      <c r="E714" t="s">
        <v>604</v>
      </c>
      <c r="F714">
        <v>2006</v>
      </c>
      <c r="G714" t="s">
        <v>181</v>
      </c>
      <c r="H714">
        <v>98</v>
      </c>
      <c r="I714">
        <v>9</v>
      </c>
      <c r="J714">
        <v>1489</v>
      </c>
      <c r="K714">
        <v>1497</v>
      </c>
      <c r="L714" t="s">
        <v>6416</v>
      </c>
      <c r="M714" t="s">
        <v>6417</v>
      </c>
      <c r="N714" t="s">
        <v>6418</v>
      </c>
      <c r="O714" t="s">
        <v>63</v>
      </c>
      <c r="Q714" t="s">
        <v>63</v>
      </c>
      <c r="R714" t="s">
        <v>63</v>
      </c>
      <c r="S714" t="s">
        <v>63</v>
      </c>
      <c r="T714" t="s">
        <v>63</v>
      </c>
      <c r="X714" t="s">
        <v>63</v>
      </c>
      <c r="Y714" t="s">
        <v>608</v>
      </c>
      <c r="Z714" t="s">
        <v>63</v>
      </c>
      <c r="AA714" t="s">
        <v>6419</v>
      </c>
      <c r="AB714">
        <v>17019917</v>
      </c>
      <c r="AC714" t="s">
        <v>67</v>
      </c>
      <c r="AD714" t="s">
        <v>63</v>
      </c>
      <c r="AE714" t="s">
        <v>63</v>
      </c>
      <c r="AF714" t="s">
        <v>63</v>
      </c>
      <c r="AG714" t="s">
        <v>6420</v>
      </c>
      <c r="AH714" t="s">
        <v>63</v>
      </c>
      <c r="AI714" t="s">
        <v>63</v>
      </c>
      <c r="AJ714" t="s">
        <v>63</v>
      </c>
      <c r="AK714" t="s">
        <v>63</v>
      </c>
      <c r="AL714" t="s">
        <v>63</v>
      </c>
      <c r="AM714" t="s">
        <v>6421</v>
      </c>
      <c r="AN714" t="s">
        <v>63</v>
      </c>
      <c r="AO714" t="s">
        <v>63</v>
      </c>
      <c r="AP714" t="s">
        <v>63</v>
      </c>
      <c r="AQ714" t="s">
        <v>63</v>
      </c>
      <c r="AR714" t="s">
        <v>63</v>
      </c>
      <c r="AS714" t="s">
        <v>63</v>
      </c>
      <c r="AT714" t="s">
        <v>63</v>
      </c>
      <c r="AU714" t="s">
        <v>63</v>
      </c>
      <c r="AV714" t="s">
        <v>63</v>
      </c>
      <c r="AW714" t="s">
        <v>63</v>
      </c>
      <c r="AX714" t="s">
        <v>63</v>
      </c>
      <c r="AY714" t="s">
        <v>63</v>
      </c>
      <c r="AZ714" t="s">
        <v>63</v>
      </c>
      <c r="BA714" t="s">
        <v>63</v>
      </c>
      <c r="BB714" t="s">
        <v>63</v>
      </c>
      <c r="BC714" t="s">
        <v>63</v>
      </c>
      <c r="BD714" t="s">
        <v>63</v>
      </c>
      <c r="BE714" t="s">
        <v>63</v>
      </c>
      <c r="BF714" t="s">
        <v>63</v>
      </c>
    </row>
    <row r="715" spans="1:58">
      <c r="A715" t="s">
        <v>58</v>
      </c>
      <c r="B715" t="s">
        <v>6422</v>
      </c>
      <c r="C715" t="s">
        <v>6423</v>
      </c>
      <c r="D715" t="s">
        <v>4567</v>
      </c>
      <c r="E715" t="s">
        <v>4568</v>
      </c>
      <c r="F715">
        <v>2008</v>
      </c>
      <c r="G715" t="s">
        <v>614</v>
      </c>
      <c r="H715">
        <v>47</v>
      </c>
      <c r="I715">
        <v>2</v>
      </c>
      <c r="J715">
        <v>221</v>
      </c>
      <c r="K715">
        <v>224</v>
      </c>
      <c r="L715" t="s">
        <v>6424</v>
      </c>
      <c r="M715" t="s">
        <v>6425</v>
      </c>
      <c r="N715" t="s">
        <v>6426</v>
      </c>
      <c r="O715" t="s">
        <v>63</v>
      </c>
      <c r="Q715" t="s">
        <v>63</v>
      </c>
      <c r="R715" t="s">
        <v>63</v>
      </c>
      <c r="S715" t="s">
        <v>63</v>
      </c>
      <c r="T715" t="s">
        <v>63</v>
      </c>
      <c r="X715" t="s">
        <v>63</v>
      </c>
      <c r="Y715" t="s">
        <v>4572</v>
      </c>
      <c r="Z715" t="s">
        <v>63</v>
      </c>
      <c r="AA715" t="s">
        <v>6427</v>
      </c>
      <c r="AB715">
        <v>18585771</v>
      </c>
      <c r="AC715" t="s">
        <v>67</v>
      </c>
      <c r="AD715" t="s">
        <v>63</v>
      </c>
      <c r="AE715" t="s">
        <v>63</v>
      </c>
      <c r="AF715" t="s">
        <v>63</v>
      </c>
      <c r="AG715" t="s">
        <v>6428</v>
      </c>
      <c r="AH715" t="s">
        <v>63</v>
      </c>
      <c r="AI715" t="s">
        <v>6429</v>
      </c>
      <c r="AJ715" t="s">
        <v>63</v>
      </c>
      <c r="AK715" t="s">
        <v>63</v>
      </c>
      <c r="AL715" t="s">
        <v>63</v>
      </c>
      <c r="AM715" t="s">
        <v>6430</v>
      </c>
      <c r="AN715" t="s">
        <v>63</v>
      </c>
      <c r="AO715" t="s">
        <v>63</v>
      </c>
      <c r="AP715" t="s">
        <v>63</v>
      </c>
      <c r="AQ715" t="s">
        <v>63</v>
      </c>
      <c r="AR715" t="s">
        <v>63</v>
      </c>
      <c r="AS715" t="s">
        <v>63</v>
      </c>
      <c r="AT715" t="s">
        <v>63</v>
      </c>
      <c r="AU715" t="s">
        <v>63</v>
      </c>
      <c r="AV715" t="s">
        <v>63</v>
      </c>
      <c r="AW715" t="s">
        <v>63</v>
      </c>
      <c r="AX715" t="s">
        <v>63</v>
      </c>
      <c r="AY715" t="s">
        <v>63</v>
      </c>
      <c r="AZ715" t="s">
        <v>63</v>
      </c>
      <c r="BA715" t="s">
        <v>63</v>
      </c>
      <c r="BB715" t="s">
        <v>63</v>
      </c>
      <c r="BC715" t="s">
        <v>63</v>
      </c>
      <c r="BD715" t="s">
        <v>63</v>
      </c>
      <c r="BE715" t="s">
        <v>63</v>
      </c>
      <c r="BF715" t="s">
        <v>63</v>
      </c>
    </row>
    <row r="716" spans="1:58">
      <c r="A716" t="s">
        <v>58</v>
      </c>
      <c r="B716" t="s">
        <v>6431</v>
      </c>
      <c r="C716" t="s">
        <v>6432</v>
      </c>
      <c r="D716" t="s">
        <v>398</v>
      </c>
      <c r="E716" t="s">
        <v>398</v>
      </c>
      <c r="F716">
        <v>2001</v>
      </c>
      <c r="G716" t="s">
        <v>1670</v>
      </c>
      <c r="H716">
        <v>108</v>
      </c>
      <c r="I716">
        <v>1</v>
      </c>
      <c r="J716" t="s">
        <v>6433</v>
      </c>
      <c r="K716" t="s">
        <v>63</v>
      </c>
      <c r="L716" t="s">
        <v>6434</v>
      </c>
      <c r="M716" t="s">
        <v>6435</v>
      </c>
      <c r="N716" t="s">
        <v>6436</v>
      </c>
      <c r="O716" t="s">
        <v>63</v>
      </c>
      <c r="Q716" t="s">
        <v>63</v>
      </c>
      <c r="R716" t="s">
        <v>63</v>
      </c>
      <c r="S716" t="s">
        <v>63</v>
      </c>
      <c r="T716" t="s">
        <v>63</v>
      </c>
      <c r="X716" t="s">
        <v>63</v>
      </c>
      <c r="Y716" t="s">
        <v>3162</v>
      </c>
      <c r="Z716" t="s">
        <v>63</v>
      </c>
      <c r="AA716" t="s">
        <v>6437</v>
      </c>
      <c r="AB716">
        <v>11433087</v>
      </c>
      <c r="AC716" t="s">
        <v>67</v>
      </c>
      <c r="AD716" t="s">
        <v>63</v>
      </c>
      <c r="AE716" t="s">
        <v>63</v>
      </c>
      <c r="AF716" t="s">
        <v>63</v>
      </c>
      <c r="AG716" t="s">
        <v>6438</v>
      </c>
      <c r="AH716" t="s">
        <v>63</v>
      </c>
      <c r="AI716" t="s">
        <v>63</v>
      </c>
      <c r="AJ716" t="s">
        <v>63</v>
      </c>
      <c r="AK716" t="s">
        <v>63</v>
      </c>
      <c r="AL716" t="s">
        <v>63</v>
      </c>
      <c r="AM716" t="s">
        <v>6439</v>
      </c>
      <c r="AN716" t="s">
        <v>63</v>
      </c>
      <c r="AO716" t="s">
        <v>63</v>
      </c>
      <c r="AP716" t="s">
        <v>63</v>
      </c>
      <c r="AQ716" t="s">
        <v>63</v>
      </c>
      <c r="AR716" t="s">
        <v>63</v>
      </c>
      <c r="AS716" t="s">
        <v>63</v>
      </c>
      <c r="AT716" t="s">
        <v>63</v>
      </c>
      <c r="AU716" t="s">
        <v>63</v>
      </c>
      <c r="AV716" t="s">
        <v>63</v>
      </c>
      <c r="AW716" t="s">
        <v>63</v>
      </c>
      <c r="AX716" t="s">
        <v>63</v>
      </c>
      <c r="AY716" t="s">
        <v>63</v>
      </c>
      <c r="AZ716" t="s">
        <v>63</v>
      </c>
      <c r="BA716" t="s">
        <v>63</v>
      </c>
      <c r="BB716" t="s">
        <v>63</v>
      </c>
      <c r="BC716" t="s">
        <v>63</v>
      </c>
      <c r="BD716" t="s">
        <v>63</v>
      </c>
      <c r="BE716" t="s">
        <v>63</v>
      </c>
      <c r="BF716" t="s">
        <v>63</v>
      </c>
    </row>
    <row r="717" spans="1:58">
      <c r="A717" t="s">
        <v>58</v>
      </c>
      <c r="B717" t="s">
        <v>6431</v>
      </c>
      <c r="C717" t="s">
        <v>6440</v>
      </c>
      <c r="D717" t="s">
        <v>4567</v>
      </c>
      <c r="E717" t="s">
        <v>4568</v>
      </c>
      <c r="F717">
        <v>2001</v>
      </c>
      <c r="G717" t="s">
        <v>157</v>
      </c>
      <c r="H717">
        <v>33</v>
      </c>
      <c r="I717">
        <v>6</v>
      </c>
      <c r="J717">
        <v>688</v>
      </c>
      <c r="K717">
        <v>698</v>
      </c>
      <c r="L717" t="s">
        <v>6441</v>
      </c>
      <c r="M717" t="s">
        <v>6442</v>
      </c>
      <c r="N717" t="s">
        <v>6443</v>
      </c>
      <c r="O717" t="s">
        <v>63</v>
      </c>
      <c r="Q717" t="s">
        <v>63</v>
      </c>
      <c r="R717" t="s">
        <v>63</v>
      </c>
      <c r="S717" t="s">
        <v>63</v>
      </c>
      <c r="T717" t="s">
        <v>63</v>
      </c>
      <c r="X717" t="s">
        <v>63</v>
      </c>
      <c r="Y717" t="s">
        <v>5761</v>
      </c>
      <c r="Z717" t="s">
        <v>63</v>
      </c>
      <c r="AA717" t="s">
        <v>6444</v>
      </c>
      <c r="AB717">
        <v>11716668</v>
      </c>
      <c r="AC717" t="s">
        <v>67</v>
      </c>
      <c r="AD717" t="s">
        <v>63</v>
      </c>
      <c r="AE717" t="s">
        <v>63</v>
      </c>
      <c r="AF717" t="s">
        <v>63</v>
      </c>
      <c r="AG717" t="s">
        <v>6445</v>
      </c>
      <c r="AH717" t="s">
        <v>63</v>
      </c>
      <c r="AI717" t="s">
        <v>63</v>
      </c>
      <c r="AJ717" t="s">
        <v>63</v>
      </c>
      <c r="AK717" t="s">
        <v>63</v>
      </c>
      <c r="AL717" t="s">
        <v>63</v>
      </c>
      <c r="AM717" t="s">
        <v>6446</v>
      </c>
      <c r="AN717" t="s">
        <v>63</v>
      </c>
      <c r="AO717" t="s">
        <v>63</v>
      </c>
      <c r="AP717" t="s">
        <v>63</v>
      </c>
      <c r="AQ717" t="s">
        <v>63</v>
      </c>
      <c r="AR717" t="s">
        <v>63</v>
      </c>
      <c r="AS717" t="s">
        <v>63</v>
      </c>
      <c r="AT717" t="s">
        <v>63</v>
      </c>
      <c r="AU717" t="s">
        <v>63</v>
      </c>
      <c r="AV717" t="s">
        <v>63</v>
      </c>
      <c r="AW717" t="s">
        <v>63</v>
      </c>
      <c r="AX717" t="s">
        <v>63</v>
      </c>
      <c r="AY717" t="s">
        <v>63</v>
      </c>
      <c r="AZ717" t="s">
        <v>63</v>
      </c>
      <c r="BA717" t="s">
        <v>63</v>
      </c>
      <c r="BB717" t="s">
        <v>63</v>
      </c>
      <c r="BC717" t="s">
        <v>63</v>
      </c>
      <c r="BD717" t="s">
        <v>63</v>
      </c>
      <c r="BE717" t="s">
        <v>63</v>
      </c>
      <c r="BF717" t="s">
        <v>63</v>
      </c>
    </row>
    <row r="718" spans="1:58">
      <c r="A718" t="s">
        <v>58</v>
      </c>
      <c r="B718" t="s">
        <v>6447</v>
      </c>
      <c r="C718" t="s">
        <v>6448</v>
      </c>
      <c r="D718" t="s">
        <v>4567</v>
      </c>
      <c r="E718" t="s">
        <v>4568</v>
      </c>
      <c r="F718">
        <v>2004</v>
      </c>
      <c r="G718" t="s">
        <v>181</v>
      </c>
      <c r="H718">
        <v>39</v>
      </c>
      <c r="I718">
        <v>3</v>
      </c>
      <c r="J718">
        <v>507</v>
      </c>
      <c r="K718">
        <v>516</v>
      </c>
      <c r="L718" t="s">
        <v>6449</v>
      </c>
      <c r="M718" t="s">
        <v>6450</v>
      </c>
      <c r="N718" t="s">
        <v>6451</v>
      </c>
      <c r="O718" t="s">
        <v>63</v>
      </c>
      <c r="Q718" t="s">
        <v>63</v>
      </c>
      <c r="R718" t="s">
        <v>63</v>
      </c>
      <c r="S718" t="s">
        <v>63</v>
      </c>
      <c r="T718" t="s">
        <v>63</v>
      </c>
      <c r="X718" t="s">
        <v>63</v>
      </c>
      <c r="Y718" t="s">
        <v>5761</v>
      </c>
      <c r="Z718" t="s">
        <v>63</v>
      </c>
      <c r="AA718" t="s">
        <v>6452</v>
      </c>
      <c r="AB718">
        <v>15313090</v>
      </c>
      <c r="AC718" t="s">
        <v>67</v>
      </c>
      <c r="AD718" t="s">
        <v>63</v>
      </c>
      <c r="AE718" t="s">
        <v>63</v>
      </c>
      <c r="AF718" t="s">
        <v>63</v>
      </c>
      <c r="AG718" t="s">
        <v>6453</v>
      </c>
      <c r="AH718" t="s">
        <v>63</v>
      </c>
      <c r="AI718" t="s">
        <v>63</v>
      </c>
      <c r="AJ718" t="s">
        <v>63</v>
      </c>
      <c r="AK718" t="s">
        <v>63</v>
      </c>
      <c r="AL718" t="s">
        <v>63</v>
      </c>
      <c r="AM718" t="s">
        <v>6454</v>
      </c>
      <c r="AN718" t="s">
        <v>63</v>
      </c>
      <c r="AO718" t="s">
        <v>63</v>
      </c>
      <c r="AP718" t="s">
        <v>63</v>
      </c>
      <c r="AQ718" t="s">
        <v>63</v>
      </c>
      <c r="AR718" t="s">
        <v>63</v>
      </c>
      <c r="AS718" t="s">
        <v>63</v>
      </c>
      <c r="AT718" t="s">
        <v>63</v>
      </c>
      <c r="AU718" t="s">
        <v>63</v>
      </c>
      <c r="AV718" t="s">
        <v>63</v>
      </c>
      <c r="AW718" t="s">
        <v>63</v>
      </c>
      <c r="AX718" t="s">
        <v>63</v>
      </c>
      <c r="AY718" t="s">
        <v>63</v>
      </c>
      <c r="AZ718" t="s">
        <v>63</v>
      </c>
      <c r="BA718" t="s">
        <v>63</v>
      </c>
      <c r="BB718" t="s">
        <v>63</v>
      </c>
      <c r="BC718" t="s">
        <v>63</v>
      </c>
      <c r="BD718" t="s">
        <v>63</v>
      </c>
      <c r="BE718" t="s">
        <v>63</v>
      </c>
      <c r="BF718" t="s">
        <v>63</v>
      </c>
    </row>
    <row r="719" spans="1:58">
      <c r="A719" t="s">
        <v>58</v>
      </c>
      <c r="B719" t="s">
        <v>6455</v>
      </c>
      <c r="C719" t="s">
        <v>6456</v>
      </c>
      <c r="D719" t="s">
        <v>603</v>
      </c>
      <c r="E719" t="s">
        <v>604</v>
      </c>
      <c r="F719">
        <v>2006</v>
      </c>
      <c r="G719" t="s">
        <v>326</v>
      </c>
      <c r="H719">
        <v>98</v>
      </c>
      <c r="I719">
        <v>2</v>
      </c>
      <c r="J719">
        <v>190</v>
      </c>
      <c r="K719">
        <v>203</v>
      </c>
      <c r="L719" t="s">
        <v>6457</v>
      </c>
      <c r="M719" t="s">
        <v>6458</v>
      </c>
      <c r="N719" t="s">
        <v>6459</v>
      </c>
      <c r="O719" t="s">
        <v>63</v>
      </c>
      <c r="Q719" t="s">
        <v>63</v>
      </c>
      <c r="R719" t="s">
        <v>63</v>
      </c>
      <c r="S719" t="s">
        <v>63</v>
      </c>
      <c r="T719" t="s">
        <v>63</v>
      </c>
      <c r="X719" t="s">
        <v>63</v>
      </c>
      <c r="Y719" t="s">
        <v>608</v>
      </c>
      <c r="Z719" t="s">
        <v>63</v>
      </c>
      <c r="AA719" t="s">
        <v>6452</v>
      </c>
      <c r="AB719">
        <v>16708505</v>
      </c>
      <c r="AC719" t="s">
        <v>67</v>
      </c>
      <c r="AD719" t="s">
        <v>63</v>
      </c>
      <c r="AE719" t="s">
        <v>63</v>
      </c>
      <c r="AF719" t="s">
        <v>63</v>
      </c>
      <c r="AG719" t="s">
        <v>6460</v>
      </c>
      <c r="AH719" t="s">
        <v>63</v>
      </c>
      <c r="AI719" t="s">
        <v>63</v>
      </c>
      <c r="AJ719" t="s">
        <v>63</v>
      </c>
      <c r="AK719" t="s">
        <v>63</v>
      </c>
      <c r="AL719" t="s">
        <v>63</v>
      </c>
      <c r="AM719" t="s">
        <v>6461</v>
      </c>
      <c r="AN719" t="s">
        <v>63</v>
      </c>
      <c r="AO719" t="s">
        <v>63</v>
      </c>
      <c r="AP719" t="s">
        <v>63</v>
      </c>
      <c r="AQ719" t="s">
        <v>63</v>
      </c>
      <c r="AR719" t="s">
        <v>63</v>
      </c>
      <c r="AS719" t="s">
        <v>63</v>
      </c>
      <c r="AT719" t="s">
        <v>63</v>
      </c>
      <c r="AU719" t="s">
        <v>63</v>
      </c>
      <c r="AV719" t="s">
        <v>63</v>
      </c>
      <c r="AW719" t="s">
        <v>63</v>
      </c>
      <c r="AX719" t="s">
        <v>63</v>
      </c>
      <c r="AY719" t="s">
        <v>63</v>
      </c>
      <c r="AZ719" t="s">
        <v>63</v>
      </c>
      <c r="BA719" t="s">
        <v>63</v>
      </c>
      <c r="BB719" t="s">
        <v>63</v>
      </c>
      <c r="BC719" t="s">
        <v>63</v>
      </c>
      <c r="BD719" t="s">
        <v>63</v>
      </c>
      <c r="BE719" t="s">
        <v>63</v>
      </c>
      <c r="BF719" t="s">
        <v>63</v>
      </c>
    </row>
    <row r="720" spans="1:58">
      <c r="A720" t="s">
        <v>58</v>
      </c>
      <c r="B720" t="s">
        <v>6462</v>
      </c>
      <c r="C720" t="s">
        <v>6463</v>
      </c>
      <c r="D720" t="s">
        <v>4567</v>
      </c>
      <c r="E720" t="s">
        <v>4568</v>
      </c>
      <c r="F720">
        <v>2005</v>
      </c>
      <c r="G720" t="s">
        <v>1670</v>
      </c>
      <c r="H720">
        <v>41</v>
      </c>
      <c r="I720">
        <v>1</v>
      </c>
      <c r="J720">
        <v>334</v>
      </c>
      <c r="K720">
        <v>341</v>
      </c>
      <c r="L720" t="s">
        <v>6464</v>
      </c>
      <c r="M720" t="s">
        <v>6465</v>
      </c>
      <c r="N720" t="s">
        <v>6466</v>
      </c>
      <c r="O720" t="s">
        <v>63</v>
      </c>
      <c r="Q720" t="s">
        <v>63</v>
      </c>
      <c r="R720" t="s">
        <v>63</v>
      </c>
      <c r="S720" t="s">
        <v>63</v>
      </c>
      <c r="T720" t="s">
        <v>63</v>
      </c>
      <c r="X720" t="s">
        <v>63</v>
      </c>
      <c r="Y720" t="s">
        <v>5761</v>
      </c>
      <c r="Z720" t="s">
        <v>63</v>
      </c>
      <c r="AA720" t="s">
        <v>6452</v>
      </c>
      <c r="AB720">
        <v>15917030</v>
      </c>
      <c r="AC720" t="s">
        <v>67</v>
      </c>
      <c r="AD720" t="s">
        <v>63</v>
      </c>
      <c r="AE720" t="s">
        <v>63</v>
      </c>
      <c r="AF720" t="s">
        <v>63</v>
      </c>
      <c r="AG720" t="s">
        <v>6467</v>
      </c>
      <c r="AH720" t="s">
        <v>63</v>
      </c>
      <c r="AI720" t="s">
        <v>63</v>
      </c>
      <c r="AJ720" t="s">
        <v>63</v>
      </c>
      <c r="AK720" t="s">
        <v>63</v>
      </c>
      <c r="AL720" t="s">
        <v>63</v>
      </c>
      <c r="AM720" t="s">
        <v>6468</v>
      </c>
      <c r="AN720" t="s">
        <v>63</v>
      </c>
      <c r="AO720" t="s">
        <v>63</v>
      </c>
      <c r="AP720" t="s">
        <v>63</v>
      </c>
      <c r="AQ720" t="s">
        <v>63</v>
      </c>
      <c r="AR720" t="s">
        <v>63</v>
      </c>
      <c r="AS720" t="s">
        <v>63</v>
      </c>
      <c r="AT720" t="s">
        <v>63</v>
      </c>
      <c r="AU720" t="s">
        <v>63</v>
      </c>
      <c r="AV720" t="s">
        <v>63</v>
      </c>
      <c r="AW720" t="s">
        <v>63</v>
      </c>
      <c r="AX720" t="s">
        <v>63</v>
      </c>
      <c r="AY720" t="s">
        <v>63</v>
      </c>
      <c r="AZ720" t="s">
        <v>63</v>
      </c>
      <c r="BA720" t="s">
        <v>63</v>
      </c>
      <c r="BB720" t="s">
        <v>63</v>
      </c>
      <c r="BC720" t="s">
        <v>63</v>
      </c>
      <c r="BD720" t="s">
        <v>63</v>
      </c>
      <c r="BE720" t="s">
        <v>63</v>
      </c>
      <c r="BF720" t="s">
        <v>63</v>
      </c>
    </row>
    <row r="721" spans="1:58">
      <c r="A721" t="s">
        <v>58</v>
      </c>
      <c r="B721" t="s">
        <v>6469</v>
      </c>
      <c r="C721" t="s">
        <v>6470</v>
      </c>
      <c r="D721" t="s">
        <v>4567</v>
      </c>
      <c r="E721" t="s">
        <v>4568</v>
      </c>
      <c r="F721">
        <v>2005</v>
      </c>
      <c r="G721" t="s">
        <v>1670</v>
      </c>
      <c r="H721">
        <v>41</v>
      </c>
      <c r="I721">
        <v>1</v>
      </c>
      <c r="J721">
        <v>159</v>
      </c>
      <c r="K721">
        <v>166</v>
      </c>
      <c r="L721" t="s">
        <v>6471</v>
      </c>
      <c r="M721" t="s">
        <v>6472</v>
      </c>
      <c r="N721" t="s">
        <v>6473</v>
      </c>
      <c r="O721" t="s">
        <v>63</v>
      </c>
      <c r="Q721" t="s">
        <v>63</v>
      </c>
      <c r="R721" t="s">
        <v>63</v>
      </c>
      <c r="S721" t="s">
        <v>63</v>
      </c>
      <c r="T721" t="s">
        <v>63</v>
      </c>
      <c r="X721" t="s">
        <v>63</v>
      </c>
      <c r="Y721" t="s">
        <v>5761</v>
      </c>
      <c r="Z721" t="s">
        <v>63</v>
      </c>
      <c r="AA721" t="s">
        <v>6474</v>
      </c>
      <c r="AB721">
        <v>15917007</v>
      </c>
      <c r="AC721" t="s">
        <v>67</v>
      </c>
      <c r="AD721" t="s">
        <v>63</v>
      </c>
      <c r="AE721" t="s">
        <v>63</v>
      </c>
      <c r="AF721" t="s">
        <v>63</v>
      </c>
      <c r="AG721" t="s">
        <v>6475</v>
      </c>
      <c r="AH721" t="s">
        <v>63</v>
      </c>
      <c r="AI721" t="s">
        <v>63</v>
      </c>
      <c r="AJ721" t="s">
        <v>63</v>
      </c>
      <c r="AK721" t="s">
        <v>63</v>
      </c>
      <c r="AL721" t="s">
        <v>63</v>
      </c>
      <c r="AM721" t="s">
        <v>6476</v>
      </c>
      <c r="AN721" t="s">
        <v>63</v>
      </c>
      <c r="AO721" t="s">
        <v>63</v>
      </c>
      <c r="AP721" t="s">
        <v>63</v>
      </c>
      <c r="AQ721" t="s">
        <v>63</v>
      </c>
      <c r="AR721" t="s">
        <v>63</v>
      </c>
      <c r="AS721" t="s">
        <v>63</v>
      </c>
      <c r="AT721" t="s">
        <v>63</v>
      </c>
      <c r="AU721" t="s">
        <v>63</v>
      </c>
      <c r="AV721" t="s">
        <v>63</v>
      </c>
      <c r="AW721" t="s">
        <v>63</v>
      </c>
      <c r="AX721" t="s">
        <v>63</v>
      </c>
      <c r="AY721" t="s">
        <v>63</v>
      </c>
      <c r="AZ721" t="s">
        <v>63</v>
      </c>
      <c r="BA721" t="s">
        <v>63</v>
      </c>
      <c r="BB721" t="s">
        <v>63</v>
      </c>
      <c r="BC721" t="s">
        <v>63</v>
      </c>
      <c r="BD721" t="s">
        <v>63</v>
      </c>
      <c r="BE721" t="s">
        <v>63</v>
      </c>
      <c r="BF721" t="s">
        <v>63</v>
      </c>
    </row>
    <row r="722" spans="1:58">
      <c r="A722" t="s">
        <v>58</v>
      </c>
      <c r="B722" t="s">
        <v>6477</v>
      </c>
      <c r="C722" t="s">
        <v>6478</v>
      </c>
      <c r="D722" t="s">
        <v>398</v>
      </c>
      <c r="E722" t="s">
        <v>398</v>
      </c>
      <c r="F722">
        <v>2012</v>
      </c>
      <c r="G722" t="s">
        <v>138</v>
      </c>
      <c r="H722">
        <v>130</v>
      </c>
      <c r="I722">
        <v>4</v>
      </c>
      <c r="J722">
        <v>712</v>
      </c>
      <c r="K722">
        <v>716</v>
      </c>
      <c r="L722" t="s">
        <v>6479</v>
      </c>
      <c r="M722" t="s">
        <v>6480</v>
      </c>
      <c r="N722" t="s">
        <v>6481</v>
      </c>
      <c r="O722" t="s">
        <v>63</v>
      </c>
      <c r="Q722" t="s">
        <v>63</v>
      </c>
      <c r="R722" t="s">
        <v>63</v>
      </c>
      <c r="S722" t="s">
        <v>63</v>
      </c>
      <c r="T722" t="s">
        <v>63</v>
      </c>
      <c r="X722" t="s">
        <v>63</v>
      </c>
      <c r="Y722" t="s">
        <v>3162</v>
      </c>
      <c r="Z722" t="s">
        <v>63</v>
      </c>
      <c r="AA722" t="s">
        <v>6482</v>
      </c>
      <c r="AB722">
        <v>22966026</v>
      </c>
      <c r="AC722" t="s">
        <v>67</v>
      </c>
      <c r="AD722" t="s">
        <v>63</v>
      </c>
      <c r="AE722" t="s">
        <v>63</v>
      </c>
      <c r="AF722" t="s">
        <v>63</v>
      </c>
      <c r="AG722" t="s">
        <v>6483</v>
      </c>
      <c r="AH722" t="s">
        <v>63</v>
      </c>
      <c r="AI722" t="s">
        <v>6484</v>
      </c>
      <c r="AJ722" t="s">
        <v>63</v>
      </c>
      <c r="AK722" t="s">
        <v>63</v>
      </c>
      <c r="AL722" t="s">
        <v>63</v>
      </c>
      <c r="AM722" t="s">
        <v>6485</v>
      </c>
      <c r="AN722" t="s">
        <v>63</v>
      </c>
      <c r="AO722" t="s">
        <v>63</v>
      </c>
      <c r="AP722" t="s">
        <v>63</v>
      </c>
      <c r="AQ722" t="s">
        <v>63</v>
      </c>
      <c r="AR722" t="s">
        <v>63</v>
      </c>
      <c r="AS722" t="s">
        <v>63</v>
      </c>
      <c r="AT722" t="s">
        <v>63</v>
      </c>
      <c r="AU722" t="s">
        <v>63</v>
      </c>
      <c r="AV722" t="s">
        <v>63</v>
      </c>
      <c r="AW722" t="s">
        <v>63</v>
      </c>
      <c r="AX722" t="s">
        <v>63</v>
      </c>
      <c r="AY722" t="s">
        <v>63</v>
      </c>
      <c r="AZ722" t="s">
        <v>63</v>
      </c>
      <c r="BA722" t="s">
        <v>63</v>
      </c>
      <c r="BB722" t="s">
        <v>63</v>
      </c>
      <c r="BC722" t="s">
        <v>63</v>
      </c>
      <c r="BD722" t="s">
        <v>63</v>
      </c>
      <c r="BE722" t="s">
        <v>63</v>
      </c>
      <c r="BF722" t="s">
        <v>63</v>
      </c>
    </row>
    <row r="723" spans="1:58">
      <c r="A723" t="s">
        <v>58</v>
      </c>
      <c r="B723" t="s">
        <v>6486</v>
      </c>
      <c r="C723" t="s">
        <v>6487</v>
      </c>
      <c r="D723" t="s">
        <v>4567</v>
      </c>
      <c r="E723" t="s">
        <v>4568</v>
      </c>
      <c r="F723">
        <v>2007</v>
      </c>
      <c r="G723" t="s">
        <v>157</v>
      </c>
      <c r="H723">
        <v>45</v>
      </c>
      <c r="I723">
        <v>6</v>
      </c>
      <c r="J723">
        <v>481</v>
      </c>
      <c r="K723">
        <v>490</v>
      </c>
      <c r="L723" t="s">
        <v>6488</v>
      </c>
      <c r="M723" t="s">
        <v>6489</v>
      </c>
      <c r="N723" t="s">
        <v>6490</v>
      </c>
      <c r="O723" t="s">
        <v>63</v>
      </c>
      <c r="Q723" t="s">
        <v>63</v>
      </c>
      <c r="R723" t="s">
        <v>63</v>
      </c>
      <c r="S723" t="s">
        <v>63</v>
      </c>
      <c r="T723" t="s">
        <v>63</v>
      </c>
      <c r="X723" t="s">
        <v>63</v>
      </c>
      <c r="Y723" t="s">
        <v>5761</v>
      </c>
      <c r="Z723" t="s">
        <v>63</v>
      </c>
      <c r="AA723" t="s">
        <v>6491</v>
      </c>
      <c r="AB723">
        <v>17707898</v>
      </c>
      <c r="AC723" t="s">
        <v>67</v>
      </c>
      <c r="AD723" t="s">
        <v>63</v>
      </c>
      <c r="AE723" t="s">
        <v>63</v>
      </c>
      <c r="AF723" t="s">
        <v>63</v>
      </c>
      <c r="AG723" t="s">
        <v>6492</v>
      </c>
      <c r="AH723" t="s">
        <v>63</v>
      </c>
      <c r="AI723" t="s">
        <v>63</v>
      </c>
      <c r="AJ723" t="s">
        <v>63</v>
      </c>
      <c r="AK723" t="s">
        <v>63</v>
      </c>
      <c r="AL723" t="s">
        <v>63</v>
      </c>
      <c r="AM723" t="s">
        <v>6493</v>
      </c>
      <c r="AN723" t="s">
        <v>63</v>
      </c>
      <c r="AO723" t="s">
        <v>63</v>
      </c>
      <c r="AP723" t="s">
        <v>63</v>
      </c>
      <c r="AQ723" t="s">
        <v>63</v>
      </c>
      <c r="AR723" t="s">
        <v>63</v>
      </c>
      <c r="AS723" t="s">
        <v>63</v>
      </c>
      <c r="AT723" t="s">
        <v>63</v>
      </c>
      <c r="AU723" t="s">
        <v>63</v>
      </c>
      <c r="AV723" t="s">
        <v>63</v>
      </c>
      <c r="AW723" t="s">
        <v>63</v>
      </c>
      <c r="AX723" t="s">
        <v>63</v>
      </c>
      <c r="AY723" t="s">
        <v>63</v>
      </c>
      <c r="AZ723" t="s">
        <v>63</v>
      </c>
      <c r="BA723" t="s">
        <v>63</v>
      </c>
      <c r="BB723" t="s">
        <v>63</v>
      </c>
      <c r="BC723" t="s">
        <v>63</v>
      </c>
      <c r="BD723" t="s">
        <v>63</v>
      </c>
      <c r="BE723" t="s">
        <v>63</v>
      </c>
      <c r="BF723" t="s">
        <v>63</v>
      </c>
    </row>
    <row r="724" spans="1:58">
      <c r="A724" t="s">
        <v>58</v>
      </c>
      <c r="B724" t="s">
        <v>6494</v>
      </c>
      <c r="C724" t="s">
        <v>6495</v>
      </c>
      <c r="D724" t="s">
        <v>325</v>
      </c>
      <c r="E724" t="s">
        <v>63</v>
      </c>
      <c r="F724">
        <v>2009</v>
      </c>
      <c r="G724" t="s">
        <v>623</v>
      </c>
      <c r="H724">
        <v>33</v>
      </c>
      <c r="I724">
        <v>1</v>
      </c>
      <c r="J724">
        <v>60</v>
      </c>
      <c r="K724">
        <v>66</v>
      </c>
      <c r="L724" t="s">
        <v>6496</v>
      </c>
      <c r="M724" t="s">
        <v>6497</v>
      </c>
      <c r="N724" t="s">
        <v>6498</v>
      </c>
      <c r="O724" t="s">
        <v>63</v>
      </c>
      <c r="Q724" t="s">
        <v>63</v>
      </c>
      <c r="R724" t="s">
        <v>63</v>
      </c>
      <c r="S724" t="s">
        <v>63</v>
      </c>
      <c r="T724" t="s">
        <v>63</v>
      </c>
      <c r="X724" t="s">
        <v>63</v>
      </c>
      <c r="Y724" t="s">
        <v>866</v>
      </c>
      <c r="Z724" t="s">
        <v>63</v>
      </c>
      <c r="AA724" t="s">
        <v>6499</v>
      </c>
      <c r="AB724">
        <v>19349447</v>
      </c>
      <c r="AC724" t="s">
        <v>67</v>
      </c>
      <c r="AD724" t="s">
        <v>63</v>
      </c>
      <c r="AE724" t="s">
        <v>63</v>
      </c>
      <c r="AF724" t="s">
        <v>63</v>
      </c>
      <c r="AG724" t="s">
        <v>6500</v>
      </c>
      <c r="AH724" t="s">
        <v>63</v>
      </c>
      <c r="AI724" t="s">
        <v>6501</v>
      </c>
      <c r="AJ724" t="s">
        <v>63</v>
      </c>
      <c r="AK724" t="s">
        <v>63</v>
      </c>
      <c r="AL724" t="s">
        <v>63</v>
      </c>
      <c r="AM724" t="s">
        <v>6502</v>
      </c>
      <c r="AN724" t="s">
        <v>63</v>
      </c>
      <c r="AO724" t="s">
        <v>63</v>
      </c>
      <c r="AP724" t="s">
        <v>63</v>
      </c>
      <c r="AQ724" t="s">
        <v>63</v>
      </c>
      <c r="AR724" t="s">
        <v>63</v>
      </c>
      <c r="AS724" t="s">
        <v>63</v>
      </c>
      <c r="AT724" t="s">
        <v>63</v>
      </c>
      <c r="AU724" t="s">
        <v>63</v>
      </c>
      <c r="AV724" t="s">
        <v>63</v>
      </c>
      <c r="AW724" t="s">
        <v>63</v>
      </c>
      <c r="AX724" t="s">
        <v>63</v>
      </c>
      <c r="AY724" t="s">
        <v>63</v>
      </c>
      <c r="AZ724" t="s">
        <v>63</v>
      </c>
      <c r="BA724" t="s">
        <v>63</v>
      </c>
      <c r="BB724" t="s">
        <v>63</v>
      </c>
      <c r="BC724" t="s">
        <v>63</v>
      </c>
      <c r="BD724" t="s">
        <v>63</v>
      </c>
      <c r="BE724" t="s">
        <v>63</v>
      </c>
      <c r="BF724" t="s">
        <v>63</v>
      </c>
    </row>
    <row r="725" spans="1:58">
      <c r="A725" t="s">
        <v>58</v>
      </c>
      <c r="B725" t="s">
        <v>6503</v>
      </c>
      <c r="C725" t="s">
        <v>6504</v>
      </c>
      <c r="D725" t="s">
        <v>6505</v>
      </c>
      <c r="E725" t="s">
        <v>6506</v>
      </c>
      <c r="F725">
        <v>2003</v>
      </c>
      <c r="G725" t="s">
        <v>274</v>
      </c>
      <c r="H725" t="s">
        <v>6507</v>
      </c>
      <c r="I725" t="s">
        <v>63</v>
      </c>
      <c r="J725">
        <v>119</v>
      </c>
      <c r="K725">
        <v>122</v>
      </c>
      <c r="L725" t="s">
        <v>6508</v>
      </c>
      <c r="M725" t="s">
        <v>6509</v>
      </c>
      <c r="N725" t="s">
        <v>6510</v>
      </c>
      <c r="O725" t="s">
        <v>63</v>
      </c>
      <c r="Q725" t="s">
        <v>63</v>
      </c>
      <c r="R725" t="s">
        <v>63</v>
      </c>
      <c r="S725" t="s">
        <v>63</v>
      </c>
      <c r="T725" t="s">
        <v>63</v>
      </c>
      <c r="X725" t="s">
        <v>63</v>
      </c>
      <c r="Y725" t="s">
        <v>6511</v>
      </c>
      <c r="Z725" t="s">
        <v>63</v>
      </c>
      <c r="AA725" t="s">
        <v>6512</v>
      </c>
      <c r="AB725">
        <v>14556359</v>
      </c>
      <c r="AC725" t="s">
        <v>67</v>
      </c>
      <c r="AD725" t="s">
        <v>63</v>
      </c>
      <c r="AE725" t="s">
        <v>63</v>
      </c>
      <c r="AF725" t="s">
        <v>63</v>
      </c>
      <c r="AG725" t="s">
        <v>6513</v>
      </c>
      <c r="AH725" t="s">
        <v>63</v>
      </c>
      <c r="AI725" t="s">
        <v>63</v>
      </c>
      <c r="AJ725" t="s">
        <v>63</v>
      </c>
      <c r="AK725" t="s">
        <v>63</v>
      </c>
      <c r="AL725" t="s">
        <v>63</v>
      </c>
      <c r="AM725" t="s">
        <v>6514</v>
      </c>
      <c r="AN725" t="s">
        <v>63</v>
      </c>
      <c r="AO725" t="s">
        <v>63</v>
      </c>
      <c r="AP725" t="s">
        <v>63</v>
      </c>
      <c r="AQ725" t="s">
        <v>63</v>
      </c>
      <c r="AR725" t="s">
        <v>63</v>
      </c>
      <c r="AS725" t="s">
        <v>63</v>
      </c>
      <c r="AT725" t="s">
        <v>63</v>
      </c>
      <c r="AU725" t="s">
        <v>63</v>
      </c>
      <c r="AV725" t="s">
        <v>63</v>
      </c>
      <c r="AW725" t="s">
        <v>63</v>
      </c>
      <c r="AX725" t="s">
        <v>63</v>
      </c>
      <c r="AY725" t="s">
        <v>63</v>
      </c>
      <c r="AZ725" t="s">
        <v>63</v>
      </c>
      <c r="BA725" t="s">
        <v>63</v>
      </c>
      <c r="BB725" t="s">
        <v>63</v>
      </c>
      <c r="BC725" t="s">
        <v>63</v>
      </c>
      <c r="BD725" t="s">
        <v>63</v>
      </c>
      <c r="BE725" t="s">
        <v>63</v>
      </c>
      <c r="BF725" t="s">
        <v>63</v>
      </c>
    </row>
    <row r="726" spans="1:58">
      <c r="A726" t="s">
        <v>58</v>
      </c>
      <c r="B726" t="s">
        <v>6515</v>
      </c>
      <c r="C726" t="s">
        <v>6516</v>
      </c>
      <c r="D726" t="s">
        <v>603</v>
      </c>
      <c r="E726" t="s">
        <v>604</v>
      </c>
      <c r="F726">
        <v>1988</v>
      </c>
      <c r="G726" t="s">
        <v>326</v>
      </c>
      <c r="H726">
        <v>80</v>
      </c>
      <c r="I726">
        <v>2</v>
      </c>
      <c r="J726">
        <v>191</v>
      </c>
      <c r="K726">
        <v>195</v>
      </c>
      <c r="L726" t="s">
        <v>6517</v>
      </c>
      <c r="M726" t="s">
        <v>6518</v>
      </c>
      <c r="N726" t="s">
        <v>6519</v>
      </c>
      <c r="O726" t="s">
        <v>63</v>
      </c>
      <c r="Q726" t="s">
        <v>63</v>
      </c>
      <c r="R726" t="s">
        <v>63</v>
      </c>
      <c r="S726" t="s">
        <v>63</v>
      </c>
      <c r="T726" t="s">
        <v>63</v>
      </c>
      <c r="X726" t="s">
        <v>63</v>
      </c>
      <c r="Y726" t="s">
        <v>608</v>
      </c>
      <c r="Z726" t="s">
        <v>63</v>
      </c>
      <c r="AA726" t="s">
        <v>63</v>
      </c>
      <c r="AB726">
        <v>3241308</v>
      </c>
      <c r="AC726" t="s">
        <v>67</v>
      </c>
      <c r="AD726" t="s">
        <v>63</v>
      </c>
      <c r="AE726" t="s">
        <v>63</v>
      </c>
      <c r="AF726" t="s">
        <v>63</v>
      </c>
      <c r="AG726" t="s">
        <v>6520</v>
      </c>
      <c r="AH726" t="s">
        <v>63</v>
      </c>
      <c r="AI726" t="s">
        <v>63</v>
      </c>
      <c r="AJ726" t="s">
        <v>63</v>
      </c>
      <c r="AK726" t="s">
        <v>63</v>
      </c>
      <c r="AL726" t="s">
        <v>63</v>
      </c>
      <c r="AM726" t="s">
        <v>6521</v>
      </c>
      <c r="AN726" t="s">
        <v>63</v>
      </c>
      <c r="AO726" t="s">
        <v>63</v>
      </c>
      <c r="AP726" t="s">
        <v>63</v>
      </c>
      <c r="AQ726" t="s">
        <v>63</v>
      </c>
      <c r="AR726" t="s">
        <v>63</v>
      </c>
      <c r="AS726" t="s">
        <v>63</v>
      </c>
      <c r="AT726" t="s">
        <v>63</v>
      </c>
      <c r="AU726" t="s">
        <v>63</v>
      </c>
      <c r="AV726" t="s">
        <v>63</v>
      </c>
      <c r="AW726" t="s">
        <v>63</v>
      </c>
      <c r="AX726" t="s">
        <v>63</v>
      </c>
      <c r="AY726" t="s">
        <v>63</v>
      </c>
      <c r="AZ726" t="s">
        <v>63</v>
      </c>
      <c r="BA726" t="s">
        <v>63</v>
      </c>
      <c r="BB726" t="s">
        <v>63</v>
      </c>
      <c r="BC726" t="s">
        <v>63</v>
      </c>
      <c r="BD726" t="s">
        <v>63</v>
      </c>
      <c r="BE726" t="s">
        <v>63</v>
      </c>
      <c r="BF726" t="s">
        <v>63</v>
      </c>
    </row>
    <row r="727" spans="1:58">
      <c r="A727" t="s">
        <v>58</v>
      </c>
      <c r="B727" t="s">
        <v>6522</v>
      </c>
      <c r="C727" t="s">
        <v>6523</v>
      </c>
      <c r="D727" t="s">
        <v>5261</v>
      </c>
      <c r="E727" t="s">
        <v>63</v>
      </c>
      <c r="F727">
        <v>2011</v>
      </c>
      <c r="G727" t="s">
        <v>63</v>
      </c>
      <c r="H727">
        <v>111</v>
      </c>
      <c r="I727">
        <v>11</v>
      </c>
      <c r="J727">
        <v>3</v>
      </c>
      <c r="K727">
        <v>13</v>
      </c>
      <c r="L727" t="s">
        <v>6524</v>
      </c>
      <c r="M727" t="s">
        <v>6525</v>
      </c>
      <c r="N727" t="s">
        <v>6526</v>
      </c>
      <c r="O727" t="s">
        <v>63</v>
      </c>
      <c r="Q727" t="s">
        <v>63</v>
      </c>
      <c r="R727" t="s">
        <v>63</v>
      </c>
      <c r="S727" t="s">
        <v>63</v>
      </c>
      <c r="T727" t="s">
        <v>63</v>
      </c>
      <c r="X727" t="s">
        <v>63</v>
      </c>
      <c r="Y727" t="s">
        <v>5265</v>
      </c>
      <c r="Z727" t="s">
        <v>63</v>
      </c>
      <c r="AA727" t="s">
        <v>63</v>
      </c>
      <c r="AB727">
        <v>22611690</v>
      </c>
      <c r="AC727" t="s">
        <v>5266</v>
      </c>
      <c r="AD727" t="s">
        <v>63</v>
      </c>
      <c r="AE727" t="s">
        <v>63</v>
      </c>
      <c r="AF727" t="s">
        <v>63</v>
      </c>
      <c r="AG727" t="s">
        <v>6527</v>
      </c>
      <c r="AH727" t="s">
        <v>63</v>
      </c>
      <c r="AI727" t="s">
        <v>63</v>
      </c>
      <c r="AJ727" t="s">
        <v>63</v>
      </c>
      <c r="AK727" t="s">
        <v>63</v>
      </c>
      <c r="AL727" t="s">
        <v>63</v>
      </c>
      <c r="AM727" t="s">
        <v>6528</v>
      </c>
      <c r="AN727" t="s">
        <v>63</v>
      </c>
      <c r="AO727" t="s">
        <v>63</v>
      </c>
      <c r="AP727" t="s">
        <v>63</v>
      </c>
      <c r="AQ727" t="s">
        <v>63</v>
      </c>
      <c r="AR727" t="s">
        <v>63</v>
      </c>
      <c r="AS727" t="s">
        <v>63</v>
      </c>
      <c r="AT727" t="s">
        <v>63</v>
      </c>
      <c r="AU727" t="s">
        <v>63</v>
      </c>
      <c r="AV727" t="s">
        <v>63</v>
      </c>
      <c r="AW727" t="s">
        <v>63</v>
      </c>
      <c r="AX727" t="s">
        <v>63</v>
      </c>
      <c r="AY727" t="s">
        <v>63</v>
      </c>
      <c r="AZ727" t="s">
        <v>63</v>
      </c>
      <c r="BA727" t="s">
        <v>63</v>
      </c>
      <c r="BB727" t="s">
        <v>63</v>
      </c>
      <c r="BC727" t="s">
        <v>63</v>
      </c>
      <c r="BD727" t="s">
        <v>63</v>
      </c>
      <c r="BE727" t="s">
        <v>63</v>
      </c>
      <c r="BF727" t="s">
        <v>63</v>
      </c>
    </row>
    <row r="728" spans="1:58">
      <c r="A728" t="s">
        <v>58</v>
      </c>
      <c r="B728" t="s">
        <v>6529</v>
      </c>
      <c r="C728" t="s">
        <v>6530</v>
      </c>
      <c r="D728" t="s">
        <v>6531</v>
      </c>
      <c r="E728" t="s">
        <v>6532</v>
      </c>
      <c r="F728">
        <v>1985</v>
      </c>
      <c r="G728" t="s">
        <v>219</v>
      </c>
      <c r="H728">
        <v>107</v>
      </c>
      <c r="I728">
        <v>2</v>
      </c>
      <c r="J728">
        <v>147</v>
      </c>
      <c r="K728">
        <v>157</v>
      </c>
      <c r="L728" t="s">
        <v>6533</v>
      </c>
      <c r="M728" t="s">
        <v>6534</v>
      </c>
      <c r="N728" t="s">
        <v>6535</v>
      </c>
      <c r="O728" t="s">
        <v>63</v>
      </c>
      <c r="Q728" t="s">
        <v>63</v>
      </c>
      <c r="R728" t="s">
        <v>63</v>
      </c>
      <c r="S728" t="s">
        <v>63</v>
      </c>
      <c r="T728" t="s">
        <v>63</v>
      </c>
      <c r="X728" t="s">
        <v>63</v>
      </c>
      <c r="Y728" t="s">
        <v>6536</v>
      </c>
      <c r="Z728" t="s">
        <v>63</v>
      </c>
      <c r="AA728" t="s">
        <v>63</v>
      </c>
      <c r="AB728">
        <v>2866221</v>
      </c>
      <c r="AC728" t="s">
        <v>67</v>
      </c>
      <c r="AD728" t="s">
        <v>63</v>
      </c>
      <c r="AE728" t="s">
        <v>63</v>
      </c>
      <c r="AF728" t="s">
        <v>63</v>
      </c>
      <c r="AG728" t="s">
        <v>6537</v>
      </c>
      <c r="AH728" t="s">
        <v>63</v>
      </c>
      <c r="AI728" t="s">
        <v>63</v>
      </c>
      <c r="AJ728" t="s">
        <v>63</v>
      </c>
      <c r="AK728" t="s">
        <v>63</v>
      </c>
      <c r="AL728" t="s">
        <v>63</v>
      </c>
      <c r="AM728" t="s">
        <v>6538</v>
      </c>
      <c r="AN728" t="s">
        <v>63</v>
      </c>
      <c r="AO728" t="s">
        <v>63</v>
      </c>
      <c r="AP728" t="s">
        <v>63</v>
      </c>
      <c r="AQ728" t="s">
        <v>63</v>
      </c>
      <c r="AR728" t="s">
        <v>63</v>
      </c>
      <c r="AS728" t="s">
        <v>63</v>
      </c>
      <c r="AT728" t="s">
        <v>63</v>
      </c>
      <c r="AU728" t="s">
        <v>63</v>
      </c>
      <c r="AV728" t="s">
        <v>63</v>
      </c>
      <c r="AW728" t="s">
        <v>63</v>
      </c>
      <c r="AX728" t="s">
        <v>63</v>
      </c>
      <c r="AY728" t="s">
        <v>63</v>
      </c>
      <c r="AZ728" t="s">
        <v>63</v>
      </c>
      <c r="BA728" t="s">
        <v>63</v>
      </c>
      <c r="BB728" t="s">
        <v>63</v>
      </c>
      <c r="BC728" t="s">
        <v>63</v>
      </c>
      <c r="BD728" t="s">
        <v>63</v>
      </c>
      <c r="BE728" t="s">
        <v>63</v>
      </c>
      <c r="BF728" t="s">
        <v>63</v>
      </c>
    </row>
    <row r="729" spans="1:58">
      <c r="A729" t="s">
        <v>58</v>
      </c>
      <c r="B729" t="s">
        <v>6539</v>
      </c>
      <c r="C729" t="s">
        <v>6540</v>
      </c>
      <c r="D729" t="s">
        <v>6541</v>
      </c>
      <c r="E729" t="s">
        <v>63</v>
      </c>
      <c r="F729">
        <v>2016</v>
      </c>
      <c r="G729" t="s">
        <v>63</v>
      </c>
      <c r="H729">
        <v>136</v>
      </c>
      <c r="I729">
        <v>1</v>
      </c>
      <c r="J729">
        <v>73</v>
      </c>
      <c r="K729">
        <v>77</v>
      </c>
      <c r="L729" t="s">
        <v>6542</v>
      </c>
      <c r="M729" t="s">
        <v>6543</v>
      </c>
      <c r="N729" t="s">
        <v>6544</v>
      </c>
      <c r="O729" t="s">
        <v>63</v>
      </c>
      <c r="Q729" t="s">
        <v>63</v>
      </c>
      <c r="R729" t="s">
        <v>63</v>
      </c>
      <c r="S729" t="s">
        <v>63</v>
      </c>
      <c r="T729" t="s">
        <v>63</v>
      </c>
      <c r="X729" t="s">
        <v>63</v>
      </c>
      <c r="Y729" t="s">
        <v>6545</v>
      </c>
      <c r="Z729" t="s">
        <v>63</v>
      </c>
      <c r="AA729" t="s">
        <v>6546</v>
      </c>
      <c r="AB729">
        <v>26725671</v>
      </c>
      <c r="AC729" t="s">
        <v>4810</v>
      </c>
      <c r="AD729" t="s">
        <v>63</v>
      </c>
      <c r="AE729" t="s">
        <v>63</v>
      </c>
      <c r="AF729" t="s">
        <v>63</v>
      </c>
      <c r="AG729" t="s">
        <v>6547</v>
      </c>
      <c r="AH729" t="s">
        <v>63</v>
      </c>
      <c r="AI729" t="s">
        <v>6548</v>
      </c>
      <c r="AJ729" t="s">
        <v>63</v>
      </c>
      <c r="AK729" t="s">
        <v>63</v>
      </c>
      <c r="AL729" t="s">
        <v>63</v>
      </c>
      <c r="AM729" t="s">
        <v>6549</v>
      </c>
      <c r="AN729" t="s">
        <v>63</v>
      </c>
      <c r="AO729" t="s">
        <v>63</v>
      </c>
      <c r="AP729" t="s">
        <v>63</v>
      </c>
      <c r="AQ729" t="s">
        <v>63</v>
      </c>
      <c r="AR729" t="s">
        <v>63</v>
      </c>
      <c r="AS729" t="s">
        <v>63</v>
      </c>
      <c r="AT729" t="s">
        <v>63</v>
      </c>
      <c r="AU729" t="s">
        <v>63</v>
      </c>
      <c r="AV729" t="s">
        <v>63</v>
      </c>
      <c r="AW729" t="s">
        <v>63</v>
      </c>
      <c r="AX729" t="s">
        <v>63</v>
      </c>
      <c r="AY729" t="s">
        <v>63</v>
      </c>
      <c r="AZ729" t="s">
        <v>63</v>
      </c>
      <c r="BA729" t="s">
        <v>63</v>
      </c>
      <c r="BB729" t="s">
        <v>63</v>
      </c>
      <c r="BC729" t="s">
        <v>63</v>
      </c>
      <c r="BD729" t="s">
        <v>63</v>
      </c>
      <c r="BE729" t="s">
        <v>63</v>
      </c>
      <c r="BF729" t="s">
        <v>63</v>
      </c>
    </row>
    <row r="730" spans="1:58">
      <c r="A730" t="s">
        <v>58</v>
      </c>
      <c r="B730" t="s">
        <v>6550</v>
      </c>
      <c r="C730" t="s">
        <v>6551</v>
      </c>
      <c r="D730" t="s">
        <v>6552</v>
      </c>
      <c r="E730" t="s">
        <v>6553</v>
      </c>
      <c r="F730">
        <v>1984</v>
      </c>
      <c r="G730" t="s">
        <v>982</v>
      </c>
      <c r="H730">
        <v>88</v>
      </c>
      <c r="I730">
        <v>4</v>
      </c>
      <c r="J730">
        <v>639</v>
      </c>
      <c r="K730">
        <v>648</v>
      </c>
      <c r="L730" t="s">
        <v>6554</v>
      </c>
      <c r="M730" t="s">
        <v>63</v>
      </c>
      <c r="N730" t="s">
        <v>6555</v>
      </c>
      <c r="O730" t="s">
        <v>63</v>
      </c>
      <c r="Q730" t="s">
        <v>63</v>
      </c>
      <c r="R730" t="s">
        <v>63</v>
      </c>
      <c r="S730" t="s">
        <v>63</v>
      </c>
      <c r="T730" t="s">
        <v>63</v>
      </c>
      <c r="X730" t="s">
        <v>63</v>
      </c>
      <c r="Y730" t="s">
        <v>6556</v>
      </c>
      <c r="Z730" t="s">
        <v>63</v>
      </c>
      <c r="AA730" t="s">
        <v>63</v>
      </c>
      <c r="AB730">
        <v>6537630</v>
      </c>
      <c r="AC730" t="s">
        <v>1371</v>
      </c>
      <c r="AD730" t="s">
        <v>63</v>
      </c>
      <c r="AE730" t="s">
        <v>63</v>
      </c>
      <c r="AF730" t="s">
        <v>63</v>
      </c>
      <c r="AG730" t="s">
        <v>6557</v>
      </c>
      <c r="AH730" t="s">
        <v>63</v>
      </c>
      <c r="AI730" t="s">
        <v>63</v>
      </c>
      <c r="AJ730" t="s">
        <v>63</v>
      </c>
      <c r="AK730" t="s">
        <v>63</v>
      </c>
      <c r="AL730" t="s">
        <v>63</v>
      </c>
      <c r="AM730" t="s">
        <v>6558</v>
      </c>
      <c r="AN730" t="s">
        <v>63</v>
      </c>
      <c r="AO730" t="s">
        <v>63</v>
      </c>
      <c r="AP730" t="s">
        <v>63</v>
      </c>
      <c r="AQ730" t="s">
        <v>63</v>
      </c>
      <c r="AR730" t="s">
        <v>63</v>
      </c>
      <c r="AS730" t="s">
        <v>63</v>
      </c>
      <c r="AT730" t="s">
        <v>63</v>
      </c>
      <c r="AU730" t="s">
        <v>63</v>
      </c>
      <c r="AV730" t="s">
        <v>63</v>
      </c>
      <c r="AW730" t="s">
        <v>63</v>
      </c>
      <c r="AX730" t="s">
        <v>63</v>
      </c>
      <c r="AY730" t="s">
        <v>63</v>
      </c>
      <c r="AZ730" t="s">
        <v>63</v>
      </c>
      <c r="BA730" t="s">
        <v>63</v>
      </c>
      <c r="BB730" t="s">
        <v>63</v>
      </c>
      <c r="BC730" t="s">
        <v>63</v>
      </c>
      <c r="BD730" t="s">
        <v>63</v>
      </c>
      <c r="BE730" t="s">
        <v>63</v>
      </c>
      <c r="BF730" t="s">
        <v>63</v>
      </c>
    </row>
    <row r="731" spans="1:58">
      <c r="A731" t="s">
        <v>58</v>
      </c>
      <c r="B731" t="s">
        <v>6559</v>
      </c>
      <c r="C731" t="s">
        <v>6560</v>
      </c>
      <c r="D731" t="s">
        <v>4116</v>
      </c>
      <c r="E731" t="s">
        <v>4117</v>
      </c>
      <c r="F731">
        <v>2000</v>
      </c>
      <c r="G731" t="s">
        <v>219</v>
      </c>
      <c r="H731">
        <v>61</v>
      </c>
      <c r="I731">
        <v>6</v>
      </c>
      <c r="J731">
        <v>912</v>
      </c>
      <c r="K731">
        <v>915</v>
      </c>
      <c r="L731" t="s">
        <v>6561</v>
      </c>
      <c r="M731" t="s">
        <v>6562</v>
      </c>
      <c r="N731" t="s">
        <v>6563</v>
      </c>
      <c r="O731" t="s">
        <v>63</v>
      </c>
      <c r="Q731" t="s">
        <v>63</v>
      </c>
      <c r="R731" t="s">
        <v>63</v>
      </c>
      <c r="S731" t="s">
        <v>63</v>
      </c>
      <c r="T731" t="s">
        <v>63</v>
      </c>
      <c r="X731" t="s">
        <v>63</v>
      </c>
      <c r="Y731" t="s">
        <v>4121</v>
      </c>
      <c r="Z731" t="s">
        <v>63</v>
      </c>
      <c r="AA731" t="s">
        <v>6564</v>
      </c>
      <c r="AB731">
        <v>11188498</v>
      </c>
      <c r="AC731" t="s">
        <v>67</v>
      </c>
      <c r="AD731" t="s">
        <v>63</v>
      </c>
      <c r="AE731" t="s">
        <v>63</v>
      </c>
      <c r="AF731" t="s">
        <v>63</v>
      </c>
      <c r="AG731" t="s">
        <v>6565</v>
      </c>
      <c r="AH731" t="s">
        <v>63</v>
      </c>
      <c r="AI731" t="s">
        <v>63</v>
      </c>
      <c r="AJ731" t="s">
        <v>63</v>
      </c>
      <c r="AK731" t="s">
        <v>63</v>
      </c>
      <c r="AL731" t="s">
        <v>63</v>
      </c>
      <c r="AM731" t="s">
        <v>6566</v>
      </c>
      <c r="AN731" t="s">
        <v>63</v>
      </c>
      <c r="AO731" t="s">
        <v>63</v>
      </c>
      <c r="AP731" t="s">
        <v>63</v>
      </c>
      <c r="AQ731" t="s">
        <v>63</v>
      </c>
      <c r="AR731" t="s">
        <v>63</v>
      </c>
      <c r="AS731" t="s">
        <v>63</v>
      </c>
      <c r="AT731" t="s">
        <v>63</v>
      </c>
      <c r="AU731" t="s">
        <v>63</v>
      </c>
      <c r="AV731" t="s">
        <v>63</v>
      </c>
      <c r="AW731" t="s">
        <v>63</v>
      </c>
      <c r="AX731" t="s">
        <v>63</v>
      </c>
      <c r="AY731" t="s">
        <v>63</v>
      </c>
      <c r="AZ731" t="s">
        <v>63</v>
      </c>
      <c r="BA731" t="s">
        <v>63</v>
      </c>
      <c r="BB731" t="s">
        <v>63</v>
      </c>
      <c r="BC731" t="s">
        <v>63</v>
      </c>
      <c r="BD731" t="s">
        <v>63</v>
      </c>
      <c r="BE731" t="s">
        <v>63</v>
      </c>
      <c r="BF731" t="s">
        <v>63</v>
      </c>
    </row>
    <row r="732" spans="1:58">
      <c r="A732" t="s">
        <v>58</v>
      </c>
      <c r="B732" t="s">
        <v>6567</v>
      </c>
      <c r="C732" t="s">
        <v>6568</v>
      </c>
      <c r="D732" t="s">
        <v>360</v>
      </c>
      <c r="E732" t="s">
        <v>63</v>
      </c>
      <c r="F732">
        <v>1976</v>
      </c>
      <c r="G732" t="s">
        <v>63</v>
      </c>
      <c r="H732">
        <v>3</v>
      </c>
      <c r="I732">
        <v>1</v>
      </c>
      <c r="J732">
        <v>203</v>
      </c>
      <c r="K732">
        <v>210</v>
      </c>
      <c r="L732" t="s">
        <v>6569</v>
      </c>
      <c r="M732" t="s">
        <v>63</v>
      </c>
      <c r="N732" t="s">
        <v>6570</v>
      </c>
      <c r="O732" t="s">
        <v>63</v>
      </c>
      <c r="Q732" t="s">
        <v>63</v>
      </c>
      <c r="R732" t="s">
        <v>63</v>
      </c>
      <c r="S732" t="s">
        <v>63</v>
      </c>
      <c r="T732" t="s">
        <v>63</v>
      </c>
      <c r="X732" t="s">
        <v>63</v>
      </c>
      <c r="Y732" t="s">
        <v>1683</v>
      </c>
      <c r="Z732" t="s">
        <v>63</v>
      </c>
      <c r="AA732" t="s">
        <v>63</v>
      </c>
      <c r="AB732">
        <v>937305</v>
      </c>
      <c r="AC732" t="s">
        <v>67</v>
      </c>
      <c r="AD732" t="s">
        <v>63</v>
      </c>
      <c r="AE732" t="s">
        <v>63</v>
      </c>
      <c r="AF732" t="s">
        <v>63</v>
      </c>
      <c r="AG732" t="s">
        <v>6571</v>
      </c>
      <c r="AH732" t="s">
        <v>63</v>
      </c>
      <c r="AI732" t="s">
        <v>63</v>
      </c>
      <c r="AJ732" t="s">
        <v>63</v>
      </c>
      <c r="AK732" t="s">
        <v>63</v>
      </c>
      <c r="AL732" t="s">
        <v>63</v>
      </c>
      <c r="AM732" t="s">
        <v>6572</v>
      </c>
      <c r="AN732" t="s">
        <v>63</v>
      </c>
      <c r="AO732" t="s">
        <v>63</v>
      </c>
      <c r="AP732" t="s">
        <v>63</v>
      </c>
      <c r="AQ732" t="s">
        <v>63</v>
      </c>
      <c r="AR732" t="s">
        <v>63</v>
      </c>
      <c r="AS732" t="s">
        <v>63</v>
      </c>
      <c r="AT732" t="s">
        <v>63</v>
      </c>
      <c r="AU732" t="s">
        <v>63</v>
      </c>
      <c r="AV732" t="s">
        <v>63</v>
      </c>
      <c r="AW732" t="s">
        <v>63</v>
      </c>
      <c r="AX732" t="s">
        <v>63</v>
      </c>
      <c r="AY732" t="s">
        <v>63</v>
      </c>
      <c r="AZ732" t="s">
        <v>63</v>
      </c>
      <c r="BA732" t="s">
        <v>63</v>
      </c>
      <c r="BB732" t="s">
        <v>63</v>
      </c>
      <c r="BC732" t="s">
        <v>63</v>
      </c>
      <c r="BD732" t="s">
        <v>63</v>
      </c>
      <c r="BE732" t="s">
        <v>63</v>
      </c>
      <c r="BF732" t="s">
        <v>63</v>
      </c>
    </row>
    <row r="733" spans="1:58">
      <c r="A733" t="s">
        <v>58</v>
      </c>
      <c r="B733" t="s">
        <v>6573</v>
      </c>
      <c r="C733" t="s">
        <v>6574</v>
      </c>
      <c r="D733" t="s">
        <v>6575</v>
      </c>
      <c r="E733" t="s">
        <v>63</v>
      </c>
      <c r="F733">
        <v>2002</v>
      </c>
      <c r="G733" t="s">
        <v>189</v>
      </c>
      <c r="H733">
        <v>39</v>
      </c>
      <c r="I733">
        <v>3</v>
      </c>
      <c r="J733">
        <v>308</v>
      </c>
      <c r="K733">
        <v>313</v>
      </c>
      <c r="L733" t="s">
        <v>6576</v>
      </c>
      <c r="M733" t="s">
        <v>6577</v>
      </c>
      <c r="N733" t="s">
        <v>6578</v>
      </c>
      <c r="O733" t="s">
        <v>63</v>
      </c>
      <c r="Q733" t="s">
        <v>63</v>
      </c>
      <c r="R733" t="s">
        <v>63</v>
      </c>
      <c r="S733" t="s">
        <v>63</v>
      </c>
      <c r="T733" t="s">
        <v>63</v>
      </c>
      <c r="X733" t="s">
        <v>63</v>
      </c>
      <c r="Y733" t="s">
        <v>6579</v>
      </c>
      <c r="Z733" t="s">
        <v>63</v>
      </c>
      <c r="AA733" t="s">
        <v>6580</v>
      </c>
      <c r="AB733">
        <v>12073594</v>
      </c>
      <c r="AC733" t="s">
        <v>4810</v>
      </c>
      <c r="AD733" t="s">
        <v>63</v>
      </c>
      <c r="AE733" t="s">
        <v>63</v>
      </c>
      <c r="AF733" t="s">
        <v>63</v>
      </c>
      <c r="AG733" t="s">
        <v>6581</v>
      </c>
      <c r="AH733" t="s">
        <v>63</v>
      </c>
      <c r="AI733" t="s">
        <v>63</v>
      </c>
      <c r="AJ733" t="s">
        <v>63</v>
      </c>
      <c r="AK733" t="s">
        <v>63</v>
      </c>
      <c r="AL733" t="s">
        <v>63</v>
      </c>
      <c r="AM733" t="s">
        <v>6582</v>
      </c>
      <c r="AN733" t="s">
        <v>63</v>
      </c>
      <c r="AO733" t="s">
        <v>63</v>
      </c>
      <c r="AP733" t="s">
        <v>63</v>
      </c>
      <c r="AQ733" t="s">
        <v>63</v>
      </c>
      <c r="AR733" t="s">
        <v>63</v>
      </c>
      <c r="AS733" t="s">
        <v>63</v>
      </c>
      <c r="AT733" t="s">
        <v>63</v>
      </c>
      <c r="AU733" t="s">
        <v>63</v>
      </c>
      <c r="AV733" t="s">
        <v>63</v>
      </c>
      <c r="AW733" t="s">
        <v>63</v>
      </c>
      <c r="AX733" t="s">
        <v>63</v>
      </c>
      <c r="AY733" t="s">
        <v>63</v>
      </c>
      <c r="AZ733" t="s">
        <v>63</v>
      </c>
      <c r="BA733" t="s">
        <v>63</v>
      </c>
      <c r="BB733" t="s">
        <v>63</v>
      </c>
      <c r="BC733" t="s">
        <v>63</v>
      </c>
      <c r="BD733" t="s">
        <v>63</v>
      </c>
      <c r="BE733" t="s">
        <v>63</v>
      </c>
      <c r="BF733" t="s">
        <v>63</v>
      </c>
    </row>
    <row r="734" spans="1:58">
      <c r="A734" t="s">
        <v>58</v>
      </c>
      <c r="B734" t="s">
        <v>6583</v>
      </c>
      <c r="C734" t="s">
        <v>6584</v>
      </c>
      <c r="D734" t="s">
        <v>6585</v>
      </c>
      <c r="E734" t="s">
        <v>63</v>
      </c>
      <c r="F734">
        <v>2014</v>
      </c>
      <c r="G734" s="1">
        <v>41866</v>
      </c>
      <c r="H734">
        <v>15</v>
      </c>
      <c r="I734" t="s">
        <v>63</v>
      </c>
      <c r="J734">
        <v>46</v>
      </c>
      <c r="K734" t="s">
        <v>63</v>
      </c>
      <c r="L734" t="s">
        <v>6586</v>
      </c>
      <c r="M734" t="s">
        <v>6587</v>
      </c>
      <c r="N734" t="s">
        <v>6588</v>
      </c>
      <c r="O734" t="s">
        <v>63</v>
      </c>
      <c r="Q734" t="s">
        <v>63</v>
      </c>
      <c r="R734" t="s">
        <v>63</v>
      </c>
      <c r="S734" t="s">
        <v>63</v>
      </c>
      <c r="T734" t="s">
        <v>63</v>
      </c>
      <c r="X734" t="s">
        <v>63</v>
      </c>
      <c r="Y734" t="s">
        <v>6589</v>
      </c>
      <c r="Z734" t="s">
        <v>63</v>
      </c>
      <c r="AA734" t="s">
        <v>6590</v>
      </c>
      <c r="AB734">
        <v>25127880</v>
      </c>
      <c r="AC734" t="s">
        <v>67</v>
      </c>
      <c r="AD734" t="s">
        <v>63</v>
      </c>
      <c r="AE734" t="s">
        <v>63</v>
      </c>
      <c r="AF734" t="s">
        <v>63</v>
      </c>
      <c r="AG734" t="s">
        <v>6591</v>
      </c>
      <c r="AH734" t="s">
        <v>63</v>
      </c>
      <c r="AI734" t="s">
        <v>6592</v>
      </c>
      <c r="AJ734" t="s">
        <v>63</v>
      </c>
      <c r="AK734" t="s">
        <v>63</v>
      </c>
      <c r="AL734" t="s">
        <v>63</v>
      </c>
      <c r="AM734" t="s">
        <v>6593</v>
      </c>
      <c r="AN734" t="s">
        <v>63</v>
      </c>
      <c r="AO734" t="s">
        <v>63</v>
      </c>
      <c r="AP734" t="s">
        <v>63</v>
      </c>
      <c r="AQ734" t="s">
        <v>63</v>
      </c>
      <c r="AR734" t="s">
        <v>63</v>
      </c>
      <c r="AS734" t="s">
        <v>63</v>
      </c>
      <c r="AT734" t="s">
        <v>63</v>
      </c>
      <c r="AU734" t="s">
        <v>63</v>
      </c>
      <c r="AV734" t="s">
        <v>63</v>
      </c>
      <c r="AW734" t="s">
        <v>63</v>
      </c>
      <c r="AX734" t="s">
        <v>63</v>
      </c>
      <c r="AY734" t="s">
        <v>63</v>
      </c>
      <c r="AZ734" t="s">
        <v>63</v>
      </c>
      <c r="BA734" t="s">
        <v>63</v>
      </c>
      <c r="BB734" t="s">
        <v>63</v>
      </c>
      <c r="BC734" t="s">
        <v>63</v>
      </c>
      <c r="BD734" t="s">
        <v>63</v>
      </c>
      <c r="BE734" t="s">
        <v>63</v>
      </c>
      <c r="BF734" t="s">
        <v>63</v>
      </c>
    </row>
    <row r="735" spans="1:58">
      <c r="A735" t="s">
        <v>58</v>
      </c>
      <c r="B735" t="s">
        <v>6594</v>
      </c>
      <c r="C735" t="s">
        <v>6595</v>
      </c>
      <c r="D735" t="s">
        <v>6596</v>
      </c>
      <c r="E735" t="s">
        <v>63</v>
      </c>
      <c r="F735">
        <v>2013</v>
      </c>
      <c r="G735" t="s">
        <v>63</v>
      </c>
      <c r="H735">
        <v>17</v>
      </c>
      <c r="I735">
        <v>2</v>
      </c>
      <c r="J735">
        <v>4</v>
      </c>
      <c r="K735">
        <v>11</v>
      </c>
      <c r="L735" t="s">
        <v>6597</v>
      </c>
      <c r="M735" t="s">
        <v>6598</v>
      </c>
      <c r="N735" t="s">
        <v>6599</v>
      </c>
      <c r="O735" t="s">
        <v>63</v>
      </c>
      <c r="Q735" t="s">
        <v>63</v>
      </c>
      <c r="R735" t="s">
        <v>63</v>
      </c>
      <c r="S735" t="s">
        <v>63</v>
      </c>
      <c r="T735" t="s">
        <v>63</v>
      </c>
      <c r="X735" t="s">
        <v>63</v>
      </c>
      <c r="Y735" t="s">
        <v>6600</v>
      </c>
      <c r="Z735" t="s">
        <v>63</v>
      </c>
      <c r="AA735" t="s">
        <v>6601</v>
      </c>
      <c r="AB735">
        <v>23704836</v>
      </c>
      <c r="AC735" t="s">
        <v>67</v>
      </c>
      <c r="AD735" t="s">
        <v>63</v>
      </c>
      <c r="AE735" t="s">
        <v>63</v>
      </c>
      <c r="AF735" t="s">
        <v>63</v>
      </c>
      <c r="AG735" t="s">
        <v>6602</v>
      </c>
      <c r="AH735" t="s">
        <v>63</v>
      </c>
      <c r="AI735" t="s">
        <v>6603</v>
      </c>
      <c r="AJ735" t="s">
        <v>63</v>
      </c>
      <c r="AK735" t="s">
        <v>63</v>
      </c>
      <c r="AL735" t="s">
        <v>63</v>
      </c>
      <c r="AM735" t="s">
        <v>6604</v>
      </c>
      <c r="AN735" t="s">
        <v>63</v>
      </c>
      <c r="AO735" t="s">
        <v>63</v>
      </c>
      <c r="AP735" t="s">
        <v>63</v>
      </c>
      <c r="AQ735" t="s">
        <v>63</v>
      </c>
      <c r="AR735" t="s">
        <v>63</v>
      </c>
      <c r="AS735" t="s">
        <v>63</v>
      </c>
      <c r="AT735" t="s">
        <v>63</v>
      </c>
      <c r="AU735" t="s">
        <v>63</v>
      </c>
      <c r="AV735" t="s">
        <v>63</v>
      </c>
      <c r="AW735" t="s">
        <v>63</v>
      </c>
      <c r="AX735" t="s">
        <v>63</v>
      </c>
      <c r="AY735" t="s">
        <v>63</v>
      </c>
      <c r="AZ735" t="s">
        <v>63</v>
      </c>
      <c r="BA735" t="s">
        <v>63</v>
      </c>
      <c r="BB735" t="s">
        <v>63</v>
      </c>
      <c r="BC735" t="s">
        <v>63</v>
      </c>
      <c r="BD735" t="s">
        <v>63</v>
      </c>
      <c r="BE735" t="s">
        <v>63</v>
      </c>
      <c r="BF735" t="s">
        <v>63</v>
      </c>
    </row>
    <row r="736" spans="1:58">
      <c r="A736" t="s">
        <v>58</v>
      </c>
      <c r="B736" t="s">
        <v>6605</v>
      </c>
      <c r="C736" t="s">
        <v>6606</v>
      </c>
      <c r="D736" t="s">
        <v>1439</v>
      </c>
      <c r="E736" t="s">
        <v>1439</v>
      </c>
      <c r="F736">
        <v>1978</v>
      </c>
      <c r="G736" s="1">
        <v>41733</v>
      </c>
      <c r="H736">
        <v>75</v>
      </c>
      <c r="I736">
        <v>14</v>
      </c>
      <c r="J736">
        <v>1382</v>
      </c>
      <c r="K736" t="s">
        <v>63</v>
      </c>
      <c r="L736" t="s">
        <v>6607</v>
      </c>
      <c r="M736" t="s">
        <v>63</v>
      </c>
      <c r="N736" t="s">
        <v>6608</v>
      </c>
      <c r="O736" t="s">
        <v>63</v>
      </c>
      <c r="Q736" t="s">
        <v>63</v>
      </c>
      <c r="R736" t="s">
        <v>63</v>
      </c>
      <c r="S736" t="s">
        <v>63</v>
      </c>
      <c r="T736" t="s">
        <v>63</v>
      </c>
      <c r="X736" t="s">
        <v>63</v>
      </c>
      <c r="Y736" t="s">
        <v>1442</v>
      </c>
      <c r="Z736" t="s">
        <v>63</v>
      </c>
      <c r="AA736" t="s">
        <v>63</v>
      </c>
      <c r="AB736">
        <v>642643</v>
      </c>
      <c r="AC736" t="s">
        <v>1444</v>
      </c>
      <c r="AD736" t="s">
        <v>63</v>
      </c>
      <c r="AE736" t="s">
        <v>63</v>
      </c>
      <c r="AF736" t="s">
        <v>63</v>
      </c>
      <c r="AG736" t="s">
        <v>6609</v>
      </c>
      <c r="AH736" t="s">
        <v>63</v>
      </c>
      <c r="AI736" t="s">
        <v>63</v>
      </c>
      <c r="AJ736" t="s">
        <v>63</v>
      </c>
      <c r="AK736" t="s">
        <v>63</v>
      </c>
      <c r="AL736" t="s">
        <v>63</v>
      </c>
      <c r="AM736" t="s">
        <v>6610</v>
      </c>
      <c r="AN736" t="s">
        <v>63</v>
      </c>
      <c r="AO736" t="s">
        <v>63</v>
      </c>
      <c r="AP736" t="s">
        <v>63</v>
      </c>
      <c r="AQ736" t="s">
        <v>63</v>
      </c>
      <c r="AR736" t="s">
        <v>63</v>
      </c>
      <c r="AS736" t="s">
        <v>63</v>
      </c>
      <c r="AT736" t="s">
        <v>63</v>
      </c>
      <c r="AU736" t="s">
        <v>63</v>
      </c>
      <c r="AV736" t="s">
        <v>63</v>
      </c>
      <c r="AW736" t="s">
        <v>63</v>
      </c>
      <c r="AX736" t="s">
        <v>63</v>
      </c>
      <c r="AY736" t="s">
        <v>63</v>
      </c>
      <c r="AZ736" t="s">
        <v>63</v>
      </c>
      <c r="BA736" t="s">
        <v>63</v>
      </c>
      <c r="BB736" t="s">
        <v>63</v>
      </c>
      <c r="BC736" t="s">
        <v>63</v>
      </c>
      <c r="BD736" t="s">
        <v>63</v>
      </c>
      <c r="BE736" t="s">
        <v>63</v>
      </c>
      <c r="BF736" t="s">
        <v>63</v>
      </c>
    </row>
    <row r="737" spans="1:58">
      <c r="A737" t="s">
        <v>58</v>
      </c>
      <c r="B737" t="s">
        <v>6611</v>
      </c>
      <c r="C737" t="s">
        <v>6612</v>
      </c>
      <c r="D737" t="s">
        <v>563</v>
      </c>
      <c r="E737" t="s">
        <v>63</v>
      </c>
      <c r="F737">
        <v>2010</v>
      </c>
      <c r="G737" s="1">
        <v>41712</v>
      </c>
      <c r="H737">
        <v>10</v>
      </c>
      <c r="I737" t="s">
        <v>63</v>
      </c>
      <c r="J737">
        <v>22</v>
      </c>
      <c r="K737" t="s">
        <v>63</v>
      </c>
      <c r="L737" t="s">
        <v>6613</v>
      </c>
      <c r="M737" t="s">
        <v>6614</v>
      </c>
      <c r="N737" t="s">
        <v>6615</v>
      </c>
      <c r="O737" t="s">
        <v>63</v>
      </c>
      <c r="Q737" t="s">
        <v>63</v>
      </c>
      <c r="R737" t="s">
        <v>63</v>
      </c>
      <c r="S737" t="s">
        <v>63</v>
      </c>
      <c r="T737" t="s">
        <v>63</v>
      </c>
      <c r="X737" t="s">
        <v>63</v>
      </c>
      <c r="Y737" t="s">
        <v>567</v>
      </c>
      <c r="Z737" t="s">
        <v>63</v>
      </c>
      <c r="AA737" t="s">
        <v>6616</v>
      </c>
      <c r="AB737">
        <v>20230607</v>
      </c>
      <c r="AC737" t="s">
        <v>67</v>
      </c>
      <c r="AD737" t="s">
        <v>63</v>
      </c>
      <c r="AE737" t="s">
        <v>63</v>
      </c>
      <c r="AF737" t="s">
        <v>63</v>
      </c>
      <c r="AG737" t="s">
        <v>6617</v>
      </c>
      <c r="AH737" t="s">
        <v>63</v>
      </c>
      <c r="AI737" t="s">
        <v>6618</v>
      </c>
      <c r="AJ737" t="s">
        <v>63</v>
      </c>
      <c r="AK737" t="s">
        <v>63</v>
      </c>
      <c r="AL737" t="s">
        <v>63</v>
      </c>
      <c r="AM737" t="s">
        <v>6619</v>
      </c>
      <c r="AN737" t="s">
        <v>63</v>
      </c>
      <c r="AO737" t="s">
        <v>63</v>
      </c>
      <c r="AP737" t="s">
        <v>63</v>
      </c>
      <c r="AQ737" t="s">
        <v>63</v>
      </c>
      <c r="AR737" t="s">
        <v>63</v>
      </c>
      <c r="AS737" t="s">
        <v>63</v>
      </c>
      <c r="AT737" t="s">
        <v>63</v>
      </c>
      <c r="AU737" t="s">
        <v>63</v>
      </c>
      <c r="AV737" t="s">
        <v>63</v>
      </c>
      <c r="AW737" t="s">
        <v>63</v>
      </c>
      <c r="AX737" t="s">
        <v>63</v>
      </c>
      <c r="AY737" t="s">
        <v>63</v>
      </c>
      <c r="AZ737" t="s">
        <v>63</v>
      </c>
      <c r="BA737" t="s">
        <v>63</v>
      </c>
      <c r="BB737" t="s">
        <v>63</v>
      </c>
      <c r="BC737" t="s">
        <v>63</v>
      </c>
      <c r="BD737" t="s">
        <v>63</v>
      </c>
      <c r="BE737" t="s">
        <v>63</v>
      </c>
      <c r="BF737" t="s">
        <v>63</v>
      </c>
    </row>
    <row r="738" spans="1:58">
      <c r="A738" t="s">
        <v>58</v>
      </c>
      <c r="B738" t="s">
        <v>6620</v>
      </c>
      <c r="C738" t="s">
        <v>6621</v>
      </c>
      <c r="D738" t="s">
        <v>2914</v>
      </c>
      <c r="E738" t="s">
        <v>2915</v>
      </c>
      <c r="F738">
        <v>1960</v>
      </c>
      <c r="G738" t="s">
        <v>73</v>
      </c>
      <c r="H738">
        <v>21</v>
      </c>
      <c r="I738" t="s">
        <v>63</v>
      </c>
      <c r="J738">
        <v>298</v>
      </c>
      <c r="K738">
        <v>313</v>
      </c>
      <c r="L738" t="s">
        <v>6622</v>
      </c>
      <c r="M738" t="s">
        <v>63</v>
      </c>
      <c r="N738" t="s">
        <v>6623</v>
      </c>
      <c r="O738" t="s">
        <v>63</v>
      </c>
      <c r="Q738" t="s">
        <v>63</v>
      </c>
      <c r="R738" t="s">
        <v>63</v>
      </c>
      <c r="S738" t="s">
        <v>63</v>
      </c>
      <c r="T738" t="s">
        <v>63</v>
      </c>
      <c r="X738" t="s">
        <v>63</v>
      </c>
      <c r="Y738" t="s">
        <v>2918</v>
      </c>
      <c r="Z738" t="s">
        <v>63</v>
      </c>
      <c r="AA738" t="s">
        <v>63</v>
      </c>
      <c r="AB738">
        <v>14406301</v>
      </c>
      <c r="AC738" t="s">
        <v>67</v>
      </c>
      <c r="AD738" t="s">
        <v>63</v>
      </c>
      <c r="AE738" t="s">
        <v>63</v>
      </c>
      <c r="AF738" t="s">
        <v>63</v>
      </c>
      <c r="AG738" t="s">
        <v>6624</v>
      </c>
      <c r="AH738" t="s">
        <v>63</v>
      </c>
      <c r="AI738" t="s">
        <v>63</v>
      </c>
      <c r="AJ738" t="s">
        <v>63</v>
      </c>
      <c r="AK738" t="s">
        <v>63</v>
      </c>
      <c r="AL738" t="s">
        <v>63</v>
      </c>
      <c r="AM738" t="s">
        <v>6625</v>
      </c>
      <c r="AN738" t="s">
        <v>63</v>
      </c>
      <c r="AO738" t="s">
        <v>63</v>
      </c>
      <c r="AP738" t="s">
        <v>63</v>
      </c>
      <c r="AQ738" t="s">
        <v>63</v>
      </c>
      <c r="AR738" t="s">
        <v>63</v>
      </c>
      <c r="AS738" t="s">
        <v>63</v>
      </c>
      <c r="AT738" t="s">
        <v>63</v>
      </c>
      <c r="AU738" t="s">
        <v>63</v>
      </c>
      <c r="AV738" t="s">
        <v>63</v>
      </c>
      <c r="AW738" t="s">
        <v>63</v>
      </c>
      <c r="AX738" t="s">
        <v>63</v>
      </c>
      <c r="AY738" t="s">
        <v>63</v>
      </c>
      <c r="AZ738" t="s">
        <v>63</v>
      </c>
      <c r="BA738" t="s">
        <v>63</v>
      </c>
      <c r="BB738" t="s">
        <v>63</v>
      </c>
      <c r="BC738" t="s">
        <v>63</v>
      </c>
      <c r="BD738" t="s">
        <v>63</v>
      </c>
      <c r="BE738" t="s">
        <v>63</v>
      </c>
      <c r="BF738" t="s">
        <v>63</v>
      </c>
    </row>
    <row r="739" spans="1:58">
      <c r="A739" t="s">
        <v>58</v>
      </c>
      <c r="B739" t="s">
        <v>6626</v>
      </c>
      <c r="C739" t="s">
        <v>6627</v>
      </c>
      <c r="D739" t="s">
        <v>6628</v>
      </c>
      <c r="E739" t="s">
        <v>63</v>
      </c>
      <c r="F739">
        <v>2010</v>
      </c>
      <c r="G739" t="s">
        <v>219</v>
      </c>
      <c r="H739" t="s">
        <v>6629</v>
      </c>
      <c r="I739" t="s">
        <v>63</v>
      </c>
      <c r="J739" t="s">
        <v>6630</v>
      </c>
      <c r="K739">
        <v>3</v>
      </c>
      <c r="L739" t="s">
        <v>6631</v>
      </c>
      <c r="M739" t="s">
        <v>6632</v>
      </c>
      <c r="N739" t="s">
        <v>6633</v>
      </c>
      <c r="O739" t="s">
        <v>63</v>
      </c>
      <c r="Q739" t="s">
        <v>63</v>
      </c>
      <c r="R739" t="s">
        <v>63</v>
      </c>
      <c r="S739" t="s">
        <v>63</v>
      </c>
      <c r="T739" t="s">
        <v>63</v>
      </c>
      <c r="X739" t="s">
        <v>63</v>
      </c>
      <c r="Y739" t="s">
        <v>6634</v>
      </c>
      <c r="Z739" t="s">
        <v>63</v>
      </c>
      <c r="AA739" t="s">
        <v>6635</v>
      </c>
      <c r="AB739">
        <v>21057418</v>
      </c>
      <c r="AC739" t="s">
        <v>67</v>
      </c>
      <c r="AD739" t="s">
        <v>63</v>
      </c>
      <c r="AE739" t="s">
        <v>63</v>
      </c>
      <c r="AF739" t="s">
        <v>63</v>
      </c>
      <c r="AG739" t="s">
        <v>6636</v>
      </c>
      <c r="AH739" t="s">
        <v>63</v>
      </c>
      <c r="AI739" t="s">
        <v>63</v>
      </c>
      <c r="AJ739" t="s">
        <v>63</v>
      </c>
      <c r="AK739" t="s">
        <v>63</v>
      </c>
      <c r="AL739" t="s">
        <v>63</v>
      </c>
      <c r="AM739" t="s">
        <v>6637</v>
      </c>
      <c r="AN739" t="s">
        <v>63</v>
      </c>
      <c r="AO739" t="s">
        <v>63</v>
      </c>
      <c r="AP739" t="s">
        <v>63</v>
      </c>
      <c r="AQ739" t="s">
        <v>63</v>
      </c>
      <c r="AR739" t="s">
        <v>63</v>
      </c>
      <c r="AS739" t="s">
        <v>63</v>
      </c>
      <c r="AT739" t="s">
        <v>63</v>
      </c>
      <c r="AU739" t="s">
        <v>63</v>
      </c>
      <c r="AV739" t="s">
        <v>63</v>
      </c>
      <c r="AW739" t="s">
        <v>63</v>
      </c>
      <c r="AX739" t="s">
        <v>63</v>
      </c>
      <c r="AY739" t="s">
        <v>63</v>
      </c>
      <c r="AZ739" t="s">
        <v>63</v>
      </c>
      <c r="BA739" t="s">
        <v>63</v>
      </c>
      <c r="BB739" t="s">
        <v>63</v>
      </c>
      <c r="BC739" t="s">
        <v>63</v>
      </c>
      <c r="BD739" t="s">
        <v>63</v>
      </c>
      <c r="BE739" t="s">
        <v>63</v>
      </c>
      <c r="BF739" t="s">
        <v>63</v>
      </c>
    </row>
    <row r="740" spans="1:58">
      <c r="A740" t="s">
        <v>58</v>
      </c>
      <c r="B740" t="s">
        <v>6638</v>
      </c>
      <c r="C740" t="s">
        <v>6639</v>
      </c>
      <c r="D740" t="s">
        <v>671</v>
      </c>
      <c r="E740" t="s">
        <v>63</v>
      </c>
      <c r="F740">
        <v>2015</v>
      </c>
      <c r="G740" t="s">
        <v>63</v>
      </c>
      <c r="H740">
        <v>15</v>
      </c>
      <c r="I740">
        <v>1</v>
      </c>
      <c r="J740">
        <v>42</v>
      </c>
      <c r="K740">
        <v>46</v>
      </c>
      <c r="L740" t="s">
        <v>6640</v>
      </c>
      <c r="M740" t="s">
        <v>6641</v>
      </c>
      <c r="N740" t="s">
        <v>6642</v>
      </c>
      <c r="O740" t="s">
        <v>63</v>
      </c>
      <c r="Q740" t="s">
        <v>63</v>
      </c>
      <c r="R740" t="s">
        <v>63</v>
      </c>
      <c r="S740" t="s">
        <v>63</v>
      </c>
      <c r="T740" t="s">
        <v>63</v>
      </c>
      <c r="X740" t="s">
        <v>63</v>
      </c>
      <c r="Y740" t="s">
        <v>6643</v>
      </c>
      <c r="Z740" t="s">
        <v>63</v>
      </c>
      <c r="AA740" t="s">
        <v>6644</v>
      </c>
      <c r="AB740">
        <v>25821025</v>
      </c>
      <c r="AC740" t="s">
        <v>67</v>
      </c>
      <c r="AD740" t="s">
        <v>63</v>
      </c>
      <c r="AE740" t="s">
        <v>63</v>
      </c>
      <c r="AF740" t="s">
        <v>63</v>
      </c>
      <c r="AG740" t="s">
        <v>6645</v>
      </c>
      <c r="AH740" t="s">
        <v>63</v>
      </c>
      <c r="AI740" t="s">
        <v>63</v>
      </c>
      <c r="AJ740" t="s">
        <v>63</v>
      </c>
      <c r="AK740" t="s">
        <v>63</v>
      </c>
      <c r="AL740" t="s">
        <v>63</v>
      </c>
      <c r="AM740" t="s">
        <v>6646</v>
      </c>
      <c r="AN740" t="s">
        <v>63</v>
      </c>
      <c r="AO740" t="s">
        <v>63</v>
      </c>
      <c r="AP740" t="s">
        <v>63</v>
      </c>
      <c r="AQ740" t="s">
        <v>63</v>
      </c>
      <c r="AR740" t="s">
        <v>63</v>
      </c>
      <c r="AS740" t="s">
        <v>63</v>
      </c>
      <c r="AT740" t="s">
        <v>63</v>
      </c>
      <c r="AU740" t="s">
        <v>63</v>
      </c>
      <c r="AV740" t="s">
        <v>63</v>
      </c>
      <c r="AW740" t="s">
        <v>63</v>
      </c>
      <c r="AX740" t="s">
        <v>63</v>
      </c>
      <c r="AY740" t="s">
        <v>63</v>
      </c>
      <c r="AZ740" t="s">
        <v>63</v>
      </c>
      <c r="BA740" t="s">
        <v>63</v>
      </c>
      <c r="BB740" t="s">
        <v>63</v>
      </c>
      <c r="BC740" t="s">
        <v>63</v>
      </c>
      <c r="BD740" t="s">
        <v>63</v>
      </c>
      <c r="BE740" t="s">
        <v>63</v>
      </c>
      <c r="BF740" t="s">
        <v>63</v>
      </c>
    </row>
    <row r="741" spans="1:58">
      <c r="A741" t="s">
        <v>58</v>
      </c>
      <c r="B741" t="s">
        <v>6647</v>
      </c>
      <c r="C741" t="s">
        <v>6648</v>
      </c>
      <c r="D741" t="s">
        <v>389</v>
      </c>
      <c r="E741" t="s">
        <v>63</v>
      </c>
      <c r="F741">
        <v>2013</v>
      </c>
      <c r="G741" t="s">
        <v>63</v>
      </c>
      <c r="H741">
        <v>7</v>
      </c>
      <c r="I741" t="s">
        <v>63</v>
      </c>
      <c r="J741">
        <v>109</v>
      </c>
      <c r="K741">
        <v>116</v>
      </c>
      <c r="L741" t="s">
        <v>63</v>
      </c>
      <c r="M741" t="s">
        <v>6649</v>
      </c>
      <c r="N741" t="s">
        <v>6650</v>
      </c>
      <c r="O741" t="s">
        <v>63</v>
      </c>
      <c r="Q741" t="s">
        <v>63</v>
      </c>
      <c r="R741" t="s">
        <v>63</v>
      </c>
      <c r="S741" t="s">
        <v>63</v>
      </c>
      <c r="T741" t="s">
        <v>63</v>
      </c>
      <c r="X741" t="s">
        <v>63</v>
      </c>
      <c r="Y741" t="s">
        <v>6651</v>
      </c>
      <c r="Z741" t="s">
        <v>63</v>
      </c>
      <c r="AA741" t="s">
        <v>6652</v>
      </c>
      <c r="AB741">
        <v>23861587</v>
      </c>
      <c r="AC741" t="s">
        <v>67</v>
      </c>
      <c r="AD741" t="s">
        <v>63</v>
      </c>
      <c r="AE741" t="s">
        <v>63</v>
      </c>
      <c r="AF741" t="s">
        <v>63</v>
      </c>
      <c r="AG741" t="s">
        <v>6653</v>
      </c>
      <c r="AH741" t="s">
        <v>63</v>
      </c>
      <c r="AI741" t="s">
        <v>6654</v>
      </c>
      <c r="AJ741" t="s">
        <v>63</v>
      </c>
      <c r="AK741" t="s">
        <v>63</v>
      </c>
      <c r="AL741" t="s">
        <v>63</v>
      </c>
      <c r="AM741" t="s">
        <v>6655</v>
      </c>
      <c r="AN741" t="s">
        <v>63</v>
      </c>
      <c r="AO741" t="s">
        <v>63</v>
      </c>
      <c r="AP741" t="s">
        <v>63</v>
      </c>
      <c r="AQ741" t="s">
        <v>63</v>
      </c>
      <c r="AR741" t="s">
        <v>63</v>
      </c>
      <c r="AS741" t="s">
        <v>63</v>
      </c>
      <c r="AT741" t="s">
        <v>63</v>
      </c>
      <c r="AU741" t="s">
        <v>63</v>
      </c>
      <c r="AV741" t="s">
        <v>63</v>
      </c>
      <c r="AW741" t="s">
        <v>63</v>
      </c>
      <c r="AX741" t="s">
        <v>63</v>
      </c>
      <c r="AY741" t="s">
        <v>63</v>
      </c>
      <c r="AZ741" t="s">
        <v>63</v>
      </c>
      <c r="BA741" t="s">
        <v>63</v>
      </c>
      <c r="BB741" t="s">
        <v>63</v>
      </c>
      <c r="BC741" t="s">
        <v>63</v>
      </c>
      <c r="BD741" t="s">
        <v>63</v>
      </c>
      <c r="BE741" t="s">
        <v>63</v>
      </c>
      <c r="BF741" t="s">
        <v>63</v>
      </c>
    </row>
    <row r="742" spans="1:58">
      <c r="A742" t="s">
        <v>58</v>
      </c>
      <c r="B742" t="s">
        <v>6656</v>
      </c>
      <c r="C742" t="s">
        <v>6657</v>
      </c>
      <c r="D742" t="s">
        <v>5419</v>
      </c>
      <c r="E742" t="s">
        <v>5420</v>
      </c>
      <c r="F742">
        <v>1982</v>
      </c>
      <c r="G742" t="s">
        <v>274</v>
      </c>
      <c r="H742">
        <v>32</v>
      </c>
      <c r="I742">
        <v>236</v>
      </c>
      <c r="J742">
        <v>179</v>
      </c>
      <c r="K742">
        <v>183</v>
      </c>
      <c r="L742" t="s">
        <v>6658</v>
      </c>
      <c r="M742" t="s">
        <v>6659</v>
      </c>
      <c r="N742" t="s">
        <v>6660</v>
      </c>
      <c r="O742" t="s">
        <v>63</v>
      </c>
      <c r="Q742" t="s">
        <v>63</v>
      </c>
      <c r="R742" t="s">
        <v>63</v>
      </c>
      <c r="S742" t="s">
        <v>63</v>
      </c>
      <c r="T742" t="s">
        <v>63</v>
      </c>
      <c r="X742" t="s">
        <v>63</v>
      </c>
      <c r="Y742" t="s">
        <v>5423</v>
      </c>
      <c r="Z742" t="s">
        <v>63</v>
      </c>
      <c r="AA742" t="s">
        <v>63</v>
      </c>
      <c r="AB742">
        <v>7086752</v>
      </c>
      <c r="AC742" t="s">
        <v>67</v>
      </c>
      <c r="AD742" t="s">
        <v>63</v>
      </c>
      <c r="AE742" t="s">
        <v>63</v>
      </c>
      <c r="AF742" t="s">
        <v>63</v>
      </c>
      <c r="AG742" t="s">
        <v>6661</v>
      </c>
      <c r="AH742" t="s">
        <v>63</v>
      </c>
      <c r="AI742" t="s">
        <v>63</v>
      </c>
      <c r="AJ742" t="s">
        <v>63</v>
      </c>
      <c r="AK742" t="s">
        <v>63</v>
      </c>
      <c r="AL742" t="s">
        <v>63</v>
      </c>
      <c r="AM742" t="s">
        <v>6662</v>
      </c>
      <c r="AN742" t="s">
        <v>63</v>
      </c>
      <c r="AO742" t="s">
        <v>63</v>
      </c>
      <c r="AP742" t="s">
        <v>63</v>
      </c>
      <c r="AQ742" t="s">
        <v>63</v>
      </c>
      <c r="AR742" t="s">
        <v>63</v>
      </c>
      <c r="AS742" t="s">
        <v>63</v>
      </c>
      <c r="AT742" t="s">
        <v>63</v>
      </c>
      <c r="AU742" t="s">
        <v>63</v>
      </c>
      <c r="AV742" t="s">
        <v>63</v>
      </c>
      <c r="AW742" t="s">
        <v>63</v>
      </c>
      <c r="AX742" t="s">
        <v>63</v>
      </c>
      <c r="AY742" t="s">
        <v>63</v>
      </c>
      <c r="AZ742" t="s">
        <v>63</v>
      </c>
      <c r="BA742" t="s">
        <v>63</v>
      </c>
      <c r="BB742" t="s">
        <v>63</v>
      </c>
      <c r="BC742" t="s">
        <v>63</v>
      </c>
      <c r="BD742" t="s">
        <v>63</v>
      </c>
      <c r="BE742" t="s">
        <v>63</v>
      </c>
      <c r="BF742" t="s">
        <v>63</v>
      </c>
    </row>
    <row r="743" spans="1:58">
      <c r="A743" t="s">
        <v>58</v>
      </c>
      <c r="B743" t="s">
        <v>6663</v>
      </c>
      <c r="C743" t="s">
        <v>6664</v>
      </c>
      <c r="D743" t="s">
        <v>592</v>
      </c>
      <c r="E743" t="s">
        <v>593</v>
      </c>
      <c r="F743">
        <v>2005</v>
      </c>
      <c r="G743" t="s">
        <v>157</v>
      </c>
      <c r="H743" t="s">
        <v>6665</v>
      </c>
      <c r="I743" t="s">
        <v>63</v>
      </c>
      <c r="J743">
        <v>34</v>
      </c>
      <c r="K743">
        <v>37</v>
      </c>
      <c r="L743" t="s">
        <v>6666</v>
      </c>
      <c r="M743" t="s">
        <v>6667</v>
      </c>
      <c r="N743" t="s">
        <v>6668</v>
      </c>
      <c r="O743" t="s">
        <v>63</v>
      </c>
      <c r="Q743" t="s">
        <v>63</v>
      </c>
      <c r="R743" t="s">
        <v>63</v>
      </c>
      <c r="S743" t="s">
        <v>63</v>
      </c>
      <c r="T743" t="s">
        <v>63</v>
      </c>
      <c r="X743" t="s">
        <v>63</v>
      </c>
      <c r="Y743" t="s">
        <v>597</v>
      </c>
      <c r="Z743" t="s">
        <v>63</v>
      </c>
      <c r="AA743" t="s">
        <v>6669</v>
      </c>
      <c r="AB743">
        <v>16369680</v>
      </c>
      <c r="AC743" t="s">
        <v>67</v>
      </c>
      <c r="AD743" t="s">
        <v>63</v>
      </c>
      <c r="AE743" t="s">
        <v>63</v>
      </c>
      <c r="AF743" t="s">
        <v>63</v>
      </c>
      <c r="AG743" t="s">
        <v>6670</v>
      </c>
      <c r="AH743" t="s">
        <v>63</v>
      </c>
      <c r="AI743" t="s">
        <v>63</v>
      </c>
      <c r="AJ743" t="s">
        <v>63</v>
      </c>
      <c r="AK743" t="s">
        <v>63</v>
      </c>
      <c r="AL743" t="s">
        <v>63</v>
      </c>
      <c r="AM743" t="s">
        <v>6671</v>
      </c>
      <c r="AN743" t="s">
        <v>63</v>
      </c>
      <c r="AO743" t="s">
        <v>63</v>
      </c>
      <c r="AP743" t="s">
        <v>63</v>
      </c>
      <c r="AQ743" t="s">
        <v>63</v>
      </c>
      <c r="AR743" t="s">
        <v>63</v>
      </c>
      <c r="AS743" t="s">
        <v>63</v>
      </c>
      <c r="AT743" t="s">
        <v>63</v>
      </c>
      <c r="AU743" t="s">
        <v>63</v>
      </c>
      <c r="AV743" t="s">
        <v>63</v>
      </c>
      <c r="AW743" t="s">
        <v>63</v>
      </c>
      <c r="AX743" t="s">
        <v>63</v>
      </c>
      <c r="AY743" t="s">
        <v>63</v>
      </c>
      <c r="AZ743" t="s">
        <v>63</v>
      </c>
      <c r="BA743" t="s">
        <v>63</v>
      </c>
      <c r="BB743" t="s">
        <v>63</v>
      </c>
      <c r="BC743" t="s">
        <v>63</v>
      </c>
      <c r="BD743" t="s">
        <v>63</v>
      </c>
      <c r="BE743" t="s">
        <v>63</v>
      </c>
      <c r="BF743" t="s">
        <v>63</v>
      </c>
    </row>
    <row r="744" spans="1:58">
      <c r="A744" t="s">
        <v>58</v>
      </c>
      <c r="B744" t="s">
        <v>6672</v>
      </c>
      <c r="C744" t="s">
        <v>6673</v>
      </c>
      <c r="D744" t="s">
        <v>1212</v>
      </c>
      <c r="E744" t="s">
        <v>63</v>
      </c>
      <c r="F744">
        <v>2017</v>
      </c>
      <c r="G744" t="s">
        <v>6376</v>
      </c>
      <c r="H744">
        <v>11</v>
      </c>
      <c r="I744">
        <v>3</v>
      </c>
      <c r="J744">
        <v>163</v>
      </c>
      <c r="K744">
        <v>173</v>
      </c>
      <c r="L744" t="s">
        <v>6674</v>
      </c>
      <c r="M744" t="s">
        <v>6675</v>
      </c>
      <c r="N744" t="s">
        <v>6676</v>
      </c>
      <c r="O744" t="s">
        <v>63</v>
      </c>
      <c r="Q744" t="s">
        <v>63</v>
      </c>
      <c r="R744" t="s">
        <v>63</v>
      </c>
      <c r="S744" t="s">
        <v>63</v>
      </c>
      <c r="T744" t="s">
        <v>63</v>
      </c>
      <c r="X744" t="s">
        <v>63</v>
      </c>
      <c r="Y744" t="s">
        <v>2367</v>
      </c>
      <c r="Z744" t="s">
        <v>63</v>
      </c>
      <c r="AA744" t="s">
        <v>6677</v>
      </c>
      <c r="AB744">
        <v>28557958</v>
      </c>
      <c r="AC744" t="s">
        <v>67</v>
      </c>
      <c r="AD744" t="s">
        <v>63</v>
      </c>
      <c r="AE744" t="s">
        <v>63</v>
      </c>
      <c r="AF744" t="s">
        <v>63</v>
      </c>
      <c r="AG744" t="s">
        <v>6678</v>
      </c>
      <c r="AH744" t="s">
        <v>63</v>
      </c>
      <c r="AI744" t="s">
        <v>6679</v>
      </c>
      <c r="AJ744" t="s">
        <v>63</v>
      </c>
      <c r="AK744" t="s">
        <v>63</v>
      </c>
      <c r="AL744" t="s">
        <v>63</v>
      </c>
      <c r="AM744" t="s">
        <v>6680</v>
      </c>
      <c r="AN744" t="s">
        <v>63</v>
      </c>
      <c r="AO744" t="s">
        <v>63</v>
      </c>
      <c r="AP744" t="s">
        <v>63</v>
      </c>
      <c r="AQ744" t="s">
        <v>63</v>
      </c>
      <c r="AR744" t="s">
        <v>63</v>
      </c>
      <c r="AS744" t="s">
        <v>63</v>
      </c>
      <c r="AT744" t="s">
        <v>63</v>
      </c>
      <c r="AU744" t="s">
        <v>63</v>
      </c>
      <c r="AV744" t="s">
        <v>63</v>
      </c>
      <c r="AW744" t="s">
        <v>63</v>
      </c>
      <c r="AX744" t="s">
        <v>63</v>
      </c>
      <c r="AY744" t="s">
        <v>63</v>
      </c>
      <c r="AZ744" t="s">
        <v>63</v>
      </c>
      <c r="BA744" t="s">
        <v>63</v>
      </c>
      <c r="BB744" t="s">
        <v>63</v>
      </c>
      <c r="BC744" t="s">
        <v>63</v>
      </c>
      <c r="BD744" t="s">
        <v>63</v>
      </c>
      <c r="BE744" t="s">
        <v>63</v>
      </c>
      <c r="BF744" t="s">
        <v>63</v>
      </c>
    </row>
    <row r="745" spans="1:58">
      <c r="A745" t="s">
        <v>58</v>
      </c>
      <c r="B745" t="s">
        <v>6681</v>
      </c>
      <c r="C745" t="s">
        <v>6682</v>
      </c>
      <c r="D745" t="s">
        <v>389</v>
      </c>
      <c r="E745" t="s">
        <v>63</v>
      </c>
      <c r="F745">
        <v>2014</v>
      </c>
      <c r="G745" t="s">
        <v>63</v>
      </c>
      <c r="H745">
        <v>35</v>
      </c>
      <c r="I745">
        <v>2</v>
      </c>
      <c r="J745">
        <v>147</v>
      </c>
      <c r="K745">
        <v>152</v>
      </c>
      <c r="L745" t="s">
        <v>6683</v>
      </c>
      <c r="M745" t="s">
        <v>6684</v>
      </c>
      <c r="N745" t="s">
        <v>6685</v>
      </c>
      <c r="O745" t="s">
        <v>63</v>
      </c>
      <c r="Q745" t="s">
        <v>63</v>
      </c>
      <c r="R745" t="s">
        <v>63</v>
      </c>
      <c r="S745" t="s">
        <v>63</v>
      </c>
      <c r="T745" t="s">
        <v>63</v>
      </c>
      <c r="X745" t="s">
        <v>63</v>
      </c>
      <c r="Y745" t="s">
        <v>556</v>
      </c>
      <c r="Z745" t="s">
        <v>63</v>
      </c>
      <c r="AA745" t="s">
        <v>6686</v>
      </c>
      <c r="AB745">
        <v>24821351</v>
      </c>
      <c r="AC745" t="s">
        <v>67</v>
      </c>
      <c r="AD745" t="s">
        <v>63</v>
      </c>
      <c r="AE745" t="s">
        <v>63</v>
      </c>
      <c r="AF745" t="s">
        <v>63</v>
      </c>
      <c r="AG745" t="s">
        <v>6687</v>
      </c>
      <c r="AH745" t="s">
        <v>63</v>
      </c>
      <c r="AI745" t="s">
        <v>6688</v>
      </c>
      <c r="AJ745" t="s">
        <v>63</v>
      </c>
      <c r="AK745" t="s">
        <v>63</v>
      </c>
      <c r="AL745" t="s">
        <v>63</v>
      </c>
      <c r="AM745" t="s">
        <v>6689</v>
      </c>
      <c r="AN745" t="s">
        <v>63</v>
      </c>
      <c r="AO745" t="s">
        <v>63</v>
      </c>
      <c r="AP745" t="s">
        <v>63</v>
      </c>
      <c r="AQ745" t="s">
        <v>63</v>
      </c>
      <c r="AR745" t="s">
        <v>63</v>
      </c>
      <c r="AS745" t="s">
        <v>63</v>
      </c>
      <c r="AT745" t="s">
        <v>63</v>
      </c>
      <c r="AU745" t="s">
        <v>63</v>
      </c>
      <c r="AV745" t="s">
        <v>63</v>
      </c>
      <c r="AW745" t="s">
        <v>63</v>
      </c>
      <c r="AX745" t="s">
        <v>63</v>
      </c>
      <c r="AY745" t="s">
        <v>63</v>
      </c>
      <c r="AZ745" t="s">
        <v>63</v>
      </c>
      <c r="BA745" t="s">
        <v>63</v>
      </c>
      <c r="BB745" t="s">
        <v>63</v>
      </c>
      <c r="BC745" t="s">
        <v>63</v>
      </c>
      <c r="BD745" t="s">
        <v>63</v>
      </c>
      <c r="BE745" t="s">
        <v>63</v>
      </c>
      <c r="BF745" t="s">
        <v>63</v>
      </c>
    </row>
    <row r="746" spans="1:58">
      <c r="A746" t="s">
        <v>58</v>
      </c>
      <c r="B746" t="s">
        <v>6690</v>
      </c>
      <c r="C746" t="s">
        <v>6691</v>
      </c>
      <c r="D746" t="s">
        <v>2576</v>
      </c>
      <c r="E746" t="s">
        <v>2577</v>
      </c>
      <c r="F746">
        <v>1971</v>
      </c>
      <c r="G746" s="1">
        <v>41726</v>
      </c>
      <c r="H746">
        <v>178</v>
      </c>
      <c r="I746" t="s">
        <v>63</v>
      </c>
      <c r="J746">
        <v>24</v>
      </c>
      <c r="K746">
        <v>27</v>
      </c>
      <c r="L746" t="s">
        <v>6692</v>
      </c>
      <c r="M746" t="s">
        <v>63</v>
      </c>
      <c r="N746" t="s">
        <v>6693</v>
      </c>
      <c r="O746" t="s">
        <v>63</v>
      </c>
      <c r="Q746" t="s">
        <v>63</v>
      </c>
      <c r="R746" t="s">
        <v>63</v>
      </c>
      <c r="S746" t="s">
        <v>63</v>
      </c>
      <c r="T746" t="s">
        <v>63</v>
      </c>
      <c r="X746" t="s">
        <v>63</v>
      </c>
      <c r="Y746" t="s">
        <v>2580</v>
      </c>
      <c r="Z746" t="s">
        <v>63</v>
      </c>
      <c r="AA746" t="s">
        <v>63</v>
      </c>
      <c r="AB746">
        <v>4996707</v>
      </c>
      <c r="AC746" t="s">
        <v>67</v>
      </c>
      <c r="AD746" t="s">
        <v>63</v>
      </c>
      <c r="AE746" t="s">
        <v>63</v>
      </c>
      <c r="AF746" t="s">
        <v>63</v>
      </c>
      <c r="AG746" t="s">
        <v>6694</v>
      </c>
      <c r="AH746" t="s">
        <v>63</v>
      </c>
      <c r="AI746" t="s">
        <v>63</v>
      </c>
      <c r="AJ746" t="s">
        <v>63</v>
      </c>
      <c r="AK746" t="s">
        <v>63</v>
      </c>
      <c r="AL746" t="s">
        <v>63</v>
      </c>
      <c r="AM746" t="s">
        <v>6695</v>
      </c>
      <c r="AN746" t="s">
        <v>63</v>
      </c>
      <c r="AO746" t="s">
        <v>63</v>
      </c>
      <c r="AP746" t="s">
        <v>63</v>
      </c>
      <c r="AQ746" t="s">
        <v>63</v>
      </c>
      <c r="AR746" t="s">
        <v>63</v>
      </c>
      <c r="AS746" t="s">
        <v>63</v>
      </c>
      <c r="AT746" t="s">
        <v>63</v>
      </c>
      <c r="AU746" t="s">
        <v>63</v>
      </c>
      <c r="AV746" t="s">
        <v>63</v>
      </c>
      <c r="AW746" t="s">
        <v>63</v>
      </c>
      <c r="AX746" t="s">
        <v>63</v>
      </c>
      <c r="AY746" t="s">
        <v>63</v>
      </c>
      <c r="AZ746" t="s">
        <v>63</v>
      </c>
      <c r="BA746" t="s">
        <v>63</v>
      </c>
      <c r="BB746" t="s">
        <v>63</v>
      </c>
      <c r="BC746" t="s">
        <v>63</v>
      </c>
      <c r="BD746" t="s">
        <v>63</v>
      </c>
      <c r="BE746" t="s">
        <v>63</v>
      </c>
      <c r="BF746" t="s">
        <v>63</v>
      </c>
    </row>
    <row r="747" spans="1:58">
      <c r="A747" t="s">
        <v>58</v>
      </c>
      <c r="B747" t="s">
        <v>6696</v>
      </c>
      <c r="C747" t="s">
        <v>6697</v>
      </c>
      <c r="D747" t="s">
        <v>3890</v>
      </c>
      <c r="E747" t="s">
        <v>3891</v>
      </c>
      <c r="F747">
        <v>1992</v>
      </c>
      <c r="G747" t="s">
        <v>63</v>
      </c>
      <c r="H747">
        <v>27</v>
      </c>
      <c r="I747">
        <v>8</v>
      </c>
      <c r="J747">
        <v>979</v>
      </c>
      <c r="K747">
        <v>994</v>
      </c>
      <c r="L747" t="s">
        <v>6698</v>
      </c>
      <c r="M747" t="s">
        <v>6699</v>
      </c>
      <c r="N747" t="s">
        <v>6700</v>
      </c>
      <c r="O747" t="s">
        <v>63</v>
      </c>
      <c r="Q747" t="s">
        <v>63</v>
      </c>
      <c r="R747" t="s">
        <v>63</v>
      </c>
      <c r="S747" t="s">
        <v>63</v>
      </c>
      <c r="T747" t="s">
        <v>63</v>
      </c>
      <c r="X747" t="s">
        <v>63</v>
      </c>
      <c r="Y747" t="s">
        <v>3894</v>
      </c>
      <c r="Z747" t="s">
        <v>63</v>
      </c>
      <c r="AA747" t="s">
        <v>6701</v>
      </c>
      <c r="AB747">
        <v>1639550</v>
      </c>
      <c r="AC747" t="s">
        <v>67</v>
      </c>
      <c r="AD747" t="s">
        <v>63</v>
      </c>
      <c r="AE747" t="s">
        <v>63</v>
      </c>
      <c r="AF747" t="s">
        <v>63</v>
      </c>
      <c r="AG747" t="s">
        <v>6702</v>
      </c>
      <c r="AH747" t="s">
        <v>63</v>
      </c>
      <c r="AI747" t="s">
        <v>63</v>
      </c>
      <c r="AJ747" t="s">
        <v>63</v>
      </c>
      <c r="AK747" t="s">
        <v>63</v>
      </c>
      <c r="AL747" t="s">
        <v>63</v>
      </c>
      <c r="AM747" t="s">
        <v>6703</v>
      </c>
      <c r="AN747" t="s">
        <v>63</v>
      </c>
      <c r="AO747" t="s">
        <v>63</v>
      </c>
      <c r="AP747" t="s">
        <v>63</v>
      </c>
      <c r="AQ747" t="s">
        <v>63</v>
      </c>
      <c r="AR747" t="s">
        <v>63</v>
      </c>
      <c r="AS747" t="s">
        <v>63</v>
      </c>
      <c r="AT747" t="s">
        <v>63</v>
      </c>
      <c r="AU747" t="s">
        <v>63</v>
      </c>
      <c r="AV747" t="s">
        <v>63</v>
      </c>
      <c r="AW747" t="s">
        <v>63</v>
      </c>
      <c r="AX747" t="s">
        <v>63</v>
      </c>
      <c r="AY747" t="s">
        <v>63</v>
      </c>
      <c r="AZ747" t="s">
        <v>63</v>
      </c>
      <c r="BA747" t="s">
        <v>63</v>
      </c>
      <c r="BB747" t="s">
        <v>63</v>
      </c>
      <c r="BC747" t="s">
        <v>63</v>
      </c>
      <c r="BD747" t="s">
        <v>63</v>
      </c>
      <c r="BE747" t="s">
        <v>63</v>
      </c>
      <c r="BF747" t="s">
        <v>63</v>
      </c>
    </row>
    <row r="748" spans="1:58">
      <c r="A748" t="s">
        <v>58</v>
      </c>
      <c r="B748" t="s">
        <v>6704</v>
      </c>
      <c r="C748" t="s">
        <v>6705</v>
      </c>
      <c r="D748" t="s">
        <v>325</v>
      </c>
      <c r="E748" t="s">
        <v>63</v>
      </c>
      <c r="F748">
        <v>2016</v>
      </c>
      <c r="G748" t="s">
        <v>73</v>
      </c>
      <c r="H748">
        <v>40</v>
      </c>
      <c r="I748">
        <v>3</v>
      </c>
      <c r="J748">
        <v>523</v>
      </c>
      <c r="K748">
        <v>524</v>
      </c>
      <c r="L748" t="s">
        <v>6706</v>
      </c>
      <c r="M748" t="s">
        <v>63</v>
      </c>
      <c r="N748" t="s">
        <v>6707</v>
      </c>
      <c r="O748" t="s">
        <v>63</v>
      </c>
      <c r="Q748" t="s">
        <v>63</v>
      </c>
      <c r="R748" t="s">
        <v>63</v>
      </c>
      <c r="S748" t="s">
        <v>63</v>
      </c>
      <c r="T748" t="s">
        <v>63</v>
      </c>
      <c r="X748" t="s">
        <v>63</v>
      </c>
      <c r="Y748" t="s">
        <v>330</v>
      </c>
      <c r="Z748" t="s">
        <v>63</v>
      </c>
      <c r="AA748" t="s">
        <v>6708</v>
      </c>
      <c r="AB748">
        <v>26976399</v>
      </c>
      <c r="AC748" t="s">
        <v>67</v>
      </c>
      <c r="AD748" t="s">
        <v>63</v>
      </c>
      <c r="AE748" t="s">
        <v>63</v>
      </c>
      <c r="AF748" t="s">
        <v>63</v>
      </c>
      <c r="AG748" t="s">
        <v>6709</v>
      </c>
      <c r="AH748" t="s">
        <v>63</v>
      </c>
      <c r="AI748" t="s">
        <v>6710</v>
      </c>
      <c r="AJ748" t="s">
        <v>63</v>
      </c>
      <c r="AK748" t="s">
        <v>63</v>
      </c>
      <c r="AL748" t="s">
        <v>63</v>
      </c>
      <c r="AM748" t="s">
        <v>6711</v>
      </c>
      <c r="AN748" t="s">
        <v>63</v>
      </c>
      <c r="AO748" t="s">
        <v>63</v>
      </c>
      <c r="AP748" t="s">
        <v>63</v>
      </c>
      <c r="AQ748" t="s">
        <v>63</v>
      </c>
      <c r="AR748" t="s">
        <v>63</v>
      </c>
      <c r="AS748" t="s">
        <v>63</v>
      </c>
      <c r="AT748" t="s">
        <v>63</v>
      </c>
      <c r="AU748" t="s">
        <v>63</v>
      </c>
      <c r="AV748" t="s">
        <v>63</v>
      </c>
      <c r="AW748" t="s">
        <v>63</v>
      </c>
      <c r="AX748" t="s">
        <v>63</v>
      </c>
      <c r="AY748" t="s">
        <v>63</v>
      </c>
      <c r="AZ748" t="s">
        <v>63</v>
      </c>
      <c r="BA748" t="s">
        <v>63</v>
      </c>
      <c r="BB748" t="s">
        <v>63</v>
      </c>
      <c r="BC748" t="s">
        <v>63</v>
      </c>
      <c r="BD748" t="s">
        <v>63</v>
      </c>
      <c r="BE748" t="s">
        <v>63</v>
      </c>
      <c r="BF748" t="s">
        <v>63</v>
      </c>
    </row>
    <row r="749" spans="1:58">
      <c r="A749" t="s">
        <v>58</v>
      </c>
      <c r="B749" t="s">
        <v>6712</v>
      </c>
      <c r="C749" t="s">
        <v>6713</v>
      </c>
      <c r="D749" t="s">
        <v>898</v>
      </c>
      <c r="E749" t="s">
        <v>63</v>
      </c>
      <c r="F749">
        <v>2007</v>
      </c>
      <c r="G749" t="s">
        <v>908</v>
      </c>
      <c r="H749">
        <v>13</v>
      </c>
      <c r="I749">
        <v>4</v>
      </c>
      <c r="J749">
        <v>967</v>
      </c>
      <c r="K749">
        <v>971</v>
      </c>
      <c r="L749" t="s">
        <v>6714</v>
      </c>
      <c r="M749" t="s">
        <v>6715</v>
      </c>
      <c r="N749" t="s">
        <v>6716</v>
      </c>
      <c r="O749" t="s">
        <v>63</v>
      </c>
      <c r="Q749" t="s">
        <v>63</v>
      </c>
      <c r="R749" t="s">
        <v>63</v>
      </c>
      <c r="S749" t="s">
        <v>63</v>
      </c>
      <c r="T749" t="s">
        <v>63</v>
      </c>
      <c r="X749" t="s">
        <v>63</v>
      </c>
      <c r="Y749" t="s">
        <v>901</v>
      </c>
      <c r="Z749" t="s">
        <v>63</v>
      </c>
      <c r="AA749" t="s">
        <v>6717</v>
      </c>
      <c r="AB749">
        <v>17955780</v>
      </c>
      <c r="AC749" t="s">
        <v>67</v>
      </c>
      <c r="AD749" t="s">
        <v>63</v>
      </c>
      <c r="AE749" t="s">
        <v>63</v>
      </c>
      <c r="AF749" t="s">
        <v>63</v>
      </c>
      <c r="AG749" t="s">
        <v>6718</v>
      </c>
      <c r="AH749" t="s">
        <v>63</v>
      </c>
      <c r="AI749" t="s">
        <v>63</v>
      </c>
      <c r="AJ749" t="s">
        <v>63</v>
      </c>
      <c r="AK749" t="s">
        <v>63</v>
      </c>
      <c r="AL749" t="s">
        <v>63</v>
      </c>
      <c r="AM749" t="s">
        <v>6719</v>
      </c>
      <c r="AN749" t="s">
        <v>63</v>
      </c>
      <c r="AO749" t="s">
        <v>63</v>
      </c>
      <c r="AP749" t="s">
        <v>63</v>
      </c>
      <c r="AQ749" t="s">
        <v>63</v>
      </c>
      <c r="AR749" t="s">
        <v>63</v>
      </c>
      <c r="AS749" t="s">
        <v>63</v>
      </c>
      <c r="AT749" t="s">
        <v>63</v>
      </c>
      <c r="AU749" t="s">
        <v>63</v>
      </c>
      <c r="AV749" t="s">
        <v>63</v>
      </c>
      <c r="AW749" t="s">
        <v>63</v>
      </c>
      <c r="AX749" t="s">
        <v>63</v>
      </c>
      <c r="AY749" t="s">
        <v>63</v>
      </c>
      <c r="AZ749" t="s">
        <v>63</v>
      </c>
      <c r="BA749" t="s">
        <v>63</v>
      </c>
      <c r="BB749" t="s">
        <v>63</v>
      </c>
      <c r="BC749" t="s">
        <v>63</v>
      </c>
      <c r="BD749" t="s">
        <v>63</v>
      </c>
      <c r="BE749" t="s">
        <v>63</v>
      </c>
      <c r="BF749" t="s">
        <v>63</v>
      </c>
    </row>
    <row r="750" spans="1:58">
      <c r="A750" t="s">
        <v>58</v>
      </c>
      <c r="B750" t="s">
        <v>6720</v>
      </c>
      <c r="C750" t="s">
        <v>6721</v>
      </c>
      <c r="D750" t="s">
        <v>180</v>
      </c>
      <c r="E750" t="s">
        <v>63</v>
      </c>
      <c r="F750">
        <v>2002</v>
      </c>
      <c r="G750" t="s">
        <v>623</v>
      </c>
      <c r="H750">
        <v>37</v>
      </c>
      <c r="I750">
        <v>1</v>
      </c>
      <c r="J750">
        <v>38</v>
      </c>
      <c r="K750">
        <v>42</v>
      </c>
      <c r="L750" t="s">
        <v>6722</v>
      </c>
      <c r="M750" t="s">
        <v>6723</v>
      </c>
      <c r="N750" t="s">
        <v>6724</v>
      </c>
      <c r="O750" t="s">
        <v>63</v>
      </c>
      <c r="Q750" t="s">
        <v>63</v>
      </c>
      <c r="R750" t="s">
        <v>63</v>
      </c>
      <c r="S750" t="s">
        <v>63</v>
      </c>
      <c r="T750" t="s">
        <v>63</v>
      </c>
      <c r="X750" t="s">
        <v>63</v>
      </c>
      <c r="Y750" t="s">
        <v>185</v>
      </c>
      <c r="Z750" t="s">
        <v>63</v>
      </c>
      <c r="AA750" t="s">
        <v>6725</v>
      </c>
      <c r="AB750">
        <v>11825855</v>
      </c>
      <c r="AC750" t="s">
        <v>67</v>
      </c>
      <c r="AD750" t="s">
        <v>63</v>
      </c>
      <c r="AE750" t="s">
        <v>63</v>
      </c>
      <c r="AF750" t="s">
        <v>63</v>
      </c>
      <c r="AG750" t="s">
        <v>6726</v>
      </c>
      <c r="AH750" t="s">
        <v>63</v>
      </c>
      <c r="AI750" t="s">
        <v>63</v>
      </c>
      <c r="AJ750" t="s">
        <v>63</v>
      </c>
      <c r="AK750" t="s">
        <v>63</v>
      </c>
      <c r="AL750" t="s">
        <v>63</v>
      </c>
      <c r="AM750" t="s">
        <v>6727</v>
      </c>
      <c r="AN750" t="s">
        <v>63</v>
      </c>
      <c r="AO750" t="s">
        <v>63</v>
      </c>
      <c r="AP750" t="s">
        <v>63</v>
      </c>
      <c r="AQ750" t="s">
        <v>63</v>
      </c>
      <c r="AR750" t="s">
        <v>63</v>
      </c>
      <c r="AS750" t="s">
        <v>63</v>
      </c>
      <c r="AT750" t="s">
        <v>63</v>
      </c>
      <c r="AU750" t="s">
        <v>63</v>
      </c>
      <c r="AV750" t="s">
        <v>63</v>
      </c>
      <c r="AW750" t="s">
        <v>63</v>
      </c>
      <c r="AX750" t="s">
        <v>63</v>
      </c>
      <c r="AY750" t="s">
        <v>63</v>
      </c>
      <c r="AZ750" t="s">
        <v>63</v>
      </c>
      <c r="BA750" t="s">
        <v>63</v>
      </c>
      <c r="BB750" t="s">
        <v>63</v>
      </c>
      <c r="BC750" t="s">
        <v>63</v>
      </c>
      <c r="BD750" t="s">
        <v>63</v>
      </c>
      <c r="BE750" t="s">
        <v>63</v>
      </c>
      <c r="BF750" t="s">
        <v>63</v>
      </c>
    </row>
    <row r="751" spans="1:58">
      <c r="A751" t="s">
        <v>58</v>
      </c>
      <c r="B751" t="s">
        <v>6728</v>
      </c>
      <c r="C751" t="s">
        <v>6729</v>
      </c>
      <c r="D751" t="s">
        <v>6730</v>
      </c>
      <c r="E751" t="s">
        <v>63</v>
      </c>
      <c r="F751">
        <v>2010</v>
      </c>
      <c r="G751" t="s">
        <v>73</v>
      </c>
      <c r="H751">
        <v>2</v>
      </c>
      <c r="I751">
        <v>2</v>
      </c>
      <c r="J751">
        <v>283</v>
      </c>
      <c r="K751">
        <v>288</v>
      </c>
      <c r="L751" t="s">
        <v>63</v>
      </c>
      <c r="M751" t="s">
        <v>6731</v>
      </c>
      <c r="N751" t="s">
        <v>6732</v>
      </c>
      <c r="O751" t="s">
        <v>63</v>
      </c>
      <c r="Q751" t="s">
        <v>63</v>
      </c>
      <c r="R751" t="s">
        <v>63</v>
      </c>
      <c r="S751" t="s">
        <v>63</v>
      </c>
      <c r="T751" t="s">
        <v>63</v>
      </c>
      <c r="X751" t="s">
        <v>63</v>
      </c>
      <c r="Y751" t="s">
        <v>6733</v>
      </c>
      <c r="Z751" t="s">
        <v>63</v>
      </c>
      <c r="AA751" t="s">
        <v>63</v>
      </c>
      <c r="AB751">
        <v>21975634</v>
      </c>
      <c r="AC751" t="s">
        <v>67</v>
      </c>
      <c r="AD751" t="s">
        <v>63</v>
      </c>
      <c r="AE751" t="s">
        <v>63</v>
      </c>
      <c r="AF751" t="s">
        <v>63</v>
      </c>
      <c r="AG751" t="s">
        <v>6734</v>
      </c>
      <c r="AH751" t="s">
        <v>63</v>
      </c>
      <c r="AI751" t="s">
        <v>6735</v>
      </c>
      <c r="AJ751" t="s">
        <v>63</v>
      </c>
      <c r="AK751" t="s">
        <v>63</v>
      </c>
      <c r="AL751" t="s">
        <v>63</v>
      </c>
      <c r="AM751" t="s">
        <v>6736</v>
      </c>
      <c r="AN751" t="s">
        <v>63</v>
      </c>
      <c r="AO751" t="s">
        <v>63</v>
      </c>
      <c r="AP751" t="s">
        <v>63</v>
      </c>
      <c r="AQ751" t="s">
        <v>63</v>
      </c>
      <c r="AR751" t="s">
        <v>63</v>
      </c>
      <c r="AS751" t="s">
        <v>63</v>
      </c>
      <c r="AT751" t="s">
        <v>63</v>
      </c>
      <c r="AU751" t="s">
        <v>63</v>
      </c>
      <c r="AV751" t="s">
        <v>63</v>
      </c>
      <c r="AW751" t="s">
        <v>63</v>
      </c>
      <c r="AX751" t="s">
        <v>63</v>
      </c>
      <c r="AY751" t="s">
        <v>63</v>
      </c>
      <c r="AZ751" t="s">
        <v>63</v>
      </c>
      <c r="BA751" t="s">
        <v>63</v>
      </c>
      <c r="BB751" t="s">
        <v>63</v>
      </c>
      <c r="BC751" t="s">
        <v>63</v>
      </c>
      <c r="BD751" t="s">
        <v>63</v>
      </c>
      <c r="BE751" t="s">
        <v>63</v>
      </c>
      <c r="BF751" t="s">
        <v>63</v>
      </c>
    </row>
    <row r="752" spans="1:58">
      <c r="A752" t="s">
        <v>58</v>
      </c>
      <c r="B752" t="s">
        <v>6737</v>
      </c>
      <c r="C752" t="s">
        <v>6738</v>
      </c>
      <c r="D752" t="s">
        <v>6739</v>
      </c>
      <c r="E752" t="s">
        <v>63</v>
      </c>
      <c r="F752">
        <v>1998</v>
      </c>
      <c r="G752" t="s">
        <v>63</v>
      </c>
      <c r="H752">
        <v>17</v>
      </c>
      <c r="I752">
        <v>2</v>
      </c>
      <c r="J752">
        <v>229</v>
      </c>
      <c r="K752">
        <v>241</v>
      </c>
      <c r="L752" t="s">
        <v>6740</v>
      </c>
      <c r="M752" t="s">
        <v>6741</v>
      </c>
      <c r="N752" t="s">
        <v>6742</v>
      </c>
      <c r="O752" t="s">
        <v>63</v>
      </c>
      <c r="Q752" t="s">
        <v>63</v>
      </c>
      <c r="R752" t="s">
        <v>63</v>
      </c>
      <c r="S752" t="s">
        <v>63</v>
      </c>
      <c r="T752" t="s">
        <v>63</v>
      </c>
      <c r="X752" t="s">
        <v>63</v>
      </c>
      <c r="Y752" t="s">
        <v>6743</v>
      </c>
      <c r="Z752" t="s">
        <v>63</v>
      </c>
      <c r="AA752" t="s">
        <v>6744</v>
      </c>
      <c r="AB752">
        <v>9757738</v>
      </c>
      <c r="AC752" t="s">
        <v>67</v>
      </c>
      <c r="AD752" t="s">
        <v>63</v>
      </c>
      <c r="AE752" t="s">
        <v>63</v>
      </c>
      <c r="AF752" t="s">
        <v>63</v>
      </c>
      <c r="AG752" t="s">
        <v>6745</v>
      </c>
      <c r="AH752" t="s">
        <v>63</v>
      </c>
      <c r="AI752" t="s">
        <v>63</v>
      </c>
      <c r="AJ752" t="s">
        <v>63</v>
      </c>
      <c r="AK752" t="s">
        <v>63</v>
      </c>
      <c r="AL752" t="s">
        <v>63</v>
      </c>
      <c r="AM752" t="s">
        <v>6746</v>
      </c>
      <c r="AN752" t="s">
        <v>63</v>
      </c>
      <c r="AO752" t="s">
        <v>63</v>
      </c>
      <c r="AP752" t="s">
        <v>63</v>
      </c>
      <c r="AQ752" t="s">
        <v>63</v>
      </c>
      <c r="AR752" t="s">
        <v>63</v>
      </c>
      <c r="AS752" t="s">
        <v>63</v>
      </c>
      <c r="AT752" t="s">
        <v>63</v>
      </c>
      <c r="AU752" t="s">
        <v>63</v>
      </c>
      <c r="AV752" t="s">
        <v>63</v>
      </c>
      <c r="AW752" t="s">
        <v>63</v>
      </c>
      <c r="AX752" t="s">
        <v>63</v>
      </c>
      <c r="AY752" t="s">
        <v>63</v>
      </c>
      <c r="AZ752" t="s">
        <v>63</v>
      </c>
      <c r="BA752" t="s">
        <v>63</v>
      </c>
      <c r="BB752" t="s">
        <v>63</v>
      </c>
      <c r="BC752" t="s">
        <v>63</v>
      </c>
      <c r="BD752" t="s">
        <v>63</v>
      </c>
      <c r="BE752" t="s">
        <v>63</v>
      </c>
      <c r="BF752" t="s">
        <v>63</v>
      </c>
    </row>
    <row r="753" spans="1:58">
      <c r="A753" t="s">
        <v>58</v>
      </c>
      <c r="B753" t="s">
        <v>6747</v>
      </c>
      <c r="C753" t="s">
        <v>6748</v>
      </c>
      <c r="D753" t="s">
        <v>6749</v>
      </c>
      <c r="E753" t="s">
        <v>63</v>
      </c>
      <c r="F753">
        <v>2013</v>
      </c>
      <c r="G753" s="1">
        <v>41697</v>
      </c>
      <c r="H753">
        <v>8</v>
      </c>
      <c r="I753" t="s">
        <v>63</v>
      </c>
      <c r="J753">
        <v>9</v>
      </c>
      <c r="K753" t="s">
        <v>63</v>
      </c>
      <c r="L753" t="s">
        <v>6750</v>
      </c>
      <c r="M753" t="s">
        <v>6751</v>
      </c>
      <c r="N753" t="s">
        <v>6752</v>
      </c>
      <c r="O753" t="s">
        <v>63</v>
      </c>
      <c r="Q753" t="s">
        <v>63</v>
      </c>
      <c r="R753" t="s">
        <v>63</v>
      </c>
      <c r="S753" t="s">
        <v>63</v>
      </c>
      <c r="T753" t="s">
        <v>63</v>
      </c>
      <c r="X753" t="s">
        <v>63</v>
      </c>
      <c r="Y753" t="s">
        <v>6753</v>
      </c>
      <c r="Z753" t="s">
        <v>63</v>
      </c>
      <c r="AA753" t="s">
        <v>6754</v>
      </c>
      <c r="AB753">
        <v>23448579</v>
      </c>
      <c r="AC753" t="s">
        <v>67</v>
      </c>
      <c r="AD753" t="s">
        <v>63</v>
      </c>
      <c r="AE753" t="s">
        <v>63</v>
      </c>
      <c r="AF753" t="s">
        <v>63</v>
      </c>
      <c r="AG753" t="s">
        <v>6755</v>
      </c>
      <c r="AH753" t="s">
        <v>63</v>
      </c>
      <c r="AI753" t="s">
        <v>6756</v>
      </c>
      <c r="AJ753" t="s">
        <v>63</v>
      </c>
      <c r="AK753" t="s">
        <v>63</v>
      </c>
      <c r="AL753" t="s">
        <v>63</v>
      </c>
      <c r="AM753" t="s">
        <v>6757</v>
      </c>
      <c r="AN753" t="s">
        <v>63</v>
      </c>
      <c r="AO753" t="s">
        <v>63</v>
      </c>
      <c r="AP753" t="s">
        <v>63</v>
      </c>
      <c r="AQ753" t="s">
        <v>63</v>
      </c>
      <c r="AR753" t="s">
        <v>63</v>
      </c>
      <c r="AS753" t="s">
        <v>63</v>
      </c>
      <c r="AT753" t="s">
        <v>63</v>
      </c>
      <c r="AU753" t="s">
        <v>63</v>
      </c>
      <c r="AV753" t="s">
        <v>63</v>
      </c>
      <c r="AW753" t="s">
        <v>63</v>
      </c>
      <c r="AX753" t="s">
        <v>63</v>
      </c>
      <c r="AY753" t="s">
        <v>63</v>
      </c>
      <c r="AZ753" t="s">
        <v>63</v>
      </c>
      <c r="BA753" t="s">
        <v>63</v>
      </c>
      <c r="BB753" t="s">
        <v>63</v>
      </c>
      <c r="BC753" t="s">
        <v>63</v>
      </c>
      <c r="BD753" t="s">
        <v>63</v>
      </c>
      <c r="BE753" t="s">
        <v>63</v>
      </c>
      <c r="BF753" t="s">
        <v>63</v>
      </c>
    </row>
    <row r="754" spans="1:58">
      <c r="A754" t="s">
        <v>58</v>
      </c>
      <c r="B754" t="s">
        <v>6758</v>
      </c>
      <c r="C754" t="s">
        <v>6759</v>
      </c>
      <c r="D754" t="s">
        <v>6760</v>
      </c>
      <c r="E754" t="s">
        <v>63</v>
      </c>
      <c r="F754">
        <v>1990</v>
      </c>
      <c r="G754" t="s">
        <v>198</v>
      </c>
      <c r="H754">
        <v>86</v>
      </c>
      <c r="I754">
        <v>1</v>
      </c>
      <c r="J754">
        <v>64</v>
      </c>
      <c r="K754">
        <v>65</v>
      </c>
      <c r="L754" t="s">
        <v>6761</v>
      </c>
      <c r="M754" t="s">
        <v>63</v>
      </c>
      <c r="N754" t="s">
        <v>6762</v>
      </c>
      <c r="O754" t="s">
        <v>63</v>
      </c>
      <c r="Q754" t="s">
        <v>63</v>
      </c>
      <c r="R754" t="s">
        <v>63</v>
      </c>
      <c r="S754" t="s">
        <v>63</v>
      </c>
      <c r="T754" t="s">
        <v>63</v>
      </c>
      <c r="X754" t="s">
        <v>63</v>
      </c>
      <c r="Y754" t="s">
        <v>6763</v>
      </c>
      <c r="Z754" t="s">
        <v>63</v>
      </c>
      <c r="AA754" t="s">
        <v>6764</v>
      </c>
      <c r="AB754">
        <v>2308284</v>
      </c>
      <c r="AC754" t="s">
        <v>67</v>
      </c>
      <c r="AD754" t="s">
        <v>63</v>
      </c>
      <c r="AE754" t="s">
        <v>63</v>
      </c>
      <c r="AF754" t="s">
        <v>63</v>
      </c>
      <c r="AG754" t="s">
        <v>6765</v>
      </c>
      <c r="AH754" t="s">
        <v>63</v>
      </c>
      <c r="AI754" t="s">
        <v>63</v>
      </c>
      <c r="AJ754" t="s">
        <v>63</v>
      </c>
      <c r="AK754" t="s">
        <v>63</v>
      </c>
      <c r="AL754" t="s">
        <v>63</v>
      </c>
      <c r="AM754" t="s">
        <v>6766</v>
      </c>
      <c r="AN754" t="s">
        <v>63</v>
      </c>
      <c r="AO754" t="s">
        <v>63</v>
      </c>
      <c r="AP754" t="s">
        <v>63</v>
      </c>
      <c r="AQ754" t="s">
        <v>63</v>
      </c>
      <c r="AR754" t="s">
        <v>63</v>
      </c>
      <c r="AS754" t="s">
        <v>63</v>
      </c>
      <c r="AT754" t="s">
        <v>63</v>
      </c>
      <c r="AU754" t="s">
        <v>63</v>
      </c>
      <c r="AV754" t="s">
        <v>63</v>
      </c>
      <c r="AW754" t="s">
        <v>63</v>
      </c>
      <c r="AX754" t="s">
        <v>63</v>
      </c>
      <c r="AY754" t="s">
        <v>63</v>
      </c>
      <c r="AZ754" t="s">
        <v>63</v>
      </c>
      <c r="BA754" t="s">
        <v>63</v>
      </c>
      <c r="BB754" t="s">
        <v>63</v>
      </c>
      <c r="BC754" t="s">
        <v>63</v>
      </c>
      <c r="BD754" t="s">
        <v>63</v>
      </c>
      <c r="BE754" t="s">
        <v>63</v>
      </c>
      <c r="BF754" t="s">
        <v>63</v>
      </c>
    </row>
    <row r="755" spans="1:58">
      <c r="A755" t="s">
        <v>58</v>
      </c>
      <c r="B755" t="s">
        <v>6767</v>
      </c>
      <c r="C755" t="s">
        <v>6768</v>
      </c>
      <c r="D755" t="s">
        <v>6769</v>
      </c>
      <c r="E755" t="s">
        <v>63</v>
      </c>
      <c r="F755">
        <v>2007</v>
      </c>
      <c r="G755" t="s">
        <v>219</v>
      </c>
      <c r="H755">
        <v>191</v>
      </c>
      <c r="I755" t="s">
        <v>63</v>
      </c>
      <c r="J755">
        <v>451</v>
      </c>
      <c r="K755">
        <v>452</v>
      </c>
      <c r="L755" t="s">
        <v>6770</v>
      </c>
      <c r="M755" t="s">
        <v>6771</v>
      </c>
      <c r="N755" t="s">
        <v>6772</v>
      </c>
      <c r="O755" t="s">
        <v>63</v>
      </c>
      <c r="Q755" t="s">
        <v>63</v>
      </c>
      <c r="R755" t="s">
        <v>63</v>
      </c>
      <c r="S755" t="s">
        <v>63</v>
      </c>
      <c r="T755" t="s">
        <v>63</v>
      </c>
      <c r="X755" t="s">
        <v>63</v>
      </c>
      <c r="Y755" t="s">
        <v>6773</v>
      </c>
      <c r="Z755" t="s">
        <v>63</v>
      </c>
      <c r="AA755" t="s">
        <v>6774</v>
      </c>
      <c r="AB755">
        <v>17978327</v>
      </c>
      <c r="AC755" t="s">
        <v>67</v>
      </c>
      <c r="AD755" t="s">
        <v>63</v>
      </c>
      <c r="AE755" t="s">
        <v>63</v>
      </c>
      <c r="AF755" t="s">
        <v>63</v>
      </c>
      <c r="AG755" t="s">
        <v>6775</v>
      </c>
      <c r="AH755" t="s">
        <v>63</v>
      </c>
      <c r="AI755" t="s">
        <v>63</v>
      </c>
      <c r="AJ755" t="s">
        <v>63</v>
      </c>
      <c r="AK755" t="s">
        <v>63</v>
      </c>
      <c r="AL755" t="s">
        <v>63</v>
      </c>
      <c r="AM755" t="s">
        <v>6776</v>
      </c>
      <c r="AN755" t="s">
        <v>63</v>
      </c>
      <c r="AO755" t="s">
        <v>63</v>
      </c>
      <c r="AP755" t="s">
        <v>63</v>
      </c>
      <c r="AQ755" t="s">
        <v>63</v>
      </c>
      <c r="AR755" t="s">
        <v>63</v>
      </c>
      <c r="AS755" t="s">
        <v>63</v>
      </c>
      <c r="AT755" t="s">
        <v>63</v>
      </c>
      <c r="AU755" t="s">
        <v>63</v>
      </c>
      <c r="AV755" t="s">
        <v>63</v>
      </c>
      <c r="AW755" t="s">
        <v>63</v>
      </c>
      <c r="AX755" t="s">
        <v>63</v>
      </c>
      <c r="AY755" t="s">
        <v>63</v>
      </c>
      <c r="AZ755" t="s">
        <v>63</v>
      </c>
      <c r="BA755" t="s">
        <v>63</v>
      </c>
      <c r="BB755" t="s">
        <v>63</v>
      </c>
      <c r="BC755" t="s">
        <v>63</v>
      </c>
      <c r="BD755" t="s">
        <v>63</v>
      </c>
      <c r="BE755" t="s">
        <v>63</v>
      </c>
      <c r="BF755" t="s">
        <v>63</v>
      </c>
    </row>
    <row r="756" spans="1:58">
      <c r="A756" t="s">
        <v>58</v>
      </c>
      <c r="B756" t="s">
        <v>6777</v>
      </c>
      <c r="C756" t="s">
        <v>6778</v>
      </c>
      <c r="D756" t="s">
        <v>5876</v>
      </c>
      <c r="E756" t="s">
        <v>63</v>
      </c>
      <c r="F756">
        <v>2012</v>
      </c>
      <c r="G756" t="s">
        <v>84</v>
      </c>
      <c r="H756">
        <v>9</v>
      </c>
      <c r="I756">
        <v>2</v>
      </c>
      <c r="J756">
        <v>132</v>
      </c>
      <c r="K756">
        <v>133</v>
      </c>
      <c r="L756" t="s">
        <v>6779</v>
      </c>
      <c r="M756" t="s">
        <v>63</v>
      </c>
      <c r="N756" t="s">
        <v>6780</v>
      </c>
      <c r="O756" t="s">
        <v>63</v>
      </c>
      <c r="Q756" t="s">
        <v>63</v>
      </c>
      <c r="R756" t="s">
        <v>63</v>
      </c>
      <c r="S756" t="s">
        <v>63</v>
      </c>
      <c r="T756" t="s">
        <v>63</v>
      </c>
      <c r="X756" t="s">
        <v>63</v>
      </c>
      <c r="Y756" t="s">
        <v>5880</v>
      </c>
      <c r="Z756" t="s">
        <v>63</v>
      </c>
      <c r="AA756" t="s">
        <v>63</v>
      </c>
      <c r="AB756">
        <v>22405375</v>
      </c>
      <c r="AC756" t="s">
        <v>67</v>
      </c>
      <c r="AD756" t="s">
        <v>63</v>
      </c>
      <c r="AE756" t="s">
        <v>63</v>
      </c>
      <c r="AF756" t="s">
        <v>63</v>
      </c>
      <c r="AG756" t="s">
        <v>6781</v>
      </c>
      <c r="AH756" t="s">
        <v>63</v>
      </c>
      <c r="AI756" t="s">
        <v>6782</v>
      </c>
      <c r="AJ756" t="s">
        <v>63</v>
      </c>
      <c r="AK756" t="s">
        <v>63</v>
      </c>
      <c r="AL756" t="s">
        <v>63</v>
      </c>
      <c r="AM756" t="s">
        <v>6783</v>
      </c>
      <c r="AN756" t="s">
        <v>63</v>
      </c>
      <c r="AO756" t="s">
        <v>63</v>
      </c>
      <c r="AP756" t="s">
        <v>63</v>
      </c>
      <c r="AQ756" t="s">
        <v>63</v>
      </c>
      <c r="AR756" t="s">
        <v>63</v>
      </c>
      <c r="AS756" t="s">
        <v>63</v>
      </c>
      <c r="AT756" t="s">
        <v>63</v>
      </c>
      <c r="AU756" t="s">
        <v>63</v>
      </c>
      <c r="AV756" t="s">
        <v>63</v>
      </c>
      <c r="AW756" t="s">
        <v>63</v>
      </c>
      <c r="AX756" t="s">
        <v>63</v>
      </c>
      <c r="AY756" t="s">
        <v>63</v>
      </c>
      <c r="AZ756" t="s">
        <v>63</v>
      </c>
      <c r="BA756" t="s">
        <v>63</v>
      </c>
      <c r="BB756" t="s">
        <v>63</v>
      </c>
      <c r="BC756" t="s">
        <v>63</v>
      </c>
      <c r="BD756" t="s">
        <v>63</v>
      </c>
      <c r="BE756" t="s">
        <v>63</v>
      </c>
      <c r="BF756" t="s">
        <v>63</v>
      </c>
    </row>
    <row r="757" spans="1:58">
      <c r="A757" t="s">
        <v>58</v>
      </c>
      <c r="B757" t="s">
        <v>6784</v>
      </c>
      <c r="C757" t="s">
        <v>6785</v>
      </c>
      <c r="D757" t="s">
        <v>6786</v>
      </c>
      <c r="E757" t="s">
        <v>6787</v>
      </c>
      <c r="F757">
        <v>1979</v>
      </c>
      <c r="G757" t="s">
        <v>219</v>
      </c>
      <c r="H757">
        <v>9</v>
      </c>
      <c r="I757">
        <v>4</v>
      </c>
      <c r="J757">
        <v>789</v>
      </c>
      <c r="K757">
        <v>791</v>
      </c>
      <c r="L757" t="s">
        <v>6788</v>
      </c>
      <c r="M757" t="s">
        <v>63</v>
      </c>
      <c r="N757" t="s">
        <v>6789</v>
      </c>
      <c r="O757" t="s">
        <v>63</v>
      </c>
      <c r="Q757" t="s">
        <v>63</v>
      </c>
      <c r="R757" t="s">
        <v>63</v>
      </c>
      <c r="S757" t="s">
        <v>63</v>
      </c>
      <c r="T757" t="s">
        <v>63</v>
      </c>
      <c r="X757" t="s">
        <v>63</v>
      </c>
      <c r="Y757" t="s">
        <v>6790</v>
      </c>
      <c r="Z757" t="s">
        <v>63</v>
      </c>
      <c r="AA757" t="s">
        <v>63</v>
      </c>
      <c r="AB757">
        <v>515278</v>
      </c>
      <c r="AC757" t="s">
        <v>67</v>
      </c>
      <c r="AD757" t="s">
        <v>63</v>
      </c>
      <c r="AE757" t="s">
        <v>63</v>
      </c>
      <c r="AF757" t="s">
        <v>63</v>
      </c>
      <c r="AG757" t="s">
        <v>6791</v>
      </c>
      <c r="AH757" t="s">
        <v>63</v>
      </c>
      <c r="AI757" t="s">
        <v>63</v>
      </c>
      <c r="AJ757" t="s">
        <v>63</v>
      </c>
      <c r="AK757" t="s">
        <v>63</v>
      </c>
      <c r="AL757" t="s">
        <v>63</v>
      </c>
      <c r="AM757" t="s">
        <v>6792</v>
      </c>
      <c r="AN757" t="s">
        <v>63</v>
      </c>
      <c r="AO757" t="s">
        <v>63</v>
      </c>
      <c r="AP757" t="s">
        <v>63</v>
      </c>
      <c r="AQ757" t="s">
        <v>63</v>
      </c>
      <c r="AR757" t="s">
        <v>63</v>
      </c>
      <c r="AS757" t="s">
        <v>63</v>
      </c>
      <c r="AT757" t="s">
        <v>63</v>
      </c>
      <c r="AU757" t="s">
        <v>63</v>
      </c>
      <c r="AV757" t="s">
        <v>63</v>
      </c>
      <c r="AW757" t="s">
        <v>63</v>
      </c>
      <c r="AX757" t="s">
        <v>63</v>
      </c>
      <c r="AY757" t="s">
        <v>63</v>
      </c>
      <c r="AZ757" t="s">
        <v>63</v>
      </c>
      <c r="BA757" t="s">
        <v>63</v>
      </c>
      <c r="BB757" t="s">
        <v>63</v>
      </c>
      <c r="BC757" t="s">
        <v>63</v>
      </c>
      <c r="BD757" t="s">
        <v>63</v>
      </c>
      <c r="BE757" t="s">
        <v>63</v>
      </c>
      <c r="BF757" t="s">
        <v>63</v>
      </c>
    </row>
    <row r="758" spans="1:58">
      <c r="A758" t="s">
        <v>58</v>
      </c>
      <c r="B758" t="s">
        <v>6793</v>
      </c>
      <c r="C758" t="s">
        <v>6794</v>
      </c>
      <c r="D758" t="s">
        <v>2281</v>
      </c>
      <c r="E758" t="s">
        <v>2282</v>
      </c>
      <c r="F758">
        <v>1977</v>
      </c>
      <c r="G758" t="s">
        <v>623</v>
      </c>
      <c r="H758">
        <v>273</v>
      </c>
      <c r="I758">
        <v>1</v>
      </c>
      <c r="J758">
        <v>79</v>
      </c>
      <c r="K758">
        <v>85</v>
      </c>
      <c r="L758" t="s">
        <v>6795</v>
      </c>
      <c r="M758" t="s">
        <v>6796</v>
      </c>
      <c r="N758" t="s">
        <v>6797</v>
      </c>
      <c r="O758" t="s">
        <v>63</v>
      </c>
      <c r="Q758" t="s">
        <v>63</v>
      </c>
      <c r="R758" t="s">
        <v>63</v>
      </c>
      <c r="S758" t="s">
        <v>63</v>
      </c>
      <c r="T758" t="s">
        <v>63</v>
      </c>
      <c r="X758" t="s">
        <v>63</v>
      </c>
      <c r="Y758" s="2">
        <v>2821531</v>
      </c>
      <c r="Z758" t="s">
        <v>63</v>
      </c>
      <c r="AA758" t="s">
        <v>63</v>
      </c>
      <c r="AB758">
        <v>557900</v>
      </c>
      <c r="AC758" t="s">
        <v>67</v>
      </c>
      <c r="AD758" t="s">
        <v>63</v>
      </c>
      <c r="AE758" t="s">
        <v>63</v>
      </c>
      <c r="AF758" t="s">
        <v>63</v>
      </c>
      <c r="AG758" t="s">
        <v>6798</v>
      </c>
      <c r="AH758" t="s">
        <v>63</v>
      </c>
      <c r="AI758" t="s">
        <v>63</v>
      </c>
      <c r="AJ758" t="s">
        <v>63</v>
      </c>
      <c r="AK758" t="s">
        <v>63</v>
      </c>
      <c r="AL758" t="s">
        <v>63</v>
      </c>
      <c r="AM758" t="s">
        <v>6799</v>
      </c>
      <c r="AN758" t="s">
        <v>63</v>
      </c>
      <c r="AO758" t="s">
        <v>63</v>
      </c>
      <c r="AP758" t="s">
        <v>63</v>
      </c>
      <c r="AQ758" t="s">
        <v>63</v>
      </c>
      <c r="AR758" t="s">
        <v>63</v>
      </c>
      <c r="AS758" t="s">
        <v>63</v>
      </c>
      <c r="AT758" t="s">
        <v>63</v>
      </c>
      <c r="AU758" t="s">
        <v>63</v>
      </c>
      <c r="AV758" t="s">
        <v>63</v>
      </c>
      <c r="AW758" t="s">
        <v>63</v>
      </c>
      <c r="AX758" t="s">
        <v>63</v>
      </c>
      <c r="AY758" t="s">
        <v>63</v>
      </c>
      <c r="AZ758" t="s">
        <v>63</v>
      </c>
      <c r="BA758" t="s">
        <v>63</v>
      </c>
      <c r="BB758" t="s">
        <v>63</v>
      </c>
      <c r="BC758" t="s">
        <v>63</v>
      </c>
      <c r="BD758" t="s">
        <v>63</v>
      </c>
      <c r="BE758" t="s">
        <v>63</v>
      </c>
      <c r="BF758" t="s">
        <v>63</v>
      </c>
    </row>
    <row r="759" spans="1:58">
      <c r="A759" t="s">
        <v>58</v>
      </c>
      <c r="B759" t="s">
        <v>6800</v>
      </c>
      <c r="C759" t="s">
        <v>6801</v>
      </c>
      <c r="D759" t="s">
        <v>6802</v>
      </c>
      <c r="E759" t="s">
        <v>6803</v>
      </c>
      <c r="F759">
        <v>2001</v>
      </c>
      <c r="G759" t="s">
        <v>219</v>
      </c>
      <c r="H759">
        <v>36</v>
      </c>
      <c r="I759">
        <v>3</v>
      </c>
      <c r="J759">
        <v>355</v>
      </c>
      <c r="K759">
        <v>363</v>
      </c>
      <c r="L759" t="s">
        <v>6804</v>
      </c>
      <c r="M759" t="s">
        <v>6805</v>
      </c>
      <c r="N759" t="s">
        <v>6806</v>
      </c>
      <c r="O759" t="s">
        <v>63</v>
      </c>
      <c r="Q759" t="s">
        <v>63</v>
      </c>
      <c r="R759" t="s">
        <v>63</v>
      </c>
      <c r="S759" t="s">
        <v>63</v>
      </c>
      <c r="T759" t="s">
        <v>63</v>
      </c>
      <c r="X759" t="s">
        <v>63</v>
      </c>
      <c r="Y759" t="s">
        <v>6807</v>
      </c>
      <c r="Z759" t="s">
        <v>63</v>
      </c>
      <c r="AA759" t="s">
        <v>6808</v>
      </c>
      <c r="AB759">
        <v>11686750</v>
      </c>
      <c r="AC759" t="s">
        <v>67</v>
      </c>
      <c r="AD759" t="s">
        <v>63</v>
      </c>
      <c r="AE759" t="s">
        <v>63</v>
      </c>
      <c r="AF759" t="s">
        <v>63</v>
      </c>
      <c r="AG759" t="s">
        <v>6809</v>
      </c>
      <c r="AH759" t="s">
        <v>63</v>
      </c>
      <c r="AI759" t="s">
        <v>63</v>
      </c>
      <c r="AJ759" t="s">
        <v>63</v>
      </c>
      <c r="AK759" t="s">
        <v>63</v>
      </c>
      <c r="AL759" t="s">
        <v>63</v>
      </c>
      <c r="AM759" t="s">
        <v>6810</v>
      </c>
      <c r="AN759" t="s">
        <v>63</v>
      </c>
      <c r="AO759" t="s">
        <v>63</v>
      </c>
      <c r="AP759" t="s">
        <v>63</v>
      </c>
      <c r="AQ759" t="s">
        <v>63</v>
      </c>
      <c r="AR759" t="s">
        <v>63</v>
      </c>
      <c r="AS759" t="s">
        <v>63</v>
      </c>
      <c r="AT759" t="s">
        <v>63</v>
      </c>
      <c r="AU759" t="s">
        <v>63</v>
      </c>
      <c r="AV759" t="s">
        <v>63</v>
      </c>
      <c r="AW759" t="s">
        <v>63</v>
      </c>
      <c r="AX759" t="s">
        <v>63</v>
      </c>
      <c r="AY759" t="s">
        <v>63</v>
      </c>
      <c r="AZ759" t="s">
        <v>63</v>
      </c>
      <c r="BA759" t="s">
        <v>63</v>
      </c>
      <c r="BB759" t="s">
        <v>63</v>
      </c>
      <c r="BC759" t="s">
        <v>63</v>
      </c>
      <c r="BD759" t="s">
        <v>63</v>
      </c>
      <c r="BE759" t="s">
        <v>63</v>
      </c>
      <c r="BF759" t="s">
        <v>63</v>
      </c>
    </row>
    <row r="760" spans="1:58">
      <c r="A760" t="s">
        <v>58</v>
      </c>
      <c r="B760" t="s">
        <v>6811</v>
      </c>
      <c r="C760" t="s">
        <v>6812</v>
      </c>
      <c r="D760" t="s">
        <v>6813</v>
      </c>
      <c r="E760" t="s">
        <v>6814</v>
      </c>
      <c r="F760">
        <v>2011</v>
      </c>
      <c r="G760" t="s">
        <v>1717</v>
      </c>
      <c r="H760">
        <v>64</v>
      </c>
      <c r="I760" s="1">
        <v>41954</v>
      </c>
      <c r="J760">
        <v>529</v>
      </c>
      <c r="K760">
        <v>532</v>
      </c>
      <c r="L760" t="s">
        <v>6815</v>
      </c>
      <c r="M760" t="s">
        <v>6816</v>
      </c>
      <c r="N760" t="s">
        <v>6817</v>
      </c>
      <c r="O760" t="s">
        <v>63</v>
      </c>
      <c r="Q760" t="s">
        <v>63</v>
      </c>
      <c r="R760" t="s">
        <v>63</v>
      </c>
      <c r="S760" t="s">
        <v>63</v>
      </c>
      <c r="T760" t="s">
        <v>63</v>
      </c>
      <c r="X760" t="s">
        <v>63</v>
      </c>
      <c r="Y760" t="s">
        <v>6818</v>
      </c>
      <c r="Z760" t="s">
        <v>63</v>
      </c>
      <c r="AA760" t="s">
        <v>6819</v>
      </c>
      <c r="AB760">
        <v>22368994</v>
      </c>
      <c r="AC760" t="s">
        <v>67</v>
      </c>
      <c r="AD760" t="s">
        <v>63</v>
      </c>
      <c r="AE760" t="s">
        <v>63</v>
      </c>
      <c r="AF760" t="s">
        <v>63</v>
      </c>
      <c r="AG760" t="s">
        <v>6820</v>
      </c>
      <c r="AH760" t="s">
        <v>63</v>
      </c>
      <c r="AI760" t="s">
        <v>63</v>
      </c>
      <c r="AJ760" t="s">
        <v>63</v>
      </c>
      <c r="AK760" t="s">
        <v>63</v>
      </c>
      <c r="AL760" t="s">
        <v>63</v>
      </c>
      <c r="AM760" t="s">
        <v>6821</v>
      </c>
      <c r="AN760" t="s">
        <v>63</v>
      </c>
      <c r="AO760" t="s">
        <v>63</v>
      </c>
      <c r="AP760" t="s">
        <v>63</v>
      </c>
      <c r="AQ760" t="s">
        <v>63</v>
      </c>
      <c r="AR760" t="s">
        <v>63</v>
      </c>
      <c r="AS760" t="s">
        <v>63</v>
      </c>
      <c r="AT760" t="s">
        <v>63</v>
      </c>
      <c r="AU760" t="s">
        <v>63</v>
      </c>
      <c r="AV760" t="s">
        <v>63</v>
      </c>
      <c r="AW760" t="s">
        <v>63</v>
      </c>
      <c r="AX760" t="s">
        <v>63</v>
      </c>
      <c r="AY760" t="s">
        <v>63</v>
      </c>
      <c r="AZ760" t="s">
        <v>63</v>
      </c>
      <c r="BA760" t="s">
        <v>63</v>
      </c>
      <c r="BB760" t="s">
        <v>63</v>
      </c>
      <c r="BC760" t="s">
        <v>63</v>
      </c>
      <c r="BD760" t="s">
        <v>63</v>
      </c>
      <c r="BE760" t="s">
        <v>63</v>
      </c>
      <c r="BF760" t="s">
        <v>63</v>
      </c>
    </row>
    <row r="761" spans="1:58">
      <c r="A761" t="s">
        <v>58</v>
      </c>
      <c r="B761" t="s">
        <v>6822</v>
      </c>
      <c r="C761" t="s">
        <v>6823</v>
      </c>
      <c r="D761" t="s">
        <v>6824</v>
      </c>
      <c r="E761" t="s">
        <v>6825</v>
      </c>
      <c r="F761">
        <v>2013</v>
      </c>
      <c r="G761" t="s">
        <v>219</v>
      </c>
      <c r="H761">
        <v>22</v>
      </c>
      <c r="I761">
        <v>6</v>
      </c>
      <c r="J761">
        <v>427</v>
      </c>
      <c r="K761">
        <v>428</v>
      </c>
      <c r="L761" t="s">
        <v>6826</v>
      </c>
      <c r="M761" t="s">
        <v>63</v>
      </c>
      <c r="N761" t="s">
        <v>6827</v>
      </c>
      <c r="O761" t="s">
        <v>63</v>
      </c>
      <c r="Q761" t="s">
        <v>63</v>
      </c>
      <c r="R761" t="s">
        <v>63</v>
      </c>
      <c r="S761" t="s">
        <v>63</v>
      </c>
      <c r="T761" t="s">
        <v>63</v>
      </c>
      <c r="X761" t="s">
        <v>63</v>
      </c>
      <c r="Y761" t="s">
        <v>6828</v>
      </c>
      <c r="Z761" t="s">
        <v>63</v>
      </c>
      <c r="AA761" t="s">
        <v>6829</v>
      </c>
      <c r="AB761">
        <v>22923480</v>
      </c>
      <c r="AC761" t="s">
        <v>67</v>
      </c>
      <c r="AD761" t="s">
        <v>63</v>
      </c>
      <c r="AE761" t="s">
        <v>63</v>
      </c>
      <c r="AF761" t="s">
        <v>63</v>
      </c>
      <c r="AG761" t="s">
        <v>6830</v>
      </c>
      <c r="AH761" t="s">
        <v>63</v>
      </c>
      <c r="AI761" t="s">
        <v>6831</v>
      </c>
      <c r="AJ761" t="s">
        <v>63</v>
      </c>
      <c r="AK761" t="s">
        <v>63</v>
      </c>
      <c r="AL761" t="s">
        <v>63</v>
      </c>
      <c r="AM761" t="s">
        <v>6832</v>
      </c>
      <c r="AN761" t="s">
        <v>63</v>
      </c>
      <c r="AO761" t="s">
        <v>63</v>
      </c>
      <c r="AP761" t="s">
        <v>63</v>
      </c>
      <c r="AQ761" t="s">
        <v>63</v>
      </c>
      <c r="AR761" t="s">
        <v>63</v>
      </c>
      <c r="AS761" t="s">
        <v>63</v>
      </c>
      <c r="AT761" t="s">
        <v>63</v>
      </c>
      <c r="AU761" t="s">
        <v>63</v>
      </c>
      <c r="AV761" t="s">
        <v>63</v>
      </c>
      <c r="AW761" t="s">
        <v>63</v>
      </c>
      <c r="AX761" t="s">
        <v>63</v>
      </c>
      <c r="AY761" t="s">
        <v>63</v>
      </c>
      <c r="AZ761" t="s">
        <v>63</v>
      </c>
      <c r="BA761" t="s">
        <v>63</v>
      </c>
      <c r="BB761" t="s">
        <v>63</v>
      </c>
      <c r="BC761" t="s">
        <v>63</v>
      </c>
      <c r="BD761" t="s">
        <v>63</v>
      </c>
      <c r="BE761" t="s">
        <v>63</v>
      </c>
      <c r="BF761" t="s">
        <v>63</v>
      </c>
    </row>
    <row r="762" spans="1:58">
      <c r="A762" t="s">
        <v>58</v>
      </c>
      <c r="B762" t="s">
        <v>6833</v>
      </c>
      <c r="C762" t="s">
        <v>6834</v>
      </c>
      <c r="D762" t="s">
        <v>6835</v>
      </c>
      <c r="E762" t="s">
        <v>63</v>
      </c>
      <c r="F762">
        <v>2015</v>
      </c>
      <c r="G762" t="s">
        <v>181</v>
      </c>
      <c r="H762">
        <v>41</v>
      </c>
      <c r="I762">
        <v>6</v>
      </c>
      <c r="J762">
        <v>296</v>
      </c>
      <c r="K762">
        <v>304</v>
      </c>
      <c r="L762" t="s">
        <v>6836</v>
      </c>
      <c r="M762" t="s">
        <v>6837</v>
      </c>
      <c r="N762" t="s">
        <v>6838</v>
      </c>
      <c r="O762" t="s">
        <v>63</v>
      </c>
      <c r="Q762" t="s">
        <v>63</v>
      </c>
      <c r="R762" t="s">
        <v>63</v>
      </c>
      <c r="S762" t="s">
        <v>63</v>
      </c>
      <c r="T762" t="s">
        <v>63</v>
      </c>
      <c r="X762" t="s">
        <v>63</v>
      </c>
      <c r="Y762" t="s">
        <v>6839</v>
      </c>
      <c r="Z762" t="s">
        <v>63</v>
      </c>
      <c r="AA762" t="s">
        <v>6840</v>
      </c>
      <c r="AB762">
        <v>25242238</v>
      </c>
      <c r="AC762" t="s">
        <v>913</v>
      </c>
      <c r="AD762" t="s">
        <v>63</v>
      </c>
      <c r="AE762" t="s">
        <v>63</v>
      </c>
      <c r="AF762" t="s">
        <v>63</v>
      </c>
      <c r="AG762" t="s">
        <v>6841</v>
      </c>
      <c r="AH762" t="s">
        <v>63</v>
      </c>
      <c r="AI762" t="s">
        <v>6842</v>
      </c>
      <c r="AJ762" t="s">
        <v>63</v>
      </c>
      <c r="AK762" t="s">
        <v>63</v>
      </c>
      <c r="AL762" t="s">
        <v>63</v>
      </c>
      <c r="AM762" t="s">
        <v>6843</v>
      </c>
      <c r="AN762" t="s">
        <v>63</v>
      </c>
      <c r="AO762" t="s">
        <v>63</v>
      </c>
      <c r="AP762" t="s">
        <v>63</v>
      </c>
      <c r="AQ762" t="s">
        <v>63</v>
      </c>
      <c r="AR762" t="s">
        <v>63</v>
      </c>
      <c r="AS762" t="s">
        <v>63</v>
      </c>
      <c r="AT762" t="s">
        <v>63</v>
      </c>
      <c r="AU762" t="s">
        <v>63</v>
      </c>
      <c r="AV762" t="s">
        <v>63</v>
      </c>
      <c r="AW762" t="s">
        <v>63</v>
      </c>
      <c r="AX762" t="s">
        <v>63</v>
      </c>
      <c r="AY762" t="s">
        <v>63</v>
      </c>
      <c r="AZ762" t="s">
        <v>63</v>
      </c>
      <c r="BA762" t="s">
        <v>63</v>
      </c>
      <c r="BB762" t="s">
        <v>63</v>
      </c>
      <c r="BC762" t="s">
        <v>63</v>
      </c>
      <c r="BD762" t="s">
        <v>63</v>
      </c>
      <c r="BE762" t="s">
        <v>63</v>
      </c>
      <c r="BF762" t="s">
        <v>63</v>
      </c>
    </row>
    <row r="763" spans="1:58">
      <c r="A763" t="s">
        <v>58</v>
      </c>
      <c r="B763" t="s">
        <v>6844</v>
      </c>
      <c r="C763" t="s">
        <v>6845</v>
      </c>
      <c r="D763" t="s">
        <v>389</v>
      </c>
      <c r="E763" t="s">
        <v>63</v>
      </c>
      <c r="F763">
        <v>2002</v>
      </c>
      <c r="G763" t="s">
        <v>181</v>
      </c>
      <c r="H763">
        <v>23</v>
      </c>
      <c r="I763">
        <v>3</v>
      </c>
      <c r="J763">
        <v>273</v>
      </c>
      <c r="K763">
        <v>287</v>
      </c>
      <c r="L763" t="s">
        <v>6846</v>
      </c>
      <c r="M763" t="s">
        <v>6847</v>
      </c>
      <c r="N763" t="s">
        <v>6848</v>
      </c>
      <c r="O763" t="s">
        <v>63</v>
      </c>
      <c r="Q763" t="s">
        <v>63</v>
      </c>
      <c r="R763" t="s">
        <v>63</v>
      </c>
      <c r="S763" t="s">
        <v>63</v>
      </c>
      <c r="T763" t="s">
        <v>63</v>
      </c>
      <c r="X763" t="s">
        <v>63</v>
      </c>
      <c r="Y763" t="s">
        <v>392</v>
      </c>
      <c r="Z763" t="s">
        <v>63</v>
      </c>
      <c r="AA763" t="s">
        <v>6849</v>
      </c>
      <c r="AB763">
        <v>23581001</v>
      </c>
      <c r="AC763" t="s">
        <v>67</v>
      </c>
      <c r="AD763" t="s">
        <v>63</v>
      </c>
      <c r="AE763" t="s">
        <v>63</v>
      </c>
      <c r="AF763" t="s">
        <v>63</v>
      </c>
      <c r="AG763" t="s">
        <v>6850</v>
      </c>
      <c r="AH763" t="s">
        <v>63</v>
      </c>
      <c r="AI763" t="s">
        <v>63</v>
      </c>
      <c r="AJ763" t="s">
        <v>63</v>
      </c>
      <c r="AK763" t="s">
        <v>63</v>
      </c>
      <c r="AL763" t="s">
        <v>63</v>
      </c>
      <c r="AM763" t="s">
        <v>6851</v>
      </c>
      <c r="AN763" t="s">
        <v>63</v>
      </c>
      <c r="AO763" t="s">
        <v>63</v>
      </c>
      <c r="AP763" t="s">
        <v>63</v>
      </c>
      <c r="AQ763" t="s">
        <v>63</v>
      </c>
      <c r="AR763" t="s">
        <v>63</v>
      </c>
      <c r="AS763" t="s">
        <v>63</v>
      </c>
      <c r="AT763" t="s">
        <v>63</v>
      </c>
      <c r="AU763" t="s">
        <v>63</v>
      </c>
      <c r="AV763" t="s">
        <v>63</v>
      </c>
      <c r="AW763" t="s">
        <v>63</v>
      </c>
      <c r="AX763" t="s">
        <v>63</v>
      </c>
      <c r="AY763" t="s">
        <v>63</v>
      </c>
      <c r="AZ763" t="s">
        <v>63</v>
      </c>
      <c r="BA763" t="s">
        <v>63</v>
      </c>
      <c r="BB763" t="s">
        <v>63</v>
      </c>
      <c r="BC763" t="s">
        <v>63</v>
      </c>
      <c r="BD763" t="s">
        <v>63</v>
      </c>
      <c r="BE763" t="s">
        <v>63</v>
      </c>
      <c r="BF763" t="s">
        <v>63</v>
      </c>
    </row>
    <row r="764" spans="1:58">
      <c r="A764" t="s">
        <v>58</v>
      </c>
      <c r="B764" t="s">
        <v>6852</v>
      </c>
      <c r="C764" t="s">
        <v>6853</v>
      </c>
      <c r="D764" t="s">
        <v>6854</v>
      </c>
      <c r="E764" t="s">
        <v>63</v>
      </c>
      <c r="F764">
        <v>2011</v>
      </c>
      <c r="G764" t="s">
        <v>1670</v>
      </c>
      <c r="H764">
        <v>38</v>
      </c>
      <c r="I764">
        <v>1</v>
      </c>
      <c r="J764">
        <v>225</v>
      </c>
      <c r="K764">
        <v>227</v>
      </c>
      <c r="L764" t="s">
        <v>6855</v>
      </c>
      <c r="M764" t="s">
        <v>63</v>
      </c>
      <c r="N764" t="s">
        <v>6856</v>
      </c>
      <c r="O764" t="s">
        <v>63</v>
      </c>
      <c r="Q764" t="s">
        <v>63</v>
      </c>
      <c r="R764" t="s">
        <v>63</v>
      </c>
      <c r="S764" t="s">
        <v>63</v>
      </c>
      <c r="T764" t="s">
        <v>63</v>
      </c>
      <c r="X764" t="s">
        <v>63</v>
      </c>
      <c r="Y764" t="s">
        <v>6857</v>
      </c>
      <c r="Z764" t="s">
        <v>63</v>
      </c>
      <c r="AA764" t="s">
        <v>63</v>
      </c>
      <c r="AB764">
        <v>21719502</v>
      </c>
      <c r="AC764" t="s">
        <v>67</v>
      </c>
      <c r="AD764" t="s">
        <v>63</v>
      </c>
      <c r="AE764" t="s">
        <v>63</v>
      </c>
      <c r="AF764" t="s">
        <v>63</v>
      </c>
      <c r="AG764" t="s">
        <v>6858</v>
      </c>
      <c r="AH764" t="s">
        <v>63</v>
      </c>
      <c r="AI764" t="s">
        <v>6859</v>
      </c>
      <c r="AJ764" t="s">
        <v>63</v>
      </c>
      <c r="AK764" t="s">
        <v>63</v>
      </c>
      <c r="AL764" t="s">
        <v>63</v>
      </c>
      <c r="AM764" t="s">
        <v>6860</v>
      </c>
      <c r="AN764" t="s">
        <v>63</v>
      </c>
      <c r="AO764" t="s">
        <v>63</v>
      </c>
      <c r="AP764" t="s">
        <v>63</v>
      </c>
      <c r="AQ764" t="s">
        <v>63</v>
      </c>
      <c r="AR764" t="s">
        <v>63</v>
      </c>
      <c r="AS764" t="s">
        <v>63</v>
      </c>
      <c r="AT764" t="s">
        <v>63</v>
      </c>
      <c r="AU764" t="s">
        <v>63</v>
      </c>
      <c r="AV764" t="s">
        <v>63</v>
      </c>
      <c r="AW764" t="s">
        <v>63</v>
      </c>
      <c r="AX764" t="s">
        <v>63</v>
      </c>
      <c r="AY764" t="s">
        <v>63</v>
      </c>
      <c r="AZ764" t="s">
        <v>63</v>
      </c>
      <c r="BA764" t="s">
        <v>63</v>
      </c>
      <c r="BB764" t="s">
        <v>63</v>
      </c>
      <c r="BC764" t="s">
        <v>63</v>
      </c>
      <c r="BD764" t="s">
        <v>63</v>
      </c>
      <c r="BE764" t="s">
        <v>63</v>
      </c>
      <c r="BF764" t="s">
        <v>63</v>
      </c>
    </row>
    <row r="765" spans="1:58">
      <c r="A765" t="s">
        <v>58</v>
      </c>
      <c r="B765" t="s">
        <v>6861</v>
      </c>
      <c r="C765" t="s">
        <v>6862</v>
      </c>
      <c r="D765" t="s">
        <v>1240</v>
      </c>
      <c r="E765" t="s">
        <v>63</v>
      </c>
      <c r="F765">
        <v>2002</v>
      </c>
      <c r="G765" t="s">
        <v>138</v>
      </c>
      <c r="H765">
        <v>52</v>
      </c>
      <c r="I765">
        <v>483</v>
      </c>
      <c r="J765">
        <v>866</v>
      </c>
      <c r="K765" t="s">
        <v>63</v>
      </c>
      <c r="L765" t="s">
        <v>6863</v>
      </c>
      <c r="M765" t="s">
        <v>63</v>
      </c>
      <c r="N765" t="s">
        <v>6864</v>
      </c>
      <c r="O765" t="s">
        <v>63</v>
      </c>
      <c r="Q765" t="s">
        <v>63</v>
      </c>
      <c r="R765" t="s">
        <v>63</v>
      </c>
      <c r="S765" t="s">
        <v>63</v>
      </c>
      <c r="T765" t="s">
        <v>63</v>
      </c>
      <c r="X765" t="s">
        <v>63</v>
      </c>
      <c r="Y765" t="s">
        <v>2376</v>
      </c>
      <c r="Z765" t="s">
        <v>63</v>
      </c>
      <c r="AA765" t="s">
        <v>63</v>
      </c>
      <c r="AB765">
        <v>12392139</v>
      </c>
      <c r="AC765" t="s">
        <v>67</v>
      </c>
      <c r="AD765" t="s">
        <v>63</v>
      </c>
      <c r="AE765" t="s">
        <v>63</v>
      </c>
      <c r="AF765" t="s">
        <v>63</v>
      </c>
      <c r="AG765" t="s">
        <v>6865</v>
      </c>
      <c r="AH765" t="s">
        <v>63</v>
      </c>
      <c r="AI765" t="s">
        <v>63</v>
      </c>
      <c r="AJ765" t="s">
        <v>63</v>
      </c>
      <c r="AK765" t="s">
        <v>63</v>
      </c>
      <c r="AL765" t="s">
        <v>63</v>
      </c>
      <c r="AM765" t="s">
        <v>6866</v>
      </c>
      <c r="AN765" t="s">
        <v>63</v>
      </c>
      <c r="AO765" t="s">
        <v>63</v>
      </c>
      <c r="AP765" t="s">
        <v>63</v>
      </c>
      <c r="AQ765" t="s">
        <v>63</v>
      </c>
      <c r="AR765" t="s">
        <v>63</v>
      </c>
      <c r="AS765" t="s">
        <v>63</v>
      </c>
      <c r="AT765" t="s">
        <v>63</v>
      </c>
      <c r="AU765" t="s">
        <v>63</v>
      </c>
      <c r="AV765" t="s">
        <v>63</v>
      </c>
      <c r="AW765" t="s">
        <v>63</v>
      </c>
      <c r="AX765" t="s">
        <v>63</v>
      </c>
      <c r="AY765" t="s">
        <v>63</v>
      </c>
      <c r="AZ765" t="s">
        <v>63</v>
      </c>
      <c r="BA765" t="s">
        <v>63</v>
      </c>
      <c r="BB765" t="s">
        <v>63</v>
      </c>
      <c r="BC765" t="s">
        <v>63</v>
      </c>
      <c r="BD765" t="s">
        <v>63</v>
      </c>
      <c r="BE765" t="s">
        <v>63</v>
      </c>
      <c r="BF765" t="s">
        <v>63</v>
      </c>
    </row>
    <row r="766" spans="1:58">
      <c r="A766" t="s">
        <v>58</v>
      </c>
      <c r="B766" t="s">
        <v>6867</v>
      </c>
      <c r="C766" t="s">
        <v>6868</v>
      </c>
      <c r="D766" t="s">
        <v>6869</v>
      </c>
      <c r="E766" t="s">
        <v>63</v>
      </c>
      <c r="F766">
        <v>2013</v>
      </c>
      <c r="G766" s="1">
        <v>41963</v>
      </c>
      <c r="H766">
        <v>13</v>
      </c>
      <c r="I766" t="s">
        <v>63</v>
      </c>
      <c r="J766">
        <v>182</v>
      </c>
      <c r="K766" t="s">
        <v>63</v>
      </c>
      <c r="L766" t="s">
        <v>6870</v>
      </c>
      <c r="M766" t="s">
        <v>6871</v>
      </c>
      <c r="N766" t="s">
        <v>6872</v>
      </c>
      <c r="O766" t="s">
        <v>63</v>
      </c>
      <c r="Q766" t="s">
        <v>63</v>
      </c>
      <c r="R766" t="s">
        <v>63</v>
      </c>
      <c r="S766" t="s">
        <v>63</v>
      </c>
      <c r="T766" t="s">
        <v>63</v>
      </c>
      <c r="X766" t="s">
        <v>63</v>
      </c>
      <c r="Y766" t="s">
        <v>6873</v>
      </c>
      <c r="Z766" t="s">
        <v>63</v>
      </c>
      <c r="AA766" t="s">
        <v>6874</v>
      </c>
      <c r="AB766">
        <v>24261551</v>
      </c>
      <c r="AC766" t="s">
        <v>67</v>
      </c>
      <c r="AD766" t="s">
        <v>63</v>
      </c>
      <c r="AE766" t="s">
        <v>63</v>
      </c>
      <c r="AF766" t="s">
        <v>63</v>
      </c>
      <c r="AG766" t="s">
        <v>6875</v>
      </c>
      <c r="AH766" t="s">
        <v>63</v>
      </c>
      <c r="AI766" t="s">
        <v>6876</v>
      </c>
      <c r="AJ766" t="s">
        <v>63</v>
      </c>
      <c r="AK766" t="s">
        <v>63</v>
      </c>
      <c r="AL766" t="s">
        <v>63</v>
      </c>
      <c r="AM766" t="s">
        <v>6877</v>
      </c>
      <c r="AN766" t="s">
        <v>63</v>
      </c>
      <c r="AO766" t="s">
        <v>63</v>
      </c>
      <c r="AP766" t="s">
        <v>63</v>
      </c>
      <c r="AQ766" t="s">
        <v>63</v>
      </c>
      <c r="AR766" t="s">
        <v>63</v>
      </c>
      <c r="AS766" t="s">
        <v>63</v>
      </c>
      <c r="AT766" t="s">
        <v>63</v>
      </c>
      <c r="AU766" t="s">
        <v>63</v>
      </c>
      <c r="AV766" t="s">
        <v>63</v>
      </c>
      <c r="AW766" t="s">
        <v>63</v>
      </c>
      <c r="AX766" t="s">
        <v>63</v>
      </c>
      <c r="AY766" t="s">
        <v>63</v>
      </c>
      <c r="AZ766" t="s">
        <v>63</v>
      </c>
      <c r="BA766" t="s">
        <v>63</v>
      </c>
      <c r="BB766" t="s">
        <v>63</v>
      </c>
      <c r="BC766" t="s">
        <v>63</v>
      </c>
      <c r="BD766" t="s">
        <v>63</v>
      </c>
      <c r="BE766" t="s">
        <v>63</v>
      </c>
      <c r="BF766" t="s">
        <v>63</v>
      </c>
    </row>
    <row r="767" spans="1:58">
      <c r="A767" t="s">
        <v>58</v>
      </c>
      <c r="B767" t="s">
        <v>6878</v>
      </c>
      <c r="C767" t="s">
        <v>6879</v>
      </c>
      <c r="D767" t="s">
        <v>137</v>
      </c>
      <c r="E767" t="s">
        <v>63</v>
      </c>
      <c r="F767">
        <v>2013</v>
      </c>
      <c r="G767" t="s">
        <v>189</v>
      </c>
      <c r="H767">
        <v>59</v>
      </c>
      <c r="I767">
        <v>5</v>
      </c>
      <c r="J767" t="s">
        <v>6880</v>
      </c>
      <c r="K767">
        <v>9</v>
      </c>
      <c r="L767" t="s">
        <v>6881</v>
      </c>
      <c r="M767" t="s">
        <v>6882</v>
      </c>
      <c r="N767" t="s">
        <v>6883</v>
      </c>
      <c r="O767" t="s">
        <v>63</v>
      </c>
      <c r="Q767" t="s">
        <v>63</v>
      </c>
      <c r="R767" t="s">
        <v>63</v>
      </c>
      <c r="S767" t="s">
        <v>63</v>
      </c>
      <c r="T767" t="s">
        <v>63</v>
      </c>
      <c r="X767" t="s">
        <v>63</v>
      </c>
      <c r="Y767" t="s">
        <v>6884</v>
      </c>
      <c r="Z767" t="s">
        <v>63</v>
      </c>
      <c r="AA767" t="s">
        <v>6885</v>
      </c>
      <c r="AB767">
        <v>23673603</v>
      </c>
      <c r="AC767" t="s">
        <v>67</v>
      </c>
      <c r="AD767" t="s">
        <v>63</v>
      </c>
      <c r="AE767" t="s">
        <v>63</v>
      </c>
      <c r="AF767" t="s">
        <v>63</v>
      </c>
      <c r="AG767" t="s">
        <v>6886</v>
      </c>
      <c r="AH767" t="s">
        <v>63</v>
      </c>
      <c r="AI767" t="s">
        <v>63</v>
      </c>
      <c r="AJ767" t="s">
        <v>63</v>
      </c>
      <c r="AK767" t="s">
        <v>63</v>
      </c>
      <c r="AL767" t="s">
        <v>63</v>
      </c>
      <c r="AM767" t="s">
        <v>6887</v>
      </c>
      <c r="AN767" t="s">
        <v>63</v>
      </c>
      <c r="AO767" t="s">
        <v>63</v>
      </c>
      <c r="AP767" t="s">
        <v>63</v>
      </c>
      <c r="AQ767" t="s">
        <v>63</v>
      </c>
      <c r="AR767" t="s">
        <v>63</v>
      </c>
      <c r="AS767" t="s">
        <v>63</v>
      </c>
      <c r="AT767" t="s">
        <v>63</v>
      </c>
      <c r="AU767" t="s">
        <v>63</v>
      </c>
      <c r="AV767" t="s">
        <v>63</v>
      </c>
      <c r="AW767" t="s">
        <v>63</v>
      </c>
      <c r="AX767" t="s">
        <v>63</v>
      </c>
      <c r="AY767" t="s">
        <v>63</v>
      </c>
      <c r="AZ767" t="s">
        <v>63</v>
      </c>
      <c r="BA767" t="s">
        <v>63</v>
      </c>
      <c r="BB767" t="s">
        <v>63</v>
      </c>
      <c r="BC767" t="s">
        <v>63</v>
      </c>
      <c r="BD767" t="s">
        <v>63</v>
      </c>
      <c r="BE767" t="s">
        <v>63</v>
      </c>
      <c r="BF767" t="s">
        <v>63</v>
      </c>
    </row>
    <row r="768" spans="1:58">
      <c r="A768" t="s">
        <v>58</v>
      </c>
      <c r="B768" t="s">
        <v>6888</v>
      </c>
      <c r="C768" t="s">
        <v>6889</v>
      </c>
      <c r="D768" t="s">
        <v>389</v>
      </c>
      <c r="E768" t="s">
        <v>63</v>
      </c>
      <c r="F768">
        <v>2006</v>
      </c>
      <c r="G768" t="s">
        <v>157</v>
      </c>
      <c r="H768">
        <v>27</v>
      </c>
      <c r="I768">
        <v>4</v>
      </c>
      <c r="J768">
        <v>1</v>
      </c>
      <c r="K768">
        <v>7</v>
      </c>
      <c r="L768" t="s">
        <v>6890</v>
      </c>
      <c r="M768" t="s">
        <v>6891</v>
      </c>
      <c r="N768" t="s">
        <v>6892</v>
      </c>
      <c r="O768" t="s">
        <v>63</v>
      </c>
      <c r="Q768" t="s">
        <v>63</v>
      </c>
      <c r="R768" t="s">
        <v>63</v>
      </c>
      <c r="S768" t="s">
        <v>63</v>
      </c>
      <c r="T768" t="s">
        <v>63</v>
      </c>
      <c r="X768" t="s">
        <v>63</v>
      </c>
      <c r="Y768" t="s">
        <v>392</v>
      </c>
      <c r="Z768" t="s">
        <v>63</v>
      </c>
      <c r="AA768" t="s">
        <v>6893</v>
      </c>
      <c r="AB768">
        <v>17347120</v>
      </c>
      <c r="AC768" t="s">
        <v>67</v>
      </c>
      <c r="AD768" t="s">
        <v>63</v>
      </c>
      <c r="AE768" t="s">
        <v>63</v>
      </c>
      <c r="AF768" t="s">
        <v>63</v>
      </c>
      <c r="AG768" t="s">
        <v>6894</v>
      </c>
      <c r="AH768" t="s">
        <v>63</v>
      </c>
      <c r="AI768" t="s">
        <v>63</v>
      </c>
      <c r="AJ768" t="s">
        <v>63</v>
      </c>
      <c r="AK768" t="s">
        <v>63</v>
      </c>
      <c r="AL768" t="s">
        <v>63</v>
      </c>
      <c r="AM768" t="s">
        <v>6895</v>
      </c>
      <c r="AN768" t="s">
        <v>63</v>
      </c>
      <c r="AO768" t="s">
        <v>63</v>
      </c>
      <c r="AP768" t="s">
        <v>63</v>
      </c>
      <c r="AQ768" t="s">
        <v>63</v>
      </c>
      <c r="AR768" t="s">
        <v>63</v>
      </c>
      <c r="AS768" t="s">
        <v>63</v>
      </c>
      <c r="AT768" t="s">
        <v>63</v>
      </c>
      <c r="AU768" t="s">
        <v>63</v>
      </c>
      <c r="AV768" t="s">
        <v>63</v>
      </c>
      <c r="AW768" t="s">
        <v>63</v>
      </c>
      <c r="AX768" t="s">
        <v>63</v>
      </c>
      <c r="AY768" t="s">
        <v>63</v>
      </c>
      <c r="AZ768" t="s">
        <v>63</v>
      </c>
      <c r="BA768" t="s">
        <v>63</v>
      </c>
      <c r="BB768" t="s">
        <v>63</v>
      </c>
      <c r="BC768" t="s">
        <v>63</v>
      </c>
      <c r="BD768" t="s">
        <v>63</v>
      </c>
      <c r="BE768" t="s">
        <v>63</v>
      </c>
      <c r="BF768" t="s">
        <v>63</v>
      </c>
    </row>
    <row r="769" spans="1:58">
      <c r="A769" t="s">
        <v>58</v>
      </c>
      <c r="B769" t="s">
        <v>6896</v>
      </c>
      <c r="C769" t="s">
        <v>6897</v>
      </c>
      <c r="D769" t="s">
        <v>389</v>
      </c>
      <c r="E769" t="s">
        <v>63</v>
      </c>
      <c r="F769">
        <v>2001</v>
      </c>
      <c r="G769" t="s">
        <v>157</v>
      </c>
      <c r="H769">
        <v>22</v>
      </c>
      <c r="I769">
        <v>4</v>
      </c>
      <c r="J769">
        <v>257</v>
      </c>
      <c r="K769">
        <v>263</v>
      </c>
      <c r="L769" t="s">
        <v>63</v>
      </c>
      <c r="M769" t="s">
        <v>6898</v>
      </c>
      <c r="N769" t="s">
        <v>6899</v>
      </c>
      <c r="O769" t="s">
        <v>63</v>
      </c>
      <c r="Q769" t="s">
        <v>63</v>
      </c>
      <c r="R769" t="s">
        <v>63</v>
      </c>
      <c r="S769" t="s">
        <v>63</v>
      </c>
      <c r="T769" t="s">
        <v>63</v>
      </c>
      <c r="X769" t="s">
        <v>63</v>
      </c>
      <c r="Y769" t="s">
        <v>556</v>
      </c>
      <c r="Z769" t="s">
        <v>63</v>
      </c>
      <c r="AA769" t="s">
        <v>6900</v>
      </c>
      <c r="AB769">
        <v>12466685</v>
      </c>
      <c r="AC769" t="s">
        <v>67</v>
      </c>
      <c r="AD769" t="s">
        <v>63</v>
      </c>
      <c r="AE769" t="s">
        <v>63</v>
      </c>
      <c r="AF769" t="s">
        <v>63</v>
      </c>
      <c r="AG769" t="s">
        <v>6901</v>
      </c>
      <c r="AH769" t="s">
        <v>63</v>
      </c>
      <c r="AI769" t="s">
        <v>63</v>
      </c>
      <c r="AJ769" t="s">
        <v>63</v>
      </c>
      <c r="AK769" t="s">
        <v>63</v>
      </c>
      <c r="AL769" t="s">
        <v>63</v>
      </c>
      <c r="AM769" t="s">
        <v>6902</v>
      </c>
      <c r="AN769" t="s">
        <v>63</v>
      </c>
      <c r="AO769" t="s">
        <v>63</v>
      </c>
      <c r="AP769" t="s">
        <v>63</v>
      </c>
      <c r="AQ769" t="s">
        <v>63</v>
      </c>
      <c r="AR769" t="s">
        <v>63</v>
      </c>
      <c r="AS769" t="s">
        <v>63</v>
      </c>
      <c r="AT769" t="s">
        <v>63</v>
      </c>
      <c r="AU769" t="s">
        <v>63</v>
      </c>
      <c r="AV769" t="s">
        <v>63</v>
      </c>
      <c r="AW769" t="s">
        <v>63</v>
      </c>
      <c r="AX769" t="s">
        <v>63</v>
      </c>
      <c r="AY769" t="s">
        <v>63</v>
      </c>
      <c r="AZ769" t="s">
        <v>63</v>
      </c>
      <c r="BA769" t="s">
        <v>63</v>
      </c>
      <c r="BB769" t="s">
        <v>63</v>
      </c>
      <c r="BC769" t="s">
        <v>63</v>
      </c>
      <c r="BD769" t="s">
        <v>63</v>
      </c>
      <c r="BE769" t="s">
        <v>63</v>
      </c>
      <c r="BF769" t="s">
        <v>63</v>
      </c>
    </row>
    <row r="770" spans="1:58">
      <c r="A770" t="s">
        <v>58</v>
      </c>
      <c r="B770" t="s">
        <v>6903</v>
      </c>
      <c r="C770" t="s">
        <v>6904</v>
      </c>
      <c r="D770" t="s">
        <v>137</v>
      </c>
      <c r="E770" t="s">
        <v>63</v>
      </c>
      <c r="F770">
        <v>2006</v>
      </c>
      <c r="G770" t="s">
        <v>181</v>
      </c>
      <c r="H770">
        <v>52</v>
      </c>
      <c r="I770">
        <v>9</v>
      </c>
      <c r="J770">
        <v>1081</v>
      </c>
      <c r="K770">
        <v>1087</v>
      </c>
      <c r="L770" t="s">
        <v>6905</v>
      </c>
      <c r="M770" t="s">
        <v>6906</v>
      </c>
      <c r="N770" t="s">
        <v>6907</v>
      </c>
      <c r="O770" t="s">
        <v>63</v>
      </c>
      <c r="Q770" t="s">
        <v>63</v>
      </c>
      <c r="R770" t="s">
        <v>63</v>
      </c>
      <c r="S770" t="s">
        <v>63</v>
      </c>
      <c r="T770" t="s">
        <v>63</v>
      </c>
      <c r="X770" t="s">
        <v>63</v>
      </c>
      <c r="Y770" t="s">
        <v>6884</v>
      </c>
      <c r="Z770" t="s">
        <v>63</v>
      </c>
      <c r="AA770" t="s">
        <v>6908</v>
      </c>
      <c r="AB770">
        <v>17279218</v>
      </c>
      <c r="AC770" t="s">
        <v>67</v>
      </c>
      <c r="AD770" t="s">
        <v>63</v>
      </c>
      <c r="AE770" t="s">
        <v>63</v>
      </c>
      <c r="AF770" t="s">
        <v>63</v>
      </c>
      <c r="AG770" t="s">
        <v>6909</v>
      </c>
      <c r="AH770" t="s">
        <v>63</v>
      </c>
      <c r="AI770" t="s">
        <v>63</v>
      </c>
      <c r="AJ770" t="s">
        <v>63</v>
      </c>
      <c r="AK770" t="s">
        <v>63</v>
      </c>
      <c r="AL770" t="s">
        <v>63</v>
      </c>
      <c r="AM770" t="s">
        <v>6910</v>
      </c>
      <c r="AN770" t="s">
        <v>63</v>
      </c>
      <c r="AO770" t="s">
        <v>63</v>
      </c>
      <c r="AP770" t="s">
        <v>63</v>
      </c>
      <c r="AQ770" t="s">
        <v>63</v>
      </c>
      <c r="AR770" t="s">
        <v>63</v>
      </c>
      <c r="AS770" t="s">
        <v>63</v>
      </c>
      <c r="AT770" t="s">
        <v>63</v>
      </c>
      <c r="AU770" t="s">
        <v>63</v>
      </c>
      <c r="AV770" t="s">
        <v>63</v>
      </c>
      <c r="AW770" t="s">
        <v>63</v>
      </c>
      <c r="AX770" t="s">
        <v>63</v>
      </c>
      <c r="AY770" t="s">
        <v>63</v>
      </c>
      <c r="AZ770" t="s">
        <v>63</v>
      </c>
      <c r="BA770" t="s">
        <v>63</v>
      </c>
      <c r="BB770" t="s">
        <v>63</v>
      </c>
      <c r="BC770" t="s">
        <v>63</v>
      </c>
      <c r="BD770" t="s">
        <v>63</v>
      </c>
      <c r="BE770" t="s">
        <v>63</v>
      </c>
      <c r="BF770" t="s">
        <v>63</v>
      </c>
    </row>
    <row r="771" spans="1:58">
      <c r="A771" t="s">
        <v>58</v>
      </c>
      <c r="B771" t="s">
        <v>6911</v>
      </c>
      <c r="C771" t="s">
        <v>6912</v>
      </c>
      <c r="D771" t="s">
        <v>137</v>
      </c>
      <c r="E771" t="s">
        <v>63</v>
      </c>
      <c r="F771">
        <v>2006</v>
      </c>
      <c r="G771" t="s">
        <v>181</v>
      </c>
      <c r="H771">
        <v>52</v>
      </c>
      <c r="I771">
        <v>9</v>
      </c>
      <c r="J771">
        <v>1091</v>
      </c>
      <c r="K771">
        <v>1096</v>
      </c>
      <c r="L771" t="s">
        <v>6913</v>
      </c>
      <c r="M771" t="s">
        <v>6914</v>
      </c>
      <c r="N771" t="s">
        <v>6915</v>
      </c>
      <c r="O771" t="s">
        <v>63</v>
      </c>
      <c r="Q771" t="s">
        <v>63</v>
      </c>
      <c r="R771" t="s">
        <v>63</v>
      </c>
      <c r="S771" t="s">
        <v>63</v>
      </c>
      <c r="T771" t="s">
        <v>63</v>
      </c>
      <c r="X771" t="s">
        <v>63</v>
      </c>
      <c r="Y771" t="s">
        <v>6884</v>
      </c>
      <c r="Z771" t="s">
        <v>63</v>
      </c>
      <c r="AA771" t="s">
        <v>6908</v>
      </c>
      <c r="AB771">
        <v>17279219</v>
      </c>
      <c r="AC771" t="s">
        <v>67</v>
      </c>
      <c r="AD771" t="s">
        <v>63</v>
      </c>
      <c r="AE771" t="s">
        <v>63</v>
      </c>
      <c r="AF771" t="s">
        <v>63</v>
      </c>
      <c r="AG771" t="s">
        <v>6916</v>
      </c>
      <c r="AH771" t="s">
        <v>63</v>
      </c>
      <c r="AI771" t="s">
        <v>63</v>
      </c>
      <c r="AJ771" t="s">
        <v>63</v>
      </c>
      <c r="AK771" t="s">
        <v>63</v>
      </c>
      <c r="AL771" t="s">
        <v>63</v>
      </c>
      <c r="AM771" t="s">
        <v>6917</v>
      </c>
      <c r="AN771" t="s">
        <v>63</v>
      </c>
      <c r="AO771" t="s">
        <v>63</v>
      </c>
      <c r="AP771" t="s">
        <v>63</v>
      </c>
      <c r="AQ771" t="s">
        <v>63</v>
      </c>
      <c r="AR771" t="s">
        <v>63</v>
      </c>
      <c r="AS771" t="s">
        <v>63</v>
      </c>
      <c r="AT771" t="s">
        <v>63</v>
      </c>
      <c r="AU771" t="s">
        <v>63</v>
      </c>
      <c r="AV771" t="s">
        <v>63</v>
      </c>
      <c r="AW771" t="s">
        <v>63</v>
      </c>
      <c r="AX771" t="s">
        <v>63</v>
      </c>
      <c r="AY771" t="s">
        <v>63</v>
      </c>
      <c r="AZ771" t="s">
        <v>63</v>
      </c>
      <c r="BA771" t="s">
        <v>63</v>
      </c>
      <c r="BB771" t="s">
        <v>63</v>
      </c>
      <c r="BC771" t="s">
        <v>63</v>
      </c>
      <c r="BD771" t="s">
        <v>63</v>
      </c>
      <c r="BE771" t="s">
        <v>63</v>
      </c>
      <c r="BF771" t="s">
        <v>63</v>
      </c>
    </row>
    <row r="772" spans="1:58">
      <c r="A772" t="s">
        <v>58</v>
      </c>
      <c r="B772" t="s">
        <v>6918</v>
      </c>
      <c r="C772" t="s">
        <v>6919</v>
      </c>
      <c r="D772" t="s">
        <v>389</v>
      </c>
      <c r="E772" t="s">
        <v>63</v>
      </c>
      <c r="F772">
        <v>2004</v>
      </c>
      <c r="G772" t="s">
        <v>274</v>
      </c>
      <c r="H772">
        <v>25</v>
      </c>
      <c r="I772">
        <v>1</v>
      </c>
      <c r="J772">
        <v>43</v>
      </c>
      <c r="K772">
        <v>51</v>
      </c>
      <c r="L772" t="s">
        <v>6920</v>
      </c>
      <c r="M772" t="s">
        <v>6921</v>
      </c>
      <c r="N772" t="s">
        <v>6922</v>
      </c>
      <c r="O772" t="s">
        <v>63</v>
      </c>
      <c r="Q772" t="s">
        <v>63</v>
      </c>
      <c r="R772" t="s">
        <v>63</v>
      </c>
      <c r="S772" t="s">
        <v>63</v>
      </c>
      <c r="T772" t="s">
        <v>63</v>
      </c>
      <c r="X772" t="s">
        <v>63</v>
      </c>
      <c r="Y772" t="s">
        <v>392</v>
      </c>
      <c r="Z772" t="s">
        <v>63</v>
      </c>
      <c r="AA772" t="s">
        <v>6923</v>
      </c>
      <c r="AB772">
        <v>15201111</v>
      </c>
      <c r="AC772" t="s">
        <v>67</v>
      </c>
      <c r="AD772" t="s">
        <v>63</v>
      </c>
      <c r="AE772" t="s">
        <v>63</v>
      </c>
      <c r="AF772" t="s">
        <v>63</v>
      </c>
      <c r="AG772" t="s">
        <v>6924</v>
      </c>
      <c r="AH772" t="s">
        <v>63</v>
      </c>
      <c r="AI772" t="s">
        <v>63</v>
      </c>
      <c r="AJ772" t="s">
        <v>63</v>
      </c>
      <c r="AK772" t="s">
        <v>63</v>
      </c>
      <c r="AL772" t="s">
        <v>63</v>
      </c>
      <c r="AM772" t="s">
        <v>6925</v>
      </c>
      <c r="AN772" t="s">
        <v>63</v>
      </c>
      <c r="AO772" t="s">
        <v>63</v>
      </c>
      <c r="AP772" t="s">
        <v>63</v>
      </c>
      <c r="AQ772" t="s">
        <v>63</v>
      </c>
      <c r="AR772" t="s">
        <v>63</v>
      </c>
      <c r="AS772" t="s">
        <v>63</v>
      </c>
      <c r="AT772" t="s">
        <v>63</v>
      </c>
      <c r="AU772" t="s">
        <v>63</v>
      </c>
      <c r="AV772" t="s">
        <v>63</v>
      </c>
      <c r="AW772" t="s">
        <v>63</v>
      </c>
      <c r="AX772" t="s">
        <v>63</v>
      </c>
      <c r="AY772" t="s">
        <v>63</v>
      </c>
      <c r="AZ772" t="s">
        <v>63</v>
      </c>
      <c r="BA772" t="s">
        <v>63</v>
      </c>
      <c r="BB772" t="s">
        <v>63</v>
      </c>
      <c r="BC772" t="s">
        <v>63</v>
      </c>
      <c r="BD772" t="s">
        <v>63</v>
      </c>
      <c r="BE772" t="s">
        <v>63</v>
      </c>
      <c r="BF772" t="s">
        <v>63</v>
      </c>
    </row>
    <row r="773" spans="1:58">
      <c r="A773" t="s">
        <v>58</v>
      </c>
      <c r="B773" t="s">
        <v>6926</v>
      </c>
      <c r="C773" t="s">
        <v>6927</v>
      </c>
      <c r="D773" t="s">
        <v>389</v>
      </c>
      <c r="E773" t="s">
        <v>63</v>
      </c>
      <c r="F773">
        <v>2003</v>
      </c>
      <c r="G773" t="s">
        <v>274</v>
      </c>
      <c r="H773">
        <v>24</v>
      </c>
      <c r="I773">
        <v>1</v>
      </c>
      <c r="J773">
        <v>5</v>
      </c>
      <c r="K773">
        <v>16</v>
      </c>
      <c r="L773" t="s">
        <v>6928</v>
      </c>
      <c r="M773" t="s">
        <v>6929</v>
      </c>
      <c r="N773" t="s">
        <v>6930</v>
      </c>
      <c r="O773" t="s">
        <v>63</v>
      </c>
      <c r="Q773" t="s">
        <v>63</v>
      </c>
      <c r="R773" t="s">
        <v>63</v>
      </c>
      <c r="S773" t="s">
        <v>63</v>
      </c>
      <c r="T773" t="s">
        <v>63</v>
      </c>
      <c r="X773" t="s">
        <v>63</v>
      </c>
      <c r="Y773" t="s">
        <v>392</v>
      </c>
      <c r="Z773" t="s">
        <v>63</v>
      </c>
      <c r="AA773" t="s">
        <v>6931</v>
      </c>
      <c r="AB773">
        <v>12652091</v>
      </c>
      <c r="AC773" t="s">
        <v>67</v>
      </c>
      <c r="AD773" t="s">
        <v>63</v>
      </c>
      <c r="AE773" t="s">
        <v>63</v>
      </c>
      <c r="AF773" t="s">
        <v>63</v>
      </c>
      <c r="AG773" t="s">
        <v>6932</v>
      </c>
      <c r="AH773" t="s">
        <v>63</v>
      </c>
      <c r="AI773" t="s">
        <v>63</v>
      </c>
      <c r="AJ773" t="s">
        <v>63</v>
      </c>
      <c r="AK773" t="s">
        <v>63</v>
      </c>
      <c r="AL773" t="s">
        <v>63</v>
      </c>
      <c r="AM773" t="s">
        <v>6933</v>
      </c>
      <c r="AN773" t="s">
        <v>63</v>
      </c>
      <c r="AO773" t="s">
        <v>63</v>
      </c>
      <c r="AP773" t="s">
        <v>63</v>
      </c>
      <c r="AQ773" t="s">
        <v>63</v>
      </c>
      <c r="AR773" t="s">
        <v>63</v>
      </c>
      <c r="AS773" t="s">
        <v>63</v>
      </c>
      <c r="AT773" t="s">
        <v>63</v>
      </c>
      <c r="AU773" t="s">
        <v>63</v>
      </c>
      <c r="AV773" t="s">
        <v>63</v>
      </c>
      <c r="AW773" t="s">
        <v>63</v>
      </c>
      <c r="AX773" t="s">
        <v>63</v>
      </c>
      <c r="AY773" t="s">
        <v>63</v>
      </c>
      <c r="AZ773" t="s">
        <v>63</v>
      </c>
      <c r="BA773" t="s">
        <v>63</v>
      </c>
      <c r="BB773" t="s">
        <v>63</v>
      </c>
      <c r="BC773" t="s">
        <v>63</v>
      </c>
      <c r="BD773" t="s">
        <v>63</v>
      </c>
      <c r="BE773" t="s">
        <v>63</v>
      </c>
      <c r="BF773" t="s">
        <v>63</v>
      </c>
    </row>
    <row r="774" spans="1:58">
      <c r="A774" t="s">
        <v>58</v>
      </c>
      <c r="B774" t="s">
        <v>6934</v>
      </c>
      <c r="C774" t="s">
        <v>6935</v>
      </c>
      <c r="D774" t="s">
        <v>6936</v>
      </c>
      <c r="E774" t="s">
        <v>6937</v>
      </c>
      <c r="F774">
        <v>2017</v>
      </c>
      <c r="G774" t="s">
        <v>614</v>
      </c>
      <c r="H774">
        <v>56</v>
      </c>
      <c r="I774">
        <v>7</v>
      </c>
      <c r="J774">
        <v>649</v>
      </c>
      <c r="K774">
        <v>665</v>
      </c>
      <c r="L774" t="s">
        <v>6938</v>
      </c>
      <c r="M774" t="s">
        <v>6939</v>
      </c>
      <c r="N774" t="s">
        <v>6940</v>
      </c>
      <c r="O774" t="s">
        <v>63</v>
      </c>
      <c r="Q774" t="s">
        <v>63</v>
      </c>
      <c r="R774" t="s">
        <v>63</v>
      </c>
      <c r="S774" t="s">
        <v>63</v>
      </c>
      <c r="T774" t="s">
        <v>63</v>
      </c>
      <c r="X774" t="s">
        <v>63</v>
      </c>
      <c r="Y774" t="s">
        <v>6941</v>
      </c>
      <c r="Z774" t="s">
        <v>63</v>
      </c>
      <c r="AA774" t="s">
        <v>6942</v>
      </c>
      <c r="AB774">
        <v>28594601</v>
      </c>
      <c r="AC774" t="s">
        <v>67</v>
      </c>
      <c r="AD774" t="s">
        <v>63</v>
      </c>
      <c r="AE774" t="s">
        <v>63</v>
      </c>
      <c r="AF774" t="s">
        <v>63</v>
      </c>
      <c r="AG774" t="s">
        <v>6943</v>
      </c>
      <c r="AH774" t="s">
        <v>63</v>
      </c>
      <c r="AI774" t="s">
        <v>6944</v>
      </c>
      <c r="AJ774" t="s">
        <v>63</v>
      </c>
      <c r="AK774" t="s">
        <v>63</v>
      </c>
      <c r="AL774" t="s">
        <v>63</v>
      </c>
      <c r="AM774" t="s">
        <v>6945</v>
      </c>
      <c r="AN774" t="s">
        <v>63</v>
      </c>
      <c r="AO774" t="s">
        <v>63</v>
      </c>
      <c r="AP774" t="s">
        <v>63</v>
      </c>
      <c r="AQ774" t="s">
        <v>63</v>
      </c>
      <c r="AR774" t="s">
        <v>63</v>
      </c>
      <c r="AS774" t="s">
        <v>63</v>
      </c>
      <c r="AT774" t="s">
        <v>63</v>
      </c>
      <c r="AU774" t="s">
        <v>63</v>
      </c>
      <c r="AV774" t="s">
        <v>63</v>
      </c>
      <c r="AW774" t="s">
        <v>63</v>
      </c>
      <c r="AX774" t="s">
        <v>63</v>
      </c>
      <c r="AY774" t="s">
        <v>63</v>
      </c>
      <c r="AZ774" t="s">
        <v>63</v>
      </c>
      <c r="BA774" t="s">
        <v>63</v>
      </c>
      <c r="BB774" t="s">
        <v>63</v>
      </c>
      <c r="BC774" t="s">
        <v>63</v>
      </c>
      <c r="BD774" t="s">
        <v>63</v>
      </c>
      <c r="BE774" t="s">
        <v>63</v>
      </c>
      <c r="BF774" t="s">
        <v>63</v>
      </c>
    </row>
    <row r="775" spans="1:58">
      <c r="A775" t="s">
        <v>58</v>
      </c>
      <c r="B775" t="s">
        <v>6946</v>
      </c>
      <c r="C775" t="s">
        <v>6947</v>
      </c>
      <c r="D775" t="s">
        <v>6948</v>
      </c>
      <c r="E775" t="s">
        <v>6949</v>
      </c>
      <c r="F775">
        <v>2008</v>
      </c>
      <c r="G775" t="s">
        <v>623</v>
      </c>
      <c r="H775">
        <v>15</v>
      </c>
      <c r="I775">
        <v>1</v>
      </c>
      <c r="J775">
        <v>92</v>
      </c>
      <c r="K775">
        <v>96</v>
      </c>
      <c r="L775" t="s">
        <v>6950</v>
      </c>
      <c r="M775" t="s">
        <v>6951</v>
      </c>
      <c r="N775" t="s">
        <v>6952</v>
      </c>
      <c r="O775" t="s">
        <v>63</v>
      </c>
      <c r="Q775" t="s">
        <v>63</v>
      </c>
      <c r="R775" t="s">
        <v>63</v>
      </c>
      <c r="S775" t="s">
        <v>63</v>
      </c>
      <c r="T775" t="s">
        <v>63</v>
      </c>
      <c r="X775" t="s">
        <v>63</v>
      </c>
      <c r="Y775" t="s">
        <v>6953</v>
      </c>
      <c r="Z775" t="s">
        <v>63</v>
      </c>
      <c r="AA775" t="s">
        <v>6954</v>
      </c>
      <c r="AB775">
        <v>18223360</v>
      </c>
      <c r="AC775" t="s">
        <v>67</v>
      </c>
      <c r="AD775" t="s">
        <v>63</v>
      </c>
      <c r="AE775" t="s">
        <v>63</v>
      </c>
      <c r="AF775" t="s">
        <v>63</v>
      </c>
      <c r="AG775" t="s">
        <v>6955</v>
      </c>
      <c r="AH775" t="s">
        <v>63</v>
      </c>
      <c r="AI775" t="s">
        <v>6956</v>
      </c>
      <c r="AJ775" t="s">
        <v>63</v>
      </c>
      <c r="AK775" t="s">
        <v>63</v>
      </c>
      <c r="AL775" t="s">
        <v>63</v>
      </c>
      <c r="AM775" t="s">
        <v>6957</v>
      </c>
      <c r="AN775" t="s">
        <v>63</v>
      </c>
      <c r="AO775" t="s">
        <v>63</v>
      </c>
      <c r="AP775" t="s">
        <v>63</v>
      </c>
      <c r="AQ775" t="s">
        <v>63</v>
      </c>
      <c r="AR775" t="s">
        <v>63</v>
      </c>
      <c r="AS775" t="s">
        <v>63</v>
      </c>
      <c r="AT775" t="s">
        <v>63</v>
      </c>
      <c r="AU775" t="s">
        <v>63</v>
      </c>
      <c r="AV775" t="s">
        <v>63</v>
      </c>
      <c r="AW775" t="s">
        <v>63</v>
      </c>
      <c r="AX775" t="s">
        <v>63</v>
      </c>
      <c r="AY775" t="s">
        <v>63</v>
      </c>
      <c r="AZ775" t="s">
        <v>63</v>
      </c>
      <c r="BA775" t="s">
        <v>63</v>
      </c>
      <c r="BB775" t="s">
        <v>63</v>
      </c>
      <c r="BC775" t="s">
        <v>63</v>
      </c>
      <c r="BD775" t="s">
        <v>63</v>
      </c>
      <c r="BE775" t="s">
        <v>63</v>
      </c>
      <c r="BF775" t="s">
        <v>63</v>
      </c>
    </row>
    <row r="776" spans="1:58">
      <c r="A776" t="s">
        <v>58</v>
      </c>
      <c r="B776" t="s">
        <v>6958</v>
      </c>
      <c r="C776" t="s">
        <v>6959</v>
      </c>
      <c r="D776" t="s">
        <v>1055</v>
      </c>
      <c r="E776" t="s">
        <v>1056</v>
      </c>
      <c r="F776">
        <v>2009</v>
      </c>
      <c r="G776" t="s">
        <v>219</v>
      </c>
      <c r="H776">
        <v>43</v>
      </c>
      <c r="I776">
        <v>11</v>
      </c>
      <c r="J776">
        <v>1094</v>
      </c>
      <c r="K776" t="s">
        <v>63</v>
      </c>
      <c r="L776" t="s">
        <v>6960</v>
      </c>
      <c r="M776" t="s">
        <v>63</v>
      </c>
      <c r="N776" t="s">
        <v>6961</v>
      </c>
      <c r="O776" t="s">
        <v>63</v>
      </c>
      <c r="Q776" t="s">
        <v>63</v>
      </c>
      <c r="R776" t="s">
        <v>63</v>
      </c>
      <c r="S776" t="s">
        <v>63</v>
      </c>
      <c r="T776" t="s">
        <v>63</v>
      </c>
      <c r="X776" t="s">
        <v>63</v>
      </c>
      <c r="Y776" t="s">
        <v>1541</v>
      </c>
      <c r="Z776" t="s">
        <v>63</v>
      </c>
      <c r="AA776" t="s">
        <v>6962</v>
      </c>
      <c r="AB776">
        <v>19874512</v>
      </c>
      <c r="AC776" t="s">
        <v>67</v>
      </c>
      <c r="AD776" t="s">
        <v>63</v>
      </c>
      <c r="AE776" t="s">
        <v>63</v>
      </c>
      <c r="AF776" t="s">
        <v>63</v>
      </c>
      <c r="AG776" t="s">
        <v>6963</v>
      </c>
      <c r="AH776" t="s">
        <v>63</v>
      </c>
      <c r="AI776" t="s">
        <v>6964</v>
      </c>
      <c r="AJ776" t="s">
        <v>63</v>
      </c>
      <c r="AK776" t="s">
        <v>63</v>
      </c>
      <c r="AL776" t="s">
        <v>63</v>
      </c>
      <c r="AM776" t="s">
        <v>6965</v>
      </c>
      <c r="AN776" t="s">
        <v>63</v>
      </c>
      <c r="AO776" t="s">
        <v>63</v>
      </c>
      <c r="AP776" t="s">
        <v>63</v>
      </c>
      <c r="AQ776" t="s">
        <v>63</v>
      </c>
      <c r="AR776" t="s">
        <v>63</v>
      </c>
      <c r="AS776" t="s">
        <v>63</v>
      </c>
      <c r="AT776" t="s">
        <v>63</v>
      </c>
      <c r="AU776" t="s">
        <v>63</v>
      </c>
      <c r="AV776" t="s">
        <v>63</v>
      </c>
      <c r="AW776" t="s">
        <v>63</v>
      </c>
      <c r="AX776" t="s">
        <v>63</v>
      </c>
      <c r="AY776" t="s">
        <v>63</v>
      </c>
      <c r="AZ776" t="s">
        <v>63</v>
      </c>
      <c r="BA776" t="s">
        <v>63</v>
      </c>
      <c r="BB776" t="s">
        <v>63</v>
      </c>
      <c r="BC776" t="s">
        <v>63</v>
      </c>
      <c r="BD776" t="s">
        <v>63</v>
      </c>
      <c r="BE776" t="s">
        <v>63</v>
      </c>
      <c r="BF776" t="s">
        <v>63</v>
      </c>
    </row>
    <row r="777" spans="1:58">
      <c r="A777" t="s">
        <v>58</v>
      </c>
      <c r="B777" t="s">
        <v>6966</v>
      </c>
      <c r="C777" t="s">
        <v>6967</v>
      </c>
      <c r="D777" t="s">
        <v>6968</v>
      </c>
      <c r="E777" t="s">
        <v>63</v>
      </c>
      <c r="F777">
        <v>2004</v>
      </c>
      <c r="G777" t="s">
        <v>63</v>
      </c>
      <c r="H777">
        <v>59</v>
      </c>
      <c r="I777">
        <v>2</v>
      </c>
      <c r="J777">
        <v>124</v>
      </c>
      <c r="K777">
        <v>128</v>
      </c>
      <c r="L777" t="s">
        <v>6969</v>
      </c>
      <c r="M777" t="s">
        <v>6970</v>
      </c>
      <c r="N777" t="s">
        <v>6971</v>
      </c>
      <c r="O777" t="s">
        <v>63</v>
      </c>
      <c r="Q777" t="s">
        <v>63</v>
      </c>
      <c r="R777" t="s">
        <v>63</v>
      </c>
      <c r="S777" t="s">
        <v>63</v>
      </c>
      <c r="T777" t="s">
        <v>63</v>
      </c>
      <c r="X777" t="s">
        <v>63</v>
      </c>
      <c r="Y777" t="s">
        <v>6972</v>
      </c>
      <c r="Z777" t="s">
        <v>63</v>
      </c>
      <c r="AA777" t="s">
        <v>6973</v>
      </c>
      <c r="AB777">
        <v>16146063</v>
      </c>
      <c r="AC777" t="s">
        <v>67</v>
      </c>
      <c r="AD777" t="s">
        <v>63</v>
      </c>
      <c r="AE777" t="s">
        <v>63</v>
      </c>
      <c r="AF777" t="s">
        <v>63</v>
      </c>
      <c r="AG777" t="s">
        <v>6974</v>
      </c>
      <c r="AH777" t="s">
        <v>63</v>
      </c>
      <c r="AI777" t="s">
        <v>63</v>
      </c>
      <c r="AJ777" t="s">
        <v>63</v>
      </c>
      <c r="AK777" t="s">
        <v>63</v>
      </c>
      <c r="AL777" t="s">
        <v>63</v>
      </c>
      <c r="AM777" t="s">
        <v>6975</v>
      </c>
      <c r="AN777" t="s">
        <v>63</v>
      </c>
      <c r="AO777" t="s">
        <v>63</v>
      </c>
      <c r="AP777" t="s">
        <v>63</v>
      </c>
      <c r="AQ777" t="s">
        <v>63</v>
      </c>
      <c r="AR777" t="s">
        <v>63</v>
      </c>
      <c r="AS777" t="s">
        <v>63</v>
      </c>
      <c r="AT777" t="s">
        <v>63</v>
      </c>
      <c r="AU777" t="s">
        <v>63</v>
      </c>
      <c r="AV777" t="s">
        <v>63</v>
      </c>
      <c r="AW777" t="s">
        <v>63</v>
      </c>
      <c r="AX777" t="s">
        <v>63</v>
      </c>
      <c r="AY777" t="s">
        <v>63</v>
      </c>
      <c r="AZ777" t="s">
        <v>63</v>
      </c>
      <c r="BA777" t="s">
        <v>63</v>
      </c>
      <c r="BB777" t="s">
        <v>63</v>
      </c>
      <c r="BC777" t="s">
        <v>63</v>
      </c>
      <c r="BD777" t="s">
        <v>63</v>
      </c>
      <c r="BE777" t="s">
        <v>63</v>
      </c>
      <c r="BF777" t="s">
        <v>63</v>
      </c>
    </row>
    <row r="778" spans="1:58">
      <c r="A778" t="s">
        <v>58</v>
      </c>
      <c r="B778" t="s">
        <v>6976</v>
      </c>
      <c r="C778" t="s">
        <v>6977</v>
      </c>
      <c r="D778" t="s">
        <v>389</v>
      </c>
      <c r="E778" t="s">
        <v>63</v>
      </c>
      <c r="F778">
        <v>2016</v>
      </c>
      <c r="G778" t="s">
        <v>63</v>
      </c>
      <c r="H778">
        <v>37</v>
      </c>
      <c r="I778">
        <v>1</v>
      </c>
      <c r="J778">
        <v>242</v>
      </c>
      <c r="K778">
        <v>247</v>
      </c>
      <c r="L778" t="s">
        <v>6978</v>
      </c>
      <c r="M778" t="s">
        <v>6979</v>
      </c>
      <c r="N778" t="s">
        <v>6980</v>
      </c>
      <c r="O778" t="s">
        <v>63</v>
      </c>
      <c r="Q778" t="s">
        <v>63</v>
      </c>
      <c r="R778" t="s">
        <v>63</v>
      </c>
      <c r="S778" t="s">
        <v>63</v>
      </c>
      <c r="T778" t="s">
        <v>63</v>
      </c>
      <c r="X778" t="s">
        <v>63</v>
      </c>
      <c r="Y778" t="s">
        <v>556</v>
      </c>
      <c r="Z778" t="s">
        <v>63</v>
      </c>
      <c r="AA778" t="s">
        <v>6981</v>
      </c>
      <c r="AB778">
        <v>25961140</v>
      </c>
      <c r="AC778" t="s">
        <v>67</v>
      </c>
      <c r="AD778" t="s">
        <v>63</v>
      </c>
      <c r="AE778" t="s">
        <v>63</v>
      </c>
      <c r="AF778" t="s">
        <v>63</v>
      </c>
      <c r="AG778" t="s">
        <v>6982</v>
      </c>
      <c r="AH778" t="s">
        <v>63</v>
      </c>
      <c r="AI778" t="s">
        <v>6983</v>
      </c>
      <c r="AJ778" t="s">
        <v>63</v>
      </c>
      <c r="AK778" t="s">
        <v>63</v>
      </c>
      <c r="AL778" t="s">
        <v>63</v>
      </c>
      <c r="AM778" t="s">
        <v>6984</v>
      </c>
      <c r="AN778" t="s">
        <v>63</v>
      </c>
      <c r="AO778" t="s">
        <v>63</v>
      </c>
      <c r="AP778" t="s">
        <v>63</v>
      </c>
      <c r="AQ778" t="s">
        <v>63</v>
      </c>
      <c r="AR778" t="s">
        <v>63</v>
      </c>
      <c r="AS778" t="s">
        <v>63</v>
      </c>
      <c r="AT778" t="s">
        <v>63</v>
      </c>
      <c r="AU778" t="s">
        <v>63</v>
      </c>
      <c r="AV778" t="s">
        <v>63</v>
      </c>
      <c r="AW778" t="s">
        <v>63</v>
      </c>
      <c r="AX778" t="s">
        <v>63</v>
      </c>
      <c r="AY778" t="s">
        <v>63</v>
      </c>
      <c r="AZ778" t="s">
        <v>63</v>
      </c>
      <c r="BA778" t="s">
        <v>63</v>
      </c>
      <c r="BB778" t="s">
        <v>63</v>
      </c>
      <c r="BC778" t="s">
        <v>63</v>
      </c>
      <c r="BD778" t="s">
        <v>63</v>
      </c>
      <c r="BE778" t="s">
        <v>63</v>
      </c>
      <c r="BF778" t="s">
        <v>63</v>
      </c>
    </row>
    <row r="779" spans="1:58">
      <c r="A779" t="s">
        <v>58</v>
      </c>
      <c r="B779" t="s">
        <v>6985</v>
      </c>
      <c r="C779" t="s">
        <v>6986</v>
      </c>
      <c r="D779" t="s">
        <v>2036</v>
      </c>
      <c r="E779" t="s">
        <v>63</v>
      </c>
      <c r="F779">
        <v>2014</v>
      </c>
      <c r="G779" s="1">
        <v>41670</v>
      </c>
      <c r="H779">
        <v>135</v>
      </c>
      <c r="I779" t="s">
        <v>63</v>
      </c>
      <c r="J779">
        <v>146</v>
      </c>
      <c r="K779">
        <v>151</v>
      </c>
      <c r="L779" t="s">
        <v>6987</v>
      </c>
      <c r="M779" t="s">
        <v>6988</v>
      </c>
      <c r="N779" t="s">
        <v>6989</v>
      </c>
      <c r="O779" t="s">
        <v>63</v>
      </c>
      <c r="Q779" t="s">
        <v>63</v>
      </c>
      <c r="R779" t="s">
        <v>63</v>
      </c>
      <c r="S779" t="s">
        <v>63</v>
      </c>
      <c r="T779" t="s">
        <v>63</v>
      </c>
      <c r="X779" t="s">
        <v>63</v>
      </c>
      <c r="Y779" t="s">
        <v>2040</v>
      </c>
      <c r="Z779" t="s">
        <v>63</v>
      </c>
      <c r="AA779" t="s">
        <v>6990</v>
      </c>
      <c r="AB779">
        <v>24380737</v>
      </c>
      <c r="AC779" t="s">
        <v>67</v>
      </c>
      <c r="AD779" t="s">
        <v>63</v>
      </c>
      <c r="AE779" t="s">
        <v>63</v>
      </c>
      <c r="AF779" t="s">
        <v>63</v>
      </c>
      <c r="AG779" t="s">
        <v>6991</v>
      </c>
      <c r="AH779" t="s">
        <v>63</v>
      </c>
      <c r="AI779" t="s">
        <v>6992</v>
      </c>
      <c r="AJ779" t="s">
        <v>63</v>
      </c>
      <c r="AK779" t="s">
        <v>63</v>
      </c>
      <c r="AL779" t="s">
        <v>63</v>
      </c>
      <c r="AM779" t="s">
        <v>6993</v>
      </c>
      <c r="AN779" t="s">
        <v>63</v>
      </c>
      <c r="AO779" t="s">
        <v>63</v>
      </c>
      <c r="AP779" t="s">
        <v>63</v>
      </c>
      <c r="AQ779" t="s">
        <v>63</v>
      </c>
      <c r="AR779" t="s">
        <v>63</v>
      </c>
      <c r="AS779" t="s">
        <v>63</v>
      </c>
      <c r="AT779" t="s">
        <v>63</v>
      </c>
      <c r="AU779" t="s">
        <v>63</v>
      </c>
      <c r="AV779" t="s">
        <v>63</v>
      </c>
      <c r="AW779" t="s">
        <v>63</v>
      </c>
      <c r="AX779" t="s">
        <v>63</v>
      </c>
      <c r="AY779" t="s">
        <v>63</v>
      </c>
      <c r="AZ779" t="s">
        <v>63</v>
      </c>
      <c r="BA779" t="s">
        <v>63</v>
      </c>
      <c r="BB779" t="s">
        <v>63</v>
      </c>
      <c r="BC779" t="s">
        <v>63</v>
      </c>
      <c r="BD779" t="s">
        <v>63</v>
      </c>
      <c r="BE779" t="s">
        <v>63</v>
      </c>
      <c r="BF779" t="s">
        <v>63</v>
      </c>
    </row>
    <row r="780" spans="1:58">
      <c r="A780" t="s">
        <v>58</v>
      </c>
      <c r="B780" t="s">
        <v>6994</v>
      </c>
      <c r="C780" t="s">
        <v>6995</v>
      </c>
      <c r="D780" t="s">
        <v>205</v>
      </c>
      <c r="E780" t="s">
        <v>205</v>
      </c>
      <c r="F780">
        <v>1986</v>
      </c>
      <c r="G780" s="1">
        <v>41746</v>
      </c>
      <c r="H780">
        <v>255</v>
      </c>
      <c r="I780">
        <v>15</v>
      </c>
      <c r="J780">
        <v>2054</v>
      </c>
      <c r="K780">
        <v>2057</v>
      </c>
      <c r="L780" t="s">
        <v>6996</v>
      </c>
      <c r="M780" t="s">
        <v>6997</v>
      </c>
      <c r="N780" t="s">
        <v>6998</v>
      </c>
      <c r="O780" t="s">
        <v>63</v>
      </c>
      <c r="Q780" t="s">
        <v>63</v>
      </c>
      <c r="R780" t="s">
        <v>63</v>
      </c>
      <c r="S780" t="s">
        <v>63</v>
      </c>
      <c r="T780" t="s">
        <v>63</v>
      </c>
      <c r="X780" t="s">
        <v>63</v>
      </c>
      <c r="Y780" t="s">
        <v>208</v>
      </c>
      <c r="Z780" t="s">
        <v>63</v>
      </c>
      <c r="AA780" t="s">
        <v>63</v>
      </c>
      <c r="AB780">
        <v>3959288</v>
      </c>
      <c r="AC780" t="s">
        <v>67</v>
      </c>
      <c r="AD780" t="s">
        <v>63</v>
      </c>
      <c r="AE780" t="s">
        <v>63</v>
      </c>
      <c r="AF780" t="s">
        <v>63</v>
      </c>
      <c r="AG780" t="s">
        <v>6999</v>
      </c>
      <c r="AH780" t="s">
        <v>63</v>
      </c>
      <c r="AI780" t="s">
        <v>63</v>
      </c>
      <c r="AJ780" t="s">
        <v>63</v>
      </c>
      <c r="AK780" t="s">
        <v>63</v>
      </c>
      <c r="AL780" t="s">
        <v>63</v>
      </c>
      <c r="AM780" t="s">
        <v>7000</v>
      </c>
      <c r="AN780" t="s">
        <v>63</v>
      </c>
      <c r="AO780" t="s">
        <v>63</v>
      </c>
      <c r="AP780" t="s">
        <v>63</v>
      </c>
      <c r="AQ780" t="s">
        <v>63</v>
      </c>
      <c r="AR780" t="s">
        <v>63</v>
      </c>
      <c r="AS780" t="s">
        <v>63</v>
      </c>
      <c r="AT780" t="s">
        <v>63</v>
      </c>
      <c r="AU780" t="s">
        <v>63</v>
      </c>
      <c r="AV780" t="s">
        <v>63</v>
      </c>
      <c r="AW780" t="s">
        <v>63</v>
      </c>
      <c r="AX780" t="s">
        <v>63</v>
      </c>
      <c r="AY780" t="s">
        <v>63</v>
      </c>
      <c r="AZ780" t="s">
        <v>63</v>
      </c>
      <c r="BA780" t="s">
        <v>63</v>
      </c>
      <c r="BB780" t="s">
        <v>63</v>
      </c>
      <c r="BC780" t="s">
        <v>63</v>
      </c>
      <c r="BD780" t="s">
        <v>63</v>
      </c>
      <c r="BE780" t="s">
        <v>63</v>
      </c>
      <c r="BF780" t="s">
        <v>63</v>
      </c>
    </row>
    <row r="781" spans="1:58">
      <c r="A781" t="s">
        <v>58</v>
      </c>
      <c r="B781" t="s">
        <v>7001</v>
      </c>
      <c r="C781" t="s">
        <v>7002</v>
      </c>
      <c r="D781" t="s">
        <v>180</v>
      </c>
      <c r="E781" t="s">
        <v>63</v>
      </c>
      <c r="F781">
        <v>1999</v>
      </c>
      <c r="G781" t="s">
        <v>908</v>
      </c>
      <c r="H781">
        <v>34</v>
      </c>
      <c r="I781">
        <v>4</v>
      </c>
      <c r="J781">
        <v>559</v>
      </c>
      <c r="K781">
        <v>566</v>
      </c>
      <c r="L781" t="s">
        <v>7003</v>
      </c>
      <c r="M781" t="s">
        <v>7004</v>
      </c>
      <c r="N781" t="s">
        <v>7005</v>
      </c>
      <c r="O781" t="s">
        <v>63</v>
      </c>
      <c r="Q781" t="s">
        <v>63</v>
      </c>
      <c r="R781" t="s">
        <v>63</v>
      </c>
      <c r="S781" t="s">
        <v>63</v>
      </c>
      <c r="T781" t="s">
        <v>63</v>
      </c>
      <c r="X781" t="s">
        <v>63</v>
      </c>
      <c r="Y781" t="s">
        <v>185</v>
      </c>
      <c r="Z781" t="s">
        <v>63</v>
      </c>
      <c r="AA781" t="s">
        <v>7006</v>
      </c>
      <c r="AB781">
        <v>10456584</v>
      </c>
      <c r="AC781" t="s">
        <v>67</v>
      </c>
      <c r="AD781" t="s">
        <v>63</v>
      </c>
      <c r="AE781" t="s">
        <v>63</v>
      </c>
      <c r="AF781" t="s">
        <v>63</v>
      </c>
      <c r="AG781" t="s">
        <v>7007</v>
      </c>
      <c r="AH781" t="s">
        <v>63</v>
      </c>
      <c r="AI781" t="s">
        <v>63</v>
      </c>
      <c r="AJ781" t="s">
        <v>63</v>
      </c>
      <c r="AK781" t="s">
        <v>63</v>
      </c>
      <c r="AL781" t="s">
        <v>63</v>
      </c>
      <c r="AM781" t="s">
        <v>7008</v>
      </c>
      <c r="AN781" t="s">
        <v>63</v>
      </c>
      <c r="AO781" t="s">
        <v>63</v>
      </c>
      <c r="AP781" t="s">
        <v>63</v>
      </c>
      <c r="AQ781" t="s">
        <v>63</v>
      </c>
      <c r="AR781" t="s">
        <v>63</v>
      </c>
      <c r="AS781" t="s">
        <v>63</v>
      </c>
      <c r="AT781" t="s">
        <v>63</v>
      </c>
      <c r="AU781" t="s">
        <v>63</v>
      </c>
      <c r="AV781" t="s">
        <v>63</v>
      </c>
      <c r="AW781" t="s">
        <v>63</v>
      </c>
      <c r="AX781" t="s">
        <v>63</v>
      </c>
      <c r="AY781" t="s">
        <v>63</v>
      </c>
      <c r="AZ781" t="s">
        <v>63</v>
      </c>
      <c r="BA781" t="s">
        <v>63</v>
      </c>
      <c r="BB781" t="s">
        <v>63</v>
      </c>
      <c r="BC781" t="s">
        <v>63</v>
      </c>
      <c r="BD781" t="s">
        <v>63</v>
      </c>
      <c r="BE781" t="s">
        <v>63</v>
      </c>
      <c r="BF781" t="s">
        <v>63</v>
      </c>
    </row>
    <row r="782" spans="1:58">
      <c r="A782" t="s">
        <v>58</v>
      </c>
      <c r="B782" t="s">
        <v>7009</v>
      </c>
      <c r="C782" t="s">
        <v>7010</v>
      </c>
      <c r="D782" t="s">
        <v>7011</v>
      </c>
      <c r="E782" t="s">
        <v>7012</v>
      </c>
      <c r="F782">
        <v>2011</v>
      </c>
      <c r="G782" t="s">
        <v>908</v>
      </c>
      <c r="H782">
        <v>52</v>
      </c>
      <c r="I782">
        <v>4</v>
      </c>
      <c r="J782">
        <v>378</v>
      </c>
      <c r="K782">
        <v>385</v>
      </c>
      <c r="L782" t="s">
        <v>7013</v>
      </c>
      <c r="M782" t="s">
        <v>7014</v>
      </c>
      <c r="N782" t="s">
        <v>7015</v>
      </c>
      <c r="O782" t="s">
        <v>63</v>
      </c>
      <c r="Q782" t="s">
        <v>63</v>
      </c>
      <c r="R782" t="s">
        <v>63</v>
      </c>
      <c r="S782" t="s">
        <v>63</v>
      </c>
      <c r="T782" t="s">
        <v>63</v>
      </c>
      <c r="X782" t="s">
        <v>63</v>
      </c>
      <c r="Y782" t="s">
        <v>7016</v>
      </c>
      <c r="Z782" t="s">
        <v>63</v>
      </c>
      <c r="AA782" t="s">
        <v>7017</v>
      </c>
      <c r="AB782">
        <v>21683175</v>
      </c>
      <c r="AC782" t="s">
        <v>67</v>
      </c>
      <c r="AD782" t="s">
        <v>63</v>
      </c>
      <c r="AE782" t="s">
        <v>63</v>
      </c>
      <c r="AF782" t="s">
        <v>63</v>
      </c>
      <c r="AG782" t="s">
        <v>7018</v>
      </c>
      <c r="AH782" t="s">
        <v>63</v>
      </c>
      <c r="AI782" t="s">
        <v>7019</v>
      </c>
      <c r="AJ782" t="s">
        <v>63</v>
      </c>
      <c r="AK782" t="s">
        <v>63</v>
      </c>
      <c r="AL782" t="s">
        <v>63</v>
      </c>
      <c r="AM782" t="s">
        <v>7020</v>
      </c>
      <c r="AN782" t="s">
        <v>63</v>
      </c>
      <c r="AO782" t="s">
        <v>63</v>
      </c>
      <c r="AP782" t="s">
        <v>63</v>
      </c>
      <c r="AQ782" t="s">
        <v>63</v>
      </c>
      <c r="AR782" t="s">
        <v>63</v>
      </c>
      <c r="AS782" t="s">
        <v>63</v>
      </c>
      <c r="AT782" t="s">
        <v>63</v>
      </c>
      <c r="AU782" t="s">
        <v>63</v>
      </c>
      <c r="AV782" t="s">
        <v>63</v>
      </c>
      <c r="AW782" t="s">
        <v>63</v>
      </c>
      <c r="AX782" t="s">
        <v>63</v>
      </c>
      <c r="AY782" t="s">
        <v>63</v>
      </c>
      <c r="AZ782" t="s">
        <v>63</v>
      </c>
      <c r="BA782" t="s">
        <v>63</v>
      </c>
      <c r="BB782" t="s">
        <v>63</v>
      </c>
      <c r="BC782" t="s">
        <v>63</v>
      </c>
      <c r="BD782" t="s">
        <v>63</v>
      </c>
      <c r="BE782" t="s">
        <v>63</v>
      </c>
      <c r="BF782" t="s">
        <v>63</v>
      </c>
    </row>
    <row r="783" spans="1:58">
      <c r="A783" t="s">
        <v>58</v>
      </c>
      <c r="B783" t="s">
        <v>7021</v>
      </c>
      <c r="C783" t="s">
        <v>7022</v>
      </c>
      <c r="D783" t="s">
        <v>325</v>
      </c>
      <c r="E783" t="s">
        <v>63</v>
      </c>
      <c r="F783">
        <v>2013</v>
      </c>
      <c r="G783" s="1">
        <v>41759</v>
      </c>
      <c r="H783">
        <v>37</v>
      </c>
      <c r="I783">
        <v>3</v>
      </c>
      <c r="J783">
        <v>165</v>
      </c>
      <c r="K783">
        <v>170</v>
      </c>
      <c r="L783" t="s">
        <v>7023</v>
      </c>
      <c r="M783" t="s">
        <v>7024</v>
      </c>
      <c r="N783" t="s">
        <v>7025</v>
      </c>
      <c r="O783" t="s">
        <v>63</v>
      </c>
      <c r="Q783" t="s">
        <v>63</v>
      </c>
      <c r="R783" t="s">
        <v>63</v>
      </c>
      <c r="S783" t="s">
        <v>63</v>
      </c>
      <c r="T783" t="s">
        <v>63</v>
      </c>
      <c r="X783" t="s">
        <v>63</v>
      </c>
      <c r="Y783" t="s">
        <v>330</v>
      </c>
      <c r="Z783" t="s">
        <v>63</v>
      </c>
      <c r="AA783" t="s">
        <v>7026</v>
      </c>
      <c r="AB783">
        <v>23632924</v>
      </c>
      <c r="AC783" t="s">
        <v>67</v>
      </c>
      <c r="AD783" t="s">
        <v>63</v>
      </c>
      <c r="AE783" t="s">
        <v>63</v>
      </c>
      <c r="AF783" t="s">
        <v>63</v>
      </c>
      <c r="AG783" t="s">
        <v>7027</v>
      </c>
      <c r="AH783" t="s">
        <v>63</v>
      </c>
      <c r="AI783" t="s">
        <v>7028</v>
      </c>
      <c r="AJ783" t="s">
        <v>63</v>
      </c>
      <c r="AK783" t="s">
        <v>63</v>
      </c>
      <c r="AL783" t="s">
        <v>63</v>
      </c>
      <c r="AM783" t="s">
        <v>7029</v>
      </c>
      <c r="AN783" t="s">
        <v>63</v>
      </c>
      <c r="AO783" t="s">
        <v>63</v>
      </c>
      <c r="AP783" t="s">
        <v>63</v>
      </c>
      <c r="AQ783" t="s">
        <v>63</v>
      </c>
      <c r="AR783" t="s">
        <v>63</v>
      </c>
      <c r="AS783" t="s">
        <v>63</v>
      </c>
      <c r="AT783" t="s">
        <v>63</v>
      </c>
      <c r="AU783" t="s">
        <v>63</v>
      </c>
      <c r="AV783" t="s">
        <v>63</v>
      </c>
      <c r="AW783" t="s">
        <v>63</v>
      </c>
      <c r="AX783" t="s">
        <v>63</v>
      </c>
      <c r="AY783" t="s">
        <v>63</v>
      </c>
      <c r="AZ783" t="s">
        <v>63</v>
      </c>
      <c r="BA783" t="s">
        <v>63</v>
      </c>
      <c r="BB783" t="s">
        <v>63</v>
      </c>
      <c r="BC783" t="s">
        <v>63</v>
      </c>
      <c r="BD783" t="s">
        <v>63</v>
      </c>
      <c r="BE783" t="s">
        <v>63</v>
      </c>
      <c r="BF783" t="s">
        <v>63</v>
      </c>
    </row>
    <row r="784" spans="1:58">
      <c r="A784" t="s">
        <v>58</v>
      </c>
      <c r="B784" t="s">
        <v>7030</v>
      </c>
      <c r="C784" t="s">
        <v>7031</v>
      </c>
      <c r="D784" t="s">
        <v>938</v>
      </c>
      <c r="E784" t="s">
        <v>63</v>
      </c>
      <c r="F784">
        <v>2001</v>
      </c>
      <c r="G784" t="s">
        <v>63</v>
      </c>
      <c r="H784">
        <v>10</v>
      </c>
      <c r="I784">
        <v>1</v>
      </c>
      <c r="J784">
        <v>40</v>
      </c>
      <c r="K784">
        <v>47</v>
      </c>
      <c r="L784" t="s">
        <v>7032</v>
      </c>
      <c r="M784" t="s">
        <v>7033</v>
      </c>
      <c r="N784" t="s">
        <v>7034</v>
      </c>
      <c r="O784" t="s">
        <v>63</v>
      </c>
      <c r="Q784" t="s">
        <v>63</v>
      </c>
      <c r="R784" t="s">
        <v>63</v>
      </c>
      <c r="S784" t="s">
        <v>63</v>
      </c>
      <c r="T784" t="s">
        <v>63</v>
      </c>
      <c r="X784" t="s">
        <v>63</v>
      </c>
      <c r="Y784" t="s">
        <v>2500</v>
      </c>
      <c r="Z784" t="s">
        <v>63</v>
      </c>
      <c r="AA784" t="s">
        <v>7035</v>
      </c>
      <c r="AB784">
        <v>11268827</v>
      </c>
      <c r="AC784" t="s">
        <v>67</v>
      </c>
      <c r="AD784" t="s">
        <v>63</v>
      </c>
      <c r="AE784" t="s">
        <v>63</v>
      </c>
      <c r="AF784" t="s">
        <v>63</v>
      </c>
      <c r="AG784" t="s">
        <v>7036</v>
      </c>
      <c r="AH784" t="s">
        <v>63</v>
      </c>
      <c r="AI784" t="s">
        <v>63</v>
      </c>
      <c r="AJ784" t="s">
        <v>63</v>
      </c>
      <c r="AK784" t="s">
        <v>63</v>
      </c>
      <c r="AL784" t="s">
        <v>63</v>
      </c>
      <c r="AM784" t="s">
        <v>7037</v>
      </c>
      <c r="AN784" t="s">
        <v>63</v>
      </c>
      <c r="AO784" t="s">
        <v>63</v>
      </c>
      <c r="AP784" t="s">
        <v>63</v>
      </c>
      <c r="AQ784" t="s">
        <v>63</v>
      </c>
      <c r="AR784" t="s">
        <v>63</v>
      </c>
      <c r="AS784" t="s">
        <v>63</v>
      </c>
      <c r="AT784" t="s">
        <v>63</v>
      </c>
      <c r="AU784" t="s">
        <v>63</v>
      </c>
      <c r="AV784" t="s">
        <v>63</v>
      </c>
      <c r="AW784" t="s">
        <v>63</v>
      </c>
      <c r="AX784" t="s">
        <v>63</v>
      </c>
      <c r="AY784" t="s">
        <v>63</v>
      </c>
      <c r="AZ784" t="s">
        <v>63</v>
      </c>
      <c r="BA784" t="s">
        <v>63</v>
      </c>
      <c r="BB784" t="s">
        <v>63</v>
      </c>
      <c r="BC784" t="s">
        <v>63</v>
      </c>
      <c r="BD784" t="s">
        <v>63</v>
      </c>
      <c r="BE784" t="s">
        <v>63</v>
      </c>
      <c r="BF784" t="s">
        <v>63</v>
      </c>
    </row>
    <row r="785" spans="1:58">
      <c r="A785" t="s">
        <v>58</v>
      </c>
      <c r="B785" t="s">
        <v>7038</v>
      </c>
      <c r="C785" t="s">
        <v>7039</v>
      </c>
      <c r="D785" t="s">
        <v>938</v>
      </c>
      <c r="E785" t="s">
        <v>63</v>
      </c>
      <c r="F785">
        <v>2014</v>
      </c>
      <c r="G785" t="s">
        <v>1717</v>
      </c>
      <c r="H785">
        <v>23</v>
      </c>
      <c r="I785">
        <v>6</v>
      </c>
      <c r="J785">
        <v>576</v>
      </c>
      <c r="K785">
        <v>581</v>
      </c>
      <c r="L785" t="s">
        <v>7040</v>
      </c>
      <c r="M785" t="s">
        <v>7041</v>
      </c>
      <c r="N785" t="s">
        <v>7042</v>
      </c>
      <c r="O785" t="s">
        <v>63</v>
      </c>
      <c r="Q785" t="s">
        <v>63</v>
      </c>
      <c r="R785" t="s">
        <v>63</v>
      </c>
      <c r="S785" t="s">
        <v>63</v>
      </c>
      <c r="T785" t="s">
        <v>63</v>
      </c>
      <c r="X785" t="s">
        <v>63</v>
      </c>
      <c r="Y785" t="s">
        <v>942</v>
      </c>
      <c r="Z785" t="s">
        <v>63</v>
      </c>
      <c r="AA785" t="s">
        <v>7043</v>
      </c>
      <c r="AB785">
        <v>25065389</v>
      </c>
      <c r="AC785" t="s">
        <v>67</v>
      </c>
      <c r="AD785" t="s">
        <v>63</v>
      </c>
      <c r="AE785" t="s">
        <v>63</v>
      </c>
      <c r="AF785" t="s">
        <v>63</v>
      </c>
      <c r="AG785" t="s">
        <v>7044</v>
      </c>
      <c r="AH785" t="s">
        <v>63</v>
      </c>
      <c r="AI785" t="s">
        <v>7045</v>
      </c>
      <c r="AJ785" t="s">
        <v>63</v>
      </c>
      <c r="AK785" t="s">
        <v>63</v>
      </c>
      <c r="AL785" t="s">
        <v>63</v>
      </c>
      <c r="AM785" t="s">
        <v>7046</v>
      </c>
      <c r="AN785" t="s">
        <v>63</v>
      </c>
      <c r="AO785" t="s">
        <v>63</v>
      </c>
      <c r="AP785" t="s">
        <v>63</v>
      </c>
      <c r="AQ785" t="s">
        <v>63</v>
      </c>
      <c r="AR785" t="s">
        <v>63</v>
      </c>
      <c r="AS785" t="s">
        <v>63</v>
      </c>
      <c r="AT785" t="s">
        <v>63</v>
      </c>
      <c r="AU785" t="s">
        <v>63</v>
      </c>
      <c r="AV785" t="s">
        <v>63</v>
      </c>
      <c r="AW785" t="s">
        <v>63</v>
      </c>
      <c r="AX785" t="s">
        <v>63</v>
      </c>
      <c r="AY785" t="s">
        <v>63</v>
      </c>
      <c r="AZ785" t="s">
        <v>63</v>
      </c>
      <c r="BA785" t="s">
        <v>63</v>
      </c>
      <c r="BB785" t="s">
        <v>63</v>
      </c>
      <c r="BC785" t="s">
        <v>63</v>
      </c>
      <c r="BD785" t="s">
        <v>63</v>
      </c>
      <c r="BE785" t="s">
        <v>63</v>
      </c>
      <c r="BF785" t="s">
        <v>63</v>
      </c>
    </row>
    <row r="786" spans="1:58">
      <c r="A786" t="s">
        <v>58</v>
      </c>
      <c r="B786" t="s">
        <v>7047</v>
      </c>
      <c r="C786" t="s">
        <v>7048</v>
      </c>
      <c r="D786" t="s">
        <v>1293</v>
      </c>
      <c r="E786" t="s">
        <v>1294</v>
      </c>
      <c r="F786">
        <v>1989</v>
      </c>
      <c r="G786" t="s">
        <v>147</v>
      </c>
      <c r="H786">
        <v>21</v>
      </c>
      <c r="I786">
        <v>2</v>
      </c>
      <c r="J786">
        <v>146</v>
      </c>
      <c r="K786">
        <v>147</v>
      </c>
      <c r="L786" t="s">
        <v>7049</v>
      </c>
      <c r="M786" t="s">
        <v>7050</v>
      </c>
      <c r="N786" t="s">
        <v>7051</v>
      </c>
      <c r="O786" t="s">
        <v>63</v>
      </c>
      <c r="Q786" t="s">
        <v>63</v>
      </c>
      <c r="R786" t="s">
        <v>63</v>
      </c>
      <c r="S786" t="s">
        <v>63</v>
      </c>
      <c r="T786" t="s">
        <v>63</v>
      </c>
      <c r="X786" t="s">
        <v>63</v>
      </c>
      <c r="Y786" t="s">
        <v>1297</v>
      </c>
      <c r="Z786" t="s">
        <v>63</v>
      </c>
      <c r="AA786" t="s">
        <v>7052</v>
      </c>
      <c r="AB786">
        <v>2925031</v>
      </c>
      <c r="AC786" t="s">
        <v>67</v>
      </c>
      <c r="AD786" t="s">
        <v>63</v>
      </c>
      <c r="AE786" t="s">
        <v>63</v>
      </c>
      <c r="AF786" t="s">
        <v>63</v>
      </c>
      <c r="AG786" t="s">
        <v>7053</v>
      </c>
      <c r="AH786" t="s">
        <v>63</v>
      </c>
      <c r="AI786" t="s">
        <v>63</v>
      </c>
      <c r="AJ786" t="s">
        <v>63</v>
      </c>
      <c r="AK786" t="s">
        <v>63</v>
      </c>
      <c r="AL786" t="s">
        <v>63</v>
      </c>
      <c r="AM786" t="s">
        <v>7054</v>
      </c>
      <c r="AN786" t="s">
        <v>63</v>
      </c>
      <c r="AO786" t="s">
        <v>63</v>
      </c>
      <c r="AP786" t="s">
        <v>63</v>
      </c>
      <c r="AQ786" t="s">
        <v>63</v>
      </c>
      <c r="AR786" t="s">
        <v>63</v>
      </c>
      <c r="AS786" t="s">
        <v>63</v>
      </c>
      <c r="AT786" t="s">
        <v>63</v>
      </c>
      <c r="AU786" t="s">
        <v>63</v>
      </c>
      <c r="AV786" t="s">
        <v>63</v>
      </c>
      <c r="AW786" t="s">
        <v>63</v>
      </c>
      <c r="AX786" t="s">
        <v>63</v>
      </c>
      <c r="AY786" t="s">
        <v>63</v>
      </c>
      <c r="AZ786" t="s">
        <v>63</v>
      </c>
      <c r="BA786" t="s">
        <v>63</v>
      </c>
      <c r="BB786" t="s">
        <v>63</v>
      </c>
      <c r="BC786" t="s">
        <v>63</v>
      </c>
      <c r="BD786" t="s">
        <v>63</v>
      </c>
      <c r="BE786" t="s">
        <v>63</v>
      </c>
      <c r="BF786" t="s">
        <v>63</v>
      </c>
    </row>
    <row r="787" spans="1:58">
      <c r="A787" t="s">
        <v>58</v>
      </c>
      <c r="B787" t="s">
        <v>7055</v>
      </c>
      <c r="C787" t="s">
        <v>7056</v>
      </c>
      <c r="D787" t="s">
        <v>2353</v>
      </c>
      <c r="E787" t="s">
        <v>2354</v>
      </c>
      <c r="F787">
        <v>1998</v>
      </c>
      <c r="G787" t="s">
        <v>623</v>
      </c>
      <c r="H787">
        <v>15</v>
      </c>
      <c r="I787">
        <v>1</v>
      </c>
      <c r="J787">
        <v>43</v>
      </c>
      <c r="K787">
        <v>53</v>
      </c>
      <c r="L787" t="s">
        <v>7057</v>
      </c>
      <c r="M787" t="s">
        <v>7058</v>
      </c>
      <c r="N787" t="s">
        <v>7059</v>
      </c>
      <c r="O787" t="s">
        <v>63</v>
      </c>
      <c r="Q787" t="s">
        <v>63</v>
      </c>
      <c r="R787" t="s">
        <v>63</v>
      </c>
      <c r="S787" t="s">
        <v>63</v>
      </c>
      <c r="T787" t="s">
        <v>63</v>
      </c>
      <c r="X787" t="s">
        <v>63</v>
      </c>
      <c r="Y787" t="s">
        <v>2358</v>
      </c>
      <c r="Z787" t="s">
        <v>63</v>
      </c>
      <c r="AA787" t="s">
        <v>7060</v>
      </c>
      <c r="AB787">
        <v>9534126</v>
      </c>
      <c r="AC787" t="s">
        <v>67</v>
      </c>
      <c r="AD787" t="s">
        <v>63</v>
      </c>
      <c r="AE787" t="s">
        <v>63</v>
      </c>
      <c r="AF787" t="s">
        <v>63</v>
      </c>
      <c r="AG787" t="s">
        <v>7061</v>
      </c>
      <c r="AH787" t="s">
        <v>63</v>
      </c>
      <c r="AI787" t="s">
        <v>63</v>
      </c>
      <c r="AJ787" t="s">
        <v>63</v>
      </c>
      <c r="AK787" t="s">
        <v>63</v>
      </c>
      <c r="AL787" t="s">
        <v>63</v>
      </c>
      <c r="AM787" t="s">
        <v>7062</v>
      </c>
      <c r="AN787" t="s">
        <v>63</v>
      </c>
      <c r="AO787" t="s">
        <v>63</v>
      </c>
      <c r="AP787" t="s">
        <v>63</v>
      </c>
      <c r="AQ787" t="s">
        <v>63</v>
      </c>
      <c r="AR787" t="s">
        <v>63</v>
      </c>
      <c r="AS787" t="s">
        <v>63</v>
      </c>
      <c r="AT787" t="s">
        <v>63</v>
      </c>
      <c r="AU787" t="s">
        <v>63</v>
      </c>
      <c r="AV787" t="s">
        <v>63</v>
      </c>
      <c r="AW787" t="s">
        <v>63</v>
      </c>
      <c r="AX787" t="s">
        <v>63</v>
      </c>
      <c r="AY787" t="s">
        <v>63</v>
      </c>
      <c r="AZ787" t="s">
        <v>63</v>
      </c>
      <c r="BA787" t="s">
        <v>63</v>
      </c>
      <c r="BB787" t="s">
        <v>63</v>
      </c>
      <c r="BC787" t="s">
        <v>63</v>
      </c>
      <c r="BD787" t="s">
        <v>63</v>
      </c>
      <c r="BE787" t="s">
        <v>63</v>
      </c>
      <c r="BF787" t="s">
        <v>63</v>
      </c>
    </row>
    <row r="788" spans="1:58">
      <c r="A788" t="s">
        <v>58</v>
      </c>
      <c r="B788" t="s">
        <v>7063</v>
      </c>
      <c r="C788" t="s">
        <v>7064</v>
      </c>
      <c r="D788" t="s">
        <v>325</v>
      </c>
      <c r="E788" t="s">
        <v>63</v>
      </c>
      <c r="F788">
        <v>2016</v>
      </c>
      <c r="G788" t="s">
        <v>73</v>
      </c>
      <c r="H788">
        <v>40</v>
      </c>
      <c r="I788">
        <v>3</v>
      </c>
      <c r="J788">
        <v>468</v>
      </c>
      <c r="K788">
        <v>474</v>
      </c>
      <c r="L788" t="s">
        <v>7065</v>
      </c>
      <c r="M788" t="s">
        <v>7066</v>
      </c>
      <c r="N788" t="s">
        <v>7067</v>
      </c>
      <c r="O788" t="s">
        <v>63</v>
      </c>
      <c r="Q788" t="s">
        <v>63</v>
      </c>
      <c r="R788" t="s">
        <v>63</v>
      </c>
      <c r="S788" t="s">
        <v>63</v>
      </c>
      <c r="T788" t="s">
        <v>63</v>
      </c>
      <c r="X788" t="s">
        <v>63</v>
      </c>
      <c r="Y788" t="s">
        <v>330</v>
      </c>
      <c r="Z788" t="s">
        <v>63</v>
      </c>
      <c r="AA788" t="s">
        <v>7068</v>
      </c>
      <c r="AB788">
        <v>26108396</v>
      </c>
      <c r="AC788" t="s">
        <v>67</v>
      </c>
      <c r="AD788" t="s">
        <v>63</v>
      </c>
      <c r="AE788" t="s">
        <v>63</v>
      </c>
      <c r="AF788" t="s">
        <v>63</v>
      </c>
      <c r="AG788" t="s">
        <v>7069</v>
      </c>
      <c r="AH788" t="s">
        <v>63</v>
      </c>
      <c r="AI788" t="s">
        <v>7070</v>
      </c>
      <c r="AJ788" t="s">
        <v>63</v>
      </c>
      <c r="AK788" t="s">
        <v>63</v>
      </c>
      <c r="AL788" t="s">
        <v>63</v>
      </c>
      <c r="AM788" t="s">
        <v>7071</v>
      </c>
      <c r="AN788" t="s">
        <v>63</v>
      </c>
      <c r="AO788" t="s">
        <v>63</v>
      </c>
      <c r="AP788" t="s">
        <v>63</v>
      </c>
      <c r="AQ788" t="s">
        <v>63</v>
      </c>
      <c r="AR788" t="s">
        <v>63</v>
      </c>
      <c r="AS788" t="s">
        <v>63</v>
      </c>
      <c r="AT788" t="s">
        <v>63</v>
      </c>
      <c r="AU788" t="s">
        <v>63</v>
      </c>
      <c r="AV788" t="s">
        <v>63</v>
      </c>
      <c r="AW788" t="s">
        <v>63</v>
      </c>
      <c r="AX788" t="s">
        <v>63</v>
      </c>
      <c r="AY788" t="s">
        <v>63</v>
      </c>
      <c r="AZ788" t="s">
        <v>63</v>
      </c>
      <c r="BA788" t="s">
        <v>63</v>
      </c>
      <c r="BB788" t="s">
        <v>63</v>
      </c>
      <c r="BC788" t="s">
        <v>63</v>
      </c>
      <c r="BD788" t="s">
        <v>63</v>
      </c>
      <c r="BE788" t="s">
        <v>63</v>
      </c>
      <c r="BF788" t="s">
        <v>63</v>
      </c>
    </row>
    <row r="789" spans="1:58">
      <c r="A789" t="s">
        <v>58</v>
      </c>
      <c r="B789" t="s">
        <v>7072</v>
      </c>
      <c r="C789" t="s">
        <v>7073</v>
      </c>
      <c r="D789" t="s">
        <v>7074</v>
      </c>
      <c r="E789" t="s">
        <v>63</v>
      </c>
      <c r="F789">
        <v>2005</v>
      </c>
      <c r="G789" t="s">
        <v>1670</v>
      </c>
      <c r="H789">
        <v>60</v>
      </c>
      <c r="I789">
        <v>3</v>
      </c>
      <c r="J789">
        <v>355</v>
      </c>
      <c r="K789">
        <v>361</v>
      </c>
      <c r="L789" t="s">
        <v>7075</v>
      </c>
      <c r="M789" t="s">
        <v>7076</v>
      </c>
      <c r="N789" t="s">
        <v>7077</v>
      </c>
      <c r="O789" t="s">
        <v>63</v>
      </c>
      <c r="Q789" t="s">
        <v>63</v>
      </c>
      <c r="R789" t="s">
        <v>63</v>
      </c>
      <c r="S789" t="s">
        <v>63</v>
      </c>
      <c r="T789" t="s">
        <v>63</v>
      </c>
      <c r="X789" t="s">
        <v>63</v>
      </c>
      <c r="Y789" t="s">
        <v>7078</v>
      </c>
      <c r="Z789" t="s">
        <v>63</v>
      </c>
      <c r="AA789" t="s">
        <v>7079</v>
      </c>
      <c r="AB789">
        <v>16130910</v>
      </c>
      <c r="AC789" t="s">
        <v>4810</v>
      </c>
      <c r="AD789" t="s">
        <v>63</v>
      </c>
      <c r="AE789" t="s">
        <v>63</v>
      </c>
      <c r="AF789" t="s">
        <v>63</v>
      </c>
      <c r="AG789" t="s">
        <v>7080</v>
      </c>
      <c r="AH789" t="s">
        <v>63</v>
      </c>
      <c r="AI789" t="s">
        <v>63</v>
      </c>
      <c r="AJ789" t="s">
        <v>63</v>
      </c>
      <c r="AK789" t="s">
        <v>63</v>
      </c>
      <c r="AL789" t="s">
        <v>63</v>
      </c>
      <c r="AM789" t="s">
        <v>7081</v>
      </c>
      <c r="AN789" t="s">
        <v>63</v>
      </c>
      <c r="AO789" t="s">
        <v>63</v>
      </c>
      <c r="AP789" t="s">
        <v>63</v>
      </c>
      <c r="AQ789" t="s">
        <v>63</v>
      </c>
      <c r="AR789" t="s">
        <v>63</v>
      </c>
      <c r="AS789" t="s">
        <v>63</v>
      </c>
      <c r="AT789" t="s">
        <v>63</v>
      </c>
      <c r="AU789" t="s">
        <v>63</v>
      </c>
      <c r="AV789" t="s">
        <v>63</v>
      </c>
      <c r="AW789" t="s">
        <v>63</v>
      </c>
      <c r="AX789" t="s">
        <v>63</v>
      </c>
      <c r="AY789" t="s">
        <v>63</v>
      </c>
      <c r="AZ789" t="s">
        <v>63</v>
      </c>
      <c r="BA789" t="s">
        <v>63</v>
      </c>
      <c r="BB789" t="s">
        <v>63</v>
      </c>
      <c r="BC789" t="s">
        <v>63</v>
      </c>
      <c r="BD789" t="s">
        <v>63</v>
      </c>
      <c r="BE789" t="s">
        <v>63</v>
      </c>
      <c r="BF789" t="s">
        <v>63</v>
      </c>
    </row>
    <row r="790" spans="1:58">
      <c r="A790" t="s">
        <v>58</v>
      </c>
      <c r="B790" t="s">
        <v>7082</v>
      </c>
      <c r="C790" t="s">
        <v>7083</v>
      </c>
      <c r="D790" t="s">
        <v>349</v>
      </c>
      <c r="E790" t="s">
        <v>350</v>
      </c>
      <c r="F790">
        <v>1998</v>
      </c>
      <c r="G790" t="s">
        <v>614</v>
      </c>
      <c r="H790">
        <v>15</v>
      </c>
      <c r="I790">
        <v>2</v>
      </c>
      <c r="J790">
        <v>160</v>
      </c>
      <c r="K790">
        <v>162</v>
      </c>
      <c r="L790" t="s">
        <v>7084</v>
      </c>
      <c r="M790" t="s">
        <v>63</v>
      </c>
      <c r="N790" t="s">
        <v>7085</v>
      </c>
      <c r="O790" t="s">
        <v>63</v>
      </c>
      <c r="Q790" t="s">
        <v>63</v>
      </c>
      <c r="R790" t="s">
        <v>63</v>
      </c>
      <c r="S790" t="s">
        <v>63</v>
      </c>
      <c r="T790" t="s">
        <v>63</v>
      </c>
      <c r="X790" t="s">
        <v>63</v>
      </c>
      <c r="Y790" t="s">
        <v>354</v>
      </c>
      <c r="Z790" t="s">
        <v>63</v>
      </c>
      <c r="AA790" t="s">
        <v>7086</v>
      </c>
      <c r="AB790">
        <v>9713673</v>
      </c>
      <c r="AC790" t="s">
        <v>67</v>
      </c>
      <c r="AD790" t="s">
        <v>63</v>
      </c>
      <c r="AE790" t="s">
        <v>63</v>
      </c>
      <c r="AF790" t="s">
        <v>63</v>
      </c>
      <c r="AG790" t="s">
        <v>7087</v>
      </c>
      <c r="AH790" t="s">
        <v>63</v>
      </c>
      <c r="AI790" t="s">
        <v>63</v>
      </c>
      <c r="AJ790" t="s">
        <v>63</v>
      </c>
      <c r="AK790" t="s">
        <v>63</v>
      </c>
      <c r="AL790" t="s">
        <v>63</v>
      </c>
      <c r="AM790" t="s">
        <v>7088</v>
      </c>
      <c r="AN790" t="s">
        <v>63</v>
      </c>
      <c r="AO790" t="s">
        <v>63</v>
      </c>
      <c r="AP790" t="s">
        <v>63</v>
      </c>
      <c r="AQ790" t="s">
        <v>63</v>
      </c>
      <c r="AR790" t="s">
        <v>63</v>
      </c>
      <c r="AS790" t="s">
        <v>63</v>
      </c>
      <c r="AT790" t="s">
        <v>63</v>
      </c>
      <c r="AU790" t="s">
        <v>63</v>
      </c>
      <c r="AV790" t="s">
        <v>63</v>
      </c>
      <c r="AW790" t="s">
        <v>63</v>
      </c>
      <c r="AX790" t="s">
        <v>63</v>
      </c>
      <c r="AY790" t="s">
        <v>63</v>
      </c>
      <c r="AZ790" t="s">
        <v>63</v>
      </c>
      <c r="BA790" t="s">
        <v>63</v>
      </c>
      <c r="BB790" t="s">
        <v>63</v>
      </c>
      <c r="BC790" t="s">
        <v>63</v>
      </c>
      <c r="BD790" t="s">
        <v>63</v>
      </c>
      <c r="BE790" t="s">
        <v>63</v>
      </c>
      <c r="BF790" t="s">
        <v>63</v>
      </c>
    </row>
    <row r="791" spans="1:58">
      <c r="A791" t="s">
        <v>58</v>
      </c>
      <c r="B791" t="s">
        <v>7089</v>
      </c>
      <c r="C791" t="s">
        <v>7090</v>
      </c>
      <c r="D791" t="s">
        <v>2353</v>
      </c>
      <c r="E791" t="s">
        <v>2354</v>
      </c>
      <c r="F791">
        <v>1997</v>
      </c>
      <c r="G791" t="s">
        <v>147</v>
      </c>
      <c r="H791">
        <v>14</v>
      </c>
      <c r="I791">
        <v>2</v>
      </c>
      <c r="J791">
        <v>197</v>
      </c>
      <c r="K791">
        <v>198</v>
      </c>
      <c r="L791" t="s">
        <v>7091</v>
      </c>
      <c r="M791" t="s">
        <v>63</v>
      </c>
      <c r="N791" t="s">
        <v>7092</v>
      </c>
      <c r="O791" t="s">
        <v>63</v>
      </c>
      <c r="Q791" t="s">
        <v>63</v>
      </c>
      <c r="R791" t="s">
        <v>63</v>
      </c>
      <c r="S791" t="s">
        <v>63</v>
      </c>
      <c r="T791" t="s">
        <v>63</v>
      </c>
      <c r="X791" t="s">
        <v>63</v>
      </c>
      <c r="Y791" t="s">
        <v>2358</v>
      </c>
      <c r="Z791" t="s">
        <v>63</v>
      </c>
      <c r="AA791" t="s">
        <v>63</v>
      </c>
      <c r="AB791">
        <v>9258865</v>
      </c>
      <c r="AC791" t="s">
        <v>67</v>
      </c>
      <c r="AD791" t="s">
        <v>63</v>
      </c>
      <c r="AE791" t="s">
        <v>63</v>
      </c>
      <c r="AF791" t="s">
        <v>63</v>
      </c>
      <c r="AG791" t="s">
        <v>7093</v>
      </c>
      <c r="AH791" t="s">
        <v>63</v>
      </c>
      <c r="AI791" t="s">
        <v>63</v>
      </c>
      <c r="AJ791" t="s">
        <v>63</v>
      </c>
      <c r="AK791" t="s">
        <v>63</v>
      </c>
      <c r="AL791" t="s">
        <v>63</v>
      </c>
      <c r="AM791" t="s">
        <v>7094</v>
      </c>
      <c r="AN791" t="s">
        <v>63</v>
      </c>
      <c r="AO791" t="s">
        <v>63</v>
      </c>
      <c r="AP791" t="s">
        <v>63</v>
      </c>
      <c r="AQ791" t="s">
        <v>63</v>
      </c>
      <c r="AR791" t="s">
        <v>63</v>
      </c>
      <c r="AS791" t="s">
        <v>63</v>
      </c>
      <c r="AT791" t="s">
        <v>63</v>
      </c>
      <c r="AU791" t="s">
        <v>63</v>
      </c>
      <c r="AV791" t="s">
        <v>63</v>
      </c>
      <c r="AW791" t="s">
        <v>63</v>
      </c>
      <c r="AX791" t="s">
        <v>63</v>
      </c>
      <c r="AY791" t="s">
        <v>63</v>
      </c>
      <c r="AZ791" t="s">
        <v>63</v>
      </c>
      <c r="BA791" t="s">
        <v>63</v>
      </c>
      <c r="BB791" t="s">
        <v>63</v>
      </c>
      <c r="BC791" t="s">
        <v>63</v>
      </c>
      <c r="BD791" t="s">
        <v>63</v>
      </c>
      <c r="BE791" t="s">
        <v>63</v>
      </c>
      <c r="BF791" t="s">
        <v>63</v>
      </c>
    </row>
    <row r="792" spans="1:58">
      <c r="A792" t="s">
        <v>58</v>
      </c>
      <c r="B792" t="s">
        <v>7095</v>
      </c>
      <c r="C792" t="s">
        <v>7096</v>
      </c>
      <c r="D792" t="s">
        <v>5037</v>
      </c>
      <c r="E792" t="s">
        <v>5038</v>
      </c>
      <c r="F792">
        <v>2014</v>
      </c>
      <c r="G792" t="s">
        <v>614</v>
      </c>
      <c r="H792">
        <v>104</v>
      </c>
      <c r="I792">
        <v>8</v>
      </c>
      <c r="J792">
        <v>1356</v>
      </c>
      <c r="K792">
        <v>1362</v>
      </c>
      <c r="L792" t="s">
        <v>7097</v>
      </c>
      <c r="M792" t="s">
        <v>7098</v>
      </c>
      <c r="N792" t="s">
        <v>7099</v>
      </c>
      <c r="O792" t="s">
        <v>63</v>
      </c>
      <c r="Q792" t="s">
        <v>63</v>
      </c>
      <c r="R792" t="s">
        <v>63</v>
      </c>
      <c r="S792" t="s">
        <v>63</v>
      </c>
      <c r="T792" t="s">
        <v>63</v>
      </c>
      <c r="X792" t="s">
        <v>63</v>
      </c>
      <c r="Y792" t="s">
        <v>6281</v>
      </c>
      <c r="Z792" t="s">
        <v>63</v>
      </c>
      <c r="AA792" t="s">
        <v>7100</v>
      </c>
      <c r="AB792">
        <v>24922121</v>
      </c>
      <c r="AC792" t="s">
        <v>67</v>
      </c>
      <c r="AD792" t="s">
        <v>63</v>
      </c>
      <c r="AE792" t="s">
        <v>63</v>
      </c>
      <c r="AF792" t="s">
        <v>63</v>
      </c>
      <c r="AG792" t="s">
        <v>7101</v>
      </c>
      <c r="AH792" t="s">
        <v>63</v>
      </c>
      <c r="AI792" t="s">
        <v>7102</v>
      </c>
      <c r="AJ792" t="s">
        <v>63</v>
      </c>
      <c r="AK792" t="s">
        <v>63</v>
      </c>
      <c r="AL792" t="s">
        <v>63</v>
      </c>
      <c r="AM792" t="s">
        <v>7103</v>
      </c>
      <c r="AN792" t="s">
        <v>63</v>
      </c>
      <c r="AO792" t="s">
        <v>63</v>
      </c>
      <c r="AP792" t="s">
        <v>63</v>
      </c>
      <c r="AQ792" t="s">
        <v>63</v>
      </c>
      <c r="AR792" t="s">
        <v>63</v>
      </c>
      <c r="AS792" t="s">
        <v>63</v>
      </c>
      <c r="AT792" t="s">
        <v>63</v>
      </c>
      <c r="AU792" t="s">
        <v>63</v>
      </c>
      <c r="AV792" t="s">
        <v>63</v>
      </c>
      <c r="AW792" t="s">
        <v>63</v>
      </c>
      <c r="AX792" t="s">
        <v>63</v>
      </c>
      <c r="AY792" t="s">
        <v>63</v>
      </c>
      <c r="AZ792" t="s">
        <v>63</v>
      </c>
      <c r="BA792" t="s">
        <v>63</v>
      </c>
      <c r="BB792" t="s">
        <v>63</v>
      </c>
      <c r="BC792" t="s">
        <v>63</v>
      </c>
      <c r="BD792" t="s">
        <v>63</v>
      </c>
      <c r="BE792" t="s">
        <v>63</v>
      </c>
      <c r="BF792" t="s">
        <v>63</v>
      </c>
    </row>
    <row r="793" spans="1:58">
      <c r="A793" t="s">
        <v>58</v>
      </c>
      <c r="B793" t="s">
        <v>7104</v>
      </c>
      <c r="C793" t="s">
        <v>7105</v>
      </c>
      <c r="D793" t="s">
        <v>5037</v>
      </c>
      <c r="E793" t="s">
        <v>5038</v>
      </c>
      <c r="F793">
        <v>2016</v>
      </c>
      <c r="G793" t="s">
        <v>614</v>
      </c>
      <c r="H793">
        <v>106</v>
      </c>
      <c r="I793">
        <v>8</v>
      </c>
      <c r="J793">
        <v>1427</v>
      </c>
      <c r="K793">
        <v>1429</v>
      </c>
      <c r="L793" t="s">
        <v>7106</v>
      </c>
      <c r="M793" t="s">
        <v>7107</v>
      </c>
      <c r="N793" t="s">
        <v>7108</v>
      </c>
      <c r="O793" t="s">
        <v>63</v>
      </c>
      <c r="Q793" t="s">
        <v>63</v>
      </c>
      <c r="R793" t="s">
        <v>63</v>
      </c>
      <c r="S793" t="s">
        <v>63</v>
      </c>
      <c r="T793" t="s">
        <v>63</v>
      </c>
      <c r="X793" t="s">
        <v>63</v>
      </c>
      <c r="Y793" t="s">
        <v>6281</v>
      </c>
      <c r="Z793" t="s">
        <v>63</v>
      </c>
      <c r="AA793" t="s">
        <v>7109</v>
      </c>
      <c r="AB793">
        <v>27196642</v>
      </c>
      <c r="AC793" t="s">
        <v>67</v>
      </c>
      <c r="AD793" t="s">
        <v>63</v>
      </c>
      <c r="AE793" t="s">
        <v>63</v>
      </c>
      <c r="AF793" t="s">
        <v>63</v>
      </c>
      <c r="AG793" t="s">
        <v>7110</v>
      </c>
      <c r="AH793" t="s">
        <v>63</v>
      </c>
      <c r="AI793" t="s">
        <v>7111</v>
      </c>
      <c r="AJ793" t="s">
        <v>63</v>
      </c>
      <c r="AK793" t="s">
        <v>63</v>
      </c>
      <c r="AL793" t="s">
        <v>63</v>
      </c>
      <c r="AM793" t="s">
        <v>7112</v>
      </c>
      <c r="AN793" t="s">
        <v>63</v>
      </c>
      <c r="AO793" t="s">
        <v>63</v>
      </c>
      <c r="AP793" t="s">
        <v>63</v>
      </c>
      <c r="AQ793" t="s">
        <v>63</v>
      </c>
      <c r="AR793" t="s">
        <v>63</v>
      </c>
      <c r="AS793" t="s">
        <v>63</v>
      </c>
      <c r="AT793" t="s">
        <v>63</v>
      </c>
      <c r="AU793" t="s">
        <v>63</v>
      </c>
      <c r="AV793" t="s">
        <v>63</v>
      </c>
      <c r="AW793" t="s">
        <v>63</v>
      </c>
      <c r="AX793" t="s">
        <v>63</v>
      </c>
      <c r="AY793" t="s">
        <v>63</v>
      </c>
      <c r="AZ793" t="s">
        <v>63</v>
      </c>
      <c r="BA793" t="s">
        <v>63</v>
      </c>
      <c r="BB793" t="s">
        <v>63</v>
      </c>
      <c r="BC793" t="s">
        <v>63</v>
      </c>
      <c r="BD793" t="s">
        <v>63</v>
      </c>
      <c r="BE793" t="s">
        <v>63</v>
      </c>
      <c r="BF793" t="s">
        <v>63</v>
      </c>
    </row>
    <row r="794" spans="1:58">
      <c r="A794" t="s">
        <v>58</v>
      </c>
      <c r="B794" t="s">
        <v>7113</v>
      </c>
      <c r="C794" t="s">
        <v>7114</v>
      </c>
      <c r="D794" t="s">
        <v>7115</v>
      </c>
      <c r="E794" t="s">
        <v>7116</v>
      </c>
      <c r="F794">
        <v>2016</v>
      </c>
      <c r="G794">
        <v>12</v>
      </c>
      <c r="H794">
        <v>58</v>
      </c>
      <c r="I794" s="1">
        <v>41701</v>
      </c>
      <c r="J794">
        <v>348</v>
      </c>
      <c r="K794">
        <v>353</v>
      </c>
      <c r="L794" t="s">
        <v>7117</v>
      </c>
      <c r="M794" t="s">
        <v>7118</v>
      </c>
      <c r="N794" t="s">
        <v>7119</v>
      </c>
      <c r="O794" t="s">
        <v>63</v>
      </c>
      <c r="Q794" t="s">
        <v>63</v>
      </c>
      <c r="R794" t="s">
        <v>63</v>
      </c>
      <c r="S794" t="s">
        <v>63</v>
      </c>
      <c r="T794" t="s">
        <v>63</v>
      </c>
      <c r="X794" t="s">
        <v>63</v>
      </c>
      <c r="Y794" t="s">
        <v>7120</v>
      </c>
      <c r="Z794" t="s">
        <v>63</v>
      </c>
      <c r="AA794" t="s">
        <v>7121</v>
      </c>
      <c r="AB794">
        <v>27883198</v>
      </c>
      <c r="AC794" t="s">
        <v>67</v>
      </c>
      <c r="AD794" t="s">
        <v>63</v>
      </c>
      <c r="AE794" t="s">
        <v>63</v>
      </c>
      <c r="AF794" t="s">
        <v>63</v>
      </c>
      <c r="AG794" t="s">
        <v>7122</v>
      </c>
      <c r="AH794" t="s">
        <v>63</v>
      </c>
      <c r="AI794" t="s">
        <v>7123</v>
      </c>
      <c r="AJ794" t="s">
        <v>63</v>
      </c>
      <c r="AK794" t="s">
        <v>63</v>
      </c>
      <c r="AL794" t="s">
        <v>63</v>
      </c>
      <c r="AM794" t="s">
        <v>7124</v>
      </c>
      <c r="AN794" t="s">
        <v>63</v>
      </c>
      <c r="AO794" t="s">
        <v>63</v>
      </c>
      <c r="AP794" t="s">
        <v>63</v>
      </c>
      <c r="AQ794" t="s">
        <v>63</v>
      </c>
      <c r="AR794" t="s">
        <v>63</v>
      </c>
      <c r="AS794" t="s">
        <v>63</v>
      </c>
      <c r="AT794" t="s">
        <v>63</v>
      </c>
      <c r="AU794" t="s">
        <v>63</v>
      </c>
      <c r="AV794" t="s">
        <v>63</v>
      </c>
      <c r="AW794" t="s">
        <v>63</v>
      </c>
      <c r="AX794" t="s">
        <v>63</v>
      </c>
      <c r="AY794" t="s">
        <v>63</v>
      </c>
      <c r="AZ794" t="s">
        <v>63</v>
      </c>
      <c r="BA794" t="s">
        <v>63</v>
      </c>
      <c r="BB794" t="s">
        <v>63</v>
      </c>
      <c r="BC794" t="s">
        <v>63</v>
      </c>
      <c r="BD794" t="s">
        <v>63</v>
      </c>
      <c r="BE794" t="s">
        <v>63</v>
      </c>
      <c r="BF794" t="s">
        <v>63</v>
      </c>
    </row>
    <row r="795" spans="1:58">
      <c r="A795" t="s">
        <v>58</v>
      </c>
      <c r="B795" t="s">
        <v>7125</v>
      </c>
      <c r="C795" t="s">
        <v>7126</v>
      </c>
      <c r="D795" t="s">
        <v>7127</v>
      </c>
      <c r="E795" t="s">
        <v>63</v>
      </c>
      <c r="F795">
        <v>2018</v>
      </c>
      <c r="G795" t="s">
        <v>84</v>
      </c>
      <c r="H795">
        <v>31</v>
      </c>
      <c r="I795">
        <v>2</v>
      </c>
      <c r="J795">
        <v>102</v>
      </c>
      <c r="K795">
        <v>106</v>
      </c>
      <c r="L795" t="s">
        <v>7128</v>
      </c>
      <c r="M795" t="s">
        <v>7129</v>
      </c>
      <c r="N795" t="s">
        <v>7130</v>
      </c>
      <c r="O795" t="s">
        <v>63</v>
      </c>
      <c r="Q795" t="s">
        <v>63</v>
      </c>
      <c r="R795" t="s">
        <v>63</v>
      </c>
      <c r="S795" t="s">
        <v>63</v>
      </c>
      <c r="T795" t="s">
        <v>63</v>
      </c>
      <c r="X795" t="s">
        <v>63</v>
      </c>
      <c r="Y795" t="s">
        <v>7131</v>
      </c>
      <c r="Z795" t="s">
        <v>63</v>
      </c>
      <c r="AA795" t="s">
        <v>7132</v>
      </c>
      <c r="AB795">
        <v>29175430</v>
      </c>
      <c r="AC795" t="s">
        <v>67</v>
      </c>
      <c r="AD795" t="s">
        <v>63</v>
      </c>
      <c r="AE795" t="s">
        <v>63</v>
      </c>
      <c r="AF795" t="s">
        <v>63</v>
      </c>
      <c r="AG795" t="s">
        <v>7133</v>
      </c>
      <c r="AH795" t="s">
        <v>63</v>
      </c>
      <c r="AI795" t="s">
        <v>7134</v>
      </c>
      <c r="AJ795" t="s">
        <v>63</v>
      </c>
      <c r="AK795" t="s">
        <v>63</v>
      </c>
      <c r="AL795" t="s">
        <v>63</v>
      </c>
      <c r="AM795" t="s">
        <v>7135</v>
      </c>
      <c r="AN795" t="s">
        <v>63</v>
      </c>
      <c r="AO795" t="s">
        <v>63</v>
      </c>
      <c r="AP795" t="s">
        <v>63</v>
      </c>
      <c r="AQ795" t="s">
        <v>63</v>
      </c>
      <c r="AR795" t="s">
        <v>63</v>
      </c>
      <c r="AS795" t="s">
        <v>63</v>
      </c>
      <c r="AT795" t="s">
        <v>63</v>
      </c>
      <c r="AU795" t="s">
        <v>63</v>
      </c>
      <c r="AV795" t="s">
        <v>63</v>
      </c>
      <c r="AW795" t="s">
        <v>63</v>
      </c>
      <c r="AX795" t="s">
        <v>63</v>
      </c>
      <c r="AY795" t="s">
        <v>63</v>
      </c>
      <c r="AZ795" t="s">
        <v>63</v>
      </c>
      <c r="BA795" t="s">
        <v>63</v>
      </c>
      <c r="BB795" t="s">
        <v>63</v>
      </c>
      <c r="BC795" t="s">
        <v>63</v>
      </c>
      <c r="BD795" t="s">
        <v>63</v>
      </c>
      <c r="BE795" t="s">
        <v>63</v>
      </c>
      <c r="BF795" t="s">
        <v>63</v>
      </c>
    </row>
    <row r="796" spans="1:58">
      <c r="A796" t="s">
        <v>58</v>
      </c>
      <c r="B796" t="s">
        <v>7136</v>
      </c>
      <c r="C796" t="s">
        <v>7137</v>
      </c>
      <c r="D796" t="s">
        <v>5521</v>
      </c>
      <c r="E796" t="s">
        <v>63</v>
      </c>
      <c r="F796">
        <v>2005</v>
      </c>
      <c r="G796">
        <v>3</v>
      </c>
      <c r="H796">
        <v>5</v>
      </c>
      <c r="I796">
        <v>1</v>
      </c>
      <c r="J796">
        <v>33</v>
      </c>
      <c r="K796">
        <v>42</v>
      </c>
      <c r="L796" t="s">
        <v>63</v>
      </c>
      <c r="M796" t="s">
        <v>7138</v>
      </c>
      <c r="N796" t="s">
        <v>7139</v>
      </c>
      <c r="O796" t="s">
        <v>63</v>
      </c>
      <c r="Q796" t="s">
        <v>63</v>
      </c>
      <c r="R796" t="s">
        <v>63</v>
      </c>
      <c r="S796" t="s">
        <v>63</v>
      </c>
      <c r="T796" t="s">
        <v>63</v>
      </c>
      <c r="X796" t="s">
        <v>63</v>
      </c>
      <c r="Y796" t="s">
        <v>5525</v>
      </c>
      <c r="Z796" t="s">
        <v>63</v>
      </c>
      <c r="AA796" t="s">
        <v>7140</v>
      </c>
      <c r="AB796">
        <v>17156115</v>
      </c>
      <c r="AC796" t="s">
        <v>67</v>
      </c>
      <c r="AD796" t="s">
        <v>63</v>
      </c>
      <c r="AE796" t="s">
        <v>63</v>
      </c>
      <c r="AF796" t="s">
        <v>63</v>
      </c>
      <c r="AG796" t="s">
        <v>7141</v>
      </c>
      <c r="AH796" t="s">
        <v>63</v>
      </c>
      <c r="AI796" t="s">
        <v>63</v>
      </c>
      <c r="AJ796" t="s">
        <v>63</v>
      </c>
      <c r="AK796" t="s">
        <v>63</v>
      </c>
      <c r="AL796" t="s">
        <v>63</v>
      </c>
      <c r="AM796" t="s">
        <v>7142</v>
      </c>
      <c r="AN796" t="s">
        <v>63</v>
      </c>
      <c r="AO796" t="s">
        <v>63</v>
      </c>
      <c r="AP796" t="s">
        <v>63</v>
      </c>
      <c r="AQ796" t="s">
        <v>63</v>
      </c>
      <c r="AR796" t="s">
        <v>63</v>
      </c>
      <c r="AS796" t="s">
        <v>63</v>
      </c>
      <c r="AT796" t="s">
        <v>63</v>
      </c>
      <c r="AU796" t="s">
        <v>63</v>
      </c>
      <c r="AV796" t="s">
        <v>63</v>
      </c>
      <c r="AW796" t="s">
        <v>63</v>
      </c>
      <c r="AX796" t="s">
        <v>63</v>
      </c>
      <c r="AY796" t="s">
        <v>63</v>
      </c>
      <c r="AZ796" t="s">
        <v>63</v>
      </c>
      <c r="BA796" t="s">
        <v>63</v>
      </c>
      <c r="BB796" t="s">
        <v>63</v>
      </c>
      <c r="BC796" t="s">
        <v>63</v>
      </c>
      <c r="BD796" t="s">
        <v>63</v>
      </c>
      <c r="BE796" t="s">
        <v>63</v>
      </c>
      <c r="BF796" t="s">
        <v>63</v>
      </c>
    </row>
    <row r="797" spans="1:58">
      <c r="A797" t="s">
        <v>58</v>
      </c>
      <c r="B797" t="s">
        <v>7143</v>
      </c>
      <c r="C797" t="s">
        <v>7144</v>
      </c>
      <c r="D797" t="s">
        <v>389</v>
      </c>
      <c r="E797" t="s">
        <v>63</v>
      </c>
      <c r="F797">
        <v>2017</v>
      </c>
      <c r="G797" t="s">
        <v>338</v>
      </c>
      <c r="H797">
        <v>38</v>
      </c>
      <c r="I797">
        <v>2</v>
      </c>
      <c r="J797">
        <v>145</v>
      </c>
      <c r="K797">
        <v>149</v>
      </c>
      <c r="L797" t="s">
        <v>7145</v>
      </c>
      <c r="M797" t="s">
        <v>7146</v>
      </c>
      <c r="N797" t="s">
        <v>7147</v>
      </c>
      <c r="O797" t="s">
        <v>63</v>
      </c>
      <c r="Q797" t="s">
        <v>63</v>
      </c>
      <c r="R797" t="s">
        <v>63</v>
      </c>
      <c r="S797" t="s">
        <v>63</v>
      </c>
      <c r="T797" t="s">
        <v>63</v>
      </c>
      <c r="X797" t="s">
        <v>63</v>
      </c>
      <c r="Y797" t="s">
        <v>556</v>
      </c>
      <c r="Z797" t="s">
        <v>63</v>
      </c>
      <c r="AA797" t="s">
        <v>7148</v>
      </c>
      <c r="AB797">
        <v>28418777</v>
      </c>
      <c r="AC797" t="s">
        <v>67</v>
      </c>
      <c r="AD797" t="s">
        <v>63</v>
      </c>
      <c r="AE797" t="s">
        <v>63</v>
      </c>
      <c r="AF797" t="s">
        <v>63</v>
      </c>
      <c r="AG797" t="s">
        <v>7149</v>
      </c>
      <c r="AH797" t="s">
        <v>63</v>
      </c>
      <c r="AI797" t="s">
        <v>7150</v>
      </c>
      <c r="AJ797" t="s">
        <v>63</v>
      </c>
      <c r="AK797" t="s">
        <v>63</v>
      </c>
      <c r="AL797" t="s">
        <v>63</v>
      </c>
      <c r="AM797" t="s">
        <v>7151</v>
      </c>
      <c r="AN797" t="s">
        <v>63</v>
      </c>
      <c r="AO797" t="s">
        <v>63</v>
      </c>
      <c r="AP797" t="s">
        <v>63</v>
      </c>
      <c r="AQ797" t="s">
        <v>63</v>
      </c>
      <c r="AR797" t="s">
        <v>63</v>
      </c>
      <c r="AS797" t="s">
        <v>63</v>
      </c>
      <c r="AT797" t="s">
        <v>63</v>
      </c>
      <c r="AU797" t="s">
        <v>63</v>
      </c>
      <c r="AV797" t="s">
        <v>63</v>
      </c>
      <c r="AW797" t="s">
        <v>63</v>
      </c>
      <c r="AX797" t="s">
        <v>63</v>
      </c>
      <c r="AY797" t="s">
        <v>63</v>
      </c>
      <c r="AZ797" t="s">
        <v>63</v>
      </c>
      <c r="BA797" t="s">
        <v>63</v>
      </c>
      <c r="BB797" t="s">
        <v>63</v>
      </c>
      <c r="BC797" t="s">
        <v>63</v>
      </c>
      <c r="BD797" t="s">
        <v>63</v>
      </c>
      <c r="BE797" t="s">
        <v>63</v>
      </c>
      <c r="BF797" t="s">
        <v>63</v>
      </c>
    </row>
    <row r="798" spans="1:58">
      <c r="A798" t="s">
        <v>58</v>
      </c>
      <c r="B798" t="s">
        <v>7152</v>
      </c>
      <c r="C798" t="s">
        <v>7153</v>
      </c>
      <c r="D798" t="s">
        <v>763</v>
      </c>
      <c r="E798" t="s">
        <v>63</v>
      </c>
      <c r="F798">
        <v>2001</v>
      </c>
      <c r="G798" t="s">
        <v>189</v>
      </c>
      <c r="H798">
        <v>76</v>
      </c>
      <c r="I798">
        <v>5</v>
      </c>
      <c r="J798">
        <v>520</v>
      </c>
      <c r="K798">
        <v>521</v>
      </c>
      <c r="L798" t="s">
        <v>7154</v>
      </c>
      <c r="M798" t="s">
        <v>63</v>
      </c>
      <c r="N798" t="s">
        <v>7155</v>
      </c>
      <c r="O798" t="s">
        <v>63</v>
      </c>
      <c r="Q798" t="s">
        <v>63</v>
      </c>
      <c r="R798" t="s">
        <v>63</v>
      </c>
      <c r="S798" t="s">
        <v>63</v>
      </c>
      <c r="T798" t="s">
        <v>63</v>
      </c>
      <c r="X798" t="s">
        <v>63</v>
      </c>
      <c r="Y798" t="s">
        <v>858</v>
      </c>
      <c r="Z798" t="s">
        <v>63</v>
      </c>
      <c r="AA798" t="s">
        <v>7156</v>
      </c>
      <c r="AB798">
        <v>11346559</v>
      </c>
      <c r="AC798" t="s">
        <v>67</v>
      </c>
      <c r="AD798" t="s">
        <v>63</v>
      </c>
      <c r="AE798" t="s">
        <v>63</v>
      </c>
      <c r="AF798" t="s">
        <v>63</v>
      </c>
      <c r="AG798" t="s">
        <v>7157</v>
      </c>
      <c r="AH798" t="s">
        <v>63</v>
      </c>
      <c r="AI798" t="s">
        <v>63</v>
      </c>
      <c r="AJ798" t="s">
        <v>63</v>
      </c>
      <c r="AK798" t="s">
        <v>63</v>
      </c>
      <c r="AL798" t="s">
        <v>63</v>
      </c>
      <c r="AM798" t="s">
        <v>7158</v>
      </c>
      <c r="AN798" t="s">
        <v>63</v>
      </c>
      <c r="AO798" t="s">
        <v>63</v>
      </c>
      <c r="AP798" t="s">
        <v>63</v>
      </c>
      <c r="AQ798" t="s">
        <v>63</v>
      </c>
      <c r="AR798" t="s">
        <v>63</v>
      </c>
      <c r="AS798" t="s">
        <v>63</v>
      </c>
      <c r="AT798" t="s">
        <v>63</v>
      </c>
      <c r="AU798" t="s">
        <v>63</v>
      </c>
      <c r="AV798" t="s">
        <v>63</v>
      </c>
      <c r="AW798" t="s">
        <v>63</v>
      </c>
      <c r="AX798" t="s">
        <v>63</v>
      </c>
      <c r="AY798" t="s">
        <v>63</v>
      </c>
      <c r="AZ798" t="s">
        <v>63</v>
      </c>
      <c r="BA798" t="s">
        <v>63</v>
      </c>
      <c r="BB798" t="s">
        <v>63</v>
      </c>
      <c r="BC798" t="s">
        <v>63</v>
      </c>
      <c r="BD798" t="s">
        <v>63</v>
      </c>
      <c r="BE798" t="s">
        <v>63</v>
      </c>
      <c r="BF798" t="s">
        <v>63</v>
      </c>
    </row>
    <row r="799" spans="1:58">
      <c r="A799" t="s">
        <v>58</v>
      </c>
      <c r="B799" t="s">
        <v>7159</v>
      </c>
      <c r="C799" t="s">
        <v>7160</v>
      </c>
      <c r="D799" t="s">
        <v>360</v>
      </c>
      <c r="E799" t="s">
        <v>63</v>
      </c>
      <c r="F799">
        <v>1980</v>
      </c>
      <c r="G799" t="s">
        <v>63</v>
      </c>
      <c r="H799">
        <v>7</v>
      </c>
      <c r="I799">
        <v>1</v>
      </c>
      <c r="J799">
        <v>49</v>
      </c>
      <c r="K799">
        <v>56</v>
      </c>
      <c r="L799" t="s">
        <v>7161</v>
      </c>
      <c r="M799" t="s">
        <v>7162</v>
      </c>
      <c r="N799" t="s">
        <v>7163</v>
      </c>
      <c r="O799" t="s">
        <v>63</v>
      </c>
      <c r="Q799" t="s">
        <v>63</v>
      </c>
      <c r="R799" t="s">
        <v>63</v>
      </c>
      <c r="S799" t="s">
        <v>63</v>
      </c>
      <c r="T799" t="s">
        <v>63</v>
      </c>
      <c r="X799" t="s">
        <v>63</v>
      </c>
      <c r="Y799" t="s">
        <v>1683</v>
      </c>
      <c r="Z799" t="s">
        <v>63</v>
      </c>
      <c r="AA799" t="s">
        <v>63</v>
      </c>
      <c r="AB799">
        <v>7435482</v>
      </c>
      <c r="AC799" t="s">
        <v>67</v>
      </c>
      <c r="AD799" t="s">
        <v>63</v>
      </c>
      <c r="AE799" t="s">
        <v>63</v>
      </c>
      <c r="AF799" t="s">
        <v>63</v>
      </c>
      <c r="AG799" t="s">
        <v>7164</v>
      </c>
      <c r="AH799" t="s">
        <v>63</v>
      </c>
      <c r="AI799" t="s">
        <v>63</v>
      </c>
      <c r="AJ799" t="s">
        <v>63</v>
      </c>
      <c r="AK799" t="s">
        <v>63</v>
      </c>
      <c r="AL799" t="s">
        <v>63</v>
      </c>
      <c r="AM799" t="s">
        <v>7165</v>
      </c>
      <c r="AN799" t="s">
        <v>63</v>
      </c>
      <c r="AO799" t="s">
        <v>63</v>
      </c>
      <c r="AP799" t="s">
        <v>63</v>
      </c>
      <c r="AQ799" t="s">
        <v>63</v>
      </c>
      <c r="AR799" t="s">
        <v>63</v>
      </c>
      <c r="AS799" t="s">
        <v>63</v>
      </c>
      <c r="AT799" t="s">
        <v>63</v>
      </c>
      <c r="AU799" t="s">
        <v>63</v>
      </c>
      <c r="AV799" t="s">
        <v>63</v>
      </c>
      <c r="AW799" t="s">
        <v>63</v>
      </c>
      <c r="AX799" t="s">
        <v>63</v>
      </c>
      <c r="AY799" t="s">
        <v>63</v>
      </c>
      <c r="AZ799" t="s">
        <v>63</v>
      </c>
      <c r="BA799" t="s">
        <v>63</v>
      </c>
      <c r="BB799" t="s">
        <v>63</v>
      </c>
      <c r="BC799" t="s">
        <v>63</v>
      </c>
      <c r="BD799" t="s">
        <v>63</v>
      </c>
      <c r="BE799" t="s">
        <v>63</v>
      </c>
      <c r="BF799" t="s">
        <v>63</v>
      </c>
    </row>
    <row r="800" spans="1:58">
      <c r="A800" t="s">
        <v>58</v>
      </c>
      <c r="B800" t="s">
        <v>7166</v>
      </c>
      <c r="C800" t="s">
        <v>7167</v>
      </c>
      <c r="D800" t="s">
        <v>7168</v>
      </c>
      <c r="E800" t="s">
        <v>63</v>
      </c>
      <c r="F800">
        <v>2009</v>
      </c>
      <c r="G800" t="s">
        <v>198</v>
      </c>
      <c r="H800">
        <v>17</v>
      </c>
      <c r="I800">
        <v>1</v>
      </c>
      <c r="J800">
        <v>3</v>
      </c>
      <c r="K800">
        <v>14</v>
      </c>
      <c r="L800" t="s">
        <v>7169</v>
      </c>
      <c r="M800" t="s">
        <v>7170</v>
      </c>
      <c r="N800" t="s">
        <v>7171</v>
      </c>
      <c r="O800" t="s">
        <v>63</v>
      </c>
      <c r="Q800" t="s">
        <v>63</v>
      </c>
      <c r="R800" t="s">
        <v>63</v>
      </c>
      <c r="S800" t="s">
        <v>63</v>
      </c>
      <c r="T800" t="s">
        <v>63</v>
      </c>
      <c r="X800" t="s">
        <v>63</v>
      </c>
      <c r="Y800" t="s">
        <v>7172</v>
      </c>
      <c r="Z800" t="s">
        <v>63</v>
      </c>
      <c r="AA800" t="s">
        <v>7173</v>
      </c>
      <c r="AB800">
        <v>19135010</v>
      </c>
      <c r="AC800" t="s">
        <v>67</v>
      </c>
      <c r="AD800" t="s">
        <v>63</v>
      </c>
      <c r="AE800" t="s">
        <v>63</v>
      </c>
      <c r="AF800" t="s">
        <v>63</v>
      </c>
      <c r="AG800" t="s">
        <v>7174</v>
      </c>
      <c r="AH800" t="s">
        <v>63</v>
      </c>
      <c r="AI800" t="s">
        <v>7175</v>
      </c>
      <c r="AJ800" t="s">
        <v>63</v>
      </c>
      <c r="AK800" t="s">
        <v>63</v>
      </c>
      <c r="AL800" t="s">
        <v>63</v>
      </c>
      <c r="AM800" t="s">
        <v>7176</v>
      </c>
      <c r="AN800" t="s">
        <v>63</v>
      </c>
      <c r="AO800" t="s">
        <v>63</v>
      </c>
      <c r="AP800" t="s">
        <v>63</v>
      </c>
      <c r="AQ800" t="s">
        <v>63</v>
      </c>
      <c r="AR800" t="s">
        <v>63</v>
      </c>
      <c r="AS800" t="s">
        <v>63</v>
      </c>
      <c r="AT800" t="s">
        <v>63</v>
      </c>
      <c r="AU800" t="s">
        <v>63</v>
      </c>
      <c r="AV800" t="s">
        <v>63</v>
      </c>
      <c r="AW800" t="s">
        <v>63</v>
      </c>
      <c r="AX800" t="s">
        <v>63</v>
      </c>
      <c r="AY800" t="s">
        <v>63</v>
      </c>
      <c r="AZ800" t="s">
        <v>63</v>
      </c>
      <c r="BA800" t="s">
        <v>63</v>
      </c>
      <c r="BB800" t="s">
        <v>63</v>
      </c>
      <c r="BC800" t="s">
        <v>63</v>
      </c>
      <c r="BD800" t="s">
        <v>63</v>
      </c>
      <c r="BE800" t="s">
        <v>63</v>
      </c>
      <c r="BF800" t="s">
        <v>63</v>
      </c>
    </row>
    <row r="801" spans="1:58">
      <c r="A801" t="s">
        <v>58</v>
      </c>
      <c r="B801" t="s">
        <v>7177</v>
      </c>
      <c r="C801" t="s">
        <v>7178</v>
      </c>
      <c r="D801" t="s">
        <v>360</v>
      </c>
      <c r="E801" t="s">
        <v>63</v>
      </c>
      <c r="F801">
        <v>1997</v>
      </c>
      <c r="G801" t="s">
        <v>326</v>
      </c>
      <c r="H801">
        <v>23</v>
      </c>
      <c r="I801">
        <v>1</v>
      </c>
      <c r="J801">
        <v>115</v>
      </c>
      <c r="K801">
        <v>127</v>
      </c>
      <c r="L801" t="s">
        <v>7179</v>
      </c>
      <c r="M801" t="s">
        <v>7180</v>
      </c>
      <c r="N801" t="s">
        <v>7181</v>
      </c>
      <c r="O801" t="s">
        <v>63</v>
      </c>
      <c r="Q801" t="s">
        <v>63</v>
      </c>
      <c r="R801" t="s">
        <v>63</v>
      </c>
      <c r="S801" t="s">
        <v>63</v>
      </c>
      <c r="T801" t="s">
        <v>63</v>
      </c>
      <c r="X801" t="s">
        <v>63</v>
      </c>
      <c r="Y801" t="s">
        <v>1683</v>
      </c>
      <c r="Z801" t="s">
        <v>63</v>
      </c>
      <c r="AA801" t="s">
        <v>7182</v>
      </c>
      <c r="AB801">
        <v>9048151</v>
      </c>
      <c r="AC801" t="s">
        <v>67</v>
      </c>
      <c r="AD801" t="s">
        <v>63</v>
      </c>
      <c r="AE801" t="s">
        <v>63</v>
      </c>
      <c r="AF801" t="s">
        <v>63</v>
      </c>
      <c r="AG801" t="s">
        <v>7183</v>
      </c>
      <c r="AH801" t="s">
        <v>63</v>
      </c>
      <c r="AI801" t="s">
        <v>63</v>
      </c>
      <c r="AJ801" t="s">
        <v>63</v>
      </c>
      <c r="AK801" t="s">
        <v>63</v>
      </c>
      <c r="AL801" t="s">
        <v>63</v>
      </c>
      <c r="AM801" t="s">
        <v>7184</v>
      </c>
      <c r="AN801" t="s">
        <v>63</v>
      </c>
      <c r="AO801" t="s">
        <v>63</v>
      </c>
      <c r="AP801" t="s">
        <v>63</v>
      </c>
      <c r="AQ801" t="s">
        <v>63</v>
      </c>
      <c r="AR801" t="s">
        <v>63</v>
      </c>
      <c r="AS801" t="s">
        <v>63</v>
      </c>
      <c r="AT801" t="s">
        <v>63</v>
      </c>
      <c r="AU801" t="s">
        <v>63</v>
      </c>
      <c r="AV801" t="s">
        <v>63</v>
      </c>
      <c r="AW801" t="s">
        <v>63</v>
      </c>
      <c r="AX801" t="s">
        <v>63</v>
      </c>
      <c r="AY801" t="s">
        <v>63</v>
      </c>
      <c r="AZ801" t="s">
        <v>63</v>
      </c>
      <c r="BA801" t="s">
        <v>63</v>
      </c>
      <c r="BB801" t="s">
        <v>63</v>
      </c>
      <c r="BC801" t="s">
        <v>63</v>
      </c>
      <c r="BD801" t="s">
        <v>63</v>
      </c>
      <c r="BE801" t="s">
        <v>63</v>
      </c>
      <c r="BF801" t="s">
        <v>63</v>
      </c>
    </row>
    <row r="802" spans="1:58">
      <c r="A802" t="s">
        <v>58</v>
      </c>
      <c r="B802" t="s">
        <v>7185</v>
      </c>
      <c r="C802" t="s">
        <v>7186</v>
      </c>
      <c r="D802" t="s">
        <v>3178</v>
      </c>
      <c r="E802" t="s">
        <v>63</v>
      </c>
      <c r="F802">
        <v>2011</v>
      </c>
      <c r="G802" t="s">
        <v>63</v>
      </c>
      <c r="H802">
        <v>22</v>
      </c>
      <c r="I802">
        <v>3</v>
      </c>
      <c r="J802">
        <v>4</v>
      </c>
      <c r="K802">
        <v>14</v>
      </c>
      <c r="L802" t="s">
        <v>7187</v>
      </c>
      <c r="M802" t="s">
        <v>7188</v>
      </c>
      <c r="N802" t="s">
        <v>7189</v>
      </c>
      <c r="O802" t="s">
        <v>63</v>
      </c>
      <c r="Q802" t="s">
        <v>63</v>
      </c>
      <c r="R802" t="s">
        <v>63</v>
      </c>
      <c r="S802" t="s">
        <v>63</v>
      </c>
      <c r="T802" t="s">
        <v>63</v>
      </c>
      <c r="X802" t="s">
        <v>63</v>
      </c>
      <c r="Y802" t="s">
        <v>3182</v>
      </c>
      <c r="Z802" t="s">
        <v>63</v>
      </c>
      <c r="AA802" t="s">
        <v>7190</v>
      </c>
      <c r="AB802">
        <v>22070058</v>
      </c>
      <c r="AC802" t="s">
        <v>67</v>
      </c>
      <c r="AD802" t="s">
        <v>63</v>
      </c>
      <c r="AE802" t="s">
        <v>63</v>
      </c>
      <c r="AF802" t="s">
        <v>63</v>
      </c>
      <c r="AG802" t="s">
        <v>7191</v>
      </c>
      <c r="AH802" t="s">
        <v>63</v>
      </c>
      <c r="AI802" t="s">
        <v>63</v>
      </c>
      <c r="AJ802" t="s">
        <v>63</v>
      </c>
      <c r="AK802" t="s">
        <v>63</v>
      </c>
      <c r="AL802" t="s">
        <v>63</v>
      </c>
      <c r="AM802" t="s">
        <v>7192</v>
      </c>
      <c r="AN802" t="s">
        <v>63</v>
      </c>
      <c r="AO802" t="s">
        <v>63</v>
      </c>
      <c r="AP802" t="s">
        <v>63</v>
      </c>
      <c r="AQ802" t="s">
        <v>63</v>
      </c>
      <c r="AR802" t="s">
        <v>63</v>
      </c>
      <c r="AS802" t="s">
        <v>63</v>
      </c>
      <c r="AT802" t="s">
        <v>63</v>
      </c>
      <c r="AU802" t="s">
        <v>63</v>
      </c>
      <c r="AV802" t="s">
        <v>63</v>
      </c>
      <c r="AW802" t="s">
        <v>63</v>
      </c>
      <c r="AX802" t="s">
        <v>63</v>
      </c>
      <c r="AY802" t="s">
        <v>63</v>
      </c>
      <c r="AZ802" t="s">
        <v>63</v>
      </c>
      <c r="BA802" t="s">
        <v>63</v>
      </c>
      <c r="BB802" t="s">
        <v>63</v>
      </c>
      <c r="BC802" t="s">
        <v>63</v>
      </c>
      <c r="BD802" t="s">
        <v>63</v>
      </c>
      <c r="BE802" t="s">
        <v>63</v>
      </c>
      <c r="BF802" t="s">
        <v>63</v>
      </c>
    </row>
    <row r="803" spans="1:58">
      <c r="A803" t="s">
        <v>58</v>
      </c>
      <c r="B803" t="s">
        <v>7193</v>
      </c>
      <c r="C803" t="s">
        <v>7194</v>
      </c>
      <c r="D803" t="s">
        <v>7195</v>
      </c>
      <c r="E803" t="s">
        <v>7196</v>
      </c>
      <c r="F803">
        <v>2005</v>
      </c>
      <c r="G803" t="s">
        <v>1670</v>
      </c>
      <c r="H803">
        <v>136</v>
      </c>
      <c r="I803">
        <v>7</v>
      </c>
      <c r="J803">
        <v>1023</v>
      </c>
      <c r="K803">
        <v>1032</v>
      </c>
      <c r="L803" t="s">
        <v>7197</v>
      </c>
      <c r="M803" t="s">
        <v>7198</v>
      </c>
      <c r="N803" t="s">
        <v>7199</v>
      </c>
      <c r="O803" t="s">
        <v>63</v>
      </c>
      <c r="Q803" t="s">
        <v>63</v>
      </c>
      <c r="R803" t="s">
        <v>63</v>
      </c>
      <c r="S803" t="s">
        <v>63</v>
      </c>
      <c r="T803" t="s">
        <v>63</v>
      </c>
      <c r="X803" t="s">
        <v>63</v>
      </c>
      <c r="Y803" s="2">
        <v>2291199</v>
      </c>
      <c r="Z803" t="s">
        <v>63</v>
      </c>
      <c r="AA803" t="s">
        <v>7200</v>
      </c>
      <c r="AB803">
        <v>16060477</v>
      </c>
      <c r="AC803" t="s">
        <v>67</v>
      </c>
      <c r="AD803" t="s">
        <v>63</v>
      </c>
      <c r="AE803" t="s">
        <v>63</v>
      </c>
      <c r="AF803" t="s">
        <v>63</v>
      </c>
      <c r="AG803" t="s">
        <v>7201</v>
      </c>
      <c r="AH803" t="s">
        <v>63</v>
      </c>
      <c r="AI803" t="s">
        <v>63</v>
      </c>
      <c r="AJ803" t="s">
        <v>63</v>
      </c>
      <c r="AK803" t="s">
        <v>63</v>
      </c>
      <c r="AL803" t="s">
        <v>63</v>
      </c>
      <c r="AM803" t="s">
        <v>7202</v>
      </c>
      <c r="AN803" t="s">
        <v>63</v>
      </c>
      <c r="AO803" t="s">
        <v>63</v>
      </c>
      <c r="AP803" t="s">
        <v>63</v>
      </c>
      <c r="AQ803" t="s">
        <v>63</v>
      </c>
      <c r="AR803" t="s">
        <v>63</v>
      </c>
      <c r="AS803" t="s">
        <v>63</v>
      </c>
      <c r="AT803" t="s">
        <v>63</v>
      </c>
      <c r="AU803" t="s">
        <v>63</v>
      </c>
      <c r="AV803" t="s">
        <v>63</v>
      </c>
      <c r="AW803" t="s">
        <v>63</v>
      </c>
      <c r="AX803" t="s">
        <v>63</v>
      </c>
      <c r="AY803" t="s">
        <v>63</v>
      </c>
      <c r="AZ803" t="s">
        <v>63</v>
      </c>
      <c r="BA803" t="s">
        <v>63</v>
      </c>
      <c r="BB803" t="s">
        <v>63</v>
      </c>
      <c r="BC803" t="s">
        <v>63</v>
      </c>
      <c r="BD803" t="s">
        <v>63</v>
      </c>
      <c r="BE803" t="s">
        <v>63</v>
      </c>
      <c r="BF803" t="s">
        <v>63</v>
      </c>
    </row>
    <row r="804" spans="1:58">
      <c r="A804" t="s">
        <v>58</v>
      </c>
      <c r="B804" t="s">
        <v>7203</v>
      </c>
      <c r="C804" t="s">
        <v>7204</v>
      </c>
      <c r="D804" t="s">
        <v>7205</v>
      </c>
      <c r="E804" t="s">
        <v>63</v>
      </c>
      <c r="F804">
        <v>2014</v>
      </c>
      <c r="G804" s="1">
        <v>41803</v>
      </c>
      <c r="H804">
        <v>15</v>
      </c>
      <c r="I804" t="s">
        <v>63</v>
      </c>
      <c r="J804">
        <v>119</v>
      </c>
      <c r="K804" t="s">
        <v>63</v>
      </c>
      <c r="L804" t="s">
        <v>7206</v>
      </c>
      <c r="M804" t="s">
        <v>7207</v>
      </c>
      <c r="N804" t="s">
        <v>7208</v>
      </c>
      <c r="O804" t="s">
        <v>63</v>
      </c>
      <c r="Q804" t="s">
        <v>63</v>
      </c>
      <c r="R804" t="s">
        <v>63</v>
      </c>
      <c r="S804" t="s">
        <v>63</v>
      </c>
      <c r="T804" t="s">
        <v>63</v>
      </c>
      <c r="X804" t="s">
        <v>63</v>
      </c>
      <c r="Y804" t="s">
        <v>7209</v>
      </c>
      <c r="Z804" t="s">
        <v>63</v>
      </c>
      <c r="AA804" t="s">
        <v>7210</v>
      </c>
      <c r="AB804">
        <v>24927958</v>
      </c>
      <c r="AC804" t="s">
        <v>67</v>
      </c>
      <c r="AD804" t="s">
        <v>63</v>
      </c>
      <c r="AE804" t="s">
        <v>63</v>
      </c>
      <c r="AF804" t="s">
        <v>63</v>
      </c>
      <c r="AG804" t="s">
        <v>7211</v>
      </c>
      <c r="AH804" t="s">
        <v>63</v>
      </c>
      <c r="AI804" t="s">
        <v>7212</v>
      </c>
      <c r="AJ804" t="s">
        <v>63</v>
      </c>
      <c r="AK804" t="s">
        <v>63</v>
      </c>
      <c r="AL804" t="s">
        <v>63</v>
      </c>
      <c r="AM804" t="s">
        <v>7213</v>
      </c>
      <c r="AN804" t="s">
        <v>63</v>
      </c>
      <c r="AO804" t="s">
        <v>63</v>
      </c>
      <c r="AP804" t="s">
        <v>63</v>
      </c>
      <c r="AQ804" t="s">
        <v>63</v>
      </c>
      <c r="AR804" t="s">
        <v>63</v>
      </c>
      <c r="AS804" t="s">
        <v>63</v>
      </c>
      <c r="AT804" t="s">
        <v>63</v>
      </c>
      <c r="AU804" t="s">
        <v>63</v>
      </c>
      <c r="AV804" t="s">
        <v>63</v>
      </c>
      <c r="AW804" t="s">
        <v>63</v>
      </c>
      <c r="AX804" t="s">
        <v>63</v>
      </c>
      <c r="AY804" t="s">
        <v>63</v>
      </c>
      <c r="AZ804" t="s">
        <v>63</v>
      </c>
      <c r="BA804" t="s">
        <v>63</v>
      </c>
      <c r="BB804" t="s">
        <v>63</v>
      </c>
      <c r="BC804" t="s">
        <v>63</v>
      </c>
      <c r="BD804" t="s">
        <v>63</v>
      </c>
      <c r="BE804" t="s">
        <v>63</v>
      </c>
      <c r="BF804" t="s">
        <v>63</v>
      </c>
    </row>
    <row r="805" spans="1:58">
      <c r="A805" t="s">
        <v>58</v>
      </c>
      <c r="B805" t="s">
        <v>7214</v>
      </c>
      <c r="C805" t="s">
        <v>7215</v>
      </c>
      <c r="D805" t="s">
        <v>938</v>
      </c>
      <c r="E805" t="s">
        <v>63</v>
      </c>
      <c r="F805">
        <v>2012</v>
      </c>
      <c r="G805" t="s">
        <v>1717</v>
      </c>
      <c r="H805">
        <v>21</v>
      </c>
      <c r="I805">
        <v>6</v>
      </c>
      <c r="J805">
        <v>576</v>
      </c>
      <c r="K805">
        <v>577</v>
      </c>
      <c r="L805" t="s">
        <v>7216</v>
      </c>
      <c r="M805" t="s">
        <v>63</v>
      </c>
      <c r="N805" t="s">
        <v>7217</v>
      </c>
      <c r="O805" t="s">
        <v>63</v>
      </c>
      <c r="Q805" t="s">
        <v>63</v>
      </c>
      <c r="R805" t="s">
        <v>63</v>
      </c>
      <c r="S805" t="s">
        <v>63</v>
      </c>
      <c r="T805" t="s">
        <v>63</v>
      </c>
      <c r="X805" t="s">
        <v>63</v>
      </c>
      <c r="Y805" t="s">
        <v>942</v>
      </c>
      <c r="Z805" t="s">
        <v>63</v>
      </c>
      <c r="AA805" t="s">
        <v>63</v>
      </c>
      <c r="AB805">
        <v>23082842</v>
      </c>
      <c r="AC805" t="s">
        <v>67</v>
      </c>
      <c r="AD805" t="s">
        <v>63</v>
      </c>
      <c r="AE805" t="s">
        <v>63</v>
      </c>
      <c r="AF805" t="s">
        <v>63</v>
      </c>
      <c r="AG805" t="s">
        <v>7218</v>
      </c>
      <c r="AH805" t="s">
        <v>63</v>
      </c>
      <c r="AI805" t="s">
        <v>7219</v>
      </c>
      <c r="AJ805" t="s">
        <v>63</v>
      </c>
      <c r="AK805" t="s">
        <v>63</v>
      </c>
      <c r="AL805" t="s">
        <v>63</v>
      </c>
      <c r="AM805" t="s">
        <v>7220</v>
      </c>
      <c r="AN805" t="s">
        <v>63</v>
      </c>
      <c r="AO805" t="s">
        <v>63</v>
      </c>
      <c r="AP805" t="s">
        <v>63</v>
      </c>
      <c r="AQ805" t="s">
        <v>63</v>
      </c>
      <c r="AR805" t="s">
        <v>63</v>
      </c>
      <c r="AS805" t="s">
        <v>63</v>
      </c>
      <c r="AT805" t="s">
        <v>63</v>
      </c>
      <c r="AU805" t="s">
        <v>63</v>
      </c>
      <c r="AV805" t="s">
        <v>63</v>
      </c>
      <c r="AW805" t="s">
        <v>63</v>
      </c>
      <c r="AX805" t="s">
        <v>63</v>
      </c>
      <c r="AY805" t="s">
        <v>63</v>
      </c>
      <c r="AZ805" t="s">
        <v>63</v>
      </c>
      <c r="BA805" t="s">
        <v>63</v>
      </c>
      <c r="BB805" t="s">
        <v>63</v>
      </c>
      <c r="BC805" t="s">
        <v>63</v>
      </c>
      <c r="BD805" t="s">
        <v>63</v>
      </c>
      <c r="BE805" t="s">
        <v>63</v>
      </c>
      <c r="BF805" t="s">
        <v>63</v>
      </c>
    </row>
    <row r="806" spans="1:58">
      <c r="A806" t="s">
        <v>58</v>
      </c>
      <c r="B806" t="s">
        <v>7221</v>
      </c>
      <c r="C806" t="s">
        <v>7222</v>
      </c>
      <c r="D806" t="s">
        <v>7223</v>
      </c>
      <c r="E806" t="s">
        <v>7224</v>
      </c>
      <c r="F806">
        <v>2012</v>
      </c>
      <c r="G806" t="s">
        <v>84</v>
      </c>
      <c r="H806">
        <v>87</v>
      </c>
      <c r="I806" s="1">
        <v>41640</v>
      </c>
      <c r="J806">
        <v>1</v>
      </c>
      <c r="K806">
        <v>7</v>
      </c>
      <c r="L806" t="s">
        <v>7225</v>
      </c>
      <c r="M806" t="s">
        <v>7226</v>
      </c>
      <c r="N806" t="s">
        <v>7227</v>
      </c>
      <c r="O806" t="s">
        <v>63</v>
      </c>
      <c r="Q806" t="s">
        <v>63</v>
      </c>
      <c r="R806" t="s">
        <v>63</v>
      </c>
      <c r="S806" t="s">
        <v>63</v>
      </c>
      <c r="T806" t="s">
        <v>63</v>
      </c>
      <c r="X806" t="s">
        <v>63</v>
      </c>
      <c r="Y806" t="s">
        <v>7228</v>
      </c>
      <c r="Z806" t="s">
        <v>63</v>
      </c>
      <c r="AA806" t="s">
        <v>7229</v>
      </c>
      <c r="AB806">
        <v>22415329</v>
      </c>
      <c r="AC806" t="s">
        <v>67</v>
      </c>
      <c r="AD806" t="s">
        <v>63</v>
      </c>
      <c r="AE806" t="s">
        <v>63</v>
      </c>
      <c r="AF806" t="s">
        <v>63</v>
      </c>
      <c r="AG806" t="s">
        <v>7230</v>
      </c>
      <c r="AH806" t="s">
        <v>63</v>
      </c>
      <c r="AI806" t="s">
        <v>7231</v>
      </c>
      <c r="AJ806" t="s">
        <v>63</v>
      </c>
      <c r="AK806" t="s">
        <v>63</v>
      </c>
      <c r="AL806" t="s">
        <v>63</v>
      </c>
      <c r="AM806" t="s">
        <v>7232</v>
      </c>
      <c r="AN806" t="s">
        <v>63</v>
      </c>
      <c r="AO806" t="s">
        <v>63</v>
      </c>
      <c r="AP806" t="s">
        <v>63</v>
      </c>
      <c r="AQ806" t="s">
        <v>63</v>
      </c>
      <c r="AR806" t="s">
        <v>63</v>
      </c>
      <c r="AS806" t="s">
        <v>63</v>
      </c>
      <c r="AT806" t="s">
        <v>63</v>
      </c>
      <c r="AU806" t="s">
        <v>63</v>
      </c>
      <c r="AV806" t="s">
        <v>63</v>
      </c>
      <c r="AW806" t="s">
        <v>63</v>
      </c>
      <c r="AX806" t="s">
        <v>63</v>
      </c>
      <c r="AY806" t="s">
        <v>63</v>
      </c>
      <c r="AZ806" t="s">
        <v>63</v>
      </c>
      <c r="BA806" t="s">
        <v>63</v>
      </c>
      <c r="BB806" t="s">
        <v>63</v>
      </c>
      <c r="BC806" t="s">
        <v>63</v>
      </c>
      <c r="BD806" t="s">
        <v>63</v>
      </c>
      <c r="BE806" t="s">
        <v>63</v>
      </c>
      <c r="BF806" t="s">
        <v>63</v>
      </c>
    </row>
    <row r="807" spans="1:58">
      <c r="A807" t="s">
        <v>58</v>
      </c>
      <c r="B807" t="s">
        <v>7233</v>
      </c>
      <c r="C807" t="s">
        <v>7234</v>
      </c>
      <c r="D807" t="s">
        <v>137</v>
      </c>
      <c r="E807" t="s">
        <v>63</v>
      </c>
      <c r="F807">
        <v>2017</v>
      </c>
      <c r="G807" t="s">
        <v>138</v>
      </c>
      <c r="H807">
        <v>63</v>
      </c>
      <c r="I807">
        <v>10</v>
      </c>
      <c r="J807" t="s">
        <v>7235</v>
      </c>
      <c r="K807" t="s">
        <v>7236</v>
      </c>
      <c r="L807" t="s">
        <v>63</v>
      </c>
      <c r="M807" t="s">
        <v>7237</v>
      </c>
      <c r="N807" t="s">
        <v>7238</v>
      </c>
      <c r="O807" t="s">
        <v>63</v>
      </c>
      <c r="Q807" t="s">
        <v>63</v>
      </c>
      <c r="R807" t="s">
        <v>63</v>
      </c>
      <c r="S807" t="s">
        <v>63</v>
      </c>
      <c r="T807" t="s">
        <v>63</v>
      </c>
      <c r="X807" t="s">
        <v>63</v>
      </c>
      <c r="Y807" t="s">
        <v>6884</v>
      </c>
      <c r="Z807" t="s">
        <v>63</v>
      </c>
      <c r="AA807" t="s">
        <v>7239</v>
      </c>
      <c r="AB807">
        <v>29025818</v>
      </c>
      <c r="AC807" t="s">
        <v>67</v>
      </c>
      <c r="AD807" t="s">
        <v>63</v>
      </c>
      <c r="AE807" t="s">
        <v>63</v>
      </c>
      <c r="AF807" t="s">
        <v>63</v>
      </c>
      <c r="AG807" t="s">
        <v>7240</v>
      </c>
      <c r="AH807" t="s">
        <v>63</v>
      </c>
      <c r="AI807" t="s">
        <v>63</v>
      </c>
      <c r="AJ807" t="s">
        <v>63</v>
      </c>
      <c r="AK807" t="s">
        <v>63</v>
      </c>
      <c r="AL807" t="s">
        <v>63</v>
      </c>
      <c r="AM807" t="s">
        <v>7241</v>
      </c>
      <c r="AN807" t="s">
        <v>63</v>
      </c>
      <c r="AO807" t="s">
        <v>63</v>
      </c>
      <c r="AP807" t="s">
        <v>63</v>
      </c>
      <c r="AQ807" t="s">
        <v>63</v>
      </c>
      <c r="AR807" t="s">
        <v>63</v>
      </c>
      <c r="AS807" t="s">
        <v>63</v>
      </c>
      <c r="AT807" t="s">
        <v>63</v>
      </c>
      <c r="AU807" t="s">
        <v>63</v>
      </c>
      <c r="AV807" t="s">
        <v>63</v>
      </c>
      <c r="AW807" t="s">
        <v>63</v>
      </c>
      <c r="AX807" t="s">
        <v>63</v>
      </c>
      <c r="AY807" t="s">
        <v>63</v>
      </c>
      <c r="AZ807" t="s">
        <v>63</v>
      </c>
      <c r="BA807" t="s">
        <v>63</v>
      </c>
      <c r="BB807" t="s">
        <v>63</v>
      </c>
      <c r="BC807" t="s">
        <v>63</v>
      </c>
      <c r="BD807" t="s">
        <v>63</v>
      </c>
      <c r="BE807" t="s">
        <v>63</v>
      </c>
      <c r="BF807" t="s">
        <v>63</v>
      </c>
    </row>
    <row r="808" spans="1:58">
      <c r="A808" t="s">
        <v>58</v>
      </c>
      <c r="B808" t="s">
        <v>7242</v>
      </c>
      <c r="C808" t="s">
        <v>7243</v>
      </c>
      <c r="D808" t="s">
        <v>7244</v>
      </c>
      <c r="E808" t="s">
        <v>63</v>
      </c>
      <c r="F808">
        <v>2016</v>
      </c>
      <c r="G808" t="s">
        <v>219</v>
      </c>
      <c r="H808">
        <v>17</v>
      </c>
      <c r="I808">
        <v>6</v>
      </c>
      <c r="J808">
        <v>686</v>
      </c>
      <c r="K808">
        <v>689</v>
      </c>
      <c r="L808" t="s">
        <v>7245</v>
      </c>
      <c r="M808" t="s">
        <v>7246</v>
      </c>
      <c r="N808" t="s">
        <v>7247</v>
      </c>
      <c r="O808" t="s">
        <v>63</v>
      </c>
      <c r="Q808" t="s">
        <v>63</v>
      </c>
      <c r="R808" t="s">
        <v>63</v>
      </c>
      <c r="S808" t="s">
        <v>63</v>
      </c>
      <c r="T808" t="s">
        <v>63</v>
      </c>
      <c r="X808" t="s">
        <v>63</v>
      </c>
      <c r="Y808" t="s">
        <v>7248</v>
      </c>
      <c r="Z808" t="s">
        <v>63</v>
      </c>
      <c r="AA808" t="s">
        <v>7249</v>
      </c>
      <c r="AB808">
        <v>27833673</v>
      </c>
      <c r="AC808" t="s">
        <v>67</v>
      </c>
      <c r="AD808" t="s">
        <v>63</v>
      </c>
      <c r="AE808" t="s">
        <v>63</v>
      </c>
      <c r="AF808" t="s">
        <v>63</v>
      </c>
      <c r="AG808" t="s">
        <v>7250</v>
      </c>
      <c r="AH808" t="s">
        <v>63</v>
      </c>
      <c r="AI808" t="s">
        <v>63</v>
      </c>
      <c r="AJ808" t="s">
        <v>63</v>
      </c>
      <c r="AK808" t="s">
        <v>63</v>
      </c>
      <c r="AL808" t="s">
        <v>63</v>
      </c>
      <c r="AM808" t="s">
        <v>7251</v>
      </c>
      <c r="AN808" t="s">
        <v>63</v>
      </c>
      <c r="AO808" t="s">
        <v>63</v>
      </c>
      <c r="AP808" t="s">
        <v>63</v>
      </c>
      <c r="AQ808" t="s">
        <v>63</v>
      </c>
      <c r="AR808" t="s">
        <v>63</v>
      </c>
      <c r="AS808" t="s">
        <v>63</v>
      </c>
      <c r="AT808" t="s">
        <v>63</v>
      </c>
      <c r="AU808" t="s">
        <v>63</v>
      </c>
      <c r="AV808" t="s">
        <v>63</v>
      </c>
      <c r="AW808" t="s">
        <v>63</v>
      </c>
      <c r="AX808" t="s">
        <v>63</v>
      </c>
      <c r="AY808" t="s">
        <v>63</v>
      </c>
      <c r="AZ808" t="s">
        <v>63</v>
      </c>
      <c r="BA808" t="s">
        <v>63</v>
      </c>
      <c r="BB808" t="s">
        <v>63</v>
      </c>
      <c r="BC808" t="s">
        <v>63</v>
      </c>
      <c r="BD808" t="s">
        <v>63</v>
      </c>
      <c r="BE808" t="s">
        <v>63</v>
      </c>
      <c r="BF808" t="s">
        <v>63</v>
      </c>
    </row>
    <row r="809" spans="1:58">
      <c r="A809" t="s">
        <v>58</v>
      </c>
      <c r="B809" t="s">
        <v>7252</v>
      </c>
      <c r="C809" t="s">
        <v>7253</v>
      </c>
      <c r="D809" t="s">
        <v>449</v>
      </c>
      <c r="E809" t="s">
        <v>63</v>
      </c>
      <c r="F809">
        <v>2014</v>
      </c>
      <c r="G809" t="s">
        <v>198</v>
      </c>
      <c r="H809">
        <v>19</v>
      </c>
      <c r="I809">
        <v>1</v>
      </c>
      <c r="J809">
        <v>65</v>
      </c>
      <c r="K809">
        <v>68</v>
      </c>
      <c r="L809" t="s">
        <v>63</v>
      </c>
      <c r="M809" t="s">
        <v>7254</v>
      </c>
      <c r="N809" t="s">
        <v>7255</v>
      </c>
      <c r="O809" t="s">
        <v>63</v>
      </c>
      <c r="Q809" t="s">
        <v>63</v>
      </c>
      <c r="R809" t="s">
        <v>63</v>
      </c>
      <c r="S809" t="s">
        <v>63</v>
      </c>
      <c r="T809" t="s">
        <v>63</v>
      </c>
      <c r="X809" t="s">
        <v>63</v>
      </c>
      <c r="Y809" t="s">
        <v>7256</v>
      </c>
      <c r="Z809" t="s">
        <v>63</v>
      </c>
      <c r="AA809" t="s">
        <v>7257</v>
      </c>
      <c r="AB809">
        <v>24672567</v>
      </c>
      <c r="AC809" t="s">
        <v>67</v>
      </c>
      <c r="AD809" t="s">
        <v>63</v>
      </c>
      <c r="AE809" t="s">
        <v>63</v>
      </c>
      <c r="AF809" t="s">
        <v>63</v>
      </c>
      <c r="AG809" t="s">
        <v>7258</v>
      </c>
      <c r="AH809" t="s">
        <v>63</v>
      </c>
      <c r="AI809" t="s">
        <v>63</v>
      </c>
      <c r="AJ809" t="s">
        <v>63</v>
      </c>
      <c r="AK809" t="s">
        <v>63</v>
      </c>
      <c r="AL809" t="s">
        <v>63</v>
      </c>
      <c r="AM809" t="s">
        <v>7259</v>
      </c>
      <c r="AN809" t="s">
        <v>63</v>
      </c>
      <c r="AO809" t="s">
        <v>63</v>
      </c>
      <c r="AP809" t="s">
        <v>63</v>
      </c>
      <c r="AQ809" t="s">
        <v>63</v>
      </c>
      <c r="AR809" t="s">
        <v>63</v>
      </c>
      <c r="AS809" t="s">
        <v>63</v>
      </c>
      <c r="AT809" t="s">
        <v>63</v>
      </c>
      <c r="AU809" t="s">
        <v>63</v>
      </c>
      <c r="AV809" t="s">
        <v>63</v>
      </c>
      <c r="AW809" t="s">
        <v>63</v>
      </c>
      <c r="AX809" t="s">
        <v>63</v>
      </c>
      <c r="AY809" t="s">
        <v>63</v>
      </c>
      <c r="AZ809" t="s">
        <v>63</v>
      </c>
      <c r="BA809" t="s">
        <v>63</v>
      </c>
      <c r="BB809" t="s">
        <v>63</v>
      </c>
      <c r="BC809" t="s">
        <v>63</v>
      </c>
      <c r="BD809" t="s">
        <v>63</v>
      </c>
      <c r="BE809" t="s">
        <v>63</v>
      </c>
      <c r="BF809" t="s">
        <v>63</v>
      </c>
    </row>
    <row r="810" spans="1:58">
      <c r="A810" t="s">
        <v>58</v>
      </c>
      <c r="B810" t="s">
        <v>7260</v>
      </c>
      <c r="C810" t="s">
        <v>7261</v>
      </c>
      <c r="D810" t="s">
        <v>389</v>
      </c>
      <c r="E810" t="s">
        <v>63</v>
      </c>
      <c r="F810">
        <v>2000</v>
      </c>
      <c r="G810" t="s">
        <v>181</v>
      </c>
      <c r="H810">
        <v>21</v>
      </c>
      <c r="I810">
        <v>3</v>
      </c>
      <c r="J810">
        <v>149</v>
      </c>
      <c r="K810">
        <v>154</v>
      </c>
      <c r="L810" t="s">
        <v>63</v>
      </c>
      <c r="M810" t="s">
        <v>7262</v>
      </c>
      <c r="N810" t="s">
        <v>7263</v>
      </c>
      <c r="O810" t="s">
        <v>63</v>
      </c>
      <c r="Q810" t="s">
        <v>63</v>
      </c>
      <c r="R810" t="s">
        <v>63</v>
      </c>
      <c r="S810" t="s">
        <v>63</v>
      </c>
      <c r="T810" t="s">
        <v>63</v>
      </c>
      <c r="X810" t="s">
        <v>63</v>
      </c>
      <c r="Y810" t="s">
        <v>556</v>
      </c>
      <c r="Z810" t="s">
        <v>63</v>
      </c>
      <c r="AA810" t="s">
        <v>7264</v>
      </c>
      <c r="AB810">
        <v>12466655</v>
      </c>
      <c r="AC810" t="s">
        <v>67</v>
      </c>
      <c r="AD810" t="s">
        <v>63</v>
      </c>
      <c r="AE810" t="s">
        <v>63</v>
      </c>
      <c r="AF810" t="s">
        <v>63</v>
      </c>
      <c r="AG810" t="s">
        <v>7265</v>
      </c>
      <c r="AH810" t="s">
        <v>63</v>
      </c>
      <c r="AI810" t="s">
        <v>63</v>
      </c>
      <c r="AJ810" t="s">
        <v>63</v>
      </c>
      <c r="AK810" t="s">
        <v>63</v>
      </c>
      <c r="AL810" t="s">
        <v>63</v>
      </c>
      <c r="AM810" t="s">
        <v>7266</v>
      </c>
      <c r="AN810" t="s">
        <v>63</v>
      </c>
      <c r="AO810" t="s">
        <v>63</v>
      </c>
      <c r="AP810" t="s">
        <v>63</v>
      </c>
      <c r="AQ810" t="s">
        <v>63</v>
      </c>
      <c r="AR810" t="s">
        <v>63</v>
      </c>
      <c r="AS810" t="s">
        <v>63</v>
      </c>
      <c r="AT810" t="s">
        <v>63</v>
      </c>
      <c r="AU810" t="s">
        <v>63</v>
      </c>
      <c r="AV810" t="s">
        <v>63</v>
      </c>
      <c r="AW810" t="s">
        <v>63</v>
      </c>
      <c r="AX810" t="s">
        <v>63</v>
      </c>
      <c r="AY810" t="s">
        <v>63</v>
      </c>
      <c r="AZ810" t="s">
        <v>63</v>
      </c>
      <c r="BA810" t="s">
        <v>63</v>
      </c>
      <c r="BB810" t="s">
        <v>63</v>
      </c>
      <c r="BC810" t="s">
        <v>63</v>
      </c>
      <c r="BD810" t="s">
        <v>63</v>
      </c>
      <c r="BE810" t="s">
        <v>63</v>
      </c>
      <c r="BF810" t="s">
        <v>63</v>
      </c>
    </row>
    <row r="811" spans="1:58">
      <c r="A811" t="s">
        <v>58</v>
      </c>
      <c r="B811" t="s">
        <v>7267</v>
      </c>
      <c r="C811" t="s">
        <v>7268</v>
      </c>
      <c r="D811" t="s">
        <v>1314</v>
      </c>
      <c r="E811" t="s">
        <v>63</v>
      </c>
      <c r="F811">
        <v>2016</v>
      </c>
      <c r="G811">
        <v>9</v>
      </c>
      <c r="H811">
        <v>12</v>
      </c>
      <c r="I811">
        <v>3</v>
      </c>
      <c r="J811">
        <v>289</v>
      </c>
      <c r="K811">
        <v>294</v>
      </c>
      <c r="L811" t="s">
        <v>7269</v>
      </c>
      <c r="M811" t="s">
        <v>7270</v>
      </c>
      <c r="N811" t="s">
        <v>7271</v>
      </c>
      <c r="O811" t="s">
        <v>63</v>
      </c>
      <c r="Q811" t="s">
        <v>63</v>
      </c>
      <c r="R811" t="s">
        <v>63</v>
      </c>
      <c r="S811" t="s">
        <v>63</v>
      </c>
      <c r="T811" t="s">
        <v>63</v>
      </c>
      <c r="X811" t="s">
        <v>63</v>
      </c>
      <c r="Y811" t="s">
        <v>1317</v>
      </c>
      <c r="Z811" t="s">
        <v>63</v>
      </c>
      <c r="AA811" t="s">
        <v>7272</v>
      </c>
      <c r="AB811">
        <v>27037564</v>
      </c>
      <c r="AC811" t="s">
        <v>67</v>
      </c>
      <c r="AD811" t="s">
        <v>63</v>
      </c>
      <c r="AE811" t="s">
        <v>63</v>
      </c>
      <c r="AF811" t="s">
        <v>63</v>
      </c>
      <c r="AG811" t="s">
        <v>7273</v>
      </c>
      <c r="AH811" t="s">
        <v>63</v>
      </c>
      <c r="AI811" t="s">
        <v>7274</v>
      </c>
      <c r="AJ811" t="s">
        <v>63</v>
      </c>
      <c r="AK811" t="s">
        <v>63</v>
      </c>
      <c r="AL811" t="s">
        <v>63</v>
      </c>
      <c r="AM811" t="s">
        <v>7275</v>
      </c>
      <c r="AN811" t="s">
        <v>63</v>
      </c>
      <c r="AO811" t="s">
        <v>63</v>
      </c>
      <c r="AP811" t="s">
        <v>63</v>
      </c>
      <c r="AQ811" t="s">
        <v>63</v>
      </c>
      <c r="AR811" t="s">
        <v>63</v>
      </c>
      <c r="AS811" t="s">
        <v>63</v>
      </c>
      <c r="AT811" t="s">
        <v>63</v>
      </c>
      <c r="AU811" t="s">
        <v>63</v>
      </c>
      <c r="AV811" t="s">
        <v>63</v>
      </c>
      <c r="AW811" t="s">
        <v>63</v>
      </c>
      <c r="AX811" t="s">
        <v>63</v>
      </c>
      <c r="AY811" t="s">
        <v>63</v>
      </c>
      <c r="AZ811" t="s">
        <v>63</v>
      </c>
      <c r="BA811" t="s">
        <v>63</v>
      </c>
      <c r="BB811" t="s">
        <v>63</v>
      </c>
      <c r="BC811" t="s">
        <v>63</v>
      </c>
      <c r="BD811" t="s">
        <v>63</v>
      </c>
      <c r="BE811" t="s">
        <v>63</v>
      </c>
      <c r="BF811" t="s">
        <v>63</v>
      </c>
    </row>
    <row r="812" spans="1:58">
      <c r="A812" t="s">
        <v>58</v>
      </c>
      <c r="B812" t="s">
        <v>7276</v>
      </c>
      <c r="C812" t="s">
        <v>7277</v>
      </c>
      <c r="D812" t="s">
        <v>1240</v>
      </c>
      <c r="E812" t="s">
        <v>63</v>
      </c>
      <c r="F812">
        <v>1998</v>
      </c>
      <c r="G812" t="s">
        <v>84</v>
      </c>
      <c r="H812">
        <v>48</v>
      </c>
      <c r="I812">
        <v>429</v>
      </c>
      <c r="J812">
        <v>1159</v>
      </c>
      <c r="K812">
        <v>1160</v>
      </c>
      <c r="L812" t="s">
        <v>7278</v>
      </c>
      <c r="M812" t="s">
        <v>7279</v>
      </c>
      <c r="N812" t="s">
        <v>7280</v>
      </c>
      <c r="O812" t="s">
        <v>63</v>
      </c>
      <c r="Q812" t="s">
        <v>63</v>
      </c>
      <c r="R812" t="s">
        <v>63</v>
      </c>
      <c r="S812" t="s">
        <v>63</v>
      </c>
      <c r="T812" t="s">
        <v>63</v>
      </c>
      <c r="X812" t="s">
        <v>63</v>
      </c>
      <c r="Y812" t="s">
        <v>2376</v>
      </c>
      <c r="Z812" t="s">
        <v>63</v>
      </c>
      <c r="AA812" t="s">
        <v>7281</v>
      </c>
      <c r="AB812">
        <v>9667092</v>
      </c>
      <c r="AC812" t="s">
        <v>67</v>
      </c>
      <c r="AD812" t="s">
        <v>63</v>
      </c>
      <c r="AE812" t="s">
        <v>63</v>
      </c>
      <c r="AF812" t="s">
        <v>63</v>
      </c>
      <c r="AG812" t="s">
        <v>7282</v>
      </c>
      <c r="AH812" t="s">
        <v>63</v>
      </c>
      <c r="AI812" t="s">
        <v>63</v>
      </c>
      <c r="AJ812" t="s">
        <v>63</v>
      </c>
      <c r="AK812" t="s">
        <v>63</v>
      </c>
      <c r="AL812" t="s">
        <v>63</v>
      </c>
      <c r="AM812" t="s">
        <v>7283</v>
      </c>
      <c r="AN812" t="s">
        <v>63</v>
      </c>
      <c r="AO812" t="s">
        <v>63</v>
      </c>
      <c r="AP812" t="s">
        <v>63</v>
      </c>
      <c r="AQ812" t="s">
        <v>63</v>
      </c>
      <c r="AR812" t="s">
        <v>63</v>
      </c>
      <c r="AS812" t="s">
        <v>63</v>
      </c>
      <c r="AT812" t="s">
        <v>63</v>
      </c>
      <c r="AU812" t="s">
        <v>63</v>
      </c>
      <c r="AV812" t="s">
        <v>63</v>
      </c>
      <c r="AW812" t="s">
        <v>63</v>
      </c>
      <c r="AX812" t="s">
        <v>63</v>
      </c>
      <c r="AY812" t="s">
        <v>63</v>
      </c>
      <c r="AZ812" t="s">
        <v>63</v>
      </c>
      <c r="BA812" t="s">
        <v>63</v>
      </c>
      <c r="BB812" t="s">
        <v>63</v>
      </c>
      <c r="BC812" t="s">
        <v>63</v>
      </c>
      <c r="BD812" t="s">
        <v>63</v>
      </c>
      <c r="BE812" t="s">
        <v>63</v>
      </c>
      <c r="BF812" t="s">
        <v>63</v>
      </c>
    </row>
    <row r="813" spans="1:58">
      <c r="A813" t="s">
        <v>58</v>
      </c>
      <c r="B813" t="s">
        <v>7284</v>
      </c>
      <c r="C813" t="s">
        <v>7285</v>
      </c>
      <c r="D813" t="s">
        <v>4116</v>
      </c>
      <c r="E813" t="s">
        <v>4117</v>
      </c>
      <c r="F813">
        <v>1982</v>
      </c>
      <c r="G813" t="s">
        <v>189</v>
      </c>
      <c r="H813">
        <v>43</v>
      </c>
      <c r="I813">
        <v>5</v>
      </c>
      <c r="J813">
        <v>488</v>
      </c>
      <c r="K813">
        <v>496</v>
      </c>
      <c r="L813" t="s">
        <v>7286</v>
      </c>
      <c r="M813" t="s">
        <v>63</v>
      </c>
      <c r="N813" t="s">
        <v>7287</v>
      </c>
      <c r="O813" t="s">
        <v>63</v>
      </c>
      <c r="Q813" t="s">
        <v>63</v>
      </c>
      <c r="R813" t="s">
        <v>63</v>
      </c>
      <c r="S813" t="s">
        <v>63</v>
      </c>
      <c r="T813" t="s">
        <v>63</v>
      </c>
      <c r="X813" t="s">
        <v>63</v>
      </c>
      <c r="Y813" t="s">
        <v>4121</v>
      </c>
      <c r="Z813" t="s">
        <v>63</v>
      </c>
      <c r="AA813" t="s">
        <v>63</v>
      </c>
      <c r="AB813">
        <v>7144181</v>
      </c>
      <c r="AC813" t="s">
        <v>67</v>
      </c>
      <c r="AD813" t="s">
        <v>63</v>
      </c>
      <c r="AE813" t="s">
        <v>63</v>
      </c>
      <c r="AF813" t="s">
        <v>63</v>
      </c>
      <c r="AG813" t="s">
        <v>7288</v>
      </c>
      <c r="AH813" t="s">
        <v>63</v>
      </c>
      <c r="AI813" t="s">
        <v>63</v>
      </c>
      <c r="AJ813" t="s">
        <v>63</v>
      </c>
      <c r="AK813" t="s">
        <v>63</v>
      </c>
      <c r="AL813" t="s">
        <v>63</v>
      </c>
      <c r="AM813" t="s">
        <v>7289</v>
      </c>
      <c r="AN813" t="s">
        <v>63</v>
      </c>
      <c r="AO813" t="s">
        <v>63</v>
      </c>
      <c r="AP813" t="s">
        <v>63</v>
      </c>
      <c r="AQ813" t="s">
        <v>63</v>
      </c>
      <c r="AR813" t="s">
        <v>63</v>
      </c>
      <c r="AS813" t="s">
        <v>63</v>
      </c>
      <c r="AT813" t="s">
        <v>63</v>
      </c>
      <c r="AU813" t="s">
        <v>63</v>
      </c>
      <c r="AV813" t="s">
        <v>63</v>
      </c>
      <c r="AW813" t="s">
        <v>63</v>
      </c>
      <c r="AX813" t="s">
        <v>63</v>
      </c>
      <c r="AY813" t="s">
        <v>63</v>
      </c>
      <c r="AZ813" t="s">
        <v>63</v>
      </c>
      <c r="BA813" t="s">
        <v>63</v>
      </c>
      <c r="BB813" t="s">
        <v>63</v>
      </c>
      <c r="BC813" t="s">
        <v>63</v>
      </c>
      <c r="BD813" t="s">
        <v>63</v>
      </c>
      <c r="BE813" t="s">
        <v>63</v>
      </c>
      <c r="BF813" t="s">
        <v>63</v>
      </c>
    </row>
    <row r="814" spans="1:58">
      <c r="A814" t="s">
        <v>58</v>
      </c>
      <c r="B814" t="s">
        <v>7290</v>
      </c>
      <c r="C814" t="s">
        <v>7291</v>
      </c>
      <c r="D814" t="s">
        <v>4116</v>
      </c>
      <c r="E814" t="s">
        <v>4117</v>
      </c>
      <c r="F814">
        <v>1984</v>
      </c>
      <c r="G814" t="s">
        <v>181</v>
      </c>
      <c r="H814">
        <v>45</v>
      </c>
      <c r="I814">
        <v>5</v>
      </c>
      <c r="J814">
        <v>453</v>
      </c>
      <c r="K814">
        <v>459</v>
      </c>
      <c r="L814" t="s">
        <v>7292</v>
      </c>
      <c r="M814" t="s">
        <v>7293</v>
      </c>
      <c r="N814" t="s">
        <v>7294</v>
      </c>
      <c r="O814" t="s">
        <v>63</v>
      </c>
      <c r="Q814" t="s">
        <v>63</v>
      </c>
      <c r="R814" t="s">
        <v>63</v>
      </c>
      <c r="S814" t="s">
        <v>63</v>
      </c>
      <c r="T814" t="s">
        <v>63</v>
      </c>
      <c r="X814" t="s">
        <v>63</v>
      </c>
      <c r="Y814" t="s">
        <v>4121</v>
      </c>
      <c r="Z814" t="s">
        <v>63</v>
      </c>
      <c r="AA814" t="s">
        <v>63</v>
      </c>
      <c r="AB814">
        <v>6503291</v>
      </c>
      <c r="AC814" t="s">
        <v>67</v>
      </c>
      <c r="AD814" t="s">
        <v>63</v>
      </c>
      <c r="AE814" t="s">
        <v>63</v>
      </c>
      <c r="AF814" t="s">
        <v>63</v>
      </c>
      <c r="AG814" t="s">
        <v>7295</v>
      </c>
      <c r="AH814" t="s">
        <v>63</v>
      </c>
      <c r="AI814" t="s">
        <v>63</v>
      </c>
      <c r="AJ814" t="s">
        <v>63</v>
      </c>
      <c r="AK814" t="s">
        <v>63</v>
      </c>
      <c r="AL814" t="s">
        <v>63</v>
      </c>
      <c r="AM814" t="s">
        <v>7296</v>
      </c>
      <c r="AN814" t="s">
        <v>63</v>
      </c>
      <c r="AO814" t="s">
        <v>63</v>
      </c>
      <c r="AP814" t="s">
        <v>63</v>
      </c>
      <c r="AQ814" t="s">
        <v>63</v>
      </c>
      <c r="AR814" t="s">
        <v>63</v>
      </c>
      <c r="AS814" t="s">
        <v>63</v>
      </c>
      <c r="AT814" t="s">
        <v>63</v>
      </c>
      <c r="AU814" t="s">
        <v>63</v>
      </c>
      <c r="AV814" t="s">
        <v>63</v>
      </c>
      <c r="AW814" t="s">
        <v>63</v>
      </c>
      <c r="AX814" t="s">
        <v>63</v>
      </c>
      <c r="AY814" t="s">
        <v>63</v>
      </c>
      <c r="AZ814" t="s">
        <v>63</v>
      </c>
      <c r="BA814" t="s">
        <v>63</v>
      </c>
      <c r="BB814" t="s">
        <v>63</v>
      </c>
      <c r="BC814" t="s">
        <v>63</v>
      </c>
      <c r="BD814" t="s">
        <v>63</v>
      </c>
      <c r="BE814" t="s">
        <v>63</v>
      </c>
      <c r="BF814" t="s">
        <v>63</v>
      </c>
    </row>
    <row r="815" spans="1:58">
      <c r="A815" t="s">
        <v>58</v>
      </c>
      <c r="B815" t="s">
        <v>7297</v>
      </c>
      <c r="C815" t="s">
        <v>7298</v>
      </c>
      <c r="D815" t="s">
        <v>360</v>
      </c>
      <c r="E815" t="s">
        <v>63</v>
      </c>
      <c r="F815">
        <v>1974</v>
      </c>
      <c r="G815" t="s">
        <v>63</v>
      </c>
      <c r="H815">
        <v>1</v>
      </c>
      <c r="I815">
        <v>3</v>
      </c>
      <c r="J815">
        <v>313</v>
      </c>
      <c r="K815">
        <v>327</v>
      </c>
      <c r="L815" t="s">
        <v>7299</v>
      </c>
      <c r="M815" t="s">
        <v>63</v>
      </c>
      <c r="N815" t="s">
        <v>7300</v>
      </c>
      <c r="O815" t="s">
        <v>63</v>
      </c>
      <c r="Q815" t="s">
        <v>63</v>
      </c>
      <c r="R815" t="s">
        <v>63</v>
      </c>
      <c r="S815" t="s">
        <v>63</v>
      </c>
      <c r="T815" t="s">
        <v>63</v>
      </c>
      <c r="X815" t="s">
        <v>63</v>
      </c>
      <c r="Y815" t="s">
        <v>1683</v>
      </c>
      <c r="Z815" t="s">
        <v>63</v>
      </c>
      <c r="AA815" t="s">
        <v>63</v>
      </c>
      <c r="AB815">
        <v>4219715</v>
      </c>
      <c r="AC815" t="s">
        <v>67</v>
      </c>
      <c r="AD815" t="s">
        <v>63</v>
      </c>
      <c r="AE815" t="s">
        <v>63</v>
      </c>
      <c r="AF815" t="s">
        <v>63</v>
      </c>
      <c r="AG815" t="s">
        <v>7301</v>
      </c>
      <c r="AH815" t="s">
        <v>63</v>
      </c>
      <c r="AI815" t="s">
        <v>63</v>
      </c>
      <c r="AJ815" t="s">
        <v>63</v>
      </c>
      <c r="AK815" t="s">
        <v>63</v>
      </c>
      <c r="AL815" t="s">
        <v>63</v>
      </c>
      <c r="AM815" t="s">
        <v>7302</v>
      </c>
      <c r="AN815" t="s">
        <v>63</v>
      </c>
      <c r="AO815" t="s">
        <v>63</v>
      </c>
      <c r="AP815" t="s">
        <v>63</v>
      </c>
      <c r="AQ815" t="s">
        <v>63</v>
      </c>
      <c r="AR815" t="s">
        <v>63</v>
      </c>
      <c r="AS815" t="s">
        <v>63</v>
      </c>
      <c r="AT815" t="s">
        <v>63</v>
      </c>
      <c r="AU815" t="s">
        <v>63</v>
      </c>
      <c r="AV815" t="s">
        <v>63</v>
      </c>
      <c r="AW815" t="s">
        <v>63</v>
      </c>
      <c r="AX815" t="s">
        <v>63</v>
      </c>
      <c r="AY815" t="s">
        <v>63</v>
      </c>
      <c r="AZ815" t="s">
        <v>63</v>
      </c>
      <c r="BA815" t="s">
        <v>63</v>
      </c>
      <c r="BB815" t="s">
        <v>63</v>
      </c>
      <c r="BC815" t="s">
        <v>63</v>
      </c>
      <c r="BD815" t="s">
        <v>63</v>
      </c>
      <c r="BE815" t="s">
        <v>63</v>
      </c>
      <c r="BF815" t="s">
        <v>63</v>
      </c>
    </row>
    <row r="816" spans="1:58">
      <c r="A816" t="s">
        <v>58</v>
      </c>
      <c r="B816" t="s">
        <v>7303</v>
      </c>
      <c r="C816" t="s">
        <v>7304</v>
      </c>
      <c r="D816" t="s">
        <v>7305</v>
      </c>
      <c r="E816" t="s">
        <v>63</v>
      </c>
      <c r="F816">
        <v>2015</v>
      </c>
      <c r="G816" t="s">
        <v>189</v>
      </c>
      <c r="H816">
        <v>27</v>
      </c>
      <c r="I816">
        <v>2</v>
      </c>
      <c r="J816">
        <v>231</v>
      </c>
      <c r="K816">
        <v>233</v>
      </c>
      <c r="L816" t="s">
        <v>7306</v>
      </c>
      <c r="M816" t="s">
        <v>7307</v>
      </c>
      <c r="N816" t="s">
        <v>7308</v>
      </c>
      <c r="O816" t="s">
        <v>63</v>
      </c>
      <c r="Q816" t="s">
        <v>63</v>
      </c>
      <c r="R816" t="s">
        <v>63</v>
      </c>
      <c r="S816" t="s">
        <v>63</v>
      </c>
      <c r="T816" t="s">
        <v>63</v>
      </c>
      <c r="X816" t="s">
        <v>63</v>
      </c>
      <c r="Y816" t="s">
        <v>7309</v>
      </c>
      <c r="Z816" t="s">
        <v>63</v>
      </c>
      <c r="AA816" t="s">
        <v>63</v>
      </c>
      <c r="AB816">
        <v>25411994</v>
      </c>
      <c r="AC816" t="s">
        <v>67</v>
      </c>
      <c r="AD816" t="s">
        <v>63</v>
      </c>
      <c r="AE816" t="s">
        <v>63</v>
      </c>
      <c r="AF816" t="s">
        <v>63</v>
      </c>
      <c r="AG816" t="s">
        <v>7310</v>
      </c>
      <c r="AH816" t="s">
        <v>63</v>
      </c>
      <c r="AI816" t="s">
        <v>7311</v>
      </c>
      <c r="AJ816" t="s">
        <v>63</v>
      </c>
      <c r="AK816" t="s">
        <v>63</v>
      </c>
      <c r="AL816" t="s">
        <v>63</v>
      </c>
      <c r="AM816" t="s">
        <v>7312</v>
      </c>
      <c r="AN816" t="s">
        <v>63</v>
      </c>
      <c r="AO816" t="s">
        <v>63</v>
      </c>
      <c r="AP816" t="s">
        <v>63</v>
      </c>
      <c r="AQ816" t="s">
        <v>63</v>
      </c>
      <c r="AR816" t="s">
        <v>63</v>
      </c>
      <c r="AS816" t="s">
        <v>63</v>
      </c>
      <c r="AT816" t="s">
        <v>63</v>
      </c>
      <c r="AU816" t="s">
        <v>63</v>
      </c>
      <c r="AV816" t="s">
        <v>63</v>
      </c>
      <c r="AW816" t="s">
        <v>63</v>
      </c>
      <c r="AX816" t="s">
        <v>63</v>
      </c>
      <c r="AY816" t="s">
        <v>63</v>
      </c>
      <c r="AZ816" t="s">
        <v>63</v>
      </c>
      <c r="BA816" t="s">
        <v>63</v>
      </c>
      <c r="BB816" t="s">
        <v>63</v>
      </c>
      <c r="BC816" t="s">
        <v>63</v>
      </c>
      <c r="BD816" t="s">
        <v>63</v>
      </c>
      <c r="BE816" t="s">
        <v>63</v>
      </c>
      <c r="BF816" t="s">
        <v>63</v>
      </c>
    </row>
    <row r="817" spans="1:58">
      <c r="A817" t="s">
        <v>58</v>
      </c>
      <c r="B817" t="s">
        <v>7313</v>
      </c>
      <c r="C817" t="s">
        <v>7314</v>
      </c>
      <c r="D817" t="s">
        <v>7315</v>
      </c>
      <c r="E817" t="s">
        <v>7316</v>
      </c>
      <c r="F817">
        <v>1988</v>
      </c>
      <c r="G817" t="s">
        <v>63</v>
      </c>
      <c r="H817" t="s">
        <v>63</v>
      </c>
      <c r="I817">
        <v>12</v>
      </c>
      <c r="J817">
        <v>25</v>
      </c>
      <c r="K817">
        <v>28</v>
      </c>
      <c r="L817" t="s">
        <v>7317</v>
      </c>
      <c r="M817" t="s">
        <v>63</v>
      </c>
      <c r="N817" t="s">
        <v>7318</v>
      </c>
      <c r="O817" t="s">
        <v>63</v>
      </c>
      <c r="Q817" t="s">
        <v>63</v>
      </c>
      <c r="R817" t="s">
        <v>63</v>
      </c>
      <c r="S817" t="s">
        <v>63</v>
      </c>
      <c r="T817" t="s">
        <v>63</v>
      </c>
      <c r="X817" t="s">
        <v>63</v>
      </c>
      <c r="Y817" t="s">
        <v>7319</v>
      </c>
      <c r="Z817" t="s">
        <v>63</v>
      </c>
      <c r="AA817" t="s">
        <v>63</v>
      </c>
      <c r="AB817">
        <v>3255180</v>
      </c>
      <c r="AC817" t="s">
        <v>5266</v>
      </c>
      <c r="AD817" t="s">
        <v>63</v>
      </c>
      <c r="AE817" t="s">
        <v>63</v>
      </c>
      <c r="AF817" t="s">
        <v>63</v>
      </c>
      <c r="AG817" t="s">
        <v>7320</v>
      </c>
      <c r="AH817" t="s">
        <v>63</v>
      </c>
      <c r="AI817" t="s">
        <v>63</v>
      </c>
      <c r="AJ817" t="s">
        <v>63</v>
      </c>
      <c r="AK817" t="s">
        <v>63</v>
      </c>
      <c r="AL817" t="s">
        <v>63</v>
      </c>
      <c r="AM817" t="s">
        <v>7321</v>
      </c>
      <c r="AN817" t="s">
        <v>63</v>
      </c>
      <c r="AO817" t="s">
        <v>63</v>
      </c>
      <c r="AP817" t="s">
        <v>63</v>
      </c>
      <c r="AQ817" t="s">
        <v>63</v>
      </c>
      <c r="AR817" t="s">
        <v>63</v>
      </c>
      <c r="AS817" t="s">
        <v>63</v>
      </c>
      <c r="AT817" t="s">
        <v>63</v>
      </c>
      <c r="AU817" t="s">
        <v>63</v>
      </c>
      <c r="AV817" t="s">
        <v>63</v>
      </c>
      <c r="AW817" t="s">
        <v>63</v>
      </c>
      <c r="AX817" t="s">
        <v>63</v>
      </c>
      <c r="AY817" t="s">
        <v>63</v>
      </c>
      <c r="AZ817" t="s">
        <v>63</v>
      </c>
      <c r="BA817" t="s">
        <v>63</v>
      </c>
      <c r="BB817" t="s">
        <v>63</v>
      </c>
      <c r="BC817" t="s">
        <v>63</v>
      </c>
      <c r="BD817" t="s">
        <v>63</v>
      </c>
      <c r="BE817" t="s">
        <v>63</v>
      </c>
      <c r="BF817" t="s">
        <v>63</v>
      </c>
    </row>
    <row r="818" spans="1:58">
      <c r="A818" t="s">
        <v>58</v>
      </c>
      <c r="B818" t="s">
        <v>7322</v>
      </c>
      <c r="C818" t="s">
        <v>7323</v>
      </c>
      <c r="D818" t="s">
        <v>1993</v>
      </c>
      <c r="E818" t="s">
        <v>1994</v>
      </c>
      <c r="F818">
        <v>2006</v>
      </c>
      <c r="G818" t="s">
        <v>181</v>
      </c>
      <c r="H818">
        <v>89</v>
      </c>
      <c r="I818">
        <v>9</v>
      </c>
      <c r="J818">
        <v>12</v>
      </c>
      <c r="K818">
        <v>13</v>
      </c>
      <c r="L818" t="s">
        <v>7324</v>
      </c>
      <c r="M818" t="s">
        <v>63</v>
      </c>
      <c r="N818" t="s">
        <v>7325</v>
      </c>
      <c r="O818" t="s">
        <v>63</v>
      </c>
      <c r="Q818" t="s">
        <v>63</v>
      </c>
      <c r="R818" t="s">
        <v>63</v>
      </c>
      <c r="S818" t="s">
        <v>63</v>
      </c>
      <c r="T818" t="s">
        <v>63</v>
      </c>
      <c r="X818" t="s">
        <v>63</v>
      </c>
      <c r="Y818" t="s">
        <v>1997</v>
      </c>
      <c r="Z818" t="s">
        <v>63</v>
      </c>
      <c r="AA818" t="s">
        <v>63</v>
      </c>
      <c r="AB818">
        <v>17024916</v>
      </c>
      <c r="AC818" t="s">
        <v>67</v>
      </c>
      <c r="AD818" t="s">
        <v>63</v>
      </c>
      <c r="AE818" t="s">
        <v>63</v>
      </c>
      <c r="AF818" t="s">
        <v>63</v>
      </c>
      <c r="AG818" t="s">
        <v>7326</v>
      </c>
      <c r="AH818" t="s">
        <v>63</v>
      </c>
      <c r="AI818" t="s">
        <v>63</v>
      </c>
      <c r="AJ818" t="s">
        <v>63</v>
      </c>
      <c r="AK818" t="s">
        <v>63</v>
      </c>
      <c r="AL818" t="s">
        <v>63</v>
      </c>
      <c r="AM818" t="s">
        <v>7327</v>
      </c>
      <c r="AN818" t="s">
        <v>63</v>
      </c>
      <c r="AO818" t="s">
        <v>63</v>
      </c>
      <c r="AP818" t="s">
        <v>63</v>
      </c>
      <c r="AQ818" t="s">
        <v>63</v>
      </c>
      <c r="AR818" t="s">
        <v>63</v>
      </c>
      <c r="AS818" t="s">
        <v>63</v>
      </c>
      <c r="AT818" t="s">
        <v>63</v>
      </c>
      <c r="AU818" t="s">
        <v>63</v>
      </c>
      <c r="AV818" t="s">
        <v>63</v>
      </c>
      <c r="AW818" t="s">
        <v>63</v>
      </c>
      <c r="AX818" t="s">
        <v>63</v>
      </c>
      <c r="AY818" t="s">
        <v>63</v>
      </c>
      <c r="AZ818" t="s">
        <v>63</v>
      </c>
      <c r="BA818" t="s">
        <v>63</v>
      </c>
      <c r="BB818" t="s">
        <v>63</v>
      </c>
      <c r="BC818" t="s">
        <v>63</v>
      </c>
      <c r="BD818" t="s">
        <v>63</v>
      </c>
      <c r="BE818" t="s">
        <v>63</v>
      </c>
      <c r="BF818" t="s">
        <v>63</v>
      </c>
    </row>
    <row r="819" spans="1:58">
      <c r="A819" t="s">
        <v>58</v>
      </c>
      <c r="B819" t="s">
        <v>7328</v>
      </c>
      <c r="C819" t="s">
        <v>7329</v>
      </c>
      <c r="D819" t="s">
        <v>3007</v>
      </c>
      <c r="E819" t="s">
        <v>3008</v>
      </c>
      <c r="F819">
        <v>1999</v>
      </c>
      <c r="G819" t="s">
        <v>73</v>
      </c>
      <c r="H819">
        <v>22</v>
      </c>
      <c r="I819">
        <v>2</v>
      </c>
      <c r="J819">
        <v>471</v>
      </c>
      <c r="K819" t="s">
        <v>7330</v>
      </c>
      <c r="L819" t="s">
        <v>7331</v>
      </c>
      <c r="M819" t="s">
        <v>7332</v>
      </c>
      <c r="N819" t="s">
        <v>7333</v>
      </c>
      <c r="O819" t="s">
        <v>63</v>
      </c>
      <c r="Q819" t="s">
        <v>63</v>
      </c>
      <c r="R819" t="s">
        <v>63</v>
      </c>
      <c r="S819" t="s">
        <v>63</v>
      </c>
      <c r="T819" t="s">
        <v>63</v>
      </c>
      <c r="X819" t="s">
        <v>63</v>
      </c>
      <c r="Y819" t="s">
        <v>3740</v>
      </c>
      <c r="Z819" t="s">
        <v>63</v>
      </c>
      <c r="AA819" t="s">
        <v>7334</v>
      </c>
      <c r="AB819">
        <v>10385944</v>
      </c>
      <c r="AC819" t="s">
        <v>67</v>
      </c>
      <c r="AD819" t="s">
        <v>63</v>
      </c>
      <c r="AE819" t="s">
        <v>63</v>
      </c>
      <c r="AF819" t="s">
        <v>63</v>
      </c>
      <c r="AG819" t="s">
        <v>7335</v>
      </c>
      <c r="AH819" t="s">
        <v>63</v>
      </c>
      <c r="AI819" t="s">
        <v>63</v>
      </c>
      <c r="AJ819" t="s">
        <v>63</v>
      </c>
      <c r="AK819" t="s">
        <v>63</v>
      </c>
      <c r="AL819" t="s">
        <v>63</v>
      </c>
      <c r="AM819" t="s">
        <v>7336</v>
      </c>
      <c r="AN819" t="s">
        <v>63</v>
      </c>
      <c r="AO819" t="s">
        <v>63</v>
      </c>
      <c r="AP819" t="s">
        <v>63</v>
      </c>
      <c r="AQ819" t="s">
        <v>63</v>
      </c>
      <c r="AR819" t="s">
        <v>63</v>
      </c>
      <c r="AS819" t="s">
        <v>63</v>
      </c>
      <c r="AT819" t="s">
        <v>63</v>
      </c>
      <c r="AU819" t="s">
        <v>63</v>
      </c>
      <c r="AV819" t="s">
        <v>63</v>
      </c>
      <c r="AW819" t="s">
        <v>63</v>
      </c>
      <c r="AX819" t="s">
        <v>63</v>
      </c>
      <c r="AY819" t="s">
        <v>63</v>
      </c>
      <c r="AZ819" t="s">
        <v>63</v>
      </c>
      <c r="BA819" t="s">
        <v>63</v>
      </c>
      <c r="BB819" t="s">
        <v>63</v>
      </c>
      <c r="BC819" t="s">
        <v>63</v>
      </c>
      <c r="BD819" t="s">
        <v>63</v>
      </c>
      <c r="BE819" t="s">
        <v>63</v>
      </c>
      <c r="BF819" t="s">
        <v>63</v>
      </c>
    </row>
    <row r="820" spans="1:58">
      <c r="A820" t="s">
        <v>58</v>
      </c>
      <c r="B820" t="s">
        <v>7337</v>
      </c>
      <c r="C820" t="s">
        <v>7338</v>
      </c>
      <c r="D820" t="s">
        <v>1728</v>
      </c>
      <c r="E820" t="s">
        <v>1729</v>
      </c>
      <c r="F820">
        <v>1997</v>
      </c>
      <c r="G820" t="s">
        <v>1737</v>
      </c>
      <c r="H820">
        <v>29</v>
      </c>
      <c r="I820">
        <v>3</v>
      </c>
      <c r="J820">
        <v>263</v>
      </c>
      <c r="K820">
        <v>268</v>
      </c>
      <c r="L820" t="s">
        <v>7339</v>
      </c>
      <c r="M820" t="s">
        <v>7340</v>
      </c>
      <c r="N820" t="s">
        <v>7341</v>
      </c>
      <c r="O820" t="s">
        <v>63</v>
      </c>
      <c r="Q820" t="s">
        <v>63</v>
      </c>
      <c r="R820" t="s">
        <v>63</v>
      </c>
      <c r="S820" t="s">
        <v>63</v>
      </c>
      <c r="T820" t="s">
        <v>63</v>
      </c>
      <c r="X820" t="s">
        <v>63</v>
      </c>
      <c r="Y820" t="s">
        <v>1733</v>
      </c>
      <c r="Z820" t="s">
        <v>63</v>
      </c>
      <c r="AA820" t="s">
        <v>7342</v>
      </c>
      <c r="AB820">
        <v>9339858</v>
      </c>
      <c r="AC820" t="s">
        <v>67</v>
      </c>
      <c r="AD820" t="s">
        <v>63</v>
      </c>
      <c r="AE820" t="s">
        <v>63</v>
      </c>
      <c r="AF820" t="s">
        <v>63</v>
      </c>
      <c r="AG820" t="s">
        <v>7343</v>
      </c>
      <c r="AH820" t="s">
        <v>63</v>
      </c>
      <c r="AI820" t="s">
        <v>63</v>
      </c>
      <c r="AJ820" t="s">
        <v>63</v>
      </c>
      <c r="AK820" t="s">
        <v>63</v>
      </c>
      <c r="AL820" t="s">
        <v>63</v>
      </c>
      <c r="AM820" t="s">
        <v>7344</v>
      </c>
      <c r="AN820" t="s">
        <v>63</v>
      </c>
      <c r="AO820" t="s">
        <v>63</v>
      </c>
      <c r="AP820" t="s">
        <v>63</v>
      </c>
      <c r="AQ820" t="s">
        <v>63</v>
      </c>
      <c r="AR820" t="s">
        <v>63</v>
      </c>
      <c r="AS820" t="s">
        <v>63</v>
      </c>
      <c r="AT820" t="s">
        <v>63</v>
      </c>
      <c r="AU820" t="s">
        <v>63</v>
      </c>
      <c r="AV820" t="s">
        <v>63</v>
      </c>
      <c r="AW820" t="s">
        <v>63</v>
      </c>
      <c r="AX820" t="s">
        <v>63</v>
      </c>
      <c r="AY820" t="s">
        <v>63</v>
      </c>
      <c r="AZ820" t="s">
        <v>63</v>
      </c>
      <c r="BA820" t="s">
        <v>63</v>
      </c>
      <c r="BB820" t="s">
        <v>63</v>
      </c>
      <c r="BC820" t="s">
        <v>63</v>
      </c>
      <c r="BD820" t="s">
        <v>63</v>
      </c>
      <c r="BE820" t="s">
        <v>63</v>
      </c>
      <c r="BF820" t="s">
        <v>63</v>
      </c>
    </row>
    <row r="821" spans="1:58">
      <c r="A821" t="s">
        <v>58</v>
      </c>
      <c r="B821" t="s">
        <v>7345</v>
      </c>
      <c r="C821" t="s">
        <v>7346</v>
      </c>
      <c r="D821" t="s">
        <v>3253</v>
      </c>
      <c r="E821" t="s">
        <v>63</v>
      </c>
      <c r="F821">
        <v>2012</v>
      </c>
      <c r="G821" s="1">
        <v>41709</v>
      </c>
      <c r="H821">
        <v>9</v>
      </c>
      <c r="I821" t="s">
        <v>63</v>
      </c>
      <c r="J821">
        <v>11</v>
      </c>
      <c r="K821" t="s">
        <v>63</v>
      </c>
      <c r="L821" t="s">
        <v>63</v>
      </c>
      <c r="M821" t="s">
        <v>7347</v>
      </c>
      <c r="N821" t="s">
        <v>7348</v>
      </c>
      <c r="O821" t="s">
        <v>63</v>
      </c>
      <c r="Q821" t="s">
        <v>63</v>
      </c>
      <c r="R821" t="s">
        <v>63</v>
      </c>
      <c r="S821" t="s">
        <v>63</v>
      </c>
      <c r="T821" t="s">
        <v>63</v>
      </c>
      <c r="X821" t="s">
        <v>63</v>
      </c>
      <c r="Y821" t="s">
        <v>3257</v>
      </c>
      <c r="Z821" t="s">
        <v>63</v>
      </c>
      <c r="AA821" t="s">
        <v>7349</v>
      </c>
      <c r="AB821">
        <v>22410105</v>
      </c>
      <c r="AC821" t="s">
        <v>67</v>
      </c>
      <c r="AD821" t="s">
        <v>63</v>
      </c>
      <c r="AE821" t="s">
        <v>63</v>
      </c>
      <c r="AF821" t="s">
        <v>63</v>
      </c>
      <c r="AG821" t="s">
        <v>7350</v>
      </c>
      <c r="AH821" t="s">
        <v>63</v>
      </c>
      <c r="AI821" t="s">
        <v>7351</v>
      </c>
      <c r="AJ821" t="s">
        <v>63</v>
      </c>
      <c r="AK821" t="s">
        <v>63</v>
      </c>
      <c r="AL821" t="s">
        <v>63</v>
      </c>
      <c r="AM821" t="s">
        <v>7352</v>
      </c>
      <c r="AN821" t="s">
        <v>63</v>
      </c>
      <c r="AO821" t="s">
        <v>63</v>
      </c>
      <c r="AP821" t="s">
        <v>63</v>
      </c>
      <c r="AQ821" t="s">
        <v>63</v>
      </c>
      <c r="AR821" t="s">
        <v>63</v>
      </c>
      <c r="AS821" t="s">
        <v>63</v>
      </c>
      <c r="AT821" t="s">
        <v>63</v>
      </c>
      <c r="AU821" t="s">
        <v>63</v>
      </c>
      <c r="AV821" t="s">
        <v>63</v>
      </c>
      <c r="AW821" t="s">
        <v>63</v>
      </c>
      <c r="AX821" t="s">
        <v>63</v>
      </c>
      <c r="AY821" t="s">
        <v>63</v>
      </c>
      <c r="AZ821" t="s">
        <v>63</v>
      </c>
      <c r="BA821" t="s">
        <v>63</v>
      </c>
      <c r="BB821" t="s">
        <v>63</v>
      </c>
      <c r="BC821" t="s">
        <v>63</v>
      </c>
      <c r="BD821" t="s">
        <v>63</v>
      </c>
      <c r="BE821" t="s">
        <v>63</v>
      </c>
      <c r="BF821" t="s">
        <v>63</v>
      </c>
    </row>
    <row r="822" spans="1:58">
      <c r="A822" t="s">
        <v>58</v>
      </c>
      <c r="B822" t="s">
        <v>7353</v>
      </c>
      <c r="C822" t="s">
        <v>7354</v>
      </c>
      <c r="D822" t="s">
        <v>398</v>
      </c>
      <c r="E822" t="s">
        <v>398</v>
      </c>
      <c r="F822">
        <v>1995</v>
      </c>
      <c r="G822" t="s">
        <v>614</v>
      </c>
      <c r="H822">
        <v>96</v>
      </c>
      <c r="I822">
        <v>2</v>
      </c>
      <c r="J822">
        <v>326</v>
      </c>
      <c r="K822">
        <v>330</v>
      </c>
      <c r="L822" t="s">
        <v>7355</v>
      </c>
      <c r="M822" t="s">
        <v>7356</v>
      </c>
      <c r="N822" t="s">
        <v>7357</v>
      </c>
      <c r="O822" t="s">
        <v>63</v>
      </c>
      <c r="Q822" t="s">
        <v>63</v>
      </c>
      <c r="R822" t="s">
        <v>63</v>
      </c>
      <c r="S822" t="s">
        <v>63</v>
      </c>
      <c r="T822" t="s">
        <v>63</v>
      </c>
      <c r="X822" t="s">
        <v>63</v>
      </c>
      <c r="Y822" t="s">
        <v>402</v>
      </c>
      <c r="Z822" t="s">
        <v>63</v>
      </c>
      <c r="AA822" t="s">
        <v>7358</v>
      </c>
      <c r="AB822">
        <v>7630693</v>
      </c>
      <c r="AC822" t="s">
        <v>67</v>
      </c>
      <c r="AD822" t="s">
        <v>63</v>
      </c>
      <c r="AE822" t="s">
        <v>63</v>
      </c>
      <c r="AF822" t="s">
        <v>63</v>
      </c>
      <c r="AG822" t="s">
        <v>7359</v>
      </c>
      <c r="AH822" t="s">
        <v>63</v>
      </c>
      <c r="AI822" t="s">
        <v>63</v>
      </c>
      <c r="AJ822" t="s">
        <v>63</v>
      </c>
      <c r="AK822" t="s">
        <v>63</v>
      </c>
      <c r="AL822" t="s">
        <v>63</v>
      </c>
      <c r="AM822" t="s">
        <v>7360</v>
      </c>
      <c r="AN822" t="s">
        <v>63</v>
      </c>
      <c r="AO822" t="s">
        <v>63</v>
      </c>
      <c r="AP822" t="s">
        <v>63</v>
      </c>
      <c r="AQ822" t="s">
        <v>63</v>
      </c>
      <c r="AR822" t="s">
        <v>63</v>
      </c>
      <c r="AS822" t="s">
        <v>63</v>
      </c>
      <c r="AT822" t="s">
        <v>63</v>
      </c>
      <c r="AU822" t="s">
        <v>63</v>
      </c>
      <c r="AV822" t="s">
        <v>63</v>
      </c>
      <c r="AW822" t="s">
        <v>63</v>
      </c>
      <c r="AX822" t="s">
        <v>63</v>
      </c>
      <c r="AY822" t="s">
        <v>63</v>
      </c>
      <c r="AZ822" t="s">
        <v>63</v>
      </c>
      <c r="BA822" t="s">
        <v>63</v>
      </c>
      <c r="BB822" t="s">
        <v>63</v>
      </c>
      <c r="BC822" t="s">
        <v>63</v>
      </c>
      <c r="BD822" t="s">
        <v>63</v>
      </c>
      <c r="BE822" t="s">
        <v>63</v>
      </c>
      <c r="BF822" t="s">
        <v>63</v>
      </c>
    </row>
    <row r="823" spans="1:58">
      <c r="A823" t="s">
        <v>58</v>
      </c>
      <c r="B823" t="s">
        <v>7361</v>
      </c>
      <c r="C823" t="s">
        <v>7362</v>
      </c>
      <c r="D823" t="s">
        <v>7363</v>
      </c>
      <c r="E823" t="s">
        <v>7363</v>
      </c>
      <c r="F823">
        <v>1992</v>
      </c>
      <c r="G823" t="s">
        <v>138</v>
      </c>
      <c r="H823">
        <v>77</v>
      </c>
      <c r="I823">
        <v>4</v>
      </c>
      <c r="J823">
        <v>806</v>
      </c>
      <c r="K823">
        <v>811</v>
      </c>
      <c r="L823" t="s">
        <v>7364</v>
      </c>
      <c r="M823" t="s">
        <v>7365</v>
      </c>
      <c r="N823" t="s">
        <v>7366</v>
      </c>
      <c r="O823" t="s">
        <v>63</v>
      </c>
      <c r="Q823" t="s">
        <v>63</v>
      </c>
      <c r="R823" t="s">
        <v>63</v>
      </c>
      <c r="S823" t="s">
        <v>63</v>
      </c>
      <c r="T823" t="s">
        <v>63</v>
      </c>
      <c r="X823" t="s">
        <v>63</v>
      </c>
      <c r="Y823" s="2">
        <v>408401</v>
      </c>
      <c r="Z823" t="s">
        <v>63</v>
      </c>
      <c r="AA823" t="s">
        <v>7367</v>
      </c>
      <c r="AB823">
        <v>1416177</v>
      </c>
      <c r="AC823" t="s">
        <v>67</v>
      </c>
      <c r="AD823" t="s">
        <v>63</v>
      </c>
      <c r="AE823" t="s">
        <v>63</v>
      </c>
      <c r="AF823" t="s">
        <v>63</v>
      </c>
      <c r="AG823" t="s">
        <v>7368</v>
      </c>
      <c r="AH823" t="s">
        <v>63</v>
      </c>
      <c r="AI823" t="s">
        <v>63</v>
      </c>
      <c r="AJ823" t="s">
        <v>63</v>
      </c>
      <c r="AK823" t="s">
        <v>63</v>
      </c>
      <c r="AL823" t="s">
        <v>63</v>
      </c>
      <c r="AM823" t="s">
        <v>7369</v>
      </c>
      <c r="AN823" t="s">
        <v>63</v>
      </c>
      <c r="AO823" t="s">
        <v>63</v>
      </c>
      <c r="AP823" t="s">
        <v>63</v>
      </c>
      <c r="AQ823" t="s">
        <v>63</v>
      </c>
      <c r="AR823" t="s">
        <v>63</v>
      </c>
      <c r="AS823" t="s">
        <v>63</v>
      </c>
      <c r="AT823" t="s">
        <v>63</v>
      </c>
      <c r="AU823" t="s">
        <v>63</v>
      </c>
      <c r="AV823" t="s">
        <v>63</v>
      </c>
      <c r="AW823" t="s">
        <v>63</v>
      </c>
      <c r="AX823" t="s">
        <v>63</v>
      </c>
      <c r="AY823" t="s">
        <v>63</v>
      </c>
      <c r="AZ823" t="s">
        <v>63</v>
      </c>
      <c r="BA823" t="s">
        <v>63</v>
      </c>
      <c r="BB823" t="s">
        <v>63</v>
      </c>
      <c r="BC823" t="s">
        <v>63</v>
      </c>
      <c r="BD823" t="s">
        <v>63</v>
      </c>
      <c r="BE823" t="s">
        <v>63</v>
      </c>
      <c r="BF823" t="s">
        <v>63</v>
      </c>
    </row>
    <row r="824" spans="1:58">
      <c r="A824" t="s">
        <v>58</v>
      </c>
      <c r="B824" t="s">
        <v>7370</v>
      </c>
      <c r="C824" t="s">
        <v>7371</v>
      </c>
      <c r="D824" t="s">
        <v>2291</v>
      </c>
      <c r="E824" t="s">
        <v>2291</v>
      </c>
      <c r="F824">
        <v>2015</v>
      </c>
      <c r="G824" s="1">
        <v>41847</v>
      </c>
      <c r="H824">
        <v>351</v>
      </c>
      <c r="I824" t="s">
        <v>63</v>
      </c>
      <c r="J824" t="s">
        <v>7372</v>
      </c>
      <c r="K824" t="s">
        <v>63</v>
      </c>
      <c r="L824" t="s">
        <v>7373</v>
      </c>
      <c r="M824" t="s">
        <v>63</v>
      </c>
      <c r="N824" t="s">
        <v>7374</v>
      </c>
      <c r="O824" t="s">
        <v>63</v>
      </c>
      <c r="Q824" t="s">
        <v>63</v>
      </c>
      <c r="R824" t="s">
        <v>63</v>
      </c>
      <c r="S824" t="s">
        <v>63</v>
      </c>
      <c r="T824" t="s">
        <v>63</v>
      </c>
      <c r="X824" t="s">
        <v>63</v>
      </c>
      <c r="Y824" t="s">
        <v>7375</v>
      </c>
      <c r="Z824" t="s">
        <v>63</v>
      </c>
      <c r="AA824" t="s">
        <v>63</v>
      </c>
      <c r="AB824">
        <v>26220548</v>
      </c>
      <c r="AC824" t="s">
        <v>67</v>
      </c>
      <c r="AD824" t="s">
        <v>63</v>
      </c>
      <c r="AE824" t="s">
        <v>63</v>
      </c>
      <c r="AF824" t="s">
        <v>63</v>
      </c>
      <c r="AG824" t="s">
        <v>7376</v>
      </c>
      <c r="AH824" t="s">
        <v>63</v>
      </c>
      <c r="AI824" t="s">
        <v>7377</v>
      </c>
      <c r="AJ824" t="s">
        <v>63</v>
      </c>
      <c r="AK824" t="s">
        <v>63</v>
      </c>
      <c r="AL824" t="s">
        <v>63</v>
      </c>
      <c r="AM824" t="s">
        <v>7378</v>
      </c>
      <c r="AN824" t="s">
        <v>63</v>
      </c>
      <c r="AO824" t="s">
        <v>63</v>
      </c>
      <c r="AP824" t="s">
        <v>63</v>
      </c>
      <c r="AQ824" t="s">
        <v>63</v>
      </c>
      <c r="AR824" t="s">
        <v>63</v>
      </c>
      <c r="AS824" t="s">
        <v>63</v>
      </c>
      <c r="AT824" t="s">
        <v>63</v>
      </c>
      <c r="AU824" t="s">
        <v>63</v>
      </c>
      <c r="AV824" t="s">
        <v>63</v>
      </c>
      <c r="AW824" t="s">
        <v>63</v>
      </c>
      <c r="AX824" t="s">
        <v>63</v>
      </c>
      <c r="AY824" t="s">
        <v>63</v>
      </c>
      <c r="AZ824" t="s">
        <v>63</v>
      </c>
      <c r="BA824" t="s">
        <v>63</v>
      </c>
      <c r="BB824" t="s">
        <v>63</v>
      </c>
      <c r="BC824" t="s">
        <v>63</v>
      </c>
      <c r="BD824" t="s">
        <v>63</v>
      </c>
      <c r="BE824" t="s">
        <v>63</v>
      </c>
      <c r="BF824" t="s">
        <v>63</v>
      </c>
    </row>
    <row r="825" spans="1:58">
      <c r="A825" t="s">
        <v>58</v>
      </c>
      <c r="B825" t="s">
        <v>7379</v>
      </c>
      <c r="C825" t="s">
        <v>7380</v>
      </c>
      <c r="D825" t="s">
        <v>389</v>
      </c>
      <c r="E825" t="s">
        <v>63</v>
      </c>
      <c r="F825">
        <v>2017</v>
      </c>
      <c r="G825" t="s">
        <v>338</v>
      </c>
      <c r="H825">
        <v>38</v>
      </c>
      <c r="I825">
        <v>2</v>
      </c>
      <c r="J825">
        <v>141</v>
      </c>
      <c r="K825">
        <v>144</v>
      </c>
      <c r="L825" t="s">
        <v>7381</v>
      </c>
      <c r="M825" t="s">
        <v>7382</v>
      </c>
      <c r="N825" t="s">
        <v>7383</v>
      </c>
      <c r="O825" t="s">
        <v>63</v>
      </c>
      <c r="Q825" t="s">
        <v>63</v>
      </c>
      <c r="R825" t="s">
        <v>63</v>
      </c>
      <c r="S825" t="s">
        <v>63</v>
      </c>
      <c r="T825" t="s">
        <v>63</v>
      </c>
      <c r="X825" t="s">
        <v>63</v>
      </c>
      <c r="Y825" t="s">
        <v>556</v>
      </c>
      <c r="Z825" t="s">
        <v>63</v>
      </c>
      <c r="AA825" t="s">
        <v>7384</v>
      </c>
      <c r="AB825">
        <v>28394732</v>
      </c>
      <c r="AC825" t="s">
        <v>67</v>
      </c>
      <c r="AD825" t="s">
        <v>63</v>
      </c>
      <c r="AE825" t="s">
        <v>63</v>
      </c>
      <c r="AF825" t="s">
        <v>63</v>
      </c>
      <c r="AG825" t="s">
        <v>7385</v>
      </c>
      <c r="AH825" t="s">
        <v>63</v>
      </c>
      <c r="AI825" t="s">
        <v>7386</v>
      </c>
      <c r="AJ825" t="s">
        <v>63</v>
      </c>
      <c r="AK825" t="s">
        <v>63</v>
      </c>
      <c r="AL825" t="s">
        <v>63</v>
      </c>
      <c r="AM825" t="s">
        <v>7387</v>
      </c>
      <c r="AN825" t="s">
        <v>63</v>
      </c>
      <c r="AO825" t="s">
        <v>63</v>
      </c>
      <c r="AP825" t="s">
        <v>63</v>
      </c>
      <c r="AQ825" t="s">
        <v>63</v>
      </c>
      <c r="AR825" t="s">
        <v>63</v>
      </c>
      <c r="AS825" t="s">
        <v>63</v>
      </c>
      <c r="AT825" t="s">
        <v>63</v>
      </c>
      <c r="AU825" t="s">
        <v>63</v>
      </c>
      <c r="AV825" t="s">
        <v>63</v>
      </c>
      <c r="AW825" t="s">
        <v>63</v>
      </c>
      <c r="AX825" t="s">
        <v>63</v>
      </c>
      <c r="AY825" t="s">
        <v>63</v>
      </c>
      <c r="AZ825" t="s">
        <v>63</v>
      </c>
      <c r="BA825" t="s">
        <v>63</v>
      </c>
      <c r="BB825" t="s">
        <v>63</v>
      </c>
      <c r="BC825" t="s">
        <v>63</v>
      </c>
      <c r="BD825" t="s">
        <v>63</v>
      </c>
      <c r="BE825" t="s">
        <v>63</v>
      </c>
      <c r="BF825" t="s">
        <v>63</v>
      </c>
    </row>
    <row r="826" spans="1:58">
      <c r="A826" t="s">
        <v>58</v>
      </c>
      <c r="B826" t="s">
        <v>7388</v>
      </c>
      <c r="C826" t="s">
        <v>7389</v>
      </c>
      <c r="D826" t="s">
        <v>389</v>
      </c>
      <c r="E826" t="s">
        <v>63</v>
      </c>
      <c r="F826">
        <v>2015</v>
      </c>
      <c r="G826" t="s">
        <v>63</v>
      </c>
      <c r="H826">
        <v>36</v>
      </c>
      <c r="I826">
        <v>1</v>
      </c>
      <c r="J826">
        <v>3</v>
      </c>
      <c r="K826">
        <v>5</v>
      </c>
      <c r="L826" t="s">
        <v>7390</v>
      </c>
      <c r="M826" t="s">
        <v>63</v>
      </c>
      <c r="N826" t="s">
        <v>7391</v>
      </c>
      <c r="O826" t="s">
        <v>63</v>
      </c>
      <c r="Q826" t="s">
        <v>63</v>
      </c>
      <c r="R826" t="s">
        <v>63</v>
      </c>
      <c r="S826" t="s">
        <v>63</v>
      </c>
      <c r="T826" t="s">
        <v>63</v>
      </c>
      <c r="X826" t="s">
        <v>63</v>
      </c>
      <c r="Y826" t="s">
        <v>556</v>
      </c>
      <c r="Z826" t="s">
        <v>63</v>
      </c>
      <c r="AA826" t="s">
        <v>7392</v>
      </c>
      <c r="AB826">
        <v>25084806</v>
      </c>
      <c r="AC826" t="s">
        <v>67</v>
      </c>
      <c r="AD826" t="s">
        <v>63</v>
      </c>
      <c r="AE826" t="s">
        <v>63</v>
      </c>
      <c r="AF826" t="s">
        <v>63</v>
      </c>
      <c r="AG826" t="s">
        <v>7393</v>
      </c>
      <c r="AH826" t="s">
        <v>63</v>
      </c>
      <c r="AI826" t="s">
        <v>7394</v>
      </c>
      <c r="AJ826" t="s">
        <v>63</v>
      </c>
      <c r="AK826" t="s">
        <v>63</v>
      </c>
      <c r="AL826" t="s">
        <v>63</v>
      </c>
      <c r="AM826" t="s">
        <v>7395</v>
      </c>
      <c r="AN826" t="s">
        <v>63</v>
      </c>
      <c r="AO826" t="s">
        <v>63</v>
      </c>
      <c r="AP826" t="s">
        <v>63</v>
      </c>
      <c r="AQ826" t="s">
        <v>63</v>
      </c>
      <c r="AR826" t="s">
        <v>63</v>
      </c>
      <c r="AS826" t="s">
        <v>63</v>
      </c>
      <c r="AT826" t="s">
        <v>63</v>
      </c>
      <c r="AU826" t="s">
        <v>63</v>
      </c>
      <c r="AV826" t="s">
        <v>63</v>
      </c>
      <c r="AW826" t="s">
        <v>63</v>
      </c>
      <c r="AX826" t="s">
        <v>63</v>
      </c>
      <c r="AY826" t="s">
        <v>63</v>
      </c>
      <c r="AZ826" t="s">
        <v>63</v>
      </c>
      <c r="BA826" t="s">
        <v>63</v>
      </c>
      <c r="BB826" t="s">
        <v>63</v>
      </c>
      <c r="BC826" t="s">
        <v>63</v>
      </c>
      <c r="BD826" t="s">
        <v>63</v>
      </c>
      <c r="BE826" t="s">
        <v>63</v>
      </c>
      <c r="BF826" t="s">
        <v>63</v>
      </c>
    </row>
    <row r="827" spans="1:58">
      <c r="A827" t="s">
        <v>58</v>
      </c>
      <c r="B827" t="s">
        <v>7396</v>
      </c>
      <c r="C827" t="s">
        <v>7397</v>
      </c>
      <c r="D827" t="s">
        <v>563</v>
      </c>
      <c r="E827" t="s">
        <v>63</v>
      </c>
      <c r="F827">
        <v>2015</v>
      </c>
      <c r="G827" s="1">
        <v>41962</v>
      </c>
      <c r="H827">
        <v>15</v>
      </c>
      <c r="I827" t="s">
        <v>63</v>
      </c>
      <c r="J827">
        <v>206</v>
      </c>
      <c r="K827" t="s">
        <v>63</v>
      </c>
      <c r="L827" t="s">
        <v>7398</v>
      </c>
      <c r="M827" t="s">
        <v>7399</v>
      </c>
      <c r="N827" t="s">
        <v>7400</v>
      </c>
      <c r="O827" t="s">
        <v>63</v>
      </c>
      <c r="Q827" t="s">
        <v>63</v>
      </c>
      <c r="R827" t="s">
        <v>63</v>
      </c>
      <c r="S827" t="s">
        <v>63</v>
      </c>
      <c r="T827" t="s">
        <v>63</v>
      </c>
      <c r="X827" t="s">
        <v>63</v>
      </c>
      <c r="Y827" t="s">
        <v>567</v>
      </c>
      <c r="Z827" t="s">
        <v>63</v>
      </c>
      <c r="AA827" t="s">
        <v>7401</v>
      </c>
      <c r="AB827">
        <v>26590066</v>
      </c>
      <c r="AC827" t="s">
        <v>67</v>
      </c>
      <c r="AD827" t="s">
        <v>63</v>
      </c>
      <c r="AE827" t="s">
        <v>63</v>
      </c>
      <c r="AF827" t="s">
        <v>63</v>
      </c>
      <c r="AG827" t="s">
        <v>7402</v>
      </c>
      <c r="AH827" t="s">
        <v>63</v>
      </c>
      <c r="AI827" t="s">
        <v>7403</v>
      </c>
      <c r="AJ827" t="s">
        <v>63</v>
      </c>
      <c r="AK827" t="s">
        <v>63</v>
      </c>
      <c r="AL827" t="s">
        <v>63</v>
      </c>
      <c r="AM827" t="s">
        <v>7404</v>
      </c>
      <c r="AN827" t="s">
        <v>63</v>
      </c>
      <c r="AO827" t="s">
        <v>63</v>
      </c>
      <c r="AP827" t="s">
        <v>63</v>
      </c>
      <c r="AQ827" t="s">
        <v>63</v>
      </c>
      <c r="AR827" t="s">
        <v>63</v>
      </c>
      <c r="AS827" t="s">
        <v>63</v>
      </c>
      <c r="AT827" t="s">
        <v>63</v>
      </c>
      <c r="AU827" t="s">
        <v>63</v>
      </c>
      <c r="AV827" t="s">
        <v>63</v>
      </c>
      <c r="AW827" t="s">
        <v>63</v>
      </c>
      <c r="AX827" t="s">
        <v>63</v>
      </c>
      <c r="AY827" t="s">
        <v>63</v>
      </c>
      <c r="AZ827" t="s">
        <v>63</v>
      </c>
      <c r="BA827" t="s">
        <v>63</v>
      </c>
      <c r="BB827" t="s">
        <v>63</v>
      </c>
      <c r="BC827" t="s">
        <v>63</v>
      </c>
      <c r="BD827" t="s">
        <v>63</v>
      </c>
      <c r="BE827" t="s">
        <v>63</v>
      </c>
      <c r="BF827" t="s">
        <v>63</v>
      </c>
    </row>
    <row r="828" spans="1:58">
      <c r="A828" t="s">
        <v>58</v>
      </c>
      <c r="B828" t="s">
        <v>7405</v>
      </c>
      <c r="C828" t="s">
        <v>7406</v>
      </c>
      <c r="D828" t="s">
        <v>563</v>
      </c>
      <c r="E828" t="s">
        <v>63</v>
      </c>
      <c r="F828">
        <v>2017</v>
      </c>
      <c r="G828" s="1">
        <v>41661</v>
      </c>
      <c r="H828">
        <v>17</v>
      </c>
      <c r="I828">
        <v>1</v>
      </c>
      <c r="J828">
        <v>22</v>
      </c>
      <c r="K828" t="s">
        <v>63</v>
      </c>
      <c r="L828" t="s">
        <v>7407</v>
      </c>
      <c r="M828" t="s">
        <v>7408</v>
      </c>
      <c r="N828" t="s">
        <v>7409</v>
      </c>
      <c r="O828" t="s">
        <v>63</v>
      </c>
      <c r="Q828" t="s">
        <v>63</v>
      </c>
      <c r="R828" t="s">
        <v>63</v>
      </c>
      <c r="S828" t="s">
        <v>63</v>
      </c>
      <c r="T828" t="s">
        <v>63</v>
      </c>
      <c r="X828" t="s">
        <v>63</v>
      </c>
      <c r="Y828" t="s">
        <v>567</v>
      </c>
      <c r="Z828" t="s">
        <v>63</v>
      </c>
      <c r="AA828" t="s">
        <v>7410</v>
      </c>
      <c r="AB828">
        <v>28114925</v>
      </c>
      <c r="AC828" t="s">
        <v>67</v>
      </c>
      <c r="AD828" t="s">
        <v>63</v>
      </c>
      <c r="AE828" t="s">
        <v>63</v>
      </c>
      <c r="AF828" t="s">
        <v>63</v>
      </c>
      <c r="AG828" t="s">
        <v>7411</v>
      </c>
      <c r="AH828" t="s">
        <v>63</v>
      </c>
      <c r="AI828" t="s">
        <v>7412</v>
      </c>
      <c r="AJ828" t="s">
        <v>63</v>
      </c>
      <c r="AK828" t="s">
        <v>63</v>
      </c>
      <c r="AL828" t="s">
        <v>63</v>
      </c>
      <c r="AM828" t="s">
        <v>7413</v>
      </c>
      <c r="AN828" t="s">
        <v>63</v>
      </c>
      <c r="AO828" t="s">
        <v>63</v>
      </c>
      <c r="AP828" t="s">
        <v>63</v>
      </c>
      <c r="AQ828" t="s">
        <v>63</v>
      </c>
      <c r="AR828" t="s">
        <v>63</v>
      </c>
      <c r="AS828" t="s">
        <v>63</v>
      </c>
      <c r="AT828" t="s">
        <v>63</v>
      </c>
      <c r="AU828" t="s">
        <v>63</v>
      </c>
      <c r="AV828" t="s">
        <v>63</v>
      </c>
      <c r="AW828" t="s">
        <v>63</v>
      </c>
      <c r="AX828" t="s">
        <v>63</v>
      </c>
      <c r="AY828" t="s">
        <v>63</v>
      </c>
      <c r="AZ828" t="s">
        <v>63</v>
      </c>
      <c r="BA828" t="s">
        <v>63</v>
      </c>
      <c r="BB828" t="s">
        <v>63</v>
      </c>
      <c r="BC828" t="s">
        <v>63</v>
      </c>
      <c r="BD828" t="s">
        <v>63</v>
      </c>
      <c r="BE828" t="s">
        <v>63</v>
      </c>
      <c r="BF828" t="s">
        <v>63</v>
      </c>
    </row>
    <row r="829" spans="1:58">
      <c r="A829" t="s">
        <v>58</v>
      </c>
      <c r="B829" t="s">
        <v>7414</v>
      </c>
      <c r="C829" t="s">
        <v>7415</v>
      </c>
      <c r="D829" t="s">
        <v>763</v>
      </c>
      <c r="E829" t="s">
        <v>63</v>
      </c>
      <c r="F829">
        <v>2017</v>
      </c>
      <c r="G829" t="s">
        <v>138</v>
      </c>
      <c r="H829">
        <v>92</v>
      </c>
      <c r="I829">
        <v>10</v>
      </c>
      <c r="J829">
        <v>1367</v>
      </c>
      <c r="K829" t="s">
        <v>63</v>
      </c>
      <c r="L829" t="s">
        <v>63</v>
      </c>
      <c r="M829" t="s">
        <v>63</v>
      </c>
      <c r="N829" t="s">
        <v>7416</v>
      </c>
      <c r="O829" t="s">
        <v>63</v>
      </c>
      <c r="Q829" t="s">
        <v>63</v>
      </c>
      <c r="R829" t="s">
        <v>63</v>
      </c>
      <c r="S829" t="s">
        <v>63</v>
      </c>
      <c r="T829" t="s">
        <v>63</v>
      </c>
      <c r="X829" t="s">
        <v>63</v>
      </c>
      <c r="Y829" t="s">
        <v>766</v>
      </c>
      <c r="Z829" t="s">
        <v>63</v>
      </c>
      <c r="AA829" t="s">
        <v>7417</v>
      </c>
      <c r="AB829">
        <v>28952995</v>
      </c>
      <c r="AC829" t="s">
        <v>67</v>
      </c>
      <c r="AD829" t="s">
        <v>63</v>
      </c>
      <c r="AE829" t="s">
        <v>63</v>
      </c>
      <c r="AF829" t="s">
        <v>63</v>
      </c>
      <c r="AG829" t="s">
        <v>7418</v>
      </c>
      <c r="AH829" t="s">
        <v>63</v>
      </c>
      <c r="AI829" t="s">
        <v>7419</v>
      </c>
      <c r="AJ829" t="s">
        <v>63</v>
      </c>
      <c r="AK829" t="s">
        <v>63</v>
      </c>
      <c r="AL829" t="s">
        <v>63</v>
      </c>
      <c r="AM829" t="s">
        <v>7420</v>
      </c>
      <c r="AN829" t="s">
        <v>63</v>
      </c>
      <c r="AO829" t="s">
        <v>63</v>
      </c>
      <c r="AP829" t="s">
        <v>63</v>
      </c>
      <c r="AQ829" t="s">
        <v>63</v>
      </c>
      <c r="AR829" t="s">
        <v>63</v>
      </c>
      <c r="AS829" t="s">
        <v>63</v>
      </c>
      <c r="AT829" t="s">
        <v>63</v>
      </c>
      <c r="AU829" t="s">
        <v>63</v>
      </c>
      <c r="AV829" t="s">
        <v>63</v>
      </c>
      <c r="AW829" t="s">
        <v>63</v>
      </c>
      <c r="AX829" t="s">
        <v>63</v>
      </c>
      <c r="AY829" t="s">
        <v>63</v>
      </c>
      <c r="AZ829" t="s">
        <v>63</v>
      </c>
      <c r="BA829" t="s">
        <v>63</v>
      </c>
      <c r="BB829" t="s">
        <v>63</v>
      </c>
      <c r="BC829" t="s">
        <v>63</v>
      </c>
      <c r="BD829" t="s">
        <v>63</v>
      </c>
      <c r="BE829" t="s">
        <v>63</v>
      </c>
      <c r="BF829" t="s">
        <v>63</v>
      </c>
    </row>
    <row r="830" spans="1:58">
      <c r="A830" t="s">
        <v>58</v>
      </c>
      <c r="B830" t="s">
        <v>7421</v>
      </c>
      <c r="C830" t="s">
        <v>7422</v>
      </c>
      <c r="D830" t="s">
        <v>2175</v>
      </c>
      <c r="E830" t="s">
        <v>63</v>
      </c>
      <c r="F830">
        <v>2017</v>
      </c>
      <c r="G830" t="s">
        <v>7423</v>
      </c>
      <c r="H830">
        <v>12</v>
      </c>
      <c r="I830">
        <v>1</v>
      </c>
      <c r="J830">
        <v>21</v>
      </c>
      <c r="K830" t="s">
        <v>63</v>
      </c>
      <c r="L830" t="s">
        <v>7424</v>
      </c>
      <c r="M830" t="s">
        <v>7425</v>
      </c>
      <c r="N830" t="s">
        <v>7426</v>
      </c>
      <c r="O830" t="s">
        <v>63</v>
      </c>
      <c r="Q830" t="s">
        <v>63</v>
      </c>
      <c r="R830" t="s">
        <v>63</v>
      </c>
      <c r="S830" t="s">
        <v>63</v>
      </c>
      <c r="T830" t="s">
        <v>63</v>
      </c>
      <c r="X830" t="s">
        <v>63</v>
      </c>
      <c r="Y830" t="s">
        <v>2179</v>
      </c>
      <c r="Z830" t="s">
        <v>63</v>
      </c>
      <c r="AA830" t="s">
        <v>7427</v>
      </c>
      <c r="AB830">
        <v>28927448</v>
      </c>
      <c r="AC830" t="s">
        <v>67</v>
      </c>
      <c r="AD830" t="s">
        <v>63</v>
      </c>
      <c r="AE830" t="s">
        <v>63</v>
      </c>
      <c r="AF830" t="s">
        <v>63</v>
      </c>
      <c r="AG830" t="s">
        <v>7428</v>
      </c>
      <c r="AH830" t="s">
        <v>63</v>
      </c>
      <c r="AI830" t="s">
        <v>7429</v>
      </c>
      <c r="AJ830" t="s">
        <v>63</v>
      </c>
      <c r="AK830" t="s">
        <v>63</v>
      </c>
      <c r="AL830" t="s">
        <v>63</v>
      </c>
      <c r="AM830" t="s">
        <v>7430</v>
      </c>
      <c r="AN830" t="s">
        <v>63</v>
      </c>
      <c r="AO830" t="s">
        <v>63</v>
      </c>
      <c r="AP830" t="s">
        <v>63</v>
      </c>
      <c r="AQ830" t="s">
        <v>63</v>
      </c>
      <c r="AR830" t="s">
        <v>63</v>
      </c>
      <c r="AS830" t="s">
        <v>63</v>
      </c>
      <c r="AT830" t="s">
        <v>63</v>
      </c>
      <c r="AU830" t="s">
        <v>63</v>
      </c>
      <c r="AV830" t="s">
        <v>63</v>
      </c>
      <c r="AW830" t="s">
        <v>63</v>
      </c>
      <c r="AX830" t="s">
        <v>63</v>
      </c>
      <c r="AY830" t="s">
        <v>63</v>
      </c>
      <c r="AZ830" t="s">
        <v>63</v>
      </c>
      <c r="BA830" t="s">
        <v>63</v>
      </c>
      <c r="BB830" t="s">
        <v>63</v>
      </c>
      <c r="BC830" t="s">
        <v>63</v>
      </c>
      <c r="BD830" t="s">
        <v>63</v>
      </c>
      <c r="BE830" t="s">
        <v>63</v>
      </c>
      <c r="BF830" t="s">
        <v>63</v>
      </c>
    </row>
    <row r="831" spans="1:58">
      <c r="A831" t="s">
        <v>58</v>
      </c>
      <c r="B831" t="s">
        <v>7431</v>
      </c>
      <c r="C831" t="s">
        <v>7432</v>
      </c>
      <c r="D831" t="s">
        <v>7433</v>
      </c>
      <c r="E831" t="s">
        <v>7434</v>
      </c>
      <c r="F831">
        <v>2000</v>
      </c>
      <c r="G831" t="s">
        <v>73</v>
      </c>
      <c r="H831">
        <v>154</v>
      </c>
      <c r="I831">
        <v>6</v>
      </c>
      <c r="J831">
        <v>635</v>
      </c>
      <c r="K831" t="s">
        <v>63</v>
      </c>
      <c r="L831" t="s">
        <v>7435</v>
      </c>
      <c r="M831" t="s">
        <v>63</v>
      </c>
      <c r="N831" t="s">
        <v>7436</v>
      </c>
      <c r="O831" t="s">
        <v>63</v>
      </c>
      <c r="Q831" t="s">
        <v>63</v>
      </c>
      <c r="R831" t="s">
        <v>63</v>
      </c>
      <c r="S831" t="s">
        <v>63</v>
      </c>
      <c r="T831" t="s">
        <v>63</v>
      </c>
      <c r="X831" t="s">
        <v>63</v>
      </c>
      <c r="Y831" t="s">
        <v>7437</v>
      </c>
      <c r="Z831" t="s">
        <v>63</v>
      </c>
      <c r="AA831" t="s">
        <v>63</v>
      </c>
      <c r="AB831">
        <v>10850517</v>
      </c>
      <c r="AC831" t="s">
        <v>67</v>
      </c>
      <c r="AD831" t="s">
        <v>63</v>
      </c>
      <c r="AE831" t="s">
        <v>63</v>
      </c>
      <c r="AF831" t="s">
        <v>63</v>
      </c>
      <c r="AG831" t="s">
        <v>7438</v>
      </c>
      <c r="AH831" t="s">
        <v>63</v>
      </c>
      <c r="AI831" t="s">
        <v>63</v>
      </c>
      <c r="AJ831" t="s">
        <v>63</v>
      </c>
      <c r="AK831" t="s">
        <v>63</v>
      </c>
      <c r="AL831" t="s">
        <v>63</v>
      </c>
      <c r="AM831" t="s">
        <v>7439</v>
      </c>
      <c r="AN831" t="s">
        <v>63</v>
      </c>
      <c r="AO831" t="s">
        <v>63</v>
      </c>
      <c r="AP831" t="s">
        <v>63</v>
      </c>
      <c r="AQ831" t="s">
        <v>63</v>
      </c>
      <c r="AR831" t="s">
        <v>63</v>
      </c>
      <c r="AS831" t="s">
        <v>63</v>
      </c>
      <c r="AT831" t="s">
        <v>63</v>
      </c>
      <c r="AU831" t="s">
        <v>63</v>
      </c>
      <c r="AV831" t="s">
        <v>63</v>
      </c>
      <c r="AW831" t="s">
        <v>63</v>
      </c>
      <c r="AX831" t="s">
        <v>63</v>
      </c>
      <c r="AY831" t="s">
        <v>63</v>
      </c>
      <c r="AZ831" t="s">
        <v>63</v>
      </c>
      <c r="BA831" t="s">
        <v>63</v>
      </c>
      <c r="BB831" t="s">
        <v>63</v>
      </c>
      <c r="BC831" t="s">
        <v>63</v>
      </c>
      <c r="BD831" t="s">
        <v>63</v>
      </c>
      <c r="BE831" t="s">
        <v>63</v>
      </c>
      <c r="BF831" t="s">
        <v>63</v>
      </c>
    </row>
    <row r="832" spans="1:58">
      <c r="A832" t="s">
        <v>58</v>
      </c>
      <c r="B832" t="s">
        <v>7440</v>
      </c>
      <c r="C832" t="s">
        <v>7441</v>
      </c>
      <c r="D832" t="s">
        <v>7433</v>
      </c>
      <c r="E832" t="s">
        <v>7434</v>
      </c>
      <c r="F832">
        <v>1999</v>
      </c>
      <c r="G832" t="s">
        <v>219</v>
      </c>
      <c r="H832">
        <v>153</v>
      </c>
      <c r="I832">
        <v>11</v>
      </c>
      <c r="J832">
        <v>1181</v>
      </c>
      <c r="K832">
        <v>1183</v>
      </c>
      <c r="L832" t="s">
        <v>7442</v>
      </c>
      <c r="M832" t="s">
        <v>7443</v>
      </c>
      <c r="N832" t="s">
        <v>7444</v>
      </c>
      <c r="O832" t="s">
        <v>63</v>
      </c>
      <c r="Q832" t="s">
        <v>63</v>
      </c>
      <c r="R832" t="s">
        <v>63</v>
      </c>
      <c r="S832" t="s">
        <v>63</v>
      </c>
      <c r="T832" t="s">
        <v>63</v>
      </c>
      <c r="X832" t="s">
        <v>63</v>
      </c>
      <c r="Y832" t="s">
        <v>7437</v>
      </c>
      <c r="Z832" t="s">
        <v>63</v>
      </c>
      <c r="AA832" t="s">
        <v>7445</v>
      </c>
      <c r="AB832">
        <v>10555722</v>
      </c>
      <c r="AC832" t="s">
        <v>67</v>
      </c>
      <c r="AD832" t="s">
        <v>63</v>
      </c>
      <c r="AE832" t="s">
        <v>63</v>
      </c>
      <c r="AF832" t="s">
        <v>63</v>
      </c>
      <c r="AG832" t="s">
        <v>7446</v>
      </c>
      <c r="AH832" t="s">
        <v>63</v>
      </c>
      <c r="AI832" t="s">
        <v>63</v>
      </c>
      <c r="AJ832" t="s">
        <v>63</v>
      </c>
      <c r="AK832" t="s">
        <v>63</v>
      </c>
      <c r="AL832" t="s">
        <v>63</v>
      </c>
      <c r="AM832" t="s">
        <v>7447</v>
      </c>
      <c r="AN832" t="s">
        <v>63</v>
      </c>
      <c r="AO832" t="s">
        <v>63</v>
      </c>
      <c r="AP832" t="s">
        <v>63</v>
      </c>
      <c r="AQ832" t="s">
        <v>63</v>
      </c>
      <c r="AR832" t="s">
        <v>63</v>
      </c>
      <c r="AS832" t="s">
        <v>63</v>
      </c>
      <c r="AT832" t="s">
        <v>63</v>
      </c>
      <c r="AU832" t="s">
        <v>63</v>
      </c>
      <c r="AV832" t="s">
        <v>63</v>
      </c>
      <c r="AW832" t="s">
        <v>63</v>
      </c>
      <c r="AX832" t="s">
        <v>63</v>
      </c>
      <c r="AY832" t="s">
        <v>63</v>
      </c>
      <c r="AZ832" t="s">
        <v>63</v>
      </c>
      <c r="BA832" t="s">
        <v>63</v>
      </c>
      <c r="BB832" t="s">
        <v>63</v>
      </c>
      <c r="BC832" t="s">
        <v>63</v>
      </c>
      <c r="BD832" t="s">
        <v>63</v>
      </c>
      <c r="BE832" t="s">
        <v>63</v>
      </c>
      <c r="BF832" t="s">
        <v>63</v>
      </c>
    </row>
    <row r="833" spans="1:58">
      <c r="A833" t="s">
        <v>58</v>
      </c>
      <c r="B833" t="s">
        <v>7448</v>
      </c>
      <c r="C833" t="s">
        <v>7449</v>
      </c>
      <c r="D833" t="s">
        <v>1055</v>
      </c>
      <c r="E833" t="s">
        <v>1056</v>
      </c>
      <c r="F833">
        <v>2006</v>
      </c>
      <c r="G833" t="s">
        <v>219</v>
      </c>
      <c r="H833">
        <v>40</v>
      </c>
      <c r="I833">
        <v>11</v>
      </c>
      <c r="J833">
        <v>1058</v>
      </c>
      <c r="K833">
        <v>1064</v>
      </c>
      <c r="L833" t="s">
        <v>7450</v>
      </c>
      <c r="M833" t="s">
        <v>7451</v>
      </c>
      <c r="N833" t="s">
        <v>7452</v>
      </c>
      <c r="O833" t="s">
        <v>63</v>
      </c>
      <c r="Q833" t="s">
        <v>63</v>
      </c>
      <c r="R833" t="s">
        <v>63</v>
      </c>
      <c r="S833" t="s">
        <v>63</v>
      </c>
      <c r="T833" t="s">
        <v>63</v>
      </c>
      <c r="X833" t="s">
        <v>63</v>
      </c>
      <c r="Y833" t="s">
        <v>1059</v>
      </c>
      <c r="Z833" t="s">
        <v>63</v>
      </c>
      <c r="AA833" t="s">
        <v>7453</v>
      </c>
      <c r="AB833">
        <v>17054614</v>
      </c>
      <c r="AC833" t="s">
        <v>67</v>
      </c>
      <c r="AD833" t="s">
        <v>63</v>
      </c>
      <c r="AE833" t="s">
        <v>63</v>
      </c>
      <c r="AF833" t="s">
        <v>63</v>
      </c>
      <c r="AG833" t="s">
        <v>7454</v>
      </c>
      <c r="AH833" t="s">
        <v>63</v>
      </c>
      <c r="AI833" t="s">
        <v>63</v>
      </c>
      <c r="AJ833" t="s">
        <v>63</v>
      </c>
      <c r="AK833" t="s">
        <v>63</v>
      </c>
      <c r="AL833" t="s">
        <v>63</v>
      </c>
      <c r="AM833" t="s">
        <v>7455</v>
      </c>
      <c r="AN833" t="s">
        <v>63</v>
      </c>
      <c r="AO833" t="s">
        <v>63</v>
      </c>
      <c r="AP833" t="s">
        <v>63</v>
      </c>
      <c r="AQ833" t="s">
        <v>63</v>
      </c>
      <c r="AR833" t="s">
        <v>63</v>
      </c>
      <c r="AS833" t="s">
        <v>63</v>
      </c>
      <c r="AT833" t="s">
        <v>63</v>
      </c>
      <c r="AU833" t="s">
        <v>63</v>
      </c>
      <c r="AV833" t="s">
        <v>63</v>
      </c>
      <c r="AW833" t="s">
        <v>63</v>
      </c>
      <c r="AX833" t="s">
        <v>63</v>
      </c>
      <c r="AY833" t="s">
        <v>63</v>
      </c>
      <c r="AZ833" t="s">
        <v>63</v>
      </c>
      <c r="BA833" t="s">
        <v>63</v>
      </c>
      <c r="BB833" t="s">
        <v>63</v>
      </c>
      <c r="BC833" t="s">
        <v>63</v>
      </c>
      <c r="BD833" t="s">
        <v>63</v>
      </c>
      <c r="BE833" t="s">
        <v>63</v>
      </c>
      <c r="BF833" t="s">
        <v>63</v>
      </c>
    </row>
    <row r="834" spans="1:58">
      <c r="A834" t="s">
        <v>58</v>
      </c>
      <c r="B834" t="s">
        <v>7456</v>
      </c>
      <c r="C834" t="s">
        <v>7457</v>
      </c>
      <c r="D834" t="s">
        <v>7458</v>
      </c>
      <c r="E834" t="s">
        <v>7459</v>
      </c>
      <c r="F834">
        <v>1974</v>
      </c>
      <c r="G834" t="s">
        <v>219</v>
      </c>
      <c r="H834">
        <v>28</v>
      </c>
      <c r="I834">
        <v>4</v>
      </c>
      <c r="J834">
        <v>246</v>
      </c>
      <c r="K834">
        <v>251</v>
      </c>
      <c r="L834" t="s">
        <v>7460</v>
      </c>
      <c r="M834" t="s">
        <v>63</v>
      </c>
      <c r="N834" t="s">
        <v>7461</v>
      </c>
      <c r="O834" t="s">
        <v>63</v>
      </c>
      <c r="Q834" t="s">
        <v>63</v>
      </c>
      <c r="R834" t="s">
        <v>63</v>
      </c>
      <c r="S834" t="s">
        <v>63</v>
      </c>
      <c r="T834" t="s">
        <v>63</v>
      </c>
      <c r="X834" t="s">
        <v>63</v>
      </c>
      <c r="Y834" t="s">
        <v>7462</v>
      </c>
      <c r="Z834" t="s">
        <v>63</v>
      </c>
      <c r="AA834" t="s">
        <v>63</v>
      </c>
      <c r="AB834">
        <v>4455343</v>
      </c>
      <c r="AC834" t="s">
        <v>67</v>
      </c>
      <c r="AD834" t="s">
        <v>63</v>
      </c>
      <c r="AE834" t="s">
        <v>63</v>
      </c>
      <c r="AF834" t="s">
        <v>63</v>
      </c>
      <c r="AG834" t="s">
        <v>7463</v>
      </c>
      <c r="AH834" t="s">
        <v>63</v>
      </c>
      <c r="AI834" t="s">
        <v>63</v>
      </c>
      <c r="AJ834" t="s">
        <v>63</v>
      </c>
      <c r="AK834" t="s">
        <v>63</v>
      </c>
      <c r="AL834" t="s">
        <v>63</v>
      </c>
      <c r="AM834" t="s">
        <v>7464</v>
      </c>
      <c r="AN834" t="s">
        <v>63</v>
      </c>
      <c r="AO834" t="s">
        <v>63</v>
      </c>
      <c r="AP834" t="s">
        <v>63</v>
      </c>
      <c r="AQ834" t="s">
        <v>63</v>
      </c>
      <c r="AR834" t="s">
        <v>63</v>
      </c>
      <c r="AS834" t="s">
        <v>63</v>
      </c>
      <c r="AT834" t="s">
        <v>63</v>
      </c>
      <c r="AU834" t="s">
        <v>63</v>
      </c>
      <c r="AV834" t="s">
        <v>63</v>
      </c>
      <c r="AW834" t="s">
        <v>63</v>
      </c>
      <c r="AX834" t="s">
        <v>63</v>
      </c>
      <c r="AY834" t="s">
        <v>63</v>
      </c>
      <c r="AZ834" t="s">
        <v>63</v>
      </c>
      <c r="BA834" t="s">
        <v>63</v>
      </c>
      <c r="BB834" t="s">
        <v>63</v>
      </c>
      <c r="BC834" t="s">
        <v>63</v>
      </c>
      <c r="BD834" t="s">
        <v>63</v>
      </c>
      <c r="BE834" t="s">
        <v>63</v>
      </c>
      <c r="BF834" t="s">
        <v>63</v>
      </c>
    </row>
    <row r="835" spans="1:58">
      <c r="A835" t="s">
        <v>58</v>
      </c>
      <c r="B835" t="s">
        <v>7465</v>
      </c>
      <c r="C835" t="s">
        <v>7466</v>
      </c>
      <c r="D835" t="s">
        <v>2576</v>
      </c>
      <c r="E835" t="s">
        <v>2577</v>
      </c>
      <c r="F835">
        <v>1971</v>
      </c>
      <c r="G835" s="1">
        <v>41726</v>
      </c>
      <c r="H835">
        <v>178</v>
      </c>
      <c r="I835" t="s">
        <v>63</v>
      </c>
      <c r="J835">
        <v>35</v>
      </c>
      <c r="K835">
        <v>38</v>
      </c>
      <c r="L835" t="s">
        <v>7467</v>
      </c>
      <c r="M835" t="s">
        <v>63</v>
      </c>
      <c r="N835" t="s">
        <v>7468</v>
      </c>
      <c r="O835" t="s">
        <v>63</v>
      </c>
      <c r="Q835" t="s">
        <v>63</v>
      </c>
      <c r="R835" t="s">
        <v>63</v>
      </c>
      <c r="S835" t="s">
        <v>63</v>
      </c>
      <c r="T835" t="s">
        <v>63</v>
      </c>
      <c r="X835" t="s">
        <v>63</v>
      </c>
      <c r="Y835" t="s">
        <v>2580</v>
      </c>
      <c r="Z835" t="s">
        <v>63</v>
      </c>
      <c r="AA835" t="s">
        <v>63</v>
      </c>
      <c r="AB835">
        <v>5282651</v>
      </c>
      <c r="AC835" t="s">
        <v>67</v>
      </c>
      <c r="AD835" t="s">
        <v>63</v>
      </c>
      <c r="AE835" t="s">
        <v>63</v>
      </c>
      <c r="AF835" t="s">
        <v>63</v>
      </c>
      <c r="AG835" t="s">
        <v>7469</v>
      </c>
      <c r="AH835" t="s">
        <v>63</v>
      </c>
      <c r="AI835" t="s">
        <v>63</v>
      </c>
      <c r="AJ835" t="s">
        <v>63</v>
      </c>
      <c r="AK835" t="s">
        <v>63</v>
      </c>
      <c r="AL835" t="s">
        <v>63</v>
      </c>
      <c r="AM835" t="s">
        <v>7470</v>
      </c>
      <c r="AN835" t="s">
        <v>63</v>
      </c>
      <c r="AO835" t="s">
        <v>63</v>
      </c>
      <c r="AP835" t="s">
        <v>63</v>
      </c>
      <c r="AQ835" t="s">
        <v>63</v>
      </c>
      <c r="AR835" t="s">
        <v>63</v>
      </c>
      <c r="AS835" t="s">
        <v>63</v>
      </c>
      <c r="AT835" t="s">
        <v>63</v>
      </c>
      <c r="AU835" t="s">
        <v>63</v>
      </c>
      <c r="AV835" t="s">
        <v>63</v>
      </c>
      <c r="AW835" t="s">
        <v>63</v>
      </c>
      <c r="AX835" t="s">
        <v>63</v>
      </c>
      <c r="AY835" t="s">
        <v>63</v>
      </c>
      <c r="AZ835" t="s">
        <v>63</v>
      </c>
      <c r="BA835" t="s">
        <v>63</v>
      </c>
      <c r="BB835" t="s">
        <v>63</v>
      </c>
      <c r="BC835" t="s">
        <v>63</v>
      </c>
      <c r="BD835" t="s">
        <v>63</v>
      </c>
      <c r="BE835" t="s">
        <v>63</v>
      </c>
      <c r="BF835" t="s">
        <v>63</v>
      </c>
    </row>
    <row r="836" spans="1:58">
      <c r="A836" t="s">
        <v>58</v>
      </c>
      <c r="B836" t="s">
        <v>7471</v>
      </c>
      <c r="C836" t="s">
        <v>7472</v>
      </c>
      <c r="D836" t="s">
        <v>7473</v>
      </c>
      <c r="E836" t="s">
        <v>7474</v>
      </c>
      <c r="F836">
        <v>2014</v>
      </c>
      <c r="G836" s="1">
        <v>41759</v>
      </c>
      <c r="H836">
        <v>179</v>
      </c>
      <c r="I836">
        <v>9</v>
      </c>
      <c r="J836">
        <v>1096</v>
      </c>
      <c r="K836">
        <v>1106</v>
      </c>
      <c r="L836" t="s">
        <v>7475</v>
      </c>
      <c r="M836" t="s">
        <v>7476</v>
      </c>
      <c r="N836" t="s">
        <v>7477</v>
      </c>
      <c r="O836" t="s">
        <v>63</v>
      </c>
      <c r="Q836" t="s">
        <v>63</v>
      </c>
      <c r="R836" t="s">
        <v>63</v>
      </c>
      <c r="S836" t="s">
        <v>63</v>
      </c>
      <c r="T836" t="s">
        <v>63</v>
      </c>
      <c r="X836" t="s">
        <v>63</v>
      </c>
      <c r="Y836" t="s">
        <v>7478</v>
      </c>
      <c r="Z836" t="s">
        <v>63</v>
      </c>
      <c r="AA836" t="s">
        <v>63</v>
      </c>
      <c r="AB836">
        <v>24682527</v>
      </c>
      <c r="AC836" t="s">
        <v>67</v>
      </c>
      <c r="AD836" t="s">
        <v>63</v>
      </c>
      <c r="AE836" t="s">
        <v>63</v>
      </c>
      <c r="AF836" t="s">
        <v>63</v>
      </c>
      <c r="AG836" t="s">
        <v>7479</v>
      </c>
      <c r="AH836" t="s">
        <v>63</v>
      </c>
      <c r="AI836" t="s">
        <v>7480</v>
      </c>
      <c r="AJ836" t="s">
        <v>63</v>
      </c>
      <c r="AK836" t="s">
        <v>63</v>
      </c>
      <c r="AL836" t="s">
        <v>63</v>
      </c>
      <c r="AM836" t="s">
        <v>7481</v>
      </c>
      <c r="AN836" t="s">
        <v>63</v>
      </c>
      <c r="AO836" t="s">
        <v>63</v>
      </c>
      <c r="AP836" t="s">
        <v>63</v>
      </c>
      <c r="AQ836" t="s">
        <v>63</v>
      </c>
      <c r="AR836" t="s">
        <v>63</v>
      </c>
      <c r="AS836" t="s">
        <v>63</v>
      </c>
      <c r="AT836" t="s">
        <v>63</v>
      </c>
      <c r="AU836" t="s">
        <v>63</v>
      </c>
      <c r="AV836" t="s">
        <v>63</v>
      </c>
      <c r="AW836" t="s">
        <v>63</v>
      </c>
      <c r="AX836" t="s">
        <v>63</v>
      </c>
      <c r="AY836" t="s">
        <v>63</v>
      </c>
      <c r="AZ836" t="s">
        <v>63</v>
      </c>
      <c r="BA836" t="s">
        <v>63</v>
      </c>
      <c r="BB836" t="s">
        <v>63</v>
      </c>
      <c r="BC836" t="s">
        <v>63</v>
      </c>
      <c r="BD836" t="s">
        <v>63</v>
      </c>
      <c r="BE836" t="s">
        <v>63</v>
      </c>
      <c r="BF836" t="s">
        <v>63</v>
      </c>
    </row>
    <row r="837" spans="1:58">
      <c r="A837" t="s">
        <v>58</v>
      </c>
      <c r="B837" t="s">
        <v>7482</v>
      </c>
      <c r="C837" t="s">
        <v>7483</v>
      </c>
      <c r="D837" t="s">
        <v>522</v>
      </c>
      <c r="E837" t="s">
        <v>523</v>
      </c>
      <c r="F837">
        <v>2002</v>
      </c>
      <c r="G837" t="s">
        <v>84</v>
      </c>
      <c r="H837">
        <v>49</v>
      </c>
      <c r="I837">
        <v>2</v>
      </c>
      <c r="J837">
        <v>415</v>
      </c>
      <c r="K837">
        <v>433</v>
      </c>
      <c r="L837" t="s">
        <v>7484</v>
      </c>
      <c r="M837" t="s">
        <v>7485</v>
      </c>
      <c r="N837" t="s">
        <v>7486</v>
      </c>
      <c r="O837" t="s">
        <v>63</v>
      </c>
      <c r="Q837" t="s">
        <v>63</v>
      </c>
      <c r="R837" t="s">
        <v>63</v>
      </c>
      <c r="S837" t="s">
        <v>63</v>
      </c>
      <c r="T837" t="s">
        <v>63</v>
      </c>
      <c r="X837" t="s">
        <v>63</v>
      </c>
      <c r="Y837" t="s">
        <v>527</v>
      </c>
      <c r="Z837" t="s">
        <v>63</v>
      </c>
      <c r="AA837" t="s">
        <v>7487</v>
      </c>
      <c r="AB837">
        <v>11993291</v>
      </c>
      <c r="AC837" t="s">
        <v>67</v>
      </c>
      <c r="AD837" t="s">
        <v>63</v>
      </c>
      <c r="AE837" t="s">
        <v>63</v>
      </c>
      <c r="AF837" t="s">
        <v>63</v>
      </c>
      <c r="AG837" t="s">
        <v>7488</v>
      </c>
      <c r="AH837" t="s">
        <v>63</v>
      </c>
      <c r="AI837" t="s">
        <v>63</v>
      </c>
      <c r="AJ837" t="s">
        <v>63</v>
      </c>
      <c r="AK837" t="s">
        <v>63</v>
      </c>
      <c r="AL837" t="s">
        <v>63</v>
      </c>
      <c r="AM837" t="s">
        <v>7489</v>
      </c>
      <c r="AN837" t="s">
        <v>63</v>
      </c>
      <c r="AO837" t="s">
        <v>63</v>
      </c>
      <c r="AP837" t="s">
        <v>63</v>
      </c>
      <c r="AQ837" t="s">
        <v>63</v>
      </c>
      <c r="AR837" t="s">
        <v>63</v>
      </c>
      <c r="AS837" t="s">
        <v>63</v>
      </c>
      <c r="AT837" t="s">
        <v>63</v>
      </c>
      <c r="AU837" t="s">
        <v>63</v>
      </c>
      <c r="AV837" t="s">
        <v>63</v>
      </c>
      <c r="AW837" t="s">
        <v>63</v>
      </c>
      <c r="AX837" t="s">
        <v>63</v>
      </c>
      <c r="AY837" t="s">
        <v>63</v>
      </c>
      <c r="AZ837" t="s">
        <v>63</v>
      </c>
      <c r="BA837" t="s">
        <v>63</v>
      </c>
      <c r="BB837" t="s">
        <v>63</v>
      </c>
      <c r="BC837" t="s">
        <v>63</v>
      </c>
      <c r="BD837" t="s">
        <v>63</v>
      </c>
      <c r="BE837" t="s">
        <v>63</v>
      </c>
      <c r="BF837" t="s">
        <v>63</v>
      </c>
    </row>
    <row r="838" spans="1:58">
      <c r="A838" t="s">
        <v>58</v>
      </c>
      <c r="B838" t="s">
        <v>7490</v>
      </c>
      <c r="C838" t="s">
        <v>7491</v>
      </c>
      <c r="D838" t="s">
        <v>7492</v>
      </c>
      <c r="E838" t="s">
        <v>7493</v>
      </c>
      <c r="F838">
        <v>1991</v>
      </c>
      <c r="G838" t="s">
        <v>274</v>
      </c>
      <c r="H838">
        <v>18</v>
      </c>
      <c r="I838">
        <v>1</v>
      </c>
      <c r="J838">
        <v>125</v>
      </c>
      <c r="K838">
        <v>138</v>
      </c>
      <c r="L838" t="s">
        <v>7494</v>
      </c>
      <c r="M838" t="s">
        <v>7495</v>
      </c>
      <c r="N838" t="s">
        <v>7496</v>
      </c>
      <c r="O838" t="s">
        <v>63</v>
      </c>
      <c r="Q838" t="s">
        <v>63</v>
      </c>
      <c r="R838" t="s">
        <v>63</v>
      </c>
      <c r="S838" t="s">
        <v>63</v>
      </c>
      <c r="T838" t="s">
        <v>63</v>
      </c>
      <c r="X838" t="s">
        <v>63</v>
      </c>
      <c r="Y838" t="s">
        <v>7497</v>
      </c>
      <c r="Z838" t="s">
        <v>63</v>
      </c>
      <c r="AA838" t="s">
        <v>7498</v>
      </c>
      <c r="AB838">
        <v>2040113</v>
      </c>
      <c r="AC838" t="s">
        <v>67</v>
      </c>
      <c r="AD838" t="s">
        <v>63</v>
      </c>
      <c r="AE838" t="s">
        <v>63</v>
      </c>
      <c r="AF838" t="s">
        <v>63</v>
      </c>
      <c r="AG838" t="s">
        <v>7499</v>
      </c>
      <c r="AH838" t="s">
        <v>63</v>
      </c>
      <c r="AI838" t="s">
        <v>63</v>
      </c>
      <c r="AJ838" t="s">
        <v>63</v>
      </c>
      <c r="AK838" t="s">
        <v>63</v>
      </c>
      <c r="AL838" t="s">
        <v>63</v>
      </c>
      <c r="AM838" t="s">
        <v>7500</v>
      </c>
      <c r="AN838" t="s">
        <v>63</v>
      </c>
      <c r="AO838" t="s">
        <v>63</v>
      </c>
      <c r="AP838" t="s">
        <v>63</v>
      </c>
      <c r="AQ838" t="s">
        <v>63</v>
      </c>
      <c r="AR838" t="s">
        <v>63</v>
      </c>
      <c r="AS838" t="s">
        <v>63</v>
      </c>
      <c r="AT838" t="s">
        <v>63</v>
      </c>
      <c r="AU838" t="s">
        <v>63</v>
      </c>
      <c r="AV838" t="s">
        <v>63</v>
      </c>
      <c r="AW838" t="s">
        <v>63</v>
      </c>
      <c r="AX838" t="s">
        <v>63</v>
      </c>
      <c r="AY838" t="s">
        <v>63</v>
      </c>
      <c r="AZ838" t="s">
        <v>63</v>
      </c>
      <c r="BA838" t="s">
        <v>63</v>
      </c>
      <c r="BB838" t="s">
        <v>63</v>
      </c>
      <c r="BC838" t="s">
        <v>63</v>
      </c>
      <c r="BD838" t="s">
        <v>63</v>
      </c>
      <c r="BE838" t="s">
        <v>63</v>
      </c>
      <c r="BF838" t="s">
        <v>63</v>
      </c>
    </row>
    <row r="839" spans="1:58">
      <c r="A839" t="s">
        <v>58</v>
      </c>
      <c r="B839" t="s">
        <v>7501</v>
      </c>
      <c r="C839" t="s">
        <v>7502</v>
      </c>
      <c r="D839" t="s">
        <v>763</v>
      </c>
      <c r="E839" t="s">
        <v>63</v>
      </c>
      <c r="F839">
        <v>1995</v>
      </c>
      <c r="G839" t="s">
        <v>73</v>
      </c>
      <c r="H839">
        <v>70</v>
      </c>
      <c r="I839">
        <v>6</v>
      </c>
      <c r="J839">
        <v>495</v>
      </c>
      <c r="K839">
        <v>498</v>
      </c>
      <c r="L839" t="s">
        <v>7503</v>
      </c>
      <c r="M839" t="s">
        <v>7504</v>
      </c>
      <c r="N839" t="s">
        <v>7505</v>
      </c>
      <c r="O839" t="s">
        <v>63</v>
      </c>
      <c r="Q839" t="s">
        <v>63</v>
      </c>
      <c r="R839" t="s">
        <v>63</v>
      </c>
      <c r="S839" t="s">
        <v>63</v>
      </c>
      <c r="T839" t="s">
        <v>63</v>
      </c>
      <c r="X839" t="s">
        <v>63</v>
      </c>
      <c r="Y839" t="s">
        <v>858</v>
      </c>
      <c r="Z839" t="s">
        <v>63</v>
      </c>
      <c r="AA839" t="s">
        <v>7506</v>
      </c>
      <c r="AB839">
        <v>7786368</v>
      </c>
      <c r="AC839" t="s">
        <v>67</v>
      </c>
      <c r="AD839" t="s">
        <v>63</v>
      </c>
      <c r="AE839" t="s">
        <v>63</v>
      </c>
      <c r="AF839" t="s">
        <v>63</v>
      </c>
      <c r="AG839" t="s">
        <v>7507</v>
      </c>
      <c r="AH839" t="s">
        <v>63</v>
      </c>
      <c r="AI839" t="s">
        <v>63</v>
      </c>
      <c r="AJ839" t="s">
        <v>63</v>
      </c>
      <c r="AK839" t="s">
        <v>63</v>
      </c>
      <c r="AL839" t="s">
        <v>63</v>
      </c>
      <c r="AM839" t="s">
        <v>7508</v>
      </c>
      <c r="AN839" t="s">
        <v>63</v>
      </c>
      <c r="AO839" t="s">
        <v>63</v>
      </c>
      <c r="AP839" t="s">
        <v>63</v>
      </c>
      <c r="AQ839" t="s">
        <v>63</v>
      </c>
      <c r="AR839" t="s">
        <v>63</v>
      </c>
      <c r="AS839" t="s">
        <v>63</v>
      </c>
      <c r="AT839" t="s">
        <v>63</v>
      </c>
      <c r="AU839" t="s">
        <v>63</v>
      </c>
      <c r="AV839" t="s">
        <v>63</v>
      </c>
      <c r="AW839" t="s">
        <v>63</v>
      </c>
      <c r="AX839" t="s">
        <v>63</v>
      </c>
      <c r="AY839" t="s">
        <v>63</v>
      </c>
      <c r="AZ839" t="s">
        <v>63</v>
      </c>
      <c r="BA839" t="s">
        <v>63</v>
      </c>
      <c r="BB839" t="s">
        <v>63</v>
      </c>
      <c r="BC839" t="s">
        <v>63</v>
      </c>
      <c r="BD839" t="s">
        <v>63</v>
      </c>
      <c r="BE839" t="s">
        <v>63</v>
      </c>
      <c r="BF839" t="s">
        <v>63</v>
      </c>
    </row>
    <row r="840" spans="1:58">
      <c r="A840" t="s">
        <v>58</v>
      </c>
      <c r="B840" t="s">
        <v>7509</v>
      </c>
      <c r="C840" t="s">
        <v>7510</v>
      </c>
      <c r="D840" t="s">
        <v>389</v>
      </c>
      <c r="E840" t="s">
        <v>63</v>
      </c>
      <c r="F840">
        <v>2016</v>
      </c>
      <c r="G840" t="s">
        <v>63</v>
      </c>
      <c r="H840">
        <v>37</v>
      </c>
      <c r="I840">
        <v>1</v>
      </c>
      <c r="J840">
        <v>20</v>
      </c>
      <c r="K840">
        <v>24</v>
      </c>
      <c r="L840" t="s">
        <v>7511</v>
      </c>
      <c r="M840" t="s">
        <v>7512</v>
      </c>
      <c r="N840" t="s">
        <v>7513</v>
      </c>
      <c r="O840" t="s">
        <v>63</v>
      </c>
      <c r="Q840" t="s">
        <v>63</v>
      </c>
      <c r="R840" t="s">
        <v>63</v>
      </c>
      <c r="S840" t="s">
        <v>63</v>
      </c>
      <c r="T840" t="s">
        <v>63</v>
      </c>
      <c r="X840" t="s">
        <v>63</v>
      </c>
      <c r="Y840" t="s">
        <v>556</v>
      </c>
      <c r="Z840" t="s">
        <v>63</v>
      </c>
      <c r="AA840" t="s">
        <v>7514</v>
      </c>
      <c r="AB840">
        <v>26848803</v>
      </c>
      <c r="AC840" t="s">
        <v>67</v>
      </c>
      <c r="AD840" t="s">
        <v>63</v>
      </c>
      <c r="AE840" t="s">
        <v>63</v>
      </c>
      <c r="AF840" t="s">
        <v>63</v>
      </c>
      <c r="AG840" t="s">
        <v>7515</v>
      </c>
      <c r="AH840" t="s">
        <v>63</v>
      </c>
      <c r="AI840" t="s">
        <v>7516</v>
      </c>
      <c r="AJ840" t="s">
        <v>63</v>
      </c>
      <c r="AK840" t="s">
        <v>63</v>
      </c>
      <c r="AL840" t="s">
        <v>63</v>
      </c>
      <c r="AM840" t="s">
        <v>7517</v>
      </c>
      <c r="AN840" t="s">
        <v>63</v>
      </c>
      <c r="AO840" t="s">
        <v>63</v>
      </c>
      <c r="AP840" t="s">
        <v>63</v>
      </c>
      <c r="AQ840" t="s">
        <v>63</v>
      </c>
      <c r="AR840" t="s">
        <v>63</v>
      </c>
      <c r="AS840" t="s">
        <v>63</v>
      </c>
      <c r="AT840" t="s">
        <v>63</v>
      </c>
      <c r="AU840" t="s">
        <v>63</v>
      </c>
      <c r="AV840" t="s">
        <v>63</v>
      </c>
      <c r="AW840" t="s">
        <v>63</v>
      </c>
      <c r="AX840" t="s">
        <v>63</v>
      </c>
      <c r="AY840" t="s">
        <v>63</v>
      </c>
      <c r="AZ840" t="s">
        <v>63</v>
      </c>
      <c r="BA840" t="s">
        <v>63</v>
      </c>
      <c r="BB840" t="s">
        <v>63</v>
      </c>
      <c r="BC840" t="s">
        <v>63</v>
      </c>
      <c r="BD840" t="s">
        <v>63</v>
      </c>
      <c r="BE840" t="s">
        <v>63</v>
      </c>
      <c r="BF840" t="s">
        <v>63</v>
      </c>
    </row>
    <row r="841" spans="1:58">
      <c r="A841" t="s">
        <v>58</v>
      </c>
      <c r="B841" t="s">
        <v>7518</v>
      </c>
      <c r="C841" t="s">
        <v>7519</v>
      </c>
      <c r="D841" t="s">
        <v>6749</v>
      </c>
      <c r="E841" t="s">
        <v>63</v>
      </c>
      <c r="F841">
        <v>2011</v>
      </c>
      <c r="G841" s="1">
        <v>41922</v>
      </c>
      <c r="H841">
        <v>6</v>
      </c>
      <c r="I841" t="s">
        <v>63</v>
      </c>
      <c r="J841">
        <v>27</v>
      </c>
      <c r="K841" t="s">
        <v>63</v>
      </c>
      <c r="L841" t="s">
        <v>7520</v>
      </c>
      <c r="M841" t="s">
        <v>7521</v>
      </c>
      <c r="N841" t="s">
        <v>7522</v>
      </c>
      <c r="O841" t="s">
        <v>63</v>
      </c>
      <c r="Q841" t="s">
        <v>63</v>
      </c>
      <c r="R841" t="s">
        <v>63</v>
      </c>
      <c r="S841" t="s">
        <v>63</v>
      </c>
      <c r="T841" t="s">
        <v>63</v>
      </c>
      <c r="X841" t="s">
        <v>63</v>
      </c>
      <c r="Y841" t="s">
        <v>6753</v>
      </c>
      <c r="Z841" t="s">
        <v>63</v>
      </c>
      <c r="AA841" t="s">
        <v>7523</v>
      </c>
      <c r="AB841">
        <v>21988896</v>
      </c>
      <c r="AC841" t="s">
        <v>67</v>
      </c>
      <c r="AD841" t="s">
        <v>63</v>
      </c>
      <c r="AE841" t="s">
        <v>63</v>
      </c>
      <c r="AF841" t="s">
        <v>63</v>
      </c>
      <c r="AG841" t="s">
        <v>7524</v>
      </c>
      <c r="AH841" t="s">
        <v>63</v>
      </c>
      <c r="AI841" t="s">
        <v>7525</v>
      </c>
      <c r="AJ841" t="s">
        <v>63</v>
      </c>
      <c r="AK841" t="s">
        <v>63</v>
      </c>
      <c r="AL841" t="s">
        <v>63</v>
      </c>
      <c r="AM841" t="s">
        <v>7526</v>
      </c>
      <c r="AN841" t="s">
        <v>63</v>
      </c>
      <c r="AO841" t="s">
        <v>63</v>
      </c>
      <c r="AP841" t="s">
        <v>63</v>
      </c>
      <c r="AQ841" t="s">
        <v>63</v>
      </c>
      <c r="AR841" t="s">
        <v>63</v>
      </c>
      <c r="AS841" t="s">
        <v>63</v>
      </c>
      <c r="AT841" t="s">
        <v>63</v>
      </c>
      <c r="AU841" t="s">
        <v>63</v>
      </c>
      <c r="AV841" t="s">
        <v>63</v>
      </c>
      <c r="AW841" t="s">
        <v>63</v>
      </c>
      <c r="AX841" t="s">
        <v>63</v>
      </c>
      <c r="AY841" t="s">
        <v>63</v>
      </c>
      <c r="AZ841" t="s">
        <v>63</v>
      </c>
      <c r="BA841" t="s">
        <v>63</v>
      </c>
      <c r="BB841" t="s">
        <v>63</v>
      </c>
      <c r="BC841" t="s">
        <v>63</v>
      </c>
      <c r="BD841" t="s">
        <v>63</v>
      </c>
      <c r="BE841" t="s">
        <v>63</v>
      </c>
      <c r="BF841" t="s">
        <v>63</v>
      </c>
    </row>
    <row r="842" spans="1:58">
      <c r="A842" t="s">
        <v>58</v>
      </c>
      <c r="B842" t="s">
        <v>7527</v>
      </c>
      <c r="C842" t="s">
        <v>7528</v>
      </c>
      <c r="D842" t="s">
        <v>7529</v>
      </c>
      <c r="E842" t="s">
        <v>7530</v>
      </c>
      <c r="F842">
        <v>2008</v>
      </c>
      <c r="G842" t="s">
        <v>189</v>
      </c>
      <c r="H842">
        <v>36</v>
      </c>
      <c r="I842">
        <v>3</v>
      </c>
      <c r="J842">
        <v>298</v>
      </c>
      <c r="K842">
        <v>302</v>
      </c>
      <c r="L842" t="s">
        <v>7531</v>
      </c>
      <c r="M842" t="s">
        <v>7532</v>
      </c>
      <c r="N842" t="s">
        <v>7533</v>
      </c>
      <c r="O842" t="s">
        <v>63</v>
      </c>
      <c r="Q842" t="s">
        <v>63</v>
      </c>
      <c r="R842" t="s">
        <v>63</v>
      </c>
      <c r="S842" t="s">
        <v>63</v>
      </c>
      <c r="T842" t="s">
        <v>63</v>
      </c>
      <c r="X842" t="s">
        <v>63</v>
      </c>
      <c r="Y842" t="s">
        <v>7534</v>
      </c>
      <c r="Z842" t="s">
        <v>63</v>
      </c>
      <c r="AA842" t="s">
        <v>7535</v>
      </c>
      <c r="AB842">
        <v>18519300</v>
      </c>
      <c r="AC842" t="s">
        <v>67</v>
      </c>
      <c r="AD842" t="s">
        <v>63</v>
      </c>
      <c r="AE842" t="s">
        <v>63</v>
      </c>
      <c r="AF842" t="s">
        <v>63</v>
      </c>
      <c r="AG842" t="s">
        <v>7536</v>
      </c>
      <c r="AH842" t="s">
        <v>63</v>
      </c>
      <c r="AI842" t="s">
        <v>7537</v>
      </c>
      <c r="AJ842" t="s">
        <v>63</v>
      </c>
      <c r="AK842" t="s">
        <v>63</v>
      </c>
      <c r="AL842" t="s">
        <v>63</v>
      </c>
      <c r="AM842" t="s">
        <v>7538</v>
      </c>
      <c r="AN842" t="s">
        <v>63</v>
      </c>
      <c r="AO842" t="s">
        <v>63</v>
      </c>
      <c r="AP842" t="s">
        <v>63</v>
      </c>
      <c r="AQ842" t="s">
        <v>63</v>
      </c>
      <c r="AR842" t="s">
        <v>63</v>
      </c>
      <c r="AS842" t="s">
        <v>63</v>
      </c>
      <c r="AT842" t="s">
        <v>63</v>
      </c>
      <c r="AU842" t="s">
        <v>63</v>
      </c>
      <c r="AV842" t="s">
        <v>63</v>
      </c>
      <c r="AW842" t="s">
        <v>63</v>
      </c>
      <c r="AX842" t="s">
        <v>63</v>
      </c>
      <c r="AY842" t="s">
        <v>63</v>
      </c>
      <c r="AZ842" t="s">
        <v>63</v>
      </c>
      <c r="BA842" t="s">
        <v>63</v>
      </c>
      <c r="BB842" t="s">
        <v>63</v>
      </c>
      <c r="BC842" t="s">
        <v>63</v>
      </c>
      <c r="BD842" t="s">
        <v>63</v>
      </c>
      <c r="BE842" t="s">
        <v>63</v>
      </c>
      <c r="BF842" t="s">
        <v>63</v>
      </c>
    </row>
    <row r="843" spans="1:58">
      <c r="A843" t="s">
        <v>58</v>
      </c>
      <c r="B843" t="s">
        <v>7539</v>
      </c>
      <c r="C843" t="s">
        <v>7540</v>
      </c>
      <c r="D843" t="s">
        <v>250</v>
      </c>
      <c r="E843" t="s">
        <v>251</v>
      </c>
      <c r="F843">
        <v>1984</v>
      </c>
      <c r="G843" s="1">
        <v>41670</v>
      </c>
      <c r="H843">
        <v>130</v>
      </c>
      <c r="I843">
        <v>3</v>
      </c>
      <c r="J843">
        <v>305</v>
      </c>
      <c r="K843">
        <v>308</v>
      </c>
      <c r="L843" t="s">
        <v>7541</v>
      </c>
      <c r="M843" t="s">
        <v>63</v>
      </c>
      <c r="N843" t="s">
        <v>7542</v>
      </c>
      <c r="O843" t="s">
        <v>63</v>
      </c>
      <c r="Q843" t="s">
        <v>63</v>
      </c>
      <c r="R843" t="s">
        <v>63</v>
      </c>
      <c r="S843" t="s">
        <v>63</v>
      </c>
      <c r="T843" t="s">
        <v>63</v>
      </c>
      <c r="X843" t="s">
        <v>63</v>
      </c>
      <c r="Y843" s="2">
        <v>915146</v>
      </c>
      <c r="Z843" t="s">
        <v>63</v>
      </c>
      <c r="AA843" t="s">
        <v>63</v>
      </c>
      <c r="AB843">
        <v>6692216</v>
      </c>
      <c r="AC843" t="s">
        <v>67</v>
      </c>
      <c r="AD843" t="s">
        <v>63</v>
      </c>
      <c r="AE843" t="s">
        <v>63</v>
      </c>
      <c r="AF843" t="s">
        <v>63</v>
      </c>
      <c r="AG843" t="s">
        <v>7543</v>
      </c>
      <c r="AH843" t="s">
        <v>63</v>
      </c>
      <c r="AI843" t="s">
        <v>63</v>
      </c>
      <c r="AJ843" t="s">
        <v>63</v>
      </c>
      <c r="AK843" t="s">
        <v>63</v>
      </c>
      <c r="AL843" t="s">
        <v>63</v>
      </c>
      <c r="AM843" t="s">
        <v>7544</v>
      </c>
      <c r="AN843" t="s">
        <v>63</v>
      </c>
      <c r="AO843" t="s">
        <v>63</v>
      </c>
      <c r="AP843" t="s">
        <v>63</v>
      </c>
      <c r="AQ843" t="s">
        <v>63</v>
      </c>
      <c r="AR843" t="s">
        <v>63</v>
      </c>
      <c r="AS843" t="s">
        <v>63</v>
      </c>
      <c r="AT843" t="s">
        <v>63</v>
      </c>
      <c r="AU843" t="s">
        <v>63</v>
      </c>
      <c r="AV843" t="s">
        <v>63</v>
      </c>
      <c r="AW843" t="s">
        <v>63</v>
      </c>
      <c r="AX843" t="s">
        <v>63</v>
      </c>
      <c r="AY843" t="s">
        <v>63</v>
      </c>
      <c r="AZ843" t="s">
        <v>63</v>
      </c>
      <c r="BA843" t="s">
        <v>63</v>
      </c>
      <c r="BB843" t="s">
        <v>63</v>
      </c>
      <c r="BC843" t="s">
        <v>63</v>
      </c>
      <c r="BD843" t="s">
        <v>63</v>
      </c>
      <c r="BE843" t="s">
        <v>63</v>
      </c>
      <c r="BF843" t="s">
        <v>63</v>
      </c>
    </row>
    <row r="844" spans="1:58">
      <c r="A844" t="s">
        <v>58</v>
      </c>
      <c r="B844" t="s">
        <v>7545</v>
      </c>
      <c r="C844" t="s">
        <v>7546</v>
      </c>
      <c r="D844" t="s">
        <v>828</v>
      </c>
      <c r="E844" t="s">
        <v>63</v>
      </c>
      <c r="F844">
        <v>2013</v>
      </c>
      <c r="G844" t="s">
        <v>63</v>
      </c>
      <c r="H844">
        <v>20</v>
      </c>
      <c r="I844">
        <v>1</v>
      </c>
      <c r="J844" t="s">
        <v>7547</v>
      </c>
      <c r="K844">
        <v>3</v>
      </c>
      <c r="L844" t="s">
        <v>7548</v>
      </c>
      <c r="M844" t="s">
        <v>7549</v>
      </c>
      <c r="N844" t="s">
        <v>7550</v>
      </c>
      <c r="O844" t="s">
        <v>63</v>
      </c>
      <c r="Q844" t="s">
        <v>63</v>
      </c>
      <c r="R844" t="s">
        <v>63</v>
      </c>
      <c r="S844" t="s">
        <v>63</v>
      </c>
      <c r="T844" t="s">
        <v>63</v>
      </c>
      <c r="X844" t="s">
        <v>63</v>
      </c>
      <c r="Y844" t="s">
        <v>833</v>
      </c>
      <c r="Z844" t="s">
        <v>63</v>
      </c>
      <c r="AA844" t="s">
        <v>7551</v>
      </c>
      <c r="AB844">
        <v>23429281</v>
      </c>
      <c r="AC844" t="s">
        <v>67</v>
      </c>
      <c r="AD844" t="s">
        <v>63</v>
      </c>
      <c r="AE844" t="s">
        <v>63</v>
      </c>
      <c r="AF844" t="s">
        <v>63</v>
      </c>
      <c r="AG844" t="s">
        <v>7552</v>
      </c>
      <c r="AH844" t="s">
        <v>63</v>
      </c>
      <c r="AI844" t="s">
        <v>63</v>
      </c>
      <c r="AJ844" t="s">
        <v>63</v>
      </c>
      <c r="AK844" t="s">
        <v>63</v>
      </c>
      <c r="AL844" t="s">
        <v>63</v>
      </c>
      <c r="AM844" t="s">
        <v>7553</v>
      </c>
      <c r="AN844" t="s">
        <v>63</v>
      </c>
      <c r="AO844" t="s">
        <v>63</v>
      </c>
      <c r="AP844" t="s">
        <v>63</v>
      </c>
      <c r="AQ844" t="s">
        <v>63</v>
      </c>
      <c r="AR844" t="s">
        <v>63</v>
      </c>
      <c r="AS844" t="s">
        <v>63</v>
      </c>
      <c r="AT844" t="s">
        <v>63</v>
      </c>
      <c r="AU844" t="s">
        <v>63</v>
      </c>
      <c r="AV844" t="s">
        <v>63</v>
      </c>
      <c r="AW844" t="s">
        <v>63</v>
      </c>
      <c r="AX844" t="s">
        <v>63</v>
      </c>
      <c r="AY844" t="s">
        <v>63</v>
      </c>
      <c r="AZ844" t="s">
        <v>63</v>
      </c>
      <c r="BA844" t="s">
        <v>63</v>
      </c>
      <c r="BB844" t="s">
        <v>63</v>
      </c>
      <c r="BC844" t="s">
        <v>63</v>
      </c>
      <c r="BD844" t="s">
        <v>63</v>
      </c>
      <c r="BE844" t="s">
        <v>63</v>
      </c>
      <c r="BF844" t="s">
        <v>63</v>
      </c>
    </row>
    <row r="845" spans="1:58">
      <c r="A845" t="s">
        <v>58</v>
      </c>
      <c r="B845" t="s">
        <v>7554</v>
      </c>
      <c r="C845" t="s">
        <v>7555</v>
      </c>
      <c r="D845" t="s">
        <v>763</v>
      </c>
      <c r="E845" t="s">
        <v>63</v>
      </c>
      <c r="F845">
        <v>2002</v>
      </c>
      <c r="G845" t="s">
        <v>1670</v>
      </c>
      <c r="H845">
        <v>77</v>
      </c>
      <c r="I845">
        <v>7</v>
      </c>
      <c r="J845">
        <v>741</v>
      </c>
      <c r="K845">
        <v>742</v>
      </c>
      <c r="L845" t="s">
        <v>7556</v>
      </c>
      <c r="M845" t="s">
        <v>7557</v>
      </c>
      <c r="N845" t="s">
        <v>7558</v>
      </c>
      <c r="O845" t="s">
        <v>63</v>
      </c>
      <c r="Q845" t="s">
        <v>63</v>
      </c>
      <c r="R845" t="s">
        <v>63</v>
      </c>
      <c r="S845" t="s">
        <v>63</v>
      </c>
      <c r="T845" t="s">
        <v>63</v>
      </c>
      <c r="X845" t="s">
        <v>63</v>
      </c>
      <c r="Y845" t="s">
        <v>858</v>
      </c>
      <c r="Z845" t="s">
        <v>63</v>
      </c>
      <c r="AA845" t="s">
        <v>7559</v>
      </c>
      <c r="AB845">
        <v>12114160</v>
      </c>
      <c r="AC845" t="s">
        <v>67</v>
      </c>
      <c r="AD845" t="s">
        <v>63</v>
      </c>
      <c r="AE845" t="s">
        <v>63</v>
      </c>
      <c r="AF845" t="s">
        <v>63</v>
      </c>
      <c r="AG845" t="s">
        <v>7560</v>
      </c>
      <c r="AH845" t="s">
        <v>63</v>
      </c>
      <c r="AI845" t="s">
        <v>63</v>
      </c>
      <c r="AJ845" t="s">
        <v>63</v>
      </c>
      <c r="AK845" t="s">
        <v>63</v>
      </c>
      <c r="AL845" t="s">
        <v>63</v>
      </c>
      <c r="AM845" t="s">
        <v>7561</v>
      </c>
      <c r="AN845" t="s">
        <v>63</v>
      </c>
      <c r="AO845" t="s">
        <v>63</v>
      </c>
      <c r="AP845" t="s">
        <v>63</v>
      </c>
      <c r="AQ845" t="s">
        <v>63</v>
      </c>
      <c r="AR845" t="s">
        <v>63</v>
      </c>
      <c r="AS845" t="s">
        <v>63</v>
      </c>
      <c r="AT845" t="s">
        <v>63</v>
      </c>
      <c r="AU845" t="s">
        <v>63</v>
      </c>
      <c r="AV845" t="s">
        <v>63</v>
      </c>
      <c r="AW845" t="s">
        <v>63</v>
      </c>
      <c r="AX845" t="s">
        <v>63</v>
      </c>
      <c r="AY845" t="s">
        <v>63</v>
      </c>
      <c r="AZ845" t="s">
        <v>63</v>
      </c>
      <c r="BA845" t="s">
        <v>63</v>
      </c>
      <c r="BB845" t="s">
        <v>63</v>
      </c>
      <c r="BC845" t="s">
        <v>63</v>
      </c>
      <c r="BD845" t="s">
        <v>63</v>
      </c>
      <c r="BE845" t="s">
        <v>63</v>
      </c>
      <c r="BF845" t="s">
        <v>63</v>
      </c>
    </row>
    <row r="846" spans="1:58">
      <c r="A846" t="s">
        <v>58</v>
      </c>
      <c r="B846" t="s">
        <v>7562</v>
      </c>
      <c r="C846" t="s">
        <v>7563</v>
      </c>
      <c r="D846" t="s">
        <v>111</v>
      </c>
      <c r="E846" t="s">
        <v>112</v>
      </c>
      <c r="F846">
        <v>2017</v>
      </c>
      <c r="G846" s="1">
        <v>41690</v>
      </c>
      <c r="H846">
        <v>166</v>
      </c>
      <c r="I846">
        <v>4</v>
      </c>
      <c r="J846">
        <v>268</v>
      </c>
      <c r="K846">
        <v>278</v>
      </c>
      <c r="L846" t="s">
        <v>7564</v>
      </c>
      <c r="M846" t="s">
        <v>7565</v>
      </c>
      <c r="N846" t="s">
        <v>7566</v>
      </c>
      <c r="O846" t="s">
        <v>63</v>
      </c>
      <c r="Q846" t="s">
        <v>63</v>
      </c>
      <c r="R846" t="s">
        <v>63</v>
      </c>
      <c r="S846" t="s">
        <v>63</v>
      </c>
      <c r="T846" t="s">
        <v>63</v>
      </c>
      <c r="X846" t="s">
        <v>63</v>
      </c>
      <c r="Y846" t="s">
        <v>116</v>
      </c>
      <c r="Z846" t="s">
        <v>63</v>
      </c>
      <c r="AA846" t="s">
        <v>7567</v>
      </c>
      <c r="AB846">
        <v>27919103</v>
      </c>
      <c r="AC846" t="s">
        <v>67</v>
      </c>
      <c r="AD846" t="s">
        <v>63</v>
      </c>
      <c r="AE846" t="s">
        <v>63</v>
      </c>
      <c r="AF846" t="s">
        <v>63</v>
      </c>
      <c r="AG846" t="s">
        <v>7568</v>
      </c>
      <c r="AH846" t="s">
        <v>63</v>
      </c>
      <c r="AI846" t="s">
        <v>7569</v>
      </c>
      <c r="AJ846" t="s">
        <v>63</v>
      </c>
      <c r="AK846" t="s">
        <v>63</v>
      </c>
      <c r="AL846" t="s">
        <v>63</v>
      </c>
      <c r="AM846" t="s">
        <v>7570</v>
      </c>
      <c r="AN846" t="s">
        <v>63</v>
      </c>
      <c r="AO846" t="s">
        <v>63</v>
      </c>
      <c r="AP846" t="s">
        <v>63</v>
      </c>
      <c r="AQ846" t="s">
        <v>63</v>
      </c>
      <c r="AR846" t="s">
        <v>63</v>
      </c>
      <c r="AS846" t="s">
        <v>63</v>
      </c>
      <c r="AT846" t="s">
        <v>63</v>
      </c>
      <c r="AU846" t="s">
        <v>63</v>
      </c>
      <c r="AV846" t="s">
        <v>63</v>
      </c>
      <c r="AW846" t="s">
        <v>63</v>
      </c>
      <c r="AX846" t="s">
        <v>63</v>
      </c>
      <c r="AY846" t="s">
        <v>63</v>
      </c>
      <c r="AZ846" t="s">
        <v>63</v>
      </c>
      <c r="BA846" t="s">
        <v>63</v>
      </c>
      <c r="BB846" t="s">
        <v>63</v>
      </c>
      <c r="BC846" t="s">
        <v>63</v>
      </c>
      <c r="BD846" t="s">
        <v>63</v>
      </c>
      <c r="BE846" t="s">
        <v>63</v>
      </c>
      <c r="BF846" t="s">
        <v>63</v>
      </c>
    </row>
    <row r="847" spans="1:58">
      <c r="A847" t="s">
        <v>58</v>
      </c>
      <c r="B847" t="s">
        <v>7571</v>
      </c>
      <c r="C847" t="s">
        <v>7572</v>
      </c>
      <c r="D847" t="s">
        <v>7433</v>
      </c>
      <c r="E847" t="s">
        <v>7434</v>
      </c>
      <c r="F847">
        <v>1995</v>
      </c>
      <c r="G847" t="s">
        <v>84</v>
      </c>
      <c r="H847">
        <v>149</v>
      </c>
      <c r="I847">
        <v>4</v>
      </c>
      <c r="J847">
        <v>430</v>
      </c>
      <c r="K847">
        <v>435</v>
      </c>
      <c r="L847" t="s">
        <v>7573</v>
      </c>
      <c r="M847" t="s">
        <v>7574</v>
      </c>
      <c r="N847" t="s">
        <v>7575</v>
      </c>
      <c r="O847" t="s">
        <v>63</v>
      </c>
      <c r="Q847" t="s">
        <v>63</v>
      </c>
      <c r="R847" t="s">
        <v>63</v>
      </c>
      <c r="S847" t="s">
        <v>63</v>
      </c>
      <c r="T847" t="s">
        <v>63</v>
      </c>
      <c r="X847" t="s">
        <v>63</v>
      </c>
      <c r="Y847" t="s">
        <v>7437</v>
      </c>
      <c r="Z847" t="s">
        <v>63</v>
      </c>
      <c r="AA847" t="s">
        <v>7576</v>
      </c>
      <c r="AB847">
        <v>7704172</v>
      </c>
      <c r="AC847" t="s">
        <v>67</v>
      </c>
      <c r="AD847" t="s">
        <v>63</v>
      </c>
      <c r="AE847" t="s">
        <v>63</v>
      </c>
      <c r="AF847" t="s">
        <v>63</v>
      </c>
      <c r="AG847" t="s">
        <v>7577</v>
      </c>
      <c r="AH847" t="s">
        <v>63</v>
      </c>
      <c r="AI847" t="s">
        <v>63</v>
      </c>
      <c r="AJ847" t="s">
        <v>63</v>
      </c>
      <c r="AK847" t="s">
        <v>63</v>
      </c>
      <c r="AL847" t="s">
        <v>63</v>
      </c>
      <c r="AM847" t="s">
        <v>7578</v>
      </c>
      <c r="AN847" t="s">
        <v>63</v>
      </c>
      <c r="AO847" t="s">
        <v>63</v>
      </c>
      <c r="AP847" t="s">
        <v>63</v>
      </c>
      <c r="AQ847" t="s">
        <v>63</v>
      </c>
      <c r="AR847" t="s">
        <v>63</v>
      </c>
      <c r="AS847" t="s">
        <v>63</v>
      </c>
      <c r="AT847" t="s">
        <v>63</v>
      </c>
      <c r="AU847" t="s">
        <v>63</v>
      </c>
      <c r="AV847" t="s">
        <v>63</v>
      </c>
      <c r="AW847" t="s">
        <v>63</v>
      </c>
      <c r="AX847" t="s">
        <v>63</v>
      </c>
      <c r="AY847" t="s">
        <v>63</v>
      </c>
      <c r="AZ847" t="s">
        <v>63</v>
      </c>
      <c r="BA847" t="s">
        <v>63</v>
      </c>
      <c r="BB847" t="s">
        <v>63</v>
      </c>
      <c r="BC847" t="s">
        <v>63</v>
      </c>
      <c r="BD847" t="s">
        <v>63</v>
      </c>
      <c r="BE847" t="s">
        <v>63</v>
      </c>
      <c r="BF847" t="s">
        <v>63</v>
      </c>
    </row>
    <row r="848" spans="1:58">
      <c r="A848" t="s">
        <v>58</v>
      </c>
      <c r="B848" t="s">
        <v>7579</v>
      </c>
      <c r="C848" t="s">
        <v>7580</v>
      </c>
      <c r="D848" t="s">
        <v>371</v>
      </c>
      <c r="E848" t="s">
        <v>63</v>
      </c>
      <c r="F848">
        <v>2007</v>
      </c>
      <c r="G848" t="s">
        <v>614</v>
      </c>
      <c r="H848">
        <v>22</v>
      </c>
      <c r="I848">
        <v>8</v>
      </c>
      <c r="J848">
        <v>1161</v>
      </c>
      <c r="K848">
        <v>1165</v>
      </c>
      <c r="L848" t="s">
        <v>7581</v>
      </c>
      <c r="M848" t="s">
        <v>7582</v>
      </c>
      <c r="N848" t="s">
        <v>7583</v>
      </c>
      <c r="O848" t="s">
        <v>63</v>
      </c>
      <c r="Q848" t="s">
        <v>63</v>
      </c>
      <c r="R848" t="s">
        <v>63</v>
      </c>
      <c r="S848" t="s">
        <v>63</v>
      </c>
      <c r="T848" t="s">
        <v>63</v>
      </c>
      <c r="X848" t="s">
        <v>63</v>
      </c>
      <c r="Y848" t="s">
        <v>547</v>
      </c>
      <c r="Z848" t="s">
        <v>63</v>
      </c>
      <c r="AA848" t="s">
        <v>7584</v>
      </c>
      <c r="AB848">
        <v>17557189</v>
      </c>
      <c r="AC848" t="s">
        <v>67</v>
      </c>
      <c r="AD848" t="s">
        <v>63</v>
      </c>
      <c r="AE848" t="s">
        <v>63</v>
      </c>
      <c r="AF848" t="s">
        <v>63</v>
      </c>
      <c r="AG848" t="s">
        <v>7585</v>
      </c>
      <c r="AH848" t="s">
        <v>63</v>
      </c>
      <c r="AI848" t="s">
        <v>63</v>
      </c>
      <c r="AJ848" t="s">
        <v>63</v>
      </c>
      <c r="AK848" t="s">
        <v>63</v>
      </c>
      <c r="AL848" t="s">
        <v>63</v>
      </c>
      <c r="AM848" t="s">
        <v>7586</v>
      </c>
      <c r="AN848" t="s">
        <v>63</v>
      </c>
      <c r="AO848" t="s">
        <v>63</v>
      </c>
      <c r="AP848" t="s">
        <v>63</v>
      </c>
      <c r="AQ848" t="s">
        <v>63</v>
      </c>
      <c r="AR848" t="s">
        <v>63</v>
      </c>
      <c r="AS848" t="s">
        <v>63</v>
      </c>
      <c r="AT848" t="s">
        <v>63</v>
      </c>
      <c r="AU848" t="s">
        <v>63</v>
      </c>
      <c r="AV848" t="s">
        <v>63</v>
      </c>
      <c r="AW848" t="s">
        <v>63</v>
      </c>
      <c r="AX848" t="s">
        <v>63</v>
      </c>
      <c r="AY848" t="s">
        <v>63</v>
      </c>
      <c r="AZ848" t="s">
        <v>63</v>
      </c>
      <c r="BA848" t="s">
        <v>63</v>
      </c>
      <c r="BB848" t="s">
        <v>63</v>
      </c>
      <c r="BC848" t="s">
        <v>63</v>
      </c>
      <c r="BD848" t="s">
        <v>63</v>
      </c>
      <c r="BE848" t="s">
        <v>63</v>
      </c>
      <c r="BF848" t="s">
        <v>63</v>
      </c>
    </row>
    <row r="849" spans="1:58">
      <c r="A849" t="s">
        <v>58</v>
      </c>
      <c r="B849" t="s">
        <v>7587</v>
      </c>
      <c r="C849" t="s">
        <v>7588</v>
      </c>
      <c r="D849" t="s">
        <v>763</v>
      </c>
      <c r="E849" t="s">
        <v>63</v>
      </c>
      <c r="F849">
        <v>2011</v>
      </c>
      <c r="G849" t="s">
        <v>198</v>
      </c>
      <c r="H849">
        <v>86</v>
      </c>
      <c r="I849">
        <v>1</v>
      </c>
      <c r="J849">
        <v>98</v>
      </c>
      <c r="K849">
        <v>112</v>
      </c>
      <c r="L849" t="s">
        <v>7589</v>
      </c>
      <c r="M849" t="s">
        <v>7590</v>
      </c>
      <c r="N849" t="s">
        <v>7591</v>
      </c>
      <c r="O849" t="s">
        <v>63</v>
      </c>
      <c r="Q849" t="s">
        <v>63</v>
      </c>
      <c r="R849" t="s">
        <v>63</v>
      </c>
      <c r="S849" t="s">
        <v>63</v>
      </c>
      <c r="T849" t="s">
        <v>63</v>
      </c>
      <c r="X849" t="s">
        <v>63</v>
      </c>
      <c r="Y849" t="s">
        <v>766</v>
      </c>
      <c r="Z849" t="s">
        <v>63</v>
      </c>
      <c r="AA849" t="s">
        <v>7592</v>
      </c>
      <c r="AB849">
        <v>21099395</v>
      </c>
      <c r="AC849" t="s">
        <v>67</v>
      </c>
      <c r="AD849" t="s">
        <v>63</v>
      </c>
      <c r="AE849" t="s">
        <v>63</v>
      </c>
      <c r="AF849" t="s">
        <v>63</v>
      </c>
      <c r="AG849" t="s">
        <v>7593</v>
      </c>
      <c r="AH849" t="s">
        <v>63</v>
      </c>
      <c r="AI849" t="s">
        <v>7594</v>
      </c>
      <c r="AJ849" t="s">
        <v>63</v>
      </c>
      <c r="AK849" t="s">
        <v>63</v>
      </c>
      <c r="AL849" t="s">
        <v>63</v>
      </c>
      <c r="AM849" t="s">
        <v>7595</v>
      </c>
      <c r="AN849" t="s">
        <v>63</v>
      </c>
      <c r="AO849" t="s">
        <v>63</v>
      </c>
      <c r="AP849" t="s">
        <v>63</v>
      </c>
      <c r="AQ849" t="s">
        <v>63</v>
      </c>
      <c r="AR849" t="s">
        <v>63</v>
      </c>
      <c r="AS849" t="s">
        <v>63</v>
      </c>
      <c r="AT849" t="s">
        <v>63</v>
      </c>
      <c r="AU849" t="s">
        <v>63</v>
      </c>
      <c r="AV849" t="s">
        <v>63</v>
      </c>
      <c r="AW849" t="s">
        <v>63</v>
      </c>
      <c r="AX849" t="s">
        <v>63</v>
      </c>
      <c r="AY849" t="s">
        <v>63</v>
      </c>
      <c r="AZ849" t="s">
        <v>63</v>
      </c>
      <c r="BA849" t="s">
        <v>63</v>
      </c>
      <c r="BB849" t="s">
        <v>63</v>
      </c>
      <c r="BC849" t="s">
        <v>63</v>
      </c>
      <c r="BD849" t="s">
        <v>63</v>
      </c>
      <c r="BE849" t="s">
        <v>63</v>
      </c>
      <c r="BF849" t="s">
        <v>63</v>
      </c>
    </row>
    <row r="850" spans="1:58">
      <c r="A850" t="s">
        <v>58</v>
      </c>
      <c r="B850" t="s">
        <v>7596</v>
      </c>
      <c r="C850" t="s">
        <v>7597</v>
      </c>
      <c r="D850" t="s">
        <v>7598</v>
      </c>
      <c r="E850" t="s">
        <v>7599</v>
      </c>
      <c r="F850">
        <v>2008</v>
      </c>
      <c r="G850" t="s">
        <v>274</v>
      </c>
      <c r="H850">
        <v>103</v>
      </c>
      <c r="I850">
        <v>3</v>
      </c>
      <c r="J850">
        <v>734</v>
      </c>
      <c r="K850" t="s">
        <v>7600</v>
      </c>
      <c r="L850" t="s">
        <v>7601</v>
      </c>
      <c r="M850" t="s">
        <v>7602</v>
      </c>
      <c r="N850" t="s">
        <v>7603</v>
      </c>
      <c r="O850" t="s">
        <v>63</v>
      </c>
      <c r="Q850" t="s">
        <v>63</v>
      </c>
      <c r="R850" t="s">
        <v>63</v>
      </c>
      <c r="S850" t="s">
        <v>63</v>
      </c>
      <c r="T850" t="s">
        <v>63</v>
      </c>
      <c r="X850" t="s">
        <v>63</v>
      </c>
      <c r="Y850" s="2">
        <v>2690409</v>
      </c>
      <c r="Z850" t="s">
        <v>63</v>
      </c>
      <c r="AA850" t="s">
        <v>7604</v>
      </c>
      <c r="AB850">
        <v>18081918</v>
      </c>
      <c r="AC850" t="s">
        <v>67</v>
      </c>
      <c r="AD850" t="s">
        <v>63</v>
      </c>
      <c r="AE850" t="s">
        <v>63</v>
      </c>
      <c r="AF850" t="s">
        <v>63</v>
      </c>
      <c r="AG850" t="s">
        <v>7605</v>
      </c>
      <c r="AH850" t="s">
        <v>63</v>
      </c>
      <c r="AI850" t="s">
        <v>63</v>
      </c>
      <c r="AJ850" t="s">
        <v>63</v>
      </c>
      <c r="AK850" t="s">
        <v>63</v>
      </c>
      <c r="AL850" t="s">
        <v>63</v>
      </c>
      <c r="AM850" t="s">
        <v>7606</v>
      </c>
      <c r="AN850" t="s">
        <v>63</v>
      </c>
      <c r="AO850" t="s">
        <v>63</v>
      </c>
      <c r="AP850" t="s">
        <v>63</v>
      </c>
      <c r="AQ850" t="s">
        <v>63</v>
      </c>
      <c r="AR850" t="s">
        <v>63</v>
      </c>
      <c r="AS850" t="s">
        <v>63</v>
      </c>
      <c r="AT850" t="s">
        <v>63</v>
      </c>
      <c r="AU850" t="s">
        <v>63</v>
      </c>
      <c r="AV850" t="s">
        <v>63</v>
      </c>
      <c r="AW850" t="s">
        <v>63</v>
      </c>
      <c r="AX850" t="s">
        <v>63</v>
      </c>
      <c r="AY850" t="s">
        <v>63</v>
      </c>
      <c r="AZ850" t="s">
        <v>63</v>
      </c>
      <c r="BA850" t="s">
        <v>63</v>
      </c>
      <c r="BB850" t="s">
        <v>63</v>
      </c>
      <c r="BC850" t="s">
        <v>63</v>
      </c>
      <c r="BD850" t="s">
        <v>63</v>
      </c>
      <c r="BE850" t="s">
        <v>63</v>
      </c>
      <c r="BF850" t="s">
        <v>63</v>
      </c>
    </row>
    <row r="851" spans="1:58">
      <c r="A851" t="s">
        <v>58</v>
      </c>
      <c r="B851" t="s">
        <v>7607</v>
      </c>
      <c r="C851" t="s">
        <v>7608</v>
      </c>
      <c r="D851" t="s">
        <v>90</v>
      </c>
      <c r="E851" t="s">
        <v>63</v>
      </c>
      <c r="F851">
        <v>2013</v>
      </c>
      <c r="G851" t="s">
        <v>63</v>
      </c>
      <c r="H851">
        <v>32</v>
      </c>
      <c r="I851">
        <v>4</v>
      </c>
      <c r="J851">
        <v>401</v>
      </c>
      <c r="K851">
        <v>402</v>
      </c>
      <c r="L851" t="s">
        <v>7609</v>
      </c>
      <c r="M851" t="s">
        <v>63</v>
      </c>
      <c r="N851" t="s">
        <v>7610</v>
      </c>
      <c r="O851" t="s">
        <v>63</v>
      </c>
      <c r="Q851" t="s">
        <v>63</v>
      </c>
      <c r="R851" t="s">
        <v>63</v>
      </c>
      <c r="S851" t="s">
        <v>63</v>
      </c>
      <c r="T851" t="s">
        <v>63</v>
      </c>
      <c r="X851" t="s">
        <v>63</v>
      </c>
      <c r="Y851" t="s">
        <v>7611</v>
      </c>
      <c r="Z851" t="s">
        <v>63</v>
      </c>
      <c r="AA851" t="s">
        <v>7612</v>
      </c>
      <c r="AB851">
        <v>24325775</v>
      </c>
      <c r="AC851" t="s">
        <v>67</v>
      </c>
      <c r="AD851" t="s">
        <v>63</v>
      </c>
      <c r="AE851" t="s">
        <v>63</v>
      </c>
      <c r="AF851" t="s">
        <v>63</v>
      </c>
      <c r="AG851" t="s">
        <v>7613</v>
      </c>
      <c r="AH851" t="s">
        <v>63</v>
      </c>
      <c r="AI851" t="s">
        <v>7614</v>
      </c>
      <c r="AJ851" t="s">
        <v>63</v>
      </c>
      <c r="AK851" t="s">
        <v>63</v>
      </c>
      <c r="AL851" t="s">
        <v>63</v>
      </c>
      <c r="AM851" t="s">
        <v>7615</v>
      </c>
      <c r="AN851" t="s">
        <v>63</v>
      </c>
      <c r="AO851" t="s">
        <v>63</v>
      </c>
      <c r="AP851" t="s">
        <v>63</v>
      </c>
      <c r="AQ851" t="s">
        <v>63</v>
      </c>
      <c r="AR851" t="s">
        <v>63</v>
      </c>
      <c r="AS851" t="s">
        <v>63</v>
      </c>
      <c r="AT851" t="s">
        <v>63</v>
      </c>
      <c r="AU851" t="s">
        <v>63</v>
      </c>
      <c r="AV851" t="s">
        <v>63</v>
      </c>
      <c r="AW851" t="s">
        <v>63</v>
      </c>
      <c r="AX851" t="s">
        <v>63</v>
      </c>
      <c r="AY851" t="s">
        <v>63</v>
      </c>
      <c r="AZ851" t="s">
        <v>63</v>
      </c>
      <c r="BA851" t="s">
        <v>63</v>
      </c>
      <c r="BB851" t="s">
        <v>63</v>
      </c>
      <c r="BC851" t="s">
        <v>63</v>
      </c>
      <c r="BD851" t="s">
        <v>63</v>
      </c>
      <c r="BE851" t="s">
        <v>63</v>
      </c>
      <c r="BF851" t="s">
        <v>63</v>
      </c>
    </row>
    <row r="852" spans="1:58">
      <c r="A852" t="s">
        <v>58</v>
      </c>
      <c r="B852" t="s">
        <v>7616</v>
      </c>
      <c r="C852" t="s">
        <v>7617</v>
      </c>
      <c r="D852" t="s">
        <v>325</v>
      </c>
      <c r="E852" t="s">
        <v>63</v>
      </c>
      <c r="F852">
        <v>2018</v>
      </c>
      <c r="G852" t="s">
        <v>84</v>
      </c>
      <c r="H852">
        <v>42</v>
      </c>
      <c r="I852">
        <v>2</v>
      </c>
      <c r="J852">
        <v>283</v>
      </c>
      <c r="K852">
        <v>287</v>
      </c>
      <c r="L852" t="s">
        <v>63</v>
      </c>
      <c r="M852" t="s">
        <v>7618</v>
      </c>
      <c r="N852" t="s">
        <v>7619</v>
      </c>
      <c r="O852" t="s">
        <v>63</v>
      </c>
      <c r="Q852" t="s">
        <v>63</v>
      </c>
      <c r="R852" t="s">
        <v>63</v>
      </c>
      <c r="S852" t="s">
        <v>63</v>
      </c>
      <c r="T852" t="s">
        <v>63</v>
      </c>
      <c r="X852" t="s">
        <v>63</v>
      </c>
      <c r="Y852" t="s">
        <v>330</v>
      </c>
      <c r="Z852" t="s">
        <v>63</v>
      </c>
      <c r="AA852" t="s">
        <v>7620</v>
      </c>
      <c r="AB852">
        <v>28386856</v>
      </c>
      <c r="AC852" t="s">
        <v>67</v>
      </c>
      <c r="AD852" t="s">
        <v>63</v>
      </c>
      <c r="AE852" t="s">
        <v>63</v>
      </c>
      <c r="AF852" t="s">
        <v>63</v>
      </c>
      <c r="AG852" t="s">
        <v>7621</v>
      </c>
      <c r="AH852" t="s">
        <v>63</v>
      </c>
      <c r="AI852" t="s">
        <v>7622</v>
      </c>
      <c r="AJ852" t="s">
        <v>63</v>
      </c>
      <c r="AK852" t="s">
        <v>63</v>
      </c>
      <c r="AL852" t="s">
        <v>63</v>
      </c>
      <c r="AM852" t="s">
        <v>7623</v>
      </c>
      <c r="AN852" t="s">
        <v>63</v>
      </c>
      <c r="AO852" t="s">
        <v>63</v>
      </c>
      <c r="AP852" t="s">
        <v>63</v>
      </c>
      <c r="AQ852" t="s">
        <v>63</v>
      </c>
      <c r="AR852" t="s">
        <v>63</v>
      </c>
      <c r="AS852" t="s">
        <v>63</v>
      </c>
      <c r="AT852" t="s">
        <v>63</v>
      </c>
      <c r="AU852" t="s">
        <v>63</v>
      </c>
      <c r="AV852" t="s">
        <v>63</v>
      </c>
      <c r="AW852" t="s">
        <v>63</v>
      </c>
      <c r="AX852" t="s">
        <v>63</v>
      </c>
      <c r="AY852" t="s">
        <v>63</v>
      </c>
      <c r="AZ852" t="s">
        <v>63</v>
      </c>
      <c r="BA852" t="s">
        <v>63</v>
      </c>
      <c r="BB852" t="s">
        <v>63</v>
      </c>
      <c r="BC852" t="s">
        <v>63</v>
      </c>
      <c r="BD852" t="s">
        <v>63</v>
      </c>
      <c r="BE852" t="s">
        <v>63</v>
      </c>
      <c r="BF852" t="s">
        <v>63</v>
      </c>
    </row>
    <row r="853" spans="1:58">
      <c r="A853" t="s">
        <v>58</v>
      </c>
      <c r="B853" t="s">
        <v>7624</v>
      </c>
      <c r="C853" t="s">
        <v>7625</v>
      </c>
      <c r="D853" t="s">
        <v>2593</v>
      </c>
      <c r="E853" t="s">
        <v>63</v>
      </c>
      <c r="F853">
        <v>2016</v>
      </c>
      <c r="G853" s="1">
        <v>41912</v>
      </c>
      <c r="H853">
        <v>67</v>
      </c>
      <c r="I853">
        <v>10</v>
      </c>
      <c r="J853">
        <v>1083</v>
      </c>
      <c r="K853">
        <v>1090</v>
      </c>
      <c r="L853" t="s">
        <v>7626</v>
      </c>
      <c r="M853" t="s">
        <v>7627</v>
      </c>
      <c r="N853" t="s">
        <v>7628</v>
      </c>
      <c r="O853" t="s">
        <v>63</v>
      </c>
      <c r="Q853" t="s">
        <v>63</v>
      </c>
      <c r="R853" t="s">
        <v>63</v>
      </c>
      <c r="S853" t="s">
        <v>63</v>
      </c>
      <c r="T853" t="s">
        <v>63</v>
      </c>
      <c r="X853" t="s">
        <v>63</v>
      </c>
      <c r="Y853" t="s">
        <v>2597</v>
      </c>
      <c r="Z853" t="s">
        <v>63</v>
      </c>
      <c r="AA853" t="s">
        <v>7629</v>
      </c>
      <c r="AB853">
        <v>27247178</v>
      </c>
      <c r="AC853" t="s">
        <v>67</v>
      </c>
      <c r="AD853" t="s">
        <v>63</v>
      </c>
      <c r="AE853" t="s">
        <v>63</v>
      </c>
      <c r="AF853" t="s">
        <v>63</v>
      </c>
      <c r="AG853" t="s">
        <v>7630</v>
      </c>
      <c r="AH853" t="s">
        <v>63</v>
      </c>
      <c r="AI853" t="s">
        <v>63</v>
      </c>
      <c r="AJ853" t="s">
        <v>63</v>
      </c>
      <c r="AK853" t="s">
        <v>63</v>
      </c>
      <c r="AL853" t="s">
        <v>63</v>
      </c>
      <c r="AM853" t="s">
        <v>7631</v>
      </c>
      <c r="AN853" t="s">
        <v>63</v>
      </c>
      <c r="AO853" t="s">
        <v>63</v>
      </c>
      <c r="AP853" t="s">
        <v>63</v>
      </c>
      <c r="AQ853" t="s">
        <v>63</v>
      </c>
      <c r="AR853" t="s">
        <v>63</v>
      </c>
      <c r="AS853" t="s">
        <v>63</v>
      </c>
      <c r="AT853" t="s">
        <v>63</v>
      </c>
      <c r="AU853" t="s">
        <v>63</v>
      </c>
      <c r="AV853" t="s">
        <v>63</v>
      </c>
      <c r="AW853" t="s">
        <v>63</v>
      </c>
      <c r="AX853" t="s">
        <v>63</v>
      </c>
      <c r="AY853" t="s">
        <v>63</v>
      </c>
      <c r="AZ853" t="s">
        <v>63</v>
      </c>
      <c r="BA853" t="s">
        <v>63</v>
      </c>
      <c r="BB853" t="s">
        <v>63</v>
      </c>
      <c r="BC853" t="s">
        <v>63</v>
      </c>
      <c r="BD853" t="s">
        <v>63</v>
      </c>
      <c r="BE853" t="s">
        <v>63</v>
      </c>
      <c r="BF853" t="s">
        <v>63</v>
      </c>
    </row>
    <row r="854" spans="1:58">
      <c r="A854" t="s">
        <v>58</v>
      </c>
      <c r="B854" t="s">
        <v>7632</v>
      </c>
      <c r="C854" t="s">
        <v>7633</v>
      </c>
      <c r="D854" t="s">
        <v>640</v>
      </c>
      <c r="E854" t="s">
        <v>63</v>
      </c>
      <c r="F854">
        <v>2009</v>
      </c>
      <c r="G854" t="s">
        <v>181</v>
      </c>
      <c r="H854">
        <v>28</v>
      </c>
      <c r="I854">
        <v>5</v>
      </c>
      <c r="J854">
        <v>474</v>
      </c>
      <c r="K854">
        <v>483</v>
      </c>
      <c r="L854" t="s">
        <v>7634</v>
      </c>
      <c r="M854" t="s">
        <v>7635</v>
      </c>
      <c r="N854" t="s">
        <v>7636</v>
      </c>
      <c r="O854" t="s">
        <v>63</v>
      </c>
      <c r="Q854" t="s">
        <v>63</v>
      </c>
      <c r="R854" t="s">
        <v>63</v>
      </c>
      <c r="S854" t="s">
        <v>63</v>
      </c>
      <c r="T854" t="s">
        <v>63</v>
      </c>
      <c r="X854" t="s">
        <v>63</v>
      </c>
      <c r="Y854" t="s">
        <v>7637</v>
      </c>
      <c r="Z854" t="s">
        <v>63</v>
      </c>
      <c r="AA854" t="s">
        <v>7638</v>
      </c>
      <c r="AB854">
        <v>19737206</v>
      </c>
      <c r="AC854" t="s">
        <v>67</v>
      </c>
      <c r="AD854" t="s">
        <v>63</v>
      </c>
      <c r="AE854" t="s">
        <v>63</v>
      </c>
      <c r="AF854" t="s">
        <v>63</v>
      </c>
      <c r="AG854" t="s">
        <v>7639</v>
      </c>
      <c r="AH854" t="s">
        <v>63</v>
      </c>
      <c r="AI854" t="s">
        <v>7640</v>
      </c>
      <c r="AJ854" t="s">
        <v>63</v>
      </c>
      <c r="AK854" t="s">
        <v>63</v>
      </c>
      <c r="AL854" t="s">
        <v>63</v>
      </c>
      <c r="AM854" t="s">
        <v>7641</v>
      </c>
      <c r="AN854" t="s">
        <v>63</v>
      </c>
      <c r="AO854" t="s">
        <v>63</v>
      </c>
      <c r="AP854" t="s">
        <v>63</v>
      </c>
      <c r="AQ854" t="s">
        <v>63</v>
      </c>
      <c r="AR854" t="s">
        <v>63</v>
      </c>
      <c r="AS854" t="s">
        <v>63</v>
      </c>
      <c r="AT854" t="s">
        <v>63</v>
      </c>
      <c r="AU854" t="s">
        <v>63</v>
      </c>
      <c r="AV854" t="s">
        <v>63</v>
      </c>
      <c r="AW854" t="s">
        <v>63</v>
      </c>
      <c r="AX854" t="s">
        <v>63</v>
      </c>
      <c r="AY854" t="s">
        <v>63</v>
      </c>
      <c r="AZ854" t="s">
        <v>63</v>
      </c>
      <c r="BA854" t="s">
        <v>63</v>
      </c>
      <c r="BB854" t="s">
        <v>63</v>
      </c>
      <c r="BC854" t="s">
        <v>63</v>
      </c>
      <c r="BD854" t="s">
        <v>63</v>
      </c>
      <c r="BE854" t="s">
        <v>63</v>
      </c>
      <c r="BF854" t="s">
        <v>63</v>
      </c>
    </row>
    <row r="855" spans="1:58">
      <c r="A855" t="s">
        <v>58</v>
      </c>
      <c r="B855" t="s">
        <v>7642</v>
      </c>
      <c r="C855" t="s">
        <v>7643</v>
      </c>
      <c r="D855" t="s">
        <v>3142</v>
      </c>
      <c r="E855" t="s">
        <v>3143</v>
      </c>
      <c r="F855">
        <v>2004</v>
      </c>
      <c r="G855" s="1">
        <v>41678</v>
      </c>
      <c r="H855">
        <v>164</v>
      </c>
      <c r="I855">
        <v>3</v>
      </c>
      <c r="J855">
        <v>277</v>
      </c>
      <c r="K855">
        <v>288</v>
      </c>
      <c r="L855" t="s">
        <v>7644</v>
      </c>
      <c r="M855" t="s">
        <v>7645</v>
      </c>
      <c r="N855" t="s">
        <v>7646</v>
      </c>
      <c r="O855" t="s">
        <v>63</v>
      </c>
      <c r="Q855" t="s">
        <v>63</v>
      </c>
      <c r="R855" t="s">
        <v>63</v>
      </c>
      <c r="S855" t="s">
        <v>63</v>
      </c>
      <c r="T855" t="s">
        <v>63</v>
      </c>
      <c r="X855" t="s">
        <v>63</v>
      </c>
      <c r="Y855" s="2">
        <v>2930035</v>
      </c>
      <c r="Z855" t="s">
        <v>63</v>
      </c>
      <c r="AA855" t="s">
        <v>7647</v>
      </c>
      <c r="AB855">
        <v>14769623</v>
      </c>
      <c r="AC855" t="s">
        <v>67</v>
      </c>
      <c r="AD855" t="s">
        <v>63</v>
      </c>
      <c r="AE855" t="s">
        <v>63</v>
      </c>
      <c r="AF855" t="s">
        <v>63</v>
      </c>
      <c r="AG855" t="s">
        <v>7648</v>
      </c>
      <c r="AH855" t="s">
        <v>63</v>
      </c>
      <c r="AI855" t="s">
        <v>63</v>
      </c>
      <c r="AJ855" t="s">
        <v>63</v>
      </c>
      <c r="AK855" t="s">
        <v>63</v>
      </c>
      <c r="AL855" t="s">
        <v>63</v>
      </c>
      <c r="AM855" t="s">
        <v>7649</v>
      </c>
      <c r="AN855" t="s">
        <v>63</v>
      </c>
      <c r="AO855" t="s">
        <v>63</v>
      </c>
      <c r="AP855" t="s">
        <v>63</v>
      </c>
      <c r="AQ855" t="s">
        <v>63</v>
      </c>
      <c r="AR855" t="s">
        <v>63</v>
      </c>
      <c r="AS855" t="s">
        <v>63</v>
      </c>
      <c r="AT855" t="s">
        <v>63</v>
      </c>
      <c r="AU855" t="s">
        <v>63</v>
      </c>
      <c r="AV855" t="s">
        <v>63</v>
      </c>
      <c r="AW855" t="s">
        <v>63</v>
      </c>
      <c r="AX855" t="s">
        <v>63</v>
      </c>
      <c r="AY855" t="s">
        <v>63</v>
      </c>
      <c r="AZ855" t="s">
        <v>63</v>
      </c>
      <c r="BA855" t="s">
        <v>63</v>
      </c>
      <c r="BB855" t="s">
        <v>63</v>
      </c>
      <c r="BC855" t="s">
        <v>63</v>
      </c>
      <c r="BD855" t="s">
        <v>63</v>
      </c>
      <c r="BE855" t="s">
        <v>63</v>
      </c>
      <c r="BF855" t="s">
        <v>63</v>
      </c>
    </row>
    <row r="856" spans="1:58">
      <c r="A856" t="s">
        <v>58</v>
      </c>
      <c r="B856" t="s">
        <v>7650</v>
      </c>
      <c r="C856" t="s">
        <v>7651</v>
      </c>
      <c r="D856" t="s">
        <v>7652</v>
      </c>
      <c r="E856" t="s">
        <v>7653</v>
      </c>
      <c r="F856">
        <v>2008</v>
      </c>
      <c r="G856" t="s">
        <v>84</v>
      </c>
      <c r="H856">
        <v>72</v>
      </c>
      <c r="I856">
        <v>4</v>
      </c>
      <c r="J856">
        <v>215</v>
      </c>
      <c r="K856">
        <v>221</v>
      </c>
      <c r="L856" t="s">
        <v>7654</v>
      </c>
      <c r="M856" t="s">
        <v>63</v>
      </c>
      <c r="N856" t="s">
        <v>7655</v>
      </c>
      <c r="O856" t="s">
        <v>63</v>
      </c>
      <c r="Q856" t="s">
        <v>63</v>
      </c>
      <c r="R856" t="s">
        <v>63</v>
      </c>
      <c r="S856" t="s">
        <v>63</v>
      </c>
      <c r="T856" t="s">
        <v>63</v>
      </c>
      <c r="X856" t="s">
        <v>63</v>
      </c>
      <c r="Y856" s="2">
        <v>1561321</v>
      </c>
      <c r="Z856" t="s">
        <v>63</v>
      </c>
      <c r="AA856" t="s">
        <v>7656</v>
      </c>
      <c r="AB856">
        <v>18478988</v>
      </c>
      <c r="AC856" t="s">
        <v>67</v>
      </c>
      <c r="AD856" t="s">
        <v>63</v>
      </c>
      <c r="AE856" t="s">
        <v>63</v>
      </c>
      <c r="AF856" t="s">
        <v>63</v>
      </c>
      <c r="AG856" t="s">
        <v>7657</v>
      </c>
      <c r="AH856" t="s">
        <v>63</v>
      </c>
      <c r="AI856" t="s">
        <v>63</v>
      </c>
      <c r="AJ856" t="s">
        <v>63</v>
      </c>
      <c r="AK856" t="s">
        <v>63</v>
      </c>
      <c r="AL856" t="s">
        <v>63</v>
      </c>
      <c r="AM856" t="s">
        <v>7658</v>
      </c>
      <c r="AN856" t="s">
        <v>63</v>
      </c>
      <c r="AO856" t="s">
        <v>63</v>
      </c>
      <c r="AP856" t="s">
        <v>63</v>
      </c>
      <c r="AQ856" t="s">
        <v>63</v>
      </c>
      <c r="AR856" t="s">
        <v>63</v>
      </c>
      <c r="AS856" t="s">
        <v>63</v>
      </c>
      <c r="AT856" t="s">
        <v>63</v>
      </c>
      <c r="AU856" t="s">
        <v>63</v>
      </c>
      <c r="AV856" t="s">
        <v>63</v>
      </c>
      <c r="AW856" t="s">
        <v>63</v>
      </c>
      <c r="AX856" t="s">
        <v>63</v>
      </c>
      <c r="AY856" t="s">
        <v>63</v>
      </c>
      <c r="AZ856" t="s">
        <v>63</v>
      </c>
      <c r="BA856" t="s">
        <v>63</v>
      </c>
      <c r="BB856" t="s">
        <v>63</v>
      </c>
      <c r="BC856" t="s">
        <v>63</v>
      </c>
      <c r="BD856" t="s">
        <v>63</v>
      </c>
      <c r="BE856" t="s">
        <v>63</v>
      </c>
      <c r="BF856" t="s">
        <v>63</v>
      </c>
    </row>
    <row r="857" spans="1:58">
      <c r="A857" t="s">
        <v>58</v>
      </c>
      <c r="B857" t="s">
        <v>7650</v>
      </c>
      <c r="C857" t="s">
        <v>7659</v>
      </c>
      <c r="D857" t="s">
        <v>7652</v>
      </c>
      <c r="E857" t="s">
        <v>7653</v>
      </c>
      <c r="F857">
        <v>2008</v>
      </c>
      <c r="G857" t="s">
        <v>189</v>
      </c>
      <c r="H857">
        <v>72</v>
      </c>
      <c r="I857">
        <v>5</v>
      </c>
      <c r="J857">
        <v>281</v>
      </c>
      <c r="K857">
        <v>285</v>
      </c>
      <c r="L857" t="s">
        <v>7660</v>
      </c>
      <c r="M857" t="s">
        <v>7661</v>
      </c>
      <c r="N857" t="s">
        <v>7662</v>
      </c>
      <c r="O857" t="s">
        <v>63</v>
      </c>
      <c r="Q857" t="s">
        <v>63</v>
      </c>
      <c r="R857" t="s">
        <v>63</v>
      </c>
      <c r="S857" t="s">
        <v>63</v>
      </c>
      <c r="T857" t="s">
        <v>63</v>
      </c>
      <c r="X857" t="s">
        <v>63</v>
      </c>
      <c r="Y857" s="2">
        <v>1561321</v>
      </c>
      <c r="Z857" t="s">
        <v>63</v>
      </c>
      <c r="AA857" t="s">
        <v>7656</v>
      </c>
      <c r="AB857">
        <v>18593064</v>
      </c>
      <c r="AC857" t="s">
        <v>67</v>
      </c>
      <c r="AD857" t="s">
        <v>63</v>
      </c>
      <c r="AE857" t="s">
        <v>63</v>
      </c>
      <c r="AF857" t="s">
        <v>63</v>
      </c>
      <c r="AG857" t="s">
        <v>7663</v>
      </c>
      <c r="AH857" t="s">
        <v>63</v>
      </c>
      <c r="AI857" t="s">
        <v>63</v>
      </c>
      <c r="AJ857" t="s">
        <v>63</v>
      </c>
      <c r="AK857" t="s">
        <v>63</v>
      </c>
      <c r="AL857" t="s">
        <v>63</v>
      </c>
      <c r="AM857" t="s">
        <v>7664</v>
      </c>
      <c r="AN857" t="s">
        <v>63</v>
      </c>
      <c r="AO857" t="s">
        <v>63</v>
      </c>
      <c r="AP857" t="s">
        <v>63</v>
      </c>
      <c r="AQ857" t="s">
        <v>63</v>
      </c>
      <c r="AR857" t="s">
        <v>63</v>
      </c>
      <c r="AS857" t="s">
        <v>63</v>
      </c>
      <c r="AT857" t="s">
        <v>63</v>
      </c>
      <c r="AU857" t="s">
        <v>63</v>
      </c>
      <c r="AV857" t="s">
        <v>63</v>
      </c>
      <c r="AW857" t="s">
        <v>63</v>
      </c>
      <c r="AX857" t="s">
        <v>63</v>
      </c>
      <c r="AY857" t="s">
        <v>63</v>
      </c>
      <c r="AZ857" t="s">
        <v>63</v>
      </c>
      <c r="BA857" t="s">
        <v>63</v>
      </c>
      <c r="BB857" t="s">
        <v>63</v>
      </c>
      <c r="BC857" t="s">
        <v>63</v>
      </c>
      <c r="BD857" t="s">
        <v>63</v>
      </c>
      <c r="BE857" t="s">
        <v>63</v>
      </c>
      <c r="BF857" t="s">
        <v>63</v>
      </c>
    </row>
    <row r="858" spans="1:58">
      <c r="A858" t="s">
        <v>58</v>
      </c>
      <c r="B858" t="s">
        <v>7665</v>
      </c>
      <c r="C858" t="s">
        <v>7666</v>
      </c>
      <c r="D858" t="s">
        <v>389</v>
      </c>
      <c r="E858" t="s">
        <v>63</v>
      </c>
      <c r="F858">
        <v>2001</v>
      </c>
      <c r="G858" t="s">
        <v>73</v>
      </c>
      <c r="H858">
        <v>22</v>
      </c>
      <c r="I858">
        <v>2</v>
      </c>
      <c r="J858">
        <v>97</v>
      </c>
      <c r="K858">
        <v>104</v>
      </c>
      <c r="L858" t="s">
        <v>63</v>
      </c>
      <c r="M858" t="s">
        <v>7667</v>
      </c>
      <c r="N858" t="s">
        <v>7668</v>
      </c>
      <c r="O858" t="s">
        <v>63</v>
      </c>
      <c r="Q858" t="s">
        <v>63</v>
      </c>
      <c r="R858" t="s">
        <v>63</v>
      </c>
      <c r="S858" t="s">
        <v>63</v>
      </c>
      <c r="T858" t="s">
        <v>63</v>
      </c>
      <c r="X858" t="s">
        <v>63</v>
      </c>
      <c r="Y858" t="s">
        <v>556</v>
      </c>
      <c r="Z858" t="s">
        <v>63</v>
      </c>
      <c r="AA858" t="s">
        <v>7669</v>
      </c>
      <c r="AB858">
        <v>12466672</v>
      </c>
      <c r="AC858" t="s">
        <v>67</v>
      </c>
      <c r="AD858" t="s">
        <v>63</v>
      </c>
      <c r="AE858" t="s">
        <v>63</v>
      </c>
      <c r="AF858" t="s">
        <v>63</v>
      </c>
      <c r="AG858" t="s">
        <v>7670</v>
      </c>
      <c r="AH858" t="s">
        <v>63</v>
      </c>
      <c r="AI858" t="s">
        <v>63</v>
      </c>
      <c r="AJ858" t="s">
        <v>63</v>
      </c>
      <c r="AK858" t="s">
        <v>63</v>
      </c>
      <c r="AL858" t="s">
        <v>63</v>
      </c>
      <c r="AM858" t="s">
        <v>7671</v>
      </c>
      <c r="AN858" t="s">
        <v>63</v>
      </c>
      <c r="AO858" t="s">
        <v>63</v>
      </c>
      <c r="AP858" t="s">
        <v>63</v>
      </c>
      <c r="AQ858" t="s">
        <v>63</v>
      </c>
      <c r="AR858" t="s">
        <v>63</v>
      </c>
      <c r="AS858" t="s">
        <v>63</v>
      </c>
      <c r="AT858" t="s">
        <v>63</v>
      </c>
      <c r="AU858" t="s">
        <v>63</v>
      </c>
      <c r="AV858" t="s">
        <v>63</v>
      </c>
      <c r="AW858" t="s">
        <v>63</v>
      </c>
      <c r="AX858" t="s">
        <v>63</v>
      </c>
      <c r="AY858" t="s">
        <v>63</v>
      </c>
      <c r="AZ858" t="s">
        <v>63</v>
      </c>
      <c r="BA858" t="s">
        <v>63</v>
      </c>
      <c r="BB858" t="s">
        <v>63</v>
      </c>
      <c r="BC858" t="s">
        <v>63</v>
      </c>
      <c r="BD858" t="s">
        <v>63</v>
      </c>
      <c r="BE858" t="s">
        <v>63</v>
      </c>
      <c r="BF858" t="s">
        <v>63</v>
      </c>
    </row>
    <row r="859" spans="1:58">
      <c r="A859" t="s">
        <v>58</v>
      </c>
      <c r="B859" t="s">
        <v>7672</v>
      </c>
      <c r="C859" t="s">
        <v>7673</v>
      </c>
      <c r="D859" t="s">
        <v>7652</v>
      </c>
      <c r="E859" t="s">
        <v>7653</v>
      </c>
      <c r="F859">
        <v>2003</v>
      </c>
      <c r="G859" t="s">
        <v>873</v>
      </c>
      <c r="H859">
        <v>67</v>
      </c>
      <c r="I859">
        <v>6</v>
      </c>
      <c r="J859">
        <v>357</v>
      </c>
      <c r="K859">
        <v>359</v>
      </c>
      <c r="L859" t="s">
        <v>7674</v>
      </c>
      <c r="M859" t="s">
        <v>63</v>
      </c>
      <c r="N859" t="s">
        <v>7675</v>
      </c>
      <c r="O859" t="s">
        <v>63</v>
      </c>
      <c r="Q859" t="s">
        <v>63</v>
      </c>
      <c r="R859" t="s">
        <v>63</v>
      </c>
      <c r="S859" t="s">
        <v>63</v>
      </c>
      <c r="T859" t="s">
        <v>63</v>
      </c>
      <c r="X859" t="s">
        <v>63</v>
      </c>
      <c r="Y859" s="2">
        <v>1561321</v>
      </c>
      <c r="Z859" t="s">
        <v>63</v>
      </c>
      <c r="AA859" t="s">
        <v>7676</v>
      </c>
      <c r="AB859">
        <v>12956044</v>
      </c>
      <c r="AC859" t="s">
        <v>67</v>
      </c>
      <c r="AD859" t="s">
        <v>63</v>
      </c>
      <c r="AE859" t="s">
        <v>63</v>
      </c>
      <c r="AF859" t="s">
        <v>63</v>
      </c>
      <c r="AG859" t="s">
        <v>7677</v>
      </c>
      <c r="AH859" t="s">
        <v>63</v>
      </c>
      <c r="AI859" t="s">
        <v>63</v>
      </c>
      <c r="AJ859" t="s">
        <v>63</v>
      </c>
      <c r="AK859" t="s">
        <v>63</v>
      </c>
      <c r="AL859" t="s">
        <v>63</v>
      </c>
      <c r="AM859" t="s">
        <v>7678</v>
      </c>
      <c r="AN859" t="s">
        <v>63</v>
      </c>
      <c r="AO859" t="s">
        <v>63</v>
      </c>
      <c r="AP859" t="s">
        <v>63</v>
      </c>
      <c r="AQ859" t="s">
        <v>63</v>
      </c>
      <c r="AR859" t="s">
        <v>63</v>
      </c>
      <c r="AS859" t="s">
        <v>63</v>
      </c>
      <c r="AT859" t="s">
        <v>63</v>
      </c>
      <c r="AU859" t="s">
        <v>63</v>
      </c>
      <c r="AV859" t="s">
        <v>63</v>
      </c>
      <c r="AW859" t="s">
        <v>63</v>
      </c>
      <c r="AX859" t="s">
        <v>63</v>
      </c>
      <c r="AY859" t="s">
        <v>63</v>
      </c>
      <c r="AZ859" t="s">
        <v>63</v>
      </c>
      <c r="BA859" t="s">
        <v>63</v>
      </c>
      <c r="BB859" t="s">
        <v>63</v>
      </c>
      <c r="BC859" t="s">
        <v>63</v>
      </c>
      <c r="BD859" t="s">
        <v>63</v>
      </c>
      <c r="BE859" t="s">
        <v>63</v>
      </c>
      <c r="BF859" t="s">
        <v>63</v>
      </c>
    </row>
    <row r="860" spans="1:58">
      <c r="A860" t="s">
        <v>58</v>
      </c>
      <c r="B860" t="s">
        <v>7679</v>
      </c>
      <c r="C860" t="s">
        <v>7680</v>
      </c>
      <c r="D860" t="s">
        <v>7681</v>
      </c>
      <c r="E860" t="s">
        <v>63</v>
      </c>
      <c r="F860">
        <v>2016</v>
      </c>
      <c r="G860" t="s">
        <v>614</v>
      </c>
      <c r="H860">
        <v>59</v>
      </c>
      <c r="I860">
        <v>8</v>
      </c>
      <c r="J860">
        <v>1005</v>
      </c>
      <c r="K860">
        <v>1016</v>
      </c>
      <c r="L860" t="s">
        <v>7682</v>
      </c>
      <c r="M860" t="s">
        <v>7683</v>
      </c>
      <c r="N860" t="s">
        <v>7684</v>
      </c>
      <c r="O860" t="s">
        <v>63</v>
      </c>
      <c r="Q860" t="s">
        <v>63</v>
      </c>
      <c r="R860" t="s">
        <v>63</v>
      </c>
      <c r="S860" t="s">
        <v>63</v>
      </c>
      <c r="T860" t="s">
        <v>63</v>
      </c>
      <c r="X860" t="s">
        <v>63</v>
      </c>
      <c r="Y860" t="s">
        <v>7685</v>
      </c>
      <c r="Z860" t="s">
        <v>63</v>
      </c>
      <c r="AA860" t="s">
        <v>7686</v>
      </c>
      <c r="AB860">
        <v>27351434</v>
      </c>
      <c r="AC860" t="s">
        <v>102</v>
      </c>
      <c r="AD860" t="s">
        <v>63</v>
      </c>
      <c r="AE860" t="s">
        <v>63</v>
      </c>
      <c r="AF860" t="s">
        <v>63</v>
      </c>
      <c r="AG860" t="s">
        <v>7687</v>
      </c>
      <c r="AH860" t="s">
        <v>63</v>
      </c>
      <c r="AI860" t="s">
        <v>7688</v>
      </c>
      <c r="AJ860" t="s">
        <v>63</v>
      </c>
      <c r="AK860" t="s">
        <v>63</v>
      </c>
      <c r="AL860" t="s">
        <v>63</v>
      </c>
      <c r="AM860" t="s">
        <v>7689</v>
      </c>
      <c r="AN860" t="s">
        <v>63</v>
      </c>
      <c r="AO860" t="s">
        <v>63</v>
      </c>
      <c r="AP860" t="s">
        <v>63</v>
      </c>
      <c r="AQ860" t="s">
        <v>63</v>
      </c>
      <c r="AR860" t="s">
        <v>63</v>
      </c>
      <c r="AS860" t="s">
        <v>63</v>
      </c>
      <c r="AT860" t="s">
        <v>63</v>
      </c>
      <c r="AU860" t="s">
        <v>63</v>
      </c>
      <c r="AV860" t="s">
        <v>63</v>
      </c>
      <c r="AW860" t="s">
        <v>63</v>
      </c>
      <c r="AX860" t="s">
        <v>63</v>
      </c>
      <c r="AY860" t="s">
        <v>63</v>
      </c>
      <c r="AZ860" t="s">
        <v>63</v>
      </c>
      <c r="BA860" t="s">
        <v>63</v>
      </c>
      <c r="BB860" t="s">
        <v>63</v>
      </c>
      <c r="BC860" t="s">
        <v>63</v>
      </c>
      <c r="BD860" t="s">
        <v>63</v>
      </c>
      <c r="BE860" t="s">
        <v>63</v>
      </c>
      <c r="BF860" t="s">
        <v>63</v>
      </c>
    </row>
    <row r="861" spans="1:58">
      <c r="A861" t="s">
        <v>58</v>
      </c>
      <c r="B861" t="s">
        <v>7690</v>
      </c>
      <c r="C861" t="s">
        <v>7691</v>
      </c>
      <c r="D861" t="s">
        <v>7692</v>
      </c>
      <c r="E861" t="s">
        <v>63</v>
      </c>
      <c r="F861">
        <v>1992</v>
      </c>
      <c r="G861" t="s">
        <v>63</v>
      </c>
      <c r="H861">
        <v>70</v>
      </c>
      <c r="I861" t="s">
        <v>63</v>
      </c>
      <c r="J861">
        <v>205</v>
      </c>
      <c r="K861">
        <v>230</v>
      </c>
      <c r="L861" t="s">
        <v>7693</v>
      </c>
      <c r="M861" t="s">
        <v>7694</v>
      </c>
      <c r="N861" t="s">
        <v>7695</v>
      </c>
      <c r="O861" t="s">
        <v>63</v>
      </c>
      <c r="Q861" t="s">
        <v>63</v>
      </c>
      <c r="R861" t="s">
        <v>63</v>
      </c>
      <c r="S861" t="s">
        <v>63</v>
      </c>
      <c r="T861" t="s">
        <v>63</v>
      </c>
      <c r="X861" t="s">
        <v>63</v>
      </c>
      <c r="Y861" t="s">
        <v>7696</v>
      </c>
      <c r="Z861" t="s">
        <v>63</v>
      </c>
      <c r="AA861" t="s">
        <v>7697</v>
      </c>
      <c r="AB861">
        <v>1346939</v>
      </c>
      <c r="AC861" t="s">
        <v>67</v>
      </c>
      <c r="AD861" t="s">
        <v>63</v>
      </c>
      <c r="AE861" t="s">
        <v>63</v>
      </c>
      <c r="AF861" t="s">
        <v>63</v>
      </c>
      <c r="AG861" t="s">
        <v>7698</v>
      </c>
      <c r="AH861" t="s">
        <v>63</v>
      </c>
      <c r="AI861" t="s">
        <v>63</v>
      </c>
      <c r="AJ861" t="s">
        <v>63</v>
      </c>
      <c r="AK861" t="s">
        <v>63</v>
      </c>
      <c r="AL861" t="s">
        <v>63</v>
      </c>
      <c r="AM861" t="s">
        <v>7699</v>
      </c>
      <c r="AN861" t="s">
        <v>63</v>
      </c>
      <c r="AO861" t="s">
        <v>63</v>
      </c>
      <c r="AP861" t="s">
        <v>63</v>
      </c>
      <c r="AQ861" t="s">
        <v>63</v>
      </c>
      <c r="AR861" t="s">
        <v>63</v>
      </c>
      <c r="AS861" t="s">
        <v>63</v>
      </c>
      <c r="AT861" t="s">
        <v>63</v>
      </c>
      <c r="AU861" t="s">
        <v>63</v>
      </c>
      <c r="AV861" t="s">
        <v>63</v>
      </c>
      <c r="AW861" t="s">
        <v>63</v>
      </c>
      <c r="AX861" t="s">
        <v>63</v>
      </c>
      <c r="AY861" t="s">
        <v>63</v>
      </c>
      <c r="AZ861" t="s">
        <v>63</v>
      </c>
      <c r="BA861" t="s">
        <v>63</v>
      </c>
      <c r="BB861" t="s">
        <v>63</v>
      </c>
      <c r="BC861" t="s">
        <v>63</v>
      </c>
      <c r="BD861" t="s">
        <v>63</v>
      </c>
      <c r="BE861" t="s">
        <v>63</v>
      </c>
      <c r="BF861" t="s">
        <v>63</v>
      </c>
    </row>
    <row r="862" spans="1:58">
      <c r="A862" t="s">
        <v>58</v>
      </c>
      <c r="B862" t="s">
        <v>7700</v>
      </c>
      <c r="C862" t="s">
        <v>7701</v>
      </c>
      <c r="D862" t="s">
        <v>1469</v>
      </c>
      <c r="E862" t="s">
        <v>1470</v>
      </c>
      <c r="F862">
        <v>1999</v>
      </c>
      <c r="G862" t="s">
        <v>181</v>
      </c>
      <c r="H862">
        <v>6</v>
      </c>
      <c r="I862">
        <v>9</v>
      </c>
      <c r="J862">
        <v>964</v>
      </c>
      <c r="K862">
        <v>966</v>
      </c>
      <c r="L862" t="s">
        <v>7702</v>
      </c>
      <c r="M862" t="s">
        <v>63</v>
      </c>
      <c r="N862" t="s">
        <v>7703</v>
      </c>
      <c r="O862" t="s">
        <v>63</v>
      </c>
      <c r="Q862" t="s">
        <v>63</v>
      </c>
      <c r="R862" t="s">
        <v>63</v>
      </c>
      <c r="S862" t="s">
        <v>63</v>
      </c>
      <c r="T862" t="s">
        <v>63</v>
      </c>
      <c r="X862" t="s">
        <v>63</v>
      </c>
      <c r="Y862" t="s">
        <v>1972</v>
      </c>
      <c r="Z862" t="s">
        <v>63</v>
      </c>
      <c r="AA862" t="s">
        <v>7704</v>
      </c>
      <c r="AB862">
        <v>10490263</v>
      </c>
      <c r="AC862" t="s">
        <v>67</v>
      </c>
      <c r="AD862" t="s">
        <v>63</v>
      </c>
      <c r="AE862" t="s">
        <v>63</v>
      </c>
      <c r="AF862" t="s">
        <v>63</v>
      </c>
      <c r="AG862" t="s">
        <v>7705</v>
      </c>
      <c r="AH862" t="s">
        <v>63</v>
      </c>
      <c r="AI862" t="s">
        <v>63</v>
      </c>
      <c r="AJ862" t="s">
        <v>63</v>
      </c>
      <c r="AK862" t="s">
        <v>63</v>
      </c>
      <c r="AL862" t="s">
        <v>63</v>
      </c>
      <c r="AM862" t="s">
        <v>7706</v>
      </c>
      <c r="AN862" t="s">
        <v>63</v>
      </c>
      <c r="AO862" t="s">
        <v>63</v>
      </c>
      <c r="AP862" t="s">
        <v>63</v>
      </c>
      <c r="AQ862" t="s">
        <v>63</v>
      </c>
      <c r="AR862" t="s">
        <v>63</v>
      </c>
      <c r="AS862" t="s">
        <v>63</v>
      </c>
      <c r="AT862" t="s">
        <v>63</v>
      </c>
      <c r="AU862" t="s">
        <v>63</v>
      </c>
      <c r="AV862" t="s">
        <v>63</v>
      </c>
      <c r="AW862" t="s">
        <v>63</v>
      </c>
      <c r="AX862" t="s">
        <v>63</v>
      </c>
      <c r="AY862" t="s">
        <v>63</v>
      </c>
      <c r="AZ862" t="s">
        <v>63</v>
      </c>
      <c r="BA862" t="s">
        <v>63</v>
      </c>
      <c r="BB862" t="s">
        <v>63</v>
      </c>
      <c r="BC862" t="s">
        <v>63</v>
      </c>
      <c r="BD862" t="s">
        <v>63</v>
      </c>
      <c r="BE862" t="s">
        <v>63</v>
      </c>
      <c r="BF862" t="s">
        <v>63</v>
      </c>
    </row>
    <row r="863" spans="1:58">
      <c r="A863" t="s">
        <v>58</v>
      </c>
      <c r="B863" t="s">
        <v>7707</v>
      </c>
      <c r="C863" t="s">
        <v>7708</v>
      </c>
      <c r="D863" t="s">
        <v>7709</v>
      </c>
      <c r="E863" t="s">
        <v>63</v>
      </c>
      <c r="F863">
        <v>1996</v>
      </c>
      <c r="G863" t="s">
        <v>147</v>
      </c>
      <c r="H863">
        <v>89</v>
      </c>
      <c r="I863">
        <v>2</v>
      </c>
      <c r="J863">
        <v>199</v>
      </c>
      <c r="K863">
        <v>204</v>
      </c>
      <c r="L863" t="s">
        <v>7710</v>
      </c>
      <c r="M863" t="s">
        <v>7711</v>
      </c>
      <c r="N863" t="s">
        <v>7712</v>
      </c>
      <c r="O863" t="s">
        <v>63</v>
      </c>
      <c r="Q863" t="s">
        <v>63</v>
      </c>
      <c r="R863" t="s">
        <v>63</v>
      </c>
      <c r="S863" t="s">
        <v>63</v>
      </c>
      <c r="T863" t="s">
        <v>63</v>
      </c>
      <c r="X863" t="s">
        <v>63</v>
      </c>
      <c r="Y863" t="s">
        <v>7713</v>
      </c>
      <c r="Z863" t="s">
        <v>63</v>
      </c>
      <c r="AA863" t="s">
        <v>7714</v>
      </c>
      <c r="AB863">
        <v>8867424</v>
      </c>
      <c r="AC863" t="s">
        <v>67</v>
      </c>
      <c r="AD863" t="s">
        <v>63</v>
      </c>
      <c r="AE863" t="s">
        <v>63</v>
      </c>
      <c r="AF863" t="s">
        <v>63</v>
      </c>
      <c r="AG863" t="s">
        <v>7715</v>
      </c>
      <c r="AH863" t="s">
        <v>63</v>
      </c>
      <c r="AI863" t="s">
        <v>63</v>
      </c>
      <c r="AJ863" t="s">
        <v>63</v>
      </c>
      <c r="AK863" t="s">
        <v>63</v>
      </c>
      <c r="AL863" t="s">
        <v>63</v>
      </c>
      <c r="AM863" t="s">
        <v>7716</v>
      </c>
      <c r="AN863" t="s">
        <v>63</v>
      </c>
      <c r="AO863" t="s">
        <v>63</v>
      </c>
      <c r="AP863" t="s">
        <v>63</v>
      </c>
      <c r="AQ863" t="s">
        <v>63</v>
      </c>
      <c r="AR863" t="s">
        <v>63</v>
      </c>
      <c r="AS863" t="s">
        <v>63</v>
      </c>
      <c r="AT863" t="s">
        <v>63</v>
      </c>
      <c r="AU863" t="s">
        <v>63</v>
      </c>
      <c r="AV863" t="s">
        <v>63</v>
      </c>
      <c r="AW863" t="s">
        <v>63</v>
      </c>
      <c r="AX863" t="s">
        <v>63</v>
      </c>
      <c r="AY863" t="s">
        <v>63</v>
      </c>
      <c r="AZ863" t="s">
        <v>63</v>
      </c>
      <c r="BA863" t="s">
        <v>63</v>
      </c>
      <c r="BB863" t="s">
        <v>63</v>
      </c>
      <c r="BC863" t="s">
        <v>63</v>
      </c>
      <c r="BD863" t="s">
        <v>63</v>
      </c>
      <c r="BE863" t="s">
        <v>63</v>
      </c>
      <c r="BF863" t="s">
        <v>63</v>
      </c>
    </row>
    <row r="864" spans="1:58">
      <c r="A864" t="s">
        <v>58</v>
      </c>
      <c r="B864" t="s">
        <v>7717</v>
      </c>
      <c r="C864" t="s">
        <v>7718</v>
      </c>
      <c r="D864" t="s">
        <v>6405</v>
      </c>
      <c r="E864" t="s">
        <v>6406</v>
      </c>
      <c r="F864">
        <v>1995</v>
      </c>
      <c r="G864" t="s">
        <v>1670</v>
      </c>
      <c r="H864">
        <v>181</v>
      </c>
      <c r="I864">
        <v>1</v>
      </c>
      <c r="J864">
        <v>78</v>
      </c>
      <c r="K864" t="s">
        <v>63</v>
      </c>
      <c r="L864" t="s">
        <v>7719</v>
      </c>
      <c r="M864" t="s">
        <v>63</v>
      </c>
      <c r="N864" t="s">
        <v>7720</v>
      </c>
      <c r="O864" t="s">
        <v>63</v>
      </c>
      <c r="Q864" t="s">
        <v>63</v>
      </c>
      <c r="R864" t="s">
        <v>63</v>
      </c>
      <c r="S864" t="s">
        <v>63</v>
      </c>
      <c r="T864" t="s">
        <v>63</v>
      </c>
      <c r="X864" t="s">
        <v>63</v>
      </c>
      <c r="Y864" t="s">
        <v>6410</v>
      </c>
      <c r="Z864" t="s">
        <v>63</v>
      </c>
      <c r="AA864" t="s">
        <v>63</v>
      </c>
      <c r="AB864">
        <v>7599777</v>
      </c>
      <c r="AC864" t="s">
        <v>67</v>
      </c>
      <c r="AD864" t="s">
        <v>63</v>
      </c>
      <c r="AE864" t="s">
        <v>63</v>
      </c>
      <c r="AF864" t="s">
        <v>63</v>
      </c>
      <c r="AG864" t="s">
        <v>7721</v>
      </c>
      <c r="AH864" t="s">
        <v>63</v>
      </c>
      <c r="AI864" t="s">
        <v>63</v>
      </c>
      <c r="AJ864" t="s">
        <v>63</v>
      </c>
      <c r="AK864" t="s">
        <v>63</v>
      </c>
      <c r="AL864" t="s">
        <v>63</v>
      </c>
      <c r="AM864" t="s">
        <v>7722</v>
      </c>
      <c r="AN864" t="s">
        <v>63</v>
      </c>
      <c r="AO864" t="s">
        <v>63</v>
      </c>
      <c r="AP864" t="s">
        <v>63</v>
      </c>
      <c r="AQ864" t="s">
        <v>63</v>
      </c>
      <c r="AR864" t="s">
        <v>63</v>
      </c>
      <c r="AS864" t="s">
        <v>63</v>
      </c>
      <c r="AT864" t="s">
        <v>63</v>
      </c>
      <c r="AU864" t="s">
        <v>63</v>
      </c>
      <c r="AV864" t="s">
        <v>63</v>
      </c>
      <c r="AW864" t="s">
        <v>63</v>
      </c>
      <c r="AX864" t="s">
        <v>63</v>
      </c>
      <c r="AY864" t="s">
        <v>63</v>
      </c>
      <c r="AZ864" t="s">
        <v>63</v>
      </c>
      <c r="BA864" t="s">
        <v>63</v>
      </c>
      <c r="BB864" t="s">
        <v>63</v>
      </c>
      <c r="BC864" t="s">
        <v>63</v>
      </c>
      <c r="BD864" t="s">
        <v>63</v>
      </c>
      <c r="BE864" t="s">
        <v>63</v>
      </c>
      <c r="BF864" t="s">
        <v>63</v>
      </c>
    </row>
    <row r="865" spans="1:58">
      <c r="A865" t="s">
        <v>58</v>
      </c>
      <c r="B865" t="s">
        <v>7723</v>
      </c>
      <c r="C865" t="s">
        <v>7724</v>
      </c>
      <c r="D865" t="s">
        <v>389</v>
      </c>
      <c r="E865" t="s">
        <v>63</v>
      </c>
      <c r="F865">
        <v>2014</v>
      </c>
      <c r="G865" t="s">
        <v>63</v>
      </c>
      <c r="H865">
        <v>35</v>
      </c>
      <c r="I865">
        <v>1</v>
      </c>
      <c r="J865">
        <v>3</v>
      </c>
      <c r="K865">
        <v>6</v>
      </c>
      <c r="L865" t="s">
        <v>7725</v>
      </c>
      <c r="M865" t="s">
        <v>7726</v>
      </c>
      <c r="N865" t="s">
        <v>7727</v>
      </c>
      <c r="O865" t="s">
        <v>63</v>
      </c>
      <c r="Q865" t="s">
        <v>63</v>
      </c>
      <c r="R865" t="s">
        <v>63</v>
      </c>
      <c r="S865" t="s">
        <v>63</v>
      </c>
      <c r="T865" t="s">
        <v>63</v>
      </c>
      <c r="X865" t="s">
        <v>63</v>
      </c>
      <c r="Y865" t="s">
        <v>556</v>
      </c>
      <c r="Z865" t="s">
        <v>63</v>
      </c>
      <c r="AA865" t="s">
        <v>7728</v>
      </c>
      <c r="AB865">
        <v>24588286</v>
      </c>
      <c r="AC865" t="s">
        <v>67</v>
      </c>
      <c r="AD865" t="s">
        <v>63</v>
      </c>
      <c r="AE865" t="s">
        <v>63</v>
      </c>
      <c r="AF865" t="s">
        <v>63</v>
      </c>
      <c r="AG865" t="s">
        <v>7729</v>
      </c>
      <c r="AH865" t="s">
        <v>63</v>
      </c>
      <c r="AI865" t="s">
        <v>7730</v>
      </c>
      <c r="AJ865" t="s">
        <v>63</v>
      </c>
      <c r="AK865" t="s">
        <v>63</v>
      </c>
      <c r="AL865" t="s">
        <v>63</v>
      </c>
      <c r="AM865" t="s">
        <v>7731</v>
      </c>
      <c r="AN865" t="s">
        <v>63</v>
      </c>
      <c r="AO865" t="s">
        <v>63</v>
      </c>
      <c r="AP865" t="s">
        <v>63</v>
      </c>
      <c r="AQ865" t="s">
        <v>63</v>
      </c>
      <c r="AR865" t="s">
        <v>63</v>
      </c>
      <c r="AS865" t="s">
        <v>63</v>
      </c>
      <c r="AT865" t="s">
        <v>63</v>
      </c>
      <c r="AU865" t="s">
        <v>63</v>
      </c>
      <c r="AV865" t="s">
        <v>63</v>
      </c>
      <c r="AW865" t="s">
        <v>63</v>
      </c>
      <c r="AX865" t="s">
        <v>63</v>
      </c>
      <c r="AY865" t="s">
        <v>63</v>
      </c>
      <c r="AZ865" t="s">
        <v>63</v>
      </c>
      <c r="BA865" t="s">
        <v>63</v>
      </c>
      <c r="BB865" t="s">
        <v>63</v>
      </c>
      <c r="BC865" t="s">
        <v>63</v>
      </c>
      <c r="BD865" t="s">
        <v>63</v>
      </c>
      <c r="BE865" t="s">
        <v>63</v>
      </c>
      <c r="BF865" t="s">
        <v>63</v>
      </c>
    </row>
    <row r="866" spans="1:58">
      <c r="A866" t="s">
        <v>58</v>
      </c>
      <c r="B866" t="s">
        <v>7732</v>
      </c>
      <c r="C866" t="s">
        <v>7733</v>
      </c>
      <c r="D866" t="s">
        <v>7734</v>
      </c>
      <c r="E866" t="s">
        <v>63</v>
      </c>
      <c r="F866">
        <v>2004</v>
      </c>
      <c r="G866" t="s">
        <v>63</v>
      </c>
      <c r="H866" t="s">
        <v>7735</v>
      </c>
      <c r="I866" t="s">
        <v>63</v>
      </c>
      <c r="J866">
        <v>170</v>
      </c>
      <c r="K866">
        <v>173</v>
      </c>
      <c r="L866" t="s">
        <v>7736</v>
      </c>
      <c r="M866" t="s">
        <v>7737</v>
      </c>
      <c r="N866" t="s">
        <v>7738</v>
      </c>
      <c r="O866" t="s">
        <v>63</v>
      </c>
      <c r="Q866" t="s">
        <v>63</v>
      </c>
      <c r="R866" t="s">
        <v>63</v>
      </c>
      <c r="S866" t="s">
        <v>63</v>
      </c>
      <c r="T866" t="s">
        <v>63</v>
      </c>
      <c r="X866" t="s">
        <v>63</v>
      </c>
      <c r="Y866" t="s">
        <v>7739</v>
      </c>
      <c r="Z866" t="s">
        <v>63</v>
      </c>
      <c r="AA866" t="s">
        <v>7740</v>
      </c>
      <c r="AB866">
        <v>15884232</v>
      </c>
      <c r="AC866" t="s">
        <v>696</v>
      </c>
      <c r="AD866" t="s">
        <v>63</v>
      </c>
      <c r="AE866" t="s">
        <v>63</v>
      </c>
      <c r="AF866" t="s">
        <v>63</v>
      </c>
      <c r="AG866" t="s">
        <v>7741</v>
      </c>
      <c r="AH866" t="s">
        <v>63</v>
      </c>
      <c r="AI866" t="s">
        <v>63</v>
      </c>
      <c r="AJ866" t="s">
        <v>63</v>
      </c>
      <c r="AK866" t="s">
        <v>63</v>
      </c>
      <c r="AL866" t="s">
        <v>63</v>
      </c>
      <c r="AM866" t="s">
        <v>7742</v>
      </c>
      <c r="AN866" t="s">
        <v>63</v>
      </c>
      <c r="AO866" t="s">
        <v>63</v>
      </c>
      <c r="AP866" t="s">
        <v>63</v>
      </c>
      <c r="AQ866" t="s">
        <v>63</v>
      </c>
      <c r="AR866" t="s">
        <v>63</v>
      </c>
      <c r="AS866" t="s">
        <v>63</v>
      </c>
      <c r="AT866" t="s">
        <v>63</v>
      </c>
      <c r="AU866" t="s">
        <v>63</v>
      </c>
      <c r="AV866" t="s">
        <v>63</v>
      </c>
      <c r="AW866" t="s">
        <v>63</v>
      </c>
      <c r="AX866" t="s">
        <v>63</v>
      </c>
      <c r="AY866" t="s">
        <v>63</v>
      </c>
      <c r="AZ866" t="s">
        <v>63</v>
      </c>
      <c r="BA866" t="s">
        <v>63</v>
      </c>
      <c r="BB866" t="s">
        <v>63</v>
      </c>
      <c r="BC866" t="s">
        <v>63</v>
      </c>
      <c r="BD866" t="s">
        <v>63</v>
      </c>
      <c r="BE866" t="s">
        <v>63</v>
      </c>
      <c r="BF866" t="s">
        <v>63</v>
      </c>
    </row>
    <row r="867" spans="1:58">
      <c r="A867" t="s">
        <v>58</v>
      </c>
      <c r="B867" t="s">
        <v>7743</v>
      </c>
      <c r="C867" t="s">
        <v>7744</v>
      </c>
      <c r="D867" t="s">
        <v>2036</v>
      </c>
      <c r="E867" t="s">
        <v>63</v>
      </c>
      <c r="F867">
        <v>2005</v>
      </c>
      <c r="G867" s="1">
        <v>41851</v>
      </c>
      <c r="H867">
        <v>79</v>
      </c>
      <c r="I867">
        <v>2</v>
      </c>
      <c r="J867">
        <v>251</v>
      </c>
      <c r="K867">
        <v>256</v>
      </c>
      <c r="L867" t="s">
        <v>7745</v>
      </c>
      <c r="M867" t="s">
        <v>7746</v>
      </c>
      <c r="N867" t="s">
        <v>7747</v>
      </c>
      <c r="O867" t="s">
        <v>63</v>
      </c>
      <c r="Q867" t="s">
        <v>63</v>
      </c>
      <c r="R867" t="s">
        <v>63</v>
      </c>
      <c r="S867" t="s">
        <v>63</v>
      </c>
      <c r="T867" t="s">
        <v>63</v>
      </c>
      <c r="X867" t="s">
        <v>63</v>
      </c>
      <c r="Y867" t="s">
        <v>4942</v>
      </c>
      <c r="Z867" t="s">
        <v>63</v>
      </c>
      <c r="AA867" t="s">
        <v>7748</v>
      </c>
      <c r="AB867">
        <v>16002034</v>
      </c>
      <c r="AC867" t="s">
        <v>67</v>
      </c>
      <c r="AD867" t="s">
        <v>63</v>
      </c>
      <c r="AE867" t="s">
        <v>63</v>
      </c>
      <c r="AF867" t="s">
        <v>63</v>
      </c>
      <c r="AG867" t="s">
        <v>7749</v>
      </c>
      <c r="AH867" t="s">
        <v>63</v>
      </c>
      <c r="AI867" t="s">
        <v>63</v>
      </c>
      <c r="AJ867" t="s">
        <v>63</v>
      </c>
      <c r="AK867" t="s">
        <v>63</v>
      </c>
      <c r="AL867" t="s">
        <v>63</v>
      </c>
      <c r="AM867" t="s">
        <v>7750</v>
      </c>
      <c r="AN867" t="s">
        <v>63</v>
      </c>
      <c r="AO867" t="s">
        <v>63</v>
      </c>
      <c r="AP867" t="s">
        <v>63</v>
      </c>
      <c r="AQ867" t="s">
        <v>63</v>
      </c>
      <c r="AR867" t="s">
        <v>63</v>
      </c>
      <c r="AS867" t="s">
        <v>63</v>
      </c>
      <c r="AT867" t="s">
        <v>63</v>
      </c>
      <c r="AU867" t="s">
        <v>63</v>
      </c>
      <c r="AV867" t="s">
        <v>63</v>
      </c>
      <c r="AW867" t="s">
        <v>63</v>
      </c>
      <c r="AX867" t="s">
        <v>63</v>
      </c>
      <c r="AY867" t="s">
        <v>63</v>
      </c>
      <c r="AZ867" t="s">
        <v>63</v>
      </c>
      <c r="BA867" t="s">
        <v>63</v>
      </c>
      <c r="BB867" t="s">
        <v>63</v>
      </c>
      <c r="BC867" t="s">
        <v>63</v>
      </c>
      <c r="BD867" t="s">
        <v>63</v>
      </c>
      <c r="BE867" t="s">
        <v>63</v>
      </c>
      <c r="BF867" t="s">
        <v>63</v>
      </c>
    </row>
    <row r="868" spans="1:58">
      <c r="A868" t="s">
        <v>58</v>
      </c>
      <c r="B868" t="s">
        <v>7751</v>
      </c>
      <c r="C868" t="s">
        <v>7752</v>
      </c>
      <c r="D868" t="s">
        <v>7753</v>
      </c>
      <c r="E868" t="s">
        <v>63</v>
      </c>
      <c r="F868">
        <v>2002</v>
      </c>
      <c r="G868" t="s">
        <v>614</v>
      </c>
      <c r="H868">
        <v>36</v>
      </c>
      <c r="I868">
        <v>2</v>
      </c>
      <c r="J868">
        <v>257</v>
      </c>
      <c r="K868" t="s">
        <v>7754</v>
      </c>
      <c r="L868" t="s">
        <v>7755</v>
      </c>
      <c r="M868" t="s">
        <v>7756</v>
      </c>
      <c r="N868" t="s">
        <v>7757</v>
      </c>
      <c r="O868" t="s">
        <v>63</v>
      </c>
      <c r="Q868" t="s">
        <v>63</v>
      </c>
      <c r="R868" t="s">
        <v>63</v>
      </c>
      <c r="S868" t="s">
        <v>63</v>
      </c>
      <c r="T868" t="s">
        <v>63</v>
      </c>
      <c r="X868" t="s">
        <v>63</v>
      </c>
      <c r="Y868" t="s">
        <v>7758</v>
      </c>
      <c r="Z868" t="s">
        <v>63</v>
      </c>
      <c r="AA868" t="s">
        <v>7759</v>
      </c>
      <c r="AB868">
        <v>12170206</v>
      </c>
      <c r="AC868" t="s">
        <v>67</v>
      </c>
      <c r="AD868" t="s">
        <v>63</v>
      </c>
      <c r="AE868" t="s">
        <v>63</v>
      </c>
      <c r="AF868" t="s">
        <v>63</v>
      </c>
      <c r="AG868" t="s">
        <v>7760</v>
      </c>
      <c r="AH868" t="s">
        <v>63</v>
      </c>
      <c r="AI868" t="s">
        <v>63</v>
      </c>
      <c r="AJ868" t="s">
        <v>63</v>
      </c>
      <c r="AK868" t="s">
        <v>63</v>
      </c>
      <c r="AL868" t="s">
        <v>63</v>
      </c>
      <c r="AM868" t="s">
        <v>7761</v>
      </c>
      <c r="AN868" t="s">
        <v>63</v>
      </c>
      <c r="AO868" t="s">
        <v>63</v>
      </c>
      <c r="AP868" t="s">
        <v>63</v>
      </c>
      <c r="AQ868" t="s">
        <v>63</v>
      </c>
      <c r="AR868" t="s">
        <v>63</v>
      </c>
      <c r="AS868" t="s">
        <v>63</v>
      </c>
      <c r="AT868" t="s">
        <v>63</v>
      </c>
      <c r="AU868" t="s">
        <v>63</v>
      </c>
      <c r="AV868" t="s">
        <v>63</v>
      </c>
      <c r="AW868" t="s">
        <v>63</v>
      </c>
      <c r="AX868" t="s">
        <v>63</v>
      </c>
      <c r="AY868" t="s">
        <v>63</v>
      </c>
      <c r="AZ868" t="s">
        <v>63</v>
      </c>
      <c r="BA868" t="s">
        <v>63</v>
      </c>
      <c r="BB868" t="s">
        <v>63</v>
      </c>
      <c r="BC868" t="s">
        <v>63</v>
      </c>
      <c r="BD868" t="s">
        <v>63</v>
      </c>
      <c r="BE868" t="s">
        <v>63</v>
      </c>
      <c r="BF868" t="s">
        <v>63</v>
      </c>
    </row>
    <row r="869" spans="1:58">
      <c r="A869" t="s">
        <v>58</v>
      </c>
      <c r="B869" t="s">
        <v>7762</v>
      </c>
      <c r="C869" t="s">
        <v>7763</v>
      </c>
      <c r="D869" t="s">
        <v>7764</v>
      </c>
      <c r="E869" t="s">
        <v>63</v>
      </c>
      <c r="F869">
        <v>1996</v>
      </c>
      <c r="G869" t="s">
        <v>84</v>
      </c>
      <c r="H869">
        <v>51</v>
      </c>
      <c r="I869" t="s">
        <v>7765</v>
      </c>
      <c r="J869">
        <v>249</v>
      </c>
      <c r="K869">
        <v>255</v>
      </c>
      <c r="L869" t="s">
        <v>7766</v>
      </c>
      <c r="M869" t="s">
        <v>63</v>
      </c>
      <c r="N869" t="s">
        <v>7767</v>
      </c>
      <c r="O869" t="s">
        <v>63</v>
      </c>
      <c r="Q869" t="s">
        <v>63</v>
      </c>
      <c r="R869" t="s">
        <v>63</v>
      </c>
      <c r="S869" t="s">
        <v>63</v>
      </c>
      <c r="T869" t="s">
        <v>63</v>
      </c>
      <c r="X869" t="s">
        <v>63</v>
      </c>
      <c r="Y869" t="s">
        <v>7768</v>
      </c>
      <c r="Z869" t="s">
        <v>63</v>
      </c>
      <c r="AA869" t="s">
        <v>7769</v>
      </c>
      <c r="AB869">
        <v>8966173</v>
      </c>
      <c r="AC869" t="s">
        <v>696</v>
      </c>
      <c r="AD869" t="s">
        <v>63</v>
      </c>
      <c r="AE869" t="s">
        <v>63</v>
      </c>
      <c r="AF869" t="s">
        <v>63</v>
      </c>
      <c r="AG869" t="s">
        <v>7770</v>
      </c>
      <c r="AH869" t="s">
        <v>63</v>
      </c>
      <c r="AI869" t="s">
        <v>63</v>
      </c>
      <c r="AJ869" t="s">
        <v>63</v>
      </c>
      <c r="AK869" t="s">
        <v>63</v>
      </c>
      <c r="AL869" t="s">
        <v>63</v>
      </c>
      <c r="AM869" t="s">
        <v>7771</v>
      </c>
      <c r="AN869" t="s">
        <v>63</v>
      </c>
      <c r="AO869" t="s">
        <v>63</v>
      </c>
      <c r="AP869" t="s">
        <v>63</v>
      </c>
      <c r="AQ869" t="s">
        <v>63</v>
      </c>
      <c r="AR869" t="s">
        <v>63</v>
      </c>
      <c r="AS869" t="s">
        <v>63</v>
      </c>
      <c r="AT869" t="s">
        <v>63</v>
      </c>
      <c r="AU869" t="s">
        <v>63</v>
      </c>
      <c r="AV869" t="s">
        <v>63</v>
      </c>
      <c r="AW869" t="s">
        <v>63</v>
      </c>
      <c r="AX869" t="s">
        <v>63</v>
      </c>
      <c r="AY869" t="s">
        <v>63</v>
      </c>
      <c r="AZ869" t="s">
        <v>63</v>
      </c>
      <c r="BA869" t="s">
        <v>63</v>
      </c>
      <c r="BB869" t="s">
        <v>63</v>
      </c>
      <c r="BC869" t="s">
        <v>63</v>
      </c>
      <c r="BD869" t="s">
        <v>63</v>
      </c>
      <c r="BE869" t="s">
        <v>63</v>
      </c>
      <c r="BF869" t="s">
        <v>63</v>
      </c>
    </row>
    <row r="870" spans="1:58">
      <c r="A870" t="s">
        <v>58</v>
      </c>
      <c r="B870" t="s">
        <v>7772</v>
      </c>
      <c r="C870" t="s">
        <v>7773</v>
      </c>
      <c r="D870" t="s">
        <v>205</v>
      </c>
      <c r="E870" t="s">
        <v>205</v>
      </c>
      <c r="F870">
        <v>2010</v>
      </c>
      <c r="G870" s="1">
        <v>41875</v>
      </c>
      <c r="H870">
        <v>304</v>
      </c>
      <c r="I870">
        <v>8</v>
      </c>
      <c r="J870">
        <v>845</v>
      </c>
      <c r="K870" t="s">
        <v>63</v>
      </c>
      <c r="L870" t="s">
        <v>7774</v>
      </c>
      <c r="M870" t="s">
        <v>63</v>
      </c>
      <c r="N870" t="s">
        <v>7775</v>
      </c>
      <c r="O870" t="s">
        <v>63</v>
      </c>
      <c r="Q870" t="s">
        <v>63</v>
      </c>
      <c r="R870" t="s">
        <v>63</v>
      </c>
      <c r="S870" t="s">
        <v>63</v>
      </c>
      <c r="T870" t="s">
        <v>63</v>
      </c>
      <c r="X870" t="s">
        <v>63</v>
      </c>
      <c r="Y870" t="s">
        <v>2744</v>
      </c>
      <c r="Z870" t="s">
        <v>63</v>
      </c>
      <c r="AA870" t="s">
        <v>63</v>
      </c>
      <c r="AB870">
        <v>20736462</v>
      </c>
      <c r="AC870" t="s">
        <v>67</v>
      </c>
      <c r="AD870" t="s">
        <v>63</v>
      </c>
      <c r="AE870" t="s">
        <v>63</v>
      </c>
      <c r="AF870" t="s">
        <v>63</v>
      </c>
      <c r="AG870" t="s">
        <v>7776</v>
      </c>
      <c r="AH870" t="s">
        <v>63</v>
      </c>
      <c r="AI870" t="s">
        <v>7777</v>
      </c>
      <c r="AJ870" t="s">
        <v>63</v>
      </c>
      <c r="AK870" t="s">
        <v>63</v>
      </c>
      <c r="AL870" t="s">
        <v>63</v>
      </c>
      <c r="AM870" t="s">
        <v>7778</v>
      </c>
      <c r="AN870" t="s">
        <v>63</v>
      </c>
      <c r="AO870" t="s">
        <v>63</v>
      </c>
      <c r="AP870" t="s">
        <v>63</v>
      </c>
      <c r="AQ870" t="s">
        <v>63</v>
      </c>
      <c r="AR870" t="s">
        <v>63</v>
      </c>
      <c r="AS870" t="s">
        <v>63</v>
      </c>
      <c r="AT870" t="s">
        <v>63</v>
      </c>
      <c r="AU870" t="s">
        <v>63</v>
      </c>
      <c r="AV870" t="s">
        <v>63</v>
      </c>
      <c r="AW870" t="s">
        <v>63</v>
      </c>
      <c r="AX870" t="s">
        <v>63</v>
      </c>
      <c r="AY870" t="s">
        <v>63</v>
      </c>
      <c r="AZ870" t="s">
        <v>63</v>
      </c>
      <c r="BA870" t="s">
        <v>63</v>
      </c>
      <c r="BB870" t="s">
        <v>63</v>
      </c>
      <c r="BC870" t="s">
        <v>63</v>
      </c>
      <c r="BD870" t="s">
        <v>63</v>
      </c>
      <c r="BE870" t="s">
        <v>63</v>
      </c>
      <c r="BF870" t="s">
        <v>63</v>
      </c>
    </row>
    <row r="871" spans="1:58">
      <c r="A871" t="s">
        <v>58</v>
      </c>
      <c r="B871" t="s">
        <v>7772</v>
      </c>
      <c r="C871" t="s">
        <v>7779</v>
      </c>
      <c r="D871" t="s">
        <v>205</v>
      </c>
      <c r="E871" t="s">
        <v>205</v>
      </c>
      <c r="F871">
        <v>2010</v>
      </c>
      <c r="G871" s="1">
        <v>41679</v>
      </c>
      <c r="H871">
        <v>303</v>
      </c>
      <c r="I871">
        <v>6</v>
      </c>
      <c r="J871">
        <v>495</v>
      </c>
      <c r="K871">
        <v>497</v>
      </c>
      <c r="L871" t="s">
        <v>7780</v>
      </c>
      <c r="M871" t="s">
        <v>63</v>
      </c>
      <c r="N871" t="s">
        <v>7781</v>
      </c>
      <c r="O871" t="s">
        <v>63</v>
      </c>
      <c r="Q871" t="s">
        <v>63</v>
      </c>
      <c r="R871" t="s">
        <v>63</v>
      </c>
      <c r="S871" t="s">
        <v>63</v>
      </c>
      <c r="T871" t="s">
        <v>63</v>
      </c>
      <c r="X871" t="s">
        <v>63</v>
      </c>
      <c r="Y871" t="s">
        <v>2744</v>
      </c>
      <c r="Z871" t="s">
        <v>63</v>
      </c>
      <c r="AA871" t="s">
        <v>63</v>
      </c>
      <c r="AB871">
        <v>20145218</v>
      </c>
      <c r="AC871" t="s">
        <v>67</v>
      </c>
      <c r="AD871" t="s">
        <v>63</v>
      </c>
      <c r="AE871" t="s">
        <v>63</v>
      </c>
      <c r="AF871" t="s">
        <v>63</v>
      </c>
      <c r="AG871" t="s">
        <v>7782</v>
      </c>
      <c r="AH871" t="s">
        <v>63</v>
      </c>
      <c r="AI871" t="s">
        <v>7783</v>
      </c>
      <c r="AJ871" t="s">
        <v>63</v>
      </c>
      <c r="AK871" t="s">
        <v>63</v>
      </c>
      <c r="AL871" t="s">
        <v>63</v>
      </c>
      <c r="AM871" t="s">
        <v>7784</v>
      </c>
      <c r="AN871" t="s">
        <v>63</v>
      </c>
      <c r="AO871" t="s">
        <v>63</v>
      </c>
      <c r="AP871" t="s">
        <v>63</v>
      </c>
      <c r="AQ871" t="s">
        <v>63</v>
      </c>
      <c r="AR871" t="s">
        <v>63</v>
      </c>
      <c r="AS871" t="s">
        <v>63</v>
      </c>
      <c r="AT871" t="s">
        <v>63</v>
      </c>
      <c r="AU871" t="s">
        <v>63</v>
      </c>
      <c r="AV871" t="s">
        <v>63</v>
      </c>
      <c r="AW871" t="s">
        <v>63</v>
      </c>
      <c r="AX871" t="s">
        <v>63</v>
      </c>
      <c r="AY871" t="s">
        <v>63</v>
      </c>
      <c r="AZ871" t="s">
        <v>63</v>
      </c>
      <c r="BA871" t="s">
        <v>63</v>
      </c>
      <c r="BB871" t="s">
        <v>63</v>
      </c>
      <c r="BC871" t="s">
        <v>63</v>
      </c>
      <c r="BD871" t="s">
        <v>63</v>
      </c>
      <c r="BE871" t="s">
        <v>63</v>
      </c>
      <c r="BF871" t="s">
        <v>63</v>
      </c>
    </row>
    <row r="872" spans="1:58">
      <c r="A872" t="s">
        <v>58</v>
      </c>
      <c r="B872" t="s">
        <v>7772</v>
      </c>
      <c r="C872" t="s">
        <v>7785</v>
      </c>
      <c r="D872" t="s">
        <v>205</v>
      </c>
      <c r="E872" t="s">
        <v>205</v>
      </c>
      <c r="F872">
        <v>2007</v>
      </c>
      <c r="G872" s="1">
        <v>41753</v>
      </c>
      <c r="H872">
        <v>297</v>
      </c>
      <c r="I872">
        <v>16</v>
      </c>
      <c r="J872">
        <v>1763</v>
      </c>
      <c r="K872" t="s">
        <v>63</v>
      </c>
      <c r="L872" t="s">
        <v>7786</v>
      </c>
      <c r="M872" t="s">
        <v>63</v>
      </c>
      <c r="N872" t="s">
        <v>7787</v>
      </c>
      <c r="O872" t="s">
        <v>63</v>
      </c>
      <c r="Q872" t="s">
        <v>63</v>
      </c>
      <c r="R872" t="s">
        <v>63</v>
      </c>
      <c r="S872" t="s">
        <v>63</v>
      </c>
      <c r="T872" t="s">
        <v>63</v>
      </c>
      <c r="X872" t="s">
        <v>63</v>
      </c>
      <c r="Y872" t="s">
        <v>2744</v>
      </c>
      <c r="Z872" t="s">
        <v>63</v>
      </c>
      <c r="AA872" t="s">
        <v>63</v>
      </c>
      <c r="AB872">
        <v>17456812</v>
      </c>
      <c r="AC872" t="s">
        <v>67</v>
      </c>
      <c r="AD872" t="s">
        <v>63</v>
      </c>
      <c r="AE872" t="s">
        <v>63</v>
      </c>
      <c r="AF872" t="s">
        <v>63</v>
      </c>
      <c r="AG872" t="s">
        <v>7788</v>
      </c>
      <c r="AH872" t="s">
        <v>63</v>
      </c>
      <c r="AI872" t="s">
        <v>63</v>
      </c>
      <c r="AJ872" t="s">
        <v>63</v>
      </c>
      <c r="AK872" t="s">
        <v>63</v>
      </c>
      <c r="AL872" t="s">
        <v>63</v>
      </c>
      <c r="AM872" t="s">
        <v>7789</v>
      </c>
      <c r="AN872" t="s">
        <v>63</v>
      </c>
      <c r="AO872" t="s">
        <v>63</v>
      </c>
      <c r="AP872" t="s">
        <v>63</v>
      </c>
      <c r="AQ872" t="s">
        <v>63</v>
      </c>
      <c r="AR872" t="s">
        <v>63</v>
      </c>
      <c r="AS872" t="s">
        <v>63</v>
      </c>
      <c r="AT872" t="s">
        <v>63</v>
      </c>
      <c r="AU872" t="s">
        <v>63</v>
      </c>
      <c r="AV872" t="s">
        <v>63</v>
      </c>
      <c r="AW872" t="s">
        <v>63</v>
      </c>
      <c r="AX872" t="s">
        <v>63</v>
      </c>
      <c r="AY872" t="s">
        <v>63</v>
      </c>
      <c r="AZ872" t="s">
        <v>63</v>
      </c>
      <c r="BA872" t="s">
        <v>63</v>
      </c>
      <c r="BB872" t="s">
        <v>63</v>
      </c>
      <c r="BC872" t="s">
        <v>63</v>
      </c>
      <c r="BD872" t="s">
        <v>63</v>
      </c>
      <c r="BE872" t="s">
        <v>63</v>
      </c>
      <c r="BF872" t="s">
        <v>63</v>
      </c>
    </row>
    <row r="873" spans="1:58">
      <c r="A873" t="s">
        <v>58</v>
      </c>
      <c r="B873" t="s">
        <v>7790</v>
      </c>
      <c r="C873" t="s">
        <v>7791</v>
      </c>
      <c r="D873" t="s">
        <v>6968</v>
      </c>
      <c r="E873" t="s">
        <v>63</v>
      </c>
      <c r="F873">
        <v>2003</v>
      </c>
      <c r="G873" t="s">
        <v>63</v>
      </c>
      <c r="H873">
        <v>58</v>
      </c>
      <c r="I873">
        <v>2</v>
      </c>
      <c r="J873">
        <v>220</v>
      </c>
      <c r="K873">
        <v>226</v>
      </c>
      <c r="L873" t="s">
        <v>7792</v>
      </c>
      <c r="M873" t="s">
        <v>7793</v>
      </c>
      <c r="N873" t="s">
        <v>7794</v>
      </c>
      <c r="O873" t="s">
        <v>63</v>
      </c>
      <c r="Q873" t="s">
        <v>63</v>
      </c>
      <c r="R873" t="s">
        <v>63</v>
      </c>
      <c r="S873" t="s">
        <v>63</v>
      </c>
      <c r="T873" t="s">
        <v>63</v>
      </c>
      <c r="X873" t="s">
        <v>63</v>
      </c>
      <c r="Y873" t="s">
        <v>6972</v>
      </c>
      <c r="Z873" t="s">
        <v>63</v>
      </c>
      <c r="AA873" t="s">
        <v>7795</v>
      </c>
      <c r="AB873">
        <v>15323195</v>
      </c>
      <c r="AC873" t="s">
        <v>67</v>
      </c>
      <c r="AD873" t="s">
        <v>63</v>
      </c>
      <c r="AE873" t="s">
        <v>63</v>
      </c>
      <c r="AF873" t="s">
        <v>63</v>
      </c>
      <c r="AG873" t="s">
        <v>7796</v>
      </c>
      <c r="AH873" t="s">
        <v>63</v>
      </c>
      <c r="AI873" t="s">
        <v>63</v>
      </c>
      <c r="AJ873" t="s">
        <v>63</v>
      </c>
      <c r="AK873" t="s">
        <v>63</v>
      </c>
      <c r="AL873" t="s">
        <v>63</v>
      </c>
      <c r="AM873" t="s">
        <v>7797</v>
      </c>
      <c r="AN873" t="s">
        <v>63</v>
      </c>
      <c r="AO873" t="s">
        <v>63</v>
      </c>
      <c r="AP873" t="s">
        <v>63</v>
      </c>
      <c r="AQ873" t="s">
        <v>63</v>
      </c>
      <c r="AR873" t="s">
        <v>63</v>
      </c>
      <c r="AS873" t="s">
        <v>63</v>
      </c>
      <c r="AT873" t="s">
        <v>63</v>
      </c>
      <c r="AU873" t="s">
        <v>63</v>
      </c>
      <c r="AV873" t="s">
        <v>63</v>
      </c>
      <c r="AW873" t="s">
        <v>63</v>
      </c>
      <c r="AX873" t="s">
        <v>63</v>
      </c>
      <c r="AY873" t="s">
        <v>63</v>
      </c>
      <c r="AZ873" t="s">
        <v>63</v>
      </c>
      <c r="BA873" t="s">
        <v>63</v>
      </c>
      <c r="BB873" t="s">
        <v>63</v>
      </c>
      <c r="BC873" t="s">
        <v>63</v>
      </c>
      <c r="BD873" t="s">
        <v>63</v>
      </c>
      <c r="BE873" t="s">
        <v>63</v>
      </c>
      <c r="BF873" t="s">
        <v>63</v>
      </c>
    </row>
    <row r="874" spans="1:58">
      <c r="A874" t="s">
        <v>58</v>
      </c>
      <c r="B874" t="s">
        <v>7798</v>
      </c>
      <c r="C874" t="s">
        <v>7799</v>
      </c>
      <c r="D874" t="s">
        <v>7800</v>
      </c>
      <c r="E874" t="s">
        <v>63</v>
      </c>
      <c r="F874">
        <v>2013</v>
      </c>
      <c r="G874" t="s">
        <v>63</v>
      </c>
      <c r="H874">
        <v>20</v>
      </c>
      <c r="I874">
        <v>1</v>
      </c>
      <c r="J874">
        <v>35</v>
      </c>
      <c r="K874">
        <v>54</v>
      </c>
      <c r="L874" t="s">
        <v>7801</v>
      </c>
      <c r="M874" t="s">
        <v>7802</v>
      </c>
      <c r="N874" t="s">
        <v>7803</v>
      </c>
      <c r="O874" t="s">
        <v>63</v>
      </c>
      <c r="Q874" t="s">
        <v>63</v>
      </c>
      <c r="R874" t="s">
        <v>63</v>
      </c>
      <c r="S874" t="s">
        <v>63</v>
      </c>
      <c r="T874" t="s">
        <v>63</v>
      </c>
      <c r="X874" t="s">
        <v>63</v>
      </c>
      <c r="Y874" t="s">
        <v>7804</v>
      </c>
      <c r="Z874" t="s">
        <v>63</v>
      </c>
      <c r="AA874" t="s">
        <v>7805</v>
      </c>
      <c r="AB874">
        <v>23529769</v>
      </c>
      <c r="AC874" t="s">
        <v>67</v>
      </c>
      <c r="AD874" t="s">
        <v>63</v>
      </c>
      <c r="AE874" t="s">
        <v>63</v>
      </c>
      <c r="AF874" t="s">
        <v>63</v>
      </c>
      <c r="AG874" t="s">
        <v>7806</v>
      </c>
      <c r="AH874" t="s">
        <v>63</v>
      </c>
      <c r="AI874" t="s">
        <v>7807</v>
      </c>
      <c r="AJ874" t="s">
        <v>63</v>
      </c>
      <c r="AK874" t="s">
        <v>63</v>
      </c>
      <c r="AL874" t="s">
        <v>63</v>
      </c>
      <c r="AM874" t="s">
        <v>7808</v>
      </c>
      <c r="AN874" t="s">
        <v>63</v>
      </c>
      <c r="AO874" t="s">
        <v>63</v>
      </c>
      <c r="AP874" t="s">
        <v>63</v>
      </c>
      <c r="AQ874" t="s">
        <v>63</v>
      </c>
      <c r="AR874" t="s">
        <v>63</v>
      </c>
      <c r="AS874" t="s">
        <v>63</v>
      </c>
      <c r="AT874" t="s">
        <v>63</v>
      </c>
      <c r="AU874" t="s">
        <v>63</v>
      </c>
      <c r="AV874" t="s">
        <v>63</v>
      </c>
      <c r="AW874" t="s">
        <v>63</v>
      </c>
      <c r="AX874" t="s">
        <v>63</v>
      </c>
      <c r="AY874" t="s">
        <v>63</v>
      </c>
      <c r="AZ874" t="s">
        <v>63</v>
      </c>
      <c r="BA874" t="s">
        <v>63</v>
      </c>
      <c r="BB874" t="s">
        <v>63</v>
      </c>
      <c r="BC874" t="s">
        <v>63</v>
      </c>
      <c r="BD874" t="s">
        <v>63</v>
      </c>
      <c r="BE874" t="s">
        <v>63</v>
      </c>
      <c r="BF874" t="s">
        <v>63</v>
      </c>
    </row>
    <row r="875" spans="1:58">
      <c r="A875" t="s">
        <v>58</v>
      </c>
      <c r="B875" t="s">
        <v>7809</v>
      </c>
      <c r="C875" t="s">
        <v>7810</v>
      </c>
      <c r="D875" t="s">
        <v>111</v>
      </c>
      <c r="E875" t="s">
        <v>112</v>
      </c>
      <c r="F875">
        <v>1973</v>
      </c>
      <c r="G875" t="s">
        <v>138</v>
      </c>
      <c r="H875">
        <v>79</v>
      </c>
      <c r="I875">
        <v>4</v>
      </c>
      <c r="J875">
        <v>555</v>
      </c>
      <c r="K875">
        <v>560</v>
      </c>
      <c r="L875" t="s">
        <v>7811</v>
      </c>
      <c r="M875" t="s">
        <v>63</v>
      </c>
      <c r="N875" t="s">
        <v>7812</v>
      </c>
      <c r="O875" t="s">
        <v>63</v>
      </c>
      <c r="Q875" t="s">
        <v>63</v>
      </c>
      <c r="R875" t="s">
        <v>63</v>
      </c>
      <c r="S875" t="s">
        <v>63</v>
      </c>
      <c r="T875" t="s">
        <v>63</v>
      </c>
      <c r="X875" t="s">
        <v>63</v>
      </c>
      <c r="Y875" s="2">
        <v>1064742</v>
      </c>
      <c r="Z875" t="s">
        <v>63</v>
      </c>
      <c r="AA875" t="s">
        <v>63</v>
      </c>
      <c r="AB875">
        <v>4795880</v>
      </c>
      <c r="AC875" t="s">
        <v>67</v>
      </c>
      <c r="AD875" t="s">
        <v>63</v>
      </c>
      <c r="AE875" t="s">
        <v>63</v>
      </c>
      <c r="AF875" t="s">
        <v>63</v>
      </c>
      <c r="AG875" t="s">
        <v>7813</v>
      </c>
      <c r="AH875" t="s">
        <v>63</v>
      </c>
      <c r="AI875" t="s">
        <v>63</v>
      </c>
      <c r="AJ875" t="s">
        <v>63</v>
      </c>
      <c r="AK875" t="s">
        <v>63</v>
      </c>
      <c r="AL875" t="s">
        <v>63</v>
      </c>
      <c r="AM875" t="s">
        <v>7814</v>
      </c>
      <c r="AN875" t="s">
        <v>63</v>
      </c>
      <c r="AO875" t="s">
        <v>63</v>
      </c>
      <c r="AP875" t="s">
        <v>63</v>
      </c>
      <c r="AQ875" t="s">
        <v>63</v>
      </c>
      <c r="AR875" t="s">
        <v>63</v>
      </c>
      <c r="AS875" t="s">
        <v>63</v>
      </c>
      <c r="AT875" t="s">
        <v>63</v>
      </c>
      <c r="AU875" t="s">
        <v>63</v>
      </c>
      <c r="AV875" t="s">
        <v>63</v>
      </c>
      <c r="AW875" t="s">
        <v>63</v>
      </c>
      <c r="AX875" t="s">
        <v>63</v>
      </c>
      <c r="AY875" t="s">
        <v>63</v>
      </c>
      <c r="AZ875" t="s">
        <v>63</v>
      </c>
      <c r="BA875" t="s">
        <v>63</v>
      </c>
      <c r="BB875" t="s">
        <v>63</v>
      </c>
      <c r="BC875" t="s">
        <v>63</v>
      </c>
      <c r="BD875" t="s">
        <v>63</v>
      </c>
      <c r="BE875" t="s">
        <v>63</v>
      </c>
      <c r="BF875" t="s">
        <v>63</v>
      </c>
    </row>
    <row r="876" spans="1:58">
      <c r="A876" t="s">
        <v>58</v>
      </c>
      <c r="B876" t="s">
        <v>7815</v>
      </c>
      <c r="C876" t="s">
        <v>7816</v>
      </c>
      <c r="D876" t="s">
        <v>389</v>
      </c>
      <c r="E876" t="s">
        <v>63</v>
      </c>
      <c r="F876">
        <v>2013</v>
      </c>
      <c r="G876" t="s">
        <v>63</v>
      </c>
      <c r="H876">
        <v>34</v>
      </c>
      <c r="I876">
        <v>3</v>
      </c>
      <c r="J876">
        <v>242</v>
      </c>
      <c r="K876">
        <v>247</v>
      </c>
      <c r="L876" t="s">
        <v>7817</v>
      </c>
      <c r="M876" t="s">
        <v>7818</v>
      </c>
      <c r="N876" t="s">
        <v>7819</v>
      </c>
      <c r="O876" t="s">
        <v>63</v>
      </c>
      <c r="Q876" t="s">
        <v>63</v>
      </c>
      <c r="R876" t="s">
        <v>63</v>
      </c>
      <c r="S876" t="s">
        <v>63</v>
      </c>
      <c r="T876" t="s">
        <v>63</v>
      </c>
      <c r="X876" t="s">
        <v>63</v>
      </c>
      <c r="Y876" t="s">
        <v>556</v>
      </c>
      <c r="Z876" t="s">
        <v>63</v>
      </c>
      <c r="AA876" t="s">
        <v>7820</v>
      </c>
      <c r="AB876">
        <v>23844954</v>
      </c>
      <c r="AC876" t="s">
        <v>67</v>
      </c>
      <c r="AD876" t="s">
        <v>63</v>
      </c>
      <c r="AE876" t="s">
        <v>63</v>
      </c>
      <c r="AF876" t="s">
        <v>63</v>
      </c>
      <c r="AG876" t="s">
        <v>7821</v>
      </c>
      <c r="AH876" t="s">
        <v>63</v>
      </c>
      <c r="AI876" t="s">
        <v>7822</v>
      </c>
      <c r="AJ876" t="s">
        <v>63</v>
      </c>
      <c r="AK876" t="s">
        <v>63</v>
      </c>
      <c r="AL876" t="s">
        <v>63</v>
      </c>
      <c r="AM876" t="s">
        <v>7823</v>
      </c>
      <c r="AN876" t="s">
        <v>63</v>
      </c>
      <c r="AO876" t="s">
        <v>63</v>
      </c>
      <c r="AP876" t="s">
        <v>63</v>
      </c>
      <c r="AQ876" t="s">
        <v>63</v>
      </c>
      <c r="AR876" t="s">
        <v>63</v>
      </c>
      <c r="AS876" t="s">
        <v>63</v>
      </c>
      <c r="AT876" t="s">
        <v>63</v>
      </c>
      <c r="AU876" t="s">
        <v>63</v>
      </c>
      <c r="AV876" t="s">
        <v>63</v>
      </c>
      <c r="AW876" t="s">
        <v>63</v>
      </c>
      <c r="AX876" t="s">
        <v>63</v>
      </c>
      <c r="AY876" t="s">
        <v>63</v>
      </c>
      <c r="AZ876" t="s">
        <v>63</v>
      </c>
      <c r="BA876" t="s">
        <v>63</v>
      </c>
      <c r="BB876" t="s">
        <v>63</v>
      </c>
      <c r="BC876" t="s">
        <v>63</v>
      </c>
      <c r="BD876" t="s">
        <v>63</v>
      </c>
      <c r="BE876" t="s">
        <v>63</v>
      </c>
      <c r="BF876" t="s">
        <v>63</v>
      </c>
    </row>
    <row r="877" spans="1:58">
      <c r="A877" t="s">
        <v>58</v>
      </c>
      <c r="B877" t="s">
        <v>7824</v>
      </c>
      <c r="C877" t="s">
        <v>7825</v>
      </c>
      <c r="D877" t="s">
        <v>1314</v>
      </c>
      <c r="E877" t="s">
        <v>63</v>
      </c>
      <c r="F877">
        <v>2016</v>
      </c>
      <c r="G877" t="s">
        <v>274</v>
      </c>
      <c r="H877">
        <v>12</v>
      </c>
      <c r="I877">
        <v>1</v>
      </c>
      <c r="J877">
        <v>76</v>
      </c>
      <c r="K877">
        <v>78</v>
      </c>
      <c r="L877" t="s">
        <v>7826</v>
      </c>
      <c r="M877" t="s">
        <v>7827</v>
      </c>
      <c r="N877" t="s">
        <v>7828</v>
      </c>
      <c r="O877" t="s">
        <v>63</v>
      </c>
      <c r="Q877" t="s">
        <v>63</v>
      </c>
      <c r="R877" t="s">
        <v>63</v>
      </c>
      <c r="S877" t="s">
        <v>63</v>
      </c>
      <c r="T877" t="s">
        <v>63</v>
      </c>
      <c r="X877" t="s">
        <v>63</v>
      </c>
      <c r="Y877" t="s">
        <v>1317</v>
      </c>
      <c r="Z877" t="s">
        <v>63</v>
      </c>
      <c r="AA877" t="s">
        <v>7829</v>
      </c>
      <c r="AB877">
        <v>26597980</v>
      </c>
      <c r="AC877" t="s">
        <v>67</v>
      </c>
      <c r="AD877" t="s">
        <v>63</v>
      </c>
      <c r="AE877" t="s">
        <v>63</v>
      </c>
      <c r="AF877" t="s">
        <v>63</v>
      </c>
      <c r="AG877" t="s">
        <v>7830</v>
      </c>
      <c r="AH877" t="s">
        <v>63</v>
      </c>
      <c r="AI877" t="s">
        <v>7831</v>
      </c>
      <c r="AJ877" t="s">
        <v>63</v>
      </c>
      <c r="AK877" t="s">
        <v>63</v>
      </c>
      <c r="AL877" t="s">
        <v>63</v>
      </c>
      <c r="AM877" t="s">
        <v>7832</v>
      </c>
      <c r="AN877" t="s">
        <v>63</v>
      </c>
      <c r="AO877" t="s">
        <v>63</v>
      </c>
      <c r="AP877" t="s">
        <v>63</v>
      </c>
      <c r="AQ877" t="s">
        <v>63</v>
      </c>
      <c r="AR877" t="s">
        <v>63</v>
      </c>
      <c r="AS877" t="s">
        <v>63</v>
      </c>
      <c r="AT877" t="s">
        <v>63</v>
      </c>
      <c r="AU877" t="s">
        <v>63</v>
      </c>
      <c r="AV877" t="s">
        <v>63</v>
      </c>
      <c r="AW877" t="s">
        <v>63</v>
      </c>
      <c r="AX877" t="s">
        <v>63</v>
      </c>
      <c r="AY877" t="s">
        <v>63</v>
      </c>
      <c r="AZ877" t="s">
        <v>63</v>
      </c>
      <c r="BA877" t="s">
        <v>63</v>
      </c>
      <c r="BB877" t="s">
        <v>63</v>
      </c>
      <c r="BC877" t="s">
        <v>63</v>
      </c>
      <c r="BD877" t="s">
        <v>63</v>
      </c>
      <c r="BE877" t="s">
        <v>63</v>
      </c>
      <c r="BF877" t="s">
        <v>63</v>
      </c>
    </row>
    <row r="878" spans="1:58">
      <c r="A878" t="s">
        <v>58</v>
      </c>
      <c r="B878" t="s">
        <v>7833</v>
      </c>
      <c r="C878" t="s">
        <v>7834</v>
      </c>
      <c r="D878" t="s">
        <v>7835</v>
      </c>
      <c r="E878" t="s">
        <v>63</v>
      </c>
      <c r="F878">
        <v>2012</v>
      </c>
      <c r="G878" t="s">
        <v>219</v>
      </c>
      <c r="H878">
        <v>85</v>
      </c>
      <c r="I878">
        <v>8</v>
      </c>
      <c r="J878">
        <v>837</v>
      </c>
      <c r="K878">
        <v>847</v>
      </c>
      <c r="L878" t="s">
        <v>7836</v>
      </c>
      <c r="M878" t="s">
        <v>7837</v>
      </c>
      <c r="N878" t="s">
        <v>7838</v>
      </c>
      <c r="O878" t="s">
        <v>63</v>
      </c>
      <c r="Q878" t="s">
        <v>63</v>
      </c>
      <c r="R878" t="s">
        <v>63</v>
      </c>
      <c r="S878" t="s">
        <v>63</v>
      </c>
      <c r="T878" t="s">
        <v>63</v>
      </c>
      <c r="X878" t="s">
        <v>63</v>
      </c>
      <c r="Y878" t="s">
        <v>7839</v>
      </c>
      <c r="Z878" t="s">
        <v>63</v>
      </c>
      <c r="AA878" t="s">
        <v>7840</v>
      </c>
      <c r="AB878">
        <v>22752312</v>
      </c>
      <c r="AC878" t="s">
        <v>67</v>
      </c>
      <c r="AD878" t="s">
        <v>63</v>
      </c>
      <c r="AE878" t="s">
        <v>63</v>
      </c>
      <c r="AF878" t="s">
        <v>63</v>
      </c>
      <c r="AG878" t="s">
        <v>7841</v>
      </c>
      <c r="AH878" t="s">
        <v>63</v>
      </c>
      <c r="AI878" t="s">
        <v>7842</v>
      </c>
      <c r="AJ878" t="s">
        <v>63</v>
      </c>
      <c r="AK878" t="s">
        <v>63</v>
      </c>
      <c r="AL878" t="s">
        <v>63</v>
      </c>
      <c r="AM878" t="s">
        <v>7843</v>
      </c>
      <c r="AN878" t="s">
        <v>63</v>
      </c>
      <c r="AO878" t="s">
        <v>63</v>
      </c>
      <c r="AP878" t="s">
        <v>63</v>
      </c>
      <c r="AQ878" t="s">
        <v>63</v>
      </c>
      <c r="AR878" t="s">
        <v>63</v>
      </c>
      <c r="AS878" t="s">
        <v>63</v>
      </c>
      <c r="AT878" t="s">
        <v>63</v>
      </c>
      <c r="AU878" t="s">
        <v>63</v>
      </c>
      <c r="AV878" t="s">
        <v>63</v>
      </c>
      <c r="AW878" t="s">
        <v>63</v>
      </c>
      <c r="AX878" t="s">
        <v>63</v>
      </c>
      <c r="AY878" t="s">
        <v>63</v>
      </c>
      <c r="AZ878" t="s">
        <v>63</v>
      </c>
      <c r="BA878" t="s">
        <v>63</v>
      </c>
      <c r="BB878" t="s">
        <v>63</v>
      </c>
      <c r="BC878" t="s">
        <v>63</v>
      </c>
      <c r="BD878" t="s">
        <v>63</v>
      </c>
      <c r="BE878" t="s">
        <v>63</v>
      </c>
      <c r="BF878" t="s">
        <v>63</v>
      </c>
    </row>
    <row r="879" spans="1:58">
      <c r="A879" t="s">
        <v>58</v>
      </c>
      <c r="B879" t="s">
        <v>7844</v>
      </c>
      <c r="C879" t="s">
        <v>7845</v>
      </c>
      <c r="D879" t="s">
        <v>690</v>
      </c>
      <c r="E879" t="s">
        <v>63</v>
      </c>
      <c r="F879">
        <v>2008</v>
      </c>
      <c r="G879" t="s">
        <v>63</v>
      </c>
      <c r="H879">
        <v>65</v>
      </c>
      <c r="I879">
        <v>10</v>
      </c>
      <c r="J879">
        <v>645</v>
      </c>
      <c r="K879">
        <v>646</v>
      </c>
      <c r="L879" t="s">
        <v>7846</v>
      </c>
      <c r="M879" t="s">
        <v>7847</v>
      </c>
      <c r="N879" t="s">
        <v>7848</v>
      </c>
      <c r="O879" t="s">
        <v>63</v>
      </c>
      <c r="Q879" t="s">
        <v>63</v>
      </c>
      <c r="R879" t="s">
        <v>63</v>
      </c>
      <c r="S879" t="s">
        <v>63</v>
      </c>
      <c r="T879" t="s">
        <v>63</v>
      </c>
      <c r="X879" t="s">
        <v>63</v>
      </c>
      <c r="Y879" t="s">
        <v>694</v>
      </c>
      <c r="Z879" t="s">
        <v>63</v>
      </c>
      <c r="AA879" t="s">
        <v>7849</v>
      </c>
      <c r="AB879">
        <v>19189569</v>
      </c>
      <c r="AC879" t="s">
        <v>696</v>
      </c>
      <c r="AD879" t="s">
        <v>63</v>
      </c>
      <c r="AE879" t="s">
        <v>63</v>
      </c>
      <c r="AF879" t="s">
        <v>63</v>
      </c>
      <c r="AG879" t="s">
        <v>7850</v>
      </c>
      <c r="AH879" t="s">
        <v>63</v>
      </c>
      <c r="AI879" t="s">
        <v>63</v>
      </c>
      <c r="AJ879" t="s">
        <v>63</v>
      </c>
      <c r="AK879" t="s">
        <v>63</v>
      </c>
      <c r="AL879" t="s">
        <v>63</v>
      </c>
      <c r="AM879" t="s">
        <v>7851</v>
      </c>
      <c r="AN879" t="s">
        <v>63</v>
      </c>
      <c r="AO879" t="s">
        <v>63</v>
      </c>
      <c r="AP879" t="s">
        <v>63</v>
      </c>
      <c r="AQ879" t="s">
        <v>63</v>
      </c>
      <c r="AR879" t="s">
        <v>63</v>
      </c>
      <c r="AS879" t="s">
        <v>63</v>
      </c>
      <c r="AT879" t="s">
        <v>63</v>
      </c>
      <c r="AU879" t="s">
        <v>63</v>
      </c>
      <c r="AV879" t="s">
        <v>63</v>
      </c>
      <c r="AW879" t="s">
        <v>63</v>
      </c>
      <c r="AX879" t="s">
        <v>63</v>
      </c>
      <c r="AY879" t="s">
        <v>63</v>
      </c>
      <c r="AZ879" t="s">
        <v>63</v>
      </c>
      <c r="BA879" t="s">
        <v>63</v>
      </c>
      <c r="BB879" t="s">
        <v>63</v>
      </c>
      <c r="BC879" t="s">
        <v>63</v>
      </c>
      <c r="BD879" t="s">
        <v>63</v>
      </c>
      <c r="BE879" t="s">
        <v>63</v>
      </c>
      <c r="BF879" t="s">
        <v>63</v>
      </c>
    </row>
    <row r="880" spans="1:58">
      <c r="A880" t="s">
        <v>58</v>
      </c>
      <c r="B880" t="s">
        <v>7844</v>
      </c>
      <c r="C880" t="s">
        <v>7852</v>
      </c>
      <c r="D880" t="s">
        <v>690</v>
      </c>
      <c r="E880" t="s">
        <v>63</v>
      </c>
      <c r="F880">
        <v>2008</v>
      </c>
      <c r="G880" t="s">
        <v>63</v>
      </c>
      <c r="H880">
        <v>65</v>
      </c>
      <c r="I880">
        <v>10</v>
      </c>
      <c r="J880">
        <v>651</v>
      </c>
      <c r="K880">
        <v>652</v>
      </c>
      <c r="L880" t="s">
        <v>7853</v>
      </c>
      <c r="M880" t="s">
        <v>7854</v>
      </c>
      <c r="N880" t="s">
        <v>7855</v>
      </c>
      <c r="O880" t="s">
        <v>63</v>
      </c>
      <c r="Q880" t="s">
        <v>63</v>
      </c>
      <c r="R880" t="s">
        <v>63</v>
      </c>
      <c r="S880" t="s">
        <v>63</v>
      </c>
      <c r="T880" t="s">
        <v>63</v>
      </c>
      <c r="X880" t="s">
        <v>63</v>
      </c>
      <c r="Y880" t="s">
        <v>694</v>
      </c>
      <c r="Z880" t="s">
        <v>63</v>
      </c>
      <c r="AA880" t="s">
        <v>7849</v>
      </c>
      <c r="AB880">
        <v>19189571</v>
      </c>
      <c r="AC880" t="s">
        <v>696</v>
      </c>
      <c r="AD880" t="s">
        <v>63</v>
      </c>
      <c r="AE880" t="s">
        <v>63</v>
      </c>
      <c r="AF880" t="s">
        <v>63</v>
      </c>
      <c r="AG880" t="s">
        <v>7856</v>
      </c>
      <c r="AH880" t="s">
        <v>63</v>
      </c>
      <c r="AI880" t="s">
        <v>63</v>
      </c>
      <c r="AJ880" t="s">
        <v>63</v>
      </c>
      <c r="AK880" t="s">
        <v>63</v>
      </c>
      <c r="AL880" t="s">
        <v>63</v>
      </c>
      <c r="AM880" t="s">
        <v>7857</v>
      </c>
      <c r="AN880" t="s">
        <v>63</v>
      </c>
      <c r="AO880" t="s">
        <v>63</v>
      </c>
      <c r="AP880" t="s">
        <v>63</v>
      </c>
      <c r="AQ880" t="s">
        <v>63</v>
      </c>
      <c r="AR880" t="s">
        <v>63</v>
      </c>
      <c r="AS880" t="s">
        <v>63</v>
      </c>
      <c r="AT880" t="s">
        <v>63</v>
      </c>
      <c r="AU880" t="s">
        <v>63</v>
      </c>
      <c r="AV880" t="s">
        <v>63</v>
      </c>
      <c r="AW880" t="s">
        <v>63</v>
      </c>
      <c r="AX880" t="s">
        <v>63</v>
      </c>
      <c r="AY880" t="s">
        <v>63</v>
      </c>
      <c r="AZ880" t="s">
        <v>63</v>
      </c>
      <c r="BA880" t="s">
        <v>63</v>
      </c>
      <c r="BB880" t="s">
        <v>63</v>
      </c>
      <c r="BC880" t="s">
        <v>63</v>
      </c>
      <c r="BD880" t="s">
        <v>63</v>
      </c>
      <c r="BE880" t="s">
        <v>63</v>
      </c>
      <c r="BF880" t="s">
        <v>63</v>
      </c>
    </row>
    <row r="881" spans="1:58">
      <c r="A881" t="s">
        <v>58</v>
      </c>
      <c r="B881" t="s">
        <v>7858</v>
      </c>
      <c r="C881" t="s">
        <v>7859</v>
      </c>
      <c r="D881" t="s">
        <v>690</v>
      </c>
      <c r="E881" t="s">
        <v>63</v>
      </c>
      <c r="F881">
        <v>2009</v>
      </c>
      <c r="G881" t="s">
        <v>63</v>
      </c>
      <c r="H881">
        <v>66</v>
      </c>
      <c r="I881">
        <v>10</v>
      </c>
      <c r="J881">
        <v>819</v>
      </c>
      <c r="K881">
        <v>821</v>
      </c>
      <c r="L881" t="s">
        <v>7860</v>
      </c>
      <c r="M881" t="s">
        <v>7861</v>
      </c>
      <c r="N881" t="s">
        <v>7862</v>
      </c>
      <c r="O881" t="s">
        <v>63</v>
      </c>
      <c r="Q881" t="s">
        <v>63</v>
      </c>
      <c r="R881" t="s">
        <v>63</v>
      </c>
      <c r="S881" t="s">
        <v>63</v>
      </c>
      <c r="T881" t="s">
        <v>63</v>
      </c>
      <c r="X881" t="s">
        <v>63</v>
      </c>
      <c r="Y881" t="s">
        <v>694</v>
      </c>
      <c r="Z881" t="s">
        <v>63</v>
      </c>
      <c r="AA881" t="s">
        <v>7863</v>
      </c>
      <c r="AB881">
        <v>20301945</v>
      </c>
      <c r="AC881" t="s">
        <v>696</v>
      </c>
      <c r="AD881" t="s">
        <v>63</v>
      </c>
      <c r="AE881" t="s">
        <v>63</v>
      </c>
      <c r="AF881" t="s">
        <v>63</v>
      </c>
      <c r="AG881" t="s">
        <v>7864</v>
      </c>
      <c r="AH881" t="s">
        <v>63</v>
      </c>
      <c r="AI881" t="s">
        <v>63</v>
      </c>
      <c r="AJ881" t="s">
        <v>63</v>
      </c>
      <c r="AK881" t="s">
        <v>63</v>
      </c>
      <c r="AL881" t="s">
        <v>63</v>
      </c>
      <c r="AM881" t="s">
        <v>7865</v>
      </c>
      <c r="AN881" t="s">
        <v>63</v>
      </c>
      <c r="AO881" t="s">
        <v>63</v>
      </c>
      <c r="AP881" t="s">
        <v>63</v>
      </c>
      <c r="AQ881" t="s">
        <v>63</v>
      </c>
      <c r="AR881" t="s">
        <v>63</v>
      </c>
      <c r="AS881" t="s">
        <v>63</v>
      </c>
      <c r="AT881" t="s">
        <v>63</v>
      </c>
      <c r="AU881" t="s">
        <v>63</v>
      </c>
      <c r="AV881" t="s">
        <v>63</v>
      </c>
      <c r="AW881" t="s">
        <v>63</v>
      </c>
      <c r="AX881" t="s">
        <v>63</v>
      </c>
      <c r="AY881" t="s">
        <v>63</v>
      </c>
      <c r="AZ881" t="s">
        <v>63</v>
      </c>
      <c r="BA881" t="s">
        <v>63</v>
      </c>
      <c r="BB881" t="s">
        <v>63</v>
      </c>
      <c r="BC881" t="s">
        <v>63</v>
      </c>
      <c r="BD881" t="s">
        <v>63</v>
      </c>
      <c r="BE881" t="s">
        <v>63</v>
      </c>
      <c r="BF881" t="s">
        <v>63</v>
      </c>
    </row>
    <row r="882" spans="1:58">
      <c r="A882" t="s">
        <v>58</v>
      </c>
      <c r="B882" t="s">
        <v>7866</v>
      </c>
      <c r="C882" t="s">
        <v>7867</v>
      </c>
      <c r="D882" t="s">
        <v>1993</v>
      </c>
      <c r="E882" t="s">
        <v>1994</v>
      </c>
      <c r="F882">
        <v>1973</v>
      </c>
      <c r="G882" t="s">
        <v>274</v>
      </c>
      <c r="H882">
        <v>56</v>
      </c>
      <c r="I882">
        <v>3</v>
      </c>
      <c r="J882">
        <v>217</v>
      </c>
      <c r="K882" t="s">
        <v>63</v>
      </c>
      <c r="L882" t="s">
        <v>7868</v>
      </c>
      <c r="M882" t="s">
        <v>63</v>
      </c>
      <c r="N882" t="s">
        <v>7869</v>
      </c>
      <c r="O882" t="s">
        <v>63</v>
      </c>
      <c r="Q882" t="s">
        <v>63</v>
      </c>
      <c r="R882" t="s">
        <v>63</v>
      </c>
      <c r="S882" t="s">
        <v>63</v>
      </c>
      <c r="T882" t="s">
        <v>63</v>
      </c>
      <c r="X882" t="s">
        <v>63</v>
      </c>
      <c r="Y882" t="s">
        <v>1997</v>
      </c>
      <c r="Z882" t="s">
        <v>63</v>
      </c>
      <c r="AA882" t="s">
        <v>63</v>
      </c>
      <c r="AB882">
        <v>4734617</v>
      </c>
      <c r="AC882" t="s">
        <v>67</v>
      </c>
      <c r="AD882" t="s">
        <v>63</v>
      </c>
      <c r="AE882" t="s">
        <v>63</v>
      </c>
      <c r="AF882" t="s">
        <v>63</v>
      </c>
      <c r="AG882" t="s">
        <v>7870</v>
      </c>
      <c r="AH882" t="s">
        <v>63</v>
      </c>
      <c r="AI882" t="s">
        <v>63</v>
      </c>
      <c r="AJ882" t="s">
        <v>63</v>
      </c>
      <c r="AK882" t="s">
        <v>63</v>
      </c>
      <c r="AL882" t="s">
        <v>63</v>
      </c>
      <c r="AM882" t="s">
        <v>7871</v>
      </c>
      <c r="AN882" t="s">
        <v>63</v>
      </c>
      <c r="AO882" t="s">
        <v>63</v>
      </c>
      <c r="AP882" t="s">
        <v>63</v>
      </c>
      <c r="AQ882" t="s">
        <v>63</v>
      </c>
      <c r="AR882" t="s">
        <v>63</v>
      </c>
      <c r="AS882" t="s">
        <v>63</v>
      </c>
      <c r="AT882" t="s">
        <v>63</v>
      </c>
      <c r="AU882" t="s">
        <v>63</v>
      </c>
      <c r="AV882" t="s">
        <v>63</v>
      </c>
      <c r="AW882" t="s">
        <v>63</v>
      </c>
      <c r="AX882" t="s">
        <v>63</v>
      </c>
      <c r="AY882" t="s">
        <v>63</v>
      </c>
      <c r="AZ882" t="s">
        <v>63</v>
      </c>
      <c r="BA882" t="s">
        <v>63</v>
      </c>
      <c r="BB882" t="s">
        <v>63</v>
      </c>
      <c r="BC882" t="s">
        <v>63</v>
      </c>
      <c r="BD882" t="s">
        <v>63</v>
      </c>
      <c r="BE882" t="s">
        <v>63</v>
      </c>
      <c r="BF882" t="s">
        <v>63</v>
      </c>
    </row>
    <row r="883" spans="1:58">
      <c r="A883" t="s">
        <v>58</v>
      </c>
      <c r="B883" t="s">
        <v>7872</v>
      </c>
      <c r="C883" t="s">
        <v>7873</v>
      </c>
      <c r="D883" t="s">
        <v>7874</v>
      </c>
      <c r="E883" t="s">
        <v>63</v>
      </c>
      <c r="F883">
        <v>2016</v>
      </c>
      <c r="G883" t="s">
        <v>138</v>
      </c>
      <c r="H883">
        <v>20</v>
      </c>
      <c r="I883">
        <v>10</v>
      </c>
      <c r="J883">
        <v>2433</v>
      </c>
      <c r="K883">
        <v>2443</v>
      </c>
      <c r="L883" t="s">
        <v>7875</v>
      </c>
      <c r="M883" t="s">
        <v>7876</v>
      </c>
      <c r="N883" t="s">
        <v>7877</v>
      </c>
      <c r="O883" t="s">
        <v>63</v>
      </c>
      <c r="Q883" t="s">
        <v>63</v>
      </c>
      <c r="R883" t="s">
        <v>63</v>
      </c>
      <c r="S883" t="s">
        <v>63</v>
      </c>
      <c r="T883" t="s">
        <v>63</v>
      </c>
      <c r="X883" t="s">
        <v>63</v>
      </c>
      <c r="Y883" t="s">
        <v>7878</v>
      </c>
      <c r="Z883" t="s">
        <v>63</v>
      </c>
      <c r="AA883" t="s">
        <v>7879</v>
      </c>
      <c r="AB883">
        <v>26767534</v>
      </c>
      <c r="AC883" t="s">
        <v>67</v>
      </c>
      <c r="AD883" t="s">
        <v>63</v>
      </c>
      <c r="AE883" t="s">
        <v>63</v>
      </c>
      <c r="AF883" t="s">
        <v>63</v>
      </c>
      <c r="AG883" t="s">
        <v>7880</v>
      </c>
      <c r="AH883" t="s">
        <v>63</v>
      </c>
      <c r="AI883" t="s">
        <v>7881</v>
      </c>
      <c r="AJ883" t="s">
        <v>63</v>
      </c>
      <c r="AK883" t="s">
        <v>63</v>
      </c>
      <c r="AL883" t="s">
        <v>63</v>
      </c>
      <c r="AM883" t="s">
        <v>7882</v>
      </c>
      <c r="AN883" t="s">
        <v>63</v>
      </c>
      <c r="AO883" t="s">
        <v>63</v>
      </c>
      <c r="AP883" t="s">
        <v>63</v>
      </c>
      <c r="AQ883" t="s">
        <v>63</v>
      </c>
      <c r="AR883" t="s">
        <v>63</v>
      </c>
      <c r="AS883" t="s">
        <v>63</v>
      </c>
      <c r="AT883" t="s">
        <v>63</v>
      </c>
      <c r="AU883" t="s">
        <v>63</v>
      </c>
      <c r="AV883" t="s">
        <v>63</v>
      </c>
      <c r="AW883" t="s">
        <v>63</v>
      </c>
      <c r="AX883" t="s">
        <v>63</v>
      </c>
      <c r="AY883" t="s">
        <v>63</v>
      </c>
      <c r="AZ883" t="s">
        <v>63</v>
      </c>
      <c r="BA883" t="s">
        <v>63</v>
      </c>
      <c r="BB883" t="s">
        <v>63</v>
      </c>
      <c r="BC883" t="s">
        <v>63</v>
      </c>
      <c r="BD883" t="s">
        <v>63</v>
      </c>
      <c r="BE883" t="s">
        <v>63</v>
      </c>
      <c r="BF883" t="s">
        <v>63</v>
      </c>
    </row>
    <row r="884" spans="1:58">
      <c r="A884" t="s">
        <v>58</v>
      </c>
      <c r="B884" t="s">
        <v>7883</v>
      </c>
      <c r="C884" t="s">
        <v>7884</v>
      </c>
      <c r="D884" t="s">
        <v>4245</v>
      </c>
      <c r="E884" t="s">
        <v>4246</v>
      </c>
      <c r="F884">
        <v>1990</v>
      </c>
      <c r="G884" s="1">
        <v>41717</v>
      </c>
      <c r="H884">
        <v>110</v>
      </c>
      <c r="I884">
        <v>8</v>
      </c>
      <c r="J884">
        <v>970</v>
      </c>
      <c r="K884">
        <v>972</v>
      </c>
      <c r="L884" t="s">
        <v>7885</v>
      </c>
      <c r="M884" t="s">
        <v>7886</v>
      </c>
      <c r="N884" t="s">
        <v>7887</v>
      </c>
      <c r="O884" t="s">
        <v>63</v>
      </c>
      <c r="Q884" t="s">
        <v>63</v>
      </c>
      <c r="R884" t="s">
        <v>63</v>
      </c>
      <c r="S884" t="s">
        <v>63</v>
      </c>
      <c r="T884" t="s">
        <v>63</v>
      </c>
      <c r="X884" t="s">
        <v>63</v>
      </c>
      <c r="Y884" t="s">
        <v>4250</v>
      </c>
      <c r="Z884" t="s">
        <v>63</v>
      </c>
      <c r="AA884" t="s">
        <v>7888</v>
      </c>
      <c r="AB884">
        <v>2321229</v>
      </c>
      <c r="AC884" t="s">
        <v>4252</v>
      </c>
      <c r="AD884" t="s">
        <v>63</v>
      </c>
      <c r="AE884" t="s">
        <v>63</v>
      </c>
      <c r="AF884" t="s">
        <v>63</v>
      </c>
      <c r="AG884" t="s">
        <v>7889</v>
      </c>
      <c r="AH884" t="s">
        <v>63</v>
      </c>
      <c r="AI884" t="s">
        <v>63</v>
      </c>
      <c r="AJ884" t="s">
        <v>63</v>
      </c>
      <c r="AK884" t="s">
        <v>63</v>
      </c>
      <c r="AL884" t="s">
        <v>63</v>
      </c>
      <c r="AM884" t="s">
        <v>7890</v>
      </c>
      <c r="AN884" t="s">
        <v>63</v>
      </c>
      <c r="AO884" t="s">
        <v>63</v>
      </c>
      <c r="AP884" t="s">
        <v>63</v>
      </c>
      <c r="AQ884" t="s">
        <v>63</v>
      </c>
      <c r="AR884" t="s">
        <v>63</v>
      </c>
      <c r="AS884" t="s">
        <v>63</v>
      </c>
      <c r="AT884" t="s">
        <v>63</v>
      </c>
      <c r="AU884" t="s">
        <v>63</v>
      </c>
      <c r="AV884" t="s">
        <v>63</v>
      </c>
      <c r="AW884" t="s">
        <v>63</v>
      </c>
      <c r="AX884" t="s">
        <v>63</v>
      </c>
      <c r="AY884" t="s">
        <v>63</v>
      </c>
      <c r="AZ884" t="s">
        <v>63</v>
      </c>
      <c r="BA884" t="s">
        <v>63</v>
      </c>
      <c r="BB884" t="s">
        <v>63</v>
      </c>
      <c r="BC884" t="s">
        <v>63</v>
      </c>
      <c r="BD884" t="s">
        <v>63</v>
      </c>
      <c r="BE884" t="s">
        <v>63</v>
      </c>
      <c r="BF884" t="s">
        <v>63</v>
      </c>
    </row>
    <row r="885" spans="1:58">
      <c r="A885" t="s">
        <v>58</v>
      </c>
      <c r="B885" t="s">
        <v>7891</v>
      </c>
      <c r="C885" t="s">
        <v>7892</v>
      </c>
      <c r="D885" t="s">
        <v>7893</v>
      </c>
      <c r="E885" t="s">
        <v>7894</v>
      </c>
      <c r="F885">
        <v>2005</v>
      </c>
      <c r="G885" t="s">
        <v>63</v>
      </c>
      <c r="H885">
        <v>21</v>
      </c>
      <c r="I885">
        <v>4</v>
      </c>
      <c r="J885">
        <v>246</v>
      </c>
      <c r="K885">
        <v>251</v>
      </c>
      <c r="L885" t="s">
        <v>7895</v>
      </c>
      <c r="M885" t="s">
        <v>7896</v>
      </c>
      <c r="N885" t="s">
        <v>7897</v>
      </c>
      <c r="O885" t="s">
        <v>63</v>
      </c>
      <c r="Q885" t="s">
        <v>63</v>
      </c>
      <c r="R885" t="s">
        <v>63</v>
      </c>
      <c r="S885" t="s">
        <v>63</v>
      </c>
      <c r="T885" t="s">
        <v>63</v>
      </c>
      <c r="X885" t="s">
        <v>63</v>
      </c>
      <c r="Y885" t="s">
        <v>7898</v>
      </c>
      <c r="Z885" t="s">
        <v>63</v>
      </c>
      <c r="AA885" t="s">
        <v>7899</v>
      </c>
      <c r="AB885">
        <v>16483093</v>
      </c>
      <c r="AC885" t="s">
        <v>67</v>
      </c>
      <c r="AD885" t="s">
        <v>63</v>
      </c>
      <c r="AE885" t="s">
        <v>63</v>
      </c>
      <c r="AF885" t="s">
        <v>63</v>
      </c>
      <c r="AG885" t="s">
        <v>7900</v>
      </c>
      <c r="AH885" t="s">
        <v>63</v>
      </c>
      <c r="AI885" t="s">
        <v>63</v>
      </c>
      <c r="AJ885" t="s">
        <v>63</v>
      </c>
      <c r="AK885" t="s">
        <v>63</v>
      </c>
      <c r="AL885" t="s">
        <v>63</v>
      </c>
      <c r="AM885" t="s">
        <v>7901</v>
      </c>
      <c r="AN885" t="s">
        <v>63</v>
      </c>
      <c r="AO885" t="s">
        <v>63</v>
      </c>
      <c r="AP885" t="s">
        <v>63</v>
      </c>
      <c r="AQ885" t="s">
        <v>63</v>
      </c>
      <c r="AR885" t="s">
        <v>63</v>
      </c>
      <c r="AS885" t="s">
        <v>63</v>
      </c>
      <c r="AT885" t="s">
        <v>63</v>
      </c>
      <c r="AU885" t="s">
        <v>63</v>
      </c>
      <c r="AV885" t="s">
        <v>63</v>
      </c>
      <c r="AW885" t="s">
        <v>63</v>
      </c>
      <c r="AX885" t="s">
        <v>63</v>
      </c>
      <c r="AY885" t="s">
        <v>63</v>
      </c>
      <c r="AZ885" t="s">
        <v>63</v>
      </c>
      <c r="BA885" t="s">
        <v>63</v>
      </c>
      <c r="BB885" t="s">
        <v>63</v>
      </c>
      <c r="BC885" t="s">
        <v>63</v>
      </c>
      <c r="BD885" t="s">
        <v>63</v>
      </c>
      <c r="BE885" t="s">
        <v>63</v>
      </c>
      <c r="BF885" t="s">
        <v>63</v>
      </c>
    </row>
    <row r="886" spans="1:58">
      <c r="A886" t="s">
        <v>58</v>
      </c>
      <c r="B886" t="s">
        <v>7902</v>
      </c>
      <c r="C886" t="s">
        <v>7903</v>
      </c>
      <c r="D886" t="s">
        <v>3071</v>
      </c>
      <c r="E886" t="s">
        <v>3072</v>
      </c>
      <c r="F886">
        <v>1989</v>
      </c>
      <c r="G886" t="s">
        <v>181</v>
      </c>
      <c r="H886">
        <v>84</v>
      </c>
      <c r="I886">
        <v>9</v>
      </c>
      <c r="J886">
        <v>999</v>
      </c>
      <c r="K886">
        <v>1009</v>
      </c>
      <c r="L886" t="s">
        <v>7904</v>
      </c>
      <c r="M886" t="s">
        <v>7905</v>
      </c>
      <c r="N886" t="s">
        <v>7906</v>
      </c>
      <c r="O886" t="s">
        <v>63</v>
      </c>
      <c r="Q886" t="s">
        <v>63</v>
      </c>
      <c r="R886" t="s">
        <v>63</v>
      </c>
      <c r="S886" t="s">
        <v>63</v>
      </c>
      <c r="T886" t="s">
        <v>63</v>
      </c>
      <c r="X886" t="s">
        <v>63</v>
      </c>
      <c r="Y886" t="s">
        <v>3075</v>
      </c>
      <c r="Z886" t="s">
        <v>63</v>
      </c>
      <c r="AA886" t="s">
        <v>63</v>
      </c>
      <c r="AB886">
        <v>2676031</v>
      </c>
      <c r="AC886" t="s">
        <v>67</v>
      </c>
      <c r="AD886" t="s">
        <v>63</v>
      </c>
      <c r="AE886" t="s">
        <v>63</v>
      </c>
      <c r="AF886" t="s">
        <v>63</v>
      </c>
      <c r="AG886" t="s">
        <v>7907</v>
      </c>
      <c r="AH886" t="s">
        <v>63</v>
      </c>
      <c r="AI886" t="s">
        <v>63</v>
      </c>
      <c r="AJ886" t="s">
        <v>63</v>
      </c>
      <c r="AK886" t="s">
        <v>63</v>
      </c>
      <c r="AL886" t="s">
        <v>63</v>
      </c>
      <c r="AM886" t="s">
        <v>7908</v>
      </c>
      <c r="AN886" t="s">
        <v>63</v>
      </c>
      <c r="AO886" t="s">
        <v>63</v>
      </c>
      <c r="AP886" t="s">
        <v>63</v>
      </c>
      <c r="AQ886" t="s">
        <v>63</v>
      </c>
      <c r="AR886" t="s">
        <v>63</v>
      </c>
      <c r="AS886" t="s">
        <v>63</v>
      </c>
      <c r="AT886" t="s">
        <v>63</v>
      </c>
      <c r="AU886" t="s">
        <v>63</v>
      </c>
      <c r="AV886" t="s">
        <v>63</v>
      </c>
      <c r="AW886" t="s">
        <v>63</v>
      </c>
      <c r="AX886" t="s">
        <v>63</v>
      </c>
      <c r="AY886" t="s">
        <v>63</v>
      </c>
      <c r="AZ886" t="s">
        <v>63</v>
      </c>
      <c r="BA886" t="s">
        <v>63</v>
      </c>
      <c r="BB886" t="s">
        <v>63</v>
      </c>
      <c r="BC886" t="s">
        <v>63</v>
      </c>
      <c r="BD886" t="s">
        <v>63</v>
      </c>
      <c r="BE886" t="s">
        <v>63</v>
      </c>
      <c r="BF886" t="s">
        <v>63</v>
      </c>
    </row>
    <row r="887" spans="1:58">
      <c r="A887" t="s">
        <v>58</v>
      </c>
      <c r="B887" t="s">
        <v>7909</v>
      </c>
      <c r="C887" t="s">
        <v>7910</v>
      </c>
      <c r="D887" t="s">
        <v>1184</v>
      </c>
      <c r="E887" t="s">
        <v>1185</v>
      </c>
      <c r="F887">
        <v>1981</v>
      </c>
      <c r="G887" t="s">
        <v>274</v>
      </c>
      <c r="H887">
        <v>56</v>
      </c>
      <c r="I887">
        <v>3</v>
      </c>
      <c r="J887">
        <v>202</v>
      </c>
      <c r="K887">
        <v>204</v>
      </c>
      <c r="L887" t="s">
        <v>7911</v>
      </c>
      <c r="M887" t="s">
        <v>63</v>
      </c>
      <c r="N887" t="s">
        <v>7912</v>
      </c>
      <c r="O887" t="s">
        <v>63</v>
      </c>
      <c r="Q887" t="s">
        <v>63</v>
      </c>
      <c r="R887" t="s">
        <v>63</v>
      </c>
      <c r="S887" t="s">
        <v>63</v>
      </c>
      <c r="T887" t="s">
        <v>63</v>
      </c>
      <c r="X887" t="s">
        <v>63</v>
      </c>
      <c r="Y887" t="s">
        <v>1188</v>
      </c>
      <c r="Z887" t="s">
        <v>63</v>
      </c>
      <c r="AA887" t="s">
        <v>63</v>
      </c>
      <c r="AB887">
        <v>7193739</v>
      </c>
      <c r="AC887" t="s">
        <v>67</v>
      </c>
      <c r="AD887" t="s">
        <v>63</v>
      </c>
      <c r="AE887" t="s">
        <v>63</v>
      </c>
      <c r="AF887" t="s">
        <v>63</v>
      </c>
      <c r="AG887" t="s">
        <v>7913</v>
      </c>
      <c r="AH887" t="s">
        <v>63</v>
      </c>
      <c r="AI887" t="s">
        <v>63</v>
      </c>
      <c r="AJ887" t="s">
        <v>63</v>
      </c>
      <c r="AK887" t="s">
        <v>63</v>
      </c>
      <c r="AL887" t="s">
        <v>63</v>
      </c>
      <c r="AM887" t="s">
        <v>7914</v>
      </c>
      <c r="AN887" t="s">
        <v>63</v>
      </c>
      <c r="AO887" t="s">
        <v>63</v>
      </c>
      <c r="AP887" t="s">
        <v>63</v>
      </c>
      <c r="AQ887" t="s">
        <v>63</v>
      </c>
      <c r="AR887" t="s">
        <v>63</v>
      </c>
      <c r="AS887" t="s">
        <v>63</v>
      </c>
      <c r="AT887" t="s">
        <v>63</v>
      </c>
      <c r="AU887" t="s">
        <v>63</v>
      </c>
      <c r="AV887" t="s">
        <v>63</v>
      </c>
      <c r="AW887" t="s">
        <v>63</v>
      </c>
      <c r="AX887" t="s">
        <v>63</v>
      </c>
      <c r="AY887" t="s">
        <v>63</v>
      </c>
      <c r="AZ887" t="s">
        <v>63</v>
      </c>
      <c r="BA887" t="s">
        <v>63</v>
      </c>
      <c r="BB887" t="s">
        <v>63</v>
      </c>
      <c r="BC887" t="s">
        <v>63</v>
      </c>
      <c r="BD887" t="s">
        <v>63</v>
      </c>
      <c r="BE887" t="s">
        <v>63</v>
      </c>
      <c r="BF887" t="s">
        <v>63</v>
      </c>
    </row>
    <row r="888" spans="1:58">
      <c r="A888" t="s">
        <v>58</v>
      </c>
      <c r="B888" t="s">
        <v>7915</v>
      </c>
      <c r="C888" t="s">
        <v>7916</v>
      </c>
      <c r="D888" t="s">
        <v>1314</v>
      </c>
      <c r="E888" t="s">
        <v>63</v>
      </c>
      <c r="F888">
        <v>2016</v>
      </c>
      <c r="G888" t="s">
        <v>274</v>
      </c>
      <c r="H888">
        <v>12</v>
      </c>
      <c r="I888">
        <v>1</v>
      </c>
      <c r="J888">
        <v>79</v>
      </c>
      <c r="K888">
        <v>81</v>
      </c>
      <c r="L888" t="s">
        <v>7917</v>
      </c>
      <c r="M888" t="s">
        <v>7918</v>
      </c>
      <c r="N888" t="s">
        <v>7919</v>
      </c>
      <c r="O888" t="s">
        <v>63</v>
      </c>
      <c r="Q888" t="s">
        <v>63</v>
      </c>
      <c r="R888" t="s">
        <v>63</v>
      </c>
      <c r="S888" t="s">
        <v>63</v>
      </c>
      <c r="T888" t="s">
        <v>63</v>
      </c>
      <c r="X888" t="s">
        <v>63</v>
      </c>
      <c r="Y888" t="s">
        <v>1317</v>
      </c>
      <c r="Z888" t="s">
        <v>63</v>
      </c>
      <c r="AA888" t="s">
        <v>7920</v>
      </c>
      <c r="AB888">
        <v>26576956</v>
      </c>
      <c r="AC888" t="s">
        <v>67</v>
      </c>
      <c r="AD888" t="s">
        <v>63</v>
      </c>
      <c r="AE888" t="s">
        <v>63</v>
      </c>
      <c r="AF888" t="s">
        <v>63</v>
      </c>
      <c r="AG888" t="s">
        <v>7921</v>
      </c>
      <c r="AH888" t="s">
        <v>63</v>
      </c>
      <c r="AI888" t="s">
        <v>7922</v>
      </c>
      <c r="AJ888" t="s">
        <v>63</v>
      </c>
      <c r="AK888" t="s">
        <v>63</v>
      </c>
      <c r="AL888" t="s">
        <v>63</v>
      </c>
      <c r="AM888" t="s">
        <v>7923</v>
      </c>
      <c r="AN888" t="s">
        <v>63</v>
      </c>
      <c r="AO888" t="s">
        <v>63</v>
      </c>
      <c r="AP888" t="s">
        <v>63</v>
      </c>
      <c r="AQ888" t="s">
        <v>63</v>
      </c>
      <c r="AR888" t="s">
        <v>63</v>
      </c>
      <c r="AS888" t="s">
        <v>63</v>
      </c>
      <c r="AT888" t="s">
        <v>63</v>
      </c>
      <c r="AU888" t="s">
        <v>63</v>
      </c>
      <c r="AV888" t="s">
        <v>63</v>
      </c>
      <c r="AW888" t="s">
        <v>63</v>
      </c>
      <c r="AX888" t="s">
        <v>63</v>
      </c>
      <c r="AY888" t="s">
        <v>63</v>
      </c>
      <c r="AZ888" t="s">
        <v>63</v>
      </c>
      <c r="BA888" t="s">
        <v>63</v>
      </c>
      <c r="BB888" t="s">
        <v>63</v>
      </c>
      <c r="BC888" t="s">
        <v>63</v>
      </c>
      <c r="BD888" t="s">
        <v>63</v>
      </c>
      <c r="BE888" t="s">
        <v>63</v>
      </c>
      <c r="BF888" t="s">
        <v>63</v>
      </c>
    </row>
    <row r="889" spans="1:58">
      <c r="A889" t="s">
        <v>58</v>
      </c>
      <c r="B889" t="s">
        <v>7924</v>
      </c>
      <c r="C889" t="s">
        <v>7925</v>
      </c>
      <c r="D889" t="s">
        <v>1728</v>
      </c>
      <c r="E889" t="s">
        <v>1729</v>
      </c>
      <c r="F889">
        <v>1998</v>
      </c>
      <c r="G889" t="s">
        <v>338</v>
      </c>
      <c r="H889">
        <v>30</v>
      </c>
      <c r="I889">
        <v>2</v>
      </c>
      <c r="J889">
        <v>205</v>
      </c>
      <c r="K889">
        <v>208</v>
      </c>
      <c r="L889" t="s">
        <v>7926</v>
      </c>
      <c r="M889" t="s">
        <v>7927</v>
      </c>
      <c r="N889" t="s">
        <v>7928</v>
      </c>
      <c r="O889" t="s">
        <v>63</v>
      </c>
      <c r="Q889" t="s">
        <v>63</v>
      </c>
      <c r="R889" t="s">
        <v>63</v>
      </c>
      <c r="S889" t="s">
        <v>63</v>
      </c>
      <c r="T889" t="s">
        <v>63</v>
      </c>
      <c r="X889" t="s">
        <v>63</v>
      </c>
      <c r="Y889" t="s">
        <v>1733</v>
      </c>
      <c r="Z889" t="s">
        <v>63</v>
      </c>
      <c r="AA889" t="s">
        <v>63</v>
      </c>
      <c r="AB889">
        <v>9692383</v>
      </c>
      <c r="AC889" t="s">
        <v>67</v>
      </c>
      <c r="AD889" t="s">
        <v>63</v>
      </c>
      <c r="AE889" t="s">
        <v>63</v>
      </c>
      <c r="AF889" t="s">
        <v>63</v>
      </c>
      <c r="AG889" t="s">
        <v>7929</v>
      </c>
      <c r="AH889" t="s">
        <v>63</v>
      </c>
      <c r="AI889" t="s">
        <v>63</v>
      </c>
      <c r="AJ889" t="s">
        <v>63</v>
      </c>
      <c r="AK889" t="s">
        <v>63</v>
      </c>
      <c r="AL889" t="s">
        <v>63</v>
      </c>
      <c r="AM889" t="s">
        <v>7930</v>
      </c>
      <c r="AN889" t="s">
        <v>63</v>
      </c>
      <c r="AO889" t="s">
        <v>63</v>
      </c>
      <c r="AP889" t="s">
        <v>63</v>
      </c>
      <c r="AQ889" t="s">
        <v>63</v>
      </c>
      <c r="AR889" t="s">
        <v>63</v>
      </c>
      <c r="AS889" t="s">
        <v>63</v>
      </c>
      <c r="AT889" t="s">
        <v>63</v>
      </c>
      <c r="AU889" t="s">
        <v>63</v>
      </c>
      <c r="AV889" t="s">
        <v>63</v>
      </c>
      <c r="AW889" t="s">
        <v>63</v>
      </c>
      <c r="AX889" t="s">
        <v>63</v>
      </c>
      <c r="AY889" t="s">
        <v>63</v>
      </c>
      <c r="AZ889" t="s">
        <v>63</v>
      </c>
      <c r="BA889" t="s">
        <v>63</v>
      </c>
      <c r="BB889" t="s">
        <v>63</v>
      </c>
      <c r="BC889" t="s">
        <v>63</v>
      </c>
      <c r="BD889" t="s">
        <v>63</v>
      </c>
      <c r="BE889" t="s">
        <v>63</v>
      </c>
      <c r="BF889" t="s">
        <v>63</v>
      </c>
    </row>
    <row r="890" spans="1:58">
      <c r="A890" t="s">
        <v>58</v>
      </c>
      <c r="B890" t="s">
        <v>7931</v>
      </c>
      <c r="C890" t="s">
        <v>7932</v>
      </c>
      <c r="D890" t="s">
        <v>428</v>
      </c>
      <c r="E890" t="s">
        <v>63</v>
      </c>
      <c r="F890">
        <v>2006</v>
      </c>
      <c r="G890" t="s">
        <v>157</v>
      </c>
      <c r="H890">
        <v>41</v>
      </c>
      <c r="I890">
        <v>12</v>
      </c>
      <c r="J890">
        <v>989</v>
      </c>
      <c r="K890">
        <v>996</v>
      </c>
      <c r="L890" t="s">
        <v>7933</v>
      </c>
      <c r="M890" t="s">
        <v>7934</v>
      </c>
      <c r="N890" t="s">
        <v>7935</v>
      </c>
      <c r="O890" t="s">
        <v>63</v>
      </c>
      <c r="Q890" t="s">
        <v>63</v>
      </c>
      <c r="R890" t="s">
        <v>63</v>
      </c>
      <c r="S890" t="s">
        <v>63</v>
      </c>
      <c r="T890" t="s">
        <v>63</v>
      </c>
      <c r="X890" t="s">
        <v>63</v>
      </c>
      <c r="Y890" t="s">
        <v>7936</v>
      </c>
      <c r="Z890" t="s">
        <v>63</v>
      </c>
      <c r="AA890" t="s">
        <v>7937</v>
      </c>
      <c r="AB890">
        <v>16969604</v>
      </c>
      <c r="AC890" t="s">
        <v>67</v>
      </c>
      <c r="AD890" t="s">
        <v>63</v>
      </c>
      <c r="AE890" t="s">
        <v>63</v>
      </c>
      <c r="AF890" t="s">
        <v>63</v>
      </c>
      <c r="AG890" t="s">
        <v>7938</v>
      </c>
      <c r="AH890" t="s">
        <v>63</v>
      </c>
      <c r="AI890" t="s">
        <v>63</v>
      </c>
      <c r="AJ890" t="s">
        <v>63</v>
      </c>
      <c r="AK890" t="s">
        <v>63</v>
      </c>
      <c r="AL890" t="s">
        <v>63</v>
      </c>
      <c r="AM890" t="s">
        <v>7939</v>
      </c>
      <c r="AN890" t="s">
        <v>63</v>
      </c>
      <c r="AO890" t="s">
        <v>63</v>
      </c>
      <c r="AP890" t="s">
        <v>63</v>
      </c>
      <c r="AQ890" t="s">
        <v>63</v>
      </c>
      <c r="AR890" t="s">
        <v>63</v>
      </c>
      <c r="AS890" t="s">
        <v>63</v>
      </c>
      <c r="AT890" t="s">
        <v>63</v>
      </c>
      <c r="AU890" t="s">
        <v>63</v>
      </c>
      <c r="AV890" t="s">
        <v>63</v>
      </c>
      <c r="AW890" t="s">
        <v>63</v>
      </c>
      <c r="AX890" t="s">
        <v>63</v>
      </c>
      <c r="AY890" t="s">
        <v>63</v>
      </c>
      <c r="AZ890" t="s">
        <v>63</v>
      </c>
      <c r="BA890" t="s">
        <v>63</v>
      </c>
      <c r="BB890" t="s">
        <v>63</v>
      </c>
      <c r="BC890" t="s">
        <v>63</v>
      </c>
      <c r="BD890" t="s">
        <v>63</v>
      </c>
      <c r="BE890" t="s">
        <v>63</v>
      </c>
      <c r="BF890" t="s">
        <v>63</v>
      </c>
    </row>
    <row r="891" spans="1:58">
      <c r="A891" t="s">
        <v>58</v>
      </c>
      <c r="B891" t="s">
        <v>7940</v>
      </c>
      <c r="C891" t="s">
        <v>7941</v>
      </c>
      <c r="D891" t="s">
        <v>7942</v>
      </c>
      <c r="E891" t="s">
        <v>7943</v>
      </c>
      <c r="F891">
        <v>2002</v>
      </c>
      <c r="G891" t="s">
        <v>219</v>
      </c>
      <c r="H891">
        <v>29</v>
      </c>
      <c r="I891">
        <v>4</v>
      </c>
      <c r="J891">
        <v>433</v>
      </c>
      <c r="K891">
        <v>444</v>
      </c>
      <c r="L891" t="s">
        <v>7944</v>
      </c>
      <c r="M891" t="s">
        <v>7945</v>
      </c>
      <c r="N891" t="s">
        <v>7946</v>
      </c>
      <c r="O891" t="s">
        <v>63</v>
      </c>
      <c r="Q891" t="s">
        <v>63</v>
      </c>
      <c r="R891" t="s">
        <v>63</v>
      </c>
      <c r="S891" t="s">
        <v>63</v>
      </c>
      <c r="T891" t="s">
        <v>63</v>
      </c>
      <c r="X891" t="s">
        <v>63</v>
      </c>
      <c r="Y891" t="s">
        <v>7947</v>
      </c>
      <c r="Z891" t="s">
        <v>63</v>
      </c>
      <c r="AA891" t="s">
        <v>7948</v>
      </c>
      <c r="AB891">
        <v>12404937</v>
      </c>
      <c r="AC891" t="s">
        <v>67</v>
      </c>
      <c r="AD891" t="s">
        <v>63</v>
      </c>
      <c r="AE891" t="s">
        <v>63</v>
      </c>
      <c r="AF891" t="s">
        <v>63</v>
      </c>
      <c r="AG891" t="s">
        <v>7949</v>
      </c>
      <c r="AH891" t="s">
        <v>63</v>
      </c>
      <c r="AI891" t="s">
        <v>63</v>
      </c>
      <c r="AJ891" t="s">
        <v>63</v>
      </c>
      <c r="AK891" t="s">
        <v>63</v>
      </c>
      <c r="AL891" t="s">
        <v>63</v>
      </c>
      <c r="AM891" t="s">
        <v>7950</v>
      </c>
      <c r="AN891" t="s">
        <v>63</v>
      </c>
      <c r="AO891" t="s">
        <v>63</v>
      </c>
      <c r="AP891" t="s">
        <v>63</v>
      </c>
      <c r="AQ891" t="s">
        <v>63</v>
      </c>
      <c r="AR891" t="s">
        <v>63</v>
      </c>
      <c r="AS891" t="s">
        <v>63</v>
      </c>
      <c r="AT891" t="s">
        <v>63</v>
      </c>
      <c r="AU891" t="s">
        <v>63</v>
      </c>
      <c r="AV891" t="s">
        <v>63</v>
      </c>
      <c r="AW891" t="s">
        <v>63</v>
      </c>
      <c r="AX891" t="s">
        <v>63</v>
      </c>
      <c r="AY891" t="s">
        <v>63</v>
      </c>
      <c r="AZ891" t="s">
        <v>63</v>
      </c>
      <c r="BA891" t="s">
        <v>63</v>
      </c>
      <c r="BB891" t="s">
        <v>63</v>
      </c>
      <c r="BC891" t="s">
        <v>63</v>
      </c>
      <c r="BD891" t="s">
        <v>63</v>
      </c>
      <c r="BE891" t="s">
        <v>63</v>
      </c>
      <c r="BF891" t="s">
        <v>63</v>
      </c>
    </row>
    <row r="892" spans="1:58">
      <c r="A892" t="s">
        <v>58</v>
      </c>
      <c r="B892" t="s">
        <v>7951</v>
      </c>
      <c r="C892" t="s">
        <v>7952</v>
      </c>
      <c r="D892" t="s">
        <v>970</v>
      </c>
      <c r="E892" t="s">
        <v>63</v>
      </c>
      <c r="F892">
        <v>2017</v>
      </c>
      <c r="G892" t="s">
        <v>63</v>
      </c>
      <c r="H892">
        <v>12</v>
      </c>
      <c r="I892">
        <v>4</v>
      </c>
      <c r="J892" t="s">
        <v>7953</v>
      </c>
      <c r="K892" t="s">
        <v>63</v>
      </c>
      <c r="L892" t="s">
        <v>7954</v>
      </c>
      <c r="M892" t="s">
        <v>7955</v>
      </c>
      <c r="N892" t="s">
        <v>7956</v>
      </c>
      <c r="O892" t="s">
        <v>63</v>
      </c>
      <c r="Q892" t="s">
        <v>63</v>
      </c>
      <c r="R892" t="s">
        <v>63</v>
      </c>
      <c r="S892" t="s">
        <v>63</v>
      </c>
      <c r="T892" t="s">
        <v>63</v>
      </c>
      <c r="X892" t="s">
        <v>63</v>
      </c>
      <c r="Y892" t="s">
        <v>975</v>
      </c>
      <c r="Z892" t="s">
        <v>63</v>
      </c>
      <c r="AA892" t="s">
        <v>7957</v>
      </c>
      <c r="AB892">
        <v>28437428</v>
      </c>
      <c r="AC892" t="s">
        <v>67</v>
      </c>
      <c r="AD892" t="s">
        <v>63</v>
      </c>
      <c r="AE892" t="s">
        <v>63</v>
      </c>
      <c r="AF892" t="s">
        <v>63</v>
      </c>
      <c r="AG892" t="s">
        <v>7958</v>
      </c>
      <c r="AH892" t="s">
        <v>63</v>
      </c>
      <c r="AI892" t="s">
        <v>7959</v>
      </c>
      <c r="AJ892" t="s">
        <v>63</v>
      </c>
      <c r="AK892" t="s">
        <v>63</v>
      </c>
      <c r="AL892" t="s">
        <v>63</v>
      </c>
      <c r="AM892" t="s">
        <v>7960</v>
      </c>
      <c r="AN892" t="s">
        <v>63</v>
      </c>
      <c r="AO892" t="s">
        <v>63</v>
      </c>
      <c r="AP892" t="s">
        <v>63</v>
      </c>
      <c r="AQ892" t="s">
        <v>63</v>
      </c>
      <c r="AR892" t="s">
        <v>63</v>
      </c>
      <c r="AS892" t="s">
        <v>63</v>
      </c>
      <c r="AT892" t="s">
        <v>63</v>
      </c>
      <c r="AU892" t="s">
        <v>63</v>
      </c>
      <c r="AV892" t="s">
        <v>63</v>
      </c>
      <c r="AW892" t="s">
        <v>63</v>
      </c>
      <c r="AX892" t="s">
        <v>63</v>
      </c>
      <c r="AY892" t="s">
        <v>63</v>
      </c>
      <c r="AZ892" t="s">
        <v>63</v>
      </c>
      <c r="BA892" t="s">
        <v>63</v>
      </c>
      <c r="BB892" t="s">
        <v>63</v>
      </c>
      <c r="BC892" t="s">
        <v>63</v>
      </c>
      <c r="BD892" t="s">
        <v>63</v>
      </c>
      <c r="BE892" t="s">
        <v>63</v>
      </c>
      <c r="BF892" t="s">
        <v>63</v>
      </c>
    </row>
    <row r="893" spans="1:58">
      <c r="A893" t="s">
        <v>58</v>
      </c>
      <c r="B893" t="s">
        <v>7961</v>
      </c>
      <c r="C893" t="s">
        <v>7962</v>
      </c>
      <c r="D893" t="s">
        <v>1149</v>
      </c>
      <c r="E893" t="s">
        <v>1150</v>
      </c>
      <c r="F893">
        <v>2013</v>
      </c>
      <c r="G893" t="s">
        <v>1114</v>
      </c>
      <c r="H893">
        <v>74</v>
      </c>
      <c r="I893">
        <v>3</v>
      </c>
      <c r="J893">
        <v>237</v>
      </c>
      <c r="K893">
        <v>241</v>
      </c>
      <c r="L893" t="s">
        <v>7963</v>
      </c>
      <c r="M893" t="s">
        <v>7964</v>
      </c>
      <c r="N893" t="s">
        <v>7965</v>
      </c>
      <c r="O893" t="s">
        <v>63</v>
      </c>
      <c r="Q893" t="s">
        <v>63</v>
      </c>
      <c r="R893" t="s">
        <v>63</v>
      </c>
      <c r="S893" t="s">
        <v>63</v>
      </c>
      <c r="T893" t="s">
        <v>63</v>
      </c>
      <c r="X893" t="s">
        <v>63</v>
      </c>
      <c r="Y893" t="s">
        <v>1153</v>
      </c>
      <c r="Z893" t="s">
        <v>63</v>
      </c>
      <c r="AA893" t="s">
        <v>7966</v>
      </c>
      <c r="AB893">
        <v>23940897</v>
      </c>
      <c r="AC893" t="s">
        <v>67</v>
      </c>
      <c r="AD893" t="s">
        <v>63</v>
      </c>
      <c r="AE893" t="s">
        <v>63</v>
      </c>
      <c r="AF893" t="s">
        <v>63</v>
      </c>
      <c r="AG893" t="s">
        <v>7967</v>
      </c>
      <c r="AH893" t="s">
        <v>63</v>
      </c>
      <c r="AI893" t="s">
        <v>63</v>
      </c>
      <c r="AJ893" t="s">
        <v>63</v>
      </c>
      <c r="AK893" t="s">
        <v>63</v>
      </c>
      <c r="AL893" t="s">
        <v>63</v>
      </c>
      <c r="AM893" t="s">
        <v>7968</v>
      </c>
      <c r="AN893" t="s">
        <v>63</v>
      </c>
      <c r="AO893" t="s">
        <v>63</v>
      </c>
      <c r="AP893" t="s">
        <v>63</v>
      </c>
      <c r="AQ893" t="s">
        <v>63</v>
      </c>
      <c r="AR893" t="s">
        <v>63</v>
      </c>
      <c r="AS893" t="s">
        <v>63</v>
      </c>
      <c r="AT893" t="s">
        <v>63</v>
      </c>
      <c r="AU893" t="s">
        <v>63</v>
      </c>
      <c r="AV893" t="s">
        <v>63</v>
      </c>
      <c r="AW893" t="s">
        <v>63</v>
      </c>
      <c r="AX893" t="s">
        <v>63</v>
      </c>
      <c r="AY893" t="s">
        <v>63</v>
      </c>
      <c r="AZ893" t="s">
        <v>63</v>
      </c>
      <c r="BA893" t="s">
        <v>63</v>
      </c>
      <c r="BB893" t="s">
        <v>63</v>
      </c>
      <c r="BC893" t="s">
        <v>63</v>
      </c>
      <c r="BD893" t="s">
        <v>63</v>
      </c>
      <c r="BE893" t="s">
        <v>63</v>
      </c>
      <c r="BF893" t="s">
        <v>63</v>
      </c>
    </row>
    <row r="894" spans="1:58">
      <c r="A894" t="s">
        <v>58</v>
      </c>
      <c r="B894" t="s">
        <v>7969</v>
      </c>
      <c r="C894" t="s">
        <v>7970</v>
      </c>
      <c r="D894" t="s">
        <v>90</v>
      </c>
      <c r="E894" t="s">
        <v>63</v>
      </c>
      <c r="F894">
        <v>2010</v>
      </c>
      <c r="G894" t="s">
        <v>138</v>
      </c>
      <c r="H894">
        <v>29</v>
      </c>
      <c r="I894">
        <v>4</v>
      </c>
      <c r="J894">
        <v>502</v>
      </c>
      <c r="K894">
        <v>503</v>
      </c>
      <c r="L894" t="s">
        <v>7971</v>
      </c>
      <c r="M894" t="s">
        <v>63</v>
      </c>
      <c r="N894" t="s">
        <v>7972</v>
      </c>
      <c r="O894" t="s">
        <v>63</v>
      </c>
      <c r="Q894" t="s">
        <v>63</v>
      </c>
      <c r="R894" t="s">
        <v>63</v>
      </c>
      <c r="S894" t="s">
        <v>63</v>
      </c>
      <c r="T894" t="s">
        <v>63</v>
      </c>
      <c r="X894" t="s">
        <v>63</v>
      </c>
      <c r="Y894" t="s">
        <v>7611</v>
      </c>
      <c r="Z894" t="s">
        <v>63</v>
      </c>
      <c r="AA894" t="s">
        <v>7973</v>
      </c>
      <c r="AB894">
        <v>20924888</v>
      </c>
      <c r="AC894" t="s">
        <v>67</v>
      </c>
      <c r="AD894" t="s">
        <v>63</v>
      </c>
      <c r="AE894" t="s">
        <v>63</v>
      </c>
      <c r="AF894" t="s">
        <v>63</v>
      </c>
      <c r="AG894" t="s">
        <v>7974</v>
      </c>
      <c r="AH894" t="s">
        <v>63</v>
      </c>
      <c r="AI894" t="s">
        <v>7975</v>
      </c>
      <c r="AJ894" t="s">
        <v>63</v>
      </c>
      <c r="AK894" t="s">
        <v>63</v>
      </c>
      <c r="AL894" t="s">
        <v>63</v>
      </c>
      <c r="AM894" t="s">
        <v>7976</v>
      </c>
      <c r="AN894" t="s">
        <v>63</v>
      </c>
      <c r="AO894" t="s">
        <v>63</v>
      </c>
      <c r="AP894" t="s">
        <v>63</v>
      </c>
      <c r="AQ894" t="s">
        <v>63</v>
      </c>
      <c r="AR894" t="s">
        <v>63</v>
      </c>
      <c r="AS894" t="s">
        <v>63</v>
      </c>
      <c r="AT894" t="s">
        <v>63</v>
      </c>
      <c r="AU894" t="s">
        <v>63</v>
      </c>
      <c r="AV894" t="s">
        <v>63</v>
      </c>
      <c r="AW894" t="s">
        <v>63</v>
      </c>
      <c r="AX894" t="s">
        <v>63</v>
      </c>
      <c r="AY894" t="s">
        <v>63</v>
      </c>
      <c r="AZ894" t="s">
        <v>63</v>
      </c>
      <c r="BA894" t="s">
        <v>63</v>
      </c>
      <c r="BB894" t="s">
        <v>63</v>
      </c>
      <c r="BC894" t="s">
        <v>63</v>
      </c>
      <c r="BD894" t="s">
        <v>63</v>
      </c>
      <c r="BE894" t="s">
        <v>63</v>
      </c>
      <c r="BF894" t="s">
        <v>63</v>
      </c>
    </row>
    <row r="895" spans="1:58">
      <c r="A895" t="s">
        <v>58</v>
      </c>
      <c r="B895" t="s">
        <v>7977</v>
      </c>
      <c r="C895" t="s">
        <v>7978</v>
      </c>
      <c r="D895" t="s">
        <v>360</v>
      </c>
      <c r="E895" t="s">
        <v>63</v>
      </c>
      <c r="F895">
        <v>2007</v>
      </c>
      <c r="G895" t="s">
        <v>63</v>
      </c>
      <c r="H895">
        <v>33</v>
      </c>
      <c r="I895">
        <v>4</v>
      </c>
      <c r="J895">
        <v>605</v>
      </c>
      <c r="K895">
        <v>610</v>
      </c>
      <c r="L895" t="s">
        <v>7979</v>
      </c>
      <c r="M895" t="s">
        <v>7980</v>
      </c>
      <c r="N895" t="s">
        <v>7981</v>
      </c>
      <c r="O895" t="s">
        <v>63</v>
      </c>
      <c r="Q895" t="s">
        <v>63</v>
      </c>
      <c r="R895" t="s">
        <v>63</v>
      </c>
      <c r="S895" t="s">
        <v>63</v>
      </c>
      <c r="T895" t="s">
        <v>63</v>
      </c>
      <c r="X895" t="s">
        <v>63</v>
      </c>
      <c r="Y895" t="s">
        <v>1683</v>
      </c>
      <c r="Z895" t="s">
        <v>63</v>
      </c>
      <c r="AA895" t="s">
        <v>7982</v>
      </c>
      <c r="AB895">
        <v>17668346</v>
      </c>
      <c r="AC895" t="s">
        <v>67</v>
      </c>
      <c r="AD895" t="s">
        <v>63</v>
      </c>
      <c r="AE895" t="s">
        <v>63</v>
      </c>
      <c r="AF895" t="s">
        <v>63</v>
      </c>
      <c r="AG895" t="s">
        <v>7983</v>
      </c>
      <c r="AH895" t="s">
        <v>63</v>
      </c>
      <c r="AI895" t="s">
        <v>63</v>
      </c>
      <c r="AJ895" t="s">
        <v>63</v>
      </c>
      <c r="AK895" t="s">
        <v>63</v>
      </c>
      <c r="AL895" t="s">
        <v>63</v>
      </c>
      <c r="AM895" t="s">
        <v>7984</v>
      </c>
      <c r="AN895" t="s">
        <v>63</v>
      </c>
      <c r="AO895" t="s">
        <v>63</v>
      </c>
      <c r="AP895" t="s">
        <v>63</v>
      </c>
      <c r="AQ895" t="s">
        <v>63</v>
      </c>
      <c r="AR895" t="s">
        <v>63</v>
      </c>
      <c r="AS895" t="s">
        <v>63</v>
      </c>
      <c r="AT895" t="s">
        <v>63</v>
      </c>
      <c r="AU895" t="s">
        <v>63</v>
      </c>
      <c r="AV895" t="s">
        <v>63</v>
      </c>
      <c r="AW895" t="s">
        <v>63</v>
      </c>
      <c r="AX895" t="s">
        <v>63</v>
      </c>
      <c r="AY895" t="s">
        <v>63</v>
      </c>
      <c r="AZ895" t="s">
        <v>63</v>
      </c>
      <c r="BA895" t="s">
        <v>63</v>
      </c>
      <c r="BB895" t="s">
        <v>63</v>
      </c>
      <c r="BC895" t="s">
        <v>63</v>
      </c>
      <c r="BD895" t="s">
        <v>63</v>
      </c>
      <c r="BE895" t="s">
        <v>63</v>
      </c>
      <c r="BF895" t="s">
        <v>63</v>
      </c>
    </row>
    <row r="896" spans="1:58">
      <c r="A896" t="s">
        <v>58</v>
      </c>
      <c r="B896" t="s">
        <v>7985</v>
      </c>
      <c r="C896" t="s">
        <v>7986</v>
      </c>
      <c r="D896" t="s">
        <v>1406</v>
      </c>
      <c r="E896" t="s">
        <v>1407</v>
      </c>
      <c r="F896">
        <v>2010</v>
      </c>
      <c r="G896" t="s">
        <v>274</v>
      </c>
      <c r="H896">
        <v>110</v>
      </c>
      <c r="I896">
        <v>3</v>
      </c>
      <c r="J896">
        <v>127</v>
      </c>
      <c r="K896">
        <v>132</v>
      </c>
      <c r="L896" t="s">
        <v>7987</v>
      </c>
      <c r="M896" t="s">
        <v>7988</v>
      </c>
      <c r="N896" t="s">
        <v>7989</v>
      </c>
      <c r="O896" t="s">
        <v>63</v>
      </c>
      <c r="Q896" t="s">
        <v>63</v>
      </c>
      <c r="R896" t="s">
        <v>63</v>
      </c>
      <c r="S896" t="s">
        <v>63</v>
      </c>
      <c r="T896" t="s">
        <v>63</v>
      </c>
      <c r="X896" t="s">
        <v>63</v>
      </c>
      <c r="Y896" t="s">
        <v>2876</v>
      </c>
      <c r="Z896" t="s">
        <v>63</v>
      </c>
      <c r="AA896" t="s">
        <v>7990</v>
      </c>
      <c r="AB896">
        <v>20386021</v>
      </c>
      <c r="AC896" t="s">
        <v>67</v>
      </c>
      <c r="AD896" t="s">
        <v>63</v>
      </c>
      <c r="AE896" t="s">
        <v>63</v>
      </c>
      <c r="AF896" t="s">
        <v>63</v>
      </c>
      <c r="AG896" t="s">
        <v>7991</v>
      </c>
      <c r="AH896" t="s">
        <v>63</v>
      </c>
      <c r="AI896" t="s">
        <v>63</v>
      </c>
      <c r="AJ896" t="s">
        <v>63</v>
      </c>
      <c r="AK896" t="s">
        <v>63</v>
      </c>
      <c r="AL896" t="s">
        <v>63</v>
      </c>
      <c r="AM896" t="s">
        <v>7992</v>
      </c>
      <c r="AN896" t="s">
        <v>63</v>
      </c>
      <c r="AO896" t="s">
        <v>63</v>
      </c>
      <c r="AP896" t="s">
        <v>63</v>
      </c>
      <c r="AQ896" t="s">
        <v>63</v>
      </c>
      <c r="AR896" t="s">
        <v>63</v>
      </c>
      <c r="AS896" t="s">
        <v>63</v>
      </c>
      <c r="AT896" t="s">
        <v>63</v>
      </c>
      <c r="AU896" t="s">
        <v>63</v>
      </c>
      <c r="AV896" t="s">
        <v>63</v>
      </c>
      <c r="AW896" t="s">
        <v>63</v>
      </c>
      <c r="AX896" t="s">
        <v>63</v>
      </c>
      <c r="AY896" t="s">
        <v>63</v>
      </c>
      <c r="AZ896" t="s">
        <v>63</v>
      </c>
      <c r="BA896" t="s">
        <v>63</v>
      </c>
      <c r="BB896" t="s">
        <v>63</v>
      </c>
      <c r="BC896" t="s">
        <v>63</v>
      </c>
      <c r="BD896" t="s">
        <v>63</v>
      </c>
      <c r="BE896" t="s">
        <v>63</v>
      </c>
      <c r="BF896" t="s">
        <v>63</v>
      </c>
    </row>
    <row r="897" spans="1:58">
      <c r="A897" t="s">
        <v>58</v>
      </c>
      <c r="B897" t="s">
        <v>7993</v>
      </c>
      <c r="C897" t="s">
        <v>7994</v>
      </c>
      <c r="D897" t="s">
        <v>7995</v>
      </c>
      <c r="E897" t="s">
        <v>7996</v>
      </c>
      <c r="F897">
        <v>2017</v>
      </c>
      <c r="G897" t="s">
        <v>614</v>
      </c>
      <c r="H897">
        <v>180</v>
      </c>
      <c r="I897" t="s">
        <v>63</v>
      </c>
      <c r="J897">
        <v>86</v>
      </c>
      <c r="K897">
        <v>90</v>
      </c>
      <c r="L897" t="s">
        <v>7997</v>
      </c>
      <c r="M897" t="s">
        <v>7998</v>
      </c>
      <c r="N897" t="s">
        <v>7999</v>
      </c>
      <c r="O897" t="s">
        <v>63</v>
      </c>
      <c r="Q897" t="s">
        <v>63</v>
      </c>
      <c r="R897" t="s">
        <v>63</v>
      </c>
      <c r="S897" t="s">
        <v>63</v>
      </c>
      <c r="T897" t="s">
        <v>63</v>
      </c>
      <c r="X897" t="s">
        <v>63</v>
      </c>
      <c r="Y897" t="s">
        <v>8000</v>
      </c>
      <c r="Z897" t="s">
        <v>63</v>
      </c>
      <c r="AA897" t="s">
        <v>8001</v>
      </c>
      <c r="AB897">
        <v>28579064</v>
      </c>
      <c r="AC897" t="s">
        <v>67</v>
      </c>
      <c r="AD897" t="s">
        <v>63</v>
      </c>
      <c r="AE897" t="s">
        <v>63</v>
      </c>
      <c r="AF897" t="s">
        <v>63</v>
      </c>
      <c r="AG897" t="s">
        <v>8002</v>
      </c>
      <c r="AH897" t="s">
        <v>63</v>
      </c>
      <c r="AI897" t="s">
        <v>8003</v>
      </c>
      <c r="AJ897" t="s">
        <v>63</v>
      </c>
      <c r="AK897" t="s">
        <v>63</v>
      </c>
      <c r="AL897" t="s">
        <v>63</v>
      </c>
      <c r="AM897" t="s">
        <v>8004</v>
      </c>
      <c r="AN897" t="s">
        <v>63</v>
      </c>
      <c r="AO897" t="s">
        <v>63</v>
      </c>
      <c r="AP897" t="s">
        <v>63</v>
      </c>
      <c r="AQ897" t="s">
        <v>63</v>
      </c>
      <c r="AR897" t="s">
        <v>63</v>
      </c>
      <c r="AS897" t="s">
        <v>63</v>
      </c>
      <c r="AT897" t="s">
        <v>63</v>
      </c>
      <c r="AU897" t="s">
        <v>63</v>
      </c>
      <c r="AV897" t="s">
        <v>63</v>
      </c>
      <c r="AW897" t="s">
        <v>63</v>
      </c>
      <c r="AX897" t="s">
        <v>63</v>
      </c>
      <c r="AY897" t="s">
        <v>63</v>
      </c>
      <c r="AZ897" t="s">
        <v>63</v>
      </c>
      <c r="BA897" t="s">
        <v>63</v>
      </c>
      <c r="BB897" t="s">
        <v>63</v>
      </c>
      <c r="BC897" t="s">
        <v>63</v>
      </c>
      <c r="BD897" t="s">
        <v>63</v>
      </c>
      <c r="BE897" t="s">
        <v>63</v>
      </c>
      <c r="BF897" t="s">
        <v>63</v>
      </c>
    </row>
    <row r="898" spans="1:58">
      <c r="A898" t="s">
        <v>58</v>
      </c>
      <c r="B898" t="s">
        <v>8005</v>
      </c>
      <c r="C898" t="s">
        <v>8006</v>
      </c>
      <c r="D898" t="s">
        <v>8007</v>
      </c>
      <c r="E898" t="s">
        <v>63</v>
      </c>
      <c r="F898">
        <v>2002</v>
      </c>
      <c r="G898" t="s">
        <v>73</v>
      </c>
      <c r="H898">
        <v>96</v>
      </c>
      <c r="I898">
        <v>5</v>
      </c>
      <c r="J898">
        <v>287</v>
      </c>
      <c r="K898">
        <v>294</v>
      </c>
      <c r="L898" t="s">
        <v>8008</v>
      </c>
      <c r="M898" t="s">
        <v>8009</v>
      </c>
      <c r="N898" t="s">
        <v>8010</v>
      </c>
      <c r="O898" t="s">
        <v>63</v>
      </c>
      <c r="Q898" t="s">
        <v>63</v>
      </c>
      <c r="R898" t="s">
        <v>63</v>
      </c>
      <c r="S898" t="s">
        <v>63</v>
      </c>
      <c r="T898" t="s">
        <v>63</v>
      </c>
      <c r="X898" t="s">
        <v>63</v>
      </c>
      <c r="Y898" t="s">
        <v>8011</v>
      </c>
      <c r="Z898" t="s">
        <v>63</v>
      </c>
      <c r="AA898" t="s">
        <v>8012</v>
      </c>
      <c r="AB898">
        <v>12168548</v>
      </c>
      <c r="AC898" t="s">
        <v>102</v>
      </c>
      <c r="AD898" t="s">
        <v>63</v>
      </c>
      <c r="AE898" t="s">
        <v>63</v>
      </c>
      <c r="AF898" t="s">
        <v>63</v>
      </c>
      <c r="AG898" t="s">
        <v>8013</v>
      </c>
      <c r="AH898" t="s">
        <v>63</v>
      </c>
      <c r="AI898" t="s">
        <v>63</v>
      </c>
      <c r="AJ898" t="s">
        <v>63</v>
      </c>
      <c r="AK898" t="s">
        <v>63</v>
      </c>
      <c r="AL898" t="s">
        <v>63</v>
      </c>
      <c r="AM898" t="s">
        <v>8014</v>
      </c>
      <c r="AN898" t="s">
        <v>63</v>
      </c>
      <c r="AO898" t="s">
        <v>63</v>
      </c>
      <c r="AP898" t="s">
        <v>63</v>
      </c>
      <c r="AQ898" t="s">
        <v>63</v>
      </c>
      <c r="AR898" t="s">
        <v>63</v>
      </c>
      <c r="AS898" t="s">
        <v>63</v>
      </c>
      <c r="AT898" t="s">
        <v>63</v>
      </c>
      <c r="AU898" t="s">
        <v>63</v>
      </c>
      <c r="AV898" t="s">
        <v>63</v>
      </c>
      <c r="AW898" t="s">
        <v>63</v>
      </c>
      <c r="AX898" t="s">
        <v>63</v>
      </c>
      <c r="AY898" t="s">
        <v>63</v>
      </c>
      <c r="AZ898" t="s">
        <v>63</v>
      </c>
      <c r="BA898" t="s">
        <v>63</v>
      </c>
      <c r="BB898" t="s">
        <v>63</v>
      </c>
      <c r="BC898" t="s">
        <v>63</v>
      </c>
      <c r="BD898" t="s">
        <v>63</v>
      </c>
      <c r="BE898" t="s">
        <v>63</v>
      </c>
      <c r="BF898" t="s">
        <v>63</v>
      </c>
    </row>
    <row r="899" spans="1:58">
      <c r="A899" t="s">
        <v>58</v>
      </c>
      <c r="B899" t="s">
        <v>8015</v>
      </c>
      <c r="C899" t="s">
        <v>8016</v>
      </c>
      <c r="D899" t="s">
        <v>1314</v>
      </c>
      <c r="E899" t="s">
        <v>63</v>
      </c>
      <c r="F899">
        <v>2012</v>
      </c>
      <c r="G899" t="s">
        <v>157</v>
      </c>
      <c r="H899">
        <v>8</v>
      </c>
      <c r="I899">
        <v>4</v>
      </c>
      <c r="J899">
        <v>333</v>
      </c>
      <c r="K899">
        <v>334</v>
      </c>
      <c r="L899" t="s">
        <v>8017</v>
      </c>
      <c r="M899" t="s">
        <v>63</v>
      </c>
      <c r="N899" t="s">
        <v>8018</v>
      </c>
      <c r="O899" t="s">
        <v>63</v>
      </c>
      <c r="Q899" t="s">
        <v>63</v>
      </c>
      <c r="R899" t="s">
        <v>63</v>
      </c>
      <c r="S899" t="s">
        <v>63</v>
      </c>
      <c r="T899" t="s">
        <v>63</v>
      </c>
      <c r="X899" t="s">
        <v>63</v>
      </c>
      <c r="Y899" t="s">
        <v>1317</v>
      </c>
      <c r="Z899" t="s">
        <v>63</v>
      </c>
      <c r="AA899" t="s">
        <v>63</v>
      </c>
      <c r="AB899">
        <v>22986801</v>
      </c>
      <c r="AC899" t="s">
        <v>67</v>
      </c>
      <c r="AD899" t="s">
        <v>63</v>
      </c>
      <c r="AE899" t="s">
        <v>63</v>
      </c>
      <c r="AF899" t="s">
        <v>63</v>
      </c>
      <c r="AG899" t="s">
        <v>8019</v>
      </c>
      <c r="AH899" t="s">
        <v>63</v>
      </c>
      <c r="AI899" t="s">
        <v>8020</v>
      </c>
      <c r="AJ899" t="s">
        <v>63</v>
      </c>
      <c r="AK899" t="s">
        <v>63</v>
      </c>
      <c r="AL899" t="s">
        <v>63</v>
      </c>
      <c r="AM899" t="s">
        <v>8021</v>
      </c>
      <c r="AN899" t="s">
        <v>63</v>
      </c>
      <c r="AO899" t="s">
        <v>63</v>
      </c>
      <c r="AP899" t="s">
        <v>63</v>
      </c>
      <c r="AQ899" t="s">
        <v>63</v>
      </c>
      <c r="AR899" t="s">
        <v>63</v>
      </c>
      <c r="AS899" t="s">
        <v>63</v>
      </c>
      <c r="AT899" t="s">
        <v>63</v>
      </c>
      <c r="AU899" t="s">
        <v>63</v>
      </c>
      <c r="AV899" t="s">
        <v>63</v>
      </c>
      <c r="AW899" t="s">
        <v>63</v>
      </c>
      <c r="AX899" t="s">
        <v>63</v>
      </c>
      <c r="AY899" t="s">
        <v>63</v>
      </c>
      <c r="AZ899" t="s">
        <v>63</v>
      </c>
      <c r="BA899" t="s">
        <v>63</v>
      </c>
      <c r="BB899" t="s">
        <v>63</v>
      </c>
      <c r="BC899" t="s">
        <v>63</v>
      </c>
      <c r="BD899" t="s">
        <v>63</v>
      </c>
      <c r="BE899" t="s">
        <v>63</v>
      </c>
      <c r="BF899" t="s">
        <v>63</v>
      </c>
    </row>
    <row r="900" spans="1:58">
      <c r="A900" t="s">
        <v>58</v>
      </c>
      <c r="B900" t="s">
        <v>8022</v>
      </c>
      <c r="C900" t="s">
        <v>8023</v>
      </c>
      <c r="D900" t="s">
        <v>763</v>
      </c>
      <c r="E900" t="s">
        <v>63</v>
      </c>
      <c r="F900">
        <v>2015</v>
      </c>
      <c r="G900" t="s">
        <v>274</v>
      </c>
      <c r="H900">
        <v>90</v>
      </c>
      <c r="I900">
        <v>3</v>
      </c>
      <c r="J900">
        <v>345</v>
      </c>
      <c r="K900">
        <v>354</v>
      </c>
      <c r="L900" t="s">
        <v>8024</v>
      </c>
      <c r="M900" t="s">
        <v>8025</v>
      </c>
      <c r="N900" t="s">
        <v>8026</v>
      </c>
      <c r="O900" t="s">
        <v>63</v>
      </c>
      <c r="Q900" t="s">
        <v>63</v>
      </c>
      <c r="R900" t="s">
        <v>63</v>
      </c>
      <c r="S900" t="s">
        <v>63</v>
      </c>
      <c r="T900" t="s">
        <v>63</v>
      </c>
      <c r="X900" t="s">
        <v>63</v>
      </c>
      <c r="Y900" t="s">
        <v>766</v>
      </c>
      <c r="Z900" t="s">
        <v>63</v>
      </c>
      <c r="AA900" t="s">
        <v>8027</v>
      </c>
      <c r="AB900">
        <v>25295964</v>
      </c>
      <c r="AC900" t="s">
        <v>67</v>
      </c>
      <c r="AD900" t="s">
        <v>63</v>
      </c>
      <c r="AE900" t="s">
        <v>63</v>
      </c>
      <c r="AF900" t="s">
        <v>63</v>
      </c>
      <c r="AG900" t="s">
        <v>8028</v>
      </c>
      <c r="AH900" t="s">
        <v>63</v>
      </c>
      <c r="AI900" t="s">
        <v>8029</v>
      </c>
      <c r="AJ900" t="s">
        <v>63</v>
      </c>
      <c r="AK900" t="s">
        <v>63</v>
      </c>
      <c r="AL900" t="s">
        <v>63</v>
      </c>
      <c r="AM900" t="s">
        <v>8030</v>
      </c>
      <c r="AN900" t="s">
        <v>63</v>
      </c>
      <c r="AO900" t="s">
        <v>63</v>
      </c>
      <c r="AP900" t="s">
        <v>63</v>
      </c>
      <c r="AQ900" t="s">
        <v>63</v>
      </c>
      <c r="AR900" t="s">
        <v>63</v>
      </c>
      <c r="AS900" t="s">
        <v>63</v>
      </c>
      <c r="AT900" t="s">
        <v>63</v>
      </c>
      <c r="AU900" t="s">
        <v>63</v>
      </c>
      <c r="AV900" t="s">
        <v>63</v>
      </c>
      <c r="AW900" t="s">
        <v>63</v>
      </c>
      <c r="AX900" t="s">
        <v>63</v>
      </c>
      <c r="AY900" t="s">
        <v>63</v>
      </c>
      <c r="AZ900" t="s">
        <v>63</v>
      </c>
      <c r="BA900" t="s">
        <v>63</v>
      </c>
      <c r="BB900" t="s">
        <v>63</v>
      </c>
      <c r="BC900" t="s">
        <v>63</v>
      </c>
      <c r="BD900" t="s">
        <v>63</v>
      </c>
      <c r="BE900" t="s">
        <v>63</v>
      </c>
      <c r="BF900" t="s">
        <v>63</v>
      </c>
    </row>
    <row r="901" spans="1:58">
      <c r="A901" t="s">
        <v>58</v>
      </c>
      <c r="B901" t="s">
        <v>8031</v>
      </c>
      <c r="C901" t="s">
        <v>8032</v>
      </c>
      <c r="D901" t="s">
        <v>763</v>
      </c>
      <c r="E901" t="s">
        <v>63</v>
      </c>
      <c r="F901">
        <v>2010</v>
      </c>
      <c r="G901" t="s">
        <v>189</v>
      </c>
      <c r="H901">
        <v>85</v>
      </c>
      <c r="I901">
        <v>5</v>
      </c>
      <c r="J901">
        <v>742</v>
      </c>
      <c r="K901" t="s">
        <v>8033</v>
      </c>
      <c r="L901" t="s">
        <v>8034</v>
      </c>
      <c r="M901" t="s">
        <v>63</v>
      </c>
      <c r="N901" t="s">
        <v>8035</v>
      </c>
      <c r="O901" t="s">
        <v>63</v>
      </c>
      <c r="Q901" t="s">
        <v>63</v>
      </c>
      <c r="R901" t="s">
        <v>63</v>
      </c>
      <c r="S901" t="s">
        <v>63</v>
      </c>
      <c r="T901" t="s">
        <v>63</v>
      </c>
      <c r="X901" t="s">
        <v>63</v>
      </c>
      <c r="Y901" t="s">
        <v>766</v>
      </c>
      <c r="Z901" t="s">
        <v>63</v>
      </c>
      <c r="AA901" t="s">
        <v>63</v>
      </c>
      <c r="AB901">
        <v>20520013</v>
      </c>
      <c r="AC901" t="s">
        <v>67</v>
      </c>
      <c r="AD901" t="s">
        <v>63</v>
      </c>
      <c r="AE901" t="s">
        <v>63</v>
      </c>
      <c r="AF901" t="s">
        <v>63</v>
      </c>
      <c r="AG901" t="s">
        <v>8036</v>
      </c>
      <c r="AH901" t="s">
        <v>63</v>
      </c>
      <c r="AI901" t="s">
        <v>8037</v>
      </c>
      <c r="AJ901" t="s">
        <v>63</v>
      </c>
      <c r="AK901" t="s">
        <v>63</v>
      </c>
      <c r="AL901" t="s">
        <v>63</v>
      </c>
      <c r="AM901" t="s">
        <v>8038</v>
      </c>
      <c r="AN901" t="s">
        <v>63</v>
      </c>
      <c r="AO901" t="s">
        <v>63</v>
      </c>
      <c r="AP901" t="s">
        <v>63</v>
      </c>
      <c r="AQ901" t="s">
        <v>63</v>
      </c>
      <c r="AR901" t="s">
        <v>63</v>
      </c>
      <c r="AS901" t="s">
        <v>63</v>
      </c>
      <c r="AT901" t="s">
        <v>63</v>
      </c>
      <c r="AU901" t="s">
        <v>63</v>
      </c>
      <c r="AV901" t="s">
        <v>63</v>
      </c>
      <c r="AW901" t="s">
        <v>63</v>
      </c>
      <c r="AX901" t="s">
        <v>63</v>
      </c>
      <c r="AY901" t="s">
        <v>63</v>
      </c>
      <c r="AZ901" t="s">
        <v>63</v>
      </c>
      <c r="BA901" t="s">
        <v>63</v>
      </c>
      <c r="BB901" t="s">
        <v>63</v>
      </c>
      <c r="BC901" t="s">
        <v>63</v>
      </c>
      <c r="BD901" t="s">
        <v>63</v>
      </c>
      <c r="BE901" t="s">
        <v>63</v>
      </c>
      <c r="BF901" t="s">
        <v>63</v>
      </c>
    </row>
    <row r="902" spans="1:58">
      <c r="A902" t="s">
        <v>58</v>
      </c>
      <c r="B902" t="s">
        <v>8039</v>
      </c>
      <c r="C902" t="s">
        <v>8040</v>
      </c>
      <c r="D902" t="s">
        <v>763</v>
      </c>
      <c r="E902" t="s">
        <v>63</v>
      </c>
      <c r="F902">
        <v>1993</v>
      </c>
      <c r="G902" t="s">
        <v>1670</v>
      </c>
      <c r="H902">
        <v>68</v>
      </c>
      <c r="I902">
        <v>7</v>
      </c>
      <c r="J902">
        <v>580</v>
      </c>
      <c r="K902">
        <v>582</v>
      </c>
      <c r="L902" t="s">
        <v>8041</v>
      </c>
      <c r="M902" t="s">
        <v>8042</v>
      </c>
      <c r="N902" t="s">
        <v>8043</v>
      </c>
      <c r="O902" t="s">
        <v>63</v>
      </c>
      <c r="Q902" t="s">
        <v>63</v>
      </c>
      <c r="R902" t="s">
        <v>63</v>
      </c>
      <c r="S902" t="s">
        <v>63</v>
      </c>
      <c r="T902" t="s">
        <v>63</v>
      </c>
      <c r="X902" t="s">
        <v>63</v>
      </c>
      <c r="Y902" t="s">
        <v>858</v>
      </c>
      <c r="Z902" t="s">
        <v>63</v>
      </c>
      <c r="AA902" t="s">
        <v>8044</v>
      </c>
      <c r="AB902">
        <v>8323655</v>
      </c>
      <c r="AC902" t="s">
        <v>67</v>
      </c>
      <c r="AD902" t="s">
        <v>63</v>
      </c>
      <c r="AE902" t="s">
        <v>63</v>
      </c>
      <c r="AF902" t="s">
        <v>63</v>
      </c>
      <c r="AG902" t="s">
        <v>8045</v>
      </c>
      <c r="AH902" t="s">
        <v>63</v>
      </c>
      <c r="AI902" t="s">
        <v>63</v>
      </c>
      <c r="AJ902" t="s">
        <v>63</v>
      </c>
      <c r="AK902" t="s">
        <v>63</v>
      </c>
      <c r="AL902" t="s">
        <v>63</v>
      </c>
      <c r="AM902" t="s">
        <v>8046</v>
      </c>
      <c r="AN902" t="s">
        <v>63</v>
      </c>
      <c r="AO902" t="s">
        <v>63</v>
      </c>
      <c r="AP902" t="s">
        <v>63</v>
      </c>
      <c r="AQ902" t="s">
        <v>63</v>
      </c>
      <c r="AR902" t="s">
        <v>63</v>
      </c>
      <c r="AS902" t="s">
        <v>63</v>
      </c>
      <c r="AT902" t="s">
        <v>63</v>
      </c>
      <c r="AU902" t="s">
        <v>63</v>
      </c>
      <c r="AV902" t="s">
        <v>63</v>
      </c>
      <c r="AW902" t="s">
        <v>63</v>
      </c>
      <c r="AX902" t="s">
        <v>63</v>
      </c>
      <c r="AY902" t="s">
        <v>63</v>
      </c>
      <c r="AZ902" t="s">
        <v>63</v>
      </c>
      <c r="BA902" t="s">
        <v>63</v>
      </c>
      <c r="BB902" t="s">
        <v>63</v>
      </c>
      <c r="BC902" t="s">
        <v>63</v>
      </c>
      <c r="BD902" t="s">
        <v>63</v>
      </c>
      <c r="BE902" t="s">
        <v>63</v>
      </c>
      <c r="BF902" t="s">
        <v>63</v>
      </c>
    </row>
    <row r="903" spans="1:58">
      <c r="A903" t="s">
        <v>58</v>
      </c>
      <c r="B903" t="s">
        <v>8047</v>
      </c>
      <c r="C903" t="s">
        <v>8048</v>
      </c>
      <c r="D903" t="s">
        <v>8049</v>
      </c>
      <c r="E903" t="s">
        <v>63</v>
      </c>
      <c r="F903">
        <v>2007</v>
      </c>
      <c r="G903" t="s">
        <v>181</v>
      </c>
      <c r="H903">
        <v>84</v>
      </c>
      <c r="I903">
        <v>5</v>
      </c>
      <c r="J903">
        <v>704</v>
      </c>
      <c r="K903">
        <v>721</v>
      </c>
      <c r="L903" t="s">
        <v>8050</v>
      </c>
      <c r="M903" t="s">
        <v>8051</v>
      </c>
      <c r="N903" t="s">
        <v>8052</v>
      </c>
      <c r="O903" t="s">
        <v>63</v>
      </c>
      <c r="Q903" t="s">
        <v>63</v>
      </c>
      <c r="R903" t="s">
        <v>63</v>
      </c>
      <c r="S903" t="s">
        <v>63</v>
      </c>
      <c r="T903" t="s">
        <v>63</v>
      </c>
      <c r="X903" t="s">
        <v>63</v>
      </c>
      <c r="Y903" t="s">
        <v>8053</v>
      </c>
      <c r="Z903" t="s">
        <v>63</v>
      </c>
      <c r="AA903" t="s">
        <v>8054</v>
      </c>
      <c r="AB903">
        <v>17610070</v>
      </c>
      <c r="AC903" t="s">
        <v>67</v>
      </c>
      <c r="AD903" t="s">
        <v>63</v>
      </c>
      <c r="AE903" t="s">
        <v>63</v>
      </c>
      <c r="AF903" t="s">
        <v>63</v>
      </c>
      <c r="AG903" t="s">
        <v>8055</v>
      </c>
      <c r="AH903" t="s">
        <v>63</v>
      </c>
      <c r="AI903" t="s">
        <v>63</v>
      </c>
      <c r="AJ903" t="s">
        <v>63</v>
      </c>
      <c r="AK903" t="s">
        <v>63</v>
      </c>
      <c r="AL903" t="s">
        <v>63</v>
      </c>
      <c r="AM903" t="s">
        <v>8056</v>
      </c>
      <c r="AN903" t="s">
        <v>63</v>
      </c>
      <c r="AO903" t="s">
        <v>63</v>
      </c>
      <c r="AP903" t="s">
        <v>63</v>
      </c>
      <c r="AQ903" t="s">
        <v>63</v>
      </c>
      <c r="AR903" t="s">
        <v>63</v>
      </c>
      <c r="AS903" t="s">
        <v>63</v>
      </c>
      <c r="AT903" t="s">
        <v>63</v>
      </c>
      <c r="AU903" t="s">
        <v>63</v>
      </c>
      <c r="AV903" t="s">
        <v>63</v>
      </c>
      <c r="AW903" t="s">
        <v>63</v>
      </c>
      <c r="AX903" t="s">
        <v>63</v>
      </c>
      <c r="AY903" t="s">
        <v>63</v>
      </c>
      <c r="AZ903" t="s">
        <v>63</v>
      </c>
      <c r="BA903" t="s">
        <v>63</v>
      </c>
      <c r="BB903" t="s">
        <v>63</v>
      </c>
      <c r="BC903" t="s">
        <v>63</v>
      </c>
      <c r="BD903" t="s">
        <v>63</v>
      </c>
      <c r="BE903" t="s">
        <v>63</v>
      </c>
      <c r="BF903" t="s">
        <v>63</v>
      </c>
    </row>
    <row r="904" spans="1:58">
      <c r="A904" t="s">
        <v>58</v>
      </c>
      <c r="B904" t="s">
        <v>8057</v>
      </c>
      <c r="C904" t="s">
        <v>8058</v>
      </c>
      <c r="D904" t="s">
        <v>8059</v>
      </c>
      <c r="E904" t="s">
        <v>8060</v>
      </c>
      <c r="F904">
        <v>1975</v>
      </c>
      <c r="G904" t="s">
        <v>63</v>
      </c>
      <c r="H904">
        <v>1</v>
      </c>
      <c r="I904">
        <v>4</v>
      </c>
      <c r="J904">
        <v>513</v>
      </c>
      <c r="K904">
        <v>527</v>
      </c>
      <c r="L904" t="s">
        <v>8061</v>
      </c>
      <c r="M904" t="s">
        <v>63</v>
      </c>
      <c r="N904" t="s">
        <v>8062</v>
      </c>
      <c r="O904" t="s">
        <v>63</v>
      </c>
      <c r="Q904" t="s">
        <v>63</v>
      </c>
      <c r="R904" t="s">
        <v>63</v>
      </c>
      <c r="S904" t="s">
        <v>63</v>
      </c>
      <c r="T904" t="s">
        <v>63</v>
      </c>
      <c r="X904" t="s">
        <v>63</v>
      </c>
      <c r="Y904" t="s">
        <v>8063</v>
      </c>
      <c r="Z904" t="s">
        <v>63</v>
      </c>
      <c r="AA904" t="s">
        <v>63</v>
      </c>
      <c r="AB904">
        <v>1163354</v>
      </c>
      <c r="AC904" t="s">
        <v>67</v>
      </c>
      <c r="AD904" t="s">
        <v>63</v>
      </c>
      <c r="AE904" t="s">
        <v>63</v>
      </c>
      <c r="AF904" t="s">
        <v>63</v>
      </c>
      <c r="AG904" t="s">
        <v>8064</v>
      </c>
      <c r="AH904" t="s">
        <v>63</v>
      </c>
      <c r="AI904" t="s">
        <v>63</v>
      </c>
      <c r="AJ904" t="s">
        <v>63</v>
      </c>
      <c r="AK904" t="s">
        <v>63</v>
      </c>
      <c r="AL904" t="s">
        <v>63</v>
      </c>
      <c r="AM904" t="s">
        <v>8065</v>
      </c>
      <c r="AN904" t="s">
        <v>63</v>
      </c>
      <c r="AO904" t="s">
        <v>63</v>
      </c>
      <c r="AP904" t="s">
        <v>63</v>
      </c>
      <c r="AQ904" t="s">
        <v>63</v>
      </c>
      <c r="AR904" t="s">
        <v>63</v>
      </c>
      <c r="AS904" t="s">
        <v>63</v>
      </c>
      <c r="AT904" t="s">
        <v>63</v>
      </c>
      <c r="AU904" t="s">
        <v>63</v>
      </c>
      <c r="AV904" t="s">
        <v>63</v>
      </c>
      <c r="AW904" t="s">
        <v>63</v>
      </c>
      <c r="AX904" t="s">
        <v>63</v>
      </c>
      <c r="AY904" t="s">
        <v>63</v>
      </c>
      <c r="AZ904" t="s">
        <v>63</v>
      </c>
      <c r="BA904" t="s">
        <v>63</v>
      </c>
      <c r="BB904" t="s">
        <v>63</v>
      </c>
      <c r="BC904" t="s">
        <v>63</v>
      </c>
      <c r="BD904" t="s">
        <v>63</v>
      </c>
      <c r="BE904" t="s">
        <v>63</v>
      </c>
      <c r="BF904" t="s">
        <v>63</v>
      </c>
    </row>
    <row r="905" spans="1:58">
      <c r="A905" t="s">
        <v>58</v>
      </c>
      <c r="B905" t="s">
        <v>8066</v>
      </c>
      <c r="C905" t="s">
        <v>8067</v>
      </c>
      <c r="D905" t="s">
        <v>1293</v>
      </c>
      <c r="E905" t="s">
        <v>1294</v>
      </c>
      <c r="F905">
        <v>1997</v>
      </c>
      <c r="G905" t="s">
        <v>189</v>
      </c>
      <c r="H905">
        <v>29</v>
      </c>
      <c r="I905">
        <v>5</v>
      </c>
      <c r="J905">
        <v>332</v>
      </c>
      <c r="K905">
        <v>335</v>
      </c>
      <c r="L905" t="s">
        <v>8068</v>
      </c>
      <c r="M905" t="s">
        <v>8069</v>
      </c>
      <c r="N905" t="s">
        <v>8070</v>
      </c>
      <c r="O905" t="s">
        <v>63</v>
      </c>
      <c r="Q905" t="s">
        <v>63</v>
      </c>
      <c r="R905" t="s">
        <v>63</v>
      </c>
      <c r="S905" t="s">
        <v>63</v>
      </c>
      <c r="T905" t="s">
        <v>63</v>
      </c>
      <c r="X905" t="s">
        <v>63</v>
      </c>
      <c r="Y905" t="s">
        <v>1297</v>
      </c>
      <c r="Z905" t="s">
        <v>63</v>
      </c>
      <c r="AA905" t="s">
        <v>8071</v>
      </c>
      <c r="AB905">
        <v>9165285</v>
      </c>
      <c r="AC905" t="s">
        <v>67</v>
      </c>
      <c r="AD905" t="s">
        <v>63</v>
      </c>
      <c r="AE905" t="s">
        <v>63</v>
      </c>
      <c r="AF905" t="s">
        <v>63</v>
      </c>
      <c r="AG905" t="s">
        <v>8072</v>
      </c>
      <c r="AH905" t="s">
        <v>63</v>
      </c>
      <c r="AI905" t="s">
        <v>63</v>
      </c>
      <c r="AJ905" t="s">
        <v>63</v>
      </c>
      <c r="AK905" t="s">
        <v>63</v>
      </c>
      <c r="AL905" t="s">
        <v>63</v>
      </c>
      <c r="AM905" t="s">
        <v>8073</v>
      </c>
      <c r="AN905" t="s">
        <v>63</v>
      </c>
      <c r="AO905" t="s">
        <v>63</v>
      </c>
      <c r="AP905" t="s">
        <v>63</v>
      </c>
      <c r="AQ905" t="s">
        <v>63</v>
      </c>
      <c r="AR905" t="s">
        <v>63</v>
      </c>
      <c r="AS905" t="s">
        <v>63</v>
      </c>
      <c r="AT905" t="s">
        <v>63</v>
      </c>
      <c r="AU905" t="s">
        <v>63</v>
      </c>
      <c r="AV905" t="s">
        <v>63</v>
      </c>
      <c r="AW905" t="s">
        <v>63</v>
      </c>
      <c r="AX905" t="s">
        <v>63</v>
      </c>
      <c r="AY905" t="s">
        <v>63</v>
      </c>
      <c r="AZ905" t="s">
        <v>63</v>
      </c>
      <c r="BA905" t="s">
        <v>63</v>
      </c>
      <c r="BB905" t="s">
        <v>63</v>
      </c>
      <c r="BC905" t="s">
        <v>63</v>
      </c>
      <c r="BD905" t="s">
        <v>63</v>
      </c>
      <c r="BE905" t="s">
        <v>63</v>
      </c>
      <c r="BF905" t="s">
        <v>63</v>
      </c>
    </row>
    <row r="906" spans="1:58">
      <c r="A906" t="s">
        <v>58</v>
      </c>
      <c r="B906" t="s">
        <v>8074</v>
      </c>
      <c r="C906" t="s">
        <v>8075</v>
      </c>
      <c r="D906" t="s">
        <v>408</v>
      </c>
      <c r="E906" t="s">
        <v>409</v>
      </c>
      <c r="F906">
        <v>2004</v>
      </c>
      <c r="G906" t="s">
        <v>73</v>
      </c>
      <c r="H906">
        <v>39</v>
      </c>
      <c r="I906">
        <v>8</v>
      </c>
      <c r="J906">
        <v>1235</v>
      </c>
      <c r="K906">
        <v>1258</v>
      </c>
      <c r="L906" t="s">
        <v>8076</v>
      </c>
      <c r="M906" t="s">
        <v>8077</v>
      </c>
      <c r="N906" t="s">
        <v>8078</v>
      </c>
      <c r="O906" t="s">
        <v>63</v>
      </c>
      <c r="Q906" t="s">
        <v>63</v>
      </c>
      <c r="R906" t="s">
        <v>63</v>
      </c>
      <c r="S906" t="s">
        <v>63</v>
      </c>
      <c r="T906" t="s">
        <v>63</v>
      </c>
      <c r="X906" t="s">
        <v>63</v>
      </c>
      <c r="Y906" t="s">
        <v>3682</v>
      </c>
      <c r="Z906" t="s">
        <v>63</v>
      </c>
      <c r="AA906" t="s">
        <v>8079</v>
      </c>
      <c r="AB906">
        <v>15461020</v>
      </c>
      <c r="AC906" t="s">
        <v>67</v>
      </c>
      <c r="AD906" t="s">
        <v>63</v>
      </c>
      <c r="AE906" t="s">
        <v>63</v>
      </c>
      <c r="AF906" t="s">
        <v>63</v>
      </c>
      <c r="AG906" t="s">
        <v>8080</v>
      </c>
      <c r="AH906" t="s">
        <v>63</v>
      </c>
      <c r="AI906" t="s">
        <v>63</v>
      </c>
      <c r="AJ906" t="s">
        <v>63</v>
      </c>
      <c r="AK906" t="s">
        <v>63</v>
      </c>
      <c r="AL906" t="s">
        <v>63</v>
      </c>
      <c r="AM906" t="s">
        <v>8081</v>
      </c>
      <c r="AN906" t="s">
        <v>63</v>
      </c>
      <c r="AO906" t="s">
        <v>63</v>
      </c>
      <c r="AP906" t="s">
        <v>63</v>
      </c>
      <c r="AQ906" t="s">
        <v>63</v>
      </c>
      <c r="AR906" t="s">
        <v>63</v>
      </c>
      <c r="AS906" t="s">
        <v>63</v>
      </c>
      <c r="AT906" t="s">
        <v>63</v>
      </c>
      <c r="AU906" t="s">
        <v>63</v>
      </c>
      <c r="AV906" t="s">
        <v>63</v>
      </c>
      <c r="AW906" t="s">
        <v>63</v>
      </c>
      <c r="AX906" t="s">
        <v>63</v>
      </c>
      <c r="AY906" t="s">
        <v>63</v>
      </c>
      <c r="AZ906" t="s">
        <v>63</v>
      </c>
      <c r="BA906" t="s">
        <v>63</v>
      </c>
      <c r="BB906" t="s">
        <v>63</v>
      </c>
      <c r="BC906" t="s">
        <v>63</v>
      </c>
      <c r="BD906" t="s">
        <v>63</v>
      </c>
      <c r="BE906" t="s">
        <v>63</v>
      </c>
      <c r="BF906" t="s">
        <v>63</v>
      </c>
    </row>
    <row r="907" spans="1:58">
      <c r="A907" t="s">
        <v>58</v>
      </c>
      <c r="B907" t="s">
        <v>8082</v>
      </c>
      <c r="C907" t="s">
        <v>8083</v>
      </c>
      <c r="D907" t="s">
        <v>8084</v>
      </c>
      <c r="E907" t="s">
        <v>63</v>
      </c>
      <c r="F907">
        <v>2005</v>
      </c>
      <c r="G907" t="s">
        <v>1717</v>
      </c>
      <c r="H907">
        <v>61</v>
      </c>
      <c r="I907">
        <v>6</v>
      </c>
      <c r="J907">
        <v>601</v>
      </c>
      <c r="K907">
        <v>608</v>
      </c>
      <c r="L907" t="s">
        <v>8085</v>
      </c>
      <c r="M907" t="s">
        <v>8086</v>
      </c>
      <c r="N907" t="s">
        <v>8087</v>
      </c>
      <c r="O907" t="s">
        <v>63</v>
      </c>
      <c r="Q907" t="s">
        <v>63</v>
      </c>
      <c r="R907" t="s">
        <v>63</v>
      </c>
      <c r="S907" t="s">
        <v>63</v>
      </c>
      <c r="T907" t="s">
        <v>63</v>
      </c>
      <c r="X907" t="s">
        <v>63</v>
      </c>
      <c r="Y907" t="s">
        <v>8088</v>
      </c>
      <c r="Z907" t="s">
        <v>63</v>
      </c>
      <c r="AA907" t="s">
        <v>8089</v>
      </c>
      <c r="AB907">
        <v>17206241</v>
      </c>
      <c r="AC907" t="s">
        <v>4823</v>
      </c>
      <c r="AD907" t="s">
        <v>63</v>
      </c>
      <c r="AE907" t="s">
        <v>63</v>
      </c>
      <c r="AF907" t="s">
        <v>63</v>
      </c>
      <c r="AG907" t="s">
        <v>8090</v>
      </c>
      <c r="AH907" t="s">
        <v>63</v>
      </c>
      <c r="AI907" t="s">
        <v>63</v>
      </c>
      <c r="AJ907" t="s">
        <v>63</v>
      </c>
      <c r="AK907" t="s">
        <v>63</v>
      </c>
      <c r="AL907" t="s">
        <v>63</v>
      </c>
      <c r="AM907" t="s">
        <v>8091</v>
      </c>
      <c r="AN907" t="s">
        <v>63</v>
      </c>
      <c r="AO907" t="s">
        <v>63</v>
      </c>
      <c r="AP907" t="s">
        <v>63</v>
      </c>
      <c r="AQ907" t="s">
        <v>63</v>
      </c>
      <c r="AR907" t="s">
        <v>63</v>
      </c>
      <c r="AS907" t="s">
        <v>63</v>
      </c>
      <c r="AT907" t="s">
        <v>63</v>
      </c>
      <c r="AU907" t="s">
        <v>63</v>
      </c>
      <c r="AV907" t="s">
        <v>63</v>
      </c>
      <c r="AW907" t="s">
        <v>63</v>
      </c>
      <c r="AX907" t="s">
        <v>63</v>
      </c>
      <c r="AY907" t="s">
        <v>63</v>
      </c>
      <c r="AZ907" t="s">
        <v>63</v>
      </c>
      <c r="BA907" t="s">
        <v>63</v>
      </c>
      <c r="BB907" t="s">
        <v>63</v>
      </c>
      <c r="BC907" t="s">
        <v>63</v>
      </c>
      <c r="BD907" t="s">
        <v>63</v>
      </c>
      <c r="BE907" t="s">
        <v>63</v>
      </c>
      <c r="BF907" t="s">
        <v>63</v>
      </c>
    </row>
    <row r="908" spans="1:58">
      <c r="A908" t="s">
        <v>58</v>
      </c>
      <c r="B908" t="s">
        <v>8092</v>
      </c>
      <c r="C908" t="s">
        <v>8093</v>
      </c>
      <c r="D908" t="s">
        <v>8094</v>
      </c>
      <c r="E908" t="s">
        <v>8095</v>
      </c>
      <c r="F908">
        <v>2009</v>
      </c>
      <c r="G908" t="s">
        <v>1670</v>
      </c>
      <c r="H908">
        <v>205</v>
      </c>
      <c r="I908">
        <v>1</v>
      </c>
      <c r="J908">
        <v>171</v>
      </c>
      <c r="K908">
        <v>174</v>
      </c>
      <c r="L908" t="s">
        <v>8096</v>
      </c>
      <c r="M908" t="s">
        <v>8097</v>
      </c>
      <c r="N908" t="s">
        <v>8098</v>
      </c>
      <c r="O908" t="s">
        <v>63</v>
      </c>
      <c r="Q908" t="s">
        <v>63</v>
      </c>
      <c r="R908" t="s">
        <v>63</v>
      </c>
      <c r="S908" t="s">
        <v>63</v>
      </c>
      <c r="T908" t="s">
        <v>63</v>
      </c>
      <c r="X908" t="s">
        <v>63</v>
      </c>
      <c r="Y908" t="s">
        <v>8099</v>
      </c>
      <c r="Z908" t="s">
        <v>63</v>
      </c>
      <c r="AA908" t="s">
        <v>8100</v>
      </c>
      <c r="AB908">
        <v>19300982</v>
      </c>
      <c r="AC908" t="s">
        <v>67</v>
      </c>
      <c r="AD908" t="s">
        <v>63</v>
      </c>
      <c r="AE908" t="s">
        <v>63</v>
      </c>
      <c r="AF908" t="s">
        <v>63</v>
      </c>
      <c r="AG908" t="s">
        <v>8101</v>
      </c>
      <c r="AH908" t="s">
        <v>63</v>
      </c>
      <c r="AI908" t="s">
        <v>8102</v>
      </c>
      <c r="AJ908" t="s">
        <v>63</v>
      </c>
      <c r="AK908" t="s">
        <v>63</v>
      </c>
      <c r="AL908" t="s">
        <v>63</v>
      </c>
      <c r="AM908" t="s">
        <v>8103</v>
      </c>
      <c r="AN908" t="s">
        <v>63</v>
      </c>
      <c r="AO908" t="s">
        <v>63</v>
      </c>
      <c r="AP908" t="s">
        <v>63</v>
      </c>
      <c r="AQ908" t="s">
        <v>63</v>
      </c>
      <c r="AR908" t="s">
        <v>63</v>
      </c>
      <c r="AS908" t="s">
        <v>63</v>
      </c>
      <c r="AT908" t="s">
        <v>63</v>
      </c>
      <c r="AU908" t="s">
        <v>63</v>
      </c>
      <c r="AV908" t="s">
        <v>63</v>
      </c>
      <c r="AW908" t="s">
        <v>63</v>
      </c>
      <c r="AX908" t="s">
        <v>63</v>
      </c>
      <c r="AY908" t="s">
        <v>63</v>
      </c>
      <c r="AZ908" t="s">
        <v>63</v>
      </c>
      <c r="BA908" t="s">
        <v>63</v>
      </c>
      <c r="BB908" t="s">
        <v>63</v>
      </c>
      <c r="BC908" t="s">
        <v>63</v>
      </c>
      <c r="BD908" t="s">
        <v>63</v>
      </c>
      <c r="BE908" t="s">
        <v>63</v>
      </c>
      <c r="BF908" t="s">
        <v>63</v>
      </c>
    </row>
    <row r="909" spans="1:58">
      <c r="A909" t="s">
        <v>58</v>
      </c>
      <c r="B909" t="s">
        <v>8104</v>
      </c>
      <c r="C909" t="s">
        <v>8105</v>
      </c>
      <c r="D909" t="s">
        <v>2036</v>
      </c>
      <c r="E909" t="s">
        <v>63</v>
      </c>
      <c r="F909">
        <v>2010</v>
      </c>
      <c r="G909" s="1">
        <v>41943</v>
      </c>
      <c r="H909">
        <v>112</v>
      </c>
      <c r="I909" s="1">
        <v>41640</v>
      </c>
      <c r="J909">
        <v>18</v>
      </c>
      <c r="K909">
        <v>26</v>
      </c>
      <c r="L909" t="s">
        <v>8106</v>
      </c>
      <c r="M909" t="s">
        <v>8107</v>
      </c>
      <c r="N909" t="s">
        <v>8108</v>
      </c>
      <c r="O909" t="s">
        <v>63</v>
      </c>
      <c r="Q909" t="s">
        <v>63</v>
      </c>
      <c r="R909" t="s">
        <v>63</v>
      </c>
      <c r="S909" t="s">
        <v>63</v>
      </c>
      <c r="T909" t="s">
        <v>63</v>
      </c>
      <c r="X909" t="s">
        <v>63</v>
      </c>
      <c r="Y909" t="s">
        <v>2040</v>
      </c>
      <c r="Z909" t="s">
        <v>63</v>
      </c>
      <c r="AA909" t="s">
        <v>8109</v>
      </c>
      <c r="AB909">
        <v>20541875</v>
      </c>
      <c r="AC909" t="s">
        <v>67</v>
      </c>
      <c r="AD909" t="s">
        <v>63</v>
      </c>
      <c r="AE909" t="s">
        <v>63</v>
      </c>
      <c r="AF909" t="s">
        <v>63</v>
      </c>
      <c r="AG909" t="s">
        <v>8110</v>
      </c>
      <c r="AH909" t="s">
        <v>63</v>
      </c>
      <c r="AI909" t="s">
        <v>8111</v>
      </c>
      <c r="AJ909" t="s">
        <v>63</v>
      </c>
      <c r="AK909" t="s">
        <v>63</v>
      </c>
      <c r="AL909" t="s">
        <v>63</v>
      </c>
      <c r="AM909" t="s">
        <v>8112</v>
      </c>
      <c r="AN909" t="s">
        <v>63</v>
      </c>
      <c r="AO909" t="s">
        <v>63</v>
      </c>
      <c r="AP909" t="s">
        <v>63</v>
      </c>
      <c r="AQ909" t="s">
        <v>63</v>
      </c>
      <c r="AR909" t="s">
        <v>63</v>
      </c>
      <c r="AS909" t="s">
        <v>63</v>
      </c>
      <c r="AT909" t="s">
        <v>63</v>
      </c>
      <c r="AU909" t="s">
        <v>63</v>
      </c>
      <c r="AV909" t="s">
        <v>63</v>
      </c>
      <c r="AW909" t="s">
        <v>63</v>
      </c>
      <c r="AX909" t="s">
        <v>63</v>
      </c>
      <c r="AY909" t="s">
        <v>63</v>
      </c>
      <c r="AZ909" t="s">
        <v>63</v>
      </c>
      <c r="BA909" t="s">
        <v>63</v>
      </c>
      <c r="BB909" t="s">
        <v>63</v>
      </c>
      <c r="BC909" t="s">
        <v>63</v>
      </c>
      <c r="BD909" t="s">
        <v>63</v>
      </c>
      <c r="BE909" t="s">
        <v>63</v>
      </c>
      <c r="BF909" t="s">
        <v>63</v>
      </c>
    </row>
    <row r="910" spans="1:58">
      <c r="A910" t="s">
        <v>58</v>
      </c>
      <c r="B910" t="s">
        <v>8113</v>
      </c>
      <c r="C910" t="s">
        <v>8114</v>
      </c>
      <c r="D910" t="s">
        <v>371</v>
      </c>
      <c r="E910" t="s">
        <v>63</v>
      </c>
      <c r="F910">
        <v>2015</v>
      </c>
      <c r="G910" t="s">
        <v>73</v>
      </c>
      <c r="H910">
        <v>30</v>
      </c>
      <c r="I910">
        <v>6</v>
      </c>
      <c r="J910">
        <v>790</v>
      </c>
      <c r="K910">
        <v>796</v>
      </c>
      <c r="L910" t="s">
        <v>8115</v>
      </c>
      <c r="M910" t="s">
        <v>8116</v>
      </c>
      <c r="N910" t="s">
        <v>8117</v>
      </c>
      <c r="O910" t="s">
        <v>63</v>
      </c>
      <c r="Q910" t="s">
        <v>63</v>
      </c>
      <c r="R910" t="s">
        <v>63</v>
      </c>
      <c r="S910" t="s">
        <v>63</v>
      </c>
      <c r="T910" t="s">
        <v>63</v>
      </c>
      <c r="X910" t="s">
        <v>63</v>
      </c>
      <c r="Y910" t="s">
        <v>547</v>
      </c>
      <c r="Z910" t="s">
        <v>63</v>
      </c>
      <c r="AA910" t="s">
        <v>8118</v>
      </c>
      <c r="AB910">
        <v>25666210</v>
      </c>
      <c r="AC910" t="s">
        <v>67</v>
      </c>
      <c r="AD910" t="s">
        <v>63</v>
      </c>
      <c r="AE910" t="s">
        <v>63</v>
      </c>
      <c r="AF910" t="s">
        <v>63</v>
      </c>
      <c r="AG910" t="s">
        <v>8119</v>
      </c>
      <c r="AH910" t="s">
        <v>63</v>
      </c>
      <c r="AI910" t="s">
        <v>8120</v>
      </c>
      <c r="AJ910" t="s">
        <v>63</v>
      </c>
      <c r="AK910" t="s">
        <v>63</v>
      </c>
      <c r="AL910" t="s">
        <v>63</v>
      </c>
      <c r="AM910" t="s">
        <v>8121</v>
      </c>
      <c r="AN910" t="s">
        <v>63</v>
      </c>
      <c r="AO910" t="s">
        <v>63</v>
      </c>
      <c r="AP910" t="s">
        <v>63</v>
      </c>
      <c r="AQ910" t="s">
        <v>63</v>
      </c>
      <c r="AR910" t="s">
        <v>63</v>
      </c>
      <c r="AS910" t="s">
        <v>63</v>
      </c>
      <c r="AT910" t="s">
        <v>63</v>
      </c>
      <c r="AU910" t="s">
        <v>63</v>
      </c>
      <c r="AV910" t="s">
        <v>63</v>
      </c>
      <c r="AW910" t="s">
        <v>63</v>
      </c>
      <c r="AX910" t="s">
        <v>63</v>
      </c>
      <c r="AY910" t="s">
        <v>63</v>
      </c>
      <c r="AZ910" t="s">
        <v>63</v>
      </c>
      <c r="BA910" t="s">
        <v>63</v>
      </c>
      <c r="BB910" t="s">
        <v>63</v>
      </c>
      <c r="BC910" t="s">
        <v>63</v>
      </c>
      <c r="BD910" t="s">
        <v>63</v>
      </c>
      <c r="BE910" t="s">
        <v>63</v>
      </c>
      <c r="BF910" t="s">
        <v>63</v>
      </c>
    </row>
    <row r="911" spans="1:58">
      <c r="A911" t="s">
        <v>58</v>
      </c>
      <c r="B911" t="s">
        <v>8122</v>
      </c>
      <c r="C911" t="s">
        <v>8123</v>
      </c>
      <c r="D911" t="s">
        <v>8124</v>
      </c>
      <c r="E911" t="s">
        <v>63</v>
      </c>
      <c r="F911">
        <v>1992</v>
      </c>
      <c r="G911" t="s">
        <v>63</v>
      </c>
      <c r="H911">
        <v>92</v>
      </c>
      <c r="I911">
        <v>1</v>
      </c>
      <c r="J911" t="s">
        <v>8125</v>
      </c>
      <c r="K911">
        <v>8</v>
      </c>
      <c r="L911" t="s">
        <v>8126</v>
      </c>
      <c r="M911" t="s">
        <v>63</v>
      </c>
      <c r="N911" t="s">
        <v>8127</v>
      </c>
      <c r="O911" t="s">
        <v>63</v>
      </c>
      <c r="Q911" t="s">
        <v>63</v>
      </c>
      <c r="R911" t="s">
        <v>63</v>
      </c>
      <c r="S911" t="s">
        <v>63</v>
      </c>
      <c r="T911" t="s">
        <v>63</v>
      </c>
      <c r="X911" t="s">
        <v>63</v>
      </c>
      <c r="Y911" t="s">
        <v>8128</v>
      </c>
      <c r="Z911" t="s">
        <v>63</v>
      </c>
      <c r="AA911" t="s">
        <v>63</v>
      </c>
      <c r="AB911">
        <v>1319629</v>
      </c>
      <c r="AC911" t="s">
        <v>5266</v>
      </c>
      <c r="AD911" t="s">
        <v>63</v>
      </c>
      <c r="AE911" t="s">
        <v>63</v>
      </c>
      <c r="AF911" t="s">
        <v>63</v>
      </c>
      <c r="AG911" t="s">
        <v>8129</v>
      </c>
      <c r="AH911" t="s">
        <v>63</v>
      </c>
      <c r="AI911" t="s">
        <v>63</v>
      </c>
      <c r="AJ911" t="s">
        <v>63</v>
      </c>
      <c r="AK911" t="s">
        <v>63</v>
      </c>
      <c r="AL911" t="s">
        <v>63</v>
      </c>
      <c r="AM911" t="s">
        <v>8130</v>
      </c>
      <c r="AN911" t="s">
        <v>63</v>
      </c>
      <c r="AO911" t="s">
        <v>63</v>
      </c>
      <c r="AP911" t="s">
        <v>63</v>
      </c>
      <c r="AQ911" t="s">
        <v>63</v>
      </c>
      <c r="AR911" t="s">
        <v>63</v>
      </c>
      <c r="AS911" t="s">
        <v>63</v>
      </c>
      <c r="AT911" t="s">
        <v>63</v>
      </c>
      <c r="AU911" t="s">
        <v>63</v>
      </c>
      <c r="AV911" t="s">
        <v>63</v>
      </c>
      <c r="AW911" t="s">
        <v>63</v>
      </c>
      <c r="AX911" t="s">
        <v>63</v>
      </c>
      <c r="AY911" t="s">
        <v>63</v>
      </c>
      <c r="AZ911" t="s">
        <v>63</v>
      </c>
      <c r="BA911" t="s">
        <v>63</v>
      </c>
      <c r="BB911" t="s">
        <v>63</v>
      </c>
      <c r="BC911" t="s">
        <v>63</v>
      </c>
      <c r="BD911" t="s">
        <v>63</v>
      </c>
      <c r="BE911" t="s">
        <v>63</v>
      </c>
      <c r="BF911" t="s">
        <v>63</v>
      </c>
    </row>
    <row r="912" spans="1:58">
      <c r="A912" t="s">
        <v>58</v>
      </c>
      <c r="B912" t="s">
        <v>8131</v>
      </c>
      <c r="C912" t="s">
        <v>8132</v>
      </c>
      <c r="D912" t="s">
        <v>7363</v>
      </c>
      <c r="E912" t="s">
        <v>7363</v>
      </c>
      <c r="F912">
        <v>1986</v>
      </c>
      <c r="G912" t="s">
        <v>138</v>
      </c>
      <c r="H912">
        <v>65</v>
      </c>
      <c r="I912">
        <v>4</v>
      </c>
      <c r="J912">
        <v>414</v>
      </c>
      <c r="K912">
        <v>417</v>
      </c>
      <c r="L912" t="s">
        <v>8133</v>
      </c>
      <c r="M912" t="s">
        <v>8134</v>
      </c>
      <c r="N912" t="s">
        <v>8135</v>
      </c>
      <c r="O912" t="s">
        <v>63</v>
      </c>
      <c r="Q912" t="s">
        <v>63</v>
      </c>
      <c r="R912" t="s">
        <v>63</v>
      </c>
      <c r="S912" t="s">
        <v>63</v>
      </c>
      <c r="T912" t="s">
        <v>63</v>
      </c>
      <c r="X912" t="s">
        <v>63</v>
      </c>
      <c r="Y912" s="2">
        <v>408401</v>
      </c>
      <c r="Z912" t="s">
        <v>63</v>
      </c>
      <c r="AA912" t="s">
        <v>63</v>
      </c>
      <c r="AB912">
        <v>3767040</v>
      </c>
      <c r="AC912" t="s">
        <v>67</v>
      </c>
      <c r="AD912" t="s">
        <v>63</v>
      </c>
      <c r="AE912" t="s">
        <v>63</v>
      </c>
      <c r="AF912" t="s">
        <v>63</v>
      </c>
      <c r="AG912" t="s">
        <v>8136</v>
      </c>
      <c r="AH912" t="s">
        <v>63</v>
      </c>
      <c r="AI912" t="s">
        <v>63</v>
      </c>
      <c r="AJ912" t="s">
        <v>63</v>
      </c>
      <c r="AK912" t="s">
        <v>63</v>
      </c>
      <c r="AL912" t="s">
        <v>63</v>
      </c>
      <c r="AM912" t="s">
        <v>8137</v>
      </c>
      <c r="AN912" t="s">
        <v>63</v>
      </c>
      <c r="AO912" t="s">
        <v>63</v>
      </c>
      <c r="AP912" t="s">
        <v>63</v>
      </c>
      <c r="AQ912" t="s">
        <v>63</v>
      </c>
      <c r="AR912" t="s">
        <v>63</v>
      </c>
      <c r="AS912" t="s">
        <v>63</v>
      </c>
      <c r="AT912" t="s">
        <v>63</v>
      </c>
      <c r="AU912" t="s">
        <v>63</v>
      </c>
      <c r="AV912" t="s">
        <v>63</v>
      </c>
      <c r="AW912" t="s">
        <v>63</v>
      </c>
      <c r="AX912" t="s">
        <v>63</v>
      </c>
      <c r="AY912" t="s">
        <v>63</v>
      </c>
      <c r="AZ912" t="s">
        <v>63</v>
      </c>
      <c r="BA912" t="s">
        <v>63</v>
      </c>
      <c r="BB912" t="s">
        <v>63</v>
      </c>
      <c r="BC912" t="s">
        <v>63</v>
      </c>
      <c r="BD912" t="s">
        <v>63</v>
      </c>
      <c r="BE912" t="s">
        <v>63</v>
      </c>
      <c r="BF912" t="s">
        <v>63</v>
      </c>
    </row>
    <row r="913" spans="1:58">
      <c r="A913" t="s">
        <v>58</v>
      </c>
      <c r="B913" t="s">
        <v>8138</v>
      </c>
      <c r="C913" t="s">
        <v>8139</v>
      </c>
      <c r="D913" t="s">
        <v>4066</v>
      </c>
      <c r="E913" t="s">
        <v>4067</v>
      </c>
      <c r="F913">
        <v>2011</v>
      </c>
      <c r="G913" t="s">
        <v>614</v>
      </c>
      <c r="H913">
        <v>24</v>
      </c>
      <c r="I913">
        <v>2</v>
      </c>
      <c r="J913">
        <v>509</v>
      </c>
      <c r="K913" t="s">
        <v>63</v>
      </c>
      <c r="L913" t="s">
        <v>8140</v>
      </c>
      <c r="M913" t="s">
        <v>8141</v>
      </c>
      <c r="N913" t="s">
        <v>8142</v>
      </c>
      <c r="O913" t="s">
        <v>63</v>
      </c>
      <c r="Q913" t="s">
        <v>63</v>
      </c>
      <c r="R913" t="s">
        <v>63</v>
      </c>
      <c r="S913" t="s">
        <v>63</v>
      </c>
      <c r="T913" t="s">
        <v>63</v>
      </c>
      <c r="X913" t="s">
        <v>63</v>
      </c>
      <c r="Y913" t="s">
        <v>8143</v>
      </c>
      <c r="Z913" t="s">
        <v>63</v>
      </c>
      <c r="AA913" t="s">
        <v>8144</v>
      </c>
      <c r="AB913">
        <v>22081654</v>
      </c>
      <c r="AC913" t="s">
        <v>67</v>
      </c>
      <c r="AD913" t="s">
        <v>63</v>
      </c>
      <c r="AE913" t="s">
        <v>63</v>
      </c>
      <c r="AF913" t="s">
        <v>63</v>
      </c>
      <c r="AG913" t="s">
        <v>8145</v>
      </c>
      <c r="AH913" t="s">
        <v>63</v>
      </c>
      <c r="AI913" t="s">
        <v>63</v>
      </c>
      <c r="AJ913" t="s">
        <v>63</v>
      </c>
      <c r="AK913" t="s">
        <v>63</v>
      </c>
      <c r="AL913" t="s">
        <v>63</v>
      </c>
      <c r="AM913" t="s">
        <v>8146</v>
      </c>
      <c r="AN913" t="s">
        <v>63</v>
      </c>
      <c r="AO913" t="s">
        <v>63</v>
      </c>
      <c r="AP913" t="s">
        <v>63</v>
      </c>
      <c r="AQ913" t="s">
        <v>63</v>
      </c>
      <c r="AR913" t="s">
        <v>63</v>
      </c>
      <c r="AS913" t="s">
        <v>63</v>
      </c>
      <c r="AT913" t="s">
        <v>63</v>
      </c>
      <c r="AU913" t="s">
        <v>63</v>
      </c>
      <c r="AV913" t="s">
        <v>63</v>
      </c>
      <c r="AW913" t="s">
        <v>63</v>
      </c>
      <c r="AX913" t="s">
        <v>63</v>
      </c>
      <c r="AY913" t="s">
        <v>63</v>
      </c>
      <c r="AZ913" t="s">
        <v>63</v>
      </c>
      <c r="BA913" t="s">
        <v>63</v>
      </c>
      <c r="BB913" t="s">
        <v>63</v>
      </c>
      <c r="BC913" t="s">
        <v>63</v>
      </c>
      <c r="BD913" t="s">
        <v>63</v>
      </c>
      <c r="BE913" t="s">
        <v>63</v>
      </c>
      <c r="BF913" t="s">
        <v>63</v>
      </c>
    </row>
    <row r="914" spans="1:58">
      <c r="A914" t="s">
        <v>58</v>
      </c>
      <c r="B914" t="s">
        <v>8147</v>
      </c>
      <c r="C914" t="s">
        <v>8148</v>
      </c>
      <c r="D914" t="s">
        <v>408</v>
      </c>
      <c r="E914" t="s">
        <v>409</v>
      </c>
      <c r="F914">
        <v>2008</v>
      </c>
      <c r="G914" t="s">
        <v>63</v>
      </c>
      <c r="H914">
        <v>43</v>
      </c>
      <c r="I914">
        <v>5</v>
      </c>
      <c r="J914">
        <v>709</v>
      </c>
      <c r="K914">
        <v>721</v>
      </c>
      <c r="L914" t="s">
        <v>8149</v>
      </c>
      <c r="M914" t="s">
        <v>8150</v>
      </c>
      <c r="N914" t="s">
        <v>8151</v>
      </c>
      <c r="O914" t="s">
        <v>63</v>
      </c>
      <c r="Q914" t="s">
        <v>63</v>
      </c>
      <c r="R914" t="s">
        <v>63</v>
      </c>
      <c r="S914" t="s">
        <v>63</v>
      </c>
      <c r="T914" t="s">
        <v>63</v>
      </c>
      <c r="X914" t="s">
        <v>63</v>
      </c>
      <c r="Y914" t="s">
        <v>3682</v>
      </c>
      <c r="Z914" t="s">
        <v>63</v>
      </c>
      <c r="AA914" t="s">
        <v>8152</v>
      </c>
      <c r="AB914">
        <v>18393085</v>
      </c>
      <c r="AC914" t="s">
        <v>67</v>
      </c>
      <c r="AD914" t="s">
        <v>63</v>
      </c>
      <c r="AE914" t="s">
        <v>63</v>
      </c>
      <c r="AF914" t="s">
        <v>63</v>
      </c>
      <c r="AG914" t="s">
        <v>8153</v>
      </c>
      <c r="AH914" t="s">
        <v>63</v>
      </c>
      <c r="AI914" t="s">
        <v>8154</v>
      </c>
      <c r="AJ914" t="s">
        <v>63</v>
      </c>
      <c r="AK914" t="s">
        <v>63</v>
      </c>
      <c r="AL914" t="s">
        <v>63</v>
      </c>
      <c r="AM914" t="s">
        <v>8155</v>
      </c>
      <c r="AN914" t="s">
        <v>63</v>
      </c>
      <c r="AO914" t="s">
        <v>63</v>
      </c>
      <c r="AP914" t="s">
        <v>63</v>
      </c>
      <c r="AQ914" t="s">
        <v>63</v>
      </c>
      <c r="AR914" t="s">
        <v>63</v>
      </c>
      <c r="AS914" t="s">
        <v>63</v>
      </c>
      <c r="AT914" t="s">
        <v>63</v>
      </c>
      <c r="AU914" t="s">
        <v>63</v>
      </c>
      <c r="AV914" t="s">
        <v>63</v>
      </c>
      <c r="AW914" t="s">
        <v>63</v>
      </c>
      <c r="AX914" t="s">
        <v>63</v>
      </c>
      <c r="AY914" t="s">
        <v>63</v>
      </c>
      <c r="AZ914" t="s">
        <v>63</v>
      </c>
      <c r="BA914" t="s">
        <v>63</v>
      </c>
      <c r="BB914" t="s">
        <v>63</v>
      </c>
      <c r="BC914" t="s">
        <v>63</v>
      </c>
      <c r="BD914" t="s">
        <v>63</v>
      </c>
      <c r="BE914" t="s">
        <v>63</v>
      </c>
      <c r="BF914" t="s">
        <v>63</v>
      </c>
    </row>
    <row r="915" spans="1:58">
      <c r="A915" t="s">
        <v>58</v>
      </c>
      <c r="B915" t="s">
        <v>8156</v>
      </c>
      <c r="C915" t="s">
        <v>8157</v>
      </c>
      <c r="D915" t="s">
        <v>371</v>
      </c>
      <c r="E915" t="s">
        <v>63</v>
      </c>
      <c r="F915">
        <v>2008</v>
      </c>
      <c r="G915" t="s">
        <v>1670</v>
      </c>
      <c r="H915">
        <v>23</v>
      </c>
      <c r="I915">
        <v>7</v>
      </c>
      <c r="J915">
        <v>1006</v>
      </c>
      <c r="K915">
        <v>1009</v>
      </c>
      <c r="L915" t="s">
        <v>8158</v>
      </c>
      <c r="M915" t="s">
        <v>8159</v>
      </c>
      <c r="N915" t="s">
        <v>8160</v>
      </c>
      <c r="O915" t="s">
        <v>63</v>
      </c>
      <c r="Q915" t="s">
        <v>63</v>
      </c>
      <c r="R915" t="s">
        <v>63</v>
      </c>
      <c r="S915" t="s">
        <v>63</v>
      </c>
      <c r="T915" t="s">
        <v>63</v>
      </c>
      <c r="X915" t="s">
        <v>63</v>
      </c>
      <c r="Y915" t="s">
        <v>547</v>
      </c>
      <c r="Z915" t="s">
        <v>63</v>
      </c>
      <c r="AA915" t="s">
        <v>8161</v>
      </c>
      <c r="AB915">
        <v>18612733</v>
      </c>
      <c r="AC915" t="s">
        <v>67</v>
      </c>
      <c r="AD915" t="s">
        <v>63</v>
      </c>
      <c r="AE915" t="s">
        <v>63</v>
      </c>
      <c r="AF915" t="s">
        <v>63</v>
      </c>
      <c r="AG915" t="s">
        <v>8162</v>
      </c>
      <c r="AH915" t="s">
        <v>63</v>
      </c>
      <c r="AI915" t="s">
        <v>8163</v>
      </c>
      <c r="AJ915" t="s">
        <v>63</v>
      </c>
      <c r="AK915" t="s">
        <v>63</v>
      </c>
      <c r="AL915" t="s">
        <v>63</v>
      </c>
      <c r="AM915" t="s">
        <v>8164</v>
      </c>
      <c r="AN915" t="s">
        <v>63</v>
      </c>
      <c r="AO915" t="s">
        <v>63</v>
      </c>
      <c r="AP915" t="s">
        <v>63</v>
      </c>
      <c r="AQ915" t="s">
        <v>63</v>
      </c>
      <c r="AR915" t="s">
        <v>63</v>
      </c>
      <c r="AS915" t="s">
        <v>63</v>
      </c>
      <c r="AT915" t="s">
        <v>63</v>
      </c>
      <c r="AU915" t="s">
        <v>63</v>
      </c>
      <c r="AV915" t="s">
        <v>63</v>
      </c>
      <c r="AW915" t="s">
        <v>63</v>
      </c>
      <c r="AX915" t="s">
        <v>63</v>
      </c>
      <c r="AY915" t="s">
        <v>63</v>
      </c>
      <c r="AZ915" t="s">
        <v>63</v>
      </c>
      <c r="BA915" t="s">
        <v>63</v>
      </c>
      <c r="BB915" t="s">
        <v>63</v>
      </c>
      <c r="BC915" t="s">
        <v>63</v>
      </c>
      <c r="BD915" t="s">
        <v>63</v>
      </c>
      <c r="BE915" t="s">
        <v>63</v>
      </c>
      <c r="BF915" t="s">
        <v>63</v>
      </c>
    </row>
    <row r="916" spans="1:58">
      <c r="A916" t="s">
        <v>58</v>
      </c>
      <c r="B916" t="s">
        <v>8165</v>
      </c>
      <c r="C916" t="s">
        <v>8166</v>
      </c>
      <c r="D916" t="s">
        <v>640</v>
      </c>
      <c r="E916" t="s">
        <v>63</v>
      </c>
      <c r="F916">
        <v>2009</v>
      </c>
      <c r="G916" t="s">
        <v>219</v>
      </c>
      <c r="H916">
        <v>28</v>
      </c>
      <c r="I916">
        <v>6</v>
      </c>
      <c r="J916">
        <v>623</v>
      </c>
      <c r="K916">
        <v>630</v>
      </c>
      <c r="L916" t="s">
        <v>8167</v>
      </c>
      <c r="M916" t="s">
        <v>8168</v>
      </c>
      <c r="N916" t="s">
        <v>8169</v>
      </c>
      <c r="O916" t="s">
        <v>63</v>
      </c>
      <c r="Q916" t="s">
        <v>63</v>
      </c>
      <c r="R916" t="s">
        <v>63</v>
      </c>
      <c r="S916" t="s">
        <v>63</v>
      </c>
      <c r="T916" t="s">
        <v>63</v>
      </c>
      <c r="X916" t="s">
        <v>63</v>
      </c>
      <c r="Y916" t="s">
        <v>7637</v>
      </c>
      <c r="Z916" t="s">
        <v>63</v>
      </c>
      <c r="AA916" t="s">
        <v>8170</v>
      </c>
      <c r="AB916">
        <v>19930015</v>
      </c>
      <c r="AC916" t="s">
        <v>67</v>
      </c>
      <c r="AD916" t="s">
        <v>63</v>
      </c>
      <c r="AE916" t="s">
        <v>63</v>
      </c>
      <c r="AF916" t="s">
        <v>63</v>
      </c>
      <c r="AG916" t="s">
        <v>8171</v>
      </c>
      <c r="AH916" t="s">
        <v>63</v>
      </c>
      <c r="AI916" t="s">
        <v>8172</v>
      </c>
      <c r="AJ916" t="s">
        <v>63</v>
      </c>
      <c r="AK916" t="s">
        <v>63</v>
      </c>
      <c r="AL916" t="s">
        <v>63</v>
      </c>
      <c r="AM916" t="s">
        <v>8173</v>
      </c>
      <c r="AN916" t="s">
        <v>63</v>
      </c>
      <c r="AO916" t="s">
        <v>63</v>
      </c>
      <c r="AP916" t="s">
        <v>63</v>
      </c>
      <c r="AQ916" t="s">
        <v>63</v>
      </c>
      <c r="AR916" t="s">
        <v>63</v>
      </c>
      <c r="AS916" t="s">
        <v>63</v>
      </c>
      <c r="AT916" t="s">
        <v>63</v>
      </c>
      <c r="AU916" t="s">
        <v>63</v>
      </c>
      <c r="AV916" t="s">
        <v>63</v>
      </c>
      <c r="AW916" t="s">
        <v>63</v>
      </c>
      <c r="AX916" t="s">
        <v>63</v>
      </c>
      <c r="AY916" t="s">
        <v>63</v>
      </c>
      <c r="AZ916" t="s">
        <v>63</v>
      </c>
      <c r="BA916" t="s">
        <v>63</v>
      </c>
      <c r="BB916" t="s">
        <v>63</v>
      </c>
      <c r="BC916" t="s">
        <v>63</v>
      </c>
      <c r="BD916" t="s">
        <v>63</v>
      </c>
      <c r="BE916" t="s">
        <v>63</v>
      </c>
      <c r="BF916" t="s">
        <v>63</v>
      </c>
    </row>
    <row r="917" spans="1:58">
      <c r="A917" t="s">
        <v>58</v>
      </c>
      <c r="B917" t="s">
        <v>8174</v>
      </c>
      <c r="C917" t="s">
        <v>8175</v>
      </c>
      <c r="D917" t="s">
        <v>5813</v>
      </c>
      <c r="E917" t="s">
        <v>5814</v>
      </c>
      <c r="F917">
        <v>2003</v>
      </c>
      <c r="G917" t="s">
        <v>189</v>
      </c>
      <c r="H917">
        <v>62</v>
      </c>
      <c r="I917">
        <v>5</v>
      </c>
      <c r="J917">
        <v>107</v>
      </c>
      <c r="K917">
        <v>108</v>
      </c>
      <c r="L917" t="s">
        <v>8176</v>
      </c>
      <c r="M917" t="s">
        <v>63</v>
      </c>
      <c r="N917" t="s">
        <v>8177</v>
      </c>
      <c r="O917" t="s">
        <v>63</v>
      </c>
      <c r="Q917" t="s">
        <v>63</v>
      </c>
      <c r="R917" t="s">
        <v>63</v>
      </c>
      <c r="S917" t="s">
        <v>63</v>
      </c>
      <c r="T917" t="s">
        <v>63</v>
      </c>
      <c r="X917" t="s">
        <v>63</v>
      </c>
      <c r="Y917" t="s">
        <v>5818</v>
      </c>
      <c r="Z917" t="s">
        <v>63</v>
      </c>
      <c r="AA917" t="s">
        <v>8178</v>
      </c>
      <c r="AB917">
        <v>12806791</v>
      </c>
      <c r="AC917" t="s">
        <v>67</v>
      </c>
      <c r="AD917" t="s">
        <v>63</v>
      </c>
      <c r="AE917" t="s">
        <v>63</v>
      </c>
      <c r="AF917" t="s">
        <v>63</v>
      </c>
      <c r="AG917" t="s">
        <v>8179</v>
      </c>
      <c r="AH917" t="s">
        <v>63</v>
      </c>
      <c r="AI917" t="s">
        <v>63</v>
      </c>
      <c r="AJ917" t="s">
        <v>63</v>
      </c>
      <c r="AK917" t="s">
        <v>63</v>
      </c>
      <c r="AL917" t="s">
        <v>63</v>
      </c>
      <c r="AM917" t="s">
        <v>8180</v>
      </c>
      <c r="AN917" t="s">
        <v>63</v>
      </c>
      <c r="AO917" t="s">
        <v>63</v>
      </c>
      <c r="AP917" t="s">
        <v>63</v>
      </c>
      <c r="AQ917" t="s">
        <v>63</v>
      </c>
      <c r="AR917" t="s">
        <v>63</v>
      </c>
      <c r="AS917" t="s">
        <v>63</v>
      </c>
      <c r="AT917" t="s">
        <v>63</v>
      </c>
      <c r="AU917" t="s">
        <v>63</v>
      </c>
      <c r="AV917" t="s">
        <v>63</v>
      </c>
      <c r="AW917" t="s">
        <v>63</v>
      </c>
      <c r="AX917" t="s">
        <v>63</v>
      </c>
      <c r="AY917" t="s">
        <v>63</v>
      </c>
      <c r="AZ917" t="s">
        <v>63</v>
      </c>
      <c r="BA917" t="s">
        <v>63</v>
      </c>
      <c r="BB917" t="s">
        <v>63</v>
      </c>
      <c r="BC917" t="s">
        <v>63</v>
      </c>
      <c r="BD917" t="s">
        <v>63</v>
      </c>
      <c r="BE917" t="s">
        <v>63</v>
      </c>
      <c r="BF917" t="s">
        <v>63</v>
      </c>
    </row>
    <row r="918" spans="1:58">
      <c r="A918" t="s">
        <v>58</v>
      </c>
      <c r="B918" t="s">
        <v>8181</v>
      </c>
      <c r="C918" t="s">
        <v>8182</v>
      </c>
      <c r="D918" t="s">
        <v>2083</v>
      </c>
      <c r="E918" t="s">
        <v>63</v>
      </c>
      <c r="F918">
        <v>2004</v>
      </c>
      <c r="G918" t="s">
        <v>908</v>
      </c>
      <c r="H918">
        <v>4</v>
      </c>
      <c r="I918">
        <v>4</v>
      </c>
      <c r="J918">
        <v>289</v>
      </c>
      <c r="K918">
        <v>294</v>
      </c>
      <c r="L918" t="s">
        <v>8183</v>
      </c>
      <c r="M918" t="s">
        <v>8184</v>
      </c>
      <c r="N918" t="s">
        <v>8185</v>
      </c>
      <c r="O918" t="s">
        <v>63</v>
      </c>
      <c r="Q918" t="s">
        <v>63</v>
      </c>
      <c r="R918" t="s">
        <v>63</v>
      </c>
      <c r="S918" t="s">
        <v>63</v>
      </c>
      <c r="T918" t="s">
        <v>63</v>
      </c>
      <c r="X918" t="s">
        <v>63</v>
      </c>
      <c r="Y918" t="s">
        <v>2087</v>
      </c>
      <c r="Z918" t="s">
        <v>63</v>
      </c>
      <c r="AA918" t="s">
        <v>8186</v>
      </c>
      <c r="AB918">
        <v>15264961</v>
      </c>
      <c r="AC918" t="s">
        <v>67</v>
      </c>
      <c r="AD918" t="s">
        <v>63</v>
      </c>
      <c r="AE918" t="s">
        <v>63</v>
      </c>
      <c r="AF918" t="s">
        <v>63</v>
      </c>
      <c r="AG918" t="s">
        <v>8187</v>
      </c>
      <c r="AH918" t="s">
        <v>63</v>
      </c>
      <c r="AI918" t="s">
        <v>63</v>
      </c>
      <c r="AJ918" t="s">
        <v>63</v>
      </c>
      <c r="AK918" t="s">
        <v>63</v>
      </c>
      <c r="AL918" t="s">
        <v>63</v>
      </c>
      <c r="AM918" t="s">
        <v>8188</v>
      </c>
      <c r="AN918" t="s">
        <v>63</v>
      </c>
      <c r="AO918" t="s">
        <v>63</v>
      </c>
      <c r="AP918" t="s">
        <v>63</v>
      </c>
      <c r="AQ918" t="s">
        <v>63</v>
      </c>
      <c r="AR918" t="s">
        <v>63</v>
      </c>
      <c r="AS918" t="s">
        <v>63</v>
      </c>
      <c r="AT918" t="s">
        <v>63</v>
      </c>
      <c r="AU918" t="s">
        <v>63</v>
      </c>
      <c r="AV918" t="s">
        <v>63</v>
      </c>
      <c r="AW918" t="s">
        <v>63</v>
      </c>
      <c r="AX918" t="s">
        <v>63</v>
      </c>
      <c r="AY918" t="s">
        <v>63</v>
      </c>
      <c r="AZ918" t="s">
        <v>63</v>
      </c>
      <c r="BA918" t="s">
        <v>63</v>
      </c>
      <c r="BB918" t="s">
        <v>63</v>
      </c>
      <c r="BC918" t="s">
        <v>63</v>
      </c>
      <c r="BD918" t="s">
        <v>63</v>
      </c>
      <c r="BE918" t="s">
        <v>63</v>
      </c>
      <c r="BF918" t="s">
        <v>63</v>
      </c>
    </row>
    <row r="919" spans="1:58">
      <c r="A919" t="s">
        <v>58</v>
      </c>
      <c r="B919" t="s">
        <v>8189</v>
      </c>
      <c r="C919" t="s">
        <v>8190</v>
      </c>
      <c r="D919" t="s">
        <v>8191</v>
      </c>
      <c r="E919" t="s">
        <v>63</v>
      </c>
      <c r="F919">
        <v>2010</v>
      </c>
      <c r="G919" t="s">
        <v>189</v>
      </c>
      <c r="H919">
        <v>20</v>
      </c>
      <c r="I919">
        <v>9</v>
      </c>
      <c r="J919">
        <v>8</v>
      </c>
      <c r="K919" t="s">
        <v>63</v>
      </c>
      <c r="L919" t="s">
        <v>8192</v>
      </c>
      <c r="M919" t="s">
        <v>63</v>
      </c>
      <c r="N919" t="s">
        <v>8193</v>
      </c>
      <c r="O919" t="s">
        <v>63</v>
      </c>
      <c r="Q919" t="s">
        <v>63</v>
      </c>
      <c r="R919" t="s">
        <v>63</v>
      </c>
      <c r="S919" t="s">
        <v>63</v>
      </c>
      <c r="T919" t="s">
        <v>63</v>
      </c>
      <c r="X919" t="s">
        <v>63</v>
      </c>
      <c r="Y919" t="s">
        <v>8194</v>
      </c>
      <c r="Z919" t="s">
        <v>63</v>
      </c>
      <c r="AA919" t="s">
        <v>63</v>
      </c>
      <c r="AB919">
        <v>20593571</v>
      </c>
      <c r="AC919" t="s">
        <v>67</v>
      </c>
      <c r="AD919" t="s">
        <v>63</v>
      </c>
      <c r="AE919" t="s">
        <v>63</v>
      </c>
      <c r="AF919" t="s">
        <v>63</v>
      </c>
      <c r="AG919" t="s">
        <v>8195</v>
      </c>
      <c r="AH919" t="s">
        <v>63</v>
      </c>
      <c r="AI919" t="s">
        <v>63</v>
      </c>
      <c r="AJ919" t="s">
        <v>63</v>
      </c>
      <c r="AK919" t="s">
        <v>63</v>
      </c>
      <c r="AL919" t="s">
        <v>63</v>
      </c>
      <c r="AM919" t="s">
        <v>8196</v>
      </c>
      <c r="AN919" t="s">
        <v>63</v>
      </c>
      <c r="AO919" t="s">
        <v>63</v>
      </c>
      <c r="AP919" t="s">
        <v>63</v>
      </c>
      <c r="AQ919" t="s">
        <v>63</v>
      </c>
      <c r="AR919" t="s">
        <v>63</v>
      </c>
      <c r="AS919" t="s">
        <v>63</v>
      </c>
      <c r="AT919" t="s">
        <v>63</v>
      </c>
      <c r="AU919" t="s">
        <v>63</v>
      </c>
      <c r="AV919" t="s">
        <v>63</v>
      </c>
      <c r="AW919" t="s">
        <v>63</v>
      </c>
      <c r="AX919" t="s">
        <v>63</v>
      </c>
      <c r="AY919" t="s">
        <v>63</v>
      </c>
      <c r="AZ919" t="s">
        <v>63</v>
      </c>
      <c r="BA919" t="s">
        <v>63</v>
      </c>
      <c r="BB919" t="s">
        <v>63</v>
      </c>
      <c r="BC919" t="s">
        <v>63</v>
      </c>
      <c r="BD919" t="s">
        <v>63</v>
      </c>
      <c r="BE919" t="s">
        <v>63</v>
      </c>
      <c r="BF919" t="s">
        <v>63</v>
      </c>
    </row>
    <row r="920" spans="1:58">
      <c r="A920" t="s">
        <v>58</v>
      </c>
      <c r="B920" t="s">
        <v>8197</v>
      </c>
      <c r="C920" t="s">
        <v>8198</v>
      </c>
      <c r="D920" t="s">
        <v>389</v>
      </c>
      <c r="E920" t="s">
        <v>63</v>
      </c>
      <c r="F920">
        <v>2007</v>
      </c>
      <c r="G920" t="s">
        <v>274</v>
      </c>
      <c r="H920">
        <v>28</v>
      </c>
      <c r="I920">
        <v>1</v>
      </c>
      <c r="J920">
        <v>3</v>
      </c>
      <c r="K920">
        <v>9</v>
      </c>
      <c r="L920" t="s">
        <v>8199</v>
      </c>
      <c r="M920" t="s">
        <v>8200</v>
      </c>
      <c r="N920" t="s">
        <v>8201</v>
      </c>
      <c r="O920" t="s">
        <v>63</v>
      </c>
      <c r="Q920" t="s">
        <v>63</v>
      </c>
      <c r="R920" t="s">
        <v>63</v>
      </c>
      <c r="S920" t="s">
        <v>63</v>
      </c>
      <c r="T920" t="s">
        <v>63</v>
      </c>
      <c r="X920" t="s">
        <v>63</v>
      </c>
      <c r="Y920" t="s">
        <v>392</v>
      </c>
      <c r="Z920" t="s">
        <v>63</v>
      </c>
      <c r="AA920" t="s">
        <v>8202</v>
      </c>
      <c r="AB920">
        <v>19263558</v>
      </c>
      <c r="AC920" t="s">
        <v>67</v>
      </c>
      <c r="AD920" t="s">
        <v>63</v>
      </c>
      <c r="AE920" t="s">
        <v>63</v>
      </c>
      <c r="AF920" t="s">
        <v>63</v>
      </c>
      <c r="AG920" t="s">
        <v>8203</v>
      </c>
      <c r="AH920" t="s">
        <v>63</v>
      </c>
      <c r="AI920" t="s">
        <v>8204</v>
      </c>
      <c r="AJ920" t="s">
        <v>63</v>
      </c>
      <c r="AK920" t="s">
        <v>63</v>
      </c>
      <c r="AL920" t="s">
        <v>63</v>
      </c>
      <c r="AM920" t="s">
        <v>8205</v>
      </c>
      <c r="AN920" t="s">
        <v>63</v>
      </c>
      <c r="AO920" t="s">
        <v>63</v>
      </c>
      <c r="AP920" t="s">
        <v>63</v>
      </c>
      <c r="AQ920" t="s">
        <v>63</v>
      </c>
      <c r="AR920" t="s">
        <v>63</v>
      </c>
      <c r="AS920" t="s">
        <v>63</v>
      </c>
      <c r="AT920" t="s">
        <v>63</v>
      </c>
      <c r="AU920" t="s">
        <v>63</v>
      </c>
      <c r="AV920" t="s">
        <v>63</v>
      </c>
      <c r="AW920" t="s">
        <v>63</v>
      </c>
      <c r="AX920" t="s">
        <v>63</v>
      </c>
      <c r="AY920" t="s">
        <v>63</v>
      </c>
      <c r="AZ920" t="s">
        <v>63</v>
      </c>
      <c r="BA920" t="s">
        <v>63</v>
      </c>
      <c r="BB920" t="s">
        <v>63</v>
      </c>
      <c r="BC920" t="s">
        <v>63</v>
      </c>
      <c r="BD920" t="s">
        <v>63</v>
      </c>
      <c r="BE920" t="s">
        <v>63</v>
      </c>
      <c r="BF920" t="s">
        <v>63</v>
      </c>
    </row>
    <row r="921" spans="1:58">
      <c r="A921" t="s">
        <v>58</v>
      </c>
      <c r="B921" t="s">
        <v>8206</v>
      </c>
      <c r="C921" t="s">
        <v>8207</v>
      </c>
      <c r="D921" t="s">
        <v>8208</v>
      </c>
      <c r="E921" t="s">
        <v>63</v>
      </c>
      <c r="F921">
        <v>1973</v>
      </c>
      <c r="G921" t="s">
        <v>326</v>
      </c>
      <c r="H921">
        <v>60</v>
      </c>
      <c r="I921">
        <v>2</v>
      </c>
      <c r="J921">
        <v>37</v>
      </c>
      <c r="K921">
        <v>38</v>
      </c>
      <c r="L921" t="s">
        <v>8209</v>
      </c>
      <c r="M921" t="s">
        <v>63</v>
      </c>
      <c r="N921" t="s">
        <v>8210</v>
      </c>
      <c r="O921" t="s">
        <v>63</v>
      </c>
      <c r="Q921" t="s">
        <v>63</v>
      </c>
      <c r="R921" t="s">
        <v>63</v>
      </c>
      <c r="S921" t="s">
        <v>63</v>
      </c>
      <c r="T921" t="s">
        <v>63</v>
      </c>
      <c r="X921" t="s">
        <v>63</v>
      </c>
      <c r="Y921" t="s">
        <v>8211</v>
      </c>
      <c r="Z921" t="s">
        <v>63</v>
      </c>
      <c r="AA921" t="s">
        <v>63</v>
      </c>
      <c r="AB921">
        <v>4734558</v>
      </c>
      <c r="AC921" t="s">
        <v>67</v>
      </c>
      <c r="AD921" t="s">
        <v>63</v>
      </c>
      <c r="AE921" t="s">
        <v>63</v>
      </c>
      <c r="AF921" t="s">
        <v>63</v>
      </c>
      <c r="AG921" t="s">
        <v>8212</v>
      </c>
      <c r="AH921" t="s">
        <v>63</v>
      </c>
      <c r="AI921" t="s">
        <v>63</v>
      </c>
      <c r="AJ921" t="s">
        <v>63</v>
      </c>
      <c r="AK921" t="s">
        <v>63</v>
      </c>
      <c r="AL921" t="s">
        <v>63</v>
      </c>
      <c r="AM921" t="s">
        <v>8213</v>
      </c>
      <c r="AN921" t="s">
        <v>63</v>
      </c>
      <c r="AO921" t="s">
        <v>63</v>
      </c>
      <c r="AP921" t="s">
        <v>63</v>
      </c>
      <c r="AQ921" t="s">
        <v>63</v>
      </c>
      <c r="AR921" t="s">
        <v>63</v>
      </c>
      <c r="AS921" t="s">
        <v>63</v>
      </c>
      <c r="AT921" t="s">
        <v>63</v>
      </c>
      <c r="AU921" t="s">
        <v>63</v>
      </c>
      <c r="AV921" t="s">
        <v>63</v>
      </c>
      <c r="AW921" t="s">
        <v>63</v>
      </c>
      <c r="AX921" t="s">
        <v>63</v>
      </c>
      <c r="AY921" t="s">
        <v>63</v>
      </c>
      <c r="AZ921" t="s">
        <v>63</v>
      </c>
      <c r="BA921" t="s">
        <v>63</v>
      </c>
      <c r="BB921" t="s">
        <v>63</v>
      </c>
      <c r="BC921" t="s">
        <v>63</v>
      </c>
      <c r="BD921" t="s">
        <v>63</v>
      </c>
      <c r="BE921" t="s">
        <v>63</v>
      </c>
      <c r="BF921" t="s">
        <v>63</v>
      </c>
    </row>
    <row r="922" spans="1:58">
      <c r="A922" t="s">
        <v>58</v>
      </c>
      <c r="B922" t="s">
        <v>8214</v>
      </c>
      <c r="C922" t="s">
        <v>8215</v>
      </c>
      <c r="D922" t="s">
        <v>533</v>
      </c>
      <c r="E922" t="s">
        <v>534</v>
      </c>
      <c r="F922">
        <v>2012</v>
      </c>
      <c r="G922" s="1">
        <v>41936</v>
      </c>
      <c r="H922">
        <v>367</v>
      </c>
      <c r="I922">
        <v>17</v>
      </c>
      <c r="J922">
        <v>1580</v>
      </c>
      <c r="K922">
        <v>1581</v>
      </c>
      <c r="L922" t="s">
        <v>8216</v>
      </c>
      <c r="M922" t="s">
        <v>63</v>
      </c>
      <c r="N922" t="s">
        <v>8217</v>
      </c>
      <c r="O922" t="s">
        <v>63</v>
      </c>
      <c r="Q922" t="s">
        <v>63</v>
      </c>
      <c r="R922" t="s">
        <v>63</v>
      </c>
      <c r="S922" t="s">
        <v>63</v>
      </c>
      <c r="T922" t="s">
        <v>63</v>
      </c>
      <c r="X922" t="s">
        <v>63</v>
      </c>
      <c r="Y922" t="s">
        <v>537</v>
      </c>
      <c r="Z922" t="s">
        <v>63</v>
      </c>
      <c r="AA922" t="s">
        <v>8218</v>
      </c>
      <c r="AB922">
        <v>23094719</v>
      </c>
      <c r="AC922" t="s">
        <v>67</v>
      </c>
      <c r="AD922" t="s">
        <v>63</v>
      </c>
      <c r="AE922" t="s">
        <v>63</v>
      </c>
      <c r="AF922" t="s">
        <v>63</v>
      </c>
      <c r="AG922" t="s">
        <v>8219</v>
      </c>
      <c r="AH922" t="s">
        <v>63</v>
      </c>
      <c r="AI922" t="s">
        <v>8220</v>
      </c>
      <c r="AJ922" t="s">
        <v>63</v>
      </c>
      <c r="AK922" t="s">
        <v>63</v>
      </c>
      <c r="AL922" t="s">
        <v>63</v>
      </c>
      <c r="AM922" t="s">
        <v>8221</v>
      </c>
      <c r="AN922" t="s">
        <v>63</v>
      </c>
      <c r="AO922" t="s">
        <v>63</v>
      </c>
      <c r="AP922" t="s">
        <v>63</v>
      </c>
      <c r="AQ922" t="s">
        <v>63</v>
      </c>
      <c r="AR922" t="s">
        <v>63</v>
      </c>
      <c r="AS922" t="s">
        <v>63</v>
      </c>
      <c r="AT922" t="s">
        <v>63</v>
      </c>
      <c r="AU922" t="s">
        <v>63</v>
      </c>
      <c r="AV922" t="s">
        <v>63</v>
      </c>
      <c r="AW922" t="s">
        <v>63</v>
      </c>
      <c r="AX922" t="s">
        <v>63</v>
      </c>
      <c r="AY922" t="s">
        <v>63</v>
      </c>
      <c r="AZ922" t="s">
        <v>63</v>
      </c>
      <c r="BA922" t="s">
        <v>63</v>
      </c>
      <c r="BB922" t="s">
        <v>63</v>
      </c>
      <c r="BC922" t="s">
        <v>63</v>
      </c>
      <c r="BD922" t="s">
        <v>63</v>
      </c>
      <c r="BE922" t="s">
        <v>63</v>
      </c>
      <c r="BF922" t="s">
        <v>63</v>
      </c>
    </row>
    <row r="923" spans="1:58">
      <c r="A923" t="s">
        <v>58</v>
      </c>
      <c r="B923" t="s">
        <v>8222</v>
      </c>
      <c r="C923" t="s">
        <v>8223</v>
      </c>
      <c r="D923" t="s">
        <v>325</v>
      </c>
      <c r="E923" t="s">
        <v>63</v>
      </c>
      <c r="F923">
        <v>2018</v>
      </c>
      <c r="G923" t="s">
        <v>84</v>
      </c>
      <c r="H923">
        <v>42</v>
      </c>
      <c r="I923">
        <v>2</v>
      </c>
      <c r="J923">
        <v>269</v>
      </c>
      <c r="K923">
        <v>272</v>
      </c>
      <c r="L923" t="s">
        <v>63</v>
      </c>
      <c r="M923" t="s">
        <v>63</v>
      </c>
      <c r="N923" t="s">
        <v>8224</v>
      </c>
      <c r="O923" t="s">
        <v>63</v>
      </c>
      <c r="Q923" t="s">
        <v>63</v>
      </c>
      <c r="R923" t="s">
        <v>63</v>
      </c>
      <c r="S923" t="s">
        <v>63</v>
      </c>
      <c r="T923" t="s">
        <v>63</v>
      </c>
      <c r="X923" t="s">
        <v>63</v>
      </c>
      <c r="Y923" t="s">
        <v>330</v>
      </c>
      <c r="Z923" t="s">
        <v>63</v>
      </c>
      <c r="AA923" t="s">
        <v>8225</v>
      </c>
      <c r="AB923">
        <v>29536394</v>
      </c>
      <c r="AC923" t="s">
        <v>67</v>
      </c>
      <c r="AD923" t="s">
        <v>63</v>
      </c>
      <c r="AE923" t="s">
        <v>63</v>
      </c>
      <c r="AF923" t="s">
        <v>63</v>
      </c>
      <c r="AG923" t="s">
        <v>8226</v>
      </c>
      <c r="AH923" t="s">
        <v>63</v>
      </c>
      <c r="AI923" t="s">
        <v>8227</v>
      </c>
      <c r="AJ923" t="s">
        <v>63</v>
      </c>
      <c r="AK923" t="s">
        <v>63</v>
      </c>
      <c r="AL923" t="s">
        <v>63</v>
      </c>
      <c r="AM923" t="s">
        <v>8228</v>
      </c>
      <c r="AN923" t="s">
        <v>63</v>
      </c>
      <c r="AO923" t="s">
        <v>63</v>
      </c>
      <c r="AP923" t="s">
        <v>63</v>
      </c>
      <c r="AQ923" t="s">
        <v>63</v>
      </c>
      <c r="AR923" t="s">
        <v>63</v>
      </c>
      <c r="AS923" t="s">
        <v>63</v>
      </c>
      <c r="AT923" t="s">
        <v>63</v>
      </c>
      <c r="AU923" t="s">
        <v>63</v>
      </c>
      <c r="AV923" t="s">
        <v>63</v>
      </c>
      <c r="AW923" t="s">
        <v>63</v>
      </c>
      <c r="AX923" t="s">
        <v>63</v>
      </c>
      <c r="AY923" t="s">
        <v>63</v>
      </c>
      <c r="AZ923" t="s">
        <v>63</v>
      </c>
      <c r="BA923" t="s">
        <v>63</v>
      </c>
      <c r="BB923" t="s">
        <v>63</v>
      </c>
      <c r="BC923" t="s">
        <v>63</v>
      </c>
      <c r="BD923" t="s">
        <v>63</v>
      </c>
      <c r="BE923" t="s">
        <v>63</v>
      </c>
      <c r="BF923" t="s">
        <v>63</v>
      </c>
    </row>
    <row r="924" spans="1:58">
      <c r="A924" t="s">
        <v>58</v>
      </c>
      <c r="B924" t="s">
        <v>8229</v>
      </c>
      <c r="C924" t="s">
        <v>8230</v>
      </c>
      <c r="D924" t="s">
        <v>60</v>
      </c>
      <c r="E924" t="s">
        <v>61</v>
      </c>
      <c r="F924">
        <v>2016</v>
      </c>
      <c r="G924" s="1">
        <v>41804</v>
      </c>
      <c r="H924">
        <v>93</v>
      </c>
      <c r="I924">
        <v>12</v>
      </c>
      <c r="J924">
        <v>982</v>
      </c>
      <c r="K924">
        <v>990</v>
      </c>
      <c r="L924" t="s">
        <v>8231</v>
      </c>
      <c r="M924" t="s">
        <v>8232</v>
      </c>
      <c r="N924" t="s">
        <v>8233</v>
      </c>
      <c r="O924" t="s">
        <v>63</v>
      </c>
      <c r="Q924" t="s">
        <v>63</v>
      </c>
      <c r="R924" t="s">
        <v>63</v>
      </c>
      <c r="S924" t="s">
        <v>63</v>
      </c>
      <c r="T924" t="s">
        <v>63</v>
      </c>
      <c r="X924" t="s">
        <v>63</v>
      </c>
      <c r="Y924" t="s">
        <v>66</v>
      </c>
      <c r="Z924" t="s">
        <v>63</v>
      </c>
      <c r="AA924" t="s">
        <v>8234</v>
      </c>
      <c r="AB924">
        <v>27304767</v>
      </c>
      <c r="AC924" t="s">
        <v>67</v>
      </c>
      <c r="AD924" t="s">
        <v>63</v>
      </c>
      <c r="AE924" t="s">
        <v>63</v>
      </c>
      <c r="AF924" t="s">
        <v>63</v>
      </c>
      <c r="AG924" t="s">
        <v>8235</v>
      </c>
      <c r="AH924" t="s">
        <v>63</v>
      </c>
      <c r="AI924" t="s">
        <v>63</v>
      </c>
      <c r="AJ924" t="s">
        <v>63</v>
      </c>
      <c r="AK924" t="s">
        <v>63</v>
      </c>
      <c r="AL924" t="s">
        <v>63</v>
      </c>
      <c r="AM924" t="s">
        <v>8236</v>
      </c>
      <c r="AN924" t="s">
        <v>63</v>
      </c>
      <c r="AO924" t="s">
        <v>63</v>
      </c>
      <c r="AP924" t="s">
        <v>63</v>
      </c>
      <c r="AQ924" t="s">
        <v>63</v>
      </c>
      <c r="AR924" t="s">
        <v>63</v>
      </c>
      <c r="AS924" t="s">
        <v>63</v>
      </c>
      <c r="AT924" t="s">
        <v>63</v>
      </c>
      <c r="AU924" t="s">
        <v>63</v>
      </c>
      <c r="AV924" t="s">
        <v>63</v>
      </c>
      <c r="AW924" t="s">
        <v>63</v>
      </c>
      <c r="AX924" t="s">
        <v>63</v>
      </c>
      <c r="AY924" t="s">
        <v>63</v>
      </c>
      <c r="AZ924" t="s">
        <v>63</v>
      </c>
      <c r="BA924" t="s">
        <v>63</v>
      </c>
      <c r="BB924" t="s">
        <v>63</v>
      </c>
      <c r="BC924" t="s">
        <v>63</v>
      </c>
      <c r="BD924" t="s">
        <v>63</v>
      </c>
      <c r="BE924" t="s">
        <v>63</v>
      </c>
      <c r="BF924" t="s">
        <v>63</v>
      </c>
    </row>
    <row r="925" spans="1:58">
      <c r="A925" t="s">
        <v>58</v>
      </c>
      <c r="B925" t="s">
        <v>8237</v>
      </c>
      <c r="C925" t="s">
        <v>8238</v>
      </c>
      <c r="D925" t="s">
        <v>5099</v>
      </c>
      <c r="E925" t="s">
        <v>63</v>
      </c>
      <c r="F925">
        <v>2015</v>
      </c>
      <c r="G925" t="s">
        <v>73</v>
      </c>
      <c r="H925">
        <v>12</v>
      </c>
      <c r="I925">
        <v>6</v>
      </c>
      <c r="J925">
        <v>854</v>
      </c>
      <c r="K925">
        <v>858</v>
      </c>
      <c r="L925" t="s">
        <v>8239</v>
      </c>
      <c r="M925" t="s">
        <v>8240</v>
      </c>
      <c r="N925" t="s">
        <v>8241</v>
      </c>
      <c r="O925" t="s">
        <v>63</v>
      </c>
      <c r="Q925" t="s">
        <v>63</v>
      </c>
      <c r="R925" t="s">
        <v>63</v>
      </c>
      <c r="S925" t="s">
        <v>63</v>
      </c>
      <c r="T925" t="s">
        <v>63</v>
      </c>
      <c r="X925" t="s">
        <v>63</v>
      </c>
      <c r="Y925" t="s">
        <v>5102</v>
      </c>
      <c r="Z925" t="s">
        <v>63</v>
      </c>
      <c r="AA925" t="s">
        <v>8242</v>
      </c>
      <c r="AB925">
        <v>25867533</v>
      </c>
      <c r="AC925" t="s">
        <v>67</v>
      </c>
      <c r="AD925" t="s">
        <v>63</v>
      </c>
      <c r="AE925" t="s">
        <v>63</v>
      </c>
      <c r="AF925" t="s">
        <v>63</v>
      </c>
      <c r="AG925" t="s">
        <v>8243</v>
      </c>
      <c r="AH925" t="s">
        <v>63</v>
      </c>
      <c r="AI925" t="s">
        <v>8244</v>
      </c>
      <c r="AJ925" t="s">
        <v>63</v>
      </c>
      <c r="AK925" t="s">
        <v>63</v>
      </c>
      <c r="AL925" t="s">
        <v>63</v>
      </c>
      <c r="AM925" t="s">
        <v>8245</v>
      </c>
      <c r="AN925" t="s">
        <v>63</v>
      </c>
      <c r="AO925" t="s">
        <v>63</v>
      </c>
      <c r="AP925" t="s">
        <v>63</v>
      </c>
      <c r="AQ925" t="s">
        <v>63</v>
      </c>
      <c r="AR925" t="s">
        <v>63</v>
      </c>
      <c r="AS925" t="s">
        <v>63</v>
      </c>
      <c r="AT925" t="s">
        <v>63</v>
      </c>
      <c r="AU925" t="s">
        <v>63</v>
      </c>
      <c r="AV925" t="s">
        <v>63</v>
      </c>
      <c r="AW925" t="s">
        <v>63</v>
      </c>
      <c r="AX925" t="s">
        <v>63</v>
      </c>
      <c r="AY925" t="s">
        <v>63</v>
      </c>
      <c r="AZ925" t="s">
        <v>63</v>
      </c>
      <c r="BA925" t="s">
        <v>63</v>
      </c>
      <c r="BB925" t="s">
        <v>63</v>
      </c>
      <c r="BC925" t="s">
        <v>63</v>
      </c>
      <c r="BD925" t="s">
        <v>63</v>
      </c>
      <c r="BE925" t="s">
        <v>63</v>
      </c>
      <c r="BF925" t="s">
        <v>63</v>
      </c>
    </row>
    <row r="926" spans="1:58">
      <c r="A926" t="s">
        <v>58</v>
      </c>
      <c r="B926" t="s">
        <v>8246</v>
      </c>
      <c r="C926" t="s">
        <v>8247</v>
      </c>
      <c r="D926" t="s">
        <v>1393</v>
      </c>
      <c r="E926" t="s">
        <v>1394</v>
      </c>
      <c r="F926">
        <v>2009</v>
      </c>
      <c r="G926" t="s">
        <v>84</v>
      </c>
      <c r="H926">
        <v>11</v>
      </c>
      <c r="I926">
        <v>4</v>
      </c>
      <c r="J926">
        <v>387</v>
      </c>
      <c r="K926">
        <v>393</v>
      </c>
      <c r="L926" t="s">
        <v>8248</v>
      </c>
      <c r="M926" t="s">
        <v>8249</v>
      </c>
      <c r="N926" t="s">
        <v>8250</v>
      </c>
      <c r="O926" t="s">
        <v>63</v>
      </c>
      <c r="Q926" t="s">
        <v>63</v>
      </c>
      <c r="R926" t="s">
        <v>63</v>
      </c>
      <c r="S926" t="s">
        <v>63</v>
      </c>
      <c r="T926" t="s">
        <v>63</v>
      </c>
      <c r="X926" t="s">
        <v>63</v>
      </c>
      <c r="Y926" t="s">
        <v>5404</v>
      </c>
      <c r="Z926" t="s">
        <v>63</v>
      </c>
      <c r="AA926" t="s">
        <v>8251</v>
      </c>
      <c r="AB926">
        <v>19351786</v>
      </c>
      <c r="AC926" t="s">
        <v>67</v>
      </c>
      <c r="AD926" t="s">
        <v>63</v>
      </c>
      <c r="AE926" t="s">
        <v>63</v>
      </c>
      <c r="AF926" t="s">
        <v>63</v>
      </c>
      <c r="AG926" t="s">
        <v>8252</v>
      </c>
      <c r="AH926" t="s">
        <v>63</v>
      </c>
      <c r="AI926" t="s">
        <v>8253</v>
      </c>
      <c r="AJ926" t="s">
        <v>63</v>
      </c>
      <c r="AK926" t="s">
        <v>63</v>
      </c>
      <c r="AL926" t="s">
        <v>63</v>
      </c>
      <c r="AM926" t="s">
        <v>8254</v>
      </c>
      <c r="AN926" t="s">
        <v>63</v>
      </c>
      <c r="AO926" t="s">
        <v>63</v>
      </c>
      <c r="AP926" t="s">
        <v>63</v>
      </c>
      <c r="AQ926" t="s">
        <v>63</v>
      </c>
      <c r="AR926" t="s">
        <v>63</v>
      </c>
      <c r="AS926" t="s">
        <v>63</v>
      </c>
      <c r="AT926" t="s">
        <v>63</v>
      </c>
      <c r="AU926" t="s">
        <v>63</v>
      </c>
      <c r="AV926" t="s">
        <v>63</v>
      </c>
      <c r="AW926" t="s">
        <v>63</v>
      </c>
      <c r="AX926" t="s">
        <v>63</v>
      </c>
      <c r="AY926" t="s">
        <v>63</v>
      </c>
      <c r="AZ926" t="s">
        <v>63</v>
      </c>
      <c r="BA926" t="s">
        <v>63</v>
      </c>
      <c r="BB926" t="s">
        <v>63</v>
      </c>
      <c r="BC926" t="s">
        <v>63</v>
      </c>
      <c r="BD926" t="s">
        <v>63</v>
      </c>
      <c r="BE926" t="s">
        <v>63</v>
      </c>
      <c r="BF926" t="s">
        <v>63</v>
      </c>
    </row>
    <row r="927" spans="1:58">
      <c r="A927" t="s">
        <v>58</v>
      </c>
      <c r="B927" t="s">
        <v>8255</v>
      </c>
      <c r="C927" t="s">
        <v>8256</v>
      </c>
      <c r="D927" t="s">
        <v>763</v>
      </c>
      <c r="E927" t="s">
        <v>63</v>
      </c>
      <c r="F927">
        <v>2008</v>
      </c>
      <c r="G927" t="s">
        <v>138</v>
      </c>
      <c r="H927">
        <v>83</v>
      </c>
      <c r="I927">
        <v>10</v>
      </c>
      <c r="J927" t="s">
        <v>8257</v>
      </c>
      <c r="K927">
        <v>8</v>
      </c>
      <c r="L927" t="s">
        <v>8258</v>
      </c>
      <c r="M927" t="s">
        <v>8259</v>
      </c>
      <c r="N927" t="s">
        <v>8260</v>
      </c>
      <c r="O927" t="s">
        <v>63</v>
      </c>
      <c r="Q927" t="s">
        <v>63</v>
      </c>
      <c r="R927" t="s">
        <v>63</v>
      </c>
      <c r="S927" t="s">
        <v>63</v>
      </c>
      <c r="T927" t="s">
        <v>63</v>
      </c>
      <c r="X927" t="s">
        <v>63</v>
      </c>
      <c r="Y927" t="s">
        <v>766</v>
      </c>
      <c r="Z927" t="s">
        <v>63</v>
      </c>
      <c r="AA927" t="s">
        <v>8261</v>
      </c>
      <c r="AB927">
        <v>18820494</v>
      </c>
      <c r="AC927" t="s">
        <v>67</v>
      </c>
      <c r="AD927" t="s">
        <v>63</v>
      </c>
      <c r="AE927" t="s">
        <v>63</v>
      </c>
      <c r="AF927" t="s">
        <v>63</v>
      </c>
      <c r="AG927" t="s">
        <v>8262</v>
      </c>
      <c r="AH927" t="s">
        <v>63</v>
      </c>
      <c r="AI927" t="s">
        <v>8263</v>
      </c>
      <c r="AJ927" t="s">
        <v>63</v>
      </c>
      <c r="AK927" t="s">
        <v>63</v>
      </c>
      <c r="AL927" t="s">
        <v>63</v>
      </c>
      <c r="AM927" t="s">
        <v>8264</v>
      </c>
      <c r="AN927" t="s">
        <v>63</v>
      </c>
      <c r="AO927" t="s">
        <v>63</v>
      </c>
      <c r="AP927" t="s">
        <v>63</v>
      </c>
      <c r="AQ927" t="s">
        <v>63</v>
      </c>
      <c r="AR927" t="s">
        <v>63</v>
      </c>
      <c r="AS927" t="s">
        <v>63</v>
      </c>
      <c r="AT927" t="s">
        <v>63</v>
      </c>
      <c r="AU927" t="s">
        <v>63</v>
      </c>
      <c r="AV927" t="s">
        <v>63</v>
      </c>
      <c r="AW927" t="s">
        <v>63</v>
      </c>
      <c r="AX927" t="s">
        <v>63</v>
      </c>
      <c r="AY927" t="s">
        <v>63</v>
      </c>
      <c r="AZ927" t="s">
        <v>63</v>
      </c>
      <c r="BA927" t="s">
        <v>63</v>
      </c>
      <c r="BB927" t="s">
        <v>63</v>
      </c>
      <c r="BC927" t="s">
        <v>63</v>
      </c>
      <c r="BD927" t="s">
        <v>63</v>
      </c>
      <c r="BE927" t="s">
        <v>63</v>
      </c>
      <c r="BF927" t="s">
        <v>63</v>
      </c>
    </row>
    <row r="928" spans="1:58">
      <c r="A928" t="s">
        <v>58</v>
      </c>
      <c r="B928" t="s">
        <v>8265</v>
      </c>
      <c r="C928" t="s">
        <v>8266</v>
      </c>
      <c r="D928" t="s">
        <v>1184</v>
      </c>
      <c r="E928" t="s">
        <v>1185</v>
      </c>
      <c r="F928">
        <v>1986</v>
      </c>
      <c r="G928" t="s">
        <v>1670</v>
      </c>
      <c r="H928">
        <v>61</v>
      </c>
      <c r="I928">
        <v>7</v>
      </c>
      <c r="J928">
        <v>606</v>
      </c>
      <c r="K928">
        <v>608</v>
      </c>
      <c r="L928" t="s">
        <v>8267</v>
      </c>
      <c r="M928" t="s">
        <v>63</v>
      </c>
      <c r="N928" t="s">
        <v>8268</v>
      </c>
      <c r="O928" t="s">
        <v>63</v>
      </c>
      <c r="Q928" t="s">
        <v>63</v>
      </c>
      <c r="R928" t="s">
        <v>63</v>
      </c>
      <c r="S928" t="s">
        <v>63</v>
      </c>
      <c r="T928" t="s">
        <v>63</v>
      </c>
      <c r="X928" t="s">
        <v>63</v>
      </c>
      <c r="Y928" t="s">
        <v>1188</v>
      </c>
      <c r="Z928" t="s">
        <v>63</v>
      </c>
      <c r="AA928" t="s">
        <v>63</v>
      </c>
      <c r="AB928">
        <v>3723576</v>
      </c>
      <c r="AC928" t="s">
        <v>67</v>
      </c>
      <c r="AD928" t="s">
        <v>63</v>
      </c>
      <c r="AE928" t="s">
        <v>63</v>
      </c>
      <c r="AF928" t="s">
        <v>63</v>
      </c>
      <c r="AG928" t="s">
        <v>8269</v>
      </c>
      <c r="AH928" t="s">
        <v>63</v>
      </c>
      <c r="AI928" t="s">
        <v>63</v>
      </c>
      <c r="AJ928" t="s">
        <v>63</v>
      </c>
      <c r="AK928" t="s">
        <v>63</v>
      </c>
      <c r="AL928" t="s">
        <v>63</v>
      </c>
      <c r="AM928" t="s">
        <v>8270</v>
      </c>
      <c r="AN928" t="s">
        <v>63</v>
      </c>
      <c r="AO928" t="s">
        <v>63</v>
      </c>
      <c r="AP928" t="s">
        <v>63</v>
      </c>
      <c r="AQ928" t="s">
        <v>63</v>
      </c>
      <c r="AR928" t="s">
        <v>63</v>
      </c>
      <c r="AS928" t="s">
        <v>63</v>
      </c>
      <c r="AT928" t="s">
        <v>63</v>
      </c>
      <c r="AU928" t="s">
        <v>63</v>
      </c>
      <c r="AV928" t="s">
        <v>63</v>
      </c>
      <c r="AW928" t="s">
        <v>63</v>
      </c>
      <c r="AX928" t="s">
        <v>63</v>
      </c>
      <c r="AY928" t="s">
        <v>63</v>
      </c>
      <c r="AZ928" t="s">
        <v>63</v>
      </c>
      <c r="BA928" t="s">
        <v>63</v>
      </c>
      <c r="BB928" t="s">
        <v>63</v>
      </c>
      <c r="BC928" t="s">
        <v>63</v>
      </c>
      <c r="BD928" t="s">
        <v>63</v>
      </c>
      <c r="BE928" t="s">
        <v>63</v>
      </c>
      <c r="BF928" t="s">
        <v>63</v>
      </c>
    </row>
    <row r="929" spans="1:58">
      <c r="A929" t="s">
        <v>58</v>
      </c>
      <c r="B929" t="s">
        <v>8271</v>
      </c>
      <c r="C929" t="s">
        <v>8272</v>
      </c>
      <c r="D929" t="s">
        <v>8273</v>
      </c>
      <c r="E929" t="s">
        <v>8274</v>
      </c>
      <c r="F929">
        <v>1992</v>
      </c>
      <c r="G929" s="1">
        <v>41834</v>
      </c>
      <c r="H929">
        <v>93</v>
      </c>
      <c r="I929">
        <v>1</v>
      </c>
      <c r="J929" t="s">
        <v>8275</v>
      </c>
      <c r="K929" t="s">
        <v>8276</v>
      </c>
      <c r="L929" t="s">
        <v>8277</v>
      </c>
      <c r="M929" t="s">
        <v>8278</v>
      </c>
      <c r="N929" t="s">
        <v>8279</v>
      </c>
      <c r="O929" t="s">
        <v>63</v>
      </c>
      <c r="Q929" t="s">
        <v>63</v>
      </c>
      <c r="R929" t="s">
        <v>63</v>
      </c>
      <c r="S929" t="s">
        <v>63</v>
      </c>
      <c r="T929" t="s">
        <v>63</v>
      </c>
      <c r="X929" t="s">
        <v>63</v>
      </c>
      <c r="Y929" s="2">
        <v>2717071</v>
      </c>
      <c r="Z929" t="s">
        <v>63</v>
      </c>
      <c r="AA929" t="s">
        <v>8280</v>
      </c>
      <c r="AB929">
        <v>1497004</v>
      </c>
      <c r="AC929" t="s">
        <v>67</v>
      </c>
      <c r="AD929" t="s">
        <v>63</v>
      </c>
      <c r="AE929" t="s">
        <v>63</v>
      </c>
      <c r="AF929" t="s">
        <v>63</v>
      </c>
      <c r="AG929" t="s">
        <v>8281</v>
      </c>
      <c r="AH929" t="s">
        <v>63</v>
      </c>
      <c r="AI929" t="s">
        <v>63</v>
      </c>
      <c r="AJ929" t="s">
        <v>63</v>
      </c>
      <c r="AK929" t="s">
        <v>63</v>
      </c>
      <c r="AL929" t="s">
        <v>63</v>
      </c>
      <c r="AM929" t="s">
        <v>8282</v>
      </c>
      <c r="AN929" t="s">
        <v>63</v>
      </c>
      <c r="AO929" t="s">
        <v>63</v>
      </c>
      <c r="AP929" t="s">
        <v>63</v>
      </c>
      <c r="AQ929" t="s">
        <v>63</v>
      </c>
      <c r="AR929" t="s">
        <v>63</v>
      </c>
      <c r="AS929" t="s">
        <v>63</v>
      </c>
      <c r="AT929" t="s">
        <v>63</v>
      </c>
      <c r="AU929" t="s">
        <v>63</v>
      </c>
      <c r="AV929" t="s">
        <v>63</v>
      </c>
      <c r="AW929" t="s">
        <v>63</v>
      </c>
      <c r="AX929" t="s">
        <v>63</v>
      </c>
      <c r="AY929" t="s">
        <v>63</v>
      </c>
      <c r="AZ929" t="s">
        <v>63</v>
      </c>
      <c r="BA929" t="s">
        <v>63</v>
      </c>
      <c r="BB929" t="s">
        <v>63</v>
      </c>
      <c r="BC929" t="s">
        <v>63</v>
      </c>
      <c r="BD929" t="s">
        <v>63</v>
      </c>
      <c r="BE929" t="s">
        <v>63</v>
      </c>
      <c r="BF929" t="s">
        <v>63</v>
      </c>
    </row>
    <row r="930" spans="1:58">
      <c r="A930" t="s">
        <v>58</v>
      </c>
      <c r="B930" t="s">
        <v>8283</v>
      </c>
      <c r="C930" t="s">
        <v>8284</v>
      </c>
      <c r="D930" t="s">
        <v>408</v>
      </c>
      <c r="E930" t="s">
        <v>409</v>
      </c>
      <c r="F930">
        <v>2007</v>
      </c>
      <c r="G930" t="s">
        <v>63</v>
      </c>
      <c r="H930">
        <v>42</v>
      </c>
      <c r="I930">
        <v>7</v>
      </c>
      <c r="J930">
        <v>1109</v>
      </c>
      <c r="K930">
        <v>1126</v>
      </c>
      <c r="L930" t="s">
        <v>8285</v>
      </c>
      <c r="M930" t="s">
        <v>8286</v>
      </c>
      <c r="N930" t="s">
        <v>8287</v>
      </c>
      <c r="O930" t="s">
        <v>63</v>
      </c>
      <c r="Q930" t="s">
        <v>63</v>
      </c>
      <c r="R930" t="s">
        <v>63</v>
      </c>
      <c r="S930" t="s">
        <v>63</v>
      </c>
      <c r="T930" t="s">
        <v>63</v>
      </c>
      <c r="X930" t="s">
        <v>63</v>
      </c>
      <c r="Y930" t="s">
        <v>3682</v>
      </c>
      <c r="Z930" t="s">
        <v>63</v>
      </c>
      <c r="AA930" t="s">
        <v>8288</v>
      </c>
      <c r="AB930">
        <v>17668328</v>
      </c>
      <c r="AC930" t="s">
        <v>67</v>
      </c>
      <c r="AD930" t="s">
        <v>63</v>
      </c>
      <c r="AE930" t="s">
        <v>63</v>
      </c>
      <c r="AF930" t="s">
        <v>63</v>
      </c>
      <c r="AG930" t="s">
        <v>8289</v>
      </c>
      <c r="AH930" t="s">
        <v>63</v>
      </c>
      <c r="AI930" t="s">
        <v>63</v>
      </c>
      <c r="AJ930" t="s">
        <v>63</v>
      </c>
      <c r="AK930" t="s">
        <v>63</v>
      </c>
      <c r="AL930" t="s">
        <v>63</v>
      </c>
      <c r="AM930" t="s">
        <v>8290</v>
      </c>
      <c r="AN930" t="s">
        <v>63</v>
      </c>
      <c r="AO930" t="s">
        <v>63</v>
      </c>
      <c r="AP930" t="s">
        <v>63</v>
      </c>
      <c r="AQ930" t="s">
        <v>63</v>
      </c>
      <c r="AR930" t="s">
        <v>63</v>
      </c>
      <c r="AS930" t="s">
        <v>63</v>
      </c>
      <c r="AT930" t="s">
        <v>63</v>
      </c>
      <c r="AU930" t="s">
        <v>63</v>
      </c>
      <c r="AV930" t="s">
        <v>63</v>
      </c>
      <c r="AW930" t="s">
        <v>63</v>
      </c>
      <c r="AX930" t="s">
        <v>63</v>
      </c>
      <c r="AY930" t="s">
        <v>63</v>
      </c>
      <c r="AZ930" t="s">
        <v>63</v>
      </c>
      <c r="BA930" t="s">
        <v>63</v>
      </c>
      <c r="BB930" t="s">
        <v>63</v>
      </c>
      <c r="BC930" t="s">
        <v>63</v>
      </c>
      <c r="BD930" t="s">
        <v>63</v>
      </c>
      <c r="BE930" t="s">
        <v>63</v>
      </c>
      <c r="BF930" t="s">
        <v>63</v>
      </c>
    </row>
    <row r="931" spans="1:58">
      <c r="A931" t="s">
        <v>58</v>
      </c>
      <c r="B931" t="s">
        <v>8291</v>
      </c>
      <c r="C931" t="s">
        <v>8292</v>
      </c>
      <c r="D931" t="s">
        <v>938</v>
      </c>
      <c r="E931" t="s">
        <v>63</v>
      </c>
      <c r="F931">
        <v>2016</v>
      </c>
      <c r="G931" t="s">
        <v>157</v>
      </c>
      <c r="H931">
        <v>25</v>
      </c>
      <c r="I931">
        <v>8</v>
      </c>
      <c r="J931">
        <v>603</v>
      </c>
      <c r="K931">
        <v>609</v>
      </c>
      <c r="L931" t="s">
        <v>8293</v>
      </c>
      <c r="M931" t="s">
        <v>8294</v>
      </c>
      <c r="N931" t="s">
        <v>8295</v>
      </c>
      <c r="O931" t="s">
        <v>63</v>
      </c>
      <c r="Q931" t="s">
        <v>63</v>
      </c>
      <c r="R931" t="s">
        <v>63</v>
      </c>
      <c r="S931" t="s">
        <v>63</v>
      </c>
      <c r="T931" t="s">
        <v>63</v>
      </c>
      <c r="X931" t="s">
        <v>63</v>
      </c>
      <c r="Y931" t="s">
        <v>942</v>
      </c>
      <c r="Z931" t="s">
        <v>63</v>
      </c>
      <c r="AA931" t="s">
        <v>8296</v>
      </c>
      <c r="AB931">
        <v>28051841</v>
      </c>
      <c r="AC931" t="s">
        <v>67</v>
      </c>
      <c r="AD931" t="s">
        <v>63</v>
      </c>
      <c r="AE931" t="s">
        <v>63</v>
      </c>
      <c r="AF931" t="s">
        <v>63</v>
      </c>
      <c r="AG931" t="s">
        <v>8297</v>
      </c>
      <c r="AH931" t="s">
        <v>63</v>
      </c>
      <c r="AI931" t="s">
        <v>8298</v>
      </c>
      <c r="AJ931" t="s">
        <v>63</v>
      </c>
      <c r="AK931" t="s">
        <v>63</v>
      </c>
      <c r="AL931" t="s">
        <v>63</v>
      </c>
      <c r="AM931" t="s">
        <v>8299</v>
      </c>
      <c r="AN931" t="s">
        <v>63</v>
      </c>
      <c r="AO931" t="s">
        <v>63</v>
      </c>
      <c r="AP931" t="s">
        <v>63</v>
      </c>
      <c r="AQ931" t="s">
        <v>63</v>
      </c>
      <c r="AR931" t="s">
        <v>63</v>
      </c>
      <c r="AS931" t="s">
        <v>63</v>
      </c>
      <c r="AT931" t="s">
        <v>63</v>
      </c>
      <c r="AU931" t="s">
        <v>63</v>
      </c>
      <c r="AV931" t="s">
        <v>63</v>
      </c>
      <c r="AW931" t="s">
        <v>63</v>
      </c>
      <c r="AX931" t="s">
        <v>63</v>
      </c>
      <c r="AY931" t="s">
        <v>63</v>
      </c>
      <c r="AZ931" t="s">
        <v>63</v>
      </c>
      <c r="BA931" t="s">
        <v>63</v>
      </c>
      <c r="BB931" t="s">
        <v>63</v>
      </c>
      <c r="BC931" t="s">
        <v>63</v>
      </c>
      <c r="BD931" t="s">
        <v>63</v>
      </c>
      <c r="BE931" t="s">
        <v>63</v>
      </c>
      <c r="BF931" t="s">
        <v>63</v>
      </c>
    </row>
    <row r="932" spans="1:58">
      <c r="A932" t="s">
        <v>58</v>
      </c>
      <c r="B932" t="s">
        <v>8300</v>
      </c>
      <c r="C932" t="s">
        <v>8301</v>
      </c>
      <c r="D932" t="s">
        <v>90</v>
      </c>
      <c r="E932" t="s">
        <v>63</v>
      </c>
      <c r="F932">
        <v>1999</v>
      </c>
      <c r="G932" t="s">
        <v>63</v>
      </c>
      <c r="H932">
        <v>18</v>
      </c>
      <c r="I932">
        <v>2</v>
      </c>
      <c r="J932">
        <v>39</v>
      </c>
      <c r="K932">
        <v>50</v>
      </c>
      <c r="L932" t="s">
        <v>8302</v>
      </c>
      <c r="M932" t="s">
        <v>8303</v>
      </c>
      <c r="N932" t="s">
        <v>8304</v>
      </c>
      <c r="O932" t="s">
        <v>63</v>
      </c>
      <c r="Q932" t="s">
        <v>63</v>
      </c>
      <c r="R932" t="s">
        <v>63</v>
      </c>
      <c r="S932" t="s">
        <v>63</v>
      </c>
      <c r="T932" t="s">
        <v>63</v>
      </c>
      <c r="X932" t="s">
        <v>63</v>
      </c>
      <c r="Y932" t="s">
        <v>93</v>
      </c>
      <c r="Z932" t="s">
        <v>63</v>
      </c>
      <c r="AA932" t="s">
        <v>8305</v>
      </c>
      <c r="AB932">
        <v>10334374</v>
      </c>
      <c r="AC932" t="s">
        <v>67</v>
      </c>
      <c r="AD932" t="s">
        <v>63</v>
      </c>
      <c r="AE932" t="s">
        <v>63</v>
      </c>
      <c r="AF932" t="s">
        <v>63</v>
      </c>
      <c r="AG932" t="s">
        <v>8306</v>
      </c>
      <c r="AH932" t="s">
        <v>63</v>
      </c>
      <c r="AI932" t="s">
        <v>63</v>
      </c>
      <c r="AJ932" t="s">
        <v>63</v>
      </c>
      <c r="AK932" t="s">
        <v>63</v>
      </c>
      <c r="AL932" t="s">
        <v>63</v>
      </c>
      <c r="AM932" t="s">
        <v>8307</v>
      </c>
      <c r="AN932" t="s">
        <v>63</v>
      </c>
      <c r="AO932" t="s">
        <v>63</v>
      </c>
      <c r="AP932" t="s">
        <v>63</v>
      </c>
      <c r="AQ932" t="s">
        <v>63</v>
      </c>
      <c r="AR932" t="s">
        <v>63</v>
      </c>
      <c r="AS932" t="s">
        <v>63</v>
      </c>
      <c r="AT932" t="s">
        <v>63</v>
      </c>
      <c r="AU932" t="s">
        <v>63</v>
      </c>
      <c r="AV932" t="s">
        <v>63</v>
      </c>
      <c r="AW932" t="s">
        <v>63</v>
      </c>
      <c r="AX932" t="s">
        <v>63</v>
      </c>
      <c r="AY932" t="s">
        <v>63</v>
      </c>
      <c r="AZ932" t="s">
        <v>63</v>
      </c>
      <c r="BA932" t="s">
        <v>63</v>
      </c>
      <c r="BB932" t="s">
        <v>63</v>
      </c>
      <c r="BC932" t="s">
        <v>63</v>
      </c>
      <c r="BD932" t="s">
        <v>63</v>
      </c>
      <c r="BE932" t="s">
        <v>63</v>
      </c>
      <c r="BF932" t="s">
        <v>63</v>
      </c>
    </row>
    <row r="933" spans="1:58">
      <c r="A933" t="s">
        <v>58</v>
      </c>
      <c r="B933" t="s">
        <v>8308</v>
      </c>
      <c r="C933" t="s">
        <v>8309</v>
      </c>
      <c r="D933" t="s">
        <v>1417</v>
      </c>
      <c r="E933" t="s">
        <v>63</v>
      </c>
      <c r="F933">
        <v>2010</v>
      </c>
      <c r="G933" s="1">
        <v>41670</v>
      </c>
      <c r="H933">
        <v>110</v>
      </c>
      <c r="I933">
        <v>2</v>
      </c>
      <c r="J933">
        <v>524</v>
      </c>
      <c r="K933">
        <v>525</v>
      </c>
      <c r="L933" t="s">
        <v>8310</v>
      </c>
      <c r="M933" t="s">
        <v>8311</v>
      </c>
      <c r="N933" t="s">
        <v>8312</v>
      </c>
      <c r="O933" t="s">
        <v>63</v>
      </c>
      <c r="Q933" t="s">
        <v>63</v>
      </c>
      <c r="R933" t="s">
        <v>63</v>
      </c>
      <c r="S933" t="s">
        <v>63</v>
      </c>
      <c r="T933" t="s">
        <v>63</v>
      </c>
      <c r="X933" t="s">
        <v>63</v>
      </c>
      <c r="Y933" t="s">
        <v>1420</v>
      </c>
      <c r="Z933" t="s">
        <v>63</v>
      </c>
      <c r="AA933" t="s">
        <v>8313</v>
      </c>
      <c r="AB933">
        <v>19917624</v>
      </c>
      <c r="AC933" t="s">
        <v>67</v>
      </c>
      <c r="AD933" t="s">
        <v>63</v>
      </c>
      <c r="AE933" t="s">
        <v>63</v>
      </c>
      <c r="AF933" t="s">
        <v>63</v>
      </c>
      <c r="AG933" t="s">
        <v>8314</v>
      </c>
      <c r="AH933" t="s">
        <v>63</v>
      </c>
      <c r="AI933" t="s">
        <v>8315</v>
      </c>
      <c r="AJ933" t="s">
        <v>63</v>
      </c>
      <c r="AK933" t="s">
        <v>63</v>
      </c>
      <c r="AL933" t="s">
        <v>63</v>
      </c>
      <c r="AM933" t="s">
        <v>8316</v>
      </c>
      <c r="AN933" t="s">
        <v>63</v>
      </c>
      <c r="AO933" t="s">
        <v>63</v>
      </c>
      <c r="AP933" t="s">
        <v>63</v>
      </c>
      <c r="AQ933" t="s">
        <v>63</v>
      </c>
      <c r="AR933" t="s">
        <v>63</v>
      </c>
      <c r="AS933" t="s">
        <v>63</v>
      </c>
      <c r="AT933" t="s">
        <v>63</v>
      </c>
      <c r="AU933" t="s">
        <v>63</v>
      </c>
      <c r="AV933" t="s">
        <v>63</v>
      </c>
      <c r="AW933" t="s">
        <v>63</v>
      </c>
      <c r="AX933" t="s">
        <v>63</v>
      </c>
      <c r="AY933" t="s">
        <v>63</v>
      </c>
      <c r="AZ933" t="s">
        <v>63</v>
      </c>
      <c r="BA933" t="s">
        <v>63</v>
      </c>
      <c r="BB933" t="s">
        <v>63</v>
      </c>
      <c r="BC933" t="s">
        <v>63</v>
      </c>
      <c r="BD933" t="s">
        <v>63</v>
      </c>
      <c r="BE933" t="s">
        <v>63</v>
      </c>
      <c r="BF933" t="s">
        <v>63</v>
      </c>
    </row>
    <row r="934" spans="1:58">
      <c r="A934" t="s">
        <v>58</v>
      </c>
      <c r="B934" t="s">
        <v>8317</v>
      </c>
      <c r="C934" t="s">
        <v>8318</v>
      </c>
      <c r="D934" t="s">
        <v>325</v>
      </c>
      <c r="E934" t="s">
        <v>63</v>
      </c>
      <c r="F934">
        <v>2016</v>
      </c>
      <c r="G934" t="s">
        <v>73</v>
      </c>
      <c r="H934">
        <v>40</v>
      </c>
      <c r="I934">
        <v>3</v>
      </c>
      <c r="J934">
        <v>514</v>
      </c>
      <c r="K934">
        <v>516</v>
      </c>
      <c r="L934" t="s">
        <v>8319</v>
      </c>
      <c r="M934" t="s">
        <v>63</v>
      </c>
      <c r="N934" t="s">
        <v>8320</v>
      </c>
      <c r="O934" t="s">
        <v>63</v>
      </c>
      <c r="Q934" t="s">
        <v>63</v>
      </c>
      <c r="R934" t="s">
        <v>63</v>
      </c>
      <c r="S934" t="s">
        <v>63</v>
      </c>
      <c r="T934" t="s">
        <v>63</v>
      </c>
      <c r="X934" t="s">
        <v>63</v>
      </c>
      <c r="Y934" t="s">
        <v>330</v>
      </c>
      <c r="Z934" t="s">
        <v>63</v>
      </c>
      <c r="AA934" t="s">
        <v>8321</v>
      </c>
      <c r="AB934">
        <v>26122351</v>
      </c>
      <c r="AC934" t="s">
        <v>67</v>
      </c>
      <c r="AD934" t="s">
        <v>63</v>
      </c>
      <c r="AE934" t="s">
        <v>63</v>
      </c>
      <c r="AF934" t="s">
        <v>63</v>
      </c>
      <c r="AG934" t="s">
        <v>8322</v>
      </c>
      <c r="AH934" t="s">
        <v>63</v>
      </c>
      <c r="AI934" t="s">
        <v>8323</v>
      </c>
      <c r="AJ934" t="s">
        <v>63</v>
      </c>
      <c r="AK934" t="s">
        <v>63</v>
      </c>
      <c r="AL934" t="s">
        <v>63</v>
      </c>
      <c r="AM934" t="s">
        <v>8324</v>
      </c>
      <c r="AN934" t="s">
        <v>63</v>
      </c>
      <c r="AO934" t="s">
        <v>63</v>
      </c>
      <c r="AP934" t="s">
        <v>63</v>
      </c>
      <c r="AQ934" t="s">
        <v>63</v>
      </c>
      <c r="AR934" t="s">
        <v>63</v>
      </c>
      <c r="AS934" t="s">
        <v>63</v>
      </c>
      <c r="AT934" t="s">
        <v>63</v>
      </c>
      <c r="AU934" t="s">
        <v>63</v>
      </c>
      <c r="AV934" t="s">
        <v>63</v>
      </c>
      <c r="AW934" t="s">
        <v>63</v>
      </c>
      <c r="AX934" t="s">
        <v>63</v>
      </c>
      <c r="AY934" t="s">
        <v>63</v>
      </c>
      <c r="AZ934" t="s">
        <v>63</v>
      </c>
      <c r="BA934" t="s">
        <v>63</v>
      </c>
      <c r="BB934" t="s">
        <v>63</v>
      </c>
      <c r="BC934" t="s">
        <v>63</v>
      </c>
      <c r="BD934" t="s">
        <v>63</v>
      </c>
      <c r="BE934" t="s">
        <v>63</v>
      </c>
      <c r="BF934" t="s">
        <v>63</v>
      </c>
    </row>
    <row r="935" spans="1:58">
      <c r="A935" t="s">
        <v>58</v>
      </c>
      <c r="B935" t="s">
        <v>8325</v>
      </c>
      <c r="C935" t="s">
        <v>8326</v>
      </c>
      <c r="D935" t="s">
        <v>2353</v>
      </c>
      <c r="E935" t="s">
        <v>2354</v>
      </c>
      <c r="F935">
        <v>2013</v>
      </c>
      <c r="G935" t="s">
        <v>198</v>
      </c>
      <c r="H935">
        <v>44</v>
      </c>
      <c r="I935">
        <v>1</v>
      </c>
      <c r="J935">
        <v>84</v>
      </c>
      <c r="K935">
        <v>89</v>
      </c>
      <c r="L935" t="s">
        <v>8327</v>
      </c>
      <c r="M935" t="s">
        <v>8328</v>
      </c>
      <c r="N935" t="s">
        <v>8329</v>
      </c>
      <c r="O935" t="s">
        <v>63</v>
      </c>
      <c r="Q935" t="s">
        <v>63</v>
      </c>
      <c r="R935" t="s">
        <v>63</v>
      </c>
      <c r="S935" t="s">
        <v>63</v>
      </c>
      <c r="T935" t="s">
        <v>63</v>
      </c>
      <c r="X935" t="s">
        <v>63</v>
      </c>
      <c r="Y935" t="s">
        <v>8330</v>
      </c>
      <c r="Z935" t="s">
        <v>63</v>
      </c>
      <c r="AA935" t="s">
        <v>8331</v>
      </c>
      <c r="AB935">
        <v>22579033</v>
      </c>
      <c r="AC935" t="s">
        <v>67</v>
      </c>
      <c r="AD935" t="s">
        <v>63</v>
      </c>
      <c r="AE935" t="s">
        <v>63</v>
      </c>
      <c r="AF935" t="s">
        <v>63</v>
      </c>
      <c r="AG935" t="s">
        <v>8332</v>
      </c>
      <c r="AH935" t="s">
        <v>63</v>
      </c>
      <c r="AI935" t="s">
        <v>8333</v>
      </c>
      <c r="AJ935" t="s">
        <v>63</v>
      </c>
      <c r="AK935" t="s">
        <v>63</v>
      </c>
      <c r="AL935" t="s">
        <v>63</v>
      </c>
      <c r="AM935" t="s">
        <v>8334</v>
      </c>
      <c r="AN935" t="s">
        <v>63</v>
      </c>
      <c r="AO935" t="s">
        <v>63</v>
      </c>
      <c r="AP935" t="s">
        <v>63</v>
      </c>
      <c r="AQ935" t="s">
        <v>63</v>
      </c>
      <c r="AR935" t="s">
        <v>63</v>
      </c>
      <c r="AS935" t="s">
        <v>63</v>
      </c>
      <c r="AT935" t="s">
        <v>63</v>
      </c>
      <c r="AU935" t="s">
        <v>63</v>
      </c>
      <c r="AV935" t="s">
        <v>63</v>
      </c>
      <c r="AW935" t="s">
        <v>63</v>
      </c>
      <c r="AX935" t="s">
        <v>63</v>
      </c>
      <c r="AY935" t="s">
        <v>63</v>
      </c>
      <c r="AZ935" t="s">
        <v>63</v>
      </c>
      <c r="BA935" t="s">
        <v>63</v>
      </c>
      <c r="BB935" t="s">
        <v>63</v>
      </c>
      <c r="BC935" t="s">
        <v>63</v>
      </c>
      <c r="BD935" t="s">
        <v>63</v>
      </c>
      <c r="BE935" t="s">
        <v>63</v>
      </c>
      <c r="BF935" t="s">
        <v>63</v>
      </c>
    </row>
    <row r="936" spans="1:58">
      <c r="A936" t="s">
        <v>58</v>
      </c>
      <c r="B936" t="s">
        <v>8335</v>
      </c>
      <c r="C936" t="s">
        <v>8336</v>
      </c>
      <c r="D936" t="s">
        <v>8337</v>
      </c>
      <c r="E936" t="s">
        <v>8338</v>
      </c>
      <c r="F936">
        <v>1992</v>
      </c>
      <c r="G936" t="s">
        <v>198</v>
      </c>
      <c r="H936">
        <v>15</v>
      </c>
      <c r="I936">
        <v>1</v>
      </c>
      <c r="J936">
        <v>56</v>
      </c>
      <c r="K936">
        <v>67</v>
      </c>
      <c r="L936" t="s">
        <v>8339</v>
      </c>
      <c r="M936" t="s">
        <v>8340</v>
      </c>
      <c r="N936" t="s">
        <v>8341</v>
      </c>
      <c r="O936" t="s">
        <v>63</v>
      </c>
      <c r="Q936" t="s">
        <v>63</v>
      </c>
      <c r="R936" t="s">
        <v>63</v>
      </c>
      <c r="S936" t="s">
        <v>63</v>
      </c>
      <c r="T936" t="s">
        <v>63</v>
      </c>
      <c r="X936" t="s">
        <v>63</v>
      </c>
      <c r="Y936" t="s">
        <v>8342</v>
      </c>
      <c r="Z936" t="s">
        <v>63</v>
      </c>
      <c r="AA936" t="s">
        <v>8343</v>
      </c>
      <c r="AB936">
        <v>10170872</v>
      </c>
      <c r="AC936" t="s">
        <v>67</v>
      </c>
      <c r="AD936" t="s">
        <v>63</v>
      </c>
      <c r="AE936" t="s">
        <v>63</v>
      </c>
      <c r="AF936" t="s">
        <v>63</v>
      </c>
      <c r="AG936" t="s">
        <v>8344</v>
      </c>
      <c r="AH936" t="s">
        <v>63</v>
      </c>
      <c r="AI936" t="s">
        <v>63</v>
      </c>
      <c r="AJ936" t="s">
        <v>63</v>
      </c>
      <c r="AK936" t="s">
        <v>63</v>
      </c>
      <c r="AL936" t="s">
        <v>63</v>
      </c>
      <c r="AM936" t="s">
        <v>8345</v>
      </c>
      <c r="AN936" t="s">
        <v>63</v>
      </c>
      <c r="AO936" t="s">
        <v>63</v>
      </c>
      <c r="AP936" t="s">
        <v>63</v>
      </c>
      <c r="AQ936" t="s">
        <v>63</v>
      </c>
      <c r="AR936" t="s">
        <v>63</v>
      </c>
      <c r="AS936" t="s">
        <v>63</v>
      </c>
      <c r="AT936" t="s">
        <v>63</v>
      </c>
      <c r="AU936" t="s">
        <v>63</v>
      </c>
      <c r="AV936" t="s">
        <v>63</v>
      </c>
      <c r="AW936" t="s">
        <v>63</v>
      </c>
      <c r="AX936" t="s">
        <v>63</v>
      </c>
      <c r="AY936" t="s">
        <v>63</v>
      </c>
      <c r="AZ936" t="s">
        <v>63</v>
      </c>
      <c r="BA936" t="s">
        <v>63</v>
      </c>
      <c r="BB936" t="s">
        <v>63</v>
      </c>
      <c r="BC936" t="s">
        <v>63</v>
      </c>
      <c r="BD936" t="s">
        <v>63</v>
      </c>
      <c r="BE936" t="s">
        <v>63</v>
      </c>
      <c r="BF936" t="s">
        <v>63</v>
      </c>
    </row>
    <row r="937" spans="1:58">
      <c r="A937" t="s">
        <v>58</v>
      </c>
      <c r="B937" t="s">
        <v>8346</v>
      </c>
      <c r="C937" t="s">
        <v>8347</v>
      </c>
      <c r="D937" t="s">
        <v>90</v>
      </c>
      <c r="E937" t="s">
        <v>63</v>
      </c>
      <c r="F937">
        <v>1999</v>
      </c>
      <c r="G937" t="s">
        <v>63</v>
      </c>
      <c r="H937">
        <v>18</v>
      </c>
      <c r="I937">
        <v>2</v>
      </c>
      <c r="J937">
        <v>5</v>
      </c>
      <c r="K937">
        <v>21</v>
      </c>
      <c r="L937" t="s">
        <v>8348</v>
      </c>
      <c r="M937" t="s">
        <v>8349</v>
      </c>
      <c r="N937" t="s">
        <v>8350</v>
      </c>
      <c r="O937" t="s">
        <v>63</v>
      </c>
      <c r="Q937" t="s">
        <v>63</v>
      </c>
      <c r="R937" t="s">
        <v>63</v>
      </c>
      <c r="S937" t="s">
        <v>63</v>
      </c>
      <c r="T937" t="s">
        <v>63</v>
      </c>
      <c r="X937" t="s">
        <v>63</v>
      </c>
      <c r="Y937" t="s">
        <v>93</v>
      </c>
      <c r="Z937" t="s">
        <v>63</v>
      </c>
      <c r="AA937" t="s">
        <v>8351</v>
      </c>
      <c r="AB937">
        <v>10334372</v>
      </c>
      <c r="AC937" t="s">
        <v>67</v>
      </c>
      <c r="AD937" t="s">
        <v>63</v>
      </c>
      <c r="AE937" t="s">
        <v>63</v>
      </c>
      <c r="AF937" t="s">
        <v>63</v>
      </c>
      <c r="AG937" t="s">
        <v>8352</v>
      </c>
      <c r="AH937" t="s">
        <v>63</v>
      </c>
      <c r="AI937" t="s">
        <v>63</v>
      </c>
      <c r="AJ937" t="s">
        <v>63</v>
      </c>
      <c r="AK937" t="s">
        <v>63</v>
      </c>
      <c r="AL937" t="s">
        <v>63</v>
      </c>
      <c r="AM937" t="s">
        <v>8353</v>
      </c>
      <c r="AN937" t="s">
        <v>63</v>
      </c>
      <c r="AO937" t="s">
        <v>63</v>
      </c>
      <c r="AP937" t="s">
        <v>63</v>
      </c>
      <c r="AQ937" t="s">
        <v>63</v>
      </c>
      <c r="AR937" t="s">
        <v>63</v>
      </c>
      <c r="AS937" t="s">
        <v>63</v>
      </c>
      <c r="AT937" t="s">
        <v>63</v>
      </c>
      <c r="AU937" t="s">
        <v>63</v>
      </c>
      <c r="AV937" t="s">
        <v>63</v>
      </c>
      <c r="AW937" t="s">
        <v>63</v>
      </c>
      <c r="AX937" t="s">
        <v>63</v>
      </c>
      <c r="AY937" t="s">
        <v>63</v>
      </c>
      <c r="AZ937" t="s">
        <v>63</v>
      </c>
      <c r="BA937" t="s">
        <v>63</v>
      </c>
      <c r="BB937" t="s">
        <v>63</v>
      </c>
      <c r="BC937" t="s">
        <v>63</v>
      </c>
      <c r="BD937" t="s">
        <v>63</v>
      </c>
      <c r="BE937" t="s">
        <v>63</v>
      </c>
      <c r="BF937" t="s">
        <v>63</v>
      </c>
    </row>
    <row r="938" spans="1:58">
      <c r="A938" t="s">
        <v>58</v>
      </c>
      <c r="B938" t="s">
        <v>8346</v>
      </c>
      <c r="C938" t="s">
        <v>8354</v>
      </c>
      <c r="D938" t="s">
        <v>90</v>
      </c>
      <c r="E938" t="s">
        <v>63</v>
      </c>
      <c r="F938">
        <v>1996</v>
      </c>
      <c r="G938" t="s">
        <v>63</v>
      </c>
      <c r="H938">
        <v>15</v>
      </c>
      <c r="I938">
        <v>1</v>
      </c>
      <c r="J938">
        <v>1</v>
      </c>
      <c r="K938">
        <v>17</v>
      </c>
      <c r="L938" t="s">
        <v>8355</v>
      </c>
      <c r="M938" t="s">
        <v>8356</v>
      </c>
      <c r="N938" t="s">
        <v>8357</v>
      </c>
      <c r="O938" t="s">
        <v>63</v>
      </c>
      <c r="Q938" t="s">
        <v>63</v>
      </c>
      <c r="R938" t="s">
        <v>63</v>
      </c>
      <c r="S938" t="s">
        <v>63</v>
      </c>
      <c r="T938" t="s">
        <v>63</v>
      </c>
      <c r="X938" t="s">
        <v>63</v>
      </c>
      <c r="Y938" t="s">
        <v>93</v>
      </c>
      <c r="Z938" t="s">
        <v>63</v>
      </c>
      <c r="AA938" t="s">
        <v>8358</v>
      </c>
      <c r="AB938">
        <v>8729143</v>
      </c>
      <c r="AC938" t="s">
        <v>67</v>
      </c>
      <c r="AD938" t="s">
        <v>63</v>
      </c>
      <c r="AE938" t="s">
        <v>63</v>
      </c>
      <c r="AF938" t="s">
        <v>63</v>
      </c>
      <c r="AG938" t="s">
        <v>8359</v>
      </c>
      <c r="AH938" t="s">
        <v>63</v>
      </c>
      <c r="AI938" t="s">
        <v>63</v>
      </c>
      <c r="AJ938" t="s">
        <v>63</v>
      </c>
      <c r="AK938" t="s">
        <v>63</v>
      </c>
      <c r="AL938" t="s">
        <v>63</v>
      </c>
      <c r="AM938" t="s">
        <v>8360</v>
      </c>
      <c r="AN938" t="s">
        <v>63</v>
      </c>
      <c r="AO938" t="s">
        <v>63</v>
      </c>
      <c r="AP938" t="s">
        <v>63</v>
      </c>
      <c r="AQ938" t="s">
        <v>63</v>
      </c>
      <c r="AR938" t="s">
        <v>63</v>
      </c>
      <c r="AS938" t="s">
        <v>63</v>
      </c>
      <c r="AT938" t="s">
        <v>63</v>
      </c>
      <c r="AU938" t="s">
        <v>63</v>
      </c>
      <c r="AV938" t="s">
        <v>63</v>
      </c>
      <c r="AW938" t="s">
        <v>63</v>
      </c>
      <c r="AX938" t="s">
        <v>63</v>
      </c>
      <c r="AY938" t="s">
        <v>63</v>
      </c>
      <c r="AZ938" t="s">
        <v>63</v>
      </c>
      <c r="BA938" t="s">
        <v>63</v>
      </c>
      <c r="BB938" t="s">
        <v>63</v>
      </c>
      <c r="BC938" t="s">
        <v>63</v>
      </c>
      <c r="BD938" t="s">
        <v>63</v>
      </c>
      <c r="BE938" t="s">
        <v>63</v>
      </c>
      <c r="BF938" t="s">
        <v>63</v>
      </c>
    </row>
    <row r="939" spans="1:58">
      <c r="A939" t="s">
        <v>58</v>
      </c>
      <c r="B939" t="s">
        <v>8346</v>
      </c>
      <c r="C939" t="s">
        <v>8361</v>
      </c>
      <c r="D939" t="s">
        <v>640</v>
      </c>
      <c r="E939" t="s">
        <v>63</v>
      </c>
      <c r="F939">
        <v>1991</v>
      </c>
      <c r="G939" t="s">
        <v>63</v>
      </c>
      <c r="H939">
        <v>10</v>
      </c>
      <c r="I939">
        <v>1</v>
      </c>
      <c r="J939">
        <v>45</v>
      </c>
      <c r="K939">
        <v>53</v>
      </c>
      <c r="L939" t="s">
        <v>63</v>
      </c>
      <c r="M939" t="s">
        <v>8362</v>
      </c>
      <c r="N939" t="s">
        <v>8363</v>
      </c>
      <c r="O939" t="s">
        <v>63</v>
      </c>
      <c r="Q939" t="s">
        <v>63</v>
      </c>
      <c r="R939" t="s">
        <v>63</v>
      </c>
      <c r="S939" t="s">
        <v>63</v>
      </c>
      <c r="T939" t="s">
        <v>63</v>
      </c>
      <c r="X939" t="s">
        <v>63</v>
      </c>
      <c r="Y939" t="s">
        <v>644</v>
      </c>
      <c r="Z939" t="s">
        <v>63</v>
      </c>
      <c r="AA939" t="s">
        <v>8364</v>
      </c>
      <c r="AB939">
        <v>16840039</v>
      </c>
      <c r="AC939" t="s">
        <v>67</v>
      </c>
      <c r="AD939" t="s">
        <v>63</v>
      </c>
      <c r="AE939" t="s">
        <v>63</v>
      </c>
      <c r="AF939" t="s">
        <v>63</v>
      </c>
      <c r="AG939" t="s">
        <v>8365</v>
      </c>
      <c r="AH939" t="s">
        <v>63</v>
      </c>
      <c r="AI939" t="s">
        <v>63</v>
      </c>
      <c r="AJ939" t="s">
        <v>63</v>
      </c>
      <c r="AK939" t="s">
        <v>63</v>
      </c>
      <c r="AL939" t="s">
        <v>63</v>
      </c>
      <c r="AM939" t="s">
        <v>8366</v>
      </c>
      <c r="AN939" t="s">
        <v>63</v>
      </c>
      <c r="AO939" t="s">
        <v>63</v>
      </c>
      <c r="AP939" t="s">
        <v>63</v>
      </c>
      <c r="AQ939" t="s">
        <v>63</v>
      </c>
      <c r="AR939" t="s">
        <v>63</v>
      </c>
      <c r="AS939" t="s">
        <v>63</v>
      </c>
      <c r="AT939" t="s">
        <v>63</v>
      </c>
      <c r="AU939" t="s">
        <v>63</v>
      </c>
      <c r="AV939" t="s">
        <v>63</v>
      </c>
      <c r="AW939" t="s">
        <v>63</v>
      </c>
      <c r="AX939" t="s">
        <v>63</v>
      </c>
      <c r="AY939" t="s">
        <v>63</v>
      </c>
      <c r="AZ939" t="s">
        <v>63</v>
      </c>
      <c r="BA939" t="s">
        <v>63</v>
      </c>
      <c r="BB939" t="s">
        <v>63</v>
      </c>
      <c r="BC939" t="s">
        <v>63</v>
      </c>
      <c r="BD939" t="s">
        <v>63</v>
      </c>
      <c r="BE939" t="s">
        <v>63</v>
      </c>
      <c r="BF939" t="s">
        <v>63</v>
      </c>
    </row>
    <row r="940" spans="1:58">
      <c r="A940" t="s">
        <v>58</v>
      </c>
      <c r="B940" t="s">
        <v>8346</v>
      </c>
      <c r="C940" t="s">
        <v>8367</v>
      </c>
      <c r="D940" t="s">
        <v>212</v>
      </c>
      <c r="E940" t="s">
        <v>63</v>
      </c>
      <c r="F940">
        <v>1990</v>
      </c>
      <c r="G940" s="1">
        <v>41957</v>
      </c>
      <c r="H940">
        <v>143</v>
      </c>
      <c r="I940">
        <v>10</v>
      </c>
      <c r="J940">
        <v>1091</v>
      </c>
      <c r="K940">
        <v>1096</v>
      </c>
      <c r="L940" t="s">
        <v>8368</v>
      </c>
      <c r="M940" t="s">
        <v>8369</v>
      </c>
      <c r="N940" t="s">
        <v>8370</v>
      </c>
      <c r="O940" t="s">
        <v>63</v>
      </c>
      <c r="Q940" t="s">
        <v>63</v>
      </c>
      <c r="R940" t="s">
        <v>63</v>
      </c>
      <c r="S940" t="s">
        <v>63</v>
      </c>
      <c r="T940" t="s">
        <v>63</v>
      </c>
      <c r="X940" t="s">
        <v>63</v>
      </c>
      <c r="Y940" t="s">
        <v>215</v>
      </c>
      <c r="Z940" t="s">
        <v>63</v>
      </c>
      <c r="AA940" t="s">
        <v>8371</v>
      </c>
      <c r="AB940">
        <v>2224678</v>
      </c>
      <c r="AC940" t="s">
        <v>67</v>
      </c>
      <c r="AD940" t="s">
        <v>63</v>
      </c>
      <c r="AE940" t="s">
        <v>63</v>
      </c>
      <c r="AF940" t="s">
        <v>63</v>
      </c>
      <c r="AG940" t="s">
        <v>8372</v>
      </c>
      <c r="AH940" t="s">
        <v>63</v>
      </c>
      <c r="AI940" t="s">
        <v>63</v>
      </c>
      <c r="AJ940" t="s">
        <v>63</v>
      </c>
      <c r="AK940" t="s">
        <v>63</v>
      </c>
      <c r="AL940" t="s">
        <v>63</v>
      </c>
      <c r="AM940" t="s">
        <v>8373</v>
      </c>
      <c r="AN940" t="s">
        <v>63</v>
      </c>
      <c r="AO940" t="s">
        <v>63</v>
      </c>
      <c r="AP940" t="s">
        <v>63</v>
      </c>
      <c r="AQ940" t="s">
        <v>63</v>
      </c>
      <c r="AR940" t="s">
        <v>63</v>
      </c>
      <c r="AS940" t="s">
        <v>63</v>
      </c>
      <c r="AT940" t="s">
        <v>63</v>
      </c>
      <c r="AU940" t="s">
        <v>63</v>
      </c>
      <c r="AV940" t="s">
        <v>63</v>
      </c>
      <c r="AW940" t="s">
        <v>63</v>
      </c>
      <c r="AX940" t="s">
        <v>63</v>
      </c>
      <c r="AY940" t="s">
        <v>63</v>
      </c>
      <c r="AZ940" t="s">
        <v>63</v>
      </c>
      <c r="BA940" t="s">
        <v>63</v>
      </c>
      <c r="BB940" t="s">
        <v>63</v>
      </c>
      <c r="BC940" t="s">
        <v>63</v>
      </c>
      <c r="BD940" t="s">
        <v>63</v>
      </c>
      <c r="BE940" t="s">
        <v>63</v>
      </c>
      <c r="BF940" t="s">
        <v>63</v>
      </c>
    </row>
    <row r="941" spans="1:58">
      <c r="A941" t="s">
        <v>58</v>
      </c>
      <c r="B941" t="s">
        <v>8374</v>
      </c>
      <c r="C941" t="s">
        <v>8375</v>
      </c>
      <c r="D941" t="s">
        <v>205</v>
      </c>
      <c r="E941" t="s">
        <v>205</v>
      </c>
      <c r="F941">
        <v>1987</v>
      </c>
      <c r="G941" s="1">
        <v>41794</v>
      </c>
      <c r="H941">
        <v>257</v>
      </c>
      <c r="I941">
        <v>21</v>
      </c>
      <c r="J941">
        <v>2945</v>
      </c>
      <c r="K941">
        <v>2948</v>
      </c>
      <c r="L941" t="s">
        <v>8376</v>
      </c>
      <c r="M941" t="s">
        <v>63</v>
      </c>
      <c r="N941" t="s">
        <v>8377</v>
      </c>
      <c r="O941" t="s">
        <v>63</v>
      </c>
      <c r="Q941" t="s">
        <v>63</v>
      </c>
      <c r="R941" t="s">
        <v>63</v>
      </c>
      <c r="S941" t="s">
        <v>63</v>
      </c>
      <c r="T941" t="s">
        <v>63</v>
      </c>
      <c r="X941" t="s">
        <v>63</v>
      </c>
      <c r="Y941" t="s">
        <v>208</v>
      </c>
      <c r="Z941" t="s">
        <v>63</v>
      </c>
      <c r="AA941" t="s">
        <v>63</v>
      </c>
      <c r="AB941">
        <v>3553640</v>
      </c>
      <c r="AC941" t="s">
        <v>67</v>
      </c>
      <c r="AD941" t="s">
        <v>63</v>
      </c>
      <c r="AE941" t="s">
        <v>63</v>
      </c>
      <c r="AF941" t="s">
        <v>63</v>
      </c>
      <c r="AG941" t="s">
        <v>8378</v>
      </c>
      <c r="AH941" t="s">
        <v>63</v>
      </c>
      <c r="AI941" t="s">
        <v>63</v>
      </c>
      <c r="AJ941" t="s">
        <v>63</v>
      </c>
      <c r="AK941" t="s">
        <v>63</v>
      </c>
      <c r="AL941" t="s">
        <v>63</v>
      </c>
      <c r="AM941" t="s">
        <v>8379</v>
      </c>
      <c r="AN941" t="s">
        <v>63</v>
      </c>
      <c r="AO941" t="s">
        <v>63</v>
      </c>
      <c r="AP941" t="s">
        <v>63</v>
      </c>
      <c r="AQ941" t="s">
        <v>63</v>
      </c>
      <c r="AR941" t="s">
        <v>63</v>
      </c>
      <c r="AS941" t="s">
        <v>63</v>
      </c>
      <c r="AT941" t="s">
        <v>63</v>
      </c>
      <c r="AU941" t="s">
        <v>63</v>
      </c>
      <c r="AV941" t="s">
        <v>63</v>
      </c>
      <c r="AW941" t="s">
        <v>63</v>
      </c>
      <c r="AX941" t="s">
        <v>63</v>
      </c>
      <c r="AY941" t="s">
        <v>63</v>
      </c>
      <c r="AZ941" t="s">
        <v>63</v>
      </c>
      <c r="BA941" t="s">
        <v>63</v>
      </c>
      <c r="BB941" t="s">
        <v>63</v>
      </c>
      <c r="BC941" t="s">
        <v>63</v>
      </c>
      <c r="BD941" t="s">
        <v>63</v>
      </c>
      <c r="BE941" t="s">
        <v>63</v>
      </c>
      <c r="BF941" t="s">
        <v>63</v>
      </c>
    </row>
    <row r="942" spans="1:58">
      <c r="A942" t="s">
        <v>58</v>
      </c>
      <c r="B942" t="s">
        <v>8380</v>
      </c>
      <c r="C942" t="s">
        <v>8381</v>
      </c>
      <c r="D942" t="s">
        <v>763</v>
      </c>
      <c r="E942" t="s">
        <v>63</v>
      </c>
      <c r="F942">
        <v>1991</v>
      </c>
      <c r="G942" t="s">
        <v>138</v>
      </c>
      <c r="H942">
        <v>66</v>
      </c>
      <c r="I942">
        <v>10</v>
      </c>
      <c r="J942">
        <v>618</v>
      </c>
      <c r="K942">
        <v>619</v>
      </c>
      <c r="L942" t="s">
        <v>8382</v>
      </c>
      <c r="M942" t="s">
        <v>8383</v>
      </c>
      <c r="N942" t="s">
        <v>8384</v>
      </c>
      <c r="O942" t="s">
        <v>63</v>
      </c>
      <c r="Q942" t="s">
        <v>63</v>
      </c>
      <c r="R942" t="s">
        <v>63</v>
      </c>
      <c r="S942" t="s">
        <v>63</v>
      </c>
      <c r="T942" t="s">
        <v>63</v>
      </c>
      <c r="X942" t="s">
        <v>63</v>
      </c>
      <c r="Y942" t="s">
        <v>858</v>
      </c>
      <c r="Z942" t="s">
        <v>63</v>
      </c>
      <c r="AA942" t="s">
        <v>8385</v>
      </c>
      <c r="AB942">
        <v>1910406</v>
      </c>
      <c r="AC942" t="s">
        <v>67</v>
      </c>
      <c r="AD942" t="s">
        <v>63</v>
      </c>
      <c r="AE942" t="s">
        <v>63</v>
      </c>
      <c r="AF942" t="s">
        <v>63</v>
      </c>
      <c r="AG942" t="s">
        <v>8386</v>
      </c>
      <c r="AH942" t="s">
        <v>63</v>
      </c>
      <c r="AI942" t="s">
        <v>63</v>
      </c>
      <c r="AJ942" t="s">
        <v>63</v>
      </c>
      <c r="AK942" t="s">
        <v>63</v>
      </c>
      <c r="AL942" t="s">
        <v>63</v>
      </c>
      <c r="AM942" t="s">
        <v>8387</v>
      </c>
      <c r="AN942" t="s">
        <v>63</v>
      </c>
      <c r="AO942" t="s">
        <v>63</v>
      </c>
      <c r="AP942" t="s">
        <v>63</v>
      </c>
      <c r="AQ942" t="s">
        <v>63</v>
      </c>
      <c r="AR942" t="s">
        <v>63</v>
      </c>
      <c r="AS942" t="s">
        <v>63</v>
      </c>
      <c r="AT942" t="s">
        <v>63</v>
      </c>
      <c r="AU942" t="s">
        <v>63</v>
      </c>
      <c r="AV942" t="s">
        <v>63</v>
      </c>
      <c r="AW942" t="s">
        <v>63</v>
      </c>
      <c r="AX942" t="s">
        <v>63</v>
      </c>
      <c r="AY942" t="s">
        <v>63</v>
      </c>
      <c r="AZ942" t="s">
        <v>63</v>
      </c>
      <c r="BA942" t="s">
        <v>63</v>
      </c>
      <c r="BB942" t="s">
        <v>63</v>
      </c>
      <c r="BC942" t="s">
        <v>63</v>
      </c>
      <c r="BD942" t="s">
        <v>63</v>
      </c>
      <c r="BE942" t="s">
        <v>63</v>
      </c>
      <c r="BF942" t="s">
        <v>63</v>
      </c>
    </row>
    <row r="943" spans="1:58">
      <c r="A943" t="s">
        <v>58</v>
      </c>
      <c r="B943" t="s">
        <v>8388</v>
      </c>
      <c r="C943" t="s">
        <v>8389</v>
      </c>
      <c r="D943" t="s">
        <v>8390</v>
      </c>
      <c r="E943" t="s">
        <v>63</v>
      </c>
      <c r="F943">
        <v>2015</v>
      </c>
      <c r="G943" t="s">
        <v>1670</v>
      </c>
      <c r="H943" t="s">
        <v>8391</v>
      </c>
      <c r="I943" t="s">
        <v>63</v>
      </c>
      <c r="J943" t="s">
        <v>8257</v>
      </c>
      <c r="K943">
        <v>33</v>
      </c>
      <c r="L943" t="s">
        <v>8392</v>
      </c>
      <c r="M943" t="s">
        <v>8393</v>
      </c>
      <c r="N943" t="s">
        <v>8394</v>
      </c>
      <c r="O943" t="s">
        <v>63</v>
      </c>
      <c r="Q943" t="s">
        <v>63</v>
      </c>
      <c r="R943" t="s">
        <v>63</v>
      </c>
      <c r="S943" t="s">
        <v>63</v>
      </c>
      <c r="T943" t="s">
        <v>63</v>
      </c>
      <c r="X943" t="s">
        <v>63</v>
      </c>
      <c r="Y943" t="s">
        <v>8395</v>
      </c>
      <c r="Z943" t="s">
        <v>63</v>
      </c>
      <c r="AA943" t="s">
        <v>63</v>
      </c>
      <c r="AB943">
        <v>26434247</v>
      </c>
      <c r="AC943" t="s">
        <v>67</v>
      </c>
      <c r="AD943" t="s">
        <v>63</v>
      </c>
      <c r="AE943" t="s">
        <v>63</v>
      </c>
      <c r="AF943" t="s">
        <v>63</v>
      </c>
      <c r="AG943" t="s">
        <v>8396</v>
      </c>
      <c r="AH943" t="s">
        <v>63</v>
      </c>
      <c r="AI943" t="s">
        <v>63</v>
      </c>
      <c r="AJ943" t="s">
        <v>63</v>
      </c>
      <c r="AK943" t="s">
        <v>63</v>
      </c>
      <c r="AL943" t="s">
        <v>63</v>
      </c>
      <c r="AM943" t="s">
        <v>8397</v>
      </c>
      <c r="AN943" t="s">
        <v>63</v>
      </c>
      <c r="AO943" t="s">
        <v>63</v>
      </c>
      <c r="AP943" t="s">
        <v>63</v>
      </c>
      <c r="AQ943" t="s">
        <v>63</v>
      </c>
      <c r="AR943" t="s">
        <v>63</v>
      </c>
      <c r="AS943" t="s">
        <v>63</v>
      </c>
      <c r="AT943" t="s">
        <v>63</v>
      </c>
      <c r="AU943" t="s">
        <v>63</v>
      </c>
      <c r="AV943" t="s">
        <v>63</v>
      </c>
      <c r="AW943" t="s">
        <v>63</v>
      </c>
      <c r="AX943" t="s">
        <v>63</v>
      </c>
      <c r="AY943" t="s">
        <v>63</v>
      </c>
      <c r="AZ943" t="s">
        <v>63</v>
      </c>
      <c r="BA943" t="s">
        <v>63</v>
      </c>
      <c r="BB943" t="s">
        <v>63</v>
      </c>
      <c r="BC943" t="s">
        <v>63</v>
      </c>
      <c r="BD943" t="s">
        <v>63</v>
      </c>
      <c r="BE943" t="s">
        <v>63</v>
      </c>
      <c r="BF943" t="s">
        <v>63</v>
      </c>
    </row>
    <row r="944" spans="1:58">
      <c r="A944" t="s">
        <v>58</v>
      </c>
      <c r="B944" t="s">
        <v>8398</v>
      </c>
      <c r="C944" t="s">
        <v>8399</v>
      </c>
      <c r="D944" t="s">
        <v>4928</v>
      </c>
      <c r="E944" t="s">
        <v>4929</v>
      </c>
      <c r="F944">
        <v>1979</v>
      </c>
      <c r="G944" t="s">
        <v>63</v>
      </c>
      <c r="H944">
        <v>6</v>
      </c>
      <c r="I944" t="s">
        <v>63</v>
      </c>
      <c r="J944">
        <v>137</v>
      </c>
      <c r="K944">
        <v>155</v>
      </c>
      <c r="L944" t="s">
        <v>8400</v>
      </c>
      <c r="M944" t="s">
        <v>63</v>
      </c>
      <c r="N944" t="s">
        <v>8401</v>
      </c>
      <c r="O944" t="s">
        <v>63</v>
      </c>
      <c r="Q944" t="s">
        <v>63</v>
      </c>
      <c r="R944" t="s">
        <v>63</v>
      </c>
      <c r="S944" t="s">
        <v>63</v>
      </c>
      <c r="T944" t="s">
        <v>63</v>
      </c>
      <c r="X944" t="s">
        <v>63</v>
      </c>
      <c r="Y944" t="s">
        <v>4932</v>
      </c>
      <c r="Z944" t="s">
        <v>63</v>
      </c>
      <c r="AA944" t="s">
        <v>63</v>
      </c>
      <c r="AB944">
        <v>520045</v>
      </c>
      <c r="AC944" t="s">
        <v>67</v>
      </c>
      <c r="AD944" t="s">
        <v>63</v>
      </c>
      <c r="AE944" t="s">
        <v>63</v>
      </c>
      <c r="AF944" t="s">
        <v>63</v>
      </c>
      <c r="AG944" t="s">
        <v>8402</v>
      </c>
      <c r="AH944" t="s">
        <v>63</v>
      </c>
      <c r="AI944" t="s">
        <v>63</v>
      </c>
      <c r="AJ944" t="s">
        <v>63</v>
      </c>
      <c r="AK944" t="s">
        <v>63</v>
      </c>
      <c r="AL944" t="s">
        <v>63</v>
      </c>
      <c r="AM944" t="s">
        <v>8403</v>
      </c>
      <c r="AN944" t="s">
        <v>63</v>
      </c>
      <c r="AO944" t="s">
        <v>63</v>
      </c>
      <c r="AP944" t="s">
        <v>63</v>
      </c>
      <c r="AQ944" t="s">
        <v>63</v>
      </c>
      <c r="AR944" t="s">
        <v>63</v>
      </c>
      <c r="AS944" t="s">
        <v>63</v>
      </c>
      <c r="AT944" t="s">
        <v>63</v>
      </c>
      <c r="AU944" t="s">
        <v>63</v>
      </c>
      <c r="AV944" t="s">
        <v>63</v>
      </c>
      <c r="AW944" t="s">
        <v>63</v>
      </c>
      <c r="AX944" t="s">
        <v>63</v>
      </c>
      <c r="AY944" t="s">
        <v>63</v>
      </c>
      <c r="AZ944" t="s">
        <v>63</v>
      </c>
      <c r="BA944" t="s">
        <v>63</v>
      </c>
      <c r="BB944" t="s">
        <v>63</v>
      </c>
      <c r="BC944" t="s">
        <v>63</v>
      </c>
      <c r="BD944" t="s">
        <v>63</v>
      </c>
      <c r="BE944" t="s">
        <v>63</v>
      </c>
      <c r="BF944" t="s">
        <v>63</v>
      </c>
    </row>
    <row r="945" spans="1:58">
      <c r="A945" t="s">
        <v>58</v>
      </c>
      <c r="B945" t="s">
        <v>8404</v>
      </c>
      <c r="C945" t="s">
        <v>8405</v>
      </c>
      <c r="D945" t="s">
        <v>5475</v>
      </c>
      <c r="E945" t="s">
        <v>5476</v>
      </c>
      <c r="F945">
        <v>2007</v>
      </c>
      <c r="G945" t="s">
        <v>1717</v>
      </c>
      <c r="H945">
        <v>23</v>
      </c>
      <c r="I945">
        <v>9</v>
      </c>
      <c r="J945">
        <v>799</v>
      </c>
      <c r="K945">
        <v>803</v>
      </c>
      <c r="L945" t="s">
        <v>8406</v>
      </c>
      <c r="M945" t="s">
        <v>8407</v>
      </c>
      <c r="N945" t="s">
        <v>8408</v>
      </c>
      <c r="O945" t="s">
        <v>63</v>
      </c>
      <c r="Q945" t="s">
        <v>63</v>
      </c>
      <c r="R945" t="s">
        <v>63</v>
      </c>
      <c r="S945" t="s">
        <v>63</v>
      </c>
      <c r="T945" t="s">
        <v>63</v>
      </c>
      <c r="X945" t="s">
        <v>63</v>
      </c>
      <c r="Y945" t="s">
        <v>5480</v>
      </c>
      <c r="Z945" t="s">
        <v>63</v>
      </c>
      <c r="AA945" t="s">
        <v>8409</v>
      </c>
      <c r="AB945">
        <v>18075408</v>
      </c>
      <c r="AC945" t="s">
        <v>67</v>
      </c>
      <c r="AD945" t="s">
        <v>63</v>
      </c>
      <c r="AE945" t="s">
        <v>63</v>
      </c>
      <c r="AF945" t="s">
        <v>63</v>
      </c>
      <c r="AG945" t="s">
        <v>8410</v>
      </c>
      <c r="AH945" t="s">
        <v>63</v>
      </c>
      <c r="AI945" t="s">
        <v>63</v>
      </c>
      <c r="AJ945" t="s">
        <v>63</v>
      </c>
      <c r="AK945" t="s">
        <v>63</v>
      </c>
      <c r="AL945" t="s">
        <v>63</v>
      </c>
      <c r="AM945" t="s">
        <v>8411</v>
      </c>
      <c r="AN945" t="s">
        <v>63</v>
      </c>
      <c r="AO945" t="s">
        <v>63</v>
      </c>
      <c r="AP945" t="s">
        <v>63</v>
      </c>
      <c r="AQ945" t="s">
        <v>63</v>
      </c>
      <c r="AR945" t="s">
        <v>63</v>
      </c>
      <c r="AS945" t="s">
        <v>63</v>
      </c>
      <c r="AT945" t="s">
        <v>63</v>
      </c>
      <c r="AU945" t="s">
        <v>63</v>
      </c>
      <c r="AV945" t="s">
        <v>63</v>
      </c>
      <c r="AW945" t="s">
        <v>63</v>
      </c>
      <c r="AX945" t="s">
        <v>63</v>
      </c>
      <c r="AY945" t="s">
        <v>63</v>
      </c>
      <c r="AZ945" t="s">
        <v>63</v>
      </c>
      <c r="BA945" t="s">
        <v>63</v>
      </c>
      <c r="BB945" t="s">
        <v>63</v>
      </c>
      <c r="BC945" t="s">
        <v>63</v>
      </c>
      <c r="BD945" t="s">
        <v>63</v>
      </c>
      <c r="BE945" t="s">
        <v>63</v>
      </c>
      <c r="BF945" t="s">
        <v>63</v>
      </c>
    </row>
    <row r="946" spans="1:58">
      <c r="A946" t="s">
        <v>58</v>
      </c>
      <c r="B946" t="s">
        <v>8412</v>
      </c>
      <c r="C946" t="s">
        <v>8413</v>
      </c>
      <c r="D946" t="s">
        <v>8414</v>
      </c>
      <c r="E946" t="s">
        <v>8415</v>
      </c>
      <c r="F946">
        <v>2005</v>
      </c>
      <c r="G946" t="s">
        <v>908</v>
      </c>
      <c r="H946">
        <v>38</v>
      </c>
      <c r="I946">
        <v>4</v>
      </c>
      <c r="J946">
        <v>311</v>
      </c>
      <c r="K946">
        <v>319</v>
      </c>
      <c r="L946" t="s">
        <v>8416</v>
      </c>
      <c r="M946" t="s">
        <v>8417</v>
      </c>
      <c r="N946" t="s">
        <v>8418</v>
      </c>
      <c r="O946" t="s">
        <v>63</v>
      </c>
      <c r="Q946" t="s">
        <v>63</v>
      </c>
      <c r="R946" t="s">
        <v>63</v>
      </c>
      <c r="S946" t="s">
        <v>63</v>
      </c>
      <c r="T946" t="s">
        <v>63</v>
      </c>
      <c r="X946" t="s">
        <v>63</v>
      </c>
      <c r="Y946" t="s">
        <v>8419</v>
      </c>
      <c r="Z946" t="s">
        <v>63</v>
      </c>
      <c r="AA946" t="s">
        <v>8420</v>
      </c>
      <c r="AB946">
        <v>15862813</v>
      </c>
      <c r="AC946" t="s">
        <v>67</v>
      </c>
      <c r="AD946" t="s">
        <v>63</v>
      </c>
      <c r="AE946" t="s">
        <v>63</v>
      </c>
      <c r="AF946" t="s">
        <v>63</v>
      </c>
      <c r="AG946" t="s">
        <v>8421</v>
      </c>
      <c r="AH946" t="s">
        <v>63</v>
      </c>
      <c r="AI946" t="s">
        <v>63</v>
      </c>
      <c r="AJ946" t="s">
        <v>63</v>
      </c>
      <c r="AK946" t="s">
        <v>63</v>
      </c>
      <c r="AL946" t="s">
        <v>63</v>
      </c>
      <c r="AM946" t="s">
        <v>8422</v>
      </c>
      <c r="AN946" t="s">
        <v>63</v>
      </c>
      <c r="AO946" t="s">
        <v>63</v>
      </c>
      <c r="AP946" t="s">
        <v>63</v>
      </c>
      <c r="AQ946" t="s">
        <v>63</v>
      </c>
      <c r="AR946" t="s">
        <v>63</v>
      </c>
      <c r="AS946" t="s">
        <v>63</v>
      </c>
      <c r="AT946" t="s">
        <v>63</v>
      </c>
      <c r="AU946" t="s">
        <v>63</v>
      </c>
      <c r="AV946" t="s">
        <v>63</v>
      </c>
      <c r="AW946" t="s">
        <v>63</v>
      </c>
      <c r="AX946" t="s">
        <v>63</v>
      </c>
      <c r="AY946" t="s">
        <v>63</v>
      </c>
      <c r="AZ946" t="s">
        <v>63</v>
      </c>
      <c r="BA946" t="s">
        <v>63</v>
      </c>
      <c r="BB946" t="s">
        <v>63</v>
      </c>
      <c r="BC946" t="s">
        <v>63</v>
      </c>
      <c r="BD946" t="s">
        <v>63</v>
      </c>
      <c r="BE946" t="s">
        <v>63</v>
      </c>
      <c r="BF946" t="s">
        <v>63</v>
      </c>
    </row>
    <row r="947" spans="1:58">
      <c r="A947" t="s">
        <v>58</v>
      </c>
      <c r="B947" t="s">
        <v>8423</v>
      </c>
      <c r="C947" t="s">
        <v>8424</v>
      </c>
      <c r="D947" t="s">
        <v>1829</v>
      </c>
      <c r="E947" t="s">
        <v>1830</v>
      </c>
      <c r="F947">
        <v>2006</v>
      </c>
      <c r="G947" t="s">
        <v>198</v>
      </c>
      <c r="H947">
        <v>99</v>
      </c>
      <c r="I947">
        <v>1</v>
      </c>
      <c r="J947">
        <v>28</v>
      </c>
      <c r="K947">
        <v>35</v>
      </c>
      <c r="L947" t="s">
        <v>8425</v>
      </c>
      <c r="M947" t="s">
        <v>8426</v>
      </c>
      <c r="N947" t="s">
        <v>8427</v>
      </c>
      <c r="O947" t="s">
        <v>63</v>
      </c>
      <c r="Q947" t="s">
        <v>63</v>
      </c>
      <c r="R947" t="s">
        <v>63</v>
      </c>
      <c r="S947" t="s">
        <v>63</v>
      </c>
      <c r="T947" t="s">
        <v>63</v>
      </c>
      <c r="X947" t="s">
        <v>63</v>
      </c>
      <c r="Y947" t="s">
        <v>1834</v>
      </c>
      <c r="Z947" t="s">
        <v>63</v>
      </c>
      <c r="AA947" t="s">
        <v>8428</v>
      </c>
      <c r="AB947">
        <v>16466119</v>
      </c>
      <c r="AC947" t="s">
        <v>67</v>
      </c>
      <c r="AD947" t="s">
        <v>63</v>
      </c>
      <c r="AE947" t="s">
        <v>63</v>
      </c>
      <c r="AF947" t="s">
        <v>63</v>
      </c>
      <c r="AG947" t="s">
        <v>8429</v>
      </c>
      <c r="AH947" t="s">
        <v>63</v>
      </c>
      <c r="AI947" t="s">
        <v>63</v>
      </c>
      <c r="AJ947" t="s">
        <v>63</v>
      </c>
      <c r="AK947" t="s">
        <v>63</v>
      </c>
      <c r="AL947" t="s">
        <v>63</v>
      </c>
      <c r="AM947" t="s">
        <v>8430</v>
      </c>
      <c r="AN947" t="s">
        <v>63</v>
      </c>
      <c r="AO947" t="s">
        <v>63</v>
      </c>
      <c r="AP947" t="s">
        <v>63</v>
      </c>
      <c r="AQ947" t="s">
        <v>63</v>
      </c>
      <c r="AR947" t="s">
        <v>63</v>
      </c>
      <c r="AS947" t="s">
        <v>63</v>
      </c>
      <c r="AT947" t="s">
        <v>63</v>
      </c>
      <c r="AU947" t="s">
        <v>63</v>
      </c>
      <c r="AV947" t="s">
        <v>63</v>
      </c>
      <c r="AW947" t="s">
        <v>63</v>
      </c>
      <c r="AX947" t="s">
        <v>63</v>
      </c>
      <c r="AY947" t="s">
        <v>63</v>
      </c>
      <c r="AZ947" t="s">
        <v>63</v>
      </c>
      <c r="BA947" t="s">
        <v>63</v>
      </c>
      <c r="BB947" t="s">
        <v>63</v>
      </c>
      <c r="BC947" t="s">
        <v>63</v>
      </c>
      <c r="BD947" t="s">
        <v>63</v>
      </c>
      <c r="BE947" t="s">
        <v>63</v>
      </c>
      <c r="BF947" t="s">
        <v>63</v>
      </c>
    </row>
    <row r="948" spans="1:58">
      <c r="A948" t="s">
        <v>58</v>
      </c>
      <c r="B948" t="s">
        <v>8431</v>
      </c>
      <c r="C948" t="s">
        <v>8432</v>
      </c>
      <c r="D948" t="s">
        <v>389</v>
      </c>
      <c r="E948" t="s">
        <v>63</v>
      </c>
      <c r="F948">
        <v>2017</v>
      </c>
      <c r="G948" t="s">
        <v>982</v>
      </c>
      <c r="H948">
        <v>38</v>
      </c>
      <c r="I948">
        <v>4</v>
      </c>
      <c r="J948">
        <v>464</v>
      </c>
      <c r="K948">
        <v>467</v>
      </c>
      <c r="L948" t="s">
        <v>63</v>
      </c>
      <c r="M948" t="s">
        <v>8433</v>
      </c>
      <c r="N948" t="s">
        <v>8434</v>
      </c>
      <c r="O948" t="s">
        <v>63</v>
      </c>
      <c r="Q948" t="s">
        <v>63</v>
      </c>
      <c r="R948" t="s">
        <v>63</v>
      </c>
      <c r="S948" t="s">
        <v>63</v>
      </c>
      <c r="T948" t="s">
        <v>63</v>
      </c>
      <c r="X948" t="s">
        <v>63</v>
      </c>
      <c r="Y948" t="s">
        <v>556</v>
      </c>
      <c r="Z948" t="s">
        <v>63</v>
      </c>
      <c r="AA948" t="s">
        <v>8435</v>
      </c>
      <c r="AB948">
        <v>28622136</v>
      </c>
      <c r="AC948" t="s">
        <v>67</v>
      </c>
      <c r="AD948" t="s">
        <v>63</v>
      </c>
      <c r="AE948" t="s">
        <v>63</v>
      </c>
      <c r="AF948" t="s">
        <v>63</v>
      </c>
      <c r="AG948" t="s">
        <v>8436</v>
      </c>
      <c r="AH948" t="s">
        <v>63</v>
      </c>
      <c r="AI948" t="s">
        <v>8437</v>
      </c>
      <c r="AJ948" t="s">
        <v>63</v>
      </c>
      <c r="AK948" t="s">
        <v>63</v>
      </c>
      <c r="AL948" t="s">
        <v>63</v>
      </c>
      <c r="AM948" t="s">
        <v>8438</v>
      </c>
      <c r="AN948" t="s">
        <v>63</v>
      </c>
      <c r="AO948" t="s">
        <v>63</v>
      </c>
      <c r="AP948" t="s">
        <v>63</v>
      </c>
      <c r="AQ948" t="s">
        <v>63</v>
      </c>
      <c r="AR948" t="s">
        <v>63</v>
      </c>
      <c r="AS948" t="s">
        <v>63</v>
      </c>
      <c r="AT948" t="s">
        <v>63</v>
      </c>
      <c r="AU948" t="s">
        <v>63</v>
      </c>
      <c r="AV948" t="s">
        <v>63</v>
      </c>
      <c r="AW948" t="s">
        <v>63</v>
      </c>
      <c r="AX948" t="s">
        <v>63</v>
      </c>
      <c r="AY948" t="s">
        <v>63</v>
      </c>
      <c r="AZ948" t="s">
        <v>63</v>
      </c>
      <c r="BA948" t="s">
        <v>63</v>
      </c>
      <c r="BB948" t="s">
        <v>63</v>
      </c>
      <c r="BC948" t="s">
        <v>63</v>
      </c>
      <c r="BD948" t="s">
        <v>63</v>
      </c>
      <c r="BE948" t="s">
        <v>63</v>
      </c>
      <c r="BF948" t="s">
        <v>63</v>
      </c>
    </row>
    <row r="949" spans="1:58">
      <c r="A949" t="s">
        <v>58</v>
      </c>
      <c r="B949" t="s">
        <v>8439</v>
      </c>
      <c r="C949" t="s">
        <v>8440</v>
      </c>
      <c r="D949" t="s">
        <v>8441</v>
      </c>
      <c r="E949" t="s">
        <v>63</v>
      </c>
      <c r="F949">
        <v>1989</v>
      </c>
      <c r="G949" t="s">
        <v>63</v>
      </c>
      <c r="H949">
        <v>3</v>
      </c>
      <c r="I949">
        <v>3</v>
      </c>
      <c r="J949">
        <v>11</v>
      </c>
      <c r="K949">
        <v>18</v>
      </c>
      <c r="L949" t="s">
        <v>63</v>
      </c>
      <c r="M949" t="s">
        <v>8442</v>
      </c>
      <c r="N949" t="s">
        <v>8443</v>
      </c>
      <c r="O949" t="s">
        <v>63</v>
      </c>
      <c r="Q949" t="s">
        <v>63</v>
      </c>
      <c r="R949" t="s">
        <v>63</v>
      </c>
      <c r="S949" t="s">
        <v>63</v>
      </c>
      <c r="T949" t="s">
        <v>63</v>
      </c>
      <c r="X949" t="s">
        <v>63</v>
      </c>
      <c r="Y949" t="s">
        <v>8444</v>
      </c>
      <c r="Z949" t="s">
        <v>63</v>
      </c>
      <c r="AA949" t="s">
        <v>63</v>
      </c>
      <c r="AB949">
        <v>22206330</v>
      </c>
      <c r="AC949" t="s">
        <v>67</v>
      </c>
      <c r="AD949" t="s">
        <v>63</v>
      </c>
      <c r="AE949" t="s">
        <v>63</v>
      </c>
      <c r="AF949" t="s">
        <v>63</v>
      </c>
      <c r="AG949" t="s">
        <v>8445</v>
      </c>
      <c r="AH949" t="s">
        <v>63</v>
      </c>
      <c r="AI949" t="s">
        <v>8446</v>
      </c>
      <c r="AJ949" t="s">
        <v>63</v>
      </c>
      <c r="AK949" t="s">
        <v>63</v>
      </c>
      <c r="AL949" t="s">
        <v>63</v>
      </c>
      <c r="AM949" t="s">
        <v>8447</v>
      </c>
      <c r="AN949" t="s">
        <v>63</v>
      </c>
      <c r="AO949" t="s">
        <v>63</v>
      </c>
      <c r="AP949" t="s">
        <v>63</v>
      </c>
      <c r="AQ949" t="s">
        <v>63</v>
      </c>
      <c r="AR949" t="s">
        <v>63</v>
      </c>
      <c r="AS949" t="s">
        <v>63</v>
      </c>
      <c r="AT949" t="s">
        <v>63</v>
      </c>
      <c r="AU949" t="s">
        <v>63</v>
      </c>
      <c r="AV949" t="s">
        <v>63</v>
      </c>
      <c r="AW949" t="s">
        <v>63</v>
      </c>
      <c r="AX949" t="s">
        <v>63</v>
      </c>
      <c r="AY949" t="s">
        <v>63</v>
      </c>
      <c r="AZ949" t="s">
        <v>63</v>
      </c>
      <c r="BA949" t="s">
        <v>63</v>
      </c>
      <c r="BB949" t="s">
        <v>63</v>
      </c>
      <c r="BC949" t="s">
        <v>63</v>
      </c>
      <c r="BD949" t="s">
        <v>63</v>
      </c>
      <c r="BE949" t="s">
        <v>63</v>
      </c>
      <c r="BF949" t="s">
        <v>63</v>
      </c>
    </row>
    <row r="950" spans="1:58">
      <c r="A950" t="s">
        <v>58</v>
      </c>
      <c r="B950" t="s">
        <v>8448</v>
      </c>
      <c r="C950" t="s">
        <v>8449</v>
      </c>
      <c r="D950" t="s">
        <v>237</v>
      </c>
      <c r="E950" t="s">
        <v>63</v>
      </c>
      <c r="F950">
        <v>1987</v>
      </c>
      <c r="G950" t="s">
        <v>63</v>
      </c>
      <c r="H950">
        <v>26</v>
      </c>
      <c r="I950" t="s">
        <v>63</v>
      </c>
      <c r="J950">
        <v>14</v>
      </c>
      <c r="K950">
        <v>19</v>
      </c>
      <c r="L950" t="s">
        <v>8450</v>
      </c>
      <c r="M950" t="s">
        <v>63</v>
      </c>
      <c r="N950" t="s">
        <v>8451</v>
      </c>
      <c r="O950" t="s">
        <v>63</v>
      </c>
      <c r="Q950" t="s">
        <v>63</v>
      </c>
      <c r="R950" t="s">
        <v>63</v>
      </c>
      <c r="S950" t="s">
        <v>63</v>
      </c>
      <c r="T950" t="s">
        <v>63</v>
      </c>
      <c r="X950" t="s">
        <v>63</v>
      </c>
      <c r="Y950" t="s">
        <v>63</v>
      </c>
      <c r="Z950" t="s">
        <v>63</v>
      </c>
      <c r="AA950" t="s">
        <v>8452</v>
      </c>
      <c r="AB950">
        <v>3454577</v>
      </c>
      <c r="AC950" t="s">
        <v>67</v>
      </c>
      <c r="AD950" t="s">
        <v>63</v>
      </c>
      <c r="AE950" t="s">
        <v>63</v>
      </c>
      <c r="AF950" t="s">
        <v>63</v>
      </c>
      <c r="AG950" t="s">
        <v>8453</v>
      </c>
      <c r="AH950" t="s">
        <v>63</v>
      </c>
      <c r="AI950" t="s">
        <v>63</v>
      </c>
      <c r="AJ950" t="s">
        <v>63</v>
      </c>
      <c r="AK950" t="s">
        <v>63</v>
      </c>
      <c r="AL950" t="s">
        <v>63</v>
      </c>
      <c r="AM950" t="s">
        <v>8454</v>
      </c>
      <c r="AN950" t="s">
        <v>63</v>
      </c>
      <c r="AO950" t="s">
        <v>63</v>
      </c>
      <c r="AP950" t="s">
        <v>63</v>
      </c>
      <c r="AQ950" t="s">
        <v>63</v>
      </c>
      <c r="AR950" t="s">
        <v>63</v>
      </c>
      <c r="AS950" t="s">
        <v>63</v>
      </c>
      <c r="AT950" t="s">
        <v>63</v>
      </c>
      <c r="AU950" t="s">
        <v>63</v>
      </c>
      <c r="AV950" t="s">
        <v>63</v>
      </c>
      <c r="AW950" t="s">
        <v>63</v>
      </c>
      <c r="AX950" t="s">
        <v>63</v>
      </c>
      <c r="AY950" t="s">
        <v>63</v>
      </c>
      <c r="AZ950" t="s">
        <v>63</v>
      </c>
      <c r="BA950" t="s">
        <v>63</v>
      </c>
      <c r="BB950" t="s">
        <v>63</v>
      </c>
      <c r="BC950" t="s">
        <v>63</v>
      </c>
      <c r="BD950" t="s">
        <v>63</v>
      </c>
      <c r="BE950" t="s">
        <v>63</v>
      </c>
      <c r="BF950" t="s">
        <v>63</v>
      </c>
    </row>
    <row r="951" spans="1:58">
      <c r="A951" t="s">
        <v>58</v>
      </c>
      <c r="B951" t="s">
        <v>8455</v>
      </c>
      <c r="C951" t="s">
        <v>8456</v>
      </c>
      <c r="D951" t="s">
        <v>389</v>
      </c>
      <c r="E951" t="s">
        <v>63</v>
      </c>
      <c r="F951">
        <v>2002</v>
      </c>
      <c r="G951" t="s">
        <v>157</v>
      </c>
      <c r="H951">
        <v>23</v>
      </c>
      <c r="I951">
        <v>4</v>
      </c>
      <c r="J951">
        <v>245</v>
      </c>
      <c r="K951">
        <v>254</v>
      </c>
      <c r="L951" t="s">
        <v>8457</v>
      </c>
      <c r="M951" t="s">
        <v>8458</v>
      </c>
      <c r="N951" t="s">
        <v>8459</v>
      </c>
      <c r="O951" t="s">
        <v>63</v>
      </c>
      <c r="Q951" t="s">
        <v>63</v>
      </c>
      <c r="R951" t="s">
        <v>63</v>
      </c>
      <c r="S951" t="s">
        <v>63</v>
      </c>
      <c r="T951" t="s">
        <v>63</v>
      </c>
      <c r="X951" t="s">
        <v>63</v>
      </c>
      <c r="Y951" t="s">
        <v>392</v>
      </c>
      <c r="Z951" t="s">
        <v>63</v>
      </c>
      <c r="AA951" t="s">
        <v>8460</v>
      </c>
      <c r="AB951">
        <v>12438837</v>
      </c>
      <c r="AC951" t="s">
        <v>67</v>
      </c>
      <c r="AD951" t="s">
        <v>63</v>
      </c>
      <c r="AE951" t="s">
        <v>63</v>
      </c>
      <c r="AF951" t="s">
        <v>63</v>
      </c>
      <c r="AG951" t="s">
        <v>8461</v>
      </c>
      <c r="AH951" t="s">
        <v>63</v>
      </c>
      <c r="AI951" t="s">
        <v>63</v>
      </c>
      <c r="AJ951" t="s">
        <v>63</v>
      </c>
      <c r="AK951" t="s">
        <v>63</v>
      </c>
      <c r="AL951" t="s">
        <v>63</v>
      </c>
      <c r="AM951" t="s">
        <v>8462</v>
      </c>
      <c r="AN951" t="s">
        <v>63</v>
      </c>
      <c r="AO951" t="s">
        <v>63</v>
      </c>
      <c r="AP951" t="s">
        <v>63</v>
      </c>
      <c r="AQ951" t="s">
        <v>63</v>
      </c>
      <c r="AR951" t="s">
        <v>63</v>
      </c>
      <c r="AS951" t="s">
        <v>63</v>
      </c>
      <c r="AT951" t="s">
        <v>63</v>
      </c>
      <c r="AU951" t="s">
        <v>63</v>
      </c>
      <c r="AV951" t="s">
        <v>63</v>
      </c>
      <c r="AW951" t="s">
        <v>63</v>
      </c>
      <c r="AX951" t="s">
        <v>63</v>
      </c>
      <c r="AY951" t="s">
        <v>63</v>
      </c>
      <c r="AZ951" t="s">
        <v>63</v>
      </c>
      <c r="BA951" t="s">
        <v>63</v>
      </c>
      <c r="BB951" t="s">
        <v>63</v>
      </c>
      <c r="BC951" t="s">
        <v>63</v>
      </c>
      <c r="BD951" t="s">
        <v>63</v>
      </c>
      <c r="BE951" t="s">
        <v>63</v>
      </c>
      <c r="BF951" t="s">
        <v>63</v>
      </c>
    </row>
    <row r="952" spans="1:58">
      <c r="A952" t="s">
        <v>58</v>
      </c>
      <c r="B952" t="s">
        <v>8463</v>
      </c>
      <c r="C952" t="s">
        <v>8464</v>
      </c>
      <c r="D952" t="s">
        <v>3890</v>
      </c>
      <c r="E952" t="s">
        <v>3891</v>
      </c>
      <c r="F952">
        <v>1972</v>
      </c>
      <c r="G952" t="s">
        <v>63</v>
      </c>
      <c r="H952">
        <v>7</v>
      </c>
      <c r="I952">
        <v>1</v>
      </c>
      <c r="J952">
        <v>141</v>
      </c>
      <c r="K952">
        <v>152</v>
      </c>
      <c r="L952" t="s">
        <v>8465</v>
      </c>
      <c r="M952" t="s">
        <v>63</v>
      </c>
      <c r="N952" t="s">
        <v>8466</v>
      </c>
      <c r="O952" t="s">
        <v>63</v>
      </c>
      <c r="Q952" t="s">
        <v>63</v>
      </c>
      <c r="R952" t="s">
        <v>63</v>
      </c>
      <c r="S952" t="s">
        <v>63</v>
      </c>
      <c r="T952" t="s">
        <v>63</v>
      </c>
      <c r="X952" t="s">
        <v>63</v>
      </c>
      <c r="Y952" t="s">
        <v>3894</v>
      </c>
      <c r="Z952" t="s">
        <v>63</v>
      </c>
      <c r="AA952" t="s">
        <v>63</v>
      </c>
      <c r="AB952">
        <v>5043831</v>
      </c>
      <c r="AC952" t="s">
        <v>67</v>
      </c>
      <c r="AD952" t="s">
        <v>63</v>
      </c>
      <c r="AE952" t="s">
        <v>63</v>
      </c>
      <c r="AF952" t="s">
        <v>63</v>
      </c>
      <c r="AG952" t="s">
        <v>8467</v>
      </c>
      <c r="AH952" t="s">
        <v>63</v>
      </c>
      <c r="AI952" t="s">
        <v>63</v>
      </c>
      <c r="AJ952" t="s">
        <v>63</v>
      </c>
      <c r="AK952" t="s">
        <v>63</v>
      </c>
      <c r="AL952" t="s">
        <v>63</v>
      </c>
      <c r="AM952" t="s">
        <v>8468</v>
      </c>
      <c r="AN952" t="s">
        <v>63</v>
      </c>
      <c r="AO952" t="s">
        <v>63</v>
      </c>
      <c r="AP952" t="s">
        <v>63</v>
      </c>
      <c r="AQ952" t="s">
        <v>63</v>
      </c>
      <c r="AR952" t="s">
        <v>63</v>
      </c>
      <c r="AS952" t="s">
        <v>63</v>
      </c>
      <c r="AT952" t="s">
        <v>63</v>
      </c>
      <c r="AU952" t="s">
        <v>63</v>
      </c>
      <c r="AV952" t="s">
        <v>63</v>
      </c>
      <c r="AW952" t="s">
        <v>63</v>
      </c>
      <c r="AX952" t="s">
        <v>63</v>
      </c>
      <c r="AY952" t="s">
        <v>63</v>
      </c>
      <c r="AZ952" t="s">
        <v>63</v>
      </c>
      <c r="BA952" t="s">
        <v>63</v>
      </c>
      <c r="BB952" t="s">
        <v>63</v>
      </c>
      <c r="BC952" t="s">
        <v>63</v>
      </c>
      <c r="BD952" t="s">
        <v>63</v>
      </c>
      <c r="BE952" t="s">
        <v>63</v>
      </c>
      <c r="BF952" t="s">
        <v>63</v>
      </c>
    </row>
    <row r="953" spans="1:58">
      <c r="A953" t="s">
        <v>58</v>
      </c>
      <c r="B953" t="s">
        <v>8469</v>
      </c>
      <c r="C953" t="s">
        <v>8470</v>
      </c>
      <c r="D953" t="s">
        <v>8471</v>
      </c>
      <c r="E953" t="s">
        <v>63</v>
      </c>
      <c r="F953">
        <v>2011</v>
      </c>
      <c r="G953" t="s">
        <v>63</v>
      </c>
      <c r="H953">
        <v>711</v>
      </c>
      <c r="I953" t="s">
        <v>63</v>
      </c>
      <c r="J953">
        <v>363</v>
      </c>
      <c r="K953">
        <v>377</v>
      </c>
      <c r="L953" t="s">
        <v>8472</v>
      </c>
      <c r="M953" t="s">
        <v>8473</v>
      </c>
      <c r="N953" t="s">
        <v>8474</v>
      </c>
      <c r="O953" t="s">
        <v>63</v>
      </c>
      <c r="Q953" t="s">
        <v>63</v>
      </c>
      <c r="R953" t="s">
        <v>63</v>
      </c>
      <c r="S953" t="s">
        <v>63</v>
      </c>
      <c r="T953" t="s">
        <v>63</v>
      </c>
      <c r="X953" t="s">
        <v>63</v>
      </c>
      <c r="Y953" t="s">
        <v>8475</v>
      </c>
      <c r="Z953" t="s">
        <v>63</v>
      </c>
      <c r="AA953" t="s">
        <v>8476</v>
      </c>
      <c r="AB953">
        <v>21279612</v>
      </c>
      <c r="AC953" t="s">
        <v>67</v>
      </c>
      <c r="AD953" t="s">
        <v>63</v>
      </c>
      <c r="AE953" t="s">
        <v>63</v>
      </c>
      <c r="AF953" t="s">
        <v>63</v>
      </c>
      <c r="AG953" t="s">
        <v>8477</v>
      </c>
      <c r="AH953" t="s">
        <v>63</v>
      </c>
      <c r="AI953" t="s">
        <v>8478</v>
      </c>
      <c r="AJ953" t="s">
        <v>63</v>
      </c>
      <c r="AK953" t="s">
        <v>63</v>
      </c>
      <c r="AL953" t="s">
        <v>63</v>
      </c>
      <c r="AM953" t="s">
        <v>8479</v>
      </c>
      <c r="AN953" t="s">
        <v>63</v>
      </c>
      <c r="AO953" t="s">
        <v>63</v>
      </c>
      <c r="AP953" t="s">
        <v>63</v>
      </c>
      <c r="AQ953" t="s">
        <v>63</v>
      </c>
      <c r="AR953" t="s">
        <v>63</v>
      </c>
      <c r="AS953" t="s">
        <v>63</v>
      </c>
      <c r="AT953" t="s">
        <v>63</v>
      </c>
      <c r="AU953" t="s">
        <v>63</v>
      </c>
      <c r="AV953" t="s">
        <v>63</v>
      </c>
      <c r="AW953" t="s">
        <v>63</v>
      </c>
      <c r="AX953" t="s">
        <v>63</v>
      </c>
      <c r="AY953" t="s">
        <v>63</v>
      </c>
      <c r="AZ953" t="s">
        <v>63</v>
      </c>
      <c r="BA953" t="s">
        <v>63</v>
      </c>
      <c r="BB953" t="s">
        <v>63</v>
      </c>
      <c r="BC953" t="s">
        <v>63</v>
      </c>
      <c r="BD953" t="s">
        <v>63</v>
      </c>
      <c r="BE953" t="s">
        <v>63</v>
      </c>
      <c r="BF953" t="s">
        <v>63</v>
      </c>
    </row>
    <row r="954" spans="1:58">
      <c r="A954" t="s">
        <v>58</v>
      </c>
      <c r="B954" t="s">
        <v>8480</v>
      </c>
      <c r="C954" t="s">
        <v>8481</v>
      </c>
      <c r="D954" t="s">
        <v>8482</v>
      </c>
      <c r="E954" t="s">
        <v>63</v>
      </c>
      <c r="F954">
        <v>2013</v>
      </c>
      <c r="G954" t="s">
        <v>614</v>
      </c>
      <c r="H954">
        <v>34</v>
      </c>
      <c r="I954">
        <v>8</v>
      </c>
      <c r="J954">
        <v>770</v>
      </c>
      <c r="K954">
        <v>773</v>
      </c>
      <c r="L954" t="s">
        <v>8483</v>
      </c>
      <c r="M954" t="s">
        <v>8484</v>
      </c>
      <c r="N954" t="s">
        <v>8485</v>
      </c>
      <c r="O954" t="s">
        <v>63</v>
      </c>
      <c r="Q954" t="s">
        <v>63</v>
      </c>
      <c r="R954" t="s">
        <v>63</v>
      </c>
      <c r="S954" t="s">
        <v>63</v>
      </c>
      <c r="T954" t="s">
        <v>63</v>
      </c>
      <c r="X954" t="s">
        <v>63</v>
      </c>
      <c r="Y954" t="s">
        <v>8486</v>
      </c>
      <c r="Z954" t="s">
        <v>63</v>
      </c>
      <c r="AA954" t="s">
        <v>8487</v>
      </c>
      <c r="AB954">
        <v>24423760</v>
      </c>
      <c r="AC954" t="s">
        <v>8488</v>
      </c>
      <c r="AD954" t="s">
        <v>63</v>
      </c>
      <c r="AE954" t="s">
        <v>63</v>
      </c>
      <c r="AF954" t="s">
        <v>63</v>
      </c>
      <c r="AG954" t="s">
        <v>8489</v>
      </c>
      <c r="AH954" t="s">
        <v>63</v>
      </c>
      <c r="AI954" t="s">
        <v>63</v>
      </c>
      <c r="AJ954" t="s">
        <v>63</v>
      </c>
      <c r="AK954" t="s">
        <v>63</v>
      </c>
      <c r="AL954" t="s">
        <v>63</v>
      </c>
      <c r="AM954" t="s">
        <v>8490</v>
      </c>
      <c r="AN954" t="s">
        <v>63</v>
      </c>
      <c r="AO954" t="s">
        <v>63</v>
      </c>
      <c r="AP954" t="s">
        <v>63</v>
      </c>
      <c r="AQ954" t="s">
        <v>63</v>
      </c>
      <c r="AR954" t="s">
        <v>63</v>
      </c>
      <c r="AS954" t="s">
        <v>63</v>
      </c>
      <c r="AT954" t="s">
        <v>63</v>
      </c>
      <c r="AU954" t="s">
        <v>63</v>
      </c>
      <c r="AV954" t="s">
        <v>63</v>
      </c>
      <c r="AW954" t="s">
        <v>63</v>
      </c>
      <c r="AX954" t="s">
        <v>63</v>
      </c>
      <c r="AY954" t="s">
        <v>63</v>
      </c>
      <c r="AZ954" t="s">
        <v>63</v>
      </c>
      <c r="BA954" t="s">
        <v>63</v>
      </c>
      <c r="BB954" t="s">
        <v>63</v>
      </c>
      <c r="BC954" t="s">
        <v>63</v>
      </c>
      <c r="BD954" t="s">
        <v>63</v>
      </c>
      <c r="BE954" t="s">
        <v>63</v>
      </c>
      <c r="BF954" t="s">
        <v>63</v>
      </c>
    </row>
    <row r="955" spans="1:58">
      <c r="A955" t="s">
        <v>58</v>
      </c>
      <c r="B955" t="s">
        <v>8491</v>
      </c>
      <c r="C955" t="s">
        <v>8492</v>
      </c>
      <c r="D955" t="s">
        <v>4066</v>
      </c>
      <c r="E955" t="s">
        <v>4067</v>
      </c>
      <c r="F955">
        <v>2016</v>
      </c>
      <c r="G955" t="s">
        <v>8493</v>
      </c>
      <c r="H955">
        <v>29</v>
      </c>
      <c r="I955">
        <v>2</v>
      </c>
      <c r="J955">
        <v>89</v>
      </c>
      <c r="K955">
        <v>94</v>
      </c>
      <c r="L955" t="s">
        <v>8494</v>
      </c>
      <c r="M955" t="s">
        <v>8495</v>
      </c>
      <c r="N955" t="s">
        <v>8496</v>
      </c>
      <c r="O955" t="s">
        <v>63</v>
      </c>
      <c r="Q955" t="s">
        <v>63</v>
      </c>
      <c r="R955" t="s">
        <v>63</v>
      </c>
      <c r="S955" t="s">
        <v>63</v>
      </c>
      <c r="T955" t="s">
        <v>63</v>
      </c>
      <c r="X955" t="s">
        <v>63</v>
      </c>
      <c r="Y955" t="s">
        <v>8143</v>
      </c>
      <c r="Z955" t="s">
        <v>63</v>
      </c>
      <c r="AA955" t="s">
        <v>8497</v>
      </c>
      <c r="AB955">
        <v>27549645</v>
      </c>
      <c r="AC955" t="s">
        <v>67</v>
      </c>
      <c r="AD955" t="s">
        <v>63</v>
      </c>
      <c r="AE955" t="s">
        <v>63</v>
      </c>
      <c r="AF955" t="s">
        <v>63</v>
      </c>
      <c r="AG955" t="s">
        <v>8498</v>
      </c>
      <c r="AH955" t="s">
        <v>63</v>
      </c>
      <c r="AI955" t="s">
        <v>8499</v>
      </c>
      <c r="AJ955" t="s">
        <v>63</v>
      </c>
      <c r="AK955" t="s">
        <v>63</v>
      </c>
      <c r="AL955" t="s">
        <v>63</v>
      </c>
      <c r="AM955" t="s">
        <v>8500</v>
      </c>
      <c r="AN955" t="s">
        <v>63</v>
      </c>
      <c r="AO955" t="s">
        <v>63</v>
      </c>
      <c r="AP955" t="s">
        <v>63</v>
      </c>
      <c r="AQ955" t="s">
        <v>63</v>
      </c>
      <c r="AR955" t="s">
        <v>63</v>
      </c>
      <c r="AS955" t="s">
        <v>63</v>
      </c>
      <c r="AT955" t="s">
        <v>63</v>
      </c>
      <c r="AU955" t="s">
        <v>63</v>
      </c>
      <c r="AV955" t="s">
        <v>63</v>
      </c>
      <c r="AW955" t="s">
        <v>63</v>
      </c>
      <c r="AX955" t="s">
        <v>63</v>
      </c>
      <c r="AY955" t="s">
        <v>63</v>
      </c>
      <c r="AZ955" t="s">
        <v>63</v>
      </c>
      <c r="BA955" t="s">
        <v>63</v>
      </c>
      <c r="BB955" t="s">
        <v>63</v>
      </c>
      <c r="BC955" t="s">
        <v>63</v>
      </c>
      <c r="BD955" t="s">
        <v>63</v>
      </c>
      <c r="BE955" t="s">
        <v>63</v>
      </c>
      <c r="BF955" t="s">
        <v>63</v>
      </c>
    </row>
    <row r="956" spans="1:58">
      <c r="A956" t="s">
        <v>58</v>
      </c>
      <c r="B956" t="s">
        <v>8501</v>
      </c>
      <c r="C956" t="s">
        <v>8502</v>
      </c>
      <c r="D956" t="s">
        <v>500</v>
      </c>
      <c r="E956" t="s">
        <v>501</v>
      </c>
      <c r="F956">
        <v>2011</v>
      </c>
      <c r="G956" t="s">
        <v>63</v>
      </c>
      <c r="H956">
        <v>31</v>
      </c>
      <c r="I956">
        <v>1</v>
      </c>
      <c r="J956">
        <v>43</v>
      </c>
      <c r="K956">
        <v>48</v>
      </c>
      <c r="L956" t="s">
        <v>8503</v>
      </c>
      <c r="M956" t="s">
        <v>8504</v>
      </c>
      <c r="N956" t="s">
        <v>8505</v>
      </c>
      <c r="O956" t="s">
        <v>63</v>
      </c>
      <c r="Q956" t="s">
        <v>63</v>
      </c>
      <c r="R956" t="s">
        <v>63</v>
      </c>
      <c r="S956" t="s">
        <v>63</v>
      </c>
      <c r="T956" t="s">
        <v>63</v>
      </c>
      <c r="X956" t="s">
        <v>63</v>
      </c>
      <c r="Y956" t="s">
        <v>507</v>
      </c>
      <c r="Z956" t="s">
        <v>63</v>
      </c>
      <c r="AA956" t="s">
        <v>8506</v>
      </c>
      <c r="AB956">
        <v>21425359</v>
      </c>
      <c r="AC956" t="s">
        <v>67</v>
      </c>
      <c r="AD956" t="s">
        <v>63</v>
      </c>
      <c r="AE956" t="s">
        <v>63</v>
      </c>
      <c r="AF956" t="s">
        <v>63</v>
      </c>
      <c r="AG956" t="s">
        <v>8507</v>
      </c>
      <c r="AH956" t="s">
        <v>63</v>
      </c>
      <c r="AI956" t="s">
        <v>8508</v>
      </c>
      <c r="AJ956" t="s">
        <v>63</v>
      </c>
      <c r="AK956" t="s">
        <v>63</v>
      </c>
      <c r="AL956" t="s">
        <v>63</v>
      </c>
      <c r="AM956" t="s">
        <v>8509</v>
      </c>
      <c r="AN956" t="s">
        <v>63</v>
      </c>
      <c r="AO956" t="s">
        <v>63</v>
      </c>
      <c r="AP956" t="s">
        <v>63</v>
      </c>
      <c r="AQ956" t="s">
        <v>63</v>
      </c>
      <c r="AR956" t="s">
        <v>63</v>
      </c>
      <c r="AS956" t="s">
        <v>63</v>
      </c>
      <c r="AT956" t="s">
        <v>63</v>
      </c>
      <c r="AU956" t="s">
        <v>63</v>
      </c>
      <c r="AV956" t="s">
        <v>63</v>
      </c>
      <c r="AW956" t="s">
        <v>63</v>
      </c>
      <c r="AX956" t="s">
        <v>63</v>
      </c>
      <c r="AY956" t="s">
        <v>63</v>
      </c>
      <c r="AZ956" t="s">
        <v>63</v>
      </c>
      <c r="BA956" t="s">
        <v>63</v>
      </c>
      <c r="BB956" t="s">
        <v>63</v>
      </c>
      <c r="BC956" t="s">
        <v>63</v>
      </c>
      <c r="BD956" t="s">
        <v>63</v>
      </c>
      <c r="BE956" t="s">
        <v>63</v>
      </c>
      <c r="BF956" t="s">
        <v>63</v>
      </c>
    </row>
    <row r="957" spans="1:58">
      <c r="A957" t="s">
        <v>58</v>
      </c>
      <c r="B957" t="s">
        <v>8510</v>
      </c>
      <c r="C957" t="s">
        <v>8511</v>
      </c>
      <c r="D957" t="s">
        <v>8512</v>
      </c>
      <c r="E957" t="s">
        <v>63</v>
      </c>
      <c r="F957">
        <v>2011</v>
      </c>
      <c r="G957" t="s">
        <v>138</v>
      </c>
      <c r="H957">
        <v>13</v>
      </c>
      <c r="I957">
        <v>4</v>
      </c>
      <c r="J957">
        <v>30</v>
      </c>
      <c r="K957">
        <v>37</v>
      </c>
      <c r="L957" t="s">
        <v>8513</v>
      </c>
      <c r="M957" t="s">
        <v>8514</v>
      </c>
      <c r="N957" t="s">
        <v>8515</v>
      </c>
      <c r="O957" t="s">
        <v>63</v>
      </c>
      <c r="Q957" t="s">
        <v>63</v>
      </c>
      <c r="R957" t="s">
        <v>63</v>
      </c>
      <c r="S957" t="s">
        <v>63</v>
      </c>
      <c r="T957" t="s">
        <v>63</v>
      </c>
      <c r="X957" t="s">
        <v>63</v>
      </c>
      <c r="Y957" t="s">
        <v>8516</v>
      </c>
      <c r="Z957" t="s">
        <v>63</v>
      </c>
      <c r="AA957" t="s">
        <v>8517</v>
      </c>
      <c r="AB957">
        <v>22143605</v>
      </c>
      <c r="AC957" t="s">
        <v>67</v>
      </c>
      <c r="AD957" t="s">
        <v>63</v>
      </c>
      <c r="AE957" t="s">
        <v>63</v>
      </c>
      <c r="AF957" t="s">
        <v>63</v>
      </c>
      <c r="AG957" t="s">
        <v>8518</v>
      </c>
      <c r="AH957" t="s">
        <v>63</v>
      </c>
      <c r="AI957" t="s">
        <v>63</v>
      </c>
      <c r="AJ957" t="s">
        <v>63</v>
      </c>
      <c r="AK957" t="s">
        <v>63</v>
      </c>
      <c r="AL957" t="s">
        <v>63</v>
      </c>
      <c r="AM957" t="s">
        <v>8519</v>
      </c>
      <c r="AN957" t="s">
        <v>63</v>
      </c>
      <c r="AO957" t="s">
        <v>63</v>
      </c>
      <c r="AP957" t="s">
        <v>63</v>
      </c>
      <c r="AQ957" t="s">
        <v>63</v>
      </c>
      <c r="AR957" t="s">
        <v>63</v>
      </c>
      <c r="AS957" t="s">
        <v>63</v>
      </c>
      <c r="AT957" t="s">
        <v>63</v>
      </c>
      <c r="AU957" t="s">
        <v>63</v>
      </c>
      <c r="AV957" t="s">
        <v>63</v>
      </c>
      <c r="AW957" t="s">
        <v>63</v>
      </c>
      <c r="AX957" t="s">
        <v>63</v>
      </c>
      <c r="AY957" t="s">
        <v>63</v>
      </c>
      <c r="AZ957" t="s">
        <v>63</v>
      </c>
      <c r="BA957" t="s">
        <v>63</v>
      </c>
      <c r="BB957" t="s">
        <v>63</v>
      </c>
      <c r="BC957" t="s">
        <v>63</v>
      </c>
      <c r="BD957" t="s">
        <v>63</v>
      </c>
      <c r="BE957" t="s">
        <v>63</v>
      </c>
      <c r="BF957" t="s">
        <v>63</v>
      </c>
    </row>
    <row r="958" spans="1:58">
      <c r="A958" t="s">
        <v>58</v>
      </c>
      <c r="B958" t="s">
        <v>8520</v>
      </c>
      <c r="C958" t="s">
        <v>8521</v>
      </c>
      <c r="D958" t="s">
        <v>1500</v>
      </c>
      <c r="E958" t="s">
        <v>1501</v>
      </c>
      <c r="F958">
        <v>1993</v>
      </c>
      <c r="G958" t="s">
        <v>189</v>
      </c>
      <c r="H958">
        <v>113</v>
      </c>
      <c r="I958">
        <v>5</v>
      </c>
      <c r="J958">
        <v>367</v>
      </c>
      <c r="K958">
        <v>370</v>
      </c>
      <c r="L958" t="s">
        <v>8522</v>
      </c>
      <c r="M958" t="s">
        <v>63</v>
      </c>
      <c r="N958" t="s">
        <v>8523</v>
      </c>
      <c r="O958" t="s">
        <v>63</v>
      </c>
      <c r="Q958" t="s">
        <v>63</v>
      </c>
      <c r="R958" t="s">
        <v>63</v>
      </c>
      <c r="S958" t="s">
        <v>63</v>
      </c>
      <c r="T958" t="s">
        <v>63</v>
      </c>
      <c r="X958" t="s">
        <v>63</v>
      </c>
      <c r="Y958" t="s">
        <v>1504</v>
      </c>
      <c r="Z958" t="s">
        <v>63</v>
      </c>
      <c r="AA958" t="s">
        <v>63</v>
      </c>
      <c r="AB958">
        <v>8316721</v>
      </c>
      <c r="AC958" t="s">
        <v>1371</v>
      </c>
      <c r="AD958" t="s">
        <v>63</v>
      </c>
      <c r="AE958" t="s">
        <v>63</v>
      </c>
      <c r="AF958" t="s">
        <v>63</v>
      </c>
      <c r="AG958" t="s">
        <v>8524</v>
      </c>
      <c r="AH958" t="s">
        <v>63</v>
      </c>
      <c r="AI958" t="s">
        <v>63</v>
      </c>
      <c r="AJ958" t="s">
        <v>63</v>
      </c>
      <c r="AK958" t="s">
        <v>63</v>
      </c>
      <c r="AL958" t="s">
        <v>63</v>
      </c>
      <c r="AM958" t="s">
        <v>8525</v>
      </c>
      <c r="AN958" t="s">
        <v>63</v>
      </c>
      <c r="AO958" t="s">
        <v>63</v>
      </c>
      <c r="AP958" t="s">
        <v>63</v>
      </c>
      <c r="AQ958" t="s">
        <v>63</v>
      </c>
      <c r="AR958" t="s">
        <v>63</v>
      </c>
      <c r="AS958" t="s">
        <v>63</v>
      </c>
      <c r="AT958" t="s">
        <v>63</v>
      </c>
      <c r="AU958" t="s">
        <v>63</v>
      </c>
      <c r="AV958" t="s">
        <v>63</v>
      </c>
      <c r="AW958" t="s">
        <v>63</v>
      </c>
      <c r="AX958" t="s">
        <v>63</v>
      </c>
      <c r="AY958" t="s">
        <v>63</v>
      </c>
      <c r="AZ958" t="s">
        <v>63</v>
      </c>
      <c r="BA958" t="s">
        <v>63</v>
      </c>
      <c r="BB958" t="s">
        <v>63</v>
      </c>
      <c r="BC958" t="s">
        <v>63</v>
      </c>
      <c r="BD958" t="s">
        <v>63</v>
      </c>
      <c r="BE958" t="s">
        <v>63</v>
      </c>
      <c r="BF958" t="s">
        <v>63</v>
      </c>
    </row>
    <row r="959" spans="1:58">
      <c r="A959" t="s">
        <v>58</v>
      </c>
      <c r="B959" t="s">
        <v>8526</v>
      </c>
      <c r="C959" t="s">
        <v>8527</v>
      </c>
      <c r="D959" t="s">
        <v>763</v>
      </c>
      <c r="E959" t="s">
        <v>63</v>
      </c>
      <c r="F959">
        <v>1996</v>
      </c>
      <c r="G959" t="s">
        <v>198</v>
      </c>
      <c r="H959">
        <v>71</v>
      </c>
      <c r="I959">
        <v>1</v>
      </c>
      <c r="J959" t="s">
        <v>8528</v>
      </c>
      <c r="K959">
        <v>3</v>
      </c>
      <c r="L959" t="s">
        <v>8529</v>
      </c>
      <c r="M959" t="s">
        <v>63</v>
      </c>
      <c r="N959" t="s">
        <v>8530</v>
      </c>
      <c r="O959" t="s">
        <v>63</v>
      </c>
      <c r="Q959" t="s">
        <v>63</v>
      </c>
      <c r="R959" t="s">
        <v>63</v>
      </c>
      <c r="S959" t="s">
        <v>63</v>
      </c>
      <c r="T959" t="s">
        <v>63</v>
      </c>
      <c r="X959" t="s">
        <v>63</v>
      </c>
      <c r="Y959" t="s">
        <v>858</v>
      </c>
      <c r="Z959" t="s">
        <v>63</v>
      </c>
      <c r="AA959" t="s">
        <v>8531</v>
      </c>
      <c r="AB959">
        <v>8546761</v>
      </c>
      <c r="AC959" t="s">
        <v>67</v>
      </c>
      <c r="AD959" t="s">
        <v>63</v>
      </c>
      <c r="AE959" t="s">
        <v>63</v>
      </c>
      <c r="AF959" t="s">
        <v>63</v>
      </c>
      <c r="AG959" t="s">
        <v>8532</v>
      </c>
      <c r="AH959" t="s">
        <v>63</v>
      </c>
      <c r="AI959" t="s">
        <v>63</v>
      </c>
      <c r="AJ959" t="s">
        <v>63</v>
      </c>
      <c r="AK959" t="s">
        <v>63</v>
      </c>
      <c r="AL959" t="s">
        <v>63</v>
      </c>
      <c r="AM959" t="s">
        <v>8533</v>
      </c>
      <c r="AN959" t="s">
        <v>63</v>
      </c>
      <c r="AO959" t="s">
        <v>63</v>
      </c>
      <c r="AP959" t="s">
        <v>63</v>
      </c>
      <c r="AQ959" t="s">
        <v>63</v>
      </c>
      <c r="AR959" t="s">
        <v>63</v>
      </c>
      <c r="AS959" t="s">
        <v>63</v>
      </c>
      <c r="AT959" t="s">
        <v>63</v>
      </c>
      <c r="AU959" t="s">
        <v>63</v>
      </c>
      <c r="AV959" t="s">
        <v>63</v>
      </c>
      <c r="AW959" t="s">
        <v>63</v>
      </c>
      <c r="AX959" t="s">
        <v>63</v>
      </c>
      <c r="AY959" t="s">
        <v>63</v>
      </c>
      <c r="AZ959" t="s">
        <v>63</v>
      </c>
      <c r="BA959" t="s">
        <v>63</v>
      </c>
      <c r="BB959" t="s">
        <v>63</v>
      </c>
      <c r="BC959" t="s">
        <v>63</v>
      </c>
      <c r="BD959" t="s">
        <v>63</v>
      </c>
      <c r="BE959" t="s">
        <v>63</v>
      </c>
      <c r="BF959" t="s">
        <v>63</v>
      </c>
    </row>
    <row r="960" spans="1:58">
      <c r="A960" t="s">
        <v>58</v>
      </c>
      <c r="B960" t="s">
        <v>8534</v>
      </c>
      <c r="C960" t="s">
        <v>8535</v>
      </c>
      <c r="D960" t="s">
        <v>2353</v>
      </c>
      <c r="E960" t="s">
        <v>2354</v>
      </c>
      <c r="F960">
        <v>2011</v>
      </c>
      <c r="G960" t="s">
        <v>138</v>
      </c>
      <c r="H960">
        <v>41</v>
      </c>
      <c r="I960">
        <v>3</v>
      </c>
      <c r="J960">
        <v>321</v>
      </c>
      <c r="K960">
        <v>329</v>
      </c>
      <c r="L960" t="s">
        <v>8536</v>
      </c>
      <c r="M960" t="s">
        <v>8537</v>
      </c>
      <c r="N960" t="s">
        <v>8538</v>
      </c>
      <c r="O960" t="s">
        <v>63</v>
      </c>
      <c r="Q960" t="s">
        <v>63</v>
      </c>
      <c r="R960" t="s">
        <v>63</v>
      </c>
      <c r="S960" t="s">
        <v>63</v>
      </c>
      <c r="T960" t="s">
        <v>63</v>
      </c>
      <c r="X960" t="s">
        <v>63</v>
      </c>
      <c r="Y960" t="s">
        <v>8330</v>
      </c>
      <c r="Z960" t="s">
        <v>63</v>
      </c>
      <c r="AA960" t="s">
        <v>8539</v>
      </c>
      <c r="AB960">
        <v>21664789</v>
      </c>
      <c r="AC960" t="s">
        <v>67</v>
      </c>
      <c r="AD960" t="s">
        <v>63</v>
      </c>
      <c r="AE960" t="s">
        <v>63</v>
      </c>
      <c r="AF960" t="s">
        <v>63</v>
      </c>
      <c r="AG960" t="s">
        <v>8540</v>
      </c>
      <c r="AH960" t="s">
        <v>63</v>
      </c>
      <c r="AI960" t="s">
        <v>8541</v>
      </c>
      <c r="AJ960" t="s">
        <v>63</v>
      </c>
      <c r="AK960" t="s">
        <v>63</v>
      </c>
      <c r="AL960" t="s">
        <v>63</v>
      </c>
      <c r="AM960" t="s">
        <v>8542</v>
      </c>
      <c r="AN960" t="s">
        <v>63</v>
      </c>
      <c r="AO960" t="s">
        <v>63</v>
      </c>
      <c r="AP960" t="s">
        <v>63</v>
      </c>
      <c r="AQ960" t="s">
        <v>63</v>
      </c>
      <c r="AR960" t="s">
        <v>63</v>
      </c>
      <c r="AS960" t="s">
        <v>63</v>
      </c>
      <c r="AT960" t="s">
        <v>63</v>
      </c>
      <c r="AU960" t="s">
        <v>63</v>
      </c>
      <c r="AV960" t="s">
        <v>63</v>
      </c>
      <c r="AW960" t="s">
        <v>63</v>
      </c>
      <c r="AX960" t="s">
        <v>63</v>
      </c>
      <c r="AY960" t="s">
        <v>63</v>
      </c>
      <c r="AZ960" t="s">
        <v>63</v>
      </c>
      <c r="BA960" t="s">
        <v>63</v>
      </c>
      <c r="BB960" t="s">
        <v>63</v>
      </c>
      <c r="BC960" t="s">
        <v>63</v>
      </c>
      <c r="BD960" t="s">
        <v>63</v>
      </c>
      <c r="BE960" t="s">
        <v>63</v>
      </c>
      <c r="BF960" t="s">
        <v>63</v>
      </c>
    </row>
    <row r="961" spans="1:58">
      <c r="A961" t="s">
        <v>58</v>
      </c>
      <c r="B961" t="s">
        <v>8543</v>
      </c>
      <c r="C961" t="s">
        <v>8544</v>
      </c>
      <c r="D961" t="s">
        <v>1184</v>
      </c>
      <c r="E961" t="s">
        <v>1185</v>
      </c>
      <c r="F961">
        <v>1988</v>
      </c>
      <c r="G961" t="s">
        <v>274</v>
      </c>
      <c r="H961">
        <v>63</v>
      </c>
      <c r="I961">
        <v>3</v>
      </c>
      <c r="J961">
        <v>182</v>
      </c>
      <c r="K961">
        <v>188</v>
      </c>
      <c r="L961" t="s">
        <v>8545</v>
      </c>
      <c r="M961" t="s">
        <v>8546</v>
      </c>
      <c r="N961" t="s">
        <v>8547</v>
      </c>
      <c r="O961" t="s">
        <v>63</v>
      </c>
      <c r="Q961" t="s">
        <v>63</v>
      </c>
      <c r="R961" t="s">
        <v>63</v>
      </c>
      <c r="S961" t="s">
        <v>63</v>
      </c>
      <c r="T961" t="s">
        <v>63</v>
      </c>
      <c r="X961" t="s">
        <v>63</v>
      </c>
      <c r="Y961" t="s">
        <v>1188</v>
      </c>
      <c r="Z961" t="s">
        <v>63</v>
      </c>
      <c r="AA961" t="s">
        <v>8548</v>
      </c>
      <c r="AB961">
        <v>3346894</v>
      </c>
      <c r="AC961" t="s">
        <v>67</v>
      </c>
      <c r="AD961" t="s">
        <v>63</v>
      </c>
      <c r="AE961" t="s">
        <v>63</v>
      </c>
      <c r="AF961" t="s">
        <v>63</v>
      </c>
      <c r="AG961" t="s">
        <v>8549</v>
      </c>
      <c r="AH961" t="s">
        <v>63</v>
      </c>
      <c r="AI961" t="s">
        <v>63</v>
      </c>
      <c r="AJ961" t="s">
        <v>63</v>
      </c>
      <c r="AK961" t="s">
        <v>63</v>
      </c>
      <c r="AL961" t="s">
        <v>63</v>
      </c>
      <c r="AM961" t="s">
        <v>8550</v>
      </c>
      <c r="AN961" t="s">
        <v>63</v>
      </c>
      <c r="AO961" t="s">
        <v>63</v>
      </c>
      <c r="AP961" t="s">
        <v>63</v>
      </c>
      <c r="AQ961" t="s">
        <v>63</v>
      </c>
      <c r="AR961" t="s">
        <v>63</v>
      </c>
      <c r="AS961" t="s">
        <v>63</v>
      </c>
      <c r="AT961" t="s">
        <v>63</v>
      </c>
      <c r="AU961" t="s">
        <v>63</v>
      </c>
      <c r="AV961" t="s">
        <v>63</v>
      </c>
      <c r="AW961" t="s">
        <v>63</v>
      </c>
      <c r="AX961" t="s">
        <v>63</v>
      </c>
      <c r="AY961" t="s">
        <v>63</v>
      </c>
      <c r="AZ961" t="s">
        <v>63</v>
      </c>
      <c r="BA961" t="s">
        <v>63</v>
      </c>
      <c r="BB961" t="s">
        <v>63</v>
      </c>
      <c r="BC961" t="s">
        <v>63</v>
      </c>
      <c r="BD961" t="s">
        <v>63</v>
      </c>
      <c r="BE961" t="s">
        <v>63</v>
      </c>
      <c r="BF961" t="s">
        <v>63</v>
      </c>
    </row>
    <row r="962" spans="1:58">
      <c r="A962" t="s">
        <v>58</v>
      </c>
      <c r="B962" t="s">
        <v>8551</v>
      </c>
      <c r="C962" t="s">
        <v>8552</v>
      </c>
      <c r="D962" t="s">
        <v>8553</v>
      </c>
      <c r="E962" t="s">
        <v>8554</v>
      </c>
      <c r="F962">
        <v>2016</v>
      </c>
      <c r="G962" t="s">
        <v>63</v>
      </c>
      <c r="H962">
        <v>76</v>
      </c>
      <c r="I962" t="s">
        <v>63</v>
      </c>
      <c r="J962">
        <v>67</v>
      </c>
      <c r="K962">
        <v>84</v>
      </c>
      <c r="L962" t="s">
        <v>8555</v>
      </c>
      <c r="M962" t="s">
        <v>8556</v>
      </c>
      <c r="N962" t="s">
        <v>8557</v>
      </c>
      <c r="O962" t="s">
        <v>63</v>
      </c>
      <c r="Q962" t="s">
        <v>63</v>
      </c>
      <c r="R962" t="s">
        <v>63</v>
      </c>
      <c r="S962" t="s">
        <v>63</v>
      </c>
      <c r="T962" t="s">
        <v>63</v>
      </c>
      <c r="X962" t="s">
        <v>63</v>
      </c>
      <c r="Y962" t="s">
        <v>8558</v>
      </c>
      <c r="Z962" t="s">
        <v>63</v>
      </c>
      <c r="AA962" t="s">
        <v>8559</v>
      </c>
      <c r="AB962">
        <v>27288074</v>
      </c>
      <c r="AC962" t="s">
        <v>67</v>
      </c>
      <c r="AD962" t="s">
        <v>63</v>
      </c>
      <c r="AE962" t="s">
        <v>63</v>
      </c>
      <c r="AF962" t="s">
        <v>63</v>
      </c>
      <c r="AG962" t="s">
        <v>8560</v>
      </c>
      <c r="AH962" t="s">
        <v>63</v>
      </c>
      <c r="AI962" t="s">
        <v>8561</v>
      </c>
      <c r="AJ962" t="s">
        <v>63</v>
      </c>
      <c r="AK962" t="s">
        <v>63</v>
      </c>
      <c r="AL962" t="s">
        <v>63</v>
      </c>
      <c r="AM962" t="s">
        <v>8562</v>
      </c>
      <c r="AN962" t="s">
        <v>63</v>
      </c>
      <c r="AO962" t="s">
        <v>63</v>
      </c>
      <c r="AP962" t="s">
        <v>63</v>
      </c>
      <c r="AQ962" t="s">
        <v>63</v>
      </c>
      <c r="AR962" t="s">
        <v>63</v>
      </c>
      <c r="AS962" t="s">
        <v>63</v>
      </c>
      <c r="AT962" t="s">
        <v>63</v>
      </c>
      <c r="AU962" t="s">
        <v>63</v>
      </c>
      <c r="AV962" t="s">
        <v>63</v>
      </c>
      <c r="AW962" t="s">
        <v>63</v>
      </c>
      <c r="AX962" t="s">
        <v>63</v>
      </c>
      <c r="AY962" t="s">
        <v>63</v>
      </c>
      <c r="AZ962" t="s">
        <v>63</v>
      </c>
      <c r="BA962" t="s">
        <v>63</v>
      </c>
      <c r="BB962" t="s">
        <v>63</v>
      </c>
      <c r="BC962" t="s">
        <v>63</v>
      </c>
      <c r="BD962" t="s">
        <v>63</v>
      </c>
      <c r="BE962" t="s">
        <v>63</v>
      </c>
      <c r="BF962" t="s">
        <v>63</v>
      </c>
    </row>
    <row r="963" spans="1:58">
      <c r="A963" t="s">
        <v>58</v>
      </c>
      <c r="B963" t="s">
        <v>8563</v>
      </c>
      <c r="C963" t="s">
        <v>8564</v>
      </c>
      <c r="D963" t="s">
        <v>8565</v>
      </c>
      <c r="E963" t="s">
        <v>63</v>
      </c>
      <c r="F963">
        <v>2007</v>
      </c>
      <c r="G963" t="s">
        <v>1670</v>
      </c>
      <c r="H963">
        <v>142</v>
      </c>
      <c r="I963">
        <v>7</v>
      </c>
      <c r="J963">
        <v>633</v>
      </c>
      <c r="K963">
        <v>638</v>
      </c>
      <c r="L963" t="s">
        <v>8566</v>
      </c>
      <c r="M963" t="s">
        <v>8567</v>
      </c>
      <c r="N963" t="s">
        <v>8568</v>
      </c>
      <c r="O963" t="s">
        <v>63</v>
      </c>
      <c r="Q963" t="s">
        <v>63</v>
      </c>
      <c r="R963" t="s">
        <v>63</v>
      </c>
      <c r="S963" t="s">
        <v>63</v>
      </c>
      <c r="T963" t="s">
        <v>63</v>
      </c>
      <c r="X963" t="s">
        <v>63</v>
      </c>
      <c r="Y963" t="s">
        <v>8569</v>
      </c>
      <c r="Z963" t="s">
        <v>63</v>
      </c>
      <c r="AA963" t="s">
        <v>8570</v>
      </c>
      <c r="AB963">
        <v>17638800</v>
      </c>
      <c r="AC963" t="s">
        <v>67</v>
      </c>
      <c r="AD963" t="s">
        <v>63</v>
      </c>
      <c r="AE963" t="s">
        <v>63</v>
      </c>
      <c r="AF963" t="s">
        <v>63</v>
      </c>
      <c r="AG963" t="s">
        <v>8571</v>
      </c>
      <c r="AH963" t="s">
        <v>63</v>
      </c>
      <c r="AI963" t="s">
        <v>63</v>
      </c>
      <c r="AJ963" t="s">
        <v>63</v>
      </c>
      <c r="AK963" t="s">
        <v>63</v>
      </c>
      <c r="AL963" t="s">
        <v>63</v>
      </c>
      <c r="AM963" t="s">
        <v>8572</v>
      </c>
      <c r="AN963" t="s">
        <v>63</v>
      </c>
      <c r="AO963" t="s">
        <v>63</v>
      </c>
      <c r="AP963" t="s">
        <v>63</v>
      </c>
      <c r="AQ963" t="s">
        <v>63</v>
      </c>
      <c r="AR963" t="s">
        <v>63</v>
      </c>
      <c r="AS963" t="s">
        <v>63</v>
      </c>
      <c r="AT963" t="s">
        <v>63</v>
      </c>
      <c r="AU963" t="s">
        <v>63</v>
      </c>
      <c r="AV963" t="s">
        <v>63</v>
      </c>
      <c r="AW963" t="s">
        <v>63</v>
      </c>
      <c r="AX963" t="s">
        <v>63</v>
      </c>
      <c r="AY963" t="s">
        <v>63</v>
      </c>
      <c r="AZ963" t="s">
        <v>63</v>
      </c>
      <c r="BA963" t="s">
        <v>63</v>
      </c>
      <c r="BB963" t="s">
        <v>63</v>
      </c>
      <c r="BC963" t="s">
        <v>63</v>
      </c>
      <c r="BD963" t="s">
        <v>63</v>
      </c>
      <c r="BE963" t="s">
        <v>63</v>
      </c>
      <c r="BF963" t="s">
        <v>63</v>
      </c>
    </row>
    <row r="964" spans="1:58">
      <c r="A964" t="s">
        <v>58</v>
      </c>
      <c r="B964" t="s">
        <v>8573</v>
      </c>
      <c r="C964" t="s">
        <v>8574</v>
      </c>
      <c r="D964" t="s">
        <v>8575</v>
      </c>
      <c r="E964" t="s">
        <v>63</v>
      </c>
      <c r="F964">
        <v>1991</v>
      </c>
      <c r="G964" t="s">
        <v>274</v>
      </c>
      <c r="H964">
        <v>22</v>
      </c>
      <c r="I964">
        <v>1</v>
      </c>
      <c r="J964">
        <v>9</v>
      </c>
      <c r="K964">
        <v>12</v>
      </c>
      <c r="L964" t="s">
        <v>8576</v>
      </c>
      <c r="M964" t="s">
        <v>8577</v>
      </c>
      <c r="N964" t="s">
        <v>8578</v>
      </c>
      <c r="O964" t="s">
        <v>63</v>
      </c>
      <c r="Q964" t="s">
        <v>63</v>
      </c>
      <c r="R964" t="s">
        <v>63</v>
      </c>
      <c r="S964" t="s">
        <v>63</v>
      </c>
      <c r="T964" t="s">
        <v>63</v>
      </c>
      <c r="X964" t="s">
        <v>63</v>
      </c>
      <c r="Y964" t="s">
        <v>8579</v>
      </c>
      <c r="Z964" t="s">
        <v>63</v>
      </c>
      <c r="AA964" t="s">
        <v>63</v>
      </c>
      <c r="AB964">
        <v>1941272</v>
      </c>
      <c r="AC964" t="s">
        <v>67</v>
      </c>
      <c r="AD964" t="s">
        <v>63</v>
      </c>
      <c r="AE964" t="s">
        <v>63</v>
      </c>
      <c r="AF964" t="s">
        <v>63</v>
      </c>
      <c r="AG964" t="s">
        <v>8580</v>
      </c>
      <c r="AH964" t="s">
        <v>63</v>
      </c>
      <c r="AI964" t="s">
        <v>63</v>
      </c>
      <c r="AJ964" t="s">
        <v>63</v>
      </c>
      <c r="AK964" t="s">
        <v>63</v>
      </c>
      <c r="AL964" t="s">
        <v>63</v>
      </c>
      <c r="AM964" t="s">
        <v>8581</v>
      </c>
      <c r="AN964" t="s">
        <v>63</v>
      </c>
      <c r="AO964" t="s">
        <v>63</v>
      </c>
      <c r="AP964" t="s">
        <v>63</v>
      </c>
      <c r="AQ964" t="s">
        <v>63</v>
      </c>
      <c r="AR964" t="s">
        <v>63</v>
      </c>
      <c r="AS964" t="s">
        <v>63</v>
      </c>
      <c r="AT964" t="s">
        <v>63</v>
      </c>
      <c r="AU964" t="s">
        <v>63</v>
      </c>
      <c r="AV964" t="s">
        <v>63</v>
      </c>
      <c r="AW964" t="s">
        <v>63</v>
      </c>
      <c r="AX964" t="s">
        <v>63</v>
      </c>
      <c r="AY964" t="s">
        <v>63</v>
      </c>
      <c r="AZ964" t="s">
        <v>63</v>
      </c>
      <c r="BA964" t="s">
        <v>63</v>
      </c>
      <c r="BB964" t="s">
        <v>63</v>
      </c>
      <c r="BC964" t="s">
        <v>63</v>
      </c>
      <c r="BD964" t="s">
        <v>63</v>
      </c>
      <c r="BE964" t="s">
        <v>63</v>
      </c>
      <c r="BF964" t="s">
        <v>63</v>
      </c>
    </row>
    <row r="965" spans="1:58">
      <c r="A965" t="s">
        <v>58</v>
      </c>
      <c r="B965" t="s">
        <v>8582</v>
      </c>
      <c r="C965" t="s">
        <v>8583</v>
      </c>
      <c r="D965" t="s">
        <v>8584</v>
      </c>
      <c r="E965" t="s">
        <v>63</v>
      </c>
      <c r="F965">
        <v>2012</v>
      </c>
      <c r="G965" t="s">
        <v>63</v>
      </c>
      <c r="H965">
        <v>18</v>
      </c>
      <c r="I965">
        <v>4</v>
      </c>
      <c r="J965">
        <v>346</v>
      </c>
      <c r="K965">
        <v>351</v>
      </c>
      <c r="L965" t="s">
        <v>8585</v>
      </c>
      <c r="M965" t="s">
        <v>8586</v>
      </c>
      <c r="N965" t="s">
        <v>8587</v>
      </c>
      <c r="O965" t="s">
        <v>63</v>
      </c>
      <c r="Q965" t="s">
        <v>63</v>
      </c>
      <c r="R965" t="s">
        <v>63</v>
      </c>
      <c r="S965" t="s">
        <v>63</v>
      </c>
      <c r="T965" t="s">
        <v>63</v>
      </c>
      <c r="X965" t="s">
        <v>63</v>
      </c>
      <c r="Y965" t="s">
        <v>8588</v>
      </c>
      <c r="Z965" t="s">
        <v>63</v>
      </c>
      <c r="AA965" t="s">
        <v>8589</v>
      </c>
      <c r="AB965">
        <v>22950844</v>
      </c>
      <c r="AC965" t="s">
        <v>67</v>
      </c>
      <c r="AD965" t="s">
        <v>63</v>
      </c>
      <c r="AE965" t="s">
        <v>63</v>
      </c>
      <c r="AF965" t="s">
        <v>63</v>
      </c>
      <c r="AG965" t="s">
        <v>8590</v>
      </c>
      <c r="AH965" t="s">
        <v>63</v>
      </c>
      <c r="AI965" t="s">
        <v>63</v>
      </c>
      <c r="AJ965" t="s">
        <v>63</v>
      </c>
      <c r="AK965" t="s">
        <v>63</v>
      </c>
      <c r="AL965" t="s">
        <v>63</v>
      </c>
      <c r="AM965" t="s">
        <v>8591</v>
      </c>
      <c r="AN965" t="s">
        <v>63</v>
      </c>
      <c r="AO965" t="s">
        <v>63</v>
      </c>
      <c r="AP965" t="s">
        <v>63</v>
      </c>
      <c r="AQ965" t="s">
        <v>63</v>
      </c>
      <c r="AR965" t="s">
        <v>63</v>
      </c>
      <c r="AS965" t="s">
        <v>63</v>
      </c>
      <c r="AT965" t="s">
        <v>63</v>
      </c>
      <c r="AU965" t="s">
        <v>63</v>
      </c>
      <c r="AV965" t="s">
        <v>63</v>
      </c>
      <c r="AW965" t="s">
        <v>63</v>
      </c>
      <c r="AX965" t="s">
        <v>63</v>
      </c>
      <c r="AY965" t="s">
        <v>63</v>
      </c>
      <c r="AZ965" t="s">
        <v>63</v>
      </c>
      <c r="BA965" t="s">
        <v>63</v>
      </c>
      <c r="BB965" t="s">
        <v>63</v>
      </c>
      <c r="BC965" t="s">
        <v>63</v>
      </c>
      <c r="BD965" t="s">
        <v>63</v>
      </c>
      <c r="BE965" t="s">
        <v>63</v>
      </c>
      <c r="BF965" t="s">
        <v>63</v>
      </c>
    </row>
    <row r="966" spans="1:58">
      <c r="A966" t="s">
        <v>58</v>
      </c>
      <c r="B966" t="s">
        <v>8592</v>
      </c>
      <c r="C966" t="s">
        <v>8593</v>
      </c>
      <c r="D966" t="s">
        <v>8594</v>
      </c>
      <c r="E966" t="s">
        <v>8595</v>
      </c>
      <c r="F966">
        <v>2018</v>
      </c>
      <c r="G966" s="1">
        <v>41754</v>
      </c>
      <c r="H966">
        <v>42</v>
      </c>
      <c r="I966">
        <v>6</v>
      </c>
      <c r="J966">
        <v>106</v>
      </c>
      <c r="K966" t="s">
        <v>63</v>
      </c>
      <c r="L966" t="s">
        <v>63</v>
      </c>
      <c r="M966" t="s">
        <v>8596</v>
      </c>
      <c r="N966" t="s">
        <v>8597</v>
      </c>
      <c r="O966" t="s">
        <v>63</v>
      </c>
      <c r="Q966" t="s">
        <v>63</v>
      </c>
      <c r="R966" t="s">
        <v>63</v>
      </c>
      <c r="S966" t="s">
        <v>63</v>
      </c>
      <c r="T966" t="s">
        <v>63</v>
      </c>
      <c r="X966" t="s">
        <v>63</v>
      </c>
      <c r="Y966" t="s">
        <v>8598</v>
      </c>
      <c r="Z966" t="s">
        <v>63</v>
      </c>
      <c r="AA966" t="s">
        <v>8599</v>
      </c>
      <c r="AB966">
        <v>29700626</v>
      </c>
      <c r="AC966" t="s">
        <v>67</v>
      </c>
      <c r="AD966" t="s">
        <v>63</v>
      </c>
      <c r="AE966" t="s">
        <v>63</v>
      </c>
      <c r="AF966" t="s">
        <v>63</v>
      </c>
      <c r="AG966" t="s">
        <v>8600</v>
      </c>
      <c r="AH966" t="s">
        <v>63</v>
      </c>
      <c r="AI966" t="s">
        <v>8601</v>
      </c>
      <c r="AJ966" t="s">
        <v>63</v>
      </c>
      <c r="AK966" t="s">
        <v>63</v>
      </c>
      <c r="AL966" t="s">
        <v>63</v>
      </c>
      <c r="AM966" t="s">
        <v>8602</v>
      </c>
      <c r="AN966" t="s">
        <v>63</v>
      </c>
      <c r="AO966" t="s">
        <v>63</v>
      </c>
      <c r="AP966" t="s">
        <v>63</v>
      </c>
      <c r="AQ966" t="s">
        <v>63</v>
      </c>
      <c r="AR966" t="s">
        <v>63</v>
      </c>
      <c r="AS966" t="s">
        <v>63</v>
      </c>
      <c r="AT966" t="s">
        <v>63</v>
      </c>
      <c r="AU966" t="s">
        <v>63</v>
      </c>
      <c r="AV966" t="s">
        <v>63</v>
      </c>
      <c r="AW966" t="s">
        <v>63</v>
      </c>
      <c r="AX966" t="s">
        <v>63</v>
      </c>
      <c r="AY966" t="s">
        <v>63</v>
      </c>
      <c r="AZ966" t="s">
        <v>63</v>
      </c>
      <c r="BA966" t="s">
        <v>63</v>
      </c>
      <c r="BB966" t="s">
        <v>63</v>
      </c>
      <c r="BC966" t="s">
        <v>63</v>
      </c>
      <c r="BD966" t="s">
        <v>63</v>
      </c>
      <c r="BE966" t="s">
        <v>63</v>
      </c>
      <c r="BF966" t="s">
        <v>63</v>
      </c>
    </row>
    <row r="967" spans="1:58">
      <c r="A967" t="s">
        <v>58</v>
      </c>
      <c r="B967" t="s">
        <v>8603</v>
      </c>
      <c r="C967" t="s">
        <v>8604</v>
      </c>
      <c r="D967" t="s">
        <v>8605</v>
      </c>
      <c r="E967" t="s">
        <v>63</v>
      </c>
      <c r="F967">
        <v>2016</v>
      </c>
      <c r="G967">
        <v>7</v>
      </c>
      <c r="H967">
        <v>36</v>
      </c>
      <c r="I967">
        <v>4</v>
      </c>
      <c r="J967">
        <v>494</v>
      </c>
      <c r="K967">
        <v>502</v>
      </c>
      <c r="L967" t="s">
        <v>8606</v>
      </c>
      <c r="M967" t="s">
        <v>8607</v>
      </c>
      <c r="N967" t="s">
        <v>8608</v>
      </c>
      <c r="O967" t="s">
        <v>63</v>
      </c>
      <c r="Q967" t="s">
        <v>63</v>
      </c>
      <c r="R967" t="s">
        <v>63</v>
      </c>
      <c r="S967" t="s">
        <v>63</v>
      </c>
      <c r="T967" t="s">
        <v>63</v>
      </c>
      <c r="X967" t="s">
        <v>63</v>
      </c>
      <c r="Y967" t="s">
        <v>8609</v>
      </c>
      <c r="Z967" t="s">
        <v>63</v>
      </c>
      <c r="AA967" t="s">
        <v>8610</v>
      </c>
      <c r="AB967">
        <v>26920077</v>
      </c>
      <c r="AC967" t="s">
        <v>67</v>
      </c>
      <c r="AD967" t="s">
        <v>63</v>
      </c>
      <c r="AE967" t="s">
        <v>63</v>
      </c>
      <c r="AF967" t="s">
        <v>63</v>
      </c>
      <c r="AG967" t="s">
        <v>8611</v>
      </c>
      <c r="AH967" t="s">
        <v>63</v>
      </c>
      <c r="AI967" t="s">
        <v>8612</v>
      </c>
      <c r="AJ967" t="s">
        <v>63</v>
      </c>
      <c r="AK967" t="s">
        <v>63</v>
      </c>
      <c r="AL967" t="s">
        <v>63</v>
      </c>
      <c r="AM967" t="s">
        <v>8613</v>
      </c>
      <c r="AN967" t="s">
        <v>63</v>
      </c>
      <c r="AO967" t="s">
        <v>63</v>
      </c>
      <c r="AP967" t="s">
        <v>63</v>
      </c>
      <c r="AQ967" t="s">
        <v>63</v>
      </c>
      <c r="AR967" t="s">
        <v>63</v>
      </c>
      <c r="AS967" t="s">
        <v>63</v>
      </c>
      <c r="AT967" t="s">
        <v>63</v>
      </c>
      <c r="AU967" t="s">
        <v>63</v>
      </c>
      <c r="AV967" t="s">
        <v>63</v>
      </c>
      <c r="AW967" t="s">
        <v>63</v>
      </c>
      <c r="AX967" t="s">
        <v>63</v>
      </c>
      <c r="AY967" t="s">
        <v>63</v>
      </c>
      <c r="AZ967" t="s">
        <v>63</v>
      </c>
      <c r="BA967" t="s">
        <v>63</v>
      </c>
      <c r="BB967" t="s">
        <v>63</v>
      </c>
      <c r="BC967" t="s">
        <v>63</v>
      </c>
      <c r="BD967" t="s">
        <v>63</v>
      </c>
      <c r="BE967" t="s">
        <v>63</v>
      </c>
      <c r="BF967" t="s">
        <v>63</v>
      </c>
    </row>
    <row r="968" spans="1:58">
      <c r="A968" t="s">
        <v>58</v>
      </c>
      <c r="B968" t="s">
        <v>8614</v>
      </c>
      <c r="C968" t="s">
        <v>8615</v>
      </c>
      <c r="D968" t="s">
        <v>8616</v>
      </c>
      <c r="E968" t="s">
        <v>8617</v>
      </c>
      <c r="F968">
        <v>2016</v>
      </c>
      <c r="G968" s="1">
        <v>41759</v>
      </c>
      <c r="H968">
        <v>157</v>
      </c>
      <c r="I968">
        <v>18</v>
      </c>
      <c r="J968">
        <v>695</v>
      </c>
      <c r="K968">
        <v>699</v>
      </c>
      <c r="L968" t="s">
        <v>8618</v>
      </c>
      <c r="M968" t="s">
        <v>8619</v>
      </c>
      <c r="N968" t="s">
        <v>8620</v>
      </c>
      <c r="O968" t="s">
        <v>63</v>
      </c>
      <c r="Q968" t="s">
        <v>63</v>
      </c>
      <c r="R968" t="s">
        <v>63</v>
      </c>
      <c r="S968" t="s">
        <v>63</v>
      </c>
      <c r="T968" t="s">
        <v>63</v>
      </c>
      <c r="X968" t="s">
        <v>63</v>
      </c>
      <c r="Y968" t="s">
        <v>8621</v>
      </c>
      <c r="Z968" t="s">
        <v>63</v>
      </c>
      <c r="AA968" t="s">
        <v>8622</v>
      </c>
      <c r="AB968">
        <v>27106724</v>
      </c>
      <c r="AC968" t="s">
        <v>8623</v>
      </c>
      <c r="AD968" t="s">
        <v>63</v>
      </c>
      <c r="AE968" t="s">
        <v>63</v>
      </c>
      <c r="AF968" t="s">
        <v>63</v>
      </c>
      <c r="AG968" t="s">
        <v>8624</v>
      </c>
      <c r="AH968" t="s">
        <v>63</v>
      </c>
      <c r="AI968" t="s">
        <v>8625</v>
      </c>
      <c r="AJ968" t="s">
        <v>63</v>
      </c>
      <c r="AK968" t="s">
        <v>63</v>
      </c>
      <c r="AL968" t="s">
        <v>63</v>
      </c>
      <c r="AM968" t="s">
        <v>8626</v>
      </c>
      <c r="AN968" t="s">
        <v>63</v>
      </c>
      <c r="AO968" t="s">
        <v>63</v>
      </c>
      <c r="AP968" t="s">
        <v>63</v>
      </c>
      <c r="AQ968" t="s">
        <v>63</v>
      </c>
      <c r="AR968" t="s">
        <v>63</v>
      </c>
      <c r="AS968" t="s">
        <v>63</v>
      </c>
      <c r="AT968" t="s">
        <v>63</v>
      </c>
      <c r="AU968" t="s">
        <v>63</v>
      </c>
      <c r="AV968" t="s">
        <v>63</v>
      </c>
      <c r="AW968" t="s">
        <v>63</v>
      </c>
      <c r="AX968" t="s">
        <v>63</v>
      </c>
      <c r="AY968" t="s">
        <v>63</v>
      </c>
      <c r="AZ968" t="s">
        <v>63</v>
      </c>
      <c r="BA968" t="s">
        <v>63</v>
      </c>
      <c r="BB968" t="s">
        <v>63</v>
      </c>
      <c r="BC968" t="s">
        <v>63</v>
      </c>
      <c r="BD968" t="s">
        <v>63</v>
      </c>
      <c r="BE968" t="s">
        <v>63</v>
      </c>
      <c r="BF968" t="s">
        <v>63</v>
      </c>
    </row>
    <row r="969" spans="1:58">
      <c r="A969" t="s">
        <v>58</v>
      </c>
      <c r="B969" t="s">
        <v>8627</v>
      </c>
      <c r="C969" t="s">
        <v>8628</v>
      </c>
      <c r="D969" t="s">
        <v>8629</v>
      </c>
      <c r="E969" t="s">
        <v>63</v>
      </c>
      <c r="F969">
        <v>1990</v>
      </c>
      <c r="G969" t="s">
        <v>138</v>
      </c>
      <c r="H969">
        <v>30</v>
      </c>
      <c r="I969">
        <v>10</v>
      </c>
      <c r="J969">
        <v>1252</v>
      </c>
      <c r="K969">
        <v>1258</v>
      </c>
      <c r="L969" t="s">
        <v>8630</v>
      </c>
      <c r="M969" t="s">
        <v>8631</v>
      </c>
      <c r="N969" t="s">
        <v>8632</v>
      </c>
      <c r="O969" t="s">
        <v>63</v>
      </c>
      <c r="Q969" t="s">
        <v>63</v>
      </c>
      <c r="R969" t="s">
        <v>63</v>
      </c>
      <c r="S969" t="s">
        <v>63</v>
      </c>
      <c r="T969" t="s">
        <v>63</v>
      </c>
      <c r="X969" t="s">
        <v>63</v>
      </c>
      <c r="Y969" t="s">
        <v>8633</v>
      </c>
      <c r="Z969" t="s">
        <v>63</v>
      </c>
      <c r="AA969" t="s">
        <v>8634</v>
      </c>
      <c r="AB969">
        <v>2213933</v>
      </c>
      <c r="AC969" t="s">
        <v>67</v>
      </c>
      <c r="AD969" t="s">
        <v>63</v>
      </c>
      <c r="AE969" t="s">
        <v>63</v>
      </c>
      <c r="AF969" t="s">
        <v>63</v>
      </c>
      <c r="AG969" t="s">
        <v>8635</v>
      </c>
      <c r="AH969" t="s">
        <v>63</v>
      </c>
      <c r="AI969" t="s">
        <v>63</v>
      </c>
      <c r="AJ969" t="s">
        <v>63</v>
      </c>
      <c r="AK969" t="s">
        <v>63</v>
      </c>
      <c r="AL969" t="s">
        <v>63</v>
      </c>
      <c r="AM969" t="s">
        <v>8636</v>
      </c>
      <c r="AN969" t="s">
        <v>63</v>
      </c>
      <c r="AO969" t="s">
        <v>63</v>
      </c>
      <c r="AP969" t="s">
        <v>63</v>
      </c>
      <c r="AQ969" t="s">
        <v>63</v>
      </c>
      <c r="AR969" t="s">
        <v>63</v>
      </c>
      <c r="AS969" t="s">
        <v>63</v>
      </c>
      <c r="AT969" t="s">
        <v>63</v>
      </c>
      <c r="AU969" t="s">
        <v>63</v>
      </c>
      <c r="AV969" t="s">
        <v>63</v>
      </c>
      <c r="AW969" t="s">
        <v>63</v>
      </c>
      <c r="AX969" t="s">
        <v>63</v>
      </c>
      <c r="AY969" t="s">
        <v>63</v>
      </c>
      <c r="AZ969" t="s">
        <v>63</v>
      </c>
      <c r="BA969" t="s">
        <v>63</v>
      </c>
      <c r="BB969" t="s">
        <v>63</v>
      </c>
      <c r="BC969" t="s">
        <v>63</v>
      </c>
      <c r="BD969" t="s">
        <v>63</v>
      </c>
      <c r="BE969" t="s">
        <v>63</v>
      </c>
      <c r="BF969" t="s">
        <v>63</v>
      </c>
    </row>
    <row r="970" spans="1:58">
      <c r="A970" t="s">
        <v>58</v>
      </c>
      <c r="B970" t="s">
        <v>8637</v>
      </c>
      <c r="C970" t="s">
        <v>8638</v>
      </c>
      <c r="D970" t="s">
        <v>8639</v>
      </c>
      <c r="E970" t="s">
        <v>63</v>
      </c>
      <c r="F970">
        <v>2013</v>
      </c>
      <c r="G970" t="s">
        <v>138</v>
      </c>
      <c r="H970">
        <v>25</v>
      </c>
      <c r="I970">
        <v>5</v>
      </c>
      <c r="J970">
        <v>311</v>
      </c>
      <c r="K970">
        <v>316</v>
      </c>
      <c r="L970" t="s">
        <v>63</v>
      </c>
      <c r="M970" t="s">
        <v>8640</v>
      </c>
      <c r="N970" t="s">
        <v>8641</v>
      </c>
      <c r="O970" t="s">
        <v>63</v>
      </c>
      <c r="Q970" t="s">
        <v>63</v>
      </c>
      <c r="R970" t="s">
        <v>63</v>
      </c>
      <c r="S970" t="s">
        <v>63</v>
      </c>
      <c r="T970" t="s">
        <v>63</v>
      </c>
      <c r="X970" t="s">
        <v>63</v>
      </c>
      <c r="Y970" t="s">
        <v>8642</v>
      </c>
      <c r="Z970" t="s">
        <v>63</v>
      </c>
      <c r="AA970" t="s">
        <v>8643</v>
      </c>
      <c r="AB970">
        <v>24761180</v>
      </c>
      <c r="AC970" t="s">
        <v>67</v>
      </c>
      <c r="AD970" t="s">
        <v>63</v>
      </c>
      <c r="AE970" t="s">
        <v>63</v>
      </c>
      <c r="AF970" t="s">
        <v>63</v>
      </c>
      <c r="AG970" t="s">
        <v>8644</v>
      </c>
      <c r="AH970" t="s">
        <v>63</v>
      </c>
      <c r="AI970" t="s">
        <v>63</v>
      </c>
      <c r="AJ970" t="s">
        <v>63</v>
      </c>
      <c r="AK970" t="s">
        <v>63</v>
      </c>
      <c r="AL970" t="s">
        <v>63</v>
      </c>
      <c r="AM970" t="s">
        <v>8645</v>
      </c>
      <c r="AN970" t="s">
        <v>63</v>
      </c>
      <c r="AO970" t="s">
        <v>63</v>
      </c>
      <c r="AP970" t="s">
        <v>63</v>
      </c>
      <c r="AQ970" t="s">
        <v>63</v>
      </c>
      <c r="AR970" t="s">
        <v>63</v>
      </c>
      <c r="AS970" t="s">
        <v>63</v>
      </c>
      <c r="AT970" t="s">
        <v>63</v>
      </c>
      <c r="AU970" t="s">
        <v>63</v>
      </c>
      <c r="AV970" t="s">
        <v>63</v>
      </c>
      <c r="AW970" t="s">
        <v>63</v>
      </c>
      <c r="AX970" t="s">
        <v>63</v>
      </c>
      <c r="AY970" t="s">
        <v>63</v>
      </c>
      <c r="AZ970" t="s">
        <v>63</v>
      </c>
      <c r="BA970" t="s">
        <v>63</v>
      </c>
      <c r="BB970" t="s">
        <v>63</v>
      </c>
      <c r="BC970" t="s">
        <v>63</v>
      </c>
      <c r="BD970" t="s">
        <v>63</v>
      </c>
      <c r="BE970" t="s">
        <v>63</v>
      </c>
      <c r="BF970" t="s">
        <v>63</v>
      </c>
    </row>
    <row r="971" spans="1:58">
      <c r="A971" t="s">
        <v>58</v>
      </c>
      <c r="B971" t="s">
        <v>8646</v>
      </c>
      <c r="C971" t="s">
        <v>8647</v>
      </c>
      <c r="D971" t="s">
        <v>1793</v>
      </c>
      <c r="E971" t="s">
        <v>63</v>
      </c>
      <c r="F971">
        <v>2008</v>
      </c>
      <c r="G971" t="s">
        <v>326</v>
      </c>
      <c r="H971">
        <v>16</v>
      </c>
      <c r="I971">
        <v>1</v>
      </c>
      <c r="J971">
        <v>39</v>
      </c>
      <c r="K971">
        <v>43</v>
      </c>
      <c r="L971" t="s">
        <v>8648</v>
      </c>
      <c r="M971" t="s">
        <v>8649</v>
      </c>
      <c r="N971" t="s">
        <v>8650</v>
      </c>
      <c r="O971" t="s">
        <v>63</v>
      </c>
      <c r="Q971" t="s">
        <v>63</v>
      </c>
      <c r="R971" t="s">
        <v>63</v>
      </c>
      <c r="S971" t="s">
        <v>63</v>
      </c>
      <c r="T971" t="s">
        <v>63</v>
      </c>
      <c r="X971" t="s">
        <v>63</v>
      </c>
      <c r="Y971" t="s">
        <v>1796</v>
      </c>
      <c r="Z971" t="s">
        <v>63</v>
      </c>
      <c r="AA971" t="s">
        <v>8651</v>
      </c>
      <c r="AB971">
        <v>18202932</v>
      </c>
      <c r="AC971" t="s">
        <v>67</v>
      </c>
      <c r="AD971" t="s">
        <v>63</v>
      </c>
      <c r="AE971" t="s">
        <v>63</v>
      </c>
      <c r="AF971" t="s">
        <v>63</v>
      </c>
      <c r="AG971" t="s">
        <v>8652</v>
      </c>
      <c r="AH971" t="s">
        <v>63</v>
      </c>
      <c r="AI971" t="s">
        <v>8653</v>
      </c>
      <c r="AJ971" t="s">
        <v>63</v>
      </c>
      <c r="AK971" t="s">
        <v>63</v>
      </c>
      <c r="AL971" t="s">
        <v>63</v>
      </c>
      <c r="AM971" t="s">
        <v>8654</v>
      </c>
      <c r="AN971" t="s">
        <v>63</v>
      </c>
      <c r="AO971" t="s">
        <v>63</v>
      </c>
      <c r="AP971" t="s">
        <v>63</v>
      </c>
      <c r="AQ971" t="s">
        <v>63</v>
      </c>
      <c r="AR971" t="s">
        <v>63</v>
      </c>
      <c r="AS971" t="s">
        <v>63</v>
      </c>
      <c r="AT971" t="s">
        <v>63</v>
      </c>
      <c r="AU971" t="s">
        <v>63</v>
      </c>
      <c r="AV971" t="s">
        <v>63</v>
      </c>
      <c r="AW971" t="s">
        <v>63</v>
      </c>
      <c r="AX971" t="s">
        <v>63</v>
      </c>
      <c r="AY971" t="s">
        <v>63</v>
      </c>
      <c r="AZ971" t="s">
        <v>63</v>
      </c>
      <c r="BA971" t="s">
        <v>63</v>
      </c>
      <c r="BB971" t="s">
        <v>63</v>
      </c>
      <c r="BC971" t="s">
        <v>63</v>
      </c>
      <c r="BD971" t="s">
        <v>63</v>
      </c>
      <c r="BE971" t="s">
        <v>63</v>
      </c>
      <c r="BF971" t="s">
        <v>63</v>
      </c>
    </row>
    <row r="972" spans="1:58">
      <c r="A972" t="s">
        <v>58</v>
      </c>
      <c r="B972" t="s">
        <v>8655</v>
      </c>
      <c r="C972" t="s">
        <v>8656</v>
      </c>
      <c r="D972" t="s">
        <v>8657</v>
      </c>
      <c r="E972" t="s">
        <v>63</v>
      </c>
      <c r="F972">
        <v>2006</v>
      </c>
      <c r="G972" t="s">
        <v>274</v>
      </c>
      <c r="H972">
        <v>22</v>
      </c>
      <c r="I972">
        <v>3</v>
      </c>
      <c r="J972">
        <v>663</v>
      </c>
      <c r="K972">
        <v>671</v>
      </c>
      <c r="L972" t="s">
        <v>8658</v>
      </c>
      <c r="M972" t="s">
        <v>8659</v>
      </c>
      <c r="N972" t="s">
        <v>8660</v>
      </c>
      <c r="O972" t="s">
        <v>63</v>
      </c>
      <c r="Q972" t="s">
        <v>63</v>
      </c>
      <c r="R972" t="s">
        <v>63</v>
      </c>
      <c r="S972" t="s">
        <v>63</v>
      </c>
      <c r="T972" t="s">
        <v>63</v>
      </c>
      <c r="X972" t="s">
        <v>63</v>
      </c>
      <c r="Y972" t="s">
        <v>8661</v>
      </c>
      <c r="Z972" t="s">
        <v>63</v>
      </c>
      <c r="AA972" t="s">
        <v>8662</v>
      </c>
      <c r="AB972">
        <v>16583110</v>
      </c>
      <c r="AC972" t="s">
        <v>8663</v>
      </c>
      <c r="AD972" t="s">
        <v>63</v>
      </c>
      <c r="AE972" t="s">
        <v>63</v>
      </c>
      <c r="AF972" t="s">
        <v>63</v>
      </c>
      <c r="AG972" t="s">
        <v>8664</v>
      </c>
      <c r="AH972" t="s">
        <v>63</v>
      </c>
      <c r="AI972" t="s">
        <v>63</v>
      </c>
      <c r="AJ972" t="s">
        <v>63</v>
      </c>
      <c r="AK972" t="s">
        <v>63</v>
      </c>
      <c r="AL972" t="s">
        <v>63</v>
      </c>
      <c r="AM972" t="s">
        <v>8665</v>
      </c>
      <c r="AN972" t="s">
        <v>63</v>
      </c>
      <c r="AO972" t="s">
        <v>63</v>
      </c>
      <c r="AP972" t="s">
        <v>63</v>
      </c>
      <c r="AQ972" t="s">
        <v>63</v>
      </c>
      <c r="AR972" t="s">
        <v>63</v>
      </c>
      <c r="AS972" t="s">
        <v>63</v>
      </c>
      <c r="AT972" t="s">
        <v>63</v>
      </c>
      <c r="AU972" t="s">
        <v>63</v>
      </c>
      <c r="AV972" t="s">
        <v>63</v>
      </c>
      <c r="AW972" t="s">
        <v>63</v>
      </c>
      <c r="AX972" t="s">
        <v>63</v>
      </c>
      <c r="AY972" t="s">
        <v>63</v>
      </c>
      <c r="AZ972" t="s">
        <v>63</v>
      </c>
      <c r="BA972" t="s">
        <v>63</v>
      </c>
      <c r="BB972" t="s">
        <v>63</v>
      </c>
      <c r="BC972" t="s">
        <v>63</v>
      </c>
      <c r="BD972" t="s">
        <v>63</v>
      </c>
      <c r="BE972" t="s">
        <v>63</v>
      </c>
      <c r="BF972" t="s">
        <v>63</v>
      </c>
    </row>
    <row r="973" spans="1:58">
      <c r="A973" t="s">
        <v>58</v>
      </c>
      <c r="B973" t="s">
        <v>8666</v>
      </c>
      <c r="C973" t="s">
        <v>8667</v>
      </c>
      <c r="D973" t="s">
        <v>8668</v>
      </c>
      <c r="E973" t="s">
        <v>8669</v>
      </c>
      <c r="F973">
        <v>1985</v>
      </c>
      <c r="G973" t="s">
        <v>63</v>
      </c>
      <c r="H973">
        <v>3</v>
      </c>
      <c r="I973">
        <v>4</v>
      </c>
      <c r="J973">
        <v>427</v>
      </c>
      <c r="K973">
        <v>444</v>
      </c>
      <c r="L973" t="s">
        <v>8670</v>
      </c>
      <c r="M973" t="s">
        <v>8671</v>
      </c>
      <c r="N973" t="s">
        <v>8672</v>
      </c>
      <c r="O973" t="s">
        <v>63</v>
      </c>
      <c r="Q973" t="s">
        <v>63</v>
      </c>
      <c r="R973" t="s">
        <v>63</v>
      </c>
      <c r="S973" t="s">
        <v>63</v>
      </c>
      <c r="T973" t="s">
        <v>63</v>
      </c>
      <c r="X973" t="s">
        <v>63</v>
      </c>
      <c r="Y973" t="s">
        <v>8673</v>
      </c>
      <c r="Z973" t="s">
        <v>63</v>
      </c>
      <c r="AA973" t="s">
        <v>8674</v>
      </c>
      <c r="AB973">
        <v>2963353</v>
      </c>
      <c r="AC973" t="s">
        <v>67</v>
      </c>
      <c r="AD973" t="s">
        <v>63</v>
      </c>
      <c r="AE973" t="s">
        <v>63</v>
      </c>
      <c r="AF973" t="s">
        <v>63</v>
      </c>
      <c r="AG973" t="s">
        <v>8675</v>
      </c>
      <c r="AH973" t="s">
        <v>63</v>
      </c>
      <c r="AI973" t="s">
        <v>63</v>
      </c>
      <c r="AJ973" t="s">
        <v>63</v>
      </c>
      <c r="AK973" t="s">
        <v>63</v>
      </c>
      <c r="AL973" t="s">
        <v>63</v>
      </c>
      <c r="AM973" t="s">
        <v>8676</v>
      </c>
      <c r="AN973" t="s">
        <v>63</v>
      </c>
      <c r="AO973" t="s">
        <v>63</v>
      </c>
      <c r="AP973" t="s">
        <v>63</v>
      </c>
      <c r="AQ973" t="s">
        <v>63</v>
      </c>
      <c r="AR973" t="s">
        <v>63</v>
      </c>
      <c r="AS973" t="s">
        <v>63</v>
      </c>
      <c r="AT973" t="s">
        <v>63</v>
      </c>
      <c r="AU973" t="s">
        <v>63</v>
      </c>
      <c r="AV973" t="s">
        <v>63</v>
      </c>
      <c r="AW973" t="s">
        <v>63</v>
      </c>
      <c r="AX973" t="s">
        <v>63</v>
      </c>
      <c r="AY973" t="s">
        <v>63</v>
      </c>
      <c r="AZ973" t="s">
        <v>63</v>
      </c>
      <c r="BA973" t="s">
        <v>63</v>
      </c>
      <c r="BB973" t="s">
        <v>63</v>
      </c>
      <c r="BC973" t="s">
        <v>63</v>
      </c>
      <c r="BD973" t="s">
        <v>63</v>
      </c>
      <c r="BE973" t="s">
        <v>63</v>
      </c>
      <c r="BF973" t="s">
        <v>63</v>
      </c>
    </row>
    <row r="974" spans="1:58">
      <c r="A974" t="s">
        <v>58</v>
      </c>
      <c r="B974" t="s">
        <v>8677</v>
      </c>
      <c r="C974" t="s">
        <v>8678</v>
      </c>
      <c r="D974" t="s">
        <v>4567</v>
      </c>
      <c r="E974" t="s">
        <v>4568</v>
      </c>
      <c r="F974">
        <v>2010</v>
      </c>
      <c r="G974" t="s">
        <v>219</v>
      </c>
      <c r="H974">
        <v>51</v>
      </c>
      <c r="I974">
        <v>5</v>
      </c>
      <c r="J974">
        <v>429</v>
      </c>
      <c r="K974">
        <v>430</v>
      </c>
      <c r="L974" t="s">
        <v>8679</v>
      </c>
      <c r="M974" t="s">
        <v>63</v>
      </c>
      <c r="N974" t="s">
        <v>8680</v>
      </c>
      <c r="O974" t="s">
        <v>63</v>
      </c>
      <c r="Q974" t="s">
        <v>63</v>
      </c>
      <c r="R974" t="s">
        <v>63</v>
      </c>
      <c r="S974" t="s">
        <v>63</v>
      </c>
      <c r="T974" t="s">
        <v>63</v>
      </c>
      <c r="X974" t="s">
        <v>63</v>
      </c>
      <c r="Y974" t="s">
        <v>4572</v>
      </c>
      <c r="Z974" t="s">
        <v>63</v>
      </c>
      <c r="AA974" t="s">
        <v>63</v>
      </c>
      <c r="AB974">
        <v>20801155</v>
      </c>
      <c r="AC974" t="s">
        <v>67</v>
      </c>
      <c r="AD974" t="s">
        <v>63</v>
      </c>
      <c r="AE974" t="s">
        <v>63</v>
      </c>
      <c r="AF974" t="s">
        <v>63</v>
      </c>
      <c r="AG974" t="s">
        <v>8681</v>
      </c>
      <c r="AH974" t="s">
        <v>63</v>
      </c>
      <c r="AI974" t="s">
        <v>8682</v>
      </c>
      <c r="AJ974" t="s">
        <v>63</v>
      </c>
      <c r="AK974" t="s">
        <v>63</v>
      </c>
      <c r="AL974" t="s">
        <v>63</v>
      </c>
      <c r="AM974" t="s">
        <v>8683</v>
      </c>
      <c r="AN974" t="s">
        <v>63</v>
      </c>
      <c r="AO974" t="s">
        <v>63</v>
      </c>
      <c r="AP974" t="s">
        <v>63</v>
      </c>
      <c r="AQ974" t="s">
        <v>63</v>
      </c>
      <c r="AR974" t="s">
        <v>63</v>
      </c>
      <c r="AS974" t="s">
        <v>63</v>
      </c>
      <c r="AT974" t="s">
        <v>63</v>
      </c>
      <c r="AU974" t="s">
        <v>63</v>
      </c>
      <c r="AV974" t="s">
        <v>63</v>
      </c>
      <c r="AW974" t="s">
        <v>63</v>
      </c>
      <c r="AX974" t="s">
        <v>63</v>
      </c>
      <c r="AY974" t="s">
        <v>63</v>
      </c>
      <c r="AZ974" t="s">
        <v>63</v>
      </c>
      <c r="BA974" t="s">
        <v>63</v>
      </c>
      <c r="BB974" t="s">
        <v>63</v>
      </c>
      <c r="BC974" t="s">
        <v>63</v>
      </c>
      <c r="BD974" t="s">
        <v>63</v>
      </c>
      <c r="BE974" t="s">
        <v>63</v>
      </c>
      <c r="BF974" t="s">
        <v>63</v>
      </c>
    </row>
    <row r="975" spans="1:58">
      <c r="A975" t="s">
        <v>58</v>
      </c>
      <c r="B975" t="s">
        <v>8684</v>
      </c>
      <c r="C975" t="s">
        <v>8685</v>
      </c>
      <c r="D975" t="s">
        <v>763</v>
      </c>
      <c r="E975" t="s">
        <v>63</v>
      </c>
      <c r="F975">
        <v>1991</v>
      </c>
      <c r="G975" t="s">
        <v>274</v>
      </c>
      <c r="H975">
        <v>66</v>
      </c>
      <c r="I975">
        <v>3</v>
      </c>
      <c r="J975">
        <v>164</v>
      </c>
      <c r="K975">
        <v>166</v>
      </c>
      <c r="L975" t="s">
        <v>8686</v>
      </c>
      <c r="M975" t="s">
        <v>8687</v>
      </c>
      <c r="N975" t="s">
        <v>8688</v>
      </c>
      <c r="O975" t="s">
        <v>63</v>
      </c>
      <c r="Q975" t="s">
        <v>63</v>
      </c>
      <c r="R975" t="s">
        <v>63</v>
      </c>
      <c r="S975" t="s">
        <v>63</v>
      </c>
      <c r="T975" t="s">
        <v>63</v>
      </c>
      <c r="X975" t="s">
        <v>63</v>
      </c>
      <c r="Y975" t="s">
        <v>858</v>
      </c>
      <c r="Z975" t="s">
        <v>63</v>
      </c>
      <c r="AA975" t="s">
        <v>8689</v>
      </c>
      <c r="AB975">
        <v>1997028</v>
      </c>
      <c r="AC975" t="s">
        <v>67</v>
      </c>
      <c r="AD975" t="s">
        <v>63</v>
      </c>
      <c r="AE975" t="s">
        <v>63</v>
      </c>
      <c r="AF975" t="s">
        <v>63</v>
      </c>
      <c r="AG975" t="s">
        <v>8690</v>
      </c>
      <c r="AH975" t="s">
        <v>63</v>
      </c>
      <c r="AI975" t="s">
        <v>63</v>
      </c>
      <c r="AJ975" t="s">
        <v>63</v>
      </c>
      <c r="AK975" t="s">
        <v>63</v>
      </c>
      <c r="AL975" t="s">
        <v>63</v>
      </c>
      <c r="AM975" t="s">
        <v>8691</v>
      </c>
      <c r="AN975" t="s">
        <v>63</v>
      </c>
      <c r="AO975" t="s">
        <v>63</v>
      </c>
      <c r="AP975" t="s">
        <v>63</v>
      </c>
      <c r="AQ975" t="s">
        <v>63</v>
      </c>
      <c r="AR975" t="s">
        <v>63</v>
      </c>
      <c r="AS975" t="s">
        <v>63</v>
      </c>
      <c r="AT975" t="s">
        <v>63</v>
      </c>
      <c r="AU975" t="s">
        <v>63</v>
      </c>
      <c r="AV975" t="s">
        <v>63</v>
      </c>
      <c r="AW975" t="s">
        <v>63</v>
      </c>
      <c r="AX975" t="s">
        <v>63</v>
      </c>
      <c r="AY975" t="s">
        <v>63</v>
      </c>
      <c r="AZ975" t="s">
        <v>63</v>
      </c>
      <c r="BA975" t="s">
        <v>63</v>
      </c>
      <c r="BB975" t="s">
        <v>63</v>
      </c>
      <c r="BC975" t="s">
        <v>63</v>
      </c>
      <c r="BD975" t="s">
        <v>63</v>
      </c>
      <c r="BE975" t="s">
        <v>63</v>
      </c>
      <c r="BF975" t="s">
        <v>63</v>
      </c>
    </row>
    <row r="976" spans="1:58">
      <c r="A976" t="s">
        <v>58</v>
      </c>
      <c r="B976" t="s">
        <v>8692</v>
      </c>
      <c r="C976" t="s">
        <v>8693</v>
      </c>
      <c r="D976" t="s">
        <v>1855</v>
      </c>
      <c r="E976" t="s">
        <v>63</v>
      </c>
      <c r="F976">
        <v>1994</v>
      </c>
      <c r="G976" t="s">
        <v>1670</v>
      </c>
      <c r="H976">
        <v>41</v>
      </c>
      <c r="I976">
        <v>7</v>
      </c>
      <c r="J976">
        <v>561</v>
      </c>
      <c r="K976">
        <v>567</v>
      </c>
      <c r="L976" t="s">
        <v>8694</v>
      </c>
      <c r="M976" t="s">
        <v>8695</v>
      </c>
      <c r="N976" t="s">
        <v>8696</v>
      </c>
      <c r="O976" t="s">
        <v>63</v>
      </c>
      <c r="Q976" t="s">
        <v>63</v>
      </c>
      <c r="R976" t="s">
        <v>63</v>
      </c>
      <c r="S976" t="s">
        <v>63</v>
      </c>
      <c r="T976" t="s">
        <v>63</v>
      </c>
      <c r="X976" t="s">
        <v>63</v>
      </c>
      <c r="Y976" t="s">
        <v>4213</v>
      </c>
      <c r="Z976" t="s">
        <v>63</v>
      </c>
      <c r="AA976" t="s">
        <v>8697</v>
      </c>
      <c r="AB976">
        <v>8087901</v>
      </c>
      <c r="AC976" t="s">
        <v>67</v>
      </c>
      <c r="AD976" t="s">
        <v>63</v>
      </c>
      <c r="AE976" t="s">
        <v>63</v>
      </c>
      <c r="AF976" t="s">
        <v>63</v>
      </c>
      <c r="AG976" t="s">
        <v>8698</v>
      </c>
      <c r="AH976" t="s">
        <v>63</v>
      </c>
      <c r="AI976" t="s">
        <v>63</v>
      </c>
      <c r="AJ976" t="s">
        <v>63</v>
      </c>
      <c r="AK976" t="s">
        <v>63</v>
      </c>
      <c r="AL976" t="s">
        <v>63</v>
      </c>
      <c r="AM976" t="s">
        <v>8699</v>
      </c>
      <c r="AN976" t="s">
        <v>63</v>
      </c>
      <c r="AO976" t="s">
        <v>63</v>
      </c>
      <c r="AP976" t="s">
        <v>63</v>
      </c>
      <c r="AQ976" t="s">
        <v>63</v>
      </c>
      <c r="AR976" t="s">
        <v>63</v>
      </c>
      <c r="AS976" t="s">
        <v>63</v>
      </c>
      <c r="AT976" t="s">
        <v>63</v>
      </c>
      <c r="AU976" t="s">
        <v>63</v>
      </c>
      <c r="AV976" t="s">
        <v>63</v>
      </c>
      <c r="AW976" t="s">
        <v>63</v>
      </c>
      <c r="AX976" t="s">
        <v>63</v>
      </c>
      <c r="AY976" t="s">
        <v>63</v>
      </c>
      <c r="AZ976" t="s">
        <v>63</v>
      </c>
      <c r="BA976" t="s">
        <v>63</v>
      </c>
      <c r="BB976" t="s">
        <v>63</v>
      </c>
      <c r="BC976" t="s">
        <v>63</v>
      </c>
      <c r="BD976" t="s">
        <v>63</v>
      </c>
      <c r="BE976" t="s">
        <v>63</v>
      </c>
      <c r="BF976" t="s">
        <v>63</v>
      </c>
    </row>
    <row r="977" spans="1:58">
      <c r="A977" t="s">
        <v>58</v>
      </c>
      <c r="B977" t="s">
        <v>8700</v>
      </c>
      <c r="C977" t="s">
        <v>8701</v>
      </c>
      <c r="D977" t="s">
        <v>1855</v>
      </c>
      <c r="E977" t="s">
        <v>63</v>
      </c>
      <c r="F977">
        <v>1993</v>
      </c>
      <c r="G977" t="s">
        <v>138</v>
      </c>
      <c r="H977">
        <v>40</v>
      </c>
      <c r="I977">
        <v>10</v>
      </c>
      <c r="J977">
        <v>915</v>
      </c>
      <c r="K977">
        <v>921</v>
      </c>
      <c r="L977" t="s">
        <v>8702</v>
      </c>
      <c r="M977" t="s">
        <v>8703</v>
      </c>
      <c r="N977" t="s">
        <v>8704</v>
      </c>
      <c r="O977" t="s">
        <v>63</v>
      </c>
      <c r="Q977" t="s">
        <v>63</v>
      </c>
      <c r="R977" t="s">
        <v>63</v>
      </c>
      <c r="S977" t="s">
        <v>63</v>
      </c>
      <c r="T977" t="s">
        <v>63</v>
      </c>
      <c r="X977" t="s">
        <v>63</v>
      </c>
      <c r="Y977" t="s">
        <v>4213</v>
      </c>
      <c r="Z977" t="s">
        <v>63</v>
      </c>
      <c r="AA977" t="s">
        <v>8697</v>
      </c>
      <c r="AB977">
        <v>8222029</v>
      </c>
      <c r="AC977" t="s">
        <v>67</v>
      </c>
      <c r="AD977" t="s">
        <v>63</v>
      </c>
      <c r="AE977" t="s">
        <v>63</v>
      </c>
      <c r="AF977" t="s">
        <v>63</v>
      </c>
      <c r="AG977" t="s">
        <v>8705</v>
      </c>
      <c r="AH977" t="s">
        <v>63</v>
      </c>
      <c r="AI977" t="s">
        <v>63</v>
      </c>
      <c r="AJ977" t="s">
        <v>63</v>
      </c>
      <c r="AK977" t="s">
        <v>63</v>
      </c>
      <c r="AL977" t="s">
        <v>63</v>
      </c>
      <c r="AM977" t="s">
        <v>8706</v>
      </c>
      <c r="AN977" t="s">
        <v>63</v>
      </c>
      <c r="AO977" t="s">
        <v>63</v>
      </c>
      <c r="AP977" t="s">
        <v>63</v>
      </c>
      <c r="AQ977" t="s">
        <v>63</v>
      </c>
      <c r="AR977" t="s">
        <v>63</v>
      </c>
      <c r="AS977" t="s">
        <v>63</v>
      </c>
      <c r="AT977" t="s">
        <v>63</v>
      </c>
      <c r="AU977" t="s">
        <v>63</v>
      </c>
      <c r="AV977" t="s">
        <v>63</v>
      </c>
      <c r="AW977" t="s">
        <v>63</v>
      </c>
      <c r="AX977" t="s">
        <v>63</v>
      </c>
      <c r="AY977" t="s">
        <v>63</v>
      </c>
      <c r="AZ977" t="s">
        <v>63</v>
      </c>
      <c r="BA977" t="s">
        <v>63</v>
      </c>
      <c r="BB977" t="s">
        <v>63</v>
      </c>
      <c r="BC977" t="s">
        <v>63</v>
      </c>
      <c r="BD977" t="s">
        <v>63</v>
      </c>
      <c r="BE977" t="s">
        <v>63</v>
      </c>
      <c r="BF977" t="s">
        <v>63</v>
      </c>
    </row>
    <row r="978" spans="1:58">
      <c r="A978" t="s">
        <v>58</v>
      </c>
      <c r="B978" t="s">
        <v>8707</v>
      </c>
      <c r="C978" t="s">
        <v>8708</v>
      </c>
      <c r="D978" t="s">
        <v>8709</v>
      </c>
      <c r="E978" t="s">
        <v>63</v>
      </c>
      <c r="F978">
        <v>2008</v>
      </c>
      <c r="G978" t="s">
        <v>63</v>
      </c>
      <c r="H978">
        <v>158</v>
      </c>
      <c r="I978" s="1">
        <v>41640</v>
      </c>
      <c r="J978">
        <v>49</v>
      </c>
      <c r="K978">
        <v>61</v>
      </c>
      <c r="L978" t="s">
        <v>8710</v>
      </c>
      <c r="M978" t="s">
        <v>8711</v>
      </c>
      <c r="N978" t="s">
        <v>8712</v>
      </c>
      <c r="O978" t="s">
        <v>63</v>
      </c>
      <c r="Q978" t="s">
        <v>63</v>
      </c>
      <c r="R978" t="s">
        <v>63</v>
      </c>
      <c r="S978" t="s">
        <v>63</v>
      </c>
      <c r="T978" t="s">
        <v>63</v>
      </c>
      <c r="X978" t="s">
        <v>63</v>
      </c>
      <c r="Y978" t="s">
        <v>8713</v>
      </c>
      <c r="Z978" t="s">
        <v>63</v>
      </c>
      <c r="AA978" t="s">
        <v>8714</v>
      </c>
      <c r="AB978">
        <v>18286250</v>
      </c>
      <c r="AC978" t="s">
        <v>102</v>
      </c>
      <c r="AD978" t="s">
        <v>63</v>
      </c>
      <c r="AE978" t="s">
        <v>63</v>
      </c>
      <c r="AF978" t="s">
        <v>63</v>
      </c>
      <c r="AG978" t="s">
        <v>8715</v>
      </c>
      <c r="AH978" t="s">
        <v>63</v>
      </c>
      <c r="AI978" t="s">
        <v>8716</v>
      </c>
      <c r="AJ978" t="s">
        <v>63</v>
      </c>
      <c r="AK978" t="s">
        <v>63</v>
      </c>
      <c r="AL978" t="s">
        <v>63</v>
      </c>
      <c r="AM978" t="s">
        <v>8717</v>
      </c>
      <c r="AN978" t="s">
        <v>63</v>
      </c>
      <c r="AO978" t="s">
        <v>63</v>
      </c>
      <c r="AP978" t="s">
        <v>63</v>
      </c>
      <c r="AQ978" t="s">
        <v>63</v>
      </c>
      <c r="AR978" t="s">
        <v>63</v>
      </c>
      <c r="AS978" t="s">
        <v>63</v>
      </c>
      <c r="AT978" t="s">
        <v>63</v>
      </c>
      <c r="AU978" t="s">
        <v>63</v>
      </c>
      <c r="AV978" t="s">
        <v>63</v>
      </c>
      <c r="AW978" t="s">
        <v>63</v>
      </c>
      <c r="AX978" t="s">
        <v>63</v>
      </c>
      <c r="AY978" t="s">
        <v>63</v>
      </c>
      <c r="AZ978" t="s">
        <v>63</v>
      </c>
      <c r="BA978" t="s">
        <v>63</v>
      </c>
      <c r="BB978" t="s">
        <v>63</v>
      </c>
      <c r="BC978" t="s">
        <v>63</v>
      </c>
      <c r="BD978" t="s">
        <v>63</v>
      </c>
      <c r="BE978" t="s">
        <v>63</v>
      </c>
      <c r="BF978" t="s">
        <v>63</v>
      </c>
    </row>
    <row r="979" spans="1:58">
      <c r="A979" t="s">
        <v>58</v>
      </c>
      <c r="B979" t="s">
        <v>8718</v>
      </c>
      <c r="C979" t="s">
        <v>8719</v>
      </c>
      <c r="D979" t="s">
        <v>8720</v>
      </c>
      <c r="E979" t="s">
        <v>8721</v>
      </c>
      <c r="F979">
        <v>1964</v>
      </c>
      <c r="G979" t="s">
        <v>198</v>
      </c>
      <c r="H979">
        <v>54</v>
      </c>
      <c r="I979" t="s">
        <v>63</v>
      </c>
      <c r="J979">
        <v>17</v>
      </c>
      <c r="K979">
        <v>20</v>
      </c>
      <c r="L979" t="s">
        <v>8722</v>
      </c>
      <c r="M979" t="s">
        <v>63</v>
      </c>
      <c r="N979" t="s">
        <v>8723</v>
      </c>
      <c r="O979" t="s">
        <v>63</v>
      </c>
      <c r="Q979" t="s">
        <v>63</v>
      </c>
      <c r="R979" t="s">
        <v>63</v>
      </c>
      <c r="S979" t="s">
        <v>63</v>
      </c>
      <c r="T979" t="s">
        <v>63</v>
      </c>
      <c r="X979" t="s">
        <v>63</v>
      </c>
      <c r="Y979" t="s">
        <v>8724</v>
      </c>
      <c r="Z979" t="s">
        <v>63</v>
      </c>
      <c r="AA979" t="s">
        <v>63</v>
      </c>
      <c r="AB979">
        <v>14105267</v>
      </c>
      <c r="AC979" t="s">
        <v>67</v>
      </c>
      <c r="AD979" t="s">
        <v>63</v>
      </c>
      <c r="AE979" t="s">
        <v>63</v>
      </c>
      <c r="AF979" t="s">
        <v>63</v>
      </c>
      <c r="AG979" t="s">
        <v>8725</v>
      </c>
      <c r="AH979" t="s">
        <v>63</v>
      </c>
      <c r="AI979" t="s">
        <v>63</v>
      </c>
      <c r="AJ979" t="s">
        <v>63</v>
      </c>
      <c r="AK979" t="s">
        <v>63</v>
      </c>
      <c r="AL979" t="s">
        <v>63</v>
      </c>
      <c r="AM979" t="s">
        <v>8726</v>
      </c>
      <c r="AN979" t="s">
        <v>63</v>
      </c>
      <c r="AO979" t="s">
        <v>63</v>
      </c>
      <c r="AP979" t="s">
        <v>63</v>
      </c>
      <c r="AQ979" t="s">
        <v>63</v>
      </c>
      <c r="AR979" t="s">
        <v>63</v>
      </c>
      <c r="AS979" t="s">
        <v>63</v>
      </c>
      <c r="AT979" t="s">
        <v>63</v>
      </c>
      <c r="AU979" t="s">
        <v>63</v>
      </c>
      <c r="AV979" t="s">
        <v>63</v>
      </c>
      <c r="AW979" t="s">
        <v>63</v>
      </c>
      <c r="AX979" t="s">
        <v>63</v>
      </c>
      <c r="AY979" t="s">
        <v>63</v>
      </c>
      <c r="AZ979" t="s">
        <v>63</v>
      </c>
      <c r="BA979" t="s">
        <v>63</v>
      </c>
      <c r="BB979" t="s">
        <v>63</v>
      </c>
      <c r="BC979" t="s">
        <v>63</v>
      </c>
      <c r="BD979" t="s">
        <v>63</v>
      </c>
      <c r="BE979" t="s">
        <v>63</v>
      </c>
      <c r="BF979" t="s">
        <v>63</v>
      </c>
    </row>
    <row r="980" spans="1:58">
      <c r="A980" t="s">
        <v>58</v>
      </c>
      <c r="B980" t="s">
        <v>8727</v>
      </c>
      <c r="C980" t="s">
        <v>8728</v>
      </c>
      <c r="D980" t="s">
        <v>8729</v>
      </c>
      <c r="E980" t="s">
        <v>8730</v>
      </c>
      <c r="F980">
        <v>2015</v>
      </c>
      <c r="G980" s="1">
        <v>41698</v>
      </c>
      <c r="H980">
        <v>124</v>
      </c>
      <c r="I980" t="s">
        <v>63</v>
      </c>
      <c r="J980">
        <v>128</v>
      </c>
      <c r="K980">
        <v>135</v>
      </c>
      <c r="L980" t="s">
        <v>8731</v>
      </c>
      <c r="M980" t="s">
        <v>8732</v>
      </c>
      <c r="N980" t="s">
        <v>8733</v>
      </c>
      <c r="O980" t="s">
        <v>63</v>
      </c>
      <c r="Q980" t="s">
        <v>63</v>
      </c>
      <c r="R980" t="s">
        <v>63</v>
      </c>
      <c r="S980" t="s">
        <v>63</v>
      </c>
      <c r="T980" t="s">
        <v>63</v>
      </c>
      <c r="X980" t="s">
        <v>63</v>
      </c>
      <c r="Y980" t="s">
        <v>8734</v>
      </c>
      <c r="Z980" t="s">
        <v>63</v>
      </c>
      <c r="AA980" t="s">
        <v>8735</v>
      </c>
      <c r="AB980">
        <v>25623851</v>
      </c>
      <c r="AC980" t="s">
        <v>67</v>
      </c>
      <c r="AD980" t="s">
        <v>63</v>
      </c>
      <c r="AE980" t="s">
        <v>63</v>
      </c>
      <c r="AF980" t="s">
        <v>63</v>
      </c>
      <c r="AG980" t="s">
        <v>8736</v>
      </c>
      <c r="AH980" t="s">
        <v>63</v>
      </c>
      <c r="AI980" t="s">
        <v>8737</v>
      </c>
      <c r="AJ980" t="s">
        <v>63</v>
      </c>
      <c r="AK980" t="s">
        <v>63</v>
      </c>
      <c r="AL980" t="s">
        <v>63</v>
      </c>
      <c r="AM980" t="s">
        <v>8738</v>
      </c>
      <c r="AN980" t="s">
        <v>63</v>
      </c>
      <c r="AO980" t="s">
        <v>63</v>
      </c>
      <c r="AP980" t="s">
        <v>63</v>
      </c>
      <c r="AQ980" t="s">
        <v>63</v>
      </c>
      <c r="AR980" t="s">
        <v>63</v>
      </c>
      <c r="AS980" t="s">
        <v>63</v>
      </c>
      <c r="AT980" t="s">
        <v>63</v>
      </c>
      <c r="AU980" t="s">
        <v>63</v>
      </c>
      <c r="AV980" t="s">
        <v>63</v>
      </c>
      <c r="AW980" t="s">
        <v>63</v>
      </c>
      <c r="AX980" t="s">
        <v>63</v>
      </c>
      <c r="AY980" t="s">
        <v>63</v>
      </c>
      <c r="AZ980" t="s">
        <v>63</v>
      </c>
      <c r="BA980" t="s">
        <v>63</v>
      </c>
      <c r="BB980" t="s">
        <v>63</v>
      </c>
      <c r="BC980" t="s">
        <v>63</v>
      </c>
      <c r="BD980" t="s">
        <v>63</v>
      </c>
      <c r="BE980" t="s">
        <v>63</v>
      </c>
      <c r="BF980" t="s">
        <v>63</v>
      </c>
    </row>
    <row r="981" spans="1:58">
      <c r="A981" t="s">
        <v>58</v>
      </c>
      <c r="B981" t="s">
        <v>8739</v>
      </c>
      <c r="C981" t="s">
        <v>8740</v>
      </c>
      <c r="D981" t="s">
        <v>1184</v>
      </c>
      <c r="E981" t="s">
        <v>1185</v>
      </c>
      <c r="F981">
        <v>1982</v>
      </c>
      <c r="G981" t="s">
        <v>181</v>
      </c>
      <c r="H981">
        <v>57</v>
      </c>
      <c r="I981">
        <v>9</v>
      </c>
      <c r="J981">
        <v>692</v>
      </c>
      <c r="K981">
        <v>695</v>
      </c>
      <c r="L981" t="s">
        <v>8741</v>
      </c>
      <c r="M981" t="s">
        <v>8742</v>
      </c>
      <c r="N981" t="s">
        <v>8743</v>
      </c>
      <c r="O981" t="s">
        <v>63</v>
      </c>
      <c r="Q981" t="s">
        <v>63</v>
      </c>
      <c r="R981" t="s">
        <v>63</v>
      </c>
      <c r="S981" t="s">
        <v>63</v>
      </c>
      <c r="T981" t="s">
        <v>63</v>
      </c>
      <c r="X981" t="s">
        <v>63</v>
      </c>
      <c r="Y981" t="s">
        <v>1188</v>
      </c>
      <c r="Z981" t="s">
        <v>63</v>
      </c>
      <c r="AA981" t="s">
        <v>63</v>
      </c>
      <c r="AB981">
        <v>7108925</v>
      </c>
      <c r="AC981" t="s">
        <v>67</v>
      </c>
      <c r="AD981" t="s">
        <v>63</v>
      </c>
      <c r="AE981" t="s">
        <v>63</v>
      </c>
      <c r="AF981" t="s">
        <v>63</v>
      </c>
      <c r="AG981" t="s">
        <v>8744</v>
      </c>
      <c r="AH981" t="s">
        <v>63</v>
      </c>
      <c r="AI981" t="s">
        <v>63</v>
      </c>
      <c r="AJ981" t="s">
        <v>63</v>
      </c>
      <c r="AK981" t="s">
        <v>63</v>
      </c>
      <c r="AL981" t="s">
        <v>63</v>
      </c>
      <c r="AM981" t="s">
        <v>8745</v>
      </c>
      <c r="AN981" t="s">
        <v>63</v>
      </c>
      <c r="AO981" t="s">
        <v>63</v>
      </c>
      <c r="AP981" t="s">
        <v>63</v>
      </c>
      <c r="AQ981" t="s">
        <v>63</v>
      </c>
      <c r="AR981" t="s">
        <v>63</v>
      </c>
      <c r="AS981" t="s">
        <v>63</v>
      </c>
      <c r="AT981" t="s">
        <v>63</v>
      </c>
      <c r="AU981" t="s">
        <v>63</v>
      </c>
      <c r="AV981" t="s">
        <v>63</v>
      </c>
      <c r="AW981" t="s">
        <v>63</v>
      </c>
      <c r="AX981" t="s">
        <v>63</v>
      </c>
      <c r="AY981" t="s">
        <v>63</v>
      </c>
      <c r="AZ981" t="s">
        <v>63</v>
      </c>
      <c r="BA981" t="s">
        <v>63</v>
      </c>
      <c r="BB981" t="s">
        <v>63</v>
      </c>
      <c r="BC981" t="s">
        <v>63</v>
      </c>
      <c r="BD981" t="s">
        <v>63</v>
      </c>
      <c r="BE981" t="s">
        <v>63</v>
      </c>
      <c r="BF981" t="s">
        <v>63</v>
      </c>
    </row>
    <row r="982" spans="1:58">
      <c r="A982" t="s">
        <v>58</v>
      </c>
      <c r="B982" t="s">
        <v>8746</v>
      </c>
      <c r="C982" t="s">
        <v>8747</v>
      </c>
      <c r="D982" t="s">
        <v>272</v>
      </c>
      <c r="E982" t="s">
        <v>273</v>
      </c>
      <c r="F982">
        <v>1979</v>
      </c>
      <c r="G982" t="s">
        <v>274</v>
      </c>
      <c r="H982">
        <v>35</v>
      </c>
      <c r="I982" s="1">
        <v>41641</v>
      </c>
      <c r="J982">
        <v>13</v>
      </c>
      <c r="K982">
        <v>14</v>
      </c>
      <c r="L982" t="s">
        <v>8748</v>
      </c>
      <c r="M982" t="s">
        <v>63</v>
      </c>
      <c r="N982" t="s">
        <v>8749</v>
      </c>
      <c r="O982" t="s">
        <v>63</v>
      </c>
      <c r="Q982" t="s">
        <v>63</v>
      </c>
      <c r="R982" t="s">
        <v>63</v>
      </c>
      <c r="S982" t="s">
        <v>63</v>
      </c>
      <c r="T982" t="s">
        <v>63</v>
      </c>
      <c r="X982" t="s">
        <v>63</v>
      </c>
      <c r="Y982" t="s">
        <v>277</v>
      </c>
      <c r="Z982" t="s">
        <v>63</v>
      </c>
      <c r="AA982" t="s">
        <v>63</v>
      </c>
      <c r="AB982">
        <v>36946</v>
      </c>
      <c r="AC982" t="s">
        <v>1371</v>
      </c>
      <c r="AD982" t="s">
        <v>63</v>
      </c>
      <c r="AE982" t="s">
        <v>63</v>
      </c>
      <c r="AF982" t="s">
        <v>63</v>
      </c>
      <c r="AG982" t="s">
        <v>8750</v>
      </c>
      <c r="AH982" t="s">
        <v>63</v>
      </c>
      <c r="AI982" t="s">
        <v>63</v>
      </c>
      <c r="AJ982" t="s">
        <v>63</v>
      </c>
      <c r="AK982" t="s">
        <v>63</v>
      </c>
      <c r="AL982" t="s">
        <v>63</v>
      </c>
      <c r="AM982" t="s">
        <v>8751</v>
      </c>
      <c r="AN982" t="s">
        <v>63</v>
      </c>
      <c r="AO982" t="s">
        <v>63</v>
      </c>
      <c r="AP982" t="s">
        <v>63</v>
      </c>
      <c r="AQ982" t="s">
        <v>63</v>
      </c>
      <c r="AR982" t="s">
        <v>63</v>
      </c>
      <c r="AS982" t="s">
        <v>63</v>
      </c>
      <c r="AT982" t="s">
        <v>63</v>
      </c>
      <c r="AU982" t="s">
        <v>63</v>
      </c>
      <c r="AV982" t="s">
        <v>63</v>
      </c>
      <c r="AW982" t="s">
        <v>63</v>
      </c>
      <c r="AX982" t="s">
        <v>63</v>
      </c>
      <c r="AY982" t="s">
        <v>63</v>
      </c>
      <c r="AZ982" t="s">
        <v>63</v>
      </c>
      <c r="BA982" t="s">
        <v>63</v>
      </c>
      <c r="BB982" t="s">
        <v>63</v>
      </c>
      <c r="BC982" t="s">
        <v>63</v>
      </c>
      <c r="BD982" t="s">
        <v>63</v>
      </c>
      <c r="BE982" t="s">
        <v>63</v>
      </c>
      <c r="BF982" t="s">
        <v>63</v>
      </c>
    </row>
    <row r="983" spans="1:58">
      <c r="A983" t="s">
        <v>58</v>
      </c>
      <c r="B983" t="s">
        <v>8752</v>
      </c>
      <c r="C983" t="s">
        <v>8753</v>
      </c>
      <c r="D983" t="s">
        <v>6405</v>
      </c>
      <c r="E983" t="s">
        <v>6406</v>
      </c>
      <c r="F983">
        <v>2008</v>
      </c>
      <c r="G983" t="s">
        <v>219</v>
      </c>
      <c r="H983">
        <v>207</v>
      </c>
      <c r="I983">
        <v>5</v>
      </c>
      <c r="J983">
        <v>639</v>
      </c>
      <c r="K983">
        <v>645</v>
      </c>
      <c r="L983" t="s">
        <v>8754</v>
      </c>
      <c r="M983" t="s">
        <v>8755</v>
      </c>
      <c r="N983" t="s">
        <v>8756</v>
      </c>
      <c r="O983" t="s">
        <v>63</v>
      </c>
      <c r="Q983" t="s">
        <v>63</v>
      </c>
      <c r="R983" t="s">
        <v>63</v>
      </c>
      <c r="S983" t="s">
        <v>63</v>
      </c>
      <c r="T983" t="s">
        <v>63</v>
      </c>
      <c r="X983" t="s">
        <v>63</v>
      </c>
      <c r="Y983" t="s">
        <v>8757</v>
      </c>
      <c r="Z983" t="s">
        <v>63</v>
      </c>
      <c r="AA983" t="s">
        <v>8758</v>
      </c>
      <c r="AB983">
        <v>18954774</v>
      </c>
      <c r="AC983" t="s">
        <v>67</v>
      </c>
      <c r="AD983" t="s">
        <v>63</v>
      </c>
      <c r="AE983" t="s">
        <v>63</v>
      </c>
      <c r="AF983" t="s">
        <v>63</v>
      </c>
      <c r="AG983" t="s">
        <v>8759</v>
      </c>
      <c r="AH983" t="s">
        <v>63</v>
      </c>
      <c r="AI983" t="s">
        <v>8760</v>
      </c>
      <c r="AJ983" t="s">
        <v>63</v>
      </c>
      <c r="AK983" t="s">
        <v>63</v>
      </c>
      <c r="AL983" t="s">
        <v>63</v>
      </c>
      <c r="AM983" t="s">
        <v>8761</v>
      </c>
      <c r="AN983" t="s">
        <v>63</v>
      </c>
      <c r="AO983" t="s">
        <v>63</v>
      </c>
      <c r="AP983" t="s">
        <v>63</v>
      </c>
      <c r="AQ983" t="s">
        <v>63</v>
      </c>
      <c r="AR983" t="s">
        <v>63</v>
      </c>
      <c r="AS983" t="s">
        <v>63</v>
      </c>
      <c r="AT983" t="s">
        <v>63</v>
      </c>
      <c r="AU983" t="s">
        <v>63</v>
      </c>
      <c r="AV983" t="s">
        <v>63</v>
      </c>
      <c r="AW983" t="s">
        <v>63</v>
      </c>
      <c r="AX983" t="s">
        <v>63</v>
      </c>
      <c r="AY983" t="s">
        <v>63</v>
      </c>
      <c r="AZ983" t="s">
        <v>63</v>
      </c>
      <c r="BA983" t="s">
        <v>63</v>
      </c>
      <c r="BB983" t="s">
        <v>63</v>
      </c>
      <c r="BC983" t="s">
        <v>63</v>
      </c>
      <c r="BD983" t="s">
        <v>63</v>
      </c>
      <c r="BE983" t="s">
        <v>63</v>
      </c>
      <c r="BF983" t="s">
        <v>63</v>
      </c>
    </row>
    <row r="984" spans="1:58">
      <c r="A984" t="s">
        <v>58</v>
      </c>
      <c r="B984" t="s">
        <v>8762</v>
      </c>
      <c r="C984" t="s">
        <v>8763</v>
      </c>
      <c r="D984" t="s">
        <v>8764</v>
      </c>
      <c r="E984" t="s">
        <v>63</v>
      </c>
      <c r="F984">
        <v>2006</v>
      </c>
      <c r="G984" t="s">
        <v>157</v>
      </c>
      <c r="H984">
        <v>20</v>
      </c>
      <c r="I984">
        <v>6</v>
      </c>
      <c r="J984">
        <v>655</v>
      </c>
      <c r="K984">
        <v>664</v>
      </c>
      <c r="L984" t="s">
        <v>8765</v>
      </c>
      <c r="M984" t="s">
        <v>8766</v>
      </c>
      <c r="N984" t="s">
        <v>8767</v>
      </c>
      <c r="O984" t="s">
        <v>63</v>
      </c>
      <c r="Q984" t="s">
        <v>63</v>
      </c>
      <c r="R984" t="s">
        <v>63</v>
      </c>
      <c r="S984" t="s">
        <v>63</v>
      </c>
      <c r="T984" t="s">
        <v>63</v>
      </c>
      <c r="X984" t="s">
        <v>63</v>
      </c>
      <c r="Y984" t="s">
        <v>8768</v>
      </c>
      <c r="Z984" t="s">
        <v>63</v>
      </c>
      <c r="AA984" t="s">
        <v>8769</v>
      </c>
      <c r="AB984">
        <v>17095443</v>
      </c>
      <c r="AC984" t="s">
        <v>67</v>
      </c>
      <c r="AD984" t="s">
        <v>63</v>
      </c>
      <c r="AE984" t="s">
        <v>63</v>
      </c>
      <c r="AF984" t="s">
        <v>63</v>
      </c>
      <c r="AG984" t="s">
        <v>8770</v>
      </c>
      <c r="AH984" t="s">
        <v>63</v>
      </c>
      <c r="AI984" t="s">
        <v>63</v>
      </c>
      <c r="AJ984" t="s">
        <v>63</v>
      </c>
      <c r="AK984" t="s">
        <v>63</v>
      </c>
      <c r="AL984" t="s">
        <v>63</v>
      </c>
      <c r="AM984" t="s">
        <v>8771</v>
      </c>
      <c r="AN984" t="s">
        <v>63</v>
      </c>
      <c r="AO984" t="s">
        <v>63</v>
      </c>
      <c r="AP984" t="s">
        <v>63</v>
      </c>
      <c r="AQ984" t="s">
        <v>63</v>
      </c>
      <c r="AR984" t="s">
        <v>63</v>
      </c>
      <c r="AS984" t="s">
        <v>63</v>
      </c>
      <c r="AT984" t="s">
        <v>63</v>
      </c>
      <c r="AU984" t="s">
        <v>63</v>
      </c>
      <c r="AV984" t="s">
        <v>63</v>
      </c>
      <c r="AW984" t="s">
        <v>63</v>
      </c>
      <c r="AX984" t="s">
        <v>63</v>
      </c>
      <c r="AY984" t="s">
        <v>63</v>
      </c>
      <c r="AZ984" t="s">
        <v>63</v>
      </c>
      <c r="BA984" t="s">
        <v>63</v>
      </c>
      <c r="BB984" t="s">
        <v>63</v>
      </c>
      <c r="BC984" t="s">
        <v>63</v>
      </c>
      <c r="BD984" t="s">
        <v>63</v>
      </c>
      <c r="BE984" t="s">
        <v>63</v>
      </c>
      <c r="BF984" t="s">
        <v>63</v>
      </c>
    </row>
    <row r="985" spans="1:58">
      <c r="A985" t="s">
        <v>58</v>
      </c>
      <c r="B985" t="s">
        <v>8772</v>
      </c>
      <c r="C985" t="s">
        <v>8773</v>
      </c>
      <c r="D985" t="s">
        <v>1184</v>
      </c>
      <c r="E985" t="s">
        <v>1185</v>
      </c>
      <c r="F985">
        <v>1987</v>
      </c>
      <c r="G985" t="s">
        <v>138</v>
      </c>
      <c r="H985">
        <v>62</v>
      </c>
      <c r="I985">
        <v>10</v>
      </c>
      <c r="J985">
        <v>852</v>
      </c>
      <c r="K985">
        <v>854</v>
      </c>
      <c r="L985" t="s">
        <v>8774</v>
      </c>
      <c r="M985" t="s">
        <v>63</v>
      </c>
      <c r="N985" t="s">
        <v>8775</v>
      </c>
      <c r="O985" t="s">
        <v>63</v>
      </c>
      <c r="Q985" t="s">
        <v>63</v>
      </c>
      <c r="R985" t="s">
        <v>63</v>
      </c>
      <c r="S985" t="s">
        <v>63</v>
      </c>
      <c r="T985" t="s">
        <v>63</v>
      </c>
      <c r="X985" t="s">
        <v>63</v>
      </c>
      <c r="Y985" t="s">
        <v>1188</v>
      </c>
      <c r="Z985" t="s">
        <v>63</v>
      </c>
      <c r="AA985" t="s">
        <v>8776</v>
      </c>
      <c r="AB985">
        <v>3656387</v>
      </c>
      <c r="AC985" t="s">
        <v>67</v>
      </c>
      <c r="AD985" t="s">
        <v>63</v>
      </c>
      <c r="AE985" t="s">
        <v>63</v>
      </c>
      <c r="AF985" t="s">
        <v>63</v>
      </c>
      <c r="AG985" t="s">
        <v>8777</v>
      </c>
      <c r="AH985" t="s">
        <v>63</v>
      </c>
      <c r="AI985" t="s">
        <v>63</v>
      </c>
      <c r="AJ985" t="s">
        <v>63</v>
      </c>
      <c r="AK985" t="s">
        <v>63</v>
      </c>
      <c r="AL985" t="s">
        <v>63</v>
      </c>
      <c r="AM985" t="s">
        <v>8778</v>
      </c>
      <c r="AN985" t="s">
        <v>63</v>
      </c>
      <c r="AO985" t="s">
        <v>63</v>
      </c>
      <c r="AP985" t="s">
        <v>63</v>
      </c>
      <c r="AQ985" t="s">
        <v>63</v>
      </c>
      <c r="AR985" t="s">
        <v>63</v>
      </c>
      <c r="AS985" t="s">
        <v>63</v>
      </c>
      <c r="AT985" t="s">
        <v>63</v>
      </c>
      <c r="AU985" t="s">
        <v>63</v>
      </c>
      <c r="AV985" t="s">
        <v>63</v>
      </c>
      <c r="AW985" t="s">
        <v>63</v>
      </c>
      <c r="AX985" t="s">
        <v>63</v>
      </c>
      <c r="AY985" t="s">
        <v>63</v>
      </c>
      <c r="AZ985" t="s">
        <v>63</v>
      </c>
      <c r="BA985" t="s">
        <v>63</v>
      </c>
      <c r="BB985" t="s">
        <v>63</v>
      </c>
      <c r="BC985" t="s">
        <v>63</v>
      </c>
      <c r="BD985" t="s">
        <v>63</v>
      </c>
      <c r="BE985" t="s">
        <v>63</v>
      </c>
      <c r="BF985" t="s">
        <v>63</v>
      </c>
    </row>
    <row r="986" spans="1:58">
      <c r="A986" t="s">
        <v>58</v>
      </c>
      <c r="B986" t="s">
        <v>8779</v>
      </c>
      <c r="C986" t="s">
        <v>8780</v>
      </c>
      <c r="D986" t="s">
        <v>8781</v>
      </c>
      <c r="E986" t="s">
        <v>63</v>
      </c>
      <c r="F986">
        <v>1995</v>
      </c>
      <c r="G986" t="s">
        <v>84</v>
      </c>
      <c r="H986">
        <v>76</v>
      </c>
      <c r="I986">
        <v>3</v>
      </c>
      <c r="J986">
        <v>28</v>
      </c>
      <c r="K986">
        <v>30</v>
      </c>
      <c r="L986" t="s">
        <v>8782</v>
      </c>
      <c r="M986" t="s">
        <v>8783</v>
      </c>
      <c r="N986" t="s">
        <v>8784</v>
      </c>
      <c r="O986" t="s">
        <v>63</v>
      </c>
      <c r="Q986" t="s">
        <v>63</v>
      </c>
      <c r="R986" t="s">
        <v>63</v>
      </c>
      <c r="S986" t="s">
        <v>63</v>
      </c>
      <c r="T986" t="s">
        <v>63</v>
      </c>
      <c r="X986" t="s">
        <v>63</v>
      </c>
      <c r="Y986" t="s">
        <v>8785</v>
      </c>
      <c r="Z986" t="s">
        <v>63</v>
      </c>
      <c r="AA986" t="s">
        <v>8786</v>
      </c>
      <c r="AB986">
        <v>10172274</v>
      </c>
      <c r="AC986" t="s">
        <v>67</v>
      </c>
      <c r="AD986" t="s">
        <v>63</v>
      </c>
      <c r="AE986" t="s">
        <v>63</v>
      </c>
      <c r="AF986" t="s">
        <v>63</v>
      </c>
      <c r="AG986" t="s">
        <v>8787</v>
      </c>
      <c r="AH986" t="s">
        <v>63</v>
      </c>
      <c r="AI986" t="s">
        <v>63</v>
      </c>
      <c r="AJ986" t="s">
        <v>63</v>
      </c>
      <c r="AK986" t="s">
        <v>63</v>
      </c>
      <c r="AL986" t="s">
        <v>63</v>
      </c>
      <c r="AM986" t="s">
        <v>8788</v>
      </c>
      <c r="AN986" t="s">
        <v>63</v>
      </c>
      <c r="AO986" t="s">
        <v>63</v>
      </c>
      <c r="AP986" t="s">
        <v>63</v>
      </c>
      <c r="AQ986" t="s">
        <v>63</v>
      </c>
      <c r="AR986" t="s">
        <v>63</v>
      </c>
      <c r="AS986" t="s">
        <v>63</v>
      </c>
      <c r="AT986" t="s">
        <v>63</v>
      </c>
      <c r="AU986" t="s">
        <v>63</v>
      </c>
      <c r="AV986" t="s">
        <v>63</v>
      </c>
      <c r="AW986" t="s">
        <v>63</v>
      </c>
      <c r="AX986" t="s">
        <v>63</v>
      </c>
      <c r="AY986" t="s">
        <v>63</v>
      </c>
      <c r="AZ986" t="s">
        <v>63</v>
      </c>
      <c r="BA986" t="s">
        <v>63</v>
      </c>
      <c r="BB986" t="s">
        <v>63</v>
      </c>
      <c r="BC986" t="s">
        <v>63</v>
      </c>
      <c r="BD986" t="s">
        <v>63</v>
      </c>
      <c r="BE986" t="s">
        <v>63</v>
      </c>
      <c r="BF986" t="s">
        <v>63</v>
      </c>
    </row>
    <row r="987" spans="1:58">
      <c r="A987" t="s">
        <v>58</v>
      </c>
      <c r="B987" t="s">
        <v>8789</v>
      </c>
      <c r="C987" t="s">
        <v>8790</v>
      </c>
      <c r="D987" t="s">
        <v>8791</v>
      </c>
      <c r="E987" t="s">
        <v>63</v>
      </c>
      <c r="F987">
        <v>2017</v>
      </c>
      <c r="G987" t="s">
        <v>63</v>
      </c>
      <c r="H987">
        <v>6</v>
      </c>
      <c r="I987" t="s">
        <v>63</v>
      </c>
      <c r="J987">
        <v>63</v>
      </c>
      <c r="K987" t="s">
        <v>63</v>
      </c>
      <c r="L987" t="s">
        <v>63</v>
      </c>
      <c r="M987" t="s">
        <v>8792</v>
      </c>
      <c r="N987" t="s">
        <v>8793</v>
      </c>
      <c r="O987" t="s">
        <v>63</v>
      </c>
      <c r="Q987" t="s">
        <v>63</v>
      </c>
      <c r="R987" t="s">
        <v>63</v>
      </c>
      <c r="S987" t="s">
        <v>63</v>
      </c>
      <c r="T987" t="s">
        <v>63</v>
      </c>
      <c r="X987" t="s">
        <v>63</v>
      </c>
      <c r="Y987" t="s">
        <v>8794</v>
      </c>
      <c r="Z987" t="s">
        <v>63</v>
      </c>
      <c r="AA987" t="s">
        <v>8795</v>
      </c>
      <c r="AB987">
        <v>28852654</v>
      </c>
      <c r="AC987" t="s">
        <v>67</v>
      </c>
      <c r="AD987" t="s">
        <v>63</v>
      </c>
      <c r="AE987" t="s">
        <v>63</v>
      </c>
      <c r="AF987" t="s">
        <v>63</v>
      </c>
      <c r="AG987" t="s">
        <v>8796</v>
      </c>
      <c r="AH987" t="s">
        <v>63</v>
      </c>
      <c r="AI987" t="s">
        <v>8797</v>
      </c>
      <c r="AJ987" t="s">
        <v>63</v>
      </c>
      <c r="AK987" t="s">
        <v>63</v>
      </c>
      <c r="AL987" t="s">
        <v>63</v>
      </c>
      <c r="AM987" t="s">
        <v>8798</v>
      </c>
      <c r="AN987" t="s">
        <v>63</v>
      </c>
      <c r="AO987" t="s">
        <v>63</v>
      </c>
      <c r="AP987" t="s">
        <v>63</v>
      </c>
      <c r="AQ987" t="s">
        <v>63</v>
      </c>
      <c r="AR987" t="s">
        <v>63</v>
      </c>
      <c r="AS987" t="s">
        <v>63</v>
      </c>
      <c r="AT987" t="s">
        <v>63</v>
      </c>
      <c r="AU987" t="s">
        <v>63</v>
      </c>
      <c r="AV987" t="s">
        <v>63</v>
      </c>
      <c r="AW987" t="s">
        <v>63</v>
      </c>
      <c r="AX987" t="s">
        <v>63</v>
      </c>
      <c r="AY987" t="s">
        <v>63</v>
      </c>
      <c r="AZ987" t="s">
        <v>63</v>
      </c>
      <c r="BA987" t="s">
        <v>63</v>
      </c>
      <c r="BB987" t="s">
        <v>63</v>
      </c>
      <c r="BC987" t="s">
        <v>63</v>
      </c>
      <c r="BD987" t="s">
        <v>63</v>
      </c>
      <c r="BE987" t="s">
        <v>63</v>
      </c>
      <c r="BF987" t="s">
        <v>63</v>
      </c>
    </row>
    <row r="988" spans="1:58">
      <c r="A988" t="s">
        <v>58</v>
      </c>
      <c r="B988" t="s">
        <v>8799</v>
      </c>
      <c r="C988" t="s">
        <v>8800</v>
      </c>
      <c r="D988" t="s">
        <v>8801</v>
      </c>
      <c r="E988" t="s">
        <v>63</v>
      </c>
      <c r="F988">
        <v>2014</v>
      </c>
      <c r="G988" t="s">
        <v>181</v>
      </c>
      <c r="H988">
        <v>75</v>
      </c>
      <c r="I988">
        <v>5</v>
      </c>
      <c r="J988">
        <v>799</v>
      </c>
      <c r="K988">
        <v>807</v>
      </c>
      <c r="L988" t="s">
        <v>8802</v>
      </c>
      <c r="M988" t="s">
        <v>8803</v>
      </c>
      <c r="N988" t="s">
        <v>8804</v>
      </c>
      <c r="O988" t="s">
        <v>63</v>
      </c>
      <c r="Q988" t="s">
        <v>63</v>
      </c>
      <c r="R988" t="s">
        <v>63</v>
      </c>
      <c r="S988" t="s">
        <v>63</v>
      </c>
      <c r="T988" t="s">
        <v>63</v>
      </c>
      <c r="X988" t="s">
        <v>63</v>
      </c>
      <c r="Y988" t="s">
        <v>8805</v>
      </c>
      <c r="Z988" t="s">
        <v>63</v>
      </c>
      <c r="AA988" t="s">
        <v>8806</v>
      </c>
      <c r="AB988">
        <v>25208198</v>
      </c>
      <c r="AC988" t="s">
        <v>67</v>
      </c>
      <c r="AD988" t="s">
        <v>63</v>
      </c>
      <c r="AE988" t="s">
        <v>63</v>
      </c>
      <c r="AF988" t="s">
        <v>63</v>
      </c>
      <c r="AG988" t="s">
        <v>8807</v>
      </c>
      <c r="AH988" t="s">
        <v>63</v>
      </c>
      <c r="AI988" t="s">
        <v>63</v>
      </c>
      <c r="AJ988" t="s">
        <v>63</v>
      </c>
      <c r="AK988" t="s">
        <v>63</v>
      </c>
      <c r="AL988" t="s">
        <v>63</v>
      </c>
      <c r="AM988" t="s">
        <v>8808</v>
      </c>
      <c r="AN988" t="s">
        <v>63</v>
      </c>
      <c r="AO988" t="s">
        <v>63</v>
      </c>
      <c r="AP988" t="s">
        <v>63</v>
      </c>
      <c r="AQ988" t="s">
        <v>63</v>
      </c>
      <c r="AR988" t="s">
        <v>63</v>
      </c>
      <c r="AS988" t="s">
        <v>63</v>
      </c>
      <c r="AT988" t="s">
        <v>63</v>
      </c>
      <c r="AU988" t="s">
        <v>63</v>
      </c>
      <c r="AV988" t="s">
        <v>63</v>
      </c>
      <c r="AW988" t="s">
        <v>63</v>
      </c>
      <c r="AX988" t="s">
        <v>63</v>
      </c>
      <c r="AY988" t="s">
        <v>63</v>
      </c>
      <c r="AZ988" t="s">
        <v>63</v>
      </c>
      <c r="BA988" t="s">
        <v>63</v>
      </c>
      <c r="BB988" t="s">
        <v>63</v>
      </c>
      <c r="BC988" t="s">
        <v>63</v>
      </c>
      <c r="BD988" t="s">
        <v>63</v>
      </c>
      <c r="BE988" t="s">
        <v>63</v>
      </c>
      <c r="BF988" t="s">
        <v>63</v>
      </c>
    </row>
    <row r="989" spans="1:58">
      <c r="A989" t="s">
        <v>58</v>
      </c>
      <c r="B989" t="s">
        <v>8809</v>
      </c>
      <c r="C989" t="s">
        <v>8810</v>
      </c>
      <c r="D989" t="s">
        <v>8811</v>
      </c>
      <c r="E989" t="s">
        <v>8812</v>
      </c>
      <c r="F989">
        <v>2002</v>
      </c>
      <c r="G989" t="s">
        <v>73</v>
      </c>
      <c r="H989">
        <v>41</v>
      </c>
      <c r="I989">
        <v>5</v>
      </c>
      <c r="J989">
        <v>341</v>
      </c>
      <c r="K989">
        <v>349</v>
      </c>
      <c r="L989" t="s">
        <v>8813</v>
      </c>
      <c r="M989" t="s">
        <v>8814</v>
      </c>
      <c r="N989" t="s">
        <v>8815</v>
      </c>
      <c r="O989" t="s">
        <v>63</v>
      </c>
      <c r="Q989" t="s">
        <v>63</v>
      </c>
      <c r="R989" t="s">
        <v>63</v>
      </c>
      <c r="S989" t="s">
        <v>63</v>
      </c>
      <c r="T989" t="s">
        <v>63</v>
      </c>
      <c r="X989" t="s">
        <v>63</v>
      </c>
      <c r="Y989" s="2">
        <v>2675281</v>
      </c>
      <c r="Z989" t="s">
        <v>63</v>
      </c>
      <c r="AA989" t="s">
        <v>8816</v>
      </c>
      <c r="AB989">
        <v>12086200</v>
      </c>
      <c r="AC989" t="s">
        <v>67</v>
      </c>
      <c r="AD989" t="s">
        <v>63</v>
      </c>
      <c r="AE989" t="s">
        <v>63</v>
      </c>
      <c r="AF989" t="s">
        <v>63</v>
      </c>
      <c r="AG989" t="s">
        <v>8817</v>
      </c>
      <c r="AH989" t="s">
        <v>63</v>
      </c>
      <c r="AI989" t="s">
        <v>63</v>
      </c>
      <c r="AJ989" t="s">
        <v>63</v>
      </c>
      <c r="AK989" t="s">
        <v>63</v>
      </c>
      <c r="AL989" t="s">
        <v>63</v>
      </c>
      <c r="AM989" t="s">
        <v>8818</v>
      </c>
      <c r="AN989" t="s">
        <v>63</v>
      </c>
      <c r="AO989" t="s">
        <v>63</v>
      </c>
      <c r="AP989" t="s">
        <v>63</v>
      </c>
      <c r="AQ989" t="s">
        <v>63</v>
      </c>
      <c r="AR989" t="s">
        <v>63</v>
      </c>
      <c r="AS989" t="s">
        <v>63</v>
      </c>
      <c r="AT989" t="s">
        <v>63</v>
      </c>
      <c r="AU989" t="s">
        <v>63</v>
      </c>
      <c r="AV989" t="s">
        <v>63</v>
      </c>
      <c r="AW989" t="s">
        <v>63</v>
      </c>
      <c r="AX989" t="s">
        <v>63</v>
      </c>
      <c r="AY989" t="s">
        <v>63</v>
      </c>
      <c r="AZ989" t="s">
        <v>63</v>
      </c>
      <c r="BA989" t="s">
        <v>63</v>
      </c>
      <c r="BB989" t="s">
        <v>63</v>
      </c>
      <c r="BC989" t="s">
        <v>63</v>
      </c>
      <c r="BD989" t="s">
        <v>63</v>
      </c>
      <c r="BE989" t="s">
        <v>63</v>
      </c>
      <c r="BF989" t="s">
        <v>63</v>
      </c>
    </row>
    <row r="990" spans="1:58">
      <c r="A990" t="s">
        <v>58</v>
      </c>
      <c r="B990" t="s">
        <v>8819</v>
      </c>
      <c r="C990" t="s">
        <v>8820</v>
      </c>
      <c r="D990" t="s">
        <v>6749</v>
      </c>
      <c r="E990" t="s">
        <v>63</v>
      </c>
      <c r="F990">
        <v>2006</v>
      </c>
      <c r="G990" s="1">
        <v>41833</v>
      </c>
      <c r="H990">
        <v>1</v>
      </c>
      <c r="I990" t="s">
        <v>63</v>
      </c>
      <c r="J990">
        <v>18</v>
      </c>
      <c r="K990" t="s">
        <v>63</v>
      </c>
      <c r="L990" t="s">
        <v>8821</v>
      </c>
      <c r="M990" t="s">
        <v>8822</v>
      </c>
      <c r="N990" t="s">
        <v>8823</v>
      </c>
      <c r="O990" t="s">
        <v>63</v>
      </c>
      <c r="Q990" t="s">
        <v>63</v>
      </c>
      <c r="R990" t="s">
        <v>63</v>
      </c>
      <c r="S990" t="s">
        <v>63</v>
      </c>
      <c r="T990" t="s">
        <v>63</v>
      </c>
      <c r="X990" t="s">
        <v>63</v>
      </c>
      <c r="Y990" t="s">
        <v>6753</v>
      </c>
      <c r="Z990" t="s">
        <v>63</v>
      </c>
      <c r="AA990" t="s">
        <v>8824</v>
      </c>
      <c r="AB990">
        <v>16842620</v>
      </c>
      <c r="AC990" t="s">
        <v>67</v>
      </c>
      <c r="AD990" t="s">
        <v>63</v>
      </c>
      <c r="AE990" t="s">
        <v>63</v>
      </c>
      <c r="AF990" t="s">
        <v>63</v>
      </c>
      <c r="AG990" t="s">
        <v>8825</v>
      </c>
      <c r="AH990" t="s">
        <v>63</v>
      </c>
      <c r="AI990" t="s">
        <v>63</v>
      </c>
      <c r="AJ990" t="s">
        <v>63</v>
      </c>
      <c r="AK990" t="s">
        <v>63</v>
      </c>
      <c r="AL990" t="s">
        <v>63</v>
      </c>
      <c r="AM990" t="s">
        <v>8826</v>
      </c>
      <c r="AN990" t="s">
        <v>63</v>
      </c>
      <c r="AO990" t="s">
        <v>63</v>
      </c>
      <c r="AP990" t="s">
        <v>63</v>
      </c>
      <c r="AQ990" t="s">
        <v>63</v>
      </c>
      <c r="AR990" t="s">
        <v>63</v>
      </c>
      <c r="AS990" t="s">
        <v>63</v>
      </c>
      <c r="AT990" t="s">
        <v>63</v>
      </c>
      <c r="AU990" t="s">
        <v>63</v>
      </c>
      <c r="AV990" t="s">
        <v>63</v>
      </c>
      <c r="AW990" t="s">
        <v>63</v>
      </c>
      <c r="AX990" t="s">
        <v>63</v>
      </c>
      <c r="AY990" t="s">
        <v>63</v>
      </c>
      <c r="AZ990" t="s">
        <v>63</v>
      </c>
      <c r="BA990" t="s">
        <v>63</v>
      </c>
      <c r="BB990" t="s">
        <v>63</v>
      </c>
      <c r="BC990" t="s">
        <v>63</v>
      </c>
      <c r="BD990" t="s">
        <v>63</v>
      </c>
      <c r="BE990" t="s">
        <v>63</v>
      </c>
      <c r="BF990" t="s">
        <v>63</v>
      </c>
    </row>
    <row r="991" spans="1:58">
      <c r="A991" t="s">
        <v>58</v>
      </c>
      <c r="B991" t="s">
        <v>8827</v>
      </c>
      <c r="C991" t="s">
        <v>8828</v>
      </c>
      <c r="D991" t="s">
        <v>8829</v>
      </c>
      <c r="E991" t="s">
        <v>8830</v>
      </c>
      <c r="F991">
        <v>1993</v>
      </c>
      <c r="G991" t="s">
        <v>219</v>
      </c>
      <c r="H991">
        <v>97</v>
      </c>
      <c r="I991" t="s">
        <v>63</v>
      </c>
      <c r="J991">
        <v>231</v>
      </c>
      <c r="K991">
        <v>233</v>
      </c>
      <c r="L991" t="s">
        <v>8831</v>
      </c>
      <c r="M991" t="s">
        <v>8832</v>
      </c>
      <c r="N991" t="s">
        <v>8833</v>
      </c>
      <c r="O991" t="s">
        <v>63</v>
      </c>
      <c r="Q991" t="s">
        <v>63</v>
      </c>
      <c r="R991" t="s">
        <v>63</v>
      </c>
      <c r="S991" t="s">
        <v>63</v>
      </c>
      <c r="T991" t="s">
        <v>63</v>
      </c>
      <c r="X991" t="s">
        <v>63</v>
      </c>
      <c r="Y991" t="s">
        <v>8834</v>
      </c>
      <c r="Z991" t="s">
        <v>63</v>
      </c>
      <c r="AA991" t="s">
        <v>8835</v>
      </c>
      <c r="AB991">
        <v>8144203</v>
      </c>
      <c r="AC991" t="s">
        <v>67</v>
      </c>
      <c r="AD991" t="s">
        <v>63</v>
      </c>
      <c r="AE991" t="s">
        <v>63</v>
      </c>
      <c r="AF991" t="s">
        <v>63</v>
      </c>
      <c r="AG991" t="s">
        <v>8836</v>
      </c>
      <c r="AH991" t="s">
        <v>63</v>
      </c>
      <c r="AI991" t="s">
        <v>63</v>
      </c>
      <c r="AJ991" t="s">
        <v>63</v>
      </c>
      <c r="AK991" t="s">
        <v>63</v>
      </c>
      <c r="AL991" t="s">
        <v>63</v>
      </c>
      <c r="AM991" t="s">
        <v>8837</v>
      </c>
      <c r="AN991" t="s">
        <v>63</v>
      </c>
      <c r="AO991" t="s">
        <v>63</v>
      </c>
      <c r="AP991" t="s">
        <v>63</v>
      </c>
      <c r="AQ991" t="s">
        <v>63</v>
      </c>
      <c r="AR991" t="s">
        <v>63</v>
      </c>
      <c r="AS991" t="s">
        <v>63</v>
      </c>
      <c r="AT991" t="s">
        <v>63</v>
      </c>
      <c r="AU991" t="s">
        <v>63</v>
      </c>
      <c r="AV991" t="s">
        <v>63</v>
      </c>
      <c r="AW991" t="s">
        <v>63</v>
      </c>
      <c r="AX991" t="s">
        <v>63</v>
      </c>
      <c r="AY991" t="s">
        <v>63</v>
      </c>
      <c r="AZ991" t="s">
        <v>63</v>
      </c>
      <c r="BA991" t="s">
        <v>63</v>
      </c>
      <c r="BB991" t="s">
        <v>63</v>
      </c>
      <c r="BC991" t="s">
        <v>63</v>
      </c>
      <c r="BD991" t="s">
        <v>63</v>
      </c>
      <c r="BE991" t="s">
        <v>63</v>
      </c>
      <c r="BF991" t="s">
        <v>63</v>
      </c>
    </row>
    <row r="992" spans="1:58">
      <c r="A992" t="s">
        <v>58</v>
      </c>
      <c r="B992" t="s">
        <v>8838</v>
      </c>
      <c r="C992" t="s">
        <v>8839</v>
      </c>
      <c r="D992" t="s">
        <v>389</v>
      </c>
      <c r="E992" t="s">
        <v>63</v>
      </c>
      <c r="F992">
        <v>2015</v>
      </c>
      <c r="G992" t="s">
        <v>63</v>
      </c>
      <c r="H992">
        <v>36</v>
      </c>
      <c r="I992">
        <v>3</v>
      </c>
      <c r="J992">
        <v>272</v>
      </c>
      <c r="K992">
        <v>280</v>
      </c>
      <c r="L992" t="s">
        <v>8840</v>
      </c>
      <c r="M992" t="s">
        <v>8841</v>
      </c>
      <c r="N992" t="s">
        <v>8842</v>
      </c>
      <c r="O992" t="s">
        <v>63</v>
      </c>
      <c r="Q992" t="s">
        <v>63</v>
      </c>
      <c r="R992" t="s">
        <v>63</v>
      </c>
      <c r="S992" t="s">
        <v>63</v>
      </c>
      <c r="T992" t="s">
        <v>63</v>
      </c>
      <c r="X992" t="s">
        <v>63</v>
      </c>
      <c r="Y992" t="s">
        <v>556</v>
      </c>
      <c r="Z992" t="s">
        <v>63</v>
      </c>
      <c r="AA992" t="s">
        <v>8843</v>
      </c>
      <c r="AB992">
        <v>25581553</v>
      </c>
      <c r="AC992" t="s">
        <v>67</v>
      </c>
      <c r="AD992" t="s">
        <v>63</v>
      </c>
      <c r="AE992" t="s">
        <v>63</v>
      </c>
      <c r="AF992" t="s">
        <v>63</v>
      </c>
      <c r="AG992" t="s">
        <v>8844</v>
      </c>
      <c r="AH992" t="s">
        <v>63</v>
      </c>
      <c r="AI992" t="s">
        <v>8845</v>
      </c>
      <c r="AJ992" t="s">
        <v>63</v>
      </c>
      <c r="AK992" t="s">
        <v>63</v>
      </c>
      <c r="AL992" t="s">
        <v>63</v>
      </c>
      <c r="AM992" t="s">
        <v>8846</v>
      </c>
      <c r="AN992" t="s">
        <v>63</v>
      </c>
      <c r="AO992" t="s">
        <v>63</v>
      </c>
      <c r="AP992" t="s">
        <v>63</v>
      </c>
      <c r="AQ992" t="s">
        <v>63</v>
      </c>
      <c r="AR992" t="s">
        <v>63</v>
      </c>
      <c r="AS992" t="s">
        <v>63</v>
      </c>
      <c r="AT992" t="s">
        <v>63</v>
      </c>
      <c r="AU992" t="s">
        <v>63</v>
      </c>
      <c r="AV992" t="s">
        <v>63</v>
      </c>
      <c r="AW992" t="s">
        <v>63</v>
      </c>
      <c r="AX992" t="s">
        <v>63</v>
      </c>
      <c r="AY992" t="s">
        <v>63</v>
      </c>
      <c r="AZ992" t="s">
        <v>63</v>
      </c>
      <c r="BA992" t="s">
        <v>63</v>
      </c>
      <c r="BB992" t="s">
        <v>63</v>
      </c>
      <c r="BC992" t="s">
        <v>63</v>
      </c>
      <c r="BD992" t="s">
        <v>63</v>
      </c>
      <c r="BE992" t="s">
        <v>63</v>
      </c>
      <c r="BF992" t="s">
        <v>63</v>
      </c>
    </row>
    <row r="993" spans="1:58">
      <c r="A993" t="s">
        <v>58</v>
      </c>
      <c r="B993" t="s">
        <v>8847</v>
      </c>
      <c r="C993" t="s">
        <v>8848</v>
      </c>
      <c r="D993" t="s">
        <v>8849</v>
      </c>
      <c r="E993" t="s">
        <v>63</v>
      </c>
      <c r="F993">
        <v>2013</v>
      </c>
      <c r="G993" t="s">
        <v>189</v>
      </c>
      <c r="H993">
        <v>13</v>
      </c>
      <c r="I993">
        <v>5</v>
      </c>
      <c r="J993">
        <v>527</v>
      </c>
      <c r="K993" t="s">
        <v>8850</v>
      </c>
      <c r="L993" t="s">
        <v>8851</v>
      </c>
      <c r="M993" t="s">
        <v>8852</v>
      </c>
      <c r="N993" t="s">
        <v>8853</v>
      </c>
      <c r="O993" t="s">
        <v>63</v>
      </c>
      <c r="Q993" t="s">
        <v>63</v>
      </c>
      <c r="R993" t="s">
        <v>63</v>
      </c>
      <c r="S993" t="s">
        <v>63</v>
      </c>
      <c r="T993" t="s">
        <v>63</v>
      </c>
      <c r="X993" t="s">
        <v>63</v>
      </c>
      <c r="Y993" t="s">
        <v>8854</v>
      </c>
      <c r="Z993" t="s">
        <v>63</v>
      </c>
      <c r="AA993" t="s">
        <v>8855</v>
      </c>
      <c r="AB993">
        <v>23621310</v>
      </c>
      <c r="AC993" t="s">
        <v>67</v>
      </c>
      <c r="AD993" t="s">
        <v>63</v>
      </c>
      <c r="AE993" t="s">
        <v>63</v>
      </c>
      <c r="AF993" t="s">
        <v>63</v>
      </c>
      <c r="AG993" t="s">
        <v>8856</v>
      </c>
      <c r="AH993" t="s">
        <v>63</v>
      </c>
      <c r="AI993" t="s">
        <v>8857</v>
      </c>
      <c r="AJ993" t="s">
        <v>63</v>
      </c>
      <c r="AK993" t="s">
        <v>63</v>
      </c>
      <c r="AL993" t="s">
        <v>63</v>
      </c>
      <c r="AM993" t="s">
        <v>8858</v>
      </c>
      <c r="AN993" t="s">
        <v>63</v>
      </c>
      <c r="AO993" t="s">
        <v>63</v>
      </c>
      <c r="AP993" t="s">
        <v>63</v>
      </c>
      <c r="AQ993" t="s">
        <v>63</v>
      </c>
      <c r="AR993" t="s">
        <v>63</v>
      </c>
      <c r="AS993" t="s">
        <v>63</v>
      </c>
      <c r="AT993" t="s">
        <v>63</v>
      </c>
      <c r="AU993" t="s">
        <v>63</v>
      </c>
      <c r="AV993" t="s">
        <v>63</v>
      </c>
      <c r="AW993" t="s">
        <v>63</v>
      </c>
      <c r="AX993" t="s">
        <v>63</v>
      </c>
      <c r="AY993" t="s">
        <v>63</v>
      </c>
      <c r="AZ993" t="s">
        <v>63</v>
      </c>
      <c r="BA993" t="s">
        <v>63</v>
      </c>
      <c r="BB993" t="s">
        <v>63</v>
      </c>
      <c r="BC993" t="s">
        <v>63</v>
      </c>
      <c r="BD993" t="s">
        <v>63</v>
      </c>
      <c r="BE993" t="s">
        <v>63</v>
      </c>
      <c r="BF993" t="s">
        <v>63</v>
      </c>
    </row>
    <row r="994" spans="1:58">
      <c r="A994" t="s">
        <v>58</v>
      </c>
      <c r="B994" t="s">
        <v>8859</v>
      </c>
      <c r="C994" t="s">
        <v>8860</v>
      </c>
      <c r="D994" t="s">
        <v>660</v>
      </c>
      <c r="E994" t="s">
        <v>661</v>
      </c>
      <c r="F994">
        <v>2017</v>
      </c>
      <c r="G994" t="s">
        <v>198</v>
      </c>
      <c r="H994">
        <v>129</v>
      </c>
      <c r="I994">
        <v>1</v>
      </c>
      <c r="J994">
        <v>1</v>
      </c>
      <c r="K994">
        <v>4</v>
      </c>
      <c r="L994" t="s">
        <v>8861</v>
      </c>
      <c r="M994" t="s">
        <v>63</v>
      </c>
      <c r="N994" t="s">
        <v>8862</v>
      </c>
      <c r="O994" t="s">
        <v>63</v>
      </c>
      <c r="Q994" t="s">
        <v>63</v>
      </c>
      <c r="R994" t="s">
        <v>63</v>
      </c>
      <c r="S994" t="s">
        <v>63</v>
      </c>
      <c r="T994" t="s">
        <v>63</v>
      </c>
      <c r="X994" t="s">
        <v>63</v>
      </c>
      <c r="Y994" t="s">
        <v>8863</v>
      </c>
      <c r="Z994" t="s">
        <v>63</v>
      </c>
      <c r="AA994" t="s">
        <v>8864</v>
      </c>
      <c r="AB994">
        <v>27915490</v>
      </c>
      <c r="AC994" t="s">
        <v>67</v>
      </c>
      <c r="AD994" t="s">
        <v>63</v>
      </c>
      <c r="AE994" t="s">
        <v>63</v>
      </c>
      <c r="AF994" t="s">
        <v>63</v>
      </c>
      <c r="AG994" t="s">
        <v>8865</v>
      </c>
      <c r="AH994" t="s">
        <v>63</v>
      </c>
      <c r="AI994" t="s">
        <v>8866</v>
      </c>
      <c r="AJ994" t="s">
        <v>63</v>
      </c>
      <c r="AK994" t="s">
        <v>63</v>
      </c>
      <c r="AL994" t="s">
        <v>63</v>
      </c>
      <c r="AM994" t="s">
        <v>8867</v>
      </c>
      <c r="AN994" t="s">
        <v>63</v>
      </c>
      <c r="AO994" t="s">
        <v>63</v>
      </c>
      <c r="AP994" t="s">
        <v>63</v>
      </c>
      <c r="AQ994" t="s">
        <v>63</v>
      </c>
      <c r="AR994" t="s">
        <v>63</v>
      </c>
      <c r="AS994" t="s">
        <v>63</v>
      </c>
      <c r="AT994" t="s">
        <v>63</v>
      </c>
      <c r="AU994" t="s">
        <v>63</v>
      </c>
      <c r="AV994" t="s">
        <v>63</v>
      </c>
      <c r="AW994" t="s">
        <v>63</v>
      </c>
      <c r="AX994" t="s">
        <v>63</v>
      </c>
      <c r="AY994" t="s">
        <v>63</v>
      </c>
      <c r="AZ994" t="s">
        <v>63</v>
      </c>
      <c r="BA994" t="s">
        <v>63</v>
      </c>
      <c r="BB994" t="s">
        <v>63</v>
      </c>
      <c r="BC994" t="s">
        <v>63</v>
      </c>
      <c r="BD994" t="s">
        <v>63</v>
      </c>
      <c r="BE994" t="s">
        <v>63</v>
      </c>
      <c r="BF994" t="s">
        <v>63</v>
      </c>
    </row>
    <row r="995" spans="1:58">
      <c r="A995" t="s">
        <v>58</v>
      </c>
      <c r="B995" t="s">
        <v>8868</v>
      </c>
      <c r="C995" t="s">
        <v>8869</v>
      </c>
      <c r="D995" t="s">
        <v>205</v>
      </c>
      <c r="E995" t="s">
        <v>205</v>
      </c>
      <c r="F995">
        <v>1991</v>
      </c>
      <c r="G995" s="1">
        <v>41983</v>
      </c>
      <c r="H995">
        <v>266</v>
      </c>
      <c r="I995">
        <v>22</v>
      </c>
      <c r="J995">
        <v>3172</v>
      </c>
      <c r="K995">
        <v>3173</v>
      </c>
      <c r="L995" t="s">
        <v>8870</v>
      </c>
      <c r="M995" t="s">
        <v>63</v>
      </c>
      <c r="N995" t="s">
        <v>8871</v>
      </c>
      <c r="O995" t="s">
        <v>63</v>
      </c>
      <c r="Q995" t="s">
        <v>63</v>
      </c>
      <c r="R995" t="s">
        <v>63</v>
      </c>
      <c r="S995" t="s">
        <v>63</v>
      </c>
      <c r="T995" t="s">
        <v>63</v>
      </c>
      <c r="X995" t="s">
        <v>63</v>
      </c>
      <c r="Y995" t="s">
        <v>208</v>
      </c>
      <c r="Z995" t="s">
        <v>63</v>
      </c>
      <c r="AA995" t="s">
        <v>8872</v>
      </c>
      <c r="AB995">
        <v>1956107</v>
      </c>
      <c r="AC995" t="s">
        <v>67</v>
      </c>
      <c r="AD995" t="s">
        <v>63</v>
      </c>
      <c r="AE995" t="s">
        <v>63</v>
      </c>
      <c r="AF995" t="s">
        <v>63</v>
      </c>
      <c r="AG995" t="s">
        <v>8873</v>
      </c>
      <c r="AH995" t="s">
        <v>63</v>
      </c>
      <c r="AI995" t="s">
        <v>63</v>
      </c>
      <c r="AJ995" t="s">
        <v>63</v>
      </c>
      <c r="AK995" t="s">
        <v>63</v>
      </c>
      <c r="AL995" t="s">
        <v>63</v>
      </c>
      <c r="AM995" t="s">
        <v>8874</v>
      </c>
      <c r="AN995" t="s">
        <v>63</v>
      </c>
      <c r="AO995" t="s">
        <v>63</v>
      </c>
      <c r="AP995" t="s">
        <v>63</v>
      </c>
      <c r="AQ995" t="s">
        <v>63</v>
      </c>
      <c r="AR995" t="s">
        <v>63</v>
      </c>
      <c r="AS995" t="s">
        <v>63</v>
      </c>
      <c r="AT995" t="s">
        <v>63</v>
      </c>
      <c r="AU995" t="s">
        <v>63</v>
      </c>
      <c r="AV995" t="s">
        <v>63</v>
      </c>
      <c r="AW995" t="s">
        <v>63</v>
      </c>
      <c r="AX995" t="s">
        <v>63</v>
      </c>
      <c r="AY995" t="s">
        <v>63</v>
      </c>
      <c r="AZ995" t="s">
        <v>63</v>
      </c>
      <c r="BA995" t="s">
        <v>63</v>
      </c>
      <c r="BB995" t="s">
        <v>63</v>
      </c>
      <c r="BC995" t="s">
        <v>63</v>
      </c>
      <c r="BD995" t="s">
        <v>63</v>
      </c>
      <c r="BE995" t="s">
        <v>63</v>
      </c>
      <c r="BF995" t="s">
        <v>63</v>
      </c>
    </row>
    <row r="996" spans="1:58">
      <c r="A996" t="s">
        <v>58</v>
      </c>
      <c r="B996" t="s">
        <v>8875</v>
      </c>
      <c r="C996" t="s">
        <v>8876</v>
      </c>
      <c r="D996" t="s">
        <v>8877</v>
      </c>
      <c r="E996" t="s">
        <v>8878</v>
      </c>
      <c r="F996">
        <v>1993</v>
      </c>
      <c r="G996" s="1">
        <v>41647</v>
      </c>
      <c r="H996">
        <v>100</v>
      </c>
      <c r="I996">
        <v>1</v>
      </c>
      <c r="J996">
        <v>22</v>
      </c>
      <c r="K996">
        <v>23</v>
      </c>
      <c r="L996" t="s">
        <v>8879</v>
      </c>
      <c r="M996" t="s">
        <v>63</v>
      </c>
      <c r="N996" t="s">
        <v>8880</v>
      </c>
      <c r="O996" t="s">
        <v>63</v>
      </c>
      <c r="Q996" t="s">
        <v>63</v>
      </c>
      <c r="R996" t="s">
        <v>63</v>
      </c>
      <c r="S996" t="s">
        <v>63</v>
      </c>
      <c r="T996" t="s">
        <v>63</v>
      </c>
      <c r="X996" t="s">
        <v>63</v>
      </c>
      <c r="Y996" t="s">
        <v>8881</v>
      </c>
      <c r="Z996" t="s">
        <v>63</v>
      </c>
      <c r="AA996" t="s">
        <v>63</v>
      </c>
      <c r="AB996">
        <v>8429700</v>
      </c>
      <c r="AC996" t="s">
        <v>913</v>
      </c>
      <c r="AD996" t="s">
        <v>63</v>
      </c>
      <c r="AE996" t="s">
        <v>63</v>
      </c>
      <c r="AF996" t="s">
        <v>63</v>
      </c>
      <c r="AG996" t="s">
        <v>8882</v>
      </c>
      <c r="AH996" t="s">
        <v>63</v>
      </c>
      <c r="AI996" t="s">
        <v>63</v>
      </c>
      <c r="AJ996" t="s">
        <v>63</v>
      </c>
      <c r="AK996" t="s">
        <v>63</v>
      </c>
      <c r="AL996" t="s">
        <v>63</v>
      </c>
      <c r="AM996" t="s">
        <v>8883</v>
      </c>
      <c r="AN996" t="s">
        <v>63</v>
      </c>
      <c r="AO996" t="s">
        <v>63</v>
      </c>
      <c r="AP996" t="s">
        <v>63</v>
      </c>
      <c r="AQ996" t="s">
        <v>63</v>
      </c>
      <c r="AR996" t="s">
        <v>63</v>
      </c>
      <c r="AS996" t="s">
        <v>63</v>
      </c>
      <c r="AT996" t="s">
        <v>63</v>
      </c>
      <c r="AU996" t="s">
        <v>63</v>
      </c>
      <c r="AV996" t="s">
        <v>63</v>
      </c>
      <c r="AW996" t="s">
        <v>63</v>
      </c>
      <c r="AX996" t="s">
        <v>63</v>
      </c>
      <c r="AY996" t="s">
        <v>63</v>
      </c>
      <c r="AZ996" t="s">
        <v>63</v>
      </c>
      <c r="BA996" t="s">
        <v>63</v>
      </c>
      <c r="BB996" t="s">
        <v>63</v>
      </c>
      <c r="BC996" t="s">
        <v>63</v>
      </c>
      <c r="BD996" t="s">
        <v>63</v>
      </c>
      <c r="BE996" t="s">
        <v>63</v>
      </c>
      <c r="BF996" t="s">
        <v>63</v>
      </c>
    </row>
    <row r="997" spans="1:58">
      <c r="A997" t="s">
        <v>58</v>
      </c>
      <c r="B997" t="s">
        <v>8884</v>
      </c>
      <c r="C997" t="s">
        <v>8885</v>
      </c>
      <c r="D997" t="s">
        <v>8886</v>
      </c>
      <c r="E997" t="s">
        <v>8887</v>
      </c>
      <c r="F997">
        <v>1999</v>
      </c>
      <c r="G997" t="s">
        <v>63</v>
      </c>
      <c r="H997">
        <v>70</v>
      </c>
      <c r="I997">
        <v>2</v>
      </c>
      <c r="J997">
        <v>107</v>
      </c>
      <c r="K997">
        <v>122</v>
      </c>
      <c r="L997" t="s">
        <v>8888</v>
      </c>
      <c r="M997" t="s">
        <v>8889</v>
      </c>
      <c r="N997" t="s">
        <v>8890</v>
      </c>
      <c r="O997" t="s">
        <v>63</v>
      </c>
      <c r="Q997" t="s">
        <v>63</v>
      </c>
      <c r="R997" t="s">
        <v>63</v>
      </c>
      <c r="S997" t="s">
        <v>63</v>
      </c>
      <c r="T997" t="s">
        <v>63</v>
      </c>
      <c r="X997" t="s">
        <v>63</v>
      </c>
      <c r="Y997" t="s">
        <v>8891</v>
      </c>
      <c r="Z997" t="s">
        <v>63</v>
      </c>
      <c r="AA997" t="s">
        <v>8892</v>
      </c>
      <c r="AB997">
        <v>10392407</v>
      </c>
      <c r="AC997" t="s">
        <v>67</v>
      </c>
      <c r="AD997" t="s">
        <v>63</v>
      </c>
      <c r="AE997" t="s">
        <v>63</v>
      </c>
      <c r="AF997" t="s">
        <v>63</v>
      </c>
      <c r="AG997" t="s">
        <v>8893</v>
      </c>
      <c r="AH997" t="s">
        <v>63</v>
      </c>
      <c r="AI997" t="s">
        <v>63</v>
      </c>
      <c r="AJ997" t="s">
        <v>63</v>
      </c>
      <c r="AK997" t="s">
        <v>63</v>
      </c>
      <c r="AL997" t="s">
        <v>63</v>
      </c>
      <c r="AM997" t="s">
        <v>8894</v>
      </c>
      <c r="AN997" t="s">
        <v>63</v>
      </c>
      <c r="AO997" t="s">
        <v>63</v>
      </c>
      <c r="AP997" t="s">
        <v>63</v>
      </c>
      <c r="AQ997" t="s">
        <v>63</v>
      </c>
      <c r="AR997" t="s">
        <v>63</v>
      </c>
      <c r="AS997" t="s">
        <v>63</v>
      </c>
      <c r="AT997" t="s">
        <v>63</v>
      </c>
      <c r="AU997" t="s">
        <v>63</v>
      </c>
      <c r="AV997" t="s">
        <v>63</v>
      </c>
      <c r="AW997" t="s">
        <v>63</v>
      </c>
      <c r="AX997" t="s">
        <v>63</v>
      </c>
      <c r="AY997" t="s">
        <v>63</v>
      </c>
      <c r="AZ997" t="s">
        <v>63</v>
      </c>
      <c r="BA997" t="s">
        <v>63</v>
      </c>
      <c r="BB997" t="s">
        <v>63</v>
      </c>
      <c r="BC997" t="s">
        <v>63</v>
      </c>
      <c r="BD997" t="s">
        <v>63</v>
      </c>
      <c r="BE997" t="s">
        <v>63</v>
      </c>
      <c r="BF997" t="s">
        <v>63</v>
      </c>
    </row>
    <row r="998" spans="1:58">
      <c r="A998" t="s">
        <v>58</v>
      </c>
      <c r="B998" t="s">
        <v>8895</v>
      </c>
      <c r="C998" t="s">
        <v>8896</v>
      </c>
      <c r="D998" t="s">
        <v>8897</v>
      </c>
      <c r="E998" t="s">
        <v>8898</v>
      </c>
      <c r="F998">
        <v>2007</v>
      </c>
      <c r="G998" t="s">
        <v>1737</v>
      </c>
      <c r="H998">
        <v>29</v>
      </c>
      <c r="I998">
        <v>3</v>
      </c>
      <c r="J998">
        <v>796</v>
      </c>
      <c r="K998">
        <v>797</v>
      </c>
      <c r="L998" t="s">
        <v>8899</v>
      </c>
      <c r="M998" t="s">
        <v>8900</v>
      </c>
      <c r="N998" t="s">
        <v>8901</v>
      </c>
      <c r="O998" t="s">
        <v>63</v>
      </c>
      <c r="Q998" t="s">
        <v>63</v>
      </c>
      <c r="R998" t="s">
        <v>63</v>
      </c>
      <c r="S998" t="s">
        <v>63</v>
      </c>
      <c r="T998" t="s">
        <v>63</v>
      </c>
      <c r="X998" t="s">
        <v>63</v>
      </c>
      <c r="Y998" t="s">
        <v>8902</v>
      </c>
      <c r="Z998" t="s">
        <v>63</v>
      </c>
      <c r="AA998" t="s">
        <v>8903</v>
      </c>
      <c r="AB998">
        <v>18409966</v>
      </c>
      <c r="AC998" t="s">
        <v>4823</v>
      </c>
      <c r="AD998" t="s">
        <v>63</v>
      </c>
      <c r="AE998" t="s">
        <v>63</v>
      </c>
      <c r="AF998" t="s">
        <v>63</v>
      </c>
      <c r="AG998" t="s">
        <v>8904</v>
      </c>
      <c r="AH998" t="s">
        <v>63</v>
      </c>
      <c r="AI998" t="s">
        <v>63</v>
      </c>
      <c r="AJ998" t="s">
        <v>63</v>
      </c>
      <c r="AK998" t="s">
        <v>63</v>
      </c>
      <c r="AL998" t="s">
        <v>63</v>
      </c>
      <c r="AM998" t="s">
        <v>8905</v>
      </c>
      <c r="AN998" t="s">
        <v>63</v>
      </c>
      <c r="AO998" t="s">
        <v>63</v>
      </c>
      <c r="AP998" t="s">
        <v>63</v>
      </c>
      <c r="AQ998" t="s">
        <v>63</v>
      </c>
      <c r="AR998" t="s">
        <v>63</v>
      </c>
      <c r="AS998" t="s">
        <v>63</v>
      </c>
      <c r="AT998" t="s">
        <v>63</v>
      </c>
      <c r="AU998" t="s">
        <v>63</v>
      </c>
      <c r="AV998" t="s">
        <v>63</v>
      </c>
      <c r="AW998" t="s">
        <v>63</v>
      </c>
      <c r="AX998" t="s">
        <v>63</v>
      </c>
      <c r="AY998" t="s">
        <v>63</v>
      </c>
      <c r="AZ998" t="s">
        <v>63</v>
      </c>
      <c r="BA998" t="s">
        <v>63</v>
      </c>
      <c r="BB998" t="s">
        <v>63</v>
      </c>
      <c r="BC998" t="s">
        <v>63</v>
      </c>
      <c r="BD998" t="s">
        <v>63</v>
      </c>
      <c r="BE998" t="s">
        <v>63</v>
      </c>
      <c r="BF998" t="s">
        <v>63</v>
      </c>
    </row>
    <row r="999" spans="1:58">
      <c r="A999" t="s">
        <v>58</v>
      </c>
      <c r="B999" t="s">
        <v>8906</v>
      </c>
      <c r="C999" t="s">
        <v>8907</v>
      </c>
      <c r="D999" t="s">
        <v>389</v>
      </c>
      <c r="E999" t="s">
        <v>63</v>
      </c>
      <c r="F999">
        <v>2005</v>
      </c>
      <c r="G999" t="s">
        <v>157</v>
      </c>
      <c r="H999">
        <v>26</v>
      </c>
      <c r="I999" s="1">
        <v>41701</v>
      </c>
      <c r="J999">
        <v>5</v>
      </c>
      <c r="K999">
        <v>15</v>
      </c>
      <c r="L999" t="s">
        <v>8908</v>
      </c>
      <c r="M999" t="s">
        <v>8909</v>
      </c>
      <c r="N999" t="s">
        <v>8910</v>
      </c>
      <c r="O999" t="s">
        <v>63</v>
      </c>
      <c r="Q999" t="s">
        <v>63</v>
      </c>
      <c r="R999" t="s">
        <v>63</v>
      </c>
      <c r="S999" t="s">
        <v>63</v>
      </c>
      <c r="T999" t="s">
        <v>63</v>
      </c>
      <c r="X999" t="s">
        <v>63</v>
      </c>
      <c r="Y999" t="s">
        <v>392</v>
      </c>
      <c r="Z999" t="s">
        <v>63</v>
      </c>
      <c r="AA999" t="s">
        <v>8911</v>
      </c>
      <c r="AB999">
        <v>16837406</v>
      </c>
      <c r="AC999" t="s">
        <v>67</v>
      </c>
      <c r="AD999" t="s">
        <v>63</v>
      </c>
      <c r="AE999" t="s">
        <v>63</v>
      </c>
      <c r="AF999" t="s">
        <v>63</v>
      </c>
      <c r="AG999" t="s">
        <v>8912</v>
      </c>
      <c r="AH999" t="s">
        <v>63</v>
      </c>
      <c r="AI999" t="s">
        <v>63</v>
      </c>
      <c r="AJ999" t="s">
        <v>63</v>
      </c>
      <c r="AK999" t="s">
        <v>63</v>
      </c>
      <c r="AL999" t="s">
        <v>63</v>
      </c>
      <c r="AM999" t="s">
        <v>8913</v>
      </c>
      <c r="AN999" t="s">
        <v>63</v>
      </c>
      <c r="AO999" t="s">
        <v>63</v>
      </c>
      <c r="AP999" t="s">
        <v>63</v>
      </c>
      <c r="AQ999" t="s">
        <v>63</v>
      </c>
      <c r="AR999" t="s">
        <v>63</v>
      </c>
      <c r="AS999" t="s">
        <v>63</v>
      </c>
      <c r="AT999" t="s">
        <v>63</v>
      </c>
      <c r="AU999" t="s">
        <v>63</v>
      </c>
      <c r="AV999" t="s">
        <v>63</v>
      </c>
      <c r="AW999" t="s">
        <v>63</v>
      </c>
      <c r="AX999" t="s">
        <v>63</v>
      </c>
      <c r="AY999" t="s">
        <v>63</v>
      </c>
      <c r="AZ999" t="s">
        <v>63</v>
      </c>
      <c r="BA999" t="s">
        <v>63</v>
      </c>
      <c r="BB999" t="s">
        <v>63</v>
      </c>
      <c r="BC999" t="s">
        <v>63</v>
      </c>
      <c r="BD999" t="s">
        <v>63</v>
      </c>
      <c r="BE999" t="s">
        <v>63</v>
      </c>
      <c r="BF999" t="s">
        <v>63</v>
      </c>
    </row>
    <row r="1000" spans="1:58">
      <c r="A1000" t="s">
        <v>58</v>
      </c>
      <c r="B1000" t="s">
        <v>8914</v>
      </c>
      <c r="C1000" t="s">
        <v>8915</v>
      </c>
      <c r="D1000" t="s">
        <v>5566</v>
      </c>
      <c r="E1000" t="s">
        <v>63</v>
      </c>
      <c r="F1000">
        <v>2008</v>
      </c>
      <c r="G1000" t="s">
        <v>614</v>
      </c>
      <c r="H1000">
        <v>58</v>
      </c>
      <c r="I1000">
        <v>5</v>
      </c>
      <c r="J1000">
        <v>334</v>
      </c>
      <c r="K1000">
        <v>340</v>
      </c>
      <c r="L1000" t="s">
        <v>8916</v>
      </c>
      <c r="M1000" t="s">
        <v>8917</v>
      </c>
      <c r="N1000" t="s">
        <v>8918</v>
      </c>
      <c r="O1000" t="s">
        <v>63</v>
      </c>
      <c r="Q1000" t="s">
        <v>63</v>
      </c>
      <c r="R1000" t="s">
        <v>63</v>
      </c>
      <c r="S1000" t="s">
        <v>63</v>
      </c>
      <c r="T1000" t="s">
        <v>63</v>
      </c>
      <c r="X1000" t="s">
        <v>63</v>
      </c>
      <c r="Y1000" t="s">
        <v>5570</v>
      </c>
      <c r="Z1000" t="s">
        <v>63</v>
      </c>
      <c r="AA1000" t="s">
        <v>8919</v>
      </c>
      <c r="AB1000">
        <v>18676427</v>
      </c>
      <c r="AC1000" t="s">
        <v>67</v>
      </c>
      <c r="AD1000" t="s">
        <v>63</v>
      </c>
      <c r="AE1000" t="s">
        <v>63</v>
      </c>
      <c r="AF1000" t="s">
        <v>63</v>
      </c>
      <c r="AG1000" t="s">
        <v>8920</v>
      </c>
      <c r="AH1000" t="s">
        <v>63</v>
      </c>
      <c r="AI1000" t="s">
        <v>8921</v>
      </c>
      <c r="AJ1000" t="s">
        <v>63</v>
      </c>
      <c r="AK1000" t="s">
        <v>63</v>
      </c>
      <c r="AL1000" t="s">
        <v>63</v>
      </c>
      <c r="AM1000" t="s">
        <v>8922</v>
      </c>
      <c r="AN1000" t="s">
        <v>63</v>
      </c>
      <c r="AO1000" t="s">
        <v>63</v>
      </c>
      <c r="AP1000" t="s">
        <v>63</v>
      </c>
      <c r="AQ1000" t="s">
        <v>63</v>
      </c>
      <c r="AR1000" t="s">
        <v>63</v>
      </c>
      <c r="AS1000" t="s">
        <v>63</v>
      </c>
      <c r="AT1000" t="s">
        <v>63</v>
      </c>
      <c r="AU1000" t="s">
        <v>63</v>
      </c>
      <c r="AV1000" t="s">
        <v>63</v>
      </c>
      <c r="AW1000" t="s">
        <v>63</v>
      </c>
      <c r="AX1000" t="s">
        <v>63</v>
      </c>
      <c r="AY1000" t="s">
        <v>63</v>
      </c>
      <c r="AZ1000" t="s">
        <v>63</v>
      </c>
      <c r="BA1000" t="s">
        <v>63</v>
      </c>
      <c r="BB1000" t="s">
        <v>63</v>
      </c>
      <c r="BC1000" t="s">
        <v>63</v>
      </c>
      <c r="BD1000" t="s">
        <v>63</v>
      </c>
      <c r="BE1000" t="s">
        <v>63</v>
      </c>
      <c r="BF1000" t="s">
        <v>63</v>
      </c>
    </row>
    <row r="1001" spans="1:58">
      <c r="A1001" t="s">
        <v>58</v>
      </c>
      <c r="B1001" t="s">
        <v>8923</v>
      </c>
      <c r="C1001" t="s">
        <v>8924</v>
      </c>
      <c r="D1001" t="s">
        <v>640</v>
      </c>
      <c r="E1001" t="s">
        <v>63</v>
      </c>
      <c r="F1001">
        <v>2004</v>
      </c>
      <c r="G1001" t="s">
        <v>157</v>
      </c>
      <c r="H1001">
        <v>23</v>
      </c>
      <c r="I1001">
        <v>4</v>
      </c>
      <c r="J1001">
        <v>455</v>
      </c>
      <c r="K1001">
        <v>462</v>
      </c>
      <c r="L1001" t="s">
        <v>8925</v>
      </c>
      <c r="M1001" t="s">
        <v>8926</v>
      </c>
      <c r="N1001" t="s">
        <v>8927</v>
      </c>
      <c r="O1001" t="s">
        <v>63</v>
      </c>
      <c r="Q1001" t="s">
        <v>63</v>
      </c>
      <c r="R1001" t="s">
        <v>63</v>
      </c>
      <c r="S1001" t="s">
        <v>63</v>
      </c>
      <c r="T1001" t="s">
        <v>63</v>
      </c>
      <c r="X1001" t="s">
        <v>63</v>
      </c>
      <c r="Y1001" t="s">
        <v>644</v>
      </c>
      <c r="Z1001" t="s">
        <v>63</v>
      </c>
      <c r="AA1001" t="s">
        <v>8928</v>
      </c>
      <c r="AB1001">
        <v>15763750</v>
      </c>
      <c r="AC1001" t="s">
        <v>67</v>
      </c>
      <c r="AD1001" t="s">
        <v>63</v>
      </c>
      <c r="AE1001" t="s">
        <v>63</v>
      </c>
      <c r="AF1001" t="s">
        <v>63</v>
      </c>
      <c r="AG1001" t="s">
        <v>8929</v>
      </c>
      <c r="AH1001" t="s">
        <v>63</v>
      </c>
      <c r="AI1001" t="s">
        <v>63</v>
      </c>
      <c r="AJ1001" t="s">
        <v>63</v>
      </c>
      <c r="AK1001" t="s">
        <v>63</v>
      </c>
      <c r="AL1001" t="s">
        <v>63</v>
      </c>
      <c r="AM1001" t="s">
        <v>8930</v>
      </c>
      <c r="AN1001" t="s">
        <v>63</v>
      </c>
      <c r="AO1001" t="s">
        <v>63</v>
      </c>
      <c r="AP1001" t="s">
        <v>63</v>
      </c>
      <c r="AQ1001" t="s">
        <v>63</v>
      </c>
      <c r="AR1001" t="s">
        <v>63</v>
      </c>
      <c r="AS1001" t="s">
        <v>63</v>
      </c>
      <c r="AT1001" t="s">
        <v>63</v>
      </c>
      <c r="AU1001" t="s">
        <v>63</v>
      </c>
      <c r="AV1001" t="s">
        <v>63</v>
      </c>
      <c r="AW1001" t="s">
        <v>63</v>
      </c>
      <c r="AX1001" t="s">
        <v>63</v>
      </c>
      <c r="AY1001" t="s">
        <v>63</v>
      </c>
      <c r="AZ1001" t="s">
        <v>63</v>
      </c>
      <c r="BA1001" t="s">
        <v>63</v>
      </c>
      <c r="BB1001" t="s">
        <v>63</v>
      </c>
      <c r="BC1001" t="s">
        <v>63</v>
      </c>
      <c r="BD1001" t="s">
        <v>63</v>
      </c>
      <c r="BE1001" t="s">
        <v>63</v>
      </c>
      <c r="BF1001" t="s">
        <v>63</v>
      </c>
    </row>
    <row r="1002" spans="1:58">
      <c r="A1002" t="s">
        <v>58</v>
      </c>
      <c r="B1002" t="s">
        <v>8931</v>
      </c>
      <c r="C1002" t="s">
        <v>8932</v>
      </c>
      <c r="D1002" t="s">
        <v>5037</v>
      </c>
      <c r="E1002" t="s">
        <v>5038</v>
      </c>
      <c r="F1002">
        <v>2012</v>
      </c>
      <c r="G1002" t="s">
        <v>614</v>
      </c>
      <c r="H1002">
        <v>102</v>
      </c>
      <c r="I1002">
        <v>8</v>
      </c>
      <c r="J1002" t="s">
        <v>8933</v>
      </c>
      <c r="K1002">
        <v>6</v>
      </c>
      <c r="L1002" t="s">
        <v>8934</v>
      </c>
      <c r="M1002" t="s">
        <v>8935</v>
      </c>
      <c r="N1002" t="s">
        <v>8936</v>
      </c>
      <c r="O1002" t="s">
        <v>63</v>
      </c>
      <c r="Q1002" t="s">
        <v>63</v>
      </c>
      <c r="R1002" t="s">
        <v>63</v>
      </c>
      <c r="S1002" t="s">
        <v>63</v>
      </c>
      <c r="T1002" t="s">
        <v>63</v>
      </c>
      <c r="X1002" t="s">
        <v>63</v>
      </c>
      <c r="Y1002" t="s">
        <v>6281</v>
      </c>
      <c r="Z1002" t="s">
        <v>63</v>
      </c>
      <c r="AA1002" t="s">
        <v>8937</v>
      </c>
      <c r="AB1002">
        <v>22698040</v>
      </c>
      <c r="AC1002" t="s">
        <v>67</v>
      </c>
      <c r="AD1002" t="s">
        <v>63</v>
      </c>
      <c r="AE1002" t="s">
        <v>63</v>
      </c>
      <c r="AF1002" t="s">
        <v>63</v>
      </c>
      <c r="AG1002" t="s">
        <v>8938</v>
      </c>
      <c r="AH1002" t="s">
        <v>63</v>
      </c>
      <c r="AI1002" t="s">
        <v>8939</v>
      </c>
      <c r="AJ1002" t="s">
        <v>63</v>
      </c>
      <c r="AK1002" t="s">
        <v>63</v>
      </c>
      <c r="AL1002" t="s">
        <v>63</v>
      </c>
      <c r="AM1002" t="s">
        <v>8940</v>
      </c>
      <c r="AN1002" t="s">
        <v>63</v>
      </c>
      <c r="AO1002" t="s">
        <v>63</v>
      </c>
      <c r="AP1002" t="s">
        <v>63</v>
      </c>
      <c r="AQ1002" t="s">
        <v>63</v>
      </c>
      <c r="AR1002" t="s">
        <v>63</v>
      </c>
      <c r="AS1002" t="s">
        <v>63</v>
      </c>
      <c r="AT1002" t="s">
        <v>63</v>
      </c>
      <c r="AU1002" t="s">
        <v>63</v>
      </c>
      <c r="AV1002" t="s">
        <v>63</v>
      </c>
      <c r="AW1002" t="s">
        <v>63</v>
      </c>
      <c r="AX1002" t="s">
        <v>63</v>
      </c>
      <c r="AY1002" t="s">
        <v>63</v>
      </c>
      <c r="AZ1002" t="s">
        <v>63</v>
      </c>
      <c r="BA1002" t="s">
        <v>63</v>
      </c>
      <c r="BB1002" t="s">
        <v>63</v>
      </c>
      <c r="BC1002" t="s">
        <v>63</v>
      </c>
      <c r="BD1002" t="s">
        <v>63</v>
      </c>
      <c r="BE1002" t="s">
        <v>63</v>
      </c>
      <c r="BF1002" t="s">
        <v>63</v>
      </c>
    </row>
    <row r="1003" spans="1:58">
      <c r="A1003" t="s">
        <v>58</v>
      </c>
      <c r="B1003" t="s">
        <v>8941</v>
      </c>
      <c r="C1003" t="s">
        <v>8942</v>
      </c>
      <c r="D1003" t="s">
        <v>711</v>
      </c>
      <c r="E1003" t="s">
        <v>712</v>
      </c>
      <c r="F1003">
        <v>1975</v>
      </c>
      <c r="G1003" s="1">
        <v>41823</v>
      </c>
      <c r="H1003">
        <v>100</v>
      </c>
      <c r="I1003">
        <v>27</v>
      </c>
      <c r="J1003">
        <v>1481</v>
      </c>
      <c r="K1003">
        <v>1482</v>
      </c>
      <c r="L1003" t="s">
        <v>8943</v>
      </c>
      <c r="M1003" t="s">
        <v>63</v>
      </c>
      <c r="N1003" t="s">
        <v>8944</v>
      </c>
      <c r="O1003" t="s">
        <v>63</v>
      </c>
      <c r="Q1003" t="s">
        <v>63</v>
      </c>
      <c r="R1003" t="s">
        <v>63</v>
      </c>
      <c r="S1003" t="s">
        <v>63</v>
      </c>
      <c r="T1003" t="s">
        <v>63</v>
      </c>
      <c r="X1003" t="s">
        <v>63</v>
      </c>
      <c r="Y1003" t="s">
        <v>8945</v>
      </c>
      <c r="Z1003" t="s">
        <v>63</v>
      </c>
      <c r="AA1003" t="s">
        <v>63</v>
      </c>
      <c r="AB1003">
        <v>1132362</v>
      </c>
      <c r="AC1003" t="s">
        <v>102</v>
      </c>
      <c r="AD1003" t="s">
        <v>63</v>
      </c>
      <c r="AE1003" t="s">
        <v>63</v>
      </c>
      <c r="AF1003" t="s">
        <v>63</v>
      </c>
      <c r="AG1003" t="s">
        <v>8946</v>
      </c>
      <c r="AH1003" t="s">
        <v>63</v>
      </c>
      <c r="AI1003" t="s">
        <v>63</v>
      </c>
      <c r="AJ1003" t="s">
        <v>63</v>
      </c>
      <c r="AK1003" t="s">
        <v>63</v>
      </c>
      <c r="AL1003" t="s">
        <v>63</v>
      </c>
      <c r="AM1003" t="s">
        <v>8947</v>
      </c>
      <c r="AN1003" t="s">
        <v>63</v>
      </c>
      <c r="AO1003" t="s">
        <v>63</v>
      </c>
      <c r="AP1003" t="s">
        <v>63</v>
      </c>
      <c r="AQ1003" t="s">
        <v>63</v>
      </c>
      <c r="AR1003" t="s">
        <v>63</v>
      </c>
      <c r="AS1003" t="s">
        <v>63</v>
      </c>
      <c r="AT1003" t="s">
        <v>63</v>
      </c>
      <c r="AU1003" t="s">
        <v>63</v>
      </c>
      <c r="AV1003" t="s">
        <v>63</v>
      </c>
      <c r="AW1003" t="s">
        <v>63</v>
      </c>
      <c r="AX1003" t="s">
        <v>63</v>
      </c>
      <c r="AY1003" t="s">
        <v>63</v>
      </c>
      <c r="AZ1003" t="s">
        <v>63</v>
      </c>
      <c r="BA1003" t="s">
        <v>63</v>
      </c>
      <c r="BB1003" t="s">
        <v>63</v>
      </c>
      <c r="BC1003" t="s">
        <v>63</v>
      </c>
      <c r="BD1003" t="s">
        <v>63</v>
      </c>
      <c r="BE1003" t="s">
        <v>63</v>
      </c>
      <c r="BF1003" t="s">
        <v>63</v>
      </c>
    </row>
    <row r="1004" spans="1:58">
      <c r="A1004" t="s">
        <v>58</v>
      </c>
      <c r="B1004" t="s">
        <v>8948</v>
      </c>
      <c r="C1004" t="s">
        <v>8949</v>
      </c>
      <c r="D1004" t="s">
        <v>2291</v>
      </c>
      <c r="E1004" t="s">
        <v>2291</v>
      </c>
      <c r="F1004">
        <v>1996</v>
      </c>
      <c r="G1004" s="1">
        <v>41658</v>
      </c>
      <c r="H1004">
        <v>312</v>
      </c>
      <c r="I1004">
        <v>7024</v>
      </c>
      <c r="J1004">
        <v>186</v>
      </c>
      <c r="K1004">
        <v>187</v>
      </c>
      <c r="L1004" t="s">
        <v>8950</v>
      </c>
      <c r="M1004" t="s">
        <v>63</v>
      </c>
      <c r="N1004" t="s">
        <v>8951</v>
      </c>
      <c r="O1004" t="s">
        <v>63</v>
      </c>
      <c r="Q1004" t="s">
        <v>63</v>
      </c>
      <c r="R1004" t="s">
        <v>63</v>
      </c>
      <c r="S1004" t="s">
        <v>63</v>
      </c>
      <c r="T1004" t="s">
        <v>63</v>
      </c>
      <c r="X1004" t="s">
        <v>63</v>
      </c>
      <c r="Y1004" t="s">
        <v>2294</v>
      </c>
      <c r="Z1004" t="s">
        <v>63</v>
      </c>
      <c r="AA1004" t="s">
        <v>63</v>
      </c>
      <c r="AB1004">
        <v>8563569</v>
      </c>
      <c r="AC1004" t="s">
        <v>67</v>
      </c>
      <c r="AD1004" t="s">
        <v>63</v>
      </c>
      <c r="AE1004" t="s">
        <v>63</v>
      </c>
      <c r="AF1004" t="s">
        <v>63</v>
      </c>
      <c r="AG1004" t="s">
        <v>8952</v>
      </c>
      <c r="AH1004" t="s">
        <v>63</v>
      </c>
      <c r="AI1004" t="s">
        <v>63</v>
      </c>
      <c r="AJ1004" t="s">
        <v>63</v>
      </c>
      <c r="AK1004" t="s">
        <v>63</v>
      </c>
      <c r="AL1004" t="s">
        <v>63</v>
      </c>
      <c r="AM1004" t="s">
        <v>8953</v>
      </c>
      <c r="AN1004" t="s">
        <v>63</v>
      </c>
      <c r="AO1004" t="s">
        <v>63</v>
      </c>
      <c r="AP1004" t="s">
        <v>63</v>
      </c>
      <c r="AQ1004" t="s">
        <v>63</v>
      </c>
      <c r="AR1004" t="s">
        <v>63</v>
      </c>
      <c r="AS1004" t="s">
        <v>63</v>
      </c>
      <c r="AT1004" t="s">
        <v>63</v>
      </c>
      <c r="AU1004" t="s">
        <v>63</v>
      </c>
      <c r="AV1004" t="s">
        <v>63</v>
      </c>
      <c r="AW1004" t="s">
        <v>63</v>
      </c>
      <c r="AX1004" t="s">
        <v>63</v>
      </c>
      <c r="AY1004" t="s">
        <v>63</v>
      </c>
      <c r="AZ1004" t="s">
        <v>63</v>
      </c>
      <c r="BA1004" t="s">
        <v>63</v>
      </c>
      <c r="BB1004" t="s">
        <v>63</v>
      </c>
      <c r="BC1004" t="s">
        <v>63</v>
      </c>
      <c r="BD1004" t="s">
        <v>63</v>
      </c>
      <c r="BE1004" t="s">
        <v>63</v>
      </c>
      <c r="BF1004" t="s">
        <v>63</v>
      </c>
    </row>
    <row r="1005" spans="1:58">
      <c r="A1005" t="s">
        <v>58</v>
      </c>
      <c r="B1005" t="s">
        <v>8954</v>
      </c>
      <c r="C1005" t="s">
        <v>8955</v>
      </c>
      <c r="D1005" t="s">
        <v>8956</v>
      </c>
      <c r="E1005" t="s">
        <v>8957</v>
      </c>
      <c r="F1005">
        <v>2008</v>
      </c>
      <c r="G1005" t="s">
        <v>181</v>
      </c>
      <c r="H1005">
        <v>14</v>
      </c>
      <c r="I1005">
        <v>9</v>
      </c>
      <c r="J1005">
        <v>985</v>
      </c>
      <c r="K1005">
        <v>997</v>
      </c>
      <c r="L1005" t="s">
        <v>8958</v>
      </c>
      <c r="M1005" t="s">
        <v>8959</v>
      </c>
      <c r="N1005" t="s">
        <v>8960</v>
      </c>
      <c r="O1005" t="s">
        <v>63</v>
      </c>
      <c r="Q1005" t="s">
        <v>63</v>
      </c>
      <c r="R1005" t="s">
        <v>63</v>
      </c>
      <c r="S1005" t="s">
        <v>63</v>
      </c>
      <c r="T1005" t="s">
        <v>63</v>
      </c>
      <c r="X1005" t="s">
        <v>63</v>
      </c>
      <c r="Y1005" t="s">
        <v>8961</v>
      </c>
      <c r="Z1005" t="s">
        <v>63</v>
      </c>
      <c r="AA1005" t="s">
        <v>8962</v>
      </c>
      <c r="AB1005">
        <v>18703771</v>
      </c>
      <c r="AC1005" t="s">
        <v>67</v>
      </c>
      <c r="AD1005" t="s">
        <v>63</v>
      </c>
      <c r="AE1005" t="s">
        <v>63</v>
      </c>
      <c r="AF1005" t="s">
        <v>63</v>
      </c>
      <c r="AG1005" t="s">
        <v>8963</v>
      </c>
      <c r="AH1005" t="s">
        <v>63</v>
      </c>
      <c r="AI1005" t="s">
        <v>8964</v>
      </c>
      <c r="AJ1005" t="s">
        <v>63</v>
      </c>
      <c r="AK1005" t="s">
        <v>63</v>
      </c>
      <c r="AL1005" t="s">
        <v>63</v>
      </c>
      <c r="AM1005" t="s">
        <v>8965</v>
      </c>
      <c r="AN1005" t="s">
        <v>63</v>
      </c>
      <c r="AO1005" t="s">
        <v>63</v>
      </c>
      <c r="AP1005" t="s">
        <v>63</v>
      </c>
      <c r="AQ1005" t="s">
        <v>63</v>
      </c>
      <c r="AR1005" t="s">
        <v>63</v>
      </c>
      <c r="AS1005" t="s">
        <v>63</v>
      </c>
      <c r="AT1005" t="s">
        <v>63</v>
      </c>
      <c r="AU1005" t="s">
        <v>63</v>
      </c>
      <c r="AV1005" t="s">
        <v>63</v>
      </c>
      <c r="AW1005" t="s">
        <v>63</v>
      </c>
      <c r="AX1005" t="s">
        <v>63</v>
      </c>
      <c r="AY1005" t="s">
        <v>63</v>
      </c>
      <c r="AZ1005" t="s">
        <v>63</v>
      </c>
      <c r="BA1005" t="s">
        <v>63</v>
      </c>
      <c r="BB1005" t="s">
        <v>63</v>
      </c>
      <c r="BC1005" t="s">
        <v>63</v>
      </c>
      <c r="BD1005" t="s">
        <v>63</v>
      </c>
      <c r="BE1005" t="s">
        <v>63</v>
      </c>
      <c r="BF1005" t="s">
        <v>63</v>
      </c>
    </row>
    <row r="1006" spans="1:58">
      <c r="A1006" t="s">
        <v>58</v>
      </c>
      <c r="B1006" t="s">
        <v>8966</v>
      </c>
      <c r="C1006" t="s">
        <v>8967</v>
      </c>
      <c r="D1006" t="s">
        <v>8968</v>
      </c>
      <c r="E1006" t="s">
        <v>63</v>
      </c>
      <c r="F1006">
        <v>2016</v>
      </c>
      <c r="G1006" t="s">
        <v>189</v>
      </c>
      <c r="H1006">
        <v>28</v>
      </c>
      <c r="I1006">
        <v>2</v>
      </c>
      <c r="J1006">
        <v>85</v>
      </c>
      <c r="K1006">
        <v>94</v>
      </c>
      <c r="L1006" t="s">
        <v>8969</v>
      </c>
      <c r="M1006" t="s">
        <v>8970</v>
      </c>
      <c r="N1006" t="s">
        <v>8971</v>
      </c>
      <c r="O1006" t="s">
        <v>63</v>
      </c>
      <c r="Q1006" t="s">
        <v>63</v>
      </c>
      <c r="R1006" t="s">
        <v>63</v>
      </c>
      <c r="S1006" t="s">
        <v>63</v>
      </c>
      <c r="T1006" t="s">
        <v>63</v>
      </c>
      <c r="X1006" t="s">
        <v>63</v>
      </c>
      <c r="Y1006" t="s">
        <v>8972</v>
      </c>
      <c r="Z1006" t="s">
        <v>63</v>
      </c>
      <c r="AA1006" t="s">
        <v>8973</v>
      </c>
      <c r="AB1006">
        <v>27285389</v>
      </c>
      <c r="AC1006" t="s">
        <v>67</v>
      </c>
      <c r="AD1006" t="s">
        <v>63</v>
      </c>
      <c r="AE1006" t="s">
        <v>63</v>
      </c>
      <c r="AF1006" t="s">
        <v>63</v>
      </c>
      <c r="AG1006" t="s">
        <v>8974</v>
      </c>
      <c r="AH1006" t="s">
        <v>63</v>
      </c>
      <c r="AI1006" t="s">
        <v>63</v>
      </c>
      <c r="AJ1006" t="s">
        <v>63</v>
      </c>
      <c r="AK1006" t="s">
        <v>63</v>
      </c>
      <c r="AL1006" t="s">
        <v>63</v>
      </c>
      <c r="AM1006" t="s">
        <v>8975</v>
      </c>
      <c r="AN1006" t="s">
        <v>63</v>
      </c>
      <c r="AO1006" t="s">
        <v>63</v>
      </c>
      <c r="AP1006" t="s">
        <v>63</v>
      </c>
      <c r="AQ1006" t="s">
        <v>63</v>
      </c>
      <c r="AR1006" t="s">
        <v>63</v>
      </c>
      <c r="AS1006" t="s">
        <v>63</v>
      </c>
      <c r="AT1006" t="s">
        <v>63</v>
      </c>
      <c r="AU1006" t="s">
        <v>63</v>
      </c>
      <c r="AV1006" t="s">
        <v>63</v>
      </c>
      <c r="AW1006" t="s">
        <v>63</v>
      </c>
      <c r="AX1006" t="s">
        <v>63</v>
      </c>
      <c r="AY1006" t="s">
        <v>63</v>
      </c>
      <c r="AZ1006" t="s">
        <v>63</v>
      </c>
      <c r="BA1006" t="s">
        <v>63</v>
      </c>
      <c r="BB1006" t="s">
        <v>63</v>
      </c>
      <c r="BC1006" t="s">
        <v>63</v>
      </c>
      <c r="BD1006" t="s">
        <v>63</v>
      </c>
      <c r="BE1006" t="s">
        <v>63</v>
      </c>
      <c r="BF1006" t="s">
        <v>63</v>
      </c>
    </row>
    <row r="1007" spans="1:58">
      <c r="A1007" t="s">
        <v>58</v>
      </c>
      <c r="B1007" t="s">
        <v>8976</v>
      </c>
      <c r="C1007" t="s">
        <v>8977</v>
      </c>
      <c r="D1007" t="s">
        <v>1481</v>
      </c>
      <c r="E1007" t="s">
        <v>1481</v>
      </c>
      <c r="F1007">
        <v>2011</v>
      </c>
      <c r="G1007" t="s">
        <v>326</v>
      </c>
      <c r="H1007">
        <v>106</v>
      </c>
      <c r="I1007">
        <v>2</v>
      </c>
      <c r="J1007">
        <v>428</v>
      </c>
      <c r="K1007">
        <v>441</v>
      </c>
      <c r="L1007" t="s">
        <v>8978</v>
      </c>
      <c r="M1007" t="s">
        <v>8979</v>
      </c>
      <c r="N1007" t="s">
        <v>8980</v>
      </c>
      <c r="O1007" t="s">
        <v>63</v>
      </c>
      <c r="Q1007" t="s">
        <v>63</v>
      </c>
      <c r="R1007" t="s">
        <v>63</v>
      </c>
      <c r="S1007" t="s">
        <v>63</v>
      </c>
      <c r="T1007" t="s">
        <v>63</v>
      </c>
      <c r="X1007" t="s">
        <v>63</v>
      </c>
      <c r="Y1007" t="s">
        <v>1484</v>
      </c>
      <c r="Z1007" t="s">
        <v>63</v>
      </c>
      <c r="AA1007" t="s">
        <v>8981</v>
      </c>
      <c r="AB1007">
        <v>20925684</v>
      </c>
      <c r="AC1007" t="s">
        <v>67</v>
      </c>
      <c r="AD1007" t="s">
        <v>63</v>
      </c>
      <c r="AE1007" t="s">
        <v>63</v>
      </c>
      <c r="AF1007" t="s">
        <v>63</v>
      </c>
      <c r="AG1007" t="s">
        <v>8982</v>
      </c>
      <c r="AH1007" t="s">
        <v>63</v>
      </c>
      <c r="AI1007" t="s">
        <v>8983</v>
      </c>
      <c r="AJ1007" t="s">
        <v>63</v>
      </c>
      <c r="AK1007" t="s">
        <v>63</v>
      </c>
      <c r="AL1007" t="s">
        <v>63</v>
      </c>
      <c r="AM1007" t="s">
        <v>8984</v>
      </c>
      <c r="AN1007" t="s">
        <v>63</v>
      </c>
      <c r="AO1007" t="s">
        <v>63</v>
      </c>
      <c r="AP1007" t="s">
        <v>63</v>
      </c>
      <c r="AQ1007" t="s">
        <v>63</v>
      </c>
      <c r="AR1007" t="s">
        <v>63</v>
      </c>
      <c r="AS1007" t="s">
        <v>63</v>
      </c>
      <c r="AT1007" t="s">
        <v>63</v>
      </c>
      <c r="AU1007" t="s">
        <v>63</v>
      </c>
      <c r="AV1007" t="s">
        <v>63</v>
      </c>
      <c r="AW1007" t="s">
        <v>63</v>
      </c>
      <c r="AX1007" t="s">
        <v>63</v>
      </c>
      <c r="AY1007" t="s">
        <v>63</v>
      </c>
      <c r="AZ1007" t="s">
        <v>63</v>
      </c>
      <c r="BA1007" t="s">
        <v>63</v>
      </c>
      <c r="BB1007" t="s">
        <v>63</v>
      </c>
      <c r="BC1007" t="s">
        <v>63</v>
      </c>
      <c r="BD1007" t="s">
        <v>63</v>
      </c>
      <c r="BE1007" t="s">
        <v>63</v>
      </c>
      <c r="BF1007" t="s">
        <v>63</v>
      </c>
    </row>
    <row r="1008" spans="1:58">
      <c r="A1008" t="s">
        <v>58</v>
      </c>
      <c r="B1008" t="s">
        <v>8985</v>
      </c>
      <c r="C1008" t="s">
        <v>8986</v>
      </c>
      <c r="D1008" t="s">
        <v>8987</v>
      </c>
      <c r="E1008" t="s">
        <v>63</v>
      </c>
      <c r="F1008">
        <v>2015</v>
      </c>
      <c r="G1008" s="1">
        <v>41910</v>
      </c>
      <c r="H1008">
        <v>10</v>
      </c>
      <c r="I1008" t="s">
        <v>63</v>
      </c>
      <c r="J1008">
        <v>138</v>
      </c>
      <c r="K1008" t="s">
        <v>63</v>
      </c>
      <c r="L1008" t="s">
        <v>8988</v>
      </c>
      <c r="M1008" t="s">
        <v>8989</v>
      </c>
      <c r="N1008" t="s">
        <v>8990</v>
      </c>
      <c r="O1008" t="s">
        <v>63</v>
      </c>
      <c r="Q1008" t="s">
        <v>63</v>
      </c>
      <c r="R1008" t="s">
        <v>63</v>
      </c>
      <c r="S1008" t="s">
        <v>63</v>
      </c>
      <c r="T1008" t="s">
        <v>63</v>
      </c>
      <c r="X1008" t="s">
        <v>63</v>
      </c>
      <c r="Y1008" t="s">
        <v>8991</v>
      </c>
      <c r="Z1008" t="s">
        <v>63</v>
      </c>
      <c r="AA1008" t="s">
        <v>8992</v>
      </c>
      <c r="AB1008">
        <v>26420671</v>
      </c>
      <c r="AC1008" t="s">
        <v>67</v>
      </c>
      <c r="AD1008" t="s">
        <v>63</v>
      </c>
      <c r="AE1008" t="s">
        <v>63</v>
      </c>
      <c r="AF1008" t="s">
        <v>63</v>
      </c>
      <c r="AG1008" t="s">
        <v>8993</v>
      </c>
      <c r="AH1008" t="s">
        <v>63</v>
      </c>
      <c r="AI1008" t="s">
        <v>8994</v>
      </c>
      <c r="AJ1008" t="s">
        <v>63</v>
      </c>
      <c r="AK1008" t="s">
        <v>63</v>
      </c>
      <c r="AL1008" t="s">
        <v>63</v>
      </c>
      <c r="AM1008" t="s">
        <v>8995</v>
      </c>
      <c r="AN1008" t="s">
        <v>63</v>
      </c>
      <c r="AO1008" t="s">
        <v>63</v>
      </c>
      <c r="AP1008" t="s">
        <v>63</v>
      </c>
      <c r="AQ1008" t="s">
        <v>63</v>
      </c>
      <c r="AR1008" t="s">
        <v>63</v>
      </c>
      <c r="AS1008" t="s">
        <v>63</v>
      </c>
      <c r="AT1008" t="s">
        <v>63</v>
      </c>
      <c r="AU1008" t="s">
        <v>63</v>
      </c>
      <c r="AV1008" t="s">
        <v>63</v>
      </c>
      <c r="AW1008" t="s">
        <v>63</v>
      </c>
      <c r="AX1008" t="s">
        <v>63</v>
      </c>
      <c r="AY1008" t="s">
        <v>63</v>
      </c>
      <c r="AZ1008" t="s">
        <v>63</v>
      </c>
      <c r="BA1008" t="s">
        <v>63</v>
      </c>
      <c r="BB1008" t="s">
        <v>63</v>
      </c>
      <c r="BC1008" t="s">
        <v>63</v>
      </c>
      <c r="BD1008" t="s">
        <v>63</v>
      </c>
      <c r="BE1008" t="s">
        <v>63</v>
      </c>
      <c r="BF1008" t="s">
        <v>63</v>
      </c>
    </row>
    <row r="1009" spans="1:58">
      <c r="A1009" t="s">
        <v>58</v>
      </c>
      <c r="B1009" t="s">
        <v>8996</v>
      </c>
      <c r="C1009" t="s">
        <v>8997</v>
      </c>
      <c r="D1009" t="s">
        <v>8998</v>
      </c>
      <c r="E1009" t="s">
        <v>63</v>
      </c>
      <c r="F1009">
        <v>2014</v>
      </c>
      <c r="G1009" t="s">
        <v>147</v>
      </c>
      <c r="H1009">
        <v>40</v>
      </c>
      <c r="I1009">
        <v>2</v>
      </c>
      <c r="J1009">
        <v>102</v>
      </c>
      <c r="K1009">
        <v>110</v>
      </c>
      <c r="L1009" t="s">
        <v>8999</v>
      </c>
      <c r="M1009" t="s">
        <v>9000</v>
      </c>
      <c r="N1009" t="s">
        <v>9001</v>
      </c>
      <c r="O1009" t="s">
        <v>63</v>
      </c>
      <c r="Q1009" t="s">
        <v>63</v>
      </c>
      <c r="R1009" t="s">
        <v>63</v>
      </c>
      <c r="S1009" t="s">
        <v>63</v>
      </c>
      <c r="T1009" t="s">
        <v>63</v>
      </c>
      <c r="X1009" t="s">
        <v>63</v>
      </c>
      <c r="Y1009" t="s">
        <v>9002</v>
      </c>
      <c r="Z1009" t="s">
        <v>63</v>
      </c>
      <c r="AA1009" t="s">
        <v>9003</v>
      </c>
      <c r="AB1009">
        <v>24831393</v>
      </c>
      <c r="AC1009" t="s">
        <v>9004</v>
      </c>
      <c r="AD1009" t="s">
        <v>63</v>
      </c>
      <c r="AE1009" t="s">
        <v>63</v>
      </c>
      <c r="AF1009" t="s">
        <v>63</v>
      </c>
      <c r="AG1009" t="s">
        <v>9005</v>
      </c>
      <c r="AH1009" t="s">
        <v>63</v>
      </c>
      <c r="AI1009" t="s">
        <v>63</v>
      </c>
      <c r="AJ1009" t="s">
        <v>63</v>
      </c>
      <c r="AK1009" t="s">
        <v>63</v>
      </c>
      <c r="AL1009" t="s">
        <v>63</v>
      </c>
      <c r="AM1009" t="s">
        <v>9006</v>
      </c>
      <c r="AN1009" t="s">
        <v>63</v>
      </c>
      <c r="AO1009" t="s">
        <v>63</v>
      </c>
      <c r="AP1009" t="s">
        <v>63</v>
      </c>
      <c r="AQ1009" t="s">
        <v>63</v>
      </c>
      <c r="AR1009" t="s">
        <v>63</v>
      </c>
      <c r="AS1009" t="s">
        <v>63</v>
      </c>
      <c r="AT1009" t="s">
        <v>63</v>
      </c>
      <c r="AU1009" t="s">
        <v>63</v>
      </c>
      <c r="AV1009" t="s">
        <v>63</v>
      </c>
      <c r="AW1009" t="s">
        <v>63</v>
      </c>
      <c r="AX1009" t="s">
        <v>63</v>
      </c>
      <c r="AY1009" t="s">
        <v>63</v>
      </c>
      <c r="AZ1009" t="s">
        <v>63</v>
      </c>
      <c r="BA1009" t="s">
        <v>63</v>
      </c>
      <c r="BB1009" t="s">
        <v>63</v>
      </c>
      <c r="BC1009" t="s">
        <v>63</v>
      </c>
      <c r="BD1009" t="s">
        <v>63</v>
      </c>
      <c r="BE1009" t="s">
        <v>63</v>
      </c>
      <c r="BF1009" t="s">
        <v>63</v>
      </c>
    </row>
    <row r="1010" spans="1:58">
      <c r="A1010" t="s">
        <v>58</v>
      </c>
      <c r="B1010" t="s">
        <v>9007</v>
      </c>
      <c r="C1010" t="s">
        <v>9008</v>
      </c>
      <c r="D1010" t="s">
        <v>8998</v>
      </c>
      <c r="E1010" t="s">
        <v>63</v>
      </c>
      <c r="F1010">
        <v>2017</v>
      </c>
      <c r="G1010" t="s">
        <v>1114</v>
      </c>
      <c r="H1010">
        <v>43</v>
      </c>
      <c r="I1010">
        <v>3</v>
      </c>
      <c r="J1010">
        <v>202</v>
      </c>
      <c r="K1010">
        <v>207</v>
      </c>
      <c r="L1010" t="s">
        <v>9009</v>
      </c>
      <c r="M1010" t="s">
        <v>9010</v>
      </c>
      <c r="N1010" t="s">
        <v>9011</v>
      </c>
      <c r="O1010" t="s">
        <v>63</v>
      </c>
      <c r="Q1010" t="s">
        <v>63</v>
      </c>
      <c r="R1010" t="s">
        <v>63</v>
      </c>
      <c r="S1010" t="s">
        <v>63</v>
      </c>
      <c r="T1010" t="s">
        <v>63</v>
      </c>
      <c r="X1010" t="s">
        <v>63</v>
      </c>
      <c r="Y1010" t="s">
        <v>9002</v>
      </c>
      <c r="Z1010" t="s">
        <v>63</v>
      </c>
      <c r="AA1010" t="s">
        <v>63</v>
      </c>
      <c r="AB1010">
        <v>28746531</v>
      </c>
      <c r="AC1010" t="s">
        <v>9004</v>
      </c>
      <c r="AD1010" t="s">
        <v>63</v>
      </c>
      <c r="AE1010" t="s">
        <v>63</v>
      </c>
      <c r="AF1010" t="s">
        <v>63</v>
      </c>
      <c r="AG1010" t="s">
        <v>9012</v>
      </c>
      <c r="AH1010" t="s">
        <v>63</v>
      </c>
      <c r="AI1010" t="s">
        <v>9013</v>
      </c>
      <c r="AJ1010" t="s">
        <v>63</v>
      </c>
      <c r="AK1010" t="s">
        <v>63</v>
      </c>
      <c r="AL1010" t="s">
        <v>63</v>
      </c>
      <c r="AM1010" t="s">
        <v>9014</v>
      </c>
      <c r="AN1010" t="s">
        <v>63</v>
      </c>
      <c r="AO1010" t="s">
        <v>63</v>
      </c>
      <c r="AP1010" t="s">
        <v>63</v>
      </c>
      <c r="AQ1010" t="s">
        <v>63</v>
      </c>
      <c r="AR1010" t="s">
        <v>63</v>
      </c>
      <c r="AS1010" t="s">
        <v>63</v>
      </c>
      <c r="AT1010" t="s">
        <v>63</v>
      </c>
      <c r="AU1010" t="s">
        <v>63</v>
      </c>
      <c r="AV1010" t="s">
        <v>63</v>
      </c>
      <c r="AW1010" t="s">
        <v>63</v>
      </c>
      <c r="AX1010" t="s">
        <v>63</v>
      </c>
      <c r="AY1010" t="s">
        <v>63</v>
      </c>
      <c r="AZ1010" t="s">
        <v>63</v>
      </c>
      <c r="BA1010" t="s">
        <v>63</v>
      </c>
      <c r="BB1010" t="s">
        <v>63</v>
      </c>
      <c r="BC1010" t="s">
        <v>63</v>
      </c>
      <c r="BD1010" t="s">
        <v>63</v>
      </c>
      <c r="BE1010" t="s">
        <v>63</v>
      </c>
      <c r="BF1010" t="s">
        <v>63</v>
      </c>
    </row>
    <row r="1011" spans="1:58">
      <c r="A1011" t="s">
        <v>58</v>
      </c>
      <c r="B1011" t="s">
        <v>9015</v>
      </c>
      <c r="C1011" t="s">
        <v>9016</v>
      </c>
      <c r="D1011" t="s">
        <v>970</v>
      </c>
      <c r="E1011" t="s">
        <v>63</v>
      </c>
      <c r="F1011">
        <v>2017</v>
      </c>
      <c r="G1011" t="s">
        <v>63</v>
      </c>
      <c r="H1011">
        <v>12</v>
      </c>
      <c r="I1011">
        <v>8</v>
      </c>
      <c r="J1011" t="s">
        <v>9017</v>
      </c>
      <c r="K1011" t="s">
        <v>63</v>
      </c>
      <c r="L1011" t="s">
        <v>9018</v>
      </c>
      <c r="M1011" t="s">
        <v>9019</v>
      </c>
      <c r="N1011" t="s">
        <v>9020</v>
      </c>
      <c r="O1011" t="s">
        <v>63</v>
      </c>
      <c r="Q1011" t="s">
        <v>63</v>
      </c>
      <c r="R1011" t="s">
        <v>63</v>
      </c>
      <c r="S1011" t="s">
        <v>63</v>
      </c>
      <c r="T1011" t="s">
        <v>63</v>
      </c>
      <c r="X1011" t="s">
        <v>63</v>
      </c>
      <c r="Y1011" t="s">
        <v>975</v>
      </c>
      <c r="Z1011" t="s">
        <v>63</v>
      </c>
      <c r="AA1011" t="s">
        <v>9021</v>
      </c>
      <c r="AB1011">
        <v>28777828</v>
      </c>
      <c r="AC1011" t="s">
        <v>67</v>
      </c>
      <c r="AD1011" t="s">
        <v>63</v>
      </c>
      <c r="AE1011" t="s">
        <v>63</v>
      </c>
      <c r="AF1011" t="s">
        <v>63</v>
      </c>
      <c r="AG1011" t="s">
        <v>9022</v>
      </c>
      <c r="AH1011" t="s">
        <v>63</v>
      </c>
      <c r="AI1011" t="s">
        <v>9023</v>
      </c>
      <c r="AJ1011" t="s">
        <v>63</v>
      </c>
      <c r="AK1011" t="s">
        <v>63</v>
      </c>
      <c r="AL1011" t="s">
        <v>63</v>
      </c>
      <c r="AM1011" t="s">
        <v>9024</v>
      </c>
      <c r="AN1011" t="s">
        <v>63</v>
      </c>
      <c r="AO1011" t="s">
        <v>63</v>
      </c>
      <c r="AP1011" t="s">
        <v>63</v>
      </c>
      <c r="AQ1011" t="s">
        <v>63</v>
      </c>
      <c r="AR1011" t="s">
        <v>63</v>
      </c>
      <c r="AS1011" t="s">
        <v>63</v>
      </c>
      <c r="AT1011" t="s">
        <v>63</v>
      </c>
      <c r="AU1011" t="s">
        <v>63</v>
      </c>
      <c r="AV1011" t="s">
        <v>63</v>
      </c>
      <c r="AW1011" t="s">
        <v>63</v>
      </c>
      <c r="AX1011" t="s">
        <v>63</v>
      </c>
      <c r="AY1011" t="s">
        <v>63</v>
      </c>
      <c r="AZ1011" t="s">
        <v>63</v>
      </c>
      <c r="BA1011" t="s">
        <v>63</v>
      </c>
      <c r="BB1011" t="s">
        <v>63</v>
      </c>
      <c r="BC1011" t="s">
        <v>63</v>
      </c>
      <c r="BD1011" t="s">
        <v>63</v>
      </c>
      <c r="BE1011" t="s">
        <v>63</v>
      </c>
      <c r="BF1011" t="s">
        <v>63</v>
      </c>
    </row>
    <row r="1012" spans="1:58">
      <c r="A1012" t="s">
        <v>58</v>
      </c>
      <c r="B1012" t="s">
        <v>9025</v>
      </c>
      <c r="C1012" t="s">
        <v>9026</v>
      </c>
      <c r="D1012" t="s">
        <v>9027</v>
      </c>
      <c r="E1012" t="s">
        <v>63</v>
      </c>
      <c r="F1012">
        <v>2018</v>
      </c>
      <c r="G1012" t="s">
        <v>274</v>
      </c>
      <c r="H1012">
        <v>19</v>
      </c>
      <c r="I1012">
        <v>2</v>
      </c>
      <c r="J1012">
        <v>165</v>
      </c>
      <c r="K1012">
        <v>175</v>
      </c>
      <c r="L1012" t="s">
        <v>63</v>
      </c>
      <c r="M1012" t="s">
        <v>9028</v>
      </c>
      <c r="N1012" t="s">
        <v>9029</v>
      </c>
      <c r="O1012" t="s">
        <v>63</v>
      </c>
      <c r="Q1012" t="s">
        <v>63</v>
      </c>
      <c r="R1012" t="s">
        <v>63</v>
      </c>
      <c r="S1012" t="s">
        <v>63</v>
      </c>
      <c r="T1012" t="s">
        <v>63</v>
      </c>
      <c r="X1012" t="s">
        <v>63</v>
      </c>
      <c r="Y1012" t="s">
        <v>9030</v>
      </c>
      <c r="Z1012" t="s">
        <v>63</v>
      </c>
      <c r="AA1012" t="s">
        <v>9031</v>
      </c>
      <c r="AB1012">
        <v>28988545</v>
      </c>
      <c r="AC1012" t="s">
        <v>67</v>
      </c>
      <c r="AD1012" t="s">
        <v>63</v>
      </c>
      <c r="AE1012" t="s">
        <v>63</v>
      </c>
      <c r="AF1012" t="s">
        <v>63</v>
      </c>
      <c r="AG1012" t="s">
        <v>9032</v>
      </c>
      <c r="AH1012" t="s">
        <v>63</v>
      </c>
      <c r="AI1012" t="s">
        <v>9033</v>
      </c>
      <c r="AJ1012" t="s">
        <v>63</v>
      </c>
      <c r="AK1012" t="s">
        <v>63</v>
      </c>
      <c r="AL1012" t="s">
        <v>63</v>
      </c>
      <c r="AM1012" t="s">
        <v>9034</v>
      </c>
      <c r="AN1012" t="s">
        <v>63</v>
      </c>
      <c r="AO1012" t="s">
        <v>63</v>
      </c>
      <c r="AP1012" t="s">
        <v>63</v>
      </c>
      <c r="AQ1012" t="s">
        <v>63</v>
      </c>
      <c r="AR1012" t="s">
        <v>63</v>
      </c>
      <c r="AS1012" t="s">
        <v>63</v>
      </c>
      <c r="AT1012" t="s">
        <v>63</v>
      </c>
      <c r="AU1012" t="s">
        <v>63</v>
      </c>
      <c r="AV1012" t="s">
        <v>63</v>
      </c>
      <c r="AW1012" t="s">
        <v>63</v>
      </c>
      <c r="AX1012" t="s">
        <v>63</v>
      </c>
      <c r="AY1012" t="s">
        <v>63</v>
      </c>
      <c r="AZ1012" t="s">
        <v>63</v>
      </c>
      <c r="BA1012" t="s">
        <v>63</v>
      </c>
      <c r="BB1012" t="s">
        <v>63</v>
      </c>
      <c r="BC1012" t="s">
        <v>63</v>
      </c>
      <c r="BD1012" t="s">
        <v>63</v>
      </c>
      <c r="BE1012" t="s">
        <v>63</v>
      </c>
      <c r="BF1012" t="s">
        <v>63</v>
      </c>
    </row>
    <row r="1013" spans="1:58">
      <c r="A1013" t="s">
        <v>58</v>
      </c>
      <c r="B1013" t="s">
        <v>9035</v>
      </c>
      <c r="C1013" t="s">
        <v>9036</v>
      </c>
      <c r="D1013" t="s">
        <v>205</v>
      </c>
      <c r="E1013" t="s">
        <v>205</v>
      </c>
      <c r="F1013">
        <v>1990</v>
      </c>
      <c r="G1013" s="1">
        <v>41977</v>
      </c>
      <c r="H1013">
        <v>264</v>
      </c>
      <c r="I1013">
        <v>21</v>
      </c>
      <c r="J1013">
        <v>2741</v>
      </c>
      <c r="K1013">
        <v>2742</v>
      </c>
      <c r="L1013" t="s">
        <v>9037</v>
      </c>
      <c r="M1013" t="s">
        <v>63</v>
      </c>
      <c r="N1013" t="s">
        <v>9038</v>
      </c>
      <c r="O1013" t="s">
        <v>63</v>
      </c>
      <c r="Q1013" t="s">
        <v>63</v>
      </c>
      <c r="R1013" t="s">
        <v>63</v>
      </c>
      <c r="S1013" t="s">
        <v>63</v>
      </c>
      <c r="T1013" t="s">
        <v>63</v>
      </c>
      <c r="X1013" t="s">
        <v>63</v>
      </c>
      <c r="Y1013" t="s">
        <v>208</v>
      </c>
      <c r="Z1013" t="s">
        <v>63</v>
      </c>
      <c r="AA1013" t="s">
        <v>63</v>
      </c>
      <c r="AB1013">
        <v>2232058</v>
      </c>
      <c r="AC1013" t="s">
        <v>67</v>
      </c>
      <c r="AD1013" t="s">
        <v>63</v>
      </c>
      <c r="AE1013" t="s">
        <v>63</v>
      </c>
      <c r="AF1013" t="s">
        <v>63</v>
      </c>
      <c r="AG1013" t="s">
        <v>9039</v>
      </c>
      <c r="AH1013" t="s">
        <v>63</v>
      </c>
      <c r="AI1013" t="s">
        <v>63</v>
      </c>
      <c r="AJ1013" t="s">
        <v>63</v>
      </c>
      <c r="AK1013" t="s">
        <v>63</v>
      </c>
      <c r="AL1013" t="s">
        <v>63</v>
      </c>
      <c r="AM1013" t="s">
        <v>9040</v>
      </c>
      <c r="AN1013" t="s">
        <v>63</v>
      </c>
      <c r="AO1013" t="s">
        <v>63</v>
      </c>
      <c r="AP1013" t="s">
        <v>63</v>
      </c>
      <c r="AQ1013" t="s">
        <v>63</v>
      </c>
      <c r="AR1013" t="s">
        <v>63</v>
      </c>
      <c r="AS1013" t="s">
        <v>63</v>
      </c>
      <c r="AT1013" t="s">
        <v>63</v>
      </c>
      <c r="AU1013" t="s">
        <v>63</v>
      </c>
      <c r="AV1013" t="s">
        <v>63</v>
      </c>
      <c r="AW1013" t="s">
        <v>63</v>
      </c>
      <c r="AX1013" t="s">
        <v>63</v>
      </c>
      <c r="AY1013" t="s">
        <v>63</v>
      </c>
      <c r="AZ1013" t="s">
        <v>63</v>
      </c>
      <c r="BA1013" t="s">
        <v>63</v>
      </c>
      <c r="BB1013" t="s">
        <v>63</v>
      </c>
      <c r="BC1013" t="s">
        <v>63</v>
      </c>
      <c r="BD1013" t="s">
        <v>63</v>
      </c>
      <c r="BE1013" t="s">
        <v>63</v>
      </c>
      <c r="BF1013" t="s">
        <v>63</v>
      </c>
    </row>
    <row r="1014" spans="1:58">
      <c r="A1014" t="s">
        <v>58</v>
      </c>
      <c r="B1014" t="s">
        <v>9041</v>
      </c>
      <c r="C1014" t="s">
        <v>9042</v>
      </c>
      <c r="D1014" t="s">
        <v>1417</v>
      </c>
      <c r="E1014" t="s">
        <v>63</v>
      </c>
      <c r="F1014">
        <v>2006</v>
      </c>
      <c r="G1014" t="s">
        <v>614</v>
      </c>
      <c r="H1014">
        <v>103</v>
      </c>
      <c r="I1014">
        <v>2</v>
      </c>
      <c r="J1014">
        <v>513</v>
      </c>
      <c r="K1014" t="s">
        <v>9043</v>
      </c>
      <c r="L1014" t="s">
        <v>9044</v>
      </c>
      <c r="M1014" t="s">
        <v>63</v>
      </c>
      <c r="N1014" t="s">
        <v>9045</v>
      </c>
      <c r="O1014" t="s">
        <v>63</v>
      </c>
      <c r="Q1014" t="s">
        <v>63</v>
      </c>
      <c r="R1014" t="s">
        <v>63</v>
      </c>
      <c r="S1014" t="s">
        <v>63</v>
      </c>
      <c r="T1014" t="s">
        <v>63</v>
      </c>
      <c r="X1014" t="s">
        <v>63</v>
      </c>
      <c r="Y1014" t="s">
        <v>1420</v>
      </c>
      <c r="Z1014" t="s">
        <v>63</v>
      </c>
      <c r="AA1014" t="s">
        <v>63</v>
      </c>
      <c r="AB1014">
        <v>16861473</v>
      </c>
      <c r="AC1014" t="s">
        <v>67</v>
      </c>
      <c r="AD1014" t="s">
        <v>63</v>
      </c>
      <c r="AE1014" t="s">
        <v>63</v>
      </c>
      <c r="AF1014" t="s">
        <v>63</v>
      </c>
      <c r="AG1014" t="s">
        <v>9046</v>
      </c>
      <c r="AH1014" t="s">
        <v>63</v>
      </c>
      <c r="AI1014" t="s">
        <v>63</v>
      </c>
      <c r="AJ1014" t="s">
        <v>63</v>
      </c>
      <c r="AK1014" t="s">
        <v>63</v>
      </c>
      <c r="AL1014" t="s">
        <v>63</v>
      </c>
      <c r="AM1014" t="s">
        <v>9047</v>
      </c>
      <c r="AN1014" t="s">
        <v>63</v>
      </c>
      <c r="AO1014" t="s">
        <v>63</v>
      </c>
      <c r="AP1014" t="s">
        <v>63</v>
      </c>
      <c r="AQ1014" t="s">
        <v>63</v>
      </c>
      <c r="AR1014" t="s">
        <v>63</v>
      </c>
      <c r="AS1014" t="s">
        <v>63</v>
      </c>
      <c r="AT1014" t="s">
        <v>63</v>
      </c>
      <c r="AU1014" t="s">
        <v>63</v>
      </c>
      <c r="AV1014" t="s">
        <v>63</v>
      </c>
      <c r="AW1014" t="s">
        <v>63</v>
      </c>
      <c r="AX1014" t="s">
        <v>63</v>
      </c>
      <c r="AY1014" t="s">
        <v>63</v>
      </c>
      <c r="AZ1014" t="s">
        <v>63</v>
      </c>
      <c r="BA1014" t="s">
        <v>63</v>
      </c>
      <c r="BB1014" t="s">
        <v>63</v>
      </c>
      <c r="BC1014" t="s">
        <v>63</v>
      </c>
      <c r="BD1014" t="s">
        <v>63</v>
      </c>
      <c r="BE1014" t="s">
        <v>63</v>
      </c>
      <c r="BF1014" t="s">
        <v>63</v>
      </c>
    </row>
    <row r="1015" spans="1:58">
      <c r="A1015" t="s">
        <v>58</v>
      </c>
      <c r="B1015" t="s">
        <v>9048</v>
      </c>
      <c r="C1015" t="s">
        <v>9049</v>
      </c>
      <c r="D1015" t="s">
        <v>763</v>
      </c>
      <c r="E1015" t="s">
        <v>63</v>
      </c>
      <c r="F1015">
        <v>2002</v>
      </c>
      <c r="G1015" t="s">
        <v>189</v>
      </c>
      <c r="H1015">
        <v>77</v>
      </c>
      <c r="I1015">
        <v>5</v>
      </c>
      <c r="J1015">
        <v>419</v>
      </c>
      <c r="K1015">
        <v>426</v>
      </c>
      <c r="L1015" t="s">
        <v>9050</v>
      </c>
      <c r="M1015" t="s">
        <v>9051</v>
      </c>
      <c r="N1015" t="s">
        <v>9052</v>
      </c>
      <c r="O1015" t="s">
        <v>63</v>
      </c>
      <c r="Q1015" t="s">
        <v>63</v>
      </c>
      <c r="R1015" t="s">
        <v>63</v>
      </c>
      <c r="S1015" t="s">
        <v>63</v>
      </c>
      <c r="T1015" t="s">
        <v>63</v>
      </c>
      <c r="X1015" t="s">
        <v>63</v>
      </c>
      <c r="Y1015" t="s">
        <v>858</v>
      </c>
      <c r="Z1015" t="s">
        <v>63</v>
      </c>
      <c r="AA1015" t="s">
        <v>9053</v>
      </c>
      <c r="AB1015">
        <v>12010703</v>
      </c>
      <c r="AC1015" t="s">
        <v>67</v>
      </c>
      <c r="AD1015" t="s">
        <v>63</v>
      </c>
      <c r="AE1015" t="s">
        <v>63</v>
      </c>
      <c r="AF1015" t="s">
        <v>63</v>
      </c>
      <c r="AG1015" t="s">
        <v>9054</v>
      </c>
      <c r="AH1015" t="s">
        <v>63</v>
      </c>
      <c r="AI1015" t="s">
        <v>63</v>
      </c>
      <c r="AJ1015" t="s">
        <v>63</v>
      </c>
      <c r="AK1015" t="s">
        <v>63</v>
      </c>
      <c r="AL1015" t="s">
        <v>63</v>
      </c>
      <c r="AM1015" t="s">
        <v>9055</v>
      </c>
      <c r="AN1015" t="s">
        <v>63</v>
      </c>
      <c r="AO1015" t="s">
        <v>63</v>
      </c>
      <c r="AP1015" t="s">
        <v>63</v>
      </c>
      <c r="AQ1015" t="s">
        <v>63</v>
      </c>
      <c r="AR1015" t="s">
        <v>63</v>
      </c>
      <c r="AS1015" t="s">
        <v>63</v>
      </c>
      <c r="AT1015" t="s">
        <v>63</v>
      </c>
      <c r="AU1015" t="s">
        <v>63</v>
      </c>
      <c r="AV1015" t="s">
        <v>63</v>
      </c>
      <c r="AW1015" t="s">
        <v>63</v>
      </c>
      <c r="AX1015" t="s">
        <v>63</v>
      </c>
      <c r="AY1015" t="s">
        <v>63</v>
      </c>
      <c r="AZ1015" t="s">
        <v>63</v>
      </c>
      <c r="BA1015" t="s">
        <v>63</v>
      </c>
      <c r="BB1015" t="s">
        <v>63</v>
      </c>
      <c r="BC1015" t="s">
        <v>63</v>
      </c>
      <c r="BD1015" t="s">
        <v>63</v>
      </c>
      <c r="BE1015" t="s">
        <v>63</v>
      </c>
      <c r="BF1015" t="s">
        <v>63</v>
      </c>
    </row>
    <row r="1016" spans="1:58">
      <c r="A1016" t="s">
        <v>58</v>
      </c>
      <c r="B1016" t="s">
        <v>9056</v>
      </c>
      <c r="C1016" t="s">
        <v>9057</v>
      </c>
      <c r="D1016" t="s">
        <v>9058</v>
      </c>
      <c r="E1016" t="s">
        <v>63</v>
      </c>
      <c r="F1016">
        <v>2014</v>
      </c>
      <c r="G1016" t="s">
        <v>63</v>
      </c>
      <c r="H1016">
        <v>10</v>
      </c>
      <c r="I1016">
        <v>3</v>
      </c>
      <c r="J1016">
        <v>130</v>
      </c>
      <c r="K1016">
        <v>138</v>
      </c>
      <c r="L1016" t="s">
        <v>9059</v>
      </c>
      <c r="M1016" t="s">
        <v>9060</v>
      </c>
      <c r="N1016" t="s">
        <v>9061</v>
      </c>
      <c r="O1016" t="s">
        <v>63</v>
      </c>
      <c r="Q1016" t="s">
        <v>63</v>
      </c>
      <c r="R1016" t="s">
        <v>63</v>
      </c>
      <c r="S1016" t="s">
        <v>63</v>
      </c>
      <c r="T1016" t="s">
        <v>63</v>
      </c>
      <c r="X1016" t="s">
        <v>63</v>
      </c>
      <c r="Y1016" t="s">
        <v>9062</v>
      </c>
      <c r="Z1016" t="s">
        <v>63</v>
      </c>
      <c r="AA1016" t="s">
        <v>9063</v>
      </c>
      <c r="AB1016">
        <v>25392286</v>
      </c>
      <c r="AC1016" t="s">
        <v>67</v>
      </c>
      <c r="AD1016" t="s">
        <v>63</v>
      </c>
      <c r="AE1016" t="s">
        <v>63</v>
      </c>
      <c r="AF1016" t="s">
        <v>63</v>
      </c>
      <c r="AG1016" t="s">
        <v>9064</v>
      </c>
      <c r="AH1016" t="s">
        <v>63</v>
      </c>
      <c r="AI1016" t="s">
        <v>9065</v>
      </c>
      <c r="AJ1016" t="s">
        <v>63</v>
      </c>
      <c r="AK1016" t="s">
        <v>63</v>
      </c>
      <c r="AL1016" t="s">
        <v>63</v>
      </c>
      <c r="AM1016" t="s">
        <v>9066</v>
      </c>
      <c r="AN1016" t="s">
        <v>63</v>
      </c>
      <c r="AO1016" t="s">
        <v>63</v>
      </c>
      <c r="AP1016" t="s">
        <v>63</v>
      </c>
      <c r="AQ1016" t="s">
        <v>63</v>
      </c>
      <c r="AR1016" t="s">
        <v>63</v>
      </c>
      <c r="AS1016" t="s">
        <v>63</v>
      </c>
      <c r="AT1016" t="s">
        <v>63</v>
      </c>
      <c r="AU1016" t="s">
        <v>63</v>
      </c>
      <c r="AV1016" t="s">
        <v>63</v>
      </c>
      <c r="AW1016" t="s">
        <v>63</v>
      </c>
      <c r="AX1016" t="s">
        <v>63</v>
      </c>
      <c r="AY1016" t="s">
        <v>63</v>
      </c>
      <c r="AZ1016" t="s">
        <v>63</v>
      </c>
      <c r="BA1016" t="s">
        <v>63</v>
      </c>
      <c r="BB1016" t="s">
        <v>63</v>
      </c>
      <c r="BC1016" t="s">
        <v>63</v>
      </c>
      <c r="BD1016" t="s">
        <v>63</v>
      </c>
      <c r="BE1016" t="s">
        <v>63</v>
      </c>
      <c r="BF1016" t="s">
        <v>63</v>
      </c>
    </row>
    <row r="1017" spans="1:58">
      <c r="A1017" t="s">
        <v>58</v>
      </c>
      <c r="B1017" t="s">
        <v>9067</v>
      </c>
      <c r="C1017" t="s">
        <v>9068</v>
      </c>
      <c r="D1017" t="s">
        <v>9069</v>
      </c>
      <c r="E1017" t="s">
        <v>63</v>
      </c>
      <c r="F1017">
        <v>2015</v>
      </c>
      <c r="G1017" t="s">
        <v>189</v>
      </c>
      <c r="H1017">
        <v>22</v>
      </c>
      <c r="I1017">
        <v>10</v>
      </c>
      <c r="J1017">
        <v>44</v>
      </c>
      <c r="K1017" t="s">
        <v>63</v>
      </c>
      <c r="L1017" t="s">
        <v>9070</v>
      </c>
      <c r="M1017" t="s">
        <v>63</v>
      </c>
      <c r="N1017" t="s">
        <v>9071</v>
      </c>
      <c r="O1017" t="s">
        <v>63</v>
      </c>
      <c r="Q1017" t="s">
        <v>63</v>
      </c>
      <c r="R1017" t="s">
        <v>63</v>
      </c>
      <c r="S1017" t="s">
        <v>63</v>
      </c>
      <c r="T1017" t="s">
        <v>63</v>
      </c>
      <c r="X1017" t="s">
        <v>63</v>
      </c>
      <c r="Y1017" t="s">
        <v>9072</v>
      </c>
      <c r="Z1017" t="s">
        <v>63</v>
      </c>
      <c r="AA1017" t="s">
        <v>63</v>
      </c>
      <c r="AB1017">
        <v>26255415</v>
      </c>
      <c r="AC1017" t="s">
        <v>67</v>
      </c>
      <c r="AD1017" t="s">
        <v>63</v>
      </c>
      <c r="AE1017" t="s">
        <v>63</v>
      </c>
      <c r="AF1017" t="s">
        <v>63</v>
      </c>
      <c r="AG1017" t="s">
        <v>9073</v>
      </c>
      <c r="AH1017" t="s">
        <v>63</v>
      </c>
      <c r="AI1017" t="s">
        <v>63</v>
      </c>
      <c r="AJ1017" t="s">
        <v>63</v>
      </c>
      <c r="AK1017" t="s">
        <v>63</v>
      </c>
      <c r="AL1017" t="s">
        <v>63</v>
      </c>
      <c r="AM1017" t="s">
        <v>9074</v>
      </c>
      <c r="AN1017" t="s">
        <v>63</v>
      </c>
      <c r="AO1017" t="s">
        <v>63</v>
      </c>
      <c r="AP1017" t="s">
        <v>63</v>
      </c>
      <c r="AQ1017" t="s">
        <v>63</v>
      </c>
      <c r="AR1017" t="s">
        <v>63</v>
      </c>
      <c r="AS1017" t="s">
        <v>63</v>
      </c>
      <c r="AT1017" t="s">
        <v>63</v>
      </c>
      <c r="AU1017" t="s">
        <v>63</v>
      </c>
      <c r="AV1017" t="s">
        <v>63</v>
      </c>
      <c r="AW1017" t="s">
        <v>63</v>
      </c>
      <c r="AX1017" t="s">
        <v>63</v>
      </c>
      <c r="AY1017" t="s">
        <v>63</v>
      </c>
      <c r="AZ1017" t="s">
        <v>63</v>
      </c>
      <c r="BA1017" t="s">
        <v>63</v>
      </c>
      <c r="BB1017" t="s">
        <v>63</v>
      </c>
      <c r="BC1017" t="s">
        <v>63</v>
      </c>
      <c r="BD1017" t="s">
        <v>63</v>
      </c>
      <c r="BE1017" t="s">
        <v>63</v>
      </c>
      <c r="BF1017" t="s">
        <v>63</v>
      </c>
    </row>
    <row r="1018" spans="1:58">
      <c r="A1018" t="s">
        <v>58</v>
      </c>
      <c r="B1018" t="s">
        <v>9075</v>
      </c>
      <c r="C1018" t="s">
        <v>9076</v>
      </c>
      <c r="D1018" t="s">
        <v>9077</v>
      </c>
      <c r="E1018" t="s">
        <v>9077</v>
      </c>
      <c r="F1018">
        <v>2010</v>
      </c>
      <c r="G1018" t="s">
        <v>189</v>
      </c>
      <c r="H1018">
        <v>59</v>
      </c>
      <c r="I1018">
        <v>5</v>
      </c>
      <c r="J1018">
        <v>395</v>
      </c>
      <c r="K1018">
        <v>400</v>
      </c>
      <c r="L1018" t="s">
        <v>9078</v>
      </c>
      <c r="M1018" t="s">
        <v>9079</v>
      </c>
      <c r="N1018" t="s">
        <v>9080</v>
      </c>
      <c r="O1018" t="s">
        <v>63</v>
      </c>
      <c r="Q1018" t="s">
        <v>63</v>
      </c>
      <c r="R1018" t="s">
        <v>63</v>
      </c>
      <c r="S1018" t="s">
        <v>63</v>
      </c>
      <c r="T1018" t="s">
        <v>63</v>
      </c>
      <c r="X1018" t="s">
        <v>63</v>
      </c>
      <c r="Y1018" t="s">
        <v>9081</v>
      </c>
      <c r="Z1018" t="s">
        <v>63</v>
      </c>
      <c r="AA1018" t="s">
        <v>9082</v>
      </c>
      <c r="AB1018">
        <v>20094691</v>
      </c>
      <c r="AC1018" t="s">
        <v>102</v>
      </c>
      <c r="AD1018" t="s">
        <v>63</v>
      </c>
      <c r="AE1018" t="s">
        <v>63</v>
      </c>
      <c r="AF1018" t="s">
        <v>63</v>
      </c>
      <c r="AG1018" t="s">
        <v>9083</v>
      </c>
      <c r="AH1018" t="s">
        <v>63</v>
      </c>
      <c r="AI1018" t="s">
        <v>9084</v>
      </c>
      <c r="AJ1018" t="s">
        <v>63</v>
      </c>
      <c r="AK1018" t="s">
        <v>63</v>
      </c>
      <c r="AL1018" t="s">
        <v>63</v>
      </c>
      <c r="AM1018" t="s">
        <v>9085</v>
      </c>
      <c r="AN1018" t="s">
        <v>63</v>
      </c>
      <c r="AO1018" t="s">
        <v>63</v>
      </c>
      <c r="AP1018" t="s">
        <v>63</v>
      </c>
      <c r="AQ1018" t="s">
        <v>63</v>
      </c>
      <c r="AR1018" t="s">
        <v>63</v>
      </c>
      <c r="AS1018" t="s">
        <v>63</v>
      </c>
      <c r="AT1018" t="s">
        <v>63</v>
      </c>
      <c r="AU1018" t="s">
        <v>63</v>
      </c>
      <c r="AV1018" t="s">
        <v>63</v>
      </c>
      <c r="AW1018" t="s">
        <v>63</v>
      </c>
      <c r="AX1018" t="s">
        <v>63</v>
      </c>
      <c r="AY1018" t="s">
        <v>63</v>
      </c>
      <c r="AZ1018" t="s">
        <v>63</v>
      </c>
      <c r="BA1018" t="s">
        <v>63</v>
      </c>
      <c r="BB1018" t="s">
        <v>63</v>
      </c>
      <c r="BC1018" t="s">
        <v>63</v>
      </c>
      <c r="BD1018" t="s">
        <v>63</v>
      </c>
      <c r="BE1018" t="s">
        <v>63</v>
      </c>
      <c r="BF1018" t="s">
        <v>63</v>
      </c>
    </row>
    <row r="1019" spans="1:58">
      <c r="A1019" t="s">
        <v>58</v>
      </c>
      <c r="B1019" t="s">
        <v>9086</v>
      </c>
      <c r="C1019" t="s">
        <v>9087</v>
      </c>
      <c r="D1019" t="s">
        <v>2206</v>
      </c>
      <c r="E1019" t="s">
        <v>2207</v>
      </c>
      <c r="F1019">
        <v>2002</v>
      </c>
      <c r="G1019" t="s">
        <v>73</v>
      </c>
      <c r="H1019">
        <v>14</v>
      </c>
      <c r="I1019">
        <v>4</v>
      </c>
      <c r="J1019">
        <v>284</v>
      </c>
      <c r="K1019">
        <v>289</v>
      </c>
      <c r="L1019" t="s">
        <v>9088</v>
      </c>
      <c r="M1019" t="s">
        <v>9089</v>
      </c>
      <c r="N1019" t="s">
        <v>9090</v>
      </c>
      <c r="O1019" t="s">
        <v>63</v>
      </c>
      <c r="Q1019" t="s">
        <v>63</v>
      </c>
      <c r="R1019" t="s">
        <v>63</v>
      </c>
      <c r="S1019" t="s">
        <v>63</v>
      </c>
      <c r="T1019" t="s">
        <v>63</v>
      </c>
      <c r="X1019" t="s">
        <v>63</v>
      </c>
      <c r="Y1019" t="s">
        <v>2221</v>
      </c>
      <c r="Z1019" t="s">
        <v>63</v>
      </c>
      <c r="AA1019" t="s">
        <v>9091</v>
      </c>
      <c r="AB1019">
        <v>12088813</v>
      </c>
      <c r="AC1019" t="s">
        <v>67</v>
      </c>
      <c r="AD1019" t="s">
        <v>63</v>
      </c>
      <c r="AE1019" t="s">
        <v>63</v>
      </c>
      <c r="AF1019" t="s">
        <v>63</v>
      </c>
      <c r="AG1019" t="s">
        <v>9092</v>
      </c>
      <c r="AH1019" t="s">
        <v>63</v>
      </c>
      <c r="AI1019" t="s">
        <v>63</v>
      </c>
      <c r="AJ1019" t="s">
        <v>63</v>
      </c>
      <c r="AK1019" t="s">
        <v>63</v>
      </c>
      <c r="AL1019" t="s">
        <v>63</v>
      </c>
      <c r="AM1019" t="s">
        <v>9093</v>
      </c>
      <c r="AN1019" t="s">
        <v>63</v>
      </c>
      <c r="AO1019" t="s">
        <v>63</v>
      </c>
      <c r="AP1019" t="s">
        <v>63</v>
      </c>
      <c r="AQ1019" t="s">
        <v>63</v>
      </c>
      <c r="AR1019" t="s">
        <v>63</v>
      </c>
      <c r="AS1019" t="s">
        <v>63</v>
      </c>
      <c r="AT1019" t="s">
        <v>63</v>
      </c>
      <c r="AU1019" t="s">
        <v>63</v>
      </c>
      <c r="AV1019" t="s">
        <v>63</v>
      </c>
      <c r="AW1019" t="s">
        <v>63</v>
      </c>
      <c r="AX1019" t="s">
        <v>63</v>
      </c>
      <c r="AY1019" t="s">
        <v>63</v>
      </c>
      <c r="AZ1019" t="s">
        <v>63</v>
      </c>
      <c r="BA1019" t="s">
        <v>63</v>
      </c>
      <c r="BB1019" t="s">
        <v>63</v>
      </c>
      <c r="BC1019" t="s">
        <v>63</v>
      </c>
      <c r="BD1019" t="s">
        <v>63</v>
      </c>
      <c r="BE1019" t="s">
        <v>63</v>
      </c>
      <c r="BF1019" t="s">
        <v>63</v>
      </c>
    </row>
    <row r="1020" spans="1:58">
      <c r="A1020" t="s">
        <v>58</v>
      </c>
      <c r="B1020" t="s">
        <v>9094</v>
      </c>
      <c r="C1020" t="s">
        <v>9095</v>
      </c>
      <c r="D1020" t="s">
        <v>1184</v>
      </c>
      <c r="E1020" t="s">
        <v>1185</v>
      </c>
      <c r="F1020">
        <v>1972</v>
      </c>
      <c r="G1020" t="s">
        <v>84</v>
      </c>
      <c r="H1020">
        <v>47</v>
      </c>
      <c r="I1020">
        <v>4</v>
      </c>
      <c r="J1020">
        <v>296</v>
      </c>
      <c r="K1020">
        <v>297</v>
      </c>
      <c r="L1020" t="s">
        <v>9096</v>
      </c>
      <c r="M1020" t="s">
        <v>63</v>
      </c>
      <c r="N1020" t="s">
        <v>9097</v>
      </c>
      <c r="O1020" t="s">
        <v>63</v>
      </c>
      <c r="Q1020" t="s">
        <v>63</v>
      </c>
      <c r="R1020" t="s">
        <v>63</v>
      </c>
      <c r="S1020" t="s">
        <v>63</v>
      </c>
      <c r="T1020" t="s">
        <v>63</v>
      </c>
      <c r="X1020" t="s">
        <v>63</v>
      </c>
      <c r="Y1020" t="s">
        <v>1188</v>
      </c>
      <c r="Z1020" t="s">
        <v>63</v>
      </c>
      <c r="AA1020" t="s">
        <v>63</v>
      </c>
      <c r="AB1020">
        <v>5057143</v>
      </c>
      <c r="AC1020" t="s">
        <v>67</v>
      </c>
      <c r="AD1020" t="s">
        <v>63</v>
      </c>
      <c r="AE1020" t="s">
        <v>63</v>
      </c>
      <c r="AF1020" t="s">
        <v>63</v>
      </c>
      <c r="AG1020" t="s">
        <v>9098</v>
      </c>
      <c r="AH1020" t="s">
        <v>63</v>
      </c>
      <c r="AI1020" t="s">
        <v>63</v>
      </c>
      <c r="AJ1020" t="s">
        <v>63</v>
      </c>
      <c r="AK1020" t="s">
        <v>63</v>
      </c>
      <c r="AL1020" t="s">
        <v>63</v>
      </c>
      <c r="AM1020" t="s">
        <v>9099</v>
      </c>
      <c r="AN1020" t="s">
        <v>63</v>
      </c>
      <c r="AO1020" t="s">
        <v>63</v>
      </c>
      <c r="AP1020" t="s">
        <v>63</v>
      </c>
      <c r="AQ1020" t="s">
        <v>63</v>
      </c>
      <c r="AR1020" t="s">
        <v>63</v>
      </c>
      <c r="AS1020" t="s">
        <v>63</v>
      </c>
      <c r="AT1020" t="s">
        <v>63</v>
      </c>
      <c r="AU1020" t="s">
        <v>63</v>
      </c>
      <c r="AV1020" t="s">
        <v>63</v>
      </c>
      <c r="AW1020" t="s">
        <v>63</v>
      </c>
      <c r="AX1020" t="s">
        <v>63</v>
      </c>
      <c r="AY1020" t="s">
        <v>63</v>
      </c>
      <c r="AZ1020" t="s">
        <v>63</v>
      </c>
      <c r="BA1020" t="s">
        <v>63</v>
      </c>
      <c r="BB1020" t="s">
        <v>63</v>
      </c>
      <c r="BC1020" t="s">
        <v>63</v>
      </c>
      <c r="BD1020" t="s">
        <v>63</v>
      </c>
      <c r="BE1020" t="s">
        <v>63</v>
      </c>
      <c r="BF1020" t="s">
        <v>63</v>
      </c>
    </row>
    <row r="1021" spans="1:58">
      <c r="A1021" t="s">
        <v>58</v>
      </c>
      <c r="B1021" t="s">
        <v>9100</v>
      </c>
      <c r="C1021" t="s">
        <v>9101</v>
      </c>
      <c r="D1021" t="s">
        <v>2291</v>
      </c>
      <c r="E1021" t="s">
        <v>2291</v>
      </c>
      <c r="F1021">
        <v>2016</v>
      </c>
      <c r="G1021" s="1">
        <v>41673</v>
      </c>
      <c r="H1021">
        <v>352</v>
      </c>
      <c r="I1021" t="s">
        <v>63</v>
      </c>
      <c r="J1021" t="s">
        <v>9102</v>
      </c>
      <c r="K1021" t="s">
        <v>63</v>
      </c>
      <c r="L1021" t="s">
        <v>9103</v>
      </c>
      <c r="M1021" t="s">
        <v>63</v>
      </c>
      <c r="N1021" t="s">
        <v>9104</v>
      </c>
      <c r="O1021" t="s">
        <v>63</v>
      </c>
      <c r="Q1021" t="s">
        <v>63</v>
      </c>
      <c r="R1021" t="s">
        <v>63</v>
      </c>
      <c r="S1021" t="s">
        <v>63</v>
      </c>
      <c r="T1021" t="s">
        <v>63</v>
      </c>
      <c r="X1021" t="s">
        <v>63</v>
      </c>
      <c r="Y1021" t="s">
        <v>7375</v>
      </c>
      <c r="Z1021" t="s">
        <v>63</v>
      </c>
      <c r="AA1021" t="s">
        <v>9105</v>
      </c>
      <c r="AB1021">
        <v>26851294</v>
      </c>
      <c r="AC1021" t="s">
        <v>67</v>
      </c>
      <c r="AD1021" t="s">
        <v>63</v>
      </c>
      <c r="AE1021" t="s">
        <v>63</v>
      </c>
      <c r="AF1021" t="s">
        <v>63</v>
      </c>
      <c r="AG1021" t="s">
        <v>9106</v>
      </c>
      <c r="AH1021" t="s">
        <v>63</v>
      </c>
      <c r="AI1021" t="s">
        <v>9107</v>
      </c>
      <c r="AJ1021" t="s">
        <v>63</v>
      </c>
      <c r="AK1021" t="s">
        <v>63</v>
      </c>
      <c r="AL1021" t="s">
        <v>63</v>
      </c>
      <c r="AM1021" t="s">
        <v>9108</v>
      </c>
      <c r="AN1021" t="s">
        <v>63</v>
      </c>
      <c r="AO1021" t="s">
        <v>63</v>
      </c>
      <c r="AP1021" t="s">
        <v>63</v>
      </c>
      <c r="AQ1021" t="s">
        <v>63</v>
      </c>
      <c r="AR1021" t="s">
        <v>63</v>
      </c>
      <c r="AS1021" t="s">
        <v>63</v>
      </c>
      <c r="AT1021" t="s">
        <v>63</v>
      </c>
      <c r="AU1021" t="s">
        <v>63</v>
      </c>
      <c r="AV1021" t="s">
        <v>63</v>
      </c>
      <c r="AW1021" t="s">
        <v>63</v>
      </c>
      <c r="AX1021" t="s">
        <v>63</v>
      </c>
      <c r="AY1021" t="s">
        <v>63</v>
      </c>
      <c r="AZ1021" t="s">
        <v>63</v>
      </c>
      <c r="BA1021" t="s">
        <v>63</v>
      </c>
      <c r="BB1021" t="s">
        <v>63</v>
      </c>
      <c r="BC1021" t="s">
        <v>63</v>
      </c>
      <c r="BD1021" t="s">
        <v>63</v>
      </c>
      <c r="BE1021" t="s">
        <v>63</v>
      </c>
      <c r="BF1021" t="s">
        <v>63</v>
      </c>
    </row>
    <row r="1022" spans="1:58">
      <c r="A1022" t="s">
        <v>58</v>
      </c>
      <c r="B1022" t="s">
        <v>9109</v>
      </c>
      <c r="C1022" t="s">
        <v>9110</v>
      </c>
      <c r="D1022" t="s">
        <v>574</v>
      </c>
      <c r="E1022" t="s">
        <v>63</v>
      </c>
      <c r="F1022">
        <v>2016</v>
      </c>
      <c r="G1022" t="s">
        <v>157</v>
      </c>
      <c r="H1022">
        <v>17</v>
      </c>
      <c r="I1022">
        <v>12</v>
      </c>
      <c r="J1022">
        <v>2389</v>
      </c>
      <c r="K1022">
        <v>2396</v>
      </c>
      <c r="L1022" t="s">
        <v>9111</v>
      </c>
      <c r="M1022" t="s">
        <v>9112</v>
      </c>
      <c r="N1022" t="s">
        <v>9113</v>
      </c>
      <c r="O1022" t="s">
        <v>63</v>
      </c>
      <c r="Q1022" t="s">
        <v>63</v>
      </c>
      <c r="R1022" t="s">
        <v>63</v>
      </c>
      <c r="S1022" t="s">
        <v>63</v>
      </c>
      <c r="T1022" t="s">
        <v>63</v>
      </c>
      <c r="X1022" t="s">
        <v>63</v>
      </c>
      <c r="Y1022" t="s">
        <v>578</v>
      </c>
      <c r="Z1022" t="s">
        <v>63</v>
      </c>
      <c r="AA1022" t="s">
        <v>9114</v>
      </c>
      <c r="AB1022">
        <v>28025373</v>
      </c>
      <c r="AC1022" t="s">
        <v>67</v>
      </c>
      <c r="AD1022" t="s">
        <v>63</v>
      </c>
      <c r="AE1022" t="s">
        <v>63</v>
      </c>
      <c r="AF1022" t="s">
        <v>63</v>
      </c>
      <c r="AG1022" t="s">
        <v>9115</v>
      </c>
      <c r="AH1022" t="s">
        <v>63</v>
      </c>
      <c r="AI1022" t="s">
        <v>9116</v>
      </c>
      <c r="AJ1022" t="s">
        <v>63</v>
      </c>
      <c r="AK1022" t="s">
        <v>63</v>
      </c>
      <c r="AL1022" t="s">
        <v>63</v>
      </c>
      <c r="AM1022" t="s">
        <v>9117</v>
      </c>
      <c r="AN1022" t="s">
        <v>63</v>
      </c>
      <c r="AO1022" t="s">
        <v>63</v>
      </c>
      <c r="AP1022" t="s">
        <v>63</v>
      </c>
      <c r="AQ1022" t="s">
        <v>63</v>
      </c>
      <c r="AR1022" t="s">
        <v>63</v>
      </c>
      <c r="AS1022" t="s">
        <v>63</v>
      </c>
      <c r="AT1022" t="s">
        <v>63</v>
      </c>
      <c r="AU1022" t="s">
        <v>63</v>
      </c>
      <c r="AV1022" t="s">
        <v>63</v>
      </c>
      <c r="AW1022" t="s">
        <v>63</v>
      </c>
      <c r="AX1022" t="s">
        <v>63</v>
      </c>
      <c r="AY1022" t="s">
        <v>63</v>
      </c>
      <c r="AZ1022" t="s">
        <v>63</v>
      </c>
      <c r="BA1022" t="s">
        <v>63</v>
      </c>
      <c r="BB1022" t="s">
        <v>63</v>
      </c>
      <c r="BC1022" t="s">
        <v>63</v>
      </c>
      <c r="BD1022" t="s">
        <v>63</v>
      </c>
      <c r="BE1022" t="s">
        <v>63</v>
      </c>
      <c r="BF1022" t="s">
        <v>63</v>
      </c>
    </row>
    <row r="1023" spans="1:58">
      <c r="A1023" t="s">
        <v>58</v>
      </c>
      <c r="B1023" t="s">
        <v>9109</v>
      </c>
      <c r="C1023" t="s">
        <v>9110</v>
      </c>
      <c r="D1023" t="s">
        <v>574</v>
      </c>
      <c r="E1023" t="s">
        <v>63</v>
      </c>
      <c r="F1023">
        <v>2016</v>
      </c>
      <c r="G1023" s="1">
        <v>41742</v>
      </c>
      <c r="H1023" t="s">
        <v>63</v>
      </c>
      <c r="I1023" t="s">
        <v>63</v>
      </c>
      <c r="J1023">
        <v>14</v>
      </c>
      <c r="K1023" t="s">
        <v>63</v>
      </c>
      <c r="L1023" t="s">
        <v>63</v>
      </c>
      <c r="M1023" t="s">
        <v>9118</v>
      </c>
      <c r="N1023" t="s">
        <v>9119</v>
      </c>
      <c r="O1023" t="s">
        <v>63</v>
      </c>
      <c r="Q1023" t="s">
        <v>63</v>
      </c>
      <c r="R1023" t="s">
        <v>63</v>
      </c>
      <c r="S1023" t="s">
        <v>63</v>
      </c>
      <c r="T1023" t="s">
        <v>63</v>
      </c>
      <c r="X1023" t="s">
        <v>63</v>
      </c>
      <c r="Y1023" t="s">
        <v>578</v>
      </c>
      <c r="Z1023" t="s">
        <v>63</v>
      </c>
      <c r="AA1023" t="s">
        <v>9120</v>
      </c>
      <c r="AB1023">
        <v>27084413</v>
      </c>
      <c r="AC1023" t="s">
        <v>67</v>
      </c>
      <c r="AD1023" t="s">
        <v>63</v>
      </c>
      <c r="AE1023" t="s">
        <v>63</v>
      </c>
      <c r="AF1023" t="s">
        <v>63</v>
      </c>
      <c r="AG1023" t="s">
        <v>9121</v>
      </c>
      <c r="AH1023" t="s">
        <v>63</v>
      </c>
      <c r="AI1023" t="s">
        <v>63</v>
      </c>
      <c r="AJ1023" t="s">
        <v>63</v>
      </c>
      <c r="AK1023" t="s">
        <v>63</v>
      </c>
      <c r="AL1023" t="s">
        <v>63</v>
      </c>
      <c r="AM1023" t="s">
        <v>9117</v>
      </c>
      <c r="AN1023" t="s">
        <v>63</v>
      </c>
      <c r="AO1023" t="s">
        <v>63</v>
      </c>
      <c r="AP1023" t="s">
        <v>63</v>
      </c>
      <c r="AQ1023" t="s">
        <v>63</v>
      </c>
      <c r="AR1023" t="s">
        <v>63</v>
      </c>
      <c r="AS1023" t="s">
        <v>63</v>
      </c>
      <c r="AT1023" t="s">
        <v>63</v>
      </c>
      <c r="AU1023" t="s">
        <v>63</v>
      </c>
      <c r="AV1023" t="s">
        <v>63</v>
      </c>
      <c r="AW1023" t="s">
        <v>63</v>
      </c>
      <c r="AX1023" t="s">
        <v>63</v>
      </c>
      <c r="AY1023" t="s">
        <v>63</v>
      </c>
      <c r="AZ1023" t="s">
        <v>63</v>
      </c>
      <c r="BA1023" t="s">
        <v>63</v>
      </c>
      <c r="BB1023" t="s">
        <v>63</v>
      </c>
      <c r="BC1023" t="s">
        <v>63</v>
      </c>
      <c r="BD1023" t="s">
        <v>63</v>
      </c>
      <c r="BE1023" t="s">
        <v>63</v>
      </c>
      <c r="BF1023" t="s">
        <v>63</v>
      </c>
    </row>
    <row r="1024" spans="1:58">
      <c r="A1024" t="s">
        <v>58</v>
      </c>
      <c r="B1024" t="s">
        <v>9122</v>
      </c>
      <c r="C1024" t="s">
        <v>9123</v>
      </c>
      <c r="D1024" t="s">
        <v>928</v>
      </c>
      <c r="E1024" t="s">
        <v>63</v>
      </c>
      <c r="F1024">
        <v>2015</v>
      </c>
      <c r="G1024" t="s">
        <v>63</v>
      </c>
      <c r="H1024">
        <v>27</v>
      </c>
      <c r="I1024">
        <v>3</v>
      </c>
      <c r="J1024">
        <v>292</v>
      </c>
      <c r="K1024">
        <v>298</v>
      </c>
      <c r="L1024" t="s">
        <v>9124</v>
      </c>
      <c r="M1024" t="s">
        <v>9125</v>
      </c>
      <c r="N1024" t="s">
        <v>9126</v>
      </c>
      <c r="O1024" t="s">
        <v>63</v>
      </c>
      <c r="Q1024" t="s">
        <v>63</v>
      </c>
      <c r="R1024" t="s">
        <v>63</v>
      </c>
      <c r="S1024" t="s">
        <v>63</v>
      </c>
      <c r="T1024" t="s">
        <v>63</v>
      </c>
      <c r="X1024" t="s">
        <v>63</v>
      </c>
      <c r="Y1024" t="s">
        <v>3800</v>
      </c>
      <c r="Z1024" t="s">
        <v>63</v>
      </c>
      <c r="AA1024" t="s">
        <v>9127</v>
      </c>
      <c r="AB1024">
        <v>26158331</v>
      </c>
      <c r="AC1024" t="s">
        <v>67</v>
      </c>
      <c r="AD1024" t="s">
        <v>63</v>
      </c>
      <c r="AE1024" t="s">
        <v>63</v>
      </c>
      <c r="AF1024" t="s">
        <v>63</v>
      </c>
      <c r="AG1024" t="s">
        <v>9128</v>
      </c>
      <c r="AH1024" t="s">
        <v>63</v>
      </c>
      <c r="AI1024" t="s">
        <v>9129</v>
      </c>
      <c r="AJ1024" t="s">
        <v>63</v>
      </c>
      <c r="AK1024" t="s">
        <v>63</v>
      </c>
      <c r="AL1024" t="s">
        <v>63</v>
      </c>
      <c r="AM1024" t="s">
        <v>9130</v>
      </c>
      <c r="AN1024" t="s">
        <v>63</v>
      </c>
      <c r="AO1024" t="s">
        <v>63</v>
      </c>
      <c r="AP1024" t="s">
        <v>63</v>
      </c>
      <c r="AQ1024" t="s">
        <v>63</v>
      </c>
      <c r="AR1024" t="s">
        <v>63</v>
      </c>
      <c r="AS1024" t="s">
        <v>63</v>
      </c>
      <c r="AT1024" t="s">
        <v>63</v>
      </c>
      <c r="AU1024" t="s">
        <v>63</v>
      </c>
      <c r="AV1024" t="s">
        <v>63</v>
      </c>
      <c r="AW1024" t="s">
        <v>63</v>
      </c>
      <c r="AX1024" t="s">
        <v>63</v>
      </c>
      <c r="AY1024" t="s">
        <v>63</v>
      </c>
      <c r="AZ1024" t="s">
        <v>63</v>
      </c>
      <c r="BA1024" t="s">
        <v>63</v>
      </c>
      <c r="BB1024" t="s">
        <v>63</v>
      </c>
      <c r="BC1024" t="s">
        <v>63</v>
      </c>
      <c r="BD1024" t="s">
        <v>63</v>
      </c>
      <c r="BE1024" t="s">
        <v>63</v>
      </c>
      <c r="BF1024" t="s">
        <v>63</v>
      </c>
    </row>
    <row r="1025" spans="1:58">
      <c r="A1025" t="s">
        <v>58</v>
      </c>
      <c r="B1025" t="s">
        <v>9131</v>
      </c>
      <c r="C1025" t="s">
        <v>9132</v>
      </c>
      <c r="D1025" t="s">
        <v>3890</v>
      </c>
      <c r="E1025" t="s">
        <v>3891</v>
      </c>
      <c r="F1025">
        <v>1990</v>
      </c>
      <c r="G1025" t="s">
        <v>614</v>
      </c>
      <c r="H1025">
        <v>25</v>
      </c>
      <c r="I1025">
        <v>-10</v>
      </c>
      <c r="J1025">
        <v>1141</v>
      </c>
      <c r="K1025">
        <v>1177</v>
      </c>
      <c r="L1025" t="s">
        <v>9133</v>
      </c>
      <c r="M1025" t="s">
        <v>9134</v>
      </c>
      <c r="N1025" t="s">
        <v>9135</v>
      </c>
      <c r="O1025" t="s">
        <v>63</v>
      </c>
      <c r="Q1025" t="s">
        <v>63</v>
      </c>
      <c r="R1025" t="s">
        <v>63</v>
      </c>
      <c r="S1025" t="s">
        <v>63</v>
      </c>
      <c r="T1025" t="s">
        <v>63</v>
      </c>
      <c r="X1025" t="s">
        <v>63</v>
      </c>
      <c r="Y1025" t="s">
        <v>3894</v>
      </c>
      <c r="Z1025" t="s">
        <v>63</v>
      </c>
      <c r="AA1025" t="s">
        <v>9136</v>
      </c>
      <c r="AB1025">
        <v>1966681</v>
      </c>
      <c r="AC1025" t="s">
        <v>67</v>
      </c>
      <c r="AD1025" t="s">
        <v>63</v>
      </c>
      <c r="AE1025" t="s">
        <v>63</v>
      </c>
      <c r="AF1025" t="s">
        <v>63</v>
      </c>
      <c r="AG1025" t="s">
        <v>9137</v>
      </c>
      <c r="AH1025" t="s">
        <v>63</v>
      </c>
      <c r="AI1025" t="s">
        <v>63</v>
      </c>
      <c r="AJ1025" t="s">
        <v>63</v>
      </c>
      <c r="AK1025" t="s">
        <v>63</v>
      </c>
      <c r="AL1025" t="s">
        <v>63</v>
      </c>
      <c r="AM1025" t="s">
        <v>9138</v>
      </c>
      <c r="AN1025" t="s">
        <v>63</v>
      </c>
      <c r="AO1025" t="s">
        <v>63</v>
      </c>
      <c r="AP1025" t="s">
        <v>63</v>
      </c>
      <c r="AQ1025" t="s">
        <v>63</v>
      </c>
      <c r="AR1025" t="s">
        <v>63</v>
      </c>
      <c r="AS1025" t="s">
        <v>63</v>
      </c>
      <c r="AT1025" t="s">
        <v>63</v>
      </c>
      <c r="AU1025" t="s">
        <v>63</v>
      </c>
      <c r="AV1025" t="s">
        <v>63</v>
      </c>
      <c r="AW1025" t="s">
        <v>63</v>
      </c>
      <c r="AX1025" t="s">
        <v>63</v>
      </c>
      <c r="AY1025" t="s">
        <v>63</v>
      </c>
      <c r="AZ1025" t="s">
        <v>63</v>
      </c>
      <c r="BA1025" t="s">
        <v>63</v>
      </c>
      <c r="BB1025" t="s">
        <v>63</v>
      </c>
      <c r="BC1025" t="s">
        <v>63</v>
      </c>
      <c r="BD1025" t="s">
        <v>63</v>
      </c>
      <c r="BE1025" t="s">
        <v>63</v>
      </c>
      <c r="BF1025" t="s">
        <v>63</v>
      </c>
    </row>
    <row r="1026" spans="1:58">
      <c r="A1026" t="s">
        <v>58</v>
      </c>
      <c r="B1026" t="s">
        <v>9139</v>
      </c>
      <c r="C1026" t="s">
        <v>9140</v>
      </c>
      <c r="D1026" t="s">
        <v>9141</v>
      </c>
      <c r="E1026" t="s">
        <v>9142</v>
      </c>
      <c r="F1026">
        <v>1984</v>
      </c>
      <c r="G1026" t="s">
        <v>63</v>
      </c>
      <c r="H1026">
        <v>4</v>
      </c>
      <c r="I1026">
        <v>2</v>
      </c>
      <c r="J1026">
        <v>67</v>
      </c>
      <c r="K1026">
        <v>87</v>
      </c>
      <c r="L1026" t="s">
        <v>9143</v>
      </c>
      <c r="M1026" t="s">
        <v>9144</v>
      </c>
      <c r="N1026" t="s">
        <v>9145</v>
      </c>
      <c r="O1026" t="s">
        <v>63</v>
      </c>
      <c r="Q1026" t="s">
        <v>63</v>
      </c>
      <c r="R1026" t="s">
        <v>63</v>
      </c>
      <c r="S1026" t="s">
        <v>63</v>
      </c>
      <c r="T1026" t="s">
        <v>63</v>
      </c>
      <c r="X1026" t="s">
        <v>63</v>
      </c>
      <c r="Y1026" t="s">
        <v>9146</v>
      </c>
      <c r="Z1026" t="s">
        <v>63</v>
      </c>
      <c r="AA1026" t="s">
        <v>63</v>
      </c>
      <c r="AB1026">
        <v>6524508</v>
      </c>
      <c r="AC1026" t="s">
        <v>67</v>
      </c>
      <c r="AD1026" t="s">
        <v>63</v>
      </c>
      <c r="AE1026" t="s">
        <v>63</v>
      </c>
      <c r="AF1026" t="s">
        <v>63</v>
      </c>
      <c r="AG1026" t="s">
        <v>9147</v>
      </c>
      <c r="AH1026" t="s">
        <v>63</v>
      </c>
      <c r="AI1026" t="s">
        <v>63</v>
      </c>
      <c r="AJ1026" t="s">
        <v>63</v>
      </c>
      <c r="AK1026" t="s">
        <v>63</v>
      </c>
      <c r="AL1026" t="s">
        <v>63</v>
      </c>
      <c r="AM1026" t="s">
        <v>9148</v>
      </c>
      <c r="AN1026" t="s">
        <v>63</v>
      </c>
      <c r="AO1026" t="s">
        <v>63</v>
      </c>
      <c r="AP1026" t="s">
        <v>63</v>
      </c>
      <c r="AQ1026" t="s">
        <v>63</v>
      </c>
      <c r="AR1026" t="s">
        <v>63</v>
      </c>
      <c r="AS1026" t="s">
        <v>63</v>
      </c>
      <c r="AT1026" t="s">
        <v>63</v>
      </c>
      <c r="AU1026" t="s">
        <v>63</v>
      </c>
      <c r="AV1026" t="s">
        <v>63</v>
      </c>
      <c r="AW1026" t="s">
        <v>63</v>
      </c>
      <c r="AX1026" t="s">
        <v>63</v>
      </c>
      <c r="AY1026" t="s">
        <v>63</v>
      </c>
      <c r="AZ1026" t="s">
        <v>63</v>
      </c>
      <c r="BA1026" t="s">
        <v>63</v>
      </c>
      <c r="BB1026" t="s">
        <v>63</v>
      </c>
      <c r="BC1026" t="s">
        <v>63</v>
      </c>
      <c r="BD1026" t="s">
        <v>63</v>
      </c>
      <c r="BE1026" t="s">
        <v>63</v>
      </c>
      <c r="BF1026" t="s">
        <v>63</v>
      </c>
    </row>
    <row r="1027" spans="1:58">
      <c r="A1027" t="s">
        <v>58</v>
      </c>
      <c r="B1027" t="s">
        <v>9149</v>
      </c>
      <c r="C1027" t="s">
        <v>9150</v>
      </c>
      <c r="D1027" t="s">
        <v>180</v>
      </c>
      <c r="E1027" t="s">
        <v>63</v>
      </c>
      <c r="F1027">
        <v>2000</v>
      </c>
      <c r="G1027" t="s">
        <v>1114</v>
      </c>
      <c r="H1027">
        <v>35</v>
      </c>
      <c r="I1027">
        <v>3</v>
      </c>
      <c r="J1027">
        <v>225</v>
      </c>
      <c r="K1027">
        <v>229</v>
      </c>
      <c r="L1027" t="s">
        <v>9151</v>
      </c>
      <c r="M1027" t="s">
        <v>9152</v>
      </c>
      <c r="N1027" t="s">
        <v>9153</v>
      </c>
      <c r="O1027" t="s">
        <v>63</v>
      </c>
      <c r="Q1027" t="s">
        <v>63</v>
      </c>
      <c r="R1027" t="s">
        <v>63</v>
      </c>
      <c r="S1027" t="s">
        <v>63</v>
      </c>
      <c r="T1027" t="s">
        <v>63</v>
      </c>
      <c r="X1027" t="s">
        <v>63</v>
      </c>
      <c r="Y1027" t="s">
        <v>185</v>
      </c>
      <c r="Z1027" t="s">
        <v>63</v>
      </c>
      <c r="AA1027" t="s">
        <v>9154</v>
      </c>
      <c r="AB1027">
        <v>10869239</v>
      </c>
      <c r="AC1027" t="s">
        <v>67</v>
      </c>
      <c r="AD1027" t="s">
        <v>63</v>
      </c>
      <c r="AE1027" t="s">
        <v>63</v>
      </c>
      <c r="AF1027" t="s">
        <v>63</v>
      </c>
      <c r="AG1027" t="s">
        <v>9155</v>
      </c>
      <c r="AH1027" t="s">
        <v>63</v>
      </c>
      <c r="AI1027" t="s">
        <v>63</v>
      </c>
      <c r="AJ1027" t="s">
        <v>63</v>
      </c>
      <c r="AK1027" t="s">
        <v>63</v>
      </c>
      <c r="AL1027" t="s">
        <v>63</v>
      </c>
      <c r="AM1027" t="s">
        <v>9156</v>
      </c>
      <c r="AN1027" t="s">
        <v>63</v>
      </c>
      <c r="AO1027" t="s">
        <v>63</v>
      </c>
      <c r="AP1027" t="s">
        <v>63</v>
      </c>
      <c r="AQ1027" t="s">
        <v>63</v>
      </c>
      <c r="AR1027" t="s">
        <v>63</v>
      </c>
      <c r="AS1027" t="s">
        <v>63</v>
      </c>
      <c r="AT1027" t="s">
        <v>63</v>
      </c>
      <c r="AU1027" t="s">
        <v>63</v>
      </c>
      <c r="AV1027" t="s">
        <v>63</v>
      </c>
      <c r="AW1027" t="s">
        <v>63</v>
      </c>
      <c r="AX1027" t="s">
        <v>63</v>
      </c>
      <c r="AY1027" t="s">
        <v>63</v>
      </c>
      <c r="AZ1027" t="s">
        <v>63</v>
      </c>
      <c r="BA1027" t="s">
        <v>63</v>
      </c>
      <c r="BB1027" t="s">
        <v>63</v>
      </c>
      <c r="BC1027" t="s">
        <v>63</v>
      </c>
      <c r="BD1027" t="s">
        <v>63</v>
      </c>
      <c r="BE1027" t="s">
        <v>63</v>
      </c>
      <c r="BF1027" t="s">
        <v>63</v>
      </c>
    </row>
    <row r="1028" spans="1:58">
      <c r="A1028" t="s">
        <v>58</v>
      </c>
      <c r="B1028" t="s">
        <v>9157</v>
      </c>
      <c r="C1028" t="s">
        <v>9158</v>
      </c>
      <c r="D1028" t="s">
        <v>1469</v>
      </c>
      <c r="E1028" t="s">
        <v>1470</v>
      </c>
      <c r="F1028">
        <v>2006</v>
      </c>
      <c r="G1028" t="s">
        <v>614</v>
      </c>
      <c r="H1028">
        <v>13</v>
      </c>
      <c r="I1028">
        <v>8</v>
      </c>
      <c r="J1028">
        <v>893</v>
      </c>
      <c r="K1028">
        <v>895</v>
      </c>
      <c r="L1028" t="s">
        <v>9159</v>
      </c>
      <c r="M1028" t="s">
        <v>63</v>
      </c>
      <c r="N1028" t="s">
        <v>9160</v>
      </c>
      <c r="O1028" t="s">
        <v>63</v>
      </c>
      <c r="Q1028" t="s">
        <v>63</v>
      </c>
      <c r="R1028" t="s">
        <v>63</v>
      </c>
      <c r="S1028" t="s">
        <v>63</v>
      </c>
      <c r="T1028" t="s">
        <v>63</v>
      </c>
      <c r="X1028" t="s">
        <v>63</v>
      </c>
      <c r="Y1028" t="s">
        <v>1474</v>
      </c>
      <c r="Z1028" t="s">
        <v>63</v>
      </c>
      <c r="AA1028" t="s">
        <v>9161</v>
      </c>
      <c r="AB1028">
        <v>16766741</v>
      </c>
      <c r="AC1028" t="s">
        <v>67</v>
      </c>
      <c r="AD1028" t="s">
        <v>63</v>
      </c>
      <c r="AE1028" t="s">
        <v>63</v>
      </c>
      <c r="AF1028" t="s">
        <v>63</v>
      </c>
      <c r="AG1028" t="s">
        <v>9162</v>
      </c>
      <c r="AH1028" t="s">
        <v>63</v>
      </c>
      <c r="AI1028" t="s">
        <v>63</v>
      </c>
      <c r="AJ1028" t="s">
        <v>63</v>
      </c>
      <c r="AK1028" t="s">
        <v>63</v>
      </c>
      <c r="AL1028" t="s">
        <v>63</v>
      </c>
      <c r="AM1028" t="s">
        <v>9163</v>
      </c>
      <c r="AN1028" t="s">
        <v>63</v>
      </c>
      <c r="AO1028" t="s">
        <v>63</v>
      </c>
      <c r="AP1028" t="s">
        <v>63</v>
      </c>
      <c r="AQ1028" t="s">
        <v>63</v>
      </c>
      <c r="AR1028" t="s">
        <v>63</v>
      </c>
      <c r="AS1028" t="s">
        <v>63</v>
      </c>
      <c r="AT1028" t="s">
        <v>63</v>
      </c>
      <c r="AU1028" t="s">
        <v>63</v>
      </c>
      <c r="AV1028" t="s">
        <v>63</v>
      </c>
      <c r="AW1028" t="s">
        <v>63</v>
      </c>
      <c r="AX1028" t="s">
        <v>63</v>
      </c>
      <c r="AY1028" t="s">
        <v>63</v>
      </c>
      <c r="AZ1028" t="s">
        <v>63</v>
      </c>
      <c r="BA1028" t="s">
        <v>63</v>
      </c>
      <c r="BB1028" t="s">
        <v>63</v>
      </c>
      <c r="BC1028" t="s">
        <v>63</v>
      </c>
      <c r="BD1028" t="s">
        <v>63</v>
      </c>
      <c r="BE1028" t="s">
        <v>63</v>
      </c>
      <c r="BF1028" t="s">
        <v>63</v>
      </c>
    </row>
    <row r="1029" spans="1:58">
      <c r="A1029" t="s">
        <v>58</v>
      </c>
      <c r="B1029" t="s">
        <v>9164</v>
      </c>
      <c r="C1029" t="s">
        <v>9165</v>
      </c>
      <c r="D1029" t="s">
        <v>1469</v>
      </c>
      <c r="E1029" t="s">
        <v>1470</v>
      </c>
      <c r="F1029">
        <v>2008</v>
      </c>
      <c r="G1029" t="s">
        <v>198</v>
      </c>
      <c r="H1029">
        <v>15</v>
      </c>
      <c r="I1029">
        <v>1</v>
      </c>
      <c r="J1029">
        <v>45</v>
      </c>
      <c r="K1029">
        <v>53</v>
      </c>
      <c r="L1029" t="s">
        <v>9166</v>
      </c>
      <c r="M1029" t="s">
        <v>9167</v>
      </c>
      <c r="N1029" t="s">
        <v>9168</v>
      </c>
      <c r="O1029" t="s">
        <v>63</v>
      </c>
      <c r="Q1029" t="s">
        <v>63</v>
      </c>
      <c r="R1029" t="s">
        <v>63</v>
      </c>
      <c r="S1029" t="s">
        <v>63</v>
      </c>
      <c r="T1029" t="s">
        <v>63</v>
      </c>
      <c r="X1029" t="s">
        <v>63</v>
      </c>
      <c r="Y1029" t="s">
        <v>1474</v>
      </c>
      <c r="Z1029" t="s">
        <v>63</v>
      </c>
      <c r="AA1029" t="s">
        <v>9169</v>
      </c>
      <c r="AB1029">
        <v>18211313</v>
      </c>
      <c r="AC1029" t="s">
        <v>67</v>
      </c>
      <c r="AD1029" t="s">
        <v>63</v>
      </c>
      <c r="AE1029" t="s">
        <v>63</v>
      </c>
      <c r="AF1029" t="s">
        <v>63</v>
      </c>
      <c r="AG1029" t="s">
        <v>9170</v>
      </c>
      <c r="AH1029" t="s">
        <v>63</v>
      </c>
      <c r="AI1029" t="s">
        <v>9171</v>
      </c>
      <c r="AJ1029" t="s">
        <v>63</v>
      </c>
      <c r="AK1029" t="s">
        <v>63</v>
      </c>
      <c r="AL1029" t="s">
        <v>63</v>
      </c>
      <c r="AM1029" t="s">
        <v>9172</v>
      </c>
      <c r="AN1029" t="s">
        <v>63</v>
      </c>
      <c r="AO1029" t="s">
        <v>63</v>
      </c>
      <c r="AP1029" t="s">
        <v>63</v>
      </c>
      <c r="AQ1029" t="s">
        <v>63</v>
      </c>
      <c r="AR1029" t="s">
        <v>63</v>
      </c>
      <c r="AS1029" t="s">
        <v>63</v>
      </c>
      <c r="AT1029" t="s">
        <v>63</v>
      </c>
      <c r="AU1029" t="s">
        <v>63</v>
      </c>
      <c r="AV1029" t="s">
        <v>63</v>
      </c>
      <c r="AW1029" t="s">
        <v>63</v>
      </c>
      <c r="AX1029" t="s">
        <v>63</v>
      </c>
      <c r="AY1029" t="s">
        <v>63</v>
      </c>
      <c r="AZ1029" t="s">
        <v>63</v>
      </c>
      <c r="BA1029" t="s">
        <v>63</v>
      </c>
      <c r="BB1029" t="s">
        <v>63</v>
      </c>
      <c r="BC1029" t="s">
        <v>63</v>
      </c>
      <c r="BD1029" t="s">
        <v>63</v>
      </c>
      <c r="BE1029" t="s">
        <v>63</v>
      </c>
      <c r="BF1029" t="s">
        <v>63</v>
      </c>
    </row>
    <row r="1030" spans="1:58">
      <c r="A1030" t="s">
        <v>58</v>
      </c>
      <c r="B1030" t="s">
        <v>9173</v>
      </c>
      <c r="C1030" t="s">
        <v>9174</v>
      </c>
      <c r="D1030" t="s">
        <v>1084</v>
      </c>
      <c r="E1030" t="s">
        <v>63</v>
      </c>
      <c r="F1030">
        <v>2006</v>
      </c>
      <c r="G1030" t="s">
        <v>147</v>
      </c>
      <c r="H1030">
        <v>54</v>
      </c>
      <c r="I1030">
        <v>5</v>
      </c>
      <c r="J1030">
        <v>269</v>
      </c>
      <c r="K1030">
        <v>278</v>
      </c>
      <c r="L1030" t="s">
        <v>9175</v>
      </c>
      <c r="M1030" t="s">
        <v>9176</v>
      </c>
      <c r="N1030" t="s">
        <v>9177</v>
      </c>
      <c r="O1030" t="s">
        <v>63</v>
      </c>
      <c r="Q1030" t="s">
        <v>63</v>
      </c>
      <c r="R1030" t="s">
        <v>63</v>
      </c>
      <c r="S1030" t="s">
        <v>63</v>
      </c>
      <c r="T1030" t="s">
        <v>63</v>
      </c>
      <c r="X1030" t="s">
        <v>63</v>
      </c>
      <c r="Y1030" t="s">
        <v>1089</v>
      </c>
      <c r="Z1030" t="s">
        <v>63</v>
      </c>
      <c r="AA1030" t="s">
        <v>9178</v>
      </c>
      <c r="AB1030">
        <v>16539219</v>
      </c>
      <c r="AC1030" t="s">
        <v>67</v>
      </c>
      <c r="AD1030" t="s">
        <v>63</v>
      </c>
      <c r="AE1030" t="s">
        <v>63</v>
      </c>
      <c r="AF1030" t="s">
        <v>63</v>
      </c>
      <c r="AG1030" t="s">
        <v>9179</v>
      </c>
      <c r="AH1030" t="s">
        <v>63</v>
      </c>
      <c r="AI1030" t="s">
        <v>63</v>
      </c>
      <c r="AJ1030" t="s">
        <v>63</v>
      </c>
      <c r="AK1030" t="s">
        <v>63</v>
      </c>
      <c r="AL1030" t="s">
        <v>63</v>
      </c>
      <c r="AM1030" t="s">
        <v>9180</v>
      </c>
      <c r="AN1030" t="s">
        <v>63</v>
      </c>
      <c r="AO1030" t="s">
        <v>63</v>
      </c>
      <c r="AP1030" t="s">
        <v>63</v>
      </c>
      <c r="AQ1030" t="s">
        <v>63</v>
      </c>
      <c r="AR1030" t="s">
        <v>63</v>
      </c>
      <c r="AS1030" t="s">
        <v>63</v>
      </c>
      <c r="AT1030" t="s">
        <v>63</v>
      </c>
      <c r="AU1030" t="s">
        <v>63</v>
      </c>
      <c r="AV1030" t="s">
        <v>63</v>
      </c>
      <c r="AW1030" t="s">
        <v>63</v>
      </c>
      <c r="AX1030" t="s">
        <v>63</v>
      </c>
      <c r="AY1030" t="s">
        <v>63</v>
      </c>
      <c r="AZ1030" t="s">
        <v>63</v>
      </c>
      <c r="BA1030" t="s">
        <v>63</v>
      </c>
      <c r="BB1030" t="s">
        <v>63</v>
      </c>
      <c r="BC1030" t="s">
        <v>63</v>
      </c>
      <c r="BD1030" t="s">
        <v>63</v>
      </c>
      <c r="BE1030" t="s">
        <v>63</v>
      </c>
      <c r="BF1030" t="s">
        <v>63</v>
      </c>
    </row>
    <row r="1031" spans="1:58">
      <c r="A1031" t="s">
        <v>58</v>
      </c>
      <c r="B1031" t="s">
        <v>9181</v>
      </c>
      <c r="C1031" t="s">
        <v>9182</v>
      </c>
      <c r="D1031" t="s">
        <v>1240</v>
      </c>
      <c r="E1031" t="s">
        <v>63</v>
      </c>
      <c r="F1031">
        <v>2003</v>
      </c>
      <c r="G1031" t="s">
        <v>614</v>
      </c>
      <c r="H1031">
        <v>53</v>
      </c>
      <c r="I1031">
        <v>493</v>
      </c>
      <c r="J1031">
        <v>637</v>
      </c>
      <c r="K1031">
        <v>639</v>
      </c>
      <c r="L1031" t="s">
        <v>9183</v>
      </c>
      <c r="M1031" t="s">
        <v>9184</v>
      </c>
      <c r="N1031" t="s">
        <v>9185</v>
      </c>
      <c r="O1031" t="s">
        <v>63</v>
      </c>
      <c r="Q1031" t="s">
        <v>63</v>
      </c>
      <c r="R1031" t="s">
        <v>63</v>
      </c>
      <c r="S1031" t="s">
        <v>63</v>
      </c>
      <c r="T1031" t="s">
        <v>63</v>
      </c>
      <c r="X1031" t="s">
        <v>63</v>
      </c>
      <c r="Y1031" t="s">
        <v>2376</v>
      </c>
      <c r="Z1031" t="s">
        <v>63</v>
      </c>
      <c r="AA1031" t="s">
        <v>9186</v>
      </c>
      <c r="AB1031">
        <v>14601341</v>
      </c>
      <c r="AC1031" t="s">
        <v>67</v>
      </c>
      <c r="AD1031" t="s">
        <v>63</v>
      </c>
      <c r="AE1031" t="s">
        <v>63</v>
      </c>
      <c r="AF1031" t="s">
        <v>63</v>
      </c>
      <c r="AG1031" t="s">
        <v>9187</v>
      </c>
      <c r="AH1031" t="s">
        <v>63</v>
      </c>
      <c r="AI1031" t="s">
        <v>63</v>
      </c>
      <c r="AJ1031" t="s">
        <v>63</v>
      </c>
      <c r="AK1031" t="s">
        <v>63</v>
      </c>
      <c r="AL1031" t="s">
        <v>63</v>
      </c>
      <c r="AM1031" t="s">
        <v>9188</v>
      </c>
      <c r="AN1031" t="s">
        <v>63</v>
      </c>
      <c r="AO1031" t="s">
        <v>63</v>
      </c>
      <c r="AP1031" t="s">
        <v>63</v>
      </c>
      <c r="AQ1031" t="s">
        <v>63</v>
      </c>
      <c r="AR1031" t="s">
        <v>63</v>
      </c>
      <c r="AS1031" t="s">
        <v>63</v>
      </c>
      <c r="AT1031" t="s">
        <v>63</v>
      </c>
      <c r="AU1031" t="s">
        <v>63</v>
      </c>
      <c r="AV1031" t="s">
        <v>63</v>
      </c>
      <c r="AW1031" t="s">
        <v>63</v>
      </c>
      <c r="AX1031" t="s">
        <v>63</v>
      </c>
      <c r="AY1031" t="s">
        <v>63</v>
      </c>
      <c r="AZ1031" t="s">
        <v>63</v>
      </c>
      <c r="BA1031" t="s">
        <v>63</v>
      </c>
      <c r="BB1031" t="s">
        <v>63</v>
      </c>
      <c r="BC1031" t="s">
        <v>63</v>
      </c>
      <c r="BD1031" t="s">
        <v>63</v>
      </c>
      <c r="BE1031" t="s">
        <v>63</v>
      </c>
      <c r="BF1031" t="s">
        <v>63</v>
      </c>
    </row>
    <row r="1032" spans="1:58">
      <c r="A1032" t="s">
        <v>58</v>
      </c>
      <c r="B1032" t="s">
        <v>9189</v>
      </c>
      <c r="C1032" t="s">
        <v>9190</v>
      </c>
      <c r="D1032" t="s">
        <v>938</v>
      </c>
      <c r="E1032" t="s">
        <v>63</v>
      </c>
      <c r="F1032">
        <v>2017</v>
      </c>
      <c r="G1032" t="s">
        <v>73</v>
      </c>
      <c r="H1032">
        <v>26</v>
      </c>
      <c r="I1032">
        <v>4</v>
      </c>
      <c r="J1032">
        <v>316</v>
      </c>
      <c r="K1032">
        <v>318</v>
      </c>
      <c r="L1032" t="s">
        <v>9191</v>
      </c>
      <c r="M1032" t="s">
        <v>9192</v>
      </c>
      <c r="N1032" t="s">
        <v>9193</v>
      </c>
      <c r="O1032" t="s">
        <v>63</v>
      </c>
      <c r="Q1032" t="s">
        <v>63</v>
      </c>
      <c r="R1032" t="s">
        <v>63</v>
      </c>
      <c r="S1032" t="s">
        <v>63</v>
      </c>
      <c r="T1032" t="s">
        <v>63</v>
      </c>
      <c r="X1032" t="s">
        <v>63</v>
      </c>
      <c r="Y1032" t="s">
        <v>942</v>
      </c>
      <c r="Z1032" t="s">
        <v>63</v>
      </c>
      <c r="AA1032" t="s">
        <v>9194</v>
      </c>
      <c r="AB1032">
        <v>28394437</v>
      </c>
      <c r="AC1032" t="s">
        <v>67</v>
      </c>
      <c r="AD1032" t="s">
        <v>63</v>
      </c>
      <c r="AE1032" t="s">
        <v>63</v>
      </c>
      <c r="AF1032" t="s">
        <v>63</v>
      </c>
      <c r="AG1032" t="s">
        <v>9195</v>
      </c>
      <c r="AH1032" t="s">
        <v>63</v>
      </c>
      <c r="AI1032" t="s">
        <v>9196</v>
      </c>
      <c r="AJ1032" t="s">
        <v>63</v>
      </c>
      <c r="AK1032" t="s">
        <v>63</v>
      </c>
      <c r="AL1032" t="s">
        <v>63</v>
      </c>
      <c r="AM1032" t="s">
        <v>9197</v>
      </c>
      <c r="AN1032" t="s">
        <v>63</v>
      </c>
      <c r="AO1032" t="s">
        <v>63</v>
      </c>
      <c r="AP1032" t="s">
        <v>63</v>
      </c>
      <c r="AQ1032" t="s">
        <v>63</v>
      </c>
      <c r="AR1032" t="s">
        <v>63</v>
      </c>
      <c r="AS1032" t="s">
        <v>63</v>
      </c>
      <c r="AT1032" t="s">
        <v>63</v>
      </c>
      <c r="AU1032" t="s">
        <v>63</v>
      </c>
      <c r="AV1032" t="s">
        <v>63</v>
      </c>
      <c r="AW1032" t="s">
        <v>63</v>
      </c>
      <c r="AX1032" t="s">
        <v>63</v>
      </c>
      <c r="AY1032" t="s">
        <v>63</v>
      </c>
      <c r="AZ1032" t="s">
        <v>63</v>
      </c>
      <c r="BA1032" t="s">
        <v>63</v>
      </c>
      <c r="BB1032" t="s">
        <v>63</v>
      </c>
      <c r="BC1032" t="s">
        <v>63</v>
      </c>
      <c r="BD1032" t="s">
        <v>63</v>
      </c>
      <c r="BE1032" t="s">
        <v>63</v>
      </c>
      <c r="BF1032" t="s">
        <v>63</v>
      </c>
    </row>
    <row r="1033" spans="1:58">
      <c r="A1033" t="s">
        <v>58</v>
      </c>
      <c r="B1033" t="s">
        <v>9198</v>
      </c>
      <c r="C1033" t="s">
        <v>9199</v>
      </c>
      <c r="D1033" t="s">
        <v>660</v>
      </c>
      <c r="E1033" t="s">
        <v>661</v>
      </c>
      <c r="F1033">
        <v>2011</v>
      </c>
      <c r="G1033" t="s">
        <v>219</v>
      </c>
      <c r="H1033">
        <v>123</v>
      </c>
      <c r="I1033">
        <v>6</v>
      </c>
      <c r="J1033">
        <v>132</v>
      </c>
      <c r="K1033">
        <v>139</v>
      </c>
      <c r="L1033" t="s">
        <v>9200</v>
      </c>
      <c r="M1033" t="s">
        <v>9201</v>
      </c>
      <c r="N1033" t="s">
        <v>9202</v>
      </c>
      <c r="O1033" t="s">
        <v>63</v>
      </c>
      <c r="Q1033" t="s">
        <v>63</v>
      </c>
      <c r="R1033" t="s">
        <v>63</v>
      </c>
      <c r="S1033" t="s">
        <v>63</v>
      </c>
      <c r="T1033" t="s">
        <v>63</v>
      </c>
      <c r="X1033" t="s">
        <v>63</v>
      </c>
      <c r="Y1033" t="s">
        <v>8863</v>
      </c>
      <c r="Z1033" t="s">
        <v>63</v>
      </c>
      <c r="AA1033" t="s">
        <v>9203</v>
      </c>
      <c r="AB1033">
        <v>22104462</v>
      </c>
      <c r="AC1033" t="s">
        <v>67</v>
      </c>
      <c r="AD1033" t="s">
        <v>63</v>
      </c>
      <c r="AE1033" t="s">
        <v>63</v>
      </c>
      <c r="AF1033" t="s">
        <v>63</v>
      </c>
      <c r="AG1033" t="s">
        <v>9204</v>
      </c>
      <c r="AH1033" t="s">
        <v>63</v>
      </c>
      <c r="AI1033" t="s">
        <v>9205</v>
      </c>
      <c r="AJ1033" t="s">
        <v>63</v>
      </c>
      <c r="AK1033" t="s">
        <v>63</v>
      </c>
      <c r="AL1033" t="s">
        <v>63</v>
      </c>
      <c r="AM1033" t="s">
        <v>9206</v>
      </c>
      <c r="AN1033" t="s">
        <v>63</v>
      </c>
      <c r="AO1033" t="s">
        <v>63</v>
      </c>
      <c r="AP1033" t="s">
        <v>63</v>
      </c>
      <c r="AQ1033" t="s">
        <v>63</v>
      </c>
      <c r="AR1033" t="s">
        <v>63</v>
      </c>
      <c r="AS1033" t="s">
        <v>63</v>
      </c>
      <c r="AT1033" t="s">
        <v>63</v>
      </c>
      <c r="AU1033" t="s">
        <v>63</v>
      </c>
      <c r="AV1033" t="s">
        <v>63</v>
      </c>
      <c r="AW1033" t="s">
        <v>63</v>
      </c>
      <c r="AX1033" t="s">
        <v>63</v>
      </c>
      <c r="AY1033" t="s">
        <v>63</v>
      </c>
      <c r="AZ1033" t="s">
        <v>63</v>
      </c>
      <c r="BA1033" t="s">
        <v>63</v>
      </c>
      <c r="BB1033" t="s">
        <v>63</v>
      </c>
      <c r="BC1033" t="s">
        <v>63</v>
      </c>
      <c r="BD1033" t="s">
        <v>63</v>
      </c>
      <c r="BE1033" t="s">
        <v>63</v>
      </c>
      <c r="BF1033" t="s">
        <v>63</v>
      </c>
    </row>
    <row r="1034" spans="1:58">
      <c r="A1034" t="s">
        <v>58</v>
      </c>
      <c r="B1034" t="s">
        <v>9207</v>
      </c>
      <c r="C1034" t="s">
        <v>9208</v>
      </c>
      <c r="D1034" t="s">
        <v>3984</v>
      </c>
      <c r="E1034" t="s">
        <v>63</v>
      </c>
      <c r="F1034">
        <v>2012</v>
      </c>
      <c r="G1034" t="s">
        <v>198</v>
      </c>
      <c r="H1034">
        <v>13</v>
      </c>
      <c r="I1034">
        <v>1</v>
      </c>
      <c r="J1034">
        <v>32</v>
      </c>
      <c r="K1034">
        <v>40</v>
      </c>
      <c r="L1034" t="s">
        <v>9209</v>
      </c>
      <c r="M1034" t="s">
        <v>9210</v>
      </c>
      <c r="N1034" t="s">
        <v>9211</v>
      </c>
      <c r="O1034" t="s">
        <v>63</v>
      </c>
      <c r="Q1034" t="s">
        <v>63</v>
      </c>
      <c r="R1034" t="s">
        <v>63</v>
      </c>
      <c r="S1034" t="s">
        <v>63</v>
      </c>
      <c r="T1034" t="s">
        <v>63</v>
      </c>
      <c r="X1034" t="s">
        <v>63</v>
      </c>
      <c r="Y1034" t="s">
        <v>3988</v>
      </c>
      <c r="Z1034" t="s">
        <v>63</v>
      </c>
      <c r="AA1034" t="s">
        <v>9212</v>
      </c>
      <c r="AB1034">
        <v>22112421</v>
      </c>
      <c r="AC1034" t="s">
        <v>67</v>
      </c>
      <c r="AD1034" t="s">
        <v>63</v>
      </c>
      <c r="AE1034" t="s">
        <v>63</v>
      </c>
      <c r="AF1034" t="s">
        <v>63</v>
      </c>
      <c r="AG1034" t="s">
        <v>9213</v>
      </c>
      <c r="AH1034" t="s">
        <v>63</v>
      </c>
      <c r="AI1034" t="s">
        <v>9214</v>
      </c>
      <c r="AJ1034" t="s">
        <v>63</v>
      </c>
      <c r="AK1034" t="s">
        <v>63</v>
      </c>
      <c r="AL1034" t="s">
        <v>63</v>
      </c>
      <c r="AM1034" t="s">
        <v>9215</v>
      </c>
      <c r="AN1034" t="s">
        <v>63</v>
      </c>
      <c r="AO1034" t="s">
        <v>63</v>
      </c>
      <c r="AP1034" t="s">
        <v>63</v>
      </c>
      <c r="AQ1034" t="s">
        <v>63</v>
      </c>
      <c r="AR1034" t="s">
        <v>63</v>
      </c>
      <c r="AS1034" t="s">
        <v>63</v>
      </c>
      <c r="AT1034" t="s">
        <v>63</v>
      </c>
      <c r="AU1034" t="s">
        <v>63</v>
      </c>
      <c r="AV1034" t="s">
        <v>63</v>
      </c>
      <c r="AW1034" t="s">
        <v>63</v>
      </c>
      <c r="AX1034" t="s">
        <v>63</v>
      </c>
      <c r="AY1034" t="s">
        <v>63</v>
      </c>
      <c r="AZ1034" t="s">
        <v>63</v>
      </c>
      <c r="BA1034" t="s">
        <v>63</v>
      </c>
      <c r="BB1034" t="s">
        <v>63</v>
      </c>
      <c r="BC1034" t="s">
        <v>63</v>
      </c>
      <c r="BD1034" t="s">
        <v>63</v>
      </c>
      <c r="BE1034" t="s">
        <v>63</v>
      </c>
      <c r="BF1034" t="s">
        <v>63</v>
      </c>
    </row>
    <row r="1035" spans="1:58">
      <c r="A1035" t="s">
        <v>58</v>
      </c>
      <c r="B1035" t="s">
        <v>9216</v>
      </c>
      <c r="C1035" t="s">
        <v>9217</v>
      </c>
      <c r="D1035" t="s">
        <v>5457</v>
      </c>
      <c r="E1035" t="s">
        <v>5458</v>
      </c>
      <c r="F1035">
        <v>2013</v>
      </c>
      <c r="G1035" s="1">
        <v>41943</v>
      </c>
      <c r="H1035">
        <v>96</v>
      </c>
      <c r="I1035">
        <v>11</v>
      </c>
      <c r="J1035">
        <v>38</v>
      </c>
      <c r="K1035">
        <v>41</v>
      </c>
      <c r="L1035" t="s">
        <v>9218</v>
      </c>
      <c r="M1035" t="s">
        <v>9219</v>
      </c>
      <c r="N1035" t="s">
        <v>9220</v>
      </c>
      <c r="O1035" t="s">
        <v>63</v>
      </c>
      <c r="Q1035" t="s">
        <v>63</v>
      </c>
      <c r="R1035" t="s">
        <v>63</v>
      </c>
      <c r="S1035" t="s">
        <v>63</v>
      </c>
      <c r="T1035" t="s">
        <v>63</v>
      </c>
      <c r="X1035" t="s">
        <v>63</v>
      </c>
      <c r="Y1035" t="s">
        <v>5462</v>
      </c>
      <c r="Z1035" t="s">
        <v>63</v>
      </c>
      <c r="AA1035" t="s">
        <v>9221</v>
      </c>
      <c r="AB1035">
        <v>24187678</v>
      </c>
      <c r="AC1035" t="s">
        <v>67</v>
      </c>
      <c r="AD1035" t="s">
        <v>63</v>
      </c>
      <c r="AE1035" t="s">
        <v>63</v>
      </c>
      <c r="AF1035" t="s">
        <v>63</v>
      </c>
      <c r="AG1035" t="s">
        <v>9222</v>
      </c>
      <c r="AH1035" t="s">
        <v>63</v>
      </c>
      <c r="AI1035" t="s">
        <v>63</v>
      </c>
      <c r="AJ1035" t="s">
        <v>63</v>
      </c>
      <c r="AK1035" t="s">
        <v>63</v>
      </c>
      <c r="AL1035" t="s">
        <v>63</v>
      </c>
      <c r="AM1035" t="s">
        <v>9223</v>
      </c>
      <c r="AN1035" t="s">
        <v>63</v>
      </c>
      <c r="AO1035" t="s">
        <v>63</v>
      </c>
      <c r="AP1035" t="s">
        <v>63</v>
      </c>
      <c r="AQ1035" t="s">
        <v>63</v>
      </c>
      <c r="AR1035" t="s">
        <v>63</v>
      </c>
      <c r="AS1035" t="s">
        <v>63</v>
      </c>
      <c r="AT1035" t="s">
        <v>63</v>
      </c>
      <c r="AU1035" t="s">
        <v>63</v>
      </c>
      <c r="AV1035" t="s">
        <v>63</v>
      </c>
      <c r="AW1035" t="s">
        <v>63</v>
      </c>
      <c r="AX1035" t="s">
        <v>63</v>
      </c>
      <c r="AY1035" t="s">
        <v>63</v>
      </c>
      <c r="AZ1035" t="s">
        <v>63</v>
      </c>
      <c r="BA1035" t="s">
        <v>63</v>
      </c>
      <c r="BB1035" t="s">
        <v>63</v>
      </c>
      <c r="BC1035" t="s">
        <v>63</v>
      </c>
      <c r="BD1035" t="s">
        <v>63</v>
      </c>
      <c r="BE1035" t="s">
        <v>63</v>
      </c>
      <c r="BF1035" t="s">
        <v>63</v>
      </c>
    </row>
    <row r="1036" spans="1:58">
      <c r="A1036" t="s">
        <v>58</v>
      </c>
      <c r="B1036" t="s">
        <v>9224</v>
      </c>
      <c r="C1036" t="s">
        <v>9225</v>
      </c>
      <c r="D1036" t="s">
        <v>938</v>
      </c>
      <c r="E1036" t="s">
        <v>63</v>
      </c>
      <c r="F1036">
        <v>1997</v>
      </c>
      <c r="G1036" t="s">
        <v>63</v>
      </c>
      <c r="H1036">
        <v>6</v>
      </c>
      <c r="I1036">
        <v>3</v>
      </c>
      <c r="J1036">
        <v>256</v>
      </c>
      <c r="K1036">
        <v>265</v>
      </c>
      <c r="L1036" t="s">
        <v>9226</v>
      </c>
      <c r="M1036" t="s">
        <v>9227</v>
      </c>
      <c r="N1036" t="s">
        <v>9228</v>
      </c>
      <c r="O1036" t="s">
        <v>63</v>
      </c>
      <c r="Q1036" t="s">
        <v>63</v>
      </c>
      <c r="R1036" t="s">
        <v>63</v>
      </c>
      <c r="S1036" t="s">
        <v>63</v>
      </c>
      <c r="T1036" t="s">
        <v>63</v>
      </c>
      <c r="X1036" t="s">
        <v>63</v>
      </c>
      <c r="Y1036" t="s">
        <v>2500</v>
      </c>
      <c r="Z1036" t="s">
        <v>63</v>
      </c>
      <c r="AA1036" t="s">
        <v>9229</v>
      </c>
      <c r="AB1036">
        <v>9256992</v>
      </c>
      <c r="AC1036" t="s">
        <v>67</v>
      </c>
      <c r="AD1036" t="s">
        <v>63</v>
      </c>
      <c r="AE1036" t="s">
        <v>63</v>
      </c>
      <c r="AF1036" t="s">
        <v>63</v>
      </c>
      <c r="AG1036" t="s">
        <v>9230</v>
      </c>
      <c r="AH1036" t="s">
        <v>63</v>
      </c>
      <c r="AI1036" t="s">
        <v>63</v>
      </c>
      <c r="AJ1036" t="s">
        <v>63</v>
      </c>
      <c r="AK1036" t="s">
        <v>63</v>
      </c>
      <c r="AL1036" t="s">
        <v>63</v>
      </c>
      <c r="AM1036" t="s">
        <v>9231</v>
      </c>
      <c r="AN1036" t="s">
        <v>63</v>
      </c>
      <c r="AO1036" t="s">
        <v>63</v>
      </c>
      <c r="AP1036" t="s">
        <v>63</v>
      </c>
      <c r="AQ1036" t="s">
        <v>63</v>
      </c>
      <c r="AR1036" t="s">
        <v>63</v>
      </c>
      <c r="AS1036" t="s">
        <v>63</v>
      </c>
      <c r="AT1036" t="s">
        <v>63</v>
      </c>
      <c r="AU1036" t="s">
        <v>63</v>
      </c>
      <c r="AV1036" t="s">
        <v>63</v>
      </c>
      <c r="AW1036" t="s">
        <v>63</v>
      </c>
      <c r="AX1036" t="s">
        <v>63</v>
      </c>
      <c r="AY1036" t="s">
        <v>63</v>
      </c>
      <c r="AZ1036" t="s">
        <v>63</v>
      </c>
      <c r="BA1036" t="s">
        <v>63</v>
      </c>
      <c r="BB1036" t="s">
        <v>63</v>
      </c>
      <c r="BC1036" t="s">
        <v>63</v>
      </c>
      <c r="BD1036" t="s">
        <v>63</v>
      </c>
      <c r="BE1036" t="s">
        <v>63</v>
      </c>
      <c r="BF1036" t="s">
        <v>63</v>
      </c>
    </row>
    <row r="1037" spans="1:58">
      <c r="A1037" t="s">
        <v>58</v>
      </c>
      <c r="B1037" t="s">
        <v>9232</v>
      </c>
      <c r="C1037" t="s">
        <v>9233</v>
      </c>
      <c r="D1037" t="s">
        <v>6358</v>
      </c>
      <c r="E1037" t="s">
        <v>63</v>
      </c>
      <c r="F1037">
        <v>1995</v>
      </c>
      <c r="G1037" t="s">
        <v>73</v>
      </c>
      <c r="H1037">
        <v>44</v>
      </c>
      <c r="I1037">
        <v>6</v>
      </c>
      <c r="J1037">
        <v>453</v>
      </c>
      <c r="K1037">
        <v>459</v>
      </c>
      <c r="L1037" t="s">
        <v>9234</v>
      </c>
      <c r="M1037" t="s">
        <v>9235</v>
      </c>
      <c r="N1037" t="s">
        <v>9236</v>
      </c>
      <c r="O1037" t="s">
        <v>63</v>
      </c>
      <c r="Q1037" t="s">
        <v>63</v>
      </c>
      <c r="R1037" t="s">
        <v>63</v>
      </c>
      <c r="S1037" t="s">
        <v>63</v>
      </c>
      <c r="T1037" t="s">
        <v>63</v>
      </c>
      <c r="X1037" t="s">
        <v>63</v>
      </c>
      <c r="Y1037" t="s">
        <v>6362</v>
      </c>
      <c r="Z1037" t="s">
        <v>63</v>
      </c>
      <c r="AA1037" t="s">
        <v>9237</v>
      </c>
      <c r="AB1037">
        <v>7596239</v>
      </c>
      <c r="AC1037" t="s">
        <v>67</v>
      </c>
      <c r="AD1037" t="s">
        <v>63</v>
      </c>
      <c r="AE1037" t="s">
        <v>63</v>
      </c>
      <c r="AF1037" t="s">
        <v>63</v>
      </c>
      <c r="AG1037" t="s">
        <v>9238</v>
      </c>
      <c r="AH1037" t="s">
        <v>63</v>
      </c>
      <c r="AI1037" t="s">
        <v>63</v>
      </c>
      <c r="AJ1037" t="s">
        <v>63</v>
      </c>
      <c r="AK1037" t="s">
        <v>63</v>
      </c>
      <c r="AL1037" t="s">
        <v>63</v>
      </c>
      <c r="AM1037" t="s">
        <v>9239</v>
      </c>
      <c r="AN1037" t="s">
        <v>63</v>
      </c>
      <c r="AO1037" t="s">
        <v>63</v>
      </c>
      <c r="AP1037" t="s">
        <v>63</v>
      </c>
      <c r="AQ1037" t="s">
        <v>63</v>
      </c>
      <c r="AR1037" t="s">
        <v>63</v>
      </c>
      <c r="AS1037" t="s">
        <v>63</v>
      </c>
      <c r="AT1037" t="s">
        <v>63</v>
      </c>
      <c r="AU1037" t="s">
        <v>63</v>
      </c>
      <c r="AV1037" t="s">
        <v>63</v>
      </c>
      <c r="AW1037" t="s">
        <v>63</v>
      </c>
      <c r="AX1037" t="s">
        <v>63</v>
      </c>
      <c r="AY1037" t="s">
        <v>63</v>
      </c>
      <c r="AZ1037" t="s">
        <v>63</v>
      </c>
      <c r="BA1037" t="s">
        <v>63</v>
      </c>
      <c r="BB1037" t="s">
        <v>63</v>
      </c>
      <c r="BC1037" t="s">
        <v>63</v>
      </c>
      <c r="BD1037" t="s">
        <v>63</v>
      </c>
      <c r="BE1037" t="s">
        <v>63</v>
      </c>
      <c r="BF1037" t="s">
        <v>63</v>
      </c>
    </row>
    <row r="1038" spans="1:58">
      <c r="A1038" t="s">
        <v>58</v>
      </c>
      <c r="B1038" t="s">
        <v>9240</v>
      </c>
      <c r="C1038" t="s">
        <v>9241</v>
      </c>
      <c r="D1038" t="s">
        <v>1212</v>
      </c>
      <c r="E1038" t="s">
        <v>63</v>
      </c>
      <c r="F1038">
        <v>2016</v>
      </c>
      <c r="G1038" t="s">
        <v>908</v>
      </c>
      <c r="H1038">
        <v>10</v>
      </c>
      <c r="I1038">
        <v>4</v>
      </c>
      <c r="J1038">
        <v>255</v>
      </c>
      <c r="K1038">
        <v>261</v>
      </c>
      <c r="L1038" t="s">
        <v>9242</v>
      </c>
      <c r="M1038" t="s">
        <v>9243</v>
      </c>
      <c r="N1038" t="s">
        <v>9244</v>
      </c>
      <c r="O1038" t="s">
        <v>63</v>
      </c>
      <c r="Q1038" t="s">
        <v>63</v>
      </c>
      <c r="R1038" t="s">
        <v>63</v>
      </c>
      <c r="S1038" t="s">
        <v>63</v>
      </c>
      <c r="T1038" t="s">
        <v>63</v>
      </c>
      <c r="X1038" t="s">
        <v>63</v>
      </c>
      <c r="Y1038" t="s">
        <v>2367</v>
      </c>
      <c r="Z1038" t="s">
        <v>63</v>
      </c>
      <c r="AA1038" t="s">
        <v>9245</v>
      </c>
      <c r="AB1038">
        <v>27183295</v>
      </c>
      <c r="AC1038" t="s">
        <v>67</v>
      </c>
      <c r="AD1038" t="s">
        <v>63</v>
      </c>
      <c r="AE1038" t="s">
        <v>63</v>
      </c>
      <c r="AF1038" t="s">
        <v>63</v>
      </c>
      <c r="AG1038" t="s">
        <v>9246</v>
      </c>
      <c r="AH1038" t="s">
        <v>63</v>
      </c>
      <c r="AI1038" t="s">
        <v>9247</v>
      </c>
      <c r="AJ1038" t="s">
        <v>63</v>
      </c>
      <c r="AK1038" t="s">
        <v>63</v>
      </c>
      <c r="AL1038" t="s">
        <v>63</v>
      </c>
      <c r="AM1038" t="s">
        <v>9248</v>
      </c>
      <c r="AN1038" t="s">
        <v>63</v>
      </c>
      <c r="AO1038" t="s">
        <v>63</v>
      </c>
      <c r="AP1038" t="s">
        <v>63</v>
      </c>
      <c r="AQ1038" t="s">
        <v>63</v>
      </c>
      <c r="AR1038" t="s">
        <v>63</v>
      </c>
      <c r="AS1038" t="s">
        <v>63</v>
      </c>
      <c r="AT1038" t="s">
        <v>63</v>
      </c>
      <c r="AU1038" t="s">
        <v>63</v>
      </c>
      <c r="AV1038" t="s">
        <v>63</v>
      </c>
      <c r="AW1038" t="s">
        <v>63</v>
      </c>
      <c r="AX1038" t="s">
        <v>63</v>
      </c>
      <c r="AY1038" t="s">
        <v>63</v>
      </c>
      <c r="AZ1038" t="s">
        <v>63</v>
      </c>
      <c r="BA1038" t="s">
        <v>63</v>
      </c>
      <c r="BB1038" t="s">
        <v>63</v>
      </c>
      <c r="BC1038" t="s">
        <v>63</v>
      </c>
      <c r="BD1038" t="s">
        <v>63</v>
      </c>
      <c r="BE1038" t="s">
        <v>63</v>
      </c>
      <c r="BF1038" t="s">
        <v>63</v>
      </c>
    </row>
    <row r="1039" spans="1:58">
      <c r="A1039" t="s">
        <v>58</v>
      </c>
      <c r="B1039" t="s">
        <v>9249</v>
      </c>
      <c r="C1039" t="s">
        <v>9250</v>
      </c>
      <c r="D1039" t="s">
        <v>1240</v>
      </c>
      <c r="E1039" t="s">
        <v>63</v>
      </c>
      <c r="F1039">
        <v>2000</v>
      </c>
      <c r="G1039" t="s">
        <v>189</v>
      </c>
      <c r="H1039">
        <v>50</v>
      </c>
      <c r="I1039">
        <v>454</v>
      </c>
      <c r="J1039">
        <v>385</v>
      </c>
      <c r="K1039">
        <v>386</v>
      </c>
      <c r="L1039" t="s">
        <v>9251</v>
      </c>
      <c r="M1039" t="s">
        <v>9252</v>
      </c>
      <c r="N1039" t="s">
        <v>9253</v>
      </c>
      <c r="O1039" t="s">
        <v>63</v>
      </c>
      <c r="Q1039" t="s">
        <v>63</v>
      </c>
      <c r="R1039" t="s">
        <v>63</v>
      </c>
      <c r="S1039" t="s">
        <v>63</v>
      </c>
      <c r="T1039" t="s">
        <v>63</v>
      </c>
      <c r="X1039" t="s">
        <v>63</v>
      </c>
      <c r="Y1039" t="s">
        <v>2376</v>
      </c>
      <c r="Z1039" t="s">
        <v>63</v>
      </c>
      <c r="AA1039" t="s">
        <v>9254</v>
      </c>
      <c r="AB1039">
        <v>10897536</v>
      </c>
      <c r="AC1039" t="s">
        <v>67</v>
      </c>
      <c r="AD1039" t="s">
        <v>63</v>
      </c>
      <c r="AE1039" t="s">
        <v>63</v>
      </c>
      <c r="AF1039" t="s">
        <v>63</v>
      </c>
      <c r="AG1039" t="s">
        <v>9255</v>
      </c>
      <c r="AH1039" t="s">
        <v>63</v>
      </c>
      <c r="AI1039" t="s">
        <v>63</v>
      </c>
      <c r="AJ1039" t="s">
        <v>63</v>
      </c>
      <c r="AK1039" t="s">
        <v>63</v>
      </c>
      <c r="AL1039" t="s">
        <v>63</v>
      </c>
      <c r="AM1039" t="s">
        <v>9256</v>
      </c>
      <c r="AN1039" t="s">
        <v>63</v>
      </c>
      <c r="AO1039" t="s">
        <v>63</v>
      </c>
      <c r="AP1039" t="s">
        <v>63</v>
      </c>
      <c r="AQ1039" t="s">
        <v>63</v>
      </c>
      <c r="AR1039" t="s">
        <v>63</v>
      </c>
      <c r="AS1039" t="s">
        <v>63</v>
      </c>
      <c r="AT1039" t="s">
        <v>63</v>
      </c>
      <c r="AU1039" t="s">
        <v>63</v>
      </c>
      <c r="AV1039" t="s">
        <v>63</v>
      </c>
      <c r="AW1039" t="s">
        <v>63</v>
      </c>
      <c r="AX1039" t="s">
        <v>63</v>
      </c>
      <c r="AY1039" t="s">
        <v>63</v>
      </c>
      <c r="AZ1039" t="s">
        <v>63</v>
      </c>
      <c r="BA1039" t="s">
        <v>63</v>
      </c>
      <c r="BB1039" t="s">
        <v>63</v>
      </c>
      <c r="BC1039" t="s">
        <v>63</v>
      </c>
      <c r="BD1039" t="s">
        <v>63</v>
      </c>
      <c r="BE1039" t="s">
        <v>63</v>
      </c>
      <c r="BF1039" t="s">
        <v>63</v>
      </c>
    </row>
    <row r="1040" spans="1:58">
      <c r="A1040" t="s">
        <v>58</v>
      </c>
      <c r="B1040" t="s">
        <v>9257</v>
      </c>
      <c r="C1040" t="s">
        <v>9258</v>
      </c>
      <c r="D1040" t="s">
        <v>408</v>
      </c>
      <c r="E1040" t="s">
        <v>409</v>
      </c>
      <c r="F1040">
        <v>2003</v>
      </c>
      <c r="G1040" t="s">
        <v>73</v>
      </c>
      <c r="H1040">
        <v>38</v>
      </c>
      <c r="I1040">
        <v>7</v>
      </c>
      <c r="J1040">
        <v>993</v>
      </c>
      <c r="K1040">
        <v>1001</v>
      </c>
      <c r="L1040" t="s">
        <v>9259</v>
      </c>
      <c r="M1040" t="s">
        <v>9260</v>
      </c>
      <c r="N1040" t="s">
        <v>9261</v>
      </c>
      <c r="O1040" t="s">
        <v>63</v>
      </c>
      <c r="Q1040" t="s">
        <v>63</v>
      </c>
      <c r="R1040" t="s">
        <v>63</v>
      </c>
      <c r="S1040" t="s">
        <v>63</v>
      </c>
      <c r="T1040" t="s">
        <v>63</v>
      </c>
      <c r="X1040" t="s">
        <v>63</v>
      </c>
      <c r="Y1040" t="s">
        <v>3682</v>
      </c>
      <c r="Z1040" t="s">
        <v>63</v>
      </c>
      <c r="AA1040" t="s">
        <v>9262</v>
      </c>
      <c r="AB1040">
        <v>12801152</v>
      </c>
      <c r="AC1040" t="s">
        <v>67</v>
      </c>
      <c r="AD1040" t="s">
        <v>63</v>
      </c>
      <c r="AE1040" t="s">
        <v>63</v>
      </c>
      <c r="AF1040" t="s">
        <v>63</v>
      </c>
      <c r="AG1040" t="s">
        <v>9263</v>
      </c>
      <c r="AH1040" t="s">
        <v>63</v>
      </c>
      <c r="AI1040" t="s">
        <v>63</v>
      </c>
      <c r="AJ1040" t="s">
        <v>63</v>
      </c>
      <c r="AK1040" t="s">
        <v>63</v>
      </c>
      <c r="AL1040" t="s">
        <v>63</v>
      </c>
      <c r="AM1040" t="s">
        <v>9264</v>
      </c>
      <c r="AN1040" t="s">
        <v>63</v>
      </c>
      <c r="AO1040" t="s">
        <v>63</v>
      </c>
      <c r="AP1040" t="s">
        <v>63</v>
      </c>
      <c r="AQ1040" t="s">
        <v>63</v>
      </c>
      <c r="AR1040" t="s">
        <v>63</v>
      </c>
      <c r="AS1040" t="s">
        <v>63</v>
      </c>
      <c r="AT1040" t="s">
        <v>63</v>
      </c>
      <c r="AU1040" t="s">
        <v>63</v>
      </c>
      <c r="AV1040" t="s">
        <v>63</v>
      </c>
      <c r="AW1040" t="s">
        <v>63</v>
      </c>
      <c r="AX1040" t="s">
        <v>63</v>
      </c>
      <c r="AY1040" t="s">
        <v>63</v>
      </c>
      <c r="AZ1040" t="s">
        <v>63</v>
      </c>
      <c r="BA1040" t="s">
        <v>63</v>
      </c>
      <c r="BB1040" t="s">
        <v>63</v>
      </c>
      <c r="BC1040" t="s">
        <v>63</v>
      </c>
      <c r="BD1040" t="s">
        <v>63</v>
      </c>
      <c r="BE1040" t="s">
        <v>63</v>
      </c>
      <c r="BF1040" t="s">
        <v>63</v>
      </c>
    </row>
    <row r="1041" spans="1:58">
      <c r="A1041" t="s">
        <v>58</v>
      </c>
      <c r="B1041" t="s">
        <v>9265</v>
      </c>
      <c r="C1041" t="s">
        <v>9266</v>
      </c>
      <c r="D1041" t="s">
        <v>500</v>
      </c>
      <c r="E1041" t="s">
        <v>501</v>
      </c>
      <c r="F1041">
        <v>2011</v>
      </c>
      <c r="G1041" t="s">
        <v>63</v>
      </c>
      <c r="H1041" t="s">
        <v>502</v>
      </c>
      <c r="I1041" t="s">
        <v>63</v>
      </c>
      <c r="J1041" t="s">
        <v>9267</v>
      </c>
      <c r="K1041">
        <v>7</v>
      </c>
      <c r="L1041" t="s">
        <v>9268</v>
      </c>
      <c r="M1041" t="s">
        <v>9269</v>
      </c>
      <c r="N1041" t="s">
        <v>9270</v>
      </c>
      <c r="O1041" t="s">
        <v>63</v>
      </c>
      <c r="Q1041" t="s">
        <v>63</v>
      </c>
      <c r="R1041" t="s">
        <v>63</v>
      </c>
      <c r="S1041" t="s">
        <v>63</v>
      </c>
      <c r="T1041" t="s">
        <v>63</v>
      </c>
      <c r="X1041" t="s">
        <v>63</v>
      </c>
      <c r="Y1041" t="s">
        <v>507</v>
      </c>
      <c r="Z1041" t="s">
        <v>63</v>
      </c>
      <c r="AA1041" t="s">
        <v>9271</v>
      </c>
      <c r="AB1041">
        <v>22190097</v>
      </c>
      <c r="AC1041" t="s">
        <v>67</v>
      </c>
      <c r="AD1041" t="s">
        <v>63</v>
      </c>
      <c r="AE1041" t="s">
        <v>63</v>
      </c>
      <c r="AF1041" t="s">
        <v>63</v>
      </c>
      <c r="AG1041" t="s">
        <v>9272</v>
      </c>
      <c r="AH1041" t="s">
        <v>63</v>
      </c>
      <c r="AI1041" t="s">
        <v>9273</v>
      </c>
      <c r="AJ1041" t="s">
        <v>63</v>
      </c>
      <c r="AK1041" t="s">
        <v>63</v>
      </c>
      <c r="AL1041" t="s">
        <v>63</v>
      </c>
      <c r="AM1041" t="s">
        <v>9274</v>
      </c>
      <c r="AN1041" t="s">
        <v>63</v>
      </c>
      <c r="AO1041" t="s">
        <v>63</v>
      </c>
      <c r="AP1041" t="s">
        <v>63</v>
      </c>
      <c r="AQ1041" t="s">
        <v>63</v>
      </c>
      <c r="AR1041" t="s">
        <v>63</v>
      </c>
      <c r="AS1041" t="s">
        <v>63</v>
      </c>
      <c r="AT1041" t="s">
        <v>63</v>
      </c>
      <c r="AU1041" t="s">
        <v>63</v>
      </c>
      <c r="AV1041" t="s">
        <v>63</v>
      </c>
      <c r="AW1041" t="s">
        <v>63</v>
      </c>
      <c r="AX1041" t="s">
        <v>63</v>
      </c>
      <c r="AY1041" t="s">
        <v>63</v>
      </c>
      <c r="AZ1041" t="s">
        <v>63</v>
      </c>
      <c r="BA1041" t="s">
        <v>63</v>
      </c>
      <c r="BB1041" t="s">
        <v>63</v>
      </c>
      <c r="BC1041" t="s">
        <v>63</v>
      </c>
      <c r="BD1041" t="s">
        <v>63</v>
      </c>
      <c r="BE1041" t="s">
        <v>63</v>
      </c>
      <c r="BF1041" t="s">
        <v>63</v>
      </c>
    </row>
    <row r="1042" spans="1:58">
      <c r="A1042" t="s">
        <v>58</v>
      </c>
      <c r="B1042" t="s">
        <v>9275</v>
      </c>
      <c r="C1042" t="s">
        <v>9276</v>
      </c>
      <c r="D1042" t="s">
        <v>563</v>
      </c>
      <c r="E1042" t="s">
        <v>63</v>
      </c>
      <c r="F1042">
        <v>2013</v>
      </c>
      <c r="G1042" s="1">
        <v>41892</v>
      </c>
      <c r="H1042">
        <v>13</v>
      </c>
      <c r="I1042" t="s">
        <v>63</v>
      </c>
      <c r="J1042">
        <v>124</v>
      </c>
      <c r="K1042" t="s">
        <v>63</v>
      </c>
      <c r="L1042" t="s">
        <v>9277</v>
      </c>
      <c r="M1042" t="s">
        <v>9278</v>
      </c>
      <c r="N1042" t="s">
        <v>9279</v>
      </c>
      <c r="O1042" t="s">
        <v>63</v>
      </c>
      <c r="Q1042" t="s">
        <v>63</v>
      </c>
      <c r="R1042" t="s">
        <v>63</v>
      </c>
      <c r="S1042" t="s">
        <v>63</v>
      </c>
      <c r="T1042" t="s">
        <v>63</v>
      </c>
      <c r="X1042" t="s">
        <v>63</v>
      </c>
      <c r="Y1042" t="s">
        <v>567</v>
      </c>
      <c r="Z1042" t="s">
        <v>63</v>
      </c>
      <c r="AA1042" t="s">
        <v>9280</v>
      </c>
      <c r="AB1042">
        <v>24025540</v>
      </c>
      <c r="AC1042" t="s">
        <v>67</v>
      </c>
      <c r="AD1042" t="s">
        <v>63</v>
      </c>
      <c r="AE1042" t="s">
        <v>63</v>
      </c>
      <c r="AF1042" t="s">
        <v>63</v>
      </c>
      <c r="AG1042" t="s">
        <v>9281</v>
      </c>
      <c r="AH1042" t="s">
        <v>63</v>
      </c>
      <c r="AI1042" t="s">
        <v>9282</v>
      </c>
      <c r="AJ1042" t="s">
        <v>63</v>
      </c>
      <c r="AK1042" t="s">
        <v>63</v>
      </c>
      <c r="AL1042" t="s">
        <v>63</v>
      </c>
      <c r="AM1042" t="s">
        <v>9283</v>
      </c>
      <c r="AN1042" t="s">
        <v>63</v>
      </c>
      <c r="AO1042" t="s">
        <v>63</v>
      </c>
      <c r="AP1042" t="s">
        <v>63</v>
      </c>
      <c r="AQ1042" t="s">
        <v>63</v>
      </c>
      <c r="AR1042" t="s">
        <v>63</v>
      </c>
      <c r="AS1042" t="s">
        <v>63</v>
      </c>
      <c r="AT1042" t="s">
        <v>63</v>
      </c>
      <c r="AU1042" t="s">
        <v>63</v>
      </c>
      <c r="AV1042" t="s">
        <v>63</v>
      </c>
      <c r="AW1042" t="s">
        <v>63</v>
      </c>
      <c r="AX1042" t="s">
        <v>63</v>
      </c>
      <c r="AY1042" t="s">
        <v>63</v>
      </c>
      <c r="AZ1042" t="s">
        <v>63</v>
      </c>
      <c r="BA1042" t="s">
        <v>63</v>
      </c>
      <c r="BB1042" t="s">
        <v>63</v>
      </c>
      <c r="BC1042" t="s">
        <v>63</v>
      </c>
      <c r="BD1042" t="s">
        <v>63</v>
      </c>
      <c r="BE1042" t="s">
        <v>63</v>
      </c>
      <c r="BF1042" t="s">
        <v>63</v>
      </c>
    </row>
    <row r="1043" spans="1:58">
      <c r="A1043" t="s">
        <v>58</v>
      </c>
      <c r="B1043" t="s">
        <v>9284</v>
      </c>
      <c r="C1043" t="s">
        <v>9285</v>
      </c>
      <c r="D1043" t="s">
        <v>155</v>
      </c>
      <c r="E1043" t="s">
        <v>156</v>
      </c>
      <c r="F1043">
        <v>1994</v>
      </c>
      <c r="G1043" t="s">
        <v>189</v>
      </c>
      <c r="H1043">
        <v>23</v>
      </c>
      <c r="I1043">
        <v>5</v>
      </c>
      <c r="J1043">
        <v>1072</v>
      </c>
      <c r="K1043">
        <v>1076</v>
      </c>
      <c r="L1043" t="s">
        <v>9286</v>
      </c>
      <c r="M1043" t="s">
        <v>9287</v>
      </c>
      <c r="N1043" t="s">
        <v>9288</v>
      </c>
      <c r="O1043" t="s">
        <v>63</v>
      </c>
      <c r="Q1043" t="s">
        <v>63</v>
      </c>
      <c r="R1043" t="s">
        <v>63</v>
      </c>
      <c r="S1043" t="s">
        <v>63</v>
      </c>
      <c r="T1043" t="s">
        <v>63</v>
      </c>
      <c r="X1043" t="s">
        <v>63</v>
      </c>
      <c r="Y1043" t="s">
        <v>160</v>
      </c>
      <c r="Z1043" t="s">
        <v>63</v>
      </c>
      <c r="AA1043" t="s">
        <v>9289</v>
      </c>
      <c r="AB1043">
        <v>8185102</v>
      </c>
      <c r="AC1043" t="s">
        <v>67</v>
      </c>
      <c r="AD1043" t="s">
        <v>63</v>
      </c>
      <c r="AE1043" t="s">
        <v>63</v>
      </c>
      <c r="AF1043" t="s">
        <v>63</v>
      </c>
      <c r="AG1043" t="s">
        <v>9290</v>
      </c>
      <c r="AH1043" t="s">
        <v>63</v>
      </c>
      <c r="AI1043" t="s">
        <v>63</v>
      </c>
      <c r="AJ1043" t="s">
        <v>63</v>
      </c>
      <c r="AK1043" t="s">
        <v>63</v>
      </c>
      <c r="AL1043" t="s">
        <v>63</v>
      </c>
      <c r="AM1043" t="s">
        <v>9291</v>
      </c>
      <c r="AN1043" t="s">
        <v>63</v>
      </c>
      <c r="AO1043" t="s">
        <v>63</v>
      </c>
      <c r="AP1043" t="s">
        <v>63</v>
      </c>
      <c r="AQ1043" t="s">
        <v>63</v>
      </c>
      <c r="AR1043" t="s">
        <v>63</v>
      </c>
      <c r="AS1043" t="s">
        <v>63</v>
      </c>
      <c r="AT1043" t="s">
        <v>63</v>
      </c>
      <c r="AU1043" t="s">
        <v>63</v>
      </c>
      <c r="AV1043" t="s">
        <v>63</v>
      </c>
      <c r="AW1043" t="s">
        <v>63</v>
      </c>
      <c r="AX1043" t="s">
        <v>63</v>
      </c>
      <c r="AY1043" t="s">
        <v>63</v>
      </c>
      <c r="AZ1043" t="s">
        <v>63</v>
      </c>
      <c r="BA1043" t="s">
        <v>63</v>
      </c>
      <c r="BB1043" t="s">
        <v>63</v>
      </c>
      <c r="BC1043" t="s">
        <v>63</v>
      </c>
      <c r="BD1043" t="s">
        <v>63</v>
      </c>
      <c r="BE1043" t="s">
        <v>63</v>
      </c>
      <c r="BF1043" t="s">
        <v>63</v>
      </c>
    </row>
    <row r="1044" spans="1:58">
      <c r="A1044" t="s">
        <v>58</v>
      </c>
      <c r="B1044" t="s">
        <v>9292</v>
      </c>
      <c r="C1044" t="s">
        <v>9293</v>
      </c>
      <c r="D1044" t="s">
        <v>1469</v>
      </c>
      <c r="E1044" t="s">
        <v>1470</v>
      </c>
      <c r="F1044">
        <v>1994</v>
      </c>
      <c r="G1044" t="s">
        <v>623</v>
      </c>
      <c r="H1044">
        <v>1</v>
      </c>
      <c r="I1044">
        <v>1</v>
      </c>
      <c r="J1044">
        <v>47</v>
      </c>
      <c r="K1044">
        <v>53</v>
      </c>
      <c r="L1044" t="s">
        <v>9294</v>
      </c>
      <c r="M1044" t="s">
        <v>9295</v>
      </c>
      <c r="N1044" t="s">
        <v>9296</v>
      </c>
      <c r="O1044" t="s">
        <v>63</v>
      </c>
      <c r="Q1044" t="s">
        <v>63</v>
      </c>
      <c r="R1044" t="s">
        <v>63</v>
      </c>
      <c r="S1044" t="s">
        <v>63</v>
      </c>
      <c r="T1044" t="s">
        <v>63</v>
      </c>
      <c r="X1044" t="s">
        <v>63</v>
      </c>
      <c r="Y1044" t="s">
        <v>1972</v>
      </c>
      <c r="Z1044" t="s">
        <v>63</v>
      </c>
      <c r="AA1044" t="s">
        <v>9297</v>
      </c>
      <c r="AB1044">
        <v>7621153</v>
      </c>
      <c r="AC1044" t="s">
        <v>67</v>
      </c>
      <c r="AD1044" t="s">
        <v>63</v>
      </c>
      <c r="AE1044" t="s">
        <v>63</v>
      </c>
      <c r="AF1044" t="s">
        <v>63</v>
      </c>
      <c r="AG1044" t="s">
        <v>9298</v>
      </c>
      <c r="AH1044" t="s">
        <v>63</v>
      </c>
      <c r="AI1044" t="s">
        <v>63</v>
      </c>
      <c r="AJ1044" t="s">
        <v>63</v>
      </c>
      <c r="AK1044" t="s">
        <v>63</v>
      </c>
      <c r="AL1044" t="s">
        <v>63</v>
      </c>
      <c r="AM1044" t="s">
        <v>9299</v>
      </c>
      <c r="AN1044" t="s">
        <v>63</v>
      </c>
      <c r="AO1044" t="s">
        <v>63</v>
      </c>
      <c r="AP1044" t="s">
        <v>63</v>
      </c>
      <c r="AQ1044" t="s">
        <v>63</v>
      </c>
      <c r="AR1044" t="s">
        <v>63</v>
      </c>
      <c r="AS1044" t="s">
        <v>63</v>
      </c>
      <c r="AT1044" t="s">
        <v>63</v>
      </c>
      <c r="AU1044" t="s">
        <v>63</v>
      </c>
      <c r="AV1044" t="s">
        <v>63</v>
      </c>
      <c r="AW1044" t="s">
        <v>63</v>
      </c>
      <c r="AX1044" t="s">
        <v>63</v>
      </c>
      <c r="AY1044" t="s">
        <v>63</v>
      </c>
      <c r="AZ1044" t="s">
        <v>63</v>
      </c>
      <c r="BA1044" t="s">
        <v>63</v>
      </c>
      <c r="BB1044" t="s">
        <v>63</v>
      </c>
      <c r="BC1044" t="s">
        <v>63</v>
      </c>
      <c r="BD1044" t="s">
        <v>63</v>
      </c>
      <c r="BE1044" t="s">
        <v>63</v>
      </c>
      <c r="BF1044" t="s">
        <v>63</v>
      </c>
    </row>
    <row r="1045" spans="1:58">
      <c r="A1045" t="s">
        <v>58</v>
      </c>
      <c r="B1045" t="s">
        <v>9300</v>
      </c>
      <c r="C1045" t="s">
        <v>9301</v>
      </c>
      <c r="D1045" t="s">
        <v>9302</v>
      </c>
      <c r="E1045" t="s">
        <v>63</v>
      </c>
      <c r="F1045">
        <v>2009</v>
      </c>
      <c r="G1045" t="s">
        <v>63</v>
      </c>
      <c r="H1045" t="s">
        <v>9303</v>
      </c>
      <c r="I1045" t="s">
        <v>63</v>
      </c>
      <c r="J1045">
        <v>40</v>
      </c>
      <c r="K1045">
        <v>42</v>
      </c>
      <c r="L1045" t="s">
        <v>9304</v>
      </c>
      <c r="M1045" t="s">
        <v>9305</v>
      </c>
      <c r="N1045" t="s">
        <v>9306</v>
      </c>
      <c r="O1045" t="s">
        <v>63</v>
      </c>
      <c r="Q1045" t="s">
        <v>63</v>
      </c>
      <c r="R1045" t="s">
        <v>63</v>
      </c>
      <c r="S1045" t="s">
        <v>63</v>
      </c>
      <c r="T1045" t="s">
        <v>63</v>
      </c>
      <c r="X1045" t="s">
        <v>63</v>
      </c>
      <c r="Y1045" t="s">
        <v>9307</v>
      </c>
      <c r="Z1045" t="s">
        <v>63</v>
      </c>
      <c r="AA1045" t="s">
        <v>9308</v>
      </c>
      <c r="AB1045">
        <v>19363893</v>
      </c>
      <c r="AC1045" t="s">
        <v>67</v>
      </c>
      <c r="AD1045" t="s">
        <v>63</v>
      </c>
      <c r="AE1045" t="s">
        <v>63</v>
      </c>
      <c r="AF1045" t="s">
        <v>63</v>
      </c>
      <c r="AG1045" t="s">
        <v>9309</v>
      </c>
      <c r="AH1045" t="s">
        <v>63</v>
      </c>
      <c r="AI1045" t="s">
        <v>63</v>
      </c>
      <c r="AJ1045" t="s">
        <v>63</v>
      </c>
      <c r="AK1045" t="s">
        <v>63</v>
      </c>
      <c r="AL1045" t="s">
        <v>63</v>
      </c>
      <c r="AM1045" t="s">
        <v>9310</v>
      </c>
      <c r="AN1045" t="s">
        <v>63</v>
      </c>
      <c r="AO1045" t="s">
        <v>63</v>
      </c>
      <c r="AP1045" t="s">
        <v>63</v>
      </c>
      <c r="AQ1045" t="s">
        <v>63</v>
      </c>
      <c r="AR1045" t="s">
        <v>63</v>
      </c>
      <c r="AS1045" t="s">
        <v>63</v>
      </c>
      <c r="AT1045" t="s">
        <v>63</v>
      </c>
      <c r="AU1045" t="s">
        <v>63</v>
      </c>
      <c r="AV1045" t="s">
        <v>63</v>
      </c>
      <c r="AW1045" t="s">
        <v>63</v>
      </c>
      <c r="AX1045" t="s">
        <v>63</v>
      </c>
      <c r="AY1045" t="s">
        <v>63</v>
      </c>
      <c r="AZ1045" t="s">
        <v>63</v>
      </c>
      <c r="BA1045" t="s">
        <v>63</v>
      </c>
      <c r="BB1045" t="s">
        <v>63</v>
      </c>
      <c r="BC1045" t="s">
        <v>63</v>
      </c>
      <c r="BD1045" t="s">
        <v>63</v>
      </c>
      <c r="BE1045" t="s">
        <v>63</v>
      </c>
      <c r="BF1045" t="s">
        <v>63</v>
      </c>
    </row>
    <row r="1046" spans="1:58">
      <c r="A1046" t="s">
        <v>58</v>
      </c>
      <c r="B1046" t="s">
        <v>9311</v>
      </c>
      <c r="C1046" t="s">
        <v>9312</v>
      </c>
      <c r="D1046" t="s">
        <v>308</v>
      </c>
      <c r="E1046" t="s">
        <v>309</v>
      </c>
      <c r="F1046">
        <v>1973</v>
      </c>
      <c r="G1046" t="s">
        <v>1670</v>
      </c>
      <c r="H1046">
        <v>29</v>
      </c>
      <c r="I1046">
        <v>1</v>
      </c>
      <c r="J1046">
        <v>48</v>
      </c>
      <c r="K1046">
        <v>50</v>
      </c>
      <c r="L1046" t="s">
        <v>9313</v>
      </c>
      <c r="M1046" t="s">
        <v>63</v>
      </c>
      <c r="N1046" t="s">
        <v>9314</v>
      </c>
      <c r="O1046" t="s">
        <v>63</v>
      </c>
      <c r="Q1046" t="s">
        <v>63</v>
      </c>
      <c r="R1046" t="s">
        <v>63</v>
      </c>
      <c r="S1046" t="s">
        <v>63</v>
      </c>
      <c r="T1046" t="s">
        <v>63</v>
      </c>
      <c r="X1046" t="s">
        <v>63</v>
      </c>
      <c r="Y1046" t="s">
        <v>312</v>
      </c>
      <c r="Z1046" t="s">
        <v>63</v>
      </c>
      <c r="AA1046" t="s">
        <v>63</v>
      </c>
      <c r="AB1046">
        <v>4711132</v>
      </c>
      <c r="AC1046" t="s">
        <v>67</v>
      </c>
      <c r="AD1046" t="s">
        <v>63</v>
      </c>
      <c r="AE1046" t="s">
        <v>63</v>
      </c>
      <c r="AF1046" t="s">
        <v>63</v>
      </c>
      <c r="AG1046" t="s">
        <v>9315</v>
      </c>
      <c r="AH1046" t="s">
        <v>63</v>
      </c>
      <c r="AI1046" t="s">
        <v>63</v>
      </c>
      <c r="AJ1046" t="s">
        <v>63</v>
      </c>
      <c r="AK1046" t="s">
        <v>63</v>
      </c>
      <c r="AL1046" t="s">
        <v>63</v>
      </c>
      <c r="AM1046" t="s">
        <v>9316</v>
      </c>
      <c r="AN1046" t="s">
        <v>63</v>
      </c>
      <c r="AO1046" t="s">
        <v>63</v>
      </c>
      <c r="AP1046" t="s">
        <v>63</v>
      </c>
      <c r="AQ1046" t="s">
        <v>63</v>
      </c>
      <c r="AR1046" t="s">
        <v>63</v>
      </c>
      <c r="AS1046" t="s">
        <v>63</v>
      </c>
      <c r="AT1046" t="s">
        <v>63</v>
      </c>
      <c r="AU1046" t="s">
        <v>63</v>
      </c>
      <c r="AV1046" t="s">
        <v>63</v>
      </c>
      <c r="AW1046" t="s">
        <v>63</v>
      </c>
      <c r="AX1046" t="s">
        <v>63</v>
      </c>
      <c r="AY1046" t="s">
        <v>63</v>
      </c>
      <c r="AZ1046" t="s">
        <v>63</v>
      </c>
      <c r="BA1046" t="s">
        <v>63</v>
      </c>
      <c r="BB1046" t="s">
        <v>63</v>
      </c>
      <c r="BC1046" t="s">
        <v>63</v>
      </c>
      <c r="BD1046" t="s">
        <v>63</v>
      </c>
      <c r="BE1046" t="s">
        <v>63</v>
      </c>
      <c r="BF1046" t="s">
        <v>63</v>
      </c>
    </row>
    <row r="1047" spans="1:58">
      <c r="A1047" t="s">
        <v>58</v>
      </c>
      <c r="B1047" t="s">
        <v>9317</v>
      </c>
      <c r="C1047" t="s">
        <v>9318</v>
      </c>
      <c r="D1047" t="s">
        <v>1393</v>
      </c>
      <c r="E1047" t="s">
        <v>1394</v>
      </c>
      <c r="F1047">
        <v>2016</v>
      </c>
      <c r="G1047" t="s">
        <v>189</v>
      </c>
      <c r="H1047">
        <v>18</v>
      </c>
      <c r="I1047">
        <v>5</v>
      </c>
      <c r="J1047">
        <v>1101</v>
      </c>
      <c r="K1047">
        <v>1109</v>
      </c>
      <c r="L1047" t="s">
        <v>9319</v>
      </c>
      <c r="M1047" t="s">
        <v>9320</v>
      </c>
      <c r="N1047" t="s">
        <v>9321</v>
      </c>
      <c r="O1047" t="s">
        <v>63</v>
      </c>
      <c r="Q1047" t="s">
        <v>63</v>
      </c>
      <c r="R1047" t="s">
        <v>63</v>
      </c>
      <c r="S1047" t="s">
        <v>63</v>
      </c>
      <c r="T1047" t="s">
        <v>63</v>
      </c>
      <c r="X1047" t="s">
        <v>63</v>
      </c>
      <c r="Y1047" t="s">
        <v>5404</v>
      </c>
      <c r="Z1047" t="s">
        <v>63</v>
      </c>
      <c r="AA1047" t="s">
        <v>9322</v>
      </c>
      <c r="AB1047">
        <v>26175459</v>
      </c>
      <c r="AC1047" t="s">
        <v>67</v>
      </c>
      <c r="AD1047" t="s">
        <v>63</v>
      </c>
      <c r="AE1047" t="s">
        <v>63</v>
      </c>
      <c r="AF1047" t="s">
        <v>63</v>
      </c>
      <c r="AG1047" t="s">
        <v>9323</v>
      </c>
      <c r="AH1047" t="s">
        <v>63</v>
      </c>
      <c r="AI1047" t="s">
        <v>9324</v>
      </c>
      <c r="AJ1047" t="s">
        <v>63</v>
      </c>
      <c r="AK1047" t="s">
        <v>63</v>
      </c>
      <c r="AL1047" t="s">
        <v>63</v>
      </c>
      <c r="AM1047" t="s">
        <v>9325</v>
      </c>
      <c r="AN1047" t="s">
        <v>63</v>
      </c>
      <c r="AO1047" t="s">
        <v>63</v>
      </c>
      <c r="AP1047" t="s">
        <v>63</v>
      </c>
      <c r="AQ1047" t="s">
        <v>63</v>
      </c>
      <c r="AR1047" t="s">
        <v>63</v>
      </c>
      <c r="AS1047" t="s">
        <v>63</v>
      </c>
      <c r="AT1047" t="s">
        <v>63</v>
      </c>
      <c r="AU1047" t="s">
        <v>63</v>
      </c>
      <c r="AV1047" t="s">
        <v>63</v>
      </c>
      <c r="AW1047" t="s">
        <v>63</v>
      </c>
      <c r="AX1047" t="s">
        <v>63</v>
      </c>
      <c r="AY1047" t="s">
        <v>63</v>
      </c>
      <c r="AZ1047" t="s">
        <v>63</v>
      </c>
      <c r="BA1047" t="s">
        <v>63</v>
      </c>
      <c r="BB1047" t="s">
        <v>63</v>
      </c>
      <c r="BC1047" t="s">
        <v>63</v>
      </c>
      <c r="BD1047" t="s">
        <v>63</v>
      </c>
      <c r="BE1047" t="s">
        <v>63</v>
      </c>
      <c r="BF1047" t="s">
        <v>63</v>
      </c>
    </row>
    <row r="1048" spans="1:58">
      <c r="A1048" t="s">
        <v>58</v>
      </c>
      <c r="B1048" t="s">
        <v>9326</v>
      </c>
      <c r="C1048" t="s">
        <v>9327</v>
      </c>
      <c r="D1048" t="s">
        <v>389</v>
      </c>
      <c r="E1048" t="s">
        <v>63</v>
      </c>
      <c r="F1048">
        <v>2013</v>
      </c>
      <c r="G1048" t="s">
        <v>63</v>
      </c>
      <c r="H1048">
        <v>34</v>
      </c>
      <c r="I1048">
        <v>4</v>
      </c>
      <c r="J1048">
        <v>356</v>
      </c>
      <c r="K1048">
        <v>362</v>
      </c>
      <c r="L1048" t="s">
        <v>9328</v>
      </c>
      <c r="M1048" t="s">
        <v>9329</v>
      </c>
      <c r="N1048" t="s">
        <v>9330</v>
      </c>
      <c r="O1048" t="s">
        <v>63</v>
      </c>
      <c r="Q1048" t="s">
        <v>63</v>
      </c>
      <c r="R1048" t="s">
        <v>63</v>
      </c>
      <c r="S1048" t="s">
        <v>63</v>
      </c>
      <c r="T1048" t="s">
        <v>63</v>
      </c>
      <c r="X1048" t="s">
        <v>63</v>
      </c>
      <c r="Y1048" t="s">
        <v>556</v>
      </c>
      <c r="Z1048" t="s">
        <v>63</v>
      </c>
      <c r="AA1048" t="s">
        <v>9331</v>
      </c>
      <c r="AB1048">
        <v>24159906</v>
      </c>
      <c r="AC1048" t="s">
        <v>67</v>
      </c>
      <c r="AD1048" t="s">
        <v>63</v>
      </c>
      <c r="AE1048" t="s">
        <v>63</v>
      </c>
      <c r="AF1048" t="s">
        <v>63</v>
      </c>
      <c r="AG1048" t="s">
        <v>9332</v>
      </c>
      <c r="AH1048" t="s">
        <v>63</v>
      </c>
      <c r="AI1048" t="s">
        <v>9333</v>
      </c>
      <c r="AJ1048" t="s">
        <v>63</v>
      </c>
      <c r="AK1048" t="s">
        <v>63</v>
      </c>
      <c r="AL1048" t="s">
        <v>63</v>
      </c>
      <c r="AM1048" t="s">
        <v>9334</v>
      </c>
      <c r="AN1048" t="s">
        <v>63</v>
      </c>
      <c r="AO1048" t="s">
        <v>63</v>
      </c>
      <c r="AP1048" t="s">
        <v>63</v>
      </c>
      <c r="AQ1048" t="s">
        <v>63</v>
      </c>
      <c r="AR1048" t="s">
        <v>63</v>
      </c>
      <c r="AS1048" t="s">
        <v>63</v>
      </c>
      <c r="AT1048" t="s">
        <v>63</v>
      </c>
      <c r="AU1048" t="s">
        <v>63</v>
      </c>
      <c r="AV1048" t="s">
        <v>63</v>
      </c>
      <c r="AW1048" t="s">
        <v>63</v>
      </c>
      <c r="AX1048" t="s">
        <v>63</v>
      </c>
      <c r="AY1048" t="s">
        <v>63</v>
      </c>
      <c r="AZ1048" t="s">
        <v>63</v>
      </c>
      <c r="BA1048" t="s">
        <v>63</v>
      </c>
      <c r="BB1048" t="s">
        <v>63</v>
      </c>
      <c r="BC1048" t="s">
        <v>63</v>
      </c>
      <c r="BD1048" t="s">
        <v>63</v>
      </c>
      <c r="BE1048" t="s">
        <v>63</v>
      </c>
      <c r="BF1048" t="s">
        <v>63</v>
      </c>
    </row>
    <row r="1049" spans="1:58">
      <c r="A1049" t="s">
        <v>58</v>
      </c>
      <c r="B1049" t="s">
        <v>9335</v>
      </c>
      <c r="C1049" t="s">
        <v>9336</v>
      </c>
      <c r="D1049" t="s">
        <v>2576</v>
      </c>
      <c r="E1049" t="s">
        <v>2577</v>
      </c>
      <c r="F1049">
        <v>1971</v>
      </c>
      <c r="G1049" s="1">
        <v>41726</v>
      </c>
      <c r="H1049">
        <v>178</v>
      </c>
      <c r="I1049" t="s">
        <v>63</v>
      </c>
      <c r="J1049">
        <v>66</v>
      </c>
      <c r="K1049">
        <v>69</v>
      </c>
      <c r="L1049" t="s">
        <v>9337</v>
      </c>
      <c r="M1049" t="s">
        <v>63</v>
      </c>
      <c r="N1049" t="s">
        <v>9338</v>
      </c>
      <c r="O1049" t="s">
        <v>63</v>
      </c>
      <c r="Q1049" t="s">
        <v>63</v>
      </c>
      <c r="R1049" t="s">
        <v>63</v>
      </c>
      <c r="S1049" t="s">
        <v>63</v>
      </c>
      <c r="T1049" t="s">
        <v>63</v>
      </c>
      <c r="X1049" t="s">
        <v>63</v>
      </c>
      <c r="Y1049" t="s">
        <v>2580</v>
      </c>
      <c r="Z1049" t="s">
        <v>63</v>
      </c>
      <c r="AA1049" t="s">
        <v>63</v>
      </c>
      <c r="AB1049">
        <v>5282659</v>
      </c>
      <c r="AC1049" t="s">
        <v>67</v>
      </c>
      <c r="AD1049" t="s">
        <v>63</v>
      </c>
      <c r="AE1049" t="s">
        <v>63</v>
      </c>
      <c r="AF1049" t="s">
        <v>63</v>
      </c>
      <c r="AG1049" t="s">
        <v>9339</v>
      </c>
      <c r="AH1049" t="s">
        <v>63</v>
      </c>
      <c r="AI1049" t="s">
        <v>63</v>
      </c>
      <c r="AJ1049" t="s">
        <v>63</v>
      </c>
      <c r="AK1049" t="s">
        <v>63</v>
      </c>
      <c r="AL1049" t="s">
        <v>63</v>
      </c>
      <c r="AM1049" t="s">
        <v>9340</v>
      </c>
      <c r="AN1049" t="s">
        <v>63</v>
      </c>
      <c r="AO1049" t="s">
        <v>63</v>
      </c>
      <c r="AP1049" t="s">
        <v>63</v>
      </c>
      <c r="AQ1049" t="s">
        <v>63</v>
      </c>
      <c r="AR1049" t="s">
        <v>63</v>
      </c>
      <c r="AS1049" t="s">
        <v>63</v>
      </c>
      <c r="AT1049" t="s">
        <v>63</v>
      </c>
      <c r="AU1049" t="s">
        <v>63</v>
      </c>
      <c r="AV1049" t="s">
        <v>63</v>
      </c>
      <c r="AW1049" t="s">
        <v>63</v>
      </c>
      <c r="AX1049" t="s">
        <v>63</v>
      </c>
      <c r="AY1049" t="s">
        <v>63</v>
      </c>
      <c r="AZ1049" t="s">
        <v>63</v>
      </c>
      <c r="BA1049" t="s">
        <v>63</v>
      </c>
      <c r="BB1049" t="s">
        <v>63</v>
      </c>
      <c r="BC1049" t="s">
        <v>63</v>
      </c>
      <c r="BD1049" t="s">
        <v>63</v>
      </c>
      <c r="BE1049" t="s">
        <v>63</v>
      </c>
      <c r="BF1049" t="s">
        <v>63</v>
      </c>
    </row>
    <row r="1050" spans="1:58">
      <c r="A1050" t="s">
        <v>58</v>
      </c>
      <c r="B1050" t="s">
        <v>9341</v>
      </c>
      <c r="C1050" t="s">
        <v>9342</v>
      </c>
      <c r="D1050" t="s">
        <v>1184</v>
      </c>
      <c r="E1050" t="s">
        <v>1185</v>
      </c>
      <c r="F1050">
        <v>1983</v>
      </c>
      <c r="G1050" t="s">
        <v>189</v>
      </c>
      <c r="H1050">
        <v>58</v>
      </c>
      <c r="I1050">
        <v>5</v>
      </c>
      <c r="J1050">
        <v>430</v>
      </c>
      <c r="K1050">
        <v>431</v>
      </c>
      <c r="L1050" t="s">
        <v>9343</v>
      </c>
      <c r="M1050" t="s">
        <v>63</v>
      </c>
      <c r="N1050" t="s">
        <v>9344</v>
      </c>
      <c r="O1050" t="s">
        <v>63</v>
      </c>
      <c r="Q1050" t="s">
        <v>63</v>
      </c>
      <c r="R1050" t="s">
        <v>63</v>
      </c>
      <c r="S1050" t="s">
        <v>63</v>
      </c>
      <c r="T1050" t="s">
        <v>63</v>
      </c>
      <c r="X1050" t="s">
        <v>63</v>
      </c>
      <c r="Y1050" t="s">
        <v>1188</v>
      </c>
      <c r="Z1050" t="s">
        <v>63</v>
      </c>
      <c r="AA1050" t="s">
        <v>63</v>
      </c>
      <c r="AB1050">
        <v>6854601</v>
      </c>
      <c r="AC1050" t="s">
        <v>67</v>
      </c>
      <c r="AD1050" t="s">
        <v>63</v>
      </c>
      <c r="AE1050" t="s">
        <v>63</v>
      </c>
      <c r="AF1050" t="s">
        <v>63</v>
      </c>
      <c r="AG1050" t="s">
        <v>9345</v>
      </c>
      <c r="AH1050" t="s">
        <v>63</v>
      </c>
      <c r="AI1050" t="s">
        <v>63</v>
      </c>
      <c r="AJ1050" t="s">
        <v>63</v>
      </c>
      <c r="AK1050" t="s">
        <v>63</v>
      </c>
      <c r="AL1050" t="s">
        <v>63</v>
      </c>
      <c r="AM1050" t="s">
        <v>9346</v>
      </c>
      <c r="AN1050" t="s">
        <v>63</v>
      </c>
      <c r="AO1050" t="s">
        <v>63</v>
      </c>
      <c r="AP1050" t="s">
        <v>63</v>
      </c>
      <c r="AQ1050" t="s">
        <v>63</v>
      </c>
      <c r="AR1050" t="s">
        <v>63</v>
      </c>
      <c r="AS1050" t="s">
        <v>63</v>
      </c>
      <c r="AT1050" t="s">
        <v>63</v>
      </c>
      <c r="AU1050" t="s">
        <v>63</v>
      </c>
      <c r="AV1050" t="s">
        <v>63</v>
      </c>
      <c r="AW1050" t="s">
        <v>63</v>
      </c>
      <c r="AX1050" t="s">
        <v>63</v>
      </c>
      <c r="AY1050" t="s">
        <v>63</v>
      </c>
      <c r="AZ1050" t="s">
        <v>63</v>
      </c>
      <c r="BA1050" t="s">
        <v>63</v>
      </c>
      <c r="BB1050" t="s">
        <v>63</v>
      </c>
      <c r="BC1050" t="s">
        <v>63</v>
      </c>
      <c r="BD1050" t="s">
        <v>63</v>
      </c>
      <c r="BE1050" t="s">
        <v>63</v>
      </c>
      <c r="BF1050" t="s">
        <v>63</v>
      </c>
    </row>
    <row r="1051" spans="1:58">
      <c r="A1051" t="s">
        <v>58</v>
      </c>
      <c r="B1051" t="s">
        <v>9347</v>
      </c>
      <c r="C1051" t="s">
        <v>9348</v>
      </c>
      <c r="D1051" t="s">
        <v>9349</v>
      </c>
      <c r="E1051" t="s">
        <v>63</v>
      </c>
      <c r="F1051">
        <v>2016</v>
      </c>
      <c r="G1051" t="s">
        <v>614</v>
      </c>
      <c r="H1051">
        <v>53</v>
      </c>
      <c r="I1051">
        <v>4</v>
      </c>
      <c r="J1051">
        <v>465</v>
      </c>
      <c r="K1051">
        <v>487</v>
      </c>
      <c r="L1051" t="s">
        <v>9350</v>
      </c>
      <c r="M1051" t="s">
        <v>9351</v>
      </c>
      <c r="N1051" t="s">
        <v>9352</v>
      </c>
      <c r="O1051" t="s">
        <v>63</v>
      </c>
      <c r="Q1051" t="s">
        <v>63</v>
      </c>
      <c r="R1051" t="s">
        <v>63</v>
      </c>
      <c r="S1051" t="s">
        <v>63</v>
      </c>
      <c r="T1051" t="s">
        <v>63</v>
      </c>
      <c r="X1051" t="s">
        <v>63</v>
      </c>
      <c r="Y1051" t="s">
        <v>9353</v>
      </c>
      <c r="Z1051" t="s">
        <v>63</v>
      </c>
      <c r="AA1051" t="s">
        <v>9354</v>
      </c>
      <c r="AB1051">
        <v>27488225</v>
      </c>
      <c r="AC1051" t="s">
        <v>67</v>
      </c>
      <c r="AD1051" t="s">
        <v>63</v>
      </c>
      <c r="AE1051" t="s">
        <v>63</v>
      </c>
      <c r="AF1051" t="s">
        <v>63</v>
      </c>
      <c r="AG1051" t="s">
        <v>9355</v>
      </c>
      <c r="AH1051" t="s">
        <v>63</v>
      </c>
      <c r="AI1051" t="s">
        <v>9356</v>
      </c>
      <c r="AJ1051" t="s">
        <v>63</v>
      </c>
      <c r="AK1051" t="s">
        <v>63</v>
      </c>
      <c r="AL1051" t="s">
        <v>63</v>
      </c>
      <c r="AM1051" t="s">
        <v>9357</v>
      </c>
      <c r="AN1051" t="s">
        <v>63</v>
      </c>
      <c r="AO1051" t="s">
        <v>63</v>
      </c>
      <c r="AP1051" t="s">
        <v>63</v>
      </c>
      <c r="AQ1051" t="s">
        <v>63</v>
      </c>
      <c r="AR1051" t="s">
        <v>63</v>
      </c>
      <c r="AS1051" t="s">
        <v>63</v>
      </c>
      <c r="AT1051" t="s">
        <v>63</v>
      </c>
      <c r="AU1051" t="s">
        <v>63</v>
      </c>
      <c r="AV1051" t="s">
        <v>63</v>
      </c>
      <c r="AW1051" t="s">
        <v>63</v>
      </c>
      <c r="AX1051" t="s">
        <v>63</v>
      </c>
      <c r="AY1051" t="s">
        <v>63</v>
      </c>
      <c r="AZ1051" t="s">
        <v>63</v>
      </c>
      <c r="BA1051" t="s">
        <v>63</v>
      </c>
      <c r="BB1051" t="s">
        <v>63</v>
      </c>
      <c r="BC1051" t="s">
        <v>63</v>
      </c>
      <c r="BD1051" t="s">
        <v>63</v>
      </c>
      <c r="BE1051" t="s">
        <v>63</v>
      </c>
      <c r="BF1051" t="s">
        <v>63</v>
      </c>
    </row>
    <row r="1052" spans="1:58">
      <c r="A1052" t="s">
        <v>58</v>
      </c>
      <c r="B1052" t="s">
        <v>9358</v>
      </c>
      <c r="C1052" t="s">
        <v>9359</v>
      </c>
      <c r="D1052" t="s">
        <v>205</v>
      </c>
      <c r="E1052" t="s">
        <v>205</v>
      </c>
      <c r="F1052">
        <v>1990</v>
      </c>
      <c r="G1052" s="1">
        <v>41802</v>
      </c>
      <c r="H1052">
        <v>263</v>
      </c>
      <c r="I1052">
        <v>22</v>
      </c>
      <c r="J1052">
        <v>3060</v>
      </c>
      <c r="K1052">
        <v>3062</v>
      </c>
      <c r="L1052" t="s">
        <v>9360</v>
      </c>
      <c r="M1052" t="s">
        <v>9361</v>
      </c>
      <c r="N1052" t="s">
        <v>9362</v>
      </c>
      <c r="O1052" t="s">
        <v>63</v>
      </c>
      <c r="Q1052" t="s">
        <v>63</v>
      </c>
      <c r="R1052" t="s">
        <v>63</v>
      </c>
      <c r="S1052" t="s">
        <v>63</v>
      </c>
      <c r="T1052" t="s">
        <v>63</v>
      </c>
      <c r="X1052" t="s">
        <v>63</v>
      </c>
      <c r="Y1052" t="s">
        <v>208</v>
      </c>
      <c r="Z1052" t="s">
        <v>63</v>
      </c>
      <c r="AA1052" t="s">
        <v>9363</v>
      </c>
      <c r="AB1052">
        <v>2342218</v>
      </c>
      <c r="AC1052" t="s">
        <v>67</v>
      </c>
      <c r="AD1052" t="s">
        <v>63</v>
      </c>
      <c r="AE1052" t="s">
        <v>63</v>
      </c>
      <c r="AF1052" t="s">
        <v>63</v>
      </c>
      <c r="AG1052" t="s">
        <v>9364</v>
      </c>
      <c r="AH1052" t="s">
        <v>63</v>
      </c>
      <c r="AI1052" t="s">
        <v>63</v>
      </c>
      <c r="AJ1052" t="s">
        <v>63</v>
      </c>
      <c r="AK1052" t="s">
        <v>63</v>
      </c>
      <c r="AL1052" t="s">
        <v>63</v>
      </c>
      <c r="AM1052" t="s">
        <v>9365</v>
      </c>
      <c r="AN1052" t="s">
        <v>63</v>
      </c>
      <c r="AO1052" t="s">
        <v>63</v>
      </c>
      <c r="AP1052" t="s">
        <v>63</v>
      </c>
      <c r="AQ1052" t="s">
        <v>63</v>
      </c>
      <c r="AR1052" t="s">
        <v>63</v>
      </c>
      <c r="AS1052" t="s">
        <v>63</v>
      </c>
      <c r="AT1052" t="s">
        <v>63</v>
      </c>
      <c r="AU1052" t="s">
        <v>63</v>
      </c>
      <c r="AV1052" t="s">
        <v>63</v>
      </c>
      <c r="AW1052" t="s">
        <v>63</v>
      </c>
      <c r="AX1052" t="s">
        <v>63</v>
      </c>
      <c r="AY1052" t="s">
        <v>63</v>
      </c>
      <c r="AZ1052" t="s">
        <v>63</v>
      </c>
      <c r="BA1052" t="s">
        <v>63</v>
      </c>
      <c r="BB1052" t="s">
        <v>63</v>
      </c>
      <c r="BC1052" t="s">
        <v>63</v>
      </c>
      <c r="BD1052" t="s">
        <v>63</v>
      </c>
      <c r="BE1052" t="s">
        <v>63</v>
      </c>
      <c r="BF1052" t="s">
        <v>63</v>
      </c>
    </row>
    <row r="1053" spans="1:58">
      <c r="A1053" t="s">
        <v>58</v>
      </c>
      <c r="B1053" t="s">
        <v>9366</v>
      </c>
      <c r="C1053" t="s">
        <v>9367</v>
      </c>
      <c r="D1053" t="s">
        <v>371</v>
      </c>
      <c r="E1053" t="s">
        <v>63</v>
      </c>
      <c r="F1053">
        <v>2018</v>
      </c>
      <c r="G1053" t="s">
        <v>326</v>
      </c>
      <c r="H1053">
        <v>33</v>
      </c>
      <c r="I1053">
        <v>2</v>
      </c>
      <c r="J1053">
        <v>166</v>
      </c>
      <c r="K1053">
        <v>176</v>
      </c>
      <c r="L1053" t="s">
        <v>63</v>
      </c>
      <c r="M1053" t="s">
        <v>9368</v>
      </c>
      <c r="N1053" t="s">
        <v>9369</v>
      </c>
      <c r="O1053" t="s">
        <v>63</v>
      </c>
      <c r="Q1053" t="s">
        <v>63</v>
      </c>
      <c r="R1053" t="s">
        <v>63</v>
      </c>
      <c r="S1053" t="s">
        <v>63</v>
      </c>
      <c r="T1053" t="s">
        <v>63</v>
      </c>
      <c r="X1053" t="s">
        <v>63</v>
      </c>
      <c r="Y1053" t="s">
        <v>547</v>
      </c>
      <c r="Z1053" t="s">
        <v>63</v>
      </c>
      <c r="AA1053" t="s">
        <v>9370</v>
      </c>
      <c r="AB1053">
        <v>29204977</v>
      </c>
      <c r="AC1053" t="s">
        <v>67</v>
      </c>
      <c r="AD1053" t="s">
        <v>63</v>
      </c>
      <c r="AE1053" t="s">
        <v>63</v>
      </c>
      <c r="AF1053" t="s">
        <v>63</v>
      </c>
      <c r="AG1053" t="s">
        <v>9371</v>
      </c>
      <c r="AH1053" t="s">
        <v>63</v>
      </c>
      <c r="AI1053" t="s">
        <v>9372</v>
      </c>
      <c r="AJ1053" t="s">
        <v>63</v>
      </c>
      <c r="AK1053" t="s">
        <v>63</v>
      </c>
      <c r="AL1053" t="s">
        <v>63</v>
      </c>
      <c r="AM1053" t="s">
        <v>9373</v>
      </c>
      <c r="AN1053" t="s">
        <v>63</v>
      </c>
      <c r="AO1053" t="s">
        <v>63</v>
      </c>
      <c r="AP1053" t="s">
        <v>63</v>
      </c>
      <c r="AQ1053" t="s">
        <v>63</v>
      </c>
      <c r="AR1053" t="s">
        <v>63</v>
      </c>
      <c r="AS1053" t="s">
        <v>63</v>
      </c>
      <c r="AT1053" t="s">
        <v>63</v>
      </c>
      <c r="AU1053" t="s">
        <v>63</v>
      </c>
      <c r="AV1053" t="s">
        <v>63</v>
      </c>
      <c r="AW1053" t="s">
        <v>63</v>
      </c>
      <c r="AX1053" t="s">
        <v>63</v>
      </c>
      <c r="AY1053" t="s">
        <v>63</v>
      </c>
      <c r="AZ1053" t="s">
        <v>63</v>
      </c>
      <c r="BA1053" t="s">
        <v>63</v>
      </c>
      <c r="BB1053" t="s">
        <v>63</v>
      </c>
      <c r="BC1053" t="s">
        <v>63</v>
      </c>
      <c r="BD1053" t="s">
        <v>63</v>
      </c>
      <c r="BE1053" t="s">
        <v>63</v>
      </c>
      <c r="BF1053" t="s">
        <v>63</v>
      </c>
    </row>
    <row r="1054" spans="1:58">
      <c r="A1054" t="s">
        <v>58</v>
      </c>
      <c r="B1054" t="s">
        <v>9374</v>
      </c>
      <c r="C1054" t="s">
        <v>9375</v>
      </c>
      <c r="D1054" t="s">
        <v>9376</v>
      </c>
      <c r="E1054" t="s">
        <v>63</v>
      </c>
      <c r="F1054">
        <v>2012</v>
      </c>
      <c r="G1054" t="s">
        <v>908</v>
      </c>
      <c r="H1054">
        <v>52</v>
      </c>
      <c r="I1054">
        <v>4</v>
      </c>
      <c r="J1054">
        <v>480</v>
      </c>
      <c r="K1054">
        <v>491</v>
      </c>
      <c r="L1054" t="s">
        <v>9377</v>
      </c>
      <c r="M1054" t="s">
        <v>9378</v>
      </c>
      <c r="N1054" t="s">
        <v>9379</v>
      </c>
      <c r="O1054" t="s">
        <v>63</v>
      </c>
      <c r="Q1054" t="s">
        <v>63</v>
      </c>
      <c r="R1054" t="s">
        <v>63</v>
      </c>
      <c r="S1054" t="s">
        <v>63</v>
      </c>
      <c r="T1054" t="s">
        <v>63</v>
      </c>
      <c r="X1054" t="s">
        <v>63</v>
      </c>
      <c r="Y1054" t="s">
        <v>9380</v>
      </c>
      <c r="Z1054" t="s">
        <v>63</v>
      </c>
      <c r="AA1054" t="s">
        <v>9381</v>
      </c>
      <c r="AB1054">
        <v>22825228</v>
      </c>
      <c r="AC1054" t="s">
        <v>67</v>
      </c>
      <c r="AD1054" t="s">
        <v>63</v>
      </c>
      <c r="AE1054" t="s">
        <v>63</v>
      </c>
      <c r="AF1054" t="s">
        <v>63</v>
      </c>
      <c r="AG1054" t="s">
        <v>9382</v>
      </c>
      <c r="AH1054" t="s">
        <v>63</v>
      </c>
      <c r="AI1054" t="s">
        <v>9383</v>
      </c>
      <c r="AJ1054" t="s">
        <v>63</v>
      </c>
      <c r="AK1054" t="s">
        <v>63</v>
      </c>
      <c r="AL1054" t="s">
        <v>63</v>
      </c>
      <c r="AM1054" t="s">
        <v>9384</v>
      </c>
      <c r="AN1054" t="s">
        <v>63</v>
      </c>
      <c r="AO1054" t="s">
        <v>63</v>
      </c>
      <c r="AP1054" t="s">
        <v>63</v>
      </c>
      <c r="AQ1054" t="s">
        <v>63</v>
      </c>
      <c r="AR1054" t="s">
        <v>63</v>
      </c>
      <c r="AS1054" t="s">
        <v>63</v>
      </c>
      <c r="AT1054" t="s">
        <v>63</v>
      </c>
      <c r="AU1054" t="s">
        <v>63</v>
      </c>
      <c r="AV1054" t="s">
        <v>63</v>
      </c>
      <c r="AW1054" t="s">
        <v>63</v>
      </c>
      <c r="AX1054" t="s">
        <v>63</v>
      </c>
      <c r="AY1054" t="s">
        <v>63</v>
      </c>
      <c r="AZ1054" t="s">
        <v>63</v>
      </c>
      <c r="BA1054" t="s">
        <v>63</v>
      </c>
      <c r="BB1054" t="s">
        <v>63</v>
      </c>
      <c r="BC1054" t="s">
        <v>63</v>
      </c>
      <c r="BD1054" t="s">
        <v>63</v>
      </c>
      <c r="BE1054" t="s">
        <v>63</v>
      </c>
      <c r="BF1054" t="s">
        <v>63</v>
      </c>
    </row>
    <row r="1055" spans="1:58">
      <c r="A1055" t="s">
        <v>58</v>
      </c>
      <c r="B1055" t="s">
        <v>9385</v>
      </c>
      <c r="C1055" t="s">
        <v>9386</v>
      </c>
      <c r="D1055" t="s">
        <v>1212</v>
      </c>
      <c r="E1055" t="s">
        <v>63</v>
      </c>
      <c r="F1055">
        <v>2011</v>
      </c>
      <c r="G1055" t="s">
        <v>157</v>
      </c>
      <c r="H1055">
        <v>5</v>
      </c>
      <c r="I1055">
        <v>4</v>
      </c>
      <c r="J1055">
        <v>279</v>
      </c>
      <c r="K1055">
        <v>283</v>
      </c>
      <c r="L1055" t="s">
        <v>9387</v>
      </c>
      <c r="M1055" t="s">
        <v>9388</v>
      </c>
      <c r="N1055" t="s">
        <v>9389</v>
      </c>
      <c r="O1055" t="s">
        <v>63</v>
      </c>
      <c r="Q1055" t="s">
        <v>63</v>
      </c>
      <c r="R1055" t="s">
        <v>63</v>
      </c>
      <c r="S1055" t="s">
        <v>63</v>
      </c>
      <c r="T1055" t="s">
        <v>63</v>
      </c>
      <c r="X1055" t="s">
        <v>63</v>
      </c>
      <c r="Y1055" t="s">
        <v>1216</v>
      </c>
      <c r="Z1055" t="s">
        <v>63</v>
      </c>
      <c r="AA1055" t="s">
        <v>9390</v>
      </c>
      <c r="AB1055">
        <v>22107877</v>
      </c>
      <c r="AC1055" t="s">
        <v>67</v>
      </c>
      <c r="AD1055" t="s">
        <v>63</v>
      </c>
      <c r="AE1055" t="s">
        <v>63</v>
      </c>
      <c r="AF1055" t="s">
        <v>63</v>
      </c>
      <c r="AG1055" t="s">
        <v>9391</v>
      </c>
      <c r="AH1055" t="s">
        <v>63</v>
      </c>
      <c r="AI1055" t="s">
        <v>9392</v>
      </c>
      <c r="AJ1055" t="s">
        <v>63</v>
      </c>
      <c r="AK1055" t="s">
        <v>63</v>
      </c>
      <c r="AL1055" t="s">
        <v>63</v>
      </c>
      <c r="AM1055" t="s">
        <v>9393</v>
      </c>
      <c r="AN1055" t="s">
        <v>63</v>
      </c>
      <c r="AO1055" t="s">
        <v>63</v>
      </c>
      <c r="AP1055" t="s">
        <v>63</v>
      </c>
      <c r="AQ1055" t="s">
        <v>63</v>
      </c>
      <c r="AR1055" t="s">
        <v>63</v>
      </c>
      <c r="AS1055" t="s">
        <v>63</v>
      </c>
      <c r="AT1055" t="s">
        <v>63</v>
      </c>
      <c r="AU1055" t="s">
        <v>63</v>
      </c>
      <c r="AV1055" t="s">
        <v>63</v>
      </c>
      <c r="AW1055" t="s">
        <v>63</v>
      </c>
      <c r="AX1055" t="s">
        <v>63</v>
      </c>
      <c r="AY1055" t="s">
        <v>63</v>
      </c>
      <c r="AZ1055" t="s">
        <v>63</v>
      </c>
      <c r="BA1055" t="s">
        <v>63</v>
      </c>
      <c r="BB1055" t="s">
        <v>63</v>
      </c>
      <c r="BC1055" t="s">
        <v>63</v>
      </c>
      <c r="BD1055" t="s">
        <v>63</v>
      </c>
      <c r="BE1055" t="s">
        <v>63</v>
      </c>
      <c r="BF1055" t="s">
        <v>63</v>
      </c>
    </row>
    <row r="1056" spans="1:58">
      <c r="A1056" t="s">
        <v>58</v>
      </c>
      <c r="B1056" t="s">
        <v>9394</v>
      </c>
      <c r="C1056" t="s">
        <v>9395</v>
      </c>
      <c r="D1056" t="s">
        <v>371</v>
      </c>
      <c r="E1056" t="s">
        <v>63</v>
      </c>
      <c r="F1056">
        <v>2002</v>
      </c>
      <c r="G1056" t="s">
        <v>189</v>
      </c>
      <c r="H1056">
        <v>17</v>
      </c>
      <c r="I1056">
        <v>5</v>
      </c>
      <c r="J1056">
        <v>327</v>
      </c>
      <c r="K1056">
        <v>333</v>
      </c>
      <c r="L1056" t="s">
        <v>9396</v>
      </c>
      <c r="M1056" t="s">
        <v>9397</v>
      </c>
      <c r="N1056" t="s">
        <v>9398</v>
      </c>
      <c r="O1056" t="s">
        <v>63</v>
      </c>
      <c r="Q1056" t="s">
        <v>63</v>
      </c>
      <c r="R1056" t="s">
        <v>63</v>
      </c>
      <c r="S1056" t="s">
        <v>63</v>
      </c>
      <c r="T1056" t="s">
        <v>63</v>
      </c>
      <c r="X1056" t="s">
        <v>63</v>
      </c>
      <c r="Y1056" t="s">
        <v>375</v>
      </c>
      <c r="Z1056" t="s">
        <v>63</v>
      </c>
      <c r="AA1056" t="s">
        <v>9399</v>
      </c>
      <c r="AB1056">
        <v>12047728</v>
      </c>
      <c r="AC1056" t="s">
        <v>67</v>
      </c>
      <c r="AD1056" t="s">
        <v>63</v>
      </c>
      <c r="AE1056" t="s">
        <v>63</v>
      </c>
      <c r="AF1056" t="s">
        <v>63</v>
      </c>
      <c r="AG1056" t="s">
        <v>9400</v>
      </c>
      <c r="AH1056" t="s">
        <v>63</v>
      </c>
      <c r="AI1056" t="s">
        <v>63</v>
      </c>
      <c r="AJ1056" t="s">
        <v>63</v>
      </c>
      <c r="AK1056" t="s">
        <v>63</v>
      </c>
      <c r="AL1056" t="s">
        <v>63</v>
      </c>
      <c r="AM1056" t="s">
        <v>9401</v>
      </c>
      <c r="AN1056" t="s">
        <v>63</v>
      </c>
      <c r="AO1056" t="s">
        <v>63</v>
      </c>
      <c r="AP1056" t="s">
        <v>63</v>
      </c>
      <c r="AQ1056" t="s">
        <v>63</v>
      </c>
      <c r="AR1056" t="s">
        <v>63</v>
      </c>
      <c r="AS1056" t="s">
        <v>63</v>
      </c>
      <c r="AT1056" t="s">
        <v>63</v>
      </c>
      <c r="AU1056" t="s">
        <v>63</v>
      </c>
      <c r="AV1056" t="s">
        <v>63</v>
      </c>
      <c r="AW1056" t="s">
        <v>63</v>
      </c>
      <c r="AX1056" t="s">
        <v>63</v>
      </c>
      <c r="AY1056" t="s">
        <v>63</v>
      </c>
      <c r="AZ1056" t="s">
        <v>63</v>
      </c>
      <c r="BA1056" t="s">
        <v>63</v>
      </c>
      <c r="BB1056" t="s">
        <v>63</v>
      </c>
      <c r="BC1056" t="s">
        <v>63</v>
      </c>
      <c r="BD1056" t="s">
        <v>63</v>
      </c>
      <c r="BE1056" t="s">
        <v>63</v>
      </c>
      <c r="BF1056" t="s">
        <v>63</v>
      </c>
    </row>
    <row r="1057" spans="1:58">
      <c r="A1057" t="s">
        <v>58</v>
      </c>
      <c r="B1057" t="s">
        <v>9402</v>
      </c>
      <c r="C1057" t="s">
        <v>9403</v>
      </c>
      <c r="D1057" t="s">
        <v>212</v>
      </c>
      <c r="E1057" t="s">
        <v>63</v>
      </c>
      <c r="F1057">
        <v>2016</v>
      </c>
      <c r="G1057" s="1">
        <v>41915</v>
      </c>
      <c r="H1057">
        <v>188</v>
      </c>
      <c r="I1057">
        <v>14</v>
      </c>
      <c r="J1057">
        <v>1003</v>
      </c>
      <c r="K1057" t="s">
        <v>63</v>
      </c>
      <c r="L1057" t="s">
        <v>9404</v>
      </c>
      <c r="M1057" t="s">
        <v>63</v>
      </c>
      <c r="N1057" t="s">
        <v>9405</v>
      </c>
      <c r="O1057" t="s">
        <v>63</v>
      </c>
      <c r="Q1057" t="s">
        <v>63</v>
      </c>
      <c r="R1057" t="s">
        <v>63</v>
      </c>
      <c r="S1057" t="s">
        <v>63</v>
      </c>
      <c r="T1057" t="s">
        <v>63</v>
      </c>
      <c r="X1057" t="s">
        <v>63</v>
      </c>
      <c r="Y1057" t="s">
        <v>1979</v>
      </c>
      <c r="Z1057" t="s">
        <v>63</v>
      </c>
      <c r="AA1057" t="s">
        <v>9406</v>
      </c>
      <c r="AB1057">
        <v>27601601</v>
      </c>
      <c r="AC1057" t="s">
        <v>67</v>
      </c>
      <c r="AD1057" t="s">
        <v>63</v>
      </c>
      <c r="AE1057" t="s">
        <v>63</v>
      </c>
      <c r="AF1057" t="s">
        <v>63</v>
      </c>
      <c r="AG1057" t="s">
        <v>9407</v>
      </c>
      <c r="AH1057" t="s">
        <v>63</v>
      </c>
      <c r="AI1057" t="s">
        <v>63</v>
      </c>
      <c r="AJ1057" t="s">
        <v>63</v>
      </c>
      <c r="AK1057" t="s">
        <v>63</v>
      </c>
      <c r="AL1057" t="s">
        <v>63</v>
      </c>
      <c r="AM1057" t="s">
        <v>9408</v>
      </c>
      <c r="AN1057" t="s">
        <v>63</v>
      </c>
      <c r="AO1057" t="s">
        <v>63</v>
      </c>
      <c r="AP1057" t="s">
        <v>63</v>
      </c>
      <c r="AQ1057" t="s">
        <v>63</v>
      </c>
      <c r="AR1057" t="s">
        <v>63</v>
      </c>
      <c r="AS1057" t="s">
        <v>63</v>
      </c>
      <c r="AT1057" t="s">
        <v>63</v>
      </c>
      <c r="AU1057" t="s">
        <v>63</v>
      </c>
      <c r="AV1057" t="s">
        <v>63</v>
      </c>
      <c r="AW1057" t="s">
        <v>63</v>
      </c>
      <c r="AX1057" t="s">
        <v>63</v>
      </c>
      <c r="AY1057" t="s">
        <v>63</v>
      </c>
      <c r="AZ1057" t="s">
        <v>63</v>
      </c>
      <c r="BA1057" t="s">
        <v>63</v>
      </c>
      <c r="BB1057" t="s">
        <v>63</v>
      </c>
      <c r="BC1057" t="s">
        <v>63</v>
      </c>
      <c r="BD1057" t="s">
        <v>63</v>
      </c>
      <c r="BE1057" t="s">
        <v>63</v>
      </c>
      <c r="BF1057" t="s">
        <v>63</v>
      </c>
    </row>
    <row r="1058" spans="1:58">
      <c r="A1058" t="s">
        <v>58</v>
      </c>
      <c r="B1058" t="s">
        <v>9409</v>
      </c>
      <c r="C1058" t="s">
        <v>9410</v>
      </c>
      <c r="D1058" t="s">
        <v>9411</v>
      </c>
      <c r="E1058" t="s">
        <v>63</v>
      </c>
      <c r="F1058">
        <v>2008</v>
      </c>
      <c r="G1058" s="1">
        <v>41948</v>
      </c>
      <c r="H1058" t="s">
        <v>9412</v>
      </c>
      <c r="I1058" t="s">
        <v>63</v>
      </c>
      <c r="J1058">
        <v>1055</v>
      </c>
      <c r="K1058" t="s">
        <v>63</v>
      </c>
      <c r="L1058" t="s">
        <v>9413</v>
      </c>
      <c r="M1058" t="s">
        <v>9414</v>
      </c>
      <c r="N1058" t="s">
        <v>9415</v>
      </c>
      <c r="O1058" t="s">
        <v>63</v>
      </c>
      <c r="Q1058" t="s">
        <v>63</v>
      </c>
      <c r="R1058" t="s">
        <v>63</v>
      </c>
      <c r="S1058" t="s">
        <v>63</v>
      </c>
      <c r="T1058" t="s">
        <v>63</v>
      </c>
      <c r="X1058" t="s">
        <v>63</v>
      </c>
      <c r="Y1058" t="s">
        <v>9416</v>
      </c>
      <c r="Z1058" t="s">
        <v>63</v>
      </c>
      <c r="AA1058" t="s">
        <v>9417</v>
      </c>
      <c r="AB1058">
        <v>18998971</v>
      </c>
      <c r="AC1058" t="s">
        <v>67</v>
      </c>
      <c r="AD1058" t="s">
        <v>63</v>
      </c>
      <c r="AE1058" t="s">
        <v>63</v>
      </c>
      <c r="AF1058" t="s">
        <v>63</v>
      </c>
      <c r="AG1058" t="s">
        <v>9418</v>
      </c>
      <c r="AH1058" t="s">
        <v>63</v>
      </c>
      <c r="AI1058" t="s">
        <v>63</v>
      </c>
      <c r="AJ1058" t="s">
        <v>63</v>
      </c>
      <c r="AK1058" t="s">
        <v>63</v>
      </c>
      <c r="AL1058" t="s">
        <v>63</v>
      </c>
      <c r="AM1058" t="s">
        <v>9419</v>
      </c>
      <c r="AN1058" t="s">
        <v>63</v>
      </c>
      <c r="AO1058" t="s">
        <v>63</v>
      </c>
      <c r="AP1058" t="s">
        <v>63</v>
      </c>
      <c r="AQ1058" t="s">
        <v>63</v>
      </c>
      <c r="AR1058" t="s">
        <v>63</v>
      </c>
      <c r="AS1058" t="s">
        <v>63</v>
      </c>
      <c r="AT1058" t="s">
        <v>63</v>
      </c>
      <c r="AU1058" t="s">
        <v>63</v>
      </c>
      <c r="AV1058" t="s">
        <v>63</v>
      </c>
      <c r="AW1058" t="s">
        <v>63</v>
      </c>
      <c r="AX1058" t="s">
        <v>63</v>
      </c>
      <c r="AY1058" t="s">
        <v>63</v>
      </c>
      <c r="AZ1058" t="s">
        <v>63</v>
      </c>
      <c r="BA1058" t="s">
        <v>63</v>
      </c>
      <c r="BB1058" t="s">
        <v>63</v>
      </c>
      <c r="BC1058" t="s">
        <v>63</v>
      </c>
      <c r="BD1058" t="s">
        <v>63</v>
      </c>
      <c r="BE1058" t="s">
        <v>63</v>
      </c>
      <c r="BF1058" t="s">
        <v>63</v>
      </c>
    </row>
    <row r="1059" spans="1:58">
      <c r="A1059" t="s">
        <v>58</v>
      </c>
      <c r="B1059" t="s">
        <v>9420</v>
      </c>
      <c r="C1059" t="s">
        <v>9421</v>
      </c>
      <c r="D1059" t="s">
        <v>9422</v>
      </c>
      <c r="E1059" t="s">
        <v>9423</v>
      </c>
      <c r="F1059">
        <v>2013</v>
      </c>
      <c r="G1059" t="s">
        <v>274</v>
      </c>
      <c r="H1059">
        <v>91</v>
      </c>
      <c r="I1059">
        <v>1</v>
      </c>
      <c r="J1059">
        <v>123</v>
      </c>
      <c r="K1059">
        <v>162</v>
      </c>
      <c r="L1059" t="s">
        <v>9424</v>
      </c>
      <c r="M1059" t="s">
        <v>9425</v>
      </c>
      <c r="N1059" t="s">
        <v>9426</v>
      </c>
      <c r="O1059" t="s">
        <v>63</v>
      </c>
      <c r="Q1059" t="s">
        <v>63</v>
      </c>
      <c r="R1059" t="s">
        <v>63</v>
      </c>
      <c r="S1059" t="s">
        <v>63</v>
      </c>
      <c r="T1059" t="s">
        <v>63</v>
      </c>
      <c r="X1059" t="s">
        <v>63</v>
      </c>
      <c r="Y1059" t="s">
        <v>9427</v>
      </c>
      <c r="Z1059" t="s">
        <v>63</v>
      </c>
      <c r="AA1059" t="s">
        <v>9428</v>
      </c>
      <c r="AB1059">
        <v>23488713</v>
      </c>
      <c r="AC1059" t="s">
        <v>67</v>
      </c>
      <c r="AD1059" t="s">
        <v>63</v>
      </c>
      <c r="AE1059" t="s">
        <v>63</v>
      </c>
      <c r="AF1059" t="s">
        <v>63</v>
      </c>
      <c r="AG1059" t="s">
        <v>9429</v>
      </c>
      <c r="AH1059" t="s">
        <v>63</v>
      </c>
      <c r="AI1059" t="s">
        <v>9430</v>
      </c>
      <c r="AJ1059" t="s">
        <v>63</v>
      </c>
      <c r="AK1059" t="s">
        <v>63</v>
      </c>
      <c r="AL1059" t="s">
        <v>63</v>
      </c>
      <c r="AM1059" t="s">
        <v>9431</v>
      </c>
      <c r="AN1059" t="s">
        <v>63</v>
      </c>
      <c r="AO1059" t="s">
        <v>63</v>
      </c>
      <c r="AP1059" t="s">
        <v>63</v>
      </c>
      <c r="AQ1059" t="s">
        <v>63</v>
      </c>
      <c r="AR1059" t="s">
        <v>63</v>
      </c>
      <c r="AS1059" t="s">
        <v>63</v>
      </c>
      <c r="AT1059" t="s">
        <v>63</v>
      </c>
      <c r="AU1059" t="s">
        <v>63</v>
      </c>
      <c r="AV1059" t="s">
        <v>63</v>
      </c>
      <c r="AW1059" t="s">
        <v>63</v>
      </c>
      <c r="AX1059" t="s">
        <v>63</v>
      </c>
      <c r="AY1059" t="s">
        <v>63</v>
      </c>
      <c r="AZ1059" t="s">
        <v>63</v>
      </c>
      <c r="BA1059" t="s">
        <v>63</v>
      </c>
      <c r="BB1059" t="s">
        <v>63</v>
      </c>
      <c r="BC1059" t="s">
        <v>63</v>
      </c>
      <c r="BD1059" t="s">
        <v>63</v>
      </c>
      <c r="BE1059" t="s">
        <v>63</v>
      </c>
      <c r="BF1059" t="s">
        <v>63</v>
      </c>
    </row>
    <row r="1060" spans="1:58">
      <c r="A1060" t="s">
        <v>58</v>
      </c>
      <c r="B1060" t="s">
        <v>9432</v>
      </c>
      <c r="C1060" t="s">
        <v>9433</v>
      </c>
      <c r="D1060" t="s">
        <v>9434</v>
      </c>
      <c r="E1060" t="s">
        <v>63</v>
      </c>
      <c r="F1060">
        <v>2011</v>
      </c>
      <c r="G1060" t="s">
        <v>63</v>
      </c>
      <c r="H1060">
        <v>5</v>
      </c>
      <c r="I1060">
        <v>4</v>
      </c>
      <c r="J1060">
        <v>433</v>
      </c>
      <c r="K1060">
        <v>442</v>
      </c>
      <c r="L1060" t="s">
        <v>9435</v>
      </c>
      <c r="M1060" t="s">
        <v>9436</v>
      </c>
      <c r="N1060" t="s">
        <v>9437</v>
      </c>
      <c r="O1060" t="s">
        <v>63</v>
      </c>
      <c r="Q1060" t="s">
        <v>63</v>
      </c>
      <c r="R1060" t="s">
        <v>63</v>
      </c>
      <c r="S1060" t="s">
        <v>63</v>
      </c>
      <c r="T1060" t="s">
        <v>63</v>
      </c>
      <c r="X1060" t="s">
        <v>63</v>
      </c>
      <c r="Y1060" t="s">
        <v>9438</v>
      </c>
      <c r="Z1060" t="s">
        <v>63</v>
      </c>
      <c r="AA1060" t="s">
        <v>9439</v>
      </c>
      <c r="AB1060">
        <v>22616211</v>
      </c>
      <c r="AC1060" t="s">
        <v>67</v>
      </c>
      <c r="AD1060" t="s">
        <v>63</v>
      </c>
      <c r="AE1060" t="s">
        <v>63</v>
      </c>
      <c r="AF1060" t="s">
        <v>63</v>
      </c>
      <c r="AG1060" t="s">
        <v>9440</v>
      </c>
      <c r="AH1060" t="s">
        <v>63</v>
      </c>
      <c r="AI1060" t="s">
        <v>63</v>
      </c>
      <c r="AJ1060" t="s">
        <v>63</v>
      </c>
      <c r="AK1060" t="s">
        <v>63</v>
      </c>
      <c r="AL1060" t="s">
        <v>63</v>
      </c>
      <c r="AM1060" t="s">
        <v>9441</v>
      </c>
      <c r="AN1060" t="s">
        <v>63</v>
      </c>
      <c r="AO1060" t="s">
        <v>63</v>
      </c>
      <c r="AP1060" t="s">
        <v>63</v>
      </c>
      <c r="AQ1060" t="s">
        <v>63</v>
      </c>
      <c r="AR1060" t="s">
        <v>63</v>
      </c>
      <c r="AS1060" t="s">
        <v>63</v>
      </c>
      <c r="AT1060" t="s">
        <v>63</v>
      </c>
      <c r="AU1060" t="s">
        <v>63</v>
      </c>
      <c r="AV1060" t="s">
        <v>63</v>
      </c>
      <c r="AW1060" t="s">
        <v>63</v>
      </c>
      <c r="AX1060" t="s">
        <v>63</v>
      </c>
      <c r="AY1060" t="s">
        <v>63</v>
      </c>
      <c r="AZ1060" t="s">
        <v>63</v>
      </c>
      <c r="BA1060" t="s">
        <v>63</v>
      </c>
      <c r="BB1060" t="s">
        <v>63</v>
      </c>
      <c r="BC1060" t="s">
        <v>63</v>
      </c>
      <c r="BD1060" t="s">
        <v>63</v>
      </c>
      <c r="BE1060" t="s">
        <v>63</v>
      </c>
      <c r="BF1060" t="s">
        <v>63</v>
      </c>
    </row>
    <row r="1061" spans="1:58">
      <c r="A1061" t="s">
        <v>58</v>
      </c>
      <c r="B1061" t="s">
        <v>9442</v>
      </c>
      <c r="C1061" t="s">
        <v>9443</v>
      </c>
      <c r="D1061" t="s">
        <v>9444</v>
      </c>
      <c r="E1061" t="s">
        <v>63</v>
      </c>
      <c r="F1061">
        <v>2007</v>
      </c>
      <c r="G1061" s="1">
        <v>41804</v>
      </c>
      <c r="H1061">
        <v>57</v>
      </c>
      <c r="I1061">
        <v>11</v>
      </c>
      <c r="J1061">
        <v>1219</v>
      </c>
      <c r="K1061">
        <v>1226</v>
      </c>
      <c r="L1061" t="s">
        <v>9445</v>
      </c>
      <c r="M1061" t="s">
        <v>9446</v>
      </c>
      <c r="N1061" t="s">
        <v>9447</v>
      </c>
      <c r="O1061" t="s">
        <v>63</v>
      </c>
      <c r="Q1061" t="s">
        <v>63</v>
      </c>
      <c r="R1061" t="s">
        <v>63</v>
      </c>
      <c r="S1061" t="s">
        <v>63</v>
      </c>
      <c r="T1061" t="s">
        <v>63</v>
      </c>
      <c r="X1061" t="s">
        <v>63</v>
      </c>
      <c r="Y1061" t="s">
        <v>9448</v>
      </c>
      <c r="Z1061" t="s">
        <v>63</v>
      </c>
      <c r="AA1061" t="s">
        <v>9449</v>
      </c>
      <c r="AB1061">
        <v>17691267</v>
      </c>
      <c r="AC1061" t="s">
        <v>1371</v>
      </c>
      <c r="AD1061" t="s">
        <v>63</v>
      </c>
      <c r="AE1061" t="s">
        <v>63</v>
      </c>
      <c r="AF1061" t="s">
        <v>63</v>
      </c>
      <c r="AG1061" t="s">
        <v>9450</v>
      </c>
      <c r="AH1061" t="s">
        <v>63</v>
      </c>
      <c r="AI1061" t="s">
        <v>63</v>
      </c>
      <c r="AJ1061" t="s">
        <v>63</v>
      </c>
      <c r="AK1061" t="s">
        <v>63</v>
      </c>
      <c r="AL1061" t="s">
        <v>63</v>
      </c>
      <c r="AM1061" t="s">
        <v>9451</v>
      </c>
      <c r="AN1061" t="s">
        <v>63</v>
      </c>
      <c r="AO1061" t="s">
        <v>63</v>
      </c>
      <c r="AP1061" t="s">
        <v>63</v>
      </c>
      <c r="AQ1061" t="s">
        <v>63</v>
      </c>
      <c r="AR1061" t="s">
        <v>63</v>
      </c>
      <c r="AS1061" t="s">
        <v>63</v>
      </c>
      <c r="AT1061" t="s">
        <v>63</v>
      </c>
      <c r="AU1061" t="s">
        <v>63</v>
      </c>
      <c r="AV1061" t="s">
        <v>63</v>
      </c>
      <c r="AW1061" t="s">
        <v>63</v>
      </c>
      <c r="AX1061" t="s">
        <v>63</v>
      </c>
      <c r="AY1061" t="s">
        <v>63</v>
      </c>
      <c r="AZ1061" t="s">
        <v>63</v>
      </c>
      <c r="BA1061" t="s">
        <v>63</v>
      </c>
      <c r="BB1061" t="s">
        <v>63</v>
      </c>
      <c r="BC1061" t="s">
        <v>63</v>
      </c>
      <c r="BD1061" t="s">
        <v>63</v>
      </c>
      <c r="BE1061" t="s">
        <v>63</v>
      </c>
      <c r="BF1061" t="s">
        <v>63</v>
      </c>
    </row>
    <row r="1062" spans="1:58">
      <c r="A1062" t="s">
        <v>58</v>
      </c>
      <c r="B1062" t="s">
        <v>9452</v>
      </c>
      <c r="C1062" t="s">
        <v>9453</v>
      </c>
      <c r="D1062" t="s">
        <v>3253</v>
      </c>
      <c r="E1062" t="s">
        <v>63</v>
      </c>
      <c r="F1062">
        <v>2007</v>
      </c>
      <c r="G1062" s="1">
        <v>41671</v>
      </c>
      <c r="H1062">
        <v>4</v>
      </c>
      <c r="I1062" t="s">
        <v>63</v>
      </c>
      <c r="J1062">
        <v>5</v>
      </c>
      <c r="K1062" t="s">
        <v>63</v>
      </c>
      <c r="L1062" t="s">
        <v>63</v>
      </c>
      <c r="M1062" t="s">
        <v>9454</v>
      </c>
      <c r="N1062" t="s">
        <v>9455</v>
      </c>
      <c r="O1062" t="s">
        <v>63</v>
      </c>
      <c r="Q1062" t="s">
        <v>63</v>
      </c>
      <c r="R1062" t="s">
        <v>63</v>
      </c>
      <c r="S1062" t="s">
        <v>63</v>
      </c>
      <c r="T1062" t="s">
        <v>63</v>
      </c>
      <c r="X1062" t="s">
        <v>63</v>
      </c>
      <c r="Y1062" t="s">
        <v>3257</v>
      </c>
      <c r="Z1062" t="s">
        <v>63</v>
      </c>
      <c r="AA1062" t="s">
        <v>9456</v>
      </c>
      <c r="AB1062">
        <v>17270059</v>
      </c>
      <c r="AC1062" t="s">
        <v>67</v>
      </c>
      <c r="AD1062" t="s">
        <v>63</v>
      </c>
      <c r="AE1062" t="s">
        <v>63</v>
      </c>
      <c r="AF1062" t="s">
        <v>63</v>
      </c>
      <c r="AG1062" t="s">
        <v>9457</v>
      </c>
      <c r="AH1062" t="s">
        <v>63</v>
      </c>
      <c r="AI1062" t="s">
        <v>63</v>
      </c>
      <c r="AJ1062" t="s">
        <v>63</v>
      </c>
      <c r="AK1062" t="s">
        <v>63</v>
      </c>
      <c r="AL1062" t="s">
        <v>63</v>
      </c>
      <c r="AM1062" t="s">
        <v>9458</v>
      </c>
      <c r="AN1062" t="s">
        <v>63</v>
      </c>
      <c r="AO1062" t="s">
        <v>63</v>
      </c>
      <c r="AP1062" t="s">
        <v>63</v>
      </c>
      <c r="AQ1062" t="s">
        <v>63</v>
      </c>
      <c r="AR1062" t="s">
        <v>63</v>
      </c>
      <c r="AS1062" t="s">
        <v>63</v>
      </c>
      <c r="AT1062" t="s">
        <v>63</v>
      </c>
      <c r="AU1062" t="s">
        <v>63</v>
      </c>
      <c r="AV1062" t="s">
        <v>63</v>
      </c>
      <c r="AW1062" t="s">
        <v>63</v>
      </c>
      <c r="AX1062" t="s">
        <v>63</v>
      </c>
      <c r="AY1062" t="s">
        <v>63</v>
      </c>
      <c r="AZ1062" t="s">
        <v>63</v>
      </c>
      <c r="BA1062" t="s">
        <v>63</v>
      </c>
      <c r="BB1062" t="s">
        <v>63</v>
      </c>
      <c r="BC1062" t="s">
        <v>63</v>
      </c>
      <c r="BD1062" t="s">
        <v>63</v>
      </c>
      <c r="BE1062" t="s">
        <v>63</v>
      </c>
      <c r="BF1062" t="s">
        <v>63</v>
      </c>
    </row>
    <row r="1063" spans="1:58">
      <c r="A1063" t="s">
        <v>58</v>
      </c>
      <c r="B1063" t="s">
        <v>9459</v>
      </c>
      <c r="C1063" t="s">
        <v>9460</v>
      </c>
      <c r="D1063" t="s">
        <v>389</v>
      </c>
      <c r="E1063" t="s">
        <v>63</v>
      </c>
      <c r="F1063">
        <v>2011</v>
      </c>
      <c r="G1063" t="s">
        <v>138</v>
      </c>
      <c r="H1063">
        <v>32</v>
      </c>
      <c r="I1063">
        <v>4</v>
      </c>
      <c r="J1063">
        <v>175</v>
      </c>
      <c r="K1063">
        <v>179</v>
      </c>
      <c r="L1063" t="s">
        <v>9461</v>
      </c>
      <c r="M1063" t="s">
        <v>9462</v>
      </c>
      <c r="N1063" t="s">
        <v>9463</v>
      </c>
      <c r="O1063" t="s">
        <v>63</v>
      </c>
      <c r="Q1063" t="s">
        <v>63</v>
      </c>
      <c r="R1063" t="s">
        <v>63</v>
      </c>
      <c r="S1063" t="s">
        <v>63</v>
      </c>
      <c r="T1063" t="s">
        <v>63</v>
      </c>
      <c r="X1063" t="s">
        <v>63</v>
      </c>
      <c r="Y1063" t="s">
        <v>556</v>
      </c>
      <c r="Z1063" t="s">
        <v>63</v>
      </c>
      <c r="AA1063" t="s">
        <v>9464</v>
      </c>
      <c r="AB1063">
        <v>22014247</v>
      </c>
      <c r="AC1063" t="s">
        <v>67</v>
      </c>
      <c r="AD1063" t="s">
        <v>63</v>
      </c>
      <c r="AE1063" t="s">
        <v>63</v>
      </c>
      <c r="AF1063" t="s">
        <v>63</v>
      </c>
      <c r="AG1063" t="s">
        <v>9465</v>
      </c>
      <c r="AH1063" t="s">
        <v>63</v>
      </c>
      <c r="AI1063" t="s">
        <v>9466</v>
      </c>
      <c r="AJ1063" t="s">
        <v>63</v>
      </c>
      <c r="AK1063" t="s">
        <v>63</v>
      </c>
      <c r="AL1063" t="s">
        <v>63</v>
      </c>
      <c r="AM1063" t="s">
        <v>9467</v>
      </c>
      <c r="AN1063" t="s">
        <v>63</v>
      </c>
      <c r="AO1063" t="s">
        <v>63</v>
      </c>
      <c r="AP1063" t="s">
        <v>63</v>
      </c>
      <c r="AQ1063" t="s">
        <v>63</v>
      </c>
      <c r="AR1063" t="s">
        <v>63</v>
      </c>
      <c r="AS1063" t="s">
        <v>63</v>
      </c>
      <c r="AT1063" t="s">
        <v>63</v>
      </c>
      <c r="AU1063" t="s">
        <v>63</v>
      </c>
      <c r="AV1063" t="s">
        <v>63</v>
      </c>
      <c r="AW1063" t="s">
        <v>63</v>
      </c>
      <c r="AX1063" t="s">
        <v>63</v>
      </c>
      <c r="AY1063" t="s">
        <v>63</v>
      </c>
      <c r="AZ1063" t="s">
        <v>63</v>
      </c>
      <c r="BA1063" t="s">
        <v>63</v>
      </c>
      <c r="BB1063" t="s">
        <v>63</v>
      </c>
      <c r="BC1063" t="s">
        <v>63</v>
      </c>
      <c r="BD1063" t="s">
        <v>63</v>
      </c>
      <c r="BE1063" t="s">
        <v>63</v>
      </c>
      <c r="BF1063" t="s">
        <v>63</v>
      </c>
    </row>
    <row r="1064" spans="1:58">
      <c r="A1064" t="s">
        <v>58</v>
      </c>
      <c r="B1064" t="s">
        <v>9468</v>
      </c>
      <c r="C1064" t="s">
        <v>9469</v>
      </c>
      <c r="D1064" t="s">
        <v>500</v>
      </c>
      <c r="E1064" t="s">
        <v>501</v>
      </c>
      <c r="F1064">
        <v>2006</v>
      </c>
      <c r="G1064" t="s">
        <v>63</v>
      </c>
      <c r="H1064">
        <v>26</v>
      </c>
      <c r="I1064">
        <v>4</v>
      </c>
      <c r="J1064">
        <v>294</v>
      </c>
      <c r="K1064">
        <v>301</v>
      </c>
      <c r="L1064" t="s">
        <v>9470</v>
      </c>
      <c r="M1064" t="s">
        <v>9471</v>
      </c>
      <c r="N1064" t="s">
        <v>9472</v>
      </c>
      <c r="O1064" t="s">
        <v>63</v>
      </c>
      <c r="Q1064" t="s">
        <v>63</v>
      </c>
      <c r="R1064" t="s">
        <v>63</v>
      </c>
      <c r="S1064" t="s">
        <v>63</v>
      </c>
      <c r="T1064" t="s">
        <v>63</v>
      </c>
      <c r="X1064" t="s">
        <v>63</v>
      </c>
      <c r="Y1064" t="s">
        <v>9473</v>
      </c>
      <c r="Z1064" t="s">
        <v>63</v>
      </c>
      <c r="AA1064" t="s">
        <v>9474</v>
      </c>
      <c r="AB1064">
        <v>17163499</v>
      </c>
      <c r="AC1064" t="s">
        <v>67</v>
      </c>
      <c r="AD1064" t="s">
        <v>63</v>
      </c>
      <c r="AE1064" t="s">
        <v>63</v>
      </c>
      <c r="AF1064" t="s">
        <v>63</v>
      </c>
      <c r="AG1064" t="s">
        <v>9475</v>
      </c>
      <c r="AH1064" t="s">
        <v>63</v>
      </c>
      <c r="AI1064" t="s">
        <v>63</v>
      </c>
      <c r="AJ1064" t="s">
        <v>63</v>
      </c>
      <c r="AK1064" t="s">
        <v>63</v>
      </c>
      <c r="AL1064" t="s">
        <v>63</v>
      </c>
      <c r="AM1064" t="s">
        <v>9476</v>
      </c>
      <c r="AN1064" t="s">
        <v>63</v>
      </c>
      <c r="AO1064" t="s">
        <v>63</v>
      </c>
      <c r="AP1064" t="s">
        <v>63</v>
      </c>
      <c r="AQ1064" t="s">
        <v>63</v>
      </c>
      <c r="AR1064" t="s">
        <v>63</v>
      </c>
      <c r="AS1064" t="s">
        <v>63</v>
      </c>
      <c r="AT1064" t="s">
        <v>63</v>
      </c>
      <c r="AU1064" t="s">
        <v>63</v>
      </c>
      <c r="AV1064" t="s">
        <v>63</v>
      </c>
      <c r="AW1064" t="s">
        <v>63</v>
      </c>
      <c r="AX1064" t="s">
        <v>63</v>
      </c>
      <c r="AY1064" t="s">
        <v>63</v>
      </c>
      <c r="AZ1064" t="s">
        <v>63</v>
      </c>
      <c r="BA1064" t="s">
        <v>63</v>
      </c>
      <c r="BB1064" t="s">
        <v>63</v>
      </c>
      <c r="BC1064" t="s">
        <v>63</v>
      </c>
      <c r="BD1064" t="s">
        <v>63</v>
      </c>
      <c r="BE1064" t="s">
        <v>63</v>
      </c>
      <c r="BF1064" t="s">
        <v>63</v>
      </c>
    </row>
    <row r="1065" spans="1:58">
      <c r="A1065" t="s">
        <v>58</v>
      </c>
      <c r="B1065" t="s">
        <v>9477</v>
      </c>
      <c r="C1065" t="s">
        <v>9478</v>
      </c>
      <c r="D1065" t="s">
        <v>389</v>
      </c>
      <c r="E1065" t="s">
        <v>63</v>
      </c>
      <c r="F1065">
        <v>2008</v>
      </c>
      <c r="G1065" t="s">
        <v>63</v>
      </c>
      <c r="H1065">
        <v>29</v>
      </c>
      <c r="I1065">
        <v>1</v>
      </c>
      <c r="J1065">
        <v>25</v>
      </c>
      <c r="K1065">
        <v>32</v>
      </c>
      <c r="L1065" t="s">
        <v>9479</v>
      </c>
      <c r="M1065" t="s">
        <v>9480</v>
      </c>
      <c r="N1065" t="s">
        <v>9481</v>
      </c>
      <c r="O1065" t="s">
        <v>63</v>
      </c>
      <c r="Q1065" t="s">
        <v>63</v>
      </c>
      <c r="R1065" t="s">
        <v>63</v>
      </c>
      <c r="S1065" t="s">
        <v>63</v>
      </c>
      <c r="T1065" t="s">
        <v>63</v>
      </c>
      <c r="X1065" t="s">
        <v>63</v>
      </c>
      <c r="Y1065" t="s">
        <v>392</v>
      </c>
      <c r="Z1065" t="s">
        <v>63</v>
      </c>
      <c r="AA1065" t="s">
        <v>9482</v>
      </c>
      <c r="AB1065">
        <v>19042316</v>
      </c>
      <c r="AC1065" t="s">
        <v>67</v>
      </c>
      <c r="AD1065" t="s">
        <v>63</v>
      </c>
      <c r="AE1065" t="s">
        <v>63</v>
      </c>
      <c r="AF1065" t="s">
        <v>63</v>
      </c>
      <c r="AG1065" t="s">
        <v>9483</v>
      </c>
      <c r="AH1065" t="s">
        <v>63</v>
      </c>
      <c r="AI1065" t="s">
        <v>9484</v>
      </c>
      <c r="AJ1065" t="s">
        <v>63</v>
      </c>
      <c r="AK1065" t="s">
        <v>63</v>
      </c>
      <c r="AL1065" t="s">
        <v>63</v>
      </c>
      <c r="AM1065" t="s">
        <v>9485</v>
      </c>
      <c r="AN1065" t="s">
        <v>63</v>
      </c>
      <c r="AO1065" t="s">
        <v>63</v>
      </c>
      <c r="AP1065" t="s">
        <v>63</v>
      </c>
      <c r="AQ1065" t="s">
        <v>63</v>
      </c>
      <c r="AR1065" t="s">
        <v>63</v>
      </c>
      <c r="AS1065" t="s">
        <v>63</v>
      </c>
      <c r="AT1065" t="s">
        <v>63</v>
      </c>
      <c r="AU1065" t="s">
        <v>63</v>
      </c>
      <c r="AV1065" t="s">
        <v>63</v>
      </c>
      <c r="AW1065" t="s">
        <v>63</v>
      </c>
      <c r="AX1065" t="s">
        <v>63</v>
      </c>
      <c r="AY1065" t="s">
        <v>63</v>
      </c>
      <c r="AZ1065" t="s">
        <v>63</v>
      </c>
      <c r="BA1065" t="s">
        <v>63</v>
      </c>
      <c r="BB1065" t="s">
        <v>63</v>
      </c>
      <c r="BC1065" t="s">
        <v>63</v>
      </c>
      <c r="BD1065" t="s">
        <v>63</v>
      </c>
      <c r="BE1065" t="s">
        <v>63</v>
      </c>
      <c r="BF1065" t="s">
        <v>63</v>
      </c>
    </row>
    <row r="1066" spans="1:58">
      <c r="A1066" t="s">
        <v>58</v>
      </c>
      <c r="B1066" t="s">
        <v>9486</v>
      </c>
      <c r="C1066" t="s">
        <v>9487</v>
      </c>
      <c r="D1066" t="s">
        <v>2353</v>
      </c>
      <c r="E1066" t="s">
        <v>2354</v>
      </c>
      <c r="F1066">
        <v>1989</v>
      </c>
      <c r="G1066" t="s">
        <v>63</v>
      </c>
      <c r="H1066">
        <v>6</v>
      </c>
      <c r="I1066">
        <v>4</v>
      </c>
      <c r="J1066">
        <v>241</v>
      </c>
      <c r="K1066">
        <v>250</v>
      </c>
      <c r="L1066" t="s">
        <v>9488</v>
      </c>
      <c r="M1066" t="s">
        <v>9489</v>
      </c>
      <c r="N1066" t="s">
        <v>9490</v>
      </c>
      <c r="O1066" t="s">
        <v>63</v>
      </c>
      <c r="Q1066" t="s">
        <v>63</v>
      </c>
      <c r="R1066" t="s">
        <v>63</v>
      </c>
      <c r="S1066" t="s">
        <v>63</v>
      </c>
      <c r="T1066" t="s">
        <v>63</v>
      </c>
      <c r="X1066" t="s">
        <v>63</v>
      </c>
      <c r="Y1066" t="s">
        <v>2358</v>
      </c>
      <c r="Z1066" t="s">
        <v>63</v>
      </c>
      <c r="AA1066" t="s">
        <v>9491</v>
      </c>
      <c r="AB1066">
        <v>2687482</v>
      </c>
      <c r="AC1066" t="s">
        <v>67</v>
      </c>
      <c r="AD1066" t="s">
        <v>63</v>
      </c>
      <c r="AE1066" t="s">
        <v>63</v>
      </c>
      <c r="AF1066" t="s">
        <v>63</v>
      </c>
      <c r="AG1066" t="s">
        <v>9492</v>
      </c>
      <c r="AH1066" t="s">
        <v>63</v>
      </c>
      <c r="AI1066" t="s">
        <v>63</v>
      </c>
      <c r="AJ1066" t="s">
        <v>63</v>
      </c>
      <c r="AK1066" t="s">
        <v>63</v>
      </c>
      <c r="AL1066" t="s">
        <v>63</v>
      </c>
      <c r="AM1066" t="s">
        <v>9493</v>
      </c>
      <c r="AN1066" t="s">
        <v>63</v>
      </c>
      <c r="AO1066" t="s">
        <v>63</v>
      </c>
      <c r="AP1066" t="s">
        <v>63</v>
      </c>
      <c r="AQ1066" t="s">
        <v>63</v>
      </c>
      <c r="AR1066" t="s">
        <v>63</v>
      </c>
      <c r="AS1066" t="s">
        <v>63</v>
      </c>
      <c r="AT1066" t="s">
        <v>63</v>
      </c>
      <c r="AU1066" t="s">
        <v>63</v>
      </c>
      <c r="AV1066" t="s">
        <v>63</v>
      </c>
      <c r="AW1066" t="s">
        <v>63</v>
      </c>
      <c r="AX1066" t="s">
        <v>63</v>
      </c>
      <c r="AY1066" t="s">
        <v>63</v>
      </c>
      <c r="AZ1066" t="s">
        <v>63</v>
      </c>
      <c r="BA1066" t="s">
        <v>63</v>
      </c>
      <c r="BB1066" t="s">
        <v>63</v>
      </c>
      <c r="BC1066" t="s">
        <v>63</v>
      </c>
      <c r="BD1066" t="s">
        <v>63</v>
      </c>
      <c r="BE1066" t="s">
        <v>63</v>
      </c>
      <c r="BF1066" t="s">
        <v>63</v>
      </c>
    </row>
    <row r="1067" spans="1:58">
      <c r="A1067" t="s">
        <v>58</v>
      </c>
      <c r="B1067" t="s">
        <v>9494</v>
      </c>
      <c r="C1067" t="s">
        <v>9495</v>
      </c>
      <c r="D1067" t="s">
        <v>3007</v>
      </c>
      <c r="E1067" t="s">
        <v>3008</v>
      </c>
      <c r="F1067">
        <v>1999</v>
      </c>
      <c r="G1067" t="s">
        <v>73</v>
      </c>
      <c r="H1067">
        <v>22</v>
      </c>
      <c r="I1067">
        <v>2</v>
      </c>
      <c r="J1067">
        <v>489</v>
      </c>
      <c r="K1067">
        <v>505</v>
      </c>
      <c r="L1067" t="s">
        <v>9496</v>
      </c>
      <c r="M1067" t="s">
        <v>9497</v>
      </c>
      <c r="N1067" t="s">
        <v>9498</v>
      </c>
      <c r="O1067" t="s">
        <v>63</v>
      </c>
      <c r="Q1067" t="s">
        <v>63</v>
      </c>
      <c r="R1067" t="s">
        <v>63</v>
      </c>
      <c r="S1067" t="s">
        <v>63</v>
      </c>
      <c r="T1067" t="s">
        <v>63</v>
      </c>
      <c r="X1067" t="s">
        <v>63</v>
      </c>
      <c r="Y1067" t="s">
        <v>3740</v>
      </c>
      <c r="Z1067" t="s">
        <v>63</v>
      </c>
      <c r="AA1067" t="s">
        <v>9499</v>
      </c>
      <c r="AB1067">
        <v>10385946</v>
      </c>
      <c r="AC1067" t="s">
        <v>67</v>
      </c>
      <c r="AD1067" t="s">
        <v>63</v>
      </c>
      <c r="AE1067" t="s">
        <v>63</v>
      </c>
      <c r="AF1067" t="s">
        <v>63</v>
      </c>
      <c r="AG1067" t="s">
        <v>9500</v>
      </c>
      <c r="AH1067" t="s">
        <v>63</v>
      </c>
      <c r="AI1067" t="s">
        <v>63</v>
      </c>
      <c r="AJ1067" t="s">
        <v>63</v>
      </c>
      <c r="AK1067" t="s">
        <v>63</v>
      </c>
      <c r="AL1067" t="s">
        <v>63</v>
      </c>
      <c r="AM1067" t="s">
        <v>9501</v>
      </c>
      <c r="AN1067" t="s">
        <v>63</v>
      </c>
      <c r="AO1067" t="s">
        <v>63</v>
      </c>
      <c r="AP1067" t="s">
        <v>63</v>
      </c>
      <c r="AQ1067" t="s">
        <v>63</v>
      </c>
      <c r="AR1067" t="s">
        <v>63</v>
      </c>
      <c r="AS1067" t="s">
        <v>63</v>
      </c>
      <c r="AT1067" t="s">
        <v>63</v>
      </c>
      <c r="AU1067" t="s">
        <v>63</v>
      </c>
      <c r="AV1067" t="s">
        <v>63</v>
      </c>
      <c r="AW1067" t="s">
        <v>63</v>
      </c>
      <c r="AX1067" t="s">
        <v>63</v>
      </c>
      <c r="AY1067" t="s">
        <v>63</v>
      </c>
      <c r="AZ1067" t="s">
        <v>63</v>
      </c>
      <c r="BA1067" t="s">
        <v>63</v>
      </c>
      <c r="BB1067" t="s">
        <v>63</v>
      </c>
      <c r="BC1067" t="s">
        <v>63</v>
      </c>
      <c r="BD1067" t="s">
        <v>63</v>
      </c>
      <c r="BE1067" t="s">
        <v>63</v>
      </c>
      <c r="BF1067" t="s">
        <v>63</v>
      </c>
    </row>
    <row r="1068" spans="1:58">
      <c r="A1068" t="s">
        <v>58</v>
      </c>
      <c r="B1068" t="s">
        <v>9502</v>
      </c>
      <c r="C1068" t="s">
        <v>9503</v>
      </c>
      <c r="D1068" t="s">
        <v>763</v>
      </c>
      <c r="E1068" t="s">
        <v>63</v>
      </c>
      <c r="F1068">
        <v>2001</v>
      </c>
      <c r="G1068" t="s">
        <v>189</v>
      </c>
      <c r="H1068">
        <v>76</v>
      </c>
      <c r="I1068">
        <v>5</v>
      </c>
      <c r="J1068">
        <v>410</v>
      </c>
      <c r="K1068">
        <v>418</v>
      </c>
      <c r="L1068" t="s">
        <v>9504</v>
      </c>
      <c r="M1068" t="s">
        <v>9505</v>
      </c>
      <c r="N1068" t="s">
        <v>9506</v>
      </c>
      <c r="O1068" t="s">
        <v>63</v>
      </c>
      <c r="Q1068" t="s">
        <v>63</v>
      </c>
      <c r="R1068" t="s">
        <v>63</v>
      </c>
      <c r="S1068" t="s">
        <v>63</v>
      </c>
      <c r="T1068" t="s">
        <v>63</v>
      </c>
      <c r="X1068" t="s">
        <v>63</v>
      </c>
      <c r="Y1068" t="s">
        <v>858</v>
      </c>
      <c r="Z1068" t="s">
        <v>63</v>
      </c>
      <c r="AA1068" t="s">
        <v>9507</v>
      </c>
      <c r="AB1068">
        <v>11346513</v>
      </c>
      <c r="AC1068" t="s">
        <v>67</v>
      </c>
      <c r="AD1068" t="s">
        <v>63</v>
      </c>
      <c r="AE1068" t="s">
        <v>63</v>
      </c>
      <c r="AF1068" t="s">
        <v>63</v>
      </c>
      <c r="AG1068" t="s">
        <v>9508</v>
      </c>
      <c r="AH1068" t="s">
        <v>63</v>
      </c>
      <c r="AI1068" t="s">
        <v>63</v>
      </c>
      <c r="AJ1068" t="s">
        <v>63</v>
      </c>
      <c r="AK1068" t="s">
        <v>63</v>
      </c>
      <c r="AL1068" t="s">
        <v>63</v>
      </c>
      <c r="AM1068" t="s">
        <v>9509</v>
      </c>
      <c r="AN1068" t="s">
        <v>63</v>
      </c>
      <c r="AO1068" t="s">
        <v>63</v>
      </c>
      <c r="AP1068" t="s">
        <v>63</v>
      </c>
      <c r="AQ1068" t="s">
        <v>63</v>
      </c>
      <c r="AR1068" t="s">
        <v>63</v>
      </c>
      <c r="AS1068" t="s">
        <v>63</v>
      </c>
      <c r="AT1068" t="s">
        <v>63</v>
      </c>
      <c r="AU1068" t="s">
        <v>63</v>
      </c>
      <c r="AV1068" t="s">
        <v>63</v>
      </c>
      <c r="AW1068" t="s">
        <v>63</v>
      </c>
      <c r="AX1068" t="s">
        <v>63</v>
      </c>
      <c r="AY1068" t="s">
        <v>63</v>
      </c>
      <c r="AZ1068" t="s">
        <v>63</v>
      </c>
      <c r="BA1068" t="s">
        <v>63</v>
      </c>
      <c r="BB1068" t="s">
        <v>63</v>
      </c>
      <c r="BC1068" t="s">
        <v>63</v>
      </c>
      <c r="BD1068" t="s">
        <v>63</v>
      </c>
      <c r="BE1068" t="s">
        <v>63</v>
      </c>
      <c r="BF1068" t="s">
        <v>63</v>
      </c>
    </row>
    <row r="1069" spans="1:58">
      <c r="A1069" t="s">
        <v>58</v>
      </c>
      <c r="B1069" t="s">
        <v>9510</v>
      </c>
      <c r="C1069" t="s">
        <v>9511</v>
      </c>
      <c r="D1069" t="s">
        <v>155</v>
      </c>
      <c r="E1069" t="s">
        <v>156</v>
      </c>
      <c r="F1069">
        <v>2005</v>
      </c>
      <c r="G1069" t="s">
        <v>614</v>
      </c>
      <c r="H1069">
        <v>46</v>
      </c>
      <c r="I1069">
        <v>2</v>
      </c>
      <c r="J1069">
        <v>148</v>
      </c>
      <c r="K1069">
        <v>151</v>
      </c>
      <c r="L1069" t="s">
        <v>9512</v>
      </c>
      <c r="M1069" t="s">
        <v>9513</v>
      </c>
      <c r="N1069" t="s">
        <v>9514</v>
      </c>
      <c r="O1069" t="s">
        <v>63</v>
      </c>
      <c r="Q1069" t="s">
        <v>63</v>
      </c>
      <c r="R1069" t="s">
        <v>63</v>
      </c>
      <c r="S1069" t="s">
        <v>63</v>
      </c>
      <c r="T1069" t="s">
        <v>63</v>
      </c>
      <c r="X1069" t="s">
        <v>63</v>
      </c>
      <c r="Y1069" t="s">
        <v>2310</v>
      </c>
      <c r="Z1069" t="s">
        <v>63</v>
      </c>
      <c r="AA1069" t="s">
        <v>9515</v>
      </c>
      <c r="AB1069">
        <v>16046944</v>
      </c>
      <c r="AC1069" t="s">
        <v>67</v>
      </c>
      <c r="AD1069" t="s">
        <v>63</v>
      </c>
      <c r="AE1069" t="s">
        <v>63</v>
      </c>
      <c r="AF1069" t="s">
        <v>63</v>
      </c>
      <c r="AG1069" t="s">
        <v>9516</v>
      </c>
      <c r="AH1069" t="s">
        <v>63</v>
      </c>
      <c r="AI1069" t="s">
        <v>63</v>
      </c>
      <c r="AJ1069" t="s">
        <v>63</v>
      </c>
      <c r="AK1069" t="s">
        <v>63</v>
      </c>
      <c r="AL1069" t="s">
        <v>63</v>
      </c>
      <c r="AM1069" t="s">
        <v>9517</v>
      </c>
      <c r="AN1069" t="s">
        <v>63</v>
      </c>
      <c r="AO1069" t="s">
        <v>63</v>
      </c>
      <c r="AP1069" t="s">
        <v>63</v>
      </c>
      <c r="AQ1069" t="s">
        <v>63</v>
      </c>
      <c r="AR1069" t="s">
        <v>63</v>
      </c>
      <c r="AS1069" t="s">
        <v>63</v>
      </c>
      <c r="AT1069" t="s">
        <v>63</v>
      </c>
      <c r="AU1069" t="s">
        <v>63</v>
      </c>
      <c r="AV1069" t="s">
        <v>63</v>
      </c>
      <c r="AW1069" t="s">
        <v>63</v>
      </c>
      <c r="AX1069" t="s">
        <v>63</v>
      </c>
      <c r="AY1069" t="s">
        <v>63</v>
      </c>
      <c r="AZ1069" t="s">
        <v>63</v>
      </c>
      <c r="BA1069" t="s">
        <v>63</v>
      </c>
      <c r="BB1069" t="s">
        <v>63</v>
      </c>
      <c r="BC1069" t="s">
        <v>63</v>
      </c>
      <c r="BD1069" t="s">
        <v>63</v>
      </c>
      <c r="BE1069" t="s">
        <v>63</v>
      </c>
      <c r="BF1069" t="s">
        <v>63</v>
      </c>
    </row>
    <row r="1070" spans="1:58">
      <c r="A1070" t="s">
        <v>58</v>
      </c>
      <c r="B1070" t="s">
        <v>9518</v>
      </c>
      <c r="C1070" t="s">
        <v>9519</v>
      </c>
      <c r="D1070" t="s">
        <v>3007</v>
      </c>
      <c r="E1070" t="s">
        <v>3008</v>
      </c>
      <c r="F1070">
        <v>2012</v>
      </c>
      <c r="G1070" t="s">
        <v>73</v>
      </c>
      <c r="H1070">
        <v>35</v>
      </c>
      <c r="I1070">
        <v>2</v>
      </c>
      <c r="J1070">
        <v>393</v>
      </c>
      <c r="K1070">
        <v>409</v>
      </c>
      <c r="L1070" t="s">
        <v>9520</v>
      </c>
      <c r="M1070" t="s">
        <v>9521</v>
      </c>
      <c r="N1070" t="s">
        <v>9522</v>
      </c>
      <c r="O1070" t="s">
        <v>63</v>
      </c>
      <c r="Q1070" t="s">
        <v>63</v>
      </c>
      <c r="R1070" t="s">
        <v>63</v>
      </c>
      <c r="S1070" t="s">
        <v>63</v>
      </c>
      <c r="T1070" t="s">
        <v>63</v>
      </c>
      <c r="X1070" t="s">
        <v>63</v>
      </c>
      <c r="Y1070" t="s">
        <v>3012</v>
      </c>
      <c r="Z1070" t="s">
        <v>63</v>
      </c>
      <c r="AA1070" t="s">
        <v>9523</v>
      </c>
      <c r="AB1070">
        <v>22640762</v>
      </c>
      <c r="AC1070" t="s">
        <v>67</v>
      </c>
      <c r="AD1070" t="s">
        <v>63</v>
      </c>
      <c r="AE1070" t="s">
        <v>63</v>
      </c>
      <c r="AF1070" t="s">
        <v>63</v>
      </c>
      <c r="AG1070" t="s">
        <v>9524</v>
      </c>
      <c r="AH1070" t="s">
        <v>63</v>
      </c>
      <c r="AI1070" t="s">
        <v>9525</v>
      </c>
      <c r="AJ1070" t="s">
        <v>63</v>
      </c>
      <c r="AK1070" t="s">
        <v>63</v>
      </c>
      <c r="AL1070" t="s">
        <v>63</v>
      </c>
      <c r="AM1070" t="s">
        <v>9526</v>
      </c>
      <c r="AN1070" t="s">
        <v>63</v>
      </c>
      <c r="AO1070" t="s">
        <v>63</v>
      </c>
      <c r="AP1070" t="s">
        <v>63</v>
      </c>
      <c r="AQ1070" t="s">
        <v>63</v>
      </c>
      <c r="AR1070" t="s">
        <v>63</v>
      </c>
      <c r="AS1070" t="s">
        <v>63</v>
      </c>
      <c r="AT1070" t="s">
        <v>63</v>
      </c>
      <c r="AU1070" t="s">
        <v>63</v>
      </c>
      <c r="AV1070" t="s">
        <v>63</v>
      </c>
      <c r="AW1070" t="s">
        <v>63</v>
      </c>
      <c r="AX1070" t="s">
        <v>63</v>
      </c>
      <c r="AY1070" t="s">
        <v>63</v>
      </c>
      <c r="AZ1070" t="s">
        <v>63</v>
      </c>
      <c r="BA1070" t="s">
        <v>63</v>
      </c>
      <c r="BB1070" t="s">
        <v>63</v>
      </c>
      <c r="BC1070" t="s">
        <v>63</v>
      </c>
      <c r="BD1070" t="s">
        <v>63</v>
      </c>
      <c r="BE1070" t="s">
        <v>63</v>
      </c>
      <c r="BF1070" t="s">
        <v>63</v>
      </c>
    </row>
    <row r="1071" spans="1:58">
      <c r="A1071" t="s">
        <v>58</v>
      </c>
      <c r="B1071" t="s">
        <v>9527</v>
      </c>
      <c r="C1071" t="s">
        <v>9528</v>
      </c>
      <c r="D1071" t="s">
        <v>8764</v>
      </c>
      <c r="E1071" t="s">
        <v>63</v>
      </c>
      <c r="F1071">
        <v>2009</v>
      </c>
      <c r="G1071" t="s">
        <v>1670</v>
      </c>
      <c r="H1071">
        <v>23</v>
      </c>
      <c r="I1071">
        <v>4</v>
      </c>
      <c r="J1071">
        <v>401</v>
      </c>
      <c r="K1071">
        <v>409</v>
      </c>
      <c r="L1071" t="s">
        <v>9529</v>
      </c>
      <c r="M1071" t="s">
        <v>9530</v>
      </c>
      <c r="N1071" t="s">
        <v>9531</v>
      </c>
      <c r="O1071" t="s">
        <v>63</v>
      </c>
      <c r="Q1071" t="s">
        <v>63</v>
      </c>
      <c r="R1071" t="s">
        <v>63</v>
      </c>
      <c r="S1071" t="s">
        <v>63</v>
      </c>
      <c r="T1071" t="s">
        <v>63</v>
      </c>
      <c r="X1071" t="s">
        <v>63</v>
      </c>
      <c r="Y1071" t="s">
        <v>9532</v>
      </c>
      <c r="Z1071" t="s">
        <v>63</v>
      </c>
      <c r="AA1071" t="s">
        <v>9533</v>
      </c>
      <c r="AB1071">
        <v>19242852</v>
      </c>
      <c r="AC1071" t="s">
        <v>67</v>
      </c>
      <c r="AD1071" t="s">
        <v>63</v>
      </c>
      <c r="AE1071" t="s">
        <v>63</v>
      </c>
      <c r="AF1071" t="s">
        <v>63</v>
      </c>
      <c r="AG1071" t="s">
        <v>9534</v>
      </c>
      <c r="AH1071" t="s">
        <v>63</v>
      </c>
      <c r="AI1071" t="s">
        <v>9535</v>
      </c>
      <c r="AJ1071" t="s">
        <v>63</v>
      </c>
      <c r="AK1071" t="s">
        <v>63</v>
      </c>
      <c r="AL1071" t="s">
        <v>63</v>
      </c>
      <c r="AM1071" t="s">
        <v>9536</v>
      </c>
      <c r="AN1071" t="s">
        <v>63</v>
      </c>
      <c r="AO1071" t="s">
        <v>63</v>
      </c>
      <c r="AP1071" t="s">
        <v>63</v>
      </c>
      <c r="AQ1071" t="s">
        <v>63</v>
      </c>
      <c r="AR1071" t="s">
        <v>63</v>
      </c>
      <c r="AS1071" t="s">
        <v>63</v>
      </c>
      <c r="AT1071" t="s">
        <v>63</v>
      </c>
      <c r="AU1071" t="s">
        <v>63</v>
      </c>
      <c r="AV1071" t="s">
        <v>63</v>
      </c>
      <c r="AW1071" t="s">
        <v>63</v>
      </c>
      <c r="AX1071" t="s">
        <v>63</v>
      </c>
      <c r="AY1071" t="s">
        <v>63</v>
      </c>
      <c r="AZ1071" t="s">
        <v>63</v>
      </c>
      <c r="BA1071" t="s">
        <v>63</v>
      </c>
      <c r="BB1071" t="s">
        <v>63</v>
      </c>
      <c r="BC1071" t="s">
        <v>63</v>
      </c>
      <c r="BD1071" t="s">
        <v>63</v>
      </c>
      <c r="BE1071" t="s">
        <v>63</v>
      </c>
      <c r="BF1071" t="s">
        <v>63</v>
      </c>
    </row>
    <row r="1072" spans="1:58">
      <c r="A1072" t="s">
        <v>58</v>
      </c>
      <c r="B1072" t="s">
        <v>9537</v>
      </c>
      <c r="C1072" t="s">
        <v>9538</v>
      </c>
      <c r="D1072" t="s">
        <v>389</v>
      </c>
      <c r="E1072" t="s">
        <v>63</v>
      </c>
      <c r="F1072">
        <v>2017</v>
      </c>
      <c r="G1072" t="s">
        <v>1528</v>
      </c>
      <c r="H1072">
        <v>38</v>
      </c>
      <c r="I1072">
        <v>1</v>
      </c>
      <c r="J1072">
        <v>40</v>
      </c>
      <c r="K1072">
        <v>42</v>
      </c>
      <c r="L1072" t="s">
        <v>9539</v>
      </c>
      <c r="M1072" t="s">
        <v>9540</v>
      </c>
      <c r="N1072" t="s">
        <v>9541</v>
      </c>
      <c r="O1072" t="s">
        <v>63</v>
      </c>
      <c r="Q1072" t="s">
        <v>63</v>
      </c>
      <c r="R1072" t="s">
        <v>63</v>
      </c>
      <c r="S1072" t="s">
        <v>63</v>
      </c>
      <c r="T1072" t="s">
        <v>63</v>
      </c>
      <c r="X1072" t="s">
        <v>63</v>
      </c>
      <c r="Y1072" t="s">
        <v>556</v>
      </c>
      <c r="Z1072" t="s">
        <v>63</v>
      </c>
      <c r="AA1072" t="s">
        <v>9542</v>
      </c>
      <c r="AB1072">
        <v>27163655</v>
      </c>
      <c r="AC1072" t="s">
        <v>67</v>
      </c>
      <c r="AD1072" t="s">
        <v>63</v>
      </c>
      <c r="AE1072" t="s">
        <v>63</v>
      </c>
      <c r="AF1072" t="s">
        <v>63</v>
      </c>
      <c r="AG1072" t="s">
        <v>9543</v>
      </c>
      <c r="AH1072" t="s">
        <v>63</v>
      </c>
      <c r="AI1072" t="s">
        <v>9544</v>
      </c>
      <c r="AJ1072" t="s">
        <v>63</v>
      </c>
      <c r="AK1072" t="s">
        <v>63</v>
      </c>
      <c r="AL1072" t="s">
        <v>63</v>
      </c>
      <c r="AM1072" t="s">
        <v>9545</v>
      </c>
      <c r="AN1072" t="s">
        <v>63</v>
      </c>
      <c r="AO1072" t="s">
        <v>63</v>
      </c>
      <c r="AP1072" t="s">
        <v>63</v>
      </c>
      <c r="AQ1072" t="s">
        <v>63</v>
      </c>
      <c r="AR1072" t="s">
        <v>63</v>
      </c>
      <c r="AS1072" t="s">
        <v>63</v>
      </c>
      <c r="AT1072" t="s">
        <v>63</v>
      </c>
      <c r="AU1072" t="s">
        <v>63</v>
      </c>
      <c r="AV1072" t="s">
        <v>63</v>
      </c>
      <c r="AW1072" t="s">
        <v>63</v>
      </c>
      <c r="AX1072" t="s">
        <v>63</v>
      </c>
      <c r="AY1072" t="s">
        <v>63</v>
      </c>
      <c r="AZ1072" t="s">
        <v>63</v>
      </c>
      <c r="BA1072" t="s">
        <v>63</v>
      </c>
      <c r="BB1072" t="s">
        <v>63</v>
      </c>
      <c r="BC1072" t="s">
        <v>63</v>
      </c>
      <c r="BD1072" t="s">
        <v>63</v>
      </c>
      <c r="BE1072" t="s">
        <v>63</v>
      </c>
      <c r="BF1072" t="s">
        <v>63</v>
      </c>
    </row>
    <row r="1073" spans="1:58">
      <c r="A1073" t="s">
        <v>58</v>
      </c>
      <c r="B1073" t="s">
        <v>9546</v>
      </c>
      <c r="C1073" t="s">
        <v>9547</v>
      </c>
      <c r="D1073" t="s">
        <v>205</v>
      </c>
      <c r="E1073" t="s">
        <v>205</v>
      </c>
      <c r="F1073">
        <v>1998</v>
      </c>
      <c r="G1073" s="1">
        <v>41799</v>
      </c>
      <c r="H1073">
        <v>279</v>
      </c>
      <c r="I1073">
        <v>22</v>
      </c>
      <c r="J1073">
        <v>1767</v>
      </c>
      <c r="K1073">
        <v>1768</v>
      </c>
      <c r="L1073" t="s">
        <v>9548</v>
      </c>
      <c r="M1073" t="s">
        <v>63</v>
      </c>
      <c r="N1073" t="s">
        <v>9549</v>
      </c>
      <c r="O1073" t="s">
        <v>63</v>
      </c>
      <c r="Q1073" t="s">
        <v>63</v>
      </c>
      <c r="R1073" t="s">
        <v>63</v>
      </c>
      <c r="S1073" t="s">
        <v>63</v>
      </c>
      <c r="T1073" t="s">
        <v>63</v>
      </c>
      <c r="X1073" t="s">
        <v>63</v>
      </c>
      <c r="Y1073" t="s">
        <v>208</v>
      </c>
      <c r="Z1073" t="s">
        <v>63</v>
      </c>
      <c r="AA1073" t="s">
        <v>63</v>
      </c>
      <c r="AB1073">
        <v>9628694</v>
      </c>
      <c r="AC1073" t="s">
        <v>67</v>
      </c>
      <c r="AD1073" t="s">
        <v>63</v>
      </c>
      <c r="AE1073" t="s">
        <v>63</v>
      </c>
      <c r="AF1073" t="s">
        <v>63</v>
      </c>
      <c r="AG1073" t="s">
        <v>9550</v>
      </c>
      <c r="AH1073" t="s">
        <v>63</v>
      </c>
      <c r="AI1073" t="s">
        <v>63</v>
      </c>
      <c r="AJ1073" t="s">
        <v>63</v>
      </c>
      <c r="AK1073" t="s">
        <v>63</v>
      </c>
      <c r="AL1073" t="s">
        <v>63</v>
      </c>
      <c r="AM1073" t="s">
        <v>9551</v>
      </c>
      <c r="AN1073" t="s">
        <v>63</v>
      </c>
      <c r="AO1073" t="s">
        <v>63</v>
      </c>
      <c r="AP1073" t="s">
        <v>63</v>
      </c>
      <c r="AQ1073" t="s">
        <v>63</v>
      </c>
      <c r="AR1073" t="s">
        <v>63</v>
      </c>
      <c r="AS1073" t="s">
        <v>63</v>
      </c>
      <c r="AT1073" t="s">
        <v>63</v>
      </c>
      <c r="AU1073" t="s">
        <v>63</v>
      </c>
      <c r="AV1073" t="s">
        <v>63</v>
      </c>
      <c r="AW1073" t="s">
        <v>63</v>
      </c>
      <c r="AX1073" t="s">
        <v>63</v>
      </c>
      <c r="AY1073" t="s">
        <v>63</v>
      </c>
      <c r="AZ1073" t="s">
        <v>63</v>
      </c>
      <c r="BA1073" t="s">
        <v>63</v>
      </c>
      <c r="BB1073" t="s">
        <v>63</v>
      </c>
      <c r="BC1073" t="s">
        <v>63</v>
      </c>
      <c r="BD1073" t="s">
        <v>63</v>
      </c>
      <c r="BE1073" t="s">
        <v>63</v>
      </c>
      <c r="BF1073" t="s">
        <v>63</v>
      </c>
    </row>
    <row r="1074" spans="1:58">
      <c r="A1074" t="s">
        <v>58</v>
      </c>
      <c r="B1074" t="s">
        <v>9552</v>
      </c>
      <c r="C1074" t="s">
        <v>9553</v>
      </c>
      <c r="D1074" t="s">
        <v>164</v>
      </c>
      <c r="E1074" t="s">
        <v>165</v>
      </c>
      <c r="F1074">
        <v>1970</v>
      </c>
      <c r="G1074" t="s">
        <v>1670</v>
      </c>
      <c r="H1074">
        <v>127</v>
      </c>
      <c r="I1074">
        <v>1</v>
      </c>
      <c r="J1074">
        <v>15</v>
      </c>
      <c r="K1074">
        <v>24</v>
      </c>
      <c r="L1074" t="s">
        <v>9554</v>
      </c>
      <c r="M1074" t="s">
        <v>63</v>
      </c>
      <c r="N1074" t="s">
        <v>9555</v>
      </c>
      <c r="O1074" t="s">
        <v>63</v>
      </c>
      <c r="Q1074" t="s">
        <v>63</v>
      </c>
      <c r="R1074" t="s">
        <v>63</v>
      </c>
      <c r="S1074" t="s">
        <v>63</v>
      </c>
      <c r="T1074" t="s">
        <v>63</v>
      </c>
      <c r="X1074" t="s">
        <v>63</v>
      </c>
      <c r="Y1074" t="s">
        <v>169</v>
      </c>
      <c r="Z1074" t="s">
        <v>63</v>
      </c>
      <c r="AA1074" t="s">
        <v>63</v>
      </c>
      <c r="AB1074">
        <v>5426241</v>
      </c>
      <c r="AC1074" t="s">
        <v>67</v>
      </c>
      <c r="AD1074" t="s">
        <v>63</v>
      </c>
      <c r="AE1074" t="s">
        <v>63</v>
      </c>
      <c r="AF1074" t="s">
        <v>63</v>
      </c>
      <c r="AG1074" t="s">
        <v>9556</v>
      </c>
      <c r="AH1074" t="s">
        <v>63</v>
      </c>
      <c r="AI1074" t="s">
        <v>63</v>
      </c>
      <c r="AJ1074" t="s">
        <v>63</v>
      </c>
      <c r="AK1074" t="s">
        <v>63</v>
      </c>
      <c r="AL1074" t="s">
        <v>63</v>
      </c>
      <c r="AM1074" t="s">
        <v>9557</v>
      </c>
      <c r="AN1074" t="s">
        <v>63</v>
      </c>
      <c r="AO1074" t="s">
        <v>63</v>
      </c>
      <c r="AP1074" t="s">
        <v>63</v>
      </c>
      <c r="AQ1074" t="s">
        <v>63</v>
      </c>
      <c r="AR1074" t="s">
        <v>63</v>
      </c>
      <c r="AS1074" t="s">
        <v>63</v>
      </c>
      <c r="AT1074" t="s">
        <v>63</v>
      </c>
      <c r="AU1074" t="s">
        <v>63</v>
      </c>
      <c r="AV1074" t="s">
        <v>63</v>
      </c>
      <c r="AW1074" t="s">
        <v>63</v>
      </c>
      <c r="AX1074" t="s">
        <v>63</v>
      </c>
      <c r="AY1074" t="s">
        <v>63</v>
      </c>
      <c r="AZ1074" t="s">
        <v>63</v>
      </c>
      <c r="BA1074" t="s">
        <v>63</v>
      </c>
      <c r="BB1074" t="s">
        <v>63</v>
      </c>
      <c r="BC1074" t="s">
        <v>63</v>
      </c>
      <c r="BD1074" t="s">
        <v>63</v>
      </c>
      <c r="BE1074" t="s">
        <v>63</v>
      </c>
      <c r="BF1074" t="s">
        <v>63</v>
      </c>
    </row>
    <row r="1075" spans="1:58">
      <c r="A1075" t="s">
        <v>58</v>
      </c>
      <c r="B1075" t="s">
        <v>9558</v>
      </c>
      <c r="C1075" t="s">
        <v>9559</v>
      </c>
      <c r="D1075" t="s">
        <v>9560</v>
      </c>
      <c r="E1075" t="s">
        <v>9560</v>
      </c>
      <c r="F1075">
        <v>2012</v>
      </c>
      <c r="G1075" t="s">
        <v>157</v>
      </c>
      <c r="H1075">
        <v>38</v>
      </c>
      <c r="I1075">
        <v>6</v>
      </c>
      <c r="J1075">
        <v>467</v>
      </c>
      <c r="K1075">
        <v>472</v>
      </c>
      <c r="L1075" t="s">
        <v>9561</v>
      </c>
      <c r="M1075" t="s">
        <v>9562</v>
      </c>
      <c r="N1075" t="s">
        <v>9563</v>
      </c>
      <c r="O1075" t="s">
        <v>63</v>
      </c>
      <c r="Q1075" t="s">
        <v>63</v>
      </c>
      <c r="R1075" t="s">
        <v>63</v>
      </c>
      <c r="S1075" t="s">
        <v>63</v>
      </c>
      <c r="T1075" t="s">
        <v>63</v>
      </c>
      <c r="X1075" t="s">
        <v>63</v>
      </c>
      <c r="Y1075" t="s">
        <v>9564</v>
      </c>
      <c r="Z1075" t="s">
        <v>63</v>
      </c>
      <c r="AA1075" t="s">
        <v>9565</v>
      </c>
      <c r="AB1075">
        <v>23200612</v>
      </c>
      <c r="AC1075" t="s">
        <v>1371</v>
      </c>
      <c r="AD1075" t="s">
        <v>63</v>
      </c>
      <c r="AE1075" t="s">
        <v>63</v>
      </c>
      <c r="AF1075" t="s">
        <v>63</v>
      </c>
      <c r="AG1075" t="s">
        <v>9566</v>
      </c>
      <c r="AH1075" t="s">
        <v>63</v>
      </c>
      <c r="AI1075" t="s">
        <v>9567</v>
      </c>
      <c r="AJ1075" t="s">
        <v>63</v>
      </c>
      <c r="AK1075" t="s">
        <v>63</v>
      </c>
      <c r="AL1075" t="s">
        <v>63</v>
      </c>
      <c r="AM1075" t="s">
        <v>9568</v>
      </c>
      <c r="AN1075" t="s">
        <v>63</v>
      </c>
      <c r="AO1075" t="s">
        <v>63</v>
      </c>
      <c r="AP1075" t="s">
        <v>63</v>
      </c>
      <c r="AQ1075" t="s">
        <v>63</v>
      </c>
      <c r="AR1075" t="s">
        <v>63</v>
      </c>
      <c r="AS1075" t="s">
        <v>63</v>
      </c>
      <c r="AT1075" t="s">
        <v>63</v>
      </c>
      <c r="AU1075" t="s">
        <v>63</v>
      </c>
      <c r="AV1075" t="s">
        <v>63</v>
      </c>
      <c r="AW1075" t="s">
        <v>63</v>
      </c>
      <c r="AX1075" t="s">
        <v>63</v>
      </c>
      <c r="AY1075" t="s">
        <v>63</v>
      </c>
      <c r="AZ1075" t="s">
        <v>63</v>
      </c>
      <c r="BA1075" t="s">
        <v>63</v>
      </c>
      <c r="BB1075" t="s">
        <v>63</v>
      </c>
      <c r="BC1075" t="s">
        <v>63</v>
      </c>
      <c r="BD1075" t="s">
        <v>63</v>
      </c>
      <c r="BE1075" t="s">
        <v>63</v>
      </c>
      <c r="BF1075" t="s">
        <v>63</v>
      </c>
    </row>
    <row r="1076" spans="1:58">
      <c r="A1076" t="s">
        <v>58</v>
      </c>
      <c r="B1076" t="s">
        <v>9569</v>
      </c>
      <c r="C1076" t="s">
        <v>9570</v>
      </c>
      <c r="D1076" t="s">
        <v>9571</v>
      </c>
      <c r="E1076" t="s">
        <v>63</v>
      </c>
      <c r="F1076">
        <v>1999</v>
      </c>
      <c r="G1076" t="s">
        <v>614</v>
      </c>
      <c r="H1076">
        <v>89</v>
      </c>
      <c r="I1076">
        <v>8</v>
      </c>
      <c r="J1076">
        <v>817</v>
      </c>
      <c r="K1076" t="s">
        <v>63</v>
      </c>
      <c r="L1076" t="s">
        <v>9572</v>
      </c>
      <c r="M1076" t="s">
        <v>63</v>
      </c>
      <c r="N1076" t="s">
        <v>9573</v>
      </c>
      <c r="O1076" t="s">
        <v>63</v>
      </c>
      <c r="Q1076" t="s">
        <v>63</v>
      </c>
      <c r="R1076" t="s">
        <v>63</v>
      </c>
      <c r="S1076" t="s">
        <v>63</v>
      </c>
      <c r="T1076" t="s">
        <v>63</v>
      </c>
      <c r="X1076" t="s">
        <v>63</v>
      </c>
      <c r="Y1076" t="s">
        <v>9574</v>
      </c>
      <c r="Z1076" t="s">
        <v>63</v>
      </c>
      <c r="AA1076" t="s">
        <v>63</v>
      </c>
      <c r="AB1076">
        <v>10488351</v>
      </c>
      <c r="AC1076" t="s">
        <v>67</v>
      </c>
      <c r="AD1076" t="s">
        <v>63</v>
      </c>
      <c r="AE1076" t="s">
        <v>63</v>
      </c>
      <c r="AF1076" t="s">
        <v>63</v>
      </c>
      <c r="AG1076" t="s">
        <v>9575</v>
      </c>
      <c r="AH1076" t="s">
        <v>63</v>
      </c>
      <c r="AI1076" t="s">
        <v>63</v>
      </c>
      <c r="AJ1076" t="s">
        <v>63</v>
      </c>
      <c r="AK1076" t="s">
        <v>63</v>
      </c>
      <c r="AL1076" t="s">
        <v>63</v>
      </c>
      <c r="AM1076" t="s">
        <v>9576</v>
      </c>
      <c r="AN1076" t="s">
        <v>63</v>
      </c>
      <c r="AO1076" t="s">
        <v>63</v>
      </c>
      <c r="AP1076" t="s">
        <v>63</v>
      </c>
      <c r="AQ1076" t="s">
        <v>63</v>
      </c>
      <c r="AR1076" t="s">
        <v>63</v>
      </c>
      <c r="AS1076" t="s">
        <v>63</v>
      </c>
      <c r="AT1076" t="s">
        <v>63</v>
      </c>
      <c r="AU1076" t="s">
        <v>63</v>
      </c>
      <c r="AV1076" t="s">
        <v>63</v>
      </c>
      <c r="AW1076" t="s">
        <v>63</v>
      </c>
      <c r="AX1076" t="s">
        <v>63</v>
      </c>
      <c r="AY1076" t="s">
        <v>63</v>
      </c>
      <c r="AZ1076" t="s">
        <v>63</v>
      </c>
      <c r="BA1076" t="s">
        <v>63</v>
      </c>
      <c r="BB1076" t="s">
        <v>63</v>
      </c>
      <c r="BC1076" t="s">
        <v>63</v>
      </c>
      <c r="BD1076" t="s">
        <v>63</v>
      </c>
      <c r="BE1076" t="s">
        <v>63</v>
      </c>
      <c r="BF1076" t="s">
        <v>63</v>
      </c>
    </row>
    <row r="1077" spans="1:58">
      <c r="A1077" t="s">
        <v>58</v>
      </c>
      <c r="B1077" t="s">
        <v>9577</v>
      </c>
      <c r="C1077" t="s">
        <v>9578</v>
      </c>
      <c r="D1077" t="s">
        <v>111</v>
      </c>
      <c r="E1077" t="s">
        <v>112</v>
      </c>
      <c r="F1077">
        <v>2017</v>
      </c>
      <c r="G1077" s="1">
        <v>41900</v>
      </c>
      <c r="H1077">
        <v>167</v>
      </c>
      <c r="I1077">
        <v>6</v>
      </c>
      <c r="J1077">
        <v>444</v>
      </c>
      <c r="K1077" t="s">
        <v>63</v>
      </c>
      <c r="L1077" t="s">
        <v>9579</v>
      </c>
      <c r="M1077" t="s">
        <v>63</v>
      </c>
      <c r="N1077" t="s">
        <v>9580</v>
      </c>
      <c r="O1077" t="s">
        <v>63</v>
      </c>
      <c r="Q1077" t="s">
        <v>63</v>
      </c>
      <c r="R1077" t="s">
        <v>63</v>
      </c>
      <c r="S1077" t="s">
        <v>63</v>
      </c>
      <c r="T1077" t="s">
        <v>63</v>
      </c>
      <c r="X1077" t="s">
        <v>63</v>
      </c>
      <c r="Y1077" t="s">
        <v>116</v>
      </c>
      <c r="Z1077" t="s">
        <v>63</v>
      </c>
      <c r="AA1077" t="s">
        <v>9581</v>
      </c>
      <c r="AB1077">
        <v>28975330</v>
      </c>
      <c r="AC1077" t="s">
        <v>67</v>
      </c>
      <c r="AD1077" t="s">
        <v>63</v>
      </c>
      <c r="AE1077" t="s">
        <v>63</v>
      </c>
      <c r="AF1077" t="s">
        <v>63</v>
      </c>
      <c r="AG1077" t="s">
        <v>9582</v>
      </c>
      <c r="AH1077" t="s">
        <v>63</v>
      </c>
      <c r="AI1077" t="s">
        <v>9583</v>
      </c>
      <c r="AJ1077" t="s">
        <v>63</v>
      </c>
      <c r="AK1077" t="s">
        <v>63</v>
      </c>
      <c r="AL1077" t="s">
        <v>63</v>
      </c>
      <c r="AM1077" t="s">
        <v>9584</v>
      </c>
      <c r="AN1077" t="s">
        <v>63</v>
      </c>
      <c r="AO1077" t="s">
        <v>63</v>
      </c>
      <c r="AP1077" t="s">
        <v>63</v>
      </c>
      <c r="AQ1077" t="s">
        <v>63</v>
      </c>
      <c r="AR1077" t="s">
        <v>63</v>
      </c>
      <c r="AS1077" t="s">
        <v>63</v>
      </c>
      <c r="AT1077" t="s">
        <v>63</v>
      </c>
      <c r="AU1077" t="s">
        <v>63</v>
      </c>
      <c r="AV1077" t="s">
        <v>63</v>
      </c>
      <c r="AW1077" t="s">
        <v>63</v>
      </c>
      <c r="AX1077" t="s">
        <v>63</v>
      </c>
      <c r="AY1077" t="s">
        <v>63</v>
      </c>
      <c r="AZ1077" t="s">
        <v>63</v>
      </c>
      <c r="BA1077" t="s">
        <v>63</v>
      </c>
      <c r="BB1077" t="s">
        <v>63</v>
      </c>
      <c r="BC1077" t="s">
        <v>63</v>
      </c>
      <c r="BD1077" t="s">
        <v>63</v>
      </c>
      <c r="BE1077" t="s">
        <v>63</v>
      </c>
      <c r="BF1077" t="s">
        <v>63</v>
      </c>
    </row>
    <row r="1078" spans="1:58">
      <c r="A1078" t="s">
        <v>58</v>
      </c>
      <c r="B1078" t="s">
        <v>9585</v>
      </c>
      <c r="C1078" t="s">
        <v>9586</v>
      </c>
      <c r="D1078" t="s">
        <v>8849</v>
      </c>
      <c r="E1078" t="s">
        <v>63</v>
      </c>
      <c r="F1078">
        <v>2004</v>
      </c>
      <c r="G1078" t="s">
        <v>219</v>
      </c>
      <c r="H1078">
        <v>4</v>
      </c>
      <c r="I1078">
        <v>6</v>
      </c>
      <c r="J1078" t="s">
        <v>9587</v>
      </c>
      <c r="K1078">
        <v>8</v>
      </c>
      <c r="L1078" t="s">
        <v>9588</v>
      </c>
      <c r="M1078" t="s">
        <v>9589</v>
      </c>
      <c r="N1078" t="s">
        <v>9590</v>
      </c>
      <c r="O1078" t="s">
        <v>63</v>
      </c>
      <c r="Q1078" t="s">
        <v>63</v>
      </c>
      <c r="R1078" t="s">
        <v>63</v>
      </c>
      <c r="S1078" t="s">
        <v>63</v>
      </c>
      <c r="T1078" t="s">
        <v>63</v>
      </c>
      <c r="X1078" t="s">
        <v>63</v>
      </c>
      <c r="Y1078" t="s">
        <v>8854</v>
      </c>
      <c r="Z1078" t="s">
        <v>63</v>
      </c>
      <c r="AA1078" t="s">
        <v>9591</v>
      </c>
      <c r="AB1078">
        <v>16279864</v>
      </c>
      <c r="AC1078" t="s">
        <v>67</v>
      </c>
      <c r="AD1078" t="s">
        <v>63</v>
      </c>
      <c r="AE1078" t="s">
        <v>63</v>
      </c>
      <c r="AF1078" t="s">
        <v>63</v>
      </c>
      <c r="AG1078" t="s">
        <v>9592</v>
      </c>
      <c r="AH1078" t="s">
        <v>63</v>
      </c>
      <c r="AI1078" t="s">
        <v>63</v>
      </c>
      <c r="AJ1078" t="s">
        <v>63</v>
      </c>
      <c r="AK1078" t="s">
        <v>63</v>
      </c>
      <c r="AL1078" t="s">
        <v>63</v>
      </c>
      <c r="AM1078" t="s">
        <v>9593</v>
      </c>
      <c r="AN1078" t="s">
        <v>63</v>
      </c>
      <c r="AO1078" t="s">
        <v>63</v>
      </c>
      <c r="AP1078" t="s">
        <v>63</v>
      </c>
      <c r="AQ1078" t="s">
        <v>63</v>
      </c>
      <c r="AR1078" t="s">
        <v>63</v>
      </c>
      <c r="AS1078" t="s">
        <v>63</v>
      </c>
      <c r="AT1078" t="s">
        <v>63</v>
      </c>
      <c r="AU1078" t="s">
        <v>63</v>
      </c>
      <c r="AV1078" t="s">
        <v>63</v>
      </c>
      <c r="AW1078" t="s">
        <v>63</v>
      </c>
      <c r="AX1078" t="s">
        <v>63</v>
      </c>
      <c r="AY1078" t="s">
        <v>63</v>
      </c>
      <c r="AZ1078" t="s">
        <v>63</v>
      </c>
      <c r="BA1078" t="s">
        <v>63</v>
      </c>
      <c r="BB1078" t="s">
        <v>63</v>
      </c>
      <c r="BC1078" t="s">
        <v>63</v>
      </c>
      <c r="BD1078" t="s">
        <v>63</v>
      </c>
      <c r="BE1078" t="s">
        <v>63</v>
      </c>
      <c r="BF1078" t="s">
        <v>63</v>
      </c>
    </row>
    <row r="1079" spans="1:58">
      <c r="A1079" t="s">
        <v>58</v>
      </c>
      <c r="B1079" t="s">
        <v>9594</v>
      </c>
      <c r="C1079" t="s">
        <v>9595</v>
      </c>
      <c r="D1079" t="s">
        <v>9596</v>
      </c>
      <c r="E1079" t="s">
        <v>63</v>
      </c>
      <c r="F1079">
        <v>2016</v>
      </c>
      <c r="G1079" t="s">
        <v>63</v>
      </c>
      <c r="H1079">
        <v>32</v>
      </c>
      <c r="I1079">
        <v>2</v>
      </c>
      <c r="J1079">
        <v>204</v>
      </c>
      <c r="K1079">
        <v>218</v>
      </c>
      <c r="L1079" t="s">
        <v>9597</v>
      </c>
      <c r="M1079" t="s">
        <v>9598</v>
      </c>
      <c r="N1079" t="s">
        <v>9599</v>
      </c>
      <c r="O1079" t="s">
        <v>63</v>
      </c>
      <c r="Q1079" t="s">
        <v>63</v>
      </c>
      <c r="R1079" t="s">
        <v>63</v>
      </c>
      <c r="S1079" t="s">
        <v>63</v>
      </c>
      <c r="T1079" t="s">
        <v>63</v>
      </c>
      <c r="X1079" t="s">
        <v>63</v>
      </c>
      <c r="Y1079" t="s">
        <v>9600</v>
      </c>
      <c r="Z1079" t="s">
        <v>63</v>
      </c>
      <c r="AA1079" t="s">
        <v>9601</v>
      </c>
      <c r="AB1079">
        <v>26344571</v>
      </c>
      <c r="AC1079" t="s">
        <v>67</v>
      </c>
      <c r="AD1079" t="s">
        <v>63</v>
      </c>
      <c r="AE1079" t="s">
        <v>63</v>
      </c>
      <c r="AF1079" t="s">
        <v>63</v>
      </c>
      <c r="AG1079" t="s">
        <v>9602</v>
      </c>
      <c r="AH1079" t="s">
        <v>63</v>
      </c>
      <c r="AI1079" t="s">
        <v>9603</v>
      </c>
      <c r="AJ1079" t="s">
        <v>63</v>
      </c>
      <c r="AK1079" t="s">
        <v>63</v>
      </c>
      <c r="AL1079" t="s">
        <v>63</v>
      </c>
      <c r="AM1079" t="s">
        <v>9604</v>
      </c>
      <c r="AN1079" t="s">
        <v>63</v>
      </c>
      <c r="AO1079" t="s">
        <v>63</v>
      </c>
      <c r="AP1079" t="s">
        <v>63</v>
      </c>
      <c r="AQ1079" t="s">
        <v>63</v>
      </c>
      <c r="AR1079" t="s">
        <v>63</v>
      </c>
      <c r="AS1079" t="s">
        <v>63</v>
      </c>
      <c r="AT1079" t="s">
        <v>63</v>
      </c>
      <c r="AU1079" t="s">
        <v>63</v>
      </c>
      <c r="AV1079" t="s">
        <v>63</v>
      </c>
      <c r="AW1079" t="s">
        <v>63</v>
      </c>
      <c r="AX1079" t="s">
        <v>63</v>
      </c>
      <c r="AY1079" t="s">
        <v>63</v>
      </c>
      <c r="AZ1079" t="s">
        <v>63</v>
      </c>
      <c r="BA1079" t="s">
        <v>63</v>
      </c>
      <c r="BB1079" t="s">
        <v>63</v>
      </c>
      <c r="BC1079" t="s">
        <v>63</v>
      </c>
      <c r="BD1079" t="s">
        <v>63</v>
      </c>
      <c r="BE1079" t="s">
        <v>63</v>
      </c>
      <c r="BF1079" t="s">
        <v>63</v>
      </c>
    </row>
    <row r="1080" spans="1:58">
      <c r="A1080" t="s">
        <v>58</v>
      </c>
      <c r="B1080" t="s">
        <v>9605</v>
      </c>
      <c r="C1080" t="s">
        <v>9606</v>
      </c>
      <c r="D1080" t="s">
        <v>9607</v>
      </c>
      <c r="E1080" t="s">
        <v>9607</v>
      </c>
      <c r="F1080">
        <v>1982</v>
      </c>
      <c r="G1080" t="s">
        <v>63</v>
      </c>
      <c r="H1080">
        <v>11</v>
      </c>
      <c r="I1080" s="1">
        <v>41701</v>
      </c>
      <c r="J1080">
        <v>178</v>
      </c>
      <c r="K1080">
        <v>196</v>
      </c>
      <c r="L1080" t="s">
        <v>9608</v>
      </c>
      <c r="M1080" t="s">
        <v>9609</v>
      </c>
      <c r="N1080" t="s">
        <v>9610</v>
      </c>
      <c r="O1080" t="s">
        <v>63</v>
      </c>
      <c r="Q1080" t="s">
        <v>63</v>
      </c>
      <c r="R1080" t="s">
        <v>63</v>
      </c>
      <c r="S1080" t="s">
        <v>63</v>
      </c>
      <c r="T1080" t="s">
        <v>63</v>
      </c>
      <c r="X1080" t="s">
        <v>63</v>
      </c>
      <c r="Y1080" t="s">
        <v>63</v>
      </c>
      <c r="Z1080" t="s">
        <v>63</v>
      </c>
      <c r="AA1080" t="s">
        <v>63</v>
      </c>
      <c r="AB1080">
        <v>6979025</v>
      </c>
      <c r="AC1080" t="s">
        <v>67</v>
      </c>
      <c r="AD1080" t="s">
        <v>63</v>
      </c>
      <c r="AE1080" t="s">
        <v>63</v>
      </c>
      <c r="AF1080" t="s">
        <v>63</v>
      </c>
      <c r="AG1080" t="s">
        <v>9611</v>
      </c>
      <c r="AH1080" t="s">
        <v>63</v>
      </c>
      <c r="AI1080" t="s">
        <v>63</v>
      </c>
      <c r="AJ1080" t="s">
        <v>63</v>
      </c>
      <c r="AK1080" t="s">
        <v>63</v>
      </c>
      <c r="AL1080" t="s">
        <v>63</v>
      </c>
      <c r="AM1080" t="s">
        <v>9612</v>
      </c>
      <c r="AN1080" t="s">
        <v>63</v>
      </c>
      <c r="AO1080" t="s">
        <v>63</v>
      </c>
      <c r="AP1080" t="s">
        <v>63</v>
      </c>
      <c r="AQ1080" t="s">
        <v>63</v>
      </c>
      <c r="AR1080" t="s">
        <v>63</v>
      </c>
      <c r="AS1080" t="s">
        <v>63</v>
      </c>
      <c r="AT1080" t="s">
        <v>63</v>
      </c>
      <c r="AU1080" t="s">
        <v>63</v>
      </c>
      <c r="AV1080" t="s">
        <v>63</v>
      </c>
      <c r="AW1080" t="s">
        <v>63</v>
      </c>
      <c r="AX1080" t="s">
        <v>63</v>
      </c>
      <c r="AY1080" t="s">
        <v>63</v>
      </c>
      <c r="AZ1080" t="s">
        <v>63</v>
      </c>
      <c r="BA1080" t="s">
        <v>63</v>
      </c>
      <c r="BB1080" t="s">
        <v>63</v>
      </c>
      <c r="BC1080" t="s">
        <v>63</v>
      </c>
      <c r="BD1080" t="s">
        <v>63</v>
      </c>
      <c r="BE1080" t="s">
        <v>63</v>
      </c>
      <c r="BF1080" t="s">
        <v>63</v>
      </c>
    </row>
    <row r="1081" spans="1:58">
      <c r="A1081" t="s">
        <v>58</v>
      </c>
      <c r="B1081" t="s">
        <v>9613</v>
      </c>
      <c r="C1081" t="s">
        <v>9614</v>
      </c>
      <c r="D1081" t="s">
        <v>1406</v>
      </c>
      <c r="E1081" t="s">
        <v>1407</v>
      </c>
      <c r="F1081">
        <v>2004</v>
      </c>
      <c r="G1081" t="s">
        <v>614</v>
      </c>
      <c r="H1081">
        <v>104</v>
      </c>
      <c r="I1081">
        <v>8</v>
      </c>
      <c r="J1081">
        <v>317</v>
      </c>
      <c r="K1081">
        <v>323</v>
      </c>
      <c r="L1081" t="s">
        <v>9615</v>
      </c>
      <c r="M1081" t="s">
        <v>9616</v>
      </c>
      <c r="N1081" t="s">
        <v>9617</v>
      </c>
      <c r="O1081" t="s">
        <v>63</v>
      </c>
      <c r="Q1081" t="s">
        <v>63</v>
      </c>
      <c r="R1081" t="s">
        <v>63</v>
      </c>
      <c r="S1081" t="s">
        <v>63</v>
      </c>
      <c r="T1081" t="s">
        <v>63</v>
      </c>
      <c r="X1081" t="s">
        <v>63</v>
      </c>
      <c r="Y1081" t="s">
        <v>1411</v>
      </c>
      <c r="Z1081" t="s">
        <v>63</v>
      </c>
      <c r="AA1081" t="s">
        <v>9618</v>
      </c>
      <c r="AB1081">
        <v>15345701</v>
      </c>
      <c r="AC1081" t="s">
        <v>67</v>
      </c>
      <c r="AD1081" t="s">
        <v>63</v>
      </c>
      <c r="AE1081" t="s">
        <v>63</v>
      </c>
      <c r="AF1081" t="s">
        <v>63</v>
      </c>
      <c r="AG1081" t="s">
        <v>9619</v>
      </c>
      <c r="AH1081" t="s">
        <v>63</v>
      </c>
      <c r="AI1081" t="s">
        <v>63</v>
      </c>
      <c r="AJ1081" t="s">
        <v>63</v>
      </c>
      <c r="AK1081" t="s">
        <v>63</v>
      </c>
      <c r="AL1081" t="s">
        <v>63</v>
      </c>
      <c r="AM1081" t="s">
        <v>9620</v>
      </c>
      <c r="AN1081" t="s">
        <v>63</v>
      </c>
      <c r="AO1081" t="s">
        <v>63</v>
      </c>
      <c r="AP1081" t="s">
        <v>63</v>
      </c>
      <c r="AQ1081" t="s">
        <v>63</v>
      </c>
      <c r="AR1081" t="s">
        <v>63</v>
      </c>
      <c r="AS1081" t="s">
        <v>63</v>
      </c>
      <c r="AT1081" t="s">
        <v>63</v>
      </c>
      <c r="AU1081" t="s">
        <v>63</v>
      </c>
      <c r="AV1081" t="s">
        <v>63</v>
      </c>
      <c r="AW1081" t="s">
        <v>63</v>
      </c>
      <c r="AX1081" t="s">
        <v>63</v>
      </c>
      <c r="AY1081" t="s">
        <v>63</v>
      </c>
      <c r="AZ1081" t="s">
        <v>63</v>
      </c>
      <c r="BA1081" t="s">
        <v>63</v>
      </c>
      <c r="BB1081" t="s">
        <v>63</v>
      </c>
      <c r="BC1081" t="s">
        <v>63</v>
      </c>
      <c r="BD1081" t="s">
        <v>63</v>
      </c>
      <c r="BE1081" t="s">
        <v>63</v>
      </c>
      <c r="BF1081" t="s">
        <v>63</v>
      </c>
    </row>
    <row r="1082" spans="1:58">
      <c r="A1082" t="s">
        <v>58</v>
      </c>
      <c r="B1082" t="s">
        <v>9621</v>
      </c>
      <c r="C1082" t="s">
        <v>9622</v>
      </c>
      <c r="D1082" t="s">
        <v>1406</v>
      </c>
      <c r="E1082" t="s">
        <v>1407</v>
      </c>
      <c r="F1082">
        <v>2005</v>
      </c>
      <c r="G1082" t="s">
        <v>181</v>
      </c>
      <c r="H1082">
        <v>105</v>
      </c>
      <c r="I1082">
        <v>9</v>
      </c>
      <c r="J1082">
        <v>402</v>
      </c>
      <c r="K1082">
        <v>403</v>
      </c>
      <c r="L1082" t="s">
        <v>9623</v>
      </c>
      <c r="M1082" t="s">
        <v>63</v>
      </c>
      <c r="N1082" t="s">
        <v>9624</v>
      </c>
      <c r="O1082" t="s">
        <v>63</v>
      </c>
      <c r="Q1082" t="s">
        <v>63</v>
      </c>
      <c r="R1082" t="s">
        <v>63</v>
      </c>
      <c r="S1082" t="s">
        <v>63</v>
      </c>
      <c r="T1082" t="s">
        <v>63</v>
      </c>
      <c r="X1082" t="s">
        <v>63</v>
      </c>
      <c r="Y1082" t="s">
        <v>1411</v>
      </c>
      <c r="Z1082" t="s">
        <v>63</v>
      </c>
      <c r="AA1082" t="s">
        <v>63</v>
      </c>
      <c r="AB1082">
        <v>16239488</v>
      </c>
      <c r="AC1082" t="s">
        <v>67</v>
      </c>
      <c r="AD1082" t="s">
        <v>63</v>
      </c>
      <c r="AE1082" t="s">
        <v>63</v>
      </c>
      <c r="AF1082" t="s">
        <v>63</v>
      </c>
      <c r="AG1082" t="s">
        <v>9625</v>
      </c>
      <c r="AH1082" t="s">
        <v>63</v>
      </c>
      <c r="AI1082" t="s">
        <v>63</v>
      </c>
      <c r="AJ1082" t="s">
        <v>63</v>
      </c>
      <c r="AK1082" t="s">
        <v>63</v>
      </c>
      <c r="AL1082" t="s">
        <v>63</v>
      </c>
      <c r="AM1082" t="s">
        <v>9626</v>
      </c>
      <c r="AN1082" t="s">
        <v>63</v>
      </c>
      <c r="AO1082" t="s">
        <v>63</v>
      </c>
      <c r="AP1082" t="s">
        <v>63</v>
      </c>
      <c r="AQ1082" t="s">
        <v>63</v>
      </c>
      <c r="AR1082" t="s">
        <v>63</v>
      </c>
      <c r="AS1082" t="s">
        <v>63</v>
      </c>
      <c r="AT1082" t="s">
        <v>63</v>
      </c>
      <c r="AU1082" t="s">
        <v>63</v>
      </c>
      <c r="AV1082" t="s">
        <v>63</v>
      </c>
      <c r="AW1082" t="s">
        <v>63</v>
      </c>
      <c r="AX1082" t="s">
        <v>63</v>
      </c>
      <c r="AY1082" t="s">
        <v>63</v>
      </c>
      <c r="AZ1082" t="s">
        <v>63</v>
      </c>
      <c r="BA1082" t="s">
        <v>63</v>
      </c>
      <c r="BB1082" t="s">
        <v>63</v>
      </c>
      <c r="BC1082" t="s">
        <v>63</v>
      </c>
      <c r="BD1082" t="s">
        <v>63</v>
      </c>
      <c r="BE1082" t="s">
        <v>63</v>
      </c>
      <c r="BF1082" t="s">
        <v>63</v>
      </c>
    </row>
    <row r="1083" spans="1:58">
      <c r="A1083" t="s">
        <v>58</v>
      </c>
      <c r="B1083" t="s">
        <v>9627</v>
      </c>
      <c r="C1083" t="s">
        <v>9628</v>
      </c>
      <c r="D1083" t="s">
        <v>9376</v>
      </c>
      <c r="E1083" t="s">
        <v>63</v>
      </c>
      <c r="F1083">
        <v>2017</v>
      </c>
      <c r="G1083" t="s">
        <v>9629</v>
      </c>
      <c r="H1083">
        <v>57</v>
      </c>
      <c r="I1083">
        <v>2</v>
      </c>
      <c r="J1083" t="s">
        <v>9630</v>
      </c>
      <c r="K1083" t="s">
        <v>9631</v>
      </c>
      <c r="L1083" t="s">
        <v>9632</v>
      </c>
      <c r="M1083" t="s">
        <v>9633</v>
      </c>
      <c r="N1083" t="s">
        <v>9634</v>
      </c>
      <c r="O1083" t="s">
        <v>63</v>
      </c>
      <c r="Q1083" t="s">
        <v>63</v>
      </c>
      <c r="R1083" t="s">
        <v>63</v>
      </c>
      <c r="S1083" t="s">
        <v>63</v>
      </c>
      <c r="T1083" t="s">
        <v>63</v>
      </c>
      <c r="X1083" t="s">
        <v>63</v>
      </c>
      <c r="Y1083" t="s">
        <v>9380</v>
      </c>
      <c r="Z1083" t="s">
        <v>63</v>
      </c>
      <c r="AA1083" t="s">
        <v>63</v>
      </c>
      <c r="AB1083">
        <v>28159503</v>
      </c>
      <c r="AC1083" t="s">
        <v>67</v>
      </c>
      <c r="AD1083" t="s">
        <v>63</v>
      </c>
      <c r="AE1083" t="s">
        <v>63</v>
      </c>
      <c r="AF1083" t="s">
        <v>63</v>
      </c>
      <c r="AG1083" t="s">
        <v>9635</v>
      </c>
      <c r="AH1083" t="s">
        <v>63</v>
      </c>
      <c r="AI1083" t="s">
        <v>9636</v>
      </c>
      <c r="AJ1083" t="s">
        <v>63</v>
      </c>
      <c r="AK1083" t="s">
        <v>63</v>
      </c>
      <c r="AL1083" t="s">
        <v>63</v>
      </c>
      <c r="AM1083" t="s">
        <v>9637</v>
      </c>
      <c r="AN1083" t="s">
        <v>63</v>
      </c>
      <c r="AO1083" t="s">
        <v>63</v>
      </c>
      <c r="AP1083" t="s">
        <v>63</v>
      </c>
      <c r="AQ1083" t="s">
        <v>63</v>
      </c>
      <c r="AR1083" t="s">
        <v>63</v>
      </c>
      <c r="AS1083" t="s">
        <v>63</v>
      </c>
      <c r="AT1083" t="s">
        <v>63</v>
      </c>
      <c r="AU1083" t="s">
        <v>63</v>
      </c>
      <c r="AV1083" t="s">
        <v>63</v>
      </c>
      <c r="AW1083" t="s">
        <v>63</v>
      </c>
      <c r="AX1083" t="s">
        <v>63</v>
      </c>
      <c r="AY1083" t="s">
        <v>63</v>
      </c>
      <c r="AZ1083" t="s">
        <v>63</v>
      </c>
      <c r="BA1083" t="s">
        <v>63</v>
      </c>
      <c r="BB1083" t="s">
        <v>63</v>
      </c>
      <c r="BC1083" t="s">
        <v>63</v>
      </c>
      <c r="BD1083" t="s">
        <v>63</v>
      </c>
      <c r="BE1083" t="s">
        <v>63</v>
      </c>
      <c r="BF1083" t="s">
        <v>63</v>
      </c>
    </row>
    <row r="1084" spans="1:58">
      <c r="A1084" t="s">
        <v>58</v>
      </c>
      <c r="B1084" t="s">
        <v>9638</v>
      </c>
      <c r="C1084" t="s">
        <v>9639</v>
      </c>
      <c r="D1084" t="s">
        <v>2343</v>
      </c>
      <c r="E1084" t="s">
        <v>2344</v>
      </c>
      <c r="F1084">
        <v>1983</v>
      </c>
      <c r="G1084" t="s">
        <v>326</v>
      </c>
      <c r="H1084">
        <v>16</v>
      </c>
      <c r="I1084">
        <v>2</v>
      </c>
      <c r="J1084">
        <v>223</v>
      </c>
      <c r="K1084">
        <v>224</v>
      </c>
      <c r="L1084" t="s">
        <v>9640</v>
      </c>
      <c r="M1084" t="s">
        <v>63</v>
      </c>
      <c r="N1084" t="s">
        <v>9641</v>
      </c>
      <c r="O1084" t="s">
        <v>63</v>
      </c>
      <c r="Q1084" t="s">
        <v>63</v>
      </c>
      <c r="R1084" t="s">
        <v>63</v>
      </c>
      <c r="S1084" t="s">
        <v>63</v>
      </c>
      <c r="T1084" t="s">
        <v>63</v>
      </c>
      <c r="X1084" t="s">
        <v>63</v>
      </c>
      <c r="Y1084" t="s">
        <v>2347</v>
      </c>
      <c r="Z1084" t="s">
        <v>63</v>
      </c>
      <c r="AA1084" t="s">
        <v>63</v>
      </c>
      <c r="AB1084">
        <v>6822790</v>
      </c>
      <c r="AC1084" t="s">
        <v>67</v>
      </c>
      <c r="AD1084" t="s">
        <v>63</v>
      </c>
      <c r="AE1084" t="s">
        <v>63</v>
      </c>
      <c r="AF1084" t="s">
        <v>63</v>
      </c>
      <c r="AG1084" t="s">
        <v>9642</v>
      </c>
      <c r="AH1084" t="s">
        <v>63</v>
      </c>
      <c r="AI1084" t="s">
        <v>63</v>
      </c>
      <c r="AJ1084" t="s">
        <v>63</v>
      </c>
      <c r="AK1084" t="s">
        <v>63</v>
      </c>
      <c r="AL1084" t="s">
        <v>63</v>
      </c>
      <c r="AM1084" t="s">
        <v>9643</v>
      </c>
      <c r="AN1084" t="s">
        <v>63</v>
      </c>
      <c r="AO1084" t="s">
        <v>63</v>
      </c>
      <c r="AP1084" t="s">
        <v>63</v>
      </c>
      <c r="AQ1084" t="s">
        <v>63</v>
      </c>
      <c r="AR1084" t="s">
        <v>63</v>
      </c>
      <c r="AS1084" t="s">
        <v>63</v>
      </c>
      <c r="AT1084" t="s">
        <v>63</v>
      </c>
      <c r="AU1084" t="s">
        <v>63</v>
      </c>
      <c r="AV1084" t="s">
        <v>63</v>
      </c>
      <c r="AW1084" t="s">
        <v>63</v>
      </c>
      <c r="AX1084" t="s">
        <v>63</v>
      </c>
      <c r="AY1084" t="s">
        <v>63</v>
      </c>
      <c r="AZ1084" t="s">
        <v>63</v>
      </c>
      <c r="BA1084" t="s">
        <v>63</v>
      </c>
      <c r="BB1084" t="s">
        <v>63</v>
      </c>
      <c r="BC1084" t="s">
        <v>63</v>
      </c>
      <c r="BD1084" t="s">
        <v>63</v>
      </c>
      <c r="BE1084" t="s">
        <v>63</v>
      </c>
      <c r="BF1084" t="s">
        <v>63</v>
      </c>
    </row>
    <row r="1085" spans="1:58">
      <c r="A1085" t="s">
        <v>58</v>
      </c>
      <c r="B1085" t="s">
        <v>9644</v>
      </c>
      <c r="C1085" t="s">
        <v>9645</v>
      </c>
      <c r="D1085" t="s">
        <v>603</v>
      </c>
      <c r="E1085" t="s">
        <v>604</v>
      </c>
      <c r="F1085">
        <v>1994</v>
      </c>
      <c r="G1085" t="s">
        <v>181</v>
      </c>
      <c r="H1085">
        <v>86</v>
      </c>
      <c r="I1085">
        <v>9</v>
      </c>
      <c r="J1085">
        <v>671</v>
      </c>
      <c r="K1085">
        <v>675</v>
      </c>
      <c r="L1085" t="s">
        <v>9646</v>
      </c>
      <c r="M1085" t="s">
        <v>9647</v>
      </c>
      <c r="N1085" t="s">
        <v>9648</v>
      </c>
      <c r="O1085" t="s">
        <v>63</v>
      </c>
      <c r="Q1085" t="s">
        <v>63</v>
      </c>
      <c r="R1085" t="s">
        <v>63</v>
      </c>
      <c r="S1085" t="s">
        <v>63</v>
      </c>
      <c r="T1085" t="s">
        <v>63</v>
      </c>
      <c r="X1085" t="s">
        <v>63</v>
      </c>
      <c r="Y1085" t="s">
        <v>608</v>
      </c>
      <c r="Z1085" t="s">
        <v>63</v>
      </c>
      <c r="AA1085" t="s">
        <v>9649</v>
      </c>
      <c r="AB1085">
        <v>7966429</v>
      </c>
      <c r="AC1085" t="s">
        <v>67</v>
      </c>
      <c r="AD1085" t="s">
        <v>63</v>
      </c>
      <c r="AE1085" t="s">
        <v>63</v>
      </c>
      <c r="AF1085" t="s">
        <v>63</v>
      </c>
      <c r="AG1085" t="s">
        <v>9650</v>
      </c>
      <c r="AH1085" t="s">
        <v>63</v>
      </c>
      <c r="AI1085" t="s">
        <v>63</v>
      </c>
      <c r="AJ1085" t="s">
        <v>63</v>
      </c>
      <c r="AK1085" t="s">
        <v>63</v>
      </c>
      <c r="AL1085" t="s">
        <v>63</v>
      </c>
      <c r="AM1085" t="s">
        <v>9651</v>
      </c>
      <c r="AN1085" t="s">
        <v>63</v>
      </c>
      <c r="AO1085" t="s">
        <v>63</v>
      </c>
      <c r="AP1085" t="s">
        <v>63</v>
      </c>
      <c r="AQ1085" t="s">
        <v>63</v>
      </c>
      <c r="AR1085" t="s">
        <v>63</v>
      </c>
      <c r="AS1085" t="s">
        <v>63</v>
      </c>
      <c r="AT1085" t="s">
        <v>63</v>
      </c>
      <c r="AU1085" t="s">
        <v>63</v>
      </c>
      <c r="AV1085" t="s">
        <v>63</v>
      </c>
      <c r="AW1085" t="s">
        <v>63</v>
      </c>
      <c r="AX1085" t="s">
        <v>63</v>
      </c>
      <c r="AY1085" t="s">
        <v>63</v>
      </c>
      <c r="AZ1085" t="s">
        <v>63</v>
      </c>
      <c r="BA1085" t="s">
        <v>63</v>
      </c>
      <c r="BB1085" t="s">
        <v>63</v>
      </c>
      <c r="BC1085" t="s">
        <v>63</v>
      </c>
      <c r="BD1085" t="s">
        <v>63</v>
      </c>
      <c r="BE1085" t="s">
        <v>63</v>
      </c>
      <c r="BF1085" t="s">
        <v>63</v>
      </c>
    </row>
    <row r="1086" spans="1:58">
      <c r="A1086" t="s">
        <v>58</v>
      </c>
      <c r="B1086" t="s">
        <v>9652</v>
      </c>
      <c r="C1086" t="s">
        <v>9653</v>
      </c>
      <c r="D1086" t="s">
        <v>9654</v>
      </c>
      <c r="E1086" t="s">
        <v>9655</v>
      </c>
      <c r="F1086">
        <v>1963</v>
      </c>
      <c r="G1086" t="s">
        <v>157</v>
      </c>
      <c r="H1086">
        <v>91</v>
      </c>
      <c r="I1086" t="s">
        <v>63</v>
      </c>
      <c r="J1086">
        <v>1143</v>
      </c>
      <c r="K1086">
        <v>1148</v>
      </c>
      <c r="L1086" t="s">
        <v>9656</v>
      </c>
      <c r="M1086" t="s">
        <v>63</v>
      </c>
      <c r="N1086" t="s">
        <v>9657</v>
      </c>
      <c r="O1086" t="s">
        <v>63</v>
      </c>
      <c r="Q1086" t="s">
        <v>63</v>
      </c>
      <c r="R1086" t="s">
        <v>63</v>
      </c>
      <c r="S1086" t="s">
        <v>63</v>
      </c>
      <c r="T1086" t="s">
        <v>63</v>
      </c>
      <c r="X1086" t="s">
        <v>63</v>
      </c>
      <c r="Y1086" t="s">
        <v>9658</v>
      </c>
      <c r="Z1086" t="s">
        <v>63</v>
      </c>
      <c r="AA1086" t="s">
        <v>63</v>
      </c>
      <c r="AB1086">
        <v>14102960</v>
      </c>
      <c r="AC1086" t="s">
        <v>67</v>
      </c>
      <c r="AD1086" t="s">
        <v>63</v>
      </c>
      <c r="AE1086" t="s">
        <v>63</v>
      </c>
      <c r="AF1086" t="s">
        <v>63</v>
      </c>
      <c r="AG1086" t="s">
        <v>9659</v>
      </c>
      <c r="AH1086" t="s">
        <v>63</v>
      </c>
      <c r="AI1086" t="s">
        <v>63</v>
      </c>
      <c r="AJ1086" t="s">
        <v>63</v>
      </c>
      <c r="AK1086" t="s">
        <v>63</v>
      </c>
      <c r="AL1086" t="s">
        <v>63</v>
      </c>
      <c r="AM1086" t="s">
        <v>9660</v>
      </c>
      <c r="AN1086" t="s">
        <v>63</v>
      </c>
      <c r="AO1086" t="s">
        <v>63</v>
      </c>
      <c r="AP1086" t="s">
        <v>63</v>
      </c>
      <c r="AQ1086" t="s">
        <v>63</v>
      </c>
      <c r="AR1086" t="s">
        <v>63</v>
      </c>
      <c r="AS1086" t="s">
        <v>63</v>
      </c>
      <c r="AT1086" t="s">
        <v>63</v>
      </c>
      <c r="AU1086" t="s">
        <v>63</v>
      </c>
      <c r="AV1086" t="s">
        <v>63</v>
      </c>
      <c r="AW1086" t="s">
        <v>63</v>
      </c>
      <c r="AX1086" t="s">
        <v>63</v>
      </c>
      <c r="AY1086" t="s">
        <v>63</v>
      </c>
      <c r="AZ1086" t="s">
        <v>63</v>
      </c>
      <c r="BA1086" t="s">
        <v>63</v>
      </c>
      <c r="BB1086" t="s">
        <v>63</v>
      </c>
      <c r="BC1086" t="s">
        <v>63</v>
      </c>
      <c r="BD1086" t="s">
        <v>63</v>
      </c>
      <c r="BE1086" t="s">
        <v>63</v>
      </c>
      <c r="BF1086" t="s">
        <v>63</v>
      </c>
    </row>
    <row r="1087" spans="1:58">
      <c r="A1087" t="s">
        <v>58</v>
      </c>
      <c r="B1087" t="s">
        <v>9661</v>
      </c>
      <c r="C1087" t="s">
        <v>9662</v>
      </c>
      <c r="D1087" t="s">
        <v>205</v>
      </c>
      <c r="E1087" t="s">
        <v>205</v>
      </c>
      <c r="F1087">
        <v>1989</v>
      </c>
      <c r="G1087" s="1">
        <v>41658</v>
      </c>
      <c r="H1087">
        <v>261</v>
      </c>
      <c r="I1087">
        <v>3</v>
      </c>
      <c r="J1087">
        <v>403</v>
      </c>
      <c r="K1087">
        <v>407</v>
      </c>
      <c r="L1087" t="s">
        <v>9663</v>
      </c>
      <c r="M1087" t="s">
        <v>9664</v>
      </c>
      <c r="N1087" t="s">
        <v>9665</v>
      </c>
      <c r="O1087" t="s">
        <v>63</v>
      </c>
      <c r="Q1087" t="s">
        <v>63</v>
      </c>
      <c r="R1087" t="s">
        <v>63</v>
      </c>
      <c r="S1087" t="s">
        <v>63</v>
      </c>
      <c r="T1087" t="s">
        <v>63</v>
      </c>
      <c r="X1087" t="s">
        <v>63</v>
      </c>
      <c r="Y1087" t="s">
        <v>208</v>
      </c>
      <c r="Z1087" t="s">
        <v>63</v>
      </c>
      <c r="AA1087" t="s">
        <v>9666</v>
      </c>
      <c r="AB1087">
        <v>2909780</v>
      </c>
      <c r="AC1087" t="s">
        <v>67</v>
      </c>
      <c r="AD1087" t="s">
        <v>63</v>
      </c>
      <c r="AE1087" t="s">
        <v>63</v>
      </c>
      <c r="AF1087" t="s">
        <v>63</v>
      </c>
      <c r="AG1087" t="s">
        <v>9667</v>
      </c>
      <c r="AH1087" t="s">
        <v>63</v>
      </c>
      <c r="AI1087" t="s">
        <v>63</v>
      </c>
      <c r="AJ1087" t="s">
        <v>63</v>
      </c>
      <c r="AK1087" t="s">
        <v>63</v>
      </c>
      <c r="AL1087" t="s">
        <v>63</v>
      </c>
      <c r="AM1087" t="s">
        <v>9668</v>
      </c>
      <c r="AN1087" t="s">
        <v>63</v>
      </c>
      <c r="AO1087" t="s">
        <v>63</v>
      </c>
      <c r="AP1087" t="s">
        <v>63</v>
      </c>
      <c r="AQ1087" t="s">
        <v>63</v>
      </c>
      <c r="AR1087" t="s">
        <v>63</v>
      </c>
      <c r="AS1087" t="s">
        <v>63</v>
      </c>
      <c r="AT1087" t="s">
        <v>63</v>
      </c>
      <c r="AU1087" t="s">
        <v>63</v>
      </c>
      <c r="AV1087" t="s">
        <v>63</v>
      </c>
      <c r="AW1087" t="s">
        <v>63</v>
      </c>
      <c r="AX1087" t="s">
        <v>63</v>
      </c>
      <c r="AY1087" t="s">
        <v>63</v>
      </c>
      <c r="AZ1087" t="s">
        <v>63</v>
      </c>
      <c r="BA1087" t="s">
        <v>63</v>
      </c>
      <c r="BB1087" t="s">
        <v>63</v>
      </c>
      <c r="BC1087" t="s">
        <v>63</v>
      </c>
      <c r="BD1087" t="s">
        <v>63</v>
      </c>
      <c r="BE1087" t="s">
        <v>63</v>
      </c>
      <c r="BF1087" t="s">
        <v>63</v>
      </c>
    </row>
    <row r="1088" spans="1:58">
      <c r="A1088" t="s">
        <v>58</v>
      </c>
      <c r="B1088" t="s">
        <v>9669</v>
      </c>
      <c r="C1088" t="s">
        <v>9670</v>
      </c>
      <c r="D1088" t="s">
        <v>1184</v>
      </c>
      <c r="E1088" t="s">
        <v>1185</v>
      </c>
      <c r="F1088">
        <v>1986</v>
      </c>
      <c r="G1088" t="s">
        <v>198</v>
      </c>
      <c r="H1088">
        <v>61</v>
      </c>
      <c r="I1088">
        <v>1</v>
      </c>
      <c r="J1088">
        <v>46</v>
      </c>
      <c r="K1088">
        <v>52</v>
      </c>
      <c r="L1088" t="s">
        <v>9671</v>
      </c>
      <c r="M1088" t="s">
        <v>9672</v>
      </c>
      <c r="N1088" t="s">
        <v>9673</v>
      </c>
      <c r="O1088" t="s">
        <v>63</v>
      </c>
      <c r="Q1088" t="s">
        <v>63</v>
      </c>
      <c r="R1088" t="s">
        <v>63</v>
      </c>
      <c r="S1088" t="s">
        <v>63</v>
      </c>
      <c r="T1088" t="s">
        <v>63</v>
      </c>
      <c r="X1088" t="s">
        <v>63</v>
      </c>
      <c r="Y1088" t="s">
        <v>1188</v>
      </c>
      <c r="Z1088" t="s">
        <v>63</v>
      </c>
      <c r="AA1088" t="s">
        <v>63</v>
      </c>
      <c r="AB1088">
        <v>3941421</v>
      </c>
      <c r="AC1088" t="s">
        <v>67</v>
      </c>
      <c r="AD1088" t="s">
        <v>63</v>
      </c>
      <c r="AE1088" t="s">
        <v>63</v>
      </c>
      <c r="AF1088" t="s">
        <v>63</v>
      </c>
      <c r="AG1088" t="s">
        <v>9674</v>
      </c>
      <c r="AH1088" t="s">
        <v>63</v>
      </c>
      <c r="AI1088" t="s">
        <v>63</v>
      </c>
      <c r="AJ1088" t="s">
        <v>63</v>
      </c>
      <c r="AK1088" t="s">
        <v>63</v>
      </c>
      <c r="AL1088" t="s">
        <v>63</v>
      </c>
      <c r="AM1088" t="s">
        <v>9675</v>
      </c>
      <c r="AN1088" t="s">
        <v>63</v>
      </c>
      <c r="AO1088" t="s">
        <v>63</v>
      </c>
      <c r="AP1088" t="s">
        <v>63</v>
      </c>
      <c r="AQ1088" t="s">
        <v>63</v>
      </c>
      <c r="AR1088" t="s">
        <v>63</v>
      </c>
      <c r="AS1088" t="s">
        <v>63</v>
      </c>
      <c r="AT1088" t="s">
        <v>63</v>
      </c>
      <c r="AU1088" t="s">
        <v>63</v>
      </c>
      <c r="AV1088" t="s">
        <v>63</v>
      </c>
      <c r="AW1088" t="s">
        <v>63</v>
      </c>
      <c r="AX1088" t="s">
        <v>63</v>
      </c>
      <c r="AY1088" t="s">
        <v>63</v>
      </c>
      <c r="AZ1088" t="s">
        <v>63</v>
      </c>
      <c r="BA1088" t="s">
        <v>63</v>
      </c>
      <c r="BB1088" t="s">
        <v>63</v>
      </c>
      <c r="BC1088" t="s">
        <v>63</v>
      </c>
      <c r="BD1088" t="s">
        <v>63</v>
      </c>
      <c r="BE1088" t="s">
        <v>63</v>
      </c>
      <c r="BF1088" t="s">
        <v>63</v>
      </c>
    </row>
    <row r="1089" spans="1:58">
      <c r="A1089" t="s">
        <v>58</v>
      </c>
      <c r="B1089" t="s">
        <v>9676</v>
      </c>
      <c r="C1089" t="s">
        <v>9677</v>
      </c>
      <c r="D1089" t="s">
        <v>1481</v>
      </c>
      <c r="E1089" t="s">
        <v>1481</v>
      </c>
      <c r="F1089">
        <v>2012</v>
      </c>
      <c r="G1089" t="s">
        <v>198</v>
      </c>
      <c r="H1089">
        <v>107</v>
      </c>
      <c r="I1089">
        <v>1</v>
      </c>
      <c r="J1089">
        <v>27</v>
      </c>
      <c r="K1089">
        <v>38</v>
      </c>
      <c r="L1089" t="s">
        <v>9678</v>
      </c>
      <c r="M1089" t="s">
        <v>9679</v>
      </c>
      <c r="N1089" t="s">
        <v>9680</v>
      </c>
      <c r="O1089" t="s">
        <v>63</v>
      </c>
      <c r="Q1089" t="s">
        <v>63</v>
      </c>
      <c r="R1089" t="s">
        <v>63</v>
      </c>
      <c r="S1089" t="s">
        <v>63</v>
      </c>
      <c r="T1089" t="s">
        <v>63</v>
      </c>
      <c r="X1089" t="s">
        <v>63</v>
      </c>
      <c r="Y1089" t="s">
        <v>1484</v>
      </c>
      <c r="Z1089" t="s">
        <v>63</v>
      </c>
      <c r="AA1089" t="s">
        <v>9681</v>
      </c>
      <c r="AB1089">
        <v>21777321</v>
      </c>
      <c r="AC1089" t="s">
        <v>67</v>
      </c>
      <c r="AD1089" t="s">
        <v>63</v>
      </c>
      <c r="AE1089" t="s">
        <v>63</v>
      </c>
      <c r="AF1089" t="s">
        <v>63</v>
      </c>
      <c r="AG1089" t="s">
        <v>9682</v>
      </c>
      <c r="AH1089" t="s">
        <v>63</v>
      </c>
      <c r="AI1089" t="s">
        <v>9683</v>
      </c>
      <c r="AJ1089" t="s">
        <v>63</v>
      </c>
      <c r="AK1089" t="s">
        <v>63</v>
      </c>
      <c r="AL1089" t="s">
        <v>63</v>
      </c>
      <c r="AM1089" t="s">
        <v>9684</v>
      </c>
      <c r="AN1089" t="s">
        <v>63</v>
      </c>
      <c r="AO1089" t="s">
        <v>63</v>
      </c>
      <c r="AP1089" t="s">
        <v>63</v>
      </c>
      <c r="AQ1089" t="s">
        <v>63</v>
      </c>
      <c r="AR1089" t="s">
        <v>63</v>
      </c>
      <c r="AS1089" t="s">
        <v>63</v>
      </c>
      <c r="AT1089" t="s">
        <v>63</v>
      </c>
      <c r="AU1089" t="s">
        <v>63</v>
      </c>
      <c r="AV1089" t="s">
        <v>63</v>
      </c>
      <c r="AW1089" t="s">
        <v>63</v>
      </c>
      <c r="AX1089" t="s">
        <v>63</v>
      </c>
      <c r="AY1089" t="s">
        <v>63</v>
      </c>
      <c r="AZ1089" t="s">
        <v>63</v>
      </c>
      <c r="BA1089" t="s">
        <v>63</v>
      </c>
      <c r="BB1089" t="s">
        <v>63</v>
      </c>
      <c r="BC1089" t="s">
        <v>63</v>
      </c>
      <c r="BD1089" t="s">
        <v>63</v>
      </c>
      <c r="BE1089" t="s">
        <v>63</v>
      </c>
      <c r="BF1089" t="s">
        <v>63</v>
      </c>
    </row>
    <row r="1090" spans="1:58">
      <c r="A1090" t="s">
        <v>58</v>
      </c>
      <c r="B1090" t="s">
        <v>9685</v>
      </c>
      <c r="C1090" t="s">
        <v>9686</v>
      </c>
      <c r="D1090" t="s">
        <v>9687</v>
      </c>
      <c r="E1090" t="s">
        <v>63</v>
      </c>
      <c r="F1090">
        <v>2003</v>
      </c>
      <c r="G1090" t="s">
        <v>63</v>
      </c>
      <c r="H1090">
        <v>8</v>
      </c>
      <c r="I1090">
        <v>4</v>
      </c>
      <c r="J1090">
        <v>189</v>
      </c>
      <c r="K1090">
        <v>194</v>
      </c>
      <c r="L1090" t="s">
        <v>9688</v>
      </c>
      <c r="M1090" t="s">
        <v>9689</v>
      </c>
      <c r="N1090" t="s">
        <v>9690</v>
      </c>
      <c r="O1090" t="s">
        <v>63</v>
      </c>
      <c r="Q1090" t="s">
        <v>63</v>
      </c>
      <c r="R1090" t="s">
        <v>63</v>
      </c>
      <c r="S1090" t="s">
        <v>63</v>
      </c>
      <c r="T1090" t="s">
        <v>63</v>
      </c>
      <c r="X1090" t="s">
        <v>63</v>
      </c>
      <c r="Y1090" t="s">
        <v>9691</v>
      </c>
      <c r="Z1090" t="s">
        <v>63</v>
      </c>
      <c r="AA1090" t="s">
        <v>9692</v>
      </c>
      <c r="AB1090">
        <v>14679412</v>
      </c>
      <c r="AC1090" t="s">
        <v>67</v>
      </c>
      <c r="AD1090" t="s">
        <v>63</v>
      </c>
      <c r="AE1090" t="s">
        <v>63</v>
      </c>
      <c r="AF1090" t="s">
        <v>63</v>
      </c>
      <c r="AG1090" t="s">
        <v>9693</v>
      </c>
      <c r="AH1090" t="s">
        <v>63</v>
      </c>
      <c r="AI1090" t="s">
        <v>63</v>
      </c>
      <c r="AJ1090" t="s">
        <v>63</v>
      </c>
      <c r="AK1090" t="s">
        <v>63</v>
      </c>
      <c r="AL1090" t="s">
        <v>63</v>
      </c>
      <c r="AM1090" t="s">
        <v>9694</v>
      </c>
      <c r="AN1090" t="s">
        <v>63</v>
      </c>
      <c r="AO1090" t="s">
        <v>63</v>
      </c>
      <c r="AP1090" t="s">
        <v>63</v>
      </c>
      <c r="AQ1090" t="s">
        <v>63</v>
      </c>
      <c r="AR1090" t="s">
        <v>63</v>
      </c>
      <c r="AS1090" t="s">
        <v>63</v>
      </c>
      <c r="AT1090" t="s">
        <v>63</v>
      </c>
      <c r="AU1090" t="s">
        <v>63</v>
      </c>
      <c r="AV1090" t="s">
        <v>63</v>
      </c>
      <c r="AW1090" t="s">
        <v>63</v>
      </c>
      <c r="AX1090" t="s">
        <v>63</v>
      </c>
      <c r="AY1090" t="s">
        <v>63</v>
      </c>
      <c r="AZ1090" t="s">
        <v>63</v>
      </c>
      <c r="BA1090" t="s">
        <v>63</v>
      </c>
      <c r="BB1090" t="s">
        <v>63</v>
      </c>
      <c r="BC1090" t="s">
        <v>63</v>
      </c>
      <c r="BD1090" t="s">
        <v>63</v>
      </c>
      <c r="BE1090" t="s">
        <v>63</v>
      </c>
      <c r="BF1090" t="s">
        <v>63</v>
      </c>
    </row>
    <row r="1091" spans="1:58">
      <c r="A1091" t="s">
        <v>58</v>
      </c>
      <c r="B1091" t="s">
        <v>9695</v>
      </c>
      <c r="C1091" t="s">
        <v>9696</v>
      </c>
      <c r="D1091" t="s">
        <v>9697</v>
      </c>
      <c r="E1091" t="s">
        <v>63</v>
      </c>
      <c r="F1091">
        <v>2013</v>
      </c>
      <c r="G1091" s="1">
        <v>41976</v>
      </c>
      <c r="H1091">
        <v>6</v>
      </c>
      <c r="I1091" t="s">
        <v>63</v>
      </c>
      <c r="J1091">
        <v>791</v>
      </c>
      <c r="K1091">
        <v>801</v>
      </c>
      <c r="L1091" t="s">
        <v>63</v>
      </c>
      <c r="M1091" t="s">
        <v>9698</v>
      </c>
      <c r="N1091" t="s">
        <v>9699</v>
      </c>
      <c r="O1091" t="s">
        <v>63</v>
      </c>
      <c r="Q1091" t="s">
        <v>63</v>
      </c>
      <c r="R1091" t="s">
        <v>63</v>
      </c>
      <c r="S1091" t="s">
        <v>63</v>
      </c>
      <c r="T1091" t="s">
        <v>63</v>
      </c>
      <c r="X1091" t="s">
        <v>63</v>
      </c>
      <c r="Y1091" t="s">
        <v>9700</v>
      </c>
      <c r="Z1091" t="s">
        <v>63</v>
      </c>
      <c r="AA1091" t="s">
        <v>9701</v>
      </c>
      <c r="AB1091">
        <v>24353438</v>
      </c>
      <c r="AC1091" t="s">
        <v>67</v>
      </c>
      <c r="AD1091" t="s">
        <v>63</v>
      </c>
      <c r="AE1091" t="s">
        <v>63</v>
      </c>
      <c r="AF1091" t="s">
        <v>63</v>
      </c>
      <c r="AG1091" t="s">
        <v>9702</v>
      </c>
      <c r="AH1091" t="s">
        <v>63</v>
      </c>
      <c r="AI1091" t="s">
        <v>9703</v>
      </c>
      <c r="AJ1091" t="s">
        <v>63</v>
      </c>
      <c r="AK1091" t="s">
        <v>63</v>
      </c>
      <c r="AL1091" t="s">
        <v>63</v>
      </c>
      <c r="AM1091" t="s">
        <v>9704</v>
      </c>
      <c r="AN1091" t="s">
        <v>63</v>
      </c>
      <c r="AO1091" t="s">
        <v>63</v>
      </c>
      <c r="AP1091" t="s">
        <v>63</v>
      </c>
      <c r="AQ1091" t="s">
        <v>63</v>
      </c>
      <c r="AR1091" t="s">
        <v>63</v>
      </c>
      <c r="AS1091" t="s">
        <v>63</v>
      </c>
      <c r="AT1091" t="s">
        <v>63</v>
      </c>
      <c r="AU1091" t="s">
        <v>63</v>
      </c>
      <c r="AV1091" t="s">
        <v>63</v>
      </c>
      <c r="AW1091" t="s">
        <v>63</v>
      </c>
      <c r="AX1091" t="s">
        <v>63</v>
      </c>
      <c r="AY1091" t="s">
        <v>63</v>
      </c>
      <c r="AZ1091" t="s">
        <v>63</v>
      </c>
      <c r="BA1091" t="s">
        <v>63</v>
      </c>
      <c r="BB1091" t="s">
        <v>63</v>
      </c>
      <c r="BC1091" t="s">
        <v>63</v>
      </c>
      <c r="BD1091" t="s">
        <v>63</v>
      </c>
      <c r="BE1091" t="s">
        <v>63</v>
      </c>
      <c r="BF1091" t="s">
        <v>63</v>
      </c>
    </row>
    <row r="1092" spans="1:58">
      <c r="A1092" t="s">
        <v>58</v>
      </c>
      <c r="B1092" t="s">
        <v>9705</v>
      </c>
      <c r="C1092" t="s">
        <v>9706</v>
      </c>
      <c r="D1092" t="s">
        <v>9707</v>
      </c>
      <c r="E1092" t="s">
        <v>9708</v>
      </c>
      <c r="F1092">
        <v>1998</v>
      </c>
      <c r="G1092" t="s">
        <v>63</v>
      </c>
      <c r="H1092">
        <v>8</v>
      </c>
      <c r="I1092">
        <v>1</v>
      </c>
      <c r="J1092">
        <v>69</v>
      </c>
      <c r="K1092">
        <v>95</v>
      </c>
      <c r="L1092" t="s">
        <v>9709</v>
      </c>
      <c r="M1092" t="s">
        <v>63</v>
      </c>
      <c r="N1092" t="s">
        <v>9710</v>
      </c>
      <c r="O1092" t="s">
        <v>63</v>
      </c>
      <c r="Q1092" t="s">
        <v>63</v>
      </c>
      <c r="R1092" t="s">
        <v>63</v>
      </c>
      <c r="S1092" t="s">
        <v>63</v>
      </c>
      <c r="T1092" t="s">
        <v>63</v>
      </c>
      <c r="X1092" t="s">
        <v>63</v>
      </c>
      <c r="Y1092" t="s">
        <v>9711</v>
      </c>
      <c r="Z1092" t="s">
        <v>63</v>
      </c>
      <c r="AA1092" t="s">
        <v>63</v>
      </c>
      <c r="AB1092">
        <v>12293637</v>
      </c>
      <c r="AC1092" t="s">
        <v>67</v>
      </c>
      <c r="AD1092" t="s">
        <v>63</v>
      </c>
      <c r="AE1092" t="s">
        <v>63</v>
      </c>
      <c r="AF1092" t="s">
        <v>63</v>
      </c>
      <c r="AG1092" t="s">
        <v>9712</v>
      </c>
      <c r="AH1092" t="s">
        <v>63</v>
      </c>
      <c r="AI1092" t="s">
        <v>63</v>
      </c>
      <c r="AJ1092" t="s">
        <v>63</v>
      </c>
      <c r="AK1092" t="s">
        <v>63</v>
      </c>
      <c r="AL1092" t="s">
        <v>63</v>
      </c>
      <c r="AM1092" t="s">
        <v>9713</v>
      </c>
      <c r="AN1092" t="s">
        <v>63</v>
      </c>
      <c r="AO1092" t="s">
        <v>63</v>
      </c>
      <c r="AP1092" t="s">
        <v>63</v>
      </c>
      <c r="AQ1092" t="s">
        <v>63</v>
      </c>
      <c r="AR1092" t="s">
        <v>63</v>
      </c>
      <c r="AS1092" t="s">
        <v>63</v>
      </c>
      <c r="AT1092" t="s">
        <v>63</v>
      </c>
      <c r="AU1092" t="s">
        <v>63</v>
      </c>
      <c r="AV1092" t="s">
        <v>63</v>
      </c>
      <c r="AW1092" t="s">
        <v>63</v>
      </c>
      <c r="AX1092" t="s">
        <v>63</v>
      </c>
      <c r="AY1092" t="s">
        <v>63</v>
      </c>
      <c r="AZ1092" t="s">
        <v>63</v>
      </c>
      <c r="BA1092" t="s">
        <v>63</v>
      </c>
      <c r="BB1092" t="s">
        <v>63</v>
      </c>
      <c r="BC1092" t="s">
        <v>63</v>
      </c>
      <c r="BD1092" t="s">
        <v>63</v>
      </c>
      <c r="BE1092" t="s">
        <v>63</v>
      </c>
      <c r="BF1092" t="s">
        <v>63</v>
      </c>
    </row>
    <row r="1093" spans="1:58">
      <c r="A1093" t="s">
        <v>58</v>
      </c>
      <c r="B1093" t="s">
        <v>9714</v>
      </c>
      <c r="C1093" t="s">
        <v>9715</v>
      </c>
      <c r="D1093" t="s">
        <v>2291</v>
      </c>
      <c r="E1093" t="s">
        <v>2291</v>
      </c>
      <c r="F1093">
        <v>2012</v>
      </c>
      <c r="G1093" s="1">
        <v>41885</v>
      </c>
      <c r="H1093">
        <v>345</v>
      </c>
      <c r="I1093" t="s">
        <v>63</v>
      </c>
      <c r="J1093" t="s">
        <v>9716</v>
      </c>
      <c r="K1093" t="s">
        <v>63</v>
      </c>
      <c r="L1093" t="s">
        <v>9717</v>
      </c>
      <c r="M1093" t="s">
        <v>63</v>
      </c>
      <c r="N1093" t="s">
        <v>9718</v>
      </c>
      <c r="O1093" t="s">
        <v>63</v>
      </c>
      <c r="Q1093" t="s">
        <v>63</v>
      </c>
      <c r="R1093" t="s">
        <v>63</v>
      </c>
      <c r="S1093" t="s">
        <v>63</v>
      </c>
      <c r="T1093" t="s">
        <v>63</v>
      </c>
      <c r="X1093" t="s">
        <v>63</v>
      </c>
      <c r="Y1093" t="s">
        <v>7375</v>
      </c>
      <c r="Z1093" t="s">
        <v>63</v>
      </c>
      <c r="AA1093" t="s">
        <v>63</v>
      </c>
      <c r="AB1093">
        <v>22951547</v>
      </c>
      <c r="AC1093" t="s">
        <v>67</v>
      </c>
      <c r="AD1093" t="s">
        <v>63</v>
      </c>
      <c r="AE1093" t="s">
        <v>63</v>
      </c>
      <c r="AF1093" t="s">
        <v>63</v>
      </c>
      <c r="AG1093" t="s">
        <v>9719</v>
      </c>
      <c r="AH1093" t="s">
        <v>63</v>
      </c>
      <c r="AI1093" t="s">
        <v>9720</v>
      </c>
      <c r="AJ1093" t="s">
        <v>63</v>
      </c>
      <c r="AK1093" t="s">
        <v>63</v>
      </c>
      <c r="AL1093" t="s">
        <v>63</v>
      </c>
      <c r="AM1093" t="s">
        <v>9721</v>
      </c>
      <c r="AN1093" t="s">
        <v>63</v>
      </c>
      <c r="AO1093" t="s">
        <v>63</v>
      </c>
      <c r="AP1093" t="s">
        <v>63</v>
      </c>
      <c r="AQ1093" t="s">
        <v>63</v>
      </c>
      <c r="AR1093" t="s">
        <v>63</v>
      </c>
      <c r="AS1093" t="s">
        <v>63</v>
      </c>
      <c r="AT1093" t="s">
        <v>63</v>
      </c>
      <c r="AU1093" t="s">
        <v>63</v>
      </c>
      <c r="AV1093" t="s">
        <v>63</v>
      </c>
      <c r="AW1093" t="s">
        <v>63</v>
      </c>
      <c r="AX1093" t="s">
        <v>63</v>
      </c>
      <c r="AY1093" t="s">
        <v>63</v>
      </c>
      <c r="AZ1093" t="s">
        <v>63</v>
      </c>
      <c r="BA1093" t="s">
        <v>63</v>
      </c>
      <c r="BB1093" t="s">
        <v>63</v>
      </c>
      <c r="BC1093" t="s">
        <v>63</v>
      </c>
      <c r="BD1093" t="s">
        <v>63</v>
      </c>
      <c r="BE1093" t="s">
        <v>63</v>
      </c>
      <c r="BF1093" t="s">
        <v>63</v>
      </c>
    </row>
    <row r="1094" spans="1:58">
      <c r="A1094" t="s">
        <v>58</v>
      </c>
      <c r="B1094" t="s">
        <v>9722</v>
      </c>
      <c r="C1094" t="s">
        <v>9723</v>
      </c>
      <c r="D1094" t="s">
        <v>5371</v>
      </c>
      <c r="E1094" t="s">
        <v>5372</v>
      </c>
      <c r="F1094">
        <v>1992</v>
      </c>
      <c r="G1094" t="s">
        <v>63</v>
      </c>
      <c r="H1094">
        <v>4</v>
      </c>
      <c r="I1094">
        <v>2</v>
      </c>
      <c r="J1094">
        <v>187</v>
      </c>
      <c r="K1094">
        <v>195</v>
      </c>
      <c r="L1094" t="s">
        <v>9724</v>
      </c>
      <c r="M1094" t="s">
        <v>9725</v>
      </c>
      <c r="N1094" t="s">
        <v>9726</v>
      </c>
      <c r="O1094" t="s">
        <v>63</v>
      </c>
      <c r="Q1094" t="s">
        <v>63</v>
      </c>
      <c r="R1094" t="s">
        <v>63</v>
      </c>
      <c r="S1094" t="s">
        <v>63</v>
      </c>
      <c r="T1094" t="s">
        <v>63</v>
      </c>
      <c r="X1094" t="s">
        <v>63</v>
      </c>
      <c r="Y1094" t="s">
        <v>5376</v>
      </c>
      <c r="Z1094" t="s">
        <v>63</v>
      </c>
      <c r="AA1094" t="s">
        <v>9727</v>
      </c>
      <c r="AB1094">
        <v>1504642</v>
      </c>
      <c r="AC1094" t="s">
        <v>67</v>
      </c>
      <c r="AD1094" t="s">
        <v>63</v>
      </c>
      <c r="AE1094" t="s">
        <v>63</v>
      </c>
      <c r="AF1094" t="s">
        <v>63</v>
      </c>
      <c r="AG1094" t="s">
        <v>9728</v>
      </c>
      <c r="AH1094" t="s">
        <v>63</v>
      </c>
      <c r="AI1094" t="s">
        <v>63</v>
      </c>
      <c r="AJ1094" t="s">
        <v>63</v>
      </c>
      <c r="AK1094" t="s">
        <v>63</v>
      </c>
      <c r="AL1094" t="s">
        <v>63</v>
      </c>
      <c r="AM1094" t="s">
        <v>9729</v>
      </c>
      <c r="AN1094" t="s">
        <v>63</v>
      </c>
      <c r="AO1094" t="s">
        <v>63</v>
      </c>
      <c r="AP1094" t="s">
        <v>63</v>
      </c>
      <c r="AQ1094" t="s">
        <v>63</v>
      </c>
      <c r="AR1094" t="s">
        <v>63</v>
      </c>
      <c r="AS1094" t="s">
        <v>63</v>
      </c>
      <c r="AT1094" t="s">
        <v>63</v>
      </c>
      <c r="AU1094" t="s">
        <v>63</v>
      </c>
      <c r="AV1094" t="s">
        <v>63</v>
      </c>
      <c r="AW1094" t="s">
        <v>63</v>
      </c>
      <c r="AX1094" t="s">
        <v>63</v>
      </c>
      <c r="AY1094" t="s">
        <v>63</v>
      </c>
      <c r="AZ1094" t="s">
        <v>63</v>
      </c>
      <c r="BA1094" t="s">
        <v>63</v>
      </c>
      <c r="BB1094" t="s">
        <v>63</v>
      </c>
      <c r="BC1094" t="s">
        <v>63</v>
      </c>
      <c r="BD1094" t="s">
        <v>63</v>
      </c>
      <c r="BE1094" t="s">
        <v>63</v>
      </c>
      <c r="BF1094" t="s">
        <v>63</v>
      </c>
    </row>
    <row r="1095" spans="1:58">
      <c r="A1095" t="s">
        <v>58</v>
      </c>
      <c r="B1095" t="s">
        <v>9730</v>
      </c>
      <c r="C1095" t="s">
        <v>9731</v>
      </c>
      <c r="D1095" t="s">
        <v>1055</v>
      </c>
      <c r="E1095" t="s">
        <v>1056</v>
      </c>
      <c r="F1095">
        <v>2004</v>
      </c>
      <c r="G1095" t="s">
        <v>326</v>
      </c>
      <c r="H1095">
        <v>38</v>
      </c>
      <c r="I1095">
        <v>2</v>
      </c>
      <c r="J1095">
        <v>218</v>
      </c>
      <c r="K1095">
        <v>222</v>
      </c>
      <c r="L1095" t="s">
        <v>9732</v>
      </c>
      <c r="M1095" t="s">
        <v>9733</v>
      </c>
      <c r="N1095" t="s">
        <v>9734</v>
      </c>
      <c r="O1095" t="s">
        <v>63</v>
      </c>
      <c r="Q1095" t="s">
        <v>63</v>
      </c>
      <c r="R1095" t="s">
        <v>63</v>
      </c>
      <c r="S1095" t="s">
        <v>63</v>
      </c>
      <c r="T1095" t="s">
        <v>63</v>
      </c>
      <c r="X1095" t="s">
        <v>63</v>
      </c>
      <c r="Y1095" t="s">
        <v>1059</v>
      </c>
      <c r="Z1095" t="s">
        <v>63</v>
      </c>
      <c r="AA1095" t="s">
        <v>9735</v>
      </c>
      <c r="AB1095">
        <v>14871392</v>
      </c>
      <c r="AC1095" t="s">
        <v>67</v>
      </c>
      <c r="AD1095" t="s">
        <v>63</v>
      </c>
      <c r="AE1095" t="s">
        <v>63</v>
      </c>
      <c r="AF1095" t="s">
        <v>63</v>
      </c>
      <c r="AG1095" t="s">
        <v>9736</v>
      </c>
      <c r="AH1095" t="s">
        <v>63</v>
      </c>
      <c r="AI1095" t="s">
        <v>63</v>
      </c>
      <c r="AJ1095" t="s">
        <v>63</v>
      </c>
      <c r="AK1095" t="s">
        <v>63</v>
      </c>
      <c r="AL1095" t="s">
        <v>63</v>
      </c>
      <c r="AM1095" t="s">
        <v>9737</v>
      </c>
      <c r="AN1095" t="s">
        <v>63</v>
      </c>
      <c r="AO1095" t="s">
        <v>63</v>
      </c>
      <c r="AP1095" t="s">
        <v>63</v>
      </c>
      <c r="AQ1095" t="s">
        <v>63</v>
      </c>
      <c r="AR1095" t="s">
        <v>63</v>
      </c>
      <c r="AS1095" t="s">
        <v>63</v>
      </c>
      <c r="AT1095" t="s">
        <v>63</v>
      </c>
      <c r="AU1095" t="s">
        <v>63</v>
      </c>
      <c r="AV1095" t="s">
        <v>63</v>
      </c>
      <c r="AW1095" t="s">
        <v>63</v>
      </c>
      <c r="AX1095" t="s">
        <v>63</v>
      </c>
      <c r="AY1095" t="s">
        <v>63</v>
      </c>
      <c r="AZ1095" t="s">
        <v>63</v>
      </c>
      <c r="BA1095" t="s">
        <v>63</v>
      </c>
      <c r="BB1095" t="s">
        <v>63</v>
      </c>
      <c r="BC1095" t="s">
        <v>63</v>
      </c>
      <c r="BD1095" t="s">
        <v>63</v>
      </c>
      <c r="BE1095" t="s">
        <v>63</v>
      </c>
      <c r="BF1095" t="s">
        <v>63</v>
      </c>
    </row>
    <row r="1096" spans="1:58">
      <c r="A1096" t="s">
        <v>58</v>
      </c>
      <c r="B1096" t="s">
        <v>9738</v>
      </c>
      <c r="C1096" t="s">
        <v>9739</v>
      </c>
      <c r="D1096" t="s">
        <v>389</v>
      </c>
      <c r="E1096" t="s">
        <v>63</v>
      </c>
      <c r="F1096">
        <v>2012</v>
      </c>
      <c r="G1096" t="s">
        <v>63</v>
      </c>
      <c r="H1096">
        <v>33</v>
      </c>
      <c r="I1096">
        <v>3</v>
      </c>
      <c r="J1096">
        <v>282</v>
      </c>
      <c r="K1096">
        <v>285</v>
      </c>
      <c r="L1096" t="s">
        <v>9740</v>
      </c>
      <c r="M1096" t="s">
        <v>9741</v>
      </c>
      <c r="N1096" t="s">
        <v>9742</v>
      </c>
      <c r="O1096" t="s">
        <v>63</v>
      </c>
      <c r="Q1096" t="s">
        <v>63</v>
      </c>
      <c r="R1096" t="s">
        <v>63</v>
      </c>
      <c r="S1096" t="s">
        <v>63</v>
      </c>
      <c r="T1096" t="s">
        <v>63</v>
      </c>
      <c r="X1096" t="s">
        <v>63</v>
      </c>
      <c r="Y1096" t="s">
        <v>556</v>
      </c>
      <c r="Z1096" t="s">
        <v>63</v>
      </c>
      <c r="AA1096" t="s">
        <v>9743</v>
      </c>
      <c r="AB1096">
        <v>22738006</v>
      </c>
      <c r="AC1096" t="s">
        <v>67</v>
      </c>
      <c r="AD1096" t="s">
        <v>63</v>
      </c>
      <c r="AE1096" t="s">
        <v>63</v>
      </c>
      <c r="AF1096" t="s">
        <v>63</v>
      </c>
      <c r="AG1096" t="s">
        <v>9744</v>
      </c>
      <c r="AH1096" t="s">
        <v>63</v>
      </c>
      <c r="AI1096" t="s">
        <v>9745</v>
      </c>
      <c r="AJ1096" t="s">
        <v>63</v>
      </c>
      <c r="AK1096" t="s">
        <v>63</v>
      </c>
      <c r="AL1096" t="s">
        <v>63</v>
      </c>
      <c r="AM1096" t="s">
        <v>9746</v>
      </c>
      <c r="AN1096" t="s">
        <v>63</v>
      </c>
      <c r="AO1096" t="s">
        <v>63</v>
      </c>
      <c r="AP1096" t="s">
        <v>63</v>
      </c>
      <c r="AQ1096" t="s">
        <v>63</v>
      </c>
      <c r="AR1096" t="s">
        <v>63</v>
      </c>
      <c r="AS1096" t="s">
        <v>63</v>
      </c>
      <c r="AT1096" t="s">
        <v>63</v>
      </c>
      <c r="AU1096" t="s">
        <v>63</v>
      </c>
      <c r="AV1096" t="s">
        <v>63</v>
      </c>
      <c r="AW1096" t="s">
        <v>63</v>
      </c>
      <c r="AX1096" t="s">
        <v>63</v>
      </c>
      <c r="AY1096" t="s">
        <v>63</v>
      </c>
      <c r="AZ1096" t="s">
        <v>63</v>
      </c>
      <c r="BA1096" t="s">
        <v>63</v>
      </c>
      <c r="BB1096" t="s">
        <v>63</v>
      </c>
      <c r="BC1096" t="s">
        <v>63</v>
      </c>
      <c r="BD1096" t="s">
        <v>63</v>
      </c>
      <c r="BE1096" t="s">
        <v>63</v>
      </c>
      <c r="BF1096" t="s">
        <v>63</v>
      </c>
    </row>
    <row r="1097" spans="1:58">
      <c r="A1097" t="s">
        <v>58</v>
      </c>
      <c r="B1097" t="s">
        <v>9747</v>
      </c>
      <c r="C1097" t="s">
        <v>9748</v>
      </c>
      <c r="D1097" t="s">
        <v>1293</v>
      </c>
      <c r="E1097" t="s">
        <v>1294</v>
      </c>
      <c r="F1097">
        <v>1987</v>
      </c>
      <c r="G1097" t="s">
        <v>908</v>
      </c>
      <c r="H1097">
        <v>19</v>
      </c>
      <c r="I1097">
        <v>4</v>
      </c>
      <c r="J1097">
        <v>276</v>
      </c>
      <c r="K1097">
        <v>280</v>
      </c>
      <c r="L1097" t="s">
        <v>9749</v>
      </c>
      <c r="M1097" t="s">
        <v>9750</v>
      </c>
      <c r="N1097" t="s">
        <v>9751</v>
      </c>
      <c r="O1097" t="s">
        <v>63</v>
      </c>
      <c r="Q1097" t="s">
        <v>63</v>
      </c>
      <c r="R1097" t="s">
        <v>63</v>
      </c>
      <c r="S1097" t="s">
        <v>63</v>
      </c>
      <c r="T1097" t="s">
        <v>63</v>
      </c>
      <c r="X1097" t="s">
        <v>63</v>
      </c>
      <c r="Y1097" t="s">
        <v>1297</v>
      </c>
      <c r="Z1097" t="s">
        <v>63</v>
      </c>
      <c r="AA1097" t="s">
        <v>63</v>
      </c>
      <c r="AB1097">
        <v>3622974</v>
      </c>
      <c r="AC1097" t="s">
        <v>67</v>
      </c>
      <c r="AD1097" t="s">
        <v>63</v>
      </c>
      <c r="AE1097" t="s">
        <v>63</v>
      </c>
      <c r="AF1097" t="s">
        <v>63</v>
      </c>
      <c r="AG1097" t="s">
        <v>9752</v>
      </c>
      <c r="AH1097" t="s">
        <v>63</v>
      </c>
      <c r="AI1097" t="s">
        <v>63</v>
      </c>
      <c r="AJ1097" t="s">
        <v>63</v>
      </c>
      <c r="AK1097" t="s">
        <v>63</v>
      </c>
      <c r="AL1097" t="s">
        <v>63</v>
      </c>
      <c r="AM1097" t="s">
        <v>9753</v>
      </c>
      <c r="AN1097" t="s">
        <v>63</v>
      </c>
      <c r="AO1097" t="s">
        <v>63</v>
      </c>
      <c r="AP1097" t="s">
        <v>63</v>
      </c>
      <c r="AQ1097" t="s">
        <v>63</v>
      </c>
      <c r="AR1097" t="s">
        <v>63</v>
      </c>
      <c r="AS1097" t="s">
        <v>63</v>
      </c>
      <c r="AT1097" t="s">
        <v>63</v>
      </c>
      <c r="AU1097" t="s">
        <v>63</v>
      </c>
      <c r="AV1097" t="s">
        <v>63</v>
      </c>
      <c r="AW1097" t="s">
        <v>63</v>
      </c>
      <c r="AX1097" t="s">
        <v>63</v>
      </c>
      <c r="AY1097" t="s">
        <v>63</v>
      </c>
      <c r="AZ1097" t="s">
        <v>63</v>
      </c>
      <c r="BA1097" t="s">
        <v>63</v>
      </c>
      <c r="BB1097" t="s">
        <v>63</v>
      </c>
      <c r="BC1097" t="s">
        <v>63</v>
      </c>
      <c r="BD1097" t="s">
        <v>63</v>
      </c>
      <c r="BE1097" t="s">
        <v>63</v>
      </c>
      <c r="BF1097" t="s">
        <v>63</v>
      </c>
    </row>
    <row r="1098" spans="1:58">
      <c r="A1098" t="s">
        <v>58</v>
      </c>
      <c r="B1098" t="s">
        <v>9754</v>
      </c>
      <c r="C1098" t="s">
        <v>9755</v>
      </c>
      <c r="D1098" t="s">
        <v>1728</v>
      </c>
      <c r="E1098" t="s">
        <v>1729</v>
      </c>
      <c r="F1098">
        <v>2015</v>
      </c>
      <c r="G1098" t="s">
        <v>1085</v>
      </c>
      <c r="H1098">
        <v>47</v>
      </c>
      <c r="I1098">
        <v>4</v>
      </c>
      <c r="J1098">
        <v>293</v>
      </c>
      <c r="K1098">
        <v>300</v>
      </c>
      <c r="L1098" t="s">
        <v>9756</v>
      </c>
      <c r="M1098" t="s">
        <v>9757</v>
      </c>
      <c r="N1098" t="s">
        <v>9758</v>
      </c>
      <c r="O1098" t="s">
        <v>63</v>
      </c>
      <c r="Q1098" t="s">
        <v>63</v>
      </c>
      <c r="R1098" t="s">
        <v>63</v>
      </c>
      <c r="S1098" t="s">
        <v>63</v>
      </c>
      <c r="T1098" t="s">
        <v>63</v>
      </c>
      <c r="X1098" t="s">
        <v>63</v>
      </c>
      <c r="Y1098" t="s">
        <v>1733</v>
      </c>
      <c r="Z1098" t="s">
        <v>63</v>
      </c>
      <c r="AA1098" t="s">
        <v>9759</v>
      </c>
      <c r="AB1098">
        <v>26375324</v>
      </c>
      <c r="AC1098" t="s">
        <v>67</v>
      </c>
      <c r="AD1098" t="s">
        <v>63</v>
      </c>
      <c r="AE1098" t="s">
        <v>63</v>
      </c>
      <c r="AF1098" t="s">
        <v>63</v>
      </c>
      <c r="AG1098" t="s">
        <v>9760</v>
      </c>
      <c r="AH1098" t="s">
        <v>63</v>
      </c>
      <c r="AI1098" t="s">
        <v>9761</v>
      </c>
      <c r="AJ1098" t="s">
        <v>63</v>
      </c>
      <c r="AK1098" t="s">
        <v>63</v>
      </c>
      <c r="AL1098" t="s">
        <v>63</v>
      </c>
      <c r="AM1098" t="s">
        <v>9762</v>
      </c>
      <c r="AN1098" t="s">
        <v>63</v>
      </c>
      <c r="AO1098" t="s">
        <v>63</v>
      </c>
      <c r="AP1098" t="s">
        <v>63</v>
      </c>
      <c r="AQ1098" t="s">
        <v>63</v>
      </c>
      <c r="AR1098" t="s">
        <v>63</v>
      </c>
      <c r="AS1098" t="s">
        <v>63</v>
      </c>
      <c r="AT1098" t="s">
        <v>63</v>
      </c>
      <c r="AU1098" t="s">
        <v>63</v>
      </c>
      <c r="AV1098" t="s">
        <v>63</v>
      </c>
      <c r="AW1098" t="s">
        <v>63</v>
      </c>
      <c r="AX1098" t="s">
        <v>63</v>
      </c>
      <c r="AY1098" t="s">
        <v>63</v>
      </c>
      <c r="AZ1098" t="s">
        <v>63</v>
      </c>
      <c r="BA1098" t="s">
        <v>63</v>
      </c>
      <c r="BB1098" t="s">
        <v>63</v>
      </c>
      <c r="BC1098" t="s">
        <v>63</v>
      </c>
      <c r="BD1098" t="s">
        <v>63</v>
      </c>
      <c r="BE1098" t="s">
        <v>63</v>
      </c>
      <c r="BF1098" t="s">
        <v>63</v>
      </c>
    </row>
    <row r="1099" spans="1:58">
      <c r="A1099" t="s">
        <v>58</v>
      </c>
      <c r="B1099" t="s">
        <v>9763</v>
      </c>
      <c r="C1099" t="s">
        <v>9764</v>
      </c>
      <c r="D1099" t="s">
        <v>349</v>
      </c>
      <c r="E1099" t="s">
        <v>350</v>
      </c>
      <c r="F1099">
        <v>2016</v>
      </c>
      <c r="G1099" t="s">
        <v>614</v>
      </c>
      <c r="H1099">
        <v>51</v>
      </c>
      <c r="I1099">
        <v>2</v>
      </c>
      <c r="J1099" t="s">
        <v>9765</v>
      </c>
      <c r="K1099" t="s">
        <v>9766</v>
      </c>
      <c r="L1099" t="s">
        <v>9767</v>
      </c>
      <c r="M1099" t="s">
        <v>9768</v>
      </c>
      <c r="N1099" t="s">
        <v>9769</v>
      </c>
      <c r="O1099" t="s">
        <v>63</v>
      </c>
      <c r="Q1099" t="s">
        <v>63</v>
      </c>
      <c r="R1099" t="s">
        <v>63</v>
      </c>
      <c r="S1099" t="s">
        <v>63</v>
      </c>
      <c r="T1099" t="s">
        <v>63</v>
      </c>
      <c r="X1099" t="s">
        <v>63</v>
      </c>
      <c r="Y1099" t="s">
        <v>4611</v>
      </c>
      <c r="Z1099" t="s">
        <v>63</v>
      </c>
      <c r="AA1099" t="s">
        <v>9770</v>
      </c>
      <c r="AB1099">
        <v>27061892</v>
      </c>
      <c r="AC1099" t="s">
        <v>67</v>
      </c>
      <c r="AD1099" t="s">
        <v>63</v>
      </c>
      <c r="AE1099" t="s">
        <v>63</v>
      </c>
      <c r="AF1099" t="s">
        <v>63</v>
      </c>
      <c r="AG1099" t="s">
        <v>9771</v>
      </c>
      <c r="AH1099" t="s">
        <v>63</v>
      </c>
      <c r="AI1099" t="s">
        <v>9772</v>
      </c>
      <c r="AJ1099" t="s">
        <v>63</v>
      </c>
      <c r="AK1099" t="s">
        <v>63</v>
      </c>
      <c r="AL1099" t="s">
        <v>63</v>
      </c>
      <c r="AM1099" t="s">
        <v>9773</v>
      </c>
      <c r="AN1099" t="s">
        <v>63</v>
      </c>
      <c r="AO1099" t="s">
        <v>63</v>
      </c>
      <c r="AP1099" t="s">
        <v>63</v>
      </c>
      <c r="AQ1099" t="s">
        <v>63</v>
      </c>
      <c r="AR1099" t="s">
        <v>63</v>
      </c>
      <c r="AS1099" t="s">
        <v>63</v>
      </c>
      <c r="AT1099" t="s">
        <v>63</v>
      </c>
      <c r="AU1099" t="s">
        <v>63</v>
      </c>
      <c r="AV1099" t="s">
        <v>63</v>
      </c>
      <c r="AW1099" t="s">
        <v>63</v>
      </c>
      <c r="AX1099" t="s">
        <v>63</v>
      </c>
      <c r="AY1099" t="s">
        <v>63</v>
      </c>
      <c r="AZ1099" t="s">
        <v>63</v>
      </c>
      <c r="BA1099" t="s">
        <v>63</v>
      </c>
      <c r="BB1099" t="s">
        <v>63</v>
      </c>
      <c r="BC1099" t="s">
        <v>63</v>
      </c>
      <c r="BD1099" t="s">
        <v>63</v>
      </c>
      <c r="BE1099" t="s">
        <v>63</v>
      </c>
      <c r="BF1099" t="s">
        <v>63</v>
      </c>
    </row>
    <row r="1100" spans="1:58">
      <c r="A1100" t="s">
        <v>58</v>
      </c>
      <c r="B1100" t="s">
        <v>9774</v>
      </c>
      <c r="C1100" t="s">
        <v>9775</v>
      </c>
      <c r="D1100" t="s">
        <v>9776</v>
      </c>
      <c r="E1100" t="s">
        <v>63</v>
      </c>
      <c r="F1100">
        <v>2016</v>
      </c>
      <c r="G1100" s="1">
        <v>41644</v>
      </c>
      <c r="H1100">
        <v>5</v>
      </c>
      <c r="I1100">
        <v>1</v>
      </c>
      <c r="J1100" t="s">
        <v>9777</v>
      </c>
      <c r="K1100" t="s">
        <v>63</v>
      </c>
      <c r="L1100" t="s">
        <v>63</v>
      </c>
      <c r="M1100" t="s">
        <v>9778</v>
      </c>
      <c r="N1100" t="s">
        <v>9779</v>
      </c>
      <c r="O1100" t="s">
        <v>63</v>
      </c>
      <c r="Q1100" t="s">
        <v>63</v>
      </c>
      <c r="R1100" t="s">
        <v>63</v>
      </c>
      <c r="S1100" t="s">
        <v>63</v>
      </c>
      <c r="T1100" t="s">
        <v>63</v>
      </c>
      <c r="X1100" t="s">
        <v>63</v>
      </c>
      <c r="Y1100" t="s">
        <v>9780</v>
      </c>
      <c r="Z1100" t="s">
        <v>63</v>
      </c>
      <c r="AA1100" t="s">
        <v>9781</v>
      </c>
      <c r="AB1100">
        <v>26740468</v>
      </c>
      <c r="AC1100" t="s">
        <v>67</v>
      </c>
      <c r="AD1100" t="s">
        <v>63</v>
      </c>
      <c r="AE1100" t="s">
        <v>63</v>
      </c>
      <c r="AF1100" t="s">
        <v>63</v>
      </c>
      <c r="AG1100" t="s">
        <v>9782</v>
      </c>
      <c r="AH1100" t="s">
        <v>63</v>
      </c>
      <c r="AI1100" t="s">
        <v>9783</v>
      </c>
      <c r="AJ1100" t="s">
        <v>63</v>
      </c>
      <c r="AK1100" t="s">
        <v>63</v>
      </c>
      <c r="AL1100" t="s">
        <v>63</v>
      </c>
      <c r="AM1100" t="s">
        <v>9784</v>
      </c>
      <c r="AN1100" t="s">
        <v>63</v>
      </c>
      <c r="AO1100" t="s">
        <v>63</v>
      </c>
      <c r="AP1100" t="s">
        <v>63</v>
      </c>
      <c r="AQ1100" t="s">
        <v>63</v>
      </c>
      <c r="AR1100" t="s">
        <v>63</v>
      </c>
      <c r="AS1100" t="s">
        <v>63</v>
      </c>
      <c r="AT1100" t="s">
        <v>63</v>
      </c>
      <c r="AU1100" t="s">
        <v>63</v>
      </c>
      <c r="AV1100" t="s">
        <v>63</v>
      </c>
      <c r="AW1100" t="s">
        <v>63</v>
      </c>
      <c r="AX1100" t="s">
        <v>63</v>
      </c>
      <c r="AY1100" t="s">
        <v>63</v>
      </c>
      <c r="AZ1100" t="s">
        <v>63</v>
      </c>
      <c r="BA1100" t="s">
        <v>63</v>
      </c>
      <c r="BB1100" t="s">
        <v>63</v>
      </c>
      <c r="BC1100" t="s">
        <v>63</v>
      </c>
      <c r="BD1100" t="s">
        <v>63</v>
      </c>
      <c r="BE1100" t="s">
        <v>63</v>
      </c>
      <c r="BF1100" t="s">
        <v>63</v>
      </c>
    </row>
    <row r="1101" spans="1:58">
      <c r="A1101" t="s">
        <v>58</v>
      </c>
      <c r="B1101" t="s">
        <v>9785</v>
      </c>
      <c r="C1101" t="s">
        <v>9786</v>
      </c>
      <c r="D1101" t="s">
        <v>9787</v>
      </c>
      <c r="E1101" t="s">
        <v>63</v>
      </c>
      <c r="F1101">
        <v>2013</v>
      </c>
      <c r="G1101" t="s">
        <v>1528</v>
      </c>
      <c r="H1101">
        <v>24</v>
      </c>
      <c r="I1101">
        <v>1</v>
      </c>
      <c r="J1101">
        <v>4</v>
      </c>
      <c r="K1101">
        <v>7</v>
      </c>
      <c r="L1101" t="s">
        <v>9788</v>
      </c>
      <c r="M1101" t="s">
        <v>9789</v>
      </c>
      <c r="N1101" t="s">
        <v>9790</v>
      </c>
      <c r="O1101" t="s">
        <v>63</v>
      </c>
      <c r="Q1101" t="s">
        <v>63</v>
      </c>
      <c r="R1101" t="s">
        <v>63</v>
      </c>
      <c r="S1101" t="s">
        <v>63</v>
      </c>
      <c r="T1101" t="s">
        <v>63</v>
      </c>
      <c r="X1101" t="s">
        <v>63</v>
      </c>
      <c r="Y1101" t="s">
        <v>9791</v>
      </c>
      <c r="Z1101" t="s">
        <v>63</v>
      </c>
      <c r="AA1101" t="s">
        <v>9792</v>
      </c>
      <c r="AB1101">
        <v>24622524</v>
      </c>
      <c r="AC1101" t="s">
        <v>67</v>
      </c>
      <c r="AD1101" t="s">
        <v>63</v>
      </c>
      <c r="AE1101" t="s">
        <v>63</v>
      </c>
      <c r="AF1101" t="s">
        <v>63</v>
      </c>
      <c r="AG1101" t="s">
        <v>9793</v>
      </c>
      <c r="AH1101" t="s">
        <v>63</v>
      </c>
      <c r="AI1101" t="s">
        <v>9794</v>
      </c>
      <c r="AJ1101" t="s">
        <v>63</v>
      </c>
      <c r="AK1101" t="s">
        <v>63</v>
      </c>
      <c r="AL1101" t="s">
        <v>63</v>
      </c>
      <c r="AM1101" t="s">
        <v>9795</v>
      </c>
      <c r="AN1101" t="s">
        <v>63</v>
      </c>
      <c r="AO1101" t="s">
        <v>63</v>
      </c>
      <c r="AP1101" t="s">
        <v>63</v>
      </c>
      <c r="AQ1101" t="s">
        <v>63</v>
      </c>
      <c r="AR1101" t="s">
        <v>63</v>
      </c>
      <c r="AS1101" t="s">
        <v>63</v>
      </c>
      <c r="AT1101" t="s">
        <v>63</v>
      </c>
      <c r="AU1101" t="s">
        <v>63</v>
      </c>
      <c r="AV1101" t="s">
        <v>63</v>
      </c>
      <c r="AW1101" t="s">
        <v>63</v>
      </c>
      <c r="AX1101" t="s">
        <v>63</v>
      </c>
      <c r="AY1101" t="s">
        <v>63</v>
      </c>
      <c r="AZ1101" t="s">
        <v>63</v>
      </c>
      <c r="BA1101" t="s">
        <v>63</v>
      </c>
      <c r="BB1101" t="s">
        <v>63</v>
      </c>
      <c r="BC1101" t="s">
        <v>63</v>
      </c>
      <c r="BD1101" t="s">
        <v>63</v>
      </c>
      <c r="BE1101" t="s">
        <v>63</v>
      </c>
      <c r="BF1101" t="s">
        <v>63</v>
      </c>
    </row>
    <row r="1102" spans="1:58">
      <c r="A1102" t="s">
        <v>58</v>
      </c>
      <c r="B1102" t="s">
        <v>9796</v>
      </c>
      <c r="C1102" t="s">
        <v>9797</v>
      </c>
      <c r="D1102" t="s">
        <v>6133</v>
      </c>
      <c r="E1102" t="s">
        <v>6134</v>
      </c>
      <c r="F1102">
        <v>1996</v>
      </c>
      <c r="G1102" t="s">
        <v>219</v>
      </c>
      <c r="H1102">
        <v>35</v>
      </c>
      <c r="I1102">
        <v>8</v>
      </c>
      <c r="J1102">
        <v>356</v>
      </c>
      <c r="K1102">
        <v>360</v>
      </c>
      <c r="L1102" t="s">
        <v>9798</v>
      </c>
      <c r="M1102" t="s">
        <v>9799</v>
      </c>
      <c r="N1102" t="s">
        <v>9800</v>
      </c>
      <c r="O1102" t="s">
        <v>63</v>
      </c>
      <c r="Q1102" t="s">
        <v>63</v>
      </c>
      <c r="R1102" t="s">
        <v>63</v>
      </c>
      <c r="S1102" t="s">
        <v>63</v>
      </c>
      <c r="T1102" t="s">
        <v>63</v>
      </c>
      <c r="X1102" t="s">
        <v>63</v>
      </c>
      <c r="Y1102" t="s">
        <v>6138</v>
      </c>
      <c r="Z1102" t="s">
        <v>63</v>
      </c>
      <c r="AA1102" t="s">
        <v>9801</v>
      </c>
      <c r="AB1102">
        <v>8923311</v>
      </c>
      <c r="AC1102" t="s">
        <v>67</v>
      </c>
      <c r="AD1102" t="s">
        <v>63</v>
      </c>
      <c r="AE1102" t="s">
        <v>63</v>
      </c>
      <c r="AF1102" t="s">
        <v>63</v>
      </c>
      <c r="AG1102" t="s">
        <v>9802</v>
      </c>
      <c r="AH1102" t="s">
        <v>63</v>
      </c>
      <c r="AI1102" t="s">
        <v>63</v>
      </c>
      <c r="AJ1102" t="s">
        <v>63</v>
      </c>
      <c r="AK1102" t="s">
        <v>63</v>
      </c>
      <c r="AL1102" t="s">
        <v>63</v>
      </c>
      <c r="AM1102" t="s">
        <v>9803</v>
      </c>
      <c r="AN1102" t="s">
        <v>63</v>
      </c>
      <c r="AO1102" t="s">
        <v>63</v>
      </c>
      <c r="AP1102" t="s">
        <v>63</v>
      </c>
      <c r="AQ1102" t="s">
        <v>63</v>
      </c>
      <c r="AR1102" t="s">
        <v>63</v>
      </c>
      <c r="AS1102" t="s">
        <v>63</v>
      </c>
      <c r="AT1102" t="s">
        <v>63</v>
      </c>
      <c r="AU1102" t="s">
        <v>63</v>
      </c>
      <c r="AV1102" t="s">
        <v>63</v>
      </c>
      <c r="AW1102" t="s">
        <v>63</v>
      </c>
      <c r="AX1102" t="s">
        <v>63</v>
      </c>
      <c r="AY1102" t="s">
        <v>63</v>
      </c>
      <c r="AZ1102" t="s">
        <v>63</v>
      </c>
      <c r="BA1102" t="s">
        <v>63</v>
      </c>
      <c r="BB1102" t="s">
        <v>63</v>
      </c>
      <c r="BC1102" t="s">
        <v>63</v>
      </c>
      <c r="BD1102" t="s">
        <v>63</v>
      </c>
      <c r="BE1102" t="s">
        <v>63</v>
      </c>
      <c r="BF1102" t="s">
        <v>63</v>
      </c>
    </row>
    <row r="1103" spans="1:58">
      <c r="A1103" t="s">
        <v>58</v>
      </c>
      <c r="B1103" t="s">
        <v>9804</v>
      </c>
      <c r="C1103" t="s">
        <v>9805</v>
      </c>
      <c r="D1103" t="s">
        <v>2353</v>
      </c>
      <c r="E1103" t="s">
        <v>2354</v>
      </c>
      <c r="F1103">
        <v>2014</v>
      </c>
      <c r="G1103" t="s">
        <v>274</v>
      </c>
      <c r="H1103">
        <v>46</v>
      </c>
      <c r="I1103">
        <v>3</v>
      </c>
      <c r="J1103">
        <v>315</v>
      </c>
      <c r="K1103">
        <v>319</v>
      </c>
      <c r="L1103" t="s">
        <v>9806</v>
      </c>
      <c r="M1103" t="s">
        <v>9807</v>
      </c>
      <c r="N1103" t="s">
        <v>9808</v>
      </c>
      <c r="O1103" t="s">
        <v>63</v>
      </c>
      <c r="Q1103" t="s">
        <v>63</v>
      </c>
      <c r="R1103" t="s">
        <v>63</v>
      </c>
      <c r="S1103" t="s">
        <v>63</v>
      </c>
      <c r="T1103" t="s">
        <v>63</v>
      </c>
      <c r="X1103" t="s">
        <v>63</v>
      </c>
      <c r="Y1103" t="s">
        <v>8330</v>
      </c>
      <c r="Z1103" t="s">
        <v>63</v>
      </c>
      <c r="AA1103" t="s">
        <v>9809</v>
      </c>
      <c r="AB1103">
        <v>24209382</v>
      </c>
      <c r="AC1103" t="s">
        <v>67</v>
      </c>
      <c r="AD1103" t="s">
        <v>63</v>
      </c>
      <c r="AE1103" t="s">
        <v>63</v>
      </c>
      <c r="AF1103" t="s">
        <v>63</v>
      </c>
      <c r="AG1103" t="s">
        <v>9810</v>
      </c>
      <c r="AH1103" t="s">
        <v>63</v>
      </c>
      <c r="AI1103" t="s">
        <v>9811</v>
      </c>
      <c r="AJ1103" t="s">
        <v>63</v>
      </c>
      <c r="AK1103" t="s">
        <v>63</v>
      </c>
      <c r="AL1103" t="s">
        <v>63</v>
      </c>
      <c r="AM1103" t="s">
        <v>9812</v>
      </c>
      <c r="AN1103" t="s">
        <v>63</v>
      </c>
      <c r="AO1103" t="s">
        <v>63</v>
      </c>
      <c r="AP1103" t="s">
        <v>63</v>
      </c>
      <c r="AQ1103" t="s">
        <v>63</v>
      </c>
      <c r="AR1103" t="s">
        <v>63</v>
      </c>
      <c r="AS1103" t="s">
        <v>63</v>
      </c>
      <c r="AT1103" t="s">
        <v>63</v>
      </c>
      <c r="AU1103" t="s">
        <v>63</v>
      </c>
      <c r="AV1103" t="s">
        <v>63</v>
      </c>
      <c r="AW1103" t="s">
        <v>63</v>
      </c>
      <c r="AX1103" t="s">
        <v>63</v>
      </c>
      <c r="AY1103" t="s">
        <v>63</v>
      </c>
      <c r="AZ1103" t="s">
        <v>63</v>
      </c>
      <c r="BA1103" t="s">
        <v>63</v>
      </c>
      <c r="BB1103" t="s">
        <v>63</v>
      </c>
      <c r="BC1103" t="s">
        <v>63</v>
      </c>
      <c r="BD1103" t="s">
        <v>63</v>
      </c>
      <c r="BE1103" t="s">
        <v>63</v>
      </c>
      <c r="BF1103" t="s">
        <v>63</v>
      </c>
    </row>
    <row r="1104" spans="1:58">
      <c r="A1104" t="s">
        <v>58</v>
      </c>
      <c r="B1104" t="s">
        <v>9813</v>
      </c>
      <c r="C1104" t="s">
        <v>9814</v>
      </c>
      <c r="D1104" t="s">
        <v>763</v>
      </c>
      <c r="E1104" t="s">
        <v>63</v>
      </c>
      <c r="F1104">
        <v>1996</v>
      </c>
      <c r="G1104" t="s">
        <v>219</v>
      </c>
      <c r="H1104">
        <v>71</v>
      </c>
      <c r="I1104">
        <v>11</v>
      </c>
      <c r="J1104">
        <v>1204</v>
      </c>
      <c r="K1104">
        <v>1210</v>
      </c>
      <c r="L1104" t="s">
        <v>9815</v>
      </c>
      <c r="M1104" t="s">
        <v>9816</v>
      </c>
      <c r="N1104" t="s">
        <v>9817</v>
      </c>
      <c r="O1104" t="s">
        <v>63</v>
      </c>
      <c r="Q1104" t="s">
        <v>63</v>
      </c>
      <c r="R1104" t="s">
        <v>63</v>
      </c>
      <c r="S1104" t="s">
        <v>63</v>
      </c>
      <c r="T1104" t="s">
        <v>63</v>
      </c>
      <c r="X1104" t="s">
        <v>63</v>
      </c>
      <c r="Y1104" t="s">
        <v>858</v>
      </c>
      <c r="Z1104" t="s">
        <v>63</v>
      </c>
      <c r="AA1104" t="s">
        <v>9818</v>
      </c>
      <c r="AB1104">
        <v>9217509</v>
      </c>
      <c r="AC1104" t="s">
        <v>67</v>
      </c>
      <c r="AD1104" t="s">
        <v>63</v>
      </c>
      <c r="AE1104" t="s">
        <v>63</v>
      </c>
      <c r="AF1104" t="s">
        <v>63</v>
      </c>
      <c r="AG1104" t="s">
        <v>9819</v>
      </c>
      <c r="AH1104" t="s">
        <v>63</v>
      </c>
      <c r="AI1104" t="s">
        <v>63</v>
      </c>
      <c r="AJ1104" t="s">
        <v>63</v>
      </c>
      <c r="AK1104" t="s">
        <v>63</v>
      </c>
      <c r="AL1104" t="s">
        <v>63</v>
      </c>
      <c r="AM1104" t="s">
        <v>9820</v>
      </c>
      <c r="AN1104" t="s">
        <v>63</v>
      </c>
      <c r="AO1104" t="s">
        <v>63</v>
      </c>
      <c r="AP1104" t="s">
        <v>63</v>
      </c>
      <c r="AQ1104" t="s">
        <v>63</v>
      </c>
      <c r="AR1104" t="s">
        <v>63</v>
      </c>
      <c r="AS1104" t="s">
        <v>63</v>
      </c>
      <c r="AT1104" t="s">
        <v>63</v>
      </c>
      <c r="AU1104" t="s">
        <v>63</v>
      </c>
      <c r="AV1104" t="s">
        <v>63</v>
      </c>
      <c r="AW1104" t="s">
        <v>63</v>
      </c>
      <c r="AX1104" t="s">
        <v>63</v>
      </c>
      <c r="AY1104" t="s">
        <v>63</v>
      </c>
      <c r="AZ1104" t="s">
        <v>63</v>
      </c>
      <c r="BA1104" t="s">
        <v>63</v>
      </c>
      <c r="BB1104" t="s">
        <v>63</v>
      </c>
      <c r="BC1104" t="s">
        <v>63</v>
      </c>
      <c r="BD1104" t="s">
        <v>63</v>
      </c>
      <c r="BE1104" t="s">
        <v>63</v>
      </c>
      <c r="BF1104" t="s">
        <v>63</v>
      </c>
    </row>
    <row r="1105" spans="1:58">
      <c r="A1105" t="s">
        <v>58</v>
      </c>
      <c r="B1105" t="s">
        <v>9821</v>
      </c>
      <c r="C1105" t="s">
        <v>9822</v>
      </c>
      <c r="D1105" t="s">
        <v>325</v>
      </c>
      <c r="E1105" t="s">
        <v>63</v>
      </c>
      <c r="F1105">
        <v>2016</v>
      </c>
      <c r="G1105" t="s">
        <v>73</v>
      </c>
      <c r="H1105">
        <v>40</v>
      </c>
      <c r="I1105">
        <v>3</v>
      </c>
      <c r="J1105">
        <v>494</v>
      </c>
      <c r="K1105">
        <v>497</v>
      </c>
      <c r="L1105" t="s">
        <v>9823</v>
      </c>
      <c r="M1105" t="s">
        <v>9824</v>
      </c>
      <c r="N1105" t="s">
        <v>9825</v>
      </c>
      <c r="O1105" t="s">
        <v>63</v>
      </c>
      <c r="Q1105" t="s">
        <v>63</v>
      </c>
      <c r="R1105" t="s">
        <v>63</v>
      </c>
      <c r="S1105" t="s">
        <v>63</v>
      </c>
      <c r="T1105" t="s">
        <v>63</v>
      </c>
      <c r="X1105" t="s">
        <v>63</v>
      </c>
      <c r="Y1105" t="s">
        <v>330</v>
      </c>
      <c r="Z1105" t="s">
        <v>63</v>
      </c>
      <c r="AA1105" t="s">
        <v>9826</v>
      </c>
      <c r="AB1105">
        <v>27001311</v>
      </c>
      <c r="AC1105" t="s">
        <v>67</v>
      </c>
      <c r="AD1105" t="s">
        <v>63</v>
      </c>
      <c r="AE1105" t="s">
        <v>63</v>
      </c>
      <c r="AF1105" t="s">
        <v>63</v>
      </c>
      <c r="AG1105" t="s">
        <v>9827</v>
      </c>
      <c r="AH1105" t="s">
        <v>63</v>
      </c>
      <c r="AI1105" t="s">
        <v>9828</v>
      </c>
      <c r="AJ1105" t="s">
        <v>63</v>
      </c>
      <c r="AK1105" t="s">
        <v>63</v>
      </c>
      <c r="AL1105" t="s">
        <v>63</v>
      </c>
      <c r="AM1105" t="s">
        <v>9829</v>
      </c>
      <c r="AN1105" t="s">
        <v>63</v>
      </c>
      <c r="AO1105" t="s">
        <v>63</v>
      </c>
      <c r="AP1105" t="s">
        <v>63</v>
      </c>
      <c r="AQ1105" t="s">
        <v>63</v>
      </c>
      <c r="AR1105" t="s">
        <v>63</v>
      </c>
      <c r="AS1105" t="s">
        <v>63</v>
      </c>
      <c r="AT1105" t="s">
        <v>63</v>
      </c>
      <c r="AU1105" t="s">
        <v>63</v>
      </c>
      <c r="AV1105" t="s">
        <v>63</v>
      </c>
      <c r="AW1105" t="s">
        <v>63</v>
      </c>
      <c r="AX1105" t="s">
        <v>63</v>
      </c>
      <c r="AY1105" t="s">
        <v>63</v>
      </c>
      <c r="AZ1105" t="s">
        <v>63</v>
      </c>
      <c r="BA1105" t="s">
        <v>63</v>
      </c>
      <c r="BB1105" t="s">
        <v>63</v>
      </c>
      <c r="BC1105" t="s">
        <v>63</v>
      </c>
      <c r="BD1105" t="s">
        <v>63</v>
      </c>
      <c r="BE1105" t="s">
        <v>63</v>
      </c>
      <c r="BF1105" t="s">
        <v>63</v>
      </c>
    </row>
    <row r="1106" spans="1:58">
      <c r="A1106" t="s">
        <v>58</v>
      </c>
      <c r="B1106" t="s">
        <v>9830</v>
      </c>
      <c r="C1106" t="s">
        <v>9831</v>
      </c>
      <c r="D1106" t="s">
        <v>389</v>
      </c>
      <c r="E1106" t="s">
        <v>63</v>
      </c>
      <c r="F1106">
        <v>2017</v>
      </c>
      <c r="G1106" t="s">
        <v>982</v>
      </c>
      <c r="H1106">
        <v>38</v>
      </c>
      <c r="I1106">
        <v>4</v>
      </c>
      <c r="J1106">
        <v>455</v>
      </c>
      <c r="K1106">
        <v>463</v>
      </c>
      <c r="L1106" t="s">
        <v>63</v>
      </c>
      <c r="M1106" t="s">
        <v>9832</v>
      </c>
      <c r="N1106" t="s">
        <v>9833</v>
      </c>
      <c r="O1106" t="s">
        <v>63</v>
      </c>
      <c r="Q1106" t="s">
        <v>63</v>
      </c>
      <c r="R1106" t="s">
        <v>63</v>
      </c>
      <c r="S1106" t="s">
        <v>63</v>
      </c>
      <c r="T1106" t="s">
        <v>63</v>
      </c>
      <c r="X1106" t="s">
        <v>63</v>
      </c>
      <c r="Y1106" t="s">
        <v>556</v>
      </c>
      <c r="Z1106" t="s">
        <v>63</v>
      </c>
      <c r="AA1106" t="s">
        <v>9834</v>
      </c>
      <c r="AB1106">
        <v>28605276</v>
      </c>
      <c r="AC1106" t="s">
        <v>67</v>
      </c>
      <c r="AD1106" t="s">
        <v>63</v>
      </c>
      <c r="AE1106" t="s">
        <v>63</v>
      </c>
      <c r="AF1106" t="s">
        <v>63</v>
      </c>
      <c r="AG1106" t="s">
        <v>9835</v>
      </c>
      <c r="AH1106" t="s">
        <v>63</v>
      </c>
      <c r="AI1106" t="s">
        <v>9836</v>
      </c>
      <c r="AJ1106" t="s">
        <v>63</v>
      </c>
      <c r="AK1106" t="s">
        <v>63</v>
      </c>
      <c r="AL1106" t="s">
        <v>63</v>
      </c>
      <c r="AM1106" t="s">
        <v>9837</v>
      </c>
      <c r="AN1106" t="s">
        <v>63</v>
      </c>
      <c r="AO1106" t="s">
        <v>63</v>
      </c>
      <c r="AP1106" t="s">
        <v>63</v>
      </c>
      <c r="AQ1106" t="s">
        <v>63</v>
      </c>
      <c r="AR1106" t="s">
        <v>63</v>
      </c>
      <c r="AS1106" t="s">
        <v>63</v>
      </c>
      <c r="AT1106" t="s">
        <v>63</v>
      </c>
      <c r="AU1106" t="s">
        <v>63</v>
      </c>
      <c r="AV1106" t="s">
        <v>63</v>
      </c>
      <c r="AW1106" t="s">
        <v>63</v>
      </c>
      <c r="AX1106" t="s">
        <v>63</v>
      </c>
      <c r="AY1106" t="s">
        <v>63</v>
      </c>
      <c r="AZ1106" t="s">
        <v>63</v>
      </c>
      <c r="BA1106" t="s">
        <v>63</v>
      </c>
      <c r="BB1106" t="s">
        <v>63</v>
      </c>
      <c r="BC1106" t="s">
        <v>63</v>
      </c>
      <c r="BD1106" t="s">
        <v>63</v>
      </c>
      <c r="BE1106" t="s">
        <v>63</v>
      </c>
      <c r="BF1106" t="s">
        <v>63</v>
      </c>
    </row>
    <row r="1107" spans="1:58">
      <c r="A1107" t="s">
        <v>58</v>
      </c>
      <c r="B1107" t="s">
        <v>9838</v>
      </c>
      <c r="C1107" t="s">
        <v>9839</v>
      </c>
      <c r="D1107" t="s">
        <v>389</v>
      </c>
      <c r="E1107" t="s">
        <v>63</v>
      </c>
      <c r="F1107">
        <v>2018</v>
      </c>
      <c r="G1107" s="1">
        <v>41674</v>
      </c>
      <c r="H1107" t="s">
        <v>63</v>
      </c>
      <c r="I1107" t="s">
        <v>63</v>
      </c>
      <c r="J1107">
        <v>1</v>
      </c>
      <c r="K1107">
        <v>6</v>
      </c>
      <c r="L1107" t="s">
        <v>63</v>
      </c>
      <c r="M1107" t="s">
        <v>9840</v>
      </c>
      <c r="N1107" t="s">
        <v>9841</v>
      </c>
      <c r="O1107" t="s">
        <v>63</v>
      </c>
      <c r="Q1107" t="s">
        <v>63</v>
      </c>
      <c r="R1107" t="s">
        <v>63</v>
      </c>
      <c r="S1107" t="s">
        <v>63</v>
      </c>
      <c r="T1107" t="s">
        <v>63</v>
      </c>
      <c r="X1107" t="s">
        <v>63</v>
      </c>
      <c r="Y1107" t="s">
        <v>556</v>
      </c>
      <c r="Z1107" t="s">
        <v>63</v>
      </c>
      <c r="AA1107" t="s">
        <v>9842</v>
      </c>
      <c r="AB1107">
        <v>29400617</v>
      </c>
      <c r="AC1107" t="s">
        <v>67</v>
      </c>
      <c r="AD1107" t="s">
        <v>63</v>
      </c>
      <c r="AE1107" t="s">
        <v>63</v>
      </c>
      <c r="AF1107" t="s">
        <v>63</v>
      </c>
      <c r="AG1107" t="s">
        <v>9843</v>
      </c>
      <c r="AH1107" t="s">
        <v>63</v>
      </c>
      <c r="AI1107" t="s">
        <v>9844</v>
      </c>
      <c r="AJ1107" t="s">
        <v>63</v>
      </c>
      <c r="AK1107" t="s">
        <v>63</v>
      </c>
      <c r="AL1107" t="s">
        <v>63</v>
      </c>
      <c r="AM1107" t="s">
        <v>9845</v>
      </c>
      <c r="AN1107" t="s">
        <v>63</v>
      </c>
      <c r="AO1107" t="s">
        <v>63</v>
      </c>
      <c r="AP1107" t="s">
        <v>63</v>
      </c>
      <c r="AQ1107" t="s">
        <v>63</v>
      </c>
      <c r="AR1107" t="s">
        <v>63</v>
      </c>
      <c r="AS1107" t="s">
        <v>63</v>
      </c>
      <c r="AT1107" t="s">
        <v>63</v>
      </c>
      <c r="AU1107" t="s">
        <v>63</v>
      </c>
      <c r="AV1107" t="s">
        <v>63</v>
      </c>
      <c r="AW1107" t="s">
        <v>63</v>
      </c>
      <c r="AX1107" t="s">
        <v>63</v>
      </c>
      <c r="AY1107" t="s">
        <v>63</v>
      </c>
      <c r="AZ1107" t="s">
        <v>63</v>
      </c>
      <c r="BA1107" t="s">
        <v>63</v>
      </c>
      <c r="BB1107" t="s">
        <v>63</v>
      </c>
      <c r="BC1107" t="s">
        <v>63</v>
      </c>
      <c r="BD1107" t="s">
        <v>63</v>
      </c>
      <c r="BE1107" t="s">
        <v>63</v>
      </c>
      <c r="BF1107" t="s">
        <v>63</v>
      </c>
    </row>
    <row r="1108" spans="1:58">
      <c r="A1108" t="s">
        <v>58</v>
      </c>
      <c r="B1108" t="s">
        <v>9846</v>
      </c>
      <c r="C1108" t="s">
        <v>9847</v>
      </c>
      <c r="D1108" t="s">
        <v>763</v>
      </c>
      <c r="E1108" t="s">
        <v>63</v>
      </c>
      <c r="F1108">
        <v>2017</v>
      </c>
      <c r="G1108" t="s">
        <v>157</v>
      </c>
      <c r="H1108">
        <v>92</v>
      </c>
      <c r="I1108">
        <v>12</v>
      </c>
      <c r="J1108">
        <v>1704</v>
      </c>
      <c r="K1108">
        <v>1708</v>
      </c>
      <c r="L1108" t="s">
        <v>9848</v>
      </c>
      <c r="M1108" t="s">
        <v>9849</v>
      </c>
      <c r="N1108" t="s">
        <v>9850</v>
      </c>
      <c r="O1108" t="s">
        <v>63</v>
      </c>
      <c r="Q1108" t="s">
        <v>63</v>
      </c>
      <c r="R1108" t="s">
        <v>63</v>
      </c>
      <c r="S1108" t="s">
        <v>63</v>
      </c>
      <c r="T1108" t="s">
        <v>63</v>
      </c>
      <c r="X1108" t="s">
        <v>63</v>
      </c>
      <c r="Y1108" t="s">
        <v>766</v>
      </c>
      <c r="Z1108" t="s">
        <v>63</v>
      </c>
      <c r="AA1108" t="s">
        <v>9851</v>
      </c>
      <c r="AB1108">
        <v>28537951</v>
      </c>
      <c r="AC1108" t="s">
        <v>67</v>
      </c>
      <c r="AD1108" t="s">
        <v>63</v>
      </c>
      <c r="AE1108" t="s">
        <v>63</v>
      </c>
      <c r="AF1108" t="s">
        <v>63</v>
      </c>
      <c r="AG1108" t="s">
        <v>9852</v>
      </c>
      <c r="AH1108" t="s">
        <v>63</v>
      </c>
      <c r="AI1108" t="s">
        <v>9853</v>
      </c>
      <c r="AJ1108" t="s">
        <v>63</v>
      </c>
      <c r="AK1108" t="s">
        <v>63</v>
      </c>
      <c r="AL1108" t="s">
        <v>63</v>
      </c>
      <c r="AM1108" t="s">
        <v>9854</v>
      </c>
      <c r="AN1108" t="s">
        <v>63</v>
      </c>
      <c r="AO1108" t="s">
        <v>63</v>
      </c>
      <c r="AP1108" t="s">
        <v>63</v>
      </c>
      <c r="AQ1108" t="s">
        <v>63</v>
      </c>
      <c r="AR1108" t="s">
        <v>63</v>
      </c>
      <c r="AS1108" t="s">
        <v>63</v>
      </c>
      <c r="AT1108" t="s">
        <v>63</v>
      </c>
      <c r="AU1108" t="s">
        <v>63</v>
      </c>
      <c r="AV1108" t="s">
        <v>63</v>
      </c>
      <c r="AW1108" t="s">
        <v>63</v>
      </c>
      <c r="AX1108" t="s">
        <v>63</v>
      </c>
      <c r="AY1108" t="s">
        <v>63</v>
      </c>
      <c r="AZ1108" t="s">
        <v>63</v>
      </c>
      <c r="BA1108" t="s">
        <v>63</v>
      </c>
      <c r="BB1108" t="s">
        <v>63</v>
      </c>
      <c r="BC1108" t="s">
        <v>63</v>
      </c>
      <c r="BD1108" t="s">
        <v>63</v>
      </c>
      <c r="BE1108" t="s">
        <v>63</v>
      </c>
      <c r="BF1108" t="s">
        <v>63</v>
      </c>
    </row>
    <row r="1109" spans="1:58">
      <c r="A1109" t="s">
        <v>58</v>
      </c>
      <c r="B1109" t="s">
        <v>9855</v>
      </c>
      <c r="C1109" t="s">
        <v>9856</v>
      </c>
      <c r="D1109" t="s">
        <v>3071</v>
      </c>
      <c r="E1109" t="s">
        <v>3072</v>
      </c>
      <c r="F1109">
        <v>1987</v>
      </c>
      <c r="G1109" t="s">
        <v>138</v>
      </c>
      <c r="H1109">
        <v>82</v>
      </c>
      <c r="I1109">
        <v>10</v>
      </c>
      <c r="J1109">
        <v>1091</v>
      </c>
      <c r="K1109">
        <v>1099</v>
      </c>
      <c r="L1109" t="s">
        <v>9857</v>
      </c>
      <c r="M1109" t="s">
        <v>63</v>
      </c>
      <c r="N1109" t="s">
        <v>9858</v>
      </c>
      <c r="O1109" t="s">
        <v>63</v>
      </c>
      <c r="Q1109" t="s">
        <v>63</v>
      </c>
      <c r="R1109" t="s">
        <v>63</v>
      </c>
      <c r="S1109" t="s">
        <v>63</v>
      </c>
      <c r="T1109" t="s">
        <v>63</v>
      </c>
      <c r="X1109" t="s">
        <v>63</v>
      </c>
      <c r="Y1109" t="s">
        <v>3075</v>
      </c>
      <c r="Z1109" t="s">
        <v>63</v>
      </c>
      <c r="AA1109" t="s">
        <v>63</v>
      </c>
      <c r="AB1109">
        <v>3479157</v>
      </c>
      <c r="AC1109" t="s">
        <v>67</v>
      </c>
      <c r="AD1109" t="s">
        <v>63</v>
      </c>
      <c r="AE1109" t="s">
        <v>63</v>
      </c>
      <c r="AF1109" t="s">
        <v>63</v>
      </c>
      <c r="AG1109" t="s">
        <v>9859</v>
      </c>
      <c r="AH1109" t="s">
        <v>63</v>
      </c>
      <c r="AI1109" t="s">
        <v>63</v>
      </c>
      <c r="AJ1109" t="s">
        <v>63</v>
      </c>
      <c r="AK1109" t="s">
        <v>63</v>
      </c>
      <c r="AL1109" t="s">
        <v>63</v>
      </c>
      <c r="AM1109" t="s">
        <v>9860</v>
      </c>
      <c r="AN1109" t="s">
        <v>63</v>
      </c>
      <c r="AO1109" t="s">
        <v>63</v>
      </c>
      <c r="AP1109" t="s">
        <v>63</v>
      </c>
      <c r="AQ1109" t="s">
        <v>63</v>
      </c>
      <c r="AR1109" t="s">
        <v>63</v>
      </c>
      <c r="AS1109" t="s">
        <v>63</v>
      </c>
      <c r="AT1109" t="s">
        <v>63</v>
      </c>
      <c r="AU1109" t="s">
        <v>63</v>
      </c>
      <c r="AV1109" t="s">
        <v>63</v>
      </c>
      <c r="AW1109" t="s">
        <v>63</v>
      </c>
      <c r="AX1109" t="s">
        <v>63</v>
      </c>
      <c r="AY1109" t="s">
        <v>63</v>
      </c>
      <c r="AZ1109" t="s">
        <v>63</v>
      </c>
      <c r="BA1109" t="s">
        <v>63</v>
      </c>
      <c r="BB1109" t="s">
        <v>63</v>
      </c>
      <c r="BC1109" t="s">
        <v>63</v>
      </c>
      <c r="BD1109" t="s">
        <v>63</v>
      </c>
      <c r="BE1109" t="s">
        <v>63</v>
      </c>
      <c r="BF1109" t="s">
        <v>63</v>
      </c>
    </row>
    <row r="1110" spans="1:58">
      <c r="A1110" t="s">
        <v>58</v>
      </c>
      <c r="B1110" t="s">
        <v>9861</v>
      </c>
      <c r="C1110" t="s">
        <v>9862</v>
      </c>
      <c r="D1110" t="s">
        <v>9863</v>
      </c>
      <c r="E1110" t="s">
        <v>9864</v>
      </c>
      <c r="F1110">
        <v>1997</v>
      </c>
      <c r="G1110" t="s">
        <v>274</v>
      </c>
      <c r="H1110">
        <v>111</v>
      </c>
      <c r="I1110">
        <v>2</v>
      </c>
      <c r="J1110">
        <v>71</v>
      </c>
      <c r="K1110">
        <v>75</v>
      </c>
      <c r="L1110" t="s">
        <v>9865</v>
      </c>
      <c r="M1110" t="s">
        <v>9866</v>
      </c>
      <c r="N1110" t="s">
        <v>9867</v>
      </c>
      <c r="O1110" t="s">
        <v>63</v>
      </c>
      <c r="Q1110" t="s">
        <v>63</v>
      </c>
      <c r="R1110" t="s">
        <v>63</v>
      </c>
      <c r="S1110" t="s">
        <v>63</v>
      </c>
      <c r="T1110" t="s">
        <v>63</v>
      </c>
      <c r="X1110" t="s">
        <v>63</v>
      </c>
      <c r="Y1110" t="s">
        <v>9868</v>
      </c>
      <c r="Z1110" t="s">
        <v>63</v>
      </c>
      <c r="AA1110" t="s">
        <v>9869</v>
      </c>
      <c r="AB1110">
        <v>9090279</v>
      </c>
      <c r="AC1110" t="s">
        <v>67</v>
      </c>
      <c r="AD1110" t="s">
        <v>63</v>
      </c>
      <c r="AE1110" t="s">
        <v>63</v>
      </c>
      <c r="AF1110" t="s">
        <v>63</v>
      </c>
      <c r="AG1110" t="s">
        <v>9870</v>
      </c>
      <c r="AH1110" t="s">
        <v>63</v>
      </c>
      <c r="AI1110" t="s">
        <v>63</v>
      </c>
      <c r="AJ1110" t="s">
        <v>63</v>
      </c>
      <c r="AK1110" t="s">
        <v>63</v>
      </c>
      <c r="AL1110" t="s">
        <v>63</v>
      </c>
      <c r="AM1110" t="s">
        <v>9871</v>
      </c>
      <c r="AN1110" t="s">
        <v>63</v>
      </c>
      <c r="AO1110" t="s">
        <v>63</v>
      </c>
      <c r="AP1110" t="s">
        <v>63</v>
      </c>
      <c r="AQ1110" t="s">
        <v>63</v>
      </c>
      <c r="AR1110" t="s">
        <v>63</v>
      </c>
      <c r="AS1110" t="s">
        <v>63</v>
      </c>
      <c r="AT1110" t="s">
        <v>63</v>
      </c>
      <c r="AU1110" t="s">
        <v>63</v>
      </c>
      <c r="AV1110" t="s">
        <v>63</v>
      </c>
      <c r="AW1110" t="s">
        <v>63</v>
      </c>
      <c r="AX1110" t="s">
        <v>63</v>
      </c>
      <c r="AY1110" t="s">
        <v>63</v>
      </c>
      <c r="AZ1110" t="s">
        <v>63</v>
      </c>
      <c r="BA1110" t="s">
        <v>63</v>
      </c>
      <c r="BB1110" t="s">
        <v>63</v>
      </c>
      <c r="BC1110" t="s">
        <v>63</v>
      </c>
      <c r="BD1110" t="s">
        <v>63</v>
      </c>
      <c r="BE1110" t="s">
        <v>63</v>
      </c>
      <c r="BF1110" t="s">
        <v>63</v>
      </c>
    </row>
    <row r="1111" spans="1:58">
      <c r="A1111" t="s">
        <v>58</v>
      </c>
      <c r="B1111" t="s">
        <v>9872</v>
      </c>
      <c r="C1111" t="s">
        <v>9873</v>
      </c>
      <c r="D1111" t="s">
        <v>9874</v>
      </c>
      <c r="E1111" t="s">
        <v>9875</v>
      </c>
      <c r="F1111">
        <v>2017</v>
      </c>
      <c r="G1111" t="s">
        <v>63</v>
      </c>
      <c r="H1111">
        <v>64</v>
      </c>
      <c r="I1111">
        <v>3</v>
      </c>
      <c r="J1111">
        <v>178</v>
      </c>
      <c r="K1111">
        <v>187</v>
      </c>
      <c r="L1111" t="s">
        <v>63</v>
      </c>
      <c r="M1111" t="s">
        <v>9876</v>
      </c>
      <c r="N1111" t="s">
        <v>9877</v>
      </c>
      <c r="O1111" t="s">
        <v>63</v>
      </c>
      <c r="Q1111" t="s">
        <v>63</v>
      </c>
      <c r="R1111" t="s">
        <v>63</v>
      </c>
      <c r="S1111" t="s">
        <v>63</v>
      </c>
      <c r="T1111" t="s">
        <v>63</v>
      </c>
      <c r="X1111" t="s">
        <v>63</v>
      </c>
      <c r="Y1111" s="2">
        <v>402557</v>
      </c>
      <c r="Z1111" t="s">
        <v>63</v>
      </c>
      <c r="AA1111" t="s">
        <v>9878</v>
      </c>
      <c r="AB1111">
        <v>28858546</v>
      </c>
      <c r="AC1111" t="s">
        <v>67</v>
      </c>
      <c r="AD1111" t="s">
        <v>63</v>
      </c>
      <c r="AE1111" t="s">
        <v>63</v>
      </c>
      <c r="AF1111" t="s">
        <v>63</v>
      </c>
      <c r="AG1111" t="s">
        <v>9879</v>
      </c>
      <c r="AH1111" t="s">
        <v>63</v>
      </c>
      <c r="AI1111" t="s">
        <v>9880</v>
      </c>
      <c r="AJ1111" t="s">
        <v>63</v>
      </c>
      <c r="AK1111" t="s">
        <v>63</v>
      </c>
      <c r="AL1111" t="s">
        <v>63</v>
      </c>
      <c r="AM1111" t="s">
        <v>9881</v>
      </c>
      <c r="AN1111" t="s">
        <v>63</v>
      </c>
      <c r="AO1111" t="s">
        <v>63</v>
      </c>
      <c r="AP1111" t="s">
        <v>63</v>
      </c>
      <c r="AQ1111" t="s">
        <v>63</v>
      </c>
      <c r="AR1111" t="s">
        <v>63</v>
      </c>
      <c r="AS1111" t="s">
        <v>63</v>
      </c>
      <c r="AT1111" t="s">
        <v>63</v>
      </c>
      <c r="AU1111" t="s">
        <v>63</v>
      </c>
      <c r="AV1111" t="s">
        <v>63</v>
      </c>
      <c r="AW1111" t="s">
        <v>63</v>
      </c>
      <c r="AX1111" t="s">
        <v>63</v>
      </c>
      <c r="AY1111" t="s">
        <v>63</v>
      </c>
      <c r="AZ1111" t="s">
        <v>63</v>
      </c>
      <c r="BA1111" t="s">
        <v>63</v>
      </c>
      <c r="BB1111" t="s">
        <v>63</v>
      </c>
      <c r="BC1111" t="s">
        <v>63</v>
      </c>
      <c r="BD1111" t="s">
        <v>63</v>
      </c>
      <c r="BE1111" t="s">
        <v>63</v>
      </c>
      <c r="BF1111" t="s">
        <v>63</v>
      </c>
    </row>
    <row r="1112" spans="1:58">
      <c r="A1112" t="s">
        <v>58</v>
      </c>
      <c r="B1112" t="s">
        <v>9882</v>
      </c>
      <c r="C1112" t="s">
        <v>9883</v>
      </c>
      <c r="D1112" t="s">
        <v>9884</v>
      </c>
      <c r="E1112" t="s">
        <v>63</v>
      </c>
      <c r="F1112">
        <v>2017</v>
      </c>
      <c r="G1112" t="s">
        <v>157</v>
      </c>
      <c r="H1112">
        <v>9</v>
      </c>
      <c r="I1112" t="s">
        <v>63</v>
      </c>
      <c r="J1112">
        <v>99</v>
      </c>
      <c r="K1112">
        <v>103</v>
      </c>
      <c r="L1112" t="s">
        <v>63</v>
      </c>
      <c r="M1112" t="s">
        <v>9885</v>
      </c>
      <c r="N1112" t="s">
        <v>9886</v>
      </c>
      <c r="O1112" t="s">
        <v>63</v>
      </c>
      <c r="Q1112" t="s">
        <v>63</v>
      </c>
      <c r="R1112" t="s">
        <v>63</v>
      </c>
      <c r="S1112" t="s">
        <v>63</v>
      </c>
      <c r="T1112" t="s">
        <v>63</v>
      </c>
      <c r="X1112" t="s">
        <v>63</v>
      </c>
      <c r="Y1112" t="s">
        <v>9887</v>
      </c>
      <c r="Z1112" t="s">
        <v>63</v>
      </c>
      <c r="AA1112" t="s">
        <v>9888</v>
      </c>
      <c r="AB1112">
        <v>29359199</v>
      </c>
      <c r="AC1112" t="s">
        <v>67</v>
      </c>
      <c r="AD1112" t="s">
        <v>63</v>
      </c>
      <c r="AE1112" t="s">
        <v>63</v>
      </c>
      <c r="AF1112" t="s">
        <v>63</v>
      </c>
      <c r="AG1112" t="s">
        <v>9889</v>
      </c>
      <c r="AH1112" t="s">
        <v>63</v>
      </c>
      <c r="AI1112" t="s">
        <v>9890</v>
      </c>
      <c r="AJ1112" t="s">
        <v>63</v>
      </c>
      <c r="AK1112" t="s">
        <v>63</v>
      </c>
      <c r="AL1112" t="s">
        <v>63</v>
      </c>
      <c r="AM1112" t="s">
        <v>9891</v>
      </c>
      <c r="AN1112" t="s">
        <v>63</v>
      </c>
      <c r="AO1112" t="s">
        <v>63</v>
      </c>
      <c r="AP1112" t="s">
        <v>63</v>
      </c>
      <c r="AQ1112" t="s">
        <v>63</v>
      </c>
      <c r="AR1112" t="s">
        <v>63</v>
      </c>
      <c r="AS1112" t="s">
        <v>63</v>
      </c>
      <c r="AT1112" t="s">
        <v>63</v>
      </c>
      <c r="AU1112" t="s">
        <v>63</v>
      </c>
      <c r="AV1112" t="s">
        <v>63</v>
      </c>
      <c r="AW1112" t="s">
        <v>63</v>
      </c>
      <c r="AX1112" t="s">
        <v>63</v>
      </c>
      <c r="AY1112" t="s">
        <v>63</v>
      </c>
      <c r="AZ1112" t="s">
        <v>63</v>
      </c>
      <c r="BA1112" t="s">
        <v>63</v>
      </c>
      <c r="BB1112" t="s">
        <v>63</v>
      </c>
      <c r="BC1112" t="s">
        <v>63</v>
      </c>
      <c r="BD1112" t="s">
        <v>63</v>
      </c>
      <c r="BE1112" t="s">
        <v>63</v>
      </c>
      <c r="BF1112" t="s">
        <v>63</v>
      </c>
    </row>
    <row r="1113" spans="1:58">
      <c r="A1113" t="s">
        <v>58</v>
      </c>
      <c r="B1113" t="s">
        <v>9892</v>
      </c>
      <c r="C1113" t="s">
        <v>9893</v>
      </c>
      <c r="D1113" t="s">
        <v>9894</v>
      </c>
      <c r="E1113" t="s">
        <v>63</v>
      </c>
      <c r="F1113">
        <v>2016</v>
      </c>
      <c r="G1113" t="s">
        <v>908</v>
      </c>
      <c r="H1113">
        <v>38</v>
      </c>
      <c r="I1113">
        <v>4</v>
      </c>
      <c r="J1113">
        <v>315</v>
      </c>
      <c r="K1113">
        <v>319</v>
      </c>
      <c r="L1113" t="s">
        <v>63</v>
      </c>
      <c r="M1113" t="s">
        <v>9895</v>
      </c>
      <c r="N1113" t="s">
        <v>9896</v>
      </c>
      <c r="O1113" t="s">
        <v>63</v>
      </c>
      <c r="Q1113" t="s">
        <v>63</v>
      </c>
      <c r="R1113" t="s">
        <v>63</v>
      </c>
      <c r="S1113" t="s">
        <v>63</v>
      </c>
      <c r="T1113" t="s">
        <v>63</v>
      </c>
      <c r="X1113" t="s">
        <v>63</v>
      </c>
      <c r="Y1113" t="s">
        <v>9897</v>
      </c>
      <c r="Z1113" t="s">
        <v>63</v>
      </c>
      <c r="AA1113" t="s">
        <v>9898</v>
      </c>
      <c r="AB1113">
        <v>27570342</v>
      </c>
      <c r="AC1113" t="s">
        <v>67</v>
      </c>
      <c r="AD1113" t="s">
        <v>63</v>
      </c>
      <c r="AE1113" t="s">
        <v>63</v>
      </c>
      <c r="AF1113" t="s">
        <v>63</v>
      </c>
      <c r="AG1113" t="s">
        <v>9899</v>
      </c>
      <c r="AH1113" t="s">
        <v>63</v>
      </c>
      <c r="AI1113" t="s">
        <v>9900</v>
      </c>
      <c r="AJ1113" t="s">
        <v>63</v>
      </c>
      <c r="AK1113" t="s">
        <v>63</v>
      </c>
      <c r="AL1113" t="s">
        <v>63</v>
      </c>
      <c r="AM1113" t="s">
        <v>9901</v>
      </c>
      <c r="AN1113" t="s">
        <v>63</v>
      </c>
      <c r="AO1113" t="s">
        <v>63</v>
      </c>
      <c r="AP1113" t="s">
        <v>63</v>
      </c>
      <c r="AQ1113" t="s">
        <v>63</v>
      </c>
      <c r="AR1113" t="s">
        <v>63</v>
      </c>
      <c r="AS1113" t="s">
        <v>63</v>
      </c>
      <c r="AT1113" t="s">
        <v>63</v>
      </c>
      <c r="AU1113" t="s">
        <v>63</v>
      </c>
      <c r="AV1113" t="s">
        <v>63</v>
      </c>
      <c r="AW1113" t="s">
        <v>63</v>
      </c>
      <c r="AX1113" t="s">
        <v>63</v>
      </c>
      <c r="AY1113" t="s">
        <v>63</v>
      </c>
      <c r="AZ1113" t="s">
        <v>63</v>
      </c>
      <c r="BA1113" t="s">
        <v>63</v>
      </c>
      <c r="BB1113" t="s">
        <v>63</v>
      </c>
      <c r="BC1113" t="s">
        <v>63</v>
      </c>
      <c r="BD1113" t="s">
        <v>63</v>
      </c>
      <c r="BE1113" t="s">
        <v>63</v>
      </c>
      <c r="BF1113" t="s">
        <v>63</v>
      </c>
    </row>
    <row r="1114" spans="1:58">
      <c r="A1114" t="s">
        <v>58</v>
      </c>
      <c r="B1114" t="s">
        <v>9902</v>
      </c>
      <c r="C1114" t="s">
        <v>9903</v>
      </c>
      <c r="D1114" t="s">
        <v>8791</v>
      </c>
      <c r="E1114" t="s">
        <v>63</v>
      </c>
      <c r="F1114">
        <v>2015</v>
      </c>
      <c r="G1114" t="s">
        <v>63</v>
      </c>
      <c r="H1114">
        <v>4</v>
      </c>
      <c r="I1114" t="s">
        <v>63</v>
      </c>
      <c r="J1114">
        <v>60</v>
      </c>
      <c r="K1114" t="s">
        <v>63</v>
      </c>
      <c r="L1114" t="s">
        <v>63</v>
      </c>
      <c r="M1114" t="s">
        <v>9904</v>
      </c>
      <c r="N1114" t="s">
        <v>9905</v>
      </c>
      <c r="O1114" t="s">
        <v>63</v>
      </c>
      <c r="Q1114" t="s">
        <v>63</v>
      </c>
      <c r="R1114" t="s">
        <v>63</v>
      </c>
      <c r="S1114" t="s">
        <v>63</v>
      </c>
      <c r="T1114" t="s">
        <v>63</v>
      </c>
      <c r="X1114" t="s">
        <v>63</v>
      </c>
      <c r="Y1114" t="s">
        <v>8794</v>
      </c>
      <c r="Z1114" t="s">
        <v>63</v>
      </c>
      <c r="AA1114" t="s">
        <v>9906</v>
      </c>
      <c r="AB1114">
        <v>26430687</v>
      </c>
      <c r="AC1114" t="s">
        <v>67</v>
      </c>
      <c r="AD1114" t="s">
        <v>63</v>
      </c>
      <c r="AE1114" t="s">
        <v>63</v>
      </c>
      <c r="AF1114" t="s">
        <v>63</v>
      </c>
      <c r="AG1114" t="s">
        <v>9907</v>
      </c>
      <c r="AH1114" t="s">
        <v>63</v>
      </c>
      <c r="AI1114" t="s">
        <v>9908</v>
      </c>
      <c r="AJ1114" t="s">
        <v>63</v>
      </c>
      <c r="AK1114" t="s">
        <v>63</v>
      </c>
      <c r="AL1114" t="s">
        <v>63</v>
      </c>
      <c r="AM1114" t="s">
        <v>9909</v>
      </c>
      <c r="AN1114" t="s">
        <v>63</v>
      </c>
      <c r="AO1114" t="s">
        <v>63</v>
      </c>
      <c r="AP1114" t="s">
        <v>63</v>
      </c>
      <c r="AQ1114" t="s">
        <v>63</v>
      </c>
      <c r="AR1114" t="s">
        <v>63</v>
      </c>
      <c r="AS1114" t="s">
        <v>63</v>
      </c>
      <c r="AT1114" t="s">
        <v>63</v>
      </c>
      <c r="AU1114" t="s">
        <v>63</v>
      </c>
      <c r="AV1114" t="s">
        <v>63</v>
      </c>
      <c r="AW1114" t="s">
        <v>63</v>
      </c>
      <c r="AX1114" t="s">
        <v>63</v>
      </c>
      <c r="AY1114" t="s">
        <v>63</v>
      </c>
      <c r="AZ1114" t="s">
        <v>63</v>
      </c>
      <c r="BA1114" t="s">
        <v>63</v>
      </c>
      <c r="BB1114" t="s">
        <v>63</v>
      </c>
      <c r="BC1114" t="s">
        <v>63</v>
      </c>
      <c r="BD1114" t="s">
        <v>63</v>
      </c>
      <c r="BE1114" t="s">
        <v>63</v>
      </c>
      <c r="BF1114" t="s">
        <v>63</v>
      </c>
    </row>
    <row r="1115" spans="1:58">
      <c r="A1115" t="s">
        <v>58</v>
      </c>
      <c r="B1115" t="s">
        <v>9910</v>
      </c>
      <c r="C1115" t="s">
        <v>9911</v>
      </c>
      <c r="D1115" t="s">
        <v>2175</v>
      </c>
      <c r="E1115" t="s">
        <v>63</v>
      </c>
      <c r="F1115">
        <v>2017</v>
      </c>
      <c r="G1115" t="s">
        <v>9912</v>
      </c>
      <c r="H1115">
        <v>12</v>
      </c>
      <c r="I1115">
        <v>1</v>
      </c>
      <c r="J1115">
        <v>9</v>
      </c>
      <c r="K1115" t="s">
        <v>63</v>
      </c>
      <c r="L1115" t="s">
        <v>9913</v>
      </c>
      <c r="M1115" t="s">
        <v>9914</v>
      </c>
      <c r="N1115" t="s">
        <v>9915</v>
      </c>
      <c r="O1115" t="s">
        <v>63</v>
      </c>
      <c r="Q1115" t="s">
        <v>63</v>
      </c>
      <c r="R1115" t="s">
        <v>63</v>
      </c>
      <c r="S1115" t="s">
        <v>63</v>
      </c>
      <c r="T1115" t="s">
        <v>63</v>
      </c>
      <c r="X1115" t="s">
        <v>63</v>
      </c>
      <c r="Y1115" t="s">
        <v>2179</v>
      </c>
      <c r="Z1115" t="s">
        <v>63</v>
      </c>
      <c r="AA1115" t="s">
        <v>9916</v>
      </c>
      <c r="AB1115">
        <v>28347350</v>
      </c>
      <c r="AC1115" t="s">
        <v>67</v>
      </c>
      <c r="AD1115" t="s">
        <v>63</v>
      </c>
      <c r="AE1115" t="s">
        <v>63</v>
      </c>
      <c r="AF1115" t="s">
        <v>63</v>
      </c>
      <c r="AG1115" t="s">
        <v>9917</v>
      </c>
      <c r="AH1115" t="s">
        <v>63</v>
      </c>
      <c r="AI1115" t="s">
        <v>9918</v>
      </c>
      <c r="AJ1115" t="s">
        <v>63</v>
      </c>
      <c r="AK1115" t="s">
        <v>63</v>
      </c>
      <c r="AL1115" t="s">
        <v>63</v>
      </c>
      <c r="AM1115" t="s">
        <v>9919</v>
      </c>
      <c r="AN1115" t="s">
        <v>63</v>
      </c>
      <c r="AO1115" t="s">
        <v>63</v>
      </c>
      <c r="AP1115" t="s">
        <v>63</v>
      </c>
      <c r="AQ1115" t="s">
        <v>63</v>
      </c>
      <c r="AR1115" t="s">
        <v>63</v>
      </c>
      <c r="AS1115" t="s">
        <v>63</v>
      </c>
      <c r="AT1115" t="s">
        <v>63</v>
      </c>
      <c r="AU1115" t="s">
        <v>63</v>
      </c>
      <c r="AV1115" t="s">
        <v>63</v>
      </c>
      <c r="AW1115" t="s">
        <v>63</v>
      </c>
      <c r="AX1115" t="s">
        <v>63</v>
      </c>
      <c r="AY1115" t="s">
        <v>63</v>
      </c>
      <c r="AZ1115" t="s">
        <v>63</v>
      </c>
      <c r="BA1115" t="s">
        <v>63</v>
      </c>
      <c r="BB1115" t="s">
        <v>63</v>
      </c>
      <c r="BC1115" t="s">
        <v>63</v>
      </c>
      <c r="BD1115" t="s">
        <v>63</v>
      </c>
      <c r="BE1115" t="s">
        <v>63</v>
      </c>
      <c r="BF1115" t="s">
        <v>63</v>
      </c>
    </row>
    <row r="1116" spans="1:58">
      <c r="A1116" t="s">
        <v>58</v>
      </c>
      <c r="B1116" t="s">
        <v>9920</v>
      </c>
      <c r="C1116" t="s">
        <v>9921</v>
      </c>
      <c r="D1116" t="s">
        <v>9922</v>
      </c>
      <c r="E1116" t="s">
        <v>63</v>
      </c>
      <c r="F1116">
        <v>2017</v>
      </c>
      <c r="G1116" t="s">
        <v>1670</v>
      </c>
      <c r="H1116">
        <v>71</v>
      </c>
      <c r="I1116">
        <v>7</v>
      </c>
      <c r="J1116">
        <v>492</v>
      </c>
      <c r="K1116">
        <v>505</v>
      </c>
      <c r="L1116" t="s">
        <v>9923</v>
      </c>
      <c r="M1116" t="s">
        <v>9924</v>
      </c>
      <c r="N1116" t="s">
        <v>9925</v>
      </c>
      <c r="O1116" t="s">
        <v>63</v>
      </c>
      <c r="Q1116" t="s">
        <v>63</v>
      </c>
      <c r="R1116" t="s">
        <v>63</v>
      </c>
      <c r="S1116" t="s">
        <v>63</v>
      </c>
      <c r="T1116" t="s">
        <v>63</v>
      </c>
      <c r="X1116" t="s">
        <v>63</v>
      </c>
      <c r="Y1116" t="s">
        <v>9926</v>
      </c>
      <c r="Z1116" t="s">
        <v>63</v>
      </c>
      <c r="AA1116" t="s">
        <v>9927</v>
      </c>
      <c r="AB1116">
        <v>27987253</v>
      </c>
      <c r="AC1116" t="s">
        <v>67</v>
      </c>
      <c r="AD1116" t="s">
        <v>63</v>
      </c>
      <c r="AE1116" t="s">
        <v>63</v>
      </c>
      <c r="AF1116" t="s">
        <v>63</v>
      </c>
      <c r="AG1116" t="s">
        <v>9928</v>
      </c>
      <c r="AH1116" t="s">
        <v>63</v>
      </c>
      <c r="AI1116" t="s">
        <v>9929</v>
      </c>
      <c r="AJ1116" t="s">
        <v>63</v>
      </c>
      <c r="AK1116" t="s">
        <v>63</v>
      </c>
      <c r="AL1116" t="s">
        <v>63</v>
      </c>
      <c r="AM1116" t="s">
        <v>9930</v>
      </c>
      <c r="AN1116" t="s">
        <v>63</v>
      </c>
      <c r="AO1116" t="s">
        <v>63</v>
      </c>
      <c r="AP1116" t="s">
        <v>63</v>
      </c>
      <c r="AQ1116" t="s">
        <v>63</v>
      </c>
      <c r="AR1116" t="s">
        <v>63</v>
      </c>
      <c r="AS1116" t="s">
        <v>63</v>
      </c>
      <c r="AT1116" t="s">
        <v>63</v>
      </c>
      <c r="AU1116" t="s">
        <v>63</v>
      </c>
      <c r="AV1116" t="s">
        <v>63</v>
      </c>
      <c r="AW1116" t="s">
        <v>63</v>
      </c>
      <c r="AX1116" t="s">
        <v>63</v>
      </c>
      <c r="AY1116" t="s">
        <v>63</v>
      </c>
      <c r="AZ1116" t="s">
        <v>63</v>
      </c>
      <c r="BA1116" t="s">
        <v>63</v>
      </c>
      <c r="BB1116" t="s">
        <v>63</v>
      </c>
      <c r="BC1116" t="s">
        <v>63</v>
      </c>
      <c r="BD1116" t="s">
        <v>63</v>
      </c>
      <c r="BE1116" t="s">
        <v>63</v>
      </c>
      <c r="BF1116" t="s">
        <v>63</v>
      </c>
    </row>
    <row r="1117" spans="1:58">
      <c r="A1117" t="s">
        <v>58</v>
      </c>
      <c r="B1117" t="s">
        <v>9931</v>
      </c>
      <c r="C1117" t="s">
        <v>9932</v>
      </c>
      <c r="D1117" t="s">
        <v>8390</v>
      </c>
      <c r="E1117" t="s">
        <v>63</v>
      </c>
      <c r="F1117">
        <v>2015</v>
      </c>
      <c r="G1117" t="s">
        <v>138</v>
      </c>
      <c r="H1117">
        <v>98</v>
      </c>
      <c r="I1117">
        <v>10</v>
      </c>
      <c r="J1117">
        <v>1028</v>
      </c>
      <c r="K1117">
        <v>1034</v>
      </c>
      <c r="L1117" t="s">
        <v>9933</v>
      </c>
      <c r="M1117" t="s">
        <v>9934</v>
      </c>
      <c r="N1117" t="s">
        <v>9935</v>
      </c>
      <c r="O1117" t="s">
        <v>63</v>
      </c>
      <c r="Q1117" t="s">
        <v>63</v>
      </c>
      <c r="R1117" t="s">
        <v>63</v>
      </c>
      <c r="S1117" t="s">
        <v>63</v>
      </c>
      <c r="T1117" t="s">
        <v>63</v>
      </c>
      <c r="X1117" t="s">
        <v>63</v>
      </c>
      <c r="Y1117" t="s">
        <v>8395</v>
      </c>
      <c r="Z1117" t="s">
        <v>63</v>
      </c>
      <c r="AA1117" t="s">
        <v>63</v>
      </c>
      <c r="AB1117">
        <v>26638595</v>
      </c>
      <c r="AC1117" t="s">
        <v>67</v>
      </c>
      <c r="AD1117" t="s">
        <v>63</v>
      </c>
      <c r="AE1117" t="s">
        <v>63</v>
      </c>
      <c r="AF1117" t="s">
        <v>63</v>
      </c>
      <c r="AG1117" t="s">
        <v>9936</v>
      </c>
      <c r="AH1117" t="s">
        <v>63</v>
      </c>
      <c r="AI1117" t="s">
        <v>63</v>
      </c>
      <c r="AJ1117" t="s">
        <v>63</v>
      </c>
      <c r="AK1117" t="s">
        <v>63</v>
      </c>
      <c r="AL1117" t="s">
        <v>63</v>
      </c>
      <c r="AM1117" t="s">
        <v>9937</v>
      </c>
      <c r="AN1117" t="s">
        <v>63</v>
      </c>
      <c r="AO1117" t="s">
        <v>63</v>
      </c>
      <c r="AP1117" t="s">
        <v>63</v>
      </c>
      <c r="AQ1117" t="s">
        <v>63</v>
      </c>
      <c r="AR1117" t="s">
        <v>63</v>
      </c>
      <c r="AS1117" t="s">
        <v>63</v>
      </c>
      <c r="AT1117" t="s">
        <v>63</v>
      </c>
      <c r="AU1117" t="s">
        <v>63</v>
      </c>
      <c r="AV1117" t="s">
        <v>63</v>
      </c>
      <c r="AW1117" t="s">
        <v>63</v>
      </c>
      <c r="AX1117" t="s">
        <v>63</v>
      </c>
      <c r="AY1117" t="s">
        <v>63</v>
      </c>
      <c r="AZ1117" t="s">
        <v>63</v>
      </c>
      <c r="BA1117" t="s">
        <v>63</v>
      </c>
      <c r="BB1117" t="s">
        <v>63</v>
      </c>
      <c r="BC1117" t="s">
        <v>63</v>
      </c>
      <c r="BD1117" t="s">
        <v>63</v>
      </c>
      <c r="BE1117" t="s">
        <v>63</v>
      </c>
      <c r="BF1117" t="s">
        <v>63</v>
      </c>
    </row>
    <row r="1118" spans="1:58">
      <c r="A1118" t="s">
        <v>58</v>
      </c>
      <c r="B1118" t="s">
        <v>9938</v>
      </c>
      <c r="C1118" t="s">
        <v>9939</v>
      </c>
      <c r="D1118" t="s">
        <v>205</v>
      </c>
      <c r="E1118" t="s">
        <v>205</v>
      </c>
      <c r="F1118">
        <v>2011</v>
      </c>
      <c r="G1118" s="1">
        <v>41888</v>
      </c>
      <c r="H1118">
        <v>306</v>
      </c>
      <c r="I1118">
        <v>9</v>
      </c>
      <c r="J1118">
        <v>931</v>
      </c>
      <c r="K1118">
        <v>933</v>
      </c>
      <c r="L1118" t="s">
        <v>9940</v>
      </c>
      <c r="M1118" t="s">
        <v>63</v>
      </c>
      <c r="N1118" t="s">
        <v>9941</v>
      </c>
      <c r="O1118" t="s">
        <v>63</v>
      </c>
      <c r="Q1118" t="s">
        <v>63</v>
      </c>
      <c r="R1118" t="s">
        <v>63</v>
      </c>
      <c r="S1118" t="s">
        <v>63</v>
      </c>
      <c r="T1118" t="s">
        <v>63</v>
      </c>
      <c r="X1118" t="s">
        <v>63</v>
      </c>
      <c r="Y1118" t="s">
        <v>2744</v>
      </c>
      <c r="Z1118" t="s">
        <v>63</v>
      </c>
      <c r="AA1118" t="s">
        <v>9942</v>
      </c>
      <c r="AB1118">
        <v>21900132</v>
      </c>
      <c r="AC1118" t="s">
        <v>67</v>
      </c>
      <c r="AD1118" t="s">
        <v>63</v>
      </c>
      <c r="AE1118" t="s">
        <v>63</v>
      </c>
      <c r="AF1118" t="s">
        <v>63</v>
      </c>
      <c r="AG1118" t="s">
        <v>9943</v>
      </c>
      <c r="AH1118" t="s">
        <v>63</v>
      </c>
      <c r="AI1118" t="s">
        <v>9944</v>
      </c>
      <c r="AJ1118" t="s">
        <v>63</v>
      </c>
      <c r="AK1118" t="s">
        <v>63</v>
      </c>
      <c r="AL1118" t="s">
        <v>63</v>
      </c>
      <c r="AM1118" t="s">
        <v>9945</v>
      </c>
      <c r="AN1118" t="s">
        <v>63</v>
      </c>
      <c r="AO1118" t="s">
        <v>63</v>
      </c>
      <c r="AP1118" t="s">
        <v>63</v>
      </c>
      <c r="AQ1118" t="s">
        <v>63</v>
      </c>
      <c r="AR1118" t="s">
        <v>63</v>
      </c>
      <c r="AS1118" t="s">
        <v>63</v>
      </c>
      <c r="AT1118" t="s">
        <v>63</v>
      </c>
      <c r="AU1118" t="s">
        <v>63</v>
      </c>
      <c r="AV1118" t="s">
        <v>63</v>
      </c>
      <c r="AW1118" t="s">
        <v>63</v>
      </c>
      <c r="AX1118" t="s">
        <v>63</v>
      </c>
      <c r="AY1118" t="s">
        <v>63</v>
      </c>
      <c r="AZ1118" t="s">
        <v>63</v>
      </c>
      <c r="BA1118" t="s">
        <v>63</v>
      </c>
      <c r="BB1118" t="s">
        <v>63</v>
      </c>
      <c r="BC1118" t="s">
        <v>63</v>
      </c>
      <c r="BD1118" t="s">
        <v>63</v>
      </c>
      <c r="BE1118" t="s">
        <v>63</v>
      </c>
      <c r="BF1118" t="s">
        <v>63</v>
      </c>
    </row>
    <row r="1119" spans="1:58">
      <c r="A1119" t="s">
        <v>58</v>
      </c>
      <c r="B1119" t="s">
        <v>9946</v>
      </c>
      <c r="C1119" t="s">
        <v>9947</v>
      </c>
      <c r="D1119" t="s">
        <v>9948</v>
      </c>
      <c r="E1119" t="s">
        <v>9949</v>
      </c>
      <c r="F1119">
        <v>1999</v>
      </c>
      <c r="G1119" t="s">
        <v>198</v>
      </c>
      <c r="H1119">
        <v>97</v>
      </c>
      <c r="I1119">
        <v>1</v>
      </c>
      <c r="J1119">
        <v>20</v>
      </c>
      <c r="K1119">
        <v>21</v>
      </c>
      <c r="L1119" t="s">
        <v>9950</v>
      </c>
      <c r="M1119" t="s">
        <v>9951</v>
      </c>
      <c r="N1119" t="s">
        <v>9952</v>
      </c>
      <c r="O1119" t="s">
        <v>63</v>
      </c>
      <c r="Q1119" t="s">
        <v>63</v>
      </c>
      <c r="R1119" t="s">
        <v>63</v>
      </c>
      <c r="S1119" t="s">
        <v>63</v>
      </c>
      <c r="T1119" t="s">
        <v>63</v>
      </c>
      <c r="X1119" t="s">
        <v>63</v>
      </c>
      <c r="Y1119" t="s">
        <v>9953</v>
      </c>
      <c r="Z1119" t="s">
        <v>63</v>
      </c>
      <c r="AA1119" t="s">
        <v>9954</v>
      </c>
      <c r="AB1119">
        <v>10549182</v>
      </c>
      <c r="AC1119" t="s">
        <v>67</v>
      </c>
      <c r="AD1119" t="s">
        <v>63</v>
      </c>
      <c r="AE1119" t="s">
        <v>63</v>
      </c>
      <c r="AF1119" t="s">
        <v>63</v>
      </c>
      <c r="AG1119" t="s">
        <v>9955</v>
      </c>
      <c r="AH1119" t="s">
        <v>63</v>
      </c>
      <c r="AI1119" t="s">
        <v>63</v>
      </c>
      <c r="AJ1119" t="s">
        <v>63</v>
      </c>
      <c r="AK1119" t="s">
        <v>63</v>
      </c>
      <c r="AL1119" t="s">
        <v>63</v>
      </c>
      <c r="AM1119" t="s">
        <v>9956</v>
      </c>
      <c r="AN1119" t="s">
        <v>63</v>
      </c>
      <c r="AO1119" t="s">
        <v>63</v>
      </c>
      <c r="AP1119" t="s">
        <v>63</v>
      </c>
      <c r="AQ1119" t="s">
        <v>63</v>
      </c>
      <c r="AR1119" t="s">
        <v>63</v>
      </c>
      <c r="AS1119" t="s">
        <v>63</v>
      </c>
      <c r="AT1119" t="s">
        <v>63</v>
      </c>
      <c r="AU1119" t="s">
        <v>63</v>
      </c>
      <c r="AV1119" t="s">
        <v>63</v>
      </c>
      <c r="AW1119" t="s">
        <v>63</v>
      </c>
      <c r="AX1119" t="s">
        <v>63</v>
      </c>
      <c r="AY1119" t="s">
        <v>63</v>
      </c>
      <c r="AZ1119" t="s">
        <v>63</v>
      </c>
      <c r="BA1119" t="s">
        <v>63</v>
      </c>
      <c r="BB1119" t="s">
        <v>63</v>
      </c>
      <c r="BC1119" t="s">
        <v>63</v>
      </c>
      <c r="BD1119" t="s">
        <v>63</v>
      </c>
      <c r="BE1119" t="s">
        <v>63</v>
      </c>
      <c r="BF1119" t="s">
        <v>63</v>
      </c>
    </row>
    <row r="1120" spans="1:58">
      <c r="A1120" t="s">
        <v>58</v>
      </c>
      <c r="B1120" t="s">
        <v>9957</v>
      </c>
      <c r="C1120" t="s">
        <v>9958</v>
      </c>
      <c r="D1120" t="s">
        <v>9959</v>
      </c>
      <c r="E1120" t="s">
        <v>63</v>
      </c>
      <c r="F1120">
        <v>2016</v>
      </c>
      <c r="G1120" t="s">
        <v>63</v>
      </c>
      <c r="H1120">
        <v>18</v>
      </c>
      <c r="I1120">
        <v>2</v>
      </c>
      <c r="J1120" t="s">
        <v>63</v>
      </c>
      <c r="K1120" t="s">
        <v>63</v>
      </c>
      <c r="L1120" t="s">
        <v>9960</v>
      </c>
      <c r="M1120" t="s">
        <v>9961</v>
      </c>
      <c r="N1120" t="s">
        <v>9962</v>
      </c>
      <c r="O1120" t="s">
        <v>63</v>
      </c>
      <c r="Q1120" t="s">
        <v>63</v>
      </c>
      <c r="R1120" t="s">
        <v>63</v>
      </c>
      <c r="S1120" t="s">
        <v>63</v>
      </c>
      <c r="T1120" t="s">
        <v>63</v>
      </c>
      <c r="X1120" t="s">
        <v>63</v>
      </c>
      <c r="Y1120" t="s">
        <v>9963</v>
      </c>
      <c r="Z1120" t="s">
        <v>63</v>
      </c>
      <c r="AA1120" t="s">
        <v>9964</v>
      </c>
      <c r="AB1120">
        <v>27486546</v>
      </c>
      <c r="AC1120" t="s">
        <v>67</v>
      </c>
      <c r="AD1120" t="s">
        <v>63</v>
      </c>
      <c r="AE1120" t="s">
        <v>63</v>
      </c>
      <c r="AF1120" t="s">
        <v>63</v>
      </c>
      <c r="AG1120" t="s">
        <v>9965</v>
      </c>
      <c r="AH1120" t="s">
        <v>63</v>
      </c>
      <c r="AI1120" t="s">
        <v>9966</v>
      </c>
      <c r="AJ1120" t="s">
        <v>63</v>
      </c>
      <c r="AK1120" t="s">
        <v>63</v>
      </c>
      <c r="AL1120" t="s">
        <v>63</v>
      </c>
      <c r="AM1120" t="s">
        <v>9967</v>
      </c>
      <c r="AN1120" t="s">
        <v>63</v>
      </c>
      <c r="AO1120" t="s">
        <v>63</v>
      </c>
      <c r="AP1120" t="s">
        <v>63</v>
      </c>
      <c r="AQ1120" t="s">
        <v>63</v>
      </c>
      <c r="AR1120" t="s">
        <v>63</v>
      </c>
      <c r="AS1120" t="s">
        <v>63</v>
      </c>
      <c r="AT1120" t="s">
        <v>63</v>
      </c>
      <c r="AU1120" t="s">
        <v>63</v>
      </c>
      <c r="AV1120" t="s">
        <v>63</v>
      </c>
      <c r="AW1120" t="s">
        <v>63</v>
      </c>
      <c r="AX1120" t="s">
        <v>63</v>
      </c>
      <c r="AY1120" t="s">
        <v>63</v>
      </c>
      <c r="AZ1120" t="s">
        <v>63</v>
      </c>
      <c r="BA1120" t="s">
        <v>63</v>
      </c>
      <c r="BB1120" t="s">
        <v>63</v>
      </c>
      <c r="BC1120" t="s">
        <v>63</v>
      </c>
      <c r="BD1120" t="s">
        <v>63</v>
      </c>
      <c r="BE1120" t="s">
        <v>63</v>
      </c>
      <c r="BF1120" t="s">
        <v>63</v>
      </c>
    </row>
    <row r="1121" spans="1:58">
      <c r="A1121" t="s">
        <v>58</v>
      </c>
      <c r="B1121" t="s">
        <v>9968</v>
      </c>
      <c r="C1121" t="s">
        <v>9969</v>
      </c>
      <c r="D1121" t="s">
        <v>9970</v>
      </c>
      <c r="E1121" t="s">
        <v>9970</v>
      </c>
      <c r="F1121">
        <v>2011</v>
      </c>
      <c r="G1121" t="s">
        <v>274</v>
      </c>
      <c r="H1121">
        <v>67</v>
      </c>
      <c r="I1121">
        <v>1</v>
      </c>
      <c r="J1121">
        <v>280</v>
      </c>
      <c r="K1121">
        <v>289</v>
      </c>
      <c r="L1121" t="s">
        <v>9971</v>
      </c>
      <c r="M1121" t="s">
        <v>9972</v>
      </c>
      <c r="N1121" t="s">
        <v>9973</v>
      </c>
      <c r="O1121" t="s">
        <v>63</v>
      </c>
      <c r="Q1121" t="s">
        <v>63</v>
      </c>
      <c r="R1121" t="s">
        <v>63</v>
      </c>
      <c r="S1121" t="s">
        <v>63</v>
      </c>
      <c r="T1121" t="s">
        <v>63</v>
      </c>
      <c r="X1121" t="s">
        <v>63</v>
      </c>
      <c r="Y1121" t="s">
        <v>9974</v>
      </c>
      <c r="Z1121" t="s">
        <v>63</v>
      </c>
      <c r="AA1121" t="s">
        <v>9975</v>
      </c>
      <c r="AB1121">
        <v>20528856</v>
      </c>
      <c r="AC1121" t="s">
        <v>67</v>
      </c>
      <c r="AD1121" t="s">
        <v>63</v>
      </c>
      <c r="AE1121" t="s">
        <v>63</v>
      </c>
      <c r="AF1121" t="s">
        <v>63</v>
      </c>
      <c r="AG1121" t="s">
        <v>9976</v>
      </c>
      <c r="AH1121" t="s">
        <v>63</v>
      </c>
      <c r="AI1121" t="s">
        <v>9977</v>
      </c>
      <c r="AJ1121" t="s">
        <v>63</v>
      </c>
      <c r="AK1121" t="s">
        <v>63</v>
      </c>
      <c r="AL1121" t="s">
        <v>63</v>
      </c>
      <c r="AM1121" t="s">
        <v>9978</v>
      </c>
      <c r="AN1121" t="s">
        <v>63</v>
      </c>
      <c r="AO1121" t="s">
        <v>63</v>
      </c>
      <c r="AP1121" t="s">
        <v>63</v>
      </c>
      <c r="AQ1121" t="s">
        <v>63</v>
      </c>
      <c r="AR1121" t="s">
        <v>63</v>
      </c>
      <c r="AS1121" t="s">
        <v>63</v>
      </c>
      <c r="AT1121" t="s">
        <v>63</v>
      </c>
      <c r="AU1121" t="s">
        <v>63</v>
      </c>
      <c r="AV1121" t="s">
        <v>63</v>
      </c>
      <c r="AW1121" t="s">
        <v>63</v>
      </c>
      <c r="AX1121" t="s">
        <v>63</v>
      </c>
      <c r="AY1121" t="s">
        <v>63</v>
      </c>
      <c r="AZ1121" t="s">
        <v>63</v>
      </c>
      <c r="BA1121" t="s">
        <v>63</v>
      </c>
      <c r="BB1121" t="s">
        <v>63</v>
      </c>
      <c r="BC1121" t="s">
        <v>63</v>
      </c>
      <c r="BD1121" t="s">
        <v>63</v>
      </c>
      <c r="BE1121" t="s">
        <v>63</v>
      </c>
      <c r="BF1121" t="s">
        <v>63</v>
      </c>
    </row>
    <row r="1122" spans="1:58">
      <c r="A1122" t="s">
        <v>58</v>
      </c>
      <c r="B1122" t="s">
        <v>9979</v>
      </c>
      <c r="C1122" t="s">
        <v>9980</v>
      </c>
      <c r="D1122" t="s">
        <v>1481</v>
      </c>
      <c r="E1122" t="s">
        <v>1481</v>
      </c>
      <c r="F1122">
        <v>2013</v>
      </c>
      <c r="G1122" t="s">
        <v>614</v>
      </c>
      <c r="H1122">
        <v>108</v>
      </c>
      <c r="I1122">
        <v>8</v>
      </c>
      <c r="J1122">
        <v>1367</v>
      </c>
      <c r="K1122">
        <v>1375</v>
      </c>
      <c r="L1122" t="s">
        <v>9981</v>
      </c>
      <c r="M1122" t="s">
        <v>9982</v>
      </c>
      <c r="N1122" t="s">
        <v>9983</v>
      </c>
      <c r="O1122" t="s">
        <v>63</v>
      </c>
      <c r="Q1122" t="s">
        <v>63</v>
      </c>
      <c r="R1122" t="s">
        <v>63</v>
      </c>
      <c r="S1122" t="s">
        <v>63</v>
      </c>
      <c r="T1122" t="s">
        <v>63</v>
      </c>
      <c r="X1122" t="s">
        <v>63</v>
      </c>
      <c r="Y1122" t="s">
        <v>1484</v>
      </c>
      <c r="Z1122" t="s">
        <v>63</v>
      </c>
      <c r="AA1122" t="s">
        <v>63</v>
      </c>
      <c r="AB1122">
        <v>23398302</v>
      </c>
      <c r="AC1122" t="s">
        <v>67</v>
      </c>
      <c r="AD1122" t="s">
        <v>63</v>
      </c>
      <c r="AE1122" t="s">
        <v>63</v>
      </c>
      <c r="AF1122" t="s">
        <v>63</v>
      </c>
      <c r="AG1122" t="s">
        <v>9984</v>
      </c>
      <c r="AH1122" t="s">
        <v>63</v>
      </c>
      <c r="AI1122" t="s">
        <v>9985</v>
      </c>
      <c r="AJ1122" t="s">
        <v>63</v>
      </c>
      <c r="AK1122" t="s">
        <v>63</v>
      </c>
      <c r="AL1122" t="s">
        <v>63</v>
      </c>
      <c r="AM1122" t="s">
        <v>9986</v>
      </c>
      <c r="AN1122" t="s">
        <v>63</v>
      </c>
      <c r="AO1122" t="s">
        <v>63</v>
      </c>
      <c r="AP1122" t="s">
        <v>63</v>
      </c>
      <c r="AQ1122" t="s">
        <v>63</v>
      </c>
      <c r="AR1122" t="s">
        <v>63</v>
      </c>
      <c r="AS1122" t="s">
        <v>63</v>
      </c>
      <c r="AT1122" t="s">
        <v>63</v>
      </c>
      <c r="AU1122" t="s">
        <v>63</v>
      </c>
      <c r="AV1122" t="s">
        <v>63</v>
      </c>
      <c r="AW1122" t="s">
        <v>63</v>
      </c>
      <c r="AX1122" t="s">
        <v>63</v>
      </c>
      <c r="AY1122" t="s">
        <v>63</v>
      </c>
      <c r="AZ1122" t="s">
        <v>63</v>
      </c>
      <c r="BA1122" t="s">
        <v>63</v>
      </c>
      <c r="BB1122" t="s">
        <v>63</v>
      </c>
      <c r="BC1122" t="s">
        <v>63</v>
      </c>
      <c r="BD1122" t="s">
        <v>63</v>
      </c>
      <c r="BE1122" t="s">
        <v>63</v>
      </c>
      <c r="BF1122" t="s">
        <v>63</v>
      </c>
    </row>
    <row r="1123" spans="1:58">
      <c r="A1123" t="s">
        <v>58</v>
      </c>
      <c r="B1123" t="s">
        <v>9979</v>
      </c>
      <c r="C1123" t="s">
        <v>9987</v>
      </c>
      <c r="D1123" t="s">
        <v>212</v>
      </c>
      <c r="E1123" t="s">
        <v>63</v>
      </c>
      <c r="F1123">
        <v>1990</v>
      </c>
      <c r="G1123" s="1">
        <v>41957</v>
      </c>
      <c r="H1123">
        <v>143</v>
      </c>
      <c r="I1123">
        <v>10</v>
      </c>
      <c r="J1123">
        <v>1048</v>
      </c>
      <c r="K1123">
        <v>1053</v>
      </c>
      <c r="L1123" t="s">
        <v>9988</v>
      </c>
      <c r="M1123" t="s">
        <v>9989</v>
      </c>
      <c r="N1123" t="s">
        <v>9990</v>
      </c>
      <c r="O1123" t="s">
        <v>63</v>
      </c>
      <c r="Q1123" t="s">
        <v>63</v>
      </c>
      <c r="R1123" t="s">
        <v>63</v>
      </c>
      <c r="S1123" t="s">
        <v>63</v>
      </c>
      <c r="T1123" t="s">
        <v>63</v>
      </c>
      <c r="X1123" t="s">
        <v>63</v>
      </c>
      <c r="Y1123" t="s">
        <v>215</v>
      </c>
      <c r="Z1123" t="s">
        <v>63</v>
      </c>
      <c r="AA1123" t="s">
        <v>9991</v>
      </c>
      <c r="AB1123">
        <v>2224672</v>
      </c>
      <c r="AC1123" t="s">
        <v>67</v>
      </c>
      <c r="AD1123" t="s">
        <v>63</v>
      </c>
      <c r="AE1123" t="s">
        <v>63</v>
      </c>
      <c r="AF1123" t="s">
        <v>63</v>
      </c>
      <c r="AG1123" t="s">
        <v>9992</v>
      </c>
      <c r="AH1123" t="s">
        <v>63</v>
      </c>
      <c r="AI1123" t="s">
        <v>63</v>
      </c>
      <c r="AJ1123" t="s">
        <v>63</v>
      </c>
      <c r="AK1123" t="s">
        <v>63</v>
      </c>
      <c r="AL1123" t="s">
        <v>63</v>
      </c>
      <c r="AM1123" t="s">
        <v>9993</v>
      </c>
      <c r="AN1123" t="s">
        <v>63</v>
      </c>
      <c r="AO1123" t="s">
        <v>63</v>
      </c>
      <c r="AP1123" t="s">
        <v>63</v>
      </c>
      <c r="AQ1123" t="s">
        <v>63</v>
      </c>
      <c r="AR1123" t="s">
        <v>63</v>
      </c>
      <c r="AS1123" t="s">
        <v>63</v>
      </c>
      <c r="AT1123" t="s">
        <v>63</v>
      </c>
      <c r="AU1123" t="s">
        <v>63</v>
      </c>
      <c r="AV1123" t="s">
        <v>63</v>
      </c>
      <c r="AW1123" t="s">
        <v>63</v>
      </c>
      <c r="AX1123" t="s">
        <v>63</v>
      </c>
      <c r="AY1123" t="s">
        <v>63</v>
      </c>
      <c r="AZ1123" t="s">
        <v>63</v>
      </c>
      <c r="BA1123" t="s">
        <v>63</v>
      </c>
      <c r="BB1123" t="s">
        <v>63</v>
      </c>
      <c r="BC1123" t="s">
        <v>63</v>
      </c>
      <c r="BD1123" t="s">
        <v>63</v>
      </c>
      <c r="BE1123" t="s">
        <v>63</v>
      </c>
      <c r="BF1123" t="s">
        <v>63</v>
      </c>
    </row>
    <row r="1124" spans="1:58">
      <c r="A1124" t="s">
        <v>58</v>
      </c>
      <c r="B1124" t="s">
        <v>9994</v>
      </c>
      <c r="C1124" t="s">
        <v>9995</v>
      </c>
      <c r="D1124" t="s">
        <v>2759</v>
      </c>
      <c r="E1124" t="s">
        <v>2760</v>
      </c>
      <c r="F1124">
        <v>1996</v>
      </c>
      <c r="G1124" t="s">
        <v>908</v>
      </c>
      <c r="H1124">
        <v>165</v>
      </c>
      <c r="I1124" s="1">
        <v>41640</v>
      </c>
      <c r="J1124">
        <v>31</v>
      </c>
      <c r="K1124">
        <v>36</v>
      </c>
      <c r="L1124" t="s">
        <v>9996</v>
      </c>
      <c r="M1124" t="s">
        <v>9997</v>
      </c>
      <c r="N1124" t="s">
        <v>9998</v>
      </c>
      <c r="O1124" t="s">
        <v>63</v>
      </c>
      <c r="Q1124" t="s">
        <v>63</v>
      </c>
      <c r="R1124" t="s">
        <v>63</v>
      </c>
      <c r="S1124" t="s">
        <v>63</v>
      </c>
      <c r="T1124" t="s">
        <v>63</v>
      </c>
      <c r="X1124" t="s">
        <v>63</v>
      </c>
      <c r="Y1124" t="s">
        <v>2763</v>
      </c>
      <c r="Z1124" t="s">
        <v>63</v>
      </c>
      <c r="AA1124" t="s">
        <v>9999</v>
      </c>
      <c r="AB1124">
        <v>8855682</v>
      </c>
      <c r="AC1124" t="s">
        <v>67</v>
      </c>
      <c r="AD1124" t="s">
        <v>63</v>
      </c>
      <c r="AE1124" t="s">
        <v>63</v>
      </c>
      <c r="AF1124" t="s">
        <v>63</v>
      </c>
      <c r="AG1124" t="s">
        <v>10000</v>
      </c>
      <c r="AH1124" t="s">
        <v>63</v>
      </c>
      <c r="AI1124" t="s">
        <v>63</v>
      </c>
      <c r="AJ1124" t="s">
        <v>63</v>
      </c>
      <c r="AK1124" t="s">
        <v>63</v>
      </c>
      <c r="AL1124" t="s">
        <v>63</v>
      </c>
      <c r="AM1124" t="s">
        <v>10001</v>
      </c>
      <c r="AN1124" t="s">
        <v>63</v>
      </c>
      <c r="AO1124" t="s">
        <v>63</v>
      </c>
      <c r="AP1124" t="s">
        <v>63</v>
      </c>
      <c r="AQ1124" t="s">
        <v>63</v>
      </c>
      <c r="AR1124" t="s">
        <v>63</v>
      </c>
      <c r="AS1124" t="s">
        <v>63</v>
      </c>
      <c r="AT1124" t="s">
        <v>63</v>
      </c>
      <c r="AU1124" t="s">
        <v>63</v>
      </c>
      <c r="AV1124" t="s">
        <v>63</v>
      </c>
      <c r="AW1124" t="s">
        <v>63</v>
      </c>
      <c r="AX1124" t="s">
        <v>63</v>
      </c>
      <c r="AY1124" t="s">
        <v>63</v>
      </c>
      <c r="AZ1124" t="s">
        <v>63</v>
      </c>
      <c r="BA1124" t="s">
        <v>63</v>
      </c>
      <c r="BB1124" t="s">
        <v>63</v>
      </c>
      <c r="BC1124" t="s">
        <v>63</v>
      </c>
      <c r="BD1124" t="s">
        <v>63</v>
      </c>
      <c r="BE1124" t="s">
        <v>63</v>
      </c>
      <c r="BF1124" t="s">
        <v>63</v>
      </c>
    </row>
    <row r="1125" spans="1:58">
      <c r="A1125" t="s">
        <v>58</v>
      </c>
      <c r="B1125" t="s">
        <v>10002</v>
      </c>
      <c r="C1125" t="s">
        <v>10003</v>
      </c>
      <c r="D1125" t="s">
        <v>2506</v>
      </c>
      <c r="E1125" t="s">
        <v>2507</v>
      </c>
      <c r="F1125">
        <v>2004</v>
      </c>
      <c r="G1125" t="s">
        <v>614</v>
      </c>
      <c r="H1125">
        <v>40</v>
      </c>
      <c r="I1125">
        <v>8</v>
      </c>
      <c r="J1125">
        <v>341</v>
      </c>
      <c r="K1125">
        <v>347</v>
      </c>
      <c r="L1125" t="s">
        <v>10004</v>
      </c>
      <c r="M1125" t="s">
        <v>10005</v>
      </c>
      <c r="N1125" t="s">
        <v>10006</v>
      </c>
      <c r="O1125" t="s">
        <v>63</v>
      </c>
      <c r="Q1125" t="s">
        <v>63</v>
      </c>
      <c r="R1125" t="s">
        <v>63</v>
      </c>
      <c r="S1125" t="s">
        <v>63</v>
      </c>
      <c r="T1125" t="s">
        <v>63</v>
      </c>
      <c r="X1125" t="s">
        <v>63</v>
      </c>
      <c r="Y1125" t="s">
        <v>2511</v>
      </c>
      <c r="Z1125" t="s">
        <v>63</v>
      </c>
      <c r="AA1125" t="s">
        <v>10007</v>
      </c>
      <c r="AB1125">
        <v>15274862</v>
      </c>
      <c r="AC1125" t="s">
        <v>913</v>
      </c>
      <c r="AD1125" t="s">
        <v>63</v>
      </c>
      <c r="AE1125" t="s">
        <v>63</v>
      </c>
      <c r="AF1125" t="s">
        <v>63</v>
      </c>
      <c r="AG1125" t="s">
        <v>10008</v>
      </c>
      <c r="AH1125" t="s">
        <v>63</v>
      </c>
      <c r="AI1125" t="s">
        <v>63</v>
      </c>
      <c r="AJ1125" t="s">
        <v>63</v>
      </c>
      <c r="AK1125" t="s">
        <v>63</v>
      </c>
      <c r="AL1125" t="s">
        <v>63</v>
      </c>
      <c r="AM1125" t="s">
        <v>10009</v>
      </c>
      <c r="AN1125" t="s">
        <v>63</v>
      </c>
      <c r="AO1125" t="s">
        <v>63</v>
      </c>
      <c r="AP1125" t="s">
        <v>63</v>
      </c>
      <c r="AQ1125" t="s">
        <v>63</v>
      </c>
      <c r="AR1125" t="s">
        <v>63</v>
      </c>
      <c r="AS1125" t="s">
        <v>63</v>
      </c>
      <c r="AT1125" t="s">
        <v>63</v>
      </c>
      <c r="AU1125" t="s">
        <v>63</v>
      </c>
      <c r="AV1125" t="s">
        <v>63</v>
      </c>
      <c r="AW1125" t="s">
        <v>63</v>
      </c>
      <c r="AX1125" t="s">
        <v>63</v>
      </c>
      <c r="AY1125" t="s">
        <v>63</v>
      </c>
      <c r="AZ1125" t="s">
        <v>63</v>
      </c>
      <c r="BA1125" t="s">
        <v>63</v>
      </c>
      <c r="BB1125" t="s">
        <v>63</v>
      </c>
      <c r="BC1125" t="s">
        <v>63</v>
      </c>
      <c r="BD1125" t="s">
        <v>63</v>
      </c>
      <c r="BE1125" t="s">
        <v>63</v>
      </c>
      <c r="BF1125" t="s">
        <v>63</v>
      </c>
    </row>
    <row r="1126" spans="1:58">
      <c r="A1126" t="s">
        <v>58</v>
      </c>
      <c r="B1126" t="s">
        <v>10010</v>
      </c>
      <c r="C1126" t="s">
        <v>10011</v>
      </c>
      <c r="D1126" t="s">
        <v>10012</v>
      </c>
      <c r="E1126" t="s">
        <v>63</v>
      </c>
      <c r="F1126">
        <v>2009</v>
      </c>
      <c r="G1126" t="s">
        <v>157</v>
      </c>
      <c r="H1126">
        <v>23</v>
      </c>
      <c r="I1126">
        <v>12</v>
      </c>
      <c r="J1126">
        <v>1017</v>
      </c>
      <c r="K1126">
        <v>1023</v>
      </c>
      <c r="L1126" t="s">
        <v>10013</v>
      </c>
      <c r="M1126" t="s">
        <v>10014</v>
      </c>
      <c r="N1126" t="s">
        <v>10015</v>
      </c>
      <c r="O1126" t="s">
        <v>63</v>
      </c>
      <c r="Q1126" t="s">
        <v>63</v>
      </c>
      <c r="R1126" t="s">
        <v>63</v>
      </c>
      <c r="S1126" t="s">
        <v>63</v>
      </c>
      <c r="T1126" t="s">
        <v>63</v>
      </c>
      <c r="X1126" t="s">
        <v>63</v>
      </c>
      <c r="Y1126" t="s">
        <v>10016</v>
      </c>
      <c r="Z1126" t="s">
        <v>63</v>
      </c>
      <c r="AA1126" t="s">
        <v>10017</v>
      </c>
      <c r="AB1126">
        <v>19909171</v>
      </c>
      <c r="AC1126" t="s">
        <v>67</v>
      </c>
      <c r="AD1126" t="s">
        <v>63</v>
      </c>
      <c r="AE1126" t="s">
        <v>63</v>
      </c>
      <c r="AF1126" t="s">
        <v>63</v>
      </c>
      <c r="AG1126" t="s">
        <v>10018</v>
      </c>
      <c r="AH1126" t="s">
        <v>63</v>
      </c>
      <c r="AI1126" t="s">
        <v>10019</v>
      </c>
      <c r="AJ1126" t="s">
        <v>63</v>
      </c>
      <c r="AK1126" t="s">
        <v>63</v>
      </c>
      <c r="AL1126" t="s">
        <v>63</v>
      </c>
      <c r="AM1126" t="s">
        <v>10020</v>
      </c>
      <c r="AN1126" t="s">
        <v>63</v>
      </c>
      <c r="AO1126" t="s">
        <v>63</v>
      </c>
      <c r="AP1126" t="s">
        <v>63</v>
      </c>
      <c r="AQ1126" t="s">
        <v>63</v>
      </c>
      <c r="AR1126" t="s">
        <v>63</v>
      </c>
      <c r="AS1126" t="s">
        <v>63</v>
      </c>
      <c r="AT1126" t="s">
        <v>63</v>
      </c>
      <c r="AU1126" t="s">
        <v>63</v>
      </c>
      <c r="AV1126" t="s">
        <v>63</v>
      </c>
      <c r="AW1126" t="s">
        <v>63</v>
      </c>
      <c r="AX1126" t="s">
        <v>63</v>
      </c>
      <c r="AY1126" t="s">
        <v>63</v>
      </c>
      <c r="AZ1126" t="s">
        <v>63</v>
      </c>
      <c r="BA1126" t="s">
        <v>63</v>
      </c>
      <c r="BB1126" t="s">
        <v>63</v>
      </c>
      <c r="BC1126" t="s">
        <v>63</v>
      </c>
      <c r="BD1126" t="s">
        <v>63</v>
      </c>
      <c r="BE1126" t="s">
        <v>63</v>
      </c>
      <c r="BF1126" t="s">
        <v>63</v>
      </c>
    </row>
    <row r="1127" spans="1:58">
      <c r="A1127" t="s">
        <v>58</v>
      </c>
      <c r="B1127" t="s">
        <v>10021</v>
      </c>
      <c r="C1127" t="s">
        <v>10022</v>
      </c>
      <c r="D1127" t="s">
        <v>389</v>
      </c>
      <c r="E1127" t="s">
        <v>63</v>
      </c>
      <c r="F1127">
        <v>2012</v>
      </c>
      <c r="G1127" t="s">
        <v>63</v>
      </c>
      <c r="H1127">
        <v>33</v>
      </c>
      <c r="I1127">
        <v>3</v>
      </c>
      <c r="J1127">
        <v>286</v>
      </c>
      <c r="K1127">
        <v>291</v>
      </c>
      <c r="L1127" t="s">
        <v>10023</v>
      </c>
      <c r="M1127" t="s">
        <v>10024</v>
      </c>
      <c r="N1127" t="s">
        <v>10025</v>
      </c>
      <c r="O1127" t="s">
        <v>63</v>
      </c>
      <c r="Q1127" t="s">
        <v>63</v>
      </c>
      <c r="R1127" t="s">
        <v>63</v>
      </c>
      <c r="S1127" t="s">
        <v>63</v>
      </c>
      <c r="T1127" t="s">
        <v>63</v>
      </c>
      <c r="X1127" t="s">
        <v>63</v>
      </c>
      <c r="Y1127" t="s">
        <v>556</v>
      </c>
      <c r="Z1127" t="s">
        <v>63</v>
      </c>
      <c r="AA1127" t="s">
        <v>10026</v>
      </c>
      <c r="AB1127">
        <v>22738007</v>
      </c>
      <c r="AC1127" t="s">
        <v>67</v>
      </c>
      <c r="AD1127" t="s">
        <v>63</v>
      </c>
      <c r="AE1127" t="s">
        <v>63</v>
      </c>
      <c r="AF1127" t="s">
        <v>63</v>
      </c>
      <c r="AG1127" t="s">
        <v>10027</v>
      </c>
      <c r="AH1127" t="s">
        <v>63</v>
      </c>
      <c r="AI1127" t="s">
        <v>10028</v>
      </c>
      <c r="AJ1127" t="s">
        <v>63</v>
      </c>
      <c r="AK1127" t="s">
        <v>63</v>
      </c>
      <c r="AL1127" t="s">
        <v>63</v>
      </c>
      <c r="AM1127" t="s">
        <v>10029</v>
      </c>
      <c r="AN1127" t="s">
        <v>63</v>
      </c>
      <c r="AO1127" t="s">
        <v>63</v>
      </c>
      <c r="AP1127" t="s">
        <v>63</v>
      </c>
      <c r="AQ1127" t="s">
        <v>63</v>
      </c>
      <c r="AR1127" t="s">
        <v>63</v>
      </c>
      <c r="AS1127" t="s">
        <v>63</v>
      </c>
      <c r="AT1127" t="s">
        <v>63</v>
      </c>
      <c r="AU1127" t="s">
        <v>63</v>
      </c>
      <c r="AV1127" t="s">
        <v>63</v>
      </c>
      <c r="AW1127" t="s">
        <v>63</v>
      </c>
      <c r="AX1127" t="s">
        <v>63</v>
      </c>
      <c r="AY1127" t="s">
        <v>63</v>
      </c>
      <c r="AZ1127" t="s">
        <v>63</v>
      </c>
      <c r="BA1127" t="s">
        <v>63</v>
      </c>
      <c r="BB1127" t="s">
        <v>63</v>
      </c>
      <c r="BC1127" t="s">
        <v>63</v>
      </c>
      <c r="BD1127" t="s">
        <v>63</v>
      </c>
      <c r="BE1127" t="s">
        <v>63</v>
      </c>
      <c r="BF1127" t="s">
        <v>63</v>
      </c>
    </row>
    <row r="1128" spans="1:58">
      <c r="A1128" t="s">
        <v>58</v>
      </c>
      <c r="B1128" t="s">
        <v>10030</v>
      </c>
      <c r="C1128" t="s">
        <v>10031</v>
      </c>
      <c r="D1128" t="s">
        <v>389</v>
      </c>
      <c r="E1128" t="s">
        <v>63</v>
      </c>
      <c r="F1128">
        <v>2011</v>
      </c>
      <c r="G1128" t="s">
        <v>1670</v>
      </c>
      <c r="H1128">
        <v>32</v>
      </c>
      <c r="I1128">
        <v>3</v>
      </c>
      <c r="J1128">
        <v>121</v>
      </c>
      <c r="K1128">
        <v>127</v>
      </c>
      <c r="L1128" t="s">
        <v>10032</v>
      </c>
      <c r="M1128" t="s">
        <v>10033</v>
      </c>
      <c r="N1128" t="s">
        <v>10034</v>
      </c>
      <c r="O1128" t="s">
        <v>63</v>
      </c>
      <c r="Q1128" t="s">
        <v>63</v>
      </c>
      <c r="R1128" t="s">
        <v>63</v>
      </c>
      <c r="S1128" t="s">
        <v>63</v>
      </c>
      <c r="T1128" t="s">
        <v>63</v>
      </c>
      <c r="X1128" t="s">
        <v>63</v>
      </c>
      <c r="Y1128" t="s">
        <v>556</v>
      </c>
      <c r="Z1128" t="s">
        <v>63</v>
      </c>
      <c r="AA1128" t="s">
        <v>10035</v>
      </c>
      <c r="AB1128">
        <v>21660871</v>
      </c>
      <c r="AC1128" t="s">
        <v>67</v>
      </c>
      <c r="AD1128" t="s">
        <v>63</v>
      </c>
      <c r="AE1128" t="s">
        <v>63</v>
      </c>
      <c r="AF1128" t="s">
        <v>63</v>
      </c>
      <c r="AG1128" t="s">
        <v>10036</v>
      </c>
      <c r="AH1128" t="s">
        <v>63</v>
      </c>
      <c r="AI1128" t="s">
        <v>10037</v>
      </c>
      <c r="AJ1128" t="s">
        <v>63</v>
      </c>
      <c r="AK1128" t="s">
        <v>63</v>
      </c>
      <c r="AL1128" t="s">
        <v>63</v>
      </c>
      <c r="AM1128" t="s">
        <v>10038</v>
      </c>
      <c r="AN1128" t="s">
        <v>63</v>
      </c>
      <c r="AO1128" t="s">
        <v>63</v>
      </c>
      <c r="AP1128" t="s">
        <v>63</v>
      </c>
      <c r="AQ1128" t="s">
        <v>63</v>
      </c>
      <c r="AR1128" t="s">
        <v>63</v>
      </c>
      <c r="AS1128" t="s">
        <v>63</v>
      </c>
      <c r="AT1128" t="s">
        <v>63</v>
      </c>
      <c r="AU1128" t="s">
        <v>63</v>
      </c>
      <c r="AV1128" t="s">
        <v>63</v>
      </c>
      <c r="AW1128" t="s">
        <v>63</v>
      </c>
      <c r="AX1128" t="s">
        <v>63</v>
      </c>
      <c r="AY1128" t="s">
        <v>63</v>
      </c>
      <c r="AZ1128" t="s">
        <v>63</v>
      </c>
      <c r="BA1128" t="s">
        <v>63</v>
      </c>
      <c r="BB1128" t="s">
        <v>63</v>
      </c>
      <c r="BC1128" t="s">
        <v>63</v>
      </c>
      <c r="BD1128" t="s">
        <v>63</v>
      </c>
      <c r="BE1128" t="s">
        <v>63</v>
      </c>
      <c r="BF1128" t="s">
        <v>63</v>
      </c>
    </row>
    <row r="1129" spans="1:58">
      <c r="A1129" t="s">
        <v>58</v>
      </c>
      <c r="B1129" t="s">
        <v>10039</v>
      </c>
      <c r="C1129" t="s">
        <v>10040</v>
      </c>
      <c r="D1129" t="s">
        <v>360</v>
      </c>
      <c r="E1129" t="s">
        <v>63</v>
      </c>
      <c r="F1129">
        <v>1976</v>
      </c>
      <c r="G1129" t="s">
        <v>63</v>
      </c>
      <c r="H1129">
        <v>3</v>
      </c>
      <c r="I1129">
        <v>3</v>
      </c>
      <c r="J1129">
        <v>439</v>
      </c>
      <c r="K1129">
        <v>446</v>
      </c>
      <c r="L1129" t="s">
        <v>10041</v>
      </c>
      <c r="M1129" t="s">
        <v>10042</v>
      </c>
      <c r="N1129" t="s">
        <v>10043</v>
      </c>
      <c r="O1129" t="s">
        <v>63</v>
      </c>
      <c r="Q1129" t="s">
        <v>63</v>
      </c>
      <c r="R1129" t="s">
        <v>63</v>
      </c>
      <c r="S1129" t="s">
        <v>63</v>
      </c>
      <c r="T1129" t="s">
        <v>63</v>
      </c>
      <c r="X1129" t="s">
        <v>63</v>
      </c>
      <c r="Y1129" t="s">
        <v>1683</v>
      </c>
      <c r="Z1129" t="s">
        <v>63</v>
      </c>
      <c r="AA1129" t="s">
        <v>63</v>
      </c>
      <c r="AB1129">
        <v>1032756</v>
      </c>
      <c r="AC1129" t="s">
        <v>67</v>
      </c>
      <c r="AD1129" t="s">
        <v>63</v>
      </c>
      <c r="AE1129" t="s">
        <v>63</v>
      </c>
      <c r="AF1129" t="s">
        <v>63</v>
      </c>
      <c r="AG1129" t="s">
        <v>10044</v>
      </c>
      <c r="AH1129" t="s">
        <v>63</v>
      </c>
      <c r="AI1129" t="s">
        <v>63</v>
      </c>
      <c r="AJ1129" t="s">
        <v>63</v>
      </c>
      <c r="AK1129" t="s">
        <v>63</v>
      </c>
      <c r="AL1129" t="s">
        <v>63</v>
      </c>
      <c r="AM1129" t="s">
        <v>10045</v>
      </c>
      <c r="AN1129" t="s">
        <v>63</v>
      </c>
      <c r="AO1129" t="s">
        <v>63</v>
      </c>
      <c r="AP1129" t="s">
        <v>63</v>
      </c>
      <c r="AQ1129" t="s">
        <v>63</v>
      </c>
      <c r="AR1129" t="s">
        <v>63</v>
      </c>
      <c r="AS1129" t="s">
        <v>63</v>
      </c>
      <c r="AT1129" t="s">
        <v>63</v>
      </c>
      <c r="AU1129" t="s">
        <v>63</v>
      </c>
      <c r="AV1129" t="s">
        <v>63</v>
      </c>
      <c r="AW1129" t="s">
        <v>63</v>
      </c>
      <c r="AX1129" t="s">
        <v>63</v>
      </c>
      <c r="AY1129" t="s">
        <v>63</v>
      </c>
      <c r="AZ1129" t="s">
        <v>63</v>
      </c>
      <c r="BA1129" t="s">
        <v>63</v>
      </c>
      <c r="BB1129" t="s">
        <v>63</v>
      </c>
      <c r="BC1129" t="s">
        <v>63</v>
      </c>
      <c r="BD1129" t="s">
        <v>63</v>
      </c>
      <c r="BE1129" t="s">
        <v>63</v>
      </c>
      <c r="BF1129" t="s">
        <v>63</v>
      </c>
    </row>
    <row r="1130" spans="1:58">
      <c r="A1130" t="s">
        <v>58</v>
      </c>
      <c r="B1130" t="s">
        <v>10046</v>
      </c>
      <c r="C1130" t="s">
        <v>10047</v>
      </c>
      <c r="D1130" t="s">
        <v>2731</v>
      </c>
      <c r="E1130" t="s">
        <v>63</v>
      </c>
      <c r="F1130">
        <v>2012</v>
      </c>
      <c r="G1130" t="s">
        <v>908</v>
      </c>
      <c r="H1130">
        <v>8</v>
      </c>
      <c r="I1130">
        <v>4</v>
      </c>
      <c r="J1130">
        <v>212</v>
      </c>
      <c r="K1130">
        <v>216</v>
      </c>
      <c r="L1130" t="s">
        <v>10048</v>
      </c>
      <c r="M1130" t="s">
        <v>10049</v>
      </c>
      <c r="N1130" t="s">
        <v>10050</v>
      </c>
      <c r="O1130" t="s">
        <v>63</v>
      </c>
      <c r="Q1130" t="s">
        <v>63</v>
      </c>
      <c r="R1130" t="s">
        <v>63</v>
      </c>
      <c r="S1130" t="s">
        <v>63</v>
      </c>
      <c r="T1130" t="s">
        <v>63</v>
      </c>
      <c r="X1130" t="s">
        <v>63</v>
      </c>
      <c r="Y1130" t="s">
        <v>2735</v>
      </c>
      <c r="Z1130" t="s">
        <v>63</v>
      </c>
      <c r="AA1130" t="s">
        <v>10051</v>
      </c>
      <c r="AB1130">
        <v>22941848</v>
      </c>
      <c r="AC1130" t="s">
        <v>67</v>
      </c>
      <c r="AD1130" t="s">
        <v>63</v>
      </c>
      <c r="AE1130" t="s">
        <v>63</v>
      </c>
      <c r="AF1130" t="s">
        <v>63</v>
      </c>
      <c r="AG1130" t="s">
        <v>10052</v>
      </c>
      <c r="AH1130" t="s">
        <v>63</v>
      </c>
      <c r="AI1130" t="s">
        <v>10053</v>
      </c>
      <c r="AJ1130" t="s">
        <v>63</v>
      </c>
      <c r="AK1130" t="s">
        <v>63</v>
      </c>
      <c r="AL1130" t="s">
        <v>63</v>
      </c>
      <c r="AM1130" t="s">
        <v>10054</v>
      </c>
      <c r="AN1130" t="s">
        <v>63</v>
      </c>
      <c r="AO1130" t="s">
        <v>63</v>
      </c>
      <c r="AP1130" t="s">
        <v>63</v>
      </c>
      <c r="AQ1130" t="s">
        <v>63</v>
      </c>
      <c r="AR1130" t="s">
        <v>63</v>
      </c>
      <c r="AS1130" t="s">
        <v>63</v>
      </c>
      <c r="AT1130" t="s">
        <v>63</v>
      </c>
      <c r="AU1130" t="s">
        <v>63</v>
      </c>
      <c r="AV1130" t="s">
        <v>63</v>
      </c>
      <c r="AW1130" t="s">
        <v>63</v>
      </c>
      <c r="AX1130" t="s">
        <v>63</v>
      </c>
      <c r="AY1130" t="s">
        <v>63</v>
      </c>
      <c r="AZ1130" t="s">
        <v>63</v>
      </c>
      <c r="BA1130" t="s">
        <v>63</v>
      </c>
      <c r="BB1130" t="s">
        <v>63</v>
      </c>
      <c r="BC1130" t="s">
        <v>63</v>
      </c>
      <c r="BD1130" t="s">
        <v>63</v>
      </c>
      <c r="BE1130" t="s">
        <v>63</v>
      </c>
      <c r="BF1130" t="s">
        <v>63</v>
      </c>
    </row>
    <row r="1131" spans="1:58">
      <c r="A1131" t="s">
        <v>58</v>
      </c>
      <c r="B1131" t="s">
        <v>10055</v>
      </c>
      <c r="C1131" t="s">
        <v>10056</v>
      </c>
      <c r="D1131" t="s">
        <v>10057</v>
      </c>
      <c r="E1131" t="s">
        <v>10058</v>
      </c>
      <c r="F1131">
        <v>2004</v>
      </c>
      <c r="G1131" t="s">
        <v>63</v>
      </c>
      <c r="H1131">
        <v>14</v>
      </c>
      <c r="I1131">
        <v>1</v>
      </c>
      <c r="J1131">
        <v>13</v>
      </c>
      <c r="K1131">
        <v>20</v>
      </c>
      <c r="L1131" t="s">
        <v>10059</v>
      </c>
      <c r="M1131" t="s">
        <v>10060</v>
      </c>
      <c r="N1131" t="s">
        <v>10061</v>
      </c>
      <c r="O1131" t="s">
        <v>63</v>
      </c>
      <c r="Q1131" t="s">
        <v>63</v>
      </c>
      <c r="R1131" t="s">
        <v>63</v>
      </c>
      <c r="S1131" t="s">
        <v>63</v>
      </c>
      <c r="T1131" t="s">
        <v>63</v>
      </c>
      <c r="X1131" t="s">
        <v>63</v>
      </c>
      <c r="Y1131" t="s">
        <v>10062</v>
      </c>
      <c r="Z1131" t="s">
        <v>63</v>
      </c>
      <c r="AA1131" t="s">
        <v>10063</v>
      </c>
      <c r="AB1131">
        <v>15002918</v>
      </c>
      <c r="AC1131" t="s">
        <v>67</v>
      </c>
      <c r="AD1131" t="s">
        <v>63</v>
      </c>
      <c r="AE1131" t="s">
        <v>63</v>
      </c>
      <c r="AF1131" t="s">
        <v>63</v>
      </c>
      <c r="AG1131" t="s">
        <v>10064</v>
      </c>
      <c r="AH1131" t="s">
        <v>63</v>
      </c>
      <c r="AI1131" t="s">
        <v>63</v>
      </c>
      <c r="AJ1131" t="s">
        <v>63</v>
      </c>
      <c r="AK1131" t="s">
        <v>63</v>
      </c>
      <c r="AL1131" t="s">
        <v>63</v>
      </c>
      <c r="AM1131" t="s">
        <v>10065</v>
      </c>
      <c r="AN1131" t="s">
        <v>63</v>
      </c>
      <c r="AO1131" t="s">
        <v>63</v>
      </c>
      <c r="AP1131" t="s">
        <v>63</v>
      </c>
      <c r="AQ1131" t="s">
        <v>63</v>
      </c>
      <c r="AR1131" t="s">
        <v>63</v>
      </c>
      <c r="AS1131" t="s">
        <v>63</v>
      </c>
      <c r="AT1131" t="s">
        <v>63</v>
      </c>
      <c r="AU1131" t="s">
        <v>63</v>
      </c>
      <c r="AV1131" t="s">
        <v>63</v>
      </c>
      <c r="AW1131" t="s">
        <v>63</v>
      </c>
      <c r="AX1131" t="s">
        <v>63</v>
      </c>
      <c r="AY1131" t="s">
        <v>63</v>
      </c>
      <c r="AZ1131" t="s">
        <v>63</v>
      </c>
      <c r="BA1131" t="s">
        <v>63</v>
      </c>
      <c r="BB1131" t="s">
        <v>63</v>
      </c>
      <c r="BC1131" t="s">
        <v>63</v>
      </c>
      <c r="BD1131" t="s">
        <v>63</v>
      </c>
      <c r="BE1131" t="s">
        <v>63</v>
      </c>
      <c r="BF1131" t="s">
        <v>63</v>
      </c>
    </row>
    <row r="1132" spans="1:58">
      <c r="A1132" t="s">
        <v>58</v>
      </c>
      <c r="B1132" t="s">
        <v>10066</v>
      </c>
      <c r="C1132" t="s">
        <v>10067</v>
      </c>
      <c r="D1132" t="s">
        <v>389</v>
      </c>
      <c r="E1132" t="s">
        <v>63</v>
      </c>
      <c r="F1132">
        <v>2006</v>
      </c>
      <c r="G1132" t="s">
        <v>181</v>
      </c>
      <c r="H1132">
        <v>27</v>
      </c>
      <c r="I1132">
        <v>3</v>
      </c>
      <c r="J1132">
        <v>1</v>
      </c>
      <c r="K1132">
        <v>3</v>
      </c>
      <c r="L1132" t="s">
        <v>10068</v>
      </c>
      <c r="M1132" t="s">
        <v>10069</v>
      </c>
      <c r="N1132" t="s">
        <v>10070</v>
      </c>
      <c r="O1132" t="s">
        <v>63</v>
      </c>
      <c r="Q1132" t="s">
        <v>63</v>
      </c>
      <c r="R1132" t="s">
        <v>63</v>
      </c>
      <c r="S1132" t="s">
        <v>63</v>
      </c>
      <c r="T1132" t="s">
        <v>63</v>
      </c>
      <c r="X1132" t="s">
        <v>63</v>
      </c>
      <c r="Y1132" t="s">
        <v>392</v>
      </c>
      <c r="Z1132" t="s">
        <v>63</v>
      </c>
      <c r="AA1132" t="s">
        <v>10071</v>
      </c>
      <c r="AB1132">
        <v>17135174</v>
      </c>
      <c r="AC1132" t="s">
        <v>67</v>
      </c>
      <c r="AD1132" t="s">
        <v>63</v>
      </c>
      <c r="AE1132" t="s">
        <v>63</v>
      </c>
      <c r="AF1132" t="s">
        <v>63</v>
      </c>
      <c r="AG1132" t="s">
        <v>10072</v>
      </c>
      <c r="AH1132" t="s">
        <v>63</v>
      </c>
      <c r="AI1132" t="s">
        <v>63</v>
      </c>
      <c r="AJ1132" t="s">
        <v>63</v>
      </c>
      <c r="AK1132" t="s">
        <v>63</v>
      </c>
      <c r="AL1132" t="s">
        <v>63</v>
      </c>
      <c r="AM1132" t="s">
        <v>10073</v>
      </c>
      <c r="AN1132" t="s">
        <v>63</v>
      </c>
      <c r="AO1132" t="s">
        <v>63</v>
      </c>
      <c r="AP1132" t="s">
        <v>63</v>
      </c>
      <c r="AQ1132" t="s">
        <v>63</v>
      </c>
      <c r="AR1132" t="s">
        <v>63</v>
      </c>
      <c r="AS1132" t="s">
        <v>63</v>
      </c>
      <c r="AT1132" t="s">
        <v>63</v>
      </c>
      <c r="AU1132" t="s">
        <v>63</v>
      </c>
      <c r="AV1132" t="s">
        <v>63</v>
      </c>
      <c r="AW1132" t="s">
        <v>63</v>
      </c>
      <c r="AX1132" t="s">
        <v>63</v>
      </c>
      <c r="AY1132" t="s">
        <v>63</v>
      </c>
      <c r="AZ1132" t="s">
        <v>63</v>
      </c>
      <c r="BA1132" t="s">
        <v>63</v>
      </c>
      <c r="BB1132" t="s">
        <v>63</v>
      </c>
      <c r="BC1132" t="s">
        <v>63</v>
      </c>
      <c r="BD1132" t="s">
        <v>63</v>
      </c>
      <c r="BE1132" t="s">
        <v>63</v>
      </c>
      <c r="BF1132" t="s">
        <v>63</v>
      </c>
    </row>
    <row r="1133" spans="1:58">
      <c r="A1133" t="s">
        <v>58</v>
      </c>
      <c r="B1133" t="s">
        <v>10074</v>
      </c>
      <c r="C1133" t="s">
        <v>10075</v>
      </c>
      <c r="D1133" t="s">
        <v>6813</v>
      </c>
      <c r="E1133" t="s">
        <v>6814</v>
      </c>
      <c r="F1133">
        <v>1997</v>
      </c>
      <c r="G1133" t="s">
        <v>1717</v>
      </c>
      <c r="H1133">
        <v>50</v>
      </c>
      <c r="I1133" s="1">
        <v>41954</v>
      </c>
      <c r="J1133">
        <v>547</v>
      </c>
      <c r="K1133">
        <v>550</v>
      </c>
      <c r="L1133" t="s">
        <v>10076</v>
      </c>
      <c r="M1133" t="s">
        <v>10077</v>
      </c>
      <c r="N1133" t="s">
        <v>10078</v>
      </c>
      <c r="O1133" t="s">
        <v>63</v>
      </c>
      <c r="Q1133" t="s">
        <v>63</v>
      </c>
      <c r="R1133" t="s">
        <v>63</v>
      </c>
      <c r="S1133" t="s">
        <v>63</v>
      </c>
      <c r="T1133" t="s">
        <v>63</v>
      </c>
      <c r="X1133" t="s">
        <v>63</v>
      </c>
      <c r="Y1133" t="s">
        <v>6818</v>
      </c>
      <c r="Z1133" t="s">
        <v>63</v>
      </c>
      <c r="AA1133" t="s">
        <v>10079</v>
      </c>
      <c r="AB1133">
        <v>9471520</v>
      </c>
      <c r="AC1133" t="s">
        <v>10080</v>
      </c>
      <c r="AD1133" t="s">
        <v>63</v>
      </c>
      <c r="AE1133" t="s">
        <v>63</v>
      </c>
      <c r="AF1133" t="s">
        <v>63</v>
      </c>
      <c r="AG1133" t="s">
        <v>10081</v>
      </c>
      <c r="AH1133" t="s">
        <v>63</v>
      </c>
      <c r="AI1133" t="s">
        <v>63</v>
      </c>
      <c r="AJ1133" t="s">
        <v>63</v>
      </c>
      <c r="AK1133" t="s">
        <v>63</v>
      </c>
      <c r="AL1133" t="s">
        <v>63</v>
      </c>
      <c r="AM1133" t="s">
        <v>10082</v>
      </c>
      <c r="AN1133" t="s">
        <v>63</v>
      </c>
      <c r="AO1133" t="s">
        <v>63</v>
      </c>
      <c r="AP1133" t="s">
        <v>63</v>
      </c>
      <c r="AQ1133" t="s">
        <v>63</v>
      </c>
      <c r="AR1133" t="s">
        <v>63</v>
      </c>
      <c r="AS1133" t="s">
        <v>63</v>
      </c>
      <c r="AT1133" t="s">
        <v>63</v>
      </c>
      <c r="AU1133" t="s">
        <v>63</v>
      </c>
      <c r="AV1133" t="s">
        <v>63</v>
      </c>
      <c r="AW1133" t="s">
        <v>63</v>
      </c>
      <c r="AX1133" t="s">
        <v>63</v>
      </c>
      <c r="AY1133" t="s">
        <v>63</v>
      </c>
      <c r="AZ1133" t="s">
        <v>63</v>
      </c>
      <c r="BA1133" t="s">
        <v>63</v>
      </c>
      <c r="BB1133" t="s">
        <v>63</v>
      </c>
      <c r="BC1133" t="s">
        <v>63</v>
      </c>
      <c r="BD1133" t="s">
        <v>63</v>
      </c>
      <c r="BE1133" t="s">
        <v>63</v>
      </c>
      <c r="BF1133" t="s">
        <v>63</v>
      </c>
    </row>
    <row r="1134" spans="1:58">
      <c r="A1134" t="s">
        <v>58</v>
      </c>
      <c r="B1134" t="s">
        <v>10083</v>
      </c>
      <c r="C1134" t="s">
        <v>10084</v>
      </c>
      <c r="D1134" t="s">
        <v>10085</v>
      </c>
      <c r="E1134" t="s">
        <v>63</v>
      </c>
      <c r="F1134">
        <v>2015</v>
      </c>
      <c r="G1134" s="1">
        <v>41906</v>
      </c>
      <c r="H1134">
        <v>12</v>
      </c>
      <c r="I1134">
        <v>10</v>
      </c>
      <c r="J1134">
        <v>12030</v>
      </c>
      <c r="K1134">
        <v>12042</v>
      </c>
      <c r="L1134" t="s">
        <v>10086</v>
      </c>
      <c r="M1134" t="s">
        <v>10087</v>
      </c>
      <c r="N1134" t="s">
        <v>10088</v>
      </c>
      <c r="O1134" t="s">
        <v>63</v>
      </c>
      <c r="Q1134" t="s">
        <v>63</v>
      </c>
      <c r="R1134" t="s">
        <v>63</v>
      </c>
      <c r="S1134" t="s">
        <v>63</v>
      </c>
      <c r="T1134" t="s">
        <v>63</v>
      </c>
      <c r="X1134" t="s">
        <v>63</v>
      </c>
      <c r="Y1134" t="s">
        <v>10089</v>
      </c>
      <c r="Z1134" t="s">
        <v>63</v>
      </c>
      <c r="AA1134" t="s">
        <v>10090</v>
      </c>
      <c r="AB1134">
        <v>26404331</v>
      </c>
      <c r="AC1134" t="s">
        <v>67</v>
      </c>
      <c r="AD1134" t="s">
        <v>63</v>
      </c>
      <c r="AE1134" t="s">
        <v>63</v>
      </c>
      <c r="AF1134" t="s">
        <v>63</v>
      </c>
      <c r="AG1134" t="s">
        <v>10091</v>
      </c>
      <c r="AH1134" t="s">
        <v>63</v>
      </c>
      <c r="AI1134" t="s">
        <v>10092</v>
      </c>
      <c r="AJ1134" t="s">
        <v>63</v>
      </c>
      <c r="AK1134" t="s">
        <v>63</v>
      </c>
      <c r="AL1134" t="s">
        <v>63</v>
      </c>
      <c r="AM1134" t="s">
        <v>10093</v>
      </c>
      <c r="AN1134" t="s">
        <v>63</v>
      </c>
      <c r="AO1134" t="s">
        <v>63</v>
      </c>
      <c r="AP1134" t="s">
        <v>63</v>
      </c>
      <c r="AQ1134" t="s">
        <v>63</v>
      </c>
      <c r="AR1134" t="s">
        <v>63</v>
      </c>
      <c r="AS1134" t="s">
        <v>63</v>
      </c>
      <c r="AT1134" t="s">
        <v>63</v>
      </c>
      <c r="AU1134" t="s">
        <v>63</v>
      </c>
      <c r="AV1134" t="s">
        <v>63</v>
      </c>
      <c r="AW1134" t="s">
        <v>63</v>
      </c>
      <c r="AX1134" t="s">
        <v>63</v>
      </c>
      <c r="AY1134" t="s">
        <v>63</v>
      </c>
      <c r="AZ1134" t="s">
        <v>63</v>
      </c>
      <c r="BA1134" t="s">
        <v>63</v>
      </c>
      <c r="BB1134" t="s">
        <v>63</v>
      </c>
      <c r="BC1134" t="s">
        <v>63</v>
      </c>
      <c r="BD1134" t="s">
        <v>63</v>
      </c>
      <c r="BE1134" t="s">
        <v>63</v>
      </c>
      <c r="BF1134" t="s">
        <v>63</v>
      </c>
    </row>
    <row r="1135" spans="1:58">
      <c r="A1135" t="s">
        <v>58</v>
      </c>
      <c r="B1135" t="s">
        <v>10094</v>
      </c>
      <c r="C1135" t="s">
        <v>10095</v>
      </c>
      <c r="D1135" t="s">
        <v>2353</v>
      </c>
      <c r="E1135" t="s">
        <v>2354</v>
      </c>
      <c r="F1135">
        <v>1987</v>
      </c>
      <c r="G1135" t="s">
        <v>63</v>
      </c>
      <c r="H1135">
        <v>4</v>
      </c>
      <c r="I1135" s="1">
        <v>41701</v>
      </c>
      <c r="J1135">
        <v>145</v>
      </c>
      <c r="K1135">
        <v>149</v>
      </c>
      <c r="L1135" t="s">
        <v>10096</v>
      </c>
      <c r="M1135" t="s">
        <v>63</v>
      </c>
      <c r="N1135" t="s">
        <v>10097</v>
      </c>
      <c r="O1135" t="s">
        <v>63</v>
      </c>
      <c r="Q1135" t="s">
        <v>63</v>
      </c>
      <c r="R1135" t="s">
        <v>63</v>
      </c>
      <c r="S1135" t="s">
        <v>63</v>
      </c>
      <c r="T1135" t="s">
        <v>63</v>
      </c>
      <c r="X1135" t="s">
        <v>63</v>
      </c>
      <c r="Y1135" t="s">
        <v>2358</v>
      </c>
      <c r="Z1135" t="s">
        <v>63</v>
      </c>
      <c r="AA1135" t="s">
        <v>10098</v>
      </c>
      <c r="AB1135">
        <v>3437479</v>
      </c>
      <c r="AC1135" t="s">
        <v>67</v>
      </c>
      <c r="AD1135" t="s">
        <v>63</v>
      </c>
      <c r="AE1135" t="s">
        <v>63</v>
      </c>
      <c r="AF1135" t="s">
        <v>63</v>
      </c>
      <c r="AG1135" t="s">
        <v>10099</v>
      </c>
      <c r="AH1135" t="s">
        <v>63</v>
      </c>
      <c r="AI1135" t="s">
        <v>63</v>
      </c>
      <c r="AJ1135" t="s">
        <v>63</v>
      </c>
      <c r="AK1135" t="s">
        <v>63</v>
      </c>
      <c r="AL1135" t="s">
        <v>63</v>
      </c>
      <c r="AM1135" t="s">
        <v>10100</v>
      </c>
      <c r="AN1135" t="s">
        <v>63</v>
      </c>
      <c r="AO1135" t="s">
        <v>63</v>
      </c>
      <c r="AP1135" t="s">
        <v>63</v>
      </c>
      <c r="AQ1135" t="s">
        <v>63</v>
      </c>
      <c r="AR1135" t="s">
        <v>63</v>
      </c>
      <c r="AS1135" t="s">
        <v>63</v>
      </c>
      <c r="AT1135" t="s">
        <v>63</v>
      </c>
      <c r="AU1135" t="s">
        <v>63</v>
      </c>
      <c r="AV1135" t="s">
        <v>63</v>
      </c>
      <c r="AW1135" t="s">
        <v>63</v>
      </c>
      <c r="AX1135" t="s">
        <v>63</v>
      </c>
      <c r="AY1135" t="s">
        <v>63</v>
      </c>
      <c r="AZ1135" t="s">
        <v>63</v>
      </c>
      <c r="BA1135" t="s">
        <v>63</v>
      </c>
      <c r="BB1135" t="s">
        <v>63</v>
      </c>
      <c r="BC1135" t="s">
        <v>63</v>
      </c>
      <c r="BD1135" t="s">
        <v>63</v>
      </c>
      <c r="BE1135" t="s">
        <v>63</v>
      </c>
      <c r="BF1135" t="s">
        <v>63</v>
      </c>
    </row>
    <row r="1136" spans="1:58">
      <c r="A1136" t="s">
        <v>58</v>
      </c>
      <c r="B1136" t="s">
        <v>10101</v>
      </c>
      <c r="C1136" t="s">
        <v>10102</v>
      </c>
      <c r="D1136" t="s">
        <v>1184</v>
      </c>
      <c r="E1136" t="s">
        <v>1185</v>
      </c>
      <c r="F1136">
        <v>1980</v>
      </c>
      <c r="G1136" t="s">
        <v>138</v>
      </c>
      <c r="H1136">
        <v>55</v>
      </c>
      <c r="I1136">
        <v>10</v>
      </c>
      <c r="J1136">
        <v>858</v>
      </c>
      <c r="K1136">
        <v>864</v>
      </c>
      <c r="L1136" t="s">
        <v>10103</v>
      </c>
      <c r="M1136" t="s">
        <v>10104</v>
      </c>
      <c r="N1136" t="s">
        <v>10105</v>
      </c>
      <c r="O1136" t="s">
        <v>63</v>
      </c>
      <c r="Q1136" t="s">
        <v>63</v>
      </c>
      <c r="R1136" t="s">
        <v>63</v>
      </c>
      <c r="S1136" t="s">
        <v>63</v>
      </c>
      <c r="T1136" t="s">
        <v>63</v>
      </c>
      <c r="X1136" t="s">
        <v>63</v>
      </c>
      <c r="Y1136" t="s">
        <v>1188</v>
      </c>
      <c r="Z1136" t="s">
        <v>63</v>
      </c>
      <c r="AA1136" t="s">
        <v>63</v>
      </c>
      <c r="AB1136">
        <v>7420394</v>
      </c>
      <c r="AC1136" t="s">
        <v>67</v>
      </c>
      <c r="AD1136" t="s">
        <v>63</v>
      </c>
      <c r="AE1136" t="s">
        <v>63</v>
      </c>
      <c r="AF1136" t="s">
        <v>63</v>
      </c>
      <c r="AG1136" t="s">
        <v>10106</v>
      </c>
      <c r="AH1136" t="s">
        <v>63</v>
      </c>
      <c r="AI1136" t="s">
        <v>63</v>
      </c>
      <c r="AJ1136" t="s">
        <v>63</v>
      </c>
      <c r="AK1136" t="s">
        <v>63</v>
      </c>
      <c r="AL1136" t="s">
        <v>63</v>
      </c>
      <c r="AM1136" t="s">
        <v>10107</v>
      </c>
      <c r="AN1136" t="s">
        <v>63</v>
      </c>
      <c r="AO1136" t="s">
        <v>63</v>
      </c>
      <c r="AP1136" t="s">
        <v>63</v>
      </c>
      <c r="AQ1136" t="s">
        <v>63</v>
      </c>
      <c r="AR1136" t="s">
        <v>63</v>
      </c>
      <c r="AS1136" t="s">
        <v>63</v>
      </c>
      <c r="AT1136" t="s">
        <v>63</v>
      </c>
      <c r="AU1136" t="s">
        <v>63</v>
      </c>
      <c r="AV1136" t="s">
        <v>63</v>
      </c>
      <c r="AW1136" t="s">
        <v>63</v>
      </c>
      <c r="AX1136" t="s">
        <v>63</v>
      </c>
      <c r="AY1136" t="s">
        <v>63</v>
      </c>
      <c r="AZ1136" t="s">
        <v>63</v>
      </c>
      <c r="BA1136" t="s">
        <v>63</v>
      </c>
      <c r="BB1136" t="s">
        <v>63</v>
      </c>
      <c r="BC1136" t="s">
        <v>63</v>
      </c>
      <c r="BD1136" t="s">
        <v>63</v>
      </c>
      <c r="BE1136" t="s">
        <v>63</v>
      </c>
      <c r="BF1136" t="s">
        <v>63</v>
      </c>
    </row>
    <row r="1137" spans="1:58">
      <c r="A1137" t="s">
        <v>58</v>
      </c>
      <c r="B1137" t="s">
        <v>10108</v>
      </c>
      <c r="C1137" t="s">
        <v>10109</v>
      </c>
      <c r="D1137" t="s">
        <v>10110</v>
      </c>
      <c r="E1137" t="s">
        <v>63</v>
      </c>
      <c r="F1137">
        <v>2013</v>
      </c>
      <c r="G1137" t="s">
        <v>1670</v>
      </c>
      <c r="H1137">
        <v>35</v>
      </c>
      <c r="I1137">
        <v>205</v>
      </c>
      <c r="J1137">
        <v>43</v>
      </c>
      <c r="K1137">
        <v>46</v>
      </c>
      <c r="L1137" t="s">
        <v>10111</v>
      </c>
      <c r="M1137" t="s">
        <v>10112</v>
      </c>
      <c r="N1137" t="s">
        <v>10113</v>
      </c>
      <c r="O1137" t="s">
        <v>63</v>
      </c>
      <c r="Q1137" t="s">
        <v>63</v>
      </c>
      <c r="R1137" t="s">
        <v>63</v>
      </c>
      <c r="S1137" t="s">
        <v>63</v>
      </c>
      <c r="T1137" t="s">
        <v>63</v>
      </c>
      <c r="X1137" t="s">
        <v>63</v>
      </c>
      <c r="Y1137" t="s">
        <v>10114</v>
      </c>
      <c r="Z1137" t="s">
        <v>63</v>
      </c>
      <c r="AA1137" t="s">
        <v>10115</v>
      </c>
      <c r="AB1137">
        <v>23984605</v>
      </c>
      <c r="AC1137" t="s">
        <v>696</v>
      </c>
      <c r="AD1137" t="s">
        <v>63</v>
      </c>
      <c r="AE1137" t="s">
        <v>63</v>
      </c>
      <c r="AF1137" t="s">
        <v>63</v>
      </c>
      <c r="AG1137" t="s">
        <v>10116</v>
      </c>
      <c r="AH1137" t="s">
        <v>63</v>
      </c>
      <c r="AI1137" t="s">
        <v>63</v>
      </c>
      <c r="AJ1137" t="s">
        <v>63</v>
      </c>
      <c r="AK1137" t="s">
        <v>63</v>
      </c>
      <c r="AL1137" t="s">
        <v>63</v>
      </c>
      <c r="AM1137" t="s">
        <v>10117</v>
      </c>
      <c r="AN1137" t="s">
        <v>63</v>
      </c>
      <c r="AO1137" t="s">
        <v>63</v>
      </c>
      <c r="AP1137" t="s">
        <v>63</v>
      </c>
      <c r="AQ1137" t="s">
        <v>63</v>
      </c>
      <c r="AR1137" t="s">
        <v>63</v>
      </c>
      <c r="AS1137" t="s">
        <v>63</v>
      </c>
      <c r="AT1137" t="s">
        <v>63</v>
      </c>
      <c r="AU1137" t="s">
        <v>63</v>
      </c>
      <c r="AV1137" t="s">
        <v>63</v>
      </c>
      <c r="AW1137" t="s">
        <v>63</v>
      </c>
      <c r="AX1137" t="s">
        <v>63</v>
      </c>
      <c r="AY1137" t="s">
        <v>63</v>
      </c>
      <c r="AZ1137" t="s">
        <v>63</v>
      </c>
      <c r="BA1137" t="s">
        <v>63</v>
      </c>
      <c r="BB1137" t="s">
        <v>63</v>
      </c>
      <c r="BC1137" t="s">
        <v>63</v>
      </c>
      <c r="BD1137" t="s">
        <v>63</v>
      </c>
      <c r="BE1137" t="s">
        <v>63</v>
      </c>
      <c r="BF1137" t="s">
        <v>63</v>
      </c>
    </row>
    <row r="1138" spans="1:58">
      <c r="A1138" t="s">
        <v>58</v>
      </c>
      <c r="B1138" t="s">
        <v>10118</v>
      </c>
      <c r="C1138" t="s">
        <v>10119</v>
      </c>
      <c r="D1138" t="s">
        <v>6111</v>
      </c>
      <c r="E1138" t="s">
        <v>6112</v>
      </c>
      <c r="F1138">
        <v>2018</v>
      </c>
      <c r="G1138" t="s">
        <v>326</v>
      </c>
      <c r="H1138">
        <v>215</v>
      </c>
      <c r="I1138">
        <v>2</v>
      </c>
      <c r="J1138">
        <v>238</v>
      </c>
      <c r="K1138">
        <v>242</v>
      </c>
      <c r="L1138" t="s">
        <v>63</v>
      </c>
      <c r="M1138" t="s">
        <v>10120</v>
      </c>
      <c r="N1138" t="s">
        <v>10121</v>
      </c>
      <c r="O1138" t="s">
        <v>63</v>
      </c>
      <c r="Q1138" t="s">
        <v>63</v>
      </c>
      <c r="R1138" t="s">
        <v>63</v>
      </c>
      <c r="S1138" t="s">
        <v>63</v>
      </c>
      <c r="T1138" t="s">
        <v>63</v>
      </c>
      <c r="X1138" t="s">
        <v>63</v>
      </c>
      <c r="Y1138" t="s">
        <v>6116</v>
      </c>
      <c r="Z1138" t="s">
        <v>63</v>
      </c>
      <c r="AA1138" t="s">
        <v>10122</v>
      </c>
      <c r="AB1138">
        <v>29179909</v>
      </c>
      <c r="AC1138" t="s">
        <v>67</v>
      </c>
      <c r="AD1138" t="s">
        <v>63</v>
      </c>
      <c r="AE1138" t="s">
        <v>63</v>
      </c>
      <c r="AF1138" t="s">
        <v>63</v>
      </c>
      <c r="AG1138" t="s">
        <v>10123</v>
      </c>
      <c r="AH1138" t="s">
        <v>63</v>
      </c>
      <c r="AI1138" t="s">
        <v>10124</v>
      </c>
      <c r="AJ1138" t="s">
        <v>63</v>
      </c>
      <c r="AK1138" t="s">
        <v>63</v>
      </c>
      <c r="AL1138" t="s">
        <v>63</v>
      </c>
      <c r="AM1138" t="s">
        <v>10125</v>
      </c>
      <c r="AN1138" t="s">
        <v>63</v>
      </c>
      <c r="AO1138" t="s">
        <v>63</v>
      </c>
      <c r="AP1138" t="s">
        <v>63</v>
      </c>
      <c r="AQ1138" t="s">
        <v>63</v>
      </c>
      <c r="AR1138" t="s">
        <v>63</v>
      </c>
      <c r="AS1138" t="s">
        <v>63</v>
      </c>
      <c r="AT1138" t="s">
        <v>63</v>
      </c>
      <c r="AU1138" t="s">
        <v>63</v>
      </c>
      <c r="AV1138" t="s">
        <v>63</v>
      </c>
      <c r="AW1138" t="s">
        <v>63</v>
      </c>
      <c r="AX1138" t="s">
        <v>63</v>
      </c>
      <c r="AY1138" t="s">
        <v>63</v>
      </c>
      <c r="AZ1138" t="s">
        <v>63</v>
      </c>
      <c r="BA1138" t="s">
        <v>63</v>
      </c>
      <c r="BB1138" t="s">
        <v>63</v>
      </c>
      <c r="BC1138" t="s">
        <v>63</v>
      </c>
      <c r="BD1138" t="s">
        <v>63</v>
      </c>
      <c r="BE1138" t="s">
        <v>63</v>
      </c>
      <c r="BF1138" t="s">
        <v>63</v>
      </c>
    </row>
    <row r="1139" spans="1:58">
      <c r="A1139" t="s">
        <v>58</v>
      </c>
      <c r="B1139" t="s">
        <v>10126</v>
      </c>
      <c r="C1139" t="s">
        <v>10127</v>
      </c>
      <c r="D1139" t="s">
        <v>10128</v>
      </c>
      <c r="E1139" t="s">
        <v>63</v>
      </c>
      <c r="F1139">
        <v>2008</v>
      </c>
      <c r="G1139" t="s">
        <v>63</v>
      </c>
      <c r="H1139">
        <v>3</v>
      </c>
      <c r="I1139">
        <v>1</v>
      </c>
      <c r="J1139">
        <v>61</v>
      </c>
      <c r="K1139">
        <v>63</v>
      </c>
      <c r="L1139" t="s">
        <v>63</v>
      </c>
      <c r="M1139" t="s">
        <v>10129</v>
      </c>
      <c r="N1139" t="s">
        <v>10130</v>
      </c>
      <c r="O1139" t="s">
        <v>63</v>
      </c>
      <c r="Q1139" t="s">
        <v>63</v>
      </c>
      <c r="R1139" t="s">
        <v>63</v>
      </c>
      <c r="S1139" t="s">
        <v>63</v>
      </c>
      <c r="T1139" t="s">
        <v>63</v>
      </c>
      <c r="X1139" t="s">
        <v>63</v>
      </c>
      <c r="Y1139" t="s">
        <v>10131</v>
      </c>
      <c r="Z1139" t="s">
        <v>63</v>
      </c>
      <c r="AA1139" t="s">
        <v>10132</v>
      </c>
      <c r="AB1139">
        <v>25606116</v>
      </c>
      <c r="AC1139" t="s">
        <v>67</v>
      </c>
      <c r="AD1139" t="s">
        <v>63</v>
      </c>
      <c r="AE1139" t="s">
        <v>63</v>
      </c>
      <c r="AF1139" t="s">
        <v>63</v>
      </c>
      <c r="AG1139" t="s">
        <v>10133</v>
      </c>
      <c r="AH1139" t="s">
        <v>63</v>
      </c>
      <c r="AI1139" t="s">
        <v>63</v>
      </c>
      <c r="AJ1139" t="s">
        <v>63</v>
      </c>
      <c r="AK1139" t="s">
        <v>63</v>
      </c>
      <c r="AL1139" t="s">
        <v>63</v>
      </c>
      <c r="AM1139" t="s">
        <v>10134</v>
      </c>
      <c r="AN1139" t="s">
        <v>63</v>
      </c>
      <c r="AO1139" t="s">
        <v>63</v>
      </c>
      <c r="AP1139" t="s">
        <v>63</v>
      </c>
      <c r="AQ1139" t="s">
        <v>63</v>
      </c>
      <c r="AR1139" t="s">
        <v>63</v>
      </c>
      <c r="AS1139" t="s">
        <v>63</v>
      </c>
      <c r="AT1139" t="s">
        <v>63</v>
      </c>
      <c r="AU1139" t="s">
        <v>63</v>
      </c>
      <c r="AV1139" t="s">
        <v>63</v>
      </c>
      <c r="AW1139" t="s">
        <v>63</v>
      </c>
      <c r="AX1139" t="s">
        <v>63</v>
      </c>
      <c r="AY1139" t="s">
        <v>63</v>
      </c>
      <c r="AZ1139" t="s">
        <v>63</v>
      </c>
      <c r="BA1139" t="s">
        <v>63</v>
      </c>
      <c r="BB1139" t="s">
        <v>63</v>
      </c>
      <c r="BC1139" t="s">
        <v>63</v>
      </c>
      <c r="BD1139" t="s">
        <v>63</v>
      </c>
      <c r="BE1139" t="s">
        <v>63</v>
      </c>
      <c r="BF1139" t="s">
        <v>63</v>
      </c>
    </row>
    <row r="1140" spans="1:58">
      <c r="A1140" t="s">
        <v>58</v>
      </c>
      <c r="B1140" t="s">
        <v>10135</v>
      </c>
      <c r="C1140" t="s">
        <v>10136</v>
      </c>
      <c r="D1140" t="s">
        <v>1084</v>
      </c>
      <c r="E1140" t="s">
        <v>63</v>
      </c>
      <c r="F1140">
        <v>2011</v>
      </c>
      <c r="G1140" t="s">
        <v>63</v>
      </c>
      <c r="H1140">
        <v>59</v>
      </c>
      <c r="I1140">
        <v>7</v>
      </c>
      <c r="J1140">
        <v>658</v>
      </c>
      <c r="K1140">
        <v>661</v>
      </c>
      <c r="L1140" t="s">
        <v>10137</v>
      </c>
      <c r="M1140" t="s">
        <v>10138</v>
      </c>
      <c r="N1140" t="s">
        <v>10139</v>
      </c>
      <c r="O1140" t="s">
        <v>63</v>
      </c>
      <c r="Q1140" t="s">
        <v>63</v>
      </c>
      <c r="R1140" t="s">
        <v>63</v>
      </c>
      <c r="S1140" t="s">
        <v>63</v>
      </c>
      <c r="T1140" t="s">
        <v>63</v>
      </c>
      <c r="X1140" t="s">
        <v>63</v>
      </c>
      <c r="Y1140" t="s">
        <v>10140</v>
      </c>
      <c r="Z1140" t="s">
        <v>63</v>
      </c>
      <c r="AA1140" t="s">
        <v>10141</v>
      </c>
      <c r="AB1140">
        <v>21823962</v>
      </c>
      <c r="AC1140" t="s">
        <v>67</v>
      </c>
      <c r="AD1140" t="s">
        <v>63</v>
      </c>
      <c r="AE1140" t="s">
        <v>63</v>
      </c>
      <c r="AF1140" t="s">
        <v>63</v>
      </c>
      <c r="AG1140" t="s">
        <v>10142</v>
      </c>
      <c r="AH1140" t="s">
        <v>63</v>
      </c>
      <c r="AI1140" t="s">
        <v>10143</v>
      </c>
      <c r="AJ1140" t="s">
        <v>63</v>
      </c>
      <c r="AK1140" t="s">
        <v>63</v>
      </c>
      <c r="AL1140" t="s">
        <v>63</v>
      </c>
      <c r="AM1140" t="s">
        <v>10144</v>
      </c>
      <c r="AN1140" t="s">
        <v>63</v>
      </c>
      <c r="AO1140" t="s">
        <v>63</v>
      </c>
      <c r="AP1140" t="s">
        <v>63</v>
      </c>
      <c r="AQ1140" t="s">
        <v>63</v>
      </c>
      <c r="AR1140" t="s">
        <v>63</v>
      </c>
      <c r="AS1140" t="s">
        <v>63</v>
      </c>
      <c r="AT1140" t="s">
        <v>63</v>
      </c>
      <c r="AU1140" t="s">
        <v>63</v>
      </c>
      <c r="AV1140" t="s">
        <v>63</v>
      </c>
      <c r="AW1140" t="s">
        <v>63</v>
      </c>
      <c r="AX1140" t="s">
        <v>63</v>
      </c>
      <c r="AY1140" t="s">
        <v>63</v>
      </c>
      <c r="AZ1140" t="s">
        <v>63</v>
      </c>
      <c r="BA1140" t="s">
        <v>63</v>
      </c>
      <c r="BB1140" t="s">
        <v>63</v>
      </c>
      <c r="BC1140" t="s">
        <v>63</v>
      </c>
      <c r="BD1140" t="s">
        <v>63</v>
      </c>
      <c r="BE1140" t="s">
        <v>63</v>
      </c>
      <c r="BF1140" t="s">
        <v>63</v>
      </c>
    </row>
    <row r="1141" spans="1:58">
      <c r="A1141" t="s">
        <v>58</v>
      </c>
      <c r="B1141" t="s">
        <v>10145</v>
      </c>
      <c r="C1141" t="s">
        <v>10146</v>
      </c>
      <c r="D1141" t="s">
        <v>10147</v>
      </c>
      <c r="E1141" t="s">
        <v>63</v>
      </c>
      <c r="F1141">
        <v>2006</v>
      </c>
      <c r="G1141" s="1">
        <v>41661</v>
      </c>
      <c r="H1141">
        <v>8</v>
      </c>
      <c r="I1141">
        <v>1</v>
      </c>
      <c r="J1141">
        <v>21</v>
      </c>
      <c r="K1141" t="s">
        <v>63</v>
      </c>
      <c r="L1141" t="s">
        <v>10148</v>
      </c>
      <c r="M1141" t="s">
        <v>63</v>
      </c>
      <c r="N1141" t="s">
        <v>10149</v>
      </c>
      <c r="O1141" t="s">
        <v>63</v>
      </c>
      <c r="Q1141" t="s">
        <v>63</v>
      </c>
      <c r="R1141" t="s">
        <v>63</v>
      </c>
      <c r="S1141" t="s">
        <v>63</v>
      </c>
      <c r="T1141" t="s">
        <v>63</v>
      </c>
      <c r="X1141" t="s">
        <v>63</v>
      </c>
      <c r="Y1141" t="s">
        <v>10150</v>
      </c>
      <c r="Z1141" t="s">
        <v>63</v>
      </c>
      <c r="AA1141" t="s">
        <v>63</v>
      </c>
      <c r="AB1141">
        <v>16915151</v>
      </c>
      <c r="AC1141" t="s">
        <v>67</v>
      </c>
      <c r="AD1141" t="s">
        <v>63</v>
      </c>
      <c r="AE1141" t="s">
        <v>63</v>
      </c>
      <c r="AF1141" t="s">
        <v>63</v>
      </c>
      <c r="AG1141" t="s">
        <v>10151</v>
      </c>
      <c r="AH1141" t="s">
        <v>63</v>
      </c>
      <c r="AI1141" t="s">
        <v>63</v>
      </c>
      <c r="AJ1141" t="s">
        <v>63</v>
      </c>
      <c r="AK1141" t="s">
        <v>63</v>
      </c>
      <c r="AL1141" t="s">
        <v>63</v>
      </c>
      <c r="AM1141" t="s">
        <v>10152</v>
      </c>
      <c r="AN1141" t="s">
        <v>63</v>
      </c>
      <c r="AO1141" t="s">
        <v>63</v>
      </c>
      <c r="AP1141" t="s">
        <v>63</v>
      </c>
      <c r="AQ1141" t="s">
        <v>63</v>
      </c>
      <c r="AR1141" t="s">
        <v>63</v>
      </c>
      <c r="AS1141" t="s">
        <v>63</v>
      </c>
      <c r="AT1141" t="s">
        <v>63</v>
      </c>
      <c r="AU1141" t="s">
        <v>63</v>
      </c>
      <c r="AV1141" t="s">
        <v>63</v>
      </c>
      <c r="AW1141" t="s">
        <v>63</v>
      </c>
      <c r="AX1141" t="s">
        <v>63</v>
      </c>
      <c r="AY1141" t="s">
        <v>63</v>
      </c>
      <c r="AZ1141" t="s">
        <v>63</v>
      </c>
      <c r="BA1141" t="s">
        <v>63</v>
      </c>
      <c r="BB1141" t="s">
        <v>63</v>
      </c>
      <c r="BC1141" t="s">
        <v>63</v>
      </c>
      <c r="BD1141" t="s">
        <v>63</v>
      </c>
      <c r="BE1141" t="s">
        <v>63</v>
      </c>
      <c r="BF1141" t="s">
        <v>63</v>
      </c>
    </row>
    <row r="1142" spans="1:58">
      <c r="A1142" t="s">
        <v>58</v>
      </c>
      <c r="B1142" t="s">
        <v>10153</v>
      </c>
      <c r="C1142" t="s">
        <v>10154</v>
      </c>
      <c r="D1142" t="s">
        <v>10155</v>
      </c>
      <c r="E1142" t="s">
        <v>10156</v>
      </c>
      <c r="F1142">
        <v>2011</v>
      </c>
      <c r="G1142" t="s">
        <v>157</v>
      </c>
      <c r="H1142">
        <v>180</v>
      </c>
      <c r="I1142">
        <v>4</v>
      </c>
      <c r="J1142">
        <v>787</v>
      </c>
      <c r="K1142">
        <v>792</v>
      </c>
      <c r="L1142" t="s">
        <v>10157</v>
      </c>
      <c r="M1142" t="s">
        <v>10158</v>
      </c>
      <c r="N1142" t="s">
        <v>10159</v>
      </c>
      <c r="O1142" t="s">
        <v>63</v>
      </c>
      <c r="Q1142" t="s">
        <v>63</v>
      </c>
      <c r="R1142" t="s">
        <v>63</v>
      </c>
      <c r="S1142" t="s">
        <v>63</v>
      </c>
      <c r="T1142" t="s">
        <v>63</v>
      </c>
      <c r="X1142" t="s">
        <v>63</v>
      </c>
      <c r="Y1142" t="s">
        <v>10160</v>
      </c>
      <c r="Z1142" t="s">
        <v>63</v>
      </c>
      <c r="AA1142" t="s">
        <v>10161</v>
      </c>
      <c r="AB1142">
        <v>21805088</v>
      </c>
      <c r="AC1142" t="s">
        <v>67</v>
      </c>
      <c r="AD1142" t="s">
        <v>63</v>
      </c>
      <c r="AE1142" t="s">
        <v>63</v>
      </c>
      <c r="AF1142" t="s">
        <v>63</v>
      </c>
      <c r="AG1142" t="s">
        <v>10162</v>
      </c>
      <c r="AH1142" t="s">
        <v>63</v>
      </c>
      <c r="AI1142" t="s">
        <v>10163</v>
      </c>
      <c r="AJ1142" t="s">
        <v>63</v>
      </c>
      <c r="AK1142" t="s">
        <v>63</v>
      </c>
      <c r="AL1142" t="s">
        <v>63</v>
      </c>
      <c r="AM1142" t="s">
        <v>10164</v>
      </c>
      <c r="AN1142" t="s">
        <v>63</v>
      </c>
      <c r="AO1142" t="s">
        <v>63</v>
      </c>
      <c r="AP1142" t="s">
        <v>63</v>
      </c>
      <c r="AQ1142" t="s">
        <v>63</v>
      </c>
      <c r="AR1142" t="s">
        <v>63</v>
      </c>
      <c r="AS1142" t="s">
        <v>63</v>
      </c>
      <c r="AT1142" t="s">
        <v>63</v>
      </c>
      <c r="AU1142" t="s">
        <v>63</v>
      </c>
      <c r="AV1142" t="s">
        <v>63</v>
      </c>
      <c r="AW1142" t="s">
        <v>63</v>
      </c>
      <c r="AX1142" t="s">
        <v>63</v>
      </c>
      <c r="AY1142" t="s">
        <v>63</v>
      </c>
      <c r="AZ1142" t="s">
        <v>63</v>
      </c>
      <c r="BA1142" t="s">
        <v>63</v>
      </c>
      <c r="BB1142" t="s">
        <v>63</v>
      </c>
      <c r="BC1142" t="s">
        <v>63</v>
      </c>
      <c r="BD1142" t="s">
        <v>63</v>
      </c>
      <c r="BE1142" t="s">
        <v>63</v>
      </c>
      <c r="BF1142" t="s">
        <v>63</v>
      </c>
    </row>
    <row r="1143" spans="1:58">
      <c r="A1143" t="s">
        <v>58</v>
      </c>
      <c r="B1143" t="s">
        <v>10165</v>
      </c>
      <c r="C1143" t="s">
        <v>10166</v>
      </c>
      <c r="D1143" t="s">
        <v>371</v>
      </c>
      <c r="E1143" t="s">
        <v>63</v>
      </c>
      <c r="F1143">
        <v>2016</v>
      </c>
      <c r="G1143" t="s">
        <v>326</v>
      </c>
      <c r="H1143">
        <v>31</v>
      </c>
      <c r="I1143">
        <v>2</v>
      </c>
      <c r="J1143">
        <v>172</v>
      </c>
      <c r="K1143">
        <v>181</v>
      </c>
      <c r="L1143" t="s">
        <v>10167</v>
      </c>
      <c r="M1143" t="s">
        <v>10168</v>
      </c>
      <c r="N1143" t="s">
        <v>10169</v>
      </c>
      <c r="O1143" t="s">
        <v>63</v>
      </c>
      <c r="Q1143" t="s">
        <v>63</v>
      </c>
      <c r="R1143" t="s">
        <v>63</v>
      </c>
      <c r="S1143" t="s">
        <v>63</v>
      </c>
      <c r="T1143" t="s">
        <v>63</v>
      </c>
      <c r="X1143" t="s">
        <v>63</v>
      </c>
      <c r="Y1143" t="s">
        <v>547</v>
      </c>
      <c r="Z1143" t="s">
        <v>63</v>
      </c>
      <c r="AA1143" t="s">
        <v>10170</v>
      </c>
      <c r="AB1143">
        <v>26391030</v>
      </c>
      <c r="AC1143" t="s">
        <v>67</v>
      </c>
      <c r="AD1143" t="s">
        <v>63</v>
      </c>
      <c r="AE1143" t="s">
        <v>63</v>
      </c>
      <c r="AF1143" t="s">
        <v>63</v>
      </c>
      <c r="AG1143" t="s">
        <v>10171</v>
      </c>
      <c r="AH1143" t="s">
        <v>63</v>
      </c>
      <c r="AI1143" t="s">
        <v>10172</v>
      </c>
      <c r="AJ1143" t="s">
        <v>63</v>
      </c>
      <c r="AK1143" t="s">
        <v>63</v>
      </c>
      <c r="AL1143" t="s">
        <v>63</v>
      </c>
      <c r="AM1143" t="s">
        <v>10173</v>
      </c>
      <c r="AN1143" t="s">
        <v>63</v>
      </c>
      <c r="AO1143" t="s">
        <v>63</v>
      </c>
      <c r="AP1143" t="s">
        <v>63</v>
      </c>
      <c r="AQ1143" t="s">
        <v>63</v>
      </c>
      <c r="AR1143" t="s">
        <v>63</v>
      </c>
      <c r="AS1143" t="s">
        <v>63</v>
      </c>
      <c r="AT1143" t="s">
        <v>63</v>
      </c>
      <c r="AU1143" t="s">
        <v>63</v>
      </c>
      <c r="AV1143" t="s">
        <v>63</v>
      </c>
      <c r="AW1143" t="s">
        <v>63</v>
      </c>
      <c r="AX1143" t="s">
        <v>63</v>
      </c>
      <c r="AY1143" t="s">
        <v>63</v>
      </c>
      <c r="AZ1143" t="s">
        <v>63</v>
      </c>
      <c r="BA1143" t="s">
        <v>63</v>
      </c>
      <c r="BB1143" t="s">
        <v>63</v>
      </c>
      <c r="BC1143" t="s">
        <v>63</v>
      </c>
      <c r="BD1143" t="s">
        <v>63</v>
      </c>
      <c r="BE1143" t="s">
        <v>63</v>
      </c>
      <c r="BF1143" t="s">
        <v>63</v>
      </c>
    </row>
    <row r="1144" spans="1:58">
      <c r="A1144" t="s">
        <v>58</v>
      </c>
      <c r="B1144" t="s">
        <v>10174</v>
      </c>
      <c r="C1144" t="s">
        <v>10175</v>
      </c>
      <c r="D1144" t="s">
        <v>3142</v>
      </c>
      <c r="E1144" t="s">
        <v>3143</v>
      </c>
      <c r="F1144">
        <v>1988</v>
      </c>
      <c r="G1144" t="s">
        <v>189</v>
      </c>
      <c r="H1144">
        <v>148</v>
      </c>
      <c r="I1144">
        <v>5</v>
      </c>
      <c r="J1144">
        <v>1039</v>
      </c>
      <c r="K1144">
        <v>1045</v>
      </c>
      <c r="L1144" t="s">
        <v>10176</v>
      </c>
      <c r="M1144" t="s">
        <v>10177</v>
      </c>
      <c r="N1144" t="s">
        <v>10178</v>
      </c>
      <c r="O1144" t="s">
        <v>63</v>
      </c>
      <c r="Q1144" t="s">
        <v>63</v>
      </c>
      <c r="R1144" t="s">
        <v>63</v>
      </c>
      <c r="S1144" t="s">
        <v>63</v>
      </c>
      <c r="T1144" t="s">
        <v>63</v>
      </c>
      <c r="X1144" t="s">
        <v>63</v>
      </c>
      <c r="Y1144" s="2">
        <v>2930035</v>
      </c>
      <c r="Z1144" t="s">
        <v>63</v>
      </c>
      <c r="AA1144" t="s">
        <v>10179</v>
      </c>
      <c r="AB1144">
        <v>3365074</v>
      </c>
      <c r="AC1144" t="s">
        <v>67</v>
      </c>
      <c r="AD1144" t="s">
        <v>63</v>
      </c>
      <c r="AE1144" t="s">
        <v>63</v>
      </c>
      <c r="AF1144" t="s">
        <v>63</v>
      </c>
      <c r="AG1144" t="s">
        <v>10180</v>
      </c>
      <c r="AH1144" t="s">
        <v>63</v>
      </c>
      <c r="AI1144" t="s">
        <v>63</v>
      </c>
      <c r="AJ1144" t="s">
        <v>63</v>
      </c>
      <c r="AK1144" t="s">
        <v>63</v>
      </c>
      <c r="AL1144" t="s">
        <v>63</v>
      </c>
      <c r="AM1144" t="s">
        <v>10181</v>
      </c>
      <c r="AN1144" t="s">
        <v>63</v>
      </c>
      <c r="AO1144" t="s">
        <v>63</v>
      </c>
      <c r="AP1144" t="s">
        <v>63</v>
      </c>
      <c r="AQ1144" t="s">
        <v>63</v>
      </c>
      <c r="AR1144" t="s">
        <v>63</v>
      </c>
      <c r="AS1144" t="s">
        <v>63</v>
      </c>
      <c r="AT1144" t="s">
        <v>63</v>
      </c>
      <c r="AU1144" t="s">
        <v>63</v>
      </c>
      <c r="AV1144" t="s">
        <v>63</v>
      </c>
      <c r="AW1144" t="s">
        <v>63</v>
      </c>
      <c r="AX1144" t="s">
        <v>63</v>
      </c>
      <c r="AY1144" t="s">
        <v>63</v>
      </c>
      <c r="AZ1144" t="s">
        <v>63</v>
      </c>
      <c r="BA1144" t="s">
        <v>63</v>
      </c>
      <c r="BB1144" t="s">
        <v>63</v>
      </c>
      <c r="BC1144" t="s">
        <v>63</v>
      </c>
      <c r="BD1144" t="s">
        <v>63</v>
      </c>
      <c r="BE1144" t="s">
        <v>63</v>
      </c>
      <c r="BF1144" t="s">
        <v>63</v>
      </c>
    </row>
    <row r="1145" spans="1:58">
      <c r="A1145" t="s">
        <v>58</v>
      </c>
      <c r="B1145" t="s">
        <v>10182</v>
      </c>
      <c r="C1145" t="s">
        <v>10183</v>
      </c>
      <c r="D1145" t="s">
        <v>2325</v>
      </c>
      <c r="E1145" t="s">
        <v>63</v>
      </c>
      <c r="F1145">
        <v>2011</v>
      </c>
      <c r="G1145" t="s">
        <v>147</v>
      </c>
      <c r="H1145">
        <v>24</v>
      </c>
      <c r="I1145">
        <v>2</v>
      </c>
      <c r="J1145">
        <v>194</v>
      </c>
      <c r="K1145">
        <v>201</v>
      </c>
      <c r="L1145" t="s">
        <v>10184</v>
      </c>
      <c r="M1145" t="s">
        <v>10185</v>
      </c>
      <c r="N1145" t="s">
        <v>10186</v>
      </c>
      <c r="O1145" t="s">
        <v>63</v>
      </c>
      <c r="Q1145" t="s">
        <v>63</v>
      </c>
      <c r="R1145" t="s">
        <v>63</v>
      </c>
      <c r="S1145" t="s">
        <v>63</v>
      </c>
      <c r="T1145" t="s">
        <v>63</v>
      </c>
      <c r="X1145" t="s">
        <v>63</v>
      </c>
      <c r="Y1145" t="s">
        <v>10187</v>
      </c>
      <c r="Z1145" t="s">
        <v>63</v>
      </c>
      <c r="AA1145" t="s">
        <v>10188</v>
      </c>
      <c r="AB1145">
        <v>21383220</v>
      </c>
      <c r="AC1145" t="s">
        <v>67</v>
      </c>
      <c r="AD1145" t="s">
        <v>63</v>
      </c>
      <c r="AE1145" t="s">
        <v>63</v>
      </c>
      <c r="AF1145" t="s">
        <v>63</v>
      </c>
      <c r="AG1145" t="s">
        <v>10189</v>
      </c>
      <c r="AH1145" t="s">
        <v>63</v>
      </c>
      <c r="AI1145" t="s">
        <v>10190</v>
      </c>
      <c r="AJ1145" t="s">
        <v>63</v>
      </c>
      <c r="AK1145" t="s">
        <v>63</v>
      </c>
      <c r="AL1145" t="s">
        <v>63</v>
      </c>
      <c r="AM1145" t="s">
        <v>10191</v>
      </c>
      <c r="AN1145" t="s">
        <v>63</v>
      </c>
      <c r="AO1145" t="s">
        <v>63</v>
      </c>
      <c r="AP1145" t="s">
        <v>63</v>
      </c>
      <c r="AQ1145" t="s">
        <v>63</v>
      </c>
      <c r="AR1145" t="s">
        <v>63</v>
      </c>
      <c r="AS1145" t="s">
        <v>63</v>
      </c>
      <c r="AT1145" t="s">
        <v>63</v>
      </c>
      <c r="AU1145" t="s">
        <v>63</v>
      </c>
      <c r="AV1145" t="s">
        <v>63</v>
      </c>
      <c r="AW1145" t="s">
        <v>63</v>
      </c>
      <c r="AX1145" t="s">
        <v>63</v>
      </c>
      <c r="AY1145" t="s">
        <v>63</v>
      </c>
      <c r="AZ1145" t="s">
        <v>63</v>
      </c>
      <c r="BA1145" t="s">
        <v>63</v>
      </c>
      <c r="BB1145" t="s">
        <v>63</v>
      </c>
      <c r="BC1145" t="s">
        <v>63</v>
      </c>
      <c r="BD1145" t="s">
        <v>63</v>
      </c>
      <c r="BE1145" t="s">
        <v>63</v>
      </c>
      <c r="BF1145" t="s">
        <v>63</v>
      </c>
    </row>
    <row r="1146" spans="1:58">
      <c r="A1146" t="s">
        <v>58</v>
      </c>
      <c r="B1146" t="s">
        <v>10192</v>
      </c>
      <c r="C1146" t="s">
        <v>10193</v>
      </c>
      <c r="D1146" t="s">
        <v>371</v>
      </c>
      <c r="E1146" t="s">
        <v>63</v>
      </c>
      <c r="F1146">
        <v>1993</v>
      </c>
      <c r="G1146" t="s">
        <v>189</v>
      </c>
      <c r="H1146">
        <v>8</v>
      </c>
      <c r="I1146">
        <v>5</v>
      </c>
      <c r="J1146">
        <v>266</v>
      </c>
      <c r="K1146">
        <v>268</v>
      </c>
      <c r="L1146" t="s">
        <v>10194</v>
      </c>
      <c r="M1146" t="s">
        <v>10195</v>
      </c>
      <c r="N1146" t="s">
        <v>10196</v>
      </c>
      <c r="O1146" t="s">
        <v>63</v>
      </c>
      <c r="Q1146" t="s">
        <v>63</v>
      </c>
      <c r="R1146" t="s">
        <v>63</v>
      </c>
      <c r="S1146" t="s">
        <v>63</v>
      </c>
      <c r="T1146" t="s">
        <v>63</v>
      </c>
      <c r="X1146" t="s">
        <v>63</v>
      </c>
      <c r="Y1146" t="s">
        <v>375</v>
      </c>
      <c r="Z1146" t="s">
        <v>63</v>
      </c>
      <c r="AA1146" t="s">
        <v>10197</v>
      </c>
      <c r="AB1146">
        <v>8505687</v>
      </c>
      <c r="AC1146" t="s">
        <v>67</v>
      </c>
      <c r="AD1146" t="s">
        <v>63</v>
      </c>
      <c r="AE1146" t="s">
        <v>63</v>
      </c>
      <c r="AF1146" t="s">
        <v>63</v>
      </c>
      <c r="AG1146" t="s">
        <v>10198</v>
      </c>
      <c r="AH1146" t="s">
        <v>63</v>
      </c>
      <c r="AI1146" t="s">
        <v>63</v>
      </c>
      <c r="AJ1146" t="s">
        <v>63</v>
      </c>
      <c r="AK1146" t="s">
        <v>63</v>
      </c>
      <c r="AL1146" t="s">
        <v>63</v>
      </c>
      <c r="AM1146" t="s">
        <v>10199</v>
      </c>
      <c r="AN1146" t="s">
        <v>63</v>
      </c>
      <c r="AO1146" t="s">
        <v>63</v>
      </c>
      <c r="AP1146" t="s">
        <v>63</v>
      </c>
      <c r="AQ1146" t="s">
        <v>63</v>
      </c>
      <c r="AR1146" t="s">
        <v>63</v>
      </c>
      <c r="AS1146" t="s">
        <v>63</v>
      </c>
      <c r="AT1146" t="s">
        <v>63</v>
      </c>
      <c r="AU1146" t="s">
        <v>63</v>
      </c>
      <c r="AV1146" t="s">
        <v>63</v>
      </c>
      <c r="AW1146" t="s">
        <v>63</v>
      </c>
      <c r="AX1146" t="s">
        <v>63</v>
      </c>
      <c r="AY1146" t="s">
        <v>63</v>
      </c>
      <c r="AZ1146" t="s">
        <v>63</v>
      </c>
      <c r="BA1146" t="s">
        <v>63</v>
      </c>
      <c r="BB1146" t="s">
        <v>63</v>
      </c>
      <c r="BC1146" t="s">
        <v>63</v>
      </c>
      <c r="BD1146" t="s">
        <v>63</v>
      </c>
      <c r="BE1146" t="s">
        <v>63</v>
      </c>
      <c r="BF1146" t="s">
        <v>63</v>
      </c>
    </row>
    <row r="1147" spans="1:58">
      <c r="A1147" t="s">
        <v>58</v>
      </c>
      <c r="B1147" t="s">
        <v>10200</v>
      </c>
      <c r="C1147" t="s">
        <v>10201</v>
      </c>
      <c r="D1147" t="s">
        <v>111</v>
      </c>
      <c r="E1147" t="s">
        <v>112</v>
      </c>
      <c r="F1147">
        <v>2011</v>
      </c>
      <c r="G1147" s="1">
        <v>41642</v>
      </c>
      <c r="H1147">
        <v>154</v>
      </c>
      <c r="I1147">
        <v>1</v>
      </c>
      <c r="J1147">
        <v>56</v>
      </c>
      <c r="K1147">
        <v>59</v>
      </c>
      <c r="L1147" t="s">
        <v>10202</v>
      </c>
      <c r="M1147" t="s">
        <v>10203</v>
      </c>
      <c r="N1147" t="s">
        <v>10204</v>
      </c>
      <c r="O1147" t="s">
        <v>63</v>
      </c>
      <c r="Q1147" t="s">
        <v>63</v>
      </c>
      <c r="R1147" t="s">
        <v>63</v>
      </c>
      <c r="S1147" t="s">
        <v>63</v>
      </c>
      <c r="T1147" t="s">
        <v>63</v>
      </c>
      <c r="X1147" t="s">
        <v>63</v>
      </c>
      <c r="Y1147" t="s">
        <v>116</v>
      </c>
      <c r="Z1147" t="s">
        <v>63</v>
      </c>
      <c r="AA1147" t="s">
        <v>10205</v>
      </c>
      <c r="AB1147">
        <v>21200039</v>
      </c>
      <c r="AC1147" t="s">
        <v>67</v>
      </c>
      <c r="AD1147" t="s">
        <v>63</v>
      </c>
      <c r="AE1147" t="s">
        <v>63</v>
      </c>
      <c r="AF1147" t="s">
        <v>63</v>
      </c>
      <c r="AG1147" t="s">
        <v>10206</v>
      </c>
      <c r="AH1147" t="s">
        <v>63</v>
      </c>
      <c r="AI1147" t="s">
        <v>10207</v>
      </c>
      <c r="AJ1147" t="s">
        <v>63</v>
      </c>
      <c r="AK1147" t="s">
        <v>63</v>
      </c>
      <c r="AL1147" t="s">
        <v>63</v>
      </c>
      <c r="AM1147" t="s">
        <v>10208</v>
      </c>
      <c r="AN1147" t="s">
        <v>63</v>
      </c>
      <c r="AO1147" t="s">
        <v>63</v>
      </c>
      <c r="AP1147" t="s">
        <v>63</v>
      </c>
      <c r="AQ1147" t="s">
        <v>63</v>
      </c>
      <c r="AR1147" t="s">
        <v>63</v>
      </c>
      <c r="AS1147" t="s">
        <v>63</v>
      </c>
      <c r="AT1147" t="s">
        <v>63</v>
      </c>
      <c r="AU1147" t="s">
        <v>63</v>
      </c>
      <c r="AV1147" t="s">
        <v>63</v>
      </c>
      <c r="AW1147" t="s">
        <v>63</v>
      </c>
      <c r="AX1147" t="s">
        <v>63</v>
      </c>
      <c r="AY1147" t="s">
        <v>63</v>
      </c>
      <c r="AZ1147" t="s">
        <v>63</v>
      </c>
      <c r="BA1147" t="s">
        <v>63</v>
      </c>
      <c r="BB1147" t="s">
        <v>63</v>
      </c>
      <c r="BC1147" t="s">
        <v>63</v>
      </c>
      <c r="BD1147" t="s">
        <v>63</v>
      </c>
      <c r="BE1147" t="s">
        <v>63</v>
      </c>
      <c r="BF1147" t="s">
        <v>63</v>
      </c>
    </row>
    <row r="1148" spans="1:58">
      <c r="A1148" t="s">
        <v>58</v>
      </c>
      <c r="B1148" t="s">
        <v>10209</v>
      </c>
      <c r="C1148" t="s">
        <v>10210</v>
      </c>
      <c r="D1148" t="s">
        <v>10211</v>
      </c>
      <c r="E1148" t="s">
        <v>10212</v>
      </c>
      <c r="F1148">
        <v>1997</v>
      </c>
      <c r="G1148" t="s">
        <v>1670</v>
      </c>
      <c r="H1148">
        <v>81</v>
      </c>
      <c r="I1148">
        <v>4</v>
      </c>
      <c r="J1148">
        <v>1037</v>
      </c>
      <c r="K1148">
        <v>1052</v>
      </c>
      <c r="L1148" t="s">
        <v>10213</v>
      </c>
      <c r="M1148" t="s">
        <v>10214</v>
      </c>
      <c r="N1148" t="s">
        <v>10215</v>
      </c>
      <c r="O1148" t="s">
        <v>63</v>
      </c>
      <c r="Q1148" t="s">
        <v>63</v>
      </c>
      <c r="R1148" t="s">
        <v>63</v>
      </c>
      <c r="S1148" t="s">
        <v>63</v>
      </c>
      <c r="T1148" t="s">
        <v>63</v>
      </c>
      <c r="X1148" t="s">
        <v>63</v>
      </c>
      <c r="Y1148" t="s">
        <v>10216</v>
      </c>
      <c r="Z1148" t="s">
        <v>63</v>
      </c>
      <c r="AA1148" t="s">
        <v>10217</v>
      </c>
      <c r="AB1148">
        <v>9222267</v>
      </c>
      <c r="AC1148" t="s">
        <v>67</v>
      </c>
      <c r="AD1148" t="s">
        <v>63</v>
      </c>
      <c r="AE1148" t="s">
        <v>63</v>
      </c>
      <c r="AF1148" t="s">
        <v>63</v>
      </c>
      <c r="AG1148" t="s">
        <v>10218</v>
      </c>
      <c r="AH1148" t="s">
        <v>63</v>
      </c>
      <c r="AI1148" t="s">
        <v>63</v>
      </c>
      <c r="AJ1148" t="s">
        <v>63</v>
      </c>
      <c r="AK1148" t="s">
        <v>63</v>
      </c>
      <c r="AL1148" t="s">
        <v>63</v>
      </c>
      <c r="AM1148" t="s">
        <v>10219</v>
      </c>
      <c r="AN1148" t="s">
        <v>63</v>
      </c>
      <c r="AO1148" t="s">
        <v>63</v>
      </c>
      <c r="AP1148" t="s">
        <v>63</v>
      </c>
      <c r="AQ1148" t="s">
        <v>63</v>
      </c>
      <c r="AR1148" t="s">
        <v>63</v>
      </c>
      <c r="AS1148" t="s">
        <v>63</v>
      </c>
      <c r="AT1148" t="s">
        <v>63</v>
      </c>
      <c r="AU1148" t="s">
        <v>63</v>
      </c>
      <c r="AV1148" t="s">
        <v>63</v>
      </c>
      <c r="AW1148" t="s">
        <v>63</v>
      </c>
      <c r="AX1148" t="s">
        <v>63</v>
      </c>
      <c r="AY1148" t="s">
        <v>63</v>
      </c>
      <c r="AZ1148" t="s">
        <v>63</v>
      </c>
      <c r="BA1148" t="s">
        <v>63</v>
      </c>
      <c r="BB1148" t="s">
        <v>63</v>
      </c>
      <c r="BC1148" t="s">
        <v>63</v>
      </c>
      <c r="BD1148" t="s">
        <v>63</v>
      </c>
      <c r="BE1148" t="s">
        <v>63</v>
      </c>
      <c r="BF1148" t="s">
        <v>63</v>
      </c>
    </row>
    <row r="1149" spans="1:58">
      <c r="A1149" t="s">
        <v>58</v>
      </c>
      <c r="B1149" t="s">
        <v>10220</v>
      </c>
      <c r="C1149" t="s">
        <v>10221</v>
      </c>
      <c r="D1149" t="s">
        <v>1846</v>
      </c>
      <c r="E1149" t="s">
        <v>1847</v>
      </c>
      <c r="F1149">
        <v>1977</v>
      </c>
      <c r="G1149" t="s">
        <v>157</v>
      </c>
      <c r="H1149">
        <v>26</v>
      </c>
      <c r="I1149">
        <v>12</v>
      </c>
      <c r="J1149">
        <v>31</v>
      </c>
      <c r="K1149">
        <v>32</v>
      </c>
      <c r="L1149" t="s">
        <v>10222</v>
      </c>
      <c r="M1149" t="s">
        <v>63</v>
      </c>
      <c r="N1149" t="s">
        <v>10223</v>
      </c>
      <c r="O1149" t="s">
        <v>63</v>
      </c>
      <c r="Q1149" t="s">
        <v>63</v>
      </c>
      <c r="R1149" t="s">
        <v>63</v>
      </c>
      <c r="S1149" t="s">
        <v>63</v>
      </c>
      <c r="T1149" t="s">
        <v>63</v>
      </c>
      <c r="X1149" t="s">
        <v>63</v>
      </c>
      <c r="Y1149" t="s">
        <v>1850</v>
      </c>
      <c r="Z1149" t="s">
        <v>63</v>
      </c>
      <c r="AA1149" t="s">
        <v>63</v>
      </c>
      <c r="AB1149">
        <v>562958</v>
      </c>
      <c r="AC1149" t="s">
        <v>67</v>
      </c>
      <c r="AD1149" t="s">
        <v>63</v>
      </c>
      <c r="AE1149" t="s">
        <v>63</v>
      </c>
      <c r="AF1149" t="s">
        <v>63</v>
      </c>
      <c r="AG1149" t="s">
        <v>10224</v>
      </c>
      <c r="AH1149" t="s">
        <v>63</v>
      </c>
      <c r="AI1149" t="s">
        <v>63</v>
      </c>
      <c r="AJ1149" t="s">
        <v>63</v>
      </c>
      <c r="AK1149" t="s">
        <v>63</v>
      </c>
      <c r="AL1149" t="s">
        <v>63</v>
      </c>
      <c r="AM1149" t="s">
        <v>10225</v>
      </c>
      <c r="AN1149" t="s">
        <v>63</v>
      </c>
      <c r="AO1149" t="s">
        <v>63</v>
      </c>
      <c r="AP1149" t="s">
        <v>63</v>
      </c>
      <c r="AQ1149" t="s">
        <v>63</v>
      </c>
      <c r="AR1149" t="s">
        <v>63</v>
      </c>
      <c r="AS1149" t="s">
        <v>63</v>
      </c>
      <c r="AT1149" t="s">
        <v>63</v>
      </c>
      <c r="AU1149" t="s">
        <v>63</v>
      </c>
      <c r="AV1149" t="s">
        <v>63</v>
      </c>
      <c r="AW1149" t="s">
        <v>63</v>
      </c>
      <c r="AX1149" t="s">
        <v>63</v>
      </c>
      <c r="AY1149" t="s">
        <v>63</v>
      </c>
      <c r="AZ1149" t="s">
        <v>63</v>
      </c>
      <c r="BA1149" t="s">
        <v>63</v>
      </c>
      <c r="BB1149" t="s">
        <v>63</v>
      </c>
      <c r="BC1149" t="s">
        <v>63</v>
      </c>
      <c r="BD1149" t="s">
        <v>63</v>
      </c>
      <c r="BE1149" t="s">
        <v>63</v>
      </c>
      <c r="BF1149" t="s">
        <v>63</v>
      </c>
    </row>
    <row r="1150" spans="1:58">
      <c r="A1150" t="s">
        <v>58</v>
      </c>
      <c r="B1150" t="s">
        <v>10226</v>
      </c>
      <c r="C1150" t="s">
        <v>10227</v>
      </c>
      <c r="D1150" t="s">
        <v>7011</v>
      </c>
      <c r="E1150" t="s">
        <v>7012</v>
      </c>
      <c r="F1150">
        <v>1973</v>
      </c>
      <c r="G1150" t="s">
        <v>1114</v>
      </c>
      <c r="H1150">
        <v>14</v>
      </c>
      <c r="I1150">
        <v>3</v>
      </c>
      <c r="J1150">
        <v>235</v>
      </c>
      <c r="K1150">
        <v>240</v>
      </c>
      <c r="L1150" t="s">
        <v>10228</v>
      </c>
      <c r="M1150" t="s">
        <v>63</v>
      </c>
      <c r="N1150" t="s">
        <v>10229</v>
      </c>
      <c r="O1150" t="s">
        <v>63</v>
      </c>
      <c r="Q1150" t="s">
        <v>63</v>
      </c>
      <c r="R1150" t="s">
        <v>63</v>
      </c>
      <c r="S1150" t="s">
        <v>63</v>
      </c>
      <c r="T1150" t="s">
        <v>63</v>
      </c>
      <c r="X1150" t="s">
        <v>63</v>
      </c>
      <c r="Y1150" t="s">
        <v>10230</v>
      </c>
      <c r="Z1150" t="s">
        <v>63</v>
      </c>
      <c r="AA1150" t="s">
        <v>63</v>
      </c>
      <c r="AB1150">
        <v>4710311</v>
      </c>
      <c r="AC1150" t="s">
        <v>67</v>
      </c>
      <c r="AD1150" t="s">
        <v>63</v>
      </c>
      <c r="AE1150" t="s">
        <v>63</v>
      </c>
      <c r="AF1150" t="s">
        <v>63</v>
      </c>
      <c r="AG1150" t="s">
        <v>10231</v>
      </c>
      <c r="AH1150" t="s">
        <v>63</v>
      </c>
      <c r="AI1150" t="s">
        <v>63</v>
      </c>
      <c r="AJ1150" t="s">
        <v>63</v>
      </c>
      <c r="AK1150" t="s">
        <v>63</v>
      </c>
      <c r="AL1150" t="s">
        <v>63</v>
      </c>
      <c r="AM1150" t="s">
        <v>10232</v>
      </c>
      <c r="AN1150" t="s">
        <v>63</v>
      </c>
      <c r="AO1150" t="s">
        <v>63</v>
      </c>
      <c r="AP1150" t="s">
        <v>63</v>
      </c>
      <c r="AQ1150" t="s">
        <v>63</v>
      </c>
      <c r="AR1150" t="s">
        <v>63</v>
      </c>
      <c r="AS1150" t="s">
        <v>63</v>
      </c>
      <c r="AT1150" t="s">
        <v>63</v>
      </c>
      <c r="AU1150" t="s">
        <v>63</v>
      </c>
      <c r="AV1150" t="s">
        <v>63</v>
      </c>
      <c r="AW1150" t="s">
        <v>63</v>
      </c>
      <c r="AX1150" t="s">
        <v>63</v>
      </c>
      <c r="AY1150" t="s">
        <v>63</v>
      </c>
      <c r="AZ1150" t="s">
        <v>63</v>
      </c>
      <c r="BA1150" t="s">
        <v>63</v>
      </c>
      <c r="BB1150" t="s">
        <v>63</v>
      </c>
      <c r="BC1150" t="s">
        <v>63</v>
      </c>
      <c r="BD1150" t="s">
        <v>63</v>
      </c>
      <c r="BE1150" t="s">
        <v>63</v>
      </c>
      <c r="BF1150" t="s">
        <v>63</v>
      </c>
    </row>
    <row r="1151" spans="1:58">
      <c r="A1151" t="s">
        <v>58</v>
      </c>
      <c r="B1151" t="s">
        <v>10233</v>
      </c>
      <c r="C1151" t="s">
        <v>10234</v>
      </c>
      <c r="D1151" t="s">
        <v>500</v>
      </c>
      <c r="E1151" t="s">
        <v>501</v>
      </c>
      <c r="F1151">
        <v>1990</v>
      </c>
      <c r="G1151" t="s">
        <v>63</v>
      </c>
      <c r="H1151">
        <v>10</v>
      </c>
      <c r="I1151">
        <v>1</v>
      </c>
      <c r="J1151">
        <v>35</v>
      </c>
      <c r="K1151">
        <v>46</v>
      </c>
      <c r="L1151" t="s">
        <v>10235</v>
      </c>
      <c r="M1151" t="s">
        <v>10236</v>
      </c>
      <c r="N1151" t="s">
        <v>10237</v>
      </c>
      <c r="O1151" t="s">
        <v>63</v>
      </c>
      <c r="Q1151" t="s">
        <v>63</v>
      </c>
      <c r="R1151" t="s">
        <v>63</v>
      </c>
      <c r="S1151" t="s">
        <v>63</v>
      </c>
      <c r="T1151" t="s">
        <v>63</v>
      </c>
      <c r="X1151" t="s">
        <v>63</v>
      </c>
      <c r="Y1151" t="s">
        <v>9473</v>
      </c>
      <c r="Z1151" t="s">
        <v>63</v>
      </c>
      <c r="AA1151" t="s">
        <v>10238</v>
      </c>
      <c r="AB1151">
        <v>10170547</v>
      </c>
      <c r="AC1151" t="s">
        <v>67</v>
      </c>
      <c r="AD1151" t="s">
        <v>63</v>
      </c>
      <c r="AE1151" t="s">
        <v>63</v>
      </c>
      <c r="AF1151" t="s">
        <v>63</v>
      </c>
      <c r="AG1151" t="s">
        <v>10239</v>
      </c>
      <c r="AH1151" t="s">
        <v>63</v>
      </c>
      <c r="AI1151" t="s">
        <v>63</v>
      </c>
      <c r="AJ1151" t="s">
        <v>63</v>
      </c>
      <c r="AK1151" t="s">
        <v>63</v>
      </c>
      <c r="AL1151" t="s">
        <v>63</v>
      </c>
      <c r="AM1151" t="s">
        <v>10240</v>
      </c>
      <c r="AN1151" t="s">
        <v>63</v>
      </c>
      <c r="AO1151" t="s">
        <v>63</v>
      </c>
      <c r="AP1151" t="s">
        <v>63</v>
      </c>
      <c r="AQ1151" t="s">
        <v>63</v>
      </c>
      <c r="AR1151" t="s">
        <v>63</v>
      </c>
      <c r="AS1151" t="s">
        <v>63</v>
      </c>
      <c r="AT1151" t="s">
        <v>63</v>
      </c>
      <c r="AU1151" t="s">
        <v>63</v>
      </c>
      <c r="AV1151" t="s">
        <v>63</v>
      </c>
      <c r="AW1151" t="s">
        <v>63</v>
      </c>
      <c r="AX1151" t="s">
        <v>63</v>
      </c>
      <c r="AY1151" t="s">
        <v>63</v>
      </c>
      <c r="AZ1151" t="s">
        <v>63</v>
      </c>
      <c r="BA1151" t="s">
        <v>63</v>
      </c>
      <c r="BB1151" t="s">
        <v>63</v>
      </c>
      <c r="BC1151" t="s">
        <v>63</v>
      </c>
      <c r="BD1151" t="s">
        <v>63</v>
      </c>
      <c r="BE1151" t="s">
        <v>63</v>
      </c>
      <c r="BF1151" t="s">
        <v>63</v>
      </c>
    </row>
    <row r="1152" spans="1:58">
      <c r="A1152" t="s">
        <v>58</v>
      </c>
      <c r="B1152" t="s">
        <v>10241</v>
      </c>
      <c r="C1152" t="s">
        <v>10242</v>
      </c>
      <c r="D1152" t="s">
        <v>763</v>
      </c>
      <c r="E1152" t="s">
        <v>63</v>
      </c>
      <c r="F1152">
        <v>1990</v>
      </c>
      <c r="G1152" t="s">
        <v>73</v>
      </c>
      <c r="H1152">
        <v>65</v>
      </c>
      <c r="I1152">
        <v>6</v>
      </c>
      <c r="J1152">
        <v>421</v>
      </c>
      <c r="K1152">
        <v>422</v>
      </c>
      <c r="L1152" t="s">
        <v>10243</v>
      </c>
      <c r="M1152" t="s">
        <v>63</v>
      </c>
      <c r="N1152" t="s">
        <v>10244</v>
      </c>
      <c r="O1152" t="s">
        <v>63</v>
      </c>
      <c r="Q1152" t="s">
        <v>63</v>
      </c>
      <c r="R1152" t="s">
        <v>63</v>
      </c>
      <c r="S1152" t="s">
        <v>63</v>
      </c>
      <c r="T1152" t="s">
        <v>63</v>
      </c>
      <c r="X1152" t="s">
        <v>63</v>
      </c>
      <c r="Y1152" t="s">
        <v>858</v>
      </c>
      <c r="Z1152" t="s">
        <v>63</v>
      </c>
      <c r="AA1152" t="s">
        <v>10245</v>
      </c>
      <c r="AB1152">
        <v>2372362</v>
      </c>
      <c r="AC1152" t="s">
        <v>67</v>
      </c>
      <c r="AD1152" t="s">
        <v>63</v>
      </c>
      <c r="AE1152" t="s">
        <v>63</v>
      </c>
      <c r="AF1152" t="s">
        <v>63</v>
      </c>
      <c r="AG1152" t="s">
        <v>10246</v>
      </c>
      <c r="AH1152" t="s">
        <v>63</v>
      </c>
      <c r="AI1152" t="s">
        <v>63</v>
      </c>
      <c r="AJ1152" t="s">
        <v>63</v>
      </c>
      <c r="AK1152" t="s">
        <v>63</v>
      </c>
      <c r="AL1152" t="s">
        <v>63</v>
      </c>
      <c r="AM1152" t="s">
        <v>10247</v>
      </c>
      <c r="AN1152" t="s">
        <v>63</v>
      </c>
      <c r="AO1152" t="s">
        <v>63</v>
      </c>
      <c r="AP1152" t="s">
        <v>63</v>
      </c>
      <c r="AQ1152" t="s">
        <v>63</v>
      </c>
      <c r="AR1152" t="s">
        <v>63</v>
      </c>
      <c r="AS1152" t="s">
        <v>63</v>
      </c>
      <c r="AT1152" t="s">
        <v>63</v>
      </c>
      <c r="AU1152" t="s">
        <v>63</v>
      </c>
      <c r="AV1152" t="s">
        <v>63</v>
      </c>
      <c r="AW1152" t="s">
        <v>63</v>
      </c>
      <c r="AX1152" t="s">
        <v>63</v>
      </c>
      <c r="AY1152" t="s">
        <v>63</v>
      </c>
      <c r="AZ1152" t="s">
        <v>63</v>
      </c>
      <c r="BA1152" t="s">
        <v>63</v>
      </c>
      <c r="BB1152" t="s">
        <v>63</v>
      </c>
      <c r="BC1152" t="s">
        <v>63</v>
      </c>
      <c r="BD1152" t="s">
        <v>63</v>
      </c>
      <c r="BE1152" t="s">
        <v>63</v>
      </c>
      <c r="BF1152" t="s">
        <v>63</v>
      </c>
    </row>
    <row r="1153" spans="1:58">
      <c r="A1153" t="s">
        <v>58</v>
      </c>
      <c r="B1153" t="s">
        <v>10248</v>
      </c>
      <c r="C1153" t="s">
        <v>10249</v>
      </c>
      <c r="D1153" t="s">
        <v>10250</v>
      </c>
      <c r="E1153" t="s">
        <v>10251</v>
      </c>
      <c r="F1153">
        <v>2010</v>
      </c>
      <c r="G1153" s="1">
        <v>41860</v>
      </c>
      <c r="H1153">
        <v>639</v>
      </c>
      <c r="I1153" s="1">
        <v>41641</v>
      </c>
      <c r="J1153">
        <v>47</v>
      </c>
      <c r="K1153">
        <v>58</v>
      </c>
      <c r="L1153" t="s">
        <v>10252</v>
      </c>
      <c r="M1153" t="s">
        <v>10253</v>
      </c>
      <c r="N1153" t="s">
        <v>10254</v>
      </c>
      <c r="O1153" t="s">
        <v>63</v>
      </c>
      <c r="Q1153" t="s">
        <v>63</v>
      </c>
      <c r="R1153" t="s">
        <v>63</v>
      </c>
      <c r="S1153" t="s">
        <v>63</v>
      </c>
      <c r="T1153" t="s">
        <v>63</v>
      </c>
      <c r="X1153" t="s">
        <v>63</v>
      </c>
      <c r="Y1153" t="s">
        <v>10255</v>
      </c>
      <c r="Z1153" t="s">
        <v>63</v>
      </c>
      <c r="AA1153" t="s">
        <v>10256</v>
      </c>
      <c r="AB1153">
        <v>20371237</v>
      </c>
      <c r="AC1153" t="s">
        <v>67</v>
      </c>
      <c r="AD1153" t="s">
        <v>63</v>
      </c>
      <c r="AE1153" t="s">
        <v>63</v>
      </c>
      <c r="AF1153" t="s">
        <v>63</v>
      </c>
      <c r="AG1153" t="s">
        <v>10257</v>
      </c>
      <c r="AH1153" t="s">
        <v>63</v>
      </c>
      <c r="AI1153" t="s">
        <v>10258</v>
      </c>
      <c r="AJ1153" t="s">
        <v>63</v>
      </c>
      <c r="AK1153" t="s">
        <v>63</v>
      </c>
      <c r="AL1153" t="s">
        <v>63</v>
      </c>
      <c r="AM1153" t="s">
        <v>10259</v>
      </c>
      <c r="AN1153" t="s">
        <v>63</v>
      </c>
      <c r="AO1153" t="s">
        <v>63</v>
      </c>
      <c r="AP1153" t="s">
        <v>63</v>
      </c>
      <c r="AQ1153" t="s">
        <v>63</v>
      </c>
      <c r="AR1153" t="s">
        <v>63</v>
      </c>
      <c r="AS1153" t="s">
        <v>63</v>
      </c>
      <c r="AT1153" t="s">
        <v>63</v>
      </c>
      <c r="AU1153" t="s">
        <v>63</v>
      </c>
      <c r="AV1153" t="s">
        <v>63</v>
      </c>
      <c r="AW1153" t="s">
        <v>63</v>
      </c>
      <c r="AX1153" t="s">
        <v>63</v>
      </c>
      <c r="AY1153" t="s">
        <v>63</v>
      </c>
      <c r="AZ1153" t="s">
        <v>63</v>
      </c>
      <c r="BA1153" t="s">
        <v>63</v>
      </c>
      <c r="BB1153" t="s">
        <v>63</v>
      </c>
      <c r="BC1153" t="s">
        <v>63</v>
      </c>
      <c r="BD1153" t="s">
        <v>63</v>
      </c>
      <c r="BE1153" t="s">
        <v>63</v>
      </c>
      <c r="BF1153" t="s">
        <v>63</v>
      </c>
    </row>
    <row r="1154" spans="1:58">
      <c r="A1154" t="s">
        <v>58</v>
      </c>
      <c r="B1154" t="s">
        <v>10260</v>
      </c>
      <c r="C1154" t="s">
        <v>10261</v>
      </c>
      <c r="D1154" t="s">
        <v>10262</v>
      </c>
      <c r="E1154" t="s">
        <v>63</v>
      </c>
      <c r="F1154">
        <v>2009</v>
      </c>
      <c r="G1154" t="s">
        <v>181</v>
      </c>
      <c r="H1154">
        <v>31</v>
      </c>
      <c r="I1154">
        <v>3</v>
      </c>
      <c r="J1154">
        <v>227</v>
      </c>
      <c r="K1154">
        <v>239</v>
      </c>
      <c r="L1154" t="s">
        <v>10263</v>
      </c>
      <c r="M1154" t="s">
        <v>10264</v>
      </c>
      <c r="N1154" t="s">
        <v>10265</v>
      </c>
      <c r="O1154" t="s">
        <v>63</v>
      </c>
      <c r="Q1154" t="s">
        <v>63</v>
      </c>
      <c r="R1154" t="s">
        <v>63</v>
      </c>
      <c r="S1154" t="s">
        <v>63</v>
      </c>
      <c r="T1154" t="s">
        <v>63</v>
      </c>
      <c r="X1154" t="s">
        <v>63</v>
      </c>
      <c r="Y1154" t="s">
        <v>10266</v>
      </c>
      <c r="Z1154" t="s">
        <v>63</v>
      </c>
      <c r="AA1154" t="s">
        <v>10267</v>
      </c>
      <c r="AB1154">
        <v>19784490</v>
      </c>
      <c r="AC1154" t="s">
        <v>67</v>
      </c>
      <c r="AD1154" t="s">
        <v>63</v>
      </c>
      <c r="AE1154" t="s">
        <v>63</v>
      </c>
      <c r="AF1154" t="s">
        <v>63</v>
      </c>
      <c r="AG1154" t="s">
        <v>10268</v>
      </c>
      <c r="AH1154" t="s">
        <v>63</v>
      </c>
      <c r="AI1154" t="s">
        <v>63</v>
      </c>
      <c r="AJ1154" t="s">
        <v>63</v>
      </c>
      <c r="AK1154" t="s">
        <v>63</v>
      </c>
      <c r="AL1154" t="s">
        <v>63</v>
      </c>
      <c r="AM1154" t="s">
        <v>10269</v>
      </c>
      <c r="AN1154" t="s">
        <v>63</v>
      </c>
      <c r="AO1154" t="s">
        <v>63</v>
      </c>
      <c r="AP1154" t="s">
        <v>63</v>
      </c>
      <c r="AQ1154" t="s">
        <v>63</v>
      </c>
      <c r="AR1154" t="s">
        <v>63</v>
      </c>
      <c r="AS1154" t="s">
        <v>63</v>
      </c>
      <c r="AT1154" t="s">
        <v>63</v>
      </c>
      <c r="AU1154" t="s">
        <v>63</v>
      </c>
      <c r="AV1154" t="s">
        <v>63</v>
      </c>
      <c r="AW1154" t="s">
        <v>63</v>
      </c>
      <c r="AX1154" t="s">
        <v>63</v>
      </c>
      <c r="AY1154" t="s">
        <v>63</v>
      </c>
      <c r="AZ1154" t="s">
        <v>63</v>
      </c>
      <c r="BA1154" t="s">
        <v>63</v>
      </c>
      <c r="BB1154" t="s">
        <v>63</v>
      </c>
      <c r="BC1154" t="s">
        <v>63</v>
      </c>
      <c r="BD1154" t="s">
        <v>63</v>
      </c>
      <c r="BE1154" t="s">
        <v>63</v>
      </c>
      <c r="BF1154" t="s">
        <v>63</v>
      </c>
    </row>
    <row r="1155" spans="1:58">
      <c r="A1155" t="s">
        <v>58</v>
      </c>
      <c r="B1155" t="s">
        <v>10270</v>
      </c>
      <c r="C1155" t="s">
        <v>10271</v>
      </c>
      <c r="D1155" t="s">
        <v>10272</v>
      </c>
      <c r="E1155" t="s">
        <v>10273</v>
      </c>
      <c r="F1155">
        <v>2004</v>
      </c>
      <c r="G1155" t="s">
        <v>63</v>
      </c>
      <c r="H1155">
        <v>25</v>
      </c>
      <c r="I1155" t="s">
        <v>63</v>
      </c>
      <c r="J1155">
        <v>138</v>
      </c>
      <c r="K1155">
        <v>150</v>
      </c>
      <c r="L1155" t="s">
        <v>10274</v>
      </c>
      <c r="M1155" t="s">
        <v>10275</v>
      </c>
      <c r="N1155" t="s">
        <v>10276</v>
      </c>
      <c r="O1155" t="s">
        <v>63</v>
      </c>
      <c r="Q1155" t="s">
        <v>63</v>
      </c>
      <c r="R1155" t="s">
        <v>63</v>
      </c>
      <c r="S1155" t="s">
        <v>63</v>
      </c>
      <c r="T1155" t="s">
        <v>63</v>
      </c>
      <c r="X1155" t="s">
        <v>63</v>
      </c>
      <c r="Y1155" t="s">
        <v>10277</v>
      </c>
      <c r="Z1155" t="s">
        <v>63</v>
      </c>
      <c r="AA1155" t="s">
        <v>10278</v>
      </c>
      <c r="AB1155">
        <v>15248372</v>
      </c>
      <c r="AC1155" t="s">
        <v>67</v>
      </c>
      <c r="AD1155" t="s">
        <v>63</v>
      </c>
      <c r="AE1155" t="s">
        <v>63</v>
      </c>
      <c r="AF1155" t="s">
        <v>63</v>
      </c>
      <c r="AG1155" t="s">
        <v>10279</v>
      </c>
      <c r="AH1155" t="s">
        <v>63</v>
      </c>
      <c r="AI1155" t="s">
        <v>63</v>
      </c>
      <c r="AJ1155" t="s">
        <v>63</v>
      </c>
      <c r="AK1155" t="s">
        <v>63</v>
      </c>
      <c r="AL1155" t="s">
        <v>63</v>
      </c>
      <c r="AM1155" t="s">
        <v>10280</v>
      </c>
      <c r="AN1155" t="s">
        <v>63</v>
      </c>
      <c r="AO1155" t="s">
        <v>63</v>
      </c>
      <c r="AP1155" t="s">
        <v>63</v>
      </c>
      <c r="AQ1155" t="s">
        <v>63</v>
      </c>
      <c r="AR1155" t="s">
        <v>63</v>
      </c>
      <c r="AS1155" t="s">
        <v>63</v>
      </c>
      <c r="AT1155" t="s">
        <v>63</v>
      </c>
      <c r="AU1155" t="s">
        <v>63</v>
      </c>
      <c r="AV1155" t="s">
        <v>63</v>
      </c>
      <c r="AW1155" t="s">
        <v>63</v>
      </c>
      <c r="AX1155" t="s">
        <v>63</v>
      </c>
      <c r="AY1155" t="s">
        <v>63</v>
      </c>
      <c r="AZ1155" t="s">
        <v>63</v>
      </c>
      <c r="BA1155" t="s">
        <v>63</v>
      </c>
      <c r="BB1155" t="s">
        <v>63</v>
      </c>
      <c r="BC1155" t="s">
        <v>63</v>
      </c>
      <c r="BD1155" t="s">
        <v>63</v>
      </c>
      <c r="BE1155" t="s">
        <v>63</v>
      </c>
      <c r="BF1155" t="s">
        <v>63</v>
      </c>
    </row>
    <row r="1156" spans="1:58">
      <c r="A1156" t="s">
        <v>58</v>
      </c>
      <c r="B1156" t="s">
        <v>10281</v>
      </c>
      <c r="C1156" t="s">
        <v>10282</v>
      </c>
      <c r="D1156" t="s">
        <v>5813</v>
      </c>
      <c r="E1156" t="s">
        <v>5814</v>
      </c>
      <c r="F1156">
        <v>2011</v>
      </c>
      <c r="G1156" t="s">
        <v>138</v>
      </c>
      <c r="H1156">
        <v>70</v>
      </c>
      <c r="I1156">
        <v>10</v>
      </c>
      <c r="J1156">
        <v>220</v>
      </c>
      <c r="K1156">
        <v>221</v>
      </c>
      <c r="L1156" t="s">
        <v>10283</v>
      </c>
      <c r="M1156" t="s">
        <v>63</v>
      </c>
      <c r="N1156" t="s">
        <v>10284</v>
      </c>
      <c r="O1156" t="s">
        <v>63</v>
      </c>
      <c r="Q1156" t="s">
        <v>63</v>
      </c>
      <c r="R1156" t="s">
        <v>63</v>
      </c>
      <c r="S1156" t="s">
        <v>63</v>
      </c>
      <c r="T1156" t="s">
        <v>63</v>
      </c>
      <c r="X1156" t="s">
        <v>63</v>
      </c>
      <c r="Y1156" t="s">
        <v>5818</v>
      </c>
      <c r="Z1156" t="s">
        <v>63</v>
      </c>
      <c r="AA1156" t="s">
        <v>10285</v>
      </c>
      <c r="AB1156">
        <v>22162598</v>
      </c>
      <c r="AC1156" t="s">
        <v>67</v>
      </c>
      <c r="AD1156" t="s">
        <v>63</v>
      </c>
      <c r="AE1156" t="s">
        <v>63</v>
      </c>
      <c r="AF1156" t="s">
        <v>63</v>
      </c>
      <c r="AG1156" t="s">
        <v>10286</v>
      </c>
      <c r="AH1156" t="s">
        <v>63</v>
      </c>
      <c r="AI1156" t="s">
        <v>63</v>
      </c>
      <c r="AJ1156" t="s">
        <v>63</v>
      </c>
      <c r="AK1156" t="s">
        <v>63</v>
      </c>
      <c r="AL1156" t="s">
        <v>63</v>
      </c>
      <c r="AM1156" t="s">
        <v>10287</v>
      </c>
      <c r="AN1156" t="s">
        <v>63</v>
      </c>
      <c r="AO1156" t="s">
        <v>63</v>
      </c>
      <c r="AP1156" t="s">
        <v>63</v>
      </c>
      <c r="AQ1156" t="s">
        <v>63</v>
      </c>
      <c r="AR1156" t="s">
        <v>63</v>
      </c>
      <c r="AS1156" t="s">
        <v>63</v>
      </c>
      <c r="AT1156" t="s">
        <v>63</v>
      </c>
      <c r="AU1156" t="s">
        <v>63</v>
      </c>
      <c r="AV1156" t="s">
        <v>63</v>
      </c>
      <c r="AW1156" t="s">
        <v>63</v>
      </c>
      <c r="AX1156" t="s">
        <v>63</v>
      </c>
      <c r="AY1156" t="s">
        <v>63</v>
      </c>
      <c r="AZ1156" t="s">
        <v>63</v>
      </c>
      <c r="BA1156" t="s">
        <v>63</v>
      </c>
      <c r="BB1156" t="s">
        <v>63</v>
      </c>
      <c r="BC1156" t="s">
        <v>63</v>
      </c>
      <c r="BD1156" t="s">
        <v>63</v>
      </c>
      <c r="BE1156" t="s">
        <v>63</v>
      </c>
      <c r="BF1156" t="s">
        <v>63</v>
      </c>
    </row>
    <row r="1157" spans="1:58">
      <c r="A1157" t="s">
        <v>58</v>
      </c>
      <c r="B1157" t="s">
        <v>10288</v>
      </c>
      <c r="C1157" t="s">
        <v>10289</v>
      </c>
      <c r="D1157" t="s">
        <v>10290</v>
      </c>
      <c r="E1157" t="s">
        <v>63</v>
      </c>
      <c r="F1157">
        <v>2014</v>
      </c>
      <c r="G1157" t="s">
        <v>1670</v>
      </c>
      <c r="H1157">
        <v>27</v>
      </c>
      <c r="I1157">
        <v>10</v>
      </c>
      <c r="J1157">
        <v>1049</v>
      </c>
      <c r="K1157">
        <v>1054</v>
      </c>
      <c r="L1157" t="s">
        <v>10291</v>
      </c>
      <c r="M1157" t="s">
        <v>10292</v>
      </c>
      <c r="N1157" t="s">
        <v>10293</v>
      </c>
      <c r="O1157" t="s">
        <v>63</v>
      </c>
      <c r="Q1157" t="s">
        <v>63</v>
      </c>
      <c r="R1157" t="s">
        <v>63</v>
      </c>
      <c r="S1157" t="s">
        <v>63</v>
      </c>
      <c r="T1157" t="s">
        <v>63</v>
      </c>
      <c r="X1157" t="s">
        <v>63</v>
      </c>
      <c r="Y1157" t="s">
        <v>10294</v>
      </c>
      <c r="Z1157" t="s">
        <v>63</v>
      </c>
      <c r="AA1157" t="s">
        <v>10295</v>
      </c>
      <c r="AB1157">
        <v>24060204</v>
      </c>
      <c r="AC1157" t="s">
        <v>67</v>
      </c>
      <c r="AD1157" t="s">
        <v>63</v>
      </c>
      <c r="AE1157" t="s">
        <v>63</v>
      </c>
      <c r="AF1157" t="s">
        <v>63</v>
      </c>
      <c r="AG1157" t="s">
        <v>10296</v>
      </c>
      <c r="AH1157" t="s">
        <v>63</v>
      </c>
      <c r="AI1157" t="s">
        <v>10297</v>
      </c>
      <c r="AJ1157" t="s">
        <v>63</v>
      </c>
      <c r="AK1157" t="s">
        <v>63</v>
      </c>
      <c r="AL1157" t="s">
        <v>63</v>
      </c>
      <c r="AM1157" t="s">
        <v>10298</v>
      </c>
      <c r="AN1157" t="s">
        <v>63</v>
      </c>
      <c r="AO1157" t="s">
        <v>63</v>
      </c>
      <c r="AP1157" t="s">
        <v>63</v>
      </c>
      <c r="AQ1157" t="s">
        <v>63</v>
      </c>
      <c r="AR1157" t="s">
        <v>63</v>
      </c>
      <c r="AS1157" t="s">
        <v>63</v>
      </c>
      <c r="AT1157" t="s">
        <v>63</v>
      </c>
      <c r="AU1157" t="s">
        <v>63</v>
      </c>
      <c r="AV1157" t="s">
        <v>63</v>
      </c>
      <c r="AW1157" t="s">
        <v>63</v>
      </c>
      <c r="AX1157" t="s">
        <v>63</v>
      </c>
      <c r="AY1157" t="s">
        <v>63</v>
      </c>
      <c r="AZ1157" t="s">
        <v>63</v>
      </c>
      <c r="BA1157" t="s">
        <v>63</v>
      </c>
      <c r="BB1157" t="s">
        <v>63</v>
      </c>
      <c r="BC1157" t="s">
        <v>63</v>
      </c>
      <c r="BD1157" t="s">
        <v>63</v>
      </c>
      <c r="BE1157" t="s">
        <v>63</v>
      </c>
      <c r="BF1157" t="s">
        <v>63</v>
      </c>
    </row>
    <row r="1158" spans="1:58">
      <c r="A1158" t="s">
        <v>58</v>
      </c>
      <c r="B1158" t="s">
        <v>10299</v>
      </c>
      <c r="C1158" t="s">
        <v>10300</v>
      </c>
      <c r="D1158" t="s">
        <v>10301</v>
      </c>
      <c r="E1158" t="s">
        <v>10302</v>
      </c>
      <c r="F1158">
        <v>1971</v>
      </c>
      <c r="G1158" t="s">
        <v>1737</v>
      </c>
      <c r="H1158">
        <v>30</v>
      </c>
      <c r="I1158">
        <v>3</v>
      </c>
      <c r="J1158">
        <v>129</v>
      </c>
      <c r="K1158">
        <v>150</v>
      </c>
      <c r="L1158" t="s">
        <v>10303</v>
      </c>
      <c r="M1158" t="s">
        <v>63</v>
      </c>
      <c r="N1158" t="s">
        <v>10304</v>
      </c>
      <c r="O1158" t="s">
        <v>63</v>
      </c>
      <c r="Q1158" t="s">
        <v>63</v>
      </c>
      <c r="R1158" t="s">
        <v>63</v>
      </c>
      <c r="S1158" t="s">
        <v>63</v>
      </c>
      <c r="T1158" t="s">
        <v>63</v>
      </c>
      <c r="X1158" t="s">
        <v>63</v>
      </c>
      <c r="Y1158" s="2">
        <v>1981442</v>
      </c>
      <c r="Z1158" t="s">
        <v>63</v>
      </c>
      <c r="AA1158" t="s">
        <v>63</v>
      </c>
      <c r="AB1158">
        <v>5145188</v>
      </c>
      <c r="AC1158" t="s">
        <v>913</v>
      </c>
      <c r="AD1158" t="s">
        <v>63</v>
      </c>
      <c r="AE1158" t="s">
        <v>63</v>
      </c>
      <c r="AF1158" t="s">
        <v>63</v>
      </c>
      <c r="AG1158" t="s">
        <v>10305</v>
      </c>
      <c r="AH1158" t="s">
        <v>63</v>
      </c>
      <c r="AI1158" t="s">
        <v>63</v>
      </c>
      <c r="AJ1158" t="s">
        <v>63</v>
      </c>
      <c r="AK1158" t="s">
        <v>63</v>
      </c>
      <c r="AL1158" t="s">
        <v>63</v>
      </c>
      <c r="AM1158" t="s">
        <v>10306</v>
      </c>
      <c r="AN1158" t="s">
        <v>63</v>
      </c>
      <c r="AO1158" t="s">
        <v>63</v>
      </c>
      <c r="AP1158" t="s">
        <v>63</v>
      </c>
      <c r="AQ1158" t="s">
        <v>63</v>
      </c>
      <c r="AR1158" t="s">
        <v>63</v>
      </c>
      <c r="AS1158" t="s">
        <v>63</v>
      </c>
      <c r="AT1158" t="s">
        <v>63</v>
      </c>
      <c r="AU1158" t="s">
        <v>63</v>
      </c>
      <c r="AV1158" t="s">
        <v>63</v>
      </c>
      <c r="AW1158" t="s">
        <v>63</v>
      </c>
      <c r="AX1158" t="s">
        <v>63</v>
      </c>
      <c r="AY1158" t="s">
        <v>63</v>
      </c>
      <c r="AZ1158" t="s">
        <v>63</v>
      </c>
      <c r="BA1158" t="s">
        <v>63</v>
      </c>
      <c r="BB1158" t="s">
        <v>63</v>
      </c>
      <c r="BC1158" t="s">
        <v>63</v>
      </c>
      <c r="BD1158" t="s">
        <v>63</v>
      </c>
      <c r="BE1158" t="s">
        <v>63</v>
      </c>
      <c r="BF1158" t="s">
        <v>63</v>
      </c>
    </row>
    <row r="1159" spans="1:58">
      <c r="A1159" t="s">
        <v>58</v>
      </c>
      <c r="B1159" t="s">
        <v>10307</v>
      </c>
      <c r="C1159" t="s">
        <v>10308</v>
      </c>
      <c r="D1159" t="s">
        <v>10155</v>
      </c>
      <c r="E1159" t="s">
        <v>10156</v>
      </c>
      <c r="F1159">
        <v>2015</v>
      </c>
      <c r="G1159" t="s">
        <v>181</v>
      </c>
      <c r="H1159">
        <v>184</v>
      </c>
      <c r="I1159">
        <v>3</v>
      </c>
      <c r="J1159">
        <v>577</v>
      </c>
      <c r="K1159">
        <v>582</v>
      </c>
      <c r="L1159" t="s">
        <v>10309</v>
      </c>
      <c r="M1159" t="s">
        <v>10310</v>
      </c>
      <c r="N1159" t="s">
        <v>10311</v>
      </c>
      <c r="O1159" t="s">
        <v>63</v>
      </c>
      <c r="Q1159" t="s">
        <v>63</v>
      </c>
      <c r="R1159" t="s">
        <v>63</v>
      </c>
      <c r="S1159" t="s">
        <v>63</v>
      </c>
      <c r="T1159" t="s">
        <v>63</v>
      </c>
      <c r="X1159" t="s">
        <v>63</v>
      </c>
      <c r="Y1159" t="s">
        <v>10160</v>
      </c>
      <c r="Z1159" t="s">
        <v>63</v>
      </c>
      <c r="AA1159" t="s">
        <v>10312</v>
      </c>
      <c r="AB1159">
        <v>25876751</v>
      </c>
      <c r="AC1159" t="s">
        <v>67</v>
      </c>
      <c r="AD1159" t="s">
        <v>63</v>
      </c>
      <c r="AE1159" t="s">
        <v>63</v>
      </c>
      <c r="AF1159" t="s">
        <v>63</v>
      </c>
      <c r="AG1159" t="s">
        <v>10313</v>
      </c>
      <c r="AH1159" t="s">
        <v>63</v>
      </c>
      <c r="AI1159" t="s">
        <v>10314</v>
      </c>
      <c r="AJ1159" t="s">
        <v>63</v>
      </c>
      <c r="AK1159" t="s">
        <v>63</v>
      </c>
      <c r="AL1159" t="s">
        <v>63</v>
      </c>
      <c r="AM1159" t="s">
        <v>10315</v>
      </c>
      <c r="AN1159" t="s">
        <v>63</v>
      </c>
      <c r="AO1159" t="s">
        <v>63</v>
      </c>
      <c r="AP1159" t="s">
        <v>63</v>
      </c>
      <c r="AQ1159" t="s">
        <v>63</v>
      </c>
      <c r="AR1159" t="s">
        <v>63</v>
      </c>
      <c r="AS1159" t="s">
        <v>63</v>
      </c>
      <c r="AT1159" t="s">
        <v>63</v>
      </c>
      <c r="AU1159" t="s">
        <v>63</v>
      </c>
      <c r="AV1159" t="s">
        <v>63</v>
      </c>
      <c r="AW1159" t="s">
        <v>63</v>
      </c>
      <c r="AX1159" t="s">
        <v>63</v>
      </c>
      <c r="AY1159" t="s">
        <v>63</v>
      </c>
      <c r="AZ1159" t="s">
        <v>63</v>
      </c>
      <c r="BA1159" t="s">
        <v>63</v>
      </c>
      <c r="BB1159" t="s">
        <v>63</v>
      </c>
      <c r="BC1159" t="s">
        <v>63</v>
      </c>
      <c r="BD1159" t="s">
        <v>63</v>
      </c>
      <c r="BE1159" t="s">
        <v>63</v>
      </c>
      <c r="BF1159" t="s">
        <v>63</v>
      </c>
    </row>
    <row r="1160" spans="1:58">
      <c r="A1160" t="s">
        <v>58</v>
      </c>
      <c r="B1160" t="s">
        <v>10316</v>
      </c>
      <c r="C1160" t="s">
        <v>10317</v>
      </c>
      <c r="D1160" t="s">
        <v>2064</v>
      </c>
      <c r="E1160" t="s">
        <v>2065</v>
      </c>
      <c r="F1160">
        <v>2006</v>
      </c>
      <c r="G1160" t="s">
        <v>84</v>
      </c>
      <c r="H1160">
        <v>30</v>
      </c>
      <c r="I1160">
        <v>3</v>
      </c>
      <c r="J1160">
        <v>263</v>
      </c>
      <c r="K1160">
        <v>268</v>
      </c>
      <c r="L1160" t="s">
        <v>10318</v>
      </c>
      <c r="M1160" t="s">
        <v>10319</v>
      </c>
      <c r="N1160" t="s">
        <v>10320</v>
      </c>
      <c r="O1160" t="s">
        <v>63</v>
      </c>
      <c r="Q1160" t="s">
        <v>63</v>
      </c>
      <c r="R1160" t="s">
        <v>63</v>
      </c>
      <c r="S1160" t="s">
        <v>63</v>
      </c>
      <c r="T1160" t="s">
        <v>63</v>
      </c>
      <c r="X1160" t="s">
        <v>63</v>
      </c>
      <c r="Y1160" t="s">
        <v>2069</v>
      </c>
      <c r="Z1160" t="s">
        <v>63</v>
      </c>
      <c r="AA1160" t="s">
        <v>10321</v>
      </c>
      <c r="AB1160">
        <v>16677975</v>
      </c>
      <c r="AC1160" t="s">
        <v>67</v>
      </c>
      <c r="AD1160" t="s">
        <v>63</v>
      </c>
      <c r="AE1160" t="s">
        <v>63</v>
      </c>
      <c r="AF1160" t="s">
        <v>63</v>
      </c>
      <c r="AG1160" t="s">
        <v>10322</v>
      </c>
      <c r="AH1160" t="s">
        <v>63</v>
      </c>
      <c r="AI1160" t="s">
        <v>63</v>
      </c>
      <c r="AJ1160" t="s">
        <v>63</v>
      </c>
      <c r="AK1160" t="s">
        <v>63</v>
      </c>
      <c r="AL1160" t="s">
        <v>63</v>
      </c>
      <c r="AM1160" t="s">
        <v>10323</v>
      </c>
      <c r="AN1160" t="s">
        <v>63</v>
      </c>
      <c r="AO1160" t="s">
        <v>63</v>
      </c>
      <c r="AP1160" t="s">
        <v>63</v>
      </c>
      <c r="AQ1160" t="s">
        <v>63</v>
      </c>
      <c r="AR1160" t="s">
        <v>63</v>
      </c>
      <c r="AS1160" t="s">
        <v>63</v>
      </c>
      <c r="AT1160" t="s">
        <v>63</v>
      </c>
      <c r="AU1160" t="s">
        <v>63</v>
      </c>
      <c r="AV1160" t="s">
        <v>63</v>
      </c>
      <c r="AW1160" t="s">
        <v>63</v>
      </c>
      <c r="AX1160" t="s">
        <v>63</v>
      </c>
      <c r="AY1160" t="s">
        <v>63</v>
      </c>
      <c r="AZ1160" t="s">
        <v>63</v>
      </c>
      <c r="BA1160" t="s">
        <v>63</v>
      </c>
      <c r="BB1160" t="s">
        <v>63</v>
      </c>
      <c r="BC1160" t="s">
        <v>63</v>
      </c>
      <c r="BD1160" t="s">
        <v>63</v>
      </c>
      <c r="BE1160" t="s">
        <v>63</v>
      </c>
      <c r="BF1160" t="s">
        <v>63</v>
      </c>
    </row>
    <row r="1161" spans="1:58">
      <c r="A1161" t="s">
        <v>58</v>
      </c>
      <c r="B1161" t="s">
        <v>10324</v>
      </c>
      <c r="C1161" t="s">
        <v>10325</v>
      </c>
      <c r="D1161" t="s">
        <v>10326</v>
      </c>
      <c r="E1161" t="s">
        <v>63</v>
      </c>
      <c r="F1161">
        <v>1987</v>
      </c>
      <c r="G1161" t="s">
        <v>189</v>
      </c>
      <c r="H1161">
        <v>8</v>
      </c>
      <c r="I1161">
        <v>3</v>
      </c>
      <c r="J1161">
        <v>239</v>
      </c>
      <c r="K1161">
        <v>245</v>
      </c>
      <c r="L1161" t="s">
        <v>10327</v>
      </c>
      <c r="M1161" t="s">
        <v>10328</v>
      </c>
      <c r="N1161" t="s">
        <v>10329</v>
      </c>
      <c r="O1161" t="s">
        <v>63</v>
      </c>
      <c r="Q1161" t="s">
        <v>63</v>
      </c>
      <c r="R1161" t="s">
        <v>63</v>
      </c>
      <c r="S1161" t="s">
        <v>63</v>
      </c>
      <c r="T1161" t="s">
        <v>63</v>
      </c>
      <c r="X1161" t="s">
        <v>63</v>
      </c>
      <c r="Y1161" t="s">
        <v>10330</v>
      </c>
      <c r="Z1161" t="s">
        <v>63</v>
      </c>
      <c r="AA1161" t="s">
        <v>63</v>
      </c>
      <c r="AB1161">
        <v>3583874</v>
      </c>
      <c r="AC1161" t="s">
        <v>67</v>
      </c>
      <c r="AD1161" t="s">
        <v>63</v>
      </c>
      <c r="AE1161" t="s">
        <v>63</v>
      </c>
      <c r="AF1161" t="s">
        <v>63</v>
      </c>
      <c r="AG1161" t="s">
        <v>10331</v>
      </c>
      <c r="AH1161" t="s">
        <v>63</v>
      </c>
      <c r="AI1161" t="s">
        <v>63</v>
      </c>
      <c r="AJ1161" t="s">
        <v>63</v>
      </c>
      <c r="AK1161" t="s">
        <v>63</v>
      </c>
      <c r="AL1161" t="s">
        <v>63</v>
      </c>
      <c r="AM1161" t="s">
        <v>10332</v>
      </c>
      <c r="AN1161" t="s">
        <v>63</v>
      </c>
      <c r="AO1161" t="s">
        <v>63</v>
      </c>
      <c r="AP1161" t="s">
        <v>63</v>
      </c>
      <c r="AQ1161" t="s">
        <v>63</v>
      </c>
      <c r="AR1161" t="s">
        <v>63</v>
      </c>
      <c r="AS1161" t="s">
        <v>63</v>
      </c>
      <c r="AT1161" t="s">
        <v>63</v>
      </c>
      <c r="AU1161" t="s">
        <v>63</v>
      </c>
      <c r="AV1161" t="s">
        <v>63</v>
      </c>
      <c r="AW1161" t="s">
        <v>63</v>
      </c>
      <c r="AX1161" t="s">
        <v>63</v>
      </c>
      <c r="AY1161" t="s">
        <v>63</v>
      </c>
      <c r="AZ1161" t="s">
        <v>63</v>
      </c>
      <c r="BA1161" t="s">
        <v>63</v>
      </c>
      <c r="BB1161" t="s">
        <v>63</v>
      </c>
      <c r="BC1161" t="s">
        <v>63</v>
      </c>
      <c r="BD1161" t="s">
        <v>63</v>
      </c>
      <c r="BE1161" t="s">
        <v>63</v>
      </c>
      <c r="BF1161" t="s">
        <v>63</v>
      </c>
    </row>
    <row r="1162" spans="1:58">
      <c r="A1162" t="s">
        <v>58</v>
      </c>
      <c r="B1162" t="s">
        <v>10333</v>
      </c>
      <c r="C1162" t="s">
        <v>10334</v>
      </c>
      <c r="D1162" t="s">
        <v>10335</v>
      </c>
      <c r="E1162" t="s">
        <v>63</v>
      </c>
      <c r="F1162">
        <v>2007</v>
      </c>
      <c r="G1162" t="s">
        <v>274</v>
      </c>
      <c r="H1162">
        <v>8</v>
      </c>
      <c r="I1162">
        <v>3</v>
      </c>
      <c r="J1162">
        <v>256</v>
      </c>
      <c r="K1162">
        <v>265</v>
      </c>
      <c r="L1162" t="s">
        <v>10336</v>
      </c>
      <c r="M1162" t="s">
        <v>10337</v>
      </c>
      <c r="N1162" t="s">
        <v>10338</v>
      </c>
      <c r="O1162" t="s">
        <v>63</v>
      </c>
      <c r="Q1162" t="s">
        <v>63</v>
      </c>
      <c r="R1162" t="s">
        <v>63</v>
      </c>
      <c r="S1162" t="s">
        <v>63</v>
      </c>
      <c r="T1162" t="s">
        <v>63</v>
      </c>
      <c r="X1162" t="s">
        <v>63</v>
      </c>
      <c r="Y1162" t="s">
        <v>10339</v>
      </c>
      <c r="Z1162" t="s">
        <v>63</v>
      </c>
      <c r="AA1162" t="s">
        <v>10340</v>
      </c>
      <c r="AB1162">
        <v>17329196</v>
      </c>
      <c r="AC1162" t="s">
        <v>67</v>
      </c>
      <c r="AD1162" t="s">
        <v>63</v>
      </c>
      <c r="AE1162" t="s">
        <v>63</v>
      </c>
      <c r="AF1162" t="s">
        <v>63</v>
      </c>
      <c r="AG1162" t="s">
        <v>10341</v>
      </c>
      <c r="AH1162" t="s">
        <v>63</v>
      </c>
      <c r="AI1162" t="s">
        <v>63</v>
      </c>
      <c r="AJ1162" t="s">
        <v>63</v>
      </c>
      <c r="AK1162" t="s">
        <v>63</v>
      </c>
      <c r="AL1162" t="s">
        <v>63</v>
      </c>
      <c r="AM1162" t="s">
        <v>10342</v>
      </c>
      <c r="AN1162" t="s">
        <v>63</v>
      </c>
      <c r="AO1162" t="s">
        <v>63</v>
      </c>
      <c r="AP1162" t="s">
        <v>63</v>
      </c>
      <c r="AQ1162" t="s">
        <v>63</v>
      </c>
      <c r="AR1162" t="s">
        <v>63</v>
      </c>
      <c r="AS1162" t="s">
        <v>63</v>
      </c>
      <c r="AT1162" t="s">
        <v>63</v>
      </c>
      <c r="AU1162" t="s">
        <v>63</v>
      </c>
      <c r="AV1162" t="s">
        <v>63</v>
      </c>
      <c r="AW1162" t="s">
        <v>63</v>
      </c>
      <c r="AX1162" t="s">
        <v>63</v>
      </c>
      <c r="AY1162" t="s">
        <v>63</v>
      </c>
      <c r="AZ1162" t="s">
        <v>63</v>
      </c>
      <c r="BA1162" t="s">
        <v>63</v>
      </c>
      <c r="BB1162" t="s">
        <v>63</v>
      </c>
      <c r="BC1162" t="s">
        <v>63</v>
      </c>
      <c r="BD1162" t="s">
        <v>63</v>
      </c>
      <c r="BE1162" t="s">
        <v>63</v>
      </c>
      <c r="BF1162" t="s">
        <v>63</v>
      </c>
    </row>
    <row r="1163" spans="1:58">
      <c r="A1163" t="s">
        <v>58</v>
      </c>
      <c r="B1163" t="s">
        <v>10343</v>
      </c>
      <c r="C1163" t="s">
        <v>10344</v>
      </c>
      <c r="D1163" t="s">
        <v>1212</v>
      </c>
      <c r="E1163" t="s">
        <v>63</v>
      </c>
      <c r="F1163">
        <v>2011</v>
      </c>
      <c r="G1163" t="s">
        <v>274</v>
      </c>
      <c r="H1163">
        <v>5</v>
      </c>
      <c r="I1163">
        <v>1</v>
      </c>
      <c r="J1163">
        <v>36</v>
      </c>
      <c r="K1163">
        <v>42</v>
      </c>
      <c r="L1163" t="s">
        <v>10345</v>
      </c>
      <c r="M1163" t="s">
        <v>10346</v>
      </c>
      <c r="N1163" t="s">
        <v>10347</v>
      </c>
      <c r="O1163" t="s">
        <v>63</v>
      </c>
      <c r="Q1163" t="s">
        <v>63</v>
      </c>
      <c r="R1163" t="s">
        <v>63</v>
      </c>
      <c r="S1163" t="s">
        <v>63</v>
      </c>
      <c r="T1163" t="s">
        <v>63</v>
      </c>
      <c r="X1163" t="s">
        <v>63</v>
      </c>
      <c r="Y1163" t="s">
        <v>1216</v>
      </c>
      <c r="Z1163" t="s">
        <v>63</v>
      </c>
      <c r="AA1163" t="s">
        <v>10348</v>
      </c>
      <c r="AB1163">
        <v>21359106</v>
      </c>
      <c r="AC1163" t="s">
        <v>67</v>
      </c>
      <c r="AD1163" t="s">
        <v>63</v>
      </c>
      <c r="AE1163" t="s">
        <v>63</v>
      </c>
      <c r="AF1163" t="s">
        <v>63</v>
      </c>
      <c r="AG1163" t="s">
        <v>10349</v>
      </c>
      <c r="AH1163" t="s">
        <v>63</v>
      </c>
      <c r="AI1163" t="s">
        <v>10350</v>
      </c>
      <c r="AJ1163" t="s">
        <v>63</v>
      </c>
      <c r="AK1163" t="s">
        <v>63</v>
      </c>
      <c r="AL1163" t="s">
        <v>63</v>
      </c>
      <c r="AM1163" t="s">
        <v>10351</v>
      </c>
      <c r="AN1163" t="s">
        <v>63</v>
      </c>
      <c r="AO1163" t="s">
        <v>63</v>
      </c>
      <c r="AP1163" t="s">
        <v>63</v>
      </c>
      <c r="AQ1163" t="s">
        <v>63</v>
      </c>
      <c r="AR1163" t="s">
        <v>63</v>
      </c>
      <c r="AS1163" t="s">
        <v>63</v>
      </c>
      <c r="AT1163" t="s">
        <v>63</v>
      </c>
      <c r="AU1163" t="s">
        <v>63</v>
      </c>
      <c r="AV1163" t="s">
        <v>63</v>
      </c>
      <c r="AW1163" t="s">
        <v>63</v>
      </c>
      <c r="AX1163" t="s">
        <v>63</v>
      </c>
      <c r="AY1163" t="s">
        <v>63</v>
      </c>
      <c r="AZ1163" t="s">
        <v>63</v>
      </c>
      <c r="BA1163" t="s">
        <v>63</v>
      </c>
      <c r="BB1163" t="s">
        <v>63</v>
      </c>
      <c r="BC1163" t="s">
        <v>63</v>
      </c>
      <c r="BD1163" t="s">
        <v>63</v>
      </c>
      <c r="BE1163" t="s">
        <v>63</v>
      </c>
      <c r="BF1163" t="s">
        <v>63</v>
      </c>
    </row>
    <row r="1164" spans="1:58">
      <c r="A1164" t="s">
        <v>58</v>
      </c>
      <c r="B1164" t="s">
        <v>10352</v>
      </c>
      <c r="C1164" t="s">
        <v>10353</v>
      </c>
      <c r="D1164" t="s">
        <v>1293</v>
      </c>
      <c r="E1164" t="s">
        <v>1294</v>
      </c>
      <c r="F1164">
        <v>2016</v>
      </c>
      <c r="G1164" t="s">
        <v>73</v>
      </c>
      <c r="H1164">
        <v>48</v>
      </c>
      <c r="I1164">
        <v>6</v>
      </c>
      <c r="J1164">
        <v>472</v>
      </c>
      <c r="K1164">
        <v>476</v>
      </c>
      <c r="L1164" t="s">
        <v>10354</v>
      </c>
      <c r="M1164" t="s">
        <v>10355</v>
      </c>
      <c r="N1164" t="s">
        <v>10356</v>
      </c>
      <c r="O1164" t="s">
        <v>63</v>
      </c>
      <c r="Q1164" t="s">
        <v>63</v>
      </c>
      <c r="R1164" t="s">
        <v>63</v>
      </c>
      <c r="S1164" t="s">
        <v>63</v>
      </c>
      <c r="T1164" t="s">
        <v>63</v>
      </c>
      <c r="X1164" t="s">
        <v>63</v>
      </c>
      <c r="Y1164" t="s">
        <v>2473</v>
      </c>
      <c r="Z1164" t="s">
        <v>63</v>
      </c>
      <c r="AA1164" t="s">
        <v>10357</v>
      </c>
      <c r="AB1164">
        <v>27272425</v>
      </c>
      <c r="AC1164" t="s">
        <v>67</v>
      </c>
      <c r="AD1164" t="s">
        <v>63</v>
      </c>
      <c r="AE1164" t="s">
        <v>63</v>
      </c>
      <c r="AF1164" t="s">
        <v>63</v>
      </c>
      <c r="AG1164" t="s">
        <v>10358</v>
      </c>
      <c r="AH1164" t="s">
        <v>63</v>
      </c>
      <c r="AI1164" t="s">
        <v>63</v>
      </c>
      <c r="AJ1164" t="s">
        <v>63</v>
      </c>
      <c r="AK1164" t="s">
        <v>63</v>
      </c>
      <c r="AL1164" t="s">
        <v>63</v>
      </c>
      <c r="AM1164" t="s">
        <v>10359</v>
      </c>
      <c r="AN1164" t="s">
        <v>63</v>
      </c>
      <c r="AO1164" t="s">
        <v>63</v>
      </c>
      <c r="AP1164" t="s">
        <v>63</v>
      </c>
      <c r="AQ1164" t="s">
        <v>63</v>
      </c>
      <c r="AR1164" t="s">
        <v>63</v>
      </c>
      <c r="AS1164" t="s">
        <v>63</v>
      </c>
      <c r="AT1164" t="s">
        <v>63</v>
      </c>
      <c r="AU1164" t="s">
        <v>63</v>
      </c>
      <c r="AV1164" t="s">
        <v>63</v>
      </c>
      <c r="AW1164" t="s">
        <v>63</v>
      </c>
      <c r="AX1164" t="s">
        <v>63</v>
      </c>
      <c r="AY1164" t="s">
        <v>63</v>
      </c>
      <c r="AZ1164" t="s">
        <v>63</v>
      </c>
      <c r="BA1164" t="s">
        <v>63</v>
      </c>
      <c r="BB1164" t="s">
        <v>63</v>
      </c>
      <c r="BC1164" t="s">
        <v>63</v>
      </c>
      <c r="BD1164" t="s">
        <v>63</v>
      </c>
      <c r="BE1164" t="s">
        <v>63</v>
      </c>
      <c r="BF1164" t="s">
        <v>63</v>
      </c>
    </row>
    <row r="1165" spans="1:58">
      <c r="A1165" t="s">
        <v>58</v>
      </c>
      <c r="B1165" t="s">
        <v>10360</v>
      </c>
      <c r="C1165" t="s">
        <v>10361</v>
      </c>
      <c r="D1165" t="s">
        <v>928</v>
      </c>
      <c r="E1165" t="s">
        <v>63</v>
      </c>
      <c r="F1165">
        <v>2018</v>
      </c>
      <c r="G1165" t="s">
        <v>1528</v>
      </c>
      <c r="H1165">
        <v>30</v>
      </c>
      <c r="I1165">
        <v>1</v>
      </c>
      <c r="J1165">
        <v>84</v>
      </c>
      <c r="K1165">
        <v>94</v>
      </c>
      <c r="L1165" t="s">
        <v>63</v>
      </c>
      <c r="M1165" t="s">
        <v>10362</v>
      </c>
      <c r="N1165" t="s">
        <v>10363</v>
      </c>
      <c r="O1165" t="s">
        <v>63</v>
      </c>
      <c r="Q1165" t="s">
        <v>63</v>
      </c>
      <c r="R1165" t="s">
        <v>63</v>
      </c>
      <c r="S1165" t="s">
        <v>63</v>
      </c>
      <c r="T1165" t="s">
        <v>63</v>
      </c>
      <c r="X1165" t="s">
        <v>63</v>
      </c>
      <c r="Y1165" t="s">
        <v>3800</v>
      </c>
      <c r="Z1165" t="s">
        <v>63</v>
      </c>
      <c r="AA1165" t="s">
        <v>10364</v>
      </c>
      <c r="AB1165">
        <v>28498004</v>
      </c>
      <c r="AC1165" t="s">
        <v>67</v>
      </c>
      <c r="AD1165" t="s">
        <v>63</v>
      </c>
      <c r="AE1165" t="s">
        <v>63</v>
      </c>
      <c r="AF1165" t="s">
        <v>63</v>
      </c>
      <c r="AG1165" t="s">
        <v>10365</v>
      </c>
      <c r="AH1165" t="s">
        <v>63</v>
      </c>
      <c r="AI1165" t="s">
        <v>10366</v>
      </c>
      <c r="AJ1165" t="s">
        <v>63</v>
      </c>
      <c r="AK1165" t="s">
        <v>63</v>
      </c>
      <c r="AL1165" t="s">
        <v>63</v>
      </c>
      <c r="AM1165" t="s">
        <v>10367</v>
      </c>
      <c r="AN1165" t="s">
        <v>63</v>
      </c>
      <c r="AO1165" t="s">
        <v>63</v>
      </c>
      <c r="AP1165" t="s">
        <v>63</v>
      </c>
      <c r="AQ1165" t="s">
        <v>63</v>
      </c>
      <c r="AR1165" t="s">
        <v>63</v>
      </c>
      <c r="AS1165" t="s">
        <v>63</v>
      </c>
      <c r="AT1165" t="s">
        <v>63</v>
      </c>
      <c r="AU1165" t="s">
        <v>63</v>
      </c>
      <c r="AV1165" t="s">
        <v>63</v>
      </c>
      <c r="AW1165" t="s">
        <v>63</v>
      </c>
      <c r="AX1165" t="s">
        <v>63</v>
      </c>
      <c r="AY1165" t="s">
        <v>63</v>
      </c>
      <c r="AZ1165" t="s">
        <v>63</v>
      </c>
      <c r="BA1165" t="s">
        <v>63</v>
      </c>
      <c r="BB1165" t="s">
        <v>63</v>
      </c>
      <c r="BC1165" t="s">
        <v>63</v>
      </c>
      <c r="BD1165" t="s">
        <v>63</v>
      </c>
      <c r="BE1165" t="s">
        <v>63</v>
      </c>
      <c r="BF1165" t="s">
        <v>63</v>
      </c>
    </row>
    <row r="1166" spans="1:58">
      <c r="A1166" t="s">
        <v>58</v>
      </c>
      <c r="B1166" t="s">
        <v>10368</v>
      </c>
      <c r="C1166" t="s">
        <v>10369</v>
      </c>
      <c r="D1166" t="s">
        <v>6386</v>
      </c>
      <c r="E1166" t="s">
        <v>63</v>
      </c>
      <c r="F1166">
        <v>1991</v>
      </c>
      <c r="G1166" t="s">
        <v>614</v>
      </c>
      <c r="H1166" t="s">
        <v>10370</v>
      </c>
      <c r="I1166" t="s">
        <v>63</v>
      </c>
      <c r="J1166">
        <v>25</v>
      </c>
      <c r="K1166">
        <v>31</v>
      </c>
      <c r="L1166" t="s">
        <v>10371</v>
      </c>
      <c r="M1166" t="s">
        <v>10372</v>
      </c>
      <c r="N1166" t="s">
        <v>10373</v>
      </c>
      <c r="O1166" t="s">
        <v>63</v>
      </c>
      <c r="Q1166" t="s">
        <v>63</v>
      </c>
      <c r="R1166" t="s">
        <v>63</v>
      </c>
      <c r="S1166" t="s">
        <v>63</v>
      </c>
      <c r="T1166" t="s">
        <v>63</v>
      </c>
      <c r="X1166" t="s">
        <v>63</v>
      </c>
      <c r="Y1166" t="s">
        <v>6389</v>
      </c>
      <c r="Z1166" t="s">
        <v>63</v>
      </c>
      <c r="AA1166" t="s">
        <v>63</v>
      </c>
      <c r="AB1166">
        <v>1835774</v>
      </c>
      <c r="AC1166" t="s">
        <v>102</v>
      </c>
      <c r="AD1166" t="s">
        <v>63</v>
      </c>
      <c r="AE1166" t="s">
        <v>63</v>
      </c>
      <c r="AF1166" t="s">
        <v>63</v>
      </c>
      <c r="AG1166" t="s">
        <v>10374</v>
      </c>
      <c r="AH1166" t="s">
        <v>63</v>
      </c>
      <c r="AI1166" t="s">
        <v>63</v>
      </c>
      <c r="AJ1166" t="s">
        <v>63</v>
      </c>
      <c r="AK1166" t="s">
        <v>63</v>
      </c>
      <c r="AL1166" t="s">
        <v>63</v>
      </c>
      <c r="AM1166" t="s">
        <v>10375</v>
      </c>
      <c r="AN1166" t="s">
        <v>63</v>
      </c>
      <c r="AO1166" t="s">
        <v>63</v>
      </c>
      <c r="AP1166" t="s">
        <v>63</v>
      </c>
      <c r="AQ1166" t="s">
        <v>63</v>
      </c>
      <c r="AR1166" t="s">
        <v>63</v>
      </c>
      <c r="AS1166" t="s">
        <v>63</v>
      </c>
      <c r="AT1166" t="s">
        <v>63</v>
      </c>
      <c r="AU1166" t="s">
        <v>63</v>
      </c>
      <c r="AV1166" t="s">
        <v>63</v>
      </c>
      <c r="AW1166" t="s">
        <v>63</v>
      </c>
      <c r="AX1166" t="s">
        <v>63</v>
      </c>
      <c r="AY1166" t="s">
        <v>63</v>
      </c>
      <c r="AZ1166" t="s">
        <v>63</v>
      </c>
      <c r="BA1166" t="s">
        <v>63</v>
      </c>
      <c r="BB1166" t="s">
        <v>63</v>
      </c>
      <c r="BC1166" t="s">
        <v>63</v>
      </c>
      <c r="BD1166" t="s">
        <v>63</v>
      </c>
      <c r="BE1166" t="s">
        <v>63</v>
      </c>
      <c r="BF1166" t="s">
        <v>63</v>
      </c>
    </row>
    <row r="1167" spans="1:58">
      <c r="A1167" t="s">
        <v>58</v>
      </c>
      <c r="B1167" t="s">
        <v>10376</v>
      </c>
      <c r="C1167" t="s">
        <v>10377</v>
      </c>
      <c r="D1167" t="s">
        <v>2353</v>
      </c>
      <c r="E1167" t="s">
        <v>2354</v>
      </c>
      <c r="F1167">
        <v>2012</v>
      </c>
      <c r="G1167" t="s">
        <v>157</v>
      </c>
      <c r="H1167">
        <v>43</v>
      </c>
      <c r="I1167">
        <v>4</v>
      </c>
      <c r="J1167">
        <v>446</v>
      </c>
      <c r="K1167">
        <v>450</v>
      </c>
      <c r="L1167" t="s">
        <v>10378</v>
      </c>
      <c r="M1167" t="s">
        <v>10379</v>
      </c>
      <c r="N1167" t="s">
        <v>10380</v>
      </c>
      <c r="O1167" t="s">
        <v>63</v>
      </c>
      <c r="Q1167" t="s">
        <v>63</v>
      </c>
      <c r="R1167" t="s">
        <v>63</v>
      </c>
      <c r="S1167" t="s">
        <v>63</v>
      </c>
      <c r="T1167" t="s">
        <v>63</v>
      </c>
      <c r="X1167" t="s">
        <v>63</v>
      </c>
      <c r="Y1167" t="s">
        <v>8330</v>
      </c>
      <c r="Z1167" t="s">
        <v>63</v>
      </c>
      <c r="AA1167" t="s">
        <v>10381</v>
      </c>
      <c r="AB1167">
        <v>22980449</v>
      </c>
      <c r="AC1167" t="s">
        <v>67</v>
      </c>
      <c r="AD1167" t="s">
        <v>63</v>
      </c>
      <c r="AE1167" t="s">
        <v>63</v>
      </c>
      <c r="AF1167" t="s">
        <v>63</v>
      </c>
      <c r="AG1167" t="s">
        <v>10382</v>
      </c>
      <c r="AH1167" t="s">
        <v>63</v>
      </c>
      <c r="AI1167" t="s">
        <v>10383</v>
      </c>
      <c r="AJ1167" t="s">
        <v>63</v>
      </c>
      <c r="AK1167" t="s">
        <v>63</v>
      </c>
      <c r="AL1167" t="s">
        <v>63</v>
      </c>
      <c r="AM1167" t="s">
        <v>10384</v>
      </c>
      <c r="AN1167" t="s">
        <v>63</v>
      </c>
      <c r="AO1167" t="s">
        <v>63</v>
      </c>
      <c r="AP1167" t="s">
        <v>63</v>
      </c>
      <c r="AQ1167" t="s">
        <v>63</v>
      </c>
      <c r="AR1167" t="s">
        <v>63</v>
      </c>
      <c r="AS1167" t="s">
        <v>63</v>
      </c>
      <c r="AT1167" t="s">
        <v>63</v>
      </c>
      <c r="AU1167" t="s">
        <v>63</v>
      </c>
      <c r="AV1167" t="s">
        <v>63</v>
      </c>
      <c r="AW1167" t="s">
        <v>63</v>
      </c>
      <c r="AX1167" t="s">
        <v>63</v>
      </c>
      <c r="AY1167" t="s">
        <v>63</v>
      </c>
      <c r="AZ1167" t="s">
        <v>63</v>
      </c>
      <c r="BA1167" t="s">
        <v>63</v>
      </c>
      <c r="BB1167" t="s">
        <v>63</v>
      </c>
      <c r="BC1167" t="s">
        <v>63</v>
      </c>
      <c r="BD1167" t="s">
        <v>63</v>
      </c>
      <c r="BE1167" t="s">
        <v>63</v>
      </c>
      <c r="BF1167" t="s">
        <v>63</v>
      </c>
    </row>
    <row r="1168" spans="1:58">
      <c r="A1168" t="s">
        <v>58</v>
      </c>
      <c r="B1168" t="s">
        <v>10385</v>
      </c>
      <c r="C1168" t="s">
        <v>10386</v>
      </c>
      <c r="D1168" t="s">
        <v>325</v>
      </c>
      <c r="E1168" t="s">
        <v>63</v>
      </c>
      <c r="F1168">
        <v>2009</v>
      </c>
      <c r="G1168" t="s">
        <v>147</v>
      </c>
      <c r="H1168">
        <v>33</v>
      </c>
      <c r="I1168">
        <v>2</v>
      </c>
      <c r="J1168">
        <v>143</v>
      </c>
      <c r="K1168">
        <v>148</v>
      </c>
      <c r="L1168" t="s">
        <v>10387</v>
      </c>
      <c r="M1168" t="s">
        <v>10388</v>
      </c>
      <c r="N1168" t="s">
        <v>10389</v>
      </c>
      <c r="O1168" t="s">
        <v>63</v>
      </c>
      <c r="Q1168" t="s">
        <v>63</v>
      </c>
      <c r="R1168" t="s">
        <v>63</v>
      </c>
      <c r="S1168" t="s">
        <v>63</v>
      </c>
      <c r="T1168" t="s">
        <v>63</v>
      </c>
      <c r="X1168" t="s">
        <v>63</v>
      </c>
      <c r="Y1168" t="s">
        <v>866</v>
      </c>
      <c r="Z1168" t="s">
        <v>63</v>
      </c>
      <c r="AA1168" t="s">
        <v>10390</v>
      </c>
      <c r="AB1168">
        <v>19398629</v>
      </c>
      <c r="AC1168" t="s">
        <v>67</v>
      </c>
      <c r="AD1168" t="s">
        <v>63</v>
      </c>
      <c r="AE1168" t="s">
        <v>63</v>
      </c>
      <c r="AF1168" t="s">
        <v>63</v>
      </c>
      <c r="AG1168" t="s">
        <v>10391</v>
      </c>
      <c r="AH1168" t="s">
        <v>63</v>
      </c>
      <c r="AI1168" t="s">
        <v>10392</v>
      </c>
      <c r="AJ1168" t="s">
        <v>63</v>
      </c>
      <c r="AK1168" t="s">
        <v>63</v>
      </c>
      <c r="AL1168" t="s">
        <v>63</v>
      </c>
      <c r="AM1168" t="s">
        <v>10393</v>
      </c>
      <c r="AN1168" t="s">
        <v>63</v>
      </c>
      <c r="AO1168" t="s">
        <v>63</v>
      </c>
      <c r="AP1168" t="s">
        <v>63</v>
      </c>
      <c r="AQ1168" t="s">
        <v>63</v>
      </c>
      <c r="AR1168" t="s">
        <v>63</v>
      </c>
      <c r="AS1168" t="s">
        <v>63</v>
      </c>
      <c r="AT1168" t="s">
        <v>63</v>
      </c>
      <c r="AU1168" t="s">
        <v>63</v>
      </c>
      <c r="AV1168" t="s">
        <v>63</v>
      </c>
      <c r="AW1168" t="s">
        <v>63</v>
      </c>
      <c r="AX1168" t="s">
        <v>63</v>
      </c>
      <c r="AY1168" t="s">
        <v>63</v>
      </c>
      <c r="AZ1168" t="s">
        <v>63</v>
      </c>
      <c r="BA1168" t="s">
        <v>63</v>
      </c>
      <c r="BB1168" t="s">
        <v>63</v>
      </c>
      <c r="BC1168" t="s">
        <v>63</v>
      </c>
      <c r="BD1168" t="s">
        <v>63</v>
      </c>
      <c r="BE1168" t="s">
        <v>63</v>
      </c>
      <c r="BF1168" t="s">
        <v>63</v>
      </c>
    </row>
    <row r="1169" spans="1:58">
      <c r="A1169" t="s">
        <v>58</v>
      </c>
      <c r="B1169" t="s">
        <v>10394</v>
      </c>
      <c r="C1169" t="s">
        <v>10395</v>
      </c>
      <c r="D1169" t="s">
        <v>325</v>
      </c>
      <c r="E1169" t="s">
        <v>63</v>
      </c>
      <c r="F1169">
        <v>2015</v>
      </c>
      <c r="G1169" t="s">
        <v>73</v>
      </c>
      <c r="H1169">
        <v>39</v>
      </c>
      <c r="I1169">
        <v>3</v>
      </c>
      <c r="J1169">
        <v>342</v>
      </c>
      <c r="K1169">
        <v>343</v>
      </c>
      <c r="L1169" t="s">
        <v>10396</v>
      </c>
      <c r="M1169" t="s">
        <v>63</v>
      </c>
      <c r="N1169" t="s">
        <v>10397</v>
      </c>
      <c r="O1169" t="s">
        <v>63</v>
      </c>
      <c r="Q1169" t="s">
        <v>63</v>
      </c>
      <c r="R1169" t="s">
        <v>63</v>
      </c>
      <c r="S1169" t="s">
        <v>63</v>
      </c>
      <c r="T1169" t="s">
        <v>63</v>
      </c>
      <c r="X1169" t="s">
        <v>63</v>
      </c>
      <c r="Y1169" t="s">
        <v>330</v>
      </c>
      <c r="Z1169" t="s">
        <v>63</v>
      </c>
      <c r="AA1169" t="s">
        <v>10398</v>
      </c>
      <c r="AB1169">
        <v>25416610</v>
      </c>
      <c r="AC1169" t="s">
        <v>67</v>
      </c>
      <c r="AD1169" t="s">
        <v>63</v>
      </c>
      <c r="AE1169" t="s">
        <v>63</v>
      </c>
      <c r="AF1169" t="s">
        <v>63</v>
      </c>
      <c r="AG1169" t="s">
        <v>10399</v>
      </c>
      <c r="AH1169" t="s">
        <v>63</v>
      </c>
      <c r="AI1169" t="s">
        <v>10400</v>
      </c>
      <c r="AJ1169" t="s">
        <v>63</v>
      </c>
      <c r="AK1169" t="s">
        <v>63</v>
      </c>
      <c r="AL1169" t="s">
        <v>63</v>
      </c>
      <c r="AM1169" t="s">
        <v>10401</v>
      </c>
      <c r="AN1169" t="s">
        <v>63</v>
      </c>
      <c r="AO1169" t="s">
        <v>63</v>
      </c>
      <c r="AP1169" t="s">
        <v>63</v>
      </c>
      <c r="AQ1169" t="s">
        <v>63</v>
      </c>
      <c r="AR1169" t="s">
        <v>63</v>
      </c>
      <c r="AS1169" t="s">
        <v>63</v>
      </c>
      <c r="AT1169" t="s">
        <v>63</v>
      </c>
      <c r="AU1169" t="s">
        <v>63</v>
      </c>
      <c r="AV1169" t="s">
        <v>63</v>
      </c>
      <c r="AW1169" t="s">
        <v>63</v>
      </c>
      <c r="AX1169" t="s">
        <v>63</v>
      </c>
      <c r="AY1169" t="s">
        <v>63</v>
      </c>
      <c r="AZ1169" t="s">
        <v>63</v>
      </c>
      <c r="BA1169" t="s">
        <v>63</v>
      </c>
      <c r="BB1169" t="s">
        <v>63</v>
      </c>
      <c r="BC1169" t="s">
        <v>63</v>
      </c>
      <c r="BD1169" t="s">
        <v>63</v>
      </c>
      <c r="BE1169" t="s">
        <v>63</v>
      </c>
      <c r="BF1169" t="s">
        <v>63</v>
      </c>
    </row>
    <row r="1170" spans="1:58">
      <c r="A1170" t="s">
        <v>58</v>
      </c>
      <c r="B1170" t="s">
        <v>10402</v>
      </c>
      <c r="C1170" t="s">
        <v>10403</v>
      </c>
      <c r="D1170" t="s">
        <v>10404</v>
      </c>
      <c r="E1170" t="s">
        <v>63</v>
      </c>
      <c r="F1170">
        <v>1969</v>
      </c>
      <c r="G1170" t="s">
        <v>623</v>
      </c>
      <c r="H1170">
        <v>10</v>
      </c>
      <c r="I1170">
        <v>1</v>
      </c>
      <c r="J1170">
        <v>1</v>
      </c>
      <c r="K1170">
        <v>4</v>
      </c>
      <c r="L1170" t="s">
        <v>10405</v>
      </c>
      <c r="M1170" t="s">
        <v>63</v>
      </c>
      <c r="N1170" t="s">
        <v>10406</v>
      </c>
      <c r="O1170" t="s">
        <v>63</v>
      </c>
      <c r="Q1170" t="s">
        <v>63</v>
      </c>
      <c r="R1170" t="s">
        <v>63</v>
      </c>
      <c r="S1170" t="s">
        <v>63</v>
      </c>
      <c r="T1170" t="s">
        <v>63</v>
      </c>
      <c r="X1170" t="s">
        <v>63</v>
      </c>
      <c r="Y1170" s="2">
        <v>2678203</v>
      </c>
      <c r="Z1170" t="s">
        <v>63</v>
      </c>
      <c r="AA1170" t="s">
        <v>63</v>
      </c>
      <c r="AB1170">
        <v>5812738</v>
      </c>
      <c r="AC1170" t="s">
        <v>67</v>
      </c>
      <c r="AD1170" t="s">
        <v>63</v>
      </c>
      <c r="AE1170" t="s">
        <v>63</v>
      </c>
      <c r="AF1170" t="s">
        <v>63</v>
      </c>
      <c r="AG1170" t="s">
        <v>10407</v>
      </c>
      <c r="AH1170" t="s">
        <v>63</v>
      </c>
      <c r="AI1170" t="s">
        <v>63</v>
      </c>
      <c r="AJ1170" t="s">
        <v>63</v>
      </c>
      <c r="AK1170" t="s">
        <v>63</v>
      </c>
      <c r="AL1170" t="s">
        <v>63</v>
      </c>
      <c r="AM1170" t="s">
        <v>10408</v>
      </c>
      <c r="AN1170" t="s">
        <v>63</v>
      </c>
      <c r="AO1170" t="s">
        <v>63</v>
      </c>
      <c r="AP1170" t="s">
        <v>63</v>
      </c>
      <c r="AQ1170" t="s">
        <v>63</v>
      </c>
      <c r="AR1170" t="s">
        <v>63</v>
      </c>
      <c r="AS1170" t="s">
        <v>63</v>
      </c>
      <c r="AT1170" t="s">
        <v>63</v>
      </c>
      <c r="AU1170" t="s">
        <v>63</v>
      </c>
      <c r="AV1170" t="s">
        <v>63</v>
      </c>
      <c r="AW1170" t="s">
        <v>63</v>
      </c>
      <c r="AX1170" t="s">
        <v>63</v>
      </c>
      <c r="AY1170" t="s">
        <v>63</v>
      </c>
      <c r="AZ1170" t="s">
        <v>63</v>
      </c>
      <c r="BA1170" t="s">
        <v>63</v>
      </c>
      <c r="BB1170" t="s">
        <v>63</v>
      </c>
      <c r="BC1170" t="s">
        <v>63</v>
      </c>
      <c r="BD1170" t="s">
        <v>63</v>
      </c>
      <c r="BE1170" t="s">
        <v>63</v>
      </c>
      <c r="BF1170" t="s">
        <v>63</v>
      </c>
    </row>
    <row r="1171" spans="1:58">
      <c r="A1171" t="s">
        <v>58</v>
      </c>
      <c r="B1171" t="s">
        <v>10409</v>
      </c>
      <c r="C1171" t="s">
        <v>10410</v>
      </c>
      <c r="D1171" t="s">
        <v>1184</v>
      </c>
      <c r="E1171" t="s">
        <v>1185</v>
      </c>
      <c r="F1171">
        <v>1980</v>
      </c>
      <c r="G1171" t="s">
        <v>189</v>
      </c>
      <c r="H1171">
        <v>55</v>
      </c>
      <c r="I1171">
        <v>5</v>
      </c>
      <c r="J1171">
        <v>453</v>
      </c>
      <c r="K1171">
        <v>455</v>
      </c>
      <c r="L1171" t="s">
        <v>10411</v>
      </c>
      <c r="M1171" t="s">
        <v>63</v>
      </c>
      <c r="N1171" t="s">
        <v>10412</v>
      </c>
      <c r="O1171" t="s">
        <v>63</v>
      </c>
      <c r="Q1171" t="s">
        <v>63</v>
      </c>
      <c r="R1171" t="s">
        <v>63</v>
      </c>
      <c r="S1171" t="s">
        <v>63</v>
      </c>
      <c r="T1171" t="s">
        <v>63</v>
      </c>
      <c r="X1171" t="s">
        <v>63</v>
      </c>
      <c r="Y1171" t="s">
        <v>1188</v>
      </c>
      <c r="Z1171" t="s">
        <v>63</v>
      </c>
      <c r="AA1171" t="s">
        <v>63</v>
      </c>
      <c r="AB1171">
        <v>7381888</v>
      </c>
      <c r="AC1171" t="s">
        <v>67</v>
      </c>
      <c r="AD1171" t="s">
        <v>63</v>
      </c>
      <c r="AE1171" t="s">
        <v>63</v>
      </c>
      <c r="AF1171" t="s">
        <v>63</v>
      </c>
      <c r="AG1171" t="s">
        <v>10413</v>
      </c>
      <c r="AH1171" t="s">
        <v>63</v>
      </c>
      <c r="AI1171" t="s">
        <v>63</v>
      </c>
      <c r="AJ1171" t="s">
        <v>63</v>
      </c>
      <c r="AK1171" t="s">
        <v>63</v>
      </c>
      <c r="AL1171" t="s">
        <v>63</v>
      </c>
      <c r="AM1171" t="s">
        <v>10414</v>
      </c>
      <c r="AN1171" t="s">
        <v>63</v>
      </c>
      <c r="AO1171" t="s">
        <v>63</v>
      </c>
      <c r="AP1171" t="s">
        <v>63</v>
      </c>
      <c r="AQ1171" t="s">
        <v>63</v>
      </c>
      <c r="AR1171" t="s">
        <v>63</v>
      </c>
      <c r="AS1171" t="s">
        <v>63</v>
      </c>
      <c r="AT1171" t="s">
        <v>63</v>
      </c>
      <c r="AU1171" t="s">
        <v>63</v>
      </c>
      <c r="AV1171" t="s">
        <v>63</v>
      </c>
      <c r="AW1171" t="s">
        <v>63</v>
      </c>
      <c r="AX1171" t="s">
        <v>63</v>
      </c>
      <c r="AY1171" t="s">
        <v>63</v>
      </c>
      <c r="AZ1171" t="s">
        <v>63</v>
      </c>
      <c r="BA1171" t="s">
        <v>63</v>
      </c>
      <c r="BB1171" t="s">
        <v>63</v>
      </c>
      <c r="BC1171" t="s">
        <v>63</v>
      </c>
      <c r="BD1171" t="s">
        <v>63</v>
      </c>
      <c r="BE1171" t="s">
        <v>63</v>
      </c>
      <c r="BF1171" t="s">
        <v>63</v>
      </c>
    </row>
    <row r="1172" spans="1:58">
      <c r="A1172" t="s">
        <v>58</v>
      </c>
      <c r="B1172" t="s">
        <v>10415</v>
      </c>
      <c r="C1172" t="s">
        <v>10416</v>
      </c>
      <c r="D1172" t="s">
        <v>690</v>
      </c>
      <c r="E1172" t="s">
        <v>63</v>
      </c>
      <c r="F1172">
        <v>2004</v>
      </c>
      <c r="G1172" t="s">
        <v>63</v>
      </c>
      <c r="H1172">
        <v>61</v>
      </c>
      <c r="I1172">
        <v>10</v>
      </c>
      <c r="J1172">
        <v>1203</v>
      </c>
      <c r="K1172">
        <v>1205</v>
      </c>
      <c r="L1172" t="s">
        <v>10417</v>
      </c>
      <c r="M1172" t="s">
        <v>10418</v>
      </c>
      <c r="N1172" t="s">
        <v>10419</v>
      </c>
      <c r="O1172" t="s">
        <v>63</v>
      </c>
      <c r="Q1172" t="s">
        <v>63</v>
      </c>
      <c r="R1172" t="s">
        <v>63</v>
      </c>
      <c r="S1172" t="s">
        <v>63</v>
      </c>
      <c r="T1172" t="s">
        <v>63</v>
      </c>
      <c r="X1172" t="s">
        <v>63</v>
      </c>
      <c r="Y1172" t="s">
        <v>694</v>
      </c>
      <c r="Z1172" t="s">
        <v>63</v>
      </c>
      <c r="AA1172" t="s">
        <v>10420</v>
      </c>
      <c r="AB1172">
        <v>15794290</v>
      </c>
      <c r="AC1172" t="s">
        <v>696</v>
      </c>
      <c r="AD1172" t="s">
        <v>63</v>
      </c>
      <c r="AE1172" t="s">
        <v>63</v>
      </c>
      <c r="AF1172" t="s">
        <v>63</v>
      </c>
      <c r="AG1172" t="s">
        <v>10421</v>
      </c>
      <c r="AH1172" t="s">
        <v>63</v>
      </c>
      <c r="AI1172" t="s">
        <v>63</v>
      </c>
      <c r="AJ1172" t="s">
        <v>63</v>
      </c>
      <c r="AK1172" t="s">
        <v>63</v>
      </c>
      <c r="AL1172" t="s">
        <v>63</v>
      </c>
      <c r="AM1172" t="s">
        <v>10422</v>
      </c>
      <c r="AN1172" t="s">
        <v>63</v>
      </c>
      <c r="AO1172" t="s">
        <v>63</v>
      </c>
      <c r="AP1172" t="s">
        <v>63</v>
      </c>
      <c r="AQ1172" t="s">
        <v>63</v>
      </c>
      <c r="AR1172" t="s">
        <v>63</v>
      </c>
      <c r="AS1172" t="s">
        <v>63</v>
      </c>
      <c r="AT1172" t="s">
        <v>63</v>
      </c>
      <c r="AU1172" t="s">
        <v>63</v>
      </c>
      <c r="AV1172" t="s">
        <v>63</v>
      </c>
      <c r="AW1172" t="s">
        <v>63</v>
      </c>
      <c r="AX1172" t="s">
        <v>63</v>
      </c>
      <c r="AY1172" t="s">
        <v>63</v>
      </c>
      <c r="AZ1172" t="s">
        <v>63</v>
      </c>
      <c r="BA1172" t="s">
        <v>63</v>
      </c>
      <c r="BB1172" t="s">
        <v>63</v>
      </c>
      <c r="BC1172" t="s">
        <v>63</v>
      </c>
      <c r="BD1172" t="s">
        <v>63</v>
      </c>
      <c r="BE1172" t="s">
        <v>63</v>
      </c>
      <c r="BF1172" t="s">
        <v>63</v>
      </c>
    </row>
    <row r="1173" spans="1:58">
      <c r="A1173" t="s">
        <v>58</v>
      </c>
      <c r="B1173" t="s">
        <v>10423</v>
      </c>
      <c r="C1173" t="s">
        <v>10424</v>
      </c>
      <c r="D1173" t="s">
        <v>763</v>
      </c>
      <c r="E1173" t="s">
        <v>63</v>
      </c>
      <c r="F1173">
        <v>1997</v>
      </c>
      <c r="G1173" t="s">
        <v>614</v>
      </c>
      <c r="H1173">
        <v>72</v>
      </c>
      <c r="I1173">
        <v>8</v>
      </c>
      <c r="J1173">
        <v>725</v>
      </c>
      <c r="K1173">
        <v>727</v>
      </c>
      <c r="L1173" t="s">
        <v>10425</v>
      </c>
      <c r="M1173" t="s">
        <v>10426</v>
      </c>
      <c r="N1173" t="s">
        <v>10427</v>
      </c>
      <c r="O1173" t="s">
        <v>63</v>
      </c>
      <c r="Q1173" t="s">
        <v>63</v>
      </c>
      <c r="R1173" t="s">
        <v>63</v>
      </c>
      <c r="S1173" t="s">
        <v>63</v>
      </c>
      <c r="T1173" t="s">
        <v>63</v>
      </c>
      <c r="X1173" t="s">
        <v>63</v>
      </c>
      <c r="Y1173" t="s">
        <v>858</v>
      </c>
      <c r="Z1173" t="s">
        <v>63</v>
      </c>
      <c r="AA1173" t="s">
        <v>10428</v>
      </c>
      <c r="AB1173">
        <v>9282151</v>
      </c>
      <c r="AC1173" t="s">
        <v>67</v>
      </c>
      <c r="AD1173" t="s">
        <v>63</v>
      </c>
      <c r="AE1173" t="s">
        <v>63</v>
      </c>
      <c r="AF1173" t="s">
        <v>63</v>
      </c>
      <c r="AG1173" t="s">
        <v>10429</v>
      </c>
      <c r="AH1173" t="s">
        <v>63</v>
      </c>
      <c r="AI1173" t="s">
        <v>63</v>
      </c>
      <c r="AJ1173" t="s">
        <v>63</v>
      </c>
      <c r="AK1173" t="s">
        <v>63</v>
      </c>
      <c r="AL1173" t="s">
        <v>63</v>
      </c>
      <c r="AM1173" t="s">
        <v>10430</v>
      </c>
      <c r="AN1173" t="s">
        <v>63</v>
      </c>
      <c r="AO1173" t="s">
        <v>63</v>
      </c>
      <c r="AP1173" t="s">
        <v>63</v>
      </c>
      <c r="AQ1173" t="s">
        <v>63</v>
      </c>
      <c r="AR1173" t="s">
        <v>63</v>
      </c>
      <c r="AS1173" t="s">
        <v>63</v>
      </c>
      <c r="AT1173" t="s">
        <v>63</v>
      </c>
      <c r="AU1173" t="s">
        <v>63</v>
      </c>
      <c r="AV1173" t="s">
        <v>63</v>
      </c>
      <c r="AW1173" t="s">
        <v>63</v>
      </c>
      <c r="AX1173" t="s">
        <v>63</v>
      </c>
      <c r="AY1173" t="s">
        <v>63</v>
      </c>
      <c r="AZ1173" t="s">
        <v>63</v>
      </c>
      <c r="BA1173" t="s">
        <v>63</v>
      </c>
      <c r="BB1173" t="s">
        <v>63</v>
      </c>
      <c r="BC1173" t="s">
        <v>63</v>
      </c>
      <c r="BD1173" t="s">
        <v>63</v>
      </c>
      <c r="BE1173" t="s">
        <v>63</v>
      </c>
      <c r="BF1173" t="s">
        <v>63</v>
      </c>
    </row>
    <row r="1174" spans="1:58">
      <c r="A1174" t="s">
        <v>58</v>
      </c>
      <c r="B1174" t="s">
        <v>10431</v>
      </c>
      <c r="C1174" t="s">
        <v>10432</v>
      </c>
      <c r="D1174" t="s">
        <v>371</v>
      </c>
      <c r="E1174" t="s">
        <v>63</v>
      </c>
      <c r="F1174">
        <v>2006</v>
      </c>
      <c r="G1174" t="s">
        <v>189</v>
      </c>
      <c r="H1174">
        <v>21</v>
      </c>
      <c r="I1174">
        <v>5</v>
      </c>
      <c r="J1174">
        <v>453</v>
      </c>
      <c r="K1174">
        <v>459</v>
      </c>
      <c r="L1174" t="s">
        <v>10433</v>
      </c>
      <c r="M1174" t="s">
        <v>10434</v>
      </c>
      <c r="N1174" t="s">
        <v>10435</v>
      </c>
      <c r="O1174" t="s">
        <v>63</v>
      </c>
      <c r="Q1174" t="s">
        <v>63</v>
      </c>
      <c r="R1174" t="s">
        <v>63</v>
      </c>
      <c r="S1174" t="s">
        <v>63</v>
      </c>
      <c r="T1174" t="s">
        <v>63</v>
      </c>
      <c r="X1174" t="s">
        <v>63</v>
      </c>
      <c r="Y1174" t="s">
        <v>547</v>
      </c>
      <c r="Z1174" t="s">
        <v>63</v>
      </c>
      <c r="AA1174" t="s">
        <v>10436</v>
      </c>
      <c r="AB1174">
        <v>16704387</v>
      </c>
      <c r="AC1174" t="s">
        <v>67</v>
      </c>
      <c r="AD1174" t="s">
        <v>63</v>
      </c>
      <c r="AE1174" t="s">
        <v>63</v>
      </c>
      <c r="AF1174" t="s">
        <v>63</v>
      </c>
      <c r="AG1174" t="s">
        <v>10437</v>
      </c>
      <c r="AH1174" t="s">
        <v>63</v>
      </c>
      <c r="AI1174" t="s">
        <v>63</v>
      </c>
      <c r="AJ1174" t="s">
        <v>63</v>
      </c>
      <c r="AK1174" t="s">
        <v>63</v>
      </c>
      <c r="AL1174" t="s">
        <v>63</v>
      </c>
      <c r="AM1174" t="s">
        <v>10438</v>
      </c>
      <c r="AN1174" t="s">
        <v>63</v>
      </c>
      <c r="AO1174" t="s">
        <v>63</v>
      </c>
      <c r="AP1174" t="s">
        <v>63</v>
      </c>
      <c r="AQ1174" t="s">
        <v>63</v>
      </c>
      <c r="AR1174" t="s">
        <v>63</v>
      </c>
      <c r="AS1174" t="s">
        <v>63</v>
      </c>
      <c r="AT1174" t="s">
        <v>63</v>
      </c>
      <c r="AU1174" t="s">
        <v>63</v>
      </c>
      <c r="AV1174" t="s">
        <v>63</v>
      </c>
      <c r="AW1174" t="s">
        <v>63</v>
      </c>
      <c r="AX1174" t="s">
        <v>63</v>
      </c>
      <c r="AY1174" t="s">
        <v>63</v>
      </c>
      <c r="AZ1174" t="s">
        <v>63</v>
      </c>
      <c r="BA1174" t="s">
        <v>63</v>
      </c>
      <c r="BB1174" t="s">
        <v>63</v>
      </c>
      <c r="BC1174" t="s">
        <v>63</v>
      </c>
      <c r="BD1174" t="s">
        <v>63</v>
      </c>
      <c r="BE1174" t="s">
        <v>63</v>
      </c>
      <c r="BF1174" t="s">
        <v>63</v>
      </c>
    </row>
    <row r="1175" spans="1:58">
      <c r="A1175" t="s">
        <v>58</v>
      </c>
      <c r="B1175" t="s">
        <v>10439</v>
      </c>
      <c r="C1175" t="s">
        <v>10440</v>
      </c>
      <c r="D1175" t="s">
        <v>389</v>
      </c>
      <c r="E1175" t="s">
        <v>63</v>
      </c>
      <c r="F1175">
        <v>2013</v>
      </c>
      <c r="G1175" t="s">
        <v>63</v>
      </c>
      <c r="H1175">
        <v>34</v>
      </c>
      <c r="I1175">
        <v>4</v>
      </c>
      <c r="J1175">
        <v>350</v>
      </c>
      <c r="K1175">
        <v>355</v>
      </c>
      <c r="L1175" t="s">
        <v>10441</v>
      </c>
      <c r="M1175" t="s">
        <v>10442</v>
      </c>
      <c r="N1175" t="s">
        <v>10443</v>
      </c>
      <c r="O1175" t="s">
        <v>63</v>
      </c>
      <c r="Q1175" t="s">
        <v>63</v>
      </c>
      <c r="R1175" t="s">
        <v>63</v>
      </c>
      <c r="S1175" t="s">
        <v>63</v>
      </c>
      <c r="T1175" t="s">
        <v>63</v>
      </c>
      <c r="X1175" t="s">
        <v>63</v>
      </c>
      <c r="Y1175" t="s">
        <v>556</v>
      </c>
      <c r="Z1175" t="s">
        <v>63</v>
      </c>
      <c r="AA1175" t="s">
        <v>10444</v>
      </c>
      <c r="AB1175">
        <v>24159905</v>
      </c>
      <c r="AC1175" t="s">
        <v>67</v>
      </c>
      <c r="AD1175" t="s">
        <v>63</v>
      </c>
      <c r="AE1175" t="s">
        <v>63</v>
      </c>
      <c r="AF1175" t="s">
        <v>63</v>
      </c>
      <c r="AG1175" t="s">
        <v>10445</v>
      </c>
      <c r="AH1175" t="s">
        <v>63</v>
      </c>
      <c r="AI1175" t="s">
        <v>10446</v>
      </c>
      <c r="AJ1175" t="s">
        <v>63</v>
      </c>
      <c r="AK1175" t="s">
        <v>63</v>
      </c>
      <c r="AL1175" t="s">
        <v>63</v>
      </c>
      <c r="AM1175" t="s">
        <v>10447</v>
      </c>
      <c r="AN1175" t="s">
        <v>63</v>
      </c>
      <c r="AO1175" t="s">
        <v>63</v>
      </c>
      <c r="AP1175" t="s">
        <v>63</v>
      </c>
      <c r="AQ1175" t="s">
        <v>63</v>
      </c>
      <c r="AR1175" t="s">
        <v>63</v>
      </c>
      <c r="AS1175" t="s">
        <v>63</v>
      </c>
      <c r="AT1175" t="s">
        <v>63</v>
      </c>
      <c r="AU1175" t="s">
        <v>63</v>
      </c>
      <c r="AV1175" t="s">
        <v>63</v>
      </c>
      <c r="AW1175" t="s">
        <v>63</v>
      </c>
      <c r="AX1175" t="s">
        <v>63</v>
      </c>
      <c r="AY1175" t="s">
        <v>63</v>
      </c>
      <c r="AZ1175" t="s">
        <v>63</v>
      </c>
      <c r="BA1175" t="s">
        <v>63</v>
      </c>
      <c r="BB1175" t="s">
        <v>63</v>
      </c>
      <c r="BC1175" t="s">
        <v>63</v>
      </c>
      <c r="BD1175" t="s">
        <v>63</v>
      </c>
      <c r="BE1175" t="s">
        <v>63</v>
      </c>
      <c r="BF1175" t="s">
        <v>63</v>
      </c>
    </row>
    <row r="1176" spans="1:58">
      <c r="A1176" t="s">
        <v>58</v>
      </c>
      <c r="B1176" t="s">
        <v>10448</v>
      </c>
      <c r="C1176" t="s">
        <v>10449</v>
      </c>
      <c r="D1176" t="s">
        <v>488</v>
      </c>
      <c r="E1176" t="s">
        <v>489</v>
      </c>
      <c r="F1176">
        <v>2003</v>
      </c>
      <c r="G1176" t="s">
        <v>274</v>
      </c>
      <c r="H1176">
        <v>41</v>
      </c>
      <c r="I1176">
        <v>3</v>
      </c>
      <c r="J1176">
        <v>357</v>
      </c>
      <c r="K1176">
        <v>367</v>
      </c>
      <c r="L1176" t="s">
        <v>10450</v>
      </c>
      <c r="M1176" t="s">
        <v>10451</v>
      </c>
      <c r="N1176" t="s">
        <v>10452</v>
      </c>
      <c r="O1176" t="s">
        <v>63</v>
      </c>
      <c r="Q1176" t="s">
        <v>63</v>
      </c>
      <c r="R1176" t="s">
        <v>63</v>
      </c>
      <c r="S1176" t="s">
        <v>63</v>
      </c>
      <c r="T1176" t="s">
        <v>63</v>
      </c>
      <c r="X1176" t="s">
        <v>63</v>
      </c>
      <c r="Y1176" t="s">
        <v>494</v>
      </c>
      <c r="Z1176" t="s">
        <v>63</v>
      </c>
      <c r="AA1176" t="s">
        <v>10453</v>
      </c>
      <c r="AB1176">
        <v>12618639</v>
      </c>
      <c r="AC1176" t="s">
        <v>67</v>
      </c>
      <c r="AD1176" t="s">
        <v>63</v>
      </c>
      <c r="AE1176" t="s">
        <v>63</v>
      </c>
      <c r="AF1176" t="s">
        <v>63</v>
      </c>
      <c r="AG1176" t="s">
        <v>10454</v>
      </c>
      <c r="AH1176" t="s">
        <v>63</v>
      </c>
      <c r="AI1176" t="s">
        <v>63</v>
      </c>
      <c r="AJ1176" t="s">
        <v>63</v>
      </c>
      <c r="AK1176" t="s">
        <v>63</v>
      </c>
      <c r="AL1176" t="s">
        <v>63</v>
      </c>
      <c r="AM1176" t="s">
        <v>10455</v>
      </c>
      <c r="AN1176" t="s">
        <v>63</v>
      </c>
      <c r="AO1176" t="s">
        <v>63</v>
      </c>
      <c r="AP1176" t="s">
        <v>63</v>
      </c>
      <c r="AQ1176" t="s">
        <v>63</v>
      </c>
      <c r="AR1176" t="s">
        <v>63</v>
      </c>
      <c r="AS1176" t="s">
        <v>63</v>
      </c>
      <c r="AT1176" t="s">
        <v>63</v>
      </c>
      <c r="AU1176" t="s">
        <v>63</v>
      </c>
      <c r="AV1176" t="s">
        <v>63</v>
      </c>
      <c r="AW1176" t="s">
        <v>63</v>
      </c>
      <c r="AX1176" t="s">
        <v>63</v>
      </c>
      <c r="AY1176" t="s">
        <v>63</v>
      </c>
      <c r="AZ1176" t="s">
        <v>63</v>
      </c>
      <c r="BA1176" t="s">
        <v>63</v>
      </c>
      <c r="BB1176" t="s">
        <v>63</v>
      </c>
      <c r="BC1176" t="s">
        <v>63</v>
      </c>
      <c r="BD1176" t="s">
        <v>63</v>
      </c>
      <c r="BE1176" t="s">
        <v>63</v>
      </c>
      <c r="BF1176" t="s">
        <v>63</v>
      </c>
    </row>
    <row r="1177" spans="1:58">
      <c r="A1177" t="s">
        <v>58</v>
      </c>
      <c r="B1177" t="s">
        <v>10456</v>
      </c>
      <c r="C1177" t="s">
        <v>10457</v>
      </c>
      <c r="D1177" t="s">
        <v>2731</v>
      </c>
      <c r="E1177" t="s">
        <v>63</v>
      </c>
      <c r="F1177">
        <v>2017</v>
      </c>
      <c r="G1177" t="s">
        <v>2364</v>
      </c>
      <c r="H1177">
        <v>13</v>
      </c>
      <c r="I1177">
        <v>5</v>
      </c>
      <c r="J1177">
        <v>303</v>
      </c>
      <c r="K1177">
        <v>313</v>
      </c>
      <c r="L1177" t="s">
        <v>10458</v>
      </c>
      <c r="M1177" t="s">
        <v>10459</v>
      </c>
      <c r="N1177" t="s">
        <v>10460</v>
      </c>
      <c r="O1177" t="s">
        <v>63</v>
      </c>
      <c r="Q1177" t="s">
        <v>63</v>
      </c>
      <c r="R1177" t="s">
        <v>63</v>
      </c>
      <c r="S1177" t="s">
        <v>63</v>
      </c>
      <c r="T1177" t="s">
        <v>63</v>
      </c>
      <c r="X1177" t="s">
        <v>63</v>
      </c>
      <c r="Y1177" t="s">
        <v>2735</v>
      </c>
      <c r="Z1177" t="s">
        <v>63</v>
      </c>
      <c r="AA1177" t="s">
        <v>10461</v>
      </c>
      <c r="AB1177">
        <v>29199396</v>
      </c>
      <c r="AC1177" t="s">
        <v>67</v>
      </c>
      <c r="AD1177" t="s">
        <v>63</v>
      </c>
      <c r="AE1177" t="s">
        <v>63</v>
      </c>
      <c r="AF1177" t="s">
        <v>63</v>
      </c>
      <c r="AG1177" t="s">
        <v>10462</v>
      </c>
      <c r="AH1177" t="s">
        <v>63</v>
      </c>
      <c r="AI1177" t="s">
        <v>10463</v>
      </c>
      <c r="AJ1177" t="s">
        <v>63</v>
      </c>
      <c r="AK1177" t="s">
        <v>63</v>
      </c>
      <c r="AL1177" t="s">
        <v>63</v>
      </c>
      <c r="AM1177" t="s">
        <v>10464</v>
      </c>
      <c r="AN1177" t="s">
        <v>63</v>
      </c>
      <c r="AO1177" t="s">
        <v>63</v>
      </c>
      <c r="AP1177" t="s">
        <v>63</v>
      </c>
      <c r="AQ1177" t="s">
        <v>63</v>
      </c>
      <c r="AR1177" t="s">
        <v>63</v>
      </c>
      <c r="AS1177" t="s">
        <v>63</v>
      </c>
      <c r="AT1177" t="s">
        <v>63</v>
      </c>
      <c r="AU1177" t="s">
        <v>63</v>
      </c>
      <c r="AV1177" t="s">
        <v>63</v>
      </c>
      <c r="AW1177" t="s">
        <v>63</v>
      </c>
      <c r="AX1177" t="s">
        <v>63</v>
      </c>
      <c r="AY1177" t="s">
        <v>63</v>
      </c>
      <c r="AZ1177" t="s">
        <v>63</v>
      </c>
      <c r="BA1177" t="s">
        <v>63</v>
      </c>
      <c r="BB1177" t="s">
        <v>63</v>
      </c>
      <c r="BC1177" t="s">
        <v>63</v>
      </c>
      <c r="BD1177" t="s">
        <v>63</v>
      </c>
      <c r="BE1177" t="s">
        <v>63</v>
      </c>
      <c r="BF1177" t="s">
        <v>63</v>
      </c>
    </row>
    <row r="1178" spans="1:58">
      <c r="A1178" t="s">
        <v>58</v>
      </c>
      <c r="B1178" t="s">
        <v>10465</v>
      </c>
      <c r="C1178" t="s">
        <v>10466</v>
      </c>
      <c r="D1178" t="s">
        <v>10467</v>
      </c>
      <c r="E1178" t="s">
        <v>63</v>
      </c>
      <c r="F1178">
        <v>2002</v>
      </c>
      <c r="G1178" t="s">
        <v>63</v>
      </c>
      <c r="H1178">
        <v>16</v>
      </c>
      <c r="I1178">
        <v>4</v>
      </c>
      <c r="J1178">
        <v>39</v>
      </c>
      <c r="K1178">
        <v>49</v>
      </c>
      <c r="L1178" t="s">
        <v>10468</v>
      </c>
      <c r="M1178" t="s">
        <v>10469</v>
      </c>
      <c r="N1178" t="s">
        <v>10470</v>
      </c>
      <c r="O1178" t="s">
        <v>63</v>
      </c>
      <c r="Q1178" t="s">
        <v>63</v>
      </c>
      <c r="R1178" t="s">
        <v>63</v>
      </c>
      <c r="S1178" t="s">
        <v>63</v>
      </c>
      <c r="T1178" t="s">
        <v>63</v>
      </c>
      <c r="X1178" t="s">
        <v>63</v>
      </c>
      <c r="Y1178" t="s">
        <v>10471</v>
      </c>
      <c r="Z1178" t="s">
        <v>63</v>
      </c>
      <c r="AA1178" t="s">
        <v>10472</v>
      </c>
      <c r="AB1178">
        <v>14635824</v>
      </c>
      <c r="AC1178" t="s">
        <v>67</v>
      </c>
      <c r="AD1178" t="s">
        <v>63</v>
      </c>
      <c r="AE1178" t="s">
        <v>63</v>
      </c>
      <c r="AF1178" t="s">
        <v>63</v>
      </c>
      <c r="AG1178" t="s">
        <v>10473</v>
      </c>
      <c r="AH1178" t="s">
        <v>63</v>
      </c>
      <c r="AI1178" t="s">
        <v>63</v>
      </c>
      <c r="AJ1178" t="s">
        <v>63</v>
      </c>
      <c r="AK1178" t="s">
        <v>63</v>
      </c>
      <c r="AL1178" t="s">
        <v>63</v>
      </c>
      <c r="AM1178" t="s">
        <v>10474</v>
      </c>
      <c r="AN1178" t="s">
        <v>63</v>
      </c>
      <c r="AO1178" t="s">
        <v>63</v>
      </c>
      <c r="AP1178" t="s">
        <v>63</v>
      </c>
      <c r="AQ1178" t="s">
        <v>63</v>
      </c>
      <c r="AR1178" t="s">
        <v>63</v>
      </c>
      <c r="AS1178" t="s">
        <v>63</v>
      </c>
      <c r="AT1178" t="s">
        <v>63</v>
      </c>
      <c r="AU1178" t="s">
        <v>63</v>
      </c>
      <c r="AV1178" t="s">
        <v>63</v>
      </c>
      <c r="AW1178" t="s">
        <v>63</v>
      </c>
      <c r="AX1178" t="s">
        <v>63</v>
      </c>
      <c r="AY1178" t="s">
        <v>63</v>
      </c>
      <c r="AZ1178" t="s">
        <v>63</v>
      </c>
      <c r="BA1178" t="s">
        <v>63</v>
      </c>
      <c r="BB1178" t="s">
        <v>63</v>
      </c>
      <c r="BC1178" t="s">
        <v>63</v>
      </c>
      <c r="BD1178" t="s">
        <v>63</v>
      </c>
      <c r="BE1178" t="s">
        <v>63</v>
      </c>
      <c r="BF1178" t="s">
        <v>63</v>
      </c>
    </row>
    <row r="1179" spans="1:58">
      <c r="A1179" t="s">
        <v>58</v>
      </c>
      <c r="B1179" t="s">
        <v>10475</v>
      </c>
      <c r="C1179" t="s">
        <v>10476</v>
      </c>
      <c r="D1179" t="s">
        <v>4344</v>
      </c>
      <c r="E1179" t="s">
        <v>63</v>
      </c>
      <c r="F1179">
        <v>1970</v>
      </c>
      <c r="G1179" t="s">
        <v>219</v>
      </c>
      <c r="H1179">
        <v>65</v>
      </c>
      <c r="I1179">
        <v>3</v>
      </c>
      <c r="J1179">
        <v>195</v>
      </c>
      <c r="K1179">
        <v>198</v>
      </c>
      <c r="L1179" t="s">
        <v>10477</v>
      </c>
      <c r="M1179" t="s">
        <v>63</v>
      </c>
      <c r="N1179" t="s">
        <v>10478</v>
      </c>
      <c r="O1179" t="s">
        <v>63</v>
      </c>
      <c r="Q1179" t="s">
        <v>63</v>
      </c>
      <c r="R1179" t="s">
        <v>63</v>
      </c>
      <c r="S1179" t="s">
        <v>63</v>
      </c>
      <c r="T1179" t="s">
        <v>63</v>
      </c>
      <c r="X1179" t="s">
        <v>63</v>
      </c>
      <c r="Y1179" t="s">
        <v>4347</v>
      </c>
      <c r="Z1179" t="s">
        <v>63</v>
      </c>
      <c r="AA1179" t="s">
        <v>63</v>
      </c>
      <c r="AB1179">
        <v>5275900</v>
      </c>
      <c r="AC1179" t="s">
        <v>67</v>
      </c>
      <c r="AD1179" t="s">
        <v>63</v>
      </c>
      <c r="AE1179" t="s">
        <v>63</v>
      </c>
      <c r="AF1179" t="s">
        <v>63</v>
      </c>
      <c r="AG1179" t="s">
        <v>10479</v>
      </c>
      <c r="AH1179" t="s">
        <v>63</v>
      </c>
      <c r="AI1179" t="s">
        <v>63</v>
      </c>
      <c r="AJ1179" t="s">
        <v>63</v>
      </c>
      <c r="AK1179" t="s">
        <v>63</v>
      </c>
      <c r="AL1179" t="s">
        <v>63</v>
      </c>
      <c r="AM1179" t="s">
        <v>10480</v>
      </c>
      <c r="AN1179" t="s">
        <v>63</v>
      </c>
      <c r="AO1179" t="s">
        <v>63</v>
      </c>
      <c r="AP1179" t="s">
        <v>63</v>
      </c>
      <c r="AQ1179" t="s">
        <v>63</v>
      </c>
      <c r="AR1179" t="s">
        <v>63</v>
      </c>
      <c r="AS1179" t="s">
        <v>63</v>
      </c>
      <c r="AT1179" t="s">
        <v>63</v>
      </c>
      <c r="AU1179" t="s">
        <v>63</v>
      </c>
      <c r="AV1179" t="s">
        <v>63</v>
      </c>
      <c r="AW1179" t="s">
        <v>63</v>
      </c>
      <c r="AX1179" t="s">
        <v>63</v>
      </c>
      <c r="AY1179" t="s">
        <v>63</v>
      </c>
      <c r="AZ1179" t="s">
        <v>63</v>
      </c>
      <c r="BA1179" t="s">
        <v>63</v>
      </c>
      <c r="BB1179" t="s">
        <v>63</v>
      </c>
      <c r="BC1179" t="s">
        <v>63</v>
      </c>
      <c r="BD1179" t="s">
        <v>63</v>
      </c>
      <c r="BE1179" t="s">
        <v>63</v>
      </c>
      <c r="BF1179" t="s">
        <v>63</v>
      </c>
    </row>
    <row r="1180" spans="1:58">
      <c r="A1180" t="s">
        <v>58</v>
      </c>
      <c r="B1180" t="s">
        <v>10481</v>
      </c>
      <c r="C1180" t="s">
        <v>10482</v>
      </c>
      <c r="D1180" t="s">
        <v>10483</v>
      </c>
      <c r="E1180" t="s">
        <v>63</v>
      </c>
      <c r="F1180">
        <v>2014</v>
      </c>
      <c r="G1180" t="s">
        <v>198</v>
      </c>
      <c r="H1180">
        <v>5</v>
      </c>
      <c r="I1180">
        <v>1</v>
      </c>
      <c r="J1180">
        <v>69</v>
      </c>
      <c r="K1180">
        <v>75</v>
      </c>
      <c r="L1180" t="s">
        <v>63</v>
      </c>
      <c r="M1180" t="s">
        <v>10484</v>
      </c>
      <c r="N1180" t="s">
        <v>10485</v>
      </c>
      <c r="O1180" t="s">
        <v>63</v>
      </c>
      <c r="Q1180" t="s">
        <v>63</v>
      </c>
      <c r="R1180" t="s">
        <v>63</v>
      </c>
      <c r="S1180" t="s">
        <v>63</v>
      </c>
      <c r="T1180" t="s">
        <v>63</v>
      </c>
      <c r="X1180" t="s">
        <v>63</v>
      </c>
      <c r="Y1180" t="s">
        <v>10486</v>
      </c>
      <c r="Z1180" t="s">
        <v>63</v>
      </c>
      <c r="AA1180" t="s">
        <v>10487</v>
      </c>
      <c r="AB1180">
        <v>24554994</v>
      </c>
      <c r="AC1180" t="s">
        <v>67</v>
      </c>
      <c r="AD1180" t="s">
        <v>63</v>
      </c>
      <c r="AE1180" t="s">
        <v>63</v>
      </c>
      <c r="AF1180" t="s">
        <v>63</v>
      </c>
      <c r="AG1180" t="s">
        <v>10488</v>
      </c>
      <c r="AH1180" t="s">
        <v>63</v>
      </c>
      <c r="AI1180" t="s">
        <v>63</v>
      </c>
      <c r="AJ1180" t="s">
        <v>63</v>
      </c>
      <c r="AK1180" t="s">
        <v>63</v>
      </c>
      <c r="AL1180" t="s">
        <v>63</v>
      </c>
      <c r="AM1180" t="s">
        <v>10489</v>
      </c>
      <c r="AN1180" t="s">
        <v>63</v>
      </c>
      <c r="AO1180" t="s">
        <v>63</v>
      </c>
      <c r="AP1180" t="s">
        <v>63</v>
      </c>
      <c r="AQ1180" t="s">
        <v>63</v>
      </c>
      <c r="AR1180" t="s">
        <v>63</v>
      </c>
      <c r="AS1180" t="s">
        <v>63</v>
      </c>
      <c r="AT1180" t="s">
        <v>63</v>
      </c>
      <c r="AU1180" t="s">
        <v>63</v>
      </c>
      <c r="AV1180" t="s">
        <v>63</v>
      </c>
      <c r="AW1180" t="s">
        <v>63</v>
      </c>
      <c r="AX1180" t="s">
        <v>63</v>
      </c>
      <c r="AY1180" t="s">
        <v>63</v>
      </c>
      <c r="AZ1180" t="s">
        <v>63</v>
      </c>
      <c r="BA1180" t="s">
        <v>63</v>
      </c>
      <c r="BB1180" t="s">
        <v>63</v>
      </c>
      <c r="BC1180" t="s">
        <v>63</v>
      </c>
      <c r="BD1180" t="s">
        <v>63</v>
      </c>
      <c r="BE1180" t="s">
        <v>63</v>
      </c>
      <c r="BF1180" t="s">
        <v>63</v>
      </c>
    </row>
    <row r="1181" spans="1:58">
      <c r="A1181" t="s">
        <v>58</v>
      </c>
      <c r="B1181" t="s">
        <v>10490</v>
      </c>
      <c r="C1181" t="s">
        <v>10491</v>
      </c>
      <c r="D1181" t="s">
        <v>938</v>
      </c>
      <c r="E1181" t="s">
        <v>63</v>
      </c>
      <c r="F1181">
        <v>2017</v>
      </c>
      <c r="G1181" t="s">
        <v>198</v>
      </c>
      <c r="H1181">
        <v>26</v>
      </c>
      <c r="I1181">
        <v>1</v>
      </c>
      <c r="J1181">
        <v>80</v>
      </c>
      <c r="K1181">
        <v>82</v>
      </c>
      <c r="L1181" t="s">
        <v>63</v>
      </c>
      <c r="M1181" t="s">
        <v>63</v>
      </c>
      <c r="N1181" t="s">
        <v>10492</v>
      </c>
      <c r="O1181" t="s">
        <v>63</v>
      </c>
      <c r="Q1181" t="s">
        <v>63</v>
      </c>
      <c r="R1181" t="s">
        <v>63</v>
      </c>
      <c r="S1181" t="s">
        <v>63</v>
      </c>
      <c r="T1181" t="s">
        <v>63</v>
      </c>
      <c r="X1181" t="s">
        <v>63</v>
      </c>
      <c r="Y1181" t="s">
        <v>942</v>
      </c>
      <c r="Z1181" t="s">
        <v>63</v>
      </c>
      <c r="AA1181" t="s">
        <v>10493</v>
      </c>
      <c r="AB1181">
        <v>28000984</v>
      </c>
      <c r="AC1181" t="s">
        <v>67</v>
      </c>
      <c r="AD1181" t="s">
        <v>63</v>
      </c>
      <c r="AE1181" t="s">
        <v>63</v>
      </c>
      <c r="AF1181" t="s">
        <v>63</v>
      </c>
      <c r="AG1181" t="s">
        <v>10494</v>
      </c>
      <c r="AH1181" t="s">
        <v>63</v>
      </c>
      <c r="AI1181" t="s">
        <v>10495</v>
      </c>
      <c r="AJ1181" t="s">
        <v>63</v>
      </c>
      <c r="AK1181" t="s">
        <v>63</v>
      </c>
      <c r="AL1181" t="s">
        <v>63</v>
      </c>
      <c r="AM1181" t="s">
        <v>10496</v>
      </c>
      <c r="AN1181" t="s">
        <v>63</v>
      </c>
      <c r="AO1181" t="s">
        <v>63</v>
      </c>
      <c r="AP1181" t="s">
        <v>63</v>
      </c>
      <c r="AQ1181" t="s">
        <v>63</v>
      </c>
      <c r="AR1181" t="s">
        <v>63</v>
      </c>
      <c r="AS1181" t="s">
        <v>63</v>
      </c>
      <c r="AT1181" t="s">
        <v>63</v>
      </c>
      <c r="AU1181" t="s">
        <v>63</v>
      </c>
      <c r="AV1181" t="s">
        <v>63</v>
      </c>
      <c r="AW1181" t="s">
        <v>63</v>
      </c>
      <c r="AX1181" t="s">
        <v>63</v>
      </c>
      <c r="AY1181" t="s">
        <v>63</v>
      </c>
      <c r="AZ1181" t="s">
        <v>63</v>
      </c>
      <c r="BA1181" t="s">
        <v>63</v>
      </c>
      <c r="BB1181" t="s">
        <v>63</v>
      </c>
      <c r="BC1181" t="s">
        <v>63</v>
      </c>
      <c r="BD1181" t="s">
        <v>63</v>
      </c>
      <c r="BE1181" t="s">
        <v>63</v>
      </c>
      <c r="BF1181" t="s">
        <v>63</v>
      </c>
    </row>
    <row r="1182" spans="1:58">
      <c r="A1182" t="s">
        <v>58</v>
      </c>
      <c r="B1182" t="s">
        <v>10497</v>
      </c>
      <c r="C1182" t="s">
        <v>10498</v>
      </c>
      <c r="D1182" t="s">
        <v>180</v>
      </c>
      <c r="E1182" t="s">
        <v>63</v>
      </c>
      <c r="F1182">
        <v>1996</v>
      </c>
      <c r="G1182" t="s">
        <v>189</v>
      </c>
      <c r="H1182">
        <v>31</v>
      </c>
      <c r="I1182">
        <v>3</v>
      </c>
      <c r="J1182">
        <v>231</v>
      </c>
      <c r="K1182">
        <v>234</v>
      </c>
      <c r="L1182" t="s">
        <v>10499</v>
      </c>
      <c r="M1182" t="s">
        <v>10500</v>
      </c>
      <c r="N1182" t="s">
        <v>10501</v>
      </c>
      <c r="O1182" t="s">
        <v>63</v>
      </c>
      <c r="Q1182" t="s">
        <v>63</v>
      </c>
      <c r="R1182" t="s">
        <v>63</v>
      </c>
      <c r="S1182" t="s">
        <v>63</v>
      </c>
      <c r="T1182" t="s">
        <v>63</v>
      </c>
      <c r="X1182" t="s">
        <v>63</v>
      </c>
      <c r="Y1182" t="s">
        <v>185</v>
      </c>
      <c r="Z1182" t="s">
        <v>63</v>
      </c>
      <c r="AA1182" t="s">
        <v>10502</v>
      </c>
      <c r="AB1182">
        <v>8844027</v>
      </c>
      <c r="AC1182" t="s">
        <v>67</v>
      </c>
      <c r="AD1182" t="s">
        <v>63</v>
      </c>
      <c r="AE1182" t="s">
        <v>63</v>
      </c>
      <c r="AF1182" t="s">
        <v>63</v>
      </c>
      <c r="AG1182" t="s">
        <v>10503</v>
      </c>
      <c r="AH1182" t="s">
        <v>63</v>
      </c>
      <c r="AI1182" t="s">
        <v>63</v>
      </c>
      <c r="AJ1182" t="s">
        <v>63</v>
      </c>
      <c r="AK1182" t="s">
        <v>63</v>
      </c>
      <c r="AL1182" t="s">
        <v>63</v>
      </c>
      <c r="AM1182" t="s">
        <v>10504</v>
      </c>
      <c r="AN1182" t="s">
        <v>63</v>
      </c>
      <c r="AO1182" t="s">
        <v>63</v>
      </c>
      <c r="AP1182" t="s">
        <v>63</v>
      </c>
      <c r="AQ1182" t="s">
        <v>63</v>
      </c>
      <c r="AR1182" t="s">
        <v>63</v>
      </c>
      <c r="AS1182" t="s">
        <v>63</v>
      </c>
      <c r="AT1182" t="s">
        <v>63</v>
      </c>
      <c r="AU1182" t="s">
        <v>63</v>
      </c>
      <c r="AV1182" t="s">
        <v>63</v>
      </c>
      <c r="AW1182" t="s">
        <v>63</v>
      </c>
      <c r="AX1182" t="s">
        <v>63</v>
      </c>
      <c r="AY1182" t="s">
        <v>63</v>
      </c>
      <c r="AZ1182" t="s">
        <v>63</v>
      </c>
      <c r="BA1182" t="s">
        <v>63</v>
      </c>
      <c r="BB1182" t="s">
        <v>63</v>
      </c>
      <c r="BC1182" t="s">
        <v>63</v>
      </c>
      <c r="BD1182" t="s">
        <v>63</v>
      </c>
      <c r="BE1182" t="s">
        <v>63</v>
      </c>
      <c r="BF1182" t="s">
        <v>63</v>
      </c>
    </row>
    <row r="1183" spans="1:58">
      <c r="A1183" t="s">
        <v>58</v>
      </c>
      <c r="B1183" t="s">
        <v>10497</v>
      </c>
      <c r="C1183" t="s">
        <v>10505</v>
      </c>
      <c r="D1183" t="s">
        <v>2646</v>
      </c>
      <c r="E1183" t="s">
        <v>2647</v>
      </c>
      <c r="F1183">
        <v>1992</v>
      </c>
      <c r="G1183" t="s">
        <v>614</v>
      </c>
      <c r="H1183">
        <v>85</v>
      </c>
      <c r="I1183">
        <v>8</v>
      </c>
      <c r="J1183">
        <v>476</v>
      </c>
      <c r="K1183">
        <v>478</v>
      </c>
      <c r="L1183" t="s">
        <v>10506</v>
      </c>
      <c r="M1183" t="s">
        <v>63</v>
      </c>
      <c r="N1183" t="s">
        <v>10507</v>
      </c>
      <c r="O1183" t="s">
        <v>63</v>
      </c>
      <c r="Q1183" t="s">
        <v>63</v>
      </c>
      <c r="R1183" t="s">
        <v>63</v>
      </c>
      <c r="S1183" t="s">
        <v>63</v>
      </c>
      <c r="T1183" t="s">
        <v>63</v>
      </c>
      <c r="X1183" t="s">
        <v>63</v>
      </c>
      <c r="Y1183" t="s">
        <v>2649</v>
      </c>
      <c r="Z1183" t="s">
        <v>63</v>
      </c>
      <c r="AA1183" t="s">
        <v>10508</v>
      </c>
      <c r="AB1183">
        <v>1404198</v>
      </c>
      <c r="AC1183" t="s">
        <v>67</v>
      </c>
      <c r="AD1183" t="s">
        <v>63</v>
      </c>
      <c r="AE1183" t="s">
        <v>63</v>
      </c>
      <c r="AF1183" t="s">
        <v>63</v>
      </c>
      <c r="AG1183" t="s">
        <v>10509</v>
      </c>
      <c r="AH1183" t="s">
        <v>63</v>
      </c>
      <c r="AI1183" t="s">
        <v>63</v>
      </c>
      <c r="AJ1183" t="s">
        <v>63</v>
      </c>
      <c r="AK1183" t="s">
        <v>63</v>
      </c>
      <c r="AL1183" t="s">
        <v>63</v>
      </c>
      <c r="AM1183" t="s">
        <v>10510</v>
      </c>
      <c r="AN1183" t="s">
        <v>63</v>
      </c>
      <c r="AO1183" t="s">
        <v>63</v>
      </c>
      <c r="AP1183" t="s">
        <v>63</v>
      </c>
      <c r="AQ1183" t="s">
        <v>63</v>
      </c>
      <c r="AR1183" t="s">
        <v>63</v>
      </c>
      <c r="AS1183" t="s">
        <v>63</v>
      </c>
      <c r="AT1183" t="s">
        <v>63</v>
      </c>
      <c r="AU1183" t="s">
        <v>63</v>
      </c>
      <c r="AV1183" t="s">
        <v>63</v>
      </c>
      <c r="AW1183" t="s">
        <v>63</v>
      </c>
      <c r="AX1183" t="s">
        <v>63</v>
      </c>
      <c r="AY1183" t="s">
        <v>63</v>
      </c>
      <c r="AZ1183" t="s">
        <v>63</v>
      </c>
      <c r="BA1183" t="s">
        <v>63</v>
      </c>
      <c r="BB1183" t="s">
        <v>63</v>
      </c>
      <c r="BC1183" t="s">
        <v>63</v>
      </c>
      <c r="BD1183" t="s">
        <v>63</v>
      </c>
      <c r="BE1183" t="s">
        <v>63</v>
      </c>
      <c r="BF1183" t="s">
        <v>63</v>
      </c>
    </row>
    <row r="1184" spans="1:58">
      <c r="A1184" t="s">
        <v>58</v>
      </c>
      <c r="B1184" t="s">
        <v>10497</v>
      </c>
      <c r="C1184" t="s">
        <v>10511</v>
      </c>
      <c r="D1184" t="s">
        <v>3746</v>
      </c>
      <c r="E1184" t="s">
        <v>3747</v>
      </c>
      <c r="F1184">
        <v>1986</v>
      </c>
      <c r="G1184" t="s">
        <v>219</v>
      </c>
      <c r="H1184">
        <v>62</v>
      </c>
      <c r="I1184">
        <v>733</v>
      </c>
      <c r="J1184">
        <v>983</v>
      </c>
      <c r="K1184">
        <v>984</v>
      </c>
      <c r="L1184" t="s">
        <v>10512</v>
      </c>
      <c r="M1184" t="s">
        <v>63</v>
      </c>
      <c r="N1184" t="s">
        <v>10513</v>
      </c>
      <c r="O1184" t="s">
        <v>63</v>
      </c>
      <c r="Q1184" t="s">
        <v>63</v>
      </c>
      <c r="R1184" t="s">
        <v>63</v>
      </c>
      <c r="S1184" t="s">
        <v>63</v>
      </c>
      <c r="T1184" t="s">
        <v>63</v>
      </c>
      <c r="X1184" t="s">
        <v>63</v>
      </c>
      <c r="Y1184" t="s">
        <v>3753</v>
      </c>
      <c r="Z1184" t="s">
        <v>63</v>
      </c>
      <c r="AA1184" t="s">
        <v>63</v>
      </c>
      <c r="AB1184">
        <v>3628158</v>
      </c>
      <c r="AC1184" t="s">
        <v>67</v>
      </c>
      <c r="AD1184" t="s">
        <v>63</v>
      </c>
      <c r="AE1184" t="s">
        <v>63</v>
      </c>
      <c r="AF1184" t="s">
        <v>63</v>
      </c>
      <c r="AG1184" t="s">
        <v>10514</v>
      </c>
      <c r="AH1184" t="s">
        <v>63</v>
      </c>
      <c r="AI1184" t="s">
        <v>63</v>
      </c>
      <c r="AJ1184" t="s">
        <v>63</v>
      </c>
      <c r="AK1184" t="s">
        <v>63</v>
      </c>
      <c r="AL1184" t="s">
        <v>63</v>
      </c>
      <c r="AM1184" t="s">
        <v>10515</v>
      </c>
      <c r="AN1184" t="s">
        <v>63</v>
      </c>
      <c r="AO1184" t="s">
        <v>63</v>
      </c>
      <c r="AP1184" t="s">
        <v>63</v>
      </c>
      <c r="AQ1184" t="s">
        <v>63</v>
      </c>
      <c r="AR1184" t="s">
        <v>63</v>
      </c>
      <c r="AS1184" t="s">
        <v>63</v>
      </c>
      <c r="AT1184" t="s">
        <v>63</v>
      </c>
      <c r="AU1184" t="s">
        <v>63</v>
      </c>
      <c r="AV1184" t="s">
        <v>63</v>
      </c>
      <c r="AW1184" t="s">
        <v>63</v>
      </c>
      <c r="AX1184" t="s">
        <v>63</v>
      </c>
      <c r="AY1184" t="s">
        <v>63</v>
      </c>
      <c r="AZ1184" t="s">
        <v>63</v>
      </c>
      <c r="BA1184" t="s">
        <v>63</v>
      </c>
      <c r="BB1184" t="s">
        <v>63</v>
      </c>
      <c r="BC1184" t="s">
        <v>63</v>
      </c>
      <c r="BD1184" t="s">
        <v>63</v>
      </c>
      <c r="BE1184" t="s">
        <v>63</v>
      </c>
      <c r="BF1184" t="s">
        <v>63</v>
      </c>
    </row>
    <row r="1185" spans="1:58">
      <c r="A1185" t="s">
        <v>58</v>
      </c>
      <c r="B1185" t="s">
        <v>10516</v>
      </c>
      <c r="C1185" t="s">
        <v>10517</v>
      </c>
      <c r="D1185" t="s">
        <v>389</v>
      </c>
      <c r="E1185" t="s">
        <v>63</v>
      </c>
      <c r="F1185">
        <v>2018</v>
      </c>
      <c r="G1185" s="1">
        <v>41719</v>
      </c>
      <c r="H1185" t="s">
        <v>63</v>
      </c>
      <c r="I1185" t="s">
        <v>63</v>
      </c>
      <c r="J1185">
        <v>1</v>
      </c>
      <c r="K1185">
        <v>17</v>
      </c>
      <c r="L1185" t="s">
        <v>63</v>
      </c>
      <c r="M1185" t="s">
        <v>10518</v>
      </c>
      <c r="N1185" t="s">
        <v>10519</v>
      </c>
      <c r="O1185" t="s">
        <v>63</v>
      </c>
      <c r="Q1185" t="s">
        <v>63</v>
      </c>
      <c r="R1185" t="s">
        <v>63</v>
      </c>
      <c r="S1185" t="s">
        <v>63</v>
      </c>
      <c r="T1185" t="s">
        <v>63</v>
      </c>
      <c r="X1185" t="s">
        <v>63</v>
      </c>
      <c r="Y1185" t="s">
        <v>556</v>
      </c>
      <c r="Z1185" t="s">
        <v>63</v>
      </c>
      <c r="AA1185" t="s">
        <v>10520</v>
      </c>
      <c r="AB1185">
        <v>29565760</v>
      </c>
      <c r="AC1185" t="s">
        <v>67</v>
      </c>
      <c r="AD1185" t="s">
        <v>63</v>
      </c>
      <c r="AE1185" t="s">
        <v>63</v>
      </c>
      <c r="AF1185" t="s">
        <v>63</v>
      </c>
      <c r="AG1185" t="s">
        <v>10521</v>
      </c>
      <c r="AH1185" t="s">
        <v>63</v>
      </c>
      <c r="AI1185" t="s">
        <v>10522</v>
      </c>
      <c r="AJ1185" t="s">
        <v>63</v>
      </c>
      <c r="AK1185" t="s">
        <v>63</v>
      </c>
      <c r="AL1185" t="s">
        <v>63</v>
      </c>
      <c r="AM1185" t="s">
        <v>10523</v>
      </c>
      <c r="AN1185" t="s">
        <v>63</v>
      </c>
      <c r="AO1185" t="s">
        <v>63</v>
      </c>
      <c r="AP1185" t="s">
        <v>63</v>
      </c>
      <c r="AQ1185" t="s">
        <v>63</v>
      </c>
      <c r="AR1185" t="s">
        <v>63</v>
      </c>
      <c r="AS1185" t="s">
        <v>63</v>
      </c>
      <c r="AT1185" t="s">
        <v>63</v>
      </c>
      <c r="AU1185" t="s">
        <v>63</v>
      </c>
      <c r="AV1185" t="s">
        <v>63</v>
      </c>
      <c r="AW1185" t="s">
        <v>63</v>
      </c>
      <c r="AX1185" t="s">
        <v>63</v>
      </c>
      <c r="AY1185" t="s">
        <v>63</v>
      </c>
      <c r="AZ1185" t="s">
        <v>63</v>
      </c>
      <c r="BA1185" t="s">
        <v>63</v>
      </c>
      <c r="BB1185" t="s">
        <v>63</v>
      </c>
      <c r="BC1185" t="s">
        <v>63</v>
      </c>
      <c r="BD1185" t="s">
        <v>63</v>
      </c>
      <c r="BE1185" t="s">
        <v>63</v>
      </c>
      <c r="BF1185" t="s">
        <v>63</v>
      </c>
    </row>
    <row r="1186" spans="1:58">
      <c r="A1186" t="s">
        <v>58</v>
      </c>
      <c r="B1186" t="s">
        <v>10524</v>
      </c>
      <c r="C1186" t="s">
        <v>10525</v>
      </c>
      <c r="D1186" t="s">
        <v>10526</v>
      </c>
      <c r="E1186" t="s">
        <v>63</v>
      </c>
      <c r="F1186">
        <v>2011</v>
      </c>
      <c r="G1186" t="s">
        <v>138</v>
      </c>
      <c r="H1186">
        <v>47</v>
      </c>
      <c r="I1186">
        <v>10</v>
      </c>
      <c r="J1186">
        <v>704</v>
      </c>
      <c r="K1186">
        <v>710</v>
      </c>
      <c r="L1186" t="s">
        <v>10527</v>
      </c>
      <c r="M1186" t="s">
        <v>10528</v>
      </c>
      <c r="N1186" t="s">
        <v>10529</v>
      </c>
      <c r="O1186" t="s">
        <v>63</v>
      </c>
      <c r="Q1186" t="s">
        <v>63</v>
      </c>
      <c r="R1186" t="s">
        <v>63</v>
      </c>
      <c r="S1186" t="s">
        <v>63</v>
      </c>
      <c r="T1186" t="s">
        <v>63</v>
      </c>
      <c r="X1186" t="s">
        <v>63</v>
      </c>
      <c r="Y1186" t="s">
        <v>10530</v>
      </c>
      <c r="Z1186" t="s">
        <v>63</v>
      </c>
      <c r="AA1186" t="s">
        <v>10531</v>
      </c>
      <c r="AB1186">
        <v>21449899</v>
      </c>
      <c r="AC1186" t="s">
        <v>67</v>
      </c>
      <c r="AD1186" t="s">
        <v>63</v>
      </c>
      <c r="AE1186" t="s">
        <v>63</v>
      </c>
      <c r="AF1186" t="s">
        <v>63</v>
      </c>
      <c r="AG1186" t="s">
        <v>10532</v>
      </c>
      <c r="AH1186" t="s">
        <v>63</v>
      </c>
      <c r="AI1186" t="s">
        <v>10533</v>
      </c>
      <c r="AJ1186" t="s">
        <v>63</v>
      </c>
      <c r="AK1186" t="s">
        <v>63</v>
      </c>
      <c r="AL1186" t="s">
        <v>63</v>
      </c>
      <c r="AM1186" t="s">
        <v>10534</v>
      </c>
      <c r="AN1186" t="s">
        <v>63</v>
      </c>
      <c r="AO1186" t="s">
        <v>63</v>
      </c>
      <c r="AP1186" t="s">
        <v>63</v>
      </c>
      <c r="AQ1186" t="s">
        <v>63</v>
      </c>
      <c r="AR1186" t="s">
        <v>63</v>
      </c>
      <c r="AS1186" t="s">
        <v>63</v>
      </c>
      <c r="AT1186" t="s">
        <v>63</v>
      </c>
      <c r="AU1186" t="s">
        <v>63</v>
      </c>
      <c r="AV1186" t="s">
        <v>63</v>
      </c>
      <c r="AW1186" t="s">
        <v>63</v>
      </c>
      <c r="AX1186" t="s">
        <v>63</v>
      </c>
      <c r="AY1186" t="s">
        <v>63</v>
      </c>
      <c r="AZ1186" t="s">
        <v>63</v>
      </c>
      <c r="BA1186" t="s">
        <v>63</v>
      </c>
      <c r="BB1186" t="s">
        <v>63</v>
      </c>
      <c r="BC1186" t="s">
        <v>63</v>
      </c>
      <c r="BD1186" t="s">
        <v>63</v>
      </c>
      <c r="BE1186" t="s">
        <v>63</v>
      </c>
      <c r="BF1186" t="s">
        <v>63</v>
      </c>
    </row>
    <row r="1187" spans="1:58">
      <c r="A1187" t="s">
        <v>58</v>
      </c>
      <c r="B1187" t="s">
        <v>10535</v>
      </c>
      <c r="C1187" t="s">
        <v>10536</v>
      </c>
      <c r="D1187" t="s">
        <v>2281</v>
      </c>
      <c r="E1187" t="s">
        <v>2282</v>
      </c>
      <c r="F1187">
        <v>2003</v>
      </c>
      <c r="G1187" t="s">
        <v>138</v>
      </c>
      <c r="H1187">
        <v>326</v>
      </c>
      <c r="I1187">
        <v>4</v>
      </c>
      <c r="J1187">
        <v>242</v>
      </c>
      <c r="K1187">
        <v>247</v>
      </c>
      <c r="L1187" t="s">
        <v>10537</v>
      </c>
      <c r="M1187" t="s">
        <v>10538</v>
      </c>
      <c r="N1187" t="s">
        <v>10539</v>
      </c>
      <c r="O1187" t="s">
        <v>63</v>
      </c>
      <c r="Q1187" t="s">
        <v>63</v>
      </c>
      <c r="R1187" t="s">
        <v>63</v>
      </c>
      <c r="S1187" t="s">
        <v>63</v>
      </c>
      <c r="T1187" t="s">
        <v>63</v>
      </c>
      <c r="X1187" t="s">
        <v>63</v>
      </c>
      <c r="Y1187" s="2">
        <v>2821531</v>
      </c>
      <c r="Z1187" t="s">
        <v>63</v>
      </c>
      <c r="AA1187" t="s">
        <v>10540</v>
      </c>
      <c r="AB1187">
        <v>14557743</v>
      </c>
      <c r="AC1187" t="s">
        <v>67</v>
      </c>
      <c r="AD1187" t="s">
        <v>63</v>
      </c>
      <c r="AE1187" t="s">
        <v>63</v>
      </c>
      <c r="AF1187" t="s">
        <v>63</v>
      </c>
      <c r="AG1187" t="s">
        <v>10541</v>
      </c>
      <c r="AH1187" t="s">
        <v>63</v>
      </c>
      <c r="AI1187" t="s">
        <v>63</v>
      </c>
      <c r="AJ1187" t="s">
        <v>63</v>
      </c>
      <c r="AK1187" t="s">
        <v>63</v>
      </c>
      <c r="AL1187" t="s">
        <v>63</v>
      </c>
      <c r="AM1187" t="s">
        <v>10542</v>
      </c>
      <c r="AN1187" t="s">
        <v>63</v>
      </c>
      <c r="AO1187" t="s">
        <v>63</v>
      </c>
      <c r="AP1187" t="s">
        <v>63</v>
      </c>
      <c r="AQ1187" t="s">
        <v>63</v>
      </c>
      <c r="AR1187" t="s">
        <v>63</v>
      </c>
      <c r="AS1187" t="s">
        <v>63</v>
      </c>
      <c r="AT1187" t="s">
        <v>63</v>
      </c>
      <c r="AU1187" t="s">
        <v>63</v>
      </c>
      <c r="AV1187" t="s">
        <v>63</v>
      </c>
      <c r="AW1187" t="s">
        <v>63</v>
      </c>
      <c r="AX1187" t="s">
        <v>63</v>
      </c>
      <c r="AY1187" t="s">
        <v>63</v>
      </c>
      <c r="AZ1187" t="s">
        <v>63</v>
      </c>
      <c r="BA1187" t="s">
        <v>63</v>
      </c>
      <c r="BB1187" t="s">
        <v>63</v>
      </c>
      <c r="BC1187" t="s">
        <v>63</v>
      </c>
      <c r="BD1187" t="s">
        <v>63</v>
      </c>
      <c r="BE1187" t="s">
        <v>63</v>
      </c>
      <c r="BF1187" t="s">
        <v>63</v>
      </c>
    </row>
    <row r="1188" spans="1:58">
      <c r="A1188" t="s">
        <v>58</v>
      </c>
      <c r="B1188" t="s">
        <v>10543</v>
      </c>
      <c r="C1188" t="s">
        <v>10544</v>
      </c>
      <c r="D1188" t="s">
        <v>6824</v>
      </c>
      <c r="E1188" t="s">
        <v>6825</v>
      </c>
      <c r="F1188">
        <v>2000</v>
      </c>
      <c r="G1188" t="s">
        <v>157</v>
      </c>
      <c r="H1188">
        <v>9</v>
      </c>
      <c r="I1188">
        <v>4</v>
      </c>
      <c r="J1188">
        <v>372</v>
      </c>
      <c r="K1188">
        <v>381</v>
      </c>
      <c r="L1188" t="s">
        <v>10545</v>
      </c>
      <c r="M1188" t="s">
        <v>10546</v>
      </c>
      <c r="N1188" t="s">
        <v>10547</v>
      </c>
      <c r="O1188" t="s">
        <v>63</v>
      </c>
      <c r="Q1188" t="s">
        <v>63</v>
      </c>
      <c r="R1188" t="s">
        <v>63</v>
      </c>
      <c r="S1188" t="s">
        <v>63</v>
      </c>
      <c r="T1188" t="s">
        <v>63</v>
      </c>
      <c r="X1188" t="s">
        <v>63</v>
      </c>
      <c r="Y1188" t="s">
        <v>10548</v>
      </c>
      <c r="Z1188" t="s">
        <v>63</v>
      </c>
      <c r="AA1188" t="s">
        <v>10549</v>
      </c>
      <c r="AB1188">
        <v>11106706</v>
      </c>
      <c r="AC1188" t="s">
        <v>67</v>
      </c>
      <c r="AD1188" t="s">
        <v>63</v>
      </c>
      <c r="AE1188" t="s">
        <v>63</v>
      </c>
      <c r="AF1188" t="s">
        <v>63</v>
      </c>
      <c r="AG1188" t="s">
        <v>10550</v>
      </c>
      <c r="AH1188" t="s">
        <v>63</v>
      </c>
      <c r="AI1188" t="s">
        <v>63</v>
      </c>
      <c r="AJ1188" t="s">
        <v>63</v>
      </c>
      <c r="AK1188" t="s">
        <v>63</v>
      </c>
      <c r="AL1188" t="s">
        <v>63</v>
      </c>
      <c r="AM1188" t="s">
        <v>10551</v>
      </c>
      <c r="AN1188" t="s">
        <v>63</v>
      </c>
      <c r="AO1188" t="s">
        <v>63</v>
      </c>
      <c r="AP1188" t="s">
        <v>63</v>
      </c>
      <c r="AQ1188" t="s">
        <v>63</v>
      </c>
      <c r="AR1188" t="s">
        <v>63</v>
      </c>
      <c r="AS1188" t="s">
        <v>63</v>
      </c>
      <c r="AT1188" t="s">
        <v>63</v>
      </c>
      <c r="AU1188" t="s">
        <v>63</v>
      </c>
      <c r="AV1188" t="s">
        <v>63</v>
      </c>
      <c r="AW1188" t="s">
        <v>63</v>
      </c>
      <c r="AX1188" t="s">
        <v>63</v>
      </c>
      <c r="AY1188" t="s">
        <v>63</v>
      </c>
      <c r="AZ1188" t="s">
        <v>63</v>
      </c>
      <c r="BA1188" t="s">
        <v>63</v>
      </c>
      <c r="BB1188" t="s">
        <v>63</v>
      </c>
      <c r="BC1188" t="s">
        <v>63</v>
      </c>
      <c r="BD1188" t="s">
        <v>63</v>
      </c>
      <c r="BE1188" t="s">
        <v>63</v>
      </c>
      <c r="BF1188" t="s">
        <v>63</v>
      </c>
    </row>
    <row r="1189" spans="1:58">
      <c r="A1189" t="s">
        <v>58</v>
      </c>
      <c r="B1189" t="s">
        <v>10552</v>
      </c>
      <c r="C1189" t="s">
        <v>10553</v>
      </c>
      <c r="D1189" t="s">
        <v>10554</v>
      </c>
      <c r="E1189" t="s">
        <v>10555</v>
      </c>
      <c r="F1189">
        <v>2016</v>
      </c>
      <c r="G1189" t="s">
        <v>219</v>
      </c>
      <c r="H1189">
        <v>42</v>
      </c>
      <c r="I1189">
        <v>4</v>
      </c>
      <c r="J1189">
        <v>835</v>
      </c>
      <c r="K1189">
        <v>857</v>
      </c>
      <c r="L1189" t="s">
        <v>10556</v>
      </c>
      <c r="M1189" t="s">
        <v>63</v>
      </c>
      <c r="N1189" t="s">
        <v>10557</v>
      </c>
      <c r="O1189" t="s">
        <v>63</v>
      </c>
      <c r="Q1189" t="s">
        <v>63</v>
      </c>
      <c r="R1189" t="s">
        <v>63</v>
      </c>
      <c r="S1189" t="s">
        <v>63</v>
      </c>
      <c r="T1189" t="s">
        <v>63</v>
      </c>
      <c r="X1189" t="s">
        <v>63</v>
      </c>
      <c r="Y1189" t="s">
        <v>10558</v>
      </c>
      <c r="Z1189" t="s">
        <v>63</v>
      </c>
      <c r="AA1189" t="s">
        <v>10559</v>
      </c>
      <c r="AB1189">
        <v>29086651</v>
      </c>
      <c r="AC1189" t="s">
        <v>67</v>
      </c>
      <c r="AD1189" t="s">
        <v>63</v>
      </c>
      <c r="AE1189" t="s">
        <v>63</v>
      </c>
      <c r="AF1189" t="s">
        <v>63</v>
      </c>
      <c r="AG1189" t="s">
        <v>10560</v>
      </c>
      <c r="AH1189" t="s">
        <v>63</v>
      </c>
      <c r="AI1189" t="s">
        <v>10561</v>
      </c>
      <c r="AJ1189" t="s">
        <v>63</v>
      </c>
      <c r="AK1189" t="s">
        <v>63</v>
      </c>
      <c r="AL1189" t="s">
        <v>63</v>
      </c>
      <c r="AM1189" t="s">
        <v>10562</v>
      </c>
      <c r="AN1189" t="s">
        <v>63</v>
      </c>
      <c r="AO1189" t="s">
        <v>63</v>
      </c>
      <c r="AP1189" t="s">
        <v>63</v>
      </c>
      <c r="AQ1189" t="s">
        <v>63</v>
      </c>
      <c r="AR1189" t="s">
        <v>63</v>
      </c>
      <c r="AS1189" t="s">
        <v>63</v>
      </c>
      <c r="AT1189" t="s">
        <v>63</v>
      </c>
      <c r="AU1189" t="s">
        <v>63</v>
      </c>
      <c r="AV1189" t="s">
        <v>63</v>
      </c>
      <c r="AW1189" t="s">
        <v>63</v>
      </c>
      <c r="AX1189" t="s">
        <v>63</v>
      </c>
      <c r="AY1189" t="s">
        <v>63</v>
      </c>
      <c r="AZ1189" t="s">
        <v>63</v>
      </c>
      <c r="BA1189" t="s">
        <v>63</v>
      </c>
      <c r="BB1189" t="s">
        <v>63</v>
      </c>
      <c r="BC1189" t="s">
        <v>63</v>
      </c>
      <c r="BD1189" t="s">
        <v>63</v>
      </c>
      <c r="BE1189" t="s">
        <v>63</v>
      </c>
      <c r="BF1189" t="s">
        <v>63</v>
      </c>
    </row>
    <row r="1190" spans="1:58">
      <c r="A1190" t="s">
        <v>58</v>
      </c>
      <c r="B1190" t="s">
        <v>10563</v>
      </c>
      <c r="C1190" t="s">
        <v>10564</v>
      </c>
      <c r="D1190" t="s">
        <v>1481</v>
      </c>
      <c r="E1190" t="s">
        <v>1481</v>
      </c>
      <c r="F1190">
        <v>2011</v>
      </c>
      <c r="G1190" t="s">
        <v>157</v>
      </c>
      <c r="H1190">
        <v>106</v>
      </c>
      <c r="I1190">
        <v>12</v>
      </c>
      <c r="J1190">
        <v>2072</v>
      </c>
      <c r="K1190">
        <v>2078</v>
      </c>
      <c r="L1190" t="s">
        <v>10565</v>
      </c>
      <c r="M1190" t="s">
        <v>10566</v>
      </c>
      <c r="N1190" t="s">
        <v>10567</v>
      </c>
      <c r="O1190" t="s">
        <v>63</v>
      </c>
      <c r="Q1190" t="s">
        <v>63</v>
      </c>
      <c r="R1190" t="s">
        <v>63</v>
      </c>
      <c r="S1190" t="s">
        <v>63</v>
      </c>
      <c r="T1190" t="s">
        <v>63</v>
      </c>
      <c r="X1190" t="s">
        <v>63</v>
      </c>
      <c r="Y1190" t="s">
        <v>1484</v>
      </c>
      <c r="Z1190" t="s">
        <v>63</v>
      </c>
      <c r="AA1190" t="s">
        <v>10568</v>
      </c>
      <c r="AB1190">
        <v>20955214</v>
      </c>
      <c r="AC1190" t="s">
        <v>67</v>
      </c>
      <c r="AD1190" t="s">
        <v>63</v>
      </c>
      <c r="AE1190" t="s">
        <v>63</v>
      </c>
      <c r="AF1190" t="s">
        <v>63</v>
      </c>
      <c r="AG1190" t="s">
        <v>10569</v>
      </c>
      <c r="AH1190" t="s">
        <v>63</v>
      </c>
      <c r="AI1190" t="s">
        <v>10570</v>
      </c>
      <c r="AJ1190" t="s">
        <v>63</v>
      </c>
      <c r="AK1190" t="s">
        <v>63</v>
      </c>
      <c r="AL1190" t="s">
        <v>63</v>
      </c>
      <c r="AM1190" t="s">
        <v>10571</v>
      </c>
      <c r="AN1190" t="s">
        <v>63</v>
      </c>
      <c r="AO1190" t="s">
        <v>63</v>
      </c>
      <c r="AP1190" t="s">
        <v>63</v>
      </c>
      <c r="AQ1190" t="s">
        <v>63</v>
      </c>
      <c r="AR1190" t="s">
        <v>63</v>
      </c>
      <c r="AS1190" t="s">
        <v>63</v>
      </c>
      <c r="AT1190" t="s">
        <v>63</v>
      </c>
      <c r="AU1190" t="s">
        <v>63</v>
      </c>
      <c r="AV1190" t="s">
        <v>63</v>
      </c>
      <c r="AW1190" t="s">
        <v>63</v>
      </c>
      <c r="AX1190" t="s">
        <v>63</v>
      </c>
      <c r="AY1190" t="s">
        <v>63</v>
      </c>
      <c r="AZ1190" t="s">
        <v>63</v>
      </c>
      <c r="BA1190" t="s">
        <v>63</v>
      </c>
      <c r="BB1190" t="s">
        <v>63</v>
      </c>
      <c r="BC1190" t="s">
        <v>63</v>
      </c>
      <c r="BD1190" t="s">
        <v>63</v>
      </c>
      <c r="BE1190" t="s">
        <v>63</v>
      </c>
      <c r="BF1190" t="s">
        <v>63</v>
      </c>
    </row>
    <row r="1191" spans="1:58">
      <c r="A1191" t="s">
        <v>58</v>
      </c>
      <c r="B1191" t="s">
        <v>10572</v>
      </c>
      <c r="C1191" t="s">
        <v>10573</v>
      </c>
      <c r="D1191" t="s">
        <v>640</v>
      </c>
      <c r="E1191" t="s">
        <v>63</v>
      </c>
      <c r="F1191">
        <v>2006</v>
      </c>
      <c r="G1191" t="s">
        <v>198</v>
      </c>
      <c r="H1191">
        <v>25</v>
      </c>
      <c r="I1191">
        <v>1</v>
      </c>
      <c r="J1191">
        <v>39</v>
      </c>
      <c r="K1191">
        <v>47</v>
      </c>
      <c r="L1191" t="s">
        <v>10574</v>
      </c>
      <c r="M1191" t="s">
        <v>10575</v>
      </c>
      <c r="N1191" t="s">
        <v>10576</v>
      </c>
      <c r="O1191" t="s">
        <v>63</v>
      </c>
      <c r="Q1191" t="s">
        <v>63</v>
      </c>
      <c r="R1191" t="s">
        <v>63</v>
      </c>
      <c r="S1191" t="s">
        <v>63</v>
      </c>
      <c r="T1191" t="s">
        <v>63</v>
      </c>
      <c r="X1191" t="s">
        <v>63</v>
      </c>
      <c r="Y1191" t="s">
        <v>644</v>
      </c>
      <c r="Z1191" t="s">
        <v>63</v>
      </c>
      <c r="AA1191" t="s">
        <v>10577</v>
      </c>
      <c r="AB1191">
        <v>16492576</v>
      </c>
      <c r="AC1191" t="s">
        <v>67</v>
      </c>
      <c r="AD1191" t="s">
        <v>63</v>
      </c>
      <c r="AE1191" t="s">
        <v>63</v>
      </c>
      <c r="AF1191" t="s">
        <v>63</v>
      </c>
      <c r="AG1191" t="s">
        <v>10578</v>
      </c>
      <c r="AH1191" t="s">
        <v>63</v>
      </c>
      <c r="AI1191" t="s">
        <v>63</v>
      </c>
      <c r="AJ1191" t="s">
        <v>63</v>
      </c>
      <c r="AK1191" t="s">
        <v>63</v>
      </c>
      <c r="AL1191" t="s">
        <v>63</v>
      </c>
      <c r="AM1191" t="s">
        <v>10579</v>
      </c>
      <c r="AN1191" t="s">
        <v>63</v>
      </c>
      <c r="AO1191" t="s">
        <v>63</v>
      </c>
      <c r="AP1191" t="s">
        <v>63</v>
      </c>
      <c r="AQ1191" t="s">
        <v>63</v>
      </c>
      <c r="AR1191" t="s">
        <v>63</v>
      </c>
      <c r="AS1191" t="s">
        <v>63</v>
      </c>
      <c r="AT1191" t="s">
        <v>63</v>
      </c>
      <c r="AU1191" t="s">
        <v>63</v>
      </c>
      <c r="AV1191" t="s">
        <v>63</v>
      </c>
      <c r="AW1191" t="s">
        <v>63</v>
      </c>
      <c r="AX1191" t="s">
        <v>63</v>
      </c>
      <c r="AY1191" t="s">
        <v>63</v>
      </c>
      <c r="AZ1191" t="s">
        <v>63</v>
      </c>
      <c r="BA1191" t="s">
        <v>63</v>
      </c>
      <c r="BB1191" t="s">
        <v>63</v>
      </c>
      <c r="BC1191" t="s">
        <v>63</v>
      </c>
      <c r="BD1191" t="s">
        <v>63</v>
      </c>
      <c r="BE1191" t="s">
        <v>63</v>
      </c>
      <c r="BF1191" t="s">
        <v>63</v>
      </c>
    </row>
    <row r="1192" spans="1:58">
      <c r="A1192" t="s">
        <v>58</v>
      </c>
      <c r="B1192" t="s">
        <v>10580</v>
      </c>
      <c r="C1192" t="s">
        <v>10581</v>
      </c>
      <c r="D1192" t="s">
        <v>10582</v>
      </c>
      <c r="E1192" t="s">
        <v>63</v>
      </c>
      <c r="F1192">
        <v>2002</v>
      </c>
      <c r="G1192" t="s">
        <v>1114</v>
      </c>
      <c r="H1192">
        <v>24</v>
      </c>
      <c r="I1192">
        <v>3</v>
      </c>
      <c r="J1192">
        <v>24</v>
      </c>
      <c r="K1192">
        <v>35</v>
      </c>
      <c r="L1192" t="s">
        <v>10583</v>
      </c>
      <c r="M1192" t="s">
        <v>10584</v>
      </c>
      <c r="N1192" t="s">
        <v>10585</v>
      </c>
      <c r="O1192" t="s">
        <v>63</v>
      </c>
      <c r="Q1192" t="s">
        <v>63</v>
      </c>
      <c r="R1192" t="s">
        <v>63</v>
      </c>
      <c r="S1192" t="s">
        <v>63</v>
      </c>
      <c r="T1192" t="s">
        <v>63</v>
      </c>
      <c r="X1192" t="s">
        <v>63</v>
      </c>
      <c r="Y1192" t="s">
        <v>10586</v>
      </c>
      <c r="Z1192" t="s">
        <v>63</v>
      </c>
      <c r="AA1192" t="s">
        <v>10587</v>
      </c>
      <c r="AB1192">
        <v>14692185</v>
      </c>
      <c r="AC1192" t="s">
        <v>67</v>
      </c>
      <c r="AD1192" t="s">
        <v>63</v>
      </c>
      <c r="AE1192" t="s">
        <v>63</v>
      </c>
      <c r="AF1192" t="s">
        <v>63</v>
      </c>
      <c r="AG1192" t="s">
        <v>10588</v>
      </c>
      <c r="AH1192" t="s">
        <v>63</v>
      </c>
      <c r="AI1192" t="s">
        <v>63</v>
      </c>
      <c r="AJ1192" t="s">
        <v>63</v>
      </c>
      <c r="AK1192" t="s">
        <v>63</v>
      </c>
      <c r="AL1192" t="s">
        <v>63</v>
      </c>
      <c r="AM1192" t="s">
        <v>10589</v>
      </c>
      <c r="AN1192" t="s">
        <v>63</v>
      </c>
      <c r="AO1192" t="s">
        <v>63</v>
      </c>
      <c r="AP1192" t="s">
        <v>63</v>
      </c>
      <c r="AQ1192" t="s">
        <v>63</v>
      </c>
      <c r="AR1192" t="s">
        <v>63</v>
      </c>
      <c r="AS1192" t="s">
        <v>63</v>
      </c>
      <c r="AT1192" t="s">
        <v>63</v>
      </c>
      <c r="AU1192" t="s">
        <v>63</v>
      </c>
      <c r="AV1192" t="s">
        <v>63</v>
      </c>
      <c r="AW1192" t="s">
        <v>63</v>
      </c>
      <c r="AX1192" t="s">
        <v>63</v>
      </c>
      <c r="AY1192" t="s">
        <v>63</v>
      </c>
      <c r="AZ1192" t="s">
        <v>63</v>
      </c>
      <c r="BA1192" t="s">
        <v>63</v>
      </c>
      <c r="BB1192" t="s">
        <v>63</v>
      </c>
      <c r="BC1192" t="s">
        <v>63</v>
      </c>
      <c r="BD1192" t="s">
        <v>63</v>
      </c>
      <c r="BE1192" t="s">
        <v>63</v>
      </c>
      <c r="BF1192" t="s">
        <v>63</v>
      </c>
    </row>
    <row r="1193" spans="1:58">
      <c r="A1193" t="s">
        <v>58</v>
      </c>
      <c r="B1193" t="s">
        <v>10590</v>
      </c>
      <c r="C1193" t="s">
        <v>10591</v>
      </c>
      <c r="D1193" t="s">
        <v>10592</v>
      </c>
      <c r="E1193" t="s">
        <v>10593</v>
      </c>
      <c r="F1193">
        <v>1978</v>
      </c>
      <c r="G1193" t="s">
        <v>614</v>
      </c>
      <c r="H1193">
        <v>3</v>
      </c>
      <c r="I1193">
        <v>3</v>
      </c>
      <c r="J1193">
        <v>122</v>
      </c>
      <c r="K1193">
        <v>137</v>
      </c>
      <c r="L1193" t="s">
        <v>10594</v>
      </c>
      <c r="M1193" t="s">
        <v>10595</v>
      </c>
      <c r="N1193" t="s">
        <v>10596</v>
      </c>
      <c r="O1193" t="s">
        <v>63</v>
      </c>
      <c r="Q1193" t="s">
        <v>63</v>
      </c>
      <c r="R1193" t="s">
        <v>63</v>
      </c>
      <c r="S1193" t="s">
        <v>63</v>
      </c>
      <c r="T1193" t="s">
        <v>63</v>
      </c>
      <c r="X1193" t="s">
        <v>63</v>
      </c>
      <c r="Y1193" t="s">
        <v>10597</v>
      </c>
      <c r="Z1193" t="s">
        <v>63</v>
      </c>
      <c r="AA1193" t="s">
        <v>63</v>
      </c>
      <c r="AB1193">
        <v>689545</v>
      </c>
      <c r="AC1193" t="s">
        <v>67</v>
      </c>
      <c r="AD1193" t="s">
        <v>63</v>
      </c>
      <c r="AE1193" t="s">
        <v>63</v>
      </c>
      <c r="AF1193" t="s">
        <v>63</v>
      </c>
      <c r="AG1193" t="s">
        <v>10598</v>
      </c>
      <c r="AH1193" t="s">
        <v>63</v>
      </c>
      <c r="AI1193" t="s">
        <v>63</v>
      </c>
      <c r="AJ1193" t="s">
        <v>63</v>
      </c>
      <c r="AK1193" t="s">
        <v>63</v>
      </c>
      <c r="AL1193" t="s">
        <v>63</v>
      </c>
      <c r="AM1193" t="s">
        <v>10599</v>
      </c>
      <c r="AN1193" t="s">
        <v>63</v>
      </c>
      <c r="AO1193" t="s">
        <v>63</v>
      </c>
      <c r="AP1193" t="s">
        <v>63</v>
      </c>
      <c r="AQ1193" t="s">
        <v>63</v>
      </c>
      <c r="AR1193" t="s">
        <v>63</v>
      </c>
      <c r="AS1193" t="s">
        <v>63</v>
      </c>
      <c r="AT1193" t="s">
        <v>63</v>
      </c>
      <c r="AU1193" t="s">
        <v>63</v>
      </c>
      <c r="AV1193" t="s">
        <v>63</v>
      </c>
      <c r="AW1193" t="s">
        <v>63</v>
      </c>
      <c r="AX1193" t="s">
        <v>63</v>
      </c>
      <c r="AY1193" t="s">
        <v>63</v>
      </c>
      <c r="AZ1193" t="s">
        <v>63</v>
      </c>
      <c r="BA1193" t="s">
        <v>63</v>
      </c>
      <c r="BB1193" t="s">
        <v>63</v>
      </c>
      <c r="BC1193" t="s">
        <v>63</v>
      </c>
      <c r="BD1193" t="s">
        <v>63</v>
      </c>
      <c r="BE1193" t="s">
        <v>63</v>
      </c>
      <c r="BF1193" t="s">
        <v>63</v>
      </c>
    </row>
    <row r="1194" spans="1:58">
      <c r="A1194" t="s">
        <v>58</v>
      </c>
      <c r="B1194" t="s">
        <v>10600</v>
      </c>
      <c r="C1194" t="s">
        <v>10601</v>
      </c>
      <c r="D1194" t="s">
        <v>10602</v>
      </c>
      <c r="E1194" t="s">
        <v>63</v>
      </c>
      <c r="F1194">
        <v>2012</v>
      </c>
      <c r="G1194" t="s">
        <v>219</v>
      </c>
      <c r="H1194">
        <v>40</v>
      </c>
      <c r="I1194">
        <v>4</v>
      </c>
      <c r="J1194">
        <v>21</v>
      </c>
      <c r="K1194">
        <v>32</v>
      </c>
      <c r="L1194" t="s">
        <v>10603</v>
      </c>
      <c r="M1194" t="s">
        <v>10604</v>
      </c>
      <c r="N1194" t="s">
        <v>10605</v>
      </c>
      <c r="O1194" t="s">
        <v>63</v>
      </c>
      <c r="Q1194" t="s">
        <v>63</v>
      </c>
      <c r="R1194" t="s">
        <v>63</v>
      </c>
      <c r="S1194" t="s">
        <v>63</v>
      </c>
      <c r="T1194" t="s">
        <v>63</v>
      </c>
      <c r="X1194" t="s">
        <v>63</v>
      </c>
      <c r="Y1194" t="s">
        <v>10606</v>
      </c>
      <c r="Z1194" t="s">
        <v>63</v>
      </c>
      <c r="AA1194" t="s">
        <v>10607</v>
      </c>
      <c r="AB1194">
        <v>23306412</v>
      </c>
      <c r="AC1194" t="s">
        <v>67</v>
      </c>
      <c r="AD1194" t="s">
        <v>63</v>
      </c>
      <c r="AE1194" t="s">
        <v>63</v>
      </c>
      <c r="AF1194" t="s">
        <v>63</v>
      </c>
      <c r="AG1194" t="s">
        <v>10608</v>
      </c>
      <c r="AH1194" t="s">
        <v>63</v>
      </c>
      <c r="AI1194" t="s">
        <v>10609</v>
      </c>
      <c r="AJ1194" t="s">
        <v>63</v>
      </c>
      <c r="AK1194" t="s">
        <v>63</v>
      </c>
      <c r="AL1194" t="s">
        <v>63</v>
      </c>
      <c r="AM1194" t="s">
        <v>10610</v>
      </c>
      <c r="AN1194" t="s">
        <v>63</v>
      </c>
      <c r="AO1194" t="s">
        <v>63</v>
      </c>
      <c r="AP1194" t="s">
        <v>63</v>
      </c>
      <c r="AQ1194" t="s">
        <v>63</v>
      </c>
      <c r="AR1194" t="s">
        <v>63</v>
      </c>
      <c r="AS1194" t="s">
        <v>63</v>
      </c>
      <c r="AT1194" t="s">
        <v>63</v>
      </c>
      <c r="AU1194" t="s">
        <v>63</v>
      </c>
      <c r="AV1194" t="s">
        <v>63</v>
      </c>
      <c r="AW1194" t="s">
        <v>63</v>
      </c>
      <c r="AX1194" t="s">
        <v>63</v>
      </c>
      <c r="AY1194" t="s">
        <v>63</v>
      </c>
      <c r="AZ1194" t="s">
        <v>63</v>
      </c>
      <c r="BA1194" t="s">
        <v>63</v>
      </c>
      <c r="BB1194" t="s">
        <v>63</v>
      </c>
      <c r="BC1194" t="s">
        <v>63</v>
      </c>
      <c r="BD1194" t="s">
        <v>63</v>
      </c>
      <c r="BE1194" t="s">
        <v>63</v>
      </c>
      <c r="BF1194" t="s">
        <v>63</v>
      </c>
    </row>
    <row r="1195" spans="1:58">
      <c r="A1195" t="s">
        <v>58</v>
      </c>
      <c r="B1195" t="s">
        <v>10611</v>
      </c>
      <c r="C1195" t="s">
        <v>10612</v>
      </c>
      <c r="D1195" t="s">
        <v>10613</v>
      </c>
      <c r="E1195" t="s">
        <v>63</v>
      </c>
      <c r="F1195">
        <v>2015</v>
      </c>
      <c r="G1195" t="s">
        <v>274</v>
      </c>
      <c r="H1195">
        <v>21</v>
      </c>
      <c r="I1195">
        <v>3</v>
      </c>
      <c r="J1195">
        <v>200</v>
      </c>
      <c r="K1195">
        <v>206</v>
      </c>
      <c r="L1195" t="s">
        <v>10614</v>
      </c>
      <c r="M1195" t="s">
        <v>10615</v>
      </c>
      <c r="N1195" t="s">
        <v>10616</v>
      </c>
      <c r="O1195" t="s">
        <v>63</v>
      </c>
      <c r="Q1195" t="s">
        <v>63</v>
      </c>
      <c r="R1195" t="s">
        <v>63</v>
      </c>
      <c r="S1195" t="s">
        <v>63</v>
      </c>
      <c r="T1195" t="s">
        <v>63</v>
      </c>
      <c r="X1195" t="s">
        <v>63</v>
      </c>
      <c r="Y1195" t="s">
        <v>10617</v>
      </c>
      <c r="Z1195" t="s">
        <v>63</v>
      </c>
      <c r="AA1195" t="s">
        <v>10618</v>
      </c>
      <c r="AB1195">
        <v>25599269</v>
      </c>
      <c r="AC1195" t="s">
        <v>67</v>
      </c>
      <c r="AD1195" t="s">
        <v>63</v>
      </c>
      <c r="AE1195" t="s">
        <v>63</v>
      </c>
      <c r="AF1195" t="s">
        <v>63</v>
      </c>
      <c r="AG1195" t="s">
        <v>10619</v>
      </c>
      <c r="AH1195" t="s">
        <v>63</v>
      </c>
      <c r="AI1195" t="s">
        <v>10620</v>
      </c>
      <c r="AJ1195" t="s">
        <v>63</v>
      </c>
      <c r="AK1195" t="s">
        <v>63</v>
      </c>
      <c r="AL1195" t="s">
        <v>63</v>
      </c>
      <c r="AM1195" t="s">
        <v>10621</v>
      </c>
      <c r="AN1195" t="s">
        <v>63</v>
      </c>
      <c r="AO1195" t="s">
        <v>63</v>
      </c>
      <c r="AP1195" t="s">
        <v>63</v>
      </c>
      <c r="AQ1195" t="s">
        <v>63</v>
      </c>
      <c r="AR1195" t="s">
        <v>63</v>
      </c>
      <c r="AS1195" t="s">
        <v>63</v>
      </c>
      <c r="AT1195" t="s">
        <v>63</v>
      </c>
      <c r="AU1195" t="s">
        <v>63</v>
      </c>
      <c r="AV1195" t="s">
        <v>63</v>
      </c>
      <c r="AW1195" t="s">
        <v>63</v>
      </c>
      <c r="AX1195" t="s">
        <v>63</v>
      </c>
      <c r="AY1195" t="s">
        <v>63</v>
      </c>
      <c r="AZ1195" t="s">
        <v>63</v>
      </c>
      <c r="BA1195" t="s">
        <v>63</v>
      </c>
      <c r="BB1195" t="s">
        <v>63</v>
      </c>
      <c r="BC1195" t="s">
        <v>63</v>
      </c>
      <c r="BD1195" t="s">
        <v>63</v>
      </c>
      <c r="BE1195" t="s">
        <v>63</v>
      </c>
      <c r="BF1195" t="s">
        <v>63</v>
      </c>
    </row>
    <row r="1196" spans="1:58">
      <c r="A1196" t="s">
        <v>58</v>
      </c>
      <c r="B1196" t="s">
        <v>10622</v>
      </c>
      <c r="C1196" t="s">
        <v>10623</v>
      </c>
      <c r="D1196" t="s">
        <v>10262</v>
      </c>
      <c r="E1196" t="s">
        <v>63</v>
      </c>
      <c r="F1196">
        <v>2016</v>
      </c>
      <c r="G1196" t="s">
        <v>982</v>
      </c>
      <c r="H1196">
        <v>38</v>
      </c>
      <c r="I1196">
        <v>4</v>
      </c>
      <c r="J1196">
        <v>318</v>
      </c>
      <c r="K1196">
        <v>324</v>
      </c>
      <c r="L1196" t="s">
        <v>10624</v>
      </c>
      <c r="M1196" t="s">
        <v>10625</v>
      </c>
      <c r="N1196" t="s">
        <v>10626</v>
      </c>
      <c r="O1196" t="s">
        <v>63</v>
      </c>
      <c r="Q1196" t="s">
        <v>63</v>
      </c>
      <c r="R1196" t="s">
        <v>63</v>
      </c>
      <c r="S1196" t="s">
        <v>63</v>
      </c>
      <c r="T1196" t="s">
        <v>63</v>
      </c>
      <c r="X1196" t="s">
        <v>63</v>
      </c>
      <c r="Y1196" t="s">
        <v>10627</v>
      </c>
      <c r="Z1196" t="s">
        <v>63</v>
      </c>
      <c r="AA1196" t="s">
        <v>10628</v>
      </c>
      <c r="AB1196">
        <v>27192216</v>
      </c>
      <c r="AC1196" t="s">
        <v>67</v>
      </c>
      <c r="AD1196" t="s">
        <v>63</v>
      </c>
      <c r="AE1196" t="s">
        <v>63</v>
      </c>
      <c r="AF1196" t="s">
        <v>63</v>
      </c>
      <c r="AG1196" t="s">
        <v>10629</v>
      </c>
      <c r="AH1196" t="s">
        <v>63</v>
      </c>
      <c r="AI1196" t="s">
        <v>10630</v>
      </c>
      <c r="AJ1196" t="s">
        <v>63</v>
      </c>
      <c r="AK1196" t="s">
        <v>63</v>
      </c>
      <c r="AL1196" t="s">
        <v>63</v>
      </c>
      <c r="AM1196" t="s">
        <v>10631</v>
      </c>
      <c r="AN1196" t="s">
        <v>63</v>
      </c>
      <c r="AO1196" t="s">
        <v>63</v>
      </c>
      <c r="AP1196" t="s">
        <v>63</v>
      </c>
      <c r="AQ1196" t="s">
        <v>63</v>
      </c>
      <c r="AR1196" t="s">
        <v>63</v>
      </c>
      <c r="AS1196" t="s">
        <v>63</v>
      </c>
      <c r="AT1196" t="s">
        <v>63</v>
      </c>
      <c r="AU1196" t="s">
        <v>63</v>
      </c>
      <c r="AV1196" t="s">
        <v>63</v>
      </c>
      <c r="AW1196" t="s">
        <v>63</v>
      </c>
      <c r="AX1196" t="s">
        <v>63</v>
      </c>
      <c r="AY1196" t="s">
        <v>63</v>
      </c>
      <c r="AZ1196" t="s">
        <v>63</v>
      </c>
      <c r="BA1196" t="s">
        <v>63</v>
      </c>
      <c r="BB1196" t="s">
        <v>63</v>
      </c>
      <c r="BC1196" t="s">
        <v>63</v>
      </c>
      <c r="BD1196" t="s">
        <v>63</v>
      </c>
      <c r="BE1196" t="s">
        <v>63</v>
      </c>
      <c r="BF1196" t="s">
        <v>63</v>
      </c>
    </row>
    <row r="1197" spans="1:58">
      <c r="A1197" t="s">
        <v>58</v>
      </c>
      <c r="B1197" t="s">
        <v>10632</v>
      </c>
      <c r="C1197" t="s">
        <v>10633</v>
      </c>
      <c r="D1197" t="s">
        <v>10634</v>
      </c>
      <c r="E1197" t="s">
        <v>10635</v>
      </c>
      <c r="F1197">
        <v>2001</v>
      </c>
      <c r="G1197" t="s">
        <v>198</v>
      </c>
      <c r="H1197">
        <v>19</v>
      </c>
      <c r="I1197">
        <v>1</v>
      </c>
      <c r="J1197">
        <v>49</v>
      </c>
      <c r="K1197">
        <v>51</v>
      </c>
      <c r="L1197" t="s">
        <v>10636</v>
      </c>
      <c r="M1197" t="s">
        <v>10637</v>
      </c>
      <c r="N1197" t="s">
        <v>10638</v>
      </c>
      <c r="O1197" t="s">
        <v>63</v>
      </c>
      <c r="Q1197" t="s">
        <v>63</v>
      </c>
      <c r="R1197" t="s">
        <v>63</v>
      </c>
      <c r="S1197" t="s">
        <v>63</v>
      </c>
      <c r="T1197" t="s">
        <v>63</v>
      </c>
      <c r="X1197" t="s">
        <v>63</v>
      </c>
      <c r="Y1197" t="s">
        <v>10639</v>
      </c>
      <c r="Z1197" t="s">
        <v>63</v>
      </c>
      <c r="AA1197" t="s">
        <v>10640</v>
      </c>
      <c r="AB1197">
        <v>11146019</v>
      </c>
      <c r="AC1197" t="s">
        <v>67</v>
      </c>
      <c r="AD1197" t="s">
        <v>63</v>
      </c>
      <c r="AE1197" t="s">
        <v>63</v>
      </c>
      <c r="AF1197" t="s">
        <v>63</v>
      </c>
      <c r="AG1197" t="s">
        <v>10641</v>
      </c>
      <c r="AH1197" t="s">
        <v>63</v>
      </c>
      <c r="AI1197" t="s">
        <v>63</v>
      </c>
      <c r="AJ1197" t="s">
        <v>63</v>
      </c>
      <c r="AK1197" t="s">
        <v>63</v>
      </c>
      <c r="AL1197" t="s">
        <v>63</v>
      </c>
      <c r="AM1197" t="s">
        <v>10642</v>
      </c>
      <c r="AN1197" t="s">
        <v>63</v>
      </c>
      <c r="AO1197" t="s">
        <v>63</v>
      </c>
      <c r="AP1197" t="s">
        <v>63</v>
      </c>
      <c r="AQ1197" t="s">
        <v>63</v>
      </c>
      <c r="AR1197" t="s">
        <v>63</v>
      </c>
      <c r="AS1197" t="s">
        <v>63</v>
      </c>
      <c r="AT1197" t="s">
        <v>63</v>
      </c>
      <c r="AU1197" t="s">
        <v>63</v>
      </c>
      <c r="AV1197" t="s">
        <v>63</v>
      </c>
      <c r="AW1197" t="s">
        <v>63</v>
      </c>
      <c r="AX1197" t="s">
        <v>63</v>
      </c>
      <c r="AY1197" t="s">
        <v>63</v>
      </c>
      <c r="AZ1197" t="s">
        <v>63</v>
      </c>
      <c r="BA1197" t="s">
        <v>63</v>
      </c>
      <c r="BB1197" t="s">
        <v>63</v>
      </c>
      <c r="BC1197" t="s">
        <v>63</v>
      </c>
      <c r="BD1197" t="s">
        <v>63</v>
      </c>
      <c r="BE1197" t="s">
        <v>63</v>
      </c>
      <c r="BF1197" t="s">
        <v>63</v>
      </c>
    </row>
    <row r="1198" spans="1:58">
      <c r="A1198" t="s">
        <v>58</v>
      </c>
      <c r="B1198" t="s">
        <v>10643</v>
      </c>
      <c r="C1198" t="s">
        <v>10644</v>
      </c>
      <c r="D1198" t="s">
        <v>250</v>
      </c>
      <c r="E1198" t="s">
        <v>251</v>
      </c>
      <c r="F1198">
        <v>1975</v>
      </c>
      <c r="G1198" s="1">
        <v>41810</v>
      </c>
      <c r="H1198">
        <v>112</v>
      </c>
      <c r="I1198">
        <v>12</v>
      </c>
      <c r="J1198">
        <v>1428</v>
      </c>
      <c r="K1198">
        <v>1429</v>
      </c>
      <c r="L1198" t="s">
        <v>10645</v>
      </c>
      <c r="M1198" t="s">
        <v>10646</v>
      </c>
      <c r="N1198" t="s">
        <v>10647</v>
      </c>
      <c r="O1198" t="s">
        <v>63</v>
      </c>
      <c r="Q1198" t="s">
        <v>63</v>
      </c>
      <c r="R1198" t="s">
        <v>63</v>
      </c>
      <c r="S1198" t="s">
        <v>63</v>
      </c>
      <c r="T1198" t="s">
        <v>63</v>
      </c>
      <c r="X1198" t="s">
        <v>63</v>
      </c>
      <c r="Y1198" s="2">
        <v>915146</v>
      </c>
      <c r="Z1198" t="s">
        <v>63</v>
      </c>
      <c r="AA1198" t="s">
        <v>63</v>
      </c>
      <c r="AB1198">
        <v>806341</v>
      </c>
      <c r="AC1198" t="s">
        <v>67</v>
      </c>
      <c r="AD1198" t="s">
        <v>63</v>
      </c>
      <c r="AE1198" t="s">
        <v>63</v>
      </c>
      <c r="AF1198" t="s">
        <v>63</v>
      </c>
      <c r="AG1198" t="s">
        <v>10648</v>
      </c>
      <c r="AH1198" t="s">
        <v>63</v>
      </c>
      <c r="AI1198" t="s">
        <v>63</v>
      </c>
      <c r="AJ1198" t="s">
        <v>63</v>
      </c>
      <c r="AK1198" t="s">
        <v>63</v>
      </c>
      <c r="AL1198" t="s">
        <v>63</v>
      </c>
      <c r="AM1198" t="s">
        <v>10649</v>
      </c>
      <c r="AN1198" t="s">
        <v>63</v>
      </c>
      <c r="AO1198" t="s">
        <v>63</v>
      </c>
      <c r="AP1198" t="s">
        <v>63</v>
      </c>
      <c r="AQ1198" t="s">
        <v>63</v>
      </c>
      <c r="AR1198" t="s">
        <v>63</v>
      </c>
      <c r="AS1198" t="s">
        <v>63</v>
      </c>
      <c r="AT1198" t="s">
        <v>63</v>
      </c>
      <c r="AU1198" t="s">
        <v>63</v>
      </c>
      <c r="AV1198" t="s">
        <v>63</v>
      </c>
      <c r="AW1198" t="s">
        <v>63</v>
      </c>
      <c r="AX1198" t="s">
        <v>63</v>
      </c>
      <c r="AY1198" t="s">
        <v>63</v>
      </c>
      <c r="AZ1198" t="s">
        <v>63</v>
      </c>
      <c r="BA1198" t="s">
        <v>63</v>
      </c>
      <c r="BB1198" t="s">
        <v>63</v>
      </c>
      <c r="BC1198" t="s">
        <v>63</v>
      </c>
      <c r="BD1198" t="s">
        <v>63</v>
      </c>
      <c r="BE1198" t="s">
        <v>63</v>
      </c>
      <c r="BF1198" t="s">
        <v>63</v>
      </c>
    </row>
    <row r="1199" spans="1:58">
      <c r="A1199" t="s">
        <v>58</v>
      </c>
      <c r="B1199" t="s">
        <v>10650</v>
      </c>
      <c r="C1199" t="s">
        <v>10651</v>
      </c>
      <c r="D1199" t="s">
        <v>10652</v>
      </c>
      <c r="E1199" t="s">
        <v>10653</v>
      </c>
      <c r="F1199">
        <v>1998</v>
      </c>
      <c r="G1199" t="s">
        <v>181</v>
      </c>
      <c r="H1199">
        <v>20</v>
      </c>
      <c r="I1199">
        <v>5</v>
      </c>
      <c r="J1199">
        <v>267</v>
      </c>
      <c r="K1199">
        <v>273</v>
      </c>
      <c r="L1199" t="s">
        <v>10654</v>
      </c>
      <c r="M1199" t="s">
        <v>10655</v>
      </c>
      <c r="N1199" t="s">
        <v>10656</v>
      </c>
      <c r="O1199" t="s">
        <v>63</v>
      </c>
      <c r="Q1199" t="s">
        <v>63</v>
      </c>
      <c r="R1199" t="s">
        <v>63</v>
      </c>
      <c r="S1199" t="s">
        <v>63</v>
      </c>
      <c r="T1199" t="s">
        <v>63</v>
      </c>
      <c r="X1199" t="s">
        <v>63</v>
      </c>
      <c r="Y1199" t="s">
        <v>10657</v>
      </c>
      <c r="Z1199" t="s">
        <v>63</v>
      </c>
      <c r="AA1199" t="s">
        <v>10658</v>
      </c>
      <c r="AB1199">
        <v>9788026</v>
      </c>
      <c r="AC1199" t="s">
        <v>67</v>
      </c>
      <c r="AD1199" t="s">
        <v>63</v>
      </c>
      <c r="AE1199" t="s">
        <v>63</v>
      </c>
      <c r="AF1199" t="s">
        <v>63</v>
      </c>
      <c r="AG1199" t="s">
        <v>10659</v>
      </c>
      <c r="AH1199" t="s">
        <v>63</v>
      </c>
      <c r="AI1199" t="s">
        <v>63</v>
      </c>
      <c r="AJ1199" t="s">
        <v>63</v>
      </c>
      <c r="AK1199" t="s">
        <v>63</v>
      </c>
      <c r="AL1199" t="s">
        <v>63</v>
      </c>
      <c r="AM1199" t="s">
        <v>10660</v>
      </c>
      <c r="AN1199" t="s">
        <v>63</v>
      </c>
      <c r="AO1199" t="s">
        <v>63</v>
      </c>
      <c r="AP1199" t="s">
        <v>63</v>
      </c>
      <c r="AQ1199" t="s">
        <v>63</v>
      </c>
      <c r="AR1199" t="s">
        <v>63</v>
      </c>
      <c r="AS1199" t="s">
        <v>63</v>
      </c>
      <c r="AT1199" t="s">
        <v>63</v>
      </c>
      <c r="AU1199" t="s">
        <v>63</v>
      </c>
      <c r="AV1199" t="s">
        <v>63</v>
      </c>
      <c r="AW1199" t="s">
        <v>63</v>
      </c>
      <c r="AX1199" t="s">
        <v>63</v>
      </c>
      <c r="AY1199" t="s">
        <v>63</v>
      </c>
      <c r="AZ1199" t="s">
        <v>63</v>
      </c>
      <c r="BA1199" t="s">
        <v>63</v>
      </c>
      <c r="BB1199" t="s">
        <v>63</v>
      </c>
      <c r="BC1199" t="s">
        <v>63</v>
      </c>
      <c r="BD1199" t="s">
        <v>63</v>
      </c>
      <c r="BE1199" t="s">
        <v>63</v>
      </c>
      <c r="BF1199" t="s">
        <v>63</v>
      </c>
    </row>
    <row r="1200" spans="1:58">
      <c r="A1200" t="s">
        <v>58</v>
      </c>
      <c r="B1200" t="s">
        <v>10661</v>
      </c>
      <c r="C1200" t="s">
        <v>10662</v>
      </c>
      <c r="D1200" t="s">
        <v>137</v>
      </c>
      <c r="E1200" t="s">
        <v>63</v>
      </c>
      <c r="F1200">
        <v>1996</v>
      </c>
      <c r="G1200" t="s">
        <v>84</v>
      </c>
      <c r="H1200">
        <v>42</v>
      </c>
      <c r="I1200" t="s">
        <v>63</v>
      </c>
      <c r="J1200">
        <v>681</v>
      </c>
      <c r="K1200">
        <v>689</v>
      </c>
      <c r="L1200" t="s">
        <v>10663</v>
      </c>
      <c r="M1200" t="s">
        <v>10664</v>
      </c>
      <c r="N1200" t="s">
        <v>10665</v>
      </c>
      <c r="O1200" t="s">
        <v>63</v>
      </c>
      <c r="Q1200" t="s">
        <v>63</v>
      </c>
      <c r="R1200" t="s">
        <v>63</v>
      </c>
      <c r="S1200" t="s">
        <v>63</v>
      </c>
      <c r="T1200" t="s">
        <v>63</v>
      </c>
      <c r="X1200" t="s">
        <v>63</v>
      </c>
      <c r="Y1200" t="s">
        <v>141</v>
      </c>
      <c r="Z1200" t="s">
        <v>63</v>
      </c>
      <c r="AA1200" t="s">
        <v>10666</v>
      </c>
      <c r="AB1200">
        <v>8653036</v>
      </c>
      <c r="AC1200" t="s">
        <v>67</v>
      </c>
      <c r="AD1200" t="s">
        <v>63</v>
      </c>
      <c r="AE1200" t="s">
        <v>63</v>
      </c>
      <c r="AF1200" t="s">
        <v>63</v>
      </c>
      <c r="AG1200" t="s">
        <v>10667</v>
      </c>
      <c r="AH1200" t="s">
        <v>63</v>
      </c>
      <c r="AI1200" t="s">
        <v>63</v>
      </c>
      <c r="AJ1200" t="s">
        <v>63</v>
      </c>
      <c r="AK1200" t="s">
        <v>63</v>
      </c>
      <c r="AL1200" t="s">
        <v>63</v>
      </c>
      <c r="AM1200" t="s">
        <v>10668</v>
      </c>
      <c r="AN1200" t="s">
        <v>63</v>
      </c>
      <c r="AO1200" t="s">
        <v>63</v>
      </c>
      <c r="AP1200" t="s">
        <v>63</v>
      </c>
      <c r="AQ1200" t="s">
        <v>63</v>
      </c>
      <c r="AR1200" t="s">
        <v>63</v>
      </c>
      <c r="AS1200" t="s">
        <v>63</v>
      </c>
      <c r="AT1200" t="s">
        <v>63</v>
      </c>
      <c r="AU1200" t="s">
        <v>63</v>
      </c>
      <c r="AV1200" t="s">
        <v>63</v>
      </c>
      <c r="AW1200" t="s">
        <v>63</v>
      </c>
      <c r="AX1200" t="s">
        <v>63</v>
      </c>
      <c r="AY1200" t="s">
        <v>63</v>
      </c>
      <c r="AZ1200" t="s">
        <v>63</v>
      </c>
      <c r="BA1200" t="s">
        <v>63</v>
      </c>
      <c r="BB1200" t="s">
        <v>63</v>
      </c>
      <c r="BC1200" t="s">
        <v>63</v>
      </c>
      <c r="BD1200" t="s">
        <v>63</v>
      </c>
      <c r="BE1200" t="s">
        <v>63</v>
      </c>
      <c r="BF1200" t="s">
        <v>63</v>
      </c>
    </row>
    <row r="1201" spans="1:58">
      <c r="A1201" t="s">
        <v>58</v>
      </c>
      <c r="B1201" t="s">
        <v>10669</v>
      </c>
      <c r="C1201" t="s">
        <v>10670</v>
      </c>
      <c r="D1201" t="s">
        <v>10671</v>
      </c>
      <c r="E1201" t="s">
        <v>10672</v>
      </c>
      <c r="F1201">
        <v>2013</v>
      </c>
      <c r="G1201" t="s">
        <v>157</v>
      </c>
      <c r="H1201">
        <v>23</v>
      </c>
      <c r="I1201">
        <v>12</v>
      </c>
      <c r="J1201">
        <v>1213</v>
      </c>
      <c r="K1201">
        <v>1218</v>
      </c>
      <c r="L1201" t="s">
        <v>10673</v>
      </c>
      <c r="M1201" t="s">
        <v>10674</v>
      </c>
      <c r="N1201" t="s">
        <v>10675</v>
      </c>
      <c r="O1201" t="s">
        <v>63</v>
      </c>
      <c r="Q1201" t="s">
        <v>63</v>
      </c>
      <c r="R1201" t="s">
        <v>63</v>
      </c>
      <c r="S1201" t="s">
        <v>63</v>
      </c>
      <c r="T1201" t="s">
        <v>63</v>
      </c>
      <c r="X1201" t="s">
        <v>63</v>
      </c>
      <c r="Y1201" t="s">
        <v>10676</v>
      </c>
      <c r="Z1201" t="s">
        <v>63</v>
      </c>
      <c r="AA1201" t="s">
        <v>10677</v>
      </c>
      <c r="AB1201">
        <v>24383603</v>
      </c>
      <c r="AC1201" t="s">
        <v>67</v>
      </c>
      <c r="AD1201" t="s">
        <v>63</v>
      </c>
      <c r="AE1201" t="s">
        <v>63</v>
      </c>
      <c r="AF1201" t="s">
        <v>63</v>
      </c>
      <c r="AG1201" t="s">
        <v>10678</v>
      </c>
      <c r="AH1201" t="s">
        <v>63</v>
      </c>
      <c r="AI1201" t="s">
        <v>10679</v>
      </c>
      <c r="AJ1201" t="s">
        <v>63</v>
      </c>
      <c r="AK1201" t="s">
        <v>63</v>
      </c>
      <c r="AL1201" t="s">
        <v>63</v>
      </c>
      <c r="AM1201" t="s">
        <v>10680</v>
      </c>
      <c r="AN1201" t="s">
        <v>63</v>
      </c>
      <c r="AO1201" t="s">
        <v>63</v>
      </c>
      <c r="AP1201" t="s">
        <v>63</v>
      </c>
      <c r="AQ1201" t="s">
        <v>63</v>
      </c>
      <c r="AR1201" t="s">
        <v>63</v>
      </c>
      <c r="AS1201" t="s">
        <v>63</v>
      </c>
      <c r="AT1201" t="s">
        <v>63</v>
      </c>
      <c r="AU1201" t="s">
        <v>63</v>
      </c>
      <c r="AV1201" t="s">
        <v>63</v>
      </c>
      <c r="AW1201" t="s">
        <v>63</v>
      </c>
      <c r="AX1201" t="s">
        <v>63</v>
      </c>
      <c r="AY1201" t="s">
        <v>63</v>
      </c>
      <c r="AZ1201" t="s">
        <v>63</v>
      </c>
      <c r="BA1201" t="s">
        <v>63</v>
      </c>
      <c r="BB1201" t="s">
        <v>63</v>
      </c>
      <c r="BC1201" t="s">
        <v>63</v>
      </c>
      <c r="BD1201" t="s">
        <v>63</v>
      </c>
      <c r="BE1201" t="s">
        <v>63</v>
      </c>
      <c r="BF1201" t="s">
        <v>63</v>
      </c>
    </row>
    <row r="1202" spans="1:58">
      <c r="A1202" t="s">
        <v>58</v>
      </c>
      <c r="B1202" t="s">
        <v>10681</v>
      </c>
      <c r="C1202" t="s">
        <v>10682</v>
      </c>
      <c r="D1202" t="s">
        <v>325</v>
      </c>
      <c r="E1202" t="s">
        <v>63</v>
      </c>
      <c r="F1202">
        <v>2007</v>
      </c>
      <c r="G1202" t="s">
        <v>908</v>
      </c>
      <c r="H1202">
        <v>31</v>
      </c>
      <c r="I1202">
        <v>4</v>
      </c>
      <c r="J1202">
        <v>281</v>
      </c>
      <c r="K1202">
        <v>289</v>
      </c>
      <c r="L1202" t="s">
        <v>10683</v>
      </c>
      <c r="M1202" t="s">
        <v>10684</v>
      </c>
      <c r="N1202" t="s">
        <v>10685</v>
      </c>
      <c r="O1202" t="s">
        <v>63</v>
      </c>
      <c r="Q1202" t="s">
        <v>63</v>
      </c>
      <c r="R1202" t="s">
        <v>63</v>
      </c>
      <c r="S1202" t="s">
        <v>63</v>
      </c>
      <c r="T1202" t="s">
        <v>63</v>
      </c>
      <c r="X1202" t="s">
        <v>63</v>
      </c>
      <c r="Y1202" t="s">
        <v>866</v>
      </c>
      <c r="Z1202" t="s">
        <v>63</v>
      </c>
      <c r="AA1202" t="s">
        <v>10686</v>
      </c>
      <c r="AB1202">
        <v>17626190</v>
      </c>
      <c r="AC1202" t="s">
        <v>67</v>
      </c>
      <c r="AD1202" t="s">
        <v>63</v>
      </c>
      <c r="AE1202" t="s">
        <v>63</v>
      </c>
      <c r="AF1202" t="s">
        <v>63</v>
      </c>
      <c r="AG1202" t="s">
        <v>10687</v>
      </c>
      <c r="AH1202" t="s">
        <v>63</v>
      </c>
      <c r="AI1202" t="s">
        <v>63</v>
      </c>
      <c r="AJ1202" t="s">
        <v>63</v>
      </c>
      <c r="AK1202" t="s">
        <v>63</v>
      </c>
      <c r="AL1202" t="s">
        <v>63</v>
      </c>
      <c r="AM1202" t="s">
        <v>10688</v>
      </c>
      <c r="AN1202" t="s">
        <v>63</v>
      </c>
      <c r="AO1202" t="s">
        <v>63</v>
      </c>
      <c r="AP1202" t="s">
        <v>63</v>
      </c>
      <c r="AQ1202" t="s">
        <v>63</v>
      </c>
      <c r="AR1202" t="s">
        <v>63</v>
      </c>
      <c r="AS1202" t="s">
        <v>63</v>
      </c>
      <c r="AT1202" t="s">
        <v>63</v>
      </c>
      <c r="AU1202" t="s">
        <v>63</v>
      </c>
      <c r="AV1202" t="s">
        <v>63</v>
      </c>
      <c r="AW1202" t="s">
        <v>63</v>
      </c>
      <c r="AX1202" t="s">
        <v>63</v>
      </c>
      <c r="AY1202" t="s">
        <v>63</v>
      </c>
      <c r="AZ1202" t="s">
        <v>63</v>
      </c>
      <c r="BA1202" t="s">
        <v>63</v>
      </c>
      <c r="BB1202" t="s">
        <v>63</v>
      </c>
      <c r="BC1202" t="s">
        <v>63</v>
      </c>
      <c r="BD1202" t="s">
        <v>63</v>
      </c>
      <c r="BE1202" t="s">
        <v>63</v>
      </c>
      <c r="BF1202" t="s">
        <v>63</v>
      </c>
    </row>
    <row r="1203" spans="1:58">
      <c r="A1203" t="s">
        <v>58</v>
      </c>
      <c r="B1203" t="s">
        <v>10689</v>
      </c>
      <c r="C1203" t="s">
        <v>10690</v>
      </c>
      <c r="D1203" t="s">
        <v>2353</v>
      </c>
      <c r="E1203" t="s">
        <v>2354</v>
      </c>
      <c r="F1203">
        <v>1995</v>
      </c>
      <c r="G1203" t="s">
        <v>623</v>
      </c>
      <c r="H1203">
        <v>12</v>
      </c>
      <c r="I1203">
        <v>1</v>
      </c>
      <c r="J1203">
        <v>43</v>
      </c>
      <c r="K1203">
        <v>48</v>
      </c>
      <c r="L1203" t="s">
        <v>10691</v>
      </c>
      <c r="M1203" t="s">
        <v>10692</v>
      </c>
      <c r="N1203" t="s">
        <v>10693</v>
      </c>
      <c r="O1203" t="s">
        <v>63</v>
      </c>
      <c r="Q1203" t="s">
        <v>63</v>
      </c>
      <c r="R1203" t="s">
        <v>63</v>
      </c>
      <c r="S1203" t="s">
        <v>63</v>
      </c>
      <c r="T1203" t="s">
        <v>63</v>
      </c>
      <c r="X1203" t="s">
        <v>63</v>
      </c>
      <c r="Y1203" t="s">
        <v>2358</v>
      </c>
      <c r="Z1203" t="s">
        <v>63</v>
      </c>
      <c r="AA1203" t="s">
        <v>10694</v>
      </c>
      <c r="AB1203">
        <v>7752297</v>
      </c>
      <c r="AC1203" t="s">
        <v>67</v>
      </c>
      <c r="AD1203" t="s">
        <v>63</v>
      </c>
      <c r="AE1203" t="s">
        <v>63</v>
      </c>
      <c r="AF1203" t="s">
        <v>63</v>
      </c>
      <c r="AG1203" t="s">
        <v>10695</v>
      </c>
      <c r="AH1203" t="s">
        <v>63</v>
      </c>
      <c r="AI1203" t="s">
        <v>63</v>
      </c>
      <c r="AJ1203" t="s">
        <v>63</v>
      </c>
      <c r="AK1203" t="s">
        <v>63</v>
      </c>
      <c r="AL1203" t="s">
        <v>63</v>
      </c>
      <c r="AM1203" t="s">
        <v>10696</v>
      </c>
      <c r="AN1203" t="s">
        <v>63</v>
      </c>
      <c r="AO1203" t="s">
        <v>63</v>
      </c>
      <c r="AP1203" t="s">
        <v>63</v>
      </c>
      <c r="AQ1203" t="s">
        <v>63</v>
      </c>
      <c r="AR1203" t="s">
        <v>63</v>
      </c>
      <c r="AS1203" t="s">
        <v>63</v>
      </c>
      <c r="AT1203" t="s">
        <v>63</v>
      </c>
      <c r="AU1203" t="s">
        <v>63</v>
      </c>
      <c r="AV1203" t="s">
        <v>63</v>
      </c>
      <c r="AW1203" t="s">
        <v>63</v>
      </c>
      <c r="AX1203" t="s">
        <v>63</v>
      </c>
      <c r="AY1203" t="s">
        <v>63</v>
      </c>
      <c r="AZ1203" t="s">
        <v>63</v>
      </c>
      <c r="BA1203" t="s">
        <v>63</v>
      </c>
      <c r="BB1203" t="s">
        <v>63</v>
      </c>
      <c r="BC1203" t="s">
        <v>63</v>
      </c>
      <c r="BD1203" t="s">
        <v>63</v>
      </c>
      <c r="BE1203" t="s">
        <v>63</v>
      </c>
      <c r="BF1203" t="s">
        <v>63</v>
      </c>
    </row>
    <row r="1204" spans="1:58">
      <c r="A1204" t="s">
        <v>58</v>
      </c>
      <c r="B1204" t="s">
        <v>10697</v>
      </c>
      <c r="C1204" t="s">
        <v>10698</v>
      </c>
      <c r="D1204" t="s">
        <v>10699</v>
      </c>
      <c r="E1204" t="s">
        <v>10700</v>
      </c>
      <c r="F1204">
        <v>2010</v>
      </c>
      <c r="G1204" t="s">
        <v>1085</v>
      </c>
      <c r="H1204">
        <v>56</v>
      </c>
      <c r="I1204">
        <v>5</v>
      </c>
      <c r="J1204">
        <v>568</v>
      </c>
      <c r="K1204">
        <v>571</v>
      </c>
      <c r="L1204" t="s">
        <v>10701</v>
      </c>
      <c r="M1204" t="s">
        <v>10702</v>
      </c>
      <c r="N1204" t="s">
        <v>10703</v>
      </c>
      <c r="O1204" t="s">
        <v>63</v>
      </c>
      <c r="Q1204" t="s">
        <v>63</v>
      </c>
      <c r="R1204" t="s">
        <v>63</v>
      </c>
      <c r="S1204" t="s">
        <v>63</v>
      </c>
      <c r="T1204" t="s">
        <v>63</v>
      </c>
      <c r="X1204" t="s">
        <v>63</v>
      </c>
      <c r="Y1204" t="s">
        <v>10704</v>
      </c>
      <c r="Z1204" t="s">
        <v>63</v>
      </c>
      <c r="AA1204" t="s">
        <v>10705</v>
      </c>
      <c r="AB1204">
        <v>21152830</v>
      </c>
      <c r="AC1204" t="s">
        <v>9004</v>
      </c>
      <c r="AD1204" t="s">
        <v>63</v>
      </c>
      <c r="AE1204" t="s">
        <v>63</v>
      </c>
      <c r="AF1204" t="s">
        <v>63</v>
      </c>
      <c r="AG1204" t="s">
        <v>10706</v>
      </c>
      <c r="AH1204" t="s">
        <v>63</v>
      </c>
      <c r="AI1204" t="s">
        <v>63</v>
      </c>
      <c r="AJ1204" t="s">
        <v>63</v>
      </c>
      <c r="AK1204" t="s">
        <v>63</v>
      </c>
      <c r="AL1204" t="s">
        <v>63</v>
      </c>
      <c r="AM1204" t="s">
        <v>10707</v>
      </c>
      <c r="AN1204" t="s">
        <v>63</v>
      </c>
      <c r="AO1204" t="s">
        <v>63</v>
      </c>
      <c r="AP1204" t="s">
        <v>63</v>
      </c>
      <c r="AQ1204" t="s">
        <v>63</v>
      </c>
      <c r="AR1204" t="s">
        <v>63</v>
      </c>
      <c r="AS1204" t="s">
        <v>63</v>
      </c>
      <c r="AT1204" t="s">
        <v>63</v>
      </c>
      <c r="AU1204" t="s">
        <v>63</v>
      </c>
      <c r="AV1204" t="s">
        <v>63</v>
      </c>
      <c r="AW1204" t="s">
        <v>63</v>
      </c>
      <c r="AX1204" t="s">
        <v>63</v>
      </c>
      <c r="AY1204" t="s">
        <v>63</v>
      </c>
      <c r="AZ1204" t="s">
        <v>63</v>
      </c>
      <c r="BA1204" t="s">
        <v>63</v>
      </c>
      <c r="BB1204" t="s">
        <v>63</v>
      </c>
      <c r="BC1204" t="s">
        <v>63</v>
      </c>
      <c r="BD1204" t="s">
        <v>63</v>
      </c>
      <c r="BE1204" t="s">
        <v>63</v>
      </c>
      <c r="BF1204" t="s">
        <v>63</v>
      </c>
    </row>
    <row r="1205" spans="1:58">
      <c r="A1205" t="s">
        <v>58</v>
      </c>
      <c r="B1205" t="s">
        <v>10708</v>
      </c>
      <c r="C1205" t="s">
        <v>10709</v>
      </c>
      <c r="D1205" t="s">
        <v>10710</v>
      </c>
      <c r="E1205" t="s">
        <v>63</v>
      </c>
      <c r="F1205">
        <v>2005</v>
      </c>
      <c r="G1205" t="s">
        <v>1670</v>
      </c>
      <c r="H1205" t="s">
        <v>63</v>
      </c>
      <c r="I1205">
        <v>15</v>
      </c>
      <c r="J1205">
        <v>170</v>
      </c>
      <c r="K1205" t="s">
        <v>10711</v>
      </c>
      <c r="L1205" t="s">
        <v>10712</v>
      </c>
      <c r="M1205" t="s">
        <v>10713</v>
      </c>
      <c r="N1205" t="s">
        <v>10714</v>
      </c>
      <c r="O1205" t="s">
        <v>63</v>
      </c>
      <c r="Q1205" t="s">
        <v>63</v>
      </c>
      <c r="R1205" t="s">
        <v>63</v>
      </c>
      <c r="S1205" t="s">
        <v>63</v>
      </c>
      <c r="T1205" t="s">
        <v>63</v>
      </c>
      <c r="X1205" t="s">
        <v>63</v>
      </c>
      <c r="Y1205" t="s">
        <v>10715</v>
      </c>
      <c r="Z1205" t="s">
        <v>63</v>
      </c>
      <c r="AA1205" t="s">
        <v>10716</v>
      </c>
      <c r="AB1205">
        <v>16223068</v>
      </c>
      <c r="AC1205" t="s">
        <v>67</v>
      </c>
      <c r="AD1205" t="s">
        <v>63</v>
      </c>
      <c r="AE1205" t="s">
        <v>63</v>
      </c>
      <c r="AF1205" t="s">
        <v>63</v>
      </c>
      <c r="AG1205" t="s">
        <v>10717</v>
      </c>
      <c r="AH1205" t="s">
        <v>63</v>
      </c>
      <c r="AI1205" t="s">
        <v>63</v>
      </c>
      <c r="AJ1205" t="s">
        <v>63</v>
      </c>
      <c r="AK1205" t="s">
        <v>63</v>
      </c>
      <c r="AL1205" t="s">
        <v>63</v>
      </c>
      <c r="AM1205" t="s">
        <v>10718</v>
      </c>
      <c r="AN1205" t="s">
        <v>63</v>
      </c>
      <c r="AO1205" t="s">
        <v>63</v>
      </c>
      <c r="AP1205" t="s">
        <v>63</v>
      </c>
      <c r="AQ1205" t="s">
        <v>63</v>
      </c>
      <c r="AR1205" t="s">
        <v>63</v>
      </c>
      <c r="AS1205" t="s">
        <v>63</v>
      </c>
      <c r="AT1205" t="s">
        <v>63</v>
      </c>
      <c r="AU1205" t="s">
        <v>63</v>
      </c>
      <c r="AV1205" t="s">
        <v>63</v>
      </c>
      <c r="AW1205" t="s">
        <v>63</v>
      </c>
      <c r="AX1205" t="s">
        <v>63</v>
      </c>
      <c r="AY1205" t="s">
        <v>63</v>
      </c>
      <c r="AZ1205" t="s">
        <v>63</v>
      </c>
      <c r="BA1205" t="s">
        <v>63</v>
      </c>
      <c r="BB1205" t="s">
        <v>63</v>
      </c>
      <c r="BC1205" t="s">
        <v>63</v>
      </c>
      <c r="BD1205" t="s">
        <v>63</v>
      </c>
      <c r="BE1205" t="s">
        <v>63</v>
      </c>
      <c r="BF1205" t="s">
        <v>63</v>
      </c>
    </row>
    <row r="1206" spans="1:58">
      <c r="A1206" t="s">
        <v>58</v>
      </c>
      <c r="B1206" t="s">
        <v>10719</v>
      </c>
      <c r="C1206" t="s">
        <v>10720</v>
      </c>
      <c r="D1206" t="s">
        <v>10721</v>
      </c>
      <c r="E1206" t="s">
        <v>10722</v>
      </c>
      <c r="F1206">
        <v>2006</v>
      </c>
      <c r="G1206" t="s">
        <v>73</v>
      </c>
      <c r="H1206">
        <v>38</v>
      </c>
      <c r="I1206">
        <v>5</v>
      </c>
      <c r="J1206">
        <v>1221</v>
      </c>
      <c r="K1206">
        <v>1223</v>
      </c>
      <c r="L1206" t="s">
        <v>10723</v>
      </c>
      <c r="M1206" t="s">
        <v>10724</v>
      </c>
      <c r="N1206" t="s">
        <v>10725</v>
      </c>
      <c r="O1206" t="s">
        <v>63</v>
      </c>
      <c r="Q1206" t="s">
        <v>63</v>
      </c>
      <c r="R1206" t="s">
        <v>63</v>
      </c>
      <c r="S1206" t="s">
        <v>63</v>
      </c>
      <c r="T1206" t="s">
        <v>63</v>
      </c>
      <c r="X1206" t="s">
        <v>63</v>
      </c>
      <c r="Y1206" t="s">
        <v>10726</v>
      </c>
      <c r="Z1206" t="s">
        <v>63</v>
      </c>
      <c r="AA1206" t="s">
        <v>10727</v>
      </c>
      <c r="AB1206">
        <v>16797268</v>
      </c>
      <c r="AC1206" t="s">
        <v>67</v>
      </c>
      <c r="AD1206" t="s">
        <v>63</v>
      </c>
      <c r="AE1206" t="s">
        <v>63</v>
      </c>
      <c r="AF1206" t="s">
        <v>63</v>
      </c>
      <c r="AG1206" t="s">
        <v>10728</v>
      </c>
      <c r="AH1206" t="s">
        <v>63</v>
      </c>
      <c r="AI1206" t="s">
        <v>63</v>
      </c>
      <c r="AJ1206" t="s">
        <v>63</v>
      </c>
      <c r="AK1206" t="s">
        <v>63</v>
      </c>
      <c r="AL1206" t="s">
        <v>63</v>
      </c>
      <c r="AM1206" t="s">
        <v>10729</v>
      </c>
      <c r="AN1206" t="s">
        <v>63</v>
      </c>
      <c r="AO1206" t="s">
        <v>63</v>
      </c>
      <c r="AP1206" t="s">
        <v>63</v>
      </c>
      <c r="AQ1206" t="s">
        <v>63</v>
      </c>
      <c r="AR1206" t="s">
        <v>63</v>
      </c>
      <c r="AS1206" t="s">
        <v>63</v>
      </c>
      <c r="AT1206" t="s">
        <v>63</v>
      </c>
      <c r="AU1206" t="s">
        <v>63</v>
      </c>
      <c r="AV1206" t="s">
        <v>63</v>
      </c>
      <c r="AW1206" t="s">
        <v>63</v>
      </c>
      <c r="AX1206" t="s">
        <v>63</v>
      </c>
      <c r="AY1206" t="s">
        <v>63</v>
      </c>
      <c r="AZ1206" t="s">
        <v>63</v>
      </c>
      <c r="BA1206" t="s">
        <v>63</v>
      </c>
      <c r="BB1206" t="s">
        <v>63</v>
      </c>
      <c r="BC1206" t="s">
        <v>63</v>
      </c>
      <c r="BD1206" t="s">
        <v>63</v>
      </c>
      <c r="BE1206" t="s">
        <v>63</v>
      </c>
      <c r="BF1206" t="s">
        <v>63</v>
      </c>
    </row>
    <row r="1207" spans="1:58">
      <c r="A1207" t="s">
        <v>58</v>
      </c>
      <c r="B1207" t="s">
        <v>10730</v>
      </c>
      <c r="C1207" t="s">
        <v>10731</v>
      </c>
      <c r="D1207" t="s">
        <v>8616</v>
      </c>
      <c r="E1207" t="s">
        <v>8617</v>
      </c>
      <c r="F1207">
        <v>2008</v>
      </c>
      <c r="G1207" s="1">
        <v>41993</v>
      </c>
      <c r="H1207">
        <v>149</v>
      </c>
      <c r="I1207">
        <v>52</v>
      </c>
      <c r="J1207">
        <v>2471</v>
      </c>
      <c r="K1207">
        <v>2478</v>
      </c>
      <c r="L1207" t="s">
        <v>10732</v>
      </c>
      <c r="M1207" t="s">
        <v>10733</v>
      </c>
      <c r="N1207" t="s">
        <v>10734</v>
      </c>
      <c r="O1207" t="s">
        <v>63</v>
      </c>
      <c r="Q1207" t="s">
        <v>63</v>
      </c>
      <c r="R1207" t="s">
        <v>63</v>
      </c>
      <c r="S1207" t="s">
        <v>63</v>
      </c>
      <c r="T1207" t="s">
        <v>63</v>
      </c>
      <c r="X1207" t="s">
        <v>63</v>
      </c>
      <c r="Y1207" t="s">
        <v>8621</v>
      </c>
      <c r="Z1207" t="s">
        <v>63</v>
      </c>
      <c r="AA1207" t="s">
        <v>10735</v>
      </c>
      <c r="AB1207">
        <v>19087915</v>
      </c>
      <c r="AC1207" t="s">
        <v>8623</v>
      </c>
      <c r="AD1207" t="s">
        <v>63</v>
      </c>
      <c r="AE1207" t="s">
        <v>63</v>
      </c>
      <c r="AF1207" t="s">
        <v>63</v>
      </c>
      <c r="AG1207" t="s">
        <v>10736</v>
      </c>
      <c r="AH1207" t="s">
        <v>63</v>
      </c>
      <c r="AI1207" t="s">
        <v>10737</v>
      </c>
      <c r="AJ1207" t="s">
        <v>63</v>
      </c>
      <c r="AK1207" t="s">
        <v>63</v>
      </c>
      <c r="AL1207" t="s">
        <v>63</v>
      </c>
      <c r="AM1207" t="s">
        <v>10738</v>
      </c>
      <c r="AN1207" t="s">
        <v>63</v>
      </c>
      <c r="AO1207" t="s">
        <v>63</v>
      </c>
      <c r="AP1207" t="s">
        <v>63</v>
      </c>
      <c r="AQ1207" t="s">
        <v>63</v>
      </c>
      <c r="AR1207" t="s">
        <v>63</v>
      </c>
      <c r="AS1207" t="s">
        <v>63</v>
      </c>
      <c r="AT1207" t="s">
        <v>63</v>
      </c>
      <c r="AU1207" t="s">
        <v>63</v>
      </c>
      <c r="AV1207" t="s">
        <v>63</v>
      </c>
      <c r="AW1207" t="s">
        <v>63</v>
      </c>
      <c r="AX1207" t="s">
        <v>63</v>
      </c>
      <c r="AY1207" t="s">
        <v>63</v>
      </c>
      <c r="AZ1207" t="s">
        <v>63</v>
      </c>
      <c r="BA1207" t="s">
        <v>63</v>
      </c>
      <c r="BB1207" t="s">
        <v>63</v>
      </c>
      <c r="BC1207" t="s">
        <v>63</v>
      </c>
      <c r="BD1207" t="s">
        <v>63</v>
      </c>
      <c r="BE1207" t="s">
        <v>63</v>
      </c>
      <c r="BF1207" t="s">
        <v>63</v>
      </c>
    </row>
    <row r="1208" spans="1:58">
      <c r="A1208" t="s">
        <v>58</v>
      </c>
      <c r="B1208" t="s">
        <v>10739</v>
      </c>
      <c r="C1208" t="s">
        <v>10740</v>
      </c>
      <c r="D1208" t="s">
        <v>10741</v>
      </c>
      <c r="E1208" t="s">
        <v>63</v>
      </c>
      <c r="F1208">
        <v>2007</v>
      </c>
      <c r="G1208" t="s">
        <v>73</v>
      </c>
      <c r="H1208">
        <v>14</v>
      </c>
      <c r="I1208">
        <v>3</v>
      </c>
      <c r="J1208">
        <v>451</v>
      </c>
      <c r="K1208">
        <v>455</v>
      </c>
      <c r="L1208" t="s">
        <v>10742</v>
      </c>
      <c r="M1208" t="s">
        <v>10743</v>
      </c>
      <c r="N1208" t="s">
        <v>10744</v>
      </c>
      <c r="O1208" t="s">
        <v>63</v>
      </c>
      <c r="Q1208" t="s">
        <v>63</v>
      </c>
      <c r="R1208" t="s">
        <v>63</v>
      </c>
      <c r="S1208" t="s">
        <v>63</v>
      </c>
      <c r="T1208" t="s">
        <v>63</v>
      </c>
      <c r="X1208" t="s">
        <v>63</v>
      </c>
      <c r="Y1208" t="s">
        <v>10745</v>
      </c>
      <c r="Z1208" t="s">
        <v>63</v>
      </c>
      <c r="AA1208" t="s">
        <v>10746</v>
      </c>
      <c r="AB1208">
        <v>17568248</v>
      </c>
      <c r="AC1208" t="s">
        <v>67</v>
      </c>
      <c r="AD1208" t="s">
        <v>63</v>
      </c>
      <c r="AE1208" t="s">
        <v>63</v>
      </c>
      <c r="AF1208" t="s">
        <v>63</v>
      </c>
      <c r="AG1208" t="s">
        <v>10747</v>
      </c>
      <c r="AH1208" t="s">
        <v>63</v>
      </c>
      <c r="AI1208" t="s">
        <v>63</v>
      </c>
      <c r="AJ1208" t="s">
        <v>63</v>
      </c>
      <c r="AK1208" t="s">
        <v>63</v>
      </c>
      <c r="AL1208" t="s">
        <v>63</v>
      </c>
      <c r="AM1208" t="s">
        <v>10748</v>
      </c>
      <c r="AN1208" t="s">
        <v>63</v>
      </c>
      <c r="AO1208" t="s">
        <v>63</v>
      </c>
      <c r="AP1208" t="s">
        <v>63</v>
      </c>
      <c r="AQ1208" t="s">
        <v>63</v>
      </c>
      <c r="AR1208" t="s">
        <v>63</v>
      </c>
      <c r="AS1208" t="s">
        <v>63</v>
      </c>
      <c r="AT1208" t="s">
        <v>63</v>
      </c>
      <c r="AU1208" t="s">
        <v>63</v>
      </c>
      <c r="AV1208" t="s">
        <v>63</v>
      </c>
      <c r="AW1208" t="s">
        <v>63</v>
      </c>
      <c r="AX1208" t="s">
        <v>63</v>
      </c>
      <c r="AY1208" t="s">
        <v>63</v>
      </c>
      <c r="AZ1208" t="s">
        <v>63</v>
      </c>
      <c r="BA1208" t="s">
        <v>63</v>
      </c>
      <c r="BB1208" t="s">
        <v>63</v>
      </c>
      <c r="BC1208" t="s">
        <v>63</v>
      </c>
      <c r="BD1208" t="s">
        <v>63</v>
      </c>
      <c r="BE1208" t="s">
        <v>63</v>
      </c>
      <c r="BF1208" t="s">
        <v>63</v>
      </c>
    </row>
    <row r="1209" spans="1:58">
      <c r="A1209" t="s">
        <v>58</v>
      </c>
      <c r="B1209" t="s">
        <v>10749</v>
      </c>
      <c r="C1209" t="s">
        <v>10750</v>
      </c>
      <c r="D1209" t="s">
        <v>10652</v>
      </c>
      <c r="E1209" t="s">
        <v>10653</v>
      </c>
      <c r="F1209">
        <v>1998</v>
      </c>
      <c r="G1209" t="s">
        <v>219</v>
      </c>
      <c r="H1209">
        <v>20</v>
      </c>
      <c r="I1209">
        <v>6</v>
      </c>
      <c r="J1209">
        <v>368</v>
      </c>
      <c r="K1209">
        <v>370</v>
      </c>
      <c r="L1209" t="s">
        <v>10751</v>
      </c>
      <c r="M1209" t="s">
        <v>10752</v>
      </c>
      <c r="N1209" t="s">
        <v>10753</v>
      </c>
      <c r="O1209" t="s">
        <v>63</v>
      </c>
      <c r="Q1209" t="s">
        <v>63</v>
      </c>
      <c r="R1209" t="s">
        <v>63</v>
      </c>
      <c r="S1209" t="s">
        <v>63</v>
      </c>
      <c r="T1209" t="s">
        <v>63</v>
      </c>
      <c r="X1209" t="s">
        <v>63</v>
      </c>
      <c r="Y1209" t="s">
        <v>10657</v>
      </c>
      <c r="Z1209" t="s">
        <v>63</v>
      </c>
      <c r="AA1209" t="s">
        <v>10754</v>
      </c>
      <c r="AB1209">
        <v>9854649</v>
      </c>
      <c r="AC1209" t="s">
        <v>67</v>
      </c>
      <c r="AD1209" t="s">
        <v>63</v>
      </c>
      <c r="AE1209" t="s">
        <v>63</v>
      </c>
      <c r="AF1209" t="s">
        <v>63</v>
      </c>
      <c r="AG1209" t="s">
        <v>10755</v>
      </c>
      <c r="AH1209" t="s">
        <v>63</v>
      </c>
      <c r="AI1209" t="s">
        <v>63</v>
      </c>
      <c r="AJ1209" t="s">
        <v>63</v>
      </c>
      <c r="AK1209" t="s">
        <v>63</v>
      </c>
      <c r="AL1209" t="s">
        <v>63</v>
      </c>
      <c r="AM1209" t="s">
        <v>10756</v>
      </c>
      <c r="AN1209" t="s">
        <v>63</v>
      </c>
      <c r="AO1209" t="s">
        <v>63</v>
      </c>
      <c r="AP1209" t="s">
        <v>63</v>
      </c>
      <c r="AQ1209" t="s">
        <v>63</v>
      </c>
      <c r="AR1209" t="s">
        <v>63</v>
      </c>
      <c r="AS1209" t="s">
        <v>63</v>
      </c>
      <c r="AT1209" t="s">
        <v>63</v>
      </c>
      <c r="AU1209" t="s">
        <v>63</v>
      </c>
      <c r="AV1209" t="s">
        <v>63</v>
      </c>
      <c r="AW1209" t="s">
        <v>63</v>
      </c>
      <c r="AX1209" t="s">
        <v>63</v>
      </c>
      <c r="AY1209" t="s">
        <v>63</v>
      </c>
      <c r="AZ1209" t="s">
        <v>63</v>
      </c>
      <c r="BA1209" t="s">
        <v>63</v>
      </c>
      <c r="BB1209" t="s">
        <v>63</v>
      </c>
      <c r="BC1209" t="s">
        <v>63</v>
      </c>
      <c r="BD1209" t="s">
        <v>63</v>
      </c>
      <c r="BE1209" t="s">
        <v>63</v>
      </c>
      <c r="BF1209" t="s">
        <v>63</v>
      </c>
    </row>
    <row r="1210" spans="1:58">
      <c r="A1210" t="s">
        <v>58</v>
      </c>
      <c r="B1210" t="s">
        <v>10757</v>
      </c>
      <c r="C1210" t="s">
        <v>10758</v>
      </c>
      <c r="D1210" t="s">
        <v>389</v>
      </c>
      <c r="E1210" t="s">
        <v>63</v>
      </c>
      <c r="F1210">
        <v>2011</v>
      </c>
      <c r="G1210" t="s">
        <v>84</v>
      </c>
      <c r="H1210">
        <v>32</v>
      </c>
      <c r="I1210">
        <v>2</v>
      </c>
      <c r="J1210">
        <v>101</v>
      </c>
      <c r="K1210">
        <v>107</v>
      </c>
      <c r="L1210" t="s">
        <v>10759</v>
      </c>
      <c r="M1210" t="s">
        <v>10760</v>
      </c>
      <c r="N1210" t="s">
        <v>10761</v>
      </c>
      <c r="O1210" t="s">
        <v>63</v>
      </c>
      <c r="Q1210" t="s">
        <v>63</v>
      </c>
      <c r="R1210" t="s">
        <v>63</v>
      </c>
      <c r="S1210" t="s">
        <v>63</v>
      </c>
      <c r="T1210" t="s">
        <v>63</v>
      </c>
      <c r="X1210" t="s">
        <v>63</v>
      </c>
      <c r="Y1210" t="s">
        <v>556</v>
      </c>
      <c r="Z1210" t="s">
        <v>63</v>
      </c>
      <c r="AA1210" t="s">
        <v>10762</v>
      </c>
      <c r="AB1210">
        <v>21534131</v>
      </c>
      <c r="AC1210" t="s">
        <v>67</v>
      </c>
      <c r="AD1210" t="s">
        <v>63</v>
      </c>
      <c r="AE1210" t="s">
        <v>63</v>
      </c>
      <c r="AF1210" t="s">
        <v>63</v>
      </c>
      <c r="AG1210" t="s">
        <v>10763</v>
      </c>
      <c r="AH1210" t="s">
        <v>63</v>
      </c>
      <c r="AI1210" t="s">
        <v>10764</v>
      </c>
      <c r="AJ1210" t="s">
        <v>63</v>
      </c>
      <c r="AK1210" t="s">
        <v>63</v>
      </c>
      <c r="AL1210" t="s">
        <v>63</v>
      </c>
      <c r="AM1210" t="s">
        <v>10765</v>
      </c>
      <c r="AN1210" t="s">
        <v>63</v>
      </c>
      <c r="AO1210" t="s">
        <v>63</v>
      </c>
      <c r="AP1210" t="s">
        <v>63</v>
      </c>
      <c r="AQ1210" t="s">
        <v>63</v>
      </c>
      <c r="AR1210" t="s">
        <v>63</v>
      </c>
      <c r="AS1210" t="s">
        <v>63</v>
      </c>
      <c r="AT1210" t="s">
        <v>63</v>
      </c>
      <c r="AU1210" t="s">
        <v>63</v>
      </c>
      <c r="AV1210" t="s">
        <v>63</v>
      </c>
      <c r="AW1210" t="s">
        <v>63</v>
      </c>
      <c r="AX1210" t="s">
        <v>63</v>
      </c>
      <c r="AY1210" t="s">
        <v>63</v>
      </c>
      <c r="AZ1210" t="s">
        <v>63</v>
      </c>
      <c r="BA1210" t="s">
        <v>63</v>
      </c>
      <c r="BB1210" t="s">
        <v>63</v>
      </c>
      <c r="BC1210" t="s">
        <v>63</v>
      </c>
      <c r="BD1210" t="s">
        <v>63</v>
      </c>
      <c r="BE1210" t="s">
        <v>63</v>
      </c>
      <c r="BF1210" t="s">
        <v>63</v>
      </c>
    </row>
    <row r="1211" spans="1:58">
      <c r="A1211" t="s">
        <v>58</v>
      </c>
      <c r="B1211" t="s">
        <v>10766</v>
      </c>
      <c r="C1211" t="s">
        <v>10767</v>
      </c>
      <c r="D1211" t="s">
        <v>111</v>
      </c>
      <c r="E1211" t="s">
        <v>112</v>
      </c>
      <c r="F1211">
        <v>2000</v>
      </c>
      <c r="G1211" s="1">
        <v>41865</v>
      </c>
      <c r="H1211">
        <v>133</v>
      </c>
      <c r="I1211">
        <v>4</v>
      </c>
      <c r="J1211">
        <v>314</v>
      </c>
      <c r="K1211" t="s">
        <v>63</v>
      </c>
      <c r="L1211" t="s">
        <v>10768</v>
      </c>
      <c r="M1211" t="s">
        <v>63</v>
      </c>
      <c r="N1211" t="s">
        <v>10769</v>
      </c>
      <c r="O1211" t="s">
        <v>63</v>
      </c>
      <c r="Q1211" t="s">
        <v>63</v>
      </c>
      <c r="R1211" t="s">
        <v>63</v>
      </c>
      <c r="S1211" t="s">
        <v>63</v>
      </c>
      <c r="T1211" t="s">
        <v>63</v>
      </c>
      <c r="X1211" t="s">
        <v>63</v>
      </c>
      <c r="Y1211" s="2">
        <v>1064742</v>
      </c>
      <c r="Z1211" t="s">
        <v>63</v>
      </c>
      <c r="AA1211" t="s">
        <v>63</v>
      </c>
      <c r="AB1211">
        <v>10929188</v>
      </c>
      <c r="AC1211" t="s">
        <v>67</v>
      </c>
      <c r="AD1211" t="s">
        <v>63</v>
      </c>
      <c r="AE1211" t="s">
        <v>63</v>
      </c>
      <c r="AF1211" t="s">
        <v>63</v>
      </c>
      <c r="AG1211" t="s">
        <v>10770</v>
      </c>
      <c r="AH1211" t="s">
        <v>63</v>
      </c>
      <c r="AI1211" t="s">
        <v>63</v>
      </c>
      <c r="AJ1211" t="s">
        <v>63</v>
      </c>
      <c r="AK1211" t="s">
        <v>63</v>
      </c>
      <c r="AL1211" t="s">
        <v>63</v>
      </c>
      <c r="AM1211" t="s">
        <v>10771</v>
      </c>
      <c r="AN1211" t="s">
        <v>63</v>
      </c>
      <c r="AO1211" t="s">
        <v>63</v>
      </c>
      <c r="AP1211" t="s">
        <v>63</v>
      </c>
      <c r="AQ1211" t="s">
        <v>63</v>
      </c>
      <c r="AR1211" t="s">
        <v>63</v>
      </c>
      <c r="AS1211" t="s">
        <v>63</v>
      </c>
      <c r="AT1211" t="s">
        <v>63</v>
      </c>
      <c r="AU1211" t="s">
        <v>63</v>
      </c>
      <c r="AV1211" t="s">
        <v>63</v>
      </c>
      <c r="AW1211" t="s">
        <v>63</v>
      </c>
      <c r="AX1211" t="s">
        <v>63</v>
      </c>
      <c r="AY1211" t="s">
        <v>63</v>
      </c>
      <c r="AZ1211" t="s">
        <v>63</v>
      </c>
      <c r="BA1211" t="s">
        <v>63</v>
      </c>
      <c r="BB1211" t="s">
        <v>63</v>
      </c>
      <c r="BC1211" t="s">
        <v>63</v>
      </c>
      <c r="BD1211" t="s">
        <v>63</v>
      </c>
      <c r="BE1211" t="s">
        <v>63</v>
      </c>
      <c r="BF1211" t="s">
        <v>63</v>
      </c>
    </row>
    <row r="1212" spans="1:58">
      <c r="A1212" t="s">
        <v>58</v>
      </c>
      <c r="B1212" t="s">
        <v>10772</v>
      </c>
      <c r="C1212" t="s">
        <v>10773</v>
      </c>
      <c r="D1212" t="s">
        <v>3071</v>
      </c>
      <c r="E1212" t="s">
        <v>3072</v>
      </c>
      <c r="F1212">
        <v>1991</v>
      </c>
      <c r="G1212" t="s">
        <v>614</v>
      </c>
      <c r="H1212">
        <v>86</v>
      </c>
      <c r="I1212">
        <v>8</v>
      </c>
      <c r="J1212">
        <v>967</v>
      </c>
      <c r="K1212">
        <v>975</v>
      </c>
      <c r="L1212" t="s">
        <v>10774</v>
      </c>
      <c r="M1212" t="s">
        <v>10775</v>
      </c>
      <c r="N1212" t="s">
        <v>10776</v>
      </c>
      <c r="O1212" t="s">
        <v>63</v>
      </c>
      <c r="Q1212" t="s">
        <v>63</v>
      </c>
      <c r="R1212" t="s">
        <v>63</v>
      </c>
      <c r="S1212" t="s">
        <v>63</v>
      </c>
      <c r="T1212" t="s">
        <v>63</v>
      </c>
      <c r="X1212" t="s">
        <v>63</v>
      </c>
      <c r="Y1212" t="s">
        <v>3075</v>
      </c>
      <c r="Z1212" t="s">
        <v>63</v>
      </c>
      <c r="AA1212" t="s">
        <v>10777</v>
      </c>
      <c r="AB1212">
        <v>1912751</v>
      </c>
      <c r="AC1212" t="s">
        <v>67</v>
      </c>
      <c r="AD1212" t="s">
        <v>63</v>
      </c>
      <c r="AE1212" t="s">
        <v>63</v>
      </c>
      <c r="AF1212" t="s">
        <v>63</v>
      </c>
      <c r="AG1212" t="s">
        <v>10778</v>
      </c>
      <c r="AH1212" t="s">
        <v>63</v>
      </c>
      <c r="AI1212" t="s">
        <v>63</v>
      </c>
      <c r="AJ1212" t="s">
        <v>63</v>
      </c>
      <c r="AK1212" t="s">
        <v>63</v>
      </c>
      <c r="AL1212" t="s">
        <v>63</v>
      </c>
      <c r="AM1212" t="s">
        <v>10779</v>
      </c>
      <c r="AN1212" t="s">
        <v>63</v>
      </c>
      <c r="AO1212" t="s">
        <v>63</v>
      </c>
      <c r="AP1212" t="s">
        <v>63</v>
      </c>
      <c r="AQ1212" t="s">
        <v>63</v>
      </c>
      <c r="AR1212" t="s">
        <v>63</v>
      </c>
      <c r="AS1212" t="s">
        <v>63</v>
      </c>
      <c r="AT1212" t="s">
        <v>63</v>
      </c>
      <c r="AU1212" t="s">
        <v>63</v>
      </c>
      <c r="AV1212" t="s">
        <v>63</v>
      </c>
      <c r="AW1212" t="s">
        <v>63</v>
      </c>
      <c r="AX1212" t="s">
        <v>63</v>
      </c>
      <c r="AY1212" t="s">
        <v>63</v>
      </c>
      <c r="AZ1212" t="s">
        <v>63</v>
      </c>
      <c r="BA1212" t="s">
        <v>63</v>
      </c>
      <c r="BB1212" t="s">
        <v>63</v>
      </c>
      <c r="BC1212" t="s">
        <v>63</v>
      </c>
      <c r="BD1212" t="s">
        <v>63</v>
      </c>
      <c r="BE1212" t="s">
        <v>63</v>
      </c>
      <c r="BF1212" t="s">
        <v>63</v>
      </c>
    </row>
    <row r="1213" spans="1:58">
      <c r="A1213" t="s">
        <v>58</v>
      </c>
      <c r="B1213" t="s">
        <v>10780</v>
      </c>
      <c r="C1213" t="s">
        <v>10781</v>
      </c>
      <c r="D1213" t="s">
        <v>10782</v>
      </c>
      <c r="E1213" t="s">
        <v>10783</v>
      </c>
      <c r="F1213">
        <v>1988</v>
      </c>
      <c r="G1213" t="s">
        <v>198</v>
      </c>
      <c r="H1213">
        <v>25</v>
      </c>
      <c r="I1213">
        <v>1</v>
      </c>
      <c r="J1213">
        <v>84</v>
      </c>
      <c r="K1213">
        <v>90</v>
      </c>
      <c r="L1213" t="s">
        <v>10784</v>
      </c>
      <c r="M1213" t="s">
        <v>63</v>
      </c>
      <c r="N1213" t="s">
        <v>10785</v>
      </c>
      <c r="O1213" t="s">
        <v>63</v>
      </c>
      <c r="Q1213" t="s">
        <v>63</v>
      </c>
      <c r="R1213" t="s">
        <v>63</v>
      </c>
      <c r="S1213" t="s">
        <v>63</v>
      </c>
      <c r="T1213" t="s">
        <v>63</v>
      </c>
      <c r="X1213" t="s">
        <v>63</v>
      </c>
      <c r="Y1213" s="2">
        <v>857621</v>
      </c>
      <c r="Z1213" t="s">
        <v>63</v>
      </c>
      <c r="AA1213" t="s">
        <v>63</v>
      </c>
      <c r="AB1213">
        <v>3344930</v>
      </c>
      <c r="AC1213" t="s">
        <v>67</v>
      </c>
      <c r="AD1213" t="s">
        <v>63</v>
      </c>
      <c r="AE1213" t="s">
        <v>63</v>
      </c>
      <c r="AF1213" t="s">
        <v>63</v>
      </c>
      <c r="AG1213" t="s">
        <v>10786</v>
      </c>
      <c r="AH1213" t="s">
        <v>63</v>
      </c>
      <c r="AI1213" t="s">
        <v>63</v>
      </c>
      <c r="AJ1213" t="s">
        <v>63</v>
      </c>
      <c r="AK1213" t="s">
        <v>63</v>
      </c>
      <c r="AL1213" t="s">
        <v>63</v>
      </c>
      <c r="AM1213" t="s">
        <v>10787</v>
      </c>
      <c r="AN1213" t="s">
        <v>63</v>
      </c>
      <c r="AO1213" t="s">
        <v>63</v>
      </c>
      <c r="AP1213" t="s">
        <v>63</v>
      </c>
      <c r="AQ1213" t="s">
        <v>63</v>
      </c>
      <c r="AR1213" t="s">
        <v>63</v>
      </c>
      <c r="AS1213" t="s">
        <v>63</v>
      </c>
      <c r="AT1213" t="s">
        <v>63</v>
      </c>
      <c r="AU1213" t="s">
        <v>63</v>
      </c>
      <c r="AV1213" t="s">
        <v>63</v>
      </c>
      <c r="AW1213" t="s">
        <v>63</v>
      </c>
      <c r="AX1213" t="s">
        <v>63</v>
      </c>
      <c r="AY1213" t="s">
        <v>63</v>
      </c>
      <c r="AZ1213" t="s">
        <v>63</v>
      </c>
      <c r="BA1213" t="s">
        <v>63</v>
      </c>
      <c r="BB1213" t="s">
        <v>63</v>
      </c>
      <c r="BC1213" t="s">
        <v>63</v>
      </c>
      <c r="BD1213" t="s">
        <v>63</v>
      </c>
      <c r="BE1213" t="s">
        <v>63</v>
      </c>
      <c r="BF1213" t="s">
        <v>63</v>
      </c>
    </row>
    <row r="1214" spans="1:58">
      <c r="A1214" t="s">
        <v>58</v>
      </c>
      <c r="B1214" t="s">
        <v>10788</v>
      </c>
      <c r="C1214" t="s">
        <v>10789</v>
      </c>
      <c r="D1214" t="s">
        <v>10790</v>
      </c>
      <c r="E1214" t="s">
        <v>63</v>
      </c>
      <c r="F1214">
        <v>2016</v>
      </c>
      <c r="G1214" t="s">
        <v>181</v>
      </c>
      <c r="H1214">
        <v>23</v>
      </c>
      <c r="I1214">
        <v>3</v>
      </c>
      <c r="J1214">
        <v>476</v>
      </c>
      <c r="K1214">
        <v>481</v>
      </c>
      <c r="L1214" t="s">
        <v>10791</v>
      </c>
      <c r="M1214" t="s">
        <v>10792</v>
      </c>
      <c r="N1214" t="s">
        <v>10793</v>
      </c>
      <c r="O1214" t="s">
        <v>63</v>
      </c>
      <c r="Q1214" t="s">
        <v>63</v>
      </c>
      <c r="R1214" t="s">
        <v>63</v>
      </c>
      <c r="S1214" t="s">
        <v>63</v>
      </c>
      <c r="T1214" t="s">
        <v>63</v>
      </c>
      <c r="X1214" t="s">
        <v>63</v>
      </c>
      <c r="Y1214" t="s">
        <v>10794</v>
      </c>
      <c r="Z1214" t="s">
        <v>63</v>
      </c>
      <c r="AA1214" t="s">
        <v>10795</v>
      </c>
      <c r="AB1214">
        <v>27660872</v>
      </c>
      <c r="AC1214" t="s">
        <v>67</v>
      </c>
      <c r="AD1214" t="s">
        <v>63</v>
      </c>
      <c r="AE1214" t="s">
        <v>63</v>
      </c>
      <c r="AF1214" t="s">
        <v>63</v>
      </c>
      <c r="AG1214" t="s">
        <v>10796</v>
      </c>
      <c r="AH1214" t="s">
        <v>63</v>
      </c>
      <c r="AI1214" t="s">
        <v>10797</v>
      </c>
      <c r="AJ1214" t="s">
        <v>63</v>
      </c>
      <c r="AK1214" t="s">
        <v>63</v>
      </c>
      <c r="AL1214" t="s">
        <v>63</v>
      </c>
      <c r="AM1214" t="s">
        <v>10798</v>
      </c>
      <c r="AN1214" t="s">
        <v>63</v>
      </c>
      <c r="AO1214" t="s">
        <v>63</v>
      </c>
      <c r="AP1214" t="s">
        <v>63</v>
      </c>
      <c r="AQ1214" t="s">
        <v>63</v>
      </c>
      <c r="AR1214" t="s">
        <v>63</v>
      </c>
      <c r="AS1214" t="s">
        <v>63</v>
      </c>
      <c r="AT1214" t="s">
        <v>63</v>
      </c>
      <c r="AU1214" t="s">
        <v>63</v>
      </c>
      <c r="AV1214" t="s">
        <v>63</v>
      </c>
      <c r="AW1214" t="s">
        <v>63</v>
      </c>
      <c r="AX1214" t="s">
        <v>63</v>
      </c>
      <c r="AY1214" t="s">
        <v>63</v>
      </c>
      <c r="AZ1214" t="s">
        <v>63</v>
      </c>
      <c r="BA1214" t="s">
        <v>63</v>
      </c>
      <c r="BB1214" t="s">
        <v>63</v>
      </c>
      <c r="BC1214" t="s">
        <v>63</v>
      </c>
      <c r="BD1214" t="s">
        <v>63</v>
      </c>
      <c r="BE1214" t="s">
        <v>63</v>
      </c>
      <c r="BF1214" t="s">
        <v>63</v>
      </c>
    </row>
    <row r="1215" spans="1:58">
      <c r="A1215" t="s">
        <v>58</v>
      </c>
      <c r="B1215" t="s">
        <v>10799</v>
      </c>
      <c r="C1215" t="s">
        <v>10800</v>
      </c>
      <c r="D1215" t="s">
        <v>10801</v>
      </c>
      <c r="E1215" t="s">
        <v>10802</v>
      </c>
      <c r="F1215">
        <v>2005</v>
      </c>
      <c r="G1215" t="s">
        <v>274</v>
      </c>
      <c r="H1215">
        <v>29</v>
      </c>
      <c r="I1215">
        <v>3</v>
      </c>
      <c r="J1215">
        <v>267</v>
      </c>
      <c r="K1215">
        <v>268</v>
      </c>
      <c r="L1215" t="s">
        <v>10803</v>
      </c>
      <c r="M1215" t="s">
        <v>63</v>
      </c>
      <c r="N1215" t="s">
        <v>10804</v>
      </c>
      <c r="O1215" t="s">
        <v>63</v>
      </c>
      <c r="Q1215" t="s">
        <v>63</v>
      </c>
      <c r="R1215" t="s">
        <v>63</v>
      </c>
      <c r="S1215" t="s">
        <v>63</v>
      </c>
      <c r="T1215" t="s">
        <v>63</v>
      </c>
      <c r="X1215" t="s">
        <v>63</v>
      </c>
      <c r="Y1215" t="s">
        <v>10805</v>
      </c>
      <c r="Z1215" t="s">
        <v>63</v>
      </c>
      <c r="AA1215" t="s">
        <v>63</v>
      </c>
      <c r="AB1215">
        <v>15864176</v>
      </c>
      <c r="AC1215" t="s">
        <v>1371</v>
      </c>
      <c r="AD1215" t="s">
        <v>63</v>
      </c>
      <c r="AE1215" t="s">
        <v>63</v>
      </c>
      <c r="AF1215" t="s">
        <v>63</v>
      </c>
      <c r="AG1215" t="s">
        <v>10806</v>
      </c>
      <c r="AH1215" t="s">
        <v>63</v>
      </c>
      <c r="AI1215" t="s">
        <v>63</v>
      </c>
      <c r="AJ1215" t="s">
        <v>63</v>
      </c>
      <c r="AK1215" t="s">
        <v>63</v>
      </c>
      <c r="AL1215" t="s">
        <v>63</v>
      </c>
      <c r="AM1215" t="s">
        <v>10807</v>
      </c>
      <c r="AN1215" t="s">
        <v>63</v>
      </c>
      <c r="AO1215" t="s">
        <v>63</v>
      </c>
      <c r="AP1215" t="s">
        <v>63</v>
      </c>
      <c r="AQ1215" t="s">
        <v>63</v>
      </c>
      <c r="AR1215" t="s">
        <v>63</v>
      </c>
      <c r="AS1215" t="s">
        <v>63</v>
      </c>
      <c r="AT1215" t="s">
        <v>63</v>
      </c>
      <c r="AU1215" t="s">
        <v>63</v>
      </c>
      <c r="AV1215" t="s">
        <v>63</v>
      </c>
      <c r="AW1215" t="s">
        <v>63</v>
      </c>
      <c r="AX1215" t="s">
        <v>63</v>
      </c>
      <c r="AY1215" t="s">
        <v>63</v>
      </c>
      <c r="AZ1215" t="s">
        <v>63</v>
      </c>
      <c r="BA1215" t="s">
        <v>63</v>
      </c>
      <c r="BB1215" t="s">
        <v>63</v>
      </c>
      <c r="BC1215" t="s">
        <v>63</v>
      </c>
      <c r="BD1215" t="s">
        <v>63</v>
      </c>
      <c r="BE1215" t="s">
        <v>63</v>
      </c>
      <c r="BF1215" t="s">
        <v>63</v>
      </c>
    </row>
    <row r="1216" spans="1:58">
      <c r="A1216" t="s">
        <v>58</v>
      </c>
      <c r="B1216" t="s">
        <v>10808</v>
      </c>
      <c r="C1216" t="s">
        <v>10809</v>
      </c>
      <c r="D1216" t="s">
        <v>2036</v>
      </c>
      <c r="E1216" t="s">
        <v>63</v>
      </c>
      <c r="F1216">
        <v>2016</v>
      </c>
      <c r="G1216" t="s">
        <v>10810</v>
      </c>
      <c r="H1216">
        <v>168</v>
      </c>
      <c r="I1216" t="s">
        <v>63</v>
      </c>
      <c r="J1216">
        <v>320</v>
      </c>
      <c r="K1216">
        <v>327</v>
      </c>
      <c r="L1216" t="s">
        <v>10811</v>
      </c>
      <c r="M1216" t="s">
        <v>10812</v>
      </c>
      <c r="N1216" t="s">
        <v>10813</v>
      </c>
      <c r="O1216" t="s">
        <v>63</v>
      </c>
      <c r="Q1216" t="s">
        <v>63</v>
      </c>
      <c r="R1216" t="s">
        <v>63</v>
      </c>
      <c r="S1216" t="s">
        <v>63</v>
      </c>
      <c r="T1216" t="s">
        <v>63</v>
      </c>
      <c r="X1216" t="s">
        <v>63</v>
      </c>
      <c r="Y1216" t="s">
        <v>2040</v>
      </c>
      <c r="Z1216" t="s">
        <v>63</v>
      </c>
      <c r="AA1216" t="s">
        <v>10814</v>
      </c>
      <c r="AB1216">
        <v>27742490</v>
      </c>
      <c r="AC1216" t="s">
        <v>67</v>
      </c>
      <c r="AD1216" t="s">
        <v>63</v>
      </c>
      <c r="AE1216" t="s">
        <v>63</v>
      </c>
      <c r="AF1216" t="s">
        <v>63</v>
      </c>
      <c r="AG1216" t="s">
        <v>10815</v>
      </c>
      <c r="AH1216" t="s">
        <v>63</v>
      </c>
      <c r="AI1216" t="s">
        <v>10816</v>
      </c>
      <c r="AJ1216" t="s">
        <v>63</v>
      </c>
      <c r="AK1216" t="s">
        <v>63</v>
      </c>
      <c r="AL1216" t="s">
        <v>63</v>
      </c>
      <c r="AM1216" t="s">
        <v>10817</v>
      </c>
      <c r="AN1216" t="s">
        <v>63</v>
      </c>
      <c r="AO1216" t="s">
        <v>63</v>
      </c>
      <c r="AP1216" t="s">
        <v>63</v>
      </c>
      <c r="AQ1216" t="s">
        <v>63</v>
      </c>
      <c r="AR1216" t="s">
        <v>63</v>
      </c>
      <c r="AS1216" t="s">
        <v>63</v>
      </c>
      <c r="AT1216" t="s">
        <v>63</v>
      </c>
      <c r="AU1216" t="s">
        <v>63</v>
      </c>
      <c r="AV1216" t="s">
        <v>63</v>
      </c>
      <c r="AW1216" t="s">
        <v>63</v>
      </c>
      <c r="AX1216" t="s">
        <v>63</v>
      </c>
      <c r="AY1216" t="s">
        <v>63</v>
      </c>
      <c r="AZ1216" t="s">
        <v>63</v>
      </c>
      <c r="BA1216" t="s">
        <v>63</v>
      </c>
      <c r="BB1216" t="s">
        <v>63</v>
      </c>
      <c r="BC1216" t="s">
        <v>63</v>
      </c>
      <c r="BD1216" t="s">
        <v>63</v>
      </c>
      <c r="BE1216" t="s">
        <v>63</v>
      </c>
      <c r="BF1216" t="s">
        <v>63</v>
      </c>
    </row>
    <row r="1217" spans="1:58">
      <c r="A1217" t="s">
        <v>58</v>
      </c>
      <c r="B1217" t="s">
        <v>10818</v>
      </c>
      <c r="C1217" t="s">
        <v>10819</v>
      </c>
      <c r="D1217" t="s">
        <v>10820</v>
      </c>
      <c r="E1217" t="s">
        <v>10821</v>
      </c>
      <c r="F1217">
        <v>1975</v>
      </c>
      <c r="G1217" s="1">
        <v>41805</v>
      </c>
      <c r="H1217">
        <v>65</v>
      </c>
      <c r="I1217">
        <v>12</v>
      </c>
      <c r="J1217">
        <v>595</v>
      </c>
      <c r="K1217">
        <v>596</v>
      </c>
      <c r="L1217" t="s">
        <v>10822</v>
      </c>
      <c r="M1217" t="s">
        <v>63</v>
      </c>
      <c r="N1217" t="s">
        <v>10823</v>
      </c>
      <c r="O1217" t="s">
        <v>63</v>
      </c>
      <c r="Q1217" t="s">
        <v>63</v>
      </c>
      <c r="R1217" t="s">
        <v>63</v>
      </c>
      <c r="S1217" t="s">
        <v>63</v>
      </c>
      <c r="T1217" t="s">
        <v>63</v>
      </c>
      <c r="X1217" t="s">
        <v>63</v>
      </c>
      <c r="Y1217" t="s">
        <v>10824</v>
      </c>
      <c r="Z1217" t="s">
        <v>63</v>
      </c>
      <c r="AA1217" t="s">
        <v>63</v>
      </c>
      <c r="AB1217">
        <v>1060282</v>
      </c>
      <c r="AC1217" t="s">
        <v>102</v>
      </c>
      <c r="AD1217" t="s">
        <v>63</v>
      </c>
      <c r="AE1217" t="s">
        <v>63</v>
      </c>
      <c r="AF1217" t="s">
        <v>63</v>
      </c>
      <c r="AG1217" t="s">
        <v>10825</v>
      </c>
      <c r="AH1217" t="s">
        <v>63</v>
      </c>
      <c r="AI1217" t="s">
        <v>63</v>
      </c>
      <c r="AJ1217" t="s">
        <v>63</v>
      </c>
      <c r="AK1217" t="s">
        <v>63</v>
      </c>
      <c r="AL1217" t="s">
        <v>63</v>
      </c>
      <c r="AM1217" t="s">
        <v>10826</v>
      </c>
      <c r="AN1217" t="s">
        <v>63</v>
      </c>
      <c r="AO1217" t="s">
        <v>63</v>
      </c>
      <c r="AP1217" t="s">
        <v>63</v>
      </c>
      <c r="AQ1217" t="s">
        <v>63</v>
      </c>
      <c r="AR1217" t="s">
        <v>63</v>
      </c>
      <c r="AS1217" t="s">
        <v>63</v>
      </c>
      <c r="AT1217" t="s">
        <v>63</v>
      </c>
      <c r="AU1217" t="s">
        <v>63</v>
      </c>
      <c r="AV1217" t="s">
        <v>63</v>
      </c>
      <c r="AW1217" t="s">
        <v>63</v>
      </c>
      <c r="AX1217" t="s">
        <v>63</v>
      </c>
      <c r="AY1217" t="s">
        <v>63</v>
      </c>
      <c r="AZ1217" t="s">
        <v>63</v>
      </c>
      <c r="BA1217" t="s">
        <v>63</v>
      </c>
      <c r="BB1217" t="s">
        <v>63</v>
      </c>
      <c r="BC1217" t="s">
        <v>63</v>
      </c>
      <c r="BD1217" t="s">
        <v>63</v>
      </c>
      <c r="BE1217" t="s">
        <v>63</v>
      </c>
      <c r="BF1217" t="s">
        <v>63</v>
      </c>
    </row>
    <row r="1218" spans="1:58">
      <c r="A1218" t="s">
        <v>58</v>
      </c>
      <c r="B1218" t="s">
        <v>10827</v>
      </c>
      <c r="C1218" t="s">
        <v>10828</v>
      </c>
      <c r="D1218" t="s">
        <v>1184</v>
      </c>
      <c r="E1218" t="s">
        <v>1185</v>
      </c>
      <c r="F1218">
        <v>1978</v>
      </c>
      <c r="G1218" t="s">
        <v>138</v>
      </c>
      <c r="H1218">
        <v>53</v>
      </c>
      <c r="I1218">
        <v>10</v>
      </c>
      <c r="J1218">
        <v>816</v>
      </c>
      <c r="K1218">
        <v>824</v>
      </c>
      <c r="L1218" t="s">
        <v>10829</v>
      </c>
      <c r="M1218" t="s">
        <v>10830</v>
      </c>
      <c r="N1218" t="s">
        <v>10831</v>
      </c>
      <c r="O1218" t="s">
        <v>63</v>
      </c>
      <c r="Q1218" t="s">
        <v>63</v>
      </c>
      <c r="R1218" t="s">
        <v>63</v>
      </c>
      <c r="S1218" t="s">
        <v>63</v>
      </c>
      <c r="T1218" t="s">
        <v>63</v>
      </c>
      <c r="X1218" t="s">
        <v>63</v>
      </c>
      <c r="Y1218" t="s">
        <v>1188</v>
      </c>
      <c r="Z1218" t="s">
        <v>63</v>
      </c>
      <c r="AA1218" t="s">
        <v>63</v>
      </c>
      <c r="AB1218">
        <v>581388</v>
      </c>
      <c r="AC1218" t="s">
        <v>67</v>
      </c>
      <c r="AD1218" t="s">
        <v>63</v>
      </c>
      <c r="AE1218" t="s">
        <v>63</v>
      </c>
      <c r="AF1218" t="s">
        <v>63</v>
      </c>
      <c r="AG1218" t="s">
        <v>10832</v>
      </c>
      <c r="AH1218" t="s">
        <v>63</v>
      </c>
      <c r="AI1218" t="s">
        <v>63</v>
      </c>
      <c r="AJ1218" t="s">
        <v>63</v>
      </c>
      <c r="AK1218" t="s">
        <v>63</v>
      </c>
      <c r="AL1218" t="s">
        <v>63</v>
      </c>
      <c r="AM1218" t="s">
        <v>10833</v>
      </c>
      <c r="AN1218" t="s">
        <v>63</v>
      </c>
      <c r="AO1218" t="s">
        <v>63</v>
      </c>
      <c r="AP1218" t="s">
        <v>63</v>
      </c>
      <c r="AQ1218" t="s">
        <v>63</v>
      </c>
      <c r="AR1218" t="s">
        <v>63</v>
      </c>
      <c r="AS1218" t="s">
        <v>63</v>
      </c>
      <c r="AT1218" t="s">
        <v>63</v>
      </c>
      <c r="AU1218" t="s">
        <v>63</v>
      </c>
      <c r="AV1218" t="s">
        <v>63</v>
      </c>
      <c r="AW1218" t="s">
        <v>63</v>
      </c>
      <c r="AX1218" t="s">
        <v>63</v>
      </c>
      <c r="AY1218" t="s">
        <v>63</v>
      </c>
      <c r="AZ1218" t="s">
        <v>63</v>
      </c>
      <c r="BA1218" t="s">
        <v>63</v>
      </c>
      <c r="BB1218" t="s">
        <v>63</v>
      </c>
      <c r="BC1218" t="s">
        <v>63</v>
      </c>
      <c r="BD1218" t="s">
        <v>63</v>
      </c>
      <c r="BE1218" t="s">
        <v>63</v>
      </c>
      <c r="BF1218" t="s">
        <v>63</v>
      </c>
    </row>
    <row r="1219" spans="1:58">
      <c r="A1219" t="s">
        <v>58</v>
      </c>
      <c r="B1219" t="s">
        <v>10834</v>
      </c>
      <c r="C1219" t="s">
        <v>10835</v>
      </c>
      <c r="D1219" t="s">
        <v>1184</v>
      </c>
      <c r="E1219" t="s">
        <v>1185</v>
      </c>
      <c r="F1219">
        <v>1983</v>
      </c>
      <c r="G1219" t="s">
        <v>84</v>
      </c>
      <c r="H1219">
        <v>58</v>
      </c>
      <c r="I1219">
        <v>4</v>
      </c>
      <c r="J1219">
        <v>316</v>
      </c>
      <c r="K1219">
        <v>321</v>
      </c>
      <c r="L1219" t="s">
        <v>10836</v>
      </c>
      <c r="M1219" t="s">
        <v>10837</v>
      </c>
      <c r="N1219" t="s">
        <v>10838</v>
      </c>
      <c r="O1219" t="s">
        <v>63</v>
      </c>
      <c r="Q1219" t="s">
        <v>63</v>
      </c>
      <c r="R1219" t="s">
        <v>63</v>
      </c>
      <c r="S1219" t="s">
        <v>63</v>
      </c>
      <c r="T1219" t="s">
        <v>63</v>
      </c>
      <c r="X1219" t="s">
        <v>63</v>
      </c>
      <c r="Y1219" t="s">
        <v>1188</v>
      </c>
      <c r="Z1219" t="s">
        <v>63</v>
      </c>
      <c r="AA1219" t="s">
        <v>63</v>
      </c>
      <c r="AB1219">
        <v>6834409</v>
      </c>
      <c r="AC1219" t="s">
        <v>67</v>
      </c>
      <c r="AD1219" t="s">
        <v>63</v>
      </c>
      <c r="AE1219" t="s">
        <v>63</v>
      </c>
      <c r="AF1219" t="s">
        <v>63</v>
      </c>
      <c r="AG1219" t="s">
        <v>10839</v>
      </c>
      <c r="AH1219" t="s">
        <v>63</v>
      </c>
      <c r="AI1219" t="s">
        <v>63</v>
      </c>
      <c r="AJ1219" t="s">
        <v>63</v>
      </c>
      <c r="AK1219" t="s">
        <v>63</v>
      </c>
      <c r="AL1219" t="s">
        <v>63</v>
      </c>
      <c r="AM1219" t="s">
        <v>10840</v>
      </c>
      <c r="AN1219" t="s">
        <v>63</v>
      </c>
      <c r="AO1219" t="s">
        <v>63</v>
      </c>
      <c r="AP1219" t="s">
        <v>63</v>
      </c>
      <c r="AQ1219" t="s">
        <v>63</v>
      </c>
      <c r="AR1219" t="s">
        <v>63</v>
      </c>
      <c r="AS1219" t="s">
        <v>63</v>
      </c>
      <c r="AT1219" t="s">
        <v>63</v>
      </c>
      <c r="AU1219" t="s">
        <v>63</v>
      </c>
      <c r="AV1219" t="s">
        <v>63</v>
      </c>
      <c r="AW1219" t="s">
        <v>63</v>
      </c>
      <c r="AX1219" t="s">
        <v>63</v>
      </c>
      <c r="AY1219" t="s">
        <v>63</v>
      </c>
      <c r="AZ1219" t="s">
        <v>63</v>
      </c>
      <c r="BA1219" t="s">
        <v>63</v>
      </c>
      <c r="BB1219" t="s">
        <v>63</v>
      </c>
      <c r="BC1219" t="s">
        <v>63</v>
      </c>
      <c r="BD1219" t="s">
        <v>63</v>
      </c>
      <c r="BE1219" t="s">
        <v>63</v>
      </c>
      <c r="BF1219" t="s">
        <v>63</v>
      </c>
    </row>
    <row r="1220" spans="1:58">
      <c r="A1220" t="s">
        <v>58</v>
      </c>
      <c r="B1220" t="s">
        <v>10841</v>
      </c>
      <c r="C1220" t="s">
        <v>10842</v>
      </c>
      <c r="D1220" t="s">
        <v>10843</v>
      </c>
      <c r="E1220" t="s">
        <v>10844</v>
      </c>
      <c r="F1220">
        <v>2008</v>
      </c>
      <c r="G1220" t="s">
        <v>138</v>
      </c>
      <c r="H1220">
        <v>10</v>
      </c>
      <c r="I1220">
        <v>5</v>
      </c>
      <c r="J1220">
        <v>399</v>
      </c>
      <c r="K1220">
        <v>404</v>
      </c>
      <c r="L1220" t="s">
        <v>10845</v>
      </c>
      <c r="M1220" t="s">
        <v>10846</v>
      </c>
      <c r="N1220" t="s">
        <v>10847</v>
      </c>
      <c r="O1220" t="s">
        <v>63</v>
      </c>
      <c r="Q1220" t="s">
        <v>63</v>
      </c>
      <c r="R1220" t="s">
        <v>63</v>
      </c>
      <c r="S1220" t="s">
        <v>63</v>
      </c>
      <c r="T1220" t="s">
        <v>63</v>
      </c>
      <c r="X1220" t="s">
        <v>63</v>
      </c>
      <c r="Y1220" t="s">
        <v>10848</v>
      </c>
      <c r="Z1220" t="s">
        <v>63</v>
      </c>
      <c r="AA1220" t="s">
        <v>10849</v>
      </c>
      <c r="AB1220">
        <v>18803913</v>
      </c>
      <c r="AC1220" t="s">
        <v>67</v>
      </c>
      <c r="AD1220" t="s">
        <v>63</v>
      </c>
      <c r="AE1220" t="s">
        <v>63</v>
      </c>
      <c r="AF1220" t="s">
        <v>63</v>
      </c>
      <c r="AG1220" t="s">
        <v>10850</v>
      </c>
      <c r="AH1220" t="s">
        <v>63</v>
      </c>
      <c r="AI1220" t="s">
        <v>63</v>
      </c>
      <c r="AJ1220" t="s">
        <v>63</v>
      </c>
      <c r="AK1220" t="s">
        <v>63</v>
      </c>
      <c r="AL1220" t="s">
        <v>63</v>
      </c>
      <c r="AM1220" t="s">
        <v>10851</v>
      </c>
      <c r="AN1220" t="s">
        <v>63</v>
      </c>
      <c r="AO1220" t="s">
        <v>63</v>
      </c>
      <c r="AP1220" t="s">
        <v>63</v>
      </c>
      <c r="AQ1220" t="s">
        <v>63</v>
      </c>
      <c r="AR1220" t="s">
        <v>63</v>
      </c>
      <c r="AS1220" t="s">
        <v>63</v>
      </c>
      <c r="AT1220" t="s">
        <v>63</v>
      </c>
      <c r="AU1220" t="s">
        <v>63</v>
      </c>
      <c r="AV1220" t="s">
        <v>63</v>
      </c>
      <c r="AW1220" t="s">
        <v>63</v>
      </c>
      <c r="AX1220" t="s">
        <v>63</v>
      </c>
      <c r="AY1220" t="s">
        <v>63</v>
      </c>
      <c r="AZ1220" t="s">
        <v>63</v>
      </c>
      <c r="BA1220" t="s">
        <v>63</v>
      </c>
      <c r="BB1220" t="s">
        <v>63</v>
      </c>
      <c r="BC1220" t="s">
        <v>63</v>
      </c>
      <c r="BD1220" t="s">
        <v>63</v>
      </c>
      <c r="BE1220" t="s">
        <v>63</v>
      </c>
      <c r="BF1220" t="s">
        <v>63</v>
      </c>
    </row>
    <row r="1221" spans="1:58">
      <c r="A1221" t="s">
        <v>58</v>
      </c>
      <c r="B1221" t="s">
        <v>10852</v>
      </c>
      <c r="C1221" t="s">
        <v>10853</v>
      </c>
      <c r="D1221" t="s">
        <v>1281</v>
      </c>
      <c r="E1221" t="s">
        <v>1282</v>
      </c>
      <c r="F1221">
        <v>2010</v>
      </c>
      <c r="G1221" t="s">
        <v>189</v>
      </c>
      <c r="H1221" t="s">
        <v>10854</v>
      </c>
      <c r="I1221" t="s">
        <v>63</v>
      </c>
      <c r="J1221">
        <v>68</v>
      </c>
      <c r="K1221">
        <v>73</v>
      </c>
      <c r="L1221" t="s">
        <v>10855</v>
      </c>
      <c r="M1221" t="s">
        <v>10856</v>
      </c>
      <c r="N1221" t="s">
        <v>10857</v>
      </c>
      <c r="O1221" t="s">
        <v>63</v>
      </c>
      <c r="Q1221" t="s">
        <v>63</v>
      </c>
      <c r="R1221" t="s">
        <v>63</v>
      </c>
      <c r="S1221" t="s">
        <v>63</v>
      </c>
      <c r="T1221" t="s">
        <v>63</v>
      </c>
      <c r="X1221" t="s">
        <v>63</v>
      </c>
      <c r="Y1221" t="s">
        <v>10858</v>
      </c>
      <c r="Z1221" t="s">
        <v>63</v>
      </c>
      <c r="AA1221" t="s">
        <v>10859</v>
      </c>
      <c r="AB1221">
        <v>20517676</v>
      </c>
      <c r="AC1221" t="s">
        <v>67</v>
      </c>
      <c r="AD1221" t="s">
        <v>63</v>
      </c>
      <c r="AE1221" t="s">
        <v>63</v>
      </c>
      <c r="AF1221" t="s">
        <v>63</v>
      </c>
      <c r="AG1221" t="s">
        <v>10860</v>
      </c>
      <c r="AH1221" t="s">
        <v>63</v>
      </c>
      <c r="AI1221" t="s">
        <v>10861</v>
      </c>
      <c r="AJ1221" t="s">
        <v>63</v>
      </c>
      <c r="AK1221" t="s">
        <v>63</v>
      </c>
      <c r="AL1221" t="s">
        <v>63</v>
      </c>
      <c r="AM1221" t="s">
        <v>10862</v>
      </c>
      <c r="AN1221" t="s">
        <v>63</v>
      </c>
      <c r="AO1221" t="s">
        <v>63</v>
      </c>
      <c r="AP1221" t="s">
        <v>63</v>
      </c>
      <c r="AQ1221" t="s">
        <v>63</v>
      </c>
      <c r="AR1221" t="s">
        <v>63</v>
      </c>
      <c r="AS1221" t="s">
        <v>63</v>
      </c>
      <c r="AT1221" t="s">
        <v>63</v>
      </c>
      <c r="AU1221" t="s">
        <v>63</v>
      </c>
      <c r="AV1221" t="s">
        <v>63</v>
      </c>
      <c r="AW1221" t="s">
        <v>63</v>
      </c>
      <c r="AX1221" t="s">
        <v>63</v>
      </c>
      <c r="AY1221" t="s">
        <v>63</v>
      </c>
      <c r="AZ1221" t="s">
        <v>63</v>
      </c>
      <c r="BA1221" t="s">
        <v>63</v>
      </c>
      <c r="BB1221" t="s">
        <v>63</v>
      </c>
      <c r="BC1221" t="s">
        <v>63</v>
      </c>
      <c r="BD1221" t="s">
        <v>63</v>
      </c>
      <c r="BE1221" t="s">
        <v>63</v>
      </c>
      <c r="BF1221" t="s">
        <v>63</v>
      </c>
    </row>
    <row r="1222" spans="1:58">
      <c r="A1222" t="s">
        <v>58</v>
      </c>
      <c r="B1222" t="s">
        <v>10863</v>
      </c>
      <c r="C1222" t="s">
        <v>10864</v>
      </c>
      <c r="D1222" t="s">
        <v>2576</v>
      </c>
      <c r="E1222" t="s">
        <v>2577</v>
      </c>
      <c r="F1222">
        <v>1971</v>
      </c>
      <c r="G1222" s="1">
        <v>41726</v>
      </c>
      <c r="H1222">
        <v>178</v>
      </c>
      <c r="I1222" t="s">
        <v>63</v>
      </c>
      <c r="J1222">
        <v>39</v>
      </c>
      <c r="K1222">
        <v>42</v>
      </c>
      <c r="L1222" t="s">
        <v>10865</v>
      </c>
      <c r="M1222" t="s">
        <v>63</v>
      </c>
      <c r="N1222" t="s">
        <v>10866</v>
      </c>
      <c r="O1222" t="s">
        <v>63</v>
      </c>
      <c r="Q1222" t="s">
        <v>63</v>
      </c>
      <c r="R1222" t="s">
        <v>63</v>
      </c>
      <c r="S1222" t="s">
        <v>63</v>
      </c>
      <c r="T1222" t="s">
        <v>63</v>
      </c>
      <c r="X1222" t="s">
        <v>63</v>
      </c>
      <c r="Y1222" t="s">
        <v>2580</v>
      </c>
      <c r="Z1222" t="s">
        <v>63</v>
      </c>
      <c r="AA1222" t="s">
        <v>63</v>
      </c>
      <c r="AB1222">
        <v>5282652</v>
      </c>
      <c r="AC1222" t="s">
        <v>67</v>
      </c>
      <c r="AD1222" t="s">
        <v>63</v>
      </c>
      <c r="AE1222" t="s">
        <v>63</v>
      </c>
      <c r="AF1222" t="s">
        <v>63</v>
      </c>
      <c r="AG1222" t="s">
        <v>10867</v>
      </c>
      <c r="AH1222" t="s">
        <v>63</v>
      </c>
      <c r="AI1222" t="s">
        <v>63</v>
      </c>
      <c r="AJ1222" t="s">
        <v>63</v>
      </c>
      <c r="AK1222" t="s">
        <v>63</v>
      </c>
      <c r="AL1222" t="s">
        <v>63</v>
      </c>
      <c r="AM1222" t="s">
        <v>10868</v>
      </c>
      <c r="AN1222" t="s">
        <v>63</v>
      </c>
      <c r="AO1222" t="s">
        <v>63</v>
      </c>
      <c r="AP1222" t="s">
        <v>63</v>
      </c>
      <c r="AQ1222" t="s">
        <v>63</v>
      </c>
      <c r="AR1222" t="s">
        <v>63</v>
      </c>
      <c r="AS1222" t="s">
        <v>63</v>
      </c>
      <c r="AT1222" t="s">
        <v>63</v>
      </c>
      <c r="AU1222" t="s">
        <v>63</v>
      </c>
      <c r="AV1222" t="s">
        <v>63</v>
      </c>
      <c r="AW1222" t="s">
        <v>63</v>
      </c>
      <c r="AX1222" t="s">
        <v>63</v>
      </c>
      <c r="AY1222" t="s">
        <v>63</v>
      </c>
      <c r="AZ1222" t="s">
        <v>63</v>
      </c>
      <c r="BA1222" t="s">
        <v>63</v>
      </c>
      <c r="BB1222" t="s">
        <v>63</v>
      </c>
      <c r="BC1222" t="s">
        <v>63</v>
      </c>
      <c r="BD1222" t="s">
        <v>63</v>
      </c>
      <c r="BE1222" t="s">
        <v>63</v>
      </c>
      <c r="BF1222" t="s">
        <v>63</v>
      </c>
    </row>
    <row r="1223" spans="1:58">
      <c r="A1223" t="s">
        <v>58</v>
      </c>
      <c r="B1223" t="s">
        <v>10869</v>
      </c>
      <c r="C1223" t="s">
        <v>10870</v>
      </c>
      <c r="D1223" t="s">
        <v>10871</v>
      </c>
      <c r="E1223" t="s">
        <v>63</v>
      </c>
      <c r="F1223">
        <v>1992</v>
      </c>
      <c r="G1223" t="s">
        <v>1670</v>
      </c>
      <c r="H1223">
        <v>18</v>
      </c>
      <c r="I1223">
        <v>1</v>
      </c>
      <c r="J1223">
        <v>33</v>
      </c>
      <c r="K1223">
        <v>47</v>
      </c>
      <c r="L1223" t="s">
        <v>10872</v>
      </c>
      <c r="M1223" t="s">
        <v>10873</v>
      </c>
      <c r="N1223" t="s">
        <v>10874</v>
      </c>
      <c r="O1223" t="s">
        <v>63</v>
      </c>
      <c r="Q1223" t="s">
        <v>63</v>
      </c>
      <c r="R1223" t="s">
        <v>63</v>
      </c>
      <c r="S1223" t="s">
        <v>63</v>
      </c>
      <c r="T1223" t="s">
        <v>63</v>
      </c>
      <c r="X1223" t="s">
        <v>63</v>
      </c>
      <c r="Y1223" t="s">
        <v>10875</v>
      </c>
      <c r="Z1223" t="s">
        <v>63</v>
      </c>
      <c r="AA1223" t="s">
        <v>10876</v>
      </c>
      <c r="AB1223">
        <v>10171090</v>
      </c>
      <c r="AC1223" t="s">
        <v>67</v>
      </c>
      <c r="AD1223" t="s">
        <v>63</v>
      </c>
      <c r="AE1223" t="s">
        <v>63</v>
      </c>
      <c r="AF1223" t="s">
        <v>63</v>
      </c>
      <c r="AG1223" t="s">
        <v>10877</v>
      </c>
      <c r="AH1223" t="s">
        <v>63</v>
      </c>
      <c r="AI1223" t="s">
        <v>63</v>
      </c>
      <c r="AJ1223" t="s">
        <v>63</v>
      </c>
      <c r="AK1223" t="s">
        <v>63</v>
      </c>
      <c r="AL1223" t="s">
        <v>63</v>
      </c>
      <c r="AM1223" t="s">
        <v>10878</v>
      </c>
      <c r="AN1223" t="s">
        <v>63</v>
      </c>
      <c r="AO1223" t="s">
        <v>63</v>
      </c>
      <c r="AP1223" t="s">
        <v>63</v>
      </c>
      <c r="AQ1223" t="s">
        <v>63</v>
      </c>
      <c r="AR1223" t="s">
        <v>63</v>
      </c>
      <c r="AS1223" t="s">
        <v>63</v>
      </c>
      <c r="AT1223" t="s">
        <v>63</v>
      </c>
      <c r="AU1223" t="s">
        <v>63</v>
      </c>
      <c r="AV1223" t="s">
        <v>63</v>
      </c>
      <c r="AW1223" t="s">
        <v>63</v>
      </c>
      <c r="AX1223" t="s">
        <v>63</v>
      </c>
      <c r="AY1223" t="s">
        <v>63</v>
      </c>
      <c r="AZ1223" t="s">
        <v>63</v>
      </c>
      <c r="BA1223" t="s">
        <v>63</v>
      </c>
      <c r="BB1223" t="s">
        <v>63</v>
      </c>
      <c r="BC1223" t="s">
        <v>63</v>
      </c>
      <c r="BD1223" t="s">
        <v>63</v>
      </c>
      <c r="BE1223" t="s">
        <v>63</v>
      </c>
      <c r="BF1223" t="s">
        <v>63</v>
      </c>
    </row>
    <row r="1224" spans="1:58">
      <c r="A1224" t="s">
        <v>58</v>
      </c>
      <c r="B1224" t="s">
        <v>10879</v>
      </c>
      <c r="C1224" t="s">
        <v>10880</v>
      </c>
      <c r="D1224" t="s">
        <v>10881</v>
      </c>
      <c r="E1224" t="s">
        <v>63</v>
      </c>
      <c r="F1224">
        <v>2003</v>
      </c>
      <c r="G1224" t="s">
        <v>181</v>
      </c>
      <c r="H1224">
        <v>30</v>
      </c>
      <c r="I1224">
        <v>3</v>
      </c>
      <c r="J1224">
        <v>583</v>
      </c>
      <c r="K1224" t="s">
        <v>10882</v>
      </c>
      <c r="L1224" t="s">
        <v>10883</v>
      </c>
      <c r="M1224" t="s">
        <v>10884</v>
      </c>
      <c r="N1224" t="s">
        <v>10885</v>
      </c>
      <c r="O1224" t="s">
        <v>63</v>
      </c>
      <c r="Q1224" t="s">
        <v>63</v>
      </c>
      <c r="R1224" t="s">
        <v>63</v>
      </c>
      <c r="S1224" t="s">
        <v>63</v>
      </c>
      <c r="T1224" t="s">
        <v>63</v>
      </c>
      <c r="X1224" t="s">
        <v>63</v>
      </c>
      <c r="Y1224" t="s">
        <v>10886</v>
      </c>
      <c r="Z1224" t="s">
        <v>63</v>
      </c>
      <c r="AA1224" t="s">
        <v>10887</v>
      </c>
      <c r="AB1224">
        <v>14664328</v>
      </c>
      <c r="AC1224" t="s">
        <v>67</v>
      </c>
      <c r="AD1224" t="s">
        <v>63</v>
      </c>
      <c r="AE1224" t="s">
        <v>63</v>
      </c>
      <c r="AF1224" t="s">
        <v>63</v>
      </c>
      <c r="AG1224" t="s">
        <v>10888</v>
      </c>
      <c r="AH1224" t="s">
        <v>63</v>
      </c>
      <c r="AI1224" t="s">
        <v>63</v>
      </c>
      <c r="AJ1224" t="s">
        <v>63</v>
      </c>
      <c r="AK1224" t="s">
        <v>63</v>
      </c>
      <c r="AL1224" t="s">
        <v>63</v>
      </c>
      <c r="AM1224" t="s">
        <v>10889</v>
      </c>
      <c r="AN1224" t="s">
        <v>63</v>
      </c>
      <c r="AO1224" t="s">
        <v>63</v>
      </c>
      <c r="AP1224" t="s">
        <v>63</v>
      </c>
      <c r="AQ1224" t="s">
        <v>63</v>
      </c>
      <c r="AR1224" t="s">
        <v>63</v>
      </c>
      <c r="AS1224" t="s">
        <v>63</v>
      </c>
      <c r="AT1224" t="s">
        <v>63</v>
      </c>
      <c r="AU1224" t="s">
        <v>63</v>
      </c>
      <c r="AV1224" t="s">
        <v>63</v>
      </c>
      <c r="AW1224" t="s">
        <v>63</v>
      </c>
      <c r="AX1224" t="s">
        <v>63</v>
      </c>
      <c r="AY1224" t="s">
        <v>63</v>
      </c>
      <c r="AZ1224" t="s">
        <v>63</v>
      </c>
      <c r="BA1224" t="s">
        <v>63</v>
      </c>
      <c r="BB1224" t="s">
        <v>63</v>
      </c>
      <c r="BC1224" t="s">
        <v>63</v>
      </c>
      <c r="BD1224" t="s">
        <v>63</v>
      </c>
      <c r="BE1224" t="s">
        <v>63</v>
      </c>
      <c r="BF1224" t="s">
        <v>63</v>
      </c>
    </row>
    <row r="1225" spans="1:58">
      <c r="A1225" t="s">
        <v>58</v>
      </c>
      <c r="B1225" t="s">
        <v>10890</v>
      </c>
      <c r="C1225" t="s">
        <v>10891</v>
      </c>
      <c r="D1225" t="s">
        <v>6306</v>
      </c>
      <c r="E1225" t="s">
        <v>63</v>
      </c>
      <c r="F1225">
        <v>2010</v>
      </c>
      <c r="G1225" t="s">
        <v>181</v>
      </c>
      <c r="H1225">
        <v>25</v>
      </c>
      <c r="I1225">
        <v>3</v>
      </c>
      <c r="J1225">
        <v>290</v>
      </c>
      <c r="K1225">
        <v>296</v>
      </c>
      <c r="L1225" t="s">
        <v>10892</v>
      </c>
      <c r="M1225" t="s">
        <v>10893</v>
      </c>
      <c r="N1225" t="s">
        <v>10894</v>
      </c>
      <c r="O1225" t="s">
        <v>63</v>
      </c>
      <c r="Q1225" t="s">
        <v>63</v>
      </c>
      <c r="R1225" t="s">
        <v>63</v>
      </c>
      <c r="S1225" t="s">
        <v>63</v>
      </c>
      <c r="T1225" t="s">
        <v>63</v>
      </c>
      <c r="X1225" t="s">
        <v>63</v>
      </c>
      <c r="Y1225" t="s">
        <v>6310</v>
      </c>
      <c r="Z1225" t="s">
        <v>63</v>
      </c>
      <c r="AA1225" t="s">
        <v>10895</v>
      </c>
      <c r="AB1225">
        <v>20559787</v>
      </c>
      <c r="AC1225" t="s">
        <v>67</v>
      </c>
      <c r="AD1225" t="s">
        <v>63</v>
      </c>
      <c r="AE1225" t="s">
        <v>63</v>
      </c>
      <c r="AF1225" t="s">
        <v>63</v>
      </c>
      <c r="AG1225" t="s">
        <v>10896</v>
      </c>
      <c r="AH1225" t="s">
        <v>63</v>
      </c>
      <c r="AI1225" t="s">
        <v>10897</v>
      </c>
      <c r="AJ1225" t="s">
        <v>63</v>
      </c>
      <c r="AK1225" t="s">
        <v>63</v>
      </c>
      <c r="AL1225" t="s">
        <v>63</v>
      </c>
      <c r="AM1225" t="s">
        <v>10898</v>
      </c>
      <c r="AN1225" t="s">
        <v>63</v>
      </c>
      <c r="AO1225" t="s">
        <v>63</v>
      </c>
      <c r="AP1225" t="s">
        <v>63</v>
      </c>
      <c r="AQ1225" t="s">
        <v>63</v>
      </c>
      <c r="AR1225" t="s">
        <v>63</v>
      </c>
      <c r="AS1225" t="s">
        <v>63</v>
      </c>
      <c r="AT1225" t="s">
        <v>63</v>
      </c>
      <c r="AU1225" t="s">
        <v>63</v>
      </c>
      <c r="AV1225" t="s">
        <v>63</v>
      </c>
      <c r="AW1225" t="s">
        <v>63</v>
      </c>
      <c r="AX1225" t="s">
        <v>63</v>
      </c>
      <c r="AY1225" t="s">
        <v>63</v>
      </c>
      <c r="AZ1225" t="s">
        <v>63</v>
      </c>
      <c r="BA1225" t="s">
        <v>63</v>
      </c>
      <c r="BB1225" t="s">
        <v>63</v>
      </c>
      <c r="BC1225" t="s">
        <v>63</v>
      </c>
      <c r="BD1225" t="s">
        <v>63</v>
      </c>
      <c r="BE1225" t="s">
        <v>63</v>
      </c>
      <c r="BF1225" t="s">
        <v>63</v>
      </c>
    </row>
    <row r="1226" spans="1:58">
      <c r="A1226" t="s">
        <v>58</v>
      </c>
      <c r="B1226" t="s">
        <v>10899</v>
      </c>
      <c r="C1226" t="s">
        <v>10900</v>
      </c>
      <c r="D1226" t="s">
        <v>10901</v>
      </c>
      <c r="E1226" t="s">
        <v>63</v>
      </c>
      <c r="F1226">
        <v>2011</v>
      </c>
      <c r="G1226" t="s">
        <v>219</v>
      </c>
      <c r="H1226">
        <v>15</v>
      </c>
      <c r="I1226">
        <v>8</v>
      </c>
      <c r="J1226">
        <v>1153</v>
      </c>
      <c r="K1226">
        <v>1159</v>
      </c>
      <c r="L1226" t="s">
        <v>10902</v>
      </c>
      <c r="M1226" t="s">
        <v>10903</v>
      </c>
      <c r="N1226" t="s">
        <v>10904</v>
      </c>
      <c r="O1226" t="s">
        <v>63</v>
      </c>
      <c r="Q1226" t="s">
        <v>63</v>
      </c>
      <c r="R1226" t="s">
        <v>63</v>
      </c>
      <c r="S1226" t="s">
        <v>63</v>
      </c>
      <c r="T1226" t="s">
        <v>63</v>
      </c>
      <c r="X1226" t="s">
        <v>63</v>
      </c>
      <c r="Y1226" t="s">
        <v>10905</v>
      </c>
      <c r="Z1226" t="s">
        <v>63</v>
      </c>
      <c r="AA1226" t="s">
        <v>10906</v>
      </c>
      <c r="AB1226">
        <v>20842522</v>
      </c>
      <c r="AC1226" t="s">
        <v>67</v>
      </c>
      <c r="AD1226" t="s">
        <v>63</v>
      </c>
      <c r="AE1226" t="s">
        <v>63</v>
      </c>
      <c r="AF1226" t="s">
        <v>63</v>
      </c>
      <c r="AG1226" t="s">
        <v>10907</v>
      </c>
      <c r="AH1226" t="s">
        <v>63</v>
      </c>
      <c r="AI1226" t="s">
        <v>10908</v>
      </c>
      <c r="AJ1226" t="s">
        <v>63</v>
      </c>
      <c r="AK1226" t="s">
        <v>63</v>
      </c>
      <c r="AL1226" t="s">
        <v>63</v>
      </c>
      <c r="AM1226" t="s">
        <v>10909</v>
      </c>
      <c r="AN1226" t="s">
        <v>63</v>
      </c>
      <c r="AO1226" t="s">
        <v>63</v>
      </c>
      <c r="AP1226" t="s">
        <v>63</v>
      </c>
      <c r="AQ1226" t="s">
        <v>63</v>
      </c>
      <c r="AR1226" t="s">
        <v>63</v>
      </c>
      <c r="AS1226" t="s">
        <v>63</v>
      </c>
      <c r="AT1226" t="s">
        <v>63</v>
      </c>
      <c r="AU1226" t="s">
        <v>63</v>
      </c>
      <c r="AV1226" t="s">
        <v>63</v>
      </c>
      <c r="AW1226" t="s">
        <v>63</v>
      </c>
      <c r="AX1226" t="s">
        <v>63</v>
      </c>
      <c r="AY1226" t="s">
        <v>63</v>
      </c>
      <c r="AZ1226" t="s">
        <v>63</v>
      </c>
      <c r="BA1226" t="s">
        <v>63</v>
      </c>
      <c r="BB1226" t="s">
        <v>63</v>
      </c>
      <c r="BC1226" t="s">
        <v>63</v>
      </c>
      <c r="BD1226" t="s">
        <v>63</v>
      </c>
      <c r="BE1226" t="s">
        <v>63</v>
      </c>
      <c r="BF1226" t="s">
        <v>63</v>
      </c>
    </row>
    <row r="1227" spans="1:58">
      <c r="A1227" t="s">
        <v>58</v>
      </c>
      <c r="B1227" t="s">
        <v>10910</v>
      </c>
      <c r="C1227" t="s">
        <v>10911</v>
      </c>
      <c r="D1227" t="s">
        <v>6306</v>
      </c>
      <c r="E1227" t="s">
        <v>63</v>
      </c>
      <c r="F1227">
        <v>2004</v>
      </c>
      <c r="G1227" t="s">
        <v>63</v>
      </c>
      <c r="H1227">
        <v>19</v>
      </c>
      <c r="I1227">
        <v>4</v>
      </c>
      <c r="J1227">
        <v>212</v>
      </c>
      <c r="K1227">
        <v>219</v>
      </c>
      <c r="L1227" t="s">
        <v>10912</v>
      </c>
      <c r="M1227" t="s">
        <v>10913</v>
      </c>
      <c r="N1227" t="s">
        <v>10914</v>
      </c>
      <c r="O1227" t="s">
        <v>63</v>
      </c>
      <c r="Q1227" t="s">
        <v>63</v>
      </c>
      <c r="R1227" t="s">
        <v>63</v>
      </c>
      <c r="S1227" t="s">
        <v>63</v>
      </c>
      <c r="T1227" t="s">
        <v>63</v>
      </c>
      <c r="X1227" t="s">
        <v>63</v>
      </c>
      <c r="Y1227" t="s">
        <v>6336</v>
      </c>
      <c r="Z1227" t="s">
        <v>63</v>
      </c>
      <c r="AA1227" t="s">
        <v>10915</v>
      </c>
      <c r="AB1227">
        <v>15725638</v>
      </c>
      <c r="AC1227" t="s">
        <v>67</v>
      </c>
      <c r="AD1227" t="s">
        <v>63</v>
      </c>
      <c r="AE1227" t="s">
        <v>63</v>
      </c>
      <c r="AF1227" t="s">
        <v>63</v>
      </c>
      <c r="AG1227" t="s">
        <v>10916</v>
      </c>
      <c r="AH1227" t="s">
        <v>63</v>
      </c>
      <c r="AI1227" t="s">
        <v>63</v>
      </c>
      <c r="AJ1227" t="s">
        <v>63</v>
      </c>
      <c r="AK1227" t="s">
        <v>63</v>
      </c>
      <c r="AL1227" t="s">
        <v>63</v>
      </c>
      <c r="AM1227" t="s">
        <v>10917</v>
      </c>
      <c r="AN1227" t="s">
        <v>63</v>
      </c>
      <c r="AO1227" t="s">
        <v>63</v>
      </c>
      <c r="AP1227" t="s">
        <v>63</v>
      </c>
      <c r="AQ1227" t="s">
        <v>63</v>
      </c>
      <c r="AR1227" t="s">
        <v>63</v>
      </c>
      <c r="AS1227" t="s">
        <v>63</v>
      </c>
      <c r="AT1227" t="s">
        <v>63</v>
      </c>
      <c r="AU1227" t="s">
        <v>63</v>
      </c>
      <c r="AV1227" t="s">
        <v>63</v>
      </c>
      <c r="AW1227" t="s">
        <v>63</v>
      </c>
      <c r="AX1227" t="s">
        <v>63</v>
      </c>
      <c r="AY1227" t="s">
        <v>63</v>
      </c>
      <c r="AZ1227" t="s">
        <v>63</v>
      </c>
      <c r="BA1227" t="s">
        <v>63</v>
      </c>
      <c r="BB1227" t="s">
        <v>63</v>
      </c>
      <c r="BC1227" t="s">
        <v>63</v>
      </c>
      <c r="BD1227" t="s">
        <v>63</v>
      </c>
      <c r="BE1227" t="s">
        <v>63</v>
      </c>
      <c r="BF1227" t="s">
        <v>63</v>
      </c>
    </row>
    <row r="1228" spans="1:58">
      <c r="A1228" t="s">
        <v>58</v>
      </c>
      <c r="B1228" t="s">
        <v>10918</v>
      </c>
      <c r="C1228" t="s">
        <v>10919</v>
      </c>
      <c r="D1228" t="s">
        <v>164</v>
      </c>
      <c r="E1228" t="s">
        <v>165</v>
      </c>
      <c r="F1228">
        <v>1972</v>
      </c>
      <c r="G1228" t="s">
        <v>614</v>
      </c>
      <c r="H1228">
        <v>129</v>
      </c>
      <c r="I1228">
        <v>2</v>
      </c>
      <c r="J1228">
        <v>206</v>
      </c>
      <c r="K1228">
        <v>210</v>
      </c>
      <c r="L1228" t="s">
        <v>10920</v>
      </c>
      <c r="M1228" t="s">
        <v>63</v>
      </c>
      <c r="N1228" t="s">
        <v>10921</v>
      </c>
      <c r="O1228" t="s">
        <v>63</v>
      </c>
      <c r="Q1228" t="s">
        <v>63</v>
      </c>
      <c r="R1228" t="s">
        <v>63</v>
      </c>
      <c r="S1228" t="s">
        <v>63</v>
      </c>
      <c r="T1228" t="s">
        <v>63</v>
      </c>
      <c r="X1228" t="s">
        <v>63</v>
      </c>
      <c r="Y1228" t="s">
        <v>169</v>
      </c>
      <c r="Z1228" t="s">
        <v>63</v>
      </c>
      <c r="AA1228" t="s">
        <v>63</v>
      </c>
      <c r="AB1228">
        <v>5041062</v>
      </c>
      <c r="AC1228" t="s">
        <v>67</v>
      </c>
      <c r="AD1228" t="s">
        <v>63</v>
      </c>
      <c r="AE1228" t="s">
        <v>63</v>
      </c>
      <c r="AF1228" t="s">
        <v>63</v>
      </c>
      <c r="AG1228" t="s">
        <v>10922</v>
      </c>
      <c r="AH1228" t="s">
        <v>63</v>
      </c>
      <c r="AI1228" t="s">
        <v>63</v>
      </c>
      <c r="AJ1228" t="s">
        <v>63</v>
      </c>
      <c r="AK1228" t="s">
        <v>63</v>
      </c>
      <c r="AL1228" t="s">
        <v>63</v>
      </c>
      <c r="AM1228" t="s">
        <v>10923</v>
      </c>
      <c r="AN1228" t="s">
        <v>63</v>
      </c>
      <c r="AO1228" t="s">
        <v>63</v>
      </c>
      <c r="AP1228" t="s">
        <v>63</v>
      </c>
      <c r="AQ1228" t="s">
        <v>63</v>
      </c>
      <c r="AR1228" t="s">
        <v>63</v>
      </c>
      <c r="AS1228" t="s">
        <v>63</v>
      </c>
      <c r="AT1228" t="s">
        <v>63</v>
      </c>
      <c r="AU1228" t="s">
        <v>63</v>
      </c>
      <c r="AV1228" t="s">
        <v>63</v>
      </c>
      <c r="AW1228" t="s">
        <v>63</v>
      </c>
      <c r="AX1228" t="s">
        <v>63</v>
      </c>
      <c r="AY1228" t="s">
        <v>63</v>
      </c>
      <c r="AZ1228" t="s">
        <v>63</v>
      </c>
      <c r="BA1228" t="s">
        <v>63</v>
      </c>
      <c r="BB1228" t="s">
        <v>63</v>
      </c>
      <c r="BC1228" t="s">
        <v>63</v>
      </c>
      <c r="BD1228" t="s">
        <v>63</v>
      </c>
      <c r="BE1228" t="s">
        <v>63</v>
      </c>
      <c r="BF1228" t="s">
        <v>63</v>
      </c>
    </row>
    <row r="1229" spans="1:58">
      <c r="A1229" t="s">
        <v>58</v>
      </c>
      <c r="B1229" t="s">
        <v>10924</v>
      </c>
      <c r="C1229" t="s">
        <v>10925</v>
      </c>
      <c r="D1229" t="s">
        <v>4066</v>
      </c>
      <c r="E1229" t="s">
        <v>4067</v>
      </c>
      <c r="F1229">
        <v>2015</v>
      </c>
      <c r="G1229" t="s">
        <v>10926</v>
      </c>
      <c r="H1229">
        <v>28</v>
      </c>
      <c r="I1229">
        <v>3</v>
      </c>
      <c r="J1229">
        <v>169</v>
      </c>
      <c r="K1229">
        <v>175</v>
      </c>
      <c r="L1229" t="s">
        <v>10927</v>
      </c>
      <c r="M1229" t="s">
        <v>10928</v>
      </c>
      <c r="N1229" t="s">
        <v>10929</v>
      </c>
      <c r="O1229" t="s">
        <v>63</v>
      </c>
      <c r="Q1229" t="s">
        <v>63</v>
      </c>
      <c r="R1229" t="s">
        <v>63</v>
      </c>
      <c r="S1229" t="s">
        <v>63</v>
      </c>
      <c r="T1229" t="s">
        <v>63</v>
      </c>
      <c r="X1229" t="s">
        <v>63</v>
      </c>
      <c r="Y1229" t="s">
        <v>8143</v>
      </c>
      <c r="Z1229" t="s">
        <v>63</v>
      </c>
      <c r="AA1229" t="s">
        <v>10930</v>
      </c>
      <c r="AB1229">
        <v>26996640</v>
      </c>
      <c r="AC1229" t="s">
        <v>67</v>
      </c>
      <c r="AD1229" t="s">
        <v>63</v>
      </c>
      <c r="AE1229" t="s">
        <v>63</v>
      </c>
      <c r="AF1229" t="s">
        <v>63</v>
      </c>
      <c r="AG1229" t="s">
        <v>10931</v>
      </c>
      <c r="AH1229" t="s">
        <v>63</v>
      </c>
      <c r="AI1229" t="s">
        <v>10932</v>
      </c>
      <c r="AJ1229" t="s">
        <v>63</v>
      </c>
      <c r="AK1229" t="s">
        <v>63</v>
      </c>
      <c r="AL1229" t="s">
        <v>63</v>
      </c>
      <c r="AM1229" t="s">
        <v>10933</v>
      </c>
      <c r="AN1229" t="s">
        <v>63</v>
      </c>
      <c r="AO1229" t="s">
        <v>63</v>
      </c>
      <c r="AP1229" t="s">
        <v>63</v>
      </c>
      <c r="AQ1229" t="s">
        <v>63</v>
      </c>
      <c r="AR1229" t="s">
        <v>63</v>
      </c>
      <c r="AS1229" t="s">
        <v>63</v>
      </c>
      <c r="AT1229" t="s">
        <v>63</v>
      </c>
      <c r="AU1229" t="s">
        <v>63</v>
      </c>
      <c r="AV1229" t="s">
        <v>63</v>
      </c>
      <c r="AW1229" t="s">
        <v>63</v>
      </c>
      <c r="AX1229" t="s">
        <v>63</v>
      </c>
      <c r="AY1229" t="s">
        <v>63</v>
      </c>
      <c r="AZ1229" t="s">
        <v>63</v>
      </c>
      <c r="BA1229" t="s">
        <v>63</v>
      </c>
      <c r="BB1229" t="s">
        <v>63</v>
      </c>
      <c r="BC1229" t="s">
        <v>63</v>
      </c>
      <c r="BD1229" t="s">
        <v>63</v>
      </c>
      <c r="BE1229" t="s">
        <v>63</v>
      </c>
      <c r="BF1229" t="s">
        <v>63</v>
      </c>
    </row>
    <row r="1230" spans="1:58">
      <c r="A1230" t="s">
        <v>58</v>
      </c>
      <c r="B1230" t="s">
        <v>10934</v>
      </c>
      <c r="C1230" t="s">
        <v>10935</v>
      </c>
      <c r="D1230" t="s">
        <v>10936</v>
      </c>
      <c r="E1230" t="s">
        <v>63</v>
      </c>
      <c r="F1230">
        <v>2012</v>
      </c>
      <c r="G1230" t="s">
        <v>274</v>
      </c>
      <c r="H1230">
        <v>14</v>
      </c>
      <c r="I1230">
        <v>1</v>
      </c>
      <c r="J1230">
        <v>46</v>
      </c>
      <c r="K1230">
        <v>48</v>
      </c>
      <c r="L1230" t="s">
        <v>10937</v>
      </c>
      <c r="M1230" t="s">
        <v>10938</v>
      </c>
      <c r="N1230" t="s">
        <v>10939</v>
      </c>
      <c r="O1230" t="s">
        <v>63</v>
      </c>
      <c r="Q1230" t="s">
        <v>63</v>
      </c>
      <c r="R1230" t="s">
        <v>63</v>
      </c>
      <c r="S1230" t="s">
        <v>63</v>
      </c>
      <c r="T1230" t="s">
        <v>63</v>
      </c>
      <c r="X1230" t="s">
        <v>63</v>
      </c>
      <c r="Y1230" t="s">
        <v>63</v>
      </c>
      <c r="Z1230" t="s">
        <v>63</v>
      </c>
      <c r="AA1230" t="s">
        <v>10940</v>
      </c>
      <c r="AB1230">
        <v>23441494</v>
      </c>
      <c r="AC1230" t="s">
        <v>67</v>
      </c>
      <c r="AD1230" t="s">
        <v>63</v>
      </c>
      <c r="AE1230" t="s">
        <v>63</v>
      </c>
      <c r="AF1230" t="s">
        <v>63</v>
      </c>
      <c r="AG1230" t="s">
        <v>10941</v>
      </c>
      <c r="AH1230" t="s">
        <v>63</v>
      </c>
      <c r="AI1230" t="s">
        <v>63</v>
      </c>
      <c r="AJ1230" t="s">
        <v>63</v>
      </c>
      <c r="AK1230" t="s">
        <v>63</v>
      </c>
      <c r="AL1230" t="s">
        <v>63</v>
      </c>
      <c r="AM1230" t="s">
        <v>10942</v>
      </c>
      <c r="AN1230" t="s">
        <v>63</v>
      </c>
      <c r="AO1230" t="s">
        <v>63</v>
      </c>
      <c r="AP1230" t="s">
        <v>63</v>
      </c>
      <c r="AQ1230" t="s">
        <v>63</v>
      </c>
      <c r="AR1230" t="s">
        <v>63</v>
      </c>
      <c r="AS1230" t="s">
        <v>63</v>
      </c>
      <c r="AT1230" t="s">
        <v>63</v>
      </c>
      <c r="AU1230" t="s">
        <v>63</v>
      </c>
      <c r="AV1230" t="s">
        <v>63</v>
      </c>
      <c r="AW1230" t="s">
        <v>63</v>
      </c>
      <c r="AX1230" t="s">
        <v>63</v>
      </c>
      <c r="AY1230" t="s">
        <v>63</v>
      </c>
      <c r="AZ1230" t="s">
        <v>63</v>
      </c>
      <c r="BA1230" t="s">
        <v>63</v>
      </c>
      <c r="BB1230" t="s">
        <v>63</v>
      </c>
      <c r="BC1230" t="s">
        <v>63</v>
      </c>
      <c r="BD1230" t="s">
        <v>63</v>
      </c>
      <c r="BE1230" t="s">
        <v>63</v>
      </c>
      <c r="BF1230" t="s">
        <v>63</v>
      </c>
    </row>
    <row r="1231" spans="1:58">
      <c r="A1231" t="s">
        <v>58</v>
      </c>
      <c r="B1231" t="s">
        <v>10943</v>
      </c>
      <c r="C1231" t="s">
        <v>10944</v>
      </c>
      <c r="D1231" t="s">
        <v>10945</v>
      </c>
      <c r="E1231" t="s">
        <v>63</v>
      </c>
      <c r="F1231">
        <v>2005</v>
      </c>
      <c r="G1231" t="s">
        <v>219</v>
      </c>
      <c r="H1231">
        <v>16</v>
      </c>
      <c r="I1231">
        <v>4</v>
      </c>
      <c r="J1231">
        <v>6</v>
      </c>
      <c r="K1231">
        <v>8</v>
      </c>
      <c r="L1231" t="s">
        <v>10946</v>
      </c>
      <c r="M1231" t="s">
        <v>63</v>
      </c>
      <c r="N1231" t="s">
        <v>10947</v>
      </c>
      <c r="O1231" t="s">
        <v>63</v>
      </c>
      <c r="Q1231" t="s">
        <v>63</v>
      </c>
      <c r="R1231" t="s">
        <v>63</v>
      </c>
      <c r="S1231" t="s">
        <v>63</v>
      </c>
      <c r="T1231" t="s">
        <v>63</v>
      </c>
      <c r="X1231" t="s">
        <v>63</v>
      </c>
      <c r="Y1231" t="s">
        <v>10948</v>
      </c>
      <c r="Z1231" t="s">
        <v>63</v>
      </c>
      <c r="AA1231" t="s">
        <v>10949</v>
      </c>
      <c r="AB1231">
        <v>16327103</v>
      </c>
      <c r="AC1231" t="s">
        <v>67</v>
      </c>
      <c r="AD1231" t="s">
        <v>63</v>
      </c>
      <c r="AE1231" t="s">
        <v>63</v>
      </c>
      <c r="AF1231" t="s">
        <v>63</v>
      </c>
      <c r="AG1231" t="s">
        <v>10950</v>
      </c>
      <c r="AH1231" t="s">
        <v>63</v>
      </c>
      <c r="AI1231" t="s">
        <v>63</v>
      </c>
      <c r="AJ1231" t="s">
        <v>63</v>
      </c>
      <c r="AK1231" t="s">
        <v>63</v>
      </c>
      <c r="AL1231" t="s">
        <v>63</v>
      </c>
      <c r="AM1231" t="s">
        <v>10951</v>
      </c>
      <c r="AN1231" t="s">
        <v>63</v>
      </c>
      <c r="AO1231" t="s">
        <v>63</v>
      </c>
      <c r="AP1231" t="s">
        <v>63</v>
      </c>
      <c r="AQ1231" t="s">
        <v>63</v>
      </c>
      <c r="AR1231" t="s">
        <v>63</v>
      </c>
      <c r="AS1231" t="s">
        <v>63</v>
      </c>
      <c r="AT1231" t="s">
        <v>63</v>
      </c>
      <c r="AU1231" t="s">
        <v>63</v>
      </c>
      <c r="AV1231" t="s">
        <v>63</v>
      </c>
      <c r="AW1231" t="s">
        <v>63</v>
      </c>
      <c r="AX1231" t="s">
        <v>63</v>
      </c>
      <c r="AY1231" t="s">
        <v>63</v>
      </c>
      <c r="AZ1231" t="s">
        <v>63</v>
      </c>
      <c r="BA1231" t="s">
        <v>63</v>
      </c>
      <c r="BB1231" t="s">
        <v>63</v>
      </c>
      <c r="BC1231" t="s">
        <v>63</v>
      </c>
      <c r="BD1231" t="s">
        <v>63</v>
      </c>
      <c r="BE1231" t="s">
        <v>63</v>
      </c>
      <c r="BF1231" t="s">
        <v>63</v>
      </c>
    </row>
    <row r="1232" spans="1:58">
      <c r="A1232" t="s">
        <v>58</v>
      </c>
      <c r="B1232" t="s">
        <v>10952</v>
      </c>
      <c r="C1232" t="s">
        <v>10953</v>
      </c>
      <c r="D1232" t="s">
        <v>6730</v>
      </c>
      <c r="E1232" t="s">
        <v>63</v>
      </c>
      <c r="F1232">
        <v>2012</v>
      </c>
      <c r="G1232" t="s">
        <v>274</v>
      </c>
      <c r="H1232">
        <v>4</v>
      </c>
      <c r="I1232">
        <v>1</v>
      </c>
      <c r="J1232">
        <v>58</v>
      </c>
      <c r="K1232">
        <v>63</v>
      </c>
      <c r="L1232" t="s">
        <v>63</v>
      </c>
      <c r="M1232" t="s">
        <v>10954</v>
      </c>
      <c r="N1232" t="s">
        <v>10955</v>
      </c>
      <c r="O1232" t="s">
        <v>63</v>
      </c>
      <c r="Q1232" t="s">
        <v>63</v>
      </c>
      <c r="R1232" t="s">
        <v>63</v>
      </c>
      <c r="S1232" t="s">
        <v>63</v>
      </c>
      <c r="T1232" t="s">
        <v>63</v>
      </c>
      <c r="X1232" t="s">
        <v>63</v>
      </c>
      <c r="Y1232" t="s">
        <v>10956</v>
      </c>
      <c r="Z1232" t="s">
        <v>63</v>
      </c>
      <c r="AA1232" t="s">
        <v>63</v>
      </c>
      <c r="AB1232">
        <v>23451308</v>
      </c>
      <c r="AC1232" t="s">
        <v>67</v>
      </c>
      <c r="AD1232" t="s">
        <v>63</v>
      </c>
      <c r="AE1232" t="s">
        <v>63</v>
      </c>
      <c r="AF1232" t="s">
        <v>63</v>
      </c>
      <c r="AG1232" t="s">
        <v>10957</v>
      </c>
      <c r="AH1232" t="s">
        <v>63</v>
      </c>
      <c r="AI1232" t="s">
        <v>10958</v>
      </c>
      <c r="AJ1232" t="s">
        <v>63</v>
      </c>
      <c r="AK1232" t="s">
        <v>63</v>
      </c>
      <c r="AL1232" t="s">
        <v>63</v>
      </c>
      <c r="AM1232" t="s">
        <v>10959</v>
      </c>
      <c r="AN1232" t="s">
        <v>63</v>
      </c>
      <c r="AO1232" t="s">
        <v>63</v>
      </c>
      <c r="AP1232" t="s">
        <v>63</v>
      </c>
      <c r="AQ1232" t="s">
        <v>63</v>
      </c>
      <c r="AR1232" t="s">
        <v>63</v>
      </c>
      <c r="AS1232" t="s">
        <v>63</v>
      </c>
      <c r="AT1232" t="s">
        <v>63</v>
      </c>
      <c r="AU1232" t="s">
        <v>63</v>
      </c>
      <c r="AV1232" t="s">
        <v>63</v>
      </c>
      <c r="AW1232" t="s">
        <v>63</v>
      </c>
      <c r="AX1232" t="s">
        <v>63</v>
      </c>
      <c r="AY1232" t="s">
        <v>63</v>
      </c>
      <c r="AZ1232" t="s">
        <v>63</v>
      </c>
      <c r="BA1232" t="s">
        <v>63</v>
      </c>
      <c r="BB1232" t="s">
        <v>63</v>
      </c>
      <c r="BC1232" t="s">
        <v>63</v>
      </c>
      <c r="BD1232" t="s">
        <v>63</v>
      </c>
      <c r="BE1232" t="s">
        <v>63</v>
      </c>
      <c r="BF1232" t="s">
        <v>63</v>
      </c>
    </row>
    <row r="1233" spans="1:58">
      <c r="A1233" t="s">
        <v>58</v>
      </c>
      <c r="B1233" t="s">
        <v>10960</v>
      </c>
      <c r="C1233" t="s">
        <v>10961</v>
      </c>
      <c r="D1233" t="s">
        <v>389</v>
      </c>
      <c r="E1233" t="s">
        <v>63</v>
      </c>
      <c r="F1233">
        <v>2012</v>
      </c>
      <c r="G1233" t="s">
        <v>63</v>
      </c>
      <c r="H1233">
        <v>33</v>
      </c>
      <c r="I1233">
        <v>3</v>
      </c>
      <c r="J1233">
        <v>292</v>
      </c>
      <c r="K1233">
        <v>297</v>
      </c>
      <c r="L1233" t="s">
        <v>10962</v>
      </c>
      <c r="M1233" t="s">
        <v>10963</v>
      </c>
      <c r="N1233" t="s">
        <v>10964</v>
      </c>
      <c r="O1233" t="s">
        <v>63</v>
      </c>
      <c r="Q1233" t="s">
        <v>63</v>
      </c>
      <c r="R1233" t="s">
        <v>63</v>
      </c>
      <c r="S1233" t="s">
        <v>63</v>
      </c>
      <c r="T1233" t="s">
        <v>63</v>
      </c>
      <c r="X1233" t="s">
        <v>63</v>
      </c>
      <c r="Y1233" t="s">
        <v>556</v>
      </c>
      <c r="Z1233" t="s">
        <v>63</v>
      </c>
      <c r="AA1233" t="s">
        <v>10965</v>
      </c>
      <c r="AB1233">
        <v>22738008</v>
      </c>
      <c r="AC1233" t="s">
        <v>67</v>
      </c>
      <c r="AD1233" t="s">
        <v>63</v>
      </c>
      <c r="AE1233" t="s">
        <v>63</v>
      </c>
      <c r="AF1233" t="s">
        <v>63</v>
      </c>
      <c r="AG1233" t="s">
        <v>10966</v>
      </c>
      <c r="AH1233" t="s">
        <v>63</v>
      </c>
      <c r="AI1233" t="s">
        <v>10967</v>
      </c>
      <c r="AJ1233" t="s">
        <v>63</v>
      </c>
      <c r="AK1233" t="s">
        <v>63</v>
      </c>
      <c r="AL1233" t="s">
        <v>63</v>
      </c>
      <c r="AM1233" t="s">
        <v>10968</v>
      </c>
      <c r="AN1233" t="s">
        <v>63</v>
      </c>
      <c r="AO1233" t="s">
        <v>63</v>
      </c>
      <c r="AP1233" t="s">
        <v>63</v>
      </c>
      <c r="AQ1233" t="s">
        <v>63</v>
      </c>
      <c r="AR1233" t="s">
        <v>63</v>
      </c>
      <c r="AS1233" t="s">
        <v>63</v>
      </c>
      <c r="AT1233" t="s">
        <v>63</v>
      </c>
      <c r="AU1233" t="s">
        <v>63</v>
      </c>
      <c r="AV1233" t="s">
        <v>63</v>
      </c>
      <c r="AW1233" t="s">
        <v>63</v>
      </c>
      <c r="AX1233" t="s">
        <v>63</v>
      </c>
      <c r="AY1233" t="s">
        <v>63</v>
      </c>
      <c r="AZ1233" t="s">
        <v>63</v>
      </c>
      <c r="BA1233" t="s">
        <v>63</v>
      </c>
      <c r="BB1233" t="s">
        <v>63</v>
      </c>
      <c r="BC1233" t="s">
        <v>63</v>
      </c>
      <c r="BD1233" t="s">
        <v>63</v>
      </c>
      <c r="BE1233" t="s">
        <v>63</v>
      </c>
      <c r="BF1233" t="s">
        <v>63</v>
      </c>
    </row>
    <row r="1234" spans="1:58">
      <c r="A1234" t="s">
        <v>58</v>
      </c>
      <c r="B1234" t="s">
        <v>10969</v>
      </c>
      <c r="C1234" t="s">
        <v>10970</v>
      </c>
      <c r="D1234" t="s">
        <v>763</v>
      </c>
      <c r="E1234" t="s">
        <v>63</v>
      </c>
      <c r="F1234">
        <v>1999</v>
      </c>
      <c r="G1234" t="s">
        <v>1670</v>
      </c>
      <c r="H1234">
        <v>74</v>
      </c>
      <c r="I1234">
        <v>7</v>
      </c>
      <c r="J1234">
        <v>749</v>
      </c>
      <c r="K1234">
        <v>750</v>
      </c>
      <c r="L1234" t="s">
        <v>10971</v>
      </c>
      <c r="M1234" t="s">
        <v>63</v>
      </c>
      <c r="N1234" t="s">
        <v>10972</v>
      </c>
      <c r="O1234" t="s">
        <v>63</v>
      </c>
      <c r="Q1234" t="s">
        <v>63</v>
      </c>
      <c r="R1234" t="s">
        <v>63</v>
      </c>
      <c r="S1234" t="s">
        <v>63</v>
      </c>
      <c r="T1234" t="s">
        <v>63</v>
      </c>
      <c r="X1234" t="s">
        <v>63</v>
      </c>
      <c r="Y1234" t="s">
        <v>858</v>
      </c>
      <c r="Z1234" t="s">
        <v>63</v>
      </c>
      <c r="AA1234" t="s">
        <v>63</v>
      </c>
      <c r="AB1234">
        <v>10429578</v>
      </c>
      <c r="AC1234" t="s">
        <v>67</v>
      </c>
      <c r="AD1234" t="s">
        <v>63</v>
      </c>
      <c r="AE1234" t="s">
        <v>63</v>
      </c>
      <c r="AF1234" t="s">
        <v>63</v>
      </c>
      <c r="AG1234" t="s">
        <v>10973</v>
      </c>
      <c r="AH1234" t="s">
        <v>63</v>
      </c>
      <c r="AI1234" t="s">
        <v>63</v>
      </c>
      <c r="AJ1234" t="s">
        <v>63</v>
      </c>
      <c r="AK1234" t="s">
        <v>63</v>
      </c>
      <c r="AL1234" t="s">
        <v>63</v>
      </c>
      <c r="AM1234" t="s">
        <v>10974</v>
      </c>
      <c r="AN1234" t="s">
        <v>63</v>
      </c>
      <c r="AO1234" t="s">
        <v>63</v>
      </c>
      <c r="AP1234" t="s">
        <v>63</v>
      </c>
      <c r="AQ1234" t="s">
        <v>63</v>
      </c>
      <c r="AR1234" t="s">
        <v>63</v>
      </c>
      <c r="AS1234" t="s">
        <v>63</v>
      </c>
      <c r="AT1234" t="s">
        <v>63</v>
      </c>
      <c r="AU1234" t="s">
        <v>63</v>
      </c>
      <c r="AV1234" t="s">
        <v>63</v>
      </c>
      <c r="AW1234" t="s">
        <v>63</v>
      </c>
      <c r="AX1234" t="s">
        <v>63</v>
      </c>
      <c r="AY1234" t="s">
        <v>63</v>
      </c>
      <c r="AZ1234" t="s">
        <v>63</v>
      </c>
      <c r="BA1234" t="s">
        <v>63</v>
      </c>
      <c r="BB1234" t="s">
        <v>63</v>
      </c>
      <c r="BC1234" t="s">
        <v>63</v>
      </c>
      <c r="BD1234" t="s">
        <v>63</v>
      </c>
      <c r="BE1234" t="s">
        <v>63</v>
      </c>
      <c r="BF1234" t="s">
        <v>63</v>
      </c>
    </row>
    <row r="1235" spans="1:58">
      <c r="A1235" t="s">
        <v>58</v>
      </c>
      <c r="B1235" t="s">
        <v>10975</v>
      </c>
      <c r="C1235" t="s">
        <v>10976</v>
      </c>
      <c r="D1235" t="s">
        <v>325</v>
      </c>
      <c r="E1235" t="s">
        <v>63</v>
      </c>
      <c r="F1235">
        <v>2007</v>
      </c>
      <c r="G1235" t="s">
        <v>623</v>
      </c>
      <c r="H1235">
        <v>31</v>
      </c>
      <c r="I1235">
        <v>1</v>
      </c>
      <c r="J1235">
        <v>8</v>
      </c>
      <c r="K1235">
        <v>14</v>
      </c>
      <c r="L1235" t="s">
        <v>10977</v>
      </c>
      <c r="M1235" t="s">
        <v>10978</v>
      </c>
      <c r="N1235" t="s">
        <v>10979</v>
      </c>
      <c r="O1235" t="s">
        <v>63</v>
      </c>
      <c r="Q1235" t="s">
        <v>63</v>
      </c>
      <c r="R1235" t="s">
        <v>63</v>
      </c>
      <c r="S1235" t="s">
        <v>63</v>
      </c>
      <c r="T1235" t="s">
        <v>63</v>
      </c>
      <c r="X1235" t="s">
        <v>63</v>
      </c>
      <c r="Y1235" t="s">
        <v>866</v>
      </c>
      <c r="Z1235" t="s">
        <v>63</v>
      </c>
      <c r="AA1235" t="s">
        <v>10980</v>
      </c>
      <c r="AB1235">
        <v>17242046</v>
      </c>
      <c r="AC1235" t="s">
        <v>67</v>
      </c>
      <c r="AD1235" t="s">
        <v>63</v>
      </c>
      <c r="AE1235" t="s">
        <v>63</v>
      </c>
      <c r="AF1235" t="s">
        <v>63</v>
      </c>
      <c r="AG1235" t="s">
        <v>10981</v>
      </c>
      <c r="AH1235" t="s">
        <v>63</v>
      </c>
      <c r="AI1235" t="s">
        <v>63</v>
      </c>
      <c r="AJ1235" t="s">
        <v>63</v>
      </c>
      <c r="AK1235" t="s">
        <v>63</v>
      </c>
      <c r="AL1235" t="s">
        <v>63</v>
      </c>
      <c r="AM1235" t="s">
        <v>10982</v>
      </c>
      <c r="AN1235" t="s">
        <v>63</v>
      </c>
      <c r="AO1235" t="s">
        <v>63</v>
      </c>
      <c r="AP1235" t="s">
        <v>63</v>
      </c>
      <c r="AQ1235" t="s">
        <v>63</v>
      </c>
      <c r="AR1235" t="s">
        <v>63</v>
      </c>
      <c r="AS1235" t="s">
        <v>63</v>
      </c>
      <c r="AT1235" t="s">
        <v>63</v>
      </c>
      <c r="AU1235" t="s">
        <v>63</v>
      </c>
      <c r="AV1235" t="s">
        <v>63</v>
      </c>
      <c r="AW1235" t="s">
        <v>63</v>
      </c>
      <c r="AX1235" t="s">
        <v>63</v>
      </c>
      <c r="AY1235" t="s">
        <v>63</v>
      </c>
      <c r="AZ1235" t="s">
        <v>63</v>
      </c>
      <c r="BA1235" t="s">
        <v>63</v>
      </c>
      <c r="BB1235" t="s">
        <v>63</v>
      </c>
      <c r="BC1235" t="s">
        <v>63</v>
      </c>
      <c r="BD1235" t="s">
        <v>63</v>
      </c>
      <c r="BE1235" t="s">
        <v>63</v>
      </c>
      <c r="BF1235" t="s">
        <v>63</v>
      </c>
    </row>
    <row r="1236" spans="1:58">
      <c r="A1236" t="s">
        <v>58</v>
      </c>
      <c r="B1236" t="s">
        <v>10983</v>
      </c>
      <c r="C1236" t="s">
        <v>10984</v>
      </c>
      <c r="D1236" t="s">
        <v>325</v>
      </c>
      <c r="E1236" t="s">
        <v>63</v>
      </c>
      <c r="F1236">
        <v>2005</v>
      </c>
      <c r="G1236" t="s">
        <v>908</v>
      </c>
      <c r="H1236">
        <v>29</v>
      </c>
      <c r="I1236">
        <v>3</v>
      </c>
      <c r="J1236">
        <v>256</v>
      </c>
      <c r="K1236">
        <v>261</v>
      </c>
      <c r="L1236" t="s">
        <v>10985</v>
      </c>
      <c r="M1236" t="s">
        <v>10986</v>
      </c>
      <c r="N1236" t="s">
        <v>10987</v>
      </c>
      <c r="O1236" t="s">
        <v>63</v>
      </c>
      <c r="Q1236" t="s">
        <v>63</v>
      </c>
      <c r="R1236" t="s">
        <v>63</v>
      </c>
      <c r="S1236" t="s">
        <v>63</v>
      </c>
      <c r="T1236" t="s">
        <v>63</v>
      </c>
      <c r="X1236" t="s">
        <v>63</v>
      </c>
      <c r="Y1236" t="s">
        <v>866</v>
      </c>
      <c r="Z1236" t="s">
        <v>63</v>
      </c>
      <c r="AA1236" t="s">
        <v>10988</v>
      </c>
      <c r="AB1236">
        <v>16141120</v>
      </c>
      <c r="AC1236" t="s">
        <v>67</v>
      </c>
      <c r="AD1236" t="s">
        <v>63</v>
      </c>
      <c r="AE1236" t="s">
        <v>63</v>
      </c>
      <c r="AF1236" t="s">
        <v>63</v>
      </c>
      <c r="AG1236" t="s">
        <v>10989</v>
      </c>
      <c r="AH1236" t="s">
        <v>63</v>
      </c>
      <c r="AI1236" t="s">
        <v>63</v>
      </c>
      <c r="AJ1236" t="s">
        <v>63</v>
      </c>
      <c r="AK1236" t="s">
        <v>63</v>
      </c>
      <c r="AL1236" t="s">
        <v>63</v>
      </c>
      <c r="AM1236" t="s">
        <v>10990</v>
      </c>
      <c r="AN1236" t="s">
        <v>63</v>
      </c>
      <c r="AO1236" t="s">
        <v>63</v>
      </c>
      <c r="AP1236" t="s">
        <v>63</v>
      </c>
      <c r="AQ1236" t="s">
        <v>63</v>
      </c>
      <c r="AR1236" t="s">
        <v>63</v>
      </c>
      <c r="AS1236" t="s">
        <v>63</v>
      </c>
      <c r="AT1236" t="s">
        <v>63</v>
      </c>
      <c r="AU1236" t="s">
        <v>63</v>
      </c>
      <c r="AV1236" t="s">
        <v>63</v>
      </c>
      <c r="AW1236" t="s">
        <v>63</v>
      </c>
      <c r="AX1236" t="s">
        <v>63</v>
      </c>
      <c r="AY1236" t="s">
        <v>63</v>
      </c>
      <c r="AZ1236" t="s">
        <v>63</v>
      </c>
      <c r="BA1236" t="s">
        <v>63</v>
      </c>
      <c r="BB1236" t="s">
        <v>63</v>
      </c>
      <c r="BC1236" t="s">
        <v>63</v>
      </c>
      <c r="BD1236" t="s">
        <v>63</v>
      </c>
      <c r="BE1236" t="s">
        <v>63</v>
      </c>
      <c r="BF1236" t="s">
        <v>63</v>
      </c>
    </row>
    <row r="1237" spans="1:58">
      <c r="A1237" t="s">
        <v>58</v>
      </c>
      <c r="B1237" t="s">
        <v>10991</v>
      </c>
      <c r="C1237" t="s">
        <v>10992</v>
      </c>
      <c r="D1237" t="s">
        <v>325</v>
      </c>
      <c r="E1237" t="s">
        <v>63</v>
      </c>
      <c r="F1237">
        <v>2008</v>
      </c>
      <c r="G1237" t="s">
        <v>1717</v>
      </c>
      <c r="H1237">
        <v>32</v>
      </c>
      <c r="I1237">
        <v>6</v>
      </c>
      <c r="J1237">
        <v>484</v>
      </c>
      <c r="K1237">
        <v>492</v>
      </c>
      <c r="L1237" t="s">
        <v>10993</v>
      </c>
      <c r="M1237" t="s">
        <v>10994</v>
      </c>
      <c r="N1237" t="s">
        <v>10995</v>
      </c>
      <c r="O1237" t="s">
        <v>63</v>
      </c>
      <c r="Q1237" t="s">
        <v>63</v>
      </c>
      <c r="R1237" t="s">
        <v>63</v>
      </c>
      <c r="S1237" t="s">
        <v>63</v>
      </c>
      <c r="T1237" t="s">
        <v>63</v>
      </c>
      <c r="X1237" t="s">
        <v>63</v>
      </c>
      <c r="Y1237" t="s">
        <v>866</v>
      </c>
      <c r="Z1237" t="s">
        <v>63</v>
      </c>
      <c r="AA1237" t="s">
        <v>10996</v>
      </c>
      <c r="AB1237">
        <v>19190293</v>
      </c>
      <c r="AC1237" t="s">
        <v>67</v>
      </c>
      <c r="AD1237" t="s">
        <v>63</v>
      </c>
      <c r="AE1237" t="s">
        <v>63</v>
      </c>
      <c r="AF1237" t="s">
        <v>63</v>
      </c>
      <c r="AG1237" t="s">
        <v>10997</v>
      </c>
      <c r="AH1237" t="s">
        <v>63</v>
      </c>
      <c r="AI1237" t="s">
        <v>10998</v>
      </c>
      <c r="AJ1237" t="s">
        <v>63</v>
      </c>
      <c r="AK1237" t="s">
        <v>63</v>
      </c>
      <c r="AL1237" t="s">
        <v>63</v>
      </c>
      <c r="AM1237" t="s">
        <v>10999</v>
      </c>
      <c r="AN1237" t="s">
        <v>63</v>
      </c>
      <c r="AO1237" t="s">
        <v>63</v>
      </c>
      <c r="AP1237" t="s">
        <v>63</v>
      </c>
      <c r="AQ1237" t="s">
        <v>63</v>
      </c>
      <c r="AR1237" t="s">
        <v>63</v>
      </c>
      <c r="AS1237" t="s">
        <v>63</v>
      </c>
      <c r="AT1237" t="s">
        <v>63</v>
      </c>
      <c r="AU1237" t="s">
        <v>63</v>
      </c>
      <c r="AV1237" t="s">
        <v>63</v>
      </c>
      <c r="AW1237" t="s">
        <v>63</v>
      </c>
      <c r="AX1237" t="s">
        <v>63</v>
      </c>
      <c r="AY1237" t="s">
        <v>63</v>
      </c>
      <c r="AZ1237" t="s">
        <v>63</v>
      </c>
      <c r="BA1237" t="s">
        <v>63</v>
      </c>
      <c r="BB1237" t="s">
        <v>63</v>
      </c>
      <c r="BC1237" t="s">
        <v>63</v>
      </c>
      <c r="BD1237" t="s">
        <v>63</v>
      </c>
      <c r="BE1237" t="s">
        <v>63</v>
      </c>
      <c r="BF1237" t="s">
        <v>63</v>
      </c>
    </row>
    <row r="1238" spans="1:58">
      <c r="A1238" t="s">
        <v>58</v>
      </c>
      <c r="B1238" t="s">
        <v>11000</v>
      </c>
      <c r="C1238" t="s">
        <v>11001</v>
      </c>
      <c r="D1238" t="s">
        <v>325</v>
      </c>
      <c r="E1238" t="s">
        <v>63</v>
      </c>
      <c r="F1238">
        <v>2006</v>
      </c>
      <c r="G1238" t="s">
        <v>1085</v>
      </c>
      <c r="H1238">
        <v>30</v>
      </c>
      <c r="I1238">
        <v>5</v>
      </c>
      <c r="J1238">
        <v>372</v>
      </c>
      <c r="K1238">
        <v>378</v>
      </c>
      <c r="L1238" t="s">
        <v>11002</v>
      </c>
      <c r="M1238" t="s">
        <v>11003</v>
      </c>
      <c r="N1238" t="s">
        <v>11004</v>
      </c>
      <c r="O1238" t="s">
        <v>63</v>
      </c>
      <c r="Q1238" t="s">
        <v>63</v>
      </c>
      <c r="R1238" t="s">
        <v>63</v>
      </c>
      <c r="S1238" t="s">
        <v>63</v>
      </c>
      <c r="T1238" t="s">
        <v>63</v>
      </c>
      <c r="X1238" t="s">
        <v>63</v>
      </c>
      <c r="Y1238" t="s">
        <v>866</v>
      </c>
      <c r="Z1238" t="s">
        <v>63</v>
      </c>
      <c r="AA1238" t="s">
        <v>11005</v>
      </c>
      <c r="AB1238">
        <v>17021144</v>
      </c>
      <c r="AC1238" t="s">
        <v>67</v>
      </c>
      <c r="AD1238" t="s">
        <v>63</v>
      </c>
      <c r="AE1238" t="s">
        <v>63</v>
      </c>
      <c r="AF1238" t="s">
        <v>63</v>
      </c>
      <c r="AG1238" t="s">
        <v>11006</v>
      </c>
      <c r="AH1238" t="s">
        <v>63</v>
      </c>
      <c r="AI1238" t="s">
        <v>63</v>
      </c>
      <c r="AJ1238" t="s">
        <v>63</v>
      </c>
      <c r="AK1238" t="s">
        <v>63</v>
      </c>
      <c r="AL1238" t="s">
        <v>63</v>
      </c>
      <c r="AM1238" t="s">
        <v>11007</v>
      </c>
      <c r="AN1238" t="s">
        <v>63</v>
      </c>
      <c r="AO1238" t="s">
        <v>63</v>
      </c>
      <c r="AP1238" t="s">
        <v>63</v>
      </c>
      <c r="AQ1238" t="s">
        <v>63</v>
      </c>
      <c r="AR1238" t="s">
        <v>63</v>
      </c>
      <c r="AS1238" t="s">
        <v>63</v>
      </c>
      <c r="AT1238" t="s">
        <v>63</v>
      </c>
      <c r="AU1238" t="s">
        <v>63</v>
      </c>
      <c r="AV1238" t="s">
        <v>63</v>
      </c>
      <c r="AW1238" t="s">
        <v>63</v>
      </c>
      <c r="AX1238" t="s">
        <v>63</v>
      </c>
      <c r="AY1238" t="s">
        <v>63</v>
      </c>
      <c r="AZ1238" t="s">
        <v>63</v>
      </c>
      <c r="BA1238" t="s">
        <v>63</v>
      </c>
      <c r="BB1238" t="s">
        <v>63</v>
      </c>
      <c r="BC1238" t="s">
        <v>63</v>
      </c>
      <c r="BD1238" t="s">
        <v>63</v>
      </c>
      <c r="BE1238" t="s">
        <v>63</v>
      </c>
      <c r="BF1238" t="s">
        <v>63</v>
      </c>
    </row>
    <row r="1239" spans="1:58">
      <c r="A1239" t="s">
        <v>58</v>
      </c>
      <c r="B1239" t="s">
        <v>11008</v>
      </c>
      <c r="C1239" t="s">
        <v>11009</v>
      </c>
      <c r="D1239" t="s">
        <v>1469</v>
      </c>
      <c r="E1239" t="s">
        <v>1470</v>
      </c>
      <c r="F1239">
        <v>1995</v>
      </c>
      <c r="G1239" t="s">
        <v>274</v>
      </c>
      <c r="H1239">
        <v>2</v>
      </c>
      <c r="I1239">
        <v>3</v>
      </c>
      <c r="J1239">
        <v>211</v>
      </c>
      <c r="K1239">
        <v>216</v>
      </c>
      <c r="L1239" t="s">
        <v>11010</v>
      </c>
      <c r="M1239" t="s">
        <v>11011</v>
      </c>
      <c r="N1239" t="s">
        <v>11012</v>
      </c>
      <c r="O1239" t="s">
        <v>63</v>
      </c>
      <c r="Q1239" t="s">
        <v>63</v>
      </c>
      <c r="R1239" t="s">
        <v>63</v>
      </c>
      <c r="S1239" t="s">
        <v>63</v>
      </c>
      <c r="T1239" t="s">
        <v>63</v>
      </c>
      <c r="X1239" t="s">
        <v>63</v>
      </c>
      <c r="Y1239" t="s">
        <v>1972</v>
      </c>
      <c r="Z1239" t="s">
        <v>63</v>
      </c>
      <c r="AA1239" t="s">
        <v>11013</v>
      </c>
      <c r="AB1239">
        <v>7497036</v>
      </c>
      <c r="AC1239" t="s">
        <v>67</v>
      </c>
      <c r="AD1239" t="s">
        <v>63</v>
      </c>
      <c r="AE1239" t="s">
        <v>63</v>
      </c>
      <c r="AF1239" t="s">
        <v>63</v>
      </c>
      <c r="AG1239" t="s">
        <v>11014</v>
      </c>
      <c r="AH1239" t="s">
        <v>63</v>
      </c>
      <c r="AI1239" t="s">
        <v>63</v>
      </c>
      <c r="AJ1239" t="s">
        <v>63</v>
      </c>
      <c r="AK1239" t="s">
        <v>63</v>
      </c>
      <c r="AL1239" t="s">
        <v>63</v>
      </c>
      <c r="AM1239" t="s">
        <v>11015</v>
      </c>
      <c r="AN1239" t="s">
        <v>63</v>
      </c>
      <c r="AO1239" t="s">
        <v>63</v>
      </c>
      <c r="AP1239" t="s">
        <v>63</v>
      </c>
      <c r="AQ1239" t="s">
        <v>63</v>
      </c>
      <c r="AR1239" t="s">
        <v>63</v>
      </c>
      <c r="AS1239" t="s">
        <v>63</v>
      </c>
      <c r="AT1239" t="s">
        <v>63</v>
      </c>
      <c r="AU1239" t="s">
        <v>63</v>
      </c>
      <c r="AV1239" t="s">
        <v>63</v>
      </c>
      <c r="AW1239" t="s">
        <v>63</v>
      </c>
      <c r="AX1239" t="s">
        <v>63</v>
      </c>
      <c r="AY1239" t="s">
        <v>63</v>
      </c>
      <c r="AZ1239" t="s">
        <v>63</v>
      </c>
      <c r="BA1239" t="s">
        <v>63</v>
      </c>
      <c r="BB1239" t="s">
        <v>63</v>
      </c>
      <c r="BC1239" t="s">
        <v>63</v>
      </c>
      <c r="BD1239" t="s">
        <v>63</v>
      </c>
      <c r="BE1239" t="s">
        <v>63</v>
      </c>
      <c r="BF1239" t="s">
        <v>63</v>
      </c>
    </row>
    <row r="1240" spans="1:58">
      <c r="A1240" t="s">
        <v>58</v>
      </c>
      <c r="B1240" t="s">
        <v>11016</v>
      </c>
      <c r="C1240" t="s">
        <v>11017</v>
      </c>
      <c r="D1240" t="s">
        <v>563</v>
      </c>
      <c r="E1240" t="s">
        <v>63</v>
      </c>
      <c r="F1240">
        <v>2006</v>
      </c>
      <c r="G1240" s="1">
        <v>41675</v>
      </c>
      <c r="H1240">
        <v>6</v>
      </c>
      <c r="I1240" t="s">
        <v>63</v>
      </c>
      <c r="J1240">
        <v>8</v>
      </c>
      <c r="K1240" t="s">
        <v>63</v>
      </c>
      <c r="L1240" t="s">
        <v>11018</v>
      </c>
      <c r="M1240" t="s">
        <v>11019</v>
      </c>
      <c r="N1240" t="s">
        <v>11020</v>
      </c>
      <c r="O1240" t="s">
        <v>63</v>
      </c>
      <c r="Q1240" t="s">
        <v>63</v>
      </c>
      <c r="R1240" t="s">
        <v>63</v>
      </c>
      <c r="S1240" t="s">
        <v>63</v>
      </c>
      <c r="T1240" t="s">
        <v>63</v>
      </c>
      <c r="X1240" t="s">
        <v>63</v>
      </c>
      <c r="Y1240" t="s">
        <v>567</v>
      </c>
      <c r="Z1240" t="s">
        <v>63</v>
      </c>
      <c r="AA1240" t="s">
        <v>11021</v>
      </c>
      <c r="AB1240">
        <v>16457737</v>
      </c>
      <c r="AC1240" t="s">
        <v>67</v>
      </c>
      <c r="AD1240" t="s">
        <v>63</v>
      </c>
      <c r="AE1240" t="s">
        <v>63</v>
      </c>
      <c r="AF1240" t="s">
        <v>63</v>
      </c>
      <c r="AG1240" t="s">
        <v>11022</v>
      </c>
      <c r="AH1240" t="s">
        <v>63</v>
      </c>
      <c r="AI1240" t="s">
        <v>63</v>
      </c>
      <c r="AJ1240" t="s">
        <v>63</v>
      </c>
      <c r="AK1240" t="s">
        <v>63</v>
      </c>
      <c r="AL1240" t="s">
        <v>63</v>
      </c>
      <c r="AM1240" t="s">
        <v>11023</v>
      </c>
      <c r="AN1240" t="s">
        <v>63</v>
      </c>
      <c r="AO1240" t="s">
        <v>63</v>
      </c>
      <c r="AP1240" t="s">
        <v>63</v>
      </c>
      <c r="AQ1240" t="s">
        <v>63</v>
      </c>
      <c r="AR1240" t="s">
        <v>63</v>
      </c>
      <c r="AS1240" t="s">
        <v>63</v>
      </c>
      <c r="AT1240" t="s">
        <v>63</v>
      </c>
      <c r="AU1240" t="s">
        <v>63</v>
      </c>
      <c r="AV1240" t="s">
        <v>63</v>
      </c>
      <c r="AW1240" t="s">
        <v>63</v>
      </c>
      <c r="AX1240" t="s">
        <v>63</v>
      </c>
      <c r="AY1240" t="s">
        <v>63</v>
      </c>
      <c r="AZ1240" t="s">
        <v>63</v>
      </c>
      <c r="BA1240" t="s">
        <v>63</v>
      </c>
      <c r="BB1240" t="s">
        <v>63</v>
      </c>
      <c r="BC1240" t="s">
        <v>63</v>
      </c>
      <c r="BD1240" t="s">
        <v>63</v>
      </c>
      <c r="BE1240" t="s">
        <v>63</v>
      </c>
      <c r="BF1240" t="s">
        <v>63</v>
      </c>
    </row>
    <row r="1241" spans="1:58">
      <c r="A1241" t="s">
        <v>58</v>
      </c>
      <c r="B1241" t="s">
        <v>11024</v>
      </c>
      <c r="C1241" t="s">
        <v>11025</v>
      </c>
      <c r="D1241" t="s">
        <v>1406</v>
      </c>
      <c r="E1241" t="s">
        <v>1407</v>
      </c>
      <c r="F1241">
        <v>2006</v>
      </c>
      <c r="G1241" t="s">
        <v>1670</v>
      </c>
      <c r="H1241">
        <v>106</v>
      </c>
      <c r="I1241">
        <v>7</v>
      </c>
      <c r="J1241">
        <v>425</v>
      </c>
      <c r="K1241" t="s">
        <v>11026</v>
      </c>
      <c r="L1241" t="s">
        <v>11027</v>
      </c>
      <c r="M1241" t="s">
        <v>63</v>
      </c>
      <c r="N1241" t="s">
        <v>11028</v>
      </c>
      <c r="O1241" t="s">
        <v>63</v>
      </c>
      <c r="Q1241" t="s">
        <v>63</v>
      </c>
      <c r="R1241" t="s">
        <v>63</v>
      </c>
      <c r="S1241" t="s">
        <v>63</v>
      </c>
      <c r="T1241" t="s">
        <v>63</v>
      </c>
      <c r="X1241" t="s">
        <v>63</v>
      </c>
      <c r="Y1241" t="s">
        <v>1411</v>
      </c>
      <c r="Z1241" t="s">
        <v>63</v>
      </c>
      <c r="AA1241" t="s">
        <v>63</v>
      </c>
      <c r="AB1241">
        <v>16912344</v>
      </c>
      <c r="AC1241" t="s">
        <v>67</v>
      </c>
      <c r="AD1241" t="s">
        <v>63</v>
      </c>
      <c r="AE1241" t="s">
        <v>63</v>
      </c>
      <c r="AF1241" t="s">
        <v>63</v>
      </c>
      <c r="AG1241" t="s">
        <v>11029</v>
      </c>
      <c r="AH1241" t="s">
        <v>63</v>
      </c>
      <c r="AI1241" t="s">
        <v>63</v>
      </c>
      <c r="AJ1241" t="s">
        <v>63</v>
      </c>
      <c r="AK1241" t="s">
        <v>63</v>
      </c>
      <c r="AL1241" t="s">
        <v>63</v>
      </c>
      <c r="AM1241" t="s">
        <v>11030</v>
      </c>
      <c r="AN1241" t="s">
        <v>63</v>
      </c>
      <c r="AO1241" t="s">
        <v>63</v>
      </c>
      <c r="AP1241" t="s">
        <v>63</v>
      </c>
      <c r="AQ1241" t="s">
        <v>63</v>
      </c>
      <c r="AR1241" t="s">
        <v>63</v>
      </c>
      <c r="AS1241" t="s">
        <v>63</v>
      </c>
      <c r="AT1241" t="s">
        <v>63</v>
      </c>
      <c r="AU1241" t="s">
        <v>63</v>
      </c>
      <c r="AV1241" t="s">
        <v>63</v>
      </c>
      <c r="AW1241" t="s">
        <v>63</v>
      </c>
      <c r="AX1241" t="s">
        <v>63</v>
      </c>
      <c r="AY1241" t="s">
        <v>63</v>
      </c>
      <c r="AZ1241" t="s">
        <v>63</v>
      </c>
      <c r="BA1241" t="s">
        <v>63</v>
      </c>
      <c r="BB1241" t="s">
        <v>63</v>
      </c>
      <c r="BC1241" t="s">
        <v>63</v>
      </c>
      <c r="BD1241" t="s">
        <v>63</v>
      </c>
      <c r="BE1241" t="s">
        <v>63</v>
      </c>
      <c r="BF1241" t="s">
        <v>63</v>
      </c>
    </row>
    <row r="1242" spans="1:58">
      <c r="A1242" t="s">
        <v>58</v>
      </c>
      <c r="B1242" t="s">
        <v>11031</v>
      </c>
      <c r="C1242" t="s">
        <v>11032</v>
      </c>
      <c r="D1242" t="s">
        <v>11033</v>
      </c>
      <c r="E1242" t="s">
        <v>63</v>
      </c>
      <c r="F1242">
        <v>2014</v>
      </c>
      <c r="G1242" s="1">
        <v>41639</v>
      </c>
      <c r="H1242">
        <v>2</v>
      </c>
      <c r="I1242">
        <v>1</v>
      </c>
      <c r="J1242">
        <v>183</v>
      </c>
      <c r="K1242">
        <v>197</v>
      </c>
      <c r="L1242" t="s">
        <v>63</v>
      </c>
      <c r="M1242" t="s">
        <v>11034</v>
      </c>
      <c r="N1242" t="s">
        <v>11035</v>
      </c>
      <c r="O1242" t="s">
        <v>63</v>
      </c>
      <c r="Q1242" t="s">
        <v>63</v>
      </c>
      <c r="R1242" t="s">
        <v>63</v>
      </c>
      <c r="S1242" t="s">
        <v>63</v>
      </c>
      <c r="T1242" t="s">
        <v>63</v>
      </c>
      <c r="X1242" t="s">
        <v>63</v>
      </c>
      <c r="Y1242" t="s">
        <v>11036</v>
      </c>
      <c r="Z1242" t="s">
        <v>63</v>
      </c>
      <c r="AA1242" t="s">
        <v>11037</v>
      </c>
      <c r="AB1242">
        <v>25750776</v>
      </c>
      <c r="AC1242" t="s">
        <v>67</v>
      </c>
      <c r="AD1242" t="s">
        <v>63</v>
      </c>
      <c r="AE1242" t="s">
        <v>63</v>
      </c>
      <c r="AF1242" t="s">
        <v>63</v>
      </c>
      <c r="AG1242" t="s">
        <v>11038</v>
      </c>
      <c r="AH1242" t="s">
        <v>63</v>
      </c>
      <c r="AI1242" t="s">
        <v>63</v>
      </c>
      <c r="AJ1242" t="s">
        <v>63</v>
      </c>
      <c r="AK1242" t="s">
        <v>63</v>
      </c>
      <c r="AL1242" t="s">
        <v>63</v>
      </c>
      <c r="AM1242" t="s">
        <v>11039</v>
      </c>
      <c r="AN1242" t="s">
        <v>63</v>
      </c>
      <c r="AO1242" t="s">
        <v>63</v>
      </c>
      <c r="AP1242" t="s">
        <v>63</v>
      </c>
      <c r="AQ1242" t="s">
        <v>63</v>
      </c>
      <c r="AR1242" t="s">
        <v>63</v>
      </c>
      <c r="AS1242" t="s">
        <v>63</v>
      </c>
      <c r="AT1242" t="s">
        <v>63</v>
      </c>
      <c r="AU1242" t="s">
        <v>63</v>
      </c>
      <c r="AV1242" t="s">
        <v>63</v>
      </c>
      <c r="AW1242" t="s">
        <v>63</v>
      </c>
      <c r="AX1242" t="s">
        <v>63</v>
      </c>
      <c r="AY1242" t="s">
        <v>63</v>
      </c>
      <c r="AZ1242" t="s">
        <v>63</v>
      </c>
      <c r="BA1242" t="s">
        <v>63</v>
      </c>
      <c r="BB1242" t="s">
        <v>63</v>
      </c>
      <c r="BC1242" t="s">
        <v>63</v>
      </c>
      <c r="BD1242" t="s">
        <v>63</v>
      </c>
      <c r="BE1242" t="s">
        <v>63</v>
      </c>
      <c r="BF1242" t="s">
        <v>63</v>
      </c>
    </row>
    <row r="1243" spans="1:58">
      <c r="A1243" t="s">
        <v>58</v>
      </c>
      <c r="B1243" t="s">
        <v>11040</v>
      </c>
      <c r="C1243" t="s">
        <v>11041</v>
      </c>
      <c r="D1243" t="s">
        <v>4850</v>
      </c>
      <c r="E1243" t="s">
        <v>63</v>
      </c>
      <c r="F1243">
        <v>1978</v>
      </c>
      <c r="G1243" t="s">
        <v>138</v>
      </c>
      <c r="H1243">
        <v>2</v>
      </c>
      <c r="I1243">
        <v>4</v>
      </c>
      <c r="J1243">
        <v>358</v>
      </c>
      <c r="K1243">
        <v>361</v>
      </c>
      <c r="L1243" t="s">
        <v>11042</v>
      </c>
      <c r="M1243" t="s">
        <v>11043</v>
      </c>
      <c r="N1243" t="s">
        <v>11044</v>
      </c>
      <c r="O1243" t="s">
        <v>63</v>
      </c>
      <c r="Q1243" t="s">
        <v>63</v>
      </c>
      <c r="R1243" t="s">
        <v>63</v>
      </c>
      <c r="S1243" t="s">
        <v>63</v>
      </c>
      <c r="T1243" t="s">
        <v>63</v>
      </c>
      <c r="X1243" t="s">
        <v>63</v>
      </c>
      <c r="Y1243" t="s">
        <v>4853</v>
      </c>
      <c r="Z1243" t="s">
        <v>63</v>
      </c>
      <c r="AA1243" t="s">
        <v>63</v>
      </c>
      <c r="AB1243">
        <v>367205</v>
      </c>
      <c r="AC1243" t="s">
        <v>67</v>
      </c>
      <c r="AD1243" t="s">
        <v>63</v>
      </c>
      <c r="AE1243" t="s">
        <v>63</v>
      </c>
      <c r="AF1243" t="s">
        <v>63</v>
      </c>
      <c r="AG1243" t="s">
        <v>11045</v>
      </c>
      <c r="AH1243" t="s">
        <v>63</v>
      </c>
      <c r="AI1243" t="s">
        <v>63</v>
      </c>
      <c r="AJ1243" t="s">
        <v>63</v>
      </c>
      <c r="AK1243" t="s">
        <v>63</v>
      </c>
      <c r="AL1243" t="s">
        <v>63</v>
      </c>
      <c r="AM1243" t="s">
        <v>11046</v>
      </c>
      <c r="AN1243" t="s">
        <v>63</v>
      </c>
      <c r="AO1243" t="s">
        <v>63</v>
      </c>
      <c r="AP1243" t="s">
        <v>63</v>
      </c>
      <c r="AQ1243" t="s">
        <v>63</v>
      </c>
      <c r="AR1243" t="s">
        <v>63</v>
      </c>
      <c r="AS1243" t="s">
        <v>63</v>
      </c>
      <c r="AT1243" t="s">
        <v>63</v>
      </c>
      <c r="AU1243" t="s">
        <v>63</v>
      </c>
      <c r="AV1243" t="s">
        <v>63</v>
      </c>
      <c r="AW1243" t="s">
        <v>63</v>
      </c>
      <c r="AX1243" t="s">
        <v>63</v>
      </c>
      <c r="AY1243" t="s">
        <v>63</v>
      </c>
      <c r="AZ1243" t="s">
        <v>63</v>
      </c>
      <c r="BA1243" t="s">
        <v>63</v>
      </c>
      <c r="BB1243" t="s">
        <v>63</v>
      </c>
      <c r="BC1243" t="s">
        <v>63</v>
      </c>
      <c r="BD1243" t="s">
        <v>63</v>
      </c>
      <c r="BE1243" t="s">
        <v>63</v>
      </c>
      <c r="BF1243" t="s">
        <v>63</v>
      </c>
    </row>
    <row r="1244" spans="1:58">
      <c r="A1244" t="s">
        <v>58</v>
      </c>
      <c r="B1244" t="s">
        <v>11040</v>
      </c>
      <c r="C1244" t="s">
        <v>11047</v>
      </c>
      <c r="D1244" t="s">
        <v>4116</v>
      </c>
      <c r="E1244" t="s">
        <v>4117</v>
      </c>
      <c r="F1244">
        <v>1976</v>
      </c>
      <c r="G1244" t="s">
        <v>219</v>
      </c>
      <c r="H1244">
        <v>37</v>
      </c>
      <c r="I1244">
        <v>11</v>
      </c>
      <c r="J1244">
        <v>1655</v>
      </c>
      <c r="K1244">
        <v>1665</v>
      </c>
      <c r="L1244" t="s">
        <v>11048</v>
      </c>
      <c r="M1244" t="s">
        <v>11049</v>
      </c>
      <c r="N1244" t="s">
        <v>11050</v>
      </c>
      <c r="O1244" t="s">
        <v>63</v>
      </c>
      <c r="Q1244" t="s">
        <v>63</v>
      </c>
      <c r="R1244" t="s">
        <v>63</v>
      </c>
      <c r="S1244" t="s">
        <v>63</v>
      </c>
      <c r="T1244" t="s">
        <v>63</v>
      </c>
      <c r="X1244" t="s">
        <v>63</v>
      </c>
      <c r="Y1244" t="s">
        <v>4121</v>
      </c>
      <c r="Z1244" t="s">
        <v>63</v>
      </c>
      <c r="AA1244" t="s">
        <v>63</v>
      </c>
      <c r="AB1244">
        <v>794590</v>
      </c>
      <c r="AC1244" t="s">
        <v>67</v>
      </c>
      <c r="AD1244" t="s">
        <v>63</v>
      </c>
      <c r="AE1244" t="s">
        <v>63</v>
      </c>
      <c r="AF1244" t="s">
        <v>63</v>
      </c>
      <c r="AG1244" t="s">
        <v>11051</v>
      </c>
      <c r="AH1244" t="s">
        <v>63</v>
      </c>
      <c r="AI1244" t="s">
        <v>63</v>
      </c>
      <c r="AJ1244" t="s">
        <v>63</v>
      </c>
      <c r="AK1244" t="s">
        <v>63</v>
      </c>
      <c r="AL1244" t="s">
        <v>63</v>
      </c>
      <c r="AM1244" t="s">
        <v>11052</v>
      </c>
      <c r="AN1244" t="s">
        <v>63</v>
      </c>
      <c r="AO1244" t="s">
        <v>63</v>
      </c>
      <c r="AP1244" t="s">
        <v>63</v>
      </c>
      <c r="AQ1244" t="s">
        <v>63</v>
      </c>
      <c r="AR1244" t="s">
        <v>63</v>
      </c>
      <c r="AS1244" t="s">
        <v>63</v>
      </c>
      <c r="AT1244" t="s">
        <v>63</v>
      </c>
      <c r="AU1244" t="s">
        <v>63</v>
      </c>
      <c r="AV1244" t="s">
        <v>63</v>
      </c>
      <c r="AW1244" t="s">
        <v>63</v>
      </c>
      <c r="AX1244" t="s">
        <v>63</v>
      </c>
      <c r="AY1244" t="s">
        <v>63</v>
      </c>
      <c r="AZ1244" t="s">
        <v>63</v>
      </c>
      <c r="BA1244" t="s">
        <v>63</v>
      </c>
      <c r="BB1244" t="s">
        <v>63</v>
      </c>
      <c r="BC1244" t="s">
        <v>63</v>
      </c>
      <c r="BD1244" t="s">
        <v>63</v>
      </c>
      <c r="BE1244" t="s">
        <v>63</v>
      </c>
      <c r="BF1244" t="s">
        <v>63</v>
      </c>
    </row>
    <row r="1245" spans="1:58">
      <c r="A1245" t="s">
        <v>58</v>
      </c>
      <c r="B1245" t="s">
        <v>11053</v>
      </c>
      <c r="C1245" t="s">
        <v>11054</v>
      </c>
      <c r="D1245" t="s">
        <v>11055</v>
      </c>
      <c r="E1245" t="s">
        <v>11056</v>
      </c>
      <c r="F1245">
        <v>1993</v>
      </c>
      <c r="G1245" t="s">
        <v>219</v>
      </c>
      <c r="H1245">
        <v>62</v>
      </c>
      <c r="I1245" s="1">
        <v>41640</v>
      </c>
      <c r="J1245">
        <v>121</v>
      </c>
      <c r="K1245">
        <v>128</v>
      </c>
      <c r="L1245" t="s">
        <v>11057</v>
      </c>
      <c r="M1245" t="s">
        <v>11058</v>
      </c>
      <c r="N1245" t="s">
        <v>11059</v>
      </c>
      <c r="O1245" t="s">
        <v>63</v>
      </c>
      <c r="Q1245" t="s">
        <v>63</v>
      </c>
      <c r="R1245" t="s">
        <v>63</v>
      </c>
      <c r="S1245" t="s">
        <v>63</v>
      </c>
      <c r="T1245" t="s">
        <v>63</v>
      </c>
      <c r="X1245" t="s">
        <v>63</v>
      </c>
      <c r="Y1245" t="s">
        <v>11060</v>
      </c>
      <c r="Z1245" t="s">
        <v>63</v>
      </c>
      <c r="AA1245" t="s">
        <v>11061</v>
      </c>
      <c r="AB1245">
        <v>8300023</v>
      </c>
      <c r="AC1245" t="s">
        <v>67</v>
      </c>
      <c r="AD1245" t="s">
        <v>63</v>
      </c>
      <c r="AE1245" t="s">
        <v>63</v>
      </c>
      <c r="AF1245" t="s">
        <v>63</v>
      </c>
      <c r="AG1245" t="s">
        <v>11062</v>
      </c>
      <c r="AH1245" t="s">
        <v>63</v>
      </c>
      <c r="AI1245" t="s">
        <v>63</v>
      </c>
      <c r="AJ1245" t="s">
        <v>63</v>
      </c>
      <c r="AK1245" t="s">
        <v>63</v>
      </c>
      <c r="AL1245" t="s">
        <v>63</v>
      </c>
      <c r="AM1245" t="s">
        <v>11063</v>
      </c>
      <c r="AN1245" t="s">
        <v>63</v>
      </c>
      <c r="AO1245" t="s">
        <v>63</v>
      </c>
      <c r="AP1245" t="s">
        <v>63</v>
      </c>
      <c r="AQ1245" t="s">
        <v>63</v>
      </c>
      <c r="AR1245" t="s">
        <v>63</v>
      </c>
      <c r="AS1245" t="s">
        <v>63</v>
      </c>
      <c r="AT1245" t="s">
        <v>63</v>
      </c>
      <c r="AU1245" t="s">
        <v>63</v>
      </c>
      <c r="AV1245" t="s">
        <v>63</v>
      </c>
      <c r="AW1245" t="s">
        <v>63</v>
      </c>
      <c r="AX1245" t="s">
        <v>63</v>
      </c>
      <c r="AY1245" t="s">
        <v>63</v>
      </c>
      <c r="AZ1245" t="s">
        <v>63</v>
      </c>
      <c r="BA1245" t="s">
        <v>63</v>
      </c>
      <c r="BB1245" t="s">
        <v>63</v>
      </c>
      <c r="BC1245" t="s">
        <v>63</v>
      </c>
      <c r="BD1245" t="s">
        <v>63</v>
      </c>
      <c r="BE1245" t="s">
        <v>63</v>
      </c>
      <c r="BF1245" t="s">
        <v>63</v>
      </c>
    </row>
    <row r="1246" spans="1:58">
      <c r="A1246" t="s">
        <v>58</v>
      </c>
      <c r="B1246" t="s">
        <v>11064</v>
      </c>
      <c r="C1246" t="s">
        <v>11065</v>
      </c>
      <c r="D1246" t="s">
        <v>1993</v>
      </c>
      <c r="E1246" t="s">
        <v>1994</v>
      </c>
      <c r="F1246">
        <v>2013</v>
      </c>
      <c r="G1246" t="s">
        <v>274</v>
      </c>
      <c r="H1246">
        <v>96</v>
      </c>
      <c r="I1246">
        <v>3</v>
      </c>
      <c r="J1246">
        <v>34</v>
      </c>
      <c r="K1246">
        <v>35</v>
      </c>
      <c r="L1246" t="s">
        <v>11066</v>
      </c>
      <c r="M1246" t="s">
        <v>63</v>
      </c>
      <c r="N1246" t="s">
        <v>11067</v>
      </c>
      <c r="O1246" t="s">
        <v>63</v>
      </c>
      <c r="Q1246" t="s">
        <v>63</v>
      </c>
      <c r="R1246" t="s">
        <v>63</v>
      </c>
      <c r="S1246" t="s">
        <v>63</v>
      </c>
      <c r="T1246" t="s">
        <v>63</v>
      </c>
      <c r="X1246" t="s">
        <v>63</v>
      </c>
      <c r="Y1246" t="s">
        <v>1997</v>
      </c>
      <c r="Z1246" t="s">
        <v>63</v>
      </c>
      <c r="AA1246" t="s">
        <v>11068</v>
      </c>
      <c r="AB1246">
        <v>23930466</v>
      </c>
      <c r="AC1246" t="s">
        <v>67</v>
      </c>
      <c r="AD1246" t="s">
        <v>63</v>
      </c>
      <c r="AE1246" t="s">
        <v>63</v>
      </c>
      <c r="AF1246" t="s">
        <v>63</v>
      </c>
      <c r="AG1246" t="s">
        <v>11069</v>
      </c>
      <c r="AH1246" t="s">
        <v>63</v>
      </c>
      <c r="AI1246" t="s">
        <v>63</v>
      </c>
      <c r="AJ1246" t="s">
        <v>63</v>
      </c>
      <c r="AK1246" t="s">
        <v>63</v>
      </c>
      <c r="AL1246" t="s">
        <v>63</v>
      </c>
      <c r="AM1246" t="s">
        <v>11070</v>
      </c>
      <c r="AN1246" t="s">
        <v>63</v>
      </c>
      <c r="AO1246" t="s">
        <v>63</v>
      </c>
      <c r="AP1246" t="s">
        <v>63</v>
      </c>
      <c r="AQ1246" t="s">
        <v>63</v>
      </c>
      <c r="AR1246" t="s">
        <v>63</v>
      </c>
      <c r="AS1246" t="s">
        <v>63</v>
      </c>
      <c r="AT1246" t="s">
        <v>63</v>
      </c>
      <c r="AU1246" t="s">
        <v>63</v>
      </c>
      <c r="AV1246" t="s">
        <v>63</v>
      </c>
      <c r="AW1246" t="s">
        <v>63</v>
      </c>
      <c r="AX1246" t="s">
        <v>63</v>
      </c>
      <c r="AY1246" t="s">
        <v>63</v>
      </c>
      <c r="AZ1246" t="s">
        <v>63</v>
      </c>
      <c r="BA1246" t="s">
        <v>63</v>
      </c>
      <c r="BB1246" t="s">
        <v>63</v>
      </c>
      <c r="BC1246" t="s">
        <v>63</v>
      </c>
      <c r="BD1246" t="s">
        <v>63</v>
      </c>
      <c r="BE1246" t="s">
        <v>63</v>
      </c>
      <c r="BF1246" t="s">
        <v>63</v>
      </c>
    </row>
    <row r="1247" spans="1:58">
      <c r="A1247" t="s">
        <v>58</v>
      </c>
      <c r="B1247" t="s">
        <v>11071</v>
      </c>
      <c r="C1247" t="s">
        <v>11072</v>
      </c>
      <c r="D1247" t="s">
        <v>325</v>
      </c>
      <c r="E1247" t="s">
        <v>63</v>
      </c>
      <c r="F1247">
        <v>2018</v>
      </c>
      <c r="G1247" s="1">
        <v>41755</v>
      </c>
      <c r="H1247" t="s">
        <v>63</v>
      </c>
      <c r="I1247" t="s">
        <v>63</v>
      </c>
      <c r="J1247">
        <v>27</v>
      </c>
      <c r="K1247" t="s">
        <v>63</v>
      </c>
      <c r="L1247" t="s">
        <v>63</v>
      </c>
      <c r="M1247" t="s">
        <v>11073</v>
      </c>
      <c r="N1247" t="s">
        <v>11074</v>
      </c>
      <c r="O1247" t="s">
        <v>63</v>
      </c>
      <c r="Q1247" t="s">
        <v>63</v>
      </c>
      <c r="R1247" t="s">
        <v>63</v>
      </c>
      <c r="S1247" t="s">
        <v>63</v>
      </c>
      <c r="T1247" t="s">
        <v>63</v>
      </c>
      <c r="X1247" t="s">
        <v>63</v>
      </c>
      <c r="Y1247" t="s">
        <v>330</v>
      </c>
      <c r="Z1247" t="s">
        <v>63</v>
      </c>
      <c r="AA1247" t="s">
        <v>11075</v>
      </c>
      <c r="AB1247">
        <v>29704194</v>
      </c>
      <c r="AC1247" t="s">
        <v>67</v>
      </c>
      <c r="AD1247" t="s">
        <v>63</v>
      </c>
      <c r="AE1247" t="s">
        <v>63</v>
      </c>
      <c r="AF1247" t="s">
        <v>63</v>
      </c>
      <c r="AG1247" t="s">
        <v>11076</v>
      </c>
      <c r="AH1247" t="s">
        <v>63</v>
      </c>
      <c r="AI1247" t="s">
        <v>11077</v>
      </c>
      <c r="AJ1247" t="s">
        <v>63</v>
      </c>
      <c r="AK1247" t="s">
        <v>63</v>
      </c>
      <c r="AL1247" t="s">
        <v>63</v>
      </c>
      <c r="AM1247" t="s">
        <v>11078</v>
      </c>
      <c r="AN1247" t="s">
        <v>63</v>
      </c>
      <c r="AO1247" t="s">
        <v>63</v>
      </c>
      <c r="AP1247" t="s">
        <v>63</v>
      </c>
      <c r="AQ1247" t="s">
        <v>63</v>
      </c>
      <c r="AR1247" t="s">
        <v>63</v>
      </c>
      <c r="AS1247" t="s">
        <v>63</v>
      </c>
      <c r="AT1247" t="s">
        <v>63</v>
      </c>
      <c r="AU1247" t="s">
        <v>63</v>
      </c>
      <c r="AV1247" t="s">
        <v>63</v>
      </c>
      <c r="AW1247" t="s">
        <v>63</v>
      </c>
      <c r="AX1247" t="s">
        <v>63</v>
      </c>
      <c r="AY1247" t="s">
        <v>63</v>
      </c>
      <c r="AZ1247" t="s">
        <v>63</v>
      </c>
      <c r="BA1247" t="s">
        <v>63</v>
      </c>
      <c r="BB1247" t="s">
        <v>63</v>
      </c>
      <c r="BC1247" t="s">
        <v>63</v>
      </c>
      <c r="BD1247" t="s">
        <v>63</v>
      </c>
      <c r="BE1247" t="s">
        <v>63</v>
      </c>
      <c r="BF1247" t="s">
        <v>63</v>
      </c>
    </row>
    <row r="1248" spans="1:58">
      <c r="A1248" t="s">
        <v>58</v>
      </c>
      <c r="B1248" t="s">
        <v>11079</v>
      </c>
      <c r="C1248" t="s">
        <v>11080</v>
      </c>
      <c r="D1248" t="s">
        <v>11081</v>
      </c>
      <c r="E1248" t="s">
        <v>63</v>
      </c>
      <c r="F1248">
        <v>2009</v>
      </c>
      <c r="G1248" t="s">
        <v>181</v>
      </c>
      <c r="H1248">
        <v>13</v>
      </c>
      <c r="I1248">
        <v>2</v>
      </c>
      <c r="J1248">
        <v>144</v>
      </c>
      <c r="K1248">
        <v>153</v>
      </c>
      <c r="L1248" t="s">
        <v>11082</v>
      </c>
      <c r="M1248" t="s">
        <v>11083</v>
      </c>
      <c r="N1248" t="s">
        <v>11084</v>
      </c>
      <c r="O1248" t="s">
        <v>63</v>
      </c>
      <c r="Q1248" t="s">
        <v>63</v>
      </c>
      <c r="R1248" t="s">
        <v>63</v>
      </c>
      <c r="S1248" t="s">
        <v>63</v>
      </c>
      <c r="T1248" t="s">
        <v>63</v>
      </c>
      <c r="X1248" t="s">
        <v>63</v>
      </c>
      <c r="Y1248" t="s">
        <v>11085</v>
      </c>
      <c r="Z1248" t="s">
        <v>63</v>
      </c>
      <c r="AA1248" t="s">
        <v>11086</v>
      </c>
      <c r="AB1248">
        <v>19448150</v>
      </c>
      <c r="AC1248" t="s">
        <v>67</v>
      </c>
      <c r="AD1248" t="s">
        <v>63</v>
      </c>
      <c r="AE1248" t="s">
        <v>63</v>
      </c>
      <c r="AF1248" t="s">
        <v>63</v>
      </c>
      <c r="AG1248" t="s">
        <v>11087</v>
      </c>
      <c r="AH1248" t="s">
        <v>63</v>
      </c>
      <c r="AI1248" t="s">
        <v>11088</v>
      </c>
      <c r="AJ1248" t="s">
        <v>63</v>
      </c>
      <c r="AK1248" t="s">
        <v>63</v>
      </c>
      <c r="AL1248" t="s">
        <v>63</v>
      </c>
      <c r="AM1248" t="s">
        <v>11089</v>
      </c>
      <c r="AN1248" t="s">
        <v>63</v>
      </c>
      <c r="AO1248" t="s">
        <v>63</v>
      </c>
      <c r="AP1248" t="s">
        <v>63</v>
      </c>
      <c r="AQ1248" t="s">
        <v>63</v>
      </c>
      <c r="AR1248" t="s">
        <v>63</v>
      </c>
      <c r="AS1248" t="s">
        <v>63</v>
      </c>
      <c r="AT1248" t="s">
        <v>63</v>
      </c>
      <c r="AU1248" t="s">
        <v>63</v>
      </c>
      <c r="AV1248" t="s">
        <v>63</v>
      </c>
      <c r="AW1248" t="s">
        <v>63</v>
      </c>
      <c r="AX1248" t="s">
        <v>63</v>
      </c>
      <c r="AY1248" t="s">
        <v>63</v>
      </c>
      <c r="AZ1248" t="s">
        <v>63</v>
      </c>
      <c r="BA1248" t="s">
        <v>63</v>
      </c>
      <c r="BB1248" t="s">
        <v>63</v>
      </c>
      <c r="BC1248" t="s">
        <v>63</v>
      </c>
      <c r="BD1248" t="s">
        <v>63</v>
      </c>
      <c r="BE1248" t="s">
        <v>63</v>
      </c>
      <c r="BF1248" t="s">
        <v>63</v>
      </c>
    </row>
    <row r="1249" spans="1:58">
      <c r="A1249" t="s">
        <v>58</v>
      </c>
      <c r="B1249" t="s">
        <v>11090</v>
      </c>
      <c r="C1249" t="s">
        <v>11091</v>
      </c>
      <c r="D1249" t="s">
        <v>11092</v>
      </c>
      <c r="E1249" t="s">
        <v>11093</v>
      </c>
      <c r="F1249">
        <v>2009</v>
      </c>
      <c r="G1249" t="s">
        <v>138</v>
      </c>
      <c r="H1249">
        <v>43</v>
      </c>
      <c r="I1249">
        <v>10</v>
      </c>
      <c r="J1249">
        <v>1616</v>
      </c>
      <c r="K1249">
        <v>1620</v>
      </c>
      <c r="L1249" t="s">
        <v>11094</v>
      </c>
      <c r="M1249" t="s">
        <v>11095</v>
      </c>
      <c r="N1249" t="s">
        <v>11096</v>
      </c>
      <c r="O1249" t="s">
        <v>63</v>
      </c>
      <c r="Q1249" t="s">
        <v>63</v>
      </c>
      <c r="R1249" t="s">
        <v>63</v>
      </c>
      <c r="S1249" t="s">
        <v>63</v>
      </c>
      <c r="T1249" t="s">
        <v>63</v>
      </c>
      <c r="X1249" t="s">
        <v>63</v>
      </c>
      <c r="Y1249" t="s">
        <v>11097</v>
      </c>
      <c r="Z1249" t="s">
        <v>63</v>
      </c>
      <c r="AA1249" t="s">
        <v>11098</v>
      </c>
      <c r="AB1249">
        <v>19737992</v>
      </c>
      <c r="AC1249" t="s">
        <v>67</v>
      </c>
      <c r="AD1249" t="s">
        <v>63</v>
      </c>
      <c r="AE1249" t="s">
        <v>63</v>
      </c>
      <c r="AF1249" t="s">
        <v>63</v>
      </c>
      <c r="AG1249" t="s">
        <v>11099</v>
      </c>
      <c r="AH1249" t="s">
        <v>63</v>
      </c>
      <c r="AI1249" t="s">
        <v>11100</v>
      </c>
      <c r="AJ1249" t="s">
        <v>63</v>
      </c>
      <c r="AK1249" t="s">
        <v>63</v>
      </c>
      <c r="AL1249" t="s">
        <v>63</v>
      </c>
      <c r="AM1249" t="s">
        <v>11101</v>
      </c>
      <c r="AN1249" t="s">
        <v>63</v>
      </c>
      <c r="AO1249" t="s">
        <v>63</v>
      </c>
      <c r="AP1249" t="s">
        <v>63</v>
      </c>
      <c r="AQ1249" t="s">
        <v>63</v>
      </c>
      <c r="AR1249" t="s">
        <v>63</v>
      </c>
      <c r="AS1249" t="s">
        <v>63</v>
      </c>
      <c r="AT1249" t="s">
        <v>63</v>
      </c>
      <c r="AU1249" t="s">
        <v>63</v>
      </c>
      <c r="AV1249" t="s">
        <v>63</v>
      </c>
      <c r="AW1249" t="s">
        <v>63</v>
      </c>
      <c r="AX1249" t="s">
        <v>63</v>
      </c>
      <c r="AY1249" t="s">
        <v>63</v>
      </c>
      <c r="AZ1249" t="s">
        <v>63</v>
      </c>
      <c r="BA1249" t="s">
        <v>63</v>
      </c>
      <c r="BB1249" t="s">
        <v>63</v>
      </c>
      <c r="BC1249" t="s">
        <v>63</v>
      </c>
      <c r="BD1249" t="s">
        <v>63</v>
      </c>
      <c r="BE1249" t="s">
        <v>63</v>
      </c>
      <c r="BF1249" t="s">
        <v>63</v>
      </c>
    </row>
    <row r="1250" spans="1:58">
      <c r="A1250" t="s">
        <v>58</v>
      </c>
      <c r="B1250" t="s">
        <v>11102</v>
      </c>
      <c r="C1250" t="s">
        <v>11103</v>
      </c>
      <c r="D1250" t="s">
        <v>325</v>
      </c>
      <c r="E1250" t="s">
        <v>63</v>
      </c>
      <c r="F1250">
        <v>2016</v>
      </c>
      <c r="G1250" t="s">
        <v>73</v>
      </c>
      <c r="H1250">
        <v>40</v>
      </c>
      <c r="I1250">
        <v>3</v>
      </c>
      <c r="J1250">
        <v>454</v>
      </c>
      <c r="K1250">
        <v>460</v>
      </c>
      <c r="L1250" t="s">
        <v>11104</v>
      </c>
      <c r="M1250" t="s">
        <v>11105</v>
      </c>
      <c r="N1250" t="s">
        <v>11106</v>
      </c>
      <c r="O1250" t="s">
        <v>63</v>
      </c>
      <c r="Q1250" t="s">
        <v>63</v>
      </c>
      <c r="R1250" t="s">
        <v>63</v>
      </c>
      <c r="S1250" t="s">
        <v>63</v>
      </c>
      <c r="T1250" t="s">
        <v>63</v>
      </c>
      <c r="X1250" t="s">
        <v>63</v>
      </c>
      <c r="Y1250" t="s">
        <v>330</v>
      </c>
      <c r="Z1250" t="s">
        <v>63</v>
      </c>
      <c r="AA1250" t="s">
        <v>11107</v>
      </c>
      <c r="AB1250">
        <v>25749922</v>
      </c>
      <c r="AC1250" t="s">
        <v>67</v>
      </c>
      <c r="AD1250" t="s">
        <v>63</v>
      </c>
      <c r="AE1250" t="s">
        <v>63</v>
      </c>
      <c r="AF1250" t="s">
        <v>63</v>
      </c>
      <c r="AG1250" t="s">
        <v>11108</v>
      </c>
      <c r="AH1250" t="s">
        <v>63</v>
      </c>
      <c r="AI1250" t="s">
        <v>11109</v>
      </c>
      <c r="AJ1250" t="s">
        <v>63</v>
      </c>
      <c r="AK1250" t="s">
        <v>63</v>
      </c>
      <c r="AL1250" t="s">
        <v>63</v>
      </c>
      <c r="AM1250" t="s">
        <v>11110</v>
      </c>
      <c r="AN1250" t="s">
        <v>63</v>
      </c>
      <c r="AO1250" t="s">
        <v>63</v>
      </c>
      <c r="AP1250" t="s">
        <v>63</v>
      </c>
      <c r="AQ1250" t="s">
        <v>63</v>
      </c>
      <c r="AR1250" t="s">
        <v>63</v>
      </c>
      <c r="AS1250" t="s">
        <v>63</v>
      </c>
      <c r="AT1250" t="s">
        <v>63</v>
      </c>
      <c r="AU1250" t="s">
        <v>63</v>
      </c>
      <c r="AV1250" t="s">
        <v>63</v>
      </c>
      <c r="AW1250" t="s">
        <v>63</v>
      </c>
      <c r="AX1250" t="s">
        <v>63</v>
      </c>
      <c r="AY1250" t="s">
        <v>63</v>
      </c>
      <c r="AZ1250" t="s">
        <v>63</v>
      </c>
      <c r="BA1250" t="s">
        <v>63</v>
      </c>
      <c r="BB1250" t="s">
        <v>63</v>
      </c>
      <c r="BC1250" t="s">
        <v>63</v>
      </c>
      <c r="BD1250" t="s">
        <v>63</v>
      </c>
      <c r="BE1250" t="s">
        <v>63</v>
      </c>
      <c r="BF1250" t="s">
        <v>63</v>
      </c>
    </row>
    <row r="1251" spans="1:58">
      <c r="A1251" t="s">
        <v>58</v>
      </c>
      <c r="B1251" t="s">
        <v>11111</v>
      </c>
      <c r="C1251" t="s">
        <v>11112</v>
      </c>
      <c r="D1251" t="s">
        <v>11113</v>
      </c>
      <c r="E1251" t="s">
        <v>63</v>
      </c>
      <c r="F1251">
        <v>2007</v>
      </c>
      <c r="G1251" t="s">
        <v>198</v>
      </c>
      <c r="H1251">
        <v>196</v>
      </c>
      <c r="I1251">
        <v>1</v>
      </c>
      <c r="J1251" s="3">
        <v>860</v>
      </c>
      <c r="K1251" s="3">
        <v>8600000</v>
      </c>
      <c r="L1251" t="s">
        <v>11114</v>
      </c>
      <c r="M1251" t="s">
        <v>11115</v>
      </c>
      <c r="N1251" t="s">
        <v>11116</v>
      </c>
      <c r="O1251" t="s">
        <v>63</v>
      </c>
      <c r="Q1251" t="s">
        <v>63</v>
      </c>
      <c r="R1251" t="s">
        <v>63</v>
      </c>
      <c r="S1251" t="s">
        <v>63</v>
      </c>
      <c r="T1251" t="s">
        <v>63</v>
      </c>
      <c r="X1251" t="s">
        <v>63</v>
      </c>
      <c r="Y1251" t="s">
        <v>11117</v>
      </c>
      <c r="Z1251" t="s">
        <v>63</v>
      </c>
      <c r="AA1251" t="s">
        <v>11118</v>
      </c>
      <c r="AB1251">
        <v>17240247</v>
      </c>
      <c r="AC1251" t="s">
        <v>67</v>
      </c>
      <c r="AD1251" t="s">
        <v>63</v>
      </c>
      <c r="AE1251" t="s">
        <v>63</v>
      </c>
      <c r="AF1251" t="s">
        <v>63</v>
      </c>
      <c r="AG1251" t="s">
        <v>11119</v>
      </c>
      <c r="AH1251" t="s">
        <v>63</v>
      </c>
      <c r="AI1251" t="s">
        <v>63</v>
      </c>
      <c r="AJ1251" t="s">
        <v>63</v>
      </c>
      <c r="AK1251" t="s">
        <v>63</v>
      </c>
      <c r="AL1251" t="s">
        <v>63</v>
      </c>
      <c r="AM1251" t="s">
        <v>11120</v>
      </c>
      <c r="AN1251" t="s">
        <v>63</v>
      </c>
      <c r="AO1251" t="s">
        <v>63</v>
      </c>
      <c r="AP1251" t="s">
        <v>63</v>
      </c>
      <c r="AQ1251" t="s">
        <v>63</v>
      </c>
      <c r="AR1251" t="s">
        <v>63</v>
      </c>
      <c r="AS1251" t="s">
        <v>63</v>
      </c>
      <c r="AT1251" t="s">
        <v>63</v>
      </c>
      <c r="AU1251" t="s">
        <v>63</v>
      </c>
      <c r="AV1251" t="s">
        <v>63</v>
      </c>
      <c r="AW1251" t="s">
        <v>63</v>
      </c>
      <c r="AX1251" t="s">
        <v>63</v>
      </c>
      <c r="AY1251" t="s">
        <v>63</v>
      </c>
      <c r="AZ1251" t="s">
        <v>63</v>
      </c>
      <c r="BA1251" t="s">
        <v>63</v>
      </c>
      <c r="BB1251" t="s">
        <v>63</v>
      </c>
      <c r="BC1251" t="s">
        <v>63</v>
      </c>
      <c r="BD1251" t="s">
        <v>63</v>
      </c>
      <c r="BE1251" t="s">
        <v>63</v>
      </c>
      <c r="BF1251" t="s">
        <v>63</v>
      </c>
    </row>
    <row r="1252" spans="1:58">
      <c r="A1252" t="s">
        <v>58</v>
      </c>
      <c r="B1252" t="s">
        <v>11121</v>
      </c>
      <c r="C1252" t="s">
        <v>11122</v>
      </c>
      <c r="D1252" t="s">
        <v>1481</v>
      </c>
      <c r="E1252" t="s">
        <v>1481</v>
      </c>
      <c r="F1252">
        <v>2000</v>
      </c>
      <c r="G1252" t="s">
        <v>189</v>
      </c>
      <c r="H1252">
        <v>95</v>
      </c>
      <c r="I1252">
        <v>5</v>
      </c>
      <c r="J1252">
        <v>667</v>
      </c>
      <c r="K1252">
        <v>676</v>
      </c>
      <c r="L1252" t="s">
        <v>11123</v>
      </c>
      <c r="M1252" t="s">
        <v>63</v>
      </c>
      <c r="N1252" t="s">
        <v>11124</v>
      </c>
      <c r="O1252" t="s">
        <v>63</v>
      </c>
      <c r="Q1252" t="s">
        <v>63</v>
      </c>
      <c r="R1252" t="s">
        <v>63</v>
      </c>
      <c r="S1252" t="s">
        <v>63</v>
      </c>
      <c r="T1252" t="s">
        <v>63</v>
      </c>
      <c r="X1252" t="s">
        <v>63</v>
      </c>
      <c r="Y1252" t="s">
        <v>2426</v>
      </c>
      <c r="Z1252" t="s">
        <v>63</v>
      </c>
      <c r="AA1252" t="s">
        <v>63</v>
      </c>
      <c r="AB1252">
        <v>10885041</v>
      </c>
      <c r="AC1252" t="s">
        <v>67</v>
      </c>
      <c r="AD1252" t="s">
        <v>63</v>
      </c>
      <c r="AE1252" t="s">
        <v>63</v>
      </c>
      <c r="AF1252" t="s">
        <v>63</v>
      </c>
      <c r="AG1252" t="s">
        <v>11125</v>
      </c>
      <c r="AH1252" t="s">
        <v>63</v>
      </c>
      <c r="AI1252" t="s">
        <v>63</v>
      </c>
      <c r="AJ1252" t="s">
        <v>63</v>
      </c>
      <c r="AK1252" t="s">
        <v>63</v>
      </c>
      <c r="AL1252" t="s">
        <v>63</v>
      </c>
      <c r="AM1252" t="s">
        <v>11126</v>
      </c>
      <c r="AN1252" t="s">
        <v>63</v>
      </c>
      <c r="AO1252" t="s">
        <v>63</v>
      </c>
      <c r="AP1252" t="s">
        <v>63</v>
      </c>
      <c r="AQ1252" t="s">
        <v>63</v>
      </c>
      <c r="AR1252" t="s">
        <v>63</v>
      </c>
      <c r="AS1252" t="s">
        <v>63</v>
      </c>
      <c r="AT1252" t="s">
        <v>63</v>
      </c>
      <c r="AU1252" t="s">
        <v>63</v>
      </c>
      <c r="AV1252" t="s">
        <v>63</v>
      </c>
      <c r="AW1252" t="s">
        <v>63</v>
      </c>
      <c r="AX1252" t="s">
        <v>63</v>
      </c>
      <c r="AY1252" t="s">
        <v>63</v>
      </c>
      <c r="AZ1252" t="s">
        <v>63</v>
      </c>
      <c r="BA1252" t="s">
        <v>63</v>
      </c>
      <c r="BB1252" t="s">
        <v>63</v>
      </c>
      <c r="BC1252" t="s">
        <v>63</v>
      </c>
      <c r="BD1252" t="s">
        <v>63</v>
      </c>
      <c r="BE1252" t="s">
        <v>63</v>
      </c>
      <c r="BF1252" t="s">
        <v>63</v>
      </c>
    </row>
    <row r="1253" spans="1:58">
      <c r="A1253" t="s">
        <v>58</v>
      </c>
      <c r="B1253" t="s">
        <v>11127</v>
      </c>
      <c r="C1253" t="s">
        <v>11128</v>
      </c>
      <c r="D1253" t="s">
        <v>212</v>
      </c>
      <c r="E1253" t="s">
        <v>63</v>
      </c>
      <c r="F1253">
        <v>1990</v>
      </c>
      <c r="G1253" s="1">
        <v>41957</v>
      </c>
      <c r="H1253">
        <v>143</v>
      </c>
      <c r="I1253">
        <v>10</v>
      </c>
      <c r="J1253">
        <v>1083</v>
      </c>
      <c r="K1253">
        <v>1091</v>
      </c>
      <c r="L1253" t="s">
        <v>11129</v>
      </c>
      <c r="M1253" t="s">
        <v>11130</v>
      </c>
      <c r="N1253" t="s">
        <v>11131</v>
      </c>
      <c r="O1253" t="s">
        <v>63</v>
      </c>
      <c r="Q1253" t="s">
        <v>63</v>
      </c>
      <c r="R1253" t="s">
        <v>63</v>
      </c>
      <c r="S1253" t="s">
        <v>63</v>
      </c>
      <c r="T1253" t="s">
        <v>63</v>
      </c>
      <c r="X1253" t="s">
        <v>63</v>
      </c>
      <c r="Y1253" t="s">
        <v>215</v>
      </c>
      <c r="Z1253" t="s">
        <v>63</v>
      </c>
      <c r="AA1253" t="s">
        <v>11132</v>
      </c>
      <c r="AB1253">
        <v>2224677</v>
      </c>
      <c r="AC1253" t="s">
        <v>67</v>
      </c>
      <c r="AD1253" t="s">
        <v>63</v>
      </c>
      <c r="AE1253" t="s">
        <v>63</v>
      </c>
      <c r="AF1253" t="s">
        <v>63</v>
      </c>
      <c r="AG1253" t="s">
        <v>11133</v>
      </c>
      <c r="AH1253" t="s">
        <v>63</v>
      </c>
      <c r="AI1253" t="s">
        <v>63</v>
      </c>
      <c r="AJ1253" t="s">
        <v>63</v>
      </c>
      <c r="AK1253" t="s">
        <v>63</v>
      </c>
      <c r="AL1253" t="s">
        <v>63</v>
      </c>
      <c r="AM1253" t="s">
        <v>11134</v>
      </c>
      <c r="AN1253" t="s">
        <v>63</v>
      </c>
      <c r="AO1253" t="s">
        <v>63</v>
      </c>
      <c r="AP1253" t="s">
        <v>63</v>
      </c>
      <c r="AQ1253" t="s">
        <v>63</v>
      </c>
      <c r="AR1253" t="s">
        <v>63</v>
      </c>
      <c r="AS1253" t="s">
        <v>63</v>
      </c>
      <c r="AT1253" t="s">
        <v>63</v>
      </c>
      <c r="AU1253" t="s">
        <v>63</v>
      </c>
      <c r="AV1253" t="s">
        <v>63</v>
      </c>
      <c r="AW1253" t="s">
        <v>63</v>
      </c>
      <c r="AX1253" t="s">
        <v>63</v>
      </c>
      <c r="AY1253" t="s">
        <v>63</v>
      </c>
      <c r="AZ1253" t="s">
        <v>63</v>
      </c>
      <c r="BA1253" t="s">
        <v>63</v>
      </c>
      <c r="BB1253" t="s">
        <v>63</v>
      </c>
      <c r="BC1253" t="s">
        <v>63</v>
      </c>
      <c r="BD1253" t="s">
        <v>63</v>
      </c>
      <c r="BE1253" t="s">
        <v>63</v>
      </c>
      <c r="BF1253" t="s">
        <v>63</v>
      </c>
    </row>
    <row r="1254" spans="1:58">
      <c r="A1254" t="s">
        <v>58</v>
      </c>
      <c r="B1254" t="s">
        <v>11135</v>
      </c>
      <c r="C1254" t="s">
        <v>11136</v>
      </c>
      <c r="D1254" t="s">
        <v>212</v>
      </c>
      <c r="E1254" t="s">
        <v>63</v>
      </c>
      <c r="F1254">
        <v>1990</v>
      </c>
      <c r="G1254" s="1">
        <v>41957</v>
      </c>
      <c r="H1254">
        <v>143</v>
      </c>
      <c r="I1254">
        <v>10</v>
      </c>
      <c r="J1254">
        <v>1005</v>
      </c>
      <c r="K1254">
        <v>1006</v>
      </c>
      <c r="L1254" t="s">
        <v>11137</v>
      </c>
      <c r="M1254" t="s">
        <v>63</v>
      </c>
      <c r="N1254" t="s">
        <v>11138</v>
      </c>
      <c r="O1254" t="s">
        <v>63</v>
      </c>
      <c r="Q1254" t="s">
        <v>63</v>
      </c>
      <c r="R1254" t="s">
        <v>63</v>
      </c>
      <c r="S1254" t="s">
        <v>63</v>
      </c>
      <c r="T1254" t="s">
        <v>63</v>
      </c>
      <c r="X1254" t="s">
        <v>63</v>
      </c>
      <c r="Y1254" t="s">
        <v>215</v>
      </c>
      <c r="Z1254" t="s">
        <v>63</v>
      </c>
      <c r="AA1254" t="s">
        <v>63</v>
      </c>
      <c r="AB1254">
        <v>2224665</v>
      </c>
      <c r="AC1254" t="s">
        <v>67</v>
      </c>
      <c r="AD1254" t="s">
        <v>63</v>
      </c>
      <c r="AE1254" t="s">
        <v>63</v>
      </c>
      <c r="AF1254" t="s">
        <v>63</v>
      </c>
      <c r="AG1254" t="s">
        <v>11139</v>
      </c>
      <c r="AH1254" t="s">
        <v>63</v>
      </c>
      <c r="AI1254" t="s">
        <v>63</v>
      </c>
      <c r="AJ1254" t="s">
        <v>63</v>
      </c>
      <c r="AK1254" t="s">
        <v>63</v>
      </c>
      <c r="AL1254" t="s">
        <v>63</v>
      </c>
      <c r="AM1254" t="s">
        <v>11140</v>
      </c>
      <c r="AN1254" t="s">
        <v>63</v>
      </c>
      <c r="AO1254" t="s">
        <v>63</v>
      </c>
      <c r="AP1254" t="s">
        <v>63</v>
      </c>
      <c r="AQ1254" t="s">
        <v>63</v>
      </c>
      <c r="AR1254" t="s">
        <v>63</v>
      </c>
      <c r="AS1254" t="s">
        <v>63</v>
      </c>
      <c r="AT1254" t="s">
        <v>63</v>
      </c>
      <c r="AU1254" t="s">
        <v>63</v>
      </c>
      <c r="AV1254" t="s">
        <v>63</v>
      </c>
      <c r="AW1254" t="s">
        <v>63</v>
      </c>
      <c r="AX1254" t="s">
        <v>63</v>
      </c>
      <c r="AY1254" t="s">
        <v>63</v>
      </c>
      <c r="AZ1254" t="s">
        <v>63</v>
      </c>
      <c r="BA1254" t="s">
        <v>63</v>
      </c>
      <c r="BB1254" t="s">
        <v>63</v>
      </c>
      <c r="BC1254" t="s">
        <v>63</v>
      </c>
      <c r="BD1254" t="s">
        <v>63</v>
      </c>
      <c r="BE1254" t="s">
        <v>63</v>
      </c>
      <c r="BF1254" t="s">
        <v>63</v>
      </c>
    </row>
    <row r="1255" spans="1:58">
      <c r="A1255" t="s">
        <v>58</v>
      </c>
      <c r="B1255" t="s">
        <v>11141</v>
      </c>
      <c r="C1255" t="s">
        <v>11142</v>
      </c>
      <c r="D1255" t="s">
        <v>1212</v>
      </c>
      <c r="E1255" t="s">
        <v>63</v>
      </c>
      <c r="F1255">
        <v>2010</v>
      </c>
      <c r="G1255" t="s">
        <v>157</v>
      </c>
      <c r="H1255">
        <v>4</v>
      </c>
      <c r="I1255">
        <v>4</v>
      </c>
      <c r="J1255">
        <v>233</v>
      </c>
      <c r="K1255">
        <v>235</v>
      </c>
      <c r="L1255" t="s">
        <v>63</v>
      </c>
      <c r="M1255" t="s">
        <v>11143</v>
      </c>
      <c r="N1255" t="s">
        <v>11144</v>
      </c>
      <c r="O1255" t="s">
        <v>63</v>
      </c>
      <c r="Q1255" t="s">
        <v>63</v>
      </c>
      <c r="R1255" t="s">
        <v>63</v>
      </c>
      <c r="S1255" t="s">
        <v>63</v>
      </c>
      <c r="T1255" t="s">
        <v>63</v>
      </c>
      <c r="X1255" t="s">
        <v>63</v>
      </c>
      <c r="Y1255" t="s">
        <v>1216</v>
      </c>
      <c r="Z1255" t="s">
        <v>63</v>
      </c>
      <c r="AA1255" t="s">
        <v>11145</v>
      </c>
      <c r="AB1255">
        <v>21769041</v>
      </c>
      <c r="AC1255" t="s">
        <v>67</v>
      </c>
      <c r="AD1255" t="s">
        <v>63</v>
      </c>
      <c r="AE1255" t="s">
        <v>63</v>
      </c>
      <c r="AF1255" t="s">
        <v>63</v>
      </c>
      <c r="AG1255" t="s">
        <v>11146</v>
      </c>
      <c r="AH1255" t="s">
        <v>63</v>
      </c>
      <c r="AI1255" t="s">
        <v>11147</v>
      </c>
      <c r="AJ1255" t="s">
        <v>63</v>
      </c>
      <c r="AK1255" t="s">
        <v>63</v>
      </c>
      <c r="AL1255" t="s">
        <v>63</v>
      </c>
      <c r="AM1255" t="s">
        <v>11148</v>
      </c>
      <c r="AN1255" t="s">
        <v>63</v>
      </c>
      <c r="AO1255" t="s">
        <v>63</v>
      </c>
      <c r="AP1255" t="s">
        <v>63</v>
      </c>
      <c r="AQ1255" t="s">
        <v>63</v>
      </c>
      <c r="AR1255" t="s">
        <v>63</v>
      </c>
      <c r="AS1255" t="s">
        <v>63</v>
      </c>
      <c r="AT1255" t="s">
        <v>63</v>
      </c>
      <c r="AU1255" t="s">
        <v>63</v>
      </c>
      <c r="AV1255" t="s">
        <v>63</v>
      </c>
      <c r="AW1255" t="s">
        <v>63</v>
      </c>
      <c r="AX1255" t="s">
        <v>63</v>
      </c>
      <c r="AY1255" t="s">
        <v>63</v>
      </c>
      <c r="AZ1255" t="s">
        <v>63</v>
      </c>
      <c r="BA1255" t="s">
        <v>63</v>
      </c>
      <c r="BB1255" t="s">
        <v>63</v>
      </c>
      <c r="BC1255" t="s">
        <v>63</v>
      </c>
      <c r="BD1255" t="s">
        <v>63</v>
      </c>
      <c r="BE1255" t="s">
        <v>63</v>
      </c>
      <c r="BF1255" t="s">
        <v>63</v>
      </c>
    </row>
    <row r="1256" spans="1:58">
      <c r="A1256" t="s">
        <v>58</v>
      </c>
      <c r="B1256" t="s">
        <v>11149</v>
      </c>
      <c r="C1256" t="s">
        <v>11150</v>
      </c>
      <c r="D1256" t="s">
        <v>389</v>
      </c>
      <c r="E1256" t="s">
        <v>63</v>
      </c>
      <c r="F1256">
        <v>2004</v>
      </c>
      <c r="G1256" t="s">
        <v>157</v>
      </c>
      <c r="H1256">
        <v>25</v>
      </c>
      <c r="I1256">
        <v>4</v>
      </c>
      <c r="J1256">
        <v>11</v>
      </c>
      <c r="K1256">
        <v>15</v>
      </c>
      <c r="L1256" t="s">
        <v>11151</v>
      </c>
      <c r="M1256" t="s">
        <v>11152</v>
      </c>
      <c r="N1256" t="s">
        <v>11153</v>
      </c>
      <c r="O1256" t="s">
        <v>63</v>
      </c>
      <c r="Q1256" t="s">
        <v>63</v>
      </c>
      <c r="R1256" t="s">
        <v>63</v>
      </c>
      <c r="S1256" t="s">
        <v>63</v>
      </c>
      <c r="T1256" t="s">
        <v>63</v>
      </c>
      <c r="X1256" t="s">
        <v>63</v>
      </c>
      <c r="Y1256" t="s">
        <v>392</v>
      </c>
      <c r="Z1256" t="s">
        <v>63</v>
      </c>
      <c r="AA1256" t="s">
        <v>11154</v>
      </c>
      <c r="AB1256">
        <v>16172088</v>
      </c>
      <c r="AC1256" t="s">
        <v>67</v>
      </c>
      <c r="AD1256" t="s">
        <v>63</v>
      </c>
      <c r="AE1256" t="s">
        <v>63</v>
      </c>
      <c r="AF1256" t="s">
        <v>63</v>
      </c>
      <c r="AG1256" t="s">
        <v>11155</v>
      </c>
      <c r="AH1256" t="s">
        <v>63</v>
      </c>
      <c r="AI1256" t="s">
        <v>63</v>
      </c>
      <c r="AJ1256" t="s">
        <v>63</v>
      </c>
      <c r="AK1256" t="s">
        <v>63</v>
      </c>
      <c r="AL1256" t="s">
        <v>63</v>
      </c>
      <c r="AM1256" t="s">
        <v>11156</v>
      </c>
      <c r="AN1256" t="s">
        <v>63</v>
      </c>
      <c r="AO1256" t="s">
        <v>63</v>
      </c>
      <c r="AP1256" t="s">
        <v>63</v>
      </c>
      <c r="AQ1256" t="s">
        <v>63</v>
      </c>
      <c r="AR1256" t="s">
        <v>63</v>
      </c>
      <c r="AS1256" t="s">
        <v>63</v>
      </c>
      <c r="AT1256" t="s">
        <v>63</v>
      </c>
      <c r="AU1256" t="s">
        <v>63</v>
      </c>
      <c r="AV1256" t="s">
        <v>63</v>
      </c>
      <c r="AW1256" t="s">
        <v>63</v>
      </c>
      <c r="AX1256" t="s">
        <v>63</v>
      </c>
      <c r="AY1256" t="s">
        <v>63</v>
      </c>
      <c r="AZ1256" t="s">
        <v>63</v>
      </c>
      <c r="BA1256" t="s">
        <v>63</v>
      </c>
      <c r="BB1256" t="s">
        <v>63</v>
      </c>
      <c r="BC1256" t="s">
        <v>63</v>
      </c>
      <c r="BD1256" t="s">
        <v>63</v>
      </c>
      <c r="BE1256" t="s">
        <v>63</v>
      </c>
      <c r="BF1256" t="s">
        <v>63</v>
      </c>
    </row>
    <row r="1257" spans="1:58">
      <c r="A1257" t="s">
        <v>58</v>
      </c>
      <c r="B1257" t="s">
        <v>11157</v>
      </c>
      <c r="C1257" t="s">
        <v>11158</v>
      </c>
      <c r="D1257" t="s">
        <v>3007</v>
      </c>
      <c r="E1257" t="s">
        <v>3008</v>
      </c>
      <c r="F1257">
        <v>2012</v>
      </c>
      <c r="G1257" t="s">
        <v>73</v>
      </c>
      <c r="H1257">
        <v>35</v>
      </c>
      <c r="I1257">
        <v>2</v>
      </c>
      <c r="J1257">
        <v>461</v>
      </c>
      <c r="K1257">
        <v>480</v>
      </c>
      <c r="L1257" t="s">
        <v>11159</v>
      </c>
      <c r="M1257" t="s">
        <v>11160</v>
      </c>
      <c r="N1257" t="s">
        <v>11161</v>
      </c>
      <c r="O1257" t="s">
        <v>63</v>
      </c>
      <c r="Q1257" t="s">
        <v>63</v>
      </c>
      <c r="R1257" t="s">
        <v>63</v>
      </c>
      <c r="S1257" t="s">
        <v>63</v>
      </c>
      <c r="T1257" t="s">
        <v>63</v>
      </c>
      <c r="X1257" t="s">
        <v>63</v>
      </c>
      <c r="Y1257" t="s">
        <v>3012</v>
      </c>
      <c r="Z1257" t="s">
        <v>63</v>
      </c>
      <c r="AA1257" t="s">
        <v>11162</v>
      </c>
      <c r="AB1257">
        <v>22640766</v>
      </c>
      <c r="AC1257" t="s">
        <v>67</v>
      </c>
      <c r="AD1257" t="s">
        <v>63</v>
      </c>
      <c r="AE1257" t="s">
        <v>63</v>
      </c>
      <c r="AF1257" t="s">
        <v>63</v>
      </c>
      <c r="AG1257" t="s">
        <v>11163</v>
      </c>
      <c r="AH1257" t="s">
        <v>63</v>
      </c>
      <c r="AI1257" t="s">
        <v>11164</v>
      </c>
      <c r="AJ1257" t="s">
        <v>63</v>
      </c>
      <c r="AK1257" t="s">
        <v>63</v>
      </c>
      <c r="AL1257" t="s">
        <v>63</v>
      </c>
      <c r="AM1257" t="s">
        <v>11165</v>
      </c>
      <c r="AN1257" t="s">
        <v>63</v>
      </c>
      <c r="AO1257" t="s">
        <v>63</v>
      </c>
      <c r="AP1257" t="s">
        <v>63</v>
      </c>
      <c r="AQ1257" t="s">
        <v>63</v>
      </c>
      <c r="AR1257" t="s">
        <v>63</v>
      </c>
      <c r="AS1257" t="s">
        <v>63</v>
      </c>
      <c r="AT1257" t="s">
        <v>63</v>
      </c>
      <c r="AU1257" t="s">
        <v>63</v>
      </c>
      <c r="AV1257" t="s">
        <v>63</v>
      </c>
      <c r="AW1257" t="s">
        <v>63</v>
      </c>
      <c r="AX1257" t="s">
        <v>63</v>
      </c>
      <c r="AY1257" t="s">
        <v>63</v>
      </c>
      <c r="AZ1257" t="s">
        <v>63</v>
      </c>
      <c r="BA1257" t="s">
        <v>63</v>
      </c>
      <c r="BB1257" t="s">
        <v>63</v>
      </c>
      <c r="BC1257" t="s">
        <v>63</v>
      </c>
      <c r="BD1257" t="s">
        <v>63</v>
      </c>
      <c r="BE1257" t="s">
        <v>63</v>
      </c>
      <c r="BF1257" t="s">
        <v>63</v>
      </c>
    </row>
    <row r="1258" spans="1:58">
      <c r="A1258" t="s">
        <v>58</v>
      </c>
      <c r="B1258" t="s">
        <v>11166</v>
      </c>
      <c r="C1258" t="s">
        <v>11167</v>
      </c>
      <c r="D1258" t="s">
        <v>680</v>
      </c>
      <c r="E1258" t="s">
        <v>63</v>
      </c>
      <c r="F1258">
        <v>2018</v>
      </c>
      <c r="G1258" t="s">
        <v>157</v>
      </c>
      <c r="H1258">
        <v>23</v>
      </c>
      <c r="I1258">
        <v>1</v>
      </c>
      <c r="J1258">
        <v>1466574</v>
      </c>
      <c r="K1258" t="s">
        <v>63</v>
      </c>
      <c r="L1258" t="s">
        <v>63</v>
      </c>
      <c r="M1258" t="s">
        <v>11168</v>
      </c>
      <c r="N1258" t="s">
        <v>11169</v>
      </c>
      <c r="O1258" t="s">
        <v>63</v>
      </c>
      <c r="Q1258" t="s">
        <v>63</v>
      </c>
      <c r="R1258" t="s">
        <v>63</v>
      </c>
      <c r="S1258" t="s">
        <v>63</v>
      </c>
      <c r="T1258" t="s">
        <v>63</v>
      </c>
      <c r="X1258" t="s">
        <v>63</v>
      </c>
      <c r="Y1258" t="s">
        <v>683</v>
      </c>
      <c r="Z1258" t="s">
        <v>63</v>
      </c>
      <c r="AA1258" t="s">
        <v>11170</v>
      </c>
      <c r="AB1258">
        <v>29708863</v>
      </c>
      <c r="AC1258" t="s">
        <v>67</v>
      </c>
      <c r="AD1258" t="s">
        <v>63</v>
      </c>
      <c r="AE1258" t="s">
        <v>63</v>
      </c>
      <c r="AF1258" t="s">
        <v>63</v>
      </c>
      <c r="AG1258" t="s">
        <v>11171</v>
      </c>
      <c r="AH1258" t="s">
        <v>63</v>
      </c>
      <c r="AI1258" t="s">
        <v>11172</v>
      </c>
      <c r="AJ1258" t="s">
        <v>63</v>
      </c>
      <c r="AK1258" t="s">
        <v>63</v>
      </c>
      <c r="AL1258" t="s">
        <v>63</v>
      </c>
      <c r="AM1258" t="s">
        <v>11173</v>
      </c>
      <c r="AN1258" t="s">
        <v>63</v>
      </c>
      <c r="AO1258" t="s">
        <v>63</v>
      </c>
      <c r="AP1258" t="s">
        <v>63</v>
      </c>
      <c r="AQ1258" t="s">
        <v>63</v>
      </c>
      <c r="AR1258" t="s">
        <v>63</v>
      </c>
      <c r="AS1258" t="s">
        <v>63</v>
      </c>
      <c r="AT1258" t="s">
        <v>63</v>
      </c>
      <c r="AU1258" t="s">
        <v>63</v>
      </c>
      <c r="AV1258" t="s">
        <v>63</v>
      </c>
      <c r="AW1258" t="s">
        <v>63</v>
      </c>
      <c r="AX1258" t="s">
        <v>63</v>
      </c>
      <c r="AY1258" t="s">
        <v>63</v>
      </c>
      <c r="AZ1258" t="s">
        <v>63</v>
      </c>
      <c r="BA1258" t="s">
        <v>63</v>
      </c>
      <c r="BB1258" t="s">
        <v>63</v>
      </c>
      <c r="BC1258" t="s">
        <v>63</v>
      </c>
      <c r="BD1258" t="s">
        <v>63</v>
      </c>
      <c r="BE1258" t="s">
        <v>63</v>
      </c>
      <c r="BF1258" t="s">
        <v>63</v>
      </c>
    </row>
    <row r="1259" spans="1:58">
      <c r="A1259" t="s">
        <v>58</v>
      </c>
      <c r="B1259" t="s">
        <v>11174</v>
      </c>
      <c r="C1259" t="s">
        <v>11175</v>
      </c>
      <c r="D1259" t="s">
        <v>1393</v>
      </c>
      <c r="E1259" t="s">
        <v>1394</v>
      </c>
      <c r="F1259">
        <v>2015</v>
      </c>
      <c r="G1259" t="s">
        <v>274</v>
      </c>
      <c r="H1259">
        <v>17</v>
      </c>
      <c r="I1259">
        <v>3</v>
      </c>
      <c r="J1259">
        <v>372</v>
      </c>
      <c r="K1259">
        <v>375</v>
      </c>
      <c r="L1259" t="s">
        <v>11176</v>
      </c>
      <c r="M1259" t="s">
        <v>11177</v>
      </c>
      <c r="N1259" t="s">
        <v>11178</v>
      </c>
      <c r="O1259" t="s">
        <v>63</v>
      </c>
      <c r="Q1259" t="s">
        <v>63</v>
      </c>
      <c r="R1259" t="s">
        <v>63</v>
      </c>
      <c r="S1259" t="s">
        <v>63</v>
      </c>
      <c r="T1259" t="s">
        <v>63</v>
      </c>
      <c r="X1259" t="s">
        <v>63</v>
      </c>
      <c r="Y1259" t="s">
        <v>5404</v>
      </c>
      <c r="Z1259" t="s">
        <v>63</v>
      </c>
      <c r="AA1259" t="s">
        <v>11179</v>
      </c>
      <c r="AB1259">
        <v>25257981</v>
      </c>
      <c r="AC1259" t="s">
        <v>67</v>
      </c>
      <c r="AD1259" t="s">
        <v>63</v>
      </c>
      <c r="AE1259" t="s">
        <v>63</v>
      </c>
      <c r="AF1259" t="s">
        <v>63</v>
      </c>
      <c r="AG1259" t="s">
        <v>11180</v>
      </c>
      <c r="AH1259" t="s">
        <v>63</v>
      </c>
      <c r="AI1259" t="s">
        <v>11181</v>
      </c>
      <c r="AJ1259" t="s">
        <v>63</v>
      </c>
      <c r="AK1259" t="s">
        <v>63</v>
      </c>
      <c r="AL1259" t="s">
        <v>63</v>
      </c>
      <c r="AM1259" t="s">
        <v>11182</v>
      </c>
      <c r="AN1259" t="s">
        <v>63</v>
      </c>
      <c r="AO1259" t="s">
        <v>63</v>
      </c>
      <c r="AP1259" t="s">
        <v>63</v>
      </c>
      <c r="AQ1259" t="s">
        <v>63</v>
      </c>
      <c r="AR1259" t="s">
        <v>63</v>
      </c>
      <c r="AS1259" t="s">
        <v>63</v>
      </c>
      <c r="AT1259" t="s">
        <v>63</v>
      </c>
      <c r="AU1259" t="s">
        <v>63</v>
      </c>
      <c r="AV1259" t="s">
        <v>63</v>
      </c>
      <c r="AW1259" t="s">
        <v>63</v>
      </c>
      <c r="AX1259" t="s">
        <v>63</v>
      </c>
      <c r="AY1259" t="s">
        <v>63</v>
      </c>
      <c r="AZ1259" t="s">
        <v>63</v>
      </c>
      <c r="BA1259" t="s">
        <v>63</v>
      </c>
      <c r="BB1259" t="s">
        <v>63</v>
      </c>
      <c r="BC1259" t="s">
        <v>63</v>
      </c>
      <c r="BD1259" t="s">
        <v>63</v>
      </c>
      <c r="BE1259" t="s">
        <v>63</v>
      </c>
      <c r="BF1259" t="s">
        <v>63</v>
      </c>
    </row>
    <row r="1260" spans="1:58">
      <c r="A1260" t="s">
        <v>58</v>
      </c>
      <c r="B1260" t="s">
        <v>11183</v>
      </c>
      <c r="C1260" t="s">
        <v>11184</v>
      </c>
      <c r="D1260" t="s">
        <v>1481</v>
      </c>
      <c r="E1260" t="s">
        <v>1481</v>
      </c>
      <c r="F1260">
        <v>2014</v>
      </c>
      <c r="G1260" t="s">
        <v>326</v>
      </c>
      <c r="H1260">
        <v>109</v>
      </c>
      <c r="I1260">
        <v>2</v>
      </c>
      <c r="J1260">
        <v>173</v>
      </c>
      <c r="K1260">
        <v>174</v>
      </c>
      <c r="L1260" t="s">
        <v>11185</v>
      </c>
      <c r="M1260" t="s">
        <v>11186</v>
      </c>
      <c r="N1260" t="s">
        <v>11187</v>
      </c>
      <c r="O1260" t="s">
        <v>63</v>
      </c>
      <c r="Q1260" t="s">
        <v>63</v>
      </c>
      <c r="R1260" t="s">
        <v>63</v>
      </c>
      <c r="S1260" t="s">
        <v>63</v>
      </c>
      <c r="T1260" t="s">
        <v>63</v>
      </c>
      <c r="X1260" t="s">
        <v>63</v>
      </c>
      <c r="Y1260" t="s">
        <v>1484</v>
      </c>
      <c r="Z1260" t="s">
        <v>63</v>
      </c>
      <c r="AA1260" t="s">
        <v>11188</v>
      </c>
      <c r="AB1260">
        <v>24164582</v>
      </c>
      <c r="AC1260" t="s">
        <v>67</v>
      </c>
      <c r="AD1260" t="s">
        <v>63</v>
      </c>
      <c r="AE1260" t="s">
        <v>63</v>
      </c>
      <c r="AF1260" t="s">
        <v>63</v>
      </c>
      <c r="AG1260" t="s">
        <v>11189</v>
      </c>
      <c r="AH1260" t="s">
        <v>63</v>
      </c>
      <c r="AI1260" t="s">
        <v>11190</v>
      </c>
      <c r="AJ1260" t="s">
        <v>63</v>
      </c>
      <c r="AK1260" t="s">
        <v>63</v>
      </c>
      <c r="AL1260" t="s">
        <v>63</v>
      </c>
      <c r="AM1260" t="s">
        <v>11191</v>
      </c>
      <c r="AN1260" t="s">
        <v>63</v>
      </c>
      <c r="AO1260" t="s">
        <v>63</v>
      </c>
      <c r="AP1260" t="s">
        <v>63</v>
      </c>
      <c r="AQ1260" t="s">
        <v>63</v>
      </c>
      <c r="AR1260" t="s">
        <v>63</v>
      </c>
      <c r="AS1260" t="s">
        <v>63</v>
      </c>
      <c r="AT1260" t="s">
        <v>63</v>
      </c>
      <c r="AU1260" t="s">
        <v>63</v>
      </c>
      <c r="AV1260" t="s">
        <v>63</v>
      </c>
      <c r="AW1260" t="s">
        <v>63</v>
      </c>
      <c r="AX1260" t="s">
        <v>63</v>
      </c>
      <c r="AY1260" t="s">
        <v>63</v>
      </c>
      <c r="AZ1260" t="s">
        <v>63</v>
      </c>
      <c r="BA1260" t="s">
        <v>63</v>
      </c>
      <c r="BB1260" t="s">
        <v>63</v>
      </c>
      <c r="BC1260" t="s">
        <v>63</v>
      </c>
      <c r="BD1260" t="s">
        <v>63</v>
      </c>
      <c r="BE1260" t="s">
        <v>63</v>
      </c>
      <c r="BF1260" t="s">
        <v>63</v>
      </c>
    </row>
    <row r="1261" spans="1:58">
      <c r="A1261" t="s">
        <v>58</v>
      </c>
      <c r="B1261" t="s">
        <v>11192</v>
      </c>
      <c r="C1261" t="s">
        <v>11193</v>
      </c>
      <c r="D1261" t="s">
        <v>949</v>
      </c>
      <c r="E1261" t="s">
        <v>950</v>
      </c>
      <c r="F1261">
        <v>2015</v>
      </c>
      <c r="G1261" t="s">
        <v>147</v>
      </c>
      <c r="H1261">
        <v>23</v>
      </c>
      <c r="I1261">
        <v>2</v>
      </c>
      <c r="J1261">
        <v>147</v>
      </c>
      <c r="K1261">
        <v>156</v>
      </c>
      <c r="L1261" t="s">
        <v>11194</v>
      </c>
      <c r="M1261" t="s">
        <v>11195</v>
      </c>
      <c r="N1261" t="s">
        <v>11196</v>
      </c>
      <c r="O1261" t="s">
        <v>63</v>
      </c>
      <c r="Q1261" t="s">
        <v>63</v>
      </c>
      <c r="R1261" t="s">
        <v>63</v>
      </c>
      <c r="S1261" t="s">
        <v>63</v>
      </c>
      <c r="T1261" t="s">
        <v>63</v>
      </c>
      <c r="X1261" t="s">
        <v>63</v>
      </c>
      <c r="Y1261" t="s">
        <v>954</v>
      </c>
      <c r="Z1261" t="s">
        <v>63</v>
      </c>
      <c r="AA1261" t="s">
        <v>11197</v>
      </c>
      <c r="AB1261">
        <v>25747927</v>
      </c>
      <c r="AC1261" t="s">
        <v>67</v>
      </c>
      <c r="AD1261" t="s">
        <v>63</v>
      </c>
      <c r="AE1261" t="s">
        <v>63</v>
      </c>
      <c r="AF1261" t="s">
        <v>63</v>
      </c>
      <c r="AG1261" t="s">
        <v>11198</v>
      </c>
      <c r="AH1261" t="s">
        <v>63</v>
      </c>
      <c r="AI1261" t="s">
        <v>11199</v>
      </c>
      <c r="AJ1261" t="s">
        <v>63</v>
      </c>
      <c r="AK1261" t="s">
        <v>63</v>
      </c>
      <c r="AL1261" t="s">
        <v>63</v>
      </c>
      <c r="AM1261" t="s">
        <v>11200</v>
      </c>
      <c r="AN1261" t="s">
        <v>63</v>
      </c>
      <c r="AO1261" t="s">
        <v>63</v>
      </c>
      <c r="AP1261" t="s">
        <v>63</v>
      </c>
      <c r="AQ1261" t="s">
        <v>63</v>
      </c>
      <c r="AR1261" t="s">
        <v>63</v>
      </c>
      <c r="AS1261" t="s">
        <v>63</v>
      </c>
      <c r="AT1261" t="s">
        <v>63</v>
      </c>
      <c r="AU1261" t="s">
        <v>63</v>
      </c>
      <c r="AV1261" t="s">
        <v>63</v>
      </c>
      <c r="AW1261" t="s">
        <v>63</v>
      </c>
      <c r="AX1261" t="s">
        <v>63</v>
      </c>
      <c r="AY1261" t="s">
        <v>63</v>
      </c>
      <c r="AZ1261" t="s">
        <v>63</v>
      </c>
      <c r="BA1261" t="s">
        <v>63</v>
      </c>
      <c r="BB1261" t="s">
        <v>63</v>
      </c>
      <c r="BC1261" t="s">
        <v>63</v>
      </c>
      <c r="BD1261" t="s">
        <v>63</v>
      </c>
      <c r="BE1261" t="s">
        <v>63</v>
      </c>
      <c r="BF1261" t="s">
        <v>63</v>
      </c>
    </row>
    <row r="1262" spans="1:58">
      <c r="A1262" t="s">
        <v>58</v>
      </c>
      <c r="B1262" t="s">
        <v>11201</v>
      </c>
      <c r="C1262" t="s">
        <v>11202</v>
      </c>
      <c r="D1262" t="s">
        <v>1846</v>
      </c>
      <c r="E1262" t="s">
        <v>1847</v>
      </c>
      <c r="F1262">
        <v>1971</v>
      </c>
      <c r="G1262" t="s">
        <v>274</v>
      </c>
      <c r="H1262">
        <v>20</v>
      </c>
      <c r="I1262">
        <v>3</v>
      </c>
      <c r="J1262">
        <v>85</v>
      </c>
      <c r="K1262">
        <v>88</v>
      </c>
      <c r="L1262" t="s">
        <v>11203</v>
      </c>
      <c r="M1262" t="s">
        <v>63</v>
      </c>
      <c r="N1262" t="s">
        <v>11204</v>
      </c>
      <c r="O1262" t="s">
        <v>63</v>
      </c>
      <c r="Q1262" t="s">
        <v>63</v>
      </c>
      <c r="R1262" t="s">
        <v>63</v>
      </c>
      <c r="S1262" t="s">
        <v>63</v>
      </c>
      <c r="T1262" t="s">
        <v>63</v>
      </c>
      <c r="X1262" t="s">
        <v>63</v>
      </c>
      <c r="Y1262" t="s">
        <v>1850</v>
      </c>
      <c r="Z1262" t="s">
        <v>63</v>
      </c>
      <c r="AA1262" t="s">
        <v>63</v>
      </c>
      <c r="AB1262">
        <v>5545360</v>
      </c>
      <c r="AC1262" t="s">
        <v>67</v>
      </c>
      <c r="AD1262" t="s">
        <v>63</v>
      </c>
      <c r="AE1262" t="s">
        <v>63</v>
      </c>
      <c r="AF1262" t="s">
        <v>63</v>
      </c>
      <c r="AG1262" t="s">
        <v>11205</v>
      </c>
      <c r="AH1262" t="s">
        <v>63</v>
      </c>
      <c r="AI1262" t="s">
        <v>63</v>
      </c>
      <c r="AJ1262" t="s">
        <v>63</v>
      </c>
      <c r="AK1262" t="s">
        <v>63</v>
      </c>
      <c r="AL1262" t="s">
        <v>63</v>
      </c>
      <c r="AM1262" t="s">
        <v>11206</v>
      </c>
      <c r="AN1262" t="s">
        <v>63</v>
      </c>
      <c r="AO1262" t="s">
        <v>63</v>
      </c>
      <c r="AP1262" t="s">
        <v>63</v>
      </c>
      <c r="AQ1262" t="s">
        <v>63</v>
      </c>
      <c r="AR1262" t="s">
        <v>63</v>
      </c>
      <c r="AS1262" t="s">
        <v>63</v>
      </c>
      <c r="AT1262" t="s">
        <v>63</v>
      </c>
      <c r="AU1262" t="s">
        <v>63</v>
      </c>
      <c r="AV1262" t="s">
        <v>63</v>
      </c>
      <c r="AW1262" t="s">
        <v>63</v>
      </c>
      <c r="AX1262" t="s">
        <v>63</v>
      </c>
      <c r="AY1262" t="s">
        <v>63</v>
      </c>
      <c r="AZ1262" t="s">
        <v>63</v>
      </c>
      <c r="BA1262" t="s">
        <v>63</v>
      </c>
      <c r="BB1262" t="s">
        <v>63</v>
      </c>
      <c r="BC1262" t="s">
        <v>63</v>
      </c>
      <c r="BD1262" t="s">
        <v>63</v>
      </c>
      <c r="BE1262" t="s">
        <v>63</v>
      </c>
      <c r="BF1262" t="s">
        <v>63</v>
      </c>
    </row>
    <row r="1263" spans="1:58">
      <c r="A1263" t="s">
        <v>58</v>
      </c>
      <c r="B1263" t="s">
        <v>11207</v>
      </c>
      <c r="C1263" t="s">
        <v>11208</v>
      </c>
      <c r="D1263" t="s">
        <v>389</v>
      </c>
      <c r="E1263" t="s">
        <v>63</v>
      </c>
      <c r="F1263">
        <v>1999</v>
      </c>
      <c r="G1263" t="s">
        <v>274</v>
      </c>
      <c r="H1263">
        <v>20</v>
      </c>
      <c r="I1263">
        <v>1</v>
      </c>
      <c r="J1263">
        <v>17</v>
      </c>
      <c r="K1263">
        <v>31</v>
      </c>
      <c r="L1263" t="s">
        <v>63</v>
      </c>
      <c r="M1263" t="s">
        <v>11209</v>
      </c>
      <c r="N1263" t="s">
        <v>11210</v>
      </c>
      <c r="O1263" t="s">
        <v>63</v>
      </c>
      <c r="Q1263" t="s">
        <v>63</v>
      </c>
      <c r="R1263" t="s">
        <v>63</v>
      </c>
      <c r="S1263" t="s">
        <v>63</v>
      </c>
      <c r="T1263" t="s">
        <v>63</v>
      </c>
      <c r="X1263" t="s">
        <v>63</v>
      </c>
      <c r="Y1263" t="s">
        <v>556</v>
      </c>
      <c r="Z1263" t="s">
        <v>63</v>
      </c>
      <c r="AA1263" t="s">
        <v>11211</v>
      </c>
      <c r="AB1263">
        <v>12511818</v>
      </c>
      <c r="AC1263" t="s">
        <v>67</v>
      </c>
      <c r="AD1263" t="s">
        <v>63</v>
      </c>
      <c r="AE1263" t="s">
        <v>63</v>
      </c>
      <c r="AF1263" t="s">
        <v>63</v>
      </c>
      <c r="AG1263" t="s">
        <v>11212</v>
      </c>
      <c r="AH1263" t="s">
        <v>63</v>
      </c>
      <c r="AI1263" t="s">
        <v>63</v>
      </c>
      <c r="AJ1263" t="s">
        <v>63</v>
      </c>
      <c r="AK1263" t="s">
        <v>63</v>
      </c>
      <c r="AL1263" t="s">
        <v>63</v>
      </c>
      <c r="AM1263" t="s">
        <v>11213</v>
      </c>
      <c r="AN1263" t="s">
        <v>63</v>
      </c>
      <c r="AO1263" t="s">
        <v>63</v>
      </c>
      <c r="AP1263" t="s">
        <v>63</v>
      </c>
      <c r="AQ1263" t="s">
        <v>63</v>
      </c>
      <c r="AR1263" t="s">
        <v>63</v>
      </c>
      <c r="AS1263" t="s">
        <v>63</v>
      </c>
      <c r="AT1263" t="s">
        <v>63</v>
      </c>
      <c r="AU1263" t="s">
        <v>63</v>
      </c>
      <c r="AV1263" t="s">
        <v>63</v>
      </c>
      <c r="AW1263" t="s">
        <v>63</v>
      </c>
      <c r="AX1263" t="s">
        <v>63</v>
      </c>
      <c r="AY1263" t="s">
        <v>63</v>
      </c>
      <c r="AZ1263" t="s">
        <v>63</v>
      </c>
      <c r="BA1263" t="s">
        <v>63</v>
      </c>
      <c r="BB1263" t="s">
        <v>63</v>
      </c>
      <c r="BC1263" t="s">
        <v>63</v>
      </c>
      <c r="BD1263" t="s">
        <v>63</v>
      </c>
      <c r="BE1263" t="s">
        <v>63</v>
      </c>
      <c r="BF1263" t="s">
        <v>63</v>
      </c>
    </row>
    <row r="1264" spans="1:58">
      <c r="A1264" t="s">
        <v>58</v>
      </c>
      <c r="B1264" t="s">
        <v>11214</v>
      </c>
      <c r="C1264" t="s">
        <v>11215</v>
      </c>
      <c r="D1264" t="s">
        <v>763</v>
      </c>
      <c r="E1264" t="s">
        <v>63</v>
      </c>
      <c r="F1264">
        <v>1990</v>
      </c>
      <c r="G1264" t="s">
        <v>326</v>
      </c>
      <c r="H1264">
        <v>65</v>
      </c>
      <c r="I1264">
        <v>2</v>
      </c>
      <c r="J1264">
        <v>89</v>
      </c>
      <c r="K1264" t="s">
        <v>63</v>
      </c>
      <c r="L1264" t="s">
        <v>11216</v>
      </c>
      <c r="M1264" t="s">
        <v>63</v>
      </c>
      <c r="N1264" t="s">
        <v>11217</v>
      </c>
      <c r="O1264" t="s">
        <v>63</v>
      </c>
      <c r="Q1264" t="s">
        <v>63</v>
      </c>
      <c r="R1264" t="s">
        <v>63</v>
      </c>
      <c r="S1264" t="s">
        <v>63</v>
      </c>
      <c r="T1264" t="s">
        <v>63</v>
      </c>
      <c r="X1264" t="s">
        <v>63</v>
      </c>
      <c r="Y1264" t="s">
        <v>858</v>
      </c>
      <c r="Z1264" t="s">
        <v>63</v>
      </c>
      <c r="AA1264" t="s">
        <v>63</v>
      </c>
      <c r="AB1264">
        <v>2302305</v>
      </c>
      <c r="AC1264" t="s">
        <v>67</v>
      </c>
      <c r="AD1264" t="s">
        <v>63</v>
      </c>
      <c r="AE1264" t="s">
        <v>63</v>
      </c>
      <c r="AF1264" t="s">
        <v>63</v>
      </c>
      <c r="AG1264" t="s">
        <v>11218</v>
      </c>
      <c r="AH1264" t="s">
        <v>63</v>
      </c>
      <c r="AI1264" t="s">
        <v>63</v>
      </c>
      <c r="AJ1264" t="s">
        <v>63</v>
      </c>
      <c r="AK1264" t="s">
        <v>63</v>
      </c>
      <c r="AL1264" t="s">
        <v>63</v>
      </c>
      <c r="AM1264" t="s">
        <v>11219</v>
      </c>
      <c r="AN1264" t="s">
        <v>63</v>
      </c>
      <c r="AO1264" t="s">
        <v>63</v>
      </c>
      <c r="AP1264" t="s">
        <v>63</v>
      </c>
      <c r="AQ1264" t="s">
        <v>63</v>
      </c>
      <c r="AR1264" t="s">
        <v>63</v>
      </c>
      <c r="AS1264" t="s">
        <v>63</v>
      </c>
      <c r="AT1264" t="s">
        <v>63</v>
      </c>
      <c r="AU1264" t="s">
        <v>63</v>
      </c>
      <c r="AV1264" t="s">
        <v>63</v>
      </c>
      <c r="AW1264" t="s">
        <v>63</v>
      </c>
      <c r="AX1264" t="s">
        <v>63</v>
      </c>
      <c r="AY1264" t="s">
        <v>63</v>
      </c>
      <c r="AZ1264" t="s">
        <v>63</v>
      </c>
      <c r="BA1264" t="s">
        <v>63</v>
      </c>
      <c r="BB1264" t="s">
        <v>63</v>
      </c>
      <c r="BC1264" t="s">
        <v>63</v>
      </c>
      <c r="BD1264" t="s">
        <v>63</v>
      </c>
      <c r="BE1264" t="s">
        <v>63</v>
      </c>
      <c r="BF1264" t="s">
        <v>63</v>
      </c>
    </row>
    <row r="1265" spans="1:58">
      <c r="A1265" t="s">
        <v>58</v>
      </c>
      <c r="B1265" t="s">
        <v>11220</v>
      </c>
      <c r="C1265" t="s">
        <v>11221</v>
      </c>
      <c r="D1265" t="s">
        <v>11222</v>
      </c>
      <c r="E1265" t="s">
        <v>63</v>
      </c>
      <c r="F1265">
        <v>2018</v>
      </c>
      <c r="G1265" t="s">
        <v>73</v>
      </c>
      <c r="H1265">
        <v>26</v>
      </c>
      <c r="I1265">
        <v>2</v>
      </c>
      <c r="J1265">
        <v>155</v>
      </c>
      <c r="K1265">
        <v>170</v>
      </c>
      <c r="L1265" t="s">
        <v>63</v>
      </c>
      <c r="M1265" t="s">
        <v>11223</v>
      </c>
      <c r="N1265" t="s">
        <v>11224</v>
      </c>
      <c r="O1265" t="s">
        <v>63</v>
      </c>
      <c r="Q1265" t="s">
        <v>63</v>
      </c>
      <c r="R1265" t="s">
        <v>63</v>
      </c>
      <c r="S1265" t="s">
        <v>63</v>
      </c>
      <c r="T1265" t="s">
        <v>63</v>
      </c>
      <c r="X1265" t="s">
        <v>63</v>
      </c>
      <c r="Y1265" t="s">
        <v>11225</v>
      </c>
      <c r="Z1265" t="s">
        <v>63</v>
      </c>
      <c r="AA1265" t="s">
        <v>11226</v>
      </c>
      <c r="AB1265">
        <v>28986710</v>
      </c>
      <c r="AC1265" t="s">
        <v>67</v>
      </c>
      <c r="AD1265" t="s">
        <v>63</v>
      </c>
      <c r="AE1265" t="s">
        <v>63</v>
      </c>
      <c r="AF1265" t="s">
        <v>63</v>
      </c>
      <c r="AG1265" t="s">
        <v>11227</v>
      </c>
      <c r="AH1265" t="s">
        <v>63</v>
      </c>
      <c r="AI1265" t="s">
        <v>11228</v>
      </c>
      <c r="AJ1265" t="s">
        <v>63</v>
      </c>
      <c r="AK1265" t="s">
        <v>63</v>
      </c>
      <c r="AL1265" t="s">
        <v>63</v>
      </c>
      <c r="AM1265" t="s">
        <v>11229</v>
      </c>
      <c r="AN1265" t="s">
        <v>63</v>
      </c>
      <c r="AO1265" t="s">
        <v>63</v>
      </c>
      <c r="AP1265" t="s">
        <v>63</v>
      </c>
      <c r="AQ1265" t="s">
        <v>63</v>
      </c>
      <c r="AR1265" t="s">
        <v>63</v>
      </c>
      <c r="AS1265" t="s">
        <v>63</v>
      </c>
      <c r="AT1265" t="s">
        <v>63</v>
      </c>
      <c r="AU1265" t="s">
        <v>63</v>
      </c>
      <c r="AV1265" t="s">
        <v>63</v>
      </c>
      <c r="AW1265" t="s">
        <v>63</v>
      </c>
      <c r="AX1265" t="s">
        <v>63</v>
      </c>
      <c r="AY1265" t="s">
        <v>63</v>
      </c>
      <c r="AZ1265" t="s">
        <v>63</v>
      </c>
      <c r="BA1265" t="s">
        <v>63</v>
      </c>
      <c r="BB1265" t="s">
        <v>63</v>
      </c>
      <c r="BC1265" t="s">
        <v>63</v>
      </c>
      <c r="BD1265" t="s">
        <v>63</v>
      </c>
      <c r="BE1265" t="s">
        <v>63</v>
      </c>
      <c r="BF1265" t="s">
        <v>63</v>
      </c>
    </row>
    <row r="1266" spans="1:58">
      <c r="A1266" t="s">
        <v>58</v>
      </c>
      <c r="B1266" t="s">
        <v>11230</v>
      </c>
      <c r="C1266" t="s">
        <v>11231</v>
      </c>
      <c r="D1266" t="s">
        <v>2604</v>
      </c>
      <c r="E1266" t="s">
        <v>2604</v>
      </c>
      <c r="F1266">
        <v>2005</v>
      </c>
      <c r="G1266" t="s">
        <v>1670</v>
      </c>
      <c r="H1266">
        <v>17</v>
      </c>
      <c r="I1266">
        <v>5</v>
      </c>
      <c r="J1266">
        <v>558</v>
      </c>
      <c r="K1266">
        <v>565</v>
      </c>
      <c r="L1266" t="s">
        <v>11232</v>
      </c>
      <c r="M1266" t="s">
        <v>11233</v>
      </c>
      <c r="N1266" t="s">
        <v>11234</v>
      </c>
      <c r="O1266" t="s">
        <v>63</v>
      </c>
      <c r="Q1266" t="s">
        <v>63</v>
      </c>
      <c r="R1266" t="s">
        <v>63</v>
      </c>
      <c r="S1266" t="s">
        <v>63</v>
      </c>
      <c r="T1266" t="s">
        <v>63</v>
      </c>
      <c r="X1266" t="s">
        <v>63</v>
      </c>
      <c r="Y1266" t="s">
        <v>2610</v>
      </c>
      <c r="Z1266" t="s">
        <v>63</v>
      </c>
      <c r="AA1266" t="s">
        <v>11235</v>
      </c>
      <c r="AB1266">
        <v>16036242</v>
      </c>
      <c r="AC1266" t="s">
        <v>67</v>
      </c>
      <c r="AD1266" t="s">
        <v>63</v>
      </c>
      <c r="AE1266" t="s">
        <v>63</v>
      </c>
      <c r="AF1266" t="s">
        <v>63</v>
      </c>
      <c r="AG1266" t="s">
        <v>11236</v>
      </c>
      <c r="AH1266" t="s">
        <v>63</v>
      </c>
      <c r="AI1266" t="s">
        <v>63</v>
      </c>
      <c r="AJ1266" t="s">
        <v>63</v>
      </c>
      <c r="AK1266" t="s">
        <v>63</v>
      </c>
      <c r="AL1266" t="s">
        <v>63</v>
      </c>
      <c r="AM1266" t="s">
        <v>11237</v>
      </c>
      <c r="AN1266" t="s">
        <v>63</v>
      </c>
      <c r="AO1266" t="s">
        <v>63</v>
      </c>
      <c r="AP1266" t="s">
        <v>63</v>
      </c>
      <c r="AQ1266" t="s">
        <v>63</v>
      </c>
      <c r="AR1266" t="s">
        <v>63</v>
      </c>
      <c r="AS1266" t="s">
        <v>63</v>
      </c>
      <c r="AT1266" t="s">
        <v>63</v>
      </c>
      <c r="AU1266" t="s">
        <v>63</v>
      </c>
      <c r="AV1266" t="s">
        <v>63</v>
      </c>
      <c r="AW1266" t="s">
        <v>63</v>
      </c>
      <c r="AX1266" t="s">
        <v>63</v>
      </c>
      <c r="AY1266" t="s">
        <v>63</v>
      </c>
      <c r="AZ1266" t="s">
        <v>63</v>
      </c>
      <c r="BA1266" t="s">
        <v>63</v>
      </c>
      <c r="BB1266" t="s">
        <v>63</v>
      </c>
      <c r="BC1266" t="s">
        <v>63</v>
      </c>
      <c r="BD1266" t="s">
        <v>63</v>
      </c>
      <c r="BE1266" t="s">
        <v>63</v>
      </c>
      <c r="BF1266" t="s">
        <v>63</v>
      </c>
    </row>
    <row r="1267" spans="1:58">
      <c r="A1267" t="s">
        <v>58</v>
      </c>
      <c r="B1267" t="s">
        <v>11238</v>
      </c>
      <c r="C1267" t="s">
        <v>11239</v>
      </c>
      <c r="D1267" t="s">
        <v>11240</v>
      </c>
      <c r="E1267" t="s">
        <v>11241</v>
      </c>
      <c r="F1267">
        <v>2004</v>
      </c>
      <c r="G1267" s="1">
        <v>41957</v>
      </c>
      <c r="H1267">
        <v>56</v>
      </c>
      <c r="I1267">
        <v>10</v>
      </c>
      <c r="J1267">
        <v>810</v>
      </c>
      <c r="K1267">
        <v>816</v>
      </c>
      <c r="L1267" t="s">
        <v>11242</v>
      </c>
      <c r="M1267" t="s">
        <v>11243</v>
      </c>
      <c r="N1267" t="s">
        <v>11244</v>
      </c>
      <c r="O1267" t="s">
        <v>63</v>
      </c>
      <c r="Q1267" t="s">
        <v>63</v>
      </c>
      <c r="R1267" t="s">
        <v>63</v>
      </c>
      <c r="S1267" t="s">
        <v>63</v>
      </c>
      <c r="T1267" t="s">
        <v>63</v>
      </c>
      <c r="X1267" t="s">
        <v>63</v>
      </c>
      <c r="Y1267" s="2">
        <v>481907</v>
      </c>
      <c r="Z1267" t="s">
        <v>63</v>
      </c>
      <c r="AA1267" t="s">
        <v>11245</v>
      </c>
      <c r="AB1267">
        <v>15556127</v>
      </c>
      <c r="AC1267" t="s">
        <v>67</v>
      </c>
      <c r="AD1267" t="s">
        <v>63</v>
      </c>
      <c r="AE1267" t="s">
        <v>63</v>
      </c>
      <c r="AF1267" t="s">
        <v>63</v>
      </c>
      <c r="AG1267" t="s">
        <v>11246</v>
      </c>
      <c r="AH1267" t="s">
        <v>63</v>
      </c>
      <c r="AI1267" t="s">
        <v>63</v>
      </c>
      <c r="AJ1267" t="s">
        <v>63</v>
      </c>
      <c r="AK1267" t="s">
        <v>63</v>
      </c>
      <c r="AL1267" t="s">
        <v>63</v>
      </c>
      <c r="AM1267" t="s">
        <v>11247</v>
      </c>
      <c r="AN1267" t="s">
        <v>63</v>
      </c>
      <c r="AO1267" t="s">
        <v>63</v>
      </c>
      <c r="AP1267" t="s">
        <v>63</v>
      </c>
      <c r="AQ1267" t="s">
        <v>63</v>
      </c>
      <c r="AR1267" t="s">
        <v>63</v>
      </c>
      <c r="AS1267" t="s">
        <v>63</v>
      </c>
      <c r="AT1267" t="s">
        <v>63</v>
      </c>
      <c r="AU1267" t="s">
        <v>63</v>
      </c>
      <c r="AV1267" t="s">
        <v>63</v>
      </c>
      <c r="AW1267" t="s">
        <v>63</v>
      </c>
      <c r="AX1267" t="s">
        <v>63</v>
      </c>
      <c r="AY1267" t="s">
        <v>63</v>
      </c>
      <c r="AZ1267" t="s">
        <v>63</v>
      </c>
      <c r="BA1267" t="s">
        <v>63</v>
      </c>
      <c r="BB1267" t="s">
        <v>63</v>
      </c>
      <c r="BC1267" t="s">
        <v>63</v>
      </c>
      <c r="BD1267" t="s">
        <v>63</v>
      </c>
      <c r="BE1267" t="s">
        <v>63</v>
      </c>
      <c r="BF1267" t="s">
        <v>63</v>
      </c>
    </row>
    <row r="1268" spans="1:58">
      <c r="A1268" t="s">
        <v>58</v>
      </c>
      <c r="B1268" t="s">
        <v>11248</v>
      </c>
      <c r="C1268" t="s">
        <v>11249</v>
      </c>
      <c r="D1268" t="s">
        <v>325</v>
      </c>
      <c r="E1268" t="s">
        <v>63</v>
      </c>
      <c r="F1268">
        <v>2009</v>
      </c>
      <c r="G1268" t="s">
        <v>147</v>
      </c>
      <c r="H1268">
        <v>33</v>
      </c>
      <c r="I1268">
        <v>2</v>
      </c>
      <c r="J1268">
        <v>139</v>
      </c>
      <c r="K1268">
        <v>142</v>
      </c>
      <c r="L1268" t="s">
        <v>11250</v>
      </c>
      <c r="M1268" t="s">
        <v>11251</v>
      </c>
      <c r="N1268" t="s">
        <v>11252</v>
      </c>
      <c r="O1268" t="s">
        <v>63</v>
      </c>
      <c r="Q1268" t="s">
        <v>63</v>
      </c>
      <c r="R1268" t="s">
        <v>63</v>
      </c>
      <c r="S1268" t="s">
        <v>63</v>
      </c>
      <c r="T1268" t="s">
        <v>63</v>
      </c>
      <c r="X1268" t="s">
        <v>63</v>
      </c>
      <c r="Y1268" t="s">
        <v>866</v>
      </c>
      <c r="Z1268" t="s">
        <v>63</v>
      </c>
      <c r="AA1268" t="s">
        <v>11253</v>
      </c>
      <c r="AB1268">
        <v>19398628</v>
      </c>
      <c r="AC1268" t="s">
        <v>67</v>
      </c>
      <c r="AD1268" t="s">
        <v>63</v>
      </c>
      <c r="AE1268" t="s">
        <v>63</v>
      </c>
      <c r="AF1268" t="s">
        <v>63</v>
      </c>
      <c r="AG1268" t="s">
        <v>11254</v>
      </c>
      <c r="AH1268" t="s">
        <v>63</v>
      </c>
      <c r="AI1268" t="s">
        <v>11255</v>
      </c>
      <c r="AJ1268" t="s">
        <v>63</v>
      </c>
      <c r="AK1268" t="s">
        <v>63</v>
      </c>
      <c r="AL1268" t="s">
        <v>63</v>
      </c>
      <c r="AM1268" t="s">
        <v>11256</v>
      </c>
      <c r="AN1268" t="s">
        <v>63</v>
      </c>
      <c r="AO1268" t="s">
        <v>63</v>
      </c>
      <c r="AP1268" t="s">
        <v>63</v>
      </c>
      <c r="AQ1268" t="s">
        <v>63</v>
      </c>
      <c r="AR1268" t="s">
        <v>63</v>
      </c>
      <c r="AS1268" t="s">
        <v>63</v>
      </c>
      <c r="AT1268" t="s">
        <v>63</v>
      </c>
      <c r="AU1268" t="s">
        <v>63</v>
      </c>
      <c r="AV1268" t="s">
        <v>63</v>
      </c>
      <c r="AW1268" t="s">
        <v>63</v>
      </c>
      <c r="AX1268" t="s">
        <v>63</v>
      </c>
      <c r="AY1268" t="s">
        <v>63</v>
      </c>
      <c r="AZ1268" t="s">
        <v>63</v>
      </c>
      <c r="BA1268" t="s">
        <v>63</v>
      </c>
      <c r="BB1268" t="s">
        <v>63</v>
      </c>
      <c r="BC1268" t="s">
        <v>63</v>
      </c>
      <c r="BD1268" t="s">
        <v>63</v>
      </c>
      <c r="BE1268" t="s">
        <v>63</v>
      </c>
      <c r="BF1268" t="s">
        <v>63</v>
      </c>
    </row>
    <row r="1269" spans="1:58">
      <c r="A1269" t="s">
        <v>58</v>
      </c>
      <c r="B1269" t="s">
        <v>11257</v>
      </c>
      <c r="C1269" t="s">
        <v>11258</v>
      </c>
      <c r="D1269" t="s">
        <v>10843</v>
      </c>
      <c r="E1269" t="s">
        <v>10844</v>
      </c>
      <c r="F1269">
        <v>2005</v>
      </c>
      <c r="G1269" t="s">
        <v>138</v>
      </c>
      <c r="H1269">
        <v>7</v>
      </c>
      <c r="I1269">
        <v>5</v>
      </c>
      <c r="J1269">
        <v>352</v>
      </c>
      <c r="K1269">
        <v>359</v>
      </c>
      <c r="L1269" t="s">
        <v>11259</v>
      </c>
      <c r="M1269" t="s">
        <v>11260</v>
      </c>
      <c r="N1269" t="s">
        <v>11261</v>
      </c>
      <c r="O1269" t="s">
        <v>63</v>
      </c>
      <c r="Q1269" t="s">
        <v>63</v>
      </c>
      <c r="R1269" t="s">
        <v>63</v>
      </c>
      <c r="S1269" t="s">
        <v>63</v>
      </c>
      <c r="T1269" t="s">
        <v>63</v>
      </c>
      <c r="X1269" t="s">
        <v>63</v>
      </c>
      <c r="Y1269" t="s">
        <v>11262</v>
      </c>
      <c r="Z1269" t="s">
        <v>63</v>
      </c>
      <c r="AA1269" t="s">
        <v>11263</v>
      </c>
      <c r="AB1269">
        <v>16216153</v>
      </c>
      <c r="AC1269" t="s">
        <v>67</v>
      </c>
      <c r="AD1269" t="s">
        <v>63</v>
      </c>
      <c r="AE1269" t="s">
        <v>63</v>
      </c>
      <c r="AF1269" t="s">
        <v>63</v>
      </c>
      <c r="AG1269" t="s">
        <v>11264</v>
      </c>
      <c r="AH1269" t="s">
        <v>63</v>
      </c>
      <c r="AI1269" t="s">
        <v>63</v>
      </c>
      <c r="AJ1269" t="s">
        <v>63</v>
      </c>
      <c r="AK1269" t="s">
        <v>63</v>
      </c>
      <c r="AL1269" t="s">
        <v>63</v>
      </c>
      <c r="AM1269" t="s">
        <v>11265</v>
      </c>
      <c r="AN1269" t="s">
        <v>63</v>
      </c>
      <c r="AO1269" t="s">
        <v>63</v>
      </c>
      <c r="AP1269" t="s">
        <v>63</v>
      </c>
      <c r="AQ1269" t="s">
        <v>63</v>
      </c>
      <c r="AR1269" t="s">
        <v>63</v>
      </c>
      <c r="AS1269" t="s">
        <v>63</v>
      </c>
      <c r="AT1269" t="s">
        <v>63</v>
      </c>
      <c r="AU1269" t="s">
        <v>63</v>
      </c>
      <c r="AV1269" t="s">
        <v>63</v>
      </c>
      <c r="AW1269" t="s">
        <v>63</v>
      </c>
      <c r="AX1269" t="s">
        <v>63</v>
      </c>
      <c r="AY1269" t="s">
        <v>63</v>
      </c>
      <c r="AZ1269" t="s">
        <v>63</v>
      </c>
      <c r="BA1269" t="s">
        <v>63</v>
      </c>
      <c r="BB1269" t="s">
        <v>63</v>
      </c>
      <c r="BC1269" t="s">
        <v>63</v>
      </c>
      <c r="BD1269" t="s">
        <v>63</v>
      </c>
      <c r="BE1269" t="s">
        <v>63</v>
      </c>
      <c r="BF1269" t="s">
        <v>63</v>
      </c>
    </row>
    <row r="1270" spans="1:58">
      <c r="A1270" t="s">
        <v>58</v>
      </c>
      <c r="B1270" t="s">
        <v>11266</v>
      </c>
      <c r="C1270" t="s">
        <v>11267</v>
      </c>
      <c r="D1270" t="s">
        <v>11268</v>
      </c>
      <c r="E1270" t="s">
        <v>11269</v>
      </c>
      <c r="F1270">
        <v>2013</v>
      </c>
      <c r="G1270" t="s">
        <v>157</v>
      </c>
      <c r="H1270">
        <v>33</v>
      </c>
      <c r="I1270">
        <v>6</v>
      </c>
      <c r="J1270">
        <v>759</v>
      </c>
      <c r="K1270">
        <v>765</v>
      </c>
      <c r="L1270" t="s">
        <v>11270</v>
      </c>
      <c r="M1270" t="s">
        <v>11271</v>
      </c>
      <c r="N1270" t="s">
        <v>11272</v>
      </c>
      <c r="O1270" t="s">
        <v>63</v>
      </c>
      <c r="Q1270" t="s">
        <v>63</v>
      </c>
      <c r="R1270" t="s">
        <v>63</v>
      </c>
      <c r="S1270" t="s">
        <v>63</v>
      </c>
      <c r="T1270" t="s">
        <v>63</v>
      </c>
      <c r="X1270" t="s">
        <v>63</v>
      </c>
      <c r="Y1270" t="s">
        <v>11273</v>
      </c>
      <c r="Z1270" t="s">
        <v>63</v>
      </c>
      <c r="AA1270" t="s">
        <v>11274</v>
      </c>
      <c r="AB1270">
        <v>24126686</v>
      </c>
      <c r="AC1270" t="s">
        <v>67</v>
      </c>
      <c r="AD1270" t="s">
        <v>63</v>
      </c>
      <c r="AE1270" t="s">
        <v>63</v>
      </c>
      <c r="AF1270" t="s">
        <v>63</v>
      </c>
      <c r="AG1270" t="s">
        <v>11275</v>
      </c>
      <c r="AH1270" t="s">
        <v>63</v>
      </c>
      <c r="AI1270" t="s">
        <v>11276</v>
      </c>
      <c r="AJ1270" t="s">
        <v>63</v>
      </c>
      <c r="AK1270" t="s">
        <v>63</v>
      </c>
      <c r="AL1270" t="s">
        <v>63</v>
      </c>
      <c r="AM1270" t="s">
        <v>11277</v>
      </c>
      <c r="AN1270" t="s">
        <v>63</v>
      </c>
      <c r="AO1270" t="s">
        <v>63</v>
      </c>
      <c r="AP1270" t="s">
        <v>63</v>
      </c>
      <c r="AQ1270" t="s">
        <v>63</v>
      </c>
      <c r="AR1270" t="s">
        <v>63</v>
      </c>
      <c r="AS1270" t="s">
        <v>63</v>
      </c>
      <c r="AT1270" t="s">
        <v>63</v>
      </c>
      <c r="AU1270" t="s">
        <v>63</v>
      </c>
      <c r="AV1270" t="s">
        <v>63</v>
      </c>
      <c r="AW1270" t="s">
        <v>63</v>
      </c>
      <c r="AX1270" t="s">
        <v>63</v>
      </c>
      <c r="AY1270" t="s">
        <v>63</v>
      </c>
      <c r="AZ1270" t="s">
        <v>63</v>
      </c>
      <c r="BA1270" t="s">
        <v>63</v>
      </c>
      <c r="BB1270" t="s">
        <v>63</v>
      </c>
      <c r="BC1270" t="s">
        <v>63</v>
      </c>
      <c r="BD1270" t="s">
        <v>63</v>
      </c>
      <c r="BE1270" t="s">
        <v>63</v>
      </c>
      <c r="BF1270" t="s">
        <v>63</v>
      </c>
    </row>
    <row r="1271" spans="1:58">
      <c r="A1271" t="s">
        <v>58</v>
      </c>
      <c r="B1271" t="s">
        <v>11278</v>
      </c>
      <c r="C1271" t="s">
        <v>11279</v>
      </c>
      <c r="D1271" t="s">
        <v>763</v>
      </c>
      <c r="E1271" t="s">
        <v>63</v>
      </c>
      <c r="F1271">
        <v>2008</v>
      </c>
      <c r="G1271" t="s">
        <v>219</v>
      </c>
      <c r="H1271">
        <v>83</v>
      </c>
      <c r="I1271">
        <v>11</v>
      </c>
      <c r="J1271">
        <v>1015</v>
      </c>
      <c r="K1271">
        <v>1020</v>
      </c>
      <c r="L1271" t="s">
        <v>11280</v>
      </c>
      <c r="M1271" t="s">
        <v>11281</v>
      </c>
      <c r="N1271" t="s">
        <v>11282</v>
      </c>
      <c r="O1271" t="s">
        <v>63</v>
      </c>
      <c r="Q1271" t="s">
        <v>63</v>
      </c>
      <c r="R1271" t="s">
        <v>63</v>
      </c>
      <c r="S1271" t="s">
        <v>63</v>
      </c>
      <c r="T1271" t="s">
        <v>63</v>
      </c>
      <c r="X1271" t="s">
        <v>63</v>
      </c>
      <c r="Y1271" t="s">
        <v>766</v>
      </c>
      <c r="Z1271" t="s">
        <v>63</v>
      </c>
      <c r="AA1271" t="s">
        <v>11283</v>
      </c>
      <c r="AB1271">
        <v>18971651</v>
      </c>
      <c r="AC1271" t="s">
        <v>67</v>
      </c>
      <c r="AD1271" t="s">
        <v>63</v>
      </c>
      <c r="AE1271" t="s">
        <v>63</v>
      </c>
      <c r="AF1271" t="s">
        <v>63</v>
      </c>
      <c r="AG1271" t="s">
        <v>11284</v>
      </c>
      <c r="AH1271" t="s">
        <v>63</v>
      </c>
      <c r="AI1271" t="s">
        <v>11285</v>
      </c>
      <c r="AJ1271" t="s">
        <v>63</v>
      </c>
      <c r="AK1271" t="s">
        <v>63</v>
      </c>
      <c r="AL1271" t="s">
        <v>63</v>
      </c>
      <c r="AM1271" t="s">
        <v>11286</v>
      </c>
      <c r="AN1271" t="s">
        <v>63</v>
      </c>
      <c r="AO1271" t="s">
        <v>63</v>
      </c>
      <c r="AP1271" t="s">
        <v>63</v>
      </c>
      <c r="AQ1271" t="s">
        <v>63</v>
      </c>
      <c r="AR1271" t="s">
        <v>63</v>
      </c>
      <c r="AS1271" t="s">
        <v>63</v>
      </c>
      <c r="AT1271" t="s">
        <v>63</v>
      </c>
      <c r="AU1271" t="s">
        <v>63</v>
      </c>
      <c r="AV1271" t="s">
        <v>63</v>
      </c>
      <c r="AW1271" t="s">
        <v>63</v>
      </c>
      <c r="AX1271" t="s">
        <v>63</v>
      </c>
      <c r="AY1271" t="s">
        <v>63</v>
      </c>
      <c r="AZ1271" t="s">
        <v>63</v>
      </c>
      <c r="BA1271" t="s">
        <v>63</v>
      </c>
      <c r="BB1271" t="s">
        <v>63</v>
      </c>
      <c r="BC1271" t="s">
        <v>63</v>
      </c>
      <c r="BD1271" t="s">
        <v>63</v>
      </c>
      <c r="BE1271" t="s">
        <v>63</v>
      </c>
      <c r="BF1271" t="s">
        <v>63</v>
      </c>
    </row>
    <row r="1272" spans="1:58">
      <c r="A1272" t="s">
        <v>58</v>
      </c>
      <c r="B1272" t="s">
        <v>11287</v>
      </c>
      <c r="C1272" t="s">
        <v>11288</v>
      </c>
      <c r="D1272" t="s">
        <v>4116</v>
      </c>
      <c r="E1272" t="s">
        <v>4117</v>
      </c>
      <c r="F1272">
        <v>1990</v>
      </c>
      <c r="G1272" t="s">
        <v>1670</v>
      </c>
      <c r="H1272">
        <v>51</v>
      </c>
      <c r="I1272">
        <v>4</v>
      </c>
      <c r="J1272">
        <v>296</v>
      </c>
      <c r="K1272">
        <v>300</v>
      </c>
      <c r="L1272" t="s">
        <v>11289</v>
      </c>
      <c r="M1272" t="s">
        <v>11290</v>
      </c>
      <c r="N1272" t="s">
        <v>11291</v>
      </c>
      <c r="O1272" t="s">
        <v>63</v>
      </c>
      <c r="Q1272" t="s">
        <v>63</v>
      </c>
      <c r="R1272" t="s">
        <v>63</v>
      </c>
      <c r="S1272" t="s">
        <v>63</v>
      </c>
      <c r="T1272" t="s">
        <v>63</v>
      </c>
      <c r="X1272" t="s">
        <v>63</v>
      </c>
      <c r="Y1272" t="s">
        <v>4121</v>
      </c>
      <c r="Z1272" t="s">
        <v>63</v>
      </c>
      <c r="AA1272" t="s">
        <v>11292</v>
      </c>
      <c r="AB1272">
        <v>2359301</v>
      </c>
      <c r="AC1272" t="s">
        <v>67</v>
      </c>
      <c r="AD1272" t="s">
        <v>63</v>
      </c>
      <c r="AE1272" t="s">
        <v>63</v>
      </c>
      <c r="AF1272" t="s">
        <v>63</v>
      </c>
      <c r="AG1272" t="s">
        <v>11293</v>
      </c>
      <c r="AH1272" t="s">
        <v>63</v>
      </c>
      <c r="AI1272" t="s">
        <v>63</v>
      </c>
      <c r="AJ1272" t="s">
        <v>63</v>
      </c>
      <c r="AK1272" t="s">
        <v>63</v>
      </c>
      <c r="AL1272" t="s">
        <v>63</v>
      </c>
      <c r="AM1272" t="s">
        <v>11294</v>
      </c>
      <c r="AN1272" t="s">
        <v>63</v>
      </c>
      <c r="AO1272" t="s">
        <v>63</v>
      </c>
      <c r="AP1272" t="s">
        <v>63</v>
      </c>
      <c r="AQ1272" t="s">
        <v>63</v>
      </c>
      <c r="AR1272" t="s">
        <v>63</v>
      </c>
      <c r="AS1272" t="s">
        <v>63</v>
      </c>
      <c r="AT1272" t="s">
        <v>63</v>
      </c>
      <c r="AU1272" t="s">
        <v>63</v>
      </c>
      <c r="AV1272" t="s">
        <v>63</v>
      </c>
      <c r="AW1272" t="s">
        <v>63</v>
      </c>
      <c r="AX1272" t="s">
        <v>63</v>
      </c>
      <c r="AY1272" t="s">
        <v>63</v>
      </c>
      <c r="AZ1272" t="s">
        <v>63</v>
      </c>
      <c r="BA1272" t="s">
        <v>63</v>
      </c>
      <c r="BB1272" t="s">
        <v>63</v>
      </c>
      <c r="BC1272" t="s">
        <v>63</v>
      </c>
      <c r="BD1272" t="s">
        <v>63</v>
      </c>
      <c r="BE1272" t="s">
        <v>63</v>
      </c>
      <c r="BF1272" t="s">
        <v>63</v>
      </c>
    </row>
    <row r="1273" spans="1:58">
      <c r="A1273" t="s">
        <v>58</v>
      </c>
      <c r="B1273" t="s">
        <v>11295</v>
      </c>
      <c r="C1273" t="s">
        <v>11296</v>
      </c>
      <c r="D1273" t="s">
        <v>4116</v>
      </c>
      <c r="E1273" t="s">
        <v>4117</v>
      </c>
      <c r="F1273">
        <v>1992</v>
      </c>
      <c r="G1273" t="s">
        <v>198</v>
      </c>
      <c r="H1273">
        <v>53</v>
      </c>
      <c r="I1273">
        <v>1</v>
      </c>
      <c r="J1273">
        <v>17</v>
      </c>
      <c r="K1273">
        <v>24</v>
      </c>
      <c r="L1273" t="s">
        <v>11297</v>
      </c>
      <c r="M1273" t="s">
        <v>11298</v>
      </c>
      <c r="N1273" t="s">
        <v>11299</v>
      </c>
      <c r="O1273" t="s">
        <v>63</v>
      </c>
      <c r="Q1273" t="s">
        <v>63</v>
      </c>
      <c r="R1273" t="s">
        <v>63</v>
      </c>
      <c r="S1273" t="s">
        <v>63</v>
      </c>
      <c r="T1273" t="s">
        <v>63</v>
      </c>
      <c r="X1273" t="s">
        <v>63</v>
      </c>
      <c r="Y1273" t="s">
        <v>4121</v>
      </c>
      <c r="Z1273" t="s">
        <v>63</v>
      </c>
      <c r="AA1273" t="s">
        <v>11292</v>
      </c>
      <c r="AB1273">
        <v>1556853</v>
      </c>
      <c r="AC1273" t="s">
        <v>67</v>
      </c>
      <c r="AD1273" t="s">
        <v>63</v>
      </c>
      <c r="AE1273" t="s">
        <v>63</v>
      </c>
      <c r="AF1273" t="s">
        <v>63</v>
      </c>
      <c r="AG1273" t="s">
        <v>11300</v>
      </c>
      <c r="AH1273" t="s">
        <v>63</v>
      </c>
      <c r="AI1273" t="s">
        <v>63</v>
      </c>
      <c r="AJ1273" t="s">
        <v>63</v>
      </c>
      <c r="AK1273" t="s">
        <v>63</v>
      </c>
      <c r="AL1273" t="s">
        <v>63</v>
      </c>
      <c r="AM1273" t="s">
        <v>11301</v>
      </c>
      <c r="AN1273" t="s">
        <v>63</v>
      </c>
      <c r="AO1273" t="s">
        <v>63</v>
      </c>
      <c r="AP1273" t="s">
        <v>63</v>
      </c>
      <c r="AQ1273" t="s">
        <v>63</v>
      </c>
      <c r="AR1273" t="s">
        <v>63</v>
      </c>
      <c r="AS1273" t="s">
        <v>63</v>
      </c>
      <c r="AT1273" t="s">
        <v>63</v>
      </c>
      <c r="AU1273" t="s">
        <v>63</v>
      </c>
      <c r="AV1273" t="s">
        <v>63</v>
      </c>
      <c r="AW1273" t="s">
        <v>63</v>
      </c>
      <c r="AX1273" t="s">
        <v>63</v>
      </c>
      <c r="AY1273" t="s">
        <v>63</v>
      </c>
      <c r="AZ1273" t="s">
        <v>63</v>
      </c>
      <c r="BA1273" t="s">
        <v>63</v>
      </c>
      <c r="BB1273" t="s">
        <v>63</v>
      </c>
      <c r="BC1273" t="s">
        <v>63</v>
      </c>
      <c r="BD1273" t="s">
        <v>63</v>
      </c>
      <c r="BE1273" t="s">
        <v>63</v>
      </c>
      <c r="BF1273" t="s">
        <v>63</v>
      </c>
    </row>
    <row r="1274" spans="1:58">
      <c r="A1274" t="s">
        <v>58</v>
      </c>
      <c r="B1274" t="s">
        <v>11302</v>
      </c>
      <c r="C1274" t="s">
        <v>11303</v>
      </c>
      <c r="D1274" t="s">
        <v>1481</v>
      </c>
      <c r="E1274" t="s">
        <v>1481</v>
      </c>
      <c r="F1274">
        <v>1996</v>
      </c>
      <c r="G1274" t="s">
        <v>274</v>
      </c>
      <c r="H1274">
        <v>91</v>
      </c>
      <c r="I1274">
        <v>3</v>
      </c>
      <c r="J1274">
        <v>391</v>
      </c>
      <c r="K1274">
        <v>403</v>
      </c>
      <c r="L1274" t="s">
        <v>11304</v>
      </c>
      <c r="M1274" t="s">
        <v>11305</v>
      </c>
      <c r="N1274" t="s">
        <v>11306</v>
      </c>
      <c r="O1274" t="s">
        <v>63</v>
      </c>
      <c r="Q1274" t="s">
        <v>63</v>
      </c>
      <c r="R1274" t="s">
        <v>63</v>
      </c>
      <c r="S1274" t="s">
        <v>63</v>
      </c>
      <c r="T1274" t="s">
        <v>63</v>
      </c>
      <c r="X1274" t="s">
        <v>63</v>
      </c>
      <c r="Y1274" t="s">
        <v>2426</v>
      </c>
      <c r="Z1274" t="s">
        <v>63</v>
      </c>
      <c r="AA1274" t="s">
        <v>11307</v>
      </c>
      <c r="AB1274">
        <v>8867201</v>
      </c>
      <c r="AC1274" t="s">
        <v>67</v>
      </c>
      <c r="AD1274" t="s">
        <v>63</v>
      </c>
      <c r="AE1274" t="s">
        <v>63</v>
      </c>
      <c r="AF1274" t="s">
        <v>63</v>
      </c>
      <c r="AG1274" t="s">
        <v>11308</v>
      </c>
      <c r="AH1274" t="s">
        <v>63</v>
      </c>
      <c r="AI1274" t="s">
        <v>63</v>
      </c>
      <c r="AJ1274" t="s">
        <v>63</v>
      </c>
      <c r="AK1274" t="s">
        <v>63</v>
      </c>
      <c r="AL1274" t="s">
        <v>63</v>
      </c>
      <c r="AM1274" t="s">
        <v>11309</v>
      </c>
      <c r="AN1274" t="s">
        <v>63</v>
      </c>
      <c r="AO1274" t="s">
        <v>63</v>
      </c>
      <c r="AP1274" t="s">
        <v>63</v>
      </c>
      <c r="AQ1274" t="s">
        <v>63</v>
      </c>
      <c r="AR1274" t="s">
        <v>63</v>
      </c>
      <c r="AS1274" t="s">
        <v>63</v>
      </c>
      <c r="AT1274" t="s">
        <v>63</v>
      </c>
      <c r="AU1274" t="s">
        <v>63</v>
      </c>
      <c r="AV1274" t="s">
        <v>63</v>
      </c>
      <c r="AW1274" t="s">
        <v>63</v>
      </c>
      <c r="AX1274" t="s">
        <v>63</v>
      </c>
      <c r="AY1274" t="s">
        <v>63</v>
      </c>
      <c r="AZ1274" t="s">
        <v>63</v>
      </c>
      <c r="BA1274" t="s">
        <v>63</v>
      </c>
      <c r="BB1274" t="s">
        <v>63</v>
      </c>
      <c r="BC1274" t="s">
        <v>63</v>
      </c>
      <c r="BD1274" t="s">
        <v>63</v>
      </c>
      <c r="BE1274" t="s">
        <v>63</v>
      </c>
      <c r="BF1274" t="s">
        <v>63</v>
      </c>
    </row>
    <row r="1275" spans="1:58">
      <c r="A1275" t="s">
        <v>58</v>
      </c>
      <c r="B1275" t="s">
        <v>11310</v>
      </c>
      <c r="C1275" t="s">
        <v>11311</v>
      </c>
      <c r="D1275" t="s">
        <v>11312</v>
      </c>
      <c r="E1275" t="s">
        <v>63</v>
      </c>
      <c r="F1275">
        <v>1992</v>
      </c>
      <c r="G1275" t="s">
        <v>138</v>
      </c>
      <c r="H1275">
        <v>180</v>
      </c>
      <c r="I1275">
        <v>10</v>
      </c>
      <c r="J1275">
        <v>619</v>
      </c>
      <c r="K1275">
        <v>626</v>
      </c>
      <c r="L1275" t="s">
        <v>11313</v>
      </c>
      <c r="M1275" t="s">
        <v>11314</v>
      </c>
      <c r="N1275" t="s">
        <v>11315</v>
      </c>
      <c r="O1275" t="s">
        <v>63</v>
      </c>
      <c r="Q1275" t="s">
        <v>63</v>
      </c>
      <c r="R1275" t="s">
        <v>63</v>
      </c>
      <c r="S1275" t="s">
        <v>63</v>
      </c>
      <c r="T1275" t="s">
        <v>63</v>
      </c>
      <c r="X1275" t="s">
        <v>63</v>
      </c>
      <c r="Y1275" t="s">
        <v>11316</v>
      </c>
      <c r="Z1275" t="s">
        <v>63</v>
      </c>
      <c r="AA1275" t="s">
        <v>11292</v>
      </c>
      <c r="AB1275">
        <v>1402839</v>
      </c>
      <c r="AC1275" t="s">
        <v>67</v>
      </c>
      <c r="AD1275" t="s">
        <v>63</v>
      </c>
      <c r="AE1275" t="s">
        <v>63</v>
      </c>
      <c r="AF1275" t="s">
        <v>63</v>
      </c>
      <c r="AG1275" t="s">
        <v>11317</v>
      </c>
      <c r="AH1275" t="s">
        <v>63</v>
      </c>
      <c r="AI1275" t="s">
        <v>63</v>
      </c>
      <c r="AJ1275" t="s">
        <v>63</v>
      </c>
      <c r="AK1275" t="s">
        <v>63</v>
      </c>
      <c r="AL1275" t="s">
        <v>63</v>
      </c>
      <c r="AM1275" t="s">
        <v>11318</v>
      </c>
      <c r="AN1275" t="s">
        <v>63</v>
      </c>
      <c r="AO1275" t="s">
        <v>63</v>
      </c>
      <c r="AP1275" t="s">
        <v>63</v>
      </c>
      <c r="AQ1275" t="s">
        <v>63</v>
      </c>
      <c r="AR1275" t="s">
        <v>63</v>
      </c>
      <c r="AS1275" t="s">
        <v>63</v>
      </c>
      <c r="AT1275" t="s">
        <v>63</v>
      </c>
      <c r="AU1275" t="s">
        <v>63</v>
      </c>
      <c r="AV1275" t="s">
        <v>63</v>
      </c>
      <c r="AW1275" t="s">
        <v>63</v>
      </c>
      <c r="AX1275" t="s">
        <v>63</v>
      </c>
      <c r="AY1275" t="s">
        <v>63</v>
      </c>
      <c r="AZ1275" t="s">
        <v>63</v>
      </c>
      <c r="BA1275" t="s">
        <v>63</v>
      </c>
      <c r="BB1275" t="s">
        <v>63</v>
      </c>
      <c r="BC1275" t="s">
        <v>63</v>
      </c>
      <c r="BD1275" t="s">
        <v>63</v>
      </c>
      <c r="BE1275" t="s">
        <v>63</v>
      </c>
      <c r="BF1275" t="s">
        <v>63</v>
      </c>
    </row>
    <row r="1276" spans="1:58">
      <c r="A1276" t="s">
        <v>58</v>
      </c>
      <c r="B1276" t="s">
        <v>11319</v>
      </c>
      <c r="C1276" t="s">
        <v>11320</v>
      </c>
      <c r="D1276" t="s">
        <v>11321</v>
      </c>
      <c r="E1276" t="s">
        <v>11321</v>
      </c>
      <c r="F1276">
        <v>2004</v>
      </c>
      <c r="G1276" t="s">
        <v>73</v>
      </c>
      <c r="H1276">
        <v>9</v>
      </c>
      <c r="I1276">
        <v>2</v>
      </c>
      <c r="J1276">
        <v>165</v>
      </c>
      <c r="K1276">
        <v>172</v>
      </c>
      <c r="L1276" t="s">
        <v>11322</v>
      </c>
      <c r="M1276" t="s">
        <v>11323</v>
      </c>
      <c r="N1276" t="s">
        <v>11324</v>
      </c>
      <c r="O1276" t="s">
        <v>63</v>
      </c>
      <c r="Q1276" t="s">
        <v>63</v>
      </c>
      <c r="R1276" t="s">
        <v>63</v>
      </c>
      <c r="S1276" t="s">
        <v>63</v>
      </c>
      <c r="T1276" t="s">
        <v>63</v>
      </c>
      <c r="X1276" t="s">
        <v>63</v>
      </c>
      <c r="Y1276" t="s">
        <v>11325</v>
      </c>
      <c r="Z1276" t="s">
        <v>63</v>
      </c>
      <c r="AA1276" t="s">
        <v>11326</v>
      </c>
      <c r="AB1276">
        <v>15182265</v>
      </c>
      <c r="AC1276" t="s">
        <v>67</v>
      </c>
      <c r="AD1276" t="s">
        <v>63</v>
      </c>
      <c r="AE1276" t="s">
        <v>63</v>
      </c>
      <c r="AF1276" t="s">
        <v>63</v>
      </c>
      <c r="AG1276" t="s">
        <v>11327</v>
      </c>
      <c r="AH1276" t="s">
        <v>63</v>
      </c>
      <c r="AI1276" t="s">
        <v>63</v>
      </c>
      <c r="AJ1276" t="s">
        <v>63</v>
      </c>
      <c r="AK1276" t="s">
        <v>63</v>
      </c>
      <c r="AL1276" t="s">
        <v>63</v>
      </c>
      <c r="AM1276" t="s">
        <v>11328</v>
      </c>
      <c r="AN1276" t="s">
        <v>63</v>
      </c>
      <c r="AO1276" t="s">
        <v>63</v>
      </c>
      <c r="AP1276" t="s">
        <v>63</v>
      </c>
      <c r="AQ1276" t="s">
        <v>63</v>
      </c>
      <c r="AR1276" t="s">
        <v>63</v>
      </c>
      <c r="AS1276" t="s">
        <v>63</v>
      </c>
      <c r="AT1276" t="s">
        <v>63</v>
      </c>
      <c r="AU1276" t="s">
        <v>63</v>
      </c>
      <c r="AV1276" t="s">
        <v>63</v>
      </c>
      <c r="AW1276" t="s">
        <v>63</v>
      </c>
      <c r="AX1276" t="s">
        <v>63</v>
      </c>
      <c r="AY1276" t="s">
        <v>63</v>
      </c>
      <c r="AZ1276" t="s">
        <v>63</v>
      </c>
      <c r="BA1276" t="s">
        <v>63</v>
      </c>
      <c r="BB1276" t="s">
        <v>63</v>
      </c>
      <c r="BC1276" t="s">
        <v>63</v>
      </c>
      <c r="BD1276" t="s">
        <v>63</v>
      </c>
      <c r="BE1276" t="s">
        <v>63</v>
      </c>
      <c r="BF1276" t="s">
        <v>63</v>
      </c>
    </row>
    <row r="1277" spans="1:58">
      <c r="A1277" t="s">
        <v>58</v>
      </c>
      <c r="B1277" t="s">
        <v>11319</v>
      </c>
      <c r="C1277" t="s">
        <v>11329</v>
      </c>
      <c r="D1277" t="s">
        <v>11330</v>
      </c>
      <c r="E1277" t="s">
        <v>11330</v>
      </c>
      <c r="F1277">
        <v>1999</v>
      </c>
      <c r="G1277" t="s">
        <v>198</v>
      </c>
      <c r="H1277">
        <v>54</v>
      </c>
      <c r="I1277">
        <v>1</v>
      </c>
      <c r="J1277">
        <v>70</v>
      </c>
      <c r="K1277">
        <v>78</v>
      </c>
      <c r="L1277" t="s">
        <v>11331</v>
      </c>
      <c r="M1277" t="s">
        <v>63</v>
      </c>
      <c r="N1277" t="s">
        <v>11332</v>
      </c>
      <c r="O1277" t="s">
        <v>63</v>
      </c>
      <c r="Q1277" t="s">
        <v>63</v>
      </c>
      <c r="R1277" t="s">
        <v>63</v>
      </c>
      <c r="S1277" t="s">
        <v>63</v>
      </c>
      <c r="T1277" t="s">
        <v>63</v>
      </c>
      <c r="X1277" t="s">
        <v>63</v>
      </c>
      <c r="Y1277" t="s">
        <v>11333</v>
      </c>
      <c r="Z1277" t="s">
        <v>63</v>
      </c>
      <c r="AA1277" t="s">
        <v>11334</v>
      </c>
      <c r="AB1277">
        <v>10343637</v>
      </c>
      <c r="AC1277" t="s">
        <v>67</v>
      </c>
      <c r="AD1277" t="s">
        <v>63</v>
      </c>
      <c r="AE1277" t="s">
        <v>63</v>
      </c>
      <c r="AF1277" t="s">
        <v>63</v>
      </c>
      <c r="AG1277" t="s">
        <v>11335</v>
      </c>
      <c r="AH1277" t="s">
        <v>63</v>
      </c>
      <c r="AI1277" t="s">
        <v>63</v>
      </c>
      <c r="AJ1277" t="s">
        <v>63</v>
      </c>
      <c r="AK1277" t="s">
        <v>63</v>
      </c>
      <c r="AL1277" t="s">
        <v>63</v>
      </c>
      <c r="AM1277" t="s">
        <v>11336</v>
      </c>
      <c r="AN1277" t="s">
        <v>63</v>
      </c>
      <c r="AO1277" t="s">
        <v>63</v>
      </c>
      <c r="AP1277" t="s">
        <v>63</v>
      </c>
      <c r="AQ1277" t="s">
        <v>63</v>
      </c>
      <c r="AR1277" t="s">
        <v>63</v>
      </c>
      <c r="AS1277" t="s">
        <v>63</v>
      </c>
      <c r="AT1277" t="s">
        <v>63</v>
      </c>
      <c r="AU1277" t="s">
        <v>63</v>
      </c>
      <c r="AV1277" t="s">
        <v>63</v>
      </c>
      <c r="AW1277" t="s">
        <v>63</v>
      </c>
      <c r="AX1277" t="s">
        <v>63</v>
      </c>
      <c r="AY1277" t="s">
        <v>63</v>
      </c>
      <c r="AZ1277" t="s">
        <v>63</v>
      </c>
      <c r="BA1277" t="s">
        <v>63</v>
      </c>
      <c r="BB1277" t="s">
        <v>63</v>
      </c>
      <c r="BC1277" t="s">
        <v>63</v>
      </c>
      <c r="BD1277" t="s">
        <v>63</v>
      </c>
      <c r="BE1277" t="s">
        <v>63</v>
      </c>
      <c r="BF1277" t="s">
        <v>63</v>
      </c>
    </row>
    <row r="1278" spans="1:58">
      <c r="A1278" t="s">
        <v>58</v>
      </c>
      <c r="B1278" t="s">
        <v>11337</v>
      </c>
      <c r="C1278" t="s">
        <v>11338</v>
      </c>
      <c r="D1278" t="s">
        <v>4567</v>
      </c>
      <c r="E1278" t="s">
        <v>4568</v>
      </c>
      <c r="F1278">
        <v>1998</v>
      </c>
      <c r="G1278" t="s">
        <v>623</v>
      </c>
      <c r="H1278">
        <v>27</v>
      </c>
      <c r="I1278">
        <v>1</v>
      </c>
      <c r="J1278">
        <v>77</v>
      </c>
      <c r="K1278">
        <v>83</v>
      </c>
      <c r="L1278" t="s">
        <v>11339</v>
      </c>
      <c r="M1278" t="s">
        <v>11340</v>
      </c>
      <c r="N1278" t="s">
        <v>11341</v>
      </c>
      <c r="O1278" t="s">
        <v>63</v>
      </c>
      <c r="Q1278" t="s">
        <v>63</v>
      </c>
      <c r="R1278" t="s">
        <v>63</v>
      </c>
      <c r="S1278" t="s">
        <v>63</v>
      </c>
      <c r="T1278" t="s">
        <v>63</v>
      </c>
      <c r="X1278" t="s">
        <v>63</v>
      </c>
      <c r="Y1278" t="s">
        <v>5761</v>
      </c>
      <c r="Z1278" t="s">
        <v>63</v>
      </c>
      <c r="AA1278" t="s">
        <v>11342</v>
      </c>
      <c r="AB1278">
        <v>9465357</v>
      </c>
      <c r="AC1278" t="s">
        <v>67</v>
      </c>
      <c r="AD1278" t="s">
        <v>63</v>
      </c>
      <c r="AE1278" t="s">
        <v>63</v>
      </c>
      <c r="AF1278" t="s">
        <v>63</v>
      </c>
      <c r="AG1278" t="s">
        <v>11343</v>
      </c>
      <c r="AH1278" t="s">
        <v>63</v>
      </c>
      <c r="AI1278" t="s">
        <v>63</v>
      </c>
      <c r="AJ1278" t="s">
        <v>63</v>
      </c>
      <c r="AK1278" t="s">
        <v>63</v>
      </c>
      <c r="AL1278" t="s">
        <v>63</v>
      </c>
      <c r="AM1278" t="s">
        <v>11344</v>
      </c>
      <c r="AN1278" t="s">
        <v>63</v>
      </c>
      <c r="AO1278" t="s">
        <v>63</v>
      </c>
      <c r="AP1278" t="s">
        <v>63</v>
      </c>
      <c r="AQ1278" t="s">
        <v>63</v>
      </c>
      <c r="AR1278" t="s">
        <v>63</v>
      </c>
      <c r="AS1278" t="s">
        <v>63</v>
      </c>
      <c r="AT1278" t="s">
        <v>63</v>
      </c>
      <c r="AU1278" t="s">
        <v>63</v>
      </c>
      <c r="AV1278" t="s">
        <v>63</v>
      </c>
      <c r="AW1278" t="s">
        <v>63</v>
      </c>
      <c r="AX1278" t="s">
        <v>63</v>
      </c>
      <c r="AY1278" t="s">
        <v>63</v>
      </c>
      <c r="AZ1278" t="s">
        <v>63</v>
      </c>
      <c r="BA1278" t="s">
        <v>63</v>
      </c>
      <c r="BB1278" t="s">
        <v>63</v>
      </c>
      <c r="BC1278" t="s">
        <v>63</v>
      </c>
      <c r="BD1278" t="s">
        <v>63</v>
      </c>
      <c r="BE1278" t="s">
        <v>63</v>
      </c>
      <c r="BF1278" t="s">
        <v>63</v>
      </c>
    </row>
    <row r="1279" spans="1:58">
      <c r="A1279" t="s">
        <v>58</v>
      </c>
      <c r="B1279" t="s">
        <v>11345</v>
      </c>
      <c r="C1279" t="s">
        <v>11346</v>
      </c>
      <c r="D1279" t="s">
        <v>2721</v>
      </c>
      <c r="E1279" t="s">
        <v>63</v>
      </c>
      <c r="F1279">
        <v>2006</v>
      </c>
      <c r="G1279" t="s">
        <v>1670</v>
      </c>
      <c r="H1279">
        <v>10</v>
      </c>
      <c r="I1279">
        <v>7</v>
      </c>
      <c r="J1279">
        <v>750</v>
      </c>
      <c r="K1279">
        <v>755</v>
      </c>
      <c r="L1279" t="s">
        <v>11347</v>
      </c>
      <c r="M1279" t="s">
        <v>11348</v>
      </c>
      <c r="N1279" t="s">
        <v>11349</v>
      </c>
      <c r="O1279" t="s">
        <v>63</v>
      </c>
      <c r="Q1279" t="s">
        <v>63</v>
      </c>
      <c r="R1279" t="s">
        <v>63</v>
      </c>
      <c r="S1279" t="s">
        <v>63</v>
      </c>
      <c r="T1279" t="s">
        <v>63</v>
      </c>
      <c r="X1279" t="s">
        <v>63</v>
      </c>
      <c r="Y1279" t="s">
        <v>2725</v>
      </c>
      <c r="Z1279" t="s">
        <v>63</v>
      </c>
      <c r="AA1279" t="s">
        <v>11350</v>
      </c>
      <c r="AB1279">
        <v>16848336</v>
      </c>
      <c r="AC1279" t="s">
        <v>67</v>
      </c>
      <c r="AD1279" t="s">
        <v>63</v>
      </c>
      <c r="AE1279" t="s">
        <v>63</v>
      </c>
      <c r="AF1279" t="s">
        <v>63</v>
      </c>
      <c r="AG1279" t="s">
        <v>11351</v>
      </c>
      <c r="AH1279" t="s">
        <v>63</v>
      </c>
      <c r="AI1279" t="s">
        <v>63</v>
      </c>
      <c r="AJ1279" t="s">
        <v>63</v>
      </c>
      <c r="AK1279" t="s">
        <v>63</v>
      </c>
      <c r="AL1279" t="s">
        <v>63</v>
      </c>
      <c r="AM1279" t="s">
        <v>11352</v>
      </c>
      <c r="AN1279" t="s">
        <v>63</v>
      </c>
      <c r="AO1279" t="s">
        <v>63</v>
      </c>
      <c r="AP1279" t="s">
        <v>63</v>
      </c>
      <c r="AQ1279" t="s">
        <v>63</v>
      </c>
      <c r="AR1279" t="s">
        <v>63</v>
      </c>
      <c r="AS1279" t="s">
        <v>63</v>
      </c>
      <c r="AT1279" t="s">
        <v>63</v>
      </c>
      <c r="AU1279" t="s">
        <v>63</v>
      </c>
      <c r="AV1279" t="s">
        <v>63</v>
      </c>
      <c r="AW1279" t="s">
        <v>63</v>
      </c>
      <c r="AX1279" t="s">
        <v>63</v>
      </c>
      <c r="AY1279" t="s">
        <v>63</v>
      </c>
      <c r="AZ1279" t="s">
        <v>63</v>
      </c>
      <c r="BA1279" t="s">
        <v>63</v>
      </c>
      <c r="BB1279" t="s">
        <v>63</v>
      </c>
      <c r="BC1279" t="s">
        <v>63</v>
      </c>
      <c r="BD1279" t="s">
        <v>63</v>
      </c>
      <c r="BE1279" t="s">
        <v>63</v>
      </c>
      <c r="BF1279" t="s">
        <v>63</v>
      </c>
    </row>
    <row r="1280" spans="1:58">
      <c r="A1280" t="s">
        <v>58</v>
      </c>
      <c r="B1280" t="s">
        <v>11353</v>
      </c>
      <c r="C1280" t="s">
        <v>11354</v>
      </c>
      <c r="D1280" t="s">
        <v>640</v>
      </c>
      <c r="E1280" t="s">
        <v>63</v>
      </c>
      <c r="F1280">
        <v>2009</v>
      </c>
      <c r="G1280" t="s">
        <v>181</v>
      </c>
      <c r="H1280">
        <v>28</v>
      </c>
      <c r="I1280">
        <v>5</v>
      </c>
      <c r="J1280">
        <v>484</v>
      </c>
      <c r="K1280">
        <v>497</v>
      </c>
      <c r="L1280" t="s">
        <v>11355</v>
      </c>
      <c r="M1280" t="s">
        <v>11356</v>
      </c>
      <c r="N1280" t="s">
        <v>11357</v>
      </c>
      <c r="O1280" t="s">
        <v>63</v>
      </c>
      <c r="Q1280" t="s">
        <v>63</v>
      </c>
      <c r="R1280" t="s">
        <v>63</v>
      </c>
      <c r="S1280" t="s">
        <v>63</v>
      </c>
      <c r="T1280" t="s">
        <v>63</v>
      </c>
      <c r="X1280" t="s">
        <v>63</v>
      </c>
      <c r="Y1280" t="s">
        <v>7637</v>
      </c>
      <c r="Z1280" t="s">
        <v>63</v>
      </c>
      <c r="AA1280" t="s">
        <v>11358</v>
      </c>
      <c r="AB1280">
        <v>19737207</v>
      </c>
      <c r="AC1280" t="s">
        <v>67</v>
      </c>
      <c r="AD1280" t="s">
        <v>63</v>
      </c>
      <c r="AE1280" t="s">
        <v>63</v>
      </c>
      <c r="AF1280" t="s">
        <v>63</v>
      </c>
      <c r="AG1280" t="s">
        <v>11359</v>
      </c>
      <c r="AH1280" t="s">
        <v>63</v>
      </c>
      <c r="AI1280" t="s">
        <v>11360</v>
      </c>
      <c r="AJ1280" t="s">
        <v>63</v>
      </c>
      <c r="AK1280" t="s">
        <v>63</v>
      </c>
      <c r="AL1280" t="s">
        <v>63</v>
      </c>
      <c r="AM1280" t="s">
        <v>11361</v>
      </c>
      <c r="AN1280" t="s">
        <v>63</v>
      </c>
      <c r="AO1280" t="s">
        <v>63</v>
      </c>
      <c r="AP1280" t="s">
        <v>63</v>
      </c>
      <c r="AQ1280" t="s">
        <v>63</v>
      </c>
      <c r="AR1280" t="s">
        <v>63</v>
      </c>
      <c r="AS1280" t="s">
        <v>63</v>
      </c>
      <c r="AT1280" t="s">
        <v>63</v>
      </c>
      <c r="AU1280" t="s">
        <v>63</v>
      </c>
      <c r="AV1280" t="s">
        <v>63</v>
      </c>
      <c r="AW1280" t="s">
        <v>63</v>
      </c>
      <c r="AX1280" t="s">
        <v>63</v>
      </c>
      <c r="AY1280" t="s">
        <v>63</v>
      </c>
      <c r="AZ1280" t="s">
        <v>63</v>
      </c>
      <c r="BA1280" t="s">
        <v>63</v>
      </c>
      <c r="BB1280" t="s">
        <v>63</v>
      </c>
      <c r="BC1280" t="s">
        <v>63</v>
      </c>
      <c r="BD1280" t="s">
        <v>63</v>
      </c>
      <c r="BE1280" t="s">
        <v>63</v>
      </c>
      <c r="BF1280" t="s">
        <v>63</v>
      </c>
    </row>
    <row r="1281" spans="1:58">
      <c r="A1281" t="s">
        <v>58</v>
      </c>
      <c r="B1281" t="s">
        <v>11362</v>
      </c>
      <c r="C1281" t="s">
        <v>11363</v>
      </c>
      <c r="D1281" t="s">
        <v>6824</v>
      </c>
      <c r="E1281" t="s">
        <v>6825</v>
      </c>
      <c r="F1281">
        <v>1998</v>
      </c>
      <c r="G1281" t="s">
        <v>63</v>
      </c>
      <c r="H1281">
        <v>7</v>
      </c>
      <c r="I1281">
        <v>3</v>
      </c>
      <c r="J1281">
        <v>247</v>
      </c>
      <c r="K1281">
        <v>252</v>
      </c>
      <c r="L1281" t="s">
        <v>11364</v>
      </c>
      <c r="M1281" t="s">
        <v>11365</v>
      </c>
      <c r="N1281" t="s">
        <v>11366</v>
      </c>
      <c r="O1281" t="s">
        <v>63</v>
      </c>
      <c r="Q1281" t="s">
        <v>63</v>
      </c>
      <c r="R1281" t="s">
        <v>63</v>
      </c>
      <c r="S1281" t="s">
        <v>63</v>
      </c>
      <c r="T1281" t="s">
        <v>63</v>
      </c>
      <c r="X1281" t="s">
        <v>63</v>
      </c>
      <c r="Y1281" t="s">
        <v>10548</v>
      </c>
      <c r="Z1281" t="s">
        <v>63</v>
      </c>
      <c r="AA1281" t="s">
        <v>11367</v>
      </c>
      <c r="AB1281">
        <v>9825419</v>
      </c>
      <c r="AC1281" t="s">
        <v>67</v>
      </c>
      <c r="AD1281" t="s">
        <v>63</v>
      </c>
      <c r="AE1281" t="s">
        <v>63</v>
      </c>
      <c r="AF1281" t="s">
        <v>63</v>
      </c>
      <c r="AG1281" t="s">
        <v>11368</v>
      </c>
      <c r="AH1281" t="s">
        <v>63</v>
      </c>
      <c r="AI1281" t="s">
        <v>63</v>
      </c>
      <c r="AJ1281" t="s">
        <v>63</v>
      </c>
      <c r="AK1281" t="s">
        <v>63</v>
      </c>
      <c r="AL1281" t="s">
        <v>63</v>
      </c>
      <c r="AM1281" t="s">
        <v>11369</v>
      </c>
      <c r="AN1281" t="s">
        <v>63</v>
      </c>
      <c r="AO1281" t="s">
        <v>63</v>
      </c>
      <c r="AP1281" t="s">
        <v>63</v>
      </c>
      <c r="AQ1281" t="s">
        <v>63</v>
      </c>
      <c r="AR1281" t="s">
        <v>63</v>
      </c>
      <c r="AS1281" t="s">
        <v>63</v>
      </c>
      <c r="AT1281" t="s">
        <v>63</v>
      </c>
      <c r="AU1281" t="s">
        <v>63</v>
      </c>
      <c r="AV1281" t="s">
        <v>63</v>
      </c>
      <c r="AW1281" t="s">
        <v>63</v>
      </c>
      <c r="AX1281" t="s">
        <v>63</v>
      </c>
      <c r="AY1281" t="s">
        <v>63</v>
      </c>
      <c r="AZ1281" t="s">
        <v>63</v>
      </c>
      <c r="BA1281" t="s">
        <v>63</v>
      </c>
      <c r="BB1281" t="s">
        <v>63</v>
      </c>
      <c r="BC1281" t="s">
        <v>63</v>
      </c>
      <c r="BD1281" t="s">
        <v>63</v>
      </c>
      <c r="BE1281" t="s">
        <v>63</v>
      </c>
      <c r="BF1281" t="s">
        <v>63</v>
      </c>
    </row>
    <row r="1282" spans="1:58">
      <c r="A1282" t="s">
        <v>58</v>
      </c>
      <c r="B1282" t="s">
        <v>11370</v>
      </c>
      <c r="C1282" t="s">
        <v>11371</v>
      </c>
      <c r="D1282" t="s">
        <v>11372</v>
      </c>
      <c r="E1282" t="s">
        <v>63</v>
      </c>
      <c r="F1282">
        <v>1998</v>
      </c>
      <c r="G1282" t="s">
        <v>84</v>
      </c>
      <c r="H1282">
        <v>22</v>
      </c>
      <c r="I1282">
        <v>2</v>
      </c>
      <c r="J1282">
        <v>206</v>
      </c>
      <c r="K1282">
        <v>209</v>
      </c>
      <c r="L1282" t="s">
        <v>11373</v>
      </c>
      <c r="M1282" t="s">
        <v>11374</v>
      </c>
      <c r="N1282" t="s">
        <v>11375</v>
      </c>
      <c r="O1282" t="s">
        <v>63</v>
      </c>
      <c r="Q1282" t="s">
        <v>63</v>
      </c>
      <c r="R1282" t="s">
        <v>63</v>
      </c>
      <c r="S1282" t="s">
        <v>63</v>
      </c>
      <c r="T1282" t="s">
        <v>63</v>
      </c>
      <c r="X1282" t="s">
        <v>63</v>
      </c>
      <c r="Y1282" t="s">
        <v>11376</v>
      </c>
      <c r="Z1282" t="s">
        <v>63</v>
      </c>
      <c r="AA1282" t="s">
        <v>11377</v>
      </c>
      <c r="AB1282">
        <v>9744177</v>
      </c>
      <c r="AC1282" t="s">
        <v>67</v>
      </c>
      <c r="AD1282" t="s">
        <v>63</v>
      </c>
      <c r="AE1282" t="s">
        <v>63</v>
      </c>
      <c r="AF1282" t="s">
        <v>63</v>
      </c>
      <c r="AG1282" t="s">
        <v>11378</v>
      </c>
      <c r="AH1282" t="s">
        <v>63</v>
      </c>
      <c r="AI1282" t="s">
        <v>63</v>
      </c>
      <c r="AJ1282" t="s">
        <v>63</v>
      </c>
      <c r="AK1282" t="s">
        <v>63</v>
      </c>
      <c r="AL1282" t="s">
        <v>63</v>
      </c>
      <c r="AM1282" t="s">
        <v>11379</v>
      </c>
      <c r="AN1282" t="s">
        <v>63</v>
      </c>
      <c r="AO1282" t="s">
        <v>63</v>
      </c>
      <c r="AP1282" t="s">
        <v>63</v>
      </c>
      <c r="AQ1282" t="s">
        <v>63</v>
      </c>
      <c r="AR1282" t="s">
        <v>63</v>
      </c>
      <c r="AS1282" t="s">
        <v>63</v>
      </c>
      <c r="AT1282" t="s">
        <v>63</v>
      </c>
      <c r="AU1282" t="s">
        <v>63</v>
      </c>
      <c r="AV1282" t="s">
        <v>63</v>
      </c>
      <c r="AW1282" t="s">
        <v>63</v>
      </c>
      <c r="AX1282" t="s">
        <v>63</v>
      </c>
      <c r="AY1282" t="s">
        <v>63</v>
      </c>
      <c r="AZ1282" t="s">
        <v>63</v>
      </c>
      <c r="BA1282" t="s">
        <v>63</v>
      </c>
      <c r="BB1282" t="s">
        <v>63</v>
      </c>
      <c r="BC1282" t="s">
        <v>63</v>
      </c>
      <c r="BD1282" t="s">
        <v>63</v>
      </c>
      <c r="BE1282" t="s">
        <v>63</v>
      </c>
      <c r="BF1282" t="s">
        <v>63</v>
      </c>
    </row>
    <row r="1283" spans="1:58">
      <c r="A1283" t="s">
        <v>58</v>
      </c>
      <c r="B1283" t="s">
        <v>11380</v>
      </c>
      <c r="C1283" t="s">
        <v>11381</v>
      </c>
      <c r="D1283" t="s">
        <v>3759</v>
      </c>
      <c r="E1283" t="s">
        <v>63</v>
      </c>
      <c r="F1283">
        <v>2008</v>
      </c>
      <c r="G1283" t="s">
        <v>274</v>
      </c>
      <c r="H1283">
        <v>24</v>
      </c>
      <c r="I1283">
        <v>3</v>
      </c>
      <c r="J1283">
        <v>869</v>
      </c>
      <c r="K1283">
        <v>877</v>
      </c>
      <c r="L1283" t="s">
        <v>11382</v>
      </c>
      <c r="M1283" t="s">
        <v>11383</v>
      </c>
      <c r="N1283" t="s">
        <v>11384</v>
      </c>
      <c r="O1283" t="s">
        <v>63</v>
      </c>
      <c r="Q1283" t="s">
        <v>63</v>
      </c>
      <c r="R1283" t="s">
        <v>63</v>
      </c>
      <c r="S1283" t="s">
        <v>63</v>
      </c>
      <c r="T1283" t="s">
        <v>63</v>
      </c>
      <c r="X1283" t="s">
        <v>63</v>
      </c>
      <c r="Y1283" t="s">
        <v>3762</v>
      </c>
      <c r="Z1283" t="s">
        <v>63</v>
      </c>
      <c r="AA1283" t="s">
        <v>11385</v>
      </c>
      <c r="AB1283">
        <v>18267053</v>
      </c>
      <c r="AC1283" t="s">
        <v>67</v>
      </c>
      <c r="AD1283" t="s">
        <v>63</v>
      </c>
      <c r="AE1283" t="s">
        <v>63</v>
      </c>
      <c r="AF1283" t="s">
        <v>63</v>
      </c>
      <c r="AG1283" t="s">
        <v>11386</v>
      </c>
      <c r="AH1283" t="s">
        <v>63</v>
      </c>
      <c r="AI1283" t="s">
        <v>11387</v>
      </c>
      <c r="AJ1283" t="s">
        <v>63</v>
      </c>
      <c r="AK1283" t="s">
        <v>63</v>
      </c>
      <c r="AL1283" t="s">
        <v>63</v>
      </c>
      <c r="AM1283" t="s">
        <v>11388</v>
      </c>
      <c r="AN1283" t="s">
        <v>63</v>
      </c>
      <c r="AO1283" t="s">
        <v>63</v>
      </c>
      <c r="AP1283" t="s">
        <v>63</v>
      </c>
      <c r="AQ1283" t="s">
        <v>63</v>
      </c>
      <c r="AR1283" t="s">
        <v>63</v>
      </c>
      <c r="AS1283" t="s">
        <v>63</v>
      </c>
      <c r="AT1283" t="s">
        <v>63</v>
      </c>
      <c r="AU1283" t="s">
        <v>63</v>
      </c>
      <c r="AV1283" t="s">
        <v>63</v>
      </c>
      <c r="AW1283" t="s">
        <v>63</v>
      </c>
      <c r="AX1283" t="s">
        <v>63</v>
      </c>
      <c r="AY1283" t="s">
        <v>63</v>
      </c>
      <c r="AZ1283" t="s">
        <v>63</v>
      </c>
      <c r="BA1283" t="s">
        <v>63</v>
      </c>
      <c r="BB1283" t="s">
        <v>63</v>
      </c>
      <c r="BC1283" t="s">
        <v>63</v>
      </c>
      <c r="BD1283" t="s">
        <v>63</v>
      </c>
      <c r="BE1283" t="s">
        <v>63</v>
      </c>
      <c r="BF1283" t="s">
        <v>63</v>
      </c>
    </row>
    <row r="1284" spans="1:58">
      <c r="A1284" t="s">
        <v>58</v>
      </c>
      <c r="B1284" t="s">
        <v>11389</v>
      </c>
      <c r="C1284" t="s">
        <v>11390</v>
      </c>
      <c r="D1284" t="s">
        <v>371</v>
      </c>
      <c r="E1284" t="s">
        <v>63</v>
      </c>
      <c r="F1284">
        <v>2016</v>
      </c>
      <c r="G1284">
        <v>2</v>
      </c>
      <c r="H1284">
        <v>31</v>
      </c>
      <c r="I1284">
        <v>2</v>
      </c>
      <c r="J1284">
        <v>144</v>
      </c>
      <c r="K1284">
        <v>146</v>
      </c>
      <c r="L1284" t="s">
        <v>11391</v>
      </c>
      <c r="M1284" t="s">
        <v>63</v>
      </c>
      <c r="N1284" t="s">
        <v>11392</v>
      </c>
      <c r="O1284" t="s">
        <v>63</v>
      </c>
      <c r="Q1284" t="s">
        <v>63</v>
      </c>
      <c r="R1284" t="s">
        <v>63</v>
      </c>
      <c r="S1284" t="s">
        <v>63</v>
      </c>
      <c r="T1284" t="s">
        <v>63</v>
      </c>
      <c r="X1284" t="s">
        <v>63</v>
      </c>
      <c r="Y1284" t="s">
        <v>547</v>
      </c>
      <c r="Z1284" t="s">
        <v>63</v>
      </c>
      <c r="AA1284" t="s">
        <v>11393</v>
      </c>
      <c r="AB1284">
        <v>26747628</v>
      </c>
      <c r="AC1284" t="s">
        <v>67</v>
      </c>
      <c r="AD1284" t="s">
        <v>63</v>
      </c>
      <c r="AE1284" t="s">
        <v>63</v>
      </c>
      <c r="AF1284" t="s">
        <v>63</v>
      </c>
      <c r="AG1284" t="s">
        <v>11394</v>
      </c>
      <c r="AH1284" t="s">
        <v>63</v>
      </c>
      <c r="AI1284" t="s">
        <v>11395</v>
      </c>
      <c r="AJ1284" t="s">
        <v>63</v>
      </c>
      <c r="AK1284" t="s">
        <v>63</v>
      </c>
      <c r="AL1284" t="s">
        <v>63</v>
      </c>
      <c r="AM1284" t="s">
        <v>11396</v>
      </c>
      <c r="AN1284" t="s">
        <v>63</v>
      </c>
      <c r="AO1284" t="s">
        <v>63</v>
      </c>
      <c r="AP1284" t="s">
        <v>63</v>
      </c>
      <c r="AQ1284" t="s">
        <v>63</v>
      </c>
      <c r="AR1284" t="s">
        <v>63</v>
      </c>
      <c r="AS1284" t="s">
        <v>63</v>
      </c>
      <c r="AT1284" t="s">
        <v>63</v>
      </c>
      <c r="AU1284" t="s">
        <v>63</v>
      </c>
      <c r="AV1284" t="s">
        <v>63</v>
      </c>
      <c r="AW1284" t="s">
        <v>63</v>
      </c>
      <c r="AX1284" t="s">
        <v>63</v>
      </c>
      <c r="AY1284" t="s">
        <v>63</v>
      </c>
      <c r="AZ1284" t="s">
        <v>63</v>
      </c>
      <c r="BA1284" t="s">
        <v>63</v>
      </c>
      <c r="BB1284" t="s">
        <v>63</v>
      </c>
      <c r="BC1284" t="s">
        <v>63</v>
      </c>
      <c r="BD1284" t="s">
        <v>63</v>
      </c>
      <c r="BE1284" t="s">
        <v>63</v>
      </c>
      <c r="BF1284" t="s">
        <v>63</v>
      </c>
    </row>
    <row r="1285" spans="1:58">
      <c r="A1285" t="s">
        <v>58</v>
      </c>
      <c r="B1285" t="s">
        <v>11397</v>
      </c>
      <c r="C1285" t="s">
        <v>11398</v>
      </c>
      <c r="D1285" t="s">
        <v>4567</v>
      </c>
      <c r="E1285" t="s">
        <v>4568</v>
      </c>
      <c r="F1285">
        <v>1986</v>
      </c>
      <c r="G1285" t="s">
        <v>198</v>
      </c>
      <c r="H1285">
        <v>15</v>
      </c>
      <c r="I1285">
        <v>1</v>
      </c>
      <c r="J1285">
        <v>92</v>
      </c>
      <c r="K1285">
        <v>98</v>
      </c>
      <c r="L1285" t="s">
        <v>11399</v>
      </c>
      <c r="M1285" t="s">
        <v>11400</v>
      </c>
      <c r="N1285" t="s">
        <v>11401</v>
      </c>
      <c r="O1285" t="s">
        <v>63</v>
      </c>
      <c r="Q1285" t="s">
        <v>63</v>
      </c>
      <c r="R1285" t="s">
        <v>63</v>
      </c>
      <c r="S1285" t="s">
        <v>63</v>
      </c>
      <c r="T1285" t="s">
        <v>63</v>
      </c>
      <c r="X1285" t="s">
        <v>63</v>
      </c>
      <c r="Y1285" t="s">
        <v>5761</v>
      </c>
      <c r="Z1285" t="s">
        <v>63</v>
      </c>
      <c r="AA1285" t="s">
        <v>63</v>
      </c>
      <c r="AB1285">
        <v>3714663</v>
      </c>
      <c r="AC1285" t="s">
        <v>67</v>
      </c>
      <c r="AD1285" t="s">
        <v>63</v>
      </c>
      <c r="AE1285" t="s">
        <v>63</v>
      </c>
      <c r="AF1285" t="s">
        <v>63</v>
      </c>
      <c r="AG1285" t="s">
        <v>11402</v>
      </c>
      <c r="AH1285" t="s">
        <v>63</v>
      </c>
      <c r="AI1285" t="s">
        <v>63</v>
      </c>
      <c r="AJ1285" t="s">
        <v>63</v>
      </c>
      <c r="AK1285" t="s">
        <v>63</v>
      </c>
      <c r="AL1285" t="s">
        <v>63</v>
      </c>
      <c r="AM1285" t="s">
        <v>11403</v>
      </c>
      <c r="AN1285" t="s">
        <v>63</v>
      </c>
      <c r="AO1285" t="s">
        <v>63</v>
      </c>
      <c r="AP1285" t="s">
        <v>63</v>
      </c>
      <c r="AQ1285" t="s">
        <v>63</v>
      </c>
      <c r="AR1285" t="s">
        <v>63</v>
      </c>
      <c r="AS1285" t="s">
        <v>63</v>
      </c>
      <c r="AT1285" t="s">
        <v>63</v>
      </c>
      <c r="AU1285" t="s">
        <v>63</v>
      </c>
      <c r="AV1285" t="s">
        <v>63</v>
      </c>
      <c r="AW1285" t="s">
        <v>63</v>
      </c>
      <c r="AX1285" t="s">
        <v>63</v>
      </c>
      <c r="AY1285" t="s">
        <v>63</v>
      </c>
      <c r="AZ1285" t="s">
        <v>63</v>
      </c>
      <c r="BA1285" t="s">
        <v>63</v>
      </c>
      <c r="BB1285" t="s">
        <v>63</v>
      </c>
      <c r="BC1285" t="s">
        <v>63</v>
      </c>
      <c r="BD1285" t="s">
        <v>63</v>
      </c>
      <c r="BE1285" t="s">
        <v>63</v>
      </c>
      <c r="BF1285" t="s">
        <v>63</v>
      </c>
    </row>
    <row r="1286" spans="1:58">
      <c r="A1286" t="s">
        <v>58</v>
      </c>
      <c r="B1286" t="s">
        <v>11404</v>
      </c>
      <c r="C1286" t="s">
        <v>11405</v>
      </c>
      <c r="D1286" t="s">
        <v>2299</v>
      </c>
      <c r="E1286" t="s">
        <v>63</v>
      </c>
      <c r="F1286">
        <v>1993</v>
      </c>
      <c r="G1286" t="s">
        <v>1085</v>
      </c>
      <c r="H1286">
        <v>35</v>
      </c>
      <c r="I1286">
        <v>5</v>
      </c>
      <c r="J1286">
        <v>500</v>
      </c>
      <c r="K1286">
        <v>507</v>
      </c>
      <c r="L1286" t="s">
        <v>11406</v>
      </c>
      <c r="M1286" t="s">
        <v>11407</v>
      </c>
      <c r="N1286" t="s">
        <v>11408</v>
      </c>
      <c r="O1286" t="s">
        <v>63</v>
      </c>
      <c r="Q1286" t="s">
        <v>63</v>
      </c>
      <c r="R1286" t="s">
        <v>63</v>
      </c>
      <c r="S1286" t="s">
        <v>63</v>
      </c>
      <c r="T1286" t="s">
        <v>63</v>
      </c>
      <c r="X1286" t="s">
        <v>63</v>
      </c>
      <c r="Y1286" t="s">
        <v>2302</v>
      </c>
      <c r="Z1286" t="s">
        <v>63</v>
      </c>
      <c r="AA1286" t="s">
        <v>11409</v>
      </c>
      <c r="AB1286">
        <v>8235897</v>
      </c>
      <c r="AC1286" t="s">
        <v>913</v>
      </c>
      <c r="AD1286" t="s">
        <v>63</v>
      </c>
      <c r="AE1286" t="s">
        <v>63</v>
      </c>
      <c r="AF1286" t="s">
        <v>63</v>
      </c>
      <c r="AG1286" t="s">
        <v>11410</v>
      </c>
      <c r="AH1286" t="s">
        <v>63</v>
      </c>
      <c r="AI1286" t="s">
        <v>63</v>
      </c>
      <c r="AJ1286" t="s">
        <v>63</v>
      </c>
      <c r="AK1286" t="s">
        <v>63</v>
      </c>
      <c r="AL1286" t="s">
        <v>63</v>
      </c>
      <c r="AM1286" t="s">
        <v>11411</v>
      </c>
      <c r="AN1286" t="s">
        <v>63</v>
      </c>
      <c r="AO1286" t="s">
        <v>63</v>
      </c>
      <c r="AP1286" t="s">
        <v>63</v>
      </c>
      <c r="AQ1286" t="s">
        <v>63</v>
      </c>
      <c r="AR1286" t="s">
        <v>63</v>
      </c>
      <c r="AS1286" t="s">
        <v>63</v>
      </c>
      <c r="AT1286" t="s">
        <v>63</v>
      </c>
      <c r="AU1286" t="s">
        <v>63</v>
      </c>
      <c r="AV1286" t="s">
        <v>63</v>
      </c>
      <c r="AW1286" t="s">
        <v>63</v>
      </c>
      <c r="AX1286" t="s">
        <v>63</v>
      </c>
      <c r="AY1286" t="s">
        <v>63</v>
      </c>
      <c r="AZ1286" t="s">
        <v>63</v>
      </c>
      <c r="BA1286" t="s">
        <v>63</v>
      </c>
      <c r="BB1286" t="s">
        <v>63</v>
      </c>
      <c r="BC1286" t="s">
        <v>63</v>
      </c>
      <c r="BD1286" t="s">
        <v>63</v>
      </c>
      <c r="BE1286" t="s">
        <v>63</v>
      </c>
      <c r="BF1286" t="s">
        <v>63</v>
      </c>
    </row>
    <row r="1287" spans="1:58">
      <c r="A1287" t="s">
        <v>58</v>
      </c>
      <c r="B1287" t="s">
        <v>11412</v>
      </c>
      <c r="C1287" t="s">
        <v>11413</v>
      </c>
      <c r="D1287" t="s">
        <v>2291</v>
      </c>
      <c r="E1287" t="s">
        <v>2291</v>
      </c>
      <c r="F1287">
        <v>1996</v>
      </c>
      <c r="G1287" s="1">
        <v>41762</v>
      </c>
      <c r="H1287">
        <v>312</v>
      </c>
      <c r="I1287">
        <v>7039</v>
      </c>
      <c r="J1287">
        <v>1162</v>
      </c>
      <c r="K1287" t="s">
        <v>63</v>
      </c>
      <c r="L1287" t="s">
        <v>11414</v>
      </c>
      <c r="M1287" t="s">
        <v>63</v>
      </c>
      <c r="N1287" t="s">
        <v>11415</v>
      </c>
      <c r="O1287" t="s">
        <v>63</v>
      </c>
      <c r="Q1287" t="s">
        <v>63</v>
      </c>
      <c r="R1287" t="s">
        <v>63</v>
      </c>
      <c r="S1287" t="s">
        <v>63</v>
      </c>
      <c r="T1287" t="s">
        <v>63</v>
      </c>
      <c r="X1287" t="s">
        <v>63</v>
      </c>
      <c r="Y1287" t="s">
        <v>2294</v>
      </c>
      <c r="Z1287" t="s">
        <v>63</v>
      </c>
      <c r="AA1287" t="s">
        <v>63</v>
      </c>
      <c r="AB1287">
        <v>8620163</v>
      </c>
      <c r="AC1287" t="s">
        <v>67</v>
      </c>
      <c r="AD1287" t="s">
        <v>63</v>
      </c>
      <c r="AE1287" t="s">
        <v>63</v>
      </c>
      <c r="AF1287" t="s">
        <v>63</v>
      </c>
      <c r="AG1287" t="s">
        <v>11416</v>
      </c>
      <c r="AH1287" t="s">
        <v>63</v>
      </c>
      <c r="AI1287" t="s">
        <v>63</v>
      </c>
      <c r="AJ1287" t="s">
        <v>63</v>
      </c>
      <c r="AK1287" t="s">
        <v>63</v>
      </c>
      <c r="AL1287" t="s">
        <v>63</v>
      </c>
      <c r="AM1287" t="s">
        <v>11417</v>
      </c>
      <c r="AN1287" t="s">
        <v>63</v>
      </c>
      <c r="AO1287" t="s">
        <v>63</v>
      </c>
      <c r="AP1287" t="s">
        <v>63</v>
      </c>
      <c r="AQ1287" t="s">
        <v>63</v>
      </c>
      <c r="AR1287" t="s">
        <v>63</v>
      </c>
      <c r="AS1287" t="s">
        <v>63</v>
      </c>
      <c r="AT1287" t="s">
        <v>63</v>
      </c>
      <c r="AU1287" t="s">
        <v>63</v>
      </c>
      <c r="AV1287" t="s">
        <v>63</v>
      </c>
      <c r="AW1287" t="s">
        <v>63</v>
      </c>
      <c r="AX1287" t="s">
        <v>63</v>
      </c>
      <c r="AY1287" t="s">
        <v>63</v>
      </c>
      <c r="AZ1287" t="s">
        <v>63</v>
      </c>
      <c r="BA1287" t="s">
        <v>63</v>
      </c>
      <c r="BB1287" t="s">
        <v>63</v>
      </c>
      <c r="BC1287" t="s">
        <v>63</v>
      </c>
      <c r="BD1287" t="s">
        <v>63</v>
      </c>
      <c r="BE1287" t="s">
        <v>63</v>
      </c>
      <c r="BF1287" t="s">
        <v>63</v>
      </c>
    </row>
    <row r="1288" spans="1:58">
      <c r="A1288" t="s">
        <v>58</v>
      </c>
      <c r="B1288" t="s">
        <v>11418</v>
      </c>
      <c r="C1288" t="s">
        <v>11419</v>
      </c>
      <c r="D1288" t="s">
        <v>180</v>
      </c>
      <c r="E1288" t="s">
        <v>63</v>
      </c>
      <c r="F1288">
        <v>1991</v>
      </c>
      <c r="G1288" t="s">
        <v>63</v>
      </c>
      <c r="H1288">
        <v>26</v>
      </c>
      <c r="I1288">
        <v>3</v>
      </c>
      <c r="J1288">
        <v>273</v>
      </c>
      <c r="K1288">
        <v>275</v>
      </c>
      <c r="L1288" t="s">
        <v>11420</v>
      </c>
      <c r="M1288" t="s">
        <v>63</v>
      </c>
      <c r="N1288" t="s">
        <v>11421</v>
      </c>
      <c r="O1288" t="s">
        <v>63</v>
      </c>
      <c r="Q1288" t="s">
        <v>63</v>
      </c>
      <c r="R1288" t="s">
        <v>63</v>
      </c>
      <c r="S1288" t="s">
        <v>63</v>
      </c>
      <c r="T1288" t="s">
        <v>63</v>
      </c>
      <c r="X1288" t="s">
        <v>63</v>
      </c>
      <c r="Y1288" t="s">
        <v>185</v>
      </c>
      <c r="Z1288" t="s">
        <v>63</v>
      </c>
      <c r="AA1288" t="s">
        <v>63</v>
      </c>
      <c r="AB1288">
        <v>1930359</v>
      </c>
      <c r="AC1288" t="s">
        <v>67</v>
      </c>
      <c r="AD1288" t="s">
        <v>63</v>
      </c>
      <c r="AE1288" t="s">
        <v>63</v>
      </c>
      <c r="AF1288" t="s">
        <v>63</v>
      </c>
      <c r="AG1288" t="s">
        <v>11422</v>
      </c>
      <c r="AH1288" t="s">
        <v>63</v>
      </c>
      <c r="AI1288" t="s">
        <v>63</v>
      </c>
      <c r="AJ1288" t="s">
        <v>63</v>
      </c>
      <c r="AK1288" t="s">
        <v>63</v>
      </c>
      <c r="AL1288" t="s">
        <v>63</v>
      </c>
      <c r="AM1288" t="s">
        <v>11423</v>
      </c>
      <c r="AN1288" t="s">
        <v>63</v>
      </c>
      <c r="AO1288" t="s">
        <v>63</v>
      </c>
      <c r="AP1288" t="s">
        <v>63</v>
      </c>
      <c r="AQ1288" t="s">
        <v>63</v>
      </c>
      <c r="AR1288" t="s">
        <v>63</v>
      </c>
      <c r="AS1288" t="s">
        <v>63</v>
      </c>
      <c r="AT1288" t="s">
        <v>63</v>
      </c>
      <c r="AU1288" t="s">
        <v>63</v>
      </c>
      <c r="AV1288" t="s">
        <v>63</v>
      </c>
      <c r="AW1288" t="s">
        <v>63</v>
      </c>
      <c r="AX1288" t="s">
        <v>63</v>
      </c>
      <c r="AY1288" t="s">
        <v>63</v>
      </c>
      <c r="AZ1288" t="s">
        <v>63</v>
      </c>
      <c r="BA1288" t="s">
        <v>63</v>
      </c>
      <c r="BB1288" t="s">
        <v>63</v>
      </c>
      <c r="BC1288" t="s">
        <v>63</v>
      </c>
      <c r="BD1288" t="s">
        <v>63</v>
      </c>
      <c r="BE1288" t="s">
        <v>63</v>
      </c>
      <c r="BF1288" t="s">
        <v>63</v>
      </c>
    </row>
    <row r="1289" spans="1:58">
      <c r="A1289" t="s">
        <v>58</v>
      </c>
      <c r="B1289" t="s">
        <v>11418</v>
      </c>
      <c r="C1289" t="s">
        <v>11424</v>
      </c>
      <c r="D1289" t="s">
        <v>2291</v>
      </c>
      <c r="E1289" t="s">
        <v>2291</v>
      </c>
      <c r="F1289">
        <v>1990</v>
      </c>
      <c r="G1289" s="1">
        <v>41840</v>
      </c>
      <c r="H1289">
        <v>301</v>
      </c>
      <c r="I1289">
        <v>6744</v>
      </c>
      <c r="J1289">
        <v>134</v>
      </c>
      <c r="K1289">
        <v>135</v>
      </c>
      <c r="L1289" t="s">
        <v>11425</v>
      </c>
      <c r="M1289" t="s">
        <v>63</v>
      </c>
      <c r="N1289" t="s">
        <v>11426</v>
      </c>
      <c r="O1289" t="s">
        <v>63</v>
      </c>
      <c r="Q1289" t="s">
        <v>63</v>
      </c>
      <c r="R1289" t="s">
        <v>63</v>
      </c>
      <c r="S1289" t="s">
        <v>63</v>
      </c>
      <c r="T1289" t="s">
        <v>63</v>
      </c>
      <c r="X1289" t="s">
        <v>63</v>
      </c>
      <c r="Y1289" t="s">
        <v>2294</v>
      </c>
      <c r="Z1289" t="s">
        <v>63</v>
      </c>
      <c r="AA1289" t="s">
        <v>63</v>
      </c>
      <c r="AB1289">
        <v>2390596</v>
      </c>
      <c r="AC1289" t="s">
        <v>67</v>
      </c>
      <c r="AD1289" t="s">
        <v>63</v>
      </c>
      <c r="AE1289" t="s">
        <v>63</v>
      </c>
      <c r="AF1289" t="s">
        <v>63</v>
      </c>
      <c r="AG1289" t="s">
        <v>11427</v>
      </c>
      <c r="AH1289" t="s">
        <v>63</v>
      </c>
      <c r="AI1289" t="s">
        <v>63</v>
      </c>
      <c r="AJ1289" t="s">
        <v>63</v>
      </c>
      <c r="AK1289" t="s">
        <v>63</v>
      </c>
      <c r="AL1289" t="s">
        <v>63</v>
      </c>
      <c r="AM1289" t="s">
        <v>11428</v>
      </c>
      <c r="AN1289" t="s">
        <v>63</v>
      </c>
      <c r="AO1289" t="s">
        <v>63</v>
      </c>
      <c r="AP1289" t="s">
        <v>63</v>
      </c>
      <c r="AQ1289" t="s">
        <v>63</v>
      </c>
      <c r="AR1289" t="s">
        <v>63</v>
      </c>
      <c r="AS1289" t="s">
        <v>63</v>
      </c>
      <c r="AT1289" t="s">
        <v>63</v>
      </c>
      <c r="AU1289" t="s">
        <v>63</v>
      </c>
      <c r="AV1289" t="s">
        <v>63</v>
      </c>
      <c r="AW1289" t="s">
        <v>63</v>
      </c>
      <c r="AX1289" t="s">
        <v>63</v>
      </c>
      <c r="AY1289" t="s">
        <v>63</v>
      </c>
      <c r="AZ1289" t="s">
        <v>63</v>
      </c>
      <c r="BA1289" t="s">
        <v>63</v>
      </c>
      <c r="BB1289" t="s">
        <v>63</v>
      </c>
      <c r="BC1289" t="s">
        <v>63</v>
      </c>
      <c r="BD1289" t="s">
        <v>63</v>
      </c>
      <c r="BE1289" t="s">
        <v>63</v>
      </c>
      <c r="BF1289" t="s">
        <v>63</v>
      </c>
    </row>
    <row r="1290" spans="1:58">
      <c r="A1290" t="s">
        <v>58</v>
      </c>
      <c r="B1290" t="s">
        <v>11429</v>
      </c>
      <c r="C1290" t="s">
        <v>11430</v>
      </c>
      <c r="D1290" t="s">
        <v>212</v>
      </c>
      <c r="E1290" t="s">
        <v>63</v>
      </c>
      <c r="F1290">
        <v>1998</v>
      </c>
      <c r="G1290" s="1">
        <v>41707</v>
      </c>
      <c r="H1290">
        <v>158</v>
      </c>
      <c r="I1290">
        <v>5</v>
      </c>
      <c r="J1290">
        <v>640</v>
      </c>
      <c r="K1290">
        <v>641</v>
      </c>
      <c r="L1290" t="s">
        <v>11431</v>
      </c>
      <c r="M1290" t="s">
        <v>11432</v>
      </c>
      <c r="N1290" t="s">
        <v>11433</v>
      </c>
      <c r="O1290" t="s">
        <v>63</v>
      </c>
      <c r="Q1290" t="s">
        <v>63</v>
      </c>
      <c r="R1290" t="s">
        <v>63</v>
      </c>
      <c r="S1290" t="s">
        <v>63</v>
      </c>
      <c r="T1290" t="s">
        <v>63</v>
      </c>
      <c r="X1290" t="s">
        <v>63</v>
      </c>
      <c r="Y1290" t="s">
        <v>215</v>
      </c>
      <c r="Z1290" t="s">
        <v>63</v>
      </c>
      <c r="AA1290" t="s">
        <v>63</v>
      </c>
      <c r="AB1290">
        <v>9526484</v>
      </c>
      <c r="AC1290" t="s">
        <v>67</v>
      </c>
      <c r="AD1290" t="s">
        <v>63</v>
      </c>
      <c r="AE1290" t="s">
        <v>63</v>
      </c>
      <c r="AF1290" t="s">
        <v>63</v>
      </c>
      <c r="AG1290" t="s">
        <v>11434</v>
      </c>
      <c r="AH1290" t="s">
        <v>63</v>
      </c>
      <c r="AI1290" t="s">
        <v>63</v>
      </c>
      <c r="AJ1290" t="s">
        <v>63</v>
      </c>
      <c r="AK1290" t="s">
        <v>63</v>
      </c>
      <c r="AL1290" t="s">
        <v>63</v>
      </c>
      <c r="AM1290" t="s">
        <v>11435</v>
      </c>
      <c r="AN1290" t="s">
        <v>63</v>
      </c>
      <c r="AO1290" t="s">
        <v>63</v>
      </c>
      <c r="AP1290" t="s">
        <v>63</v>
      </c>
      <c r="AQ1290" t="s">
        <v>63</v>
      </c>
      <c r="AR1290" t="s">
        <v>63</v>
      </c>
      <c r="AS1290" t="s">
        <v>63</v>
      </c>
      <c r="AT1290" t="s">
        <v>63</v>
      </c>
      <c r="AU1290" t="s">
        <v>63</v>
      </c>
      <c r="AV1290" t="s">
        <v>63</v>
      </c>
      <c r="AW1290" t="s">
        <v>63</v>
      </c>
      <c r="AX1290" t="s">
        <v>63</v>
      </c>
      <c r="AY1290" t="s">
        <v>63</v>
      </c>
      <c r="AZ1290" t="s">
        <v>63</v>
      </c>
      <c r="BA1290" t="s">
        <v>63</v>
      </c>
      <c r="BB1290" t="s">
        <v>63</v>
      </c>
      <c r="BC1290" t="s">
        <v>63</v>
      </c>
      <c r="BD1290" t="s">
        <v>63</v>
      </c>
      <c r="BE1290" t="s">
        <v>63</v>
      </c>
      <c r="BF1290" t="s">
        <v>63</v>
      </c>
    </row>
    <row r="1291" spans="1:58">
      <c r="A1291" t="s">
        <v>58</v>
      </c>
      <c r="B1291" t="s">
        <v>11436</v>
      </c>
      <c r="C1291" t="s">
        <v>11437</v>
      </c>
      <c r="D1291" t="s">
        <v>2206</v>
      </c>
      <c r="E1291" t="s">
        <v>2207</v>
      </c>
      <c r="F1291">
        <v>2015</v>
      </c>
      <c r="G1291" t="s">
        <v>189</v>
      </c>
      <c r="H1291">
        <v>27</v>
      </c>
      <c r="I1291">
        <v>3</v>
      </c>
      <c r="J1291">
        <v>233</v>
      </c>
      <c r="K1291">
        <v>236</v>
      </c>
      <c r="L1291" t="s">
        <v>11438</v>
      </c>
      <c r="M1291" t="s">
        <v>11439</v>
      </c>
      <c r="N1291" t="s">
        <v>11440</v>
      </c>
      <c r="O1291" t="s">
        <v>63</v>
      </c>
      <c r="Q1291" t="s">
        <v>63</v>
      </c>
      <c r="R1291" t="s">
        <v>63</v>
      </c>
      <c r="S1291" t="s">
        <v>63</v>
      </c>
      <c r="T1291" t="s">
        <v>63</v>
      </c>
      <c r="X1291" t="s">
        <v>63</v>
      </c>
      <c r="Y1291" t="s">
        <v>2211</v>
      </c>
      <c r="Z1291" t="s">
        <v>63</v>
      </c>
      <c r="AA1291" t="s">
        <v>11441</v>
      </c>
      <c r="AB1291">
        <v>25657066</v>
      </c>
      <c r="AC1291" t="s">
        <v>67</v>
      </c>
      <c r="AD1291" t="s">
        <v>63</v>
      </c>
      <c r="AE1291" t="s">
        <v>63</v>
      </c>
      <c r="AF1291" t="s">
        <v>63</v>
      </c>
      <c r="AG1291" t="s">
        <v>11442</v>
      </c>
      <c r="AH1291" t="s">
        <v>63</v>
      </c>
      <c r="AI1291" t="s">
        <v>11443</v>
      </c>
      <c r="AJ1291" t="s">
        <v>63</v>
      </c>
      <c r="AK1291" t="s">
        <v>63</v>
      </c>
      <c r="AL1291" t="s">
        <v>63</v>
      </c>
      <c r="AM1291" t="s">
        <v>11444</v>
      </c>
      <c r="AN1291" t="s">
        <v>63</v>
      </c>
      <c r="AO1291" t="s">
        <v>63</v>
      </c>
      <c r="AP1291" t="s">
        <v>63</v>
      </c>
      <c r="AQ1291" t="s">
        <v>63</v>
      </c>
      <c r="AR1291" t="s">
        <v>63</v>
      </c>
      <c r="AS1291" t="s">
        <v>63</v>
      </c>
      <c r="AT1291" t="s">
        <v>63</v>
      </c>
      <c r="AU1291" t="s">
        <v>63</v>
      </c>
      <c r="AV1291" t="s">
        <v>63</v>
      </c>
      <c r="AW1291" t="s">
        <v>63</v>
      </c>
      <c r="AX1291" t="s">
        <v>63</v>
      </c>
      <c r="AY1291" t="s">
        <v>63</v>
      </c>
      <c r="AZ1291" t="s">
        <v>63</v>
      </c>
      <c r="BA1291" t="s">
        <v>63</v>
      </c>
      <c r="BB1291" t="s">
        <v>63</v>
      </c>
      <c r="BC1291" t="s">
        <v>63</v>
      </c>
      <c r="BD1291" t="s">
        <v>63</v>
      </c>
      <c r="BE1291" t="s">
        <v>63</v>
      </c>
      <c r="BF1291" t="s">
        <v>63</v>
      </c>
    </row>
    <row r="1292" spans="1:58">
      <c r="A1292" t="s">
        <v>58</v>
      </c>
      <c r="B1292" t="s">
        <v>11445</v>
      </c>
      <c r="C1292" t="s">
        <v>11446</v>
      </c>
      <c r="D1292" t="s">
        <v>7011</v>
      </c>
      <c r="E1292" t="s">
        <v>7012</v>
      </c>
      <c r="F1292">
        <v>2001</v>
      </c>
      <c r="G1292" t="s">
        <v>623</v>
      </c>
      <c r="H1292">
        <v>42</v>
      </c>
      <c r="I1292">
        <v>1</v>
      </c>
      <c r="J1292">
        <v>1</v>
      </c>
      <c r="K1292">
        <v>15</v>
      </c>
      <c r="L1292" t="s">
        <v>11447</v>
      </c>
      <c r="M1292" t="s">
        <v>11448</v>
      </c>
      <c r="N1292" t="s">
        <v>11449</v>
      </c>
      <c r="O1292" t="s">
        <v>63</v>
      </c>
      <c r="Q1292" t="s">
        <v>63</v>
      </c>
      <c r="R1292" t="s">
        <v>63</v>
      </c>
      <c r="S1292" t="s">
        <v>63</v>
      </c>
      <c r="T1292" t="s">
        <v>63</v>
      </c>
      <c r="X1292" t="s">
        <v>63</v>
      </c>
      <c r="Y1292" t="s">
        <v>10230</v>
      </c>
      <c r="Z1292" t="s">
        <v>63</v>
      </c>
      <c r="AA1292" t="s">
        <v>11450</v>
      </c>
      <c r="AB1292">
        <v>11154710</v>
      </c>
      <c r="AC1292" t="s">
        <v>67</v>
      </c>
      <c r="AD1292" t="s">
        <v>63</v>
      </c>
      <c r="AE1292" t="s">
        <v>63</v>
      </c>
      <c r="AF1292" t="s">
        <v>63</v>
      </c>
      <c r="AG1292" t="s">
        <v>11451</v>
      </c>
      <c r="AH1292" t="s">
        <v>63</v>
      </c>
      <c r="AI1292" t="s">
        <v>63</v>
      </c>
      <c r="AJ1292" t="s">
        <v>63</v>
      </c>
      <c r="AK1292" t="s">
        <v>63</v>
      </c>
      <c r="AL1292" t="s">
        <v>63</v>
      </c>
      <c r="AM1292" t="s">
        <v>11452</v>
      </c>
      <c r="AN1292" t="s">
        <v>63</v>
      </c>
      <c r="AO1292" t="s">
        <v>63</v>
      </c>
      <c r="AP1292" t="s">
        <v>63</v>
      </c>
      <c r="AQ1292" t="s">
        <v>63</v>
      </c>
      <c r="AR1292" t="s">
        <v>63</v>
      </c>
      <c r="AS1292" t="s">
        <v>63</v>
      </c>
      <c r="AT1292" t="s">
        <v>63</v>
      </c>
      <c r="AU1292" t="s">
        <v>63</v>
      </c>
      <c r="AV1292" t="s">
        <v>63</v>
      </c>
      <c r="AW1292" t="s">
        <v>63</v>
      </c>
      <c r="AX1292" t="s">
        <v>63</v>
      </c>
      <c r="AY1292" t="s">
        <v>63</v>
      </c>
      <c r="AZ1292" t="s">
        <v>63</v>
      </c>
      <c r="BA1292" t="s">
        <v>63</v>
      </c>
      <c r="BB1292" t="s">
        <v>63</v>
      </c>
      <c r="BC1292" t="s">
        <v>63</v>
      </c>
      <c r="BD1292" t="s">
        <v>63</v>
      </c>
      <c r="BE1292" t="s">
        <v>63</v>
      </c>
      <c r="BF1292" t="s">
        <v>63</v>
      </c>
    </row>
    <row r="1293" spans="1:58">
      <c r="A1293" t="s">
        <v>58</v>
      </c>
      <c r="B1293" t="s">
        <v>11453</v>
      </c>
      <c r="C1293" t="s">
        <v>11454</v>
      </c>
      <c r="D1293" t="s">
        <v>11455</v>
      </c>
      <c r="E1293" t="s">
        <v>11456</v>
      </c>
      <c r="F1293">
        <v>2016</v>
      </c>
      <c r="G1293" t="s">
        <v>326</v>
      </c>
      <c r="H1293">
        <v>39</v>
      </c>
      <c r="I1293">
        <v>1</v>
      </c>
      <c r="J1293">
        <v>1</v>
      </c>
      <c r="K1293">
        <v>12</v>
      </c>
      <c r="L1293" t="s">
        <v>11457</v>
      </c>
      <c r="M1293" t="s">
        <v>11458</v>
      </c>
      <c r="N1293" t="s">
        <v>11459</v>
      </c>
      <c r="O1293" t="s">
        <v>63</v>
      </c>
      <c r="Q1293" t="s">
        <v>63</v>
      </c>
      <c r="R1293" t="s">
        <v>63</v>
      </c>
      <c r="S1293" t="s">
        <v>63</v>
      </c>
      <c r="T1293" t="s">
        <v>63</v>
      </c>
      <c r="X1293" t="s">
        <v>63</v>
      </c>
      <c r="Y1293" t="s">
        <v>11460</v>
      </c>
      <c r="Z1293" t="s">
        <v>63</v>
      </c>
      <c r="AA1293" t="s">
        <v>11461</v>
      </c>
      <c r="AB1293">
        <v>26296521</v>
      </c>
      <c r="AC1293" t="s">
        <v>67</v>
      </c>
      <c r="AD1293" t="s">
        <v>63</v>
      </c>
      <c r="AE1293" t="s">
        <v>63</v>
      </c>
      <c r="AF1293" t="s">
        <v>63</v>
      </c>
      <c r="AG1293" t="s">
        <v>11462</v>
      </c>
      <c r="AH1293" t="s">
        <v>63</v>
      </c>
      <c r="AI1293" t="s">
        <v>11463</v>
      </c>
      <c r="AJ1293" t="s">
        <v>63</v>
      </c>
      <c r="AK1293" t="s">
        <v>63</v>
      </c>
      <c r="AL1293" t="s">
        <v>63</v>
      </c>
      <c r="AM1293" t="s">
        <v>11464</v>
      </c>
      <c r="AN1293" t="s">
        <v>63</v>
      </c>
      <c r="AO1293" t="s">
        <v>63</v>
      </c>
      <c r="AP1293" t="s">
        <v>63</v>
      </c>
      <c r="AQ1293" t="s">
        <v>63</v>
      </c>
      <c r="AR1293" t="s">
        <v>63</v>
      </c>
      <c r="AS1293" t="s">
        <v>63</v>
      </c>
      <c r="AT1293" t="s">
        <v>63</v>
      </c>
      <c r="AU1293" t="s">
        <v>63</v>
      </c>
      <c r="AV1293" t="s">
        <v>63</v>
      </c>
      <c r="AW1293" t="s">
        <v>63</v>
      </c>
      <c r="AX1293" t="s">
        <v>63</v>
      </c>
      <c r="AY1293" t="s">
        <v>63</v>
      </c>
      <c r="AZ1293" t="s">
        <v>63</v>
      </c>
      <c r="BA1293" t="s">
        <v>63</v>
      </c>
      <c r="BB1293" t="s">
        <v>63</v>
      </c>
      <c r="BC1293" t="s">
        <v>63</v>
      </c>
      <c r="BD1293" t="s">
        <v>63</v>
      </c>
      <c r="BE1293" t="s">
        <v>63</v>
      </c>
      <c r="BF1293" t="s">
        <v>63</v>
      </c>
    </row>
    <row r="1294" spans="1:58">
      <c r="A1294" t="s">
        <v>58</v>
      </c>
      <c r="B1294" t="s">
        <v>11465</v>
      </c>
      <c r="C1294" t="s">
        <v>11466</v>
      </c>
      <c r="D1294" t="s">
        <v>243</v>
      </c>
      <c r="E1294" t="s">
        <v>243</v>
      </c>
      <c r="F1294">
        <v>1987</v>
      </c>
      <c r="G1294" s="1">
        <v>41942</v>
      </c>
      <c r="H1294">
        <v>2</v>
      </c>
      <c r="I1294">
        <v>8566</v>
      </c>
      <c r="J1294">
        <v>1028</v>
      </c>
      <c r="K1294" t="s">
        <v>63</v>
      </c>
      <c r="L1294" t="s">
        <v>11467</v>
      </c>
      <c r="M1294" t="s">
        <v>63</v>
      </c>
      <c r="N1294" t="s">
        <v>11468</v>
      </c>
      <c r="O1294" t="s">
        <v>63</v>
      </c>
      <c r="Q1294" t="s">
        <v>63</v>
      </c>
      <c r="R1294" t="s">
        <v>63</v>
      </c>
      <c r="S1294" t="s">
        <v>63</v>
      </c>
      <c r="T1294" t="s">
        <v>63</v>
      </c>
      <c r="X1294" t="s">
        <v>63</v>
      </c>
      <c r="Y1294" t="s">
        <v>246</v>
      </c>
      <c r="Z1294" t="s">
        <v>63</v>
      </c>
      <c r="AA1294" t="s">
        <v>63</v>
      </c>
      <c r="AB1294">
        <v>2889936</v>
      </c>
      <c r="AC1294" t="s">
        <v>67</v>
      </c>
      <c r="AD1294" t="s">
        <v>63</v>
      </c>
      <c r="AE1294" t="s">
        <v>63</v>
      </c>
      <c r="AF1294" t="s">
        <v>63</v>
      </c>
      <c r="AG1294" t="s">
        <v>11469</v>
      </c>
      <c r="AH1294" t="s">
        <v>63</v>
      </c>
      <c r="AI1294" t="s">
        <v>63</v>
      </c>
      <c r="AJ1294" t="s">
        <v>63</v>
      </c>
      <c r="AK1294" t="s">
        <v>63</v>
      </c>
      <c r="AL1294" t="s">
        <v>63</v>
      </c>
      <c r="AM1294" t="s">
        <v>11470</v>
      </c>
      <c r="AN1294" t="s">
        <v>63</v>
      </c>
      <c r="AO1294" t="s">
        <v>63</v>
      </c>
      <c r="AP1294" t="s">
        <v>63</v>
      </c>
      <c r="AQ1294" t="s">
        <v>63</v>
      </c>
      <c r="AR1294" t="s">
        <v>63</v>
      </c>
      <c r="AS1294" t="s">
        <v>63</v>
      </c>
      <c r="AT1294" t="s">
        <v>63</v>
      </c>
      <c r="AU1294" t="s">
        <v>63</v>
      </c>
      <c r="AV1294" t="s">
        <v>63</v>
      </c>
      <c r="AW1294" t="s">
        <v>63</v>
      </c>
      <c r="AX1294" t="s">
        <v>63</v>
      </c>
      <c r="AY1294" t="s">
        <v>63</v>
      </c>
      <c r="AZ1294" t="s">
        <v>63</v>
      </c>
      <c r="BA1294" t="s">
        <v>63</v>
      </c>
      <c r="BB1294" t="s">
        <v>63</v>
      </c>
      <c r="BC1294" t="s">
        <v>63</v>
      </c>
      <c r="BD1294" t="s">
        <v>63</v>
      </c>
      <c r="BE1294" t="s">
        <v>63</v>
      </c>
      <c r="BF1294" t="s">
        <v>63</v>
      </c>
    </row>
    <row r="1295" spans="1:58">
      <c r="A1295" t="s">
        <v>58</v>
      </c>
      <c r="B1295" t="s">
        <v>11471</v>
      </c>
      <c r="C1295" t="s">
        <v>11472</v>
      </c>
      <c r="D1295" t="s">
        <v>3071</v>
      </c>
      <c r="E1295" t="s">
        <v>3072</v>
      </c>
      <c r="F1295">
        <v>1992</v>
      </c>
      <c r="G1295" t="s">
        <v>1670</v>
      </c>
      <c r="H1295">
        <v>87</v>
      </c>
      <c r="I1295">
        <v>7</v>
      </c>
      <c r="J1295">
        <v>1041</v>
      </c>
      <c r="K1295">
        <v>1048</v>
      </c>
      <c r="L1295" t="s">
        <v>11473</v>
      </c>
      <c r="M1295" t="s">
        <v>11474</v>
      </c>
      <c r="N1295" t="s">
        <v>11475</v>
      </c>
      <c r="O1295" t="s">
        <v>63</v>
      </c>
      <c r="Q1295" t="s">
        <v>63</v>
      </c>
      <c r="R1295" t="s">
        <v>63</v>
      </c>
      <c r="S1295" t="s">
        <v>63</v>
      </c>
      <c r="T1295" t="s">
        <v>63</v>
      </c>
      <c r="X1295" t="s">
        <v>63</v>
      </c>
      <c r="Y1295" t="s">
        <v>3075</v>
      </c>
      <c r="Z1295" t="s">
        <v>63</v>
      </c>
      <c r="AA1295" t="s">
        <v>11476</v>
      </c>
      <c r="AB1295">
        <v>1643397</v>
      </c>
      <c r="AC1295" t="s">
        <v>67</v>
      </c>
      <c r="AD1295" t="s">
        <v>63</v>
      </c>
      <c r="AE1295" t="s">
        <v>63</v>
      </c>
      <c r="AF1295" t="s">
        <v>63</v>
      </c>
      <c r="AG1295" t="s">
        <v>11477</v>
      </c>
      <c r="AH1295" t="s">
        <v>63</v>
      </c>
      <c r="AI1295" t="s">
        <v>63</v>
      </c>
      <c r="AJ1295" t="s">
        <v>63</v>
      </c>
      <c r="AK1295" t="s">
        <v>63</v>
      </c>
      <c r="AL1295" t="s">
        <v>63</v>
      </c>
      <c r="AM1295" t="s">
        <v>11478</v>
      </c>
      <c r="AN1295" t="s">
        <v>63</v>
      </c>
      <c r="AO1295" t="s">
        <v>63</v>
      </c>
      <c r="AP1295" t="s">
        <v>63</v>
      </c>
      <c r="AQ1295" t="s">
        <v>63</v>
      </c>
      <c r="AR1295" t="s">
        <v>63</v>
      </c>
      <c r="AS1295" t="s">
        <v>63</v>
      </c>
      <c r="AT1295" t="s">
        <v>63</v>
      </c>
      <c r="AU1295" t="s">
        <v>63</v>
      </c>
      <c r="AV1295" t="s">
        <v>63</v>
      </c>
      <c r="AW1295" t="s">
        <v>63</v>
      </c>
      <c r="AX1295" t="s">
        <v>63</v>
      </c>
      <c r="AY1295" t="s">
        <v>63</v>
      </c>
      <c r="AZ1295" t="s">
        <v>63</v>
      </c>
      <c r="BA1295" t="s">
        <v>63</v>
      </c>
      <c r="BB1295" t="s">
        <v>63</v>
      </c>
      <c r="BC1295" t="s">
        <v>63</v>
      </c>
      <c r="BD1295" t="s">
        <v>63</v>
      </c>
      <c r="BE1295" t="s">
        <v>63</v>
      </c>
      <c r="BF1295" t="s">
        <v>63</v>
      </c>
    </row>
    <row r="1296" spans="1:58">
      <c r="A1296" t="s">
        <v>58</v>
      </c>
      <c r="B1296" t="s">
        <v>11471</v>
      </c>
      <c r="C1296" t="s">
        <v>11479</v>
      </c>
      <c r="D1296" t="s">
        <v>290</v>
      </c>
      <c r="E1296" t="s">
        <v>291</v>
      </c>
      <c r="F1296">
        <v>1990</v>
      </c>
      <c r="G1296" s="1">
        <v>41765</v>
      </c>
      <c r="H1296">
        <v>152</v>
      </c>
      <c r="I1296">
        <v>9</v>
      </c>
      <c r="J1296">
        <v>503</v>
      </c>
      <c r="K1296" t="s">
        <v>63</v>
      </c>
      <c r="L1296" t="s">
        <v>11480</v>
      </c>
      <c r="M1296" t="s">
        <v>63</v>
      </c>
      <c r="N1296" t="s">
        <v>11481</v>
      </c>
      <c r="O1296" t="s">
        <v>63</v>
      </c>
      <c r="Q1296" t="s">
        <v>63</v>
      </c>
      <c r="R1296" t="s">
        <v>63</v>
      </c>
      <c r="S1296" t="s">
        <v>63</v>
      </c>
      <c r="T1296" t="s">
        <v>63</v>
      </c>
      <c r="X1296" t="s">
        <v>63</v>
      </c>
      <c r="Y1296" t="s">
        <v>294</v>
      </c>
      <c r="Z1296" t="s">
        <v>63</v>
      </c>
      <c r="AA1296" t="s">
        <v>63</v>
      </c>
      <c r="AB1296">
        <v>2381350</v>
      </c>
      <c r="AC1296" t="s">
        <v>67</v>
      </c>
      <c r="AD1296" t="s">
        <v>63</v>
      </c>
      <c r="AE1296" t="s">
        <v>63</v>
      </c>
      <c r="AF1296" t="s">
        <v>63</v>
      </c>
      <c r="AG1296" t="s">
        <v>11482</v>
      </c>
      <c r="AH1296" t="s">
        <v>63</v>
      </c>
      <c r="AI1296" t="s">
        <v>63</v>
      </c>
      <c r="AJ1296" t="s">
        <v>63</v>
      </c>
      <c r="AK1296" t="s">
        <v>63</v>
      </c>
      <c r="AL1296" t="s">
        <v>63</v>
      </c>
      <c r="AM1296" t="s">
        <v>11483</v>
      </c>
      <c r="AN1296" t="s">
        <v>63</v>
      </c>
      <c r="AO1296" t="s">
        <v>63</v>
      </c>
      <c r="AP1296" t="s">
        <v>63</v>
      </c>
      <c r="AQ1296" t="s">
        <v>63</v>
      </c>
      <c r="AR1296" t="s">
        <v>63</v>
      </c>
      <c r="AS1296" t="s">
        <v>63</v>
      </c>
      <c r="AT1296" t="s">
        <v>63</v>
      </c>
      <c r="AU1296" t="s">
        <v>63</v>
      </c>
      <c r="AV1296" t="s">
        <v>63</v>
      </c>
      <c r="AW1296" t="s">
        <v>63</v>
      </c>
      <c r="AX1296" t="s">
        <v>63</v>
      </c>
      <c r="AY1296" t="s">
        <v>63</v>
      </c>
      <c r="AZ1296" t="s">
        <v>63</v>
      </c>
      <c r="BA1296" t="s">
        <v>63</v>
      </c>
      <c r="BB1296" t="s">
        <v>63</v>
      </c>
      <c r="BC1296" t="s">
        <v>63</v>
      </c>
      <c r="BD1296" t="s">
        <v>63</v>
      </c>
      <c r="BE1296" t="s">
        <v>63</v>
      </c>
      <c r="BF1296" t="s">
        <v>63</v>
      </c>
    </row>
    <row r="1297" spans="1:58">
      <c r="A1297" t="s">
        <v>58</v>
      </c>
      <c r="B1297" t="s">
        <v>11484</v>
      </c>
      <c r="C1297" t="s">
        <v>11485</v>
      </c>
      <c r="D1297" t="s">
        <v>4567</v>
      </c>
      <c r="E1297" t="s">
        <v>4568</v>
      </c>
      <c r="F1297">
        <v>1996</v>
      </c>
      <c r="G1297" t="s">
        <v>1114</v>
      </c>
      <c r="H1297">
        <v>25</v>
      </c>
      <c r="I1297">
        <v>3</v>
      </c>
      <c r="J1297">
        <v>251</v>
      </c>
      <c r="K1297">
        <v>258</v>
      </c>
      <c r="L1297" t="s">
        <v>11486</v>
      </c>
      <c r="M1297" t="s">
        <v>11487</v>
      </c>
      <c r="N1297" t="s">
        <v>11488</v>
      </c>
      <c r="O1297" t="s">
        <v>63</v>
      </c>
      <c r="Q1297" t="s">
        <v>63</v>
      </c>
      <c r="R1297" t="s">
        <v>63</v>
      </c>
      <c r="S1297" t="s">
        <v>63</v>
      </c>
      <c r="T1297" t="s">
        <v>63</v>
      </c>
      <c r="X1297" t="s">
        <v>63</v>
      </c>
      <c r="Y1297" t="s">
        <v>5761</v>
      </c>
      <c r="Z1297" t="s">
        <v>63</v>
      </c>
      <c r="AA1297" t="s">
        <v>11489</v>
      </c>
      <c r="AB1297">
        <v>8781002</v>
      </c>
      <c r="AC1297" t="s">
        <v>67</v>
      </c>
      <c r="AD1297" t="s">
        <v>63</v>
      </c>
      <c r="AE1297" t="s">
        <v>63</v>
      </c>
      <c r="AF1297" t="s">
        <v>63</v>
      </c>
      <c r="AG1297" t="s">
        <v>11490</v>
      </c>
      <c r="AH1297" t="s">
        <v>63</v>
      </c>
      <c r="AI1297" t="s">
        <v>63</v>
      </c>
      <c r="AJ1297" t="s">
        <v>63</v>
      </c>
      <c r="AK1297" t="s">
        <v>63</v>
      </c>
      <c r="AL1297" t="s">
        <v>63</v>
      </c>
      <c r="AM1297" t="s">
        <v>11491</v>
      </c>
      <c r="AN1297" t="s">
        <v>63</v>
      </c>
      <c r="AO1297" t="s">
        <v>63</v>
      </c>
      <c r="AP1297" t="s">
        <v>63</v>
      </c>
      <c r="AQ1297" t="s">
        <v>63</v>
      </c>
      <c r="AR1297" t="s">
        <v>63</v>
      </c>
      <c r="AS1297" t="s">
        <v>63</v>
      </c>
      <c r="AT1297" t="s">
        <v>63</v>
      </c>
      <c r="AU1297" t="s">
        <v>63</v>
      </c>
      <c r="AV1297" t="s">
        <v>63</v>
      </c>
      <c r="AW1297" t="s">
        <v>63</v>
      </c>
      <c r="AX1297" t="s">
        <v>63</v>
      </c>
      <c r="AY1297" t="s">
        <v>63</v>
      </c>
      <c r="AZ1297" t="s">
        <v>63</v>
      </c>
      <c r="BA1297" t="s">
        <v>63</v>
      </c>
      <c r="BB1297" t="s">
        <v>63</v>
      </c>
      <c r="BC1297" t="s">
        <v>63</v>
      </c>
      <c r="BD1297" t="s">
        <v>63</v>
      </c>
      <c r="BE1297" t="s">
        <v>63</v>
      </c>
      <c r="BF1297" t="s">
        <v>63</v>
      </c>
    </row>
    <row r="1298" spans="1:58">
      <c r="A1298" t="s">
        <v>58</v>
      </c>
      <c r="B1298" t="s">
        <v>11492</v>
      </c>
      <c r="C1298" t="s">
        <v>11493</v>
      </c>
      <c r="D1298" t="s">
        <v>11494</v>
      </c>
      <c r="E1298" t="s">
        <v>63</v>
      </c>
      <c r="F1298">
        <v>1995</v>
      </c>
      <c r="G1298" t="s">
        <v>157</v>
      </c>
      <c r="H1298">
        <v>29</v>
      </c>
      <c r="I1298">
        <v>4</v>
      </c>
      <c r="J1298">
        <v>645</v>
      </c>
      <c r="K1298">
        <v>652</v>
      </c>
      <c r="L1298" t="s">
        <v>11495</v>
      </c>
      <c r="M1298" t="s">
        <v>11496</v>
      </c>
      <c r="N1298" t="s">
        <v>11497</v>
      </c>
      <c r="O1298" t="s">
        <v>63</v>
      </c>
      <c r="Q1298" t="s">
        <v>63</v>
      </c>
      <c r="R1298" t="s">
        <v>63</v>
      </c>
      <c r="S1298" t="s">
        <v>63</v>
      </c>
      <c r="T1298" t="s">
        <v>63</v>
      </c>
      <c r="X1298" t="s">
        <v>63</v>
      </c>
      <c r="Y1298" s="2">
        <v>2472783</v>
      </c>
      <c r="Z1298" t="s">
        <v>63</v>
      </c>
      <c r="AA1298" t="s">
        <v>11498</v>
      </c>
      <c r="AB1298">
        <v>8825828</v>
      </c>
      <c r="AC1298" t="s">
        <v>67</v>
      </c>
      <c r="AD1298" t="s">
        <v>63</v>
      </c>
      <c r="AE1298" t="s">
        <v>63</v>
      </c>
      <c r="AF1298" t="s">
        <v>63</v>
      </c>
      <c r="AG1298" t="s">
        <v>11499</v>
      </c>
      <c r="AH1298" t="s">
        <v>63</v>
      </c>
      <c r="AI1298" t="s">
        <v>63</v>
      </c>
      <c r="AJ1298" t="s">
        <v>63</v>
      </c>
      <c r="AK1298" t="s">
        <v>63</v>
      </c>
      <c r="AL1298" t="s">
        <v>63</v>
      </c>
      <c r="AM1298" t="s">
        <v>11500</v>
      </c>
      <c r="AN1298" t="s">
        <v>63</v>
      </c>
      <c r="AO1298" t="s">
        <v>63</v>
      </c>
      <c r="AP1298" t="s">
        <v>63</v>
      </c>
      <c r="AQ1298" t="s">
        <v>63</v>
      </c>
      <c r="AR1298" t="s">
        <v>63</v>
      </c>
      <c r="AS1298" t="s">
        <v>63</v>
      </c>
      <c r="AT1298" t="s">
        <v>63</v>
      </c>
      <c r="AU1298" t="s">
        <v>63</v>
      </c>
      <c r="AV1298" t="s">
        <v>63</v>
      </c>
      <c r="AW1298" t="s">
        <v>63</v>
      </c>
      <c r="AX1298" t="s">
        <v>63</v>
      </c>
      <c r="AY1298" t="s">
        <v>63</v>
      </c>
      <c r="AZ1298" t="s">
        <v>63</v>
      </c>
      <c r="BA1298" t="s">
        <v>63</v>
      </c>
      <c r="BB1298" t="s">
        <v>63</v>
      </c>
      <c r="BC1298" t="s">
        <v>63</v>
      </c>
      <c r="BD1298" t="s">
        <v>63</v>
      </c>
      <c r="BE1298" t="s">
        <v>63</v>
      </c>
      <c r="BF1298" t="s">
        <v>63</v>
      </c>
    </row>
    <row r="1299" spans="1:58">
      <c r="A1299" t="s">
        <v>58</v>
      </c>
      <c r="B1299" t="s">
        <v>11501</v>
      </c>
      <c r="C1299" t="s">
        <v>11502</v>
      </c>
      <c r="D1299" t="s">
        <v>11372</v>
      </c>
      <c r="E1299" t="s">
        <v>63</v>
      </c>
      <c r="F1299">
        <v>1996</v>
      </c>
      <c r="G1299" t="s">
        <v>614</v>
      </c>
      <c r="H1299">
        <v>20</v>
      </c>
      <c r="I1299">
        <v>4</v>
      </c>
      <c r="J1299">
        <v>401</v>
      </c>
      <c r="K1299">
        <v>408</v>
      </c>
      <c r="L1299" t="s">
        <v>11503</v>
      </c>
      <c r="M1299" t="s">
        <v>11504</v>
      </c>
      <c r="N1299" t="s">
        <v>11505</v>
      </c>
      <c r="O1299" t="s">
        <v>63</v>
      </c>
      <c r="Q1299" t="s">
        <v>63</v>
      </c>
      <c r="R1299" t="s">
        <v>63</v>
      </c>
      <c r="S1299" t="s">
        <v>63</v>
      </c>
      <c r="T1299" t="s">
        <v>63</v>
      </c>
      <c r="X1299" t="s">
        <v>63</v>
      </c>
      <c r="Y1299" t="s">
        <v>11376</v>
      </c>
      <c r="Z1299" t="s">
        <v>63</v>
      </c>
      <c r="AA1299" t="s">
        <v>11506</v>
      </c>
      <c r="AB1299">
        <v>8908764</v>
      </c>
      <c r="AC1299" t="s">
        <v>67</v>
      </c>
      <c r="AD1299" t="s">
        <v>63</v>
      </c>
      <c r="AE1299" t="s">
        <v>63</v>
      </c>
      <c r="AF1299" t="s">
        <v>63</v>
      </c>
      <c r="AG1299" t="s">
        <v>11507</v>
      </c>
      <c r="AH1299" t="s">
        <v>63</v>
      </c>
      <c r="AI1299" t="s">
        <v>63</v>
      </c>
      <c r="AJ1299" t="s">
        <v>63</v>
      </c>
      <c r="AK1299" t="s">
        <v>63</v>
      </c>
      <c r="AL1299" t="s">
        <v>63</v>
      </c>
      <c r="AM1299" t="s">
        <v>11508</v>
      </c>
      <c r="AN1299" t="s">
        <v>63</v>
      </c>
      <c r="AO1299" t="s">
        <v>63</v>
      </c>
      <c r="AP1299" t="s">
        <v>63</v>
      </c>
      <c r="AQ1299" t="s">
        <v>63</v>
      </c>
      <c r="AR1299" t="s">
        <v>63</v>
      </c>
      <c r="AS1299" t="s">
        <v>63</v>
      </c>
      <c r="AT1299" t="s">
        <v>63</v>
      </c>
      <c r="AU1299" t="s">
        <v>63</v>
      </c>
      <c r="AV1299" t="s">
        <v>63</v>
      </c>
      <c r="AW1299" t="s">
        <v>63</v>
      </c>
      <c r="AX1299" t="s">
        <v>63</v>
      </c>
      <c r="AY1299" t="s">
        <v>63</v>
      </c>
      <c r="AZ1299" t="s">
        <v>63</v>
      </c>
      <c r="BA1299" t="s">
        <v>63</v>
      </c>
      <c r="BB1299" t="s">
        <v>63</v>
      </c>
      <c r="BC1299" t="s">
        <v>63</v>
      </c>
      <c r="BD1299" t="s">
        <v>63</v>
      </c>
      <c r="BE1299" t="s">
        <v>63</v>
      </c>
      <c r="BF1299" t="s">
        <v>63</v>
      </c>
    </row>
    <row r="1300" spans="1:58">
      <c r="A1300" t="s">
        <v>58</v>
      </c>
      <c r="B1300" t="s">
        <v>11509</v>
      </c>
      <c r="C1300" t="s">
        <v>11510</v>
      </c>
      <c r="D1300" t="s">
        <v>4567</v>
      </c>
      <c r="E1300" t="s">
        <v>4568</v>
      </c>
      <c r="F1300">
        <v>1997</v>
      </c>
      <c r="G1300" t="s">
        <v>623</v>
      </c>
      <c r="H1300">
        <v>26</v>
      </c>
      <c r="I1300">
        <v>1</v>
      </c>
      <c r="J1300">
        <v>78</v>
      </c>
      <c r="K1300">
        <v>85</v>
      </c>
      <c r="L1300" t="s">
        <v>11511</v>
      </c>
      <c r="M1300" t="s">
        <v>11512</v>
      </c>
      <c r="N1300" t="s">
        <v>11513</v>
      </c>
      <c r="O1300" t="s">
        <v>63</v>
      </c>
      <c r="Q1300" t="s">
        <v>63</v>
      </c>
      <c r="R1300" t="s">
        <v>63</v>
      </c>
      <c r="S1300" t="s">
        <v>63</v>
      </c>
      <c r="T1300" t="s">
        <v>63</v>
      </c>
      <c r="X1300" t="s">
        <v>63</v>
      </c>
      <c r="Y1300" t="s">
        <v>5761</v>
      </c>
      <c r="Z1300" t="s">
        <v>63</v>
      </c>
      <c r="AA1300" t="s">
        <v>11514</v>
      </c>
      <c r="AB1300">
        <v>9010901</v>
      </c>
      <c r="AC1300" t="s">
        <v>67</v>
      </c>
      <c r="AD1300" t="s">
        <v>63</v>
      </c>
      <c r="AE1300" t="s">
        <v>63</v>
      </c>
      <c r="AF1300" t="s">
        <v>63</v>
      </c>
      <c r="AG1300" t="s">
        <v>11515</v>
      </c>
      <c r="AH1300" t="s">
        <v>63</v>
      </c>
      <c r="AI1300" t="s">
        <v>63</v>
      </c>
      <c r="AJ1300" t="s">
        <v>63</v>
      </c>
      <c r="AK1300" t="s">
        <v>63</v>
      </c>
      <c r="AL1300" t="s">
        <v>63</v>
      </c>
      <c r="AM1300" t="s">
        <v>11516</v>
      </c>
      <c r="AN1300" t="s">
        <v>63</v>
      </c>
      <c r="AO1300" t="s">
        <v>63</v>
      </c>
      <c r="AP1300" t="s">
        <v>63</v>
      </c>
      <c r="AQ1300" t="s">
        <v>63</v>
      </c>
      <c r="AR1300" t="s">
        <v>63</v>
      </c>
      <c r="AS1300" t="s">
        <v>63</v>
      </c>
      <c r="AT1300" t="s">
        <v>63</v>
      </c>
      <c r="AU1300" t="s">
        <v>63</v>
      </c>
      <c r="AV1300" t="s">
        <v>63</v>
      </c>
      <c r="AW1300" t="s">
        <v>63</v>
      </c>
      <c r="AX1300" t="s">
        <v>63</v>
      </c>
      <c r="AY1300" t="s">
        <v>63</v>
      </c>
      <c r="AZ1300" t="s">
        <v>63</v>
      </c>
      <c r="BA1300" t="s">
        <v>63</v>
      </c>
      <c r="BB1300" t="s">
        <v>63</v>
      </c>
      <c r="BC1300" t="s">
        <v>63</v>
      </c>
      <c r="BD1300" t="s">
        <v>63</v>
      </c>
      <c r="BE1300" t="s">
        <v>63</v>
      </c>
      <c r="BF1300" t="s">
        <v>63</v>
      </c>
    </row>
    <row r="1301" spans="1:58">
      <c r="A1301" t="s">
        <v>58</v>
      </c>
      <c r="B1301" t="s">
        <v>11517</v>
      </c>
      <c r="C1301" t="s">
        <v>11518</v>
      </c>
      <c r="D1301" t="s">
        <v>205</v>
      </c>
      <c r="E1301" t="s">
        <v>205</v>
      </c>
      <c r="F1301">
        <v>1998</v>
      </c>
      <c r="G1301" s="1">
        <v>41876</v>
      </c>
      <c r="H1301">
        <v>280</v>
      </c>
      <c r="I1301">
        <v>8</v>
      </c>
      <c r="J1301" t="s">
        <v>11519</v>
      </c>
      <c r="K1301" t="s">
        <v>63</v>
      </c>
      <c r="L1301" t="s">
        <v>11520</v>
      </c>
      <c r="M1301" t="s">
        <v>63</v>
      </c>
      <c r="N1301" t="s">
        <v>11521</v>
      </c>
      <c r="O1301" t="s">
        <v>63</v>
      </c>
      <c r="Q1301" t="s">
        <v>63</v>
      </c>
      <c r="R1301" t="s">
        <v>63</v>
      </c>
      <c r="S1301" t="s">
        <v>63</v>
      </c>
      <c r="T1301" t="s">
        <v>63</v>
      </c>
      <c r="X1301" t="s">
        <v>63</v>
      </c>
      <c r="Y1301" t="s">
        <v>208</v>
      </c>
      <c r="Z1301" t="s">
        <v>63</v>
      </c>
      <c r="AA1301" t="s">
        <v>63</v>
      </c>
      <c r="AB1301">
        <v>9728638</v>
      </c>
      <c r="AC1301" t="s">
        <v>67</v>
      </c>
      <c r="AD1301" t="s">
        <v>63</v>
      </c>
      <c r="AE1301" t="s">
        <v>63</v>
      </c>
      <c r="AF1301" t="s">
        <v>63</v>
      </c>
      <c r="AG1301" t="s">
        <v>11522</v>
      </c>
      <c r="AH1301" t="s">
        <v>63</v>
      </c>
      <c r="AI1301" t="s">
        <v>63</v>
      </c>
      <c r="AJ1301" t="s">
        <v>63</v>
      </c>
      <c r="AK1301" t="s">
        <v>63</v>
      </c>
      <c r="AL1301" t="s">
        <v>63</v>
      </c>
      <c r="AM1301" t="s">
        <v>11523</v>
      </c>
      <c r="AN1301" t="s">
        <v>63</v>
      </c>
      <c r="AO1301" t="s">
        <v>63</v>
      </c>
      <c r="AP1301" t="s">
        <v>63</v>
      </c>
      <c r="AQ1301" t="s">
        <v>63</v>
      </c>
      <c r="AR1301" t="s">
        <v>63</v>
      </c>
      <c r="AS1301" t="s">
        <v>63</v>
      </c>
      <c r="AT1301" t="s">
        <v>63</v>
      </c>
      <c r="AU1301" t="s">
        <v>63</v>
      </c>
      <c r="AV1301" t="s">
        <v>63</v>
      </c>
      <c r="AW1301" t="s">
        <v>63</v>
      </c>
      <c r="AX1301" t="s">
        <v>63</v>
      </c>
      <c r="AY1301" t="s">
        <v>63</v>
      </c>
      <c r="AZ1301" t="s">
        <v>63</v>
      </c>
      <c r="BA1301" t="s">
        <v>63</v>
      </c>
      <c r="BB1301" t="s">
        <v>63</v>
      </c>
      <c r="BC1301" t="s">
        <v>63</v>
      </c>
      <c r="BD1301" t="s">
        <v>63</v>
      </c>
      <c r="BE1301" t="s">
        <v>63</v>
      </c>
      <c r="BF1301" t="s">
        <v>63</v>
      </c>
    </row>
    <row r="1302" spans="1:58">
      <c r="A1302" t="s">
        <v>58</v>
      </c>
      <c r="B1302" t="s">
        <v>11524</v>
      </c>
      <c r="C1302" t="s">
        <v>11525</v>
      </c>
      <c r="D1302" t="s">
        <v>6824</v>
      </c>
      <c r="E1302" t="s">
        <v>6825</v>
      </c>
      <c r="F1302">
        <v>2004</v>
      </c>
      <c r="G1302" t="s">
        <v>274</v>
      </c>
      <c r="H1302">
        <v>13</v>
      </c>
      <c r="I1302">
        <v>1</v>
      </c>
      <c r="J1302">
        <v>74</v>
      </c>
      <c r="K1302">
        <v>77</v>
      </c>
      <c r="L1302" t="s">
        <v>11526</v>
      </c>
      <c r="M1302" t="s">
        <v>11527</v>
      </c>
      <c r="N1302" t="s">
        <v>11528</v>
      </c>
      <c r="O1302" t="s">
        <v>63</v>
      </c>
      <c r="Q1302" t="s">
        <v>63</v>
      </c>
      <c r="R1302" t="s">
        <v>63</v>
      </c>
      <c r="S1302" t="s">
        <v>63</v>
      </c>
      <c r="T1302" t="s">
        <v>63</v>
      </c>
      <c r="X1302" t="s">
        <v>63</v>
      </c>
      <c r="Y1302" t="s">
        <v>6828</v>
      </c>
      <c r="Z1302" t="s">
        <v>63</v>
      </c>
      <c r="AA1302" t="s">
        <v>11529</v>
      </c>
      <c r="AB1302">
        <v>14985601</v>
      </c>
      <c r="AC1302" t="s">
        <v>67</v>
      </c>
      <c r="AD1302" t="s">
        <v>63</v>
      </c>
      <c r="AE1302" t="s">
        <v>63</v>
      </c>
      <c r="AF1302" t="s">
        <v>63</v>
      </c>
      <c r="AG1302" t="s">
        <v>11530</v>
      </c>
      <c r="AH1302" t="s">
        <v>63</v>
      </c>
      <c r="AI1302" t="s">
        <v>63</v>
      </c>
      <c r="AJ1302" t="s">
        <v>63</v>
      </c>
      <c r="AK1302" t="s">
        <v>63</v>
      </c>
      <c r="AL1302" t="s">
        <v>63</v>
      </c>
      <c r="AM1302" t="s">
        <v>11531</v>
      </c>
      <c r="AN1302" t="s">
        <v>63</v>
      </c>
      <c r="AO1302" t="s">
        <v>63</v>
      </c>
      <c r="AP1302" t="s">
        <v>63</v>
      </c>
      <c r="AQ1302" t="s">
        <v>63</v>
      </c>
      <c r="AR1302" t="s">
        <v>63</v>
      </c>
      <c r="AS1302" t="s">
        <v>63</v>
      </c>
      <c r="AT1302" t="s">
        <v>63</v>
      </c>
      <c r="AU1302" t="s">
        <v>63</v>
      </c>
      <c r="AV1302" t="s">
        <v>63</v>
      </c>
      <c r="AW1302" t="s">
        <v>63</v>
      </c>
      <c r="AX1302" t="s">
        <v>63</v>
      </c>
      <c r="AY1302" t="s">
        <v>63</v>
      </c>
      <c r="AZ1302" t="s">
        <v>63</v>
      </c>
      <c r="BA1302" t="s">
        <v>63</v>
      </c>
      <c r="BB1302" t="s">
        <v>63</v>
      </c>
      <c r="BC1302" t="s">
        <v>63</v>
      </c>
      <c r="BD1302" t="s">
        <v>63</v>
      </c>
      <c r="BE1302" t="s">
        <v>63</v>
      </c>
      <c r="BF1302" t="s">
        <v>63</v>
      </c>
    </row>
    <row r="1303" spans="1:58">
      <c r="A1303" t="s">
        <v>58</v>
      </c>
      <c r="B1303" t="s">
        <v>11532</v>
      </c>
      <c r="C1303" t="s">
        <v>11533</v>
      </c>
      <c r="D1303" t="s">
        <v>90</v>
      </c>
      <c r="E1303" t="s">
        <v>63</v>
      </c>
      <c r="F1303">
        <v>2014</v>
      </c>
      <c r="G1303" t="s">
        <v>63</v>
      </c>
      <c r="H1303">
        <v>33</v>
      </c>
      <c r="I1303">
        <v>4</v>
      </c>
      <c r="J1303">
        <v>277</v>
      </c>
      <c r="K1303">
        <v>288</v>
      </c>
      <c r="L1303" t="s">
        <v>11534</v>
      </c>
      <c r="M1303" t="s">
        <v>11535</v>
      </c>
      <c r="N1303" t="s">
        <v>11536</v>
      </c>
      <c r="O1303" t="s">
        <v>63</v>
      </c>
      <c r="Q1303" t="s">
        <v>63</v>
      </c>
      <c r="R1303" t="s">
        <v>63</v>
      </c>
      <c r="S1303" t="s">
        <v>63</v>
      </c>
      <c r="T1303" t="s">
        <v>63</v>
      </c>
      <c r="X1303" t="s">
        <v>63</v>
      </c>
      <c r="Y1303" t="s">
        <v>7611</v>
      </c>
      <c r="Z1303" t="s">
        <v>63</v>
      </c>
      <c r="AA1303" t="s">
        <v>11537</v>
      </c>
      <c r="AB1303">
        <v>25299484</v>
      </c>
      <c r="AC1303" t="s">
        <v>67</v>
      </c>
      <c r="AD1303" t="s">
        <v>63</v>
      </c>
      <c r="AE1303" t="s">
        <v>63</v>
      </c>
      <c r="AF1303" t="s">
        <v>63</v>
      </c>
      <c r="AG1303" t="s">
        <v>11538</v>
      </c>
      <c r="AH1303" t="s">
        <v>63</v>
      </c>
      <c r="AI1303" t="s">
        <v>11539</v>
      </c>
      <c r="AJ1303" t="s">
        <v>63</v>
      </c>
      <c r="AK1303" t="s">
        <v>63</v>
      </c>
      <c r="AL1303" t="s">
        <v>63</v>
      </c>
      <c r="AM1303" t="s">
        <v>11540</v>
      </c>
      <c r="AN1303" t="s">
        <v>63</v>
      </c>
      <c r="AO1303" t="s">
        <v>63</v>
      </c>
      <c r="AP1303" t="s">
        <v>63</v>
      </c>
      <c r="AQ1303" t="s">
        <v>63</v>
      </c>
      <c r="AR1303" t="s">
        <v>63</v>
      </c>
      <c r="AS1303" t="s">
        <v>63</v>
      </c>
      <c r="AT1303" t="s">
        <v>63</v>
      </c>
      <c r="AU1303" t="s">
        <v>63</v>
      </c>
      <c r="AV1303" t="s">
        <v>63</v>
      </c>
      <c r="AW1303" t="s">
        <v>63</v>
      </c>
      <c r="AX1303" t="s">
        <v>63</v>
      </c>
      <c r="AY1303" t="s">
        <v>63</v>
      </c>
      <c r="AZ1303" t="s">
        <v>63</v>
      </c>
      <c r="BA1303" t="s">
        <v>63</v>
      </c>
      <c r="BB1303" t="s">
        <v>63</v>
      </c>
      <c r="BC1303" t="s">
        <v>63</v>
      </c>
      <c r="BD1303" t="s">
        <v>63</v>
      </c>
      <c r="BE1303" t="s">
        <v>63</v>
      </c>
      <c r="BF1303" t="s">
        <v>63</v>
      </c>
    </row>
    <row r="1304" spans="1:58">
      <c r="A1304" t="s">
        <v>58</v>
      </c>
      <c r="B1304" t="s">
        <v>11541</v>
      </c>
      <c r="C1304" t="s">
        <v>11542</v>
      </c>
      <c r="D1304" t="s">
        <v>11543</v>
      </c>
      <c r="E1304" t="s">
        <v>11544</v>
      </c>
      <c r="F1304">
        <v>2009</v>
      </c>
      <c r="G1304" s="1">
        <v>41729</v>
      </c>
      <c r="H1304">
        <v>37</v>
      </c>
      <c r="I1304">
        <v>3</v>
      </c>
      <c r="J1304">
        <v>327</v>
      </c>
      <c r="K1304">
        <v>341</v>
      </c>
      <c r="L1304" t="s">
        <v>63</v>
      </c>
      <c r="M1304" t="s">
        <v>11545</v>
      </c>
      <c r="N1304" t="s">
        <v>11546</v>
      </c>
      <c r="O1304" t="s">
        <v>63</v>
      </c>
      <c r="Q1304" t="s">
        <v>63</v>
      </c>
      <c r="R1304" t="s">
        <v>63</v>
      </c>
      <c r="S1304" t="s">
        <v>63</v>
      </c>
      <c r="T1304" t="s">
        <v>63</v>
      </c>
      <c r="X1304" t="s">
        <v>63</v>
      </c>
      <c r="Y1304" t="s">
        <v>11547</v>
      </c>
      <c r="Z1304" t="s">
        <v>63</v>
      </c>
      <c r="AA1304" t="s">
        <v>11548</v>
      </c>
      <c r="AB1304">
        <v>20161028</v>
      </c>
      <c r="AC1304" t="s">
        <v>67</v>
      </c>
      <c r="AD1304" t="s">
        <v>63</v>
      </c>
      <c r="AE1304" t="s">
        <v>63</v>
      </c>
      <c r="AF1304" t="s">
        <v>63</v>
      </c>
      <c r="AG1304" t="s">
        <v>11549</v>
      </c>
      <c r="AH1304" t="s">
        <v>63</v>
      </c>
      <c r="AI1304" t="s">
        <v>63</v>
      </c>
      <c r="AJ1304" t="s">
        <v>63</v>
      </c>
      <c r="AK1304" t="s">
        <v>63</v>
      </c>
      <c r="AL1304" t="s">
        <v>63</v>
      </c>
      <c r="AM1304" t="s">
        <v>11550</v>
      </c>
      <c r="AN1304" t="s">
        <v>63</v>
      </c>
      <c r="AO1304" t="s">
        <v>63</v>
      </c>
      <c r="AP1304" t="s">
        <v>63</v>
      </c>
      <c r="AQ1304" t="s">
        <v>63</v>
      </c>
      <c r="AR1304" t="s">
        <v>63</v>
      </c>
      <c r="AS1304" t="s">
        <v>63</v>
      </c>
      <c r="AT1304" t="s">
        <v>63</v>
      </c>
      <c r="AU1304" t="s">
        <v>63</v>
      </c>
      <c r="AV1304" t="s">
        <v>63</v>
      </c>
      <c r="AW1304" t="s">
        <v>63</v>
      </c>
      <c r="AX1304" t="s">
        <v>63</v>
      </c>
      <c r="AY1304" t="s">
        <v>63</v>
      </c>
      <c r="AZ1304" t="s">
        <v>63</v>
      </c>
      <c r="BA1304" t="s">
        <v>63</v>
      </c>
      <c r="BB1304" t="s">
        <v>63</v>
      </c>
      <c r="BC1304" t="s">
        <v>63</v>
      </c>
      <c r="BD1304" t="s">
        <v>63</v>
      </c>
      <c r="BE1304" t="s">
        <v>63</v>
      </c>
      <c r="BF1304" t="s">
        <v>63</v>
      </c>
    </row>
    <row r="1305" spans="1:58">
      <c r="A1305" t="s">
        <v>58</v>
      </c>
      <c r="B1305" t="s">
        <v>11551</v>
      </c>
      <c r="C1305" t="s">
        <v>11552</v>
      </c>
      <c r="D1305" t="s">
        <v>389</v>
      </c>
      <c r="E1305" t="s">
        <v>63</v>
      </c>
      <c r="F1305">
        <v>2006</v>
      </c>
      <c r="G1305" t="s">
        <v>181</v>
      </c>
      <c r="H1305">
        <v>27</v>
      </c>
      <c r="I1305">
        <v>3</v>
      </c>
      <c r="J1305">
        <v>5</v>
      </c>
      <c r="K1305">
        <v>11</v>
      </c>
      <c r="L1305" t="s">
        <v>11553</v>
      </c>
      <c r="M1305" t="s">
        <v>11554</v>
      </c>
      <c r="N1305" t="s">
        <v>11555</v>
      </c>
      <c r="O1305" t="s">
        <v>63</v>
      </c>
      <c r="Q1305" t="s">
        <v>63</v>
      </c>
      <c r="R1305" t="s">
        <v>63</v>
      </c>
      <c r="S1305" t="s">
        <v>63</v>
      </c>
      <c r="T1305" t="s">
        <v>63</v>
      </c>
      <c r="X1305" t="s">
        <v>63</v>
      </c>
      <c r="Y1305" t="s">
        <v>392</v>
      </c>
      <c r="Z1305" t="s">
        <v>63</v>
      </c>
      <c r="AA1305" t="s">
        <v>11556</v>
      </c>
      <c r="AB1305">
        <v>17135175</v>
      </c>
      <c r="AC1305" t="s">
        <v>67</v>
      </c>
      <c r="AD1305" t="s">
        <v>63</v>
      </c>
      <c r="AE1305" t="s">
        <v>63</v>
      </c>
      <c r="AF1305" t="s">
        <v>63</v>
      </c>
      <c r="AG1305" t="s">
        <v>11557</v>
      </c>
      <c r="AH1305" t="s">
        <v>63</v>
      </c>
      <c r="AI1305" t="s">
        <v>63</v>
      </c>
      <c r="AJ1305" t="s">
        <v>63</v>
      </c>
      <c r="AK1305" t="s">
        <v>63</v>
      </c>
      <c r="AL1305" t="s">
        <v>63</v>
      </c>
      <c r="AM1305" t="s">
        <v>11558</v>
      </c>
      <c r="AN1305" t="s">
        <v>63</v>
      </c>
      <c r="AO1305" t="s">
        <v>63</v>
      </c>
      <c r="AP1305" t="s">
        <v>63</v>
      </c>
      <c r="AQ1305" t="s">
        <v>63</v>
      </c>
      <c r="AR1305" t="s">
        <v>63</v>
      </c>
      <c r="AS1305" t="s">
        <v>63</v>
      </c>
      <c r="AT1305" t="s">
        <v>63</v>
      </c>
      <c r="AU1305" t="s">
        <v>63</v>
      </c>
      <c r="AV1305" t="s">
        <v>63</v>
      </c>
      <c r="AW1305" t="s">
        <v>63</v>
      </c>
      <c r="AX1305" t="s">
        <v>63</v>
      </c>
      <c r="AY1305" t="s">
        <v>63</v>
      </c>
      <c r="AZ1305" t="s">
        <v>63</v>
      </c>
      <c r="BA1305" t="s">
        <v>63</v>
      </c>
      <c r="BB1305" t="s">
        <v>63</v>
      </c>
      <c r="BC1305" t="s">
        <v>63</v>
      </c>
      <c r="BD1305" t="s">
        <v>63</v>
      </c>
      <c r="BE1305" t="s">
        <v>63</v>
      </c>
      <c r="BF1305" t="s">
        <v>63</v>
      </c>
    </row>
    <row r="1306" spans="1:58">
      <c r="A1306" t="s">
        <v>58</v>
      </c>
      <c r="B1306" t="s">
        <v>11559</v>
      </c>
      <c r="C1306" t="s">
        <v>11560</v>
      </c>
      <c r="D1306" t="s">
        <v>1084</v>
      </c>
      <c r="E1306" t="s">
        <v>63</v>
      </c>
      <c r="F1306">
        <v>2012</v>
      </c>
      <c r="G1306" t="s">
        <v>63</v>
      </c>
      <c r="H1306">
        <v>60</v>
      </c>
      <c r="I1306">
        <v>3</v>
      </c>
      <c r="J1306">
        <v>263</v>
      </c>
      <c r="K1306">
        <v>265</v>
      </c>
      <c r="L1306" t="s">
        <v>11561</v>
      </c>
      <c r="M1306" t="s">
        <v>11562</v>
      </c>
      <c r="N1306" t="s">
        <v>11563</v>
      </c>
      <c r="O1306" t="s">
        <v>63</v>
      </c>
      <c r="Q1306" t="s">
        <v>63</v>
      </c>
      <c r="R1306" t="s">
        <v>63</v>
      </c>
      <c r="S1306" t="s">
        <v>63</v>
      </c>
      <c r="T1306" t="s">
        <v>63</v>
      </c>
      <c r="X1306" t="s">
        <v>63</v>
      </c>
      <c r="Y1306" t="s">
        <v>10140</v>
      </c>
      <c r="Z1306" t="s">
        <v>63</v>
      </c>
      <c r="AA1306" t="s">
        <v>11564</v>
      </c>
      <c r="AB1306">
        <v>22420705</v>
      </c>
      <c r="AC1306" t="s">
        <v>67</v>
      </c>
      <c r="AD1306" t="s">
        <v>63</v>
      </c>
      <c r="AE1306" t="s">
        <v>63</v>
      </c>
      <c r="AF1306" t="s">
        <v>63</v>
      </c>
      <c r="AG1306" t="s">
        <v>11565</v>
      </c>
      <c r="AH1306" t="s">
        <v>63</v>
      </c>
      <c r="AI1306" t="s">
        <v>11566</v>
      </c>
      <c r="AJ1306" t="s">
        <v>63</v>
      </c>
      <c r="AK1306" t="s">
        <v>63</v>
      </c>
      <c r="AL1306" t="s">
        <v>63</v>
      </c>
      <c r="AM1306" t="s">
        <v>11567</v>
      </c>
      <c r="AN1306" t="s">
        <v>63</v>
      </c>
      <c r="AO1306" t="s">
        <v>63</v>
      </c>
      <c r="AP1306" t="s">
        <v>63</v>
      </c>
      <c r="AQ1306" t="s">
        <v>63</v>
      </c>
      <c r="AR1306" t="s">
        <v>63</v>
      </c>
      <c r="AS1306" t="s">
        <v>63</v>
      </c>
      <c r="AT1306" t="s">
        <v>63</v>
      </c>
      <c r="AU1306" t="s">
        <v>63</v>
      </c>
      <c r="AV1306" t="s">
        <v>63</v>
      </c>
      <c r="AW1306" t="s">
        <v>63</v>
      </c>
      <c r="AX1306" t="s">
        <v>63</v>
      </c>
      <c r="AY1306" t="s">
        <v>63</v>
      </c>
      <c r="AZ1306" t="s">
        <v>63</v>
      </c>
      <c r="BA1306" t="s">
        <v>63</v>
      </c>
      <c r="BB1306" t="s">
        <v>63</v>
      </c>
      <c r="BC1306" t="s">
        <v>63</v>
      </c>
      <c r="BD1306" t="s">
        <v>63</v>
      </c>
      <c r="BE1306" t="s">
        <v>63</v>
      </c>
      <c r="BF1306" t="s">
        <v>63</v>
      </c>
    </row>
    <row r="1307" spans="1:58">
      <c r="A1307" t="s">
        <v>58</v>
      </c>
      <c r="B1307" t="s">
        <v>11568</v>
      </c>
      <c r="C1307" t="s">
        <v>11569</v>
      </c>
      <c r="D1307" t="s">
        <v>1417</v>
      </c>
      <c r="E1307" t="s">
        <v>63</v>
      </c>
      <c r="F1307">
        <v>1979</v>
      </c>
      <c r="G1307" t="s">
        <v>147</v>
      </c>
      <c r="H1307">
        <v>58</v>
      </c>
      <c r="I1307">
        <v>2</v>
      </c>
      <c r="J1307">
        <v>104</v>
      </c>
      <c r="K1307">
        <v>106</v>
      </c>
      <c r="L1307" t="s">
        <v>11570</v>
      </c>
      <c r="M1307" t="s">
        <v>11571</v>
      </c>
      <c r="N1307" t="s">
        <v>11572</v>
      </c>
      <c r="O1307" t="s">
        <v>63</v>
      </c>
      <c r="Q1307" t="s">
        <v>63</v>
      </c>
      <c r="R1307" t="s">
        <v>63</v>
      </c>
      <c r="S1307" t="s">
        <v>63</v>
      </c>
      <c r="T1307" t="s">
        <v>63</v>
      </c>
      <c r="X1307" t="s">
        <v>63</v>
      </c>
      <c r="Y1307" s="2">
        <v>400001</v>
      </c>
      <c r="Z1307" t="s">
        <v>63</v>
      </c>
      <c r="AA1307" t="s">
        <v>63</v>
      </c>
      <c r="AB1307">
        <v>571232</v>
      </c>
      <c r="AC1307" t="s">
        <v>67</v>
      </c>
      <c r="AD1307" t="s">
        <v>63</v>
      </c>
      <c r="AE1307" t="s">
        <v>63</v>
      </c>
      <c r="AF1307" t="s">
        <v>63</v>
      </c>
      <c r="AG1307" t="s">
        <v>11573</v>
      </c>
      <c r="AH1307" t="s">
        <v>63</v>
      </c>
      <c r="AI1307" t="s">
        <v>63</v>
      </c>
      <c r="AJ1307" t="s">
        <v>63</v>
      </c>
      <c r="AK1307" t="s">
        <v>63</v>
      </c>
      <c r="AL1307" t="s">
        <v>63</v>
      </c>
      <c r="AM1307" t="s">
        <v>11574</v>
      </c>
      <c r="AN1307" t="s">
        <v>63</v>
      </c>
      <c r="AO1307" t="s">
        <v>63</v>
      </c>
      <c r="AP1307" t="s">
        <v>63</v>
      </c>
      <c r="AQ1307" t="s">
        <v>63</v>
      </c>
      <c r="AR1307" t="s">
        <v>63</v>
      </c>
      <c r="AS1307" t="s">
        <v>63</v>
      </c>
      <c r="AT1307" t="s">
        <v>63</v>
      </c>
      <c r="AU1307" t="s">
        <v>63</v>
      </c>
      <c r="AV1307" t="s">
        <v>63</v>
      </c>
      <c r="AW1307" t="s">
        <v>63</v>
      </c>
      <c r="AX1307" t="s">
        <v>63</v>
      </c>
      <c r="AY1307" t="s">
        <v>63</v>
      </c>
      <c r="AZ1307" t="s">
        <v>63</v>
      </c>
      <c r="BA1307" t="s">
        <v>63</v>
      </c>
      <c r="BB1307" t="s">
        <v>63</v>
      </c>
      <c r="BC1307" t="s">
        <v>63</v>
      </c>
      <c r="BD1307" t="s">
        <v>63</v>
      </c>
      <c r="BE1307" t="s">
        <v>63</v>
      </c>
      <c r="BF1307" t="s">
        <v>63</v>
      </c>
    </row>
    <row r="1308" spans="1:58">
      <c r="A1308" t="s">
        <v>58</v>
      </c>
      <c r="B1308" t="s">
        <v>11575</v>
      </c>
      <c r="C1308" t="s">
        <v>11576</v>
      </c>
      <c r="D1308" t="s">
        <v>11577</v>
      </c>
      <c r="E1308" t="s">
        <v>11578</v>
      </c>
      <c r="F1308">
        <v>2014</v>
      </c>
      <c r="G1308" t="s">
        <v>63</v>
      </c>
      <c r="H1308">
        <v>40</v>
      </c>
      <c r="I1308">
        <v>2</v>
      </c>
      <c r="J1308">
        <v>77</v>
      </c>
      <c r="K1308">
        <v>91</v>
      </c>
      <c r="L1308" t="s">
        <v>11579</v>
      </c>
      <c r="M1308" t="s">
        <v>11580</v>
      </c>
      <c r="N1308" t="s">
        <v>11581</v>
      </c>
      <c r="O1308" t="s">
        <v>63</v>
      </c>
      <c r="Q1308" t="s">
        <v>63</v>
      </c>
      <c r="R1308" t="s">
        <v>63</v>
      </c>
      <c r="S1308" t="s">
        <v>63</v>
      </c>
      <c r="T1308" t="s">
        <v>63</v>
      </c>
      <c r="X1308" t="s">
        <v>63</v>
      </c>
      <c r="Y1308" t="s">
        <v>11582</v>
      </c>
      <c r="Z1308" t="s">
        <v>63</v>
      </c>
      <c r="AA1308" t="s">
        <v>11583</v>
      </c>
      <c r="AB1308">
        <v>23790248</v>
      </c>
      <c r="AC1308" t="s">
        <v>67</v>
      </c>
      <c r="AD1308" t="s">
        <v>63</v>
      </c>
      <c r="AE1308" t="s">
        <v>63</v>
      </c>
      <c r="AF1308" t="s">
        <v>63</v>
      </c>
      <c r="AG1308" t="s">
        <v>11584</v>
      </c>
      <c r="AH1308" t="s">
        <v>63</v>
      </c>
      <c r="AI1308" t="s">
        <v>11585</v>
      </c>
      <c r="AJ1308" t="s">
        <v>63</v>
      </c>
      <c r="AK1308" t="s">
        <v>63</v>
      </c>
      <c r="AL1308" t="s">
        <v>63</v>
      </c>
      <c r="AM1308" t="s">
        <v>11586</v>
      </c>
      <c r="AN1308" t="s">
        <v>63</v>
      </c>
      <c r="AO1308" t="s">
        <v>63</v>
      </c>
      <c r="AP1308" t="s">
        <v>63</v>
      </c>
      <c r="AQ1308" t="s">
        <v>63</v>
      </c>
      <c r="AR1308" t="s">
        <v>63</v>
      </c>
      <c r="AS1308" t="s">
        <v>63</v>
      </c>
      <c r="AT1308" t="s">
        <v>63</v>
      </c>
      <c r="AU1308" t="s">
        <v>63</v>
      </c>
      <c r="AV1308" t="s">
        <v>63</v>
      </c>
      <c r="AW1308" t="s">
        <v>63</v>
      </c>
      <c r="AX1308" t="s">
        <v>63</v>
      </c>
      <c r="AY1308" t="s">
        <v>63</v>
      </c>
      <c r="AZ1308" t="s">
        <v>63</v>
      </c>
      <c r="BA1308" t="s">
        <v>63</v>
      </c>
      <c r="BB1308" t="s">
        <v>63</v>
      </c>
      <c r="BC1308" t="s">
        <v>63</v>
      </c>
      <c r="BD1308" t="s">
        <v>63</v>
      </c>
      <c r="BE1308" t="s">
        <v>63</v>
      </c>
      <c r="BF1308" t="s">
        <v>63</v>
      </c>
    </row>
    <row r="1309" spans="1:58">
      <c r="A1309" t="s">
        <v>58</v>
      </c>
      <c r="B1309" t="s">
        <v>11587</v>
      </c>
      <c r="C1309" t="s">
        <v>11588</v>
      </c>
      <c r="D1309" t="s">
        <v>3827</v>
      </c>
      <c r="E1309" t="s">
        <v>63</v>
      </c>
      <c r="F1309">
        <v>1986</v>
      </c>
      <c r="G1309" t="s">
        <v>73</v>
      </c>
      <c r="H1309">
        <v>44</v>
      </c>
      <c r="I1309">
        <v>6</v>
      </c>
      <c r="J1309">
        <v>458</v>
      </c>
      <c r="K1309">
        <v>462</v>
      </c>
      <c r="L1309" t="s">
        <v>11589</v>
      </c>
      <c r="M1309" t="s">
        <v>11590</v>
      </c>
      <c r="N1309" t="s">
        <v>11591</v>
      </c>
      <c r="O1309" t="s">
        <v>63</v>
      </c>
      <c r="Q1309" t="s">
        <v>63</v>
      </c>
      <c r="R1309" t="s">
        <v>63</v>
      </c>
      <c r="S1309" t="s">
        <v>63</v>
      </c>
      <c r="T1309" t="s">
        <v>63</v>
      </c>
      <c r="X1309" t="s">
        <v>63</v>
      </c>
      <c r="Y1309" t="s">
        <v>11592</v>
      </c>
      <c r="Z1309" t="s">
        <v>63</v>
      </c>
      <c r="AA1309" t="s">
        <v>63</v>
      </c>
      <c r="AB1309">
        <v>3457928</v>
      </c>
      <c r="AC1309" t="s">
        <v>67</v>
      </c>
      <c r="AD1309" t="s">
        <v>63</v>
      </c>
      <c r="AE1309" t="s">
        <v>63</v>
      </c>
      <c r="AF1309" t="s">
        <v>63</v>
      </c>
      <c r="AG1309" t="s">
        <v>11593</v>
      </c>
      <c r="AH1309" t="s">
        <v>63</v>
      </c>
      <c r="AI1309" t="s">
        <v>63</v>
      </c>
      <c r="AJ1309" t="s">
        <v>63</v>
      </c>
      <c r="AK1309" t="s">
        <v>63</v>
      </c>
      <c r="AL1309" t="s">
        <v>63</v>
      </c>
      <c r="AM1309" t="s">
        <v>11594</v>
      </c>
      <c r="AN1309" t="s">
        <v>63</v>
      </c>
      <c r="AO1309" t="s">
        <v>63</v>
      </c>
      <c r="AP1309" t="s">
        <v>63</v>
      </c>
      <c r="AQ1309" t="s">
        <v>63</v>
      </c>
      <c r="AR1309" t="s">
        <v>63</v>
      </c>
      <c r="AS1309" t="s">
        <v>63</v>
      </c>
      <c r="AT1309" t="s">
        <v>63</v>
      </c>
      <c r="AU1309" t="s">
        <v>63</v>
      </c>
      <c r="AV1309" t="s">
        <v>63</v>
      </c>
      <c r="AW1309" t="s">
        <v>63</v>
      </c>
      <c r="AX1309" t="s">
        <v>63</v>
      </c>
      <c r="AY1309" t="s">
        <v>63</v>
      </c>
      <c r="AZ1309" t="s">
        <v>63</v>
      </c>
      <c r="BA1309" t="s">
        <v>63</v>
      </c>
      <c r="BB1309" t="s">
        <v>63</v>
      </c>
      <c r="BC1309" t="s">
        <v>63</v>
      </c>
      <c r="BD1309" t="s">
        <v>63</v>
      </c>
      <c r="BE1309" t="s">
        <v>63</v>
      </c>
      <c r="BF1309" t="s">
        <v>63</v>
      </c>
    </row>
    <row r="1310" spans="1:58">
      <c r="A1310" t="s">
        <v>58</v>
      </c>
      <c r="B1310" t="s">
        <v>11595</v>
      </c>
      <c r="C1310" t="s">
        <v>11596</v>
      </c>
      <c r="D1310" t="s">
        <v>6394</v>
      </c>
      <c r="E1310" t="s">
        <v>63</v>
      </c>
      <c r="F1310">
        <v>2015</v>
      </c>
      <c r="G1310" t="s">
        <v>623</v>
      </c>
      <c r="H1310">
        <v>13</v>
      </c>
      <c r="I1310">
        <v>1</v>
      </c>
      <c r="J1310">
        <v>23</v>
      </c>
      <c r="K1310">
        <v>26</v>
      </c>
      <c r="L1310" t="s">
        <v>11597</v>
      </c>
      <c r="M1310" t="s">
        <v>11598</v>
      </c>
      <c r="N1310" t="s">
        <v>11599</v>
      </c>
      <c r="O1310" t="s">
        <v>63</v>
      </c>
      <c r="Q1310" t="s">
        <v>63</v>
      </c>
      <c r="R1310" t="s">
        <v>63</v>
      </c>
      <c r="S1310" t="s">
        <v>63</v>
      </c>
      <c r="T1310" t="s">
        <v>63</v>
      </c>
      <c r="X1310" t="s">
        <v>63</v>
      </c>
      <c r="Y1310" t="s">
        <v>6398</v>
      </c>
      <c r="Z1310" t="s">
        <v>63</v>
      </c>
      <c r="AA1310" t="s">
        <v>11600</v>
      </c>
      <c r="AB1310">
        <v>25583888</v>
      </c>
      <c r="AC1310" t="s">
        <v>67</v>
      </c>
      <c r="AD1310" t="s">
        <v>63</v>
      </c>
      <c r="AE1310" t="s">
        <v>63</v>
      </c>
      <c r="AF1310" t="s">
        <v>63</v>
      </c>
      <c r="AG1310" t="s">
        <v>11601</v>
      </c>
      <c r="AH1310" t="s">
        <v>63</v>
      </c>
      <c r="AI1310" t="s">
        <v>11602</v>
      </c>
      <c r="AJ1310" t="s">
        <v>63</v>
      </c>
      <c r="AK1310" t="s">
        <v>63</v>
      </c>
      <c r="AL1310" t="s">
        <v>63</v>
      </c>
      <c r="AM1310" t="s">
        <v>11603</v>
      </c>
      <c r="AN1310" t="s">
        <v>63</v>
      </c>
      <c r="AO1310" t="s">
        <v>63</v>
      </c>
      <c r="AP1310" t="s">
        <v>63</v>
      </c>
      <c r="AQ1310" t="s">
        <v>63</v>
      </c>
      <c r="AR1310" t="s">
        <v>63</v>
      </c>
      <c r="AS1310" t="s">
        <v>63</v>
      </c>
      <c r="AT1310" t="s">
        <v>63</v>
      </c>
      <c r="AU1310" t="s">
        <v>63</v>
      </c>
      <c r="AV1310" t="s">
        <v>63</v>
      </c>
      <c r="AW1310" t="s">
        <v>63</v>
      </c>
      <c r="AX1310" t="s">
        <v>63</v>
      </c>
      <c r="AY1310" t="s">
        <v>63</v>
      </c>
      <c r="AZ1310" t="s">
        <v>63</v>
      </c>
      <c r="BA1310" t="s">
        <v>63</v>
      </c>
      <c r="BB1310" t="s">
        <v>63</v>
      </c>
      <c r="BC1310" t="s">
        <v>63</v>
      </c>
      <c r="BD1310" t="s">
        <v>63</v>
      </c>
      <c r="BE1310" t="s">
        <v>63</v>
      </c>
      <c r="BF1310" t="s">
        <v>63</v>
      </c>
    </row>
    <row r="1311" spans="1:58">
      <c r="A1311" t="s">
        <v>58</v>
      </c>
      <c r="B1311" t="s">
        <v>11604</v>
      </c>
      <c r="C1311" t="s">
        <v>11605</v>
      </c>
      <c r="D1311" t="s">
        <v>325</v>
      </c>
      <c r="E1311" t="s">
        <v>63</v>
      </c>
      <c r="F1311">
        <v>2017</v>
      </c>
      <c r="G1311" t="s">
        <v>326</v>
      </c>
      <c r="H1311">
        <v>41</v>
      </c>
      <c r="I1311">
        <v>1</v>
      </c>
      <c r="J1311">
        <v>145</v>
      </c>
      <c r="K1311" t="s">
        <v>63</v>
      </c>
      <c r="L1311" t="s">
        <v>11606</v>
      </c>
      <c r="M1311" t="s">
        <v>63</v>
      </c>
      <c r="N1311" t="s">
        <v>11607</v>
      </c>
      <c r="O1311" t="s">
        <v>63</v>
      </c>
      <c r="Q1311" t="s">
        <v>63</v>
      </c>
      <c r="R1311" t="s">
        <v>63</v>
      </c>
      <c r="S1311" t="s">
        <v>63</v>
      </c>
      <c r="T1311" t="s">
        <v>63</v>
      </c>
      <c r="X1311" t="s">
        <v>63</v>
      </c>
      <c r="Y1311" t="s">
        <v>330</v>
      </c>
      <c r="Z1311" t="s">
        <v>63</v>
      </c>
      <c r="AA1311" t="s">
        <v>11608</v>
      </c>
      <c r="AB1311">
        <v>27757928</v>
      </c>
      <c r="AC1311" t="s">
        <v>67</v>
      </c>
      <c r="AD1311" t="s">
        <v>63</v>
      </c>
      <c r="AE1311" t="s">
        <v>63</v>
      </c>
      <c r="AF1311" t="s">
        <v>63</v>
      </c>
      <c r="AG1311" t="s">
        <v>11609</v>
      </c>
      <c r="AH1311" t="s">
        <v>63</v>
      </c>
      <c r="AI1311" t="s">
        <v>11610</v>
      </c>
      <c r="AJ1311" t="s">
        <v>63</v>
      </c>
      <c r="AK1311" t="s">
        <v>63</v>
      </c>
      <c r="AL1311" t="s">
        <v>63</v>
      </c>
      <c r="AM1311" t="s">
        <v>11611</v>
      </c>
      <c r="AN1311" t="s">
        <v>63</v>
      </c>
      <c r="AO1311" t="s">
        <v>63</v>
      </c>
      <c r="AP1311" t="s">
        <v>63</v>
      </c>
      <c r="AQ1311" t="s">
        <v>63</v>
      </c>
      <c r="AR1311" t="s">
        <v>63</v>
      </c>
      <c r="AS1311" t="s">
        <v>63</v>
      </c>
      <c r="AT1311" t="s">
        <v>63</v>
      </c>
      <c r="AU1311" t="s">
        <v>63</v>
      </c>
      <c r="AV1311" t="s">
        <v>63</v>
      </c>
      <c r="AW1311" t="s">
        <v>63</v>
      </c>
      <c r="AX1311" t="s">
        <v>63</v>
      </c>
      <c r="AY1311" t="s">
        <v>63</v>
      </c>
      <c r="AZ1311" t="s">
        <v>63</v>
      </c>
      <c r="BA1311" t="s">
        <v>63</v>
      </c>
      <c r="BB1311" t="s">
        <v>63</v>
      </c>
      <c r="BC1311" t="s">
        <v>63</v>
      </c>
      <c r="BD1311" t="s">
        <v>63</v>
      </c>
      <c r="BE1311" t="s">
        <v>63</v>
      </c>
      <c r="BF1311" t="s">
        <v>63</v>
      </c>
    </row>
    <row r="1312" spans="1:58">
      <c r="A1312" t="s">
        <v>58</v>
      </c>
      <c r="B1312" t="s">
        <v>11612</v>
      </c>
      <c r="C1312" t="s">
        <v>11613</v>
      </c>
      <c r="D1312" t="s">
        <v>11614</v>
      </c>
      <c r="E1312" t="s">
        <v>63</v>
      </c>
      <c r="F1312">
        <v>2005</v>
      </c>
      <c r="G1312" t="s">
        <v>219</v>
      </c>
      <c r="H1312">
        <v>11</v>
      </c>
      <c r="I1312">
        <v>4</v>
      </c>
      <c r="J1312">
        <v>431</v>
      </c>
      <c r="K1312">
        <v>439</v>
      </c>
      <c r="L1312" t="s">
        <v>11615</v>
      </c>
      <c r="M1312" t="s">
        <v>11616</v>
      </c>
      <c r="N1312" t="s">
        <v>11617</v>
      </c>
      <c r="O1312" t="s">
        <v>63</v>
      </c>
      <c r="Q1312" t="s">
        <v>63</v>
      </c>
      <c r="R1312" t="s">
        <v>63</v>
      </c>
      <c r="S1312" t="s">
        <v>63</v>
      </c>
      <c r="T1312" t="s">
        <v>63</v>
      </c>
      <c r="X1312" t="s">
        <v>63</v>
      </c>
      <c r="Y1312" t="s">
        <v>11618</v>
      </c>
      <c r="Z1312" t="s">
        <v>63</v>
      </c>
      <c r="AA1312" t="s">
        <v>11619</v>
      </c>
      <c r="AB1312">
        <v>16381164</v>
      </c>
      <c r="AC1312" t="s">
        <v>67</v>
      </c>
      <c r="AD1312" t="s">
        <v>63</v>
      </c>
      <c r="AE1312" t="s">
        <v>63</v>
      </c>
      <c r="AF1312" t="s">
        <v>63</v>
      </c>
      <c r="AG1312" t="s">
        <v>11620</v>
      </c>
      <c r="AH1312" t="s">
        <v>63</v>
      </c>
      <c r="AI1312" t="s">
        <v>63</v>
      </c>
      <c r="AJ1312" t="s">
        <v>63</v>
      </c>
      <c r="AK1312" t="s">
        <v>63</v>
      </c>
      <c r="AL1312" t="s">
        <v>63</v>
      </c>
      <c r="AM1312" t="s">
        <v>11621</v>
      </c>
      <c r="AN1312" t="s">
        <v>63</v>
      </c>
      <c r="AO1312" t="s">
        <v>63</v>
      </c>
      <c r="AP1312" t="s">
        <v>63</v>
      </c>
      <c r="AQ1312" t="s">
        <v>63</v>
      </c>
      <c r="AR1312" t="s">
        <v>63</v>
      </c>
      <c r="AS1312" t="s">
        <v>63</v>
      </c>
      <c r="AT1312" t="s">
        <v>63</v>
      </c>
      <c r="AU1312" t="s">
        <v>63</v>
      </c>
      <c r="AV1312" t="s">
        <v>63</v>
      </c>
      <c r="AW1312" t="s">
        <v>63</v>
      </c>
      <c r="AX1312" t="s">
        <v>63</v>
      </c>
      <c r="AY1312" t="s">
        <v>63</v>
      </c>
      <c r="AZ1312" t="s">
        <v>63</v>
      </c>
      <c r="BA1312" t="s">
        <v>63</v>
      </c>
      <c r="BB1312" t="s">
        <v>63</v>
      </c>
      <c r="BC1312" t="s">
        <v>63</v>
      </c>
      <c r="BD1312" t="s">
        <v>63</v>
      </c>
      <c r="BE1312" t="s">
        <v>63</v>
      </c>
      <c r="BF1312" t="s">
        <v>63</v>
      </c>
    </row>
    <row r="1313" spans="1:58">
      <c r="A1313" t="s">
        <v>58</v>
      </c>
      <c r="B1313" t="s">
        <v>11622</v>
      </c>
      <c r="C1313" t="s">
        <v>11623</v>
      </c>
      <c r="D1313" t="s">
        <v>4567</v>
      </c>
      <c r="E1313" t="s">
        <v>4568</v>
      </c>
      <c r="F1313">
        <v>2001</v>
      </c>
      <c r="G1313" t="s">
        <v>181</v>
      </c>
      <c r="H1313">
        <v>33</v>
      </c>
      <c r="I1313">
        <v>3</v>
      </c>
      <c r="J1313">
        <v>170</v>
      </c>
      <c r="K1313">
        <v>174</v>
      </c>
      <c r="L1313" t="s">
        <v>11624</v>
      </c>
      <c r="M1313" t="s">
        <v>11625</v>
      </c>
      <c r="N1313" t="s">
        <v>11626</v>
      </c>
      <c r="O1313" t="s">
        <v>63</v>
      </c>
      <c r="Q1313" t="s">
        <v>63</v>
      </c>
      <c r="R1313" t="s">
        <v>63</v>
      </c>
      <c r="S1313" t="s">
        <v>63</v>
      </c>
      <c r="T1313" t="s">
        <v>63</v>
      </c>
      <c r="X1313" t="s">
        <v>63</v>
      </c>
      <c r="Y1313" t="s">
        <v>5761</v>
      </c>
      <c r="Z1313" t="s">
        <v>63</v>
      </c>
      <c r="AA1313" t="s">
        <v>11627</v>
      </c>
      <c r="AB1313">
        <v>11522157</v>
      </c>
      <c r="AC1313" t="s">
        <v>67</v>
      </c>
      <c r="AD1313" t="s">
        <v>63</v>
      </c>
      <c r="AE1313" t="s">
        <v>63</v>
      </c>
      <c r="AF1313" t="s">
        <v>63</v>
      </c>
      <c r="AG1313" t="s">
        <v>11628</v>
      </c>
      <c r="AH1313" t="s">
        <v>63</v>
      </c>
      <c r="AI1313" t="s">
        <v>63</v>
      </c>
      <c r="AJ1313" t="s">
        <v>63</v>
      </c>
      <c r="AK1313" t="s">
        <v>63</v>
      </c>
      <c r="AL1313" t="s">
        <v>63</v>
      </c>
      <c r="AM1313" t="s">
        <v>11629</v>
      </c>
      <c r="AN1313" t="s">
        <v>63</v>
      </c>
      <c r="AO1313" t="s">
        <v>63</v>
      </c>
      <c r="AP1313" t="s">
        <v>63</v>
      </c>
      <c r="AQ1313" t="s">
        <v>63</v>
      </c>
      <c r="AR1313" t="s">
        <v>63</v>
      </c>
      <c r="AS1313" t="s">
        <v>63</v>
      </c>
      <c r="AT1313" t="s">
        <v>63</v>
      </c>
      <c r="AU1313" t="s">
        <v>63</v>
      </c>
      <c r="AV1313" t="s">
        <v>63</v>
      </c>
      <c r="AW1313" t="s">
        <v>63</v>
      </c>
      <c r="AX1313" t="s">
        <v>63</v>
      </c>
      <c r="AY1313" t="s">
        <v>63</v>
      </c>
      <c r="AZ1313" t="s">
        <v>63</v>
      </c>
      <c r="BA1313" t="s">
        <v>63</v>
      </c>
      <c r="BB1313" t="s">
        <v>63</v>
      </c>
      <c r="BC1313" t="s">
        <v>63</v>
      </c>
      <c r="BD1313" t="s">
        <v>63</v>
      </c>
      <c r="BE1313" t="s">
        <v>63</v>
      </c>
      <c r="BF1313" t="s">
        <v>63</v>
      </c>
    </row>
    <row r="1314" spans="1:58">
      <c r="A1314" t="s">
        <v>58</v>
      </c>
      <c r="B1314" t="s">
        <v>11630</v>
      </c>
      <c r="C1314" t="s">
        <v>11631</v>
      </c>
      <c r="D1314" t="s">
        <v>1519</v>
      </c>
      <c r="E1314" t="s">
        <v>63</v>
      </c>
      <c r="F1314">
        <v>2009</v>
      </c>
      <c r="G1314" s="1">
        <v>41750</v>
      </c>
      <c r="H1314">
        <v>5</v>
      </c>
      <c r="I1314">
        <v>200</v>
      </c>
      <c r="J1314">
        <v>916</v>
      </c>
      <c r="K1314">
        <v>920</v>
      </c>
      <c r="L1314" t="s">
        <v>11632</v>
      </c>
      <c r="M1314" t="s">
        <v>11633</v>
      </c>
      <c r="N1314" t="s">
        <v>11634</v>
      </c>
      <c r="O1314" t="s">
        <v>63</v>
      </c>
      <c r="Q1314" t="s">
        <v>63</v>
      </c>
      <c r="R1314" t="s">
        <v>63</v>
      </c>
      <c r="S1314" t="s">
        <v>63</v>
      </c>
      <c r="T1314" t="s">
        <v>63</v>
      </c>
      <c r="X1314" t="s">
        <v>63</v>
      </c>
      <c r="Y1314" t="s">
        <v>1522</v>
      </c>
      <c r="Z1314" t="s">
        <v>63</v>
      </c>
      <c r="AA1314" t="s">
        <v>11635</v>
      </c>
      <c r="AB1314">
        <v>19438094</v>
      </c>
      <c r="AC1314" t="s">
        <v>1371</v>
      </c>
      <c r="AD1314" t="s">
        <v>63</v>
      </c>
      <c r="AE1314" t="s">
        <v>63</v>
      </c>
      <c r="AF1314" t="s">
        <v>63</v>
      </c>
      <c r="AG1314" t="s">
        <v>11636</v>
      </c>
      <c r="AH1314" t="s">
        <v>63</v>
      </c>
      <c r="AI1314" t="s">
        <v>63</v>
      </c>
      <c r="AJ1314" t="s">
        <v>63</v>
      </c>
      <c r="AK1314" t="s">
        <v>63</v>
      </c>
      <c r="AL1314" t="s">
        <v>63</v>
      </c>
      <c r="AM1314" t="s">
        <v>11637</v>
      </c>
      <c r="AN1314" t="s">
        <v>63</v>
      </c>
      <c r="AO1314" t="s">
        <v>63</v>
      </c>
      <c r="AP1314" t="s">
        <v>63</v>
      </c>
      <c r="AQ1314" t="s">
        <v>63</v>
      </c>
      <c r="AR1314" t="s">
        <v>63</v>
      </c>
      <c r="AS1314" t="s">
        <v>63</v>
      </c>
      <c r="AT1314" t="s">
        <v>63</v>
      </c>
      <c r="AU1314" t="s">
        <v>63</v>
      </c>
      <c r="AV1314" t="s">
        <v>63</v>
      </c>
      <c r="AW1314" t="s">
        <v>63</v>
      </c>
      <c r="AX1314" t="s">
        <v>63</v>
      </c>
      <c r="AY1314" t="s">
        <v>63</v>
      </c>
      <c r="AZ1314" t="s">
        <v>63</v>
      </c>
      <c r="BA1314" t="s">
        <v>63</v>
      </c>
      <c r="BB1314" t="s">
        <v>63</v>
      </c>
      <c r="BC1314" t="s">
        <v>63</v>
      </c>
      <c r="BD1314" t="s">
        <v>63</v>
      </c>
      <c r="BE1314" t="s">
        <v>63</v>
      </c>
      <c r="BF1314" t="s">
        <v>63</v>
      </c>
    </row>
    <row r="1315" spans="1:58">
      <c r="A1315" t="s">
        <v>58</v>
      </c>
      <c r="B1315" t="s">
        <v>11638</v>
      </c>
      <c r="C1315" t="s">
        <v>11639</v>
      </c>
      <c r="D1315" t="s">
        <v>4245</v>
      </c>
      <c r="E1315" t="s">
        <v>4246</v>
      </c>
      <c r="F1315">
        <v>2005</v>
      </c>
      <c r="G1315" s="1">
        <v>41644</v>
      </c>
      <c r="H1315">
        <v>125</v>
      </c>
      <c r="I1315">
        <v>1</v>
      </c>
      <c r="J1315">
        <v>54</v>
      </c>
      <c r="K1315">
        <v>55</v>
      </c>
      <c r="L1315" t="s">
        <v>11640</v>
      </c>
      <c r="M1315" t="s">
        <v>63</v>
      </c>
      <c r="N1315" t="s">
        <v>11641</v>
      </c>
      <c r="O1315" t="s">
        <v>63</v>
      </c>
      <c r="Q1315" t="s">
        <v>63</v>
      </c>
      <c r="R1315" t="s">
        <v>63</v>
      </c>
      <c r="S1315" t="s">
        <v>63</v>
      </c>
      <c r="T1315" t="s">
        <v>63</v>
      </c>
      <c r="X1315" t="s">
        <v>63</v>
      </c>
      <c r="Y1315" t="s">
        <v>11642</v>
      </c>
      <c r="Z1315" t="s">
        <v>63</v>
      </c>
      <c r="AA1315" t="s">
        <v>11643</v>
      </c>
      <c r="AB1315">
        <v>15643467</v>
      </c>
      <c r="AC1315" t="s">
        <v>4252</v>
      </c>
      <c r="AD1315" t="s">
        <v>63</v>
      </c>
      <c r="AE1315" t="s">
        <v>63</v>
      </c>
      <c r="AF1315" t="s">
        <v>63</v>
      </c>
      <c r="AG1315" t="s">
        <v>11644</v>
      </c>
      <c r="AH1315" t="s">
        <v>63</v>
      </c>
      <c r="AI1315" t="s">
        <v>63</v>
      </c>
      <c r="AJ1315" t="s">
        <v>63</v>
      </c>
      <c r="AK1315" t="s">
        <v>63</v>
      </c>
      <c r="AL1315" t="s">
        <v>63</v>
      </c>
      <c r="AM1315" t="s">
        <v>11645</v>
      </c>
      <c r="AN1315" t="s">
        <v>63</v>
      </c>
      <c r="AO1315" t="s">
        <v>63</v>
      </c>
      <c r="AP1315" t="s">
        <v>63</v>
      </c>
      <c r="AQ1315" t="s">
        <v>63</v>
      </c>
      <c r="AR1315" t="s">
        <v>63</v>
      </c>
      <c r="AS1315" t="s">
        <v>63</v>
      </c>
      <c r="AT1315" t="s">
        <v>63</v>
      </c>
      <c r="AU1315" t="s">
        <v>63</v>
      </c>
      <c r="AV1315" t="s">
        <v>63</v>
      </c>
      <c r="AW1315" t="s">
        <v>63</v>
      </c>
      <c r="AX1315" t="s">
        <v>63</v>
      </c>
      <c r="AY1315" t="s">
        <v>63</v>
      </c>
      <c r="AZ1315" t="s">
        <v>63</v>
      </c>
      <c r="BA1315" t="s">
        <v>63</v>
      </c>
      <c r="BB1315" t="s">
        <v>63</v>
      </c>
      <c r="BC1315" t="s">
        <v>63</v>
      </c>
      <c r="BD1315" t="s">
        <v>63</v>
      </c>
      <c r="BE1315" t="s">
        <v>63</v>
      </c>
      <c r="BF1315" t="s">
        <v>63</v>
      </c>
    </row>
    <row r="1316" spans="1:58">
      <c r="A1316" t="s">
        <v>58</v>
      </c>
      <c r="B1316" t="s">
        <v>11646</v>
      </c>
      <c r="C1316" t="s">
        <v>11647</v>
      </c>
      <c r="D1316" t="s">
        <v>11648</v>
      </c>
      <c r="E1316" t="s">
        <v>11649</v>
      </c>
      <c r="F1316">
        <v>2003</v>
      </c>
      <c r="G1316" t="s">
        <v>11650</v>
      </c>
      <c r="H1316">
        <v>90</v>
      </c>
      <c r="I1316" s="1">
        <v>41859</v>
      </c>
      <c r="J1316">
        <v>795</v>
      </c>
      <c r="K1316">
        <v>806</v>
      </c>
      <c r="L1316" t="s">
        <v>11651</v>
      </c>
      <c r="M1316" t="s">
        <v>11652</v>
      </c>
      <c r="N1316" t="s">
        <v>11653</v>
      </c>
      <c r="O1316" t="s">
        <v>63</v>
      </c>
      <c r="Q1316" t="s">
        <v>63</v>
      </c>
      <c r="R1316" t="s">
        <v>63</v>
      </c>
      <c r="S1316" t="s">
        <v>63</v>
      </c>
      <c r="T1316" t="s">
        <v>63</v>
      </c>
      <c r="X1316" t="s">
        <v>63</v>
      </c>
      <c r="Y1316" s="2">
        <v>966979</v>
      </c>
      <c r="Z1316" t="s">
        <v>63</v>
      </c>
      <c r="AA1316" t="s">
        <v>11654</v>
      </c>
      <c r="AB1316">
        <v>14609771</v>
      </c>
      <c r="AC1316" t="s">
        <v>1371</v>
      </c>
      <c r="AD1316" t="s">
        <v>63</v>
      </c>
      <c r="AE1316" t="s">
        <v>63</v>
      </c>
      <c r="AF1316" t="s">
        <v>63</v>
      </c>
      <c r="AG1316" t="s">
        <v>11655</v>
      </c>
      <c r="AH1316" t="s">
        <v>63</v>
      </c>
      <c r="AI1316" t="s">
        <v>63</v>
      </c>
      <c r="AJ1316" t="s">
        <v>63</v>
      </c>
      <c r="AK1316" t="s">
        <v>63</v>
      </c>
      <c r="AL1316" t="s">
        <v>63</v>
      </c>
      <c r="AM1316" t="s">
        <v>11656</v>
      </c>
      <c r="AN1316" t="s">
        <v>63</v>
      </c>
      <c r="AO1316" t="s">
        <v>63</v>
      </c>
      <c r="AP1316" t="s">
        <v>63</v>
      </c>
      <c r="AQ1316" t="s">
        <v>63</v>
      </c>
      <c r="AR1316" t="s">
        <v>63</v>
      </c>
      <c r="AS1316" t="s">
        <v>63</v>
      </c>
      <c r="AT1316" t="s">
        <v>63</v>
      </c>
      <c r="AU1316" t="s">
        <v>63</v>
      </c>
      <c r="AV1316" t="s">
        <v>63</v>
      </c>
      <c r="AW1316" t="s">
        <v>63</v>
      </c>
      <c r="AX1316" t="s">
        <v>63</v>
      </c>
      <c r="AY1316" t="s">
        <v>63</v>
      </c>
      <c r="AZ1316" t="s">
        <v>63</v>
      </c>
      <c r="BA1316" t="s">
        <v>63</v>
      </c>
      <c r="BB1316" t="s">
        <v>63</v>
      </c>
      <c r="BC1316" t="s">
        <v>63</v>
      </c>
      <c r="BD1316" t="s">
        <v>63</v>
      </c>
      <c r="BE1316" t="s">
        <v>63</v>
      </c>
      <c r="BF1316" t="s">
        <v>63</v>
      </c>
    </row>
    <row r="1317" spans="1:58">
      <c r="A1317" t="s">
        <v>58</v>
      </c>
      <c r="B1317" t="s">
        <v>11657</v>
      </c>
      <c r="C1317" t="s">
        <v>11658</v>
      </c>
      <c r="D1317" t="s">
        <v>90</v>
      </c>
      <c r="E1317" t="s">
        <v>63</v>
      </c>
      <c r="F1317">
        <v>2000</v>
      </c>
      <c r="G1317" t="s">
        <v>63</v>
      </c>
      <c r="H1317">
        <v>19</v>
      </c>
      <c r="I1317">
        <v>2</v>
      </c>
      <c r="J1317">
        <v>43</v>
      </c>
      <c r="K1317">
        <v>58</v>
      </c>
      <c r="L1317" t="s">
        <v>11659</v>
      </c>
      <c r="M1317" t="s">
        <v>11660</v>
      </c>
      <c r="N1317" t="s">
        <v>11661</v>
      </c>
      <c r="O1317" t="s">
        <v>63</v>
      </c>
      <c r="Q1317" t="s">
        <v>63</v>
      </c>
      <c r="R1317" t="s">
        <v>63</v>
      </c>
      <c r="S1317" t="s">
        <v>63</v>
      </c>
      <c r="T1317" t="s">
        <v>63</v>
      </c>
      <c r="X1317" t="s">
        <v>63</v>
      </c>
      <c r="Y1317" t="s">
        <v>93</v>
      </c>
      <c r="Z1317" t="s">
        <v>63</v>
      </c>
      <c r="AA1317" t="s">
        <v>11662</v>
      </c>
      <c r="AB1317">
        <v>10809519</v>
      </c>
      <c r="AC1317" t="s">
        <v>67</v>
      </c>
      <c r="AD1317" t="s">
        <v>63</v>
      </c>
      <c r="AE1317" t="s">
        <v>63</v>
      </c>
      <c r="AF1317" t="s">
        <v>63</v>
      </c>
      <c r="AG1317" t="s">
        <v>11663</v>
      </c>
      <c r="AH1317" t="s">
        <v>63</v>
      </c>
      <c r="AI1317" t="s">
        <v>63</v>
      </c>
      <c r="AJ1317" t="s">
        <v>63</v>
      </c>
      <c r="AK1317" t="s">
        <v>63</v>
      </c>
      <c r="AL1317" t="s">
        <v>63</v>
      </c>
      <c r="AM1317" t="s">
        <v>11664</v>
      </c>
      <c r="AN1317" t="s">
        <v>63</v>
      </c>
      <c r="AO1317" t="s">
        <v>63</v>
      </c>
      <c r="AP1317" t="s">
        <v>63</v>
      </c>
      <c r="AQ1317" t="s">
        <v>63</v>
      </c>
      <c r="AR1317" t="s">
        <v>63</v>
      </c>
      <c r="AS1317" t="s">
        <v>63</v>
      </c>
      <c r="AT1317" t="s">
        <v>63</v>
      </c>
      <c r="AU1317" t="s">
        <v>63</v>
      </c>
      <c r="AV1317" t="s">
        <v>63</v>
      </c>
      <c r="AW1317" t="s">
        <v>63</v>
      </c>
      <c r="AX1317" t="s">
        <v>63</v>
      </c>
      <c r="AY1317" t="s">
        <v>63</v>
      </c>
      <c r="AZ1317" t="s">
        <v>63</v>
      </c>
      <c r="BA1317" t="s">
        <v>63</v>
      </c>
      <c r="BB1317" t="s">
        <v>63</v>
      </c>
      <c r="BC1317" t="s">
        <v>63</v>
      </c>
      <c r="BD1317" t="s">
        <v>63</v>
      </c>
      <c r="BE1317" t="s">
        <v>63</v>
      </c>
      <c r="BF1317" t="s">
        <v>63</v>
      </c>
    </row>
    <row r="1318" spans="1:58">
      <c r="A1318" t="s">
        <v>58</v>
      </c>
      <c r="B1318" t="s">
        <v>11665</v>
      </c>
      <c r="C1318" t="s">
        <v>11666</v>
      </c>
      <c r="D1318" t="s">
        <v>1055</v>
      </c>
      <c r="E1318" t="s">
        <v>1056</v>
      </c>
      <c r="F1318">
        <v>1988</v>
      </c>
      <c r="G1318" t="s">
        <v>219</v>
      </c>
      <c r="H1318">
        <v>22</v>
      </c>
      <c r="I1318">
        <v>6</v>
      </c>
      <c r="J1318">
        <v>539</v>
      </c>
      <c r="K1318">
        <v>542</v>
      </c>
      <c r="L1318" t="s">
        <v>11667</v>
      </c>
      <c r="M1318" t="s">
        <v>11668</v>
      </c>
      <c r="N1318" t="s">
        <v>11669</v>
      </c>
      <c r="O1318" t="s">
        <v>63</v>
      </c>
      <c r="Q1318" t="s">
        <v>63</v>
      </c>
      <c r="R1318" t="s">
        <v>63</v>
      </c>
      <c r="S1318" t="s">
        <v>63</v>
      </c>
      <c r="T1318" t="s">
        <v>63</v>
      </c>
      <c r="X1318" t="s">
        <v>63</v>
      </c>
      <c r="Y1318" t="s">
        <v>1059</v>
      </c>
      <c r="Z1318" t="s">
        <v>63</v>
      </c>
      <c r="AA1318" t="s">
        <v>11670</v>
      </c>
      <c r="AB1318">
        <v>3226349</v>
      </c>
      <c r="AC1318" t="s">
        <v>67</v>
      </c>
      <c r="AD1318" t="s">
        <v>63</v>
      </c>
      <c r="AE1318" t="s">
        <v>63</v>
      </c>
      <c r="AF1318" t="s">
        <v>63</v>
      </c>
      <c r="AG1318" t="s">
        <v>11671</v>
      </c>
      <c r="AH1318" t="s">
        <v>63</v>
      </c>
      <c r="AI1318" t="s">
        <v>63</v>
      </c>
      <c r="AJ1318" t="s">
        <v>63</v>
      </c>
      <c r="AK1318" t="s">
        <v>63</v>
      </c>
      <c r="AL1318" t="s">
        <v>63</v>
      </c>
      <c r="AM1318" t="s">
        <v>11672</v>
      </c>
      <c r="AN1318" t="s">
        <v>63</v>
      </c>
      <c r="AO1318" t="s">
        <v>63</v>
      </c>
      <c r="AP1318" t="s">
        <v>63</v>
      </c>
      <c r="AQ1318" t="s">
        <v>63</v>
      </c>
      <c r="AR1318" t="s">
        <v>63</v>
      </c>
      <c r="AS1318" t="s">
        <v>63</v>
      </c>
      <c r="AT1318" t="s">
        <v>63</v>
      </c>
      <c r="AU1318" t="s">
        <v>63</v>
      </c>
      <c r="AV1318" t="s">
        <v>63</v>
      </c>
      <c r="AW1318" t="s">
        <v>63</v>
      </c>
      <c r="AX1318" t="s">
        <v>63</v>
      </c>
      <c r="AY1318" t="s">
        <v>63</v>
      </c>
      <c r="AZ1318" t="s">
        <v>63</v>
      </c>
      <c r="BA1318" t="s">
        <v>63</v>
      </c>
      <c r="BB1318" t="s">
        <v>63</v>
      </c>
      <c r="BC1318" t="s">
        <v>63</v>
      </c>
      <c r="BD1318" t="s">
        <v>63</v>
      </c>
      <c r="BE1318" t="s">
        <v>63</v>
      </c>
      <c r="BF1318" t="s">
        <v>63</v>
      </c>
    </row>
    <row r="1319" spans="1:58">
      <c r="A1319" t="s">
        <v>58</v>
      </c>
      <c r="B1319" t="s">
        <v>11673</v>
      </c>
      <c r="C1319" t="s">
        <v>11674</v>
      </c>
      <c r="D1319" t="s">
        <v>1184</v>
      </c>
      <c r="E1319" t="s">
        <v>1185</v>
      </c>
      <c r="F1319">
        <v>1988</v>
      </c>
      <c r="G1319" t="s">
        <v>138</v>
      </c>
      <c r="H1319">
        <v>63</v>
      </c>
      <c r="I1319">
        <v>10</v>
      </c>
      <c r="J1319">
        <v>759</v>
      </c>
      <c r="K1319">
        <v>761</v>
      </c>
      <c r="L1319" t="s">
        <v>11675</v>
      </c>
      <c r="M1319" t="s">
        <v>63</v>
      </c>
      <c r="N1319" t="s">
        <v>11676</v>
      </c>
      <c r="O1319" t="s">
        <v>63</v>
      </c>
      <c r="Q1319" t="s">
        <v>63</v>
      </c>
      <c r="R1319" t="s">
        <v>63</v>
      </c>
      <c r="S1319" t="s">
        <v>63</v>
      </c>
      <c r="T1319" t="s">
        <v>63</v>
      </c>
      <c r="X1319" t="s">
        <v>63</v>
      </c>
      <c r="Y1319" t="s">
        <v>1188</v>
      </c>
      <c r="Z1319" t="s">
        <v>63</v>
      </c>
      <c r="AA1319" t="s">
        <v>11677</v>
      </c>
      <c r="AB1319">
        <v>3172155</v>
      </c>
      <c r="AC1319" t="s">
        <v>67</v>
      </c>
      <c r="AD1319" t="s">
        <v>63</v>
      </c>
      <c r="AE1319" t="s">
        <v>63</v>
      </c>
      <c r="AF1319" t="s">
        <v>63</v>
      </c>
      <c r="AG1319" t="s">
        <v>11678</v>
      </c>
      <c r="AH1319" t="s">
        <v>63</v>
      </c>
      <c r="AI1319" t="s">
        <v>63</v>
      </c>
      <c r="AJ1319" t="s">
        <v>63</v>
      </c>
      <c r="AK1319" t="s">
        <v>63</v>
      </c>
      <c r="AL1319" t="s">
        <v>63</v>
      </c>
      <c r="AM1319" t="s">
        <v>11679</v>
      </c>
      <c r="AN1319" t="s">
        <v>63</v>
      </c>
      <c r="AO1319" t="s">
        <v>63</v>
      </c>
      <c r="AP1319" t="s">
        <v>63</v>
      </c>
      <c r="AQ1319" t="s">
        <v>63</v>
      </c>
      <c r="AR1319" t="s">
        <v>63</v>
      </c>
      <c r="AS1319" t="s">
        <v>63</v>
      </c>
      <c r="AT1319" t="s">
        <v>63</v>
      </c>
      <c r="AU1319" t="s">
        <v>63</v>
      </c>
      <c r="AV1319" t="s">
        <v>63</v>
      </c>
      <c r="AW1319" t="s">
        <v>63</v>
      </c>
      <c r="AX1319" t="s">
        <v>63</v>
      </c>
      <c r="AY1319" t="s">
        <v>63</v>
      </c>
      <c r="AZ1319" t="s">
        <v>63</v>
      </c>
      <c r="BA1319" t="s">
        <v>63</v>
      </c>
      <c r="BB1319" t="s">
        <v>63</v>
      </c>
      <c r="BC1319" t="s">
        <v>63</v>
      </c>
      <c r="BD1319" t="s">
        <v>63</v>
      </c>
      <c r="BE1319" t="s">
        <v>63</v>
      </c>
      <c r="BF1319" t="s">
        <v>63</v>
      </c>
    </row>
    <row r="1320" spans="1:58">
      <c r="A1320" t="s">
        <v>58</v>
      </c>
      <c r="B1320" t="s">
        <v>11680</v>
      </c>
      <c r="C1320" t="s">
        <v>11681</v>
      </c>
      <c r="D1320" t="s">
        <v>9687</v>
      </c>
      <c r="E1320" t="s">
        <v>63</v>
      </c>
      <c r="F1320">
        <v>2017</v>
      </c>
      <c r="G1320" t="s">
        <v>63</v>
      </c>
      <c r="H1320">
        <v>2017</v>
      </c>
      <c r="I1320" t="s">
        <v>63</v>
      </c>
      <c r="J1320">
        <v>1365910</v>
      </c>
      <c r="K1320" t="s">
        <v>63</v>
      </c>
      <c r="L1320" t="s">
        <v>11682</v>
      </c>
      <c r="M1320" t="s">
        <v>11683</v>
      </c>
      <c r="N1320" t="s">
        <v>11684</v>
      </c>
      <c r="O1320" t="s">
        <v>63</v>
      </c>
      <c r="Q1320" t="s">
        <v>63</v>
      </c>
      <c r="R1320" t="s">
        <v>63</v>
      </c>
      <c r="S1320" t="s">
        <v>63</v>
      </c>
      <c r="T1320" t="s">
        <v>63</v>
      </c>
      <c r="X1320" t="s">
        <v>63</v>
      </c>
      <c r="Y1320" t="s">
        <v>11685</v>
      </c>
      <c r="Z1320" t="s">
        <v>63</v>
      </c>
      <c r="AA1320" t="s">
        <v>11686</v>
      </c>
      <c r="AB1320">
        <v>28831278</v>
      </c>
      <c r="AC1320" t="s">
        <v>67</v>
      </c>
      <c r="AD1320" t="s">
        <v>63</v>
      </c>
      <c r="AE1320" t="s">
        <v>63</v>
      </c>
      <c r="AF1320" t="s">
        <v>63</v>
      </c>
      <c r="AG1320" t="s">
        <v>11687</v>
      </c>
      <c r="AH1320" t="s">
        <v>63</v>
      </c>
      <c r="AI1320" t="s">
        <v>11688</v>
      </c>
      <c r="AJ1320" t="s">
        <v>63</v>
      </c>
      <c r="AK1320" t="s">
        <v>63</v>
      </c>
      <c r="AL1320" t="s">
        <v>63</v>
      </c>
      <c r="AM1320" t="s">
        <v>11689</v>
      </c>
      <c r="AN1320" t="s">
        <v>63</v>
      </c>
      <c r="AO1320" t="s">
        <v>63</v>
      </c>
      <c r="AP1320" t="s">
        <v>63</v>
      </c>
      <c r="AQ1320" t="s">
        <v>63</v>
      </c>
      <c r="AR1320" t="s">
        <v>63</v>
      </c>
      <c r="AS1320" t="s">
        <v>63</v>
      </c>
      <c r="AT1320" t="s">
        <v>63</v>
      </c>
      <c r="AU1320" t="s">
        <v>63</v>
      </c>
      <c r="AV1320" t="s">
        <v>63</v>
      </c>
      <c r="AW1320" t="s">
        <v>63</v>
      </c>
      <c r="AX1320" t="s">
        <v>63</v>
      </c>
      <c r="AY1320" t="s">
        <v>63</v>
      </c>
      <c r="AZ1320" t="s">
        <v>63</v>
      </c>
      <c r="BA1320" t="s">
        <v>63</v>
      </c>
      <c r="BB1320" t="s">
        <v>63</v>
      </c>
      <c r="BC1320" t="s">
        <v>63</v>
      </c>
      <c r="BD1320" t="s">
        <v>63</v>
      </c>
      <c r="BE1320" t="s">
        <v>63</v>
      </c>
      <c r="BF1320" t="s">
        <v>63</v>
      </c>
    </row>
    <row r="1321" spans="1:58">
      <c r="A1321" t="s">
        <v>58</v>
      </c>
      <c r="B1321" t="s">
        <v>11690</v>
      </c>
      <c r="C1321" t="s">
        <v>11691</v>
      </c>
      <c r="D1321" t="s">
        <v>11692</v>
      </c>
      <c r="E1321" t="s">
        <v>63</v>
      </c>
      <c r="F1321">
        <v>2016</v>
      </c>
      <c r="G1321" s="1">
        <v>41882</v>
      </c>
      <c r="H1321">
        <v>18</v>
      </c>
      <c r="I1321">
        <v>9</v>
      </c>
      <c r="J1321">
        <v>950</v>
      </c>
      <c r="K1321">
        <v>959</v>
      </c>
      <c r="L1321" t="s">
        <v>11693</v>
      </c>
      <c r="M1321" t="s">
        <v>11694</v>
      </c>
      <c r="N1321" t="s">
        <v>11695</v>
      </c>
      <c r="O1321" t="s">
        <v>63</v>
      </c>
      <c r="Q1321" t="s">
        <v>63</v>
      </c>
      <c r="R1321" t="s">
        <v>63</v>
      </c>
      <c r="S1321" t="s">
        <v>63</v>
      </c>
      <c r="T1321" t="s">
        <v>63</v>
      </c>
      <c r="X1321" t="s">
        <v>63</v>
      </c>
      <c r="Y1321" t="s">
        <v>11696</v>
      </c>
      <c r="Z1321" t="s">
        <v>63</v>
      </c>
      <c r="AA1321" t="s">
        <v>11697</v>
      </c>
      <c r="AB1321">
        <v>27669141</v>
      </c>
      <c r="AC1321" t="s">
        <v>67</v>
      </c>
      <c r="AD1321" t="s">
        <v>63</v>
      </c>
      <c r="AE1321" t="s">
        <v>63</v>
      </c>
      <c r="AF1321" t="s">
        <v>63</v>
      </c>
      <c r="AG1321" t="s">
        <v>11698</v>
      </c>
      <c r="AH1321" t="s">
        <v>63</v>
      </c>
      <c r="AI1321" t="s">
        <v>11699</v>
      </c>
      <c r="AJ1321" t="s">
        <v>63</v>
      </c>
      <c r="AK1321" t="s">
        <v>63</v>
      </c>
      <c r="AL1321" t="s">
        <v>63</v>
      </c>
      <c r="AM1321" t="s">
        <v>11700</v>
      </c>
      <c r="AN1321" t="s">
        <v>63</v>
      </c>
      <c r="AO1321" t="s">
        <v>63</v>
      </c>
      <c r="AP1321" t="s">
        <v>63</v>
      </c>
      <c r="AQ1321" t="s">
        <v>63</v>
      </c>
      <c r="AR1321" t="s">
        <v>63</v>
      </c>
      <c r="AS1321" t="s">
        <v>63</v>
      </c>
      <c r="AT1321" t="s">
        <v>63</v>
      </c>
      <c r="AU1321" t="s">
        <v>63</v>
      </c>
      <c r="AV1321" t="s">
        <v>63</v>
      </c>
      <c r="AW1321" t="s">
        <v>63</v>
      </c>
      <c r="AX1321" t="s">
        <v>63</v>
      </c>
      <c r="AY1321" t="s">
        <v>63</v>
      </c>
      <c r="AZ1321" t="s">
        <v>63</v>
      </c>
      <c r="BA1321" t="s">
        <v>63</v>
      </c>
      <c r="BB1321" t="s">
        <v>63</v>
      </c>
      <c r="BC1321" t="s">
        <v>63</v>
      </c>
      <c r="BD1321" t="s">
        <v>63</v>
      </c>
      <c r="BE1321" t="s">
        <v>63</v>
      </c>
      <c r="BF1321" t="s">
        <v>63</v>
      </c>
    </row>
    <row r="1322" spans="1:58">
      <c r="A1322" t="s">
        <v>58</v>
      </c>
      <c r="B1322" t="s">
        <v>11701</v>
      </c>
      <c r="C1322" t="s">
        <v>11702</v>
      </c>
      <c r="D1322" t="s">
        <v>11703</v>
      </c>
      <c r="E1322" t="s">
        <v>63</v>
      </c>
      <c r="F1322">
        <v>2010</v>
      </c>
      <c r="G1322" t="s">
        <v>326</v>
      </c>
      <c r="H1322">
        <v>16</v>
      </c>
      <c r="I1322">
        <v>1</v>
      </c>
      <c r="J1322" t="s">
        <v>11704</v>
      </c>
      <c r="K1322">
        <v>7</v>
      </c>
      <c r="L1322" t="s">
        <v>11705</v>
      </c>
      <c r="M1322" t="s">
        <v>11706</v>
      </c>
      <c r="N1322" t="s">
        <v>11707</v>
      </c>
      <c r="O1322" t="s">
        <v>63</v>
      </c>
      <c r="Q1322" t="s">
        <v>63</v>
      </c>
      <c r="R1322" t="s">
        <v>63</v>
      </c>
      <c r="S1322" t="s">
        <v>63</v>
      </c>
      <c r="T1322" t="s">
        <v>63</v>
      </c>
      <c r="X1322" t="s">
        <v>63</v>
      </c>
      <c r="Y1322" t="s">
        <v>11708</v>
      </c>
      <c r="Z1322" t="s">
        <v>63</v>
      </c>
      <c r="AA1322" t="s">
        <v>11709</v>
      </c>
      <c r="AB1322">
        <v>20146552</v>
      </c>
      <c r="AC1322" t="s">
        <v>67</v>
      </c>
      <c r="AD1322" t="s">
        <v>63</v>
      </c>
      <c r="AE1322" t="s">
        <v>63</v>
      </c>
      <c r="AF1322" t="s">
        <v>63</v>
      </c>
      <c r="AG1322" t="s">
        <v>11710</v>
      </c>
      <c r="AH1322" t="s">
        <v>63</v>
      </c>
      <c r="AI1322" t="s">
        <v>63</v>
      </c>
      <c r="AJ1322" t="s">
        <v>63</v>
      </c>
      <c r="AK1322" t="s">
        <v>63</v>
      </c>
      <c r="AL1322" t="s">
        <v>63</v>
      </c>
      <c r="AM1322" t="s">
        <v>11711</v>
      </c>
      <c r="AN1322" t="s">
        <v>63</v>
      </c>
      <c r="AO1322" t="s">
        <v>63</v>
      </c>
      <c r="AP1322" t="s">
        <v>63</v>
      </c>
      <c r="AQ1322" t="s">
        <v>63</v>
      </c>
      <c r="AR1322" t="s">
        <v>63</v>
      </c>
      <c r="AS1322" t="s">
        <v>63</v>
      </c>
      <c r="AT1322" t="s">
        <v>63</v>
      </c>
      <c r="AU1322" t="s">
        <v>63</v>
      </c>
      <c r="AV1322" t="s">
        <v>63</v>
      </c>
      <c r="AW1322" t="s">
        <v>63</v>
      </c>
      <c r="AX1322" t="s">
        <v>63</v>
      </c>
      <c r="AY1322" t="s">
        <v>63</v>
      </c>
      <c r="AZ1322" t="s">
        <v>63</v>
      </c>
      <c r="BA1322" t="s">
        <v>63</v>
      </c>
      <c r="BB1322" t="s">
        <v>63</v>
      </c>
      <c r="BC1322" t="s">
        <v>63</v>
      </c>
      <c r="BD1322" t="s">
        <v>63</v>
      </c>
      <c r="BE1322" t="s">
        <v>63</v>
      </c>
      <c r="BF1322" t="s">
        <v>63</v>
      </c>
    </row>
    <row r="1323" spans="1:58">
      <c r="A1323" t="s">
        <v>58</v>
      </c>
      <c r="B1323" t="s">
        <v>11712</v>
      </c>
      <c r="C1323" t="s">
        <v>11713</v>
      </c>
      <c r="D1323" t="s">
        <v>180</v>
      </c>
      <c r="E1323" t="s">
        <v>63</v>
      </c>
      <c r="F1323">
        <v>2010</v>
      </c>
      <c r="G1323" t="s">
        <v>623</v>
      </c>
      <c r="H1323">
        <v>45</v>
      </c>
      <c r="I1323">
        <v>1</v>
      </c>
      <c r="J1323">
        <v>70</v>
      </c>
      <c r="K1323">
        <v>78</v>
      </c>
      <c r="L1323" t="s">
        <v>11714</v>
      </c>
      <c r="M1323" t="s">
        <v>11715</v>
      </c>
      <c r="N1323" t="s">
        <v>11716</v>
      </c>
      <c r="O1323" t="s">
        <v>63</v>
      </c>
      <c r="Q1323" t="s">
        <v>63</v>
      </c>
      <c r="R1323" t="s">
        <v>63</v>
      </c>
      <c r="S1323" t="s">
        <v>63</v>
      </c>
      <c r="T1323" t="s">
        <v>63</v>
      </c>
      <c r="X1323" t="s">
        <v>63</v>
      </c>
      <c r="Y1323" t="s">
        <v>11717</v>
      </c>
      <c r="Z1323" t="s">
        <v>63</v>
      </c>
      <c r="AA1323" t="s">
        <v>11718</v>
      </c>
      <c r="AB1323">
        <v>19889887</v>
      </c>
      <c r="AC1323" t="s">
        <v>67</v>
      </c>
      <c r="AD1323" t="s">
        <v>63</v>
      </c>
      <c r="AE1323" t="s">
        <v>63</v>
      </c>
      <c r="AF1323" t="s">
        <v>63</v>
      </c>
      <c r="AG1323" t="s">
        <v>11719</v>
      </c>
      <c r="AH1323" t="s">
        <v>63</v>
      </c>
      <c r="AI1323" t="s">
        <v>11720</v>
      </c>
      <c r="AJ1323" t="s">
        <v>63</v>
      </c>
      <c r="AK1323" t="s">
        <v>63</v>
      </c>
      <c r="AL1323" t="s">
        <v>63</v>
      </c>
      <c r="AM1323" t="s">
        <v>11721</v>
      </c>
      <c r="AN1323" t="s">
        <v>63</v>
      </c>
      <c r="AO1323" t="s">
        <v>63</v>
      </c>
      <c r="AP1323" t="s">
        <v>63</v>
      </c>
      <c r="AQ1323" t="s">
        <v>63</v>
      </c>
      <c r="AR1323" t="s">
        <v>63</v>
      </c>
      <c r="AS1323" t="s">
        <v>63</v>
      </c>
      <c r="AT1323" t="s">
        <v>63</v>
      </c>
      <c r="AU1323" t="s">
        <v>63</v>
      </c>
      <c r="AV1323" t="s">
        <v>63</v>
      </c>
      <c r="AW1323" t="s">
        <v>63</v>
      </c>
      <c r="AX1323" t="s">
        <v>63</v>
      </c>
      <c r="AY1323" t="s">
        <v>63</v>
      </c>
      <c r="AZ1323" t="s">
        <v>63</v>
      </c>
      <c r="BA1323" t="s">
        <v>63</v>
      </c>
      <c r="BB1323" t="s">
        <v>63</v>
      </c>
      <c r="BC1323" t="s">
        <v>63</v>
      </c>
      <c r="BD1323" t="s">
        <v>63</v>
      </c>
      <c r="BE1323" t="s">
        <v>63</v>
      </c>
      <c r="BF1323" t="s">
        <v>63</v>
      </c>
    </row>
    <row r="1324" spans="1:58">
      <c r="A1324" t="s">
        <v>58</v>
      </c>
      <c r="B1324" t="s">
        <v>11722</v>
      </c>
      <c r="C1324" t="s">
        <v>11723</v>
      </c>
      <c r="D1324" t="s">
        <v>389</v>
      </c>
      <c r="E1324" t="s">
        <v>63</v>
      </c>
      <c r="F1324">
        <v>2017</v>
      </c>
      <c r="G1324" t="s">
        <v>338</v>
      </c>
      <c r="H1324">
        <v>38</v>
      </c>
      <c r="I1324">
        <v>2</v>
      </c>
      <c r="J1324">
        <v>200</v>
      </c>
      <c r="K1324">
        <v>204</v>
      </c>
      <c r="L1324" t="s">
        <v>11724</v>
      </c>
      <c r="M1324" t="s">
        <v>11725</v>
      </c>
      <c r="N1324" t="s">
        <v>11726</v>
      </c>
      <c r="O1324" t="s">
        <v>63</v>
      </c>
      <c r="Q1324" t="s">
        <v>63</v>
      </c>
      <c r="R1324" t="s">
        <v>63</v>
      </c>
      <c r="S1324" t="s">
        <v>63</v>
      </c>
      <c r="T1324" t="s">
        <v>63</v>
      </c>
      <c r="X1324" t="s">
        <v>63</v>
      </c>
      <c r="Y1324" t="s">
        <v>556</v>
      </c>
      <c r="Z1324" t="s">
        <v>63</v>
      </c>
      <c r="AA1324" t="s">
        <v>11727</v>
      </c>
      <c r="AB1324">
        <v>28394733</v>
      </c>
      <c r="AC1324" t="s">
        <v>67</v>
      </c>
      <c r="AD1324" t="s">
        <v>63</v>
      </c>
      <c r="AE1324" t="s">
        <v>63</v>
      </c>
      <c r="AF1324" t="s">
        <v>63</v>
      </c>
      <c r="AG1324" t="s">
        <v>11728</v>
      </c>
      <c r="AH1324" t="s">
        <v>63</v>
      </c>
      <c r="AI1324" t="s">
        <v>11729</v>
      </c>
      <c r="AJ1324" t="s">
        <v>63</v>
      </c>
      <c r="AK1324" t="s">
        <v>63</v>
      </c>
      <c r="AL1324" t="s">
        <v>63</v>
      </c>
      <c r="AM1324" t="s">
        <v>11730</v>
      </c>
      <c r="AN1324" t="s">
        <v>63</v>
      </c>
      <c r="AO1324" t="s">
        <v>63</v>
      </c>
      <c r="AP1324" t="s">
        <v>63</v>
      </c>
      <c r="AQ1324" t="s">
        <v>63</v>
      </c>
      <c r="AR1324" t="s">
        <v>63</v>
      </c>
      <c r="AS1324" t="s">
        <v>63</v>
      </c>
      <c r="AT1324" t="s">
        <v>63</v>
      </c>
      <c r="AU1324" t="s">
        <v>63</v>
      </c>
      <c r="AV1324" t="s">
        <v>63</v>
      </c>
      <c r="AW1324" t="s">
        <v>63</v>
      </c>
      <c r="AX1324" t="s">
        <v>63</v>
      </c>
      <c r="AY1324" t="s">
        <v>63</v>
      </c>
      <c r="AZ1324" t="s">
        <v>63</v>
      </c>
      <c r="BA1324" t="s">
        <v>63</v>
      </c>
      <c r="BB1324" t="s">
        <v>63</v>
      </c>
      <c r="BC1324" t="s">
        <v>63</v>
      </c>
      <c r="BD1324" t="s">
        <v>63</v>
      </c>
      <c r="BE1324" t="s">
        <v>63</v>
      </c>
      <c r="BF1324" t="s">
        <v>63</v>
      </c>
    </row>
    <row r="1325" spans="1:58">
      <c r="A1325" t="s">
        <v>58</v>
      </c>
      <c r="B1325" t="s">
        <v>11731</v>
      </c>
      <c r="C1325" t="s">
        <v>11732</v>
      </c>
      <c r="D1325" t="s">
        <v>1744</v>
      </c>
      <c r="E1325" t="s">
        <v>1745</v>
      </c>
      <c r="F1325">
        <v>2015</v>
      </c>
      <c r="G1325" t="s">
        <v>63</v>
      </c>
      <c r="H1325">
        <v>50</v>
      </c>
      <c r="I1325">
        <v>1</v>
      </c>
      <c r="J1325">
        <v>81</v>
      </c>
      <c r="K1325">
        <v>91</v>
      </c>
      <c r="L1325" t="s">
        <v>11733</v>
      </c>
      <c r="M1325" t="s">
        <v>11734</v>
      </c>
      <c r="N1325" t="s">
        <v>11735</v>
      </c>
      <c r="O1325" t="s">
        <v>63</v>
      </c>
      <c r="Q1325" t="s">
        <v>63</v>
      </c>
      <c r="R1325" t="s">
        <v>63</v>
      </c>
      <c r="S1325" t="s">
        <v>63</v>
      </c>
      <c r="T1325" t="s">
        <v>63</v>
      </c>
      <c r="X1325" t="s">
        <v>63</v>
      </c>
      <c r="Y1325" t="s">
        <v>1749</v>
      </c>
      <c r="Z1325" t="s">
        <v>63</v>
      </c>
      <c r="AA1325" t="s">
        <v>11736</v>
      </c>
      <c r="AB1325">
        <v>26130770</v>
      </c>
      <c r="AC1325" t="s">
        <v>67</v>
      </c>
      <c r="AD1325" t="s">
        <v>63</v>
      </c>
      <c r="AE1325" t="s">
        <v>63</v>
      </c>
      <c r="AF1325" t="s">
        <v>63</v>
      </c>
      <c r="AG1325" t="s">
        <v>11737</v>
      </c>
      <c r="AH1325" t="s">
        <v>63</v>
      </c>
      <c r="AI1325" t="s">
        <v>11738</v>
      </c>
      <c r="AJ1325" t="s">
        <v>63</v>
      </c>
      <c r="AK1325" t="s">
        <v>63</v>
      </c>
      <c r="AL1325" t="s">
        <v>63</v>
      </c>
      <c r="AM1325" t="s">
        <v>11739</v>
      </c>
      <c r="AN1325" t="s">
        <v>63</v>
      </c>
      <c r="AO1325" t="s">
        <v>63</v>
      </c>
      <c r="AP1325" t="s">
        <v>63</v>
      </c>
      <c r="AQ1325" t="s">
        <v>63</v>
      </c>
      <c r="AR1325" t="s">
        <v>63</v>
      </c>
      <c r="AS1325" t="s">
        <v>63</v>
      </c>
      <c r="AT1325" t="s">
        <v>63</v>
      </c>
      <c r="AU1325" t="s">
        <v>63</v>
      </c>
      <c r="AV1325" t="s">
        <v>63</v>
      </c>
      <c r="AW1325" t="s">
        <v>63</v>
      </c>
      <c r="AX1325" t="s">
        <v>63</v>
      </c>
      <c r="AY1325" t="s">
        <v>63</v>
      </c>
      <c r="AZ1325" t="s">
        <v>63</v>
      </c>
      <c r="BA1325" t="s">
        <v>63</v>
      </c>
      <c r="BB1325" t="s">
        <v>63</v>
      </c>
      <c r="BC1325" t="s">
        <v>63</v>
      </c>
      <c r="BD1325" t="s">
        <v>63</v>
      </c>
      <c r="BE1325" t="s">
        <v>63</v>
      </c>
      <c r="BF1325" t="s">
        <v>63</v>
      </c>
    </row>
    <row r="1326" spans="1:58">
      <c r="A1326" t="s">
        <v>58</v>
      </c>
      <c r="B1326" t="s">
        <v>11740</v>
      </c>
      <c r="C1326" t="s">
        <v>11741</v>
      </c>
      <c r="D1326" t="s">
        <v>155</v>
      </c>
      <c r="E1326" t="s">
        <v>156</v>
      </c>
      <c r="F1326">
        <v>2000</v>
      </c>
      <c r="G1326" t="s">
        <v>157</v>
      </c>
      <c r="H1326">
        <v>36</v>
      </c>
      <c r="I1326">
        <v>6</v>
      </c>
      <c r="J1326">
        <v>628</v>
      </c>
      <c r="K1326">
        <v>630</v>
      </c>
      <c r="L1326" t="s">
        <v>11742</v>
      </c>
      <c r="M1326" t="s">
        <v>63</v>
      </c>
      <c r="N1326" t="s">
        <v>11743</v>
      </c>
      <c r="O1326" t="s">
        <v>63</v>
      </c>
      <c r="Q1326" t="s">
        <v>63</v>
      </c>
      <c r="R1326" t="s">
        <v>63</v>
      </c>
      <c r="S1326" t="s">
        <v>63</v>
      </c>
      <c r="T1326" t="s">
        <v>63</v>
      </c>
      <c r="X1326" t="s">
        <v>63</v>
      </c>
      <c r="Y1326" t="s">
        <v>160</v>
      </c>
      <c r="Z1326" t="s">
        <v>63</v>
      </c>
      <c r="AA1326" t="s">
        <v>11744</v>
      </c>
      <c r="AB1326">
        <v>11097707</v>
      </c>
      <c r="AC1326" t="s">
        <v>67</v>
      </c>
      <c r="AD1326" t="s">
        <v>63</v>
      </c>
      <c r="AE1326" t="s">
        <v>63</v>
      </c>
      <c r="AF1326" t="s">
        <v>63</v>
      </c>
      <c r="AG1326" t="s">
        <v>11745</v>
      </c>
      <c r="AH1326" t="s">
        <v>63</v>
      </c>
      <c r="AI1326" t="s">
        <v>63</v>
      </c>
      <c r="AJ1326" t="s">
        <v>63</v>
      </c>
      <c r="AK1326" t="s">
        <v>63</v>
      </c>
      <c r="AL1326" t="s">
        <v>63</v>
      </c>
      <c r="AM1326" t="s">
        <v>11746</v>
      </c>
      <c r="AN1326" t="s">
        <v>63</v>
      </c>
      <c r="AO1326" t="s">
        <v>63</v>
      </c>
      <c r="AP1326" t="s">
        <v>63</v>
      </c>
      <c r="AQ1326" t="s">
        <v>63</v>
      </c>
      <c r="AR1326" t="s">
        <v>63</v>
      </c>
      <c r="AS1326" t="s">
        <v>63</v>
      </c>
      <c r="AT1326" t="s">
        <v>63</v>
      </c>
      <c r="AU1326" t="s">
        <v>63</v>
      </c>
      <c r="AV1326" t="s">
        <v>63</v>
      </c>
      <c r="AW1326" t="s">
        <v>63</v>
      </c>
      <c r="AX1326" t="s">
        <v>63</v>
      </c>
      <c r="AY1326" t="s">
        <v>63</v>
      </c>
      <c r="AZ1326" t="s">
        <v>63</v>
      </c>
      <c r="BA1326" t="s">
        <v>63</v>
      </c>
      <c r="BB1326" t="s">
        <v>63</v>
      </c>
      <c r="BC1326" t="s">
        <v>63</v>
      </c>
      <c r="BD1326" t="s">
        <v>63</v>
      </c>
      <c r="BE1326" t="s">
        <v>63</v>
      </c>
      <c r="BF1326" t="s">
        <v>63</v>
      </c>
    </row>
    <row r="1327" spans="1:58">
      <c r="A1327" t="s">
        <v>58</v>
      </c>
      <c r="B1327" t="s">
        <v>11747</v>
      </c>
      <c r="C1327" t="s">
        <v>11748</v>
      </c>
      <c r="D1327" t="s">
        <v>137</v>
      </c>
      <c r="E1327" t="s">
        <v>63</v>
      </c>
      <c r="F1327">
        <v>1994</v>
      </c>
      <c r="G1327" t="s">
        <v>181</v>
      </c>
      <c r="H1327">
        <v>40</v>
      </c>
      <c r="I1327" t="s">
        <v>63</v>
      </c>
      <c r="J1327">
        <v>1557</v>
      </c>
      <c r="K1327">
        <v>1566</v>
      </c>
      <c r="L1327" t="s">
        <v>11749</v>
      </c>
      <c r="M1327" t="s">
        <v>11750</v>
      </c>
      <c r="N1327" t="s">
        <v>11751</v>
      </c>
      <c r="O1327" t="s">
        <v>63</v>
      </c>
      <c r="Q1327" t="s">
        <v>63</v>
      </c>
      <c r="R1327" t="s">
        <v>63</v>
      </c>
      <c r="S1327" t="s">
        <v>63</v>
      </c>
      <c r="T1327" t="s">
        <v>63</v>
      </c>
      <c r="X1327" t="s">
        <v>63</v>
      </c>
      <c r="Y1327" t="s">
        <v>141</v>
      </c>
      <c r="Z1327" t="s">
        <v>63</v>
      </c>
      <c r="AA1327" t="s">
        <v>11752</v>
      </c>
      <c r="AB1327">
        <v>7920049</v>
      </c>
      <c r="AC1327" t="s">
        <v>67</v>
      </c>
      <c r="AD1327" t="s">
        <v>63</v>
      </c>
      <c r="AE1327" t="s">
        <v>63</v>
      </c>
      <c r="AF1327" t="s">
        <v>63</v>
      </c>
      <c r="AG1327" t="s">
        <v>11753</v>
      </c>
      <c r="AH1327" t="s">
        <v>63</v>
      </c>
      <c r="AI1327" t="s">
        <v>63</v>
      </c>
      <c r="AJ1327" t="s">
        <v>63</v>
      </c>
      <c r="AK1327" t="s">
        <v>63</v>
      </c>
      <c r="AL1327" t="s">
        <v>63</v>
      </c>
      <c r="AM1327" t="s">
        <v>11754</v>
      </c>
      <c r="AN1327" t="s">
        <v>63</v>
      </c>
      <c r="AO1327" t="s">
        <v>63</v>
      </c>
      <c r="AP1327" t="s">
        <v>63</v>
      </c>
      <c r="AQ1327" t="s">
        <v>63</v>
      </c>
      <c r="AR1327" t="s">
        <v>63</v>
      </c>
      <c r="AS1327" t="s">
        <v>63</v>
      </c>
      <c r="AT1327" t="s">
        <v>63</v>
      </c>
      <c r="AU1327" t="s">
        <v>63</v>
      </c>
      <c r="AV1327" t="s">
        <v>63</v>
      </c>
      <c r="AW1327" t="s">
        <v>63</v>
      </c>
      <c r="AX1327" t="s">
        <v>63</v>
      </c>
      <c r="AY1327" t="s">
        <v>63</v>
      </c>
      <c r="AZ1327" t="s">
        <v>63</v>
      </c>
      <c r="BA1327" t="s">
        <v>63</v>
      </c>
      <c r="BB1327" t="s">
        <v>63</v>
      </c>
      <c r="BC1327" t="s">
        <v>63</v>
      </c>
      <c r="BD1327" t="s">
        <v>63</v>
      </c>
      <c r="BE1327" t="s">
        <v>63</v>
      </c>
      <c r="BF1327" t="s">
        <v>63</v>
      </c>
    </row>
    <row r="1328" spans="1:58">
      <c r="A1328" t="s">
        <v>58</v>
      </c>
      <c r="B1328" t="s">
        <v>11755</v>
      </c>
      <c r="C1328" t="s">
        <v>11756</v>
      </c>
      <c r="D1328" t="s">
        <v>137</v>
      </c>
      <c r="E1328" t="s">
        <v>63</v>
      </c>
      <c r="F1328">
        <v>1994</v>
      </c>
      <c r="G1328" t="s">
        <v>181</v>
      </c>
      <c r="H1328">
        <v>40</v>
      </c>
      <c r="I1328" t="s">
        <v>63</v>
      </c>
      <c r="J1328">
        <v>1570</v>
      </c>
      <c r="K1328">
        <v>1579</v>
      </c>
      <c r="L1328" t="s">
        <v>11757</v>
      </c>
      <c r="M1328" t="s">
        <v>11758</v>
      </c>
      <c r="N1328" t="s">
        <v>11759</v>
      </c>
      <c r="O1328" t="s">
        <v>63</v>
      </c>
      <c r="Q1328" t="s">
        <v>63</v>
      </c>
      <c r="R1328" t="s">
        <v>63</v>
      </c>
      <c r="S1328" t="s">
        <v>63</v>
      </c>
      <c r="T1328" t="s">
        <v>63</v>
      </c>
      <c r="X1328" t="s">
        <v>63</v>
      </c>
      <c r="Y1328" t="s">
        <v>141</v>
      </c>
      <c r="Z1328" t="s">
        <v>63</v>
      </c>
      <c r="AA1328" t="s">
        <v>11760</v>
      </c>
      <c r="AB1328">
        <v>7920050</v>
      </c>
      <c r="AC1328" t="s">
        <v>67</v>
      </c>
      <c r="AD1328" t="s">
        <v>63</v>
      </c>
      <c r="AE1328" t="s">
        <v>63</v>
      </c>
      <c r="AF1328" t="s">
        <v>63</v>
      </c>
      <c r="AG1328" t="s">
        <v>11761</v>
      </c>
      <c r="AH1328" t="s">
        <v>63</v>
      </c>
      <c r="AI1328" t="s">
        <v>63</v>
      </c>
      <c r="AJ1328" t="s">
        <v>63</v>
      </c>
      <c r="AK1328" t="s">
        <v>63</v>
      </c>
      <c r="AL1328" t="s">
        <v>63</v>
      </c>
      <c r="AM1328" t="s">
        <v>11762</v>
      </c>
      <c r="AN1328" t="s">
        <v>63</v>
      </c>
      <c r="AO1328" t="s">
        <v>63</v>
      </c>
      <c r="AP1328" t="s">
        <v>63</v>
      </c>
      <c r="AQ1328" t="s">
        <v>63</v>
      </c>
      <c r="AR1328" t="s">
        <v>63</v>
      </c>
      <c r="AS1328" t="s">
        <v>63</v>
      </c>
      <c r="AT1328" t="s">
        <v>63</v>
      </c>
      <c r="AU1328" t="s">
        <v>63</v>
      </c>
      <c r="AV1328" t="s">
        <v>63</v>
      </c>
      <c r="AW1328" t="s">
        <v>63</v>
      </c>
      <c r="AX1328" t="s">
        <v>63</v>
      </c>
      <c r="AY1328" t="s">
        <v>63</v>
      </c>
      <c r="AZ1328" t="s">
        <v>63</v>
      </c>
      <c r="BA1328" t="s">
        <v>63</v>
      </c>
      <c r="BB1328" t="s">
        <v>63</v>
      </c>
      <c r="BC1328" t="s">
        <v>63</v>
      </c>
      <c r="BD1328" t="s">
        <v>63</v>
      </c>
      <c r="BE1328" t="s">
        <v>63</v>
      </c>
      <c r="BF1328" t="s">
        <v>63</v>
      </c>
    </row>
    <row r="1329" spans="1:58">
      <c r="A1329" t="s">
        <v>58</v>
      </c>
      <c r="B1329" t="s">
        <v>11763</v>
      </c>
      <c r="C1329" t="s">
        <v>11764</v>
      </c>
      <c r="D1329" t="s">
        <v>11765</v>
      </c>
      <c r="E1329" t="s">
        <v>11766</v>
      </c>
      <c r="F1329">
        <v>2010</v>
      </c>
      <c r="G1329" t="s">
        <v>623</v>
      </c>
      <c r="H1329">
        <v>138</v>
      </c>
      <c r="I1329" s="1">
        <v>41640</v>
      </c>
      <c r="J1329">
        <v>43</v>
      </c>
      <c r="K1329">
        <v>49</v>
      </c>
      <c r="L1329" t="s">
        <v>11767</v>
      </c>
      <c r="M1329" t="s">
        <v>11768</v>
      </c>
      <c r="N1329" t="s">
        <v>11769</v>
      </c>
      <c r="O1329" t="s">
        <v>63</v>
      </c>
      <c r="Q1329" t="s">
        <v>63</v>
      </c>
      <c r="R1329" t="s">
        <v>63</v>
      </c>
      <c r="S1329" t="s">
        <v>63</v>
      </c>
      <c r="T1329" t="s">
        <v>63</v>
      </c>
      <c r="X1329" t="s">
        <v>63</v>
      </c>
      <c r="Y1329" t="s">
        <v>11770</v>
      </c>
      <c r="Z1329" t="s">
        <v>63</v>
      </c>
      <c r="AA1329" t="s">
        <v>63</v>
      </c>
      <c r="AB1329">
        <v>20425908</v>
      </c>
      <c r="AC1329" t="s">
        <v>11771</v>
      </c>
      <c r="AD1329" t="s">
        <v>63</v>
      </c>
      <c r="AE1329" t="s">
        <v>63</v>
      </c>
      <c r="AF1329" t="s">
        <v>63</v>
      </c>
      <c r="AG1329" t="s">
        <v>11772</v>
      </c>
      <c r="AH1329" t="s">
        <v>63</v>
      </c>
      <c r="AI1329" t="s">
        <v>63</v>
      </c>
      <c r="AJ1329" t="s">
        <v>63</v>
      </c>
      <c r="AK1329" t="s">
        <v>63</v>
      </c>
      <c r="AL1329" t="s">
        <v>63</v>
      </c>
      <c r="AM1329" t="s">
        <v>11773</v>
      </c>
      <c r="AN1329" t="s">
        <v>63</v>
      </c>
      <c r="AO1329" t="s">
        <v>63</v>
      </c>
      <c r="AP1329" t="s">
        <v>63</v>
      </c>
      <c r="AQ1329" t="s">
        <v>63</v>
      </c>
      <c r="AR1329" t="s">
        <v>63</v>
      </c>
      <c r="AS1329" t="s">
        <v>63</v>
      </c>
      <c r="AT1329" t="s">
        <v>63</v>
      </c>
      <c r="AU1329" t="s">
        <v>63</v>
      </c>
      <c r="AV1329" t="s">
        <v>63</v>
      </c>
      <c r="AW1329" t="s">
        <v>63</v>
      </c>
      <c r="AX1329" t="s">
        <v>63</v>
      </c>
      <c r="AY1329" t="s">
        <v>63</v>
      </c>
      <c r="AZ1329" t="s">
        <v>63</v>
      </c>
      <c r="BA1329" t="s">
        <v>63</v>
      </c>
      <c r="BB1329" t="s">
        <v>63</v>
      </c>
      <c r="BC1329" t="s">
        <v>63</v>
      </c>
      <c r="BD1329" t="s">
        <v>63</v>
      </c>
      <c r="BE1329" t="s">
        <v>63</v>
      </c>
      <c r="BF1329" t="s">
        <v>63</v>
      </c>
    </row>
    <row r="1330" spans="1:58">
      <c r="A1330" t="s">
        <v>58</v>
      </c>
      <c r="B1330" t="s">
        <v>11774</v>
      </c>
      <c r="C1330" t="s">
        <v>11775</v>
      </c>
      <c r="D1330" t="s">
        <v>11776</v>
      </c>
      <c r="E1330" t="s">
        <v>63</v>
      </c>
      <c r="F1330">
        <v>2014</v>
      </c>
      <c r="G1330" t="s">
        <v>63</v>
      </c>
      <c r="H1330">
        <v>13</v>
      </c>
      <c r="I1330">
        <v>3</v>
      </c>
      <c r="J1330">
        <v>23</v>
      </c>
      <c r="K1330">
        <v>30</v>
      </c>
      <c r="L1330" t="s">
        <v>63</v>
      </c>
      <c r="M1330" t="s">
        <v>11777</v>
      </c>
      <c r="N1330" t="s">
        <v>11778</v>
      </c>
      <c r="O1330" t="s">
        <v>63</v>
      </c>
      <c r="Q1330" t="s">
        <v>63</v>
      </c>
      <c r="R1330" t="s">
        <v>63</v>
      </c>
      <c r="S1330" t="s">
        <v>63</v>
      </c>
      <c r="T1330" t="s">
        <v>63</v>
      </c>
      <c r="X1330" t="s">
        <v>63</v>
      </c>
      <c r="Y1330" t="s">
        <v>11779</v>
      </c>
      <c r="Z1330" t="s">
        <v>63</v>
      </c>
      <c r="AA1330" t="s">
        <v>11780</v>
      </c>
      <c r="AB1330">
        <v>25713588</v>
      </c>
      <c r="AC1330" t="s">
        <v>67</v>
      </c>
      <c r="AD1330" t="s">
        <v>63</v>
      </c>
      <c r="AE1330" t="s">
        <v>63</v>
      </c>
      <c r="AF1330" t="s">
        <v>63</v>
      </c>
      <c r="AG1330" t="s">
        <v>11781</v>
      </c>
      <c r="AH1330" t="s">
        <v>63</v>
      </c>
      <c r="AI1330" t="s">
        <v>63</v>
      </c>
      <c r="AJ1330" t="s">
        <v>63</v>
      </c>
      <c r="AK1330" t="s">
        <v>63</v>
      </c>
      <c r="AL1330" t="s">
        <v>63</v>
      </c>
      <c r="AM1330" t="s">
        <v>11782</v>
      </c>
      <c r="AN1330" t="s">
        <v>63</v>
      </c>
      <c r="AO1330" t="s">
        <v>63</v>
      </c>
      <c r="AP1330" t="s">
        <v>63</v>
      </c>
      <c r="AQ1330" t="s">
        <v>63</v>
      </c>
      <c r="AR1330" t="s">
        <v>63</v>
      </c>
      <c r="AS1330" t="s">
        <v>63</v>
      </c>
      <c r="AT1330" t="s">
        <v>63</v>
      </c>
      <c r="AU1330" t="s">
        <v>63</v>
      </c>
      <c r="AV1330" t="s">
        <v>63</v>
      </c>
      <c r="AW1330" t="s">
        <v>63</v>
      </c>
      <c r="AX1330" t="s">
        <v>63</v>
      </c>
      <c r="AY1330" t="s">
        <v>63</v>
      </c>
      <c r="AZ1330" t="s">
        <v>63</v>
      </c>
      <c r="BA1330" t="s">
        <v>63</v>
      </c>
      <c r="BB1330" t="s">
        <v>63</v>
      </c>
      <c r="BC1330" t="s">
        <v>63</v>
      </c>
      <c r="BD1330" t="s">
        <v>63</v>
      </c>
      <c r="BE1330" t="s">
        <v>63</v>
      </c>
      <c r="BF1330" t="s">
        <v>63</v>
      </c>
    </row>
    <row r="1331" spans="1:58">
      <c r="A1331" t="s">
        <v>58</v>
      </c>
      <c r="B1331" t="s">
        <v>11783</v>
      </c>
      <c r="C1331" t="s">
        <v>11784</v>
      </c>
      <c r="D1331" t="s">
        <v>11785</v>
      </c>
      <c r="E1331" t="s">
        <v>63</v>
      </c>
      <c r="F1331">
        <v>2001</v>
      </c>
      <c r="G1331" t="s">
        <v>63</v>
      </c>
      <c r="H1331">
        <v>103</v>
      </c>
      <c r="I1331">
        <v>3</v>
      </c>
      <c r="J1331">
        <v>286</v>
      </c>
      <c r="K1331">
        <v>287</v>
      </c>
      <c r="L1331" t="s">
        <v>11786</v>
      </c>
      <c r="M1331" t="s">
        <v>63</v>
      </c>
      <c r="N1331" t="s">
        <v>11787</v>
      </c>
      <c r="O1331" t="s">
        <v>63</v>
      </c>
      <c r="Q1331" t="s">
        <v>63</v>
      </c>
      <c r="R1331" t="s">
        <v>63</v>
      </c>
      <c r="S1331" t="s">
        <v>63</v>
      </c>
      <c r="T1331" t="s">
        <v>63</v>
      </c>
      <c r="X1331" t="s">
        <v>63</v>
      </c>
      <c r="Y1331" t="s">
        <v>11788</v>
      </c>
      <c r="Z1331" t="s">
        <v>63</v>
      </c>
      <c r="AA1331" t="s">
        <v>63</v>
      </c>
      <c r="AB1331">
        <v>11383146</v>
      </c>
      <c r="AC1331" t="s">
        <v>4810</v>
      </c>
      <c r="AD1331" t="s">
        <v>63</v>
      </c>
      <c r="AE1331" t="s">
        <v>63</v>
      </c>
      <c r="AF1331" t="s">
        <v>63</v>
      </c>
      <c r="AG1331" t="s">
        <v>11789</v>
      </c>
      <c r="AH1331" t="s">
        <v>63</v>
      </c>
      <c r="AI1331" t="s">
        <v>63</v>
      </c>
      <c r="AJ1331" t="s">
        <v>63</v>
      </c>
      <c r="AK1331" t="s">
        <v>63</v>
      </c>
      <c r="AL1331" t="s">
        <v>63</v>
      </c>
      <c r="AM1331" t="s">
        <v>11790</v>
      </c>
      <c r="AN1331" t="s">
        <v>63</v>
      </c>
      <c r="AO1331" t="s">
        <v>63</v>
      </c>
      <c r="AP1331" t="s">
        <v>63</v>
      </c>
      <c r="AQ1331" t="s">
        <v>63</v>
      </c>
      <c r="AR1331" t="s">
        <v>63</v>
      </c>
      <c r="AS1331" t="s">
        <v>63</v>
      </c>
      <c r="AT1331" t="s">
        <v>63</v>
      </c>
      <c r="AU1331" t="s">
        <v>63</v>
      </c>
      <c r="AV1331" t="s">
        <v>63</v>
      </c>
      <c r="AW1331" t="s">
        <v>63</v>
      </c>
      <c r="AX1331" t="s">
        <v>63</v>
      </c>
      <c r="AY1331" t="s">
        <v>63</v>
      </c>
      <c r="AZ1331" t="s">
        <v>63</v>
      </c>
      <c r="BA1331" t="s">
        <v>63</v>
      </c>
      <c r="BB1331" t="s">
        <v>63</v>
      </c>
      <c r="BC1331" t="s">
        <v>63</v>
      </c>
      <c r="BD1331" t="s">
        <v>63</v>
      </c>
      <c r="BE1331" t="s">
        <v>63</v>
      </c>
      <c r="BF1331" t="s">
        <v>63</v>
      </c>
    </row>
    <row r="1332" spans="1:58">
      <c r="A1332" t="s">
        <v>58</v>
      </c>
      <c r="B1332" t="s">
        <v>11791</v>
      </c>
      <c r="C1332" t="s">
        <v>11792</v>
      </c>
      <c r="D1332" t="s">
        <v>371</v>
      </c>
      <c r="E1332" t="s">
        <v>63</v>
      </c>
      <c r="F1332">
        <v>2002</v>
      </c>
      <c r="G1332" t="s">
        <v>189</v>
      </c>
      <c r="H1332">
        <v>17</v>
      </c>
      <c r="I1332">
        <v>5</v>
      </c>
      <c r="J1332">
        <v>373</v>
      </c>
      <c r="K1332">
        <v>376</v>
      </c>
      <c r="L1332" t="s">
        <v>11793</v>
      </c>
      <c r="M1332" t="s">
        <v>11794</v>
      </c>
      <c r="N1332" t="s">
        <v>11795</v>
      </c>
      <c r="O1332" t="s">
        <v>63</v>
      </c>
      <c r="Q1332" t="s">
        <v>63</v>
      </c>
      <c r="R1332" t="s">
        <v>63</v>
      </c>
      <c r="S1332" t="s">
        <v>63</v>
      </c>
      <c r="T1332" t="s">
        <v>63</v>
      </c>
      <c r="X1332" t="s">
        <v>63</v>
      </c>
      <c r="Y1332" t="s">
        <v>375</v>
      </c>
      <c r="Z1332" t="s">
        <v>63</v>
      </c>
      <c r="AA1332" t="s">
        <v>11796</v>
      </c>
      <c r="AB1332">
        <v>12047735</v>
      </c>
      <c r="AC1332" t="s">
        <v>67</v>
      </c>
      <c r="AD1332" t="s">
        <v>63</v>
      </c>
      <c r="AE1332" t="s">
        <v>63</v>
      </c>
      <c r="AF1332" t="s">
        <v>63</v>
      </c>
      <c r="AG1332" t="s">
        <v>11797</v>
      </c>
      <c r="AH1332" t="s">
        <v>63</v>
      </c>
      <c r="AI1332" t="s">
        <v>63</v>
      </c>
      <c r="AJ1332" t="s">
        <v>63</v>
      </c>
      <c r="AK1332" t="s">
        <v>63</v>
      </c>
      <c r="AL1332" t="s">
        <v>63</v>
      </c>
      <c r="AM1332" t="s">
        <v>11798</v>
      </c>
      <c r="AN1332" t="s">
        <v>63</v>
      </c>
      <c r="AO1332" t="s">
        <v>63</v>
      </c>
      <c r="AP1332" t="s">
        <v>63</v>
      </c>
      <c r="AQ1332" t="s">
        <v>63</v>
      </c>
      <c r="AR1332" t="s">
        <v>63</v>
      </c>
      <c r="AS1332" t="s">
        <v>63</v>
      </c>
      <c r="AT1332" t="s">
        <v>63</v>
      </c>
      <c r="AU1332" t="s">
        <v>63</v>
      </c>
      <c r="AV1332" t="s">
        <v>63</v>
      </c>
      <c r="AW1332" t="s">
        <v>63</v>
      </c>
      <c r="AX1332" t="s">
        <v>63</v>
      </c>
      <c r="AY1332" t="s">
        <v>63</v>
      </c>
      <c r="AZ1332" t="s">
        <v>63</v>
      </c>
      <c r="BA1332" t="s">
        <v>63</v>
      </c>
      <c r="BB1332" t="s">
        <v>63</v>
      </c>
      <c r="BC1332" t="s">
        <v>63</v>
      </c>
      <c r="BD1332" t="s">
        <v>63</v>
      </c>
      <c r="BE1332" t="s">
        <v>63</v>
      </c>
      <c r="BF1332" t="s">
        <v>63</v>
      </c>
    </row>
    <row r="1333" spans="1:58">
      <c r="A1333" t="s">
        <v>58</v>
      </c>
      <c r="B1333" t="s">
        <v>11799</v>
      </c>
      <c r="C1333" t="s">
        <v>11800</v>
      </c>
      <c r="D1333" t="s">
        <v>389</v>
      </c>
      <c r="E1333" t="s">
        <v>63</v>
      </c>
      <c r="F1333">
        <v>2000</v>
      </c>
      <c r="G1333" t="s">
        <v>274</v>
      </c>
      <c r="H1333">
        <v>21</v>
      </c>
      <c r="I1333">
        <v>1</v>
      </c>
      <c r="J1333">
        <v>21</v>
      </c>
      <c r="K1333">
        <v>31</v>
      </c>
      <c r="L1333" t="s">
        <v>63</v>
      </c>
      <c r="M1333" t="s">
        <v>11801</v>
      </c>
      <c r="N1333" t="s">
        <v>11802</v>
      </c>
      <c r="O1333" t="s">
        <v>63</v>
      </c>
      <c r="Q1333" t="s">
        <v>63</v>
      </c>
      <c r="R1333" t="s">
        <v>63</v>
      </c>
      <c r="S1333" t="s">
        <v>63</v>
      </c>
      <c r="T1333" t="s">
        <v>63</v>
      </c>
      <c r="X1333" t="s">
        <v>63</v>
      </c>
      <c r="Y1333" t="s">
        <v>556</v>
      </c>
      <c r="Z1333" t="s">
        <v>63</v>
      </c>
      <c r="AA1333" t="s">
        <v>11803</v>
      </c>
      <c r="AB1333">
        <v>12466645</v>
      </c>
      <c r="AC1333" t="s">
        <v>67</v>
      </c>
      <c r="AD1333" t="s">
        <v>63</v>
      </c>
      <c r="AE1333" t="s">
        <v>63</v>
      </c>
      <c r="AF1333" t="s">
        <v>63</v>
      </c>
      <c r="AG1333" t="s">
        <v>11804</v>
      </c>
      <c r="AH1333" t="s">
        <v>63</v>
      </c>
      <c r="AI1333" t="s">
        <v>63</v>
      </c>
      <c r="AJ1333" t="s">
        <v>63</v>
      </c>
      <c r="AK1333" t="s">
        <v>63</v>
      </c>
      <c r="AL1333" t="s">
        <v>63</v>
      </c>
      <c r="AM1333" t="s">
        <v>11805</v>
      </c>
      <c r="AN1333" t="s">
        <v>63</v>
      </c>
      <c r="AO1333" t="s">
        <v>63</v>
      </c>
      <c r="AP1333" t="s">
        <v>63</v>
      </c>
      <c r="AQ1333" t="s">
        <v>63</v>
      </c>
      <c r="AR1333" t="s">
        <v>63</v>
      </c>
      <c r="AS1333" t="s">
        <v>63</v>
      </c>
      <c r="AT1333" t="s">
        <v>63</v>
      </c>
      <c r="AU1333" t="s">
        <v>63</v>
      </c>
      <c r="AV1333" t="s">
        <v>63</v>
      </c>
      <c r="AW1333" t="s">
        <v>63</v>
      </c>
      <c r="AX1333" t="s">
        <v>63</v>
      </c>
      <c r="AY1333" t="s">
        <v>63</v>
      </c>
      <c r="AZ1333" t="s">
        <v>63</v>
      </c>
      <c r="BA1333" t="s">
        <v>63</v>
      </c>
      <c r="BB1333" t="s">
        <v>63</v>
      </c>
      <c r="BC1333" t="s">
        <v>63</v>
      </c>
      <c r="BD1333" t="s">
        <v>63</v>
      </c>
      <c r="BE1333" t="s">
        <v>63</v>
      </c>
      <c r="BF1333" t="s">
        <v>63</v>
      </c>
    </row>
    <row r="1334" spans="1:58">
      <c r="A1334" t="s">
        <v>58</v>
      </c>
      <c r="B1334" t="s">
        <v>11806</v>
      </c>
      <c r="C1334" t="s">
        <v>11807</v>
      </c>
      <c r="D1334" t="s">
        <v>11808</v>
      </c>
      <c r="E1334" t="s">
        <v>63</v>
      </c>
      <c r="F1334">
        <v>2014</v>
      </c>
      <c r="G1334" t="s">
        <v>189</v>
      </c>
      <c r="H1334">
        <v>16</v>
      </c>
      <c r="I1334">
        <v>5</v>
      </c>
      <c r="J1334" t="s">
        <v>11809</v>
      </c>
      <c r="K1334" t="s">
        <v>63</v>
      </c>
      <c r="L1334" t="s">
        <v>63</v>
      </c>
      <c r="M1334" t="s">
        <v>11810</v>
      </c>
      <c r="N1334" t="s">
        <v>11811</v>
      </c>
      <c r="O1334" t="s">
        <v>63</v>
      </c>
      <c r="Q1334" t="s">
        <v>63</v>
      </c>
      <c r="R1334" t="s">
        <v>63</v>
      </c>
      <c r="S1334" t="s">
        <v>63</v>
      </c>
      <c r="T1334" t="s">
        <v>63</v>
      </c>
      <c r="X1334" t="s">
        <v>63</v>
      </c>
      <c r="Y1334" t="s">
        <v>11812</v>
      </c>
      <c r="Z1334" t="s">
        <v>63</v>
      </c>
      <c r="AA1334" t="s">
        <v>11813</v>
      </c>
      <c r="AB1334">
        <v>25031856</v>
      </c>
      <c r="AC1334" t="s">
        <v>67</v>
      </c>
      <c r="AD1334" t="s">
        <v>63</v>
      </c>
      <c r="AE1334" t="s">
        <v>63</v>
      </c>
      <c r="AF1334" t="s">
        <v>63</v>
      </c>
      <c r="AG1334" t="s">
        <v>11814</v>
      </c>
      <c r="AH1334" t="s">
        <v>63</v>
      </c>
      <c r="AI1334" t="s">
        <v>11815</v>
      </c>
      <c r="AJ1334" t="s">
        <v>63</v>
      </c>
      <c r="AK1334" t="s">
        <v>63</v>
      </c>
      <c r="AL1334" t="s">
        <v>63</v>
      </c>
      <c r="AM1334" t="s">
        <v>11816</v>
      </c>
      <c r="AN1334" t="s">
        <v>63</v>
      </c>
      <c r="AO1334" t="s">
        <v>63</v>
      </c>
      <c r="AP1334" t="s">
        <v>63</v>
      </c>
      <c r="AQ1334" t="s">
        <v>63</v>
      </c>
      <c r="AR1334" t="s">
        <v>63</v>
      </c>
      <c r="AS1334" t="s">
        <v>63</v>
      </c>
      <c r="AT1334" t="s">
        <v>63</v>
      </c>
      <c r="AU1334" t="s">
        <v>63</v>
      </c>
      <c r="AV1334" t="s">
        <v>63</v>
      </c>
      <c r="AW1334" t="s">
        <v>63</v>
      </c>
      <c r="AX1334" t="s">
        <v>63</v>
      </c>
      <c r="AY1334" t="s">
        <v>63</v>
      </c>
      <c r="AZ1334" t="s">
        <v>63</v>
      </c>
      <c r="BA1334" t="s">
        <v>63</v>
      </c>
      <c r="BB1334" t="s">
        <v>63</v>
      </c>
      <c r="BC1334" t="s">
        <v>63</v>
      </c>
      <c r="BD1334" t="s">
        <v>63</v>
      </c>
      <c r="BE1334" t="s">
        <v>63</v>
      </c>
      <c r="BF1334" t="s">
        <v>63</v>
      </c>
    </row>
    <row r="1335" spans="1:58">
      <c r="A1335" t="s">
        <v>58</v>
      </c>
      <c r="B1335" t="s">
        <v>11817</v>
      </c>
      <c r="C1335" t="s">
        <v>11818</v>
      </c>
      <c r="D1335" t="s">
        <v>9571</v>
      </c>
      <c r="E1335" t="s">
        <v>63</v>
      </c>
      <c r="F1335">
        <v>2005</v>
      </c>
      <c r="G1335" t="s">
        <v>189</v>
      </c>
      <c r="H1335">
        <v>95</v>
      </c>
      <c r="I1335">
        <v>5</v>
      </c>
      <c r="J1335">
        <v>330</v>
      </c>
      <c r="K1335">
        <v>331</v>
      </c>
      <c r="L1335" t="s">
        <v>11819</v>
      </c>
      <c r="M1335" t="s">
        <v>63</v>
      </c>
      <c r="N1335" t="s">
        <v>11820</v>
      </c>
      <c r="O1335" t="s">
        <v>63</v>
      </c>
      <c r="Q1335" t="s">
        <v>63</v>
      </c>
      <c r="R1335" t="s">
        <v>63</v>
      </c>
      <c r="S1335" t="s">
        <v>63</v>
      </c>
      <c r="T1335" t="s">
        <v>63</v>
      </c>
      <c r="X1335" t="s">
        <v>63</v>
      </c>
      <c r="Y1335" t="s">
        <v>9574</v>
      </c>
      <c r="Z1335" t="s">
        <v>63</v>
      </c>
      <c r="AA1335" t="s">
        <v>63</v>
      </c>
      <c r="AB1335">
        <v>15931446</v>
      </c>
      <c r="AC1335" t="s">
        <v>67</v>
      </c>
      <c r="AD1335" t="s">
        <v>63</v>
      </c>
      <c r="AE1335" t="s">
        <v>63</v>
      </c>
      <c r="AF1335" t="s">
        <v>63</v>
      </c>
      <c r="AG1335" t="s">
        <v>11821</v>
      </c>
      <c r="AH1335" t="s">
        <v>63</v>
      </c>
      <c r="AI1335" t="s">
        <v>63</v>
      </c>
      <c r="AJ1335" t="s">
        <v>63</v>
      </c>
      <c r="AK1335" t="s">
        <v>63</v>
      </c>
      <c r="AL1335" t="s">
        <v>63</v>
      </c>
      <c r="AM1335" t="s">
        <v>11822</v>
      </c>
      <c r="AN1335" t="s">
        <v>63</v>
      </c>
      <c r="AO1335" t="s">
        <v>63</v>
      </c>
      <c r="AP1335" t="s">
        <v>63</v>
      </c>
      <c r="AQ1335" t="s">
        <v>63</v>
      </c>
      <c r="AR1335" t="s">
        <v>63</v>
      </c>
      <c r="AS1335" t="s">
        <v>63</v>
      </c>
      <c r="AT1335" t="s">
        <v>63</v>
      </c>
      <c r="AU1335" t="s">
        <v>63</v>
      </c>
      <c r="AV1335" t="s">
        <v>63</v>
      </c>
      <c r="AW1335" t="s">
        <v>63</v>
      </c>
      <c r="AX1335" t="s">
        <v>63</v>
      </c>
      <c r="AY1335" t="s">
        <v>63</v>
      </c>
      <c r="AZ1335" t="s">
        <v>63</v>
      </c>
      <c r="BA1335" t="s">
        <v>63</v>
      </c>
      <c r="BB1335" t="s">
        <v>63</v>
      </c>
      <c r="BC1335" t="s">
        <v>63</v>
      </c>
      <c r="BD1335" t="s">
        <v>63</v>
      </c>
      <c r="BE1335" t="s">
        <v>63</v>
      </c>
      <c r="BF1335" t="s">
        <v>63</v>
      </c>
    </row>
    <row r="1336" spans="1:58">
      <c r="A1336" t="s">
        <v>58</v>
      </c>
      <c r="B1336" t="s">
        <v>11823</v>
      </c>
      <c r="C1336" t="s">
        <v>11824</v>
      </c>
      <c r="D1336" t="s">
        <v>1065</v>
      </c>
      <c r="E1336" t="s">
        <v>63</v>
      </c>
      <c r="F1336">
        <v>2013</v>
      </c>
      <c r="G1336" s="1">
        <v>41719</v>
      </c>
      <c r="H1336">
        <v>13</v>
      </c>
      <c r="I1336" t="s">
        <v>63</v>
      </c>
      <c r="J1336">
        <v>108</v>
      </c>
      <c r="K1336" t="s">
        <v>63</v>
      </c>
      <c r="L1336" t="s">
        <v>11825</v>
      </c>
      <c r="M1336" t="s">
        <v>11826</v>
      </c>
      <c r="N1336" t="s">
        <v>11827</v>
      </c>
      <c r="O1336" t="s">
        <v>63</v>
      </c>
      <c r="Q1336" t="s">
        <v>63</v>
      </c>
      <c r="R1336" t="s">
        <v>63</v>
      </c>
      <c r="S1336" t="s">
        <v>63</v>
      </c>
      <c r="T1336" t="s">
        <v>63</v>
      </c>
      <c r="X1336" t="s">
        <v>63</v>
      </c>
      <c r="Y1336" t="s">
        <v>1069</v>
      </c>
      <c r="Z1336" t="s">
        <v>63</v>
      </c>
      <c r="AA1336" t="s">
        <v>11828</v>
      </c>
      <c r="AB1336">
        <v>23517813</v>
      </c>
      <c r="AC1336" t="s">
        <v>67</v>
      </c>
      <c r="AD1336" t="s">
        <v>63</v>
      </c>
      <c r="AE1336" t="s">
        <v>63</v>
      </c>
      <c r="AF1336" t="s">
        <v>63</v>
      </c>
      <c r="AG1336" t="s">
        <v>11829</v>
      </c>
      <c r="AH1336" t="s">
        <v>63</v>
      </c>
      <c r="AI1336" t="s">
        <v>11830</v>
      </c>
      <c r="AJ1336" t="s">
        <v>63</v>
      </c>
      <c r="AK1336" t="s">
        <v>63</v>
      </c>
      <c r="AL1336" t="s">
        <v>63</v>
      </c>
      <c r="AM1336" t="s">
        <v>11831</v>
      </c>
      <c r="AN1336" t="s">
        <v>63</v>
      </c>
      <c r="AO1336" t="s">
        <v>63</v>
      </c>
      <c r="AP1336" t="s">
        <v>63</v>
      </c>
      <c r="AQ1336" t="s">
        <v>63</v>
      </c>
      <c r="AR1336" t="s">
        <v>63</v>
      </c>
      <c r="AS1336" t="s">
        <v>63</v>
      </c>
      <c r="AT1336" t="s">
        <v>63</v>
      </c>
      <c r="AU1336" t="s">
        <v>63</v>
      </c>
      <c r="AV1336" t="s">
        <v>63</v>
      </c>
      <c r="AW1336" t="s">
        <v>63</v>
      </c>
      <c r="AX1336" t="s">
        <v>63</v>
      </c>
      <c r="AY1336" t="s">
        <v>63</v>
      </c>
      <c r="AZ1336" t="s">
        <v>63</v>
      </c>
      <c r="BA1336" t="s">
        <v>63</v>
      </c>
      <c r="BB1336" t="s">
        <v>63</v>
      </c>
      <c r="BC1336" t="s">
        <v>63</v>
      </c>
      <c r="BD1336" t="s">
        <v>63</v>
      </c>
      <c r="BE1336" t="s">
        <v>63</v>
      </c>
      <c r="BF1336" t="s">
        <v>63</v>
      </c>
    </row>
    <row r="1337" spans="1:58">
      <c r="A1337" t="s">
        <v>58</v>
      </c>
      <c r="B1337" t="s">
        <v>11832</v>
      </c>
      <c r="C1337" t="s">
        <v>11833</v>
      </c>
      <c r="D1337" t="s">
        <v>1481</v>
      </c>
      <c r="E1337" t="s">
        <v>1481</v>
      </c>
      <c r="F1337">
        <v>2006</v>
      </c>
      <c r="G1337" t="s">
        <v>198</v>
      </c>
      <c r="H1337">
        <v>101</v>
      </c>
      <c r="I1337">
        <v>1</v>
      </c>
      <c r="J1337">
        <v>10</v>
      </c>
      <c r="K1337">
        <v>15</v>
      </c>
      <c r="L1337" t="s">
        <v>11834</v>
      </c>
      <c r="M1337" t="s">
        <v>11835</v>
      </c>
      <c r="N1337" t="s">
        <v>11836</v>
      </c>
      <c r="O1337" t="s">
        <v>63</v>
      </c>
      <c r="Q1337" t="s">
        <v>63</v>
      </c>
      <c r="R1337" t="s">
        <v>63</v>
      </c>
      <c r="S1337" t="s">
        <v>63</v>
      </c>
      <c r="T1337" t="s">
        <v>63</v>
      </c>
      <c r="X1337" t="s">
        <v>63</v>
      </c>
      <c r="Y1337" t="s">
        <v>2426</v>
      </c>
      <c r="Z1337" t="s">
        <v>63</v>
      </c>
      <c r="AA1337" t="s">
        <v>11837</v>
      </c>
      <c r="AB1337">
        <v>16393188</v>
      </c>
      <c r="AC1337" t="s">
        <v>67</v>
      </c>
      <c r="AD1337" t="s">
        <v>63</v>
      </c>
      <c r="AE1337" t="s">
        <v>63</v>
      </c>
      <c r="AF1337" t="s">
        <v>63</v>
      </c>
      <c r="AG1337" t="s">
        <v>11838</v>
      </c>
      <c r="AH1337" t="s">
        <v>63</v>
      </c>
      <c r="AI1337" t="s">
        <v>63</v>
      </c>
      <c r="AJ1337" t="s">
        <v>63</v>
      </c>
      <c r="AK1337" t="s">
        <v>63</v>
      </c>
      <c r="AL1337" t="s">
        <v>63</v>
      </c>
      <c r="AM1337" t="s">
        <v>11839</v>
      </c>
      <c r="AN1337" t="s">
        <v>63</v>
      </c>
      <c r="AO1337" t="s">
        <v>63</v>
      </c>
      <c r="AP1337" t="s">
        <v>63</v>
      </c>
      <c r="AQ1337" t="s">
        <v>63</v>
      </c>
      <c r="AR1337" t="s">
        <v>63</v>
      </c>
      <c r="AS1337" t="s">
        <v>63</v>
      </c>
      <c r="AT1337" t="s">
        <v>63</v>
      </c>
      <c r="AU1337" t="s">
        <v>63</v>
      </c>
      <c r="AV1337" t="s">
        <v>63</v>
      </c>
      <c r="AW1337" t="s">
        <v>63</v>
      </c>
      <c r="AX1337" t="s">
        <v>63</v>
      </c>
      <c r="AY1337" t="s">
        <v>63</v>
      </c>
      <c r="AZ1337" t="s">
        <v>63</v>
      </c>
      <c r="BA1337" t="s">
        <v>63</v>
      </c>
      <c r="BB1337" t="s">
        <v>63</v>
      </c>
      <c r="BC1337" t="s">
        <v>63</v>
      </c>
      <c r="BD1337" t="s">
        <v>63</v>
      </c>
      <c r="BE1337" t="s">
        <v>63</v>
      </c>
      <c r="BF1337" t="s">
        <v>63</v>
      </c>
    </row>
    <row r="1338" spans="1:58">
      <c r="A1338" t="s">
        <v>58</v>
      </c>
      <c r="B1338" t="s">
        <v>11840</v>
      </c>
      <c r="C1338" t="s">
        <v>11841</v>
      </c>
      <c r="D1338" t="s">
        <v>11842</v>
      </c>
      <c r="E1338" t="s">
        <v>63</v>
      </c>
      <c r="F1338">
        <v>2013</v>
      </c>
      <c r="G1338" s="1">
        <v>41675</v>
      </c>
      <c r="H1338" t="s">
        <v>63</v>
      </c>
      <c r="I1338" t="s">
        <v>63</v>
      </c>
      <c r="J1338">
        <v>6</v>
      </c>
      <c r="K1338" t="s">
        <v>63</v>
      </c>
      <c r="L1338" t="s">
        <v>11843</v>
      </c>
      <c r="M1338" t="s">
        <v>11844</v>
      </c>
      <c r="N1338" t="s">
        <v>11845</v>
      </c>
      <c r="O1338" t="s">
        <v>63</v>
      </c>
      <c r="Q1338" t="s">
        <v>63</v>
      </c>
      <c r="R1338" t="s">
        <v>63</v>
      </c>
      <c r="S1338" t="s">
        <v>63</v>
      </c>
      <c r="T1338" t="s">
        <v>63</v>
      </c>
      <c r="X1338" t="s">
        <v>63</v>
      </c>
      <c r="Y1338" t="s">
        <v>11846</v>
      </c>
      <c r="Z1338" t="s">
        <v>63</v>
      </c>
      <c r="AA1338" t="s">
        <v>11847</v>
      </c>
      <c r="AB1338">
        <v>23391959</v>
      </c>
      <c r="AC1338" t="s">
        <v>67</v>
      </c>
      <c r="AD1338" t="s">
        <v>63</v>
      </c>
      <c r="AE1338" t="s">
        <v>63</v>
      </c>
      <c r="AF1338" t="s">
        <v>63</v>
      </c>
      <c r="AG1338" t="s">
        <v>11848</v>
      </c>
      <c r="AH1338" t="s">
        <v>63</v>
      </c>
      <c r="AI1338" t="s">
        <v>11849</v>
      </c>
      <c r="AJ1338" t="s">
        <v>63</v>
      </c>
      <c r="AK1338" t="s">
        <v>63</v>
      </c>
      <c r="AL1338" t="s">
        <v>63</v>
      </c>
      <c r="AM1338" t="s">
        <v>11850</v>
      </c>
      <c r="AN1338" t="s">
        <v>63</v>
      </c>
      <c r="AO1338" t="s">
        <v>63</v>
      </c>
      <c r="AP1338" t="s">
        <v>63</v>
      </c>
      <c r="AQ1338" t="s">
        <v>63</v>
      </c>
      <c r="AR1338" t="s">
        <v>63</v>
      </c>
      <c r="AS1338" t="s">
        <v>63</v>
      </c>
      <c r="AT1338" t="s">
        <v>63</v>
      </c>
      <c r="AU1338" t="s">
        <v>63</v>
      </c>
      <c r="AV1338" t="s">
        <v>63</v>
      </c>
      <c r="AW1338" t="s">
        <v>63</v>
      </c>
      <c r="AX1338" t="s">
        <v>63</v>
      </c>
      <c r="AY1338" t="s">
        <v>63</v>
      </c>
      <c r="AZ1338" t="s">
        <v>63</v>
      </c>
      <c r="BA1338" t="s">
        <v>63</v>
      </c>
      <c r="BB1338" t="s">
        <v>63</v>
      </c>
      <c r="BC1338" t="s">
        <v>63</v>
      </c>
      <c r="BD1338" t="s">
        <v>63</v>
      </c>
      <c r="BE1338" t="s">
        <v>63</v>
      </c>
      <c r="BF1338" t="s">
        <v>63</v>
      </c>
    </row>
    <row r="1339" spans="1:58">
      <c r="A1339" t="s">
        <v>58</v>
      </c>
      <c r="B1339" t="s">
        <v>11851</v>
      </c>
      <c r="C1339" t="s">
        <v>11852</v>
      </c>
      <c r="D1339" t="s">
        <v>325</v>
      </c>
      <c r="E1339" t="s">
        <v>63</v>
      </c>
      <c r="F1339">
        <v>2016</v>
      </c>
      <c r="G1339" t="s">
        <v>73</v>
      </c>
      <c r="H1339">
        <v>40</v>
      </c>
      <c r="I1339">
        <v>3</v>
      </c>
      <c r="J1339">
        <v>517</v>
      </c>
      <c r="K1339">
        <v>519</v>
      </c>
      <c r="L1339" t="s">
        <v>11853</v>
      </c>
      <c r="M1339" t="s">
        <v>63</v>
      </c>
      <c r="N1339" t="s">
        <v>11854</v>
      </c>
      <c r="O1339" t="s">
        <v>63</v>
      </c>
      <c r="Q1339" t="s">
        <v>63</v>
      </c>
      <c r="R1339" t="s">
        <v>63</v>
      </c>
      <c r="S1339" t="s">
        <v>63</v>
      </c>
      <c r="T1339" t="s">
        <v>63</v>
      </c>
      <c r="X1339" t="s">
        <v>63</v>
      </c>
      <c r="Y1339" t="s">
        <v>330</v>
      </c>
      <c r="Z1339" t="s">
        <v>63</v>
      </c>
      <c r="AA1339" t="s">
        <v>11855</v>
      </c>
      <c r="AB1339">
        <v>26108398</v>
      </c>
      <c r="AC1339" t="s">
        <v>67</v>
      </c>
      <c r="AD1339" t="s">
        <v>63</v>
      </c>
      <c r="AE1339" t="s">
        <v>63</v>
      </c>
      <c r="AF1339" t="s">
        <v>63</v>
      </c>
      <c r="AG1339" t="s">
        <v>11856</v>
      </c>
      <c r="AH1339" t="s">
        <v>63</v>
      </c>
      <c r="AI1339" t="s">
        <v>11857</v>
      </c>
      <c r="AJ1339" t="s">
        <v>63</v>
      </c>
      <c r="AK1339" t="s">
        <v>63</v>
      </c>
      <c r="AL1339" t="s">
        <v>63</v>
      </c>
      <c r="AM1339" t="s">
        <v>11858</v>
      </c>
      <c r="AN1339" t="s">
        <v>63</v>
      </c>
      <c r="AO1339" t="s">
        <v>63</v>
      </c>
      <c r="AP1339" t="s">
        <v>63</v>
      </c>
      <c r="AQ1339" t="s">
        <v>63</v>
      </c>
      <c r="AR1339" t="s">
        <v>63</v>
      </c>
      <c r="AS1339" t="s">
        <v>63</v>
      </c>
      <c r="AT1339" t="s">
        <v>63</v>
      </c>
      <c r="AU1339" t="s">
        <v>63</v>
      </c>
      <c r="AV1339" t="s">
        <v>63</v>
      </c>
      <c r="AW1339" t="s">
        <v>63</v>
      </c>
      <c r="AX1339" t="s">
        <v>63</v>
      </c>
      <c r="AY1339" t="s">
        <v>63</v>
      </c>
      <c r="AZ1339" t="s">
        <v>63</v>
      </c>
      <c r="BA1339" t="s">
        <v>63</v>
      </c>
      <c r="BB1339" t="s">
        <v>63</v>
      </c>
      <c r="BC1339" t="s">
        <v>63</v>
      </c>
      <c r="BD1339" t="s">
        <v>63</v>
      </c>
      <c r="BE1339" t="s">
        <v>63</v>
      </c>
      <c r="BF1339" t="s">
        <v>63</v>
      </c>
    </row>
    <row r="1340" spans="1:58">
      <c r="A1340" t="s">
        <v>58</v>
      </c>
      <c r="B1340" t="s">
        <v>11859</v>
      </c>
      <c r="C1340" t="s">
        <v>11860</v>
      </c>
      <c r="D1340" t="s">
        <v>1728</v>
      </c>
      <c r="E1340" t="s">
        <v>1729</v>
      </c>
      <c r="F1340">
        <v>1997</v>
      </c>
      <c r="G1340" t="s">
        <v>1737</v>
      </c>
      <c r="H1340">
        <v>29</v>
      </c>
      <c r="I1340">
        <v>3</v>
      </c>
      <c r="J1340">
        <v>275</v>
      </c>
      <c r="K1340">
        <v>284</v>
      </c>
      <c r="L1340" t="s">
        <v>11861</v>
      </c>
      <c r="M1340" t="s">
        <v>11862</v>
      </c>
      <c r="N1340" t="s">
        <v>11863</v>
      </c>
      <c r="O1340" t="s">
        <v>63</v>
      </c>
      <c r="Q1340" t="s">
        <v>63</v>
      </c>
      <c r="R1340" t="s">
        <v>63</v>
      </c>
      <c r="S1340" t="s">
        <v>63</v>
      </c>
      <c r="T1340" t="s">
        <v>63</v>
      </c>
      <c r="X1340" t="s">
        <v>63</v>
      </c>
      <c r="Y1340" t="s">
        <v>1733</v>
      </c>
      <c r="Z1340" t="s">
        <v>63</v>
      </c>
      <c r="AA1340" t="s">
        <v>11864</v>
      </c>
      <c r="AB1340">
        <v>9339860</v>
      </c>
      <c r="AC1340" t="s">
        <v>67</v>
      </c>
      <c r="AD1340" t="s">
        <v>63</v>
      </c>
      <c r="AE1340" t="s">
        <v>63</v>
      </c>
      <c r="AF1340" t="s">
        <v>63</v>
      </c>
      <c r="AG1340" t="s">
        <v>11865</v>
      </c>
      <c r="AH1340" t="s">
        <v>63</v>
      </c>
      <c r="AI1340" t="s">
        <v>63</v>
      </c>
      <c r="AJ1340" t="s">
        <v>63</v>
      </c>
      <c r="AK1340" t="s">
        <v>63</v>
      </c>
      <c r="AL1340" t="s">
        <v>63</v>
      </c>
      <c r="AM1340" t="s">
        <v>11866</v>
      </c>
      <c r="AN1340" t="s">
        <v>63</v>
      </c>
      <c r="AO1340" t="s">
        <v>63</v>
      </c>
      <c r="AP1340" t="s">
        <v>63</v>
      </c>
      <c r="AQ1340" t="s">
        <v>63</v>
      </c>
      <c r="AR1340" t="s">
        <v>63</v>
      </c>
      <c r="AS1340" t="s">
        <v>63</v>
      </c>
      <c r="AT1340" t="s">
        <v>63</v>
      </c>
      <c r="AU1340" t="s">
        <v>63</v>
      </c>
      <c r="AV1340" t="s">
        <v>63</v>
      </c>
      <c r="AW1340" t="s">
        <v>63</v>
      </c>
      <c r="AX1340" t="s">
        <v>63</v>
      </c>
      <c r="AY1340" t="s">
        <v>63</v>
      </c>
      <c r="AZ1340" t="s">
        <v>63</v>
      </c>
      <c r="BA1340" t="s">
        <v>63</v>
      </c>
      <c r="BB1340" t="s">
        <v>63</v>
      </c>
      <c r="BC1340" t="s">
        <v>63</v>
      </c>
      <c r="BD1340" t="s">
        <v>63</v>
      </c>
      <c r="BE1340" t="s">
        <v>63</v>
      </c>
      <c r="BF1340" t="s">
        <v>63</v>
      </c>
    </row>
    <row r="1341" spans="1:58">
      <c r="A1341" t="s">
        <v>58</v>
      </c>
      <c r="B1341" t="s">
        <v>11867</v>
      </c>
      <c r="C1341" t="s">
        <v>11868</v>
      </c>
      <c r="D1341" t="s">
        <v>205</v>
      </c>
      <c r="E1341" t="s">
        <v>205</v>
      </c>
      <c r="F1341">
        <v>1987</v>
      </c>
      <c r="G1341" s="1">
        <v>41955</v>
      </c>
      <c r="H1341">
        <v>258</v>
      </c>
      <c r="I1341">
        <v>18</v>
      </c>
      <c r="J1341">
        <v>2530</v>
      </c>
      <c r="K1341" t="s">
        <v>63</v>
      </c>
      <c r="L1341" t="s">
        <v>11869</v>
      </c>
      <c r="M1341" t="s">
        <v>63</v>
      </c>
      <c r="N1341" t="s">
        <v>11870</v>
      </c>
      <c r="O1341" t="s">
        <v>63</v>
      </c>
      <c r="Q1341" t="s">
        <v>63</v>
      </c>
      <c r="R1341" t="s">
        <v>63</v>
      </c>
      <c r="S1341" t="s">
        <v>63</v>
      </c>
      <c r="T1341" t="s">
        <v>63</v>
      </c>
      <c r="X1341" t="s">
        <v>63</v>
      </c>
      <c r="Y1341" t="s">
        <v>208</v>
      </c>
      <c r="Z1341" t="s">
        <v>63</v>
      </c>
      <c r="AA1341" t="s">
        <v>63</v>
      </c>
      <c r="AB1341">
        <v>3669224</v>
      </c>
      <c r="AC1341" t="s">
        <v>67</v>
      </c>
      <c r="AD1341" t="s">
        <v>63</v>
      </c>
      <c r="AE1341" t="s">
        <v>63</v>
      </c>
      <c r="AF1341" t="s">
        <v>63</v>
      </c>
      <c r="AG1341" t="s">
        <v>11871</v>
      </c>
      <c r="AH1341" t="s">
        <v>63</v>
      </c>
      <c r="AI1341" t="s">
        <v>63</v>
      </c>
      <c r="AJ1341" t="s">
        <v>63</v>
      </c>
      <c r="AK1341" t="s">
        <v>63</v>
      </c>
      <c r="AL1341" t="s">
        <v>63</v>
      </c>
      <c r="AM1341" t="s">
        <v>11872</v>
      </c>
      <c r="AN1341" t="s">
        <v>63</v>
      </c>
      <c r="AO1341" t="s">
        <v>63</v>
      </c>
      <c r="AP1341" t="s">
        <v>63</v>
      </c>
      <c r="AQ1341" t="s">
        <v>63</v>
      </c>
      <c r="AR1341" t="s">
        <v>63</v>
      </c>
      <c r="AS1341" t="s">
        <v>63</v>
      </c>
      <c r="AT1341" t="s">
        <v>63</v>
      </c>
      <c r="AU1341" t="s">
        <v>63</v>
      </c>
      <c r="AV1341" t="s">
        <v>63</v>
      </c>
      <c r="AW1341" t="s">
        <v>63</v>
      </c>
      <c r="AX1341" t="s">
        <v>63</v>
      </c>
      <c r="AY1341" t="s">
        <v>63</v>
      </c>
      <c r="AZ1341" t="s">
        <v>63</v>
      </c>
      <c r="BA1341" t="s">
        <v>63</v>
      </c>
      <c r="BB1341" t="s">
        <v>63</v>
      </c>
      <c r="BC1341" t="s">
        <v>63</v>
      </c>
      <c r="BD1341" t="s">
        <v>63</v>
      </c>
      <c r="BE1341" t="s">
        <v>63</v>
      </c>
      <c r="BF1341" t="s">
        <v>63</v>
      </c>
    </row>
    <row r="1342" spans="1:58">
      <c r="A1342" t="s">
        <v>58</v>
      </c>
      <c r="B1342" t="s">
        <v>11873</v>
      </c>
      <c r="C1342" t="s">
        <v>11874</v>
      </c>
      <c r="D1342" t="s">
        <v>389</v>
      </c>
      <c r="E1342" t="s">
        <v>63</v>
      </c>
      <c r="F1342">
        <v>2012</v>
      </c>
      <c r="G1342" t="s">
        <v>63</v>
      </c>
      <c r="H1342">
        <v>33</v>
      </c>
      <c r="I1342">
        <v>3</v>
      </c>
      <c r="J1342">
        <v>298</v>
      </c>
      <c r="K1342">
        <v>302</v>
      </c>
      <c r="L1342" t="s">
        <v>11875</v>
      </c>
      <c r="M1342" t="s">
        <v>11876</v>
      </c>
      <c r="N1342" t="s">
        <v>11877</v>
      </c>
      <c r="O1342" t="s">
        <v>63</v>
      </c>
      <c r="Q1342" t="s">
        <v>63</v>
      </c>
      <c r="R1342" t="s">
        <v>63</v>
      </c>
      <c r="S1342" t="s">
        <v>63</v>
      </c>
      <c r="T1342" t="s">
        <v>63</v>
      </c>
      <c r="X1342" t="s">
        <v>63</v>
      </c>
      <c r="Y1342" t="s">
        <v>556</v>
      </c>
      <c r="Z1342" t="s">
        <v>63</v>
      </c>
      <c r="AA1342" t="s">
        <v>11878</v>
      </c>
      <c r="AB1342">
        <v>22738009</v>
      </c>
      <c r="AC1342" t="s">
        <v>67</v>
      </c>
      <c r="AD1342" t="s">
        <v>63</v>
      </c>
      <c r="AE1342" t="s">
        <v>63</v>
      </c>
      <c r="AF1342" t="s">
        <v>63</v>
      </c>
      <c r="AG1342" t="s">
        <v>11879</v>
      </c>
      <c r="AH1342" t="s">
        <v>63</v>
      </c>
      <c r="AI1342" t="s">
        <v>11880</v>
      </c>
      <c r="AJ1342" t="s">
        <v>63</v>
      </c>
      <c r="AK1342" t="s">
        <v>63</v>
      </c>
      <c r="AL1342" t="s">
        <v>63</v>
      </c>
      <c r="AM1342" t="s">
        <v>11881</v>
      </c>
      <c r="AN1342" t="s">
        <v>63</v>
      </c>
      <c r="AO1342" t="s">
        <v>63</v>
      </c>
      <c r="AP1342" t="s">
        <v>63</v>
      </c>
      <c r="AQ1342" t="s">
        <v>63</v>
      </c>
      <c r="AR1342" t="s">
        <v>63</v>
      </c>
      <c r="AS1342" t="s">
        <v>63</v>
      </c>
      <c r="AT1342" t="s">
        <v>63</v>
      </c>
      <c r="AU1342" t="s">
        <v>63</v>
      </c>
      <c r="AV1342" t="s">
        <v>63</v>
      </c>
      <c r="AW1342" t="s">
        <v>63</v>
      </c>
      <c r="AX1342" t="s">
        <v>63</v>
      </c>
      <c r="AY1342" t="s">
        <v>63</v>
      </c>
      <c r="AZ1342" t="s">
        <v>63</v>
      </c>
      <c r="BA1342" t="s">
        <v>63</v>
      </c>
      <c r="BB1342" t="s">
        <v>63</v>
      </c>
      <c r="BC1342" t="s">
        <v>63</v>
      </c>
      <c r="BD1342" t="s">
        <v>63</v>
      </c>
      <c r="BE1342" t="s">
        <v>63</v>
      </c>
      <c r="BF1342" t="s">
        <v>63</v>
      </c>
    </row>
    <row r="1343" spans="1:58">
      <c r="A1343" t="s">
        <v>58</v>
      </c>
      <c r="B1343" t="s">
        <v>11882</v>
      </c>
      <c r="C1343" t="s">
        <v>11883</v>
      </c>
      <c r="D1343" t="s">
        <v>325</v>
      </c>
      <c r="E1343" t="s">
        <v>63</v>
      </c>
      <c r="F1343">
        <v>2004</v>
      </c>
      <c r="G1343" t="s">
        <v>63</v>
      </c>
      <c r="H1343">
        <v>28</v>
      </c>
      <c r="I1343">
        <v>3</v>
      </c>
      <c r="J1343">
        <v>204</v>
      </c>
      <c r="K1343">
        <v>208</v>
      </c>
      <c r="L1343" t="s">
        <v>11884</v>
      </c>
      <c r="M1343" t="s">
        <v>11885</v>
      </c>
      <c r="N1343" t="s">
        <v>11886</v>
      </c>
      <c r="O1343" t="s">
        <v>63</v>
      </c>
      <c r="Q1343" t="s">
        <v>63</v>
      </c>
      <c r="R1343" t="s">
        <v>63</v>
      </c>
      <c r="S1343" t="s">
        <v>63</v>
      </c>
      <c r="T1343" t="s">
        <v>63</v>
      </c>
      <c r="X1343" t="s">
        <v>63</v>
      </c>
      <c r="Y1343" t="s">
        <v>866</v>
      </c>
      <c r="Z1343" t="s">
        <v>63</v>
      </c>
      <c r="AA1343" t="s">
        <v>11887</v>
      </c>
      <c r="AB1343">
        <v>15507555</v>
      </c>
      <c r="AC1343" t="s">
        <v>67</v>
      </c>
      <c r="AD1343" t="s">
        <v>63</v>
      </c>
      <c r="AE1343" t="s">
        <v>63</v>
      </c>
      <c r="AF1343" t="s">
        <v>63</v>
      </c>
      <c r="AG1343" t="s">
        <v>11888</v>
      </c>
      <c r="AH1343" t="s">
        <v>63</v>
      </c>
      <c r="AI1343" t="s">
        <v>63</v>
      </c>
      <c r="AJ1343" t="s">
        <v>63</v>
      </c>
      <c r="AK1343" t="s">
        <v>63</v>
      </c>
      <c r="AL1343" t="s">
        <v>63</v>
      </c>
      <c r="AM1343" t="s">
        <v>11889</v>
      </c>
      <c r="AN1343" t="s">
        <v>63</v>
      </c>
      <c r="AO1343" t="s">
        <v>63</v>
      </c>
      <c r="AP1343" t="s">
        <v>63</v>
      </c>
      <c r="AQ1343" t="s">
        <v>63</v>
      </c>
      <c r="AR1343" t="s">
        <v>63</v>
      </c>
      <c r="AS1343" t="s">
        <v>63</v>
      </c>
      <c r="AT1343" t="s">
        <v>63</v>
      </c>
      <c r="AU1343" t="s">
        <v>63</v>
      </c>
      <c r="AV1343" t="s">
        <v>63</v>
      </c>
      <c r="AW1343" t="s">
        <v>63</v>
      </c>
      <c r="AX1343" t="s">
        <v>63</v>
      </c>
      <c r="AY1343" t="s">
        <v>63</v>
      </c>
      <c r="AZ1343" t="s">
        <v>63</v>
      </c>
      <c r="BA1343" t="s">
        <v>63</v>
      </c>
      <c r="BB1343" t="s">
        <v>63</v>
      </c>
      <c r="BC1343" t="s">
        <v>63</v>
      </c>
      <c r="BD1343" t="s">
        <v>63</v>
      </c>
      <c r="BE1343" t="s">
        <v>63</v>
      </c>
      <c r="BF1343" t="s">
        <v>63</v>
      </c>
    </row>
    <row r="1344" spans="1:58">
      <c r="A1344" t="s">
        <v>58</v>
      </c>
      <c r="B1344" t="s">
        <v>11890</v>
      </c>
      <c r="C1344" t="s">
        <v>11891</v>
      </c>
      <c r="D1344" t="s">
        <v>389</v>
      </c>
      <c r="E1344" t="s">
        <v>63</v>
      </c>
      <c r="F1344">
        <v>2012</v>
      </c>
      <c r="G1344" t="s">
        <v>63</v>
      </c>
      <c r="H1344">
        <v>33</v>
      </c>
      <c r="I1344">
        <v>3</v>
      </c>
      <c r="J1344">
        <v>303</v>
      </c>
      <c r="K1344">
        <v>307</v>
      </c>
      <c r="L1344" t="s">
        <v>11892</v>
      </c>
      <c r="M1344" t="s">
        <v>11893</v>
      </c>
      <c r="N1344" t="s">
        <v>11894</v>
      </c>
      <c r="O1344" t="s">
        <v>63</v>
      </c>
      <c r="Q1344" t="s">
        <v>63</v>
      </c>
      <c r="R1344" t="s">
        <v>63</v>
      </c>
      <c r="S1344" t="s">
        <v>63</v>
      </c>
      <c r="T1344" t="s">
        <v>63</v>
      </c>
      <c r="X1344" t="s">
        <v>63</v>
      </c>
      <c r="Y1344" t="s">
        <v>556</v>
      </c>
      <c r="Z1344" t="s">
        <v>63</v>
      </c>
      <c r="AA1344" t="s">
        <v>11895</v>
      </c>
      <c r="AB1344">
        <v>22738010</v>
      </c>
      <c r="AC1344" t="s">
        <v>67</v>
      </c>
      <c r="AD1344" t="s">
        <v>63</v>
      </c>
      <c r="AE1344" t="s">
        <v>63</v>
      </c>
      <c r="AF1344" t="s">
        <v>63</v>
      </c>
      <c r="AG1344" t="s">
        <v>11896</v>
      </c>
      <c r="AH1344" t="s">
        <v>63</v>
      </c>
      <c r="AI1344" t="s">
        <v>11897</v>
      </c>
      <c r="AJ1344" t="s">
        <v>63</v>
      </c>
      <c r="AK1344" t="s">
        <v>63</v>
      </c>
      <c r="AL1344" t="s">
        <v>63</v>
      </c>
      <c r="AM1344" t="s">
        <v>11898</v>
      </c>
      <c r="AN1344" t="s">
        <v>63</v>
      </c>
      <c r="AO1344" t="s">
        <v>63</v>
      </c>
      <c r="AP1344" t="s">
        <v>63</v>
      </c>
      <c r="AQ1344" t="s">
        <v>63</v>
      </c>
      <c r="AR1344" t="s">
        <v>63</v>
      </c>
      <c r="AS1344" t="s">
        <v>63</v>
      </c>
      <c r="AT1344" t="s">
        <v>63</v>
      </c>
      <c r="AU1344" t="s">
        <v>63</v>
      </c>
      <c r="AV1344" t="s">
        <v>63</v>
      </c>
      <c r="AW1344" t="s">
        <v>63</v>
      </c>
      <c r="AX1344" t="s">
        <v>63</v>
      </c>
      <c r="AY1344" t="s">
        <v>63</v>
      </c>
      <c r="AZ1344" t="s">
        <v>63</v>
      </c>
      <c r="BA1344" t="s">
        <v>63</v>
      </c>
      <c r="BB1344" t="s">
        <v>63</v>
      </c>
      <c r="BC1344" t="s">
        <v>63</v>
      </c>
      <c r="BD1344" t="s">
        <v>63</v>
      </c>
      <c r="BE1344" t="s">
        <v>63</v>
      </c>
      <c r="BF1344" t="s">
        <v>63</v>
      </c>
    </row>
    <row r="1345" spans="1:58">
      <c r="A1345" t="s">
        <v>58</v>
      </c>
      <c r="B1345" t="s">
        <v>11899</v>
      </c>
      <c r="C1345" t="s">
        <v>11900</v>
      </c>
      <c r="D1345" t="s">
        <v>11901</v>
      </c>
      <c r="E1345" t="s">
        <v>63</v>
      </c>
      <c r="F1345">
        <v>2014</v>
      </c>
      <c r="G1345" t="s">
        <v>198</v>
      </c>
      <c r="H1345">
        <v>56</v>
      </c>
      <c r="I1345">
        <v>1</v>
      </c>
      <c r="J1345">
        <v>24</v>
      </c>
      <c r="K1345">
        <v>28</v>
      </c>
      <c r="L1345" t="s">
        <v>63</v>
      </c>
      <c r="M1345" t="s">
        <v>11902</v>
      </c>
      <c r="N1345" t="s">
        <v>11903</v>
      </c>
      <c r="O1345" t="s">
        <v>63</v>
      </c>
      <c r="Q1345" t="s">
        <v>63</v>
      </c>
      <c r="R1345" t="s">
        <v>63</v>
      </c>
      <c r="S1345" t="s">
        <v>63</v>
      </c>
      <c r="T1345" t="s">
        <v>63</v>
      </c>
      <c r="X1345" t="s">
        <v>63</v>
      </c>
      <c r="Y1345" t="s">
        <v>11904</v>
      </c>
      <c r="Z1345" t="s">
        <v>63</v>
      </c>
      <c r="AA1345" t="s">
        <v>11905</v>
      </c>
      <c r="AB1345">
        <v>24574555</v>
      </c>
      <c r="AC1345" t="s">
        <v>67</v>
      </c>
      <c r="AD1345" t="s">
        <v>63</v>
      </c>
      <c r="AE1345" t="s">
        <v>63</v>
      </c>
      <c r="AF1345" t="s">
        <v>63</v>
      </c>
      <c r="AG1345" t="s">
        <v>11906</v>
      </c>
      <c r="AH1345" t="s">
        <v>63</v>
      </c>
      <c r="AI1345" t="s">
        <v>11907</v>
      </c>
      <c r="AJ1345" t="s">
        <v>63</v>
      </c>
      <c r="AK1345" t="s">
        <v>63</v>
      </c>
      <c r="AL1345" t="s">
        <v>63</v>
      </c>
      <c r="AM1345" t="s">
        <v>11908</v>
      </c>
      <c r="AN1345" t="s">
        <v>63</v>
      </c>
      <c r="AO1345" t="s">
        <v>63</v>
      </c>
      <c r="AP1345" t="s">
        <v>63</v>
      </c>
      <c r="AQ1345" t="s">
        <v>63</v>
      </c>
      <c r="AR1345" t="s">
        <v>63</v>
      </c>
      <c r="AS1345" t="s">
        <v>63</v>
      </c>
      <c r="AT1345" t="s">
        <v>63</v>
      </c>
      <c r="AU1345" t="s">
        <v>63</v>
      </c>
      <c r="AV1345" t="s">
        <v>63</v>
      </c>
      <c r="AW1345" t="s">
        <v>63</v>
      </c>
      <c r="AX1345" t="s">
        <v>63</v>
      </c>
      <c r="AY1345" t="s">
        <v>63</v>
      </c>
      <c r="AZ1345" t="s">
        <v>63</v>
      </c>
      <c r="BA1345" t="s">
        <v>63</v>
      </c>
      <c r="BB1345" t="s">
        <v>63</v>
      </c>
      <c r="BC1345" t="s">
        <v>63</v>
      </c>
      <c r="BD1345" t="s">
        <v>63</v>
      </c>
      <c r="BE1345" t="s">
        <v>63</v>
      </c>
      <c r="BF1345" t="s">
        <v>63</v>
      </c>
    </row>
    <row r="1346" spans="1:58">
      <c r="A1346" t="s">
        <v>58</v>
      </c>
      <c r="B1346" t="s">
        <v>11909</v>
      </c>
      <c r="C1346" t="s">
        <v>11910</v>
      </c>
      <c r="D1346" t="s">
        <v>11911</v>
      </c>
      <c r="E1346" t="s">
        <v>11911</v>
      </c>
      <c r="F1346">
        <v>2013</v>
      </c>
      <c r="G1346" t="s">
        <v>623</v>
      </c>
      <c r="H1346">
        <v>99</v>
      </c>
      <c r="I1346">
        <v>1</v>
      </c>
      <c r="J1346">
        <v>17</v>
      </c>
      <c r="K1346">
        <v>22</v>
      </c>
      <c r="L1346" t="s">
        <v>11912</v>
      </c>
      <c r="M1346" t="s">
        <v>11913</v>
      </c>
      <c r="N1346" t="s">
        <v>11914</v>
      </c>
      <c r="O1346" t="s">
        <v>63</v>
      </c>
      <c r="Q1346" t="s">
        <v>63</v>
      </c>
      <c r="R1346" t="s">
        <v>63</v>
      </c>
      <c r="S1346" t="s">
        <v>63</v>
      </c>
      <c r="T1346" t="s">
        <v>63</v>
      </c>
      <c r="X1346" t="s">
        <v>63</v>
      </c>
      <c r="Y1346" t="s">
        <v>11915</v>
      </c>
      <c r="Z1346" t="s">
        <v>63</v>
      </c>
      <c r="AA1346" t="s">
        <v>11916</v>
      </c>
      <c r="AB1346">
        <v>23548994</v>
      </c>
      <c r="AC1346" t="s">
        <v>67</v>
      </c>
      <c r="AD1346" t="s">
        <v>63</v>
      </c>
      <c r="AE1346" t="s">
        <v>63</v>
      </c>
      <c r="AF1346" t="s">
        <v>63</v>
      </c>
      <c r="AG1346" t="s">
        <v>11917</v>
      </c>
      <c r="AH1346" t="s">
        <v>63</v>
      </c>
      <c r="AI1346" t="s">
        <v>11918</v>
      </c>
      <c r="AJ1346" t="s">
        <v>63</v>
      </c>
      <c r="AK1346" t="s">
        <v>63</v>
      </c>
      <c r="AL1346" t="s">
        <v>63</v>
      </c>
      <c r="AM1346" t="s">
        <v>11919</v>
      </c>
      <c r="AN1346" t="s">
        <v>63</v>
      </c>
      <c r="AO1346" t="s">
        <v>63</v>
      </c>
      <c r="AP1346" t="s">
        <v>63</v>
      </c>
      <c r="AQ1346" t="s">
        <v>63</v>
      </c>
      <c r="AR1346" t="s">
        <v>63</v>
      </c>
      <c r="AS1346" t="s">
        <v>63</v>
      </c>
      <c r="AT1346" t="s">
        <v>63</v>
      </c>
      <c r="AU1346" t="s">
        <v>63</v>
      </c>
      <c r="AV1346" t="s">
        <v>63</v>
      </c>
      <c r="AW1346" t="s">
        <v>63</v>
      </c>
      <c r="AX1346" t="s">
        <v>63</v>
      </c>
      <c r="AY1346" t="s">
        <v>63</v>
      </c>
      <c r="AZ1346" t="s">
        <v>63</v>
      </c>
      <c r="BA1346" t="s">
        <v>63</v>
      </c>
      <c r="BB1346" t="s">
        <v>63</v>
      </c>
      <c r="BC1346" t="s">
        <v>63</v>
      </c>
      <c r="BD1346" t="s">
        <v>63</v>
      </c>
      <c r="BE1346" t="s">
        <v>63</v>
      </c>
      <c r="BF1346" t="s">
        <v>63</v>
      </c>
    </row>
    <row r="1347" spans="1:58">
      <c r="A1347" t="s">
        <v>58</v>
      </c>
      <c r="B1347" t="s">
        <v>11920</v>
      </c>
      <c r="C1347" t="s">
        <v>11921</v>
      </c>
      <c r="D1347" t="s">
        <v>640</v>
      </c>
      <c r="E1347" t="s">
        <v>63</v>
      </c>
      <c r="F1347">
        <v>1991</v>
      </c>
      <c r="G1347" t="s">
        <v>63</v>
      </c>
      <c r="H1347">
        <v>10</v>
      </c>
      <c r="I1347">
        <v>3</v>
      </c>
      <c r="J1347">
        <v>263</v>
      </c>
      <c r="K1347">
        <v>275</v>
      </c>
      <c r="L1347" t="s">
        <v>63</v>
      </c>
      <c r="M1347" t="s">
        <v>11922</v>
      </c>
      <c r="N1347" t="s">
        <v>11923</v>
      </c>
      <c r="O1347" t="s">
        <v>63</v>
      </c>
      <c r="Q1347" t="s">
        <v>63</v>
      </c>
      <c r="R1347" t="s">
        <v>63</v>
      </c>
      <c r="S1347" t="s">
        <v>63</v>
      </c>
      <c r="T1347" t="s">
        <v>63</v>
      </c>
      <c r="X1347" t="s">
        <v>63</v>
      </c>
      <c r="Y1347" t="s">
        <v>644</v>
      </c>
      <c r="Z1347" t="s">
        <v>63</v>
      </c>
      <c r="AA1347" t="s">
        <v>11924</v>
      </c>
      <c r="AB1347">
        <v>16840056</v>
      </c>
      <c r="AC1347" t="s">
        <v>67</v>
      </c>
      <c r="AD1347" t="s">
        <v>63</v>
      </c>
      <c r="AE1347" t="s">
        <v>63</v>
      </c>
      <c r="AF1347" t="s">
        <v>63</v>
      </c>
      <c r="AG1347" t="s">
        <v>11925</v>
      </c>
      <c r="AH1347" t="s">
        <v>63</v>
      </c>
      <c r="AI1347" t="s">
        <v>63</v>
      </c>
      <c r="AJ1347" t="s">
        <v>63</v>
      </c>
      <c r="AK1347" t="s">
        <v>63</v>
      </c>
      <c r="AL1347" t="s">
        <v>63</v>
      </c>
      <c r="AM1347" t="s">
        <v>11926</v>
      </c>
      <c r="AN1347" t="s">
        <v>63</v>
      </c>
      <c r="AO1347" t="s">
        <v>63</v>
      </c>
      <c r="AP1347" t="s">
        <v>63</v>
      </c>
      <c r="AQ1347" t="s">
        <v>63</v>
      </c>
      <c r="AR1347" t="s">
        <v>63</v>
      </c>
      <c r="AS1347" t="s">
        <v>63</v>
      </c>
      <c r="AT1347" t="s">
        <v>63</v>
      </c>
      <c r="AU1347" t="s">
        <v>63</v>
      </c>
      <c r="AV1347" t="s">
        <v>63</v>
      </c>
      <c r="AW1347" t="s">
        <v>63</v>
      </c>
      <c r="AX1347" t="s">
        <v>63</v>
      </c>
      <c r="AY1347" t="s">
        <v>63</v>
      </c>
      <c r="AZ1347" t="s">
        <v>63</v>
      </c>
      <c r="BA1347" t="s">
        <v>63</v>
      </c>
      <c r="BB1347" t="s">
        <v>63</v>
      </c>
      <c r="BC1347" t="s">
        <v>63</v>
      </c>
      <c r="BD1347" t="s">
        <v>63</v>
      </c>
      <c r="BE1347" t="s">
        <v>63</v>
      </c>
      <c r="BF1347" t="s">
        <v>63</v>
      </c>
    </row>
    <row r="1348" spans="1:58">
      <c r="A1348" t="s">
        <v>58</v>
      </c>
      <c r="B1348" t="s">
        <v>11927</v>
      </c>
      <c r="C1348" t="s">
        <v>11928</v>
      </c>
      <c r="D1348" t="s">
        <v>1212</v>
      </c>
      <c r="E1348" t="s">
        <v>63</v>
      </c>
      <c r="F1348">
        <v>2015</v>
      </c>
      <c r="G1348" t="s">
        <v>1717</v>
      </c>
      <c r="H1348">
        <v>9</v>
      </c>
      <c r="I1348">
        <v>6</v>
      </c>
      <c r="J1348">
        <v>478</v>
      </c>
      <c r="K1348">
        <v>484</v>
      </c>
      <c r="L1348" t="s">
        <v>11929</v>
      </c>
      <c r="M1348" t="s">
        <v>11930</v>
      </c>
      <c r="N1348" t="s">
        <v>11931</v>
      </c>
      <c r="O1348" t="s">
        <v>63</v>
      </c>
      <c r="Q1348" t="s">
        <v>63</v>
      </c>
      <c r="R1348" t="s">
        <v>63</v>
      </c>
      <c r="S1348" t="s">
        <v>63</v>
      </c>
      <c r="T1348" t="s">
        <v>63</v>
      </c>
      <c r="X1348" t="s">
        <v>63</v>
      </c>
      <c r="Y1348" t="s">
        <v>2367</v>
      </c>
      <c r="Z1348" t="s">
        <v>63</v>
      </c>
      <c r="AA1348" t="s">
        <v>11932</v>
      </c>
      <c r="AB1348">
        <v>26426518</v>
      </c>
      <c r="AC1348" t="s">
        <v>67</v>
      </c>
      <c r="AD1348" t="s">
        <v>63</v>
      </c>
      <c r="AE1348" t="s">
        <v>63</v>
      </c>
      <c r="AF1348" t="s">
        <v>63</v>
      </c>
      <c r="AG1348" t="s">
        <v>11933</v>
      </c>
      <c r="AH1348" t="s">
        <v>63</v>
      </c>
      <c r="AI1348" t="s">
        <v>11934</v>
      </c>
      <c r="AJ1348" t="s">
        <v>63</v>
      </c>
      <c r="AK1348" t="s">
        <v>63</v>
      </c>
      <c r="AL1348" t="s">
        <v>63</v>
      </c>
      <c r="AM1348" t="s">
        <v>11935</v>
      </c>
      <c r="AN1348" t="s">
        <v>63</v>
      </c>
      <c r="AO1348" t="s">
        <v>63</v>
      </c>
      <c r="AP1348" t="s">
        <v>63</v>
      </c>
      <c r="AQ1348" t="s">
        <v>63</v>
      </c>
      <c r="AR1348" t="s">
        <v>63</v>
      </c>
      <c r="AS1348" t="s">
        <v>63</v>
      </c>
      <c r="AT1348" t="s">
        <v>63</v>
      </c>
      <c r="AU1348" t="s">
        <v>63</v>
      </c>
      <c r="AV1348" t="s">
        <v>63</v>
      </c>
      <c r="AW1348" t="s">
        <v>63</v>
      </c>
      <c r="AX1348" t="s">
        <v>63</v>
      </c>
      <c r="AY1348" t="s">
        <v>63</v>
      </c>
      <c r="AZ1348" t="s">
        <v>63</v>
      </c>
      <c r="BA1348" t="s">
        <v>63</v>
      </c>
      <c r="BB1348" t="s">
        <v>63</v>
      </c>
      <c r="BC1348" t="s">
        <v>63</v>
      </c>
      <c r="BD1348" t="s">
        <v>63</v>
      </c>
      <c r="BE1348" t="s">
        <v>63</v>
      </c>
      <c r="BF1348" t="s">
        <v>63</v>
      </c>
    </row>
    <row r="1349" spans="1:58">
      <c r="A1349" t="s">
        <v>58</v>
      </c>
      <c r="B1349" t="s">
        <v>11936</v>
      </c>
      <c r="C1349" t="s">
        <v>11937</v>
      </c>
      <c r="D1349" t="s">
        <v>11938</v>
      </c>
      <c r="E1349" t="s">
        <v>11939</v>
      </c>
      <c r="F1349">
        <v>2016</v>
      </c>
      <c r="G1349" t="s">
        <v>84</v>
      </c>
      <c r="H1349">
        <v>88</v>
      </c>
      <c r="I1349">
        <v>4</v>
      </c>
      <c r="J1349">
        <v>110</v>
      </c>
      <c r="K1349">
        <v>114</v>
      </c>
      <c r="L1349" t="s">
        <v>11940</v>
      </c>
      <c r="M1349" t="s">
        <v>11941</v>
      </c>
      <c r="N1349" t="s">
        <v>11942</v>
      </c>
      <c r="O1349" t="s">
        <v>63</v>
      </c>
      <c r="Q1349" t="s">
        <v>63</v>
      </c>
      <c r="R1349" t="s">
        <v>63</v>
      </c>
      <c r="S1349" t="s">
        <v>63</v>
      </c>
      <c r="T1349" t="s">
        <v>63</v>
      </c>
      <c r="X1349" t="s">
        <v>63</v>
      </c>
      <c r="Y1349" s="2">
        <v>2146836</v>
      </c>
      <c r="Z1349" t="s">
        <v>63</v>
      </c>
      <c r="AA1349" t="s">
        <v>63</v>
      </c>
      <c r="AB1349">
        <v>27263243</v>
      </c>
      <c r="AC1349" t="s">
        <v>67</v>
      </c>
      <c r="AD1349" t="s">
        <v>63</v>
      </c>
      <c r="AE1349" t="s">
        <v>63</v>
      </c>
      <c r="AF1349" t="s">
        <v>63</v>
      </c>
      <c r="AG1349" t="s">
        <v>11943</v>
      </c>
      <c r="AH1349" t="s">
        <v>63</v>
      </c>
      <c r="AI1349" t="s">
        <v>63</v>
      </c>
      <c r="AJ1349" t="s">
        <v>63</v>
      </c>
      <c r="AK1349" t="s">
        <v>63</v>
      </c>
      <c r="AL1349" t="s">
        <v>63</v>
      </c>
      <c r="AM1349" t="s">
        <v>11944</v>
      </c>
      <c r="AN1349" t="s">
        <v>63</v>
      </c>
      <c r="AO1349" t="s">
        <v>63</v>
      </c>
      <c r="AP1349" t="s">
        <v>63</v>
      </c>
      <c r="AQ1349" t="s">
        <v>63</v>
      </c>
      <c r="AR1349" t="s">
        <v>63</v>
      </c>
      <c r="AS1349" t="s">
        <v>63</v>
      </c>
      <c r="AT1349" t="s">
        <v>63</v>
      </c>
      <c r="AU1349" t="s">
        <v>63</v>
      </c>
      <c r="AV1349" t="s">
        <v>63</v>
      </c>
      <c r="AW1349" t="s">
        <v>63</v>
      </c>
      <c r="AX1349" t="s">
        <v>63</v>
      </c>
      <c r="AY1349" t="s">
        <v>63</v>
      </c>
      <c r="AZ1349" t="s">
        <v>63</v>
      </c>
      <c r="BA1349" t="s">
        <v>63</v>
      </c>
      <c r="BB1349" t="s">
        <v>63</v>
      </c>
      <c r="BC1349" t="s">
        <v>63</v>
      </c>
      <c r="BD1349" t="s">
        <v>63</v>
      </c>
      <c r="BE1349" t="s">
        <v>63</v>
      </c>
      <c r="BF1349" t="s">
        <v>63</v>
      </c>
    </row>
    <row r="1350" spans="1:58">
      <c r="A1350" t="s">
        <v>58</v>
      </c>
      <c r="B1350" t="s">
        <v>11945</v>
      </c>
      <c r="C1350" t="s">
        <v>11946</v>
      </c>
      <c r="D1350" t="s">
        <v>1668</v>
      </c>
      <c r="E1350" t="s">
        <v>1669</v>
      </c>
      <c r="F1350">
        <v>2006</v>
      </c>
      <c r="G1350" t="s">
        <v>614</v>
      </c>
      <c r="H1350">
        <v>28</v>
      </c>
      <c r="I1350">
        <v>5</v>
      </c>
      <c r="J1350" t="s">
        <v>11947</v>
      </c>
      <c r="K1350">
        <v>8</v>
      </c>
      <c r="L1350" t="s">
        <v>11948</v>
      </c>
      <c r="M1350" t="s">
        <v>11949</v>
      </c>
      <c r="N1350" t="s">
        <v>11950</v>
      </c>
      <c r="O1350" t="s">
        <v>63</v>
      </c>
      <c r="Q1350" t="s">
        <v>63</v>
      </c>
      <c r="R1350" t="s">
        <v>63</v>
      </c>
      <c r="S1350" t="s">
        <v>63</v>
      </c>
      <c r="T1350" t="s">
        <v>63</v>
      </c>
      <c r="X1350" t="s">
        <v>63</v>
      </c>
      <c r="Y1350" t="s">
        <v>1673</v>
      </c>
      <c r="Z1350" t="s">
        <v>63</v>
      </c>
      <c r="AA1350" t="s">
        <v>11951</v>
      </c>
      <c r="AB1350">
        <v>16973447</v>
      </c>
      <c r="AC1350" t="s">
        <v>67</v>
      </c>
      <c r="AD1350" t="s">
        <v>63</v>
      </c>
      <c r="AE1350" t="s">
        <v>63</v>
      </c>
      <c r="AF1350" t="s">
        <v>63</v>
      </c>
      <c r="AG1350" t="s">
        <v>11952</v>
      </c>
      <c r="AH1350" t="s">
        <v>63</v>
      </c>
      <c r="AI1350" t="s">
        <v>63</v>
      </c>
      <c r="AJ1350" t="s">
        <v>63</v>
      </c>
      <c r="AK1350" t="s">
        <v>63</v>
      </c>
      <c r="AL1350" t="s">
        <v>63</v>
      </c>
      <c r="AM1350" t="s">
        <v>11953</v>
      </c>
      <c r="AN1350" t="s">
        <v>63</v>
      </c>
      <c r="AO1350" t="s">
        <v>63</v>
      </c>
      <c r="AP1350" t="s">
        <v>63</v>
      </c>
      <c r="AQ1350" t="s">
        <v>63</v>
      </c>
      <c r="AR1350" t="s">
        <v>63</v>
      </c>
      <c r="AS1350" t="s">
        <v>63</v>
      </c>
      <c r="AT1350" t="s">
        <v>63</v>
      </c>
      <c r="AU1350" t="s">
        <v>63</v>
      </c>
      <c r="AV1350" t="s">
        <v>63</v>
      </c>
      <c r="AW1350" t="s">
        <v>63</v>
      </c>
      <c r="AX1350" t="s">
        <v>63</v>
      </c>
      <c r="AY1350" t="s">
        <v>63</v>
      </c>
      <c r="AZ1350" t="s">
        <v>63</v>
      </c>
      <c r="BA1350" t="s">
        <v>63</v>
      </c>
      <c r="BB1350" t="s">
        <v>63</v>
      </c>
      <c r="BC1350" t="s">
        <v>63</v>
      </c>
      <c r="BD1350" t="s">
        <v>63</v>
      </c>
      <c r="BE1350" t="s">
        <v>63</v>
      </c>
      <c r="BF1350" t="s">
        <v>63</v>
      </c>
    </row>
    <row r="1351" spans="1:58">
      <c r="A1351" t="s">
        <v>58</v>
      </c>
      <c r="B1351" t="s">
        <v>11954</v>
      </c>
      <c r="C1351" t="s">
        <v>11955</v>
      </c>
      <c r="D1351" t="s">
        <v>5731</v>
      </c>
      <c r="E1351" t="s">
        <v>63</v>
      </c>
      <c r="F1351">
        <v>2006</v>
      </c>
      <c r="G1351" s="1">
        <v>41987</v>
      </c>
      <c r="H1351" t="s">
        <v>11956</v>
      </c>
      <c r="I1351" t="s">
        <v>63</v>
      </c>
      <c r="J1351" t="s">
        <v>11957</v>
      </c>
      <c r="K1351">
        <v>53</v>
      </c>
      <c r="L1351" t="s">
        <v>11958</v>
      </c>
      <c r="M1351" t="s">
        <v>11959</v>
      </c>
      <c r="N1351" t="s">
        <v>11960</v>
      </c>
      <c r="O1351" t="s">
        <v>63</v>
      </c>
      <c r="Q1351" t="s">
        <v>63</v>
      </c>
      <c r="R1351" t="s">
        <v>63</v>
      </c>
      <c r="S1351" t="s">
        <v>63</v>
      </c>
      <c r="T1351" t="s">
        <v>63</v>
      </c>
      <c r="X1351" t="s">
        <v>63</v>
      </c>
      <c r="Y1351" t="s">
        <v>5737</v>
      </c>
      <c r="Z1351" t="s">
        <v>63</v>
      </c>
      <c r="AA1351" t="s">
        <v>11961</v>
      </c>
      <c r="AB1351">
        <v>17109311</v>
      </c>
      <c r="AC1351" t="s">
        <v>67</v>
      </c>
      <c r="AD1351" t="s">
        <v>63</v>
      </c>
      <c r="AE1351" t="s">
        <v>63</v>
      </c>
      <c r="AF1351" t="s">
        <v>63</v>
      </c>
      <c r="AG1351" t="s">
        <v>11962</v>
      </c>
      <c r="AH1351" t="s">
        <v>63</v>
      </c>
      <c r="AI1351" t="s">
        <v>63</v>
      </c>
      <c r="AJ1351" t="s">
        <v>63</v>
      </c>
      <c r="AK1351" t="s">
        <v>63</v>
      </c>
      <c r="AL1351" t="s">
        <v>63</v>
      </c>
      <c r="AM1351" t="s">
        <v>11963</v>
      </c>
      <c r="AN1351" t="s">
        <v>63</v>
      </c>
      <c r="AO1351" t="s">
        <v>63</v>
      </c>
      <c r="AP1351" t="s">
        <v>63</v>
      </c>
      <c r="AQ1351" t="s">
        <v>63</v>
      </c>
      <c r="AR1351" t="s">
        <v>63</v>
      </c>
      <c r="AS1351" t="s">
        <v>63</v>
      </c>
      <c r="AT1351" t="s">
        <v>63</v>
      </c>
      <c r="AU1351" t="s">
        <v>63</v>
      </c>
      <c r="AV1351" t="s">
        <v>63</v>
      </c>
      <c r="AW1351" t="s">
        <v>63</v>
      </c>
      <c r="AX1351" t="s">
        <v>63</v>
      </c>
      <c r="AY1351" t="s">
        <v>63</v>
      </c>
      <c r="AZ1351" t="s">
        <v>63</v>
      </c>
      <c r="BA1351" t="s">
        <v>63</v>
      </c>
      <c r="BB1351" t="s">
        <v>63</v>
      </c>
      <c r="BC1351" t="s">
        <v>63</v>
      </c>
      <c r="BD1351" t="s">
        <v>63</v>
      </c>
      <c r="BE1351" t="s">
        <v>63</v>
      </c>
      <c r="BF1351" t="s">
        <v>63</v>
      </c>
    </row>
    <row r="1352" spans="1:58">
      <c r="A1352" t="s">
        <v>58</v>
      </c>
      <c r="B1352" t="s">
        <v>11964</v>
      </c>
      <c r="C1352" t="s">
        <v>11965</v>
      </c>
      <c r="D1352" t="s">
        <v>389</v>
      </c>
      <c r="E1352" t="s">
        <v>63</v>
      </c>
      <c r="F1352">
        <v>2017</v>
      </c>
      <c r="G1352" t="s">
        <v>982</v>
      </c>
      <c r="H1352">
        <v>38</v>
      </c>
      <c r="I1352">
        <v>4</v>
      </c>
      <c r="J1352">
        <v>414</v>
      </c>
      <c r="K1352">
        <v>421</v>
      </c>
      <c r="L1352" t="s">
        <v>63</v>
      </c>
      <c r="M1352" t="s">
        <v>11966</v>
      </c>
      <c r="N1352" t="s">
        <v>11967</v>
      </c>
      <c r="O1352" t="s">
        <v>63</v>
      </c>
      <c r="Q1352" t="s">
        <v>63</v>
      </c>
      <c r="R1352" t="s">
        <v>63</v>
      </c>
      <c r="S1352" t="s">
        <v>63</v>
      </c>
      <c r="T1352" t="s">
        <v>63</v>
      </c>
      <c r="X1352" t="s">
        <v>63</v>
      </c>
      <c r="Y1352" t="s">
        <v>556</v>
      </c>
      <c r="Z1352" t="s">
        <v>63</v>
      </c>
      <c r="AA1352" t="s">
        <v>11968</v>
      </c>
      <c r="AB1352">
        <v>28715290</v>
      </c>
      <c r="AC1352" t="s">
        <v>67</v>
      </c>
      <c r="AD1352" t="s">
        <v>63</v>
      </c>
      <c r="AE1352" t="s">
        <v>63</v>
      </c>
      <c r="AF1352" t="s">
        <v>63</v>
      </c>
      <c r="AG1352" t="s">
        <v>11969</v>
      </c>
      <c r="AH1352" t="s">
        <v>63</v>
      </c>
      <c r="AI1352" t="s">
        <v>11970</v>
      </c>
      <c r="AJ1352" t="s">
        <v>63</v>
      </c>
      <c r="AK1352" t="s">
        <v>63</v>
      </c>
      <c r="AL1352" t="s">
        <v>63</v>
      </c>
      <c r="AM1352" t="s">
        <v>11971</v>
      </c>
      <c r="AN1352" t="s">
        <v>63</v>
      </c>
      <c r="AO1352" t="s">
        <v>63</v>
      </c>
      <c r="AP1352" t="s">
        <v>63</v>
      </c>
      <c r="AQ1352" t="s">
        <v>63</v>
      </c>
      <c r="AR1352" t="s">
        <v>63</v>
      </c>
      <c r="AS1352" t="s">
        <v>63</v>
      </c>
      <c r="AT1352" t="s">
        <v>63</v>
      </c>
      <c r="AU1352" t="s">
        <v>63</v>
      </c>
      <c r="AV1352" t="s">
        <v>63</v>
      </c>
      <c r="AW1352" t="s">
        <v>63</v>
      </c>
      <c r="AX1352" t="s">
        <v>63</v>
      </c>
      <c r="AY1352" t="s">
        <v>63</v>
      </c>
      <c r="AZ1352" t="s">
        <v>63</v>
      </c>
      <c r="BA1352" t="s">
        <v>63</v>
      </c>
      <c r="BB1352" t="s">
        <v>63</v>
      </c>
      <c r="BC1352" t="s">
        <v>63</v>
      </c>
      <c r="BD1352" t="s">
        <v>63</v>
      </c>
      <c r="BE1352" t="s">
        <v>63</v>
      </c>
      <c r="BF1352" t="s">
        <v>63</v>
      </c>
    </row>
    <row r="1353" spans="1:58">
      <c r="A1353" t="s">
        <v>58</v>
      </c>
      <c r="B1353" t="s">
        <v>11972</v>
      </c>
      <c r="C1353" t="s">
        <v>11973</v>
      </c>
      <c r="D1353" t="s">
        <v>790</v>
      </c>
      <c r="E1353" t="s">
        <v>791</v>
      </c>
      <c r="F1353">
        <v>2000</v>
      </c>
      <c r="G1353" t="s">
        <v>1114</v>
      </c>
      <c r="H1353">
        <v>25</v>
      </c>
      <c r="I1353">
        <v>3</v>
      </c>
      <c r="J1353">
        <v>387</v>
      </c>
      <c r="K1353">
        <v>397</v>
      </c>
      <c r="L1353" t="s">
        <v>11974</v>
      </c>
      <c r="M1353" t="s">
        <v>11975</v>
      </c>
      <c r="N1353" t="s">
        <v>11976</v>
      </c>
      <c r="O1353" t="s">
        <v>63</v>
      </c>
      <c r="Q1353" t="s">
        <v>63</v>
      </c>
      <c r="R1353" t="s">
        <v>63</v>
      </c>
      <c r="S1353" t="s">
        <v>63</v>
      </c>
      <c r="T1353" t="s">
        <v>63</v>
      </c>
      <c r="X1353" t="s">
        <v>63</v>
      </c>
      <c r="Y1353" t="s">
        <v>795</v>
      </c>
      <c r="Z1353" t="s">
        <v>63</v>
      </c>
      <c r="AA1353" t="s">
        <v>11977</v>
      </c>
      <c r="AB1353">
        <v>10890292</v>
      </c>
      <c r="AC1353" t="s">
        <v>67</v>
      </c>
      <c r="AD1353" t="s">
        <v>63</v>
      </c>
      <c r="AE1353" t="s">
        <v>63</v>
      </c>
      <c r="AF1353" t="s">
        <v>63</v>
      </c>
      <c r="AG1353" t="s">
        <v>11978</v>
      </c>
      <c r="AH1353" t="s">
        <v>63</v>
      </c>
      <c r="AI1353" t="s">
        <v>63</v>
      </c>
      <c r="AJ1353" t="s">
        <v>63</v>
      </c>
      <c r="AK1353" t="s">
        <v>63</v>
      </c>
      <c r="AL1353" t="s">
        <v>63</v>
      </c>
      <c r="AM1353" t="s">
        <v>11979</v>
      </c>
      <c r="AN1353" t="s">
        <v>63</v>
      </c>
      <c r="AO1353" t="s">
        <v>63</v>
      </c>
      <c r="AP1353" t="s">
        <v>63</v>
      </c>
      <c r="AQ1353" t="s">
        <v>63</v>
      </c>
      <c r="AR1353" t="s">
        <v>63</v>
      </c>
      <c r="AS1353" t="s">
        <v>63</v>
      </c>
      <c r="AT1353" t="s">
        <v>63</v>
      </c>
      <c r="AU1353" t="s">
        <v>63</v>
      </c>
      <c r="AV1353" t="s">
        <v>63</v>
      </c>
      <c r="AW1353" t="s">
        <v>63</v>
      </c>
      <c r="AX1353" t="s">
        <v>63</v>
      </c>
      <c r="AY1353" t="s">
        <v>63</v>
      </c>
      <c r="AZ1353" t="s">
        <v>63</v>
      </c>
      <c r="BA1353" t="s">
        <v>63</v>
      </c>
      <c r="BB1353" t="s">
        <v>63</v>
      </c>
      <c r="BC1353" t="s">
        <v>63</v>
      </c>
      <c r="BD1353" t="s">
        <v>63</v>
      </c>
      <c r="BE1353" t="s">
        <v>63</v>
      </c>
      <c r="BF1353" t="s">
        <v>63</v>
      </c>
    </row>
    <row r="1354" spans="1:58">
      <c r="A1354" t="s">
        <v>58</v>
      </c>
      <c r="B1354" t="s">
        <v>11980</v>
      </c>
      <c r="C1354" t="s">
        <v>11981</v>
      </c>
      <c r="D1354" t="s">
        <v>90</v>
      </c>
      <c r="E1354" t="s">
        <v>63</v>
      </c>
      <c r="F1354">
        <v>2007</v>
      </c>
      <c r="G1354" t="s">
        <v>63</v>
      </c>
      <c r="H1354">
        <v>26</v>
      </c>
      <c r="I1354">
        <v>3</v>
      </c>
      <c r="J1354">
        <v>101</v>
      </c>
      <c r="K1354">
        <v>106</v>
      </c>
      <c r="L1354" t="s">
        <v>11982</v>
      </c>
      <c r="M1354" t="s">
        <v>11983</v>
      </c>
      <c r="N1354" t="s">
        <v>11984</v>
      </c>
      <c r="O1354" t="s">
        <v>63</v>
      </c>
      <c r="Q1354" t="s">
        <v>63</v>
      </c>
      <c r="R1354" t="s">
        <v>63</v>
      </c>
      <c r="S1354" t="s">
        <v>63</v>
      </c>
      <c r="T1354" t="s">
        <v>63</v>
      </c>
      <c r="X1354" t="s">
        <v>63</v>
      </c>
      <c r="Y1354" t="s">
        <v>93</v>
      </c>
      <c r="Z1354" t="s">
        <v>63</v>
      </c>
      <c r="AA1354" t="s">
        <v>11985</v>
      </c>
      <c r="AB1354">
        <v>18018813</v>
      </c>
      <c r="AC1354" t="s">
        <v>67</v>
      </c>
      <c r="AD1354" t="s">
        <v>63</v>
      </c>
      <c r="AE1354" t="s">
        <v>63</v>
      </c>
      <c r="AF1354" t="s">
        <v>63</v>
      </c>
      <c r="AG1354" t="s">
        <v>11986</v>
      </c>
      <c r="AH1354" t="s">
        <v>63</v>
      </c>
      <c r="AI1354" t="s">
        <v>63</v>
      </c>
      <c r="AJ1354" t="s">
        <v>63</v>
      </c>
      <c r="AK1354" t="s">
        <v>63</v>
      </c>
      <c r="AL1354" t="s">
        <v>63</v>
      </c>
      <c r="AM1354" t="s">
        <v>11987</v>
      </c>
      <c r="AN1354" t="s">
        <v>63</v>
      </c>
      <c r="AO1354" t="s">
        <v>63</v>
      </c>
      <c r="AP1354" t="s">
        <v>63</v>
      </c>
      <c r="AQ1354" t="s">
        <v>63</v>
      </c>
      <c r="AR1354" t="s">
        <v>63</v>
      </c>
      <c r="AS1354" t="s">
        <v>63</v>
      </c>
      <c r="AT1354" t="s">
        <v>63</v>
      </c>
      <c r="AU1354" t="s">
        <v>63</v>
      </c>
      <c r="AV1354" t="s">
        <v>63</v>
      </c>
      <c r="AW1354" t="s">
        <v>63</v>
      </c>
      <c r="AX1354" t="s">
        <v>63</v>
      </c>
      <c r="AY1354" t="s">
        <v>63</v>
      </c>
      <c r="AZ1354" t="s">
        <v>63</v>
      </c>
      <c r="BA1354" t="s">
        <v>63</v>
      </c>
      <c r="BB1354" t="s">
        <v>63</v>
      </c>
      <c r="BC1354" t="s">
        <v>63</v>
      </c>
      <c r="BD1354" t="s">
        <v>63</v>
      </c>
      <c r="BE1354" t="s">
        <v>63</v>
      </c>
      <c r="BF1354" t="s">
        <v>63</v>
      </c>
    </row>
    <row r="1355" spans="1:58">
      <c r="A1355" t="s">
        <v>58</v>
      </c>
      <c r="B1355" t="s">
        <v>11988</v>
      </c>
      <c r="C1355" t="s">
        <v>11989</v>
      </c>
      <c r="D1355" t="s">
        <v>11990</v>
      </c>
      <c r="E1355" t="s">
        <v>11991</v>
      </c>
      <c r="F1355">
        <v>2004</v>
      </c>
      <c r="G1355" s="1">
        <v>41749</v>
      </c>
      <c r="H1355">
        <v>96</v>
      </c>
      <c r="I1355">
        <v>8</v>
      </c>
      <c r="J1355">
        <v>573</v>
      </c>
      <c r="K1355">
        <v>575</v>
      </c>
      <c r="L1355" t="s">
        <v>11992</v>
      </c>
      <c r="M1355" t="s">
        <v>63</v>
      </c>
      <c r="N1355" t="s">
        <v>11993</v>
      </c>
      <c r="O1355" t="s">
        <v>63</v>
      </c>
      <c r="Q1355" t="s">
        <v>63</v>
      </c>
      <c r="R1355" t="s">
        <v>63</v>
      </c>
      <c r="S1355" t="s">
        <v>63</v>
      </c>
      <c r="T1355" t="s">
        <v>63</v>
      </c>
      <c r="X1355" t="s">
        <v>63</v>
      </c>
      <c r="Y1355" t="s">
        <v>11994</v>
      </c>
      <c r="Z1355" t="s">
        <v>63</v>
      </c>
      <c r="AA1355" t="s">
        <v>63</v>
      </c>
      <c r="AB1355">
        <v>15100328</v>
      </c>
      <c r="AC1355" t="s">
        <v>67</v>
      </c>
      <c r="AD1355" t="s">
        <v>63</v>
      </c>
      <c r="AE1355" t="s">
        <v>63</v>
      </c>
      <c r="AF1355" t="s">
        <v>63</v>
      </c>
      <c r="AG1355" t="s">
        <v>11995</v>
      </c>
      <c r="AH1355" t="s">
        <v>63</v>
      </c>
      <c r="AI1355" t="s">
        <v>63</v>
      </c>
      <c r="AJ1355" t="s">
        <v>63</v>
      </c>
      <c r="AK1355" t="s">
        <v>63</v>
      </c>
      <c r="AL1355" t="s">
        <v>63</v>
      </c>
      <c r="AM1355" t="s">
        <v>11996</v>
      </c>
      <c r="AN1355" t="s">
        <v>63</v>
      </c>
      <c r="AO1355" t="s">
        <v>63</v>
      </c>
      <c r="AP1355" t="s">
        <v>63</v>
      </c>
      <c r="AQ1355" t="s">
        <v>63</v>
      </c>
      <c r="AR1355" t="s">
        <v>63</v>
      </c>
      <c r="AS1355" t="s">
        <v>63</v>
      </c>
      <c r="AT1355" t="s">
        <v>63</v>
      </c>
      <c r="AU1355" t="s">
        <v>63</v>
      </c>
      <c r="AV1355" t="s">
        <v>63</v>
      </c>
      <c r="AW1355" t="s">
        <v>63</v>
      </c>
      <c r="AX1355" t="s">
        <v>63</v>
      </c>
      <c r="AY1355" t="s">
        <v>63</v>
      </c>
      <c r="AZ1355" t="s">
        <v>63</v>
      </c>
      <c r="BA1355" t="s">
        <v>63</v>
      </c>
      <c r="BB1355" t="s">
        <v>63</v>
      </c>
      <c r="BC1355" t="s">
        <v>63</v>
      </c>
      <c r="BD1355" t="s">
        <v>63</v>
      </c>
      <c r="BE1355" t="s">
        <v>63</v>
      </c>
      <c r="BF1355" t="s">
        <v>63</v>
      </c>
    </row>
    <row r="1356" spans="1:58">
      <c r="A1356" t="s">
        <v>58</v>
      </c>
      <c r="B1356" t="s">
        <v>11997</v>
      </c>
      <c r="C1356" t="s">
        <v>11998</v>
      </c>
      <c r="D1356" t="s">
        <v>349</v>
      </c>
      <c r="E1356" t="s">
        <v>350</v>
      </c>
      <c r="F1356">
        <v>2006</v>
      </c>
      <c r="G1356" t="s">
        <v>181</v>
      </c>
      <c r="H1356">
        <v>31</v>
      </c>
      <c r="I1356">
        <v>3</v>
      </c>
      <c r="J1356">
        <v>233</v>
      </c>
      <c r="K1356">
        <v>239</v>
      </c>
      <c r="L1356" t="s">
        <v>11999</v>
      </c>
      <c r="M1356" t="s">
        <v>12000</v>
      </c>
      <c r="N1356" t="s">
        <v>12001</v>
      </c>
      <c r="O1356" t="s">
        <v>63</v>
      </c>
      <c r="Q1356" t="s">
        <v>63</v>
      </c>
      <c r="R1356" t="s">
        <v>63</v>
      </c>
      <c r="S1356" t="s">
        <v>63</v>
      </c>
      <c r="T1356" t="s">
        <v>63</v>
      </c>
      <c r="X1356" t="s">
        <v>63</v>
      </c>
      <c r="Y1356" t="s">
        <v>354</v>
      </c>
      <c r="Z1356" t="s">
        <v>63</v>
      </c>
      <c r="AA1356" t="s">
        <v>12002</v>
      </c>
      <c r="AB1356">
        <v>16905034</v>
      </c>
      <c r="AC1356" t="s">
        <v>67</v>
      </c>
      <c r="AD1356" t="s">
        <v>63</v>
      </c>
      <c r="AE1356" t="s">
        <v>63</v>
      </c>
      <c r="AF1356" t="s">
        <v>63</v>
      </c>
      <c r="AG1356" t="s">
        <v>12003</v>
      </c>
      <c r="AH1356" t="s">
        <v>63</v>
      </c>
      <c r="AI1356" t="s">
        <v>63</v>
      </c>
      <c r="AJ1356" t="s">
        <v>63</v>
      </c>
      <c r="AK1356" t="s">
        <v>63</v>
      </c>
      <c r="AL1356" t="s">
        <v>63</v>
      </c>
      <c r="AM1356" t="s">
        <v>12004</v>
      </c>
      <c r="AN1356" t="s">
        <v>63</v>
      </c>
      <c r="AO1356" t="s">
        <v>63</v>
      </c>
      <c r="AP1356" t="s">
        <v>63</v>
      </c>
      <c r="AQ1356" t="s">
        <v>63</v>
      </c>
      <c r="AR1356" t="s">
        <v>63</v>
      </c>
      <c r="AS1356" t="s">
        <v>63</v>
      </c>
      <c r="AT1356" t="s">
        <v>63</v>
      </c>
      <c r="AU1356" t="s">
        <v>63</v>
      </c>
      <c r="AV1356" t="s">
        <v>63</v>
      </c>
      <c r="AW1356" t="s">
        <v>63</v>
      </c>
      <c r="AX1356" t="s">
        <v>63</v>
      </c>
      <c r="AY1356" t="s">
        <v>63</v>
      </c>
      <c r="AZ1356" t="s">
        <v>63</v>
      </c>
      <c r="BA1356" t="s">
        <v>63</v>
      </c>
      <c r="BB1356" t="s">
        <v>63</v>
      </c>
      <c r="BC1356" t="s">
        <v>63</v>
      </c>
      <c r="BD1356" t="s">
        <v>63</v>
      </c>
      <c r="BE1356" t="s">
        <v>63</v>
      </c>
      <c r="BF1356" t="s">
        <v>63</v>
      </c>
    </row>
    <row r="1357" spans="1:58">
      <c r="A1357" t="s">
        <v>58</v>
      </c>
      <c r="B1357" t="s">
        <v>12005</v>
      </c>
      <c r="C1357" t="s">
        <v>12006</v>
      </c>
      <c r="D1357" t="s">
        <v>90</v>
      </c>
      <c r="E1357" t="s">
        <v>63</v>
      </c>
      <c r="F1357">
        <v>1993</v>
      </c>
      <c r="G1357" t="s">
        <v>63</v>
      </c>
      <c r="H1357">
        <v>12</v>
      </c>
      <c r="I1357">
        <v>1</v>
      </c>
      <c r="J1357">
        <v>123</v>
      </c>
      <c r="K1357">
        <v>133</v>
      </c>
      <c r="L1357" t="s">
        <v>12007</v>
      </c>
      <c r="M1357" t="s">
        <v>63</v>
      </c>
      <c r="N1357" t="s">
        <v>12008</v>
      </c>
      <c r="O1357" t="s">
        <v>63</v>
      </c>
      <c r="Q1357" t="s">
        <v>63</v>
      </c>
      <c r="R1357" t="s">
        <v>63</v>
      </c>
      <c r="S1357" t="s">
        <v>63</v>
      </c>
      <c r="T1357" t="s">
        <v>63</v>
      </c>
      <c r="X1357" t="s">
        <v>63</v>
      </c>
      <c r="Y1357" t="s">
        <v>93</v>
      </c>
      <c r="Z1357" t="s">
        <v>63</v>
      </c>
      <c r="AA1357" t="s">
        <v>63</v>
      </c>
      <c r="AB1357">
        <v>8424964</v>
      </c>
      <c r="AC1357" t="s">
        <v>67</v>
      </c>
      <c r="AD1357" t="s">
        <v>63</v>
      </c>
      <c r="AE1357" t="s">
        <v>63</v>
      </c>
      <c r="AF1357" t="s">
        <v>63</v>
      </c>
      <c r="AG1357" t="s">
        <v>12009</v>
      </c>
      <c r="AH1357" t="s">
        <v>63</v>
      </c>
      <c r="AI1357" t="s">
        <v>63</v>
      </c>
      <c r="AJ1357" t="s">
        <v>63</v>
      </c>
      <c r="AK1357" t="s">
        <v>63</v>
      </c>
      <c r="AL1357" t="s">
        <v>63</v>
      </c>
      <c r="AM1357" t="s">
        <v>12010</v>
      </c>
      <c r="AN1357" t="s">
        <v>63</v>
      </c>
      <c r="AO1357" t="s">
        <v>63</v>
      </c>
      <c r="AP1357" t="s">
        <v>63</v>
      </c>
      <c r="AQ1357" t="s">
        <v>63</v>
      </c>
      <c r="AR1357" t="s">
        <v>63</v>
      </c>
      <c r="AS1357" t="s">
        <v>63</v>
      </c>
      <c r="AT1357" t="s">
        <v>63</v>
      </c>
      <c r="AU1357" t="s">
        <v>63</v>
      </c>
      <c r="AV1357" t="s">
        <v>63</v>
      </c>
      <c r="AW1357" t="s">
        <v>63</v>
      </c>
      <c r="AX1357" t="s">
        <v>63</v>
      </c>
      <c r="AY1357" t="s">
        <v>63</v>
      </c>
      <c r="AZ1357" t="s">
        <v>63</v>
      </c>
      <c r="BA1357" t="s">
        <v>63</v>
      </c>
      <c r="BB1357" t="s">
        <v>63</v>
      </c>
      <c r="BC1357" t="s">
        <v>63</v>
      </c>
      <c r="BD1357" t="s">
        <v>63</v>
      </c>
      <c r="BE1357" t="s">
        <v>63</v>
      </c>
      <c r="BF1357" t="s">
        <v>63</v>
      </c>
    </row>
    <row r="1358" spans="1:58">
      <c r="A1358" t="s">
        <v>58</v>
      </c>
      <c r="B1358" t="s">
        <v>12011</v>
      </c>
      <c r="C1358" t="s">
        <v>12012</v>
      </c>
      <c r="D1358" t="s">
        <v>12013</v>
      </c>
      <c r="E1358" t="s">
        <v>63</v>
      </c>
      <c r="F1358">
        <v>1994</v>
      </c>
      <c r="G1358" t="s">
        <v>63</v>
      </c>
      <c r="H1358">
        <v>22</v>
      </c>
      <c r="I1358">
        <v>3</v>
      </c>
      <c r="J1358">
        <v>252</v>
      </c>
      <c r="K1358">
        <v>256</v>
      </c>
      <c r="L1358" t="s">
        <v>12014</v>
      </c>
      <c r="M1358" t="s">
        <v>63</v>
      </c>
      <c r="N1358" t="s">
        <v>12015</v>
      </c>
      <c r="O1358" t="s">
        <v>63</v>
      </c>
      <c r="Q1358" t="s">
        <v>63</v>
      </c>
      <c r="R1358" t="s">
        <v>63</v>
      </c>
      <c r="S1358" t="s">
        <v>63</v>
      </c>
      <c r="T1358" t="s">
        <v>63</v>
      </c>
      <c r="X1358" t="s">
        <v>63</v>
      </c>
      <c r="Y1358" t="s">
        <v>12016</v>
      </c>
      <c r="Z1358" t="s">
        <v>63</v>
      </c>
      <c r="AA1358" t="s">
        <v>63</v>
      </c>
      <c r="AB1358">
        <v>7749481</v>
      </c>
      <c r="AC1358" t="s">
        <v>67</v>
      </c>
      <c r="AD1358" t="s">
        <v>63</v>
      </c>
      <c r="AE1358" t="s">
        <v>63</v>
      </c>
      <c r="AF1358" t="s">
        <v>63</v>
      </c>
      <c r="AG1358" t="s">
        <v>12017</v>
      </c>
      <c r="AH1358" t="s">
        <v>63</v>
      </c>
      <c r="AI1358" t="s">
        <v>63</v>
      </c>
      <c r="AJ1358" t="s">
        <v>63</v>
      </c>
      <c r="AK1358" t="s">
        <v>63</v>
      </c>
      <c r="AL1358" t="s">
        <v>63</v>
      </c>
      <c r="AM1358" t="s">
        <v>12018</v>
      </c>
      <c r="AN1358" t="s">
        <v>63</v>
      </c>
      <c r="AO1358" t="s">
        <v>63</v>
      </c>
      <c r="AP1358" t="s">
        <v>63</v>
      </c>
      <c r="AQ1358" t="s">
        <v>63</v>
      </c>
      <c r="AR1358" t="s">
        <v>63</v>
      </c>
      <c r="AS1358" t="s">
        <v>63</v>
      </c>
      <c r="AT1358" t="s">
        <v>63</v>
      </c>
      <c r="AU1358" t="s">
        <v>63</v>
      </c>
      <c r="AV1358" t="s">
        <v>63</v>
      </c>
      <c r="AW1358" t="s">
        <v>63</v>
      </c>
      <c r="AX1358" t="s">
        <v>63</v>
      </c>
      <c r="AY1358" t="s">
        <v>63</v>
      </c>
      <c r="AZ1358" t="s">
        <v>63</v>
      </c>
      <c r="BA1358" t="s">
        <v>63</v>
      </c>
      <c r="BB1358" t="s">
        <v>63</v>
      </c>
      <c r="BC1358" t="s">
        <v>63</v>
      </c>
      <c r="BD1358" t="s">
        <v>63</v>
      </c>
      <c r="BE1358" t="s">
        <v>63</v>
      </c>
      <c r="BF1358" t="s">
        <v>63</v>
      </c>
    </row>
    <row r="1359" spans="1:58">
      <c r="A1359" t="s">
        <v>58</v>
      </c>
      <c r="B1359" t="s">
        <v>12019</v>
      </c>
      <c r="C1359" t="s">
        <v>12020</v>
      </c>
      <c r="D1359" t="s">
        <v>371</v>
      </c>
      <c r="E1359" t="s">
        <v>63</v>
      </c>
      <c r="F1359">
        <v>1994</v>
      </c>
      <c r="G1359" t="s">
        <v>189</v>
      </c>
      <c r="H1359">
        <v>9</v>
      </c>
      <c r="I1359">
        <v>5</v>
      </c>
      <c r="J1359">
        <v>248</v>
      </c>
      <c r="K1359">
        <v>254</v>
      </c>
      <c r="L1359" t="s">
        <v>12021</v>
      </c>
      <c r="M1359" t="s">
        <v>12022</v>
      </c>
      <c r="N1359" t="s">
        <v>12023</v>
      </c>
      <c r="O1359" t="s">
        <v>63</v>
      </c>
      <c r="Q1359" t="s">
        <v>63</v>
      </c>
      <c r="R1359" t="s">
        <v>63</v>
      </c>
      <c r="S1359" t="s">
        <v>63</v>
      </c>
      <c r="T1359" t="s">
        <v>63</v>
      </c>
      <c r="X1359" t="s">
        <v>63</v>
      </c>
      <c r="Y1359" t="s">
        <v>375</v>
      </c>
      <c r="Z1359" t="s">
        <v>63</v>
      </c>
      <c r="AA1359" t="s">
        <v>12024</v>
      </c>
      <c r="AB1359">
        <v>8046526</v>
      </c>
      <c r="AC1359" t="s">
        <v>67</v>
      </c>
      <c r="AD1359" t="s">
        <v>63</v>
      </c>
      <c r="AE1359" t="s">
        <v>63</v>
      </c>
      <c r="AF1359" t="s">
        <v>63</v>
      </c>
      <c r="AG1359" t="s">
        <v>12025</v>
      </c>
      <c r="AH1359" t="s">
        <v>63</v>
      </c>
      <c r="AI1359" t="s">
        <v>63</v>
      </c>
      <c r="AJ1359" t="s">
        <v>63</v>
      </c>
      <c r="AK1359" t="s">
        <v>63</v>
      </c>
      <c r="AL1359" t="s">
        <v>63</v>
      </c>
      <c r="AM1359" t="s">
        <v>12026</v>
      </c>
      <c r="AN1359" t="s">
        <v>63</v>
      </c>
      <c r="AO1359" t="s">
        <v>63</v>
      </c>
      <c r="AP1359" t="s">
        <v>63</v>
      </c>
      <c r="AQ1359" t="s">
        <v>63</v>
      </c>
      <c r="AR1359" t="s">
        <v>63</v>
      </c>
      <c r="AS1359" t="s">
        <v>63</v>
      </c>
      <c r="AT1359" t="s">
        <v>63</v>
      </c>
      <c r="AU1359" t="s">
        <v>63</v>
      </c>
      <c r="AV1359" t="s">
        <v>63</v>
      </c>
      <c r="AW1359" t="s">
        <v>63</v>
      </c>
      <c r="AX1359" t="s">
        <v>63</v>
      </c>
      <c r="AY1359" t="s">
        <v>63</v>
      </c>
      <c r="AZ1359" t="s">
        <v>63</v>
      </c>
      <c r="BA1359" t="s">
        <v>63</v>
      </c>
      <c r="BB1359" t="s">
        <v>63</v>
      </c>
      <c r="BC1359" t="s">
        <v>63</v>
      </c>
      <c r="BD1359" t="s">
        <v>63</v>
      </c>
      <c r="BE1359" t="s">
        <v>63</v>
      </c>
      <c r="BF1359" t="s">
        <v>63</v>
      </c>
    </row>
    <row r="1360" spans="1:58">
      <c r="A1360" t="s">
        <v>58</v>
      </c>
      <c r="B1360" t="s">
        <v>12027</v>
      </c>
      <c r="C1360" t="s">
        <v>12028</v>
      </c>
      <c r="D1360" t="s">
        <v>389</v>
      </c>
      <c r="E1360" t="s">
        <v>63</v>
      </c>
      <c r="F1360">
        <v>2015</v>
      </c>
      <c r="G1360" t="s">
        <v>63</v>
      </c>
      <c r="H1360">
        <v>36</v>
      </c>
      <c r="I1360">
        <v>3</v>
      </c>
      <c r="J1360">
        <v>332</v>
      </c>
      <c r="K1360">
        <v>338</v>
      </c>
      <c r="L1360" t="s">
        <v>12029</v>
      </c>
      <c r="M1360" t="s">
        <v>12030</v>
      </c>
      <c r="N1360" t="s">
        <v>12031</v>
      </c>
      <c r="O1360" t="s">
        <v>63</v>
      </c>
      <c r="Q1360" t="s">
        <v>63</v>
      </c>
      <c r="R1360" t="s">
        <v>63</v>
      </c>
      <c r="S1360" t="s">
        <v>63</v>
      </c>
      <c r="T1360" t="s">
        <v>63</v>
      </c>
      <c r="X1360" t="s">
        <v>63</v>
      </c>
      <c r="Y1360" t="s">
        <v>556</v>
      </c>
      <c r="Z1360" t="s">
        <v>63</v>
      </c>
      <c r="AA1360" t="s">
        <v>12032</v>
      </c>
      <c r="AB1360">
        <v>25036267</v>
      </c>
      <c r="AC1360" t="s">
        <v>67</v>
      </c>
      <c r="AD1360" t="s">
        <v>63</v>
      </c>
      <c r="AE1360" t="s">
        <v>63</v>
      </c>
      <c r="AF1360" t="s">
        <v>63</v>
      </c>
      <c r="AG1360" t="s">
        <v>12033</v>
      </c>
      <c r="AH1360" t="s">
        <v>63</v>
      </c>
      <c r="AI1360" t="s">
        <v>12034</v>
      </c>
      <c r="AJ1360" t="s">
        <v>63</v>
      </c>
      <c r="AK1360" t="s">
        <v>63</v>
      </c>
      <c r="AL1360" t="s">
        <v>63</v>
      </c>
      <c r="AM1360" t="s">
        <v>12035</v>
      </c>
      <c r="AN1360" t="s">
        <v>63</v>
      </c>
      <c r="AO1360" t="s">
        <v>63</v>
      </c>
      <c r="AP1360" t="s">
        <v>63</v>
      </c>
      <c r="AQ1360" t="s">
        <v>63</v>
      </c>
      <c r="AR1360" t="s">
        <v>63</v>
      </c>
      <c r="AS1360" t="s">
        <v>63</v>
      </c>
      <c r="AT1360" t="s">
        <v>63</v>
      </c>
      <c r="AU1360" t="s">
        <v>63</v>
      </c>
      <c r="AV1360" t="s">
        <v>63</v>
      </c>
      <c r="AW1360" t="s">
        <v>63</v>
      </c>
      <c r="AX1360" t="s">
        <v>63</v>
      </c>
      <c r="AY1360" t="s">
        <v>63</v>
      </c>
      <c r="AZ1360" t="s">
        <v>63</v>
      </c>
      <c r="BA1360" t="s">
        <v>63</v>
      </c>
      <c r="BB1360" t="s">
        <v>63</v>
      </c>
      <c r="BC1360" t="s">
        <v>63</v>
      </c>
      <c r="BD1360" t="s">
        <v>63</v>
      </c>
      <c r="BE1360" t="s">
        <v>63</v>
      </c>
      <c r="BF1360" t="s">
        <v>63</v>
      </c>
    </row>
    <row r="1361" spans="1:58">
      <c r="A1361" t="s">
        <v>58</v>
      </c>
      <c r="B1361" t="s">
        <v>12036</v>
      </c>
      <c r="C1361" t="s">
        <v>12037</v>
      </c>
      <c r="D1361" t="s">
        <v>12038</v>
      </c>
      <c r="E1361" t="s">
        <v>12039</v>
      </c>
      <c r="F1361">
        <v>2010</v>
      </c>
      <c r="G1361" s="1">
        <v>41716</v>
      </c>
      <c r="H1361">
        <v>123</v>
      </c>
      <c r="I1361">
        <v>1311</v>
      </c>
      <c r="J1361">
        <v>15</v>
      </c>
      <c r="K1361">
        <v>21</v>
      </c>
      <c r="L1361" t="s">
        <v>12040</v>
      </c>
      <c r="M1361" t="s">
        <v>12041</v>
      </c>
      <c r="N1361" t="s">
        <v>12042</v>
      </c>
      <c r="O1361" t="s">
        <v>63</v>
      </c>
      <c r="Q1361" t="s">
        <v>63</v>
      </c>
      <c r="R1361" t="s">
        <v>63</v>
      </c>
      <c r="S1361" t="s">
        <v>63</v>
      </c>
      <c r="T1361" t="s">
        <v>63</v>
      </c>
      <c r="X1361" t="s">
        <v>63</v>
      </c>
      <c r="Y1361" t="s">
        <v>12043</v>
      </c>
      <c r="Z1361" t="s">
        <v>63</v>
      </c>
      <c r="AA1361" t="s">
        <v>12044</v>
      </c>
      <c r="AB1361">
        <v>20360792</v>
      </c>
      <c r="AC1361" t="s">
        <v>67</v>
      </c>
      <c r="AD1361" t="s">
        <v>63</v>
      </c>
      <c r="AE1361" t="s">
        <v>63</v>
      </c>
      <c r="AF1361" t="s">
        <v>63</v>
      </c>
      <c r="AG1361" t="s">
        <v>12045</v>
      </c>
      <c r="AH1361" t="s">
        <v>63</v>
      </c>
      <c r="AI1361" t="s">
        <v>63</v>
      </c>
      <c r="AJ1361" t="s">
        <v>63</v>
      </c>
      <c r="AK1361" t="s">
        <v>63</v>
      </c>
      <c r="AL1361" t="s">
        <v>63</v>
      </c>
      <c r="AM1361" t="s">
        <v>12046</v>
      </c>
      <c r="AN1361" t="s">
        <v>63</v>
      </c>
      <c r="AO1361" t="s">
        <v>63</v>
      </c>
      <c r="AP1361" t="s">
        <v>63</v>
      </c>
      <c r="AQ1361" t="s">
        <v>63</v>
      </c>
      <c r="AR1361" t="s">
        <v>63</v>
      </c>
      <c r="AS1361" t="s">
        <v>63</v>
      </c>
      <c r="AT1361" t="s">
        <v>63</v>
      </c>
      <c r="AU1361" t="s">
        <v>63</v>
      </c>
      <c r="AV1361" t="s">
        <v>63</v>
      </c>
      <c r="AW1361" t="s">
        <v>63</v>
      </c>
      <c r="AX1361" t="s">
        <v>63</v>
      </c>
      <c r="AY1361" t="s">
        <v>63</v>
      </c>
      <c r="AZ1361" t="s">
        <v>63</v>
      </c>
      <c r="BA1361" t="s">
        <v>63</v>
      </c>
      <c r="BB1361" t="s">
        <v>63</v>
      </c>
      <c r="BC1361" t="s">
        <v>63</v>
      </c>
      <c r="BD1361" t="s">
        <v>63</v>
      </c>
      <c r="BE1361" t="s">
        <v>63</v>
      </c>
      <c r="BF1361" t="s">
        <v>63</v>
      </c>
    </row>
    <row r="1362" spans="1:58">
      <c r="A1362" t="s">
        <v>58</v>
      </c>
      <c r="B1362" t="s">
        <v>12047</v>
      </c>
      <c r="C1362" t="s">
        <v>12048</v>
      </c>
      <c r="D1362" t="s">
        <v>3071</v>
      </c>
      <c r="E1362" t="s">
        <v>3072</v>
      </c>
      <c r="F1362">
        <v>1989</v>
      </c>
      <c r="G1362" t="s">
        <v>326</v>
      </c>
      <c r="H1362">
        <v>84</v>
      </c>
      <c r="I1362">
        <v>2</v>
      </c>
      <c r="J1362">
        <v>191</v>
      </c>
      <c r="K1362">
        <v>195</v>
      </c>
      <c r="L1362" t="s">
        <v>12049</v>
      </c>
      <c r="M1362" t="s">
        <v>12050</v>
      </c>
      <c r="N1362" t="s">
        <v>12051</v>
      </c>
      <c r="O1362" t="s">
        <v>63</v>
      </c>
      <c r="Q1362" t="s">
        <v>63</v>
      </c>
      <c r="R1362" t="s">
        <v>63</v>
      </c>
      <c r="S1362" t="s">
        <v>63</v>
      </c>
      <c r="T1362" t="s">
        <v>63</v>
      </c>
      <c r="X1362" t="s">
        <v>63</v>
      </c>
      <c r="Y1362" t="s">
        <v>3075</v>
      </c>
      <c r="Z1362" t="s">
        <v>63</v>
      </c>
      <c r="AA1362" t="s">
        <v>63</v>
      </c>
      <c r="AB1362">
        <v>2720183</v>
      </c>
      <c r="AC1362" t="s">
        <v>67</v>
      </c>
      <c r="AD1362" t="s">
        <v>63</v>
      </c>
      <c r="AE1362" t="s">
        <v>63</v>
      </c>
      <c r="AF1362" t="s">
        <v>63</v>
      </c>
      <c r="AG1362" t="s">
        <v>12052</v>
      </c>
      <c r="AH1362" t="s">
        <v>63</v>
      </c>
      <c r="AI1362" t="s">
        <v>63</v>
      </c>
      <c r="AJ1362" t="s">
        <v>63</v>
      </c>
      <c r="AK1362" t="s">
        <v>63</v>
      </c>
      <c r="AL1362" t="s">
        <v>63</v>
      </c>
      <c r="AM1362" t="s">
        <v>12053</v>
      </c>
      <c r="AN1362" t="s">
        <v>63</v>
      </c>
      <c r="AO1362" t="s">
        <v>63</v>
      </c>
      <c r="AP1362" t="s">
        <v>63</v>
      </c>
      <c r="AQ1362" t="s">
        <v>63</v>
      </c>
      <c r="AR1362" t="s">
        <v>63</v>
      </c>
      <c r="AS1362" t="s">
        <v>63</v>
      </c>
      <c r="AT1362" t="s">
        <v>63</v>
      </c>
      <c r="AU1362" t="s">
        <v>63</v>
      </c>
      <c r="AV1362" t="s">
        <v>63</v>
      </c>
      <c r="AW1362" t="s">
        <v>63</v>
      </c>
      <c r="AX1362" t="s">
        <v>63</v>
      </c>
      <c r="AY1362" t="s">
        <v>63</v>
      </c>
      <c r="AZ1362" t="s">
        <v>63</v>
      </c>
      <c r="BA1362" t="s">
        <v>63</v>
      </c>
      <c r="BB1362" t="s">
        <v>63</v>
      </c>
      <c r="BC1362" t="s">
        <v>63</v>
      </c>
      <c r="BD1362" t="s">
        <v>63</v>
      </c>
      <c r="BE1362" t="s">
        <v>63</v>
      </c>
      <c r="BF1362" t="s">
        <v>63</v>
      </c>
    </row>
    <row r="1363" spans="1:58">
      <c r="A1363" t="s">
        <v>58</v>
      </c>
      <c r="B1363" t="s">
        <v>12054</v>
      </c>
      <c r="C1363" t="s">
        <v>12055</v>
      </c>
      <c r="D1363" t="s">
        <v>6306</v>
      </c>
      <c r="E1363" t="s">
        <v>63</v>
      </c>
      <c r="F1363">
        <v>2000</v>
      </c>
      <c r="G1363" t="s">
        <v>63</v>
      </c>
      <c r="H1363">
        <v>15</v>
      </c>
      <c r="I1363">
        <v>4</v>
      </c>
      <c r="J1363">
        <v>214</v>
      </c>
      <c r="K1363">
        <v>217</v>
      </c>
      <c r="L1363" t="s">
        <v>12056</v>
      </c>
      <c r="M1363" t="s">
        <v>12057</v>
      </c>
      <c r="N1363" t="s">
        <v>12058</v>
      </c>
      <c r="O1363" t="s">
        <v>63</v>
      </c>
      <c r="Q1363" t="s">
        <v>63</v>
      </c>
      <c r="R1363" t="s">
        <v>63</v>
      </c>
      <c r="S1363" t="s">
        <v>63</v>
      </c>
      <c r="T1363" t="s">
        <v>63</v>
      </c>
      <c r="X1363" t="s">
        <v>63</v>
      </c>
      <c r="Y1363" t="s">
        <v>6336</v>
      </c>
      <c r="Z1363" t="s">
        <v>63</v>
      </c>
      <c r="AA1363" t="s">
        <v>12059</v>
      </c>
      <c r="AB1363">
        <v>11199238</v>
      </c>
      <c r="AC1363" t="s">
        <v>67</v>
      </c>
      <c r="AD1363" t="s">
        <v>63</v>
      </c>
      <c r="AE1363" t="s">
        <v>63</v>
      </c>
      <c r="AF1363" t="s">
        <v>63</v>
      </c>
      <c r="AG1363" t="s">
        <v>12060</v>
      </c>
      <c r="AH1363" t="s">
        <v>63</v>
      </c>
      <c r="AI1363" t="s">
        <v>63</v>
      </c>
      <c r="AJ1363" t="s">
        <v>63</v>
      </c>
      <c r="AK1363" t="s">
        <v>63</v>
      </c>
      <c r="AL1363" t="s">
        <v>63</v>
      </c>
      <c r="AM1363" t="s">
        <v>12061</v>
      </c>
      <c r="AN1363" t="s">
        <v>63</v>
      </c>
      <c r="AO1363" t="s">
        <v>63</v>
      </c>
      <c r="AP1363" t="s">
        <v>63</v>
      </c>
      <c r="AQ1363" t="s">
        <v>63</v>
      </c>
      <c r="AR1363" t="s">
        <v>63</v>
      </c>
      <c r="AS1363" t="s">
        <v>63</v>
      </c>
      <c r="AT1363" t="s">
        <v>63</v>
      </c>
      <c r="AU1363" t="s">
        <v>63</v>
      </c>
      <c r="AV1363" t="s">
        <v>63</v>
      </c>
      <c r="AW1363" t="s">
        <v>63</v>
      </c>
      <c r="AX1363" t="s">
        <v>63</v>
      </c>
      <c r="AY1363" t="s">
        <v>63</v>
      </c>
      <c r="AZ1363" t="s">
        <v>63</v>
      </c>
      <c r="BA1363" t="s">
        <v>63</v>
      </c>
      <c r="BB1363" t="s">
        <v>63</v>
      </c>
      <c r="BC1363" t="s">
        <v>63</v>
      </c>
      <c r="BD1363" t="s">
        <v>63</v>
      </c>
      <c r="BE1363" t="s">
        <v>63</v>
      </c>
      <c r="BF1363" t="s">
        <v>63</v>
      </c>
    </row>
    <row r="1364" spans="1:58">
      <c r="A1364" t="s">
        <v>58</v>
      </c>
      <c r="B1364" t="s">
        <v>12062</v>
      </c>
      <c r="C1364" t="s">
        <v>12063</v>
      </c>
      <c r="D1364" t="s">
        <v>2206</v>
      </c>
      <c r="E1364" t="s">
        <v>2207</v>
      </c>
      <c r="F1364">
        <v>2014</v>
      </c>
      <c r="G1364" t="s">
        <v>219</v>
      </c>
      <c r="H1364">
        <v>26</v>
      </c>
      <c r="I1364">
        <v>7</v>
      </c>
      <c r="J1364">
        <v>563</v>
      </c>
      <c r="K1364">
        <v>569</v>
      </c>
      <c r="L1364" t="s">
        <v>12064</v>
      </c>
      <c r="M1364" t="s">
        <v>12065</v>
      </c>
      <c r="N1364" t="s">
        <v>12066</v>
      </c>
      <c r="O1364" t="s">
        <v>63</v>
      </c>
      <c r="Q1364" t="s">
        <v>63</v>
      </c>
      <c r="R1364" t="s">
        <v>63</v>
      </c>
      <c r="S1364" t="s">
        <v>63</v>
      </c>
      <c r="T1364" t="s">
        <v>63</v>
      </c>
      <c r="X1364" t="s">
        <v>63</v>
      </c>
      <c r="Y1364" t="s">
        <v>2211</v>
      </c>
      <c r="Z1364" t="s">
        <v>63</v>
      </c>
      <c r="AA1364" t="s">
        <v>12067</v>
      </c>
      <c r="AB1364">
        <v>25439420</v>
      </c>
      <c r="AC1364" t="s">
        <v>67</v>
      </c>
      <c r="AD1364" t="s">
        <v>63</v>
      </c>
      <c r="AE1364" t="s">
        <v>63</v>
      </c>
      <c r="AF1364" t="s">
        <v>63</v>
      </c>
      <c r="AG1364" t="s">
        <v>12068</v>
      </c>
      <c r="AH1364" t="s">
        <v>63</v>
      </c>
      <c r="AI1364" t="s">
        <v>12069</v>
      </c>
      <c r="AJ1364" t="s">
        <v>63</v>
      </c>
      <c r="AK1364" t="s">
        <v>63</v>
      </c>
      <c r="AL1364" t="s">
        <v>63</v>
      </c>
      <c r="AM1364" t="s">
        <v>12070</v>
      </c>
      <c r="AN1364" t="s">
        <v>63</v>
      </c>
      <c r="AO1364" t="s">
        <v>63</v>
      </c>
      <c r="AP1364" t="s">
        <v>63</v>
      </c>
      <c r="AQ1364" t="s">
        <v>63</v>
      </c>
      <c r="AR1364" t="s">
        <v>63</v>
      </c>
      <c r="AS1364" t="s">
        <v>63</v>
      </c>
      <c r="AT1364" t="s">
        <v>63</v>
      </c>
      <c r="AU1364" t="s">
        <v>63</v>
      </c>
      <c r="AV1364" t="s">
        <v>63</v>
      </c>
      <c r="AW1364" t="s">
        <v>63</v>
      </c>
      <c r="AX1364" t="s">
        <v>63</v>
      </c>
      <c r="AY1364" t="s">
        <v>63</v>
      </c>
      <c r="AZ1364" t="s">
        <v>63</v>
      </c>
      <c r="BA1364" t="s">
        <v>63</v>
      </c>
      <c r="BB1364" t="s">
        <v>63</v>
      </c>
      <c r="BC1364" t="s">
        <v>63</v>
      </c>
      <c r="BD1364" t="s">
        <v>63</v>
      </c>
      <c r="BE1364" t="s">
        <v>63</v>
      </c>
      <c r="BF1364" t="s">
        <v>63</v>
      </c>
    </row>
    <row r="1365" spans="1:58">
      <c r="A1365" t="s">
        <v>58</v>
      </c>
      <c r="B1365" t="s">
        <v>12071</v>
      </c>
      <c r="C1365" t="s">
        <v>12072</v>
      </c>
      <c r="D1365" t="s">
        <v>12073</v>
      </c>
      <c r="E1365" t="s">
        <v>63</v>
      </c>
      <c r="F1365">
        <v>2010</v>
      </c>
      <c r="G1365" t="s">
        <v>614</v>
      </c>
      <c r="H1365">
        <v>67</v>
      </c>
      <c r="I1365">
        <v>8</v>
      </c>
      <c r="J1365">
        <v>409</v>
      </c>
      <c r="K1365">
        <v>414</v>
      </c>
      <c r="L1365" t="s">
        <v>12074</v>
      </c>
      <c r="M1365" t="s">
        <v>12075</v>
      </c>
      <c r="N1365" t="s">
        <v>12076</v>
      </c>
      <c r="O1365" t="s">
        <v>63</v>
      </c>
      <c r="Q1365" t="s">
        <v>63</v>
      </c>
      <c r="R1365" t="s">
        <v>63</v>
      </c>
      <c r="S1365" t="s">
        <v>63</v>
      </c>
      <c r="T1365" t="s">
        <v>63</v>
      </c>
      <c r="X1365" t="s">
        <v>63</v>
      </c>
      <c r="Y1365" t="s">
        <v>12077</v>
      </c>
      <c r="Z1365" t="s">
        <v>63</v>
      </c>
      <c r="AA1365" t="s">
        <v>12078</v>
      </c>
      <c r="AB1365">
        <v>20687043</v>
      </c>
      <c r="AC1365" t="s">
        <v>102</v>
      </c>
      <c r="AD1365" t="s">
        <v>63</v>
      </c>
      <c r="AE1365" t="s">
        <v>63</v>
      </c>
      <c r="AF1365" t="s">
        <v>63</v>
      </c>
      <c r="AG1365" t="s">
        <v>12079</v>
      </c>
      <c r="AH1365" t="s">
        <v>63</v>
      </c>
      <c r="AI1365" t="s">
        <v>12080</v>
      </c>
      <c r="AJ1365" t="s">
        <v>63</v>
      </c>
      <c r="AK1365" t="s">
        <v>63</v>
      </c>
      <c r="AL1365" t="s">
        <v>63</v>
      </c>
      <c r="AM1365" t="s">
        <v>12081</v>
      </c>
      <c r="AN1365" t="s">
        <v>63</v>
      </c>
      <c r="AO1365" t="s">
        <v>63</v>
      </c>
      <c r="AP1365" t="s">
        <v>63</v>
      </c>
      <c r="AQ1365" t="s">
        <v>63</v>
      </c>
      <c r="AR1365" t="s">
        <v>63</v>
      </c>
      <c r="AS1365" t="s">
        <v>63</v>
      </c>
      <c r="AT1365" t="s">
        <v>63</v>
      </c>
      <c r="AU1365" t="s">
        <v>63</v>
      </c>
      <c r="AV1365" t="s">
        <v>63</v>
      </c>
      <c r="AW1365" t="s">
        <v>63</v>
      </c>
      <c r="AX1365" t="s">
        <v>63</v>
      </c>
      <c r="AY1365" t="s">
        <v>63</v>
      </c>
      <c r="AZ1365" t="s">
        <v>63</v>
      </c>
      <c r="BA1365" t="s">
        <v>63</v>
      </c>
      <c r="BB1365" t="s">
        <v>63</v>
      </c>
      <c r="BC1365" t="s">
        <v>63</v>
      </c>
      <c r="BD1365" t="s">
        <v>63</v>
      </c>
      <c r="BE1365" t="s">
        <v>63</v>
      </c>
      <c r="BF1365" t="s">
        <v>63</v>
      </c>
    </row>
    <row r="1366" spans="1:58">
      <c r="A1366" t="s">
        <v>58</v>
      </c>
      <c r="B1366" t="s">
        <v>12082</v>
      </c>
      <c r="C1366" t="s">
        <v>12083</v>
      </c>
      <c r="D1366" t="s">
        <v>2353</v>
      </c>
      <c r="E1366" t="s">
        <v>2354</v>
      </c>
      <c r="F1366">
        <v>2010</v>
      </c>
      <c r="G1366" t="s">
        <v>73</v>
      </c>
      <c r="H1366">
        <v>38</v>
      </c>
      <c r="I1366">
        <v>4</v>
      </c>
      <c r="J1366">
        <v>366</v>
      </c>
      <c r="K1366">
        <v>374</v>
      </c>
      <c r="L1366" t="s">
        <v>12084</v>
      </c>
      <c r="M1366" t="s">
        <v>12085</v>
      </c>
      <c r="N1366" t="s">
        <v>12086</v>
      </c>
      <c r="O1366" t="s">
        <v>63</v>
      </c>
      <c r="Q1366" t="s">
        <v>63</v>
      </c>
      <c r="R1366" t="s">
        <v>63</v>
      </c>
      <c r="S1366" t="s">
        <v>63</v>
      </c>
      <c r="T1366" t="s">
        <v>63</v>
      </c>
      <c r="X1366" t="s">
        <v>63</v>
      </c>
      <c r="Y1366" t="s">
        <v>8330</v>
      </c>
      <c r="Z1366" t="s">
        <v>63</v>
      </c>
      <c r="AA1366" t="s">
        <v>12087</v>
      </c>
      <c r="AB1366">
        <v>20362407</v>
      </c>
      <c r="AC1366" t="s">
        <v>67</v>
      </c>
      <c r="AD1366" t="s">
        <v>63</v>
      </c>
      <c r="AE1366" t="s">
        <v>63</v>
      </c>
      <c r="AF1366" t="s">
        <v>63</v>
      </c>
      <c r="AG1366" t="s">
        <v>12088</v>
      </c>
      <c r="AH1366" t="s">
        <v>63</v>
      </c>
      <c r="AI1366" t="s">
        <v>12089</v>
      </c>
      <c r="AJ1366" t="s">
        <v>63</v>
      </c>
      <c r="AK1366" t="s">
        <v>63</v>
      </c>
      <c r="AL1366" t="s">
        <v>63</v>
      </c>
      <c r="AM1366" t="s">
        <v>12090</v>
      </c>
      <c r="AN1366" t="s">
        <v>63</v>
      </c>
      <c r="AO1366" t="s">
        <v>63</v>
      </c>
      <c r="AP1366" t="s">
        <v>63</v>
      </c>
      <c r="AQ1366" t="s">
        <v>63</v>
      </c>
      <c r="AR1366" t="s">
        <v>63</v>
      </c>
      <c r="AS1366" t="s">
        <v>63</v>
      </c>
      <c r="AT1366" t="s">
        <v>63</v>
      </c>
      <c r="AU1366" t="s">
        <v>63</v>
      </c>
      <c r="AV1366" t="s">
        <v>63</v>
      </c>
      <c r="AW1366" t="s">
        <v>63</v>
      </c>
      <c r="AX1366" t="s">
        <v>63</v>
      </c>
      <c r="AY1366" t="s">
        <v>63</v>
      </c>
      <c r="AZ1366" t="s">
        <v>63</v>
      </c>
      <c r="BA1366" t="s">
        <v>63</v>
      </c>
      <c r="BB1366" t="s">
        <v>63</v>
      </c>
      <c r="BC1366" t="s">
        <v>63</v>
      </c>
      <c r="BD1366" t="s">
        <v>63</v>
      </c>
      <c r="BE1366" t="s">
        <v>63</v>
      </c>
      <c r="BF1366" t="s">
        <v>63</v>
      </c>
    </row>
    <row r="1367" spans="1:58">
      <c r="A1367" t="s">
        <v>58</v>
      </c>
      <c r="B1367" t="s">
        <v>12091</v>
      </c>
      <c r="C1367" t="s">
        <v>12092</v>
      </c>
      <c r="D1367" t="s">
        <v>1829</v>
      </c>
      <c r="E1367" t="s">
        <v>1830</v>
      </c>
      <c r="F1367">
        <v>1991</v>
      </c>
      <c r="G1367" t="s">
        <v>157</v>
      </c>
      <c r="H1367">
        <v>84</v>
      </c>
      <c r="I1367">
        <v>12</v>
      </c>
      <c r="J1367">
        <v>1455</v>
      </c>
      <c r="K1367">
        <v>1457</v>
      </c>
      <c r="L1367" t="s">
        <v>12093</v>
      </c>
      <c r="M1367" t="s">
        <v>12094</v>
      </c>
      <c r="N1367" t="s">
        <v>12095</v>
      </c>
      <c r="O1367" t="s">
        <v>63</v>
      </c>
      <c r="Q1367" t="s">
        <v>63</v>
      </c>
      <c r="R1367" t="s">
        <v>63</v>
      </c>
      <c r="S1367" t="s">
        <v>63</v>
      </c>
      <c r="T1367" t="s">
        <v>63</v>
      </c>
      <c r="X1367" t="s">
        <v>63</v>
      </c>
      <c r="Y1367" t="s">
        <v>1834</v>
      </c>
      <c r="Z1367" t="s">
        <v>63</v>
      </c>
      <c r="AA1367" t="s">
        <v>12096</v>
      </c>
      <c r="AB1367">
        <v>1749977</v>
      </c>
      <c r="AC1367" t="s">
        <v>67</v>
      </c>
      <c r="AD1367" t="s">
        <v>63</v>
      </c>
      <c r="AE1367" t="s">
        <v>63</v>
      </c>
      <c r="AF1367" t="s">
        <v>63</v>
      </c>
      <c r="AG1367" t="s">
        <v>12097</v>
      </c>
      <c r="AH1367" t="s">
        <v>63</v>
      </c>
      <c r="AI1367" t="s">
        <v>63</v>
      </c>
      <c r="AJ1367" t="s">
        <v>63</v>
      </c>
      <c r="AK1367" t="s">
        <v>63</v>
      </c>
      <c r="AL1367" t="s">
        <v>63</v>
      </c>
      <c r="AM1367" t="s">
        <v>12098</v>
      </c>
      <c r="AN1367" t="s">
        <v>63</v>
      </c>
      <c r="AO1367" t="s">
        <v>63</v>
      </c>
      <c r="AP1367" t="s">
        <v>63</v>
      </c>
      <c r="AQ1367" t="s">
        <v>63</v>
      </c>
      <c r="AR1367" t="s">
        <v>63</v>
      </c>
      <c r="AS1367" t="s">
        <v>63</v>
      </c>
      <c r="AT1367" t="s">
        <v>63</v>
      </c>
      <c r="AU1367" t="s">
        <v>63</v>
      </c>
      <c r="AV1367" t="s">
        <v>63</v>
      </c>
      <c r="AW1367" t="s">
        <v>63</v>
      </c>
      <c r="AX1367" t="s">
        <v>63</v>
      </c>
      <c r="AY1367" t="s">
        <v>63</v>
      </c>
      <c r="AZ1367" t="s">
        <v>63</v>
      </c>
      <c r="BA1367" t="s">
        <v>63</v>
      </c>
      <c r="BB1367" t="s">
        <v>63</v>
      </c>
      <c r="BC1367" t="s">
        <v>63</v>
      </c>
      <c r="BD1367" t="s">
        <v>63</v>
      </c>
      <c r="BE1367" t="s">
        <v>63</v>
      </c>
      <c r="BF1367" t="s">
        <v>63</v>
      </c>
    </row>
    <row r="1368" spans="1:58">
      <c r="A1368" t="s">
        <v>58</v>
      </c>
      <c r="B1368" t="s">
        <v>12099</v>
      </c>
      <c r="C1368" t="s">
        <v>12100</v>
      </c>
      <c r="D1368" t="s">
        <v>3142</v>
      </c>
      <c r="E1368" t="s">
        <v>3143</v>
      </c>
      <c r="F1368">
        <v>1990</v>
      </c>
      <c r="G1368" t="s">
        <v>84</v>
      </c>
      <c r="H1368">
        <v>150</v>
      </c>
      <c r="I1368">
        <v>4</v>
      </c>
      <c r="J1368">
        <v>883</v>
      </c>
      <c r="K1368">
        <v>886</v>
      </c>
      <c r="L1368" t="s">
        <v>12101</v>
      </c>
      <c r="M1368" t="s">
        <v>12102</v>
      </c>
      <c r="N1368" t="s">
        <v>12103</v>
      </c>
      <c r="O1368" t="s">
        <v>63</v>
      </c>
      <c r="Q1368" t="s">
        <v>63</v>
      </c>
      <c r="R1368" t="s">
        <v>63</v>
      </c>
      <c r="S1368" t="s">
        <v>63</v>
      </c>
      <c r="T1368" t="s">
        <v>63</v>
      </c>
      <c r="X1368" t="s">
        <v>63</v>
      </c>
      <c r="Y1368" s="2">
        <v>2930035</v>
      </c>
      <c r="Z1368" t="s">
        <v>63</v>
      </c>
      <c r="AA1368" t="s">
        <v>12104</v>
      </c>
      <c r="AB1368">
        <v>2327847</v>
      </c>
      <c r="AC1368" t="s">
        <v>67</v>
      </c>
      <c r="AD1368" t="s">
        <v>63</v>
      </c>
      <c r="AE1368" t="s">
        <v>63</v>
      </c>
      <c r="AF1368" t="s">
        <v>63</v>
      </c>
      <c r="AG1368" t="s">
        <v>12105</v>
      </c>
      <c r="AH1368" t="s">
        <v>63</v>
      </c>
      <c r="AI1368" t="s">
        <v>63</v>
      </c>
      <c r="AJ1368" t="s">
        <v>63</v>
      </c>
      <c r="AK1368" t="s">
        <v>63</v>
      </c>
      <c r="AL1368" t="s">
        <v>63</v>
      </c>
      <c r="AM1368" t="s">
        <v>12106</v>
      </c>
      <c r="AN1368" t="s">
        <v>63</v>
      </c>
      <c r="AO1368" t="s">
        <v>63</v>
      </c>
      <c r="AP1368" t="s">
        <v>63</v>
      </c>
      <c r="AQ1368" t="s">
        <v>63</v>
      </c>
      <c r="AR1368" t="s">
        <v>63</v>
      </c>
      <c r="AS1368" t="s">
        <v>63</v>
      </c>
      <c r="AT1368" t="s">
        <v>63</v>
      </c>
      <c r="AU1368" t="s">
        <v>63</v>
      </c>
      <c r="AV1368" t="s">
        <v>63</v>
      </c>
      <c r="AW1368" t="s">
        <v>63</v>
      </c>
      <c r="AX1368" t="s">
        <v>63</v>
      </c>
      <c r="AY1368" t="s">
        <v>63</v>
      </c>
      <c r="AZ1368" t="s">
        <v>63</v>
      </c>
      <c r="BA1368" t="s">
        <v>63</v>
      </c>
      <c r="BB1368" t="s">
        <v>63</v>
      </c>
      <c r="BC1368" t="s">
        <v>63</v>
      </c>
      <c r="BD1368" t="s">
        <v>63</v>
      </c>
      <c r="BE1368" t="s">
        <v>63</v>
      </c>
      <c r="BF1368" t="s">
        <v>63</v>
      </c>
    </row>
    <row r="1369" spans="1:58">
      <c r="A1369" t="s">
        <v>58</v>
      </c>
      <c r="B1369" t="s">
        <v>12107</v>
      </c>
      <c r="C1369" t="s">
        <v>12108</v>
      </c>
      <c r="D1369" t="s">
        <v>12109</v>
      </c>
      <c r="E1369" t="s">
        <v>12110</v>
      </c>
      <c r="F1369">
        <v>1991</v>
      </c>
      <c r="G1369" t="s">
        <v>198</v>
      </c>
      <c r="H1369">
        <v>118</v>
      </c>
      <c r="I1369">
        <v>1</v>
      </c>
      <c r="J1369">
        <v>150</v>
      </c>
      <c r="K1369">
        <v>155</v>
      </c>
      <c r="L1369" t="s">
        <v>12111</v>
      </c>
      <c r="M1369" t="s">
        <v>12112</v>
      </c>
      <c r="N1369" t="s">
        <v>12113</v>
      </c>
      <c r="O1369" t="s">
        <v>63</v>
      </c>
      <c r="Q1369" t="s">
        <v>63</v>
      </c>
      <c r="R1369" t="s">
        <v>63</v>
      </c>
      <c r="S1369" t="s">
        <v>63</v>
      </c>
      <c r="T1369" t="s">
        <v>63</v>
      </c>
      <c r="X1369" t="s">
        <v>63</v>
      </c>
      <c r="Y1369" t="s">
        <v>12114</v>
      </c>
      <c r="Z1369" t="s">
        <v>63</v>
      </c>
      <c r="AA1369" t="s">
        <v>12115</v>
      </c>
      <c r="AB1369">
        <v>1986085</v>
      </c>
      <c r="AC1369" t="s">
        <v>67</v>
      </c>
      <c r="AD1369" t="s">
        <v>63</v>
      </c>
      <c r="AE1369" t="s">
        <v>63</v>
      </c>
      <c r="AF1369" t="s">
        <v>63</v>
      </c>
      <c r="AG1369" t="s">
        <v>12116</v>
      </c>
      <c r="AH1369" t="s">
        <v>63</v>
      </c>
      <c r="AI1369" t="s">
        <v>63</v>
      </c>
      <c r="AJ1369" t="s">
        <v>63</v>
      </c>
      <c r="AK1369" t="s">
        <v>63</v>
      </c>
      <c r="AL1369" t="s">
        <v>63</v>
      </c>
      <c r="AM1369" t="s">
        <v>12117</v>
      </c>
      <c r="AN1369" t="s">
        <v>63</v>
      </c>
      <c r="AO1369" t="s">
        <v>63</v>
      </c>
      <c r="AP1369" t="s">
        <v>63</v>
      </c>
      <c r="AQ1369" t="s">
        <v>63</v>
      </c>
      <c r="AR1369" t="s">
        <v>63</v>
      </c>
      <c r="AS1369" t="s">
        <v>63</v>
      </c>
      <c r="AT1369" t="s">
        <v>63</v>
      </c>
      <c r="AU1369" t="s">
        <v>63</v>
      </c>
      <c r="AV1369" t="s">
        <v>63</v>
      </c>
      <c r="AW1369" t="s">
        <v>63</v>
      </c>
      <c r="AX1369" t="s">
        <v>63</v>
      </c>
      <c r="AY1369" t="s">
        <v>63</v>
      </c>
      <c r="AZ1369" t="s">
        <v>63</v>
      </c>
      <c r="BA1369" t="s">
        <v>63</v>
      </c>
      <c r="BB1369" t="s">
        <v>63</v>
      </c>
      <c r="BC1369" t="s">
        <v>63</v>
      </c>
      <c r="BD1369" t="s">
        <v>63</v>
      </c>
      <c r="BE1369" t="s">
        <v>63</v>
      </c>
      <c r="BF1369" t="s">
        <v>63</v>
      </c>
    </row>
    <row r="1370" spans="1:58">
      <c r="A1370" t="s">
        <v>58</v>
      </c>
      <c r="B1370" t="s">
        <v>12118</v>
      </c>
      <c r="C1370" t="s">
        <v>12119</v>
      </c>
      <c r="D1370" t="s">
        <v>408</v>
      </c>
      <c r="E1370" t="s">
        <v>409</v>
      </c>
      <c r="F1370">
        <v>1997</v>
      </c>
      <c r="G1370" t="s">
        <v>614</v>
      </c>
      <c r="H1370">
        <v>32</v>
      </c>
      <c r="I1370">
        <v>10</v>
      </c>
      <c r="J1370">
        <v>1331</v>
      </c>
      <c r="K1370">
        <v>1348</v>
      </c>
      <c r="L1370" t="s">
        <v>12120</v>
      </c>
      <c r="M1370" t="s">
        <v>12121</v>
      </c>
      <c r="N1370" t="s">
        <v>12122</v>
      </c>
      <c r="O1370" t="s">
        <v>63</v>
      </c>
      <c r="Q1370" t="s">
        <v>63</v>
      </c>
      <c r="R1370" t="s">
        <v>63</v>
      </c>
      <c r="S1370" t="s">
        <v>63</v>
      </c>
      <c r="T1370" t="s">
        <v>63</v>
      </c>
      <c r="X1370" t="s">
        <v>63</v>
      </c>
      <c r="Y1370" t="s">
        <v>3682</v>
      </c>
      <c r="Z1370" t="s">
        <v>63</v>
      </c>
      <c r="AA1370" t="s">
        <v>12123</v>
      </c>
      <c r="AB1370">
        <v>9286003</v>
      </c>
      <c r="AC1370" t="s">
        <v>67</v>
      </c>
      <c r="AD1370" t="s">
        <v>63</v>
      </c>
      <c r="AE1370" t="s">
        <v>63</v>
      </c>
      <c r="AF1370" t="s">
        <v>63</v>
      </c>
      <c r="AG1370" t="s">
        <v>12124</v>
      </c>
      <c r="AH1370" t="s">
        <v>63</v>
      </c>
      <c r="AI1370" t="s">
        <v>63</v>
      </c>
      <c r="AJ1370" t="s">
        <v>63</v>
      </c>
      <c r="AK1370" t="s">
        <v>63</v>
      </c>
      <c r="AL1370" t="s">
        <v>63</v>
      </c>
      <c r="AM1370" t="s">
        <v>12125</v>
      </c>
      <c r="AN1370" t="s">
        <v>63</v>
      </c>
      <c r="AO1370" t="s">
        <v>63</v>
      </c>
      <c r="AP1370" t="s">
        <v>63</v>
      </c>
      <c r="AQ1370" t="s">
        <v>63</v>
      </c>
      <c r="AR1370" t="s">
        <v>63</v>
      </c>
      <c r="AS1370" t="s">
        <v>63</v>
      </c>
      <c r="AT1370" t="s">
        <v>63</v>
      </c>
      <c r="AU1370" t="s">
        <v>63</v>
      </c>
      <c r="AV1370" t="s">
        <v>63</v>
      </c>
      <c r="AW1370" t="s">
        <v>63</v>
      </c>
      <c r="AX1370" t="s">
        <v>63</v>
      </c>
      <c r="AY1370" t="s">
        <v>63</v>
      </c>
      <c r="AZ1370" t="s">
        <v>63</v>
      </c>
      <c r="BA1370" t="s">
        <v>63</v>
      </c>
      <c r="BB1370" t="s">
        <v>63</v>
      </c>
      <c r="BC1370" t="s">
        <v>63</v>
      </c>
      <c r="BD1370" t="s">
        <v>63</v>
      </c>
      <c r="BE1370" t="s">
        <v>63</v>
      </c>
      <c r="BF1370" t="s">
        <v>63</v>
      </c>
    </row>
    <row r="1371" spans="1:58">
      <c r="A1371" t="s">
        <v>58</v>
      </c>
      <c r="B1371" t="s">
        <v>12126</v>
      </c>
      <c r="C1371" t="s">
        <v>12127</v>
      </c>
      <c r="D1371" t="s">
        <v>349</v>
      </c>
      <c r="E1371" t="s">
        <v>350</v>
      </c>
      <c r="F1371">
        <v>1992</v>
      </c>
      <c r="G1371" t="s">
        <v>908</v>
      </c>
      <c r="H1371">
        <v>8</v>
      </c>
      <c r="I1371">
        <v>4</v>
      </c>
      <c r="J1371">
        <v>241</v>
      </c>
      <c r="K1371">
        <v>248</v>
      </c>
      <c r="L1371" t="s">
        <v>12128</v>
      </c>
      <c r="M1371" t="s">
        <v>12129</v>
      </c>
      <c r="N1371" t="s">
        <v>12130</v>
      </c>
      <c r="O1371" t="s">
        <v>63</v>
      </c>
      <c r="Q1371" t="s">
        <v>63</v>
      </c>
      <c r="R1371" t="s">
        <v>63</v>
      </c>
      <c r="S1371" t="s">
        <v>63</v>
      </c>
      <c r="T1371" t="s">
        <v>63</v>
      </c>
      <c r="X1371" t="s">
        <v>63</v>
      </c>
      <c r="Y1371" t="s">
        <v>354</v>
      </c>
      <c r="Z1371" t="s">
        <v>63</v>
      </c>
      <c r="AA1371" t="s">
        <v>12131</v>
      </c>
      <c r="AB1371">
        <v>1524861</v>
      </c>
      <c r="AC1371" t="s">
        <v>67</v>
      </c>
      <c r="AD1371" t="s">
        <v>63</v>
      </c>
      <c r="AE1371" t="s">
        <v>63</v>
      </c>
      <c r="AF1371" t="s">
        <v>63</v>
      </c>
      <c r="AG1371" t="s">
        <v>12132</v>
      </c>
      <c r="AH1371" t="s">
        <v>63</v>
      </c>
      <c r="AI1371" t="s">
        <v>63</v>
      </c>
      <c r="AJ1371" t="s">
        <v>63</v>
      </c>
      <c r="AK1371" t="s">
        <v>63</v>
      </c>
      <c r="AL1371" t="s">
        <v>63</v>
      </c>
      <c r="AM1371" t="s">
        <v>12133</v>
      </c>
      <c r="AN1371" t="s">
        <v>63</v>
      </c>
      <c r="AO1371" t="s">
        <v>63</v>
      </c>
      <c r="AP1371" t="s">
        <v>63</v>
      </c>
      <c r="AQ1371" t="s">
        <v>63</v>
      </c>
      <c r="AR1371" t="s">
        <v>63</v>
      </c>
      <c r="AS1371" t="s">
        <v>63</v>
      </c>
      <c r="AT1371" t="s">
        <v>63</v>
      </c>
      <c r="AU1371" t="s">
        <v>63</v>
      </c>
      <c r="AV1371" t="s">
        <v>63</v>
      </c>
      <c r="AW1371" t="s">
        <v>63</v>
      </c>
      <c r="AX1371" t="s">
        <v>63</v>
      </c>
      <c r="AY1371" t="s">
        <v>63</v>
      </c>
      <c r="AZ1371" t="s">
        <v>63</v>
      </c>
      <c r="BA1371" t="s">
        <v>63</v>
      </c>
      <c r="BB1371" t="s">
        <v>63</v>
      </c>
      <c r="BC1371" t="s">
        <v>63</v>
      </c>
      <c r="BD1371" t="s">
        <v>63</v>
      </c>
      <c r="BE1371" t="s">
        <v>63</v>
      </c>
      <c r="BF1371" t="s">
        <v>63</v>
      </c>
    </row>
    <row r="1372" spans="1:58">
      <c r="A1372" t="s">
        <v>58</v>
      </c>
      <c r="B1372" t="s">
        <v>12134</v>
      </c>
      <c r="C1372" t="s">
        <v>12135</v>
      </c>
      <c r="D1372" t="s">
        <v>389</v>
      </c>
      <c r="E1372" t="s">
        <v>63</v>
      </c>
      <c r="F1372">
        <v>2012</v>
      </c>
      <c r="G1372" t="s">
        <v>63</v>
      </c>
      <c r="H1372">
        <v>33</v>
      </c>
      <c r="I1372">
        <v>3</v>
      </c>
      <c r="J1372">
        <v>308</v>
      </c>
      <c r="K1372">
        <v>311</v>
      </c>
      <c r="L1372" t="s">
        <v>12136</v>
      </c>
      <c r="M1372" t="s">
        <v>12137</v>
      </c>
      <c r="N1372" t="s">
        <v>12138</v>
      </c>
      <c r="O1372" t="s">
        <v>63</v>
      </c>
      <c r="Q1372" t="s">
        <v>63</v>
      </c>
      <c r="R1372" t="s">
        <v>63</v>
      </c>
      <c r="S1372" t="s">
        <v>63</v>
      </c>
      <c r="T1372" t="s">
        <v>63</v>
      </c>
      <c r="X1372" t="s">
        <v>63</v>
      </c>
      <c r="Y1372" t="s">
        <v>556</v>
      </c>
      <c r="Z1372" t="s">
        <v>63</v>
      </c>
      <c r="AA1372" t="s">
        <v>12139</v>
      </c>
      <c r="AB1372">
        <v>22738011</v>
      </c>
      <c r="AC1372" t="s">
        <v>67</v>
      </c>
      <c r="AD1372" t="s">
        <v>63</v>
      </c>
      <c r="AE1372" t="s">
        <v>63</v>
      </c>
      <c r="AF1372" t="s">
        <v>63</v>
      </c>
      <c r="AG1372" t="s">
        <v>12140</v>
      </c>
      <c r="AH1372" t="s">
        <v>63</v>
      </c>
      <c r="AI1372" t="s">
        <v>12141</v>
      </c>
      <c r="AJ1372" t="s">
        <v>63</v>
      </c>
      <c r="AK1372" t="s">
        <v>63</v>
      </c>
      <c r="AL1372" t="s">
        <v>63</v>
      </c>
      <c r="AM1372" t="s">
        <v>12142</v>
      </c>
      <c r="AN1372" t="s">
        <v>63</v>
      </c>
      <c r="AO1372" t="s">
        <v>63</v>
      </c>
      <c r="AP1372" t="s">
        <v>63</v>
      </c>
      <c r="AQ1372" t="s">
        <v>63</v>
      </c>
      <c r="AR1372" t="s">
        <v>63</v>
      </c>
      <c r="AS1372" t="s">
        <v>63</v>
      </c>
      <c r="AT1372" t="s">
        <v>63</v>
      </c>
      <c r="AU1372" t="s">
        <v>63</v>
      </c>
      <c r="AV1372" t="s">
        <v>63</v>
      </c>
      <c r="AW1372" t="s">
        <v>63</v>
      </c>
      <c r="AX1372" t="s">
        <v>63</v>
      </c>
      <c r="AY1372" t="s">
        <v>63</v>
      </c>
      <c r="AZ1372" t="s">
        <v>63</v>
      </c>
      <c r="BA1372" t="s">
        <v>63</v>
      </c>
      <c r="BB1372" t="s">
        <v>63</v>
      </c>
      <c r="BC1372" t="s">
        <v>63</v>
      </c>
      <c r="BD1372" t="s">
        <v>63</v>
      </c>
      <c r="BE1372" t="s">
        <v>63</v>
      </c>
      <c r="BF1372" t="s">
        <v>63</v>
      </c>
    </row>
    <row r="1373" spans="1:58">
      <c r="A1373" t="s">
        <v>58</v>
      </c>
      <c r="B1373" t="s">
        <v>12143</v>
      </c>
      <c r="C1373" t="s">
        <v>12144</v>
      </c>
      <c r="D1373" t="s">
        <v>763</v>
      </c>
      <c r="E1373" t="s">
        <v>63</v>
      </c>
      <c r="F1373">
        <v>1992</v>
      </c>
      <c r="G1373" t="s">
        <v>1670</v>
      </c>
      <c r="H1373">
        <v>67</v>
      </c>
      <c r="I1373">
        <v>7</v>
      </c>
      <c r="J1373">
        <v>482</v>
      </c>
      <c r="K1373">
        <v>483</v>
      </c>
      <c r="L1373" t="s">
        <v>12145</v>
      </c>
      <c r="M1373" t="s">
        <v>12146</v>
      </c>
      <c r="N1373" t="s">
        <v>12147</v>
      </c>
      <c r="O1373" t="s">
        <v>63</v>
      </c>
      <c r="Q1373" t="s">
        <v>63</v>
      </c>
      <c r="R1373" t="s">
        <v>63</v>
      </c>
      <c r="S1373" t="s">
        <v>63</v>
      </c>
      <c r="T1373" t="s">
        <v>63</v>
      </c>
      <c r="X1373" t="s">
        <v>63</v>
      </c>
      <c r="Y1373" t="s">
        <v>858</v>
      </c>
      <c r="Z1373" t="s">
        <v>63</v>
      </c>
      <c r="AA1373" t="s">
        <v>12148</v>
      </c>
      <c r="AB1373">
        <v>1616568</v>
      </c>
      <c r="AC1373" t="s">
        <v>67</v>
      </c>
      <c r="AD1373" t="s">
        <v>63</v>
      </c>
      <c r="AE1373" t="s">
        <v>63</v>
      </c>
      <c r="AF1373" t="s">
        <v>63</v>
      </c>
      <c r="AG1373" t="s">
        <v>12149</v>
      </c>
      <c r="AH1373" t="s">
        <v>63</v>
      </c>
      <c r="AI1373" t="s">
        <v>63</v>
      </c>
      <c r="AJ1373" t="s">
        <v>63</v>
      </c>
      <c r="AK1373" t="s">
        <v>63</v>
      </c>
      <c r="AL1373" t="s">
        <v>63</v>
      </c>
      <c r="AM1373" t="s">
        <v>12150</v>
      </c>
      <c r="AN1373" t="s">
        <v>63</v>
      </c>
      <c r="AO1373" t="s">
        <v>63</v>
      </c>
      <c r="AP1373" t="s">
        <v>63</v>
      </c>
      <c r="AQ1373" t="s">
        <v>63</v>
      </c>
      <c r="AR1373" t="s">
        <v>63</v>
      </c>
      <c r="AS1373" t="s">
        <v>63</v>
      </c>
      <c r="AT1373" t="s">
        <v>63</v>
      </c>
      <c r="AU1373" t="s">
        <v>63</v>
      </c>
      <c r="AV1373" t="s">
        <v>63</v>
      </c>
      <c r="AW1373" t="s">
        <v>63</v>
      </c>
      <c r="AX1373" t="s">
        <v>63</v>
      </c>
      <c r="AY1373" t="s">
        <v>63</v>
      </c>
      <c r="AZ1373" t="s">
        <v>63</v>
      </c>
      <c r="BA1373" t="s">
        <v>63</v>
      </c>
      <c r="BB1373" t="s">
        <v>63</v>
      </c>
      <c r="BC1373" t="s">
        <v>63</v>
      </c>
      <c r="BD1373" t="s">
        <v>63</v>
      </c>
      <c r="BE1373" t="s">
        <v>63</v>
      </c>
      <c r="BF1373" t="s">
        <v>63</v>
      </c>
    </row>
    <row r="1374" spans="1:58">
      <c r="A1374" t="s">
        <v>58</v>
      </c>
      <c r="B1374" t="s">
        <v>12151</v>
      </c>
      <c r="C1374" t="s">
        <v>12152</v>
      </c>
      <c r="D1374" t="s">
        <v>763</v>
      </c>
      <c r="E1374" t="s">
        <v>63</v>
      </c>
      <c r="F1374">
        <v>2015</v>
      </c>
      <c r="G1374" t="s">
        <v>157</v>
      </c>
      <c r="H1374">
        <v>90</v>
      </c>
      <c r="I1374">
        <v>12</v>
      </c>
      <c r="J1374">
        <v>1707</v>
      </c>
      <c r="K1374">
        <v>1712</v>
      </c>
      <c r="L1374" t="s">
        <v>12153</v>
      </c>
      <c r="M1374" t="s">
        <v>12154</v>
      </c>
      <c r="N1374" t="s">
        <v>12155</v>
      </c>
      <c r="O1374" t="s">
        <v>63</v>
      </c>
      <c r="Q1374" t="s">
        <v>63</v>
      </c>
      <c r="R1374" t="s">
        <v>63</v>
      </c>
      <c r="S1374" t="s">
        <v>63</v>
      </c>
      <c r="T1374" t="s">
        <v>63</v>
      </c>
      <c r="X1374" t="s">
        <v>63</v>
      </c>
      <c r="Y1374" t="s">
        <v>766</v>
      </c>
      <c r="Z1374" t="s">
        <v>63</v>
      </c>
      <c r="AA1374" t="s">
        <v>12156</v>
      </c>
      <c r="AB1374">
        <v>26200578</v>
      </c>
      <c r="AC1374" t="s">
        <v>67</v>
      </c>
      <c r="AD1374" t="s">
        <v>63</v>
      </c>
      <c r="AE1374" t="s">
        <v>63</v>
      </c>
      <c r="AF1374" t="s">
        <v>63</v>
      </c>
      <c r="AG1374" t="s">
        <v>12157</v>
      </c>
      <c r="AH1374" t="s">
        <v>63</v>
      </c>
      <c r="AI1374" t="s">
        <v>12158</v>
      </c>
      <c r="AJ1374" t="s">
        <v>63</v>
      </c>
      <c r="AK1374" t="s">
        <v>63</v>
      </c>
      <c r="AL1374" t="s">
        <v>63</v>
      </c>
      <c r="AM1374" t="s">
        <v>12159</v>
      </c>
      <c r="AN1374" t="s">
        <v>63</v>
      </c>
      <c r="AO1374" t="s">
        <v>63</v>
      </c>
      <c r="AP1374" t="s">
        <v>63</v>
      </c>
      <c r="AQ1374" t="s">
        <v>63</v>
      </c>
      <c r="AR1374" t="s">
        <v>63</v>
      </c>
      <c r="AS1374" t="s">
        <v>63</v>
      </c>
      <c r="AT1374" t="s">
        <v>63</v>
      </c>
      <c r="AU1374" t="s">
        <v>63</v>
      </c>
      <c r="AV1374" t="s">
        <v>63</v>
      </c>
      <c r="AW1374" t="s">
        <v>63</v>
      </c>
      <c r="AX1374" t="s">
        <v>63</v>
      </c>
      <c r="AY1374" t="s">
        <v>63</v>
      </c>
      <c r="AZ1374" t="s">
        <v>63</v>
      </c>
      <c r="BA1374" t="s">
        <v>63</v>
      </c>
      <c r="BB1374" t="s">
        <v>63</v>
      </c>
      <c r="BC1374" t="s">
        <v>63</v>
      </c>
      <c r="BD1374" t="s">
        <v>63</v>
      </c>
      <c r="BE1374" t="s">
        <v>63</v>
      </c>
      <c r="BF1374" t="s">
        <v>63</v>
      </c>
    </row>
    <row r="1375" spans="1:58">
      <c r="A1375" t="s">
        <v>58</v>
      </c>
      <c r="B1375" t="s">
        <v>12160</v>
      </c>
      <c r="C1375" t="s">
        <v>12161</v>
      </c>
      <c r="D1375" t="s">
        <v>7205</v>
      </c>
      <c r="E1375" t="s">
        <v>63</v>
      </c>
      <c r="F1375">
        <v>2005</v>
      </c>
      <c r="G1375" s="1">
        <v>41946</v>
      </c>
      <c r="H1375">
        <v>6</v>
      </c>
      <c r="I1375" t="s">
        <v>63</v>
      </c>
      <c r="J1375">
        <v>46</v>
      </c>
      <c r="K1375" t="s">
        <v>63</v>
      </c>
      <c r="L1375" t="s">
        <v>12162</v>
      </c>
      <c r="M1375" t="s">
        <v>12163</v>
      </c>
      <c r="N1375" t="s">
        <v>12164</v>
      </c>
      <c r="O1375" t="s">
        <v>63</v>
      </c>
      <c r="Q1375" t="s">
        <v>63</v>
      </c>
      <c r="R1375" t="s">
        <v>63</v>
      </c>
      <c r="S1375" t="s">
        <v>63</v>
      </c>
      <c r="T1375" t="s">
        <v>63</v>
      </c>
      <c r="X1375" t="s">
        <v>63</v>
      </c>
      <c r="Y1375" t="s">
        <v>7209</v>
      </c>
      <c r="Z1375" t="s">
        <v>63</v>
      </c>
      <c r="AA1375" t="s">
        <v>12165</v>
      </c>
      <c r="AB1375">
        <v>16271146</v>
      </c>
      <c r="AC1375" t="s">
        <v>67</v>
      </c>
      <c r="AD1375" t="s">
        <v>63</v>
      </c>
      <c r="AE1375" t="s">
        <v>63</v>
      </c>
      <c r="AF1375" t="s">
        <v>63</v>
      </c>
      <c r="AG1375" t="s">
        <v>12166</v>
      </c>
      <c r="AH1375" t="s">
        <v>63</v>
      </c>
      <c r="AI1375" t="s">
        <v>63</v>
      </c>
      <c r="AJ1375" t="s">
        <v>63</v>
      </c>
      <c r="AK1375" t="s">
        <v>63</v>
      </c>
      <c r="AL1375" t="s">
        <v>63</v>
      </c>
      <c r="AM1375" t="s">
        <v>12167</v>
      </c>
      <c r="AN1375" t="s">
        <v>63</v>
      </c>
      <c r="AO1375" t="s">
        <v>63</v>
      </c>
      <c r="AP1375" t="s">
        <v>63</v>
      </c>
      <c r="AQ1375" t="s">
        <v>63</v>
      </c>
      <c r="AR1375" t="s">
        <v>63</v>
      </c>
      <c r="AS1375" t="s">
        <v>63</v>
      </c>
      <c r="AT1375" t="s">
        <v>63</v>
      </c>
      <c r="AU1375" t="s">
        <v>63</v>
      </c>
      <c r="AV1375" t="s">
        <v>63</v>
      </c>
      <c r="AW1375" t="s">
        <v>63</v>
      </c>
      <c r="AX1375" t="s">
        <v>63</v>
      </c>
      <c r="AY1375" t="s">
        <v>63</v>
      </c>
      <c r="AZ1375" t="s">
        <v>63</v>
      </c>
      <c r="BA1375" t="s">
        <v>63</v>
      </c>
      <c r="BB1375" t="s">
        <v>63</v>
      </c>
      <c r="BC1375" t="s">
        <v>63</v>
      </c>
      <c r="BD1375" t="s">
        <v>63</v>
      </c>
      <c r="BE1375" t="s">
        <v>63</v>
      </c>
      <c r="BF1375" t="s">
        <v>63</v>
      </c>
    </row>
    <row r="1376" spans="1:58">
      <c r="A1376" t="s">
        <v>58</v>
      </c>
      <c r="B1376" t="s">
        <v>12168</v>
      </c>
      <c r="C1376" t="s">
        <v>12169</v>
      </c>
      <c r="D1376" t="s">
        <v>563</v>
      </c>
      <c r="E1376" t="s">
        <v>63</v>
      </c>
      <c r="F1376">
        <v>2010</v>
      </c>
      <c r="G1376" s="1">
        <v>41769</v>
      </c>
      <c r="H1376">
        <v>10</v>
      </c>
      <c r="I1376" t="s">
        <v>63</v>
      </c>
      <c r="J1376">
        <v>33</v>
      </c>
      <c r="K1376" t="s">
        <v>63</v>
      </c>
      <c r="L1376" t="s">
        <v>12170</v>
      </c>
      <c r="M1376" t="s">
        <v>12171</v>
      </c>
      <c r="N1376" t="s">
        <v>12172</v>
      </c>
      <c r="O1376" t="s">
        <v>63</v>
      </c>
      <c r="Q1376" t="s">
        <v>63</v>
      </c>
      <c r="R1376" t="s">
        <v>63</v>
      </c>
      <c r="S1376" t="s">
        <v>63</v>
      </c>
      <c r="T1376" t="s">
        <v>63</v>
      </c>
      <c r="X1376" t="s">
        <v>63</v>
      </c>
      <c r="Y1376" t="s">
        <v>567</v>
      </c>
      <c r="Z1376" t="s">
        <v>63</v>
      </c>
      <c r="AA1376" t="s">
        <v>12173</v>
      </c>
      <c r="AB1376">
        <v>20459842</v>
      </c>
      <c r="AC1376" t="s">
        <v>67</v>
      </c>
      <c r="AD1376" t="s">
        <v>63</v>
      </c>
      <c r="AE1376" t="s">
        <v>63</v>
      </c>
      <c r="AF1376" t="s">
        <v>63</v>
      </c>
      <c r="AG1376" t="s">
        <v>12174</v>
      </c>
      <c r="AH1376" t="s">
        <v>63</v>
      </c>
      <c r="AI1376" t="s">
        <v>12175</v>
      </c>
      <c r="AJ1376" t="s">
        <v>63</v>
      </c>
      <c r="AK1376" t="s">
        <v>63</v>
      </c>
      <c r="AL1376" t="s">
        <v>63</v>
      </c>
      <c r="AM1376" t="s">
        <v>12176</v>
      </c>
      <c r="AN1376" t="s">
        <v>63</v>
      </c>
      <c r="AO1376" t="s">
        <v>63</v>
      </c>
      <c r="AP1376" t="s">
        <v>63</v>
      </c>
      <c r="AQ1376" t="s">
        <v>63</v>
      </c>
      <c r="AR1376" t="s">
        <v>63</v>
      </c>
      <c r="AS1376" t="s">
        <v>63</v>
      </c>
      <c r="AT1376" t="s">
        <v>63</v>
      </c>
      <c r="AU1376" t="s">
        <v>63</v>
      </c>
      <c r="AV1376" t="s">
        <v>63</v>
      </c>
      <c r="AW1376" t="s">
        <v>63</v>
      </c>
      <c r="AX1376" t="s">
        <v>63</v>
      </c>
      <c r="AY1376" t="s">
        <v>63</v>
      </c>
      <c r="AZ1376" t="s">
        <v>63</v>
      </c>
      <c r="BA1376" t="s">
        <v>63</v>
      </c>
      <c r="BB1376" t="s">
        <v>63</v>
      </c>
      <c r="BC1376" t="s">
        <v>63</v>
      </c>
      <c r="BD1376" t="s">
        <v>63</v>
      </c>
      <c r="BE1376" t="s">
        <v>63</v>
      </c>
      <c r="BF1376" t="s">
        <v>63</v>
      </c>
    </row>
    <row r="1377" spans="1:58">
      <c r="A1377" t="s">
        <v>58</v>
      </c>
      <c r="B1377" t="s">
        <v>12177</v>
      </c>
      <c r="C1377" t="s">
        <v>12178</v>
      </c>
      <c r="D1377" t="s">
        <v>389</v>
      </c>
      <c r="E1377" t="s">
        <v>63</v>
      </c>
      <c r="F1377">
        <v>2005</v>
      </c>
      <c r="G1377" t="s">
        <v>274</v>
      </c>
      <c r="H1377">
        <v>26</v>
      </c>
      <c r="I1377">
        <v>1</v>
      </c>
      <c r="J1377">
        <v>23</v>
      </c>
      <c r="K1377">
        <v>31</v>
      </c>
      <c r="L1377" t="s">
        <v>12179</v>
      </c>
      <c r="M1377" t="s">
        <v>12180</v>
      </c>
      <c r="N1377" t="s">
        <v>12181</v>
      </c>
      <c r="O1377" t="s">
        <v>63</v>
      </c>
      <c r="Q1377" t="s">
        <v>63</v>
      </c>
      <c r="R1377" t="s">
        <v>63</v>
      </c>
      <c r="S1377" t="s">
        <v>63</v>
      </c>
      <c r="T1377" t="s">
        <v>63</v>
      </c>
      <c r="X1377" t="s">
        <v>63</v>
      </c>
      <c r="Y1377" t="s">
        <v>392</v>
      </c>
      <c r="Z1377" t="s">
        <v>63</v>
      </c>
      <c r="AA1377" t="s">
        <v>12182</v>
      </c>
      <c r="AB1377">
        <v>16492660</v>
      </c>
      <c r="AC1377" t="s">
        <v>67</v>
      </c>
      <c r="AD1377" t="s">
        <v>63</v>
      </c>
      <c r="AE1377" t="s">
        <v>63</v>
      </c>
      <c r="AF1377" t="s">
        <v>63</v>
      </c>
      <c r="AG1377" t="s">
        <v>12183</v>
      </c>
      <c r="AH1377" t="s">
        <v>63</v>
      </c>
      <c r="AI1377" t="s">
        <v>63</v>
      </c>
      <c r="AJ1377" t="s">
        <v>63</v>
      </c>
      <c r="AK1377" t="s">
        <v>63</v>
      </c>
      <c r="AL1377" t="s">
        <v>63</v>
      </c>
      <c r="AM1377" t="s">
        <v>12184</v>
      </c>
      <c r="AN1377" t="s">
        <v>63</v>
      </c>
      <c r="AO1377" t="s">
        <v>63</v>
      </c>
      <c r="AP1377" t="s">
        <v>63</v>
      </c>
      <c r="AQ1377" t="s">
        <v>63</v>
      </c>
      <c r="AR1377" t="s">
        <v>63</v>
      </c>
      <c r="AS1377" t="s">
        <v>63</v>
      </c>
      <c r="AT1377" t="s">
        <v>63</v>
      </c>
      <c r="AU1377" t="s">
        <v>63</v>
      </c>
      <c r="AV1377" t="s">
        <v>63</v>
      </c>
      <c r="AW1377" t="s">
        <v>63</v>
      </c>
      <c r="AX1377" t="s">
        <v>63</v>
      </c>
      <c r="AY1377" t="s">
        <v>63</v>
      </c>
      <c r="AZ1377" t="s">
        <v>63</v>
      </c>
      <c r="BA1377" t="s">
        <v>63</v>
      </c>
      <c r="BB1377" t="s">
        <v>63</v>
      </c>
      <c r="BC1377" t="s">
        <v>63</v>
      </c>
      <c r="BD1377" t="s">
        <v>63</v>
      </c>
      <c r="BE1377" t="s">
        <v>63</v>
      </c>
      <c r="BF1377" t="s">
        <v>63</v>
      </c>
    </row>
    <row r="1378" spans="1:58">
      <c r="A1378" t="s">
        <v>58</v>
      </c>
      <c r="B1378" t="s">
        <v>12185</v>
      </c>
      <c r="C1378" t="s">
        <v>12186</v>
      </c>
      <c r="D1378" t="s">
        <v>389</v>
      </c>
      <c r="E1378" t="s">
        <v>63</v>
      </c>
      <c r="F1378">
        <v>2012</v>
      </c>
      <c r="G1378" t="s">
        <v>63</v>
      </c>
      <c r="H1378">
        <v>33</v>
      </c>
      <c r="I1378">
        <v>3</v>
      </c>
      <c r="J1378">
        <v>261</v>
      </c>
      <c r="K1378">
        <v>271</v>
      </c>
      <c r="L1378" t="s">
        <v>12187</v>
      </c>
      <c r="M1378" t="s">
        <v>12188</v>
      </c>
      <c r="N1378" t="s">
        <v>12189</v>
      </c>
      <c r="O1378" t="s">
        <v>63</v>
      </c>
      <c r="Q1378" t="s">
        <v>63</v>
      </c>
      <c r="R1378" t="s">
        <v>63</v>
      </c>
      <c r="S1378" t="s">
        <v>63</v>
      </c>
      <c r="T1378" t="s">
        <v>63</v>
      </c>
      <c r="X1378" t="s">
        <v>63</v>
      </c>
      <c r="Y1378" t="s">
        <v>556</v>
      </c>
      <c r="Z1378" t="s">
        <v>63</v>
      </c>
      <c r="AA1378" t="s">
        <v>12190</v>
      </c>
      <c r="AB1378">
        <v>22738003</v>
      </c>
      <c r="AC1378" t="s">
        <v>67</v>
      </c>
      <c r="AD1378" t="s">
        <v>63</v>
      </c>
      <c r="AE1378" t="s">
        <v>63</v>
      </c>
      <c r="AF1378" t="s">
        <v>63</v>
      </c>
      <c r="AG1378" t="s">
        <v>12191</v>
      </c>
      <c r="AH1378" t="s">
        <v>63</v>
      </c>
      <c r="AI1378" t="s">
        <v>12192</v>
      </c>
      <c r="AJ1378" t="s">
        <v>63</v>
      </c>
      <c r="AK1378" t="s">
        <v>63</v>
      </c>
      <c r="AL1378" t="s">
        <v>63</v>
      </c>
      <c r="AM1378" t="s">
        <v>12193</v>
      </c>
      <c r="AN1378" t="s">
        <v>63</v>
      </c>
      <c r="AO1378" t="s">
        <v>63</v>
      </c>
      <c r="AP1378" t="s">
        <v>63</v>
      </c>
      <c r="AQ1378" t="s">
        <v>63</v>
      </c>
      <c r="AR1378" t="s">
        <v>63</v>
      </c>
      <c r="AS1378" t="s">
        <v>63</v>
      </c>
      <c r="AT1378" t="s">
        <v>63</v>
      </c>
      <c r="AU1378" t="s">
        <v>63</v>
      </c>
      <c r="AV1378" t="s">
        <v>63</v>
      </c>
      <c r="AW1378" t="s">
        <v>63</v>
      </c>
      <c r="AX1378" t="s">
        <v>63</v>
      </c>
      <c r="AY1378" t="s">
        <v>63</v>
      </c>
      <c r="AZ1378" t="s">
        <v>63</v>
      </c>
      <c r="BA1378" t="s">
        <v>63</v>
      </c>
      <c r="BB1378" t="s">
        <v>63</v>
      </c>
      <c r="BC1378" t="s">
        <v>63</v>
      </c>
      <c r="BD1378" t="s">
        <v>63</v>
      </c>
      <c r="BE1378" t="s">
        <v>63</v>
      </c>
      <c r="BF1378" t="s">
        <v>63</v>
      </c>
    </row>
    <row r="1379" spans="1:58">
      <c r="A1379" t="s">
        <v>58</v>
      </c>
      <c r="B1379" t="s">
        <v>12194</v>
      </c>
      <c r="C1379" t="s">
        <v>12195</v>
      </c>
      <c r="D1379" t="s">
        <v>11113</v>
      </c>
      <c r="E1379" t="s">
        <v>63</v>
      </c>
      <c r="F1379">
        <v>1992</v>
      </c>
      <c r="G1379" t="s">
        <v>189</v>
      </c>
      <c r="H1379">
        <v>166</v>
      </c>
      <c r="I1379">
        <v>5</v>
      </c>
      <c r="J1379">
        <v>1356</v>
      </c>
      <c r="K1379">
        <v>1363</v>
      </c>
      <c r="L1379" t="s">
        <v>12196</v>
      </c>
      <c r="M1379" t="s">
        <v>12197</v>
      </c>
      <c r="N1379" t="s">
        <v>12198</v>
      </c>
      <c r="O1379" t="s">
        <v>63</v>
      </c>
      <c r="Q1379" t="s">
        <v>63</v>
      </c>
      <c r="R1379" t="s">
        <v>63</v>
      </c>
      <c r="S1379" t="s">
        <v>63</v>
      </c>
      <c r="T1379" t="s">
        <v>63</v>
      </c>
      <c r="X1379" t="s">
        <v>63</v>
      </c>
      <c r="Y1379" s="2">
        <v>2729855</v>
      </c>
      <c r="Z1379" t="s">
        <v>63</v>
      </c>
      <c r="AA1379" t="s">
        <v>12199</v>
      </c>
      <c r="AB1379">
        <v>1595791</v>
      </c>
      <c r="AC1379" t="s">
        <v>67</v>
      </c>
      <c r="AD1379" t="s">
        <v>63</v>
      </c>
      <c r="AE1379" t="s">
        <v>63</v>
      </c>
      <c r="AF1379" t="s">
        <v>63</v>
      </c>
      <c r="AG1379" t="s">
        <v>12200</v>
      </c>
      <c r="AH1379" t="s">
        <v>63</v>
      </c>
      <c r="AI1379" t="s">
        <v>63</v>
      </c>
      <c r="AJ1379" t="s">
        <v>63</v>
      </c>
      <c r="AK1379" t="s">
        <v>63</v>
      </c>
      <c r="AL1379" t="s">
        <v>63</v>
      </c>
      <c r="AM1379" t="s">
        <v>12201</v>
      </c>
      <c r="AN1379" t="s">
        <v>63</v>
      </c>
      <c r="AO1379" t="s">
        <v>63</v>
      </c>
      <c r="AP1379" t="s">
        <v>63</v>
      </c>
      <c r="AQ1379" t="s">
        <v>63</v>
      </c>
      <c r="AR1379" t="s">
        <v>63</v>
      </c>
      <c r="AS1379" t="s">
        <v>63</v>
      </c>
      <c r="AT1379" t="s">
        <v>63</v>
      </c>
      <c r="AU1379" t="s">
        <v>63</v>
      </c>
      <c r="AV1379" t="s">
        <v>63</v>
      </c>
      <c r="AW1379" t="s">
        <v>63</v>
      </c>
      <c r="AX1379" t="s">
        <v>63</v>
      </c>
      <c r="AY1379" t="s">
        <v>63</v>
      </c>
      <c r="AZ1379" t="s">
        <v>63</v>
      </c>
      <c r="BA1379" t="s">
        <v>63</v>
      </c>
      <c r="BB1379" t="s">
        <v>63</v>
      </c>
      <c r="BC1379" t="s">
        <v>63</v>
      </c>
      <c r="BD1379" t="s">
        <v>63</v>
      </c>
      <c r="BE1379" t="s">
        <v>63</v>
      </c>
      <c r="BF1379" t="s">
        <v>63</v>
      </c>
    </row>
    <row r="1380" spans="1:58">
      <c r="A1380" t="s">
        <v>58</v>
      </c>
      <c r="B1380" t="s">
        <v>12202</v>
      </c>
      <c r="C1380" t="s">
        <v>12203</v>
      </c>
      <c r="D1380" t="s">
        <v>1184</v>
      </c>
      <c r="E1380" t="s">
        <v>1185</v>
      </c>
      <c r="F1380">
        <v>1982</v>
      </c>
      <c r="G1380" t="s">
        <v>189</v>
      </c>
      <c r="H1380">
        <v>57</v>
      </c>
      <c r="I1380">
        <v>5</v>
      </c>
      <c r="J1380">
        <v>428</v>
      </c>
      <c r="K1380" t="s">
        <v>63</v>
      </c>
      <c r="L1380" t="s">
        <v>12204</v>
      </c>
      <c r="M1380" t="s">
        <v>63</v>
      </c>
      <c r="N1380" t="s">
        <v>12205</v>
      </c>
      <c r="O1380" t="s">
        <v>63</v>
      </c>
      <c r="Q1380" t="s">
        <v>63</v>
      </c>
      <c r="R1380" t="s">
        <v>63</v>
      </c>
      <c r="S1380" t="s">
        <v>63</v>
      </c>
      <c r="T1380" t="s">
        <v>63</v>
      </c>
      <c r="X1380" t="s">
        <v>63</v>
      </c>
      <c r="Y1380" t="s">
        <v>1188</v>
      </c>
      <c r="Z1380" t="s">
        <v>63</v>
      </c>
      <c r="AA1380" t="s">
        <v>63</v>
      </c>
      <c r="AB1380">
        <v>7069773</v>
      </c>
      <c r="AC1380" t="s">
        <v>67</v>
      </c>
      <c r="AD1380" t="s">
        <v>63</v>
      </c>
      <c r="AE1380" t="s">
        <v>63</v>
      </c>
      <c r="AF1380" t="s">
        <v>63</v>
      </c>
      <c r="AG1380" t="s">
        <v>12206</v>
      </c>
      <c r="AH1380" t="s">
        <v>63</v>
      </c>
      <c r="AI1380" t="s">
        <v>63</v>
      </c>
      <c r="AJ1380" t="s">
        <v>63</v>
      </c>
      <c r="AK1380" t="s">
        <v>63</v>
      </c>
      <c r="AL1380" t="s">
        <v>63</v>
      </c>
      <c r="AM1380" t="s">
        <v>12207</v>
      </c>
      <c r="AN1380" t="s">
        <v>63</v>
      </c>
      <c r="AO1380" t="s">
        <v>63</v>
      </c>
      <c r="AP1380" t="s">
        <v>63</v>
      </c>
      <c r="AQ1380" t="s">
        <v>63</v>
      </c>
      <c r="AR1380" t="s">
        <v>63</v>
      </c>
      <c r="AS1380" t="s">
        <v>63</v>
      </c>
      <c r="AT1380" t="s">
        <v>63</v>
      </c>
      <c r="AU1380" t="s">
        <v>63</v>
      </c>
      <c r="AV1380" t="s">
        <v>63</v>
      </c>
      <c r="AW1380" t="s">
        <v>63</v>
      </c>
      <c r="AX1380" t="s">
        <v>63</v>
      </c>
      <c r="AY1380" t="s">
        <v>63</v>
      </c>
      <c r="AZ1380" t="s">
        <v>63</v>
      </c>
      <c r="BA1380" t="s">
        <v>63</v>
      </c>
      <c r="BB1380" t="s">
        <v>63</v>
      </c>
      <c r="BC1380" t="s">
        <v>63</v>
      </c>
      <c r="BD1380" t="s">
        <v>63</v>
      </c>
      <c r="BE1380" t="s">
        <v>63</v>
      </c>
      <c r="BF1380" t="s">
        <v>63</v>
      </c>
    </row>
    <row r="1381" spans="1:58">
      <c r="A1381" t="s">
        <v>58</v>
      </c>
      <c r="B1381" t="s">
        <v>12208</v>
      </c>
      <c r="C1381" t="s">
        <v>12209</v>
      </c>
      <c r="D1381" t="s">
        <v>734</v>
      </c>
      <c r="E1381" t="s">
        <v>63</v>
      </c>
      <c r="F1381">
        <v>2017</v>
      </c>
      <c r="G1381" t="s">
        <v>73</v>
      </c>
      <c r="H1381">
        <v>44</v>
      </c>
      <c r="I1381" t="s">
        <v>63</v>
      </c>
      <c r="J1381">
        <v>183</v>
      </c>
      <c r="K1381">
        <v>191</v>
      </c>
      <c r="L1381" t="s">
        <v>12210</v>
      </c>
      <c r="M1381" t="s">
        <v>12211</v>
      </c>
      <c r="N1381" t="s">
        <v>12212</v>
      </c>
      <c r="O1381" t="s">
        <v>63</v>
      </c>
      <c r="Q1381" t="s">
        <v>63</v>
      </c>
      <c r="R1381" t="s">
        <v>63</v>
      </c>
      <c r="S1381" t="s">
        <v>63</v>
      </c>
      <c r="T1381" t="s">
        <v>63</v>
      </c>
      <c r="X1381" t="s">
        <v>63</v>
      </c>
      <c r="Y1381" t="s">
        <v>737</v>
      </c>
      <c r="Z1381" t="s">
        <v>63</v>
      </c>
      <c r="AA1381" t="s">
        <v>12213</v>
      </c>
      <c r="AB1381">
        <v>28559120</v>
      </c>
      <c r="AC1381" t="s">
        <v>67</v>
      </c>
      <c r="AD1381" t="s">
        <v>63</v>
      </c>
      <c r="AE1381" t="s">
        <v>63</v>
      </c>
      <c r="AF1381" t="s">
        <v>63</v>
      </c>
      <c r="AG1381" t="s">
        <v>12214</v>
      </c>
      <c r="AH1381" t="s">
        <v>63</v>
      </c>
      <c r="AI1381" t="s">
        <v>12215</v>
      </c>
      <c r="AJ1381" t="s">
        <v>63</v>
      </c>
      <c r="AK1381" t="s">
        <v>63</v>
      </c>
      <c r="AL1381" t="s">
        <v>63</v>
      </c>
      <c r="AM1381" t="s">
        <v>12216</v>
      </c>
      <c r="AN1381" t="s">
        <v>63</v>
      </c>
      <c r="AO1381" t="s">
        <v>63</v>
      </c>
      <c r="AP1381" t="s">
        <v>63</v>
      </c>
      <c r="AQ1381" t="s">
        <v>63</v>
      </c>
      <c r="AR1381" t="s">
        <v>63</v>
      </c>
      <c r="AS1381" t="s">
        <v>63</v>
      </c>
      <c r="AT1381" t="s">
        <v>63</v>
      </c>
      <c r="AU1381" t="s">
        <v>63</v>
      </c>
      <c r="AV1381" t="s">
        <v>63</v>
      </c>
      <c r="AW1381" t="s">
        <v>63</v>
      </c>
      <c r="AX1381" t="s">
        <v>63</v>
      </c>
      <c r="AY1381" t="s">
        <v>63</v>
      </c>
      <c r="AZ1381" t="s">
        <v>63</v>
      </c>
      <c r="BA1381" t="s">
        <v>63</v>
      </c>
      <c r="BB1381" t="s">
        <v>63</v>
      </c>
      <c r="BC1381" t="s">
        <v>63</v>
      </c>
      <c r="BD1381" t="s">
        <v>63</v>
      </c>
      <c r="BE1381" t="s">
        <v>63</v>
      </c>
      <c r="BF1381" t="s">
        <v>63</v>
      </c>
    </row>
    <row r="1382" spans="1:58">
      <c r="A1382" t="s">
        <v>58</v>
      </c>
      <c r="B1382" t="s">
        <v>12217</v>
      </c>
      <c r="C1382" t="s">
        <v>12218</v>
      </c>
      <c r="D1382" t="s">
        <v>12219</v>
      </c>
      <c r="E1382" t="s">
        <v>12220</v>
      </c>
      <c r="F1382">
        <v>1973</v>
      </c>
      <c r="G1382" t="s">
        <v>198</v>
      </c>
      <c r="H1382">
        <v>43</v>
      </c>
      <c r="I1382">
        <v>1</v>
      </c>
      <c r="J1382">
        <v>79</v>
      </c>
      <c r="K1382">
        <v>85</v>
      </c>
      <c r="L1382" t="s">
        <v>12221</v>
      </c>
      <c r="M1382" t="s">
        <v>63</v>
      </c>
      <c r="N1382" t="s">
        <v>12222</v>
      </c>
      <c r="O1382" t="s">
        <v>63</v>
      </c>
      <c r="Q1382" t="s">
        <v>63</v>
      </c>
      <c r="R1382" t="s">
        <v>63</v>
      </c>
      <c r="S1382" t="s">
        <v>63</v>
      </c>
      <c r="T1382" t="s">
        <v>63</v>
      </c>
      <c r="X1382" t="s">
        <v>63</v>
      </c>
      <c r="Y1382" s="2">
        <v>2749577</v>
      </c>
      <c r="Z1382" t="s">
        <v>63</v>
      </c>
      <c r="AA1382" t="s">
        <v>63</v>
      </c>
      <c r="AB1382">
        <v>4705919</v>
      </c>
      <c r="AC1382" t="s">
        <v>67</v>
      </c>
      <c r="AD1382" t="s">
        <v>63</v>
      </c>
      <c r="AE1382" t="s">
        <v>63</v>
      </c>
      <c r="AF1382" t="s">
        <v>63</v>
      </c>
      <c r="AG1382" t="s">
        <v>12223</v>
      </c>
      <c r="AH1382" t="s">
        <v>63</v>
      </c>
      <c r="AI1382" t="s">
        <v>63</v>
      </c>
      <c r="AJ1382" t="s">
        <v>63</v>
      </c>
      <c r="AK1382" t="s">
        <v>63</v>
      </c>
      <c r="AL1382" t="s">
        <v>63</v>
      </c>
      <c r="AM1382" t="s">
        <v>12224</v>
      </c>
      <c r="AN1382" t="s">
        <v>63</v>
      </c>
      <c r="AO1382" t="s">
        <v>63</v>
      </c>
      <c r="AP1382" t="s">
        <v>63</v>
      </c>
      <c r="AQ1382" t="s">
        <v>63</v>
      </c>
      <c r="AR1382" t="s">
        <v>63</v>
      </c>
      <c r="AS1382" t="s">
        <v>63</v>
      </c>
      <c r="AT1382" t="s">
        <v>63</v>
      </c>
      <c r="AU1382" t="s">
        <v>63</v>
      </c>
      <c r="AV1382" t="s">
        <v>63</v>
      </c>
      <c r="AW1382" t="s">
        <v>63</v>
      </c>
      <c r="AX1382" t="s">
        <v>63</v>
      </c>
      <c r="AY1382" t="s">
        <v>63</v>
      </c>
      <c r="AZ1382" t="s">
        <v>63</v>
      </c>
      <c r="BA1382" t="s">
        <v>63</v>
      </c>
      <c r="BB1382" t="s">
        <v>63</v>
      </c>
      <c r="BC1382" t="s">
        <v>63</v>
      </c>
      <c r="BD1382" t="s">
        <v>63</v>
      </c>
      <c r="BE1382" t="s">
        <v>63</v>
      </c>
      <c r="BF1382" t="s">
        <v>63</v>
      </c>
    </row>
    <row r="1383" spans="1:58">
      <c r="A1383" t="s">
        <v>58</v>
      </c>
      <c r="B1383" t="s">
        <v>12225</v>
      </c>
      <c r="C1383" t="s">
        <v>12226</v>
      </c>
      <c r="D1383" t="s">
        <v>1055</v>
      </c>
      <c r="E1383" t="s">
        <v>1056</v>
      </c>
      <c r="F1383">
        <v>1995</v>
      </c>
      <c r="G1383" t="s">
        <v>274</v>
      </c>
      <c r="H1383">
        <v>29</v>
      </c>
      <c r="I1383">
        <v>2</v>
      </c>
      <c r="J1383">
        <v>139</v>
      </c>
      <c r="K1383">
        <v>143</v>
      </c>
      <c r="L1383" t="s">
        <v>12227</v>
      </c>
      <c r="M1383" t="s">
        <v>12228</v>
      </c>
      <c r="N1383" t="s">
        <v>12229</v>
      </c>
      <c r="O1383" t="s">
        <v>63</v>
      </c>
      <c r="Q1383" t="s">
        <v>63</v>
      </c>
      <c r="R1383" t="s">
        <v>63</v>
      </c>
      <c r="S1383" t="s">
        <v>63</v>
      </c>
      <c r="T1383" t="s">
        <v>63</v>
      </c>
      <c r="X1383" t="s">
        <v>63</v>
      </c>
      <c r="Y1383" t="s">
        <v>1059</v>
      </c>
      <c r="Z1383" t="s">
        <v>63</v>
      </c>
      <c r="AA1383" t="s">
        <v>12230</v>
      </c>
      <c r="AB1383">
        <v>7623701</v>
      </c>
      <c r="AC1383" t="s">
        <v>67</v>
      </c>
      <c r="AD1383" t="s">
        <v>63</v>
      </c>
      <c r="AE1383" t="s">
        <v>63</v>
      </c>
      <c r="AF1383" t="s">
        <v>63</v>
      </c>
      <c r="AG1383" t="s">
        <v>12231</v>
      </c>
      <c r="AH1383" t="s">
        <v>63</v>
      </c>
      <c r="AI1383" t="s">
        <v>63</v>
      </c>
      <c r="AJ1383" t="s">
        <v>63</v>
      </c>
      <c r="AK1383" t="s">
        <v>63</v>
      </c>
      <c r="AL1383" t="s">
        <v>63</v>
      </c>
      <c r="AM1383" t="s">
        <v>12232</v>
      </c>
      <c r="AN1383" t="s">
        <v>63</v>
      </c>
      <c r="AO1383" t="s">
        <v>63</v>
      </c>
      <c r="AP1383" t="s">
        <v>63</v>
      </c>
      <c r="AQ1383" t="s">
        <v>63</v>
      </c>
      <c r="AR1383" t="s">
        <v>63</v>
      </c>
      <c r="AS1383" t="s">
        <v>63</v>
      </c>
      <c r="AT1383" t="s">
        <v>63</v>
      </c>
      <c r="AU1383" t="s">
        <v>63</v>
      </c>
      <c r="AV1383" t="s">
        <v>63</v>
      </c>
      <c r="AW1383" t="s">
        <v>63</v>
      </c>
      <c r="AX1383" t="s">
        <v>63</v>
      </c>
      <c r="AY1383" t="s">
        <v>63</v>
      </c>
      <c r="AZ1383" t="s">
        <v>63</v>
      </c>
      <c r="BA1383" t="s">
        <v>63</v>
      </c>
      <c r="BB1383" t="s">
        <v>63</v>
      </c>
      <c r="BC1383" t="s">
        <v>63</v>
      </c>
      <c r="BD1383" t="s">
        <v>63</v>
      </c>
      <c r="BE1383" t="s">
        <v>63</v>
      </c>
      <c r="BF1383" t="s">
        <v>63</v>
      </c>
    </row>
    <row r="1384" spans="1:58">
      <c r="A1384" t="s">
        <v>58</v>
      </c>
      <c r="B1384" t="s">
        <v>12233</v>
      </c>
      <c r="C1384" t="s">
        <v>12234</v>
      </c>
      <c r="D1384" t="s">
        <v>111</v>
      </c>
      <c r="E1384" t="s">
        <v>112</v>
      </c>
      <c r="F1384">
        <v>1974</v>
      </c>
      <c r="G1384" t="s">
        <v>181</v>
      </c>
      <c r="H1384">
        <v>81</v>
      </c>
      <c r="I1384">
        <v>3</v>
      </c>
      <c r="J1384">
        <v>396</v>
      </c>
      <c r="K1384">
        <v>398</v>
      </c>
      <c r="L1384" t="s">
        <v>12235</v>
      </c>
      <c r="M1384" t="s">
        <v>63</v>
      </c>
      <c r="N1384" t="s">
        <v>12236</v>
      </c>
      <c r="O1384" t="s">
        <v>63</v>
      </c>
      <c r="Q1384" t="s">
        <v>63</v>
      </c>
      <c r="R1384" t="s">
        <v>63</v>
      </c>
      <c r="S1384" t="s">
        <v>63</v>
      </c>
      <c r="T1384" t="s">
        <v>63</v>
      </c>
      <c r="X1384" t="s">
        <v>63</v>
      </c>
      <c r="Y1384" s="2">
        <v>1064742</v>
      </c>
      <c r="Z1384" t="s">
        <v>63</v>
      </c>
      <c r="AA1384" t="s">
        <v>63</v>
      </c>
      <c r="AB1384">
        <v>4859284</v>
      </c>
      <c r="AC1384" t="s">
        <v>67</v>
      </c>
      <c r="AD1384" t="s">
        <v>63</v>
      </c>
      <c r="AE1384" t="s">
        <v>63</v>
      </c>
      <c r="AF1384" t="s">
        <v>63</v>
      </c>
      <c r="AG1384" t="s">
        <v>12237</v>
      </c>
      <c r="AH1384" t="s">
        <v>63</v>
      </c>
      <c r="AI1384" t="s">
        <v>63</v>
      </c>
      <c r="AJ1384" t="s">
        <v>63</v>
      </c>
      <c r="AK1384" t="s">
        <v>63</v>
      </c>
      <c r="AL1384" t="s">
        <v>63</v>
      </c>
      <c r="AM1384" t="s">
        <v>12238</v>
      </c>
      <c r="AN1384" t="s">
        <v>63</v>
      </c>
      <c r="AO1384" t="s">
        <v>63</v>
      </c>
      <c r="AP1384" t="s">
        <v>63</v>
      </c>
      <c r="AQ1384" t="s">
        <v>63</v>
      </c>
      <c r="AR1384" t="s">
        <v>63</v>
      </c>
      <c r="AS1384" t="s">
        <v>63</v>
      </c>
      <c r="AT1384" t="s">
        <v>63</v>
      </c>
      <c r="AU1384" t="s">
        <v>63</v>
      </c>
      <c r="AV1384" t="s">
        <v>63</v>
      </c>
      <c r="AW1384" t="s">
        <v>63</v>
      </c>
      <c r="AX1384" t="s">
        <v>63</v>
      </c>
      <c r="AY1384" t="s">
        <v>63</v>
      </c>
      <c r="AZ1384" t="s">
        <v>63</v>
      </c>
      <c r="BA1384" t="s">
        <v>63</v>
      </c>
      <c r="BB1384" t="s">
        <v>63</v>
      </c>
      <c r="BC1384" t="s">
        <v>63</v>
      </c>
      <c r="BD1384" t="s">
        <v>63</v>
      </c>
      <c r="BE1384" t="s">
        <v>63</v>
      </c>
      <c r="BF1384" t="s">
        <v>63</v>
      </c>
    </row>
    <row r="1385" spans="1:58">
      <c r="A1385" t="s">
        <v>58</v>
      </c>
      <c r="B1385" t="s">
        <v>12233</v>
      </c>
      <c r="C1385" t="s">
        <v>12239</v>
      </c>
      <c r="D1385" t="s">
        <v>2576</v>
      </c>
      <c r="E1385" t="s">
        <v>2577</v>
      </c>
      <c r="F1385">
        <v>1971</v>
      </c>
      <c r="G1385" s="1">
        <v>41726</v>
      </c>
      <c r="H1385">
        <v>178</v>
      </c>
      <c r="I1385" t="s">
        <v>63</v>
      </c>
      <c r="J1385">
        <v>4</v>
      </c>
      <c r="K1385">
        <v>6</v>
      </c>
      <c r="L1385" t="s">
        <v>12240</v>
      </c>
      <c r="M1385" t="s">
        <v>63</v>
      </c>
      <c r="N1385" t="s">
        <v>12241</v>
      </c>
      <c r="O1385" t="s">
        <v>63</v>
      </c>
      <c r="Q1385" t="s">
        <v>63</v>
      </c>
      <c r="R1385" t="s">
        <v>63</v>
      </c>
      <c r="S1385" t="s">
        <v>63</v>
      </c>
      <c r="T1385" t="s">
        <v>63</v>
      </c>
      <c r="X1385" t="s">
        <v>63</v>
      </c>
      <c r="Y1385" t="s">
        <v>2580</v>
      </c>
      <c r="Z1385" t="s">
        <v>63</v>
      </c>
      <c r="AA1385" t="s">
        <v>63</v>
      </c>
      <c r="AB1385">
        <v>5282655</v>
      </c>
      <c r="AC1385" t="s">
        <v>67</v>
      </c>
      <c r="AD1385" t="s">
        <v>63</v>
      </c>
      <c r="AE1385" t="s">
        <v>63</v>
      </c>
      <c r="AF1385" t="s">
        <v>63</v>
      </c>
      <c r="AG1385" t="s">
        <v>12242</v>
      </c>
      <c r="AH1385" t="s">
        <v>63</v>
      </c>
      <c r="AI1385" t="s">
        <v>63</v>
      </c>
      <c r="AJ1385" t="s">
        <v>63</v>
      </c>
      <c r="AK1385" t="s">
        <v>63</v>
      </c>
      <c r="AL1385" t="s">
        <v>63</v>
      </c>
      <c r="AM1385" t="s">
        <v>12243</v>
      </c>
      <c r="AN1385" t="s">
        <v>63</v>
      </c>
      <c r="AO1385" t="s">
        <v>63</v>
      </c>
      <c r="AP1385" t="s">
        <v>63</v>
      </c>
      <c r="AQ1385" t="s">
        <v>63</v>
      </c>
      <c r="AR1385" t="s">
        <v>63</v>
      </c>
      <c r="AS1385" t="s">
        <v>63</v>
      </c>
      <c r="AT1385" t="s">
        <v>63</v>
      </c>
      <c r="AU1385" t="s">
        <v>63</v>
      </c>
      <c r="AV1385" t="s">
        <v>63</v>
      </c>
      <c r="AW1385" t="s">
        <v>63</v>
      </c>
      <c r="AX1385" t="s">
        <v>63</v>
      </c>
      <c r="AY1385" t="s">
        <v>63</v>
      </c>
      <c r="AZ1385" t="s">
        <v>63</v>
      </c>
      <c r="BA1385" t="s">
        <v>63</v>
      </c>
      <c r="BB1385" t="s">
        <v>63</v>
      </c>
      <c r="BC1385" t="s">
        <v>63</v>
      </c>
      <c r="BD1385" t="s">
        <v>63</v>
      </c>
      <c r="BE1385" t="s">
        <v>63</v>
      </c>
      <c r="BF1385" t="s">
        <v>63</v>
      </c>
    </row>
    <row r="1386" spans="1:58">
      <c r="A1386" t="s">
        <v>58</v>
      </c>
      <c r="B1386" t="s">
        <v>12233</v>
      </c>
      <c r="C1386" t="s">
        <v>12244</v>
      </c>
      <c r="D1386" t="s">
        <v>2166</v>
      </c>
      <c r="E1386" t="s">
        <v>2167</v>
      </c>
      <c r="F1386">
        <v>1970</v>
      </c>
      <c r="G1386" t="s">
        <v>84</v>
      </c>
      <c r="H1386">
        <v>53</v>
      </c>
      <c r="I1386">
        <v>4</v>
      </c>
      <c r="J1386">
        <v>191</v>
      </c>
      <c r="K1386" t="s">
        <v>12245</v>
      </c>
      <c r="L1386" t="s">
        <v>12246</v>
      </c>
      <c r="M1386" t="s">
        <v>63</v>
      </c>
      <c r="N1386" t="s">
        <v>12247</v>
      </c>
      <c r="O1386" t="s">
        <v>63</v>
      </c>
      <c r="Q1386" t="s">
        <v>63</v>
      </c>
      <c r="R1386" t="s">
        <v>63</v>
      </c>
      <c r="S1386" t="s">
        <v>63</v>
      </c>
      <c r="T1386" t="s">
        <v>63</v>
      </c>
      <c r="X1386" t="s">
        <v>63</v>
      </c>
      <c r="Y1386" t="s">
        <v>2170</v>
      </c>
      <c r="Z1386" t="s">
        <v>63</v>
      </c>
      <c r="AA1386" t="s">
        <v>63</v>
      </c>
      <c r="AB1386">
        <v>5269668</v>
      </c>
      <c r="AC1386" t="s">
        <v>67</v>
      </c>
      <c r="AD1386" t="s">
        <v>63</v>
      </c>
      <c r="AE1386" t="s">
        <v>63</v>
      </c>
      <c r="AF1386" t="s">
        <v>63</v>
      </c>
      <c r="AG1386" t="s">
        <v>12248</v>
      </c>
      <c r="AH1386" t="s">
        <v>63</v>
      </c>
      <c r="AI1386" t="s">
        <v>63</v>
      </c>
      <c r="AJ1386" t="s">
        <v>63</v>
      </c>
      <c r="AK1386" t="s">
        <v>63</v>
      </c>
      <c r="AL1386" t="s">
        <v>63</v>
      </c>
      <c r="AM1386" t="s">
        <v>12249</v>
      </c>
      <c r="AN1386" t="s">
        <v>63</v>
      </c>
      <c r="AO1386" t="s">
        <v>63</v>
      </c>
      <c r="AP1386" t="s">
        <v>63</v>
      </c>
      <c r="AQ1386" t="s">
        <v>63</v>
      </c>
      <c r="AR1386" t="s">
        <v>63</v>
      </c>
      <c r="AS1386" t="s">
        <v>63</v>
      </c>
      <c r="AT1386" t="s">
        <v>63</v>
      </c>
      <c r="AU1386" t="s">
        <v>63</v>
      </c>
      <c r="AV1386" t="s">
        <v>63</v>
      </c>
      <c r="AW1386" t="s">
        <v>63</v>
      </c>
      <c r="AX1386" t="s">
        <v>63</v>
      </c>
      <c r="AY1386" t="s">
        <v>63</v>
      </c>
      <c r="AZ1386" t="s">
        <v>63</v>
      </c>
      <c r="BA1386" t="s">
        <v>63</v>
      </c>
      <c r="BB1386" t="s">
        <v>63</v>
      </c>
      <c r="BC1386" t="s">
        <v>63</v>
      </c>
      <c r="BD1386" t="s">
        <v>63</v>
      </c>
      <c r="BE1386" t="s">
        <v>63</v>
      </c>
      <c r="BF1386" t="s">
        <v>63</v>
      </c>
    </row>
    <row r="1387" spans="1:58">
      <c r="A1387" t="s">
        <v>58</v>
      </c>
      <c r="B1387" t="s">
        <v>12250</v>
      </c>
      <c r="C1387" t="s">
        <v>12251</v>
      </c>
      <c r="D1387" t="s">
        <v>2002</v>
      </c>
      <c r="E1387" t="s">
        <v>63</v>
      </c>
      <c r="F1387">
        <v>2015</v>
      </c>
      <c r="G1387" s="1">
        <v>41745</v>
      </c>
      <c r="H1387">
        <v>17</v>
      </c>
      <c r="I1387">
        <v>4</v>
      </c>
      <c r="J1387" t="s">
        <v>12252</v>
      </c>
      <c r="K1387" t="s">
        <v>63</v>
      </c>
      <c r="L1387" t="s">
        <v>12253</v>
      </c>
      <c r="M1387" t="s">
        <v>12254</v>
      </c>
      <c r="N1387" t="s">
        <v>12255</v>
      </c>
      <c r="O1387" t="s">
        <v>63</v>
      </c>
      <c r="Q1387" t="s">
        <v>63</v>
      </c>
      <c r="R1387" t="s">
        <v>63</v>
      </c>
      <c r="S1387" t="s">
        <v>63</v>
      </c>
      <c r="T1387" t="s">
        <v>63</v>
      </c>
      <c r="X1387" t="s">
        <v>63</v>
      </c>
      <c r="Y1387" t="s">
        <v>2007</v>
      </c>
      <c r="Z1387" t="s">
        <v>63</v>
      </c>
      <c r="AA1387" t="s">
        <v>12256</v>
      </c>
      <c r="AB1387">
        <v>25887187</v>
      </c>
      <c r="AC1387" t="s">
        <v>67</v>
      </c>
      <c r="AD1387" t="s">
        <v>63</v>
      </c>
      <c r="AE1387" t="s">
        <v>63</v>
      </c>
      <c r="AF1387" t="s">
        <v>63</v>
      </c>
      <c r="AG1387" t="s">
        <v>12257</v>
      </c>
      <c r="AH1387" t="s">
        <v>63</v>
      </c>
      <c r="AI1387" t="s">
        <v>12258</v>
      </c>
      <c r="AJ1387" t="s">
        <v>63</v>
      </c>
      <c r="AK1387" t="s">
        <v>63</v>
      </c>
      <c r="AL1387" t="s">
        <v>63</v>
      </c>
      <c r="AM1387" t="s">
        <v>12259</v>
      </c>
      <c r="AN1387" t="s">
        <v>63</v>
      </c>
      <c r="AO1387" t="s">
        <v>63</v>
      </c>
      <c r="AP1387" t="s">
        <v>63</v>
      </c>
      <c r="AQ1387" t="s">
        <v>63</v>
      </c>
      <c r="AR1387" t="s">
        <v>63</v>
      </c>
      <c r="AS1387" t="s">
        <v>63</v>
      </c>
      <c r="AT1387" t="s">
        <v>63</v>
      </c>
      <c r="AU1387" t="s">
        <v>63</v>
      </c>
      <c r="AV1387" t="s">
        <v>63</v>
      </c>
      <c r="AW1387" t="s">
        <v>63</v>
      </c>
      <c r="AX1387" t="s">
        <v>63</v>
      </c>
      <c r="AY1387" t="s">
        <v>63</v>
      </c>
      <c r="AZ1387" t="s">
        <v>63</v>
      </c>
      <c r="BA1387" t="s">
        <v>63</v>
      </c>
      <c r="BB1387" t="s">
        <v>63</v>
      </c>
      <c r="BC1387" t="s">
        <v>63</v>
      </c>
      <c r="BD1387" t="s">
        <v>63</v>
      </c>
      <c r="BE1387" t="s">
        <v>63</v>
      </c>
      <c r="BF1387" t="s">
        <v>63</v>
      </c>
    </row>
    <row r="1388" spans="1:58">
      <c r="A1388" t="s">
        <v>58</v>
      </c>
      <c r="B1388" t="s">
        <v>12260</v>
      </c>
      <c r="C1388" t="s">
        <v>12261</v>
      </c>
      <c r="D1388" t="s">
        <v>90</v>
      </c>
      <c r="E1388" t="s">
        <v>63</v>
      </c>
      <c r="F1388">
        <v>2005</v>
      </c>
      <c r="G1388" t="s">
        <v>63</v>
      </c>
      <c r="H1388">
        <v>24</v>
      </c>
      <c r="I1388">
        <v>3</v>
      </c>
      <c r="J1388">
        <v>77</v>
      </c>
      <c r="K1388">
        <v>86</v>
      </c>
      <c r="L1388" t="s">
        <v>12262</v>
      </c>
      <c r="M1388" t="s">
        <v>12263</v>
      </c>
      <c r="N1388" t="s">
        <v>12264</v>
      </c>
      <c r="O1388" t="s">
        <v>63</v>
      </c>
      <c r="Q1388" t="s">
        <v>63</v>
      </c>
      <c r="R1388" t="s">
        <v>63</v>
      </c>
      <c r="S1388" t="s">
        <v>63</v>
      </c>
      <c r="T1388" t="s">
        <v>63</v>
      </c>
      <c r="X1388" t="s">
        <v>63</v>
      </c>
      <c r="Y1388" t="s">
        <v>93</v>
      </c>
      <c r="Z1388" t="s">
        <v>63</v>
      </c>
      <c r="AA1388" t="s">
        <v>12265</v>
      </c>
      <c r="AB1388">
        <v>16186084</v>
      </c>
      <c r="AC1388" t="s">
        <v>67</v>
      </c>
      <c r="AD1388" t="s">
        <v>63</v>
      </c>
      <c r="AE1388" t="s">
        <v>63</v>
      </c>
      <c r="AF1388" t="s">
        <v>63</v>
      </c>
      <c r="AG1388" t="s">
        <v>12266</v>
      </c>
      <c r="AH1388" t="s">
        <v>63</v>
      </c>
      <c r="AI1388" t="s">
        <v>63</v>
      </c>
      <c r="AJ1388" t="s">
        <v>63</v>
      </c>
      <c r="AK1388" t="s">
        <v>63</v>
      </c>
      <c r="AL1388" t="s">
        <v>63</v>
      </c>
      <c r="AM1388" t="s">
        <v>12267</v>
      </c>
      <c r="AN1388" t="s">
        <v>63</v>
      </c>
      <c r="AO1388" t="s">
        <v>63</v>
      </c>
      <c r="AP1388" t="s">
        <v>63</v>
      </c>
      <c r="AQ1388" t="s">
        <v>63</v>
      </c>
      <c r="AR1388" t="s">
        <v>63</v>
      </c>
      <c r="AS1388" t="s">
        <v>63</v>
      </c>
      <c r="AT1388" t="s">
        <v>63</v>
      </c>
      <c r="AU1388" t="s">
        <v>63</v>
      </c>
      <c r="AV1388" t="s">
        <v>63</v>
      </c>
      <c r="AW1388" t="s">
        <v>63</v>
      </c>
      <c r="AX1388" t="s">
        <v>63</v>
      </c>
      <c r="AY1388" t="s">
        <v>63</v>
      </c>
      <c r="AZ1388" t="s">
        <v>63</v>
      </c>
      <c r="BA1388" t="s">
        <v>63</v>
      </c>
      <c r="BB1388" t="s">
        <v>63</v>
      </c>
      <c r="BC1388" t="s">
        <v>63</v>
      </c>
      <c r="BD1388" t="s">
        <v>63</v>
      </c>
      <c r="BE1388" t="s">
        <v>63</v>
      </c>
      <c r="BF1388" t="s">
        <v>63</v>
      </c>
    </row>
    <row r="1389" spans="1:58">
      <c r="A1389" t="s">
        <v>58</v>
      </c>
      <c r="B1389" t="s">
        <v>12268</v>
      </c>
      <c r="C1389" t="s">
        <v>12269</v>
      </c>
      <c r="D1389" t="s">
        <v>1406</v>
      </c>
      <c r="E1389" t="s">
        <v>1407</v>
      </c>
      <c r="F1389">
        <v>1993</v>
      </c>
      <c r="G1389" t="s">
        <v>73</v>
      </c>
      <c r="H1389">
        <v>93</v>
      </c>
      <c r="I1389">
        <v>6</v>
      </c>
      <c r="J1389">
        <v>649</v>
      </c>
      <c r="K1389" t="s">
        <v>63</v>
      </c>
      <c r="L1389" t="s">
        <v>12270</v>
      </c>
      <c r="M1389" t="s">
        <v>63</v>
      </c>
      <c r="N1389" t="s">
        <v>12271</v>
      </c>
      <c r="O1389" t="s">
        <v>63</v>
      </c>
      <c r="Q1389" t="s">
        <v>63</v>
      </c>
      <c r="R1389" t="s">
        <v>63</v>
      </c>
      <c r="S1389" t="s">
        <v>63</v>
      </c>
      <c r="T1389" t="s">
        <v>63</v>
      </c>
      <c r="X1389" t="s">
        <v>63</v>
      </c>
      <c r="Y1389" t="s">
        <v>1411</v>
      </c>
      <c r="Z1389" t="s">
        <v>63</v>
      </c>
      <c r="AA1389" t="s">
        <v>63</v>
      </c>
      <c r="AB1389">
        <v>8349479</v>
      </c>
      <c r="AC1389" t="s">
        <v>67</v>
      </c>
      <c r="AD1389" t="s">
        <v>63</v>
      </c>
      <c r="AE1389" t="s">
        <v>63</v>
      </c>
      <c r="AF1389" t="s">
        <v>63</v>
      </c>
      <c r="AG1389" t="s">
        <v>12272</v>
      </c>
      <c r="AH1389" t="s">
        <v>63</v>
      </c>
      <c r="AI1389" t="s">
        <v>63</v>
      </c>
      <c r="AJ1389" t="s">
        <v>63</v>
      </c>
      <c r="AK1389" t="s">
        <v>63</v>
      </c>
      <c r="AL1389" t="s">
        <v>63</v>
      </c>
      <c r="AM1389" t="s">
        <v>12273</v>
      </c>
      <c r="AN1389" t="s">
        <v>63</v>
      </c>
      <c r="AO1389" t="s">
        <v>63</v>
      </c>
      <c r="AP1389" t="s">
        <v>63</v>
      </c>
      <c r="AQ1389" t="s">
        <v>63</v>
      </c>
      <c r="AR1389" t="s">
        <v>63</v>
      </c>
      <c r="AS1389" t="s">
        <v>63</v>
      </c>
      <c r="AT1389" t="s">
        <v>63</v>
      </c>
      <c r="AU1389" t="s">
        <v>63</v>
      </c>
      <c r="AV1389" t="s">
        <v>63</v>
      </c>
      <c r="AW1389" t="s">
        <v>63</v>
      </c>
      <c r="AX1389" t="s">
        <v>63</v>
      </c>
      <c r="AY1389" t="s">
        <v>63</v>
      </c>
      <c r="AZ1389" t="s">
        <v>63</v>
      </c>
      <c r="BA1389" t="s">
        <v>63</v>
      </c>
      <c r="BB1389" t="s">
        <v>63</v>
      </c>
      <c r="BC1389" t="s">
        <v>63</v>
      </c>
      <c r="BD1389" t="s">
        <v>63</v>
      </c>
      <c r="BE1389" t="s">
        <v>63</v>
      </c>
      <c r="BF1389" t="s">
        <v>63</v>
      </c>
    </row>
    <row r="1390" spans="1:58">
      <c r="A1390" t="s">
        <v>58</v>
      </c>
      <c r="B1390" t="s">
        <v>12274</v>
      </c>
      <c r="C1390" t="s">
        <v>12275</v>
      </c>
      <c r="D1390" t="s">
        <v>325</v>
      </c>
      <c r="E1390" t="s">
        <v>63</v>
      </c>
      <c r="F1390">
        <v>2016</v>
      </c>
      <c r="G1390" t="s">
        <v>73</v>
      </c>
      <c r="H1390">
        <v>40</v>
      </c>
      <c r="I1390">
        <v>3</v>
      </c>
      <c r="J1390">
        <v>503</v>
      </c>
      <c r="K1390">
        <v>506</v>
      </c>
      <c r="L1390" t="s">
        <v>12276</v>
      </c>
      <c r="M1390" t="s">
        <v>12277</v>
      </c>
      <c r="N1390" t="s">
        <v>12278</v>
      </c>
      <c r="O1390" t="s">
        <v>63</v>
      </c>
      <c r="Q1390" t="s">
        <v>63</v>
      </c>
      <c r="R1390" t="s">
        <v>63</v>
      </c>
      <c r="S1390" t="s">
        <v>63</v>
      </c>
      <c r="T1390" t="s">
        <v>63</v>
      </c>
      <c r="X1390" t="s">
        <v>63</v>
      </c>
      <c r="Y1390" t="s">
        <v>330</v>
      </c>
      <c r="Z1390" t="s">
        <v>63</v>
      </c>
      <c r="AA1390" t="s">
        <v>12279</v>
      </c>
      <c r="AB1390">
        <v>26048457</v>
      </c>
      <c r="AC1390" t="s">
        <v>67</v>
      </c>
      <c r="AD1390" t="s">
        <v>63</v>
      </c>
      <c r="AE1390" t="s">
        <v>63</v>
      </c>
      <c r="AF1390" t="s">
        <v>63</v>
      </c>
      <c r="AG1390" t="s">
        <v>12280</v>
      </c>
      <c r="AH1390" t="s">
        <v>63</v>
      </c>
      <c r="AI1390" t="s">
        <v>12281</v>
      </c>
      <c r="AJ1390" t="s">
        <v>63</v>
      </c>
      <c r="AK1390" t="s">
        <v>63</v>
      </c>
      <c r="AL1390" t="s">
        <v>63</v>
      </c>
      <c r="AM1390" t="s">
        <v>12282</v>
      </c>
      <c r="AN1390" t="s">
        <v>63</v>
      </c>
      <c r="AO1390" t="s">
        <v>63</v>
      </c>
      <c r="AP1390" t="s">
        <v>63</v>
      </c>
      <c r="AQ1390" t="s">
        <v>63</v>
      </c>
      <c r="AR1390" t="s">
        <v>63</v>
      </c>
      <c r="AS1390" t="s">
        <v>63</v>
      </c>
      <c r="AT1390" t="s">
        <v>63</v>
      </c>
      <c r="AU1390" t="s">
        <v>63</v>
      </c>
      <c r="AV1390" t="s">
        <v>63</v>
      </c>
      <c r="AW1390" t="s">
        <v>63</v>
      </c>
      <c r="AX1390" t="s">
        <v>63</v>
      </c>
      <c r="AY1390" t="s">
        <v>63</v>
      </c>
      <c r="AZ1390" t="s">
        <v>63</v>
      </c>
      <c r="BA1390" t="s">
        <v>63</v>
      </c>
      <c r="BB1390" t="s">
        <v>63</v>
      </c>
      <c r="BC1390" t="s">
        <v>63</v>
      </c>
      <c r="BD1390" t="s">
        <v>63</v>
      </c>
      <c r="BE1390" t="s">
        <v>63</v>
      </c>
      <c r="BF1390" t="s">
        <v>63</v>
      </c>
    </row>
    <row r="1391" spans="1:58">
      <c r="A1391" t="s">
        <v>58</v>
      </c>
      <c r="B1391" t="s">
        <v>12283</v>
      </c>
      <c r="C1391" t="s">
        <v>12284</v>
      </c>
      <c r="D1391" t="s">
        <v>2694</v>
      </c>
      <c r="E1391" t="s">
        <v>63</v>
      </c>
      <c r="F1391">
        <v>1987</v>
      </c>
      <c r="G1391" t="s">
        <v>63</v>
      </c>
      <c r="H1391">
        <v>35</v>
      </c>
      <c r="I1391">
        <v>5</v>
      </c>
      <c r="J1391">
        <v>393</v>
      </c>
      <c r="K1391">
        <v>400</v>
      </c>
      <c r="L1391" t="s">
        <v>12285</v>
      </c>
      <c r="M1391" t="s">
        <v>12286</v>
      </c>
      <c r="N1391" t="s">
        <v>12287</v>
      </c>
      <c r="O1391" t="s">
        <v>63</v>
      </c>
      <c r="Q1391" t="s">
        <v>63</v>
      </c>
      <c r="R1391" t="s">
        <v>63</v>
      </c>
      <c r="S1391" t="s">
        <v>63</v>
      </c>
      <c r="T1391" t="s">
        <v>63</v>
      </c>
      <c r="X1391" t="s">
        <v>63</v>
      </c>
      <c r="Y1391" t="s">
        <v>2698</v>
      </c>
      <c r="Z1391" t="s">
        <v>63</v>
      </c>
      <c r="AA1391" t="s">
        <v>12288</v>
      </c>
      <c r="AB1391">
        <v>3432709</v>
      </c>
      <c r="AC1391" t="s">
        <v>67</v>
      </c>
      <c r="AD1391" t="s">
        <v>63</v>
      </c>
      <c r="AE1391" t="s">
        <v>63</v>
      </c>
      <c r="AF1391" t="s">
        <v>63</v>
      </c>
      <c r="AG1391" t="s">
        <v>12289</v>
      </c>
      <c r="AH1391" t="s">
        <v>63</v>
      </c>
      <c r="AI1391" t="s">
        <v>63</v>
      </c>
      <c r="AJ1391" t="s">
        <v>63</v>
      </c>
      <c r="AK1391" t="s">
        <v>63</v>
      </c>
      <c r="AL1391" t="s">
        <v>63</v>
      </c>
      <c r="AM1391" t="s">
        <v>12290</v>
      </c>
      <c r="AN1391" t="s">
        <v>63</v>
      </c>
      <c r="AO1391" t="s">
        <v>63</v>
      </c>
      <c r="AP1391" t="s">
        <v>63</v>
      </c>
      <c r="AQ1391" t="s">
        <v>63</v>
      </c>
      <c r="AR1391" t="s">
        <v>63</v>
      </c>
      <c r="AS1391" t="s">
        <v>63</v>
      </c>
      <c r="AT1391" t="s">
        <v>63</v>
      </c>
      <c r="AU1391" t="s">
        <v>63</v>
      </c>
      <c r="AV1391" t="s">
        <v>63</v>
      </c>
      <c r="AW1391" t="s">
        <v>63</v>
      </c>
      <c r="AX1391" t="s">
        <v>63</v>
      </c>
      <c r="AY1391" t="s">
        <v>63</v>
      </c>
      <c r="AZ1391" t="s">
        <v>63</v>
      </c>
      <c r="BA1391" t="s">
        <v>63</v>
      </c>
      <c r="BB1391" t="s">
        <v>63</v>
      </c>
      <c r="BC1391" t="s">
        <v>63</v>
      </c>
      <c r="BD1391" t="s">
        <v>63</v>
      </c>
      <c r="BE1391" t="s">
        <v>63</v>
      </c>
      <c r="BF1391" t="s">
        <v>63</v>
      </c>
    </row>
    <row r="1392" spans="1:58">
      <c r="A1392" t="s">
        <v>58</v>
      </c>
      <c r="B1392" t="s">
        <v>12291</v>
      </c>
      <c r="C1392" t="s">
        <v>12292</v>
      </c>
      <c r="D1392" t="s">
        <v>1376</v>
      </c>
      <c r="E1392" t="s">
        <v>1377</v>
      </c>
      <c r="F1392">
        <v>1980</v>
      </c>
      <c r="G1392" t="s">
        <v>219</v>
      </c>
      <c r="H1392">
        <v>62</v>
      </c>
      <c r="I1392">
        <v>5</v>
      </c>
      <c r="J1392">
        <v>447</v>
      </c>
      <c r="K1392">
        <v>455</v>
      </c>
      <c r="L1392" t="s">
        <v>12293</v>
      </c>
      <c r="M1392" t="s">
        <v>12294</v>
      </c>
      <c r="N1392" t="s">
        <v>12295</v>
      </c>
      <c r="O1392" t="s">
        <v>63</v>
      </c>
      <c r="Q1392" t="s">
        <v>63</v>
      </c>
      <c r="R1392" t="s">
        <v>63</v>
      </c>
      <c r="S1392" t="s">
        <v>63</v>
      </c>
      <c r="T1392" t="s">
        <v>63</v>
      </c>
      <c r="X1392" t="s">
        <v>63</v>
      </c>
      <c r="Y1392" t="s">
        <v>1381</v>
      </c>
      <c r="Z1392" t="s">
        <v>63</v>
      </c>
      <c r="AA1392" t="s">
        <v>63</v>
      </c>
      <c r="AB1392">
        <v>7211429</v>
      </c>
      <c r="AC1392" t="s">
        <v>67</v>
      </c>
      <c r="AD1392" t="s">
        <v>63</v>
      </c>
      <c r="AE1392" t="s">
        <v>63</v>
      </c>
      <c r="AF1392" t="s">
        <v>63</v>
      </c>
      <c r="AG1392" t="s">
        <v>12296</v>
      </c>
      <c r="AH1392" t="s">
        <v>63</v>
      </c>
      <c r="AI1392" t="s">
        <v>63</v>
      </c>
      <c r="AJ1392" t="s">
        <v>63</v>
      </c>
      <c r="AK1392" t="s">
        <v>63</v>
      </c>
      <c r="AL1392" t="s">
        <v>63</v>
      </c>
      <c r="AM1392" t="s">
        <v>12297</v>
      </c>
      <c r="AN1392" t="s">
        <v>63</v>
      </c>
      <c r="AO1392" t="s">
        <v>63</v>
      </c>
      <c r="AP1392" t="s">
        <v>63</v>
      </c>
      <c r="AQ1392" t="s">
        <v>63</v>
      </c>
      <c r="AR1392" t="s">
        <v>63</v>
      </c>
      <c r="AS1392" t="s">
        <v>63</v>
      </c>
      <c r="AT1392" t="s">
        <v>63</v>
      </c>
      <c r="AU1392" t="s">
        <v>63</v>
      </c>
      <c r="AV1392" t="s">
        <v>63</v>
      </c>
      <c r="AW1392" t="s">
        <v>63</v>
      </c>
      <c r="AX1392" t="s">
        <v>63</v>
      </c>
      <c r="AY1392" t="s">
        <v>63</v>
      </c>
      <c r="AZ1392" t="s">
        <v>63</v>
      </c>
      <c r="BA1392" t="s">
        <v>63</v>
      </c>
      <c r="BB1392" t="s">
        <v>63</v>
      </c>
      <c r="BC1392" t="s">
        <v>63</v>
      </c>
      <c r="BD1392" t="s">
        <v>63</v>
      </c>
      <c r="BE1392" t="s">
        <v>63</v>
      </c>
      <c r="BF1392" t="s">
        <v>63</v>
      </c>
    </row>
    <row r="1393" spans="1:58">
      <c r="A1393" t="s">
        <v>58</v>
      </c>
      <c r="B1393" t="s">
        <v>12298</v>
      </c>
      <c r="C1393" t="s">
        <v>12299</v>
      </c>
      <c r="D1393" t="s">
        <v>12300</v>
      </c>
      <c r="E1393" t="s">
        <v>63</v>
      </c>
      <c r="F1393">
        <v>2014</v>
      </c>
      <c r="G1393" s="1">
        <v>41822</v>
      </c>
      <c r="H1393">
        <v>14</v>
      </c>
      <c r="I1393">
        <v>3</v>
      </c>
      <c r="J1393">
        <v>239</v>
      </c>
      <c r="K1393">
        <v>249</v>
      </c>
      <c r="L1393" t="s">
        <v>63</v>
      </c>
      <c r="M1393" t="s">
        <v>12301</v>
      </c>
      <c r="N1393" t="s">
        <v>12302</v>
      </c>
      <c r="O1393" t="s">
        <v>63</v>
      </c>
      <c r="Q1393" t="s">
        <v>63</v>
      </c>
      <c r="R1393" t="s">
        <v>63</v>
      </c>
      <c r="S1393" t="s">
        <v>63</v>
      </c>
      <c r="T1393" t="s">
        <v>63</v>
      </c>
      <c r="X1393" t="s">
        <v>63</v>
      </c>
      <c r="Y1393" t="s">
        <v>12303</v>
      </c>
      <c r="Z1393" t="s">
        <v>63</v>
      </c>
      <c r="AA1393" t="s">
        <v>12304</v>
      </c>
      <c r="AB1393">
        <v>26207103</v>
      </c>
      <c r="AC1393" t="s">
        <v>67</v>
      </c>
      <c r="AD1393" t="s">
        <v>63</v>
      </c>
      <c r="AE1393" t="s">
        <v>63</v>
      </c>
      <c r="AF1393" t="s">
        <v>63</v>
      </c>
      <c r="AG1393" t="s">
        <v>12305</v>
      </c>
      <c r="AH1393" t="s">
        <v>63</v>
      </c>
      <c r="AI1393" t="s">
        <v>63</v>
      </c>
      <c r="AJ1393" t="s">
        <v>63</v>
      </c>
      <c r="AK1393" t="s">
        <v>63</v>
      </c>
      <c r="AL1393" t="s">
        <v>63</v>
      </c>
      <c r="AM1393" t="s">
        <v>12306</v>
      </c>
      <c r="AN1393" t="s">
        <v>63</v>
      </c>
      <c r="AO1393" t="s">
        <v>63</v>
      </c>
      <c r="AP1393" t="s">
        <v>63</v>
      </c>
      <c r="AQ1393" t="s">
        <v>63</v>
      </c>
      <c r="AR1393" t="s">
        <v>63</v>
      </c>
      <c r="AS1393" t="s">
        <v>63</v>
      </c>
      <c r="AT1393" t="s">
        <v>63</v>
      </c>
      <c r="AU1393" t="s">
        <v>63</v>
      </c>
      <c r="AV1393" t="s">
        <v>63</v>
      </c>
      <c r="AW1393" t="s">
        <v>63</v>
      </c>
      <c r="AX1393" t="s">
        <v>63</v>
      </c>
      <c r="AY1393" t="s">
        <v>63</v>
      </c>
      <c r="AZ1393" t="s">
        <v>63</v>
      </c>
      <c r="BA1393" t="s">
        <v>63</v>
      </c>
      <c r="BB1393" t="s">
        <v>63</v>
      </c>
      <c r="BC1393" t="s">
        <v>63</v>
      </c>
      <c r="BD1393" t="s">
        <v>63</v>
      </c>
      <c r="BE1393" t="s">
        <v>63</v>
      </c>
      <c r="BF1393" t="s">
        <v>63</v>
      </c>
    </row>
    <row r="1394" spans="1:58">
      <c r="A1394" t="s">
        <v>58</v>
      </c>
      <c r="B1394" t="s">
        <v>12307</v>
      </c>
      <c r="C1394" t="s">
        <v>12308</v>
      </c>
      <c r="D1394" t="s">
        <v>2459</v>
      </c>
      <c r="E1394" t="s">
        <v>2460</v>
      </c>
      <c r="F1394">
        <v>2012</v>
      </c>
      <c r="G1394" t="s">
        <v>157</v>
      </c>
      <c r="H1394">
        <v>67</v>
      </c>
      <c r="I1394">
        <v>12</v>
      </c>
      <c r="J1394">
        <v>817</v>
      </c>
      <c r="K1394">
        <v>825</v>
      </c>
      <c r="L1394" t="s">
        <v>12309</v>
      </c>
      <c r="M1394" t="s">
        <v>12310</v>
      </c>
      <c r="N1394" t="s">
        <v>12311</v>
      </c>
      <c r="O1394" t="s">
        <v>63</v>
      </c>
      <c r="Q1394" t="s">
        <v>63</v>
      </c>
      <c r="R1394" t="s">
        <v>63</v>
      </c>
      <c r="S1394" t="s">
        <v>63</v>
      </c>
      <c r="T1394" t="s">
        <v>63</v>
      </c>
      <c r="X1394" t="s">
        <v>63</v>
      </c>
      <c r="Y1394" t="s">
        <v>2464</v>
      </c>
      <c r="Z1394" t="s">
        <v>63</v>
      </c>
      <c r="AA1394" t="s">
        <v>12312</v>
      </c>
      <c r="AB1394">
        <v>23233054</v>
      </c>
      <c r="AC1394" t="s">
        <v>67</v>
      </c>
      <c r="AD1394" t="s">
        <v>63</v>
      </c>
      <c r="AE1394" t="s">
        <v>63</v>
      </c>
      <c r="AF1394" t="s">
        <v>63</v>
      </c>
      <c r="AG1394" t="s">
        <v>12313</v>
      </c>
      <c r="AH1394" t="s">
        <v>63</v>
      </c>
      <c r="AI1394" t="s">
        <v>12314</v>
      </c>
      <c r="AJ1394" t="s">
        <v>63</v>
      </c>
      <c r="AK1394" t="s">
        <v>63</v>
      </c>
      <c r="AL1394" t="s">
        <v>63</v>
      </c>
      <c r="AM1394" t="s">
        <v>12315</v>
      </c>
      <c r="AN1394" t="s">
        <v>63</v>
      </c>
      <c r="AO1394" t="s">
        <v>63</v>
      </c>
      <c r="AP1394" t="s">
        <v>63</v>
      </c>
      <c r="AQ1394" t="s">
        <v>63</v>
      </c>
      <c r="AR1394" t="s">
        <v>63</v>
      </c>
      <c r="AS1394" t="s">
        <v>63</v>
      </c>
      <c r="AT1394" t="s">
        <v>63</v>
      </c>
      <c r="AU1394" t="s">
        <v>63</v>
      </c>
      <c r="AV1394" t="s">
        <v>63</v>
      </c>
      <c r="AW1394" t="s">
        <v>63</v>
      </c>
      <c r="AX1394" t="s">
        <v>63</v>
      </c>
      <c r="AY1394" t="s">
        <v>63</v>
      </c>
      <c r="AZ1394" t="s">
        <v>63</v>
      </c>
      <c r="BA1394" t="s">
        <v>63</v>
      </c>
      <c r="BB1394" t="s">
        <v>63</v>
      </c>
      <c r="BC1394" t="s">
        <v>63</v>
      </c>
      <c r="BD1394" t="s">
        <v>63</v>
      </c>
      <c r="BE1394" t="s">
        <v>63</v>
      </c>
      <c r="BF1394" t="s">
        <v>63</v>
      </c>
    </row>
    <row r="1395" spans="1:58">
      <c r="A1395" t="s">
        <v>58</v>
      </c>
      <c r="B1395" t="s">
        <v>12316</v>
      </c>
      <c r="C1395" t="s">
        <v>12317</v>
      </c>
      <c r="D1395" t="s">
        <v>12318</v>
      </c>
      <c r="E1395" t="s">
        <v>63</v>
      </c>
      <c r="F1395">
        <v>2005</v>
      </c>
      <c r="G1395" s="1">
        <v>41804</v>
      </c>
      <c r="H1395">
        <v>4</v>
      </c>
      <c r="I1395">
        <v>1</v>
      </c>
      <c r="J1395">
        <v>7</v>
      </c>
      <c r="K1395" t="s">
        <v>63</v>
      </c>
      <c r="L1395" t="s">
        <v>63</v>
      </c>
      <c r="M1395" t="s">
        <v>12319</v>
      </c>
      <c r="N1395" t="s">
        <v>12320</v>
      </c>
      <c r="O1395" t="s">
        <v>63</v>
      </c>
      <c r="Q1395" t="s">
        <v>63</v>
      </c>
      <c r="R1395" t="s">
        <v>63</v>
      </c>
      <c r="S1395" t="s">
        <v>63</v>
      </c>
      <c r="T1395" t="s">
        <v>63</v>
      </c>
      <c r="X1395" t="s">
        <v>63</v>
      </c>
      <c r="Y1395" t="s">
        <v>12321</v>
      </c>
      <c r="Z1395" t="s">
        <v>63</v>
      </c>
      <c r="AA1395" t="s">
        <v>12322</v>
      </c>
      <c r="AB1395">
        <v>15955255</v>
      </c>
      <c r="AC1395" t="s">
        <v>67</v>
      </c>
      <c r="AD1395" t="s">
        <v>63</v>
      </c>
      <c r="AE1395" t="s">
        <v>63</v>
      </c>
      <c r="AF1395" t="s">
        <v>63</v>
      </c>
      <c r="AG1395" t="s">
        <v>12323</v>
      </c>
      <c r="AH1395" t="s">
        <v>63</v>
      </c>
      <c r="AI1395" t="s">
        <v>63</v>
      </c>
      <c r="AJ1395" t="s">
        <v>63</v>
      </c>
      <c r="AK1395" t="s">
        <v>63</v>
      </c>
      <c r="AL1395" t="s">
        <v>63</v>
      </c>
      <c r="AM1395" t="s">
        <v>12324</v>
      </c>
      <c r="AN1395" t="s">
        <v>63</v>
      </c>
      <c r="AO1395" t="s">
        <v>63</v>
      </c>
      <c r="AP1395" t="s">
        <v>63</v>
      </c>
      <c r="AQ1395" t="s">
        <v>63</v>
      </c>
      <c r="AR1395" t="s">
        <v>63</v>
      </c>
      <c r="AS1395" t="s">
        <v>63</v>
      </c>
      <c r="AT1395" t="s">
        <v>63</v>
      </c>
      <c r="AU1395" t="s">
        <v>63</v>
      </c>
      <c r="AV1395" t="s">
        <v>63</v>
      </c>
      <c r="AW1395" t="s">
        <v>63</v>
      </c>
      <c r="AX1395" t="s">
        <v>63</v>
      </c>
      <c r="AY1395" t="s">
        <v>63</v>
      </c>
      <c r="AZ1395" t="s">
        <v>63</v>
      </c>
      <c r="BA1395" t="s">
        <v>63</v>
      </c>
      <c r="BB1395" t="s">
        <v>63</v>
      </c>
      <c r="BC1395" t="s">
        <v>63</v>
      </c>
      <c r="BD1395" t="s">
        <v>63</v>
      </c>
      <c r="BE1395" t="s">
        <v>63</v>
      </c>
      <c r="BF1395" t="s">
        <v>63</v>
      </c>
    </row>
    <row r="1396" spans="1:58">
      <c r="A1396" t="s">
        <v>58</v>
      </c>
      <c r="B1396" t="s">
        <v>12325</v>
      </c>
      <c r="C1396" t="s">
        <v>12326</v>
      </c>
      <c r="D1396" t="s">
        <v>12327</v>
      </c>
      <c r="E1396" t="s">
        <v>63</v>
      </c>
      <c r="F1396">
        <v>2006</v>
      </c>
      <c r="G1396" t="s">
        <v>63</v>
      </c>
      <c r="H1396">
        <v>5</v>
      </c>
      <c r="I1396">
        <v>3</v>
      </c>
      <c r="J1396">
        <v>155</v>
      </c>
      <c r="K1396">
        <v>166</v>
      </c>
      <c r="L1396" t="s">
        <v>12328</v>
      </c>
      <c r="M1396" t="s">
        <v>12329</v>
      </c>
      <c r="N1396" t="s">
        <v>12330</v>
      </c>
      <c r="O1396" t="s">
        <v>63</v>
      </c>
      <c r="Q1396" t="s">
        <v>63</v>
      </c>
      <c r="R1396" t="s">
        <v>63</v>
      </c>
      <c r="S1396" t="s">
        <v>63</v>
      </c>
      <c r="T1396" t="s">
        <v>63</v>
      </c>
      <c r="X1396" t="s">
        <v>63</v>
      </c>
      <c r="Y1396" t="s">
        <v>12331</v>
      </c>
      <c r="Z1396" t="s">
        <v>63</v>
      </c>
      <c r="AA1396" t="s">
        <v>12332</v>
      </c>
      <c r="AB1396">
        <v>17132030</v>
      </c>
      <c r="AC1396" t="s">
        <v>67</v>
      </c>
      <c r="AD1396" t="s">
        <v>63</v>
      </c>
      <c r="AE1396" t="s">
        <v>63</v>
      </c>
      <c r="AF1396" t="s">
        <v>63</v>
      </c>
      <c r="AG1396" t="s">
        <v>12333</v>
      </c>
      <c r="AH1396" t="s">
        <v>63</v>
      </c>
      <c r="AI1396" t="s">
        <v>63</v>
      </c>
      <c r="AJ1396" t="s">
        <v>63</v>
      </c>
      <c r="AK1396" t="s">
        <v>63</v>
      </c>
      <c r="AL1396" t="s">
        <v>63</v>
      </c>
      <c r="AM1396" t="s">
        <v>12334</v>
      </c>
      <c r="AN1396" t="s">
        <v>63</v>
      </c>
      <c r="AO1396" t="s">
        <v>63</v>
      </c>
      <c r="AP1396" t="s">
        <v>63</v>
      </c>
      <c r="AQ1396" t="s">
        <v>63</v>
      </c>
      <c r="AR1396" t="s">
        <v>63</v>
      </c>
      <c r="AS1396" t="s">
        <v>63</v>
      </c>
      <c r="AT1396" t="s">
        <v>63</v>
      </c>
      <c r="AU1396" t="s">
        <v>63</v>
      </c>
      <c r="AV1396" t="s">
        <v>63</v>
      </c>
      <c r="AW1396" t="s">
        <v>63</v>
      </c>
      <c r="AX1396" t="s">
        <v>63</v>
      </c>
      <c r="AY1396" t="s">
        <v>63</v>
      </c>
      <c r="AZ1396" t="s">
        <v>63</v>
      </c>
      <c r="BA1396" t="s">
        <v>63</v>
      </c>
      <c r="BB1396" t="s">
        <v>63</v>
      </c>
      <c r="BC1396" t="s">
        <v>63</v>
      </c>
      <c r="BD1396" t="s">
        <v>63</v>
      </c>
      <c r="BE1396" t="s">
        <v>63</v>
      </c>
      <c r="BF1396" t="s">
        <v>63</v>
      </c>
    </row>
    <row r="1397" spans="1:58">
      <c r="A1397" t="s">
        <v>58</v>
      </c>
      <c r="B1397" t="s">
        <v>12335</v>
      </c>
      <c r="C1397" t="s">
        <v>12336</v>
      </c>
      <c r="D1397" t="s">
        <v>970</v>
      </c>
      <c r="E1397" t="s">
        <v>63</v>
      </c>
      <c r="F1397">
        <v>2007</v>
      </c>
      <c r="G1397" s="1">
        <v>41802</v>
      </c>
      <c r="H1397">
        <v>2</v>
      </c>
      <c r="I1397">
        <v>6</v>
      </c>
      <c r="J1397" t="s">
        <v>12337</v>
      </c>
      <c r="K1397" t="s">
        <v>63</v>
      </c>
      <c r="L1397" t="s">
        <v>12338</v>
      </c>
      <c r="M1397" t="s">
        <v>12339</v>
      </c>
      <c r="N1397" t="s">
        <v>12340</v>
      </c>
      <c r="O1397" t="s">
        <v>63</v>
      </c>
      <c r="Q1397" t="s">
        <v>63</v>
      </c>
      <c r="R1397" t="s">
        <v>63</v>
      </c>
      <c r="S1397" t="s">
        <v>63</v>
      </c>
      <c r="T1397" t="s">
        <v>63</v>
      </c>
      <c r="X1397" t="s">
        <v>63</v>
      </c>
      <c r="Y1397" t="s">
        <v>975</v>
      </c>
      <c r="Z1397" t="s">
        <v>63</v>
      </c>
      <c r="AA1397" t="s">
        <v>12341</v>
      </c>
      <c r="AB1397">
        <v>17565377</v>
      </c>
      <c r="AC1397" t="s">
        <v>67</v>
      </c>
      <c r="AD1397" t="s">
        <v>63</v>
      </c>
      <c r="AE1397" t="s">
        <v>63</v>
      </c>
      <c r="AF1397" t="s">
        <v>63</v>
      </c>
      <c r="AG1397" t="s">
        <v>12342</v>
      </c>
      <c r="AH1397" t="s">
        <v>63</v>
      </c>
      <c r="AI1397" t="s">
        <v>63</v>
      </c>
      <c r="AJ1397" t="s">
        <v>63</v>
      </c>
      <c r="AK1397" t="s">
        <v>63</v>
      </c>
      <c r="AL1397" t="s">
        <v>63</v>
      </c>
      <c r="AM1397" t="s">
        <v>12343</v>
      </c>
      <c r="AN1397" t="s">
        <v>63</v>
      </c>
      <c r="AO1397" t="s">
        <v>63</v>
      </c>
      <c r="AP1397" t="s">
        <v>63</v>
      </c>
      <c r="AQ1397" t="s">
        <v>63</v>
      </c>
      <c r="AR1397" t="s">
        <v>63</v>
      </c>
      <c r="AS1397" t="s">
        <v>63</v>
      </c>
      <c r="AT1397" t="s">
        <v>63</v>
      </c>
      <c r="AU1397" t="s">
        <v>63</v>
      </c>
      <c r="AV1397" t="s">
        <v>63</v>
      </c>
      <c r="AW1397" t="s">
        <v>63</v>
      </c>
      <c r="AX1397" t="s">
        <v>63</v>
      </c>
      <c r="AY1397" t="s">
        <v>63</v>
      </c>
      <c r="AZ1397" t="s">
        <v>63</v>
      </c>
      <c r="BA1397" t="s">
        <v>63</v>
      </c>
      <c r="BB1397" t="s">
        <v>63</v>
      </c>
      <c r="BC1397" t="s">
        <v>63</v>
      </c>
      <c r="BD1397" t="s">
        <v>63</v>
      </c>
      <c r="BE1397" t="s">
        <v>63</v>
      </c>
      <c r="BF1397" t="s">
        <v>63</v>
      </c>
    </row>
    <row r="1398" spans="1:58">
      <c r="A1398" t="s">
        <v>58</v>
      </c>
      <c r="B1398" t="s">
        <v>12344</v>
      </c>
      <c r="C1398" t="s">
        <v>12345</v>
      </c>
      <c r="D1398" t="s">
        <v>6730</v>
      </c>
      <c r="E1398" t="s">
        <v>63</v>
      </c>
      <c r="F1398">
        <v>2012</v>
      </c>
      <c r="G1398" t="s">
        <v>181</v>
      </c>
      <c r="H1398">
        <v>4</v>
      </c>
      <c r="I1398">
        <v>3</v>
      </c>
      <c r="J1398">
        <v>391</v>
      </c>
      <c r="K1398" t="s">
        <v>63</v>
      </c>
      <c r="L1398" t="s">
        <v>63</v>
      </c>
      <c r="M1398" t="s">
        <v>63</v>
      </c>
      <c r="N1398" t="s">
        <v>12346</v>
      </c>
      <c r="O1398" t="s">
        <v>63</v>
      </c>
      <c r="Q1398" t="s">
        <v>63</v>
      </c>
      <c r="R1398" t="s">
        <v>63</v>
      </c>
      <c r="S1398" t="s">
        <v>63</v>
      </c>
      <c r="T1398" t="s">
        <v>63</v>
      </c>
      <c r="X1398" t="s">
        <v>63</v>
      </c>
      <c r="Y1398" t="s">
        <v>10956</v>
      </c>
      <c r="Z1398" t="s">
        <v>63</v>
      </c>
      <c r="AA1398" t="s">
        <v>12347</v>
      </c>
      <c r="AB1398">
        <v>23997892</v>
      </c>
      <c r="AC1398" t="s">
        <v>67</v>
      </c>
      <c r="AD1398" t="s">
        <v>63</v>
      </c>
      <c r="AE1398" t="s">
        <v>63</v>
      </c>
      <c r="AF1398" t="s">
        <v>63</v>
      </c>
      <c r="AG1398" t="s">
        <v>12348</v>
      </c>
      <c r="AH1398" t="s">
        <v>63</v>
      </c>
      <c r="AI1398" t="s">
        <v>12349</v>
      </c>
      <c r="AJ1398" t="s">
        <v>63</v>
      </c>
      <c r="AK1398" t="s">
        <v>63</v>
      </c>
      <c r="AL1398" t="s">
        <v>63</v>
      </c>
      <c r="AM1398" t="s">
        <v>12350</v>
      </c>
      <c r="AN1398" t="s">
        <v>63</v>
      </c>
      <c r="AO1398" t="s">
        <v>63</v>
      </c>
      <c r="AP1398" t="s">
        <v>63</v>
      </c>
      <c r="AQ1398" t="s">
        <v>63</v>
      </c>
      <c r="AR1398" t="s">
        <v>63</v>
      </c>
      <c r="AS1398" t="s">
        <v>63</v>
      </c>
      <c r="AT1398" t="s">
        <v>63</v>
      </c>
      <c r="AU1398" t="s">
        <v>63</v>
      </c>
      <c r="AV1398" t="s">
        <v>63</v>
      </c>
      <c r="AW1398" t="s">
        <v>63</v>
      </c>
      <c r="AX1398" t="s">
        <v>63</v>
      </c>
      <c r="AY1398" t="s">
        <v>63</v>
      </c>
      <c r="AZ1398" t="s">
        <v>63</v>
      </c>
      <c r="BA1398" t="s">
        <v>63</v>
      </c>
      <c r="BB1398" t="s">
        <v>63</v>
      </c>
      <c r="BC1398" t="s">
        <v>63</v>
      </c>
      <c r="BD1398" t="s">
        <v>63</v>
      </c>
      <c r="BE1398" t="s">
        <v>63</v>
      </c>
      <c r="BF1398" t="s">
        <v>63</v>
      </c>
    </row>
    <row r="1399" spans="1:58">
      <c r="A1399" t="s">
        <v>58</v>
      </c>
      <c r="B1399" t="s">
        <v>12351</v>
      </c>
      <c r="C1399" t="s">
        <v>12352</v>
      </c>
      <c r="D1399" t="s">
        <v>12353</v>
      </c>
      <c r="E1399" t="s">
        <v>63</v>
      </c>
      <c r="F1399">
        <v>2004</v>
      </c>
      <c r="G1399" t="s">
        <v>274</v>
      </c>
      <c r="H1399">
        <v>13</v>
      </c>
      <c r="I1399">
        <v>2</v>
      </c>
      <c r="J1399">
        <v>133</v>
      </c>
      <c r="K1399">
        <v>139</v>
      </c>
      <c r="L1399" t="s">
        <v>12354</v>
      </c>
      <c r="M1399" t="s">
        <v>12355</v>
      </c>
      <c r="N1399" t="s">
        <v>12356</v>
      </c>
      <c r="O1399" t="s">
        <v>63</v>
      </c>
      <c r="Q1399" t="s">
        <v>63</v>
      </c>
      <c r="R1399" t="s">
        <v>63</v>
      </c>
      <c r="S1399" t="s">
        <v>63</v>
      </c>
      <c r="T1399" t="s">
        <v>63</v>
      </c>
      <c r="X1399" t="s">
        <v>63</v>
      </c>
      <c r="Y1399" t="s">
        <v>12357</v>
      </c>
      <c r="Z1399" t="s">
        <v>63</v>
      </c>
      <c r="AA1399" t="s">
        <v>12358</v>
      </c>
      <c r="AB1399">
        <v>15072726</v>
      </c>
      <c r="AC1399" t="s">
        <v>67</v>
      </c>
      <c r="AD1399" t="s">
        <v>63</v>
      </c>
      <c r="AE1399" t="s">
        <v>63</v>
      </c>
      <c r="AF1399" t="s">
        <v>63</v>
      </c>
      <c r="AG1399" t="s">
        <v>12359</v>
      </c>
      <c r="AH1399" t="s">
        <v>63</v>
      </c>
      <c r="AI1399" t="s">
        <v>63</v>
      </c>
      <c r="AJ1399" t="s">
        <v>63</v>
      </c>
      <c r="AK1399" t="s">
        <v>63</v>
      </c>
      <c r="AL1399" t="s">
        <v>63</v>
      </c>
      <c r="AM1399" t="s">
        <v>12360</v>
      </c>
      <c r="AN1399" t="s">
        <v>63</v>
      </c>
      <c r="AO1399" t="s">
        <v>63</v>
      </c>
      <c r="AP1399" t="s">
        <v>63</v>
      </c>
      <c r="AQ1399" t="s">
        <v>63</v>
      </c>
      <c r="AR1399" t="s">
        <v>63</v>
      </c>
      <c r="AS1399" t="s">
        <v>63</v>
      </c>
      <c r="AT1399" t="s">
        <v>63</v>
      </c>
      <c r="AU1399" t="s">
        <v>63</v>
      </c>
      <c r="AV1399" t="s">
        <v>63</v>
      </c>
      <c r="AW1399" t="s">
        <v>63</v>
      </c>
      <c r="AX1399" t="s">
        <v>63</v>
      </c>
      <c r="AY1399" t="s">
        <v>63</v>
      </c>
      <c r="AZ1399" t="s">
        <v>63</v>
      </c>
      <c r="BA1399" t="s">
        <v>63</v>
      </c>
      <c r="BB1399" t="s">
        <v>63</v>
      </c>
      <c r="BC1399" t="s">
        <v>63</v>
      </c>
      <c r="BD1399" t="s">
        <v>63</v>
      </c>
      <c r="BE1399" t="s">
        <v>63</v>
      </c>
      <c r="BF1399" t="s">
        <v>63</v>
      </c>
    </row>
    <row r="1400" spans="1:58">
      <c r="A1400" t="s">
        <v>58</v>
      </c>
      <c r="B1400" t="s">
        <v>12361</v>
      </c>
      <c r="C1400" t="s">
        <v>12362</v>
      </c>
      <c r="D1400" t="s">
        <v>8124</v>
      </c>
      <c r="E1400" t="s">
        <v>63</v>
      </c>
      <c r="F1400">
        <v>1990</v>
      </c>
      <c r="G1400" t="s">
        <v>63</v>
      </c>
      <c r="H1400">
        <v>90</v>
      </c>
      <c r="I1400">
        <v>9</v>
      </c>
      <c r="J1400">
        <v>127</v>
      </c>
      <c r="K1400" t="s">
        <v>63</v>
      </c>
      <c r="L1400" t="s">
        <v>12363</v>
      </c>
      <c r="M1400" t="s">
        <v>63</v>
      </c>
      <c r="N1400" t="s">
        <v>12364</v>
      </c>
      <c r="O1400" t="s">
        <v>63</v>
      </c>
      <c r="Q1400" t="s">
        <v>63</v>
      </c>
      <c r="R1400" t="s">
        <v>63</v>
      </c>
      <c r="S1400" t="s">
        <v>63</v>
      </c>
      <c r="T1400" t="s">
        <v>63</v>
      </c>
      <c r="X1400" t="s">
        <v>63</v>
      </c>
      <c r="Y1400" t="s">
        <v>8128</v>
      </c>
      <c r="Z1400" t="s">
        <v>63</v>
      </c>
      <c r="AA1400" t="s">
        <v>63</v>
      </c>
      <c r="AB1400">
        <v>2176030</v>
      </c>
      <c r="AC1400" t="s">
        <v>5266</v>
      </c>
      <c r="AD1400" t="s">
        <v>63</v>
      </c>
      <c r="AE1400" t="s">
        <v>63</v>
      </c>
      <c r="AF1400" t="s">
        <v>63</v>
      </c>
      <c r="AG1400" t="s">
        <v>12365</v>
      </c>
      <c r="AH1400" t="s">
        <v>63</v>
      </c>
      <c r="AI1400" t="s">
        <v>63</v>
      </c>
      <c r="AJ1400" t="s">
        <v>63</v>
      </c>
      <c r="AK1400" t="s">
        <v>63</v>
      </c>
      <c r="AL1400" t="s">
        <v>63</v>
      </c>
      <c r="AM1400" t="s">
        <v>12366</v>
      </c>
      <c r="AN1400" t="s">
        <v>63</v>
      </c>
      <c r="AO1400" t="s">
        <v>63</v>
      </c>
      <c r="AP1400" t="s">
        <v>63</v>
      </c>
      <c r="AQ1400" t="s">
        <v>63</v>
      </c>
      <c r="AR1400" t="s">
        <v>63</v>
      </c>
      <c r="AS1400" t="s">
        <v>63</v>
      </c>
      <c r="AT1400" t="s">
        <v>63</v>
      </c>
      <c r="AU1400" t="s">
        <v>63</v>
      </c>
      <c r="AV1400" t="s">
        <v>63</v>
      </c>
      <c r="AW1400" t="s">
        <v>63</v>
      </c>
      <c r="AX1400" t="s">
        <v>63</v>
      </c>
      <c r="AY1400" t="s">
        <v>63</v>
      </c>
      <c r="AZ1400" t="s">
        <v>63</v>
      </c>
      <c r="BA1400" t="s">
        <v>63</v>
      </c>
      <c r="BB1400" t="s">
        <v>63</v>
      </c>
      <c r="BC1400" t="s">
        <v>63</v>
      </c>
      <c r="BD1400" t="s">
        <v>63</v>
      </c>
      <c r="BE1400" t="s">
        <v>63</v>
      </c>
      <c r="BF1400" t="s">
        <v>63</v>
      </c>
    </row>
    <row r="1401" spans="1:58">
      <c r="A1401" t="s">
        <v>58</v>
      </c>
      <c r="B1401" t="s">
        <v>12367</v>
      </c>
      <c r="C1401" t="s">
        <v>12368</v>
      </c>
      <c r="D1401" t="s">
        <v>7305</v>
      </c>
      <c r="E1401" t="s">
        <v>63</v>
      </c>
      <c r="F1401">
        <v>2006</v>
      </c>
      <c r="G1401" t="s">
        <v>1737</v>
      </c>
      <c r="H1401">
        <v>18</v>
      </c>
      <c r="I1401">
        <v>3</v>
      </c>
      <c r="J1401">
        <v>493</v>
      </c>
      <c r="K1401">
        <v>503</v>
      </c>
      <c r="L1401" t="s">
        <v>12369</v>
      </c>
      <c r="M1401" t="s">
        <v>12370</v>
      </c>
      <c r="N1401" t="s">
        <v>12371</v>
      </c>
      <c r="O1401" t="s">
        <v>63</v>
      </c>
      <c r="Q1401" t="s">
        <v>63</v>
      </c>
      <c r="R1401" t="s">
        <v>63</v>
      </c>
      <c r="S1401" t="s">
        <v>63</v>
      </c>
      <c r="T1401" t="s">
        <v>63</v>
      </c>
      <c r="X1401" t="s">
        <v>63</v>
      </c>
      <c r="Y1401" t="s">
        <v>12372</v>
      </c>
      <c r="Z1401" t="s">
        <v>63</v>
      </c>
      <c r="AA1401" t="s">
        <v>12373</v>
      </c>
      <c r="AB1401">
        <v>17068932</v>
      </c>
      <c r="AC1401" t="s">
        <v>67</v>
      </c>
      <c r="AD1401" t="s">
        <v>63</v>
      </c>
      <c r="AE1401" t="s">
        <v>63</v>
      </c>
      <c r="AF1401" t="s">
        <v>63</v>
      </c>
      <c r="AG1401" t="s">
        <v>12374</v>
      </c>
      <c r="AH1401" t="s">
        <v>63</v>
      </c>
      <c r="AI1401" t="s">
        <v>63</v>
      </c>
      <c r="AJ1401" t="s">
        <v>63</v>
      </c>
      <c r="AK1401" t="s">
        <v>63</v>
      </c>
      <c r="AL1401" t="s">
        <v>63</v>
      </c>
      <c r="AM1401" t="s">
        <v>12375</v>
      </c>
      <c r="AN1401" t="s">
        <v>63</v>
      </c>
      <c r="AO1401" t="s">
        <v>63</v>
      </c>
      <c r="AP1401" t="s">
        <v>63</v>
      </c>
      <c r="AQ1401" t="s">
        <v>63</v>
      </c>
      <c r="AR1401" t="s">
        <v>63</v>
      </c>
      <c r="AS1401" t="s">
        <v>63</v>
      </c>
      <c r="AT1401" t="s">
        <v>63</v>
      </c>
      <c r="AU1401" t="s">
        <v>63</v>
      </c>
      <c r="AV1401" t="s">
        <v>63</v>
      </c>
      <c r="AW1401" t="s">
        <v>63</v>
      </c>
      <c r="AX1401" t="s">
        <v>63</v>
      </c>
      <c r="AY1401" t="s">
        <v>63</v>
      </c>
      <c r="AZ1401" t="s">
        <v>63</v>
      </c>
      <c r="BA1401" t="s">
        <v>63</v>
      </c>
      <c r="BB1401" t="s">
        <v>63</v>
      </c>
      <c r="BC1401" t="s">
        <v>63</v>
      </c>
      <c r="BD1401" t="s">
        <v>63</v>
      </c>
      <c r="BE1401" t="s">
        <v>63</v>
      </c>
      <c r="BF1401" t="s">
        <v>63</v>
      </c>
    </row>
    <row r="1402" spans="1:58">
      <c r="A1402" t="s">
        <v>58</v>
      </c>
      <c r="B1402" t="s">
        <v>12376</v>
      </c>
      <c r="C1402" t="s">
        <v>12377</v>
      </c>
      <c r="D1402" t="s">
        <v>763</v>
      </c>
      <c r="E1402" t="s">
        <v>63</v>
      </c>
      <c r="F1402">
        <v>2009</v>
      </c>
      <c r="G1402" t="s">
        <v>274</v>
      </c>
      <c r="H1402">
        <v>84</v>
      </c>
      <c r="I1402">
        <v>3</v>
      </c>
      <c r="J1402">
        <v>340</v>
      </c>
      <c r="K1402">
        <v>346</v>
      </c>
      <c r="L1402" t="s">
        <v>12378</v>
      </c>
      <c r="M1402" t="s">
        <v>12379</v>
      </c>
      <c r="N1402" t="s">
        <v>12380</v>
      </c>
      <c r="O1402" t="s">
        <v>63</v>
      </c>
      <c r="Q1402" t="s">
        <v>63</v>
      </c>
      <c r="R1402" t="s">
        <v>63</v>
      </c>
      <c r="S1402" t="s">
        <v>63</v>
      </c>
      <c r="T1402" t="s">
        <v>63</v>
      </c>
      <c r="X1402" t="s">
        <v>63</v>
      </c>
      <c r="Y1402" t="s">
        <v>766</v>
      </c>
      <c r="Z1402" t="s">
        <v>63</v>
      </c>
      <c r="AA1402" t="s">
        <v>12381</v>
      </c>
      <c r="AB1402">
        <v>19240441</v>
      </c>
      <c r="AC1402" t="s">
        <v>67</v>
      </c>
      <c r="AD1402" t="s">
        <v>63</v>
      </c>
      <c r="AE1402" t="s">
        <v>63</v>
      </c>
      <c r="AF1402" t="s">
        <v>63</v>
      </c>
      <c r="AG1402" t="s">
        <v>12382</v>
      </c>
      <c r="AH1402" t="s">
        <v>63</v>
      </c>
      <c r="AI1402" t="s">
        <v>12383</v>
      </c>
      <c r="AJ1402" t="s">
        <v>63</v>
      </c>
      <c r="AK1402" t="s">
        <v>63</v>
      </c>
      <c r="AL1402" t="s">
        <v>63</v>
      </c>
      <c r="AM1402" t="s">
        <v>12384</v>
      </c>
      <c r="AN1402" t="s">
        <v>63</v>
      </c>
      <c r="AO1402" t="s">
        <v>63</v>
      </c>
      <c r="AP1402" t="s">
        <v>63</v>
      </c>
      <c r="AQ1402" t="s">
        <v>63</v>
      </c>
      <c r="AR1402" t="s">
        <v>63</v>
      </c>
      <c r="AS1402" t="s">
        <v>63</v>
      </c>
      <c r="AT1402" t="s">
        <v>63</v>
      </c>
      <c r="AU1402" t="s">
        <v>63</v>
      </c>
      <c r="AV1402" t="s">
        <v>63</v>
      </c>
      <c r="AW1402" t="s">
        <v>63</v>
      </c>
      <c r="AX1402" t="s">
        <v>63</v>
      </c>
      <c r="AY1402" t="s">
        <v>63</v>
      </c>
      <c r="AZ1402" t="s">
        <v>63</v>
      </c>
      <c r="BA1402" t="s">
        <v>63</v>
      </c>
      <c r="BB1402" t="s">
        <v>63</v>
      </c>
      <c r="BC1402" t="s">
        <v>63</v>
      </c>
      <c r="BD1402" t="s">
        <v>63</v>
      </c>
      <c r="BE1402" t="s">
        <v>63</v>
      </c>
      <c r="BF1402" t="s">
        <v>63</v>
      </c>
    </row>
    <row r="1403" spans="1:58">
      <c r="A1403" t="s">
        <v>58</v>
      </c>
      <c r="B1403" t="s">
        <v>12385</v>
      </c>
      <c r="C1403" t="s">
        <v>12386</v>
      </c>
      <c r="D1403" t="s">
        <v>12387</v>
      </c>
      <c r="E1403" t="s">
        <v>12388</v>
      </c>
      <c r="F1403">
        <v>1994</v>
      </c>
      <c r="G1403" t="s">
        <v>326</v>
      </c>
      <c r="H1403">
        <v>81</v>
      </c>
      <c r="I1403">
        <v>2</v>
      </c>
      <c r="J1403">
        <v>101</v>
      </c>
      <c r="K1403">
        <v>105</v>
      </c>
      <c r="L1403" t="s">
        <v>12389</v>
      </c>
      <c r="M1403" t="s">
        <v>12390</v>
      </c>
      <c r="N1403" t="s">
        <v>12391</v>
      </c>
      <c r="O1403" t="s">
        <v>63</v>
      </c>
      <c r="Q1403" t="s">
        <v>63</v>
      </c>
      <c r="R1403" t="s">
        <v>63</v>
      </c>
      <c r="S1403" t="s">
        <v>63</v>
      </c>
      <c r="T1403" t="s">
        <v>63</v>
      </c>
      <c r="X1403" t="s">
        <v>63</v>
      </c>
      <c r="Y1403" t="s">
        <v>12392</v>
      </c>
      <c r="Z1403" t="s">
        <v>63</v>
      </c>
      <c r="AA1403" t="s">
        <v>12393</v>
      </c>
      <c r="AB1403">
        <v>8169583</v>
      </c>
      <c r="AC1403" t="s">
        <v>67</v>
      </c>
      <c r="AD1403" t="s">
        <v>63</v>
      </c>
      <c r="AE1403" t="s">
        <v>63</v>
      </c>
      <c r="AF1403" t="s">
        <v>63</v>
      </c>
      <c r="AG1403" t="s">
        <v>12394</v>
      </c>
      <c r="AH1403" t="s">
        <v>63</v>
      </c>
      <c r="AI1403" t="s">
        <v>63</v>
      </c>
      <c r="AJ1403" t="s">
        <v>63</v>
      </c>
      <c r="AK1403" t="s">
        <v>63</v>
      </c>
      <c r="AL1403" t="s">
        <v>63</v>
      </c>
      <c r="AM1403" t="s">
        <v>12395</v>
      </c>
      <c r="AN1403" t="s">
        <v>63</v>
      </c>
      <c r="AO1403" t="s">
        <v>63</v>
      </c>
      <c r="AP1403" t="s">
        <v>63</v>
      </c>
      <c r="AQ1403" t="s">
        <v>63</v>
      </c>
      <c r="AR1403" t="s">
        <v>63</v>
      </c>
      <c r="AS1403" t="s">
        <v>63</v>
      </c>
      <c r="AT1403" t="s">
        <v>63</v>
      </c>
      <c r="AU1403" t="s">
        <v>63</v>
      </c>
      <c r="AV1403" t="s">
        <v>63</v>
      </c>
      <c r="AW1403" t="s">
        <v>63</v>
      </c>
      <c r="AX1403" t="s">
        <v>63</v>
      </c>
      <c r="AY1403" t="s">
        <v>63</v>
      </c>
      <c r="AZ1403" t="s">
        <v>63</v>
      </c>
      <c r="BA1403" t="s">
        <v>63</v>
      </c>
      <c r="BB1403" t="s">
        <v>63</v>
      </c>
      <c r="BC1403" t="s">
        <v>63</v>
      </c>
      <c r="BD1403" t="s">
        <v>63</v>
      </c>
      <c r="BE1403" t="s">
        <v>63</v>
      </c>
      <c r="BF1403" t="s">
        <v>63</v>
      </c>
    </row>
    <row r="1404" spans="1:58">
      <c r="A1404" t="s">
        <v>58</v>
      </c>
      <c r="B1404" t="s">
        <v>12396</v>
      </c>
      <c r="C1404" t="s">
        <v>12397</v>
      </c>
      <c r="D1404" t="s">
        <v>349</v>
      </c>
      <c r="E1404" t="s">
        <v>350</v>
      </c>
      <c r="F1404">
        <v>1993</v>
      </c>
      <c r="G1404" t="s">
        <v>1114</v>
      </c>
      <c r="H1404">
        <v>9</v>
      </c>
      <c r="I1404">
        <v>3</v>
      </c>
      <c r="J1404">
        <v>155</v>
      </c>
      <c r="K1404">
        <v>159</v>
      </c>
      <c r="L1404" t="s">
        <v>12398</v>
      </c>
      <c r="M1404" t="s">
        <v>12399</v>
      </c>
      <c r="N1404" t="s">
        <v>12400</v>
      </c>
      <c r="O1404" t="s">
        <v>63</v>
      </c>
      <c r="Q1404" t="s">
        <v>63</v>
      </c>
      <c r="R1404" t="s">
        <v>63</v>
      </c>
      <c r="S1404" t="s">
        <v>63</v>
      </c>
      <c r="T1404" t="s">
        <v>63</v>
      </c>
      <c r="X1404" t="s">
        <v>63</v>
      </c>
      <c r="Y1404" t="s">
        <v>354</v>
      </c>
      <c r="Z1404" t="s">
        <v>63</v>
      </c>
      <c r="AA1404" t="s">
        <v>12401</v>
      </c>
      <c r="AB1404">
        <v>8347366</v>
      </c>
      <c r="AC1404" t="s">
        <v>67</v>
      </c>
      <c r="AD1404" t="s">
        <v>63</v>
      </c>
      <c r="AE1404" t="s">
        <v>63</v>
      </c>
      <c r="AF1404" t="s">
        <v>63</v>
      </c>
      <c r="AG1404" t="s">
        <v>12402</v>
      </c>
      <c r="AH1404" t="s">
        <v>63</v>
      </c>
      <c r="AI1404" t="s">
        <v>63</v>
      </c>
      <c r="AJ1404" t="s">
        <v>63</v>
      </c>
      <c r="AK1404" t="s">
        <v>63</v>
      </c>
      <c r="AL1404" t="s">
        <v>63</v>
      </c>
      <c r="AM1404" t="s">
        <v>12403</v>
      </c>
      <c r="AN1404" t="s">
        <v>63</v>
      </c>
      <c r="AO1404" t="s">
        <v>63</v>
      </c>
      <c r="AP1404" t="s">
        <v>63</v>
      </c>
      <c r="AQ1404" t="s">
        <v>63</v>
      </c>
      <c r="AR1404" t="s">
        <v>63</v>
      </c>
      <c r="AS1404" t="s">
        <v>63</v>
      </c>
      <c r="AT1404" t="s">
        <v>63</v>
      </c>
      <c r="AU1404" t="s">
        <v>63</v>
      </c>
      <c r="AV1404" t="s">
        <v>63</v>
      </c>
      <c r="AW1404" t="s">
        <v>63</v>
      </c>
      <c r="AX1404" t="s">
        <v>63</v>
      </c>
      <c r="AY1404" t="s">
        <v>63</v>
      </c>
      <c r="AZ1404" t="s">
        <v>63</v>
      </c>
      <c r="BA1404" t="s">
        <v>63</v>
      </c>
      <c r="BB1404" t="s">
        <v>63</v>
      </c>
      <c r="BC1404" t="s">
        <v>63</v>
      </c>
      <c r="BD1404" t="s">
        <v>63</v>
      </c>
      <c r="BE1404" t="s">
        <v>63</v>
      </c>
      <c r="BF1404" t="s">
        <v>63</v>
      </c>
    </row>
    <row r="1405" spans="1:58">
      <c r="A1405" t="s">
        <v>58</v>
      </c>
      <c r="B1405" t="s">
        <v>12404</v>
      </c>
      <c r="C1405" t="s">
        <v>12405</v>
      </c>
      <c r="D1405" t="s">
        <v>12406</v>
      </c>
      <c r="E1405" t="s">
        <v>63</v>
      </c>
      <c r="F1405">
        <v>2014</v>
      </c>
      <c r="G1405" t="s">
        <v>157</v>
      </c>
      <c r="H1405">
        <v>4</v>
      </c>
      <c r="I1405">
        <v>4</v>
      </c>
      <c r="J1405">
        <v>391</v>
      </c>
      <c r="K1405">
        <v>397</v>
      </c>
      <c r="L1405" t="s">
        <v>63</v>
      </c>
      <c r="M1405" t="s">
        <v>12407</v>
      </c>
      <c r="N1405" t="s">
        <v>12408</v>
      </c>
      <c r="O1405" t="s">
        <v>63</v>
      </c>
      <c r="Q1405" t="s">
        <v>63</v>
      </c>
      <c r="R1405" t="s">
        <v>63</v>
      </c>
      <c r="S1405" t="s">
        <v>63</v>
      </c>
      <c r="T1405" t="s">
        <v>63</v>
      </c>
      <c r="X1405" t="s">
        <v>63</v>
      </c>
      <c r="Y1405" t="s">
        <v>12409</v>
      </c>
      <c r="Z1405" t="s">
        <v>63</v>
      </c>
      <c r="AA1405" t="s">
        <v>12410</v>
      </c>
      <c r="AB1405">
        <v>25584088</v>
      </c>
      <c r="AC1405" t="s">
        <v>67</v>
      </c>
      <c r="AD1405" t="s">
        <v>63</v>
      </c>
      <c r="AE1405" t="s">
        <v>63</v>
      </c>
      <c r="AF1405" t="s">
        <v>63</v>
      </c>
      <c r="AG1405" t="s">
        <v>12411</v>
      </c>
      <c r="AH1405" t="s">
        <v>63</v>
      </c>
      <c r="AI1405" t="s">
        <v>12412</v>
      </c>
      <c r="AJ1405" t="s">
        <v>63</v>
      </c>
      <c r="AK1405" t="s">
        <v>63</v>
      </c>
      <c r="AL1405" t="s">
        <v>63</v>
      </c>
      <c r="AM1405" t="s">
        <v>12413</v>
      </c>
      <c r="AN1405" t="s">
        <v>63</v>
      </c>
      <c r="AO1405" t="s">
        <v>63</v>
      </c>
      <c r="AP1405" t="s">
        <v>63</v>
      </c>
      <c r="AQ1405" t="s">
        <v>63</v>
      </c>
      <c r="AR1405" t="s">
        <v>63</v>
      </c>
      <c r="AS1405" t="s">
        <v>63</v>
      </c>
      <c r="AT1405" t="s">
        <v>63</v>
      </c>
      <c r="AU1405" t="s">
        <v>63</v>
      </c>
      <c r="AV1405" t="s">
        <v>63</v>
      </c>
      <c r="AW1405" t="s">
        <v>63</v>
      </c>
      <c r="AX1405" t="s">
        <v>63</v>
      </c>
      <c r="AY1405" t="s">
        <v>63</v>
      </c>
      <c r="AZ1405" t="s">
        <v>63</v>
      </c>
      <c r="BA1405" t="s">
        <v>63</v>
      </c>
      <c r="BB1405" t="s">
        <v>63</v>
      </c>
      <c r="BC1405" t="s">
        <v>63</v>
      </c>
      <c r="BD1405" t="s">
        <v>63</v>
      </c>
      <c r="BE1405" t="s">
        <v>63</v>
      </c>
      <c r="BF1405" t="s">
        <v>63</v>
      </c>
    </row>
    <row r="1406" spans="1:58">
      <c r="A1406" t="s">
        <v>58</v>
      </c>
      <c r="B1406" t="s">
        <v>12414</v>
      </c>
      <c r="C1406" t="s">
        <v>12415</v>
      </c>
      <c r="D1406" t="s">
        <v>500</v>
      </c>
      <c r="E1406" t="s">
        <v>501</v>
      </c>
      <c r="F1406">
        <v>2011</v>
      </c>
      <c r="G1406" t="s">
        <v>63</v>
      </c>
      <c r="H1406" t="s">
        <v>502</v>
      </c>
      <c r="I1406" t="s">
        <v>63</v>
      </c>
      <c r="J1406" t="s">
        <v>12416</v>
      </c>
      <c r="K1406">
        <v>36</v>
      </c>
      <c r="L1406" t="s">
        <v>12417</v>
      </c>
      <c r="M1406" t="s">
        <v>12418</v>
      </c>
      <c r="N1406" t="s">
        <v>12419</v>
      </c>
      <c r="O1406" t="s">
        <v>63</v>
      </c>
      <c r="Q1406" t="s">
        <v>63</v>
      </c>
      <c r="R1406" t="s">
        <v>63</v>
      </c>
      <c r="S1406" t="s">
        <v>63</v>
      </c>
      <c r="T1406" t="s">
        <v>63</v>
      </c>
      <c r="X1406" t="s">
        <v>63</v>
      </c>
      <c r="Y1406" t="s">
        <v>507</v>
      </c>
      <c r="Z1406" t="s">
        <v>63</v>
      </c>
      <c r="AA1406" t="s">
        <v>12420</v>
      </c>
      <c r="AB1406">
        <v>22190098</v>
      </c>
      <c r="AC1406" t="s">
        <v>67</v>
      </c>
      <c r="AD1406" t="s">
        <v>63</v>
      </c>
      <c r="AE1406" t="s">
        <v>63</v>
      </c>
      <c r="AF1406" t="s">
        <v>63</v>
      </c>
      <c r="AG1406" t="s">
        <v>12421</v>
      </c>
      <c r="AH1406" t="s">
        <v>63</v>
      </c>
      <c r="AI1406" t="s">
        <v>12422</v>
      </c>
      <c r="AJ1406" t="s">
        <v>63</v>
      </c>
      <c r="AK1406" t="s">
        <v>63</v>
      </c>
      <c r="AL1406" t="s">
        <v>63</v>
      </c>
      <c r="AM1406" t="s">
        <v>12423</v>
      </c>
      <c r="AN1406" t="s">
        <v>63</v>
      </c>
      <c r="AO1406" t="s">
        <v>63</v>
      </c>
      <c r="AP1406" t="s">
        <v>63</v>
      </c>
      <c r="AQ1406" t="s">
        <v>63</v>
      </c>
      <c r="AR1406" t="s">
        <v>63</v>
      </c>
      <c r="AS1406" t="s">
        <v>63</v>
      </c>
      <c r="AT1406" t="s">
        <v>63</v>
      </c>
      <c r="AU1406" t="s">
        <v>63</v>
      </c>
      <c r="AV1406" t="s">
        <v>63</v>
      </c>
      <c r="AW1406" t="s">
        <v>63</v>
      </c>
      <c r="AX1406" t="s">
        <v>63</v>
      </c>
      <c r="AY1406" t="s">
        <v>63</v>
      </c>
      <c r="AZ1406" t="s">
        <v>63</v>
      </c>
      <c r="BA1406" t="s">
        <v>63</v>
      </c>
      <c r="BB1406" t="s">
        <v>63</v>
      </c>
      <c r="BC1406" t="s">
        <v>63</v>
      </c>
      <c r="BD1406" t="s">
        <v>63</v>
      </c>
      <c r="BE1406" t="s">
        <v>63</v>
      </c>
      <c r="BF1406" t="s">
        <v>63</v>
      </c>
    </row>
    <row r="1407" spans="1:58">
      <c r="A1407" t="s">
        <v>58</v>
      </c>
      <c r="B1407" t="s">
        <v>12424</v>
      </c>
      <c r="C1407" t="s">
        <v>12425</v>
      </c>
      <c r="D1407" t="s">
        <v>3827</v>
      </c>
      <c r="E1407" t="s">
        <v>63</v>
      </c>
      <c r="F1407">
        <v>2008</v>
      </c>
      <c r="G1407" t="s">
        <v>1670</v>
      </c>
      <c r="H1407">
        <v>66</v>
      </c>
      <c r="I1407">
        <v>7</v>
      </c>
      <c r="J1407">
        <v>1335</v>
      </c>
      <c r="K1407">
        <v>1342</v>
      </c>
      <c r="L1407" t="s">
        <v>12426</v>
      </c>
      <c r="M1407" t="s">
        <v>12427</v>
      </c>
      <c r="N1407" t="s">
        <v>12428</v>
      </c>
      <c r="O1407" t="s">
        <v>63</v>
      </c>
      <c r="Q1407" t="s">
        <v>63</v>
      </c>
      <c r="R1407" t="s">
        <v>63</v>
      </c>
      <c r="S1407" t="s">
        <v>63</v>
      </c>
      <c r="T1407" t="s">
        <v>63</v>
      </c>
      <c r="X1407" t="s">
        <v>63</v>
      </c>
      <c r="Y1407" t="s">
        <v>3831</v>
      </c>
      <c r="Z1407" t="s">
        <v>63</v>
      </c>
      <c r="AA1407" t="s">
        <v>12429</v>
      </c>
      <c r="AB1407">
        <v>18571014</v>
      </c>
      <c r="AC1407" t="s">
        <v>67</v>
      </c>
      <c r="AD1407" t="s">
        <v>63</v>
      </c>
      <c r="AE1407" t="s">
        <v>63</v>
      </c>
      <c r="AF1407" t="s">
        <v>63</v>
      </c>
      <c r="AG1407" t="s">
        <v>12430</v>
      </c>
      <c r="AH1407" t="s">
        <v>63</v>
      </c>
      <c r="AI1407" t="s">
        <v>12431</v>
      </c>
      <c r="AJ1407" t="s">
        <v>63</v>
      </c>
      <c r="AK1407" t="s">
        <v>63</v>
      </c>
      <c r="AL1407" t="s">
        <v>63</v>
      </c>
      <c r="AM1407" t="s">
        <v>12432</v>
      </c>
      <c r="AN1407" t="s">
        <v>63</v>
      </c>
      <c r="AO1407" t="s">
        <v>63</v>
      </c>
      <c r="AP1407" t="s">
        <v>63</v>
      </c>
      <c r="AQ1407" t="s">
        <v>63</v>
      </c>
      <c r="AR1407" t="s">
        <v>63</v>
      </c>
      <c r="AS1407" t="s">
        <v>63</v>
      </c>
      <c r="AT1407" t="s">
        <v>63</v>
      </c>
      <c r="AU1407" t="s">
        <v>63</v>
      </c>
      <c r="AV1407" t="s">
        <v>63</v>
      </c>
      <c r="AW1407" t="s">
        <v>63</v>
      </c>
      <c r="AX1407" t="s">
        <v>63</v>
      </c>
      <c r="AY1407" t="s">
        <v>63</v>
      </c>
      <c r="AZ1407" t="s">
        <v>63</v>
      </c>
      <c r="BA1407" t="s">
        <v>63</v>
      </c>
      <c r="BB1407" t="s">
        <v>63</v>
      </c>
      <c r="BC1407" t="s">
        <v>63</v>
      </c>
      <c r="BD1407" t="s">
        <v>63</v>
      </c>
      <c r="BE1407" t="s">
        <v>63</v>
      </c>
      <c r="BF1407" t="s">
        <v>63</v>
      </c>
    </row>
    <row r="1408" spans="1:58">
      <c r="A1408" t="s">
        <v>58</v>
      </c>
      <c r="B1408" t="s">
        <v>12433</v>
      </c>
      <c r="C1408" t="s">
        <v>12434</v>
      </c>
      <c r="D1408" t="s">
        <v>949</v>
      </c>
      <c r="E1408" t="s">
        <v>950</v>
      </c>
      <c r="F1408">
        <v>2012</v>
      </c>
      <c r="G1408" t="s">
        <v>623</v>
      </c>
      <c r="H1408">
        <v>20</v>
      </c>
      <c r="I1408">
        <v>1</v>
      </c>
      <c r="J1408">
        <v>58</v>
      </c>
      <c r="K1408">
        <v>67</v>
      </c>
      <c r="L1408" t="s">
        <v>12435</v>
      </c>
      <c r="M1408" t="s">
        <v>12436</v>
      </c>
      <c r="N1408" t="s">
        <v>12437</v>
      </c>
      <c r="O1408" t="s">
        <v>63</v>
      </c>
      <c r="Q1408" t="s">
        <v>63</v>
      </c>
      <c r="R1408" t="s">
        <v>63</v>
      </c>
      <c r="S1408" t="s">
        <v>63</v>
      </c>
      <c r="T1408" t="s">
        <v>63</v>
      </c>
      <c r="X1408" t="s">
        <v>63</v>
      </c>
      <c r="Y1408" t="s">
        <v>954</v>
      </c>
      <c r="Z1408" t="s">
        <v>63</v>
      </c>
      <c r="AA1408" t="s">
        <v>12438</v>
      </c>
      <c r="AB1408">
        <v>22335183</v>
      </c>
      <c r="AC1408" t="s">
        <v>67</v>
      </c>
      <c r="AD1408" t="s">
        <v>63</v>
      </c>
      <c r="AE1408" t="s">
        <v>63</v>
      </c>
      <c r="AF1408" t="s">
        <v>63</v>
      </c>
      <c r="AG1408" t="s">
        <v>12439</v>
      </c>
      <c r="AH1408" t="s">
        <v>63</v>
      </c>
      <c r="AI1408" t="s">
        <v>12440</v>
      </c>
      <c r="AJ1408" t="s">
        <v>63</v>
      </c>
      <c r="AK1408" t="s">
        <v>63</v>
      </c>
      <c r="AL1408" t="s">
        <v>63</v>
      </c>
      <c r="AM1408" t="s">
        <v>12441</v>
      </c>
      <c r="AN1408" t="s">
        <v>63</v>
      </c>
      <c r="AO1408" t="s">
        <v>63</v>
      </c>
      <c r="AP1408" t="s">
        <v>63</v>
      </c>
      <c r="AQ1408" t="s">
        <v>63</v>
      </c>
      <c r="AR1408" t="s">
        <v>63</v>
      </c>
      <c r="AS1408" t="s">
        <v>63</v>
      </c>
      <c r="AT1408" t="s">
        <v>63</v>
      </c>
      <c r="AU1408" t="s">
        <v>63</v>
      </c>
      <c r="AV1408" t="s">
        <v>63</v>
      </c>
      <c r="AW1408" t="s">
        <v>63</v>
      </c>
      <c r="AX1408" t="s">
        <v>63</v>
      </c>
      <c r="AY1408" t="s">
        <v>63</v>
      </c>
      <c r="AZ1408" t="s">
        <v>63</v>
      </c>
      <c r="BA1408" t="s">
        <v>63</v>
      </c>
      <c r="BB1408" t="s">
        <v>63</v>
      </c>
      <c r="BC1408" t="s">
        <v>63</v>
      </c>
      <c r="BD1408" t="s">
        <v>63</v>
      </c>
      <c r="BE1408" t="s">
        <v>63</v>
      </c>
      <c r="BF1408" t="s">
        <v>63</v>
      </c>
    </row>
    <row r="1409" spans="1:58">
      <c r="A1409" t="s">
        <v>58</v>
      </c>
      <c r="B1409" t="s">
        <v>12442</v>
      </c>
      <c r="C1409" t="s">
        <v>12443</v>
      </c>
      <c r="D1409" t="s">
        <v>1184</v>
      </c>
      <c r="E1409" t="s">
        <v>1185</v>
      </c>
      <c r="F1409">
        <v>1984</v>
      </c>
      <c r="G1409" t="s">
        <v>73</v>
      </c>
      <c r="H1409">
        <v>59</v>
      </c>
      <c r="I1409">
        <v>6</v>
      </c>
      <c r="J1409">
        <v>501</v>
      </c>
      <c r="K1409">
        <v>507</v>
      </c>
      <c r="L1409" t="s">
        <v>12444</v>
      </c>
      <c r="M1409" t="s">
        <v>12445</v>
      </c>
      <c r="N1409" t="s">
        <v>12446</v>
      </c>
      <c r="O1409" t="s">
        <v>63</v>
      </c>
      <c r="Q1409" t="s">
        <v>63</v>
      </c>
      <c r="R1409" t="s">
        <v>63</v>
      </c>
      <c r="S1409" t="s">
        <v>63</v>
      </c>
      <c r="T1409" t="s">
        <v>63</v>
      </c>
      <c r="X1409" t="s">
        <v>63</v>
      </c>
      <c r="Y1409" t="s">
        <v>1188</v>
      </c>
      <c r="Z1409" t="s">
        <v>63</v>
      </c>
      <c r="AA1409" t="s">
        <v>63</v>
      </c>
      <c r="AB1409">
        <v>6726770</v>
      </c>
      <c r="AC1409" t="s">
        <v>67</v>
      </c>
      <c r="AD1409" t="s">
        <v>63</v>
      </c>
      <c r="AE1409" t="s">
        <v>63</v>
      </c>
      <c r="AF1409" t="s">
        <v>63</v>
      </c>
      <c r="AG1409" t="s">
        <v>12447</v>
      </c>
      <c r="AH1409" t="s">
        <v>63</v>
      </c>
      <c r="AI1409" t="s">
        <v>63</v>
      </c>
      <c r="AJ1409" t="s">
        <v>63</v>
      </c>
      <c r="AK1409" t="s">
        <v>63</v>
      </c>
      <c r="AL1409" t="s">
        <v>63</v>
      </c>
      <c r="AM1409" t="s">
        <v>12448</v>
      </c>
      <c r="AN1409" t="s">
        <v>63</v>
      </c>
      <c r="AO1409" t="s">
        <v>63</v>
      </c>
      <c r="AP1409" t="s">
        <v>63</v>
      </c>
      <c r="AQ1409" t="s">
        <v>63</v>
      </c>
      <c r="AR1409" t="s">
        <v>63</v>
      </c>
      <c r="AS1409" t="s">
        <v>63</v>
      </c>
      <c r="AT1409" t="s">
        <v>63</v>
      </c>
      <c r="AU1409" t="s">
        <v>63</v>
      </c>
      <c r="AV1409" t="s">
        <v>63</v>
      </c>
      <c r="AW1409" t="s">
        <v>63</v>
      </c>
      <c r="AX1409" t="s">
        <v>63</v>
      </c>
      <c r="AY1409" t="s">
        <v>63</v>
      </c>
      <c r="AZ1409" t="s">
        <v>63</v>
      </c>
      <c r="BA1409" t="s">
        <v>63</v>
      </c>
      <c r="BB1409" t="s">
        <v>63</v>
      </c>
      <c r="BC1409" t="s">
        <v>63</v>
      </c>
      <c r="BD1409" t="s">
        <v>63</v>
      </c>
      <c r="BE1409" t="s">
        <v>63</v>
      </c>
      <c r="BF1409" t="s">
        <v>63</v>
      </c>
    </row>
    <row r="1410" spans="1:58">
      <c r="A1410" t="s">
        <v>58</v>
      </c>
      <c r="B1410" t="s">
        <v>12449</v>
      </c>
      <c r="C1410" t="s">
        <v>12450</v>
      </c>
      <c r="D1410" t="s">
        <v>12451</v>
      </c>
      <c r="E1410" t="s">
        <v>12452</v>
      </c>
      <c r="F1410">
        <v>2008</v>
      </c>
      <c r="G1410" t="s">
        <v>63</v>
      </c>
      <c r="H1410">
        <v>23</v>
      </c>
      <c r="I1410">
        <v>2</v>
      </c>
      <c r="J1410">
        <v>79</v>
      </c>
      <c r="K1410">
        <v>83</v>
      </c>
      <c r="L1410" t="s">
        <v>12453</v>
      </c>
      <c r="M1410" t="s">
        <v>12454</v>
      </c>
      <c r="N1410" t="s">
        <v>12455</v>
      </c>
      <c r="O1410" t="s">
        <v>63</v>
      </c>
      <c r="Q1410" t="s">
        <v>63</v>
      </c>
      <c r="R1410" t="s">
        <v>63</v>
      </c>
      <c r="S1410" t="s">
        <v>63</v>
      </c>
      <c r="T1410" t="s">
        <v>63</v>
      </c>
      <c r="X1410" t="s">
        <v>63</v>
      </c>
      <c r="Y1410" t="s">
        <v>12456</v>
      </c>
      <c r="Z1410" t="s">
        <v>63</v>
      </c>
      <c r="AA1410" t="s">
        <v>12457</v>
      </c>
      <c r="AB1410">
        <v>18843829</v>
      </c>
      <c r="AC1410" t="s">
        <v>67</v>
      </c>
      <c r="AD1410" t="s">
        <v>63</v>
      </c>
      <c r="AE1410" t="s">
        <v>63</v>
      </c>
      <c r="AF1410" t="s">
        <v>63</v>
      </c>
      <c r="AG1410" t="s">
        <v>12458</v>
      </c>
      <c r="AH1410" t="s">
        <v>63</v>
      </c>
      <c r="AI1410" t="s">
        <v>63</v>
      </c>
      <c r="AJ1410" t="s">
        <v>63</v>
      </c>
      <c r="AK1410" t="s">
        <v>63</v>
      </c>
      <c r="AL1410" t="s">
        <v>63</v>
      </c>
      <c r="AM1410" t="s">
        <v>12459</v>
      </c>
      <c r="AN1410" t="s">
        <v>63</v>
      </c>
      <c r="AO1410" t="s">
        <v>63</v>
      </c>
      <c r="AP1410" t="s">
        <v>63</v>
      </c>
      <c r="AQ1410" t="s">
        <v>63</v>
      </c>
      <c r="AR1410" t="s">
        <v>63</v>
      </c>
      <c r="AS1410" t="s">
        <v>63</v>
      </c>
      <c r="AT1410" t="s">
        <v>63</v>
      </c>
      <c r="AU1410" t="s">
        <v>63</v>
      </c>
      <c r="AV1410" t="s">
        <v>63</v>
      </c>
      <c r="AW1410" t="s">
        <v>63</v>
      </c>
      <c r="AX1410" t="s">
        <v>63</v>
      </c>
      <c r="AY1410" t="s">
        <v>63</v>
      </c>
      <c r="AZ1410" t="s">
        <v>63</v>
      </c>
      <c r="BA1410" t="s">
        <v>63</v>
      </c>
      <c r="BB1410" t="s">
        <v>63</v>
      </c>
      <c r="BC1410" t="s">
        <v>63</v>
      </c>
      <c r="BD1410" t="s">
        <v>63</v>
      </c>
      <c r="BE1410" t="s">
        <v>63</v>
      </c>
      <c r="BF1410" t="s">
        <v>63</v>
      </c>
    </row>
    <row r="1411" spans="1:58">
      <c r="A1411" t="s">
        <v>58</v>
      </c>
      <c r="B1411" t="s">
        <v>12460</v>
      </c>
      <c r="C1411" t="s">
        <v>12461</v>
      </c>
      <c r="D1411" t="s">
        <v>763</v>
      </c>
      <c r="E1411" t="s">
        <v>63</v>
      </c>
      <c r="F1411">
        <v>1999</v>
      </c>
      <c r="G1411" t="s">
        <v>219</v>
      </c>
      <c r="H1411">
        <v>74</v>
      </c>
      <c r="I1411">
        <v>11</v>
      </c>
      <c r="J1411">
        <v>1158</v>
      </c>
      <c r="K1411">
        <v>1160</v>
      </c>
      <c r="L1411" t="s">
        <v>12462</v>
      </c>
      <c r="M1411" t="s">
        <v>63</v>
      </c>
      <c r="N1411" t="s">
        <v>12463</v>
      </c>
      <c r="O1411" t="s">
        <v>63</v>
      </c>
      <c r="Q1411" t="s">
        <v>63</v>
      </c>
      <c r="R1411" t="s">
        <v>63</v>
      </c>
      <c r="S1411" t="s">
        <v>63</v>
      </c>
      <c r="T1411" t="s">
        <v>63</v>
      </c>
      <c r="X1411" t="s">
        <v>63</v>
      </c>
      <c r="Y1411" t="s">
        <v>858</v>
      </c>
      <c r="Z1411" t="s">
        <v>63</v>
      </c>
      <c r="AA1411" t="s">
        <v>12464</v>
      </c>
      <c r="AB1411">
        <v>10587676</v>
      </c>
      <c r="AC1411" t="s">
        <v>67</v>
      </c>
      <c r="AD1411" t="s">
        <v>63</v>
      </c>
      <c r="AE1411" t="s">
        <v>63</v>
      </c>
      <c r="AF1411" t="s">
        <v>63</v>
      </c>
      <c r="AG1411" t="s">
        <v>12465</v>
      </c>
      <c r="AH1411" t="s">
        <v>63</v>
      </c>
      <c r="AI1411" t="s">
        <v>63</v>
      </c>
      <c r="AJ1411" t="s">
        <v>63</v>
      </c>
      <c r="AK1411" t="s">
        <v>63</v>
      </c>
      <c r="AL1411" t="s">
        <v>63</v>
      </c>
      <c r="AM1411" t="s">
        <v>12466</v>
      </c>
      <c r="AN1411" t="s">
        <v>63</v>
      </c>
      <c r="AO1411" t="s">
        <v>63</v>
      </c>
      <c r="AP1411" t="s">
        <v>63</v>
      </c>
      <c r="AQ1411" t="s">
        <v>63</v>
      </c>
      <c r="AR1411" t="s">
        <v>63</v>
      </c>
      <c r="AS1411" t="s">
        <v>63</v>
      </c>
      <c r="AT1411" t="s">
        <v>63</v>
      </c>
      <c r="AU1411" t="s">
        <v>63</v>
      </c>
      <c r="AV1411" t="s">
        <v>63</v>
      </c>
      <c r="AW1411" t="s">
        <v>63</v>
      </c>
      <c r="AX1411" t="s">
        <v>63</v>
      </c>
      <c r="AY1411" t="s">
        <v>63</v>
      </c>
      <c r="AZ1411" t="s">
        <v>63</v>
      </c>
      <c r="BA1411" t="s">
        <v>63</v>
      </c>
      <c r="BB1411" t="s">
        <v>63</v>
      </c>
      <c r="BC1411" t="s">
        <v>63</v>
      </c>
      <c r="BD1411" t="s">
        <v>63</v>
      </c>
      <c r="BE1411" t="s">
        <v>63</v>
      </c>
      <c r="BF1411" t="s">
        <v>63</v>
      </c>
    </row>
    <row r="1412" spans="1:58">
      <c r="A1412" t="s">
        <v>58</v>
      </c>
      <c r="B1412" t="s">
        <v>12467</v>
      </c>
      <c r="C1412" t="s">
        <v>12468</v>
      </c>
      <c r="D1412" t="s">
        <v>389</v>
      </c>
      <c r="E1412" t="s">
        <v>63</v>
      </c>
      <c r="F1412">
        <v>2012</v>
      </c>
      <c r="G1412" t="s">
        <v>63</v>
      </c>
      <c r="H1412">
        <v>33</v>
      </c>
      <c r="I1412">
        <v>4</v>
      </c>
      <c r="J1412">
        <v>392</v>
      </c>
      <c r="K1412">
        <v>394</v>
      </c>
      <c r="L1412" t="s">
        <v>12469</v>
      </c>
      <c r="M1412" t="s">
        <v>63</v>
      </c>
      <c r="N1412" t="s">
        <v>12470</v>
      </c>
      <c r="O1412" t="s">
        <v>63</v>
      </c>
      <c r="Q1412" t="s">
        <v>63</v>
      </c>
      <c r="R1412" t="s">
        <v>63</v>
      </c>
      <c r="S1412" t="s">
        <v>63</v>
      </c>
      <c r="T1412" t="s">
        <v>63</v>
      </c>
      <c r="X1412" t="s">
        <v>63</v>
      </c>
      <c r="Y1412" t="s">
        <v>556</v>
      </c>
      <c r="Z1412" t="s">
        <v>63</v>
      </c>
      <c r="AA1412" t="s">
        <v>63</v>
      </c>
      <c r="AB1412">
        <v>22989284</v>
      </c>
      <c r="AC1412" t="s">
        <v>67</v>
      </c>
      <c r="AD1412" t="s">
        <v>63</v>
      </c>
      <c r="AE1412" t="s">
        <v>63</v>
      </c>
      <c r="AF1412" t="s">
        <v>63</v>
      </c>
      <c r="AG1412" t="s">
        <v>12471</v>
      </c>
      <c r="AH1412" t="s">
        <v>63</v>
      </c>
      <c r="AI1412" t="s">
        <v>63</v>
      </c>
      <c r="AJ1412" t="s">
        <v>63</v>
      </c>
      <c r="AK1412" t="s">
        <v>63</v>
      </c>
      <c r="AL1412" t="s">
        <v>63</v>
      </c>
      <c r="AM1412" t="s">
        <v>12472</v>
      </c>
      <c r="AN1412" t="s">
        <v>63</v>
      </c>
      <c r="AO1412" t="s">
        <v>63</v>
      </c>
      <c r="AP1412" t="s">
        <v>63</v>
      </c>
      <c r="AQ1412" t="s">
        <v>63</v>
      </c>
      <c r="AR1412" t="s">
        <v>63</v>
      </c>
      <c r="AS1412" t="s">
        <v>63</v>
      </c>
      <c r="AT1412" t="s">
        <v>63</v>
      </c>
      <c r="AU1412" t="s">
        <v>63</v>
      </c>
      <c r="AV1412" t="s">
        <v>63</v>
      </c>
      <c r="AW1412" t="s">
        <v>63</v>
      </c>
      <c r="AX1412" t="s">
        <v>63</v>
      </c>
      <c r="AY1412" t="s">
        <v>63</v>
      </c>
      <c r="AZ1412" t="s">
        <v>63</v>
      </c>
      <c r="BA1412" t="s">
        <v>63</v>
      </c>
      <c r="BB1412" t="s">
        <v>63</v>
      </c>
      <c r="BC1412" t="s">
        <v>63</v>
      </c>
      <c r="BD1412" t="s">
        <v>63</v>
      </c>
      <c r="BE1412" t="s">
        <v>63</v>
      </c>
      <c r="BF1412" t="s">
        <v>63</v>
      </c>
    </row>
    <row r="1413" spans="1:58">
      <c r="A1413" t="s">
        <v>58</v>
      </c>
      <c r="B1413" t="s">
        <v>12473</v>
      </c>
      <c r="C1413" t="s">
        <v>12474</v>
      </c>
      <c r="D1413" t="s">
        <v>12475</v>
      </c>
      <c r="E1413" t="s">
        <v>63</v>
      </c>
      <c r="F1413">
        <v>2007</v>
      </c>
      <c r="G1413" t="s">
        <v>1737</v>
      </c>
      <c r="H1413">
        <v>46</v>
      </c>
      <c r="I1413">
        <v>167</v>
      </c>
      <c r="J1413">
        <v>126</v>
      </c>
      <c r="K1413">
        <v>129</v>
      </c>
      <c r="L1413" t="s">
        <v>12476</v>
      </c>
      <c r="M1413" t="s">
        <v>12477</v>
      </c>
      <c r="N1413" t="s">
        <v>12478</v>
      </c>
      <c r="O1413" t="s">
        <v>63</v>
      </c>
      <c r="Q1413" t="s">
        <v>63</v>
      </c>
      <c r="R1413" t="s">
        <v>63</v>
      </c>
      <c r="S1413" t="s">
        <v>63</v>
      </c>
      <c r="T1413" t="s">
        <v>63</v>
      </c>
      <c r="X1413" t="s">
        <v>63</v>
      </c>
      <c r="Y1413" t="s">
        <v>12479</v>
      </c>
      <c r="Z1413" t="s">
        <v>63</v>
      </c>
      <c r="AA1413" t="s">
        <v>12480</v>
      </c>
      <c r="AB1413">
        <v>18274568</v>
      </c>
      <c r="AC1413" t="s">
        <v>67</v>
      </c>
      <c r="AD1413" t="s">
        <v>63</v>
      </c>
      <c r="AE1413" t="s">
        <v>63</v>
      </c>
      <c r="AF1413" t="s">
        <v>63</v>
      </c>
      <c r="AG1413" t="s">
        <v>12481</v>
      </c>
      <c r="AH1413" t="s">
        <v>63</v>
      </c>
      <c r="AI1413" t="s">
        <v>63</v>
      </c>
      <c r="AJ1413" t="s">
        <v>63</v>
      </c>
      <c r="AK1413" t="s">
        <v>63</v>
      </c>
      <c r="AL1413" t="s">
        <v>63</v>
      </c>
      <c r="AM1413" t="s">
        <v>12482</v>
      </c>
      <c r="AN1413" t="s">
        <v>63</v>
      </c>
      <c r="AO1413" t="s">
        <v>63</v>
      </c>
      <c r="AP1413" t="s">
        <v>63</v>
      </c>
      <c r="AQ1413" t="s">
        <v>63</v>
      </c>
      <c r="AR1413" t="s">
        <v>63</v>
      </c>
      <c r="AS1413" t="s">
        <v>63</v>
      </c>
      <c r="AT1413" t="s">
        <v>63</v>
      </c>
      <c r="AU1413" t="s">
        <v>63</v>
      </c>
      <c r="AV1413" t="s">
        <v>63</v>
      </c>
      <c r="AW1413" t="s">
        <v>63</v>
      </c>
      <c r="AX1413" t="s">
        <v>63</v>
      </c>
      <c r="AY1413" t="s">
        <v>63</v>
      </c>
      <c r="AZ1413" t="s">
        <v>63</v>
      </c>
      <c r="BA1413" t="s">
        <v>63</v>
      </c>
      <c r="BB1413" t="s">
        <v>63</v>
      </c>
      <c r="BC1413" t="s">
        <v>63</v>
      </c>
      <c r="BD1413" t="s">
        <v>63</v>
      </c>
      <c r="BE1413" t="s">
        <v>63</v>
      </c>
      <c r="BF1413" t="s">
        <v>63</v>
      </c>
    </row>
    <row r="1414" spans="1:58">
      <c r="A1414" t="s">
        <v>58</v>
      </c>
      <c r="B1414" t="s">
        <v>12483</v>
      </c>
      <c r="C1414" t="s">
        <v>12484</v>
      </c>
      <c r="D1414" t="s">
        <v>5261</v>
      </c>
      <c r="E1414" t="s">
        <v>63</v>
      </c>
      <c r="F1414">
        <v>1999</v>
      </c>
      <c r="G1414" t="s">
        <v>63</v>
      </c>
      <c r="H1414">
        <v>99</v>
      </c>
      <c r="I1414">
        <v>5</v>
      </c>
      <c r="J1414">
        <v>41</v>
      </c>
      <c r="K1414">
        <v>43</v>
      </c>
      <c r="L1414" t="s">
        <v>12485</v>
      </c>
      <c r="M1414" t="s">
        <v>12486</v>
      </c>
      <c r="N1414" t="s">
        <v>12487</v>
      </c>
      <c r="O1414" t="s">
        <v>63</v>
      </c>
      <c r="Q1414" t="s">
        <v>63</v>
      </c>
      <c r="R1414" t="s">
        <v>63</v>
      </c>
      <c r="S1414" t="s">
        <v>63</v>
      </c>
      <c r="T1414" t="s">
        <v>63</v>
      </c>
      <c r="X1414" t="s">
        <v>63</v>
      </c>
      <c r="Y1414" t="s">
        <v>5265</v>
      </c>
      <c r="Z1414" t="s">
        <v>63</v>
      </c>
      <c r="AA1414" t="s">
        <v>63</v>
      </c>
      <c r="AB1414">
        <v>10358917</v>
      </c>
      <c r="AC1414" t="s">
        <v>5266</v>
      </c>
      <c r="AD1414" t="s">
        <v>63</v>
      </c>
      <c r="AE1414" t="s">
        <v>63</v>
      </c>
      <c r="AF1414" t="s">
        <v>63</v>
      </c>
      <c r="AG1414" t="s">
        <v>12488</v>
      </c>
      <c r="AH1414" t="s">
        <v>63</v>
      </c>
      <c r="AI1414" t="s">
        <v>63</v>
      </c>
      <c r="AJ1414" t="s">
        <v>63</v>
      </c>
      <c r="AK1414" t="s">
        <v>63</v>
      </c>
      <c r="AL1414" t="s">
        <v>63</v>
      </c>
      <c r="AM1414" t="s">
        <v>12489</v>
      </c>
      <c r="AN1414" t="s">
        <v>63</v>
      </c>
      <c r="AO1414" t="s">
        <v>63</v>
      </c>
      <c r="AP1414" t="s">
        <v>63</v>
      </c>
      <c r="AQ1414" t="s">
        <v>63</v>
      </c>
      <c r="AR1414" t="s">
        <v>63</v>
      </c>
      <c r="AS1414" t="s">
        <v>63</v>
      </c>
      <c r="AT1414" t="s">
        <v>63</v>
      </c>
      <c r="AU1414" t="s">
        <v>63</v>
      </c>
      <c r="AV1414" t="s">
        <v>63</v>
      </c>
      <c r="AW1414" t="s">
        <v>63</v>
      </c>
      <c r="AX1414" t="s">
        <v>63</v>
      </c>
      <c r="AY1414" t="s">
        <v>63</v>
      </c>
      <c r="AZ1414" t="s">
        <v>63</v>
      </c>
      <c r="BA1414" t="s">
        <v>63</v>
      </c>
      <c r="BB1414" t="s">
        <v>63</v>
      </c>
      <c r="BC1414" t="s">
        <v>63</v>
      </c>
      <c r="BD1414" t="s">
        <v>63</v>
      </c>
      <c r="BE1414" t="s">
        <v>63</v>
      </c>
      <c r="BF1414" t="s">
        <v>63</v>
      </c>
    </row>
    <row r="1415" spans="1:58">
      <c r="A1415" t="s">
        <v>58</v>
      </c>
      <c r="B1415" t="s">
        <v>12490</v>
      </c>
      <c r="C1415" t="s">
        <v>12491</v>
      </c>
      <c r="D1415" t="s">
        <v>1184</v>
      </c>
      <c r="E1415" t="s">
        <v>1185</v>
      </c>
      <c r="F1415">
        <v>1983</v>
      </c>
      <c r="G1415" t="s">
        <v>84</v>
      </c>
      <c r="H1415">
        <v>58</v>
      </c>
      <c r="I1415">
        <v>4</v>
      </c>
      <c r="J1415">
        <v>322</v>
      </c>
      <c r="K1415">
        <v>327</v>
      </c>
      <c r="L1415" t="s">
        <v>12492</v>
      </c>
      <c r="M1415" t="s">
        <v>12493</v>
      </c>
      <c r="N1415" t="s">
        <v>12494</v>
      </c>
      <c r="O1415" t="s">
        <v>63</v>
      </c>
      <c r="Q1415" t="s">
        <v>63</v>
      </c>
      <c r="R1415" t="s">
        <v>63</v>
      </c>
      <c r="S1415" t="s">
        <v>63</v>
      </c>
      <c r="T1415" t="s">
        <v>63</v>
      </c>
      <c r="X1415" t="s">
        <v>63</v>
      </c>
      <c r="Y1415" t="s">
        <v>1188</v>
      </c>
      <c r="Z1415" t="s">
        <v>63</v>
      </c>
      <c r="AA1415" t="s">
        <v>63</v>
      </c>
      <c r="AB1415">
        <v>6834410</v>
      </c>
      <c r="AC1415" t="s">
        <v>67</v>
      </c>
      <c r="AD1415" t="s">
        <v>63</v>
      </c>
      <c r="AE1415" t="s">
        <v>63</v>
      </c>
      <c r="AF1415" t="s">
        <v>63</v>
      </c>
      <c r="AG1415" t="s">
        <v>12495</v>
      </c>
      <c r="AH1415" t="s">
        <v>63</v>
      </c>
      <c r="AI1415" t="s">
        <v>63</v>
      </c>
      <c r="AJ1415" t="s">
        <v>63</v>
      </c>
      <c r="AK1415" t="s">
        <v>63</v>
      </c>
      <c r="AL1415" t="s">
        <v>63</v>
      </c>
      <c r="AM1415" t="s">
        <v>12496</v>
      </c>
      <c r="AN1415" t="s">
        <v>63</v>
      </c>
      <c r="AO1415" t="s">
        <v>63</v>
      </c>
      <c r="AP1415" t="s">
        <v>63</v>
      </c>
      <c r="AQ1415" t="s">
        <v>63</v>
      </c>
      <c r="AR1415" t="s">
        <v>63</v>
      </c>
      <c r="AS1415" t="s">
        <v>63</v>
      </c>
      <c r="AT1415" t="s">
        <v>63</v>
      </c>
      <c r="AU1415" t="s">
        <v>63</v>
      </c>
      <c r="AV1415" t="s">
        <v>63</v>
      </c>
      <c r="AW1415" t="s">
        <v>63</v>
      </c>
      <c r="AX1415" t="s">
        <v>63</v>
      </c>
      <c r="AY1415" t="s">
        <v>63</v>
      </c>
      <c r="AZ1415" t="s">
        <v>63</v>
      </c>
      <c r="BA1415" t="s">
        <v>63</v>
      </c>
      <c r="BB1415" t="s">
        <v>63</v>
      </c>
      <c r="BC1415" t="s">
        <v>63</v>
      </c>
      <c r="BD1415" t="s">
        <v>63</v>
      </c>
      <c r="BE1415" t="s">
        <v>63</v>
      </c>
      <c r="BF1415" t="s">
        <v>63</v>
      </c>
    </row>
    <row r="1416" spans="1:58">
      <c r="A1416" t="s">
        <v>58</v>
      </c>
      <c r="B1416" t="s">
        <v>12497</v>
      </c>
      <c r="C1416" t="s">
        <v>12498</v>
      </c>
      <c r="D1416" t="s">
        <v>3890</v>
      </c>
      <c r="E1416" t="s">
        <v>3891</v>
      </c>
      <c r="F1416">
        <v>1985</v>
      </c>
      <c r="G1416" t="s">
        <v>189</v>
      </c>
      <c r="H1416">
        <v>20</v>
      </c>
      <c r="I1416">
        <v>5</v>
      </c>
      <c r="J1416">
        <v>661</v>
      </c>
      <c r="K1416">
        <v>673</v>
      </c>
      <c r="L1416" t="s">
        <v>12499</v>
      </c>
      <c r="M1416" t="s">
        <v>12500</v>
      </c>
      <c r="N1416" t="s">
        <v>12501</v>
      </c>
      <c r="O1416" t="s">
        <v>63</v>
      </c>
      <c r="Q1416" t="s">
        <v>63</v>
      </c>
      <c r="R1416" t="s">
        <v>63</v>
      </c>
      <c r="S1416" t="s">
        <v>63</v>
      </c>
      <c r="T1416" t="s">
        <v>63</v>
      </c>
      <c r="X1416" t="s">
        <v>63</v>
      </c>
      <c r="Y1416" t="s">
        <v>3894</v>
      </c>
      <c r="Z1416" t="s">
        <v>63</v>
      </c>
      <c r="AA1416" t="s">
        <v>63</v>
      </c>
      <c r="AB1416">
        <v>4044079</v>
      </c>
      <c r="AC1416" t="s">
        <v>67</v>
      </c>
      <c r="AD1416" t="s">
        <v>63</v>
      </c>
      <c r="AE1416" t="s">
        <v>63</v>
      </c>
      <c r="AF1416" t="s">
        <v>63</v>
      </c>
      <c r="AG1416" t="s">
        <v>12502</v>
      </c>
      <c r="AH1416" t="s">
        <v>63</v>
      </c>
      <c r="AI1416" t="s">
        <v>63</v>
      </c>
      <c r="AJ1416" t="s">
        <v>63</v>
      </c>
      <c r="AK1416" t="s">
        <v>63</v>
      </c>
      <c r="AL1416" t="s">
        <v>63</v>
      </c>
      <c r="AM1416" t="s">
        <v>12503</v>
      </c>
      <c r="AN1416" t="s">
        <v>63</v>
      </c>
      <c r="AO1416" t="s">
        <v>63</v>
      </c>
      <c r="AP1416" t="s">
        <v>63</v>
      </c>
      <c r="AQ1416" t="s">
        <v>63</v>
      </c>
      <c r="AR1416" t="s">
        <v>63</v>
      </c>
      <c r="AS1416" t="s">
        <v>63</v>
      </c>
      <c r="AT1416" t="s">
        <v>63</v>
      </c>
      <c r="AU1416" t="s">
        <v>63</v>
      </c>
      <c r="AV1416" t="s">
        <v>63</v>
      </c>
      <c r="AW1416" t="s">
        <v>63</v>
      </c>
      <c r="AX1416" t="s">
        <v>63</v>
      </c>
      <c r="AY1416" t="s">
        <v>63</v>
      </c>
      <c r="AZ1416" t="s">
        <v>63</v>
      </c>
      <c r="BA1416" t="s">
        <v>63</v>
      </c>
      <c r="BB1416" t="s">
        <v>63</v>
      </c>
      <c r="BC1416" t="s">
        <v>63</v>
      </c>
      <c r="BD1416" t="s">
        <v>63</v>
      </c>
      <c r="BE1416" t="s">
        <v>63</v>
      </c>
      <c r="BF1416" t="s">
        <v>63</v>
      </c>
    </row>
    <row r="1417" spans="1:58">
      <c r="A1417" t="s">
        <v>58</v>
      </c>
      <c r="B1417" t="s">
        <v>12504</v>
      </c>
      <c r="C1417" t="s">
        <v>12505</v>
      </c>
      <c r="D1417" t="s">
        <v>928</v>
      </c>
      <c r="E1417" t="s">
        <v>63</v>
      </c>
      <c r="F1417">
        <v>2000</v>
      </c>
      <c r="G1417" t="s">
        <v>63</v>
      </c>
      <c r="H1417">
        <v>12</v>
      </c>
      <c r="I1417">
        <v>2</v>
      </c>
      <c r="J1417">
        <v>72</v>
      </c>
      <c r="K1417">
        <v>77</v>
      </c>
      <c r="L1417" t="s">
        <v>12506</v>
      </c>
      <c r="M1417" t="s">
        <v>12507</v>
      </c>
      <c r="N1417" t="s">
        <v>12508</v>
      </c>
      <c r="O1417" t="s">
        <v>63</v>
      </c>
      <c r="Q1417" t="s">
        <v>63</v>
      </c>
      <c r="R1417" t="s">
        <v>63</v>
      </c>
      <c r="S1417" t="s">
        <v>63</v>
      </c>
      <c r="T1417" t="s">
        <v>63</v>
      </c>
      <c r="X1417" t="s">
        <v>63</v>
      </c>
      <c r="Y1417" t="s">
        <v>932</v>
      </c>
      <c r="Z1417" t="s">
        <v>63</v>
      </c>
      <c r="AA1417" t="s">
        <v>12509</v>
      </c>
      <c r="AB1417">
        <v>11228680</v>
      </c>
      <c r="AC1417" t="s">
        <v>67</v>
      </c>
      <c r="AD1417" t="s">
        <v>63</v>
      </c>
      <c r="AE1417" t="s">
        <v>63</v>
      </c>
      <c r="AF1417" t="s">
        <v>63</v>
      </c>
      <c r="AG1417" t="s">
        <v>12510</v>
      </c>
      <c r="AH1417" t="s">
        <v>63</v>
      </c>
      <c r="AI1417" t="s">
        <v>63</v>
      </c>
      <c r="AJ1417" t="s">
        <v>63</v>
      </c>
      <c r="AK1417" t="s">
        <v>63</v>
      </c>
      <c r="AL1417" t="s">
        <v>63</v>
      </c>
      <c r="AM1417" t="s">
        <v>12511</v>
      </c>
      <c r="AN1417" t="s">
        <v>63</v>
      </c>
      <c r="AO1417" t="s">
        <v>63</v>
      </c>
      <c r="AP1417" t="s">
        <v>63</v>
      </c>
      <c r="AQ1417" t="s">
        <v>63</v>
      </c>
      <c r="AR1417" t="s">
        <v>63</v>
      </c>
      <c r="AS1417" t="s">
        <v>63</v>
      </c>
      <c r="AT1417" t="s">
        <v>63</v>
      </c>
      <c r="AU1417" t="s">
        <v>63</v>
      </c>
      <c r="AV1417" t="s">
        <v>63</v>
      </c>
      <c r="AW1417" t="s">
        <v>63</v>
      </c>
      <c r="AX1417" t="s">
        <v>63</v>
      </c>
      <c r="AY1417" t="s">
        <v>63</v>
      </c>
      <c r="AZ1417" t="s">
        <v>63</v>
      </c>
      <c r="BA1417" t="s">
        <v>63</v>
      </c>
      <c r="BB1417" t="s">
        <v>63</v>
      </c>
      <c r="BC1417" t="s">
        <v>63</v>
      </c>
      <c r="BD1417" t="s">
        <v>63</v>
      </c>
      <c r="BE1417" t="s">
        <v>63</v>
      </c>
      <c r="BF1417" t="s">
        <v>63</v>
      </c>
    </row>
    <row r="1418" spans="1:58">
      <c r="A1418" t="s">
        <v>58</v>
      </c>
      <c r="B1418" t="s">
        <v>12512</v>
      </c>
      <c r="C1418" t="s">
        <v>12513</v>
      </c>
      <c r="D1418" t="s">
        <v>1184</v>
      </c>
      <c r="E1418" t="s">
        <v>1185</v>
      </c>
      <c r="F1418">
        <v>1986</v>
      </c>
      <c r="G1418" t="s">
        <v>198</v>
      </c>
      <c r="H1418">
        <v>61</v>
      </c>
      <c r="I1418">
        <v>1</v>
      </c>
      <c r="J1418">
        <v>67</v>
      </c>
      <c r="K1418">
        <v>69</v>
      </c>
      <c r="L1418" t="s">
        <v>12514</v>
      </c>
      <c r="M1418" t="s">
        <v>63</v>
      </c>
      <c r="N1418" t="s">
        <v>12515</v>
      </c>
      <c r="O1418" t="s">
        <v>63</v>
      </c>
      <c r="Q1418" t="s">
        <v>63</v>
      </c>
      <c r="R1418" t="s">
        <v>63</v>
      </c>
      <c r="S1418" t="s">
        <v>63</v>
      </c>
      <c r="T1418" t="s">
        <v>63</v>
      </c>
      <c r="X1418" t="s">
        <v>63</v>
      </c>
      <c r="Y1418" t="s">
        <v>1188</v>
      </c>
      <c r="Z1418" t="s">
        <v>63</v>
      </c>
      <c r="AA1418" t="s">
        <v>63</v>
      </c>
      <c r="AB1418">
        <v>3941426</v>
      </c>
      <c r="AC1418" t="s">
        <v>67</v>
      </c>
      <c r="AD1418" t="s">
        <v>63</v>
      </c>
      <c r="AE1418" t="s">
        <v>63</v>
      </c>
      <c r="AF1418" t="s">
        <v>63</v>
      </c>
      <c r="AG1418" t="s">
        <v>12516</v>
      </c>
      <c r="AH1418" t="s">
        <v>63</v>
      </c>
      <c r="AI1418" t="s">
        <v>63</v>
      </c>
      <c r="AJ1418" t="s">
        <v>63</v>
      </c>
      <c r="AK1418" t="s">
        <v>63</v>
      </c>
      <c r="AL1418" t="s">
        <v>63</v>
      </c>
      <c r="AM1418" t="s">
        <v>12517</v>
      </c>
      <c r="AN1418" t="s">
        <v>63</v>
      </c>
      <c r="AO1418" t="s">
        <v>63</v>
      </c>
      <c r="AP1418" t="s">
        <v>63</v>
      </c>
      <c r="AQ1418" t="s">
        <v>63</v>
      </c>
      <c r="AR1418" t="s">
        <v>63</v>
      </c>
      <c r="AS1418" t="s">
        <v>63</v>
      </c>
      <c r="AT1418" t="s">
        <v>63</v>
      </c>
      <c r="AU1418" t="s">
        <v>63</v>
      </c>
      <c r="AV1418" t="s">
        <v>63</v>
      </c>
      <c r="AW1418" t="s">
        <v>63</v>
      </c>
      <c r="AX1418" t="s">
        <v>63</v>
      </c>
      <c r="AY1418" t="s">
        <v>63</v>
      </c>
      <c r="AZ1418" t="s">
        <v>63</v>
      </c>
      <c r="BA1418" t="s">
        <v>63</v>
      </c>
      <c r="BB1418" t="s">
        <v>63</v>
      </c>
      <c r="BC1418" t="s">
        <v>63</v>
      </c>
      <c r="BD1418" t="s">
        <v>63</v>
      </c>
      <c r="BE1418" t="s">
        <v>63</v>
      </c>
      <c r="BF1418" t="s">
        <v>63</v>
      </c>
    </row>
    <row r="1419" spans="1:58">
      <c r="A1419" t="s">
        <v>58</v>
      </c>
      <c r="B1419" t="s">
        <v>12518</v>
      </c>
      <c r="C1419" t="s">
        <v>12519</v>
      </c>
      <c r="D1419" t="s">
        <v>2353</v>
      </c>
      <c r="E1419" t="s">
        <v>2354</v>
      </c>
      <c r="F1419">
        <v>1985</v>
      </c>
      <c r="G1419" t="s">
        <v>63</v>
      </c>
      <c r="H1419">
        <v>2</v>
      </c>
      <c r="I1419">
        <v>4</v>
      </c>
      <c r="J1419">
        <v>233</v>
      </c>
      <c r="K1419">
        <v>237</v>
      </c>
      <c r="L1419" t="s">
        <v>12520</v>
      </c>
      <c r="M1419" t="s">
        <v>63</v>
      </c>
      <c r="N1419" t="s">
        <v>12521</v>
      </c>
      <c r="O1419" t="s">
        <v>63</v>
      </c>
      <c r="Q1419" t="s">
        <v>63</v>
      </c>
      <c r="R1419" t="s">
        <v>63</v>
      </c>
      <c r="S1419" t="s">
        <v>63</v>
      </c>
      <c r="T1419" t="s">
        <v>63</v>
      </c>
      <c r="X1419" t="s">
        <v>63</v>
      </c>
      <c r="Y1419" t="s">
        <v>2358</v>
      </c>
      <c r="Z1419" t="s">
        <v>63</v>
      </c>
      <c r="AA1419" t="s">
        <v>63</v>
      </c>
      <c r="AB1419">
        <v>3834105</v>
      </c>
      <c r="AC1419" t="s">
        <v>67</v>
      </c>
      <c r="AD1419" t="s">
        <v>63</v>
      </c>
      <c r="AE1419" t="s">
        <v>63</v>
      </c>
      <c r="AF1419" t="s">
        <v>63</v>
      </c>
      <c r="AG1419" t="s">
        <v>12522</v>
      </c>
      <c r="AH1419" t="s">
        <v>63</v>
      </c>
      <c r="AI1419" t="s">
        <v>63</v>
      </c>
      <c r="AJ1419" t="s">
        <v>63</v>
      </c>
      <c r="AK1419" t="s">
        <v>63</v>
      </c>
      <c r="AL1419" t="s">
        <v>63</v>
      </c>
      <c r="AM1419" t="s">
        <v>12523</v>
      </c>
      <c r="AN1419" t="s">
        <v>63</v>
      </c>
      <c r="AO1419" t="s">
        <v>63</v>
      </c>
      <c r="AP1419" t="s">
        <v>63</v>
      </c>
      <c r="AQ1419" t="s">
        <v>63</v>
      </c>
      <c r="AR1419" t="s">
        <v>63</v>
      </c>
      <c r="AS1419" t="s">
        <v>63</v>
      </c>
      <c r="AT1419" t="s">
        <v>63</v>
      </c>
      <c r="AU1419" t="s">
        <v>63</v>
      </c>
      <c r="AV1419" t="s">
        <v>63</v>
      </c>
      <c r="AW1419" t="s">
        <v>63</v>
      </c>
      <c r="AX1419" t="s">
        <v>63</v>
      </c>
      <c r="AY1419" t="s">
        <v>63</v>
      </c>
      <c r="AZ1419" t="s">
        <v>63</v>
      </c>
      <c r="BA1419" t="s">
        <v>63</v>
      </c>
      <c r="BB1419" t="s">
        <v>63</v>
      </c>
      <c r="BC1419" t="s">
        <v>63</v>
      </c>
      <c r="BD1419" t="s">
        <v>63</v>
      </c>
      <c r="BE1419" t="s">
        <v>63</v>
      </c>
      <c r="BF1419" t="s">
        <v>63</v>
      </c>
    </row>
    <row r="1420" spans="1:58">
      <c r="A1420" t="s">
        <v>58</v>
      </c>
      <c r="B1420" t="s">
        <v>12524</v>
      </c>
      <c r="C1420" t="s">
        <v>12203</v>
      </c>
      <c r="D1420" t="s">
        <v>1184</v>
      </c>
      <c r="E1420" t="s">
        <v>1185</v>
      </c>
      <c r="F1420">
        <v>1988</v>
      </c>
      <c r="G1420" t="s">
        <v>274</v>
      </c>
      <c r="H1420">
        <v>63</v>
      </c>
      <c r="I1420">
        <v>3</v>
      </c>
      <c r="J1420">
        <v>204</v>
      </c>
      <c r="K1420" t="s">
        <v>63</v>
      </c>
      <c r="L1420" t="s">
        <v>12525</v>
      </c>
      <c r="M1420" t="s">
        <v>63</v>
      </c>
      <c r="N1420" t="s">
        <v>12526</v>
      </c>
      <c r="O1420" t="s">
        <v>63</v>
      </c>
      <c r="Q1420" t="s">
        <v>63</v>
      </c>
      <c r="R1420" t="s">
        <v>63</v>
      </c>
      <c r="S1420" t="s">
        <v>63</v>
      </c>
      <c r="T1420" t="s">
        <v>63</v>
      </c>
      <c r="X1420" t="s">
        <v>63</v>
      </c>
      <c r="Y1420" t="s">
        <v>1188</v>
      </c>
      <c r="Z1420" t="s">
        <v>63</v>
      </c>
      <c r="AA1420" t="s">
        <v>63</v>
      </c>
      <c r="AB1420">
        <v>3346898</v>
      </c>
      <c r="AC1420" t="s">
        <v>67</v>
      </c>
      <c r="AD1420" t="s">
        <v>63</v>
      </c>
      <c r="AE1420" t="s">
        <v>63</v>
      </c>
      <c r="AF1420" t="s">
        <v>63</v>
      </c>
      <c r="AG1420" t="s">
        <v>12527</v>
      </c>
      <c r="AH1420" t="s">
        <v>63</v>
      </c>
      <c r="AI1420" t="s">
        <v>63</v>
      </c>
      <c r="AJ1420" t="s">
        <v>63</v>
      </c>
      <c r="AK1420" t="s">
        <v>63</v>
      </c>
      <c r="AL1420" t="s">
        <v>63</v>
      </c>
      <c r="AM1420" t="s">
        <v>12207</v>
      </c>
      <c r="AN1420" t="s">
        <v>63</v>
      </c>
      <c r="AO1420" t="s">
        <v>63</v>
      </c>
      <c r="AP1420" t="s">
        <v>63</v>
      </c>
      <c r="AQ1420" t="s">
        <v>63</v>
      </c>
      <c r="AR1420" t="s">
        <v>63</v>
      </c>
      <c r="AS1420" t="s">
        <v>63</v>
      </c>
      <c r="AT1420" t="s">
        <v>63</v>
      </c>
      <c r="AU1420" t="s">
        <v>63</v>
      </c>
      <c r="AV1420" t="s">
        <v>63</v>
      </c>
      <c r="AW1420" t="s">
        <v>63</v>
      </c>
      <c r="AX1420" t="s">
        <v>63</v>
      </c>
      <c r="AY1420" t="s">
        <v>63</v>
      </c>
      <c r="AZ1420" t="s">
        <v>63</v>
      </c>
      <c r="BA1420" t="s">
        <v>63</v>
      </c>
      <c r="BB1420" t="s">
        <v>63</v>
      </c>
      <c r="BC1420" t="s">
        <v>63</v>
      </c>
      <c r="BD1420" t="s">
        <v>63</v>
      </c>
      <c r="BE1420" t="s">
        <v>63</v>
      </c>
      <c r="BF1420" t="s">
        <v>63</v>
      </c>
    </row>
    <row r="1421" spans="1:58">
      <c r="A1421" t="s">
        <v>58</v>
      </c>
      <c r="B1421" t="s">
        <v>12528</v>
      </c>
      <c r="C1421" t="s">
        <v>12529</v>
      </c>
      <c r="D1421" t="s">
        <v>12530</v>
      </c>
      <c r="E1421" t="s">
        <v>63</v>
      </c>
      <c r="F1421">
        <v>2006</v>
      </c>
      <c r="G1421" t="s">
        <v>63</v>
      </c>
      <c r="H1421">
        <v>74</v>
      </c>
      <c r="I1421">
        <v>4</v>
      </c>
      <c r="J1421">
        <v>377</v>
      </c>
      <c r="K1421">
        <v>382</v>
      </c>
      <c r="L1421" t="s">
        <v>12531</v>
      </c>
      <c r="M1421" t="s">
        <v>12532</v>
      </c>
      <c r="N1421" t="s">
        <v>12533</v>
      </c>
      <c r="O1421" t="s">
        <v>63</v>
      </c>
      <c r="Q1421" t="s">
        <v>63</v>
      </c>
      <c r="R1421" t="s">
        <v>63</v>
      </c>
      <c r="S1421" t="s">
        <v>63</v>
      </c>
      <c r="T1421" t="s">
        <v>63</v>
      </c>
      <c r="X1421" t="s">
        <v>63</v>
      </c>
      <c r="Y1421" t="s">
        <v>12534</v>
      </c>
      <c r="Z1421" t="s">
        <v>63</v>
      </c>
      <c r="AA1421" t="s">
        <v>12535</v>
      </c>
      <c r="AB1421">
        <v>17427146</v>
      </c>
      <c r="AC1421" t="s">
        <v>696</v>
      </c>
      <c r="AD1421" t="s">
        <v>63</v>
      </c>
      <c r="AE1421" t="s">
        <v>63</v>
      </c>
      <c r="AF1421" t="s">
        <v>63</v>
      </c>
      <c r="AG1421" t="s">
        <v>12536</v>
      </c>
      <c r="AH1421" t="s">
        <v>63</v>
      </c>
      <c r="AI1421" t="s">
        <v>63</v>
      </c>
      <c r="AJ1421" t="s">
        <v>63</v>
      </c>
      <c r="AK1421" t="s">
        <v>63</v>
      </c>
      <c r="AL1421" t="s">
        <v>63</v>
      </c>
      <c r="AM1421" t="s">
        <v>12537</v>
      </c>
      <c r="AN1421" t="s">
        <v>63</v>
      </c>
      <c r="AO1421" t="s">
        <v>63</v>
      </c>
      <c r="AP1421" t="s">
        <v>63</v>
      </c>
      <c r="AQ1421" t="s">
        <v>63</v>
      </c>
      <c r="AR1421" t="s">
        <v>63</v>
      </c>
      <c r="AS1421" t="s">
        <v>63</v>
      </c>
      <c r="AT1421" t="s">
        <v>63</v>
      </c>
      <c r="AU1421" t="s">
        <v>63</v>
      </c>
      <c r="AV1421" t="s">
        <v>63</v>
      </c>
      <c r="AW1421" t="s">
        <v>63</v>
      </c>
      <c r="AX1421" t="s">
        <v>63</v>
      </c>
      <c r="AY1421" t="s">
        <v>63</v>
      </c>
      <c r="AZ1421" t="s">
        <v>63</v>
      </c>
      <c r="BA1421" t="s">
        <v>63</v>
      </c>
      <c r="BB1421" t="s">
        <v>63</v>
      </c>
      <c r="BC1421" t="s">
        <v>63</v>
      </c>
      <c r="BD1421" t="s">
        <v>63</v>
      </c>
      <c r="BE1421" t="s">
        <v>63</v>
      </c>
      <c r="BF1421" t="s">
        <v>63</v>
      </c>
    </row>
    <row r="1422" spans="1:58">
      <c r="A1422" t="s">
        <v>58</v>
      </c>
      <c r="B1422" t="s">
        <v>12538</v>
      </c>
      <c r="C1422" t="s">
        <v>12539</v>
      </c>
      <c r="D1422" t="s">
        <v>640</v>
      </c>
      <c r="E1422" t="s">
        <v>63</v>
      </c>
      <c r="F1422">
        <v>2007</v>
      </c>
      <c r="G1422" t="s">
        <v>274</v>
      </c>
      <c r="H1422">
        <v>26</v>
      </c>
      <c r="I1422">
        <v>2</v>
      </c>
      <c r="J1422">
        <v>191</v>
      </c>
      <c r="K1422">
        <v>200</v>
      </c>
      <c r="L1422" t="s">
        <v>12540</v>
      </c>
      <c r="M1422" t="s">
        <v>12541</v>
      </c>
      <c r="N1422" t="s">
        <v>12542</v>
      </c>
      <c r="O1422" t="s">
        <v>63</v>
      </c>
      <c r="Q1422" t="s">
        <v>63</v>
      </c>
      <c r="R1422" t="s">
        <v>63</v>
      </c>
      <c r="S1422" t="s">
        <v>63</v>
      </c>
      <c r="T1422" t="s">
        <v>63</v>
      </c>
      <c r="X1422" t="s">
        <v>63</v>
      </c>
      <c r="Y1422" t="s">
        <v>644</v>
      </c>
      <c r="Z1422" t="s">
        <v>63</v>
      </c>
      <c r="AA1422" t="s">
        <v>12543</v>
      </c>
      <c r="AB1422">
        <v>17364855</v>
      </c>
      <c r="AC1422" t="s">
        <v>67</v>
      </c>
      <c r="AD1422" t="s">
        <v>63</v>
      </c>
      <c r="AE1422" t="s">
        <v>63</v>
      </c>
      <c r="AF1422" t="s">
        <v>63</v>
      </c>
      <c r="AG1422" t="s">
        <v>12544</v>
      </c>
      <c r="AH1422" t="s">
        <v>63</v>
      </c>
      <c r="AI1422" t="s">
        <v>63</v>
      </c>
      <c r="AJ1422" t="s">
        <v>63</v>
      </c>
      <c r="AK1422" t="s">
        <v>63</v>
      </c>
      <c r="AL1422" t="s">
        <v>63</v>
      </c>
      <c r="AM1422" t="s">
        <v>12545</v>
      </c>
      <c r="AN1422" t="s">
        <v>63</v>
      </c>
      <c r="AO1422" t="s">
        <v>63</v>
      </c>
      <c r="AP1422" t="s">
        <v>63</v>
      </c>
      <c r="AQ1422" t="s">
        <v>63</v>
      </c>
      <c r="AR1422" t="s">
        <v>63</v>
      </c>
      <c r="AS1422" t="s">
        <v>63</v>
      </c>
      <c r="AT1422" t="s">
        <v>63</v>
      </c>
      <c r="AU1422" t="s">
        <v>63</v>
      </c>
      <c r="AV1422" t="s">
        <v>63</v>
      </c>
      <c r="AW1422" t="s">
        <v>63</v>
      </c>
      <c r="AX1422" t="s">
        <v>63</v>
      </c>
      <c r="AY1422" t="s">
        <v>63</v>
      </c>
      <c r="AZ1422" t="s">
        <v>63</v>
      </c>
      <c r="BA1422" t="s">
        <v>63</v>
      </c>
      <c r="BB1422" t="s">
        <v>63</v>
      </c>
      <c r="BC1422" t="s">
        <v>63</v>
      </c>
      <c r="BD1422" t="s">
        <v>63</v>
      </c>
      <c r="BE1422" t="s">
        <v>63</v>
      </c>
      <c r="BF1422" t="s">
        <v>63</v>
      </c>
    </row>
    <row r="1423" spans="1:58">
      <c r="A1423" t="s">
        <v>58</v>
      </c>
      <c r="B1423" t="s">
        <v>12546</v>
      </c>
      <c r="C1423" t="s">
        <v>12547</v>
      </c>
      <c r="D1423" t="s">
        <v>7315</v>
      </c>
      <c r="E1423" t="s">
        <v>7316</v>
      </c>
      <c r="F1423">
        <v>1987</v>
      </c>
      <c r="G1423" t="s">
        <v>63</v>
      </c>
      <c r="H1423" t="s">
        <v>63</v>
      </c>
      <c r="I1423">
        <v>2</v>
      </c>
      <c r="J1423">
        <v>40</v>
      </c>
      <c r="K1423">
        <v>44</v>
      </c>
      <c r="L1423" t="s">
        <v>12548</v>
      </c>
      <c r="M1423" t="s">
        <v>63</v>
      </c>
      <c r="N1423" t="s">
        <v>12549</v>
      </c>
      <c r="O1423" t="s">
        <v>63</v>
      </c>
      <c r="Q1423" t="s">
        <v>63</v>
      </c>
      <c r="R1423" t="s">
        <v>63</v>
      </c>
      <c r="S1423" t="s">
        <v>63</v>
      </c>
      <c r="T1423" t="s">
        <v>63</v>
      </c>
      <c r="X1423" t="s">
        <v>63</v>
      </c>
      <c r="Y1423" t="s">
        <v>7319</v>
      </c>
      <c r="Z1423" t="s">
        <v>63</v>
      </c>
      <c r="AA1423" t="s">
        <v>63</v>
      </c>
      <c r="AB1423">
        <v>3563631</v>
      </c>
      <c r="AC1423" t="s">
        <v>5266</v>
      </c>
      <c r="AD1423" t="s">
        <v>63</v>
      </c>
      <c r="AE1423" t="s">
        <v>63</v>
      </c>
      <c r="AF1423" t="s">
        <v>63</v>
      </c>
      <c r="AG1423" t="s">
        <v>12550</v>
      </c>
      <c r="AH1423" t="s">
        <v>63</v>
      </c>
      <c r="AI1423" t="s">
        <v>63</v>
      </c>
      <c r="AJ1423" t="s">
        <v>63</v>
      </c>
      <c r="AK1423" t="s">
        <v>63</v>
      </c>
      <c r="AL1423" t="s">
        <v>63</v>
      </c>
      <c r="AM1423" t="s">
        <v>12551</v>
      </c>
      <c r="AN1423" t="s">
        <v>63</v>
      </c>
      <c r="AO1423" t="s">
        <v>63</v>
      </c>
      <c r="AP1423" t="s">
        <v>63</v>
      </c>
      <c r="AQ1423" t="s">
        <v>63</v>
      </c>
      <c r="AR1423" t="s">
        <v>63</v>
      </c>
      <c r="AS1423" t="s">
        <v>63</v>
      </c>
      <c r="AT1423" t="s">
        <v>63</v>
      </c>
      <c r="AU1423" t="s">
        <v>63</v>
      </c>
      <c r="AV1423" t="s">
        <v>63</v>
      </c>
      <c r="AW1423" t="s">
        <v>63</v>
      </c>
      <c r="AX1423" t="s">
        <v>63</v>
      </c>
      <c r="AY1423" t="s">
        <v>63</v>
      </c>
      <c r="AZ1423" t="s">
        <v>63</v>
      </c>
      <c r="BA1423" t="s">
        <v>63</v>
      </c>
      <c r="BB1423" t="s">
        <v>63</v>
      </c>
      <c r="BC1423" t="s">
        <v>63</v>
      </c>
      <c r="BD1423" t="s">
        <v>63</v>
      </c>
      <c r="BE1423" t="s">
        <v>63</v>
      </c>
      <c r="BF1423" t="s">
        <v>63</v>
      </c>
    </row>
    <row r="1424" spans="1:58">
      <c r="A1424" t="s">
        <v>58</v>
      </c>
      <c r="B1424" t="s">
        <v>12552</v>
      </c>
      <c r="C1424" t="s">
        <v>12553</v>
      </c>
      <c r="D1424" t="s">
        <v>205</v>
      </c>
      <c r="E1424" t="s">
        <v>205</v>
      </c>
      <c r="F1424">
        <v>1984</v>
      </c>
      <c r="G1424" s="1">
        <v>41923</v>
      </c>
      <c r="H1424">
        <v>252</v>
      </c>
      <c r="I1424">
        <v>14</v>
      </c>
      <c r="J1424">
        <v>1830</v>
      </c>
      <c r="K1424" t="s">
        <v>12554</v>
      </c>
      <c r="L1424" t="s">
        <v>12555</v>
      </c>
      <c r="M1424" t="s">
        <v>63</v>
      </c>
      <c r="N1424" t="s">
        <v>12556</v>
      </c>
      <c r="O1424" t="s">
        <v>63</v>
      </c>
      <c r="Q1424" t="s">
        <v>63</v>
      </c>
      <c r="R1424" t="s">
        <v>63</v>
      </c>
      <c r="S1424" t="s">
        <v>63</v>
      </c>
      <c r="T1424" t="s">
        <v>63</v>
      </c>
      <c r="X1424" t="s">
        <v>63</v>
      </c>
      <c r="Y1424" t="s">
        <v>208</v>
      </c>
      <c r="Z1424" t="s">
        <v>63</v>
      </c>
      <c r="AA1424" t="s">
        <v>63</v>
      </c>
      <c r="AB1424">
        <v>6471307</v>
      </c>
      <c r="AC1424" t="s">
        <v>67</v>
      </c>
      <c r="AD1424" t="s">
        <v>63</v>
      </c>
      <c r="AE1424" t="s">
        <v>63</v>
      </c>
      <c r="AF1424" t="s">
        <v>63</v>
      </c>
      <c r="AG1424" t="s">
        <v>12557</v>
      </c>
      <c r="AH1424" t="s">
        <v>63</v>
      </c>
      <c r="AI1424" t="s">
        <v>63</v>
      </c>
      <c r="AJ1424" t="s">
        <v>63</v>
      </c>
      <c r="AK1424" t="s">
        <v>63</v>
      </c>
      <c r="AL1424" t="s">
        <v>63</v>
      </c>
      <c r="AM1424" t="s">
        <v>12558</v>
      </c>
      <c r="AN1424" t="s">
        <v>63</v>
      </c>
      <c r="AO1424" t="s">
        <v>63</v>
      </c>
      <c r="AP1424" t="s">
        <v>63</v>
      </c>
      <c r="AQ1424" t="s">
        <v>63</v>
      </c>
      <c r="AR1424" t="s">
        <v>63</v>
      </c>
      <c r="AS1424" t="s">
        <v>63</v>
      </c>
      <c r="AT1424" t="s">
        <v>63</v>
      </c>
      <c r="AU1424" t="s">
        <v>63</v>
      </c>
      <c r="AV1424" t="s">
        <v>63</v>
      </c>
      <c r="AW1424" t="s">
        <v>63</v>
      </c>
      <c r="AX1424" t="s">
        <v>63</v>
      </c>
      <c r="AY1424" t="s">
        <v>63</v>
      </c>
      <c r="AZ1424" t="s">
        <v>63</v>
      </c>
      <c r="BA1424" t="s">
        <v>63</v>
      </c>
      <c r="BB1424" t="s">
        <v>63</v>
      </c>
      <c r="BC1424" t="s">
        <v>63</v>
      </c>
      <c r="BD1424" t="s">
        <v>63</v>
      </c>
      <c r="BE1424" t="s">
        <v>63</v>
      </c>
      <c r="BF1424" t="s">
        <v>63</v>
      </c>
    </row>
    <row r="1425" spans="1:58">
      <c r="A1425" t="s">
        <v>58</v>
      </c>
      <c r="B1425" t="s">
        <v>12559</v>
      </c>
      <c r="C1425" t="s">
        <v>12560</v>
      </c>
      <c r="D1425" t="s">
        <v>205</v>
      </c>
      <c r="E1425" t="s">
        <v>205</v>
      </c>
      <c r="F1425">
        <v>2000</v>
      </c>
      <c r="G1425" s="1">
        <v>41985</v>
      </c>
      <c r="H1425">
        <v>284</v>
      </c>
      <c r="I1425">
        <v>22</v>
      </c>
      <c r="J1425">
        <v>2874</v>
      </c>
      <c r="K1425" t="s">
        <v>63</v>
      </c>
      <c r="L1425" t="s">
        <v>12561</v>
      </c>
      <c r="M1425" t="s">
        <v>63</v>
      </c>
      <c r="N1425" t="s">
        <v>12562</v>
      </c>
      <c r="O1425" t="s">
        <v>63</v>
      </c>
      <c r="Q1425" t="s">
        <v>63</v>
      </c>
      <c r="R1425" t="s">
        <v>63</v>
      </c>
      <c r="S1425" t="s">
        <v>63</v>
      </c>
      <c r="T1425" t="s">
        <v>63</v>
      </c>
      <c r="X1425" t="s">
        <v>63</v>
      </c>
      <c r="Y1425" t="s">
        <v>208</v>
      </c>
      <c r="Z1425" t="s">
        <v>63</v>
      </c>
      <c r="AA1425" t="s">
        <v>63</v>
      </c>
      <c r="AB1425">
        <v>11147982</v>
      </c>
      <c r="AC1425" t="s">
        <v>67</v>
      </c>
      <c r="AD1425" t="s">
        <v>63</v>
      </c>
      <c r="AE1425" t="s">
        <v>63</v>
      </c>
      <c r="AF1425" t="s">
        <v>63</v>
      </c>
      <c r="AG1425" t="s">
        <v>12563</v>
      </c>
      <c r="AH1425" t="s">
        <v>63</v>
      </c>
      <c r="AI1425" t="s">
        <v>63</v>
      </c>
      <c r="AJ1425" t="s">
        <v>63</v>
      </c>
      <c r="AK1425" t="s">
        <v>63</v>
      </c>
      <c r="AL1425" t="s">
        <v>63</v>
      </c>
      <c r="AM1425" t="s">
        <v>12564</v>
      </c>
      <c r="AN1425" t="s">
        <v>63</v>
      </c>
      <c r="AO1425" t="s">
        <v>63</v>
      </c>
      <c r="AP1425" t="s">
        <v>63</v>
      </c>
      <c r="AQ1425" t="s">
        <v>63</v>
      </c>
      <c r="AR1425" t="s">
        <v>63</v>
      </c>
      <c r="AS1425" t="s">
        <v>63</v>
      </c>
      <c r="AT1425" t="s">
        <v>63</v>
      </c>
      <c r="AU1425" t="s">
        <v>63</v>
      </c>
      <c r="AV1425" t="s">
        <v>63</v>
      </c>
      <c r="AW1425" t="s">
        <v>63</v>
      </c>
      <c r="AX1425" t="s">
        <v>63</v>
      </c>
      <c r="AY1425" t="s">
        <v>63</v>
      </c>
      <c r="AZ1425" t="s">
        <v>63</v>
      </c>
      <c r="BA1425" t="s">
        <v>63</v>
      </c>
      <c r="BB1425" t="s">
        <v>63</v>
      </c>
      <c r="BC1425" t="s">
        <v>63</v>
      </c>
      <c r="BD1425" t="s">
        <v>63</v>
      </c>
      <c r="BE1425" t="s">
        <v>63</v>
      </c>
      <c r="BF1425" t="s">
        <v>63</v>
      </c>
    </row>
    <row r="1426" spans="1:58">
      <c r="A1426" t="s">
        <v>58</v>
      </c>
      <c r="B1426" t="s">
        <v>12565</v>
      </c>
      <c r="C1426" t="s">
        <v>12566</v>
      </c>
      <c r="D1426" t="s">
        <v>12567</v>
      </c>
      <c r="E1426" t="s">
        <v>12568</v>
      </c>
      <c r="F1426">
        <v>2012</v>
      </c>
      <c r="G1426" t="s">
        <v>982</v>
      </c>
      <c r="H1426">
        <v>49</v>
      </c>
      <c r="I1426">
        <v>4</v>
      </c>
      <c r="J1426">
        <v>379</v>
      </c>
      <c r="K1426">
        <v>386</v>
      </c>
      <c r="L1426" t="s">
        <v>12569</v>
      </c>
      <c r="M1426" t="s">
        <v>12570</v>
      </c>
      <c r="N1426" t="s">
        <v>12571</v>
      </c>
      <c r="O1426" t="s">
        <v>63</v>
      </c>
      <c r="Q1426" t="s">
        <v>63</v>
      </c>
      <c r="R1426" t="s">
        <v>63</v>
      </c>
      <c r="S1426" t="s">
        <v>63</v>
      </c>
      <c r="T1426" t="s">
        <v>63</v>
      </c>
      <c r="X1426" t="s">
        <v>63</v>
      </c>
      <c r="Y1426" t="s">
        <v>12572</v>
      </c>
      <c r="Z1426" t="s">
        <v>63</v>
      </c>
      <c r="AA1426" t="s">
        <v>12573</v>
      </c>
      <c r="AB1426">
        <v>23442402</v>
      </c>
      <c r="AC1426" t="s">
        <v>67</v>
      </c>
      <c r="AD1426" t="s">
        <v>63</v>
      </c>
      <c r="AE1426" t="s">
        <v>63</v>
      </c>
      <c r="AF1426" t="s">
        <v>63</v>
      </c>
      <c r="AG1426" t="s">
        <v>12574</v>
      </c>
      <c r="AH1426" t="s">
        <v>63</v>
      </c>
      <c r="AI1426" t="s">
        <v>12575</v>
      </c>
      <c r="AJ1426" t="s">
        <v>63</v>
      </c>
      <c r="AK1426" t="s">
        <v>63</v>
      </c>
      <c r="AL1426" t="s">
        <v>63</v>
      </c>
      <c r="AM1426" t="s">
        <v>12576</v>
      </c>
      <c r="AN1426" t="s">
        <v>63</v>
      </c>
      <c r="AO1426" t="s">
        <v>63</v>
      </c>
      <c r="AP1426" t="s">
        <v>63</v>
      </c>
      <c r="AQ1426" t="s">
        <v>63</v>
      </c>
      <c r="AR1426" t="s">
        <v>63</v>
      </c>
      <c r="AS1426" t="s">
        <v>63</v>
      </c>
      <c r="AT1426" t="s">
        <v>63</v>
      </c>
      <c r="AU1426" t="s">
        <v>63</v>
      </c>
      <c r="AV1426" t="s">
        <v>63</v>
      </c>
      <c r="AW1426" t="s">
        <v>63</v>
      </c>
      <c r="AX1426" t="s">
        <v>63</v>
      </c>
      <c r="AY1426" t="s">
        <v>63</v>
      </c>
      <c r="AZ1426" t="s">
        <v>63</v>
      </c>
      <c r="BA1426" t="s">
        <v>63</v>
      </c>
      <c r="BB1426" t="s">
        <v>63</v>
      </c>
      <c r="BC1426" t="s">
        <v>63</v>
      </c>
      <c r="BD1426" t="s">
        <v>63</v>
      </c>
      <c r="BE1426" t="s">
        <v>63</v>
      </c>
      <c r="BF1426" t="s">
        <v>63</v>
      </c>
    </row>
    <row r="1427" spans="1:58">
      <c r="A1427" t="s">
        <v>58</v>
      </c>
      <c r="B1427" t="s">
        <v>12577</v>
      </c>
      <c r="C1427" t="s">
        <v>12578</v>
      </c>
      <c r="D1427" t="s">
        <v>12579</v>
      </c>
      <c r="E1427" t="s">
        <v>12580</v>
      </c>
      <c r="F1427">
        <v>1998</v>
      </c>
      <c r="G1427" t="s">
        <v>63</v>
      </c>
      <c r="H1427">
        <v>49</v>
      </c>
      <c r="I1427">
        <v>2</v>
      </c>
      <c r="J1427">
        <v>137</v>
      </c>
      <c r="K1427">
        <v>145</v>
      </c>
      <c r="L1427" t="s">
        <v>12581</v>
      </c>
      <c r="M1427" t="s">
        <v>12582</v>
      </c>
      <c r="N1427" t="s">
        <v>12583</v>
      </c>
      <c r="O1427" t="s">
        <v>63</v>
      </c>
      <c r="Q1427" t="s">
        <v>63</v>
      </c>
      <c r="R1427" t="s">
        <v>63</v>
      </c>
      <c r="S1427" t="s">
        <v>63</v>
      </c>
      <c r="T1427" t="s">
        <v>63</v>
      </c>
      <c r="X1427" t="s">
        <v>63</v>
      </c>
      <c r="Y1427" t="s">
        <v>12584</v>
      </c>
      <c r="Z1427" t="s">
        <v>63</v>
      </c>
      <c r="AA1427" t="s">
        <v>12585</v>
      </c>
      <c r="AB1427">
        <v>9695061</v>
      </c>
      <c r="AC1427" t="s">
        <v>696</v>
      </c>
      <c r="AD1427" t="s">
        <v>63</v>
      </c>
      <c r="AE1427" t="s">
        <v>63</v>
      </c>
      <c r="AF1427" t="s">
        <v>63</v>
      </c>
      <c r="AG1427" t="s">
        <v>12586</v>
      </c>
      <c r="AH1427" t="s">
        <v>63</v>
      </c>
      <c r="AI1427" t="s">
        <v>63</v>
      </c>
      <c r="AJ1427" t="s">
        <v>63</v>
      </c>
      <c r="AK1427" t="s">
        <v>63</v>
      </c>
      <c r="AL1427" t="s">
        <v>63</v>
      </c>
      <c r="AM1427" t="s">
        <v>12587</v>
      </c>
      <c r="AN1427" t="s">
        <v>63</v>
      </c>
      <c r="AO1427" t="s">
        <v>63</v>
      </c>
      <c r="AP1427" t="s">
        <v>63</v>
      </c>
      <c r="AQ1427" t="s">
        <v>63</v>
      </c>
      <c r="AR1427" t="s">
        <v>63</v>
      </c>
      <c r="AS1427" t="s">
        <v>63</v>
      </c>
      <c r="AT1427" t="s">
        <v>63</v>
      </c>
      <c r="AU1427" t="s">
        <v>63</v>
      </c>
      <c r="AV1427" t="s">
        <v>63</v>
      </c>
      <c r="AW1427" t="s">
        <v>63</v>
      </c>
      <c r="AX1427" t="s">
        <v>63</v>
      </c>
      <c r="AY1427" t="s">
        <v>63</v>
      </c>
      <c r="AZ1427" t="s">
        <v>63</v>
      </c>
      <c r="BA1427" t="s">
        <v>63</v>
      </c>
      <c r="BB1427" t="s">
        <v>63</v>
      </c>
      <c r="BC1427" t="s">
        <v>63</v>
      </c>
      <c r="BD1427" t="s">
        <v>63</v>
      </c>
      <c r="BE1427" t="s">
        <v>63</v>
      </c>
      <c r="BF1427" t="s">
        <v>63</v>
      </c>
    </row>
    <row r="1428" spans="1:58">
      <c r="A1428" t="s">
        <v>58</v>
      </c>
      <c r="B1428" t="s">
        <v>12588</v>
      </c>
      <c r="C1428" t="s">
        <v>12589</v>
      </c>
      <c r="D1428" t="s">
        <v>12590</v>
      </c>
      <c r="E1428" t="s">
        <v>63</v>
      </c>
      <c r="F1428">
        <v>2008</v>
      </c>
      <c r="G1428" t="s">
        <v>63</v>
      </c>
      <c r="H1428">
        <v>59</v>
      </c>
      <c r="I1428">
        <v>4</v>
      </c>
      <c r="J1428">
        <v>329</v>
      </c>
      <c r="K1428">
        <v>342</v>
      </c>
      <c r="L1428" t="s">
        <v>12591</v>
      </c>
      <c r="M1428" t="s">
        <v>12592</v>
      </c>
      <c r="N1428" t="s">
        <v>12593</v>
      </c>
      <c r="O1428" t="s">
        <v>63</v>
      </c>
      <c r="Q1428" t="s">
        <v>63</v>
      </c>
      <c r="R1428" t="s">
        <v>63</v>
      </c>
      <c r="S1428" t="s">
        <v>63</v>
      </c>
      <c r="T1428" t="s">
        <v>63</v>
      </c>
      <c r="X1428" t="s">
        <v>63</v>
      </c>
      <c r="Y1428" t="s">
        <v>12594</v>
      </c>
      <c r="Z1428" t="s">
        <v>63</v>
      </c>
      <c r="AA1428" t="s">
        <v>12595</v>
      </c>
      <c r="AB1428">
        <v>18675976</v>
      </c>
      <c r="AC1428" t="s">
        <v>67</v>
      </c>
      <c r="AD1428" t="s">
        <v>63</v>
      </c>
      <c r="AE1428" t="s">
        <v>63</v>
      </c>
      <c r="AF1428" t="s">
        <v>63</v>
      </c>
      <c r="AG1428" t="s">
        <v>12596</v>
      </c>
      <c r="AH1428" t="s">
        <v>63</v>
      </c>
      <c r="AI1428" t="s">
        <v>12597</v>
      </c>
      <c r="AJ1428" t="s">
        <v>63</v>
      </c>
      <c r="AK1428" t="s">
        <v>63</v>
      </c>
      <c r="AL1428" t="s">
        <v>63</v>
      </c>
      <c r="AM1428" t="s">
        <v>12598</v>
      </c>
      <c r="AN1428" t="s">
        <v>63</v>
      </c>
      <c r="AO1428" t="s">
        <v>63</v>
      </c>
      <c r="AP1428" t="s">
        <v>63</v>
      </c>
      <c r="AQ1428" t="s">
        <v>63</v>
      </c>
      <c r="AR1428" t="s">
        <v>63</v>
      </c>
      <c r="AS1428" t="s">
        <v>63</v>
      </c>
      <c r="AT1428" t="s">
        <v>63</v>
      </c>
      <c r="AU1428" t="s">
        <v>63</v>
      </c>
      <c r="AV1428" t="s">
        <v>63</v>
      </c>
      <c r="AW1428" t="s">
        <v>63</v>
      </c>
      <c r="AX1428" t="s">
        <v>63</v>
      </c>
      <c r="AY1428" t="s">
        <v>63</v>
      </c>
      <c r="AZ1428" t="s">
        <v>63</v>
      </c>
      <c r="BA1428" t="s">
        <v>63</v>
      </c>
      <c r="BB1428" t="s">
        <v>63</v>
      </c>
      <c r="BC1428" t="s">
        <v>63</v>
      </c>
      <c r="BD1428" t="s">
        <v>63</v>
      </c>
      <c r="BE1428" t="s">
        <v>63</v>
      </c>
      <c r="BF1428" t="s">
        <v>63</v>
      </c>
    </row>
    <row r="1429" spans="1:58">
      <c r="A1429" t="s">
        <v>58</v>
      </c>
      <c r="B1429" t="s">
        <v>12599</v>
      </c>
      <c r="C1429" t="s">
        <v>12600</v>
      </c>
      <c r="D1429" t="s">
        <v>2450</v>
      </c>
      <c r="E1429" t="s">
        <v>2451</v>
      </c>
      <c r="F1429">
        <v>1991</v>
      </c>
      <c r="G1429" t="s">
        <v>326</v>
      </c>
      <c r="H1429">
        <v>90</v>
      </c>
      <c r="I1429">
        <v>2</v>
      </c>
      <c r="J1429">
        <v>14</v>
      </c>
      <c r="K1429">
        <v>18</v>
      </c>
      <c r="L1429" t="s">
        <v>12601</v>
      </c>
      <c r="M1429" t="s">
        <v>63</v>
      </c>
      <c r="N1429" t="s">
        <v>12602</v>
      </c>
      <c r="O1429" t="s">
        <v>63</v>
      </c>
      <c r="Q1429" t="s">
        <v>63</v>
      </c>
      <c r="R1429" t="s">
        <v>63</v>
      </c>
      <c r="S1429" t="s">
        <v>63</v>
      </c>
      <c r="T1429" t="s">
        <v>63</v>
      </c>
      <c r="X1429" t="s">
        <v>63</v>
      </c>
      <c r="Y1429" t="s">
        <v>2454</v>
      </c>
      <c r="Z1429" t="s">
        <v>63</v>
      </c>
      <c r="AA1429" t="s">
        <v>63</v>
      </c>
      <c r="AB1429">
        <v>2014009</v>
      </c>
      <c r="AC1429" t="s">
        <v>67</v>
      </c>
      <c r="AD1429" t="s">
        <v>63</v>
      </c>
      <c r="AE1429" t="s">
        <v>63</v>
      </c>
      <c r="AF1429" t="s">
        <v>63</v>
      </c>
      <c r="AG1429" t="s">
        <v>12603</v>
      </c>
      <c r="AH1429" t="s">
        <v>63</v>
      </c>
      <c r="AI1429" t="s">
        <v>63</v>
      </c>
      <c r="AJ1429" t="s">
        <v>63</v>
      </c>
      <c r="AK1429" t="s">
        <v>63</v>
      </c>
      <c r="AL1429" t="s">
        <v>63</v>
      </c>
      <c r="AM1429" t="s">
        <v>12604</v>
      </c>
      <c r="AN1429" t="s">
        <v>63</v>
      </c>
      <c r="AO1429" t="s">
        <v>63</v>
      </c>
      <c r="AP1429" t="s">
        <v>63</v>
      </c>
      <c r="AQ1429" t="s">
        <v>63</v>
      </c>
      <c r="AR1429" t="s">
        <v>63</v>
      </c>
      <c r="AS1429" t="s">
        <v>63</v>
      </c>
      <c r="AT1429" t="s">
        <v>63</v>
      </c>
      <c r="AU1429" t="s">
        <v>63</v>
      </c>
      <c r="AV1429" t="s">
        <v>63</v>
      </c>
      <c r="AW1429" t="s">
        <v>63</v>
      </c>
      <c r="AX1429" t="s">
        <v>63</v>
      </c>
      <c r="AY1429" t="s">
        <v>63</v>
      </c>
      <c r="AZ1429" t="s">
        <v>63</v>
      </c>
      <c r="BA1429" t="s">
        <v>63</v>
      </c>
      <c r="BB1429" t="s">
        <v>63</v>
      </c>
      <c r="BC1429" t="s">
        <v>63</v>
      </c>
      <c r="BD1429" t="s">
        <v>63</v>
      </c>
      <c r="BE1429" t="s">
        <v>63</v>
      </c>
      <c r="BF1429" t="s">
        <v>63</v>
      </c>
    </row>
    <row r="1430" spans="1:58">
      <c r="A1430" t="s">
        <v>58</v>
      </c>
      <c r="B1430" t="s">
        <v>12605</v>
      </c>
      <c r="C1430" t="s">
        <v>12606</v>
      </c>
      <c r="D1430" t="s">
        <v>8441</v>
      </c>
      <c r="E1430" t="s">
        <v>63</v>
      </c>
      <c r="F1430">
        <v>2005</v>
      </c>
      <c r="G1430" t="s">
        <v>1717</v>
      </c>
      <c r="H1430">
        <v>20</v>
      </c>
      <c r="I1430">
        <v>2</v>
      </c>
      <c r="J1430">
        <v>127</v>
      </c>
      <c r="K1430">
        <v>134</v>
      </c>
      <c r="L1430" t="s">
        <v>12607</v>
      </c>
      <c r="M1430" t="s">
        <v>12608</v>
      </c>
      <c r="N1430" t="s">
        <v>12609</v>
      </c>
      <c r="O1430" t="s">
        <v>63</v>
      </c>
      <c r="Q1430" t="s">
        <v>63</v>
      </c>
      <c r="R1430" t="s">
        <v>63</v>
      </c>
      <c r="S1430" t="s">
        <v>63</v>
      </c>
      <c r="T1430" t="s">
        <v>63</v>
      </c>
      <c r="X1430" t="s">
        <v>63</v>
      </c>
      <c r="Y1430" t="s">
        <v>8444</v>
      </c>
      <c r="Z1430" t="s">
        <v>63</v>
      </c>
      <c r="AA1430" t="s">
        <v>12610</v>
      </c>
      <c r="AB1430">
        <v>16295704</v>
      </c>
      <c r="AC1430" t="s">
        <v>67</v>
      </c>
      <c r="AD1430" t="s">
        <v>63</v>
      </c>
      <c r="AE1430" t="s">
        <v>63</v>
      </c>
      <c r="AF1430" t="s">
        <v>63</v>
      </c>
      <c r="AG1430" t="s">
        <v>12611</v>
      </c>
      <c r="AH1430" t="s">
        <v>63</v>
      </c>
      <c r="AI1430" t="s">
        <v>63</v>
      </c>
      <c r="AJ1430" t="s">
        <v>63</v>
      </c>
      <c r="AK1430" t="s">
        <v>63</v>
      </c>
      <c r="AL1430" t="s">
        <v>63</v>
      </c>
      <c r="AM1430" t="s">
        <v>12612</v>
      </c>
      <c r="AN1430" t="s">
        <v>63</v>
      </c>
      <c r="AO1430" t="s">
        <v>63</v>
      </c>
      <c r="AP1430" t="s">
        <v>63</v>
      </c>
      <c r="AQ1430" t="s">
        <v>63</v>
      </c>
      <c r="AR1430" t="s">
        <v>63</v>
      </c>
      <c r="AS1430" t="s">
        <v>63</v>
      </c>
      <c r="AT1430" t="s">
        <v>63</v>
      </c>
      <c r="AU1430" t="s">
        <v>63</v>
      </c>
      <c r="AV1430" t="s">
        <v>63</v>
      </c>
      <c r="AW1430" t="s">
        <v>63</v>
      </c>
      <c r="AX1430" t="s">
        <v>63</v>
      </c>
      <c r="AY1430" t="s">
        <v>63</v>
      </c>
      <c r="AZ1430" t="s">
        <v>63</v>
      </c>
      <c r="BA1430" t="s">
        <v>63</v>
      </c>
      <c r="BB1430" t="s">
        <v>63</v>
      </c>
      <c r="BC1430" t="s">
        <v>63</v>
      </c>
      <c r="BD1430" t="s">
        <v>63</v>
      </c>
      <c r="BE1430" t="s">
        <v>63</v>
      </c>
      <c r="BF1430" t="s">
        <v>63</v>
      </c>
    </row>
    <row r="1431" spans="1:58">
      <c r="A1431" t="s">
        <v>58</v>
      </c>
      <c r="B1431" t="s">
        <v>12613</v>
      </c>
      <c r="C1431" t="s">
        <v>12614</v>
      </c>
      <c r="D1431" t="s">
        <v>12615</v>
      </c>
      <c r="E1431" t="s">
        <v>63</v>
      </c>
      <c r="F1431">
        <v>2005</v>
      </c>
      <c r="G1431" t="s">
        <v>63</v>
      </c>
      <c r="H1431">
        <v>68</v>
      </c>
      <c r="I1431">
        <v>1</v>
      </c>
      <c r="J1431">
        <v>30</v>
      </c>
      <c r="K1431">
        <v>31</v>
      </c>
      <c r="L1431" t="s">
        <v>12616</v>
      </c>
      <c r="M1431" t="s">
        <v>63</v>
      </c>
      <c r="N1431" t="s">
        <v>12617</v>
      </c>
      <c r="O1431" t="s">
        <v>63</v>
      </c>
      <c r="Q1431" t="s">
        <v>63</v>
      </c>
      <c r="R1431" t="s">
        <v>63</v>
      </c>
      <c r="S1431" t="s">
        <v>63</v>
      </c>
      <c r="T1431" t="s">
        <v>63</v>
      </c>
      <c r="X1431" t="s">
        <v>63</v>
      </c>
      <c r="Y1431" t="s">
        <v>12618</v>
      </c>
      <c r="Z1431" t="s">
        <v>63</v>
      </c>
      <c r="AA1431" t="s">
        <v>12619</v>
      </c>
      <c r="AB1431">
        <v>15792076</v>
      </c>
      <c r="AC1431" t="s">
        <v>67</v>
      </c>
      <c r="AD1431" t="s">
        <v>63</v>
      </c>
      <c r="AE1431" t="s">
        <v>63</v>
      </c>
      <c r="AF1431" t="s">
        <v>63</v>
      </c>
      <c r="AG1431" t="s">
        <v>12620</v>
      </c>
      <c r="AH1431" t="s">
        <v>63</v>
      </c>
      <c r="AI1431" t="s">
        <v>63</v>
      </c>
      <c r="AJ1431" t="s">
        <v>63</v>
      </c>
      <c r="AK1431" t="s">
        <v>63</v>
      </c>
      <c r="AL1431" t="s">
        <v>63</v>
      </c>
      <c r="AM1431" t="s">
        <v>12621</v>
      </c>
      <c r="AN1431" t="s">
        <v>63</v>
      </c>
      <c r="AO1431" t="s">
        <v>63</v>
      </c>
      <c r="AP1431" t="s">
        <v>63</v>
      </c>
      <c r="AQ1431" t="s">
        <v>63</v>
      </c>
      <c r="AR1431" t="s">
        <v>63</v>
      </c>
      <c r="AS1431" t="s">
        <v>63</v>
      </c>
      <c r="AT1431" t="s">
        <v>63</v>
      </c>
      <c r="AU1431" t="s">
        <v>63</v>
      </c>
      <c r="AV1431" t="s">
        <v>63</v>
      </c>
      <c r="AW1431" t="s">
        <v>63</v>
      </c>
      <c r="AX1431" t="s">
        <v>63</v>
      </c>
      <c r="AY1431" t="s">
        <v>63</v>
      </c>
      <c r="AZ1431" t="s">
        <v>63</v>
      </c>
      <c r="BA1431" t="s">
        <v>63</v>
      </c>
      <c r="BB1431" t="s">
        <v>63</v>
      </c>
      <c r="BC1431" t="s">
        <v>63</v>
      </c>
      <c r="BD1431" t="s">
        <v>63</v>
      </c>
      <c r="BE1431" t="s">
        <v>63</v>
      </c>
      <c r="BF1431" t="s">
        <v>63</v>
      </c>
    </row>
    <row r="1432" spans="1:58">
      <c r="A1432" t="s">
        <v>58</v>
      </c>
      <c r="B1432" t="s">
        <v>12622</v>
      </c>
      <c r="C1432" t="s">
        <v>12623</v>
      </c>
      <c r="D1432" t="s">
        <v>5116</v>
      </c>
      <c r="E1432" t="s">
        <v>5117</v>
      </c>
      <c r="F1432">
        <v>1996</v>
      </c>
      <c r="G1432" t="s">
        <v>614</v>
      </c>
      <c r="H1432">
        <v>36</v>
      </c>
      <c r="I1432">
        <v>8</v>
      </c>
      <c r="J1432">
        <v>683</v>
      </c>
      <c r="K1432">
        <v>695</v>
      </c>
      <c r="L1432" t="s">
        <v>12624</v>
      </c>
      <c r="M1432" t="s">
        <v>63</v>
      </c>
      <c r="N1432" t="s">
        <v>12625</v>
      </c>
      <c r="O1432" t="s">
        <v>63</v>
      </c>
      <c r="Q1432" t="s">
        <v>63</v>
      </c>
      <c r="R1432" t="s">
        <v>63</v>
      </c>
      <c r="S1432" t="s">
        <v>63</v>
      </c>
      <c r="T1432" t="s">
        <v>63</v>
      </c>
      <c r="X1432" t="s">
        <v>63</v>
      </c>
      <c r="Y1432" t="s">
        <v>5121</v>
      </c>
      <c r="Z1432" t="s">
        <v>63</v>
      </c>
      <c r="AA1432" t="s">
        <v>12626</v>
      </c>
      <c r="AB1432">
        <v>8877671</v>
      </c>
      <c r="AC1432" t="s">
        <v>67</v>
      </c>
      <c r="AD1432" t="s">
        <v>63</v>
      </c>
      <c r="AE1432" t="s">
        <v>63</v>
      </c>
      <c r="AF1432" t="s">
        <v>63</v>
      </c>
      <c r="AG1432" t="s">
        <v>12627</v>
      </c>
      <c r="AH1432" t="s">
        <v>63</v>
      </c>
      <c r="AI1432" t="s">
        <v>63</v>
      </c>
      <c r="AJ1432" t="s">
        <v>63</v>
      </c>
      <c r="AK1432" t="s">
        <v>63</v>
      </c>
      <c r="AL1432" t="s">
        <v>63</v>
      </c>
      <c r="AM1432" t="s">
        <v>12628</v>
      </c>
      <c r="AN1432" t="s">
        <v>63</v>
      </c>
      <c r="AO1432" t="s">
        <v>63</v>
      </c>
      <c r="AP1432" t="s">
        <v>63</v>
      </c>
      <c r="AQ1432" t="s">
        <v>63</v>
      </c>
      <c r="AR1432" t="s">
        <v>63</v>
      </c>
      <c r="AS1432" t="s">
        <v>63</v>
      </c>
      <c r="AT1432" t="s">
        <v>63</v>
      </c>
      <c r="AU1432" t="s">
        <v>63</v>
      </c>
      <c r="AV1432" t="s">
        <v>63</v>
      </c>
      <c r="AW1432" t="s">
        <v>63</v>
      </c>
      <c r="AX1432" t="s">
        <v>63</v>
      </c>
      <c r="AY1432" t="s">
        <v>63</v>
      </c>
      <c r="AZ1432" t="s">
        <v>63</v>
      </c>
      <c r="BA1432" t="s">
        <v>63</v>
      </c>
      <c r="BB1432" t="s">
        <v>63</v>
      </c>
      <c r="BC1432" t="s">
        <v>63</v>
      </c>
      <c r="BD1432" t="s">
        <v>63</v>
      </c>
      <c r="BE1432" t="s">
        <v>63</v>
      </c>
      <c r="BF1432" t="s">
        <v>63</v>
      </c>
    </row>
    <row r="1433" spans="1:58">
      <c r="A1433" t="s">
        <v>58</v>
      </c>
      <c r="B1433" t="s">
        <v>12629</v>
      </c>
      <c r="C1433" t="s">
        <v>12630</v>
      </c>
      <c r="D1433" t="s">
        <v>763</v>
      </c>
      <c r="E1433" t="s">
        <v>63</v>
      </c>
      <c r="F1433">
        <v>1993</v>
      </c>
      <c r="G1433" t="s">
        <v>138</v>
      </c>
      <c r="H1433">
        <v>68</v>
      </c>
      <c r="I1433">
        <v>10</v>
      </c>
      <c r="J1433">
        <v>783</v>
      </c>
      <c r="K1433" t="s">
        <v>63</v>
      </c>
      <c r="L1433" t="s">
        <v>12631</v>
      </c>
      <c r="M1433" t="s">
        <v>63</v>
      </c>
      <c r="N1433" t="s">
        <v>12632</v>
      </c>
      <c r="O1433" t="s">
        <v>63</v>
      </c>
      <c r="Q1433" t="s">
        <v>63</v>
      </c>
      <c r="R1433" t="s">
        <v>63</v>
      </c>
      <c r="S1433" t="s">
        <v>63</v>
      </c>
      <c r="T1433" t="s">
        <v>63</v>
      </c>
      <c r="X1433" t="s">
        <v>63</v>
      </c>
      <c r="Y1433" t="s">
        <v>858</v>
      </c>
      <c r="Z1433" t="s">
        <v>63</v>
      </c>
      <c r="AA1433" t="s">
        <v>63</v>
      </c>
      <c r="AB1433">
        <v>8397612</v>
      </c>
      <c r="AC1433" t="s">
        <v>67</v>
      </c>
      <c r="AD1433" t="s">
        <v>63</v>
      </c>
      <c r="AE1433" t="s">
        <v>63</v>
      </c>
      <c r="AF1433" t="s">
        <v>63</v>
      </c>
      <c r="AG1433" t="s">
        <v>12633</v>
      </c>
      <c r="AH1433" t="s">
        <v>63</v>
      </c>
      <c r="AI1433" t="s">
        <v>63</v>
      </c>
      <c r="AJ1433" t="s">
        <v>63</v>
      </c>
      <c r="AK1433" t="s">
        <v>63</v>
      </c>
      <c r="AL1433" t="s">
        <v>63</v>
      </c>
      <c r="AM1433" t="s">
        <v>12634</v>
      </c>
      <c r="AN1433" t="s">
        <v>63</v>
      </c>
      <c r="AO1433" t="s">
        <v>63</v>
      </c>
      <c r="AP1433" t="s">
        <v>63</v>
      </c>
      <c r="AQ1433" t="s">
        <v>63</v>
      </c>
      <c r="AR1433" t="s">
        <v>63</v>
      </c>
      <c r="AS1433" t="s">
        <v>63</v>
      </c>
      <c r="AT1433" t="s">
        <v>63</v>
      </c>
      <c r="AU1433" t="s">
        <v>63</v>
      </c>
      <c r="AV1433" t="s">
        <v>63</v>
      </c>
      <c r="AW1433" t="s">
        <v>63</v>
      </c>
      <c r="AX1433" t="s">
        <v>63</v>
      </c>
      <c r="AY1433" t="s">
        <v>63</v>
      </c>
      <c r="AZ1433" t="s">
        <v>63</v>
      </c>
      <c r="BA1433" t="s">
        <v>63</v>
      </c>
      <c r="BB1433" t="s">
        <v>63</v>
      </c>
      <c r="BC1433" t="s">
        <v>63</v>
      </c>
      <c r="BD1433" t="s">
        <v>63</v>
      </c>
      <c r="BE1433" t="s">
        <v>63</v>
      </c>
      <c r="BF1433" t="s">
        <v>63</v>
      </c>
    </row>
    <row r="1434" spans="1:58">
      <c r="A1434" t="s">
        <v>58</v>
      </c>
      <c r="B1434" t="s">
        <v>12635</v>
      </c>
      <c r="C1434" t="s">
        <v>12636</v>
      </c>
      <c r="D1434" t="s">
        <v>1728</v>
      </c>
      <c r="E1434" t="s">
        <v>1729</v>
      </c>
      <c r="F1434">
        <v>2010</v>
      </c>
      <c r="G1434" t="s">
        <v>73</v>
      </c>
      <c r="H1434">
        <v>42</v>
      </c>
      <c r="I1434">
        <v>2</v>
      </c>
      <c r="J1434">
        <v>121</v>
      </c>
      <c r="K1434">
        <v>126</v>
      </c>
      <c r="L1434" t="s">
        <v>12637</v>
      </c>
      <c r="M1434" t="s">
        <v>12638</v>
      </c>
      <c r="N1434" t="s">
        <v>12639</v>
      </c>
      <c r="O1434" t="s">
        <v>63</v>
      </c>
      <c r="Q1434" t="s">
        <v>63</v>
      </c>
      <c r="R1434" t="s">
        <v>63</v>
      </c>
      <c r="S1434" t="s">
        <v>63</v>
      </c>
      <c r="T1434" t="s">
        <v>63</v>
      </c>
      <c r="X1434" t="s">
        <v>63</v>
      </c>
      <c r="Y1434" t="s">
        <v>1733</v>
      </c>
      <c r="Z1434" t="s">
        <v>63</v>
      </c>
      <c r="AA1434" t="s">
        <v>12640</v>
      </c>
      <c r="AB1434">
        <v>20648907</v>
      </c>
      <c r="AC1434" t="s">
        <v>67</v>
      </c>
      <c r="AD1434" t="s">
        <v>63</v>
      </c>
      <c r="AE1434" t="s">
        <v>63</v>
      </c>
      <c r="AF1434" t="s">
        <v>63</v>
      </c>
      <c r="AG1434" t="s">
        <v>12641</v>
      </c>
      <c r="AH1434" t="s">
        <v>63</v>
      </c>
      <c r="AI1434" t="s">
        <v>63</v>
      </c>
      <c r="AJ1434" t="s">
        <v>63</v>
      </c>
      <c r="AK1434" t="s">
        <v>63</v>
      </c>
      <c r="AL1434" t="s">
        <v>63</v>
      </c>
      <c r="AM1434" t="s">
        <v>12642</v>
      </c>
      <c r="AN1434" t="s">
        <v>63</v>
      </c>
      <c r="AO1434" t="s">
        <v>63</v>
      </c>
      <c r="AP1434" t="s">
        <v>63</v>
      </c>
      <c r="AQ1434" t="s">
        <v>63</v>
      </c>
      <c r="AR1434" t="s">
        <v>63</v>
      </c>
      <c r="AS1434" t="s">
        <v>63</v>
      </c>
      <c r="AT1434" t="s">
        <v>63</v>
      </c>
      <c r="AU1434" t="s">
        <v>63</v>
      </c>
      <c r="AV1434" t="s">
        <v>63</v>
      </c>
      <c r="AW1434" t="s">
        <v>63</v>
      </c>
      <c r="AX1434" t="s">
        <v>63</v>
      </c>
      <c r="AY1434" t="s">
        <v>63</v>
      </c>
      <c r="AZ1434" t="s">
        <v>63</v>
      </c>
      <c r="BA1434" t="s">
        <v>63</v>
      </c>
      <c r="BB1434" t="s">
        <v>63</v>
      </c>
      <c r="BC1434" t="s">
        <v>63</v>
      </c>
      <c r="BD1434" t="s">
        <v>63</v>
      </c>
      <c r="BE1434" t="s">
        <v>63</v>
      </c>
      <c r="BF1434" t="s">
        <v>63</v>
      </c>
    </row>
    <row r="1435" spans="1:58">
      <c r="A1435" t="s">
        <v>58</v>
      </c>
      <c r="B1435" t="s">
        <v>12643</v>
      </c>
      <c r="C1435" t="s">
        <v>12644</v>
      </c>
      <c r="D1435" t="s">
        <v>164</v>
      </c>
      <c r="E1435" t="s">
        <v>165</v>
      </c>
      <c r="F1435">
        <v>1958</v>
      </c>
      <c r="G1435" t="s">
        <v>157</v>
      </c>
      <c r="H1435">
        <v>115</v>
      </c>
      <c r="I1435">
        <v>6</v>
      </c>
      <c r="J1435">
        <v>539</v>
      </c>
      <c r="K1435">
        <v>542</v>
      </c>
      <c r="L1435" t="s">
        <v>12645</v>
      </c>
      <c r="M1435" t="s">
        <v>63</v>
      </c>
      <c r="N1435" t="s">
        <v>12646</v>
      </c>
      <c r="O1435" t="s">
        <v>63</v>
      </c>
      <c r="Q1435" t="s">
        <v>63</v>
      </c>
      <c r="R1435" t="s">
        <v>63</v>
      </c>
      <c r="S1435" t="s">
        <v>63</v>
      </c>
      <c r="T1435" t="s">
        <v>63</v>
      </c>
      <c r="X1435" t="s">
        <v>63</v>
      </c>
      <c r="Y1435" t="s">
        <v>169</v>
      </c>
      <c r="Z1435" t="s">
        <v>63</v>
      </c>
      <c r="AA1435" t="s">
        <v>63</v>
      </c>
      <c r="AB1435">
        <v>13595129</v>
      </c>
      <c r="AC1435" t="s">
        <v>67</v>
      </c>
      <c r="AD1435" t="s">
        <v>63</v>
      </c>
      <c r="AE1435" t="s">
        <v>63</v>
      </c>
      <c r="AF1435" t="s">
        <v>63</v>
      </c>
      <c r="AG1435" t="s">
        <v>12647</v>
      </c>
      <c r="AH1435" t="s">
        <v>63</v>
      </c>
      <c r="AI1435" t="s">
        <v>63</v>
      </c>
      <c r="AJ1435" t="s">
        <v>63</v>
      </c>
      <c r="AK1435" t="s">
        <v>63</v>
      </c>
      <c r="AL1435" t="s">
        <v>63</v>
      </c>
      <c r="AM1435" t="s">
        <v>12648</v>
      </c>
      <c r="AN1435" t="s">
        <v>63</v>
      </c>
      <c r="AO1435" t="s">
        <v>63</v>
      </c>
      <c r="AP1435" t="s">
        <v>63</v>
      </c>
      <c r="AQ1435" t="s">
        <v>63</v>
      </c>
      <c r="AR1435" t="s">
        <v>63</v>
      </c>
      <c r="AS1435" t="s">
        <v>63</v>
      </c>
      <c r="AT1435" t="s">
        <v>63</v>
      </c>
      <c r="AU1435" t="s">
        <v>63</v>
      </c>
      <c r="AV1435" t="s">
        <v>63</v>
      </c>
      <c r="AW1435" t="s">
        <v>63</v>
      </c>
      <c r="AX1435" t="s">
        <v>63</v>
      </c>
      <c r="AY1435" t="s">
        <v>63</v>
      </c>
      <c r="AZ1435" t="s">
        <v>63</v>
      </c>
      <c r="BA1435" t="s">
        <v>63</v>
      </c>
      <c r="BB1435" t="s">
        <v>63</v>
      </c>
      <c r="BC1435" t="s">
        <v>63</v>
      </c>
      <c r="BD1435" t="s">
        <v>63</v>
      </c>
      <c r="BE1435" t="s">
        <v>63</v>
      </c>
      <c r="BF1435" t="s">
        <v>63</v>
      </c>
    </row>
    <row r="1436" spans="1:58">
      <c r="A1436" t="s">
        <v>58</v>
      </c>
      <c r="B1436" t="s">
        <v>12649</v>
      </c>
      <c r="C1436" t="s">
        <v>12650</v>
      </c>
      <c r="D1436" t="s">
        <v>12651</v>
      </c>
      <c r="E1436" t="s">
        <v>12652</v>
      </c>
      <c r="F1436">
        <v>1988</v>
      </c>
      <c r="G1436" t="s">
        <v>63</v>
      </c>
      <c r="H1436">
        <v>40</v>
      </c>
      <c r="I1436">
        <v>1</v>
      </c>
      <c r="J1436">
        <v>35</v>
      </c>
      <c r="K1436">
        <v>41</v>
      </c>
      <c r="L1436" t="s">
        <v>12653</v>
      </c>
      <c r="M1436" t="s">
        <v>12654</v>
      </c>
      <c r="N1436" t="s">
        <v>12655</v>
      </c>
      <c r="O1436" t="s">
        <v>63</v>
      </c>
      <c r="Q1436" t="s">
        <v>63</v>
      </c>
      <c r="R1436" t="s">
        <v>63</v>
      </c>
      <c r="S1436" t="s">
        <v>63</v>
      </c>
      <c r="T1436" t="s">
        <v>63</v>
      </c>
      <c r="X1436" t="s">
        <v>63</v>
      </c>
      <c r="Y1436" t="s">
        <v>12656</v>
      </c>
      <c r="Z1436" t="s">
        <v>63</v>
      </c>
      <c r="AA1436" t="s">
        <v>12657</v>
      </c>
      <c r="AB1436">
        <v>3219455</v>
      </c>
      <c r="AC1436" t="s">
        <v>67</v>
      </c>
      <c r="AD1436" t="s">
        <v>63</v>
      </c>
      <c r="AE1436" t="s">
        <v>63</v>
      </c>
      <c r="AF1436" t="s">
        <v>63</v>
      </c>
      <c r="AG1436" t="s">
        <v>12658</v>
      </c>
      <c r="AH1436" t="s">
        <v>63</v>
      </c>
      <c r="AI1436" t="s">
        <v>63</v>
      </c>
      <c r="AJ1436" t="s">
        <v>63</v>
      </c>
      <c r="AK1436" t="s">
        <v>63</v>
      </c>
      <c r="AL1436" t="s">
        <v>63</v>
      </c>
      <c r="AM1436" t="s">
        <v>12659</v>
      </c>
      <c r="AN1436" t="s">
        <v>63</v>
      </c>
      <c r="AO1436" t="s">
        <v>63</v>
      </c>
      <c r="AP1436" t="s">
        <v>63</v>
      </c>
      <c r="AQ1436" t="s">
        <v>63</v>
      </c>
      <c r="AR1436" t="s">
        <v>63</v>
      </c>
      <c r="AS1436" t="s">
        <v>63</v>
      </c>
      <c r="AT1436" t="s">
        <v>63</v>
      </c>
      <c r="AU1436" t="s">
        <v>63</v>
      </c>
      <c r="AV1436" t="s">
        <v>63</v>
      </c>
      <c r="AW1436" t="s">
        <v>63</v>
      </c>
      <c r="AX1436" t="s">
        <v>63</v>
      </c>
      <c r="AY1436" t="s">
        <v>63</v>
      </c>
      <c r="AZ1436" t="s">
        <v>63</v>
      </c>
      <c r="BA1436" t="s">
        <v>63</v>
      </c>
      <c r="BB1436" t="s">
        <v>63</v>
      </c>
      <c r="BC1436" t="s">
        <v>63</v>
      </c>
      <c r="BD1436" t="s">
        <v>63</v>
      </c>
      <c r="BE1436" t="s">
        <v>63</v>
      </c>
      <c r="BF1436" t="s">
        <v>63</v>
      </c>
    </row>
    <row r="1437" spans="1:58">
      <c r="A1437" t="s">
        <v>58</v>
      </c>
      <c r="B1437" t="s">
        <v>12660</v>
      </c>
      <c r="C1437" t="s">
        <v>12661</v>
      </c>
      <c r="D1437" t="s">
        <v>12662</v>
      </c>
      <c r="E1437" t="s">
        <v>12663</v>
      </c>
      <c r="F1437">
        <v>2000</v>
      </c>
      <c r="G1437" t="s">
        <v>181</v>
      </c>
      <c r="H1437">
        <v>41</v>
      </c>
      <c r="I1437">
        <v>9</v>
      </c>
      <c r="J1437">
        <v>722</v>
      </c>
      <c r="K1437">
        <v>729</v>
      </c>
      <c r="L1437" t="s">
        <v>12664</v>
      </c>
      <c r="M1437" t="s">
        <v>63</v>
      </c>
      <c r="N1437" t="s">
        <v>12665</v>
      </c>
      <c r="O1437" t="s">
        <v>63</v>
      </c>
      <c r="Q1437" t="s">
        <v>63</v>
      </c>
      <c r="R1437" t="s">
        <v>63</v>
      </c>
      <c r="S1437" t="s">
        <v>63</v>
      </c>
      <c r="T1437" t="s">
        <v>63</v>
      </c>
      <c r="X1437" t="s">
        <v>63</v>
      </c>
      <c r="Y1437" t="s">
        <v>12666</v>
      </c>
      <c r="Z1437" t="s">
        <v>63</v>
      </c>
      <c r="AA1437" t="s">
        <v>12667</v>
      </c>
      <c r="AB1437">
        <v>11014057</v>
      </c>
      <c r="AC1437" t="s">
        <v>67</v>
      </c>
      <c r="AD1437" t="s">
        <v>63</v>
      </c>
      <c r="AE1437" t="s">
        <v>63</v>
      </c>
      <c r="AF1437" t="s">
        <v>63</v>
      </c>
      <c r="AG1437" t="s">
        <v>12668</v>
      </c>
      <c r="AH1437" t="s">
        <v>63</v>
      </c>
      <c r="AI1437" t="s">
        <v>63</v>
      </c>
      <c r="AJ1437" t="s">
        <v>63</v>
      </c>
      <c r="AK1437" t="s">
        <v>63</v>
      </c>
      <c r="AL1437" t="s">
        <v>63</v>
      </c>
      <c r="AM1437" t="s">
        <v>12669</v>
      </c>
      <c r="AN1437" t="s">
        <v>63</v>
      </c>
      <c r="AO1437" t="s">
        <v>63</v>
      </c>
      <c r="AP1437" t="s">
        <v>63</v>
      </c>
      <c r="AQ1437" t="s">
        <v>63</v>
      </c>
      <c r="AR1437" t="s">
        <v>63</v>
      </c>
      <c r="AS1437" t="s">
        <v>63</v>
      </c>
      <c r="AT1437" t="s">
        <v>63</v>
      </c>
      <c r="AU1437" t="s">
        <v>63</v>
      </c>
      <c r="AV1437" t="s">
        <v>63</v>
      </c>
      <c r="AW1437" t="s">
        <v>63</v>
      </c>
      <c r="AX1437" t="s">
        <v>63</v>
      </c>
      <c r="AY1437" t="s">
        <v>63</v>
      </c>
      <c r="AZ1437" t="s">
        <v>63</v>
      </c>
      <c r="BA1437" t="s">
        <v>63</v>
      </c>
      <c r="BB1437" t="s">
        <v>63</v>
      </c>
      <c r="BC1437" t="s">
        <v>63</v>
      </c>
      <c r="BD1437" t="s">
        <v>63</v>
      </c>
      <c r="BE1437" t="s">
        <v>63</v>
      </c>
      <c r="BF1437" t="s">
        <v>63</v>
      </c>
    </row>
    <row r="1438" spans="1:58">
      <c r="A1438" t="s">
        <v>58</v>
      </c>
      <c r="B1438" t="s">
        <v>12670</v>
      </c>
      <c r="C1438" t="s">
        <v>12671</v>
      </c>
      <c r="D1438" t="s">
        <v>574</v>
      </c>
      <c r="E1438" t="s">
        <v>63</v>
      </c>
      <c r="F1438">
        <v>2015</v>
      </c>
      <c r="G1438" t="s">
        <v>73</v>
      </c>
      <c r="H1438">
        <v>16</v>
      </c>
      <c r="I1438">
        <v>6</v>
      </c>
      <c r="J1438">
        <v>1122</v>
      </c>
      <c r="K1438">
        <v>1131</v>
      </c>
      <c r="L1438" t="s">
        <v>12672</v>
      </c>
      <c r="M1438" t="s">
        <v>12673</v>
      </c>
      <c r="N1438" t="s">
        <v>12674</v>
      </c>
      <c r="O1438" t="s">
        <v>63</v>
      </c>
      <c r="Q1438" t="s">
        <v>63</v>
      </c>
      <c r="R1438" t="s">
        <v>63</v>
      </c>
      <c r="S1438" t="s">
        <v>63</v>
      </c>
      <c r="T1438" t="s">
        <v>63</v>
      </c>
      <c r="X1438" t="s">
        <v>63</v>
      </c>
      <c r="Y1438" t="s">
        <v>578</v>
      </c>
      <c r="Z1438" t="s">
        <v>63</v>
      </c>
      <c r="AA1438" t="s">
        <v>12675</v>
      </c>
      <c r="AB1438">
        <v>25688454</v>
      </c>
      <c r="AC1438" t="s">
        <v>67</v>
      </c>
      <c r="AD1438" t="s">
        <v>63</v>
      </c>
      <c r="AE1438" t="s">
        <v>63</v>
      </c>
      <c r="AF1438" t="s">
        <v>63</v>
      </c>
      <c r="AG1438" t="s">
        <v>12676</v>
      </c>
      <c r="AH1438" t="s">
        <v>63</v>
      </c>
      <c r="AI1438" t="s">
        <v>12677</v>
      </c>
      <c r="AJ1438" t="s">
        <v>63</v>
      </c>
      <c r="AK1438" t="s">
        <v>63</v>
      </c>
      <c r="AL1438" t="s">
        <v>63</v>
      </c>
      <c r="AM1438" t="s">
        <v>12678</v>
      </c>
      <c r="AN1438" t="s">
        <v>63</v>
      </c>
      <c r="AO1438" t="s">
        <v>63</v>
      </c>
      <c r="AP1438" t="s">
        <v>63</v>
      </c>
      <c r="AQ1438" t="s">
        <v>63</v>
      </c>
      <c r="AR1438" t="s">
        <v>63</v>
      </c>
      <c r="AS1438" t="s">
        <v>63</v>
      </c>
      <c r="AT1438" t="s">
        <v>63</v>
      </c>
      <c r="AU1438" t="s">
        <v>63</v>
      </c>
      <c r="AV1438" t="s">
        <v>63</v>
      </c>
      <c r="AW1438" t="s">
        <v>63</v>
      </c>
      <c r="AX1438" t="s">
        <v>63</v>
      </c>
      <c r="AY1438" t="s">
        <v>63</v>
      </c>
      <c r="AZ1438" t="s">
        <v>63</v>
      </c>
      <c r="BA1438" t="s">
        <v>63</v>
      </c>
      <c r="BB1438" t="s">
        <v>63</v>
      </c>
      <c r="BC1438" t="s">
        <v>63</v>
      </c>
      <c r="BD1438" t="s">
        <v>63</v>
      </c>
      <c r="BE1438" t="s">
        <v>63</v>
      </c>
      <c r="BF1438" t="s">
        <v>63</v>
      </c>
    </row>
    <row r="1439" spans="1:58">
      <c r="A1439" t="s">
        <v>58</v>
      </c>
      <c r="B1439" t="s">
        <v>12679</v>
      </c>
      <c r="C1439" t="s">
        <v>12680</v>
      </c>
      <c r="D1439" t="s">
        <v>828</v>
      </c>
      <c r="E1439" t="s">
        <v>63</v>
      </c>
      <c r="F1439">
        <v>2017</v>
      </c>
      <c r="G1439" s="1">
        <v>41665</v>
      </c>
      <c r="H1439">
        <v>24</v>
      </c>
      <c r="I1439">
        <v>1</v>
      </c>
      <c r="J1439" t="s">
        <v>12681</v>
      </c>
      <c r="K1439" t="s">
        <v>12682</v>
      </c>
      <c r="L1439" t="s">
        <v>12683</v>
      </c>
      <c r="M1439" t="s">
        <v>12684</v>
      </c>
      <c r="N1439" t="s">
        <v>12685</v>
      </c>
      <c r="O1439" t="s">
        <v>63</v>
      </c>
      <c r="Q1439" t="s">
        <v>63</v>
      </c>
      <c r="R1439" t="s">
        <v>63</v>
      </c>
      <c r="S1439" t="s">
        <v>63</v>
      </c>
      <c r="T1439" t="s">
        <v>63</v>
      </c>
      <c r="X1439" t="s">
        <v>63</v>
      </c>
      <c r="Y1439" t="s">
        <v>833</v>
      </c>
      <c r="Z1439" t="s">
        <v>63</v>
      </c>
      <c r="AA1439" t="s">
        <v>12686</v>
      </c>
      <c r="AB1439">
        <v>28186713</v>
      </c>
      <c r="AC1439" t="s">
        <v>67</v>
      </c>
      <c r="AD1439" t="s">
        <v>63</v>
      </c>
      <c r="AE1439" t="s">
        <v>63</v>
      </c>
      <c r="AF1439" t="s">
        <v>63</v>
      </c>
      <c r="AG1439" t="s">
        <v>12687</v>
      </c>
      <c r="AH1439" t="s">
        <v>63</v>
      </c>
      <c r="AI1439" t="s">
        <v>12688</v>
      </c>
      <c r="AJ1439" t="s">
        <v>63</v>
      </c>
      <c r="AK1439" t="s">
        <v>63</v>
      </c>
      <c r="AL1439" t="s">
        <v>63</v>
      </c>
      <c r="AM1439" t="s">
        <v>12689</v>
      </c>
      <c r="AN1439" t="s">
        <v>63</v>
      </c>
      <c r="AO1439" t="s">
        <v>63</v>
      </c>
      <c r="AP1439" t="s">
        <v>63</v>
      </c>
      <c r="AQ1439" t="s">
        <v>63</v>
      </c>
      <c r="AR1439" t="s">
        <v>63</v>
      </c>
      <c r="AS1439" t="s">
        <v>63</v>
      </c>
      <c r="AT1439" t="s">
        <v>63</v>
      </c>
      <c r="AU1439" t="s">
        <v>63</v>
      </c>
      <c r="AV1439" t="s">
        <v>63</v>
      </c>
      <c r="AW1439" t="s">
        <v>63</v>
      </c>
      <c r="AX1439" t="s">
        <v>63</v>
      </c>
      <c r="AY1439" t="s">
        <v>63</v>
      </c>
      <c r="AZ1439" t="s">
        <v>63</v>
      </c>
      <c r="BA1439" t="s">
        <v>63</v>
      </c>
      <c r="BB1439" t="s">
        <v>63</v>
      </c>
      <c r="BC1439" t="s">
        <v>63</v>
      </c>
      <c r="BD1439" t="s">
        <v>63</v>
      </c>
      <c r="BE1439" t="s">
        <v>63</v>
      </c>
      <c r="BF1439" t="s">
        <v>63</v>
      </c>
    </row>
    <row r="1440" spans="1:58">
      <c r="A1440" t="s">
        <v>58</v>
      </c>
      <c r="B1440" t="s">
        <v>12690</v>
      </c>
      <c r="C1440" t="s">
        <v>12691</v>
      </c>
      <c r="D1440" t="s">
        <v>250</v>
      </c>
      <c r="E1440" t="s">
        <v>251</v>
      </c>
      <c r="F1440">
        <v>1984</v>
      </c>
      <c r="G1440" s="1">
        <v>41684</v>
      </c>
      <c r="H1440">
        <v>130</v>
      </c>
      <c r="I1440">
        <v>4</v>
      </c>
      <c r="J1440">
        <v>340</v>
      </c>
      <c r="K1440" t="s">
        <v>63</v>
      </c>
      <c r="L1440" t="s">
        <v>12692</v>
      </c>
      <c r="M1440" t="s">
        <v>63</v>
      </c>
      <c r="N1440" t="s">
        <v>12693</v>
      </c>
      <c r="O1440" t="s">
        <v>63</v>
      </c>
      <c r="Q1440" t="s">
        <v>63</v>
      </c>
      <c r="R1440" t="s">
        <v>63</v>
      </c>
      <c r="S1440" t="s">
        <v>63</v>
      </c>
      <c r="T1440" t="s">
        <v>63</v>
      </c>
      <c r="X1440" t="s">
        <v>63</v>
      </c>
      <c r="Y1440" s="2">
        <v>915146</v>
      </c>
      <c r="Z1440" t="s">
        <v>63</v>
      </c>
      <c r="AA1440" t="s">
        <v>63</v>
      </c>
      <c r="AB1440">
        <v>6692220</v>
      </c>
      <c r="AC1440" t="s">
        <v>67</v>
      </c>
      <c r="AD1440" t="s">
        <v>63</v>
      </c>
      <c r="AE1440" t="s">
        <v>63</v>
      </c>
      <c r="AF1440" t="s">
        <v>63</v>
      </c>
      <c r="AG1440" t="s">
        <v>12694</v>
      </c>
      <c r="AH1440" t="s">
        <v>63</v>
      </c>
      <c r="AI1440" t="s">
        <v>63</v>
      </c>
      <c r="AJ1440" t="s">
        <v>63</v>
      </c>
      <c r="AK1440" t="s">
        <v>63</v>
      </c>
      <c r="AL1440" t="s">
        <v>63</v>
      </c>
      <c r="AM1440" t="s">
        <v>12695</v>
      </c>
      <c r="AN1440" t="s">
        <v>63</v>
      </c>
      <c r="AO1440" t="s">
        <v>63</v>
      </c>
      <c r="AP1440" t="s">
        <v>63</v>
      </c>
      <c r="AQ1440" t="s">
        <v>63</v>
      </c>
      <c r="AR1440" t="s">
        <v>63</v>
      </c>
      <c r="AS1440" t="s">
        <v>63</v>
      </c>
      <c r="AT1440" t="s">
        <v>63</v>
      </c>
      <c r="AU1440" t="s">
        <v>63</v>
      </c>
      <c r="AV1440" t="s">
        <v>63</v>
      </c>
      <c r="AW1440" t="s">
        <v>63</v>
      </c>
      <c r="AX1440" t="s">
        <v>63</v>
      </c>
      <c r="AY1440" t="s">
        <v>63</v>
      </c>
      <c r="AZ1440" t="s">
        <v>63</v>
      </c>
      <c r="BA1440" t="s">
        <v>63</v>
      </c>
      <c r="BB1440" t="s">
        <v>63</v>
      </c>
      <c r="BC1440" t="s">
        <v>63</v>
      </c>
      <c r="BD1440" t="s">
        <v>63</v>
      </c>
      <c r="BE1440" t="s">
        <v>63</v>
      </c>
      <c r="BF1440" t="s">
        <v>63</v>
      </c>
    </row>
    <row r="1441" spans="1:58">
      <c r="A1441" t="s">
        <v>58</v>
      </c>
      <c r="B1441" t="s">
        <v>12696</v>
      </c>
      <c r="C1441" t="s">
        <v>12697</v>
      </c>
      <c r="D1441" t="s">
        <v>1417</v>
      </c>
      <c r="E1441" t="s">
        <v>63</v>
      </c>
      <c r="F1441">
        <v>2017</v>
      </c>
      <c r="G1441" t="s">
        <v>219</v>
      </c>
      <c r="H1441">
        <v>125</v>
      </c>
      <c r="I1441">
        <v>5</v>
      </c>
      <c r="J1441">
        <v>1704</v>
      </c>
      <c r="K1441">
        <v>1713</v>
      </c>
      <c r="L1441" t="s">
        <v>12698</v>
      </c>
      <c r="M1441" t="s">
        <v>12699</v>
      </c>
      <c r="N1441" t="s">
        <v>12700</v>
      </c>
      <c r="O1441" t="s">
        <v>63</v>
      </c>
      <c r="Q1441" t="s">
        <v>63</v>
      </c>
      <c r="R1441" t="s">
        <v>63</v>
      </c>
      <c r="S1441" t="s">
        <v>63</v>
      </c>
      <c r="T1441" t="s">
        <v>63</v>
      </c>
      <c r="X1441" t="s">
        <v>63</v>
      </c>
      <c r="Y1441" t="s">
        <v>1420</v>
      </c>
      <c r="Z1441" t="s">
        <v>63</v>
      </c>
      <c r="AA1441" t="s">
        <v>12701</v>
      </c>
      <c r="AB1441">
        <v>29049115</v>
      </c>
      <c r="AC1441" t="s">
        <v>67</v>
      </c>
      <c r="AD1441" t="s">
        <v>63</v>
      </c>
      <c r="AE1441" t="s">
        <v>63</v>
      </c>
      <c r="AF1441" t="s">
        <v>63</v>
      </c>
      <c r="AG1441" t="s">
        <v>12702</v>
      </c>
      <c r="AH1441" t="s">
        <v>63</v>
      </c>
      <c r="AI1441" t="s">
        <v>12703</v>
      </c>
      <c r="AJ1441" t="s">
        <v>63</v>
      </c>
      <c r="AK1441" t="s">
        <v>63</v>
      </c>
      <c r="AL1441" t="s">
        <v>63</v>
      </c>
      <c r="AM1441" t="s">
        <v>12704</v>
      </c>
      <c r="AN1441" t="s">
        <v>63</v>
      </c>
      <c r="AO1441" t="s">
        <v>63</v>
      </c>
      <c r="AP1441" t="s">
        <v>63</v>
      </c>
      <c r="AQ1441" t="s">
        <v>63</v>
      </c>
      <c r="AR1441" t="s">
        <v>63</v>
      </c>
      <c r="AS1441" t="s">
        <v>63</v>
      </c>
      <c r="AT1441" t="s">
        <v>63</v>
      </c>
      <c r="AU1441" t="s">
        <v>63</v>
      </c>
      <c r="AV1441" t="s">
        <v>63</v>
      </c>
      <c r="AW1441" t="s">
        <v>63</v>
      </c>
      <c r="AX1441" t="s">
        <v>63</v>
      </c>
      <c r="AY1441" t="s">
        <v>63</v>
      </c>
      <c r="AZ1441" t="s">
        <v>63</v>
      </c>
      <c r="BA1441" t="s">
        <v>63</v>
      </c>
      <c r="BB1441" t="s">
        <v>63</v>
      </c>
      <c r="BC1441" t="s">
        <v>63</v>
      </c>
      <c r="BD1441" t="s">
        <v>63</v>
      </c>
      <c r="BE1441" t="s">
        <v>63</v>
      </c>
      <c r="BF1441" t="s">
        <v>63</v>
      </c>
    </row>
    <row r="1442" spans="1:58">
      <c r="A1442" t="s">
        <v>58</v>
      </c>
      <c r="B1442" t="s">
        <v>12705</v>
      </c>
      <c r="C1442" t="s">
        <v>12706</v>
      </c>
      <c r="D1442" t="s">
        <v>111</v>
      </c>
      <c r="E1442" t="s">
        <v>112</v>
      </c>
      <c r="F1442">
        <v>2015</v>
      </c>
      <c r="G1442" s="1">
        <v>41763</v>
      </c>
      <c r="H1442">
        <v>162</v>
      </c>
      <c r="I1442">
        <v>9</v>
      </c>
      <c r="J1442">
        <v>666</v>
      </c>
      <c r="K1442">
        <v>667</v>
      </c>
      <c r="L1442" t="s">
        <v>12707</v>
      </c>
      <c r="M1442" t="s">
        <v>63</v>
      </c>
      <c r="N1442" t="s">
        <v>12708</v>
      </c>
      <c r="O1442" t="s">
        <v>63</v>
      </c>
      <c r="Q1442" t="s">
        <v>63</v>
      </c>
      <c r="R1442" t="s">
        <v>63</v>
      </c>
      <c r="S1442" t="s">
        <v>63</v>
      </c>
      <c r="T1442" t="s">
        <v>63</v>
      </c>
      <c r="X1442" t="s">
        <v>63</v>
      </c>
      <c r="Y1442" t="s">
        <v>116</v>
      </c>
      <c r="Z1442" t="s">
        <v>63</v>
      </c>
      <c r="AA1442" t="s">
        <v>63</v>
      </c>
      <c r="AB1442">
        <v>25938998</v>
      </c>
      <c r="AC1442" t="s">
        <v>67</v>
      </c>
      <c r="AD1442" t="s">
        <v>63</v>
      </c>
      <c r="AE1442" t="s">
        <v>63</v>
      </c>
      <c r="AF1442" t="s">
        <v>63</v>
      </c>
      <c r="AG1442" t="s">
        <v>12709</v>
      </c>
      <c r="AH1442" t="s">
        <v>63</v>
      </c>
      <c r="AI1442" t="s">
        <v>12710</v>
      </c>
      <c r="AJ1442" t="s">
        <v>63</v>
      </c>
      <c r="AK1442" t="s">
        <v>63</v>
      </c>
      <c r="AL1442" t="s">
        <v>63</v>
      </c>
      <c r="AM1442" t="s">
        <v>12711</v>
      </c>
      <c r="AN1442" t="s">
        <v>63</v>
      </c>
      <c r="AO1442" t="s">
        <v>63</v>
      </c>
      <c r="AP1442" t="s">
        <v>63</v>
      </c>
      <c r="AQ1442" t="s">
        <v>63</v>
      </c>
      <c r="AR1442" t="s">
        <v>63</v>
      </c>
      <c r="AS1442" t="s">
        <v>63</v>
      </c>
      <c r="AT1442" t="s">
        <v>63</v>
      </c>
      <c r="AU1442" t="s">
        <v>63</v>
      </c>
      <c r="AV1442" t="s">
        <v>63</v>
      </c>
      <c r="AW1442" t="s">
        <v>63</v>
      </c>
      <c r="AX1442" t="s">
        <v>63</v>
      </c>
      <c r="AY1442" t="s">
        <v>63</v>
      </c>
      <c r="AZ1442" t="s">
        <v>63</v>
      </c>
      <c r="BA1442" t="s">
        <v>63</v>
      </c>
      <c r="BB1442" t="s">
        <v>63</v>
      </c>
      <c r="BC1442" t="s">
        <v>63</v>
      </c>
      <c r="BD1442" t="s">
        <v>63</v>
      </c>
      <c r="BE1442" t="s">
        <v>63</v>
      </c>
      <c r="BF1442" t="s">
        <v>63</v>
      </c>
    </row>
    <row r="1443" spans="1:58">
      <c r="A1443" t="s">
        <v>58</v>
      </c>
      <c r="B1443" t="s">
        <v>12712</v>
      </c>
      <c r="C1443" t="s">
        <v>12713</v>
      </c>
      <c r="D1443" t="s">
        <v>1184</v>
      </c>
      <c r="E1443" t="s">
        <v>1185</v>
      </c>
      <c r="F1443">
        <v>1978</v>
      </c>
      <c r="G1443" t="s">
        <v>1670</v>
      </c>
      <c r="H1443">
        <v>53</v>
      </c>
      <c r="I1443">
        <v>7</v>
      </c>
      <c r="J1443">
        <v>604</v>
      </c>
      <c r="K1443">
        <v>605</v>
      </c>
      <c r="L1443" t="s">
        <v>12714</v>
      </c>
      <c r="M1443" t="s">
        <v>63</v>
      </c>
      <c r="N1443" t="s">
        <v>12715</v>
      </c>
      <c r="O1443" t="s">
        <v>63</v>
      </c>
      <c r="Q1443" t="s">
        <v>63</v>
      </c>
      <c r="R1443" t="s">
        <v>63</v>
      </c>
      <c r="S1443" t="s">
        <v>63</v>
      </c>
      <c r="T1443" t="s">
        <v>63</v>
      </c>
      <c r="X1443" t="s">
        <v>63</v>
      </c>
      <c r="Y1443" t="s">
        <v>1188</v>
      </c>
      <c r="Z1443" t="s">
        <v>63</v>
      </c>
      <c r="AA1443" t="s">
        <v>63</v>
      </c>
      <c r="AB1443">
        <v>671505</v>
      </c>
      <c r="AC1443" t="s">
        <v>67</v>
      </c>
      <c r="AD1443" t="s">
        <v>63</v>
      </c>
      <c r="AE1443" t="s">
        <v>63</v>
      </c>
      <c r="AF1443" t="s">
        <v>63</v>
      </c>
      <c r="AG1443" t="s">
        <v>12716</v>
      </c>
      <c r="AH1443" t="s">
        <v>63</v>
      </c>
      <c r="AI1443" t="s">
        <v>63</v>
      </c>
      <c r="AJ1443" t="s">
        <v>63</v>
      </c>
      <c r="AK1443" t="s">
        <v>63</v>
      </c>
      <c r="AL1443" t="s">
        <v>63</v>
      </c>
      <c r="AM1443" t="s">
        <v>12717</v>
      </c>
      <c r="AN1443" t="s">
        <v>63</v>
      </c>
      <c r="AO1443" t="s">
        <v>63</v>
      </c>
      <c r="AP1443" t="s">
        <v>63</v>
      </c>
      <c r="AQ1443" t="s">
        <v>63</v>
      </c>
      <c r="AR1443" t="s">
        <v>63</v>
      </c>
      <c r="AS1443" t="s">
        <v>63</v>
      </c>
      <c r="AT1443" t="s">
        <v>63</v>
      </c>
      <c r="AU1443" t="s">
        <v>63</v>
      </c>
      <c r="AV1443" t="s">
        <v>63</v>
      </c>
      <c r="AW1443" t="s">
        <v>63</v>
      </c>
      <c r="AX1443" t="s">
        <v>63</v>
      </c>
      <c r="AY1443" t="s">
        <v>63</v>
      </c>
      <c r="AZ1443" t="s">
        <v>63</v>
      </c>
      <c r="BA1443" t="s">
        <v>63</v>
      </c>
      <c r="BB1443" t="s">
        <v>63</v>
      </c>
      <c r="BC1443" t="s">
        <v>63</v>
      </c>
      <c r="BD1443" t="s">
        <v>63</v>
      </c>
      <c r="BE1443" t="s">
        <v>63</v>
      </c>
      <c r="BF1443" t="s">
        <v>63</v>
      </c>
    </row>
    <row r="1444" spans="1:58">
      <c r="A1444" t="s">
        <v>58</v>
      </c>
      <c r="B1444" t="s">
        <v>12718</v>
      </c>
      <c r="C1444" t="s">
        <v>12719</v>
      </c>
      <c r="D1444" t="s">
        <v>12720</v>
      </c>
      <c r="E1444" t="s">
        <v>12720</v>
      </c>
      <c r="F1444">
        <v>2008</v>
      </c>
      <c r="G1444" s="1">
        <v>41670</v>
      </c>
      <c r="H1444">
        <v>111</v>
      </c>
      <c r="I1444">
        <v>3</v>
      </c>
      <c r="J1444">
        <v>997</v>
      </c>
      <c r="K1444">
        <v>1003</v>
      </c>
      <c r="L1444" t="s">
        <v>12721</v>
      </c>
      <c r="M1444" t="s">
        <v>12722</v>
      </c>
      <c r="N1444" t="s">
        <v>12723</v>
      </c>
      <c r="O1444" t="s">
        <v>63</v>
      </c>
      <c r="Q1444" t="s">
        <v>63</v>
      </c>
      <c r="R1444" t="s">
        <v>63</v>
      </c>
      <c r="S1444" t="s">
        <v>63</v>
      </c>
      <c r="T1444" t="s">
        <v>63</v>
      </c>
      <c r="X1444" t="s">
        <v>63</v>
      </c>
      <c r="Y1444" s="2">
        <v>1120351</v>
      </c>
      <c r="Z1444" t="s">
        <v>63</v>
      </c>
      <c r="AA1444" t="s">
        <v>12724</v>
      </c>
      <c r="AB1444">
        <v>17940207</v>
      </c>
      <c r="AC1444" t="s">
        <v>67</v>
      </c>
      <c r="AD1444" t="s">
        <v>63</v>
      </c>
      <c r="AE1444" t="s">
        <v>63</v>
      </c>
      <c r="AF1444" t="s">
        <v>63</v>
      </c>
      <c r="AG1444" t="s">
        <v>12725</v>
      </c>
      <c r="AH1444" t="s">
        <v>63</v>
      </c>
      <c r="AI1444" t="s">
        <v>63</v>
      </c>
      <c r="AJ1444" t="s">
        <v>63</v>
      </c>
      <c r="AK1444" t="s">
        <v>63</v>
      </c>
      <c r="AL1444" t="s">
        <v>63</v>
      </c>
      <c r="AM1444" t="s">
        <v>12726</v>
      </c>
      <c r="AN1444" t="s">
        <v>63</v>
      </c>
      <c r="AO1444" t="s">
        <v>63</v>
      </c>
      <c r="AP1444" t="s">
        <v>63</v>
      </c>
      <c r="AQ1444" t="s">
        <v>63</v>
      </c>
      <c r="AR1444" t="s">
        <v>63</v>
      </c>
      <c r="AS1444" t="s">
        <v>63</v>
      </c>
      <c r="AT1444" t="s">
        <v>63</v>
      </c>
      <c r="AU1444" t="s">
        <v>63</v>
      </c>
      <c r="AV1444" t="s">
        <v>63</v>
      </c>
      <c r="AW1444" t="s">
        <v>63</v>
      </c>
      <c r="AX1444" t="s">
        <v>63</v>
      </c>
      <c r="AY1444" t="s">
        <v>63</v>
      </c>
      <c r="AZ1444" t="s">
        <v>63</v>
      </c>
      <c r="BA1444" t="s">
        <v>63</v>
      </c>
      <c r="BB1444" t="s">
        <v>63</v>
      </c>
      <c r="BC1444" t="s">
        <v>63</v>
      </c>
      <c r="BD1444" t="s">
        <v>63</v>
      </c>
      <c r="BE1444" t="s">
        <v>63</v>
      </c>
      <c r="BF1444" t="s">
        <v>63</v>
      </c>
    </row>
    <row r="1445" spans="1:58">
      <c r="A1445" t="s">
        <v>58</v>
      </c>
      <c r="B1445" t="s">
        <v>12727</v>
      </c>
      <c r="C1445" t="s">
        <v>12728</v>
      </c>
      <c r="D1445" t="s">
        <v>1481</v>
      </c>
      <c r="E1445" t="s">
        <v>1481</v>
      </c>
      <c r="F1445">
        <v>2009</v>
      </c>
      <c r="G1445" t="s">
        <v>326</v>
      </c>
      <c r="H1445">
        <v>104</v>
      </c>
      <c r="I1445">
        <v>2</v>
      </c>
      <c r="J1445">
        <v>169</v>
      </c>
      <c r="K1445">
        <v>172</v>
      </c>
      <c r="L1445" t="s">
        <v>12729</v>
      </c>
      <c r="M1445" t="s">
        <v>12730</v>
      </c>
      <c r="N1445" t="s">
        <v>12731</v>
      </c>
      <c r="O1445" t="s">
        <v>63</v>
      </c>
      <c r="Q1445" t="s">
        <v>63</v>
      </c>
      <c r="R1445" t="s">
        <v>63</v>
      </c>
      <c r="S1445" t="s">
        <v>63</v>
      </c>
      <c r="T1445" t="s">
        <v>63</v>
      </c>
      <c r="X1445" t="s">
        <v>63</v>
      </c>
      <c r="Y1445" t="s">
        <v>1484</v>
      </c>
      <c r="Z1445" t="s">
        <v>63</v>
      </c>
      <c r="AA1445" t="s">
        <v>12732</v>
      </c>
      <c r="AB1445">
        <v>18778386</v>
      </c>
      <c r="AC1445" t="s">
        <v>67</v>
      </c>
      <c r="AD1445" t="s">
        <v>63</v>
      </c>
      <c r="AE1445" t="s">
        <v>63</v>
      </c>
      <c r="AF1445" t="s">
        <v>63</v>
      </c>
      <c r="AG1445" t="s">
        <v>12733</v>
      </c>
      <c r="AH1445" t="s">
        <v>63</v>
      </c>
      <c r="AI1445" t="s">
        <v>12734</v>
      </c>
      <c r="AJ1445" t="s">
        <v>63</v>
      </c>
      <c r="AK1445" t="s">
        <v>63</v>
      </c>
      <c r="AL1445" t="s">
        <v>63</v>
      </c>
      <c r="AM1445" t="s">
        <v>12735</v>
      </c>
      <c r="AN1445" t="s">
        <v>63</v>
      </c>
      <c r="AO1445" t="s">
        <v>63</v>
      </c>
      <c r="AP1445" t="s">
        <v>63</v>
      </c>
      <c r="AQ1445" t="s">
        <v>63</v>
      </c>
      <c r="AR1445" t="s">
        <v>63</v>
      </c>
      <c r="AS1445" t="s">
        <v>63</v>
      </c>
      <c r="AT1445" t="s">
        <v>63</v>
      </c>
      <c r="AU1445" t="s">
        <v>63</v>
      </c>
      <c r="AV1445" t="s">
        <v>63</v>
      </c>
      <c r="AW1445" t="s">
        <v>63</v>
      </c>
      <c r="AX1445" t="s">
        <v>63</v>
      </c>
      <c r="AY1445" t="s">
        <v>63</v>
      </c>
      <c r="AZ1445" t="s">
        <v>63</v>
      </c>
      <c r="BA1445" t="s">
        <v>63</v>
      </c>
      <c r="BB1445" t="s">
        <v>63</v>
      </c>
      <c r="BC1445" t="s">
        <v>63</v>
      </c>
      <c r="BD1445" t="s">
        <v>63</v>
      </c>
      <c r="BE1445" t="s">
        <v>63</v>
      </c>
      <c r="BF1445" t="s">
        <v>63</v>
      </c>
    </row>
    <row r="1446" spans="1:58">
      <c r="A1446" t="s">
        <v>58</v>
      </c>
      <c r="B1446" t="s">
        <v>12736</v>
      </c>
      <c r="C1446" t="s">
        <v>12737</v>
      </c>
      <c r="D1446" t="s">
        <v>928</v>
      </c>
      <c r="E1446" t="s">
        <v>63</v>
      </c>
      <c r="F1446">
        <v>2009</v>
      </c>
      <c r="G1446" t="s">
        <v>1528</v>
      </c>
      <c r="H1446">
        <v>21</v>
      </c>
      <c r="I1446">
        <v>1</v>
      </c>
      <c r="J1446">
        <v>33</v>
      </c>
      <c r="K1446">
        <v>37</v>
      </c>
      <c r="L1446" t="s">
        <v>12738</v>
      </c>
      <c r="M1446" t="s">
        <v>12739</v>
      </c>
      <c r="N1446" t="s">
        <v>12740</v>
      </c>
      <c r="O1446" t="s">
        <v>63</v>
      </c>
      <c r="Q1446" t="s">
        <v>63</v>
      </c>
      <c r="R1446" t="s">
        <v>63</v>
      </c>
      <c r="S1446" t="s">
        <v>63</v>
      </c>
      <c r="T1446" t="s">
        <v>63</v>
      </c>
      <c r="X1446" t="s">
        <v>63</v>
      </c>
      <c r="Y1446" t="s">
        <v>3800</v>
      </c>
      <c r="Z1446" t="s">
        <v>63</v>
      </c>
      <c r="AA1446" t="s">
        <v>12741</v>
      </c>
      <c r="AB1446">
        <v>19130384</v>
      </c>
      <c r="AC1446" t="s">
        <v>67</v>
      </c>
      <c r="AD1446" t="s">
        <v>63</v>
      </c>
      <c r="AE1446" t="s">
        <v>63</v>
      </c>
      <c r="AF1446" t="s">
        <v>63</v>
      </c>
      <c r="AG1446" t="s">
        <v>12742</v>
      </c>
      <c r="AH1446" t="s">
        <v>63</v>
      </c>
      <c r="AI1446" t="s">
        <v>12743</v>
      </c>
      <c r="AJ1446" t="s">
        <v>63</v>
      </c>
      <c r="AK1446" t="s">
        <v>63</v>
      </c>
      <c r="AL1446" t="s">
        <v>63</v>
      </c>
      <c r="AM1446" t="s">
        <v>12744</v>
      </c>
      <c r="AN1446" t="s">
        <v>63</v>
      </c>
      <c r="AO1446" t="s">
        <v>63</v>
      </c>
      <c r="AP1446" t="s">
        <v>63</v>
      </c>
      <c r="AQ1446" t="s">
        <v>63</v>
      </c>
      <c r="AR1446" t="s">
        <v>63</v>
      </c>
      <c r="AS1446" t="s">
        <v>63</v>
      </c>
      <c r="AT1446" t="s">
        <v>63</v>
      </c>
      <c r="AU1446" t="s">
        <v>63</v>
      </c>
      <c r="AV1446" t="s">
        <v>63</v>
      </c>
      <c r="AW1446" t="s">
        <v>63</v>
      </c>
      <c r="AX1446" t="s">
        <v>63</v>
      </c>
      <c r="AY1446" t="s">
        <v>63</v>
      </c>
      <c r="AZ1446" t="s">
        <v>63</v>
      </c>
      <c r="BA1446" t="s">
        <v>63</v>
      </c>
      <c r="BB1446" t="s">
        <v>63</v>
      </c>
      <c r="BC1446" t="s">
        <v>63</v>
      </c>
      <c r="BD1446" t="s">
        <v>63</v>
      </c>
      <c r="BE1446" t="s">
        <v>63</v>
      </c>
      <c r="BF1446" t="s">
        <v>63</v>
      </c>
    </row>
    <row r="1447" spans="1:58">
      <c r="A1447" t="s">
        <v>58</v>
      </c>
      <c r="B1447" t="s">
        <v>12745</v>
      </c>
      <c r="C1447" t="s">
        <v>12746</v>
      </c>
      <c r="D1447" t="s">
        <v>763</v>
      </c>
      <c r="E1447" t="s">
        <v>63</v>
      </c>
      <c r="F1447">
        <v>2001</v>
      </c>
      <c r="G1447" t="s">
        <v>189</v>
      </c>
      <c r="H1447">
        <v>76</v>
      </c>
      <c r="I1447">
        <v>5</v>
      </c>
      <c r="J1447">
        <v>521</v>
      </c>
      <c r="K1447">
        <v>522</v>
      </c>
      <c r="L1447" t="s">
        <v>12747</v>
      </c>
      <c r="M1447" t="s">
        <v>63</v>
      </c>
      <c r="N1447" t="s">
        <v>12748</v>
      </c>
      <c r="O1447" t="s">
        <v>63</v>
      </c>
      <c r="Q1447" t="s">
        <v>63</v>
      </c>
      <c r="R1447" t="s">
        <v>63</v>
      </c>
      <c r="S1447" t="s">
        <v>63</v>
      </c>
      <c r="T1447" t="s">
        <v>63</v>
      </c>
      <c r="X1447" t="s">
        <v>63</v>
      </c>
      <c r="Y1447" t="s">
        <v>858</v>
      </c>
      <c r="Z1447" t="s">
        <v>63</v>
      </c>
      <c r="AA1447" t="s">
        <v>12749</v>
      </c>
      <c r="AB1447">
        <v>11346561</v>
      </c>
      <c r="AC1447" t="s">
        <v>67</v>
      </c>
      <c r="AD1447" t="s">
        <v>63</v>
      </c>
      <c r="AE1447" t="s">
        <v>63</v>
      </c>
      <c r="AF1447" t="s">
        <v>63</v>
      </c>
      <c r="AG1447" t="s">
        <v>12750</v>
      </c>
      <c r="AH1447" t="s">
        <v>63</v>
      </c>
      <c r="AI1447" t="s">
        <v>63</v>
      </c>
      <c r="AJ1447" t="s">
        <v>63</v>
      </c>
      <c r="AK1447" t="s">
        <v>63</v>
      </c>
      <c r="AL1447" t="s">
        <v>63</v>
      </c>
      <c r="AM1447" t="s">
        <v>12751</v>
      </c>
      <c r="AN1447" t="s">
        <v>63</v>
      </c>
      <c r="AO1447" t="s">
        <v>63</v>
      </c>
      <c r="AP1447" t="s">
        <v>63</v>
      </c>
      <c r="AQ1447" t="s">
        <v>63</v>
      </c>
      <c r="AR1447" t="s">
        <v>63</v>
      </c>
      <c r="AS1447" t="s">
        <v>63</v>
      </c>
      <c r="AT1447" t="s">
        <v>63</v>
      </c>
      <c r="AU1447" t="s">
        <v>63</v>
      </c>
      <c r="AV1447" t="s">
        <v>63</v>
      </c>
      <c r="AW1447" t="s">
        <v>63</v>
      </c>
      <c r="AX1447" t="s">
        <v>63</v>
      </c>
      <c r="AY1447" t="s">
        <v>63</v>
      </c>
      <c r="AZ1447" t="s">
        <v>63</v>
      </c>
      <c r="BA1447" t="s">
        <v>63</v>
      </c>
      <c r="BB1447" t="s">
        <v>63</v>
      </c>
      <c r="BC1447" t="s">
        <v>63</v>
      </c>
      <c r="BD1447" t="s">
        <v>63</v>
      </c>
      <c r="BE1447" t="s">
        <v>63</v>
      </c>
      <c r="BF1447" t="s">
        <v>63</v>
      </c>
    </row>
    <row r="1448" spans="1:58">
      <c r="A1448" t="s">
        <v>58</v>
      </c>
      <c r="B1448" t="s">
        <v>12752</v>
      </c>
      <c r="C1448" t="s">
        <v>12753</v>
      </c>
      <c r="D1448" t="s">
        <v>205</v>
      </c>
      <c r="E1448" t="s">
        <v>205</v>
      </c>
      <c r="F1448">
        <v>2002</v>
      </c>
      <c r="G1448" s="1">
        <v>41885</v>
      </c>
      <c r="H1448">
        <v>288</v>
      </c>
      <c r="I1448">
        <v>9</v>
      </c>
      <c r="J1448">
        <v>1102</v>
      </c>
      <c r="K1448">
        <v>1109</v>
      </c>
      <c r="L1448" t="s">
        <v>12754</v>
      </c>
      <c r="M1448" t="s">
        <v>12755</v>
      </c>
      <c r="N1448" t="s">
        <v>12756</v>
      </c>
      <c r="O1448" t="s">
        <v>63</v>
      </c>
      <c r="Q1448" t="s">
        <v>63</v>
      </c>
      <c r="R1448" t="s">
        <v>63</v>
      </c>
      <c r="S1448" t="s">
        <v>63</v>
      </c>
      <c r="T1448" t="s">
        <v>63</v>
      </c>
      <c r="X1448" t="s">
        <v>63</v>
      </c>
      <c r="Y1448" t="s">
        <v>208</v>
      </c>
      <c r="Z1448" t="s">
        <v>63</v>
      </c>
      <c r="AA1448" t="s">
        <v>12757</v>
      </c>
      <c r="AB1448">
        <v>12204079</v>
      </c>
      <c r="AC1448" t="s">
        <v>67</v>
      </c>
      <c r="AD1448" t="s">
        <v>63</v>
      </c>
      <c r="AE1448" t="s">
        <v>63</v>
      </c>
      <c r="AF1448" t="s">
        <v>63</v>
      </c>
      <c r="AG1448" t="s">
        <v>12758</v>
      </c>
      <c r="AH1448" t="s">
        <v>63</v>
      </c>
      <c r="AI1448" t="s">
        <v>63</v>
      </c>
      <c r="AJ1448" t="s">
        <v>63</v>
      </c>
      <c r="AK1448" t="s">
        <v>63</v>
      </c>
      <c r="AL1448" t="s">
        <v>63</v>
      </c>
      <c r="AM1448" t="s">
        <v>12759</v>
      </c>
      <c r="AN1448" t="s">
        <v>63</v>
      </c>
      <c r="AO1448" t="s">
        <v>63</v>
      </c>
      <c r="AP1448" t="s">
        <v>63</v>
      </c>
      <c r="AQ1448" t="s">
        <v>63</v>
      </c>
      <c r="AR1448" t="s">
        <v>63</v>
      </c>
      <c r="AS1448" t="s">
        <v>63</v>
      </c>
      <c r="AT1448" t="s">
        <v>63</v>
      </c>
      <c r="AU1448" t="s">
        <v>63</v>
      </c>
      <c r="AV1448" t="s">
        <v>63</v>
      </c>
      <c r="AW1448" t="s">
        <v>63</v>
      </c>
      <c r="AX1448" t="s">
        <v>63</v>
      </c>
      <c r="AY1448" t="s">
        <v>63</v>
      </c>
      <c r="AZ1448" t="s">
        <v>63</v>
      </c>
      <c r="BA1448" t="s">
        <v>63</v>
      </c>
      <c r="BB1448" t="s">
        <v>63</v>
      </c>
      <c r="BC1448" t="s">
        <v>63</v>
      </c>
      <c r="BD1448" t="s">
        <v>63</v>
      </c>
      <c r="BE1448" t="s">
        <v>63</v>
      </c>
      <c r="BF1448" t="s">
        <v>63</v>
      </c>
    </row>
    <row r="1449" spans="1:58">
      <c r="A1449" t="s">
        <v>58</v>
      </c>
      <c r="B1449" t="s">
        <v>12760</v>
      </c>
      <c r="C1449" t="s">
        <v>12761</v>
      </c>
      <c r="D1449" t="s">
        <v>389</v>
      </c>
      <c r="E1449" t="s">
        <v>63</v>
      </c>
      <c r="F1449">
        <v>2000</v>
      </c>
      <c r="G1449" t="s">
        <v>181</v>
      </c>
      <c r="H1449">
        <v>21</v>
      </c>
      <c r="I1449">
        <v>3</v>
      </c>
      <c r="J1449">
        <v>137</v>
      </c>
      <c r="K1449">
        <v>147</v>
      </c>
      <c r="L1449" t="s">
        <v>63</v>
      </c>
      <c r="M1449" t="s">
        <v>12762</v>
      </c>
      <c r="N1449" t="s">
        <v>12763</v>
      </c>
      <c r="O1449" t="s">
        <v>63</v>
      </c>
      <c r="Q1449" t="s">
        <v>63</v>
      </c>
      <c r="R1449" t="s">
        <v>63</v>
      </c>
      <c r="S1449" t="s">
        <v>63</v>
      </c>
      <c r="T1449" t="s">
        <v>63</v>
      </c>
      <c r="X1449" t="s">
        <v>63</v>
      </c>
      <c r="Y1449" t="s">
        <v>556</v>
      </c>
      <c r="Z1449" t="s">
        <v>63</v>
      </c>
      <c r="AA1449" t="s">
        <v>12764</v>
      </c>
      <c r="AB1449">
        <v>12466654</v>
      </c>
      <c r="AC1449" t="s">
        <v>67</v>
      </c>
      <c r="AD1449" t="s">
        <v>63</v>
      </c>
      <c r="AE1449" t="s">
        <v>63</v>
      </c>
      <c r="AF1449" t="s">
        <v>63</v>
      </c>
      <c r="AG1449" t="s">
        <v>12765</v>
      </c>
      <c r="AH1449" t="s">
        <v>63</v>
      </c>
      <c r="AI1449" t="s">
        <v>63</v>
      </c>
      <c r="AJ1449" t="s">
        <v>63</v>
      </c>
      <c r="AK1449" t="s">
        <v>63</v>
      </c>
      <c r="AL1449" t="s">
        <v>63</v>
      </c>
      <c r="AM1449" t="s">
        <v>12766</v>
      </c>
      <c r="AN1449" t="s">
        <v>63</v>
      </c>
      <c r="AO1449" t="s">
        <v>63</v>
      </c>
      <c r="AP1449" t="s">
        <v>63</v>
      </c>
      <c r="AQ1449" t="s">
        <v>63</v>
      </c>
      <c r="AR1449" t="s">
        <v>63</v>
      </c>
      <c r="AS1449" t="s">
        <v>63</v>
      </c>
      <c r="AT1449" t="s">
        <v>63</v>
      </c>
      <c r="AU1449" t="s">
        <v>63</v>
      </c>
      <c r="AV1449" t="s">
        <v>63</v>
      </c>
      <c r="AW1449" t="s">
        <v>63</v>
      </c>
      <c r="AX1449" t="s">
        <v>63</v>
      </c>
      <c r="AY1449" t="s">
        <v>63</v>
      </c>
      <c r="AZ1449" t="s">
        <v>63</v>
      </c>
      <c r="BA1449" t="s">
        <v>63</v>
      </c>
      <c r="BB1449" t="s">
        <v>63</v>
      </c>
      <c r="BC1449" t="s">
        <v>63</v>
      </c>
      <c r="BD1449" t="s">
        <v>63</v>
      </c>
      <c r="BE1449" t="s">
        <v>63</v>
      </c>
      <c r="BF1449" t="s">
        <v>63</v>
      </c>
    </row>
    <row r="1450" spans="1:58">
      <c r="A1450" t="s">
        <v>58</v>
      </c>
      <c r="B1450" t="s">
        <v>12767</v>
      </c>
      <c r="C1450" t="s">
        <v>12768</v>
      </c>
      <c r="D1450" t="s">
        <v>2291</v>
      </c>
      <c r="E1450" t="s">
        <v>2291</v>
      </c>
      <c r="F1450">
        <v>2013</v>
      </c>
      <c r="G1450" s="1">
        <v>41816</v>
      </c>
      <c r="H1450">
        <v>346</v>
      </c>
      <c r="I1450" t="s">
        <v>63</v>
      </c>
      <c r="J1450" t="s">
        <v>12769</v>
      </c>
      <c r="K1450" t="s">
        <v>63</v>
      </c>
      <c r="L1450" t="s">
        <v>12770</v>
      </c>
      <c r="M1450" t="s">
        <v>63</v>
      </c>
      <c r="N1450" t="s">
        <v>12771</v>
      </c>
      <c r="O1450" t="s">
        <v>63</v>
      </c>
      <c r="Q1450" t="s">
        <v>63</v>
      </c>
      <c r="R1450" t="s">
        <v>63</v>
      </c>
      <c r="S1450" t="s">
        <v>63</v>
      </c>
      <c r="T1450" t="s">
        <v>63</v>
      </c>
      <c r="X1450" t="s">
        <v>63</v>
      </c>
      <c r="Y1450" t="s">
        <v>7375</v>
      </c>
      <c r="Z1450" t="s">
        <v>63</v>
      </c>
      <c r="AA1450" t="s">
        <v>12772</v>
      </c>
      <c r="AB1450">
        <v>23814068</v>
      </c>
      <c r="AC1450" t="s">
        <v>67</v>
      </c>
      <c r="AD1450" t="s">
        <v>63</v>
      </c>
      <c r="AE1450" t="s">
        <v>63</v>
      </c>
      <c r="AF1450" t="s">
        <v>63</v>
      </c>
      <c r="AG1450" t="s">
        <v>12773</v>
      </c>
      <c r="AH1450" t="s">
        <v>63</v>
      </c>
      <c r="AI1450" t="s">
        <v>12774</v>
      </c>
      <c r="AJ1450" t="s">
        <v>63</v>
      </c>
      <c r="AK1450" t="s">
        <v>63</v>
      </c>
      <c r="AL1450" t="s">
        <v>63</v>
      </c>
      <c r="AM1450" t="s">
        <v>12775</v>
      </c>
      <c r="AN1450" t="s">
        <v>63</v>
      </c>
      <c r="AO1450" t="s">
        <v>63</v>
      </c>
      <c r="AP1450" t="s">
        <v>63</v>
      </c>
      <c r="AQ1450" t="s">
        <v>63</v>
      </c>
      <c r="AR1450" t="s">
        <v>63</v>
      </c>
      <c r="AS1450" t="s">
        <v>63</v>
      </c>
      <c r="AT1450" t="s">
        <v>63</v>
      </c>
      <c r="AU1450" t="s">
        <v>63</v>
      </c>
      <c r="AV1450" t="s">
        <v>63</v>
      </c>
      <c r="AW1450" t="s">
        <v>63</v>
      </c>
      <c r="AX1450" t="s">
        <v>63</v>
      </c>
      <c r="AY1450" t="s">
        <v>63</v>
      </c>
      <c r="AZ1450" t="s">
        <v>63</v>
      </c>
      <c r="BA1450" t="s">
        <v>63</v>
      </c>
      <c r="BB1450" t="s">
        <v>63</v>
      </c>
      <c r="BC1450" t="s">
        <v>63</v>
      </c>
      <c r="BD1450" t="s">
        <v>63</v>
      </c>
      <c r="BE1450" t="s">
        <v>63</v>
      </c>
      <c r="BF1450" t="s">
        <v>63</v>
      </c>
    </row>
    <row r="1451" spans="1:58">
      <c r="A1451" t="s">
        <v>58</v>
      </c>
      <c r="B1451" t="s">
        <v>12776</v>
      </c>
      <c r="C1451" t="s">
        <v>12777</v>
      </c>
      <c r="D1451" t="s">
        <v>205</v>
      </c>
      <c r="E1451" t="s">
        <v>205</v>
      </c>
      <c r="F1451">
        <v>1984</v>
      </c>
      <c r="G1451" s="1">
        <v>41923</v>
      </c>
      <c r="H1451">
        <v>252</v>
      </c>
      <c r="I1451">
        <v>14</v>
      </c>
      <c r="J1451">
        <v>1894</v>
      </c>
      <c r="K1451">
        <v>1897</v>
      </c>
      <c r="L1451" t="s">
        <v>12778</v>
      </c>
      <c r="M1451" t="s">
        <v>12779</v>
      </c>
      <c r="N1451" t="s">
        <v>12780</v>
      </c>
      <c r="O1451" t="s">
        <v>63</v>
      </c>
      <c r="Q1451" t="s">
        <v>63</v>
      </c>
      <c r="R1451" t="s">
        <v>63</v>
      </c>
      <c r="S1451" t="s">
        <v>63</v>
      </c>
      <c r="T1451" t="s">
        <v>63</v>
      </c>
      <c r="X1451" t="s">
        <v>63</v>
      </c>
      <c r="Y1451" t="s">
        <v>208</v>
      </c>
      <c r="Z1451" t="s">
        <v>63</v>
      </c>
      <c r="AA1451" t="s">
        <v>63</v>
      </c>
      <c r="AB1451">
        <v>6471320</v>
      </c>
      <c r="AC1451" t="s">
        <v>67</v>
      </c>
      <c r="AD1451" t="s">
        <v>63</v>
      </c>
      <c r="AE1451" t="s">
        <v>63</v>
      </c>
      <c r="AF1451" t="s">
        <v>63</v>
      </c>
      <c r="AG1451" t="s">
        <v>12781</v>
      </c>
      <c r="AH1451" t="s">
        <v>63</v>
      </c>
      <c r="AI1451" t="s">
        <v>63</v>
      </c>
      <c r="AJ1451" t="s">
        <v>63</v>
      </c>
      <c r="AK1451" t="s">
        <v>63</v>
      </c>
      <c r="AL1451" t="s">
        <v>63</v>
      </c>
      <c r="AM1451" t="s">
        <v>12782</v>
      </c>
      <c r="AN1451" t="s">
        <v>63</v>
      </c>
      <c r="AO1451" t="s">
        <v>63</v>
      </c>
      <c r="AP1451" t="s">
        <v>63</v>
      </c>
      <c r="AQ1451" t="s">
        <v>63</v>
      </c>
      <c r="AR1451" t="s">
        <v>63</v>
      </c>
      <c r="AS1451" t="s">
        <v>63</v>
      </c>
      <c r="AT1451" t="s">
        <v>63</v>
      </c>
      <c r="AU1451" t="s">
        <v>63</v>
      </c>
      <c r="AV1451" t="s">
        <v>63</v>
      </c>
      <c r="AW1451" t="s">
        <v>63</v>
      </c>
      <c r="AX1451" t="s">
        <v>63</v>
      </c>
      <c r="AY1451" t="s">
        <v>63</v>
      </c>
      <c r="AZ1451" t="s">
        <v>63</v>
      </c>
      <c r="BA1451" t="s">
        <v>63</v>
      </c>
      <c r="BB1451" t="s">
        <v>63</v>
      </c>
      <c r="BC1451" t="s">
        <v>63</v>
      </c>
      <c r="BD1451" t="s">
        <v>63</v>
      </c>
      <c r="BE1451" t="s">
        <v>63</v>
      </c>
      <c r="BF1451" t="s">
        <v>63</v>
      </c>
    </row>
    <row r="1452" spans="1:58">
      <c r="A1452" t="s">
        <v>58</v>
      </c>
      <c r="B1452" t="s">
        <v>12783</v>
      </c>
      <c r="C1452" t="s">
        <v>12784</v>
      </c>
      <c r="D1452" t="s">
        <v>12785</v>
      </c>
      <c r="E1452" t="s">
        <v>63</v>
      </c>
      <c r="F1452">
        <v>1962</v>
      </c>
      <c r="G1452" t="s">
        <v>73</v>
      </c>
      <c r="H1452">
        <v>50</v>
      </c>
      <c r="I1452" t="s">
        <v>63</v>
      </c>
      <c r="J1452">
        <v>276</v>
      </c>
      <c r="K1452">
        <v>278</v>
      </c>
      <c r="L1452" t="s">
        <v>12786</v>
      </c>
      <c r="M1452" t="s">
        <v>63</v>
      </c>
      <c r="N1452" t="s">
        <v>12787</v>
      </c>
      <c r="O1452" t="s">
        <v>63</v>
      </c>
      <c r="Q1452" t="s">
        <v>63</v>
      </c>
      <c r="R1452" t="s">
        <v>63</v>
      </c>
      <c r="S1452" t="s">
        <v>63</v>
      </c>
      <c r="T1452" t="s">
        <v>63</v>
      </c>
      <c r="X1452" t="s">
        <v>63</v>
      </c>
      <c r="Y1452" t="s">
        <v>12788</v>
      </c>
      <c r="Z1452" t="s">
        <v>63</v>
      </c>
      <c r="AA1452" t="s">
        <v>63</v>
      </c>
      <c r="AB1452">
        <v>13990152</v>
      </c>
      <c r="AC1452" t="s">
        <v>4823</v>
      </c>
      <c r="AD1452" t="s">
        <v>63</v>
      </c>
      <c r="AE1452" t="s">
        <v>63</v>
      </c>
      <c r="AF1452" t="s">
        <v>63</v>
      </c>
      <c r="AG1452" t="s">
        <v>12789</v>
      </c>
      <c r="AH1452" t="s">
        <v>63</v>
      </c>
      <c r="AI1452" t="s">
        <v>63</v>
      </c>
      <c r="AJ1452" t="s">
        <v>63</v>
      </c>
      <c r="AK1452" t="s">
        <v>63</v>
      </c>
      <c r="AL1452" t="s">
        <v>63</v>
      </c>
      <c r="AM1452" t="s">
        <v>12790</v>
      </c>
      <c r="AN1452" t="s">
        <v>63</v>
      </c>
      <c r="AO1452" t="s">
        <v>63</v>
      </c>
      <c r="AP1452" t="s">
        <v>63</v>
      </c>
      <c r="AQ1452" t="s">
        <v>63</v>
      </c>
      <c r="AR1452" t="s">
        <v>63</v>
      </c>
      <c r="AS1452" t="s">
        <v>63</v>
      </c>
      <c r="AT1452" t="s">
        <v>63</v>
      </c>
      <c r="AU1452" t="s">
        <v>63</v>
      </c>
      <c r="AV1452" t="s">
        <v>63</v>
      </c>
      <c r="AW1452" t="s">
        <v>63</v>
      </c>
      <c r="AX1452" t="s">
        <v>63</v>
      </c>
      <c r="AY1452" t="s">
        <v>63</v>
      </c>
      <c r="AZ1452" t="s">
        <v>63</v>
      </c>
      <c r="BA1452" t="s">
        <v>63</v>
      </c>
      <c r="BB1452" t="s">
        <v>63</v>
      </c>
      <c r="BC1452" t="s">
        <v>63</v>
      </c>
      <c r="BD1452" t="s">
        <v>63</v>
      </c>
      <c r="BE1452" t="s">
        <v>63</v>
      </c>
      <c r="BF1452" t="s">
        <v>63</v>
      </c>
    </row>
    <row r="1453" spans="1:58">
      <c r="A1453" t="s">
        <v>58</v>
      </c>
      <c r="B1453" t="s">
        <v>12791</v>
      </c>
      <c r="C1453" t="s">
        <v>12792</v>
      </c>
      <c r="D1453" t="s">
        <v>763</v>
      </c>
      <c r="E1453" t="s">
        <v>63</v>
      </c>
      <c r="F1453">
        <v>2008</v>
      </c>
      <c r="G1453" t="s">
        <v>138</v>
      </c>
      <c r="H1453">
        <v>83</v>
      </c>
      <c r="I1453">
        <v>10</v>
      </c>
      <c r="J1453">
        <v>982</v>
      </c>
      <c r="K1453">
        <v>989</v>
      </c>
      <c r="L1453" t="s">
        <v>12793</v>
      </c>
      <c r="M1453" t="s">
        <v>12794</v>
      </c>
      <c r="N1453" t="s">
        <v>12795</v>
      </c>
      <c r="O1453" t="s">
        <v>63</v>
      </c>
      <c r="Q1453" t="s">
        <v>63</v>
      </c>
      <c r="R1453" t="s">
        <v>63</v>
      </c>
      <c r="S1453" t="s">
        <v>63</v>
      </c>
      <c r="T1453" t="s">
        <v>63</v>
      </c>
      <c r="X1453" t="s">
        <v>63</v>
      </c>
      <c r="Y1453" t="s">
        <v>766</v>
      </c>
      <c r="Z1453" t="s">
        <v>63</v>
      </c>
      <c r="AA1453" t="s">
        <v>12796</v>
      </c>
      <c r="AB1453">
        <v>18820533</v>
      </c>
      <c r="AC1453" t="s">
        <v>67</v>
      </c>
      <c r="AD1453" t="s">
        <v>63</v>
      </c>
      <c r="AE1453" t="s">
        <v>63</v>
      </c>
      <c r="AF1453" t="s">
        <v>63</v>
      </c>
      <c r="AG1453" t="s">
        <v>12797</v>
      </c>
      <c r="AH1453" t="s">
        <v>63</v>
      </c>
      <c r="AI1453" t="s">
        <v>12798</v>
      </c>
      <c r="AJ1453" t="s">
        <v>63</v>
      </c>
      <c r="AK1453" t="s">
        <v>63</v>
      </c>
      <c r="AL1453" t="s">
        <v>63</v>
      </c>
      <c r="AM1453" t="s">
        <v>12799</v>
      </c>
      <c r="AN1453" t="s">
        <v>63</v>
      </c>
      <c r="AO1453" t="s">
        <v>63</v>
      </c>
      <c r="AP1453" t="s">
        <v>63</v>
      </c>
      <c r="AQ1453" t="s">
        <v>63</v>
      </c>
      <c r="AR1453" t="s">
        <v>63</v>
      </c>
      <c r="AS1453" t="s">
        <v>63</v>
      </c>
      <c r="AT1453" t="s">
        <v>63</v>
      </c>
      <c r="AU1453" t="s">
        <v>63</v>
      </c>
      <c r="AV1453" t="s">
        <v>63</v>
      </c>
      <c r="AW1453" t="s">
        <v>63</v>
      </c>
      <c r="AX1453" t="s">
        <v>63</v>
      </c>
      <c r="AY1453" t="s">
        <v>63</v>
      </c>
      <c r="AZ1453" t="s">
        <v>63</v>
      </c>
      <c r="BA1453" t="s">
        <v>63</v>
      </c>
      <c r="BB1453" t="s">
        <v>63</v>
      </c>
      <c r="BC1453" t="s">
        <v>63</v>
      </c>
      <c r="BD1453" t="s">
        <v>63</v>
      </c>
      <c r="BE1453" t="s">
        <v>63</v>
      </c>
      <c r="BF1453" t="s">
        <v>63</v>
      </c>
    </row>
    <row r="1454" spans="1:58">
      <c r="A1454" t="s">
        <v>58</v>
      </c>
      <c r="B1454" t="s">
        <v>12800</v>
      </c>
      <c r="C1454" t="s">
        <v>12801</v>
      </c>
      <c r="D1454" t="s">
        <v>243</v>
      </c>
      <c r="E1454" t="s">
        <v>243</v>
      </c>
      <c r="F1454">
        <v>2002</v>
      </c>
      <c r="G1454" s="1">
        <v>41762</v>
      </c>
      <c r="H1454">
        <v>359</v>
      </c>
      <c r="I1454">
        <v>9317</v>
      </c>
      <c r="J1454">
        <v>1604</v>
      </c>
      <c r="K1454" t="s">
        <v>63</v>
      </c>
      <c r="L1454" t="s">
        <v>12802</v>
      </c>
      <c r="M1454" t="s">
        <v>63</v>
      </c>
      <c r="N1454" t="s">
        <v>12803</v>
      </c>
      <c r="O1454" t="s">
        <v>63</v>
      </c>
      <c r="Q1454" t="s">
        <v>63</v>
      </c>
      <c r="R1454" t="s">
        <v>63</v>
      </c>
      <c r="S1454" t="s">
        <v>63</v>
      </c>
      <c r="T1454" t="s">
        <v>63</v>
      </c>
      <c r="X1454" t="s">
        <v>63</v>
      </c>
      <c r="Y1454" t="s">
        <v>246</v>
      </c>
      <c r="Z1454" t="s">
        <v>63</v>
      </c>
      <c r="AA1454" t="s">
        <v>12804</v>
      </c>
      <c r="AB1454">
        <v>12047985</v>
      </c>
      <c r="AC1454" t="s">
        <v>67</v>
      </c>
      <c r="AD1454" t="s">
        <v>63</v>
      </c>
      <c r="AE1454" t="s">
        <v>63</v>
      </c>
      <c r="AF1454" t="s">
        <v>63</v>
      </c>
      <c r="AG1454" t="s">
        <v>12805</v>
      </c>
      <c r="AH1454" t="s">
        <v>63</v>
      </c>
      <c r="AI1454" t="s">
        <v>63</v>
      </c>
      <c r="AJ1454" t="s">
        <v>63</v>
      </c>
      <c r="AK1454" t="s">
        <v>63</v>
      </c>
      <c r="AL1454" t="s">
        <v>63</v>
      </c>
      <c r="AM1454" t="s">
        <v>12806</v>
      </c>
      <c r="AN1454" t="s">
        <v>63</v>
      </c>
      <c r="AO1454" t="s">
        <v>63</v>
      </c>
      <c r="AP1454" t="s">
        <v>63</v>
      </c>
      <c r="AQ1454" t="s">
        <v>63</v>
      </c>
      <c r="AR1454" t="s">
        <v>63</v>
      </c>
      <c r="AS1454" t="s">
        <v>63</v>
      </c>
      <c r="AT1454" t="s">
        <v>63</v>
      </c>
      <c r="AU1454" t="s">
        <v>63</v>
      </c>
      <c r="AV1454" t="s">
        <v>63</v>
      </c>
      <c r="AW1454" t="s">
        <v>63</v>
      </c>
      <c r="AX1454" t="s">
        <v>63</v>
      </c>
      <c r="AY1454" t="s">
        <v>63</v>
      </c>
      <c r="AZ1454" t="s">
        <v>63</v>
      </c>
      <c r="BA1454" t="s">
        <v>63</v>
      </c>
      <c r="BB1454" t="s">
        <v>63</v>
      </c>
      <c r="BC1454" t="s">
        <v>63</v>
      </c>
      <c r="BD1454" t="s">
        <v>63</v>
      </c>
      <c r="BE1454" t="s">
        <v>63</v>
      </c>
      <c r="BF1454" t="s">
        <v>63</v>
      </c>
    </row>
    <row r="1455" spans="1:58">
      <c r="A1455" t="s">
        <v>58</v>
      </c>
      <c r="B1455" t="s">
        <v>12807</v>
      </c>
      <c r="C1455" t="s">
        <v>12808</v>
      </c>
      <c r="D1455" t="s">
        <v>6749</v>
      </c>
      <c r="E1455" t="s">
        <v>63</v>
      </c>
      <c r="F1455">
        <v>2010</v>
      </c>
      <c r="G1455" s="1">
        <v>41958</v>
      </c>
      <c r="H1455">
        <v>5</v>
      </c>
      <c r="I1455" t="s">
        <v>63</v>
      </c>
      <c r="J1455">
        <v>29</v>
      </c>
      <c r="K1455" t="s">
        <v>63</v>
      </c>
      <c r="L1455" t="s">
        <v>12809</v>
      </c>
      <c r="M1455" t="s">
        <v>12810</v>
      </c>
      <c r="N1455" t="s">
        <v>12811</v>
      </c>
      <c r="O1455" t="s">
        <v>63</v>
      </c>
      <c r="Q1455" t="s">
        <v>63</v>
      </c>
      <c r="R1455" t="s">
        <v>63</v>
      </c>
      <c r="S1455" t="s">
        <v>63</v>
      </c>
      <c r="T1455" t="s">
        <v>63</v>
      </c>
      <c r="X1455" t="s">
        <v>63</v>
      </c>
      <c r="Y1455" t="s">
        <v>6753</v>
      </c>
      <c r="Z1455" t="s">
        <v>63</v>
      </c>
      <c r="AA1455" t="s">
        <v>12812</v>
      </c>
      <c r="AB1455">
        <v>21080923</v>
      </c>
      <c r="AC1455" t="s">
        <v>67</v>
      </c>
      <c r="AD1455" t="s">
        <v>63</v>
      </c>
      <c r="AE1455" t="s">
        <v>63</v>
      </c>
      <c r="AF1455" t="s">
        <v>63</v>
      </c>
      <c r="AG1455" t="s">
        <v>12813</v>
      </c>
      <c r="AH1455" t="s">
        <v>63</v>
      </c>
      <c r="AI1455" t="s">
        <v>12814</v>
      </c>
      <c r="AJ1455" t="s">
        <v>63</v>
      </c>
      <c r="AK1455" t="s">
        <v>63</v>
      </c>
      <c r="AL1455" t="s">
        <v>63</v>
      </c>
      <c r="AM1455" t="s">
        <v>12815</v>
      </c>
      <c r="AN1455" t="s">
        <v>63</v>
      </c>
      <c r="AO1455" t="s">
        <v>63</v>
      </c>
      <c r="AP1455" t="s">
        <v>63</v>
      </c>
      <c r="AQ1455" t="s">
        <v>63</v>
      </c>
      <c r="AR1455" t="s">
        <v>63</v>
      </c>
      <c r="AS1455" t="s">
        <v>63</v>
      </c>
      <c r="AT1455" t="s">
        <v>63</v>
      </c>
      <c r="AU1455" t="s">
        <v>63</v>
      </c>
      <c r="AV1455" t="s">
        <v>63</v>
      </c>
      <c r="AW1455" t="s">
        <v>63</v>
      </c>
      <c r="AX1455" t="s">
        <v>63</v>
      </c>
      <c r="AY1455" t="s">
        <v>63</v>
      </c>
      <c r="AZ1455" t="s">
        <v>63</v>
      </c>
      <c r="BA1455" t="s">
        <v>63</v>
      </c>
      <c r="BB1455" t="s">
        <v>63</v>
      </c>
      <c r="BC1455" t="s">
        <v>63</v>
      </c>
      <c r="BD1455" t="s">
        <v>63</v>
      </c>
      <c r="BE1455" t="s">
        <v>63</v>
      </c>
      <c r="BF1455" t="s">
        <v>63</v>
      </c>
    </row>
    <row r="1456" spans="1:58">
      <c r="A1456" t="s">
        <v>58</v>
      </c>
      <c r="B1456" t="s">
        <v>12816</v>
      </c>
      <c r="C1456" t="s">
        <v>12817</v>
      </c>
      <c r="D1456" t="s">
        <v>137</v>
      </c>
      <c r="E1456" t="s">
        <v>63</v>
      </c>
      <c r="F1456">
        <v>2012</v>
      </c>
      <c r="G1456" t="s">
        <v>84</v>
      </c>
      <c r="H1456">
        <v>58</v>
      </c>
      <c r="I1456">
        <v>4</v>
      </c>
      <c r="J1456" t="s">
        <v>12818</v>
      </c>
      <c r="K1456">
        <v>6</v>
      </c>
      <c r="L1456" t="s">
        <v>12819</v>
      </c>
      <c r="M1456" t="s">
        <v>12820</v>
      </c>
      <c r="N1456" t="s">
        <v>12821</v>
      </c>
      <c r="O1456" t="s">
        <v>63</v>
      </c>
      <c r="Q1456" t="s">
        <v>63</v>
      </c>
      <c r="R1456" t="s">
        <v>63</v>
      </c>
      <c r="S1456" t="s">
        <v>63</v>
      </c>
      <c r="T1456" t="s">
        <v>63</v>
      </c>
      <c r="X1456" t="s">
        <v>63</v>
      </c>
      <c r="Y1456" t="s">
        <v>6884</v>
      </c>
      <c r="Z1456" t="s">
        <v>63</v>
      </c>
      <c r="AA1456" t="s">
        <v>12822</v>
      </c>
      <c r="AB1456">
        <v>22611608</v>
      </c>
      <c r="AC1456" t="s">
        <v>67</v>
      </c>
      <c r="AD1456" t="s">
        <v>63</v>
      </c>
      <c r="AE1456" t="s">
        <v>63</v>
      </c>
      <c r="AF1456" t="s">
        <v>63</v>
      </c>
      <c r="AG1456" t="s">
        <v>12823</v>
      </c>
      <c r="AH1456" t="s">
        <v>63</v>
      </c>
      <c r="AI1456" t="s">
        <v>63</v>
      </c>
      <c r="AJ1456" t="s">
        <v>63</v>
      </c>
      <c r="AK1456" t="s">
        <v>63</v>
      </c>
      <c r="AL1456" t="s">
        <v>63</v>
      </c>
      <c r="AM1456" t="s">
        <v>12824</v>
      </c>
      <c r="AN1456" t="s">
        <v>63</v>
      </c>
      <c r="AO1456" t="s">
        <v>63</v>
      </c>
      <c r="AP1456" t="s">
        <v>63</v>
      </c>
      <c r="AQ1456" t="s">
        <v>63</v>
      </c>
      <c r="AR1456" t="s">
        <v>63</v>
      </c>
      <c r="AS1456" t="s">
        <v>63</v>
      </c>
      <c r="AT1456" t="s">
        <v>63</v>
      </c>
      <c r="AU1456" t="s">
        <v>63</v>
      </c>
      <c r="AV1456" t="s">
        <v>63</v>
      </c>
      <c r="AW1456" t="s">
        <v>63</v>
      </c>
      <c r="AX1456" t="s">
        <v>63</v>
      </c>
      <c r="AY1456" t="s">
        <v>63</v>
      </c>
      <c r="AZ1456" t="s">
        <v>63</v>
      </c>
      <c r="BA1456" t="s">
        <v>63</v>
      </c>
      <c r="BB1456" t="s">
        <v>63</v>
      </c>
      <c r="BC1456" t="s">
        <v>63</v>
      </c>
      <c r="BD1456" t="s">
        <v>63</v>
      </c>
      <c r="BE1456" t="s">
        <v>63</v>
      </c>
      <c r="BF1456" t="s">
        <v>63</v>
      </c>
    </row>
    <row r="1457" spans="1:58">
      <c r="A1457" t="s">
        <v>58</v>
      </c>
      <c r="B1457" t="s">
        <v>12825</v>
      </c>
      <c r="C1457" t="s">
        <v>12826</v>
      </c>
      <c r="D1457" t="s">
        <v>389</v>
      </c>
      <c r="E1457" t="s">
        <v>63</v>
      </c>
      <c r="F1457">
        <v>2012</v>
      </c>
      <c r="G1457" t="s">
        <v>63</v>
      </c>
      <c r="H1457">
        <v>33</v>
      </c>
      <c r="I1457">
        <v>4</v>
      </c>
      <c r="J1457">
        <v>387</v>
      </c>
      <c r="K1457">
        <v>391</v>
      </c>
      <c r="L1457" t="s">
        <v>12827</v>
      </c>
      <c r="M1457" t="s">
        <v>12828</v>
      </c>
      <c r="N1457" t="s">
        <v>12829</v>
      </c>
      <c r="O1457" t="s">
        <v>63</v>
      </c>
      <c r="Q1457" t="s">
        <v>63</v>
      </c>
      <c r="R1457" t="s">
        <v>63</v>
      </c>
      <c r="S1457" t="s">
        <v>63</v>
      </c>
      <c r="T1457" t="s">
        <v>63</v>
      </c>
      <c r="X1457" t="s">
        <v>63</v>
      </c>
      <c r="Y1457" t="s">
        <v>556</v>
      </c>
      <c r="Z1457" t="s">
        <v>63</v>
      </c>
      <c r="AA1457" t="s">
        <v>12830</v>
      </c>
      <c r="AB1457">
        <v>22989283</v>
      </c>
      <c r="AC1457" t="s">
        <v>67</v>
      </c>
      <c r="AD1457" t="s">
        <v>63</v>
      </c>
      <c r="AE1457" t="s">
        <v>63</v>
      </c>
      <c r="AF1457" t="s">
        <v>63</v>
      </c>
      <c r="AG1457" t="s">
        <v>12831</v>
      </c>
      <c r="AH1457" t="s">
        <v>63</v>
      </c>
      <c r="AI1457" t="s">
        <v>63</v>
      </c>
      <c r="AJ1457" t="s">
        <v>63</v>
      </c>
      <c r="AK1457" t="s">
        <v>63</v>
      </c>
      <c r="AL1457" t="s">
        <v>63</v>
      </c>
      <c r="AM1457" t="s">
        <v>12832</v>
      </c>
      <c r="AN1457" t="s">
        <v>63</v>
      </c>
      <c r="AO1457" t="s">
        <v>63</v>
      </c>
      <c r="AP1457" t="s">
        <v>63</v>
      </c>
      <c r="AQ1457" t="s">
        <v>63</v>
      </c>
      <c r="AR1457" t="s">
        <v>63</v>
      </c>
      <c r="AS1457" t="s">
        <v>63</v>
      </c>
      <c r="AT1457" t="s">
        <v>63</v>
      </c>
      <c r="AU1457" t="s">
        <v>63</v>
      </c>
      <c r="AV1457" t="s">
        <v>63</v>
      </c>
      <c r="AW1457" t="s">
        <v>63</v>
      </c>
      <c r="AX1457" t="s">
        <v>63</v>
      </c>
      <c r="AY1457" t="s">
        <v>63</v>
      </c>
      <c r="AZ1457" t="s">
        <v>63</v>
      </c>
      <c r="BA1457" t="s">
        <v>63</v>
      </c>
      <c r="BB1457" t="s">
        <v>63</v>
      </c>
      <c r="BC1457" t="s">
        <v>63</v>
      </c>
      <c r="BD1457" t="s">
        <v>63</v>
      </c>
      <c r="BE1457" t="s">
        <v>63</v>
      </c>
      <c r="BF1457" t="s">
        <v>63</v>
      </c>
    </row>
    <row r="1458" spans="1:58">
      <c r="A1458" t="s">
        <v>58</v>
      </c>
      <c r="B1458" t="s">
        <v>12833</v>
      </c>
      <c r="C1458" t="s">
        <v>12834</v>
      </c>
      <c r="D1458" t="s">
        <v>12835</v>
      </c>
      <c r="E1458" t="s">
        <v>63</v>
      </c>
      <c r="F1458">
        <v>2015</v>
      </c>
      <c r="G1458" t="s">
        <v>326</v>
      </c>
      <c r="H1458">
        <v>40</v>
      </c>
      <c r="I1458">
        <v>2</v>
      </c>
      <c r="J1458">
        <v>341</v>
      </c>
      <c r="K1458">
        <v>346</v>
      </c>
      <c r="L1458" t="s">
        <v>12836</v>
      </c>
      <c r="M1458" t="s">
        <v>12837</v>
      </c>
      <c r="N1458" t="s">
        <v>12838</v>
      </c>
      <c r="O1458" t="s">
        <v>63</v>
      </c>
      <c r="Q1458" t="s">
        <v>63</v>
      </c>
      <c r="R1458" t="s">
        <v>63</v>
      </c>
      <c r="S1458" t="s">
        <v>63</v>
      </c>
      <c r="T1458" t="s">
        <v>63</v>
      </c>
      <c r="X1458" t="s">
        <v>63</v>
      </c>
      <c r="Y1458" t="s">
        <v>12839</v>
      </c>
      <c r="Z1458" t="s">
        <v>63</v>
      </c>
      <c r="AA1458" t="s">
        <v>12840</v>
      </c>
      <c r="AB1458">
        <v>25542435</v>
      </c>
      <c r="AC1458" t="s">
        <v>67</v>
      </c>
      <c r="AD1458" t="s">
        <v>63</v>
      </c>
      <c r="AE1458" t="s">
        <v>63</v>
      </c>
      <c r="AF1458" t="s">
        <v>63</v>
      </c>
      <c r="AG1458" t="s">
        <v>12841</v>
      </c>
      <c r="AH1458" t="s">
        <v>63</v>
      </c>
      <c r="AI1458" t="s">
        <v>12842</v>
      </c>
      <c r="AJ1458" t="s">
        <v>63</v>
      </c>
      <c r="AK1458" t="s">
        <v>63</v>
      </c>
      <c r="AL1458" t="s">
        <v>63</v>
      </c>
      <c r="AM1458" t="s">
        <v>12843</v>
      </c>
      <c r="AN1458" t="s">
        <v>63</v>
      </c>
      <c r="AO1458" t="s">
        <v>63</v>
      </c>
      <c r="AP1458" t="s">
        <v>63</v>
      </c>
      <c r="AQ1458" t="s">
        <v>63</v>
      </c>
      <c r="AR1458" t="s">
        <v>63</v>
      </c>
      <c r="AS1458" t="s">
        <v>63</v>
      </c>
      <c r="AT1458" t="s">
        <v>63</v>
      </c>
      <c r="AU1458" t="s">
        <v>63</v>
      </c>
      <c r="AV1458" t="s">
        <v>63</v>
      </c>
      <c r="AW1458" t="s">
        <v>63</v>
      </c>
      <c r="AX1458" t="s">
        <v>63</v>
      </c>
      <c r="AY1458" t="s">
        <v>63</v>
      </c>
      <c r="AZ1458" t="s">
        <v>63</v>
      </c>
      <c r="BA1458" t="s">
        <v>63</v>
      </c>
      <c r="BB1458" t="s">
        <v>63</v>
      </c>
      <c r="BC1458" t="s">
        <v>63</v>
      </c>
      <c r="BD1458" t="s">
        <v>63</v>
      </c>
      <c r="BE1458" t="s">
        <v>63</v>
      </c>
      <c r="BF1458" t="s">
        <v>63</v>
      </c>
    </row>
    <row r="1459" spans="1:58">
      <c r="A1459" t="s">
        <v>58</v>
      </c>
      <c r="B1459" t="s">
        <v>12844</v>
      </c>
      <c r="C1459" t="s">
        <v>12845</v>
      </c>
      <c r="D1459" t="s">
        <v>90</v>
      </c>
      <c r="E1459" t="s">
        <v>63</v>
      </c>
      <c r="F1459">
        <v>2017</v>
      </c>
      <c r="G1459" t="s">
        <v>1737</v>
      </c>
      <c r="H1459">
        <v>36</v>
      </c>
      <c r="I1459">
        <v>3</v>
      </c>
      <c r="J1459">
        <v>167</v>
      </c>
      <c r="K1459">
        <v>174</v>
      </c>
      <c r="L1459" t="s">
        <v>12846</v>
      </c>
      <c r="M1459" t="s">
        <v>12847</v>
      </c>
      <c r="N1459" t="s">
        <v>12848</v>
      </c>
      <c r="O1459" t="s">
        <v>63</v>
      </c>
      <c r="Q1459" t="s">
        <v>63</v>
      </c>
      <c r="R1459" t="s">
        <v>63</v>
      </c>
      <c r="S1459" t="s">
        <v>63</v>
      </c>
      <c r="T1459" t="s">
        <v>63</v>
      </c>
      <c r="X1459" t="s">
        <v>63</v>
      </c>
      <c r="Y1459" t="s">
        <v>7611</v>
      </c>
      <c r="Z1459" t="s">
        <v>63</v>
      </c>
      <c r="AA1459" t="s">
        <v>12849</v>
      </c>
      <c r="AB1459">
        <v>28281909</v>
      </c>
      <c r="AC1459" t="s">
        <v>67</v>
      </c>
      <c r="AD1459" t="s">
        <v>63</v>
      </c>
      <c r="AE1459" t="s">
        <v>63</v>
      </c>
      <c r="AF1459" t="s">
        <v>63</v>
      </c>
      <c r="AG1459" t="s">
        <v>12850</v>
      </c>
      <c r="AH1459" t="s">
        <v>63</v>
      </c>
      <c r="AI1459" t="s">
        <v>12851</v>
      </c>
      <c r="AJ1459" t="s">
        <v>63</v>
      </c>
      <c r="AK1459" t="s">
        <v>63</v>
      </c>
      <c r="AL1459" t="s">
        <v>63</v>
      </c>
      <c r="AM1459" t="s">
        <v>12852</v>
      </c>
      <c r="AN1459" t="s">
        <v>63</v>
      </c>
      <c r="AO1459" t="s">
        <v>63</v>
      </c>
      <c r="AP1459" t="s">
        <v>63</v>
      </c>
      <c r="AQ1459" t="s">
        <v>63</v>
      </c>
      <c r="AR1459" t="s">
        <v>63</v>
      </c>
      <c r="AS1459" t="s">
        <v>63</v>
      </c>
      <c r="AT1459" t="s">
        <v>63</v>
      </c>
      <c r="AU1459" t="s">
        <v>63</v>
      </c>
      <c r="AV1459" t="s">
        <v>63</v>
      </c>
      <c r="AW1459" t="s">
        <v>63</v>
      </c>
      <c r="AX1459" t="s">
        <v>63</v>
      </c>
      <c r="AY1459" t="s">
        <v>63</v>
      </c>
      <c r="AZ1459" t="s">
        <v>63</v>
      </c>
      <c r="BA1459" t="s">
        <v>63</v>
      </c>
      <c r="BB1459" t="s">
        <v>63</v>
      </c>
      <c r="BC1459" t="s">
        <v>63</v>
      </c>
      <c r="BD1459" t="s">
        <v>63</v>
      </c>
      <c r="BE1459" t="s">
        <v>63</v>
      </c>
      <c r="BF1459" t="s">
        <v>63</v>
      </c>
    </row>
    <row r="1460" spans="1:58">
      <c r="A1460" t="s">
        <v>58</v>
      </c>
      <c r="B1460" t="s">
        <v>12853</v>
      </c>
      <c r="C1460" t="s">
        <v>12854</v>
      </c>
      <c r="D1460" t="s">
        <v>90</v>
      </c>
      <c r="E1460" t="s">
        <v>63</v>
      </c>
      <c r="F1460">
        <v>1999</v>
      </c>
      <c r="G1460" t="s">
        <v>63</v>
      </c>
      <c r="H1460">
        <v>18</v>
      </c>
      <c r="I1460">
        <v>2</v>
      </c>
      <c r="J1460">
        <v>65</v>
      </c>
      <c r="K1460">
        <v>82</v>
      </c>
      <c r="L1460" t="s">
        <v>12855</v>
      </c>
      <c r="M1460" t="s">
        <v>12856</v>
      </c>
      <c r="N1460" t="s">
        <v>12857</v>
      </c>
      <c r="O1460" t="s">
        <v>63</v>
      </c>
      <c r="Q1460" t="s">
        <v>63</v>
      </c>
      <c r="R1460" t="s">
        <v>63</v>
      </c>
      <c r="S1460" t="s">
        <v>63</v>
      </c>
      <c r="T1460" t="s">
        <v>63</v>
      </c>
      <c r="X1460" t="s">
        <v>63</v>
      </c>
      <c r="Y1460" t="s">
        <v>93</v>
      </c>
      <c r="Z1460" t="s">
        <v>63</v>
      </c>
      <c r="AA1460" t="s">
        <v>12858</v>
      </c>
      <c r="AB1460">
        <v>10334377</v>
      </c>
      <c r="AC1460" t="s">
        <v>67</v>
      </c>
      <c r="AD1460" t="s">
        <v>63</v>
      </c>
      <c r="AE1460" t="s">
        <v>63</v>
      </c>
      <c r="AF1460" t="s">
        <v>63</v>
      </c>
      <c r="AG1460" t="s">
        <v>12859</v>
      </c>
      <c r="AH1460" t="s">
        <v>63</v>
      </c>
      <c r="AI1460" t="s">
        <v>63</v>
      </c>
      <c r="AJ1460" t="s">
        <v>63</v>
      </c>
      <c r="AK1460" t="s">
        <v>63</v>
      </c>
      <c r="AL1460" t="s">
        <v>63</v>
      </c>
      <c r="AM1460" t="s">
        <v>12860</v>
      </c>
      <c r="AN1460" t="s">
        <v>63</v>
      </c>
      <c r="AO1460" t="s">
        <v>63</v>
      </c>
      <c r="AP1460" t="s">
        <v>63</v>
      </c>
      <c r="AQ1460" t="s">
        <v>63</v>
      </c>
      <c r="AR1460" t="s">
        <v>63</v>
      </c>
      <c r="AS1460" t="s">
        <v>63</v>
      </c>
      <c r="AT1460" t="s">
        <v>63</v>
      </c>
      <c r="AU1460" t="s">
        <v>63</v>
      </c>
      <c r="AV1460" t="s">
        <v>63</v>
      </c>
      <c r="AW1460" t="s">
        <v>63</v>
      </c>
      <c r="AX1460" t="s">
        <v>63</v>
      </c>
      <c r="AY1460" t="s">
        <v>63</v>
      </c>
      <c r="AZ1460" t="s">
        <v>63</v>
      </c>
      <c r="BA1460" t="s">
        <v>63</v>
      </c>
      <c r="BB1460" t="s">
        <v>63</v>
      </c>
      <c r="BC1460" t="s">
        <v>63</v>
      </c>
      <c r="BD1460" t="s">
        <v>63</v>
      </c>
      <c r="BE1460" t="s">
        <v>63</v>
      </c>
      <c r="BF1460" t="s">
        <v>63</v>
      </c>
    </row>
    <row r="1461" spans="1:58">
      <c r="A1461" t="s">
        <v>58</v>
      </c>
      <c r="B1461" t="s">
        <v>12861</v>
      </c>
      <c r="C1461" t="s">
        <v>12862</v>
      </c>
      <c r="D1461" t="s">
        <v>180</v>
      </c>
      <c r="E1461" t="s">
        <v>63</v>
      </c>
      <c r="F1461">
        <v>2012</v>
      </c>
      <c r="G1461" t="s">
        <v>623</v>
      </c>
      <c r="H1461">
        <v>47</v>
      </c>
      <c r="I1461">
        <v>1</v>
      </c>
      <c r="J1461">
        <v>75</v>
      </c>
      <c r="K1461">
        <v>78</v>
      </c>
      <c r="L1461" t="s">
        <v>12863</v>
      </c>
      <c r="M1461" t="s">
        <v>12864</v>
      </c>
      <c r="N1461" t="s">
        <v>12865</v>
      </c>
      <c r="O1461" t="s">
        <v>63</v>
      </c>
      <c r="Q1461" t="s">
        <v>63</v>
      </c>
      <c r="R1461" t="s">
        <v>63</v>
      </c>
      <c r="S1461" t="s">
        <v>63</v>
      </c>
      <c r="T1461" t="s">
        <v>63</v>
      </c>
      <c r="X1461" t="s">
        <v>63</v>
      </c>
      <c r="Y1461" t="s">
        <v>11717</v>
      </c>
      <c r="Z1461" t="s">
        <v>63</v>
      </c>
      <c r="AA1461" t="s">
        <v>12866</v>
      </c>
      <c r="AB1461">
        <v>22085525</v>
      </c>
      <c r="AC1461" t="s">
        <v>67</v>
      </c>
      <c r="AD1461" t="s">
        <v>63</v>
      </c>
      <c r="AE1461" t="s">
        <v>63</v>
      </c>
      <c r="AF1461" t="s">
        <v>63</v>
      </c>
      <c r="AG1461" t="s">
        <v>12867</v>
      </c>
      <c r="AH1461" t="s">
        <v>63</v>
      </c>
      <c r="AI1461" t="s">
        <v>12868</v>
      </c>
      <c r="AJ1461" t="s">
        <v>63</v>
      </c>
      <c r="AK1461" t="s">
        <v>63</v>
      </c>
      <c r="AL1461" t="s">
        <v>63</v>
      </c>
      <c r="AM1461" t="s">
        <v>12869</v>
      </c>
      <c r="AN1461" t="s">
        <v>63</v>
      </c>
      <c r="AO1461" t="s">
        <v>63</v>
      </c>
      <c r="AP1461" t="s">
        <v>63</v>
      </c>
      <c r="AQ1461" t="s">
        <v>63</v>
      </c>
      <c r="AR1461" t="s">
        <v>63</v>
      </c>
      <c r="AS1461" t="s">
        <v>63</v>
      </c>
      <c r="AT1461" t="s">
        <v>63</v>
      </c>
      <c r="AU1461" t="s">
        <v>63</v>
      </c>
      <c r="AV1461" t="s">
        <v>63</v>
      </c>
      <c r="AW1461" t="s">
        <v>63</v>
      </c>
      <c r="AX1461" t="s">
        <v>63</v>
      </c>
      <c r="AY1461" t="s">
        <v>63</v>
      </c>
      <c r="AZ1461" t="s">
        <v>63</v>
      </c>
      <c r="BA1461" t="s">
        <v>63</v>
      </c>
      <c r="BB1461" t="s">
        <v>63</v>
      </c>
      <c r="BC1461" t="s">
        <v>63</v>
      </c>
      <c r="BD1461" t="s">
        <v>63</v>
      </c>
      <c r="BE1461" t="s">
        <v>63</v>
      </c>
      <c r="BF1461" t="s">
        <v>63</v>
      </c>
    </row>
    <row r="1462" spans="1:58">
      <c r="A1462" t="s">
        <v>58</v>
      </c>
      <c r="B1462" t="s">
        <v>12861</v>
      </c>
      <c r="C1462" t="s">
        <v>12870</v>
      </c>
      <c r="D1462" t="s">
        <v>180</v>
      </c>
      <c r="E1462" t="s">
        <v>63</v>
      </c>
      <c r="F1462">
        <v>2010</v>
      </c>
      <c r="G1462" t="s">
        <v>908</v>
      </c>
      <c r="H1462">
        <v>45</v>
      </c>
      <c r="I1462">
        <v>4</v>
      </c>
      <c r="J1462">
        <v>395</v>
      </c>
      <c r="K1462">
        <v>397</v>
      </c>
      <c r="L1462" t="s">
        <v>12871</v>
      </c>
      <c r="M1462" t="s">
        <v>12872</v>
      </c>
      <c r="N1462" t="s">
        <v>12873</v>
      </c>
      <c r="O1462" t="s">
        <v>63</v>
      </c>
      <c r="Q1462" t="s">
        <v>63</v>
      </c>
      <c r="R1462" t="s">
        <v>63</v>
      </c>
      <c r="S1462" t="s">
        <v>63</v>
      </c>
      <c r="T1462" t="s">
        <v>63</v>
      </c>
      <c r="X1462" t="s">
        <v>63</v>
      </c>
      <c r="Y1462" t="s">
        <v>11717</v>
      </c>
      <c r="Z1462" t="s">
        <v>63</v>
      </c>
      <c r="AA1462" t="s">
        <v>12874</v>
      </c>
      <c r="AB1462">
        <v>20501550</v>
      </c>
      <c r="AC1462" t="s">
        <v>67</v>
      </c>
      <c r="AD1462" t="s">
        <v>63</v>
      </c>
      <c r="AE1462" t="s">
        <v>63</v>
      </c>
      <c r="AF1462" t="s">
        <v>63</v>
      </c>
      <c r="AG1462" t="s">
        <v>12875</v>
      </c>
      <c r="AH1462" t="s">
        <v>63</v>
      </c>
      <c r="AI1462" t="s">
        <v>12876</v>
      </c>
      <c r="AJ1462" t="s">
        <v>63</v>
      </c>
      <c r="AK1462" t="s">
        <v>63</v>
      </c>
      <c r="AL1462" t="s">
        <v>63</v>
      </c>
      <c r="AM1462" t="s">
        <v>12877</v>
      </c>
      <c r="AN1462" t="s">
        <v>63</v>
      </c>
      <c r="AO1462" t="s">
        <v>63</v>
      </c>
      <c r="AP1462" t="s">
        <v>63</v>
      </c>
      <c r="AQ1462" t="s">
        <v>63</v>
      </c>
      <c r="AR1462" t="s">
        <v>63</v>
      </c>
      <c r="AS1462" t="s">
        <v>63</v>
      </c>
      <c r="AT1462" t="s">
        <v>63</v>
      </c>
      <c r="AU1462" t="s">
        <v>63</v>
      </c>
      <c r="AV1462" t="s">
        <v>63</v>
      </c>
      <c r="AW1462" t="s">
        <v>63</v>
      </c>
      <c r="AX1462" t="s">
        <v>63</v>
      </c>
      <c r="AY1462" t="s">
        <v>63</v>
      </c>
      <c r="AZ1462" t="s">
        <v>63</v>
      </c>
      <c r="BA1462" t="s">
        <v>63</v>
      </c>
      <c r="BB1462" t="s">
        <v>63</v>
      </c>
      <c r="BC1462" t="s">
        <v>63</v>
      </c>
      <c r="BD1462" t="s">
        <v>63</v>
      </c>
      <c r="BE1462" t="s">
        <v>63</v>
      </c>
      <c r="BF1462" t="s">
        <v>63</v>
      </c>
    </row>
    <row r="1463" spans="1:58">
      <c r="A1463" t="s">
        <v>58</v>
      </c>
      <c r="B1463" t="s">
        <v>12878</v>
      </c>
      <c r="C1463" t="s">
        <v>12879</v>
      </c>
      <c r="D1463" t="s">
        <v>155</v>
      </c>
      <c r="E1463" t="s">
        <v>156</v>
      </c>
      <c r="F1463">
        <v>1992</v>
      </c>
      <c r="G1463" t="s">
        <v>189</v>
      </c>
      <c r="H1463">
        <v>21</v>
      </c>
      <c r="I1463">
        <v>5</v>
      </c>
      <c r="J1463">
        <v>559</v>
      </c>
      <c r="K1463">
        <v>564</v>
      </c>
      <c r="L1463" t="s">
        <v>12880</v>
      </c>
      <c r="M1463" t="s">
        <v>12881</v>
      </c>
      <c r="N1463" t="s">
        <v>12882</v>
      </c>
      <c r="O1463" t="s">
        <v>63</v>
      </c>
      <c r="Q1463" t="s">
        <v>63</v>
      </c>
      <c r="R1463" t="s">
        <v>63</v>
      </c>
      <c r="S1463" t="s">
        <v>63</v>
      </c>
      <c r="T1463" t="s">
        <v>63</v>
      </c>
      <c r="X1463" t="s">
        <v>63</v>
      </c>
      <c r="Y1463" t="s">
        <v>160</v>
      </c>
      <c r="Z1463" t="s">
        <v>63</v>
      </c>
      <c r="AA1463" t="s">
        <v>12883</v>
      </c>
      <c r="AB1463">
        <v>1570914</v>
      </c>
      <c r="AC1463" t="s">
        <v>67</v>
      </c>
      <c r="AD1463" t="s">
        <v>63</v>
      </c>
      <c r="AE1463" t="s">
        <v>63</v>
      </c>
      <c r="AF1463" t="s">
        <v>63</v>
      </c>
      <c r="AG1463" t="s">
        <v>12884</v>
      </c>
      <c r="AH1463" t="s">
        <v>63</v>
      </c>
      <c r="AI1463" t="s">
        <v>63</v>
      </c>
      <c r="AJ1463" t="s">
        <v>63</v>
      </c>
      <c r="AK1463" t="s">
        <v>63</v>
      </c>
      <c r="AL1463" t="s">
        <v>63</v>
      </c>
      <c r="AM1463" t="s">
        <v>12885</v>
      </c>
      <c r="AN1463" t="s">
        <v>63</v>
      </c>
      <c r="AO1463" t="s">
        <v>63</v>
      </c>
      <c r="AP1463" t="s">
        <v>63</v>
      </c>
      <c r="AQ1463" t="s">
        <v>63</v>
      </c>
      <c r="AR1463" t="s">
        <v>63</v>
      </c>
      <c r="AS1463" t="s">
        <v>63</v>
      </c>
      <c r="AT1463" t="s">
        <v>63</v>
      </c>
      <c r="AU1463" t="s">
        <v>63</v>
      </c>
      <c r="AV1463" t="s">
        <v>63</v>
      </c>
      <c r="AW1463" t="s">
        <v>63</v>
      </c>
      <c r="AX1463" t="s">
        <v>63</v>
      </c>
      <c r="AY1463" t="s">
        <v>63</v>
      </c>
      <c r="AZ1463" t="s">
        <v>63</v>
      </c>
      <c r="BA1463" t="s">
        <v>63</v>
      </c>
      <c r="BB1463" t="s">
        <v>63</v>
      </c>
      <c r="BC1463" t="s">
        <v>63</v>
      </c>
      <c r="BD1463" t="s">
        <v>63</v>
      </c>
      <c r="BE1463" t="s">
        <v>63</v>
      </c>
      <c r="BF1463" t="s">
        <v>63</v>
      </c>
    </row>
    <row r="1464" spans="1:58">
      <c r="A1464" t="s">
        <v>58</v>
      </c>
      <c r="B1464" t="s">
        <v>12886</v>
      </c>
      <c r="C1464" t="s">
        <v>12887</v>
      </c>
      <c r="D1464" t="s">
        <v>325</v>
      </c>
      <c r="E1464" t="s">
        <v>63</v>
      </c>
      <c r="F1464">
        <v>1992</v>
      </c>
      <c r="G1464" t="s">
        <v>73</v>
      </c>
      <c r="H1464">
        <v>16</v>
      </c>
      <c r="I1464">
        <v>2</v>
      </c>
      <c r="J1464">
        <v>103</v>
      </c>
      <c r="K1464">
        <v>108</v>
      </c>
      <c r="L1464" t="s">
        <v>63</v>
      </c>
      <c r="M1464" t="s">
        <v>12888</v>
      </c>
      <c r="N1464" t="s">
        <v>12889</v>
      </c>
      <c r="O1464" t="s">
        <v>63</v>
      </c>
      <c r="Q1464" t="s">
        <v>63</v>
      </c>
      <c r="R1464" t="s">
        <v>63</v>
      </c>
      <c r="S1464" t="s">
        <v>63</v>
      </c>
      <c r="T1464" t="s">
        <v>63</v>
      </c>
      <c r="X1464" t="s">
        <v>63</v>
      </c>
      <c r="Y1464" t="s">
        <v>866</v>
      </c>
      <c r="Z1464" t="s">
        <v>63</v>
      </c>
      <c r="AA1464" t="s">
        <v>12890</v>
      </c>
      <c r="AB1464">
        <v>24443155</v>
      </c>
      <c r="AC1464" t="s">
        <v>67</v>
      </c>
      <c r="AD1464" t="s">
        <v>63</v>
      </c>
      <c r="AE1464" t="s">
        <v>63</v>
      </c>
      <c r="AF1464" t="s">
        <v>63</v>
      </c>
      <c r="AG1464" t="s">
        <v>12891</v>
      </c>
      <c r="AH1464" t="s">
        <v>63</v>
      </c>
      <c r="AI1464" t="s">
        <v>12892</v>
      </c>
      <c r="AJ1464" t="s">
        <v>63</v>
      </c>
      <c r="AK1464" t="s">
        <v>63</v>
      </c>
      <c r="AL1464" t="s">
        <v>63</v>
      </c>
      <c r="AM1464" t="s">
        <v>12893</v>
      </c>
      <c r="AN1464" t="s">
        <v>63</v>
      </c>
      <c r="AO1464" t="s">
        <v>63</v>
      </c>
      <c r="AP1464" t="s">
        <v>63</v>
      </c>
      <c r="AQ1464" t="s">
        <v>63</v>
      </c>
      <c r="AR1464" t="s">
        <v>63</v>
      </c>
      <c r="AS1464" t="s">
        <v>63</v>
      </c>
      <c r="AT1464" t="s">
        <v>63</v>
      </c>
      <c r="AU1464" t="s">
        <v>63</v>
      </c>
      <c r="AV1464" t="s">
        <v>63</v>
      </c>
      <c r="AW1464" t="s">
        <v>63</v>
      </c>
      <c r="AX1464" t="s">
        <v>63</v>
      </c>
      <c r="AY1464" t="s">
        <v>63</v>
      </c>
      <c r="AZ1464" t="s">
        <v>63</v>
      </c>
      <c r="BA1464" t="s">
        <v>63</v>
      </c>
      <c r="BB1464" t="s">
        <v>63</v>
      </c>
      <c r="BC1464" t="s">
        <v>63</v>
      </c>
      <c r="BD1464" t="s">
        <v>63</v>
      </c>
      <c r="BE1464" t="s">
        <v>63</v>
      </c>
      <c r="BF1464" t="s">
        <v>63</v>
      </c>
    </row>
    <row r="1465" spans="1:58">
      <c r="A1465" t="s">
        <v>58</v>
      </c>
      <c r="B1465" t="s">
        <v>12886</v>
      </c>
      <c r="C1465" t="s">
        <v>12894</v>
      </c>
      <c r="D1465" t="s">
        <v>5767</v>
      </c>
      <c r="E1465" t="s">
        <v>63</v>
      </c>
      <c r="F1465">
        <v>1990</v>
      </c>
      <c r="G1465" t="s">
        <v>181</v>
      </c>
      <c r="H1465">
        <v>29</v>
      </c>
      <c r="I1465">
        <v>5</v>
      </c>
      <c r="J1465">
        <v>813</v>
      </c>
      <c r="K1465">
        <v>816</v>
      </c>
      <c r="L1465" t="s">
        <v>12895</v>
      </c>
      <c r="M1465" t="s">
        <v>12896</v>
      </c>
      <c r="N1465" t="s">
        <v>12897</v>
      </c>
      <c r="O1465" t="s">
        <v>63</v>
      </c>
      <c r="Q1465" t="s">
        <v>63</v>
      </c>
      <c r="R1465" t="s">
        <v>63</v>
      </c>
      <c r="S1465" t="s">
        <v>63</v>
      </c>
      <c r="T1465" t="s">
        <v>63</v>
      </c>
      <c r="X1465" t="s">
        <v>63</v>
      </c>
      <c r="Y1465" t="s">
        <v>5771</v>
      </c>
      <c r="Z1465" t="s">
        <v>63</v>
      </c>
      <c r="AA1465" t="s">
        <v>12898</v>
      </c>
      <c r="AB1465">
        <v>2228938</v>
      </c>
      <c r="AC1465" t="s">
        <v>67</v>
      </c>
      <c r="AD1465" t="s">
        <v>63</v>
      </c>
      <c r="AE1465" t="s">
        <v>63</v>
      </c>
      <c r="AF1465" t="s">
        <v>63</v>
      </c>
      <c r="AG1465" t="s">
        <v>12899</v>
      </c>
      <c r="AH1465" t="s">
        <v>63</v>
      </c>
      <c r="AI1465" t="s">
        <v>63</v>
      </c>
      <c r="AJ1465" t="s">
        <v>63</v>
      </c>
      <c r="AK1465" t="s">
        <v>63</v>
      </c>
      <c r="AL1465" t="s">
        <v>63</v>
      </c>
      <c r="AM1465" t="s">
        <v>12900</v>
      </c>
      <c r="AN1465" t="s">
        <v>63</v>
      </c>
      <c r="AO1465" t="s">
        <v>63</v>
      </c>
      <c r="AP1465" t="s">
        <v>63</v>
      </c>
      <c r="AQ1465" t="s">
        <v>63</v>
      </c>
      <c r="AR1465" t="s">
        <v>63</v>
      </c>
      <c r="AS1465" t="s">
        <v>63</v>
      </c>
      <c r="AT1465" t="s">
        <v>63</v>
      </c>
      <c r="AU1465" t="s">
        <v>63</v>
      </c>
      <c r="AV1465" t="s">
        <v>63</v>
      </c>
      <c r="AW1465" t="s">
        <v>63</v>
      </c>
      <c r="AX1465" t="s">
        <v>63</v>
      </c>
      <c r="AY1465" t="s">
        <v>63</v>
      </c>
      <c r="AZ1465" t="s">
        <v>63</v>
      </c>
      <c r="BA1465" t="s">
        <v>63</v>
      </c>
      <c r="BB1465" t="s">
        <v>63</v>
      </c>
      <c r="BC1465" t="s">
        <v>63</v>
      </c>
      <c r="BD1465" t="s">
        <v>63</v>
      </c>
      <c r="BE1465" t="s">
        <v>63</v>
      </c>
      <c r="BF1465" t="s">
        <v>63</v>
      </c>
    </row>
    <row r="1466" spans="1:58">
      <c r="A1466" t="s">
        <v>58</v>
      </c>
      <c r="B1466" t="s">
        <v>12901</v>
      </c>
      <c r="C1466" t="s">
        <v>12902</v>
      </c>
      <c r="D1466" t="s">
        <v>6306</v>
      </c>
      <c r="E1466" t="s">
        <v>63</v>
      </c>
      <c r="F1466">
        <v>1997</v>
      </c>
      <c r="G1466" t="s">
        <v>63</v>
      </c>
      <c r="H1466">
        <v>12</v>
      </c>
      <c r="I1466">
        <v>3</v>
      </c>
      <c r="J1466">
        <v>157</v>
      </c>
      <c r="K1466">
        <v>160</v>
      </c>
      <c r="L1466" t="s">
        <v>12903</v>
      </c>
      <c r="M1466" t="s">
        <v>12904</v>
      </c>
      <c r="N1466" t="s">
        <v>12905</v>
      </c>
      <c r="O1466" t="s">
        <v>63</v>
      </c>
      <c r="Q1466" t="s">
        <v>63</v>
      </c>
      <c r="R1466" t="s">
        <v>63</v>
      </c>
      <c r="S1466" t="s">
        <v>63</v>
      </c>
      <c r="T1466" t="s">
        <v>63</v>
      </c>
      <c r="X1466" t="s">
        <v>63</v>
      </c>
      <c r="Y1466" t="s">
        <v>6336</v>
      </c>
      <c r="Z1466" t="s">
        <v>63</v>
      </c>
      <c r="AA1466" t="s">
        <v>12906</v>
      </c>
      <c r="AB1466">
        <v>9376253</v>
      </c>
      <c r="AC1466" t="s">
        <v>67</v>
      </c>
      <c r="AD1466" t="s">
        <v>63</v>
      </c>
      <c r="AE1466" t="s">
        <v>63</v>
      </c>
      <c r="AF1466" t="s">
        <v>63</v>
      </c>
      <c r="AG1466" t="s">
        <v>12907</v>
      </c>
      <c r="AH1466" t="s">
        <v>63</v>
      </c>
      <c r="AI1466" t="s">
        <v>63</v>
      </c>
      <c r="AJ1466" t="s">
        <v>63</v>
      </c>
      <c r="AK1466" t="s">
        <v>63</v>
      </c>
      <c r="AL1466" t="s">
        <v>63</v>
      </c>
      <c r="AM1466" t="s">
        <v>12908</v>
      </c>
      <c r="AN1466" t="s">
        <v>63</v>
      </c>
      <c r="AO1466" t="s">
        <v>63</v>
      </c>
      <c r="AP1466" t="s">
        <v>63</v>
      </c>
      <c r="AQ1466" t="s">
        <v>63</v>
      </c>
      <c r="AR1466" t="s">
        <v>63</v>
      </c>
      <c r="AS1466" t="s">
        <v>63</v>
      </c>
      <c r="AT1466" t="s">
        <v>63</v>
      </c>
      <c r="AU1466" t="s">
        <v>63</v>
      </c>
      <c r="AV1466" t="s">
        <v>63</v>
      </c>
      <c r="AW1466" t="s">
        <v>63</v>
      </c>
      <c r="AX1466" t="s">
        <v>63</v>
      </c>
      <c r="AY1466" t="s">
        <v>63</v>
      </c>
      <c r="AZ1466" t="s">
        <v>63</v>
      </c>
      <c r="BA1466" t="s">
        <v>63</v>
      </c>
      <c r="BB1466" t="s">
        <v>63</v>
      </c>
      <c r="BC1466" t="s">
        <v>63</v>
      </c>
      <c r="BD1466" t="s">
        <v>63</v>
      </c>
      <c r="BE1466" t="s">
        <v>63</v>
      </c>
      <c r="BF1466" t="s">
        <v>63</v>
      </c>
    </row>
    <row r="1467" spans="1:58">
      <c r="A1467" t="s">
        <v>58</v>
      </c>
      <c r="B1467" t="s">
        <v>12909</v>
      </c>
      <c r="C1467" t="s">
        <v>12910</v>
      </c>
      <c r="D1467" t="s">
        <v>389</v>
      </c>
      <c r="E1467" t="s">
        <v>63</v>
      </c>
      <c r="F1467">
        <v>2011</v>
      </c>
      <c r="G1467" t="s">
        <v>138</v>
      </c>
      <c r="H1467">
        <v>32</v>
      </c>
      <c r="I1467">
        <v>4</v>
      </c>
      <c r="J1467">
        <v>220</v>
      </c>
      <c r="K1467">
        <v>224</v>
      </c>
      <c r="L1467" t="s">
        <v>12911</v>
      </c>
      <c r="M1467" t="s">
        <v>12912</v>
      </c>
      <c r="N1467" t="s">
        <v>12913</v>
      </c>
      <c r="O1467" t="s">
        <v>63</v>
      </c>
      <c r="Q1467" t="s">
        <v>63</v>
      </c>
      <c r="R1467" t="s">
        <v>63</v>
      </c>
      <c r="S1467" t="s">
        <v>63</v>
      </c>
      <c r="T1467" t="s">
        <v>63</v>
      </c>
      <c r="X1467" t="s">
        <v>63</v>
      </c>
      <c r="Y1467" t="s">
        <v>556</v>
      </c>
      <c r="Z1467" t="s">
        <v>63</v>
      </c>
      <c r="AA1467" t="s">
        <v>12914</v>
      </c>
      <c r="AB1467">
        <v>22014252</v>
      </c>
      <c r="AC1467" t="s">
        <v>67</v>
      </c>
      <c r="AD1467" t="s">
        <v>63</v>
      </c>
      <c r="AE1467" t="s">
        <v>63</v>
      </c>
      <c r="AF1467" t="s">
        <v>63</v>
      </c>
      <c r="AG1467" t="s">
        <v>12915</v>
      </c>
      <c r="AH1467" t="s">
        <v>63</v>
      </c>
      <c r="AI1467" t="s">
        <v>12916</v>
      </c>
      <c r="AJ1467" t="s">
        <v>63</v>
      </c>
      <c r="AK1467" t="s">
        <v>63</v>
      </c>
      <c r="AL1467" t="s">
        <v>63</v>
      </c>
      <c r="AM1467" t="s">
        <v>12917</v>
      </c>
      <c r="AN1467" t="s">
        <v>63</v>
      </c>
      <c r="AO1467" t="s">
        <v>63</v>
      </c>
      <c r="AP1467" t="s">
        <v>63</v>
      </c>
      <c r="AQ1467" t="s">
        <v>63</v>
      </c>
      <c r="AR1467" t="s">
        <v>63</v>
      </c>
      <c r="AS1467" t="s">
        <v>63</v>
      </c>
      <c r="AT1467" t="s">
        <v>63</v>
      </c>
      <c r="AU1467" t="s">
        <v>63</v>
      </c>
      <c r="AV1467" t="s">
        <v>63</v>
      </c>
      <c r="AW1467" t="s">
        <v>63</v>
      </c>
      <c r="AX1467" t="s">
        <v>63</v>
      </c>
      <c r="AY1467" t="s">
        <v>63</v>
      </c>
      <c r="AZ1467" t="s">
        <v>63</v>
      </c>
      <c r="BA1467" t="s">
        <v>63</v>
      </c>
      <c r="BB1467" t="s">
        <v>63</v>
      </c>
      <c r="BC1467" t="s">
        <v>63</v>
      </c>
      <c r="BD1467" t="s">
        <v>63</v>
      </c>
      <c r="BE1467" t="s">
        <v>63</v>
      </c>
      <c r="BF1467" t="s">
        <v>63</v>
      </c>
    </row>
    <row r="1468" spans="1:58">
      <c r="A1468" t="s">
        <v>58</v>
      </c>
      <c r="B1468" t="s">
        <v>12918</v>
      </c>
      <c r="C1468" t="s">
        <v>12919</v>
      </c>
      <c r="D1468" t="s">
        <v>1055</v>
      </c>
      <c r="E1468" t="s">
        <v>1056</v>
      </c>
      <c r="F1468">
        <v>2005</v>
      </c>
      <c r="G1468" t="s">
        <v>189</v>
      </c>
      <c r="H1468">
        <v>39</v>
      </c>
      <c r="I1468">
        <v>5</v>
      </c>
      <c r="J1468">
        <v>529</v>
      </c>
      <c r="K1468">
        <v>530</v>
      </c>
      <c r="L1468" t="s">
        <v>12920</v>
      </c>
      <c r="M1468" t="s">
        <v>63</v>
      </c>
      <c r="N1468" t="s">
        <v>12921</v>
      </c>
      <c r="O1468" t="s">
        <v>63</v>
      </c>
      <c r="Q1468" t="s">
        <v>63</v>
      </c>
      <c r="R1468" t="s">
        <v>63</v>
      </c>
      <c r="S1468" t="s">
        <v>63</v>
      </c>
      <c r="T1468" t="s">
        <v>63</v>
      </c>
      <c r="X1468" t="s">
        <v>63</v>
      </c>
      <c r="Y1468" t="s">
        <v>1059</v>
      </c>
      <c r="Z1468" t="s">
        <v>63</v>
      </c>
      <c r="AA1468" t="s">
        <v>12922</v>
      </c>
      <c r="AB1468">
        <v>15842715</v>
      </c>
      <c r="AC1468" t="s">
        <v>67</v>
      </c>
      <c r="AD1468" t="s">
        <v>63</v>
      </c>
      <c r="AE1468" t="s">
        <v>63</v>
      </c>
      <c r="AF1468" t="s">
        <v>63</v>
      </c>
      <c r="AG1468" t="s">
        <v>12923</v>
      </c>
      <c r="AH1468" t="s">
        <v>63</v>
      </c>
      <c r="AI1468" t="s">
        <v>63</v>
      </c>
      <c r="AJ1468" t="s">
        <v>63</v>
      </c>
      <c r="AK1468" t="s">
        <v>63</v>
      </c>
      <c r="AL1468" t="s">
        <v>63</v>
      </c>
      <c r="AM1468" t="s">
        <v>12924</v>
      </c>
      <c r="AN1468" t="s">
        <v>63</v>
      </c>
      <c r="AO1468" t="s">
        <v>63</v>
      </c>
      <c r="AP1468" t="s">
        <v>63</v>
      </c>
      <c r="AQ1468" t="s">
        <v>63</v>
      </c>
      <c r="AR1468" t="s">
        <v>63</v>
      </c>
      <c r="AS1468" t="s">
        <v>63</v>
      </c>
      <c r="AT1468" t="s">
        <v>63</v>
      </c>
      <c r="AU1468" t="s">
        <v>63</v>
      </c>
      <c r="AV1468" t="s">
        <v>63</v>
      </c>
      <c r="AW1468" t="s">
        <v>63</v>
      </c>
      <c r="AX1468" t="s">
        <v>63</v>
      </c>
      <c r="AY1468" t="s">
        <v>63</v>
      </c>
      <c r="AZ1468" t="s">
        <v>63</v>
      </c>
      <c r="BA1468" t="s">
        <v>63</v>
      </c>
      <c r="BB1468" t="s">
        <v>63</v>
      </c>
      <c r="BC1468" t="s">
        <v>63</v>
      </c>
      <c r="BD1468" t="s">
        <v>63</v>
      </c>
      <c r="BE1468" t="s">
        <v>63</v>
      </c>
      <c r="BF1468" t="s">
        <v>63</v>
      </c>
    </row>
    <row r="1469" spans="1:58">
      <c r="A1469" t="s">
        <v>58</v>
      </c>
      <c r="B1469" t="s">
        <v>12925</v>
      </c>
      <c r="C1469" t="s">
        <v>12926</v>
      </c>
      <c r="D1469" t="s">
        <v>173</v>
      </c>
      <c r="E1469" t="s">
        <v>63</v>
      </c>
      <c r="F1469">
        <v>1972</v>
      </c>
      <c r="G1469" s="1">
        <v>41820</v>
      </c>
      <c r="H1469">
        <v>66</v>
      </c>
      <c r="I1469">
        <v>13</v>
      </c>
      <c r="J1469">
        <v>653</v>
      </c>
      <c r="K1469">
        <v>654</v>
      </c>
      <c r="L1469" t="s">
        <v>12927</v>
      </c>
      <c r="M1469" t="s">
        <v>63</v>
      </c>
      <c r="N1469" t="s">
        <v>12928</v>
      </c>
      <c r="O1469" t="s">
        <v>63</v>
      </c>
      <c r="Q1469" t="s">
        <v>63</v>
      </c>
      <c r="R1469" t="s">
        <v>63</v>
      </c>
      <c r="S1469" t="s">
        <v>63</v>
      </c>
      <c r="T1469" t="s">
        <v>63</v>
      </c>
      <c r="X1469" t="s">
        <v>63</v>
      </c>
      <c r="Y1469" t="s">
        <v>176</v>
      </c>
      <c r="Z1469" t="s">
        <v>63</v>
      </c>
      <c r="AA1469" t="s">
        <v>63</v>
      </c>
      <c r="AB1469">
        <v>4636962</v>
      </c>
      <c r="AC1469" t="s">
        <v>102</v>
      </c>
      <c r="AD1469" t="s">
        <v>63</v>
      </c>
      <c r="AE1469" t="s">
        <v>63</v>
      </c>
      <c r="AF1469" t="s">
        <v>63</v>
      </c>
      <c r="AG1469" t="s">
        <v>12929</v>
      </c>
      <c r="AH1469" t="s">
        <v>63</v>
      </c>
      <c r="AI1469" t="s">
        <v>63</v>
      </c>
      <c r="AJ1469" t="s">
        <v>63</v>
      </c>
      <c r="AK1469" t="s">
        <v>63</v>
      </c>
      <c r="AL1469" t="s">
        <v>63</v>
      </c>
      <c r="AM1469" t="s">
        <v>12930</v>
      </c>
      <c r="AN1469" t="s">
        <v>63</v>
      </c>
      <c r="AO1469" t="s">
        <v>63</v>
      </c>
      <c r="AP1469" t="s">
        <v>63</v>
      </c>
      <c r="AQ1469" t="s">
        <v>63</v>
      </c>
      <c r="AR1469" t="s">
        <v>63</v>
      </c>
      <c r="AS1469" t="s">
        <v>63</v>
      </c>
      <c r="AT1469" t="s">
        <v>63</v>
      </c>
      <c r="AU1469" t="s">
        <v>63</v>
      </c>
      <c r="AV1469" t="s">
        <v>63</v>
      </c>
      <c r="AW1469" t="s">
        <v>63</v>
      </c>
      <c r="AX1469" t="s">
        <v>63</v>
      </c>
      <c r="AY1469" t="s">
        <v>63</v>
      </c>
      <c r="AZ1469" t="s">
        <v>63</v>
      </c>
      <c r="BA1469" t="s">
        <v>63</v>
      </c>
      <c r="BB1469" t="s">
        <v>63</v>
      </c>
      <c r="BC1469" t="s">
        <v>63</v>
      </c>
      <c r="BD1469" t="s">
        <v>63</v>
      </c>
      <c r="BE1469" t="s">
        <v>63</v>
      </c>
      <c r="BF1469" t="s">
        <v>63</v>
      </c>
    </row>
    <row r="1470" spans="1:58">
      <c r="A1470" t="s">
        <v>58</v>
      </c>
      <c r="B1470" t="s">
        <v>12931</v>
      </c>
      <c r="C1470" t="s">
        <v>12932</v>
      </c>
      <c r="D1470" t="s">
        <v>6111</v>
      </c>
      <c r="E1470" t="s">
        <v>6112</v>
      </c>
      <c r="F1470">
        <v>2005</v>
      </c>
      <c r="G1470" t="s">
        <v>198</v>
      </c>
      <c r="H1470">
        <v>189</v>
      </c>
      <c r="I1470">
        <v>1</v>
      </c>
      <c r="J1470">
        <v>44</v>
      </c>
      <c r="K1470">
        <v>46</v>
      </c>
      <c r="L1470" t="s">
        <v>12933</v>
      </c>
      <c r="M1470" t="s">
        <v>12934</v>
      </c>
      <c r="N1470" t="s">
        <v>12935</v>
      </c>
      <c r="O1470" t="s">
        <v>63</v>
      </c>
      <c r="Q1470" t="s">
        <v>63</v>
      </c>
      <c r="R1470" t="s">
        <v>63</v>
      </c>
      <c r="S1470" t="s">
        <v>63</v>
      </c>
      <c r="T1470" t="s">
        <v>63</v>
      </c>
      <c r="X1470" t="s">
        <v>63</v>
      </c>
      <c r="Y1470" s="2">
        <v>2814591</v>
      </c>
      <c r="Z1470" t="s">
        <v>63</v>
      </c>
      <c r="AA1470" t="s">
        <v>12936</v>
      </c>
      <c r="AB1470">
        <v>15701489</v>
      </c>
      <c r="AC1470" t="s">
        <v>67</v>
      </c>
      <c r="AD1470" t="s">
        <v>63</v>
      </c>
      <c r="AE1470" t="s">
        <v>63</v>
      </c>
      <c r="AF1470" t="s">
        <v>63</v>
      </c>
      <c r="AG1470" t="s">
        <v>12937</v>
      </c>
      <c r="AH1470" t="s">
        <v>63</v>
      </c>
      <c r="AI1470" t="s">
        <v>63</v>
      </c>
      <c r="AJ1470" t="s">
        <v>63</v>
      </c>
      <c r="AK1470" t="s">
        <v>63</v>
      </c>
      <c r="AL1470" t="s">
        <v>63</v>
      </c>
      <c r="AM1470" t="s">
        <v>12938</v>
      </c>
      <c r="AN1470" t="s">
        <v>63</v>
      </c>
      <c r="AO1470" t="s">
        <v>63</v>
      </c>
      <c r="AP1470" t="s">
        <v>63</v>
      </c>
      <c r="AQ1470" t="s">
        <v>63</v>
      </c>
      <c r="AR1470" t="s">
        <v>63</v>
      </c>
      <c r="AS1470" t="s">
        <v>63</v>
      </c>
      <c r="AT1470" t="s">
        <v>63</v>
      </c>
      <c r="AU1470" t="s">
        <v>63</v>
      </c>
      <c r="AV1470" t="s">
        <v>63</v>
      </c>
      <c r="AW1470" t="s">
        <v>63</v>
      </c>
      <c r="AX1470" t="s">
        <v>63</v>
      </c>
      <c r="AY1470" t="s">
        <v>63</v>
      </c>
      <c r="AZ1470" t="s">
        <v>63</v>
      </c>
      <c r="BA1470" t="s">
        <v>63</v>
      </c>
      <c r="BB1470" t="s">
        <v>63</v>
      </c>
      <c r="BC1470" t="s">
        <v>63</v>
      </c>
      <c r="BD1470" t="s">
        <v>63</v>
      </c>
      <c r="BE1470" t="s">
        <v>63</v>
      </c>
      <c r="BF1470" t="s">
        <v>63</v>
      </c>
    </row>
    <row r="1471" spans="1:58">
      <c r="A1471" t="s">
        <v>58</v>
      </c>
      <c r="B1471" t="s">
        <v>12939</v>
      </c>
      <c r="C1471" t="s">
        <v>12940</v>
      </c>
      <c r="D1471" t="s">
        <v>12941</v>
      </c>
      <c r="E1471" t="s">
        <v>63</v>
      </c>
      <c r="F1471">
        <v>2010</v>
      </c>
      <c r="G1471" t="s">
        <v>84</v>
      </c>
      <c r="H1471">
        <v>96</v>
      </c>
      <c r="I1471">
        <v>4</v>
      </c>
      <c r="J1471">
        <v>259</v>
      </c>
      <c r="K1471">
        <v>264</v>
      </c>
      <c r="L1471" t="s">
        <v>12942</v>
      </c>
      <c r="M1471" t="s">
        <v>12943</v>
      </c>
      <c r="N1471" t="s">
        <v>12944</v>
      </c>
      <c r="O1471" t="s">
        <v>63</v>
      </c>
      <c r="Q1471" t="s">
        <v>63</v>
      </c>
      <c r="R1471" t="s">
        <v>63</v>
      </c>
      <c r="S1471" t="s">
        <v>63</v>
      </c>
      <c r="T1471" t="s">
        <v>63</v>
      </c>
      <c r="X1471" t="s">
        <v>63</v>
      </c>
      <c r="Y1471" t="s">
        <v>12945</v>
      </c>
      <c r="Z1471" t="s">
        <v>63</v>
      </c>
      <c r="AA1471" t="s">
        <v>12946</v>
      </c>
      <c r="AB1471">
        <v>20339165</v>
      </c>
      <c r="AC1471" t="s">
        <v>12947</v>
      </c>
      <c r="AD1471" t="s">
        <v>63</v>
      </c>
      <c r="AE1471" t="s">
        <v>63</v>
      </c>
      <c r="AF1471" t="s">
        <v>63</v>
      </c>
      <c r="AG1471" t="s">
        <v>12948</v>
      </c>
      <c r="AH1471" t="s">
        <v>63</v>
      </c>
      <c r="AI1471" t="s">
        <v>63</v>
      </c>
      <c r="AJ1471" t="s">
        <v>63</v>
      </c>
      <c r="AK1471" t="s">
        <v>63</v>
      </c>
      <c r="AL1471" t="s">
        <v>63</v>
      </c>
      <c r="AM1471" t="s">
        <v>12949</v>
      </c>
      <c r="AN1471" t="s">
        <v>63</v>
      </c>
      <c r="AO1471" t="s">
        <v>63</v>
      </c>
      <c r="AP1471" t="s">
        <v>63</v>
      </c>
      <c r="AQ1471" t="s">
        <v>63</v>
      </c>
      <c r="AR1471" t="s">
        <v>63</v>
      </c>
      <c r="AS1471" t="s">
        <v>63</v>
      </c>
      <c r="AT1471" t="s">
        <v>63</v>
      </c>
      <c r="AU1471" t="s">
        <v>63</v>
      </c>
      <c r="AV1471" t="s">
        <v>63</v>
      </c>
      <c r="AW1471" t="s">
        <v>63</v>
      </c>
      <c r="AX1471" t="s">
        <v>63</v>
      </c>
      <c r="AY1471" t="s">
        <v>63</v>
      </c>
      <c r="AZ1471" t="s">
        <v>63</v>
      </c>
      <c r="BA1471" t="s">
        <v>63</v>
      </c>
      <c r="BB1471" t="s">
        <v>63</v>
      </c>
      <c r="BC1471" t="s">
        <v>63</v>
      </c>
      <c r="BD1471" t="s">
        <v>63</v>
      </c>
      <c r="BE1471" t="s">
        <v>63</v>
      </c>
      <c r="BF1471" t="s">
        <v>63</v>
      </c>
    </row>
    <row r="1472" spans="1:58">
      <c r="A1472" t="s">
        <v>58</v>
      </c>
      <c r="B1472" t="s">
        <v>12950</v>
      </c>
      <c r="C1472" t="s">
        <v>12951</v>
      </c>
      <c r="D1472" t="s">
        <v>10262</v>
      </c>
      <c r="E1472" t="s">
        <v>63</v>
      </c>
      <c r="F1472">
        <v>2005</v>
      </c>
      <c r="G1472" t="s">
        <v>181</v>
      </c>
      <c r="H1472">
        <v>27</v>
      </c>
      <c r="I1472">
        <v>3</v>
      </c>
      <c r="J1472">
        <v>185</v>
      </c>
      <c r="K1472">
        <v>193</v>
      </c>
      <c r="L1472" t="s">
        <v>12952</v>
      </c>
      <c r="M1472" t="s">
        <v>12953</v>
      </c>
      <c r="N1472" t="s">
        <v>12954</v>
      </c>
      <c r="O1472" t="s">
        <v>63</v>
      </c>
      <c r="Q1472" t="s">
        <v>63</v>
      </c>
      <c r="R1472" t="s">
        <v>63</v>
      </c>
      <c r="S1472" t="s">
        <v>63</v>
      </c>
      <c r="T1472" t="s">
        <v>63</v>
      </c>
      <c r="X1472" t="s">
        <v>63</v>
      </c>
      <c r="Y1472" t="s">
        <v>10266</v>
      </c>
      <c r="Z1472" t="s">
        <v>63</v>
      </c>
      <c r="AA1472" t="s">
        <v>12955</v>
      </c>
      <c r="AB1472">
        <v>16224605</v>
      </c>
      <c r="AC1472" t="s">
        <v>67</v>
      </c>
      <c r="AD1472" t="s">
        <v>63</v>
      </c>
      <c r="AE1472" t="s">
        <v>63</v>
      </c>
      <c r="AF1472" t="s">
        <v>63</v>
      </c>
      <c r="AG1472" t="s">
        <v>12956</v>
      </c>
      <c r="AH1472" t="s">
        <v>63</v>
      </c>
      <c r="AI1472" t="s">
        <v>63</v>
      </c>
      <c r="AJ1472" t="s">
        <v>63</v>
      </c>
      <c r="AK1472" t="s">
        <v>63</v>
      </c>
      <c r="AL1472" t="s">
        <v>63</v>
      </c>
      <c r="AM1472" t="s">
        <v>12957</v>
      </c>
      <c r="AN1472" t="s">
        <v>63</v>
      </c>
      <c r="AO1472" t="s">
        <v>63</v>
      </c>
      <c r="AP1472" t="s">
        <v>63</v>
      </c>
      <c r="AQ1472" t="s">
        <v>63</v>
      </c>
      <c r="AR1472" t="s">
        <v>63</v>
      </c>
      <c r="AS1472" t="s">
        <v>63</v>
      </c>
      <c r="AT1472" t="s">
        <v>63</v>
      </c>
      <c r="AU1472" t="s">
        <v>63</v>
      </c>
      <c r="AV1472" t="s">
        <v>63</v>
      </c>
      <c r="AW1472" t="s">
        <v>63</v>
      </c>
      <c r="AX1472" t="s">
        <v>63</v>
      </c>
      <c r="AY1472" t="s">
        <v>63</v>
      </c>
      <c r="AZ1472" t="s">
        <v>63</v>
      </c>
      <c r="BA1472" t="s">
        <v>63</v>
      </c>
      <c r="BB1472" t="s">
        <v>63</v>
      </c>
      <c r="BC1472" t="s">
        <v>63</v>
      </c>
      <c r="BD1472" t="s">
        <v>63</v>
      </c>
      <c r="BE1472" t="s">
        <v>63</v>
      </c>
      <c r="BF1472" t="s">
        <v>63</v>
      </c>
    </row>
    <row r="1473" spans="1:58">
      <c r="A1473" t="s">
        <v>58</v>
      </c>
      <c r="B1473" t="s">
        <v>12958</v>
      </c>
      <c r="C1473" t="s">
        <v>12959</v>
      </c>
      <c r="D1473" t="s">
        <v>325</v>
      </c>
      <c r="E1473" t="s">
        <v>63</v>
      </c>
      <c r="F1473">
        <v>2009</v>
      </c>
      <c r="G1473" t="s">
        <v>147</v>
      </c>
      <c r="H1473">
        <v>33</v>
      </c>
      <c r="I1473">
        <v>2</v>
      </c>
      <c r="J1473">
        <v>125</v>
      </c>
      <c r="K1473">
        <v>130</v>
      </c>
      <c r="L1473" t="s">
        <v>12960</v>
      </c>
      <c r="M1473" t="s">
        <v>12961</v>
      </c>
      <c r="N1473" t="s">
        <v>12962</v>
      </c>
      <c r="O1473" t="s">
        <v>63</v>
      </c>
      <c r="Q1473" t="s">
        <v>63</v>
      </c>
      <c r="R1473" t="s">
        <v>63</v>
      </c>
      <c r="S1473" t="s">
        <v>63</v>
      </c>
      <c r="T1473" t="s">
        <v>63</v>
      </c>
      <c r="X1473" t="s">
        <v>63</v>
      </c>
      <c r="Y1473" t="s">
        <v>866</v>
      </c>
      <c r="Z1473" t="s">
        <v>63</v>
      </c>
      <c r="AA1473" t="s">
        <v>12963</v>
      </c>
      <c r="AB1473">
        <v>19398625</v>
      </c>
      <c r="AC1473" t="s">
        <v>67</v>
      </c>
      <c r="AD1473" t="s">
        <v>63</v>
      </c>
      <c r="AE1473" t="s">
        <v>63</v>
      </c>
      <c r="AF1473" t="s">
        <v>63</v>
      </c>
      <c r="AG1473" t="s">
        <v>12964</v>
      </c>
      <c r="AH1473" t="s">
        <v>63</v>
      </c>
      <c r="AI1473" t="s">
        <v>12965</v>
      </c>
      <c r="AJ1473" t="s">
        <v>63</v>
      </c>
      <c r="AK1473" t="s">
        <v>63</v>
      </c>
      <c r="AL1473" t="s">
        <v>63</v>
      </c>
      <c r="AM1473" t="s">
        <v>12966</v>
      </c>
      <c r="AN1473" t="s">
        <v>63</v>
      </c>
      <c r="AO1473" t="s">
        <v>63</v>
      </c>
      <c r="AP1473" t="s">
        <v>63</v>
      </c>
      <c r="AQ1473" t="s">
        <v>63</v>
      </c>
      <c r="AR1473" t="s">
        <v>63</v>
      </c>
      <c r="AS1473" t="s">
        <v>63</v>
      </c>
      <c r="AT1473" t="s">
        <v>63</v>
      </c>
      <c r="AU1473" t="s">
        <v>63</v>
      </c>
      <c r="AV1473" t="s">
        <v>63</v>
      </c>
      <c r="AW1473" t="s">
        <v>63</v>
      </c>
      <c r="AX1473" t="s">
        <v>63</v>
      </c>
      <c r="AY1473" t="s">
        <v>63</v>
      </c>
      <c r="AZ1473" t="s">
        <v>63</v>
      </c>
      <c r="BA1473" t="s">
        <v>63</v>
      </c>
      <c r="BB1473" t="s">
        <v>63</v>
      </c>
      <c r="BC1473" t="s">
        <v>63</v>
      </c>
      <c r="BD1473" t="s">
        <v>63</v>
      </c>
      <c r="BE1473" t="s">
        <v>63</v>
      </c>
      <c r="BF1473" t="s">
        <v>63</v>
      </c>
    </row>
    <row r="1474" spans="1:58">
      <c r="A1474" t="s">
        <v>58</v>
      </c>
      <c r="B1474" t="s">
        <v>12967</v>
      </c>
      <c r="C1474" t="s">
        <v>12968</v>
      </c>
      <c r="D1474" t="s">
        <v>12969</v>
      </c>
      <c r="E1474" t="s">
        <v>12969</v>
      </c>
      <c r="F1474">
        <v>2014</v>
      </c>
      <c r="G1474" s="1">
        <v>41856</v>
      </c>
      <c r="H1474">
        <v>103</v>
      </c>
      <c r="I1474">
        <v>16</v>
      </c>
      <c r="J1474">
        <v>971</v>
      </c>
      <c r="K1474">
        <v>972</v>
      </c>
      <c r="L1474" t="s">
        <v>12970</v>
      </c>
      <c r="M1474" t="s">
        <v>63</v>
      </c>
      <c r="N1474" t="s">
        <v>12971</v>
      </c>
      <c r="O1474" t="s">
        <v>63</v>
      </c>
      <c r="Q1474" t="s">
        <v>63</v>
      </c>
      <c r="R1474" t="s">
        <v>63</v>
      </c>
      <c r="S1474" t="s">
        <v>63</v>
      </c>
      <c r="T1474" t="s">
        <v>63</v>
      </c>
      <c r="X1474" t="s">
        <v>63</v>
      </c>
      <c r="Y1474" t="s">
        <v>12972</v>
      </c>
      <c r="Z1474" t="s">
        <v>63</v>
      </c>
      <c r="AA1474" t="s">
        <v>12973</v>
      </c>
      <c r="AB1474">
        <v>25097167</v>
      </c>
      <c r="AC1474" t="s">
        <v>102</v>
      </c>
      <c r="AD1474" t="s">
        <v>63</v>
      </c>
      <c r="AE1474" t="s">
        <v>63</v>
      </c>
      <c r="AF1474" t="s">
        <v>63</v>
      </c>
      <c r="AG1474" t="s">
        <v>12974</v>
      </c>
      <c r="AH1474" t="s">
        <v>63</v>
      </c>
      <c r="AI1474" t="s">
        <v>12975</v>
      </c>
      <c r="AJ1474" t="s">
        <v>63</v>
      </c>
      <c r="AK1474" t="s">
        <v>63</v>
      </c>
      <c r="AL1474" t="s">
        <v>63</v>
      </c>
      <c r="AM1474" t="s">
        <v>12976</v>
      </c>
      <c r="AN1474" t="s">
        <v>63</v>
      </c>
      <c r="AO1474" t="s">
        <v>63</v>
      </c>
      <c r="AP1474" t="s">
        <v>63</v>
      </c>
      <c r="AQ1474" t="s">
        <v>63</v>
      </c>
      <c r="AR1474" t="s">
        <v>63</v>
      </c>
      <c r="AS1474" t="s">
        <v>63</v>
      </c>
      <c r="AT1474" t="s">
        <v>63</v>
      </c>
      <c r="AU1474" t="s">
        <v>63</v>
      </c>
      <c r="AV1474" t="s">
        <v>63</v>
      </c>
      <c r="AW1474" t="s">
        <v>63</v>
      </c>
      <c r="AX1474" t="s">
        <v>63</v>
      </c>
      <c r="AY1474" t="s">
        <v>63</v>
      </c>
      <c r="AZ1474" t="s">
        <v>63</v>
      </c>
      <c r="BA1474" t="s">
        <v>63</v>
      </c>
      <c r="BB1474" t="s">
        <v>63</v>
      </c>
      <c r="BC1474" t="s">
        <v>63</v>
      </c>
      <c r="BD1474" t="s">
        <v>63</v>
      </c>
      <c r="BE1474" t="s">
        <v>63</v>
      </c>
      <c r="BF1474" t="s">
        <v>63</v>
      </c>
    </row>
    <row r="1475" spans="1:58">
      <c r="A1475" t="s">
        <v>58</v>
      </c>
      <c r="B1475" t="s">
        <v>12977</v>
      </c>
      <c r="C1475" t="s">
        <v>12978</v>
      </c>
      <c r="D1475" t="s">
        <v>592</v>
      </c>
      <c r="E1475" t="s">
        <v>593</v>
      </c>
      <c r="F1475">
        <v>1995</v>
      </c>
      <c r="G1475" t="s">
        <v>1670</v>
      </c>
      <c r="H1475">
        <v>24</v>
      </c>
      <c r="I1475">
        <v>7</v>
      </c>
      <c r="J1475">
        <v>1256</v>
      </c>
      <c r="K1475">
        <v>1259</v>
      </c>
      <c r="L1475" t="s">
        <v>12979</v>
      </c>
      <c r="M1475" t="s">
        <v>12980</v>
      </c>
      <c r="N1475" t="s">
        <v>12981</v>
      </c>
      <c r="O1475" t="s">
        <v>63</v>
      </c>
      <c r="Q1475" t="s">
        <v>63</v>
      </c>
      <c r="R1475" t="s">
        <v>63</v>
      </c>
      <c r="S1475" t="s">
        <v>63</v>
      </c>
      <c r="T1475" t="s">
        <v>63</v>
      </c>
      <c r="X1475" t="s">
        <v>63</v>
      </c>
      <c r="Y1475" t="s">
        <v>597</v>
      </c>
      <c r="Z1475" t="s">
        <v>63</v>
      </c>
      <c r="AA1475" t="s">
        <v>63</v>
      </c>
      <c r="AB1475">
        <v>7661780</v>
      </c>
      <c r="AC1475" t="s">
        <v>67</v>
      </c>
      <c r="AD1475" t="s">
        <v>63</v>
      </c>
      <c r="AE1475" t="s">
        <v>63</v>
      </c>
      <c r="AF1475" t="s">
        <v>63</v>
      </c>
      <c r="AG1475" t="s">
        <v>12982</v>
      </c>
      <c r="AH1475" t="s">
        <v>63</v>
      </c>
      <c r="AI1475" t="s">
        <v>63</v>
      </c>
      <c r="AJ1475" t="s">
        <v>63</v>
      </c>
      <c r="AK1475" t="s">
        <v>63</v>
      </c>
      <c r="AL1475" t="s">
        <v>63</v>
      </c>
      <c r="AM1475" t="s">
        <v>12983</v>
      </c>
      <c r="AN1475" t="s">
        <v>63</v>
      </c>
      <c r="AO1475" t="s">
        <v>63</v>
      </c>
      <c r="AP1475" t="s">
        <v>63</v>
      </c>
      <c r="AQ1475" t="s">
        <v>63</v>
      </c>
      <c r="AR1475" t="s">
        <v>63</v>
      </c>
      <c r="AS1475" t="s">
        <v>63</v>
      </c>
      <c r="AT1475" t="s">
        <v>63</v>
      </c>
      <c r="AU1475" t="s">
        <v>63</v>
      </c>
      <c r="AV1475" t="s">
        <v>63</v>
      </c>
      <c r="AW1475" t="s">
        <v>63</v>
      </c>
      <c r="AX1475" t="s">
        <v>63</v>
      </c>
      <c r="AY1475" t="s">
        <v>63</v>
      </c>
      <c r="AZ1475" t="s">
        <v>63</v>
      </c>
      <c r="BA1475" t="s">
        <v>63</v>
      </c>
      <c r="BB1475" t="s">
        <v>63</v>
      </c>
      <c r="BC1475" t="s">
        <v>63</v>
      </c>
      <c r="BD1475" t="s">
        <v>63</v>
      </c>
      <c r="BE1475" t="s">
        <v>63</v>
      </c>
      <c r="BF1475" t="s">
        <v>63</v>
      </c>
    </row>
    <row r="1476" spans="1:58">
      <c r="A1476" t="s">
        <v>58</v>
      </c>
      <c r="B1476" t="s">
        <v>12984</v>
      </c>
      <c r="C1476" t="s">
        <v>12985</v>
      </c>
      <c r="D1476" t="s">
        <v>212</v>
      </c>
      <c r="E1476" t="s">
        <v>63</v>
      </c>
      <c r="F1476">
        <v>2000</v>
      </c>
      <c r="G1476" s="1">
        <v>41802</v>
      </c>
      <c r="H1476">
        <v>162</v>
      </c>
      <c r="I1476">
        <v>12</v>
      </c>
      <c r="J1476">
        <v>1688</v>
      </c>
      <c r="K1476">
        <v>1689</v>
      </c>
      <c r="L1476" t="s">
        <v>12986</v>
      </c>
      <c r="M1476" t="s">
        <v>63</v>
      </c>
      <c r="N1476" t="s">
        <v>12987</v>
      </c>
      <c r="O1476" t="s">
        <v>63</v>
      </c>
      <c r="Q1476" t="s">
        <v>63</v>
      </c>
      <c r="R1476" t="s">
        <v>63</v>
      </c>
      <c r="S1476" t="s">
        <v>63</v>
      </c>
      <c r="T1476" t="s">
        <v>63</v>
      </c>
      <c r="X1476" t="s">
        <v>63</v>
      </c>
      <c r="Y1476" t="s">
        <v>215</v>
      </c>
      <c r="Z1476" t="s">
        <v>63</v>
      </c>
      <c r="AA1476" t="s">
        <v>12988</v>
      </c>
      <c r="AB1476">
        <v>10870498</v>
      </c>
      <c r="AC1476" t="s">
        <v>67</v>
      </c>
      <c r="AD1476" t="s">
        <v>63</v>
      </c>
      <c r="AE1476" t="s">
        <v>63</v>
      </c>
      <c r="AF1476" t="s">
        <v>63</v>
      </c>
      <c r="AG1476" t="s">
        <v>12989</v>
      </c>
      <c r="AH1476" t="s">
        <v>63</v>
      </c>
      <c r="AI1476" t="s">
        <v>63</v>
      </c>
      <c r="AJ1476" t="s">
        <v>63</v>
      </c>
      <c r="AK1476" t="s">
        <v>63</v>
      </c>
      <c r="AL1476" t="s">
        <v>63</v>
      </c>
      <c r="AM1476" t="s">
        <v>12990</v>
      </c>
      <c r="AN1476" t="s">
        <v>63</v>
      </c>
      <c r="AO1476" t="s">
        <v>63</v>
      </c>
      <c r="AP1476" t="s">
        <v>63</v>
      </c>
      <c r="AQ1476" t="s">
        <v>63</v>
      </c>
      <c r="AR1476" t="s">
        <v>63</v>
      </c>
      <c r="AS1476" t="s">
        <v>63</v>
      </c>
      <c r="AT1476" t="s">
        <v>63</v>
      </c>
      <c r="AU1476" t="s">
        <v>63</v>
      </c>
      <c r="AV1476" t="s">
        <v>63</v>
      </c>
      <c r="AW1476" t="s">
        <v>63</v>
      </c>
      <c r="AX1476" t="s">
        <v>63</v>
      </c>
      <c r="AY1476" t="s">
        <v>63</v>
      </c>
      <c r="AZ1476" t="s">
        <v>63</v>
      </c>
      <c r="BA1476" t="s">
        <v>63</v>
      </c>
      <c r="BB1476" t="s">
        <v>63</v>
      </c>
      <c r="BC1476" t="s">
        <v>63</v>
      </c>
      <c r="BD1476" t="s">
        <v>63</v>
      </c>
      <c r="BE1476" t="s">
        <v>63</v>
      </c>
      <c r="BF1476" t="s">
        <v>63</v>
      </c>
    </row>
    <row r="1477" spans="1:58">
      <c r="A1477" t="s">
        <v>58</v>
      </c>
      <c r="B1477" t="s">
        <v>12991</v>
      </c>
      <c r="C1477" t="s">
        <v>12992</v>
      </c>
      <c r="D1477" t="s">
        <v>4989</v>
      </c>
      <c r="E1477" t="s">
        <v>4990</v>
      </c>
      <c r="F1477">
        <v>1994</v>
      </c>
      <c r="G1477" t="s">
        <v>73</v>
      </c>
      <c r="H1477">
        <v>20</v>
      </c>
      <c r="I1477">
        <v>2</v>
      </c>
      <c r="J1477">
        <v>112</v>
      </c>
      <c r="K1477">
        <v>117</v>
      </c>
      <c r="L1477" t="s">
        <v>12993</v>
      </c>
      <c r="M1477" t="s">
        <v>12994</v>
      </c>
      <c r="N1477" t="s">
        <v>12995</v>
      </c>
      <c r="O1477" t="s">
        <v>63</v>
      </c>
      <c r="Q1477" t="s">
        <v>63</v>
      </c>
      <c r="R1477" t="s">
        <v>63</v>
      </c>
      <c r="S1477" t="s">
        <v>63</v>
      </c>
      <c r="T1477" t="s">
        <v>63</v>
      </c>
      <c r="X1477" t="s">
        <v>63</v>
      </c>
      <c r="Y1477" t="s">
        <v>12996</v>
      </c>
      <c r="Z1477" t="s">
        <v>63</v>
      </c>
      <c r="AA1477" t="s">
        <v>12997</v>
      </c>
      <c r="AB1477">
        <v>8083872</v>
      </c>
      <c r="AC1477" t="s">
        <v>67</v>
      </c>
      <c r="AD1477" t="s">
        <v>63</v>
      </c>
      <c r="AE1477" t="s">
        <v>63</v>
      </c>
      <c r="AF1477" t="s">
        <v>63</v>
      </c>
      <c r="AG1477" t="s">
        <v>12998</v>
      </c>
      <c r="AH1477" t="s">
        <v>63</v>
      </c>
      <c r="AI1477" t="s">
        <v>63</v>
      </c>
      <c r="AJ1477" t="s">
        <v>63</v>
      </c>
      <c r="AK1477" t="s">
        <v>63</v>
      </c>
      <c r="AL1477" t="s">
        <v>63</v>
      </c>
      <c r="AM1477" t="s">
        <v>12999</v>
      </c>
      <c r="AN1477" t="s">
        <v>63</v>
      </c>
      <c r="AO1477" t="s">
        <v>63</v>
      </c>
      <c r="AP1477" t="s">
        <v>63</v>
      </c>
      <c r="AQ1477" t="s">
        <v>63</v>
      </c>
      <c r="AR1477" t="s">
        <v>63</v>
      </c>
      <c r="AS1477" t="s">
        <v>63</v>
      </c>
      <c r="AT1477" t="s">
        <v>63</v>
      </c>
      <c r="AU1477" t="s">
        <v>63</v>
      </c>
      <c r="AV1477" t="s">
        <v>63</v>
      </c>
      <c r="AW1477" t="s">
        <v>63</v>
      </c>
      <c r="AX1477" t="s">
        <v>63</v>
      </c>
      <c r="AY1477" t="s">
        <v>63</v>
      </c>
      <c r="AZ1477" t="s">
        <v>63</v>
      </c>
      <c r="BA1477" t="s">
        <v>63</v>
      </c>
      <c r="BB1477" t="s">
        <v>63</v>
      </c>
      <c r="BC1477" t="s">
        <v>63</v>
      </c>
      <c r="BD1477" t="s">
        <v>63</v>
      </c>
      <c r="BE1477" t="s">
        <v>63</v>
      </c>
      <c r="BF1477" t="s">
        <v>63</v>
      </c>
    </row>
    <row r="1478" spans="1:58">
      <c r="A1478" t="s">
        <v>58</v>
      </c>
      <c r="B1478" t="s">
        <v>13000</v>
      </c>
      <c r="C1478" t="s">
        <v>13001</v>
      </c>
      <c r="D1478" t="s">
        <v>408</v>
      </c>
      <c r="E1478" t="s">
        <v>409</v>
      </c>
      <c r="F1478">
        <v>2013</v>
      </c>
      <c r="G1478" t="s">
        <v>84</v>
      </c>
      <c r="H1478">
        <v>48</v>
      </c>
      <c r="I1478">
        <v>5</v>
      </c>
      <c r="J1478">
        <v>404</v>
      </c>
      <c r="K1478">
        <v>414</v>
      </c>
      <c r="L1478" t="s">
        <v>13002</v>
      </c>
      <c r="M1478" t="s">
        <v>13003</v>
      </c>
      <c r="N1478" t="s">
        <v>13004</v>
      </c>
      <c r="O1478" t="s">
        <v>63</v>
      </c>
      <c r="Q1478" t="s">
        <v>63</v>
      </c>
      <c r="R1478" t="s">
        <v>63</v>
      </c>
      <c r="S1478" t="s">
        <v>63</v>
      </c>
      <c r="T1478" t="s">
        <v>63</v>
      </c>
      <c r="X1478" t="s">
        <v>63</v>
      </c>
      <c r="Y1478" t="s">
        <v>412</v>
      </c>
      <c r="Z1478" t="s">
        <v>63</v>
      </c>
      <c r="AA1478" t="s">
        <v>13005</v>
      </c>
      <c r="AB1478">
        <v>23461668</v>
      </c>
      <c r="AC1478" t="s">
        <v>67</v>
      </c>
      <c r="AD1478" t="s">
        <v>63</v>
      </c>
      <c r="AE1478" t="s">
        <v>63</v>
      </c>
      <c r="AF1478" t="s">
        <v>63</v>
      </c>
      <c r="AG1478" t="s">
        <v>13006</v>
      </c>
      <c r="AH1478" t="s">
        <v>63</v>
      </c>
      <c r="AI1478" t="s">
        <v>13007</v>
      </c>
      <c r="AJ1478" t="s">
        <v>63</v>
      </c>
      <c r="AK1478" t="s">
        <v>63</v>
      </c>
      <c r="AL1478" t="s">
        <v>63</v>
      </c>
      <c r="AM1478" t="s">
        <v>13008</v>
      </c>
      <c r="AN1478" t="s">
        <v>63</v>
      </c>
      <c r="AO1478" t="s">
        <v>63</v>
      </c>
      <c r="AP1478" t="s">
        <v>63</v>
      </c>
      <c r="AQ1478" t="s">
        <v>63</v>
      </c>
      <c r="AR1478" t="s">
        <v>63</v>
      </c>
      <c r="AS1478" t="s">
        <v>63</v>
      </c>
      <c r="AT1478" t="s">
        <v>63</v>
      </c>
      <c r="AU1478" t="s">
        <v>63</v>
      </c>
      <c r="AV1478" t="s">
        <v>63</v>
      </c>
      <c r="AW1478" t="s">
        <v>63</v>
      </c>
      <c r="AX1478" t="s">
        <v>63</v>
      </c>
      <c r="AY1478" t="s">
        <v>63</v>
      </c>
      <c r="AZ1478" t="s">
        <v>63</v>
      </c>
      <c r="BA1478" t="s">
        <v>63</v>
      </c>
      <c r="BB1478" t="s">
        <v>63</v>
      </c>
      <c r="BC1478" t="s">
        <v>63</v>
      </c>
      <c r="BD1478" t="s">
        <v>63</v>
      </c>
      <c r="BE1478" t="s">
        <v>63</v>
      </c>
      <c r="BF1478" t="s">
        <v>63</v>
      </c>
    </row>
    <row r="1479" spans="1:58">
      <c r="A1479" t="s">
        <v>58</v>
      </c>
      <c r="B1479" t="s">
        <v>13009</v>
      </c>
      <c r="C1479" t="s">
        <v>13010</v>
      </c>
      <c r="D1479" t="s">
        <v>5261</v>
      </c>
      <c r="E1479" t="s">
        <v>63</v>
      </c>
      <c r="F1479">
        <v>1994</v>
      </c>
      <c r="G1479" t="s">
        <v>63</v>
      </c>
      <c r="H1479">
        <v>94</v>
      </c>
      <c r="I1479">
        <v>6</v>
      </c>
      <c r="J1479">
        <v>99</v>
      </c>
      <c r="K1479">
        <v>101</v>
      </c>
      <c r="L1479" t="s">
        <v>13011</v>
      </c>
      <c r="M1479" t="s">
        <v>63</v>
      </c>
      <c r="N1479" t="s">
        <v>13012</v>
      </c>
      <c r="O1479" t="s">
        <v>63</v>
      </c>
      <c r="Q1479" t="s">
        <v>63</v>
      </c>
      <c r="R1479" t="s">
        <v>63</v>
      </c>
      <c r="S1479" t="s">
        <v>63</v>
      </c>
      <c r="T1479" t="s">
        <v>63</v>
      </c>
      <c r="X1479" t="s">
        <v>63</v>
      </c>
      <c r="Y1479" t="s">
        <v>5265</v>
      </c>
      <c r="Z1479" t="s">
        <v>63</v>
      </c>
      <c r="AA1479" t="s">
        <v>63</v>
      </c>
      <c r="AB1479">
        <v>7740892</v>
      </c>
      <c r="AC1479" t="s">
        <v>5266</v>
      </c>
      <c r="AD1479" t="s">
        <v>63</v>
      </c>
      <c r="AE1479" t="s">
        <v>63</v>
      </c>
      <c r="AF1479" t="s">
        <v>63</v>
      </c>
      <c r="AG1479" t="s">
        <v>13013</v>
      </c>
      <c r="AH1479" t="s">
        <v>63</v>
      </c>
      <c r="AI1479" t="s">
        <v>63</v>
      </c>
      <c r="AJ1479" t="s">
        <v>63</v>
      </c>
      <c r="AK1479" t="s">
        <v>63</v>
      </c>
      <c r="AL1479" t="s">
        <v>63</v>
      </c>
      <c r="AM1479" t="s">
        <v>13014</v>
      </c>
      <c r="AN1479" t="s">
        <v>63</v>
      </c>
      <c r="AO1479" t="s">
        <v>63</v>
      </c>
      <c r="AP1479" t="s">
        <v>63</v>
      </c>
      <c r="AQ1479" t="s">
        <v>63</v>
      </c>
      <c r="AR1479" t="s">
        <v>63</v>
      </c>
      <c r="AS1479" t="s">
        <v>63</v>
      </c>
      <c r="AT1479" t="s">
        <v>63</v>
      </c>
      <c r="AU1479" t="s">
        <v>63</v>
      </c>
      <c r="AV1479" t="s">
        <v>63</v>
      </c>
      <c r="AW1479" t="s">
        <v>63</v>
      </c>
      <c r="AX1479" t="s">
        <v>63</v>
      </c>
      <c r="AY1479" t="s">
        <v>63</v>
      </c>
      <c r="AZ1479" t="s">
        <v>63</v>
      </c>
      <c r="BA1479" t="s">
        <v>63</v>
      </c>
      <c r="BB1479" t="s">
        <v>63</v>
      </c>
      <c r="BC1479" t="s">
        <v>63</v>
      </c>
      <c r="BD1479" t="s">
        <v>63</v>
      </c>
      <c r="BE1479" t="s">
        <v>63</v>
      </c>
      <c r="BF1479" t="s">
        <v>63</v>
      </c>
    </row>
    <row r="1480" spans="1:58">
      <c r="A1480" t="s">
        <v>58</v>
      </c>
      <c r="B1480" t="s">
        <v>13015</v>
      </c>
      <c r="C1480" t="s">
        <v>13016</v>
      </c>
      <c r="D1480" t="s">
        <v>13017</v>
      </c>
      <c r="E1480" t="s">
        <v>13017</v>
      </c>
      <c r="F1480">
        <v>2016</v>
      </c>
      <c r="G1480" t="s">
        <v>157</v>
      </c>
      <c r="H1480">
        <v>78</v>
      </c>
      <c r="I1480">
        <v>12</v>
      </c>
      <c r="J1480">
        <v>816</v>
      </c>
      <c r="K1480">
        <v>821</v>
      </c>
      <c r="L1480" t="s">
        <v>13018</v>
      </c>
      <c r="M1480" t="s">
        <v>13019</v>
      </c>
      <c r="N1480" t="s">
        <v>13020</v>
      </c>
      <c r="O1480" t="s">
        <v>63</v>
      </c>
      <c r="Q1480" t="s">
        <v>63</v>
      </c>
      <c r="R1480" t="s">
        <v>63</v>
      </c>
      <c r="S1480" t="s">
        <v>63</v>
      </c>
      <c r="T1480" t="s">
        <v>63</v>
      </c>
      <c r="X1480" t="s">
        <v>63</v>
      </c>
      <c r="Y1480" t="s">
        <v>13021</v>
      </c>
      <c r="Z1480" t="s">
        <v>63</v>
      </c>
      <c r="AA1480" t="s">
        <v>13022</v>
      </c>
      <c r="AB1480">
        <v>28008576</v>
      </c>
      <c r="AC1480" t="s">
        <v>102</v>
      </c>
      <c r="AD1480" t="s">
        <v>63</v>
      </c>
      <c r="AE1480" t="s">
        <v>63</v>
      </c>
      <c r="AF1480" t="s">
        <v>63</v>
      </c>
      <c r="AG1480" t="s">
        <v>13023</v>
      </c>
      <c r="AH1480" t="s">
        <v>63</v>
      </c>
      <c r="AI1480" t="s">
        <v>13024</v>
      </c>
      <c r="AJ1480" t="s">
        <v>63</v>
      </c>
      <c r="AK1480" t="s">
        <v>63</v>
      </c>
      <c r="AL1480" t="s">
        <v>63</v>
      </c>
      <c r="AM1480" t="s">
        <v>13025</v>
      </c>
      <c r="AN1480" t="s">
        <v>63</v>
      </c>
      <c r="AO1480" t="s">
        <v>63</v>
      </c>
      <c r="AP1480" t="s">
        <v>63</v>
      </c>
      <c r="AQ1480" t="s">
        <v>63</v>
      </c>
      <c r="AR1480" t="s">
        <v>63</v>
      </c>
      <c r="AS1480" t="s">
        <v>63</v>
      </c>
      <c r="AT1480" t="s">
        <v>63</v>
      </c>
      <c r="AU1480" t="s">
        <v>63</v>
      </c>
      <c r="AV1480" t="s">
        <v>63</v>
      </c>
      <c r="AW1480" t="s">
        <v>63</v>
      </c>
      <c r="AX1480" t="s">
        <v>63</v>
      </c>
      <c r="AY1480" t="s">
        <v>63</v>
      </c>
      <c r="AZ1480" t="s">
        <v>63</v>
      </c>
      <c r="BA1480" t="s">
        <v>63</v>
      </c>
      <c r="BB1480" t="s">
        <v>63</v>
      </c>
      <c r="BC1480" t="s">
        <v>63</v>
      </c>
      <c r="BD1480" t="s">
        <v>63</v>
      </c>
      <c r="BE1480" t="s">
        <v>63</v>
      </c>
      <c r="BF1480" t="s">
        <v>63</v>
      </c>
    </row>
    <row r="1481" spans="1:58">
      <c r="A1481" t="s">
        <v>58</v>
      </c>
      <c r="B1481" t="s">
        <v>13026</v>
      </c>
      <c r="C1481" t="s">
        <v>13027</v>
      </c>
      <c r="D1481" t="s">
        <v>1184</v>
      </c>
      <c r="E1481" t="s">
        <v>1185</v>
      </c>
      <c r="F1481">
        <v>1974</v>
      </c>
      <c r="G1481" t="s">
        <v>326</v>
      </c>
      <c r="H1481">
        <v>49</v>
      </c>
      <c r="I1481">
        <v>2</v>
      </c>
      <c r="J1481">
        <v>158</v>
      </c>
      <c r="K1481">
        <v>162</v>
      </c>
      <c r="L1481" t="s">
        <v>13028</v>
      </c>
      <c r="M1481" t="s">
        <v>63</v>
      </c>
      <c r="N1481" t="s">
        <v>13029</v>
      </c>
      <c r="O1481" t="s">
        <v>63</v>
      </c>
      <c r="Q1481" t="s">
        <v>63</v>
      </c>
      <c r="R1481" t="s">
        <v>63</v>
      </c>
      <c r="S1481" t="s">
        <v>63</v>
      </c>
      <c r="T1481" t="s">
        <v>63</v>
      </c>
      <c r="X1481" t="s">
        <v>63</v>
      </c>
      <c r="Y1481" t="s">
        <v>1188</v>
      </c>
      <c r="Z1481" t="s">
        <v>63</v>
      </c>
      <c r="AA1481" t="s">
        <v>63</v>
      </c>
      <c r="AB1481">
        <v>4855584</v>
      </c>
      <c r="AC1481" t="s">
        <v>67</v>
      </c>
      <c r="AD1481" t="s">
        <v>63</v>
      </c>
      <c r="AE1481" t="s">
        <v>63</v>
      </c>
      <c r="AF1481" t="s">
        <v>63</v>
      </c>
      <c r="AG1481" t="s">
        <v>13030</v>
      </c>
      <c r="AH1481" t="s">
        <v>63</v>
      </c>
      <c r="AI1481" t="s">
        <v>63</v>
      </c>
      <c r="AJ1481" t="s">
        <v>63</v>
      </c>
      <c r="AK1481" t="s">
        <v>63</v>
      </c>
      <c r="AL1481" t="s">
        <v>63</v>
      </c>
      <c r="AM1481" t="s">
        <v>13031</v>
      </c>
      <c r="AN1481" t="s">
        <v>63</v>
      </c>
      <c r="AO1481" t="s">
        <v>63</v>
      </c>
      <c r="AP1481" t="s">
        <v>63</v>
      </c>
      <c r="AQ1481" t="s">
        <v>63</v>
      </c>
      <c r="AR1481" t="s">
        <v>63</v>
      </c>
      <c r="AS1481" t="s">
        <v>63</v>
      </c>
      <c r="AT1481" t="s">
        <v>63</v>
      </c>
      <c r="AU1481" t="s">
        <v>63</v>
      </c>
      <c r="AV1481" t="s">
        <v>63</v>
      </c>
      <c r="AW1481" t="s">
        <v>63</v>
      </c>
      <c r="AX1481" t="s">
        <v>63</v>
      </c>
      <c r="AY1481" t="s">
        <v>63</v>
      </c>
      <c r="AZ1481" t="s">
        <v>63</v>
      </c>
      <c r="BA1481" t="s">
        <v>63</v>
      </c>
      <c r="BB1481" t="s">
        <v>63</v>
      </c>
      <c r="BC1481" t="s">
        <v>63</v>
      </c>
      <c r="BD1481" t="s">
        <v>63</v>
      </c>
      <c r="BE1481" t="s">
        <v>63</v>
      </c>
      <c r="BF1481" t="s">
        <v>63</v>
      </c>
    </row>
    <row r="1482" spans="1:58">
      <c r="A1482" t="s">
        <v>58</v>
      </c>
      <c r="B1482" t="s">
        <v>13026</v>
      </c>
      <c r="C1482" t="s">
        <v>13032</v>
      </c>
      <c r="D1482" t="s">
        <v>13033</v>
      </c>
      <c r="E1482" t="s">
        <v>63</v>
      </c>
      <c r="F1482">
        <v>1973</v>
      </c>
      <c r="G1482" t="s">
        <v>63</v>
      </c>
      <c r="H1482">
        <v>1</v>
      </c>
      <c r="I1482" t="s">
        <v>63</v>
      </c>
      <c r="J1482">
        <v>220</v>
      </c>
      <c r="K1482">
        <v>224</v>
      </c>
      <c r="L1482" t="s">
        <v>13034</v>
      </c>
      <c r="M1482" t="s">
        <v>63</v>
      </c>
      <c r="N1482" t="s">
        <v>13035</v>
      </c>
      <c r="O1482" t="s">
        <v>63</v>
      </c>
      <c r="Q1482" t="s">
        <v>63</v>
      </c>
      <c r="R1482" t="s">
        <v>63</v>
      </c>
      <c r="S1482" t="s">
        <v>63</v>
      </c>
      <c r="T1482" t="s">
        <v>63</v>
      </c>
      <c r="X1482" t="s">
        <v>63</v>
      </c>
      <c r="Y1482" t="s">
        <v>13036</v>
      </c>
      <c r="Z1482" t="s">
        <v>63</v>
      </c>
      <c r="AA1482" t="s">
        <v>63</v>
      </c>
      <c r="AB1482">
        <v>4808151</v>
      </c>
      <c r="AC1482" t="s">
        <v>67</v>
      </c>
      <c r="AD1482" t="s">
        <v>63</v>
      </c>
      <c r="AE1482" t="s">
        <v>63</v>
      </c>
      <c r="AF1482" t="s">
        <v>63</v>
      </c>
      <c r="AG1482" t="s">
        <v>13037</v>
      </c>
      <c r="AH1482" t="s">
        <v>63</v>
      </c>
      <c r="AI1482" t="s">
        <v>63</v>
      </c>
      <c r="AJ1482" t="s">
        <v>63</v>
      </c>
      <c r="AK1482" t="s">
        <v>63</v>
      </c>
      <c r="AL1482" t="s">
        <v>63</v>
      </c>
      <c r="AM1482" t="s">
        <v>13038</v>
      </c>
      <c r="AN1482" t="s">
        <v>63</v>
      </c>
      <c r="AO1482" t="s">
        <v>63</v>
      </c>
      <c r="AP1482" t="s">
        <v>63</v>
      </c>
      <c r="AQ1482" t="s">
        <v>63</v>
      </c>
      <c r="AR1482" t="s">
        <v>63</v>
      </c>
      <c r="AS1482" t="s">
        <v>63</v>
      </c>
      <c r="AT1482" t="s">
        <v>63</v>
      </c>
      <c r="AU1482" t="s">
        <v>63</v>
      </c>
      <c r="AV1482" t="s">
        <v>63</v>
      </c>
      <c r="AW1482" t="s">
        <v>63</v>
      </c>
      <c r="AX1482" t="s">
        <v>63</v>
      </c>
      <c r="AY1482" t="s">
        <v>63</v>
      </c>
      <c r="AZ1482" t="s">
        <v>63</v>
      </c>
      <c r="BA1482" t="s">
        <v>63</v>
      </c>
      <c r="BB1482" t="s">
        <v>63</v>
      </c>
      <c r="BC1482" t="s">
        <v>63</v>
      </c>
      <c r="BD1482" t="s">
        <v>63</v>
      </c>
      <c r="BE1482" t="s">
        <v>63</v>
      </c>
      <c r="BF1482" t="s">
        <v>63</v>
      </c>
    </row>
    <row r="1483" spans="1:58">
      <c r="A1483" t="s">
        <v>58</v>
      </c>
      <c r="B1483" t="s">
        <v>13039</v>
      </c>
      <c r="C1483" t="s">
        <v>13040</v>
      </c>
      <c r="D1483" t="s">
        <v>1393</v>
      </c>
      <c r="E1483" t="s">
        <v>1394</v>
      </c>
      <c r="F1483">
        <v>2012</v>
      </c>
      <c r="G1483" t="s">
        <v>326</v>
      </c>
      <c r="H1483">
        <v>14</v>
      </c>
      <c r="I1483">
        <v>2</v>
      </c>
      <c r="J1483">
        <v>224</v>
      </c>
      <c r="K1483">
        <v>228</v>
      </c>
      <c r="L1483" t="s">
        <v>13041</v>
      </c>
      <c r="M1483" t="s">
        <v>13042</v>
      </c>
      <c r="N1483" t="s">
        <v>13043</v>
      </c>
      <c r="O1483" t="s">
        <v>63</v>
      </c>
      <c r="Q1483" t="s">
        <v>63</v>
      </c>
      <c r="R1483" t="s">
        <v>63</v>
      </c>
      <c r="S1483" t="s">
        <v>63</v>
      </c>
      <c r="T1483" t="s">
        <v>63</v>
      </c>
      <c r="X1483" t="s">
        <v>63</v>
      </c>
      <c r="Y1483" t="s">
        <v>5404</v>
      </c>
      <c r="Z1483" t="s">
        <v>63</v>
      </c>
      <c r="AA1483" t="s">
        <v>13044</v>
      </c>
      <c r="AB1483">
        <v>22090454</v>
      </c>
      <c r="AC1483" t="s">
        <v>67</v>
      </c>
      <c r="AD1483" t="s">
        <v>63</v>
      </c>
      <c r="AE1483" t="s">
        <v>63</v>
      </c>
      <c r="AF1483" t="s">
        <v>63</v>
      </c>
      <c r="AG1483" t="s">
        <v>13045</v>
      </c>
      <c r="AH1483" t="s">
        <v>63</v>
      </c>
      <c r="AI1483" t="s">
        <v>13046</v>
      </c>
      <c r="AJ1483" t="s">
        <v>63</v>
      </c>
      <c r="AK1483" t="s">
        <v>63</v>
      </c>
      <c r="AL1483" t="s">
        <v>63</v>
      </c>
      <c r="AM1483" t="s">
        <v>13047</v>
      </c>
      <c r="AN1483" t="s">
        <v>63</v>
      </c>
      <c r="AO1483" t="s">
        <v>63</v>
      </c>
      <c r="AP1483" t="s">
        <v>63</v>
      </c>
      <c r="AQ1483" t="s">
        <v>63</v>
      </c>
      <c r="AR1483" t="s">
        <v>63</v>
      </c>
      <c r="AS1483" t="s">
        <v>63</v>
      </c>
      <c r="AT1483" t="s">
        <v>63</v>
      </c>
      <c r="AU1483" t="s">
        <v>63</v>
      </c>
      <c r="AV1483" t="s">
        <v>63</v>
      </c>
      <c r="AW1483" t="s">
        <v>63</v>
      </c>
      <c r="AX1483" t="s">
        <v>63</v>
      </c>
      <c r="AY1483" t="s">
        <v>63</v>
      </c>
      <c r="AZ1483" t="s">
        <v>63</v>
      </c>
      <c r="BA1483" t="s">
        <v>63</v>
      </c>
      <c r="BB1483" t="s">
        <v>63</v>
      </c>
      <c r="BC1483" t="s">
        <v>63</v>
      </c>
      <c r="BD1483" t="s">
        <v>63</v>
      </c>
      <c r="BE1483" t="s">
        <v>63</v>
      </c>
      <c r="BF1483" t="s">
        <v>63</v>
      </c>
    </row>
    <row r="1484" spans="1:58">
      <c r="A1484" t="s">
        <v>58</v>
      </c>
      <c r="B1484" t="s">
        <v>13048</v>
      </c>
      <c r="C1484" t="s">
        <v>13049</v>
      </c>
      <c r="D1484" t="s">
        <v>389</v>
      </c>
      <c r="E1484" t="s">
        <v>63</v>
      </c>
      <c r="F1484">
        <v>2017</v>
      </c>
      <c r="G1484" t="s">
        <v>1528</v>
      </c>
      <c r="H1484">
        <v>38</v>
      </c>
      <c r="I1484">
        <v>1</v>
      </c>
      <c r="J1484">
        <v>31</v>
      </c>
      <c r="K1484">
        <v>34</v>
      </c>
      <c r="L1484" t="s">
        <v>13050</v>
      </c>
      <c r="M1484" t="s">
        <v>13051</v>
      </c>
      <c r="N1484" t="s">
        <v>13052</v>
      </c>
      <c r="O1484" t="s">
        <v>63</v>
      </c>
      <c r="Q1484" t="s">
        <v>63</v>
      </c>
      <c r="R1484" t="s">
        <v>63</v>
      </c>
      <c r="S1484" t="s">
        <v>63</v>
      </c>
      <c r="T1484" t="s">
        <v>63</v>
      </c>
      <c r="X1484" t="s">
        <v>63</v>
      </c>
      <c r="Y1484" t="s">
        <v>556</v>
      </c>
      <c r="Z1484" t="s">
        <v>63</v>
      </c>
      <c r="AA1484" t="s">
        <v>13053</v>
      </c>
      <c r="AB1484">
        <v>27897470</v>
      </c>
      <c r="AC1484" t="s">
        <v>67</v>
      </c>
      <c r="AD1484" t="s">
        <v>63</v>
      </c>
      <c r="AE1484" t="s">
        <v>63</v>
      </c>
      <c r="AF1484" t="s">
        <v>63</v>
      </c>
      <c r="AG1484" t="s">
        <v>13054</v>
      </c>
      <c r="AH1484" t="s">
        <v>63</v>
      </c>
      <c r="AI1484" t="s">
        <v>13055</v>
      </c>
      <c r="AJ1484" t="s">
        <v>63</v>
      </c>
      <c r="AK1484" t="s">
        <v>63</v>
      </c>
      <c r="AL1484" t="s">
        <v>63</v>
      </c>
      <c r="AM1484" t="s">
        <v>13056</v>
      </c>
      <c r="AN1484" t="s">
        <v>63</v>
      </c>
      <c r="AO1484" t="s">
        <v>63</v>
      </c>
      <c r="AP1484" t="s">
        <v>63</v>
      </c>
      <c r="AQ1484" t="s">
        <v>63</v>
      </c>
      <c r="AR1484" t="s">
        <v>63</v>
      </c>
      <c r="AS1484" t="s">
        <v>63</v>
      </c>
      <c r="AT1484" t="s">
        <v>63</v>
      </c>
      <c r="AU1484" t="s">
        <v>63</v>
      </c>
      <c r="AV1484" t="s">
        <v>63</v>
      </c>
      <c r="AW1484" t="s">
        <v>63</v>
      </c>
      <c r="AX1484" t="s">
        <v>63</v>
      </c>
      <c r="AY1484" t="s">
        <v>63</v>
      </c>
      <c r="AZ1484" t="s">
        <v>63</v>
      </c>
      <c r="BA1484" t="s">
        <v>63</v>
      </c>
      <c r="BB1484" t="s">
        <v>63</v>
      </c>
      <c r="BC1484" t="s">
        <v>63</v>
      </c>
      <c r="BD1484" t="s">
        <v>63</v>
      </c>
      <c r="BE1484" t="s">
        <v>63</v>
      </c>
      <c r="BF1484" t="s">
        <v>63</v>
      </c>
    </row>
    <row r="1485" spans="1:58">
      <c r="A1485" t="s">
        <v>58</v>
      </c>
      <c r="B1485" t="s">
        <v>13057</v>
      </c>
      <c r="C1485" t="s">
        <v>13058</v>
      </c>
      <c r="D1485" t="s">
        <v>2353</v>
      </c>
      <c r="E1485" t="s">
        <v>2354</v>
      </c>
      <c r="F1485">
        <v>2014</v>
      </c>
      <c r="G1485" t="s">
        <v>1717</v>
      </c>
      <c r="H1485">
        <v>47</v>
      </c>
      <c r="I1485">
        <v>5</v>
      </c>
      <c r="J1485">
        <v>362</v>
      </c>
      <c r="K1485">
        <v>370</v>
      </c>
      <c r="L1485" t="s">
        <v>13059</v>
      </c>
      <c r="M1485" t="s">
        <v>13060</v>
      </c>
      <c r="N1485" t="s">
        <v>13061</v>
      </c>
      <c r="O1485" t="s">
        <v>63</v>
      </c>
      <c r="Q1485" t="s">
        <v>63</v>
      </c>
      <c r="R1485" t="s">
        <v>63</v>
      </c>
      <c r="S1485" t="s">
        <v>63</v>
      </c>
      <c r="T1485" t="s">
        <v>63</v>
      </c>
      <c r="X1485" t="s">
        <v>63</v>
      </c>
      <c r="Y1485" t="s">
        <v>8330</v>
      </c>
      <c r="Z1485" t="s">
        <v>63</v>
      </c>
      <c r="AA1485" t="s">
        <v>13062</v>
      </c>
      <c r="AB1485">
        <v>25115136</v>
      </c>
      <c r="AC1485" t="s">
        <v>67</v>
      </c>
      <c r="AD1485" t="s">
        <v>63</v>
      </c>
      <c r="AE1485" t="s">
        <v>63</v>
      </c>
      <c r="AF1485" t="s">
        <v>63</v>
      </c>
      <c r="AG1485" t="s">
        <v>13063</v>
      </c>
      <c r="AH1485" t="s">
        <v>63</v>
      </c>
      <c r="AI1485" t="s">
        <v>13064</v>
      </c>
      <c r="AJ1485" t="s">
        <v>63</v>
      </c>
      <c r="AK1485" t="s">
        <v>63</v>
      </c>
      <c r="AL1485" t="s">
        <v>63</v>
      </c>
      <c r="AM1485" t="s">
        <v>13065</v>
      </c>
      <c r="AN1485" t="s">
        <v>63</v>
      </c>
      <c r="AO1485" t="s">
        <v>63</v>
      </c>
      <c r="AP1485" t="s">
        <v>63</v>
      </c>
      <c r="AQ1485" t="s">
        <v>63</v>
      </c>
      <c r="AR1485" t="s">
        <v>63</v>
      </c>
      <c r="AS1485" t="s">
        <v>63</v>
      </c>
      <c r="AT1485" t="s">
        <v>63</v>
      </c>
      <c r="AU1485" t="s">
        <v>63</v>
      </c>
      <c r="AV1485" t="s">
        <v>63</v>
      </c>
      <c r="AW1485" t="s">
        <v>63</v>
      </c>
      <c r="AX1485" t="s">
        <v>63</v>
      </c>
      <c r="AY1485" t="s">
        <v>63</v>
      </c>
      <c r="AZ1485" t="s">
        <v>63</v>
      </c>
      <c r="BA1485" t="s">
        <v>63</v>
      </c>
      <c r="BB1485" t="s">
        <v>63</v>
      </c>
      <c r="BC1485" t="s">
        <v>63</v>
      </c>
      <c r="BD1485" t="s">
        <v>63</v>
      </c>
      <c r="BE1485" t="s">
        <v>63</v>
      </c>
      <c r="BF1485" t="s">
        <v>63</v>
      </c>
    </row>
    <row r="1486" spans="1:58">
      <c r="A1486" t="s">
        <v>58</v>
      </c>
      <c r="B1486" t="s">
        <v>13066</v>
      </c>
      <c r="C1486" t="s">
        <v>13067</v>
      </c>
      <c r="D1486" t="s">
        <v>2616</v>
      </c>
      <c r="E1486" t="s">
        <v>2616</v>
      </c>
      <c r="F1486">
        <v>2008</v>
      </c>
      <c r="G1486" s="1">
        <v>41652</v>
      </c>
      <c r="H1486">
        <v>8</v>
      </c>
      <c r="I1486" t="s">
        <v>63</v>
      </c>
      <c r="J1486">
        <v>15</v>
      </c>
      <c r="K1486" t="s">
        <v>63</v>
      </c>
      <c r="L1486" t="s">
        <v>13068</v>
      </c>
      <c r="M1486" t="s">
        <v>13069</v>
      </c>
      <c r="N1486" t="s">
        <v>13070</v>
      </c>
      <c r="O1486" t="s">
        <v>63</v>
      </c>
      <c r="Q1486" t="s">
        <v>63</v>
      </c>
      <c r="R1486" t="s">
        <v>63</v>
      </c>
      <c r="S1486" t="s">
        <v>63</v>
      </c>
      <c r="T1486" t="s">
        <v>63</v>
      </c>
      <c r="X1486" t="s">
        <v>63</v>
      </c>
      <c r="Y1486" t="s">
        <v>2620</v>
      </c>
      <c r="Z1486" t="s">
        <v>63</v>
      </c>
      <c r="AA1486" t="s">
        <v>13071</v>
      </c>
      <c r="AB1486">
        <v>18194573</v>
      </c>
      <c r="AC1486" t="s">
        <v>67</v>
      </c>
      <c r="AD1486" t="s">
        <v>63</v>
      </c>
      <c r="AE1486" t="s">
        <v>63</v>
      </c>
      <c r="AF1486" t="s">
        <v>63</v>
      </c>
      <c r="AG1486" t="s">
        <v>13072</v>
      </c>
      <c r="AH1486" t="s">
        <v>63</v>
      </c>
      <c r="AI1486" t="s">
        <v>13073</v>
      </c>
      <c r="AJ1486" t="s">
        <v>63</v>
      </c>
      <c r="AK1486" t="s">
        <v>63</v>
      </c>
      <c r="AL1486" t="s">
        <v>63</v>
      </c>
      <c r="AM1486" t="s">
        <v>13074</v>
      </c>
      <c r="AN1486" t="s">
        <v>63</v>
      </c>
      <c r="AO1486" t="s">
        <v>63</v>
      </c>
      <c r="AP1486" t="s">
        <v>63</v>
      </c>
      <c r="AQ1486" t="s">
        <v>63</v>
      </c>
      <c r="AR1486" t="s">
        <v>63</v>
      </c>
      <c r="AS1486" t="s">
        <v>63</v>
      </c>
      <c r="AT1486" t="s">
        <v>63</v>
      </c>
      <c r="AU1486" t="s">
        <v>63</v>
      </c>
      <c r="AV1486" t="s">
        <v>63</v>
      </c>
      <c r="AW1486" t="s">
        <v>63</v>
      </c>
      <c r="AX1486" t="s">
        <v>63</v>
      </c>
      <c r="AY1486" t="s">
        <v>63</v>
      </c>
      <c r="AZ1486" t="s">
        <v>63</v>
      </c>
      <c r="BA1486" t="s">
        <v>63</v>
      </c>
      <c r="BB1486" t="s">
        <v>63</v>
      </c>
      <c r="BC1486" t="s">
        <v>63</v>
      </c>
      <c r="BD1486" t="s">
        <v>63</v>
      </c>
      <c r="BE1486" t="s">
        <v>63</v>
      </c>
      <c r="BF1486" t="s">
        <v>63</v>
      </c>
    </row>
    <row r="1487" spans="1:58">
      <c r="A1487" t="s">
        <v>58</v>
      </c>
      <c r="B1487" t="s">
        <v>13075</v>
      </c>
      <c r="C1487" t="s">
        <v>13076</v>
      </c>
      <c r="D1487" t="s">
        <v>13077</v>
      </c>
      <c r="E1487" t="s">
        <v>63</v>
      </c>
      <c r="F1487">
        <v>2017</v>
      </c>
      <c r="G1487" t="s">
        <v>63</v>
      </c>
      <c r="H1487">
        <v>44</v>
      </c>
      <c r="I1487">
        <v>2</v>
      </c>
      <c r="J1487">
        <v>260</v>
      </c>
      <c r="K1487">
        <v>267</v>
      </c>
      <c r="L1487" t="s">
        <v>13078</v>
      </c>
      <c r="M1487" t="s">
        <v>13079</v>
      </c>
      <c r="N1487" t="s">
        <v>13080</v>
      </c>
      <c r="O1487" t="s">
        <v>63</v>
      </c>
      <c r="Q1487" t="s">
        <v>63</v>
      </c>
      <c r="R1487" t="s">
        <v>63</v>
      </c>
      <c r="S1487" t="s">
        <v>63</v>
      </c>
      <c r="T1487" t="s">
        <v>63</v>
      </c>
      <c r="X1487" t="s">
        <v>63</v>
      </c>
      <c r="Y1487" t="s">
        <v>13081</v>
      </c>
      <c r="Z1487" t="s">
        <v>63</v>
      </c>
      <c r="AA1487" t="s">
        <v>63</v>
      </c>
      <c r="AB1487">
        <v>28346049</v>
      </c>
      <c r="AC1487" t="s">
        <v>67</v>
      </c>
      <c r="AD1487" t="s">
        <v>63</v>
      </c>
      <c r="AE1487" t="s">
        <v>63</v>
      </c>
      <c r="AF1487" t="s">
        <v>63</v>
      </c>
      <c r="AG1487" t="s">
        <v>13082</v>
      </c>
      <c r="AH1487" t="s">
        <v>63</v>
      </c>
      <c r="AI1487" t="s">
        <v>13083</v>
      </c>
      <c r="AJ1487" t="s">
        <v>63</v>
      </c>
      <c r="AK1487" t="s">
        <v>63</v>
      </c>
      <c r="AL1487" t="s">
        <v>63</v>
      </c>
      <c r="AM1487" t="s">
        <v>13084</v>
      </c>
      <c r="AN1487" t="s">
        <v>63</v>
      </c>
      <c r="AO1487" t="s">
        <v>63</v>
      </c>
      <c r="AP1487" t="s">
        <v>63</v>
      </c>
      <c r="AQ1487" t="s">
        <v>63</v>
      </c>
      <c r="AR1487" t="s">
        <v>63</v>
      </c>
      <c r="AS1487" t="s">
        <v>63</v>
      </c>
      <c r="AT1487" t="s">
        <v>63</v>
      </c>
      <c r="AU1487" t="s">
        <v>63</v>
      </c>
      <c r="AV1487" t="s">
        <v>63</v>
      </c>
      <c r="AW1487" t="s">
        <v>63</v>
      </c>
      <c r="AX1487" t="s">
        <v>63</v>
      </c>
      <c r="AY1487" t="s">
        <v>63</v>
      </c>
      <c r="AZ1487" t="s">
        <v>63</v>
      </c>
      <c r="BA1487" t="s">
        <v>63</v>
      </c>
      <c r="BB1487" t="s">
        <v>63</v>
      </c>
      <c r="BC1487" t="s">
        <v>63</v>
      </c>
      <c r="BD1487" t="s">
        <v>63</v>
      </c>
      <c r="BE1487" t="s">
        <v>63</v>
      </c>
      <c r="BF1487" t="s">
        <v>63</v>
      </c>
    </row>
    <row r="1488" spans="1:58">
      <c r="A1488" t="s">
        <v>58</v>
      </c>
      <c r="B1488" t="s">
        <v>13085</v>
      </c>
      <c r="C1488" t="s">
        <v>13086</v>
      </c>
      <c r="D1488" t="s">
        <v>1481</v>
      </c>
      <c r="E1488" t="s">
        <v>1481</v>
      </c>
      <c r="F1488">
        <v>2007</v>
      </c>
      <c r="G1488" t="s">
        <v>138</v>
      </c>
      <c r="H1488">
        <v>102</v>
      </c>
      <c r="I1488">
        <v>10</v>
      </c>
      <c r="J1488">
        <v>1637</v>
      </c>
      <c r="K1488">
        <v>1647</v>
      </c>
      <c r="L1488" t="s">
        <v>13087</v>
      </c>
      <c r="M1488" t="s">
        <v>13088</v>
      </c>
      <c r="N1488" t="s">
        <v>13089</v>
      </c>
      <c r="O1488" t="s">
        <v>63</v>
      </c>
      <c r="Q1488" t="s">
        <v>63</v>
      </c>
      <c r="R1488" t="s">
        <v>63</v>
      </c>
      <c r="S1488" t="s">
        <v>63</v>
      </c>
      <c r="T1488" t="s">
        <v>63</v>
      </c>
      <c r="X1488" t="s">
        <v>63</v>
      </c>
      <c r="Y1488" t="s">
        <v>2426</v>
      </c>
      <c r="Z1488" t="s">
        <v>63</v>
      </c>
      <c r="AA1488" t="s">
        <v>13090</v>
      </c>
      <c r="AB1488">
        <v>17662105</v>
      </c>
      <c r="AC1488" t="s">
        <v>67</v>
      </c>
      <c r="AD1488" t="s">
        <v>63</v>
      </c>
      <c r="AE1488" t="s">
        <v>63</v>
      </c>
      <c r="AF1488" t="s">
        <v>63</v>
      </c>
      <c r="AG1488" t="s">
        <v>13091</v>
      </c>
      <c r="AH1488" t="s">
        <v>63</v>
      </c>
      <c r="AI1488" t="s">
        <v>63</v>
      </c>
      <c r="AJ1488" t="s">
        <v>63</v>
      </c>
      <c r="AK1488" t="s">
        <v>63</v>
      </c>
      <c r="AL1488" t="s">
        <v>63</v>
      </c>
      <c r="AM1488" t="s">
        <v>13092</v>
      </c>
      <c r="AN1488" t="s">
        <v>63</v>
      </c>
      <c r="AO1488" t="s">
        <v>63</v>
      </c>
      <c r="AP1488" t="s">
        <v>63</v>
      </c>
      <c r="AQ1488" t="s">
        <v>63</v>
      </c>
      <c r="AR1488" t="s">
        <v>63</v>
      </c>
      <c r="AS1488" t="s">
        <v>63</v>
      </c>
      <c r="AT1488" t="s">
        <v>63</v>
      </c>
      <c r="AU1488" t="s">
        <v>63</v>
      </c>
      <c r="AV1488" t="s">
        <v>63</v>
      </c>
      <c r="AW1488" t="s">
        <v>63</v>
      </c>
      <c r="AX1488" t="s">
        <v>63</v>
      </c>
      <c r="AY1488" t="s">
        <v>63</v>
      </c>
      <c r="AZ1488" t="s">
        <v>63</v>
      </c>
      <c r="BA1488" t="s">
        <v>63</v>
      </c>
      <c r="BB1488" t="s">
        <v>63</v>
      </c>
      <c r="BC1488" t="s">
        <v>63</v>
      </c>
      <c r="BD1488" t="s">
        <v>63</v>
      </c>
      <c r="BE1488" t="s">
        <v>63</v>
      </c>
      <c r="BF1488" t="s">
        <v>63</v>
      </c>
    </row>
    <row r="1489" spans="1:58">
      <c r="A1489" t="s">
        <v>58</v>
      </c>
      <c r="B1489" t="s">
        <v>13093</v>
      </c>
      <c r="C1489" t="s">
        <v>13094</v>
      </c>
      <c r="D1489" t="s">
        <v>389</v>
      </c>
      <c r="E1489" t="s">
        <v>63</v>
      </c>
      <c r="F1489">
        <v>2005</v>
      </c>
      <c r="G1489" t="s">
        <v>157</v>
      </c>
      <c r="H1489">
        <v>26</v>
      </c>
      <c r="I1489" s="1">
        <v>41701</v>
      </c>
      <c r="J1489">
        <v>17</v>
      </c>
      <c r="K1489">
        <v>20</v>
      </c>
      <c r="L1489" t="s">
        <v>13095</v>
      </c>
      <c r="M1489" t="s">
        <v>13096</v>
      </c>
      <c r="N1489" t="s">
        <v>13097</v>
      </c>
      <c r="O1489" t="s">
        <v>63</v>
      </c>
      <c r="Q1489" t="s">
        <v>63</v>
      </c>
      <c r="R1489" t="s">
        <v>63</v>
      </c>
      <c r="S1489" t="s">
        <v>63</v>
      </c>
      <c r="T1489" t="s">
        <v>63</v>
      </c>
      <c r="X1489" t="s">
        <v>63</v>
      </c>
      <c r="Y1489" t="s">
        <v>392</v>
      </c>
      <c r="Z1489" t="s">
        <v>63</v>
      </c>
      <c r="AA1489" t="s">
        <v>13098</v>
      </c>
      <c r="AB1489">
        <v>16837407</v>
      </c>
      <c r="AC1489" t="s">
        <v>67</v>
      </c>
      <c r="AD1489" t="s">
        <v>63</v>
      </c>
      <c r="AE1489" t="s">
        <v>63</v>
      </c>
      <c r="AF1489" t="s">
        <v>63</v>
      </c>
      <c r="AG1489" t="s">
        <v>13099</v>
      </c>
      <c r="AH1489" t="s">
        <v>63</v>
      </c>
      <c r="AI1489" t="s">
        <v>63</v>
      </c>
      <c r="AJ1489" t="s">
        <v>63</v>
      </c>
      <c r="AK1489" t="s">
        <v>63</v>
      </c>
      <c r="AL1489" t="s">
        <v>63</v>
      </c>
      <c r="AM1489" t="s">
        <v>13100</v>
      </c>
      <c r="AN1489" t="s">
        <v>63</v>
      </c>
      <c r="AO1489" t="s">
        <v>63</v>
      </c>
      <c r="AP1489" t="s">
        <v>63</v>
      </c>
      <c r="AQ1489" t="s">
        <v>63</v>
      </c>
      <c r="AR1489" t="s">
        <v>63</v>
      </c>
      <c r="AS1489" t="s">
        <v>63</v>
      </c>
      <c r="AT1489" t="s">
        <v>63</v>
      </c>
      <c r="AU1489" t="s">
        <v>63</v>
      </c>
      <c r="AV1489" t="s">
        <v>63</v>
      </c>
      <c r="AW1489" t="s">
        <v>63</v>
      </c>
      <c r="AX1489" t="s">
        <v>63</v>
      </c>
      <c r="AY1489" t="s">
        <v>63</v>
      </c>
      <c r="AZ1489" t="s">
        <v>63</v>
      </c>
      <c r="BA1489" t="s">
        <v>63</v>
      </c>
      <c r="BB1489" t="s">
        <v>63</v>
      </c>
      <c r="BC1489" t="s">
        <v>63</v>
      </c>
      <c r="BD1489" t="s">
        <v>63</v>
      </c>
      <c r="BE1489" t="s">
        <v>63</v>
      </c>
      <c r="BF1489" t="s">
        <v>63</v>
      </c>
    </row>
    <row r="1490" spans="1:58">
      <c r="A1490" t="s">
        <v>58</v>
      </c>
      <c r="B1490" t="s">
        <v>13101</v>
      </c>
      <c r="C1490" t="s">
        <v>13102</v>
      </c>
      <c r="D1490" t="s">
        <v>371</v>
      </c>
      <c r="E1490" t="s">
        <v>63</v>
      </c>
      <c r="F1490">
        <v>1991</v>
      </c>
      <c r="G1490" t="s">
        <v>623</v>
      </c>
      <c r="H1490">
        <v>6</v>
      </c>
      <c r="I1490">
        <v>1</v>
      </c>
      <c r="J1490">
        <v>9</v>
      </c>
      <c r="K1490">
        <v>17</v>
      </c>
      <c r="L1490" t="s">
        <v>13103</v>
      </c>
      <c r="M1490" t="s">
        <v>13104</v>
      </c>
      <c r="N1490" t="s">
        <v>13105</v>
      </c>
      <c r="O1490" t="s">
        <v>63</v>
      </c>
      <c r="Q1490" t="s">
        <v>63</v>
      </c>
      <c r="R1490" t="s">
        <v>63</v>
      </c>
      <c r="S1490" t="s">
        <v>63</v>
      </c>
      <c r="T1490" t="s">
        <v>63</v>
      </c>
      <c r="X1490" t="s">
        <v>63</v>
      </c>
      <c r="Y1490" t="s">
        <v>375</v>
      </c>
      <c r="Z1490" t="s">
        <v>63</v>
      </c>
      <c r="AA1490" t="s">
        <v>13106</v>
      </c>
      <c r="AB1490">
        <v>1999752</v>
      </c>
      <c r="AC1490" t="s">
        <v>67</v>
      </c>
      <c r="AD1490" t="s">
        <v>63</v>
      </c>
      <c r="AE1490" t="s">
        <v>63</v>
      </c>
      <c r="AF1490" t="s">
        <v>63</v>
      </c>
      <c r="AG1490" t="s">
        <v>13107</v>
      </c>
      <c r="AH1490" t="s">
        <v>63</v>
      </c>
      <c r="AI1490" t="s">
        <v>63</v>
      </c>
      <c r="AJ1490" t="s">
        <v>63</v>
      </c>
      <c r="AK1490" t="s">
        <v>63</v>
      </c>
      <c r="AL1490" t="s">
        <v>63</v>
      </c>
      <c r="AM1490" t="s">
        <v>13108</v>
      </c>
      <c r="AN1490" t="s">
        <v>63</v>
      </c>
      <c r="AO1490" t="s">
        <v>63</v>
      </c>
      <c r="AP1490" t="s">
        <v>63</v>
      </c>
      <c r="AQ1490" t="s">
        <v>63</v>
      </c>
      <c r="AR1490" t="s">
        <v>63</v>
      </c>
      <c r="AS1490" t="s">
        <v>63</v>
      </c>
      <c r="AT1490" t="s">
        <v>63</v>
      </c>
      <c r="AU1490" t="s">
        <v>63</v>
      </c>
      <c r="AV1490" t="s">
        <v>63</v>
      </c>
      <c r="AW1490" t="s">
        <v>63</v>
      </c>
      <c r="AX1490" t="s">
        <v>63</v>
      </c>
      <c r="AY1490" t="s">
        <v>63</v>
      </c>
      <c r="AZ1490" t="s">
        <v>63</v>
      </c>
      <c r="BA1490" t="s">
        <v>63</v>
      </c>
      <c r="BB1490" t="s">
        <v>63</v>
      </c>
      <c r="BC1490" t="s">
        <v>63</v>
      </c>
      <c r="BD1490" t="s">
        <v>63</v>
      </c>
      <c r="BE1490" t="s">
        <v>63</v>
      </c>
      <c r="BF1490" t="s">
        <v>63</v>
      </c>
    </row>
    <row r="1491" spans="1:58">
      <c r="A1491" t="s">
        <v>58</v>
      </c>
      <c r="B1491" t="s">
        <v>13109</v>
      </c>
      <c r="C1491" t="s">
        <v>13110</v>
      </c>
      <c r="D1491" t="s">
        <v>2036</v>
      </c>
      <c r="E1491" t="s">
        <v>63</v>
      </c>
      <c r="F1491">
        <v>2006</v>
      </c>
      <c r="G1491" s="1">
        <v>41642</v>
      </c>
      <c r="H1491">
        <v>81</v>
      </c>
      <c r="I1491">
        <v>1</v>
      </c>
      <c r="J1491">
        <v>11</v>
      </c>
      <c r="K1491">
        <v>19</v>
      </c>
      <c r="L1491" t="s">
        <v>13111</v>
      </c>
      <c r="M1491" t="s">
        <v>13112</v>
      </c>
      <c r="N1491" t="s">
        <v>13113</v>
      </c>
      <c r="O1491" t="s">
        <v>63</v>
      </c>
      <c r="Q1491" t="s">
        <v>63</v>
      </c>
      <c r="R1491" t="s">
        <v>63</v>
      </c>
      <c r="S1491" t="s">
        <v>63</v>
      </c>
      <c r="T1491" t="s">
        <v>63</v>
      </c>
      <c r="X1491" t="s">
        <v>63</v>
      </c>
      <c r="Y1491" t="s">
        <v>4942</v>
      </c>
      <c r="Z1491" t="s">
        <v>63</v>
      </c>
      <c r="AA1491" t="s">
        <v>13114</v>
      </c>
      <c r="AB1491">
        <v>16009506</v>
      </c>
      <c r="AC1491" t="s">
        <v>67</v>
      </c>
      <c r="AD1491" t="s">
        <v>63</v>
      </c>
      <c r="AE1491" t="s">
        <v>63</v>
      </c>
      <c r="AF1491" t="s">
        <v>63</v>
      </c>
      <c r="AG1491" t="s">
        <v>13115</v>
      </c>
      <c r="AH1491" t="s">
        <v>63</v>
      </c>
      <c r="AI1491" t="s">
        <v>63</v>
      </c>
      <c r="AJ1491" t="s">
        <v>63</v>
      </c>
      <c r="AK1491" t="s">
        <v>63</v>
      </c>
      <c r="AL1491" t="s">
        <v>63</v>
      </c>
      <c r="AM1491" t="s">
        <v>13116</v>
      </c>
      <c r="AN1491" t="s">
        <v>63</v>
      </c>
      <c r="AO1491" t="s">
        <v>63</v>
      </c>
      <c r="AP1491" t="s">
        <v>63</v>
      </c>
      <c r="AQ1491" t="s">
        <v>63</v>
      </c>
      <c r="AR1491" t="s">
        <v>63</v>
      </c>
      <c r="AS1491" t="s">
        <v>63</v>
      </c>
      <c r="AT1491" t="s">
        <v>63</v>
      </c>
      <c r="AU1491" t="s">
        <v>63</v>
      </c>
      <c r="AV1491" t="s">
        <v>63</v>
      </c>
      <c r="AW1491" t="s">
        <v>63</v>
      </c>
      <c r="AX1491" t="s">
        <v>63</v>
      </c>
      <c r="AY1491" t="s">
        <v>63</v>
      </c>
      <c r="AZ1491" t="s">
        <v>63</v>
      </c>
      <c r="BA1491" t="s">
        <v>63</v>
      </c>
      <c r="BB1491" t="s">
        <v>63</v>
      </c>
      <c r="BC1491" t="s">
        <v>63</v>
      </c>
      <c r="BD1491" t="s">
        <v>63</v>
      </c>
      <c r="BE1491" t="s">
        <v>63</v>
      </c>
      <c r="BF1491" t="s">
        <v>63</v>
      </c>
    </row>
    <row r="1492" spans="1:58">
      <c r="A1492" t="s">
        <v>58</v>
      </c>
      <c r="B1492" t="s">
        <v>13117</v>
      </c>
      <c r="C1492" t="s">
        <v>13118</v>
      </c>
      <c r="D1492" t="s">
        <v>9787</v>
      </c>
      <c r="E1492" t="s">
        <v>63</v>
      </c>
      <c r="F1492">
        <v>2017</v>
      </c>
      <c r="G1492" t="s">
        <v>13119</v>
      </c>
      <c r="H1492">
        <v>28</v>
      </c>
      <c r="I1492">
        <v>2</v>
      </c>
      <c r="J1492">
        <v>104</v>
      </c>
      <c r="K1492">
        <v>106</v>
      </c>
      <c r="L1492" t="s">
        <v>13120</v>
      </c>
      <c r="M1492" t="s">
        <v>13121</v>
      </c>
      <c r="N1492" t="s">
        <v>13122</v>
      </c>
      <c r="O1492" t="s">
        <v>63</v>
      </c>
      <c r="Q1492" t="s">
        <v>63</v>
      </c>
      <c r="R1492" t="s">
        <v>63</v>
      </c>
      <c r="S1492" t="s">
        <v>63</v>
      </c>
      <c r="T1492" t="s">
        <v>63</v>
      </c>
      <c r="X1492" t="s">
        <v>63</v>
      </c>
      <c r="Y1492" t="s">
        <v>9791</v>
      </c>
      <c r="Z1492" t="s">
        <v>63</v>
      </c>
      <c r="AA1492" t="s">
        <v>13123</v>
      </c>
      <c r="AB1492">
        <v>28463852</v>
      </c>
      <c r="AC1492" t="s">
        <v>67</v>
      </c>
      <c r="AD1492" t="s">
        <v>63</v>
      </c>
      <c r="AE1492" t="s">
        <v>63</v>
      </c>
      <c r="AF1492" t="s">
        <v>63</v>
      </c>
      <c r="AG1492" t="s">
        <v>13124</v>
      </c>
      <c r="AH1492" t="s">
        <v>63</v>
      </c>
      <c r="AI1492" t="s">
        <v>13125</v>
      </c>
      <c r="AJ1492" t="s">
        <v>63</v>
      </c>
      <c r="AK1492" t="s">
        <v>63</v>
      </c>
      <c r="AL1492" t="s">
        <v>63</v>
      </c>
      <c r="AM1492" t="s">
        <v>13126</v>
      </c>
      <c r="AN1492" t="s">
        <v>63</v>
      </c>
      <c r="AO1492" t="s">
        <v>63</v>
      </c>
      <c r="AP1492" t="s">
        <v>63</v>
      </c>
      <c r="AQ1492" t="s">
        <v>63</v>
      </c>
      <c r="AR1492" t="s">
        <v>63</v>
      </c>
      <c r="AS1492" t="s">
        <v>63</v>
      </c>
      <c r="AT1492" t="s">
        <v>63</v>
      </c>
      <c r="AU1492" t="s">
        <v>63</v>
      </c>
      <c r="AV1492" t="s">
        <v>63</v>
      </c>
      <c r="AW1492" t="s">
        <v>63</v>
      </c>
      <c r="AX1492" t="s">
        <v>63</v>
      </c>
      <c r="AY1492" t="s">
        <v>63</v>
      </c>
      <c r="AZ1492" t="s">
        <v>63</v>
      </c>
      <c r="BA1492" t="s">
        <v>63</v>
      </c>
      <c r="BB1492" t="s">
        <v>63</v>
      </c>
      <c r="BC1492" t="s">
        <v>63</v>
      </c>
      <c r="BD1492" t="s">
        <v>63</v>
      </c>
      <c r="BE1492" t="s">
        <v>63</v>
      </c>
      <c r="BF1492" t="s">
        <v>63</v>
      </c>
    </row>
    <row r="1493" spans="1:58">
      <c r="A1493" t="s">
        <v>58</v>
      </c>
      <c r="B1493" t="s">
        <v>13127</v>
      </c>
      <c r="C1493" t="s">
        <v>13128</v>
      </c>
      <c r="D1493" t="s">
        <v>1481</v>
      </c>
      <c r="E1493" t="s">
        <v>1481</v>
      </c>
      <c r="F1493">
        <v>2012</v>
      </c>
      <c r="G1493" t="s">
        <v>138</v>
      </c>
      <c r="H1493">
        <v>107</v>
      </c>
      <c r="I1493">
        <v>10</v>
      </c>
      <c r="J1493">
        <v>1878</v>
      </c>
      <c r="K1493">
        <v>1882</v>
      </c>
      <c r="L1493" t="s">
        <v>13129</v>
      </c>
      <c r="M1493" t="s">
        <v>13130</v>
      </c>
      <c r="N1493" t="s">
        <v>13131</v>
      </c>
      <c r="O1493" t="s">
        <v>63</v>
      </c>
      <c r="Q1493" t="s">
        <v>63</v>
      </c>
      <c r="R1493" t="s">
        <v>63</v>
      </c>
      <c r="S1493" t="s">
        <v>63</v>
      </c>
      <c r="T1493" t="s">
        <v>63</v>
      </c>
      <c r="X1493" t="s">
        <v>63</v>
      </c>
      <c r="Y1493" t="s">
        <v>1484</v>
      </c>
      <c r="Z1493" t="s">
        <v>63</v>
      </c>
      <c r="AA1493" t="s">
        <v>13132</v>
      </c>
      <c r="AB1493">
        <v>22551065</v>
      </c>
      <c r="AC1493" t="s">
        <v>67</v>
      </c>
      <c r="AD1493" t="s">
        <v>63</v>
      </c>
      <c r="AE1493" t="s">
        <v>63</v>
      </c>
      <c r="AF1493" t="s">
        <v>63</v>
      </c>
      <c r="AG1493" t="s">
        <v>13133</v>
      </c>
      <c r="AH1493" t="s">
        <v>63</v>
      </c>
      <c r="AI1493" t="s">
        <v>13134</v>
      </c>
      <c r="AJ1493" t="s">
        <v>63</v>
      </c>
      <c r="AK1493" t="s">
        <v>63</v>
      </c>
      <c r="AL1493" t="s">
        <v>63</v>
      </c>
      <c r="AM1493" t="s">
        <v>13135</v>
      </c>
      <c r="AN1493" t="s">
        <v>63</v>
      </c>
      <c r="AO1493" t="s">
        <v>63</v>
      </c>
      <c r="AP1493" t="s">
        <v>63</v>
      </c>
      <c r="AQ1493" t="s">
        <v>63</v>
      </c>
      <c r="AR1493" t="s">
        <v>63</v>
      </c>
      <c r="AS1493" t="s">
        <v>63</v>
      </c>
      <c r="AT1493" t="s">
        <v>63</v>
      </c>
      <c r="AU1493" t="s">
        <v>63</v>
      </c>
      <c r="AV1493" t="s">
        <v>63</v>
      </c>
      <c r="AW1493" t="s">
        <v>63</v>
      </c>
      <c r="AX1493" t="s">
        <v>63</v>
      </c>
      <c r="AY1493" t="s">
        <v>63</v>
      </c>
      <c r="AZ1493" t="s">
        <v>63</v>
      </c>
      <c r="BA1493" t="s">
        <v>63</v>
      </c>
      <c r="BB1493" t="s">
        <v>63</v>
      </c>
      <c r="BC1493" t="s">
        <v>63</v>
      </c>
      <c r="BD1493" t="s">
        <v>63</v>
      </c>
      <c r="BE1493" t="s">
        <v>63</v>
      </c>
      <c r="BF1493" t="s">
        <v>63</v>
      </c>
    </row>
    <row r="1494" spans="1:58">
      <c r="A1494" t="s">
        <v>58</v>
      </c>
      <c r="B1494" t="s">
        <v>13136</v>
      </c>
      <c r="C1494" t="s">
        <v>13137</v>
      </c>
      <c r="D1494" t="s">
        <v>13138</v>
      </c>
      <c r="E1494" t="s">
        <v>63</v>
      </c>
      <c r="F1494">
        <v>2009</v>
      </c>
      <c r="G1494" t="s">
        <v>157</v>
      </c>
      <c r="H1494" t="s">
        <v>13139</v>
      </c>
      <c r="I1494" t="s">
        <v>63</v>
      </c>
      <c r="J1494">
        <v>89</v>
      </c>
      <c r="K1494">
        <v>91</v>
      </c>
      <c r="L1494" t="s">
        <v>13140</v>
      </c>
      <c r="M1494" t="s">
        <v>13141</v>
      </c>
      <c r="N1494" t="s">
        <v>13142</v>
      </c>
      <c r="O1494" t="s">
        <v>63</v>
      </c>
      <c r="Q1494" t="s">
        <v>63</v>
      </c>
      <c r="R1494" t="s">
        <v>63</v>
      </c>
      <c r="S1494" t="s">
        <v>63</v>
      </c>
      <c r="T1494" t="s">
        <v>63</v>
      </c>
      <c r="X1494" t="s">
        <v>63</v>
      </c>
      <c r="Y1494" t="s">
        <v>13143</v>
      </c>
      <c r="Z1494" t="s">
        <v>63</v>
      </c>
      <c r="AA1494" t="s">
        <v>13144</v>
      </c>
      <c r="AB1494">
        <v>20443412</v>
      </c>
      <c r="AC1494" t="s">
        <v>4810</v>
      </c>
      <c r="AD1494" t="s">
        <v>63</v>
      </c>
      <c r="AE1494" t="s">
        <v>63</v>
      </c>
      <c r="AF1494" t="s">
        <v>63</v>
      </c>
      <c r="AG1494" t="s">
        <v>13145</v>
      </c>
      <c r="AH1494" t="s">
        <v>63</v>
      </c>
      <c r="AI1494" t="s">
        <v>63</v>
      </c>
      <c r="AJ1494" t="s">
        <v>63</v>
      </c>
      <c r="AK1494" t="s">
        <v>63</v>
      </c>
      <c r="AL1494" t="s">
        <v>63</v>
      </c>
      <c r="AM1494" t="s">
        <v>13146</v>
      </c>
      <c r="AN1494" t="s">
        <v>63</v>
      </c>
      <c r="AO1494" t="s">
        <v>63</v>
      </c>
      <c r="AP1494" t="s">
        <v>63</v>
      </c>
      <c r="AQ1494" t="s">
        <v>63</v>
      </c>
      <c r="AR1494" t="s">
        <v>63</v>
      </c>
      <c r="AS1494" t="s">
        <v>63</v>
      </c>
      <c r="AT1494" t="s">
        <v>63</v>
      </c>
      <c r="AU1494" t="s">
        <v>63</v>
      </c>
      <c r="AV1494" t="s">
        <v>63</v>
      </c>
      <c r="AW1494" t="s">
        <v>63</v>
      </c>
      <c r="AX1494" t="s">
        <v>63</v>
      </c>
      <c r="AY1494" t="s">
        <v>63</v>
      </c>
      <c r="AZ1494" t="s">
        <v>63</v>
      </c>
      <c r="BA1494" t="s">
        <v>63</v>
      </c>
      <c r="BB1494" t="s">
        <v>63</v>
      </c>
      <c r="BC1494" t="s">
        <v>63</v>
      </c>
      <c r="BD1494" t="s">
        <v>63</v>
      </c>
      <c r="BE1494" t="s">
        <v>63</v>
      </c>
      <c r="BF1494" t="s">
        <v>63</v>
      </c>
    </row>
    <row r="1495" spans="1:58">
      <c r="A1495" t="s">
        <v>58</v>
      </c>
      <c r="B1495" t="s">
        <v>13147</v>
      </c>
      <c r="C1495" t="s">
        <v>13148</v>
      </c>
      <c r="D1495" t="s">
        <v>389</v>
      </c>
      <c r="E1495" t="s">
        <v>63</v>
      </c>
      <c r="F1495">
        <v>2006</v>
      </c>
      <c r="G1495" t="s">
        <v>181</v>
      </c>
      <c r="H1495">
        <v>27</v>
      </c>
      <c r="I1495">
        <v>3</v>
      </c>
      <c r="J1495">
        <v>13</v>
      </c>
      <c r="K1495">
        <v>18</v>
      </c>
      <c r="L1495" t="s">
        <v>13149</v>
      </c>
      <c r="M1495" t="s">
        <v>13150</v>
      </c>
      <c r="N1495" t="s">
        <v>13151</v>
      </c>
      <c r="O1495" t="s">
        <v>63</v>
      </c>
      <c r="Q1495" t="s">
        <v>63</v>
      </c>
      <c r="R1495" t="s">
        <v>63</v>
      </c>
      <c r="S1495" t="s">
        <v>63</v>
      </c>
      <c r="T1495" t="s">
        <v>63</v>
      </c>
      <c r="X1495" t="s">
        <v>63</v>
      </c>
      <c r="Y1495" t="s">
        <v>392</v>
      </c>
      <c r="Z1495" t="s">
        <v>63</v>
      </c>
      <c r="AA1495" t="s">
        <v>13152</v>
      </c>
      <c r="AB1495">
        <v>17135176</v>
      </c>
      <c r="AC1495" t="s">
        <v>67</v>
      </c>
      <c r="AD1495" t="s">
        <v>63</v>
      </c>
      <c r="AE1495" t="s">
        <v>63</v>
      </c>
      <c r="AF1495" t="s">
        <v>63</v>
      </c>
      <c r="AG1495" t="s">
        <v>13153</v>
      </c>
      <c r="AH1495" t="s">
        <v>63</v>
      </c>
      <c r="AI1495" t="s">
        <v>63</v>
      </c>
      <c r="AJ1495" t="s">
        <v>63</v>
      </c>
      <c r="AK1495" t="s">
        <v>63</v>
      </c>
      <c r="AL1495" t="s">
        <v>63</v>
      </c>
      <c r="AM1495" t="s">
        <v>13154</v>
      </c>
      <c r="AN1495" t="s">
        <v>63</v>
      </c>
      <c r="AO1495" t="s">
        <v>63</v>
      </c>
      <c r="AP1495" t="s">
        <v>63</v>
      </c>
      <c r="AQ1495" t="s">
        <v>63</v>
      </c>
      <c r="AR1495" t="s">
        <v>63</v>
      </c>
      <c r="AS1495" t="s">
        <v>63</v>
      </c>
      <c r="AT1495" t="s">
        <v>63</v>
      </c>
      <c r="AU1495" t="s">
        <v>63</v>
      </c>
      <c r="AV1495" t="s">
        <v>63</v>
      </c>
      <c r="AW1495" t="s">
        <v>63</v>
      </c>
      <c r="AX1495" t="s">
        <v>63</v>
      </c>
      <c r="AY1495" t="s">
        <v>63</v>
      </c>
      <c r="AZ1495" t="s">
        <v>63</v>
      </c>
      <c r="BA1495" t="s">
        <v>63</v>
      </c>
      <c r="BB1495" t="s">
        <v>63</v>
      </c>
      <c r="BC1495" t="s">
        <v>63</v>
      </c>
      <c r="BD1495" t="s">
        <v>63</v>
      </c>
      <c r="BE1495" t="s">
        <v>63</v>
      </c>
      <c r="BF1495" t="s">
        <v>63</v>
      </c>
    </row>
    <row r="1496" spans="1:58">
      <c r="A1496" t="s">
        <v>58</v>
      </c>
      <c r="B1496" t="s">
        <v>13155</v>
      </c>
      <c r="C1496" t="s">
        <v>13156</v>
      </c>
      <c r="D1496" t="s">
        <v>5475</v>
      </c>
      <c r="E1496" t="s">
        <v>5476</v>
      </c>
      <c r="F1496">
        <v>2010</v>
      </c>
      <c r="G1496" t="s">
        <v>908</v>
      </c>
      <c r="H1496">
        <v>26</v>
      </c>
      <c r="I1496">
        <v>6</v>
      </c>
      <c r="J1496">
        <v>512</v>
      </c>
      <c r="K1496">
        <v>517</v>
      </c>
      <c r="L1496" t="s">
        <v>13157</v>
      </c>
      <c r="M1496" t="s">
        <v>13158</v>
      </c>
      <c r="N1496" t="s">
        <v>13159</v>
      </c>
      <c r="O1496" t="s">
        <v>63</v>
      </c>
      <c r="Q1496" t="s">
        <v>63</v>
      </c>
      <c r="R1496" t="s">
        <v>63</v>
      </c>
      <c r="S1496" t="s">
        <v>63</v>
      </c>
      <c r="T1496" t="s">
        <v>63</v>
      </c>
      <c r="X1496" t="s">
        <v>63</v>
      </c>
      <c r="Y1496" t="s">
        <v>13160</v>
      </c>
      <c r="Z1496" t="s">
        <v>63</v>
      </c>
      <c r="AA1496" t="s">
        <v>13161</v>
      </c>
      <c r="AB1496">
        <v>20551726</v>
      </c>
      <c r="AC1496" t="s">
        <v>67</v>
      </c>
      <c r="AD1496" t="s">
        <v>63</v>
      </c>
      <c r="AE1496" t="s">
        <v>63</v>
      </c>
      <c r="AF1496" t="s">
        <v>63</v>
      </c>
      <c r="AG1496" t="s">
        <v>13162</v>
      </c>
      <c r="AH1496" t="s">
        <v>63</v>
      </c>
      <c r="AI1496" t="s">
        <v>13163</v>
      </c>
      <c r="AJ1496" t="s">
        <v>63</v>
      </c>
      <c r="AK1496" t="s">
        <v>63</v>
      </c>
      <c r="AL1496" t="s">
        <v>63</v>
      </c>
      <c r="AM1496" t="s">
        <v>13164</v>
      </c>
      <c r="AN1496" t="s">
        <v>63</v>
      </c>
      <c r="AO1496" t="s">
        <v>63</v>
      </c>
      <c r="AP1496" t="s">
        <v>63</v>
      </c>
      <c r="AQ1496" t="s">
        <v>63</v>
      </c>
      <c r="AR1496" t="s">
        <v>63</v>
      </c>
      <c r="AS1496" t="s">
        <v>63</v>
      </c>
      <c r="AT1496" t="s">
        <v>63</v>
      </c>
      <c r="AU1496" t="s">
        <v>63</v>
      </c>
      <c r="AV1496" t="s">
        <v>63</v>
      </c>
      <c r="AW1496" t="s">
        <v>63</v>
      </c>
      <c r="AX1496" t="s">
        <v>63</v>
      </c>
      <c r="AY1496" t="s">
        <v>63</v>
      </c>
      <c r="AZ1496" t="s">
        <v>63</v>
      </c>
      <c r="BA1496" t="s">
        <v>63</v>
      </c>
      <c r="BB1496" t="s">
        <v>63</v>
      </c>
      <c r="BC1496" t="s">
        <v>63</v>
      </c>
      <c r="BD1496" t="s">
        <v>63</v>
      </c>
      <c r="BE1496" t="s">
        <v>63</v>
      </c>
      <c r="BF1496" t="s">
        <v>63</v>
      </c>
    </row>
    <row r="1497" spans="1:58">
      <c r="A1497" t="s">
        <v>58</v>
      </c>
      <c r="B1497" t="s">
        <v>13165</v>
      </c>
      <c r="C1497" t="s">
        <v>13166</v>
      </c>
      <c r="D1497" t="s">
        <v>7115</v>
      </c>
      <c r="E1497" t="s">
        <v>7116</v>
      </c>
      <c r="F1497">
        <v>2007</v>
      </c>
      <c r="G1497" t="s">
        <v>157</v>
      </c>
      <c r="H1497">
        <v>40</v>
      </c>
      <c r="I1497" s="1">
        <v>41701</v>
      </c>
      <c r="J1497">
        <v>167</v>
      </c>
      <c r="K1497">
        <v>180</v>
      </c>
      <c r="L1497" t="s">
        <v>13167</v>
      </c>
      <c r="M1497" t="s">
        <v>13168</v>
      </c>
      <c r="N1497" t="s">
        <v>13169</v>
      </c>
      <c r="O1497" t="s">
        <v>63</v>
      </c>
      <c r="Q1497" t="s">
        <v>63</v>
      </c>
      <c r="R1497" t="s">
        <v>63</v>
      </c>
      <c r="S1497" t="s">
        <v>63</v>
      </c>
      <c r="T1497" t="s">
        <v>63</v>
      </c>
      <c r="X1497" t="s">
        <v>63</v>
      </c>
      <c r="Y1497" t="s">
        <v>13170</v>
      </c>
      <c r="Z1497" t="s">
        <v>63</v>
      </c>
      <c r="AA1497" t="s">
        <v>13171</v>
      </c>
      <c r="AB1497">
        <v>17924186</v>
      </c>
      <c r="AC1497" t="s">
        <v>67</v>
      </c>
      <c r="AD1497" t="s">
        <v>63</v>
      </c>
      <c r="AE1497" t="s">
        <v>63</v>
      </c>
      <c r="AF1497" t="s">
        <v>63</v>
      </c>
      <c r="AG1497" t="s">
        <v>13172</v>
      </c>
      <c r="AH1497" t="s">
        <v>63</v>
      </c>
      <c r="AI1497" t="s">
        <v>63</v>
      </c>
      <c r="AJ1497" t="s">
        <v>63</v>
      </c>
      <c r="AK1497" t="s">
        <v>63</v>
      </c>
      <c r="AL1497" t="s">
        <v>63</v>
      </c>
      <c r="AM1497" t="s">
        <v>13173</v>
      </c>
      <c r="AN1497" t="s">
        <v>63</v>
      </c>
      <c r="AO1497" t="s">
        <v>63</v>
      </c>
      <c r="AP1497" t="s">
        <v>63</v>
      </c>
      <c r="AQ1497" t="s">
        <v>63</v>
      </c>
      <c r="AR1497" t="s">
        <v>63</v>
      </c>
      <c r="AS1497" t="s">
        <v>63</v>
      </c>
      <c r="AT1497" t="s">
        <v>63</v>
      </c>
      <c r="AU1497" t="s">
        <v>63</v>
      </c>
      <c r="AV1497" t="s">
        <v>63</v>
      </c>
      <c r="AW1497" t="s">
        <v>63</v>
      </c>
      <c r="AX1497" t="s">
        <v>63</v>
      </c>
      <c r="AY1497" t="s">
        <v>63</v>
      </c>
      <c r="AZ1497" t="s">
        <v>63</v>
      </c>
      <c r="BA1497" t="s">
        <v>63</v>
      </c>
      <c r="BB1497" t="s">
        <v>63</v>
      </c>
      <c r="BC1497" t="s">
        <v>63</v>
      </c>
      <c r="BD1497" t="s">
        <v>63</v>
      </c>
      <c r="BE1497" t="s">
        <v>63</v>
      </c>
      <c r="BF1497" t="s">
        <v>63</v>
      </c>
    </row>
    <row r="1498" spans="1:58">
      <c r="A1498" t="s">
        <v>58</v>
      </c>
      <c r="B1498" t="s">
        <v>13174</v>
      </c>
      <c r="C1498" t="s">
        <v>13175</v>
      </c>
      <c r="D1498" t="s">
        <v>2576</v>
      </c>
      <c r="E1498" t="s">
        <v>2577</v>
      </c>
      <c r="F1498">
        <v>1971</v>
      </c>
      <c r="G1498" s="1">
        <v>41726</v>
      </c>
      <c r="H1498">
        <v>178</v>
      </c>
      <c r="I1498" t="s">
        <v>63</v>
      </c>
      <c r="J1498">
        <v>3</v>
      </c>
      <c r="K1498" t="s">
        <v>63</v>
      </c>
      <c r="L1498" t="s">
        <v>13176</v>
      </c>
      <c r="M1498" t="s">
        <v>63</v>
      </c>
      <c r="N1498" t="s">
        <v>13177</v>
      </c>
      <c r="O1498" t="s">
        <v>63</v>
      </c>
      <c r="Q1498" t="s">
        <v>63</v>
      </c>
      <c r="R1498" t="s">
        <v>63</v>
      </c>
      <c r="S1498" t="s">
        <v>63</v>
      </c>
      <c r="T1498" t="s">
        <v>63</v>
      </c>
      <c r="X1498" t="s">
        <v>63</v>
      </c>
      <c r="Y1498" t="s">
        <v>2580</v>
      </c>
      <c r="Z1498" t="s">
        <v>63</v>
      </c>
      <c r="AA1498" t="s">
        <v>63</v>
      </c>
      <c r="AB1498">
        <v>5282653</v>
      </c>
      <c r="AC1498" t="s">
        <v>67</v>
      </c>
      <c r="AD1498" t="s">
        <v>63</v>
      </c>
      <c r="AE1498" t="s">
        <v>63</v>
      </c>
      <c r="AF1498" t="s">
        <v>63</v>
      </c>
      <c r="AG1498" t="s">
        <v>13178</v>
      </c>
      <c r="AH1498" t="s">
        <v>63</v>
      </c>
      <c r="AI1498" t="s">
        <v>63</v>
      </c>
      <c r="AJ1498" t="s">
        <v>63</v>
      </c>
      <c r="AK1498" t="s">
        <v>63</v>
      </c>
      <c r="AL1498" t="s">
        <v>63</v>
      </c>
      <c r="AM1498" t="s">
        <v>13179</v>
      </c>
      <c r="AN1498" t="s">
        <v>63</v>
      </c>
      <c r="AO1498" t="s">
        <v>63</v>
      </c>
      <c r="AP1498" t="s">
        <v>63</v>
      </c>
      <c r="AQ1498" t="s">
        <v>63</v>
      </c>
      <c r="AR1498" t="s">
        <v>63</v>
      </c>
      <c r="AS1498" t="s">
        <v>63</v>
      </c>
      <c r="AT1498" t="s">
        <v>63</v>
      </c>
      <c r="AU1498" t="s">
        <v>63</v>
      </c>
      <c r="AV1498" t="s">
        <v>63</v>
      </c>
      <c r="AW1498" t="s">
        <v>63</v>
      </c>
      <c r="AX1498" t="s">
        <v>63</v>
      </c>
      <c r="AY1498" t="s">
        <v>63</v>
      </c>
      <c r="AZ1498" t="s">
        <v>63</v>
      </c>
      <c r="BA1498" t="s">
        <v>63</v>
      </c>
      <c r="BB1498" t="s">
        <v>63</v>
      </c>
      <c r="BC1498" t="s">
        <v>63</v>
      </c>
      <c r="BD1498" t="s">
        <v>63</v>
      </c>
      <c r="BE1498" t="s">
        <v>63</v>
      </c>
      <c r="BF1498" t="s">
        <v>63</v>
      </c>
    </row>
    <row r="1499" spans="1:58">
      <c r="A1499" t="s">
        <v>58</v>
      </c>
      <c r="B1499" t="s">
        <v>13174</v>
      </c>
      <c r="C1499" t="s">
        <v>13180</v>
      </c>
      <c r="D1499" t="s">
        <v>2576</v>
      </c>
      <c r="E1499" t="s">
        <v>2577</v>
      </c>
      <c r="F1499">
        <v>1971</v>
      </c>
      <c r="G1499" s="1">
        <v>41726</v>
      </c>
      <c r="H1499">
        <v>178</v>
      </c>
      <c r="I1499" t="s">
        <v>63</v>
      </c>
      <c r="J1499">
        <v>101</v>
      </c>
      <c r="K1499">
        <v>108</v>
      </c>
      <c r="L1499" t="s">
        <v>13181</v>
      </c>
      <c r="M1499" t="s">
        <v>63</v>
      </c>
      <c r="N1499" t="s">
        <v>13182</v>
      </c>
      <c r="O1499" t="s">
        <v>63</v>
      </c>
      <c r="Q1499" t="s">
        <v>63</v>
      </c>
      <c r="R1499" t="s">
        <v>63</v>
      </c>
      <c r="S1499" t="s">
        <v>63</v>
      </c>
      <c r="T1499" t="s">
        <v>63</v>
      </c>
      <c r="X1499" t="s">
        <v>63</v>
      </c>
      <c r="Y1499" t="s">
        <v>2580</v>
      </c>
      <c r="Z1499" t="s">
        <v>63</v>
      </c>
      <c r="AA1499" t="s">
        <v>63</v>
      </c>
      <c r="AB1499">
        <v>5282645</v>
      </c>
      <c r="AC1499" t="s">
        <v>67</v>
      </c>
      <c r="AD1499" t="s">
        <v>63</v>
      </c>
      <c r="AE1499" t="s">
        <v>63</v>
      </c>
      <c r="AF1499" t="s">
        <v>63</v>
      </c>
      <c r="AG1499" t="s">
        <v>13183</v>
      </c>
      <c r="AH1499" t="s">
        <v>63</v>
      </c>
      <c r="AI1499" t="s">
        <v>63</v>
      </c>
      <c r="AJ1499" t="s">
        <v>63</v>
      </c>
      <c r="AK1499" t="s">
        <v>63</v>
      </c>
      <c r="AL1499" t="s">
        <v>63</v>
      </c>
      <c r="AM1499" t="s">
        <v>13184</v>
      </c>
      <c r="AN1499" t="s">
        <v>63</v>
      </c>
      <c r="AO1499" t="s">
        <v>63</v>
      </c>
      <c r="AP1499" t="s">
        <v>63</v>
      </c>
      <c r="AQ1499" t="s">
        <v>63</v>
      </c>
      <c r="AR1499" t="s">
        <v>63</v>
      </c>
      <c r="AS1499" t="s">
        <v>63</v>
      </c>
      <c r="AT1499" t="s">
        <v>63</v>
      </c>
      <c r="AU1499" t="s">
        <v>63</v>
      </c>
      <c r="AV1499" t="s">
        <v>63</v>
      </c>
      <c r="AW1499" t="s">
        <v>63</v>
      </c>
      <c r="AX1499" t="s">
        <v>63</v>
      </c>
      <c r="AY1499" t="s">
        <v>63</v>
      </c>
      <c r="AZ1499" t="s">
        <v>63</v>
      </c>
      <c r="BA1499" t="s">
        <v>63</v>
      </c>
      <c r="BB1499" t="s">
        <v>63</v>
      </c>
      <c r="BC1499" t="s">
        <v>63</v>
      </c>
      <c r="BD1499" t="s">
        <v>63</v>
      </c>
      <c r="BE1499" t="s">
        <v>63</v>
      </c>
      <c r="BF1499" t="s">
        <v>63</v>
      </c>
    </row>
    <row r="1500" spans="1:58">
      <c r="A1500" t="s">
        <v>58</v>
      </c>
      <c r="B1500" t="s">
        <v>13185</v>
      </c>
      <c r="C1500" t="s">
        <v>13186</v>
      </c>
      <c r="D1500" t="s">
        <v>13187</v>
      </c>
      <c r="E1500" t="s">
        <v>13187</v>
      </c>
      <c r="F1500">
        <v>2013</v>
      </c>
      <c r="G1500" t="s">
        <v>157</v>
      </c>
      <c r="H1500">
        <v>123</v>
      </c>
      <c r="I1500">
        <v>12</v>
      </c>
      <c r="J1500">
        <v>3005</v>
      </c>
      <c r="K1500">
        <v>3009</v>
      </c>
      <c r="L1500" t="s">
        <v>13188</v>
      </c>
      <c r="M1500" t="s">
        <v>13189</v>
      </c>
      <c r="N1500" t="s">
        <v>13190</v>
      </c>
      <c r="O1500" t="s">
        <v>63</v>
      </c>
      <c r="Q1500" t="s">
        <v>63</v>
      </c>
      <c r="R1500" t="s">
        <v>63</v>
      </c>
      <c r="S1500" t="s">
        <v>63</v>
      </c>
      <c r="T1500" t="s">
        <v>63</v>
      </c>
      <c r="X1500" t="s">
        <v>63</v>
      </c>
      <c r="Y1500" t="s">
        <v>13191</v>
      </c>
      <c r="Z1500" t="s">
        <v>63</v>
      </c>
      <c r="AA1500" t="s">
        <v>13192</v>
      </c>
      <c r="AB1500">
        <v>24122575</v>
      </c>
      <c r="AC1500" t="s">
        <v>67</v>
      </c>
      <c r="AD1500" t="s">
        <v>63</v>
      </c>
      <c r="AE1500" t="s">
        <v>63</v>
      </c>
      <c r="AF1500" t="s">
        <v>63</v>
      </c>
      <c r="AG1500" t="s">
        <v>13193</v>
      </c>
      <c r="AH1500" t="s">
        <v>63</v>
      </c>
      <c r="AI1500" t="s">
        <v>13194</v>
      </c>
      <c r="AJ1500" t="s">
        <v>63</v>
      </c>
      <c r="AK1500" t="s">
        <v>63</v>
      </c>
      <c r="AL1500" t="s">
        <v>63</v>
      </c>
      <c r="AM1500" t="s">
        <v>13195</v>
      </c>
      <c r="AN1500" t="s">
        <v>63</v>
      </c>
      <c r="AO1500" t="s">
        <v>63</v>
      </c>
      <c r="AP1500" t="s">
        <v>63</v>
      </c>
      <c r="AQ1500" t="s">
        <v>63</v>
      </c>
      <c r="AR1500" t="s">
        <v>63</v>
      </c>
      <c r="AS1500" t="s">
        <v>63</v>
      </c>
      <c r="AT1500" t="s">
        <v>63</v>
      </c>
      <c r="AU1500" t="s">
        <v>63</v>
      </c>
      <c r="AV1500" t="s">
        <v>63</v>
      </c>
      <c r="AW1500" t="s">
        <v>63</v>
      </c>
      <c r="AX1500" t="s">
        <v>63</v>
      </c>
      <c r="AY1500" t="s">
        <v>63</v>
      </c>
      <c r="AZ1500" t="s">
        <v>63</v>
      </c>
      <c r="BA1500" t="s">
        <v>63</v>
      </c>
      <c r="BB1500" t="s">
        <v>63</v>
      </c>
      <c r="BC1500" t="s">
        <v>63</v>
      </c>
      <c r="BD1500" t="s">
        <v>63</v>
      </c>
      <c r="BE1500" t="s">
        <v>63</v>
      </c>
      <c r="BF1500" t="s">
        <v>63</v>
      </c>
    </row>
    <row r="1501" spans="1:58">
      <c r="A1501" t="s">
        <v>58</v>
      </c>
      <c r="B1501" t="s">
        <v>13196</v>
      </c>
      <c r="C1501" t="s">
        <v>13197</v>
      </c>
      <c r="D1501" t="s">
        <v>13198</v>
      </c>
      <c r="E1501" t="s">
        <v>63</v>
      </c>
      <c r="F1501">
        <v>2010</v>
      </c>
      <c r="G1501" t="s">
        <v>1670</v>
      </c>
      <c r="H1501">
        <v>25</v>
      </c>
      <c r="I1501">
        <v>4</v>
      </c>
      <c r="J1501">
        <v>170</v>
      </c>
      <c r="K1501">
        <v>171</v>
      </c>
      <c r="L1501" t="s">
        <v>13199</v>
      </c>
      <c r="M1501" t="s">
        <v>63</v>
      </c>
      <c r="N1501" t="s">
        <v>13200</v>
      </c>
      <c r="O1501" t="s">
        <v>63</v>
      </c>
      <c r="Q1501" t="s">
        <v>63</v>
      </c>
      <c r="R1501" t="s">
        <v>63</v>
      </c>
      <c r="S1501" t="s">
        <v>63</v>
      </c>
      <c r="T1501" t="s">
        <v>63</v>
      </c>
      <c r="X1501" t="s">
        <v>63</v>
      </c>
      <c r="Y1501" t="s">
        <v>13201</v>
      </c>
      <c r="Z1501" t="s">
        <v>63</v>
      </c>
      <c r="AA1501" t="s">
        <v>13202</v>
      </c>
      <c r="AB1501">
        <v>20645589</v>
      </c>
      <c r="AC1501" t="s">
        <v>67</v>
      </c>
      <c r="AD1501" t="s">
        <v>63</v>
      </c>
      <c r="AE1501" t="s">
        <v>63</v>
      </c>
      <c r="AF1501" t="s">
        <v>63</v>
      </c>
      <c r="AG1501" t="s">
        <v>13203</v>
      </c>
      <c r="AH1501" t="s">
        <v>63</v>
      </c>
      <c r="AI1501" t="s">
        <v>63</v>
      </c>
      <c r="AJ1501" t="s">
        <v>63</v>
      </c>
      <c r="AK1501" t="s">
        <v>63</v>
      </c>
      <c r="AL1501" t="s">
        <v>63</v>
      </c>
      <c r="AM1501" t="s">
        <v>13204</v>
      </c>
      <c r="AN1501" t="s">
        <v>63</v>
      </c>
      <c r="AO1501" t="s">
        <v>63</v>
      </c>
      <c r="AP1501" t="s">
        <v>63</v>
      </c>
      <c r="AQ1501" t="s">
        <v>63</v>
      </c>
      <c r="AR1501" t="s">
        <v>63</v>
      </c>
      <c r="AS1501" t="s">
        <v>63</v>
      </c>
      <c r="AT1501" t="s">
        <v>63</v>
      </c>
      <c r="AU1501" t="s">
        <v>63</v>
      </c>
      <c r="AV1501" t="s">
        <v>63</v>
      </c>
      <c r="AW1501" t="s">
        <v>63</v>
      </c>
      <c r="AX1501" t="s">
        <v>63</v>
      </c>
      <c r="AY1501" t="s">
        <v>63</v>
      </c>
      <c r="AZ1501" t="s">
        <v>63</v>
      </c>
      <c r="BA1501" t="s">
        <v>63</v>
      </c>
      <c r="BB1501" t="s">
        <v>63</v>
      </c>
      <c r="BC1501" t="s">
        <v>63</v>
      </c>
      <c r="BD1501" t="s">
        <v>63</v>
      </c>
      <c r="BE1501" t="s">
        <v>63</v>
      </c>
      <c r="BF1501" t="s">
        <v>63</v>
      </c>
    </row>
    <row r="1502" spans="1:58">
      <c r="A1502" t="s">
        <v>58</v>
      </c>
      <c r="B1502" t="s">
        <v>13205</v>
      </c>
      <c r="C1502" t="s">
        <v>13206</v>
      </c>
      <c r="D1502" t="s">
        <v>938</v>
      </c>
      <c r="E1502" t="s">
        <v>63</v>
      </c>
      <c r="F1502">
        <v>2014</v>
      </c>
      <c r="G1502" t="s">
        <v>1717</v>
      </c>
      <c r="H1502">
        <v>23</v>
      </c>
      <c r="I1502">
        <v>6</v>
      </c>
      <c r="J1502">
        <v>618</v>
      </c>
      <c r="K1502">
        <v>622</v>
      </c>
      <c r="L1502" t="s">
        <v>13207</v>
      </c>
      <c r="M1502" t="s">
        <v>13208</v>
      </c>
      <c r="N1502" t="s">
        <v>13209</v>
      </c>
      <c r="O1502" t="s">
        <v>63</v>
      </c>
      <c r="Q1502" t="s">
        <v>63</v>
      </c>
      <c r="R1502" t="s">
        <v>63</v>
      </c>
      <c r="S1502" t="s">
        <v>63</v>
      </c>
      <c r="T1502" t="s">
        <v>63</v>
      </c>
      <c r="X1502" t="s">
        <v>63</v>
      </c>
      <c r="Y1502" t="s">
        <v>942</v>
      </c>
      <c r="Z1502" t="s">
        <v>63</v>
      </c>
      <c r="AA1502" t="s">
        <v>13210</v>
      </c>
      <c r="AB1502">
        <v>25065457</v>
      </c>
      <c r="AC1502" t="s">
        <v>67</v>
      </c>
      <c r="AD1502" t="s">
        <v>63</v>
      </c>
      <c r="AE1502" t="s">
        <v>63</v>
      </c>
      <c r="AF1502" t="s">
        <v>63</v>
      </c>
      <c r="AG1502" t="s">
        <v>13211</v>
      </c>
      <c r="AH1502" t="s">
        <v>63</v>
      </c>
      <c r="AI1502" t="s">
        <v>13212</v>
      </c>
      <c r="AJ1502" t="s">
        <v>63</v>
      </c>
      <c r="AK1502" t="s">
        <v>63</v>
      </c>
      <c r="AL1502" t="s">
        <v>63</v>
      </c>
      <c r="AM1502" t="s">
        <v>13213</v>
      </c>
      <c r="AN1502" t="s">
        <v>63</v>
      </c>
      <c r="AO1502" t="s">
        <v>63</v>
      </c>
      <c r="AP1502" t="s">
        <v>63</v>
      </c>
      <c r="AQ1502" t="s">
        <v>63</v>
      </c>
      <c r="AR1502" t="s">
        <v>63</v>
      </c>
      <c r="AS1502" t="s">
        <v>63</v>
      </c>
      <c r="AT1502" t="s">
        <v>63</v>
      </c>
      <c r="AU1502" t="s">
        <v>63</v>
      </c>
      <c r="AV1502" t="s">
        <v>63</v>
      </c>
      <c r="AW1502" t="s">
        <v>63</v>
      </c>
      <c r="AX1502" t="s">
        <v>63</v>
      </c>
      <c r="AY1502" t="s">
        <v>63</v>
      </c>
      <c r="AZ1502" t="s">
        <v>63</v>
      </c>
      <c r="BA1502" t="s">
        <v>63</v>
      </c>
      <c r="BB1502" t="s">
        <v>63</v>
      </c>
      <c r="BC1502" t="s">
        <v>63</v>
      </c>
      <c r="BD1502" t="s">
        <v>63</v>
      </c>
      <c r="BE1502" t="s">
        <v>63</v>
      </c>
      <c r="BF1502" t="s">
        <v>63</v>
      </c>
    </row>
    <row r="1503" spans="1:58">
      <c r="A1503" t="s">
        <v>58</v>
      </c>
      <c r="B1503" t="s">
        <v>13214</v>
      </c>
      <c r="C1503" t="s">
        <v>13215</v>
      </c>
      <c r="D1503" t="s">
        <v>325</v>
      </c>
      <c r="E1503" t="s">
        <v>63</v>
      </c>
      <c r="F1503">
        <v>2016</v>
      </c>
      <c r="G1503" t="s">
        <v>73</v>
      </c>
      <c r="H1503">
        <v>40</v>
      </c>
      <c r="I1503">
        <v>3</v>
      </c>
      <c r="J1503">
        <v>498</v>
      </c>
      <c r="K1503">
        <v>502</v>
      </c>
      <c r="L1503" t="s">
        <v>13216</v>
      </c>
      <c r="M1503" t="s">
        <v>13217</v>
      </c>
      <c r="N1503" t="s">
        <v>13218</v>
      </c>
      <c r="O1503" t="s">
        <v>63</v>
      </c>
      <c r="Q1503" t="s">
        <v>63</v>
      </c>
      <c r="R1503" t="s">
        <v>63</v>
      </c>
      <c r="S1503" t="s">
        <v>63</v>
      </c>
      <c r="T1503" t="s">
        <v>63</v>
      </c>
      <c r="X1503" t="s">
        <v>63</v>
      </c>
      <c r="Y1503" t="s">
        <v>330</v>
      </c>
      <c r="Z1503" t="s">
        <v>63</v>
      </c>
      <c r="AA1503" t="s">
        <v>13219</v>
      </c>
      <c r="AB1503">
        <v>26017618</v>
      </c>
      <c r="AC1503" t="s">
        <v>67</v>
      </c>
      <c r="AD1503" t="s">
        <v>63</v>
      </c>
      <c r="AE1503" t="s">
        <v>63</v>
      </c>
      <c r="AF1503" t="s">
        <v>63</v>
      </c>
      <c r="AG1503" t="s">
        <v>13220</v>
      </c>
      <c r="AH1503" t="s">
        <v>63</v>
      </c>
      <c r="AI1503" t="s">
        <v>13221</v>
      </c>
      <c r="AJ1503" t="s">
        <v>63</v>
      </c>
      <c r="AK1503" t="s">
        <v>63</v>
      </c>
      <c r="AL1503" t="s">
        <v>63</v>
      </c>
      <c r="AM1503" t="s">
        <v>13222</v>
      </c>
      <c r="AN1503" t="s">
        <v>63</v>
      </c>
      <c r="AO1503" t="s">
        <v>63</v>
      </c>
      <c r="AP1503" t="s">
        <v>63</v>
      </c>
      <c r="AQ1503" t="s">
        <v>63</v>
      </c>
      <c r="AR1503" t="s">
        <v>63</v>
      </c>
      <c r="AS1503" t="s">
        <v>63</v>
      </c>
      <c r="AT1503" t="s">
        <v>63</v>
      </c>
      <c r="AU1503" t="s">
        <v>63</v>
      </c>
      <c r="AV1503" t="s">
        <v>63</v>
      </c>
      <c r="AW1503" t="s">
        <v>63</v>
      </c>
      <c r="AX1503" t="s">
        <v>63</v>
      </c>
      <c r="AY1503" t="s">
        <v>63</v>
      </c>
      <c r="AZ1503" t="s">
        <v>63</v>
      </c>
      <c r="BA1503" t="s">
        <v>63</v>
      </c>
      <c r="BB1503" t="s">
        <v>63</v>
      </c>
      <c r="BC1503" t="s">
        <v>63</v>
      </c>
      <c r="BD1503" t="s">
        <v>63</v>
      </c>
      <c r="BE1503" t="s">
        <v>63</v>
      </c>
      <c r="BF1503" t="s">
        <v>63</v>
      </c>
    </row>
    <row r="1504" spans="1:58">
      <c r="A1504" t="s">
        <v>58</v>
      </c>
      <c r="B1504" t="s">
        <v>13223</v>
      </c>
      <c r="C1504" t="s">
        <v>13224</v>
      </c>
      <c r="D1504" t="s">
        <v>13225</v>
      </c>
      <c r="E1504" t="s">
        <v>13225</v>
      </c>
      <c r="F1504">
        <v>2011</v>
      </c>
      <c r="G1504" t="s">
        <v>1114</v>
      </c>
      <c r="H1504">
        <v>52</v>
      </c>
      <c r="I1504">
        <v>3</v>
      </c>
      <c r="J1504">
        <v>296</v>
      </c>
      <c r="K1504">
        <v>297</v>
      </c>
      <c r="L1504" t="s">
        <v>13226</v>
      </c>
      <c r="M1504" t="s">
        <v>63</v>
      </c>
      <c r="N1504" t="s">
        <v>13227</v>
      </c>
      <c r="O1504" t="s">
        <v>63</v>
      </c>
      <c r="Q1504" t="s">
        <v>63</v>
      </c>
      <c r="R1504" t="s">
        <v>63</v>
      </c>
      <c r="S1504" t="s">
        <v>63</v>
      </c>
      <c r="T1504" t="s">
        <v>63</v>
      </c>
      <c r="X1504" t="s">
        <v>63</v>
      </c>
      <c r="Y1504" t="s">
        <v>13228</v>
      </c>
      <c r="Z1504" t="s">
        <v>63</v>
      </c>
      <c r="AA1504" t="s">
        <v>63</v>
      </c>
      <c r="AB1504">
        <v>21565606</v>
      </c>
      <c r="AC1504" t="s">
        <v>67</v>
      </c>
      <c r="AD1504" t="s">
        <v>63</v>
      </c>
      <c r="AE1504" t="s">
        <v>63</v>
      </c>
      <c r="AF1504" t="s">
        <v>63</v>
      </c>
      <c r="AG1504" t="s">
        <v>13229</v>
      </c>
      <c r="AH1504" t="s">
        <v>63</v>
      </c>
      <c r="AI1504" t="s">
        <v>13230</v>
      </c>
      <c r="AJ1504" t="s">
        <v>63</v>
      </c>
      <c r="AK1504" t="s">
        <v>63</v>
      </c>
      <c r="AL1504" t="s">
        <v>63</v>
      </c>
      <c r="AM1504" t="s">
        <v>13231</v>
      </c>
      <c r="AN1504" t="s">
        <v>63</v>
      </c>
      <c r="AO1504" t="s">
        <v>63</v>
      </c>
      <c r="AP1504" t="s">
        <v>63</v>
      </c>
      <c r="AQ1504" t="s">
        <v>63</v>
      </c>
      <c r="AR1504" t="s">
        <v>63</v>
      </c>
      <c r="AS1504" t="s">
        <v>63</v>
      </c>
      <c r="AT1504" t="s">
        <v>63</v>
      </c>
      <c r="AU1504" t="s">
        <v>63</v>
      </c>
      <c r="AV1504" t="s">
        <v>63</v>
      </c>
      <c r="AW1504" t="s">
        <v>63</v>
      </c>
      <c r="AX1504" t="s">
        <v>63</v>
      </c>
      <c r="AY1504" t="s">
        <v>63</v>
      </c>
      <c r="AZ1504" t="s">
        <v>63</v>
      </c>
      <c r="BA1504" t="s">
        <v>63</v>
      </c>
      <c r="BB1504" t="s">
        <v>63</v>
      </c>
      <c r="BC1504" t="s">
        <v>63</v>
      </c>
      <c r="BD1504" t="s">
        <v>63</v>
      </c>
      <c r="BE1504" t="s">
        <v>63</v>
      </c>
      <c r="BF1504" t="s">
        <v>63</v>
      </c>
    </row>
    <row r="1505" spans="1:58">
      <c r="A1505" t="s">
        <v>58</v>
      </c>
      <c r="B1505" t="s">
        <v>13232</v>
      </c>
      <c r="C1505" t="s">
        <v>13233</v>
      </c>
      <c r="D1505" t="s">
        <v>13234</v>
      </c>
      <c r="E1505" t="s">
        <v>63</v>
      </c>
      <c r="F1505">
        <v>2014</v>
      </c>
      <c r="G1505" t="s">
        <v>138</v>
      </c>
      <c r="H1505">
        <v>5</v>
      </c>
      <c r="I1505">
        <v>4</v>
      </c>
      <c r="J1505">
        <v>263</v>
      </c>
      <c r="K1505">
        <v>270</v>
      </c>
      <c r="L1505" t="s">
        <v>13235</v>
      </c>
      <c r="M1505" t="s">
        <v>13236</v>
      </c>
      <c r="N1505" t="s">
        <v>13237</v>
      </c>
      <c r="O1505" t="s">
        <v>63</v>
      </c>
      <c r="Q1505" t="s">
        <v>63</v>
      </c>
      <c r="R1505" t="s">
        <v>63</v>
      </c>
      <c r="S1505" t="s">
        <v>63</v>
      </c>
      <c r="T1505" t="s">
        <v>63</v>
      </c>
      <c r="X1505" t="s">
        <v>63</v>
      </c>
      <c r="Y1505" t="s">
        <v>13238</v>
      </c>
      <c r="Z1505" t="s">
        <v>63</v>
      </c>
      <c r="AA1505" t="s">
        <v>13239</v>
      </c>
      <c r="AB1505">
        <v>24879656</v>
      </c>
      <c r="AC1505" t="s">
        <v>67</v>
      </c>
      <c r="AD1505" t="s">
        <v>63</v>
      </c>
      <c r="AE1505" t="s">
        <v>63</v>
      </c>
      <c r="AF1505" t="s">
        <v>63</v>
      </c>
      <c r="AG1505" t="s">
        <v>13240</v>
      </c>
      <c r="AH1505" t="s">
        <v>63</v>
      </c>
      <c r="AI1505" t="s">
        <v>13241</v>
      </c>
      <c r="AJ1505" t="s">
        <v>63</v>
      </c>
      <c r="AK1505" t="s">
        <v>63</v>
      </c>
      <c r="AL1505" t="s">
        <v>63</v>
      </c>
      <c r="AM1505" t="s">
        <v>13242</v>
      </c>
      <c r="AN1505" t="s">
        <v>63</v>
      </c>
      <c r="AO1505" t="s">
        <v>63</v>
      </c>
      <c r="AP1505" t="s">
        <v>63</v>
      </c>
      <c r="AQ1505" t="s">
        <v>63</v>
      </c>
      <c r="AR1505" t="s">
        <v>63</v>
      </c>
      <c r="AS1505" t="s">
        <v>63</v>
      </c>
      <c r="AT1505" t="s">
        <v>63</v>
      </c>
      <c r="AU1505" t="s">
        <v>63</v>
      </c>
      <c r="AV1505" t="s">
        <v>63</v>
      </c>
      <c r="AW1505" t="s">
        <v>63</v>
      </c>
      <c r="AX1505" t="s">
        <v>63</v>
      </c>
      <c r="AY1505" t="s">
        <v>63</v>
      </c>
      <c r="AZ1505" t="s">
        <v>63</v>
      </c>
      <c r="BA1505" t="s">
        <v>63</v>
      </c>
      <c r="BB1505" t="s">
        <v>63</v>
      </c>
      <c r="BC1505" t="s">
        <v>63</v>
      </c>
      <c r="BD1505" t="s">
        <v>63</v>
      </c>
      <c r="BE1505" t="s">
        <v>63</v>
      </c>
      <c r="BF1505" t="s">
        <v>63</v>
      </c>
    </row>
    <row r="1506" spans="1:58">
      <c r="A1506" t="s">
        <v>58</v>
      </c>
      <c r="B1506" t="s">
        <v>13243</v>
      </c>
      <c r="C1506" t="s">
        <v>13244</v>
      </c>
      <c r="D1506" t="s">
        <v>7734</v>
      </c>
      <c r="E1506" t="s">
        <v>63</v>
      </c>
      <c r="F1506">
        <v>2002</v>
      </c>
      <c r="G1506" t="s">
        <v>63</v>
      </c>
      <c r="H1506" t="s">
        <v>13245</v>
      </c>
      <c r="I1506" t="s">
        <v>63</v>
      </c>
      <c r="J1506">
        <v>501</v>
      </c>
      <c r="K1506">
        <v>505</v>
      </c>
      <c r="L1506" t="s">
        <v>13246</v>
      </c>
      <c r="M1506" t="s">
        <v>13247</v>
      </c>
      <c r="N1506" t="s">
        <v>13248</v>
      </c>
      <c r="O1506" t="s">
        <v>63</v>
      </c>
      <c r="Q1506" t="s">
        <v>63</v>
      </c>
      <c r="R1506" t="s">
        <v>63</v>
      </c>
      <c r="S1506" t="s">
        <v>63</v>
      </c>
      <c r="T1506" t="s">
        <v>63</v>
      </c>
      <c r="X1506" t="s">
        <v>63</v>
      </c>
      <c r="Y1506" t="s">
        <v>7739</v>
      </c>
      <c r="Z1506" t="s">
        <v>63</v>
      </c>
      <c r="AA1506" t="s">
        <v>13249</v>
      </c>
      <c r="AB1506">
        <v>15002292</v>
      </c>
      <c r="AC1506" t="s">
        <v>696</v>
      </c>
      <c r="AD1506" t="s">
        <v>63</v>
      </c>
      <c r="AE1506" t="s">
        <v>63</v>
      </c>
      <c r="AF1506" t="s">
        <v>63</v>
      </c>
      <c r="AG1506" t="s">
        <v>13250</v>
      </c>
      <c r="AH1506" t="s">
        <v>63</v>
      </c>
      <c r="AI1506" t="s">
        <v>63</v>
      </c>
      <c r="AJ1506" t="s">
        <v>63</v>
      </c>
      <c r="AK1506" t="s">
        <v>63</v>
      </c>
      <c r="AL1506" t="s">
        <v>63</v>
      </c>
      <c r="AM1506" t="s">
        <v>13251</v>
      </c>
      <c r="AN1506" t="s">
        <v>63</v>
      </c>
      <c r="AO1506" t="s">
        <v>63</v>
      </c>
      <c r="AP1506" t="s">
        <v>63</v>
      </c>
      <c r="AQ1506" t="s">
        <v>63</v>
      </c>
      <c r="AR1506" t="s">
        <v>63</v>
      </c>
      <c r="AS1506" t="s">
        <v>63</v>
      </c>
      <c r="AT1506" t="s">
        <v>63</v>
      </c>
      <c r="AU1506" t="s">
        <v>63</v>
      </c>
      <c r="AV1506" t="s">
        <v>63</v>
      </c>
      <c r="AW1506" t="s">
        <v>63</v>
      </c>
      <c r="AX1506" t="s">
        <v>63</v>
      </c>
      <c r="AY1506" t="s">
        <v>63</v>
      </c>
      <c r="AZ1506" t="s">
        <v>63</v>
      </c>
      <c r="BA1506" t="s">
        <v>63</v>
      </c>
      <c r="BB1506" t="s">
        <v>63</v>
      </c>
      <c r="BC1506" t="s">
        <v>63</v>
      </c>
      <c r="BD1506" t="s">
        <v>63</v>
      </c>
      <c r="BE1506" t="s">
        <v>63</v>
      </c>
      <c r="BF1506" t="s">
        <v>63</v>
      </c>
    </row>
    <row r="1507" spans="1:58">
      <c r="A1507" t="s">
        <v>58</v>
      </c>
      <c r="B1507" t="s">
        <v>13252</v>
      </c>
      <c r="C1507" t="s">
        <v>13253</v>
      </c>
      <c r="D1507" t="s">
        <v>180</v>
      </c>
      <c r="E1507" t="s">
        <v>63</v>
      </c>
      <c r="F1507">
        <v>1989</v>
      </c>
      <c r="G1507" t="s">
        <v>63</v>
      </c>
      <c r="H1507">
        <v>24</v>
      </c>
      <c r="I1507">
        <v>4</v>
      </c>
      <c r="J1507">
        <v>339</v>
      </c>
      <c r="K1507">
        <v>345</v>
      </c>
      <c r="L1507" t="s">
        <v>13254</v>
      </c>
      <c r="M1507" t="s">
        <v>63</v>
      </c>
      <c r="N1507" t="s">
        <v>13255</v>
      </c>
      <c r="O1507" t="s">
        <v>63</v>
      </c>
      <c r="Q1507" t="s">
        <v>63</v>
      </c>
      <c r="R1507" t="s">
        <v>63</v>
      </c>
      <c r="S1507" t="s">
        <v>63</v>
      </c>
      <c r="T1507" t="s">
        <v>63</v>
      </c>
      <c r="X1507" t="s">
        <v>63</v>
      </c>
      <c r="Y1507" t="s">
        <v>185</v>
      </c>
      <c r="Z1507" t="s">
        <v>63</v>
      </c>
      <c r="AA1507" t="s">
        <v>13256</v>
      </c>
      <c r="AB1507">
        <v>2789524</v>
      </c>
      <c r="AC1507" t="s">
        <v>67</v>
      </c>
      <c r="AD1507" t="s">
        <v>63</v>
      </c>
      <c r="AE1507" t="s">
        <v>63</v>
      </c>
      <c r="AF1507" t="s">
        <v>63</v>
      </c>
      <c r="AG1507" t="s">
        <v>13257</v>
      </c>
      <c r="AH1507" t="s">
        <v>63</v>
      </c>
      <c r="AI1507" t="s">
        <v>63</v>
      </c>
      <c r="AJ1507" t="s">
        <v>63</v>
      </c>
      <c r="AK1507" t="s">
        <v>63</v>
      </c>
      <c r="AL1507" t="s">
        <v>63</v>
      </c>
      <c r="AM1507" t="s">
        <v>13258</v>
      </c>
      <c r="AN1507" t="s">
        <v>63</v>
      </c>
      <c r="AO1507" t="s">
        <v>63</v>
      </c>
      <c r="AP1507" t="s">
        <v>63</v>
      </c>
      <c r="AQ1507" t="s">
        <v>63</v>
      </c>
      <c r="AR1507" t="s">
        <v>63</v>
      </c>
      <c r="AS1507" t="s">
        <v>63</v>
      </c>
      <c r="AT1507" t="s">
        <v>63</v>
      </c>
      <c r="AU1507" t="s">
        <v>63</v>
      </c>
      <c r="AV1507" t="s">
        <v>63</v>
      </c>
      <c r="AW1507" t="s">
        <v>63</v>
      </c>
      <c r="AX1507" t="s">
        <v>63</v>
      </c>
      <c r="AY1507" t="s">
        <v>63</v>
      </c>
      <c r="AZ1507" t="s">
        <v>63</v>
      </c>
      <c r="BA1507" t="s">
        <v>63</v>
      </c>
      <c r="BB1507" t="s">
        <v>63</v>
      </c>
      <c r="BC1507" t="s">
        <v>63</v>
      </c>
      <c r="BD1507" t="s">
        <v>63</v>
      </c>
      <c r="BE1507" t="s">
        <v>63</v>
      </c>
      <c r="BF1507" t="s">
        <v>63</v>
      </c>
    </row>
    <row r="1508" spans="1:58">
      <c r="A1508" t="s">
        <v>58</v>
      </c>
      <c r="B1508" t="s">
        <v>13259</v>
      </c>
      <c r="C1508" t="s">
        <v>13260</v>
      </c>
      <c r="D1508" t="s">
        <v>155</v>
      </c>
      <c r="E1508" t="s">
        <v>156</v>
      </c>
      <c r="F1508">
        <v>1989</v>
      </c>
      <c r="G1508" t="s">
        <v>157</v>
      </c>
      <c r="H1508">
        <v>18</v>
      </c>
      <c r="I1508">
        <v>12</v>
      </c>
      <c r="J1508">
        <v>1344</v>
      </c>
      <c r="K1508">
        <v>1347</v>
      </c>
      <c r="L1508" t="s">
        <v>13261</v>
      </c>
      <c r="M1508" t="s">
        <v>13262</v>
      </c>
      <c r="N1508" t="s">
        <v>13263</v>
      </c>
      <c r="O1508" t="s">
        <v>63</v>
      </c>
      <c r="Q1508" t="s">
        <v>63</v>
      </c>
      <c r="R1508" t="s">
        <v>63</v>
      </c>
      <c r="S1508" t="s">
        <v>63</v>
      </c>
      <c r="T1508" t="s">
        <v>63</v>
      </c>
      <c r="X1508" t="s">
        <v>63</v>
      </c>
      <c r="Y1508" t="s">
        <v>160</v>
      </c>
      <c r="Z1508" t="s">
        <v>63</v>
      </c>
      <c r="AA1508" t="s">
        <v>13264</v>
      </c>
      <c r="AB1508">
        <v>2589703</v>
      </c>
      <c r="AC1508" t="s">
        <v>67</v>
      </c>
      <c r="AD1508" t="s">
        <v>63</v>
      </c>
      <c r="AE1508" t="s">
        <v>63</v>
      </c>
      <c r="AF1508" t="s">
        <v>63</v>
      </c>
      <c r="AG1508" t="s">
        <v>13265</v>
      </c>
      <c r="AH1508" t="s">
        <v>63</v>
      </c>
      <c r="AI1508" t="s">
        <v>63</v>
      </c>
      <c r="AJ1508" t="s">
        <v>63</v>
      </c>
      <c r="AK1508" t="s">
        <v>63</v>
      </c>
      <c r="AL1508" t="s">
        <v>63</v>
      </c>
      <c r="AM1508" t="s">
        <v>13266</v>
      </c>
      <c r="AN1508" t="s">
        <v>63</v>
      </c>
      <c r="AO1508" t="s">
        <v>63</v>
      </c>
      <c r="AP1508" t="s">
        <v>63</v>
      </c>
      <c r="AQ1508" t="s">
        <v>63</v>
      </c>
      <c r="AR1508" t="s">
        <v>63</v>
      </c>
      <c r="AS1508" t="s">
        <v>63</v>
      </c>
      <c r="AT1508" t="s">
        <v>63</v>
      </c>
      <c r="AU1508" t="s">
        <v>63</v>
      </c>
      <c r="AV1508" t="s">
        <v>63</v>
      </c>
      <c r="AW1508" t="s">
        <v>63</v>
      </c>
      <c r="AX1508" t="s">
        <v>63</v>
      </c>
      <c r="AY1508" t="s">
        <v>63</v>
      </c>
      <c r="AZ1508" t="s">
        <v>63</v>
      </c>
      <c r="BA1508" t="s">
        <v>63</v>
      </c>
      <c r="BB1508" t="s">
        <v>63</v>
      </c>
      <c r="BC1508" t="s">
        <v>63</v>
      </c>
      <c r="BD1508" t="s">
        <v>63</v>
      </c>
      <c r="BE1508" t="s">
        <v>63</v>
      </c>
      <c r="BF1508" t="s">
        <v>63</v>
      </c>
    </row>
    <row r="1509" spans="1:58">
      <c r="A1509" t="s">
        <v>58</v>
      </c>
      <c r="B1509" t="s">
        <v>13267</v>
      </c>
      <c r="C1509" t="s">
        <v>13268</v>
      </c>
      <c r="D1509" t="s">
        <v>13269</v>
      </c>
      <c r="E1509" t="s">
        <v>13270</v>
      </c>
      <c r="F1509">
        <v>2015</v>
      </c>
      <c r="G1509" t="s">
        <v>181</v>
      </c>
      <c r="H1509">
        <v>18</v>
      </c>
      <c r="I1509">
        <v>9</v>
      </c>
      <c r="J1509">
        <v>752</v>
      </c>
      <c r="K1509">
        <v>757</v>
      </c>
      <c r="L1509" t="s">
        <v>13271</v>
      </c>
      <c r="M1509" t="s">
        <v>13272</v>
      </c>
      <c r="N1509" t="s">
        <v>13273</v>
      </c>
      <c r="O1509" t="s">
        <v>63</v>
      </c>
      <c r="Q1509" t="s">
        <v>63</v>
      </c>
      <c r="R1509" t="s">
        <v>63</v>
      </c>
      <c r="S1509" t="s">
        <v>63</v>
      </c>
      <c r="T1509" t="s">
        <v>63</v>
      </c>
      <c r="X1509" t="s">
        <v>63</v>
      </c>
      <c r="Y1509" t="s">
        <v>13274</v>
      </c>
      <c r="Z1509" t="s">
        <v>63</v>
      </c>
      <c r="AA1509" t="s">
        <v>13275</v>
      </c>
      <c r="AB1509">
        <v>26302425</v>
      </c>
      <c r="AC1509" t="s">
        <v>67</v>
      </c>
      <c r="AD1509" t="s">
        <v>63</v>
      </c>
      <c r="AE1509" t="s">
        <v>63</v>
      </c>
      <c r="AF1509" t="s">
        <v>63</v>
      </c>
      <c r="AG1509" t="s">
        <v>13276</v>
      </c>
      <c r="AH1509" t="s">
        <v>63</v>
      </c>
      <c r="AI1509" t="s">
        <v>13277</v>
      </c>
      <c r="AJ1509" t="s">
        <v>63</v>
      </c>
      <c r="AK1509" t="s">
        <v>63</v>
      </c>
      <c r="AL1509" t="s">
        <v>63</v>
      </c>
      <c r="AM1509" t="s">
        <v>13278</v>
      </c>
      <c r="AN1509" t="s">
        <v>63</v>
      </c>
      <c r="AO1509" t="s">
        <v>63</v>
      </c>
      <c r="AP1509" t="s">
        <v>63</v>
      </c>
      <c r="AQ1509" t="s">
        <v>63</v>
      </c>
      <c r="AR1509" t="s">
        <v>63</v>
      </c>
      <c r="AS1509" t="s">
        <v>63</v>
      </c>
      <c r="AT1509" t="s">
        <v>63</v>
      </c>
      <c r="AU1509" t="s">
        <v>63</v>
      </c>
      <c r="AV1509" t="s">
        <v>63</v>
      </c>
      <c r="AW1509" t="s">
        <v>63</v>
      </c>
      <c r="AX1509" t="s">
        <v>63</v>
      </c>
      <c r="AY1509" t="s">
        <v>63</v>
      </c>
      <c r="AZ1509" t="s">
        <v>63</v>
      </c>
      <c r="BA1509" t="s">
        <v>63</v>
      </c>
      <c r="BB1509" t="s">
        <v>63</v>
      </c>
      <c r="BC1509" t="s">
        <v>63</v>
      </c>
      <c r="BD1509" t="s">
        <v>63</v>
      </c>
      <c r="BE1509" t="s">
        <v>63</v>
      </c>
      <c r="BF1509" t="s">
        <v>63</v>
      </c>
    </row>
    <row r="1510" spans="1:58">
      <c r="A1510" t="s">
        <v>58</v>
      </c>
      <c r="B1510" t="s">
        <v>13279</v>
      </c>
      <c r="C1510" t="s">
        <v>13280</v>
      </c>
      <c r="D1510" t="s">
        <v>13281</v>
      </c>
      <c r="E1510" t="s">
        <v>13282</v>
      </c>
      <c r="F1510">
        <v>2008</v>
      </c>
      <c r="G1510" t="s">
        <v>84</v>
      </c>
      <c r="H1510">
        <v>13</v>
      </c>
      <c r="I1510">
        <v>2</v>
      </c>
      <c r="J1510">
        <v>109</v>
      </c>
      <c r="K1510">
        <v>127</v>
      </c>
      <c r="L1510" t="s">
        <v>13283</v>
      </c>
      <c r="M1510" t="s">
        <v>13284</v>
      </c>
      <c r="N1510" t="s">
        <v>13285</v>
      </c>
      <c r="O1510" t="s">
        <v>63</v>
      </c>
      <c r="Q1510" t="s">
        <v>63</v>
      </c>
      <c r="R1510" t="s">
        <v>63</v>
      </c>
      <c r="S1510" t="s">
        <v>63</v>
      </c>
      <c r="T1510" t="s">
        <v>63</v>
      </c>
      <c r="X1510" t="s">
        <v>63</v>
      </c>
      <c r="Y1510" t="s">
        <v>13286</v>
      </c>
      <c r="Z1510" t="s">
        <v>63</v>
      </c>
      <c r="AA1510" t="s">
        <v>13287</v>
      </c>
      <c r="AB1510">
        <v>18425710</v>
      </c>
      <c r="AC1510" t="s">
        <v>67</v>
      </c>
      <c r="AD1510" t="s">
        <v>63</v>
      </c>
      <c r="AE1510" t="s">
        <v>63</v>
      </c>
      <c r="AF1510" t="s">
        <v>63</v>
      </c>
      <c r="AG1510" t="s">
        <v>13288</v>
      </c>
      <c r="AH1510" t="s">
        <v>63</v>
      </c>
      <c r="AI1510" t="s">
        <v>13289</v>
      </c>
      <c r="AJ1510" t="s">
        <v>63</v>
      </c>
      <c r="AK1510" t="s">
        <v>63</v>
      </c>
      <c r="AL1510" t="s">
        <v>63</v>
      </c>
      <c r="AM1510" t="s">
        <v>13290</v>
      </c>
      <c r="AN1510" t="s">
        <v>63</v>
      </c>
      <c r="AO1510" t="s">
        <v>63</v>
      </c>
      <c r="AP1510" t="s">
        <v>63</v>
      </c>
      <c r="AQ1510" t="s">
        <v>63</v>
      </c>
      <c r="AR1510" t="s">
        <v>63</v>
      </c>
      <c r="AS1510" t="s">
        <v>63</v>
      </c>
      <c r="AT1510" t="s">
        <v>63</v>
      </c>
      <c r="AU1510" t="s">
        <v>63</v>
      </c>
      <c r="AV1510" t="s">
        <v>63</v>
      </c>
      <c r="AW1510" t="s">
        <v>63</v>
      </c>
      <c r="AX1510" t="s">
        <v>63</v>
      </c>
      <c r="AY1510" t="s">
        <v>63</v>
      </c>
      <c r="AZ1510" t="s">
        <v>63</v>
      </c>
      <c r="BA1510" t="s">
        <v>63</v>
      </c>
      <c r="BB1510" t="s">
        <v>63</v>
      </c>
      <c r="BC1510" t="s">
        <v>63</v>
      </c>
      <c r="BD1510" t="s">
        <v>63</v>
      </c>
      <c r="BE1510" t="s">
        <v>63</v>
      </c>
      <c r="BF1510" t="s">
        <v>63</v>
      </c>
    </row>
    <row r="1511" spans="1:58">
      <c r="A1511" t="s">
        <v>58</v>
      </c>
      <c r="B1511" t="s">
        <v>13291</v>
      </c>
      <c r="C1511" t="s">
        <v>13292</v>
      </c>
      <c r="D1511" t="s">
        <v>2353</v>
      </c>
      <c r="E1511" t="s">
        <v>2354</v>
      </c>
      <c r="F1511">
        <v>2005</v>
      </c>
      <c r="G1511" t="s">
        <v>138</v>
      </c>
      <c r="H1511">
        <v>29</v>
      </c>
      <c r="I1511">
        <v>3</v>
      </c>
      <c r="J1511">
        <v>215</v>
      </c>
      <c r="K1511">
        <v>220</v>
      </c>
      <c r="L1511" t="s">
        <v>13293</v>
      </c>
      <c r="M1511" t="s">
        <v>13294</v>
      </c>
      <c r="N1511" t="s">
        <v>13295</v>
      </c>
      <c r="O1511" t="s">
        <v>63</v>
      </c>
      <c r="Q1511" t="s">
        <v>63</v>
      </c>
      <c r="R1511" t="s">
        <v>63</v>
      </c>
      <c r="S1511" t="s">
        <v>63</v>
      </c>
      <c r="T1511" t="s">
        <v>63</v>
      </c>
      <c r="X1511" t="s">
        <v>63</v>
      </c>
      <c r="Y1511" t="s">
        <v>2358</v>
      </c>
      <c r="Z1511" t="s">
        <v>63</v>
      </c>
      <c r="AA1511" t="s">
        <v>13296</v>
      </c>
      <c r="AB1511">
        <v>16183470</v>
      </c>
      <c r="AC1511" t="s">
        <v>67</v>
      </c>
      <c r="AD1511" t="s">
        <v>63</v>
      </c>
      <c r="AE1511" t="s">
        <v>63</v>
      </c>
      <c r="AF1511" t="s">
        <v>63</v>
      </c>
      <c r="AG1511" t="s">
        <v>13297</v>
      </c>
      <c r="AH1511" t="s">
        <v>63</v>
      </c>
      <c r="AI1511" t="s">
        <v>63</v>
      </c>
      <c r="AJ1511" t="s">
        <v>63</v>
      </c>
      <c r="AK1511" t="s">
        <v>63</v>
      </c>
      <c r="AL1511" t="s">
        <v>63</v>
      </c>
      <c r="AM1511" t="s">
        <v>13298</v>
      </c>
      <c r="AN1511" t="s">
        <v>63</v>
      </c>
      <c r="AO1511" t="s">
        <v>63</v>
      </c>
      <c r="AP1511" t="s">
        <v>63</v>
      </c>
      <c r="AQ1511" t="s">
        <v>63</v>
      </c>
      <c r="AR1511" t="s">
        <v>63</v>
      </c>
      <c r="AS1511" t="s">
        <v>63</v>
      </c>
      <c r="AT1511" t="s">
        <v>63</v>
      </c>
      <c r="AU1511" t="s">
        <v>63</v>
      </c>
      <c r="AV1511" t="s">
        <v>63</v>
      </c>
      <c r="AW1511" t="s">
        <v>63</v>
      </c>
      <c r="AX1511" t="s">
        <v>63</v>
      </c>
      <c r="AY1511" t="s">
        <v>63</v>
      </c>
      <c r="AZ1511" t="s">
        <v>63</v>
      </c>
      <c r="BA1511" t="s">
        <v>63</v>
      </c>
      <c r="BB1511" t="s">
        <v>63</v>
      </c>
      <c r="BC1511" t="s">
        <v>63</v>
      </c>
      <c r="BD1511" t="s">
        <v>63</v>
      </c>
      <c r="BE1511" t="s">
        <v>63</v>
      </c>
      <c r="BF1511" t="s">
        <v>63</v>
      </c>
    </row>
    <row r="1512" spans="1:58">
      <c r="A1512" t="s">
        <v>58</v>
      </c>
      <c r="B1512" t="s">
        <v>13299</v>
      </c>
      <c r="C1512" t="s">
        <v>13300</v>
      </c>
      <c r="D1512" t="s">
        <v>6730</v>
      </c>
      <c r="E1512" t="s">
        <v>63</v>
      </c>
      <c r="F1512">
        <v>2017</v>
      </c>
      <c r="G1512" t="s">
        <v>326</v>
      </c>
      <c r="H1512">
        <v>9</v>
      </c>
      <c r="I1512">
        <v>1</v>
      </c>
      <c r="J1512">
        <v>133</v>
      </c>
      <c r="K1512" t="s">
        <v>63</v>
      </c>
      <c r="L1512" t="s">
        <v>63</v>
      </c>
      <c r="M1512" t="s">
        <v>63</v>
      </c>
      <c r="N1512" t="s">
        <v>13301</v>
      </c>
      <c r="O1512" t="s">
        <v>63</v>
      </c>
      <c r="Q1512" t="s">
        <v>63</v>
      </c>
      <c r="R1512" t="s">
        <v>63</v>
      </c>
      <c r="S1512" t="s">
        <v>63</v>
      </c>
      <c r="T1512" t="s">
        <v>63</v>
      </c>
      <c r="X1512" t="s">
        <v>63</v>
      </c>
      <c r="Y1512" t="s">
        <v>6733</v>
      </c>
      <c r="Z1512" t="s">
        <v>63</v>
      </c>
      <c r="AA1512" t="s">
        <v>13302</v>
      </c>
      <c r="AB1512">
        <v>28261411</v>
      </c>
      <c r="AC1512" t="s">
        <v>67</v>
      </c>
      <c r="AD1512" t="s">
        <v>63</v>
      </c>
      <c r="AE1512" t="s">
        <v>63</v>
      </c>
      <c r="AF1512" t="s">
        <v>63</v>
      </c>
      <c r="AG1512" t="s">
        <v>13303</v>
      </c>
      <c r="AH1512" t="s">
        <v>63</v>
      </c>
      <c r="AI1512" t="s">
        <v>13304</v>
      </c>
      <c r="AJ1512" t="s">
        <v>63</v>
      </c>
      <c r="AK1512" t="s">
        <v>63</v>
      </c>
      <c r="AL1512" t="s">
        <v>63</v>
      </c>
      <c r="AM1512" t="s">
        <v>13305</v>
      </c>
      <c r="AN1512" t="s">
        <v>63</v>
      </c>
      <c r="AO1512" t="s">
        <v>63</v>
      </c>
      <c r="AP1512" t="s">
        <v>63</v>
      </c>
      <c r="AQ1512" t="s">
        <v>63</v>
      </c>
      <c r="AR1512" t="s">
        <v>63</v>
      </c>
      <c r="AS1512" t="s">
        <v>63</v>
      </c>
      <c r="AT1512" t="s">
        <v>63</v>
      </c>
      <c r="AU1512" t="s">
        <v>63</v>
      </c>
      <c r="AV1512" t="s">
        <v>63</v>
      </c>
      <c r="AW1512" t="s">
        <v>63</v>
      </c>
      <c r="AX1512" t="s">
        <v>63</v>
      </c>
      <c r="AY1512" t="s">
        <v>63</v>
      </c>
      <c r="AZ1512" t="s">
        <v>63</v>
      </c>
      <c r="BA1512" t="s">
        <v>63</v>
      </c>
      <c r="BB1512" t="s">
        <v>63</v>
      </c>
      <c r="BC1512" t="s">
        <v>63</v>
      </c>
      <c r="BD1512" t="s">
        <v>63</v>
      </c>
      <c r="BE1512" t="s">
        <v>63</v>
      </c>
      <c r="BF1512" t="s">
        <v>63</v>
      </c>
    </row>
    <row r="1513" spans="1:58">
      <c r="A1513" t="s">
        <v>58</v>
      </c>
      <c r="B1513" t="s">
        <v>13306</v>
      </c>
      <c r="C1513" t="s">
        <v>13307</v>
      </c>
      <c r="D1513" t="s">
        <v>389</v>
      </c>
      <c r="E1513" t="s">
        <v>63</v>
      </c>
      <c r="F1513">
        <v>2012</v>
      </c>
      <c r="G1513" t="s">
        <v>63</v>
      </c>
      <c r="H1513">
        <v>33</v>
      </c>
      <c r="I1513">
        <v>3</v>
      </c>
      <c r="J1513">
        <v>316</v>
      </c>
      <c r="K1513">
        <v>320</v>
      </c>
      <c r="L1513" t="s">
        <v>13308</v>
      </c>
      <c r="M1513" t="s">
        <v>13309</v>
      </c>
      <c r="N1513" t="s">
        <v>13310</v>
      </c>
      <c r="O1513" t="s">
        <v>63</v>
      </c>
      <c r="Q1513" t="s">
        <v>63</v>
      </c>
      <c r="R1513" t="s">
        <v>63</v>
      </c>
      <c r="S1513" t="s">
        <v>63</v>
      </c>
      <c r="T1513" t="s">
        <v>63</v>
      </c>
      <c r="X1513" t="s">
        <v>63</v>
      </c>
      <c r="Y1513" t="s">
        <v>556</v>
      </c>
      <c r="Z1513" t="s">
        <v>63</v>
      </c>
      <c r="AA1513" t="s">
        <v>13311</v>
      </c>
      <c r="AB1513">
        <v>22738013</v>
      </c>
      <c r="AC1513" t="s">
        <v>67</v>
      </c>
      <c r="AD1513" t="s">
        <v>63</v>
      </c>
      <c r="AE1513" t="s">
        <v>63</v>
      </c>
      <c r="AF1513" t="s">
        <v>63</v>
      </c>
      <c r="AG1513" t="s">
        <v>13312</v>
      </c>
      <c r="AH1513" t="s">
        <v>63</v>
      </c>
      <c r="AI1513" t="s">
        <v>13313</v>
      </c>
      <c r="AJ1513" t="s">
        <v>63</v>
      </c>
      <c r="AK1513" t="s">
        <v>63</v>
      </c>
      <c r="AL1513" t="s">
        <v>63</v>
      </c>
      <c r="AM1513" t="s">
        <v>13314</v>
      </c>
      <c r="AN1513" t="s">
        <v>63</v>
      </c>
      <c r="AO1513" t="s">
        <v>63</v>
      </c>
      <c r="AP1513" t="s">
        <v>63</v>
      </c>
      <c r="AQ1513" t="s">
        <v>63</v>
      </c>
      <c r="AR1513" t="s">
        <v>63</v>
      </c>
      <c r="AS1513" t="s">
        <v>63</v>
      </c>
      <c r="AT1513" t="s">
        <v>63</v>
      </c>
      <c r="AU1513" t="s">
        <v>63</v>
      </c>
      <c r="AV1513" t="s">
        <v>63</v>
      </c>
      <c r="AW1513" t="s">
        <v>63</v>
      </c>
      <c r="AX1513" t="s">
        <v>63</v>
      </c>
      <c r="AY1513" t="s">
        <v>63</v>
      </c>
      <c r="AZ1513" t="s">
        <v>63</v>
      </c>
      <c r="BA1513" t="s">
        <v>63</v>
      </c>
      <c r="BB1513" t="s">
        <v>63</v>
      </c>
      <c r="BC1513" t="s">
        <v>63</v>
      </c>
      <c r="BD1513" t="s">
        <v>63</v>
      </c>
      <c r="BE1513" t="s">
        <v>63</v>
      </c>
      <c r="BF1513" t="s">
        <v>63</v>
      </c>
    </row>
    <row r="1514" spans="1:58">
      <c r="A1514" t="s">
        <v>58</v>
      </c>
      <c r="B1514" t="s">
        <v>13315</v>
      </c>
      <c r="C1514" t="s">
        <v>13316</v>
      </c>
      <c r="D1514" t="s">
        <v>574</v>
      </c>
      <c r="E1514" t="s">
        <v>63</v>
      </c>
      <c r="F1514">
        <v>2014</v>
      </c>
      <c r="G1514" t="s">
        <v>73</v>
      </c>
      <c r="H1514">
        <v>15</v>
      </c>
      <c r="I1514">
        <v>6</v>
      </c>
      <c r="J1514">
        <v>1027</v>
      </c>
      <c r="K1514">
        <v>1035</v>
      </c>
      <c r="L1514" t="s">
        <v>13317</v>
      </c>
      <c r="M1514" t="s">
        <v>13318</v>
      </c>
      <c r="N1514" t="s">
        <v>13319</v>
      </c>
      <c r="O1514" t="s">
        <v>63</v>
      </c>
      <c r="Q1514" t="s">
        <v>63</v>
      </c>
      <c r="R1514" t="s">
        <v>63</v>
      </c>
      <c r="S1514" t="s">
        <v>63</v>
      </c>
      <c r="T1514" t="s">
        <v>63</v>
      </c>
      <c r="X1514" t="s">
        <v>63</v>
      </c>
      <c r="Y1514" t="s">
        <v>578</v>
      </c>
      <c r="Z1514" t="s">
        <v>63</v>
      </c>
      <c r="AA1514" t="s">
        <v>13320</v>
      </c>
      <c r="AB1514">
        <v>24738494</v>
      </c>
      <c r="AC1514" t="s">
        <v>67</v>
      </c>
      <c r="AD1514" t="s">
        <v>63</v>
      </c>
      <c r="AE1514" t="s">
        <v>63</v>
      </c>
      <c r="AF1514" t="s">
        <v>63</v>
      </c>
      <c r="AG1514" t="s">
        <v>13321</v>
      </c>
      <c r="AH1514" t="s">
        <v>63</v>
      </c>
      <c r="AI1514" t="s">
        <v>13322</v>
      </c>
      <c r="AJ1514" t="s">
        <v>63</v>
      </c>
      <c r="AK1514" t="s">
        <v>63</v>
      </c>
      <c r="AL1514" t="s">
        <v>63</v>
      </c>
      <c r="AM1514" t="s">
        <v>13323</v>
      </c>
      <c r="AN1514" t="s">
        <v>63</v>
      </c>
      <c r="AO1514" t="s">
        <v>63</v>
      </c>
      <c r="AP1514" t="s">
        <v>63</v>
      </c>
      <c r="AQ1514" t="s">
        <v>63</v>
      </c>
      <c r="AR1514" t="s">
        <v>63</v>
      </c>
      <c r="AS1514" t="s">
        <v>63</v>
      </c>
      <c r="AT1514" t="s">
        <v>63</v>
      </c>
      <c r="AU1514" t="s">
        <v>63</v>
      </c>
      <c r="AV1514" t="s">
        <v>63</v>
      </c>
      <c r="AW1514" t="s">
        <v>63</v>
      </c>
      <c r="AX1514" t="s">
        <v>63</v>
      </c>
      <c r="AY1514" t="s">
        <v>63</v>
      </c>
      <c r="AZ1514" t="s">
        <v>63</v>
      </c>
      <c r="BA1514" t="s">
        <v>63</v>
      </c>
      <c r="BB1514" t="s">
        <v>63</v>
      </c>
      <c r="BC1514" t="s">
        <v>63</v>
      </c>
      <c r="BD1514" t="s">
        <v>63</v>
      </c>
      <c r="BE1514" t="s">
        <v>63</v>
      </c>
      <c r="BF1514" t="s">
        <v>63</v>
      </c>
    </row>
    <row r="1515" spans="1:58">
      <c r="A1515" t="s">
        <v>58</v>
      </c>
      <c r="B1515" t="s">
        <v>13324</v>
      </c>
      <c r="C1515" t="s">
        <v>13325</v>
      </c>
      <c r="D1515" t="s">
        <v>1055</v>
      </c>
      <c r="E1515" t="s">
        <v>1056</v>
      </c>
      <c r="F1515">
        <v>2000</v>
      </c>
      <c r="G1515" t="s">
        <v>84</v>
      </c>
      <c r="H1515">
        <v>34</v>
      </c>
      <c r="I1515">
        <v>4</v>
      </c>
      <c r="J1515">
        <v>285</v>
      </c>
      <c r="K1515">
        <v>291</v>
      </c>
      <c r="L1515" t="s">
        <v>13326</v>
      </c>
      <c r="M1515" t="s">
        <v>13327</v>
      </c>
      <c r="N1515" t="s">
        <v>13328</v>
      </c>
      <c r="O1515" t="s">
        <v>63</v>
      </c>
      <c r="Q1515" t="s">
        <v>63</v>
      </c>
      <c r="R1515" t="s">
        <v>63</v>
      </c>
      <c r="S1515" t="s">
        <v>63</v>
      </c>
      <c r="T1515" t="s">
        <v>63</v>
      </c>
      <c r="X1515" t="s">
        <v>63</v>
      </c>
      <c r="Y1515" t="s">
        <v>1059</v>
      </c>
      <c r="Z1515" t="s">
        <v>63</v>
      </c>
      <c r="AA1515" t="s">
        <v>13329</v>
      </c>
      <c r="AB1515">
        <v>10733725</v>
      </c>
      <c r="AC1515" t="s">
        <v>67</v>
      </c>
      <c r="AD1515" t="s">
        <v>63</v>
      </c>
      <c r="AE1515" t="s">
        <v>63</v>
      </c>
      <c r="AF1515" t="s">
        <v>63</v>
      </c>
      <c r="AG1515" t="s">
        <v>13330</v>
      </c>
      <c r="AH1515" t="s">
        <v>63</v>
      </c>
      <c r="AI1515" t="s">
        <v>63</v>
      </c>
      <c r="AJ1515" t="s">
        <v>63</v>
      </c>
      <c r="AK1515" t="s">
        <v>63</v>
      </c>
      <c r="AL1515" t="s">
        <v>63</v>
      </c>
      <c r="AM1515" t="s">
        <v>13331</v>
      </c>
      <c r="AN1515" t="s">
        <v>63</v>
      </c>
      <c r="AO1515" t="s">
        <v>63</v>
      </c>
      <c r="AP1515" t="s">
        <v>63</v>
      </c>
      <c r="AQ1515" t="s">
        <v>63</v>
      </c>
      <c r="AR1515" t="s">
        <v>63</v>
      </c>
      <c r="AS1515" t="s">
        <v>63</v>
      </c>
      <c r="AT1515" t="s">
        <v>63</v>
      </c>
      <c r="AU1515" t="s">
        <v>63</v>
      </c>
      <c r="AV1515" t="s">
        <v>63</v>
      </c>
      <c r="AW1515" t="s">
        <v>63</v>
      </c>
      <c r="AX1515" t="s">
        <v>63</v>
      </c>
      <c r="AY1515" t="s">
        <v>63</v>
      </c>
      <c r="AZ1515" t="s">
        <v>63</v>
      </c>
      <c r="BA1515" t="s">
        <v>63</v>
      </c>
      <c r="BB1515" t="s">
        <v>63</v>
      </c>
      <c r="BC1515" t="s">
        <v>63</v>
      </c>
      <c r="BD1515" t="s">
        <v>63</v>
      </c>
      <c r="BE1515" t="s">
        <v>63</v>
      </c>
      <c r="BF1515" t="s">
        <v>63</v>
      </c>
    </row>
    <row r="1516" spans="1:58">
      <c r="A1516" t="s">
        <v>58</v>
      </c>
      <c r="B1516" t="s">
        <v>13332</v>
      </c>
      <c r="C1516" t="s">
        <v>13333</v>
      </c>
      <c r="D1516" t="s">
        <v>389</v>
      </c>
      <c r="E1516" t="s">
        <v>63</v>
      </c>
      <c r="F1516">
        <v>2018</v>
      </c>
      <c r="G1516" s="1">
        <v>41681</v>
      </c>
      <c r="H1516" t="s">
        <v>63</v>
      </c>
      <c r="I1516" t="s">
        <v>63</v>
      </c>
      <c r="J1516">
        <v>1</v>
      </c>
      <c r="K1516">
        <v>6</v>
      </c>
      <c r="L1516" t="s">
        <v>63</v>
      </c>
      <c r="M1516" t="s">
        <v>13334</v>
      </c>
      <c r="N1516" t="s">
        <v>13335</v>
      </c>
      <c r="O1516" t="s">
        <v>63</v>
      </c>
      <c r="Q1516" t="s">
        <v>63</v>
      </c>
      <c r="R1516" t="s">
        <v>63</v>
      </c>
      <c r="S1516" t="s">
        <v>63</v>
      </c>
      <c r="T1516" t="s">
        <v>63</v>
      </c>
      <c r="X1516" t="s">
        <v>63</v>
      </c>
      <c r="Y1516" t="s">
        <v>556</v>
      </c>
      <c r="Z1516" t="s">
        <v>63</v>
      </c>
      <c r="AA1516" t="s">
        <v>13336</v>
      </c>
      <c r="AB1516">
        <v>29432074</v>
      </c>
      <c r="AC1516" t="s">
        <v>67</v>
      </c>
      <c r="AD1516" t="s">
        <v>63</v>
      </c>
      <c r="AE1516" t="s">
        <v>63</v>
      </c>
      <c r="AF1516" t="s">
        <v>63</v>
      </c>
      <c r="AG1516" t="s">
        <v>13337</v>
      </c>
      <c r="AH1516" t="s">
        <v>63</v>
      </c>
      <c r="AI1516" t="s">
        <v>13338</v>
      </c>
      <c r="AJ1516" t="s">
        <v>63</v>
      </c>
      <c r="AK1516" t="s">
        <v>63</v>
      </c>
      <c r="AL1516" t="s">
        <v>63</v>
      </c>
      <c r="AM1516" t="s">
        <v>13339</v>
      </c>
      <c r="AN1516" t="s">
        <v>63</v>
      </c>
      <c r="AO1516" t="s">
        <v>63</v>
      </c>
      <c r="AP1516" t="s">
        <v>63</v>
      </c>
      <c r="AQ1516" t="s">
        <v>63</v>
      </c>
      <c r="AR1516" t="s">
        <v>63</v>
      </c>
      <c r="AS1516" t="s">
        <v>63</v>
      </c>
      <c r="AT1516" t="s">
        <v>63</v>
      </c>
      <c r="AU1516" t="s">
        <v>63</v>
      </c>
      <c r="AV1516" t="s">
        <v>63</v>
      </c>
      <c r="AW1516" t="s">
        <v>63</v>
      </c>
      <c r="AX1516" t="s">
        <v>63</v>
      </c>
      <c r="AY1516" t="s">
        <v>63</v>
      </c>
      <c r="AZ1516" t="s">
        <v>63</v>
      </c>
      <c r="BA1516" t="s">
        <v>63</v>
      </c>
      <c r="BB1516" t="s">
        <v>63</v>
      </c>
      <c r="BC1516" t="s">
        <v>63</v>
      </c>
      <c r="BD1516" t="s">
        <v>63</v>
      </c>
      <c r="BE1516" t="s">
        <v>63</v>
      </c>
      <c r="BF1516" t="s">
        <v>63</v>
      </c>
    </row>
    <row r="1517" spans="1:58">
      <c r="A1517" t="s">
        <v>58</v>
      </c>
      <c r="B1517" t="s">
        <v>13340</v>
      </c>
      <c r="C1517" t="s">
        <v>13341</v>
      </c>
      <c r="D1517" t="s">
        <v>6628</v>
      </c>
      <c r="E1517" t="s">
        <v>63</v>
      </c>
      <c r="F1517">
        <v>2013</v>
      </c>
      <c r="G1517" t="s">
        <v>181</v>
      </c>
      <c r="H1517" t="s">
        <v>13342</v>
      </c>
      <c r="I1517" t="s">
        <v>63</v>
      </c>
      <c r="J1517" t="s">
        <v>13343</v>
      </c>
      <c r="K1517">
        <v>23</v>
      </c>
      <c r="L1517" t="s">
        <v>13344</v>
      </c>
      <c r="M1517" t="s">
        <v>13345</v>
      </c>
      <c r="N1517" t="s">
        <v>13346</v>
      </c>
      <c r="O1517" t="s">
        <v>63</v>
      </c>
      <c r="Q1517" t="s">
        <v>63</v>
      </c>
      <c r="R1517" t="s">
        <v>63</v>
      </c>
      <c r="S1517" t="s">
        <v>63</v>
      </c>
      <c r="T1517" t="s">
        <v>63</v>
      </c>
      <c r="X1517" t="s">
        <v>63</v>
      </c>
      <c r="Y1517" t="s">
        <v>6634</v>
      </c>
      <c r="Z1517" t="s">
        <v>63</v>
      </c>
      <c r="AA1517" t="s">
        <v>13347</v>
      </c>
      <c r="AB1517">
        <v>23995159</v>
      </c>
      <c r="AC1517" t="s">
        <v>67</v>
      </c>
      <c r="AD1517" t="s">
        <v>63</v>
      </c>
      <c r="AE1517" t="s">
        <v>63</v>
      </c>
      <c r="AF1517" t="s">
        <v>63</v>
      </c>
      <c r="AG1517" t="s">
        <v>13348</v>
      </c>
      <c r="AH1517" t="s">
        <v>63</v>
      </c>
      <c r="AI1517" t="s">
        <v>63</v>
      </c>
      <c r="AJ1517" t="s">
        <v>63</v>
      </c>
      <c r="AK1517" t="s">
        <v>63</v>
      </c>
      <c r="AL1517" t="s">
        <v>63</v>
      </c>
      <c r="AM1517" t="s">
        <v>13349</v>
      </c>
      <c r="AN1517" t="s">
        <v>63</v>
      </c>
      <c r="AO1517" t="s">
        <v>63</v>
      </c>
      <c r="AP1517" t="s">
        <v>63</v>
      </c>
      <c r="AQ1517" t="s">
        <v>63</v>
      </c>
      <c r="AR1517" t="s">
        <v>63</v>
      </c>
      <c r="AS1517" t="s">
        <v>63</v>
      </c>
      <c r="AT1517" t="s">
        <v>63</v>
      </c>
      <c r="AU1517" t="s">
        <v>63</v>
      </c>
      <c r="AV1517" t="s">
        <v>63</v>
      </c>
      <c r="AW1517" t="s">
        <v>63</v>
      </c>
      <c r="AX1517" t="s">
        <v>63</v>
      </c>
      <c r="AY1517" t="s">
        <v>63</v>
      </c>
      <c r="AZ1517" t="s">
        <v>63</v>
      </c>
      <c r="BA1517" t="s">
        <v>63</v>
      </c>
      <c r="BB1517" t="s">
        <v>63</v>
      </c>
      <c r="BC1517" t="s">
        <v>63</v>
      </c>
      <c r="BD1517" t="s">
        <v>63</v>
      </c>
      <c r="BE1517" t="s">
        <v>63</v>
      </c>
      <c r="BF1517" t="s">
        <v>63</v>
      </c>
    </row>
    <row r="1518" spans="1:58">
      <c r="A1518" t="s">
        <v>58</v>
      </c>
      <c r="B1518" t="s">
        <v>13350</v>
      </c>
      <c r="C1518" t="s">
        <v>13351</v>
      </c>
      <c r="D1518" t="s">
        <v>13352</v>
      </c>
      <c r="E1518" t="s">
        <v>63</v>
      </c>
      <c r="F1518">
        <v>2016</v>
      </c>
      <c r="G1518" t="s">
        <v>274</v>
      </c>
      <c r="H1518">
        <v>53</v>
      </c>
      <c r="I1518">
        <v>1</v>
      </c>
      <c r="J1518">
        <v>4</v>
      </c>
      <c r="K1518">
        <v>11</v>
      </c>
      <c r="L1518" t="s">
        <v>63</v>
      </c>
      <c r="M1518" t="s">
        <v>13353</v>
      </c>
      <c r="N1518" t="s">
        <v>13354</v>
      </c>
      <c r="O1518" t="s">
        <v>63</v>
      </c>
      <c r="Q1518" t="s">
        <v>63</v>
      </c>
      <c r="R1518" t="s">
        <v>63</v>
      </c>
      <c r="S1518" t="s">
        <v>63</v>
      </c>
      <c r="T1518" t="s">
        <v>63</v>
      </c>
      <c r="X1518" t="s">
        <v>63</v>
      </c>
      <c r="Y1518" t="s">
        <v>13355</v>
      </c>
      <c r="Z1518" t="s">
        <v>63</v>
      </c>
      <c r="AA1518" t="s">
        <v>13356</v>
      </c>
      <c r="AB1518">
        <v>28360758</v>
      </c>
      <c r="AC1518" t="s">
        <v>67</v>
      </c>
      <c r="AD1518" t="s">
        <v>63</v>
      </c>
      <c r="AE1518" t="s">
        <v>63</v>
      </c>
      <c r="AF1518" t="s">
        <v>63</v>
      </c>
      <c r="AG1518" t="s">
        <v>13357</v>
      </c>
      <c r="AH1518" t="s">
        <v>63</v>
      </c>
      <c r="AI1518" t="s">
        <v>13358</v>
      </c>
      <c r="AJ1518" t="s">
        <v>63</v>
      </c>
      <c r="AK1518" t="s">
        <v>63</v>
      </c>
      <c r="AL1518" t="s">
        <v>63</v>
      </c>
      <c r="AM1518" t="s">
        <v>13359</v>
      </c>
      <c r="AN1518" t="s">
        <v>63</v>
      </c>
      <c r="AO1518" t="s">
        <v>63</v>
      </c>
      <c r="AP1518" t="s">
        <v>63</v>
      </c>
      <c r="AQ1518" t="s">
        <v>63</v>
      </c>
      <c r="AR1518" t="s">
        <v>63</v>
      </c>
      <c r="AS1518" t="s">
        <v>63</v>
      </c>
      <c r="AT1518" t="s">
        <v>63</v>
      </c>
      <c r="AU1518" t="s">
        <v>63</v>
      </c>
      <c r="AV1518" t="s">
        <v>63</v>
      </c>
      <c r="AW1518" t="s">
        <v>63</v>
      </c>
      <c r="AX1518" t="s">
        <v>63</v>
      </c>
      <c r="AY1518" t="s">
        <v>63</v>
      </c>
      <c r="AZ1518" t="s">
        <v>63</v>
      </c>
      <c r="BA1518" t="s">
        <v>63</v>
      </c>
      <c r="BB1518" t="s">
        <v>63</v>
      </c>
      <c r="BC1518" t="s">
        <v>63</v>
      </c>
      <c r="BD1518" t="s">
        <v>63</v>
      </c>
      <c r="BE1518" t="s">
        <v>63</v>
      </c>
      <c r="BF1518" t="s">
        <v>63</v>
      </c>
    </row>
    <row r="1519" spans="1:58">
      <c r="A1519" t="s">
        <v>58</v>
      </c>
      <c r="B1519" t="s">
        <v>13360</v>
      </c>
      <c r="C1519" t="s">
        <v>13361</v>
      </c>
      <c r="D1519" t="s">
        <v>1668</v>
      </c>
      <c r="E1519" t="s">
        <v>1669</v>
      </c>
      <c r="F1519">
        <v>2013</v>
      </c>
      <c r="G1519" t="s">
        <v>219</v>
      </c>
      <c r="H1519">
        <v>35</v>
      </c>
      <c r="I1519">
        <v>11</v>
      </c>
      <c r="J1519">
        <v>969</v>
      </c>
      <c r="K1519" t="s">
        <v>63</v>
      </c>
      <c r="L1519" t="s">
        <v>13362</v>
      </c>
      <c r="M1519" t="s">
        <v>63</v>
      </c>
      <c r="N1519" t="s">
        <v>13363</v>
      </c>
      <c r="O1519" t="s">
        <v>63</v>
      </c>
      <c r="Q1519" t="s">
        <v>63</v>
      </c>
      <c r="R1519" t="s">
        <v>63</v>
      </c>
      <c r="S1519" t="s">
        <v>63</v>
      </c>
      <c r="T1519" t="s">
        <v>63</v>
      </c>
      <c r="X1519" t="s">
        <v>63</v>
      </c>
      <c r="Y1519" t="s">
        <v>1673</v>
      </c>
      <c r="Z1519" t="s">
        <v>63</v>
      </c>
      <c r="AA1519" t="s">
        <v>13364</v>
      </c>
      <c r="AB1519">
        <v>23607520</v>
      </c>
      <c r="AC1519" t="s">
        <v>67</v>
      </c>
      <c r="AD1519" t="s">
        <v>63</v>
      </c>
      <c r="AE1519" t="s">
        <v>63</v>
      </c>
      <c r="AF1519" t="s">
        <v>63</v>
      </c>
      <c r="AG1519" t="s">
        <v>13365</v>
      </c>
      <c r="AH1519" t="s">
        <v>63</v>
      </c>
      <c r="AI1519" t="s">
        <v>13366</v>
      </c>
      <c r="AJ1519" t="s">
        <v>63</v>
      </c>
      <c r="AK1519" t="s">
        <v>63</v>
      </c>
      <c r="AL1519" t="s">
        <v>63</v>
      </c>
      <c r="AM1519" t="s">
        <v>13367</v>
      </c>
      <c r="AN1519" t="s">
        <v>63</v>
      </c>
      <c r="AO1519" t="s">
        <v>63</v>
      </c>
      <c r="AP1519" t="s">
        <v>63</v>
      </c>
      <c r="AQ1519" t="s">
        <v>63</v>
      </c>
      <c r="AR1519" t="s">
        <v>63</v>
      </c>
      <c r="AS1519" t="s">
        <v>63</v>
      </c>
      <c r="AT1519" t="s">
        <v>63</v>
      </c>
      <c r="AU1519" t="s">
        <v>63</v>
      </c>
      <c r="AV1519" t="s">
        <v>63</v>
      </c>
      <c r="AW1519" t="s">
        <v>63</v>
      </c>
      <c r="AX1519" t="s">
        <v>63</v>
      </c>
      <c r="AY1519" t="s">
        <v>63</v>
      </c>
      <c r="AZ1519" t="s">
        <v>63</v>
      </c>
      <c r="BA1519" t="s">
        <v>63</v>
      </c>
      <c r="BB1519" t="s">
        <v>63</v>
      </c>
      <c r="BC1519" t="s">
        <v>63</v>
      </c>
      <c r="BD1519" t="s">
        <v>63</v>
      </c>
      <c r="BE1519" t="s">
        <v>63</v>
      </c>
      <c r="BF1519" t="s">
        <v>63</v>
      </c>
    </row>
    <row r="1520" spans="1:58">
      <c r="A1520" t="s">
        <v>58</v>
      </c>
      <c r="B1520" t="s">
        <v>13368</v>
      </c>
      <c r="C1520" t="s">
        <v>13369</v>
      </c>
      <c r="D1520" t="s">
        <v>1332</v>
      </c>
      <c r="E1520" t="s">
        <v>63</v>
      </c>
      <c r="F1520">
        <v>2007</v>
      </c>
      <c r="G1520" t="s">
        <v>1670</v>
      </c>
      <c r="H1520">
        <v>41</v>
      </c>
      <c r="I1520">
        <v>1</v>
      </c>
      <c r="J1520">
        <v>42</v>
      </c>
      <c r="K1520">
        <v>50</v>
      </c>
      <c r="L1520" t="s">
        <v>13370</v>
      </c>
      <c r="M1520" t="s">
        <v>13371</v>
      </c>
      <c r="N1520" t="s">
        <v>13372</v>
      </c>
      <c r="O1520" t="s">
        <v>63</v>
      </c>
      <c r="Q1520" t="s">
        <v>63</v>
      </c>
      <c r="R1520" t="s">
        <v>63</v>
      </c>
      <c r="S1520" t="s">
        <v>63</v>
      </c>
      <c r="T1520" t="s">
        <v>63</v>
      </c>
      <c r="X1520" t="s">
        <v>63</v>
      </c>
      <c r="Y1520" t="s">
        <v>1336</v>
      </c>
      <c r="Z1520" t="s">
        <v>63</v>
      </c>
      <c r="AA1520" t="s">
        <v>13373</v>
      </c>
      <c r="AB1520">
        <v>17577533</v>
      </c>
      <c r="AC1520" t="s">
        <v>67</v>
      </c>
      <c r="AD1520" t="s">
        <v>63</v>
      </c>
      <c r="AE1520" t="s">
        <v>63</v>
      </c>
      <c r="AF1520" t="s">
        <v>63</v>
      </c>
      <c r="AG1520" t="s">
        <v>13374</v>
      </c>
      <c r="AH1520" t="s">
        <v>63</v>
      </c>
      <c r="AI1520" t="s">
        <v>63</v>
      </c>
      <c r="AJ1520" t="s">
        <v>63</v>
      </c>
      <c r="AK1520" t="s">
        <v>63</v>
      </c>
      <c r="AL1520" t="s">
        <v>63</v>
      </c>
      <c r="AM1520" t="s">
        <v>13375</v>
      </c>
      <c r="AN1520" t="s">
        <v>63</v>
      </c>
      <c r="AO1520" t="s">
        <v>63</v>
      </c>
      <c r="AP1520" t="s">
        <v>63</v>
      </c>
      <c r="AQ1520" t="s">
        <v>63</v>
      </c>
      <c r="AR1520" t="s">
        <v>63</v>
      </c>
      <c r="AS1520" t="s">
        <v>63</v>
      </c>
      <c r="AT1520" t="s">
        <v>63</v>
      </c>
      <c r="AU1520" t="s">
        <v>63</v>
      </c>
      <c r="AV1520" t="s">
        <v>63</v>
      </c>
      <c r="AW1520" t="s">
        <v>63</v>
      </c>
      <c r="AX1520" t="s">
        <v>63</v>
      </c>
      <c r="AY1520" t="s">
        <v>63</v>
      </c>
      <c r="AZ1520" t="s">
        <v>63</v>
      </c>
      <c r="BA1520" t="s">
        <v>63</v>
      </c>
      <c r="BB1520" t="s">
        <v>63</v>
      </c>
      <c r="BC1520" t="s">
        <v>63</v>
      </c>
      <c r="BD1520" t="s">
        <v>63</v>
      </c>
      <c r="BE1520" t="s">
        <v>63</v>
      </c>
      <c r="BF1520" t="s">
        <v>63</v>
      </c>
    </row>
    <row r="1521" spans="1:58">
      <c r="A1521" t="s">
        <v>58</v>
      </c>
      <c r="B1521" t="s">
        <v>13376</v>
      </c>
      <c r="C1521" t="s">
        <v>13377</v>
      </c>
      <c r="D1521" t="s">
        <v>389</v>
      </c>
      <c r="E1521" t="s">
        <v>63</v>
      </c>
      <c r="F1521">
        <v>2018</v>
      </c>
      <c r="G1521" s="1">
        <v>41704</v>
      </c>
      <c r="H1521" t="s">
        <v>63</v>
      </c>
      <c r="I1521" t="s">
        <v>63</v>
      </c>
      <c r="J1521">
        <v>1</v>
      </c>
      <c r="K1521">
        <v>7</v>
      </c>
      <c r="L1521" t="s">
        <v>63</v>
      </c>
      <c r="M1521" t="s">
        <v>13378</v>
      </c>
      <c r="N1521" t="s">
        <v>13379</v>
      </c>
      <c r="O1521" t="s">
        <v>63</v>
      </c>
      <c r="Q1521" t="s">
        <v>63</v>
      </c>
      <c r="R1521" t="s">
        <v>63</v>
      </c>
      <c r="S1521" t="s">
        <v>63</v>
      </c>
      <c r="T1521" t="s">
        <v>63</v>
      </c>
      <c r="X1521" t="s">
        <v>63</v>
      </c>
      <c r="Y1521" t="s">
        <v>556</v>
      </c>
      <c r="Z1521" t="s">
        <v>63</v>
      </c>
      <c r="AA1521" t="s">
        <v>13380</v>
      </c>
      <c r="AB1521">
        <v>29513136</v>
      </c>
      <c r="AC1521" t="s">
        <v>67</v>
      </c>
      <c r="AD1521" t="s">
        <v>63</v>
      </c>
      <c r="AE1521" t="s">
        <v>63</v>
      </c>
      <c r="AF1521" t="s">
        <v>63</v>
      </c>
      <c r="AG1521" t="s">
        <v>13381</v>
      </c>
      <c r="AH1521" t="s">
        <v>63</v>
      </c>
      <c r="AI1521" t="s">
        <v>13382</v>
      </c>
      <c r="AJ1521" t="s">
        <v>63</v>
      </c>
      <c r="AK1521" t="s">
        <v>63</v>
      </c>
      <c r="AL1521" t="s">
        <v>63</v>
      </c>
      <c r="AM1521" t="s">
        <v>13383</v>
      </c>
      <c r="AN1521" t="s">
        <v>63</v>
      </c>
      <c r="AO1521" t="s">
        <v>63</v>
      </c>
      <c r="AP1521" t="s">
        <v>63</v>
      </c>
      <c r="AQ1521" t="s">
        <v>63</v>
      </c>
      <c r="AR1521" t="s">
        <v>63</v>
      </c>
      <c r="AS1521" t="s">
        <v>63</v>
      </c>
      <c r="AT1521" t="s">
        <v>63</v>
      </c>
      <c r="AU1521" t="s">
        <v>63</v>
      </c>
      <c r="AV1521" t="s">
        <v>63</v>
      </c>
      <c r="AW1521" t="s">
        <v>63</v>
      </c>
      <c r="AX1521" t="s">
        <v>63</v>
      </c>
      <c r="AY1521" t="s">
        <v>63</v>
      </c>
      <c r="AZ1521" t="s">
        <v>63</v>
      </c>
      <c r="BA1521" t="s">
        <v>63</v>
      </c>
      <c r="BB1521" t="s">
        <v>63</v>
      </c>
      <c r="BC1521" t="s">
        <v>63</v>
      </c>
      <c r="BD1521" t="s">
        <v>63</v>
      </c>
      <c r="BE1521" t="s">
        <v>63</v>
      </c>
      <c r="BF1521" t="s">
        <v>63</v>
      </c>
    </row>
    <row r="1522" spans="1:58">
      <c r="A1522" t="s">
        <v>58</v>
      </c>
      <c r="B1522" t="s">
        <v>13384</v>
      </c>
      <c r="C1522" t="s">
        <v>13385</v>
      </c>
      <c r="D1522" t="s">
        <v>389</v>
      </c>
      <c r="E1522" t="s">
        <v>63</v>
      </c>
      <c r="F1522">
        <v>2012</v>
      </c>
      <c r="G1522" t="s">
        <v>63</v>
      </c>
      <c r="H1522">
        <v>33</v>
      </c>
      <c r="I1522">
        <v>2</v>
      </c>
      <c r="J1522">
        <v>168</v>
      </c>
      <c r="K1522">
        <v>181</v>
      </c>
      <c r="L1522" t="s">
        <v>13386</v>
      </c>
      <c r="M1522" t="s">
        <v>13387</v>
      </c>
      <c r="N1522" t="s">
        <v>13388</v>
      </c>
      <c r="O1522" t="s">
        <v>63</v>
      </c>
      <c r="Q1522" t="s">
        <v>63</v>
      </c>
      <c r="R1522" t="s">
        <v>63</v>
      </c>
      <c r="S1522" t="s">
        <v>63</v>
      </c>
      <c r="T1522" t="s">
        <v>63</v>
      </c>
      <c r="X1522" t="s">
        <v>63</v>
      </c>
      <c r="Y1522" t="s">
        <v>556</v>
      </c>
      <c r="Z1522" t="s">
        <v>63</v>
      </c>
      <c r="AA1522" t="s">
        <v>13389</v>
      </c>
      <c r="AB1522">
        <v>22489589</v>
      </c>
      <c r="AC1522" t="s">
        <v>67</v>
      </c>
      <c r="AD1522" t="s">
        <v>63</v>
      </c>
      <c r="AE1522" t="s">
        <v>63</v>
      </c>
      <c r="AF1522" t="s">
        <v>63</v>
      </c>
      <c r="AG1522" t="s">
        <v>13390</v>
      </c>
      <c r="AH1522" t="s">
        <v>63</v>
      </c>
      <c r="AI1522" t="s">
        <v>13391</v>
      </c>
      <c r="AJ1522" t="s">
        <v>63</v>
      </c>
      <c r="AK1522" t="s">
        <v>63</v>
      </c>
      <c r="AL1522" t="s">
        <v>63</v>
      </c>
      <c r="AM1522" t="s">
        <v>13392</v>
      </c>
      <c r="AN1522" t="s">
        <v>63</v>
      </c>
      <c r="AO1522" t="s">
        <v>63</v>
      </c>
      <c r="AP1522" t="s">
        <v>63</v>
      </c>
      <c r="AQ1522" t="s">
        <v>63</v>
      </c>
      <c r="AR1522" t="s">
        <v>63</v>
      </c>
      <c r="AS1522" t="s">
        <v>63</v>
      </c>
      <c r="AT1522" t="s">
        <v>63</v>
      </c>
      <c r="AU1522" t="s">
        <v>63</v>
      </c>
      <c r="AV1522" t="s">
        <v>63</v>
      </c>
      <c r="AW1522" t="s">
        <v>63</v>
      </c>
      <c r="AX1522" t="s">
        <v>63</v>
      </c>
      <c r="AY1522" t="s">
        <v>63</v>
      </c>
      <c r="AZ1522" t="s">
        <v>63</v>
      </c>
      <c r="BA1522" t="s">
        <v>63</v>
      </c>
      <c r="BB1522" t="s">
        <v>63</v>
      </c>
      <c r="BC1522" t="s">
        <v>63</v>
      </c>
      <c r="BD1522" t="s">
        <v>63</v>
      </c>
      <c r="BE1522" t="s">
        <v>63</v>
      </c>
      <c r="BF1522" t="s">
        <v>63</v>
      </c>
    </row>
    <row r="1523" spans="1:58">
      <c r="A1523" t="s">
        <v>58</v>
      </c>
      <c r="B1523" t="s">
        <v>13393</v>
      </c>
      <c r="C1523" t="s">
        <v>13394</v>
      </c>
      <c r="D1523" t="s">
        <v>371</v>
      </c>
      <c r="E1523" t="s">
        <v>63</v>
      </c>
      <c r="F1523">
        <v>2017</v>
      </c>
      <c r="G1523" t="s">
        <v>157</v>
      </c>
      <c r="H1523">
        <v>32</v>
      </c>
      <c r="I1523">
        <v>12</v>
      </c>
      <c r="J1523">
        <v>1387</v>
      </c>
      <c r="K1523">
        <v>1389</v>
      </c>
      <c r="L1523" t="s">
        <v>63</v>
      </c>
      <c r="M1523" t="s">
        <v>13395</v>
      </c>
      <c r="N1523" t="s">
        <v>13396</v>
      </c>
      <c r="O1523" t="s">
        <v>63</v>
      </c>
      <c r="Q1523" t="s">
        <v>63</v>
      </c>
      <c r="R1523" t="s">
        <v>63</v>
      </c>
      <c r="S1523" t="s">
        <v>63</v>
      </c>
      <c r="T1523" t="s">
        <v>63</v>
      </c>
      <c r="X1523" t="s">
        <v>63</v>
      </c>
      <c r="Y1523" t="s">
        <v>547</v>
      </c>
      <c r="Z1523" t="s">
        <v>63</v>
      </c>
      <c r="AA1523" t="s">
        <v>13397</v>
      </c>
      <c r="AB1523">
        <v>28766126</v>
      </c>
      <c r="AC1523" t="s">
        <v>67</v>
      </c>
      <c r="AD1523" t="s">
        <v>63</v>
      </c>
      <c r="AE1523" t="s">
        <v>63</v>
      </c>
      <c r="AF1523" t="s">
        <v>63</v>
      </c>
      <c r="AG1523" t="s">
        <v>13398</v>
      </c>
      <c r="AH1523" t="s">
        <v>63</v>
      </c>
      <c r="AI1523" t="s">
        <v>13399</v>
      </c>
      <c r="AJ1523" t="s">
        <v>63</v>
      </c>
      <c r="AK1523" t="s">
        <v>63</v>
      </c>
      <c r="AL1523" t="s">
        <v>63</v>
      </c>
      <c r="AM1523" t="s">
        <v>13400</v>
      </c>
      <c r="AN1523" t="s">
        <v>63</v>
      </c>
      <c r="AO1523" t="s">
        <v>63</v>
      </c>
      <c r="AP1523" t="s">
        <v>63</v>
      </c>
      <c r="AQ1523" t="s">
        <v>63</v>
      </c>
      <c r="AR1523" t="s">
        <v>63</v>
      </c>
      <c r="AS1523" t="s">
        <v>63</v>
      </c>
      <c r="AT1523" t="s">
        <v>63</v>
      </c>
      <c r="AU1523" t="s">
        <v>63</v>
      </c>
      <c r="AV1523" t="s">
        <v>63</v>
      </c>
      <c r="AW1523" t="s">
        <v>63</v>
      </c>
      <c r="AX1523" t="s">
        <v>63</v>
      </c>
      <c r="AY1523" t="s">
        <v>63</v>
      </c>
      <c r="AZ1523" t="s">
        <v>63</v>
      </c>
      <c r="BA1523" t="s">
        <v>63</v>
      </c>
      <c r="BB1523" t="s">
        <v>63</v>
      </c>
      <c r="BC1523" t="s">
        <v>63</v>
      </c>
      <c r="BD1523" t="s">
        <v>63</v>
      </c>
      <c r="BE1523" t="s">
        <v>63</v>
      </c>
      <c r="BF1523" t="s">
        <v>63</v>
      </c>
    </row>
    <row r="1524" spans="1:58">
      <c r="A1524" t="s">
        <v>58</v>
      </c>
      <c r="B1524" t="s">
        <v>13401</v>
      </c>
      <c r="C1524" t="s">
        <v>13402</v>
      </c>
      <c r="D1524" t="s">
        <v>2206</v>
      </c>
      <c r="E1524" t="s">
        <v>2207</v>
      </c>
      <c r="F1524">
        <v>2008</v>
      </c>
      <c r="G1524" t="s">
        <v>614</v>
      </c>
      <c r="H1524">
        <v>20</v>
      </c>
      <c r="I1524">
        <v>5</v>
      </c>
      <c r="J1524">
        <v>325</v>
      </c>
      <c r="K1524">
        <v>327</v>
      </c>
      <c r="L1524" t="s">
        <v>13403</v>
      </c>
      <c r="M1524" t="s">
        <v>63</v>
      </c>
      <c r="N1524" t="s">
        <v>13404</v>
      </c>
      <c r="O1524" t="s">
        <v>63</v>
      </c>
      <c r="Q1524" t="s">
        <v>63</v>
      </c>
      <c r="R1524" t="s">
        <v>63</v>
      </c>
      <c r="S1524" t="s">
        <v>63</v>
      </c>
      <c r="T1524" t="s">
        <v>63</v>
      </c>
      <c r="X1524" t="s">
        <v>63</v>
      </c>
      <c r="Y1524" t="s">
        <v>2221</v>
      </c>
      <c r="Z1524" t="s">
        <v>63</v>
      </c>
      <c r="AA1524" t="s">
        <v>63</v>
      </c>
      <c r="AB1524">
        <v>18761237</v>
      </c>
      <c r="AC1524" t="s">
        <v>67</v>
      </c>
      <c r="AD1524" t="s">
        <v>63</v>
      </c>
      <c r="AE1524" t="s">
        <v>63</v>
      </c>
      <c r="AF1524" t="s">
        <v>63</v>
      </c>
      <c r="AG1524" t="s">
        <v>13405</v>
      </c>
      <c r="AH1524" t="s">
        <v>63</v>
      </c>
      <c r="AI1524" t="s">
        <v>13406</v>
      </c>
      <c r="AJ1524" t="s">
        <v>63</v>
      </c>
      <c r="AK1524" t="s">
        <v>63</v>
      </c>
      <c r="AL1524" t="s">
        <v>63</v>
      </c>
      <c r="AM1524" t="s">
        <v>13407</v>
      </c>
      <c r="AN1524" t="s">
        <v>63</v>
      </c>
      <c r="AO1524" t="s">
        <v>63</v>
      </c>
      <c r="AP1524" t="s">
        <v>63</v>
      </c>
      <c r="AQ1524" t="s">
        <v>63</v>
      </c>
      <c r="AR1524" t="s">
        <v>63</v>
      </c>
      <c r="AS1524" t="s">
        <v>63</v>
      </c>
      <c r="AT1524" t="s">
        <v>63</v>
      </c>
      <c r="AU1524" t="s">
        <v>63</v>
      </c>
      <c r="AV1524" t="s">
        <v>63</v>
      </c>
      <c r="AW1524" t="s">
        <v>63</v>
      </c>
      <c r="AX1524" t="s">
        <v>63</v>
      </c>
      <c r="AY1524" t="s">
        <v>63</v>
      </c>
      <c r="AZ1524" t="s">
        <v>63</v>
      </c>
      <c r="BA1524" t="s">
        <v>63</v>
      </c>
      <c r="BB1524" t="s">
        <v>63</v>
      </c>
      <c r="BC1524" t="s">
        <v>63</v>
      </c>
      <c r="BD1524" t="s">
        <v>63</v>
      </c>
      <c r="BE1524" t="s">
        <v>63</v>
      </c>
      <c r="BF1524" t="s">
        <v>63</v>
      </c>
    </row>
    <row r="1525" spans="1:58">
      <c r="A1525" t="s">
        <v>58</v>
      </c>
      <c r="B1525" t="s">
        <v>13408</v>
      </c>
      <c r="C1525" t="s">
        <v>13409</v>
      </c>
      <c r="D1525" t="s">
        <v>13410</v>
      </c>
      <c r="E1525" t="s">
        <v>13411</v>
      </c>
      <c r="F1525">
        <v>2013</v>
      </c>
      <c r="G1525" t="s">
        <v>623</v>
      </c>
      <c r="H1525">
        <v>26</v>
      </c>
      <c r="I1525">
        <v>1</v>
      </c>
      <c r="J1525">
        <v>18</v>
      </c>
      <c r="K1525">
        <v>23</v>
      </c>
      <c r="L1525" t="s">
        <v>13412</v>
      </c>
      <c r="M1525" t="s">
        <v>13413</v>
      </c>
      <c r="N1525" t="s">
        <v>13414</v>
      </c>
      <c r="O1525" t="s">
        <v>63</v>
      </c>
      <c r="Q1525" t="s">
        <v>63</v>
      </c>
      <c r="R1525" t="s">
        <v>63</v>
      </c>
      <c r="S1525" t="s">
        <v>63</v>
      </c>
      <c r="T1525" t="s">
        <v>63</v>
      </c>
      <c r="X1525" t="s">
        <v>63</v>
      </c>
      <c r="Y1525" t="s">
        <v>13415</v>
      </c>
      <c r="Z1525" t="s">
        <v>63</v>
      </c>
      <c r="AA1525" t="s">
        <v>13416</v>
      </c>
      <c r="AB1525">
        <v>24066988</v>
      </c>
      <c r="AC1525" t="s">
        <v>67</v>
      </c>
      <c r="AD1525" t="s">
        <v>63</v>
      </c>
      <c r="AE1525" t="s">
        <v>63</v>
      </c>
      <c r="AF1525" t="s">
        <v>63</v>
      </c>
      <c r="AG1525" t="s">
        <v>13417</v>
      </c>
      <c r="AH1525" t="s">
        <v>63</v>
      </c>
      <c r="AI1525" t="s">
        <v>63</v>
      </c>
      <c r="AJ1525" t="s">
        <v>63</v>
      </c>
      <c r="AK1525" t="s">
        <v>63</v>
      </c>
      <c r="AL1525" t="s">
        <v>63</v>
      </c>
      <c r="AM1525" t="s">
        <v>13418</v>
      </c>
      <c r="AN1525" t="s">
        <v>63</v>
      </c>
      <c r="AO1525" t="s">
        <v>63</v>
      </c>
      <c r="AP1525" t="s">
        <v>63</v>
      </c>
      <c r="AQ1525" t="s">
        <v>63</v>
      </c>
      <c r="AR1525" t="s">
        <v>63</v>
      </c>
      <c r="AS1525" t="s">
        <v>63</v>
      </c>
      <c r="AT1525" t="s">
        <v>63</v>
      </c>
      <c r="AU1525" t="s">
        <v>63</v>
      </c>
      <c r="AV1525" t="s">
        <v>63</v>
      </c>
      <c r="AW1525" t="s">
        <v>63</v>
      </c>
      <c r="AX1525" t="s">
        <v>63</v>
      </c>
      <c r="AY1525" t="s">
        <v>63</v>
      </c>
      <c r="AZ1525" t="s">
        <v>63</v>
      </c>
      <c r="BA1525" t="s">
        <v>63</v>
      </c>
      <c r="BB1525" t="s">
        <v>63</v>
      </c>
      <c r="BC1525" t="s">
        <v>63</v>
      </c>
      <c r="BD1525" t="s">
        <v>63</v>
      </c>
      <c r="BE1525" t="s">
        <v>63</v>
      </c>
      <c r="BF1525" t="s">
        <v>63</v>
      </c>
    </row>
    <row r="1526" spans="1:58">
      <c r="A1526" t="s">
        <v>58</v>
      </c>
      <c r="B1526" t="s">
        <v>13419</v>
      </c>
      <c r="C1526" t="s">
        <v>13420</v>
      </c>
      <c r="D1526" t="s">
        <v>2353</v>
      </c>
      <c r="E1526" t="s">
        <v>2354</v>
      </c>
      <c r="F1526">
        <v>2008</v>
      </c>
      <c r="G1526" t="s">
        <v>138</v>
      </c>
      <c r="H1526">
        <v>35</v>
      </c>
      <c r="I1526">
        <v>3</v>
      </c>
      <c r="J1526">
        <v>260</v>
      </c>
      <c r="K1526">
        <v>268</v>
      </c>
      <c r="L1526" t="s">
        <v>13421</v>
      </c>
      <c r="M1526" t="s">
        <v>13422</v>
      </c>
      <c r="N1526" t="s">
        <v>13423</v>
      </c>
      <c r="O1526" t="s">
        <v>63</v>
      </c>
      <c r="Q1526" t="s">
        <v>63</v>
      </c>
      <c r="R1526" t="s">
        <v>63</v>
      </c>
      <c r="S1526" t="s">
        <v>63</v>
      </c>
      <c r="T1526" t="s">
        <v>63</v>
      </c>
      <c r="X1526" t="s">
        <v>63</v>
      </c>
      <c r="Y1526" t="s">
        <v>8330</v>
      </c>
      <c r="Z1526" t="s">
        <v>63</v>
      </c>
      <c r="AA1526" t="s">
        <v>13424</v>
      </c>
      <c r="AB1526">
        <v>18329227</v>
      </c>
      <c r="AC1526" t="s">
        <v>67</v>
      </c>
      <c r="AD1526" t="s">
        <v>63</v>
      </c>
      <c r="AE1526" t="s">
        <v>63</v>
      </c>
      <c r="AF1526" t="s">
        <v>63</v>
      </c>
      <c r="AG1526" t="s">
        <v>13425</v>
      </c>
      <c r="AH1526" t="s">
        <v>63</v>
      </c>
      <c r="AI1526" t="s">
        <v>13426</v>
      </c>
      <c r="AJ1526" t="s">
        <v>63</v>
      </c>
      <c r="AK1526" t="s">
        <v>63</v>
      </c>
      <c r="AL1526" t="s">
        <v>63</v>
      </c>
      <c r="AM1526" t="s">
        <v>13427</v>
      </c>
      <c r="AN1526" t="s">
        <v>63</v>
      </c>
      <c r="AO1526" t="s">
        <v>63</v>
      </c>
      <c r="AP1526" t="s">
        <v>63</v>
      </c>
      <c r="AQ1526" t="s">
        <v>63</v>
      </c>
      <c r="AR1526" t="s">
        <v>63</v>
      </c>
      <c r="AS1526" t="s">
        <v>63</v>
      </c>
      <c r="AT1526" t="s">
        <v>63</v>
      </c>
      <c r="AU1526" t="s">
        <v>63</v>
      </c>
      <c r="AV1526" t="s">
        <v>63</v>
      </c>
      <c r="AW1526" t="s">
        <v>63</v>
      </c>
      <c r="AX1526" t="s">
        <v>63</v>
      </c>
      <c r="AY1526" t="s">
        <v>63</v>
      </c>
      <c r="AZ1526" t="s">
        <v>63</v>
      </c>
      <c r="BA1526" t="s">
        <v>63</v>
      </c>
      <c r="BB1526" t="s">
        <v>63</v>
      </c>
      <c r="BC1526" t="s">
        <v>63</v>
      </c>
      <c r="BD1526" t="s">
        <v>63</v>
      </c>
      <c r="BE1526" t="s">
        <v>63</v>
      </c>
      <c r="BF1526" t="s">
        <v>63</v>
      </c>
    </row>
    <row r="1527" spans="1:58">
      <c r="A1527" t="s">
        <v>58</v>
      </c>
      <c r="B1527" t="s">
        <v>13428</v>
      </c>
      <c r="C1527" t="s">
        <v>13429</v>
      </c>
      <c r="D1527" t="s">
        <v>13430</v>
      </c>
      <c r="E1527" t="s">
        <v>63</v>
      </c>
      <c r="F1527">
        <v>2010</v>
      </c>
      <c r="G1527" t="s">
        <v>198</v>
      </c>
      <c r="H1527">
        <v>21</v>
      </c>
      <c r="I1527">
        <v>1</v>
      </c>
      <c r="J1527">
        <v>20</v>
      </c>
      <c r="K1527">
        <v>24</v>
      </c>
      <c r="L1527" t="s">
        <v>13431</v>
      </c>
      <c r="M1527" t="s">
        <v>13432</v>
      </c>
      <c r="N1527" t="s">
        <v>13433</v>
      </c>
      <c r="O1527" t="s">
        <v>63</v>
      </c>
      <c r="Q1527" t="s">
        <v>63</v>
      </c>
      <c r="R1527" t="s">
        <v>63</v>
      </c>
      <c r="S1527" t="s">
        <v>63</v>
      </c>
      <c r="T1527" t="s">
        <v>63</v>
      </c>
      <c r="X1527" t="s">
        <v>63</v>
      </c>
      <c r="Y1527" t="s">
        <v>13434</v>
      </c>
      <c r="Z1527" t="s">
        <v>63</v>
      </c>
      <c r="AA1527" t="s">
        <v>13435</v>
      </c>
      <c r="AB1527">
        <v>20202317</v>
      </c>
      <c r="AC1527" t="s">
        <v>67</v>
      </c>
      <c r="AD1527" t="s">
        <v>63</v>
      </c>
      <c r="AE1527" t="s">
        <v>63</v>
      </c>
      <c r="AF1527" t="s">
        <v>63</v>
      </c>
      <c r="AG1527" t="s">
        <v>13436</v>
      </c>
      <c r="AH1527" t="s">
        <v>63</v>
      </c>
      <c r="AI1527" t="s">
        <v>63</v>
      </c>
      <c r="AJ1527" t="s">
        <v>63</v>
      </c>
      <c r="AK1527" t="s">
        <v>63</v>
      </c>
      <c r="AL1527" t="s">
        <v>63</v>
      </c>
      <c r="AM1527" t="s">
        <v>13437</v>
      </c>
      <c r="AN1527" t="s">
        <v>63</v>
      </c>
      <c r="AO1527" t="s">
        <v>63</v>
      </c>
      <c r="AP1527" t="s">
        <v>63</v>
      </c>
      <c r="AQ1527" t="s">
        <v>63</v>
      </c>
      <c r="AR1527" t="s">
        <v>63</v>
      </c>
      <c r="AS1527" t="s">
        <v>63</v>
      </c>
      <c r="AT1527" t="s">
        <v>63</v>
      </c>
      <c r="AU1527" t="s">
        <v>63</v>
      </c>
      <c r="AV1527" t="s">
        <v>63</v>
      </c>
      <c r="AW1527" t="s">
        <v>63</v>
      </c>
      <c r="AX1527" t="s">
        <v>63</v>
      </c>
      <c r="AY1527" t="s">
        <v>63</v>
      </c>
      <c r="AZ1527" t="s">
        <v>63</v>
      </c>
      <c r="BA1527" t="s">
        <v>63</v>
      </c>
      <c r="BB1527" t="s">
        <v>63</v>
      </c>
      <c r="BC1527" t="s">
        <v>63</v>
      </c>
      <c r="BD1527" t="s">
        <v>63</v>
      </c>
      <c r="BE1527" t="s">
        <v>63</v>
      </c>
      <c r="BF1527" t="s">
        <v>63</v>
      </c>
    </row>
    <row r="1528" spans="1:58">
      <c r="A1528" t="s">
        <v>58</v>
      </c>
      <c r="B1528" t="s">
        <v>13438</v>
      </c>
      <c r="C1528" t="s">
        <v>13439</v>
      </c>
      <c r="D1528" t="s">
        <v>938</v>
      </c>
      <c r="E1528" t="s">
        <v>63</v>
      </c>
      <c r="F1528">
        <v>2008</v>
      </c>
      <c r="G1528" t="s">
        <v>1114</v>
      </c>
      <c r="H1528">
        <v>17</v>
      </c>
      <c r="I1528">
        <v>3</v>
      </c>
      <c r="J1528">
        <v>245</v>
      </c>
      <c r="K1528">
        <v>246</v>
      </c>
      <c r="L1528" t="s">
        <v>13440</v>
      </c>
      <c r="M1528" t="s">
        <v>63</v>
      </c>
      <c r="N1528" t="s">
        <v>13441</v>
      </c>
      <c r="O1528" t="s">
        <v>63</v>
      </c>
      <c r="Q1528" t="s">
        <v>63</v>
      </c>
      <c r="R1528" t="s">
        <v>63</v>
      </c>
      <c r="S1528" t="s">
        <v>63</v>
      </c>
      <c r="T1528" t="s">
        <v>63</v>
      </c>
      <c r="X1528" t="s">
        <v>63</v>
      </c>
      <c r="Y1528" t="s">
        <v>942</v>
      </c>
      <c r="Z1528" t="s">
        <v>63</v>
      </c>
      <c r="AA1528" t="s">
        <v>63</v>
      </c>
      <c r="AB1528">
        <v>18464003</v>
      </c>
      <c r="AC1528" t="s">
        <v>67</v>
      </c>
      <c r="AD1528" t="s">
        <v>63</v>
      </c>
      <c r="AE1528" t="s">
        <v>63</v>
      </c>
      <c r="AF1528" t="s">
        <v>63</v>
      </c>
      <c r="AG1528" t="s">
        <v>13442</v>
      </c>
      <c r="AH1528" t="s">
        <v>63</v>
      </c>
      <c r="AI1528" t="s">
        <v>13443</v>
      </c>
      <c r="AJ1528" t="s">
        <v>63</v>
      </c>
      <c r="AK1528" t="s">
        <v>63</v>
      </c>
      <c r="AL1528" t="s">
        <v>63</v>
      </c>
      <c r="AM1528" t="s">
        <v>13444</v>
      </c>
      <c r="AN1528" t="s">
        <v>63</v>
      </c>
      <c r="AO1528" t="s">
        <v>63</v>
      </c>
      <c r="AP1528" t="s">
        <v>63</v>
      </c>
      <c r="AQ1528" t="s">
        <v>63</v>
      </c>
      <c r="AR1528" t="s">
        <v>63</v>
      </c>
      <c r="AS1528" t="s">
        <v>63</v>
      </c>
      <c r="AT1528" t="s">
        <v>63</v>
      </c>
      <c r="AU1528" t="s">
        <v>63</v>
      </c>
      <c r="AV1528" t="s">
        <v>63</v>
      </c>
      <c r="AW1528" t="s">
        <v>63</v>
      </c>
      <c r="AX1528" t="s">
        <v>63</v>
      </c>
      <c r="AY1528" t="s">
        <v>63</v>
      </c>
      <c r="AZ1528" t="s">
        <v>63</v>
      </c>
      <c r="BA1528" t="s">
        <v>63</v>
      </c>
      <c r="BB1528" t="s">
        <v>63</v>
      </c>
      <c r="BC1528" t="s">
        <v>63</v>
      </c>
      <c r="BD1528" t="s">
        <v>63</v>
      </c>
      <c r="BE1528" t="s">
        <v>63</v>
      </c>
      <c r="BF1528" t="s">
        <v>63</v>
      </c>
    </row>
    <row r="1529" spans="1:58">
      <c r="A1529" t="s">
        <v>58</v>
      </c>
      <c r="B1529" t="s">
        <v>13445</v>
      </c>
      <c r="C1529" t="s">
        <v>13446</v>
      </c>
      <c r="D1529" t="s">
        <v>13447</v>
      </c>
      <c r="E1529" t="s">
        <v>63</v>
      </c>
      <c r="F1529">
        <v>2018</v>
      </c>
      <c r="G1529" s="1">
        <v>41639</v>
      </c>
      <c r="H1529" t="s">
        <v>63</v>
      </c>
      <c r="I1529" t="s">
        <v>63</v>
      </c>
      <c r="J1529">
        <v>897190018759225</v>
      </c>
      <c r="K1529" t="s">
        <v>63</v>
      </c>
      <c r="L1529" t="s">
        <v>63</v>
      </c>
      <c r="M1529" t="s">
        <v>13448</v>
      </c>
      <c r="N1529" t="s">
        <v>13449</v>
      </c>
      <c r="O1529" t="s">
        <v>63</v>
      </c>
      <c r="Q1529" t="s">
        <v>63</v>
      </c>
      <c r="R1529" t="s">
        <v>63</v>
      </c>
      <c r="S1529" t="s">
        <v>63</v>
      </c>
      <c r="T1529" t="s">
        <v>63</v>
      </c>
      <c r="X1529" t="s">
        <v>63</v>
      </c>
      <c r="Y1529" t="s">
        <v>13450</v>
      </c>
      <c r="Z1529" t="s">
        <v>63</v>
      </c>
      <c r="AA1529" t="s">
        <v>13451</v>
      </c>
      <c r="AB1529">
        <v>29478362</v>
      </c>
      <c r="AC1529" t="s">
        <v>67</v>
      </c>
      <c r="AD1529" t="s">
        <v>63</v>
      </c>
      <c r="AE1529" t="s">
        <v>63</v>
      </c>
      <c r="AF1529" t="s">
        <v>63</v>
      </c>
      <c r="AG1529" t="s">
        <v>13452</v>
      </c>
      <c r="AH1529" t="s">
        <v>63</v>
      </c>
      <c r="AI1529" t="s">
        <v>13453</v>
      </c>
      <c r="AJ1529" t="s">
        <v>63</v>
      </c>
      <c r="AK1529" t="s">
        <v>63</v>
      </c>
      <c r="AL1529" t="s">
        <v>63</v>
      </c>
      <c r="AM1529" t="s">
        <v>13454</v>
      </c>
      <c r="AN1529" t="s">
        <v>63</v>
      </c>
      <c r="AO1529" t="s">
        <v>63</v>
      </c>
      <c r="AP1529" t="s">
        <v>63</v>
      </c>
      <c r="AQ1529" t="s">
        <v>63</v>
      </c>
      <c r="AR1529" t="s">
        <v>63</v>
      </c>
      <c r="AS1529" t="s">
        <v>63</v>
      </c>
      <c r="AT1529" t="s">
        <v>63</v>
      </c>
      <c r="AU1529" t="s">
        <v>63</v>
      </c>
      <c r="AV1529" t="s">
        <v>63</v>
      </c>
      <c r="AW1529" t="s">
        <v>63</v>
      </c>
      <c r="AX1529" t="s">
        <v>63</v>
      </c>
      <c r="AY1529" t="s">
        <v>63</v>
      </c>
      <c r="AZ1529" t="s">
        <v>63</v>
      </c>
      <c r="BA1529" t="s">
        <v>63</v>
      </c>
      <c r="BB1529" t="s">
        <v>63</v>
      </c>
      <c r="BC1529" t="s">
        <v>63</v>
      </c>
      <c r="BD1529" t="s">
        <v>63</v>
      </c>
      <c r="BE1529" t="s">
        <v>63</v>
      </c>
      <c r="BF1529" t="s">
        <v>63</v>
      </c>
    </row>
    <row r="1530" spans="1:58">
      <c r="A1530" t="s">
        <v>58</v>
      </c>
      <c r="B1530" t="s">
        <v>13455</v>
      </c>
      <c r="C1530" t="s">
        <v>13456</v>
      </c>
      <c r="D1530" t="s">
        <v>13457</v>
      </c>
      <c r="E1530" t="s">
        <v>63</v>
      </c>
      <c r="F1530">
        <v>2017</v>
      </c>
      <c r="G1530" s="1">
        <v>41790</v>
      </c>
      <c r="H1530">
        <v>39</v>
      </c>
      <c r="I1530">
        <v>2</v>
      </c>
      <c r="J1530" t="s">
        <v>13458</v>
      </c>
      <c r="K1530" t="s">
        <v>12682</v>
      </c>
      <c r="L1530" t="s">
        <v>13459</v>
      </c>
      <c r="M1530" t="s">
        <v>13460</v>
      </c>
      <c r="N1530" t="s">
        <v>13461</v>
      </c>
      <c r="O1530" t="s">
        <v>63</v>
      </c>
      <c r="Q1530" t="s">
        <v>63</v>
      </c>
      <c r="R1530" t="s">
        <v>63</v>
      </c>
      <c r="S1530" t="s">
        <v>63</v>
      </c>
      <c r="T1530" t="s">
        <v>63</v>
      </c>
      <c r="X1530" t="s">
        <v>63</v>
      </c>
      <c r="Y1530" t="s">
        <v>13462</v>
      </c>
      <c r="Z1530" t="s">
        <v>63</v>
      </c>
      <c r="AA1530" t="s">
        <v>13463</v>
      </c>
      <c r="AB1530">
        <v>27412179</v>
      </c>
      <c r="AC1530" t="s">
        <v>67</v>
      </c>
      <c r="AD1530" t="s">
        <v>63</v>
      </c>
      <c r="AE1530" t="s">
        <v>63</v>
      </c>
      <c r="AF1530" t="s">
        <v>63</v>
      </c>
      <c r="AG1530" t="s">
        <v>13464</v>
      </c>
      <c r="AH1530" t="s">
        <v>63</v>
      </c>
      <c r="AI1530" t="s">
        <v>13465</v>
      </c>
      <c r="AJ1530" t="s">
        <v>63</v>
      </c>
      <c r="AK1530" t="s">
        <v>63</v>
      </c>
      <c r="AL1530" t="s">
        <v>63</v>
      </c>
      <c r="AM1530" t="s">
        <v>13466</v>
      </c>
      <c r="AN1530" t="s">
        <v>63</v>
      </c>
      <c r="AO1530" t="s">
        <v>63</v>
      </c>
      <c r="AP1530" t="s">
        <v>63</v>
      </c>
      <c r="AQ1530" t="s">
        <v>63</v>
      </c>
      <c r="AR1530" t="s">
        <v>63</v>
      </c>
      <c r="AS1530" t="s">
        <v>63</v>
      </c>
      <c r="AT1530" t="s">
        <v>63</v>
      </c>
      <c r="AU1530" t="s">
        <v>63</v>
      </c>
      <c r="AV1530" t="s">
        <v>63</v>
      </c>
      <c r="AW1530" t="s">
        <v>63</v>
      </c>
      <c r="AX1530" t="s">
        <v>63</v>
      </c>
      <c r="AY1530" t="s">
        <v>63</v>
      </c>
      <c r="AZ1530" t="s">
        <v>63</v>
      </c>
      <c r="BA1530" t="s">
        <v>63</v>
      </c>
      <c r="BB1530" t="s">
        <v>63</v>
      </c>
      <c r="BC1530" t="s">
        <v>63</v>
      </c>
      <c r="BD1530" t="s">
        <v>63</v>
      </c>
      <c r="BE1530" t="s">
        <v>63</v>
      </c>
      <c r="BF1530" t="s">
        <v>63</v>
      </c>
    </row>
    <row r="1531" spans="1:58">
      <c r="A1531" t="s">
        <v>58</v>
      </c>
      <c r="B1531" t="s">
        <v>13467</v>
      </c>
      <c r="C1531" t="s">
        <v>13468</v>
      </c>
      <c r="D1531" t="s">
        <v>13469</v>
      </c>
      <c r="E1531" t="s">
        <v>13470</v>
      </c>
      <c r="F1531">
        <v>1974</v>
      </c>
      <c r="G1531" t="s">
        <v>138</v>
      </c>
      <c r="H1531">
        <v>89</v>
      </c>
      <c r="I1531">
        <v>8</v>
      </c>
      <c r="J1531">
        <v>252</v>
      </c>
      <c r="K1531" t="s">
        <v>63</v>
      </c>
      <c r="L1531" t="s">
        <v>13471</v>
      </c>
      <c r="M1531" t="s">
        <v>63</v>
      </c>
      <c r="N1531" t="s">
        <v>13472</v>
      </c>
      <c r="O1531" t="s">
        <v>63</v>
      </c>
      <c r="Q1531" t="s">
        <v>63</v>
      </c>
      <c r="R1531" t="s">
        <v>63</v>
      </c>
      <c r="S1531" t="s">
        <v>63</v>
      </c>
      <c r="T1531" t="s">
        <v>63</v>
      </c>
      <c r="X1531" t="s">
        <v>63</v>
      </c>
      <c r="Y1531" t="s">
        <v>13473</v>
      </c>
      <c r="Z1531" t="s">
        <v>63</v>
      </c>
      <c r="AA1531" t="s">
        <v>63</v>
      </c>
      <c r="AB1531">
        <v>4457830</v>
      </c>
      <c r="AC1531" t="s">
        <v>1444</v>
      </c>
      <c r="AD1531" t="s">
        <v>63</v>
      </c>
      <c r="AE1531" t="s">
        <v>63</v>
      </c>
      <c r="AF1531" t="s">
        <v>63</v>
      </c>
      <c r="AG1531" t="s">
        <v>13474</v>
      </c>
      <c r="AH1531" t="s">
        <v>63</v>
      </c>
      <c r="AI1531" t="s">
        <v>63</v>
      </c>
      <c r="AJ1531" t="s">
        <v>63</v>
      </c>
      <c r="AK1531" t="s">
        <v>63</v>
      </c>
      <c r="AL1531" t="s">
        <v>63</v>
      </c>
      <c r="AM1531" t="s">
        <v>13475</v>
      </c>
      <c r="AN1531" t="s">
        <v>63</v>
      </c>
      <c r="AO1531" t="s">
        <v>63</v>
      </c>
      <c r="AP1531" t="s">
        <v>63</v>
      </c>
      <c r="AQ1531" t="s">
        <v>63</v>
      </c>
      <c r="AR1531" t="s">
        <v>63</v>
      </c>
      <c r="AS1531" t="s">
        <v>63</v>
      </c>
      <c r="AT1531" t="s">
        <v>63</v>
      </c>
      <c r="AU1531" t="s">
        <v>63</v>
      </c>
      <c r="AV1531" t="s">
        <v>63</v>
      </c>
      <c r="AW1531" t="s">
        <v>63</v>
      </c>
      <c r="AX1531" t="s">
        <v>63</v>
      </c>
      <c r="AY1531" t="s">
        <v>63</v>
      </c>
      <c r="AZ1531" t="s">
        <v>63</v>
      </c>
      <c r="BA1531" t="s">
        <v>63</v>
      </c>
      <c r="BB1531" t="s">
        <v>63</v>
      </c>
      <c r="BC1531" t="s">
        <v>63</v>
      </c>
      <c r="BD1531" t="s">
        <v>63</v>
      </c>
      <c r="BE1531" t="s">
        <v>63</v>
      </c>
      <c r="BF1531" t="s">
        <v>63</v>
      </c>
    </row>
    <row r="1532" spans="1:58">
      <c r="A1532" t="s">
        <v>58</v>
      </c>
      <c r="B1532" t="s">
        <v>13476</v>
      </c>
      <c r="C1532" t="s">
        <v>13477</v>
      </c>
      <c r="D1532" t="s">
        <v>325</v>
      </c>
      <c r="E1532" t="s">
        <v>63</v>
      </c>
      <c r="F1532">
        <v>2004</v>
      </c>
      <c r="G1532" t="s">
        <v>63</v>
      </c>
      <c r="H1532">
        <v>28</v>
      </c>
      <c r="I1532">
        <v>1</v>
      </c>
      <c r="J1532">
        <v>56</v>
      </c>
      <c r="K1532">
        <v>59</v>
      </c>
      <c r="L1532" t="s">
        <v>13478</v>
      </c>
      <c r="M1532" t="s">
        <v>13479</v>
      </c>
      <c r="N1532" t="s">
        <v>13480</v>
      </c>
      <c r="O1532" t="s">
        <v>63</v>
      </c>
      <c r="Q1532" t="s">
        <v>63</v>
      </c>
      <c r="R1532" t="s">
        <v>63</v>
      </c>
      <c r="S1532" t="s">
        <v>63</v>
      </c>
      <c r="T1532" t="s">
        <v>63</v>
      </c>
      <c r="X1532" t="s">
        <v>63</v>
      </c>
      <c r="Y1532" t="s">
        <v>866</v>
      </c>
      <c r="Z1532" t="s">
        <v>63</v>
      </c>
      <c r="AA1532" t="s">
        <v>13481</v>
      </c>
      <c r="AB1532">
        <v>15140809</v>
      </c>
      <c r="AC1532" t="s">
        <v>67</v>
      </c>
      <c r="AD1532" t="s">
        <v>63</v>
      </c>
      <c r="AE1532" t="s">
        <v>63</v>
      </c>
      <c r="AF1532" t="s">
        <v>63</v>
      </c>
      <c r="AG1532" t="s">
        <v>13482</v>
      </c>
      <c r="AH1532" t="s">
        <v>63</v>
      </c>
      <c r="AI1532" t="s">
        <v>63</v>
      </c>
      <c r="AJ1532" t="s">
        <v>63</v>
      </c>
      <c r="AK1532" t="s">
        <v>63</v>
      </c>
      <c r="AL1532" t="s">
        <v>63</v>
      </c>
      <c r="AM1532" t="s">
        <v>13483</v>
      </c>
      <c r="AN1532" t="s">
        <v>63</v>
      </c>
      <c r="AO1532" t="s">
        <v>63</v>
      </c>
      <c r="AP1532" t="s">
        <v>63</v>
      </c>
      <c r="AQ1532" t="s">
        <v>63</v>
      </c>
      <c r="AR1532" t="s">
        <v>63</v>
      </c>
      <c r="AS1532" t="s">
        <v>63</v>
      </c>
      <c r="AT1532" t="s">
        <v>63</v>
      </c>
      <c r="AU1532" t="s">
        <v>63</v>
      </c>
      <c r="AV1532" t="s">
        <v>63</v>
      </c>
      <c r="AW1532" t="s">
        <v>63</v>
      </c>
      <c r="AX1532" t="s">
        <v>63</v>
      </c>
      <c r="AY1532" t="s">
        <v>63</v>
      </c>
      <c r="AZ1532" t="s">
        <v>63</v>
      </c>
      <c r="BA1532" t="s">
        <v>63</v>
      </c>
      <c r="BB1532" t="s">
        <v>63</v>
      </c>
      <c r="BC1532" t="s">
        <v>63</v>
      </c>
      <c r="BD1532" t="s">
        <v>63</v>
      </c>
      <c r="BE1532" t="s">
        <v>63</v>
      </c>
      <c r="BF1532" t="s">
        <v>63</v>
      </c>
    </row>
    <row r="1533" spans="1:58">
      <c r="A1533" t="s">
        <v>58</v>
      </c>
      <c r="B1533" t="s">
        <v>13484</v>
      </c>
      <c r="C1533" t="s">
        <v>13485</v>
      </c>
      <c r="D1533" t="s">
        <v>13486</v>
      </c>
      <c r="E1533" t="s">
        <v>13487</v>
      </c>
      <c r="F1533">
        <v>1997</v>
      </c>
      <c r="G1533" t="s">
        <v>189</v>
      </c>
      <c r="H1533">
        <v>127</v>
      </c>
      <c r="I1533">
        <v>5</v>
      </c>
      <c r="J1533" t="s">
        <v>13488</v>
      </c>
      <c r="K1533" t="s">
        <v>13489</v>
      </c>
      <c r="L1533" t="s">
        <v>13490</v>
      </c>
      <c r="M1533" t="s">
        <v>13491</v>
      </c>
      <c r="N1533" t="s">
        <v>13492</v>
      </c>
      <c r="O1533" t="s">
        <v>63</v>
      </c>
      <c r="Q1533" t="s">
        <v>63</v>
      </c>
      <c r="R1533" t="s">
        <v>63</v>
      </c>
      <c r="S1533" t="s">
        <v>63</v>
      </c>
      <c r="T1533" t="s">
        <v>63</v>
      </c>
      <c r="X1533" t="s">
        <v>63</v>
      </c>
      <c r="Y1533" t="s">
        <v>13493</v>
      </c>
      <c r="Z1533" t="s">
        <v>63</v>
      </c>
      <c r="AA1533" t="s">
        <v>13494</v>
      </c>
      <c r="AB1533">
        <v>9164256</v>
      </c>
      <c r="AC1533" t="s">
        <v>67</v>
      </c>
      <c r="AD1533" t="s">
        <v>63</v>
      </c>
      <c r="AE1533" t="s">
        <v>63</v>
      </c>
      <c r="AF1533" t="s">
        <v>63</v>
      </c>
      <c r="AG1533" t="s">
        <v>13495</v>
      </c>
      <c r="AH1533" t="s">
        <v>63</v>
      </c>
      <c r="AI1533" t="s">
        <v>63</v>
      </c>
      <c r="AJ1533" t="s">
        <v>63</v>
      </c>
      <c r="AK1533" t="s">
        <v>63</v>
      </c>
      <c r="AL1533" t="s">
        <v>63</v>
      </c>
      <c r="AM1533" t="s">
        <v>13496</v>
      </c>
      <c r="AN1533" t="s">
        <v>63</v>
      </c>
      <c r="AO1533" t="s">
        <v>63</v>
      </c>
      <c r="AP1533" t="s">
        <v>63</v>
      </c>
      <c r="AQ1533" t="s">
        <v>63</v>
      </c>
      <c r="AR1533" t="s">
        <v>63</v>
      </c>
      <c r="AS1533" t="s">
        <v>63</v>
      </c>
      <c r="AT1533" t="s">
        <v>63</v>
      </c>
      <c r="AU1533" t="s">
        <v>63</v>
      </c>
      <c r="AV1533" t="s">
        <v>63</v>
      </c>
      <c r="AW1533" t="s">
        <v>63</v>
      </c>
      <c r="AX1533" t="s">
        <v>63</v>
      </c>
      <c r="AY1533" t="s">
        <v>63</v>
      </c>
      <c r="AZ1533" t="s">
        <v>63</v>
      </c>
      <c r="BA1533" t="s">
        <v>63</v>
      </c>
      <c r="BB1533" t="s">
        <v>63</v>
      </c>
      <c r="BC1533" t="s">
        <v>63</v>
      </c>
      <c r="BD1533" t="s">
        <v>63</v>
      </c>
      <c r="BE1533" t="s">
        <v>63</v>
      </c>
      <c r="BF1533" t="s">
        <v>63</v>
      </c>
    </row>
    <row r="1534" spans="1:58">
      <c r="A1534" t="s">
        <v>58</v>
      </c>
      <c r="B1534" t="s">
        <v>13497</v>
      </c>
      <c r="C1534" t="s">
        <v>13498</v>
      </c>
      <c r="D1534" t="s">
        <v>13499</v>
      </c>
      <c r="E1534" t="s">
        <v>13500</v>
      </c>
      <c r="F1534">
        <v>2015</v>
      </c>
      <c r="G1534" t="s">
        <v>157</v>
      </c>
      <c r="H1534">
        <v>36</v>
      </c>
      <c r="I1534">
        <v>4</v>
      </c>
      <c r="J1534">
        <v>359</v>
      </c>
      <c r="K1534">
        <v>368</v>
      </c>
      <c r="L1534" t="s">
        <v>13501</v>
      </c>
      <c r="M1534" t="s">
        <v>13502</v>
      </c>
      <c r="N1534" t="s">
        <v>13503</v>
      </c>
      <c r="O1534" t="s">
        <v>63</v>
      </c>
      <c r="Q1534" t="s">
        <v>63</v>
      </c>
      <c r="R1534" t="s">
        <v>63</v>
      </c>
      <c r="S1534" t="s">
        <v>63</v>
      </c>
      <c r="T1534" t="s">
        <v>63</v>
      </c>
      <c r="X1534" t="s">
        <v>63</v>
      </c>
      <c r="Y1534" t="s">
        <v>13504</v>
      </c>
      <c r="Z1534" t="s">
        <v>63</v>
      </c>
      <c r="AA1534" t="s">
        <v>13505</v>
      </c>
      <c r="AB1534">
        <v>24221860</v>
      </c>
      <c r="AC1534" t="s">
        <v>67</v>
      </c>
      <c r="AD1534" t="s">
        <v>63</v>
      </c>
      <c r="AE1534" t="s">
        <v>63</v>
      </c>
      <c r="AF1534" t="s">
        <v>63</v>
      </c>
      <c r="AG1534" t="s">
        <v>13506</v>
      </c>
      <c r="AH1534" t="s">
        <v>63</v>
      </c>
      <c r="AI1534" t="s">
        <v>13507</v>
      </c>
      <c r="AJ1534" t="s">
        <v>63</v>
      </c>
      <c r="AK1534" t="s">
        <v>63</v>
      </c>
      <c r="AL1534" t="s">
        <v>63</v>
      </c>
      <c r="AM1534" t="s">
        <v>13508</v>
      </c>
      <c r="AN1534" t="s">
        <v>63</v>
      </c>
      <c r="AO1534" t="s">
        <v>63</v>
      </c>
      <c r="AP1534" t="s">
        <v>63</v>
      </c>
      <c r="AQ1534" t="s">
        <v>63</v>
      </c>
      <c r="AR1534" t="s">
        <v>63</v>
      </c>
      <c r="AS1534" t="s">
        <v>63</v>
      </c>
      <c r="AT1534" t="s">
        <v>63</v>
      </c>
      <c r="AU1534" t="s">
        <v>63</v>
      </c>
      <c r="AV1534" t="s">
        <v>63</v>
      </c>
      <c r="AW1534" t="s">
        <v>63</v>
      </c>
      <c r="AX1534" t="s">
        <v>63</v>
      </c>
      <c r="AY1534" t="s">
        <v>63</v>
      </c>
      <c r="AZ1534" t="s">
        <v>63</v>
      </c>
      <c r="BA1534" t="s">
        <v>63</v>
      </c>
      <c r="BB1534" t="s">
        <v>63</v>
      </c>
      <c r="BC1534" t="s">
        <v>63</v>
      </c>
      <c r="BD1534" t="s">
        <v>63</v>
      </c>
      <c r="BE1534" t="s">
        <v>63</v>
      </c>
      <c r="BF1534" t="s">
        <v>63</v>
      </c>
    </row>
    <row r="1535" spans="1:58">
      <c r="A1535" t="s">
        <v>58</v>
      </c>
      <c r="B1535" t="s">
        <v>13509</v>
      </c>
      <c r="C1535" t="s">
        <v>13510</v>
      </c>
      <c r="D1535" t="s">
        <v>1481</v>
      </c>
      <c r="E1535" t="s">
        <v>1481</v>
      </c>
      <c r="F1535">
        <v>2004</v>
      </c>
      <c r="G1535" t="s">
        <v>73</v>
      </c>
      <c r="H1535">
        <v>99</v>
      </c>
      <c r="I1535">
        <v>6</v>
      </c>
      <c r="J1535">
        <v>677</v>
      </c>
      <c r="K1535">
        <v>685</v>
      </c>
      <c r="L1535" t="s">
        <v>13511</v>
      </c>
      <c r="M1535" t="s">
        <v>13512</v>
      </c>
      <c r="N1535" t="s">
        <v>13513</v>
      </c>
      <c r="O1535" t="s">
        <v>63</v>
      </c>
      <c r="Q1535" t="s">
        <v>63</v>
      </c>
      <c r="R1535" t="s">
        <v>63</v>
      </c>
      <c r="S1535" t="s">
        <v>63</v>
      </c>
      <c r="T1535" t="s">
        <v>63</v>
      </c>
      <c r="X1535" t="s">
        <v>63</v>
      </c>
      <c r="Y1535" t="s">
        <v>2426</v>
      </c>
      <c r="Z1535" t="s">
        <v>63</v>
      </c>
      <c r="AA1535" t="s">
        <v>13514</v>
      </c>
      <c r="AB1535">
        <v>15139866</v>
      </c>
      <c r="AC1535" t="s">
        <v>67</v>
      </c>
      <c r="AD1535" t="s">
        <v>63</v>
      </c>
      <c r="AE1535" t="s">
        <v>63</v>
      </c>
      <c r="AF1535" t="s">
        <v>63</v>
      </c>
      <c r="AG1535" t="s">
        <v>13515</v>
      </c>
      <c r="AH1535" t="s">
        <v>63</v>
      </c>
      <c r="AI1535" t="s">
        <v>63</v>
      </c>
      <c r="AJ1535" t="s">
        <v>63</v>
      </c>
      <c r="AK1535" t="s">
        <v>63</v>
      </c>
      <c r="AL1535" t="s">
        <v>63</v>
      </c>
      <c r="AM1535" t="s">
        <v>13516</v>
      </c>
      <c r="AN1535" t="s">
        <v>63</v>
      </c>
      <c r="AO1535" t="s">
        <v>63</v>
      </c>
      <c r="AP1535" t="s">
        <v>63</v>
      </c>
      <c r="AQ1535" t="s">
        <v>63</v>
      </c>
      <c r="AR1535" t="s">
        <v>63</v>
      </c>
      <c r="AS1535" t="s">
        <v>63</v>
      </c>
      <c r="AT1535" t="s">
        <v>63</v>
      </c>
      <c r="AU1535" t="s">
        <v>63</v>
      </c>
      <c r="AV1535" t="s">
        <v>63</v>
      </c>
      <c r="AW1535" t="s">
        <v>63</v>
      </c>
      <c r="AX1535" t="s">
        <v>63</v>
      </c>
      <c r="AY1535" t="s">
        <v>63</v>
      </c>
      <c r="AZ1535" t="s">
        <v>63</v>
      </c>
      <c r="BA1535" t="s">
        <v>63</v>
      </c>
      <c r="BB1535" t="s">
        <v>63</v>
      </c>
      <c r="BC1535" t="s">
        <v>63</v>
      </c>
      <c r="BD1535" t="s">
        <v>63</v>
      </c>
      <c r="BE1535" t="s">
        <v>63</v>
      </c>
      <c r="BF1535" t="s">
        <v>63</v>
      </c>
    </row>
    <row r="1536" spans="1:58">
      <c r="A1536" t="s">
        <v>58</v>
      </c>
      <c r="B1536" t="s">
        <v>13517</v>
      </c>
      <c r="C1536" t="s">
        <v>13518</v>
      </c>
      <c r="D1536" t="s">
        <v>3071</v>
      </c>
      <c r="E1536" t="s">
        <v>3072</v>
      </c>
      <c r="F1536">
        <v>1990</v>
      </c>
      <c r="G1536" t="s">
        <v>157</v>
      </c>
      <c r="H1536">
        <v>85</v>
      </c>
      <c r="I1536">
        <v>12</v>
      </c>
      <c r="J1536">
        <v>1563</v>
      </c>
      <c r="K1536">
        <v>1570</v>
      </c>
      <c r="L1536" t="s">
        <v>13519</v>
      </c>
      <c r="M1536" t="s">
        <v>13520</v>
      </c>
      <c r="N1536" t="s">
        <v>13521</v>
      </c>
      <c r="O1536" t="s">
        <v>63</v>
      </c>
      <c r="Q1536" t="s">
        <v>63</v>
      </c>
      <c r="R1536" t="s">
        <v>63</v>
      </c>
      <c r="S1536" t="s">
        <v>63</v>
      </c>
      <c r="T1536" t="s">
        <v>63</v>
      </c>
      <c r="X1536" t="s">
        <v>63</v>
      </c>
      <c r="Y1536" t="s">
        <v>3075</v>
      </c>
      <c r="Z1536" t="s">
        <v>63</v>
      </c>
      <c r="AA1536" t="s">
        <v>13522</v>
      </c>
      <c r="AB1536">
        <v>2289055</v>
      </c>
      <c r="AC1536" t="s">
        <v>67</v>
      </c>
      <c r="AD1536" t="s">
        <v>63</v>
      </c>
      <c r="AE1536" t="s">
        <v>63</v>
      </c>
      <c r="AF1536" t="s">
        <v>63</v>
      </c>
      <c r="AG1536" t="s">
        <v>13523</v>
      </c>
      <c r="AH1536" t="s">
        <v>63</v>
      </c>
      <c r="AI1536" t="s">
        <v>63</v>
      </c>
      <c r="AJ1536" t="s">
        <v>63</v>
      </c>
      <c r="AK1536" t="s">
        <v>63</v>
      </c>
      <c r="AL1536" t="s">
        <v>63</v>
      </c>
      <c r="AM1536" t="s">
        <v>13524</v>
      </c>
      <c r="AN1536" t="s">
        <v>63</v>
      </c>
      <c r="AO1536" t="s">
        <v>63</v>
      </c>
      <c r="AP1536" t="s">
        <v>63</v>
      </c>
      <c r="AQ1536" t="s">
        <v>63</v>
      </c>
      <c r="AR1536" t="s">
        <v>63</v>
      </c>
      <c r="AS1536" t="s">
        <v>63</v>
      </c>
      <c r="AT1536" t="s">
        <v>63</v>
      </c>
      <c r="AU1536" t="s">
        <v>63</v>
      </c>
      <c r="AV1536" t="s">
        <v>63</v>
      </c>
      <c r="AW1536" t="s">
        <v>63</v>
      </c>
      <c r="AX1536" t="s">
        <v>63</v>
      </c>
      <c r="AY1536" t="s">
        <v>63</v>
      </c>
      <c r="AZ1536" t="s">
        <v>63</v>
      </c>
      <c r="BA1536" t="s">
        <v>63</v>
      </c>
      <c r="BB1536" t="s">
        <v>63</v>
      </c>
      <c r="BC1536" t="s">
        <v>63</v>
      </c>
      <c r="BD1536" t="s">
        <v>63</v>
      </c>
      <c r="BE1536" t="s">
        <v>63</v>
      </c>
      <c r="BF1536" t="s">
        <v>63</v>
      </c>
    </row>
    <row r="1537" spans="1:58">
      <c r="A1537" t="s">
        <v>58</v>
      </c>
      <c r="B1537" t="s">
        <v>13525</v>
      </c>
      <c r="C1537" t="s">
        <v>13526</v>
      </c>
      <c r="D1537" t="s">
        <v>790</v>
      </c>
      <c r="E1537" t="s">
        <v>791</v>
      </c>
      <c r="F1537">
        <v>2017</v>
      </c>
      <c r="G1537" s="1">
        <v>41964</v>
      </c>
      <c r="H1537" t="s">
        <v>63</v>
      </c>
      <c r="I1537" t="s">
        <v>63</v>
      </c>
      <c r="J1537">
        <v>22</v>
      </c>
      <c r="K1537" t="s">
        <v>63</v>
      </c>
      <c r="L1537" t="s">
        <v>63</v>
      </c>
      <c r="M1537" t="s">
        <v>13527</v>
      </c>
      <c r="N1537" t="s">
        <v>13528</v>
      </c>
      <c r="O1537" t="s">
        <v>63</v>
      </c>
      <c r="Q1537" t="s">
        <v>63</v>
      </c>
      <c r="R1537" t="s">
        <v>63</v>
      </c>
      <c r="S1537" t="s">
        <v>63</v>
      </c>
      <c r="T1537" t="s">
        <v>63</v>
      </c>
      <c r="X1537" t="s">
        <v>63</v>
      </c>
      <c r="Y1537" t="s">
        <v>2397</v>
      </c>
      <c r="Z1537" t="s">
        <v>63</v>
      </c>
      <c r="AA1537" t="s">
        <v>13529</v>
      </c>
      <c r="AB1537">
        <v>29198489</v>
      </c>
      <c r="AC1537" t="s">
        <v>67</v>
      </c>
      <c r="AD1537" t="s">
        <v>63</v>
      </c>
      <c r="AE1537" t="s">
        <v>63</v>
      </c>
      <c r="AF1537" t="s">
        <v>63</v>
      </c>
      <c r="AG1537" t="s">
        <v>13530</v>
      </c>
      <c r="AH1537" t="s">
        <v>63</v>
      </c>
      <c r="AI1537" t="s">
        <v>13531</v>
      </c>
      <c r="AJ1537" t="s">
        <v>63</v>
      </c>
      <c r="AK1537" t="s">
        <v>63</v>
      </c>
      <c r="AL1537" t="s">
        <v>63</v>
      </c>
      <c r="AM1537" t="s">
        <v>13532</v>
      </c>
      <c r="AN1537" t="s">
        <v>63</v>
      </c>
      <c r="AO1537" t="s">
        <v>63</v>
      </c>
      <c r="AP1537" t="s">
        <v>63</v>
      </c>
      <c r="AQ1537" t="s">
        <v>63</v>
      </c>
      <c r="AR1537" t="s">
        <v>63</v>
      </c>
      <c r="AS1537" t="s">
        <v>63</v>
      </c>
      <c r="AT1537" t="s">
        <v>63</v>
      </c>
      <c r="AU1537" t="s">
        <v>63</v>
      </c>
      <c r="AV1537" t="s">
        <v>63</v>
      </c>
      <c r="AW1537" t="s">
        <v>63</v>
      </c>
      <c r="AX1537" t="s">
        <v>63</v>
      </c>
      <c r="AY1537" t="s">
        <v>63</v>
      </c>
      <c r="AZ1537" t="s">
        <v>63</v>
      </c>
      <c r="BA1537" t="s">
        <v>63</v>
      </c>
      <c r="BB1537" t="s">
        <v>63</v>
      </c>
      <c r="BC1537" t="s">
        <v>63</v>
      </c>
      <c r="BD1537" t="s">
        <v>63</v>
      </c>
      <c r="BE1537" t="s">
        <v>63</v>
      </c>
      <c r="BF1537" t="s">
        <v>63</v>
      </c>
    </row>
    <row r="1538" spans="1:58">
      <c r="A1538" t="s">
        <v>58</v>
      </c>
      <c r="B1538" t="s">
        <v>13533</v>
      </c>
      <c r="C1538" t="s">
        <v>13534</v>
      </c>
      <c r="D1538" t="s">
        <v>381</v>
      </c>
      <c r="E1538" t="s">
        <v>63</v>
      </c>
      <c r="F1538">
        <v>1975</v>
      </c>
      <c r="G1538" t="s">
        <v>181</v>
      </c>
      <c r="H1538">
        <v>58</v>
      </c>
      <c r="I1538">
        <v>9</v>
      </c>
      <c r="J1538">
        <v>389</v>
      </c>
      <c r="K1538" t="s">
        <v>13535</v>
      </c>
      <c r="L1538" t="s">
        <v>13536</v>
      </c>
      <c r="M1538" t="s">
        <v>63</v>
      </c>
      <c r="N1538" t="s">
        <v>13537</v>
      </c>
      <c r="O1538" t="s">
        <v>63</v>
      </c>
      <c r="Q1538" t="s">
        <v>63</v>
      </c>
      <c r="R1538" t="s">
        <v>63</v>
      </c>
      <c r="S1538" t="s">
        <v>63</v>
      </c>
      <c r="T1538" t="s">
        <v>63</v>
      </c>
      <c r="X1538" t="s">
        <v>63</v>
      </c>
      <c r="Y1538" t="s">
        <v>384</v>
      </c>
      <c r="Z1538" t="s">
        <v>63</v>
      </c>
      <c r="AA1538" t="s">
        <v>63</v>
      </c>
      <c r="AB1538">
        <v>127374</v>
      </c>
      <c r="AC1538" t="s">
        <v>67</v>
      </c>
      <c r="AD1538" t="s">
        <v>63</v>
      </c>
      <c r="AE1538" t="s">
        <v>63</v>
      </c>
      <c r="AF1538" t="s">
        <v>63</v>
      </c>
      <c r="AG1538" t="s">
        <v>13538</v>
      </c>
      <c r="AH1538" t="s">
        <v>63</v>
      </c>
      <c r="AI1538" t="s">
        <v>63</v>
      </c>
      <c r="AJ1538" t="s">
        <v>63</v>
      </c>
      <c r="AK1538" t="s">
        <v>63</v>
      </c>
      <c r="AL1538" t="s">
        <v>63</v>
      </c>
      <c r="AM1538" t="s">
        <v>13539</v>
      </c>
      <c r="AN1538" t="s">
        <v>63</v>
      </c>
      <c r="AO1538" t="s">
        <v>63</v>
      </c>
      <c r="AP1538" t="s">
        <v>63</v>
      </c>
      <c r="AQ1538" t="s">
        <v>63</v>
      </c>
      <c r="AR1538" t="s">
        <v>63</v>
      </c>
      <c r="AS1538" t="s">
        <v>63</v>
      </c>
      <c r="AT1538" t="s">
        <v>63</v>
      </c>
      <c r="AU1538" t="s">
        <v>63</v>
      </c>
      <c r="AV1538" t="s">
        <v>63</v>
      </c>
      <c r="AW1538" t="s">
        <v>63</v>
      </c>
      <c r="AX1538" t="s">
        <v>63</v>
      </c>
      <c r="AY1538" t="s">
        <v>63</v>
      </c>
      <c r="AZ1538" t="s">
        <v>63</v>
      </c>
      <c r="BA1538" t="s">
        <v>63</v>
      </c>
      <c r="BB1538" t="s">
        <v>63</v>
      </c>
      <c r="BC1538" t="s">
        <v>63</v>
      </c>
      <c r="BD1538" t="s">
        <v>63</v>
      </c>
      <c r="BE1538" t="s">
        <v>63</v>
      </c>
      <c r="BF1538" t="s">
        <v>63</v>
      </c>
    </row>
    <row r="1539" spans="1:58">
      <c r="A1539" t="s">
        <v>58</v>
      </c>
      <c r="B1539" t="s">
        <v>13540</v>
      </c>
      <c r="C1539" t="s">
        <v>13541</v>
      </c>
      <c r="D1539" t="s">
        <v>13542</v>
      </c>
      <c r="E1539" t="s">
        <v>63</v>
      </c>
      <c r="F1539">
        <v>2011</v>
      </c>
      <c r="G1539" t="s">
        <v>181</v>
      </c>
      <c r="H1539">
        <v>37</v>
      </c>
      <c r="I1539">
        <v>5</v>
      </c>
      <c r="J1539">
        <v>437</v>
      </c>
      <c r="K1539">
        <v>443</v>
      </c>
      <c r="L1539" t="s">
        <v>13543</v>
      </c>
      <c r="M1539" t="s">
        <v>63</v>
      </c>
      <c r="N1539" t="s">
        <v>13544</v>
      </c>
      <c r="O1539" t="s">
        <v>63</v>
      </c>
      <c r="Q1539" t="s">
        <v>63</v>
      </c>
      <c r="R1539" t="s">
        <v>63</v>
      </c>
      <c r="S1539" t="s">
        <v>63</v>
      </c>
      <c r="T1539" t="s">
        <v>63</v>
      </c>
      <c r="X1539" t="s">
        <v>63</v>
      </c>
      <c r="Y1539" t="s">
        <v>13545</v>
      </c>
      <c r="Z1539" t="s">
        <v>63</v>
      </c>
      <c r="AA1539" t="s">
        <v>13546</v>
      </c>
      <c r="AB1539">
        <v>21889651</v>
      </c>
      <c r="AC1539" t="s">
        <v>67</v>
      </c>
      <c r="AD1539" t="s">
        <v>63</v>
      </c>
      <c r="AE1539" t="s">
        <v>63</v>
      </c>
      <c r="AF1539" t="s">
        <v>63</v>
      </c>
      <c r="AG1539" t="s">
        <v>13547</v>
      </c>
      <c r="AH1539" t="s">
        <v>63</v>
      </c>
      <c r="AI1539" t="s">
        <v>13548</v>
      </c>
      <c r="AJ1539" t="s">
        <v>63</v>
      </c>
      <c r="AK1539" t="s">
        <v>63</v>
      </c>
      <c r="AL1539" t="s">
        <v>63</v>
      </c>
      <c r="AM1539" t="s">
        <v>13549</v>
      </c>
      <c r="AN1539" t="s">
        <v>63</v>
      </c>
      <c r="AO1539" t="s">
        <v>63</v>
      </c>
      <c r="AP1539" t="s">
        <v>63</v>
      </c>
      <c r="AQ1539" t="s">
        <v>63</v>
      </c>
      <c r="AR1539" t="s">
        <v>63</v>
      </c>
      <c r="AS1539" t="s">
        <v>63</v>
      </c>
      <c r="AT1539" t="s">
        <v>63</v>
      </c>
      <c r="AU1539" t="s">
        <v>63</v>
      </c>
      <c r="AV1539" t="s">
        <v>63</v>
      </c>
      <c r="AW1539" t="s">
        <v>63</v>
      </c>
      <c r="AX1539" t="s">
        <v>63</v>
      </c>
      <c r="AY1539" t="s">
        <v>63</v>
      </c>
      <c r="AZ1539" t="s">
        <v>63</v>
      </c>
      <c r="BA1539" t="s">
        <v>63</v>
      </c>
      <c r="BB1539" t="s">
        <v>63</v>
      </c>
      <c r="BC1539" t="s">
        <v>63</v>
      </c>
      <c r="BD1539" t="s">
        <v>63</v>
      </c>
      <c r="BE1539" t="s">
        <v>63</v>
      </c>
      <c r="BF1539" t="s">
        <v>63</v>
      </c>
    </row>
    <row r="1540" spans="1:58">
      <c r="A1540" t="s">
        <v>58</v>
      </c>
      <c r="B1540" t="s">
        <v>13550</v>
      </c>
      <c r="C1540" t="s">
        <v>13551</v>
      </c>
      <c r="D1540" t="s">
        <v>1293</v>
      </c>
      <c r="E1540" t="s">
        <v>1294</v>
      </c>
      <c r="F1540">
        <v>2017</v>
      </c>
      <c r="G1540" t="s">
        <v>1670</v>
      </c>
      <c r="H1540">
        <v>49</v>
      </c>
      <c r="I1540">
        <v>7</v>
      </c>
      <c r="J1540">
        <v>537</v>
      </c>
      <c r="K1540">
        <v>543</v>
      </c>
      <c r="L1540" t="s">
        <v>63</v>
      </c>
      <c r="M1540" t="s">
        <v>13552</v>
      </c>
      <c r="N1540" t="s">
        <v>13553</v>
      </c>
      <c r="O1540" t="s">
        <v>63</v>
      </c>
      <c r="Q1540" t="s">
        <v>63</v>
      </c>
      <c r="R1540" t="s">
        <v>63</v>
      </c>
      <c r="S1540" t="s">
        <v>63</v>
      </c>
      <c r="T1540" t="s">
        <v>63</v>
      </c>
      <c r="X1540" t="s">
        <v>63</v>
      </c>
      <c r="Y1540" t="s">
        <v>2473</v>
      </c>
      <c r="Z1540" t="s">
        <v>63</v>
      </c>
      <c r="AA1540" t="s">
        <v>13554</v>
      </c>
      <c r="AB1540">
        <v>28724151</v>
      </c>
      <c r="AC1540" t="s">
        <v>67</v>
      </c>
      <c r="AD1540" t="s">
        <v>63</v>
      </c>
      <c r="AE1540" t="s">
        <v>63</v>
      </c>
      <c r="AF1540" t="s">
        <v>63</v>
      </c>
      <c r="AG1540" t="s">
        <v>13555</v>
      </c>
      <c r="AH1540" t="s">
        <v>63</v>
      </c>
      <c r="AI1540" t="s">
        <v>63</v>
      </c>
      <c r="AJ1540" t="s">
        <v>63</v>
      </c>
      <c r="AK1540" t="s">
        <v>63</v>
      </c>
      <c r="AL1540" t="s">
        <v>63</v>
      </c>
      <c r="AM1540" t="s">
        <v>13556</v>
      </c>
      <c r="AN1540" t="s">
        <v>63</v>
      </c>
      <c r="AO1540" t="s">
        <v>63</v>
      </c>
      <c r="AP1540" t="s">
        <v>63</v>
      </c>
      <c r="AQ1540" t="s">
        <v>63</v>
      </c>
      <c r="AR1540" t="s">
        <v>63</v>
      </c>
      <c r="AS1540" t="s">
        <v>63</v>
      </c>
      <c r="AT1540" t="s">
        <v>63</v>
      </c>
      <c r="AU1540" t="s">
        <v>63</v>
      </c>
      <c r="AV1540" t="s">
        <v>63</v>
      </c>
      <c r="AW1540" t="s">
        <v>63</v>
      </c>
      <c r="AX1540" t="s">
        <v>63</v>
      </c>
      <c r="AY1540" t="s">
        <v>63</v>
      </c>
      <c r="AZ1540" t="s">
        <v>63</v>
      </c>
      <c r="BA1540" t="s">
        <v>63</v>
      </c>
      <c r="BB1540" t="s">
        <v>63</v>
      </c>
      <c r="BC1540" t="s">
        <v>63</v>
      </c>
      <c r="BD1540" t="s">
        <v>63</v>
      </c>
      <c r="BE1540" t="s">
        <v>63</v>
      </c>
      <c r="BF1540" t="s">
        <v>63</v>
      </c>
    </row>
    <row r="1541" spans="1:58">
      <c r="A1541" t="s">
        <v>58</v>
      </c>
      <c r="B1541" t="s">
        <v>13557</v>
      </c>
      <c r="C1541" t="s">
        <v>13558</v>
      </c>
      <c r="D1541" t="s">
        <v>8709</v>
      </c>
      <c r="E1541" t="s">
        <v>63</v>
      </c>
      <c r="F1541">
        <v>2006</v>
      </c>
      <c r="G1541" t="s">
        <v>614</v>
      </c>
      <c r="H1541">
        <v>156</v>
      </c>
      <c r="I1541" t="s">
        <v>13559</v>
      </c>
      <c r="J1541">
        <v>448</v>
      </c>
      <c r="K1541">
        <v>450</v>
      </c>
      <c r="L1541" t="s">
        <v>13560</v>
      </c>
      <c r="M1541" t="s">
        <v>13561</v>
      </c>
      <c r="N1541" t="s">
        <v>13562</v>
      </c>
      <c r="O1541" t="s">
        <v>63</v>
      </c>
      <c r="Q1541" t="s">
        <v>63</v>
      </c>
      <c r="R1541" t="s">
        <v>63</v>
      </c>
      <c r="S1541" t="s">
        <v>63</v>
      </c>
      <c r="T1541" t="s">
        <v>63</v>
      </c>
      <c r="X1541" t="s">
        <v>63</v>
      </c>
      <c r="Y1541" t="s">
        <v>8713</v>
      </c>
      <c r="Z1541" t="s">
        <v>63</v>
      </c>
      <c r="AA1541" t="s">
        <v>13563</v>
      </c>
      <c r="AB1541">
        <v>17041770</v>
      </c>
      <c r="AC1541" t="s">
        <v>102</v>
      </c>
      <c r="AD1541" t="s">
        <v>63</v>
      </c>
      <c r="AE1541" t="s">
        <v>63</v>
      </c>
      <c r="AF1541" t="s">
        <v>63</v>
      </c>
      <c r="AG1541" t="s">
        <v>13564</v>
      </c>
      <c r="AH1541" t="s">
        <v>63</v>
      </c>
      <c r="AI1541" t="s">
        <v>63</v>
      </c>
      <c r="AJ1541" t="s">
        <v>63</v>
      </c>
      <c r="AK1541" t="s">
        <v>63</v>
      </c>
      <c r="AL1541" t="s">
        <v>63</v>
      </c>
      <c r="AM1541" t="s">
        <v>13565</v>
      </c>
      <c r="AN1541" t="s">
        <v>63</v>
      </c>
      <c r="AO1541" t="s">
        <v>63</v>
      </c>
      <c r="AP1541" t="s">
        <v>63</v>
      </c>
      <c r="AQ1541" t="s">
        <v>63</v>
      </c>
      <c r="AR1541" t="s">
        <v>63</v>
      </c>
      <c r="AS1541" t="s">
        <v>63</v>
      </c>
      <c r="AT1541" t="s">
        <v>63</v>
      </c>
      <c r="AU1541" t="s">
        <v>63</v>
      </c>
      <c r="AV1541" t="s">
        <v>63</v>
      </c>
      <c r="AW1541" t="s">
        <v>63</v>
      </c>
      <c r="AX1541" t="s">
        <v>63</v>
      </c>
      <c r="AY1541" t="s">
        <v>63</v>
      </c>
      <c r="AZ1541" t="s">
        <v>63</v>
      </c>
      <c r="BA1541" t="s">
        <v>63</v>
      </c>
      <c r="BB1541" t="s">
        <v>63</v>
      </c>
      <c r="BC1541" t="s">
        <v>63</v>
      </c>
      <c r="BD1541" t="s">
        <v>63</v>
      </c>
      <c r="BE1541" t="s">
        <v>63</v>
      </c>
      <c r="BF1541" t="s">
        <v>63</v>
      </c>
    </row>
    <row r="1542" spans="1:58">
      <c r="A1542" t="s">
        <v>58</v>
      </c>
      <c r="B1542" t="s">
        <v>13566</v>
      </c>
      <c r="C1542" t="s">
        <v>13567</v>
      </c>
      <c r="D1542" t="s">
        <v>389</v>
      </c>
      <c r="E1542" t="s">
        <v>63</v>
      </c>
      <c r="F1542">
        <v>2011</v>
      </c>
      <c r="G1542" t="s">
        <v>84</v>
      </c>
      <c r="H1542">
        <v>32</v>
      </c>
      <c r="I1542">
        <v>2</v>
      </c>
      <c r="J1542">
        <v>84</v>
      </c>
      <c r="K1542">
        <v>92</v>
      </c>
      <c r="L1542" t="s">
        <v>13568</v>
      </c>
      <c r="M1542" t="s">
        <v>13569</v>
      </c>
      <c r="N1542" t="s">
        <v>13570</v>
      </c>
      <c r="O1542" t="s">
        <v>63</v>
      </c>
      <c r="Q1542" t="s">
        <v>63</v>
      </c>
      <c r="R1542" t="s">
        <v>63</v>
      </c>
      <c r="S1542" t="s">
        <v>63</v>
      </c>
      <c r="T1542" t="s">
        <v>63</v>
      </c>
      <c r="X1542" t="s">
        <v>63</v>
      </c>
      <c r="Y1542" t="s">
        <v>556</v>
      </c>
      <c r="Z1542" t="s">
        <v>63</v>
      </c>
      <c r="AA1542" t="s">
        <v>13571</v>
      </c>
      <c r="AB1542">
        <v>21534129</v>
      </c>
      <c r="AC1542" t="s">
        <v>67</v>
      </c>
      <c r="AD1542" t="s">
        <v>63</v>
      </c>
      <c r="AE1542" t="s">
        <v>63</v>
      </c>
      <c r="AF1542" t="s">
        <v>63</v>
      </c>
      <c r="AG1542" t="s">
        <v>13572</v>
      </c>
      <c r="AH1542" t="s">
        <v>63</v>
      </c>
      <c r="AI1542" t="s">
        <v>13573</v>
      </c>
      <c r="AJ1542" t="s">
        <v>63</v>
      </c>
      <c r="AK1542" t="s">
        <v>63</v>
      </c>
      <c r="AL1542" t="s">
        <v>63</v>
      </c>
      <c r="AM1542" t="s">
        <v>13574</v>
      </c>
      <c r="AN1542" t="s">
        <v>63</v>
      </c>
      <c r="AO1542" t="s">
        <v>63</v>
      </c>
      <c r="AP1542" t="s">
        <v>63</v>
      </c>
      <c r="AQ1542" t="s">
        <v>63</v>
      </c>
      <c r="AR1542" t="s">
        <v>63</v>
      </c>
      <c r="AS1542" t="s">
        <v>63</v>
      </c>
      <c r="AT1542" t="s">
        <v>63</v>
      </c>
      <c r="AU1542" t="s">
        <v>63</v>
      </c>
      <c r="AV1542" t="s">
        <v>63</v>
      </c>
      <c r="AW1542" t="s">
        <v>63</v>
      </c>
      <c r="AX1542" t="s">
        <v>63</v>
      </c>
      <c r="AY1542" t="s">
        <v>63</v>
      </c>
      <c r="AZ1542" t="s">
        <v>63</v>
      </c>
      <c r="BA1542" t="s">
        <v>63</v>
      </c>
      <c r="BB1542" t="s">
        <v>63</v>
      </c>
      <c r="BC1542" t="s">
        <v>63</v>
      </c>
      <c r="BD1542" t="s">
        <v>63</v>
      </c>
      <c r="BE1542" t="s">
        <v>63</v>
      </c>
      <c r="BF1542" t="s">
        <v>63</v>
      </c>
    </row>
    <row r="1543" spans="1:58">
      <c r="A1543" t="s">
        <v>58</v>
      </c>
      <c r="B1543" t="s">
        <v>13575</v>
      </c>
      <c r="C1543" t="s">
        <v>13576</v>
      </c>
      <c r="D1543" t="s">
        <v>603</v>
      </c>
      <c r="E1543" t="s">
        <v>604</v>
      </c>
      <c r="F1543">
        <v>2011</v>
      </c>
      <c r="G1543" t="s">
        <v>189</v>
      </c>
      <c r="H1543">
        <v>103</v>
      </c>
      <c r="I1543">
        <v>5</v>
      </c>
      <c r="J1543">
        <v>400</v>
      </c>
      <c r="K1543">
        <v>406</v>
      </c>
      <c r="L1543" t="s">
        <v>13577</v>
      </c>
      <c r="M1543" t="s">
        <v>13578</v>
      </c>
      <c r="N1543" t="s">
        <v>13579</v>
      </c>
      <c r="O1543" t="s">
        <v>63</v>
      </c>
      <c r="Q1543" t="s">
        <v>63</v>
      </c>
      <c r="R1543" t="s">
        <v>63</v>
      </c>
      <c r="S1543" t="s">
        <v>63</v>
      </c>
      <c r="T1543" t="s">
        <v>63</v>
      </c>
      <c r="X1543" t="s">
        <v>63</v>
      </c>
      <c r="Y1543" t="s">
        <v>608</v>
      </c>
      <c r="Z1543" t="s">
        <v>63</v>
      </c>
      <c r="AA1543" t="s">
        <v>13580</v>
      </c>
      <c r="AB1543">
        <v>21809789</v>
      </c>
      <c r="AC1543" t="s">
        <v>67</v>
      </c>
      <c r="AD1543" t="s">
        <v>63</v>
      </c>
      <c r="AE1543" t="s">
        <v>63</v>
      </c>
      <c r="AF1543" t="s">
        <v>63</v>
      </c>
      <c r="AG1543" t="s">
        <v>13581</v>
      </c>
      <c r="AH1543" t="s">
        <v>63</v>
      </c>
      <c r="AI1543" t="s">
        <v>63</v>
      </c>
      <c r="AJ1543" t="s">
        <v>63</v>
      </c>
      <c r="AK1543" t="s">
        <v>63</v>
      </c>
      <c r="AL1543" t="s">
        <v>63</v>
      </c>
      <c r="AM1543" t="s">
        <v>13582</v>
      </c>
      <c r="AN1543" t="s">
        <v>63</v>
      </c>
      <c r="AO1543" t="s">
        <v>63</v>
      </c>
      <c r="AP1543" t="s">
        <v>63</v>
      </c>
      <c r="AQ1543" t="s">
        <v>63</v>
      </c>
      <c r="AR1543" t="s">
        <v>63</v>
      </c>
      <c r="AS1543" t="s">
        <v>63</v>
      </c>
      <c r="AT1543" t="s">
        <v>63</v>
      </c>
      <c r="AU1543" t="s">
        <v>63</v>
      </c>
      <c r="AV1543" t="s">
        <v>63</v>
      </c>
      <c r="AW1543" t="s">
        <v>63</v>
      </c>
      <c r="AX1543" t="s">
        <v>63</v>
      </c>
      <c r="AY1543" t="s">
        <v>63</v>
      </c>
      <c r="AZ1543" t="s">
        <v>63</v>
      </c>
      <c r="BA1543" t="s">
        <v>63</v>
      </c>
      <c r="BB1543" t="s">
        <v>63</v>
      </c>
      <c r="BC1543" t="s">
        <v>63</v>
      </c>
      <c r="BD1543" t="s">
        <v>63</v>
      </c>
      <c r="BE1543" t="s">
        <v>63</v>
      </c>
      <c r="BF1543" t="s">
        <v>63</v>
      </c>
    </row>
    <row r="1544" spans="1:58">
      <c r="A1544" t="s">
        <v>58</v>
      </c>
      <c r="B1544" t="s">
        <v>13583</v>
      </c>
      <c r="C1544" t="s">
        <v>13584</v>
      </c>
      <c r="D1544" t="s">
        <v>9141</v>
      </c>
      <c r="E1544" t="s">
        <v>9142</v>
      </c>
      <c r="F1544">
        <v>1989</v>
      </c>
      <c r="G1544" t="s">
        <v>63</v>
      </c>
      <c r="H1544">
        <v>8</v>
      </c>
      <c r="I1544">
        <v>1</v>
      </c>
      <c r="J1544">
        <v>55</v>
      </c>
      <c r="K1544">
        <v>66</v>
      </c>
      <c r="L1544" t="s">
        <v>13585</v>
      </c>
      <c r="M1544" t="s">
        <v>13586</v>
      </c>
      <c r="N1544" t="s">
        <v>13587</v>
      </c>
      <c r="O1544" t="s">
        <v>63</v>
      </c>
      <c r="Q1544" t="s">
        <v>63</v>
      </c>
      <c r="R1544" t="s">
        <v>63</v>
      </c>
      <c r="S1544" t="s">
        <v>63</v>
      </c>
      <c r="T1544" t="s">
        <v>63</v>
      </c>
      <c r="X1544" t="s">
        <v>63</v>
      </c>
      <c r="Y1544" t="s">
        <v>9146</v>
      </c>
      <c r="Z1544" t="s">
        <v>63</v>
      </c>
      <c r="AA1544" t="s">
        <v>13588</v>
      </c>
      <c r="AB1544">
        <v>2711914</v>
      </c>
      <c r="AC1544" t="s">
        <v>67</v>
      </c>
      <c r="AD1544" t="s">
        <v>63</v>
      </c>
      <c r="AE1544" t="s">
        <v>63</v>
      </c>
      <c r="AF1544" t="s">
        <v>63</v>
      </c>
      <c r="AG1544" t="s">
        <v>13589</v>
      </c>
      <c r="AH1544" t="s">
        <v>63</v>
      </c>
      <c r="AI1544" t="s">
        <v>63</v>
      </c>
      <c r="AJ1544" t="s">
        <v>63</v>
      </c>
      <c r="AK1544" t="s">
        <v>63</v>
      </c>
      <c r="AL1544" t="s">
        <v>63</v>
      </c>
      <c r="AM1544" t="s">
        <v>13590</v>
      </c>
      <c r="AN1544" t="s">
        <v>63</v>
      </c>
      <c r="AO1544" t="s">
        <v>63</v>
      </c>
      <c r="AP1544" t="s">
        <v>63</v>
      </c>
      <c r="AQ1544" t="s">
        <v>63</v>
      </c>
      <c r="AR1544" t="s">
        <v>63</v>
      </c>
      <c r="AS1544" t="s">
        <v>63</v>
      </c>
      <c r="AT1544" t="s">
        <v>63</v>
      </c>
      <c r="AU1544" t="s">
        <v>63</v>
      </c>
      <c r="AV1544" t="s">
        <v>63</v>
      </c>
      <c r="AW1544" t="s">
        <v>63</v>
      </c>
      <c r="AX1544" t="s">
        <v>63</v>
      </c>
      <c r="AY1544" t="s">
        <v>63</v>
      </c>
      <c r="AZ1544" t="s">
        <v>63</v>
      </c>
      <c r="BA1544" t="s">
        <v>63</v>
      </c>
      <c r="BB1544" t="s">
        <v>63</v>
      </c>
      <c r="BC1544" t="s">
        <v>63</v>
      </c>
      <c r="BD1544" t="s">
        <v>63</v>
      </c>
      <c r="BE1544" t="s">
        <v>63</v>
      </c>
      <c r="BF1544" t="s">
        <v>63</v>
      </c>
    </row>
    <row r="1545" spans="1:58">
      <c r="A1545" t="s">
        <v>58</v>
      </c>
      <c r="B1545" t="s">
        <v>13591</v>
      </c>
      <c r="C1545" t="s">
        <v>13592</v>
      </c>
      <c r="D1545" t="s">
        <v>4164</v>
      </c>
      <c r="E1545" t="s">
        <v>4165</v>
      </c>
      <c r="F1545">
        <v>2016</v>
      </c>
      <c r="G1545" t="s">
        <v>63</v>
      </c>
      <c r="H1545">
        <v>223</v>
      </c>
      <c r="I1545" t="s">
        <v>63</v>
      </c>
      <c r="J1545">
        <v>91</v>
      </c>
      <c r="K1545">
        <v>113</v>
      </c>
      <c r="L1545" t="s">
        <v>13593</v>
      </c>
      <c r="M1545" t="s">
        <v>13594</v>
      </c>
      <c r="N1545" t="s">
        <v>13595</v>
      </c>
      <c r="O1545" t="s">
        <v>63</v>
      </c>
      <c r="Q1545" t="s">
        <v>63</v>
      </c>
      <c r="R1545" t="s">
        <v>63</v>
      </c>
      <c r="S1545" t="s">
        <v>63</v>
      </c>
      <c r="T1545" t="s">
        <v>63</v>
      </c>
      <c r="X1545" t="s">
        <v>63</v>
      </c>
      <c r="Y1545" t="s">
        <v>4169</v>
      </c>
      <c r="Z1545" t="s">
        <v>63</v>
      </c>
      <c r="AA1545" t="s">
        <v>13596</v>
      </c>
      <c r="AB1545">
        <v>26806773</v>
      </c>
      <c r="AC1545" t="s">
        <v>67</v>
      </c>
      <c r="AD1545" t="s">
        <v>63</v>
      </c>
      <c r="AE1545" t="s">
        <v>63</v>
      </c>
      <c r="AF1545" t="s">
        <v>63</v>
      </c>
      <c r="AG1545" t="s">
        <v>13597</v>
      </c>
      <c r="AH1545" t="s">
        <v>63</v>
      </c>
      <c r="AI1545" t="s">
        <v>13598</v>
      </c>
      <c r="AJ1545" t="s">
        <v>63</v>
      </c>
      <c r="AK1545" t="s">
        <v>63</v>
      </c>
      <c r="AL1545" t="s">
        <v>63</v>
      </c>
      <c r="AM1545" t="s">
        <v>13599</v>
      </c>
      <c r="AN1545" t="s">
        <v>63</v>
      </c>
      <c r="AO1545" t="s">
        <v>63</v>
      </c>
      <c r="AP1545" t="s">
        <v>63</v>
      </c>
      <c r="AQ1545" t="s">
        <v>63</v>
      </c>
      <c r="AR1545" t="s">
        <v>63</v>
      </c>
      <c r="AS1545" t="s">
        <v>63</v>
      </c>
      <c r="AT1545" t="s">
        <v>63</v>
      </c>
      <c r="AU1545" t="s">
        <v>63</v>
      </c>
      <c r="AV1545" t="s">
        <v>63</v>
      </c>
      <c r="AW1545" t="s">
        <v>63</v>
      </c>
      <c r="AX1545" t="s">
        <v>63</v>
      </c>
      <c r="AY1545" t="s">
        <v>63</v>
      </c>
      <c r="AZ1545" t="s">
        <v>63</v>
      </c>
      <c r="BA1545" t="s">
        <v>63</v>
      </c>
      <c r="BB1545" t="s">
        <v>63</v>
      </c>
      <c r="BC1545" t="s">
        <v>63</v>
      </c>
      <c r="BD1545" t="s">
        <v>63</v>
      </c>
      <c r="BE1545" t="s">
        <v>63</v>
      </c>
      <c r="BF1545" t="s">
        <v>63</v>
      </c>
    </row>
    <row r="1546" spans="1:58">
      <c r="A1546" t="s">
        <v>58</v>
      </c>
      <c r="B1546" t="s">
        <v>13600</v>
      </c>
      <c r="C1546" t="s">
        <v>13601</v>
      </c>
      <c r="D1546" t="s">
        <v>205</v>
      </c>
      <c r="E1546" t="s">
        <v>205</v>
      </c>
      <c r="F1546">
        <v>1995</v>
      </c>
      <c r="G1546" s="1">
        <v>41761</v>
      </c>
      <c r="H1546">
        <v>273</v>
      </c>
      <c r="I1546">
        <v>17</v>
      </c>
      <c r="J1546">
        <v>1326</v>
      </c>
      <c r="K1546" t="s">
        <v>63</v>
      </c>
      <c r="L1546" t="s">
        <v>13602</v>
      </c>
      <c r="M1546" t="s">
        <v>63</v>
      </c>
      <c r="N1546" t="s">
        <v>13603</v>
      </c>
      <c r="O1546" t="s">
        <v>63</v>
      </c>
      <c r="Q1546" t="s">
        <v>63</v>
      </c>
      <c r="R1546" t="s">
        <v>63</v>
      </c>
      <c r="S1546" t="s">
        <v>63</v>
      </c>
      <c r="T1546" t="s">
        <v>63</v>
      </c>
      <c r="X1546" t="s">
        <v>63</v>
      </c>
      <c r="Y1546" t="s">
        <v>208</v>
      </c>
      <c r="Z1546" t="s">
        <v>63</v>
      </c>
      <c r="AA1546" t="s">
        <v>13604</v>
      </c>
      <c r="AB1546">
        <v>7715049</v>
      </c>
      <c r="AC1546" t="s">
        <v>67</v>
      </c>
      <c r="AD1546" t="s">
        <v>63</v>
      </c>
      <c r="AE1546" t="s">
        <v>63</v>
      </c>
      <c r="AF1546" t="s">
        <v>63</v>
      </c>
      <c r="AG1546" t="s">
        <v>13605</v>
      </c>
      <c r="AH1546" t="s">
        <v>63</v>
      </c>
      <c r="AI1546" t="s">
        <v>63</v>
      </c>
      <c r="AJ1546" t="s">
        <v>63</v>
      </c>
      <c r="AK1546" t="s">
        <v>63</v>
      </c>
      <c r="AL1546" t="s">
        <v>63</v>
      </c>
      <c r="AM1546" t="s">
        <v>13606</v>
      </c>
      <c r="AN1546" t="s">
        <v>63</v>
      </c>
      <c r="AO1546" t="s">
        <v>63</v>
      </c>
      <c r="AP1546" t="s">
        <v>63</v>
      </c>
      <c r="AQ1546" t="s">
        <v>63</v>
      </c>
      <c r="AR1546" t="s">
        <v>63</v>
      </c>
      <c r="AS1546" t="s">
        <v>63</v>
      </c>
      <c r="AT1546" t="s">
        <v>63</v>
      </c>
      <c r="AU1546" t="s">
        <v>63</v>
      </c>
      <c r="AV1546" t="s">
        <v>63</v>
      </c>
      <c r="AW1546" t="s">
        <v>63</v>
      </c>
      <c r="AX1546" t="s">
        <v>63</v>
      </c>
      <c r="AY1546" t="s">
        <v>63</v>
      </c>
      <c r="AZ1546" t="s">
        <v>63</v>
      </c>
      <c r="BA1546" t="s">
        <v>63</v>
      </c>
      <c r="BB1546" t="s">
        <v>63</v>
      </c>
      <c r="BC1546" t="s">
        <v>63</v>
      </c>
      <c r="BD1546" t="s">
        <v>63</v>
      </c>
      <c r="BE1546" t="s">
        <v>63</v>
      </c>
      <c r="BF1546" t="s">
        <v>63</v>
      </c>
    </row>
    <row r="1547" spans="1:58">
      <c r="A1547" t="s">
        <v>58</v>
      </c>
      <c r="B1547" t="s">
        <v>13607</v>
      </c>
      <c r="C1547" t="s">
        <v>13608</v>
      </c>
      <c r="D1547" t="s">
        <v>574</v>
      </c>
      <c r="E1547" t="s">
        <v>63</v>
      </c>
      <c r="F1547">
        <v>2017</v>
      </c>
      <c r="G1547" s="1">
        <v>41882</v>
      </c>
      <c r="H1547">
        <v>18</v>
      </c>
      <c r="I1547">
        <v>9</v>
      </c>
      <c r="J1547">
        <v>1706</v>
      </c>
      <c r="K1547">
        <v>1714</v>
      </c>
      <c r="L1547" t="s">
        <v>63</v>
      </c>
      <c r="M1547" t="s">
        <v>13609</v>
      </c>
      <c r="N1547" t="s">
        <v>13610</v>
      </c>
      <c r="O1547" t="s">
        <v>63</v>
      </c>
      <c r="Q1547" t="s">
        <v>63</v>
      </c>
      <c r="R1547" t="s">
        <v>63</v>
      </c>
      <c r="S1547" t="s">
        <v>63</v>
      </c>
      <c r="T1547" t="s">
        <v>63</v>
      </c>
      <c r="X1547" t="s">
        <v>63</v>
      </c>
      <c r="Y1547" t="s">
        <v>578</v>
      </c>
      <c r="Z1547" t="s">
        <v>63</v>
      </c>
      <c r="AA1547" t="s">
        <v>13611</v>
      </c>
      <c r="AB1547">
        <v>27794547</v>
      </c>
      <c r="AC1547" t="s">
        <v>67</v>
      </c>
      <c r="AD1547" t="s">
        <v>63</v>
      </c>
      <c r="AE1547" t="s">
        <v>63</v>
      </c>
      <c r="AF1547" t="s">
        <v>63</v>
      </c>
      <c r="AG1547" t="s">
        <v>13612</v>
      </c>
      <c r="AH1547" t="s">
        <v>63</v>
      </c>
      <c r="AI1547" t="s">
        <v>13613</v>
      </c>
      <c r="AJ1547" t="s">
        <v>63</v>
      </c>
      <c r="AK1547" t="s">
        <v>63</v>
      </c>
      <c r="AL1547" t="s">
        <v>63</v>
      </c>
      <c r="AM1547" t="s">
        <v>13614</v>
      </c>
      <c r="AN1547" t="s">
        <v>63</v>
      </c>
      <c r="AO1547" t="s">
        <v>63</v>
      </c>
      <c r="AP1547" t="s">
        <v>63</v>
      </c>
      <c r="AQ1547" t="s">
        <v>63</v>
      </c>
      <c r="AR1547" t="s">
        <v>63</v>
      </c>
      <c r="AS1547" t="s">
        <v>63</v>
      </c>
      <c r="AT1547" t="s">
        <v>63</v>
      </c>
      <c r="AU1547" t="s">
        <v>63</v>
      </c>
      <c r="AV1547" t="s">
        <v>63</v>
      </c>
      <c r="AW1547" t="s">
        <v>63</v>
      </c>
      <c r="AX1547" t="s">
        <v>63</v>
      </c>
      <c r="AY1547" t="s">
        <v>63</v>
      </c>
      <c r="AZ1547" t="s">
        <v>63</v>
      </c>
      <c r="BA1547" t="s">
        <v>63</v>
      </c>
      <c r="BB1547" t="s">
        <v>63</v>
      </c>
      <c r="BC1547" t="s">
        <v>63</v>
      </c>
      <c r="BD1547" t="s">
        <v>63</v>
      </c>
      <c r="BE1547" t="s">
        <v>63</v>
      </c>
      <c r="BF1547" t="s">
        <v>63</v>
      </c>
    </row>
    <row r="1548" spans="1:58">
      <c r="A1548" t="s">
        <v>58</v>
      </c>
      <c r="B1548" t="s">
        <v>13615</v>
      </c>
      <c r="C1548" t="s">
        <v>13616</v>
      </c>
      <c r="D1548" t="s">
        <v>2731</v>
      </c>
      <c r="E1548" t="s">
        <v>63</v>
      </c>
      <c r="F1548">
        <v>2005</v>
      </c>
      <c r="G1548" t="s">
        <v>1085</v>
      </c>
      <c r="H1548">
        <v>1</v>
      </c>
      <c r="I1548">
        <v>4</v>
      </c>
      <c r="J1548">
        <v>195</v>
      </c>
      <c r="K1548">
        <v>200</v>
      </c>
      <c r="L1548" t="s">
        <v>13617</v>
      </c>
      <c r="M1548" t="s">
        <v>13618</v>
      </c>
      <c r="N1548" t="s">
        <v>13619</v>
      </c>
      <c r="O1548" t="s">
        <v>63</v>
      </c>
      <c r="Q1548" t="s">
        <v>63</v>
      </c>
      <c r="R1548" t="s">
        <v>63</v>
      </c>
      <c r="S1548" t="s">
        <v>63</v>
      </c>
      <c r="T1548" t="s">
        <v>63</v>
      </c>
      <c r="X1548" t="s">
        <v>63</v>
      </c>
      <c r="Y1548" t="s">
        <v>2735</v>
      </c>
      <c r="Z1548" t="s">
        <v>63</v>
      </c>
      <c r="AA1548" t="s">
        <v>13620</v>
      </c>
      <c r="AB1548">
        <v>17315546</v>
      </c>
      <c r="AC1548" t="s">
        <v>67</v>
      </c>
      <c r="AD1548" t="s">
        <v>63</v>
      </c>
      <c r="AE1548" t="s">
        <v>63</v>
      </c>
      <c r="AF1548" t="s">
        <v>63</v>
      </c>
      <c r="AG1548" t="s">
        <v>13621</v>
      </c>
      <c r="AH1548" t="s">
        <v>63</v>
      </c>
      <c r="AI1548" t="s">
        <v>63</v>
      </c>
      <c r="AJ1548" t="s">
        <v>63</v>
      </c>
      <c r="AK1548" t="s">
        <v>63</v>
      </c>
      <c r="AL1548" t="s">
        <v>63</v>
      </c>
      <c r="AM1548" t="s">
        <v>13622</v>
      </c>
      <c r="AN1548" t="s">
        <v>63</v>
      </c>
      <c r="AO1548" t="s">
        <v>63</v>
      </c>
      <c r="AP1548" t="s">
        <v>63</v>
      </c>
      <c r="AQ1548" t="s">
        <v>63</v>
      </c>
      <c r="AR1548" t="s">
        <v>63</v>
      </c>
      <c r="AS1548" t="s">
        <v>63</v>
      </c>
      <c r="AT1548" t="s">
        <v>63</v>
      </c>
      <c r="AU1548" t="s">
        <v>63</v>
      </c>
      <c r="AV1548" t="s">
        <v>63</v>
      </c>
      <c r="AW1548" t="s">
        <v>63</v>
      </c>
      <c r="AX1548" t="s">
        <v>63</v>
      </c>
      <c r="AY1548" t="s">
        <v>63</v>
      </c>
      <c r="AZ1548" t="s">
        <v>63</v>
      </c>
      <c r="BA1548" t="s">
        <v>63</v>
      </c>
      <c r="BB1548" t="s">
        <v>63</v>
      </c>
      <c r="BC1548" t="s">
        <v>63</v>
      </c>
      <c r="BD1548" t="s">
        <v>63</v>
      </c>
      <c r="BE1548" t="s">
        <v>63</v>
      </c>
      <c r="BF1548" t="s">
        <v>63</v>
      </c>
    </row>
    <row r="1549" spans="1:58">
      <c r="A1549" t="s">
        <v>58</v>
      </c>
      <c r="B1549" t="s">
        <v>13623</v>
      </c>
      <c r="C1549" t="s">
        <v>13624</v>
      </c>
      <c r="D1549" t="s">
        <v>3817</v>
      </c>
      <c r="E1549" t="s">
        <v>3817</v>
      </c>
      <c r="F1549">
        <v>1994</v>
      </c>
      <c r="G1549" t="s">
        <v>1717</v>
      </c>
      <c r="H1549">
        <v>11</v>
      </c>
      <c r="I1549">
        <v>6</v>
      </c>
      <c r="J1549">
        <v>489</v>
      </c>
      <c r="K1549">
        <v>492</v>
      </c>
      <c r="L1549" t="s">
        <v>13625</v>
      </c>
      <c r="M1549" t="s">
        <v>13626</v>
      </c>
      <c r="N1549" t="s">
        <v>13627</v>
      </c>
      <c r="O1549" t="s">
        <v>63</v>
      </c>
      <c r="Q1549" t="s">
        <v>63</v>
      </c>
      <c r="R1549" t="s">
        <v>63</v>
      </c>
      <c r="S1549" t="s">
        <v>63</v>
      </c>
      <c r="T1549" t="s">
        <v>63</v>
      </c>
      <c r="X1549" t="s">
        <v>63</v>
      </c>
      <c r="Y1549" t="s">
        <v>3821</v>
      </c>
      <c r="Z1549" t="s">
        <v>63</v>
      </c>
      <c r="AA1549" t="s">
        <v>13628</v>
      </c>
      <c r="AB1549">
        <v>7865149</v>
      </c>
      <c r="AC1549" t="s">
        <v>67</v>
      </c>
      <c r="AD1549" t="s">
        <v>63</v>
      </c>
      <c r="AE1549" t="s">
        <v>63</v>
      </c>
      <c r="AF1549" t="s">
        <v>63</v>
      </c>
      <c r="AG1549" t="s">
        <v>13629</v>
      </c>
      <c r="AH1549" t="s">
        <v>63</v>
      </c>
      <c r="AI1549" t="s">
        <v>63</v>
      </c>
      <c r="AJ1549" t="s">
        <v>63</v>
      </c>
      <c r="AK1549" t="s">
        <v>63</v>
      </c>
      <c r="AL1549" t="s">
        <v>63</v>
      </c>
      <c r="AM1549" t="s">
        <v>13630</v>
      </c>
      <c r="AN1549" t="s">
        <v>63</v>
      </c>
      <c r="AO1549" t="s">
        <v>63</v>
      </c>
      <c r="AP1549" t="s">
        <v>63</v>
      </c>
      <c r="AQ1549" t="s">
        <v>63</v>
      </c>
      <c r="AR1549" t="s">
        <v>63</v>
      </c>
      <c r="AS1549" t="s">
        <v>63</v>
      </c>
      <c r="AT1549" t="s">
        <v>63</v>
      </c>
      <c r="AU1549" t="s">
        <v>63</v>
      </c>
      <c r="AV1549" t="s">
        <v>63</v>
      </c>
      <c r="AW1549" t="s">
        <v>63</v>
      </c>
      <c r="AX1549" t="s">
        <v>63</v>
      </c>
      <c r="AY1549" t="s">
        <v>63</v>
      </c>
      <c r="AZ1549" t="s">
        <v>63</v>
      </c>
      <c r="BA1549" t="s">
        <v>63</v>
      </c>
      <c r="BB1549" t="s">
        <v>63</v>
      </c>
      <c r="BC1549" t="s">
        <v>63</v>
      </c>
      <c r="BD1549" t="s">
        <v>63</v>
      </c>
      <c r="BE1549" t="s">
        <v>63</v>
      </c>
      <c r="BF1549" t="s">
        <v>63</v>
      </c>
    </row>
    <row r="1550" spans="1:58">
      <c r="A1550" t="s">
        <v>58</v>
      </c>
      <c r="B1550" t="s">
        <v>13631</v>
      </c>
      <c r="C1550" t="s">
        <v>13632</v>
      </c>
      <c r="D1550" t="s">
        <v>13633</v>
      </c>
      <c r="E1550" t="s">
        <v>63</v>
      </c>
      <c r="F1550">
        <v>2010</v>
      </c>
      <c r="G1550" s="1">
        <v>41653</v>
      </c>
      <c r="H1550">
        <v>67</v>
      </c>
      <c r="I1550">
        <v>2</v>
      </c>
      <c r="J1550">
        <v>96</v>
      </c>
      <c r="K1550" t="s">
        <v>63</v>
      </c>
      <c r="L1550" t="s">
        <v>13634</v>
      </c>
      <c r="M1550" t="s">
        <v>63</v>
      </c>
      <c r="N1550" t="s">
        <v>13635</v>
      </c>
      <c r="O1550" t="s">
        <v>63</v>
      </c>
      <c r="Q1550" t="s">
        <v>63</v>
      </c>
      <c r="R1550" t="s">
        <v>63</v>
      </c>
      <c r="S1550" t="s">
        <v>63</v>
      </c>
      <c r="T1550" t="s">
        <v>63</v>
      </c>
      <c r="X1550" t="s">
        <v>63</v>
      </c>
      <c r="Y1550" t="s">
        <v>13636</v>
      </c>
      <c r="Z1550" t="s">
        <v>63</v>
      </c>
      <c r="AA1550" t="s">
        <v>63</v>
      </c>
      <c r="AB1550">
        <v>20065261</v>
      </c>
      <c r="AC1550" t="s">
        <v>67</v>
      </c>
      <c r="AD1550" t="s">
        <v>63</v>
      </c>
      <c r="AE1550" t="s">
        <v>63</v>
      </c>
      <c r="AF1550" t="s">
        <v>63</v>
      </c>
      <c r="AG1550" t="s">
        <v>13637</v>
      </c>
      <c r="AH1550" t="s">
        <v>63</v>
      </c>
      <c r="AI1550" t="s">
        <v>13638</v>
      </c>
      <c r="AJ1550" t="s">
        <v>63</v>
      </c>
      <c r="AK1550" t="s">
        <v>63</v>
      </c>
      <c r="AL1550" t="s">
        <v>63</v>
      </c>
      <c r="AM1550" t="s">
        <v>13639</v>
      </c>
      <c r="AN1550" t="s">
        <v>63</v>
      </c>
      <c r="AO1550" t="s">
        <v>63</v>
      </c>
      <c r="AP1550" t="s">
        <v>63</v>
      </c>
      <c r="AQ1550" t="s">
        <v>63</v>
      </c>
      <c r="AR1550" t="s">
        <v>63</v>
      </c>
      <c r="AS1550" t="s">
        <v>63</v>
      </c>
      <c r="AT1550" t="s">
        <v>63</v>
      </c>
      <c r="AU1550" t="s">
        <v>63</v>
      </c>
      <c r="AV1550" t="s">
        <v>63</v>
      </c>
      <c r="AW1550" t="s">
        <v>63</v>
      </c>
      <c r="AX1550" t="s">
        <v>63</v>
      </c>
      <c r="AY1550" t="s">
        <v>63</v>
      </c>
      <c r="AZ1550" t="s">
        <v>63</v>
      </c>
      <c r="BA1550" t="s">
        <v>63</v>
      </c>
      <c r="BB1550" t="s">
        <v>63</v>
      </c>
      <c r="BC1550" t="s">
        <v>63</v>
      </c>
      <c r="BD1550" t="s">
        <v>63</v>
      </c>
      <c r="BE1550" t="s">
        <v>63</v>
      </c>
      <c r="BF1550" t="s">
        <v>63</v>
      </c>
    </row>
    <row r="1551" spans="1:58">
      <c r="A1551" t="s">
        <v>58</v>
      </c>
      <c r="B1551" t="s">
        <v>13640</v>
      </c>
      <c r="C1551" t="s">
        <v>13641</v>
      </c>
      <c r="D1551" t="s">
        <v>1055</v>
      </c>
      <c r="E1551" t="s">
        <v>1056</v>
      </c>
      <c r="F1551">
        <v>2017</v>
      </c>
      <c r="G1551">
        <v>5</v>
      </c>
      <c r="H1551">
        <v>51</v>
      </c>
      <c r="I1551">
        <v>5</v>
      </c>
      <c r="J1551">
        <v>538</v>
      </c>
      <c r="K1551">
        <v>539</v>
      </c>
      <c r="L1551" t="s">
        <v>63</v>
      </c>
      <c r="M1551" t="s">
        <v>63</v>
      </c>
      <c r="N1551" t="s">
        <v>13642</v>
      </c>
      <c r="O1551" t="s">
        <v>63</v>
      </c>
      <c r="Q1551" t="s">
        <v>63</v>
      </c>
      <c r="R1551" t="s">
        <v>63</v>
      </c>
      <c r="S1551" t="s">
        <v>63</v>
      </c>
      <c r="T1551" t="s">
        <v>63</v>
      </c>
      <c r="X1551" t="s">
        <v>63</v>
      </c>
      <c r="Y1551" t="s">
        <v>1541</v>
      </c>
      <c r="Z1551" t="s">
        <v>63</v>
      </c>
      <c r="AA1551" t="s">
        <v>63</v>
      </c>
      <c r="AB1551">
        <v>28394056</v>
      </c>
      <c r="AC1551" t="s">
        <v>67</v>
      </c>
      <c r="AD1551" t="s">
        <v>63</v>
      </c>
      <c r="AE1551" t="s">
        <v>63</v>
      </c>
      <c r="AF1551" t="s">
        <v>63</v>
      </c>
      <c r="AG1551" t="s">
        <v>13643</v>
      </c>
      <c r="AH1551" t="s">
        <v>63</v>
      </c>
      <c r="AI1551" t="s">
        <v>13644</v>
      </c>
      <c r="AJ1551" t="s">
        <v>63</v>
      </c>
      <c r="AK1551" t="s">
        <v>63</v>
      </c>
      <c r="AL1551" t="s">
        <v>63</v>
      </c>
      <c r="AM1551" t="s">
        <v>13645</v>
      </c>
      <c r="AN1551" t="s">
        <v>63</v>
      </c>
      <c r="AO1551" t="s">
        <v>63</v>
      </c>
      <c r="AP1551" t="s">
        <v>63</v>
      </c>
      <c r="AQ1551" t="s">
        <v>63</v>
      </c>
      <c r="AR1551" t="s">
        <v>63</v>
      </c>
      <c r="AS1551" t="s">
        <v>63</v>
      </c>
      <c r="AT1551" t="s">
        <v>63</v>
      </c>
      <c r="AU1551" t="s">
        <v>63</v>
      </c>
      <c r="AV1551" t="s">
        <v>63</v>
      </c>
      <c r="AW1551" t="s">
        <v>63</v>
      </c>
      <c r="AX1551" t="s">
        <v>63</v>
      </c>
      <c r="AY1551" t="s">
        <v>63</v>
      </c>
      <c r="AZ1551" t="s">
        <v>63</v>
      </c>
      <c r="BA1551" t="s">
        <v>63</v>
      </c>
      <c r="BB1551" t="s">
        <v>63</v>
      </c>
      <c r="BC1551" t="s">
        <v>63</v>
      </c>
      <c r="BD1551" t="s">
        <v>63</v>
      </c>
      <c r="BE1551" t="s">
        <v>63</v>
      </c>
      <c r="BF1551" t="s">
        <v>63</v>
      </c>
    </row>
    <row r="1552" spans="1:58">
      <c r="A1552" t="s">
        <v>58</v>
      </c>
      <c r="B1552" t="s">
        <v>13646</v>
      </c>
      <c r="C1552" t="s">
        <v>13647</v>
      </c>
      <c r="D1552" t="s">
        <v>5037</v>
      </c>
      <c r="E1552" t="s">
        <v>5038</v>
      </c>
      <c r="F1552">
        <v>1998</v>
      </c>
      <c r="G1552" t="s">
        <v>84</v>
      </c>
      <c r="H1552">
        <v>88</v>
      </c>
      <c r="I1552">
        <v>4</v>
      </c>
      <c r="J1552">
        <v>581</v>
      </c>
      <c r="K1552">
        <v>585</v>
      </c>
      <c r="L1552" t="s">
        <v>13648</v>
      </c>
      <c r="M1552" t="s">
        <v>13649</v>
      </c>
      <c r="N1552" t="s">
        <v>13650</v>
      </c>
      <c r="O1552" t="s">
        <v>63</v>
      </c>
      <c r="Q1552" t="s">
        <v>63</v>
      </c>
      <c r="R1552" t="s">
        <v>63</v>
      </c>
      <c r="S1552" t="s">
        <v>63</v>
      </c>
      <c r="T1552" t="s">
        <v>63</v>
      </c>
      <c r="X1552" t="s">
        <v>63</v>
      </c>
      <c r="Y1552" t="s">
        <v>5042</v>
      </c>
      <c r="Z1552" t="s">
        <v>63</v>
      </c>
      <c r="AA1552" t="s">
        <v>13651</v>
      </c>
      <c r="AB1552">
        <v>9550998</v>
      </c>
      <c r="AC1552" t="s">
        <v>67</v>
      </c>
      <c r="AD1552" t="s">
        <v>63</v>
      </c>
      <c r="AE1552" t="s">
        <v>63</v>
      </c>
      <c r="AF1552" t="s">
        <v>63</v>
      </c>
      <c r="AG1552" t="s">
        <v>13652</v>
      </c>
      <c r="AH1552" t="s">
        <v>63</v>
      </c>
      <c r="AI1552" t="s">
        <v>63</v>
      </c>
      <c r="AJ1552" t="s">
        <v>63</v>
      </c>
      <c r="AK1552" t="s">
        <v>63</v>
      </c>
      <c r="AL1552" t="s">
        <v>63</v>
      </c>
      <c r="AM1552" t="s">
        <v>13653</v>
      </c>
      <c r="AN1552" t="s">
        <v>63</v>
      </c>
      <c r="AO1552" t="s">
        <v>63</v>
      </c>
      <c r="AP1552" t="s">
        <v>63</v>
      </c>
      <c r="AQ1552" t="s">
        <v>63</v>
      </c>
      <c r="AR1552" t="s">
        <v>63</v>
      </c>
      <c r="AS1552" t="s">
        <v>63</v>
      </c>
      <c r="AT1552" t="s">
        <v>63</v>
      </c>
      <c r="AU1552" t="s">
        <v>63</v>
      </c>
      <c r="AV1552" t="s">
        <v>63</v>
      </c>
      <c r="AW1552" t="s">
        <v>63</v>
      </c>
      <c r="AX1552" t="s">
        <v>63</v>
      </c>
      <c r="AY1552" t="s">
        <v>63</v>
      </c>
      <c r="AZ1552" t="s">
        <v>63</v>
      </c>
      <c r="BA1552" t="s">
        <v>63</v>
      </c>
      <c r="BB1552" t="s">
        <v>63</v>
      </c>
      <c r="BC1552" t="s">
        <v>63</v>
      </c>
      <c r="BD1552" t="s">
        <v>63</v>
      </c>
      <c r="BE1552" t="s">
        <v>63</v>
      </c>
      <c r="BF1552" t="s">
        <v>63</v>
      </c>
    </row>
    <row r="1553" spans="1:58">
      <c r="A1553" t="s">
        <v>58</v>
      </c>
      <c r="B1553" t="s">
        <v>13654</v>
      </c>
      <c r="C1553" t="s">
        <v>13655</v>
      </c>
      <c r="D1553" t="s">
        <v>13656</v>
      </c>
      <c r="E1553" t="s">
        <v>13657</v>
      </c>
      <c r="F1553">
        <v>2009</v>
      </c>
      <c r="G1553" t="s">
        <v>1737</v>
      </c>
      <c r="H1553">
        <v>58</v>
      </c>
      <c r="I1553">
        <v>3</v>
      </c>
      <c r="J1553">
        <v>159</v>
      </c>
      <c r="K1553">
        <v>162</v>
      </c>
      <c r="L1553" t="s">
        <v>13658</v>
      </c>
      <c r="M1553" t="s">
        <v>13659</v>
      </c>
      <c r="N1553" t="s">
        <v>13660</v>
      </c>
      <c r="O1553" t="s">
        <v>63</v>
      </c>
      <c r="Q1553" t="s">
        <v>63</v>
      </c>
      <c r="R1553" t="s">
        <v>63</v>
      </c>
      <c r="S1553" t="s">
        <v>63</v>
      </c>
      <c r="T1553" t="s">
        <v>63</v>
      </c>
      <c r="X1553" t="s">
        <v>63</v>
      </c>
      <c r="Y1553" t="s">
        <v>13661</v>
      </c>
      <c r="Z1553" t="s">
        <v>63</v>
      </c>
      <c r="AA1553" t="s">
        <v>13662</v>
      </c>
      <c r="AB1553">
        <v>19817311</v>
      </c>
      <c r="AC1553" t="s">
        <v>13663</v>
      </c>
      <c r="AD1553" t="s">
        <v>63</v>
      </c>
      <c r="AE1553" t="s">
        <v>63</v>
      </c>
      <c r="AF1553" t="s">
        <v>63</v>
      </c>
      <c r="AG1553" t="s">
        <v>13664</v>
      </c>
      <c r="AH1553" t="s">
        <v>63</v>
      </c>
      <c r="AI1553" t="s">
        <v>63</v>
      </c>
      <c r="AJ1553" t="s">
        <v>63</v>
      </c>
      <c r="AK1553" t="s">
        <v>63</v>
      </c>
      <c r="AL1553" t="s">
        <v>63</v>
      </c>
      <c r="AM1553" t="s">
        <v>13665</v>
      </c>
      <c r="AN1553" t="s">
        <v>63</v>
      </c>
      <c r="AO1553" t="s">
        <v>63</v>
      </c>
      <c r="AP1553" t="s">
        <v>63</v>
      </c>
      <c r="AQ1553" t="s">
        <v>63</v>
      </c>
      <c r="AR1553" t="s">
        <v>63</v>
      </c>
      <c r="AS1553" t="s">
        <v>63</v>
      </c>
      <c r="AT1553" t="s">
        <v>63</v>
      </c>
      <c r="AU1553" t="s">
        <v>63</v>
      </c>
      <c r="AV1553" t="s">
        <v>63</v>
      </c>
      <c r="AW1553" t="s">
        <v>63</v>
      </c>
      <c r="AX1553" t="s">
        <v>63</v>
      </c>
      <c r="AY1553" t="s">
        <v>63</v>
      </c>
      <c r="AZ1553" t="s">
        <v>63</v>
      </c>
      <c r="BA1553" t="s">
        <v>63</v>
      </c>
      <c r="BB1553" t="s">
        <v>63</v>
      </c>
      <c r="BC1553" t="s">
        <v>63</v>
      </c>
      <c r="BD1553" t="s">
        <v>63</v>
      </c>
      <c r="BE1553" t="s">
        <v>63</v>
      </c>
      <c r="BF1553" t="s">
        <v>63</v>
      </c>
    </row>
    <row r="1554" spans="1:58">
      <c r="A1554" t="s">
        <v>58</v>
      </c>
      <c r="B1554" t="s">
        <v>13666</v>
      </c>
      <c r="C1554" t="s">
        <v>13667</v>
      </c>
      <c r="D1554" t="s">
        <v>360</v>
      </c>
      <c r="E1554" t="s">
        <v>63</v>
      </c>
      <c r="F1554">
        <v>2014</v>
      </c>
      <c r="G1554" t="s">
        <v>1670</v>
      </c>
      <c r="H1554">
        <v>40</v>
      </c>
      <c r="I1554">
        <v>4</v>
      </c>
      <c r="J1554">
        <v>336</v>
      </c>
      <c r="K1554">
        <v>341</v>
      </c>
      <c r="L1554" t="s">
        <v>13668</v>
      </c>
      <c r="M1554" t="s">
        <v>13669</v>
      </c>
      <c r="N1554" t="s">
        <v>13670</v>
      </c>
      <c r="O1554" t="s">
        <v>63</v>
      </c>
      <c r="Q1554" t="s">
        <v>63</v>
      </c>
      <c r="R1554" t="s">
        <v>63</v>
      </c>
      <c r="S1554" t="s">
        <v>63</v>
      </c>
      <c r="T1554" t="s">
        <v>63</v>
      </c>
      <c r="X1554" t="s">
        <v>63</v>
      </c>
      <c r="Y1554" t="s">
        <v>364</v>
      </c>
      <c r="Z1554" t="s">
        <v>63</v>
      </c>
      <c r="AA1554" t="s">
        <v>13671</v>
      </c>
      <c r="AB1554">
        <v>24809369</v>
      </c>
      <c r="AC1554" t="s">
        <v>67</v>
      </c>
      <c r="AD1554" t="s">
        <v>63</v>
      </c>
      <c r="AE1554" t="s">
        <v>63</v>
      </c>
      <c r="AF1554" t="s">
        <v>63</v>
      </c>
      <c r="AG1554" t="s">
        <v>13672</v>
      </c>
      <c r="AH1554" t="s">
        <v>63</v>
      </c>
      <c r="AI1554" t="s">
        <v>13673</v>
      </c>
      <c r="AJ1554" t="s">
        <v>63</v>
      </c>
      <c r="AK1554" t="s">
        <v>63</v>
      </c>
      <c r="AL1554" t="s">
        <v>63</v>
      </c>
      <c r="AM1554" t="s">
        <v>13674</v>
      </c>
      <c r="AN1554" t="s">
        <v>63</v>
      </c>
      <c r="AO1554" t="s">
        <v>63</v>
      </c>
      <c r="AP1554" t="s">
        <v>63</v>
      </c>
      <c r="AQ1554" t="s">
        <v>63</v>
      </c>
      <c r="AR1554" t="s">
        <v>63</v>
      </c>
      <c r="AS1554" t="s">
        <v>63</v>
      </c>
      <c r="AT1554" t="s">
        <v>63</v>
      </c>
      <c r="AU1554" t="s">
        <v>63</v>
      </c>
      <c r="AV1554" t="s">
        <v>63</v>
      </c>
      <c r="AW1554" t="s">
        <v>63</v>
      </c>
      <c r="AX1554" t="s">
        <v>63</v>
      </c>
      <c r="AY1554" t="s">
        <v>63</v>
      </c>
      <c r="AZ1554" t="s">
        <v>63</v>
      </c>
      <c r="BA1554" t="s">
        <v>63</v>
      </c>
      <c r="BB1554" t="s">
        <v>63</v>
      </c>
      <c r="BC1554" t="s">
        <v>63</v>
      </c>
      <c r="BD1554" t="s">
        <v>63</v>
      </c>
      <c r="BE1554" t="s">
        <v>63</v>
      </c>
      <c r="BF1554" t="s">
        <v>63</v>
      </c>
    </row>
    <row r="1555" spans="1:58">
      <c r="A1555" t="s">
        <v>58</v>
      </c>
      <c r="B1555" t="s">
        <v>13675</v>
      </c>
      <c r="C1555" t="s">
        <v>13676</v>
      </c>
      <c r="D1555" t="s">
        <v>1104</v>
      </c>
      <c r="E1555" t="s">
        <v>63</v>
      </c>
      <c r="F1555">
        <v>2017</v>
      </c>
      <c r="G1555" t="s">
        <v>326</v>
      </c>
      <c r="H1555">
        <v>20</v>
      </c>
      <c r="I1555">
        <v>2</v>
      </c>
      <c r="J1555" t="s">
        <v>13677</v>
      </c>
      <c r="K1555" t="s">
        <v>13678</v>
      </c>
      <c r="L1555" t="s">
        <v>13679</v>
      </c>
      <c r="M1555" t="s">
        <v>13680</v>
      </c>
      <c r="N1555" t="s">
        <v>13681</v>
      </c>
      <c r="O1555" t="s">
        <v>63</v>
      </c>
      <c r="Q1555" t="s">
        <v>63</v>
      </c>
      <c r="R1555" t="s">
        <v>63</v>
      </c>
      <c r="S1555" t="s">
        <v>63</v>
      </c>
      <c r="T1555" t="s">
        <v>63</v>
      </c>
      <c r="X1555" t="s">
        <v>63</v>
      </c>
      <c r="Y1555" t="s">
        <v>13682</v>
      </c>
      <c r="Z1555" t="s">
        <v>63</v>
      </c>
      <c r="AA1555" t="s">
        <v>13683</v>
      </c>
      <c r="AB1555">
        <v>28226336</v>
      </c>
      <c r="AC1555" t="s">
        <v>67</v>
      </c>
      <c r="AD1555" t="s">
        <v>63</v>
      </c>
      <c r="AE1555" t="s">
        <v>63</v>
      </c>
      <c r="AF1555" t="s">
        <v>63</v>
      </c>
      <c r="AG1555" t="s">
        <v>13684</v>
      </c>
      <c r="AH1555" t="s">
        <v>63</v>
      </c>
      <c r="AI1555" t="s">
        <v>63</v>
      </c>
      <c r="AJ1555" t="s">
        <v>63</v>
      </c>
      <c r="AK1555" t="s">
        <v>63</v>
      </c>
      <c r="AL1555" t="s">
        <v>63</v>
      </c>
      <c r="AM1555" t="s">
        <v>13685</v>
      </c>
      <c r="AN1555" t="s">
        <v>63</v>
      </c>
      <c r="AO1555" t="s">
        <v>63</v>
      </c>
      <c r="AP1555" t="s">
        <v>63</v>
      </c>
      <c r="AQ1555" t="s">
        <v>63</v>
      </c>
      <c r="AR1555" t="s">
        <v>63</v>
      </c>
      <c r="AS1555" t="s">
        <v>63</v>
      </c>
      <c r="AT1555" t="s">
        <v>63</v>
      </c>
      <c r="AU1555" t="s">
        <v>63</v>
      </c>
      <c r="AV1555" t="s">
        <v>63</v>
      </c>
      <c r="AW1555" t="s">
        <v>63</v>
      </c>
      <c r="AX1555" t="s">
        <v>63</v>
      </c>
      <c r="AY1555" t="s">
        <v>63</v>
      </c>
      <c r="AZ1555" t="s">
        <v>63</v>
      </c>
      <c r="BA1555" t="s">
        <v>63</v>
      </c>
      <c r="BB1555" t="s">
        <v>63</v>
      </c>
      <c r="BC1555" t="s">
        <v>63</v>
      </c>
      <c r="BD1555" t="s">
        <v>63</v>
      </c>
      <c r="BE1555" t="s">
        <v>63</v>
      </c>
      <c r="BF1555" t="s">
        <v>63</v>
      </c>
    </row>
    <row r="1556" spans="1:58">
      <c r="A1556" t="s">
        <v>58</v>
      </c>
      <c r="B1556" t="s">
        <v>13686</v>
      </c>
      <c r="C1556" t="s">
        <v>13687</v>
      </c>
      <c r="D1556" t="s">
        <v>13688</v>
      </c>
      <c r="E1556" t="s">
        <v>63</v>
      </c>
      <c r="F1556">
        <v>2015</v>
      </c>
      <c r="G1556" t="s">
        <v>338</v>
      </c>
      <c r="H1556">
        <v>26</v>
      </c>
      <c r="I1556">
        <v>2</v>
      </c>
      <c r="J1556">
        <v>131</v>
      </c>
      <c r="K1556">
        <v>140</v>
      </c>
      <c r="L1556" t="s">
        <v>13689</v>
      </c>
      <c r="M1556" t="s">
        <v>13690</v>
      </c>
      <c r="N1556" t="s">
        <v>13691</v>
      </c>
      <c r="O1556" t="s">
        <v>63</v>
      </c>
      <c r="Q1556" t="s">
        <v>63</v>
      </c>
      <c r="R1556" t="s">
        <v>63</v>
      </c>
      <c r="S1556" t="s">
        <v>63</v>
      </c>
      <c r="T1556" t="s">
        <v>63</v>
      </c>
      <c r="X1556" t="s">
        <v>63</v>
      </c>
      <c r="Y1556" t="s">
        <v>13692</v>
      </c>
      <c r="Z1556" t="s">
        <v>63</v>
      </c>
      <c r="AA1556" t="s">
        <v>13693</v>
      </c>
      <c r="AB1556">
        <v>26197102</v>
      </c>
      <c r="AC1556" t="s">
        <v>13694</v>
      </c>
      <c r="AD1556" t="s">
        <v>63</v>
      </c>
      <c r="AE1556" t="s">
        <v>63</v>
      </c>
      <c r="AF1556" t="s">
        <v>63</v>
      </c>
      <c r="AG1556" t="s">
        <v>13695</v>
      </c>
      <c r="AH1556" t="s">
        <v>63</v>
      </c>
      <c r="AI1556" t="s">
        <v>63</v>
      </c>
      <c r="AJ1556" t="s">
        <v>63</v>
      </c>
      <c r="AK1556" t="s">
        <v>63</v>
      </c>
      <c r="AL1556" t="s">
        <v>63</v>
      </c>
      <c r="AM1556" t="s">
        <v>13696</v>
      </c>
      <c r="AN1556" t="s">
        <v>63</v>
      </c>
      <c r="AO1556" t="s">
        <v>63</v>
      </c>
      <c r="AP1556" t="s">
        <v>63</v>
      </c>
      <c r="AQ1556" t="s">
        <v>63</v>
      </c>
      <c r="AR1556" t="s">
        <v>63</v>
      </c>
      <c r="AS1556" t="s">
        <v>63</v>
      </c>
      <c r="AT1556" t="s">
        <v>63</v>
      </c>
      <c r="AU1556" t="s">
        <v>63</v>
      </c>
      <c r="AV1556" t="s">
        <v>63</v>
      </c>
      <c r="AW1556" t="s">
        <v>63</v>
      </c>
      <c r="AX1556" t="s">
        <v>63</v>
      </c>
      <c r="AY1556" t="s">
        <v>63</v>
      </c>
      <c r="AZ1556" t="s">
        <v>63</v>
      </c>
      <c r="BA1556" t="s">
        <v>63</v>
      </c>
      <c r="BB1556" t="s">
        <v>63</v>
      </c>
      <c r="BC1556" t="s">
        <v>63</v>
      </c>
      <c r="BD1556" t="s">
        <v>63</v>
      </c>
      <c r="BE1556" t="s">
        <v>63</v>
      </c>
      <c r="BF1556" t="s">
        <v>63</v>
      </c>
    </row>
    <row r="1557" spans="1:58">
      <c r="A1557" t="s">
        <v>58</v>
      </c>
      <c r="B1557" t="s">
        <v>13697</v>
      </c>
      <c r="C1557" t="s">
        <v>13698</v>
      </c>
      <c r="D1557" t="s">
        <v>1212</v>
      </c>
      <c r="E1557" t="s">
        <v>63</v>
      </c>
      <c r="F1557">
        <v>2012</v>
      </c>
      <c r="G1557" t="s">
        <v>181</v>
      </c>
      <c r="H1557">
        <v>6</v>
      </c>
      <c r="I1557">
        <v>3</v>
      </c>
      <c r="J1557">
        <v>196</v>
      </c>
      <c r="K1557">
        <v>204</v>
      </c>
      <c r="L1557" t="s">
        <v>13699</v>
      </c>
      <c r="M1557" t="s">
        <v>13700</v>
      </c>
      <c r="N1557" t="s">
        <v>13701</v>
      </c>
      <c r="O1557" t="s">
        <v>63</v>
      </c>
      <c r="Q1557" t="s">
        <v>63</v>
      </c>
      <c r="R1557" t="s">
        <v>63</v>
      </c>
      <c r="S1557" t="s">
        <v>63</v>
      </c>
      <c r="T1557" t="s">
        <v>63</v>
      </c>
      <c r="X1557" t="s">
        <v>63</v>
      </c>
      <c r="Y1557" t="s">
        <v>1216</v>
      </c>
      <c r="Z1557" t="s">
        <v>63</v>
      </c>
      <c r="AA1557" t="s">
        <v>13702</v>
      </c>
      <c r="AB1557">
        <v>22864401</v>
      </c>
      <c r="AC1557" t="s">
        <v>67</v>
      </c>
      <c r="AD1557" t="s">
        <v>63</v>
      </c>
      <c r="AE1557" t="s">
        <v>63</v>
      </c>
      <c r="AF1557" t="s">
        <v>63</v>
      </c>
      <c r="AG1557" t="s">
        <v>13703</v>
      </c>
      <c r="AH1557" t="s">
        <v>63</v>
      </c>
      <c r="AI1557" t="s">
        <v>13704</v>
      </c>
      <c r="AJ1557" t="s">
        <v>63</v>
      </c>
      <c r="AK1557" t="s">
        <v>63</v>
      </c>
      <c r="AL1557" t="s">
        <v>63</v>
      </c>
      <c r="AM1557" t="s">
        <v>13705</v>
      </c>
      <c r="AN1557" t="s">
        <v>63</v>
      </c>
      <c r="AO1557" t="s">
        <v>63</v>
      </c>
      <c r="AP1557" t="s">
        <v>63</v>
      </c>
      <c r="AQ1557" t="s">
        <v>63</v>
      </c>
      <c r="AR1557" t="s">
        <v>63</v>
      </c>
      <c r="AS1557" t="s">
        <v>63</v>
      </c>
      <c r="AT1557" t="s">
        <v>63</v>
      </c>
      <c r="AU1557" t="s">
        <v>63</v>
      </c>
      <c r="AV1557" t="s">
        <v>63</v>
      </c>
      <c r="AW1557" t="s">
        <v>63</v>
      </c>
      <c r="AX1557" t="s">
        <v>63</v>
      </c>
      <c r="AY1557" t="s">
        <v>63</v>
      </c>
      <c r="AZ1557" t="s">
        <v>63</v>
      </c>
      <c r="BA1557" t="s">
        <v>63</v>
      </c>
      <c r="BB1557" t="s">
        <v>63</v>
      </c>
      <c r="BC1557" t="s">
        <v>63</v>
      </c>
      <c r="BD1557" t="s">
        <v>63</v>
      </c>
      <c r="BE1557" t="s">
        <v>63</v>
      </c>
      <c r="BF1557" t="s">
        <v>63</v>
      </c>
    </row>
    <row r="1558" spans="1:58">
      <c r="A1558" t="s">
        <v>58</v>
      </c>
      <c r="B1558" t="s">
        <v>13706</v>
      </c>
      <c r="C1558" t="s">
        <v>13707</v>
      </c>
      <c r="D1558" t="s">
        <v>2353</v>
      </c>
      <c r="E1558" t="s">
        <v>2354</v>
      </c>
      <c r="F1558">
        <v>2011</v>
      </c>
      <c r="G1558" t="s">
        <v>274</v>
      </c>
      <c r="H1558">
        <v>40</v>
      </c>
      <c r="I1558">
        <v>2</v>
      </c>
      <c r="J1558">
        <v>203</v>
      </c>
      <c r="K1558">
        <v>213</v>
      </c>
      <c r="L1558" t="s">
        <v>13708</v>
      </c>
      <c r="M1558" t="s">
        <v>13709</v>
      </c>
      <c r="N1558" t="s">
        <v>13710</v>
      </c>
      <c r="O1558" t="s">
        <v>63</v>
      </c>
      <c r="Q1558" t="s">
        <v>63</v>
      </c>
      <c r="R1558" t="s">
        <v>63</v>
      </c>
      <c r="S1558" t="s">
        <v>63</v>
      </c>
      <c r="T1558" t="s">
        <v>63</v>
      </c>
      <c r="X1558" t="s">
        <v>63</v>
      </c>
      <c r="Y1558" t="s">
        <v>8330</v>
      </c>
      <c r="Z1558" t="s">
        <v>63</v>
      </c>
      <c r="AA1558" t="s">
        <v>13711</v>
      </c>
      <c r="AB1558">
        <v>21094015</v>
      </c>
      <c r="AC1558" t="s">
        <v>67</v>
      </c>
      <c r="AD1558" t="s">
        <v>63</v>
      </c>
      <c r="AE1558" t="s">
        <v>63</v>
      </c>
      <c r="AF1558" t="s">
        <v>63</v>
      </c>
      <c r="AG1558" t="s">
        <v>13712</v>
      </c>
      <c r="AH1558" t="s">
        <v>63</v>
      </c>
      <c r="AI1558" t="s">
        <v>13713</v>
      </c>
      <c r="AJ1558" t="s">
        <v>63</v>
      </c>
      <c r="AK1558" t="s">
        <v>63</v>
      </c>
      <c r="AL1558" t="s">
        <v>63</v>
      </c>
      <c r="AM1558" t="s">
        <v>13714</v>
      </c>
      <c r="AN1558" t="s">
        <v>63</v>
      </c>
      <c r="AO1558" t="s">
        <v>63</v>
      </c>
      <c r="AP1558" t="s">
        <v>63</v>
      </c>
      <c r="AQ1558" t="s">
        <v>63</v>
      </c>
      <c r="AR1558" t="s">
        <v>63</v>
      </c>
      <c r="AS1558" t="s">
        <v>63</v>
      </c>
      <c r="AT1558" t="s">
        <v>63</v>
      </c>
      <c r="AU1558" t="s">
        <v>63</v>
      </c>
      <c r="AV1558" t="s">
        <v>63</v>
      </c>
      <c r="AW1558" t="s">
        <v>63</v>
      </c>
      <c r="AX1558" t="s">
        <v>63</v>
      </c>
      <c r="AY1558" t="s">
        <v>63</v>
      </c>
      <c r="AZ1558" t="s">
        <v>63</v>
      </c>
      <c r="BA1558" t="s">
        <v>63</v>
      </c>
      <c r="BB1558" t="s">
        <v>63</v>
      </c>
      <c r="BC1558" t="s">
        <v>63</v>
      </c>
      <c r="BD1558" t="s">
        <v>63</v>
      </c>
      <c r="BE1558" t="s">
        <v>63</v>
      </c>
      <c r="BF1558" t="s">
        <v>63</v>
      </c>
    </row>
    <row r="1559" spans="1:58">
      <c r="A1559" t="s">
        <v>58</v>
      </c>
      <c r="B1559" t="s">
        <v>13715</v>
      </c>
      <c r="C1559" t="s">
        <v>13716</v>
      </c>
      <c r="D1559" t="s">
        <v>389</v>
      </c>
      <c r="E1559" t="s">
        <v>63</v>
      </c>
      <c r="F1559">
        <v>2017</v>
      </c>
      <c r="G1559" t="s">
        <v>338</v>
      </c>
      <c r="H1559">
        <v>38</v>
      </c>
      <c r="I1559">
        <v>2</v>
      </c>
      <c r="J1559">
        <v>150</v>
      </c>
      <c r="K1559">
        <v>156</v>
      </c>
      <c r="L1559" t="s">
        <v>13717</v>
      </c>
      <c r="M1559" t="s">
        <v>13718</v>
      </c>
      <c r="N1559" t="s">
        <v>13719</v>
      </c>
      <c r="O1559" t="s">
        <v>63</v>
      </c>
      <c r="Q1559" t="s">
        <v>63</v>
      </c>
      <c r="R1559" t="s">
        <v>63</v>
      </c>
      <c r="S1559" t="s">
        <v>63</v>
      </c>
      <c r="T1559" t="s">
        <v>63</v>
      </c>
      <c r="X1559" t="s">
        <v>63</v>
      </c>
      <c r="Y1559" t="s">
        <v>556</v>
      </c>
      <c r="Z1559" t="s">
        <v>63</v>
      </c>
      <c r="AA1559" t="s">
        <v>13720</v>
      </c>
      <c r="AB1559">
        <v>28328306</v>
      </c>
      <c r="AC1559" t="s">
        <v>67</v>
      </c>
      <c r="AD1559" t="s">
        <v>63</v>
      </c>
      <c r="AE1559" t="s">
        <v>63</v>
      </c>
      <c r="AF1559" t="s">
        <v>63</v>
      </c>
      <c r="AG1559" t="s">
        <v>13721</v>
      </c>
      <c r="AH1559" t="s">
        <v>63</v>
      </c>
      <c r="AI1559" t="s">
        <v>13722</v>
      </c>
      <c r="AJ1559" t="s">
        <v>63</v>
      </c>
      <c r="AK1559" t="s">
        <v>63</v>
      </c>
      <c r="AL1559" t="s">
        <v>63</v>
      </c>
      <c r="AM1559" t="s">
        <v>13723</v>
      </c>
      <c r="AN1559" t="s">
        <v>63</v>
      </c>
      <c r="AO1559" t="s">
        <v>63</v>
      </c>
      <c r="AP1559" t="s">
        <v>63</v>
      </c>
      <c r="AQ1559" t="s">
        <v>63</v>
      </c>
      <c r="AR1559" t="s">
        <v>63</v>
      </c>
      <c r="AS1559" t="s">
        <v>63</v>
      </c>
      <c r="AT1559" t="s">
        <v>63</v>
      </c>
      <c r="AU1559" t="s">
        <v>63</v>
      </c>
      <c r="AV1559" t="s">
        <v>63</v>
      </c>
      <c r="AW1559" t="s">
        <v>63</v>
      </c>
      <c r="AX1559" t="s">
        <v>63</v>
      </c>
      <c r="AY1559" t="s">
        <v>63</v>
      </c>
      <c r="AZ1559" t="s">
        <v>63</v>
      </c>
      <c r="BA1559" t="s">
        <v>63</v>
      </c>
      <c r="BB1559" t="s">
        <v>63</v>
      </c>
      <c r="BC1559" t="s">
        <v>63</v>
      </c>
      <c r="BD1559" t="s">
        <v>63</v>
      </c>
      <c r="BE1559" t="s">
        <v>63</v>
      </c>
      <c r="BF1559" t="s">
        <v>63</v>
      </c>
    </row>
    <row r="1560" spans="1:58">
      <c r="A1560" t="s">
        <v>58</v>
      </c>
      <c r="B1560" t="s">
        <v>13724</v>
      </c>
      <c r="C1560" t="s">
        <v>13725</v>
      </c>
      <c r="D1560" t="s">
        <v>12475</v>
      </c>
      <c r="E1560" t="s">
        <v>63</v>
      </c>
      <c r="F1560">
        <v>2016</v>
      </c>
      <c r="G1560" t="s">
        <v>338</v>
      </c>
      <c r="H1560">
        <v>54</v>
      </c>
      <c r="I1560">
        <v>202</v>
      </c>
      <c r="J1560">
        <v>55</v>
      </c>
      <c r="K1560">
        <v>62</v>
      </c>
      <c r="L1560" t="s">
        <v>63</v>
      </c>
      <c r="M1560" t="s">
        <v>13726</v>
      </c>
      <c r="N1560" t="s">
        <v>13727</v>
      </c>
      <c r="O1560" t="s">
        <v>63</v>
      </c>
      <c r="Q1560" t="s">
        <v>63</v>
      </c>
      <c r="R1560" t="s">
        <v>63</v>
      </c>
      <c r="S1560" t="s">
        <v>63</v>
      </c>
      <c r="T1560" t="s">
        <v>63</v>
      </c>
      <c r="X1560" t="s">
        <v>63</v>
      </c>
      <c r="Y1560" t="s">
        <v>12479</v>
      </c>
      <c r="Z1560" t="s">
        <v>63</v>
      </c>
      <c r="AA1560" t="s">
        <v>13728</v>
      </c>
      <c r="AB1560">
        <v>27935924</v>
      </c>
      <c r="AC1560" t="s">
        <v>67</v>
      </c>
      <c r="AD1560" t="s">
        <v>63</v>
      </c>
      <c r="AE1560" t="s">
        <v>63</v>
      </c>
      <c r="AF1560" t="s">
        <v>63</v>
      </c>
      <c r="AG1560" t="s">
        <v>13729</v>
      </c>
      <c r="AH1560" t="s">
        <v>63</v>
      </c>
      <c r="AI1560" t="s">
        <v>63</v>
      </c>
      <c r="AJ1560" t="s">
        <v>63</v>
      </c>
      <c r="AK1560" t="s">
        <v>63</v>
      </c>
      <c r="AL1560" t="s">
        <v>63</v>
      </c>
      <c r="AM1560" t="s">
        <v>13730</v>
      </c>
      <c r="AN1560" t="s">
        <v>63</v>
      </c>
      <c r="AO1560" t="s">
        <v>63</v>
      </c>
      <c r="AP1560" t="s">
        <v>63</v>
      </c>
      <c r="AQ1560" t="s">
        <v>63</v>
      </c>
      <c r="AR1560" t="s">
        <v>63</v>
      </c>
      <c r="AS1560" t="s">
        <v>63</v>
      </c>
      <c r="AT1560" t="s">
        <v>63</v>
      </c>
      <c r="AU1560" t="s">
        <v>63</v>
      </c>
      <c r="AV1560" t="s">
        <v>63</v>
      </c>
      <c r="AW1560" t="s">
        <v>63</v>
      </c>
      <c r="AX1560" t="s">
        <v>63</v>
      </c>
      <c r="AY1560" t="s">
        <v>63</v>
      </c>
      <c r="AZ1560" t="s">
        <v>63</v>
      </c>
      <c r="BA1560" t="s">
        <v>63</v>
      </c>
      <c r="BB1560" t="s">
        <v>63</v>
      </c>
      <c r="BC1560" t="s">
        <v>63</v>
      </c>
      <c r="BD1560" t="s">
        <v>63</v>
      </c>
      <c r="BE1560" t="s">
        <v>63</v>
      </c>
      <c r="BF1560" t="s">
        <v>63</v>
      </c>
    </row>
    <row r="1561" spans="1:58">
      <c r="A1561" t="s">
        <v>58</v>
      </c>
      <c r="B1561" t="s">
        <v>13731</v>
      </c>
      <c r="C1561" t="s">
        <v>13732</v>
      </c>
      <c r="D1561" t="s">
        <v>13733</v>
      </c>
      <c r="E1561" t="s">
        <v>63</v>
      </c>
      <c r="F1561">
        <v>2014</v>
      </c>
      <c r="G1561" t="s">
        <v>63</v>
      </c>
      <c r="H1561">
        <v>7</v>
      </c>
      <c r="I1561">
        <v>9</v>
      </c>
      <c r="J1561">
        <v>2763</v>
      </c>
      <c r="K1561">
        <v>2770</v>
      </c>
      <c r="L1561" t="s">
        <v>63</v>
      </c>
      <c r="M1561" t="s">
        <v>13734</v>
      </c>
      <c r="N1561" t="s">
        <v>13735</v>
      </c>
      <c r="O1561" t="s">
        <v>63</v>
      </c>
      <c r="Q1561" t="s">
        <v>63</v>
      </c>
      <c r="R1561" t="s">
        <v>63</v>
      </c>
      <c r="S1561" t="s">
        <v>63</v>
      </c>
      <c r="T1561" t="s">
        <v>63</v>
      </c>
      <c r="X1561" t="s">
        <v>63</v>
      </c>
      <c r="Y1561" t="s">
        <v>13736</v>
      </c>
      <c r="Z1561" t="s">
        <v>63</v>
      </c>
      <c r="AA1561" t="s">
        <v>13737</v>
      </c>
      <c r="AB1561">
        <v>25356137</v>
      </c>
      <c r="AC1561" t="s">
        <v>67</v>
      </c>
      <c r="AD1561" t="s">
        <v>63</v>
      </c>
      <c r="AE1561" t="s">
        <v>63</v>
      </c>
      <c r="AF1561" t="s">
        <v>63</v>
      </c>
      <c r="AG1561" t="s">
        <v>13738</v>
      </c>
      <c r="AH1561" t="s">
        <v>63</v>
      </c>
      <c r="AI1561" t="s">
        <v>63</v>
      </c>
      <c r="AJ1561" t="s">
        <v>63</v>
      </c>
      <c r="AK1561" t="s">
        <v>63</v>
      </c>
      <c r="AL1561" t="s">
        <v>63</v>
      </c>
      <c r="AM1561" t="s">
        <v>13739</v>
      </c>
      <c r="AN1561" t="s">
        <v>63</v>
      </c>
      <c r="AO1561" t="s">
        <v>63</v>
      </c>
      <c r="AP1561" t="s">
        <v>63</v>
      </c>
      <c r="AQ1561" t="s">
        <v>63</v>
      </c>
      <c r="AR1561" t="s">
        <v>63</v>
      </c>
      <c r="AS1561" t="s">
        <v>63</v>
      </c>
      <c r="AT1561" t="s">
        <v>63</v>
      </c>
      <c r="AU1561" t="s">
        <v>63</v>
      </c>
      <c r="AV1561" t="s">
        <v>63</v>
      </c>
      <c r="AW1561" t="s">
        <v>63</v>
      </c>
      <c r="AX1561" t="s">
        <v>63</v>
      </c>
      <c r="AY1561" t="s">
        <v>63</v>
      </c>
      <c r="AZ1561" t="s">
        <v>63</v>
      </c>
      <c r="BA1561" t="s">
        <v>63</v>
      </c>
      <c r="BB1561" t="s">
        <v>63</v>
      </c>
      <c r="BC1561" t="s">
        <v>63</v>
      </c>
      <c r="BD1561" t="s">
        <v>63</v>
      </c>
      <c r="BE1561" t="s">
        <v>63</v>
      </c>
      <c r="BF1561" t="s">
        <v>63</v>
      </c>
    </row>
    <row r="1562" spans="1:58">
      <c r="A1562" t="s">
        <v>58</v>
      </c>
      <c r="B1562" t="s">
        <v>13740</v>
      </c>
      <c r="C1562" t="s">
        <v>13741</v>
      </c>
      <c r="D1562" t="s">
        <v>3142</v>
      </c>
      <c r="E1562" t="s">
        <v>3143</v>
      </c>
      <c r="F1562">
        <v>2005</v>
      </c>
      <c r="G1562" t="s">
        <v>13742</v>
      </c>
      <c r="H1562">
        <v>165</v>
      </c>
      <c r="I1562">
        <v>15</v>
      </c>
      <c r="J1562">
        <v>1769</v>
      </c>
      <c r="K1562">
        <v>1776</v>
      </c>
      <c r="L1562" t="s">
        <v>13743</v>
      </c>
      <c r="M1562" t="s">
        <v>13744</v>
      </c>
      <c r="N1562" t="s">
        <v>13745</v>
      </c>
      <c r="O1562" t="s">
        <v>63</v>
      </c>
      <c r="Q1562" t="s">
        <v>63</v>
      </c>
      <c r="R1562" t="s">
        <v>63</v>
      </c>
      <c r="S1562" t="s">
        <v>63</v>
      </c>
      <c r="T1562" t="s">
        <v>63</v>
      </c>
      <c r="X1562" t="s">
        <v>63</v>
      </c>
      <c r="Y1562" s="2">
        <v>2930035</v>
      </c>
      <c r="Z1562" t="s">
        <v>63</v>
      </c>
      <c r="AA1562" t="s">
        <v>13746</v>
      </c>
      <c r="AB1562">
        <v>16087826</v>
      </c>
      <c r="AC1562" t="s">
        <v>67</v>
      </c>
      <c r="AD1562" t="s">
        <v>63</v>
      </c>
      <c r="AE1562" t="s">
        <v>63</v>
      </c>
      <c r="AF1562" t="s">
        <v>63</v>
      </c>
      <c r="AG1562" t="s">
        <v>13747</v>
      </c>
      <c r="AH1562" t="s">
        <v>63</v>
      </c>
      <c r="AI1562" t="s">
        <v>63</v>
      </c>
      <c r="AJ1562" t="s">
        <v>63</v>
      </c>
      <c r="AK1562" t="s">
        <v>63</v>
      </c>
      <c r="AL1562" t="s">
        <v>63</v>
      </c>
      <c r="AM1562" t="s">
        <v>13748</v>
      </c>
      <c r="AN1562" t="s">
        <v>63</v>
      </c>
      <c r="AO1562" t="s">
        <v>63</v>
      </c>
      <c r="AP1562" t="s">
        <v>63</v>
      </c>
      <c r="AQ1562" t="s">
        <v>63</v>
      </c>
      <c r="AR1562" t="s">
        <v>63</v>
      </c>
      <c r="AS1562" t="s">
        <v>63</v>
      </c>
      <c r="AT1562" t="s">
        <v>63</v>
      </c>
      <c r="AU1562" t="s">
        <v>63</v>
      </c>
      <c r="AV1562" t="s">
        <v>63</v>
      </c>
      <c r="AW1562" t="s">
        <v>63</v>
      </c>
      <c r="AX1562" t="s">
        <v>63</v>
      </c>
      <c r="AY1562" t="s">
        <v>63</v>
      </c>
      <c r="AZ1562" t="s">
        <v>63</v>
      </c>
      <c r="BA1562" t="s">
        <v>63</v>
      </c>
      <c r="BB1562" t="s">
        <v>63</v>
      </c>
      <c r="BC1562" t="s">
        <v>63</v>
      </c>
      <c r="BD1562" t="s">
        <v>63</v>
      </c>
      <c r="BE1562" t="s">
        <v>63</v>
      </c>
      <c r="BF1562" t="s">
        <v>63</v>
      </c>
    </row>
    <row r="1563" spans="1:58">
      <c r="A1563" t="s">
        <v>58</v>
      </c>
      <c r="B1563" t="s">
        <v>13749</v>
      </c>
      <c r="C1563" t="s">
        <v>13750</v>
      </c>
      <c r="D1563" t="s">
        <v>2788</v>
      </c>
      <c r="E1563" t="s">
        <v>63</v>
      </c>
      <c r="F1563">
        <v>2014</v>
      </c>
      <c r="G1563" t="s">
        <v>1717</v>
      </c>
      <c r="H1563">
        <v>71</v>
      </c>
      <c r="I1563">
        <v>6</v>
      </c>
      <c r="J1563">
        <v>892</v>
      </c>
      <c r="K1563">
        <v>895</v>
      </c>
      <c r="L1563" t="s">
        <v>13751</v>
      </c>
      <c r="M1563" t="s">
        <v>13752</v>
      </c>
      <c r="N1563" t="s">
        <v>13753</v>
      </c>
      <c r="O1563" t="s">
        <v>63</v>
      </c>
      <c r="Q1563" t="s">
        <v>63</v>
      </c>
      <c r="R1563" t="s">
        <v>63</v>
      </c>
      <c r="S1563" t="s">
        <v>63</v>
      </c>
      <c r="T1563" t="s">
        <v>63</v>
      </c>
      <c r="X1563" t="s">
        <v>63</v>
      </c>
      <c r="Y1563" t="s">
        <v>2792</v>
      </c>
      <c r="Z1563" t="s">
        <v>63</v>
      </c>
      <c r="AA1563" t="s">
        <v>13754</v>
      </c>
      <c r="AB1563">
        <v>24818539</v>
      </c>
      <c r="AC1563" t="s">
        <v>67</v>
      </c>
      <c r="AD1563" t="s">
        <v>63</v>
      </c>
      <c r="AE1563" t="s">
        <v>63</v>
      </c>
      <c r="AF1563" t="s">
        <v>63</v>
      </c>
      <c r="AG1563" t="s">
        <v>13755</v>
      </c>
      <c r="AH1563" t="s">
        <v>63</v>
      </c>
      <c r="AI1563" t="s">
        <v>13756</v>
      </c>
      <c r="AJ1563" t="s">
        <v>63</v>
      </c>
      <c r="AK1563" t="s">
        <v>63</v>
      </c>
      <c r="AL1563" t="s">
        <v>63</v>
      </c>
      <c r="AM1563" t="s">
        <v>13757</v>
      </c>
      <c r="AN1563" t="s">
        <v>63</v>
      </c>
      <c r="AO1563" t="s">
        <v>63</v>
      </c>
      <c r="AP1563" t="s">
        <v>63</v>
      </c>
      <c r="AQ1563" t="s">
        <v>63</v>
      </c>
      <c r="AR1563" t="s">
        <v>63</v>
      </c>
      <c r="AS1563" t="s">
        <v>63</v>
      </c>
      <c r="AT1563" t="s">
        <v>63</v>
      </c>
      <c r="AU1563" t="s">
        <v>63</v>
      </c>
      <c r="AV1563" t="s">
        <v>63</v>
      </c>
      <c r="AW1563" t="s">
        <v>63</v>
      </c>
      <c r="AX1563" t="s">
        <v>63</v>
      </c>
      <c r="AY1563" t="s">
        <v>63</v>
      </c>
      <c r="AZ1563" t="s">
        <v>63</v>
      </c>
      <c r="BA1563" t="s">
        <v>63</v>
      </c>
      <c r="BB1563" t="s">
        <v>63</v>
      </c>
      <c r="BC1563" t="s">
        <v>63</v>
      </c>
      <c r="BD1563" t="s">
        <v>63</v>
      </c>
      <c r="BE1563" t="s">
        <v>63</v>
      </c>
      <c r="BF1563" t="s">
        <v>63</v>
      </c>
    </row>
    <row r="1564" spans="1:58">
      <c r="A1564" t="s">
        <v>58</v>
      </c>
      <c r="B1564" t="s">
        <v>13758</v>
      </c>
      <c r="C1564" t="s">
        <v>13759</v>
      </c>
      <c r="D1564" t="s">
        <v>6824</v>
      </c>
      <c r="E1564" t="s">
        <v>6825</v>
      </c>
      <c r="F1564">
        <v>2007</v>
      </c>
      <c r="G1564" t="s">
        <v>326</v>
      </c>
      <c r="H1564">
        <v>16</v>
      </c>
      <c r="I1564">
        <v>1</v>
      </c>
      <c r="J1564">
        <v>15</v>
      </c>
      <c r="K1564">
        <v>21</v>
      </c>
      <c r="L1564" t="s">
        <v>13760</v>
      </c>
      <c r="M1564" t="s">
        <v>13761</v>
      </c>
      <c r="N1564" t="s">
        <v>13762</v>
      </c>
      <c r="O1564" t="s">
        <v>63</v>
      </c>
      <c r="Q1564" t="s">
        <v>63</v>
      </c>
      <c r="R1564" t="s">
        <v>63</v>
      </c>
      <c r="S1564" t="s">
        <v>63</v>
      </c>
      <c r="T1564" t="s">
        <v>63</v>
      </c>
      <c r="X1564" t="s">
        <v>63</v>
      </c>
      <c r="Y1564" t="s">
        <v>6828</v>
      </c>
      <c r="Z1564" t="s">
        <v>63</v>
      </c>
      <c r="AA1564" t="s">
        <v>13763</v>
      </c>
      <c r="AB1564">
        <v>17297068</v>
      </c>
      <c r="AC1564" t="s">
        <v>67</v>
      </c>
      <c r="AD1564" t="s">
        <v>63</v>
      </c>
      <c r="AE1564" t="s">
        <v>63</v>
      </c>
      <c r="AF1564" t="s">
        <v>63</v>
      </c>
      <c r="AG1564" t="s">
        <v>13764</v>
      </c>
      <c r="AH1564" t="s">
        <v>63</v>
      </c>
      <c r="AI1564" t="s">
        <v>63</v>
      </c>
      <c r="AJ1564" t="s">
        <v>63</v>
      </c>
      <c r="AK1564" t="s">
        <v>63</v>
      </c>
      <c r="AL1564" t="s">
        <v>63</v>
      </c>
      <c r="AM1564" t="s">
        <v>13765</v>
      </c>
      <c r="AN1564" t="s">
        <v>63</v>
      </c>
      <c r="AO1564" t="s">
        <v>63</v>
      </c>
      <c r="AP1564" t="s">
        <v>63</v>
      </c>
      <c r="AQ1564" t="s">
        <v>63</v>
      </c>
      <c r="AR1564" t="s">
        <v>63</v>
      </c>
      <c r="AS1564" t="s">
        <v>63</v>
      </c>
      <c r="AT1564" t="s">
        <v>63</v>
      </c>
      <c r="AU1564" t="s">
        <v>63</v>
      </c>
      <c r="AV1564" t="s">
        <v>63</v>
      </c>
      <c r="AW1564" t="s">
        <v>63</v>
      </c>
      <c r="AX1564" t="s">
        <v>63</v>
      </c>
      <c r="AY1564" t="s">
        <v>63</v>
      </c>
      <c r="AZ1564" t="s">
        <v>63</v>
      </c>
      <c r="BA1564" t="s">
        <v>63</v>
      </c>
      <c r="BB1564" t="s">
        <v>63</v>
      </c>
      <c r="BC1564" t="s">
        <v>63</v>
      </c>
      <c r="BD1564" t="s">
        <v>63</v>
      </c>
      <c r="BE1564" t="s">
        <v>63</v>
      </c>
      <c r="BF1564" t="s">
        <v>63</v>
      </c>
    </row>
    <row r="1565" spans="1:58">
      <c r="A1565" t="s">
        <v>58</v>
      </c>
      <c r="B1565" t="s">
        <v>13758</v>
      </c>
      <c r="C1565" t="s">
        <v>13766</v>
      </c>
      <c r="D1565" t="s">
        <v>13767</v>
      </c>
      <c r="E1565" t="s">
        <v>13768</v>
      </c>
      <c r="F1565">
        <v>2005</v>
      </c>
      <c r="G1565" t="s">
        <v>84</v>
      </c>
      <c r="H1565">
        <v>15</v>
      </c>
      <c r="I1565">
        <v>2</v>
      </c>
      <c r="J1565">
        <v>140</v>
      </c>
      <c r="K1565">
        <v>145</v>
      </c>
      <c r="L1565" t="s">
        <v>13769</v>
      </c>
      <c r="M1565" t="s">
        <v>13770</v>
      </c>
      <c r="N1565" t="s">
        <v>13771</v>
      </c>
      <c r="O1565" t="s">
        <v>63</v>
      </c>
      <c r="Q1565" t="s">
        <v>63</v>
      </c>
      <c r="R1565" t="s">
        <v>63</v>
      </c>
      <c r="S1565" t="s">
        <v>63</v>
      </c>
      <c r="T1565" t="s">
        <v>63</v>
      </c>
      <c r="X1565" t="s">
        <v>63</v>
      </c>
      <c r="Y1565" t="s">
        <v>13772</v>
      </c>
      <c r="Z1565" t="s">
        <v>63</v>
      </c>
      <c r="AA1565" t="s">
        <v>13773</v>
      </c>
      <c r="AB1565">
        <v>15941758</v>
      </c>
      <c r="AC1565" t="s">
        <v>67</v>
      </c>
      <c r="AD1565" t="s">
        <v>63</v>
      </c>
      <c r="AE1565" t="s">
        <v>63</v>
      </c>
      <c r="AF1565" t="s">
        <v>63</v>
      </c>
      <c r="AG1565" t="s">
        <v>13774</v>
      </c>
      <c r="AH1565" t="s">
        <v>63</v>
      </c>
      <c r="AI1565" t="s">
        <v>63</v>
      </c>
      <c r="AJ1565" t="s">
        <v>63</v>
      </c>
      <c r="AK1565" t="s">
        <v>63</v>
      </c>
      <c r="AL1565" t="s">
        <v>63</v>
      </c>
      <c r="AM1565" t="s">
        <v>13775</v>
      </c>
      <c r="AN1565" t="s">
        <v>63</v>
      </c>
      <c r="AO1565" t="s">
        <v>63</v>
      </c>
      <c r="AP1565" t="s">
        <v>63</v>
      </c>
      <c r="AQ1565" t="s">
        <v>63</v>
      </c>
      <c r="AR1565" t="s">
        <v>63</v>
      </c>
      <c r="AS1565" t="s">
        <v>63</v>
      </c>
      <c r="AT1565" t="s">
        <v>63</v>
      </c>
      <c r="AU1565" t="s">
        <v>63</v>
      </c>
      <c r="AV1565" t="s">
        <v>63</v>
      </c>
      <c r="AW1565" t="s">
        <v>63</v>
      </c>
      <c r="AX1565" t="s">
        <v>63</v>
      </c>
      <c r="AY1565" t="s">
        <v>63</v>
      </c>
      <c r="AZ1565" t="s">
        <v>63</v>
      </c>
      <c r="BA1565" t="s">
        <v>63</v>
      </c>
      <c r="BB1565" t="s">
        <v>63</v>
      </c>
      <c r="BC1565" t="s">
        <v>63</v>
      </c>
      <c r="BD1565" t="s">
        <v>63</v>
      </c>
      <c r="BE1565" t="s">
        <v>63</v>
      </c>
      <c r="BF1565" t="s">
        <v>63</v>
      </c>
    </row>
    <row r="1566" spans="1:58">
      <c r="A1566" t="s">
        <v>58</v>
      </c>
      <c r="B1566" t="s">
        <v>13776</v>
      </c>
      <c r="C1566" t="s">
        <v>13777</v>
      </c>
      <c r="D1566" t="s">
        <v>389</v>
      </c>
      <c r="E1566" t="s">
        <v>63</v>
      </c>
      <c r="F1566">
        <v>2008</v>
      </c>
      <c r="G1566" t="s">
        <v>63</v>
      </c>
      <c r="H1566">
        <v>29</v>
      </c>
      <c r="I1566">
        <v>3</v>
      </c>
      <c r="J1566">
        <v>95</v>
      </c>
      <c r="K1566">
        <v>102</v>
      </c>
      <c r="L1566" t="s">
        <v>13778</v>
      </c>
      <c r="M1566" t="s">
        <v>13779</v>
      </c>
      <c r="N1566" t="s">
        <v>13780</v>
      </c>
      <c r="O1566" t="s">
        <v>63</v>
      </c>
      <c r="Q1566" t="s">
        <v>63</v>
      </c>
      <c r="R1566" t="s">
        <v>63</v>
      </c>
      <c r="S1566" t="s">
        <v>63</v>
      </c>
      <c r="T1566" t="s">
        <v>63</v>
      </c>
      <c r="X1566" t="s">
        <v>63</v>
      </c>
      <c r="Y1566" t="s">
        <v>392</v>
      </c>
      <c r="Z1566" t="s">
        <v>63</v>
      </c>
      <c r="AA1566" t="s">
        <v>13781</v>
      </c>
      <c r="AB1566">
        <v>19042211</v>
      </c>
      <c r="AC1566" t="s">
        <v>67</v>
      </c>
      <c r="AD1566" t="s">
        <v>63</v>
      </c>
      <c r="AE1566" t="s">
        <v>63</v>
      </c>
      <c r="AF1566" t="s">
        <v>63</v>
      </c>
      <c r="AG1566" t="s">
        <v>13782</v>
      </c>
      <c r="AH1566" t="s">
        <v>63</v>
      </c>
      <c r="AI1566" t="s">
        <v>13783</v>
      </c>
      <c r="AJ1566" t="s">
        <v>63</v>
      </c>
      <c r="AK1566" t="s">
        <v>63</v>
      </c>
      <c r="AL1566" t="s">
        <v>63</v>
      </c>
      <c r="AM1566" t="s">
        <v>13784</v>
      </c>
      <c r="AN1566" t="s">
        <v>63</v>
      </c>
      <c r="AO1566" t="s">
        <v>63</v>
      </c>
      <c r="AP1566" t="s">
        <v>63</v>
      </c>
      <c r="AQ1566" t="s">
        <v>63</v>
      </c>
      <c r="AR1566" t="s">
        <v>63</v>
      </c>
      <c r="AS1566" t="s">
        <v>63</v>
      </c>
      <c r="AT1566" t="s">
        <v>63</v>
      </c>
      <c r="AU1566" t="s">
        <v>63</v>
      </c>
      <c r="AV1566" t="s">
        <v>63</v>
      </c>
      <c r="AW1566" t="s">
        <v>63</v>
      </c>
      <c r="AX1566" t="s">
        <v>63</v>
      </c>
      <c r="AY1566" t="s">
        <v>63</v>
      </c>
      <c r="AZ1566" t="s">
        <v>63</v>
      </c>
      <c r="BA1566" t="s">
        <v>63</v>
      </c>
      <c r="BB1566" t="s">
        <v>63</v>
      </c>
      <c r="BC1566" t="s">
        <v>63</v>
      </c>
      <c r="BD1566" t="s">
        <v>63</v>
      </c>
      <c r="BE1566" t="s">
        <v>63</v>
      </c>
      <c r="BF1566" t="s">
        <v>63</v>
      </c>
    </row>
    <row r="1567" spans="1:58">
      <c r="A1567" t="s">
        <v>58</v>
      </c>
      <c r="B1567" t="s">
        <v>13785</v>
      </c>
      <c r="C1567" t="s">
        <v>13786</v>
      </c>
      <c r="D1567" t="s">
        <v>711</v>
      </c>
      <c r="E1567" t="s">
        <v>712</v>
      </c>
      <c r="F1567">
        <v>2011</v>
      </c>
      <c r="G1567" t="s">
        <v>157</v>
      </c>
      <c r="H1567">
        <v>136</v>
      </c>
      <c r="I1567">
        <v>49</v>
      </c>
      <c r="J1567">
        <v>2537</v>
      </c>
      <c r="K1567">
        <v>2541</v>
      </c>
      <c r="L1567" t="s">
        <v>13787</v>
      </c>
      <c r="M1567" t="s">
        <v>13788</v>
      </c>
      <c r="N1567" t="s">
        <v>13789</v>
      </c>
      <c r="O1567" t="s">
        <v>63</v>
      </c>
      <c r="Q1567" t="s">
        <v>63</v>
      </c>
      <c r="R1567" t="s">
        <v>63</v>
      </c>
      <c r="S1567" t="s">
        <v>63</v>
      </c>
      <c r="T1567" t="s">
        <v>63</v>
      </c>
      <c r="X1567" t="s">
        <v>63</v>
      </c>
      <c r="Y1567" t="s">
        <v>716</v>
      </c>
      <c r="Z1567" t="s">
        <v>63</v>
      </c>
      <c r="AA1567" t="s">
        <v>13790</v>
      </c>
      <c r="AB1567">
        <v>22131073</v>
      </c>
      <c r="AC1567" t="s">
        <v>102</v>
      </c>
      <c r="AD1567" t="s">
        <v>63</v>
      </c>
      <c r="AE1567" t="s">
        <v>63</v>
      </c>
      <c r="AF1567" t="s">
        <v>63</v>
      </c>
      <c r="AG1567" t="s">
        <v>13791</v>
      </c>
      <c r="AH1567" t="s">
        <v>63</v>
      </c>
      <c r="AI1567" t="s">
        <v>13792</v>
      </c>
      <c r="AJ1567" t="s">
        <v>63</v>
      </c>
      <c r="AK1567" t="s">
        <v>63</v>
      </c>
      <c r="AL1567" t="s">
        <v>63</v>
      </c>
      <c r="AM1567" t="s">
        <v>13793</v>
      </c>
      <c r="AN1567" t="s">
        <v>63</v>
      </c>
      <c r="AO1567" t="s">
        <v>63</v>
      </c>
      <c r="AP1567" t="s">
        <v>63</v>
      </c>
      <c r="AQ1567" t="s">
        <v>63</v>
      </c>
      <c r="AR1567" t="s">
        <v>63</v>
      </c>
      <c r="AS1567" t="s">
        <v>63</v>
      </c>
      <c r="AT1567" t="s">
        <v>63</v>
      </c>
      <c r="AU1567" t="s">
        <v>63</v>
      </c>
      <c r="AV1567" t="s">
        <v>63</v>
      </c>
      <c r="AW1567" t="s">
        <v>63</v>
      </c>
      <c r="AX1567" t="s">
        <v>63</v>
      </c>
      <c r="AY1567" t="s">
        <v>63</v>
      </c>
      <c r="AZ1567" t="s">
        <v>63</v>
      </c>
      <c r="BA1567" t="s">
        <v>63</v>
      </c>
      <c r="BB1567" t="s">
        <v>63</v>
      </c>
      <c r="BC1567" t="s">
        <v>63</v>
      </c>
      <c r="BD1567" t="s">
        <v>63</v>
      </c>
      <c r="BE1567" t="s">
        <v>63</v>
      </c>
      <c r="BF1567" t="s">
        <v>63</v>
      </c>
    </row>
    <row r="1568" spans="1:58">
      <c r="A1568" t="s">
        <v>58</v>
      </c>
      <c r="B1568" t="s">
        <v>13794</v>
      </c>
      <c r="C1568" t="s">
        <v>13795</v>
      </c>
      <c r="D1568" t="s">
        <v>5436</v>
      </c>
      <c r="E1568" t="s">
        <v>63</v>
      </c>
      <c r="F1568">
        <v>2006</v>
      </c>
      <c r="G1568" t="s">
        <v>138</v>
      </c>
      <c r="H1568">
        <v>63</v>
      </c>
      <c r="I1568" s="1">
        <v>41640</v>
      </c>
      <c r="J1568">
        <v>232</v>
      </c>
      <c r="K1568">
        <v>238</v>
      </c>
      <c r="L1568" t="s">
        <v>13796</v>
      </c>
      <c r="M1568" t="s">
        <v>13797</v>
      </c>
      <c r="N1568" t="s">
        <v>13798</v>
      </c>
      <c r="O1568" t="s">
        <v>63</v>
      </c>
      <c r="Q1568" t="s">
        <v>63</v>
      </c>
      <c r="R1568" t="s">
        <v>63</v>
      </c>
      <c r="S1568" t="s">
        <v>63</v>
      </c>
      <c r="T1568" t="s">
        <v>63</v>
      </c>
      <c r="X1568" t="s">
        <v>63</v>
      </c>
      <c r="Y1568" t="s">
        <v>13799</v>
      </c>
      <c r="Z1568" t="s">
        <v>63</v>
      </c>
      <c r="AA1568" t="s">
        <v>13800</v>
      </c>
      <c r="AB1568">
        <v>16531000</v>
      </c>
      <c r="AC1568" t="s">
        <v>67</v>
      </c>
      <c r="AD1568" t="s">
        <v>63</v>
      </c>
      <c r="AE1568" t="s">
        <v>63</v>
      </c>
      <c r="AF1568" t="s">
        <v>63</v>
      </c>
      <c r="AG1568" t="s">
        <v>13801</v>
      </c>
      <c r="AH1568" t="s">
        <v>63</v>
      </c>
      <c r="AI1568" t="s">
        <v>63</v>
      </c>
      <c r="AJ1568" t="s">
        <v>63</v>
      </c>
      <c r="AK1568" t="s">
        <v>63</v>
      </c>
      <c r="AL1568" t="s">
        <v>63</v>
      </c>
      <c r="AM1568" t="s">
        <v>13802</v>
      </c>
      <c r="AN1568" t="s">
        <v>63</v>
      </c>
      <c r="AO1568" t="s">
        <v>63</v>
      </c>
      <c r="AP1568" t="s">
        <v>63</v>
      </c>
      <c r="AQ1568" t="s">
        <v>63</v>
      </c>
      <c r="AR1568" t="s">
        <v>63</v>
      </c>
      <c r="AS1568" t="s">
        <v>63</v>
      </c>
      <c r="AT1568" t="s">
        <v>63</v>
      </c>
      <c r="AU1568" t="s">
        <v>63</v>
      </c>
      <c r="AV1568" t="s">
        <v>63</v>
      </c>
      <c r="AW1568" t="s">
        <v>63</v>
      </c>
      <c r="AX1568" t="s">
        <v>63</v>
      </c>
      <c r="AY1568" t="s">
        <v>63</v>
      </c>
      <c r="AZ1568" t="s">
        <v>63</v>
      </c>
      <c r="BA1568" t="s">
        <v>63</v>
      </c>
      <c r="BB1568" t="s">
        <v>63</v>
      </c>
      <c r="BC1568" t="s">
        <v>63</v>
      </c>
      <c r="BD1568" t="s">
        <v>63</v>
      </c>
      <c r="BE1568" t="s">
        <v>63</v>
      </c>
      <c r="BF1568" t="s">
        <v>63</v>
      </c>
    </row>
    <row r="1569" spans="1:58">
      <c r="A1569" t="s">
        <v>58</v>
      </c>
      <c r="B1569" t="s">
        <v>13803</v>
      </c>
      <c r="C1569" t="s">
        <v>13804</v>
      </c>
      <c r="D1569" t="s">
        <v>7598</v>
      </c>
      <c r="E1569" t="s">
        <v>7599</v>
      </c>
      <c r="F1569">
        <v>2018</v>
      </c>
      <c r="G1569" t="s">
        <v>326</v>
      </c>
      <c r="H1569">
        <v>113</v>
      </c>
      <c r="I1569">
        <v>2</v>
      </c>
      <c r="J1569">
        <v>195</v>
      </c>
      <c r="K1569" t="s">
        <v>63</v>
      </c>
      <c r="L1569" t="s">
        <v>63</v>
      </c>
      <c r="M1569" t="s">
        <v>63</v>
      </c>
      <c r="N1569" t="s">
        <v>13805</v>
      </c>
      <c r="O1569" t="s">
        <v>63</v>
      </c>
      <c r="Q1569" t="s">
        <v>63</v>
      </c>
      <c r="R1569" t="s">
        <v>63</v>
      </c>
      <c r="S1569" t="s">
        <v>63</v>
      </c>
      <c r="T1569" t="s">
        <v>63</v>
      </c>
      <c r="X1569" t="s">
        <v>63</v>
      </c>
      <c r="Y1569" t="s">
        <v>13806</v>
      </c>
      <c r="Z1569" t="s">
        <v>63</v>
      </c>
      <c r="AA1569" t="s">
        <v>13807</v>
      </c>
      <c r="AB1569">
        <v>29467531</v>
      </c>
      <c r="AC1569" t="s">
        <v>67</v>
      </c>
      <c r="AD1569" t="s">
        <v>63</v>
      </c>
      <c r="AE1569" t="s">
        <v>63</v>
      </c>
      <c r="AF1569" t="s">
        <v>63</v>
      </c>
      <c r="AG1569" t="s">
        <v>13808</v>
      </c>
      <c r="AH1569" t="s">
        <v>63</v>
      </c>
      <c r="AI1569" t="s">
        <v>13809</v>
      </c>
      <c r="AJ1569" t="s">
        <v>63</v>
      </c>
      <c r="AK1569" t="s">
        <v>63</v>
      </c>
      <c r="AL1569" t="s">
        <v>63</v>
      </c>
      <c r="AM1569" t="s">
        <v>13810</v>
      </c>
      <c r="AN1569" t="s">
        <v>63</v>
      </c>
      <c r="AO1569" t="s">
        <v>63</v>
      </c>
      <c r="AP1569" t="s">
        <v>63</v>
      </c>
      <c r="AQ1569" t="s">
        <v>63</v>
      </c>
      <c r="AR1569" t="s">
        <v>63</v>
      </c>
      <c r="AS1569" t="s">
        <v>63</v>
      </c>
      <c r="AT1569" t="s">
        <v>63</v>
      </c>
      <c r="AU1569" t="s">
        <v>63</v>
      </c>
      <c r="AV1569" t="s">
        <v>63</v>
      </c>
      <c r="AW1569" t="s">
        <v>63</v>
      </c>
      <c r="AX1569" t="s">
        <v>63</v>
      </c>
      <c r="AY1569" t="s">
        <v>63</v>
      </c>
      <c r="AZ1569" t="s">
        <v>63</v>
      </c>
      <c r="BA1569" t="s">
        <v>63</v>
      </c>
      <c r="BB1569" t="s">
        <v>63</v>
      </c>
      <c r="BC1569" t="s">
        <v>63</v>
      </c>
      <c r="BD1569" t="s">
        <v>63</v>
      </c>
      <c r="BE1569" t="s">
        <v>63</v>
      </c>
      <c r="BF1569" t="s">
        <v>63</v>
      </c>
    </row>
    <row r="1570" spans="1:58">
      <c r="A1570" t="s">
        <v>58</v>
      </c>
      <c r="B1570" t="s">
        <v>13811</v>
      </c>
      <c r="C1570" t="s">
        <v>13812</v>
      </c>
      <c r="D1570" t="s">
        <v>325</v>
      </c>
      <c r="E1570" t="s">
        <v>63</v>
      </c>
      <c r="F1570">
        <v>1992</v>
      </c>
      <c r="G1570" t="s">
        <v>181</v>
      </c>
      <c r="H1570">
        <v>16</v>
      </c>
      <c r="I1570">
        <v>3</v>
      </c>
      <c r="J1570">
        <v>160</v>
      </c>
      <c r="K1570">
        <v>169</v>
      </c>
      <c r="L1570" t="s">
        <v>63</v>
      </c>
      <c r="M1570" t="s">
        <v>13813</v>
      </c>
      <c r="N1570" t="s">
        <v>13814</v>
      </c>
      <c r="O1570" t="s">
        <v>63</v>
      </c>
      <c r="Q1570" t="s">
        <v>63</v>
      </c>
      <c r="R1570" t="s">
        <v>63</v>
      </c>
      <c r="S1570" t="s">
        <v>63</v>
      </c>
      <c r="T1570" t="s">
        <v>63</v>
      </c>
      <c r="X1570" t="s">
        <v>63</v>
      </c>
      <c r="Y1570" t="s">
        <v>866</v>
      </c>
      <c r="Z1570" t="s">
        <v>63</v>
      </c>
      <c r="AA1570" t="s">
        <v>13815</v>
      </c>
      <c r="AB1570">
        <v>24435350</v>
      </c>
      <c r="AC1570" t="s">
        <v>67</v>
      </c>
      <c r="AD1570" t="s">
        <v>63</v>
      </c>
      <c r="AE1570" t="s">
        <v>63</v>
      </c>
      <c r="AF1570" t="s">
        <v>63</v>
      </c>
      <c r="AG1570" t="s">
        <v>13816</v>
      </c>
      <c r="AH1570" t="s">
        <v>63</v>
      </c>
      <c r="AI1570" t="s">
        <v>13817</v>
      </c>
      <c r="AJ1570" t="s">
        <v>63</v>
      </c>
      <c r="AK1570" t="s">
        <v>63</v>
      </c>
      <c r="AL1570" t="s">
        <v>63</v>
      </c>
      <c r="AM1570" t="s">
        <v>13818</v>
      </c>
      <c r="AN1570" t="s">
        <v>63</v>
      </c>
      <c r="AO1570" t="s">
        <v>63</v>
      </c>
      <c r="AP1570" t="s">
        <v>63</v>
      </c>
      <c r="AQ1570" t="s">
        <v>63</v>
      </c>
      <c r="AR1570" t="s">
        <v>63</v>
      </c>
      <c r="AS1570" t="s">
        <v>63</v>
      </c>
      <c r="AT1570" t="s">
        <v>63</v>
      </c>
      <c r="AU1570" t="s">
        <v>63</v>
      </c>
      <c r="AV1570" t="s">
        <v>63</v>
      </c>
      <c r="AW1570" t="s">
        <v>63</v>
      </c>
      <c r="AX1570" t="s">
        <v>63</v>
      </c>
      <c r="AY1570" t="s">
        <v>63</v>
      </c>
      <c r="AZ1570" t="s">
        <v>63</v>
      </c>
      <c r="BA1570" t="s">
        <v>63</v>
      </c>
      <c r="BB1570" t="s">
        <v>63</v>
      </c>
      <c r="BC1570" t="s">
        <v>63</v>
      </c>
      <c r="BD1570" t="s">
        <v>63</v>
      </c>
      <c r="BE1570" t="s">
        <v>63</v>
      </c>
      <c r="BF1570" t="s">
        <v>63</v>
      </c>
    </row>
    <row r="1571" spans="1:58">
      <c r="A1571" t="s">
        <v>58</v>
      </c>
      <c r="B1571" t="s">
        <v>13819</v>
      </c>
      <c r="C1571" t="s">
        <v>13820</v>
      </c>
      <c r="D1571" t="s">
        <v>13821</v>
      </c>
      <c r="E1571" t="s">
        <v>63</v>
      </c>
      <c r="F1571">
        <v>2017</v>
      </c>
      <c r="G1571" t="s">
        <v>63</v>
      </c>
      <c r="H1571">
        <v>8</v>
      </c>
      <c r="I1571" t="s">
        <v>63</v>
      </c>
      <c r="J1571">
        <v>641</v>
      </c>
      <c r="K1571">
        <v>647</v>
      </c>
      <c r="L1571" t="s">
        <v>63</v>
      </c>
      <c r="M1571" t="s">
        <v>13822</v>
      </c>
      <c r="N1571" t="s">
        <v>13823</v>
      </c>
      <c r="O1571" t="s">
        <v>63</v>
      </c>
      <c r="Q1571" t="s">
        <v>63</v>
      </c>
      <c r="R1571" t="s">
        <v>63</v>
      </c>
      <c r="S1571" t="s">
        <v>63</v>
      </c>
      <c r="T1571" t="s">
        <v>63</v>
      </c>
      <c r="X1571" t="s">
        <v>63</v>
      </c>
      <c r="Y1571" t="s">
        <v>13824</v>
      </c>
      <c r="Z1571" t="s">
        <v>63</v>
      </c>
      <c r="AA1571" t="s">
        <v>13825</v>
      </c>
      <c r="AB1571">
        <v>28989293</v>
      </c>
      <c r="AC1571" t="s">
        <v>67</v>
      </c>
      <c r="AD1571" t="s">
        <v>63</v>
      </c>
      <c r="AE1571" t="s">
        <v>63</v>
      </c>
      <c r="AF1571" t="s">
        <v>63</v>
      </c>
      <c r="AG1571" t="s">
        <v>13826</v>
      </c>
      <c r="AH1571" t="s">
        <v>63</v>
      </c>
      <c r="AI1571" t="s">
        <v>13827</v>
      </c>
      <c r="AJ1571" t="s">
        <v>63</v>
      </c>
      <c r="AK1571" t="s">
        <v>63</v>
      </c>
      <c r="AL1571" t="s">
        <v>63</v>
      </c>
      <c r="AM1571" t="s">
        <v>13828</v>
      </c>
      <c r="AN1571" t="s">
        <v>63</v>
      </c>
      <c r="AO1571" t="s">
        <v>63</v>
      </c>
      <c r="AP1571" t="s">
        <v>63</v>
      </c>
      <c r="AQ1571" t="s">
        <v>63</v>
      </c>
      <c r="AR1571" t="s">
        <v>63</v>
      </c>
      <c r="AS1571" t="s">
        <v>63</v>
      </c>
      <c r="AT1571" t="s">
        <v>63</v>
      </c>
      <c r="AU1571" t="s">
        <v>63</v>
      </c>
      <c r="AV1571" t="s">
        <v>63</v>
      </c>
      <c r="AW1571" t="s">
        <v>63</v>
      </c>
      <c r="AX1571" t="s">
        <v>63</v>
      </c>
      <c r="AY1571" t="s">
        <v>63</v>
      </c>
      <c r="AZ1571" t="s">
        <v>63</v>
      </c>
      <c r="BA1571" t="s">
        <v>63</v>
      </c>
      <c r="BB1571" t="s">
        <v>63</v>
      </c>
      <c r="BC1571" t="s">
        <v>63</v>
      </c>
      <c r="BD1571" t="s">
        <v>63</v>
      </c>
      <c r="BE1571" t="s">
        <v>63</v>
      </c>
      <c r="BF1571" t="s">
        <v>63</v>
      </c>
    </row>
    <row r="1572" spans="1:58">
      <c r="A1572" t="s">
        <v>58</v>
      </c>
      <c r="B1572" t="s">
        <v>13829</v>
      </c>
      <c r="C1572" t="s">
        <v>13830</v>
      </c>
      <c r="D1572" t="s">
        <v>371</v>
      </c>
      <c r="E1572" t="s">
        <v>63</v>
      </c>
      <c r="F1572">
        <v>2002</v>
      </c>
      <c r="G1572" t="s">
        <v>614</v>
      </c>
      <c r="H1572">
        <v>17</v>
      </c>
      <c r="I1572">
        <v>8</v>
      </c>
      <c r="J1572">
        <v>625</v>
      </c>
      <c r="K1572">
        <v>631</v>
      </c>
      <c r="L1572" t="s">
        <v>13831</v>
      </c>
      <c r="M1572" t="s">
        <v>13832</v>
      </c>
      <c r="N1572" t="s">
        <v>13833</v>
      </c>
      <c r="O1572" t="s">
        <v>63</v>
      </c>
      <c r="Q1572" t="s">
        <v>63</v>
      </c>
      <c r="R1572" t="s">
        <v>63</v>
      </c>
      <c r="S1572" t="s">
        <v>63</v>
      </c>
      <c r="T1572" t="s">
        <v>63</v>
      </c>
      <c r="X1572" t="s">
        <v>63</v>
      </c>
      <c r="Y1572" t="s">
        <v>375</v>
      </c>
      <c r="Z1572" t="s">
        <v>63</v>
      </c>
      <c r="AA1572" t="s">
        <v>13834</v>
      </c>
      <c r="AB1572">
        <v>12213144</v>
      </c>
      <c r="AC1572" t="s">
        <v>67</v>
      </c>
      <c r="AD1572" t="s">
        <v>63</v>
      </c>
      <c r="AE1572" t="s">
        <v>63</v>
      </c>
      <c r="AF1572" t="s">
        <v>63</v>
      </c>
      <c r="AG1572" t="s">
        <v>13835</v>
      </c>
      <c r="AH1572" t="s">
        <v>63</v>
      </c>
      <c r="AI1572" t="s">
        <v>63</v>
      </c>
      <c r="AJ1572" t="s">
        <v>63</v>
      </c>
      <c r="AK1572" t="s">
        <v>63</v>
      </c>
      <c r="AL1572" t="s">
        <v>63</v>
      </c>
      <c r="AM1572" t="s">
        <v>13836</v>
      </c>
      <c r="AN1572" t="s">
        <v>63</v>
      </c>
      <c r="AO1572" t="s">
        <v>63</v>
      </c>
      <c r="AP1572" t="s">
        <v>63</v>
      </c>
      <c r="AQ1572" t="s">
        <v>63</v>
      </c>
      <c r="AR1572" t="s">
        <v>63</v>
      </c>
      <c r="AS1572" t="s">
        <v>63</v>
      </c>
      <c r="AT1572" t="s">
        <v>63</v>
      </c>
      <c r="AU1572" t="s">
        <v>63</v>
      </c>
      <c r="AV1572" t="s">
        <v>63</v>
      </c>
      <c r="AW1572" t="s">
        <v>63</v>
      </c>
      <c r="AX1572" t="s">
        <v>63</v>
      </c>
      <c r="AY1572" t="s">
        <v>63</v>
      </c>
      <c r="AZ1572" t="s">
        <v>63</v>
      </c>
      <c r="BA1572" t="s">
        <v>63</v>
      </c>
      <c r="BB1572" t="s">
        <v>63</v>
      </c>
      <c r="BC1572" t="s">
        <v>63</v>
      </c>
      <c r="BD1572" t="s">
        <v>63</v>
      </c>
      <c r="BE1572" t="s">
        <v>63</v>
      </c>
      <c r="BF1572" t="s">
        <v>63</v>
      </c>
    </row>
    <row r="1573" spans="1:58">
      <c r="A1573" t="s">
        <v>58</v>
      </c>
      <c r="B1573" t="s">
        <v>13837</v>
      </c>
      <c r="C1573" t="s">
        <v>13838</v>
      </c>
      <c r="D1573" t="s">
        <v>763</v>
      </c>
      <c r="E1573" t="s">
        <v>63</v>
      </c>
      <c r="F1573">
        <v>1996</v>
      </c>
      <c r="G1573" t="s">
        <v>198</v>
      </c>
      <c r="H1573">
        <v>71</v>
      </c>
      <c r="I1573">
        <v>1</v>
      </c>
      <c r="J1573" t="s">
        <v>13839</v>
      </c>
      <c r="K1573">
        <v>8</v>
      </c>
      <c r="L1573" t="s">
        <v>13840</v>
      </c>
      <c r="M1573" t="s">
        <v>63</v>
      </c>
      <c r="N1573" t="s">
        <v>13841</v>
      </c>
      <c r="O1573" t="s">
        <v>63</v>
      </c>
      <c r="Q1573" t="s">
        <v>63</v>
      </c>
      <c r="R1573" t="s">
        <v>63</v>
      </c>
      <c r="S1573" t="s">
        <v>63</v>
      </c>
      <c r="T1573" t="s">
        <v>63</v>
      </c>
      <c r="X1573" t="s">
        <v>63</v>
      </c>
      <c r="Y1573" t="s">
        <v>858</v>
      </c>
      <c r="Z1573" t="s">
        <v>63</v>
      </c>
      <c r="AA1573" t="s">
        <v>63</v>
      </c>
      <c r="AB1573">
        <v>8546797</v>
      </c>
      <c r="AC1573" t="s">
        <v>67</v>
      </c>
      <c r="AD1573" t="s">
        <v>63</v>
      </c>
      <c r="AE1573" t="s">
        <v>63</v>
      </c>
      <c r="AF1573" t="s">
        <v>63</v>
      </c>
      <c r="AG1573" t="s">
        <v>13842</v>
      </c>
      <c r="AH1573" t="s">
        <v>63</v>
      </c>
      <c r="AI1573" t="s">
        <v>63</v>
      </c>
      <c r="AJ1573" t="s">
        <v>63</v>
      </c>
      <c r="AK1573" t="s">
        <v>63</v>
      </c>
      <c r="AL1573" t="s">
        <v>63</v>
      </c>
      <c r="AM1573" t="s">
        <v>13843</v>
      </c>
      <c r="AN1573" t="s">
        <v>63</v>
      </c>
      <c r="AO1573" t="s">
        <v>63</v>
      </c>
      <c r="AP1573" t="s">
        <v>63</v>
      </c>
      <c r="AQ1573" t="s">
        <v>63</v>
      </c>
      <c r="AR1573" t="s">
        <v>63</v>
      </c>
      <c r="AS1573" t="s">
        <v>63</v>
      </c>
      <c r="AT1573" t="s">
        <v>63</v>
      </c>
      <c r="AU1573" t="s">
        <v>63</v>
      </c>
      <c r="AV1573" t="s">
        <v>63</v>
      </c>
      <c r="AW1573" t="s">
        <v>63</v>
      </c>
      <c r="AX1573" t="s">
        <v>63</v>
      </c>
      <c r="AY1573" t="s">
        <v>63</v>
      </c>
      <c r="AZ1573" t="s">
        <v>63</v>
      </c>
      <c r="BA1573" t="s">
        <v>63</v>
      </c>
      <c r="BB1573" t="s">
        <v>63</v>
      </c>
      <c r="BC1573" t="s">
        <v>63</v>
      </c>
      <c r="BD1573" t="s">
        <v>63</v>
      </c>
      <c r="BE1573" t="s">
        <v>63</v>
      </c>
      <c r="BF1573" t="s">
        <v>63</v>
      </c>
    </row>
    <row r="1574" spans="1:58">
      <c r="A1574" t="s">
        <v>58</v>
      </c>
      <c r="B1574" t="s">
        <v>13844</v>
      </c>
      <c r="C1574" t="s">
        <v>13845</v>
      </c>
      <c r="D1574" t="s">
        <v>2291</v>
      </c>
      <c r="E1574" t="s">
        <v>2291</v>
      </c>
      <c r="F1574">
        <v>2008</v>
      </c>
      <c r="G1574" s="1">
        <v>41974</v>
      </c>
      <c r="H1574">
        <v>337</v>
      </c>
      <c r="I1574" t="s">
        <v>63</v>
      </c>
      <c r="J1574" t="s">
        <v>13846</v>
      </c>
      <c r="K1574" t="s">
        <v>63</v>
      </c>
      <c r="L1574" t="s">
        <v>13847</v>
      </c>
      <c r="M1574" t="s">
        <v>63</v>
      </c>
      <c r="N1574" t="s">
        <v>13848</v>
      </c>
      <c r="O1574" t="s">
        <v>63</v>
      </c>
      <c r="Q1574" t="s">
        <v>63</v>
      </c>
      <c r="R1574" t="s">
        <v>63</v>
      </c>
      <c r="S1574" t="s">
        <v>63</v>
      </c>
      <c r="T1574" t="s">
        <v>63</v>
      </c>
      <c r="X1574" t="s">
        <v>63</v>
      </c>
      <c r="Y1574" t="s">
        <v>7375</v>
      </c>
      <c r="Z1574" t="s">
        <v>63</v>
      </c>
      <c r="AA1574" t="s">
        <v>63</v>
      </c>
      <c r="AB1574">
        <v>19050025</v>
      </c>
      <c r="AC1574" t="s">
        <v>67</v>
      </c>
      <c r="AD1574" t="s">
        <v>63</v>
      </c>
      <c r="AE1574" t="s">
        <v>63</v>
      </c>
      <c r="AF1574" t="s">
        <v>63</v>
      </c>
      <c r="AG1574" t="s">
        <v>13849</v>
      </c>
      <c r="AH1574" t="s">
        <v>63</v>
      </c>
      <c r="AI1574" t="s">
        <v>13850</v>
      </c>
      <c r="AJ1574" t="s">
        <v>63</v>
      </c>
      <c r="AK1574" t="s">
        <v>63</v>
      </c>
      <c r="AL1574" t="s">
        <v>63</v>
      </c>
      <c r="AM1574" t="s">
        <v>13851</v>
      </c>
      <c r="AN1574" t="s">
        <v>63</v>
      </c>
      <c r="AO1574" t="s">
        <v>63</v>
      </c>
      <c r="AP1574" t="s">
        <v>63</v>
      </c>
      <c r="AQ1574" t="s">
        <v>63</v>
      </c>
      <c r="AR1574" t="s">
        <v>63</v>
      </c>
      <c r="AS1574" t="s">
        <v>63</v>
      </c>
      <c r="AT1574" t="s">
        <v>63</v>
      </c>
      <c r="AU1574" t="s">
        <v>63</v>
      </c>
      <c r="AV1574" t="s">
        <v>63</v>
      </c>
      <c r="AW1574" t="s">
        <v>63</v>
      </c>
      <c r="AX1574" t="s">
        <v>63</v>
      </c>
      <c r="AY1574" t="s">
        <v>63</v>
      </c>
      <c r="AZ1574" t="s">
        <v>63</v>
      </c>
      <c r="BA1574" t="s">
        <v>63</v>
      </c>
      <c r="BB1574" t="s">
        <v>63</v>
      </c>
      <c r="BC1574" t="s">
        <v>63</v>
      </c>
      <c r="BD1574" t="s">
        <v>63</v>
      </c>
      <c r="BE1574" t="s">
        <v>63</v>
      </c>
      <c r="BF1574" t="s">
        <v>63</v>
      </c>
    </row>
    <row r="1575" spans="1:58">
      <c r="A1575" t="s">
        <v>58</v>
      </c>
      <c r="B1575" t="s">
        <v>13852</v>
      </c>
      <c r="C1575" t="s">
        <v>13853</v>
      </c>
      <c r="D1575" t="s">
        <v>6160</v>
      </c>
      <c r="E1575" t="s">
        <v>63</v>
      </c>
      <c r="F1575">
        <v>1991</v>
      </c>
      <c r="G1575" t="s">
        <v>326</v>
      </c>
      <c r="H1575">
        <v>87</v>
      </c>
      <c r="I1575">
        <v>2</v>
      </c>
      <c r="J1575">
        <v>75</v>
      </c>
      <c r="K1575">
        <v>76</v>
      </c>
      <c r="L1575" t="s">
        <v>13854</v>
      </c>
      <c r="M1575" t="s">
        <v>63</v>
      </c>
      <c r="N1575" t="s">
        <v>13855</v>
      </c>
      <c r="O1575" t="s">
        <v>63</v>
      </c>
      <c r="Q1575" t="s">
        <v>63</v>
      </c>
      <c r="R1575" t="s">
        <v>63</v>
      </c>
      <c r="S1575" t="s">
        <v>63</v>
      </c>
      <c r="T1575" t="s">
        <v>63</v>
      </c>
      <c r="X1575" t="s">
        <v>63</v>
      </c>
      <c r="Y1575" t="s">
        <v>6163</v>
      </c>
      <c r="Z1575" t="s">
        <v>63</v>
      </c>
      <c r="AA1575" t="s">
        <v>63</v>
      </c>
      <c r="AB1575">
        <v>2000211</v>
      </c>
      <c r="AC1575" t="s">
        <v>67</v>
      </c>
      <c r="AD1575" t="s">
        <v>63</v>
      </c>
      <c r="AE1575" t="s">
        <v>63</v>
      </c>
      <c r="AF1575" t="s">
        <v>63</v>
      </c>
      <c r="AG1575" t="s">
        <v>13856</v>
      </c>
      <c r="AH1575" t="s">
        <v>63</v>
      </c>
      <c r="AI1575" t="s">
        <v>63</v>
      </c>
      <c r="AJ1575" t="s">
        <v>63</v>
      </c>
      <c r="AK1575" t="s">
        <v>63</v>
      </c>
      <c r="AL1575" t="s">
        <v>63</v>
      </c>
      <c r="AM1575" t="s">
        <v>13857</v>
      </c>
      <c r="AN1575" t="s">
        <v>63</v>
      </c>
      <c r="AO1575" t="s">
        <v>63</v>
      </c>
      <c r="AP1575" t="s">
        <v>63</v>
      </c>
      <c r="AQ1575" t="s">
        <v>63</v>
      </c>
      <c r="AR1575" t="s">
        <v>63</v>
      </c>
      <c r="AS1575" t="s">
        <v>63</v>
      </c>
      <c r="AT1575" t="s">
        <v>63</v>
      </c>
      <c r="AU1575" t="s">
        <v>63</v>
      </c>
      <c r="AV1575" t="s">
        <v>63</v>
      </c>
      <c r="AW1575" t="s">
        <v>63</v>
      </c>
      <c r="AX1575" t="s">
        <v>63</v>
      </c>
      <c r="AY1575" t="s">
        <v>63</v>
      </c>
      <c r="AZ1575" t="s">
        <v>63</v>
      </c>
      <c r="BA1575" t="s">
        <v>63</v>
      </c>
      <c r="BB1575" t="s">
        <v>63</v>
      </c>
      <c r="BC1575" t="s">
        <v>63</v>
      </c>
      <c r="BD1575" t="s">
        <v>63</v>
      </c>
      <c r="BE1575" t="s">
        <v>63</v>
      </c>
      <c r="BF1575" t="s">
        <v>63</v>
      </c>
    </row>
    <row r="1576" spans="1:58">
      <c r="A1576" t="s">
        <v>58</v>
      </c>
      <c r="B1576" t="s">
        <v>13858</v>
      </c>
      <c r="C1576" t="s">
        <v>13859</v>
      </c>
      <c r="D1576" t="s">
        <v>763</v>
      </c>
      <c r="E1576" t="s">
        <v>63</v>
      </c>
      <c r="F1576">
        <v>1992</v>
      </c>
      <c r="G1576" t="s">
        <v>73</v>
      </c>
      <c r="H1576">
        <v>67</v>
      </c>
      <c r="I1576">
        <v>6</v>
      </c>
      <c r="J1576">
        <v>414</v>
      </c>
      <c r="K1576" t="s">
        <v>63</v>
      </c>
      <c r="L1576" t="s">
        <v>13860</v>
      </c>
      <c r="M1576" t="s">
        <v>63</v>
      </c>
      <c r="N1576" t="s">
        <v>13861</v>
      </c>
      <c r="O1576" t="s">
        <v>63</v>
      </c>
      <c r="Q1576" t="s">
        <v>63</v>
      </c>
      <c r="R1576" t="s">
        <v>63</v>
      </c>
      <c r="S1576" t="s">
        <v>63</v>
      </c>
      <c r="T1576" t="s">
        <v>63</v>
      </c>
      <c r="X1576" t="s">
        <v>63</v>
      </c>
      <c r="Y1576" t="s">
        <v>858</v>
      </c>
      <c r="Z1576" t="s">
        <v>63</v>
      </c>
      <c r="AA1576" t="s">
        <v>13862</v>
      </c>
      <c r="AB1576">
        <v>1596346</v>
      </c>
      <c r="AC1576" t="s">
        <v>67</v>
      </c>
      <c r="AD1576" t="s">
        <v>63</v>
      </c>
      <c r="AE1576" t="s">
        <v>63</v>
      </c>
      <c r="AF1576" t="s">
        <v>63</v>
      </c>
      <c r="AG1576" t="s">
        <v>13863</v>
      </c>
      <c r="AH1576" t="s">
        <v>63</v>
      </c>
      <c r="AI1576" t="s">
        <v>63</v>
      </c>
      <c r="AJ1576" t="s">
        <v>63</v>
      </c>
      <c r="AK1576" t="s">
        <v>63</v>
      </c>
      <c r="AL1576" t="s">
        <v>63</v>
      </c>
      <c r="AM1576" t="s">
        <v>13864</v>
      </c>
      <c r="AN1576" t="s">
        <v>63</v>
      </c>
      <c r="AO1576" t="s">
        <v>63</v>
      </c>
      <c r="AP1576" t="s">
        <v>63</v>
      </c>
      <c r="AQ1576" t="s">
        <v>63</v>
      </c>
      <c r="AR1576" t="s">
        <v>63</v>
      </c>
      <c r="AS1576" t="s">
        <v>63</v>
      </c>
      <c r="AT1576" t="s">
        <v>63</v>
      </c>
      <c r="AU1576" t="s">
        <v>63</v>
      </c>
      <c r="AV1576" t="s">
        <v>63</v>
      </c>
      <c r="AW1576" t="s">
        <v>63</v>
      </c>
      <c r="AX1576" t="s">
        <v>63</v>
      </c>
      <c r="AY1576" t="s">
        <v>63</v>
      </c>
      <c r="AZ1576" t="s">
        <v>63</v>
      </c>
      <c r="BA1576" t="s">
        <v>63</v>
      </c>
      <c r="BB1576" t="s">
        <v>63</v>
      </c>
      <c r="BC1576" t="s">
        <v>63</v>
      </c>
      <c r="BD1576" t="s">
        <v>63</v>
      </c>
      <c r="BE1576" t="s">
        <v>63</v>
      </c>
      <c r="BF1576" t="s">
        <v>63</v>
      </c>
    </row>
    <row r="1577" spans="1:58">
      <c r="A1577" t="s">
        <v>58</v>
      </c>
      <c r="B1577" t="s">
        <v>13865</v>
      </c>
      <c r="C1577" t="s">
        <v>13866</v>
      </c>
      <c r="D1577" t="s">
        <v>13867</v>
      </c>
      <c r="E1577" t="s">
        <v>13868</v>
      </c>
      <c r="F1577">
        <v>2001</v>
      </c>
      <c r="G1577" t="s">
        <v>623</v>
      </c>
      <c r="H1577">
        <v>25</v>
      </c>
      <c r="I1577">
        <v>1</v>
      </c>
      <c r="J1577">
        <v>50</v>
      </c>
      <c r="K1577">
        <v>59</v>
      </c>
      <c r="L1577" t="s">
        <v>13869</v>
      </c>
      <c r="M1577" t="s">
        <v>13870</v>
      </c>
      <c r="N1577" t="s">
        <v>13871</v>
      </c>
      <c r="O1577" t="s">
        <v>63</v>
      </c>
      <c r="Q1577" t="s">
        <v>63</v>
      </c>
      <c r="R1577" t="s">
        <v>63</v>
      </c>
      <c r="S1577" t="s">
        <v>63</v>
      </c>
      <c r="T1577" t="s">
        <v>63</v>
      </c>
      <c r="X1577" t="s">
        <v>63</v>
      </c>
      <c r="Y1577" t="s">
        <v>13872</v>
      </c>
      <c r="Z1577" t="s">
        <v>63</v>
      </c>
      <c r="AA1577" t="s">
        <v>13873</v>
      </c>
      <c r="AB1577">
        <v>11289729</v>
      </c>
      <c r="AC1577" t="s">
        <v>67</v>
      </c>
      <c r="AD1577" t="s">
        <v>63</v>
      </c>
      <c r="AE1577" t="s">
        <v>63</v>
      </c>
      <c r="AF1577" t="s">
        <v>63</v>
      </c>
      <c r="AG1577" t="s">
        <v>13874</v>
      </c>
      <c r="AH1577" t="s">
        <v>63</v>
      </c>
      <c r="AI1577" t="s">
        <v>63</v>
      </c>
      <c r="AJ1577" t="s">
        <v>63</v>
      </c>
      <c r="AK1577" t="s">
        <v>63</v>
      </c>
      <c r="AL1577" t="s">
        <v>63</v>
      </c>
      <c r="AM1577" t="s">
        <v>13875</v>
      </c>
      <c r="AN1577" t="s">
        <v>63</v>
      </c>
      <c r="AO1577" t="s">
        <v>63</v>
      </c>
      <c r="AP1577" t="s">
        <v>63</v>
      </c>
      <c r="AQ1577" t="s">
        <v>63</v>
      </c>
      <c r="AR1577" t="s">
        <v>63</v>
      </c>
      <c r="AS1577" t="s">
        <v>63</v>
      </c>
      <c r="AT1577" t="s">
        <v>63</v>
      </c>
      <c r="AU1577" t="s">
        <v>63</v>
      </c>
      <c r="AV1577" t="s">
        <v>63</v>
      </c>
      <c r="AW1577" t="s">
        <v>63</v>
      </c>
      <c r="AX1577" t="s">
        <v>63</v>
      </c>
      <c r="AY1577" t="s">
        <v>63</v>
      </c>
      <c r="AZ1577" t="s">
        <v>63</v>
      </c>
      <c r="BA1577" t="s">
        <v>63</v>
      </c>
      <c r="BB1577" t="s">
        <v>63</v>
      </c>
      <c r="BC1577" t="s">
        <v>63</v>
      </c>
      <c r="BD1577" t="s">
        <v>63</v>
      </c>
      <c r="BE1577" t="s">
        <v>63</v>
      </c>
      <c r="BF1577" t="s">
        <v>63</v>
      </c>
    </row>
    <row r="1578" spans="1:58">
      <c r="A1578" t="s">
        <v>58</v>
      </c>
      <c r="B1578" t="s">
        <v>13876</v>
      </c>
      <c r="C1578" t="s">
        <v>13877</v>
      </c>
      <c r="D1578" t="s">
        <v>13878</v>
      </c>
      <c r="E1578" t="s">
        <v>63</v>
      </c>
      <c r="F1578">
        <v>2013</v>
      </c>
      <c r="G1578" t="s">
        <v>274</v>
      </c>
      <c r="H1578">
        <v>30</v>
      </c>
      <c r="I1578">
        <v>1</v>
      </c>
      <c r="J1578">
        <v>54</v>
      </c>
      <c r="K1578">
        <v>57</v>
      </c>
      <c r="L1578" t="s">
        <v>13879</v>
      </c>
      <c r="M1578" t="s">
        <v>13880</v>
      </c>
      <c r="N1578" t="s">
        <v>13881</v>
      </c>
      <c r="O1578" t="s">
        <v>63</v>
      </c>
      <c r="Q1578" t="s">
        <v>63</v>
      </c>
      <c r="R1578" t="s">
        <v>63</v>
      </c>
      <c r="S1578" t="s">
        <v>63</v>
      </c>
      <c r="T1578" t="s">
        <v>63</v>
      </c>
      <c r="X1578" t="s">
        <v>63</v>
      </c>
      <c r="Y1578" t="s">
        <v>13882</v>
      </c>
      <c r="Z1578" t="s">
        <v>63</v>
      </c>
      <c r="AA1578" t="s">
        <v>13883</v>
      </c>
      <c r="AB1578">
        <v>23612813</v>
      </c>
      <c r="AC1578" t="s">
        <v>913</v>
      </c>
      <c r="AD1578" t="s">
        <v>63</v>
      </c>
      <c r="AE1578" t="s">
        <v>63</v>
      </c>
      <c r="AF1578" t="s">
        <v>63</v>
      </c>
      <c r="AG1578" t="s">
        <v>13884</v>
      </c>
      <c r="AH1578" t="s">
        <v>63</v>
      </c>
      <c r="AI1578" t="s">
        <v>63</v>
      </c>
      <c r="AJ1578" t="s">
        <v>63</v>
      </c>
      <c r="AK1578" t="s">
        <v>63</v>
      </c>
      <c r="AL1578" t="s">
        <v>63</v>
      </c>
      <c r="AM1578" t="s">
        <v>13885</v>
      </c>
      <c r="AN1578" t="s">
        <v>63</v>
      </c>
      <c r="AO1578" t="s">
        <v>63</v>
      </c>
      <c r="AP1578" t="s">
        <v>63</v>
      </c>
      <c r="AQ1578" t="s">
        <v>63</v>
      </c>
      <c r="AR1578" t="s">
        <v>63</v>
      </c>
      <c r="AS1578" t="s">
        <v>63</v>
      </c>
      <c r="AT1578" t="s">
        <v>63</v>
      </c>
      <c r="AU1578" t="s">
        <v>63</v>
      </c>
      <c r="AV1578" t="s">
        <v>63</v>
      </c>
      <c r="AW1578" t="s">
        <v>63</v>
      </c>
      <c r="AX1578" t="s">
        <v>63</v>
      </c>
      <c r="AY1578" t="s">
        <v>63</v>
      </c>
      <c r="AZ1578" t="s">
        <v>63</v>
      </c>
      <c r="BA1578" t="s">
        <v>63</v>
      </c>
      <c r="BB1578" t="s">
        <v>63</v>
      </c>
      <c r="BC1578" t="s">
        <v>63</v>
      </c>
      <c r="BD1578" t="s">
        <v>63</v>
      </c>
      <c r="BE1578" t="s">
        <v>63</v>
      </c>
      <c r="BF1578" t="s">
        <v>63</v>
      </c>
    </row>
    <row r="1579" spans="1:58">
      <c r="A1579" t="s">
        <v>58</v>
      </c>
      <c r="B1579" t="s">
        <v>13886</v>
      </c>
      <c r="C1579" t="s">
        <v>13887</v>
      </c>
      <c r="D1579" t="s">
        <v>1960</v>
      </c>
      <c r="E1579" t="s">
        <v>63</v>
      </c>
      <c r="F1579">
        <v>2013</v>
      </c>
      <c r="G1579" t="s">
        <v>63</v>
      </c>
      <c r="H1579">
        <v>25</v>
      </c>
      <c r="I1579">
        <v>3</v>
      </c>
      <c r="J1579">
        <v>243</v>
      </c>
      <c r="K1579">
        <v>252</v>
      </c>
      <c r="L1579" t="s">
        <v>13888</v>
      </c>
      <c r="M1579" t="s">
        <v>13889</v>
      </c>
      <c r="N1579" t="s">
        <v>13890</v>
      </c>
      <c r="O1579" t="s">
        <v>63</v>
      </c>
      <c r="Q1579" t="s">
        <v>63</v>
      </c>
      <c r="R1579" t="s">
        <v>63</v>
      </c>
      <c r="S1579" t="s">
        <v>63</v>
      </c>
      <c r="T1579" t="s">
        <v>63</v>
      </c>
      <c r="X1579" t="s">
        <v>63</v>
      </c>
      <c r="Y1579" t="s">
        <v>1964</v>
      </c>
      <c r="Z1579" t="s">
        <v>63</v>
      </c>
      <c r="AA1579" t="s">
        <v>13891</v>
      </c>
      <c r="AB1579">
        <v>23880837</v>
      </c>
      <c r="AC1579" t="s">
        <v>913</v>
      </c>
      <c r="AD1579" t="s">
        <v>63</v>
      </c>
      <c r="AE1579" t="s">
        <v>63</v>
      </c>
      <c r="AF1579" t="s">
        <v>63</v>
      </c>
      <c r="AG1579" t="s">
        <v>13892</v>
      </c>
      <c r="AH1579" t="s">
        <v>63</v>
      </c>
      <c r="AI1579" t="s">
        <v>63</v>
      </c>
      <c r="AJ1579" t="s">
        <v>63</v>
      </c>
      <c r="AK1579" t="s">
        <v>63</v>
      </c>
      <c r="AL1579" t="s">
        <v>63</v>
      </c>
      <c r="AM1579" t="s">
        <v>13893</v>
      </c>
      <c r="AN1579" t="s">
        <v>63</v>
      </c>
      <c r="AO1579" t="s">
        <v>63</v>
      </c>
      <c r="AP1579" t="s">
        <v>63</v>
      </c>
      <c r="AQ1579" t="s">
        <v>63</v>
      </c>
      <c r="AR1579" t="s">
        <v>63</v>
      </c>
      <c r="AS1579" t="s">
        <v>63</v>
      </c>
      <c r="AT1579" t="s">
        <v>63</v>
      </c>
      <c r="AU1579" t="s">
        <v>63</v>
      </c>
      <c r="AV1579" t="s">
        <v>63</v>
      </c>
      <c r="AW1579" t="s">
        <v>63</v>
      </c>
      <c r="AX1579" t="s">
        <v>63</v>
      </c>
      <c r="AY1579" t="s">
        <v>63</v>
      </c>
      <c r="AZ1579" t="s">
        <v>63</v>
      </c>
      <c r="BA1579" t="s">
        <v>63</v>
      </c>
      <c r="BB1579" t="s">
        <v>63</v>
      </c>
      <c r="BC1579" t="s">
        <v>63</v>
      </c>
      <c r="BD1579" t="s">
        <v>63</v>
      </c>
      <c r="BE1579" t="s">
        <v>63</v>
      </c>
      <c r="BF1579" t="s">
        <v>63</v>
      </c>
    </row>
    <row r="1580" spans="1:58">
      <c r="A1580" t="s">
        <v>58</v>
      </c>
      <c r="B1580" t="s">
        <v>13894</v>
      </c>
      <c r="C1580" t="s">
        <v>13895</v>
      </c>
      <c r="D1580" t="s">
        <v>3467</v>
      </c>
      <c r="E1580" t="s">
        <v>3468</v>
      </c>
      <c r="F1580">
        <v>2003</v>
      </c>
      <c r="G1580" s="1">
        <v>41873</v>
      </c>
      <c r="H1580">
        <v>147</v>
      </c>
      <c r="I1580">
        <v>34</v>
      </c>
      <c r="J1580">
        <v>1628</v>
      </c>
      <c r="K1580">
        <v>1630</v>
      </c>
      <c r="L1580" t="s">
        <v>13896</v>
      </c>
      <c r="M1580" t="s">
        <v>13897</v>
      </c>
      <c r="N1580" t="s">
        <v>13898</v>
      </c>
      <c r="O1580" t="s">
        <v>63</v>
      </c>
      <c r="Q1580" t="s">
        <v>63</v>
      </c>
      <c r="R1580" t="s">
        <v>63</v>
      </c>
      <c r="S1580" t="s">
        <v>63</v>
      </c>
      <c r="T1580" t="s">
        <v>63</v>
      </c>
      <c r="X1580" t="s">
        <v>63</v>
      </c>
      <c r="Y1580" t="s">
        <v>13899</v>
      </c>
      <c r="Z1580" t="s">
        <v>63</v>
      </c>
      <c r="AA1580" t="s">
        <v>13900</v>
      </c>
      <c r="AB1580">
        <v>12966626</v>
      </c>
      <c r="AC1580" t="s">
        <v>3475</v>
      </c>
      <c r="AD1580" t="s">
        <v>63</v>
      </c>
      <c r="AE1580" t="s">
        <v>63</v>
      </c>
      <c r="AF1580" t="s">
        <v>63</v>
      </c>
      <c r="AG1580" t="s">
        <v>13901</v>
      </c>
      <c r="AH1580" t="s">
        <v>63</v>
      </c>
      <c r="AI1580" t="s">
        <v>63</v>
      </c>
      <c r="AJ1580" t="s">
        <v>63</v>
      </c>
      <c r="AK1580" t="s">
        <v>63</v>
      </c>
      <c r="AL1580" t="s">
        <v>63</v>
      </c>
      <c r="AM1580" t="s">
        <v>13902</v>
      </c>
      <c r="AN1580" t="s">
        <v>63</v>
      </c>
      <c r="AO1580" t="s">
        <v>63</v>
      </c>
      <c r="AP1580" t="s">
        <v>63</v>
      </c>
      <c r="AQ1580" t="s">
        <v>63</v>
      </c>
      <c r="AR1580" t="s">
        <v>63</v>
      </c>
      <c r="AS1580" t="s">
        <v>63</v>
      </c>
      <c r="AT1580" t="s">
        <v>63</v>
      </c>
      <c r="AU1580" t="s">
        <v>63</v>
      </c>
      <c r="AV1580" t="s">
        <v>63</v>
      </c>
      <c r="AW1580" t="s">
        <v>63</v>
      </c>
      <c r="AX1580" t="s">
        <v>63</v>
      </c>
      <c r="AY1580" t="s">
        <v>63</v>
      </c>
      <c r="AZ1580" t="s">
        <v>63</v>
      </c>
      <c r="BA1580" t="s">
        <v>63</v>
      </c>
      <c r="BB1580" t="s">
        <v>63</v>
      </c>
      <c r="BC1580" t="s">
        <v>63</v>
      </c>
      <c r="BD1580" t="s">
        <v>63</v>
      </c>
      <c r="BE1580" t="s">
        <v>63</v>
      </c>
      <c r="BF1580" t="s">
        <v>63</v>
      </c>
    </row>
    <row r="1581" spans="1:58">
      <c r="A1581" t="s">
        <v>58</v>
      </c>
      <c r="B1581" t="s">
        <v>13903</v>
      </c>
      <c r="C1581" t="s">
        <v>13904</v>
      </c>
      <c r="D1581" t="s">
        <v>5261</v>
      </c>
      <c r="E1581" t="s">
        <v>63</v>
      </c>
      <c r="F1581">
        <v>1995</v>
      </c>
      <c r="G1581" t="s">
        <v>63</v>
      </c>
      <c r="H1581">
        <v>95</v>
      </c>
      <c r="I1581">
        <v>5</v>
      </c>
      <c r="J1581">
        <v>93</v>
      </c>
      <c r="K1581">
        <v>94</v>
      </c>
      <c r="L1581" t="s">
        <v>13905</v>
      </c>
      <c r="M1581" t="s">
        <v>63</v>
      </c>
      <c r="N1581" t="s">
        <v>13906</v>
      </c>
      <c r="O1581" t="s">
        <v>63</v>
      </c>
      <c r="Q1581" t="s">
        <v>63</v>
      </c>
      <c r="R1581" t="s">
        <v>63</v>
      </c>
      <c r="S1581" t="s">
        <v>63</v>
      </c>
      <c r="T1581" t="s">
        <v>63</v>
      </c>
      <c r="X1581" t="s">
        <v>63</v>
      </c>
      <c r="Y1581" t="s">
        <v>5265</v>
      </c>
      <c r="Z1581" t="s">
        <v>63</v>
      </c>
      <c r="AA1581" t="s">
        <v>63</v>
      </c>
      <c r="AB1581">
        <v>8585389</v>
      </c>
      <c r="AC1581" t="s">
        <v>5266</v>
      </c>
      <c r="AD1581" t="s">
        <v>63</v>
      </c>
      <c r="AE1581" t="s">
        <v>63</v>
      </c>
      <c r="AF1581" t="s">
        <v>63</v>
      </c>
      <c r="AG1581" t="s">
        <v>13907</v>
      </c>
      <c r="AH1581" t="s">
        <v>63</v>
      </c>
      <c r="AI1581" t="s">
        <v>63</v>
      </c>
      <c r="AJ1581" t="s">
        <v>63</v>
      </c>
      <c r="AK1581" t="s">
        <v>63</v>
      </c>
      <c r="AL1581" t="s">
        <v>63</v>
      </c>
      <c r="AM1581" t="s">
        <v>13908</v>
      </c>
      <c r="AN1581" t="s">
        <v>63</v>
      </c>
      <c r="AO1581" t="s">
        <v>63</v>
      </c>
      <c r="AP1581" t="s">
        <v>63</v>
      </c>
      <c r="AQ1581" t="s">
        <v>63</v>
      </c>
      <c r="AR1581" t="s">
        <v>63</v>
      </c>
      <c r="AS1581" t="s">
        <v>63</v>
      </c>
      <c r="AT1581" t="s">
        <v>63</v>
      </c>
      <c r="AU1581" t="s">
        <v>63</v>
      </c>
      <c r="AV1581" t="s">
        <v>63</v>
      </c>
      <c r="AW1581" t="s">
        <v>63</v>
      </c>
      <c r="AX1581" t="s">
        <v>63</v>
      </c>
      <c r="AY1581" t="s">
        <v>63</v>
      </c>
      <c r="AZ1581" t="s">
        <v>63</v>
      </c>
      <c r="BA1581" t="s">
        <v>63</v>
      </c>
      <c r="BB1581" t="s">
        <v>63</v>
      </c>
      <c r="BC1581" t="s">
        <v>63</v>
      </c>
      <c r="BD1581" t="s">
        <v>63</v>
      </c>
      <c r="BE1581" t="s">
        <v>63</v>
      </c>
      <c r="BF1581" t="s">
        <v>63</v>
      </c>
    </row>
    <row r="1582" spans="1:58">
      <c r="A1582" t="s">
        <v>58</v>
      </c>
      <c r="B1582" t="s">
        <v>13909</v>
      </c>
      <c r="C1582" t="s">
        <v>13910</v>
      </c>
      <c r="D1582" t="s">
        <v>13911</v>
      </c>
      <c r="E1582" t="s">
        <v>63</v>
      </c>
      <c r="F1582">
        <v>2013</v>
      </c>
      <c r="G1582" t="s">
        <v>63</v>
      </c>
      <c r="H1582">
        <v>11</v>
      </c>
      <c r="I1582">
        <v>1</v>
      </c>
      <c r="J1582">
        <v>9</v>
      </c>
      <c r="K1582" t="s">
        <v>63</v>
      </c>
      <c r="L1582" t="s">
        <v>63</v>
      </c>
      <c r="M1582" t="s">
        <v>13912</v>
      </c>
      <c r="N1582" t="s">
        <v>13913</v>
      </c>
      <c r="O1582" t="s">
        <v>63</v>
      </c>
      <c r="Q1582" t="s">
        <v>63</v>
      </c>
      <c r="R1582" t="s">
        <v>63</v>
      </c>
      <c r="S1582" t="s">
        <v>63</v>
      </c>
      <c r="T1582" t="s">
        <v>63</v>
      </c>
      <c r="X1582" t="s">
        <v>63</v>
      </c>
      <c r="Y1582" t="s">
        <v>13914</v>
      </c>
      <c r="Z1582" t="s">
        <v>63</v>
      </c>
      <c r="AA1582" t="s">
        <v>13915</v>
      </c>
      <c r="AB1582">
        <v>23557392</v>
      </c>
      <c r="AC1582" t="s">
        <v>67</v>
      </c>
      <c r="AD1582" t="s">
        <v>63</v>
      </c>
      <c r="AE1582" t="s">
        <v>63</v>
      </c>
      <c r="AF1582" t="s">
        <v>63</v>
      </c>
      <c r="AG1582" t="s">
        <v>13916</v>
      </c>
      <c r="AH1582" t="s">
        <v>63</v>
      </c>
      <c r="AI1582" t="s">
        <v>13917</v>
      </c>
      <c r="AJ1582" t="s">
        <v>63</v>
      </c>
      <c r="AK1582" t="s">
        <v>63</v>
      </c>
      <c r="AL1582" t="s">
        <v>63</v>
      </c>
      <c r="AM1582" t="s">
        <v>13918</v>
      </c>
      <c r="AN1582" t="s">
        <v>63</v>
      </c>
      <c r="AO1582" t="s">
        <v>63</v>
      </c>
      <c r="AP1582" t="s">
        <v>63</v>
      </c>
      <c r="AQ1582" t="s">
        <v>63</v>
      </c>
      <c r="AR1582" t="s">
        <v>63</v>
      </c>
      <c r="AS1582" t="s">
        <v>63</v>
      </c>
      <c r="AT1582" t="s">
        <v>63</v>
      </c>
      <c r="AU1582" t="s">
        <v>63</v>
      </c>
      <c r="AV1582" t="s">
        <v>63</v>
      </c>
      <c r="AW1582" t="s">
        <v>63</v>
      </c>
      <c r="AX1582" t="s">
        <v>63</v>
      </c>
      <c r="AY1582" t="s">
        <v>63</v>
      </c>
      <c r="AZ1582" t="s">
        <v>63</v>
      </c>
      <c r="BA1582" t="s">
        <v>63</v>
      </c>
      <c r="BB1582" t="s">
        <v>63</v>
      </c>
      <c r="BC1582" t="s">
        <v>63</v>
      </c>
      <c r="BD1582" t="s">
        <v>63</v>
      </c>
      <c r="BE1582" t="s">
        <v>63</v>
      </c>
      <c r="BF1582" t="s">
        <v>63</v>
      </c>
    </row>
    <row r="1583" spans="1:58">
      <c r="A1583" t="s">
        <v>58</v>
      </c>
      <c r="B1583" t="s">
        <v>13919</v>
      </c>
      <c r="C1583" t="s">
        <v>13920</v>
      </c>
      <c r="D1583" t="s">
        <v>13921</v>
      </c>
      <c r="E1583" t="s">
        <v>13922</v>
      </c>
      <c r="F1583">
        <v>1975</v>
      </c>
      <c r="G1583" t="s">
        <v>157</v>
      </c>
      <c r="H1583">
        <v>32</v>
      </c>
      <c r="I1583">
        <v>12</v>
      </c>
      <c r="J1583">
        <v>950</v>
      </c>
      <c r="K1583">
        <v>951</v>
      </c>
      <c r="L1583" t="s">
        <v>13923</v>
      </c>
      <c r="M1583" t="s">
        <v>63</v>
      </c>
      <c r="N1583" t="s">
        <v>13924</v>
      </c>
      <c r="O1583" t="s">
        <v>63</v>
      </c>
      <c r="Q1583" t="s">
        <v>63</v>
      </c>
      <c r="R1583" t="s">
        <v>63</v>
      </c>
      <c r="S1583" t="s">
        <v>63</v>
      </c>
      <c r="T1583" t="s">
        <v>63</v>
      </c>
      <c r="X1583" t="s">
        <v>63</v>
      </c>
      <c r="Y1583" t="s">
        <v>13925</v>
      </c>
      <c r="Z1583" t="s">
        <v>63</v>
      </c>
      <c r="AA1583" t="s">
        <v>63</v>
      </c>
      <c r="AB1583">
        <v>1217989</v>
      </c>
      <c r="AC1583" t="s">
        <v>67</v>
      </c>
      <c r="AD1583" t="s">
        <v>63</v>
      </c>
      <c r="AE1583" t="s">
        <v>63</v>
      </c>
      <c r="AF1583" t="s">
        <v>63</v>
      </c>
      <c r="AG1583" t="s">
        <v>13926</v>
      </c>
      <c r="AH1583" t="s">
        <v>63</v>
      </c>
      <c r="AI1583" t="s">
        <v>63</v>
      </c>
      <c r="AJ1583" t="s">
        <v>63</v>
      </c>
      <c r="AK1583" t="s">
        <v>63</v>
      </c>
      <c r="AL1583" t="s">
        <v>63</v>
      </c>
      <c r="AM1583" t="s">
        <v>13927</v>
      </c>
      <c r="AN1583" t="s">
        <v>63</v>
      </c>
      <c r="AO1583" t="s">
        <v>63</v>
      </c>
      <c r="AP1583" t="s">
        <v>63</v>
      </c>
      <c r="AQ1583" t="s">
        <v>63</v>
      </c>
      <c r="AR1583" t="s">
        <v>63</v>
      </c>
      <c r="AS1583" t="s">
        <v>63</v>
      </c>
      <c r="AT1583" t="s">
        <v>63</v>
      </c>
      <c r="AU1583" t="s">
        <v>63</v>
      </c>
      <c r="AV1583" t="s">
        <v>63</v>
      </c>
      <c r="AW1583" t="s">
        <v>63</v>
      </c>
      <c r="AX1583" t="s">
        <v>63</v>
      </c>
      <c r="AY1583" t="s">
        <v>63</v>
      </c>
      <c r="AZ1583" t="s">
        <v>63</v>
      </c>
      <c r="BA1583" t="s">
        <v>63</v>
      </c>
      <c r="BB1583" t="s">
        <v>63</v>
      </c>
      <c r="BC1583" t="s">
        <v>63</v>
      </c>
      <c r="BD1583" t="s">
        <v>63</v>
      </c>
      <c r="BE1583" t="s">
        <v>63</v>
      </c>
      <c r="BF1583" t="s">
        <v>63</v>
      </c>
    </row>
    <row r="1584" spans="1:58">
      <c r="A1584" t="s">
        <v>58</v>
      </c>
      <c r="B1584" t="s">
        <v>13928</v>
      </c>
      <c r="C1584" t="s">
        <v>13929</v>
      </c>
      <c r="D1584" t="s">
        <v>180</v>
      </c>
      <c r="E1584" t="s">
        <v>63</v>
      </c>
      <c r="F1584">
        <v>1994</v>
      </c>
      <c r="G1584" t="s">
        <v>181</v>
      </c>
      <c r="H1584">
        <v>29</v>
      </c>
      <c r="I1584">
        <v>5</v>
      </c>
      <c r="J1584">
        <v>591</v>
      </c>
      <c r="K1584">
        <v>596</v>
      </c>
      <c r="L1584" t="s">
        <v>13930</v>
      </c>
      <c r="M1584" t="s">
        <v>13931</v>
      </c>
      <c r="N1584" t="s">
        <v>13932</v>
      </c>
      <c r="O1584" t="s">
        <v>63</v>
      </c>
      <c r="Q1584" t="s">
        <v>63</v>
      </c>
      <c r="R1584" t="s">
        <v>63</v>
      </c>
      <c r="S1584" t="s">
        <v>63</v>
      </c>
      <c r="T1584" t="s">
        <v>63</v>
      </c>
      <c r="X1584" t="s">
        <v>63</v>
      </c>
      <c r="Y1584" t="s">
        <v>185</v>
      </c>
      <c r="Z1584" t="s">
        <v>63</v>
      </c>
      <c r="AA1584" t="s">
        <v>13933</v>
      </c>
      <c r="AB1584">
        <v>7811343</v>
      </c>
      <c r="AC1584" t="s">
        <v>67</v>
      </c>
      <c r="AD1584" t="s">
        <v>63</v>
      </c>
      <c r="AE1584" t="s">
        <v>63</v>
      </c>
      <c r="AF1584" t="s">
        <v>63</v>
      </c>
      <c r="AG1584" t="s">
        <v>13934</v>
      </c>
      <c r="AH1584" t="s">
        <v>63</v>
      </c>
      <c r="AI1584" t="s">
        <v>63</v>
      </c>
      <c r="AJ1584" t="s">
        <v>63</v>
      </c>
      <c r="AK1584" t="s">
        <v>63</v>
      </c>
      <c r="AL1584" t="s">
        <v>63</v>
      </c>
      <c r="AM1584" t="s">
        <v>13935</v>
      </c>
      <c r="AN1584" t="s">
        <v>63</v>
      </c>
      <c r="AO1584" t="s">
        <v>63</v>
      </c>
      <c r="AP1584" t="s">
        <v>63</v>
      </c>
      <c r="AQ1584" t="s">
        <v>63</v>
      </c>
      <c r="AR1584" t="s">
        <v>63</v>
      </c>
      <c r="AS1584" t="s">
        <v>63</v>
      </c>
      <c r="AT1584" t="s">
        <v>63</v>
      </c>
      <c r="AU1584" t="s">
        <v>63</v>
      </c>
      <c r="AV1584" t="s">
        <v>63</v>
      </c>
      <c r="AW1584" t="s">
        <v>63</v>
      </c>
      <c r="AX1584" t="s">
        <v>63</v>
      </c>
      <c r="AY1584" t="s">
        <v>63</v>
      </c>
      <c r="AZ1584" t="s">
        <v>63</v>
      </c>
      <c r="BA1584" t="s">
        <v>63</v>
      </c>
      <c r="BB1584" t="s">
        <v>63</v>
      </c>
      <c r="BC1584" t="s">
        <v>63</v>
      </c>
      <c r="BD1584" t="s">
        <v>63</v>
      </c>
      <c r="BE1584" t="s">
        <v>63</v>
      </c>
      <c r="BF1584" t="s">
        <v>63</v>
      </c>
    </row>
    <row r="1585" spans="1:58">
      <c r="A1585" t="s">
        <v>58</v>
      </c>
      <c r="B1585" t="s">
        <v>13936</v>
      </c>
      <c r="C1585" t="s">
        <v>13937</v>
      </c>
      <c r="D1585" t="s">
        <v>13938</v>
      </c>
      <c r="E1585" t="s">
        <v>63</v>
      </c>
      <c r="F1585">
        <v>2008</v>
      </c>
      <c r="G1585" t="s">
        <v>73</v>
      </c>
      <c r="H1585">
        <v>76</v>
      </c>
      <c r="I1585">
        <v>3</v>
      </c>
      <c r="J1585">
        <v>449</v>
      </c>
      <c r="K1585">
        <v>458</v>
      </c>
      <c r="L1585" t="s">
        <v>13939</v>
      </c>
      <c r="M1585" t="s">
        <v>13940</v>
      </c>
      <c r="N1585" t="s">
        <v>13941</v>
      </c>
      <c r="O1585" t="s">
        <v>63</v>
      </c>
      <c r="Q1585" t="s">
        <v>63</v>
      </c>
      <c r="R1585" t="s">
        <v>63</v>
      </c>
      <c r="S1585" t="s">
        <v>63</v>
      </c>
      <c r="T1585" t="s">
        <v>63</v>
      </c>
      <c r="X1585" t="s">
        <v>63</v>
      </c>
      <c r="Y1585" t="s">
        <v>13942</v>
      </c>
      <c r="Z1585" t="s">
        <v>63</v>
      </c>
      <c r="AA1585" t="s">
        <v>13943</v>
      </c>
      <c r="AB1585">
        <v>18540738</v>
      </c>
      <c r="AC1585" t="s">
        <v>67</v>
      </c>
      <c r="AD1585" t="s">
        <v>63</v>
      </c>
      <c r="AE1585" t="s">
        <v>63</v>
      </c>
      <c r="AF1585" t="s">
        <v>63</v>
      </c>
      <c r="AG1585" t="s">
        <v>13944</v>
      </c>
      <c r="AH1585" t="s">
        <v>63</v>
      </c>
      <c r="AI1585" t="s">
        <v>13945</v>
      </c>
      <c r="AJ1585" t="s">
        <v>63</v>
      </c>
      <c r="AK1585" t="s">
        <v>63</v>
      </c>
      <c r="AL1585" t="s">
        <v>63</v>
      </c>
      <c r="AM1585" t="s">
        <v>13946</v>
      </c>
      <c r="AN1585" t="s">
        <v>63</v>
      </c>
      <c r="AO1585" t="s">
        <v>63</v>
      </c>
      <c r="AP1585" t="s">
        <v>63</v>
      </c>
      <c r="AQ1585" t="s">
        <v>63</v>
      </c>
      <c r="AR1585" t="s">
        <v>63</v>
      </c>
      <c r="AS1585" t="s">
        <v>63</v>
      </c>
      <c r="AT1585" t="s">
        <v>63</v>
      </c>
      <c r="AU1585" t="s">
        <v>63</v>
      </c>
      <c r="AV1585" t="s">
        <v>63</v>
      </c>
      <c r="AW1585" t="s">
        <v>63</v>
      </c>
      <c r="AX1585" t="s">
        <v>63</v>
      </c>
      <c r="AY1585" t="s">
        <v>63</v>
      </c>
      <c r="AZ1585" t="s">
        <v>63</v>
      </c>
      <c r="BA1585" t="s">
        <v>63</v>
      </c>
      <c r="BB1585" t="s">
        <v>63</v>
      </c>
      <c r="BC1585" t="s">
        <v>63</v>
      </c>
      <c r="BD1585" t="s">
        <v>63</v>
      </c>
      <c r="BE1585" t="s">
        <v>63</v>
      </c>
      <c r="BF1585" t="s">
        <v>63</v>
      </c>
    </row>
    <row r="1586" spans="1:58">
      <c r="A1586" t="s">
        <v>58</v>
      </c>
      <c r="B1586" t="s">
        <v>13947</v>
      </c>
      <c r="C1586" t="s">
        <v>13948</v>
      </c>
      <c r="D1586" t="s">
        <v>13949</v>
      </c>
      <c r="E1586" t="s">
        <v>63</v>
      </c>
      <c r="F1586">
        <v>2011</v>
      </c>
      <c r="G1586" t="s">
        <v>198</v>
      </c>
      <c r="H1586">
        <v>39</v>
      </c>
      <c r="I1586">
        <v>1</v>
      </c>
      <c r="J1586">
        <v>75</v>
      </c>
      <c r="K1586">
        <v>80</v>
      </c>
      <c r="L1586" t="s">
        <v>63</v>
      </c>
      <c r="M1586" t="s">
        <v>13950</v>
      </c>
      <c r="N1586" t="s">
        <v>13951</v>
      </c>
      <c r="O1586" t="s">
        <v>63</v>
      </c>
      <c r="Q1586" t="s">
        <v>63</v>
      </c>
      <c r="R1586" t="s">
        <v>63</v>
      </c>
      <c r="S1586" t="s">
        <v>63</v>
      </c>
      <c r="T1586" t="s">
        <v>63</v>
      </c>
      <c r="X1586" t="s">
        <v>63</v>
      </c>
      <c r="Y1586" t="s">
        <v>13952</v>
      </c>
      <c r="Z1586" t="s">
        <v>63</v>
      </c>
      <c r="AA1586" t="s">
        <v>13953</v>
      </c>
      <c r="AB1586">
        <v>22942480</v>
      </c>
      <c r="AC1586" t="s">
        <v>67</v>
      </c>
      <c r="AD1586" t="s">
        <v>63</v>
      </c>
      <c r="AE1586" t="s">
        <v>63</v>
      </c>
      <c r="AF1586" t="s">
        <v>63</v>
      </c>
      <c r="AG1586" t="s">
        <v>13954</v>
      </c>
      <c r="AH1586" t="s">
        <v>63</v>
      </c>
      <c r="AI1586" t="s">
        <v>63</v>
      </c>
      <c r="AJ1586" t="s">
        <v>63</v>
      </c>
      <c r="AK1586" t="s">
        <v>63</v>
      </c>
      <c r="AL1586" t="s">
        <v>63</v>
      </c>
      <c r="AM1586" t="s">
        <v>13955</v>
      </c>
      <c r="AN1586" t="s">
        <v>63</v>
      </c>
      <c r="AO1586" t="s">
        <v>63</v>
      </c>
      <c r="AP1586" t="s">
        <v>63</v>
      </c>
      <c r="AQ1586" t="s">
        <v>63</v>
      </c>
      <c r="AR1586" t="s">
        <v>63</v>
      </c>
      <c r="AS1586" t="s">
        <v>63</v>
      </c>
      <c r="AT1586" t="s">
        <v>63</v>
      </c>
      <c r="AU1586" t="s">
        <v>63</v>
      </c>
      <c r="AV1586" t="s">
        <v>63</v>
      </c>
      <c r="AW1586" t="s">
        <v>63</v>
      </c>
      <c r="AX1586" t="s">
        <v>63</v>
      </c>
      <c r="AY1586" t="s">
        <v>63</v>
      </c>
      <c r="AZ1586" t="s">
        <v>63</v>
      </c>
      <c r="BA1586" t="s">
        <v>63</v>
      </c>
      <c r="BB1586" t="s">
        <v>63</v>
      </c>
      <c r="BC1586" t="s">
        <v>63</v>
      </c>
      <c r="BD1586" t="s">
        <v>63</v>
      </c>
      <c r="BE1586" t="s">
        <v>63</v>
      </c>
      <c r="BF1586" t="s">
        <v>63</v>
      </c>
    </row>
    <row r="1587" spans="1:58">
      <c r="A1587" t="s">
        <v>58</v>
      </c>
      <c r="B1587" t="s">
        <v>13956</v>
      </c>
      <c r="C1587" t="s">
        <v>13957</v>
      </c>
      <c r="D1587" t="s">
        <v>371</v>
      </c>
      <c r="E1587" t="s">
        <v>63</v>
      </c>
      <c r="F1587">
        <v>2017</v>
      </c>
      <c r="G1587" t="s">
        <v>274</v>
      </c>
      <c r="H1587">
        <v>32</v>
      </c>
      <c r="I1587">
        <v>3</v>
      </c>
      <c r="J1587">
        <v>296</v>
      </c>
      <c r="K1587">
        <v>303</v>
      </c>
      <c r="L1587" t="s">
        <v>13958</v>
      </c>
      <c r="M1587" t="s">
        <v>13959</v>
      </c>
      <c r="N1587" t="s">
        <v>13960</v>
      </c>
      <c r="O1587" t="s">
        <v>63</v>
      </c>
      <c r="Q1587" t="s">
        <v>63</v>
      </c>
      <c r="R1587" t="s">
        <v>63</v>
      </c>
      <c r="S1587" t="s">
        <v>63</v>
      </c>
      <c r="T1587" t="s">
        <v>63</v>
      </c>
      <c r="X1587" t="s">
        <v>63</v>
      </c>
      <c r="Y1587" t="s">
        <v>547</v>
      </c>
      <c r="Z1587" t="s">
        <v>63</v>
      </c>
      <c r="AA1587" t="s">
        <v>13961</v>
      </c>
      <c r="AB1587">
        <v>27957661</v>
      </c>
      <c r="AC1587" t="s">
        <v>67</v>
      </c>
      <c r="AD1587" t="s">
        <v>63</v>
      </c>
      <c r="AE1587" t="s">
        <v>63</v>
      </c>
      <c r="AF1587" t="s">
        <v>63</v>
      </c>
      <c r="AG1587" t="s">
        <v>13962</v>
      </c>
      <c r="AH1587" t="s">
        <v>63</v>
      </c>
      <c r="AI1587" t="s">
        <v>13963</v>
      </c>
      <c r="AJ1587" t="s">
        <v>63</v>
      </c>
      <c r="AK1587" t="s">
        <v>63</v>
      </c>
      <c r="AL1587" t="s">
        <v>63</v>
      </c>
      <c r="AM1587" t="s">
        <v>13964</v>
      </c>
      <c r="AN1587" t="s">
        <v>63</v>
      </c>
      <c r="AO1587" t="s">
        <v>63</v>
      </c>
      <c r="AP1587" t="s">
        <v>63</v>
      </c>
      <c r="AQ1587" t="s">
        <v>63</v>
      </c>
      <c r="AR1587" t="s">
        <v>63</v>
      </c>
      <c r="AS1587" t="s">
        <v>63</v>
      </c>
      <c r="AT1587" t="s">
        <v>63</v>
      </c>
      <c r="AU1587" t="s">
        <v>63</v>
      </c>
      <c r="AV1587" t="s">
        <v>63</v>
      </c>
      <c r="AW1587" t="s">
        <v>63</v>
      </c>
      <c r="AX1587" t="s">
        <v>63</v>
      </c>
      <c r="AY1587" t="s">
        <v>63</v>
      </c>
      <c r="AZ1587" t="s">
        <v>63</v>
      </c>
      <c r="BA1587" t="s">
        <v>63</v>
      </c>
      <c r="BB1587" t="s">
        <v>63</v>
      </c>
      <c r="BC1587" t="s">
        <v>63</v>
      </c>
      <c r="BD1587" t="s">
        <v>63</v>
      </c>
      <c r="BE1587" t="s">
        <v>63</v>
      </c>
      <c r="BF1587" t="s">
        <v>63</v>
      </c>
    </row>
    <row r="1588" spans="1:58">
      <c r="A1588" t="s">
        <v>58</v>
      </c>
      <c r="B1588" t="s">
        <v>13965</v>
      </c>
      <c r="C1588" t="s">
        <v>13966</v>
      </c>
      <c r="D1588" t="s">
        <v>13967</v>
      </c>
      <c r="E1588" t="s">
        <v>13968</v>
      </c>
      <c r="F1588">
        <v>1976</v>
      </c>
      <c r="G1588" t="s">
        <v>623</v>
      </c>
      <c r="H1588">
        <v>21</v>
      </c>
      <c r="I1588">
        <v>1</v>
      </c>
      <c r="J1588">
        <v>25</v>
      </c>
      <c r="K1588">
        <v>29</v>
      </c>
      <c r="L1588" t="s">
        <v>13969</v>
      </c>
      <c r="M1588" t="s">
        <v>13970</v>
      </c>
      <c r="N1588" t="s">
        <v>13971</v>
      </c>
      <c r="O1588" t="s">
        <v>63</v>
      </c>
      <c r="Q1588" t="s">
        <v>63</v>
      </c>
      <c r="R1588" t="s">
        <v>63</v>
      </c>
      <c r="S1588" t="s">
        <v>63</v>
      </c>
      <c r="T1588" t="s">
        <v>63</v>
      </c>
      <c r="X1588" t="s">
        <v>63</v>
      </c>
      <c r="Y1588" t="s">
        <v>13972</v>
      </c>
      <c r="Z1588" t="s">
        <v>63</v>
      </c>
      <c r="AA1588" t="s">
        <v>63</v>
      </c>
      <c r="AB1588">
        <v>9752</v>
      </c>
      <c r="AC1588" t="s">
        <v>102</v>
      </c>
      <c r="AD1588" t="s">
        <v>63</v>
      </c>
      <c r="AE1588" t="s">
        <v>63</v>
      </c>
      <c r="AF1588" t="s">
        <v>63</v>
      </c>
      <c r="AG1588" t="s">
        <v>13973</v>
      </c>
      <c r="AH1588" t="s">
        <v>63</v>
      </c>
      <c r="AI1588" t="s">
        <v>63</v>
      </c>
      <c r="AJ1588" t="s">
        <v>63</v>
      </c>
      <c r="AK1588" t="s">
        <v>63</v>
      </c>
      <c r="AL1588" t="s">
        <v>63</v>
      </c>
      <c r="AM1588" t="s">
        <v>13974</v>
      </c>
      <c r="AN1588" t="s">
        <v>63</v>
      </c>
      <c r="AO1588" t="s">
        <v>63</v>
      </c>
      <c r="AP1588" t="s">
        <v>63</v>
      </c>
      <c r="AQ1588" t="s">
        <v>63</v>
      </c>
      <c r="AR1588" t="s">
        <v>63</v>
      </c>
      <c r="AS1588" t="s">
        <v>63</v>
      </c>
      <c r="AT1588" t="s">
        <v>63</v>
      </c>
      <c r="AU1588" t="s">
        <v>63</v>
      </c>
      <c r="AV1588" t="s">
        <v>63</v>
      </c>
      <c r="AW1588" t="s">
        <v>63</v>
      </c>
      <c r="AX1588" t="s">
        <v>63</v>
      </c>
      <c r="AY1588" t="s">
        <v>63</v>
      </c>
      <c r="AZ1588" t="s">
        <v>63</v>
      </c>
      <c r="BA1588" t="s">
        <v>63</v>
      </c>
      <c r="BB1588" t="s">
        <v>63</v>
      </c>
      <c r="BC1588" t="s">
        <v>63</v>
      </c>
      <c r="BD1588" t="s">
        <v>63</v>
      </c>
      <c r="BE1588" t="s">
        <v>63</v>
      </c>
      <c r="BF1588" t="s">
        <v>63</v>
      </c>
    </row>
    <row r="1589" spans="1:58">
      <c r="A1589" t="s">
        <v>58</v>
      </c>
      <c r="B1589" t="s">
        <v>13975</v>
      </c>
      <c r="C1589" t="s">
        <v>13976</v>
      </c>
      <c r="D1589" t="s">
        <v>1393</v>
      </c>
      <c r="E1589" t="s">
        <v>1394</v>
      </c>
      <c r="F1589">
        <v>2014</v>
      </c>
      <c r="G1589" t="s">
        <v>198</v>
      </c>
      <c r="H1589">
        <v>16</v>
      </c>
      <c r="I1589">
        <v>1</v>
      </c>
      <c r="J1589">
        <v>1</v>
      </c>
      <c r="K1589">
        <v>10</v>
      </c>
      <c r="L1589" t="s">
        <v>13977</v>
      </c>
      <c r="M1589" t="s">
        <v>13978</v>
      </c>
      <c r="N1589" t="s">
        <v>13979</v>
      </c>
      <c r="O1589" t="s">
        <v>63</v>
      </c>
      <c r="Q1589" t="s">
        <v>63</v>
      </c>
      <c r="R1589" t="s">
        <v>63</v>
      </c>
      <c r="S1589" t="s">
        <v>63</v>
      </c>
      <c r="T1589" t="s">
        <v>63</v>
      </c>
      <c r="X1589" t="s">
        <v>63</v>
      </c>
      <c r="Y1589" t="s">
        <v>5404</v>
      </c>
      <c r="Z1589" t="s">
        <v>63</v>
      </c>
      <c r="AA1589" t="s">
        <v>13980</v>
      </c>
      <c r="AB1589">
        <v>23873981</v>
      </c>
      <c r="AC1589" t="s">
        <v>67</v>
      </c>
      <c r="AD1589" t="s">
        <v>63</v>
      </c>
      <c r="AE1589" t="s">
        <v>63</v>
      </c>
      <c r="AF1589" t="s">
        <v>63</v>
      </c>
      <c r="AG1589" t="s">
        <v>13981</v>
      </c>
      <c r="AH1589" t="s">
        <v>63</v>
      </c>
      <c r="AI1589" t="s">
        <v>13982</v>
      </c>
      <c r="AJ1589" t="s">
        <v>63</v>
      </c>
      <c r="AK1589" t="s">
        <v>63</v>
      </c>
      <c r="AL1589" t="s">
        <v>63</v>
      </c>
      <c r="AM1589" t="s">
        <v>13983</v>
      </c>
      <c r="AN1589" t="s">
        <v>63</v>
      </c>
      <c r="AO1589" t="s">
        <v>63</v>
      </c>
      <c r="AP1589" t="s">
        <v>63</v>
      </c>
      <c r="AQ1589" t="s">
        <v>63</v>
      </c>
      <c r="AR1589" t="s">
        <v>63</v>
      </c>
      <c r="AS1589" t="s">
        <v>63</v>
      </c>
      <c r="AT1589" t="s">
        <v>63</v>
      </c>
      <c r="AU1589" t="s">
        <v>63</v>
      </c>
      <c r="AV1589" t="s">
        <v>63</v>
      </c>
      <c r="AW1589" t="s">
        <v>63</v>
      </c>
      <c r="AX1589" t="s">
        <v>63</v>
      </c>
      <c r="AY1589" t="s">
        <v>63</v>
      </c>
      <c r="AZ1589" t="s">
        <v>63</v>
      </c>
      <c r="BA1589" t="s">
        <v>63</v>
      </c>
      <c r="BB1589" t="s">
        <v>63</v>
      </c>
      <c r="BC1589" t="s">
        <v>63</v>
      </c>
      <c r="BD1589" t="s">
        <v>63</v>
      </c>
      <c r="BE1589" t="s">
        <v>63</v>
      </c>
      <c r="BF1589" t="s">
        <v>63</v>
      </c>
    </row>
    <row r="1590" spans="1:58">
      <c r="A1590" t="s">
        <v>58</v>
      </c>
      <c r="B1590" t="s">
        <v>13984</v>
      </c>
      <c r="C1590" t="s">
        <v>13985</v>
      </c>
      <c r="D1590" t="s">
        <v>13986</v>
      </c>
      <c r="E1590" t="s">
        <v>13987</v>
      </c>
      <c r="F1590">
        <v>1997</v>
      </c>
      <c r="G1590" t="s">
        <v>63</v>
      </c>
      <c r="H1590">
        <v>114</v>
      </c>
      <c r="I1590" t="s">
        <v>63</v>
      </c>
      <c r="J1590">
        <v>51</v>
      </c>
      <c r="K1590">
        <v>54</v>
      </c>
      <c r="L1590" t="s">
        <v>13988</v>
      </c>
      <c r="M1590" t="s">
        <v>63</v>
      </c>
      <c r="N1590" t="s">
        <v>13989</v>
      </c>
      <c r="O1590" t="s">
        <v>63</v>
      </c>
      <c r="Q1590" t="s">
        <v>63</v>
      </c>
      <c r="R1590" t="s">
        <v>63</v>
      </c>
      <c r="S1590" t="s">
        <v>63</v>
      </c>
      <c r="T1590" t="s">
        <v>63</v>
      </c>
      <c r="X1590" t="s">
        <v>63</v>
      </c>
      <c r="Y1590" t="s">
        <v>13990</v>
      </c>
      <c r="Z1590" t="s">
        <v>63</v>
      </c>
      <c r="AA1590" t="s">
        <v>63</v>
      </c>
      <c r="AB1590">
        <v>10824255</v>
      </c>
      <c r="AC1590" t="s">
        <v>67</v>
      </c>
      <c r="AD1590" t="s">
        <v>63</v>
      </c>
      <c r="AE1590" t="s">
        <v>63</v>
      </c>
      <c r="AF1590" t="s">
        <v>63</v>
      </c>
      <c r="AG1590" t="s">
        <v>13991</v>
      </c>
      <c r="AH1590" t="s">
        <v>63</v>
      </c>
      <c r="AI1590" t="s">
        <v>63</v>
      </c>
      <c r="AJ1590" t="s">
        <v>63</v>
      </c>
      <c r="AK1590" t="s">
        <v>63</v>
      </c>
      <c r="AL1590" t="s">
        <v>63</v>
      </c>
      <c r="AM1590" t="s">
        <v>13992</v>
      </c>
      <c r="AN1590" t="s">
        <v>63</v>
      </c>
      <c r="AO1590" t="s">
        <v>63</v>
      </c>
      <c r="AP1590" t="s">
        <v>63</v>
      </c>
      <c r="AQ1590" t="s">
        <v>63</v>
      </c>
      <c r="AR1590" t="s">
        <v>63</v>
      </c>
      <c r="AS1590" t="s">
        <v>63</v>
      </c>
      <c r="AT1590" t="s">
        <v>63</v>
      </c>
      <c r="AU1590" t="s">
        <v>63</v>
      </c>
      <c r="AV1590" t="s">
        <v>63</v>
      </c>
      <c r="AW1590" t="s">
        <v>63</v>
      </c>
      <c r="AX1590" t="s">
        <v>63</v>
      </c>
      <c r="AY1590" t="s">
        <v>63</v>
      </c>
      <c r="AZ1590" t="s">
        <v>63</v>
      </c>
      <c r="BA1590" t="s">
        <v>63</v>
      </c>
      <c r="BB1590" t="s">
        <v>63</v>
      </c>
      <c r="BC1590" t="s">
        <v>63</v>
      </c>
      <c r="BD1590" t="s">
        <v>63</v>
      </c>
      <c r="BE1590" t="s">
        <v>63</v>
      </c>
      <c r="BF1590" t="s">
        <v>63</v>
      </c>
    </row>
    <row r="1591" spans="1:58">
      <c r="A1591" t="s">
        <v>58</v>
      </c>
      <c r="B1591" t="s">
        <v>13993</v>
      </c>
      <c r="C1591" t="s">
        <v>13994</v>
      </c>
      <c r="D1591" t="s">
        <v>13017</v>
      </c>
      <c r="E1591" t="s">
        <v>13017</v>
      </c>
      <c r="F1591">
        <v>2013</v>
      </c>
      <c r="G1591" t="s">
        <v>1670</v>
      </c>
      <c r="H1591">
        <v>75</v>
      </c>
      <c r="I1591">
        <v>7</v>
      </c>
      <c r="J1591">
        <v>430</v>
      </c>
      <c r="K1591">
        <v>437</v>
      </c>
      <c r="L1591" t="s">
        <v>13995</v>
      </c>
      <c r="M1591" t="s">
        <v>13996</v>
      </c>
      <c r="N1591" t="s">
        <v>13997</v>
      </c>
      <c r="O1591" t="s">
        <v>63</v>
      </c>
      <c r="Q1591" t="s">
        <v>63</v>
      </c>
      <c r="R1591" t="s">
        <v>63</v>
      </c>
      <c r="S1591" t="s">
        <v>63</v>
      </c>
      <c r="T1591" t="s">
        <v>63</v>
      </c>
      <c r="X1591" t="s">
        <v>63</v>
      </c>
      <c r="Y1591" t="s">
        <v>13021</v>
      </c>
      <c r="Z1591" t="s">
        <v>63</v>
      </c>
      <c r="AA1591" t="s">
        <v>13998</v>
      </c>
      <c r="AB1591">
        <v>22864843</v>
      </c>
      <c r="AC1591" t="s">
        <v>102</v>
      </c>
      <c r="AD1591" t="s">
        <v>63</v>
      </c>
      <c r="AE1591" t="s">
        <v>63</v>
      </c>
      <c r="AF1591" t="s">
        <v>63</v>
      </c>
      <c r="AG1591" t="s">
        <v>13999</v>
      </c>
      <c r="AH1591" t="s">
        <v>63</v>
      </c>
      <c r="AI1591" t="s">
        <v>14000</v>
      </c>
      <c r="AJ1591" t="s">
        <v>63</v>
      </c>
      <c r="AK1591" t="s">
        <v>63</v>
      </c>
      <c r="AL1591" t="s">
        <v>63</v>
      </c>
      <c r="AM1591" t="s">
        <v>14001</v>
      </c>
      <c r="AN1591" t="s">
        <v>63</v>
      </c>
      <c r="AO1591" t="s">
        <v>63</v>
      </c>
      <c r="AP1591" t="s">
        <v>63</v>
      </c>
      <c r="AQ1591" t="s">
        <v>63</v>
      </c>
      <c r="AR1591" t="s">
        <v>63</v>
      </c>
      <c r="AS1591" t="s">
        <v>63</v>
      </c>
      <c r="AT1591" t="s">
        <v>63</v>
      </c>
      <c r="AU1591" t="s">
        <v>63</v>
      </c>
      <c r="AV1591" t="s">
        <v>63</v>
      </c>
      <c r="AW1591" t="s">
        <v>63</v>
      </c>
      <c r="AX1591" t="s">
        <v>63</v>
      </c>
      <c r="AY1591" t="s">
        <v>63</v>
      </c>
      <c r="AZ1591" t="s">
        <v>63</v>
      </c>
      <c r="BA1591" t="s">
        <v>63</v>
      </c>
      <c r="BB1591" t="s">
        <v>63</v>
      </c>
      <c r="BC1591" t="s">
        <v>63</v>
      </c>
      <c r="BD1591" t="s">
        <v>63</v>
      </c>
      <c r="BE1591" t="s">
        <v>63</v>
      </c>
      <c r="BF1591" t="s">
        <v>63</v>
      </c>
    </row>
    <row r="1592" spans="1:58">
      <c r="A1592" t="s">
        <v>58</v>
      </c>
      <c r="B1592" t="s">
        <v>14002</v>
      </c>
      <c r="C1592" t="s">
        <v>14003</v>
      </c>
      <c r="D1592" t="s">
        <v>10262</v>
      </c>
      <c r="E1592" t="s">
        <v>63</v>
      </c>
      <c r="F1592">
        <v>2012</v>
      </c>
      <c r="G1592" t="s">
        <v>138</v>
      </c>
      <c r="H1592">
        <v>34</v>
      </c>
      <c r="I1592">
        <v>3</v>
      </c>
      <c r="J1592">
        <v>249</v>
      </c>
      <c r="K1592">
        <v>260</v>
      </c>
      <c r="L1592" t="s">
        <v>14004</v>
      </c>
      <c r="M1592" t="s">
        <v>14005</v>
      </c>
      <c r="N1592" t="s">
        <v>14006</v>
      </c>
      <c r="O1592" t="s">
        <v>63</v>
      </c>
      <c r="Q1592" t="s">
        <v>63</v>
      </c>
      <c r="R1592" t="s">
        <v>63</v>
      </c>
      <c r="S1592" t="s">
        <v>63</v>
      </c>
      <c r="T1592" t="s">
        <v>63</v>
      </c>
      <c r="X1592" t="s">
        <v>63</v>
      </c>
      <c r="Y1592" t="s">
        <v>10627</v>
      </c>
      <c r="Z1592" t="s">
        <v>63</v>
      </c>
      <c r="AA1592" t="s">
        <v>14007</v>
      </c>
      <c r="AB1592">
        <v>23429770</v>
      </c>
      <c r="AC1592" t="s">
        <v>67</v>
      </c>
      <c r="AD1592" t="s">
        <v>63</v>
      </c>
      <c r="AE1592" t="s">
        <v>63</v>
      </c>
      <c r="AF1592" t="s">
        <v>63</v>
      </c>
      <c r="AG1592" t="s">
        <v>14008</v>
      </c>
      <c r="AH1592" t="s">
        <v>63</v>
      </c>
      <c r="AI1592" t="s">
        <v>63</v>
      </c>
      <c r="AJ1592" t="s">
        <v>63</v>
      </c>
      <c r="AK1592" t="s">
        <v>63</v>
      </c>
      <c r="AL1592" t="s">
        <v>63</v>
      </c>
      <c r="AM1592" t="s">
        <v>14009</v>
      </c>
      <c r="AN1592" t="s">
        <v>63</v>
      </c>
      <c r="AO1592" t="s">
        <v>63</v>
      </c>
      <c r="AP1592" t="s">
        <v>63</v>
      </c>
      <c r="AQ1592" t="s">
        <v>63</v>
      </c>
      <c r="AR1592" t="s">
        <v>63</v>
      </c>
      <c r="AS1592" t="s">
        <v>63</v>
      </c>
      <c r="AT1592" t="s">
        <v>63</v>
      </c>
      <c r="AU1592" t="s">
        <v>63</v>
      </c>
      <c r="AV1592" t="s">
        <v>63</v>
      </c>
      <c r="AW1592" t="s">
        <v>63</v>
      </c>
      <c r="AX1592" t="s">
        <v>63</v>
      </c>
      <c r="AY1592" t="s">
        <v>63</v>
      </c>
      <c r="AZ1592" t="s">
        <v>63</v>
      </c>
      <c r="BA1592" t="s">
        <v>63</v>
      </c>
      <c r="BB1592" t="s">
        <v>63</v>
      </c>
      <c r="BC1592" t="s">
        <v>63</v>
      </c>
      <c r="BD1592" t="s">
        <v>63</v>
      </c>
      <c r="BE1592" t="s">
        <v>63</v>
      </c>
      <c r="BF1592" t="s">
        <v>63</v>
      </c>
    </row>
    <row r="1593" spans="1:58">
      <c r="A1593" t="s">
        <v>58</v>
      </c>
      <c r="B1593" t="s">
        <v>14010</v>
      </c>
      <c r="C1593" t="s">
        <v>14011</v>
      </c>
      <c r="D1593" t="s">
        <v>137</v>
      </c>
      <c r="E1593" t="s">
        <v>63</v>
      </c>
      <c r="F1593">
        <v>2010</v>
      </c>
      <c r="G1593" t="s">
        <v>326</v>
      </c>
      <c r="H1593">
        <v>56</v>
      </c>
      <c r="I1593">
        <v>2</v>
      </c>
      <c r="J1593">
        <v>157</v>
      </c>
      <c r="K1593">
        <v>163</v>
      </c>
      <c r="L1593" t="s">
        <v>14012</v>
      </c>
      <c r="M1593" t="s">
        <v>14013</v>
      </c>
      <c r="N1593" t="s">
        <v>14014</v>
      </c>
      <c r="O1593" t="s">
        <v>63</v>
      </c>
      <c r="Q1593" t="s">
        <v>63</v>
      </c>
      <c r="R1593" t="s">
        <v>63</v>
      </c>
      <c r="S1593" t="s">
        <v>63</v>
      </c>
      <c r="T1593" t="s">
        <v>63</v>
      </c>
      <c r="X1593" t="s">
        <v>63</v>
      </c>
      <c r="Y1593" t="s">
        <v>6884</v>
      </c>
      <c r="Z1593" t="s">
        <v>63</v>
      </c>
      <c r="AA1593" t="s">
        <v>14015</v>
      </c>
      <c r="AB1593">
        <v>20154251</v>
      </c>
      <c r="AC1593" t="s">
        <v>67</v>
      </c>
      <c r="AD1593" t="s">
        <v>63</v>
      </c>
      <c r="AE1593" t="s">
        <v>63</v>
      </c>
      <c r="AF1593" t="s">
        <v>63</v>
      </c>
      <c r="AG1593" t="s">
        <v>14016</v>
      </c>
      <c r="AH1593" t="s">
        <v>63</v>
      </c>
      <c r="AI1593" t="s">
        <v>63</v>
      </c>
      <c r="AJ1593" t="s">
        <v>63</v>
      </c>
      <c r="AK1593" t="s">
        <v>63</v>
      </c>
      <c r="AL1593" t="s">
        <v>63</v>
      </c>
      <c r="AM1593" t="s">
        <v>14017</v>
      </c>
      <c r="AN1593" t="s">
        <v>63</v>
      </c>
      <c r="AO1593" t="s">
        <v>63</v>
      </c>
      <c r="AP1593" t="s">
        <v>63</v>
      </c>
      <c r="AQ1593" t="s">
        <v>63</v>
      </c>
      <c r="AR1593" t="s">
        <v>63</v>
      </c>
      <c r="AS1593" t="s">
        <v>63</v>
      </c>
      <c r="AT1593" t="s">
        <v>63</v>
      </c>
      <c r="AU1593" t="s">
        <v>63</v>
      </c>
      <c r="AV1593" t="s">
        <v>63</v>
      </c>
      <c r="AW1593" t="s">
        <v>63</v>
      </c>
      <c r="AX1593" t="s">
        <v>63</v>
      </c>
      <c r="AY1593" t="s">
        <v>63</v>
      </c>
      <c r="AZ1593" t="s">
        <v>63</v>
      </c>
      <c r="BA1593" t="s">
        <v>63</v>
      </c>
      <c r="BB1593" t="s">
        <v>63</v>
      </c>
      <c r="BC1593" t="s">
        <v>63</v>
      </c>
      <c r="BD1593" t="s">
        <v>63</v>
      </c>
      <c r="BE1593" t="s">
        <v>63</v>
      </c>
      <c r="BF1593" t="s">
        <v>63</v>
      </c>
    </row>
    <row r="1594" spans="1:58">
      <c r="A1594" t="s">
        <v>58</v>
      </c>
      <c r="B1594" t="s">
        <v>14018</v>
      </c>
      <c r="C1594" t="s">
        <v>14019</v>
      </c>
      <c r="D1594" t="s">
        <v>2353</v>
      </c>
      <c r="E1594" t="s">
        <v>2354</v>
      </c>
      <c r="F1594">
        <v>2001</v>
      </c>
      <c r="G1594" t="s">
        <v>138</v>
      </c>
      <c r="H1594">
        <v>21</v>
      </c>
      <c r="I1594">
        <v>3</v>
      </c>
      <c r="J1594">
        <v>135</v>
      </c>
      <c r="K1594">
        <v>144</v>
      </c>
      <c r="L1594" t="s">
        <v>14020</v>
      </c>
      <c r="M1594" t="s">
        <v>14021</v>
      </c>
      <c r="N1594" t="s">
        <v>14022</v>
      </c>
      <c r="O1594" t="s">
        <v>63</v>
      </c>
      <c r="Q1594" t="s">
        <v>63</v>
      </c>
      <c r="R1594" t="s">
        <v>63</v>
      </c>
      <c r="S1594" t="s">
        <v>63</v>
      </c>
      <c r="T1594" t="s">
        <v>63</v>
      </c>
      <c r="X1594" t="s">
        <v>63</v>
      </c>
      <c r="Y1594" t="s">
        <v>2358</v>
      </c>
      <c r="Z1594" t="s">
        <v>63</v>
      </c>
      <c r="AA1594" t="s">
        <v>14023</v>
      </c>
      <c r="AB1594">
        <v>11728787</v>
      </c>
      <c r="AC1594" t="s">
        <v>67</v>
      </c>
      <c r="AD1594" t="s">
        <v>63</v>
      </c>
      <c r="AE1594" t="s">
        <v>63</v>
      </c>
      <c r="AF1594" t="s">
        <v>63</v>
      </c>
      <c r="AG1594" t="s">
        <v>14024</v>
      </c>
      <c r="AH1594" t="s">
        <v>63</v>
      </c>
      <c r="AI1594" t="s">
        <v>63</v>
      </c>
      <c r="AJ1594" t="s">
        <v>63</v>
      </c>
      <c r="AK1594" t="s">
        <v>63</v>
      </c>
      <c r="AL1594" t="s">
        <v>63</v>
      </c>
      <c r="AM1594" t="s">
        <v>14025</v>
      </c>
      <c r="AN1594" t="s">
        <v>63</v>
      </c>
      <c r="AO1594" t="s">
        <v>63</v>
      </c>
      <c r="AP1594" t="s">
        <v>63</v>
      </c>
      <c r="AQ1594" t="s">
        <v>63</v>
      </c>
      <c r="AR1594" t="s">
        <v>63</v>
      </c>
      <c r="AS1594" t="s">
        <v>63</v>
      </c>
      <c r="AT1594" t="s">
        <v>63</v>
      </c>
      <c r="AU1594" t="s">
        <v>63</v>
      </c>
      <c r="AV1594" t="s">
        <v>63</v>
      </c>
      <c r="AW1594" t="s">
        <v>63</v>
      </c>
      <c r="AX1594" t="s">
        <v>63</v>
      </c>
      <c r="AY1594" t="s">
        <v>63</v>
      </c>
      <c r="AZ1594" t="s">
        <v>63</v>
      </c>
      <c r="BA1594" t="s">
        <v>63</v>
      </c>
      <c r="BB1594" t="s">
        <v>63</v>
      </c>
      <c r="BC1594" t="s">
        <v>63</v>
      </c>
      <c r="BD1594" t="s">
        <v>63</v>
      </c>
      <c r="BE1594" t="s">
        <v>63</v>
      </c>
      <c r="BF1594" t="s">
        <v>63</v>
      </c>
    </row>
    <row r="1595" spans="1:58">
      <c r="A1595" t="s">
        <v>58</v>
      </c>
      <c r="B1595" t="s">
        <v>14026</v>
      </c>
      <c r="C1595" t="s">
        <v>14027</v>
      </c>
      <c r="D1595" t="s">
        <v>3142</v>
      </c>
      <c r="E1595" t="s">
        <v>3143</v>
      </c>
      <c r="F1595">
        <v>1990</v>
      </c>
      <c r="G1595" t="s">
        <v>198</v>
      </c>
      <c r="H1595">
        <v>150</v>
      </c>
      <c r="I1595">
        <v>1</v>
      </c>
      <c r="J1595">
        <v>225</v>
      </c>
      <c r="K1595" t="s">
        <v>63</v>
      </c>
      <c r="L1595" t="s">
        <v>14028</v>
      </c>
      <c r="M1595" t="s">
        <v>63</v>
      </c>
      <c r="N1595" t="s">
        <v>14029</v>
      </c>
      <c r="O1595" t="s">
        <v>63</v>
      </c>
      <c r="Q1595" t="s">
        <v>63</v>
      </c>
      <c r="R1595" t="s">
        <v>63</v>
      </c>
      <c r="S1595" t="s">
        <v>63</v>
      </c>
      <c r="T1595" t="s">
        <v>63</v>
      </c>
      <c r="X1595" t="s">
        <v>63</v>
      </c>
      <c r="Y1595" s="2">
        <v>2930035</v>
      </c>
      <c r="Z1595" t="s">
        <v>63</v>
      </c>
      <c r="AA1595" t="s">
        <v>63</v>
      </c>
      <c r="AB1595">
        <v>2297293</v>
      </c>
      <c r="AC1595" t="s">
        <v>67</v>
      </c>
      <c r="AD1595" t="s">
        <v>63</v>
      </c>
      <c r="AE1595" t="s">
        <v>63</v>
      </c>
      <c r="AF1595" t="s">
        <v>63</v>
      </c>
      <c r="AG1595" t="s">
        <v>14030</v>
      </c>
      <c r="AH1595" t="s">
        <v>63</v>
      </c>
      <c r="AI1595" t="s">
        <v>63</v>
      </c>
      <c r="AJ1595" t="s">
        <v>63</v>
      </c>
      <c r="AK1595" t="s">
        <v>63</v>
      </c>
      <c r="AL1595" t="s">
        <v>63</v>
      </c>
      <c r="AM1595" t="s">
        <v>14031</v>
      </c>
      <c r="AN1595" t="s">
        <v>63</v>
      </c>
      <c r="AO1595" t="s">
        <v>63</v>
      </c>
      <c r="AP1595" t="s">
        <v>63</v>
      </c>
      <c r="AQ1595" t="s">
        <v>63</v>
      </c>
      <c r="AR1595" t="s">
        <v>63</v>
      </c>
      <c r="AS1595" t="s">
        <v>63</v>
      </c>
      <c r="AT1595" t="s">
        <v>63</v>
      </c>
      <c r="AU1595" t="s">
        <v>63</v>
      </c>
      <c r="AV1595" t="s">
        <v>63</v>
      </c>
      <c r="AW1595" t="s">
        <v>63</v>
      </c>
      <c r="AX1595" t="s">
        <v>63</v>
      </c>
      <c r="AY1595" t="s">
        <v>63</v>
      </c>
      <c r="AZ1595" t="s">
        <v>63</v>
      </c>
      <c r="BA1595" t="s">
        <v>63</v>
      </c>
      <c r="BB1595" t="s">
        <v>63</v>
      </c>
      <c r="BC1595" t="s">
        <v>63</v>
      </c>
      <c r="BD1595" t="s">
        <v>63</v>
      </c>
      <c r="BE1595" t="s">
        <v>63</v>
      </c>
      <c r="BF1595" t="s">
        <v>63</v>
      </c>
    </row>
    <row r="1596" spans="1:58">
      <c r="A1596" t="s">
        <v>58</v>
      </c>
      <c r="B1596" t="s">
        <v>14032</v>
      </c>
      <c r="C1596" t="s">
        <v>14033</v>
      </c>
      <c r="D1596" t="s">
        <v>14034</v>
      </c>
      <c r="E1596" t="s">
        <v>63</v>
      </c>
      <c r="F1596">
        <v>2016</v>
      </c>
      <c r="G1596">
        <v>4</v>
      </c>
      <c r="H1596">
        <v>5</v>
      </c>
      <c r="I1596">
        <v>2</v>
      </c>
      <c r="J1596">
        <v>4</v>
      </c>
      <c r="K1596" t="s">
        <v>63</v>
      </c>
      <c r="L1596" t="s">
        <v>63</v>
      </c>
      <c r="M1596" t="s">
        <v>14035</v>
      </c>
      <c r="N1596" t="s">
        <v>14036</v>
      </c>
      <c r="O1596" t="s">
        <v>63</v>
      </c>
      <c r="Q1596" t="s">
        <v>63</v>
      </c>
      <c r="R1596" t="s">
        <v>63</v>
      </c>
      <c r="S1596" t="s">
        <v>63</v>
      </c>
      <c r="T1596" t="s">
        <v>63</v>
      </c>
      <c r="X1596" t="s">
        <v>63</v>
      </c>
      <c r="Y1596" t="s">
        <v>14037</v>
      </c>
      <c r="Z1596" t="s">
        <v>63</v>
      </c>
      <c r="AA1596" t="s">
        <v>14038</v>
      </c>
      <c r="AB1596">
        <v>28090374</v>
      </c>
      <c r="AC1596" t="s">
        <v>67</v>
      </c>
      <c r="AD1596" t="s">
        <v>63</v>
      </c>
      <c r="AE1596" t="s">
        <v>63</v>
      </c>
      <c r="AF1596" t="s">
        <v>63</v>
      </c>
      <c r="AG1596" t="s">
        <v>14039</v>
      </c>
      <c r="AH1596" t="s">
        <v>63</v>
      </c>
      <c r="AI1596" t="s">
        <v>14040</v>
      </c>
      <c r="AJ1596" t="s">
        <v>63</v>
      </c>
      <c r="AK1596" t="s">
        <v>63</v>
      </c>
      <c r="AL1596" t="s">
        <v>63</v>
      </c>
      <c r="AM1596" t="s">
        <v>14041</v>
      </c>
      <c r="AN1596" t="s">
        <v>63</v>
      </c>
      <c r="AO1596" t="s">
        <v>63</v>
      </c>
      <c r="AP1596" t="s">
        <v>63</v>
      </c>
      <c r="AQ1596" t="s">
        <v>63</v>
      </c>
      <c r="AR1596" t="s">
        <v>63</v>
      </c>
      <c r="AS1596" t="s">
        <v>63</v>
      </c>
      <c r="AT1596" t="s">
        <v>63</v>
      </c>
      <c r="AU1596" t="s">
        <v>63</v>
      </c>
      <c r="AV1596" t="s">
        <v>63</v>
      </c>
      <c r="AW1596" t="s">
        <v>63</v>
      </c>
      <c r="AX1596" t="s">
        <v>63</v>
      </c>
      <c r="AY1596" t="s">
        <v>63</v>
      </c>
      <c r="AZ1596" t="s">
        <v>63</v>
      </c>
      <c r="BA1596" t="s">
        <v>63</v>
      </c>
      <c r="BB1596" t="s">
        <v>63</v>
      </c>
      <c r="BC1596" t="s">
        <v>63</v>
      </c>
      <c r="BD1596" t="s">
        <v>63</v>
      </c>
      <c r="BE1596" t="s">
        <v>63</v>
      </c>
      <c r="BF1596" t="s">
        <v>63</v>
      </c>
    </row>
    <row r="1597" spans="1:58">
      <c r="A1597" t="s">
        <v>58</v>
      </c>
      <c r="B1597" t="s">
        <v>14042</v>
      </c>
      <c r="C1597" t="s">
        <v>14043</v>
      </c>
      <c r="D1597" t="s">
        <v>155</v>
      </c>
      <c r="E1597" t="s">
        <v>156</v>
      </c>
      <c r="F1597">
        <v>2006</v>
      </c>
      <c r="G1597" t="s">
        <v>138</v>
      </c>
      <c r="H1597">
        <v>48</v>
      </c>
      <c r="I1597">
        <v>4</v>
      </c>
      <c r="J1597">
        <v>406</v>
      </c>
      <c r="K1597" t="s">
        <v>14044</v>
      </c>
      <c r="L1597" t="s">
        <v>14045</v>
      </c>
      <c r="M1597" t="s">
        <v>14046</v>
      </c>
      <c r="N1597" t="s">
        <v>14047</v>
      </c>
      <c r="O1597" t="s">
        <v>63</v>
      </c>
      <c r="Q1597" t="s">
        <v>63</v>
      </c>
      <c r="R1597" t="s">
        <v>63</v>
      </c>
      <c r="S1597" t="s">
        <v>63</v>
      </c>
      <c r="T1597" t="s">
        <v>63</v>
      </c>
      <c r="X1597" t="s">
        <v>63</v>
      </c>
      <c r="Y1597" t="s">
        <v>2310</v>
      </c>
      <c r="Z1597" t="s">
        <v>63</v>
      </c>
      <c r="AA1597" t="s">
        <v>14048</v>
      </c>
      <c r="AB1597">
        <v>16997676</v>
      </c>
      <c r="AC1597" t="s">
        <v>67</v>
      </c>
      <c r="AD1597" t="s">
        <v>63</v>
      </c>
      <c r="AE1597" t="s">
        <v>63</v>
      </c>
      <c r="AF1597" t="s">
        <v>63</v>
      </c>
      <c r="AG1597" t="s">
        <v>14049</v>
      </c>
      <c r="AH1597" t="s">
        <v>63</v>
      </c>
      <c r="AI1597" t="s">
        <v>63</v>
      </c>
      <c r="AJ1597" t="s">
        <v>63</v>
      </c>
      <c r="AK1597" t="s">
        <v>63</v>
      </c>
      <c r="AL1597" t="s">
        <v>63</v>
      </c>
      <c r="AM1597" t="s">
        <v>14050</v>
      </c>
      <c r="AN1597" t="s">
        <v>63</v>
      </c>
      <c r="AO1597" t="s">
        <v>63</v>
      </c>
      <c r="AP1597" t="s">
        <v>63</v>
      </c>
      <c r="AQ1597" t="s">
        <v>63</v>
      </c>
      <c r="AR1597" t="s">
        <v>63</v>
      </c>
      <c r="AS1597" t="s">
        <v>63</v>
      </c>
      <c r="AT1597" t="s">
        <v>63</v>
      </c>
      <c r="AU1597" t="s">
        <v>63</v>
      </c>
      <c r="AV1597" t="s">
        <v>63</v>
      </c>
      <c r="AW1597" t="s">
        <v>63</v>
      </c>
      <c r="AX1597" t="s">
        <v>63</v>
      </c>
      <c r="AY1597" t="s">
        <v>63</v>
      </c>
      <c r="AZ1597" t="s">
        <v>63</v>
      </c>
      <c r="BA1597" t="s">
        <v>63</v>
      </c>
      <c r="BB1597" t="s">
        <v>63</v>
      </c>
      <c r="BC1597" t="s">
        <v>63</v>
      </c>
      <c r="BD1597" t="s">
        <v>63</v>
      </c>
      <c r="BE1597" t="s">
        <v>63</v>
      </c>
      <c r="BF1597" t="s">
        <v>63</v>
      </c>
    </row>
    <row r="1598" spans="1:58">
      <c r="A1598" t="s">
        <v>58</v>
      </c>
      <c r="B1598" t="s">
        <v>14051</v>
      </c>
      <c r="C1598" t="s">
        <v>14052</v>
      </c>
      <c r="D1598" t="s">
        <v>205</v>
      </c>
      <c r="E1598" t="s">
        <v>205</v>
      </c>
      <c r="F1598">
        <v>2011</v>
      </c>
      <c r="G1598" s="1">
        <v>41734</v>
      </c>
      <c r="H1598">
        <v>305</v>
      </c>
      <c r="I1598">
        <v>13</v>
      </c>
      <c r="J1598">
        <v>1346</v>
      </c>
      <c r="K1598">
        <v>1347</v>
      </c>
      <c r="L1598" t="s">
        <v>14053</v>
      </c>
      <c r="M1598" t="s">
        <v>63</v>
      </c>
      <c r="N1598" t="s">
        <v>14054</v>
      </c>
      <c r="O1598" t="s">
        <v>63</v>
      </c>
      <c r="Q1598" t="s">
        <v>63</v>
      </c>
      <c r="R1598" t="s">
        <v>63</v>
      </c>
      <c r="S1598" t="s">
        <v>63</v>
      </c>
      <c r="T1598" t="s">
        <v>63</v>
      </c>
      <c r="X1598" t="s">
        <v>63</v>
      </c>
      <c r="Y1598" t="s">
        <v>2744</v>
      </c>
      <c r="Z1598" t="s">
        <v>63</v>
      </c>
      <c r="AA1598" t="s">
        <v>14055</v>
      </c>
      <c r="AB1598">
        <v>21467287</v>
      </c>
      <c r="AC1598" t="s">
        <v>67</v>
      </c>
      <c r="AD1598" t="s">
        <v>63</v>
      </c>
      <c r="AE1598" t="s">
        <v>63</v>
      </c>
      <c r="AF1598" t="s">
        <v>63</v>
      </c>
      <c r="AG1598" t="s">
        <v>14056</v>
      </c>
      <c r="AH1598" t="s">
        <v>63</v>
      </c>
      <c r="AI1598" t="s">
        <v>14057</v>
      </c>
      <c r="AJ1598" t="s">
        <v>63</v>
      </c>
      <c r="AK1598" t="s">
        <v>63</v>
      </c>
      <c r="AL1598" t="s">
        <v>63</v>
      </c>
      <c r="AM1598" t="s">
        <v>14058</v>
      </c>
      <c r="AN1598" t="s">
        <v>63</v>
      </c>
      <c r="AO1598" t="s">
        <v>63</v>
      </c>
      <c r="AP1598" t="s">
        <v>63</v>
      </c>
      <c r="AQ1598" t="s">
        <v>63</v>
      </c>
      <c r="AR1598" t="s">
        <v>63</v>
      </c>
      <c r="AS1598" t="s">
        <v>63</v>
      </c>
      <c r="AT1598" t="s">
        <v>63</v>
      </c>
      <c r="AU1598" t="s">
        <v>63</v>
      </c>
      <c r="AV1598" t="s">
        <v>63</v>
      </c>
      <c r="AW1598" t="s">
        <v>63</v>
      </c>
      <c r="AX1598" t="s">
        <v>63</v>
      </c>
      <c r="AY1598" t="s">
        <v>63</v>
      </c>
      <c r="AZ1598" t="s">
        <v>63</v>
      </c>
      <c r="BA1598" t="s">
        <v>63</v>
      </c>
      <c r="BB1598" t="s">
        <v>63</v>
      </c>
      <c r="BC1598" t="s">
        <v>63</v>
      </c>
      <c r="BD1598" t="s">
        <v>63</v>
      </c>
      <c r="BE1598" t="s">
        <v>63</v>
      </c>
      <c r="BF1598" t="s">
        <v>63</v>
      </c>
    </row>
    <row r="1599" spans="1:58">
      <c r="A1599" t="s">
        <v>58</v>
      </c>
      <c r="B1599" t="s">
        <v>14059</v>
      </c>
      <c r="C1599" t="s">
        <v>14060</v>
      </c>
      <c r="D1599" t="s">
        <v>6259</v>
      </c>
      <c r="E1599" t="s">
        <v>63</v>
      </c>
      <c r="F1599">
        <v>2008</v>
      </c>
      <c r="G1599" t="s">
        <v>63</v>
      </c>
      <c r="H1599">
        <v>32</v>
      </c>
      <c r="I1599">
        <v>3</v>
      </c>
      <c r="J1599">
        <v>209</v>
      </c>
      <c r="K1599">
        <v>214</v>
      </c>
      <c r="L1599" t="s">
        <v>14061</v>
      </c>
      <c r="M1599" t="s">
        <v>14062</v>
      </c>
      <c r="N1599" t="s">
        <v>14063</v>
      </c>
      <c r="O1599" t="s">
        <v>63</v>
      </c>
      <c r="Q1599" t="s">
        <v>63</v>
      </c>
      <c r="R1599" t="s">
        <v>63</v>
      </c>
      <c r="S1599" t="s">
        <v>63</v>
      </c>
      <c r="T1599" t="s">
        <v>63</v>
      </c>
      <c r="X1599" t="s">
        <v>63</v>
      </c>
      <c r="Y1599" t="s">
        <v>14064</v>
      </c>
      <c r="Z1599" t="s">
        <v>63</v>
      </c>
      <c r="AA1599" t="s">
        <v>14065</v>
      </c>
      <c r="AB1599">
        <v>18789608</v>
      </c>
      <c r="AC1599" t="s">
        <v>67</v>
      </c>
      <c r="AD1599" t="s">
        <v>63</v>
      </c>
      <c r="AE1599" t="s">
        <v>63</v>
      </c>
      <c r="AF1599" t="s">
        <v>63</v>
      </c>
      <c r="AG1599" t="s">
        <v>14066</v>
      </c>
      <c r="AH1599" t="s">
        <v>63</v>
      </c>
      <c r="AI1599" t="s">
        <v>14067</v>
      </c>
      <c r="AJ1599" t="s">
        <v>63</v>
      </c>
      <c r="AK1599" t="s">
        <v>63</v>
      </c>
      <c r="AL1599" t="s">
        <v>63</v>
      </c>
      <c r="AM1599" t="s">
        <v>14068</v>
      </c>
      <c r="AN1599" t="s">
        <v>63</v>
      </c>
      <c r="AO1599" t="s">
        <v>63</v>
      </c>
      <c r="AP1599" t="s">
        <v>63</v>
      </c>
      <c r="AQ1599" t="s">
        <v>63</v>
      </c>
      <c r="AR1599" t="s">
        <v>63</v>
      </c>
      <c r="AS1599" t="s">
        <v>63</v>
      </c>
      <c r="AT1599" t="s">
        <v>63</v>
      </c>
      <c r="AU1599" t="s">
        <v>63</v>
      </c>
      <c r="AV1599" t="s">
        <v>63</v>
      </c>
      <c r="AW1599" t="s">
        <v>63</v>
      </c>
      <c r="AX1599" t="s">
        <v>63</v>
      </c>
      <c r="AY1599" t="s">
        <v>63</v>
      </c>
      <c r="AZ1599" t="s">
        <v>63</v>
      </c>
      <c r="BA1599" t="s">
        <v>63</v>
      </c>
      <c r="BB1599" t="s">
        <v>63</v>
      </c>
      <c r="BC1599" t="s">
        <v>63</v>
      </c>
      <c r="BD1599" t="s">
        <v>63</v>
      </c>
      <c r="BE1599" t="s">
        <v>63</v>
      </c>
      <c r="BF1599" t="s">
        <v>63</v>
      </c>
    </row>
    <row r="1600" spans="1:58">
      <c r="A1600" t="s">
        <v>58</v>
      </c>
      <c r="B1600" t="s">
        <v>14069</v>
      </c>
      <c r="C1600" t="s">
        <v>14070</v>
      </c>
      <c r="D1600" t="s">
        <v>4257</v>
      </c>
      <c r="E1600" t="s">
        <v>63</v>
      </c>
      <c r="F1600">
        <v>2010</v>
      </c>
      <c r="G1600" s="1">
        <v>41717</v>
      </c>
      <c r="H1600">
        <v>140</v>
      </c>
      <c r="I1600" s="1">
        <v>41954</v>
      </c>
      <c r="J1600">
        <v>175</v>
      </c>
      <c r="K1600">
        <v>180</v>
      </c>
      <c r="L1600" t="s">
        <v>14071</v>
      </c>
      <c r="M1600" t="s">
        <v>14072</v>
      </c>
      <c r="N1600" t="s">
        <v>14073</v>
      </c>
      <c r="O1600" t="s">
        <v>63</v>
      </c>
      <c r="Q1600" t="s">
        <v>63</v>
      </c>
      <c r="R1600" t="s">
        <v>63</v>
      </c>
      <c r="S1600" t="s">
        <v>63</v>
      </c>
      <c r="T1600" t="s">
        <v>63</v>
      </c>
      <c r="X1600" t="s">
        <v>63</v>
      </c>
      <c r="Y1600" t="s">
        <v>4262</v>
      </c>
      <c r="Z1600" t="s">
        <v>63</v>
      </c>
      <c r="AA1600" t="s">
        <v>14074</v>
      </c>
      <c r="AB1600">
        <v>20131122</v>
      </c>
      <c r="AC1600" t="s">
        <v>67</v>
      </c>
      <c r="AD1600" t="s">
        <v>63</v>
      </c>
      <c r="AE1600" t="s">
        <v>63</v>
      </c>
      <c r="AF1600" t="s">
        <v>63</v>
      </c>
      <c r="AG1600" t="s">
        <v>14075</v>
      </c>
      <c r="AH1600" t="s">
        <v>63</v>
      </c>
      <c r="AI1600" t="s">
        <v>14076</v>
      </c>
      <c r="AJ1600" t="s">
        <v>63</v>
      </c>
      <c r="AK1600" t="s">
        <v>63</v>
      </c>
      <c r="AL1600" t="s">
        <v>63</v>
      </c>
      <c r="AM1600" t="s">
        <v>14077</v>
      </c>
      <c r="AN1600" t="s">
        <v>63</v>
      </c>
      <c r="AO1600" t="s">
        <v>63</v>
      </c>
      <c r="AP1600" t="s">
        <v>63</v>
      </c>
      <c r="AQ1600" t="s">
        <v>63</v>
      </c>
      <c r="AR1600" t="s">
        <v>63</v>
      </c>
      <c r="AS1600" t="s">
        <v>63</v>
      </c>
      <c r="AT1600" t="s">
        <v>63</v>
      </c>
      <c r="AU1600" t="s">
        <v>63</v>
      </c>
      <c r="AV1600" t="s">
        <v>63</v>
      </c>
      <c r="AW1600" t="s">
        <v>63</v>
      </c>
      <c r="AX1600" t="s">
        <v>63</v>
      </c>
      <c r="AY1600" t="s">
        <v>63</v>
      </c>
      <c r="AZ1600" t="s">
        <v>63</v>
      </c>
      <c r="BA1600" t="s">
        <v>63</v>
      </c>
      <c r="BB1600" t="s">
        <v>63</v>
      </c>
      <c r="BC1600" t="s">
        <v>63</v>
      </c>
      <c r="BD1600" t="s">
        <v>63</v>
      </c>
      <c r="BE1600" t="s">
        <v>63</v>
      </c>
      <c r="BF1600" t="s">
        <v>63</v>
      </c>
    </row>
    <row r="1601" spans="1:58">
      <c r="A1601" t="s">
        <v>58</v>
      </c>
      <c r="B1601" t="s">
        <v>14078</v>
      </c>
      <c r="C1601" t="s">
        <v>14079</v>
      </c>
      <c r="D1601" t="s">
        <v>4245</v>
      </c>
      <c r="E1601" t="s">
        <v>4246</v>
      </c>
      <c r="F1601">
        <v>1999</v>
      </c>
      <c r="G1601" s="1">
        <v>41819</v>
      </c>
      <c r="H1601">
        <v>119</v>
      </c>
      <c r="I1601">
        <v>17</v>
      </c>
      <c r="J1601">
        <v>2520</v>
      </c>
      <c r="K1601">
        <v>2525</v>
      </c>
      <c r="L1601" t="s">
        <v>14080</v>
      </c>
      <c r="M1601" t="s">
        <v>14081</v>
      </c>
      <c r="N1601" t="s">
        <v>14082</v>
      </c>
      <c r="O1601" t="s">
        <v>63</v>
      </c>
      <c r="Q1601" t="s">
        <v>63</v>
      </c>
      <c r="R1601" t="s">
        <v>63</v>
      </c>
      <c r="S1601" t="s">
        <v>63</v>
      </c>
      <c r="T1601" t="s">
        <v>63</v>
      </c>
      <c r="X1601" t="s">
        <v>63</v>
      </c>
      <c r="Y1601" t="s">
        <v>4250</v>
      </c>
      <c r="Z1601" t="s">
        <v>63</v>
      </c>
      <c r="AA1601" t="s">
        <v>14083</v>
      </c>
      <c r="AB1601">
        <v>10425908</v>
      </c>
      <c r="AC1601" t="s">
        <v>4252</v>
      </c>
      <c r="AD1601" t="s">
        <v>63</v>
      </c>
      <c r="AE1601" t="s">
        <v>63</v>
      </c>
      <c r="AF1601" t="s">
        <v>63</v>
      </c>
      <c r="AG1601" t="s">
        <v>14084</v>
      </c>
      <c r="AH1601" t="s">
        <v>63</v>
      </c>
      <c r="AI1601" t="s">
        <v>63</v>
      </c>
      <c r="AJ1601" t="s">
        <v>63</v>
      </c>
      <c r="AK1601" t="s">
        <v>63</v>
      </c>
      <c r="AL1601" t="s">
        <v>63</v>
      </c>
      <c r="AM1601" t="s">
        <v>14085</v>
      </c>
      <c r="AN1601" t="s">
        <v>63</v>
      </c>
      <c r="AO1601" t="s">
        <v>63</v>
      </c>
      <c r="AP1601" t="s">
        <v>63</v>
      </c>
      <c r="AQ1601" t="s">
        <v>63</v>
      </c>
      <c r="AR1601" t="s">
        <v>63</v>
      </c>
      <c r="AS1601" t="s">
        <v>63</v>
      </c>
      <c r="AT1601" t="s">
        <v>63</v>
      </c>
      <c r="AU1601" t="s">
        <v>63</v>
      </c>
      <c r="AV1601" t="s">
        <v>63</v>
      </c>
      <c r="AW1601" t="s">
        <v>63</v>
      </c>
      <c r="AX1601" t="s">
        <v>63</v>
      </c>
      <c r="AY1601" t="s">
        <v>63</v>
      </c>
      <c r="AZ1601" t="s">
        <v>63</v>
      </c>
      <c r="BA1601" t="s">
        <v>63</v>
      </c>
      <c r="BB1601" t="s">
        <v>63</v>
      </c>
      <c r="BC1601" t="s">
        <v>63</v>
      </c>
      <c r="BD1601" t="s">
        <v>63</v>
      </c>
      <c r="BE1601" t="s">
        <v>63</v>
      </c>
      <c r="BF1601" t="s">
        <v>63</v>
      </c>
    </row>
    <row r="1602" spans="1:58">
      <c r="A1602" t="s">
        <v>58</v>
      </c>
      <c r="B1602" t="s">
        <v>14086</v>
      </c>
      <c r="C1602" t="s">
        <v>14087</v>
      </c>
      <c r="D1602" t="s">
        <v>14088</v>
      </c>
      <c r="E1602" t="s">
        <v>63</v>
      </c>
      <c r="F1602">
        <v>2002</v>
      </c>
      <c r="G1602" t="s">
        <v>181</v>
      </c>
      <c r="H1602" t="s">
        <v>14089</v>
      </c>
      <c r="I1602" t="s">
        <v>63</v>
      </c>
      <c r="J1602">
        <v>36</v>
      </c>
      <c r="K1602">
        <v>39</v>
      </c>
      <c r="L1602" t="s">
        <v>14090</v>
      </c>
      <c r="M1602" t="s">
        <v>14091</v>
      </c>
      <c r="N1602" t="s">
        <v>14092</v>
      </c>
      <c r="O1602" t="s">
        <v>63</v>
      </c>
      <c r="Q1602" t="s">
        <v>63</v>
      </c>
      <c r="R1602" t="s">
        <v>63</v>
      </c>
      <c r="S1602" t="s">
        <v>63</v>
      </c>
      <c r="T1602" t="s">
        <v>63</v>
      </c>
      <c r="X1602" t="s">
        <v>63</v>
      </c>
      <c r="Y1602" t="s">
        <v>14093</v>
      </c>
      <c r="Z1602" t="s">
        <v>63</v>
      </c>
      <c r="AA1602" t="s">
        <v>14094</v>
      </c>
      <c r="AB1602">
        <v>19705568</v>
      </c>
      <c r="AC1602" t="s">
        <v>10080</v>
      </c>
      <c r="AD1602" t="s">
        <v>63</v>
      </c>
      <c r="AE1602" t="s">
        <v>63</v>
      </c>
      <c r="AF1602" t="s">
        <v>63</v>
      </c>
      <c r="AG1602" t="s">
        <v>14095</v>
      </c>
      <c r="AH1602" t="s">
        <v>63</v>
      </c>
      <c r="AI1602" t="s">
        <v>63</v>
      </c>
      <c r="AJ1602" t="s">
        <v>63</v>
      </c>
      <c r="AK1602" t="s">
        <v>63</v>
      </c>
      <c r="AL1602" t="s">
        <v>63</v>
      </c>
      <c r="AM1602" t="s">
        <v>14096</v>
      </c>
      <c r="AN1602" t="s">
        <v>63</v>
      </c>
      <c r="AO1602" t="s">
        <v>63</v>
      </c>
      <c r="AP1602" t="s">
        <v>63</v>
      </c>
      <c r="AQ1602" t="s">
        <v>63</v>
      </c>
      <c r="AR1602" t="s">
        <v>63</v>
      </c>
      <c r="AS1602" t="s">
        <v>63</v>
      </c>
      <c r="AT1602" t="s">
        <v>63</v>
      </c>
      <c r="AU1602" t="s">
        <v>63</v>
      </c>
      <c r="AV1602" t="s">
        <v>63</v>
      </c>
      <c r="AW1602" t="s">
        <v>63</v>
      </c>
      <c r="AX1602" t="s">
        <v>63</v>
      </c>
      <c r="AY1602" t="s">
        <v>63</v>
      </c>
      <c r="AZ1602" t="s">
        <v>63</v>
      </c>
      <c r="BA1602" t="s">
        <v>63</v>
      </c>
      <c r="BB1602" t="s">
        <v>63</v>
      </c>
      <c r="BC1602" t="s">
        <v>63</v>
      </c>
      <c r="BD1602" t="s">
        <v>63</v>
      </c>
      <c r="BE1602" t="s">
        <v>63</v>
      </c>
      <c r="BF1602" t="s">
        <v>63</v>
      </c>
    </row>
    <row r="1603" spans="1:58">
      <c r="A1603" t="s">
        <v>58</v>
      </c>
      <c r="B1603" t="s">
        <v>14097</v>
      </c>
      <c r="C1603" t="s">
        <v>14098</v>
      </c>
      <c r="D1603" t="s">
        <v>205</v>
      </c>
      <c r="E1603" t="s">
        <v>205</v>
      </c>
      <c r="F1603">
        <v>2000</v>
      </c>
      <c r="G1603" s="1">
        <v>41712</v>
      </c>
      <c r="H1603">
        <v>283</v>
      </c>
      <c r="I1603">
        <v>11</v>
      </c>
      <c r="J1603">
        <v>1426</v>
      </c>
      <c r="K1603">
        <v>1427</v>
      </c>
      <c r="L1603" t="s">
        <v>14099</v>
      </c>
      <c r="M1603" t="s">
        <v>63</v>
      </c>
      <c r="N1603" t="s">
        <v>14100</v>
      </c>
      <c r="O1603" t="s">
        <v>63</v>
      </c>
      <c r="Q1603" t="s">
        <v>63</v>
      </c>
      <c r="R1603" t="s">
        <v>63</v>
      </c>
      <c r="S1603" t="s">
        <v>63</v>
      </c>
      <c r="T1603" t="s">
        <v>63</v>
      </c>
      <c r="X1603" t="s">
        <v>63</v>
      </c>
      <c r="Y1603" t="s">
        <v>208</v>
      </c>
      <c r="Z1603" t="s">
        <v>63</v>
      </c>
      <c r="AA1603" t="s">
        <v>63</v>
      </c>
      <c r="AB1603">
        <v>10732931</v>
      </c>
      <c r="AC1603" t="s">
        <v>67</v>
      </c>
      <c r="AD1603" t="s">
        <v>63</v>
      </c>
      <c r="AE1603" t="s">
        <v>63</v>
      </c>
      <c r="AF1603" t="s">
        <v>63</v>
      </c>
      <c r="AG1603" t="s">
        <v>14101</v>
      </c>
      <c r="AH1603" t="s">
        <v>63</v>
      </c>
      <c r="AI1603" t="s">
        <v>63</v>
      </c>
      <c r="AJ1603" t="s">
        <v>63</v>
      </c>
      <c r="AK1603" t="s">
        <v>63</v>
      </c>
      <c r="AL1603" t="s">
        <v>63</v>
      </c>
      <c r="AM1603" t="s">
        <v>14102</v>
      </c>
      <c r="AN1603" t="s">
        <v>63</v>
      </c>
      <c r="AO1603" t="s">
        <v>63</v>
      </c>
      <c r="AP1603" t="s">
        <v>63</v>
      </c>
      <c r="AQ1603" t="s">
        <v>63</v>
      </c>
      <c r="AR1603" t="s">
        <v>63</v>
      </c>
      <c r="AS1603" t="s">
        <v>63</v>
      </c>
      <c r="AT1603" t="s">
        <v>63</v>
      </c>
      <c r="AU1603" t="s">
        <v>63</v>
      </c>
      <c r="AV1603" t="s">
        <v>63</v>
      </c>
      <c r="AW1603" t="s">
        <v>63</v>
      </c>
      <c r="AX1603" t="s">
        <v>63</v>
      </c>
      <c r="AY1603" t="s">
        <v>63</v>
      </c>
      <c r="AZ1603" t="s">
        <v>63</v>
      </c>
      <c r="BA1603" t="s">
        <v>63</v>
      </c>
      <c r="BB1603" t="s">
        <v>63</v>
      </c>
      <c r="BC1603" t="s">
        <v>63</v>
      </c>
      <c r="BD1603" t="s">
        <v>63</v>
      </c>
      <c r="BE1603" t="s">
        <v>63</v>
      </c>
      <c r="BF1603" t="s">
        <v>63</v>
      </c>
    </row>
    <row r="1604" spans="1:58">
      <c r="A1604" t="s">
        <v>58</v>
      </c>
      <c r="B1604" t="s">
        <v>14103</v>
      </c>
      <c r="C1604" t="s">
        <v>14104</v>
      </c>
      <c r="D1604" t="s">
        <v>14105</v>
      </c>
      <c r="E1604" t="s">
        <v>14106</v>
      </c>
      <c r="F1604">
        <v>2013</v>
      </c>
      <c r="G1604" t="s">
        <v>189</v>
      </c>
      <c r="H1604">
        <v>70</v>
      </c>
      <c r="I1604">
        <v>5</v>
      </c>
      <c r="J1604">
        <v>606</v>
      </c>
      <c r="K1604">
        <v>612</v>
      </c>
      <c r="L1604" t="s">
        <v>14107</v>
      </c>
      <c r="M1604" t="s">
        <v>14108</v>
      </c>
      <c r="N1604" t="s">
        <v>14109</v>
      </c>
      <c r="O1604" t="s">
        <v>63</v>
      </c>
      <c r="Q1604" t="s">
        <v>63</v>
      </c>
      <c r="R1604" t="s">
        <v>63</v>
      </c>
      <c r="S1604" t="s">
        <v>63</v>
      </c>
      <c r="T1604" t="s">
        <v>63</v>
      </c>
      <c r="X1604" t="s">
        <v>63</v>
      </c>
      <c r="Y1604" t="s">
        <v>14110</v>
      </c>
      <c r="Z1604" t="s">
        <v>63</v>
      </c>
      <c r="AA1604" t="s">
        <v>14111</v>
      </c>
      <c r="AB1604">
        <v>23542854</v>
      </c>
      <c r="AC1604" t="s">
        <v>67</v>
      </c>
      <c r="AD1604" t="s">
        <v>63</v>
      </c>
      <c r="AE1604" t="s">
        <v>63</v>
      </c>
      <c r="AF1604" t="s">
        <v>63</v>
      </c>
      <c r="AG1604" t="s">
        <v>14112</v>
      </c>
      <c r="AH1604" t="s">
        <v>63</v>
      </c>
      <c r="AI1604" t="s">
        <v>14113</v>
      </c>
      <c r="AJ1604" t="s">
        <v>63</v>
      </c>
      <c r="AK1604" t="s">
        <v>63</v>
      </c>
      <c r="AL1604" t="s">
        <v>63</v>
      </c>
      <c r="AM1604" t="s">
        <v>14114</v>
      </c>
      <c r="AN1604" t="s">
        <v>63</v>
      </c>
      <c r="AO1604" t="s">
        <v>63</v>
      </c>
      <c r="AP1604" t="s">
        <v>63</v>
      </c>
      <c r="AQ1604" t="s">
        <v>63</v>
      </c>
      <c r="AR1604" t="s">
        <v>63</v>
      </c>
      <c r="AS1604" t="s">
        <v>63</v>
      </c>
      <c r="AT1604" t="s">
        <v>63</v>
      </c>
      <c r="AU1604" t="s">
        <v>63</v>
      </c>
      <c r="AV1604" t="s">
        <v>63</v>
      </c>
      <c r="AW1604" t="s">
        <v>63</v>
      </c>
      <c r="AX1604" t="s">
        <v>63</v>
      </c>
      <c r="AY1604" t="s">
        <v>63</v>
      </c>
      <c r="AZ1604" t="s">
        <v>63</v>
      </c>
      <c r="BA1604" t="s">
        <v>63</v>
      </c>
      <c r="BB1604" t="s">
        <v>63</v>
      </c>
      <c r="BC1604" t="s">
        <v>63</v>
      </c>
      <c r="BD1604" t="s">
        <v>63</v>
      </c>
      <c r="BE1604" t="s">
        <v>63</v>
      </c>
      <c r="BF1604" t="s">
        <v>63</v>
      </c>
    </row>
    <row r="1605" spans="1:58">
      <c r="A1605" t="s">
        <v>58</v>
      </c>
      <c r="B1605" t="s">
        <v>14115</v>
      </c>
      <c r="C1605" t="s">
        <v>14116</v>
      </c>
      <c r="D1605" t="s">
        <v>90</v>
      </c>
      <c r="E1605" t="s">
        <v>63</v>
      </c>
      <c r="F1605">
        <v>2011</v>
      </c>
      <c r="G1605" t="s">
        <v>1737</v>
      </c>
      <c r="H1605">
        <v>30</v>
      </c>
      <c r="I1605">
        <v>3</v>
      </c>
      <c r="J1605">
        <v>282</v>
      </c>
      <c r="K1605" t="s">
        <v>63</v>
      </c>
      <c r="L1605" t="s">
        <v>14117</v>
      </c>
      <c r="M1605" t="s">
        <v>63</v>
      </c>
      <c r="N1605" t="s">
        <v>14118</v>
      </c>
      <c r="O1605" t="s">
        <v>63</v>
      </c>
      <c r="Q1605" t="s">
        <v>63</v>
      </c>
      <c r="R1605" t="s">
        <v>63</v>
      </c>
      <c r="S1605" t="s">
        <v>63</v>
      </c>
      <c r="T1605" t="s">
        <v>63</v>
      </c>
      <c r="X1605" t="s">
        <v>63</v>
      </c>
      <c r="Y1605" t="s">
        <v>7611</v>
      </c>
      <c r="Z1605" t="s">
        <v>63</v>
      </c>
      <c r="AA1605" t="s">
        <v>14119</v>
      </c>
      <c r="AB1605">
        <v>21745051</v>
      </c>
      <c r="AC1605" t="s">
        <v>67</v>
      </c>
      <c r="AD1605" t="s">
        <v>63</v>
      </c>
      <c r="AE1605" t="s">
        <v>63</v>
      </c>
      <c r="AF1605" t="s">
        <v>63</v>
      </c>
      <c r="AG1605" t="s">
        <v>14120</v>
      </c>
      <c r="AH1605" t="s">
        <v>63</v>
      </c>
      <c r="AI1605" t="s">
        <v>14121</v>
      </c>
      <c r="AJ1605" t="s">
        <v>63</v>
      </c>
      <c r="AK1605" t="s">
        <v>63</v>
      </c>
      <c r="AL1605" t="s">
        <v>63</v>
      </c>
      <c r="AM1605" t="s">
        <v>14122</v>
      </c>
      <c r="AN1605" t="s">
        <v>63</v>
      </c>
      <c r="AO1605" t="s">
        <v>63</v>
      </c>
      <c r="AP1605" t="s">
        <v>63</v>
      </c>
      <c r="AQ1605" t="s">
        <v>63</v>
      </c>
      <c r="AR1605" t="s">
        <v>63</v>
      </c>
      <c r="AS1605" t="s">
        <v>63</v>
      </c>
      <c r="AT1605" t="s">
        <v>63</v>
      </c>
      <c r="AU1605" t="s">
        <v>63</v>
      </c>
      <c r="AV1605" t="s">
        <v>63</v>
      </c>
      <c r="AW1605" t="s">
        <v>63</v>
      </c>
      <c r="AX1605" t="s">
        <v>63</v>
      </c>
      <c r="AY1605" t="s">
        <v>63</v>
      </c>
      <c r="AZ1605" t="s">
        <v>63</v>
      </c>
      <c r="BA1605" t="s">
        <v>63</v>
      </c>
      <c r="BB1605" t="s">
        <v>63</v>
      </c>
      <c r="BC1605" t="s">
        <v>63</v>
      </c>
      <c r="BD1605" t="s">
        <v>63</v>
      </c>
      <c r="BE1605" t="s">
        <v>63</v>
      </c>
      <c r="BF1605" t="s">
        <v>63</v>
      </c>
    </row>
    <row r="1606" spans="1:58">
      <c r="A1606" t="s">
        <v>58</v>
      </c>
      <c r="B1606" t="s">
        <v>14123</v>
      </c>
      <c r="C1606" t="s">
        <v>14124</v>
      </c>
      <c r="D1606" t="s">
        <v>574</v>
      </c>
      <c r="E1606" t="s">
        <v>63</v>
      </c>
      <c r="F1606">
        <v>2011</v>
      </c>
      <c r="G1606" t="s">
        <v>73</v>
      </c>
      <c r="H1606" t="s">
        <v>2933</v>
      </c>
      <c r="I1606" t="s">
        <v>63</v>
      </c>
      <c r="J1606" t="s">
        <v>14125</v>
      </c>
      <c r="K1606">
        <v>58</v>
      </c>
      <c r="L1606" t="s">
        <v>14126</v>
      </c>
      <c r="M1606" t="s">
        <v>14127</v>
      </c>
      <c r="N1606" t="s">
        <v>14128</v>
      </c>
      <c r="O1606" t="s">
        <v>63</v>
      </c>
      <c r="Q1606" t="s">
        <v>63</v>
      </c>
      <c r="R1606" t="s">
        <v>63</v>
      </c>
      <c r="S1606" t="s">
        <v>63</v>
      </c>
      <c r="T1606" t="s">
        <v>63</v>
      </c>
      <c r="X1606" t="s">
        <v>63</v>
      </c>
      <c r="Y1606" t="s">
        <v>578</v>
      </c>
      <c r="Z1606" t="s">
        <v>63</v>
      </c>
      <c r="AA1606" t="s">
        <v>14129</v>
      </c>
      <c r="AB1606">
        <v>21668757</v>
      </c>
      <c r="AC1606" t="s">
        <v>67</v>
      </c>
      <c r="AD1606" t="s">
        <v>63</v>
      </c>
      <c r="AE1606" t="s">
        <v>63</v>
      </c>
      <c r="AF1606" t="s">
        <v>63</v>
      </c>
      <c r="AG1606" t="s">
        <v>14130</v>
      </c>
      <c r="AH1606" t="s">
        <v>63</v>
      </c>
      <c r="AI1606" t="s">
        <v>14131</v>
      </c>
      <c r="AJ1606" t="s">
        <v>63</v>
      </c>
      <c r="AK1606" t="s">
        <v>63</v>
      </c>
      <c r="AL1606" t="s">
        <v>63</v>
      </c>
      <c r="AM1606" t="s">
        <v>14132</v>
      </c>
      <c r="AN1606" t="s">
        <v>63</v>
      </c>
      <c r="AO1606" t="s">
        <v>63</v>
      </c>
      <c r="AP1606" t="s">
        <v>63</v>
      </c>
      <c r="AQ1606" t="s">
        <v>63</v>
      </c>
      <c r="AR1606" t="s">
        <v>63</v>
      </c>
      <c r="AS1606" t="s">
        <v>63</v>
      </c>
      <c r="AT1606" t="s">
        <v>63</v>
      </c>
      <c r="AU1606" t="s">
        <v>63</v>
      </c>
      <c r="AV1606" t="s">
        <v>63</v>
      </c>
      <c r="AW1606" t="s">
        <v>63</v>
      </c>
      <c r="AX1606" t="s">
        <v>63</v>
      </c>
      <c r="AY1606" t="s">
        <v>63</v>
      </c>
      <c r="AZ1606" t="s">
        <v>63</v>
      </c>
      <c r="BA1606" t="s">
        <v>63</v>
      </c>
      <c r="BB1606" t="s">
        <v>63</v>
      </c>
      <c r="BC1606" t="s">
        <v>63</v>
      </c>
      <c r="BD1606" t="s">
        <v>63</v>
      </c>
      <c r="BE1606" t="s">
        <v>63</v>
      </c>
      <c r="BF1606" t="s">
        <v>63</v>
      </c>
    </row>
    <row r="1607" spans="1:58">
      <c r="A1607" t="s">
        <v>58</v>
      </c>
      <c r="B1607" t="s">
        <v>14133</v>
      </c>
      <c r="C1607" t="s">
        <v>14134</v>
      </c>
      <c r="D1607" t="s">
        <v>5037</v>
      </c>
      <c r="E1607" t="s">
        <v>5038</v>
      </c>
      <c r="F1607">
        <v>2013</v>
      </c>
      <c r="G1607" t="s">
        <v>84</v>
      </c>
      <c r="H1607">
        <v>103</v>
      </c>
      <c r="I1607">
        <v>4</v>
      </c>
      <c r="J1607" t="s">
        <v>6278</v>
      </c>
      <c r="K1607">
        <v>2</v>
      </c>
      <c r="L1607" t="s">
        <v>6279</v>
      </c>
      <c r="M1607" t="s">
        <v>63</v>
      </c>
      <c r="N1607" t="s">
        <v>14135</v>
      </c>
      <c r="O1607" t="s">
        <v>63</v>
      </c>
      <c r="Q1607" t="s">
        <v>63</v>
      </c>
      <c r="R1607" t="s">
        <v>63</v>
      </c>
      <c r="S1607" t="s">
        <v>63</v>
      </c>
      <c r="T1607" t="s">
        <v>63</v>
      </c>
      <c r="X1607" t="s">
        <v>63</v>
      </c>
      <c r="Y1607" t="s">
        <v>6281</v>
      </c>
      <c r="Z1607" t="s">
        <v>63</v>
      </c>
      <c r="AA1607" t="s">
        <v>63</v>
      </c>
      <c r="AB1607">
        <v>23409913</v>
      </c>
      <c r="AC1607" t="s">
        <v>67</v>
      </c>
      <c r="AD1607" t="s">
        <v>63</v>
      </c>
      <c r="AE1607" t="s">
        <v>63</v>
      </c>
      <c r="AF1607" t="s">
        <v>63</v>
      </c>
      <c r="AG1607" t="s">
        <v>14136</v>
      </c>
      <c r="AH1607" t="s">
        <v>63</v>
      </c>
      <c r="AI1607" t="s">
        <v>14137</v>
      </c>
      <c r="AJ1607" t="s">
        <v>63</v>
      </c>
      <c r="AK1607" t="s">
        <v>63</v>
      </c>
      <c r="AL1607" t="s">
        <v>63</v>
      </c>
      <c r="AM1607" t="s">
        <v>14138</v>
      </c>
      <c r="AN1607" t="s">
        <v>63</v>
      </c>
      <c r="AO1607" t="s">
        <v>63</v>
      </c>
      <c r="AP1607" t="s">
        <v>63</v>
      </c>
      <c r="AQ1607" t="s">
        <v>63</v>
      </c>
      <c r="AR1607" t="s">
        <v>63</v>
      </c>
      <c r="AS1607" t="s">
        <v>63</v>
      </c>
      <c r="AT1607" t="s">
        <v>63</v>
      </c>
      <c r="AU1607" t="s">
        <v>63</v>
      </c>
      <c r="AV1607" t="s">
        <v>63</v>
      </c>
      <c r="AW1607" t="s">
        <v>63</v>
      </c>
      <c r="AX1607" t="s">
        <v>63</v>
      </c>
      <c r="AY1607" t="s">
        <v>63</v>
      </c>
      <c r="AZ1607" t="s">
        <v>63</v>
      </c>
      <c r="BA1607" t="s">
        <v>63</v>
      </c>
      <c r="BB1607" t="s">
        <v>63</v>
      </c>
      <c r="BC1607" t="s">
        <v>63</v>
      </c>
      <c r="BD1607" t="s">
        <v>63</v>
      </c>
      <c r="BE1607" t="s">
        <v>63</v>
      </c>
      <c r="BF1607" t="s">
        <v>63</v>
      </c>
    </row>
    <row r="1608" spans="1:58">
      <c r="A1608" t="s">
        <v>58</v>
      </c>
      <c r="B1608" t="s">
        <v>14139</v>
      </c>
      <c r="C1608" t="s">
        <v>14140</v>
      </c>
      <c r="D1608" t="s">
        <v>389</v>
      </c>
      <c r="E1608" t="s">
        <v>63</v>
      </c>
      <c r="F1608">
        <v>2013</v>
      </c>
      <c r="G1608" t="s">
        <v>63</v>
      </c>
      <c r="H1608">
        <v>34</v>
      </c>
      <c r="I1608">
        <v>4</v>
      </c>
      <c r="J1608">
        <v>363</v>
      </c>
      <c r="K1608">
        <v>370</v>
      </c>
      <c r="L1608" t="s">
        <v>14141</v>
      </c>
      <c r="M1608" t="s">
        <v>14142</v>
      </c>
      <c r="N1608" t="s">
        <v>14143</v>
      </c>
      <c r="O1608" t="s">
        <v>63</v>
      </c>
      <c r="Q1608" t="s">
        <v>63</v>
      </c>
      <c r="R1608" t="s">
        <v>63</v>
      </c>
      <c r="S1608" t="s">
        <v>63</v>
      </c>
      <c r="T1608" t="s">
        <v>63</v>
      </c>
      <c r="X1608" t="s">
        <v>63</v>
      </c>
      <c r="Y1608" t="s">
        <v>556</v>
      </c>
      <c r="Z1608" t="s">
        <v>63</v>
      </c>
      <c r="AA1608" t="s">
        <v>14144</v>
      </c>
      <c r="AB1608">
        <v>24159907</v>
      </c>
      <c r="AC1608" t="s">
        <v>67</v>
      </c>
      <c r="AD1608" t="s">
        <v>63</v>
      </c>
      <c r="AE1608" t="s">
        <v>63</v>
      </c>
      <c r="AF1608" t="s">
        <v>63</v>
      </c>
      <c r="AG1608" t="s">
        <v>14145</v>
      </c>
      <c r="AH1608" t="s">
        <v>63</v>
      </c>
      <c r="AI1608" t="s">
        <v>14146</v>
      </c>
      <c r="AJ1608" t="s">
        <v>63</v>
      </c>
      <c r="AK1608" t="s">
        <v>63</v>
      </c>
      <c r="AL1608" t="s">
        <v>63</v>
      </c>
      <c r="AM1608" t="s">
        <v>14147</v>
      </c>
      <c r="AN1608" t="s">
        <v>63</v>
      </c>
      <c r="AO1608" t="s">
        <v>63</v>
      </c>
      <c r="AP1608" t="s">
        <v>63</v>
      </c>
      <c r="AQ1608" t="s">
        <v>63</v>
      </c>
      <c r="AR1608" t="s">
        <v>63</v>
      </c>
      <c r="AS1608" t="s">
        <v>63</v>
      </c>
      <c r="AT1608" t="s">
        <v>63</v>
      </c>
      <c r="AU1608" t="s">
        <v>63</v>
      </c>
      <c r="AV1608" t="s">
        <v>63</v>
      </c>
      <c r="AW1608" t="s">
        <v>63</v>
      </c>
      <c r="AX1608" t="s">
        <v>63</v>
      </c>
      <c r="AY1608" t="s">
        <v>63</v>
      </c>
      <c r="AZ1608" t="s">
        <v>63</v>
      </c>
      <c r="BA1608" t="s">
        <v>63</v>
      </c>
      <c r="BB1608" t="s">
        <v>63</v>
      </c>
      <c r="BC1608" t="s">
        <v>63</v>
      </c>
      <c r="BD1608" t="s">
        <v>63</v>
      </c>
      <c r="BE1608" t="s">
        <v>63</v>
      </c>
      <c r="BF1608" t="s">
        <v>63</v>
      </c>
    </row>
    <row r="1609" spans="1:58">
      <c r="A1609" t="s">
        <v>58</v>
      </c>
      <c r="B1609" t="s">
        <v>14148</v>
      </c>
      <c r="C1609" t="s">
        <v>14149</v>
      </c>
      <c r="D1609" t="s">
        <v>389</v>
      </c>
      <c r="E1609" t="s">
        <v>63</v>
      </c>
      <c r="F1609">
        <v>2015</v>
      </c>
      <c r="G1609" t="s">
        <v>63</v>
      </c>
      <c r="H1609">
        <v>36</v>
      </c>
      <c r="I1609">
        <v>4</v>
      </c>
      <c r="J1609">
        <v>427</v>
      </c>
      <c r="K1609">
        <v>433</v>
      </c>
      <c r="L1609" t="s">
        <v>14150</v>
      </c>
      <c r="M1609" t="s">
        <v>14151</v>
      </c>
      <c r="N1609" t="s">
        <v>14152</v>
      </c>
      <c r="O1609" t="s">
        <v>63</v>
      </c>
      <c r="Q1609" t="s">
        <v>63</v>
      </c>
      <c r="R1609" t="s">
        <v>63</v>
      </c>
      <c r="S1609" t="s">
        <v>63</v>
      </c>
      <c r="T1609" t="s">
        <v>63</v>
      </c>
      <c r="X1609" t="s">
        <v>63</v>
      </c>
      <c r="Y1609" t="s">
        <v>556</v>
      </c>
      <c r="Z1609" t="s">
        <v>63</v>
      </c>
      <c r="AA1609" t="s">
        <v>14153</v>
      </c>
      <c r="AB1609">
        <v>25257796</v>
      </c>
      <c r="AC1609" t="s">
        <v>67</v>
      </c>
      <c r="AD1609" t="s">
        <v>63</v>
      </c>
      <c r="AE1609" t="s">
        <v>63</v>
      </c>
      <c r="AF1609" t="s">
        <v>63</v>
      </c>
      <c r="AG1609" t="s">
        <v>14154</v>
      </c>
      <c r="AH1609" t="s">
        <v>63</v>
      </c>
      <c r="AI1609" t="s">
        <v>14155</v>
      </c>
      <c r="AJ1609" t="s">
        <v>63</v>
      </c>
      <c r="AK1609" t="s">
        <v>63</v>
      </c>
      <c r="AL1609" t="s">
        <v>63</v>
      </c>
      <c r="AM1609" t="s">
        <v>14156</v>
      </c>
      <c r="AN1609" t="s">
        <v>63</v>
      </c>
      <c r="AO1609" t="s">
        <v>63</v>
      </c>
      <c r="AP1609" t="s">
        <v>63</v>
      </c>
      <c r="AQ1609" t="s">
        <v>63</v>
      </c>
      <c r="AR1609" t="s">
        <v>63</v>
      </c>
      <c r="AS1609" t="s">
        <v>63</v>
      </c>
      <c r="AT1609" t="s">
        <v>63</v>
      </c>
      <c r="AU1609" t="s">
        <v>63</v>
      </c>
      <c r="AV1609" t="s">
        <v>63</v>
      </c>
      <c r="AW1609" t="s">
        <v>63</v>
      </c>
      <c r="AX1609" t="s">
        <v>63</v>
      </c>
      <c r="AY1609" t="s">
        <v>63</v>
      </c>
      <c r="AZ1609" t="s">
        <v>63</v>
      </c>
      <c r="BA1609" t="s">
        <v>63</v>
      </c>
      <c r="BB1609" t="s">
        <v>63</v>
      </c>
      <c r="BC1609" t="s">
        <v>63</v>
      </c>
      <c r="BD1609" t="s">
        <v>63</v>
      </c>
      <c r="BE1609" t="s">
        <v>63</v>
      </c>
      <c r="BF1609" t="s">
        <v>63</v>
      </c>
    </row>
    <row r="1610" spans="1:58">
      <c r="A1610" t="s">
        <v>58</v>
      </c>
      <c r="B1610" t="s">
        <v>14157</v>
      </c>
      <c r="C1610" t="s">
        <v>14158</v>
      </c>
      <c r="D1610" t="s">
        <v>2731</v>
      </c>
      <c r="E1610" t="s">
        <v>63</v>
      </c>
      <c r="F1610">
        <v>2009</v>
      </c>
      <c r="G1610" t="s">
        <v>623</v>
      </c>
      <c r="H1610">
        <v>5</v>
      </c>
      <c r="I1610">
        <v>1</v>
      </c>
      <c r="J1610">
        <v>59</v>
      </c>
      <c r="K1610">
        <v>64</v>
      </c>
      <c r="L1610" t="s">
        <v>14159</v>
      </c>
      <c r="M1610" t="s">
        <v>14160</v>
      </c>
      <c r="N1610" t="s">
        <v>14161</v>
      </c>
      <c r="O1610" t="s">
        <v>63</v>
      </c>
      <c r="Q1610" t="s">
        <v>63</v>
      </c>
      <c r="R1610" t="s">
        <v>63</v>
      </c>
      <c r="S1610" t="s">
        <v>63</v>
      </c>
      <c r="T1610" t="s">
        <v>63</v>
      </c>
      <c r="X1610" t="s">
        <v>63</v>
      </c>
      <c r="Y1610" t="s">
        <v>2735</v>
      </c>
      <c r="Z1610" t="s">
        <v>63</v>
      </c>
      <c r="AA1610" t="s">
        <v>14162</v>
      </c>
      <c r="AB1610">
        <v>19344049</v>
      </c>
      <c r="AC1610" t="s">
        <v>67</v>
      </c>
      <c r="AD1610" t="s">
        <v>63</v>
      </c>
      <c r="AE1610" t="s">
        <v>63</v>
      </c>
      <c r="AF1610" t="s">
        <v>63</v>
      </c>
      <c r="AG1610" t="s">
        <v>14163</v>
      </c>
      <c r="AH1610" t="s">
        <v>63</v>
      </c>
      <c r="AI1610" t="s">
        <v>63</v>
      </c>
      <c r="AJ1610" t="s">
        <v>63</v>
      </c>
      <c r="AK1610" t="s">
        <v>63</v>
      </c>
      <c r="AL1610" t="s">
        <v>63</v>
      </c>
      <c r="AM1610" t="s">
        <v>14164</v>
      </c>
      <c r="AN1610" t="s">
        <v>63</v>
      </c>
      <c r="AO1610" t="s">
        <v>63</v>
      </c>
      <c r="AP1610" t="s">
        <v>63</v>
      </c>
      <c r="AQ1610" t="s">
        <v>63</v>
      </c>
      <c r="AR1610" t="s">
        <v>63</v>
      </c>
      <c r="AS1610" t="s">
        <v>63</v>
      </c>
      <c r="AT1610" t="s">
        <v>63</v>
      </c>
      <c r="AU1610" t="s">
        <v>63</v>
      </c>
      <c r="AV1610" t="s">
        <v>63</v>
      </c>
      <c r="AW1610" t="s">
        <v>63</v>
      </c>
      <c r="AX1610" t="s">
        <v>63</v>
      </c>
      <c r="AY1610" t="s">
        <v>63</v>
      </c>
      <c r="AZ1610" t="s">
        <v>63</v>
      </c>
      <c r="BA1610" t="s">
        <v>63</v>
      </c>
      <c r="BB1610" t="s">
        <v>63</v>
      </c>
      <c r="BC1610" t="s">
        <v>63</v>
      </c>
      <c r="BD1610" t="s">
        <v>63</v>
      </c>
      <c r="BE1610" t="s">
        <v>63</v>
      </c>
      <c r="BF1610" t="s">
        <v>63</v>
      </c>
    </row>
    <row r="1611" spans="1:58">
      <c r="A1611" t="s">
        <v>58</v>
      </c>
      <c r="B1611" t="s">
        <v>14165</v>
      </c>
      <c r="C1611" t="s">
        <v>14166</v>
      </c>
      <c r="D1611" t="s">
        <v>325</v>
      </c>
      <c r="E1611" t="s">
        <v>63</v>
      </c>
      <c r="F1611">
        <v>2005</v>
      </c>
      <c r="G1611" t="s">
        <v>908</v>
      </c>
      <c r="H1611">
        <v>29</v>
      </c>
      <c r="I1611">
        <v>3</v>
      </c>
      <c r="J1611">
        <v>274</v>
      </c>
      <c r="K1611">
        <v>278</v>
      </c>
      <c r="L1611" t="s">
        <v>14167</v>
      </c>
      <c r="M1611" t="s">
        <v>14168</v>
      </c>
      <c r="N1611" t="s">
        <v>14169</v>
      </c>
      <c r="O1611" t="s">
        <v>63</v>
      </c>
      <c r="Q1611" t="s">
        <v>63</v>
      </c>
      <c r="R1611" t="s">
        <v>63</v>
      </c>
      <c r="S1611" t="s">
        <v>63</v>
      </c>
      <c r="T1611" t="s">
        <v>63</v>
      </c>
      <c r="X1611" t="s">
        <v>63</v>
      </c>
      <c r="Y1611" t="s">
        <v>866</v>
      </c>
      <c r="Z1611" t="s">
        <v>63</v>
      </c>
      <c r="AA1611" t="s">
        <v>14170</v>
      </c>
      <c r="AB1611">
        <v>16141123</v>
      </c>
      <c r="AC1611" t="s">
        <v>67</v>
      </c>
      <c r="AD1611" t="s">
        <v>63</v>
      </c>
      <c r="AE1611" t="s">
        <v>63</v>
      </c>
      <c r="AF1611" t="s">
        <v>63</v>
      </c>
      <c r="AG1611" t="s">
        <v>14171</v>
      </c>
      <c r="AH1611" t="s">
        <v>63</v>
      </c>
      <c r="AI1611" t="s">
        <v>63</v>
      </c>
      <c r="AJ1611" t="s">
        <v>63</v>
      </c>
      <c r="AK1611" t="s">
        <v>63</v>
      </c>
      <c r="AL1611" t="s">
        <v>63</v>
      </c>
      <c r="AM1611" t="s">
        <v>14172</v>
      </c>
      <c r="AN1611" t="s">
        <v>63</v>
      </c>
      <c r="AO1611" t="s">
        <v>63</v>
      </c>
      <c r="AP1611" t="s">
        <v>63</v>
      </c>
      <c r="AQ1611" t="s">
        <v>63</v>
      </c>
      <c r="AR1611" t="s">
        <v>63</v>
      </c>
      <c r="AS1611" t="s">
        <v>63</v>
      </c>
      <c r="AT1611" t="s">
        <v>63</v>
      </c>
      <c r="AU1611" t="s">
        <v>63</v>
      </c>
      <c r="AV1611" t="s">
        <v>63</v>
      </c>
      <c r="AW1611" t="s">
        <v>63</v>
      </c>
      <c r="AX1611" t="s">
        <v>63</v>
      </c>
      <c r="AY1611" t="s">
        <v>63</v>
      </c>
      <c r="AZ1611" t="s">
        <v>63</v>
      </c>
      <c r="BA1611" t="s">
        <v>63</v>
      </c>
      <c r="BB1611" t="s">
        <v>63</v>
      </c>
      <c r="BC1611" t="s">
        <v>63</v>
      </c>
      <c r="BD1611" t="s">
        <v>63</v>
      </c>
      <c r="BE1611" t="s">
        <v>63</v>
      </c>
      <c r="BF1611" t="s">
        <v>63</v>
      </c>
    </row>
    <row r="1612" spans="1:58">
      <c r="A1612" t="s">
        <v>58</v>
      </c>
      <c r="B1612" t="s">
        <v>14173</v>
      </c>
      <c r="C1612" t="s">
        <v>14174</v>
      </c>
      <c r="D1612" t="s">
        <v>14175</v>
      </c>
      <c r="E1612" t="s">
        <v>14176</v>
      </c>
      <c r="F1612">
        <v>1989</v>
      </c>
      <c r="G1612" t="s">
        <v>219</v>
      </c>
      <c r="H1612">
        <v>39</v>
      </c>
      <c r="I1612">
        <v>11</v>
      </c>
      <c r="J1612">
        <v>381</v>
      </c>
      <c r="K1612">
        <v>389</v>
      </c>
      <c r="L1612" t="s">
        <v>14177</v>
      </c>
      <c r="M1612" t="s">
        <v>14178</v>
      </c>
      <c r="N1612" t="s">
        <v>14179</v>
      </c>
      <c r="O1612" t="s">
        <v>63</v>
      </c>
      <c r="Q1612" t="s">
        <v>63</v>
      </c>
      <c r="R1612" t="s">
        <v>63</v>
      </c>
      <c r="S1612" t="s">
        <v>63</v>
      </c>
      <c r="T1612" t="s">
        <v>63</v>
      </c>
      <c r="X1612" t="s">
        <v>63</v>
      </c>
      <c r="Y1612" t="s">
        <v>14180</v>
      </c>
      <c r="Z1612" t="s">
        <v>63</v>
      </c>
      <c r="AA1612" t="s">
        <v>63</v>
      </c>
      <c r="AB1612">
        <v>2587688</v>
      </c>
      <c r="AC1612" t="s">
        <v>102</v>
      </c>
      <c r="AD1612" t="s">
        <v>63</v>
      </c>
      <c r="AE1612" t="s">
        <v>63</v>
      </c>
      <c r="AF1612" t="s">
        <v>63</v>
      </c>
      <c r="AG1612" t="s">
        <v>14181</v>
      </c>
      <c r="AH1612" t="s">
        <v>63</v>
      </c>
      <c r="AI1612" t="s">
        <v>63</v>
      </c>
      <c r="AJ1612" t="s">
        <v>63</v>
      </c>
      <c r="AK1612" t="s">
        <v>63</v>
      </c>
      <c r="AL1612" t="s">
        <v>63</v>
      </c>
      <c r="AM1612" t="s">
        <v>14182</v>
      </c>
      <c r="AN1612" t="s">
        <v>63</v>
      </c>
      <c r="AO1612" t="s">
        <v>63</v>
      </c>
      <c r="AP1612" t="s">
        <v>63</v>
      </c>
      <c r="AQ1612" t="s">
        <v>63</v>
      </c>
      <c r="AR1612" t="s">
        <v>63</v>
      </c>
      <c r="AS1612" t="s">
        <v>63</v>
      </c>
      <c r="AT1612" t="s">
        <v>63</v>
      </c>
      <c r="AU1612" t="s">
        <v>63</v>
      </c>
      <c r="AV1612" t="s">
        <v>63</v>
      </c>
      <c r="AW1612" t="s">
        <v>63</v>
      </c>
      <c r="AX1612" t="s">
        <v>63</v>
      </c>
      <c r="AY1612" t="s">
        <v>63</v>
      </c>
      <c r="AZ1612" t="s">
        <v>63</v>
      </c>
      <c r="BA1612" t="s">
        <v>63</v>
      </c>
      <c r="BB1612" t="s">
        <v>63</v>
      </c>
      <c r="BC1612" t="s">
        <v>63</v>
      </c>
      <c r="BD1612" t="s">
        <v>63</v>
      </c>
      <c r="BE1612" t="s">
        <v>63</v>
      </c>
      <c r="BF1612" t="s">
        <v>63</v>
      </c>
    </row>
    <row r="1613" spans="1:58">
      <c r="A1613" t="s">
        <v>58</v>
      </c>
      <c r="B1613" t="s">
        <v>14183</v>
      </c>
      <c r="C1613" t="s">
        <v>14184</v>
      </c>
      <c r="D1613" t="s">
        <v>1055</v>
      </c>
      <c r="E1613" t="s">
        <v>1056</v>
      </c>
      <c r="F1613">
        <v>2000</v>
      </c>
      <c r="G1613" t="s">
        <v>326</v>
      </c>
      <c r="H1613">
        <v>34</v>
      </c>
      <c r="I1613">
        <v>2</v>
      </c>
      <c r="J1613">
        <v>86</v>
      </c>
      <c r="K1613">
        <v>87</v>
      </c>
      <c r="L1613" t="s">
        <v>14185</v>
      </c>
      <c r="M1613" t="s">
        <v>63</v>
      </c>
      <c r="N1613" t="s">
        <v>14186</v>
      </c>
      <c r="O1613" t="s">
        <v>63</v>
      </c>
      <c r="Q1613" t="s">
        <v>63</v>
      </c>
      <c r="R1613" t="s">
        <v>63</v>
      </c>
      <c r="S1613" t="s">
        <v>63</v>
      </c>
      <c r="T1613" t="s">
        <v>63</v>
      </c>
      <c r="X1613" t="s">
        <v>63</v>
      </c>
      <c r="Y1613" t="s">
        <v>1059</v>
      </c>
      <c r="Z1613" t="s">
        <v>63</v>
      </c>
      <c r="AA1613" t="s">
        <v>14187</v>
      </c>
      <c r="AB1613">
        <v>10652058</v>
      </c>
      <c r="AC1613" t="s">
        <v>67</v>
      </c>
      <c r="AD1613" t="s">
        <v>63</v>
      </c>
      <c r="AE1613" t="s">
        <v>63</v>
      </c>
      <c r="AF1613" t="s">
        <v>63</v>
      </c>
      <c r="AG1613" t="s">
        <v>14188</v>
      </c>
      <c r="AH1613" t="s">
        <v>63</v>
      </c>
      <c r="AI1613" t="s">
        <v>63</v>
      </c>
      <c r="AJ1613" t="s">
        <v>63</v>
      </c>
      <c r="AK1613" t="s">
        <v>63</v>
      </c>
      <c r="AL1613" t="s">
        <v>63</v>
      </c>
      <c r="AM1613" t="s">
        <v>14189</v>
      </c>
      <c r="AN1613" t="s">
        <v>63</v>
      </c>
      <c r="AO1613" t="s">
        <v>63</v>
      </c>
      <c r="AP1613" t="s">
        <v>63</v>
      </c>
      <c r="AQ1613" t="s">
        <v>63</v>
      </c>
      <c r="AR1613" t="s">
        <v>63</v>
      </c>
      <c r="AS1613" t="s">
        <v>63</v>
      </c>
      <c r="AT1613" t="s">
        <v>63</v>
      </c>
      <c r="AU1613" t="s">
        <v>63</v>
      </c>
      <c r="AV1613" t="s">
        <v>63</v>
      </c>
      <c r="AW1613" t="s">
        <v>63</v>
      </c>
      <c r="AX1613" t="s">
        <v>63</v>
      </c>
      <c r="AY1613" t="s">
        <v>63</v>
      </c>
      <c r="AZ1613" t="s">
        <v>63</v>
      </c>
      <c r="BA1613" t="s">
        <v>63</v>
      </c>
      <c r="BB1613" t="s">
        <v>63</v>
      </c>
      <c r="BC1613" t="s">
        <v>63</v>
      </c>
      <c r="BD1613" t="s">
        <v>63</v>
      </c>
      <c r="BE1613" t="s">
        <v>63</v>
      </c>
      <c r="BF1613" t="s">
        <v>63</v>
      </c>
    </row>
    <row r="1614" spans="1:58">
      <c r="A1614" t="s">
        <v>58</v>
      </c>
      <c r="B1614" t="s">
        <v>14190</v>
      </c>
      <c r="C1614" t="s">
        <v>14191</v>
      </c>
      <c r="D1614" t="s">
        <v>3071</v>
      </c>
      <c r="E1614" t="s">
        <v>3072</v>
      </c>
      <c r="F1614">
        <v>1990</v>
      </c>
      <c r="G1614" t="s">
        <v>219</v>
      </c>
      <c r="H1614">
        <v>85</v>
      </c>
      <c r="I1614">
        <v>11</v>
      </c>
      <c r="J1614">
        <v>1451</v>
      </c>
      <c r="K1614">
        <v>1455</v>
      </c>
      <c r="L1614" t="s">
        <v>14192</v>
      </c>
      <c r="M1614" t="s">
        <v>14193</v>
      </c>
      <c r="N1614" t="s">
        <v>14194</v>
      </c>
      <c r="O1614" t="s">
        <v>63</v>
      </c>
      <c r="Q1614" t="s">
        <v>63</v>
      </c>
      <c r="R1614" t="s">
        <v>63</v>
      </c>
      <c r="S1614" t="s">
        <v>63</v>
      </c>
      <c r="T1614" t="s">
        <v>63</v>
      </c>
      <c r="X1614" t="s">
        <v>63</v>
      </c>
      <c r="Y1614" t="s">
        <v>3075</v>
      </c>
      <c r="Z1614" t="s">
        <v>63</v>
      </c>
      <c r="AA1614" t="s">
        <v>14195</v>
      </c>
      <c r="AB1614">
        <v>2285841</v>
      </c>
      <c r="AC1614" t="s">
        <v>67</v>
      </c>
      <c r="AD1614" t="s">
        <v>63</v>
      </c>
      <c r="AE1614" t="s">
        <v>63</v>
      </c>
      <c r="AF1614" t="s">
        <v>63</v>
      </c>
      <c r="AG1614" t="s">
        <v>14196</v>
      </c>
      <c r="AH1614" t="s">
        <v>63</v>
      </c>
      <c r="AI1614" t="s">
        <v>63</v>
      </c>
      <c r="AJ1614" t="s">
        <v>63</v>
      </c>
      <c r="AK1614" t="s">
        <v>63</v>
      </c>
      <c r="AL1614" t="s">
        <v>63</v>
      </c>
      <c r="AM1614" t="s">
        <v>14197</v>
      </c>
      <c r="AN1614" t="s">
        <v>63</v>
      </c>
      <c r="AO1614" t="s">
        <v>63</v>
      </c>
      <c r="AP1614" t="s">
        <v>63</v>
      </c>
      <c r="AQ1614" t="s">
        <v>63</v>
      </c>
      <c r="AR1614" t="s">
        <v>63</v>
      </c>
      <c r="AS1614" t="s">
        <v>63</v>
      </c>
      <c r="AT1614" t="s">
        <v>63</v>
      </c>
      <c r="AU1614" t="s">
        <v>63</v>
      </c>
      <c r="AV1614" t="s">
        <v>63</v>
      </c>
      <c r="AW1614" t="s">
        <v>63</v>
      </c>
      <c r="AX1614" t="s">
        <v>63</v>
      </c>
      <c r="AY1614" t="s">
        <v>63</v>
      </c>
      <c r="AZ1614" t="s">
        <v>63</v>
      </c>
      <c r="BA1614" t="s">
        <v>63</v>
      </c>
      <c r="BB1614" t="s">
        <v>63</v>
      </c>
      <c r="BC1614" t="s">
        <v>63</v>
      </c>
      <c r="BD1614" t="s">
        <v>63</v>
      </c>
      <c r="BE1614" t="s">
        <v>63</v>
      </c>
      <c r="BF1614" t="s">
        <v>63</v>
      </c>
    </row>
    <row r="1615" spans="1:58">
      <c r="A1615" t="s">
        <v>58</v>
      </c>
      <c r="B1615" t="s">
        <v>14198</v>
      </c>
      <c r="C1615" t="s">
        <v>14199</v>
      </c>
      <c r="D1615" t="s">
        <v>180</v>
      </c>
      <c r="E1615" t="s">
        <v>63</v>
      </c>
      <c r="F1615">
        <v>1995</v>
      </c>
      <c r="G1615" t="s">
        <v>219</v>
      </c>
      <c r="H1615">
        <v>30</v>
      </c>
      <c r="I1615">
        <v>6</v>
      </c>
      <c r="J1615">
        <v>689</v>
      </c>
      <c r="K1615">
        <v>702</v>
      </c>
      <c r="L1615" t="s">
        <v>14200</v>
      </c>
      <c r="M1615" t="s">
        <v>14201</v>
      </c>
      <c r="N1615" t="s">
        <v>14202</v>
      </c>
      <c r="O1615" t="s">
        <v>63</v>
      </c>
      <c r="Q1615" t="s">
        <v>63</v>
      </c>
      <c r="R1615" t="s">
        <v>63</v>
      </c>
      <c r="S1615" t="s">
        <v>63</v>
      </c>
      <c r="T1615" t="s">
        <v>63</v>
      </c>
      <c r="X1615" t="s">
        <v>63</v>
      </c>
      <c r="Y1615" t="s">
        <v>185</v>
      </c>
      <c r="Z1615" t="s">
        <v>63</v>
      </c>
      <c r="AA1615" t="s">
        <v>14203</v>
      </c>
      <c r="AB1615">
        <v>8679008</v>
      </c>
      <c r="AC1615" t="s">
        <v>67</v>
      </c>
      <c r="AD1615" t="s">
        <v>63</v>
      </c>
      <c r="AE1615" t="s">
        <v>63</v>
      </c>
      <c r="AF1615" t="s">
        <v>63</v>
      </c>
      <c r="AG1615" t="s">
        <v>14204</v>
      </c>
      <c r="AH1615" t="s">
        <v>63</v>
      </c>
      <c r="AI1615" t="s">
        <v>63</v>
      </c>
      <c r="AJ1615" t="s">
        <v>63</v>
      </c>
      <c r="AK1615" t="s">
        <v>63</v>
      </c>
      <c r="AL1615" t="s">
        <v>63</v>
      </c>
      <c r="AM1615" t="s">
        <v>14205</v>
      </c>
      <c r="AN1615" t="s">
        <v>63</v>
      </c>
      <c r="AO1615" t="s">
        <v>63</v>
      </c>
      <c r="AP1615" t="s">
        <v>63</v>
      </c>
      <c r="AQ1615" t="s">
        <v>63</v>
      </c>
      <c r="AR1615" t="s">
        <v>63</v>
      </c>
      <c r="AS1615" t="s">
        <v>63</v>
      </c>
      <c r="AT1615" t="s">
        <v>63</v>
      </c>
      <c r="AU1615" t="s">
        <v>63</v>
      </c>
      <c r="AV1615" t="s">
        <v>63</v>
      </c>
      <c r="AW1615" t="s">
        <v>63</v>
      </c>
      <c r="AX1615" t="s">
        <v>63</v>
      </c>
      <c r="AY1615" t="s">
        <v>63</v>
      </c>
      <c r="AZ1615" t="s">
        <v>63</v>
      </c>
      <c r="BA1615" t="s">
        <v>63</v>
      </c>
      <c r="BB1615" t="s">
        <v>63</v>
      </c>
      <c r="BC1615" t="s">
        <v>63</v>
      </c>
      <c r="BD1615" t="s">
        <v>63</v>
      </c>
      <c r="BE1615" t="s">
        <v>63</v>
      </c>
      <c r="BF1615" t="s">
        <v>63</v>
      </c>
    </row>
    <row r="1616" spans="1:58">
      <c r="A1616" t="s">
        <v>58</v>
      </c>
      <c r="B1616" t="s">
        <v>14206</v>
      </c>
      <c r="C1616" t="s">
        <v>14207</v>
      </c>
      <c r="D1616" t="s">
        <v>1055</v>
      </c>
      <c r="E1616" t="s">
        <v>1056</v>
      </c>
      <c r="F1616">
        <v>1999</v>
      </c>
      <c r="G1616" t="s">
        <v>614</v>
      </c>
      <c r="H1616">
        <v>33</v>
      </c>
      <c r="I1616">
        <v>8</v>
      </c>
      <c r="J1616">
        <v>559</v>
      </c>
      <c r="K1616">
        <v>565</v>
      </c>
      <c r="L1616" t="s">
        <v>14208</v>
      </c>
      <c r="M1616" t="s">
        <v>14209</v>
      </c>
      <c r="N1616" t="s">
        <v>14210</v>
      </c>
      <c r="O1616" t="s">
        <v>63</v>
      </c>
      <c r="Q1616" t="s">
        <v>63</v>
      </c>
      <c r="R1616" t="s">
        <v>63</v>
      </c>
      <c r="S1616" t="s">
        <v>63</v>
      </c>
      <c r="T1616" t="s">
        <v>63</v>
      </c>
      <c r="X1616" t="s">
        <v>63</v>
      </c>
      <c r="Y1616" t="s">
        <v>1059</v>
      </c>
      <c r="Z1616" t="s">
        <v>63</v>
      </c>
      <c r="AA1616" t="s">
        <v>14211</v>
      </c>
      <c r="AB1616">
        <v>10447840</v>
      </c>
      <c r="AC1616" t="s">
        <v>67</v>
      </c>
      <c r="AD1616" t="s">
        <v>63</v>
      </c>
      <c r="AE1616" t="s">
        <v>63</v>
      </c>
      <c r="AF1616" t="s">
        <v>63</v>
      </c>
      <c r="AG1616" t="s">
        <v>14212</v>
      </c>
      <c r="AH1616" t="s">
        <v>63</v>
      </c>
      <c r="AI1616" t="s">
        <v>63</v>
      </c>
      <c r="AJ1616" t="s">
        <v>63</v>
      </c>
      <c r="AK1616" t="s">
        <v>63</v>
      </c>
      <c r="AL1616" t="s">
        <v>63</v>
      </c>
      <c r="AM1616" t="s">
        <v>14213</v>
      </c>
      <c r="AN1616" t="s">
        <v>63</v>
      </c>
      <c r="AO1616" t="s">
        <v>63</v>
      </c>
      <c r="AP1616" t="s">
        <v>63</v>
      </c>
      <c r="AQ1616" t="s">
        <v>63</v>
      </c>
      <c r="AR1616" t="s">
        <v>63</v>
      </c>
      <c r="AS1616" t="s">
        <v>63</v>
      </c>
      <c r="AT1616" t="s">
        <v>63</v>
      </c>
      <c r="AU1616" t="s">
        <v>63</v>
      </c>
      <c r="AV1616" t="s">
        <v>63</v>
      </c>
      <c r="AW1616" t="s">
        <v>63</v>
      </c>
      <c r="AX1616" t="s">
        <v>63</v>
      </c>
      <c r="AY1616" t="s">
        <v>63</v>
      </c>
      <c r="AZ1616" t="s">
        <v>63</v>
      </c>
      <c r="BA1616" t="s">
        <v>63</v>
      </c>
      <c r="BB1616" t="s">
        <v>63</v>
      </c>
      <c r="BC1616" t="s">
        <v>63</v>
      </c>
      <c r="BD1616" t="s">
        <v>63</v>
      </c>
      <c r="BE1616" t="s">
        <v>63</v>
      </c>
      <c r="BF1616" t="s">
        <v>63</v>
      </c>
    </row>
    <row r="1617" spans="1:58">
      <c r="A1617" t="s">
        <v>58</v>
      </c>
      <c r="B1617" t="s">
        <v>14214</v>
      </c>
      <c r="C1617" t="s">
        <v>14215</v>
      </c>
      <c r="D1617" t="s">
        <v>2646</v>
      </c>
      <c r="E1617" t="s">
        <v>2647</v>
      </c>
      <c r="F1617">
        <v>1993</v>
      </c>
      <c r="G1617" t="s">
        <v>73</v>
      </c>
      <c r="H1617">
        <v>86</v>
      </c>
      <c r="I1617">
        <v>6</v>
      </c>
      <c r="J1617">
        <v>313</v>
      </c>
      <c r="K1617">
        <v>314</v>
      </c>
      <c r="L1617" t="s">
        <v>14216</v>
      </c>
      <c r="M1617" t="s">
        <v>63</v>
      </c>
      <c r="N1617" t="s">
        <v>14217</v>
      </c>
      <c r="O1617" t="s">
        <v>63</v>
      </c>
      <c r="Q1617" t="s">
        <v>63</v>
      </c>
      <c r="R1617" t="s">
        <v>63</v>
      </c>
      <c r="S1617" t="s">
        <v>63</v>
      </c>
      <c r="T1617" t="s">
        <v>63</v>
      </c>
      <c r="X1617" t="s">
        <v>63</v>
      </c>
      <c r="Y1617" t="s">
        <v>2649</v>
      </c>
      <c r="Z1617" t="s">
        <v>63</v>
      </c>
      <c r="AA1617" t="s">
        <v>63</v>
      </c>
      <c r="AB1617">
        <v>8315621</v>
      </c>
      <c r="AC1617" t="s">
        <v>67</v>
      </c>
      <c r="AD1617" t="s">
        <v>63</v>
      </c>
      <c r="AE1617" t="s">
        <v>63</v>
      </c>
      <c r="AF1617" t="s">
        <v>63</v>
      </c>
      <c r="AG1617" t="s">
        <v>14218</v>
      </c>
      <c r="AH1617" t="s">
        <v>63</v>
      </c>
      <c r="AI1617" t="s">
        <v>63</v>
      </c>
      <c r="AJ1617" t="s">
        <v>63</v>
      </c>
      <c r="AK1617" t="s">
        <v>63</v>
      </c>
      <c r="AL1617" t="s">
        <v>63</v>
      </c>
      <c r="AM1617" t="s">
        <v>14219</v>
      </c>
      <c r="AN1617" t="s">
        <v>63</v>
      </c>
      <c r="AO1617" t="s">
        <v>63</v>
      </c>
      <c r="AP1617" t="s">
        <v>63</v>
      </c>
      <c r="AQ1617" t="s">
        <v>63</v>
      </c>
      <c r="AR1617" t="s">
        <v>63</v>
      </c>
      <c r="AS1617" t="s">
        <v>63</v>
      </c>
      <c r="AT1617" t="s">
        <v>63</v>
      </c>
      <c r="AU1617" t="s">
        <v>63</v>
      </c>
      <c r="AV1617" t="s">
        <v>63</v>
      </c>
      <c r="AW1617" t="s">
        <v>63</v>
      </c>
      <c r="AX1617" t="s">
        <v>63</v>
      </c>
      <c r="AY1617" t="s">
        <v>63</v>
      </c>
      <c r="AZ1617" t="s">
        <v>63</v>
      </c>
      <c r="BA1617" t="s">
        <v>63</v>
      </c>
      <c r="BB1617" t="s">
        <v>63</v>
      </c>
      <c r="BC1617" t="s">
        <v>63</v>
      </c>
      <c r="BD1617" t="s">
        <v>63</v>
      </c>
      <c r="BE1617" t="s">
        <v>63</v>
      </c>
      <c r="BF1617" t="s">
        <v>63</v>
      </c>
    </row>
    <row r="1618" spans="1:58">
      <c r="A1618" t="s">
        <v>58</v>
      </c>
      <c r="B1618" t="s">
        <v>14220</v>
      </c>
      <c r="C1618" t="s">
        <v>14221</v>
      </c>
      <c r="D1618" t="s">
        <v>458</v>
      </c>
      <c r="E1618" t="s">
        <v>459</v>
      </c>
      <c r="F1618">
        <v>2007</v>
      </c>
      <c r="G1618" t="s">
        <v>181</v>
      </c>
      <c r="H1618">
        <v>71</v>
      </c>
      <c r="I1618">
        <v>9</v>
      </c>
      <c r="J1618">
        <v>1171</v>
      </c>
      <c r="K1618">
        <v>1178</v>
      </c>
      <c r="L1618" t="s">
        <v>14222</v>
      </c>
      <c r="M1618" t="s">
        <v>14223</v>
      </c>
      <c r="N1618" t="s">
        <v>14224</v>
      </c>
      <c r="O1618" t="s">
        <v>63</v>
      </c>
      <c r="Q1618" t="s">
        <v>63</v>
      </c>
      <c r="R1618" t="s">
        <v>63</v>
      </c>
      <c r="S1618" t="s">
        <v>63</v>
      </c>
      <c r="T1618" t="s">
        <v>63</v>
      </c>
      <c r="X1618" t="s">
        <v>63</v>
      </c>
      <c r="Y1618" t="s">
        <v>4698</v>
      </c>
      <c r="Z1618" t="s">
        <v>63</v>
      </c>
      <c r="AA1618" t="s">
        <v>14225</v>
      </c>
      <c r="AB1618">
        <v>17761623</v>
      </c>
      <c r="AC1618" t="s">
        <v>67</v>
      </c>
      <c r="AD1618" t="s">
        <v>63</v>
      </c>
      <c r="AE1618" t="s">
        <v>63</v>
      </c>
      <c r="AF1618" t="s">
        <v>63</v>
      </c>
      <c r="AG1618" t="s">
        <v>14226</v>
      </c>
      <c r="AH1618" t="s">
        <v>63</v>
      </c>
      <c r="AI1618" t="s">
        <v>63</v>
      </c>
      <c r="AJ1618" t="s">
        <v>63</v>
      </c>
      <c r="AK1618" t="s">
        <v>63</v>
      </c>
      <c r="AL1618" t="s">
        <v>63</v>
      </c>
      <c r="AM1618" t="s">
        <v>14227</v>
      </c>
      <c r="AN1618" t="s">
        <v>63</v>
      </c>
      <c r="AO1618" t="s">
        <v>63</v>
      </c>
      <c r="AP1618" t="s">
        <v>63</v>
      </c>
      <c r="AQ1618" t="s">
        <v>63</v>
      </c>
      <c r="AR1618" t="s">
        <v>63</v>
      </c>
      <c r="AS1618" t="s">
        <v>63</v>
      </c>
      <c r="AT1618" t="s">
        <v>63</v>
      </c>
      <c r="AU1618" t="s">
        <v>63</v>
      </c>
      <c r="AV1618" t="s">
        <v>63</v>
      </c>
      <c r="AW1618" t="s">
        <v>63</v>
      </c>
      <c r="AX1618" t="s">
        <v>63</v>
      </c>
      <c r="AY1618" t="s">
        <v>63</v>
      </c>
      <c r="AZ1618" t="s">
        <v>63</v>
      </c>
      <c r="BA1618" t="s">
        <v>63</v>
      </c>
      <c r="BB1618" t="s">
        <v>63</v>
      </c>
      <c r="BC1618" t="s">
        <v>63</v>
      </c>
      <c r="BD1618" t="s">
        <v>63</v>
      </c>
      <c r="BE1618" t="s">
        <v>63</v>
      </c>
      <c r="BF1618" t="s">
        <v>63</v>
      </c>
    </row>
    <row r="1619" spans="1:58">
      <c r="A1619" t="s">
        <v>58</v>
      </c>
      <c r="B1619" t="s">
        <v>14228</v>
      </c>
      <c r="C1619" t="s">
        <v>14229</v>
      </c>
      <c r="D1619" t="s">
        <v>398</v>
      </c>
      <c r="E1619" t="s">
        <v>398</v>
      </c>
      <c r="F1619">
        <v>2017</v>
      </c>
      <c r="G1619" t="s">
        <v>189</v>
      </c>
      <c r="H1619">
        <v>139</v>
      </c>
      <c r="I1619" t="s">
        <v>63</v>
      </c>
      <c r="J1619" t="s">
        <v>14230</v>
      </c>
      <c r="K1619" t="s">
        <v>14231</v>
      </c>
      <c r="L1619" t="s">
        <v>14232</v>
      </c>
      <c r="M1619" t="s">
        <v>14233</v>
      </c>
      <c r="N1619" t="s">
        <v>14234</v>
      </c>
      <c r="O1619" t="s">
        <v>63</v>
      </c>
      <c r="Q1619" t="s">
        <v>63</v>
      </c>
      <c r="R1619" t="s">
        <v>63</v>
      </c>
      <c r="S1619" t="s">
        <v>63</v>
      </c>
      <c r="T1619" t="s">
        <v>63</v>
      </c>
      <c r="X1619" t="s">
        <v>63</v>
      </c>
      <c r="Y1619" t="s">
        <v>3162</v>
      </c>
      <c r="Z1619" t="s">
        <v>63</v>
      </c>
      <c r="AA1619" t="s">
        <v>14235</v>
      </c>
      <c r="AB1619">
        <v>28562310</v>
      </c>
      <c r="AC1619" t="s">
        <v>67</v>
      </c>
      <c r="AD1619" t="s">
        <v>63</v>
      </c>
      <c r="AE1619" t="s">
        <v>63</v>
      </c>
      <c r="AF1619" t="s">
        <v>63</v>
      </c>
      <c r="AG1619" t="s">
        <v>14236</v>
      </c>
      <c r="AH1619" t="s">
        <v>63</v>
      </c>
      <c r="AI1619" t="s">
        <v>14237</v>
      </c>
      <c r="AJ1619" t="s">
        <v>63</v>
      </c>
      <c r="AK1619" t="s">
        <v>63</v>
      </c>
      <c r="AL1619" t="s">
        <v>63</v>
      </c>
      <c r="AM1619" t="s">
        <v>14238</v>
      </c>
      <c r="AN1619" t="s">
        <v>63</v>
      </c>
      <c r="AO1619" t="s">
        <v>63</v>
      </c>
      <c r="AP1619" t="s">
        <v>63</v>
      </c>
      <c r="AQ1619" t="s">
        <v>63</v>
      </c>
      <c r="AR1619" t="s">
        <v>63</v>
      </c>
      <c r="AS1619" t="s">
        <v>63</v>
      </c>
      <c r="AT1619" t="s">
        <v>63</v>
      </c>
      <c r="AU1619" t="s">
        <v>63</v>
      </c>
      <c r="AV1619" t="s">
        <v>63</v>
      </c>
      <c r="AW1619" t="s">
        <v>63</v>
      </c>
      <c r="AX1619" t="s">
        <v>63</v>
      </c>
      <c r="AY1619" t="s">
        <v>63</v>
      </c>
      <c r="AZ1619" t="s">
        <v>63</v>
      </c>
      <c r="BA1619" t="s">
        <v>63</v>
      </c>
      <c r="BB1619" t="s">
        <v>63</v>
      </c>
      <c r="BC1619" t="s">
        <v>63</v>
      </c>
      <c r="BD1619" t="s">
        <v>63</v>
      </c>
      <c r="BE1619" t="s">
        <v>63</v>
      </c>
      <c r="BF1619" t="s">
        <v>63</v>
      </c>
    </row>
    <row r="1620" spans="1:58">
      <c r="A1620" t="s">
        <v>58</v>
      </c>
      <c r="B1620" t="s">
        <v>14239</v>
      </c>
      <c r="C1620" t="s">
        <v>14240</v>
      </c>
      <c r="D1620" t="s">
        <v>389</v>
      </c>
      <c r="E1620" t="s">
        <v>63</v>
      </c>
      <c r="F1620">
        <v>2013</v>
      </c>
      <c r="G1620" t="s">
        <v>63</v>
      </c>
      <c r="H1620">
        <v>34</v>
      </c>
      <c r="I1620">
        <v>4</v>
      </c>
      <c r="J1620">
        <v>344</v>
      </c>
      <c r="K1620">
        <v>349</v>
      </c>
      <c r="L1620" t="s">
        <v>14241</v>
      </c>
      <c r="M1620" t="s">
        <v>14242</v>
      </c>
      <c r="N1620" t="s">
        <v>14243</v>
      </c>
      <c r="O1620" t="s">
        <v>63</v>
      </c>
      <c r="Q1620" t="s">
        <v>63</v>
      </c>
      <c r="R1620" t="s">
        <v>63</v>
      </c>
      <c r="S1620" t="s">
        <v>63</v>
      </c>
      <c r="T1620" t="s">
        <v>63</v>
      </c>
      <c r="X1620" t="s">
        <v>63</v>
      </c>
      <c r="Y1620" t="s">
        <v>556</v>
      </c>
      <c r="Z1620" t="s">
        <v>63</v>
      </c>
      <c r="AA1620" t="s">
        <v>14244</v>
      </c>
      <c r="AB1620">
        <v>24159904</v>
      </c>
      <c r="AC1620" t="s">
        <v>67</v>
      </c>
      <c r="AD1620" t="s">
        <v>63</v>
      </c>
      <c r="AE1620" t="s">
        <v>63</v>
      </c>
      <c r="AF1620" t="s">
        <v>63</v>
      </c>
      <c r="AG1620" t="s">
        <v>14245</v>
      </c>
      <c r="AH1620" t="s">
        <v>63</v>
      </c>
      <c r="AI1620" t="s">
        <v>14246</v>
      </c>
      <c r="AJ1620" t="s">
        <v>63</v>
      </c>
      <c r="AK1620" t="s">
        <v>63</v>
      </c>
      <c r="AL1620" t="s">
        <v>63</v>
      </c>
      <c r="AM1620" t="s">
        <v>14247</v>
      </c>
      <c r="AN1620" t="s">
        <v>63</v>
      </c>
      <c r="AO1620" t="s">
        <v>63</v>
      </c>
      <c r="AP1620" t="s">
        <v>63</v>
      </c>
      <c r="AQ1620" t="s">
        <v>63</v>
      </c>
      <c r="AR1620" t="s">
        <v>63</v>
      </c>
      <c r="AS1620" t="s">
        <v>63</v>
      </c>
      <c r="AT1620" t="s">
        <v>63</v>
      </c>
      <c r="AU1620" t="s">
        <v>63</v>
      </c>
      <c r="AV1620" t="s">
        <v>63</v>
      </c>
      <c r="AW1620" t="s">
        <v>63</v>
      </c>
      <c r="AX1620" t="s">
        <v>63</v>
      </c>
      <c r="AY1620" t="s">
        <v>63</v>
      </c>
      <c r="AZ1620" t="s">
        <v>63</v>
      </c>
      <c r="BA1620" t="s">
        <v>63</v>
      </c>
      <c r="BB1620" t="s">
        <v>63</v>
      </c>
      <c r="BC1620" t="s">
        <v>63</v>
      </c>
      <c r="BD1620" t="s">
        <v>63</v>
      </c>
      <c r="BE1620" t="s">
        <v>63</v>
      </c>
      <c r="BF1620" t="s">
        <v>63</v>
      </c>
    </row>
    <row r="1621" spans="1:58">
      <c r="A1621" t="s">
        <v>58</v>
      </c>
      <c r="B1621" t="s">
        <v>14248</v>
      </c>
      <c r="C1621" t="s">
        <v>14249</v>
      </c>
      <c r="D1621" t="s">
        <v>389</v>
      </c>
      <c r="E1621" t="s">
        <v>63</v>
      </c>
      <c r="F1621">
        <v>2016</v>
      </c>
      <c r="G1621" t="s">
        <v>1737</v>
      </c>
      <c r="H1621">
        <v>37</v>
      </c>
      <c r="I1621">
        <v>3</v>
      </c>
      <c r="J1621">
        <v>419</v>
      </c>
      <c r="K1621">
        <v>426</v>
      </c>
      <c r="L1621" t="s">
        <v>14250</v>
      </c>
      <c r="M1621" t="s">
        <v>14251</v>
      </c>
      <c r="N1621" t="s">
        <v>14252</v>
      </c>
      <c r="O1621" t="s">
        <v>63</v>
      </c>
      <c r="Q1621" t="s">
        <v>63</v>
      </c>
      <c r="R1621" t="s">
        <v>63</v>
      </c>
      <c r="S1621" t="s">
        <v>63</v>
      </c>
      <c r="T1621" t="s">
        <v>63</v>
      </c>
      <c r="X1621" t="s">
        <v>63</v>
      </c>
      <c r="Y1621" t="s">
        <v>556</v>
      </c>
      <c r="Z1621" t="s">
        <v>63</v>
      </c>
      <c r="AA1621" t="s">
        <v>14253</v>
      </c>
      <c r="AB1621">
        <v>26675123</v>
      </c>
      <c r="AC1621" t="s">
        <v>67</v>
      </c>
      <c r="AD1621" t="s">
        <v>63</v>
      </c>
      <c r="AE1621" t="s">
        <v>63</v>
      </c>
      <c r="AF1621" t="s">
        <v>63</v>
      </c>
      <c r="AG1621" t="s">
        <v>14254</v>
      </c>
      <c r="AH1621" t="s">
        <v>63</v>
      </c>
      <c r="AI1621" t="s">
        <v>63</v>
      </c>
      <c r="AJ1621" t="s">
        <v>63</v>
      </c>
      <c r="AK1621" t="s">
        <v>63</v>
      </c>
      <c r="AL1621" t="s">
        <v>63</v>
      </c>
      <c r="AM1621" t="s">
        <v>14255</v>
      </c>
      <c r="AN1621" t="s">
        <v>63</v>
      </c>
      <c r="AO1621" t="s">
        <v>63</v>
      </c>
      <c r="AP1621" t="s">
        <v>63</v>
      </c>
      <c r="AQ1621" t="s">
        <v>63</v>
      </c>
      <c r="AR1621" t="s">
        <v>63</v>
      </c>
      <c r="AS1621" t="s">
        <v>63</v>
      </c>
      <c r="AT1621" t="s">
        <v>63</v>
      </c>
      <c r="AU1621" t="s">
        <v>63</v>
      </c>
      <c r="AV1621" t="s">
        <v>63</v>
      </c>
      <c r="AW1621" t="s">
        <v>63</v>
      </c>
      <c r="AX1621" t="s">
        <v>63</v>
      </c>
      <c r="AY1621" t="s">
        <v>63</v>
      </c>
      <c r="AZ1621" t="s">
        <v>63</v>
      </c>
      <c r="BA1621" t="s">
        <v>63</v>
      </c>
      <c r="BB1621" t="s">
        <v>63</v>
      </c>
      <c r="BC1621" t="s">
        <v>63</v>
      </c>
      <c r="BD1621" t="s">
        <v>63</v>
      </c>
      <c r="BE1621" t="s">
        <v>63</v>
      </c>
      <c r="BF1621" t="s">
        <v>63</v>
      </c>
    </row>
    <row r="1622" spans="1:58">
      <c r="A1622" t="s">
        <v>58</v>
      </c>
      <c r="B1622" t="s">
        <v>14256</v>
      </c>
      <c r="C1622" t="s">
        <v>14257</v>
      </c>
      <c r="D1622" t="s">
        <v>14258</v>
      </c>
      <c r="E1622" t="s">
        <v>14259</v>
      </c>
      <c r="F1622">
        <v>2016</v>
      </c>
      <c r="G1622" s="1">
        <v>41911</v>
      </c>
      <c r="H1622">
        <v>243</v>
      </c>
      <c r="I1622" t="s">
        <v>63</v>
      </c>
      <c r="J1622">
        <v>463</v>
      </c>
      <c r="K1622">
        <v>468</v>
      </c>
      <c r="L1622" t="s">
        <v>14260</v>
      </c>
      <c r="M1622" t="s">
        <v>14261</v>
      </c>
      <c r="N1622" t="s">
        <v>14262</v>
      </c>
      <c r="O1622" t="s">
        <v>63</v>
      </c>
      <c r="Q1622" t="s">
        <v>63</v>
      </c>
      <c r="R1622" t="s">
        <v>63</v>
      </c>
      <c r="S1622" t="s">
        <v>63</v>
      </c>
      <c r="T1622" t="s">
        <v>63</v>
      </c>
      <c r="X1622" t="s">
        <v>63</v>
      </c>
      <c r="Y1622" t="s">
        <v>14263</v>
      </c>
      <c r="Z1622" t="s">
        <v>63</v>
      </c>
      <c r="AA1622" t="s">
        <v>14264</v>
      </c>
      <c r="AB1622">
        <v>27504797</v>
      </c>
      <c r="AC1622" t="s">
        <v>67</v>
      </c>
      <c r="AD1622" t="s">
        <v>63</v>
      </c>
      <c r="AE1622" t="s">
        <v>63</v>
      </c>
      <c r="AF1622" t="s">
        <v>63</v>
      </c>
      <c r="AG1622" t="s">
        <v>14265</v>
      </c>
      <c r="AH1622" t="s">
        <v>63</v>
      </c>
      <c r="AI1622" t="s">
        <v>14266</v>
      </c>
      <c r="AJ1622" t="s">
        <v>63</v>
      </c>
      <c r="AK1622" t="s">
        <v>63</v>
      </c>
      <c r="AL1622" t="s">
        <v>63</v>
      </c>
      <c r="AM1622" t="s">
        <v>14267</v>
      </c>
      <c r="AN1622" t="s">
        <v>63</v>
      </c>
      <c r="AO1622" t="s">
        <v>63</v>
      </c>
      <c r="AP1622" t="s">
        <v>63</v>
      </c>
      <c r="AQ1622" t="s">
        <v>63</v>
      </c>
      <c r="AR1622" t="s">
        <v>63</v>
      </c>
      <c r="AS1622" t="s">
        <v>63</v>
      </c>
      <c r="AT1622" t="s">
        <v>63</v>
      </c>
      <c r="AU1622" t="s">
        <v>63</v>
      </c>
      <c r="AV1622" t="s">
        <v>63</v>
      </c>
      <c r="AW1622" t="s">
        <v>63</v>
      </c>
      <c r="AX1622" t="s">
        <v>63</v>
      </c>
      <c r="AY1622" t="s">
        <v>63</v>
      </c>
      <c r="AZ1622" t="s">
        <v>63</v>
      </c>
      <c r="BA1622" t="s">
        <v>63</v>
      </c>
      <c r="BB1622" t="s">
        <v>63</v>
      </c>
      <c r="BC1622" t="s">
        <v>63</v>
      </c>
      <c r="BD1622" t="s">
        <v>63</v>
      </c>
      <c r="BE1622" t="s">
        <v>63</v>
      </c>
      <c r="BF1622" t="s">
        <v>63</v>
      </c>
    </row>
    <row r="1623" spans="1:58">
      <c r="A1623" t="s">
        <v>58</v>
      </c>
      <c r="B1623" t="s">
        <v>14268</v>
      </c>
      <c r="C1623" t="s">
        <v>14269</v>
      </c>
      <c r="D1623" t="s">
        <v>1184</v>
      </c>
      <c r="E1623" t="s">
        <v>1185</v>
      </c>
      <c r="F1623">
        <v>1987</v>
      </c>
      <c r="G1623" t="s">
        <v>73</v>
      </c>
      <c r="H1623">
        <v>62</v>
      </c>
      <c r="I1623">
        <v>6</v>
      </c>
      <c r="J1623">
        <v>497</v>
      </c>
      <c r="K1623">
        <v>503</v>
      </c>
      <c r="L1623" t="s">
        <v>14270</v>
      </c>
      <c r="M1623" t="s">
        <v>14271</v>
      </c>
      <c r="N1623" t="s">
        <v>14272</v>
      </c>
      <c r="O1623" t="s">
        <v>63</v>
      </c>
      <c r="Q1623" t="s">
        <v>63</v>
      </c>
      <c r="R1623" t="s">
        <v>63</v>
      </c>
      <c r="S1623" t="s">
        <v>63</v>
      </c>
      <c r="T1623" t="s">
        <v>63</v>
      </c>
      <c r="X1623" t="s">
        <v>63</v>
      </c>
      <c r="Y1623" t="s">
        <v>1188</v>
      </c>
      <c r="Z1623" t="s">
        <v>63</v>
      </c>
      <c r="AA1623" t="s">
        <v>63</v>
      </c>
      <c r="AB1623">
        <v>3599038</v>
      </c>
      <c r="AC1623" t="s">
        <v>67</v>
      </c>
      <c r="AD1623" t="s">
        <v>63</v>
      </c>
      <c r="AE1623" t="s">
        <v>63</v>
      </c>
      <c r="AF1623" t="s">
        <v>63</v>
      </c>
      <c r="AG1623" t="s">
        <v>14273</v>
      </c>
      <c r="AH1623" t="s">
        <v>63</v>
      </c>
      <c r="AI1623" t="s">
        <v>63</v>
      </c>
      <c r="AJ1623" t="s">
        <v>63</v>
      </c>
      <c r="AK1623" t="s">
        <v>63</v>
      </c>
      <c r="AL1623" t="s">
        <v>63</v>
      </c>
      <c r="AM1623" t="s">
        <v>14274</v>
      </c>
      <c r="AN1623" t="s">
        <v>63</v>
      </c>
      <c r="AO1623" t="s">
        <v>63</v>
      </c>
      <c r="AP1623" t="s">
        <v>63</v>
      </c>
      <c r="AQ1623" t="s">
        <v>63</v>
      </c>
      <c r="AR1623" t="s">
        <v>63</v>
      </c>
      <c r="AS1623" t="s">
        <v>63</v>
      </c>
      <c r="AT1623" t="s">
        <v>63</v>
      </c>
      <c r="AU1623" t="s">
        <v>63</v>
      </c>
      <c r="AV1623" t="s">
        <v>63</v>
      </c>
      <c r="AW1623" t="s">
        <v>63</v>
      </c>
      <c r="AX1623" t="s">
        <v>63</v>
      </c>
      <c r="AY1623" t="s">
        <v>63</v>
      </c>
      <c r="AZ1623" t="s">
        <v>63</v>
      </c>
      <c r="BA1623" t="s">
        <v>63</v>
      </c>
      <c r="BB1623" t="s">
        <v>63</v>
      </c>
      <c r="BC1623" t="s">
        <v>63</v>
      </c>
      <c r="BD1623" t="s">
        <v>63</v>
      </c>
      <c r="BE1623" t="s">
        <v>63</v>
      </c>
      <c r="BF1623" t="s">
        <v>63</v>
      </c>
    </row>
    <row r="1624" spans="1:58">
      <c r="A1624" t="s">
        <v>58</v>
      </c>
      <c r="B1624" t="s">
        <v>14275</v>
      </c>
      <c r="C1624" t="s">
        <v>14276</v>
      </c>
      <c r="D1624" t="s">
        <v>205</v>
      </c>
      <c r="E1624" t="s">
        <v>205</v>
      </c>
      <c r="F1624">
        <v>1983</v>
      </c>
      <c r="G1624" s="1">
        <v>41869</v>
      </c>
      <c r="H1624">
        <v>250</v>
      </c>
      <c r="I1624">
        <v>7</v>
      </c>
      <c r="J1624">
        <v>922</v>
      </c>
      <c r="K1624">
        <v>925</v>
      </c>
      <c r="L1624" t="s">
        <v>14277</v>
      </c>
      <c r="M1624" t="s">
        <v>14278</v>
      </c>
      <c r="N1624" t="s">
        <v>14279</v>
      </c>
      <c r="O1624" t="s">
        <v>63</v>
      </c>
      <c r="Q1624" t="s">
        <v>63</v>
      </c>
      <c r="R1624" t="s">
        <v>63</v>
      </c>
      <c r="S1624" t="s">
        <v>63</v>
      </c>
      <c r="T1624" t="s">
        <v>63</v>
      </c>
      <c r="X1624" t="s">
        <v>63</v>
      </c>
      <c r="Y1624" t="s">
        <v>208</v>
      </c>
      <c r="Z1624" t="s">
        <v>63</v>
      </c>
      <c r="AA1624" t="s">
        <v>63</v>
      </c>
      <c r="AB1624">
        <v>6864975</v>
      </c>
      <c r="AC1624" t="s">
        <v>67</v>
      </c>
      <c r="AD1624" t="s">
        <v>63</v>
      </c>
      <c r="AE1624" t="s">
        <v>63</v>
      </c>
      <c r="AF1624" t="s">
        <v>63</v>
      </c>
      <c r="AG1624" t="s">
        <v>14280</v>
      </c>
      <c r="AH1624" t="s">
        <v>63</v>
      </c>
      <c r="AI1624" t="s">
        <v>63</v>
      </c>
      <c r="AJ1624" t="s">
        <v>63</v>
      </c>
      <c r="AK1624" t="s">
        <v>63</v>
      </c>
      <c r="AL1624" t="s">
        <v>63</v>
      </c>
      <c r="AM1624" t="s">
        <v>14281</v>
      </c>
      <c r="AN1624" t="s">
        <v>63</v>
      </c>
      <c r="AO1624" t="s">
        <v>63</v>
      </c>
      <c r="AP1624" t="s">
        <v>63</v>
      </c>
      <c r="AQ1624" t="s">
        <v>63</v>
      </c>
      <c r="AR1624" t="s">
        <v>63</v>
      </c>
      <c r="AS1624" t="s">
        <v>63</v>
      </c>
      <c r="AT1624" t="s">
        <v>63</v>
      </c>
      <c r="AU1624" t="s">
        <v>63</v>
      </c>
      <c r="AV1624" t="s">
        <v>63</v>
      </c>
      <c r="AW1624" t="s">
        <v>63</v>
      </c>
      <c r="AX1624" t="s">
        <v>63</v>
      </c>
      <c r="AY1624" t="s">
        <v>63</v>
      </c>
      <c r="AZ1624" t="s">
        <v>63</v>
      </c>
      <c r="BA1624" t="s">
        <v>63</v>
      </c>
      <c r="BB1624" t="s">
        <v>63</v>
      </c>
      <c r="BC1624" t="s">
        <v>63</v>
      </c>
      <c r="BD1624" t="s">
        <v>63</v>
      </c>
      <c r="BE1624" t="s">
        <v>63</v>
      </c>
      <c r="BF1624" t="s">
        <v>63</v>
      </c>
    </row>
    <row r="1625" spans="1:58">
      <c r="A1625" t="s">
        <v>58</v>
      </c>
      <c r="B1625" t="s">
        <v>14282</v>
      </c>
      <c r="C1625" t="s">
        <v>14283</v>
      </c>
      <c r="D1625" t="s">
        <v>14284</v>
      </c>
      <c r="E1625" t="s">
        <v>14285</v>
      </c>
      <c r="F1625">
        <v>1991</v>
      </c>
      <c r="G1625" t="s">
        <v>614</v>
      </c>
      <c r="H1625">
        <v>81</v>
      </c>
      <c r="I1625">
        <v>8</v>
      </c>
      <c r="J1625">
        <v>454</v>
      </c>
      <c r="K1625" t="s">
        <v>63</v>
      </c>
      <c r="L1625" t="s">
        <v>14286</v>
      </c>
      <c r="M1625" t="s">
        <v>63</v>
      </c>
      <c r="N1625" t="s">
        <v>14287</v>
      </c>
      <c r="O1625" t="s">
        <v>63</v>
      </c>
      <c r="Q1625" t="s">
        <v>63</v>
      </c>
      <c r="R1625" t="s">
        <v>63</v>
      </c>
      <c r="S1625" t="s">
        <v>63</v>
      </c>
      <c r="T1625" t="s">
        <v>63</v>
      </c>
      <c r="X1625" t="s">
        <v>63</v>
      </c>
      <c r="Y1625" t="s">
        <v>14288</v>
      </c>
      <c r="Z1625" t="s">
        <v>63</v>
      </c>
      <c r="AA1625" t="s">
        <v>63</v>
      </c>
      <c r="AB1625">
        <v>1920109</v>
      </c>
      <c r="AC1625" t="s">
        <v>67</v>
      </c>
      <c r="AD1625" t="s">
        <v>63</v>
      </c>
      <c r="AE1625" t="s">
        <v>63</v>
      </c>
      <c r="AF1625" t="s">
        <v>63</v>
      </c>
      <c r="AG1625" t="s">
        <v>14289</v>
      </c>
      <c r="AH1625" t="s">
        <v>63</v>
      </c>
      <c r="AI1625" t="s">
        <v>63</v>
      </c>
      <c r="AJ1625" t="s">
        <v>63</v>
      </c>
      <c r="AK1625" t="s">
        <v>63</v>
      </c>
      <c r="AL1625" t="s">
        <v>63</v>
      </c>
      <c r="AM1625" t="s">
        <v>14290</v>
      </c>
      <c r="AN1625" t="s">
        <v>63</v>
      </c>
      <c r="AO1625" t="s">
        <v>63</v>
      </c>
      <c r="AP1625" t="s">
        <v>63</v>
      </c>
      <c r="AQ1625" t="s">
        <v>63</v>
      </c>
      <c r="AR1625" t="s">
        <v>63</v>
      </c>
      <c r="AS1625" t="s">
        <v>63</v>
      </c>
      <c r="AT1625" t="s">
        <v>63</v>
      </c>
      <c r="AU1625" t="s">
        <v>63</v>
      </c>
      <c r="AV1625" t="s">
        <v>63</v>
      </c>
      <c r="AW1625" t="s">
        <v>63</v>
      </c>
      <c r="AX1625" t="s">
        <v>63</v>
      </c>
      <c r="AY1625" t="s">
        <v>63</v>
      </c>
      <c r="AZ1625" t="s">
        <v>63</v>
      </c>
      <c r="BA1625" t="s">
        <v>63</v>
      </c>
      <c r="BB1625" t="s">
        <v>63</v>
      </c>
      <c r="BC1625" t="s">
        <v>63</v>
      </c>
      <c r="BD1625" t="s">
        <v>63</v>
      </c>
      <c r="BE1625" t="s">
        <v>63</v>
      </c>
      <c r="BF1625" t="s">
        <v>63</v>
      </c>
    </row>
    <row r="1626" spans="1:58">
      <c r="A1626" t="s">
        <v>58</v>
      </c>
      <c r="B1626" t="s">
        <v>14291</v>
      </c>
      <c r="C1626" t="s">
        <v>14292</v>
      </c>
      <c r="D1626" t="s">
        <v>7363</v>
      </c>
      <c r="E1626" t="s">
        <v>7363</v>
      </c>
      <c r="F1626">
        <v>2015</v>
      </c>
      <c r="G1626" t="s">
        <v>138</v>
      </c>
      <c r="H1626">
        <v>123</v>
      </c>
      <c r="I1626">
        <v>4</v>
      </c>
      <c r="J1626">
        <v>929</v>
      </c>
      <c r="K1626">
        <v>936</v>
      </c>
      <c r="L1626" t="s">
        <v>14293</v>
      </c>
      <c r="M1626" t="s">
        <v>14294</v>
      </c>
      <c r="N1626" t="s">
        <v>14295</v>
      </c>
      <c r="O1626" t="s">
        <v>63</v>
      </c>
      <c r="Q1626" t="s">
        <v>63</v>
      </c>
      <c r="R1626" t="s">
        <v>63</v>
      </c>
      <c r="S1626" t="s">
        <v>63</v>
      </c>
      <c r="T1626" t="s">
        <v>63</v>
      </c>
      <c r="X1626" t="s">
        <v>63</v>
      </c>
      <c r="Y1626" t="s">
        <v>14296</v>
      </c>
      <c r="Z1626" t="s">
        <v>63</v>
      </c>
      <c r="AA1626" t="s">
        <v>14297</v>
      </c>
      <c r="AB1626">
        <v>26263431</v>
      </c>
      <c r="AC1626" t="s">
        <v>67</v>
      </c>
      <c r="AD1626" t="s">
        <v>63</v>
      </c>
      <c r="AE1626" t="s">
        <v>63</v>
      </c>
      <c r="AF1626" t="s">
        <v>63</v>
      </c>
      <c r="AG1626" t="s">
        <v>14298</v>
      </c>
      <c r="AH1626" t="s">
        <v>63</v>
      </c>
      <c r="AI1626" t="s">
        <v>14299</v>
      </c>
      <c r="AJ1626" t="s">
        <v>63</v>
      </c>
      <c r="AK1626" t="s">
        <v>63</v>
      </c>
      <c r="AL1626" t="s">
        <v>63</v>
      </c>
      <c r="AM1626" t="s">
        <v>14300</v>
      </c>
      <c r="AN1626" t="s">
        <v>63</v>
      </c>
      <c r="AO1626" t="s">
        <v>63</v>
      </c>
      <c r="AP1626" t="s">
        <v>63</v>
      </c>
      <c r="AQ1626" t="s">
        <v>63</v>
      </c>
      <c r="AR1626" t="s">
        <v>63</v>
      </c>
      <c r="AS1626" t="s">
        <v>63</v>
      </c>
      <c r="AT1626" t="s">
        <v>63</v>
      </c>
      <c r="AU1626" t="s">
        <v>63</v>
      </c>
      <c r="AV1626" t="s">
        <v>63</v>
      </c>
      <c r="AW1626" t="s">
        <v>63</v>
      </c>
      <c r="AX1626" t="s">
        <v>63</v>
      </c>
      <c r="AY1626" t="s">
        <v>63</v>
      </c>
      <c r="AZ1626" t="s">
        <v>63</v>
      </c>
      <c r="BA1626" t="s">
        <v>63</v>
      </c>
      <c r="BB1626" t="s">
        <v>63</v>
      </c>
      <c r="BC1626" t="s">
        <v>63</v>
      </c>
      <c r="BD1626" t="s">
        <v>63</v>
      </c>
      <c r="BE1626" t="s">
        <v>63</v>
      </c>
      <c r="BF1626" t="s">
        <v>63</v>
      </c>
    </row>
    <row r="1627" spans="1:58">
      <c r="A1627" t="s">
        <v>58</v>
      </c>
      <c r="B1627" t="s">
        <v>14291</v>
      </c>
      <c r="C1627" t="s">
        <v>14301</v>
      </c>
      <c r="D1627" t="s">
        <v>205</v>
      </c>
      <c r="E1627" t="s">
        <v>205</v>
      </c>
      <c r="F1627">
        <v>2013</v>
      </c>
      <c r="G1627" s="1">
        <v>41976</v>
      </c>
      <c r="H1627">
        <v>310</v>
      </c>
      <c r="I1627">
        <v>21</v>
      </c>
      <c r="J1627">
        <v>2289</v>
      </c>
      <c r="K1627">
        <v>2296</v>
      </c>
      <c r="L1627" t="s">
        <v>14302</v>
      </c>
      <c r="M1627" t="s">
        <v>14303</v>
      </c>
      <c r="N1627" t="s">
        <v>14304</v>
      </c>
      <c r="O1627" t="s">
        <v>63</v>
      </c>
      <c r="Q1627" t="s">
        <v>63</v>
      </c>
      <c r="R1627" t="s">
        <v>63</v>
      </c>
      <c r="S1627" t="s">
        <v>63</v>
      </c>
      <c r="T1627" t="s">
        <v>63</v>
      </c>
      <c r="X1627" t="s">
        <v>63</v>
      </c>
      <c r="Y1627" t="s">
        <v>2744</v>
      </c>
      <c r="Z1627" t="s">
        <v>63</v>
      </c>
      <c r="AA1627" t="s">
        <v>14305</v>
      </c>
      <c r="AB1627">
        <v>24302092</v>
      </c>
      <c r="AC1627" t="s">
        <v>67</v>
      </c>
      <c r="AD1627" t="s">
        <v>63</v>
      </c>
      <c r="AE1627" t="s">
        <v>63</v>
      </c>
      <c r="AF1627" t="s">
        <v>63</v>
      </c>
      <c r="AG1627" t="s">
        <v>14306</v>
      </c>
      <c r="AH1627" t="s">
        <v>63</v>
      </c>
      <c r="AI1627" t="s">
        <v>14307</v>
      </c>
      <c r="AJ1627" t="s">
        <v>63</v>
      </c>
      <c r="AK1627" t="s">
        <v>63</v>
      </c>
      <c r="AL1627" t="s">
        <v>63</v>
      </c>
      <c r="AM1627" t="s">
        <v>14308</v>
      </c>
      <c r="AN1627" t="s">
        <v>63</v>
      </c>
      <c r="AO1627" t="s">
        <v>63</v>
      </c>
      <c r="AP1627" t="s">
        <v>63</v>
      </c>
      <c r="AQ1627" t="s">
        <v>63</v>
      </c>
      <c r="AR1627" t="s">
        <v>63</v>
      </c>
      <c r="AS1627" t="s">
        <v>63</v>
      </c>
      <c r="AT1627" t="s">
        <v>63</v>
      </c>
      <c r="AU1627" t="s">
        <v>63</v>
      </c>
      <c r="AV1627" t="s">
        <v>63</v>
      </c>
      <c r="AW1627" t="s">
        <v>63</v>
      </c>
      <c r="AX1627" t="s">
        <v>63</v>
      </c>
      <c r="AY1627" t="s">
        <v>63</v>
      </c>
      <c r="AZ1627" t="s">
        <v>63</v>
      </c>
      <c r="BA1627" t="s">
        <v>63</v>
      </c>
      <c r="BB1627" t="s">
        <v>63</v>
      </c>
      <c r="BC1627" t="s">
        <v>63</v>
      </c>
      <c r="BD1627" t="s">
        <v>63</v>
      </c>
      <c r="BE1627" t="s">
        <v>63</v>
      </c>
      <c r="BF1627" t="s">
        <v>63</v>
      </c>
    </row>
    <row r="1628" spans="1:58">
      <c r="A1628" t="s">
        <v>58</v>
      </c>
      <c r="B1628" t="s">
        <v>14309</v>
      </c>
      <c r="C1628" t="s">
        <v>14310</v>
      </c>
      <c r="D1628" t="s">
        <v>763</v>
      </c>
      <c r="E1628" t="s">
        <v>63</v>
      </c>
      <c r="F1628">
        <v>1991</v>
      </c>
      <c r="G1628" t="s">
        <v>1670</v>
      </c>
      <c r="H1628">
        <v>66</v>
      </c>
      <c r="I1628">
        <v>7</v>
      </c>
      <c r="J1628">
        <v>426</v>
      </c>
      <c r="K1628" t="s">
        <v>63</v>
      </c>
      <c r="L1628" t="s">
        <v>14311</v>
      </c>
      <c r="M1628" t="s">
        <v>63</v>
      </c>
      <c r="N1628" t="s">
        <v>14312</v>
      </c>
      <c r="O1628" t="s">
        <v>63</v>
      </c>
      <c r="Q1628" t="s">
        <v>63</v>
      </c>
      <c r="R1628" t="s">
        <v>63</v>
      </c>
      <c r="S1628" t="s">
        <v>63</v>
      </c>
      <c r="T1628" t="s">
        <v>63</v>
      </c>
      <c r="X1628" t="s">
        <v>63</v>
      </c>
      <c r="Y1628" t="s">
        <v>858</v>
      </c>
      <c r="Z1628" t="s">
        <v>63</v>
      </c>
      <c r="AA1628" t="s">
        <v>14313</v>
      </c>
      <c r="AB1628">
        <v>2059276</v>
      </c>
      <c r="AC1628" t="s">
        <v>67</v>
      </c>
      <c r="AD1628" t="s">
        <v>63</v>
      </c>
      <c r="AE1628" t="s">
        <v>63</v>
      </c>
      <c r="AF1628" t="s">
        <v>63</v>
      </c>
      <c r="AG1628" t="s">
        <v>14314</v>
      </c>
      <c r="AH1628" t="s">
        <v>63</v>
      </c>
      <c r="AI1628" t="s">
        <v>63</v>
      </c>
      <c r="AJ1628" t="s">
        <v>63</v>
      </c>
      <c r="AK1628" t="s">
        <v>63</v>
      </c>
      <c r="AL1628" t="s">
        <v>63</v>
      </c>
      <c r="AM1628" t="s">
        <v>14315</v>
      </c>
      <c r="AN1628" t="s">
        <v>63</v>
      </c>
      <c r="AO1628" t="s">
        <v>63</v>
      </c>
      <c r="AP1628" t="s">
        <v>63</v>
      </c>
      <c r="AQ1628" t="s">
        <v>63</v>
      </c>
      <c r="AR1628" t="s">
        <v>63</v>
      </c>
      <c r="AS1628" t="s">
        <v>63</v>
      </c>
      <c r="AT1628" t="s">
        <v>63</v>
      </c>
      <c r="AU1628" t="s">
        <v>63</v>
      </c>
      <c r="AV1628" t="s">
        <v>63</v>
      </c>
      <c r="AW1628" t="s">
        <v>63</v>
      </c>
      <c r="AX1628" t="s">
        <v>63</v>
      </c>
      <c r="AY1628" t="s">
        <v>63</v>
      </c>
      <c r="AZ1628" t="s">
        <v>63</v>
      </c>
      <c r="BA1628" t="s">
        <v>63</v>
      </c>
      <c r="BB1628" t="s">
        <v>63</v>
      </c>
      <c r="BC1628" t="s">
        <v>63</v>
      </c>
      <c r="BD1628" t="s">
        <v>63</v>
      </c>
      <c r="BE1628" t="s">
        <v>63</v>
      </c>
      <c r="BF1628" t="s">
        <v>63</v>
      </c>
    </row>
    <row r="1629" spans="1:58">
      <c r="A1629" t="s">
        <v>58</v>
      </c>
      <c r="B1629" t="s">
        <v>14316</v>
      </c>
      <c r="C1629" t="s">
        <v>14317</v>
      </c>
      <c r="D1629" t="s">
        <v>2731</v>
      </c>
      <c r="E1629" t="s">
        <v>63</v>
      </c>
      <c r="F1629">
        <v>2005</v>
      </c>
      <c r="G1629" t="s">
        <v>908</v>
      </c>
      <c r="H1629">
        <v>1</v>
      </c>
      <c r="I1629">
        <v>3</v>
      </c>
      <c r="J1629">
        <v>123</v>
      </c>
      <c r="K1629">
        <v>124</v>
      </c>
      <c r="L1629" t="s">
        <v>14318</v>
      </c>
      <c r="M1629" t="s">
        <v>63</v>
      </c>
      <c r="N1629" t="s">
        <v>14319</v>
      </c>
      <c r="O1629" t="s">
        <v>63</v>
      </c>
      <c r="Q1629" t="s">
        <v>63</v>
      </c>
      <c r="R1629" t="s">
        <v>63</v>
      </c>
      <c r="S1629" t="s">
        <v>63</v>
      </c>
      <c r="T1629" t="s">
        <v>63</v>
      </c>
      <c r="X1629" t="s">
        <v>63</v>
      </c>
      <c r="Y1629" t="s">
        <v>2735</v>
      </c>
      <c r="Z1629" t="s">
        <v>63</v>
      </c>
      <c r="AA1629" t="s">
        <v>63</v>
      </c>
      <c r="AB1629">
        <v>17315414</v>
      </c>
      <c r="AC1629" t="s">
        <v>67</v>
      </c>
      <c r="AD1629" t="s">
        <v>63</v>
      </c>
      <c r="AE1629" t="s">
        <v>63</v>
      </c>
      <c r="AF1629" t="s">
        <v>63</v>
      </c>
      <c r="AG1629" t="s">
        <v>14320</v>
      </c>
      <c r="AH1629" t="s">
        <v>63</v>
      </c>
      <c r="AI1629" t="s">
        <v>63</v>
      </c>
      <c r="AJ1629" t="s">
        <v>63</v>
      </c>
      <c r="AK1629" t="s">
        <v>63</v>
      </c>
      <c r="AL1629" t="s">
        <v>63</v>
      </c>
      <c r="AM1629" t="s">
        <v>14321</v>
      </c>
      <c r="AN1629" t="s">
        <v>63</v>
      </c>
      <c r="AO1629" t="s">
        <v>63</v>
      </c>
      <c r="AP1629" t="s">
        <v>63</v>
      </c>
      <c r="AQ1629" t="s">
        <v>63</v>
      </c>
      <c r="AR1629" t="s">
        <v>63</v>
      </c>
      <c r="AS1629" t="s">
        <v>63</v>
      </c>
      <c r="AT1629" t="s">
        <v>63</v>
      </c>
      <c r="AU1629" t="s">
        <v>63</v>
      </c>
      <c r="AV1629" t="s">
        <v>63</v>
      </c>
      <c r="AW1629" t="s">
        <v>63</v>
      </c>
      <c r="AX1629" t="s">
        <v>63</v>
      </c>
      <c r="AY1629" t="s">
        <v>63</v>
      </c>
      <c r="AZ1629" t="s">
        <v>63</v>
      </c>
      <c r="BA1629" t="s">
        <v>63</v>
      </c>
      <c r="BB1629" t="s">
        <v>63</v>
      </c>
      <c r="BC1629" t="s">
        <v>63</v>
      </c>
      <c r="BD1629" t="s">
        <v>63</v>
      </c>
      <c r="BE1629" t="s">
        <v>63</v>
      </c>
      <c r="BF1629" t="s">
        <v>63</v>
      </c>
    </row>
    <row r="1630" spans="1:58">
      <c r="A1630" t="s">
        <v>58</v>
      </c>
      <c r="B1630" t="s">
        <v>14322</v>
      </c>
      <c r="C1630" t="s">
        <v>14323</v>
      </c>
      <c r="D1630" t="s">
        <v>1393</v>
      </c>
      <c r="E1630" t="s">
        <v>1394</v>
      </c>
      <c r="F1630">
        <v>2007</v>
      </c>
      <c r="G1630" t="s">
        <v>189</v>
      </c>
      <c r="H1630">
        <v>9</v>
      </c>
      <c r="I1630">
        <v>5</v>
      </c>
      <c r="J1630">
        <v>571</v>
      </c>
      <c r="K1630">
        <v>580</v>
      </c>
      <c r="L1630" t="s">
        <v>14324</v>
      </c>
      <c r="M1630" t="s">
        <v>14325</v>
      </c>
      <c r="N1630" t="s">
        <v>14326</v>
      </c>
      <c r="O1630" t="s">
        <v>63</v>
      </c>
      <c r="Q1630" t="s">
        <v>63</v>
      </c>
      <c r="R1630" t="s">
        <v>63</v>
      </c>
      <c r="S1630" t="s">
        <v>63</v>
      </c>
      <c r="T1630" t="s">
        <v>63</v>
      </c>
      <c r="X1630" t="s">
        <v>63</v>
      </c>
      <c r="Y1630" t="s">
        <v>1400</v>
      </c>
      <c r="Z1630" t="s">
        <v>63</v>
      </c>
      <c r="AA1630" t="s">
        <v>14327</v>
      </c>
      <c r="AB1630">
        <v>17454713</v>
      </c>
      <c r="AC1630" t="s">
        <v>67</v>
      </c>
      <c r="AD1630" t="s">
        <v>63</v>
      </c>
      <c r="AE1630" t="s">
        <v>63</v>
      </c>
      <c r="AF1630" t="s">
        <v>63</v>
      </c>
      <c r="AG1630" t="s">
        <v>14328</v>
      </c>
      <c r="AH1630" t="s">
        <v>63</v>
      </c>
      <c r="AI1630" t="s">
        <v>63</v>
      </c>
      <c r="AJ1630" t="s">
        <v>63</v>
      </c>
      <c r="AK1630" t="s">
        <v>63</v>
      </c>
      <c r="AL1630" t="s">
        <v>63</v>
      </c>
      <c r="AM1630" t="s">
        <v>14329</v>
      </c>
      <c r="AN1630" t="s">
        <v>63</v>
      </c>
      <c r="AO1630" t="s">
        <v>63</v>
      </c>
      <c r="AP1630" t="s">
        <v>63</v>
      </c>
      <c r="AQ1630" t="s">
        <v>63</v>
      </c>
      <c r="AR1630" t="s">
        <v>63</v>
      </c>
      <c r="AS1630" t="s">
        <v>63</v>
      </c>
      <c r="AT1630" t="s">
        <v>63</v>
      </c>
      <c r="AU1630" t="s">
        <v>63</v>
      </c>
      <c r="AV1630" t="s">
        <v>63</v>
      </c>
      <c r="AW1630" t="s">
        <v>63</v>
      </c>
      <c r="AX1630" t="s">
        <v>63</v>
      </c>
      <c r="AY1630" t="s">
        <v>63</v>
      </c>
      <c r="AZ1630" t="s">
        <v>63</v>
      </c>
      <c r="BA1630" t="s">
        <v>63</v>
      </c>
      <c r="BB1630" t="s">
        <v>63</v>
      </c>
      <c r="BC1630" t="s">
        <v>63</v>
      </c>
      <c r="BD1630" t="s">
        <v>63</v>
      </c>
      <c r="BE1630" t="s">
        <v>63</v>
      </c>
      <c r="BF1630" t="s">
        <v>63</v>
      </c>
    </row>
    <row r="1631" spans="1:58">
      <c r="A1631" t="s">
        <v>58</v>
      </c>
      <c r="B1631" t="s">
        <v>14330</v>
      </c>
      <c r="C1631" t="s">
        <v>14331</v>
      </c>
      <c r="D1631" t="s">
        <v>111</v>
      </c>
      <c r="E1631" t="s">
        <v>112</v>
      </c>
      <c r="F1631">
        <v>2012</v>
      </c>
      <c r="G1631" s="1">
        <v>41990</v>
      </c>
      <c r="H1631">
        <v>157</v>
      </c>
      <c r="I1631">
        <v>12</v>
      </c>
      <c r="J1631" t="s">
        <v>14332</v>
      </c>
      <c r="K1631" t="s">
        <v>63</v>
      </c>
      <c r="L1631" t="s">
        <v>14333</v>
      </c>
      <c r="M1631" t="s">
        <v>63</v>
      </c>
      <c r="N1631" t="s">
        <v>14334</v>
      </c>
      <c r="O1631" t="s">
        <v>63</v>
      </c>
      <c r="Q1631" t="s">
        <v>63</v>
      </c>
      <c r="R1631" t="s">
        <v>63</v>
      </c>
      <c r="S1631" t="s">
        <v>63</v>
      </c>
      <c r="T1631" t="s">
        <v>63</v>
      </c>
      <c r="X1631" t="s">
        <v>63</v>
      </c>
      <c r="Y1631" t="s">
        <v>116</v>
      </c>
      <c r="Z1631" t="s">
        <v>63</v>
      </c>
      <c r="AA1631" t="s">
        <v>63</v>
      </c>
      <c r="AB1631">
        <v>23247946</v>
      </c>
      <c r="AC1631" t="s">
        <v>67</v>
      </c>
      <c r="AD1631" t="s">
        <v>63</v>
      </c>
      <c r="AE1631" t="s">
        <v>63</v>
      </c>
      <c r="AF1631" t="s">
        <v>63</v>
      </c>
      <c r="AG1631" t="s">
        <v>14335</v>
      </c>
      <c r="AH1631" t="s">
        <v>63</v>
      </c>
      <c r="AI1631" t="s">
        <v>14336</v>
      </c>
      <c r="AJ1631" t="s">
        <v>63</v>
      </c>
      <c r="AK1631" t="s">
        <v>63</v>
      </c>
      <c r="AL1631" t="s">
        <v>63</v>
      </c>
      <c r="AM1631" t="s">
        <v>14337</v>
      </c>
      <c r="AN1631" t="s">
        <v>63</v>
      </c>
      <c r="AO1631" t="s">
        <v>63</v>
      </c>
      <c r="AP1631" t="s">
        <v>63</v>
      </c>
      <c r="AQ1631" t="s">
        <v>63</v>
      </c>
      <c r="AR1631" t="s">
        <v>63</v>
      </c>
      <c r="AS1631" t="s">
        <v>63</v>
      </c>
      <c r="AT1631" t="s">
        <v>63</v>
      </c>
      <c r="AU1631" t="s">
        <v>63</v>
      </c>
      <c r="AV1631" t="s">
        <v>63</v>
      </c>
      <c r="AW1631" t="s">
        <v>63</v>
      </c>
      <c r="AX1631" t="s">
        <v>63</v>
      </c>
      <c r="AY1631" t="s">
        <v>63</v>
      </c>
      <c r="AZ1631" t="s">
        <v>63</v>
      </c>
      <c r="BA1631" t="s">
        <v>63</v>
      </c>
      <c r="BB1631" t="s">
        <v>63</v>
      </c>
      <c r="BC1631" t="s">
        <v>63</v>
      </c>
      <c r="BD1631" t="s">
        <v>63</v>
      </c>
      <c r="BE1631" t="s">
        <v>63</v>
      </c>
      <c r="BF1631" t="s">
        <v>63</v>
      </c>
    </row>
    <row r="1632" spans="1:58">
      <c r="A1632" t="s">
        <v>58</v>
      </c>
      <c r="B1632" t="s">
        <v>14338</v>
      </c>
      <c r="C1632" t="s">
        <v>14339</v>
      </c>
      <c r="D1632" t="s">
        <v>1212</v>
      </c>
      <c r="E1632" t="s">
        <v>63</v>
      </c>
      <c r="F1632">
        <v>2010</v>
      </c>
      <c r="G1632" t="s">
        <v>181</v>
      </c>
      <c r="H1632">
        <v>4</v>
      </c>
      <c r="I1632">
        <v>3</v>
      </c>
      <c r="J1632">
        <v>186</v>
      </c>
      <c r="K1632">
        <v>190</v>
      </c>
      <c r="L1632" t="s">
        <v>63</v>
      </c>
      <c r="M1632" t="s">
        <v>14340</v>
      </c>
      <c r="N1632" t="s">
        <v>14341</v>
      </c>
      <c r="O1632" t="s">
        <v>63</v>
      </c>
      <c r="Q1632" t="s">
        <v>63</v>
      </c>
      <c r="R1632" t="s">
        <v>63</v>
      </c>
      <c r="S1632" t="s">
        <v>63</v>
      </c>
      <c r="T1632" t="s">
        <v>63</v>
      </c>
      <c r="X1632" t="s">
        <v>63</v>
      </c>
      <c r="Y1632" t="s">
        <v>1216</v>
      </c>
      <c r="Z1632" t="s">
        <v>63</v>
      </c>
      <c r="AA1632" t="s">
        <v>14342</v>
      </c>
      <c r="AB1632">
        <v>21769034</v>
      </c>
      <c r="AC1632" t="s">
        <v>67</v>
      </c>
      <c r="AD1632" t="s">
        <v>63</v>
      </c>
      <c r="AE1632" t="s">
        <v>63</v>
      </c>
      <c r="AF1632" t="s">
        <v>63</v>
      </c>
      <c r="AG1632" t="s">
        <v>14343</v>
      </c>
      <c r="AH1632" t="s">
        <v>63</v>
      </c>
      <c r="AI1632" t="s">
        <v>14344</v>
      </c>
      <c r="AJ1632" t="s">
        <v>63</v>
      </c>
      <c r="AK1632" t="s">
        <v>63</v>
      </c>
      <c r="AL1632" t="s">
        <v>63</v>
      </c>
      <c r="AM1632" t="s">
        <v>14345</v>
      </c>
      <c r="AN1632" t="s">
        <v>63</v>
      </c>
      <c r="AO1632" t="s">
        <v>63</v>
      </c>
      <c r="AP1632" t="s">
        <v>63</v>
      </c>
      <c r="AQ1632" t="s">
        <v>63</v>
      </c>
      <c r="AR1632" t="s">
        <v>63</v>
      </c>
      <c r="AS1632" t="s">
        <v>63</v>
      </c>
      <c r="AT1632" t="s">
        <v>63</v>
      </c>
      <c r="AU1632" t="s">
        <v>63</v>
      </c>
      <c r="AV1632" t="s">
        <v>63</v>
      </c>
      <c r="AW1632" t="s">
        <v>63</v>
      </c>
      <c r="AX1632" t="s">
        <v>63</v>
      </c>
      <c r="AY1632" t="s">
        <v>63</v>
      </c>
      <c r="AZ1632" t="s">
        <v>63</v>
      </c>
      <c r="BA1632" t="s">
        <v>63</v>
      </c>
      <c r="BB1632" t="s">
        <v>63</v>
      </c>
      <c r="BC1632" t="s">
        <v>63</v>
      </c>
      <c r="BD1632" t="s">
        <v>63</v>
      </c>
      <c r="BE1632" t="s">
        <v>63</v>
      </c>
      <c r="BF1632" t="s">
        <v>63</v>
      </c>
    </row>
    <row r="1633" spans="1:58">
      <c r="A1633" t="s">
        <v>58</v>
      </c>
      <c r="B1633" t="s">
        <v>14346</v>
      </c>
      <c r="C1633" t="s">
        <v>14347</v>
      </c>
      <c r="D1633" t="s">
        <v>1184</v>
      </c>
      <c r="E1633" t="s">
        <v>1185</v>
      </c>
      <c r="F1633">
        <v>1975</v>
      </c>
      <c r="G1633" t="s">
        <v>138</v>
      </c>
      <c r="H1633">
        <v>50</v>
      </c>
      <c r="I1633">
        <v>10</v>
      </c>
      <c r="J1633">
        <v>978</v>
      </c>
      <c r="K1633">
        <v>979</v>
      </c>
      <c r="L1633" t="s">
        <v>14348</v>
      </c>
      <c r="M1633" t="s">
        <v>63</v>
      </c>
      <c r="N1633" t="s">
        <v>14349</v>
      </c>
      <c r="O1633" t="s">
        <v>63</v>
      </c>
      <c r="Q1633" t="s">
        <v>63</v>
      </c>
      <c r="R1633" t="s">
        <v>63</v>
      </c>
      <c r="S1633" t="s">
        <v>63</v>
      </c>
      <c r="T1633" t="s">
        <v>63</v>
      </c>
      <c r="X1633" t="s">
        <v>63</v>
      </c>
      <c r="Y1633" t="s">
        <v>1188</v>
      </c>
      <c r="Z1633" t="s">
        <v>63</v>
      </c>
      <c r="AA1633" t="s">
        <v>63</v>
      </c>
      <c r="AB1633">
        <v>1159767</v>
      </c>
      <c r="AC1633" t="s">
        <v>67</v>
      </c>
      <c r="AD1633" t="s">
        <v>63</v>
      </c>
      <c r="AE1633" t="s">
        <v>63</v>
      </c>
      <c r="AF1633" t="s">
        <v>63</v>
      </c>
      <c r="AG1633" t="s">
        <v>14350</v>
      </c>
      <c r="AH1633" t="s">
        <v>63</v>
      </c>
      <c r="AI1633" t="s">
        <v>63</v>
      </c>
      <c r="AJ1633" t="s">
        <v>63</v>
      </c>
      <c r="AK1633" t="s">
        <v>63</v>
      </c>
      <c r="AL1633" t="s">
        <v>63</v>
      </c>
      <c r="AM1633" t="s">
        <v>14351</v>
      </c>
      <c r="AN1633" t="s">
        <v>63</v>
      </c>
      <c r="AO1633" t="s">
        <v>63</v>
      </c>
      <c r="AP1633" t="s">
        <v>63</v>
      </c>
      <c r="AQ1633" t="s">
        <v>63</v>
      </c>
      <c r="AR1633" t="s">
        <v>63</v>
      </c>
      <c r="AS1633" t="s">
        <v>63</v>
      </c>
      <c r="AT1633" t="s">
        <v>63</v>
      </c>
      <c r="AU1633" t="s">
        <v>63</v>
      </c>
      <c r="AV1633" t="s">
        <v>63</v>
      </c>
      <c r="AW1633" t="s">
        <v>63</v>
      </c>
      <c r="AX1633" t="s">
        <v>63</v>
      </c>
      <c r="AY1633" t="s">
        <v>63</v>
      </c>
      <c r="AZ1633" t="s">
        <v>63</v>
      </c>
      <c r="BA1633" t="s">
        <v>63</v>
      </c>
      <c r="BB1633" t="s">
        <v>63</v>
      </c>
      <c r="BC1633" t="s">
        <v>63</v>
      </c>
      <c r="BD1633" t="s">
        <v>63</v>
      </c>
      <c r="BE1633" t="s">
        <v>63</v>
      </c>
      <c r="BF1633" t="s">
        <v>63</v>
      </c>
    </row>
    <row r="1634" spans="1:58">
      <c r="A1634" t="s">
        <v>58</v>
      </c>
      <c r="B1634" t="s">
        <v>14352</v>
      </c>
      <c r="C1634" t="s">
        <v>14353</v>
      </c>
      <c r="D1634" t="s">
        <v>1829</v>
      </c>
      <c r="E1634" t="s">
        <v>1830</v>
      </c>
      <c r="F1634">
        <v>2000</v>
      </c>
      <c r="G1634" t="s">
        <v>189</v>
      </c>
      <c r="H1634">
        <v>93</v>
      </c>
      <c r="I1634">
        <v>5</v>
      </c>
      <c r="J1634">
        <v>472</v>
      </c>
      <c r="K1634">
        <v>478</v>
      </c>
      <c r="L1634" t="s">
        <v>14354</v>
      </c>
      <c r="M1634" t="s">
        <v>14355</v>
      </c>
      <c r="N1634" t="s">
        <v>14356</v>
      </c>
      <c r="O1634" t="s">
        <v>63</v>
      </c>
      <c r="Q1634" t="s">
        <v>63</v>
      </c>
      <c r="R1634" t="s">
        <v>63</v>
      </c>
      <c r="S1634" t="s">
        <v>63</v>
      </c>
      <c r="T1634" t="s">
        <v>63</v>
      </c>
      <c r="X1634" t="s">
        <v>63</v>
      </c>
      <c r="Y1634" t="s">
        <v>1834</v>
      </c>
      <c r="Z1634" t="s">
        <v>63</v>
      </c>
      <c r="AA1634" t="s">
        <v>14357</v>
      </c>
      <c r="AB1634">
        <v>10832944</v>
      </c>
      <c r="AC1634" t="s">
        <v>67</v>
      </c>
      <c r="AD1634" t="s">
        <v>63</v>
      </c>
      <c r="AE1634" t="s">
        <v>63</v>
      </c>
      <c r="AF1634" t="s">
        <v>63</v>
      </c>
      <c r="AG1634" t="s">
        <v>14358</v>
      </c>
      <c r="AH1634" t="s">
        <v>63</v>
      </c>
      <c r="AI1634" t="s">
        <v>63</v>
      </c>
      <c r="AJ1634" t="s">
        <v>63</v>
      </c>
      <c r="AK1634" t="s">
        <v>63</v>
      </c>
      <c r="AL1634" t="s">
        <v>63</v>
      </c>
      <c r="AM1634" t="s">
        <v>14359</v>
      </c>
      <c r="AN1634" t="s">
        <v>63</v>
      </c>
      <c r="AO1634" t="s">
        <v>63</v>
      </c>
      <c r="AP1634" t="s">
        <v>63</v>
      </c>
      <c r="AQ1634" t="s">
        <v>63</v>
      </c>
      <c r="AR1634" t="s">
        <v>63</v>
      </c>
      <c r="AS1634" t="s">
        <v>63</v>
      </c>
      <c r="AT1634" t="s">
        <v>63</v>
      </c>
      <c r="AU1634" t="s">
        <v>63</v>
      </c>
      <c r="AV1634" t="s">
        <v>63</v>
      </c>
      <c r="AW1634" t="s">
        <v>63</v>
      </c>
      <c r="AX1634" t="s">
        <v>63</v>
      </c>
      <c r="AY1634" t="s">
        <v>63</v>
      </c>
      <c r="AZ1634" t="s">
        <v>63</v>
      </c>
      <c r="BA1634" t="s">
        <v>63</v>
      </c>
      <c r="BB1634" t="s">
        <v>63</v>
      </c>
      <c r="BC1634" t="s">
        <v>63</v>
      </c>
      <c r="BD1634" t="s">
        <v>63</v>
      </c>
      <c r="BE1634" t="s">
        <v>63</v>
      </c>
      <c r="BF1634" t="s">
        <v>63</v>
      </c>
    </row>
    <row r="1635" spans="1:58">
      <c r="A1635" t="s">
        <v>58</v>
      </c>
      <c r="B1635" t="s">
        <v>14360</v>
      </c>
      <c r="C1635" t="s">
        <v>14361</v>
      </c>
      <c r="D1635" t="s">
        <v>711</v>
      </c>
      <c r="E1635" t="s">
        <v>712</v>
      </c>
      <c r="F1635">
        <v>2013</v>
      </c>
      <c r="G1635" t="s">
        <v>181</v>
      </c>
      <c r="H1635">
        <v>138</v>
      </c>
      <c r="I1635">
        <v>38</v>
      </c>
      <c r="J1635">
        <v>1874</v>
      </c>
      <c r="K1635">
        <v>1875</v>
      </c>
      <c r="L1635" t="s">
        <v>14362</v>
      </c>
      <c r="M1635" t="s">
        <v>63</v>
      </c>
      <c r="N1635" t="s">
        <v>14363</v>
      </c>
      <c r="O1635" t="s">
        <v>63</v>
      </c>
      <c r="Q1635" t="s">
        <v>63</v>
      </c>
      <c r="R1635" t="s">
        <v>63</v>
      </c>
      <c r="S1635" t="s">
        <v>63</v>
      </c>
      <c r="T1635" t="s">
        <v>63</v>
      </c>
      <c r="X1635" t="s">
        <v>63</v>
      </c>
      <c r="Y1635" t="s">
        <v>716</v>
      </c>
      <c r="Z1635" t="s">
        <v>63</v>
      </c>
      <c r="AA1635" t="s">
        <v>63</v>
      </c>
      <c r="AB1635">
        <v>24151655</v>
      </c>
      <c r="AC1635" t="s">
        <v>102</v>
      </c>
      <c r="AD1635" t="s">
        <v>63</v>
      </c>
      <c r="AE1635" t="s">
        <v>63</v>
      </c>
      <c r="AF1635" t="s">
        <v>63</v>
      </c>
      <c r="AG1635" t="s">
        <v>14364</v>
      </c>
      <c r="AH1635" t="s">
        <v>63</v>
      </c>
      <c r="AI1635" t="s">
        <v>63</v>
      </c>
      <c r="AJ1635" t="s">
        <v>63</v>
      </c>
      <c r="AK1635" t="s">
        <v>63</v>
      </c>
      <c r="AL1635" t="s">
        <v>63</v>
      </c>
      <c r="AM1635" t="s">
        <v>14365</v>
      </c>
      <c r="AN1635" t="s">
        <v>63</v>
      </c>
      <c r="AO1635" t="s">
        <v>63</v>
      </c>
      <c r="AP1635" t="s">
        <v>63</v>
      </c>
      <c r="AQ1635" t="s">
        <v>63</v>
      </c>
      <c r="AR1635" t="s">
        <v>63</v>
      </c>
      <c r="AS1635" t="s">
        <v>63</v>
      </c>
      <c r="AT1635" t="s">
        <v>63</v>
      </c>
      <c r="AU1635" t="s">
        <v>63</v>
      </c>
      <c r="AV1635" t="s">
        <v>63</v>
      </c>
      <c r="AW1635" t="s">
        <v>63</v>
      </c>
      <c r="AX1635" t="s">
        <v>63</v>
      </c>
      <c r="AY1635" t="s">
        <v>63</v>
      </c>
      <c r="AZ1635" t="s">
        <v>63</v>
      </c>
      <c r="BA1635" t="s">
        <v>63</v>
      </c>
      <c r="BB1635" t="s">
        <v>63</v>
      </c>
      <c r="BC1635" t="s">
        <v>63</v>
      </c>
      <c r="BD1635" t="s">
        <v>63</v>
      </c>
      <c r="BE1635" t="s">
        <v>63</v>
      </c>
      <c r="BF1635" t="s">
        <v>63</v>
      </c>
    </row>
    <row r="1636" spans="1:58">
      <c r="A1636" t="s">
        <v>58</v>
      </c>
      <c r="B1636" t="s">
        <v>14366</v>
      </c>
      <c r="C1636" t="s">
        <v>14367</v>
      </c>
      <c r="D1636" t="s">
        <v>2036</v>
      </c>
      <c r="E1636" t="s">
        <v>63</v>
      </c>
      <c r="F1636">
        <v>2017</v>
      </c>
      <c r="G1636" s="1">
        <v>41729</v>
      </c>
      <c r="H1636" t="s">
        <v>14368</v>
      </c>
      <c r="I1636" t="s">
        <v>63</v>
      </c>
      <c r="J1636" t="s">
        <v>3151</v>
      </c>
      <c r="K1636" t="s">
        <v>14369</v>
      </c>
      <c r="L1636" t="s">
        <v>14370</v>
      </c>
      <c r="M1636" t="s">
        <v>14371</v>
      </c>
      <c r="N1636" t="s">
        <v>14372</v>
      </c>
      <c r="O1636" t="s">
        <v>63</v>
      </c>
      <c r="Q1636" t="s">
        <v>63</v>
      </c>
      <c r="R1636" t="s">
        <v>63</v>
      </c>
      <c r="S1636" t="s">
        <v>63</v>
      </c>
      <c r="T1636" t="s">
        <v>63</v>
      </c>
      <c r="X1636" t="s">
        <v>63</v>
      </c>
      <c r="Y1636" t="s">
        <v>2040</v>
      </c>
      <c r="Z1636" t="s">
        <v>63</v>
      </c>
      <c r="AA1636" t="s">
        <v>14373</v>
      </c>
      <c r="AB1636">
        <v>28363320</v>
      </c>
      <c r="AC1636" t="s">
        <v>67</v>
      </c>
      <c r="AD1636" t="s">
        <v>63</v>
      </c>
      <c r="AE1636" t="s">
        <v>63</v>
      </c>
      <c r="AF1636" t="s">
        <v>63</v>
      </c>
      <c r="AG1636" t="s">
        <v>14374</v>
      </c>
      <c r="AH1636" t="s">
        <v>63</v>
      </c>
      <c r="AI1636" t="s">
        <v>14375</v>
      </c>
      <c r="AJ1636" t="s">
        <v>63</v>
      </c>
      <c r="AK1636" t="s">
        <v>63</v>
      </c>
      <c r="AL1636" t="s">
        <v>63</v>
      </c>
      <c r="AM1636" t="s">
        <v>14376</v>
      </c>
      <c r="AN1636" t="s">
        <v>63</v>
      </c>
      <c r="AO1636" t="s">
        <v>63</v>
      </c>
      <c r="AP1636" t="s">
        <v>63</v>
      </c>
      <c r="AQ1636" t="s">
        <v>63</v>
      </c>
      <c r="AR1636" t="s">
        <v>63</v>
      </c>
      <c r="AS1636" t="s">
        <v>63</v>
      </c>
      <c r="AT1636" t="s">
        <v>63</v>
      </c>
      <c r="AU1636" t="s">
        <v>63</v>
      </c>
      <c r="AV1636" t="s">
        <v>63</v>
      </c>
      <c r="AW1636" t="s">
        <v>63</v>
      </c>
      <c r="AX1636" t="s">
        <v>63</v>
      </c>
      <c r="AY1636" t="s">
        <v>63</v>
      </c>
      <c r="AZ1636" t="s">
        <v>63</v>
      </c>
      <c r="BA1636" t="s">
        <v>63</v>
      </c>
      <c r="BB1636" t="s">
        <v>63</v>
      </c>
      <c r="BC1636" t="s">
        <v>63</v>
      </c>
      <c r="BD1636" t="s">
        <v>63</v>
      </c>
      <c r="BE1636" t="s">
        <v>63</v>
      </c>
      <c r="BF1636" t="s">
        <v>63</v>
      </c>
    </row>
    <row r="1637" spans="1:58">
      <c r="A1637" t="s">
        <v>58</v>
      </c>
      <c r="B1637" t="s">
        <v>14377</v>
      </c>
      <c r="C1637" t="s">
        <v>14378</v>
      </c>
      <c r="D1637" t="s">
        <v>14379</v>
      </c>
      <c r="E1637" t="s">
        <v>63</v>
      </c>
      <c r="F1637">
        <v>1993</v>
      </c>
      <c r="G1637" t="s">
        <v>63</v>
      </c>
      <c r="H1637">
        <v>30</v>
      </c>
      <c r="I1637">
        <v>2</v>
      </c>
      <c r="J1637">
        <v>116</v>
      </c>
      <c r="K1637">
        <v>118</v>
      </c>
      <c r="L1637" t="s">
        <v>14380</v>
      </c>
      <c r="M1637" t="s">
        <v>14381</v>
      </c>
      <c r="N1637" t="s">
        <v>14382</v>
      </c>
      <c r="O1637" t="s">
        <v>63</v>
      </c>
      <c r="Q1637" t="s">
        <v>63</v>
      </c>
      <c r="R1637" t="s">
        <v>63</v>
      </c>
      <c r="S1637" t="s">
        <v>63</v>
      </c>
      <c r="T1637" t="s">
        <v>63</v>
      </c>
      <c r="X1637" t="s">
        <v>63</v>
      </c>
      <c r="Y1637" t="s">
        <v>14383</v>
      </c>
      <c r="Z1637" t="s">
        <v>63</v>
      </c>
      <c r="AA1637" t="s">
        <v>14384</v>
      </c>
      <c r="AB1637">
        <v>8270386</v>
      </c>
      <c r="AC1637" t="s">
        <v>67</v>
      </c>
      <c r="AD1637" t="s">
        <v>63</v>
      </c>
      <c r="AE1637" t="s">
        <v>63</v>
      </c>
      <c r="AF1637" t="s">
        <v>63</v>
      </c>
      <c r="AG1637" t="s">
        <v>14385</v>
      </c>
      <c r="AH1637" t="s">
        <v>63</v>
      </c>
      <c r="AI1637" t="s">
        <v>63</v>
      </c>
      <c r="AJ1637" t="s">
        <v>63</v>
      </c>
      <c r="AK1637" t="s">
        <v>63</v>
      </c>
      <c r="AL1637" t="s">
        <v>63</v>
      </c>
      <c r="AM1637" t="s">
        <v>14386</v>
      </c>
      <c r="AN1637" t="s">
        <v>63</v>
      </c>
      <c r="AO1637" t="s">
        <v>63</v>
      </c>
      <c r="AP1637" t="s">
        <v>63</v>
      </c>
      <c r="AQ1637" t="s">
        <v>63</v>
      </c>
      <c r="AR1637" t="s">
        <v>63</v>
      </c>
      <c r="AS1637" t="s">
        <v>63</v>
      </c>
      <c r="AT1637" t="s">
        <v>63</v>
      </c>
      <c r="AU1637" t="s">
        <v>63</v>
      </c>
      <c r="AV1637" t="s">
        <v>63</v>
      </c>
      <c r="AW1637" t="s">
        <v>63</v>
      </c>
      <c r="AX1637" t="s">
        <v>63</v>
      </c>
      <c r="AY1637" t="s">
        <v>63</v>
      </c>
      <c r="AZ1637" t="s">
        <v>63</v>
      </c>
      <c r="BA1637" t="s">
        <v>63</v>
      </c>
      <c r="BB1637" t="s">
        <v>63</v>
      </c>
      <c r="BC1637" t="s">
        <v>63</v>
      </c>
      <c r="BD1637" t="s">
        <v>63</v>
      </c>
      <c r="BE1637" t="s">
        <v>63</v>
      </c>
      <c r="BF1637" t="s">
        <v>63</v>
      </c>
    </row>
    <row r="1638" spans="1:58">
      <c r="A1638" t="s">
        <v>58</v>
      </c>
      <c r="B1638" t="s">
        <v>14387</v>
      </c>
      <c r="C1638" t="s">
        <v>14388</v>
      </c>
      <c r="D1638" t="s">
        <v>14389</v>
      </c>
      <c r="E1638" t="s">
        <v>14389</v>
      </c>
      <c r="F1638">
        <v>1967</v>
      </c>
      <c r="G1638" t="s">
        <v>73</v>
      </c>
      <c r="H1638">
        <v>20</v>
      </c>
      <c r="I1638">
        <v>6</v>
      </c>
      <c r="J1638">
        <v>974</v>
      </c>
      <c r="K1638">
        <v>982</v>
      </c>
      <c r="L1638" t="s">
        <v>14390</v>
      </c>
      <c r="M1638" t="s">
        <v>63</v>
      </c>
      <c r="N1638" t="s">
        <v>14391</v>
      </c>
      <c r="O1638" t="s">
        <v>63</v>
      </c>
      <c r="Q1638" t="s">
        <v>63</v>
      </c>
      <c r="R1638" t="s">
        <v>63</v>
      </c>
      <c r="S1638" t="s">
        <v>63</v>
      </c>
      <c r="T1638" t="s">
        <v>63</v>
      </c>
      <c r="X1638" t="s">
        <v>63</v>
      </c>
      <c r="Y1638" t="s">
        <v>14392</v>
      </c>
      <c r="Z1638" t="s">
        <v>63</v>
      </c>
      <c r="AA1638" t="s">
        <v>63</v>
      </c>
      <c r="AB1638">
        <v>6026470</v>
      </c>
      <c r="AC1638" t="s">
        <v>67</v>
      </c>
      <c r="AD1638" t="s">
        <v>63</v>
      </c>
      <c r="AE1638" t="s">
        <v>63</v>
      </c>
      <c r="AF1638" t="s">
        <v>63</v>
      </c>
      <c r="AG1638" t="s">
        <v>14393</v>
      </c>
      <c r="AH1638" t="s">
        <v>63</v>
      </c>
      <c r="AI1638" t="s">
        <v>63</v>
      </c>
      <c r="AJ1638" t="s">
        <v>63</v>
      </c>
      <c r="AK1638" t="s">
        <v>63</v>
      </c>
      <c r="AL1638" t="s">
        <v>63</v>
      </c>
      <c r="AM1638" t="s">
        <v>14394</v>
      </c>
      <c r="AN1638" t="s">
        <v>63</v>
      </c>
      <c r="AO1638" t="s">
        <v>63</v>
      </c>
      <c r="AP1638" t="s">
        <v>63</v>
      </c>
      <c r="AQ1638" t="s">
        <v>63</v>
      </c>
      <c r="AR1638" t="s">
        <v>63</v>
      </c>
      <c r="AS1638" t="s">
        <v>63</v>
      </c>
      <c r="AT1638" t="s">
        <v>63</v>
      </c>
      <c r="AU1638" t="s">
        <v>63</v>
      </c>
      <c r="AV1638" t="s">
        <v>63</v>
      </c>
      <c r="AW1638" t="s">
        <v>63</v>
      </c>
      <c r="AX1638" t="s">
        <v>63</v>
      </c>
      <c r="AY1638" t="s">
        <v>63</v>
      </c>
      <c r="AZ1638" t="s">
        <v>63</v>
      </c>
      <c r="BA1638" t="s">
        <v>63</v>
      </c>
      <c r="BB1638" t="s">
        <v>63</v>
      </c>
      <c r="BC1638" t="s">
        <v>63</v>
      </c>
      <c r="BD1638" t="s">
        <v>63</v>
      </c>
      <c r="BE1638" t="s">
        <v>63</v>
      </c>
      <c r="BF1638" t="s">
        <v>63</v>
      </c>
    </row>
    <row r="1639" spans="1:58">
      <c r="A1639" t="s">
        <v>58</v>
      </c>
      <c r="B1639" t="s">
        <v>14395</v>
      </c>
      <c r="C1639" t="s">
        <v>14396</v>
      </c>
      <c r="D1639" t="s">
        <v>389</v>
      </c>
      <c r="E1639" t="s">
        <v>63</v>
      </c>
      <c r="F1639">
        <v>2004</v>
      </c>
      <c r="G1639" t="s">
        <v>181</v>
      </c>
      <c r="H1639">
        <v>25</v>
      </c>
      <c r="I1639">
        <v>3</v>
      </c>
      <c r="J1639">
        <v>27</v>
      </c>
      <c r="K1639">
        <v>28</v>
      </c>
      <c r="L1639" t="s">
        <v>14397</v>
      </c>
      <c r="M1639" t="s">
        <v>63</v>
      </c>
      <c r="N1639" t="s">
        <v>14398</v>
      </c>
      <c r="O1639" t="s">
        <v>63</v>
      </c>
      <c r="Q1639" t="s">
        <v>63</v>
      </c>
      <c r="R1639" t="s">
        <v>63</v>
      </c>
      <c r="S1639" t="s">
        <v>63</v>
      </c>
      <c r="T1639" t="s">
        <v>63</v>
      </c>
      <c r="X1639" t="s">
        <v>63</v>
      </c>
      <c r="Y1639" t="s">
        <v>392</v>
      </c>
      <c r="Z1639" t="s">
        <v>63</v>
      </c>
      <c r="AA1639" t="s">
        <v>63</v>
      </c>
      <c r="AB1639">
        <v>16150677</v>
      </c>
      <c r="AC1639" t="s">
        <v>67</v>
      </c>
      <c r="AD1639" t="s">
        <v>63</v>
      </c>
      <c r="AE1639" t="s">
        <v>63</v>
      </c>
      <c r="AF1639" t="s">
        <v>63</v>
      </c>
      <c r="AG1639" t="s">
        <v>14399</v>
      </c>
      <c r="AH1639" t="s">
        <v>63</v>
      </c>
      <c r="AI1639" t="s">
        <v>63</v>
      </c>
      <c r="AJ1639" t="s">
        <v>63</v>
      </c>
      <c r="AK1639" t="s">
        <v>63</v>
      </c>
      <c r="AL1639" t="s">
        <v>63</v>
      </c>
      <c r="AM1639" t="s">
        <v>14400</v>
      </c>
      <c r="AN1639" t="s">
        <v>63</v>
      </c>
      <c r="AO1639" t="s">
        <v>63</v>
      </c>
      <c r="AP1639" t="s">
        <v>63</v>
      </c>
      <c r="AQ1639" t="s">
        <v>63</v>
      </c>
      <c r="AR1639" t="s">
        <v>63</v>
      </c>
      <c r="AS1639" t="s">
        <v>63</v>
      </c>
      <c r="AT1639" t="s">
        <v>63</v>
      </c>
      <c r="AU1639" t="s">
        <v>63</v>
      </c>
      <c r="AV1639" t="s">
        <v>63</v>
      </c>
      <c r="AW1639" t="s">
        <v>63</v>
      </c>
      <c r="AX1639" t="s">
        <v>63</v>
      </c>
      <c r="AY1639" t="s">
        <v>63</v>
      </c>
      <c r="AZ1639" t="s">
        <v>63</v>
      </c>
      <c r="BA1639" t="s">
        <v>63</v>
      </c>
      <c r="BB1639" t="s">
        <v>63</v>
      </c>
      <c r="BC1639" t="s">
        <v>63</v>
      </c>
      <c r="BD1639" t="s">
        <v>63</v>
      </c>
      <c r="BE1639" t="s">
        <v>63</v>
      </c>
      <c r="BF1639" t="s">
        <v>63</v>
      </c>
    </row>
    <row r="1640" spans="1:58">
      <c r="A1640" t="s">
        <v>58</v>
      </c>
      <c r="B1640" t="s">
        <v>14395</v>
      </c>
      <c r="C1640" t="s">
        <v>14401</v>
      </c>
      <c r="D1640" t="s">
        <v>325</v>
      </c>
      <c r="E1640" t="s">
        <v>63</v>
      </c>
      <c r="F1640">
        <v>2003</v>
      </c>
      <c r="G1640" t="s">
        <v>63</v>
      </c>
      <c r="H1640">
        <v>27</v>
      </c>
      <c r="I1640">
        <v>3</v>
      </c>
      <c r="J1640">
        <v>182</v>
      </c>
      <c r="K1640">
        <v>186</v>
      </c>
      <c r="L1640" t="s">
        <v>14402</v>
      </c>
      <c r="M1640" t="s">
        <v>14403</v>
      </c>
      <c r="N1640" t="s">
        <v>14404</v>
      </c>
      <c r="O1640" t="s">
        <v>63</v>
      </c>
      <c r="Q1640" t="s">
        <v>63</v>
      </c>
      <c r="R1640" t="s">
        <v>63</v>
      </c>
      <c r="S1640" t="s">
        <v>63</v>
      </c>
      <c r="T1640" t="s">
        <v>63</v>
      </c>
      <c r="X1640" t="s">
        <v>63</v>
      </c>
      <c r="Y1640" t="s">
        <v>866</v>
      </c>
      <c r="Z1640" t="s">
        <v>63</v>
      </c>
      <c r="AA1640" t="s">
        <v>14405</v>
      </c>
      <c r="AB1640">
        <v>12969842</v>
      </c>
      <c r="AC1640" t="s">
        <v>67</v>
      </c>
      <c r="AD1640" t="s">
        <v>63</v>
      </c>
      <c r="AE1640" t="s">
        <v>63</v>
      </c>
      <c r="AF1640" t="s">
        <v>63</v>
      </c>
      <c r="AG1640" t="s">
        <v>14406</v>
      </c>
      <c r="AH1640" t="s">
        <v>63</v>
      </c>
      <c r="AI1640" t="s">
        <v>63</v>
      </c>
      <c r="AJ1640" t="s">
        <v>63</v>
      </c>
      <c r="AK1640" t="s">
        <v>63</v>
      </c>
      <c r="AL1640" t="s">
        <v>63</v>
      </c>
      <c r="AM1640" t="s">
        <v>14407</v>
      </c>
      <c r="AN1640" t="s">
        <v>63</v>
      </c>
      <c r="AO1640" t="s">
        <v>63</v>
      </c>
      <c r="AP1640" t="s">
        <v>63</v>
      </c>
      <c r="AQ1640" t="s">
        <v>63</v>
      </c>
      <c r="AR1640" t="s">
        <v>63</v>
      </c>
      <c r="AS1640" t="s">
        <v>63</v>
      </c>
      <c r="AT1640" t="s">
        <v>63</v>
      </c>
      <c r="AU1640" t="s">
        <v>63</v>
      </c>
      <c r="AV1640" t="s">
        <v>63</v>
      </c>
      <c r="AW1640" t="s">
        <v>63</v>
      </c>
      <c r="AX1640" t="s">
        <v>63</v>
      </c>
      <c r="AY1640" t="s">
        <v>63</v>
      </c>
      <c r="AZ1640" t="s">
        <v>63</v>
      </c>
      <c r="BA1640" t="s">
        <v>63</v>
      </c>
      <c r="BB1640" t="s">
        <v>63</v>
      </c>
      <c r="BC1640" t="s">
        <v>63</v>
      </c>
      <c r="BD1640" t="s">
        <v>63</v>
      </c>
      <c r="BE1640" t="s">
        <v>63</v>
      </c>
      <c r="BF1640" t="s">
        <v>63</v>
      </c>
    </row>
    <row r="1641" spans="1:58">
      <c r="A1641" t="s">
        <v>58</v>
      </c>
      <c r="B1641" t="s">
        <v>14408</v>
      </c>
      <c r="C1641" t="s">
        <v>14409</v>
      </c>
      <c r="D1641" t="s">
        <v>1500</v>
      </c>
      <c r="E1641" t="s">
        <v>1501</v>
      </c>
      <c r="F1641">
        <v>1993</v>
      </c>
      <c r="G1641" t="s">
        <v>189</v>
      </c>
      <c r="H1641">
        <v>113</v>
      </c>
      <c r="I1641">
        <v>5</v>
      </c>
      <c r="J1641">
        <v>363</v>
      </c>
      <c r="K1641">
        <v>365</v>
      </c>
      <c r="L1641" t="s">
        <v>14410</v>
      </c>
      <c r="M1641" t="s">
        <v>63</v>
      </c>
      <c r="N1641" t="s">
        <v>14411</v>
      </c>
      <c r="O1641" t="s">
        <v>63</v>
      </c>
      <c r="Q1641" t="s">
        <v>63</v>
      </c>
      <c r="R1641" t="s">
        <v>63</v>
      </c>
      <c r="S1641" t="s">
        <v>63</v>
      </c>
      <c r="T1641" t="s">
        <v>63</v>
      </c>
      <c r="X1641" t="s">
        <v>63</v>
      </c>
      <c r="Y1641" t="s">
        <v>1504</v>
      </c>
      <c r="Z1641" t="s">
        <v>63</v>
      </c>
      <c r="AA1641" t="s">
        <v>63</v>
      </c>
      <c r="AB1641">
        <v>8316720</v>
      </c>
      <c r="AC1641" t="s">
        <v>1371</v>
      </c>
      <c r="AD1641" t="s">
        <v>63</v>
      </c>
      <c r="AE1641" t="s">
        <v>63</v>
      </c>
      <c r="AF1641" t="s">
        <v>63</v>
      </c>
      <c r="AG1641" t="s">
        <v>14412</v>
      </c>
      <c r="AH1641" t="s">
        <v>63</v>
      </c>
      <c r="AI1641" t="s">
        <v>63</v>
      </c>
      <c r="AJ1641" t="s">
        <v>63</v>
      </c>
      <c r="AK1641" t="s">
        <v>63</v>
      </c>
      <c r="AL1641" t="s">
        <v>63</v>
      </c>
      <c r="AM1641" t="s">
        <v>14413</v>
      </c>
      <c r="AN1641" t="s">
        <v>63</v>
      </c>
      <c r="AO1641" t="s">
        <v>63</v>
      </c>
      <c r="AP1641" t="s">
        <v>63</v>
      </c>
      <c r="AQ1641" t="s">
        <v>63</v>
      </c>
      <c r="AR1641" t="s">
        <v>63</v>
      </c>
      <c r="AS1641" t="s">
        <v>63</v>
      </c>
      <c r="AT1641" t="s">
        <v>63</v>
      </c>
      <c r="AU1641" t="s">
        <v>63</v>
      </c>
      <c r="AV1641" t="s">
        <v>63</v>
      </c>
      <c r="AW1641" t="s">
        <v>63</v>
      </c>
      <c r="AX1641" t="s">
        <v>63</v>
      </c>
      <c r="AY1641" t="s">
        <v>63</v>
      </c>
      <c r="AZ1641" t="s">
        <v>63</v>
      </c>
      <c r="BA1641" t="s">
        <v>63</v>
      </c>
      <c r="BB1641" t="s">
        <v>63</v>
      </c>
      <c r="BC1641" t="s">
        <v>63</v>
      </c>
      <c r="BD1641" t="s">
        <v>63</v>
      </c>
      <c r="BE1641" t="s">
        <v>63</v>
      </c>
      <c r="BF1641" t="s">
        <v>63</v>
      </c>
    </row>
    <row r="1642" spans="1:58">
      <c r="A1642" t="s">
        <v>58</v>
      </c>
      <c r="B1642" t="s">
        <v>14414</v>
      </c>
      <c r="C1642" t="s">
        <v>14415</v>
      </c>
      <c r="D1642" t="s">
        <v>9349</v>
      </c>
      <c r="E1642" t="s">
        <v>63</v>
      </c>
      <c r="F1642">
        <v>2011</v>
      </c>
      <c r="G1642" t="s">
        <v>84</v>
      </c>
      <c r="H1642">
        <v>48</v>
      </c>
      <c r="I1642" s="1">
        <v>41640</v>
      </c>
      <c r="J1642">
        <v>127</v>
      </c>
      <c r="K1642">
        <v>145</v>
      </c>
      <c r="L1642" t="s">
        <v>14416</v>
      </c>
      <c r="M1642" t="s">
        <v>14417</v>
      </c>
      <c r="N1642" t="s">
        <v>14418</v>
      </c>
      <c r="O1642" t="s">
        <v>63</v>
      </c>
      <c r="Q1642" t="s">
        <v>63</v>
      </c>
      <c r="R1642" t="s">
        <v>63</v>
      </c>
      <c r="S1642" t="s">
        <v>63</v>
      </c>
      <c r="T1642" t="s">
        <v>63</v>
      </c>
      <c r="X1642" t="s">
        <v>63</v>
      </c>
      <c r="Y1642" t="s">
        <v>9353</v>
      </c>
      <c r="Z1642" t="s">
        <v>63</v>
      </c>
      <c r="AA1642" t="s">
        <v>14419</v>
      </c>
      <c r="AB1642">
        <v>21511852</v>
      </c>
      <c r="AC1642" t="s">
        <v>67</v>
      </c>
      <c r="AD1642" t="s">
        <v>63</v>
      </c>
      <c r="AE1642" t="s">
        <v>63</v>
      </c>
      <c r="AF1642" t="s">
        <v>63</v>
      </c>
      <c r="AG1642" t="s">
        <v>14420</v>
      </c>
      <c r="AH1642" t="s">
        <v>63</v>
      </c>
      <c r="AI1642" t="s">
        <v>14421</v>
      </c>
      <c r="AJ1642" t="s">
        <v>63</v>
      </c>
      <c r="AK1642" t="s">
        <v>63</v>
      </c>
      <c r="AL1642" t="s">
        <v>63</v>
      </c>
      <c r="AM1642" t="s">
        <v>14422</v>
      </c>
      <c r="AN1642" t="s">
        <v>63</v>
      </c>
      <c r="AO1642" t="s">
        <v>63</v>
      </c>
      <c r="AP1642" t="s">
        <v>63</v>
      </c>
      <c r="AQ1642" t="s">
        <v>63</v>
      </c>
      <c r="AR1642" t="s">
        <v>63</v>
      </c>
      <c r="AS1642" t="s">
        <v>63</v>
      </c>
      <c r="AT1642" t="s">
        <v>63</v>
      </c>
      <c r="AU1642" t="s">
        <v>63</v>
      </c>
      <c r="AV1642" t="s">
        <v>63</v>
      </c>
      <c r="AW1642" t="s">
        <v>63</v>
      </c>
      <c r="AX1642" t="s">
        <v>63</v>
      </c>
      <c r="AY1642" t="s">
        <v>63</v>
      </c>
      <c r="AZ1642" t="s">
        <v>63</v>
      </c>
      <c r="BA1642" t="s">
        <v>63</v>
      </c>
      <c r="BB1642" t="s">
        <v>63</v>
      </c>
      <c r="BC1642" t="s">
        <v>63</v>
      </c>
      <c r="BD1642" t="s">
        <v>63</v>
      </c>
      <c r="BE1642" t="s">
        <v>63</v>
      </c>
      <c r="BF1642" t="s">
        <v>63</v>
      </c>
    </row>
    <row r="1643" spans="1:58">
      <c r="A1643" t="s">
        <v>58</v>
      </c>
      <c r="B1643" t="s">
        <v>14414</v>
      </c>
      <c r="C1643" t="s">
        <v>14423</v>
      </c>
      <c r="D1643" t="s">
        <v>205</v>
      </c>
      <c r="E1643" t="s">
        <v>205</v>
      </c>
      <c r="F1643">
        <v>1991</v>
      </c>
      <c r="G1643" s="1">
        <v>41752</v>
      </c>
      <c r="H1643">
        <v>265</v>
      </c>
      <c r="I1643">
        <v>16</v>
      </c>
      <c r="J1643">
        <v>2110</v>
      </c>
      <c r="K1643">
        <v>2111</v>
      </c>
      <c r="L1643" t="s">
        <v>14424</v>
      </c>
      <c r="M1643" t="s">
        <v>63</v>
      </c>
      <c r="N1643" t="s">
        <v>14425</v>
      </c>
      <c r="O1643" t="s">
        <v>63</v>
      </c>
      <c r="Q1643" t="s">
        <v>63</v>
      </c>
      <c r="R1643" t="s">
        <v>63</v>
      </c>
      <c r="S1643" t="s">
        <v>63</v>
      </c>
      <c r="T1643" t="s">
        <v>63</v>
      </c>
      <c r="X1643" t="s">
        <v>63</v>
      </c>
      <c r="Y1643" t="s">
        <v>208</v>
      </c>
      <c r="Z1643" t="s">
        <v>63</v>
      </c>
      <c r="AA1643" t="s">
        <v>63</v>
      </c>
      <c r="AB1643">
        <v>2013931</v>
      </c>
      <c r="AC1643" t="s">
        <v>67</v>
      </c>
      <c r="AD1643" t="s">
        <v>63</v>
      </c>
      <c r="AE1643" t="s">
        <v>63</v>
      </c>
      <c r="AF1643" t="s">
        <v>63</v>
      </c>
      <c r="AG1643" t="s">
        <v>14426</v>
      </c>
      <c r="AH1643" t="s">
        <v>63</v>
      </c>
      <c r="AI1643" t="s">
        <v>63</v>
      </c>
      <c r="AJ1643" t="s">
        <v>63</v>
      </c>
      <c r="AK1643" t="s">
        <v>63</v>
      </c>
      <c r="AL1643" t="s">
        <v>63</v>
      </c>
      <c r="AM1643" t="s">
        <v>14427</v>
      </c>
      <c r="AN1643" t="s">
        <v>63</v>
      </c>
      <c r="AO1643" t="s">
        <v>63</v>
      </c>
      <c r="AP1643" t="s">
        <v>63</v>
      </c>
      <c r="AQ1643" t="s">
        <v>63</v>
      </c>
      <c r="AR1643" t="s">
        <v>63</v>
      </c>
      <c r="AS1643" t="s">
        <v>63</v>
      </c>
      <c r="AT1643" t="s">
        <v>63</v>
      </c>
      <c r="AU1643" t="s">
        <v>63</v>
      </c>
      <c r="AV1643" t="s">
        <v>63</v>
      </c>
      <c r="AW1643" t="s">
        <v>63</v>
      </c>
      <c r="AX1643" t="s">
        <v>63</v>
      </c>
      <c r="AY1643" t="s">
        <v>63</v>
      </c>
      <c r="AZ1643" t="s">
        <v>63</v>
      </c>
      <c r="BA1643" t="s">
        <v>63</v>
      </c>
      <c r="BB1643" t="s">
        <v>63</v>
      </c>
      <c r="BC1643" t="s">
        <v>63</v>
      </c>
      <c r="BD1643" t="s">
        <v>63</v>
      </c>
      <c r="BE1643" t="s">
        <v>63</v>
      </c>
      <c r="BF1643" t="s">
        <v>63</v>
      </c>
    </row>
    <row r="1644" spans="1:58">
      <c r="A1644" t="s">
        <v>58</v>
      </c>
      <c r="B1644" t="s">
        <v>14414</v>
      </c>
      <c r="C1644" t="s">
        <v>14428</v>
      </c>
      <c r="D1644" t="s">
        <v>360</v>
      </c>
      <c r="E1644" t="s">
        <v>63</v>
      </c>
      <c r="F1644">
        <v>1988</v>
      </c>
      <c r="G1644" t="s">
        <v>63</v>
      </c>
      <c r="H1644">
        <v>14</v>
      </c>
      <c r="I1644">
        <v>3</v>
      </c>
      <c r="J1644">
        <v>393</v>
      </c>
      <c r="K1644">
        <v>404</v>
      </c>
      <c r="L1644" t="s">
        <v>14429</v>
      </c>
      <c r="M1644" t="s">
        <v>14430</v>
      </c>
      <c r="N1644" t="s">
        <v>14431</v>
      </c>
      <c r="O1644" t="s">
        <v>63</v>
      </c>
      <c r="Q1644" t="s">
        <v>63</v>
      </c>
      <c r="R1644" t="s">
        <v>63</v>
      </c>
      <c r="S1644" t="s">
        <v>63</v>
      </c>
      <c r="T1644" t="s">
        <v>63</v>
      </c>
      <c r="X1644" t="s">
        <v>63</v>
      </c>
      <c r="Y1644" t="s">
        <v>1683</v>
      </c>
      <c r="Z1644" t="s">
        <v>63</v>
      </c>
      <c r="AA1644" t="s">
        <v>14432</v>
      </c>
      <c r="AB1644">
        <v>3189259</v>
      </c>
      <c r="AC1644" t="s">
        <v>67</v>
      </c>
      <c r="AD1644" t="s">
        <v>63</v>
      </c>
      <c r="AE1644" t="s">
        <v>63</v>
      </c>
      <c r="AF1644" t="s">
        <v>63</v>
      </c>
      <c r="AG1644" t="s">
        <v>14433</v>
      </c>
      <c r="AH1644" t="s">
        <v>63</v>
      </c>
      <c r="AI1644" t="s">
        <v>63</v>
      </c>
      <c r="AJ1644" t="s">
        <v>63</v>
      </c>
      <c r="AK1644" t="s">
        <v>63</v>
      </c>
      <c r="AL1644" t="s">
        <v>63</v>
      </c>
      <c r="AM1644" t="s">
        <v>14434</v>
      </c>
      <c r="AN1644" t="s">
        <v>63</v>
      </c>
      <c r="AO1644" t="s">
        <v>63</v>
      </c>
      <c r="AP1644" t="s">
        <v>63</v>
      </c>
      <c r="AQ1644" t="s">
        <v>63</v>
      </c>
      <c r="AR1644" t="s">
        <v>63</v>
      </c>
      <c r="AS1644" t="s">
        <v>63</v>
      </c>
      <c r="AT1644" t="s">
        <v>63</v>
      </c>
      <c r="AU1644" t="s">
        <v>63</v>
      </c>
      <c r="AV1644" t="s">
        <v>63</v>
      </c>
      <c r="AW1644" t="s">
        <v>63</v>
      </c>
      <c r="AX1644" t="s">
        <v>63</v>
      </c>
      <c r="AY1644" t="s">
        <v>63</v>
      </c>
      <c r="AZ1644" t="s">
        <v>63</v>
      </c>
      <c r="BA1644" t="s">
        <v>63</v>
      </c>
      <c r="BB1644" t="s">
        <v>63</v>
      </c>
      <c r="BC1644" t="s">
        <v>63</v>
      </c>
      <c r="BD1644" t="s">
        <v>63</v>
      </c>
      <c r="BE1644" t="s">
        <v>63</v>
      </c>
      <c r="BF1644" t="s">
        <v>63</v>
      </c>
    </row>
    <row r="1645" spans="1:58">
      <c r="A1645" t="s">
        <v>58</v>
      </c>
      <c r="B1645" t="s">
        <v>14435</v>
      </c>
      <c r="C1645" t="s">
        <v>14436</v>
      </c>
      <c r="D1645" t="s">
        <v>360</v>
      </c>
      <c r="E1645" t="s">
        <v>63</v>
      </c>
      <c r="F1645">
        <v>2000</v>
      </c>
      <c r="G1645" t="s">
        <v>219</v>
      </c>
      <c r="H1645">
        <v>26</v>
      </c>
      <c r="I1645">
        <v>4</v>
      </c>
      <c r="J1645">
        <v>523</v>
      </c>
      <c r="K1645">
        <v>535</v>
      </c>
      <c r="L1645" t="s">
        <v>14437</v>
      </c>
      <c r="M1645" t="s">
        <v>14438</v>
      </c>
      <c r="N1645" t="s">
        <v>14439</v>
      </c>
      <c r="O1645" t="s">
        <v>63</v>
      </c>
      <c r="Q1645" t="s">
        <v>63</v>
      </c>
      <c r="R1645" t="s">
        <v>63</v>
      </c>
      <c r="S1645" t="s">
        <v>63</v>
      </c>
      <c r="T1645" t="s">
        <v>63</v>
      </c>
      <c r="X1645" t="s">
        <v>63</v>
      </c>
      <c r="Y1645" t="s">
        <v>1683</v>
      </c>
      <c r="Z1645" t="s">
        <v>63</v>
      </c>
      <c r="AA1645" t="s">
        <v>14440</v>
      </c>
      <c r="AB1645">
        <v>11097190</v>
      </c>
      <c r="AC1645" t="s">
        <v>67</v>
      </c>
      <c r="AD1645" t="s">
        <v>63</v>
      </c>
      <c r="AE1645" t="s">
        <v>63</v>
      </c>
      <c r="AF1645" t="s">
        <v>63</v>
      </c>
      <c r="AG1645" t="s">
        <v>14441</v>
      </c>
      <c r="AH1645" t="s">
        <v>63</v>
      </c>
      <c r="AI1645" t="s">
        <v>63</v>
      </c>
      <c r="AJ1645" t="s">
        <v>63</v>
      </c>
      <c r="AK1645" t="s">
        <v>63</v>
      </c>
      <c r="AL1645" t="s">
        <v>63</v>
      </c>
      <c r="AM1645" t="s">
        <v>14442</v>
      </c>
      <c r="AN1645" t="s">
        <v>63</v>
      </c>
      <c r="AO1645" t="s">
        <v>63</v>
      </c>
      <c r="AP1645" t="s">
        <v>63</v>
      </c>
      <c r="AQ1645" t="s">
        <v>63</v>
      </c>
      <c r="AR1645" t="s">
        <v>63</v>
      </c>
      <c r="AS1645" t="s">
        <v>63</v>
      </c>
      <c r="AT1645" t="s">
        <v>63</v>
      </c>
      <c r="AU1645" t="s">
        <v>63</v>
      </c>
      <c r="AV1645" t="s">
        <v>63</v>
      </c>
      <c r="AW1645" t="s">
        <v>63</v>
      </c>
      <c r="AX1645" t="s">
        <v>63</v>
      </c>
      <c r="AY1645" t="s">
        <v>63</v>
      </c>
      <c r="AZ1645" t="s">
        <v>63</v>
      </c>
      <c r="BA1645" t="s">
        <v>63</v>
      </c>
      <c r="BB1645" t="s">
        <v>63</v>
      </c>
      <c r="BC1645" t="s">
        <v>63</v>
      </c>
      <c r="BD1645" t="s">
        <v>63</v>
      </c>
      <c r="BE1645" t="s">
        <v>63</v>
      </c>
      <c r="BF1645" t="s">
        <v>63</v>
      </c>
    </row>
    <row r="1646" spans="1:58">
      <c r="A1646" t="s">
        <v>58</v>
      </c>
      <c r="B1646" t="s">
        <v>14443</v>
      </c>
      <c r="C1646" t="s">
        <v>14444</v>
      </c>
      <c r="D1646" t="s">
        <v>938</v>
      </c>
      <c r="E1646" t="s">
        <v>63</v>
      </c>
      <c r="F1646">
        <v>2009</v>
      </c>
      <c r="G1646" t="s">
        <v>623</v>
      </c>
      <c r="H1646">
        <v>18</v>
      </c>
      <c r="I1646">
        <v>1</v>
      </c>
      <c r="J1646">
        <v>87</v>
      </c>
      <c r="K1646">
        <v>92</v>
      </c>
      <c r="L1646" t="s">
        <v>14445</v>
      </c>
      <c r="M1646" t="s">
        <v>14446</v>
      </c>
      <c r="N1646" t="s">
        <v>14447</v>
      </c>
      <c r="O1646" t="s">
        <v>63</v>
      </c>
      <c r="Q1646" t="s">
        <v>63</v>
      </c>
      <c r="R1646" t="s">
        <v>63</v>
      </c>
      <c r="S1646" t="s">
        <v>63</v>
      </c>
      <c r="T1646" t="s">
        <v>63</v>
      </c>
      <c r="X1646" t="s">
        <v>63</v>
      </c>
      <c r="Y1646" t="s">
        <v>942</v>
      </c>
      <c r="Z1646" t="s">
        <v>63</v>
      </c>
      <c r="AA1646" t="s">
        <v>14448</v>
      </c>
      <c r="AB1646">
        <v>19219670</v>
      </c>
      <c r="AC1646" t="s">
        <v>67</v>
      </c>
      <c r="AD1646" t="s">
        <v>63</v>
      </c>
      <c r="AE1646" t="s">
        <v>63</v>
      </c>
      <c r="AF1646" t="s">
        <v>63</v>
      </c>
      <c r="AG1646" t="s">
        <v>14449</v>
      </c>
      <c r="AH1646" t="s">
        <v>63</v>
      </c>
      <c r="AI1646" t="s">
        <v>14450</v>
      </c>
      <c r="AJ1646" t="s">
        <v>63</v>
      </c>
      <c r="AK1646" t="s">
        <v>63</v>
      </c>
      <c r="AL1646" t="s">
        <v>63</v>
      </c>
      <c r="AM1646" t="s">
        <v>14451</v>
      </c>
      <c r="AN1646" t="s">
        <v>63</v>
      </c>
      <c r="AO1646" t="s">
        <v>63</v>
      </c>
      <c r="AP1646" t="s">
        <v>63</v>
      </c>
      <c r="AQ1646" t="s">
        <v>63</v>
      </c>
      <c r="AR1646" t="s">
        <v>63</v>
      </c>
      <c r="AS1646" t="s">
        <v>63</v>
      </c>
      <c r="AT1646" t="s">
        <v>63</v>
      </c>
      <c r="AU1646" t="s">
        <v>63</v>
      </c>
      <c r="AV1646" t="s">
        <v>63</v>
      </c>
      <c r="AW1646" t="s">
        <v>63</v>
      </c>
      <c r="AX1646" t="s">
        <v>63</v>
      </c>
      <c r="AY1646" t="s">
        <v>63</v>
      </c>
      <c r="AZ1646" t="s">
        <v>63</v>
      </c>
      <c r="BA1646" t="s">
        <v>63</v>
      </c>
      <c r="BB1646" t="s">
        <v>63</v>
      </c>
      <c r="BC1646" t="s">
        <v>63</v>
      </c>
      <c r="BD1646" t="s">
        <v>63</v>
      </c>
      <c r="BE1646" t="s">
        <v>63</v>
      </c>
      <c r="BF1646" t="s">
        <v>63</v>
      </c>
    </row>
    <row r="1647" spans="1:58">
      <c r="A1647" t="s">
        <v>58</v>
      </c>
      <c r="B1647" t="s">
        <v>14452</v>
      </c>
      <c r="C1647" t="s">
        <v>14453</v>
      </c>
      <c r="D1647" t="s">
        <v>938</v>
      </c>
      <c r="E1647" t="s">
        <v>63</v>
      </c>
      <c r="F1647">
        <v>2001</v>
      </c>
      <c r="G1647" t="s">
        <v>63</v>
      </c>
      <c r="H1647">
        <v>10</v>
      </c>
      <c r="I1647">
        <v>3</v>
      </c>
      <c r="J1647">
        <v>249</v>
      </c>
      <c r="K1647">
        <v>257</v>
      </c>
      <c r="L1647" t="s">
        <v>14454</v>
      </c>
      <c r="M1647" t="s">
        <v>14455</v>
      </c>
      <c r="N1647" t="s">
        <v>14456</v>
      </c>
      <c r="O1647" t="s">
        <v>63</v>
      </c>
      <c r="Q1647" t="s">
        <v>63</v>
      </c>
      <c r="R1647" t="s">
        <v>63</v>
      </c>
      <c r="S1647" t="s">
        <v>63</v>
      </c>
      <c r="T1647" t="s">
        <v>63</v>
      </c>
      <c r="X1647" t="s">
        <v>63</v>
      </c>
      <c r="Y1647" t="s">
        <v>2500</v>
      </c>
      <c r="Z1647" t="s">
        <v>63</v>
      </c>
      <c r="AA1647" t="s">
        <v>14457</v>
      </c>
      <c r="AB1647">
        <v>11579623</v>
      </c>
      <c r="AC1647" t="s">
        <v>67</v>
      </c>
      <c r="AD1647" t="s">
        <v>63</v>
      </c>
      <c r="AE1647" t="s">
        <v>63</v>
      </c>
      <c r="AF1647" t="s">
        <v>63</v>
      </c>
      <c r="AG1647" t="s">
        <v>14458</v>
      </c>
      <c r="AH1647" t="s">
        <v>63</v>
      </c>
      <c r="AI1647" t="s">
        <v>63</v>
      </c>
      <c r="AJ1647" t="s">
        <v>63</v>
      </c>
      <c r="AK1647" t="s">
        <v>63</v>
      </c>
      <c r="AL1647" t="s">
        <v>63</v>
      </c>
      <c r="AM1647" t="s">
        <v>14459</v>
      </c>
      <c r="AN1647" t="s">
        <v>63</v>
      </c>
      <c r="AO1647" t="s">
        <v>63</v>
      </c>
      <c r="AP1647" t="s">
        <v>63</v>
      </c>
      <c r="AQ1647" t="s">
        <v>63</v>
      </c>
      <c r="AR1647" t="s">
        <v>63</v>
      </c>
      <c r="AS1647" t="s">
        <v>63</v>
      </c>
      <c r="AT1647" t="s">
        <v>63</v>
      </c>
      <c r="AU1647" t="s">
        <v>63</v>
      </c>
      <c r="AV1647" t="s">
        <v>63</v>
      </c>
      <c r="AW1647" t="s">
        <v>63</v>
      </c>
      <c r="AX1647" t="s">
        <v>63</v>
      </c>
      <c r="AY1647" t="s">
        <v>63</v>
      </c>
      <c r="AZ1647" t="s">
        <v>63</v>
      </c>
      <c r="BA1647" t="s">
        <v>63</v>
      </c>
      <c r="BB1647" t="s">
        <v>63</v>
      </c>
      <c r="BC1647" t="s">
        <v>63</v>
      </c>
      <c r="BD1647" t="s">
        <v>63</v>
      </c>
      <c r="BE1647" t="s">
        <v>63</v>
      </c>
      <c r="BF1647" t="s">
        <v>63</v>
      </c>
    </row>
    <row r="1648" spans="1:58">
      <c r="A1648" t="s">
        <v>58</v>
      </c>
      <c r="B1648" t="s">
        <v>14460</v>
      </c>
      <c r="C1648" t="s">
        <v>14461</v>
      </c>
      <c r="D1648" t="s">
        <v>938</v>
      </c>
      <c r="E1648" t="s">
        <v>63</v>
      </c>
      <c r="F1648">
        <v>2001</v>
      </c>
      <c r="G1648" t="s">
        <v>63</v>
      </c>
      <c r="H1648">
        <v>10</v>
      </c>
      <c r="I1648">
        <v>2</v>
      </c>
      <c r="J1648">
        <v>101</v>
      </c>
      <c r="K1648">
        <v>110</v>
      </c>
      <c r="L1648" t="s">
        <v>14462</v>
      </c>
      <c r="M1648" t="s">
        <v>14463</v>
      </c>
      <c r="N1648" t="s">
        <v>14464</v>
      </c>
      <c r="O1648" t="s">
        <v>63</v>
      </c>
      <c r="Q1648" t="s">
        <v>63</v>
      </c>
      <c r="R1648" t="s">
        <v>63</v>
      </c>
      <c r="S1648" t="s">
        <v>63</v>
      </c>
      <c r="T1648" t="s">
        <v>63</v>
      </c>
      <c r="X1648" t="s">
        <v>63</v>
      </c>
      <c r="Y1648" t="s">
        <v>2500</v>
      </c>
      <c r="Z1648" t="s">
        <v>63</v>
      </c>
      <c r="AA1648" t="s">
        <v>14465</v>
      </c>
      <c r="AB1648">
        <v>11444153</v>
      </c>
      <c r="AC1648" t="s">
        <v>67</v>
      </c>
      <c r="AD1648" t="s">
        <v>63</v>
      </c>
      <c r="AE1648" t="s">
        <v>63</v>
      </c>
      <c r="AF1648" t="s">
        <v>63</v>
      </c>
      <c r="AG1648" t="s">
        <v>14466</v>
      </c>
      <c r="AH1648" t="s">
        <v>63</v>
      </c>
      <c r="AI1648" t="s">
        <v>63</v>
      </c>
      <c r="AJ1648" t="s">
        <v>63</v>
      </c>
      <c r="AK1648" t="s">
        <v>63</v>
      </c>
      <c r="AL1648" t="s">
        <v>63</v>
      </c>
      <c r="AM1648" t="s">
        <v>14467</v>
      </c>
      <c r="AN1648" t="s">
        <v>63</v>
      </c>
      <c r="AO1648" t="s">
        <v>63</v>
      </c>
      <c r="AP1648" t="s">
        <v>63</v>
      </c>
      <c r="AQ1648" t="s">
        <v>63</v>
      </c>
      <c r="AR1648" t="s">
        <v>63</v>
      </c>
      <c r="AS1648" t="s">
        <v>63</v>
      </c>
      <c r="AT1648" t="s">
        <v>63</v>
      </c>
      <c r="AU1648" t="s">
        <v>63</v>
      </c>
      <c r="AV1648" t="s">
        <v>63</v>
      </c>
      <c r="AW1648" t="s">
        <v>63</v>
      </c>
      <c r="AX1648" t="s">
        <v>63</v>
      </c>
      <c r="AY1648" t="s">
        <v>63</v>
      </c>
      <c r="AZ1648" t="s">
        <v>63</v>
      </c>
      <c r="BA1648" t="s">
        <v>63</v>
      </c>
      <c r="BB1648" t="s">
        <v>63</v>
      </c>
      <c r="BC1648" t="s">
        <v>63</v>
      </c>
      <c r="BD1648" t="s">
        <v>63</v>
      </c>
      <c r="BE1648" t="s">
        <v>63</v>
      </c>
      <c r="BF1648" t="s">
        <v>63</v>
      </c>
    </row>
    <row r="1649" spans="1:58">
      <c r="A1649" t="s">
        <v>58</v>
      </c>
      <c r="B1649" t="s">
        <v>14468</v>
      </c>
      <c r="C1649" t="s">
        <v>14469</v>
      </c>
      <c r="D1649" t="s">
        <v>938</v>
      </c>
      <c r="E1649" t="s">
        <v>63</v>
      </c>
      <c r="F1649">
        <v>1999</v>
      </c>
      <c r="G1649" t="s">
        <v>63</v>
      </c>
      <c r="H1649">
        <v>8</v>
      </c>
      <c r="I1649">
        <v>1</v>
      </c>
      <c r="J1649">
        <v>55</v>
      </c>
      <c r="K1649">
        <v>64</v>
      </c>
      <c r="L1649" t="s">
        <v>14470</v>
      </c>
      <c r="M1649" t="s">
        <v>14471</v>
      </c>
      <c r="N1649" t="s">
        <v>14472</v>
      </c>
      <c r="O1649" t="s">
        <v>63</v>
      </c>
      <c r="Q1649" t="s">
        <v>63</v>
      </c>
      <c r="R1649" t="s">
        <v>63</v>
      </c>
      <c r="S1649" t="s">
        <v>63</v>
      </c>
      <c r="T1649" t="s">
        <v>63</v>
      </c>
      <c r="X1649" t="s">
        <v>63</v>
      </c>
      <c r="Y1649" t="s">
        <v>2500</v>
      </c>
      <c r="Z1649" t="s">
        <v>63</v>
      </c>
      <c r="AA1649" t="s">
        <v>14473</v>
      </c>
      <c r="AB1649">
        <v>10189515</v>
      </c>
      <c r="AC1649" t="s">
        <v>67</v>
      </c>
      <c r="AD1649" t="s">
        <v>63</v>
      </c>
      <c r="AE1649" t="s">
        <v>63</v>
      </c>
      <c r="AF1649" t="s">
        <v>63</v>
      </c>
      <c r="AG1649" t="s">
        <v>14474</v>
      </c>
      <c r="AH1649" t="s">
        <v>63</v>
      </c>
      <c r="AI1649" t="s">
        <v>63</v>
      </c>
      <c r="AJ1649" t="s">
        <v>63</v>
      </c>
      <c r="AK1649" t="s">
        <v>63</v>
      </c>
      <c r="AL1649" t="s">
        <v>63</v>
      </c>
      <c r="AM1649" t="s">
        <v>14475</v>
      </c>
      <c r="AN1649" t="s">
        <v>63</v>
      </c>
      <c r="AO1649" t="s">
        <v>63</v>
      </c>
      <c r="AP1649" t="s">
        <v>63</v>
      </c>
      <c r="AQ1649" t="s">
        <v>63</v>
      </c>
      <c r="AR1649" t="s">
        <v>63</v>
      </c>
      <c r="AS1649" t="s">
        <v>63</v>
      </c>
      <c r="AT1649" t="s">
        <v>63</v>
      </c>
      <c r="AU1649" t="s">
        <v>63</v>
      </c>
      <c r="AV1649" t="s">
        <v>63</v>
      </c>
      <c r="AW1649" t="s">
        <v>63</v>
      </c>
      <c r="AX1649" t="s">
        <v>63</v>
      </c>
      <c r="AY1649" t="s">
        <v>63</v>
      </c>
      <c r="AZ1649" t="s">
        <v>63</v>
      </c>
      <c r="BA1649" t="s">
        <v>63</v>
      </c>
      <c r="BB1649" t="s">
        <v>63</v>
      </c>
      <c r="BC1649" t="s">
        <v>63</v>
      </c>
      <c r="BD1649" t="s">
        <v>63</v>
      </c>
      <c r="BE1649" t="s">
        <v>63</v>
      </c>
      <c r="BF1649" t="s">
        <v>63</v>
      </c>
    </row>
    <row r="1650" spans="1:58">
      <c r="A1650" t="s">
        <v>58</v>
      </c>
      <c r="B1650" t="s">
        <v>14476</v>
      </c>
      <c r="C1650" t="s">
        <v>14477</v>
      </c>
      <c r="D1650" t="s">
        <v>1846</v>
      </c>
      <c r="E1650" t="s">
        <v>1847</v>
      </c>
      <c r="F1650">
        <v>1980</v>
      </c>
      <c r="G1650" t="s">
        <v>138</v>
      </c>
      <c r="H1650">
        <v>29</v>
      </c>
      <c r="I1650">
        <v>10</v>
      </c>
      <c r="J1650">
        <v>77</v>
      </c>
      <c r="K1650">
        <v>83</v>
      </c>
      <c r="L1650" t="s">
        <v>14478</v>
      </c>
      <c r="M1650" t="s">
        <v>63</v>
      </c>
      <c r="N1650" t="s">
        <v>14479</v>
      </c>
      <c r="O1650" t="s">
        <v>63</v>
      </c>
      <c r="Q1650" t="s">
        <v>63</v>
      </c>
      <c r="R1650" t="s">
        <v>63</v>
      </c>
      <c r="S1650" t="s">
        <v>63</v>
      </c>
      <c r="T1650" t="s">
        <v>63</v>
      </c>
      <c r="X1650" t="s">
        <v>63</v>
      </c>
      <c r="Y1650" t="s">
        <v>1850</v>
      </c>
      <c r="Z1650" t="s">
        <v>63</v>
      </c>
      <c r="AA1650" t="s">
        <v>63</v>
      </c>
      <c r="AB1650">
        <v>7464251</v>
      </c>
      <c r="AC1650" t="s">
        <v>67</v>
      </c>
      <c r="AD1650" t="s">
        <v>63</v>
      </c>
      <c r="AE1650" t="s">
        <v>63</v>
      </c>
      <c r="AF1650" t="s">
        <v>63</v>
      </c>
      <c r="AG1650" t="s">
        <v>14480</v>
      </c>
      <c r="AH1650" t="s">
        <v>63</v>
      </c>
      <c r="AI1650" t="s">
        <v>63</v>
      </c>
      <c r="AJ1650" t="s">
        <v>63</v>
      </c>
      <c r="AK1650" t="s">
        <v>63</v>
      </c>
      <c r="AL1650" t="s">
        <v>63</v>
      </c>
      <c r="AM1650" t="s">
        <v>14481</v>
      </c>
      <c r="AN1650" t="s">
        <v>63</v>
      </c>
      <c r="AO1650" t="s">
        <v>63</v>
      </c>
      <c r="AP1650" t="s">
        <v>63</v>
      </c>
      <c r="AQ1650" t="s">
        <v>63</v>
      </c>
      <c r="AR1650" t="s">
        <v>63</v>
      </c>
      <c r="AS1650" t="s">
        <v>63</v>
      </c>
      <c r="AT1650" t="s">
        <v>63</v>
      </c>
      <c r="AU1650" t="s">
        <v>63</v>
      </c>
      <c r="AV1650" t="s">
        <v>63</v>
      </c>
      <c r="AW1650" t="s">
        <v>63</v>
      </c>
      <c r="AX1650" t="s">
        <v>63</v>
      </c>
      <c r="AY1650" t="s">
        <v>63</v>
      </c>
      <c r="AZ1650" t="s">
        <v>63</v>
      </c>
      <c r="BA1650" t="s">
        <v>63</v>
      </c>
      <c r="BB1650" t="s">
        <v>63</v>
      </c>
      <c r="BC1650" t="s">
        <v>63</v>
      </c>
      <c r="BD1650" t="s">
        <v>63</v>
      </c>
      <c r="BE1650" t="s">
        <v>63</v>
      </c>
      <c r="BF1650" t="s">
        <v>63</v>
      </c>
    </row>
    <row r="1651" spans="1:58">
      <c r="A1651" t="s">
        <v>58</v>
      </c>
      <c r="B1651" t="s">
        <v>14476</v>
      </c>
      <c r="C1651" t="s">
        <v>14482</v>
      </c>
      <c r="D1651" t="s">
        <v>1846</v>
      </c>
      <c r="E1651" t="s">
        <v>1847</v>
      </c>
      <c r="F1651">
        <v>1975</v>
      </c>
      <c r="G1651" t="s">
        <v>181</v>
      </c>
      <c r="H1651">
        <v>24</v>
      </c>
      <c r="I1651">
        <v>9</v>
      </c>
      <c r="J1651">
        <v>87</v>
      </c>
      <c r="K1651">
        <v>90</v>
      </c>
      <c r="L1651" t="s">
        <v>14483</v>
      </c>
      <c r="M1651" t="s">
        <v>63</v>
      </c>
      <c r="N1651" t="s">
        <v>14484</v>
      </c>
      <c r="O1651" t="s">
        <v>63</v>
      </c>
      <c r="Q1651" t="s">
        <v>63</v>
      </c>
      <c r="R1651" t="s">
        <v>63</v>
      </c>
      <c r="S1651" t="s">
        <v>63</v>
      </c>
      <c r="T1651" t="s">
        <v>63</v>
      </c>
      <c r="X1651" t="s">
        <v>63</v>
      </c>
      <c r="Y1651" t="s">
        <v>1850</v>
      </c>
      <c r="Z1651" t="s">
        <v>63</v>
      </c>
      <c r="AA1651" t="s">
        <v>63</v>
      </c>
      <c r="AB1651">
        <v>1165657</v>
      </c>
      <c r="AC1651" t="s">
        <v>67</v>
      </c>
      <c r="AD1651" t="s">
        <v>63</v>
      </c>
      <c r="AE1651" t="s">
        <v>63</v>
      </c>
      <c r="AF1651" t="s">
        <v>63</v>
      </c>
      <c r="AG1651" t="s">
        <v>14485</v>
      </c>
      <c r="AH1651" t="s">
        <v>63</v>
      </c>
      <c r="AI1651" t="s">
        <v>63</v>
      </c>
      <c r="AJ1651" t="s">
        <v>63</v>
      </c>
      <c r="AK1651" t="s">
        <v>63</v>
      </c>
      <c r="AL1651" t="s">
        <v>63</v>
      </c>
      <c r="AM1651" t="s">
        <v>14486</v>
      </c>
      <c r="AN1651" t="s">
        <v>63</v>
      </c>
      <c r="AO1651" t="s">
        <v>63</v>
      </c>
      <c r="AP1651" t="s">
        <v>63</v>
      </c>
      <c r="AQ1651" t="s">
        <v>63</v>
      </c>
      <c r="AR1651" t="s">
        <v>63</v>
      </c>
      <c r="AS1651" t="s">
        <v>63</v>
      </c>
      <c r="AT1651" t="s">
        <v>63</v>
      </c>
      <c r="AU1651" t="s">
        <v>63</v>
      </c>
      <c r="AV1651" t="s">
        <v>63</v>
      </c>
      <c r="AW1651" t="s">
        <v>63</v>
      </c>
      <c r="AX1651" t="s">
        <v>63</v>
      </c>
      <c r="AY1651" t="s">
        <v>63</v>
      </c>
      <c r="AZ1651" t="s">
        <v>63</v>
      </c>
      <c r="BA1651" t="s">
        <v>63</v>
      </c>
      <c r="BB1651" t="s">
        <v>63</v>
      </c>
      <c r="BC1651" t="s">
        <v>63</v>
      </c>
      <c r="BD1651" t="s">
        <v>63</v>
      </c>
      <c r="BE1651" t="s">
        <v>63</v>
      </c>
      <c r="BF1651" t="s">
        <v>63</v>
      </c>
    </row>
    <row r="1652" spans="1:58">
      <c r="A1652" t="s">
        <v>58</v>
      </c>
      <c r="B1652" t="s">
        <v>14487</v>
      </c>
      <c r="C1652" t="s">
        <v>14488</v>
      </c>
      <c r="D1652" t="s">
        <v>389</v>
      </c>
      <c r="E1652" t="s">
        <v>63</v>
      </c>
      <c r="F1652">
        <v>2015</v>
      </c>
      <c r="G1652" t="s">
        <v>63</v>
      </c>
      <c r="H1652">
        <v>36</v>
      </c>
      <c r="I1652">
        <v>3</v>
      </c>
      <c r="J1652">
        <v>325</v>
      </c>
      <c r="K1652">
        <v>331</v>
      </c>
      <c r="L1652" t="s">
        <v>14489</v>
      </c>
      <c r="M1652" t="s">
        <v>14490</v>
      </c>
      <c r="N1652" t="s">
        <v>14491</v>
      </c>
      <c r="O1652" t="s">
        <v>63</v>
      </c>
      <c r="Q1652" t="s">
        <v>63</v>
      </c>
      <c r="R1652" t="s">
        <v>63</v>
      </c>
      <c r="S1652" t="s">
        <v>63</v>
      </c>
      <c r="T1652" t="s">
        <v>63</v>
      </c>
      <c r="X1652" t="s">
        <v>63</v>
      </c>
      <c r="Y1652" t="s">
        <v>556</v>
      </c>
      <c r="Z1652" t="s">
        <v>63</v>
      </c>
      <c r="AA1652" t="s">
        <v>14492</v>
      </c>
      <c r="AB1652">
        <v>25260121</v>
      </c>
      <c r="AC1652" t="s">
        <v>67</v>
      </c>
      <c r="AD1652" t="s">
        <v>63</v>
      </c>
      <c r="AE1652" t="s">
        <v>63</v>
      </c>
      <c r="AF1652" t="s">
        <v>63</v>
      </c>
      <c r="AG1652" t="s">
        <v>14493</v>
      </c>
      <c r="AH1652" t="s">
        <v>63</v>
      </c>
      <c r="AI1652" t="s">
        <v>14494</v>
      </c>
      <c r="AJ1652" t="s">
        <v>63</v>
      </c>
      <c r="AK1652" t="s">
        <v>63</v>
      </c>
      <c r="AL1652" t="s">
        <v>63</v>
      </c>
      <c r="AM1652" t="s">
        <v>14495</v>
      </c>
      <c r="AN1652" t="s">
        <v>63</v>
      </c>
      <c r="AO1652" t="s">
        <v>63</v>
      </c>
      <c r="AP1652" t="s">
        <v>63</v>
      </c>
      <c r="AQ1652" t="s">
        <v>63</v>
      </c>
      <c r="AR1652" t="s">
        <v>63</v>
      </c>
      <c r="AS1652" t="s">
        <v>63</v>
      </c>
      <c r="AT1652" t="s">
        <v>63</v>
      </c>
      <c r="AU1652" t="s">
        <v>63</v>
      </c>
      <c r="AV1652" t="s">
        <v>63</v>
      </c>
      <c r="AW1652" t="s">
        <v>63</v>
      </c>
      <c r="AX1652" t="s">
        <v>63</v>
      </c>
      <c r="AY1652" t="s">
        <v>63</v>
      </c>
      <c r="AZ1652" t="s">
        <v>63</v>
      </c>
      <c r="BA1652" t="s">
        <v>63</v>
      </c>
      <c r="BB1652" t="s">
        <v>63</v>
      </c>
      <c r="BC1652" t="s">
        <v>63</v>
      </c>
      <c r="BD1652" t="s">
        <v>63</v>
      </c>
      <c r="BE1652" t="s">
        <v>63</v>
      </c>
      <c r="BF1652" t="s">
        <v>63</v>
      </c>
    </row>
    <row r="1653" spans="1:58">
      <c r="A1653" t="s">
        <v>58</v>
      </c>
      <c r="B1653" t="s">
        <v>14496</v>
      </c>
      <c r="C1653" t="s">
        <v>14497</v>
      </c>
      <c r="D1653" t="s">
        <v>1314</v>
      </c>
      <c r="E1653" t="s">
        <v>63</v>
      </c>
      <c r="F1653">
        <v>2016</v>
      </c>
      <c r="G1653" t="s">
        <v>274</v>
      </c>
      <c r="H1653">
        <v>12</v>
      </c>
      <c r="I1653">
        <v>1</v>
      </c>
      <c r="J1653">
        <v>48</v>
      </c>
      <c r="K1653">
        <v>49</v>
      </c>
      <c r="L1653" t="s">
        <v>14498</v>
      </c>
      <c r="M1653" t="s">
        <v>63</v>
      </c>
      <c r="N1653" t="s">
        <v>14499</v>
      </c>
      <c r="O1653" t="s">
        <v>63</v>
      </c>
      <c r="Q1653" t="s">
        <v>63</v>
      </c>
      <c r="R1653" t="s">
        <v>63</v>
      </c>
      <c r="S1653" t="s">
        <v>63</v>
      </c>
      <c r="T1653" t="s">
        <v>63</v>
      </c>
      <c r="X1653" t="s">
        <v>63</v>
      </c>
      <c r="Y1653" t="s">
        <v>1317</v>
      </c>
      <c r="Z1653" t="s">
        <v>63</v>
      </c>
      <c r="AA1653" t="s">
        <v>14500</v>
      </c>
      <c r="AB1653">
        <v>26822206</v>
      </c>
      <c r="AC1653" t="s">
        <v>67</v>
      </c>
      <c r="AD1653" t="s">
        <v>63</v>
      </c>
      <c r="AE1653" t="s">
        <v>63</v>
      </c>
      <c r="AF1653" t="s">
        <v>63</v>
      </c>
      <c r="AG1653" t="s">
        <v>14501</v>
      </c>
      <c r="AH1653" t="s">
        <v>63</v>
      </c>
      <c r="AI1653" t="s">
        <v>14502</v>
      </c>
      <c r="AJ1653" t="s">
        <v>63</v>
      </c>
      <c r="AK1653" t="s">
        <v>63</v>
      </c>
      <c r="AL1653" t="s">
        <v>63</v>
      </c>
      <c r="AM1653" t="s">
        <v>14503</v>
      </c>
      <c r="AN1653" t="s">
        <v>63</v>
      </c>
      <c r="AO1653" t="s">
        <v>63</v>
      </c>
      <c r="AP1653" t="s">
        <v>63</v>
      </c>
      <c r="AQ1653" t="s">
        <v>63</v>
      </c>
      <c r="AR1653" t="s">
        <v>63</v>
      </c>
      <c r="AS1653" t="s">
        <v>63</v>
      </c>
      <c r="AT1653" t="s">
        <v>63</v>
      </c>
      <c r="AU1653" t="s">
        <v>63</v>
      </c>
      <c r="AV1653" t="s">
        <v>63</v>
      </c>
      <c r="AW1653" t="s">
        <v>63</v>
      </c>
      <c r="AX1653" t="s">
        <v>63</v>
      </c>
      <c r="AY1653" t="s">
        <v>63</v>
      </c>
      <c r="AZ1653" t="s">
        <v>63</v>
      </c>
      <c r="BA1653" t="s">
        <v>63</v>
      </c>
      <c r="BB1653" t="s">
        <v>63</v>
      </c>
      <c r="BC1653" t="s">
        <v>63</v>
      </c>
      <c r="BD1653" t="s">
        <v>63</v>
      </c>
      <c r="BE1653" t="s">
        <v>63</v>
      </c>
      <c r="BF1653" t="s">
        <v>63</v>
      </c>
    </row>
    <row r="1654" spans="1:58">
      <c r="A1654" t="s">
        <v>58</v>
      </c>
      <c r="B1654" t="s">
        <v>14504</v>
      </c>
      <c r="C1654" t="s">
        <v>14505</v>
      </c>
      <c r="D1654" t="s">
        <v>14506</v>
      </c>
      <c r="E1654" t="s">
        <v>63</v>
      </c>
      <c r="F1654">
        <v>1991</v>
      </c>
      <c r="G1654" t="s">
        <v>157</v>
      </c>
      <c r="H1654">
        <v>11</v>
      </c>
      <c r="I1654">
        <v>4</v>
      </c>
      <c r="J1654">
        <v>330</v>
      </c>
      <c r="K1654">
        <v>335</v>
      </c>
      <c r="L1654" t="s">
        <v>14507</v>
      </c>
      <c r="M1654" t="s">
        <v>14508</v>
      </c>
      <c r="N1654" t="s">
        <v>14509</v>
      </c>
      <c r="O1654" t="s">
        <v>63</v>
      </c>
      <c r="Q1654" t="s">
        <v>63</v>
      </c>
      <c r="R1654" t="s">
        <v>63</v>
      </c>
      <c r="S1654" t="s">
        <v>63</v>
      </c>
      <c r="T1654" t="s">
        <v>63</v>
      </c>
      <c r="X1654" t="s">
        <v>63</v>
      </c>
      <c r="Y1654" t="s">
        <v>14510</v>
      </c>
      <c r="Z1654" t="s">
        <v>63</v>
      </c>
      <c r="AA1654" t="s">
        <v>14511</v>
      </c>
      <c r="AB1654">
        <v>1770388</v>
      </c>
      <c r="AC1654" t="s">
        <v>67</v>
      </c>
      <c r="AD1654" t="s">
        <v>63</v>
      </c>
      <c r="AE1654" t="s">
        <v>63</v>
      </c>
      <c r="AF1654" t="s">
        <v>63</v>
      </c>
      <c r="AG1654" t="s">
        <v>14512</v>
      </c>
      <c r="AH1654" t="s">
        <v>63</v>
      </c>
      <c r="AI1654" t="s">
        <v>63</v>
      </c>
      <c r="AJ1654" t="s">
        <v>63</v>
      </c>
      <c r="AK1654" t="s">
        <v>63</v>
      </c>
      <c r="AL1654" t="s">
        <v>63</v>
      </c>
      <c r="AM1654" t="s">
        <v>14513</v>
      </c>
      <c r="AN1654" t="s">
        <v>63</v>
      </c>
      <c r="AO1654" t="s">
        <v>63</v>
      </c>
      <c r="AP1654" t="s">
        <v>63</v>
      </c>
      <c r="AQ1654" t="s">
        <v>63</v>
      </c>
      <c r="AR1654" t="s">
        <v>63</v>
      </c>
      <c r="AS1654" t="s">
        <v>63</v>
      </c>
      <c r="AT1654" t="s">
        <v>63</v>
      </c>
      <c r="AU1654" t="s">
        <v>63</v>
      </c>
      <c r="AV1654" t="s">
        <v>63</v>
      </c>
      <c r="AW1654" t="s">
        <v>63</v>
      </c>
      <c r="AX1654" t="s">
        <v>63</v>
      </c>
      <c r="AY1654" t="s">
        <v>63</v>
      </c>
      <c r="AZ1654" t="s">
        <v>63</v>
      </c>
      <c r="BA1654" t="s">
        <v>63</v>
      </c>
      <c r="BB1654" t="s">
        <v>63</v>
      </c>
      <c r="BC1654" t="s">
        <v>63</v>
      </c>
      <c r="BD1654" t="s">
        <v>63</v>
      </c>
      <c r="BE1654" t="s">
        <v>63</v>
      </c>
      <c r="BF1654" t="s">
        <v>63</v>
      </c>
    </row>
    <row r="1655" spans="1:58">
      <c r="A1655" t="s">
        <v>58</v>
      </c>
      <c r="B1655" t="s">
        <v>14514</v>
      </c>
      <c r="C1655" t="s">
        <v>14515</v>
      </c>
      <c r="D1655" t="s">
        <v>290</v>
      </c>
      <c r="E1655" t="s">
        <v>291</v>
      </c>
      <c r="F1655">
        <v>2004</v>
      </c>
      <c r="G1655" s="1">
        <v>41915</v>
      </c>
      <c r="H1655">
        <v>181</v>
      </c>
      <c r="I1655">
        <v>7</v>
      </c>
      <c r="J1655">
        <v>372</v>
      </c>
      <c r="K1655">
        <v>375</v>
      </c>
      <c r="L1655" t="s">
        <v>14516</v>
      </c>
      <c r="M1655" t="s">
        <v>14517</v>
      </c>
      <c r="N1655" t="s">
        <v>14518</v>
      </c>
      <c r="O1655" t="s">
        <v>63</v>
      </c>
      <c r="Q1655" t="s">
        <v>63</v>
      </c>
      <c r="R1655" t="s">
        <v>63</v>
      </c>
      <c r="S1655" t="s">
        <v>63</v>
      </c>
      <c r="T1655" t="s">
        <v>63</v>
      </c>
      <c r="X1655" t="s">
        <v>63</v>
      </c>
      <c r="Y1655" t="s">
        <v>294</v>
      </c>
      <c r="Z1655" t="s">
        <v>63</v>
      </c>
      <c r="AA1655" t="s">
        <v>14519</v>
      </c>
      <c r="AB1655">
        <v>15462656</v>
      </c>
      <c r="AC1655" t="s">
        <v>67</v>
      </c>
      <c r="AD1655" t="s">
        <v>63</v>
      </c>
      <c r="AE1655" t="s">
        <v>63</v>
      </c>
      <c r="AF1655" t="s">
        <v>63</v>
      </c>
      <c r="AG1655" t="s">
        <v>14520</v>
      </c>
      <c r="AH1655" t="s">
        <v>63</v>
      </c>
      <c r="AI1655" t="s">
        <v>63</v>
      </c>
      <c r="AJ1655" t="s">
        <v>63</v>
      </c>
      <c r="AK1655" t="s">
        <v>63</v>
      </c>
      <c r="AL1655" t="s">
        <v>63</v>
      </c>
      <c r="AM1655" t="s">
        <v>14521</v>
      </c>
      <c r="AN1655" t="s">
        <v>63</v>
      </c>
      <c r="AO1655" t="s">
        <v>63</v>
      </c>
      <c r="AP1655" t="s">
        <v>63</v>
      </c>
      <c r="AQ1655" t="s">
        <v>63</v>
      </c>
      <c r="AR1655" t="s">
        <v>63</v>
      </c>
      <c r="AS1655" t="s">
        <v>63</v>
      </c>
      <c r="AT1655" t="s">
        <v>63</v>
      </c>
      <c r="AU1655" t="s">
        <v>63</v>
      </c>
      <c r="AV1655" t="s">
        <v>63</v>
      </c>
      <c r="AW1655" t="s">
        <v>63</v>
      </c>
      <c r="AX1655" t="s">
        <v>63</v>
      </c>
      <c r="AY1655" t="s">
        <v>63</v>
      </c>
      <c r="AZ1655" t="s">
        <v>63</v>
      </c>
      <c r="BA1655" t="s">
        <v>63</v>
      </c>
      <c r="BB1655" t="s">
        <v>63</v>
      </c>
      <c r="BC1655" t="s">
        <v>63</v>
      </c>
      <c r="BD1655" t="s">
        <v>63</v>
      </c>
      <c r="BE1655" t="s">
        <v>63</v>
      </c>
      <c r="BF1655" t="s">
        <v>63</v>
      </c>
    </row>
    <row r="1656" spans="1:58">
      <c r="A1656" t="s">
        <v>58</v>
      </c>
      <c r="B1656" t="s">
        <v>14522</v>
      </c>
      <c r="C1656" t="s">
        <v>14523</v>
      </c>
      <c r="D1656" t="s">
        <v>371</v>
      </c>
      <c r="E1656" t="s">
        <v>63</v>
      </c>
      <c r="F1656">
        <v>2002</v>
      </c>
      <c r="G1656" t="s">
        <v>189</v>
      </c>
      <c r="H1656">
        <v>17</v>
      </c>
      <c r="I1656">
        <v>5</v>
      </c>
      <c r="J1656">
        <v>356</v>
      </c>
      <c r="K1656">
        <v>360</v>
      </c>
      <c r="L1656" t="s">
        <v>14524</v>
      </c>
      <c r="M1656" t="s">
        <v>14525</v>
      </c>
      <c r="N1656" t="s">
        <v>14526</v>
      </c>
      <c r="O1656" t="s">
        <v>63</v>
      </c>
      <c r="Q1656" t="s">
        <v>63</v>
      </c>
      <c r="R1656" t="s">
        <v>63</v>
      </c>
      <c r="S1656" t="s">
        <v>63</v>
      </c>
      <c r="T1656" t="s">
        <v>63</v>
      </c>
      <c r="X1656" t="s">
        <v>63</v>
      </c>
      <c r="Y1656" t="s">
        <v>375</v>
      </c>
      <c r="Z1656" t="s">
        <v>63</v>
      </c>
      <c r="AA1656" t="s">
        <v>14527</v>
      </c>
      <c r="AB1656">
        <v>12047732</v>
      </c>
      <c r="AC1656" t="s">
        <v>67</v>
      </c>
      <c r="AD1656" t="s">
        <v>63</v>
      </c>
      <c r="AE1656" t="s">
        <v>63</v>
      </c>
      <c r="AF1656" t="s">
        <v>63</v>
      </c>
      <c r="AG1656" t="s">
        <v>14528</v>
      </c>
      <c r="AH1656" t="s">
        <v>63</v>
      </c>
      <c r="AI1656" t="s">
        <v>63</v>
      </c>
      <c r="AJ1656" t="s">
        <v>63</v>
      </c>
      <c r="AK1656" t="s">
        <v>63</v>
      </c>
      <c r="AL1656" t="s">
        <v>63</v>
      </c>
      <c r="AM1656" t="s">
        <v>14529</v>
      </c>
      <c r="AN1656" t="s">
        <v>63</v>
      </c>
      <c r="AO1656" t="s">
        <v>63</v>
      </c>
      <c r="AP1656" t="s">
        <v>63</v>
      </c>
      <c r="AQ1656" t="s">
        <v>63</v>
      </c>
      <c r="AR1656" t="s">
        <v>63</v>
      </c>
      <c r="AS1656" t="s">
        <v>63</v>
      </c>
      <c r="AT1656" t="s">
        <v>63</v>
      </c>
      <c r="AU1656" t="s">
        <v>63</v>
      </c>
      <c r="AV1656" t="s">
        <v>63</v>
      </c>
      <c r="AW1656" t="s">
        <v>63</v>
      </c>
      <c r="AX1656" t="s">
        <v>63</v>
      </c>
      <c r="AY1656" t="s">
        <v>63</v>
      </c>
      <c r="AZ1656" t="s">
        <v>63</v>
      </c>
      <c r="BA1656" t="s">
        <v>63</v>
      </c>
      <c r="BB1656" t="s">
        <v>63</v>
      </c>
      <c r="BC1656" t="s">
        <v>63</v>
      </c>
      <c r="BD1656" t="s">
        <v>63</v>
      </c>
      <c r="BE1656" t="s">
        <v>63</v>
      </c>
      <c r="BF1656" t="s">
        <v>63</v>
      </c>
    </row>
    <row r="1657" spans="1:58">
      <c r="A1657" t="s">
        <v>58</v>
      </c>
      <c r="B1657" t="s">
        <v>14530</v>
      </c>
      <c r="C1657" t="s">
        <v>14531</v>
      </c>
      <c r="D1657" t="s">
        <v>2576</v>
      </c>
      <c r="E1657" t="s">
        <v>2577</v>
      </c>
      <c r="F1657">
        <v>1971</v>
      </c>
      <c r="G1657" s="1">
        <v>41726</v>
      </c>
      <c r="H1657">
        <v>178</v>
      </c>
      <c r="I1657" t="s">
        <v>63</v>
      </c>
      <c r="J1657">
        <v>17</v>
      </c>
      <c r="K1657">
        <v>22</v>
      </c>
      <c r="L1657" t="s">
        <v>14532</v>
      </c>
      <c r="M1657" t="s">
        <v>63</v>
      </c>
      <c r="N1657" t="s">
        <v>14533</v>
      </c>
      <c r="O1657" t="s">
        <v>63</v>
      </c>
      <c r="Q1657" t="s">
        <v>63</v>
      </c>
      <c r="R1657" t="s">
        <v>63</v>
      </c>
      <c r="S1657" t="s">
        <v>63</v>
      </c>
      <c r="T1657" t="s">
        <v>63</v>
      </c>
      <c r="X1657" t="s">
        <v>63</v>
      </c>
      <c r="Y1657" t="s">
        <v>2580</v>
      </c>
      <c r="Z1657" t="s">
        <v>63</v>
      </c>
      <c r="AA1657" t="s">
        <v>63</v>
      </c>
      <c r="AB1657">
        <v>5282647</v>
      </c>
      <c r="AC1657" t="s">
        <v>67</v>
      </c>
      <c r="AD1657" t="s">
        <v>63</v>
      </c>
      <c r="AE1657" t="s">
        <v>63</v>
      </c>
      <c r="AF1657" t="s">
        <v>63</v>
      </c>
      <c r="AG1657" t="s">
        <v>14534</v>
      </c>
      <c r="AH1657" t="s">
        <v>63</v>
      </c>
      <c r="AI1657" t="s">
        <v>63</v>
      </c>
      <c r="AJ1657" t="s">
        <v>63</v>
      </c>
      <c r="AK1657" t="s">
        <v>63</v>
      </c>
      <c r="AL1657" t="s">
        <v>63</v>
      </c>
      <c r="AM1657" t="s">
        <v>14535</v>
      </c>
      <c r="AN1657" t="s">
        <v>63</v>
      </c>
      <c r="AO1657" t="s">
        <v>63</v>
      </c>
      <c r="AP1657" t="s">
        <v>63</v>
      </c>
      <c r="AQ1657" t="s">
        <v>63</v>
      </c>
      <c r="AR1657" t="s">
        <v>63</v>
      </c>
      <c r="AS1657" t="s">
        <v>63</v>
      </c>
      <c r="AT1657" t="s">
        <v>63</v>
      </c>
      <c r="AU1657" t="s">
        <v>63</v>
      </c>
      <c r="AV1657" t="s">
        <v>63</v>
      </c>
      <c r="AW1657" t="s">
        <v>63</v>
      </c>
      <c r="AX1657" t="s">
        <v>63</v>
      </c>
      <c r="AY1657" t="s">
        <v>63</v>
      </c>
      <c r="AZ1657" t="s">
        <v>63</v>
      </c>
      <c r="BA1657" t="s">
        <v>63</v>
      </c>
      <c r="BB1657" t="s">
        <v>63</v>
      </c>
      <c r="BC1657" t="s">
        <v>63</v>
      </c>
      <c r="BD1657" t="s">
        <v>63</v>
      </c>
      <c r="BE1657" t="s">
        <v>63</v>
      </c>
      <c r="BF1657" t="s">
        <v>63</v>
      </c>
    </row>
    <row r="1658" spans="1:58">
      <c r="A1658" t="s">
        <v>58</v>
      </c>
      <c r="B1658" t="s">
        <v>14536</v>
      </c>
      <c r="C1658" t="s">
        <v>14537</v>
      </c>
      <c r="D1658" t="s">
        <v>2616</v>
      </c>
      <c r="E1658" t="s">
        <v>2616</v>
      </c>
      <c r="F1658">
        <v>2010</v>
      </c>
      <c r="G1658" s="1">
        <v>41990</v>
      </c>
      <c r="H1658">
        <v>10</v>
      </c>
      <c r="I1658" t="s">
        <v>63</v>
      </c>
      <c r="J1658">
        <v>770</v>
      </c>
      <c r="K1658" t="s">
        <v>63</v>
      </c>
      <c r="L1658" t="s">
        <v>14538</v>
      </c>
      <c r="M1658" t="s">
        <v>14539</v>
      </c>
      <c r="N1658" t="s">
        <v>14540</v>
      </c>
      <c r="O1658" t="s">
        <v>63</v>
      </c>
      <c r="Q1658" t="s">
        <v>63</v>
      </c>
      <c r="R1658" t="s">
        <v>63</v>
      </c>
      <c r="S1658" t="s">
        <v>63</v>
      </c>
      <c r="T1658" t="s">
        <v>63</v>
      </c>
      <c r="X1658" t="s">
        <v>63</v>
      </c>
      <c r="Y1658" t="s">
        <v>2620</v>
      </c>
      <c r="Z1658" t="s">
        <v>63</v>
      </c>
      <c r="AA1658" t="s">
        <v>14541</v>
      </c>
      <c r="AB1658">
        <v>21167063</v>
      </c>
      <c r="AC1658" t="s">
        <v>67</v>
      </c>
      <c r="AD1658" t="s">
        <v>63</v>
      </c>
      <c r="AE1658" t="s">
        <v>63</v>
      </c>
      <c r="AF1658" t="s">
        <v>63</v>
      </c>
      <c r="AG1658" t="s">
        <v>14542</v>
      </c>
      <c r="AH1658" t="s">
        <v>63</v>
      </c>
      <c r="AI1658" t="s">
        <v>14543</v>
      </c>
      <c r="AJ1658" t="s">
        <v>63</v>
      </c>
      <c r="AK1658" t="s">
        <v>63</v>
      </c>
      <c r="AL1658" t="s">
        <v>63</v>
      </c>
      <c r="AM1658" t="s">
        <v>14544</v>
      </c>
      <c r="AN1658" t="s">
        <v>63</v>
      </c>
      <c r="AO1658" t="s">
        <v>63</v>
      </c>
      <c r="AP1658" t="s">
        <v>63</v>
      </c>
      <c r="AQ1658" t="s">
        <v>63</v>
      </c>
      <c r="AR1658" t="s">
        <v>63</v>
      </c>
      <c r="AS1658" t="s">
        <v>63</v>
      </c>
      <c r="AT1658" t="s">
        <v>63</v>
      </c>
      <c r="AU1658" t="s">
        <v>63</v>
      </c>
      <c r="AV1658" t="s">
        <v>63</v>
      </c>
      <c r="AW1658" t="s">
        <v>63</v>
      </c>
      <c r="AX1658" t="s">
        <v>63</v>
      </c>
      <c r="AY1658" t="s">
        <v>63</v>
      </c>
      <c r="AZ1658" t="s">
        <v>63</v>
      </c>
      <c r="BA1658" t="s">
        <v>63</v>
      </c>
      <c r="BB1658" t="s">
        <v>63</v>
      </c>
      <c r="BC1658" t="s">
        <v>63</v>
      </c>
      <c r="BD1658" t="s">
        <v>63</v>
      </c>
      <c r="BE1658" t="s">
        <v>63</v>
      </c>
      <c r="BF1658" t="s">
        <v>63</v>
      </c>
    </row>
    <row r="1659" spans="1:58">
      <c r="A1659" t="s">
        <v>58</v>
      </c>
      <c r="B1659" t="s">
        <v>14545</v>
      </c>
      <c r="C1659" t="s">
        <v>14546</v>
      </c>
      <c r="D1659" t="s">
        <v>2093</v>
      </c>
      <c r="E1659" t="s">
        <v>63</v>
      </c>
      <c r="F1659">
        <v>2011</v>
      </c>
      <c r="G1659" t="s">
        <v>84</v>
      </c>
      <c r="H1659">
        <v>104</v>
      </c>
      <c r="I1659">
        <v>4</v>
      </c>
      <c r="J1659">
        <v>23</v>
      </c>
      <c r="K1659">
        <v>26</v>
      </c>
      <c r="L1659" t="s">
        <v>14547</v>
      </c>
      <c r="M1659" t="s">
        <v>63</v>
      </c>
      <c r="N1659" t="s">
        <v>14548</v>
      </c>
      <c r="O1659" t="s">
        <v>63</v>
      </c>
      <c r="Q1659" t="s">
        <v>63</v>
      </c>
      <c r="R1659" t="s">
        <v>63</v>
      </c>
      <c r="S1659" t="s">
        <v>63</v>
      </c>
      <c r="T1659" t="s">
        <v>63</v>
      </c>
      <c r="X1659" t="s">
        <v>63</v>
      </c>
      <c r="Y1659" t="s">
        <v>2097</v>
      </c>
      <c r="Z1659" t="s">
        <v>63</v>
      </c>
      <c r="AA1659" t="s">
        <v>63</v>
      </c>
      <c r="AB1659">
        <v>21560905</v>
      </c>
      <c r="AC1659" t="s">
        <v>67</v>
      </c>
      <c r="AD1659" t="s">
        <v>63</v>
      </c>
      <c r="AE1659" t="s">
        <v>63</v>
      </c>
      <c r="AF1659" t="s">
        <v>63</v>
      </c>
      <c r="AG1659" t="s">
        <v>14549</v>
      </c>
      <c r="AH1659" t="s">
        <v>63</v>
      </c>
      <c r="AI1659" t="s">
        <v>63</v>
      </c>
      <c r="AJ1659" t="s">
        <v>63</v>
      </c>
      <c r="AK1659" t="s">
        <v>63</v>
      </c>
      <c r="AL1659" t="s">
        <v>63</v>
      </c>
      <c r="AM1659" t="s">
        <v>14550</v>
      </c>
      <c r="AN1659" t="s">
        <v>63</v>
      </c>
      <c r="AO1659" t="s">
        <v>63</v>
      </c>
      <c r="AP1659" t="s">
        <v>63</v>
      </c>
      <c r="AQ1659" t="s">
        <v>63</v>
      </c>
      <c r="AR1659" t="s">
        <v>63</v>
      </c>
      <c r="AS1659" t="s">
        <v>63</v>
      </c>
      <c r="AT1659" t="s">
        <v>63</v>
      </c>
      <c r="AU1659" t="s">
        <v>63</v>
      </c>
      <c r="AV1659" t="s">
        <v>63</v>
      </c>
      <c r="AW1659" t="s">
        <v>63</v>
      </c>
      <c r="AX1659" t="s">
        <v>63</v>
      </c>
      <c r="AY1659" t="s">
        <v>63</v>
      </c>
      <c r="AZ1659" t="s">
        <v>63</v>
      </c>
      <c r="BA1659" t="s">
        <v>63</v>
      </c>
      <c r="BB1659" t="s">
        <v>63</v>
      </c>
      <c r="BC1659" t="s">
        <v>63</v>
      </c>
      <c r="BD1659" t="s">
        <v>63</v>
      </c>
      <c r="BE1659" t="s">
        <v>63</v>
      </c>
      <c r="BF1659" t="s">
        <v>63</v>
      </c>
    </row>
    <row r="1660" spans="1:58">
      <c r="A1660" t="s">
        <v>58</v>
      </c>
      <c r="B1660" t="s">
        <v>14551</v>
      </c>
      <c r="C1660" t="s">
        <v>14552</v>
      </c>
      <c r="D1660" t="s">
        <v>2291</v>
      </c>
      <c r="E1660" t="s">
        <v>2291</v>
      </c>
      <c r="F1660">
        <v>1999</v>
      </c>
      <c r="G1660" s="1">
        <v>41829</v>
      </c>
      <c r="H1660">
        <v>319</v>
      </c>
      <c r="I1660">
        <v>7202</v>
      </c>
      <c r="J1660">
        <v>123</v>
      </c>
      <c r="K1660" t="s">
        <v>63</v>
      </c>
      <c r="L1660" t="s">
        <v>14553</v>
      </c>
      <c r="M1660" t="s">
        <v>63</v>
      </c>
      <c r="N1660" t="s">
        <v>14554</v>
      </c>
      <c r="O1660" t="s">
        <v>63</v>
      </c>
      <c r="Q1660" t="s">
        <v>63</v>
      </c>
      <c r="R1660" t="s">
        <v>63</v>
      </c>
      <c r="S1660" t="s">
        <v>63</v>
      </c>
      <c r="T1660" t="s">
        <v>63</v>
      </c>
      <c r="X1660" t="s">
        <v>63</v>
      </c>
      <c r="Y1660" t="s">
        <v>2294</v>
      </c>
      <c r="Z1660" t="s">
        <v>63</v>
      </c>
      <c r="AA1660" t="s">
        <v>63</v>
      </c>
      <c r="AB1660">
        <v>10398649</v>
      </c>
      <c r="AC1660" t="s">
        <v>67</v>
      </c>
      <c r="AD1660" t="s">
        <v>63</v>
      </c>
      <c r="AE1660" t="s">
        <v>63</v>
      </c>
      <c r="AF1660" t="s">
        <v>63</v>
      </c>
      <c r="AG1660" t="s">
        <v>14555</v>
      </c>
      <c r="AH1660" t="s">
        <v>63</v>
      </c>
      <c r="AI1660" t="s">
        <v>63</v>
      </c>
      <c r="AJ1660" t="s">
        <v>63</v>
      </c>
      <c r="AK1660" t="s">
        <v>63</v>
      </c>
      <c r="AL1660" t="s">
        <v>63</v>
      </c>
      <c r="AM1660" t="s">
        <v>14556</v>
      </c>
      <c r="AN1660" t="s">
        <v>63</v>
      </c>
      <c r="AO1660" t="s">
        <v>63</v>
      </c>
      <c r="AP1660" t="s">
        <v>63</v>
      </c>
      <c r="AQ1660" t="s">
        <v>63</v>
      </c>
      <c r="AR1660" t="s">
        <v>63</v>
      </c>
      <c r="AS1660" t="s">
        <v>63</v>
      </c>
      <c r="AT1660" t="s">
        <v>63</v>
      </c>
      <c r="AU1660" t="s">
        <v>63</v>
      </c>
      <c r="AV1660" t="s">
        <v>63</v>
      </c>
      <c r="AW1660" t="s">
        <v>63</v>
      </c>
      <c r="AX1660" t="s">
        <v>63</v>
      </c>
      <c r="AY1660" t="s">
        <v>63</v>
      </c>
      <c r="AZ1660" t="s">
        <v>63</v>
      </c>
      <c r="BA1660" t="s">
        <v>63</v>
      </c>
      <c r="BB1660" t="s">
        <v>63</v>
      </c>
      <c r="BC1660" t="s">
        <v>63</v>
      </c>
      <c r="BD1660" t="s">
        <v>63</v>
      </c>
      <c r="BE1660" t="s">
        <v>63</v>
      </c>
      <c r="BF1660" t="s">
        <v>63</v>
      </c>
    </row>
    <row r="1661" spans="1:58">
      <c r="A1661" t="s">
        <v>58</v>
      </c>
      <c r="B1661" t="s">
        <v>14557</v>
      </c>
      <c r="C1661" t="s">
        <v>14558</v>
      </c>
      <c r="D1661" t="s">
        <v>2576</v>
      </c>
      <c r="E1661" t="s">
        <v>2577</v>
      </c>
      <c r="F1661">
        <v>1971</v>
      </c>
      <c r="G1661" s="1">
        <v>41726</v>
      </c>
      <c r="H1661">
        <v>178</v>
      </c>
      <c r="I1661" t="s">
        <v>63</v>
      </c>
      <c r="J1661">
        <v>28</v>
      </c>
      <c r="K1661">
        <v>31</v>
      </c>
      <c r="L1661" t="s">
        <v>14559</v>
      </c>
      <c r="M1661" t="s">
        <v>63</v>
      </c>
      <c r="N1661" t="s">
        <v>14560</v>
      </c>
      <c r="O1661" t="s">
        <v>63</v>
      </c>
      <c r="Q1661" t="s">
        <v>63</v>
      </c>
      <c r="R1661" t="s">
        <v>63</v>
      </c>
      <c r="S1661" t="s">
        <v>63</v>
      </c>
      <c r="T1661" t="s">
        <v>63</v>
      </c>
      <c r="X1661" t="s">
        <v>63</v>
      </c>
      <c r="Y1661" t="s">
        <v>2580</v>
      </c>
      <c r="Z1661" t="s">
        <v>63</v>
      </c>
      <c r="AA1661" t="s">
        <v>63</v>
      </c>
      <c r="AB1661">
        <v>5282649</v>
      </c>
      <c r="AC1661" t="s">
        <v>67</v>
      </c>
      <c r="AD1661" t="s">
        <v>63</v>
      </c>
      <c r="AE1661" t="s">
        <v>63</v>
      </c>
      <c r="AF1661" t="s">
        <v>63</v>
      </c>
      <c r="AG1661" t="s">
        <v>14561</v>
      </c>
      <c r="AH1661" t="s">
        <v>63</v>
      </c>
      <c r="AI1661" t="s">
        <v>63</v>
      </c>
      <c r="AJ1661" t="s">
        <v>63</v>
      </c>
      <c r="AK1661" t="s">
        <v>63</v>
      </c>
      <c r="AL1661" t="s">
        <v>63</v>
      </c>
      <c r="AM1661" t="s">
        <v>14562</v>
      </c>
      <c r="AN1661" t="s">
        <v>63</v>
      </c>
      <c r="AO1661" t="s">
        <v>63</v>
      </c>
      <c r="AP1661" t="s">
        <v>63</v>
      </c>
      <c r="AQ1661" t="s">
        <v>63</v>
      </c>
      <c r="AR1661" t="s">
        <v>63</v>
      </c>
      <c r="AS1661" t="s">
        <v>63</v>
      </c>
      <c r="AT1661" t="s">
        <v>63</v>
      </c>
      <c r="AU1661" t="s">
        <v>63</v>
      </c>
      <c r="AV1661" t="s">
        <v>63</v>
      </c>
      <c r="AW1661" t="s">
        <v>63</v>
      </c>
      <c r="AX1661" t="s">
        <v>63</v>
      </c>
      <c r="AY1661" t="s">
        <v>63</v>
      </c>
      <c r="AZ1661" t="s">
        <v>63</v>
      </c>
      <c r="BA1661" t="s">
        <v>63</v>
      </c>
      <c r="BB1661" t="s">
        <v>63</v>
      </c>
      <c r="BC1661" t="s">
        <v>63</v>
      </c>
      <c r="BD1661" t="s">
        <v>63</v>
      </c>
      <c r="BE1661" t="s">
        <v>63</v>
      </c>
      <c r="BF1661" t="s">
        <v>63</v>
      </c>
    </row>
    <row r="1662" spans="1:58">
      <c r="A1662" t="s">
        <v>58</v>
      </c>
      <c r="B1662" t="s">
        <v>14563</v>
      </c>
      <c r="C1662" t="s">
        <v>14564</v>
      </c>
      <c r="D1662" t="s">
        <v>381</v>
      </c>
      <c r="E1662" t="s">
        <v>63</v>
      </c>
      <c r="F1662">
        <v>1975</v>
      </c>
      <c r="G1662" t="s">
        <v>181</v>
      </c>
      <c r="H1662">
        <v>58</v>
      </c>
      <c r="I1662">
        <v>9</v>
      </c>
      <c r="J1662">
        <v>393</v>
      </c>
      <c r="K1662" t="s">
        <v>14565</v>
      </c>
      <c r="L1662" t="s">
        <v>14566</v>
      </c>
      <c r="M1662" t="s">
        <v>63</v>
      </c>
      <c r="N1662" t="s">
        <v>14567</v>
      </c>
      <c r="O1662" t="s">
        <v>63</v>
      </c>
      <c r="Q1662" t="s">
        <v>63</v>
      </c>
      <c r="R1662" t="s">
        <v>63</v>
      </c>
      <c r="S1662" t="s">
        <v>63</v>
      </c>
      <c r="T1662" t="s">
        <v>63</v>
      </c>
      <c r="X1662" t="s">
        <v>63</v>
      </c>
      <c r="Y1662" t="s">
        <v>384</v>
      </c>
      <c r="Z1662" t="s">
        <v>63</v>
      </c>
      <c r="AA1662" t="s">
        <v>63</v>
      </c>
      <c r="AB1662">
        <v>127376</v>
      </c>
      <c r="AC1662" t="s">
        <v>67</v>
      </c>
      <c r="AD1662" t="s">
        <v>63</v>
      </c>
      <c r="AE1662" t="s">
        <v>63</v>
      </c>
      <c r="AF1662" t="s">
        <v>63</v>
      </c>
      <c r="AG1662" t="s">
        <v>14568</v>
      </c>
      <c r="AH1662" t="s">
        <v>63</v>
      </c>
      <c r="AI1662" t="s">
        <v>63</v>
      </c>
      <c r="AJ1662" t="s">
        <v>63</v>
      </c>
      <c r="AK1662" t="s">
        <v>63</v>
      </c>
      <c r="AL1662" t="s">
        <v>63</v>
      </c>
      <c r="AM1662" t="s">
        <v>14569</v>
      </c>
      <c r="AN1662" t="s">
        <v>63</v>
      </c>
      <c r="AO1662" t="s">
        <v>63</v>
      </c>
      <c r="AP1662" t="s">
        <v>63</v>
      </c>
      <c r="AQ1662" t="s">
        <v>63</v>
      </c>
      <c r="AR1662" t="s">
        <v>63</v>
      </c>
      <c r="AS1662" t="s">
        <v>63</v>
      </c>
      <c r="AT1662" t="s">
        <v>63</v>
      </c>
      <c r="AU1662" t="s">
        <v>63</v>
      </c>
      <c r="AV1662" t="s">
        <v>63</v>
      </c>
      <c r="AW1662" t="s">
        <v>63</v>
      </c>
      <c r="AX1662" t="s">
        <v>63</v>
      </c>
      <c r="AY1662" t="s">
        <v>63</v>
      </c>
      <c r="AZ1662" t="s">
        <v>63</v>
      </c>
      <c r="BA1662" t="s">
        <v>63</v>
      </c>
      <c r="BB1662" t="s">
        <v>63</v>
      </c>
      <c r="BC1662" t="s">
        <v>63</v>
      </c>
      <c r="BD1662" t="s">
        <v>63</v>
      </c>
      <c r="BE1662" t="s">
        <v>63</v>
      </c>
      <c r="BF1662" t="s">
        <v>63</v>
      </c>
    </row>
    <row r="1663" spans="1:58">
      <c r="A1663" t="s">
        <v>58</v>
      </c>
      <c r="B1663" t="s">
        <v>14570</v>
      </c>
      <c r="C1663" t="s">
        <v>14571</v>
      </c>
      <c r="D1663" t="s">
        <v>1240</v>
      </c>
      <c r="E1663" t="s">
        <v>63</v>
      </c>
      <c r="F1663">
        <v>2006</v>
      </c>
      <c r="G1663" t="s">
        <v>84</v>
      </c>
      <c r="H1663">
        <v>56</v>
      </c>
      <c r="I1663">
        <v>525</v>
      </c>
      <c r="J1663">
        <v>301</v>
      </c>
      <c r="K1663">
        <v>302</v>
      </c>
      <c r="L1663" t="s">
        <v>14572</v>
      </c>
      <c r="M1663" t="s">
        <v>63</v>
      </c>
      <c r="N1663" t="s">
        <v>14573</v>
      </c>
      <c r="O1663" t="s">
        <v>63</v>
      </c>
      <c r="Q1663" t="s">
        <v>63</v>
      </c>
      <c r="R1663" t="s">
        <v>63</v>
      </c>
      <c r="S1663" t="s">
        <v>63</v>
      </c>
      <c r="T1663" t="s">
        <v>63</v>
      </c>
      <c r="X1663" t="s">
        <v>63</v>
      </c>
      <c r="Y1663" t="s">
        <v>2376</v>
      </c>
      <c r="Z1663" t="s">
        <v>63</v>
      </c>
      <c r="AA1663" t="s">
        <v>63</v>
      </c>
      <c r="AB1663">
        <v>16611521</v>
      </c>
      <c r="AC1663" t="s">
        <v>67</v>
      </c>
      <c r="AD1663" t="s">
        <v>63</v>
      </c>
      <c r="AE1663" t="s">
        <v>63</v>
      </c>
      <c r="AF1663" t="s">
        <v>63</v>
      </c>
      <c r="AG1663" t="s">
        <v>14574</v>
      </c>
      <c r="AH1663" t="s">
        <v>63</v>
      </c>
      <c r="AI1663" t="s">
        <v>63</v>
      </c>
      <c r="AJ1663" t="s">
        <v>63</v>
      </c>
      <c r="AK1663" t="s">
        <v>63</v>
      </c>
      <c r="AL1663" t="s">
        <v>63</v>
      </c>
      <c r="AM1663" t="s">
        <v>14575</v>
      </c>
      <c r="AN1663" t="s">
        <v>63</v>
      </c>
      <c r="AO1663" t="s">
        <v>63</v>
      </c>
      <c r="AP1663" t="s">
        <v>63</v>
      </c>
      <c r="AQ1663" t="s">
        <v>63</v>
      </c>
      <c r="AR1663" t="s">
        <v>63</v>
      </c>
      <c r="AS1663" t="s">
        <v>63</v>
      </c>
      <c r="AT1663" t="s">
        <v>63</v>
      </c>
      <c r="AU1663" t="s">
        <v>63</v>
      </c>
      <c r="AV1663" t="s">
        <v>63</v>
      </c>
      <c r="AW1663" t="s">
        <v>63</v>
      </c>
      <c r="AX1663" t="s">
        <v>63</v>
      </c>
      <c r="AY1663" t="s">
        <v>63</v>
      </c>
      <c r="AZ1663" t="s">
        <v>63</v>
      </c>
      <c r="BA1663" t="s">
        <v>63</v>
      </c>
      <c r="BB1663" t="s">
        <v>63</v>
      </c>
      <c r="BC1663" t="s">
        <v>63</v>
      </c>
      <c r="BD1663" t="s">
        <v>63</v>
      </c>
      <c r="BE1663" t="s">
        <v>63</v>
      </c>
      <c r="BF1663" t="s">
        <v>63</v>
      </c>
    </row>
    <row r="1664" spans="1:58">
      <c r="A1664" t="s">
        <v>58</v>
      </c>
      <c r="B1664" t="s">
        <v>14576</v>
      </c>
      <c r="C1664" t="s">
        <v>14577</v>
      </c>
      <c r="D1664" t="s">
        <v>574</v>
      </c>
      <c r="E1664" t="s">
        <v>63</v>
      </c>
      <c r="F1664">
        <v>2014</v>
      </c>
      <c r="G1664" t="s">
        <v>181</v>
      </c>
      <c r="H1664">
        <v>15</v>
      </c>
      <c r="I1664">
        <v>9</v>
      </c>
      <c r="J1664">
        <v>1558</v>
      </c>
      <c r="K1664">
        <v>1568</v>
      </c>
      <c r="L1664" t="s">
        <v>14578</v>
      </c>
      <c r="M1664" t="s">
        <v>14579</v>
      </c>
      <c r="N1664" t="s">
        <v>14580</v>
      </c>
      <c r="O1664" t="s">
        <v>63</v>
      </c>
      <c r="Q1664" t="s">
        <v>63</v>
      </c>
      <c r="R1664" t="s">
        <v>63</v>
      </c>
      <c r="S1664" t="s">
        <v>63</v>
      </c>
      <c r="T1664" t="s">
        <v>63</v>
      </c>
      <c r="X1664" t="s">
        <v>63</v>
      </c>
      <c r="Y1664" t="s">
        <v>578</v>
      </c>
      <c r="Z1664" t="s">
        <v>63</v>
      </c>
      <c r="AA1664" t="s">
        <v>14581</v>
      </c>
      <c r="AB1664">
        <v>24828968</v>
      </c>
      <c r="AC1664" t="s">
        <v>67</v>
      </c>
      <c r="AD1664" t="s">
        <v>63</v>
      </c>
      <c r="AE1664" t="s">
        <v>63</v>
      </c>
      <c r="AF1664" t="s">
        <v>63</v>
      </c>
      <c r="AG1664" t="s">
        <v>14582</v>
      </c>
      <c r="AH1664" t="s">
        <v>63</v>
      </c>
      <c r="AI1664" t="s">
        <v>14583</v>
      </c>
      <c r="AJ1664" t="s">
        <v>63</v>
      </c>
      <c r="AK1664" t="s">
        <v>63</v>
      </c>
      <c r="AL1664" t="s">
        <v>63</v>
      </c>
      <c r="AM1664" t="s">
        <v>14584</v>
      </c>
      <c r="AN1664" t="s">
        <v>63</v>
      </c>
      <c r="AO1664" t="s">
        <v>63</v>
      </c>
      <c r="AP1664" t="s">
        <v>63</v>
      </c>
      <c r="AQ1664" t="s">
        <v>63</v>
      </c>
      <c r="AR1664" t="s">
        <v>63</v>
      </c>
      <c r="AS1664" t="s">
        <v>63</v>
      </c>
      <c r="AT1664" t="s">
        <v>63</v>
      </c>
      <c r="AU1664" t="s">
        <v>63</v>
      </c>
      <c r="AV1664" t="s">
        <v>63</v>
      </c>
      <c r="AW1664" t="s">
        <v>63</v>
      </c>
      <c r="AX1664" t="s">
        <v>63</v>
      </c>
      <c r="AY1664" t="s">
        <v>63</v>
      </c>
      <c r="AZ1664" t="s">
        <v>63</v>
      </c>
      <c r="BA1664" t="s">
        <v>63</v>
      </c>
      <c r="BB1664" t="s">
        <v>63</v>
      </c>
      <c r="BC1664" t="s">
        <v>63</v>
      </c>
      <c r="BD1664" t="s">
        <v>63</v>
      </c>
      <c r="BE1664" t="s">
        <v>63</v>
      </c>
      <c r="BF1664" t="s">
        <v>63</v>
      </c>
    </row>
    <row r="1665" spans="1:58">
      <c r="A1665" t="s">
        <v>58</v>
      </c>
      <c r="B1665" t="s">
        <v>14585</v>
      </c>
      <c r="C1665" t="s">
        <v>14586</v>
      </c>
      <c r="D1665" t="s">
        <v>137</v>
      </c>
      <c r="E1665" t="s">
        <v>63</v>
      </c>
      <c r="F1665">
        <v>1994</v>
      </c>
      <c r="G1665" t="s">
        <v>181</v>
      </c>
      <c r="H1665">
        <v>40</v>
      </c>
      <c r="I1665" t="s">
        <v>63</v>
      </c>
      <c r="J1665">
        <v>1492</v>
      </c>
      <c r="K1665" t="s">
        <v>14587</v>
      </c>
      <c r="L1665" t="s">
        <v>14588</v>
      </c>
      <c r="M1665" t="s">
        <v>63</v>
      </c>
      <c r="N1665" t="s">
        <v>14589</v>
      </c>
      <c r="O1665" t="s">
        <v>63</v>
      </c>
      <c r="Q1665" t="s">
        <v>63</v>
      </c>
      <c r="R1665" t="s">
        <v>63</v>
      </c>
      <c r="S1665" t="s">
        <v>63</v>
      </c>
      <c r="T1665" t="s">
        <v>63</v>
      </c>
      <c r="X1665" t="s">
        <v>63</v>
      </c>
      <c r="Y1665" t="s">
        <v>141</v>
      </c>
      <c r="Z1665" t="s">
        <v>63</v>
      </c>
      <c r="AA1665" t="s">
        <v>63</v>
      </c>
      <c r="AB1665">
        <v>7920035</v>
      </c>
      <c r="AC1665" t="s">
        <v>2641</v>
      </c>
      <c r="AD1665" t="s">
        <v>63</v>
      </c>
      <c r="AE1665" t="s">
        <v>63</v>
      </c>
      <c r="AF1665" t="s">
        <v>63</v>
      </c>
      <c r="AG1665" t="s">
        <v>14590</v>
      </c>
      <c r="AH1665" t="s">
        <v>63</v>
      </c>
      <c r="AI1665" t="s">
        <v>63</v>
      </c>
      <c r="AJ1665" t="s">
        <v>63</v>
      </c>
      <c r="AK1665" t="s">
        <v>63</v>
      </c>
      <c r="AL1665" t="s">
        <v>63</v>
      </c>
      <c r="AM1665" t="s">
        <v>14591</v>
      </c>
      <c r="AN1665" t="s">
        <v>63</v>
      </c>
      <c r="AO1665" t="s">
        <v>63</v>
      </c>
      <c r="AP1665" t="s">
        <v>63</v>
      </c>
      <c r="AQ1665" t="s">
        <v>63</v>
      </c>
      <c r="AR1665" t="s">
        <v>63</v>
      </c>
      <c r="AS1665" t="s">
        <v>63</v>
      </c>
      <c r="AT1665" t="s">
        <v>63</v>
      </c>
      <c r="AU1665" t="s">
        <v>63</v>
      </c>
      <c r="AV1665" t="s">
        <v>63</v>
      </c>
      <c r="AW1665" t="s">
        <v>63</v>
      </c>
      <c r="AX1665" t="s">
        <v>63</v>
      </c>
      <c r="AY1665" t="s">
        <v>63</v>
      </c>
      <c r="AZ1665" t="s">
        <v>63</v>
      </c>
      <c r="BA1665" t="s">
        <v>63</v>
      </c>
      <c r="BB1665" t="s">
        <v>63</v>
      </c>
      <c r="BC1665" t="s">
        <v>63</v>
      </c>
      <c r="BD1665" t="s">
        <v>63</v>
      </c>
      <c r="BE1665" t="s">
        <v>63</v>
      </c>
      <c r="BF1665" t="s">
        <v>63</v>
      </c>
    </row>
    <row r="1666" spans="1:58">
      <c r="A1666" t="s">
        <v>58</v>
      </c>
      <c r="B1666" t="s">
        <v>14592</v>
      </c>
      <c r="C1666" t="s">
        <v>14593</v>
      </c>
      <c r="D1666" t="s">
        <v>180</v>
      </c>
      <c r="E1666" t="s">
        <v>63</v>
      </c>
      <c r="F1666">
        <v>2011</v>
      </c>
      <c r="G1666" t="s">
        <v>1085</v>
      </c>
      <c r="H1666">
        <v>46</v>
      </c>
      <c r="I1666">
        <v>5</v>
      </c>
      <c r="J1666">
        <v>570</v>
      </c>
      <c r="K1666">
        <v>577</v>
      </c>
      <c r="L1666" t="s">
        <v>14594</v>
      </c>
      <c r="M1666" t="s">
        <v>14595</v>
      </c>
      <c r="N1666" t="s">
        <v>14596</v>
      </c>
      <c r="O1666" t="s">
        <v>63</v>
      </c>
      <c r="Q1666" t="s">
        <v>63</v>
      </c>
      <c r="R1666" t="s">
        <v>63</v>
      </c>
      <c r="S1666" t="s">
        <v>63</v>
      </c>
      <c r="T1666" t="s">
        <v>63</v>
      </c>
      <c r="X1666" t="s">
        <v>63</v>
      </c>
      <c r="Y1666" t="s">
        <v>11717</v>
      </c>
      <c r="Z1666" t="s">
        <v>63</v>
      </c>
      <c r="AA1666" t="s">
        <v>14597</v>
      </c>
      <c r="AB1666">
        <v>21690169</v>
      </c>
      <c r="AC1666" t="s">
        <v>67</v>
      </c>
      <c r="AD1666" t="s">
        <v>63</v>
      </c>
      <c r="AE1666" t="s">
        <v>63</v>
      </c>
      <c r="AF1666" t="s">
        <v>63</v>
      </c>
      <c r="AG1666" t="s">
        <v>14598</v>
      </c>
      <c r="AH1666" t="s">
        <v>63</v>
      </c>
      <c r="AI1666" t="s">
        <v>14599</v>
      </c>
      <c r="AJ1666" t="s">
        <v>63</v>
      </c>
      <c r="AK1666" t="s">
        <v>63</v>
      </c>
      <c r="AL1666" t="s">
        <v>63</v>
      </c>
      <c r="AM1666" t="s">
        <v>14600</v>
      </c>
      <c r="AN1666" t="s">
        <v>63</v>
      </c>
      <c r="AO1666" t="s">
        <v>63</v>
      </c>
      <c r="AP1666" t="s">
        <v>63</v>
      </c>
      <c r="AQ1666" t="s">
        <v>63</v>
      </c>
      <c r="AR1666" t="s">
        <v>63</v>
      </c>
      <c r="AS1666" t="s">
        <v>63</v>
      </c>
      <c r="AT1666" t="s">
        <v>63</v>
      </c>
      <c r="AU1666" t="s">
        <v>63</v>
      </c>
      <c r="AV1666" t="s">
        <v>63</v>
      </c>
      <c r="AW1666" t="s">
        <v>63</v>
      </c>
      <c r="AX1666" t="s">
        <v>63</v>
      </c>
      <c r="AY1666" t="s">
        <v>63</v>
      </c>
      <c r="AZ1666" t="s">
        <v>63</v>
      </c>
      <c r="BA1666" t="s">
        <v>63</v>
      </c>
      <c r="BB1666" t="s">
        <v>63</v>
      </c>
      <c r="BC1666" t="s">
        <v>63</v>
      </c>
      <c r="BD1666" t="s">
        <v>63</v>
      </c>
      <c r="BE1666" t="s">
        <v>63</v>
      </c>
      <c r="BF1666" t="s">
        <v>63</v>
      </c>
    </row>
    <row r="1667" spans="1:58">
      <c r="A1667" t="s">
        <v>58</v>
      </c>
      <c r="B1667" t="s">
        <v>14601</v>
      </c>
      <c r="C1667" t="s">
        <v>14602</v>
      </c>
      <c r="D1667" t="s">
        <v>14603</v>
      </c>
      <c r="E1667" t="s">
        <v>14603</v>
      </c>
      <c r="F1667">
        <v>2008</v>
      </c>
      <c r="G1667" t="s">
        <v>73</v>
      </c>
      <c r="H1667">
        <v>63</v>
      </c>
      <c r="I1667">
        <v>6</v>
      </c>
      <c r="J1667">
        <v>616</v>
      </c>
      <c r="K1667">
        <v>620</v>
      </c>
      <c r="L1667" t="s">
        <v>14604</v>
      </c>
      <c r="M1667" t="s">
        <v>14605</v>
      </c>
      <c r="N1667" t="s">
        <v>14606</v>
      </c>
      <c r="O1667" t="s">
        <v>63</v>
      </c>
      <c r="Q1667" t="s">
        <v>63</v>
      </c>
      <c r="R1667" t="s">
        <v>63</v>
      </c>
      <c r="S1667" t="s">
        <v>63</v>
      </c>
      <c r="T1667" t="s">
        <v>63</v>
      </c>
      <c r="X1667" t="s">
        <v>63</v>
      </c>
      <c r="Y1667" t="s">
        <v>14607</v>
      </c>
      <c r="Z1667" t="s">
        <v>63</v>
      </c>
      <c r="AA1667" t="s">
        <v>14608</v>
      </c>
      <c r="AB1667">
        <v>18477273</v>
      </c>
      <c r="AC1667" t="s">
        <v>67</v>
      </c>
      <c r="AD1667" t="s">
        <v>63</v>
      </c>
      <c r="AE1667" t="s">
        <v>63</v>
      </c>
      <c r="AF1667" t="s">
        <v>63</v>
      </c>
      <c r="AG1667" t="s">
        <v>14609</v>
      </c>
      <c r="AH1667" t="s">
        <v>63</v>
      </c>
      <c r="AI1667" t="s">
        <v>14610</v>
      </c>
      <c r="AJ1667" t="s">
        <v>63</v>
      </c>
      <c r="AK1667" t="s">
        <v>63</v>
      </c>
      <c r="AL1667" t="s">
        <v>63</v>
      </c>
      <c r="AM1667" t="s">
        <v>14611</v>
      </c>
      <c r="AN1667" t="s">
        <v>63</v>
      </c>
      <c r="AO1667" t="s">
        <v>63</v>
      </c>
      <c r="AP1667" t="s">
        <v>63</v>
      </c>
      <c r="AQ1667" t="s">
        <v>63</v>
      </c>
      <c r="AR1667" t="s">
        <v>63</v>
      </c>
      <c r="AS1667" t="s">
        <v>63</v>
      </c>
      <c r="AT1667" t="s">
        <v>63</v>
      </c>
      <c r="AU1667" t="s">
        <v>63</v>
      </c>
      <c r="AV1667" t="s">
        <v>63</v>
      </c>
      <c r="AW1667" t="s">
        <v>63</v>
      </c>
      <c r="AX1667" t="s">
        <v>63</v>
      </c>
      <c r="AY1667" t="s">
        <v>63</v>
      </c>
      <c r="AZ1667" t="s">
        <v>63</v>
      </c>
      <c r="BA1667" t="s">
        <v>63</v>
      </c>
      <c r="BB1667" t="s">
        <v>63</v>
      </c>
      <c r="BC1667" t="s">
        <v>63</v>
      </c>
      <c r="BD1667" t="s">
        <v>63</v>
      </c>
      <c r="BE1667" t="s">
        <v>63</v>
      </c>
      <c r="BF1667" t="s">
        <v>63</v>
      </c>
    </row>
    <row r="1668" spans="1:58">
      <c r="A1668" t="s">
        <v>58</v>
      </c>
      <c r="B1668" t="s">
        <v>14612</v>
      </c>
      <c r="C1668" t="s">
        <v>14613</v>
      </c>
      <c r="D1668" t="s">
        <v>90</v>
      </c>
      <c r="E1668" t="s">
        <v>63</v>
      </c>
      <c r="F1668">
        <v>2002</v>
      </c>
      <c r="G1668" t="s">
        <v>63</v>
      </c>
      <c r="H1668">
        <v>21</v>
      </c>
      <c r="I1668">
        <v>3</v>
      </c>
      <c r="J1668">
        <v>87</v>
      </c>
      <c r="K1668">
        <v>99</v>
      </c>
      <c r="L1668" t="s">
        <v>14614</v>
      </c>
      <c r="M1668" t="s">
        <v>14615</v>
      </c>
      <c r="N1668" t="s">
        <v>14616</v>
      </c>
      <c r="O1668" t="s">
        <v>63</v>
      </c>
      <c r="Q1668" t="s">
        <v>63</v>
      </c>
      <c r="R1668" t="s">
        <v>63</v>
      </c>
      <c r="S1668" t="s">
        <v>63</v>
      </c>
      <c r="T1668" t="s">
        <v>63</v>
      </c>
      <c r="X1668" t="s">
        <v>63</v>
      </c>
      <c r="Y1668" t="s">
        <v>93</v>
      </c>
      <c r="Z1668" t="s">
        <v>63</v>
      </c>
      <c r="AA1668" t="s">
        <v>14617</v>
      </c>
      <c r="AB1668">
        <v>12095002</v>
      </c>
      <c r="AC1668" t="s">
        <v>67</v>
      </c>
      <c r="AD1668" t="s">
        <v>63</v>
      </c>
      <c r="AE1668" t="s">
        <v>63</v>
      </c>
      <c r="AF1668" t="s">
        <v>63</v>
      </c>
      <c r="AG1668" t="s">
        <v>14618</v>
      </c>
      <c r="AH1668" t="s">
        <v>63</v>
      </c>
      <c r="AI1668" t="s">
        <v>63</v>
      </c>
      <c r="AJ1668" t="s">
        <v>63</v>
      </c>
      <c r="AK1668" t="s">
        <v>63</v>
      </c>
      <c r="AL1668" t="s">
        <v>63</v>
      </c>
      <c r="AM1668" t="s">
        <v>14619</v>
      </c>
      <c r="AN1668" t="s">
        <v>63</v>
      </c>
      <c r="AO1668" t="s">
        <v>63</v>
      </c>
      <c r="AP1668" t="s">
        <v>63</v>
      </c>
      <c r="AQ1668" t="s">
        <v>63</v>
      </c>
      <c r="AR1668" t="s">
        <v>63</v>
      </c>
      <c r="AS1668" t="s">
        <v>63</v>
      </c>
      <c r="AT1668" t="s">
        <v>63</v>
      </c>
      <c r="AU1668" t="s">
        <v>63</v>
      </c>
      <c r="AV1668" t="s">
        <v>63</v>
      </c>
      <c r="AW1668" t="s">
        <v>63</v>
      </c>
      <c r="AX1668" t="s">
        <v>63</v>
      </c>
      <c r="AY1668" t="s">
        <v>63</v>
      </c>
      <c r="AZ1668" t="s">
        <v>63</v>
      </c>
      <c r="BA1668" t="s">
        <v>63</v>
      </c>
      <c r="BB1668" t="s">
        <v>63</v>
      </c>
      <c r="BC1668" t="s">
        <v>63</v>
      </c>
      <c r="BD1668" t="s">
        <v>63</v>
      </c>
      <c r="BE1668" t="s">
        <v>63</v>
      </c>
      <c r="BF1668" t="s">
        <v>63</v>
      </c>
    </row>
    <row r="1669" spans="1:58">
      <c r="A1669" t="s">
        <v>58</v>
      </c>
      <c r="B1669" t="s">
        <v>14620</v>
      </c>
      <c r="C1669" t="s">
        <v>14621</v>
      </c>
      <c r="D1669" t="s">
        <v>1439</v>
      </c>
      <c r="E1669" t="s">
        <v>1439</v>
      </c>
      <c r="F1669">
        <v>2002</v>
      </c>
      <c r="G1669" s="1">
        <v>41935</v>
      </c>
      <c r="H1669">
        <v>99</v>
      </c>
      <c r="I1669">
        <v>43</v>
      </c>
      <c r="J1669">
        <v>4256</v>
      </c>
      <c r="K1669">
        <v>4258</v>
      </c>
      <c r="L1669" t="s">
        <v>14622</v>
      </c>
      <c r="M1669" t="s">
        <v>63</v>
      </c>
      <c r="N1669" t="s">
        <v>14623</v>
      </c>
      <c r="O1669" t="s">
        <v>63</v>
      </c>
      <c r="Q1669" t="s">
        <v>63</v>
      </c>
      <c r="R1669" t="s">
        <v>63</v>
      </c>
      <c r="S1669" t="s">
        <v>63</v>
      </c>
      <c r="T1669" t="s">
        <v>63</v>
      </c>
      <c r="X1669" t="s">
        <v>63</v>
      </c>
      <c r="Y1669" t="s">
        <v>1442</v>
      </c>
      <c r="Z1669" t="s">
        <v>63</v>
      </c>
      <c r="AA1669" t="s">
        <v>14624</v>
      </c>
      <c r="AB1669">
        <v>12448310</v>
      </c>
      <c r="AC1669" t="s">
        <v>1444</v>
      </c>
      <c r="AD1669" t="s">
        <v>63</v>
      </c>
      <c r="AE1669" t="s">
        <v>63</v>
      </c>
      <c r="AF1669" t="s">
        <v>63</v>
      </c>
      <c r="AG1669" t="s">
        <v>14625</v>
      </c>
      <c r="AH1669" t="s">
        <v>63</v>
      </c>
      <c r="AI1669" t="s">
        <v>63</v>
      </c>
      <c r="AJ1669" t="s">
        <v>63</v>
      </c>
      <c r="AK1669" t="s">
        <v>63</v>
      </c>
      <c r="AL1669" t="s">
        <v>63</v>
      </c>
      <c r="AM1669" t="s">
        <v>14626</v>
      </c>
      <c r="AN1669" t="s">
        <v>63</v>
      </c>
      <c r="AO1669" t="s">
        <v>63</v>
      </c>
      <c r="AP1669" t="s">
        <v>63</v>
      </c>
      <c r="AQ1669" t="s">
        <v>63</v>
      </c>
      <c r="AR1669" t="s">
        <v>63</v>
      </c>
      <c r="AS1669" t="s">
        <v>63</v>
      </c>
      <c r="AT1669" t="s">
        <v>63</v>
      </c>
      <c r="AU1669" t="s">
        <v>63</v>
      </c>
      <c r="AV1669" t="s">
        <v>63</v>
      </c>
      <c r="AW1669" t="s">
        <v>63</v>
      </c>
      <c r="AX1669" t="s">
        <v>63</v>
      </c>
      <c r="AY1669" t="s">
        <v>63</v>
      </c>
      <c r="AZ1669" t="s">
        <v>63</v>
      </c>
      <c r="BA1669" t="s">
        <v>63</v>
      </c>
      <c r="BB1669" t="s">
        <v>63</v>
      </c>
      <c r="BC1669" t="s">
        <v>63</v>
      </c>
      <c r="BD1669" t="s">
        <v>63</v>
      </c>
      <c r="BE1669" t="s">
        <v>63</v>
      </c>
      <c r="BF1669" t="s">
        <v>63</v>
      </c>
    </row>
    <row r="1670" spans="1:58">
      <c r="A1670" t="s">
        <v>58</v>
      </c>
      <c r="B1670" t="s">
        <v>14627</v>
      </c>
      <c r="C1670" t="s">
        <v>14628</v>
      </c>
      <c r="D1670" t="s">
        <v>389</v>
      </c>
      <c r="E1670" t="s">
        <v>63</v>
      </c>
      <c r="F1670">
        <v>2017</v>
      </c>
      <c r="G1670" t="s">
        <v>338</v>
      </c>
      <c r="H1670">
        <v>38</v>
      </c>
      <c r="I1670">
        <v>2</v>
      </c>
      <c r="J1670">
        <v>135</v>
      </c>
      <c r="K1670">
        <v>140</v>
      </c>
      <c r="L1670" t="s">
        <v>14629</v>
      </c>
      <c r="M1670" t="s">
        <v>14630</v>
      </c>
      <c r="N1670" t="s">
        <v>14631</v>
      </c>
      <c r="O1670" t="s">
        <v>63</v>
      </c>
      <c r="Q1670" t="s">
        <v>63</v>
      </c>
      <c r="R1670" t="s">
        <v>63</v>
      </c>
      <c r="S1670" t="s">
        <v>63</v>
      </c>
      <c r="T1670" t="s">
        <v>63</v>
      </c>
      <c r="X1670" t="s">
        <v>63</v>
      </c>
      <c r="Y1670" t="s">
        <v>556</v>
      </c>
      <c r="Z1670" t="s">
        <v>63</v>
      </c>
      <c r="AA1670" t="s">
        <v>14632</v>
      </c>
      <c r="AB1670">
        <v>28486076</v>
      </c>
      <c r="AC1670" t="s">
        <v>67</v>
      </c>
      <c r="AD1670" t="s">
        <v>63</v>
      </c>
      <c r="AE1670" t="s">
        <v>63</v>
      </c>
      <c r="AF1670" t="s">
        <v>63</v>
      </c>
      <c r="AG1670" t="s">
        <v>14633</v>
      </c>
      <c r="AH1670" t="s">
        <v>63</v>
      </c>
      <c r="AI1670" t="s">
        <v>14634</v>
      </c>
      <c r="AJ1670" t="s">
        <v>63</v>
      </c>
      <c r="AK1670" t="s">
        <v>63</v>
      </c>
      <c r="AL1670" t="s">
        <v>63</v>
      </c>
      <c r="AM1670" t="s">
        <v>14635</v>
      </c>
      <c r="AN1670" t="s">
        <v>63</v>
      </c>
      <c r="AO1670" t="s">
        <v>63</v>
      </c>
      <c r="AP1670" t="s">
        <v>63</v>
      </c>
      <c r="AQ1670" t="s">
        <v>63</v>
      </c>
      <c r="AR1670" t="s">
        <v>63</v>
      </c>
      <c r="AS1670" t="s">
        <v>63</v>
      </c>
      <c r="AT1670" t="s">
        <v>63</v>
      </c>
      <c r="AU1670" t="s">
        <v>63</v>
      </c>
      <c r="AV1670" t="s">
        <v>63</v>
      </c>
      <c r="AW1670" t="s">
        <v>63</v>
      </c>
      <c r="AX1670" t="s">
        <v>63</v>
      </c>
      <c r="AY1670" t="s">
        <v>63</v>
      </c>
      <c r="AZ1670" t="s">
        <v>63</v>
      </c>
      <c r="BA1670" t="s">
        <v>63</v>
      </c>
      <c r="BB1670" t="s">
        <v>63</v>
      </c>
      <c r="BC1670" t="s">
        <v>63</v>
      </c>
      <c r="BD1670" t="s">
        <v>63</v>
      </c>
      <c r="BE1670" t="s">
        <v>63</v>
      </c>
      <c r="BF1670" t="s">
        <v>63</v>
      </c>
    </row>
    <row r="1671" spans="1:58">
      <c r="A1671" t="s">
        <v>58</v>
      </c>
      <c r="B1671" t="s">
        <v>14636</v>
      </c>
      <c r="C1671" t="s">
        <v>14637</v>
      </c>
      <c r="D1671" t="s">
        <v>1417</v>
      </c>
      <c r="E1671" t="s">
        <v>63</v>
      </c>
      <c r="F1671">
        <v>2007</v>
      </c>
      <c r="G1671" t="s">
        <v>138</v>
      </c>
      <c r="H1671">
        <v>105</v>
      </c>
      <c r="I1671">
        <v>4</v>
      </c>
      <c r="J1671">
        <v>1066</v>
      </c>
      <c r="K1671" t="s">
        <v>14638</v>
      </c>
      <c r="L1671" t="s">
        <v>14639</v>
      </c>
      <c r="M1671" t="s">
        <v>14640</v>
      </c>
      <c r="N1671" t="s">
        <v>14641</v>
      </c>
      <c r="O1671" t="s">
        <v>63</v>
      </c>
      <c r="Q1671" t="s">
        <v>63</v>
      </c>
      <c r="R1671" t="s">
        <v>63</v>
      </c>
      <c r="S1671" t="s">
        <v>63</v>
      </c>
      <c r="T1671" t="s">
        <v>63</v>
      </c>
      <c r="X1671" t="s">
        <v>63</v>
      </c>
      <c r="Y1671" t="s">
        <v>1420</v>
      </c>
      <c r="Z1671" t="s">
        <v>63</v>
      </c>
      <c r="AA1671" t="s">
        <v>14642</v>
      </c>
      <c r="AB1671">
        <v>17898389</v>
      </c>
      <c r="AC1671" t="s">
        <v>67</v>
      </c>
      <c r="AD1671" t="s">
        <v>63</v>
      </c>
      <c r="AE1671" t="s">
        <v>63</v>
      </c>
      <c r="AF1671" t="s">
        <v>63</v>
      </c>
      <c r="AG1671" t="s">
        <v>14643</v>
      </c>
      <c r="AH1671" t="s">
        <v>63</v>
      </c>
      <c r="AI1671" t="s">
        <v>63</v>
      </c>
      <c r="AJ1671" t="s">
        <v>63</v>
      </c>
      <c r="AK1671" t="s">
        <v>63</v>
      </c>
      <c r="AL1671" t="s">
        <v>63</v>
      </c>
      <c r="AM1671" t="s">
        <v>14644</v>
      </c>
      <c r="AN1671" t="s">
        <v>63</v>
      </c>
      <c r="AO1671" t="s">
        <v>63</v>
      </c>
      <c r="AP1671" t="s">
        <v>63</v>
      </c>
      <c r="AQ1671" t="s">
        <v>63</v>
      </c>
      <c r="AR1671" t="s">
        <v>63</v>
      </c>
      <c r="AS1671" t="s">
        <v>63</v>
      </c>
      <c r="AT1671" t="s">
        <v>63</v>
      </c>
      <c r="AU1671" t="s">
        <v>63</v>
      </c>
      <c r="AV1671" t="s">
        <v>63</v>
      </c>
      <c r="AW1671" t="s">
        <v>63</v>
      </c>
      <c r="AX1671" t="s">
        <v>63</v>
      </c>
      <c r="AY1671" t="s">
        <v>63</v>
      </c>
      <c r="AZ1671" t="s">
        <v>63</v>
      </c>
      <c r="BA1671" t="s">
        <v>63</v>
      </c>
      <c r="BB1671" t="s">
        <v>63</v>
      </c>
      <c r="BC1671" t="s">
        <v>63</v>
      </c>
      <c r="BD1671" t="s">
        <v>63</v>
      </c>
      <c r="BE1671" t="s">
        <v>63</v>
      </c>
      <c r="BF1671" t="s">
        <v>63</v>
      </c>
    </row>
    <row r="1672" spans="1:58">
      <c r="A1672" t="s">
        <v>58</v>
      </c>
      <c r="B1672" t="s">
        <v>14645</v>
      </c>
      <c r="C1672" t="s">
        <v>14646</v>
      </c>
      <c r="D1672" t="s">
        <v>2593</v>
      </c>
      <c r="E1672" t="s">
        <v>63</v>
      </c>
      <c r="F1672">
        <v>2011</v>
      </c>
      <c r="G1672" t="s">
        <v>181</v>
      </c>
      <c r="H1672">
        <v>62</v>
      </c>
      <c r="I1672">
        <v>9</v>
      </c>
      <c r="J1672">
        <v>1007</v>
      </c>
      <c r="K1672">
        <v>1012</v>
      </c>
      <c r="L1672" t="s">
        <v>14647</v>
      </c>
      <c r="M1672" t="s">
        <v>14648</v>
      </c>
      <c r="N1672" t="s">
        <v>14649</v>
      </c>
      <c r="O1672" t="s">
        <v>63</v>
      </c>
      <c r="Q1672" t="s">
        <v>63</v>
      </c>
      <c r="R1672" t="s">
        <v>63</v>
      </c>
      <c r="S1672" t="s">
        <v>63</v>
      </c>
      <c r="T1672" t="s">
        <v>63</v>
      </c>
      <c r="X1672" t="s">
        <v>63</v>
      </c>
      <c r="Y1672" t="s">
        <v>2597</v>
      </c>
      <c r="Z1672" t="s">
        <v>63</v>
      </c>
      <c r="AA1672" t="s">
        <v>14650</v>
      </c>
      <c r="AB1672">
        <v>21885577</v>
      </c>
      <c r="AC1672" t="s">
        <v>67</v>
      </c>
      <c r="AD1672" t="s">
        <v>63</v>
      </c>
      <c r="AE1672" t="s">
        <v>63</v>
      </c>
      <c r="AF1672" t="s">
        <v>63</v>
      </c>
      <c r="AG1672" t="s">
        <v>14651</v>
      </c>
      <c r="AH1672" t="s">
        <v>63</v>
      </c>
      <c r="AI1672" t="s">
        <v>14652</v>
      </c>
      <c r="AJ1672" t="s">
        <v>63</v>
      </c>
      <c r="AK1672" t="s">
        <v>63</v>
      </c>
      <c r="AL1672" t="s">
        <v>63</v>
      </c>
      <c r="AM1672" t="s">
        <v>14653</v>
      </c>
      <c r="AN1672" t="s">
        <v>63</v>
      </c>
      <c r="AO1672" t="s">
        <v>63</v>
      </c>
      <c r="AP1672" t="s">
        <v>63</v>
      </c>
      <c r="AQ1672" t="s">
        <v>63</v>
      </c>
      <c r="AR1672" t="s">
        <v>63</v>
      </c>
      <c r="AS1672" t="s">
        <v>63</v>
      </c>
      <c r="AT1672" t="s">
        <v>63</v>
      </c>
      <c r="AU1672" t="s">
        <v>63</v>
      </c>
      <c r="AV1672" t="s">
        <v>63</v>
      </c>
      <c r="AW1672" t="s">
        <v>63</v>
      </c>
      <c r="AX1672" t="s">
        <v>63</v>
      </c>
      <c r="AY1672" t="s">
        <v>63</v>
      </c>
      <c r="AZ1672" t="s">
        <v>63</v>
      </c>
      <c r="BA1672" t="s">
        <v>63</v>
      </c>
      <c r="BB1672" t="s">
        <v>63</v>
      </c>
      <c r="BC1672" t="s">
        <v>63</v>
      </c>
      <c r="BD1672" t="s">
        <v>63</v>
      </c>
      <c r="BE1672" t="s">
        <v>63</v>
      </c>
      <c r="BF1672" t="s">
        <v>63</v>
      </c>
    </row>
    <row r="1673" spans="1:58">
      <c r="A1673" t="s">
        <v>58</v>
      </c>
      <c r="B1673" t="s">
        <v>14654</v>
      </c>
      <c r="C1673" t="s">
        <v>14655</v>
      </c>
      <c r="D1673" t="s">
        <v>690</v>
      </c>
      <c r="E1673" t="s">
        <v>63</v>
      </c>
      <c r="F1673">
        <v>2008</v>
      </c>
      <c r="G1673" t="s">
        <v>63</v>
      </c>
      <c r="H1673">
        <v>65</v>
      </c>
      <c r="I1673">
        <v>10</v>
      </c>
      <c r="J1673">
        <v>588</v>
      </c>
      <c r="K1673">
        <v>590</v>
      </c>
      <c r="L1673" t="s">
        <v>14656</v>
      </c>
      <c r="M1673" t="s">
        <v>14657</v>
      </c>
      <c r="N1673" t="s">
        <v>14658</v>
      </c>
      <c r="O1673" t="s">
        <v>63</v>
      </c>
      <c r="Q1673" t="s">
        <v>63</v>
      </c>
      <c r="R1673" t="s">
        <v>63</v>
      </c>
      <c r="S1673" t="s">
        <v>63</v>
      </c>
      <c r="T1673" t="s">
        <v>63</v>
      </c>
      <c r="X1673" t="s">
        <v>63</v>
      </c>
      <c r="Y1673" t="s">
        <v>694</v>
      </c>
      <c r="Z1673" t="s">
        <v>63</v>
      </c>
      <c r="AA1673" t="s">
        <v>14659</v>
      </c>
      <c r="AB1673">
        <v>19189555</v>
      </c>
      <c r="AC1673" t="s">
        <v>696</v>
      </c>
      <c r="AD1673" t="s">
        <v>63</v>
      </c>
      <c r="AE1673" t="s">
        <v>63</v>
      </c>
      <c r="AF1673" t="s">
        <v>63</v>
      </c>
      <c r="AG1673" t="s">
        <v>14660</v>
      </c>
      <c r="AH1673" t="s">
        <v>63</v>
      </c>
      <c r="AI1673" t="s">
        <v>63</v>
      </c>
      <c r="AJ1673" t="s">
        <v>63</v>
      </c>
      <c r="AK1673" t="s">
        <v>63</v>
      </c>
      <c r="AL1673" t="s">
        <v>63</v>
      </c>
      <c r="AM1673" t="s">
        <v>14661</v>
      </c>
      <c r="AN1673" t="s">
        <v>63</v>
      </c>
      <c r="AO1673" t="s">
        <v>63</v>
      </c>
      <c r="AP1673" t="s">
        <v>63</v>
      </c>
      <c r="AQ1673" t="s">
        <v>63</v>
      </c>
      <c r="AR1673" t="s">
        <v>63</v>
      </c>
      <c r="AS1673" t="s">
        <v>63</v>
      </c>
      <c r="AT1673" t="s">
        <v>63</v>
      </c>
      <c r="AU1673" t="s">
        <v>63</v>
      </c>
      <c r="AV1673" t="s">
        <v>63</v>
      </c>
      <c r="AW1673" t="s">
        <v>63</v>
      </c>
      <c r="AX1673" t="s">
        <v>63</v>
      </c>
      <c r="AY1673" t="s">
        <v>63</v>
      </c>
      <c r="AZ1673" t="s">
        <v>63</v>
      </c>
      <c r="BA1673" t="s">
        <v>63</v>
      </c>
      <c r="BB1673" t="s">
        <v>63</v>
      </c>
      <c r="BC1673" t="s">
        <v>63</v>
      </c>
      <c r="BD1673" t="s">
        <v>63</v>
      </c>
      <c r="BE1673" t="s">
        <v>63</v>
      </c>
      <c r="BF1673" t="s">
        <v>63</v>
      </c>
    </row>
    <row r="1674" spans="1:58">
      <c r="A1674" t="s">
        <v>58</v>
      </c>
      <c r="B1674" t="s">
        <v>14662</v>
      </c>
      <c r="C1674" t="s">
        <v>14663</v>
      </c>
      <c r="D1674" t="s">
        <v>690</v>
      </c>
      <c r="E1674" t="s">
        <v>63</v>
      </c>
      <c r="F1674">
        <v>1978</v>
      </c>
      <c r="G1674" t="s">
        <v>63</v>
      </c>
      <c r="H1674">
        <v>35</v>
      </c>
      <c r="I1674">
        <v>8</v>
      </c>
      <c r="J1674">
        <v>683</v>
      </c>
      <c r="K1674">
        <v>688</v>
      </c>
      <c r="L1674" t="s">
        <v>14664</v>
      </c>
      <c r="M1674" t="s">
        <v>63</v>
      </c>
      <c r="N1674" t="s">
        <v>14665</v>
      </c>
      <c r="O1674" t="s">
        <v>63</v>
      </c>
      <c r="Q1674" t="s">
        <v>63</v>
      </c>
      <c r="R1674" t="s">
        <v>63</v>
      </c>
      <c r="S1674" t="s">
        <v>63</v>
      </c>
      <c r="T1674" t="s">
        <v>63</v>
      </c>
      <c r="X1674" t="s">
        <v>63</v>
      </c>
      <c r="Y1674" t="s">
        <v>694</v>
      </c>
      <c r="Z1674" t="s">
        <v>63</v>
      </c>
      <c r="AA1674" t="s">
        <v>63</v>
      </c>
      <c r="AB1674">
        <v>715251</v>
      </c>
      <c r="AC1674" t="s">
        <v>696</v>
      </c>
      <c r="AD1674" t="s">
        <v>63</v>
      </c>
      <c r="AE1674" t="s">
        <v>63</v>
      </c>
      <c r="AF1674" t="s">
        <v>63</v>
      </c>
      <c r="AG1674" t="s">
        <v>14666</v>
      </c>
      <c r="AH1674" t="s">
        <v>63</v>
      </c>
      <c r="AI1674" t="s">
        <v>63</v>
      </c>
      <c r="AJ1674" t="s">
        <v>63</v>
      </c>
      <c r="AK1674" t="s">
        <v>63</v>
      </c>
      <c r="AL1674" t="s">
        <v>63</v>
      </c>
      <c r="AM1674" t="s">
        <v>14667</v>
      </c>
      <c r="AN1674" t="s">
        <v>63</v>
      </c>
      <c r="AO1674" t="s">
        <v>63</v>
      </c>
      <c r="AP1674" t="s">
        <v>63</v>
      </c>
      <c r="AQ1674" t="s">
        <v>63</v>
      </c>
      <c r="AR1674" t="s">
        <v>63</v>
      </c>
      <c r="AS1674" t="s">
        <v>63</v>
      </c>
      <c r="AT1674" t="s">
        <v>63</v>
      </c>
      <c r="AU1674" t="s">
        <v>63</v>
      </c>
      <c r="AV1674" t="s">
        <v>63</v>
      </c>
      <c r="AW1674" t="s">
        <v>63</v>
      </c>
      <c r="AX1674" t="s">
        <v>63</v>
      </c>
      <c r="AY1674" t="s">
        <v>63</v>
      </c>
      <c r="AZ1674" t="s">
        <v>63</v>
      </c>
      <c r="BA1674" t="s">
        <v>63</v>
      </c>
      <c r="BB1674" t="s">
        <v>63</v>
      </c>
      <c r="BC1674" t="s">
        <v>63</v>
      </c>
      <c r="BD1674" t="s">
        <v>63</v>
      </c>
      <c r="BE1674" t="s">
        <v>63</v>
      </c>
      <c r="BF1674" t="s">
        <v>63</v>
      </c>
    </row>
    <row r="1675" spans="1:58">
      <c r="A1675" t="s">
        <v>58</v>
      </c>
      <c r="B1675" t="s">
        <v>14668</v>
      </c>
      <c r="C1675" t="s">
        <v>14669</v>
      </c>
      <c r="D1675" t="s">
        <v>14670</v>
      </c>
      <c r="E1675" t="s">
        <v>14671</v>
      </c>
      <c r="F1675">
        <v>1970</v>
      </c>
      <c r="G1675" t="s">
        <v>614</v>
      </c>
      <c r="H1675">
        <v>67</v>
      </c>
      <c r="I1675">
        <v>8</v>
      </c>
      <c r="J1675">
        <v>465</v>
      </c>
      <c r="K1675">
        <v>471</v>
      </c>
      <c r="L1675" t="s">
        <v>14672</v>
      </c>
      <c r="M1675" t="s">
        <v>63</v>
      </c>
      <c r="N1675" t="s">
        <v>14673</v>
      </c>
      <c r="O1675" t="s">
        <v>63</v>
      </c>
      <c r="Q1675" t="s">
        <v>63</v>
      </c>
      <c r="R1675" t="s">
        <v>63</v>
      </c>
      <c r="S1675" t="s">
        <v>63</v>
      </c>
      <c r="T1675" t="s">
        <v>63</v>
      </c>
      <c r="X1675" t="s">
        <v>63</v>
      </c>
      <c r="Y1675" t="s">
        <v>14674</v>
      </c>
      <c r="Z1675" t="s">
        <v>63</v>
      </c>
      <c r="AA1675" t="s">
        <v>63</v>
      </c>
      <c r="AB1675">
        <v>5269964</v>
      </c>
      <c r="AC1675" t="s">
        <v>67</v>
      </c>
      <c r="AD1675" t="s">
        <v>63</v>
      </c>
      <c r="AE1675" t="s">
        <v>63</v>
      </c>
      <c r="AF1675" t="s">
        <v>63</v>
      </c>
      <c r="AG1675" t="s">
        <v>14675</v>
      </c>
      <c r="AH1675" t="s">
        <v>63</v>
      </c>
      <c r="AI1675" t="s">
        <v>63</v>
      </c>
      <c r="AJ1675" t="s">
        <v>63</v>
      </c>
      <c r="AK1675" t="s">
        <v>63</v>
      </c>
      <c r="AL1675" t="s">
        <v>63</v>
      </c>
      <c r="AM1675" t="s">
        <v>14676</v>
      </c>
      <c r="AN1675" t="s">
        <v>63</v>
      </c>
      <c r="AO1675" t="s">
        <v>63</v>
      </c>
      <c r="AP1675" t="s">
        <v>63</v>
      </c>
      <c r="AQ1675" t="s">
        <v>63</v>
      </c>
      <c r="AR1675" t="s">
        <v>63</v>
      </c>
      <c r="AS1675" t="s">
        <v>63</v>
      </c>
      <c r="AT1675" t="s">
        <v>63</v>
      </c>
      <c r="AU1675" t="s">
        <v>63</v>
      </c>
      <c r="AV1675" t="s">
        <v>63</v>
      </c>
      <c r="AW1675" t="s">
        <v>63</v>
      </c>
      <c r="AX1675" t="s">
        <v>63</v>
      </c>
      <c r="AY1675" t="s">
        <v>63</v>
      </c>
      <c r="AZ1675" t="s">
        <v>63</v>
      </c>
      <c r="BA1675" t="s">
        <v>63</v>
      </c>
      <c r="BB1675" t="s">
        <v>63</v>
      </c>
      <c r="BC1675" t="s">
        <v>63</v>
      </c>
      <c r="BD1675" t="s">
        <v>63</v>
      </c>
      <c r="BE1675" t="s">
        <v>63</v>
      </c>
      <c r="BF1675" t="s">
        <v>63</v>
      </c>
    </row>
    <row r="1676" spans="1:58">
      <c r="A1676" t="s">
        <v>58</v>
      </c>
      <c r="B1676" t="s">
        <v>14668</v>
      </c>
      <c r="C1676" t="s">
        <v>14677</v>
      </c>
      <c r="D1676" t="s">
        <v>14670</v>
      </c>
      <c r="E1676" t="s">
        <v>14671</v>
      </c>
      <c r="F1676">
        <v>1970</v>
      </c>
      <c r="G1676" t="s">
        <v>189</v>
      </c>
      <c r="H1676">
        <v>67</v>
      </c>
      <c r="I1676">
        <v>5</v>
      </c>
      <c r="J1676">
        <v>207</v>
      </c>
      <c r="K1676">
        <v>210</v>
      </c>
      <c r="L1676" t="s">
        <v>14678</v>
      </c>
      <c r="M1676" t="s">
        <v>63</v>
      </c>
      <c r="N1676" t="s">
        <v>14679</v>
      </c>
      <c r="O1676" t="s">
        <v>63</v>
      </c>
      <c r="Q1676" t="s">
        <v>63</v>
      </c>
      <c r="R1676" t="s">
        <v>63</v>
      </c>
      <c r="S1676" t="s">
        <v>63</v>
      </c>
      <c r="T1676" t="s">
        <v>63</v>
      </c>
      <c r="X1676" t="s">
        <v>63</v>
      </c>
      <c r="Y1676" t="s">
        <v>14674</v>
      </c>
      <c r="Z1676" t="s">
        <v>63</v>
      </c>
      <c r="AA1676" t="s">
        <v>63</v>
      </c>
      <c r="AB1676">
        <v>5270560</v>
      </c>
      <c r="AC1676" t="s">
        <v>67</v>
      </c>
      <c r="AD1676" t="s">
        <v>63</v>
      </c>
      <c r="AE1676" t="s">
        <v>63</v>
      </c>
      <c r="AF1676" t="s">
        <v>63</v>
      </c>
      <c r="AG1676" t="s">
        <v>14680</v>
      </c>
      <c r="AH1676" t="s">
        <v>63</v>
      </c>
      <c r="AI1676" t="s">
        <v>63</v>
      </c>
      <c r="AJ1676" t="s">
        <v>63</v>
      </c>
      <c r="AK1676" t="s">
        <v>63</v>
      </c>
      <c r="AL1676" t="s">
        <v>63</v>
      </c>
      <c r="AM1676" t="s">
        <v>14681</v>
      </c>
      <c r="AN1676" t="s">
        <v>63</v>
      </c>
      <c r="AO1676" t="s">
        <v>63</v>
      </c>
      <c r="AP1676" t="s">
        <v>63</v>
      </c>
      <c r="AQ1676" t="s">
        <v>63</v>
      </c>
      <c r="AR1676" t="s">
        <v>63</v>
      </c>
      <c r="AS1676" t="s">
        <v>63</v>
      </c>
      <c r="AT1676" t="s">
        <v>63</v>
      </c>
      <c r="AU1676" t="s">
        <v>63</v>
      </c>
      <c r="AV1676" t="s">
        <v>63</v>
      </c>
      <c r="AW1676" t="s">
        <v>63</v>
      </c>
      <c r="AX1676" t="s">
        <v>63</v>
      </c>
      <c r="AY1676" t="s">
        <v>63</v>
      </c>
      <c r="AZ1676" t="s">
        <v>63</v>
      </c>
      <c r="BA1676" t="s">
        <v>63</v>
      </c>
      <c r="BB1676" t="s">
        <v>63</v>
      </c>
      <c r="BC1676" t="s">
        <v>63</v>
      </c>
      <c r="BD1676" t="s">
        <v>63</v>
      </c>
      <c r="BE1676" t="s">
        <v>63</v>
      </c>
      <c r="BF1676" t="s">
        <v>63</v>
      </c>
    </row>
    <row r="1677" spans="1:58">
      <c r="A1677" t="s">
        <v>58</v>
      </c>
      <c r="B1677" t="s">
        <v>14682</v>
      </c>
      <c r="C1677" t="s">
        <v>14683</v>
      </c>
      <c r="D1677" t="s">
        <v>2604</v>
      </c>
      <c r="E1677" t="s">
        <v>2604</v>
      </c>
      <c r="F1677">
        <v>2008</v>
      </c>
      <c r="G1677" t="s">
        <v>326</v>
      </c>
      <c r="H1677">
        <v>20</v>
      </c>
      <c r="I1677">
        <v>2</v>
      </c>
      <c r="J1677">
        <v>170</v>
      </c>
      <c r="K1677">
        <v>180</v>
      </c>
      <c r="L1677" t="s">
        <v>14684</v>
      </c>
      <c r="M1677" t="s">
        <v>14685</v>
      </c>
      <c r="N1677" t="s">
        <v>14686</v>
      </c>
      <c r="O1677" t="s">
        <v>63</v>
      </c>
      <c r="Q1677" t="s">
        <v>63</v>
      </c>
      <c r="R1677" t="s">
        <v>63</v>
      </c>
      <c r="S1677" t="s">
        <v>63</v>
      </c>
      <c r="T1677" t="s">
        <v>63</v>
      </c>
      <c r="X1677" t="s">
        <v>63</v>
      </c>
      <c r="Y1677" t="s">
        <v>2610</v>
      </c>
      <c r="Z1677" t="s">
        <v>63</v>
      </c>
      <c r="AA1677" t="s">
        <v>14687</v>
      </c>
      <c r="AB1677">
        <v>18293125</v>
      </c>
      <c r="AC1677" t="s">
        <v>67</v>
      </c>
      <c r="AD1677" t="s">
        <v>63</v>
      </c>
      <c r="AE1677" t="s">
        <v>63</v>
      </c>
      <c r="AF1677" t="s">
        <v>63</v>
      </c>
      <c r="AG1677" t="s">
        <v>14688</v>
      </c>
      <c r="AH1677" t="s">
        <v>63</v>
      </c>
      <c r="AI1677" t="s">
        <v>14689</v>
      </c>
      <c r="AJ1677" t="s">
        <v>63</v>
      </c>
      <c r="AK1677" t="s">
        <v>63</v>
      </c>
      <c r="AL1677" t="s">
        <v>63</v>
      </c>
      <c r="AM1677" t="s">
        <v>14690</v>
      </c>
      <c r="AN1677" t="s">
        <v>63</v>
      </c>
      <c r="AO1677" t="s">
        <v>63</v>
      </c>
      <c r="AP1677" t="s">
        <v>63</v>
      </c>
      <c r="AQ1677" t="s">
        <v>63</v>
      </c>
      <c r="AR1677" t="s">
        <v>63</v>
      </c>
      <c r="AS1677" t="s">
        <v>63</v>
      </c>
      <c r="AT1677" t="s">
        <v>63</v>
      </c>
      <c r="AU1677" t="s">
        <v>63</v>
      </c>
      <c r="AV1677" t="s">
        <v>63</v>
      </c>
      <c r="AW1677" t="s">
        <v>63</v>
      </c>
      <c r="AX1677" t="s">
        <v>63</v>
      </c>
      <c r="AY1677" t="s">
        <v>63</v>
      </c>
      <c r="AZ1677" t="s">
        <v>63</v>
      </c>
      <c r="BA1677" t="s">
        <v>63</v>
      </c>
      <c r="BB1677" t="s">
        <v>63</v>
      </c>
      <c r="BC1677" t="s">
        <v>63</v>
      </c>
      <c r="BD1677" t="s">
        <v>63</v>
      </c>
      <c r="BE1677" t="s">
        <v>63</v>
      </c>
      <c r="BF1677" t="s">
        <v>63</v>
      </c>
    </row>
    <row r="1678" spans="1:58">
      <c r="A1678" t="s">
        <v>58</v>
      </c>
      <c r="B1678" t="s">
        <v>14691</v>
      </c>
      <c r="C1678" t="s">
        <v>14692</v>
      </c>
      <c r="D1678" t="s">
        <v>389</v>
      </c>
      <c r="E1678" t="s">
        <v>63</v>
      </c>
      <c r="F1678">
        <v>2004</v>
      </c>
      <c r="G1678" t="s">
        <v>157</v>
      </c>
      <c r="H1678">
        <v>25</v>
      </c>
      <c r="I1678">
        <v>4</v>
      </c>
      <c r="J1678">
        <v>35</v>
      </c>
      <c r="K1678">
        <v>40</v>
      </c>
      <c r="L1678" t="s">
        <v>14693</v>
      </c>
      <c r="M1678" t="s">
        <v>14694</v>
      </c>
      <c r="N1678" t="s">
        <v>14695</v>
      </c>
      <c r="O1678" t="s">
        <v>63</v>
      </c>
      <c r="Q1678" t="s">
        <v>63</v>
      </c>
      <c r="R1678" t="s">
        <v>63</v>
      </c>
      <c r="S1678" t="s">
        <v>63</v>
      </c>
      <c r="T1678" t="s">
        <v>63</v>
      </c>
      <c r="X1678" t="s">
        <v>63</v>
      </c>
      <c r="Y1678" t="s">
        <v>392</v>
      </c>
      <c r="Z1678" t="s">
        <v>63</v>
      </c>
      <c r="AA1678" t="s">
        <v>14696</v>
      </c>
      <c r="AB1678">
        <v>16172091</v>
      </c>
      <c r="AC1678" t="s">
        <v>67</v>
      </c>
      <c r="AD1678" t="s">
        <v>63</v>
      </c>
      <c r="AE1678" t="s">
        <v>63</v>
      </c>
      <c r="AF1678" t="s">
        <v>63</v>
      </c>
      <c r="AG1678" t="s">
        <v>14697</v>
      </c>
      <c r="AH1678" t="s">
        <v>63</v>
      </c>
      <c r="AI1678" t="s">
        <v>63</v>
      </c>
      <c r="AJ1678" t="s">
        <v>63</v>
      </c>
      <c r="AK1678" t="s">
        <v>63</v>
      </c>
      <c r="AL1678" t="s">
        <v>63</v>
      </c>
      <c r="AM1678" t="s">
        <v>14698</v>
      </c>
      <c r="AN1678" t="s">
        <v>63</v>
      </c>
      <c r="AO1678" t="s">
        <v>63</v>
      </c>
      <c r="AP1678" t="s">
        <v>63</v>
      </c>
      <c r="AQ1678" t="s">
        <v>63</v>
      </c>
      <c r="AR1678" t="s">
        <v>63</v>
      </c>
      <c r="AS1678" t="s">
        <v>63</v>
      </c>
      <c r="AT1678" t="s">
        <v>63</v>
      </c>
      <c r="AU1678" t="s">
        <v>63</v>
      </c>
      <c r="AV1678" t="s">
        <v>63</v>
      </c>
      <c r="AW1678" t="s">
        <v>63</v>
      </c>
      <c r="AX1678" t="s">
        <v>63</v>
      </c>
      <c r="AY1678" t="s">
        <v>63</v>
      </c>
      <c r="AZ1678" t="s">
        <v>63</v>
      </c>
      <c r="BA1678" t="s">
        <v>63</v>
      </c>
      <c r="BB1678" t="s">
        <v>63</v>
      </c>
      <c r="BC1678" t="s">
        <v>63</v>
      </c>
      <c r="BD1678" t="s">
        <v>63</v>
      </c>
      <c r="BE1678" t="s">
        <v>63</v>
      </c>
      <c r="BF1678" t="s">
        <v>63</v>
      </c>
    </row>
    <row r="1679" spans="1:58">
      <c r="A1679" t="s">
        <v>58</v>
      </c>
      <c r="B1679" t="s">
        <v>14699</v>
      </c>
      <c r="C1679" t="s">
        <v>14700</v>
      </c>
      <c r="D1679" t="s">
        <v>14701</v>
      </c>
      <c r="E1679" t="s">
        <v>14701</v>
      </c>
      <c r="F1679">
        <v>2008</v>
      </c>
      <c r="G1679" s="1">
        <v>41830</v>
      </c>
      <c r="H1679">
        <v>22</v>
      </c>
      <c r="I1679">
        <v>11</v>
      </c>
      <c r="J1679">
        <v>1247</v>
      </c>
      <c r="K1679">
        <v>1256</v>
      </c>
      <c r="L1679" t="s">
        <v>14702</v>
      </c>
      <c r="M1679" t="s">
        <v>14703</v>
      </c>
      <c r="N1679" t="s">
        <v>14704</v>
      </c>
      <c r="O1679" t="s">
        <v>63</v>
      </c>
      <c r="Q1679" t="s">
        <v>63</v>
      </c>
      <c r="R1679" t="s">
        <v>63</v>
      </c>
      <c r="S1679" t="s">
        <v>63</v>
      </c>
      <c r="T1679" t="s">
        <v>63</v>
      </c>
      <c r="X1679" t="s">
        <v>63</v>
      </c>
      <c r="Y1679" t="s">
        <v>14705</v>
      </c>
      <c r="Z1679" t="s">
        <v>63</v>
      </c>
      <c r="AA1679" t="s">
        <v>63</v>
      </c>
      <c r="AB1679">
        <v>18580603</v>
      </c>
      <c r="AC1679" t="s">
        <v>67</v>
      </c>
      <c r="AD1679" t="s">
        <v>63</v>
      </c>
      <c r="AE1679" t="s">
        <v>63</v>
      </c>
      <c r="AF1679" t="s">
        <v>63</v>
      </c>
      <c r="AG1679" t="s">
        <v>14706</v>
      </c>
      <c r="AH1679" t="s">
        <v>63</v>
      </c>
      <c r="AI1679" t="s">
        <v>14707</v>
      </c>
      <c r="AJ1679" t="s">
        <v>63</v>
      </c>
      <c r="AK1679" t="s">
        <v>63</v>
      </c>
      <c r="AL1679" t="s">
        <v>63</v>
      </c>
      <c r="AM1679" t="s">
        <v>14708</v>
      </c>
      <c r="AN1679" t="s">
        <v>63</v>
      </c>
      <c r="AO1679" t="s">
        <v>63</v>
      </c>
      <c r="AP1679" t="s">
        <v>63</v>
      </c>
      <c r="AQ1679" t="s">
        <v>63</v>
      </c>
      <c r="AR1679" t="s">
        <v>63</v>
      </c>
      <c r="AS1679" t="s">
        <v>63</v>
      </c>
      <c r="AT1679" t="s">
        <v>63</v>
      </c>
      <c r="AU1679" t="s">
        <v>63</v>
      </c>
      <c r="AV1679" t="s">
        <v>63</v>
      </c>
      <c r="AW1679" t="s">
        <v>63</v>
      </c>
      <c r="AX1679" t="s">
        <v>63</v>
      </c>
      <c r="AY1679" t="s">
        <v>63</v>
      </c>
      <c r="AZ1679" t="s">
        <v>63</v>
      </c>
      <c r="BA1679" t="s">
        <v>63</v>
      </c>
      <c r="BB1679" t="s">
        <v>63</v>
      </c>
      <c r="BC1679" t="s">
        <v>63</v>
      </c>
      <c r="BD1679" t="s">
        <v>63</v>
      </c>
      <c r="BE1679" t="s">
        <v>63</v>
      </c>
      <c r="BF1679" t="s">
        <v>63</v>
      </c>
    </row>
    <row r="1680" spans="1:58">
      <c r="A1680" t="s">
        <v>58</v>
      </c>
      <c r="B1680" t="s">
        <v>14709</v>
      </c>
      <c r="C1680" t="s">
        <v>14710</v>
      </c>
      <c r="D1680" t="s">
        <v>205</v>
      </c>
      <c r="E1680" t="s">
        <v>205</v>
      </c>
      <c r="F1680">
        <v>2013</v>
      </c>
      <c r="G1680" s="1">
        <v>41934</v>
      </c>
      <c r="H1680">
        <v>310</v>
      </c>
      <c r="I1680">
        <v>16</v>
      </c>
      <c r="J1680">
        <v>1673</v>
      </c>
      <c r="K1680">
        <v>1674</v>
      </c>
      <c r="L1680" t="s">
        <v>14711</v>
      </c>
      <c r="M1680" t="s">
        <v>63</v>
      </c>
      <c r="N1680" t="s">
        <v>14712</v>
      </c>
      <c r="O1680" t="s">
        <v>63</v>
      </c>
      <c r="Q1680" t="s">
        <v>63</v>
      </c>
      <c r="R1680" t="s">
        <v>63</v>
      </c>
      <c r="S1680" t="s">
        <v>63</v>
      </c>
      <c r="T1680" t="s">
        <v>63</v>
      </c>
      <c r="X1680" t="s">
        <v>63</v>
      </c>
      <c r="Y1680" t="s">
        <v>2744</v>
      </c>
      <c r="Z1680" t="s">
        <v>63</v>
      </c>
      <c r="AA1680" t="s">
        <v>14713</v>
      </c>
      <c r="AB1680">
        <v>24150462</v>
      </c>
      <c r="AC1680" t="s">
        <v>67</v>
      </c>
      <c r="AD1680" t="s">
        <v>63</v>
      </c>
      <c r="AE1680" t="s">
        <v>63</v>
      </c>
      <c r="AF1680" t="s">
        <v>63</v>
      </c>
      <c r="AG1680" t="s">
        <v>14714</v>
      </c>
      <c r="AH1680" t="s">
        <v>63</v>
      </c>
      <c r="AI1680" t="s">
        <v>14715</v>
      </c>
      <c r="AJ1680" t="s">
        <v>63</v>
      </c>
      <c r="AK1680" t="s">
        <v>63</v>
      </c>
      <c r="AL1680" t="s">
        <v>63</v>
      </c>
      <c r="AM1680" t="s">
        <v>14716</v>
      </c>
      <c r="AN1680" t="s">
        <v>63</v>
      </c>
      <c r="AO1680" t="s">
        <v>63</v>
      </c>
      <c r="AP1680" t="s">
        <v>63</v>
      </c>
      <c r="AQ1680" t="s">
        <v>63</v>
      </c>
      <c r="AR1680" t="s">
        <v>63</v>
      </c>
      <c r="AS1680" t="s">
        <v>63</v>
      </c>
      <c r="AT1680" t="s">
        <v>63</v>
      </c>
      <c r="AU1680" t="s">
        <v>63</v>
      </c>
      <c r="AV1680" t="s">
        <v>63</v>
      </c>
      <c r="AW1680" t="s">
        <v>63</v>
      </c>
      <c r="AX1680" t="s">
        <v>63</v>
      </c>
      <c r="AY1680" t="s">
        <v>63</v>
      </c>
      <c r="AZ1680" t="s">
        <v>63</v>
      </c>
      <c r="BA1680" t="s">
        <v>63</v>
      </c>
      <c r="BB1680" t="s">
        <v>63</v>
      </c>
      <c r="BC1680" t="s">
        <v>63</v>
      </c>
      <c r="BD1680" t="s">
        <v>63</v>
      </c>
      <c r="BE1680" t="s">
        <v>63</v>
      </c>
      <c r="BF1680" t="s">
        <v>63</v>
      </c>
    </row>
    <row r="1681" spans="1:58">
      <c r="A1681" t="s">
        <v>58</v>
      </c>
      <c r="B1681" t="s">
        <v>14717</v>
      </c>
      <c r="C1681" t="s">
        <v>14718</v>
      </c>
      <c r="D1681" t="s">
        <v>2343</v>
      </c>
      <c r="E1681" t="s">
        <v>2344</v>
      </c>
      <c r="F1681">
        <v>1988</v>
      </c>
      <c r="G1681" t="s">
        <v>274</v>
      </c>
      <c r="H1681">
        <v>26</v>
      </c>
      <c r="I1681">
        <v>3</v>
      </c>
      <c r="J1681">
        <v>293</v>
      </c>
      <c r="K1681">
        <v>296</v>
      </c>
      <c r="L1681" t="s">
        <v>14719</v>
      </c>
      <c r="M1681" t="s">
        <v>14720</v>
      </c>
      <c r="N1681" t="s">
        <v>14721</v>
      </c>
      <c r="O1681" t="s">
        <v>63</v>
      </c>
      <c r="Q1681" t="s">
        <v>63</v>
      </c>
      <c r="R1681" t="s">
        <v>63</v>
      </c>
      <c r="S1681" t="s">
        <v>63</v>
      </c>
      <c r="T1681" t="s">
        <v>63</v>
      </c>
      <c r="X1681" t="s">
        <v>63</v>
      </c>
      <c r="Y1681" t="s">
        <v>2347</v>
      </c>
      <c r="Z1681" t="s">
        <v>63</v>
      </c>
      <c r="AA1681" t="s">
        <v>14722</v>
      </c>
      <c r="AB1681">
        <v>3346632</v>
      </c>
      <c r="AC1681" t="s">
        <v>67</v>
      </c>
      <c r="AD1681" t="s">
        <v>63</v>
      </c>
      <c r="AE1681" t="s">
        <v>63</v>
      </c>
      <c r="AF1681" t="s">
        <v>63</v>
      </c>
      <c r="AG1681" t="s">
        <v>14723</v>
      </c>
      <c r="AH1681" t="s">
        <v>63</v>
      </c>
      <c r="AI1681" t="s">
        <v>63</v>
      </c>
      <c r="AJ1681" t="s">
        <v>63</v>
      </c>
      <c r="AK1681" t="s">
        <v>63</v>
      </c>
      <c r="AL1681" t="s">
        <v>63</v>
      </c>
      <c r="AM1681" t="s">
        <v>14724</v>
      </c>
      <c r="AN1681" t="s">
        <v>63</v>
      </c>
      <c r="AO1681" t="s">
        <v>63</v>
      </c>
      <c r="AP1681" t="s">
        <v>63</v>
      </c>
      <c r="AQ1681" t="s">
        <v>63</v>
      </c>
      <c r="AR1681" t="s">
        <v>63</v>
      </c>
      <c r="AS1681" t="s">
        <v>63</v>
      </c>
      <c r="AT1681" t="s">
        <v>63</v>
      </c>
      <c r="AU1681" t="s">
        <v>63</v>
      </c>
      <c r="AV1681" t="s">
        <v>63</v>
      </c>
      <c r="AW1681" t="s">
        <v>63</v>
      </c>
      <c r="AX1681" t="s">
        <v>63</v>
      </c>
      <c r="AY1681" t="s">
        <v>63</v>
      </c>
      <c r="AZ1681" t="s">
        <v>63</v>
      </c>
      <c r="BA1681" t="s">
        <v>63</v>
      </c>
      <c r="BB1681" t="s">
        <v>63</v>
      </c>
      <c r="BC1681" t="s">
        <v>63</v>
      </c>
      <c r="BD1681" t="s">
        <v>63</v>
      </c>
      <c r="BE1681" t="s">
        <v>63</v>
      </c>
      <c r="BF1681" t="s">
        <v>63</v>
      </c>
    </row>
    <row r="1682" spans="1:58">
      <c r="A1682" t="s">
        <v>58</v>
      </c>
      <c r="B1682" t="s">
        <v>14725</v>
      </c>
      <c r="C1682" t="s">
        <v>14726</v>
      </c>
      <c r="D1682" t="s">
        <v>2593</v>
      </c>
      <c r="E1682" t="s">
        <v>63</v>
      </c>
      <c r="F1682">
        <v>2013</v>
      </c>
      <c r="G1682" s="1">
        <v>41943</v>
      </c>
      <c r="H1682">
        <v>64</v>
      </c>
      <c r="I1682">
        <v>11</v>
      </c>
      <c r="J1682">
        <v>1087</v>
      </c>
      <c r="K1682">
        <v>1094</v>
      </c>
      <c r="L1682" t="s">
        <v>14727</v>
      </c>
      <c r="M1682" t="s">
        <v>14728</v>
      </c>
      <c r="N1682" t="s">
        <v>14729</v>
      </c>
      <c r="O1682" t="s">
        <v>63</v>
      </c>
      <c r="Q1682" t="s">
        <v>63</v>
      </c>
      <c r="R1682" t="s">
        <v>63</v>
      </c>
      <c r="S1682" t="s">
        <v>63</v>
      </c>
      <c r="T1682" t="s">
        <v>63</v>
      </c>
      <c r="X1682" t="s">
        <v>63</v>
      </c>
      <c r="Y1682" t="s">
        <v>2597</v>
      </c>
      <c r="Z1682" t="s">
        <v>63</v>
      </c>
      <c r="AA1682" t="s">
        <v>63</v>
      </c>
      <c r="AB1682">
        <v>23904091</v>
      </c>
      <c r="AC1682" t="s">
        <v>67</v>
      </c>
      <c r="AD1682" t="s">
        <v>63</v>
      </c>
      <c r="AE1682" t="s">
        <v>63</v>
      </c>
      <c r="AF1682" t="s">
        <v>63</v>
      </c>
      <c r="AG1682" t="s">
        <v>14730</v>
      </c>
      <c r="AH1682" t="s">
        <v>63</v>
      </c>
      <c r="AI1682" t="s">
        <v>63</v>
      </c>
      <c r="AJ1682" t="s">
        <v>63</v>
      </c>
      <c r="AK1682" t="s">
        <v>63</v>
      </c>
      <c r="AL1682" t="s">
        <v>63</v>
      </c>
      <c r="AM1682" t="s">
        <v>14731</v>
      </c>
      <c r="AN1682" t="s">
        <v>63</v>
      </c>
      <c r="AO1682" t="s">
        <v>63</v>
      </c>
      <c r="AP1682" t="s">
        <v>63</v>
      </c>
      <c r="AQ1682" t="s">
        <v>63</v>
      </c>
      <c r="AR1682" t="s">
        <v>63</v>
      </c>
      <c r="AS1682" t="s">
        <v>63</v>
      </c>
      <c r="AT1682" t="s">
        <v>63</v>
      </c>
      <c r="AU1682" t="s">
        <v>63</v>
      </c>
      <c r="AV1682" t="s">
        <v>63</v>
      </c>
      <c r="AW1682" t="s">
        <v>63</v>
      </c>
      <c r="AX1682" t="s">
        <v>63</v>
      </c>
      <c r="AY1682" t="s">
        <v>63</v>
      </c>
      <c r="AZ1682" t="s">
        <v>63</v>
      </c>
      <c r="BA1682" t="s">
        <v>63</v>
      </c>
      <c r="BB1682" t="s">
        <v>63</v>
      </c>
      <c r="BC1682" t="s">
        <v>63</v>
      </c>
      <c r="BD1682" t="s">
        <v>63</v>
      </c>
      <c r="BE1682" t="s">
        <v>63</v>
      </c>
      <c r="BF1682" t="s">
        <v>63</v>
      </c>
    </row>
    <row r="1683" spans="1:58">
      <c r="A1683" t="s">
        <v>58</v>
      </c>
      <c r="B1683" t="s">
        <v>14732</v>
      </c>
      <c r="C1683" t="s">
        <v>14733</v>
      </c>
      <c r="D1683" t="s">
        <v>14734</v>
      </c>
      <c r="E1683" t="s">
        <v>14735</v>
      </c>
      <c r="F1683">
        <v>1991</v>
      </c>
      <c r="G1683" t="s">
        <v>63</v>
      </c>
      <c r="H1683">
        <v>106</v>
      </c>
      <c r="I1683" t="s">
        <v>63</v>
      </c>
      <c r="J1683">
        <v>152</v>
      </c>
      <c r="K1683">
        <v>166</v>
      </c>
      <c r="L1683" t="s">
        <v>14736</v>
      </c>
      <c r="M1683" t="s">
        <v>14737</v>
      </c>
      <c r="N1683" t="s">
        <v>14738</v>
      </c>
      <c r="O1683" t="s">
        <v>63</v>
      </c>
      <c r="Q1683" t="s">
        <v>63</v>
      </c>
      <c r="R1683" t="s">
        <v>63</v>
      </c>
      <c r="S1683" t="s">
        <v>63</v>
      </c>
      <c r="T1683" t="s">
        <v>63</v>
      </c>
      <c r="X1683" t="s">
        <v>63</v>
      </c>
      <c r="Y1683" t="s">
        <v>14739</v>
      </c>
      <c r="Z1683" t="s">
        <v>63</v>
      </c>
      <c r="AA1683" t="s">
        <v>14740</v>
      </c>
      <c r="AB1683">
        <v>1922285</v>
      </c>
      <c r="AC1683" t="s">
        <v>67</v>
      </c>
      <c r="AD1683" t="s">
        <v>63</v>
      </c>
      <c r="AE1683" t="s">
        <v>63</v>
      </c>
      <c r="AF1683" t="s">
        <v>63</v>
      </c>
      <c r="AG1683" t="s">
        <v>14741</v>
      </c>
      <c r="AH1683" t="s">
        <v>63</v>
      </c>
      <c r="AI1683" t="s">
        <v>63</v>
      </c>
      <c r="AJ1683" t="s">
        <v>63</v>
      </c>
      <c r="AK1683" t="s">
        <v>63</v>
      </c>
      <c r="AL1683" t="s">
        <v>63</v>
      </c>
      <c r="AM1683" t="s">
        <v>14742</v>
      </c>
      <c r="AN1683" t="s">
        <v>63</v>
      </c>
      <c r="AO1683" t="s">
        <v>63</v>
      </c>
      <c r="AP1683" t="s">
        <v>63</v>
      </c>
      <c r="AQ1683" t="s">
        <v>63</v>
      </c>
      <c r="AR1683" t="s">
        <v>63</v>
      </c>
      <c r="AS1683" t="s">
        <v>63</v>
      </c>
      <c r="AT1683" t="s">
        <v>63</v>
      </c>
      <c r="AU1683" t="s">
        <v>63</v>
      </c>
      <c r="AV1683" t="s">
        <v>63</v>
      </c>
      <c r="AW1683" t="s">
        <v>63</v>
      </c>
      <c r="AX1683" t="s">
        <v>63</v>
      </c>
      <c r="AY1683" t="s">
        <v>63</v>
      </c>
      <c r="AZ1683" t="s">
        <v>63</v>
      </c>
      <c r="BA1683" t="s">
        <v>63</v>
      </c>
      <c r="BB1683" t="s">
        <v>63</v>
      </c>
      <c r="BC1683" t="s">
        <v>63</v>
      </c>
      <c r="BD1683" t="s">
        <v>63</v>
      </c>
      <c r="BE1683" t="s">
        <v>63</v>
      </c>
      <c r="BF1683" t="s">
        <v>63</v>
      </c>
    </row>
    <row r="1684" spans="1:58">
      <c r="A1684" t="s">
        <v>58</v>
      </c>
      <c r="B1684" t="s">
        <v>14743</v>
      </c>
      <c r="C1684" t="s">
        <v>14744</v>
      </c>
      <c r="D1684" t="s">
        <v>1406</v>
      </c>
      <c r="E1684" t="s">
        <v>1407</v>
      </c>
      <c r="F1684">
        <v>2007</v>
      </c>
      <c r="G1684" t="s">
        <v>181</v>
      </c>
      <c r="H1684">
        <v>107</v>
      </c>
      <c r="I1684">
        <v>9</v>
      </c>
      <c r="J1684" t="s">
        <v>14745</v>
      </c>
      <c r="K1684">
        <v>38</v>
      </c>
      <c r="L1684" t="s">
        <v>14746</v>
      </c>
      <c r="M1684" t="s">
        <v>14747</v>
      </c>
      <c r="N1684" t="s">
        <v>14748</v>
      </c>
      <c r="O1684" t="s">
        <v>63</v>
      </c>
      <c r="Q1684" t="s">
        <v>63</v>
      </c>
      <c r="R1684" t="s">
        <v>63</v>
      </c>
      <c r="S1684" t="s">
        <v>63</v>
      </c>
      <c r="T1684" t="s">
        <v>63</v>
      </c>
      <c r="X1684" t="s">
        <v>63</v>
      </c>
      <c r="Y1684" t="s">
        <v>2876</v>
      </c>
      <c r="Z1684" t="s">
        <v>63</v>
      </c>
      <c r="AA1684" t="s">
        <v>14749</v>
      </c>
      <c r="AB1684">
        <v>17908828</v>
      </c>
      <c r="AC1684" t="s">
        <v>67</v>
      </c>
      <c r="AD1684" t="s">
        <v>63</v>
      </c>
      <c r="AE1684" t="s">
        <v>63</v>
      </c>
      <c r="AF1684" t="s">
        <v>63</v>
      </c>
      <c r="AG1684" t="s">
        <v>14750</v>
      </c>
      <c r="AH1684" t="s">
        <v>63</v>
      </c>
      <c r="AI1684" t="s">
        <v>63</v>
      </c>
      <c r="AJ1684" t="s">
        <v>63</v>
      </c>
      <c r="AK1684" t="s">
        <v>63</v>
      </c>
      <c r="AL1684" t="s">
        <v>63</v>
      </c>
      <c r="AM1684" t="s">
        <v>14751</v>
      </c>
      <c r="AN1684" t="s">
        <v>63</v>
      </c>
      <c r="AO1684" t="s">
        <v>63</v>
      </c>
      <c r="AP1684" t="s">
        <v>63</v>
      </c>
      <c r="AQ1684" t="s">
        <v>63</v>
      </c>
      <c r="AR1684" t="s">
        <v>63</v>
      </c>
      <c r="AS1684" t="s">
        <v>63</v>
      </c>
      <c r="AT1684" t="s">
        <v>63</v>
      </c>
      <c r="AU1684" t="s">
        <v>63</v>
      </c>
      <c r="AV1684" t="s">
        <v>63</v>
      </c>
      <c r="AW1684" t="s">
        <v>63</v>
      </c>
      <c r="AX1684" t="s">
        <v>63</v>
      </c>
      <c r="AY1684" t="s">
        <v>63</v>
      </c>
      <c r="AZ1684" t="s">
        <v>63</v>
      </c>
      <c r="BA1684" t="s">
        <v>63</v>
      </c>
      <c r="BB1684" t="s">
        <v>63</v>
      </c>
      <c r="BC1684" t="s">
        <v>63</v>
      </c>
      <c r="BD1684" t="s">
        <v>63</v>
      </c>
      <c r="BE1684" t="s">
        <v>63</v>
      </c>
      <c r="BF1684" t="s">
        <v>63</v>
      </c>
    </row>
    <row r="1685" spans="1:58">
      <c r="A1685" t="s">
        <v>58</v>
      </c>
      <c r="B1685" t="s">
        <v>14752</v>
      </c>
      <c r="C1685" t="s">
        <v>14753</v>
      </c>
      <c r="D1685" t="s">
        <v>1406</v>
      </c>
      <c r="E1685" t="s">
        <v>1407</v>
      </c>
      <c r="F1685">
        <v>2005</v>
      </c>
      <c r="G1685" t="s">
        <v>73</v>
      </c>
      <c r="H1685">
        <v>105</v>
      </c>
      <c r="I1685">
        <v>6</v>
      </c>
      <c r="J1685" t="s">
        <v>14754</v>
      </c>
      <c r="K1685">
        <v>25</v>
      </c>
      <c r="L1685" t="s">
        <v>14755</v>
      </c>
      <c r="M1685" t="s">
        <v>14756</v>
      </c>
      <c r="N1685" t="s">
        <v>14757</v>
      </c>
      <c r="O1685" t="s">
        <v>63</v>
      </c>
      <c r="Q1685" t="s">
        <v>63</v>
      </c>
      <c r="R1685" t="s">
        <v>63</v>
      </c>
      <c r="S1685" t="s">
        <v>63</v>
      </c>
      <c r="T1685" t="s">
        <v>63</v>
      </c>
      <c r="X1685" t="s">
        <v>63</v>
      </c>
      <c r="Y1685" t="s">
        <v>1411</v>
      </c>
      <c r="Z1685" t="s">
        <v>63</v>
      </c>
      <c r="AA1685" t="s">
        <v>14758</v>
      </c>
      <c r="AB1685">
        <v>16118358</v>
      </c>
      <c r="AC1685" t="s">
        <v>67</v>
      </c>
      <c r="AD1685" t="s">
        <v>63</v>
      </c>
      <c r="AE1685" t="s">
        <v>63</v>
      </c>
      <c r="AF1685" t="s">
        <v>63</v>
      </c>
      <c r="AG1685" t="s">
        <v>14759</v>
      </c>
      <c r="AH1685" t="s">
        <v>63</v>
      </c>
      <c r="AI1685" t="s">
        <v>63</v>
      </c>
      <c r="AJ1685" t="s">
        <v>63</v>
      </c>
      <c r="AK1685" t="s">
        <v>63</v>
      </c>
      <c r="AL1685" t="s">
        <v>63</v>
      </c>
      <c r="AM1685" t="s">
        <v>14760</v>
      </c>
      <c r="AN1685" t="s">
        <v>63</v>
      </c>
      <c r="AO1685" t="s">
        <v>63</v>
      </c>
      <c r="AP1685" t="s">
        <v>63</v>
      </c>
      <c r="AQ1685" t="s">
        <v>63</v>
      </c>
      <c r="AR1685" t="s">
        <v>63</v>
      </c>
      <c r="AS1685" t="s">
        <v>63</v>
      </c>
      <c r="AT1685" t="s">
        <v>63</v>
      </c>
      <c r="AU1685" t="s">
        <v>63</v>
      </c>
      <c r="AV1685" t="s">
        <v>63</v>
      </c>
      <c r="AW1685" t="s">
        <v>63</v>
      </c>
      <c r="AX1685" t="s">
        <v>63</v>
      </c>
      <c r="AY1685" t="s">
        <v>63</v>
      </c>
      <c r="AZ1685" t="s">
        <v>63</v>
      </c>
      <c r="BA1685" t="s">
        <v>63</v>
      </c>
      <c r="BB1685" t="s">
        <v>63</v>
      </c>
      <c r="BC1685" t="s">
        <v>63</v>
      </c>
      <c r="BD1685" t="s">
        <v>63</v>
      </c>
      <c r="BE1685" t="s">
        <v>63</v>
      </c>
      <c r="BF1685" t="s">
        <v>63</v>
      </c>
    </row>
    <row r="1686" spans="1:58">
      <c r="A1686" t="s">
        <v>58</v>
      </c>
      <c r="B1686" t="s">
        <v>14761</v>
      </c>
      <c r="C1686" t="s">
        <v>14762</v>
      </c>
      <c r="D1686" t="s">
        <v>9776</v>
      </c>
      <c r="E1686" t="s">
        <v>63</v>
      </c>
      <c r="F1686">
        <v>2017</v>
      </c>
      <c r="G1686" s="1">
        <v>41668</v>
      </c>
      <c r="H1686">
        <v>6</v>
      </c>
      <c r="I1686">
        <v>1</v>
      </c>
      <c r="J1686" t="s">
        <v>14763</v>
      </c>
      <c r="K1686" t="s">
        <v>63</v>
      </c>
      <c r="L1686" t="s">
        <v>63</v>
      </c>
      <c r="M1686" t="s">
        <v>14764</v>
      </c>
      <c r="N1686" t="s">
        <v>14765</v>
      </c>
      <c r="O1686" t="s">
        <v>63</v>
      </c>
      <c r="Q1686" t="s">
        <v>63</v>
      </c>
      <c r="R1686" t="s">
        <v>63</v>
      </c>
      <c r="S1686" t="s">
        <v>63</v>
      </c>
      <c r="T1686" t="s">
        <v>63</v>
      </c>
      <c r="X1686" t="s">
        <v>63</v>
      </c>
      <c r="Y1686" t="s">
        <v>9780</v>
      </c>
      <c r="Z1686" t="s">
        <v>63</v>
      </c>
      <c r="AA1686" t="s">
        <v>14766</v>
      </c>
      <c r="AB1686">
        <v>28137703</v>
      </c>
      <c r="AC1686" t="s">
        <v>67</v>
      </c>
      <c r="AD1686" t="s">
        <v>63</v>
      </c>
      <c r="AE1686" t="s">
        <v>63</v>
      </c>
      <c r="AF1686" t="s">
        <v>63</v>
      </c>
      <c r="AG1686" t="s">
        <v>14767</v>
      </c>
      <c r="AH1686" t="s">
        <v>63</v>
      </c>
      <c r="AI1686" t="s">
        <v>14768</v>
      </c>
      <c r="AJ1686" t="s">
        <v>63</v>
      </c>
      <c r="AK1686" t="s">
        <v>63</v>
      </c>
      <c r="AL1686" t="s">
        <v>63</v>
      </c>
      <c r="AM1686" t="s">
        <v>14769</v>
      </c>
      <c r="AN1686" t="s">
        <v>63</v>
      </c>
      <c r="AO1686" t="s">
        <v>63</v>
      </c>
      <c r="AP1686" t="s">
        <v>63</v>
      </c>
      <c r="AQ1686" t="s">
        <v>63</v>
      </c>
      <c r="AR1686" t="s">
        <v>63</v>
      </c>
      <c r="AS1686" t="s">
        <v>63</v>
      </c>
      <c r="AT1686" t="s">
        <v>63</v>
      </c>
      <c r="AU1686" t="s">
        <v>63</v>
      </c>
      <c r="AV1686" t="s">
        <v>63</v>
      </c>
      <c r="AW1686" t="s">
        <v>63</v>
      </c>
      <c r="AX1686" t="s">
        <v>63</v>
      </c>
      <c r="AY1686" t="s">
        <v>63</v>
      </c>
      <c r="AZ1686" t="s">
        <v>63</v>
      </c>
      <c r="BA1686" t="s">
        <v>63</v>
      </c>
      <c r="BB1686" t="s">
        <v>63</v>
      </c>
      <c r="BC1686" t="s">
        <v>63</v>
      </c>
      <c r="BD1686" t="s">
        <v>63</v>
      </c>
      <c r="BE1686" t="s">
        <v>63</v>
      </c>
      <c r="BF1686" t="s">
        <v>63</v>
      </c>
    </row>
    <row r="1687" spans="1:58">
      <c r="A1687" t="s">
        <v>58</v>
      </c>
      <c r="B1687" t="s">
        <v>14770</v>
      </c>
      <c r="C1687" t="s">
        <v>14771</v>
      </c>
      <c r="D1687" t="s">
        <v>563</v>
      </c>
      <c r="E1687" t="s">
        <v>63</v>
      </c>
      <c r="F1687">
        <v>2015</v>
      </c>
      <c r="G1687" s="1">
        <v>41778</v>
      </c>
      <c r="H1687">
        <v>15</v>
      </c>
      <c r="I1687" t="s">
        <v>63</v>
      </c>
      <c r="J1687">
        <v>90</v>
      </c>
      <c r="K1687" t="s">
        <v>63</v>
      </c>
      <c r="L1687" t="s">
        <v>14772</v>
      </c>
      <c r="M1687" t="s">
        <v>14773</v>
      </c>
      <c r="N1687" t="s">
        <v>14774</v>
      </c>
      <c r="O1687" t="s">
        <v>63</v>
      </c>
      <c r="Q1687" t="s">
        <v>63</v>
      </c>
      <c r="R1687" t="s">
        <v>63</v>
      </c>
      <c r="S1687" t="s">
        <v>63</v>
      </c>
      <c r="T1687" t="s">
        <v>63</v>
      </c>
      <c r="X1687" t="s">
        <v>63</v>
      </c>
      <c r="Y1687" t="s">
        <v>567</v>
      </c>
      <c r="Z1687" t="s">
        <v>63</v>
      </c>
      <c r="AA1687" t="s">
        <v>14775</v>
      </c>
      <c r="AB1687">
        <v>25990861</v>
      </c>
      <c r="AC1687" t="s">
        <v>67</v>
      </c>
      <c r="AD1687" t="s">
        <v>63</v>
      </c>
      <c r="AE1687" t="s">
        <v>63</v>
      </c>
      <c r="AF1687" t="s">
        <v>63</v>
      </c>
      <c r="AG1687" t="s">
        <v>14776</v>
      </c>
      <c r="AH1687" t="s">
        <v>63</v>
      </c>
      <c r="AI1687" t="s">
        <v>14777</v>
      </c>
      <c r="AJ1687" t="s">
        <v>63</v>
      </c>
      <c r="AK1687" t="s">
        <v>63</v>
      </c>
      <c r="AL1687" t="s">
        <v>63</v>
      </c>
      <c r="AM1687" t="s">
        <v>14778</v>
      </c>
      <c r="AN1687" t="s">
        <v>63</v>
      </c>
      <c r="AO1687" t="s">
        <v>63</v>
      </c>
      <c r="AP1687" t="s">
        <v>63</v>
      </c>
      <c r="AQ1687" t="s">
        <v>63</v>
      </c>
      <c r="AR1687" t="s">
        <v>63</v>
      </c>
      <c r="AS1687" t="s">
        <v>63</v>
      </c>
      <c r="AT1687" t="s">
        <v>63</v>
      </c>
      <c r="AU1687" t="s">
        <v>63</v>
      </c>
      <c r="AV1687" t="s">
        <v>63</v>
      </c>
      <c r="AW1687" t="s">
        <v>63</v>
      </c>
      <c r="AX1687" t="s">
        <v>63</v>
      </c>
      <c r="AY1687" t="s">
        <v>63</v>
      </c>
      <c r="AZ1687" t="s">
        <v>63</v>
      </c>
      <c r="BA1687" t="s">
        <v>63</v>
      </c>
      <c r="BB1687" t="s">
        <v>63</v>
      </c>
      <c r="BC1687" t="s">
        <v>63</v>
      </c>
      <c r="BD1687" t="s">
        <v>63</v>
      </c>
      <c r="BE1687" t="s">
        <v>63</v>
      </c>
      <c r="BF1687" t="s">
        <v>63</v>
      </c>
    </row>
    <row r="1688" spans="1:58">
      <c r="A1688" t="s">
        <v>58</v>
      </c>
      <c r="B1688" t="s">
        <v>14779</v>
      </c>
      <c r="C1688" t="s">
        <v>14780</v>
      </c>
      <c r="D1688" t="s">
        <v>14781</v>
      </c>
      <c r="E1688" t="s">
        <v>63</v>
      </c>
      <c r="F1688">
        <v>2010</v>
      </c>
      <c r="G1688" t="s">
        <v>219</v>
      </c>
      <c r="H1688">
        <v>18</v>
      </c>
      <c r="I1688">
        <v>11</v>
      </c>
      <c r="J1688">
        <v>1455</v>
      </c>
      <c r="K1688">
        <v>1460</v>
      </c>
      <c r="L1688" t="s">
        <v>14782</v>
      </c>
      <c r="M1688" t="s">
        <v>14783</v>
      </c>
      <c r="N1688" t="s">
        <v>14784</v>
      </c>
      <c r="O1688" t="s">
        <v>63</v>
      </c>
      <c r="Q1688" t="s">
        <v>63</v>
      </c>
      <c r="R1688" t="s">
        <v>63</v>
      </c>
      <c r="S1688" t="s">
        <v>63</v>
      </c>
      <c r="T1688" t="s">
        <v>63</v>
      </c>
      <c r="X1688" t="s">
        <v>63</v>
      </c>
      <c r="Y1688" t="s">
        <v>14785</v>
      </c>
      <c r="Z1688" t="s">
        <v>63</v>
      </c>
      <c r="AA1688" t="s">
        <v>14786</v>
      </c>
      <c r="AB1688">
        <v>19902274</v>
      </c>
      <c r="AC1688" t="s">
        <v>67</v>
      </c>
      <c r="AD1688" t="s">
        <v>63</v>
      </c>
      <c r="AE1688" t="s">
        <v>63</v>
      </c>
      <c r="AF1688" t="s">
        <v>63</v>
      </c>
      <c r="AG1688" t="s">
        <v>14787</v>
      </c>
      <c r="AH1688" t="s">
        <v>63</v>
      </c>
      <c r="AI1688" t="s">
        <v>14788</v>
      </c>
      <c r="AJ1688" t="s">
        <v>63</v>
      </c>
      <c r="AK1688" t="s">
        <v>63</v>
      </c>
      <c r="AL1688" t="s">
        <v>63</v>
      </c>
      <c r="AM1688" t="s">
        <v>14789</v>
      </c>
      <c r="AN1688" t="s">
        <v>63</v>
      </c>
      <c r="AO1688" t="s">
        <v>63</v>
      </c>
      <c r="AP1688" t="s">
        <v>63</v>
      </c>
      <c r="AQ1688" t="s">
        <v>63</v>
      </c>
      <c r="AR1688" t="s">
        <v>63</v>
      </c>
      <c r="AS1688" t="s">
        <v>63</v>
      </c>
      <c r="AT1688" t="s">
        <v>63</v>
      </c>
      <c r="AU1688" t="s">
        <v>63</v>
      </c>
      <c r="AV1688" t="s">
        <v>63</v>
      </c>
      <c r="AW1688" t="s">
        <v>63</v>
      </c>
      <c r="AX1688" t="s">
        <v>63</v>
      </c>
      <c r="AY1688" t="s">
        <v>63</v>
      </c>
      <c r="AZ1688" t="s">
        <v>63</v>
      </c>
      <c r="BA1688" t="s">
        <v>63</v>
      </c>
      <c r="BB1688" t="s">
        <v>63</v>
      </c>
      <c r="BC1688" t="s">
        <v>63</v>
      </c>
      <c r="BD1688" t="s">
        <v>63</v>
      </c>
      <c r="BE1688" t="s">
        <v>63</v>
      </c>
      <c r="BF1688" t="s">
        <v>63</v>
      </c>
    </row>
    <row r="1689" spans="1:58">
      <c r="A1689" t="s">
        <v>58</v>
      </c>
      <c r="B1689" t="s">
        <v>14790</v>
      </c>
      <c r="C1689" t="s">
        <v>14791</v>
      </c>
      <c r="D1689" t="s">
        <v>1212</v>
      </c>
      <c r="E1689" t="s">
        <v>63</v>
      </c>
      <c r="F1689">
        <v>2018</v>
      </c>
      <c r="G1689" s="1">
        <v>41716</v>
      </c>
      <c r="H1689" t="s">
        <v>63</v>
      </c>
      <c r="I1689" t="s">
        <v>63</v>
      </c>
      <c r="J1689">
        <v>19</v>
      </c>
      <c r="K1689" t="s">
        <v>63</v>
      </c>
      <c r="L1689" t="s">
        <v>63</v>
      </c>
      <c r="M1689" t="s">
        <v>14792</v>
      </c>
      <c r="N1689" t="s">
        <v>14793</v>
      </c>
      <c r="O1689" t="s">
        <v>63</v>
      </c>
      <c r="Q1689" t="s">
        <v>63</v>
      </c>
      <c r="R1689" t="s">
        <v>63</v>
      </c>
      <c r="S1689" t="s">
        <v>63</v>
      </c>
      <c r="T1689" t="s">
        <v>63</v>
      </c>
      <c r="X1689" t="s">
        <v>63</v>
      </c>
      <c r="Y1689" t="s">
        <v>2367</v>
      </c>
      <c r="Z1689" t="s">
        <v>63</v>
      </c>
      <c r="AA1689" t="s">
        <v>14794</v>
      </c>
      <c r="AB1689">
        <v>29557802</v>
      </c>
      <c r="AC1689" t="s">
        <v>67</v>
      </c>
      <c r="AD1689" t="s">
        <v>63</v>
      </c>
      <c r="AE1689" t="s">
        <v>63</v>
      </c>
      <c r="AF1689" t="s">
        <v>63</v>
      </c>
      <c r="AG1689" t="s">
        <v>14795</v>
      </c>
      <c r="AH1689" t="s">
        <v>63</v>
      </c>
      <c r="AI1689" t="s">
        <v>14796</v>
      </c>
      <c r="AJ1689" t="s">
        <v>63</v>
      </c>
      <c r="AK1689" t="s">
        <v>63</v>
      </c>
      <c r="AL1689" t="s">
        <v>63</v>
      </c>
      <c r="AM1689" t="s">
        <v>14797</v>
      </c>
      <c r="AN1689" t="s">
        <v>63</v>
      </c>
      <c r="AO1689" t="s">
        <v>63</v>
      </c>
      <c r="AP1689" t="s">
        <v>63</v>
      </c>
      <c r="AQ1689" t="s">
        <v>63</v>
      </c>
      <c r="AR1689" t="s">
        <v>63</v>
      </c>
      <c r="AS1689" t="s">
        <v>63</v>
      </c>
      <c r="AT1689" t="s">
        <v>63</v>
      </c>
      <c r="AU1689" t="s">
        <v>63</v>
      </c>
      <c r="AV1689" t="s">
        <v>63</v>
      </c>
      <c r="AW1689" t="s">
        <v>63</v>
      </c>
      <c r="AX1689" t="s">
        <v>63</v>
      </c>
      <c r="AY1689" t="s">
        <v>63</v>
      </c>
      <c r="AZ1689" t="s">
        <v>63</v>
      </c>
      <c r="BA1689" t="s">
        <v>63</v>
      </c>
      <c r="BB1689" t="s">
        <v>63</v>
      </c>
      <c r="BC1689" t="s">
        <v>63</v>
      </c>
      <c r="BD1689" t="s">
        <v>63</v>
      </c>
      <c r="BE1689" t="s">
        <v>63</v>
      </c>
      <c r="BF1689" t="s">
        <v>63</v>
      </c>
    </row>
    <row r="1690" spans="1:58">
      <c r="A1690" t="s">
        <v>58</v>
      </c>
      <c r="B1690" t="s">
        <v>14798</v>
      </c>
      <c r="C1690" t="s">
        <v>14799</v>
      </c>
      <c r="D1690" t="s">
        <v>3549</v>
      </c>
      <c r="E1690" t="s">
        <v>3550</v>
      </c>
      <c r="F1690">
        <v>1999</v>
      </c>
      <c r="G1690" t="s">
        <v>138</v>
      </c>
      <c r="H1690">
        <v>92</v>
      </c>
      <c r="I1690">
        <v>10</v>
      </c>
      <c r="J1690">
        <v>504</v>
      </c>
      <c r="K1690">
        <v>507</v>
      </c>
      <c r="L1690" t="s">
        <v>14800</v>
      </c>
      <c r="M1690" t="s">
        <v>14801</v>
      </c>
      <c r="N1690" t="s">
        <v>14802</v>
      </c>
      <c r="O1690" t="s">
        <v>63</v>
      </c>
      <c r="Q1690" t="s">
        <v>63</v>
      </c>
      <c r="R1690" t="s">
        <v>63</v>
      </c>
      <c r="S1690" t="s">
        <v>63</v>
      </c>
      <c r="T1690" t="s">
        <v>63</v>
      </c>
      <c r="X1690" t="s">
        <v>63</v>
      </c>
      <c r="Y1690" t="s">
        <v>3553</v>
      </c>
      <c r="Z1690" t="s">
        <v>63</v>
      </c>
      <c r="AA1690" t="s">
        <v>14803</v>
      </c>
      <c r="AB1690">
        <v>10528474</v>
      </c>
      <c r="AC1690" t="s">
        <v>67</v>
      </c>
      <c r="AD1690" t="s">
        <v>63</v>
      </c>
      <c r="AE1690" t="s">
        <v>63</v>
      </c>
      <c r="AF1690" t="s">
        <v>63</v>
      </c>
      <c r="AG1690" t="s">
        <v>14804</v>
      </c>
      <c r="AH1690" t="s">
        <v>63</v>
      </c>
      <c r="AI1690" t="s">
        <v>63</v>
      </c>
      <c r="AJ1690" t="s">
        <v>63</v>
      </c>
      <c r="AK1690" t="s">
        <v>63</v>
      </c>
      <c r="AL1690" t="s">
        <v>63</v>
      </c>
      <c r="AM1690" t="s">
        <v>14805</v>
      </c>
      <c r="AN1690" t="s">
        <v>63</v>
      </c>
      <c r="AO1690" t="s">
        <v>63</v>
      </c>
      <c r="AP1690" t="s">
        <v>63</v>
      </c>
      <c r="AQ1690" t="s">
        <v>63</v>
      </c>
      <c r="AR1690" t="s">
        <v>63</v>
      </c>
      <c r="AS1690" t="s">
        <v>63</v>
      </c>
      <c r="AT1690" t="s">
        <v>63</v>
      </c>
      <c r="AU1690" t="s">
        <v>63</v>
      </c>
      <c r="AV1690" t="s">
        <v>63</v>
      </c>
      <c r="AW1690" t="s">
        <v>63</v>
      </c>
      <c r="AX1690" t="s">
        <v>63</v>
      </c>
      <c r="AY1690" t="s">
        <v>63</v>
      </c>
      <c r="AZ1690" t="s">
        <v>63</v>
      </c>
      <c r="BA1690" t="s">
        <v>63</v>
      </c>
      <c r="BB1690" t="s">
        <v>63</v>
      </c>
      <c r="BC1690" t="s">
        <v>63</v>
      </c>
      <c r="BD1690" t="s">
        <v>63</v>
      </c>
      <c r="BE1690" t="s">
        <v>63</v>
      </c>
      <c r="BF1690" t="s">
        <v>63</v>
      </c>
    </row>
    <row r="1691" spans="1:58">
      <c r="A1691" t="s">
        <v>58</v>
      </c>
      <c r="B1691" t="s">
        <v>14806</v>
      </c>
      <c r="C1691" t="s">
        <v>14807</v>
      </c>
      <c r="D1691" t="s">
        <v>1668</v>
      </c>
      <c r="E1691" t="s">
        <v>1669</v>
      </c>
      <c r="F1691">
        <v>2012</v>
      </c>
      <c r="G1691" t="s">
        <v>63</v>
      </c>
      <c r="H1691">
        <v>34</v>
      </c>
      <c r="I1691">
        <v>11</v>
      </c>
      <c r="J1691">
        <v>1000</v>
      </c>
      <c r="K1691" t="s">
        <v>63</v>
      </c>
      <c r="L1691" t="s">
        <v>14808</v>
      </c>
      <c r="M1691" t="s">
        <v>63</v>
      </c>
      <c r="N1691" t="s">
        <v>14809</v>
      </c>
      <c r="O1691" t="s">
        <v>63</v>
      </c>
      <c r="Q1691" t="s">
        <v>63</v>
      </c>
      <c r="R1691" t="s">
        <v>63</v>
      </c>
      <c r="S1691" t="s">
        <v>63</v>
      </c>
      <c r="T1691" t="s">
        <v>63</v>
      </c>
      <c r="X1691" t="s">
        <v>63</v>
      </c>
      <c r="Y1691" t="s">
        <v>1673</v>
      </c>
      <c r="Z1691" t="s">
        <v>63</v>
      </c>
      <c r="AA1691" t="s">
        <v>63</v>
      </c>
      <c r="AB1691">
        <v>22931146</v>
      </c>
      <c r="AC1691" t="s">
        <v>67</v>
      </c>
      <c r="AD1691" t="s">
        <v>63</v>
      </c>
      <c r="AE1691" t="s">
        <v>63</v>
      </c>
      <c r="AF1691" t="s">
        <v>63</v>
      </c>
      <c r="AG1691" t="s">
        <v>14810</v>
      </c>
      <c r="AH1691" t="s">
        <v>63</v>
      </c>
      <c r="AI1691" t="s">
        <v>14811</v>
      </c>
      <c r="AJ1691" t="s">
        <v>63</v>
      </c>
      <c r="AK1691" t="s">
        <v>63</v>
      </c>
      <c r="AL1691" t="s">
        <v>63</v>
      </c>
      <c r="AM1691" t="s">
        <v>14812</v>
      </c>
      <c r="AN1691" t="s">
        <v>63</v>
      </c>
      <c r="AO1691" t="s">
        <v>63</v>
      </c>
      <c r="AP1691" t="s">
        <v>63</v>
      </c>
      <c r="AQ1691" t="s">
        <v>63</v>
      </c>
      <c r="AR1691" t="s">
        <v>63</v>
      </c>
      <c r="AS1691" t="s">
        <v>63</v>
      </c>
      <c r="AT1691" t="s">
        <v>63</v>
      </c>
      <c r="AU1691" t="s">
        <v>63</v>
      </c>
      <c r="AV1691" t="s">
        <v>63</v>
      </c>
      <c r="AW1691" t="s">
        <v>63</v>
      </c>
      <c r="AX1691" t="s">
        <v>63</v>
      </c>
      <c r="AY1691" t="s">
        <v>63</v>
      </c>
      <c r="AZ1691" t="s">
        <v>63</v>
      </c>
      <c r="BA1691" t="s">
        <v>63</v>
      </c>
      <c r="BB1691" t="s">
        <v>63</v>
      </c>
      <c r="BC1691" t="s">
        <v>63</v>
      </c>
      <c r="BD1691" t="s">
        <v>63</v>
      </c>
      <c r="BE1691" t="s">
        <v>63</v>
      </c>
      <c r="BF1691" t="s">
        <v>63</v>
      </c>
    </row>
    <row r="1692" spans="1:58">
      <c r="A1692" t="s">
        <v>58</v>
      </c>
      <c r="B1692" t="s">
        <v>14813</v>
      </c>
      <c r="C1692" t="s">
        <v>14814</v>
      </c>
      <c r="D1692" t="s">
        <v>1602</v>
      </c>
      <c r="E1692" t="s">
        <v>63</v>
      </c>
      <c r="F1692">
        <v>1990</v>
      </c>
      <c r="G1692" s="1">
        <v>41829</v>
      </c>
      <c r="H1692">
        <v>120</v>
      </c>
      <c r="I1692" t="s">
        <v>14815</v>
      </c>
      <c r="J1692">
        <v>1014</v>
      </c>
      <c r="K1692">
        <v>1024</v>
      </c>
      <c r="L1692" t="s">
        <v>14816</v>
      </c>
      <c r="M1692" t="s">
        <v>14817</v>
      </c>
      <c r="N1692" t="s">
        <v>14818</v>
      </c>
      <c r="O1692" t="s">
        <v>63</v>
      </c>
      <c r="Q1692" t="s">
        <v>63</v>
      </c>
      <c r="R1692" t="s">
        <v>63</v>
      </c>
      <c r="S1692" t="s">
        <v>63</v>
      </c>
      <c r="T1692" t="s">
        <v>63</v>
      </c>
      <c r="X1692" t="s">
        <v>63</v>
      </c>
      <c r="Y1692" t="s">
        <v>1605</v>
      </c>
      <c r="Z1692" t="s">
        <v>63</v>
      </c>
      <c r="AA1692" t="s">
        <v>14819</v>
      </c>
      <c r="AB1692">
        <v>2115685</v>
      </c>
      <c r="AC1692" t="s">
        <v>1371</v>
      </c>
      <c r="AD1692" t="s">
        <v>63</v>
      </c>
      <c r="AE1692" t="s">
        <v>63</v>
      </c>
      <c r="AF1692" t="s">
        <v>63</v>
      </c>
      <c r="AG1692" t="s">
        <v>14820</v>
      </c>
      <c r="AH1692" t="s">
        <v>63</v>
      </c>
      <c r="AI1692" t="s">
        <v>63</v>
      </c>
      <c r="AJ1692" t="s">
        <v>63</v>
      </c>
      <c r="AK1692" t="s">
        <v>63</v>
      </c>
      <c r="AL1692" t="s">
        <v>63</v>
      </c>
      <c r="AM1692" t="s">
        <v>14821</v>
      </c>
      <c r="AN1692" t="s">
        <v>63</v>
      </c>
      <c r="AO1692" t="s">
        <v>63</v>
      </c>
      <c r="AP1692" t="s">
        <v>63</v>
      </c>
      <c r="AQ1692" t="s">
        <v>63</v>
      </c>
      <c r="AR1692" t="s">
        <v>63</v>
      </c>
      <c r="AS1692" t="s">
        <v>63</v>
      </c>
      <c r="AT1692" t="s">
        <v>63</v>
      </c>
      <c r="AU1692" t="s">
        <v>63</v>
      </c>
      <c r="AV1692" t="s">
        <v>63</v>
      </c>
      <c r="AW1692" t="s">
        <v>63</v>
      </c>
      <c r="AX1692" t="s">
        <v>63</v>
      </c>
      <c r="AY1692" t="s">
        <v>63</v>
      </c>
      <c r="AZ1692" t="s">
        <v>63</v>
      </c>
      <c r="BA1692" t="s">
        <v>63</v>
      </c>
      <c r="BB1692" t="s">
        <v>63</v>
      </c>
      <c r="BC1692" t="s">
        <v>63</v>
      </c>
      <c r="BD1692" t="s">
        <v>63</v>
      </c>
      <c r="BE1692" t="s">
        <v>63</v>
      </c>
      <c r="BF1692" t="s">
        <v>63</v>
      </c>
    </row>
    <row r="1693" spans="1:58">
      <c r="A1693" t="s">
        <v>58</v>
      </c>
      <c r="B1693" t="s">
        <v>14822</v>
      </c>
      <c r="C1693" t="s">
        <v>14823</v>
      </c>
      <c r="D1693" t="s">
        <v>12969</v>
      </c>
      <c r="E1693" t="s">
        <v>12969</v>
      </c>
      <c r="F1693">
        <v>1999</v>
      </c>
      <c r="G1693" s="1">
        <v>41925</v>
      </c>
      <c r="H1693">
        <v>88</v>
      </c>
      <c r="I1693">
        <v>42</v>
      </c>
      <c r="J1693">
        <v>1691</v>
      </c>
      <c r="K1693">
        <v>1692</v>
      </c>
      <c r="L1693" t="s">
        <v>14824</v>
      </c>
      <c r="M1693" t="s">
        <v>63</v>
      </c>
      <c r="N1693" t="s">
        <v>14825</v>
      </c>
      <c r="O1693" t="s">
        <v>63</v>
      </c>
      <c r="Q1693" t="s">
        <v>63</v>
      </c>
      <c r="R1693" t="s">
        <v>63</v>
      </c>
      <c r="S1693" t="s">
        <v>63</v>
      </c>
      <c r="T1693" t="s">
        <v>63</v>
      </c>
      <c r="X1693" t="s">
        <v>63</v>
      </c>
      <c r="Y1693" t="s">
        <v>12972</v>
      </c>
      <c r="Z1693" t="s">
        <v>63</v>
      </c>
      <c r="AA1693" t="s">
        <v>63</v>
      </c>
      <c r="AB1693">
        <v>10574032</v>
      </c>
      <c r="AC1693" t="s">
        <v>278</v>
      </c>
      <c r="AD1693" t="s">
        <v>63</v>
      </c>
      <c r="AE1693" t="s">
        <v>63</v>
      </c>
      <c r="AF1693" t="s">
        <v>63</v>
      </c>
      <c r="AG1693" t="s">
        <v>14826</v>
      </c>
      <c r="AH1693" t="s">
        <v>63</v>
      </c>
      <c r="AI1693" t="s">
        <v>63</v>
      </c>
      <c r="AJ1693" t="s">
        <v>63</v>
      </c>
      <c r="AK1693" t="s">
        <v>63</v>
      </c>
      <c r="AL1693" t="s">
        <v>63</v>
      </c>
      <c r="AM1693" t="s">
        <v>14827</v>
      </c>
      <c r="AN1693" t="s">
        <v>63</v>
      </c>
      <c r="AO1693" t="s">
        <v>63</v>
      </c>
      <c r="AP1693" t="s">
        <v>63</v>
      </c>
      <c r="AQ1693" t="s">
        <v>63</v>
      </c>
      <c r="AR1693" t="s">
        <v>63</v>
      </c>
      <c r="AS1693" t="s">
        <v>63</v>
      </c>
      <c r="AT1693" t="s">
        <v>63</v>
      </c>
      <c r="AU1693" t="s">
        <v>63</v>
      </c>
      <c r="AV1693" t="s">
        <v>63</v>
      </c>
      <c r="AW1693" t="s">
        <v>63</v>
      </c>
      <c r="AX1693" t="s">
        <v>63</v>
      </c>
      <c r="AY1693" t="s">
        <v>63</v>
      </c>
      <c r="AZ1693" t="s">
        <v>63</v>
      </c>
      <c r="BA1693" t="s">
        <v>63</v>
      </c>
      <c r="BB1693" t="s">
        <v>63</v>
      </c>
      <c r="BC1693" t="s">
        <v>63</v>
      </c>
      <c r="BD1693" t="s">
        <v>63</v>
      </c>
      <c r="BE1693" t="s">
        <v>63</v>
      </c>
      <c r="BF1693" t="s">
        <v>63</v>
      </c>
    </row>
    <row r="1694" spans="1:58">
      <c r="A1694" t="s">
        <v>58</v>
      </c>
      <c r="B1694" t="s">
        <v>14828</v>
      </c>
      <c r="C1694" t="s">
        <v>14829</v>
      </c>
      <c r="D1694" t="s">
        <v>14830</v>
      </c>
      <c r="E1694" t="s">
        <v>14831</v>
      </c>
      <c r="F1694">
        <v>2004</v>
      </c>
      <c r="G1694" t="s">
        <v>614</v>
      </c>
      <c r="H1694">
        <v>41</v>
      </c>
      <c r="I1694">
        <v>6</v>
      </c>
      <c r="J1694">
        <v>697</v>
      </c>
      <c r="K1694">
        <v>702</v>
      </c>
      <c r="L1694" t="s">
        <v>14832</v>
      </c>
      <c r="M1694" t="s">
        <v>14833</v>
      </c>
      <c r="N1694" t="s">
        <v>14834</v>
      </c>
      <c r="O1694" t="s">
        <v>63</v>
      </c>
      <c r="Q1694" t="s">
        <v>63</v>
      </c>
      <c r="R1694" t="s">
        <v>63</v>
      </c>
      <c r="S1694" t="s">
        <v>63</v>
      </c>
      <c r="T1694" t="s">
        <v>63</v>
      </c>
      <c r="X1694" t="s">
        <v>63</v>
      </c>
      <c r="Y1694" t="s">
        <v>14835</v>
      </c>
      <c r="Z1694" t="s">
        <v>63</v>
      </c>
      <c r="AA1694" t="s">
        <v>14836</v>
      </c>
      <c r="AB1694">
        <v>15240093</v>
      </c>
      <c r="AC1694" t="s">
        <v>67</v>
      </c>
      <c r="AD1694" t="s">
        <v>63</v>
      </c>
      <c r="AE1694" t="s">
        <v>63</v>
      </c>
      <c r="AF1694" t="s">
        <v>63</v>
      </c>
      <c r="AG1694" t="s">
        <v>14837</v>
      </c>
      <c r="AH1694" t="s">
        <v>63</v>
      </c>
      <c r="AI1694" t="s">
        <v>63</v>
      </c>
      <c r="AJ1694" t="s">
        <v>63</v>
      </c>
      <c r="AK1694" t="s">
        <v>63</v>
      </c>
      <c r="AL1694" t="s">
        <v>63</v>
      </c>
      <c r="AM1694" t="s">
        <v>14838</v>
      </c>
      <c r="AN1694" t="s">
        <v>63</v>
      </c>
      <c r="AO1694" t="s">
        <v>63</v>
      </c>
      <c r="AP1694" t="s">
        <v>63</v>
      </c>
      <c r="AQ1694" t="s">
        <v>63</v>
      </c>
      <c r="AR1694" t="s">
        <v>63</v>
      </c>
      <c r="AS1694" t="s">
        <v>63</v>
      </c>
      <c r="AT1694" t="s">
        <v>63</v>
      </c>
      <c r="AU1694" t="s">
        <v>63</v>
      </c>
      <c r="AV1694" t="s">
        <v>63</v>
      </c>
      <c r="AW1694" t="s">
        <v>63</v>
      </c>
      <c r="AX1694" t="s">
        <v>63</v>
      </c>
      <c r="AY1694" t="s">
        <v>63</v>
      </c>
      <c r="AZ1694" t="s">
        <v>63</v>
      </c>
      <c r="BA1694" t="s">
        <v>63</v>
      </c>
      <c r="BB1694" t="s">
        <v>63</v>
      </c>
      <c r="BC1694" t="s">
        <v>63</v>
      </c>
      <c r="BD1694" t="s">
        <v>63</v>
      </c>
      <c r="BE1694" t="s">
        <v>63</v>
      </c>
      <c r="BF1694" t="s">
        <v>63</v>
      </c>
    </row>
    <row r="1695" spans="1:58">
      <c r="A1695" t="s">
        <v>58</v>
      </c>
      <c r="B1695" t="s">
        <v>14839</v>
      </c>
      <c r="C1695" t="s">
        <v>14840</v>
      </c>
      <c r="D1695" t="s">
        <v>2788</v>
      </c>
      <c r="E1695" t="s">
        <v>63</v>
      </c>
      <c r="F1695">
        <v>2018</v>
      </c>
      <c r="G1695" t="s">
        <v>14841</v>
      </c>
      <c r="H1695">
        <v>75</v>
      </c>
      <c r="I1695">
        <v>3</v>
      </c>
      <c r="J1695">
        <v>552</v>
      </c>
      <c r="K1695">
        <v>556</v>
      </c>
      <c r="L1695" t="s">
        <v>63</v>
      </c>
      <c r="M1695" t="s">
        <v>14842</v>
      </c>
      <c r="N1695" t="s">
        <v>14843</v>
      </c>
      <c r="O1695" t="s">
        <v>63</v>
      </c>
      <c r="Q1695" t="s">
        <v>63</v>
      </c>
      <c r="R1695" t="s">
        <v>63</v>
      </c>
      <c r="S1695" t="s">
        <v>63</v>
      </c>
      <c r="T1695" t="s">
        <v>63</v>
      </c>
      <c r="X1695" t="s">
        <v>63</v>
      </c>
      <c r="Y1695" t="s">
        <v>2792</v>
      </c>
      <c r="Z1695" t="s">
        <v>63</v>
      </c>
      <c r="AA1695" t="s">
        <v>14844</v>
      </c>
      <c r="AB1695">
        <v>28882458</v>
      </c>
      <c r="AC1695" t="s">
        <v>67</v>
      </c>
      <c r="AD1695" t="s">
        <v>63</v>
      </c>
      <c r="AE1695" t="s">
        <v>63</v>
      </c>
      <c r="AF1695" t="s">
        <v>63</v>
      </c>
      <c r="AG1695" t="s">
        <v>14845</v>
      </c>
      <c r="AH1695" t="s">
        <v>63</v>
      </c>
      <c r="AI1695" t="s">
        <v>14846</v>
      </c>
      <c r="AJ1695" t="s">
        <v>63</v>
      </c>
      <c r="AK1695" t="s">
        <v>63</v>
      </c>
      <c r="AL1695" t="s">
        <v>63</v>
      </c>
      <c r="AM1695" t="s">
        <v>14847</v>
      </c>
      <c r="AN1695" t="s">
        <v>63</v>
      </c>
      <c r="AO1695" t="s">
        <v>63</v>
      </c>
      <c r="AP1695" t="s">
        <v>63</v>
      </c>
      <c r="AQ1695" t="s">
        <v>63</v>
      </c>
      <c r="AR1695" t="s">
        <v>63</v>
      </c>
      <c r="AS1695" t="s">
        <v>63</v>
      </c>
      <c r="AT1695" t="s">
        <v>63</v>
      </c>
      <c r="AU1695" t="s">
        <v>63</v>
      </c>
      <c r="AV1695" t="s">
        <v>63</v>
      </c>
      <c r="AW1695" t="s">
        <v>63</v>
      </c>
      <c r="AX1695" t="s">
        <v>63</v>
      </c>
      <c r="AY1695" t="s">
        <v>63</v>
      </c>
      <c r="AZ1695" t="s">
        <v>63</v>
      </c>
      <c r="BA1695" t="s">
        <v>63</v>
      </c>
      <c r="BB1695" t="s">
        <v>63</v>
      </c>
      <c r="BC1695" t="s">
        <v>63</v>
      </c>
      <c r="BD1695" t="s">
        <v>63</v>
      </c>
      <c r="BE1695" t="s">
        <v>63</v>
      </c>
      <c r="BF1695" t="s">
        <v>63</v>
      </c>
    </row>
    <row r="1696" spans="1:58">
      <c r="A1696" t="s">
        <v>58</v>
      </c>
      <c r="B1696" t="s">
        <v>14848</v>
      </c>
      <c r="C1696" t="s">
        <v>14849</v>
      </c>
      <c r="D1696" t="s">
        <v>2731</v>
      </c>
      <c r="E1696" t="s">
        <v>63</v>
      </c>
      <c r="F1696">
        <v>2012</v>
      </c>
      <c r="G1696" t="s">
        <v>147</v>
      </c>
      <c r="H1696">
        <v>8</v>
      </c>
      <c r="I1696">
        <v>2</v>
      </c>
      <c r="J1696">
        <v>81</v>
      </c>
      <c r="K1696">
        <v>87</v>
      </c>
      <c r="L1696" t="s">
        <v>14850</v>
      </c>
      <c r="M1696" t="s">
        <v>14851</v>
      </c>
      <c r="N1696" t="s">
        <v>14852</v>
      </c>
      <c r="O1696" t="s">
        <v>63</v>
      </c>
      <c r="Q1696" t="s">
        <v>63</v>
      </c>
      <c r="R1696" t="s">
        <v>63</v>
      </c>
      <c r="S1696" t="s">
        <v>63</v>
      </c>
      <c r="T1696" t="s">
        <v>63</v>
      </c>
      <c r="X1696" t="s">
        <v>63</v>
      </c>
      <c r="Y1696" t="s">
        <v>2735</v>
      </c>
      <c r="Z1696" t="s">
        <v>63</v>
      </c>
      <c r="AA1696" t="s">
        <v>14853</v>
      </c>
      <c r="AB1696">
        <v>22616313</v>
      </c>
      <c r="AC1696" t="s">
        <v>67</v>
      </c>
      <c r="AD1696" t="s">
        <v>63</v>
      </c>
      <c r="AE1696" t="s">
        <v>63</v>
      </c>
      <c r="AF1696" t="s">
        <v>63</v>
      </c>
      <c r="AG1696" t="s">
        <v>14854</v>
      </c>
      <c r="AH1696" t="s">
        <v>63</v>
      </c>
      <c r="AI1696" t="s">
        <v>63</v>
      </c>
      <c r="AJ1696" t="s">
        <v>63</v>
      </c>
      <c r="AK1696" t="s">
        <v>63</v>
      </c>
      <c r="AL1696" t="s">
        <v>63</v>
      </c>
      <c r="AM1696" t="s">
        <v>14855</v>
      </c>
      <c r="AN1696" t="s">
        <v>63</v>
      </c>
      <c r="AO1696" t="s">
        <v>63</v>
      </c>
      <c r="AP1696" t="s">
        <v>63</v>
      </c>
      <c r="AQ1696" t="s">
        <v>63</v>
      </c>
      <c r="AR1696" t="s">
        <v>63</v>
      </c>
      <c r="AS1696" t="s">
        <v>63</v>
      </c>
      <c r="AT1696" t="s">
        <v>63</v>
      </c>
      <c r="AU1696" t="s">
        <v>63</v>
      </c>
      <c r="AV1696" t="s">
        <v>63</v>
      </c>
      <c r="AW1696" t="s">
        <v>63</v>
      </c>
      <c r="AX1696" t="s">
        <v>63</v>
      </c>
      <c r="AY1696" t="s">
        <v>63</v>
      </c>
      <c r="AZ1696" t="s">
        <v>63</v>
      </c>
      <c r="BA1696" t="s">
        <v>63</v>
      </c>
      <c r="BB1696" t="s">
        <v>63</v>
      </c>
      <c r="BC1696" t="s">
        <v>63</v>
      </c>
      <c r="BD1696" t="s">
        <v>63</v>
      </c>
      <c r="BE1696" t="s">
        <v>63</v>
      </c>
      <c r="BF1696" t="s">
        <v>63</v>
      </c>
    </row>
    <row r="1697" spans="1:58">
      <c r="A1697" t="s">
        <v>58</v>
      </c>
      <c r="B1697" t="s">
        <v>14856</v>
      </c>
      <c r="C1697" t="s">
        <v>14857</v>
      </c>
      <c r="D1697" t="s">
        <v>14858</v>
      </c>
      <c r="E1697" t="s">
        <v>14859</v>
      </c>
      <c r="F1697">
        <v>1997</v>
      </c>
      <c r="G1697" t="s">
        <v>63</v>
      </c>
      <c r="H1697" t="s">
        <v>14860</v>
      </c>
      <c r="I1697" t="s">
        <v>63</v>
      </c>
      <c r="J1697">
        <v>28</v>
      </c>
      <c r="K1697">
        <v>30</v>
      </c>
      <c r="L1697" t="s">
        <v>14861</v>
      </c>
      <c r="M1697" t="s">
        <v>14862</v>
      </c>
      <c r="N1697" t="s">
        <v>14863</v>
      </c>
      <c r="O1697" t="s">
        <v>63</v>
      </c>
      <c r="Q1697" t="s">
        <v>63</v>
      </c>
      <c r="R1697" t="s">
        <v>63</v>
      </c>
      <c r="S1697" t="s">
        <v>63</v>
      </c>
      <c r="T1697" t="s">
        <v>63</v>
      </c>
      <c r="X1697" t="s">
        <v>63</v>
      </c>
      <c r="Y1697" t="s">
        <v>14864</v>
      </c>
      <c r="Z1697" t="s">
        <v>63</v>
      </c>
      <c r="AA1697" t="s">
        <v>14865</v>
      </c>
      <c r="AB1697">
        <v>9219491</v>
      </c>
      <c r="AC1697" t="s">
        <v>67</v>
      </c>
      <c r="AD1697" t="s">
        <v>63</v>
      </c>
      <c r="AE1697" t="s">
        <v>63</v>
      </c>
      <c r="AF1697" t="s">
        <v>63</v>
      </c>
      <c r="AG1697" t="s">
        <v>14866</v>
      </c>
      <c r="AH1697" t="s">
        <v>63</v>
      </c>
      <c r="AI1697" t="s">
        <v>63</v>
      </c>
      <c r="AJ1697" t="s">
        <v>63</v>
      </c>
      <c r="AK1697" t="s">
        <v>63</v>
      </c>
      <c r="AL1697" t="s">
        <v>63</v>
      </c>
      <c r="AM1697" t="s">
        <v>14867</v>
      </c>
      <c r="AN1697" t="s">
        <v>63</v>
      </c>
      <c r="AO1697" t="s">
        <v>63</v>
      </c>
      <c r="AP1697" t="s">
        <v>63</v>
      </c>
      <c r="AQ1697" t="s">
        <v>63</v>
      </c>
      <c r="AR1697" t="s">
        <v>63</v>
      </c>
      <c r="AS1697" t="s">
        <v>63</v>
      </c>
      <c r="AT1697" t="s">
        <v>63</v>
      </c>
      <c r="AU1697" t="s">
        <v>63</v>
      </c>
      <c r="AV1697" t="s">
        <v>63</v>
      </c>
      <c r="AW1697" t="s">
        <v>63</v>
      </c>
      <c r="AX1697" t="s">
        <v>63</v>
      </c>
      <c r="AY1697" t="s">
        <v>63</v>
      </c>
      <c r="AZ1697" t="s">
        <v>63</v>
      </c>
      <c r="BA1697" t="s">
        <v>63</v>
      </c>
      <c r="BB1697" t="s">
        <v>63</v>
      </c>
      <c r="BC1697" t="s">
        <v>63</v>
      </c>
      <c r="BD1697" t="s">
        <v>63</v>
      </c>
      <c r="BE1697" t="s">
        <v>63</v>
      </c>
      <c r="BF1697" t="s">
        <v>63</v>
      </c>
    </row>
    <row r="1698" spans="1:58">
      <c r="A1698" t="s">
        <v>58</v>
      </c>
      <c r="B1698" t="s">
        <v>14868</v>
      </c>
      <c r="C1698" t="s">
        <v>14869</v>
      </c>
      <c r="D1698" t="s">
        <v>500</v>
      </c>
      <c r="E1698" t="s">
        <v>501</v>
      </c>
      <c r="F1698">
        <v>2002</v>
      </c>
      <c r="G1698" t="s">
        <v>63</v>
      </c>
      <c r="H1698">
        <v>22</v>
      </c>
      <c r="I1698">
        <v>2</v>
      </c>
      <c r="J1698">
        <v>84</v>
      </c>
      <c r="K1698">
        <v>93</v>
      </c>
      <c r="L1698" t="s">
        <v>14870</v>
      </c>
      <c r="M1698" t="s">
        <v>14871</v>
      </c>
      <c r="N1698" t="s">
        <v>14872</v>
      </c>
      <c r="O1698" t="s">
        <v>63</v>
      </c>
      <c r="Q1698" t="s">
        <v>63</v>
      </c>
      <c r="R1698" t="s">
        <v>63</v>
      </c>
      <c r="S1698" t="s">
        <v>63</v>
      </c>
      <c r="T1698" t="s">
        <v>63</v>
      </c>
      <c r="X1698" t="s">
        <v>63</v>
      </c>
      <c r="Y1698" t="s">
        <v>9473</v>
      </c>
      <c r="Z1698" t="s">
        <v>63</v>
      </c>
      <c r="AA1698" t="s">
        <v>14873</v>
      </c>
      <c r="AB1698">
        <v>12099124</v>
      </c>
      <c r="AC1698" t="s">
        <v>67</v>
      </c>
      <c r="AD1698" t="s">
        <v>63</v>
      </c>
      <c r="AE1698" t="s">
        <v>63</v>
      </c>
      <c r="AF1698" t="s">
        <v>63</v>
      </c>
      <c r="AG1698" t="s">
        <v>14874</v>
      </c>
      <c r="AH1698" t="s">
        <v>63</v>
      </c>
      <c r="AI1698" t="s">
        <v>63</v>
      </c>
      <c r="AJ1698" t="s">
        <v>63</v>
      </c>
      <c r="AK1698" t="s">
        <v>63</v>
      </c>
      <c r="AL1698" t="s">
        <v>63</v>
      </c>
      <c r="AM1698" t="s">
        <v>14875</v>
      </c>
      <c r="AN1698" t="s">
        <v>63</v>
      </c>
      <c r="AO1698" t="s">
        <v>63</v>
      </c>
      <c r="AP1698" t="s">
        <v>63</v>
      </c>
      <c r="AQ1698" t="s">
        <v>63</v>
      </c>
      <c r="AR1698" t="s">
        <v>63</v>
      </c>
      <c r="AS1698" t="s">
        <v>63</v>
      </c>
      <c r="AT1698" t="s">
        <v>63</v>
      </c>
      <c r="AU1698" t="s">
        <v>63</v>
      </c>
      <c r="AV1698" t="s">
        <v>63</v>
      </c>
      <c r="AW1698" t="s">
        <v>63</v>
      </c>
      <c r="AX1698" t="s">
        <v>63</v>
      </c>
      <c r="AY1698" t="s">
        <v>63</v>
      </c>
      <c r="AZ1698" t="s">
        <v>63</v>
      </c>
      <c r="BA1698" t="s">
        <v>63</v>
      </c>
      <c r="BB1698" t="s">
        <v>63</v>
      </c>
      <c r="BC1698" t="s">
        <v>63</v>
      </c>
      <c r="BD1698" t="s">
        <v>63</v>
      </c>
      <c r="BE1698" t="s">
        <v>63</v>
      </c>
      <c r="BF1698" t="s">
        <v>63</v>
      </c>
    </row>
    <row r="1699" spans="1:58">
      <c r="A1699" t="s">
        <v>58</v>
      </c>
      <c r="B1699" t="s">
        <v>14876</v>
      </c>
      <c r="C1699" t="s">
        <v>14877</v>
      </c>
      <c r="D1699" t="s">
        <v>14878</v>
      </c>
      <c r="E1699" t="s">
        <v>63</v>
      </c>
      <c r="F1699">
        <v>2009</v>
      </c>
      <c r="G1699" s="1">
        <v>41688</v>
      </c>
      <c r="H1699">
        <v>8</v>
      </c>
      <c r="I1699" t="s">
        <v>63</v>
      </c>
      <c r="J1699">
        <v>8</v>
      </c>
      <c r="K1699" t="s">
        <v>63</v>
      </c>
      <c r="L1699" t="s">
        <v>63</v>
      </c>
      <c r="M1699" t="s">
        <v>14879</v>
      </c>
      <c r="N1699" t="s">
        <v>14880</v>
      </c>
      <c r="O1699" t="s">
        <v>63</v>
      </c>
      <c r="Q1699" t="s">
        <v>63</v>
      </c>
      <c r="R1699" t="s">
        <v>63</v>
      </c>
      <c r="S1699" t="s">
        <v>63</v>
      </c>
      <c r="T1699" t="s">
        <v>63</v>
      </c>
      <c r="X1699" t="s">
        <v>63</v>
      </c>
      <c r="Y1699" t="s">
        <v>14881</v>
      </c>
      <c r="Z1699" t="s">
        <v>63</v>
      </c>
      <c r="AA1699" t="s">
        <v>14882</v>
      </c>
      <c r="AB1699">
        <v>19228374</v>
      </c>
      <c r="AC1699" t="s">
        <v>67</v>
      </c>
      <c r="AD1699" t="s">
        <v>63</v>
      </c>
      <c r="AE1699" t="s">
        <v>63</v>
      </c>
      <c r="AF1699" t="s">
        <v>63</v>
      </c>
      <c r="AG1699" t="s">
        <v>14883</v>
      </c>
      <c r="AH1699" t="s">
        <v>63</v>
      </c>
      <c r="AI1699" t="s">
        <v>14884</v>
      </c>
      <c r="AJ1699" t="s">
        <v>63</v>
      </c>
      <c r="AK1699" t="s">
        <v>63</v>
      </c>
      <c r="AL1699" t="s">
        <v>63</v>
      </c>
      <c r="AM1699" t="s">
        <v>14885</v>
      </c>
      <c r="AN1699" t="s">
        <v>63</v>
      </c>
      <c r="AO1699" t="s">
        <v>63</v>
      </c>
      <c r="AP1699" t="s">
        <v>63</v>
      </c>
      <c r="AQ1699" t="s">
        <v>63</v>
      </c>
      <c r="AR1699" t="s">
        <v>63</v>
      </c>
      <c r="AS1699" t="s">
        <v>63</v>
      </c>
      <c r="AT1699" t="s">
        <v>63</v>
      </c>
      <c r="AU1699" t="s">
        <v>63</v>
      </c>
      <c r="AV1699" t="s">
        <v>63</v>
      </c>
      <c r="AW1699" t="s">
        <v>63</v>
      </c>
      <c r="AX1699" t="s">
        <v>63</v>
      </c>
      <c r="AY1699" t="s">
        <v>63</v>
      </c>
      <c r="AZ1699" t="s">
        <v>63</v>
      </c>
      <c r="BA1699" t="s">
        <v>63</v>
      </c>
      <c r="BB1699" t="s">
        <v>63</v>
      </c>
      <c r="BC1699" t="s">
        <v>63</v>
      </c>
      <c r="BD1699" t="s">
        <v>63</v>
      </c>
      <c r="BE1699" t="s">
        <v>63</v>
      </c>
      <c r="BF1699" t="s">
        <v>63</v>
      </c>
    </row>
    <row r="1700" spans="1:58">
      <c r="A1700" t="s">
        <v>58</v>
      </c>
      <c r="B1700" t="s">
        <v>14886</v>
      </c>
      <c r="C1700" t="s">
        <v>14887</v>
      </c>
      <c r="D1700" t="s">
        <v>14888</v>
      </c>
      <c r="E1700" t="s">
        <v>14889</v>
      </c>
      <c r="F1700">
        <v>2015</v>
      </c>
      <c r="G1700" t="s">
        <v>63</v>
      </c>
      <c r="H1700">
        <v>19</v>
      </c>
      <c r="I1700">
        <v>2</v>
      </c>
      <c r="J1700">
        <v>249</v>
      </c>
      <c r="K1700">
        <v>259</v>
      </c>
      <c r="L1700" t="s">
        <v>14890</v>
      </c>
      <c r="M1700" t="s">
        <v>14891</v>
      </c>
      <c r="N1700" t="s">
        <v>14892</v>
      </c>
      <c r="O1700" t="s">
        <v>63</v>
      </c>
      <c r="Q1700" t="s">
        <v>63</v>
      </c>
      <c r="R1700" t="s">
        <v>63</v>
      </c>
      <c r="S1700" t="s">
        <v>63</v>
      </c>
      <c r="T1700" t="s">
        <v>63</v>
      </c>
      <c r="X1700" t="s">
        <v>63</v>
      </c>
      <c r="Y1700" t="s">
        <v>14893</v>
      </c>
      <c r="Z1700" t="s">
        <v>63</v>
      </c>
      <c r="AA1700" t="s">
        <v>14894</v>
      </c>
      <c r="AB1700">
        <v>25706485</v>
      </c>
      <c r="AC1700" t="s">
        <v>67</v>
      </c>
      <c r="AD1700" t="s">
        <v>63</v>
      </c>
      <c r="AE1700" t="s">
        <v>63</v>
      </c>
      <c r="AF1700" t="s">
        <v>63</v>
      </c>
      <c r="AG1700" t="s">
        <v>14895</v>
      </c>
      <c r="AH1700" t="s">
        <v>63</v>
      </c>
      <c r="AI1700" t="s">
        <v>14896</v>
      </c>
      <c r="AJ1700" t="s">
        <v>63</v>
      </c>
      <c r="AK1700" t="s">
        <v>63</v>
      </c>
      <c r="AL1700" t="s">
        <v>63</v>
      </c>
      <c r="AM1700" t="s">
        <v>14897</v>
      </c>
      <c r="AN1700" t="s">
        <v>63</v>
      </c>
      <c r="AO1700" t="s">
        <v>63</v>
      </c>
      <c r="AP1700" t="s">
        <v>63</v>
      </c>
      <c r="AQ1700" t="s">
        <v>63</v>
      </c>
      <c r="AR1700" t="s">
        <v>63</v>
      </c>
      <c r="AS1700" t="s">
        <v>63</v>
      </c>
      <c r="AT1700" t="s">
        <v>63</v>
      </c>
      <c r="AU1700" t="s">
        <v>63</v>
      </c>
      <c r="AV1700" t="s">
        <v>63</v>
      </c>
      <c r="AW1700" t="s">
        <v>63</v>
      </c>
      <c r="AX1700" t="s">
        <v>63</v>
      </c>
      <c r="AY1700" t="s">
        <v>63</v>
      </c>
      <c r="AZ1700" t="s">
        <v>63</v>
      </c>
      <c r="BA1700" t="s">
        <v>63</v>
      </c>
      <c r="BB1700" t="s">
        <v>63</v>
      </c>
      <c r="BC1700" t="s">
        <v>63</v>
      </c>
      <c r="BD1700" t="s">
        <v>63</v>
      </c>
      <c r="BE1700" t="s">
        <v>63</v>
      </c>
      <c r="BF1700" t="s">
        <v>63</v>
      </c>
    </row>
    <row r="1701" spans="1:58">
      <c r="A1701" t="s">
        <v>58</v>
      </c>
      <c r="B1701" t="s">
        <v>14898</v>
      </c>
      <c r="C1701" t="s">
        <v>14899</v>
      </c>
      <c r="D1701" t="s">
        <v>14900</v>
      </c>
      <c r="E1701" t="s">
        <v>14901</v>
      </c>
      <c r="F1701">
        <v>1990</v>
      </c>
      <c r="G1701" t="s">
        <v>274</v>
      </c>
      <c r="H1701">
        <v>15</v>
      </c>
      <c r="I1701">
        <v>3</v>
      </c>
      <c r="J1701">
        <v>10</v>
      </c>
      <c r="K1701" t="s">
        <v>14902</v>
      </c>
      <c r="L1701" t="s">
        <v>14903</v>
      </c>
      <c r="M1701" t="s">
        <v>14904</v>
      </c>
      <c r="N1701" t="s">
        <v>14905</v>
      </c>
      <c r="O1701" t="s">
        <v>63</v>
      </c>
      <c r="Q1701" t="s">
        <v>63</v>
      </c>
      <c r="R1701" t="s">
        <v>63</v>
      </c>
      <c r="S1701" t="s">
        <v>63</v>
      </c>
      <c r="T1701" t="s">
        <v>63</v>
      </c>
      <c r="X1701" t="s">
        <v>63</v>
      </c>
      <c r="Y1701" t="s">
        <v>14906</v>
      </c>
      <c r="Z1701" t="s">
        <v>63</v>
      </c>
      <c r="AA1701" t="s">
        <v>14907</v>
      </c>
      <c r="AB1701">
        <v>2314676</v>
      </c>
      <c r="AC1701" t="s">
        <v>67</v>
      </c>
      <c r="AD1701" t="s">
        <v>63</v>
      </c>
      <c r="AE1701" t="s">
        <v>63</v>
      </c>
      <c r="AF1701" t="s">
        <v>63</v>
      </c>
      <c r="AG1701" t="s">
        <v>14908</v>
      </c>
      <c r="AH1701" t="s">
        <v>63</v>
      </c>
      <c r="AI1701" t="s">
        <v>63</v>
      </c>
      <c r="AJ1701" t="s">
        <v>63</v>
      </c>
      <c r="AK1701" t="s">
        <v>63</v>
      </c>
      <c r="AL1701" t="s">
        <v>63</v>
      </c>
      <c r="AM1701" t="s">
        <v>14909</v>
      </c>
      <c r="AN1701" t="s">
        <v>63</v>
      </c>
      <c r="AO1701" t="s">
        <v>63</v>
      </c>
      <c r="AP1701" t="s">
        <v>63</v>
      </c>
      <c r="AQ1701" t="s">
        <v>63</v>
      </c>
      <c r="AR1701" t="s">
        <v>63</v>
      </c>
      <c r="AS1701" t="s">
        <v>63</v>
      </c>
      <c r="AT1701" t="s">
        <v>63</v>
      </c>
      <c r="AU1701" t="s">
        <v>63</v>
      </c>
      <c r="AV1701" t="s">
        <v>63</v>
      </c>
      <c r="AW1701" t="s">
        <v>63</v>
      </c>
      <c r="AX1701" t="s">
        <v>63</v>
      </c>
      <c r="AY1701" t="s">
        <v>63</v>
      </c>
      <c r="AZ1701" t="s">
        <v>63</v>
      </c>
      <c r="BA1701" t="s">
        <v>63</v>
      </c>
      <c r="BB1701" t="s">
        <v>63</v>
      </c>
      <c r="BC1701" t="s">
        <v>63</v>
      </c>
      <c r="BD1701" t="s">
        <v>63</v>
      </c>
      <c r="BE1701" t="s">
        <v>63</v>
      </c>
      <c r="BF1701" t="s">
        <v>63</v>
      </c>
    </row>
    <row r="1702" spans="1:58">
      <c r="A1702" t="s">
        <v>58</v>
      </c>
      <c r="B1702" t="s">
        <v>14910</v>
      </c>
      <c r="C1702" t="s">
        <v>14911</v>
      </c>
      <c r="D1702" t="s">
        <v>2450</v>
      </c>
      <c r="E1702" t="s">
        <v>2451</v>
      </c>
      <c r="F1702">
        <v>1974</v>
      </c>
      <c r="G1702" t="s">
        <v>274</v>
      </c>
      <c r="H1702">
        <v>73</v>
      </c>
      <c r="I1702">
        <v>9</v>
      </c>
      <c r="J1702">
        <v>135</v>
      </c>
      <c r="K1702">
        <v>136</v>
      </c>
      <c r="L1702" t="s">
        <v>14912</v>
      </c>
      <c r="M1702" t="s">
        <v>63</v>
      </c>
      <c r="N1702" t="s">
        <v>14913</v>
      </c>
      <c r="O1702" t="s">
        <v>63</v>
      </c>
      <c r="Q1702" t="s">
        <v>63</v>
      </c>
      <c r="R1702" t="s">
        <v>63</v>
      </c>
      <c r="S1702" t="s">
        <v>63</v>
      </c>
      <c r="T1702" t="s">
        <v>63</v>
      </c>
      <c r="X1702" t="s">
        <v>63</v>
      </c>
      <c r="Y1702" t="s">
        <v>2454</v>
      </c>
      <c r="Z1702" t="s">
        <v>63</v>
      </c>
      <c r="AA1702" t="s">
        <v>63</v>
      </c>
      <c r="AB1702">
        <v>4846501</v>
      </c>
      <c r="AC1702" t="s">
        <v>67</v>
      </c>
      <c r="AD1702" t="s">
        <v>63</v>
      </c>
      <c r="AE1702" t="s">
        <v>63</v>
      </c>
      <c r="AF1702" t="s">
        <v>63</v>
      </c>
      <c r="AG1702" t="s">
        <v>14914</v>
      </c>
      <c r="AH1702" t="s">
        <v>63</v>
      </c>
      <c r="AI1702" t="s">
        <v>63</v>
      </c>
      <c r="AJ1702" t="s">
        <v>63</v>
      </c>
      <c r="AK1702" t="s">
        <v>63</v>
      </c>
      <c r="AL1702" t="s">
        <v>63</v>
      </c>
      <c r="AM1702" t="s">
        <v>14915</v>
      </c>
      <c r="AN1702" t="s">
        <v>63</v>
      </c>
      <c r="AO1702" t="s">
        <v>63</v>
      </c>
      <c r="AP1702" t="s">
        <v>63</v>
      </c>
      <c r="AQ1702" t="s">
        <v>63</v>
      </c>
      <c r="AR1702" t="s">
        <v>63</v>
      </c>
      <c r="AS1702" t="s">
        <v>63</v>
      </c>
      <c r="AT1702" t="s">
        <v>63</v>
      </c>
      <c r="AU1702" t="s">
        <v>63</v>
      </c>
      <c r="AV1702" t="s">
        <v>63</v>
      </c>
      <c r="AW1702" t="s">
        <v>63</v>
      </c>
      <c r="AX1702" t="s">
        <v>63</v>
      </c>
      <c r="AY1702" t="s">
        <v>63</v>
      </c>
      <c r="AZ1702" t="s">
        <v>63</v>
      </c>
      <c r="BA1702" t="s">
        <v>63</v>
      </c>
      <c r="BB1702" t="s">
        <v>63</v>
      </c>
      <c r="BC1702" t="s">
        <v>63</v>
      </c>
      <c r="BD1702" t="s">
        <v>63</v>
      </c>
      <c r="BE1702" t="s">
        <v>63</v>
      </c>
      <c r="BF1702" t="s">
        <v>63</v>
      </c>
    </row>
    <row r="1703" spans="1:58">
      <c r="A1703" t="s">
        <v>58</v>
      </c>
      <c r="B1703" t="s">
        <v>14910</v>
      </c>
      <c r="C1703" t="s">
        <v>14911</v>
      </c>
      <c r="D1703" t="s">
        <v>2450</v>
      </c>
      <c r="E1703" t="s">
        <v>2451</v>
      </c>
      <c r="F1703">
        <v>1971</v>
      </c>
      <c r="G1703" t="s">
        <v>84</v>
      </c>
      <c r="H1703">
        <v>70</v>
      </c>
      <c r="I1703">
        <v>8</v>
      </c>
      <c r="J1703">
        <v>308</v>
      </c>
      <c r="K1703" t="s">
        <v>63</v>
      </c>
      <c r="L1703" t="s">
        <v>14916</v>
      </c>
      <c r="M1703" t="s">
        <v>63</v>
      </c>
      <c r="N1703" t="s">
        <v>14917</v>
      </c>
      <c r="O1703" t="s">
        <v>63</v>
      </c>
      <c r="Q1703" t="s">
        <v>63</v>
      </c>
      <c r="R1703" t="s">
        <v>63</v>
      </c>
      <c r="S1703" t="s">
        <v>63</v>
      </c>
      <c r="T1703" t="s">
        <v>63</v>
      </c>
      <c r="X1703" t="s">
        <v>63</v>
      </c>
      <c r="Y1703" t="s">
        <v>2454</v>
      </c>
      <c r="Z1703" t="s">
        <v>63</v>
      </c>
      <c r="AA1703" t="s">
        <v>63</v>
      </c>
      <c r="AB1703">
        <v>5103835</v>
      </c>
      <c r="AC1703" t="s">
        <v>67</v>
      </c>
      <c r="AD1703" t="s">
        <v>63</v>
      </c>
      <c r="AE1703" t="s">
        <v>63</v>
      </c>
      <c r="AF1703" t="s">
        <v>63</v>
      </c>
      <c r="AG1703" t="s">
        <v>14918</v>
      </c>
      <c r="AH1703" t="s">
        <v>63</v>
      </c>
      <c r="AI1703" t="s">
        <v>63</v>
      </c>
      <c r="AJ1703" t="s">
        <v>63</v>
      </c>
      <c r="AK1703" t="s">
        <v>63</v>
      </c>
      <c r="AL1703" t="s">
        <v>63</v>
      </c>
      <c r="AM1703" t="s">
        <v>14915</v>
      </c>
      <c r="AN1703" t="s">
        <v>63</v>
      </c>
      <c r="AO1703" t="s">
        <v>63</v>
      </c>
      <c r="AP1703" t="s">
        <v>63</v>
      </c>
      <c r="AQ1703" t="s">
        <v>63</v>
      </c>
      <c r="AR1703" t="s">
        <v>63</v>
      </c>
      <c r="AS1703" t="s">
        <v>63</v>
      </c>
      <c r="AT1703" t="s">
        <v>63</v>
      </c>
      <c r="AU1703" t="s">
        <v>63</v>
      </c>
      <c r="AV1703" t="s">
        <v>63</v>
      </c>
      <c r="AW1703" t="s">
        <v>63</v>
      </c>
      <c r="AX1703" t="s">
        <v>63</v>
      </c>
      <c r="AY1703" t="s">
        <v>63</v>
      </c>
      <c r="AZ1703" t="s">
        <v>63</v>
      </c>
      <c r="BA1703" t="s">
        <v>63</v>
      </c>
      <c r="BB1703" t="s">
        <v>63</v>
      </c>
      <c r="BC1703" t="s">
        <v>63</v>
      </c>
      <c r="BD1703" t="s">
        <v>63</v>
      </c>
      <c r="BE1703" t="s">
        <v>63</v>
      </c>
      <c r="BF1703" t="s">
        <v>63</v>
      </c>
    </row>
    <row r="1704" spans="1:58">
      <c r="A1704" t="s">
        <v>58</v>
      </c>
      <c r="B1704" t="s">
        <v>14919</v>
      </c>
      <c r="C1704" t="s">
        <v>14920</v>
      </c>
      <c r="D1704" t="s">
        <v>970</v>
      </c>
      <c r="E1704" t="s">
        <v>63</v>
      </c>
      <c r="F1704">
        <v>2016</v>
      </c>
      <c r="G1704" t="s">
        <v>63</v>
      </c>
      <c r="H1704">
        <v>11</v>
      </c>
      <c r="I1704">
        <v>11</v>
      </c>
      <c r="J1704" t="s">
        <v>14921</v>
      </c>
      <c r="K1704" t="s">
        <v>63</v>
      </c>
      <c r="L1704" t="s">
        <v>14922</v>
      </c>
      <c r="M1704" t="s">
        <v>14923</v>
      </c>
      <c r="N1704" t="s">
        <v>14924</v>
      </c>
      <c r="O1704" t="s">
        <v>63</v>
      </c>
      <c r="Q1704" t="s">
        <v>63</v>
      </c>
      <c r="R1704" t="s">
        <v>63</v>
      </c>
      <c r="S1704" t="s">
        <v>63</v>
      </c>
      <c r="T1704" t="s">
        <v>63</v>
      </c>
      <c r="X1704" t="s">
        <v>63</v>
      </c>
      <c r="Y1704" t="s">
        <v>975</v>
      </c>
      <c r="Z1704" t="s">
        <v>63</v>
      </c>
      <c r="AA1704" t="s">
        <v>14925</v>
      </c>
      <c r="AB1704">
        <v>27824948</v>
      </c>
      <c r="AC1704" t="s">
        <v>67</v>
      </c>
      <c r="AD1704" t="s">
        <v>63</v>
      </c>
      <c r="AE1704" t="s">
        <v>63</v>
      </c>
      <c r="AF1704" t="s">
        <v>63</v>
      </c>
      <c r="AG1704" t="s">
        <v>14926</v>
      </c>
      <c r="AH1704" t="s">
        <v>63</v>
      </c>
      <c r="AI1704" t="s">
        <v>14927</v>
      </c>
      <c r="AJ1704" t="s">
        <v>63</v>
      </c>
      <c r="AK1704" t="s">
        <v>63</v>
      </c>
      <c r="AL1704" t="s">
        <v>63</v>
      </c>
      <c r="AM1704" t="s">
        <v>14928</v>
      </c>
      <c r="AN1704" t="s">
        <v>63</v>
      </c>
      <c r="AO1704" t="s">
        <v>63</v>
      </c>
      <c r="AP1704" t="s">
        <v>63</v>
      </c>
      <c r="AQ1704" t="s">
        <v>63</v>
      </c>
      <c r="AR1704" t="s">
        <v>63</v>
      </c>
      <c r="AS1704" t="s">
        <v>63</v>
      </c>
      <c r="AT1704" t="s">
        <v>63</v>
      </c>
      <c r="AU1704" t="s">
        <v>63</v>
      </c>
      <c r="AV1704" t="s">
        <v>63</v>
      </c>
      <c r="AW1704" t="s">
        <v>63</v>
      </c>
      <c r="AX1704" t="s">
        <v>63</v>
      </c>
      <c r="AY1704" t="s">
        <v>63</v>
      </c>
      <c r="AZ1704" t="s">
        <v>63</v>
      </c>
      <c r="BA1704" t="s">
        <v>63</v>
      </c>
      <c r="BB1704" t="s">
        <v>63</v>
      </c>
      <c r="BC1704" t="s">
        <v>63</v>
      </c>
      <c r="BD1704" t="s">
        <v>63</v>
      </c>
      <c r="BE1704" t="s">
        <v>63</v>
      </c>
      <c r="BF1704" t="s">
        <v>63</v>
      </c>
    </row>
    <row r="1705" spans="1:58">
      <c r="A1705" t="s">
        <v>58</v>
      </c>
      <c r="B1705" t="s">
        <v>14929</v>
      </c>
      <c r="C1705" t="s">
        <v>14930</v>
      </c>
      <c r="D1705" t="s">
        <v>14931</v>
      </c>
      <c r="E1705" t="s">
        <v>14932</v>
      </c>
      <c r="F1705">
        <v>2012</v>
      </c>
      <c r="G1705" t="s">
        <v>84</v>
      </c>
      <c r="H1705">
        <v>125</v>
      </c>
      <c r="I1705">
        <v>7</v>
      </c>
      <c r="J1705">
        <v>1338</v>
      </c>
      <c r="K1705">
        <v>1340</v>
      </c>
      <c r="L1705" t="s">
        <v>14933</v>
      </c>
      <c r="M1705" t="s">
        <v>14934</v>
      </c>
      <c r="N1705" t="s">
        <v>14935</v>
      </c>
      <c r="O1705" t="s">
        <v>63</v>
      </c>
      <c r="Q1705" t="s">
        <v>63</v>
      </c>
      <c r="R1705" t="s">
        <v>63</v>
      </c>
      <c r="S1705" t="s">
        <v>63</v>
      </c>
      <c r="T1705" t="s">
        <v>63</v>
      </c>
      <c r="X1705" t="s">
        <v>63</v>
      </c>
      <c r="Y1705" t="s">
        <v>14936</v>
      </c>
      <c r="Z1705" t="s">
        <v>63</v>
      </c>
      <c r="AA1705" t="s">
        <v>14937</v>
      </c>
      <c r="AB1705">
        <v>22613611</v>
      </c>
      <c r="AC1705" t="s">
        <v>67</v>
      </c>
      <c r="AD1705" t="s">
        <v>63</v>
      </c>
      <c r="AE1705" t="s">
        <v>63</v>
      </c>
      <c r="AF1705" t="s">
        <v>63</v>
      </c>
      <c r="AG1705" t="s">
        <v>14938</v>
      </c>
      <c r="AH1705" t="s">
        <v>63</v>
      </c>
      <c r="AI1705" t="s">
        <v>63</v>
      </c>
      <c r="AJ1705" t="s">
        <v>63</v>
      </c>
      <c r="AK1705" t="s">
        <v>63</v>
      </c>
      <c r="AL1705" t="s">
        <v>63</v>
      </c>
      <c r="AM1705" t="s">
        <v>14939</v>
      </c>
      <c r="AN1705" t="s">
        <v>63</v>
      </c>
      <c r="AO1705" t="s">
        <v>63</v>
      </c>
      <c r="AP1705" t="s">
        <v>63</v>
      </c>
      <c r="AQ1705" t="s">
        <v>63</v>
      </c>
      <c r="AR1705" t="s">
        <v>63</v>
      </c>
      <c r="AS1705" t="s">
        <v>63</v>
      </c>
      <c r="AT1705" t="s">
        <v>63</v>
      </c>
      <c r="AU1705" t="s">
        <v>63</v>
      </c>
      <c r="AV1705" t="s">
        <v>63</v>
      </c>
      <c r="AW1705" t="s">
        <v>63</v>
      </c>
      <c r="AX1705" t="s">
        <v>63</v>
      </c>
      <c r="AY1705" t="s">
        <v>63</v>
      </c>
      <c r="AZ1705" t="s">
        <v>63</v>
      </c>
      <c r="BA1705" t="s">
        <v>63</v>
      </c>
      <c r="BB1705" t="s">
        <v>63</v>
      </c>
      <c r="BC1705" t="s">
        <v>63</v>
      </c>
      <c r="BD1705" t="s">
        <v>63</v>
      </c>
      <c r="BE1705" t="s">
        <v>63</v>
      </c>
      <c r="BF1705" t="s">
        <v>63</v>
      </c>
    </row>
    <row r="1706" spans="1:58">
      <c r="A1706" t="s">
        <v>58</v>
      </c>
      <c r="B1706" t="s">
        <v>14940</v>
      </c>
      <c r="C1706" t="s">
        <v>14941</v>
      </c>
      <c r="D1706" t="s">
        <v>4164</v>
      </c>
      <c r="E1706" t="s">
        <v>4165</v>
      </c>
      <c r="F1706">
        <v>2016</v>
      </c>
      <c r="G1706" t="s">
        <v>63</v>
      </c>
      <c r="H1706">
        <v>224</v>
      </c>
      <c r="I1706" t="s">
        <v>63</v>
      </c>
      <c r="J1706">
        <v>285</v>
      </c>
      <c r="K1706">
        <v>304</v>
      </c>
      <c r="L1706" t="s">
        <v>14942</v>
      </c>
      <c r="M1706" t="s">
        <v>14943</v>
      </c>
      <c r="N1706" t="s">
        <v>14944</v>
      </c>
      <c r="O1706" t="s">
        <v>63</v>
      </c>
      <c r="Q1706" t="s">
        <v>63</v>
      </c>
      <c r="R1706" t="s">
        <v>63</v>
      </c>
      <c r="S1706" t="s">
        <v>63</v>
      </c>
      <c r="T1706" t="s">
        <v>63</v>
      </c>
      <c r="X1706" t="s">
        <v>63</v>
      </c>
      <c r="Y1706" t="s">
        <v>4169</v>
      </c>
      <c r="Z1706" t="s">
        <v>63</v>
      </c>
      <c r="AA1706" t="s">
        <v>14945</v>
      </c>
      <c r="AB1706">
        <v>26822363</v>
      </c>
      <c r="AC1706" t="s">
        <v>67</v>
      </c>
      <c r="AD1706" t="s">
        <v>63</v>
      </c>
      <c r="AE1706" t="s">
        <v>63</v>
      </c>
      <c r="AF1706" t="s">
        <v>63</v>
      </c>
      <c r="AG1706" t="s">
        <v>14946</v>
      </c>
      <c r="AH1706" t="s">
        <v>63</v>
      </c>
      <c r="AI1706" t="s">
        <v>14947</v>
      </c>
      <c r="AJ1706" t="s">
        <v>63</v>
      </c>
      <c r="AK1706" t="s">
        <v>63</v>
      </c>
      <c r="AL1706" t="s">
        <v>63</v>
      </c>
      <c r="AM1706" t="s">
        <v>14948</v>
      </c>
      <c r="AN1706" t="s">
        <v>63</v>
      </c>
      <c r="AO1706" t="s">
        <v>63</v>
      </c>
      <c r="AP1706" t="s">
        <v>63</v>
      </c>
      <c r="AQ1706" t="s">
        <v>63</v>
      </c>
      <c r="AR1706" t="s">
        <v>63</v>
      </c>
      <c r="AS1706" t="s">
        <v>63</v>
      </c>
      <c r="AT1706" t="s">
        <v>63</v>
      </c>
      <c r="AU1706" t="s">
        <v>63</v>
      </c>
      <c r="AV1706" t="s">
        <v>63</v>
      </c>
      <c r="AW1706" t="s">
        <v>63</v>
      </c>
      <c r="AX1706" t="s">
        <v>63</v>
      </c>
      <c r="AY1706" t="s">
        <v>63</v>
      </c>
      <c r="AZ1706" t="s">
        <v>63</v>
      </c>
      <c r="BA1706" t="s">
        <v>63</v>
      </c>
      <c r="BB1706" t="s">
        <v>63</v>
      </c>
      <c r="BC1706" t="s">
        <v>63</v>
      </c>
      <c r="BD1706" t="s">
        <v>63</v>
      </c>
      <c r="BE1706" t="s">
        <v>63</v>
      </c>
      <c r="BF1706" t="s">
        <v>63</v>
      </c>
    </row>
    <row r="1707" spans="1:58">
      <c r="A1707" t="s">
        <v>58</v>
      </c>
      <c r="B1707" t="s">
        <v>14949</v>
      </c>
      <c r="C1707" t="s">
        <v>14950</v>
      </c>
      <c r="D1707" t="s">
        <v>8441</v>
      </c>
      <c r="E1707" t="s">
        <v>63</v>
      </c>
      <c r="F1707">
        <v>2011</v>
      </c>
      <c r="G1707" t="s">
        <v>1114</v>
      </c>
      <c r="H1707">
        <v>25</v>
      </c>
      <c r="I1707">
        <v>5</v>
      </c>
      <c r="J1707" t="s">
        <v>14951</v>
      </c>
      <c r="K1707">
        <v>15</v>
      </c>
      <c r="L1707" t="s">
        <v>14952</v>
      </c>
      <c r="M1707" t="s">
        <v>14953</v>
      </c>
      <c r="N1707" t="s">
        <v>14954</v>
      </c>
      <c r="O1707" t="s">
        <v>63</v>
      </c>
      <c r="Q1707" t="s">
        <v>63</v>
      </c>
      <c r="R1707" t="s">
        <v>63</v>
      </c>
      <c r="S1707" t="s">
        <v>63</v>
      </c>
      <c r="T1707" t="s">
        <v>63</v>
      </c>
      <c r="X1707" t="s">
        <v>63</v>
      </c>
      <c r="Y1707" t="s">
        <v>14955</v>
      </c>
      <c r="Z1707" t="s">
        <v>63</v>
      </c>
      <c r="AA1707" t="s">
        <v>14956</v>
      </c>
      <c r="AB1707">
        <v>21510796</v>
      </c>
      <c r="AC1707" t="s">
        <v>67</v>
      </c>
      <c r="AD1707" t="s">
        <v>63</v>
      </c>
      <c r="AE1707" t="s">
        <v>63</v>
      </c>
      <c r="AF1707" t="s">
        <v>63</v>
      </c>
      <c r="AG1707" t="s">
        <v>14957</v>
      </c>
      <c r="AH1707" t="s">
        <v>63</v>
      </c>
      <c r="AI1707" t="s">
        <v>14958</v>
      </c>
      <c r="AJ1707" t="s">
        <v>63</v>
      </c>
      <c r="AK1707" t="s">
        <v>63</v>
      </c>
      <c r="AL1707" t="s">
        <v>63</v>
      </c>
      <c r="AM1707" t="s">
        <v>14959</v>
      </c>
      <c r="AN1707" t="s">
        <v>63</v>
      </c>
      <c r="AO1707" t="s">
        <v>63</v>
      </c>
      <c r="AP1707" t="s">
        <v>63</v>
      </c>
      <c r="AQ1707" t="s">
        <v>63</v>
      </c>
      <c r="AR1707" t="s">
        <v>63</v>
      </c>
      <c r="AS1707" t="s">
        <v>63</v>
      </c>
      <c r="AT1707" t="s">
        <v>63</v>
      </c>
      <c r="AU1707" t="s">
        <v>63</v>
      </c>
      <c r="AV1707" t="s">
        <v>63</v>
      </c>
      <c r="AW1707" t="s">
        <v>63</v>
      </c>
      <c r="AX1707" t="s">
        <v>63</v>
      </c>
      <c r="AY1707" t="s">
        <v>63</v>
      </c>
      <c r="AZ1707" t="s">
        <v>63</v>
      </c>
      <c r="BA1707" t="s">
        <v>63</v>
      </c>
      <c r="BB1707" t="s">
        <v>63</v>
      </c>
      <c r="BC1707" t="s">
        <v>63</v>
      </c>
      <c r="BD1707" t="s">
        <v>63</v>
      </c>
      <c r="BE1707" t="s">
        <v>63</v>
      </c>
      <c r="BF1707" t="s">
        <v>63</v>
      </c>
    </row>
    <row r="1708" spans="1:58">
      <c r="A1708" t="s">
        <v>58</v>
      </c>
      <c r="B1708" t="s">
        <v>14960</v>
      </c>
      <c r="C1708" t="s">
        <v>14961</v>
      </c>
      <c r="D1708" t="s">
        <v>389</v>
      </c>
      <c r="E1708" t="s">
        <v>63</v>
      </c>
      <c r="F1708">
        <v>2017</v>
      </c>
      <c r="G1708" t="s">
        <v>338</v>
      </c>
      <c r="H1708">
        <v>38</v>
      </c>
      <c r="I1708">
        <v>2</v>
      </c>
      <c r="J1708">
        <v>168</v>
      </c>
      <c r="K1708">
        <v>176</v>
      </c>
      <c r="L1708" t="s">
        <v>14962</v>
      </c>
      <c r="M1708" t="s">
        <v>14963</v>
      </c>
      <c r="N1708" t="s">
        <v>14964</v>
      </c>
      <c r="O1708" t="s">
        <v>63</v>
      </c>
      <c r="Q1708" t="s">
        <v>63</v>
      </c>
      <c r="R1708" t="s">
        <v>63</v>
      </c>
      <c r="S1708" t="s">
        <v>63</v>
      </c>
      <c r="T1708" t="s">
        <v>63</v>
      </c>
      <c r="X1708" t="s">
        <v>63</v>
      </c>
      <c r="Y1708" t="s">
        <v>556</v>
      </c>
      <c r="Z1708" t="s">
        <v>63</v>
      </c>
      <c r="AA1708" t="s">
        <v>14965</v>
      </c>
      <c r="AB1708">
        <v>28418816</v>
      </c>
      <c r="AC1708" t="s">
        <v>67</v>
      </c>
      <c r="AD1708" t="s">
        <v>63</v>
      </c>
      <c r="AE1708" t="s">
        <v>63</v>
      </c>
      <c r="AF1708" t="s">
        <v>63</v>
      </c>
      <c r="AG1708" t="s">
        <v>14966</v>
      </c>
      <c r="AH1708" t="s">
        <v>63</v>
      </c>
      <c r="AI1708" t="s">
        <v>14967</v>
      </c>
      <c r="AJ1708" t="s">
        <v>63</v>
      </c>
      <c r="AK1708" t="s">
        <v>63</v>
      </c>
      <c r="AL1708" t="s">
        <v>63</v>
      </c>
      <c r="AM1708" t="s">
        <v>14968</v>
      </c>
      <c r="AN1708" t="s">
        <v>63</v>
      </c>
      <c r="AO1708" t="s">
        <v>63</v>
      </c>
      <c r="AP1708" t="s">
        <v>63</v>
      </c>
      <c r="AQ1708" t="s">
        <v>63</v>
      </c>
      <c r="AR1708" t="s">
        <v>63</v>
      </c>
      <c r="AS1708" t="s">
        <v>63</v>
      </c>
      <c r="AT1708" t="s">
        <v>63</v>
      </c>
      <c r="AU1708" t="s">
        <v>63</v>
      </c>
      <c r="AV1708" t="s">
        <v>63</v>
      </c>
      <c r="AW1708" t="s">
        <v>63</v>
      </c>
      <c r="AX1708" t="s">
        <v>63</v>
      </c>
      <c r="AY1708" t="s">
        <v>63</v>
      </c>
      <c r="AZ1708" t="s">
        <v>63</v>
      </c>
      <c r="BA1708" t="s">
        <v>63</v>
      </c>
      <c r="BB1708" t="s">
        <v>63</v>
      </c>
      <c r="BC1708" t="s">
        <v>63</v>
      </c>
      <c r="BD1708" t="s">
        <v>63</v>
      </c>
      <c r="BE1708" t="s">
        <v>63</v>
      </c>
      <c r="BF1708" t="s">
        <v>63</v>
      </c>
    </row>
    <row r="1709" spans="1:58">
      <c r="A1709" t="s">
        <v>58</v>
      </c>
      <c r="B1709" t="s">
        <v>14969</v>
      </c>
      <c r="C1709" t="s">
        <v>14970</v>
      </c>
      <c r="D1709" t="s">
        <v>3817</v>
      </c>
      <c r="E1709" t="s">
        <v>3817</v>
      </c>
      <c r="F1709">
        <v>2010</v>
      </c>
      <c r="G1709" t="s">
        <v>73</v>
      </c>
      <c r="H1709">
        <v>44</v>
      </c>
      <c r="I1709">
        <v>4</v>
      </c>
      <c r="J1709">
        <v>379</v>
      </c>
      <c r="K1709">
        <v>385</v>
      </c>
      <c r="L1709" t="s">
        <v>14971</v>
      </c>
      <c r="M1709" t="s">
        <v>14972</v>
      </c>
      <c r="N1709" t="s">
        <v>14973</v>
      </c>
      <c r="O1709" t="s">
        <v>63</v>
      </c>
      <c r="Q1709" t="s">
        <v>63</v>
      </c>
      <c r="R1709" t="s">
        <v>63</v>
      </c>
      <c r="S1709" t="s">
        <v>63</v>
      </c>
      <c r="T1709" t="s">
        <v>63</v>
      </c>
      <c r="X1709" t="s">
        <v>63</v>
      </c>
      <c r="Y1709" t="s">
        <v>14974</v>
      </c>
      <c r="Z1709" t="s">
        <v>63</v>
      </c>
      <c r="AA1709" t="s">
        <v>14975</v>
      </c>
      <c r="AB1709">
        <v>20056372</v>
      </c>
      <c r="AC1709" t="s">
        <v>67</v>
      </c>
      <c r="AD1709" t="s">
        <v>63</v>
      </c>
      <c r="AE1709" t="s">
        <v>63</v>
      </c>
      <c r="AF1709" t="s">
        <v>63</v>
      </c>
      <c r="AG1709" t="s">
        <v>14976</v>
      </c>
      <c r="AH1709" t="s">
        <v>63</v>
      </c>
      <c r="AI1709" t="s">
        <v>14977</v>
      </c>
      <c r="AJ1709" t="s">
        <v>63</v>
      </c>
      <c r="AK1709" t="s">
        <v>63</v>
      </c>
      <c r="AL1709" t="s">
        <v>63</v>
      </c>
      <c r="AM1709" t="s">
        <v>14978</v>
      </c>
      <c r="AN1709" t="s">
        <v>63</v>
      </c>
      <c r="AO1709" t="s">
        <v>63</v>
      </c>
      <c r="AP1709" t="s">
        <v>63</v>
      </c>
      <c r="AQ1709" t="s">
        <v>63</v>
      </c>
      <c r="AR1709" t="s">
        <v>63</v>
      </c>
      <c r="AS1709" t="s">
        <v>63</v>
      </c>
      <c r="AT1709" t="s">
        <v>63</v>
      </c>
      <c r="AU1709" t="s">
        <v>63</v>
      </c>
      <c r="AV1709" t="s">
        <v>63</v>
      </c>
      <c r="AW1709" t="s">
        <v>63</v>
      </c>
      <c r="AX1709" t="s">
        <v>63</v>
      </c>
      <c r="AY1709" t="s">
        <v>63</v>
      </c>
      <c r="AZ1709" t="s">
        <v>63</v>
      </c>
      <c r="BA1709" t="s">
        <v>63</v>
      </c>
      <c r="BB1709" t="s">
        <v>63</v>
      </c>
      <c r="BC1709" t="s">
        <v>63</v>
      </c>
      <c r="BD1709" t="s">
        <v>63</v>
      </c>
      <c r="BE1709" t="s">
        <v>63</v>
      </c>
      <c r="BF1709" t="s">
        <v>63</v>
      </c>
    </row>
    <row r="1710" spans="1:58">
      <c r="A1710" t="s">
        <v>58</v>
      </c>
      <c r="B1710" t="s">
        <v>14979</v>
      </c>
      <c r="C1710" t="s">
        <v>14980</v>
      </c>
      <c r="D1710" t="s">
        <v>9654</v>
      </c>
      <c r="E1710" t="s">
        <v>9655</v>
      </c>
      <c r="F1710">
        <v>1977</v>
      </c>
      <c r="G1710" t="s">
        <v>84</v>
      </c>
      <c r="H1710">
        <v>105</v>
      </c>
      <c r="I1710">
        <v>4</v>
      </c>
      <c r="J1710" t="s">
        <v>14981</v>
      </c>
      <c r="K1710" t="s">
        <v>14982</v>
      </c>
      <c r="L1710" t="s">
        <v>14983</v>
      </c>
      <c r="M1710" t="s">
        <v>63</v>
      </c>
      <c r="N1710" t="s">
        <v>14984</v>
      </c>
      <c r="O1710" t="s">
        <v>63</v>
      </c>
      <c r="Q1710" t="s">
        <v>63</v>
      </c>
      <c r="R1710" t="s">
        <v>63</v>
      </c>
      <c r="S1710" t="s">
        <v>63</v>
      </c>
      <c r="T1710" t="s">
        <v>63</v>
      </c>
      <c r="X1710" t="s">
        <v>63</v>
      </c>
      <c r="Y1710" t="s">
        <v>9658</v>
      </c>
      <c r="Z1710" t="s">
        <v>63</v>
      </c>
      <c r="AA1710" t="s">
        <v>63</v>
      </c>
      <c r="AB1710">
        <v>846333</v>
      </c>
      <c r="AC1710" t="s">
        <v>67</v>
      </c>
      <c r="AD1710" t="s">
        <v>63</v>
      </c>
      <c r="AE1710" t="s">
        <v>63</v>
      </c>
      <c r="AF1710" t="s">
        <v>63</v>
      </c>
      <c r="AG1710" t="s">
        <v>14985</v>
      </c>
      <c r="AH1710" t="s">
        <v>63</v>
      </c>
      <c r="AI1710" t="s">
        <v>63</v>
      </c>
      <c r="AJ1710" t="s">
        <v>63</v>
      </c>
      <c r="AK1710" t="s">
        <v>63</v>
      </c>
      <c r="AL1710" t="s">
        <v>63</v>
      </c>
      <c r="AM1710" t="s">
        <v>14986</v>
      </c>
      <c r="AN1710" t="s">
        <v>63</v>
      </c>
      <c r="AO1710" t="s">
        <v>63</v>
      </c>
      <c r="AP1710" t="s">
        <v>63</v>
      </c>
      <c r="AQ1710" t="s">
        <v>63</v>
      </c>
      <c r="AR1710" t="s">
        <v>63</v>
      </c>
      <c r="AS1710" t="s">
        <v>63</v>
      </c>
      <c r="AT1710" t="s">
        <v>63</v>
      </c>
      <c r="AU1710" t="s">
        <v>63</v>
      </c>
      <c r="AV1710" t="s">
        <v>63</v>
      </c>
      <c r="AW1710" t="s">
        <v>63</v>
      </c>
      <c r="AX1710" t="s">
        <v>63</v>
      </c>
      <c r="AY1710" t="s">
        <v>63</v>
      </c>
      <c r="AZ1710" t="s">
        <v>63</v>
      </c>
      <c r="BA1710" t="s">
        <v>63</v>
      </c>
      <c r="BB1710" t="s">
        <v>63</v>
      </c>
      <c r="BC1710" t="s">
        <v>63</v>
      </c>
      <c r="BD1710" t="s">
        <v>63</v>
      </c>
      <c r="BE1710" t="s">
        <v>63</v>
      </c>
      <c r="BF1710" t="s">
        <v>63</v>
      </c>
    </row>
    <row r="1711" spans="1:58">
      <c r="A1711" t="s">
        <v>58</v>
      </c>
      <c r="B1711" t="s">
        <v>14987</v>
      </c>
      <c r="C1711" t="s">
        <v>14988</v>
      </c>
      <c r="D1711" t="s">
        <v>640</v>
      </c>
      <c r="E1711" t="s">
        <v>63</v>
      </c>
      <c r="F1711">
        <v>2009</v>
      </c>
      <c r="G1711" t="s">
        <v>181</v>
      </c>
      <c r="H1711">
        <v>28</v>
      </c>
      <c r="I1711">
        <v>5</v>
      </c>
      <c r="J1711">
        <v>466</v>
      </c>
      <c r="K1711">
        <v>473</v>
      </c>
      <c r="L1711" t="s">
        <v>14989</v>
      </c>
      <c r="M1711" t="s">
        <v>14990</v>
      </c>
      <c r="N1711" t="s">
        <v>14991</v>
      </c>
      <c r="O1711" t="s">
        <v>63</v>
      </c>
      <c r="Q1711" t="s">
        <v>63</v>
      </c>
      <c r="R1711" t="s">
        <v>63</v>
      </c>
      <c r="S1711" t="s">
        <v>63</v>
      </c>
      <c r="T1711" t="s">
        <v>63</v>
      </c>
      <c r="X1711" t="s">
        <v>63</v>
      </c>
      <c r="Y1711" t="s">
        <v>7637</v>
      </c>
      <c r="Z1711" t="s">
        <v>63</v>
      </c>
      <c r="AA1711" t="s">
        <v>14992</v>
      </c>
      <c r="AB1711">
        <v>19737205</v>
      </c>
      <c r="AC1711" t="s">
        <v>67</v>
      </c>
      <c r="AD1711" t="s">
        <v>63</v>
      </c>
      <c r="AE1711" t="s">
        <v>63</v>
      </c>
      <c r="AF1711" t="s">
        <v>63</v>
      </c>
      <c r="AG1711" t="s">
        <v>14993</v>
      </c>
      <c r="AH1711" t="s">
        <v>63</v>
      </c>
      <c r="AI1711" t="s">
        <v>14994</v>
      </c>
      <c r="AJ1711" t="s">
        <v>63</v>
      </c>
      <c r="AK1711" t="s">
        <v>63</v>
      </c>
      <c r="AL1711" t="s">
        <v>63</v>
      </c>
      <c r="AM1711" t="s">
        <v>14995</v>
      </c>
      <c r="AN1711" t="s">
        <v>63</v>
      </c>
      <c r="AO1711" t="s">
        <v>63</v>
      </c>
      <c r="AP1711" t="s">
        <v>63</v>
      </c>
      <c r="AQ1711" t="s">
        <v>63</v>
      </c>
      <c r="AR1711" t="s">
        <v>63</v>
      </c>
      <c r="AS1711" t="s">
        <v>63</v>
      </c>
      <c r="AT1711" t="s">
        <v>63</v>
      </c>
      <c r="AU1711" t="s">
        <v>63</v>
      </c>
      <c r="AV1711" t="s">
        <v>63</v>
      </c>
      <c r="AW1711" t="s">
        <v>63</v>
      </c>
      <c r="AX1711" t="s">
        <v>63</v>
      </c>
      <c r="AY1711" t="s">
        <v>63</v>
      </c>
      <c r="AZ1711" t="s">
        <v>63</v>
      </c>
      <c r="BA1711" t="s">
        <v>63</v>
      </c>
      <c r="BB1711" t="s">
        <v>63</v>
      </c>
      <c r="BC1711" t="s">
        <v>63</v>
      </c>
      <c r="BD1711" t="s">
        <v>63</v>
      </c>
      <c r="BE1711" t="s">
        <v>63</v>
      </c>
      <c r="BF1711" t="s">
        <v>63</v>
      </c>
    </row>
    <row r="1712" spans="1:58">
      <c r="A1712" t="s">
        <v>58</v>
      </c>
      <c r="B1712" t="s">
        <v>14996</v>
      </c>
      <c r="C1712" t="s">
        <v>14997</v>
      </c>
      <c r="D1712" t="s">
        <v>690</v>
      </c>
      <c r="E1712" t="s">
        <v>63</v>
      </c>
      <c r="F1712">
        <v>2006</v>
      </c>
      <c r="G1712" t="s">
        <v>63</v>
      </c>
      <c r="H1712">
        <v>63</v>
      </c>
      <c r="I1712">
        <v>10</v>
      </c>
      <c r="J1712">
        <v>1048</v>
      </c>
      <c r="K1712">
        <v>1051</v>
      </c>
      <c r="L1712" t="s">
        <v>14998</v>
      </c>
      <c r="M1712" t="s">
        <v>14999</v>
      </c>
      <c r="N1712" t="s">
        <v>15000</v>
      </c>
      <c r="O1712" t="s">
        <v>63</v>
      </c>
      <c r="Q1712" t="s">
        <v>63</v>
      </c>
      <c r="R1712" t="s">
        <v>63</v>
      </c>
      <c r="S1712" t="s">
        <v>63</v>
      </c>
      <c r="T1712" t="s">
        <v>63</v>
      </c>
      <c r="X1712" t="s">
        <v>63</v>
      </c>
      <c r="Y1712" t="s">
        <v>694</v>
      </c>
      <c r="Z1712" t="s">
        <v>63</v>
      </c>
      <c r="AA1712" t="s">
        <v>15001</v>
      </c>
      <c r="AB1712">
        <v>17288213</v>
      </c>
      <c r="AC1712" t="s">
        <v>696</v>
      </c>
      <c r="AD1712" t="s">
        <v>63</v>
      </c>
      <c r="AE1712" t="s">
        <v>63</v>
      </c>
      <c r="AF1712" t="s">
        <v>63</v>
      </c>
      <c r="AG1712" t="s">
        <v>15002</v>
      </c>
      <c r="AH1712" t="s">
        <v>63</v>
      </c>
      <c r="AI1712" t="s">
        <v>63</v>
      </c>
      <c r="AJ1712" t="s">
        <v>63</v>
      </c>
      <c r="AK1712" t="s">
        <v>63</v>
      </c>
      <c r="AL1712" t="s">
        <v>63</v>
      </c>
      <c r="AM1712" t="s">
        <v>15003</v>
      </c>
      <c r="AN1712" t="s">
        <v>63</v>
      </c>
      <c r="AO1712" t="s">
        <v>63</v>
      </c>
      <c r="AP1712" t="s">
        <v>63</v>
      </c>
      <c r="AQ1712" t="s">
        <v>63</v>
      </c>
      <c r="AR1712" t="s">
        <v>63</v>
      </c>
      <c r="AS1712" t="s">
        <v>63</v>
      </c>
      <c r="AT1712" t="s">
        <v>63</v>
      </c>
      <c r="AU1712" t="s">
        <v>63</v>
      </c>
      <c r="AV1712" t="s">
        <v>63</v>
      </c>
      <c r="AW1712" t="s">
        <v>63</v>
      </c>
      <c r="AX1712" t="s">
        <v>63</v>
      </c>
      <c r="AY1712" t="s">
        <v>63</v>
      </c>
      <c r="AZ1712" t="s">
        <v>63</v>
      </c>
      <c r="BA1712" t="s">
        <v>63</v>
      </c>
      <c r="BB1712" t="s">
        <v>63</v>
      </c>
      <c r="BC1712" t="s">
        <v>63</v>
      </c>
      <c r="BD1712" t="s">
        <v>63</v>
      </c>
      <c r="BE1712" t="s">
        <v>63</v>
      </c>
      <c r="BF1712" t="s">
        <v>63</v>
      </c>
    </row>
    <row r="1713" spans="1:58">
      <c r="A1713" s="4" t="s">
        <v>58</v>
      </c>
      <c r="B1713" s="4"/>
      <c r="C1713" s="4" t="s">
        <v>15004</v>
      </c>
      <c r="D1713" s="4" t="s">
        <v>63</v>
      </c>
      <c r="E1713" s="4" t="s">
        <v>63</v>
      </c>
      <c r="F1713" s="4" t="s">
        <v>63</v>
      </c>
      <c r="G1713" s="4" t="s">
        <v>63</v>
      </c>
      <c r="H1713" s="4" t="s">
        <v>63</v>
      </c>
      <c r="I1713" s="4" t="s">
        <v>63</v>
      </c>
      <c r="J1713" s="4" t="s">
        <v>63</v>
      </c>
      <c r="K1713" s="4" t="s">
        <v>63</v>
      </c>
      <c r="L1713" s="4" t="s">
        <v>15005</v>
      </c>
      <c r="M1713" s="4" t="s">
        <v>63</v>
      </c>
      <c r="N1713" s="4" t="s">
        <v>15006</v>
      </c>
      <c r="O1713" s="4" t="s">
        <v>63</v>
      </c>
      <c r="P1713" s="4"/>
      <c r="Q1713" s="4" t="s">
        <v>63</v>
      </c>
      <c r="R1713" s="4" t="s">
        <v>63</v>
      </c>
      <c r="S1713" s="4" t="s">
        <v>63</v>
      </c>
      <c r="T1713" s="4" t="s">
        <v>63</v>
      </c>
      <c r="U1713" s="4"/>
      <c r="V1713" s="4"/>
      <c r="W1713" s="4"/>
      <c r="X1713" s="4" t="s">
        <v>63</v>
      </c>
      <c r="Y1713" s="4" t="s">
        <v>5224</v>
      </c>
      <c r="Z1713" s="4" t="s">
        <v>63</v>
      </c>
      <c r="AA1713" s="4" t="s">
        <v>63</v>
      </c>
      <c r="AB1713" s="4" t="s">
        <v>15007</v>
      </c>
      <c r="AC1713" s="4" t="s">
        <v>67</v>
      </c>
      <c r="AD1713" s="4" t="s">
        <v>63</v>
      </c>
      <c r="AE1713" s="4" t="s">
        <v>63</v>
      </c>
      <c r="AF1713" s="4" t="s">
        <v>63</v>
      </c>
      <c r="AG1713" s="4" t="s">
        <v>63</v>
      </c>
      <c r="AH1713" s="4" t="s">
        <v>63</v>
      </c>
      <c r="AI1713" s="4" t="s">
        <v>63</v>
      </c>
      <c r="AJ1713" s="4" t="s">
        <v>63</v>
      </c>
      <c r="AK1713" s="4" t="s">
        <v>63</v>
      </c>
      <c r="AL1713" s="4" t="s">
        <v>63</v>
      </c>
      <c r="AM1713" s="4" t="s">
        <v>15004</v>
      </c>
      <c r="AN1713" s="4" t="s">
        <v>63</v>
      </c>
      <c r="AO1713" s="4" t="s">
        <v>63</v>
      </c>
      <c r="AP1713" s="4" t="s">
        <v>63</v>
      </c>
      <c r="AQ1713" s="4" t="s">
        <v>63</v>
      </c>
      <c r="AR1713" s="4" t="s">
        <v>63</v>
      </c>
      <c r="AS1713" s="4" t="s">
        <v>63</v>
      </c>
      <c r="AT1713" s="4" t="s">
        <v>63</v>
      </c>
      <c r="AU1713" s="4" t="s">
        <v>63</v>
      </c>
      <c r="AV1713" s="4" t="s">
        <v>63</v>
      </c>
      <c r="AW1713" s="4" t="s">
        <v>63</v>
      </c>
      <c r="AX1713" s="4" t="s">
        <v>63</v>
      </c>
      <c r="AY1713" s="4" t="s">
        <v>63</v>
      </c>
      <c r="AZ1713" s="4" t="s">
        <v>63</v>
      </c>
      <c r="BA1713" s="4" t="s">
        <v>63</v>
      </c>
      <c r="BB1713" s="4" t="s">
        <v>63</v>
      </c>
      <c r="BC1713" s="4" t="s">
        <v>63</v>
      </c>
      <c r="BD1713" s="4" t="s">
        <v>63</v>
      </c>
      <c r="BE1713" s="4" t="s">
        <v>63</v>
      </c>
      <c r="BF1713" s="4" t="s">
        <v>63</v>
      </c>
    </row>
    <row r="1714" spans="1:58">
      <c r="A1714" s="4" t="s">
        <v>58</v>
      </c>
      <c r="B1714" s="4"/>
      <c r="C1714" s="4" t="s">
        <v>15008</v>
      </c>
      <c r="D1714" s="4" t="s">
        <v>63</v>
      </c>
      <c r="E1714" s="4" t="s">
        <v>63</v>
      </c>
      <c r="F1714" s="4" t="s">
        <v>63</v>
      </c>
      <c r="G1714" s="4" t="s">
        <v>63</v>
      </c>
      <c r="H1714" s="4" t="s">
        <v>63</v>
      </c>
      <c r="I1714" s="4" t="s">
        <v>63</v>
      </c>
      <c r="J1714" s="4" t="s">
        <v>63</v>
      </c>
      <c r="K1714" s="4" t="s">
        <v>63</v>
      </c>
      <c r="L1714" s="4" t="s">
        <v>15009</v>
      </c>
      <c r="M1714" s="4" t="s">
        <v>63</v>
      </c>
      <c r="N1714" s="4" t="s">
        <v>15010</v>
      </c>
      <c r="O1714" s="4" t="s">
        <v>63</v>
      </c>
      <c r="P1714" s="4"/>
      <c r="Q1714" s="4" t="s">
        <v>63</v>
      </c>
      <c r="R1714" s="4" t="s">
        <v>63</v>
      </c>
      <c r="S1714" s="4" t="s">
        <v>63</v>
      </c>
      <c r="T1714" s="4" t="s">
        <v>63</v>
      </c>
      <c r="U1714" s="4"/>
      <c r="V1714" s="4"/>
      <c r="W1714" s="4"/>
      <c r="X1714" s="4" t="s">
        <v>63</v>
      </c>
      <c r="Y1714" s="4" t="s">
        <v>1442</v>
      </c>
      <c r="Z1714" s="4" t="s">
        <v>63</v>
      </c>
      <c r="AA1714" s="4" t="s">
        <v>63</v>
      </c>
      <c r="AB1714" s="4" t="s">
        <v>63</v>
      </c>
      <c r="AC1714" s="4" t="s">
        <v>1444</v>
      </c>
      <c r="AD1714" s="4" t="s">
        <v>63</v>
      </c>
      <c r="AE1714" s="4" t="s">
        <v>63</v>
      </c>
      <c r="AF1714" s="4" t="s">
        <v>63</v>
      </c>
      <c r="AG1714" s="4" t="s">
        <v>15011</v>
      </c>
      <c r="AH1714" s="4" t="s">
        <v>63</v>
      </c>
      <c r="AI1714" s="4" t="s">
        <v>63</v>
      </c>
      <c r="AJ1714" s="4" t="s">
        <v>63</v>
      </c>
      <c r="AK1714" s="4" t="s">
        <v>63</v>
      </c>
      <c r="AL1714" s="4" t="s">
        <v>63</v>
      </c>
      <c r="AM1714" s="4" t="s">
        <v>15012</v>
      </c>
      <c r="AN1714" s="4" t="s">
        <v>63</v>
      </c>
      <c r="AO1714" s="4" t="s">
        <v>63</v>
      </c>
      <c r="AP1714" s="4" t="s">
        <v>63</v>
      </c>
      <c r="AQ1714" s="4" t="s">
        <v>63</v>
      </c>
      <c r="AR1714" s="4" t="s">
        <v>63</v>
      </c>
      <c r="AS1714" s="4" t="s">
        <v>63</v>
      </c>
      <c r="AT1714" s="4" t="s">
        <v>63</v>
      </c>
      <c r="AU1714" s="4" t="s">
        <v>63</v>
      </c>
      <c r="AV1714" s="4" t="s">
        <v>63</v>
      </c>
      <c r="AW1714" s="4" t="s">
        <v>63</v>
      </c>
      <c r="AX1714" s="4" t="s">
        <v>63</v>
      </c>
      <c r="AY1714" s="4" t="s">
        <v>63</v>
      </c>
      <c r="AZ1714" s="4" t="s">
        <v>63</v>
      </c>
      <c r="BA1714" s="4" t="s">
        <v>63</v>
      </c>
      <c r="BB1714" s="4" t="s">
        <v>63</v>
      </c>
      <c r="BC1714" s="4" t="s">
        <v>63</v>
      </c>
      <c r="BD1714" s="4" t="s">
        <v>63</v>
      </c>
      <c r="BE1714" s="4" t="s">
        <v>63</v>
      </c>
      <c r="BF1714" s="4" t="s">
        <v>63</v>
      </c>
    </row>
    <row r="1715" spans="1:58">
      <c r="A1715" s="4" t="s">
        <v>58</v>
      </c>
      <c r="B1715" s="4"/>
      <c r="C1715" s="4" t="s">
        <v>15013</v>
      </c>
      <c r="D1715" s="4" t="s">
        <v>63</v>
      </c>
      <c r="E1715" s="4" t="s">
        <v>63</v>
      </c>
      <c r="F1715" s="4" t="s">
        <v>63</v>
      </c>
      <c r="G1715" s="4" t="s">
        <v>63</v>
      </c>
      <c r="H1715" s="4" t="s">
        <v>63</v>
      </c>
      <c r="I1715" s="4" t="s">
        <v>63</v>
      </c>
      <c r="J1715" s="4" t="s">
        <v>63</v>
      </c>
      <c r="K1715" s="4" t="s">
        <v>63</v>
      </c>
      <c r="L1715" s="4" t="s">
        <v>15014</v>
      </c>
      <c r="M1715" s="4" t="s">
        <v>63</v>
      </c>
      <c r="N1715" s="4" t="s">
        <v>15015</v>
      </c>
      <c r="O1715" s="4" t="s">
        <v>63</v>
      </c>
      <c r="P1715" s="4"/>
      <c r="Q1715" s="4" t="s">
        <v>63</v>
      </c>
      <c r="R1715" s="4" t="s">
        <v>63</v>
      </c>
      <c r="S1715" s="4" t="s">
        <v>63</v>
      </c>
      <c r="T1715" s="4" t="s">
        <v>63</v>
      </c>
      <c r="U1715" s="4"/>
      <c r="V1715" s="4"/>
      <c r="W1715" s="4"/>
      <c r="X1715" s="4" t="s">
        <v>63</v>
      </c>
      <c r="Y1715" s="4" t="s">
        <v>63</v>
      </c>
      <c r="Z1715" s="4" t="s">
        <v>63</v>
      </c>
      <c r="AA1715" s="4" t="s">
        <v>63</v>
      </c>
      <c r="AB1715" s="4" t="s">
        <v>63</v>
      </c>
      <c r="AC1715" s="4" t="s">
        <v>67</v>
      </c>
      <c r="AD1715" s="4" t="s">
        <v>63</v>
      </c>
      <c r="AE1715" s="4" t="s">
        <v>63</v>
      </c>
      <c r="AF1715" s="4" t="s">
        <v>63</v>
      </c>
      <c r="AG1715" s="4" t="s">
        <v>15016</v>
      </c>
      <c r="AH1715" s="4" t="s">
        <v>63</v>
      </c>
      <c r="AI1715" s="4" t="s">
        <v>63</v>
      </c>
      <c r="AJ1715" s="4" t="s">
        <v>63</v>
      </c>
      <c r="AK1715" s="4" t="s">
        <v>63</v>
      </c>
      <c r="AL1715" s="4" t="s">
        <v>63</v>
      </c>
      <c r="AM1715" s="4" t="s">
        <v>15017</v>
      </c>
      <c r="AN1715" s="4" t="s">
        <v>63</v>
      </c>
      <c r="AO1715" s="4" t="s">
        <v>63</v>
      </c>
      <c r="AP1715" s="4" t="s">
        <v>63</v>
      </c>
      <c r="AQ1715" s="4" t="s">
        <v>63</v>
      </c>
      <c r="AR1715" s="4" t="s">
        <v>63</v>
      </c>
      <c r="AS1715" s="4" t="s">
        <v>63</v>
      </c>
      <c r="AT1715" s="4" t="s">
        <v>63</v>
      </c>
      <c r="AU1715" s="4" t="s">
        <v>63</v>
      </c>
      <c r="AV1715" s="4" t="s">
        <v>63</v>
      </c>
      <c r="AW1715" s="4" t="s">
        <v>63</v>
      </c>
      <c r="AX1715" s="4" t="s">
        <v>63</v>
      </c>
      <c r="AY1715" s="4" t="s">
        <v>63</v>
      </c>
      <c r="AZ1715" s="4" t="s">
        <v>63</v>
      </c>
      <c r="BA1715" s="4" t="s">
        <v>63</v>
      </c>
      <c r="BB1715" s="4" t="s">
        <v>63</v>
      </c>
      <c r="BC1715" s="4" t="s">
        <v>63</v>
      </c>
      <c r="BD1715" s="4" t="s">
        <v>63</v>
      </c>
      <c r="BE1715" s="4" t="s">
        <v>63</v>
      </c>
      <c r="BF1715" s="4" t="s">
        <v>63</v>
      </c>
    </row>
    <row r="1716" spans="1:58">
      <c r="A1716" s="4" t="s">
        <v>58</v>
      </c>
      <c r="B1716" s="4"/>
      <c r="C1716" s="4" t="s">
        <v>15018</v>
      </c>
      <c r="D1716" s="4" t="s">
        <v>63</v>
      </c>
      <c r="E1716" s="4" t="s">
        <v>63</v>
      </c>
      <c r="F1716" s="4" t="s">
        <v>63</v>
      </c>
      <c r="G1716" s="4" t="s">
        <v>63</v>
      </c>
      <c r="H1716" s="4" t="s">
        <v>63</v>
      </c>
      <c r="I1716" s="4" t="s">
        <v>63</v>
      </c>
      <c r="J1716" s="4" t="s">
        <v>63</v>
      </c>
      <c r="K1716" s="4" t="s">
        <v>63</v>
      </c>
      <c r="L1716" s="4" t="s">
        <v>15019</v>
      </c>
      <c r="M1716" s="4" t="s">
        <v>63</v>
      </c>
      <c r="N1716" s="4" t="s">
        <v>15020</v>
      </c>
      <c r="O1716" s="4" t="s">
        <v>63</v>
      </c>
      <c r="P1716" s="4"/>
      <c r="Q1716" s="4" t="s">
        <v>63</v>
      </c>
      <c r="R1716" s="4" t="s">
        <v>63</v>
      </c>
      <c r="S1716" s="4" t="s">
        <v>63</v>
      </c>
      <c r="T1716" s="4" t="s">
        <v>63</v>
      </c>
      <c r="U1716" s="4"/>
      <c r="V1716" s="4"/>
      <c r="W1716" s="4"/>
      <c r="X1716" s="4" t="s">
        <v>63</v>
      </c>
      <c r="Y1716" s="4" t="s">
        <v>63</v>
      </c>
      <c r="Z1716" s="4" t="s">
        <v>63</v>
      </c>
      <c r="AA1716" s="4" t="s">
        <v>63</v>
      </c>
      <c r="AB1716" s="4" t="s">
        <v>63</v>
      </c>
      <c r="AC1716" s="4" t="s">
        <v>67</v>
      </c>
      <c r="AD1716" s="4" t="s">
        <v>63</v>
      </c>
      <c r="AE1716" s="4" t="s">
        <v>63</v>
      </c>
      <c r="AF1716" s="4" t="s">
        <v>63</v>
      </c>
      <c r="AG1716" s="4" t="s">
        <v>15021</v>
      </c>
      <c r="AH1716" s="4" t="s">
        <v>63</v>
      </c>
      <c r="AI1716" s="4" t="s">
        <v>63</v>
      </c>
      <c r="AJ1716" s="4" t="s">
        <v>63</v>
      </c>
      <c r="AK1716" s="4" t="s">
        <v>63</v>
      </c>
      <c r="AL1716" s="4" t="s">
        <v>63</v>
      </c>
      <c r="AM1716" s="4" t="s">
        <v>15022</v>
      </c>
      <c r="AN1716" s="4" t="s">
        <v>63</v>
      </c>
      <c r="AO1716" s="4" t="s">
        <v>63</v>
      </c>
      <c r="AP1716" s="4" t="s">
        <v>63</v>
      </c>
      <c r="AQ1716" s="4" t="s">
        <v>63</v>
      </c>
      <c r="AR1716" s="4" t="s">
        <v>63</v>
      </c>
      <c r="AS1716" s="4" t="s">
        <v>63</v>
      </c>
      <c r="AT1716" s="4" t="s">
        <v>63</v>
      </c>
      <c r="AU1716" s="4" t="s">
        <v>63</v>
      </c>
      <c r="AV1716" s="4" t="s">
        <v>63</v>
      </c>
      <c r="AW1716" s="4" t="s">
        <v>63</v>
      </c>
      <c r="AX1716" s="4" t="s">
        <v>63</v>
      </c>
      <c r="AY1716" s="4" t="s">
        <v>63</v>
      </c>
      <c r="AZ1716" s="4" t="s">
        <v>63</v>
      </c>
      <c r="BA1716" s="4" t="s">
        <v>63</v>
      </c>
      <c r="BB1716" s="4" t="s">
        <v>63</v>
      </c>
      <c r="BC1716" s="4" t="s">
        <v>63</v>
      </c>
      <c r="BD1716" s="4" t="s">
        <v>63</v>
      </c>
      <c r="BE1716" s="4" t="s">
        <v>63</v>
      </c>
      <c r="BF1716" s="4" t="s">
        <v>63</v>
      </c>
    </row>
    <row r="1717" spans="1:58">
      <c r="A1717" s="4" t="s">
        <v>58</v>
      </c>
      <c r="B1717" s="4"/>
      <c r="C1717" s="4" t="s">
        <v>15023</v>
      </c>
      <c r="D1717" s="4" t="s">
        <v>63</v>
      </c>
      <c r="E1717" s="4" t="s">
        <v>63</v>
      </c>
      <c r="F1717" s="4" t="s">
        <v>63</v>
      </c>
      <c r="G1717" s="4" t="s">
        <v>63</v>
      </c>
      <c r="H1717" s="4" t="s">
        <v>63</v>
      </c>
      <c r="I1717" s="4" t="s">
        <v>63</v>
      </c>
      <c r="J1717" s="4" t="s">
        <v>63</v>
      </c>
      <c r="K1717" s="4" t="s">
        <v>63</v>
      </c>
      <c r="L1717" s="4" t="s">
        <v>15024</v>
      </c>
      <c r="M1717" s="4" t="s">
        <v>63</v>
      </c>
      <c r="N1717" s="4" t="s">
        <v>15025</v>
      </c>
      <c r="O1717" s="4" t="s">
        <v>63</v>
      </c>
      <c r="P1717" s="4"/>
      <c r="Q1717" s="4" t="s">
        <v>63</v>
      </c>
      <c r="R1717" s="4" t="s">
        <v>63</v>
      </c>
      <c r="S1717" s="4" t="s">
        <v>63</v>
      </c>
      <c r="T1717" s="4" t="s">
        <v>63</v>
      </c>
      <c r="U1717" s="4"/>
      <c r="V1717" s="4"/>
      <c r="W1717" s="4"/>
      <c r="X1717" s="4" t="s">
        <v>63</v>
      </c>
      <c r="Y1717" s="4" t="s">
        <v>63</v>
      </c>
      <c r="Z1717" s="4" t="s">
        <v>63</v>
      </c>
      <c r="AA1717" s="4" t="s">
        <v>63</v>
      </c>
      <c r="AB1717" s="4" t="s">
        <v>63</v>
      </c>
      <c r="AC1717" s="4" t="s">
        <v>67</v>
      </c>
      <c r="AD1717" s="4" t="s">
        <v>63</v>
      </c>
      <c r="AE1717" s="4" t="s">
        <v>63</v>
      </c>
      <c r="AF1717" s="4" t="s">
        <v>63</v>
      </c>
      <c r="AG1717" s="4" t="s">
        <v>15026</v>
      </c>
      <c r="AH1717" s="4" t="s">
        <v>63</v>
      </c>
      <c r="AI1717" s="4" t="s">
        <v>63</v>
      </c>
      <c r="AJ1717" s="4" t="s">
        <v>63</v>
      </c>
      <c r="AK1717" s="4" t="s">
        <v>63</v>
      </c>
      <c r="AL1717" s="4" t="s">
        <v>63</v>
      </c>
      <c r="AM1717" s="4" t="s">
        <v>15027</v>
      </c>
      <c r="AN1717" s="4" t="s">
        <v>63</v>
      </c>
      <c r="AO1717" s="4" t="s">
        <v>63</v>
      </c>
      <c r="AP1717" s="4" t="s">
        <v>63</v>
      </c>
      <c r="AQ1717" s="4" t="s">
        <v>63</v>
      </c>
      <c r="AR1717" s="4" t="s">
        <v>63</v>
      </c>
      <c r="AS1717" s="4" t="s">
        <v>63</v>
      </c>
      <c r="AT1717" s="4" t="s">
        <v>63</v>
      </c>
      <c r="AU1717" s="4" t="s">
        <v>63</v>
      </c>
      <c r="AV1717" s="4" t="s">
        <v>63</v>
      </c>
      <c r="AW1717" s="4" t="s">
        <v>63</v>
      </c>
      <c r="AX1717" s="4" t="s">
        <v>63</v>
      </c>
      <c r="AY1717" s="4" t="s">
        <v>63</v>
      </c>
      <c r="AZ1717" s="4" t="s">
        <v>63</v>
      </c>
      <c r="BA1717" s="4" t="s">
        <v>63</v>
      </c>
      <c r="BB1717" s="4" t="s">
        <v>63</v>
      </c>
      <c r="BC1717" s="4" t="s">
        <v>63</v>
      </c>
      <c r="BD1717" s="4" t="s">
        <v>63</v>
      </c>
      <c r="BE1717" s="4" t="s">
        <v>63</v>
      </c>
      <c r="BF1717" s="4" t="s">
        <v>63</v>
      </c>
    </row>
    <row r="1718" spans="1:58">
      <c r="A1718" s="4" t="s">
        <v>58</v>
      </c>
      <c r="B1718" s="4"/>
      <c r="C1718" s="4" t="s">
        <v>15028</v>
      </c>
      <c r="D1718" s="4" t="s">
        <v>63</v>
      </c>
      <c r="E1718" s="4" t="s">
        <v>63</v>
      </c>
      <c r="F1718" s="4" t="s">
        <v>63</v>
      </c>
      <c r="G1718" s="4" t="s">
        <v>63</v>
      </c>
      <c r="H1718" s="4" t="s">
        <v>63</v>
      </c>
      <c r="I1718" s="4" t="s">
        <v>63</v>
      </c>
      <c r="J1718" s="4" t="s">
        <v>63</v>
      </c>
      <c r="K1718" s="4" t="s">
        <v>63</v>
      </c>
      <c r="L1718" s="4" t="s">
        <v>15029</v>
      </c>
      <c r="M1718" s="4" t="s">
        <v>15030</v>
      </c>
      <c r="N1718" s="4" t="s">
        <v>15031</v>
      </c>
      <c r="O1718" s="4" t="s">
        <v>63</v>
      </c>
      <c r="P1718" s="4"/>
      <c r="Q1718" s="4" t="s">
        <v>63</v>
      </c>
      <c r="R1718" s="4" t="s">
        <v>63</v>
      </c>
      <c r="S1718" s="4" t="s">
        <v>63</v>
      </c>
      <c r="T1718" s="4" t="s">
        <v>63</v>
      </c>
      <c r="U1718" s="4"/>
      <c r="V1718" s="4"/>
      <c r="W1718" s="4"/>
      <c r="X1718" s="4" t="s">
        <v>63</v>
      </c>
      <c r="Y1718" s="4" t="s">
        <v>63</v>
      </c>
      <c r="Z1718" s="4" t="s">
        <v>63</v>
      </c>
      <c r="AA1718" s="4" t="s">
        <v>63</v>
      </c>
      <c r="AB1718" s="4" t="s">
        <v>15032</v>
      </c>
      <c r="AC1718" s="4" t="s">
        <v>67</v>
      </c>
      <c r="AD1718" s="4" t="s">
        <v>63</v>
      </c>
      <c r="AE1718" s="4" t="s">
        <v>63</v>
      </c>
      <c r="AF1718" s="4" t="s">
        <v>63</v>
      </c>
      <c r="AG1718" s="4" t="s">
        <v>63</v>
      </c>
      <c r="AH1718" s="4" t="s">
        <v>63</v>
      </c>
      <c r="AI1718" s="4" t="s">
        <v>63</v>
      </c>
      <c r="AJ1718" s="4" t="s">
        <v>63</v>
      </c>
      <c r="AK1718" s="4" t="s">
        <v>63</v>
      </c>
      <c r="AL1718" s="4" t="s">
        <v>63</v>
      </c>
      <c r="AM1718" s="4" t="s">
        <v>15028</v>
      </c>
      <c r="AN1718" s="4" t="s">
        <v>63</v>
      </c>
      <c r="AO1718" s="4" t="s">
        <v>63</v>
      </c>
      <c r="AP1718" s="4" t="s">
        <v>63</v>
      </c>
      <c r="AQ1718" s="4" t="s">
        <v>63</v>
      </c>
      <c r="AR1718" s="4" t="s">
        <v>63</v>
      </c>
      <c r="AS1718" s="4" t="s">
        <v>63</v>
      </c>
      <c r="AT1718" s="4" t="s">
        <v>63</v>
      </c>
      <c r="AU1718" s="4" t="s">
        <v>63</v>
      </c>
      <c r="AV1718" s="4" t="s">
        <v>63</v>
      </c>
      <c r="AW1718" s="4" t="s">
        <v>63</v>
      </c>
      <c r="AX1718" s="4" t="s">
        <v>63</v>
      </c>
      <c r="AY1718" s="4" t="s">
        <v>63</v>
      </c>
      <c r="AZ1718" s="4" t="s">
        <v>63</v>
      </c>
      <c r="BA1718" s="4" t="s">
        <v>63</v>
      </c>
      <c r="BB1718" s="4" t="s">
        <v>63</v>
      </c>
      <c r="BC1718" s="4" t="s">
        <v>63</v>
      </c>
      <c r="BD1718" s="4" t="s">
        <v>63</v>
      </c>
      <c r="BE1718" s="4" t="s">
        <v>63</v>
      </c>
      <c r="BF1718" s="4" t="s">
        <v>63</v>
      </c>
    </row>
    <row r="1719" spans="1:58">
      <c r="A1719" s="4" t="s">
        <v>58</v>
      </c>
      <c r="B1719" s="4"/>
      <c r="C1719" s="4" t="s">
        <v>15033</v>
      </c>
      <c r="D1719" s="4" t="s">
        <v>63</v>
      </c>
      <c r="E1719" s="4" t="s">
        <v>63</v>
      </c>
      <c r="F1719" s="4" t="s">
        <v>63</v>
      </c>
      <c r="G1719" s="4" t="s">
        <v>63</v>
      </c>
      <c r="H1719" s="4" t="s">
        <v>63</v>
      </c>
      <c r="I1719" s="4" t="s">
        <v>63</v>
      </c>
      <c r="J1719" s="4" t="s">
        <v>63</v>
      </c>
      <c r="K1719" s="4" t="s">
        <v>63</v>
      </c>
      <c r="L1719" s="4" t="s">
        <v>15034</v>
      </c>
      <c r="M1719" s="4" t="s">
        <v>63</v>
      </c>
      <c r="N1719" s="4" t="s">
        <v>15035</v>
      </c>
      <c r="O1719" s="4" t="s">
        <v>63</v>
      </c>
      <c r="P1719" s="4"/>
      <c r="Q1719" s="4" t="s">
        <v>63</v>
      </c>
      <c r="R1719" s="4" t="s">
        <v>63</v>
      </c>
      <c r="S1719" s="4" t="s">
        <v>63</v>
      </c>
      <c r="T1719" s="4" t="s">
        <v>63</v>
      </c>
      <c r="U1719" s="4"/>
      <c r="V1719" s="4"/>
      <c r="W1719" s="4"/>
      <c r="X1719" s="4" t="s">
        <v>63</v>
      </c>
      <c r="Y1719" s="4" t="s">
        <v>63</v>
      </c>
      <c r="Z1719" s="4" t="s">
        <v>63</v>
      </c>
      <c r="AA1719" s="4" t="s">
        <v>63</v>
      </c>
      <c r="AB1719" s="4" t="s">
        <v>15036</v>
      </c>
      <c r="AC1719" s="4" t="s">
        <v>67</v>
      </c>
      <c r="AD1719" s="4" t="s">
        <v>63</v>
      </c>
      <c r="AE1719" s="4" t="s">
        <v>63</v>
      </c>
      <c r="AF1719" s="4" t="s">
        <v>63</v>
      </c>
      <c r="AG1719" s="4" t="s">
        <v>63</v>
      </c>
      <c r="AH1719" s="4" t="s">
        <v>63</v>
      </c>
      <c r="AI1719" s="4" t="s">
        <v>63</v>
      </c>
      <c r="AJ1719" s="4" t="s">
        <v>63</v>
      </c>
      <c r="AK1719" s="4" t="s">
        <v>63</v>
      </c>
      <c r="AL1719" s="4" t="s">
        <v>63</v>
      </c>
      <c r="AM1719" s="4" t="s">
        <v>15033</v>
      </c>
      <c r="AN1719" s="4" t="s">
        <v>63</v>
      </c>
      <c r="AO1719" s="4" t="s">
        <v>63</v>
      </c>
      <c r="AP1719" s="4" t="s">
        <v>63</v>
      </c>
      <c r="AQ1719" s="4" t="s">
        <v>63</v>
      </c>
      <c r="AR1719" s="4" t="s">
        <v>63</v>
      </c>
      <c r="AS1719" s="4" t="s">
        <v>63</v>
      </c>
      <c r="AT1719" s="4" t="s">
        <v>63</v>
      </c>
      <c r="AU1719" s="4" t="s">
        <v>63</v>
      </c>
      <c r="AV1719" s="4" t="s">
        <v>63</v>
      </c>
      <c r="AW1719" s="4" t="s">
        <v>63</v>
      </c>
      <c r="AX1719" s="4" t="s">
        <v>63</v>
      </c>
      <c r="AY1719" s="4" t="s">
        <v>63</v>
      </c>
      <c r="AZ1719" s="4" t="s">
        <v>63</v>
      </c>
      <c r="BA1719" s="4" t="s">
        <v>63</v>
      </c>
      <c r="BB1719" s="4" t="s">
        <v>63</v>
      </c>
      <c r="BC1719" s="4" t="s">
        <v>63</v>
      </c>
      <c r="BD1719" s="4" t="s">
        <v>63</v>
      </c>
      <c r="BE1719" s="4" t="s">
        <v>63</v>
      </c>
      <c r="BF1719" s="4" t="s">
        <v>63</v>
      </c>
    </row>
    <row r="1720" spans="1:58">
      <c r="A1720" s="4" t="s">
        <v>58</v>
      </c>
      <c r="B1720" s="4"/>
      <c r="C1720" s="4" t="s">
        <v>15037</v>
      </c>
      <c r="D1720" s="4" t="s">
        <v>63</v>
      </c>
      <c r="E1720" s="4" t="s">
        <v>63</v>
      </c>
      <c r="F1720" s="4" t="s">
        <v>63</v>
      </c>
      <c r="G1720" s="4" t="s">
        <v>63</v>
      </c>
      <c r="H1720" s="4" t="s">
        <v>63</v>
      </c>
      <c r="I1720" s="4" t="s">
        <v>63</v>
      </c>
      <c r="J1720" s="4" t="s">
        <v>63</v>
      </c>
      <c r="K1720" s="4" t="s">
        <v>63</v>
      </c>
      <c r="L1720" s="4" t="s">
        <v>15038</v>
      </c>
      <c r="M1720" s="4" t="s">
        <v>63</v>
      </c>
      <c r="N1720" s="4" t="s">
        <v>15039</v>
      </c>
      <c r="O1720" s="4" t="s">
        <v>63</v>
      </c>
      <c r="P1720" s="4"/>
      <c r="Q1720" s="4" t="s">
        <v>63</v>
      </c>
      <c r="R1720" s="4" t="s">
        <v>63</v>
      </c>
      <c r="S1720" s="4" t="s">
        <v>63</v>
      </c>
      <c r="T1720" s="4" t="s">
        <v>63</v>
      </c>
      <c r="U1720" s="4"/>
      <c r="V1720" s="4"/>
      <c r="W1720" s="4"/>
      <c r="X1720" s="4" t="s">
        <v>63</v>
      </c>
      <c r="Y1720" s="4" t="s">
        <v>63</v>
      </c>
      <c r="Z1720" s="4" t="s">
        <v>63</v>
      </c>
      <c r="AA1720" s="4" t="s">
        <v>63</v>
      </c>
      <c r="AB1720" s="4">
        <v>1977139491</v>
      </c>
      <c r="AC1720" s="4" t="s">
        <v>67</v>
      </c>
      <c r="AD1720" s="4" t="s">
        <v>63</v>
      </c>
      <c r="AE1720" s="4" t="s">
        <v>63</v>
      </c>
      <c r="AF1720" s="4" t="s">
        <v>63</v>
      </c>
      <c r="AG1720" s="4" t="s">
        <v>15040</v>
      </c>
      <c r="AH1720" s="4" t="s">
        <v>63</v>
      </c>
      <c r="AI1720" s="4" t="s">
        <v>63</v>
      </c>
      <c r="AJ1720" s="4" t="s">
        <v>63</v>
      </c>
      <c r="AK1720" s="4" t="s">
        <v>63</v>
      </c>
      <c r="AL1720" s="4" t="s">
        <v>63</v>
      </c>
      <c r="AM1720" s="4" t="s">
        <v>15041</v>
      </c>
      <c r="AN1720" s="4" t="s">
        <v>63</v>
      </c>
      <c r="AO1720" s="4" t="s">
        <v>63</v>
      </c>
      <c r="AP1720" s="4" t="s">
        <v>63</v>
      </c>
      <c r="AQ1720" s="4" t="s">
        <v>63</v>
      </c>
      <c r="AR1720" s="4" t="s">
        <v>63</v>
      </c>
      <c r="AS1720" s="4" t="s">
        <v>63</v>
      </c>
      <c r="AT1720" s="4" t="s">
        <v>63</v>
      </c>
      <c r="AU1720" s="4" t="s">
        <v>63</v>
      </c>
      <c r="AV1720" s="4" t="s">
        <v>63</v>
      </c>
      <c r="AW1720" s="4" t="s">
        <v>63</v>
      </c>
      <c r="AX1720" s="4" t="s">
        <v>63</v>
      </c>
      <c r="AY1720" s="4" t="s">
        <v>63</v>
      </c>
      <c r="AZ1720" s="4" t="s">
        <v>63</v>
      </c>
      <c r="BA1720" s="4" t="s">
        <v>63</v>
      </c>
      <c r="BB1720" s="4" t="s">
        <v>63</v>
      </c>
      <c r="BC1720" s="4" t="s">
        <v>63</v>
      </c>
      <c r="BD1720" s="4" t="s">
        <v>63</v>
      </c>
      <c r="BE1720" s="4" t="s">
        <v>63</v>
      </c>
      <c r="BF1720" s="4" t="s">
        <v>63</v>
      </c>
    </row>
    <row r="1721" spans="1:58">
      <c r="A1721" s="4" t="s">
        <v>58</v>
      </c>
      <c r="B1721" s="4"/>
      <c r="C1721" s="4" t="s">
        <v>15042</v>
      </c>
      <c r="D1721" s="4" t="s">
        <v>63</v>
      </c>
      <c r="E1721" s="4" t="s">
        <v>63</v>
      </c>
      <c r="F1721" s="4" t="s">
        <v>63</v>
      </c>
      <c r="G1721" s="4" t="s">
        <v>63</v>
      </c>
      <c r="H1721" s="4" t="s">
        <v>63</v>
      </c>
      <c r="I1721" s="4" t="s">
        <v>63</v>
      </c>
      <c r="J1721" s="4" t="s">
        <v>63</v>
      </c>
      <c r="K1721" s="4" t="s">
        <v>63</v>
      </c>
      <c r="L1721" s="4" t="s">
        <v>15043</v>
      </c>
      <c r="M1721" s="4" t="s">
        <v>63</v>
      </c>
      <c r="N1721" s="4" t="s">
        <v>15044</v>
      </c>
      <c r="O1721" s="4" t="s">
        <v>63</v>
      </c>
      <c r="P1721" s="4"/>
      <c r="Q1721" s="4" t="s">
        <v>63</v>
      </c>
      <c r="R1721" s="4" t="s">
        <v>63</v>
      </c>
      <c r="S1721" s="4" t="s">
        <v>63</v>
      </c>
      <c r="T1721" s="4" t="s">
        <v>63</v>
      </c>
      <c r="U1721" s="4"/>
      <c r="V1721" s="4"/>
      <c r="W1721" s="4"/>
      <c r="X1721" s="4" t="s">
        <v>63</v>
      </c>
      <c r="Y1721" s="4" t="s">
        <v>15045</v>
      </c>
      <c r="Z1721" s="4" t="s">
        <v>63</v>
      </c>
      <c r="AA1721" s="4" t="s">
        <v>63</v>
      </c>
      <c r="AB1721" s="4" t="s">
        <v>63</v>
      </c>
      <c r="AC1721" s="4" t="s">
        <v>67</v>
      </c>
      <c r="AD1721" s="4" t="s">
        <v>63</v>
      </c>
      <c r="AE1721" s="4" t="s">
        <v>63</v>
      </c>
      <c r="AF1721" s="4" t="s">
        <v>63</v>
      </c>
      <c r="AG1721" s="4" t="s">
        <v>15046</v>
      </c>
      <c r="AH1721" s="4" t="s">
        <v>63</v>
      </c>
      <c r="AI1721" s="4" t="s">
        <v>63</v>
      </c>
      <c r="AJ1721" s="4" t="s">
        <v>63</v>
      </c>
      <c r="AK1721" s="4" t="s">
        <v>63</v>
      </c>
      <c r="AL1721" s="4" t="s">
        <v>63</v>
      </c>
      <c r="AM1721" s="4" t="s">
        <v>15047</v>
      </c>
      <c r="AN1721" s="4" t="s">
        <v>63</v>
      </c>
      <c r="AO1721" s="4" t="s">
        <v>63</v>
      </c>
      <c r="AP1721" s="4" t="s">
        <v>63</v>
      </c>
      <c r="AQ1721" s="4" t="s">
        <v>63</v>
      </c>
      <c r="AR1721" s="4" t="s">
        <v>63</v>
      </c>
      <c r="AS1721" s="4" t="s">
        <v>63</v>
      </c>
      <c r="AT1721" s="4" t="s">
        <v>63</v>
      </c>
      <c r="AU1721" s="4" t="s">
        <v>63</v>
      </c>
      <c r="AV1721" s="4" t="s">
        <v>63</v>
      </c>
      <c r="AW1721" s="4" t="s">
        <v>63</v>
      </c>
      <c r="AX1721" s="4" t="s">
        <v>63</v>
      </c>
      <c r="AY1721" s="4" t="s">
        <v>63</v>
      </c>
      <c r="AZ1721" s="4" t="s">
        <v>63</v>
      </c>
      <c r="BA1721" s="4" t="s">
        <v>63</v>
      </c>
      <c r="BB1721" s="4" t="s">
        <v>63</v>
      </c>
      <c r="BC1721" s="4" t="s">
        <v>63</v>
      </c>
      <c r="BD1721" s="4" t="s">
        <v>63</v>
      </c>
      <c r="BE1721" s="4" t="s">
        <v>63</v>
      </c>
      <c r="BF1721" s="4" t="s">
        <v>63</v>
      </c>
    </row>
    <row r="1722" spans="1:58">
      <c r="A1722" s="4" t="s">
        <v>58</v>
      </c>
      <c r="B1722" s="4"/>
      <c r="C1722" s="4" t="s">
        <v>15048</v>
      </c>
      <c r="D1722" s="4" t="s">
        <v>63</v>
      </c>
      <c r="E1722" s="4" t="s">
        <v>63</v>
      </c>
      <c r="F1722" s="4" t="s">
        <v>63</v>
      </c>
      <c r="G1722" s="4" t="s">
        <v>63</v>
      </c>
      <c r="H1722" s="4" t="s">
        <v>63</v>
      </c>
      <c r="I1722" s="4" t="s">
        <v>63</v>
      </c>
      <c r="J1722" s="4" t="s">
        <v>63</v>
      </c>
      <c r="K1722" s="4" t="s">
        <v>63</v>
      </c>
      <c r="L1722" s="4" t="s">
        <v>15049</v>
      </c>
      <c r="M1722" s="4" t="s">
        <v>63</v>
      </c>
      <c r="N1722" s="4" t="s">
        <v>15050</v>
      </c>
      <c r="O1722" s="4" t="s">
        <v>63</v>
      </c>
      <c r="P1722" s="4"/>
      <c r="Q1722" s="4" t="s">
        <v>63</v>
      </c>
      <c r="R1722" s="4" t="s">
        <v>63</v>
      </c>
      <c r="S1722" s="4" t="s">
        <v>63</v>
      </c>
      <c r="T1722" s="4" t="s">
        <v>63</v>
      </c>
      <c r="U1722" s="4"/>
      <c r="V1722" s="4"/>
      <c r="W1722" s="4"/>
      <c r="X1722" s="4" t="s">
        <v>63</v>
      </c>
      <c r="Y1722" s="4" t="s">
        <v>15051</v>
      </c>
      <c r="Z1722" s="4" t="s">
        <v>63</v>
      </c>
      <c r="AA1722" s="4" t="s">
        <v>63</v>
      </c>
      <c r="AB1722" s="4" t="s">
        <v>15052</v>
      </c>
      <c r="AC1722" s="4" t="s">
        <v>67</v>
      </c>
      <c r="AD1722" s="4" t="s">
        <v>63</v>
      </c>
      <c r="AE1722" s="4" t="s">
        <v>63</v>
      </c>
      <c r="AF1722" s="4" t="s">
        <v>63</v>
      </c>
      <c r="AG1722" s="4" t="s">
        <v>63</v>
      </c>
      <c r="AH1722" s="4" t="s">
        <v>63</v>
      </c>
      <c r="AI1722" s="4" t="s">
        <v>63</v>
      </c>
      <c r="AJ1722" s="4" t="s">
        <v>63</v>
      </c>
      <c r="AK1722" s="4" t="s">
        <v>63</v>
      </c>
      <c r="AL1722" s="4" t="s">
        <v>63</v>
      </c>
      <c r="AM1722" s="4" t="s">
        <v>15053</v>
      </c>
      <c r="AN1722" s="4" t="s">
        <v>63</v>
      </c>
      <c r="AO1722" s="4" t="s">
        <v>63</v>
      </c>
      <c r="AP1722" s="4" t="s">
        <v>63</v>
      </c>
      <c r="AQ1722" s="4" t="s">
        <v>63</v>
      </c>
      <c r="AR1722" s="4" t="s">
        <v>63</v>
      </c>
      <c r="AS1722" s="4" t="s">
        <v>63</v>
      </c>
      <c r="AT1722" s="4" t="s">
        <v>63</v>
      </c>
      <c r="AU1722" s="4" t="s">
        <v>63</v>
      </c>
      <c r="AV1722" s="4" t="s">
        <v>63</v>
      </c>
      <c r="AW1722" s="4" t="s">
        <v>63</v>
      </c>
      <c r="AX1722" s="4" t="s">
        <v>63</v>
      </c>
      <c r="AY1722" s="4" t="s">
        <v>63</v>
      </c>
      <c r="AZ1722" s="4" t="s">
        <v>63</v>
      </c>
      <c r="BA1722" s="4" t="s">
        <v>63</v>
      </c>
      <c r="BB1722" s="4" t="s">
        <v>63</v>
      </c>
      <c r="BC1722" s="4" t="s">
        <v>63</v>
      </c>
      <c r="BD1722" s="4" t="s">
        <v>63</v>
      </c>
      <c r="BE1722" s="4" t="s">
        <v>63</v>
      </c>
      <c r="BF1722" s="4" t="s">
        <v>63</v>
      </c>
    </row>
    <row r="1723" spans="1:58">
      <c r="A1723" s="4" t="s">
        <v>58</v>
      </c>
      <c r="B1723" s="4"/>
      <c r="C1723" s="4" t="s">
        <v>15054</v>
      </c>
      <c r="D1723" s="4" t="s">
        <v>63</v>
      </c>
      <c r="E1723" s="4" t="s">
        <v>63</v>
      </c>
      <c r="F1723" s="4" t="s">
        <v>63</v>
      </c>
      <c r="G1723" s="4" t="s">
        <v>63</v>
      </c>
      <c r="H1723" s="4" t="s">
        <v>63</v>
      </c>
      <c r="I1723" s="4" t="s">
        <v>63</v>
      </c>
      <c r="J1723" s="4" t="s">
        <v>63</v>
      </c>
      <c r="K1723" s="4" t="s">
        <v>63</v>
      </c>
      <c r="L1723" s="4" t="s">
        <v>15055</v>
      </c>
      <c r="M1723" s="4" t="s">
        <v>63</v>
      </c>
      <c r="N1723" s="4" t="s">
        <v>15056</v>
      </c>
      <c r="O1723" s="4" t="s">
        <v>63</v>
      </c>
      <c r="P1723" s="4"/>
      <c r="Q1723" s="4" t="s">
        <v>63</v>
      </c>
      <c r="R1723" s="4" t="s">
        <v>63</v>
      </c>
      <c r="S1723" s="4" t="s">
        <v>63</v>
      </c>
      <c r="T1723" s="4" t="s">
        <v>63</v>
      </c>
      <c r="U1723" s="4"/>
      <c r="V1723" s="4"/>
      <c r="W1723" s="4"/>
      <c r="X1723" s="4" t="s">
        <v>63</v>
      </c>
      <c r="Y1723" s="4" t="s">
        <v>747</v>
      </c>
      <c r="Z1723" s="4" t="s">
        <v>63</v>
      </c>
      <c r="AA1723" s="4" t="s">
        <v>63</v>
      </c>
      <c r="AB1723" s="4" t="s">
        <v>15057</v>
      </c>
      <c r="AC1723" s="4" t="s">
        <v>67</v>
      </c>
      <c r="AD1723" s="4" t="s">
        <v>63</v>
      </c>
      <c r="AE1723" s="4" t="s">
        <v>63</v>
      </c>
      <c r="AF1723" s="4" t="s">
        <v>63</v>
      </c>
      <c r="AG1723" s="4" t="s">
        <v>63</v>
      </c>
      <c r="AH1723" s="4" t="s">
        <v>63</v>
      </c>
      <c r="AI1723" s="4" t="s">
        <v>63</v>
      </c>
      <c r="AJ1723" s="4" t="s">
        <v>63</v>
      </c>
      <c r="AK1723" s="4" t="s">
        <v>63</v>
      </c>
      <c r="AL1723" s="4" t="s">
        <v>63</v>
      </c>
      <c r="AM1723" s="4" t="s">
        <v>15054</v>
      </c>
      <c r="AN1723" s="4" t="s">
        <v>63</v>
      </c>
      <c r="AO1723" s="4" t="s">
        <v>63</v>
      </c>
      <c r="AP1723" s="4" t="s">
        <v>63</v>
      </c>
      <c r="AQ1723" s="4" t="s">
        <v>63</v>
      </c>
      <c r="AR1723" s="4" t="s">
        <v>63</v>
      </c>
      <c r="AS1723" s="4" t="s">
        <v>63</v>
      </c>
      <c r="AT1723" s="4" t="s">
        <v>63</v>
      </c>
      <c r="AU1723" s="4" t="s">
        <v>63</v>
      </c>
      <c r="AV1723" s="4" t="s">
        <v>63</v>
      </c>
      <c r="AW1723" s="4" t="s">
        <v>63</v>
      </c>
      <c r="AX1723" s="4" t="s">
        <v>63</v>
      </c>
      <c r="AY1723" s="4" t="s">
        <v>63</v>
      </c>
      <c r="AZ1723" s="4" t="s">
        <v>63</v>
      </c>
      <c r="BA1723" s="4" t="s">
        <v>63</v>
      </c>
      <c r="BB1723" s="4" t="s">
        <v>63</v>
      </c>
      <c r="BC1723" s="4" t="s">
        <v>63</v>
      </c>
      <c r="BD1723" s="4" t="s">
        <v>63</v>
      </c>
      <c r="BE1723" s="4" t="s">
        <v>63</v>
      </c>
      <c r="BF1723" s="4" t="s">
        <v>63</v>
      </c>
    </row>
    <row r="1724" spans="1:58">
      <c r="A1724" s="4" t="s">
        <v>58</v>
      </c>
      <c r="B1724" s="4"/>
      <c r="C1724" s="4" t="s">
        <v>15058</v>
      </c>
      <c r="D1724" s="4" t="s">
        <v>63</v>
      </c>
      <c r="E1724" s="4" t="s">
        <v>63</v>
      </c>
      <c r="F1724" s="4" t="s">
        <v>63</v>
      </c>
      <c r="G1724" s="4" t="s">
        <v>63</v>
      </c>
      <c r="H1724" s="4" t="s">
        <v>63</v>
      </c>
      <c r="I1724" s="4" t="s">
        <v>63</v>
      </c>
      <c r="J1724" s="4" t="s">
        <v>63</v>
      </c>
      <c r="K1724" s="4" t="s">
        <v>63</v>
      </c>
      <c r="L1724" s="4" t="s">
        <v>15059</v>
      </c>
      <c r="M1724" s="4" t="s">
        <v>63</v>
      </c>
      <c r="N1724" s="4" t="s">
        <v>15060</v>
      </c>
      <c r="O1724" s="4" t="s">
        <v>63</v>
      </c>
      <c r="P1724" s="4"/>
      <c r="Q1724" s="4" t="s">
        <v>63</v>
      </c>
      <c r="R1724" s="4" t="s">
        <v>63</v>
      </c>
      <c r="S1724" s="4" t="s">
        <v>63</v>
      </c>
      <c r="T1724" s="4" t="s">
        <v>63</v>
      </c>
      <c r="U1724" s="4"/>
      <c r="V1724" s="4"/>
      <c r="W1724" s="4"/>
      <c r="X1724" s="4" t="s">
        <v>63</v>
      </c>
      <c r="Y1724" s="4" t="s">
        <v>15061</v>
      </c>
      <c r="Z1724" s="4" t="s">
        <v>63</v>
      </c>
      <c r="AA1724" s="4" t="s">
        <v>63</v>
      </c>
      <c r="AB1724" s="4">
        <v>2006110476</v>
      </c>
      <c r="AC1724" s="4" t="s">
        <v>67</v>
      </c>
      <c r="AD1724" s="4" t="s">
        <v>63</v>
      </c>
      <c r="AE1724" s="4" t="s">
        <v>63</v>
      </c>
      <c r="AF1724" s="4" t="s">
        <v>63</v>
      </c>
      <c r="AG1724" s="4" t="s">
        <v>15062</v>
      </c>
      <c r="AH1724" s="4" t="s">
        <v>63</v>
      </c>
      <c r="AI1724" s="4" t="s">
        <v>15063</v>
      </c>
      <c r="AJ1724" s="4" t="s">
        <v>63</v>
      </c>
      <c r="AK1724" s="4" t="s">
        <v>63</v>
      </c>
      <c r="AL1724" s="4" t="s">
        <v>63</v>
      </c>
      <c r="AM1724" s="4" t="s">
        <v>15064</v>
      </c>
      <c r="AN1724" s="4" t="s">
        <v>63</v>
      </c>
      <c r="AO1724" s="4" t="s">
        <v>63</v>
      </c>
      <c r="AP1724" s="4" t="s">
        <v>63</v>
      </c>
      <c r="AQ1724" s="4" t="s">
        <v>63</v>
      </c>
      <c r="AR1724" s="4" t="s">
        <v>63</v>
      </c>
      <c r="AS1724" s="4" t="s">
        <v>63</v>
      </c>
      <c r="AT1724" s="4" t="s">
        <v>63</v>
      </c>
      <c r="AU1724" s="4" t="s">
        <v>63</v>
      </c>
      <c r="AV1724" s="4" t="s">
        <v>63</v>
      </c>
      <c r="AW1724" s="4" t="s">
        <v>63</v>
      </c>
      <c r="AX1724" s="4" t="s">
        <v>63</v>
      </c>
      <c r="AY1724" s="4" t="s">
        <v>63</v>
      </c>
      <c r="AZ1724" s="4" t="s">
        <v>63</v>
      </c>
      <c r="BA1724" s="4" t="s">
        <v>63</v>
      </c>
      <c r="BB1724" s="4" t="s">
        <v>63</v>
      </c>
      <c r="BC1724" s="4" t="s">
        <v>63</v>
      </c>
      <c r="BD1724" s="4" t="s">
        <v>63</v>
      </c>
      <c r="BE1724" s="4" t="s">
        <v>63</v>
      </c>
      <c r="BF1724" s="4" t="s">
        <v>63</v>
      </c>
    </row>
    <row r="1725" spans="1:58">
      <c r="A1725" s="4" t="s">
        <v>58</v>
      </c>
      <c r="B1725" s="4"/>
      <c r="C1725" s="4" t="s">
        <v>15065</v>
      </c>
      <c r="D1725" s="4" t="s">
        <v>63</v>
      </c>
      <c r="E1725" s="4" t="s">
        <v>63</v>
      </c>
      <c r="F1725" s="4" t="s">
        <v>63</v>
      </c>
      <c r="G1725" s="4" t="s">
        <v>63</v>
      </c>
      <c r="H1725" s="4" t="s">
        <v>63</v>
      </c>
      <c r="I1725" s="4" t="s">
        <v>63</v>
      </c>
      <c r="J1725" s="4" t="s">
        <v>63</v>
      </c>
      <c r="K1725" s="4" t="s">
        <v>63</v>
      </c>
      <c r="L1725" s="4" t="s">
        <v>15066</v>
      </c>
      <c r="M1725" s="4" t="s">
        <v>15067</v>
      </c>
      <c r="N1725" s="4" t="s">
        <v>15068</v>
      </c>
      <c r="O1725" s="4" t="s">
        <v>63</v>
      </c>
      <c r="P1725" s="4"/>
      <c r="Q1725" s="4" t="s">
        <v>63</v>
      </c>
      <c r="R1725" s="4" t="s">
        <v>63</v>
      </c>
      <c r="S1725" s="4" t="s">
        <v>63</v>
      </c>
      <c r="T1725" s="4" t="s">
        <v>63</v>
      </c>
      <c r="U1725" s="4"/>
      <c r="V1725" s="4"/>
      <c r="W1725" s="4"/>
      <c r="X1725" s="4" t="s">
        <v>63</v>
      </c>
      <c r="Y1725" s="4" t="s">
        <v>2426</v>
      </c>
      <c r="Z1725" s="4" t="s">
        <v>63</v>
      </c>
      <c r="AA1725" s="4" t="s">
        <v>63</v>
      </c>
      <c r="AB1725" s="4">
        <v>1993102095</v>
      </c>
      <c r="AC1725" s="4" t="s">
        <v>67</v>
      </c>
      <c r="AD1725" s="4" t="s">
        <v>63</v>
      </c>
      <c r="AE1725" s="4" t="s">
        <v>63</v>
      </c>
      <c r="AF1725" s="4" t="s">
        <v>63</v>
      </c>
      <c r="AG1725" s="4" t="s">
        <v>15069</v>
      </c>
      <c r="AH1725" s="4" t="s">
        <v>63</v>
      </c>
      <c r="AI1725" s="4" t="s">
        <v>63</v>
      </c>
      <c r="AJ1725" s="4" t="s">
        <v>63</v>
      </c>
      <c r="AK1725" s="4" t="s">
        <v>63</v>
      </c>
      <c r="AL1725" s="4" t="s">
        <v>63</v>
      </c>
      <c r="AM1725" s="4" t="s">
        <v>15070</v>
      </c>
      <c r="AN1725" s="4" t="s">
        <v>63</v>
      </c>
      <c r="AO1725" s="4" t="s">
        <v>63</v>
      </c>
      <c r="AP1725" s="4" t="s">
        <v>63</v>
      </c>
      <c r="AQ1725" s="4" t="s">
        <v>63</v>
      </c>
      <c r="AR1725" s="4" t="s">
        <v>63</v>
      </c>
      <c r="AS1725" s="4" t="s">
        <v>63</v>
      </c>
      <c r="AT1725" s="4" t="s">
        <v>63</v>
      </c>
      <c r="AU1725" s="4" t="s">
        <v>63</v>
      </c>
      <c r="AV1725" s="4" t="s">
        <v>63</v>
      </c>
      <c r="AW1725" s="4" t="s">
        <v>63</v>
      </c>
      <c r="AX1725" s="4" t="s">
        <v>63</v>
      </c>
      <c r="AY1725" s="4" t="s">
        <v>63</v>
      </c>
      <c r="AZ1725" s="4" t="s">
        <v>63</v>
      </c>
      <c r="BA1725" s="4" t="s">
        <v>63</v>
      </c>
      <c r="BB1725" s="4" t="s">
        <v>63</v>
      </c>
      <c r="BC1725" s="4" t="s">
        <v>63</v>
      </c>
      <c r="BD1725" s="4" t="s">
        <v>63</v>
      </c>
      <c r="BE1725" s="4" t="s">
        <v>63</v>
      </c>
      <c r="BF1725" s="4" t="s">
        <v>63</v>
      </c>
    </row>
    <row r="1726" spans="1:58">
      <c r="A1726" s="4" t="s">
        <v>58</v>
      </c>
      <c r="B1726" s="4"/>
      <c r="C1726" s="4" t="s">
        <v>15071</v>
      </c>
      <c r="D1726" s="4" t="s">
        <v>63</v>
      </c>
      <c r="E1726" s="4" t="s">
        <v>63</v>
      </c>
      <c r="F1726" s="4" t="s">
        <v>63</v>
      </c>
      <c r="G1726" s="4" t="s">
        <v>63</v>
      </c>
      <c r="H1726" s="4" t="s">
        <v>63</v>
      </c>
      <c r="I1726" s="4" t="s">
        <v>63</v>
      </c>
      <c r="J1726" s="4" t="s">
        <v>63</v>
      </c>
      <c r="K1726" s="4" t="s">
        <v>63</v>
      </c>
      <c r="L1726" s="4" t="s">
        <v>15072</v>
      </c>
      <c r="M1726" s="4" t="s">
        <v>63</v>
      </c>
      <c r="N1726" s="4" t="s">
        <v>15073</v>
      </c>
      <c r="O1726" s="4" t="s">
        <v>63</v>
      </c>
      <c r="P1726" s="4"/>
      <c r="Q1726" s="4" t="s">
        <v>63</v>
      </c>
      <c r="R1726" s="4" t="s">
        <v>63</v>
      </c>
      <c r="S1726" s="4" t="s">
        <v>63</v>
      </c>
      <c r="T1726" s="4" t="s">
        <v>63</v>
      </c>
      <c r="U1726" s="4"/>
      <c r="V1726" s="4"/>
      <c r="W1726" s="4"/>
      <c r="X1726" s="4" t="s">
        <v>63</v>
      </c>
      <c r="Y1726" s="4" t="s">
        <v>4662</v>
      </c>
      <c r="Z1726" s="4" t="s">
        <v>63</v>
      </c>
      <c r="AA1726" s="4" t="s">
        <v>63</v>
      </c>
      <c r="AB1726" s="4" t="s">
        <v>63</v>
      </c>
      <c r="AC1726" s="4" t="s">
        <v>67</v>
      </c>
      <c r="AD1726" s="4" t="s">
        <v>63</v>
      </c>
      <c r="AE1726" s="4" t="s">
        <v>63</v>
      </c>
      <c r="AF1726" s="4" t="s">
        <v>63</v>
      </c>
      <c r="AG1726" s="4" t="s">
        <v>15074</v>
      </c>
      <c r="AH1726" s="4" t="s">
        <v>63</v>
      </c>
      <c r="AI1726" s="4" t="s">
        <v>63</v>
      </c>
      <c r="AJ1726" s="4" t="s">
        <v>63</v>
      </c>
      <c r="AK1726" s="4" t="s">
        <v>63</v>
      </c>
      <c r="AL1726" s="4" t="s">
        <v>63</v>
      </c>
      <c r="AM1726" s="4" t="s">
        <v>15075</v>
      </c>
      <c r="AN1726" s="4" t="s">
        <v>63</v>
      </c>
      <c r="AO1726" s="4" t="s">
        <v>63</v>
      </c>
      <c r="AP1726" s="4" t="s">
        <v>63</v>
      </c>
      <c r="AQ1726" s="4" t="s">
        <v>63</v>
      </c>
      <c r="AR1726" s="4" t="s">
        <v>63</v>
      </c>
      <c r="AS1726" s="4" t="s">
        <v>63</v>
      </c>
      <c r="AT1726" s="4" t="s">
        <v>63</v>
      </c>
      <c r="AU1726" s="4" t="s">
        <v>63</v>
      </c>
      <c r="AV1726" s="4" t="s">
        <v>63</v>
      </c>
      <c r="AW1726" s="4" t="s">
        <v>63</v>
      </c>
      <c r="AX1726" s="4" t="s">
        <v>63</v>
      </c>
      <c r="AY1726" s="4" t="s">
        <v>63</v>
      </c>
      <c r="AZ1726" s="4" t="s">
        <v>63</v>
      </c>
      <c r="BA1726" s="4" t="s">
        <v>63</v>
      </c>
      <c r="BB1726" s="4" t="s">
        <v>63</v>
      </c>
      <c r="BC1726" s="4" t="s">
        <v>63</v>
      </c>
      <c r="BD1726" s="4" t="s">
        <v>63</v>
      </c>
      <c r="BE1726" s="4" t="s">
        <v>63</v>
      </c>
      <c r="BF1726" s="4" t="s">
        <v>63</v>
      </c>
    </row>
    <row r="1727" spans="1:58">
      <c r="A1727" s="4" t="s">
        <v>58</v>
      </c>
      <c r="B1727" s="4"/>
      <c r="C1727" s="4" t="s">
        <v>15076</v>
      </c>
      <c r="D1727" s="4" t="s">
        <v>63</v>
      </c>
      <c r="E1727" s="4" t="s">
        <v>63</v>
      </c>
      <c r="F1727" s="4" t="s">
        <v>63</v>
      </c>
      <c r="G1727" s="4" t="s">
        <v>63</v>
      </c>
      <c r="H1727" s="4" t="s">
        <v>63</v>
      </c>
      <c r="I1727" s="4" t="s">
        <v>63</v>
      </c>
      <c r="J1727" s="4" t="s">
        <v>63</v>
      </c>
      <c r="K1727" s="4" t="s">
        <v>63</v>
      </c>
      <c r="L1727" s="4" t="s">
        <v>15077</v>
      </c>
      <c r="M1727" s="4" t="s">
        <v>63</v>
      </c>
      <c r="N1727" s="4" t="s">
        <v>15078</v>
      </c>
      <c r="O1727" s="4" t="s">
        <v>63</v>
      </c>
      <c r="P1727" s="4"/>
      <c r="Q1727" s="4" t="s">
        <v>63</v>
      </c>
      <c r="R1727" s="4" t="s">
        <v>63</v>
      </c>
      <c r="S1727" s="4" t="s">
        <v>63</v>
      </c>
      <c r="T1727" s="4" t="s">
        <v>63</v>
      </c>
      <c r="U1727" s="4"/>
      <c r="V1727" s="4"/>
      <c r="W1727" s="4"/>
      <c r="X1727" s="4" t="s">
        <v>63</v>
      </c>
      <c r="Y1727" s="4" t="s">
        <v>1108</v>
      </c>
      <c r="Z1727" s="4" t="s">
        <v>63</v>
      </c>
      <c r="AA1727" s="4" t="s">
        <v>63</v>
      </c>
      <c r="AB1727" s="4" t="s">
        <v>15079</v>
      </c>
      <c r="AC1727" s="4" t="s">
        <v>67</v>
      </c>
      <c r="AD1727" s="4" t="s">
        <v>63</v>
      </c>
      <c r="AE1727" s="4" t="s">
        <v>63</v>
      </c>
      <c r="AF1727" s="4" t="s">
        <v>63</v>
      </c>
      <c r="AG1727" s="4" t="s">
        <v>63</v>
      </c>
      <c r="AH1727" s="4" t="s">
        <v>63</v>
      </c>
      <c r="AI1727" s="4" t="s">
        <v>63</v>
      </c>
      <c r="AJ1727" s="4" t="s">
        <v>63</v>
      </c>
      <c r="AK1727" s="4" t="s">
        <v>63</v>
      </c>
      <c r="AL1727" s="4" t="s">
        <v>63</v>
      </c>
      <c r="AM1727" s="4" t="s">
        <v>15076</v>
      </c>
      <c r="AN1727" s="4" t="s">
        <v>63</v>
      </c>
      <c r="AO1727" s="4" t="s">
        <v>63</v>
      </c>
      <c r="AP1727" s="4" t="s">
        <v>63</v>
      </c>
      <c r="AQ1727" s="4" t="s">
        <v>63</v>
      </c>
      <c r="AR1727" s="4" t="s">
        <v>63</v>
      </c>
      <c r="AS1727" s="4" t="s">
        <v>63</v>
      </c>
      <c r="AT1727" s="4" t="s">
        <v>63</v>
      </c>
      <c r="AU1727" s="4" t="s">
        <v>63</v>
      </c>
      <c r="AV1727" s="4" t="s">
        <v>63</v>
      </c>
      <c r="AW1727" s="4" t="s">
        <v>63</v>
      </c>
      <c r="AX1727" s="4" t="s">
        <v>63</v>
      </c>
      <c r="AY1727" s="4" t="s">
        <v>63</v>
      </c>
      <c r="AZ1727" s="4" t="s">
        <v>63</v>
      </c>
      <c r="BA1727" s="4" t="s">
        <v>63</v>
      </c>
      <c r="BB1727" s="4" t="s">
        <v>63</v>
      </c>
      <c r="BC1727" s="4" t="s">
        <v>63</v>
      </c>
      <c r="BD1727" s="4" t="s">
        <v>63</v>
      </c>
      <c r="BE1727" s="4" t="s">
        <v>63</v>
      </c>
      <c r="BF1727" s="4" t="s">
        <v>63</v>
      </c>
    </row>
    <row r="1728" spans="1:58">
      <c r="A1728" s="4" t="s">
        <v>58</v>
      </c>
      <c r="B1728" s="4"/>
      <c r="C1728" s="4" t="s">
        <v>15080</v>
      </c>
      <c r="D1728" s="4" t="s">
        <v>63</v>
      </c>
      <c r="E1728" s="4" t="s">
        <v>63</v>
      </c>
      <c r="F1728" s="4" t="s">
        <v>63</v>
      </c>
      <c r="G1728" s="4" t="s">
        <v>63</v>
      </c>
      <c r="H1728" s="4" t="s">
        <v>63</v>
      </c>
      <c r="I1728" s="4" t="s">
        <v>63</v>
      </c>
      <c r="J1728" s="4" t="s">
        <v>63</v>
      </c>
      <c r="K1728" s="4" t="s">
        <v>63</v>
      </c>
      <c r="L1728" s="4" t="s">
        <v>15081</v>
      </c>
      <c r="M1728" s="4" t="s">
        <v>15082</v>
      </c>
      <c r="N1728" s="4" t="s">
        <v>15083</v>
      </c>
      <c r="O1728" s="4" t="s">
        <v>63</v>
      </c>
      <c r="P1728" s="4"/>
      <c r="Q1728" s="4" t="s">
        <v>63</v>
      </c>
      <c r="R1728" s="4" t="s">
        <v>63</v>
      </c>
      <c r="S1728" s="4" t="s">
        <v>63</v>
      </c>
      <c r="T1728" s="4" t="s">
        <v>63</v>
      </c>
      <c r="U1728" s="4"/>
      <c r="V1728" s="4"/>
      <c r="W1728" s="4"/>
      <c r="X1728" s="4" t="s">
        <v>63</v>
      </c>
      <c r="Y1728" s="4" t="s">
        <v>15084</v>
      </c>
      <c r="Z1728" s="4" t="s">
        <v>63</v>
      </c>
      <c r="AA1728" s="4" t="s">
        <v>63</v>
      </c>
      <c r="AB1728" s="4" t="s">
        <v>15085</v>
      </c>
      <c r="AC1728" s="4" t="s">
        <v>67</v>
      </c>
      <c r="AD1728" s="4" t="s">
        <v>63</v>
      </c>
      <c r="AE1728" s="4" t="s">
        <v>63</v>
      </c>
      <c r="AF1728" s="4" t="s">
        <v>63</v>
      </c>
      <c r="AG1728" s="4" t="s">
        <v>63</v>
      </c>
      <c r="AH1728" s="4" t="s">
        <v>63</v>
      </c>
      <c r="AI1728" s="4" t="s">
        <v>15086</v>
      </c>
      <c r="AJ1728" s="4" t="s">
        <v>63</v>
      </c>
      <c r="AK1728" s="4" t="s">
        <v>63</v>
      </c>
      <c r="AL1728" s="4" t="s">
        <v>63</v>
      </c>
      <c r="AM1728" s="4" t="s">
        <v>15087</v>
      </c>
      <c r="AN1728" s="4" t="s">
        <v>63</v>
      </c>
      <c r="AO1728" s="4" t="s">
        <v>63</v>
      </c>
      <c r="AP1728" s="4" t="s">
        <v>63</v>
      </c>
      <c r="AQ1728" s="4" t="s">
        <v>63</v>
      </c>
      <c r="AR1728" s="4" t="s">
        <v>63</v>
      </c>
      <c r="AS1728" s="4" t="s">
        <v>63</v>
      </c>
      <c r="AT1728" s="4" t="s">
        <v>63</v>
      </c>
      <c r="AU1728" s="4" t="s">
        <v>63</v>
      </c>
      <c r="AV1728" s="4" t="s">
        <v>63</v>
      </c>
      <c r="AW1728" s="4" t="s">
        <v>63</v>
      </c>
      <c r="AX1728" s="4" t="s">
        <v>63</v>
      </c>
      <c r="AY1728" s="4" t="s">
        <v>63</v>
      </c>
      <c r="AZ1728" s="4" t="s">
        <v>63</v>
      </c>
      <c r="BA1728" s="4" t="s">
        <v>63</v>
      </c>
      <c r="BB1728" s="4" t="s">
        <v>63</v>
      </c>
      <c r="BC1728" s="4" t="s">
        <v>63</v>
      </c>
      <c r="BD1728" s="4" t="s">
        <v>63</v>
      </c>
      <c r="BE1728" s="4" t="s">
        <v>63</v>
      </c>
      <c r="BF1728" s="4" t="s">
        <v>63</v>
      </c>
    </row>
    <row r="1729" spans="1:58">
      <c r="A1729" s="4" t="s">
        <v>58</v>
      </c>
      <c r="B1729" s="4"/>
      <c r="C1729" s="4" t="s">
        <v>15088</v>
      </c>
      <c r="D1729" s="4" t="s">
        <v>63</v>
      </c>
      <c r="E1729" s="4" t="s">
        <v>63</v>
      </c>
      <c r="F1729" s="4" t="s">
        <v>63</v>
      </c>
      <c r="G1729" s="4" t="s">
        <v>63</v>
      </c>
      <c r="H1729" s="4" t="s">
        <v>63</v>
      </c>
      <c r="I1729" s="4" t="s">
        <v>63</v>
      </c>
      <c r="J1729" s="4" t="s">
        <v>63</v>
      </c>
      <c r="K1729" s="4" t="s">
        <v>63</v>
      </c>
      <c r="L1729" s="4" t="s">
        <v>15089</v>
      </c>
      <c r="M1729" s="4" t="s">
        <v>63</v>
      </c>
      <c r="N1729" s="4" t="s">
        <v>15090</v>
      </c>
      <c r="O1729" s="4" t="s">
        <v>63</v>
      </c>
      <c r="P1729" s="4"/>
      <c r="Q1729" s="4" t="s">
        <v>63</v>
      </c>
      <c r="R1729" s="4" t="s">
        <v>63</v>
      </c>
      <c r="S1729" s="4" t="s">
        <v>63</v>
      </c>
      <c r="T1729" s="4" t="s">
        <v>63</v>
      </c>
      <c r="U1729" s="4"/>
      <c r="V1729" s="4"/>
      <c r="W1729" s="4"/>
      <c r="X1729" s="4" t="s">
        <v>63</v>
      </c>
      <c r="Y1729" s="4" t="s">
        <v>176</v>
      </c>
      <c r="Z1729" s="4" t="s">
        <v>63</v>
      </c>
      <c r="AA1729" s="4" t="s">
        <v>63</v>
      </c>
      <c r="AB1729" s="4" t="s">
        <v>63</v>
      </c>
      <c r="AC1729" s="4" t="s">
        <v>102</v>
      </c>
      <c r="AD1729" s="4" t="s">
        <v>63</v>
      </c>
      <c r="AE1729" s="4" t="s">
        <v>63</v>
      </c>
      <c r="AF1729" s="4" t="s">
        <v>63</v>
      </c>
      <c r="AG1729" s="4" t="s">
        <v>15091</v>
      </c>
      <c r="AH1729" s="4" t="s">
        <v>63</v>
      </c>
      <c r="AI1729" s="4" t="s">
        <v>63</v>
      </c>
      <c r="AJ1729" s="4" t="s">
        <v>63</v>
      </c>
      <c r="AK1729" s="4" t="s">
        <v>63</v>
      </c>
      <c r="AL1729" s="4" t="s">
        <v>63</v>
      </c>
      <c r="AM1729" s="4" t="s">
        <v>15092</v>
      </c>
      <c r="AN1729" s="4" t="s">
        <v>63</v>
      </c>
      <c r="AO1729" s="4" t="s">
        <v>63</v>
      </c>
      <c r="AP1729" s="4" t="s">
        <v>63</v>
      </c>
      <c r="AQ1729" s="4" t="s">
        <v>63</v>
      </c>
      <c r="AR1729" s="4" t="s">
        <v>63</v>
      </c>
      <c r="AS1729" s="4" t="s">
        <v>63</v>
      </c>
      <c r="AT1729" s="4" t="s">
        <v>63</v>
      </c>
      <c r="AU1729" s="4" t="s">
        <v>63</v>
      </c>
      <c r="AV1729" s="4" t="s">
        <v>63</v>
      </c>
      <c r="AW1729" s="4" t="s">
        <v>63</v>
      </c>
      <c r="AX1729" s="4" t="s">
        <v>63</v>
      </c>
      <c r="AY1729" s="4" t="s">
        <v>63</v>
      </c>
      <c r="AZ1729" s="4" t="s">
        <v>63</v>
      </c>
      <c r="BA1729" s="4" t="s">
        <v>63</v>
      </c>
      <c r="BB1729" s="4" t="s">
        <v>63</v>
      </c>
      <c r="BC1729" s="4" t="s">
        <v>63</v>
      </c>
      <c r="BD1729" s="4" t="s">
        <v>63</v>
      </c>
      <c r="BE1729" s="4" t="s">
        <v>63</v>
      </c>
      <c r="BF1729" s="4" t="s">
        <v>63</v>
      </c>
    </row>
    <row r="1730" spans="1:58">
      <c r="A1730" s="4" t="s">
        <v>58</v>
      </c>
      <c r="B1730" s="4"/>
      <c r="C1730" s="4" t="s">
        <v>15093</v>
      </c>
      <c r="D1730" s="4" t="s">
        <v>63</v>
      </c>
      <c r="E1730" s="4" t="s">
        <v>63</v>
      </c>
      <c r="F1730" s="4" t="s">
        <v>63</v>
      </c>
      <c r="G1730" s="4" t="s">
        <v>63</v>
      </c>
      <c r="H1730" s="4" t="s">
        <v>63</v>
      </c>
      <c r="I1730" s="4" t="s">
        <v>63</v>
      </c>
      <c r="J1730" s="4" t="s">
        <v>63</v>
      </c>
      <c r="K1730" s="4" t="s">
        <v>63</v>
      </c>
      <c r="L1730" s="4" t="s">
        <v>15094</v>
      </c>
      <c r="M1730" s="4" t="s">
        <v>63</v>
      </c>
      <c r="N1730" s="4" t="s">
        <v>15095</v>
      </c>
      <c r="O1730" s="4" t="s">
        <v>63</v>
      </c>
      <c r="P1730" s="4"/>
      <c r="Q1730" s="4" t="s">
        <v>63</v>
      </c>
      <c r="R1730" s="4" t="s">
        <v>63</v>
      </c>
      <c r="S1730" s="4" t="s">
        <v>63</v>
      </c>
      <c r="T1730" s="4" t="s">
        <v>63</v>
      </c>
      <c r="U1730" s="4"/>
      <c r="V1730" s="4"/>
      <c r="W1730" s="4"/>
      <c r="X1730" s="4" t="s">
        <v>63</v>
      </c>
      <c r="Y1730" s="4" t="s">
        <v>15096</v>
      </c>
      <c r="Z1730" s="4" t="s">
        <v>63</v>
      </c>
      <c r="AA1730" s="4" t="s">
        <v>63</v>
      </c>
      <c r="AB1730" s="4" t="s">
        <v>15097</v>
      </c>
      <c r="AC1730" s="4" t="s">
        <v>67</v>
      </c>
      <c r="AD1730" s="4" t="s">
        <v>63</v>
      </c>
      <c r="AE1730" s="4" t="s">
        <v>63</v>
      </c>
      <c r="AF1730" s="4" t="s">
        <v>63</v>
      </c>
      <c r="AG1730" s="4" t="s">
        <v>63</v>
      </c>
      <c r="AH1730" s="4" t="s">
        <v>63</v>
      </c>
      <c r="AI1730" s="4" t="s">
        <v>63</v>
      </c>
      <c r="AJ1730" s="4" t="s">
        <v>63</v>
      </c>
      <c r="AK1730" s="4" t="s">
        <v>63</v>
      </c>
      <c r="AL1730" s="4" t="s">
        <v>63</v>
      </c>
      <c r="AM1730" s="4" t="s">
        <v>15093</v>
      </c>
      <c r="AN1730" s="4" t="s">
        <v>63</v>
      </c>
      <c r="AO1730" s="4" t="s">
        <v>63</v>
      </c>
      <c r="AP1730" s="4" t="s">
        <v>63</v>
      </c>
      <c r="AQ1730" s="4" t="s">
        <v>63</v>
      </c>
      <c r="AR1730" s="4" t="s">
        <v>63</v>
      </c>
      <c r="AS1730" s="4" t="s">
        <v>63</v>
      </c>
      <c r="AT1730" s="4" t="s">
        <v>63</v>
      </c>
      <c r="AU1730" s="4" t="s">
        <v>63</v>
      </c>
      <c r="AV1730" s="4" t="s">
        <v>63</v>
      </c>
      <c r="AW1730" s="4" t="s">
        <v>63</v>
      </c>
      <c r="AX1730" s="4" t="s">
        <v>63</v>
      </c>
      <c r="AY1730" s="4" t="s">
        <v>63</v>
      </c>
      <c r="AZ1730" s="4" t="s">
        <v>63</v>
      </c>
      <c r="BA1730" s="4" t="s">
        <v>63</v>
      </c>
      <c r="BB1730" s="4" t="s">
        <v>63</v>
      </c>
      <c r="BC1730" s="4" t="s">
        <v>63</v>
      </c>
      <c r="BD1730" s="4" t="s">
        <v>63</v>
      </c>
      <c r="BE1730" s="4" t="s">
        <v>63</v>
      </c>
      <c r="BF1730" s="4" t="s">
        <v>63</v>
      </c>
    </row>
    <row r="1731" spans="1:58">
      <c r="A1731" s="4" t="s">
        <v>58</v>
      </c>
      <c r="B1731" s="4"/>
      <c r="C1731" s="4" t="s">
        <v>15098</v>
      </c>
      <c r="D1731" s="4" t="s">
        <v>63</v>
      </c>
      <c r="E1731" s="4" t="s">
        <v>63</v>
      </c>
      <c r="F1731" s="4" t="s">
        <v>63</v>
      </c>
      <c r="G1731" s="4" t="s">
        <v>63</v>
      </c>
      <c r="H1731" s="4" t="s">
        <v>63</v>
      </c>
      <c r="I1731" s="4" t="s">
        <v>63</v>
      </c>
      <c r="J1731" s="4" t="s">
        <v>63</v>
      </c>
      <c r="K1731" s="4" t="s">
        <v>63</v>
      </c>
      <c r="L1731" s="4" t="s">
        <v>15099</v>
      </c>
      <c r="M1731" s="4" t="s">
        <v>63</v>
      </c>
      <c r="N1731" s="4" t="s">
        <v>15100</v>
      </c>
      <c r="O1731" s="4" t="s">
        <v>63</v>
      </c>
      <c r="P1731" s="4"/>
      <c r="Q1731" s="4" t="s">
        <v>63</v>
      </c>
      <c r="R1731" s="4" t="s">
        <v>63</v>
      </c>
      <c r="S1731" s="4" t="s">
        <v>63</v>
      </c>
      <c r="T1731" s="4" t="s">
        <v>63</v>
      </c>
      <c r="U1731" s="4"/>
      <c r="V1731" s="4"/>
      <c r="W1731" s="4"/>
      <c r="X1731" s="4" t="s">
        <v>63</v>
      </c>
      <c r="Y1731" s="4" t="s">
        <v>2155</v>
      </c>
      <c r="Z1731" s="4" t="s">
        <v>63</v>
      </c>
      <c r="AA1731" s="4" t="s">
        <v>63</v>
      </c>
      <c r="AB1731" s="4" t="s">
        <v>63</v>
      </c>
      <c r="AC1731" s="4" t="s">
        <v>67</v>
      </c>
      <c r="AD1731" s="4" t="s">
        <v>63</v>
      </c>
      <c r="AE1731" s="4" t="s">
        <v>63</v>
      </c>
      <c r="AF1731" s="4" t="s">
        <v>63</v>
      </c>
      <c r="AG1731" s="4" t="s">
        <v>15101</v>
      </c>
      <c r="AH1731" s="4" t="s">
        <v>63</v>
      </c>
      <c r="AI1731" s="4" t="s">
        <v>63</v>
      </c>
      <c r="AJ1731" s="4" t="s">
        <v>63</v>
      </c>
      <c r="AK1731" s="4" t="s">
        <v>63</v>
      </c>
      <c r="AL1731" s="4" t="s">
        <v>63</v>
      </c>
      <c r="AM1731" s="4" t="s">
        <v>15102</v>
      </c>
      <c r="AN1731" s="4" t="s">
        <v>63</v>
      </c>
      <c r="AO1731" s="4" t="s">
        <v>63</v>
      </c>
      <c r="AP1731" s="4" t="s">
        <v>63</v>
      </c>
      <c r="AQ1731" s="4" t="s">
        <v>63</v>
      </c>
      <c r="AR1731" s="4" t="s">
        <v>63</v>
      </c>
      <c r="AS1731" s="4" t="s">
        <v>63</v>
      </c>
      <c r="AT1731" s="4" t="s">
        <v>63</v>
      </c>
      <c r="AU1731" s="4" t="s">
        <v>63</v>
      </c>
      <c r="AV1731" s="4" t="s">
        <v>63</v>
      </c>
      <c r="AW1731" s="4" t="s">
        <v>63</v>
      </c>
      <c r="AX1731" s="4" t="s">
        <v>63</v>
      </c>
      <c r="AY1731" s="4" t="s">
        <v>63</v>
      </c>
      <c r="AZ1731" s="4" t="s">
        <v>63</v>
      </c>
      <c r="BA1731" s="4" t="s">
        <v>63</v>
      </c>
      <c r="BB1731" s="4" t="s">
        <v>63</v>
      </c>
      <c r="BC1731" s="4" t="s">
        <v>63</v>
      </c>
      <c r="BD1731" s="4" t="s">
        <v>63</v>
      </c>
      <c r="BE1731" s="4" t="s">
        <v>63</v>
      </c>
      <c r="BF1731" s="4" t="s">
        <v>63</v>
      </c>
    </row>
    <row r="1732" spans="1:58">
      <c r="A1732" s="4" t="s">
        <v>58</v>
      </c>
      <c r="B1732" s="4"/>
      <c r="C1732" s="4" t="s">
        <v>15103</v>
      </c>
      <c r="D1732" s="4" t="s">
        <v>63</v>
      </c>
      <c r="E1732" s="4" t="s">
        <v>63</v>
      </c>
      <c r="F1732" s="4" t="s">
        <v>63</v>
      </c>
      <c r="G1732" s="4" t="s">
        <v>63</v>
      </c>
      <c r="H1732" s="4" t="s">
        <v>63</v>
      </c>
      <c r="I1732" s="4" t="s">
        <v>63</v>
      </c>
      <c r="J1732" s="4" t="s">
        <v>63</v>
      </c>
      <c r="K1732" s="4" t="s">
        <v>63</v>
      </c>
      <c r="L1732" s="4" t="s">
        <v>15104</v>
      </c>
      <c r="M1732" s="4" t="s">
        <v>63</v>
      </c>
      <c r="N1732" s="4" t="s">
        <v>15105</v>
      </c>
      <c r="O1732" s="4" t="s">
        <v>63</v>
      </c>
      <c r="P1732" s="4"/>
      <c r="Q1732" s="4" t="s">
        <v>63</v>
      </c>
      <c r="R1732" s="4" t="s">
        <v>63</v>
      </c>
      <c r="S1732" s="4" t="s">
        <v>63</v>
      </c>
      <c r="T1732" s="4" t="s">
        <v>63</v>
      </c>
      <c r="U1732" s="4"/>
      <c r="V1732" s="4"/>
      <c r="W1732" s="4"/>
      <c r="X1732" s="4" t="s">
        <v>63</v>
      </c>
      <c r="Y1732" s="4" t="s">
        <v>5761</v>
      </c>
      <c r="Z1732" s="4" t="s">
        <v>63</v>
      </c>
      <c r="AA1732" s="4" t="s">
        <v>63</v>
      </c>
      <c r="AB1732" s="4" t="s">
        <v>63</v>
      </c>
      <c r="AC1732" s="4" t="s">
        <v>67</v>
      </c>
      <c r="AD1732" s="4" t="s">
        <v>63</v>
      </c>
      <c r="AE1732" s="4" t="s">
        <v>63</v>
      </c>
      <c r="AF1732" s="4" t="s">
        <v>63</v>
      </c>
      <c r="AG1732" s="4" t="s">
        <v>15106</v>
      </c>
      <c r="AH1732" s="4" t="s">
        <v>63</v>
      </c>
      <c r="AI1732" s="4" t="s">
        <v>63</v>
      </c>
      <c r="AJ1732" s="4" t="s">
        <v>63</v>
      </c>
      <c r="AK1732" s="4" t="s">
        <v>63</v>
      </c>
      <c r="AL1732" s="4" t="s">
        <v>63</v>
      </c>
      <c r="AM1732" s="4" t="s">
        <v>15107</v>
      </c>
      <c r="AN1732" s="4" t="s">
        <v>63</v>
      </c>
      <c r="AO1732" s="4" t="s">
        <v>63</v>
      </c>
      <c r="AP1732" s="4" t="s">
        <v>63</v>
      </c>
      <c r="AQ1732" s="4" t="s">
        <v>63</v>
      </c>
      <c r="AR1732" s="4" t="s">
        <v>63</v>
      </c>
      <c r="AS1732" s="4" t="s">
        <v>63</v>
      </c>
      <c r="AT1732" s="4" t="s">
        <v>63</v>
      </c>
      <c r="AU1732" s="4" t="s">
        <v>63</v>
      </c>
      <c r="AV1732" s="4" t="s">
        <v>63</v>
      </c>
      <c r="AW1732" s="4" t="s">
        <v>63</v>
      </c>
      <c r="AX1732" s="4" t="s">
        <v>63</v>
      </c>
      <c r="AY1732" s="4" t="s">
        <v>63</v>
      </c>
      <c r="AZ1732" s="4" t="s">
        <v>63</v>
      </c>
      <c r="BA1732" s="4" t="s">
        <v>63</v>
      </c>
      <c r="BB1732" s="4" t="s">
        <v>63</v>
      </c>
      <c r="BC1732" s="4" t="s">
        <v>63</v>
      </c>
      <c r="BD1732" s="4" t="s">
        <v>63</v>
      </c>
      <c r="BE1732" s="4" t="s">
        <v>63</v>
      </c>
      <c r="BF1732" s="4" t="s">
        <v>63</v>
      </c>
    </row>
    <row r="1733" spans="1:58">
      <c r="A1733" s="4" t="s">
        <v>58</v>
      </c>
      <c r="B1733" s="4"/>
      <c r="C1733" s="4" t="s">
        <v>15108</v>
      </c>
      <c r="D1733" s="4" t="s">
        <v>63</v>
      </c>
      <c r="E1733" s="4" t="s">
        <v>63</v>
      </c>
      <c r="F1733" s="4" t="s">
        <v>63</v>
      </c>
      <c r="G1733" s="4" t="s">
        <v>63</v>
      </c>
      <c r="H1733" s="4" t="s">
        <v>63</v>
      </c>
      <c r="I1733" s="4" t="s">
        <v>63</v>
      </c>
      <c r="J1733" s="4" t="s">
        <v>63</v>
      </c>
      <c r="K1733" s="4" t="s">
        <v>63</v>
      </c>
      <c r="L1733" s="4" t="s">
        <v>15109</v>
      </c>
      <c r="M1733" s="4" t="s">
        <v>15110</v>
      </c>
      <c r="N1733" s="4" t="s">
        <v>15111</v>
      </c>
      <c r="O1733" s="4" t="s">
        <v>63</v>
      </c>
      <c r="P1733" s="4"/>
      <c r="Q1733" s="4" t="s">
        <v>63</v>
      </c>
      <c r="R1733" s="4" t="s">
        <v>63</v>
      </c>
      <c r="S1733" s="4" t="s">
        <v>63</v>
      </c>
      <c r="T1733" s="4" t="s">
        <v>63</v>
      </c>
      <c r="U1733" s="4"/>
      <c r="V1733" s="4"/>
      <c r="W1733" s="4"/>
      <c r="X1733" s="4" t="s">
        <v>63</v>
      </c>
      <c r="Y1733" s="4" t="s">
        <v>2500</v>
      </c>
      <c r="Z1733" s="4" t="s">
        <v>63</v>
      </c>
      <c r="AA1733" s="4" t="s">
        <v>63</v>
      </c>
      <c r="AB1733" s="4" t="s">
        <v>63</v>
      </c>
      <c r="AC1733" s="4" t="s">
        <v>15112</v>
      </c>
      <c r="AD1733" s="4" t="s">
        <v>63</v>
      </c>
      <c r="AE1733" s="4" t="s">
        <v>63</v>
      </c>
      <c r="AF1733" s="4" t="s">
        <v>63</v>
      </c>
      <c r="AG1733" s="4" t="s">
        <v>63</v>
      </c>
      <c r="AH1733" s="4" t="s">
        <v>63</v>
      </c>
      <c r="AI1733" s="4" t="s">
        <v>63</v>
      </c>
      <c r="AJ1733" s="4" t="s">
        <v>63</v>
      </c>
      <c r="AK1733" s="4" t="s">
        <v>63</v>
      </c>
      <c r="AL1733" s="4" t="s">
        <v>63</v>
      </c>
      <c r="AM1733" s="4" t="s">
        <v>15108</v>
      </c>
      <c r="AN1733" s="4" t="s">
        <v>63</v>
      </c>
      <c r="AO1733" s="4" t="s">
        <v>63</v>
      </c>
      <c r="AP1733" s="4" t="s">
        <v>63</v>
      </c>
      <c r="AQ1733" s="4" t="s">
        <v>63</v>
      </c>
      <c r="AR1733" s="4" t="s">
        <v>63</v>
      </c>
      <c r="AS1733" s="4" t="s">
        <v>63</v>
      </c>
      <c r="AT1733" s="4" t="s">
        <v>63</v>
      </c>
      <c r="AU1733" s="4" t="s">
        <v>63</v>
      </c>
      <c r="AV1733" s="4" t="s">
        <v>63</v>
      </c>
      <c r="AW1733" s="4" t="s">
        <v>63</v>
      </c>
      <c r="AX1733" s="4" t="s">
        <v>63</v>
      </c>
      <c r="AY1733" s="4" t="s">
        <v>63</v>
      </c>
      <c r="AZ1733" s="4" t="s">
        <v>63</v>
      </c>
      <c r="BA1733" s="4" t="s">
        <v>63</v>
      </c>
      <c r="BB1733" s="4" t="s">
        <v>63</v>
      </c>
      <c r="BC1733" s="4" t="s">
        <v>63</v>
      </c>
      <c r="BD1733" s="4" t="s">
        <v>63</v>
      </c>
      <c r="BE1733" s="4" t="s">
        <v>63</v>
      </c>
      <c r="BF1733" s="4" t="s">
        <v>63</v>
      </c>
    </row>
    <row r="1734" spans="1:58">
      <c r="A1734" s="4" t="s">
        <v>58</v>
      </c>
      <c r="B1734" s="4"/>
      <c r="C1734" s="4" t="s">
        <v>15113</v>
      </c>
      <c r="D1734" s="4" t="s">
        <v>63</v>
      </c>
      <c r="E1734" s="4" t="s">
        <v>63</v>
      </c>
      <c r="F1734" s="4" t="s">
        <v>63</v>
      </c>
      <c r="G1734" s="4" t="s">
        <v>63</v>
      </c>
      <c r="H1734" s="4" t="s">
        <v>63</v>
      </c>
      <c r="I1734" s="4" t="s">
        <v>63</v>
      </c>
      <c r="J1734" s="4" t="s">
        <v>63</v>
      </c>
      <c r="K1734" s="4" t="s">
        <v>63</v>
      </c>
      <c r="L1734" s="4" t="s">
        <v>15114</v>
      </c>
      <c r="M1734" s="4" t="s">
        <v>63</v>
      </c>
      <c r="N1734" s="4" t="s">
        <v>15115</v>
      </c>
      <c r="O1734" s="4" t="s">
        <v>63</v>
      </c>
      <c r="P1734" s="4"/>
      <c r="Q1734" s="4" t="s">
        <v>63</v>
      </c>
      <c r="R1734" s="4" t="s">
        <v>63</v>
      </c>
      <c r="S1734" s="4" t="s">
        <v>63</v>
      </c>
      <c r="T1734" s="4" t="s">
        <v>63</v>
      </c>
      <c r="U1734" s="4"/>
      <c r="V1734" s="4"/>
      <c r="W1734" s="4"/>
      <c r="X1734" s="4" t="s">
        <v>63</v>
      </c>
      <c r="Y1734" s="4" t="s">
        <v>392</v>
      </c>
      <c r="Z1734" s="4" t="s">
        <v>63</v>
      </c>
      <c r="AA1734" s="4" t="s">
        <v>63</v>
      </c>
      <c r="AB1734" s="4" t="s">
        <v>63</v>
      </c>
      <c r="AC1734" s="4" t="s">
        <v>67</v>
      </c>
      <c r="AD1734" s="4" t="s">
        <v>63</v>
      </c>
      <c r="AE1734" s="4" t="s">
        <v>63</v>
      </c>
      <c r="AF1734" s="4" t="s">
        <v>63</v>
      </c>
      <c r="AG1734" s="4" t="s">
        <v>15116</v>
      </c>
      <c r="AH1734" s="4" t="s">
        <v>63</v>
      </c>
      <c r="AI1734" s="4" t="s">
        <v>15117</v>
      </c>
      <c r="AJ1734" s="4" t="s">
        <v>63</v>
      </c>
      <c r="AK1734" s="4" t="s">
        <v>63</v>
      </c>
      <c r="AL1734" s="4" t="s">
        <v>63</v>
      </c>
      <c r="AM1734" s="4" t="s">
        <v>15118</v>
      </c>
      <c r="AN1734" s="4" t="s">
        <v>63</v>
      </c>
      <c r="AO1734" s="4" t="s">
        <v>63</v>
      </c>
      <c r="AP1734" s="4" t="s">
        <v>63</v>
      </c>
      <c r="AQ1734" s="4" t="s">
        <v>63</v>
      </c>
      <c r="AR1734" s="4" t="s">
        <v>63</v>
      </c>
      <c r="AS1734" s="4" t="s">
        <v>63</v>
      </c>
      <c r="AT1734" s="4" t="s">
        <v>63</v>
      </c>
      <c r="AU1734" s="4" t="s">
        <v>63</v>
      </c>
      <c r="AV1734" s="4" t="s">
        <v>63</v>
      </c>
      <c r="AW1734" s="4" t="s">
        <v>63</v>
      </c>
      <c r="AX1734" s="4" t="s">
        <v>63</v>
      </c>
      <c r="AY1734" s="4" t="s">
        <v>63</v>
      </c>
      <c r="AZ1734" s="4" t="s">
        <v>63</v>
      </c>
      <c r="BA1734" s="4" t="s">
        <v>63</v>
      </c>
      <c r="BB1734" s="4" t="s">
        <v>63</v>
      </c>
      <c r="BC1734" s="4" t="s">
        <v>63</v>
      </c>
      <c r="BD1734" s="4" t="s">
        <v>63</v>
      </c>
      <c r="BE1734" s="4" t="s">
        <v>63</v>
      </c>
      <c r="BF1734" s="4" t="s">
        <v>63</v>
      </c>
    </row>
    <row r="1735" spans="1:58">
      <c r="A1735" s="4" t="s">
        <v>58</v>
      </c>
      <c r="B1735" s="4"/>
      <c r="C1735" s="4" t="s">
        <v>15119</v>
      </c>
      <c r="D1735" s="4" t="s">
        <v>63</v>
      </c>
      <c r="E1735" s="4" t="s">
        <v>63</v>
      </c>
      <c r="F1735" s="4" t="s">
        <v>63</v>
      </c>
      <c r="G1735" s="4" t="s">
        <v>63</v>
      </c>
      <c r="H1735" s="4" t="s">
        <v>63</v>
      </c>
      <c r="I1735" s="4" t="s">
        <v>63</v>
      </c>
      <c r="J1735" s="4" t="s">
        <v>63</v>
      </c>
      <c r="K1735" s="4" t="s">
        <v>63</v>
      </c>
      <c r="L1735" s="4" t="s">
        <v>15120</v>
      </c>
      <c r="M1735" s="4" t="s">
        <v>63</v>
      </c>
      <c r="N1735" s="4" t="s">
        <v>15121</v>
      </c>
      <c r="O1735" s="4" t="s">
        <v>63</v>
      </c>
      <c r="P1735" s="4"/>
      <c r="Q1735" s="4" t="s">
        <v>63</v>
      </c>
      <c r="R1735" s="4" t="s">
        <v>63</v>
      </c>
      <c r="S1735" s="4" t="s">
        <v>63</v>
      </c>
      <c r="T1735" s="4" t="s">
        <v>63</v>
      </c>
      <c r="U1735" s="4"/>
      <c r="V1735" s="4"/>
      <c r="W1735" s="4"/>
      <c r="X1735" s="4" t="s">
        <v>63</v>
      </c>
      <c r="Y1735" s="4" t="s">
        <v>286</v>
      </c>
      <c r="Z1735" s="4" t="s">
        <v>63</v>
      </c>
      <c r="AA1735" s="4" t="s">
        <v>63</v>
      </c>
      <c r="AB1735" s="4" t="s">
        <v>63</v>
      </c>
      <c r="AC1735" s="4" t="s">
        <v>102</v>
      </c>
      <c r="AD1735" s="4" t="s">
        <v>63</v>
      </c>
      <c r="AE1735" s="4" t="s">
        <v>63</v>
      </c>
      <c r="AF1735" s="4" t="s">
        <v>63</v>
      </c>
      <c r="AG1735" s="4" t="s">
        <v>15122</v>
      </c>
      <c r="AH1735" s="4" t="s">
        <v>63</v>
      </c>
      <c r="AI1735" s="4" t="s">
        <v>63</v>
      </c>
      <c r="AJ1735" s="4" t="s">
        <v>63</v>
      </c>
      <c r="AK1735" s="4" t="s">
        <v>63</v>
      </c>
      <c r="AL1735" s="4" t="s">
        <v>63</v>
      </c>
      <c r="AM1735" s="4" t="s">
        <v>15123</v>
      </c>
      <c r="AN1735" s="4" t="s">
        <v>63</v>
      </c>
      <c r="AO1735" s="4" t="s">
        <v>63</v>
      </c>
      <c r="AP1735" s="4" t="s">
        <v>63</v>
      </c>
      <c r="AQ1735" s="4" t="s">
        <v>63</v>
      </c>
      <c r="AR1735" s="4" t="s">
        <v>63</v>
      </c>
      <c r="AS1735" s="4" t="s">
        <v>63</v>
      </c>
      <c r="AT1735" s="4" t="s">
        <v>63</v>
      </c>
      <c r="AU1735" s="4" t="s">
        <v>63</v>
      </c>
      <c r="AV1735" s="4" t="s">
        <v>63</v>
      </c>
      <c r="AW1735" s="4" t="s">
        <v>63</v>
      </c>
      <c r="AX1735" s="4" t="s">
        <v>63</v>
      </c>
      <c r="AY1735" s="4" t="s">
        <v>63</v>
      </c>
      <c r="AZ1735" s="4" t="s">
        <v>63</v>
      </c>
      <c r="BA1735" s="4" t="s">
        <v>63</v>
      </c>
      <c r="BB1735" s="4" t="s">
        <v>63</v>
      </c>
      <c r="BC1735" s="4" t="s">
        <v>63</v>
      </c>
      <c r="BD1735" s="4" t="s">
        <v>63</v>
      </c>
      <c r="BE1735" s="4" t="s">
        <v>63</v>
      </c>
      <c r="BF1735" s="4" t="s">
        <v>63</v>
      </c>
    </row>
    <row r="1736" spans="1:58">
      <c r="A1736" s="4" t="s">
        <v>58</v>
      </c>
      <c r="B1736" s="4"/>
      <c r="C1736" s="4" t="s">
        <v>15124</v>
      </c>
      <c r="D1736" s="4" t="s">
        <v>63</v>
      </c>
      <c r="E1736" s="4" t="s">
        <v>63</v>
      </c>
      <c r="F1736" s="4" t="s">
        <v>63</v>
      </c>
      <c r="G1736" s="4" t="s">
        <v>63</v>
      </c>
      <c r="H1736" s="4" t="s">
        <v>63</v>
      </c>
      <c r="I1736" s="4" t="s">
        <v>63</v>
      </c>
      <c r="J1736" s="4" t="s">
        <v>63</v>
      </c>
      <c r="K1736" s="4" t="s">
        <v>63</v>
      </c>
      <c r="L1736" s="4" t="s">
        <v>15125</v>
      </c>
      <c r="M1736" s="4" t="s">
        <v>63</v>
      </c>
      <c r="N1736" s="4" t="s">
        <v>15126</v>
      </c>
      <c r="O1736" s="4" t="s">
        <v>63</v>
      </c>
      <c r="P1736" s="4"/>
      <c r="Q1736" s="4" t="s">
        <v>63</v>
      </c>
      <c r="R1736" s="4" t="s">
        <v>63</v>
      </c>
      <c r="S1736" s="4" t="s">
        <v>63</v>
      </c>
      <c r="T1736" s="4" t="s">
        <v>63</v>
      </c>
      <c r="U1736" s="4"/>
      <c r="V1736" s="4"/>
      <c r="W1736" s="4"/>
      <c r="X1736" s="4" t="s">
        <v>63</v>
      </c>
      <c r="Y1736" s="4" t="s">
        <v>63</v>
      </c>
      <c r="Z1736" s="4" t="s">
        <v>63</v>
      </c>
      <c r="AA1736" s="4" t="s">
        <v>63</v>
      </c>
      <c r="AB1736" s="4" t="s">
        <v>15127</v>
      </c>
      <c r="AC1736" s="4" t="s">
        <v>67</v>
      </c>
      <c r="AD1736" s="4" t="s">
        <v>63</v>
      </c>
      <c r="AE1736" s="4" t="s">
        <v>63</v>
      </c>
      <c r="AF1736" s="4" t="s">
        <v>63</v>
      </c>
      <c r="AG1736" s="4" t="s">
        <v>63</v>
      </c>
      <c r="AH1736" s="4" t="s">
        <v>63</v>
      </c>
      <c r="AI1736" s="4" t="s">
        <v>63</v>
      </c>
      <c r="AJ1736" s="4" t="s">
        <v>63</v>
      </c>
      <c r="AK1736" s="4" t="s">
        <v>63</v>
      </c>
      <c r="AL1736" s="4" t="s">
        <v>63</v>
      </c>
      <c r="AM1736" s="4" t="s">
        <v>15124</v>
      </c>
      <c r="AN1736" s="4" t="s">
        <v>63</v>
      </c>
      <c r="AO1736" s="4" t="s">
        <v>63</v>
      </c>
      <c r="AP1736" s="4" t="s">
        <v>63</v>
      </c>
      <c r="AQ1736" s="4" t="s">
        <v>63</v>
      </c>
      <c r="AR1736" s="4" t="s">
        <v>63</v>
      </c>
      <c r="AS1736" s="4" t="s">
        <v>63</v>
      </c>
      <c r="AT1736" s="4" t="s">
        <v>63</v>
      </c>
      <c r="AU1736" s="4" t="s">
        <v>63</v>
      </c>
      <c r="AV1736" s="4" t="s">
        <v>63</v>
      </c>
      <c r="AW1736" s="4" t="s">
        <v>63</v>
      </c>
      <c r="AX1736" s="4" t="s">
        <v>63</v>
      </c>
      <c r="AY1736" s="4" t="s">
        <v>63</v>
      </c>
      <c r="AZ1736" s="4" t="s">
        <v>63</v>
      </c>
      <c r="BA1736" s="4" t="s">
        <v>63</v>
      </c>
      <c r="BB1736" s="4" t="s">
        <v>63</v>
      </c>
      <c r="BC1736" s="4" t="s">
        <v>63</v>
      </c>
      <c r="BD1736" s="4" t="s">
        <v>63</v>
      </c>
      <c r="BE1736" s="4" t="s">
        <v>63</v>
      </c>
      <c r="BF1736" s="4" t="s">
        <v>63</v>
      </c>
    </row>
    <row r="1737" spans="1:58">
      <c r="A1737" s="4" t="s">
        <v>58</v>
      </c>
      <c r="B1737" s="4"/>
      <c r="C1737" s="4" t="s">
        <v>15128</v>
      </c>
      <c r="D1737" s="4" t="s">
        <v>63</v>
      </c>
      <c r="E1737" s="4" t="s">
        <v>63</v>
      </c>
      <c r="F1737" s="4" t="s">
        <v>63</v>
      </c>
      <c r="G1737" s="4" t="s">
        <v>63</v>
      </c>
      <c r="H1737" s="4" t="s">
        <v>63</v>
      </c>
      <c r="I1737" s="4" t="s">
        <v>63</v>
      </c>
      <c r="J1737" s="4" t="s">
        <v>63</v>
      </c>
      <c r="K1737" s="4" t="s">
        <v>63</v>
      </c>
      <c r="L1737" s="4" t="s">
        <v>15129</v>
      </c>
      <c r="M1737" s="4" t="s">
        <v>63</v>
      </c>
      <c r="N1737" s="4" t="s">
        <v>15130</v>
      </c>
      <c r="O1737" s="4" t="s">
        <v>63</v>
      </c>
      <c r="P1737" s="4"/>
      <c r="Q1737" s="4" t="s">
        <v>63</v>
      </c>
      <c r="R1737" s="4" t="s">
        <v>63</v>
      </c>
      <c r="S1737" s="4" t="s">
        <v>63</v>
      </c>
      <c r="T1737" s="4" t="s">
        <v>63</v>
      </c>
      <c r="U1737" s="4"/>
      <c r="V1737" s="4"/>
      <c r="W1737" s="4"/>
      <c r="X1737" s="4" t="s">
        <v>63</v>
      </c>
      <c r="Y1737" s="4" t="s">
        <v>63</v>
      </c>
      <c r="Z1737" s="4" t="s">
        <v>63</v>
      </c>
      <c r="AA1737" s="4" t="s">
        <v>63</v>
      </c>
      <c r="AB1737" s="4" t="s">
        <v>15131</v>
      </c>
      <c r="AC1737" s="4" t="s">
        <v>67</v>
      </c>
      <c r="AD1737" s="4" t="s">
        <v>63</v>
      </c>
      <c r="AE1737" s="4" t="s">
        <v>63</v>
      </c>
      <c r="AF1737" s="4" t="s">
        <v>63</v>
      </c>
      <c r="AG1737" s="4" t="s">
        <v>63</v>
      </c>
      <c r="AH1737" s="4" t="s">
        <v>63</v>
      </c>
      <c r="AI1737" s="4" t="s">
        <v>63</v>
      </c>
      <c r="AJ1737" s="4" t="s">
        <v>63</v>
      </c>
      <c r="AK1737" s="4" t="s">
        <v>63</v>
      </c>
      <c r="AL1737" s="4" t="s">
        <v>63</v>
      </c>
      <c r="AM1737" s="4" t="s">
        <v>15128</v>
      </c>
      <c r="AN1737" s="4" t="s">
        <v>63</v>
      </c>
      <c r="AO1737" s="4" t="s">
        <v>63</v>
      </c>
      <c r="AP1737" s="4" t="s">
        <v>63</v>
      </c>
      <c r="AQ1737" s="4" t="s">
        <v>63</v>
      </c>
      <c r="AR1737" s="4" t="s">
        <v>63</v>
      </c>
      <c r="AS1737" s="4" t="s">
        <v>63</v>
      </c>
      <c r="AT1737" s="4" t="s">
        <v>63</v>
      </c>
      <c r="AU1737" s="4" t="s">
        <v>63</v>
      </c>
      <c r="AV1737" s="4" t="s">
        <v>63</v>
      </c>
      <c r="AW1737" s="4" t="s">
        <v>63</v>
      </c>
      <c r="AX1737" s="4" t="s">
        <v>63</v>
      </c>
      <c r="AY1737" s="4" t="s">
        <v>63</v>
      </c>
      <c r="AZ1737" s="4" t="s">
        <v>63</v>
      </c>
      <c r="BA1737" s="4" t="s">
        <v>63</v>
      </c>
      <c r="BB1737" s="4" t="s">
        <v>63</v>
      </c>
      <c r="BC1737" s="4" t="s">
        <v>63</v>
      </c>
      <c r="BD1737" s="4" t="s">
        <v>63</v>
      </c>
      <c r="BE1737" s="4" t="s">
        <v>63</v>
      </c>
      <c r="BF1737" s="4" t="s">
        <v>63</v>
      </c>
    </row>
    <row r="1738" spans="1:58">
      <c r="A1738" s="4" t="s">
        <v>58</v>
      </c>
      <c r="B1738" s="4"/>
      <c r="C1738" s="4" t="s">
        <v>15132</v>
      </c>
      <c r="D1738" s="4" t="s">
        <v>63</v>
      </c>
      <c r="E1738" s="4" t="s">
        <v>63</v>
      </c>
      <c r="F1738" s="4" t="s">
        <v>63</v>
      </c>
      <c r="G1738" s="4" t="s">
        <v>63</v>
      </c>
      <c r="H1738" s="4" t="s">
        <v>63</v>
      </c>
      <c r="I1738" s="4" t="s">
        <v>63</v>
      </c>
      <c r="J1738" s="4" t="s">
        <v>63</v>
      </c>
      <c r="K1738" s="4" t="s">
        <v>63</v>
      </c>
      <c r="L1738" s="4" t="s">
        <v>15133</v>
      </c>
      <c r="M1738" s="4" t="s">
        <v>149</v>
      </c>
      <c r="N1738" s="4" t="s">
        <v>15134</v>
      </c>
      <c r="O1738" s="4" t="s">
        <v>63</v>
      </c>
      <c r="P1738" s="4"/>
      <c r="Q1738" s="4" t="s">
        <v>63</v>
      </c>
      <c r="R1738" s="4" t="s">
        <v>63</v>
      </c>
      <c r="S1738" s="4" t="s">
        <v>63</v>
      </c>
      <c r="T1738" s="4" t="s">
        <v>63</v>
      </c>
      <c r="U1738" s="4"/>
      <c r="V1738" s="4"/>
      <c r="W1738" s="4"/>
      <c r="X1738" s="4" t="s">
        <v>63</v>
      </c>
      <c r="Y1738" s="4" t="s">
        <v>151</v>
      </c>
      <c r="Z1738" s="4" t="s">
        <v>63</v>
      </c>
      <c r="AA1738" s="4" t="s">
        <v>63</v>
      </c>
      <c r="AB1738" s="4" t="s">
        <v>63</v>
      </c>
      <c r="AC1738" s="4" t="s">
        <v>67</v>
      </c>
      <c r="AD1738" s="4" t="s">
        <v>63</v>
      </c>
      <c r="AE1738" s="4" t="s">
        <v>63</v>
      </c>
      <c r="AF1738" s="4" t="s">
        <v>63</v>
      </c>
      <c r="AG1738" s="4" t="s">
        <v>15135</v>
      </c>
      <c r="AH1738" s="4" t="s">
        <v>63</v>
      </c>
      <c r="AI1738" s="4" t="s">
        <v>63</v>
      </c>
      <c r="AJ1738" s="4" t="s">
        <v>63</v>
      </c>
      <c r="AK1738" s="4" t="s">
        <v>63</v>
      </c>
      <c r="AL1738" s="4" t="s">
        <v>63</v>
      </c>
      <c r="AM1738" s="4" t="s">
        <v>15136</v>
      </c>
      <c r="AN1738" s="4" t="s">
        <v>63</v>
      </c>
      <c r="AO1738" s="4" t="s">
        <v>63</v>
      </c>
      <c r="AP1738" s="4" t="s">
        <v>63</v>
      </c>
      <c r="AQ1738" s="4" t="s">
        <v>63</v>
      </c>
      <c r="AR1738" s="4" t="s">
        <v>63</v>
      </c>
      <c r="AS1738" s="4" t="s">
        <v>63</v>
      </c>
      <c r="AT1738" s="4" t="s">
        <v>63</v>
      </c>
      <c r="AU1738" s="4" t="s">
        <v>63</v>
      </c>
      <c r="AV1738" s="4" t="s">
        <v>63</v>
      </c>
      <c r="AW1738" s="4" t="s">
        <v>63</v>
      </c>
      <c r="AX1738" s="4" t="s">
        <v>63</v>
      </c>
      <c r="AY1738" s="4" t="s">
        <v>63</v>
      </c>
      <c r="AZ1738" s="4" t="s">
        <v>63</v>
      </c>
      <c r="BA1738" s="4" t="s">
        <v>63</v>
      </c>
      <c r="BB1738" s="4" t="s">
        <v>63</v>
      </c>
      <c r="BC1738" s="4" t="s">
        <v>63</v>
      </c>
      <c r="BD1738" s="4" t="s">
        <v>63</v>
      </c>
      <c r="BE1738" s="4" t="s">
        <v>63</v>
      </c>
      <c r="BF1738" s="4" t="s">
        <v>63</v>
      </c>
    </row>
    <row r="1739" spans="1:58">
      <c r="A1739" s="4" t="s">
        <v>58</v>
      </c>
      <c r="B1739" s="4"/>
      <c r="C1739" s="4" t="s">
        <v>15137</v>
      </c>
      <c r="D1739" s="4" t="s">
        <v>63</v>
      </c>
      <c r="E1739" s="4" t="s">
        <v>63</v>
      </c>
      <c r="F1739" s="4" t="s">
        <v>63</v>
      </c>
      <c r="G1739" s="4" t="s">
        <v>63</v>
      </c>
      <c r="H1739" s="4" t="s">
        <v>63</v>
      </c>
      <c r="I1739" s="4" t="s">
        <v>63</v>
      </c>
      <c r="J1739" s="4" t="s">
        <v>63</v>
      </c>
      <c r="K1739" s="4" t="s">
        <v>63</v>
      </c>
      <c r="L1739" s="4" t="s">
        <v>15138</v>
      </c>
      <c r="M1739" s="4" t="s">
        <v>15139</v>
      </c>
      <c r="N1739" s="4" t="s">
        <v>15140</v>
      </c>
      <c r="O1739" s="4" t="s">
        <v>63</v>
      </c>
      <c r="P1739" s="4"/>
      <c r="Q1739" s="4" t="s">
        <v>63</v>
      </c>
      <c r="R1739" s="4" t="s">
        <v>63</v>
      </c>
      <c r="S1739" s="4" t="s">
        <v>63</v>
      </c>
      <c r="T1739" s="4" t="s">
        <v>63</v>
      </c>
      <c r="U1739" s="4"/>
      <c r="V1739" s="4"/>
      <c r="W1739" s="4"/>
      <c r="X1739" s="4" t="s">
        <v>63</v>
      </c>
      <c r="Y1739" s="5">
        <v>19663</v>
      </c>
      <c r="Z1739" s="4" t="s">
        <v>63</v>
      </c>
      <c r="AA1739" s="4" t="s">
        <v>63</v>
      </c>
      <c r="AB1739" s="4" t="s">
        <v>15141</v>
      </c>
      <c r="AC1739" s="4" t="s">
        <v>102</v>
      </c>
      <c r="AD1739" s="4" t="s">
        <v>63</v>
      </c>
      <c r="AE1739" s="4" t="s">
        <v>63</v>
      </c>
      <c r="AF1739" s="4" t="s">
        <v>63</v>
      </c>
      <c r="AG1739" s="4" t="s">
        <v>63</v>
      </c>
      <c r="AH1739" s="4" t="s">
        <v>63</v>
      </c>
      <c r="AI1739" s="4" t="s">
        <v>63</v>
      </c>
      <c r="AJ1739" s="4" t="s">
        <v>63</v>
      </c>
      <c r="AK1739" s="4" t="s">
        <v>63</v>
      </c>
      <c r="AL1739" s="4" t="s">
        <v>63</v>
      </c>
      <c r="AM1739" s="4" t="s">
        <v>15137</v>
      </c>
      <c r="AN1739" s="4" t="s">
        <v>63</v>
      </c>
      <c r="AO1739" s="4" t="s">
        <v>63</v>
      </c>
      <c r="AP1739" s="4" t="s">
        <v>63</v>
      </c>
      <c r="AQ1739" s="4" t="s">
        <v>63</v>
      </c>
      <c r="AR1739" s="4" t="s">
        <v>63</v>
      </c>
      <c r="AS1739" s="4" t="s">
        <v>63</v>
      </c>
      <c r="AT1739" s="4" t="s">
        <v>63</v>
      </c>
      <c r="AU1739" s="4" t="s">
        <v>63</v>
      </c>
      <c r="AV1739" s="4" t="s">
        <v>63</v>
      </c>
      <c r="AW1739" s="4" t="s">
        <v>63</v>
      </c>
      <c r="AX1739" s="4" t="s">
        <v>63</v>
      </c>
      <c r="AY1739" s="4" t="s">
        <v>63</v>
      </c>
      <c r="AZ1739" s="4" t="s">
        <v>63</v>
      </c>
      <c r="BA1739" s="4" t="s">
        <v>63</v>
      </c>
      <c r="BB1739" s="4" t="s">
        <v>63</v>
      </c>
      <c r="BC1739" s="4" t="s">
        <v>63</v>
      </c>
      <c r="BD1739" s="4" t="s">
        <v>63</v>
      </c>
      <c r="BE1739" s="4" t="s">
        <v>63</v>
      </c>
      <c r="BF1739" s="4" t="s">
        <v>63</v>
      </c>
    </row>
    <row r="1740" spans="1:58">
      <c r="A1740" s="4" t="s">
        <v>58</v>
      </c>
      <c r="B1740" s="4" t="s">
        <v>15142</v>
      </c>
      <c r="C1740" s="4" t="s">
        <v>15143</v>
      </c>
      <c r="D1740" s="4" t="s">
        <v>15144</v>
      </c>
      <c r="E1740" s="4" t="s">
        <v>63</v>
      </c>
      <c r="F1740" s="4">
        <v>2016</v>
      </c>
      <c r="G1740" s="4" t="s">
        <v>63</v>
      </c>
      <c r="H1740" s="4" t="s">
        <v>15145</v>
      </c>
      <c r="I1740" s="4" t="s">
        <v>63</v>
      </c>
      <c r="J1740" s="4" t="s">
        <v>63</v>
      </c>
      <c r="K1740" s="4" t="s">
        <v>63</v>
      </c>
      <c r="L1740" s="4" t="s">
        <v>15146</v>
      </c>
      <c r="M1740" s="4" t="s">
        <v>15147</v>
      </c>
      <c r="N1740" s="4" t="s">
        <v>15148</v>
      </c>
      <c r="O1740" s="4" t="s">
        <v>63</v>
      </c>
      <c r="P1740" s="4"/>
      <c r="Q1740" s="4" t="s">
        <v>63</v>
      </c>
      <c r="R1740" s="4" t="s">
        <v>63</v>
      </c>
      <c r="S1740" s="4" t="s">
        <v>63</v>
      </c>
      <c r="T1740" s="4" t="s">
        <v>63</v>
      </c>
      <c r="U1740" s="4"/>
      <c r="V1740" s="4"/>
      <c r="W1740" s="4"/>
      <c r="X1740" s="4" t="s">
        <v>63</v>
      </c>
      <c r="Y1740" s="4" t="s">
        <v>15149</v>
      </c>
      <c r="Z1740" s="4" t="s">
        <v>63</v>
      </c>
      <c r="AA1740" s="4" t="s">
        <v>63</v>
      </c>
      <c r="AB1740" s="4" t="s">
        <v>15150</v>
      </c>
      <c r="AC1740" s="4" t="s">
        <v>67</v>
      </c>
      <c r="AD1740" s="4" t="s">
        <v>63</v>
      </c>
      <c r="AE1740" s="4" t="s">
        <v>63</v>
      </c>
      <c r="AF1740" s="4" t="s">
        <v>63</v>
      </c>
      <c r="AG1740" s="4" t="s">
        <v>63</v>
      </c>
      <c r="AH1740" s="4" t="s">
        <v>63</v>
      </c>
      <c r="AI1740" s="4" t="s">
        <v>15151</v>
      </c>
      <c r="AJ1740" s="4" t="s">
        <v>63</v>
      </c>
      <c r="AK1740" s="4" t="s">
        <v>63</v>
      </c>
      <c r="AL1740" s="4" t="s">
        <v>63</v>
      </c>
      <c r="AM1740" s="4" t="s">
        <v>15143</v>
      </c>
      <c r="AN1740" s="4" t="s">
        <v>63</v>
      </c>
      <c r="AO1740" s="4" t="s">
        <v>63</v>
      </c>
      <c r="AP1740" s="4" t="s">
        <v>63</v>
      </c>
      <c r="AQ1740" s="4" t="s">
        <v>63</v>
      </c>
      <c r="AR1740" s="4" t="s">
        <v>63</v>
      </c>
      <c r="AS1740" s="4" t="s">
        <v>63</v>
      </c>
      <c r="AT1740" s="4" t="s">
        <v>63</v>
      </c>
      <c r="AU1740" s="4" t="s">
        <v>63</v>
      </c>
      <c r="AV1740" s="4" t="s">
        <v>63</v>
      </c>
      <c r="AW1740" s="4" t="s">
        <v>63</v>
      </c>
      <c r="AX1740" s="4" t="s">
        <v>63</v>
      </c>
      <c r="AY1740" s="4" t="s">
        <v>63</v>
      </c>
      <c r="AZ1740" s="4" t="s">
        <v>63</v>
      </c>
      <c r="BA1740" s="4" t="s">
        <v>63</v>
      </c>
      <c r="BB1740" s="4" t="s">
        <v>63</v>
      </c>
      <c r="BC1740" s="4" t="s">
        <v>63</v>
      </c>
      <c r="BD1740" s="4" t="s">
        <v>63</v>
      </c>
      <c r="BE1740" s="4" t="s">
        <v>63</v>
      </c>
      <c r="BF1740" s="4" t="s">
        <v>63</v>
      </c>
    </row>
    <row r="1741" spans="1:58">
      <c r="A1741" s="4" t="s">
        <v>58</v>
      </c>
      <c r="B1741" s="4" t="s">
        <v>15152</v>
      </c>
      <c r="C1741" s="4" t="s">
        <v>15153</v>
      </c>
      <c r="D1741" s="4" t="s">
        <v>15154</v>
      </c>
      <c r="E1741" s="4" t="s">
        <v>63</v>
      </c>
      <c r="F1741" s="4">
        <v>2016</v>
      </c>
      <c r="G1741" s="4" t="s">
        <v>15155</v>
      </c>
      <c r="H1741" s="4">
        <v>11</v>
      </c>
      <c r="I1741" s="4">
        <v>2</v>
      </c>
      <c r="J1741" s="4" t="s">
        <v>15156</v>
      </c>
      <c r="K1741" s="4" t="s">
        <v>63</v>
      </c>
      <c r="L1741" s="4" t="s">
        <v>15157</v>
      </c>
      <c r="M1741" s="4" t="s">
        <v>15158</v>
      </c>
      <c r="N1741" s="4" t="s">
        <v>15159</v>
      </c>
      <c r="O1741" s="4" t="s">
        <v>63</v>
      </c>
      <c r="P1741" s="4"/>
      <c r="Q1741" s="4" t="s">
        <v>63</v>
      </c>
      <c r="R1741" s="4" t="s">
        <v>63</v>
      </c>
      <c r="S1741" s="4" t="s">
        <v>63</v>
      </c>
      <c r="T1741" s="4" t="s">
        <v>63</v>
      </c>
      <c r="U1741" s="4"/>
      <c r="V1741" s="4"/>
      <c r="W1741" s="4"/>
      <c r="X1741" s="4" t="s">
        <v>63</v>
      </c>
      <c r="Y1741" s="4" t="s">
        <v>15160</v>
      </c>
      <c r="Z1741" s="4" t="s">
        <v>63</v>
      </c>
      <c r="AA1741" s="4" t="s">
        <v>63</v>
      </c>
      <c r="AB1741" s="4" t="s">
        <v>63</v>
      </c>
      <c r="AC1741" s="4" t="s">
        <v>67</v>
      </c>
      <c r="AD1741" s="4" t="s">
        <v>63</v>
      </c>
      <c r="AE1741" s="4" t="s">
        <v>63</v>
      </c>
      <c r="AF1741" s="4" t="s">
        <v>63</v>
      </c>
      <c r="AG1741" s="4" t="s">
        <v>63</v>
      </c>
      <c r="AH1741" s="4" t="s">
        <v>63</v>
      </c>
      <c r="AI1741" s="4" t="s">
        <v>15161</v>
      </c>
      <c r="AJ1741" s="4" t="s">
        <v>63</v>
      </c>
      <c r="AK1741" s="4" t="s">
        <v>63</v>
      </c>
      <c r="AL1741" s="4" t="s">
        <v>63</v>
      </c>
      <c r="AM1741" s="4" t="s">
        <v>15153</v>
      </c>
      <c r="AN1741" s="4" t="s">
        <v>63</v>
      </c>
      <c r="AO1741" s="4" t="s">
        <v>63</v>
      </c>
      <c r="AP1741" s="4" t="s">
        <v>63</v>
      </c>
      <c r="AQ1741" s="4" t="s">
        <v>63</v>
      </c>
      <c r="AR1741" s="4" t="s">
        <v>63</v>
      </c>
      <c r="AS1741" s="4" t="s">
        <v>63</v>
      </c>
      <c r="AT1741" s="4" t="s">
        <v>63</v>
      </c>
      <c r="AU1741" s="4" t="s">
        <v>63</v>
      </c>
      <c r="AV1741" s="4" t="s">
        <v>63</v>
      </c>
      <c r="AW1741" s="4" t="s">
        <v>63</v>
      </c>
      <c r="AX1741" s="4" t="s">
        <v>63</v>
      </c>
      <c r="AY1741" s="4" t="s">
        <v>63</v>
      </c>
      <c r="AZ1741" s="4" t="s">
        <v>63</v>
      </c>
      <c r="BA1741" s="4" t="s">
        <v>63</v>
      </c>
      <c r="BB1741" s="4" t="s">
        <v>63</v>
      </c>
      <c r="BC1741" s="4" t="s">
        <v>63</v>
      </c>
      <c r="BD1741" s="4" t="s">
        <v>63</v>
      </c>
      <c r="BE1741" s="4" t="s">
        <v>63</v>
      </c>
      <c r="BF1741" s="4" t="s">
        <v>63</v>
      </c>
    </row>
    <row r="1742" spans="1:58">
      <c r="A1742" s="4" t="s">
        <v>58</v>
      </c>
      <c r="B1742" s="4" t="s">
        <v>15162</v>
      </c>
      <c r="C1742" s="4" t="s">
        <v>15163</v>
      </c>
      <c r="D1742" s="4" t="s">
        <v>15164</v>
      </c>
      <c r="E1742" s="4" t="s">
        <v>63</v>
      </c>
      <c r="F1742" s="4">
        <v>2011</v>
      </c>
      <c r="G1742" s="4" t="s">
        <v>15165</v>
      </c>
      <c r="H1742" s="4">
        <v>49</v>
      </c>
      <c r="I1742" s="4">
        <v>2</v>
      </c>
      <c r="J1742" s="4">
        <v>120</v>
      </c>
      <c r="K1742" s="4">
        <v>124</v>
      </c>
      <c r="L1742" s="4" t="s">
        <v>15166</v>
      </c>
      <c r="M1742" s="4" t="s">
        <v>15167</v>
      </c>
      <c r="N1742" s="4" t="s">
        <v>15168</v>
      </c>
      <c r="O1742" s="4" t="s">
        <v>63</v>
      </c>
      <c r="P1742" s="4"/>
      <c r="Q1742" s="4" t="s">
        <v>63</v>
      </c>
      <c r="R1742" s="4" t="s">
        <v>63</v>
      </c>
      <c r="S1742" s="4" t="s">
        <v>63</v>
      </c>
      <c r="T1742" s="4" t="s">
        <v>63</v>
      </c>
      <c r="U1742" s="4"/>
      <c r="V1742" s="4"/>
      <c r="W1742" s="4"/>
      <c r="X1742" s="4" t="s">
        <v>63</v>
      </c>
      <c r="Y1742" s="4" t="s">
        <v>15169</v>
      </c>
      <c r="Z1742" s="4" t="s">
        <v>63</v>
      </c>
      <c r="AA1742" s="4" t="s">
        <v>63</v>
      </c>
      <c r="AB1742" s="4" t="s">
        <v>15170</v>
      </c>
      <c r="AC1742" s="4" t="s">
        <v>15171</v>
      </c>
      <c r="AD1742" s="4" t="s">
        <v>63</v>
      </c>
      <c r="AE1742" s="4" t="s">
        <v>63</v>
      </c>
      <c r="AF1742" s="4" t="s">
        <v>63</v>
      </c>
      <c r="AG1742" s="4" t="s">
        <v>63</v>
      </c>
      <c r="AH1742" s="4" t="s">
        <v>63</v>
      </c>
      <c r="AI1742" s="4" t="s">
        <v>63</v>
      </c>
      <c r="AJ1742" s="4" t="s">
        <v>63</v>
      </c>
      <c r="AK1742" s="4" t="s">
        <v>63</v>
      </c>
      <c r="AL1742" s="4" t="s">
        <v>63</v>
      </c>
      <c r="AM1742" s="4" t="s">
        <v>15172</v>
      </c>
      <c r="AN1742" s="4" t="s">
        <v>63</v>
      </c>
      <c r="AO1742" s="4" t="s">
        <v>63</v>
      </c>
      <c r="AP1742" s="4" t="s">
        <v>63</v>
      </c>
      <c r="AQ1742" s="4" t="s">
        <v>63</v>
      </c>
      <c r="AR1742" s="4" t="s">
        <v>63</v>
      </c>
      <c r="AS1742" s="4" t="s">
        <v>63</v>
      </c>
      <c r="AT1742" s="4" t="s">
        <v>63</v>
      </c>
      <c r="AU1742" s="4" t="s">
        <v>63</v>
      </c>
      <c r="AV1742" s="4" t="s">
        <v>63</v>
      </c>
      <c r="AW1742" s="4" t="s">
        <v>63</v>
      </c>
      <c r="AX1742" s="4" t="s">
        <v>63</v>
      </c>
      <c r="AY1742" s="4" t="s">
        <v>63</v>
      </c>
      <c r="AZ1742" s="4" t="s">
        <v>63</v>
      </c>
      <c r="BA1742" s="4" t="s">
        <v>63</v>
      </c>
      <c r="BB1742" s="4" t="s">
        <v>63</v>
      </c>
      <c r="BC1742" s="4" t="s">
        <v>63</v>
      </c>
      <c r="BD1742" s="4" t="s">
        <v>63</v>
      </c>
      <c r="BE1742" s="4" t="s">
        <v>63</v>
      </c>
      <c r="BF1742" s="4" t="s">
        <v>63</v>
      </c>
    </row>
    <row r="1743" spans="1:58">
      <c r="A1743" s="4" t="s">
        <v>58</v>
      </c>
      <c r="B1743" s="4" t="s">
        <v>15173</v>
      </c>
      <c r="C1743" s="4" t="s">
        <v>15174</v>
      </c>
      <c r="D1743" s="4" t="s">
        <v>6306</v>
      </c>
      <c r="E1743" s="4" t="s">
        <v>63</v>
      </c>
      <c r="F1743" s="4">
        <v>2005</v>
      </c>
      <c r="G1743" s="4" t="s">
        <v>15175</v>
      </c>
      <c r="H1743" s="4">
        <v>20</v>
      </c>
      <c r="I1743" s="4">
        <v>4</v>
      </c>
      <c r="J1743" s="4">
        <v>222</v>
      </c>
      <c r="K1743" s="4">
        <v>228</v>
      </c>
      <c r="L1743" s="4" t="s">
        <v>15176</v>
      </c>
      <c r="M1743" s="4" t="s">
        <v>15177</v>
      </c>
      <c r="N1743" s="4" t="s">
        <v>15178</v>
      </c>
      <c r="O1743" s="4" t="s">
        <v>63</v>
      </c>
      <c r="P1743" s="4"/>
      <c r="Q1743" s="4" t="s">
        <v>63</v>
      </c>
      <c r="R1743" s="4" t="s">
        <v>63</v>
      </c>
      <c r="S1743" s="4" t="s">
        <v>63</v>
      </c>
      <c r="T1743" s="4" t="s">
        <v>63</v>
      </c>
      <c r="U1743" s="4"/>
      <c r="V1743" s="4"/>
      <c r="W1743" s="4"/>
      <c r="X1743" s="4" t="s">
        <v>63</v>
      </c>
      <c r="Y1743" s="4" t="s">
        <v>6336</v>
      </c>
      <c r="Z1743" s="4" t="s">
        <v>63</v>
      </c>
      <c r="AA1743" s="4" t="s">
        <v>63</v>
      </c>
      <c r="AB1743" s="4">
        <v>2006093805</v>
      </c>
      <c r="AC1743" s="4" t="s">
        <v>67</v>
      </c>
      <c r="AD1743" s="4" t="s">
        <v>63</v>
      </c>
      <c r="AE1743" s="4" t="s">
        <v>63</v>
      </c>
      <c r="AF1743" s="4" t="s">
        <v>63</v>
      </c>
      <c r="AG1743" s="4" t="s">
        <v>15179</v>
      </c>
      <c r="AH1743" s="4" t="s">
        <v>63</v>
      </c>
      <c r="AI1743" s="4" t="s">
        <v>15180</v>
      </c>
      <c r="AJ1743" s="4" t="s">
        <v>63</v>
      </c>
      <c r="AK1743" s="4" t="s">
        <v>63</v>
      </c>
      <c r="AL1743" s="4" t="s">
        <v>63</v>
      </c>
      <c r="AM1743" s="4" t="s">
        <v>15181</v>
      </c>
      <c r="AN1743" s="4" t="s">
        <v>63</v>
      </c>
      <c r="AO1743" s="4" t="s">
        <v>63</v>
      </c>
      <c r="AP1743" s="4" t="s">
        <v>63</v>
      </c>
      <c r="AQ1743" s="4" t="s">
        <v>63</v>
      </c>
      <c r="AR1743" s="4" t="s">
        <v>63</v>
      </c>
      <c r="AS1743" s="4" t="s">
        <v>63</v>
      </c>
      <c r="AT1743" s="4" t="s">
        <v>63</v>
      </c>
      <c r="AU1743" s="4" t="s">
        <v>63</v>
      </c>
      <c r="AV1743" s="4" t="s">
        <v>63</v>
      </c>
      <c r="AW1743" s="4" t="s">
        <v>63</v>
      </c>
      <c r="AX1743" s="4" t="s">
        <v>63</v>
      </c>
      <c r="AY1743" s="4" t="s">
        <v>63</v>
      </c>
      <c r="AZ1743" s="4" t="s">
        <v>63</v>
      </c>
      <c r="BA1743" s="4" t="s">
        <v>63</v>
      </c>
      <c r="BB1743" s="4" t="s">
        <v>63</v>
      </c>
      <c r="BC1743" s="4" t="s">
        <v>63</v>
      </c>
      <c r="BD1743" s="4" t="s">
        <v>63</v>
      </c>
      <c r="BE1743" s="4" t="s">
        <v>63</v>
      </c>
      <c r="BF1743" s="4" t="s">
        <v>63</v>
      </c>
    </row>
    <row r="1744" spans="1:58">
      <c r="A1744" s="4" t="s">
        <v>58</v>
      </c>
      <c r="B1744" s="4" t="s">
        <v>15182</v>
      </c>
      <c r="C1744" s="4" t="s">
        <v>15183</v>
      </c>
      <c r="D1744" s="4" t="s">
        <v>15184</v>
      </c>
      <c r="E1744" s="4" t="s">
        <v>63</v>
      </c>
      <c r="F1744" s="4">
        <v>1977</v>
      </c>
      <c r="G1744" s="4" t="s">
        <v>63</v>
      </c>
      <c r="H1744" s="4">
        <v>12</v>
      </c>
      <c r="I1744" s="4">
        <v>2</v>
      </c>
      <c r="J1744" s="4">
        <v>52</v>
      </c>
      <c r="K1744" s="4">
        <v>56</v>
      </c>
      <c r="L1744" s="4" t="s">
        <v>15185</v>
      </c>
      <c r="M1744" s="4" t="s">
        <v>63</v>
      </c>
      <c r="N1744" s="4" t="s">
        <v>15186</v>
      </c>
      <c r="O1744" s="4" t="s">
        <v>63</v>
      </c>
      <c r="P1744" s="4"/>
      <c r="Q1744" s="4" t="s">
        <v>63</v>
      </c>
      <c r="R1744" s="4" t="s">
        <v>63</v>
      </c>
      <c r="S1744" s="4" t="s">
        <v>63</v>
      </c>
      <c r="T1744" s="4" t="s">
        <v>63</v>
      </c>
      <c r="U1744" s="4"/>
      <c r="V1744" s="4"/>
      <c r="W1744" s="4"/>
      <c r="X1744" s="4" t="s">
        <v>63</v>
      </c>
      <c r="Y1744" s="4" t="s">
        <v>15187</v>
      </c>
      <c r="Z1744" s="4" t="s">
        <v>63</v>
      </c>
      <c r="AA1744" s="4" t="s">
        <v>63</v>
      </c>
      <c r="AB1744" s="4" t="s">
        <v>15188</v>
      </c>
      <c r="AC1744" s="4" t="s">
        <v>67</v>
      </c>
      <c r="AD1744" s="4" t="s">
        <v>63</v>
      </c>
      <c r="AE1744" s="4" t="s">
        <v>63</v>
      </c>
      <c r="AF1744" s="4" t="s">
        <v>63</v>
      </c>
      <c r="AG1744" s="4" t="s">
        <v>63</v>
      </c>
      <c r="AH1744" s="4" t="s">
        <v>63</v>
      </c>
      <c r="AI1744" s="4" t="s">
        <v>63</v>
      </c>
      <c r="AJ1744" s="4" t="s">
        <v>63</v>
      </c>
      <c r="AK1744" s="4" t="s">
        <v>63</v>
      </c>
      <c r="AL1744" s="4" t="s">
        <v>63</v>
      </c>
      <c r="AM1744" s="4" t="s">
        <v>15183</v>
      </c>
      <c r="AN1744" s="4" t="s">
        <v>63</v>
      </c>
      <c r="AO1744" s="4" t="s">
        <v>63</v>
      </c>
      <c r="AP1744" s="4" t="s">
        <v>63</v>
      </c>
      <c r="AQ1744" s="4" t="s">
        <v>63</v>
      </c>
      <c r="AR1744" s="4" t="s">
        <v>63</v>
      </c>
      <c r="AS1744" s="4" t="s">
        <v>63</v>
      </c>
      <c r="AT1744" s="4" t="s">
        <v>63</v>
      </c>
      <c r="AU1744" s="4" t="s">
        <v>63</v>
      </c>
      <c r="AV1744" s="4" t="s">
        <v>63</v>
      </c>
      <c r="AW1744" s="4" t="s">
        <v>63</v>
      </c>
      <c r="AX1744" s="4" t="s">
        <v>63</v>
      </c>
      <c r="AY1744" s="4" t="s">
        <v>63</v>
      </c>
      <c r="AZ1744" s="4" t="s">
        <v>63</v>
      </c>
      <c r="BA1744" s="4" t="s">
        <v>63</v>
      </c>
      <c r="BB1744" s="4" t="s">
        <v>63</v>
      </c>
      <c r="BC1744" s="4" t="s">
        <v>63</v>
      </c>
      <c r="BD1744" s="4" t="s">
        <v>63</v>
      </c>
      <c r="BE1744" s="4" t="s">
        <v>63</v>
      </c>
      <c r="BF1744" s="4" t="s">
        <v>63</v>
      </c>
    </row>
    <row r="1745" spans="1:58">
      <c r="A1745" s="4" t="s">
        <v>58</v>
      </c>
      <c r="B1745" s="4" t="s">
        <v>15189</v>
      </c>
      <c r="C1745" s="4" t="s">
        <v>15190</v>
      </c>
      <c r="D1745" s="4" t="s">
        <v>15191</v>
      </c>
      <c r="E1745" s="4" t="s">
        <v>63</v>
      </c>
      <c r="F1745" s="4">
        <v>2014</v>
      </c>
      <c r="G1745" s="4" t="s">
        <v>189</v>
      </c>
      <c r="H1745" s="4" t="s">
        <v>15192</v>
      </c>
      <c r="I1745" s="4" t="s">
        <v>63</v>
      </c>
      <c r="J1745" s="4">
        <v>7</v>
      </c>
      <c r="K1745" s="4" t="s">
        <v>63</v>
      </c>
      <c r="L1745" s="4" t="s">
        <v>15193</v>
      </c>
      <c r="M1745" s="4" t="s">
        <v>15194</v>
      </c>
      <c r="N1745" s="4" t="s">
        <v>15195</v>
      </c>
      <c r="O1745" s="4" t="s">
        <v>63</v>
      </c>
      <c r="P1745" s="4"/>
      <c r="Q1745" s="4" t="s">
        <v>63</v>
      </c>
      <c r="R1745" s="4" t="s">
        <v>63</v>
      </c>
      <c r="S1745" s="4" t="s">
        <v>63</v>
      </c>
      <c r="T1745" s="4" t="s">
        <v>63</v>
      </c>
      <c r="U1745" s="4"/>
      <c r="V1745" s="4"/>
      <c r="W1745" s="4"/>
      <c r="X1745" s="4" t="s">
        <v>63</v>
      </c>
      <c r="Y1745" s="4" t="s">
        <v>15196</v>
      </c>
      <c r="Z1745" s="4" t="s">
        <v>63</v>
      </c>
      <c r="AA1745" s="4" t="s">
        <v>63</v>
      </c>
      <c r="AB1745" s="4" t="s">
        <v>63</v>
      </c>
      <c r="AC1745" s="4" t="s">
        <v>67</v>
      </c>
      <c r="AD1745" s="4" t="s">
        <v>63</v>
      </c>
      <c r="AE1745" s="4" t="s">
        <v>63</v>
      </c>
      <c r="AF1745" s="4" t="s">
        <v>63</v>
      </c>
      <c r="AG1745" s="4" t="s">
        <v>63</v>
      </c>
      <c r="AH1745" s="4" t="s">
        <v>63</v>
      </c>
      <c r="AI1745" s="4" t="s">
        <v>63</v>
      </c>
      <c r="AJ1745" s="4" t="s">
        <v>63</v>
      </c>
      <c r="AK1745" s="4" t="s">
        <v>63</v>
      </c>
      <c r="AL1745" s="4" t="s">
        <v>63</v>
      </c>
      <c r="AM1745" s="4" t="s">
        <v>15190</v>
      </c>
      <c r="AN1745" s="4" t="s">
        <v>63</v>
      </c>
      <c r="AO1745" s="4" t="s">
        <v>63</v>
      </c>
      <c r="AP1745" s="4" t="s">
        <v>63</v>
      </c>
      <c r="AQ1745" s="4" t="s">
        <v>63</v>
      </c>
      <c r="AR1745" s="4" t="s">
        <v>63</v>
      </c>
      <c r="AS1745" s="4" t="s">
        <v>63</v>
      </c>
      <c r="AT1745" s="4" t="s">
        <v>63</v>
      </c>
      <c r="AU1745" s="4" t="s">
        <v>63</v>
      </c>
      <c r="AV1745" s="4" t="s">
        <v>63</v>
      </c>
      <c r="AW1745" s="4" t="s">
        <v>63</v>
      </c>
      <c r="AX1745" s="4" t="s">
        <v>63</v>
      </c>
      <c r="AY1745" s="4" t="s">
        <v>63</v>
      </c>
      <c r="AZ1745" s="4" t="s">
        <v>63</v>
      </c>
      <c r="BA1745" s="4" t="s">
        <v>63</v>
      </c>
      <c r="BB1745" s="4" t="s">
        <v>63</v>
      </c>
      <c r="BC1745" s="4" t="s">
        <v>63</v>
      </c>
      <c r="BD1745" s="4" t="s">
        <v>63</v>
      </c>
      <c r="BE1745" s="4" t="s">
        <v>63</v>
      </c>
      <c r="BF1745" s="4" t="s">
        <v>63</v>
      </c>
    </row>
    <row r="1746" spans="1:58">
      <c r="A1746" s="4" t="s">
        <v>58</v>
      </c>
      <c r="B1746" s="4" t="s">
        <v>15197</v>
      </c>
      <c r="C1746" s="4" t="s">
        <v>15198</v>
      </c>
      <c r="D1746" s="4" t="s">
        <v>15199</v>
      </c>
      <c r="E1746" s="4" t="s">
        <v>15200</v>
      </c>
      <c r="F1746" s="4">
        <v>2014</v>
      </c>
      <c r="G1746" s="4" t="s">
        <v>189</v>
      </c>
      <c r="H1746" s="4" t="s">
        <v>15201</v>
      </c>
      <c r="I1746" s="4" t="s">
        <v>63</v>
      </c>
      <c r="J1746" s="4" t="s">
        <v>15202</v>
      </c>
      <c r="K1746" s="4" t="s">
        <v>63</v>
      </c>
      <c r="L1746" s="4" t="s">
        <v>15193</v>
      </c>
      <c r="M1746" s="4" t="s">
        <v>15203</v>
      </c>
      <c r="N1746" s="4" t="s">
        <v>15204</v>
      </c>
      <c r="O1746" s="4" t="s">
        <v>63</v>
      </c>
      <c r="P1746" s="4"/>
      <c r="Q1746" s="4" t="s">
        <v>63</v>
      </c>
      <c r="R1746" s="4" t="s">
        <v>63</v>
      </c>
      <c r="S1746" s="4" t="s">
        <v>63</v>
      </c>
      <c r="T1746" s="4" t="s">
        <v>63</v>
      </c>
      <c r="U1746" s="4"/>
      <c r="V1746" s="4"/>
      <c r="W1746" s="4"/>
      <c r="X1746" s="4" t="s">
        <v>63</v>
      </c>
      <c r="Y1746" s="4" t="s">
        <v>15205</v>
      </c>
      <c r="Z1746" s="4" t="s">
        <v>63</v>
      </c>
      <c r="AA1746" s="4" t="s">
        <v>63</v>
      </c>
      <c r="AB1746" s="4" t="s">
        <v>63</v>
      </c>
      <c r="AC1746" s="4" t="s">
        <v>67</v>
      </c>
      <c r="AD1746" s="4" t="s">
        <v>63</v>
      </c>
      <c r="AE1746" s="4" t="s">
        <v>63</v>
      </c>
      <c r="AF1746" s="4" t="s">
        <v>63</v>
      </c>
      <c r="AG1746" s="4" t="s">
        <v>63</v>
      </c>
      <c r="AH1746" s="4" t="s">
        <v>63</v>
      </c>
      <c r="AI1746" s="4" t="s">
        <v>15206</v>
      </c>
      <c r="AJ1746" s="4" t="s">
        <v>63</v>
      </c>
      <c r="AK1746" s="4" t="s">
        <v>63</v>
      </c>
      <c r="AL1746" s="4" t="s">
        <v>63</v>
      </c>
      <c r="AM1746" s="4" t="s">
        <v>15198</v>
      </c>
      <c r="AN1746" s="4" t="s">
        <v>63</v>
      </c>
      <c r="AO1746" s="4" t="s">
        <v>63</v>
      </c>
      <c r="AP1746" s="4" t="s">
        <v>63</v>
      </c>
      <c r="AQ1746" s="4" t="s">
        <v>63</v>
      </c>
      <c r="AR1746" s="4" t="s">
        <v>63</v>
      </c>
      <c r="AS1746" s="4" t="s">
        <v>63</v>
      </c>
      <c r="AT1746" s="4" t="s">
        <v>63</v>
      </c>
      <c r="AU1746" s="4" t="s">
        <v>63</v>
      </c>
      <c r="AV1746" s="4" t="s">
        <v>63</v>
      </c>
      <c r="AW1746" s="4" t="s">
        <v>63</v>
      </c>
      <c r="AX1746" s="4" t="s">
        <v>63</v>
      </c>
      <c r="AY1746" s="4" t="s">
        <v>63</v>
      </c>
      <c r="AZ1746" s="4" t="s">
        <v>63</v>
      </c>
      <c r="BA1746" s="4" t="s">
        <v>63</v>
      </c>
      <c r="BB1746" s="4" t="s">
        <v>63</v>
      </c>
      <c r="BC1746" s="4" t="s">
        <v>63</v>
      </c>
      <c r="BD1746" s="4" t="s">
        <v>63</v>
      </c>
      <c r="BE1746" s="4" t="s">
        <v>63</v>
      </c>
      <c r="BF1746" s="4" t="s">
        <v>63</v>
      </c>
    </row>
    <row r="1747" spans="1:58">
      <c r="A1747" s="4" t="s">
        <v>58</v>
      </c>
      <c r="B1747" s="4" t="s">
        <v>15207</v>
      </c>
      <c r="C1747" s="4" t="s">
        <v>15208</v>
      </c>
      <c r="D1747" s="4" t="s">
        <v>2166</v>
      </c>
      <c r="E1747" s="4" t="s">
        <v>2167</v>
      </c>
      <c r="F1747" s="4">
        <v>1975</v>
      </c>
      <c r="G1747" s="4" t="s">
        <v>63</v>
      </c>
      <c r="H1747" s="4">
        <v>58</v>
      </c>
      <c r="I1747" s="4">
        <v>9</v>
      </c>
      <c r="J1747" s="4">
        <v>387</v>
      </c>
      <c r="K1747" s="4">
        <v>388</v>
      </c>
      <c r="L1747" s="4" t="s">
        <v>15209</v>
      </c>
      <c r="M1747" s="4" t="s">
        <v>63</v>
      </c>
      <c r="N1747" s="4" t="s">
        <v>15210</v>
      </c>
      <c r="O1747" s="4" t="s">
        <v>63</v>
      </c>
      <c r="P1747" s="4"/>
      <c r="Q1747" s="4" t="s">
        <v>63</v>
      </c>
      <c r="R1747" s="4" t="s">
        <v>63</v>
      </c>
      <c r="S1747" s="4" t="s">
        <v>63</v>
      </c>
      <c r="T1747" s="4" t="s">
        <v>63</v>
      </c>
      <c r="U1747" s="4"/>
      <c r="V1747" s="4"/>
      <c r="W1747" s="4"/>
      <c r="X1747" s="4" t="s">
        <v>63</v>
      </c>
      <c r="Y1747" s="4" t="s">
        <v>2170</v>
      </c>
      <c r="Z1747" s="4" t="s">
        <v>63</v>
      </c>
      <c r="AA1747" s="4" t="s">
        <v>63</v>
      </c>
      <c r="AB1747" s="4" t="s">
        <v>15211</v>
      </c>
      <c r="AC1747" s="4" t="s">
        <v>67</v>
      </c>
      <c r="AD1747" s="4" t="s">
        <v>63</v>
      </c>
      <c r="AE1747" s="4" t="s">
        <v>63</v>
      </c>
      <c r="AF1747" s="4" t="s">
        <v>63</v>
      </c>
      <c r="AG1747" s="4" t="s">
        <v>63</v>
      </c>
      <c r="AH1747" s="4" t="s">
        <v>63</v>
      </c>
      <c r="AI1747" s="4" t="s">
        <v>63</v>
      </c>
      <c r="AJ1747" s="4" t="s">
        <v>63</v>
      </c>
      <c r="AK1747" s="4" t="s">
        <v>63</v>
      </c>
      <c r="AL1747" s="4" t="s">
        <v>63</v>
      </c>
      <c r="AM1747" s="4" t="s">
        <v>15208</v>
      </c>
      <c r="AN1747" s="4" t="s">
        <v>63</v>
      </c>
      <c r="AO1747" s="4" t="s">
        <v>63</v>
      </c>
      <c r="AP1747" s="4" t="s">
        <v>63</v>
      </c>
      <c r="AQ1747" s="4" t="s">
        <v>63</v>
      </c>
      <c r="AR1747" s="4" t="s">
        <v>63</v>
      </c>
      <c r="AS1747" s="4" t="s">
        <v>63</v>
      </c>
      <c r="AT1747" s="4" t="s">
        <v>63</v>
      </c>
      <c r="AU1747" s="4" t="s">
        <v>63</v>
      </c>
      <c r="AV1747" s="4" t="s">
        <v>63</v>
      </c>
      <c r="AW1747" s="4" t="s">
        <v>63</v>
      </c>
      <c r="AX1747" s="4" t="s">
        <v>63</v>
      </c>
      <c r="AY1747" s="4" t="s">
        <v>63</v>
      </c>
      <c r="AZ1747" s="4" t="s">
        <v>63</v>
      </c>
      <c r="BA1747" s="4" t="s">
        <v>63</v>
      </c>
      <c r="BB1747" s="4" t="s">
        <v>63</v>
      </c>
      <c r="BC1747" s="4" t="s">
        <v>63</v>
      </c>
      <c r="BD1747" s="4" t="s">
        <v>63</v>
      </c>
      <c r="BE1747" s="4" t="s">
        <v>63</v>
      </c>
      <c r="BF1747" s="4" t="s">
        <v>63</v>
      </c>
    </row>
    <row r="1748" spans="1:58">
      <c r="A1748" s="4" t="s">
        <v>58</v>
      </c>
      <c r="B1748" s="4" t="s">
        <v>15212</v>
      </c>
      <c r="C1748" s="4" t="s">
        <v>15213</v>
      </c>
      <c r="D1748" s="4" t="s">
        <v>15214</v>
      </c>
      <c r="E1748" s="4" t="s">
        <v>15215</v>
      </c>
      <c r="F1748" s="4">
        <v>2010</v>
      </c>
      <c r="G1748" s="4" t="s">
        <v>63</v>
      </c>
      <c r="H1748" s="4">
        <v>99</v>
      </c>
      <c r="I1748" s="4">
        <v>4</v>
      </c>
      <c r="J1748" s="4">
        <v>21</v>
      </c>
      <c r="K1748" s="4">
        <v>22</v>
      </c>
      <c r="L1748" s="4" t="s">
        <v>15216</v>
      </c>
      <c r="M1748" s="4" t="s">
        <v>15217</v>
      </c>
      <c r="N1748" s="4" t="s">
        <v>15218</v>
      </c>
      <c r="O1748" s="4" t="s">
        <v>63</v>
      </c>
      <c r="P1748" s="4"/>
      <c r="Q1748" s="4" t="s">
        <v>63</v>
      </c>
      <c r="R1748" s="4" t="s">
        <v>63</v>
      </c>
      <c r="S1748" s="4" t="s">
        <v>63</v>
      </c>
      <c r="T1748" s="4" t="s">
        <v>63</v>
      </c>
      <c r="U1748" s="4"/>
      <c r="V1748" s="4"/>
      <c r="W1748" s="4"/>
      <c r="X1748" s="4" t="s">
        <v>63</v>
      </c>
      <c r="Y1748" s="4" t="s">
        <v>15219</v>
      </c>
      <c r="Z1748" s="4" t="s">
        <v>63</v>
      </c>
      <c r="AA1748" s="4" t="s">
        <v>63</v>
      </c>
      <c r="AB1748" s="4" t="s">
        <v>63</v>
      </c>
      <c r="AC1748" s="4" t="s">
        <v>67</v>
      </c>
      <c r="AD1748" s="4" t="s">
        <v>63</v>
      </c>
      <c r="AE1748" s="4" t="s">
        <v>63</v>
      </c>
      <c r="AF1748" s="4" t="s">
        <v>63</v>
      </c>
      <c r="AG1748" s="4" t="s">
        <v>15220</v>
      </c>
      <c r="AH1748" s="4" t="s">
        <v>63</v>
      </c>
      <c r="AI1748" s="4" t="s">
        <v>63</v>
      </c>
      <c r="AJ1748" s="4" t="s">
        <v>63</v>
      </c>
      <c r="AK1748" s="4" t="s">
        <v>63</v>
      </c>
      <c r="AL1748" s="4" t="s">
        <v>63</v>
      </c>
      <c r="AM1748" s="4" t="s">
        <v>15221</v>
      </c>
      <c r="AN1748" s="4" t="s">
        <v>63</v>
      </c>
      <c r="AO1748" s="4" t="s">
        <v>63</v>
      </c>
      <c r="AP1748" s="4" t="s">
        <v>63</v>
      </c>
      <c r="AQ1748" s="4" t="s">
        <v>63</v>
      </c>
      <c r="AR1748" s="4" t="s">
        <v>63</v>
      </c>
      <c r="AS1748" s="4" t="s">
        <v>63</v>
      </c>
      <c r="AT1748" s="4" t="s">
        <v>63</v>
      </c>
      <c r="AU1748" s="4" t="s">
        <v>63</v>
      </c>
      <c r="AV1748" s="4" t="s">
        <v>63</v>
      </c>
      <c r="AW1748" s="4" t="s">
        <v>63</v>
      </c>
      <c r="AX1748" s="4" t="s">
        <v>63</v>
      </c>
      <c r="AY1748" s="4" t="s">
        <v>63</v>
      </c>
      <c r="AZ1748" s="4" t="s">
        <v>63</v>
      </c>
      <c r="BA1748" s="4" t="s">
        <v>63</v>
      </c>
      <c r="BB1748" s="4" t="s">
        <v>63</v>
      </c>
      <c r="BC1748" s="4" t="s">
        <v>63</v>
      </c>
      <c r="BD1748" s="4" t="s">
        <v>63</v>
      </c>
      <c r="BE1748" s="4" t="s">
        <v>63</v>
      </c>
      <c r="BF1748" s="4" t="s">
        <v>63</v>
      </c>
    </row>
    <row r="1749" spans="1:58">
      <c r="A1749" s="4" t="s">
        <v>58</v>
      </c>
      <c r="B1749" s="4" t="s">
        <v>15222</v>
      </c>
      <c r="C1749" s="4" t="s">
        <v>15223</v>
      </c>
      <c r="D1749" s="4" t="s">
        <v>15224</v>
      </c>
      <c r="E1749" s="4" t="s">
        <v>15224</v>
      </c>
      <c r="F1749" s="4">
        <v>2015</v>
      </c>
      <c r="G1749" s="4" t="s">
        <v>63</v>
      </c>
      <c r="H1749" s="4" t="s">
        <v>15225</v>
      </c>
      <c r="I1749" s="4" t="s">
        <v>63</v>
      </c>
      <c r="J1749" s="4" t="s">
        <v>63</v>
      </c>
      <c r="K1749" s="4" t="s">
        <v>63</v>
      </c>
      <c r="L1749" s="4" t="s">
        <v>15226</v>
      </c>
      <c r="M1749" s="4" t="s">
        <v>15227</v>
      </c>
      <c r="N1749" s="4" t="s">
        <v>15228</v>
      </c>
      <c r="O1749" s="4" t="s">
        <v>63</v>
      </c>
      <c r="P1749" s="4"/>
      <c r="Q1749" s="4" t="s">
        <v>63</v>
      </c>
      <c r="R1749" s="4" t="s">
        <v>63</v>
      </c>
      <c r="S1749" s="4" t="s">
        <v>63</v>
      </c>
      <c r="T1749" s="4" t="s">
        <v>63</v>
      </c>
      <c r="U1749" s="4"/>
      <c r="V1749" s="4"/>
      <c r="W1749" s="4"/>
      <c r="X1749" s="4" t="s">
        <v>63</v>
      </c>
      <c r="Y1749" s="5">
        <v>32477</v>
      </c>
      <c r="Z1749" s="4" t="s">
        <v>63</v>
      </c>
      <c r="AA1749" s="4" t="s">
        <v>63</v>
      </c>
      <c r="AB1749" s="4" t="s">
        <v>63</v>
      </c>
      <c r="AC1749" s="4" t="s">
        <v>67</v>
      </c>
      <c r="AD1749" s="4" t="s">
        <v>63</v>
      </c>
      <c r="AE1749" s="4" t="s">
        <v>63</v>
      </c>
      <c r="AF1749" s="4" t="s">
        <v>63</v>
      </c>
      <c r="AG1749" s="4" t="s">
        <v>63</v>
      </c>
      <c r="AH1749" s="4" t="s">
        <v>63</v>
      </c>
      <c r="AI1749" s="4" t="s">
        <v>15229</v>
      </c>
      <c r="AJ1749" s="4" t="s">
        <v>63</v>
      </c>
      <c r="AK1749" s="4" t="s">
        <v>63</v>
      </c>
      <c r="AL1749" s="4" t="s">
        <v>63</v>
      </c>
      <c r="AM1749" s="4" t="s">
        <v>15223</v>
      </c>
      <c r="AN1749" s="4" t="s">
        <v>63</v>
      </c>
      <c r="AO1749" s="4" t="s">
        <v>63</v>
      </c>
      <c r="AP1749" s="4" t="s">
        <v>63</v>
      </c>
      <c r="AQ1749" s="4" t="s">
        <v>63</v>
      </c>
      <c r="AR1749" s="4" t="s">
        <v>63</v>
      </c>
      <c r="AS1749" s="4" t="s">
        <v>63</v>
      </c>
      <c r="AT1749" s="4" t="s">
        <v>63</v>
      </c>
      <c r="AU1749" s="4" t="s">
        <v>63</v>
      </c>
      <c r="AV1749" s="4" t="s">
        <v>63</v>
      </c>
      <c r="AW1749" s="4" t="s">
        <v>63</v>
      </c>
      <c r="AX1749" s="4" t="s">
        <v>63</v>
      </c>
      <c r="AY1749" s="4" t="s">
        <v>63</v>
      </c>
      <c r="AZ1749" s="4" t="s">
        <v>63</v>
      </c>
      <c r="BA1749" s="4" t="s">
        <v>63</v>
      </c>
      <c r="BB1749" s="4" t="s">
        <v>63</v>
      </c>
      <c r="BC1749" s="4" t="s">
        <v>63</v>
      </c>
      <c r="BD1749" s="4" t="s">
        <v>63</v>
      </c>
      <c r="BE1749" s="4" t="s">
        <v>63</v>
      </c>
      <c r="BF1749" s="4" t="s">
        <v>63</v>
      </c>
    </row>
    <row r="1750" spans="1:58">
      <c r="A1750" s="4" t="s">
        <v>58</v>
      </c>
      <c r="B1750" s="4" t="s">
        <v>15230</v>
      </c>
      <c r="C1750" s="4" t="s">
        <v>15231</v>
      </c>
      <c r="D1750" s="4" t="s">
        <v>5220</v>
      </c>
      <c r="E1750" s="4" t="s">
        <v>5221</v>
      </c>
      <c r="F1750" s="4">
        <v>1986</v>
      </c>
      <c r="G1750" s="4" t="s">
        <v>63</v>
      </c>
      <c r="H1750" s="4">
        <v>293</v>
      </c>
      <c r="I1750" s="4">
        <v>6562</v>
      </c>
      <c r="J1750" s="4">
        <v>1590</v>
      </c>
      <c r="K1750" s="4">
        <v>1591</v>
      </c>
      <c r="L1750" s="4" t="s">
        <v>15232</v>
      </c>
      <c r="M1750" s="4" t="s">
        <v>63</v>
      </c>
      <c r="N1750" s="4" t="s">
        <v>15233</v>
      </c>
      <c r="O1750" s="4" t="s">
        <v>63</v>
      </c>
      <c r="P1750" s="4"/>
      <c r="Q1750" s="4" t="s">
        <v>63</v>
      </c>
      <c r="R1750" s="4" t="s">
        <v>63</v>
      </c>
      <c r="S1750" s="4" t="s">
        <v>63</v>
      </c>
      <c r="T1750" s="4" t="s">
        <v>63</v>
      </c>
      <c r="U1750" s="4"/>
      <c r="V1750" s="4"/>
      <c r="W1750" s="4"/>
      <c r="X1750" s="4" t="s">
        <v>63</v>
      </c>
      <c r="Y1750" s="4" t="s">
        <v>15234</v>
      </c>
      <c r="Z1750" s="4" t="s">
        <v>63</v>
      </c>
      <c r="AA1750" s="4" t="s">
        <v>63</v>
      </c>
      <c r="AB1750" s="4">
        <v>1987037093</v>
      </c>
      <c r="AC1750" s="4" t="s">
        <v>67</v>
      </c>
      <c r="AD1750" s="4" t="s">
        <v>63</v>
      </c>
      <c r="AE1750" s="4" t="s">
        <v>63</v>
      </c>
      <c r="AF1750" s="4" t="s">
        <v>63</v>
      </c>
      <c r="AG1750" s="4" t="s">
        <v>15235</v>
      </c>
      <c r="AH1750" s="4" t="s">
        <v>63</v>
      </c>
      <c r="AI1750" s="4" t="s">
        <v>63</v>
      </c>
      <c r="AJ1750" s="4" t="s">
        <v>63</v>
      </c>
      <c r="AK1750" s="4" t="s">
        <v>63</v>
      </c>
      <c r="AL1750" s="4" t="s">
        <v>63</v>
      </c>
      <c r="AM1750" s="4" t="s">
        <v>15236</v>
      </c>
      <c r="AN1750" s="4" t="s">
        <v>63</v>
      </c>
      <c r="AO1750" s="4" t="s">
        <v>63</v>
      </c>
      <c r="AP1750" s="4" t="s">
        <v>63</v>
      </c>
      <c r="AQ1750" s="4" t="s">
        <v>63</v>
      </c>
      <c r="AR1750" s="4" t="s">
        <v>63</v>
      </c>
      <c r="AS1750" s="4" t="s">
        <v>63</v>
      </c>
      <c r="AT1750" s="4" t="s">
        <v>63</v>
      </c>
      <c r="AU1750" s="4" t="s">
        <v>63</v>
      </c>
      <c r="AV1750" s="4" t="s">
        <v>63</v>
      </c>
      <c r="AW1750" s="4" t="s">
        <v>63</v>
      </c>
      <c r="AX1750" s="4" t="s">
        <v>63</v>
      </c>
      <c r="AY1750" s="4" t="s">
        <v>63</v>
      </c>
      <c r="AZ1750" s="4" t="s">
        <v>63</v>
      </c>
      <c r="BA1750" s="4" t="s">
        <v>63</v>
      </c>
      <c r="BB1750" s="4" t="s">
        <v>63</v>
      </c>
      <c r="BC1750" s="4" t="s">
        <v>63</v>
      </c>
      <c r="BD1750" s="4" t="s">
        <v>63</v>
      </c>
      <c r="BE1750" s="4" t="s">
        <v>63</v>
      </c>
      <c r="BF1750" s="4" t="s">
        <v>63</v>
      </c>
    </row>
    <row r="1751" spans="1:58">
      <c r="A1751" s="4" t="s">
        <v>58</v>
      </c>
      <c r="B1751" s="4" t="s">
        <v>15237</v>
      </c>
      <c r="C1751" s="4" t="s">
        <v>15238</v>
      </c>
      <c r="D1751" s="4" t="s">
        <v>458</v>
      </c>
      <c r="E1751" s="4" t="s">
        <v>459</v>
      </c>
      <c r="F1751" s="4">
        <v>2014</v>
      </c>
      <c r="G1751" s="4" t="s">
        <v>198</v>
      </c>
      <c r="H1751" s="4">
        <v>78</v>
      </c>
      <c r="I1751" s="4">
        <v>1</v>
      </c>
      <c r="J1751" s="4">
        <v>75</v>
      </c>
      <c r="K1751" s="4">
        <v>84</v>
      </c>
      <c r="L1751" s="4" t="s">
        <v>15239</v>
      </c>
      <c r="M1751" s="4" t="s">
        <v>15240</v>
      </c>
      <c r="N1751" s="4" t="s">
        <v>15241</v>
      </c>
      <c r="O1751" s="4" t="s">
        <v>63</v>
      </c>
      <c r="P1751" s="4"/>
      <c r="Q1751" s="4" t="s">
        <v>63</v>
      </c>
      <c r="R1751" s="4" t="s">
        <v>63</v>
      </c>
      <c r="S1751" s="4" t="s">
        <v>63</v>
      </c>
      <c r="T1751" s="4" t="s">
        <v>63</v>
      </c>
      <c r="U1751" s="4"/>
      <c r="V1751" s="4"/>
      <c r="W1751" s="4"/>
      <c r="X1751" s="4" t="s">
        <v>63</v>
      </c>
      <c r="Y1751" s="4" t="s">
        <v>15242</v>
      </c>
      <c r="Z1751" s="4" t="s">
        <v>63</v>
      </c>
      <c r="AA1751" s="4" t="s">
        <v>63</v>
      </c>
      <c r="AB1751" s="4" t="s">
        <v>63</v>
      </c>
      <c r="AC1751" s="4" t="s">
        <v>67</v>
      </c>
      <c r="AD1751" s="4" t="s">
        <v>63</v>
      </c>
      <c r="AE1751" s="4" t="s">
        <v>63</v>
      </c>
      <c r="AF1751" s="4" t="s">
        <v>63</v>
      </c>
      <c r="AG1751" s="4" t="s">
        <v>15243</v>
      </c>
      <c r="AH1751" s="4" t="s">
        <v>63</v>
      </c>
      <c r="AI1751" s="4" t="s">
        <v>63</v>
      </c>
      <c r="AJ1751" s="4" t="s">
        <v>63</v>
      </c>
      <c r="AK1751" s="4" t="s">
        <v>63</v>
      </c>
      <c r="AL1751" s="4" t="s">
        <v>63</v>
      </c>
      <c r="AM1751" s="4" t="s">
        <v>15244</v>
      </c>
      <c r="AN1751" s="4" t="s">
        <v>63</v>
      </c>
      <c r="AO1751" s="4" t="s">
        <v>63</v>
      </c>
      <c r="AP1751" s="4" t="s">
        <v>63</v>
      </c>
      <c r="AQ1751" s="4" t="s">
        <v>63</v>
      </c>
      <c r="AR1751" s="4" t="s">
        <v>63</v>
      </c>
      <c r="AS1751" s="4" t="s">
        <v>63</v>
      </c>
      <c r="AT1751" s="4" t="s">
        <v>63</v>
      </c>
      <c r="AU1751" s="4" t="s">
        <v>63</v>
      </c>
      <c r="AV1751" s="4" t="s">
        <v>63</v>
      </c>
      <c r="AW1751" s="4" t="s">
        <v>63</v>
      </c>
      <c r="AX1751" s="4" t="s">
        <v>63</v>
      </c>
      <c r="AY1751" s="4" t="s">
        <v>63</v>
      </c>
      <c r="AZ1751" s="4" t="s">
        <v>63</v>
      </c>
      <c r="BA1751" s="4" t="s">
        <v>63</v>
      </c>
      <c r="BB1751" s="4" t="s">
        <v>63</v>
      </c>
      <c r="BC1751" s="4" t="s">
        <v>63</v>
      </c>
      <c r="BD1751" s="4" t="s">
        <v>63</v>
      </c>
      <c r="BE1751" s="4" t="s">
        <v>63</v>
      </c>
      <c r="BF1751" s="4" t="s">
        <v>63</v>
      </c>
    </row>
    <row r="1752" spans="1:58">
      <c r="A1752" s="4" t="s">
        <v>58</v>
      </c>
      <c r="B1752" s="4" t="s">
        <v>15245</v>
      </c>
      <c r="C1752" s="4" t="s">
        <v>15246</v>
      </c>
      <c r="D1752" s="4" t="s">
        <v>1469</v>
      </c>
      <c r="E1752" s="4" t="s">
        <v>1470</v>
      </c>
      <c r="F1752" s="4">
        <v>2015</v>
      </c>
      <c r="G1752" s="4" t="s">
        <v>189</v>
      </c>
      <c r="H1752" s="4">
        <v>22</v>
      </c>
      <c r="I1752" s="4">
        <v>5</v>
      </c>
      <c r="J1752" s="4" t="s">
        <v>15247</v>
      </c>
      <c r="K1752" s="4" t="s">
        <v>63</v>
      </c>
      <c r="L1752" s="4" t="s">
        <v>15248</v>
      </c>
      <c r="M1752" s="4" t="s">
        <v>15249</v>
      </c>
      <c r="N1752" s="4" t="s">
        <v>15250</v>
      </c>
      <c r="O1752" s="4" t="s">
        <v>63</v>
      </c>
      <c r="P1752" s="4"/>
      <c r="Q1752" s="4" t="s">
        <v>63</v>
      </c>
      <c r="R1752" s="4" t="s">
        <v>63</v>
      </c>
      <c r="S1752" s="4" t="s">
        <v>63</v>
      </c>
      <c r="T1752" s="4" t="s">
        <v>63</v>
      </c>
      <c r="U1752" s="4"/>
      <c r="V1752" s="4"/>
      <c r="W1752" s="4"/>
      <c r="X1752" s="4" t="s">
        <v>63</v>
      </c>
      <c r="Y1752" s="4" t="s">
        <v>1972</v>
      </c>
      <c r="Z1752" s="4" t="s">
        <v>63</v>
      </c>
      <c r="AA1752" s="4" t="s">
        <v>63</v>
      </c>
      <c r="AB1752" s="4" t="s">
        <v>63</v>
      </c>
      <c r="AC1752" s="4" t="s">
        <v>67</v>
      </c>
      <c r="AD1752" s="4" t="s">
        <v>63</v>
      </c>
      <c r="AE1752" s="4" t="s">
        <v>63</v>
      </c>
      <c r="AF1752" s="4" t="s">
        <v>63</v>
      </c>
      <c r="AG1752" s="4" t="s">
        <v>63</v>
      </c>
      <c r="AH1752" s="4" t="s">
        <v>63</v>
      </c>
      <c r="AI1752" s="4" t="s">
        <v>15251</v>
      </c>
      <c r="AJ1752" s="4" t="s">
        <v>63</v>
      </c>
      <c r="AK1752" s="4" t="s">
        <v>63</v>
      </c>
      <c r="AL1752" s="4" t="s">
        <v>63</v>
      </c>
      <c r="AM1752" s="4" t="s">
        <v>15246</v>
      </c>
      <c r="AN1752" s="4" t="s">
        <v>63</v>
      </c>
      <c r="AO1752" s="4" t="s">
        <v>63</v>
      </c>
      <c r="AP1752" s="4" t="s">
        <v>63</v>
      </c>
      <c r="AQ1752" s="4" t="s">
        <v>63</v>
      </c>
      <c r="AR1752" s="4" t="s">
        <v>63</v>
      </c>
      <c r="AS1752" s="4" t="s">
        <v>63</v>
      </c>
      <c r="AT1752" s="4" t="s">
        <v>63</v>
      </c>
      <c r="AU1752" s="4" t="s">
        <v>63</v>
      </c>
      <c r="AV1752" s="4" t="s">
        <v>63</v>
      </c>
      <c r="AW1752" s="4" t="s">
        <v>63</v>
      </c>
      <c r="AX1752" s="4" t="s">
        <v>63</v>
      </c>
      <c r="AY1752" s="4" t="s">
        <v>63</v>
      </c>
      <c r="AZ1752" s="4" t="s">
        <v>63</v>
      </c>
      <c r="BA1752" s="4" t="s">
        <v>63</v>
      </c>
      <c r="BB1752" s="4" t="s">
        <v>63</v>
      </c>
      <c r="BC1752" s="4" t="s">
        <v>63</v>
      </c>
      <c r="BD1752" s="4" t="s">
        <v>63</v>
      </c>
      <c r="BE1752" s="4" t="s">
        <v>63</v>
      </c>
      <c r="BF1752" s="4" t="s">
        <v>63</v>
      </c>
    </row>
    <row r="1753" spans="1:58">
      <c r="A1753" s="4" t="s">
        <v>58</v>
      </c>
      <c r="B1753" s="4" t="s">
        <v>15252</v>
      </c>
      <c r="C1753" s="4" t="s">
        <v>15253</v>
      </c>
      <c r="D1753" s="4" t="s">
        <v>10801</v>
      </c>
      <c r="E1753" s="4" t="s">
        <v>10802</v>
      </c>
      <c r="F1753" s="4">
        <v>2007</v>
      </c>
      <c r="G1753" s="4" t="s">
        <v>15254</v>
      </c>
      <c r="H1753" s="4">
        <v>31</v>
      </c>
      <c r="I1753" s="4">
        <v>12</v>
      </c>
      <c r="J1753" s="4">
        <v>1074</v>
      </c>
      <c r="K1753" s="4">
        <v>1080</v>
      </c>
      <c r="L1753" s="4" t="s">
        <v>15255</v>
      </c>
      <c r="M1753" s="4" t="s">
        <v>15256</v>
      </c>
      <c r="N1753" s="4" t="s">
        <v>15257</v>
      </c>
      <c r="O1753" s="4" t="s">
        <v>63</v>
      </c>
      <c r="P1753" s="4"/>
      <c r="Q1753" s="4" t="s">
        <v>63</v>
      </c>
      <c r="R1753" s="4" t="s">
        <v>63</v>
      </c>
      <c r="S1753" s="4" t="s">
        <v>63</v>
      </c>
      <c r="T1753" s="4" t="s">
        <v>63</v>
      </c>
      <c r="U1753" s="4"/>
      <c r="V1753" s="4"/>
      <c r="W1753" s="4"/>
      <c r="X1753" s="4" t="s">
        <v>63</v>
      </c>
      <c r="Y1753" s="4" t="s">
        <v>10805</v>
      </c>
      <c r="Z1753" s="4" t="s">
        <v>63</v>
      </c>
      <c r="AA1753" s="4" t="s">
        <v>63</v>
      </c>
      <c r="AB1753" s="4">
        <v>2008025473</v>
      </c>
      <c r="AC1753" s="4" t="s">
        <v>67</v>
      </c>
      <c r="AD1753" s="4" t="s">
        <v>63</v>
      </c>
      <c r="AE1753" s="4" t="s">
        <v>63</v>
      </c>
      <c r="AF1753" s="4" t="s">
        <v>63</v>
      </c>
      <c r="AG1753" s="4" t="s">
        <v>15258</v>
      </c>
      <c r="AH1753" s="4" t="s">
        <v>63</v>
      </c>
      <c r="AI1753" s="4" t="s">
        <v>15259</v>
      </c>
      <c r="AJ1753" s="4" t="s">
        <v>63</v>
      </c>
      <c r="AK1753" s="4" t="s">
        <v>63</v>
      </c>
      <c r="AL1753" s="4" t="s">
        <v>63</v>
      </c>
      <c r="AM1753" s="4" t="s">
        <v>15260</v>
      </c>
      <c r="AN1753" s="4" t="s">
        <v>63</v>
      </c>
      <c r="AO1753" s="4" t="s">
        <v>63</v>
      </c>
      <c r="AP1753" s="4" t="s">
        <v>63</v>
      </c>
      <c r="AQ1753" s="4" t="s">
        <v>63</v>
      </c>
      <c r="AR1753" s="4" t="s">
        <v>63</v>
      </c>
      <c r="AS1753" s="4" t="s">
        <v>63</v>
      </c>
      <c r="AT1753" s="4" t="s">
        <v>63</v>
      </c>
      <c r="AU1753" s="4" t="s">
        <v>63</v>
      </c>
      <c r="AV1753" s="4" t="s">
        <v>63</v>
      </c>
      <c r="AW1753" s="4" t="s">
        <v>63</v>
      </c>
      <c r="AX1753" s="4" t="s">
        <v>63</v>
      </c>
      <c r="AY1753" s="4" t="s">
        <v>63</v>
      </c>
      <c r="AZ1753" s="4" t="s">
        <v>63</v>
      </c>
      <c r="BA1753" s="4" t="s">
        <v>63</v>
      </c>
      <c r="BB1753" s="4" t="s">
        <v>63</v>
      </c>
      <c r="BC1753" s="4" t="s">
        <v>63</v>
      </c>
      <c r="BD1753" s="4" t="s">
        <v>63</v>
      </c>
      <c r="BE1753" s="4" t="s">
        <v>63</v>
      </c>
      <c r="BF1753" s="4" t="s">
        <v>63</v>
      </c>
    </row>
    <row r="1754" spans="1:58">
      <c r="A1754" s="4" t="s">
        <v>58</v>
      </c>
      <c r="B1754" s="4" t="s">
        <v>15261</v>
      </c>
      <c r="C1754" s="4" t="s">
        <v>15262</v>
      </c>
      <c r="D1754" s="4" t="s">
        <v>15263</v>
      </c>
      <c r="E1754" s="4" t="s">
        <v>15264</v>
      </c>
      <c r="F1754" s="4">
        <v>2017</v>
      </c>
      <c r="G1754" s="4">
        <v>1</v>
      </c>
      <c r="H1754" s="4">
        <v>171</v>
      </c>
      <c r="I1754" s="4" t="s">
        <v>63</v>
      </c>
      <c r="J1754" s="4" t="s">
        <v>15265</v>
      </c>
      <c r="K1754" s="4" t="s">
        <v>15266</v>
      </c>
      <c r="L1754" s="4" t="s">
        <v>15267</v>
      </c>
      <c r="M1754" s="4" t="s">
        <v>15268</v>
      </c>
      <c r="N1754" s="4" t="s">
        <v>15269</v>
      </c>
      <c r="O1754" s="4" t="s">
        <v>63</v>
      </c>
      <c r="P1754" s="4"/>
      <c r="Q1754" s="4" t="s">
        <v>63</v>
      </c>
      <c r="R1754" s="4" t="s">
        <v>63</v>
      </c>
      <c r="S1754" s="4" t="s">
        <v>63</v>
      </c>
      <c r="T1754" s="4" t="s">
        <v>63</v>
      </c>
      <c r="U1754" s="4"/>
      <c r="V1754" s="4"/>
      <c r="W1754" s="4"/>
      <c r="X1754" s="4" t="s">
        <v>63</v>
      </c>
      <c r="Y1754" s="4" t="s">
        <v>4942</v>
      </c>
      <c r="Z1754" s="4" t="s">
        <v>63</v>
      </c>
      <c r="AA1754" s="4" t="s">
        <v>63</v>
      </c>
      <c r="AB1754" s="4" t="s">
        <v>63</v>
      </c>
      <c r="AC1754" s="4" t="s">
        <v>67</v>
      </c>
      <c r="AD1754" s="4" t="s">
        <v>63</v>
      </c>
      <c r="AE1754" s="4" t="s">
        <v>63</v>
      </c>
      <c r="AF1754" s="4" t="s">
        <v>63</v>
      </c>
      <c r="AG1754" s="4" t="s">
        <v>63</v>
      </c>
      <c r="AH1754" s="4" t="s">
        <v>63</v>
      </c>
      <c r="AI1754" s="4" t="s">
        <v>15270</v>
      </c>
      <c r="AJ1754" s="4" t="s">
        <v>63</v>
      </c>
      <c r="AK1754" s="4" t="s">
        <v>63</v>
      </c>
      <c r="AL1754" s="4" t="s">
        <v>63</v>
      </c>
      <c r="AM1754" s="4" t="s">
        <v>15262</v>
      </c>
      <c r="AN1754" s="4" t="s">
        <v>63</v>
      </c>
      <c r="AO1754" s="4" t="s">
        <v>63</v>
      </c>
      <c r="AP1754" s="4" t="s">
        <v>63</v>
      </c>
      <c r="AQ1754" s="4" t="s">
        <v>63</v>
      </c>
      <c r="AR1754" s="4" t="s">
        <v>63</v>
      </c>
      <c r="AS1754" s="4" t="s">
        <v>63</v>
      </c>
      <c r="AT1754" s="4" t="s">
        <v>63</v>
      </c>
      <c r="AU1754" s="4" t="s">
        <v>63</v>
      </c>
      <c r="AV1754" s="4" t="s">
        <v>63</v>
      </c>
      <c r="AW1754" s="4" t="s">
        <v>63</v>
      </c>
      <c r="AX1754" s="4" t="s">
        <v>63</v>
      </c>
      <c r="AY1754" s="4" t="s">
        <v>63</v>
      </c>
      <c r="AZ1754" s="4" t="s">
        <v>63</v>
      </c>
      <c r="BA1754" s="4" t="s">
        <v>63</v>
      </c>
      <c r="BB1754" s="4" t="s">
        <v>63</v>
      </c>
      <c r="BC1754" s="4" t="s">
        <v>63</v>
      </c>
      <c r="BD1754" s="4" t="s">
        <v>63</v>
      </c>
      <c r="BE1754" s="4" t="s">
        <v>63</v>
      </c>
      <c r="BF1754" s="4" t="s">
        <v>63</v>
      </c>
    </row>
    <row r="1755" spans="1:58">
      <c r="A1755" s="4" t="s">
        <v>58</v>
      </c>
      <c r="B1755" s="4" t="s">
        <v>15271</v>
      </c>
      <c r="C1755" s="4" t="s">
        <v>15272</v>
      </c>
      <c r="D1755" s="4" t="s">
        <v>15273</v>
      </c>
      <c r="E1755" s="4" t="s">
        <v>15274</v>
      </c>
      <c r="F1755" s="4">
        <v>2015</v>
      </c>
      <c r="G1755" s="4" t="s">
        <v>15155</v>
      </c>
      <c r="H1755" s="4" t="s">
        <v>15275</v>
      </c>
      <c r="I1755" s="4" t="s">
        <v>63</v>
      </c>
      <c r="J1755" s="4">
        <v>1025</v>
      </c>
      <c r="K1755" s="4">
        <v>1026</v>
      </c>
      <c r="L1755" s="4" t="s">
        <v>15276</v>
      </c>
      <c r="M1755" s="4" t="s">
        <v>15277</v>
      </c>
      <c r="N1755" s="4" t="s">
        <v>15278</v>
      </c>
      <c r="O1755" s="4" t="s">
        <v>63</v>
      </c>
      <c r="P1755" s="4"/>
      <c r="Q1755" s="4" t="s">
        <v>63</v>
      </c>
      <c r="R1755" s="4" t="s">
        <v>63</v>
      </c>
      <c r="S1755" s="4" t="s">
        <v>63</v>
      </c>
      <c r="T1755" s="4" t="s">
        <v>63</v>
      </c>
      <c r="U1755" s="4"/>
      <c r="V1755" s="4"/>
      <c r="W1755" s="4"/>
      <c r="X1755" s="4" t="s">
        <v>63</v>
      </c>
      <c r="Y1755" s="5">
        <v>23070</v>
      </c>
      <c r="Z1755" s="4" t="s">
        <v>63</v>
      </c>
      <c r="AA1755" s="4" t="s">
        <v>63</v>
      </c>
      <c r="AB1755" s="4" t="s">
        <v>63</v>
      </c>
      <c r="AC1755" s="4" t="s">
        <v>67</v>
      </c>
      <c r="AD1755" s="4" t="s">
        <v>63</v>
      </c>
      <c r="AE1755" s="4" t="s">
        <v>63</v>
      </c>
      <c r="AF1755" s="4" t="s">
        <v>63</v>
      </c>
      <c r="AG1755" s="4" t="s">
        <v>63</v>
      </c>
      <c r="AH1755" s="4" t="s">
        <v>63</v>
      </c>
      <c r="AI1755" s="4" t="s">
        <v>15279</v>
      </c>
      <c r="AJ1755" s="4" t="s">
        <v>63</v>
      </c>
      <c r="AK1755" s="4" t="s">
        <v>63</v>
      </c>
      <c r="AL1755" s="4" t="s">
        <v>63</v>
      </c>
      <c r="AM1755" s="4" t="s">
        <v>15272</v>
      </c>
      <c r="AN1755" s="4" t="s">
        <v>63</v>
      </c>
      <c r="AO1755" s="4" t="s">
        <v>63</v>
      </c>
      <c r="AP1755" s="4" t="s">
        <v>63</v>
      </c>
      <c r="AQ1755" s="4" t="s">
        <v>63</v>
      </c>
      <c r="AR1755" s="4" t="s">
        <v>63</v>
      </c>
      <c r="AS1755" s="4" t="s">
        <v>63</v>
      </c>
      <c r="AT1755" s="4" t="s">
        <v>63</v>
      </c>
      <c r="AU1755" s="4" t="s">
        <v>63</v>
      </c>
      <c r="AV1755" s="4" t="s">
        <v>63</v>
      </c>
      <c r="AW1755" s="4" t="s">
        <v>63</v>
      </c>
      <c r="AX1755" s="4" t="s">
        <v>63</v>
      </c>
      <c r="AY1755" s="4" t="s">
        <v>63</v>
      </c>
      <c r="AZ1755" s="4" t="s">
        <v>63</v>
      </c>
      <c r="BA1755" s="4" t="s">
        <v>63</v>
      </c>
      <c r="BB1755" s="4" t="s">
        <v>63</v>
      </c>
      <c r="BC1755" s="4" t="s">
        <v>63</v>
      </c>
      <c r="BD1755" s="4" t="s">
        <v>63</v>
      </c>
      <c r="BE1755" s="4" t="s">
        <v>63</v>
      </c>
      <c r="BF1755" s="4" t="s">
        <v>63</v>
      </c>
    </row>
    <row r="1756" spans="1:58">
      <c r="A1756" s="4" t="s">
        <v>58</v>
      </c>
      <c r="B1756" s="4" t="s">
        <v>15280</v>
      </c>
      <c r="C1756" s="4" t="s">
        <v>15281</v>
      </c>
      <c r="D1756" s="4" t="s">
        <v>15282</v>
      </c>
      <c r="E1756" s="4" t="s">
        <v>63</v>
      </c>
      <c r="F1756" s="4">
        <v>2006</v>
      </c>
      <c r="G1756" s="4" t="s">
        <v>326</v>
      </c>
      <c r="H1756" s="4">
        <v>3</v>
      </c>
      <c r="I1756" s="4">
        <v>1</v>
      </c>
      <c r="J1756" s="4">
        <v>39</v>
      </c>
      <c r="K1756" s="4">
        <v>45</v>
      </c>
      <c r="L1756" s="4" t="s">
        <v>15283</v>
      </c>
      <c r="M1756" s="4" t="s">
        <v>15284</v>
      </c>
      <c r="N1756" s="4" t="s">
        <v>15285</v>
      </c>
      <c r="O1756" s="4" t="s">
        <v>63</v>
      </c>
      <c r="P1756" s="4"/>
      <c r="Q1756" s="4" t="s">
        <v>63</v>
      </c>
      <c r="R1756" s="4" t="s">
        <v>63</v>
      </c>
      <c r="S1756" s="4" t="s">
        <v>63</v>
      </c>
      <c r="T1756" s="4" t="s">
        <v>63</v>
      </c>
      <c r="U1756" s="4"/>
      <c r="V1756" s="4"/>
      <c r="W1756" s="4"/>
      <c r="X1756" s="4" t="s">
        <v>63</v>
      </c>
      <c r="Y1756" s="4" t="s">
        <v>15286</v>
      </c>
      <c r="Z1756" s="4" t="s">
        <v>63</v>
      </c>
      <c r="AA1756" s="4" t="s">
        <v>63</v>
      </c>
      <c r="AB1756" s="4" t="s">
        <v>15287</v>
      </c>
      <c r="AC1756" s="4" t="s">
        <v>67</v>
      </c>
      <c r="AD1756" s="4" t="s">
        <v>63</v>
      </c>
      <c r="AE1756" s="4" t="s">
        <v>63</v>
      </c>
      <c r="AF1756" s="4" t="s">
        <v>63</v>
      </c>
      <c r="AG1756" s="4" t="s">
        <v>63</v>
      </c>
      <c r="AH1756" s="4" t="s">
        <v>63</v>
      </c>
      <c r="AI1756" s="4" t="s">
        <v>63</v>
      </c>
      <c r="AJ1756" s="4" t="s">
        <v>63</v>
      </c>
      <c r="AK1756" s="4" t="s">
        <v>63</v>
      </c>
      <c r="AL1756" s="4" t="s">
        <v>63</v>
      </c>
      <c r="AM1756" s="4" t="s">
        <v>15281</v>
      </c>
      <c r="AN1756" s="4" t="s">
        <v>63</v>
      </c>
      <c r="AO1756" s="4" t="s">
        <v>63</v>
      </c>
      <c r="AP1756" s="4" t="s">
        <v>63</v>
      </c>
      <c r="AQ1756" s="4" t="s">
        <v>63</v>
      </c>
      <c r="AR1756" s="4" t="s">
        <v>63</v>
      </c>
      <c r="AS1756" s="4" t="s">
        <v>63</v>
      </c>
      <c r="AT1756" s="4" t="s">
        <v>63</v>
      </c>
      <c r="AU1756" s="4" t="s">
        <v>63</v>
      </c>
      <c r="AV1756" s="4" t="s">
        <v>63</v>
      </c>
      <c r="AW1756" s="4" t="s">
        <v>63</v>
      </c>
      <c r="AX1756" s="4" t="s">
        <v>63</v>
      </c>
      <c r="AY1756" s="4" t="s">
        <v>63</v>
      </c>
      <c r="AZ1756" s="4" t="s">
        <v>63</v>
      </c>
      <c r="BA1756" s="4" t="s">
        <v>63</v>
      </c>
      <c r="BB1756" s="4" t="s">
        <v>63</v>
      </c>
      <c r="BC1756" s="4" t="s">
        <v>63</v>
      </c>
      <c r="BD1756" s="4" t="s">
        <v>63</v>
      </c>
      <c r="BE1756" s="4" t="s">
        <v>63</v>
      </c>
      <c r="BF1756" s="4" t="s">
        <v>63</v>
      </c>
    </row>
    <row r="1757" spans="1:58">
      <c r="A1757" s="4" t="s">
        <v>58</v>
      </c>
      <c r="B1757" s="4" t="s">
        <v>15288</v>
      </c>
      <c r="C1757" s="4" t="s">
        <v>15289</v>
      </c>
      <c r="D1757" s="4" t="s">
        <v>15290</v>
      </c>
      <c r="E1757" s="4" t="s">
        <v>63</v>
      </c>
      <c r="F1757" s="4">
        <v>2006</v>
      </c>
      <c r="G1757" s="4" t="s">
        <v>84</v>
      </c>
      <c r="H1757" s="4">
        <v>30</v>
      </c>
      <c r="I1757" s="4">
        <v>4</v>
      </c>
      <c r="J1757" s="4">
        <v>140</v>
      </c>
      <c r="K1757" s="4">
        <v>142</v>
      </c>
      <c r="L1757" s="4" t="s">
        <v>15291</v>
      </c>
      <c r="M1757" s="4" t="s">
        <v>15292</v>
      </c>
      <c r="N1757" s="4" t="s">
        <v>15293</v>
      </c>
      <c r="O1757" s="4" t="s">
        <v>63</v>
      </c>
      <c r="P1757" s="4"/>
      <c r="Q1757" s="4" t="s">
        <v>63</v>
      </c>
      <c r="R1757" s="4" t="s">
        <v>63</v>
      </c>
      <c r="S1757" s="4" t="s">
        <v>63</v>
      </c>
      <c r="T1757" s="4" t="s">
        <v>63</v>
      </c>
      <c r="U1757" s="4"/>
      <c r="V1757" s="4"/>
      <c r="W1757" s="4"/>
      <c r="X1757" s="4" t="s">
        <v>63</v>
      </c>
      <c r="Y1757" s="4" t="s">
        <v>15294</v>
      </c>
      <c r="Z1757" s="4" t="s">
        <v>63</v>
      </c>
      <c r="AA1757" s="4" t="s">
        <v>63</v>
      </c>
      <c r="AB1757" s="4" t="s">
        <v>15295</v>
      </c>
      <c r="AC1757" s="4" t="s">
        <v>67</v>
      </c>
      <c r="AD1757" s="4" t="s">
        <v>63</v>
      </c>
      <c r="AE1757" s="4" t="s">
        <v>63</v>
      </c>
      <c r="AF1757" s="4" t="s">
        <v>63</v>
      </c>
      <c r="AG1757" s="4" t="s">
        <v>63</v>
      </c>
      <c r="AH1757" s="4" t="s">
        <v>63</v>
      </c>
      <c r="AI1757" s="4" t="s">
        <v>63</v>
      </c>
      <c r="AJ1757" s="4" t="s">
        <v>63</v>
      </c>
      <c r="AK1757" s="4" t="s">
        <v>63</v>
      </c>
      <c r="AL1757" s="4" t="s">
        <v>63</v>
      </c>
      <c r="AM1757" s="4" t="s">
        <v>15289</v>
      </c>
      <c r="AN1757" s="4" t="s">
        <v>63</v>
      </c>
      <c r="AO1757" s="4" t="s">
        <v>63</v>
      </c>
      <c r="AP1757" s="4" t="s">
        <v>63</v>
      </c>
      <c r="AQ1757" s="4" t="s">
        <v>63</v>
      </c>
      <c r="AR1757" s="4" t="s">
        <v>63</v>
      </c>
      <c r="AS1757" s="4" t="s">
        <v>63</v>
      </c>
      <c r="AT1757" s="4" t="s">
        <v>63</v>
      </c>
      <c r="AU1757" s="4" t="s">
        <v>63</v>
      </c>
      <c r="AV1757" s="4" t="s">
        <v>63</v>
      </c>
      <c r="AW1757" s="4" t="s">
        <v>63</v>
      </c>
      <c r="AX1757" s="4" t="s">
        <v>63</v>
      </c>
      <c r="AY1757" s="4" t="s">
        <v>63</v>
      </c>
      <c r="AZ1757" s="4" t="s">
        <v>63</v>
      </c>
      <c r="BA1757" s="4" t="s">
        <v>63</v>
      </c>
      <c r="BB1757" s="4" t="s">
        <v>63</v>
      </c>
      <c r="BC1757" s="4" t="s">
        <v>63</v>
      </c>
      <c r="BD1757" s="4" t="s">
        <v>63</v>
      </c>
      <c r="BE1757" s="4" t="s">
        <v>63</v>
      </c>
      <c r="BF1757" s="4" t="s">
        <v>63</v>
      </c>
    </row>
    <row r="1758" spans="1:58">
      <c r="A1758" s="4" t="s">
        <v>58</v>
      </c>
      <c r="B1758" s="4" t="s">
        <v>15296</v>
      </c>
      <c r="C1758" s="4" t="s">
        <v>15297</v>
      </c>
      <c r="D1758" s="4" t="s">
        <v>15298</v>
      </c>
      <c r="E1758" s="4" t="s">
        <v>15299</v>
      </c>
      <c r="F1758" s="4">
        <v>2010</v>
      </c>
      <c r="G1758" s="4" t="s">
        <v>15300</v>
      </c>
      <c r="H1758" s="4">
        <v>85</v>
      </c>
      <c r="I1758" s="4">
        <v>8</v>
      </c>
      <c r="J1758" s="4" t="s">
        <v>15301</v>
      </c>
      <c r="K1758" s="4" t="s">
        <v>63</v>
      </c>
      <c r="L1758" s="4" t="s">
        <v>15302</v>
      </c>
      <c r="M1758" s="4" t="s">
        <v>15303</v>
      </c>
      <c r="N1758" s="4" t="s">
        <v>15304</v>
      </c>
      <c r="O1758" s="4" t="s">
        <v>63</v>
      </c>
      <c r="P1758" s="4"/>
      <c r="Q1758" s="4" t="s">
        <v>63</v>
      </c>
      <c r="R1758" s="4" t="s">
        <v>63</v>
      </c>
      <c r="S1758" s="4" t="s">
        <v>63</v>
      </c>
      <c r="T1758" s="4" t="s">
        <v>63</v>
      </c>
      <c r="U1758" s="4"/>
      <c r="V1758" s="4"/>
      <c r="W1758" s="4"/>
      <c r="X1758" s="4" t="s">
        <v>63</v>
      </c>
      <c r="Y1758" s="4" t="s">
        <v>15305</v>
      </c>
      <c r="Z1758" s="4" t="s">
        <v>63</v>
      </c>
      <c r="AA1758" s="4" t="s">
        <v>63</v>
      </c>
      <c r="AB1758" s="4" t="s">
        <v>63</v>
      </c>
      <c r="AC1758" s="4" t="s">
        <v>67</v>
      </c>
      <c r="AD1758" s="4" t="s">
        <v>63</v>
      </c>
      <c r="AE1758" s="4" t="s">
        <v>63</v>
      </c>
      <c r="AF1758" s="4" t="s">
        <v>63</v>
      </c>
      <c r="AG1758" s="4" t="s">
        <v>63</v>
      </c>
      <c r="AH1758" s="4" t="s">
        <v>63</v>
      </c>
      <c r="AI1758" s="4" t="s">
        <v>15306</v>
      </c>
      <c r="AJ1758" s="4" t="s">
        <v>63</v>
      </c>
      <c r="AK1758" s="4" t="s">
        <v>63</v>
      </c>
      <c r="AL1758" s="4" t="s">
        <v>63</v>
      </c>
      <c r="AM1758" s="4" t="s">
        <v>15297</v>
      </c>
      <c r="AN1758" s="4" t="s">
        <v>63</v>
      </c>
      <c r="AO1758" s="4" t="s">
        <v>63</v>
      </c>
      <c r="AP1758" s="4" t="s">
        <v>63</v>
      </c>
      <c r="AQ1758" s="4" t="s">
        <v>63</v>
      </c>
      <c r="AR1758" s="4" t="s">
        <v>63</v>
      </c>
      <c r="AS1758" s="4" t="s">
        <v>63</v>
      </c>
      <c r="AT1758" s="4" t="s">
        <v>63</v>
      </c>
      <c r="AU1758" s="4" t="s">
        <v>63</v>
      </c>
      <c r="AV1758" s="4" t="s">
        <v>63</v>
      </c>
      <c r="AW1758" s="4" t="s">
        <v>63</v>
      </c>
      <c r="AX1758" s="4" t="s">
        <v>63</v>
      </c>
      <c r="AY1758" s="4" t="s">
        <v>63</v>
      </c>
      <c r="AZ1758" s="4" t="s">
        <v>63</v>
      </c>
      <c r="BA1758" s="4" t="s">
        <v>63</v>
      </c>
      <c r="BB1758" s="4" t="s">
        <v>63</v>
      </c>
      <c r="BC1758" s="4" t="s">
        <v>63</v>
      </c>
      <c r="BD1758" s="4" t="s">
        <v>63</v>
      </c>
      <c r="BE1758" s="4" t="s">
        <v>63</v>
      </c>
      <c r="BF1758" s="4" t="s">
        <v>63</v>
      </c>
    </row>
    <row r="1759" spans="1:58">
      <c r="A1759" s="4" t="s">
        <v>58</v>
      </c>
      <c r="B1759" s="4" t="s">
        <v>15307</v>
      </c>
      <c r="C1759" s="4" t="s">
        <v>15308</v>
      </c>
      <c r="D1759" s="4" t="s">
        <v>15309</v>
      </c>
      <c r="E1759" s="4" t="s">
        <v>63</v>
      </c>
      <c r="F1759" s="4">
        <v>2011</v>
      </c>
      <c r="G1759" s="4" t="s">
        <v>15310</v>
      </c>
      <c r="H1759" s="4">
        <v>12</v>
      </c>
      <c r="I1759" s="4">
        <v>1</v>
      </c>
      <c r="J1759" s="4">
        <v>104</v>
      </c>
      <c r="K1759" s="4" t="s">
        <v>63</v>
      </c>
      <c r="L1759" s="4" t="s">
        <v>15311</v>
      </c>
      <c r="M1759" s="4" t="s">
        <v>15312</v>
      </c>
      <c r="N1759" s="4" t="s">
        <v>15313</v>
      </c>
      <c r="O1759" s="4" t="s">
        <v>63</v>
      </c>
      <c r="P1759" s="4"/>
      <c r="Q1759" s="4" t="s">
        <v>63</v>
      </c>
      <c r="R1759" s="4" t="s">
        <v>63</v>
      </c>
      <c r="S1759" s="4" t="s">
        <v>63</v>
      </c>
      <c r="T1759" s="4" t="s">
        <v>63</v>
      </c>
      <c r="U1759" s="4"/>
      <c r="V1759" s="4"/>
      <c r="W1759" s="4"/>
      <c r="X1759" s="4" t="s">
        <v>63</v>
      </c>
      <c r="Y1759" s="4" t="s">
        <v>15314</v>
      </c>
      <c r="Z1759" s="4" t="s">
        <v>63</v>
      </c>
      <c r="AA1759" s="4" t="s">
        <v>63</v>
      </c>
      <c r="AB1759" s="4" t="s">
        <v>63</v>
      </c>
      <c r="AC1759" s="4" t="s">
        <v>67</v>
      </c>
      <c r="AD1759" s="4" t="s">
        <v>63</v>
      </c>
      <c r="AE1759" s="4" t="s">
        <v>63</v>
      </c>
      <c r="AF1759" s="4" t="s">
        <v>63</v>
      </c>
      <c r="AG1759" s="4" t="s">
        <v>63</v>
      </c>
      <c r="AH1759" s="4" t="s">
        <v>63</v>
      </c>
      <c r="AI1759" s="4" t="s">
        <v>15315</v>
      </c>
      <c r="AJ1759" s="4" t="s">
        <v>63</v>
      </c>
      <c r="AK1759" s="4" t="s">
        <v>63</v>
      </c>
      <c r="AL1759" s="4" t="s">
        <v>63</v>
      </c>
      <c r="AM1759" s="4" t="s">
        <v>15308</v>
      </c>
      <c r="AN1759" s="4" t="s">
        <v>63</v>
      </c>
      <c r="AO1759" s="4" t="s">
        <v>63</v>
      </c>
      <c r="AP1759" s="4" t="s">
        <v>63</v>
      </c>
      <c r="AQ1759" s="4" t="s">
        <v>63</v>
      </c>
      <c r="AR1759" s="4" t="s">
        <v>63</v>
      </c>
      <c r="AS1759" s="4" t="s">
        <v>63</v>
      </c>
      <c r="AT1759" s="4" t="s">
        <v>63</v>
      </c>
      <c r="AU1759" s="4" t="s">
        <v>63</v>
      </c>
      <c r="AV1759" s="4" t="s">
        <v>63</v>
      </c>
      <c r="AW1759" s="4" t="s">
        <v>63</v>
      </c>
      <c r="AX1759" s="4" t="s">
        <v>63</v>
      </c>
      <c r="AY1759" s="4" t="s">
        <v>63</v>
      </c>
      <c r="AZ1759" s="4" t="s">
        <v>63</v>
      </c>
      <c r="BA1759" s="4" t="s">
        <v>63</v>
      </c>
      <c r="BB1759" s="4" t="s">
        <v>63</v>
      </c>
      <c r="BC1759" s="4" t="s">
        <v>63</v>
      </c>
      <c r="BD1759" s="4" t="s">
        <v>63</v>
      </c>
      <c r="BE1759" s="4" t="s">
        <v>63</v>
      </c>
      <c r="BF1759" s="4" t="s">
        <v>63</v>
      </c>
    </row>
    <row r="1760" spans="1:58">
      <c r="A1760" s="4" t="s">
        <v>58</v>
      </c>
      <c r="B1760" s="4" t="s">
        <v>15316</v>
      </c>
      <c r="C1760" s="4" t="s">
        <v>15317</v>
      </c>
      <c r="D1760" s="4" t="s">
        <v>6854</v>
      </c>
      <c r="E1760" s="4" t="s">
        <v>63</v>
      </c>
      <c r="F1760" s="4">
        <v>2015</v>
      </c>
      <c r="G1760" s="4" t="s">
        <v>63</v>
      </c>
      <c r="H1760" s="4" t="s">
        <v>15318</v>
      </c>
      <c r="I1760" s="4" t="s">
        <v>63</v>
      </c>
      <c r="J1760" s="4" t="s">
        <v>63</v>
      </c>
      <c r="K1760" s="4" t="s">
        <v>63</v>
      </c>
      <c r="L1760" s="4" t="s">
        <v>15319</v>
      </c>
      <c r="M1760" s="4" t="s">
        <v>15320</v>
      </c>
      <c r="N1760" s="4" t="s">
        <v>15321</v>
      </c>
      <c r="O1760" s="4" t="s">
        <v>63</v>
      </c>
      <c r="P1760" s="4"/>
      <c r="Q1760" s="4" t="s">
        <v>63</v>
      </c>
      <c r="R1760" s="4" t="s">
        <v>63</v>
      </c>
      <c r="S1760" s="4" t="s">
        <v>63</v>
      </c>
      <c r="T1760" s="4" t="s">
        <v>63</v>
      </c>
      <c r="U1760" s="4"/>
      <c r="V1760" s="4"/>
      <c r="W1760" s="4"/>
      <c r="X1760" s="4" t="s">
        <v>63</v>
      </c>
      <c r="Y1760" s="4" t="s">
        <v>15322</v>
      </c>
      <c r="Z1760" s="4" t="s">
        <v>63</v>
      </c>
      <c r="AA1760" s="4" t="s">
        <v>63</v>
      </c>
      <c r="AB1760" s="4" t="s">
        <v>63</v>
      </c>
      <c r="AC1760" s="4" t="s">
        <v>67</v>
      </c>
      <c r="AD1760" s="4" t="s">
        <v>63</v>
      </c>
      <c r="AE1760" s="4" t="s">
        <v>63</v>
      </c>
      <c r="AF1760" s="4" t="s">
        <v>63</v>
      </c>
      <c r="AG1760" s="4" t="s">
        <v>63</v>
      </c>
      <c r="AH1760" s="4" t="s">
        <v>63</v>
      </c>
      <c r="AI1760" s="4" t="s">
        <v>15323</v>
      </c>
      <c r="AJ1760" s="4" t="s">
        <v>63</v>
      </c>
      <c r="AK1760" s="4" t="s">
        <v>63</v>
      </c>
      <c r="AL1760" s="4" t="s">
        <v>63</v>
      </c>
      <c r="AM1760" s="4" t="s">
        <v>15317</v>
      </c>
      <c r="AN1760" s="4" t="s">
        <v>63</v>
      </c>
      <c r="AO1760" s="4" t="s">
        <v>63</v>
      </c>
      <c r="AP1760" s="4" t="s">
        <v>63</v>
      </c>
      <c r="AQ1760" s="4" t="s">
        <v>63</v>
      </c>
      <c r="AR1760" s="4" t="s">
        <v>63</v>
      </c>
      <c r="AS1760" s="4" t="s">
        <v>63</v>
      </c>
      <c r="AT1760" s="4" t="s">
        <v>63</v>
      </c>
      <c r="AU1760" s="4" t="s">
        <v>63</v>
      </c>
      <c r="AV1760" s="4" t="s">
        <v>63</v>
      </c>
      <c r="AW1760" s="4" t="s">
        <v>63</v>
      </c>
      <c r="AX1760" s="4" t="s">
        <v>63</v>
      </c>
      <c r="AY1760" s="4" t="s">
        <v>63</v>
      </c>
      <c r="AZ1760" s="4" t="s">
        <v>63</v>
      </c>
      <c r="BA1760" s="4" t="s">
        <v>63</v>
      </c>
      <c r="BB1760" s="4" t="s">
        <v>63</v>
      </c>
      <c r="BC1760" s="4" t="s">
        <v>63</v>
      </c>
      <c r="BD1760" s="4" t="s">
        <v>63</v>
      </c>
      <c r="BE1760" s="4" t="s">
        <v>63</v>
      </c>
      <c r="BF1760" s="4" t="s">
        <v>63</v>
      </c>
    </row>
    <row r="1761" spans="1:58">
      <c r="A1761" s="4" t="s">
        <v>58</v>
      </c>
      <c r="B1761" s="4" t="s">
        <v>15324</v>
      </c>
      <c r="C1761" s="4" t="s">
        <v>15325</v>
      </c>
      <c r="D1761" s="4" t="s">
        <v>371</v>
      </c>
      <c r="E1761" s="4" t="s">
        <v>63</v>
      </c>
      <c r="F1761" s="4">
        <v>2017</v>
      </c>
      <c r="G1761" s="4">
        <v>1</v>
      </c>
      <c r="H1761" s="4">
        <v>32</v>
      </c>
      <c r="I1761" s="4">
        <v>2</v>
      </c>
      <c r="J1761" s="4" t="s">
        <v>15326</v>
      </c>
      <c r="K1761" s="4" t="s">
        <v>63</v>
      </c>
      <c r="L1761" s="4" t="s">
        <v>15327</v>
      </c>
      <c r="M1761" s="4" t="s">
        <v>15328</v>
      </c>
      <c r="N1761" s="4" t="s">
        <v>15329</v>
      </c>
      <c r="O1761" s="4" t="s">
        <v>63</v>
      </c>
      <c r="P1761" s="4"/>
      <c r="Q1761" s="4" t="s">
        <v>63</v>
      </c>
      <c r="R1761" s="4" t="s">
        <v>63</v>
      </c>
      <c r="S1761" s="4" t="s">
        <v>63</v>
      </c>
      <c r="T1761" s="4" t="s">
        <v>63</v>
      </c>
      <c r="U1761" s="4"/>
      <c r="V1761" s="4"/>
      <c r="W1761" s="4"/>
      <c r="X1761" s="4" t="s">
        <v>63</v>
      </c>
      <c r="Y1761" s="4" t="s">
        <v>375</v>
      </c>
      <c r="Z1761" s="4" t="s">
        <v>63</v>
      </c>
      <c r="AA1761" s="4" t="s">
        <v>63</v>
      </c>
      <c r="AB1761" s="4" t="s">
        <v>63</v>
      </c>
      <c r="AC1761" s="4" t="s">
        <v>67</v>
      </c>
      <c r="AD1761" s="4" t="s">
        <v>63</v>
      </c>
      <c r="AE1761" s="4" t="s">
        <v>63</v>
      </c>
      <c r="AF1761" s="4" t="s">
        <v>63</v>
      </c>
      <c r="AG1761" s="4" t="s">
        <v>63</v>
      </c>
      <c r="AH1761" s="4" t="s">
        <v>63</v>
      </c>
      <c r="AI1761" s="4" t="s">
        <v>63</v>
      </c>
      <c r="AJ1761" s="4" t="s">
        <v>63</v>
      </c>
      <c r="AK1761" s="4" t="s">
        <v>63</v>
      </c>
      <c r="AL1761" s="4" t="s">
        <v>63</v>
      </c>
      <c r="AM1761" s="4" t="s">
        <v>15325</v>
      </c>
      <c r="AN1761" s="4" t="s">
        <v>63</v>
      </c>
      <c r="AO1761" s="4" t="s">
        <v>63</v>
      </c>
      <c r="AP1761" s="4" t="s">
        <v>63</v>
      </c>
      <c r="AQ1761" s="4" t="s">
        <v>63</v>
      </c>
      <c r="AR1761" s="4" t="s">
        <v>63</v>
      </c>
      <c r="AS1761" s="4" t="s">
        <v>63</v>
      </c>
      <c r="AT1761" s="4" t="s">
        <v>63</v>
      </c>
      <c r="AU1761" s="4" t="s">
        <v>63</v>
      </c>
      <c r="AV1761" s="4" t="s">
        <v>63</v>
      </c>
      <c r="AW1761" s="4" t="s">
        <v>63</v>
      </c>
      <c r="AX1761" s="4" t="s">
        <v>63</v>
      </c>
      <c r="AY1761" s="4" t="s">
        <v>63</v>
      </c>
      <c r="AZ1761" s="4" t="s">
        <v>63</v>
      </c>
      <c r="BA1761" s="4" t="s">
        <v>63</v>
      </c>
      <c r="BB1761" s="4" t="s">
        <v>63</v>
      </c>
      <c r="BC1761" s="4" t="s">
        <v>63</v>
      </c>
      <c r="BD1761" s="4" t="s">
        <v>63</v>
      </c>
      <c r="BE1761" s="4" t="s">
        <v>63</v>
      </c>
      <c r="BF1761" s="4" t="s">
        <v>63</v>
      </c>
    </row>
    <row r="1762" spans="1:58">
      <c r="A1762" s="4" t="s">
        <v>58</v>
      </c>
      <c r="B1762" s="4" t="s">
        <v>15330</v>
      </c>
      <c r="C1762" s="4" t="s">
        <v>15331</v>
      </c>
      <c r="D1762" s="4" t="s">
        <v>14781</v>
      </c>
      <c r="E1762" s="4" t="s">
        <v>63</v>
      </c>
      <c r="F1762" s="4">
        <v>2013</v>
      </c>
      <c r="G1762" s="4" t="s">
        <v>15155</v>
      </c>
      <c r="H1762" s="4" t="s">
        <v>15192</v>
      </c>
      <c r="I1762" s="4" t="s">
        <v>63</v>
      </c>
      <c r="J1762" s="4" t="s">
        <v>15332</v>
      </c>
      <c r="K1762" s="4" t="s">
        <v>63</v>
      </c>
      <c r="L1762" s="4" t="s">
        <v>15333</v>
      </c>
      <c r="M1762" s="4" t="s">
        <v>15334</v>
      </c>
      <c r="N1762" s="4" t="s">
        <v>15335</v>
      </c>
      <c r="O1762" s="4" t="s">
        <v>63</v>
      </c>
      <c r="P1762" s="4"/>
      <c r="Q1762" s="4" t="s">
        <v>63</v>
      </c>
      <c r="R1762" s="4" t="s">
        <v>63</v>
      </c>
      <c r="S1762" s="4" t="s">
        <v>63</v>
      </c>
      <c r="T1762" s="4" t="s">
        <v>63</v>
      </c>
      <c r="U1762" s="4"/>
      <c r="V1762" s="4"/>
      <c r="W1762" s="4"/>
      <c r="X1762" s="4" t="s">
        <v>63</v>
      </c>
      <c r="Y1762" s="4" t="s">
        <v>15336</v>
      </c>
      <c r="Z1762" s="4" t="s">
        <v>63</v>
      </c>
      <c r="AA1762" s="4" t="s">
        <v>63</v>
      </c>
      <c r="AB1762" s="4" t="s">
        <v>63</v>
      </c>
      <c r="AC1762" s="4" t="s">
        <v>67</v>
      </c>
      <c r="AD1762" s="4" t="s">
        <v>63</v>
      </c>
      <c r="AE1762" s="4" t="s">
        <v>63</v>
      </c>
      <c r="AF1762" s="4" t="s">
        <v>63</v>
      </c>
      <c r="AG1762" s="4" t="s">
        <v>63</v>
      </c>
      <c r="AH1762" s="4" t="s">
        <v>63</v>
      </c>
      <c r="AI1762" s="4" t="s">
        <v>15337</v>
      </c>
      <c r="AJ1762" s="4" t="s">
        <v>63</v>
      </c>
      <c r="AK1762" s="4" t="s">
        <v>63</v>
      </c>
      <c r="AL1762" s="4" t="s">
        <v>63</v>
      </c>
      <c r="AM1762" s="4" t="s">
        <v>15331</v>
      </c>
      <c r="AN1762" s="4" t="s">
        <v>63</v>
      </c>
      <c r="AO1762" s="4" t="s">
        <v>63</v>
      </c>
      <c r="AP1762" s="4" t="s">
        <v>63</v>
      </c>
      <c r="AQ1762" s="4" t="s">
        <v>63</v>
      </c>
      <c r="AR1762" s="4" t="s">
        <v>63</v>
      </c>
      <c r="AS1762" s="4" t="s">
        <v>63</v>
      </c>
      <c r="AT1762" s="4" t="s">
        <v>63</v>
      </c>
      <c r="AU1762" s="4" t="s">
        <v>63</v>
      </c>
      <c r="AV1762" s="4" t="s">
        <v>63</v>
      </c>
      <c r="AW1762" s="4" t="s">
        <v>63</v>
      </c>
      <c r="AX1762" s="4" t="s">
        <v>63</v>
      </c>
      <c r="AY1762" s="4" t="s">
        <v>63</v>
      </c>
      <c r="AZ1762" s="4" t="s">
        <v>63</v>
      </c>
      <c r="BA1762" s="4" t="s">
        <v>63</v>
      </c>
      <c r="BB1762" s="4" t="s">
        <v>63</v>
      </c>
      <c r="BC1762" s="4" t="s">
        <v>63</v>
      </c>
      <c r="BD1762" s="4" t="s">
        <v>63</v>
      </c>
      <c r="BE1762" s="4" t="s">
        <v>63</v>
      </c>
      <c r="BF1762" s="4" t="s">
        <v>63</v>
      </c>
    </row>
    <row r="1763" spans="1:58">
      <c r="A1763" s="4" t="s">
        <v>58</v>
      </c>
      <c r="B1763" s="4" t="s">
        <v>15338</v>
      </c>
      <c r="C1763" s="4" t="s">
        <v>15339</v>
      </c>
      <c r="D1763" s="4" t="s">
        <v>15263</v>
      </c>
      <c r="E1763" s="4" t="s">
        <v>15264</v>
      </c>
      <c r="F1763" s="4">
        <v>2015</v>
      </c>
      <c r="G1763" s="4">
        <v>1</v>
      </c>
      <c r="H1763" s="4">
        <v>146</v>
      </c>
      <c r="I1763" s="4" t="s">
        <v>63</v>
      </c>
      <c r="J1763" s="4" t="s">
        <v>15340</v>
      </c>
      <c r="K1763" s="4" t="s">
        <v>63</v>
      </c>
      <c r="L1763" s="4" t="s">
        <v>15341</v>
      </c>
      <c r="M1763" s="4" t="s">
        <v>15342</v>
      </c>
      <c r="N1763" s="4" t="s">
        <v>15343</v>
      </c>
      <c r="O1763" s="4" t="s">
        <v>63</v>
      </c>
      <c r="P1763" s="4"/>
      <c r="Q1763" s="4" t="s">
        <v>63</v>
      </c>
      <c r="R1763" s="4" t="s">
        <v>63</v>
      </c>
      <c r="S1763" s="4" t="s">
        <v>63</v>
      </c>
      <c r="T1763" s="4" t="s">
        <v>63</v>
      </c>
      <c r="U1763" s="4"/>
      <c r="V1763" s="4"/>
      <c r="W1763" s="4"/>
      <c r="X1763" s="4" t="s">
        <v>63</v>
      </c>
      <c r="Y1763" s="4" t="s">
        <v>4942</v>
      </c>
      <c r="Z1763" s="4" t="s">
        <v>63</v>
      </c>
      <c r="AA1763" s="4" t="s">
        <v>63</v>
      </c>
      <c r="AB1763" s="4" t="s">
        <v>63</v>
      </c>
      <c r="AC1763" s="4" t="s">
        <v>67</v>
      </c>
      <c r="AD1763" s="4" t="s">
        <v>63</v>
      </c>
      <c r="AE1763" s="4" t="s">
        <v>63</v>
      </c>
      <c r="AF1763" s="4" t="s">
        <v>63</v>
      </c>
      <c r="AG1763" s="4" t="s">
        <v>63</v>
      </c>
      <c r="AH1763" s="4" t="s">
        <v>63</v>
      </c>
      <c r="AI1763" s="4" t="s">
        <v>15344</v>
      </c>
      <c r="AJ1763" s="4" t="s">
        <v>63</v>
      </c>
      <c r="AK1763" s="4" t="s">
        <v>63</v>
      </c>
      <c r="AL1763" s="4" t="s">
        <v>63</v>
      </c>
      <c r="AM1763" s="4" t="s">
        <v>15339</v>
      </c>
      <c r="AN1763" s="4" t="s">
        <v>63</v>
      </c>
      <c r="AO1763" s="4" t="s">
        <v>63</v>
      </c>
      <c r="AP1763" s="4" t="s">
        <v>63</v>
      </c>
      <c r="AQ1763" s="4" t="s">
        <v>63</v>
      </c>
      <c r="AR1763" s="4" t="s">
        <v>63</v>
      </c>
      <c r="AS1763" s="4" t="s">
        <v>63</v>
      </c>
      <c r="AT1763" s="4" t="s">
        <v>63</v>
      </c>
      <c r="AU1763" s="4" t="s">
        <v>63</v>
      </c>
      <c r="AV1763" s="4" t="s">
        <v>63</v>
      </c>
      <c r="AW1763" s="4" t="s">
        <v>63</v>
      </c>
      <c r="AX1763" s="4" t="s">
        <v>63</v>
      </c>
      <c r="AY1763" s="4" t="s">
        <v>63</v>
      </c>
      <c r="AZ1763" s="4" t="s">
        <v>63</v>
      </c>
      <c r="BA1763" s="4" t="s">
        <v>63</v>
      </c>
      <c r="BB1763" s="4" t="s">
        <v>63</v>
      </c>
      <c r="BC1763" s="4" t="s">
        <v>63</v>
      </c>
      <c r="BD1763" s="4" t="s">
        <v>63</v>
      </c>
      <c r="BE1763" s="4" t="s">
        <v>63</v>
      </c>
      <c r="BF1763" s="4" t="s">
        <v>63</v>
      </c>
    </row>
    <row r="1764" spans="1:58">
      <c r="A1764" s="4" t="s">
        <v>58</v>
      </c>
      <c r="B1764" s="4" t="s">
        <v>15345</v>
      </c>
      <c r="C1764" s="4" t="s">
        <v>15346</v>
      </c>
      <c r="D1764" s="4" t="s">
        <v>15347</v>
      </c>
      <c r="E1764" s="4" t="s">
        <v>63</v>
      </c>
      <c r="F1764" s="4">
        <v>2016</v>
      </c>
      <c r="G1764" s="4" t="s">
        <v>63</v>
      </c>
      <c r="H1764" s="4" t="s">
        <v>15348</v>
      </c>
      <c r="I1764" s="4" t="s">
        <v>63</v>
      </c>
      <c r="J1764" s="4">
        <v>63</v>
      </c>
      <c r="K1764" s="4">
        <v>71</v>
      </c>
      <c r="L1764" s="4" t="s">
        <v>15349</v>
      </c>
      <c r="M1764" s="4" t="s">
        <v>15350</v>
      </c>
      <c r="N1764" s="4" t="s">
        <v>15351</v>
      </c>
      <c r="O1764" s="4" t="s">
        <v>63</v>
      </c>
      <c r="P1764" s="4"/>
      <c r="Q1764" s="4" t="s">
        <v>63</v>
      </c>
      <c r="R1764" s="4" t="s">
        <v>63</v>
      </c>
      <c r="S1764" s="4" t="s">
        <v>63</v>
      </c>
      <c r="T1764" s="4" t="s">
        <v>63</v>
      </c>
      <c r="U1764" s="4"/>
      <c r="V1764" s="4"/>
      <c r="W1764" s="4"/>
      <c r="X1764" s="4" t="s">
        <v>63</v>
      </c>
      <c r="Y1764" s="4" t="s">
        <v>15352</v>
      </c>
      <c r="Z1764" s="4" t="s">
        <v>63</v>
      </c>
      <c r="AA1764" s="4" t="s">
        <v>63</v>
      </c>
      <c r="AB1764" s="4" t="s">
        <v>15353</v>
      </c>
      <c r="AC1764" s="4" t="s">
        <v>67</v>
      </c>
      <c r="AD1764" s="4" t="s">
        <v>63</v>
      </c>
      <c r="AE1764" s="4" t="s">
        <v>63</v>
      </c>
      <c r="AF1764" s="4" t="s">
        <v>63</v>
      </c>
      <c r="AG1764" s="4" t="s">
        <v>63</v>
      </c>
      <c r="AH1764" s="4" t="s">
        <v>63</v>
      </c>
      <c r="AI1764" s="4" t="s">
        <v>15354</v>
      </c>
      <c r="AJ1764" s="4" t="s">
        <v>63</v>
      </c>
      <c r="AK1764" s="4" t="s">
        <v>63</v>
      </c>
      <c r="AL1764" s="4" t="s">
        <v>63</v>
      </c>
      <c r="AM1764" s="4" t="s">
        <v>15346</v>
      </c>
      <c r="AN1764" s="4" t="s">
        <v>63</v>
      </c>
      <c r="AO1764" s="4" t="s">
        <v>63</v>
      </c>
      <c r="AP1764" s="4" t="s">
        <v>63</v>
      </c>
      <c r="AQ1764" s="4" t="s">
        <v>63</v>
      </c>
      <c r="AR1764" s="4" t="s">
        <v>63</v>
      </c>
      <c r="AS1764" s="4" t="s">
        <v>63</v>
      </c>
      <c r="AT1764" s="4" t="s">
        <v>63</v>
      </c>
      <c r="AU1764" s="4" t="s">
        <v>63</v>
      </c>
      <c r="AV1764" s="4" t="s">
        <v>63</v>
      </c>
      <c r="AW1764" s="4" t="s">
        <v>63</v>
      </c>
      <c r="AX1764" s="4" t="s">
        <v>63</v>
      </c>
      <c r="AY1764" s="4" t="s">
        <v>63</v>
      </c>
      <c r="AZ1764" s="4" t="s">
        <v>63</v>
      </c>
      <c r="BA1764" s="4" t="s">
        <v>63</v>
      </c>
      <c r="BB1764" s="4" t="s">
        <v>63</v>
      </c>
      <c r="BC1764" s="4" t="s">
        <v>63</v>
      </c>
      <c r="BD1764" s="4" t="s">
        <v>63</v>
      </c>
      <c r="BE1764" s="4" t="s">
        <v>63</v>
      </c>
      <c r="BF1764" s="4" t="s">
        <v>63</v>
      </c>
    </row>
    <row r="1765" spans="1:58">
      <c r="A1765" s="4" t="s">
        <v>58</v>
      </c>
      <c r="B1765" s="4" t="s">
        <v>15355</v>
      </c>
      <c r="C1765" s="4" t="s">
        <v>15356</v>
      </c>
      <c r="D1765" s="4" t="s">
        <v>15357</v>
      </c>
      <c r="E1765" s="4" t="s">
        <v>63</v>
      </c>
      <c r="F1765" s="4">
        <v>2011</v>
      </c>
      <c r="G1765" s="4" t="s">
        <v>15358</v>
      </c>
      <c r="H1765" s="4">
        <v>11</v>
      </c>
      <c r="I1765" s="4">
        <v>5</v>
      </c>
      <c r="J1765" s="4">
        <v>443</v>
      </c>
      <c r="K1765" s="4">
        <v>447</v>
      </c>
      <c r="L1765" s="4" t="s">
        <v>15359</v>
      </c>
      <c r="M1765" s="4" t="s">
        <v>15360</v>
      </c>
      <c r="N1765" s="4" t="s">
        <v>15361</v>
      </c>
      <c r="O1765" s="4" t="s">
        <v>63</v>
      </c>
      <c r="P1765" s="4"/>
      <c r="Q1765" s="4" t="s">
        <v>63</v>
      </c>
      <c r="R1765" s="4" t="s">
        <v>63</v>
      </c>
      <c r="S1765" s="4" t="s">
        <v>63</v>
      </c>
      <c r="T1765" s="4" t="s">
        <v>63</v>
      </c>
      <c r="U1765" s="4"/>
      <c r="V1765" s="4"/>
      <c r="W1765" s="4"/>
      <c r="X1765" s="4" t="s">
        <v>63</v>
      </c>
      <c r="Y1765" s="4" t="s">
        <v>15362</v>
      </c>
      <c r="Z1765" s="4" t="s">
        <v>63</v>
      </c>
      <c r="AA1765" s="4" t="s">
        <v>63</v>
      </c>
      <c r="AB1765" s="4">
        <v>2011590144</v>
      </c>
      <c r="AC1765" s="4" t="s">
        <v>67</v>
      </c>
      <c r="AD1765" s="4" t="s">
        <v>63</v>
      </c>
      <c r="AE1765" s="4" t="s">
        <v>63</v>
      </c>
      <c r="AF1765" s="4" t="s">
        <v>63</v>
      </c>
      <c r="AG1765" s="4" t="s">
        <v>15363</v>
      </c>
      <c r="AH1765" s="4" t="s">
        <v>63</v>
      </c>
      <c r="AI1765" s="4" t="s">
        <v>63</v>
      </c>
      <c r="AJ1765" s="4" t="s">
        <v>63</v>
      </c>
      <c r="AK1765" s="4" t="s">
        <v>63</v>
      </c>
      <c r="AL1765" s="4" t="s">
        <v>63</v>
      </c>
      <c r="AM1765" s="4" t="s">
        <v>15364</v>
      </c>
      <c r="AN1765" s="4" t="s">
        <v>63</v>
      </c>
      <c r="AO1765" s="4" t="s">
        <v>63</v>
      </c>
      <c r="AP1765" s="4" t="s">
        <v>63</v>
      </c>
      <c r="AQ1765" s="4" t="s">
        <v>63</v>
      </c>
      <c r="AR1765" s="4" t="s">
        <v>63</v>
      </c>
      <c r="AS1765" s="4" t="s">
        <v>63</v>
      </c>
      <c r="AT1765" s="4" t="s">
        <v>63</v>
      </c>
      <c r="AU1765" s="4" t="s">
        <v>63</v>
      </c>
      <c r="AV1765" s="4" t="s">
        <v>63</v>
      </c>
      <c r="AW1765" s="4" t="s">
        <v>63</v>
      </c>
      <c r="AX1765" s="4" t="s">
        <v>63</v>
      </c>
      <c r="AY1765" s="4" t="s">
        <v>63</v>
      </c>
      <c r="AZ1765" s="4" t="s">
        <v>63</v>
      </c>
      <c r="BA1765" s="4" t="s">
        <v>63</v>
      </c>
      <c r="BB1765" s="4" t="s">
        <v>63</v>
      </c>
      <c r="BC1765" s="4" t="s">
        <v>63</v>
      </c>
      <c r="BD1765" s="4" t="s">
        <v>63</v>
      </c>
      <c r="BE1765" s="4" t="s">
        <v>63</v>
      </c>
      <c r="BF1765" s="4" t="s">
        <v>63</v>
      </c>
    </row>
    <row r="1766" spans="1:58">
      <c r="A1766" s="4" t="s">
        <v>58</v>
      </c>
      <c r="B1766" s="4" t="s">
        <v>15365</v>
      </c>
      <c r="C1766" s="4" t="s">
        <v>15366</v>
      </c>
      <c r="D1766" s="4" t="s">
        <v>1293</v>
      </c>
      <c r="E1766" s="4" t="s">
        <v>1294</v>
      </c>
      <c r="F1766" s="4">
        <v>2007</v>
      </c>
      <c r="G1766" s="4" t="s">
        <v>63</v>
      </c>
      <c r="H1766" s="4">
        <v>39</v>
      </c>
      <c r="I1766" s="4">
        <v>1</v>
      </c>
      <c r="J1766" s="4">
        <v>20</v>
      </c>
      <c r="K1766" s="4">
        <v>23</v>
      </c>
      <c r="L1766" s="4" t="s">
        <v>15367</v>
      </c>
      <c r="M1766" s="4" t="s">
        <v>63</v>
      </c>
      <c r="N1766" s="4" t="s">
        <v>15368</v>
      </c>
      <c r="O1766" s="4" t="s">
        <v>63</v>
      </c>
      <c r="P1766" s="4"/>
      <c r="Q1766" s="4" t="s">
        <v>63</v>
      </c>
      <c r="R1766" s="4" t="s">
        <v>63</v>
      </c>
      <c r="S1766" s="4" t="s">
        <v>63</v>
      </c>
      <c r="T1766" s="4" t="s">
        <v>63</v>
      </c>
      <c r="U1766" s="4"/>
      <c r="V1766" s="4"/>
      <c r="W1766" s="4"/>
      <c r="X1766" s="4" t="s">
        <v>63</v>
      </c>
      <c r="Y1766" s="4" t="s">
        <v>1297</v>
      </c>
      <c r="Z1766" s="4" t="s">
        <v>63</v>
      </c>
      <c r="AA1766" s="4" t="s">
        <v>63</v>
      </c>
      <c r="AB1766" s="4">
        <v>2007015586</v>
      </c>
      <c r="AC1766" s="4" t="s">
        <v>67</v>
      </c>
      <c r="AD1766" s="4" t="s">
        <v>63</v>
      </c>
      <c r="AE1766" s="4" t="s">
        <v>63</v>
      </c>
      <c r="AF1766" s="4" t="s">
        <v>63</v>
      </c>
      <c r="AG1766" s="4" t="s">
        <v>15369</v>
      </c>
      <c r="AH1766" s="4" t="s">
        <v>63</v>
      </c>
      <c r="AI1766" s="4" t="s">
        <v>63</v>
      </c>
      <c r="AJ1766" s="4" t="s">
        <v>63</v>
      </c>
      <c r="AK1766" s="4" t="s">
        <v>63</v>
      </c>
      <c r="AL1766" s="4" t="s">
        <v>63</v>
      </c>
      <c r="AM1766" s="4" t="s">
        <v>15370</v>
      </c>
      <c r="AN1766" s="4" t="s">
        <v>63</v>
      </c>
      <c r="AO1766" s="4" t="s">
        <v>63</v>
      </c>
      <c r="AP1766" s="4" t="s">
        <v>63</v>
      </c>
      <c r="AQ1766" s="4" t="s">
        <v>63</v>
      </c>
      <c r="AR1766" s="4" t="s">
        <v>63</v>
      </c>
      <c r="AS1766" s="4" t="s">
        <v>63</v>
      </c>
      <c r="AT1766" s="4" t="s">
        <v>63</v>
      </c>
      <c r="AU1766" s="4" t="s">
        <v>63</v>
      </c>
      <c r="AV1766" s="4" t="s">
        <v>63</v>
      </c>
      <c r="AW1766" s="4" t="s">
        <v>63</v>
      </c>
      <c r="AX1766" s="4" t="s">
        <v>63</v>
      </c>
      <c r="AY1766" s="4" t="s">
        <v>63</v>
      </c>
      <c r="AZ1766" s="4" t="s">
        <v>63</v>
      </c>
      <c r="BA1766" s="4" t="s">
        <v>63</v>
      </c>
      <c r="BB1766" s="4" t="s">
        <v>63</v>
      </c>
      <c r="BC1766" s="4" t="s">
        <v>63</v>
      </c>
      <c r="BD1766" s="4" t="s">
        <v>63</v>
      </c>
      <c r="BE1766" s="4" t="s">
        <v>63</v>
      </c>
      <c r="BF1766" s="4" t="s">
        <v>63</v>
      </c>
    </row>
    <row r="1767" spans="1:58">
      <c r="A1767" s="4" t="s">
        <v>58</v>
      </c>
      <c r="B1767" s="4" t="s">
        <v>15371</v>
      </c>
      <c r="C1767" s="4" t="s">
        <v>15372</v>
      </c>
      <c r="D1767" s="4" t="s">
        <v>15373</v>
      </c>
      <c r="E1767" s="4" t="s">
        <v>63</v>
      </c>
      <c r="F1767" s="4">
        <v>2000</v>
      </c>
      <c r="G1767" s="4" t="s">
        <v>63</v>
      </c>
      <c r="H1767" s="4">
        <v>18</v>
      </c>
      <c r="I1767" s="4">
        <v>4</v>
      </c>
      <c r="J1767" s="4">
        <v>455</v>
      </c>
      <c r="K1767" s="4">
        <v>466</v>
      </c>
      <c r="L1767" s="4" t="s">
        <v>15374</v>
      </c>
      <c r="M1767" s="4" t="s">
        <v>15375</v>
      </c>
      <c r="N1767" s="4" t="s">
        <v>15376</v>
      </c>
      <c r="O1767" s="4" t="s">
        <v>63</v>
      </c>
      <c r="P1767" s="4"/>
      <c r="Q1767" s="4" t="s">
        <v>63</v>
      </c>
      <c r="R1767" s="4" t="s">
        <v>63</v>
      </c>
      <c r="S1767" s="4" t="s">
        <v>63</v>
      </c>
      <c r="T1767" s="4" t="s">
        <v>63</v>
      </c>
      <c r="U1767" s="4"/>
      <c r="V1767" s="4"/>
      <c r="W1767" s="4"/>
      <c r="X1767" s="4" t="s">
        <v>63</v>
      </c>
      <c r="Y1767" s="4" t="s">
        <v>15377</v>
      </c>
      <c r="Z1767" s="4" t="s">
        <v>63</v>
      </c>
      <c r="AA1767" s="4" t="s">
        <v>63</v>
      </c>
      <c r="AB1767" s="4" t="s">
        <v>15378</v>
      </c>
      <c r="AC1767" s="4" t="s">
        <v>67</v>
      </c>
      <c r="AD1767" s="4" t="s">
        <v>63</v>
      </c>
      <c r="AE1767" s="4" t="s">
        <v>63</v>
      </c>
      <c r="AF1767" s="4" t="s">
        <v>63</v>
      </c>
      <c r="AG1767" s="4" t="s">
        <v>63</v>
      </c>
      <c r="AH1767" s="4" t="s">
        <v>63</v>
      </c>
      <c r="AI1767" s="4" t="s">
        <v>63</v>
      </c>
      <c r="AJ1767" s="4" t="s">
        <v>63</v>
      </c>
      <c r="AK1767" s="4" t="s">
        <v>63</v>
      </c>
      <c r="AL1767" s="4" t="s">
        <v>63</v>
      </c>
      <c r="AM1767" s="4" t="s">
        <v>15372</v>
      </c>
      <c r="AN1767" s="4" t="s">
        <v>63</v>
      </c>
      <c r="AO1767" s="4" t="s">
        <v>63</v>
      </c>
      <c r="AP1767" s="4" t="s">
        <v>63</v>
      </c>
      <c r="AQ1767" s="4" t="s">
        <v>63</v>
      </c>
      <c r="AR1767" s="4" t="s">
        <v>63</v>
      </c>
      <c r="AS1767" s="4" t="s">
        <v>63</v>
      </c>
      <c r="AT1767" s="4" t="s">
        <v>63</v>
      </c>
      <c r="AU1767" s="4" t="s">
        <v>63</v>
      </c>
      <c r="AV1767" s="4" t="s">
        <v>63</v>
      </c>
      <c r="AW1767" s="4" t="s">
        <v>63</v>
      </c>
      <c r="AX1767" s="4" t="s">
        <v>63</v>
      </c>
      <c r="AY1767" s="4" t="s">
        <v>63</v>
      </c>
      <c r="AZ1767" s="4" t="s">
        <v>63</v>
      </c>
      <c r="BA1767" s="4" t="s">
        <v>63</v>
      </c>
      <c r="BB1767" s="4" t="s">
        <v>63</v>
      </c>
      <c r="BC1767" s="4" t="s">
        <v>63</v>
      </c>
      <c r="BD1767" s="4" t="s">
        <v>63</v>
      </c>
      <c r="BE1767" s="4" t="s">
        <v>63</v>
      </c>
      <c r="BF1767" s="4" t="s">
        <v>63</v>
      </c>
    </row>
    <row r="1768" spans="1:58">
      <c r="A1768" s="4" t="s">
        <v>58</v>
      </c>
      <c r="B1768" s="4" t="s">
        <v>15379</v>
      </c>
      <c r="C1768" s="4" t="s">
        <v>15380</v>
      </c>
      <c r="D1768" s="4" t="s">
        <v>371</v>
      </c>
      <c r="E1768" s="4" t="s">
        <v>63</v>
      </c>
      <c r="F1768" s="4">
        <v>2010</v>
      </c>
      <c r="G1768" s="4" t="s">
        <v>15155</v>
      </c>
      <c r="H1768" s="4" t="s">
        <v>15381</v>
      </c>
      <c r="I1768" s="4" t="s">
        <v>63</v>
      </c>
      <c r="J1768" s="4" t="s">
        <v>15382</v>
      </c>
      <c r="K1768" s="4" t="s">
        <v>63</v>
      </c>
      <c r="L1768" s="4" t="s">
        <v>15383</v>
      </c>
      <c r="M1768" s="4" t="s">
        <v>15384</v>
      </c>
      <c r="N1768" s="4" t="s">
        <v>15385</v>
      </c>
      <c r="O1768" s="4" t="s">
        <v>63</v>
      </c>
      <c r="P1768" s="4"/>
      <c r="Q1768" s="4" t="s">
        <v>63</v>
      </c>
      <c r="R1768" s="4" t="s">
        <v>63</v>
      </c>
      <c r="S1768" s="4" t="s">
        <v>63</v>
      </c>
      <c r="T1768" s="4" t="s">
        <v>63</v>
      </c>
      <c r="U1768" s="4"/>
      <c r="V1768" s="4"/>
      <c r="W1768" s="4"/>
      <c r="X1768" s="4" t="s">
        <v>63</v>
      </c>
      <c r="Y1768" s="4" t="s">
        <v>375</v>
      </c>
      <c r="Z1768" s="4" t="s">
        <v>63</v>
      </c>
      <c r="AA1768" s="4" t="s">
        <v>63</v>
      </c>
      <c r="AB1768" s="4" t="s">
        <v>63</v>
      </c>
      <c r="AC1768" s="4" t="s">
        <v>67</v>
      </c>
      <c r="AD1768" s="4" t="s">
        <v>63</v>
      </c>
      <c r="AE1768" s="4" t="s">
        <v>63</v>
      </c>
      <c r="AF1768" s="4" t="s">
        <v>63</v>
      </c>
      <c r="AG1768" s="4" t="s">
        <v>63</v>
      </c>
      <c r="AH1768" s="4" t="s">
        <v>63</v>
      </c>
      <c r="AI1768" s="4" t="s">
        <v>15386</v>
      </c>
      <c r="AJ1768" s="4" t="s">
        <v>63</v>
      </c>
      <c r="AK1768" s="4" t="s">
        <v>63</v>
      </c>
      <c r="AL1768" s="4" t="s">
        <v>63</v>
      </c>
      <c r="AM1768" s="4" t="s">
        <v>15380</v>
      </c>
      <c r="AN1768" s="4" t="s">
        <v>63</v>
      </c>
      <c r="AO1768" s="4" t="s">
        <v>63</v>
      </c>
      <c r="AP1768" s="4" t="s">
        <v>63</v>
      </c>
      <c r="AQ1768" s="4" t="s">
        <v>63</v>
      </c>
      <c r="AR1768" s="4" t="s">
        <v>63</v>
      </c>
      <c r="AS1768" s="4" t="s">
        <v>63</v>
      </c>
      <c r="AT1768" s="4" t="s">
        <v>63</v>
      </c>
      <c r="AU1768" s="4" t="s">
        <v>63</v>
      </c>
      <c r="AV1768" s="4" t="s">
        <v>63</v>
      </c>
      <c r="AW1768" s="4" t="s">
        <v>63</v>
      </c>
      <c r="AX1768" s="4" t="s">
        <v>63</v>
      </c>
      <c r="AY1768" s="4" t="s">
        <v>63</v>
      </c>
      <c r="AZ1768" s="4" t="s">
        <v>63</v>
      </c>
      <c r="BA1768" s="4" t="s">
        <v>63</v>
      </c>
      <c r="BB1768" s="4" t="s">
        <v>63</v>
      </c>
      <c r="BC1768" s="4" t="s">
        <v>63</v>
      </c>
      <c r="BD1768" s="4" t="s">
        <v>63</v>
      </c>
      <c r="BE1768" s="4" t="s">
        <v>63</v>
      </c>
      <c r="BF1768" s="4" t="s">
        <v>63</v>
      </c>
    </row>
    <row r="1769" spans="1:58">
      <c r="A1769" s="4" t="s">
        <v>58</v>
      </c>
      <c r="B1769" s="4" t="s">
        <v>15387</v>
      </c>
      <c r="C1769" s="4" t="s">
        <v>15388</v>
      </c>
      <c r="D1769" s="4" t="s">
        <v>308</v>
      </c>
      <c r="E1769" s="4" t="s">
        <v>309</v>
      </c>
      <c r="F1769" s="4">
        <v>2011</v>
      </c>
      <c r="G1769" s="4" t="s">
        <v>15389</v>
      </c>
      <c r="H1769" s="4">
        <v>68</v>
      </c>
      <c r="I1769" s="4">
        <v>3</v>
      </c>
      <c r="J1769" s="4">
        <v>283</v>
      </c>
      <c r="K1769" s="4">
        <v>294</v>
      </c>
      <c r="L1769" s="4" t="s">
        <v>15390</v>
      </c>
      <c r="M1769" s="4" t="s">
        <v>15391</v>
      </c>
      <c r="N1769" s="4" t="s">
        <v>15392</v>
      </c>
      <c r="O1769" s="4" t="s">
        <v>63</v>
      </c>
      <c r="P1769" s="4"/>
      <c r="Q1769" s="4" t="s">
        <v>63</v>
      </c>
      <c r="R1769" s="4" t="s">
        <v>63</v>
      </c>
      <c r="S1769" s="4" t="s">
        <v>63</v>
      </c>
      <c r="T1769" s="4" t="s">
        <v>63</v>
      </c>
      <c r="U1769" s="4"/>
      <c r="V1769" s="4"/>
      <c r="W1769" s="4"/>
      <c r="X1769" s="4" t="s">
        <v>63</v>
      </c>
      <c r="Y1769" s="4" t="s">
        <v>15393</v>
      </c>
      <c r="Z1769" s="4" t="s">
        <v>63</v>
      </c>
      <c r="AA1769" s="4" t="s">
        <v>63</v>
      </c>
      <c r="AB1769" s="4">
        <v>2011132589</v>
      </c>
      <c r="AC1769" s="4" t="s">
        <v>67</v>
      </c>
      <c r="AD1769" s="4" t="s">
        <v>63</v>
      </c>
      <c r="AE1769" s="4" t="s">
        <v>63</v>
      </c>
      <c r="AF1769" s="4" t="s">
        <v>63</v>
      </c>
      <c r="AG1769" s="4" t="s">
        <v>15394</v>
      </c>
      <c r="AH1769" s="4" t="s">
        <v>63</v>
      </c>
      <c r="AI1769" s="4" t="s">
        <v>15395</v>
      </c>
      <c r="AJ1769" s="4" t="s">
        <v>63</v>
      </c>
      <c r="AK1769" s="4" t="s">
        <v>63</v>
      </c>
      <c r="AL1769" s="4" t="s">
        <v>63</v>
      </c>
      <c r="AM1769" s="4" t="s">
        <v>15396</v>
      </c>
      <c r="AN1769" s="4" t="s">
        <v>63</v>
      </c>
      <c r="AO1769" s="4" t="s">
        <v>63</v>
      </c>
      <c r="AP1769" s="4" t="s">
        <v>63</v>
      </c>
      <c r="AQ1769" s="4" t="s">
        <v>63</v>
      </c>
      <c r="AR1769" s="4" t="s">
        <v>63</v>
      </c>
      <c r="AS1769" s="4" t="s">
        <v>63</v>
      </c>
      <c r="AT1769" s="4" t="s">
        <v>63</v>
      </c>
      <c r="AU1769" s="4" t="s">
        <v>63</v>
      </c>
      <c r="AV1769" s="4" t="s">
        <v>63</v>
      </c>
      <c r="AW1769" s="4" t="s">
        <v>63</v>
      </c>
      <c r="AX1769" s="4" t="s">
        <v>63</v>
      </c>
      <c r="AY1769" s="4" t="s">
        <v>63</v>
      </c>
      <c r="AZ1769" s="4" t="s">
        <v>63</v>
      </c>
      <c r="BA1769" s="4" t="s">
        <v>63</v>
      </c>
      <c r="BB1769" s="4" t="s">
        <v>63</v>
      </c>
      <c r="BC1769" s="4" t="s">
        <v>63</v>
      </c>
      <c r="BD1769" s="4" t="s">
        <v>63</v>
      </c>
      <c r="BE1769" s="4" t="s">
        <v>63</v>
      </c>
      <c r="BF1769" s="4" t="s">
        <v>63</v>
      </c>
    </row>
    <row r="1770" spans="1:58">
      <c r="A1770" s="4" t="s">
        <v>58</v>
      </c>
      <c r="B1770" s="4" t="s">
        <v>15397</v>
      </c>
      <c r="C1770" s="4" t="s">
        <v>15398</v>
      </c>
      <c r="D1770" s="4" t="s">
        <v>15399</v>
      </c>
      <c r="E1770" s="4" t="s">
        <v>63</v>
      </c>
      <c r="F1770" s="4">
        <v>2013</v>
      </c>
      <c r="G1770" s="4" t="s">
        <v>63</v>
      </c>
      <c r="H1770" s="4">
        <v>3</v>
      </c>
      <c r="I1770" s="4">
        <v>4</v>
      </c>
      <c r="J1770" s="4">
        <v>121</v>
      </c>
      <c r="K1770" s="4">
        <v>125</v>
      </c>
      <c r="L1770" s="4" t="s">
        <v>15400</v>
      </c>
      <c r="M1770" s="4" t="s">
        <v>15401</v>
      </c>
      <c r="N1770" s="4" t="s">
        <v>15402</v>
      </c>
      <c r="O1770" s="4" t="s">
        <v>63</v>
      </c>
      <c r="P1770" s="4"/>
      <c r="Q1770" s="4" t="s">
        <v>63</v>
      </c>
      <c r="R1770" s="4" t="s">
        <v>63</v>
      </c>
      <c r="S1770" s="4" t="s">
        <v>63</v>
      </c>
      <c r="T1770" s="4" t="s">
        <v>63</v>
      </c>
      <c r="U1770" s="4"/>
      <c r="V1770" s="4"/>
      <c r="W1770" s="4"/>
      <c r="X1770" s="4" t="s">
        <v>63</v>
      </c>
      <c r="Y1770" s="4" t="s">
        <v>15403</v>
      </c>
      <c r="Z1770" s="4" t="s">
        <v>63</v>
      </c>
      <c r="AA1770" s="4" t="s">
        <v>63</v>
      </c>
      <c r="AB1770" s="4" t="s">
        <v>15404</v>
      </c>
      <c r="AC1770" s="4" t="s">
        <v>67</v>
      </c>
      <c r="AD1770" s="4" t="s">
        <v>63</v>
      </c>
      <c r="AE1770" s="4" t="s">
        <v>63</v>
      </c>
      <c r="AF1770" s="4" t="s">
        <v>63</v>
      </c>
      <c r="AG1770" s="4" t="s">
        <v>63</v>
      </c>
      <c r="AH1770" s="4" t="s">
        <v>63</v>
      </c>
      <c r="AI1770" s="4" t="s">
        <v>63</v>
      </c>
      <c r="AJ1770" s="4" t="s">
        <v>63</v>
      </c>
      <c r="AK1770" s="4" t="s">
        <v>63</v>
      </c>
      <c r="AL1770" s="4" t="s">
        <v>63</v>
      </c>
      <c r="AM1770" s="4" t="s">
        <v>15398</v>
      </c>
      <c r="AN1770" s="4" t="s">
        <v>63</v>
      </c>
      <c r="AO1770" s="4" t="s">
        <v>63</v>
      </c>
      <c r="AP1770" s="4" t="s">
        <v>63</v>
      </c>
      <c r="AQ1770" s="4" t="s">
        <v>63</v>
      </c>
      <c r="AR1770" s="4" t="s">
        <v>63</v>
      </c>
      <c r="AS1770" s="4" t="s">
        <v>63</v>
      </c>
      <c r="AT1770" s="4" t="s">
        <v>63</v>
      </c>
      <c r="AU1770" s="4" t="s">
        <v>63</v>
      </c>
      <c r="AV1770" s="4" t="s">
        <v>63</v>
      </c>
      <c r="AW1770" s="4" t="s">
        <v>63</v>
      </c>
      <c r="AX1770" s="4" t="s">
        <v>63</v>
      </c>
      <c r="AY1770" s="4" t="s">
        <v>63</v>
      </c>
      <c r="AZ1770" s="4" t="s">
        <v>63</v>
      </c>
      <c r="BA1770" s="4" t="s">
        <v>63</v>
      </c>
      <c r="BB1770" s="4" t="s">
        <v>63</v>
      </c>
      <c r="BC1770" s="4" t="s">
        <v>63</v>
      </c>
      <c r="BD1770" s="4" t="s">
        <v>63</v>
      </c>
      <c r="BE1770" s="4" t="s">
        <v>63</v>
      </c>
      <c r="BF1770" s="4" t="s">
        <v>63</v>
      </c>
    </row>
    <row r="1771" spans="1:58">
      <c r="A1771" s="4" t="s">
        <v>58</v>
      </c>
      <c r="B1771" s="4" t="s">
        <v>15405</v>
      </c>
      <c r="C1771" s="4" t="s">
        <v>15406</v>
      </c>
      <c r="D1771" s="4" t="s">
        <v>15407</v>
      </c>
      <c r="E1771" s="4" t="s">
        <v>63</v>
      </c>
      <c r="F1771" s="4">
        <v>2000</v>
      </c>
      <c r="G1771" s="4" t="s">
        <v>63</v>
      </c>
      <c r="H1771" s="4">
        <v>12</v>
      </c>
      <c r="I1771" s="4">
        <v>1</v>
      </c>
      <c r="J1771" s="4">
        <v>31</v>
      </c>
      <c r="K1771" s="4">
        <v>36</v>
      </c>
      <c r="L1771" s="4" t="s">
        <v>15408</v>
      </c>
      <c r="M1771" s="4" t="s">
        <v>15409</v>
      </c>
      <c r="N1771" s="4" t="s">
        <v>15410</v>
      </c>
      <c r="O1771" s="4" t="s">
        <v>63</v>
      </c>
      <c r="P1771" s="4"/>
      <c r="Q1771" s="4" t="s">
        <v>63</v>
      </c>
      <c r="R1771" s="4" t="s">
        <v>63</v>
      </c>
      <c r="S1771" s="4" t="s">
        <v>63</v>
      </c>
      <c r="T1771" s="4" t="s">
        <v>63</v>
      </c>
      <c r="U1771" s="4"/>
      <c r="V1771" s="4"/>
      <c r="W1771" s="4"/>
      <c r="X1771" s="4" t="s">
        <v>63</v>
      </c>
      <c r="Y1771" s="4" t="s">
        <v>15411</v>
      </c>
      <c r="Z1771" s="4" t="s">
        <v>63</v>
      </c>
      <c r="AA1771" s="4" t="s">
        <v>63</v>
      </c>
      <c r="AB1771" s="4" t="s">
        <v>15412</v>
      </c>
      <c r="AC1771" s="4" t="s">
        <v>67</v>
      </c>
      <c r="AD1771" s="4" t="s">
        <v>63</v>
      </c>
      <c r="AE1771" s="4" t="s">
        <v>63</v>
      </c>
      <c r="AF1771" s="4" t="s">
        <v>63</v>
      </c>
      <c r="AG1771" s="4" t="s">
        <v>63</v>
      </c>
      <c r="AH1771" s="4" t="s">
        <v>63</v>
      </c>
      <c r="AI1771" s="4" t="s">
        <v>63</v>
      </c>
      <c r="AJ1771" s="4" t="s">
        <v>63</v>
      </c>
      <c r="AK1771" s="4" t="s">
        <v>63</v>
      </c>
      <c r="AL1771" s="4" t="s">
        <v>63</v>
      </c>
      <c r="AM1771" s="4" t="s">
        <v>15406</v>
      </c>
      <c r="AN1771" s="4" t="s">
        <v>63</v>
      </c>
      <c r="AO1771" s="4" t="s">
        <v>63</v>
      </c>
      <c r="AP1771" s="4" t="s">
        <v>63</v>
      </c>
      <c r="AQ1771" s="4" t="s">
        <v>63</v>
      </c>
      <c r="AR1771" s="4" t="s">
        <v>63</v>
      </c>
      <c r="AS1771" s="4" t="s">
        <v>63</v>
      </c>
      <c r="AT1771" s="4" t="s">
        <v>63</v>
      </c>
      <c r="AU1771" s="4" t="s">
        <v>63</v>
      </c>
      <c r="AV1771" s="4" t="s">
        <v>63</v>
      </c>
      <c r="AW1771" s="4" t="s">
        <v>63</v>
      </c>
      <c r="AX1771" s="4" t="s">
        <v>63</v>
      </c>
      <c r="AY1771" s="4" t="s">
        <v>63</v>
      </c>
      <c r="AZ1771" s="4" t="s">
        <v>63</v>
      </c>
      <c r="BA1771" s="4" t="s">
        <v>63</v>
      </c>
      <c r="BB1771" s="4" t="s">
        <v>63</v>
      </c>
      <c r="BC1771" s="4" t="s">
        <v>63</v>
      </c>
      <c r="BD1771" s="4" t="s">
        <v>63</v>
      </c>
      <c r="BE1771" s="4" t="s">
        <v>63</v>
      </c>
      <c r="BF1771" s="4" t="s">
        <v>63</v>
      </c>
    </row>
    <row r="1772" spans="1:58">
      <c r="A1772" s="4" t="s">
        <v>58</v>
      </c>
      <c r="B1772" s="4" t="s">
        <v>15413</v>
      </c>
      <c r="C1772" s="4" t="s">
        <v>15414</v>
      </c>
      <c r="D1772" s="4" t="s">
        <v>11330</v>
      </c>
      <c r="E1772" s="4" t="s">
        <v>11330</v>
      </c>
      <c r="F1772" s="4">
        <v>1999</v>
      </c>
      <c r="G1772" s="4" t="s">
        <v>63</v>
      </c>
      <c r="H1772" s="4">
        <v>54</v>
      </c>
      <c r="I1772" s="4">
        <v>1</v>
      </c>
      <c r="J1772" s="4">
        <v>2</v>
      </c>
      <c r="K1772" s="4" t="s">
        <v>63</v>
      </c>
      <c r="L1772" s="4" t="s">
        <v>15415</v>
      </c>
      <c r="M1772" s="4" t="s">
        <v>63</v>
      </c>
      <c r="N1772" s="4" t="s">
        <v>15416</v>
      </c>
      <c r="O1772" s="4" t="s">
        <v>63</v>
      </c>
      <c r="P1772" s="4"/>
      <c r="Q1772" s="4" t="s">
        <v>63</v>
      </c>
      <c r="R1772" s="4" t="s">
        <v>63</v>
      </c>
      <c r="S1772" s="4" t="s">
        <v>63</v>
      </c>
      <c r="T1772" s="4" t="s">
        <v>63</v>
      </c>
      <c r="U1772" s="4"/>
      <c r="V1772" s="4"/>
      <c r="W1772" s="4"/>
      <c r="X1772" s="4" t="s">
        <v>63</v>
      </c>
      <c r="Y1772" s="4" t="s">
        <v>11333</v>
      </c>
      <c r="Z1772" s="4" t="s">
        <v>63</v>
      </c>
      <c r="AA1772" s="4" t="s">
        <v>63</v>
      </c>
      <c r="AB1772" s="4">
        <v>1999080808</v>
      </c>
      <c r="AC1772" s="4" t="s">
        <v>67</v>
      </c>
      <c r="AD1772" s="4" t="s">
        <v>63</v>
      </c>
      <c r="AE1772" s="4" t="s">
        <v>63</v>
      </c>
      <c r="AF1772" s="4" t="s">
        <v>63</v>
      </c>
      <c r="AG1772" s="4" t="s">
        <v>15417</v>
      </c>
      <c r="AH1772" s="4" t="s">
        <v>63</v>
      </c>
      <c r="AI1772" s="4" t="s">
        <v>63</v>
      </c>
      <c r="AJ1772" s="4" t="s">
        <v>63</v>
      </c>
      <c r="AK1772" s="4" t="s">
        <v>63</v>
      </c>
      <c r="AL1772" s="4" t="s">
        <v>63</v>
      </c>
      <c r="AM1772" s="4" t="s">
        <v>15418</v>
      </c>
      <c r="AN1772" s="4" t="s">
        <v>63</v>
      </c>
      <c r="AO1772" s="4" t="s">
        <v>63</v>
      </c>
      <c r="AP1772" s="4" t="s">
        <v>63</v>
      </c>
      <c r="AQ1772" s="4" t="s">
        <v>63</v>
      </c>
      <c r="AR1772" s="4" t="s">
        <v>63</v>
      </c>
      <c r="AS1772" s="4" t="s">
        <v>63</v>
      </c>
      <c r="AT1772" s="4" t="s">
        <v>63</v>
      </c>
      <c r="AU1772" s="4" t="s">
        <v>63</v>
      </c>
      <c r="AV1772" s="4" t="s">
        <v>63</v>
      </c>
      <c r="AW1772" s="4" t="s">
        <v>63</v>
      </c>
      <c r="AX1772" s="4" t="s">
        <v>63</v>
      </c>
      <c r="AY1772" s="4" t="s">
        <v>63</v>
      </c>
      <c r="AZ1772" s="4" t="s">
        <v>63</v>
      </c>
      <c r="BA1772" s="4" t="s">
        <v>63</v>
      </c>
      <c r="BB1772" s="4" t="s">
        <v>63</v>
      </c>
      <c r="BC1772" s="4" t="s">
        <v>63</v>
      </c>
      <c r="BD1772" s="4" t="s">
        <v>63</v>
      </c>
      <c r="BE1772" s="4" t="s">
        <v>63</v>
      </c>
      <c r="BF1772" s="4" t="s">
        <v>63</v>
      </c>
    </row>
    <row r="1773" spans="1:58">
      <c r="A1773" s="4" t="s">
        <v>58</v>
      </c>
      <c r="B1773" s="4" t="s">
        <v>15419</v>
      </c>
      <c r="C1773" s="4" t="s">
        <v>15420</v>
      </c>
      <c r="D1773" s="4" t="s">
        <v>15421</v>
      </c>
      <c r="E1773" s="4" t="s">
        <v>63</v>
      </c>
      <c r="F1773" s="4">
        <v>2010</v>
      </c>
      <c r="G1773" s="4" t="s">
        <v>84</v>
      </c>
      <c r="H1773" s="4">
        <v>31</v>
      </c>
      <c r="I1773" s="4">
        <v>2</v>
      </c>
      <c r="J1773" s="4">
        <v>117</v>
      </c>
      <c r="K1773" s="4">
        <v>125</v>
      </c>
      <c r="L1773" s="4" t="s">
        <v>15422</v>
      </c>
      <c r="M1773" s="4" t="s">
        <v>15423</v>
      </c>
      <c r="N1773" s="4" t="s">
        <v>15424</v>
      </c>
      <c r="O1773" s="4" t="s">
        <v>63</v>
      </c>
      <c r="P1773" s="4"/>
      <c r="Q1773" s="4" t="s">
        <v>63</v>
      </c>
      <c r="R1773" s="4" t="s">
        <v>63</v>
      </c>
      <c r="S1773" s="4" t="s">
        <v>63</v>
      </c>
      <c r="T1773" s="4" t="s">
        <v>63</v>
      </c>
      <c r="U1773" s="4"/>
      <c r="V1773" s="4"/>
      <c r="W1773" s="4"/>
      <c r="X1773" s="4" t="s">
        <v>63</v>
      </c>
      <c r="Y1773" s="4" t="s">
        <v>15425</v>
      </c>
      <c r="Z1773" s="4" t="s">
        <v>63</v>
      </c>
      <c r="AA1773" s="4" t="s">
        <v>63</v>
      </c>
      <c r="AB1773" s="4" t="s">
        <v>63</v>
      </c>
      <c r="AC1773" s="4" t="s">
        <v>67</v>
      </c>
      <c r="AD1773" s="4" t="s">
        <v>63</v>
      </c>
      <c r="AE1773" s="4" t="s">
        <v>63</v>
      </c>
      <c r="AF1773" s="4" t="s">
        <v>63</v>
      </c>
      <c r="AG1773" s="4" t="s">
        <v>15426</v>
      </c>
      <c r="AH1773" s="4" t="s">
        <v>63</v>
      </c>
      <c r="AI1773" s="4" t="s">
        <v>15427</v>
      </c>
      <c r="AJ1773" s="4" t="s">
        <v>63</v>
      </c>
      <c r="AK1773" s="4" t="s">
        <v>63</v>
      </c>
      <c r="AL1773" s="4" t="s">
        <v>63</v>
      </c>
      <c r="AM1773" s="4" t="s">
        <v>15428</v>
      </c>
      <c r="AN1773" s="4" t="s">
        <v>63</v>
      </c>
      <c r="AO1773" s="4" t="s">
        <v>63</v>
      </c>
      <c r="AP1773" s="4" t="s">
        <v>63</v>
      </c>
      <c r="AQ1773" s="4" t="s">
        <v>63</v>
      </c>
      <c r="AR1773" s="4" t="s">
        <v>63</v>
      </c>
      <c r="AS1773" s="4" t="s">
        <v>63</v>
      </c>
      <c r="AT1773" s="4" t="s">
        <v>63</v>
      </c>
      <c r="AU1773" s="4" t="s">
        <v>63</v>
      </c>
      <c r="AV1773" s="4" t="s">
        <v>63</v>
      </c>
      <c r="AW1773" s="4" t="s">
        <v>63</v>
      </c>
      <c r="AX1773" s="4" t="s">
        <v>63</v>
      </c>
      <c r="AY1773" s="4" t="s">
        <v>63</v>
      </c>
      <c r="AZ1773" s="4" t="s">
        <v>63</v>
      </c>
      <c r="BA1773" s="4" t="s">
        <v>63</v>
      </c>
      <c r="BB1773" s="4" t="s">
        <v>63</v>
      </c>
      <c r="BC1773" s="4" t="s">
        <v>63</v>
      </c>
      <c r="BD1773" s="4" t="s">
        <v>63</v>
      </c>
      <c r="BE1773" s="4" t="s">
        <v>63</v>
      </c>
      <c r="BF1773" s="4" t="s">
        <v>63</v>
      </c>
    </row>
    <row r="1774" spans="1:58">
      <c r="A1774" s="4" t="s">
        <v>58</v>
      </c>
      <c r="B1774" s="4" t="s">
        <v>15429</v>
      </c>
      <c r="C1774" s="4" t="s">
        <v>15430</v>
      </c>
      <c r="D1774" s="4" t="s">
        <v>15431</v>
      </c>
      <c r="E1774" s="4" t="s">
        <v>63</v>
      </c>
      <c r="F1774" s="4">
        <v>2015</v>
      </c>
      <c r="G1774" s="4">
        <v>1</v>
      </c>
      <c r="H1774" s="4">
        <v>111</v>
      </c>
      <c r="I1774" s="4">
        <v>2</v>
      </c>
      <c r="J1774" s="4">
        <v>72</v>
      </c>
      <c r="K1774" s="4">
        <v>78</v>
      </c>
      <c r="L1774" s="4" t="s">
        <v>15432</v>
      </c>
      <c r="M1774" s="4" t="s">
        <v>15433</v>
      </c>
      <c r="N1774" s="4" t="s">
        <v>15434</v>
      </c>
      <c r="O1774" s="4" t="s">
        <v>63</v>
      </c>
      <c r="P1774" s="4"/>
      <c r="Q1774" s="4" t="s">
        <v>63</v>
      </c>
      <c r="R1774" s="4" t="s">
        <v>63</v>
      </c>
      <c r="S1774" s="4" t="s">
        <v>63</v>
      </c>
      <c r="T1774" s="4" t="s">
        <v>63</v>
      </c>
      <c r="U1774" s="4"/>
      <c r="V1774" s="4"/>
      <c r="W1774" s="4"/>
      <c r="X1774" s="4" t="s">
        <v>63</v>
      </c>
      <c r="Y1774" s="4" t="s">
        <v>15435</v>
      </c>
      <c r="Z1774" s="4" t="s">
        <v>63</v>
      </c>
      <c r="AA1774" s="4" t="s">
        <v>63</v>
      </c>
      <c r="AB1774" s="4" t="s">
        <v>15436</v>
      </c>
      <c r="AC1774" s="4" t="s">
        <v>15437</v>
      </c>
      <c r="AD1774" s="4" t="s">
        <v>63</v>
      </c>
      <c r="AE1774" s="4" t="s">
        <v>63</v>
      </c>
      <c r="AF1774" s="4" t="s">
        <v>63</v>
      </c>
      <c r="AG1774" s="4" t="s">
        <v>63</v>
      </c>
      <c r="AH1774" s="4" t="s">
        <v>63</v>
      </c>
      <c r="AI1774" s="4" t="s">
        <v>63</v>
      </c>
      <c r="AJ1774" s="4" t="s">
        <v>63</v>
      </c>
      <c r="AK1774" s="4" t="s">
        <v>63</v>
      </c>
      <c r="AL1774" s="4" t="s">
        <v>63</v>
      </c>
      <c r="AM1774" s="4" t="s">
        <v>15430</v>
      </c>
      <c r="AN1774" s="4" t="s">
        <v>63</v>
      </c>
      <c r="AO1774" s="4" t="s">
        <v>63</v>
      </c>
      <c r="AP1774" s="4" t="s">
        <v>63</v>
      </c>
      <c r="AQ1774" s="4" t="s">
        <v>63</v>
      </c>
      <c r="AR1774" s="4" t="s">
        <v>63</v>
      </c>
      <c r="AS1774" s="4" t="s">
        <v>63</v>
      </c>
      <c r="AT1774" s="4" t="s">
        <v>63</v>
      </c>
      <c r="AU1774" s="4" t="s">
        <v>63</v>
      </c>
      <c r="AV1774" s="4" t="s">
        <v>63</v>
      </c>
      <c r="AW1774" s="4" t="s">
        <v>63</v>
      </c>
      <c r="AX1774" s="4" t="s">
        <v>63</v>
      </c>
      <c r="AY1774" s="4" t="s">
        <v>63</v>
      </c>
      <c r="AZ1774" s="4" t="s">
        <v>63</v>
      </c>
      <c r="BA1774" s="4" t="s">
        <v>63</v>
      </c>
      <c r="BB1774" s="4" t="s">
        <v>63</v>
      </c>
      <c r="BC1774" s="4" t="s">
        <v>63</v>
      </c>
      <c r="BD1774" s="4" t="s">
        <v>63</v>
      </c>
      <c r="BE1774" s="4" t="s">
        <v>63</v>
      </c>
      <c r="BF1774" s="4" t="s">
        <v>63</v>
      </c>
    </row>
    <row r="1775" spans="1:58">
      <c r="A1775" s="4" t="s">
        <v>58</v>
      </c>
      <c r="B1775" s="4" t="s">
        <v>15438</v>
      </c>
      <c r="C1775" s="4" t="s">
        <v>15439</v>
      </c>
      <c r="D1775" s="4" t="s">
        <v>15440</v>
      </c>
      <c r="E1775" s="4" t="s">
        <v>15440</v>
      </c>
      <c r="F1775" s="4">
        <v>2011</v>
      </c>
      <c r="G1775" s="4" t="s">
        <v>15358</v>
      </c>
      <c r="H1775" s="4">
        <v>31</v>
      </c>
      <c r="I1775" s="4">
        <v>10</v>
      </c>
      <c r="J1775" s="4" t="s">
        <v>15441</v>
      </c>
      <c r="K1775" s="4" t="s">
        <v>15442</v>
      </c>
      <c r="L1775" s="4" t="s">
        <v>15443</v>
      </c>
      <c r="M1775" s="4" t="s">
        <v>15444</v>
      </c>
      <c r="N1775" s="4" t="s">
        <v>15445</v>
      </c>
      <c r="O1775" s="4" t="s">
        <v>63</v>
      </c>
      <c r="P1775" s="4"/>
      <c r="Q1775" s="4" t="s">
        <v>63</v>
      </c>
      <c r="R1775" s="4" t="s">
        <v>63</v>
      </c>
      <c r="S1775" s="4" t="s">
        <v>63</v>
      </c>
      <c r="T1775" s="4" t="s">
        <v>63</v>
      </c>
      <c r="U1775" s="4"/>
      <c r="V1775" s="4"/>
      <c r="W1775" s="4"/>
      <c r="X1775" s="4" t="s">
        <v>63</v>
      </c>
      <c r="Y1775" s="4" t="s">
        <v>15446</v>
      </c>
      <c r="Z1775" s="4" t="s">
        <v>63</v>
      </c>
      <c r="AA1775" s="4" t="s">
        <v>63</v>
      </c>
      <c r="AB1775" s="4" t="s">
        <v>63</v>
      </c>
      <c r="AC1775" s="4" t="s">
        <v>67</v>
      </c>
      <c r="AD1775" s="4" t="s">
        <v>63</v>
      </c>
      <c r="AE1775" s="4" t="s">
        <v>63</v>
      </c>
      <c r="AF1775" s="4" t="s">
        <v>63</v>
      </c>
      <c r="AG1775" s="4" t="s">
        <v>63</v>
      </c>
      <c r="AH1775" s="4" t="s">
        <v>63</v>
      </c>
      <c r="AI1775" s="4" t="s">
        <v>63</v>
      </c>
      <c r="AJ1775" s="4" t="s">
        <v>63</v>
      </c>
      <c r="AK1775" s="4" t="s">
        <v>63</v>
      </c>
      <c r="AL1775" s="4" t="s">
        <v>63</v>
      </c>
      <c r="AM1775" s="4" t="s">
        <v>15439</v>
      </c>
      <c r="AN1775" s="4" t="s">
        <v>63</v>
      </c>
      <c r="AO1775" s="4" t="s">
        <v>63</v>
      </c>
      <c r="AP1775" s="4" t="s">
        <v>63</v>
      </c>
      <c r="AQ1775" s="4" t="s">
        <v>63</v>
      </c>
      <c r="AR1775" s="4" t="s">
        <v>63</v>
      </c>
      <c r="AS1775" s="4" t="s">
        <v>63</v>
      </c>
      <c r="AT1775" s="4" t="s">
        <v>63</v>
      </c>
      <c r="AU1775" s="4" t="s">
        <v>63</v>
      </c>
      <c r="AV1775" s="4" t="s">
        <v>63</v>
      </c>
      <c r="AW1775" s="4" t="s">
        <v>63</v>
      </c>
      <c r="AX1775" s="4" t="s">
        <v>63</v>
      </c>
      <c r="AY1775" s="4" t="s">
        <v>63</v>
      </c>
      <c r="AZ1775" s="4" t="s">
        <v>63</v>
      </c>
      <c r="BA1775" s="4" t="s">
        <v>63</v>
      </c>
      <c r="BB1775" s="4" t="s">
        <v>63</v>
      </c>
      <c r="BC1775" s="4" t="s">
        <v>63</v>
      </c>
      <c r="BD1775" s="4" t="s">
        <v>63</v>
      </c>
      <c r="BE1775" s="4" t="s">
        <v>63</v>
      </c>
      <c r="BF1775" s="4" t="s">
        <v>63</v>
      </c>
    </row>
    <row r="1776" spans="1:58">
      <c r="A1776" s="4" t="s">
        <v>58</v>
      </c>
      <c r="B1776" s="4" t="s">
        <v>15447</v>
      </c>
      <c r="C1776" s="4" t="s">
        <v>15448</v>
      </c>
      <c r="D1776" s="4" t="s">
        <v>1212</v>
      </c>
      <c r="E1776" s="4" t="s">
        <v>63</v>
      </c>
      <c r="F1776" s="4">
        <v>2014</v>
      </c>
      <c r="G1776" s="4" t="s">
        <v>15449</v>
      </c>
      <c r="H1776" s="4">
        <v>8</v>
      </c>
      <c r="I1776" s="4">
        <v>4</v>
      </c>
      <c r="J1776" s="4">
        <v>282</v>
      </c>
      <c r="K1776" s="4">
        <v>287</v>
      </c>
      <c r="L1776" s="4" t="s">
        <v>15450</v>
      </c>
      <c r="M1776" s="4" t="s">
        <v>15451</v>
      </c>
      <c r="N1776" s="4" t="s">
        <v>15452</v>
      </c>
      <c r="O1776" s="4" t="s">
        <v>63</v>
      </c>
      <c r="P1776" s="4"/>
      <c r="Q1776" s="4" t="s">
        <v>63</v>
      </c>
      <c r="R1776" s="4" t="s">
        <v>63</v>
      </c>
      <c r="S1776" s="4" t="s">
        <v>63</v>
      </c>
      <c r="T1776" s="4" t="s">
        <v>63</v>
      </c>
      <c r="U1776" s="4"/>
      <c r="V1776" s="4"/>
      <c r="W1776" s="4"/>
      <c r="X1776" s="4" t="s">
        <v>63</v>
      </c>
      <c r="Y1776" s="4" t="s">
        <v>15084</v>
      </c>
      <c r="Z1776" s="4" t="s">
        <v>63</v>
      </c>
      <c r="AA1776" s="4" t="s">
        <v>63</v>
      </c>
      <c r="AB1776" s="4">
        <v>2014537462</v>
      </c>
      <c r="AC1776" s="4" t="s">
        <v>67</v>
      </c>
      <c r="AD1776" s="4" t="s">
        <v>63</v>
      </c>
      <c r="AE1776" s="4" t="s">
        <v>63</v>
      </c>
      <c r="AF1776" s="4" t="s">
        <v>63</v>
      </c>
      <c r="AG1776" s="4" t="s">
        <v>15453</v>
      </c>
      <c r="AH1776" s="4" t="s">
        <v>63</v>
      </c>
      <c r="AI1776" s="4" t="s">
        <v>15454</v>
      </c>
      <c r="AJ1776" s="4" t="s">
        <v>63</v>
      </c>
      <c r="AK1776" s="4" t="s">
        <v>63</v>
      </c>
      <c r="AL1776" s="4" t="s">
        <v>63</v>
      </c>
      <c r="AM1776" s="4" t="s">
        <v>15455</v>
      </c>
      <c r="AN1776" s="4" t="s">
        <v>63</v>
      </c>
      <c r="AO1776" s="4" t="s">
        <v>63</v>
      </c>
      <c r="AP1776" s="4" t="s">
        <v>63</v>
      </c>
      <c r="AQ1776" s="4" t="s">
        <v>63</v>
      </c>
      <c r="AR1776" s="4" t="s">
        <v>63</v>
      </c>
      <c r="AS1776" s="4" t="s">
        <v>63</v>
      </c>
      <c r="AT1776" s="4" t="s">
        <v>63</v>
      </c>
      <c r="AU1776" s="4" t="s">
        <v>63</v>
      </c>
      <c r="AV1776" s="4" t="s">
        <v>63</v>
      </c>
      <c r="AW1776" s="4" t="s">
        <v>63</v>
      </c>
      <c r="AX1776" s="4" t="s">
        <v>63</v>
      </c>
      <c r="AY1776" s="4" t="s">
        <v>63</v>
      </c>
      <c r="AZ1776" s="4" t="s">
        <v>63</v>
      </c>
      <c r="BA1776" s="4" t="s">
        <v>63</v>
      </c>
      <c r="BB1776" s="4" t="s">
        <v>63</v>
      </c>
      <c r="BC1776" s="4" t="s">
        <v>63</v>
      </c>
      <c r="BD1776" s="4" t="s">
        <v>63</v>
      </c>
      <c r="BE1776" s="4" t="s">
        <v>63</v>
      </c>
      <c r="BF1776" s="4" t="s">
        <v>63</v>
      </c>
    </row>
    <row r="1777" spans="1:58">
      <c r="A1777" s="4" t="s">
        <v>58</v>
      </c>
      <c r="B1777" s="4" t="s">
        <v>15456</v>
      </c>
      <c r="C1777" s="4" t="s">
        <v>15457</v>
      </c>
      <c r="D1777" s="4" t="s">
        <v>5220</v>
      </c>
      <c r="E1777" s="4" t="s">
        <v>5221</v>
      </c>
      <c r="F1777" s="4">
        <v>1970</v>
      </c>
      <c r="G1777" s="4">
        <v>10</v>
      </c>
      <c r="H1777" s="4">
        <v>4</v>
      </c>
      <c r="I1777" s="4">
        <v>5727</v>
      </c>
      <c r="J1777" s="4">
        <v>120</v>
      </c>
      <c r="K1777" s="4" t="s">
        <v>63</v>
      </c>
      <c r="L1777" s="4" t="s">
        <v>15458</v>
      </c>
      <c r="M1777" s="4" t="s">
        <v>63</v>
      </c>
      <c r="N1777" s="4" t="s">
        <v>15459</v>
      </c>
      <c r="O1777" s="4" t="s">
        <v>63</v>
      </c>
      <c r="P1777" s="4"/>
      <c r="Q1777" s="4" t="s">
        <v>63</v>
      </c>
      <c r="R1777" s="4" t="s">
        <v>63</v>
      </c>
      <c r="S1777" s="4" t="s">
        <v>63</v>
      </c>
      <c r="T1777" s="4" t="s">
        <v>63</v>
      </c>
      <c r="U1777" s="4"/>
      <c r="V1777" s="4"/>
      <c r="W1777" s="4"/>
      <c r="X1777" s="4" t="s">
        <v>63</v>
      </c>
      <c r="Y1777" s="4" t="s">
        <v>5224</v>
      </c>
      <c r="Z1777" s="4" t="s">
        <v>63</v>
      </c>
      <c r="AA1777" s="4" t="s">
        <v>63</v>
      </c>
      <c r="AB1777" s="4" t="s">
        <v>63</v>
      </c>
      <c r="AC1777" s="4" t="s">
        <v>67</v>
      </c>
      <c r="AD1777" s="4" t="s">
        <v>63</v>
      </c>
      <c r="AE1777" s="4" t="s">
        <v>63</v>
      </c>
      <c r="AF1777" s="4" t="s">
        <v>63</v>
      </c>
      <c r="AG1777" s="4" t="s">
        <v>15460</v>
      </c>
      <c r="AH1777" s="4" t="s">
        <v>63</v>
      </c>
      <c r="AI1777" s="4" t="s">
        <v>63</v>
      </c>
      <c r="AJ1777" s="4" t="s">
        <v>63</v>
      </c>
      <c r="AK1777" s="4" t="s">
        <v>63</v>
      </c>
      <c r="AL1777" s="4" t="s">
        <v>63</v>
      </c>
      <c r="AM1777" s="4" t="s">
        <v>15461</v>
      </c>
      <c r="AN1777" s="4" t="s">
        <v>63</v>
      </c>
      <c r="AO1777" s="4" t="s">
        <v>63</v>
      </c>
      <c r="AP1777" s="4" t="s">
        <v>63</v>
      </c>
      <c r="AQ1777" s="4" t="s">
        <v>63</v>
      </c>
      <c r="AR1777" s="4" t="s">
        <v>63</v>
      </c>
      <c r="AS1777" s="4" t="s">
        <v>63</v>
      </c>
      <c r="AT1777" s="4" t="s">
        <v>63</v>
      </c>
      <c r="AU1777" s="4" t="s">
        <v>63</v>
      </c>
      <c r="AV1777" s="4" t="s">
        <v>63</v>
      </c>
      <c r="AW1777" s="4" t="s">
        <v>63</v>
      </c>
      <c r="AX1777" s="4" t="s">
        <v>63</v>
      </c>
      <c r="AY1777" s="4" t="s">
        <v>63</v>
      </c>
      <c r="AZ1777" s="4" t="s">
        <v>63</v>
      </c>
      <c r="BA1777" s="4" t="s">
        <v>63</v>
      </c>
      <c r="BB1777" s="4" t="s">
        <v>63</v>
      </c>
      <c r="BC1777" s="4" t="s">
        <v>63</v>
      </c>
      <c r="BD1777" s="4" t="s">
        <v>63</v>
      </c>
      <c r="BE1777" s="4" t="s">
        <v>63</v>
      </c>
      <c r="BF1777" s="4" t="s">
        <v>63</v>
      </c>
    </row>
    <row r="1778" spans="1:58">
      <c r="A1778" s="4" t="s">
        <v>58</v>
      </c>
      <c r="B1778" s="4" t="s">
        <v>15462</v>
      </c>
      <c r="C1778" s="4" t="s">
        <v>15463</v>
      </c>
      <c r="D1778" s="4" t="s">
        <v>155</v>
      </c>
      <c r="E1778" s="4" t="s">
        <v>156</v>
      </c>
      <c r="F1778" s="4">
        <v>2016</v>
      </c>
      <c r="G1778" s="4">
        <v>1</v>
      </c>
      <c r="H1778" s="4">
        <v>68</v>
      </c>
      <c r="I1778" s="4">
        <v>4</v>
      </c>
      <c r="J1778" s="4" t="s">
        <v>15464</v>
      </c>
      <c r="K1778" s="4" t="s">
        <v>63</v>
      </c>
      <c r="L1778" s="4" t="s">
        <v>15465</v>
      </c>
      <c r="M1778" s="4" t="s">
        <v>15466</v>
      </c>
      <c r="N1778" s="4" t="s">
        <v>15467</v>
      </c>
      <c r="O1778" s="4" t="s">
        <v>63</v>
      </c>
      <c r="P1778" s="4"/>
      <c r="Q1778" s="4" t="s">
        <v>63</v>
      </c>
      <c r="R1778" s="4" t="s">
        <v>63</v>
      </c>
      <c r="S1778" s="4" t="s">
        <v>63</v>
      </c>
      <c r="T1778" s="4" t="s">
        <v>63</v>
      </c>
      <c r="U1778" s="4"/>
      <c r="V1778" s="4"/>
      <c r="W1778" s="4"/>
      <c r="X1778" s="4" t="s">
        <v>63</v>
      </c>
      <c r="Y1778" s="4" t="s">
        <v>2310</v>
      </c>
      <c r="Z1778" s="4" t="s">
        <v>63</v>
      </c>
      <c r="AA1778" s="4" t="s">
        <v>63</v>
      </c>
      <c r="AB1778" s="4" t="s">
        <v>63</v>
      </c>
      <c r="AC1778" s="4" t="s">
        <v>67</v>
      </c>
      <c r="AD1778" s="4" t="s">
        <v>63</v>
      </c>
      <c r="AE1778" s="4" t="s">
        <v>63</v>
      </c>
      <c r="AF1778" s="4" t="s">
        <v>63</v>
      </c>
      <c r="AG1778" s="4" t="s">
        <v>63</v>
      </c>
      <c r="AH1778" s="4" t="s">
        <v>63</v>
      </c>
      <c r="AI1778" s="4" t="s">
        <v>63</v>
      </c>
      <c r="AJ1778" s="4" t="s">
        <v>63</v>
      </c>
      <c r="AK1778" s="4" t="s">
        <v>63</v>
      </c>
      <c r="AL1778" s="4" t="s">
        <v>63</v>
      </c>
      <c r="AM1778" s="4" t="s">
        <v>15463</v>
      </c>
      <c r="AN1778" s="4" t="s">
        <v>63</v>
      </c>
      <c r="AO1778" s="4" t="s">
        <v>63</v>
      </c>
      <c r="AP1778" s="4" t="s">
        <v>63</v>
      </c>
      <c r="AQ1778" s="4" t="s">
        <v>63</v>
      </c>
      <c r="AR1778" s="4" t="s">
        <v>63</v>
      </c>
      <c r="AS1778" s="4" t="s">
        <v>63</v>
      </c>
      <c r="AT1778" s="4" t="s">
        <v>63</v>
      </c>
      <c r="AU1778" s="4" t="s">
        <v>63</v>
      </c>
      <c r="AV1778" s="4" t="s">
        <v>63</v>
      </c>
      <c r="AW1778" s="4" t="s">
        <v>63</v>
      </c>
      <c r="AX1778" s="4" t="s">
        <v>63</v>
      </c>
      <c r="AY1778" s="4" t="s">
        <v>63</v>
      </c>
      <c r="AZ1778" s="4" t="s">
        <v>63</v>
      </c>
      <c r="BA1778" s="4" t="s">
        <v>63</v>
      </c>
      <c r="BB1778" s="4" t="s">
        <v>63</v>
      </c>
      <c r="BC1778" s="4" t="s">
        <v>63</v>
      </c>
      <c r="BD1778" s="4" t="s">
        <v>63</v>
      </c>
      <c r="BE1778" s="4" t="s">
        <v>63</v>
      </c>
      <c r="BF1778" s="4" t="s">
        <v>63</v>
      </c>
    </row>
    <row r="1779" spans="1:58">
      <c r="A1779" s="4" t="s">
        <v>58</v>
      </c>
      <c r="B1779" s="4" t="s">
        <v>15468</v>
      </c>
      <c r="C1779" s="4" t="s">
        <v>15469</v>
      </c>
      <c r="D1779" s="4" t="s">
        <v>15470</v>
      </c>
      <c r="E1779" s="4" t="s">
        <v>15471</v>
      </c>
      <c r="F1779" s="4">
        <v>2011</v>
      </c>
      <c r="G1779" s="4" t="s">
        <v>15472</v>
      </c>
      <c r="H1779" s="4" t="s">
        <v>15473</v>
      </c>
      <c r="I1779" s="4" t="s">
        <v>63</v>
      </c>
      <c r="J1779" s="4" t="s">
        <v>15474</v>
      </c>
      <c r="K1779" s="4" t="s">
        <v>63</v>
      </c>
      <c r="L1779" s="4" t="s">
        <v>15475</v>
      </c>
      <c r="M1779" s="4" t="s">
        <v>15476</v>
      </c>
      <c r="N1779" s="4" t="s">
        <v>15477</v>
      </c>
      <c r="O1779" s="4" t="s">
        <v>63</v>
      </c>
      <c r="P1779" s="4"/>
      <c r="Q1779" s="4" t="s">
        <v>63</v>
      </c>
      <c r="R1779" s="4" t="s">
        <v>63</v>
      </c>
      <c r="S1779" s="4" t="s">
        <v>63</v>
      </c>
      <c r="T1779" s="4" t="s">
        <v>63</v>
      </c>
      <c r="U1779" s="4"/>
      <c r="V1779" s="4"/>
      <c r="W1779" s="4"/>
      <c r="X1779" s="4" t="s">
        <v>63</v>
      </c>
      <c r="Y1779" s="4" t="s">
        <v>15478</v>
      </c>
      <c r="Z1779" s="4" t="s">
        <v>63</v>
      </c>
      <c r="AA1779" s="4" t="s">
        <v>63</v>
      </c>
      <c r="AB1779" s="4" t="s">
        <v>63</v>
      </c>
      <c r="AC1779" s="4" t="s">
        <v>67</v>
      </c>
      <c r="AD1779" s="4" t="s">
        <v>63</v>
      </c>
      <c r="AE1779" s="4" t="s">
        <v>63</v>
      </c>
      <c r="AF1779" s="4" t="s">
        <v>63</v>
      </c>
      <c r="AG1779" s="4" t="s">
        <v>63</v>
      </c>
      <c r="AH1779" s="4" t="s">
        <v>63</v>
      </c>
      <c r="AI1779" s="4" t="s">
        <v>15479</v>
      </c>
      <c r="AJ1779" s="4" t="s">
        <v>63</v>
      </c>
      <c r="AK1779" s="4" t="s">
        <v>63</v>
      </c>
      <c r="AL1779" s="4" t="s">
        <v>63</v>
      </c>
      <c r="AM1779" s="4" t="s">
        <v>15469</v>
      </c>
      <c r="AN1779" s="4" t="s">
        <v>63</v>
      </c>
      <c r="AO1779" s="4" t="s">
        <v>63</v>
      </c>
      <c r="AP1779" s="4" t="s">
        <v>63</v>
      </c>
      <c r="AQ1779" s="4" t="s">
        <v>63</v>
      </c>
      <c r="AR1779" s="4" t="s">
        <v>63</v>
      </c>
      <c r="AS1779" s="4" t="s">
        <v>63</v>
      </c>
      <c r="AT1779" s="4" t="s">
        <v>63</v>
      </c>
      <c r="AU1779" s="4" t="s">
        <v>63</v>
      </c>
      <c r="AV1779" s="4" t="s">
        <v>63</v>
      </c>
      <c r="AW1779" s="4" t="s">
        <v>63</v>
      </c>
      <c r="AX1779" s="4" t="s">
        <v>63</v>
      </c>
      <c r="AY1779" s="4" t="s">
        <v>63</v>
      </c>
      <c r="AZ1779" s="4" t="s">
        <v>63</v>
      </c>
      <c r="BA1779" s="4" t="s">
        <v>63</v>
      </c>
      <c r="BB1779" s="4" t="s">
        <v>63</v>
      </c>
      <c r="BC1779" s="4" t="s">
        <v>63</v>
      </c>
      <c r="BD1779" s="4" t="s">
        <v>63</v>
      </c>
      <c r="BE1779" s="4" t="s">
        <v>63</v>
      </c>
      <c r="BF1779" s="4" t="s">
        <v>63</v>
      </c>
    </row>
    <row r="1780" spans="1:58">
      <c r="A1780" s="4" t="s">
        <v>58</v>
      </c>
      <c r="B1780" s="4" t="s">
        <v>15480</v>
      </c>
      <c r="C1780" s="4" t="s">
        <v>15481</v>
      </c>
      <c r="D1780" s="4" t="s">
        <v>15482</v>
      </c>
      <c r="E1780" s="4" t="s">
        <v>63</v>
      </c>
      <c r="F1780" s="4">
        <v>2009</v>
      </c>
      <c r="G1780" s="4" t="s">
        <v>15155</v>
      </c>
      <c r="H1780" s="4" t="s">
        <v>15483</v>
      </c>
      <c r="I1780" s="4" t="s">
        <v>63</v>
      </c>
      <c r="J1780" s="4" t="s">
        <v>15484</v>
      </c>
      <c r="K1780" s="4" t="s">
        <v>63</v>
      </c>
      <c r="L1780" s="4" t="s">
        <v>15485</v>
      </c>
      <c r="M1780" s="4" t="s">
        <v>15486</v>
      </c>
      <c r="N1780" s="4" t="s">
        <v>15487</v>
      </c>
      <c r="O1780" s="4" t="s">
        <v>63</v>
      </c>
      <c r="P1780" s="4"/>
      <c r="Q1780" s="4" t="s">
        <v>63</v>
      </c>
      <c r="R1780" s="4" t="s">
        <v>63</v>
      </c>
      <c r="S1780" s="4" t="s">
        <v>63</v>
      </c>
      <c r="T1780" s="4" t="s">
        <v>63</v>
      </c>
      <c r="U1780" s="4"/>
      <c r="V1780" s="4"/>
      <c r="W1780" s="4"/>
      <c r="X1780" s="4" t="s">
        <v>63</v>
      </c>
      <c r="Y1780" s="4" t="s">
        <v>4853</v>
      </c>
      <c r="Z1780" s="4" t="s">
        <v>63</v>
      </c>
      <c r="AA1780" s="4" t="s">
        <v>63</v>
      </c>
      <c r="AB1780" s="4" t="s">
        <v>63</v>
      </c>
      <c r="AC1780" s="4" t="s">
        <v>67</v>
      </c>
      <c r="AD1780" s="4" t="s">
        <v>63</v>
      </c>
      <c r="AE1780" s="4" t="s">
        <v>63</v>
      </c>
      <c r="AF1780" s="4" t="s">
        <v>63</v>
      </c>
      <c r="AG1780" s="4" t="s">
        <v>63</v>
      </c>
      <c r="AH1780" s="4" t="s">
        <v>63</v>
      </c>
      <c r="AI1780" s="4" t="s">
        <v>15488</v>
      </c>
      <c r="AJ1780" s="4" t="s">
        <v>63</v>
      </c>
      <c r="AK1780" s="4" t="s">
        <v>63</v>
      </c>
      <c r="AL1780" s="4" t="s">
        <v>63</v>
      </c>
      <c r="AM1780" s="4" t="s">
        <v>15481</v>
      </c>
      <c r="AN1780" s="4" t="s">
        <v>63</v>
      </c>
      <c r="AO1780" s="4" t="s">
        <v>63</v>
      </c>
      <c r="AP1780" s="4" t="s">
        <v>63</v>
      </c>
      <c r="AQ1780" s="4" t="s">
        <v>63</v>
      </c>
      <c r="AR1780" s="4" t="s">
        <v>63</v>
      </c>
      <c r="AS1780" s="4" t="s">
        <v>63</v>
      </c>
      <c r="AT1780" s="4" t="s">
        <v>63</v>
      </c>
      <c r="AU1780" s="4" t="s">
        <v>63</v>
      </c>
      <c r="AV1780" s="4" t="s">
        <v>63</v>
      </c>
      <c r="AW1780" s="4" t="s">
        <v>63</v>
      </c>
      <c r="AX1780" s="4" t="s">
        <v>63</v>
      </c>
      <c r="AY1780" s="4" t="s">
        <v>63</v>
      </c>
      <c r="AZ1780" s="4" t="s">
        <v>63</v>
      </c>
      <c r="BA1780" s="4" t="s">
        <v>63</v>
      </c>
      <c r="BB1780" s="4" t="s">
        <v>63</v>
      </c>
      <c r="BC1780" s="4" t="s">
        <v>63</v>
      </c>
      <c r="BD1780" s="4" t="s">
        <v>63</v>
      </c>
      <c r="BE1780" s="4" t="s">
        <v>63</v>
      </c>
      <c r="BF1780" s="4" t="s">
        <v>63</v>
      </c>
    </row>
    <row r="1781" spans="1:58">
      <c r="A1781" s="4" t="s">
        <v>58</v>
      </c>
      <c r="B1781" s="4" t="s">
        <v>15489</v>
      </c>
      <c r="C1781" s="4" t="s">
        <v>15490</v>
      </c>
      <c r="D1781" s="4" t="s">
        <v>1728</v>
      </c>
      <c r="E1781" s="4" t="s">
        <v>1729</v>
      </c>
      <c r="F1781" s="4">
        <v>2012</v>
      </c>
      <c r="G1781" s="4" t="s">
        <v>15472</v>
      </c>
      <c r="H1781" s="4">
        <v>44</v>
      </c>
      <c r="I1781" s="4">
        <v>4</v>
      </c>
      <c r="J1781" s="4">
        <v>285</v>
      </c>
      <c r="K1781" s="4">
        <v>291</v>
      </c>
      <c r="L1781" s="4" t="s">
        <v>15491</v>
      </c>
      <c r="M1781" s="4" t="s">
        <v>15492</v>
      </c>
      <c r="N1781" s="4" t="s">
        <v>15493</v>
      </c>
      <c r="O1781" s="4" t="s">
        <v>63</v>
      </c>
      <c r="P1781" s="4"/>
      <c r="Q1781" s="4" t="s">
        <v>63</v>
      </c>
      <c r="R1781" s="4" t="s">
        <v>63</v>
      </c>
      <c r="S1781" s="4" t="s">
        <v>63</v>
      </c>
      <c r="T1781" s="4" t="s">
        <v>63</v>
      </c>
      <c r="U1781" s="4"/>
      <c r="V1781" s="4"/>
      <c r="W1781" s="4"/>
      <c r="X1781" s="4" t="s">
        <v>63</v>
      </c>
      <c r="Y1781" s="4" t="s">
        <v>15494</v>
      </c>
      <c r="Z1781" s="4" t="s">
        <v>63</v>
      </c>
      <c r="AA1781" s="4" t="s">
        <v>63</v>
      </c>
      <c r="AB1781" s="4">
        <v>2012655082</v>
      </c>
      <c r="AC1781" s="4" t="s">
        <v>67</v>
      </c>
      <c r="AD1781" s="4" t="s">
        <v>63</v>
      </c>
      <c r="AE1781" s="4" t="s">
        <v>63</v>
      </c>
      <c r="AF1781" s="4" t="s">
        <v>63</v>
      </c>
      <c r="AG1781" s="4" t="s">
        <v>15495</v>
      </c>
      <c r="AH1781" s="4" t="s">
        <v>63</v>
      </c>
      <c r="AI1781" s="4" t="s">
        <v>15496</v>
      </c>
      <c r="AJ1781" s="4" t="s">
        <v>63</v>
      </c>
      <c r="AK1781" s="4" t="s">
        <v>63</v>
      </c>
      <c r="AL1781" s="4" t="s">
        <v>63</v>
      </c>
      <c r="AM1781" s="4" t="s">
        <v>15497</v>
      </c>
      <c r="AN1781" s="4" t="s">
        <v>63</v>
      </c>
      <c r="AO1781" s="4" t="s">
        <v>63</v>
      </c>
      <c r="AP1781" s="4" t="s">
        <v>63</v>
      </c>
      <c r="AQ1781" s="4" t="s">
        <v>63</v>
      </c>
      <c r="AR1781" s="4" t="s">
        <v>63</v>
      </c>
      <c r="AS1781" s="4" t="s">
        <v>63</v>
      </c>
      <c r="AT1781" s="4" t="s">
        <v>63</v>
      </c>
      <c r="AU1781" s="4" t="s">
        <v>63</v>
      </c>
      <c r="AV1781" s="4" t="s">
        <v>63</v>
      </c>
      <c r="AW1781" s="4" t="s">
        <v>63</v>
      </c>
      <c r="AX1781" s="4" t="s">
        <v>63</v>
      </c>
      <c r="AY1781" s="4" t="s">
        <v>63</v>
      </c>
      <c r="AZ1781" s="4" t="s">
        <v>63</v>
      </c>
      <c r="BA1781" s="4" t="s">
        <v>63</v>
      </c>
      <c r="BB1781" s="4" t="s">
        <v>63</v>
      </c>
      <c r="BC1781" s="4" t="s">
        <v>63</v>
      </c>
      <c r="BD1781" s="4" t="s">
        <v>63</v>
      </c>
      <c r="BE1781" s="4" t="s">
        <v>63</v>
      </c>
      <c r="BF1781" s="4" t="s">
        <v>63</v>
      </c>
    </row>
    <row r="1782" spans="1:58">
      <c r="A1782" s="4" t="s">
        <v>58</v>
      </c>
      <c r="B1782" s="4" t="s">
        <v>15498</v>
      </c>
      <c r="C1782" s="4" t="s">
        <v>15499</v>
      </c>
      <c r="D1782" s="4" t="s">
        <v>15482</v>
      </c>
      <c r="E1782" s="4" t="s">
        <v>63</v>
      </c>
      <c r="F1782" s="4">
        <v>2012</v>
      </c>
      <c r="G1782" s="4" t="s">
        <v>15472</v>
      </c>
      <c r="H1782" s="4" t="s">
        <v>15500</v>
      </c>
      <c r="I1782" s="4" t="s">
        <v>63</v>
      </c>
      <c r="J1782" s="4" t="s">
        <v>15501</v>
      </c>
      <c r="K1782" s="4" t="s">
        <v>63</v>
      </c>
      <c r="L1782" s="4" t="s">
        <v>15502</v>
      </c>
      <c r="M1782" s="4" t="s">
        <v>15503</v>
      </c>
      <c r="N1782" s="4" t="s">
        <v>15504</v>
      </c>
      <c r="O1782" s="4" t="s">
        <v>63</v>
      </c>
      <c r="P1782" s="4"/>
      <c r="Q1782" s="4" t="s">
        <v>63</v>
      </c>
      <c r="R1782" s="4" t="s">
        <v>63</v>
      </c>
      <c r="S1782" s="4" t="s">
        <v>63</v>
      </c>
      <c r="T1782" s="4" t="s">
        <v>63</v>
      </c>
      <c r="U1782" s="4"/>
      <c r="V1782" s="4"/>
      <c r="W1782" s="4"/>
      <c r="X1782" s="4" t="s">
        <v>63</v>
      </c>
      <c r="Y1782" s="4" t="s">
        <v>4853</v>
      </c>
      <c r="Z1782" s="4" t="s">
        <v>63</v>
      </c>
      <c r="AA1782" s="4" t="s">
        <v>63</v>
      </c>
      <c r="AB1782" s="4" t="s">
        <v>63</v>
      </c>
      <c r="AC1782" s="4" t="s">
        <v>67</v>
      </c>
      <c r="AD1782" s="4" t="s">
        <v>63</v>
      </c>
      <c r="AE1782" s="4" t="s">
        <v>63</v>
      </c>
      <c r="AF1782" s="4" t="s">
        <v>63</v>
      </c>
      <c r="AG1782" s="4" t="s">
        <v>63</v>
      </c>
      <c r="AH1782" s="4" t="s">
        <v>63</v>
      </c>
      <c r="AI1782" s="4" t="s">
        <v>15505</v>
      </c>
      <c r="AJ1782" s="4" t="s">
        <v>63</v>
      </c>
      <c r="AK1782" s="4" t="s">
        <v>63</v>
      </c>
      <c r="AL1782" s="4" t="s">
        <v>63</v>
      </c>
      <c r="AM1782" s="4" t="s">
        <v>15499</v>
      </c>
      <c r="AN1782" s="4" t="s">
        <v>63</v>
      </c>
      <c r="AO1782" s="4" t="s">
        <v>63</v>
      </c>
      <c r="AP1782" s="4" t="s">
        <v>63</v>
      </c>
      <c r="AQ1782" s="4" t="s">
        <v>63</v>
      </c>
      <c r="AR1782" s="4" t="s">
        <v>63</v>
      </c>
      <c r="AS1782" s="4" t="s">
        <v>63</v>
      </c>
      <c r="AT1782" s="4" t="s">
        <v>63</v>
      </c>
      <c r="AU1782" s="4" t="s">
        <v>63</v>
      </c>
      <c r="AV1782" s="4" t="s">
        <v>63</v>
      </c>
      <c r="AW1782" s="4" t="s">
        <v>63</v>
      </c>
      <c r="AX1782" s="4" t="s">
        <v>63</v>
      </c>
      <c r="AY1782" s="4" t="s">
        <v>63</v>
      </c>
      <c r="AZ1782" s="4" t="s">
        <v>63</v>
      </c>
      <c r="BA1782" s="4" t="s">
        <v>63</v>
      </c>
      <c r="BB1782" s="4" t="s">
        <v>63</v>
      </c>
      <c r="BC1782" s="4" t="s">
        <v>63</v>
      </c>
      <c r="BD1782" s="4" t="s">
        <v>63</v>
      </c>
      <c r="BE1782" s="4" t="s">
        <v>63</v>
      </c>
      <c r="BF1782" s="4" t="s">
        <v>63</v>
      </c>
    </row>
    <row r="1783" spans="1:58">
      <c r="A1783" s="4" t="s">
        <v>58</v>
      </c>
      <c r="B1783" s="4" t="s">
        <v>15506</v>
      </c>
      <c r="C1783" s="4" t="s">
        <v>15507</v>
      </c>
      <c r="D1783" s="4" t="s">
        <v>11901</v>
      </c>
      <c r="E1783" s="4" t="s">
        <v>63</v>
      </c>
      <c r="F1783" s="4">
        <v>2014</v>
      </c>
      <c r="G1783" s="4" t="s">
        <v>15508</v>
      </c>
      <c r="H1783" s="4" t="s">
        <v>15509</v>
      </c>
      <c r="I1783" s="4" t="s">
        <v>63</v>
      </c>
      <c r="J1783" s="4" t="s">
        <v>13839</v>
      </c>
      <c r="K1783" s="4" t="s">
        <v>63</v>
      </c>
      <c r="L1783" s="4" t="s">
        <v>15510</v>
      </c>
      <c r="M1783" s="4" t="s">
        <v>15511</v>
      </c>
      <c r="N1783" s="4" t="s">
        <v>15512</v>
      </c>
      <c r="O1783" s="4" t="s">
        <v>63</v>
      </c>
      <c r="P1783" s="4"/>
      <c r="Q1783" s="4" t="s">
        <v>63</v>
      </c>
      <c r="R1783" s="4" t="s">
        <v>63</v>
      </c>
      <c r="S1783" s="4" t="s">
        <v>63</v>
      </c>
      <c r="T1783" s="4" t="s">
        <v>63</v>
      </c>
      <c r="U1783" s="4"/>
      <c r="V1783" s="4"/>
      <c r="W1783" s="4"/>
      <c r="X1783" s="4" t="s">
        <v>63</v>
      </c>
      <c r="Y1783" s="4" t="s">
        <v>11904</v>
      </c>
      <c r="Z1783" s="4" t="s">
        <v>63</v>
      </c>
      <c r="AA1783" s="4" t="s">
        <v>63</v>
      </c>
      <c r="AB1783" s="4" t="s">
        <v>63</v>
      </c>
      <c r="AC1783" s="4" t="s">
        <v>67</v>
      </c>
      <c r="AD1783" s="4" t="s">
        <v>63</v>
      </c>
      <c r="AE1783" s="4" t="s">
        <v>63</v>
      </c>
      <c r="AF1783" s="4" t="s">
        <v>63</v>
      </c>
      <c r="AG1783" s="4" t="s">
        <v>63</v>
      </c>
      <c r="AH1783" s="4" t="s">
        <v>63</v>
      </c>
      <c r="AI1783" s="4" t="s">
        <v>63</v>
      </c>
      <c r="AJ1783" s="4" t="s">
        <v>63</v>
      </c>
      <c r="AK1783" s="4" t="s">
        <v>63</v>
      </c>
      <c r="AL1783" s="4" t="s">
        <v>63</v>
      </c>
      <c r="AM1783" s="4" t="s">
        <v>15507</v>
      </c>
      <c r="AN1783" s="4" t="s">
        <v>63</v>
      </c>
      <c r="AO1783" s="4" t="s">
        <v>63</v>
      </c>
      <c r="AP1783" s="4" t="s">
        <v>63</v>
      </c>
      <c r="AQ1783" s="4" t="s">
        <v>63</v>
      </c>
      <c r="AR1783" s="4" t="s">
        <v>63</v>
      </c>
      <c r="AS1783" s="4" t="s">
        <v>63</v>
      </c>
      <c r="AT1783" s="4" t="s">
        <v>63</v>
      </c>
      <c r="AU1783" s="4" t="s">
        <v>63</v>
      </c>
      <c r="AV1783" s="4" t="s">
        <v>63</v>
      </c>
      <c r="AW1783" s="4" t="s">
        <v>63</v>
      </c>
      <c r="AX1783" s="4" t="s">
        <v>63</v>
      </c>
      <c r="AY1783" s="4" t="s">
        <v>63</v>
      </c>
      <c r="AZ1783" s="4" t="s">
        <v>63</v>
      </c>
      <c r="BA1783" s="4" t="s">
        <v>63</v>
      </c>
      <c r="BB1783" s="4" t="s">
        <v>63</v>
      </c>
      <c r="BC1783" s="4" t="s">
        <v>63</v>
      </c>
      <c r="BD1783" s="4" t="s">
        <v>63</v>
      </c>
      <c r="BE1783" s="4" t="s">
        <v>63</v>
      </c>
      <c r="BF1783" s="4" t="s">
        <v>63</v>
      </c>
    </row>
    <row r="1784" spans="1:58">
      <c r="A1784" s="4" t="s">
        <v>58</v>
      </c>
      <c r="B1784" s="4" t="s">
        <v>15513</v>
      </c>
      <c r="C1784" s="4" t="s">
        <v>15514</v>
      </c>
      <c r="D1784" s="4" t="s">
        <v>15515</v>
      </c>
      <c r="E1784" s="4" t="s">
        <v>15516</v>
      </c>
      <c r="F1784" s="4">
        <v>2005</v>
      </c>
      <c r="G1784" s="4">
        <v>7</v>
      </c>
      <c r="H1784" s="4">
        <v>294</v>
      </c>
      <c r="I1784" s="4">
        <v>9</v>
      </c>
      <c r="J1784" s="4">
        <v>1025</v>
      </c>
      <c r="K1784" s="4">
        <v>1033</v>
      </c>
      <c r="L1784" s="4" t="s">
        <v>15517</v>
      </c>
      <c r="M1784" s="4" t="s">
        <v>15518</v>
      </c>
      <c r="N1784" s="4" t="s">
        <v>15519</v>
      </c>
      <c r="O1784" s="4" t="s">
        <v>63</v>
      </c>
      <c r="P1784" s="4"/>
      <c r="Q1784" s="4" t="s">
        <v>63</v>
      </c>
      <c r="R1784" s="4" t="s">
        <v>63</v>
      </c>
      <c r="S1784" s="4" t="s">
        <v>63</v>
      </c>
      <c r="T1784" s="4" t="s">
        <v>63</v>
      </c>
      <c r="U1784" s="4"/>
      <c r="V1784" s="4"/>
      <c r="W1784" s="4"/>
      <c r="X1784" s="4" t="s">
        <v>63</v>
      </c>
      <c r="Y1784" s="4" t="s">
        <v>15520</v>
      </c>
      <c r="Z1784" s="4" t="s">
        <v>63</v>
      </c>
      <c r="AA1784" s="4" t="s">
        <v>63</v>
      </c>
      <c r="AB1784" s="4">
        <v>2005402006</v>
      </c>
      <c r="AC1784" s="4" t="s">
        <v>67</v>
      </c>
      <c r="AD1784" s="4" t="s">
        <v>63</v>
      </c>
      <c r="AE1784" s="4" t="s">
        <v>63</v>
      </c>
      <c r="AF1784" s="4" t="s">
        <v>63</v>
      </c>
      <c r="AG1784" s="4" t="s">
        <v>15521</v>
      </c>
      <c r="AH1784" s="4" t="s">
        <v>63</v>
      </c>
      <c r="AI1784" s="4" t="s">
        <v>15522</v>
      </c>
      <c r="AJ1784" s="4" t="s">
        <v>63</v>
      </c>
      <c r="AK1784" s="4" t="s">
        <v>63</v>
      </c>
      <c r="AL1784" s="4" t="s">
        <v>63</v>
      </c>
      <c r="AM1784" s="4" t="s">
        <v>15523</v>
      </c>
      <c r="AN1784" s="4" t="s">
        <v>63</v>
      </c>
      <c r="AO1784" s="4" t="s">
        <v>63</v>
      </c>
      <c r="AP1784" s="4" t="s">
        <v>63</v>
      </c>
      <c r="AQ1784" s="4" t="s">
        <v>63</v>
      </c>
      <c r="AR1784" s="4" t="s">
        <v>63</v>
      </c>
      <c r="AS1784" s="4" t="s">
        <v>63</v>
      </c>
      <c r="AT1784" s="4" t="s">
        <v>63</v>
      </c>
      <c r="AU1784" s="4" t="s">
        <v>63</v>
      </c>
      <c r="AV1784" s="4" t="s">
        <v>63</v>
      </c>
      <c r="AW1784" s="4" t="s">
        <v>63</v>
      </c>
      <c r="AX1784" s="4" t="s">
        <v>63</v>
      </c>
      <c r="AY1784" s="4" t="s">
        <v>63</v>
      </c>
      <c r="AZ1784" s="4" t="s">
        <v>63</v>
      </c>
      <c r="BA1784" s="4" t="s">
        <v>63</v>
      </c>
      <c r="BB1784" s="4" t="s">
        <v>63</v>
      </c>
      <c r="BC1784" s="4" t="s">
        <v>63</v>
      </c>
      <c r="BD1784" s="4" t="s">
        <v>63</v>
      </c>
      <c r="BE1784" s="4" t="s">
        <v>63</v>
      </c>
      <c r="BF1784" s="4" t="s">
        <v>63</v>
      </c>
    </row>
    <row r="1785" spans="1:58">
      <c r="A1785" s="4" t="s">
        <v>58</v>
      </c>
      <c r="B1785" s="4" t="s">
        <v>15524</v>
      </c>
      <c r="C1785" s="4" t="s">
        <v>15525</v>
      </c>
      <c r="D1785" s="4" t="s">
        <v>1212</v>
      </c>
      <c r="E1785" s="4" t="s">
        <v>63</v>
      </c>
      <c r="F1785" s="4">
        <v>2013</v>
      </c>
      <c r="G1785" s="4" t="s">
        <v>15526</v>
      </c>
      <c r="H1785" s="4">
        <v>7</v>
      </c>
      <c r="I1785" s="4">
        <v>1</v>
      </c>
      <c r="J1785" s="4">
        <v>1</v>
      </c>
      <c r="K1785" s="4">
        <v>7</v>
      </c>
      <c r="L1785" s="4" t="s">
        <v>15527</v>
      </c>
      <c r="M1785" s="4" t="s">
        <v>15528</v>
      </c>
      <c r="N1785" s="4" t="s">
        <v>15529</v>
      </c>
      <c r="O1785" s="4" t="s">
        <v>63</v>
      </c>
      <c r="P1785" s="4"/>
      <c r="Q1785" s="4" t="s">
        <v>63</v>
      </c>
      <c r="R1785" s="4" t="s">
        <v>63</v>
      </c>
      <c r="S1785" s="4" t="s">
        <v>63</v>
      </c>
      <c r="T1785" s="4" t="s">
        <v>63</v>
      </c>
      <c r="U1785" s="4"/>
      <c r="V1785" s="4"/>
      <c r="W1785" s="4"/>
      <c r="X1785" s="4" t="s">
        <v>63</v>
      </c>
      <c r="Y1785" s="4" t="s">
        <v>15530</v>
      </c>
      <c r="Z1785" s="4" t="s">
        <v>63</v>
      </c>
      <c r="AA1785" s="4" t="s">
        <v>63</v>
      </c>
      <c r="AB1785" s="4">
        <v>2013319516</v>
      </c>
      <c r="AC1785" s="4" t="s">
        <v>67</v>
      </c>
      <c r="AD1785" s="4" t="s">
        <v>63</v>
      </c>
      <c r="AE1785" s="4" t="s">
        <v>63</v>
      </c>
      <c r="AF1785" s="4" t="s">
        <v>63</v>
      </c>
      <c r="AG1785" s="4" t="s">
        <v>15531</v>
      </c>
      <c r="AH1785" s="4" t="s">
        <v>63</v>
      </c>
      <c r="AI1785" s="4" t="s">
        <v>15532</v>
      </c>
      <c r="AJ1785" s="4" t="s">
        <v>63</v>
      </c>
      <c r="AK1785" s="4" t="s">
        <v>63</v>
      </c>
      <c r="AL1785" s="4" t="s">
        <v>63</v>
      </c>
      <c r="AM1785" s="4" t="s">
        <v>15533</v>
      </c>
      <c r="AN1785" s="4" t="s">
        <v>63</v>
      </c>
      <c r="AO1785" s="4" t="s">
        <v>63</v>
      </c>
      <c r="AP1785" s="4" t="s">
        <v>63</v>
      </c>
      <c r="AQ1785" s="4" t="s">
        <v>63</v>
      </c>
      <c r="AR1785" s="4" t="s">
        <v>63</v>
      </c>
      <c r="AS1785" s="4" t="s">
        <v>63</v>
      </c>
      <c r="AT1785" s="4" t="s">
        <v>63</v>
      </c>
      <c r="AU1785" s="4" t="s">
        <v>63</v>
      </c>
      <c r="AV1785" s="4" t="s">
        <v>63</v>
      </c>
      <c r="AW1785" s="4" t="s">
        <v>63</v>
      </c>
      <c r="AX1785" s="4" t="s">
        <v>63</v>
      </c>
      <c r="AY1785" s="4" t="s">
        <v>63</v>
      </c>
      <c r="AZ1785" s="4" t="s">
        <v>63</v>
      </c>
      <c r="BA1785" s="4" t="s">
        <v>63</v>
      </c>
      <c r="BB1785" s="4" t="s">
        <v>63</v>
      </c>
      <c r="BC1785" s="4" t="s">
        <v>63</v>
      </c>
      <c r="BD1785" s="4" t="s">
        <v>63</v>
      </c>
      <c r="BE1785" s="4" t="s">
        <v>63</v>
      </c>
      <c r="BF1785" s="4" t="s">
        <v>63</v>
      </c>
    </row>
    <row r="1786" spans="1:58">
      <c r="A1786" s="4" t="s">
        <v>58</v>
      </c>
      <c r="B1786" s="4" t="s">
        <v>15534</v>
      </c>
      <c r="C1786" s="4" t="s">
        <v>15535</v>
      </c>
      <c r="D1786" s="4" t="s">
        <v>15536</v>
      </c>
      <c r="E1786" s="4" t="s">
        <v>15537</v>
      </c>
      <c r="F1786" s="4">
        <v>2015</v>
      </c>
      <c r="G1786" s="4">
        <v>1</v>
      </c>
      <c r="H1786" s="4">
        <v>56</v>
      </c>
      <c r="I1786" s="4">
        <v>7</v>
      </c>
      <c r="J1786" s="4">
        <v>125</v>
      </c>
      <c r="K1786" s="4" t="s">
        <v>63</v>
      </c>
      <c r="L1786" s="4" t="s">
        <v>15538</v>
      </c>
      <c r="M1786" s="4" t="s">
        <v>15539</v>
      </c>
      <c r="N1786" s="4" t="s">
        <v>15540</v>
      </c>
      <c r="O1786" s="4" t="s">
        <v>63</v>
      </c>
      <c r="P1786" s="4"/>
      <c r="Q1786" s="4" t="s">
        <v>63</v>
      </c>
      <c r="R1786" s="4" t="s">
        <v>63</v>
      </c>
      <c r="S1786" s="4" t="s">
        <v>63</v>
      </c>
      <c r="T1786" s="4" t="s">
        <v>63</v>
      </c>
      <c r="U1786" s="4"/>
      <c r="V1786" s="4"/>
      <c r="W1786" s="4"/>
      <c r="X1786" s="4" t="s">
        <v>63</v>
      </c>
      <c r="Y1786" s="4" t="s">
        <v>15541</v>
      </c>
      <c r="Z1786" s="4" t="s">
        <v>63</v>
      </c>
      <c r="AA1786" s="4" t="s">
        <v>63</v>
      </c>
      <c r="AB1786" s="4" t="s">
        <v>63</v>
      </c>
      <c r="AC1786" s="4" t="s">
        <v>67</v>
      </c>
      <c r="AD1786" s="4" t="s">
        <v>63</v>
      </c>
      <c r="AE1786" s="4" t="s">
        <v>63</v>
      </c>
      <c r="AF1786" s="4" t="s">
        <v>63</v>
      </c>
      <c r="AG1786" s="4" t="s">
        <v>63</v>
      </c>
      <c r="AH1786" s="4" t="s">
        <v>63</v>
      </c>
      <c r="AI1786" s="4" t="s">
        <v>63</v>
      </c>
      <c r="AJ1786" s="4" t="s">
        <v>63</v>
      </c>
      <c r="AK1786" s="4" t="s">
        <v>63</v>
      </c>
      <c r="AL1786" s="4" t="s">
        <v>63</v>
      </c>
      <c r="AM1786" s="4" t="s">
        <v>15535</v>
      </c>
      <c r="AN1786" s="4" t="s">
        <v>63</v>
      </c>
      <c r="AO1786" s="4" t="s">
        <v>63</v>
      </c>
      <c r="AP1786" s="4" t="s">
        <v>63</v>
      </c>
      <c r="AQ1786" s="4" t="s">
        <v>63</v>
      </c>
      <c r="AR1786" s="4" t="s">
        <v>63</v>
      </c>
      <c r="AS1786" s="4" t="s">
        <v>63</v>
      </c>
      <c r="AT1786" s="4" t="s">
        <v>63</v>
      </c>
      <c r="AU1786" s="4" t="s">
        <v>63</v>
      </c>
      <c r="AV1786" s="4" t="s">
        <v>63</v>
      </c>
      <c r="AW1786" s="4" t="s">
        <v>63</v>
      </c>
      <c r="AX1786" s="4" t="s">
        <v>63</v>
      </c>
      <c r="AY1786" s="4" t="s">
        <v>63</v>
      </c>
      <c r="AZ1786" s="4" t="s">
        <v>63</v>
      </c>
      <c r="BA1786" s="4" t="s">
        <v>63</v>
      </c>
      <c r="BB1786" s="4" t="s">
        <v>63</v>
      </c>
      <c r="BC1786" s="4" t="s">
        <v>63</v>
      </c>
      <c r="BD1786" s="4" t="s">
        <v>63</v>
      </c>
      <c r="BE1786" s="4" t="s">
        <v>63</v>
      </c>
      <c r="BF1786" s="4" t="s">
        <v>63</v>
      </c>
    </row>
    <row r="1787" spans="1:58">
      <c r="A1787" s="4" t="s">
        <v>58</v>
      </c>
      <c r="B1787" s="4" t="s">
        <v>15542</v>
      </c>
      <c r="C1787" s="4" t="s">
        <v>15543</v>
      </c>
      <c r="D1787" s="4" t="s">
        <v>15263</v>
      </c>
      <c r="E1787" s="4" t="s">
        <v>15264</v>
      </c>
      <c r="F1787" s="4">
        <v>2017</v>
      </c>
      <c r="G1787" s="4">
        <v>1</v>
      </c>
      <c r="H1787" s="4">
        <v>171</v>
      </c>
      <c r="I1787" s="4" t="s">
        <v>63</v>
      </c>
      <c r="J1787" s="4" t="s">
        <v>4607</v>
      </c>
      <c r="K1787" s="4" t="s">
        <v>63</v>
      </c>
      <c r="L1787" s="4" t="s">
        <v>15544</v>
      </c>
      <c r="M1787" s="4" t="s">
        <v>15545</v>
      </c>
      <c r="N1787" s="4" t="s">
        <v>15546</v>
      </c>
      <c r="O1787" s="4" t="s">
        <v>63</v>
      </c>
      <c r="P1787" s="4"/>
      <c r="Q1787" s="4" t="s">
        <v>63</v>
      </c>
      <c r="R1787" s="4" t="s">
        <v>63</v>
      </c>
      <c r="S1787" s="4" t="s">
        <v>63</v>
      </c>
      <c r="T1787" s="4" t="s">
        <v>63</v>
      </c>
      <c r="U1787" s="4"/>
      <c r="V1787" s="4"/>
      <c r="W1787" s="4"/>
      <c r="X1787" s="4" t="s">
        <v>63</v>
      </c>
      <c r="Y1787" s="4" t="s">
        <v>4942</v>
      </c>
      <c r="Z1787" s="4" t="s">
        <v>63</v>
      </c>
      <c r="AA1787" s="4" t="s">
        <v>63</v>
      </c>
      <c r="AB1787" s="4" t="s">
        <v>63</v>
      </c>
      <c r="AC1787" s="4" t="s">
        <v>67</v>
      </c>
      <c r="AD1787" s="4" t="s">
        <v>63</v>
      </c>
      <c r="AE1787" s="4" t="s">
        <v>63</v>
      </c>
      <c r="AF1787" s="4" t="s">
        <v>63</v>
      </c>
      <c r="AG1787" s="4" t="s">
        <v>63</v>
      </c>
      <c r="AH1787" s="4" t="s">
        <v>63</v>
      </c>
      <c r="AI1787" s="4" t="s">
        <v>15547</v>
      </c>
      <c r="AJ1787" s="4" t="s">
        <v>63</v>
      </c>
      <c r="AK1787" s="4" t="s">
        <v>63</v>
      </c>
      <c r="AL1787" s="4" t="s">
        <v>63</v>
      </c>
      <c r="AM1787" s="4" t="s">
        <v>15543</v>
      </c>
      <c r="AN1787" s="4" t="s">
        <v>63</v>
      </c>
      <c r="AO1787" s="4" t="s">
        <v>63</v>
      </c>
      <c r="AP1787" s="4" t="s">
        <v>63</v>
      </c>
      <c r="AQ1787" s="4" t="s">
        <v>63</v>
      </c>
      <c r="AR1787" s="4" t="s">
        <v>63</v>
      </c>
      <c r="AS1787" s="4" t="s">
        <v>63</v>
      </c>
      <c r="AT1787" s="4" t="s">
        <v>63</v>
      </c>
      <c r="AU1787" s="4" t="s">
        <v>63</v>
      </c>
      <c r="AV1787" s="4" t="s">
        <v>63</v>
      </c>
      <c r="AW1787" s="4" t="s">
        <v>63</v>
      </c>
      <c r="AX1787" s="4" t="s">
        <v>63</v>
      </c>
      <c r="AY1787" s="4" t="s">
        <v>63</v>
      </c>
      <c r="AZ1787" s="4" t="s">
        <v>63</v>
      </c>
      <c r="BA1787" s="4" t="s">
        <v>63</v>
      </c>
      <c r="BB1787" s="4" t="s">
        <v>63</v>
      </c>
      <c r="BC1787" s="4" t="s">
        <v>63</v>
      </c>
      <c r="BD1787" s="4" t="s">
        <v>63</v>
      </c>
      <c r="BE1787" s="4" t="s">
        <v>63</v>
      </c>
      <c r="BF1787" s="4" t="s">
        <v>63</v>
      </c>
    </row>
    <row r="1788" spans="1:58">
      <c r="A1788" s="4" t="s">
        <v>58</v>
      </c>
      <c r="B1788" s="4" t="s">
        <v>15548</v>
      </c>
      <c r="C1788" s="4" t="s">
        <v>15549</v>
      </c>
      <c r="D1788" s="4" t="s">
        <v>371</v>
      </c>
      <c r="E1788" s="4" t="s">
        <v>63</v>
      </c>
      <c r="F1788" s="4">
        <v>2017</v>
      </c>
      <c r="G1788" s="4">
        <v>1</v>
      </c>
      <c r="H1788" s="4">
        <v>32</v>
      </c>
      <c r="I1788" s="4">
        <v>2</v>
      </c>
      <c r="J1788" s="4" t="s">
        <v>15550</v>
      </c>
      <c r="K1788" s="4" t="s">
        <v>15551</v>
      </c>
      <c r="L1788" s="4" t="s">
        <v>15552</v>
      </c>
      <c r="M1788" s="4" t="s">
        <v>15553</v>
      </c>
      <c r="N1788" s="4" t="s">
        <v>15554</v>
      </c>
      <c r="O1788" s="4" t="s">
        <v>63</v>
      </c>
      <c r="P1788" s="4"/>
      <c r="Q1788" s="4" t="s">
        <v>63</v>
      </c>
      <c r="R1788" s="4" t="s">
        <v>63</v>
      </c>
      <c r="S1788" s="4" t="s">
        <v>63</v>
      </c>
      <c r="T1788" s="4" t="s">
        <v>63</v>
      </c>
      <c r="U1788" s="4"/>
      <c r="V1788" s="4"/>
      <c r="W1788" s="4"/>
      <c r="X1788" s="4" t="s">
        <v>63</v>
      </c>
      <c r="Y1788" s="4" t="s">
        <v>375</v>
      </c>
      <c r="Z1788" s="4" t="s">
        <v>63</v>
      </c>
      <c r="AA1788" s="4" t="s">
        <v>63</v>
      </c>
      <c r="AB1788" s="4" t="s">
        <v>63</v>
      </c>
      <c r="AC1788" s="4" t="s">
        <v>67</v>
      </c>
      <c r="AD1788" s="4" t="s">
        <v>63</v>
      </c>
      <c r="AE1788" s="4" t="s">
        <v>63</v>
      </c>
      <c r="AF1788" s="4" t="s">
        <v>63</v>
      </c>
      <c r="AG1788" s="4" t="s">
        <v>63</v>
      </c>
      <c r="AH1788" s="4" t="s">
        <v>63</v>
      </c>
      <c r="AI1788" s="4" t="s">
        <v>63</v>
      </c>
      <c r="AJ1788" s="4" t="s">
        <v>63</v>
      </c>
      <c r="AK1788" s="4" t="s">
        <v>63</v>
      </c>
      <c r="AL1788" s="4" t="s">
        <v>63</v>
      </c>
      <c r="AM1788" s="4" t="s">
        <v>15549</v>
      </c>
      <c r="AN1788" s="4" t="s">
        <v>63</v>
      </c>
      <c r="AO1788" s="4" t="s">
        <v>63</v>
      </c>
      <c r="AP1788" s="4" t="s">
        <v>63</v>
      </c>
      <c r="AQ1788" s="4" t="s">
        <v>63</v>
      </c>
      <c r="AR1788" s="4" t="s">
        <v>63</v>
      </c>
      <c r="AS1788" s="4" t="s">
        <v>63</v>
      </c>
      <c r="AT1788" s="4" t="s">
        <v>63</v>
      </c>
      <c r="AU1788" s="4" t="s">
        <v>63</v>
      </c>
      <c r="AV1788" s="4" t="s">
        <v>63</v>
      </c>
      <c r="AW1788" s="4" t="s">
        <v>63</v>
      </c>
      <c r="AX1788" s="4" t="s">
        <v>63</v>
      </c>
      <c r="AY1788" s="4" t="s">
        <v>63</v>
      </c>
      <c r="AZ1788" s="4" t="s">
        <v>63</v>
      </c>
      <c r="BA1788" s="4" t="s">
        <v>63</v>
      </c>
      <c r="BB1788" s="4" t="s">
        <v>63</v>
      </c>
      <c r="BC1788" s="4" t="s">
        <v>63</v>
      </c>
      <c r="BD1788" s="4" t="s">
        <v>63</v>
      </c>
      <c r="BE1788" s="4" t="s">
        <v>63</v>
      </c>
      <c r="BF1788" s="4" t="s">
        <v>63</v>
      </c>
    </row>
    <row r="1789" spans="1:58">
      <c r="A1789" s="4" t="s">
        <v>58</v>
      </c>
      <c r="B1789" s="4" t="s">
        <v>15555</v>
      </c>
      <c r="C1789" s="4" t="s">
        <v>15556</v>
      </c>
      <c r="D1789" s="4" t="s">
        <v>15557</v>
      </c>
      <c r="E1789" s="4" t="s">
        <v>15558</v>
      </c>
      <c r="F1789" s="4">
        <v>1976</v>
      </c>
      <c r="G1789" s="4" t="s">
        <v>63</v>
      </c>
      <c r="H1789" s="4">
        <v>30</v>
      </c>
      <c r="I1789" s="4">
        <v>6</v>
      </c>
      <c r="J1789" s="4">
        <v>234</v>
      </c>
      <c r="K1789" s="4">
        <v>239</v>
      </c>
      <c r="L1789" s="4" t="s">
        <v>15559</v>
      </c>
      <c r="M1789" s="4" t="s">
        <v>15560</v>
      </c>
      <c r="N1789" s="4" t="s">
        <v>15561</v>
      </c>
      <c r="O1789" s="4" t="s">
        <v>63</v>
      </c>
      <c r="P1789" s="4"/>
      <c r="Q1789" s="4" t="s">
        <v>63</v>
      </c>
      <c r="R1789" s="4" t="s">
        <v>63</v>
      </c>
      <c r="S1789" s="4" t="s">
        <v>63</v>
      </c>
      <c r="T1789" s="4" t="s">
        <v>63</v>
      </c>
      <c r="U1789" s="4"/>
      <c r="V1789" s="4"/>
      <c r="W1789" s="4"/>
      <c r="X1789" s="4" t="s">
        <v>63</v>
      </c>
      <c r="Y1789" s="4" t="s">
        <v>63</v>
      </c>
      <c r="Z1789" s="4" t="s">
        <v>63</v>
      </c>
      <c r="AA1789" s="4" t="s">
        <v>63</v>
      </c>
      <c r="AB1789" s="4">
        <v>1977098574</v>
      </c>
      <c r="AC1789" s="4" t="s">
        <v>67</v>
      </c>
      <c r="AD1789" s="4" t="s">
        <v>63</v>
      </c>
      <c r="AE1789" s="4" t="s">
        <v>63</v>
      </c>
      <c r="AF1789" s="4" t="s">
        <v>63</v>
      </c>
      <c r="AG1789" s="4" t="s">
        <v>15562</v>
      </c>
      <c r="AH1789" s="4" t="s">
        <v>63</v>
      </c>
      <c r="AI1789" s="4" t="s">
        <v>63</v>
      </c>
      <c r="AJ1789" s="4" t="s">
        <v>63</v>
      </c>
      <c r="AK1789" s="4" t="s">
        <v>63</v>
      </c>
      <c r="AL1789" s="4" t="s">
        <v>63</v>
      </c>
      <c r="AM1789" s="4" t="s">
        <v>15563</v>
      </c>
      <c r="AN1789" s="4" t="s">
        <v>63</v>
      </c>
      <c r="AO1789" s="4" t="s">
        <v>63</v>
      </c>
      <c r="AP1789" s="4" t="s">
        <v>63</v>
      </c>
      <c r="AQ1789" s="4" t="s">
        <v>63</v>
      </c>
      <c r="AR1789" s="4" t="s">
        <v>63</v>
      </c>
      <c r="AS1789" s="4" t="s">
        <v>63</v>
      </c>
      <c r="AT1789" s="4" t="s">
        <v>63</v>
      </c>
      <c r="AU1789" s="4" t="s">
        <v>63</v>
      </c>
      <c r="AV1789" s="4" t="s">
        <v>63</v>
      </c>
      <c r="AW1789" s="4" t="s">
        <v>63</v>
      </c>
      <c r="AX1789" s="4" t="s">
        <v>63</v>
      </c>
      <c r="AY1789" s="4" t="s">
        <v>63</v>
      </c>
      <c r="AZ1789" s="4" t="s">
        <v>63</v>
      </c>
      <c r="BA1789" s="4" t="s">
        <v>63</v>
      </c>
      <c r="BB1789" s="4" t="s">
        <v>63</v>
      </c>
      <c r="BC1789" s="4" t="s">
        <v>63</v>
      </c>
      <c r="BD1789" s="4" t="s">
        <v>63</v>
      </c>
      <c r="BE1789" s="4" t="s">
        <v>63</v>
      </c>
      <c r="BF1789" s="4" t="s">
        <v>63</v>
      </c>
    </row>
    <row r="1790" spans="1:58">
      <c r="A1790" s="4" t="s">
        <v>58</v>
      </c>
      <c r="B1790" s="4" t="s">
        <v>15564</v>
      </c>
      <c r="C1790" s="4" t="s">
        <v>15565</v>
      </c>
      <c r="D1790" s="4" t="s">
        <v>15263</v>
      </c>
      <c r="E1790" s="4" t="s">
        <v>15264</v>
      </c>
      <c r="F1790" s="4">
        <v>2007</v>
      </c>
      <c r="G1790" s="4">
        <v>16</v>
      </c>
      <c r="H1790" s="4">
        <v>87</v>
      </c>
      <c r="I1790" s="4">
        <v>2</v>
      </c>
      <c r="J1790" s="4">
        <v>107</v>
      </c>
      <c r="K1790" s="4">
        <v>118</v>
      </c>
      <c r="L1790" s="4" t="s">
        <v>15566</v>
      </c>
      <c r="M1790" s="4" t="s">
        <v>15567</v>
      </c>
      <c r="N1790" s="4" t="s">
        <v>15568</v>
      </c>
      <c r="O1790" s="4" t="s">
        <v>63</v>
      </c>
      <c r="P1790" s="4"/>
      <c r="Q1790" s="4" t="s">
        <v>63</v>
      </c>
      <c r="R1790" s="4" t="s">
        <v>63</v>
      </c>
      <c r="S1790" s="4" t="s">
        <v>63</v>
      </c>
      <c r="T1790" s="4" t="s">
        <v>63</v>
      </c>
      <c r="U1790" s="4"/>
      <c r="V1790" s="4"/>
      <c r="W1790" s="4"/>
      <c r="X1790" s="4" t="s">
        <v>63</v>
      </c>
      <c r="Y1790" s="4" t="s">
        <v>4942</v>
      </c>
      <c r="Z1790" s="4" t="s">
        <v>63</v>
      </c>
      <c r="AA1790" s="4" t="s">
        <v>63</v>
      </c>
      <c r="AB1790" s="4">
        <v>2007075960</v>
      </c>
      <c r="AC1790" s="4" t="s">
        <v>67</v>
      </c>
      <c r="AD1790" s="4" t="s">
        <v>63</v>
      </c>
      <c r="AE1790" s="4" t="s">
        <v>63</v>
      </c>
      <c r="AF1790" s="4" t="s">
        <v>63</v>
      </c>
      <c r="AG1790" s="4" t="s">
        <v>15569</v>
      </c>
      <c r="AH1790" s="4" t="s">
        <v>63</v>
      </c>
      <c r="AI1790" s="4" t="s">
        <v>15570</v>
      </c>
      <c r="AJ1790" s="4" t="s">
        <v>63</v>
      </c>
      <c r="AK1790" s="4" t="s">
        <v>63</v>
      </c>
      <c r="AL1790" s="4" t="s">
        <v>63</v>
      </c>
      <c r="AM1790" s="4" t="s">
        <v>15571</v>
      </c>
      <c r="AN1790" s="4" t="s">
        <v>63</v>
      </c>
      <c r="AO1790" s="4" t="s">
        <v>63</v>
      </c>
      <c r="AP1790" s="4" t="s">
        <v>63</v>
      </c>
      <c r="AQ1790" s="4" t="s">
        <v>63</v>
      </c>
      <c r="AR1790" s="4" t="s">
        <v>63</v>
      </c>
      <c r="AS1790" s="4" t="s">
        <v>63</v>
      </c>
      <c r="AT1790" s="4" t="s">
        <v>63</v>
      </c>
      <c r="AU1790" s="4" t="s">
        <v>63</v>
      </c>
      <c r="AV1790" s="4" t="s">
        <v>63</v>
      </c>
      <c r="AW1790" s="4" t="s">
        <v>63</v>
      </c>
      <c r="AX1790" s="4" t="s">
        <v>63</v>
      </c>
      <c r="AY1790" s="4" t="s">
        <v>63</v>
      </c>
      <c r="AZ1790" s="4" t="s">
        <v>63</v>
      </c>
      <c r="BA1790" s="4" t="s">
        <v>63</v>
      </c>
      <c r="BB1790" s="4" t="s">
        <v>63</v>
      </c>
      <c r="BC1790" s="4" t="s">
        <v>63</v>
      </c>
      <c r="BD1790" s="4" t="s">
        <v>63</v>
      </c>
      <c r="BE1790" s="4" t="s">
        <v>63</v>
      </c>
      <c r="BF1790" s="4" t="s">
        <v>63</v>
      </c>
    </row>
    <row r="1791" spans="1:58">
      <c r="A1791" s="4" t="s">
        <v>58</v>
      </c>
      <c r="B1791" s="4" t="s">
        <v>15572</v>
      </c>
      <c r="C1791" s="4" t="s">
        <v>15573</v>
      </c>
      <c r="D1791" s="4" t="s">
        <v>389</v>
      </c>
      <c r="E1791" s="4" t="s">
        <v>63</v>
      </c>
      <c r="F1791" s="4">
        <v>2004</v>
      </c>
      <c r="G1791" s="4" t="s">
        <v>15472</v>
      </c>
      <c r="H1791" s="4">
        <v>25</v>
      </c>
      <c r="I1791" s="4">
        <v>3</v>
      </c>
      <c r="J1791" s="4">
        <v>29</v>
      </c>
      <c r="K1791" s="4">
        <v>31</v>
      </c>
      <c r="L1791" s="4" t="s">
        <v>15574</v>
      </c>
      <c r="M1791" s="4" t="s">
        <v>63</v>
      </c>
      <c r="N1791" s="4" t="s">
        <v>15575</v>
      </c>
      <c r="O1791" s="4" t="s">
        <v>63</v>
      </c>
      <c r="P1791" s="4"/>
      <c r="Q1791" s="4" t="s">
        <v>63</v>
      </c>
      <c r="R1791" s="4" t="s">
        <v>63</v>
      </c>
      <c r="S1791" s="4" t="s">
        <v>63</v>
      </c>
      <c r="T1791" s="4" t="s">
        <v>63</v>
      </c>
      <c r="U1791" s="4"/>
      <c r="V1791" s="4"/>
      <c r="W1791" s="4"/>
      <c r="X1791" s="4" t="s">
        <v>63</v>
      </c>
      <c r="Y1791" s="4" t="s">
        <v>392</v>
      </c>
      <c r="Z1791" s="4" t="s">
        <v>63</v>
      </c>
      <c r="AA1791" s="4" t="s">
        <v>63</v>
      </c>
      <c r="AB1791" s="4">
        <v>2005527799</v>
      </c>
      <c r="AC1791" s="4" t="s">
        <v>67</v>
      </c>
      <c r="AD1791" s="4" t="s">
        <v>63</v>
      </c>
      <c r="AE1791" s="4" t="s">
        <v>63</v>
      </c>
      <c r="AF1791" s="4" t="s">
        <v>63</v>
      </c>
      <c r="AG1791" s="4" t="s">
        <v>15576</v>
      </c>
      <c r="AH1791" s="4" t="s">
        <v>63</v>
      </c>
      <c r="AI1791" s="4" t="s">
        <v>15577</v>
      </c>
      <c r="AJ1791" s="4" t="s">
        <v>63</v>
      </c>
      <c r="AK1791" s="4" t="s">
        <v>63</v>
      </c>
      <c r="AL1791" s="4" t="s">
        <v>63</v>
      </c>
      <c r="AM1791" s="4" t="s">
        <v>15578</v>
      </c>
      <c r="AN1791" s="4" t="s">
        <v>63</v>
      </c>
      <c r="AO1791" s="4" t="s">
        <v>63</v>
      </c>
      <c r="AP1791" s="4" t="s">
        <v>63</v>
      </c>
      <c r="AQ1791" s="4" t="s">
        <v>63</v>
      </c>
      <c r="AR1791" s="4" t="s">
        <v>63</v>
      </c>
      <c r="AS1791" s="4" t="s">
        <v>63</v>
      </c>
      <c r="AT1791" s="4" t="s">
        <v>63</v>
      </c>
      <c r="AU1791" s="4" t="s">
        <v>63</v>
      </c>
      <c r="AV1791" s="4" t="s">
        <v>63</v>
      </c>
      <c r="AW1791" s="4" t="s">
        <v>63</v>
      </c>
      <c r="AX1791" s="4" t="s">
        <v>63</v>
      </c>
      <c r="AY1791" s="4" t="s">
        <v>63</v>
      </c>
      <c r="AZ1791" s="4" t="s">
        <v>63</v>
      </c>
      <c r="BA1791" s="4" t="s">
        <v>63</v>
      </c>
      <c r="BB1791" s="4" t="s">
        <v>63</v>
      </c>
      <c r="BC1791" s="4" t="s">
        <v>63</v>
      </c>
      <c r="BD1791" s="4" t="s">
        <v>63</v>
      </c>
      <c r="BE1791" s="4" t="s">
        <v>63</v>
      </c>
      <c r="BF1791" s="4" t="s">
        <v>63</v>
      </c>
    </row>
    <row r="1792" spans="1:58">
      <c r="A1792" s="4" t="s">
        <v>58</v>
      </c>
      <c r="B1792" s="4" t="s">
        <v>15579</v>
      </c>
      <c r="C1792" s="4" t="s">
        <v>15580</v>
      </c>
      <c r="D1792" s="4" t="s">
        <v>15581</v>
      </c>
      <c r="E1792" s="4" t="s">
        <v>63</v>
      </c>
      <c r="F1792" s="4">
        <v>2015</v>
      </c>
      <c r="G1792" s="4" t="s">
        <v>63</v>
      </c>
      <c r="H1792" s="4">
        <v>31</v>
      </c>
      <c r="I1792" s="4">
        <v>7</v>
      </c>
      <c r="J1792" s="4">
        <v>1411</v>
      </c>
      <c r="K1792" s="4">
        <v>1419</v>
      </c>
      <c r="L1792" s="4" t="s">
        <v>15582</v>
      </c>
      <c r="M1792" s="4" t="s">
        <v>15583</v>
      </c>
      <c r="N1792" s="4" t="s">
        <v>15584</v>
      </c>
      <c r="O1792" s="4" t="s">
        <v>63</v>
      </c>
      <c r="P1792" s="4"/>
      <c r="Q1792" s="4" t="s">
        <v>63</v>
      </c>
      <c r="R1792" s="4" t="s">
        <v>63</v>
      </c>
      <c r="S1792" s="4" t="s">
        <v>63</v>
      </c>
      <c r="T1792" s="4" t="s">
        <v>63</v>
      </c>
      <c r="U1792" s="4"/>
      <c r="V1792" s="4"/>
      <c r="W1792" s="4"/>
      <c r="X1792" s="4" t="s">
        <v>63</v>
      </c>
      <c r="Y1792" s="4" t="s">
        <v>15585</v>
      </c>
      <c r="Z1792" s="4" t="s">
        <v>63</v>
      </c>
      <c r="AA1792" s="4" t="s">
        <v>63</v>
      </c>
      <c r="AB1792" s="4" t="s">
        <v>15586</v>
      </c>
      <c r="AC1792" s="4" t="s">
        <v>67</v>
      </c>
      <c r="AD1792" s="4" t="s">
        <v>63</v>
      </c>
      <c r="AE1792" s="4" t="s">
        <v>63</v>
      </c>
      <c r="AF1792" s="4" t="s">
        <v>63</v>
      </c>
      <c r="AG1792" s="4" t="s">
        <v>63</v>
      </c>
      <c r="AH1792" s="4" t="s">
        <v>63</v>
      </c>
      <c r="AI1792" s="4" t="s">
        <v>63</v>
      </c>
      <c r="AJ1792" s="4" t="s">
        <v>63</v>
      </c>
      <c r="AK1792" s="4" t="s">
        <v>63</v>
      </c>
      <c r="AL1792" s="4" t="s">
        <v>63</v>
      </c>
      <c r="AM1792" s="4" t="s">
        <v>15580</v>
      </c>
      <c r="AN1792" s="4" t="s">
        <v>63</v>
      </c>
      <c r="AO1792" s="4" t="s">
        <v>63</v>
      </c>
      <c r="AP1792" s="4" t="s">
        <v>63</v>
      </c>
      <c r="AQ1792" s="4" t="s">
        <v>63</v>
      </c>
      <c r="AR1792" s="4" t="s">
        <v>63</v>
      </c>
      <c r="AS1792" s="4" t="s">
        <v>63</v>
      </c>
      <c r="AT1792" s="4" t="s">
        <v>63</v>
      </c>
      <c r="AU1792" s="4" t="s">
        <v>63</v>
      </c>
      <c r="AV1792" s="4" t="s">
        <v>63</v>
      </c>
      <c r="AW1792" s="4" t="s">
        <v>63</v>
      </c>
      <c r="AX1792" s="4" t="s">
        <v>63</v>
      </c>
      <c r="AY1792" s="4" t="s">
        <v>63</v>
      </c>
      <c r="AZ1792" s="4" t="s">
        <v>63</v>
      </c>
      <c r="BA1792" s="4" t="s">
        <v>63</v>
      </c>
      <c r="BB1792" s="4" t="s">
        <v>63</v>
      </c>
      <c r="BC1792" s="4" t="s">
        <v>63</v>
      </c>
      <c r="BD1792" s="4" t="s">
        <v>63</v>
      </c>
      <c r="BE1792" s="4" t="s">
        <v>63</v>
      </c>
      <c r="BF1792" s="4" t="s">
        <v>63</v>
      </c>
    </row>
    <row r="1793" spans="1:58">
      <c r="A1793" s="4" t="s">
        <v>58</v>
      </c>
      <c r="B1793" s="4" t="s">
        <v>15587</v>
      </c>
      <c r="C1793" s="4" t="s">
        <v>15588</v>
      </c>
      <c r="D1793" s="4" t="s">
        <v>15589</v>
      </c>
      <c r="E1793" s="4" t="s">
        <v>63</v>
      </c>
      <c r="F1793" s="4">
        <v>2009</v>
      </c>
      <c r="G1793" s="4" t="s">
        <v>63</v>
      </c>
      <c r="H1793" s="4" t="s">
        <v>15590</v>
      </c>
      <c r="I1793" s="4" t="s">
        <v>63</v>
      </c>
      <c r="J1793" s="4" t="s">
        <v>15591</v>
      </c>
      <c r="K1793" s="4" t="s">
        <v>63</v>
      </c>
      <c r="L1793" s="4" t="s">
        <v>15592</v>
      </c>
      <c r="M1793" s="4" t="s">
        <v>15593</v>
      </c>
      <c r="N1793" s="4" t="s">
        <v>15594</v>
      </c>
      <c r="O1793" s="4" t="s">
        <v>63</v>
      </c>
      <c r="P1793" s="4"/>
      <c r="Q1793" s="4" t="s">
        <v>63</v>
      </c>
      <c r="R1793" s="4" t="s">
        <v>63</v>
      </c>
      <c r="S1793" s="4" t="s">
        <v>63</v>
      </c>
      <c r="T1793" s="4" t="s">
        <v>63</v>
      </c>
      <c r="U1793" s="4"/>
      <c r="V1793" s="4"/>
      <c r="W1793" s="4"/>
      <c r="X1793" s="4" t="s">
        <v>63</v>
      </c>
      <c r="Y1793" s="4" t="s">
        <v>3365</v>
      </c>
      <c r="Z1793" s="4" t="s">
        <v>63</v>
      </c>
      <c r="AA1793" s="4" t="s">
        <v>63</v>
      </c>
      <c r="AB1793" s="4" t="s">
        <v>63</v>
      </c>
      <c r="AC1793" s="4" t="s">
        <v>67</v>
      </c>
      <c r="AD1793" s="4" t="s">
        <v>63</v>
      </c>
      <c r="AE1793" s="4" t="s">
        <v>63</v>
      </c>
      <c r="AF1793" s="4" t="s">
        <v>63</v>
      </c>
      <c r="AG1793" s="4" t="s">
        <v>63</v>
      </c>
      <c r="AH1793" s="4" t="s">
        <v>63</v>
      </c>
      <c r="AI1793" s="4" t="s">
        <v>63</v>
      </c>
      <c r="AJ1793" s="4" t="s">
        <v>63</v>
      </c>
      <c r="AK1793" s="4" t="s">
        <v>63</v>
      </c>
      <c r="AL1793" s="4" t="s">
        <v>63</v>
      </c>
      <c r="AM1793" s="4" t="s">
        <v>15588</v>
      </c>
      <c r="AN1793" s="4" t="s">
        <v>63</v>
      </c>
      <c r="AO1793" s="4" t="s">
        <v>63</v>
      </c>
      <c r="AP1793" s="4" t="s">
        <v>63</v>
      </c>
      <c r="AQ1793" s="4" t="s">
        <v>63</v>
      </c>
      <c r="AR1793" s="4" t="s">
        <v>63</v>
      </c>
      <c r="AS1793" s="4" t="s">
        <v>63</v>
      </c>
      <c r="AT1793" s="4" t="s">
        <v>63</v>
      </c>
      <c r="AU1793" s="4" t="s">
        <v>63</v>
      </c>
      <c r="AV1793" s="4" t="s">
        <v>63</v>
      </c>
      <c r="AW1793" s="4" t="s">
        <v>63</v>
      </c>
      <c r="AX1793" s="4" t="s">
        <v>63</v>
      </c>
      <c r="AY1793" s="4" t="s">
        <v>63</v>
      </c>
      <c r="AZ1793" s="4" t="s">
        <v>63</v>
      </c>
      <c r="BA1793" s="4" t="s">
        <v>63</v>
      </c>
      <c r="BB1793" s="4" t="s">
        <v>63</v>
      </c>
      <c r="BC1793" s="4" t="s">
        <v>63</v>
      </c>
      <c r="BD1793" s="4" t="s">
        <v>63</v>
      </c>
      <c r="BE1793" s="4" t="s">
        <v>63</v>
      </c>
      <c r="BF1793" s="4" t="s">
        <v>63</v>
      </c>
    </row>
    <row r="1794" spans="1:58">
      <c r="A1794" s="4" t="s">
        <v>58</v>
      </c>
      <c r="B1794" s="4" t="s">
        <v>15595</v>
      </c>
      <c r="C1794" s="4" t="s">
        <v>15596</v>
      </c>
      <c r="D1794" s="4" t="s">
        <v>389</v>
      </c>
      <c r="E1794" s="4" t="s">
        <v>63</v>
      </c>
      <c r="F1794" s="4">
        <v>2006</v>
      </c>
      <c r="G1794" s="4">
        <v>22</v>
      </c>
      <c r="H1794" s="4">
        <v>26</v>
      </c>
      <c r="I1794" s="4">
        <v>3</v>
      </c>
      <c r="J1794" s="4">
        <v>43</v>
      </c>
      <c r="K1794" s="4">
        <v>47</v>
      </c>
      <c r="L1794" s="4" t="s">
        <v>15597</v>
      </c>
      <c r="M1794" s="4" t="s">
        <v>15598</v>
      </c>
      <c r="N1794" s="4" t="s">
        <v>15599</v>
      </c>
      <c r="O1794" s="4" t="s">
        <v>63</v>
      </c>
      <c r="P1794" s="4"/>
      <c r="Q1794" s="4" t="s">
        <v>63</v>
      </c>
      <c r="R1794" s="4" t="s">
        <v>63</v>
      </c>
      <c r="S1794" s="4" t="s">
        <v>63</v>
      </c>
      <c r="T1794" s="4" t="s">
        <v>63</v>
      </c>
      <c r="U1794" s="4"/>
      <c r="V1794" s="4"/>
      <c r="W1794" s="4"/>
      <c r="X1794" s="4" t="s">
        <v>63</v>
      </c>
      <c r="Y1794" s="4" t="s">
        <v>15600</v>
      </c>
      <c r="Z1794" s="4" t="s">
        <v>63</v>
      </c>
      <c r="AA1794" s="4" t="s">
        <v>63</v>
      </c>
      <c r="AB1794" s="4">
        <v>2006368072</v>
      </c>
      <c r="AC1794" s="4" t="s">
        <v>67</v>
      </c>
      <c r="AD1794" s="4" t="s">
        <v>63</v>
      </c>
      <c r="AE1794" s="4" t="s">
        <v>63</v>
      </c>
      <c r="AF1794" s="4" t="s">
        <v>63</v>
      </c>
      <c r="AG1794" s="4" t="s">
        <v>15601</v>
      </c>
      <c r="AH1794" s="4" t="s">
        <v>63</v>
      </c>
      <c r="AI1794" s="4" t="s">
        <v>15602</v>
      </c>
      <c r="AJ1794" s="4" t="s">
        <v>63</v>
      </c>
      <c r="AK1794" s="4" t="s">
        <v>63</v>
      </c>
      <c r="AL1794" s="4" t="s">
        <v>63</v>
      </c>
      <c r="AM1794" s="4" t="s">
        <v>15603</v>
      </c>
      <c r="AN1794" s="4" t="s">
        <v>63</v>
      </c>
      <c r="AO1794" s="4" t="s">
        <v>63</v>
      </c>
      <c r="AP1794" s="4" t="s">
        <v>63</v>
      </c>
      <c r="AQ1794" s="4" t="s">
        <v>63</v>
      </c>
      <c r="AR1794" s="4" t="s">
        <v>63</v>
      </c>
      <c r="AS1794" s="4" t="s">
        <v>63</v>
      </c>
      <c r="AT1794" s="4" t="s">
        <v>63</v>
      </c>
      <c r="AU1794" s="4" t="s">
        <v>63</v>
      </c>
      <c r="AV1794" s="4" t="s">
        <v>63</v>
      </c>
      <c r="AW1794" s="4" t="s">
        <v>63</v>
      </c>
      <c r="AX1794" s="4" t="s">
        <v>63</v>
      </c>
      <c r="AY1794" s="4" t="s">
        <v>63</v>
      </c>
      <c r="AZ1794" s="4" t="s">
        <v>63</v>
      </c>
      <c r="BA1794" s="4" t="s">
        <v>63</v>
      </c>
      <c r="BB1794" s="4" t="s">
        <v>63</v>
      </c>
      <c r="BC1794" s="4" t="s">
        <v>63</v>
      </c>
      <c r="BD1794" s="4" t="s">
        <v>63</v>
      </c>
      <c r="BE1794" s="4" t="s">
        <v>63</v>
      </c>
      <c r="BF1794" s="4" t="s">
        <v>63</v>
      </c>
    </row>
    <row r="1795" spans="1:58">
      <c r="A1795" s="4" t="s">
        <v>58</v>
      </c>
      <c r="B1795" s="4" t="s">
        <v>15604</v>
      </c>
      <c r="C1795" s="4" t="s">
        <v>15605</v>
      </c>
      <c r="D1795" s="4" t="s">
        <v>15421</v>
      </c>
      <c r="E1795" s="4" t="s">
        <v>63</v>
      </c>
      <c r="F1795" s="4">
        <v>2011</v>
      </c>
      <c r="G1795" s="4" t="s">
        <v>198</v>
      </c>
      <c r="H1795" s="4">
        <v>32</v>
      </c>
      <c r="I1795" s="4">
        <v>1</v>
      </c>
      <c r="J1795" s="4">
        <v>27</v>
      </c>
      <c r="K1795" s="4">
        <v>35</v>
      </c>
      <c r="L1795" s="4" t="s">
        <v>15606</v>
      </c>
      <c r="M1795" s="4" t="s">
        <v>15607</v>
      </c>
      <c r="N1795" s="4" t="s">
        <v>15608</v>
      </c>
      <c r="O1795" s="4" t="s">
        <v>63</v>
      </c>
      <c r="P1795" s="4"/>
      <c r="Q1795" s="4" t="s">
        <v>63</v>
      </c>
      <c r="R1795" s="4" t="s">
        <v>63</v>
      </c>
      <c r="S1795" s="4" t="s">
        <v>63</v>
      </c>
      <c r="T1795" s="4" t="s">
        <v>63</v>
      </c>
      <c r="U1795" s="4"/>
      <c r="V1795" s="4"/>
      <c r="W1795" s="4"/>
      <c r="X1795" s="4" t="s">
        <v>63</v>
      </c>
      <c r="Y1795" s="4" t="s">
        <v>15425</v>
      </c>
      <c r="Z1795" s="4" t="s">
        <v>63</v>
      </c>
      <c r="AA1795" s="4" t="s">
        <v>63</v>
      </c>
      <c r="AB1795" s="4" t="s">
        <v>63</v>
      </c>
      <c r="AC1795" s="4" t="s">
        <v>67</v>
      </c>
      <c r="AD1795" s="4" t="s">
        <v>63</v>
      </c>
      <c r="AE1795" s="4" t="s">
        <v>63</v>
      </c>
      <c r="AF1795" s="4" t="s">
        <v>63</v>
      </c>
      <c r="AG1795" s="4" t="s">
        <v>15609</v>
      </c>
      <c r="AH1795" s="4" t="s">
        <v>63</v>
      </c>
      <c r="AI1795" s="4" t="s">
        <v>15610</v>
      </c>
      <c r="AJ1795" s="4" t="s">
        <v>63</v>
      </c>
      <c r="AK1795" s="4" t="s">
        <v>63</v>
      </c>
      <c r="AL1795" s="4" t="s">
        <v>63</v>
      </c>
      <c r="AM1795" s="4" t="s">
        <v>15611</v>
      </c>
      <c r="AN1795" s="4" t="s">
        <v>63</v>
      </c>
      <c r="AO1795" s="4" t="s">
        <v>63</v>
      </c>
      <c r="AP1795" s="4" t="s">
        <v>63</v>
      </c>
      <c r="AQ1795" s="4" t="s">
        <v>63</v>
      </c>
      <c r="AR1795" s="4" t="s">
        <v>63</v>
      </c>
      <c r="AS1795" s="4" t="s">
        <v>63</v>
      </c>
      <c r="AT1795" s="4" t="s">
        <v>63</v>
      </c>
      <c r="AU1795" s="4" t="s">
        <v>63</v>
      </c>
      <c r="AV1795" s="4" t="s">
        <v>63</v>
      </c>
      <c r="AW1795" s="4" t="s">
        <v>63</v>
      </c>
      <c r="AX1795" s="4" t="s">
        <v>63</v>
      </c>
      <c r="AY1795" s="4" t="s">
        <v>63</v>
      </c>
      <c r="AZ1795" s="4" t="s">
        <v>63</v>
      </c>
      <c r="BA1795" s="4" t="s">
        <v>63</v>
      </c>
      <c r="BB1795" s="4" t="s">
        <v>63</v>
      </c>
      <c r="BC1795" s="4" t="s">
        <v>63</v>
      </c>
      <c r="BD1795" s="4" t="s">
        <v>63</v>
      </c>
      <c r="BE1795" s="4" t="s">
        <v>63</v>
      </c>
      <c r="BF1795" s="4" t="s">
        <v>63</v>
      </c>
    </row>
    <row r="1796" spans="1:58">
      <c r="A1796" s="4" t="s">
        <v>58</v>
      </c>
      <c r="B1796" s="4" t="s">
        <v>15612</v>
      </c>
      <c r="C1796" s="4" t="s">
        <v>15613</v>
      </c>
      <c r="D1796" s="4" t="s">
        <v>11901</v>
      </c>
      <c r="E1796" s="4" t="s">
        <v>63</v>
      </c>
      <c r="F1796" s="4">
        <v>2018</v>
      </c>
      <c r="G1796" s="4">
        <v>1</v>
      </c>
      <c r="H1796" s="4">
        <v>60</v>
      </c>
      <c r="I1796" s="4">
        <v>5</v>
      </c>
      <c r="J1796" s="4" t="s">
        <v>15614</v>
      </c>
      <c r="K1796" s="4" t="s">
        <v>63</v>
      </c>
      <c r="L1796" s="4" t="s">
        <v>15615</v>
      </c>
      <c r="M1796" s="4" t="s">
        <v>15616</v>
      </c>
      <c r="N1796" s="4" t="s">
        <v>15617</v>
      </c>
      <c r="O1796" s="4" t="s">
        <v>63</v>
      </c>
      <c r="P1796" s="4"/>
      <c r="Q1796" s="4" t="s">
        <v>63</v>
      </c>
      <c r="R1796" s="4" t="s">
        <v>63</v>
      </c>
      <c r="S1796" s="4" t="s">
        <v>63</v>
      </c>
      <c r="T1796" s="4" t="s">
        <v>63</v>
      </c>
      <c r="U1796" s="4"/>
      <c r="V1796" s="4"/>
      <c r="W1796" s="4"/>
      <c r="X1796" s="4" t="s">
        <v>63</v>
      </c>
      <c r="Y1796" s="4" t="s">
        <v>15618</v>
      </c>
      <c r="Z1796" s="4" t="s">
        <v>63</v>
      </c>
      <c r="AA1796" s="4" t="s">
        <v>63</v>
      </c>
      <c r="AB1796" s="4" t="s">
        <v>63</v>
      </c>
      <c r="AC1796" s="4" t="s">
        <v>67</v>
      </c>
      <c r="AD1796" s="4" t="s">
        <v>63</v>
      </c>
      <c r="AE1796" s="4" t="s">
        <v>63</v>
      </c>
      <c r="AF1796" s="4" t="s">
        <v>63</v>
      </c>
      <c r="AG1796" s="4" t="s">
        <v>63</v>
      </c>
      <c r="AH1796" s="4" t="s">
        <v>63</v>
      </c>
      <c r="AI1796" s="4" t="s">
        <v>63</v>
      </c>
      <c r="AJ1796" s="4" t="s">
        <v>63</v>
      </c>
      <c r="AK1796" s="4" t="s">
        <v>63</v>
      </c>
      <c r="AL1796" s="4" t="s">
        <v>63</v>
      </c>
      <c r="AM1796" s="4" t="s">
        <v>15613</v>
      </c>
      <c r="AN1796" s="4" t="s">
        <v>63</v>
      </c>
      <c r="AO1796" s="4" t="s">
        <v>63</v>
      </c>
      <c r="AP1796" s="4" t="s">
        <v>63</v>
      </c>
      <c r="AQ1796" s="4" t="s">
        <v>63</v>
      </c>
      <c r="AR1796" s="4" t="s">
        <v>63</v>
      </c>
      <c r="AS1796" s="4" t="s">
        <v>63</v>
      </c>
      <c r="AT1796" s="4" t="s">
        <v>63</v>
      </c>
      <c r="AU1796" s="4" t="s">
        <v>63</v>
      </c>
      <c r="AV1796" s="4" t="s">
        <v>63</v>
      </c>
      <c r="AW1796" s="4" t="s">
        <v>63</v>
      </c>
      <c r="AX1796" s="4" t="s">
        <v>63</v>
      </c>
      <c r="AY1796" s="4" t="s">
        <v>63</v>
      </c>
      <c r="AZ1796" s="4" t="s">
        <v>63</v>
      </c>
      <c r="BA1796" s="4" t="s">
        <v>63</v>
      </c>
      <c r="BB1796" s="4" t="s">
        <v>63</v>
      </c>
      <c r="BC1796" s="4" t="s">
        <v>63</v>
      </c>
      <c r="BD1796" s="4" t="s">
        <v>63</v>
      </c>
      <c r="BE1796" s="4" t="s">
        <v>63</v>
      </c>
      <c r="BF1796" s="4" t="s">
        <v>63</v>
      </c>
    </row>
    <row r="1797" spans="1:58">
      <c r="A1797" s="4" t="s">
        <v>58</v>
      </c>
      <c r="B1797" s="4" t="s">
        <v>15619</v>
      </c>
      <c r="C1797" s="4" t="s">
        <v>15620</v>
      </c>
      <c r="D1797" s="4" t="s">
        <v>2353</v>
      </c>
      <c r="E1797" s="4" t="s">
        <v>2354</v>
      </c>
      <c r="F1797" s="4">
        <v>2002</v>
      </c>
      <c r="G1797" s="4" t="s">
        <v>15254</v>
      </c>
      <c r="H1797" s="4">
        <v>23</v>
      </c>
      <c r="I1797" s="4">
        <v>4</v>
      </c>
      <c r="J1797" s="4">
        <v>309</v>
      </c>
      <c r="K1797" s="4">
        <v>318</v>
      </c>
      <c r="L1797" s="4" t="s">
        <v>15621</v>
      </c>
      <c r="M1797" s="4" t="s">
        <v>15622</v>
      </c>
      <c r="N1797" s="4" t="s">
        <v>15623</v>
      </c>
      <c r="O1797" s="4" t="s">
        <v>63</v>
      </c>
      <c r="P1797" s="4"/>
      <c r="Q1797" s="4" t="s">
        <v>63</v>
      </c>
      <c r="R1797" s="4" t="s">
        <v>63</v>
      </c>
      <c r="S1797" s="4" t="s">
        <v>63</v>
      </c>
      <c r="T1797" s="4" t="s">
        <v>63</v>
      </c>
      <c r="U1797" s="4"/>
      <c r="V1797" s="4"/>
      <c r="W1797" s="4"/>
      <c r="X1797" s="4" t="s">
        <v>63</v>
      </c>
      <c r="Y1797" s="4" t="s">
        <v>2358</v>
      </c>
      <c r="Z1797" s="4" t="s">
        <v>63</v>
      </c>
      <c r="AA1797" s="4" t="s">
        <v>63</v>
      </c>
      <c r="AB1797" s="4">
        <v>2002461308</v>
      </c>
      <c r="AC1797" s="4" t="s">
        <v>67</v>
      </c>
      <c r="AD1797" s="4" t="s">
        <v>63</v>
      </c>
      <c r="AE1797" s="4" t="s">
        <v>63</v>
      </c>
      <c r="AF1797" s="4" t="s">
        <v>63</v>
      </c>
      <c r="AG1797" s="4" t="s">
        <v>15624</v>
      </c>
      <c r="AH1797" s="4" t="s">
        <v>63</v>
      </c>
      <c r="AI1797" s="4" t="s">
        <v>15625</v>
      </c>
      <c r="AJ1797" s="4" t="s">
        <v>63</v>
      </c>
      <c r="AK1797" s="4" t="s">
        <v>63</v>
      </c>
      <c r="AL1797" s="4" t="s">
        <v>63</v>
      </c>
      <c r="AM1797" s="4" t="s">
        <v>15626</v>
      </c>
      <c r="AN1797" s="4" t="s">
        <v>63</v>
      </c>
      <c r="AO1797" s="4" t="s">
        <v>63</v>
      </c>
      <c r="AP1797" s="4" t="s">
        <v>63</v>
      </c>
      <c r="AQ1797" s="4" t="s">
        <v>63</v>
      </c>
      <c r="AR1797" s="4" t="s">
        <v>63</v>
      </c>
      <c r="AS1797" s="4" t="s">
        <v>63</v>
      </c>
      <c r="AT1797" s="4" t="s">
        <v>63</v>
      </c>
      <c r="AU1797" s="4" t="s">
        <v>63</v>
      </c>
      <c r="AV1797" s="4" t="s">
        <v>63</v>
      </c>
      <c r="AW1797" s="4" t="s">
        <v>63</v>
      </c>
      <c r="AX1797" s="4" t="s">
        <v>63</v>
      </c>
      <c r="AY1797" s="4" t="s">
        <v>63</v>
      </c>
      <c r="AZ1797" s="4" t="s">
        <v>63</v>
      </c>
      <c r="BA1797" s="4" t="s">
        <v>63</v>
      </c>
      <c r="BB1797" s="4" t="s">
        <v>63</v>
      </c>
      <c r="BC1797" s="4" t="s">
        <v>63</v>
      </c>
      <c r="BD1797" s="4" t="s">
        <v>63</v>
      </c>
      <c r="BE1797" s="4" t="s">
        <v>63</v>
      </c>
      <c r="BF1797" s="4" t="s">
        <v>63</v>
      </c>
    </row>
    <row r="1798" spans="1:58">
      <c r="A1798" s="4" t="s">
        <v>58</v>
      </c>
      <c r="B1798" s="4" t="s">
        <v>15627</v>
      </c>
      <c r="C1798" s="4" t="s">
        <v>15628</v>
      </c>
      <c r="D1798" s="4" t="s">
        <v>763</v>
      </c>
      <c r="E1798" s="4" t="s">
        <v>63</v>
      </c>
      <c r="F1798" s="4">
        <v>2002</v>
      </c>
      <c r="G1798" s="4" t="s">
        <v>15472</v>
      </c>
      <c r="H1798" s="4">
        <v>77</v>
      </c>
      <c r="I1798" s="4">
        <v>9</v>
      </c>
      <c r="J1798" s="4">
        <v>911</v>
      </c>
      <c r="K1798" s="4">
        <v>917</v>
      </c>
      <c r="L1798" s="4" t="s">
        <v>15629</v>
      </c>
      <c r="M1798" s="4" t="s">
        <v>15630</v>
      </c>
      <c r="N1798" s="4" t="s">
        <v>15631</v>
      </c>
      <c r="O1798" s="4" t="s">
        <v>63</v>
      </c>
      <c r="P1798" s="4"/>
      <c r="Q1798" s="4" t="s">
        <v>63</v>
      </c>
      <c r="R1798" s="4" t="s">
        <v>63</v>
      </c>
      <c r="S1798" s="4" t="s">
        <v>63</v>
      </c>
      <c r="T1798" s="4" t="s">
        <v>63</v>
      </c>
      <c r="U1798" s="4"/>
      <c r="V1798" s="4"/>
      <c r="W1798" s="4"/>
      <c r="X1798" s="4" t="s">
        <v>63</v>
      </c>
      <c r="Y1798" s="4" t="s">
        <v>858</v>
      </c>
      <c r="Z1798" s="4" t="s">
        <v>63</v>
      </c>
      <c r="AA1798" s="4" t="s">
        <v>63</v>
      </c>
      <c r="AB1798" s="4">
        <v>2002332531</v>
      </c>
      <c r="AC1798" s="4" t="s">
        <v>67</v>
      </c>
      <c r="AD1798" s="4" t="s">
        <v>63</v>
      </c>
      <c r="AE1798" s="4" t="s">
        <v>63</v>
      </c>
      <c r="AF1798" s="4" t="s">
        <v>63</v>
      </c>
      <c r="AG1798" s="4" t="s">
        <v>15632</v>
      </c>
      <c r="AH1798" s="4" t="s">
        <v>63</v>
      </c>
      <c r="AI1798" s="4" t="s">
        <v>63</v>
      </c>
      <c r="AJ1798" s="4" t="s">
        <v>63</v>
      </c>
      <c r="AK1798" s="4" t="s">
        <v>63</v>
      </c>
      <c r="AL1798" s="4" t="s">
        <v>63</v>
      </c>
      <c r="AM1798" s="4" t="s">
        <v>15633</v>
      </c>
      <c r="AN1798" s="4" t="s">
        <v>63</v>
      </c>
      <c r="AO1798" s="4" t="s">
        <v>63</v>
      </c>
      <c r="AP1798" s="4" t="s">
        <v>63</v>
      </c>
      <c r="AQ1798" s="4" t="s">
        <v>63</v>
      </c>
      <c r="AR1798" s="4" t="s">
        <v>63</v>
      </c>
      <c r="AS1798" s="4" t="s">
        <v>63</v>
      </c>
      <c r="AT1798" s="4" t="s">
        <v>63</v>
      </c>
      <c r="AU1798" s="4" t="s">
        <v>63</v>
      </c>
      <c r="AV1798" s="4" t="s">
        <v>63</v>
      </c>
      <c r="AW1798" s="4" t="s">
        <v>63</v>
      </c>
      <c r="AX1798" s="4" t="s">
        <v>63</v>
      </c>
      <c r="AY1798" s="4" t="s">
        <v>63</v>
      </c>
      <c r="AZ1798" s="4" t="s">
        <v>63</v>
      </c>
      <c r="BA1798" s="4" t="s">
        <v>63</v>
      </c>
      <c r="BB1798" s="4" t="s">
        <v>63</v>
      </c>
      <c r="BC1798" s="4" t="s">
        <v>63</v>
      </c>
      <c r="BD1798" s="4" t="s">
        <v>63</v>
      </c>
      <c r="BE1798" s="4" t="s">
        <v>63</v>
      </c>
      <c r="BF1798" s="4" t="s">
        <v>63</v>
      </c>
    </row>
    <row r="1799" spans="1:58">
      <c r="A1799" s="4" t="s">
        <v>58</v>
      </c>
      <c r="B1799" s="4" t="s">
        <v>15634</v>
      </c>
      <c r="C1799" s="4" t="s">
        <v>15635</v>
      </c>
      <c r="D1799" s="4" t="s">
        <v>6854</v>
      </c>
      <c r="E1799" s="4" t="s">
        <v>63</v>
      </c>
      <c r="F1799" s="4">
        <v>2015</v>
      </c>
      <c r="G1799" s="4" t="s">
        <v>63</v>
      </c>
      <c r="H1799" s="4" t="s">
        <v>15318</v>
      </c>
      <c r="I1799" s="4" t="s">
        <v>63</v>
      </c>
      <c r="J1799" s="4" t="s">
        <v>63</v>
      </c>
      <c r="K1799" s="4" t="s">
        <v>63</v>
      </c>
      <c r="L1799" s="4" t="s">
        <v>15636</v>
      </c>
      <c r="M1799" s="4" t="s">
        <v>15637</v>
      </c>
      <c r="N1799" s="4" t="s">
        <v>15638</v>
      </c>
      <c r="O1799" s="4" t="s">
        <v>63</v>
      </c>
      <c r="P1799" s="4"/>
      <c r="Q1799" s="4" t="s">
        <v>63</v>
      </c>
      <c r="R1799" s="4" t="s">
        <v>63</v>
      </c>
      <c r="S1799" s="4" t="s">
        <v>63</v>
      </c>
      <c r="T1799" s="4" t="s">
        <v>63</v>
      </c>
      <c r="U1799" s="4"/>
      <c r="V1799" s="4"/>
      <c r="W1799" s="4"/>
      <c r="X1799" s="4" t="s">
        <v>63</v>
      </c>
      <c r="Y1799" s="4" t="s">
        <v>15322</v>
      </c>
      <c r="Z1799" s="4" t="s">
        <v>63</v>
      </c>
      <c r="AA1799" s="4" t="s">
        <v>63</v>
      </c>
      <c r="AB1799" s="4" t="s">
        <v>63</v>
      </c>
      <c r="AC1799" s="4" t="s">
        <v>67</v>
      </c>
      <c r="AD1799" s="4" t="s">
        <v>63</v>
      </c>
      <c r="AE1799" s="4" t="s">
        <v>63</v>
      </c>
      <c r="AF1799" s="4" t="s">
        <v>63</v>
      </c>
      <c r="AG1799" s="4" t="s">
        <v>63</v>
      </c>
      <c r="AH1799" s="4" t="s">
        <v>63</v>
      </c>
      <c r="AI1799" s="4" t="s">
        <v>15639</v>
      </c>
      <c r="AJ1799" s="4" t="s">
        <v>63</v>
      </c>
      <c r="AK1799" s="4" t="s">
        <v>63</v>
      </c>
      <c r="AL1799" s="4" t="s">
        <v>63</v>
      </c>
      <c r="AM1799" s="4" t="s">
        <v>15635</v>
      </c>
      <c r="AN1799" s="4" t="s">
        <v>63</v>
      </c>
      <c r="AO1799" s="4" t="s">
        <v>63</v>
      </c>
      <c r="AP1799" s="4" t="s">
        <v>63</v>
      </c>
      <c r="AQ1799" s="4" t="s">
        <v>63</v>
      </c>
      <c r="AR1799" s="4" t="s">
        <v>63</v>
      </c>
      <c r="AS1799" s="4" t="s">
        <v>63</v>
      </c>
      <c r="AT1799" s="4" t="s">
        <v>63</v>
      </c>
      <c r="AU1799" s="4" t="s">
        <v>63</v>
      </c>
      <c r="AV1799" s="4" t="s">
        <v>63</v>
      </c>
      <c r="AW1799" s="4" t="s">
        <v>63</v>
      </c>
      <c r="AX1799" s="4" t="s">
        <v>63</v>
      </c>
      <c r="AY1799" s="4" t="s">
        <v>63</v>
      </c>
      <c r="AZ1799" s="4" t="s">
        <v>63</v>
      </c>
      <c r="BA1799" s="4" t="s">
        <v>63</v>
      </c>
      <c r="BB1799" s="4" t="s">
        <v>63</v>
      </c>
      <c r="BC1799" s="4" t="s">
        <v>63</v>
      </c>
      <c r="BD1799" s="4" t="s">
        <v>63</v>
      </c>
      <c r="BE1799" s="4" t="s">
        <v>63</v>
      </c>
      <c r="BF1799" s="4" t="s">
        <v>63</v>
      </c>
    </row>
    <row r="1800" spans="1:58">
      <c r="A1800" s="4" t="s">
        <v>58</v>
      </c>
      <c r="B1800" s="4" t="s">
        <v>15640</v>
      </c>
      <c r="C1800" s="4" t="s">
        <v>15641</v>
      </c>
      <c r="D1800" s="4" t="s">
        <v>1184</v>
      </c>
      <c r="E1800" s="4" t="s">
        <v>1185</v>
      </c>
      <c r="F1800" s="4">
        <v>1987</v>
      </c>
      <c r="G1800" s="4" t="s">
        <v>63</v>
      </c>
      <c r="H1800" s="4">
        <v>62</v>
      </c>
      <c r="I1800" s="4">
        <v>1</v>
      </c>
      <c r="J1800" s="4">
        <v>17</v>
      </c>
      <c r="K1800" s="4">
        <v>24</v>
      </c>
      <c r="L1800" s="4" t="s">
        <v>15642</v>
      </c>
      <c r="M1800" s="4" t="s">
        <v>15643</v>
      </c>
      <c r="N1800" s="4" t="s">
        <v>15644</v>
      </c>
      <c r="O1800" s="4" t="s">
        <v>63</v>
      </c>
      <c r="P1800" s="4"/>
      <c r="Q1800" s="4" t="s">
        <v>63</v>
      </c>
      <c r="R1800" s="4" t="s">
        <v>63</v>
      </c>
      <c r="S1800" s="4" t="s">
        <v>63</v>
      </c>
      <c r="T1800" s="4" t="s">
        <v>63</v>
      </c>
      <c r="U1800" s="4"/>
      <c r="V1800" s="4"/>
      <c r="W1800" s="4"/>
      <c r="X1800" s="4" t="s">
        <v>63</v>
      </c>
      <c r="Y1800" s="4" t="s">
        <v>1188</v>
      </c>
      <c r="Z1800" s="4" t="s">
        <v>63</v>
      </c>
      <c r="AA1800" s="4" t="s">
        <v>63</v>
      </c>
      <c r="AB1800" s="4">
        <v>1987050192</v>
      </c>
      <c r="AC1800" s="4" t="s">
        <v>67</v>
      </c>
      <c r="AD1800" s="4" t="s">
        <v>63</v>
      </c>
      <c r="AE1800" s="4" t="s">
        <v>63</v>
      </c>
      <c r="AF1800" s="4" t="s">
        <v>63</v>
      </c>
      <c r="AG1800" s="4" t="s">
        <v>15645</v>
      </c>
      <c r="AH1800" s="4" t="s">
        <v>63</v>
      </c>
      <c r="AI1800" s="4" t="s">
        <v>63</v>
      </c>
      <c r="AJ1800" s="4" t="s">
        <v>63</v>
      </c>
      <c r="AK1800" s="4" t="s">
        <v>63</v>
      </c>
      <c r="AL1800" s="4" t="s">
        <v>63</v>
      </c>
      <c r="AM1800" s="4" t="s">
        <v>15646</v>
      </c>
      <c r="AN1800" s="4" t="s">
        <v>63</v>
      </c>
      <c r="AO1800" s="4" t="s">
        <v>63</v>
      </c>
      <c r="AP1800" s="4" t="s">
        <v>63</v>
      </c>
      <c r="AQ1800" s="4" t="s">
        <v>63</v>
      </c>
      <c r="AR1800" s="4" t="s">
        <v>63</v>
      </c>
      <c r="AS1800" s="4" t="s">
        <v>63</v>
      </c>
      <c r="AT1800" s="4" t="s">
        <v>63</v>
      </c>
      <c r="AU1800" s="4" t="s">
        <v>63</v>
      </c>
      <c r="AV1800" s="4" t="s">
        <v>63</v>
      </c>
      <c r="AW1800" s="4" t="s">
        <v>63</v>
      </c>
      <c r="AX1800" s="4" t="s">
        <v>63</v>
      </c>
      <c r="AY1800" s="4" t="s">
        <v>63</v>
      </c>
      <c r="AZ1800" s="4" t="s">
        <v>63</v>
      </c>
      <c r="BA1800" s="4" t="s">
        <v>63</v>
      </c>
      <c r="BB1800" s="4" t="s">
        <v>63</v>
      </c>
      <c r="BC1800" s="4" t="s">
        <v>63</v>
      </c>
      <c r="BD1800" s="4" t="s">
        <v>63</v>
      </c>
      <c r="BE1800" s="4" t="s">
        <v>63</v>
      </c>
      <c r="BF1800" s="4" t="s">
        <v>63</v>
      </c>
    </row>
    <row r="1801" spans="1:58">
      <c r="A1801" s="4" t="s">
        <v>58</v>
      </c>
      <c r="B1801" s="4" t="s">
        <v>15647</v>
      </c>
      <c r="C1801" s="4" t="s">
        <v>15648</v>
      </c>
      <c r="D1801" s="4" t="s">
        <v>15263</v>
      </c>
      <c r="E1801" s="4" t="s">
        <v>15264</v>
      </c>
      <c r="F1801" s="4">
        <v>2015</v>
      </c>
      <c r="G1801" s="4">
        <v>1</v>
      </c>
      <c r="H1801" s="4">
        <v>156</v>
      </c>
      <c r="I1801" s="4" t="s">
        <v>63</v>
      </c>
      <c r="J1801" s="4" t="s">
        <v>4685</v>
      </c>
      <c r="K1801" s="4" t="s">
        <v>15649</v>
      </c>
      <c r="L1801" s="4" t="s">
        <v>15650</v>
      </c>
      <c r="M1801" s="4" t="s">
        <v>15651</v>
      </c>
      <c r="N1801" s="4" t="s">
        <v>15652</v>
      </c>
      <c r="O1801" s="4" t="s">
        <v>63</v>
      </c>
      <c r="P1801" s="4"/>
      <c r="Q1801" s="4" t="s">
        <v>63</v>
      </c>
      <c r="R1801" s="4" t="s">
        <v>63</v>
      </c>
      <c r="S1801" s="4" t="s">
        <v>63</v>
      </c>
      <c r="T1801" s="4" t="s">
        <v>63</v>
      </c>
      <c r="U1801" s="4"/>
      <c r="V1801" s="4"/>
      <c r="W1801" s="4"/>
      <c r="X1801" s="4" t="s">
        <v>63</v>
      </c>
      <c r="Y1801" s="4" t="s">
        <v>4942</v>
      </c>
      <c r="Z1801" s="4" t="s">
        <v>63</v>
      </c>
      <c r="AA1801" s="4" t="s">
        <v>63</v>
      </c>
      <c r="AB1801" s="4" t="s">
        <v>63</v>
      </c>
      <c r="AC1801" s="4" t="s">
        <v>67</v>
      </c>
      <c r="AD1801" s="4" t="s">
        <v>63</v>
      </c>
      <c r="AE1801" s="4" t="s">
        <v>63</v>
      </c>
      <c r="AF1801" s="4" t="s">
        <v>63</v>
      </c>
      <c r="AG1801" s="4" t="s">
        <v>63</v>
      </c>
      <c r="AH1801" s="4" t="s">
        <v>63</v>
      </c>
      <c r="AI1801" s="4" t="s">
        <v>15653</v>
      </c>
      <c r="AJ1801" s="4" t="s">
        <v>63</v>
      </c>
      <c r="AK1801" s="4" t="s">
        <v>63</v>
      </c>
      <c r="AL1801" s="4" t="s">
        <v>63</v>
      </c>
      <c r="AM1801" s="4" t="s">
        <v>15648</v>
      </c>
      <c r="AN1801" s="4" t="s">
        <v>63</v>
      </c>
      <c r="AO1801" s="4" t="s">
        <v>63</v>
      </c>
      <c r="AP1801" s="4" t="s">
        <v>63</v>
      </c>
      <c r="AQ1801" s="4" t="s">
        <v>63</v>
      </c>
      <c r="AR1801" s="4" t="s">
        <v>63</v>
      </c>
      <c r="AS1801" s="4" t="s">
        <v>63</v>
      </c>
      <c r="AT1801" s="4" t="s">
        <v>63</v>
      </c>
      <c r="AU1801" s="4" t="s">
        <v>63</v>
      </c>
      <c r="AV1801" s="4" t="s">
        <v>63</v>
      </c>
      <c r="AW1801" s="4" t="s">
        <v>63</v>
      </c>
      <c r="AX1801" s="4" t="s">
        <v>63</v>
      </c>
      <c r="AY1801" s="4" t="s">
        <v>63</v>
      </c>
      <c r="AZ1801" s="4" t="s">
        <v>63</v>
      </c>
      <c r="BA1801" s="4" t="s">
        <v>63</v>
      </c>
      <c r="BB1801" s="4" t="s">
        <v>63</v>
      </c>
      <c r="BC1801" s="4" t="s">
        <v>63</v>
      </c>
      <c r="BD1801" s="4" t="s">
        <v>63</v>
      </c>
      <c r="BE1801" s="4" t="s">
        <v>63</v>
      </c>
      <c r="BF1801" s="4" t="s">
        <v>63</v>
      </c>
    </row>
    <row r="1802" spans="1:58">
      <c r="A1802" s="4" t="s">
        <v>58</v>
      </c>
      <c r="B1802" s="4" t="s">
        <v>15654</v>
      </c>
      <c r="C1802" s="4" t="s">
        <v>15655</v>
      </c>
      <c r="D1802" s="4" t="s">
        <v>15656</v>
      </c>
      <c r="E1802" s="4" t="s">
        <v>15656</v>
      </c>
      <c r="F1802" s="4">
        <v>2016</v>
      </c>
      <c r="G1802" s="4" t="s">
        <v>63</v>
      </c>
      <c r="H1802" s="4" t="s">
        <v>15657</v>
      </c>
      <c r="I1802" s="4" t="s">
        <v>63</v>
      </c>
      <c r="J1802" s="4" t="s">
        <v>63</v>
      </c>
      <c r="K1802" s="4" t="s">
        <v>63</v>
      </c>
      <c r="L1802" s="4" t="s">
        <v>15658</v>
      </c>
      <c r="M1802" s="4" t="s">
        <v>15659</v>
      </c>
      <c r="N1802" s="4" t="s">
        <v>15660</v>
      </c>
      <c r="O1802" s="4" t="s">
        <v>63</v>
      </c>
      <c r="P1802" s="4"/>
      <c r="Q1802" s="4" t="s">
        <v>63</v>
      </c>
      <c r="R1802" s="4" t="s">
        <v>63</v>
      </c>
      <c r="S1802" s="4" t="s">
        <v>63</v>
      </c>
      <c r="T1802" s="4" t="s">
        <v>63</v>
      </c>
      <c r="U1802" s="4"/>
      <c r="V1802" s="4"/>
      <c r="W1802" s="4"/>
      <c r="X1802" s="4" t="s">
        <v>63</v>
      </c>
      <c r="Y1802" s="5">
        <v>41903</v>
      </c>
      <c r="Z1802" s="4" t="s">
        <v>63</v>
      </c>
      <c r="AA1802" s="4" t="s">
        <v>63</v>
      </c>
      <c r="AB1802" s="4" t="s">
        <v>63</v>
      </c>
      <c r="AC1802" s="4" t="s">
        <v>67</v>
      </c>
      <c r="AD1802" s="4" t="s">
        <v>63</v>
      </c>
      <c r="AE1802" s="4" t="s">
        <v>63</v>
      </c>
      <c r="AF1802" s="4" t="s">
        <v>63</v>
      </c>
      <c r="AG1802" s="4" t="s">
        <v>63</v>
      </c>
      <c r="AH1802" s="4" t="s">
        <v>63</v>
      </c>
      <c r="AI1802" s="4" t="s">
        <v>63</v>
      </c>
      <c r="AJ1802" s="4" t="s">
        <v>63</v>
      </c>
      <c r="AK1802" s="4" t="s">
        <v>63</v>
      </c>
      <c r="AL1802" s="4" t="s">
        <v>63</v>
      </c>
      <c r="AM1802" s="4" t="s">
        <v>15655</v>
      </c>
      <c r="AN1802" s="4" t="s">
        <v>63</v>
      </c>
      <c r="AO1802" s="4" t="s">
        <v>63</v>
      </c>
      <c r="AP1802" s="4" t="s">
        <v>63</v>
      </c>
      <c r="AQ1802" s="4" t="s">
        <v>63</v>
      </c>
      <c r="AR1802" s="4" t="s">
        <v>63</v>
      </c>
      <c r="AS1802" s="4" t="s">
        <v>63</v>
      </c>
      <c r="AT1802" s="4" t="s">
        <v>63</v>
      </c>
      <c r="AU1802" s="4" t="s">
        <v>63</v>
      </c>
      <c r="AV1802" s="4" t="s">
        <v>63</v>
      </c>
      <c r="AW1802" s="4" t="s">
        <v>63</v>
      </c>
      <c r="AX1802" s="4" t="s">
        <v>63</v>
      </c>
      <c r="AY1802" s="4" t="s">
        <v>63</v>
      </c>
      <c r="AZ1802" s="4" t="s">
        <v>63</v>
      </c>
      <c r="BA1802" s="4" t="s">
        <v>63</v>
      </c>
      <c r="BB1802" s="4" t="s">
        <v>63</v>
      </c>
      <c r="BC1802" s="4" t="s">
        <v>63</v>
      </c>
      <c r="BD1802" s="4" t="s">
        <v>63</v>
      </c>
      <c r="BE1802" s="4" t="s">
        <v>63</v>
      </c>
      <c r="BF1802" s="4" t="s">
        <v>63</v>
      </c>
    </row>
    <row r="1803" spans="1:58">
      <c r="A1803" s="4" t="s">
        <v>58</v>
      </c>
      <c r="B1803" s="4" t="s">
        <v>15661</v>
      </c>
      <c r="C1803" s="4" t="s">
        <v>15662</v>
      </c>
      <c r="D1803" s="4" t="s">
        <v>15663</v>
      </c>
      <c r="E1803" s="4" t="s">
        <v>15664</v>
      </c>
      <c r="F1803" s="4">
        <v>2014</v>
      </c>
      <c r="G1803" s="4" t="s">
        <v>15665</v>
      </c>
      <c r="H1803" s="4">
        <v>47</v>
      </c>
      <c r="I1803" s="4">
        <v>2</v>
      </c>
      <c r="J1803" s="4">
        <v>463</v>
      </c>
      <c r="K1803" s="4">
        <v>464</v>
      </c>
      <c r="L1803" s="4" t="s">
        <v>15666</v>
      </c>
      <c r="M1803" s="4" t="s">
        <v>15667</v>
      </c>
      <c r="N1803" s="4" t="s">
        <v>15668</v>
      </c>
      <c r="O1803" s="4" t="s">
        <v>63</v>
      </c>
      <c r="P1803" s="4"/>
      <c r="Q1803" s="4" t="s">
        <v>63</v>
      </c>
      <c r="R1803" s="4" t="s">
        <v>63</v>
      </c>
      <c r="S1803" s="4" t="s">
        <v>63</v>
      </c>
      <c r="T1803" s="4" t="s">
        <v>63</v>
      </c>
      <c r="U1803" s="4"/>
      <c r="V1803" s="4"/>
      <c r="W1803" s="4"/>
      <c r="X1803" s="4" t="s">
        <v>63</v>
      </c>
      <c r="Y1803" s="4" t="s">
        <v>3022</v>
      </c>
      <c r="Z1803" s="4" t="s">
        <v>63</v>
      </c>
      <c r="AA1803" s="4" t="s">
        <v>63</v>
      </c>
      <c r="AB1803" s="4" t="s">
        <v>63</v>
      </c>
      <c r="AC1803" s="4" t="s">
        <v>67</v>
      </c>
      <c r="AD1803" s="4" t="s">
        <v>63</v>
      </c>
      <c r="AE1803" s="4" t="s">
        <v>63</v>
      </c>
      <c r="AF1803" s="4" t="s">
        <v>63</v>
      </c>
      <c r="AG1803" s="4" t="s">
        <v>63</v>
      </c>
      <c r="AH1803" s="4" t="s">
        <v>63</v>
      </c>
      <c r="AI1803" s="4" t="s">
        <v>15669</v>
      </c>
      <c r="AJ1803" s="4" t="s">
        <v>63</v>
      </c>
      <c r="AK1803" s="4" t="s">
        <v>63</v>
      </c>
      <c r="AL1803" s="4" t="s">
        <v>63</v>
      </c>
      <c r="AM1803" s="4" t="s">
        <v>15662</v>
      </c>
      <c r="AN1803" s="4" t="s">
        <v>63</v>
      </c>
      <c r="AO1803" s="4" t="s">
        <v>63</v>
      </c>
      <c r="AP1803" s="4" t="s">
        <v>63</v>
      </c>
      <c r="AQ1803" s="4" t="s">
        <v>63</v>
      </c>
      <c r="AR1803" s="4" t="s">
        <v>63</v>
      </c>
      <c r="AS1803" s="4" t="s">
        <v>63</v>
      </c>
      <c r="AT1803" s="4" t="s">
        <v>63</v>
      </c>
      <c r="AU1803" s="4" t="s">
        <v>63</v>
      </c>
      <c r="AV1803" s="4" t="s">
        <v>63</v>
      </c>
      <c r="AW1803" s="4" t="s">
        <v>63</v>
      </c>
      <c r="AX1803" s="4" t="s">
        <v>63</v>
      </c>
      <c r="AY1803" s="4" t="s">
        <v>63</v>
      </c>
      <c r="AZ1803" s="4" t="s">
        <v>63</v>
      </c>
      <c r="BA1803" s="4" t="s">
        <v>63</v>
      </c>
      <c r="BB1803" s="4" t="s">
        <v>63</v>
      </c>
      <c r="BC1803" s="4" t="s">
        <v>63</v>
      </c>
      <c r="BD1803" s="4" t="s">
        <v>63</v>
      </c>
      <c r="BE1803" s="4" t="s">
        <v>63</v>
      </c>
      <c r="BF1803" s="4" t="s">
        <v>63</v>
      </c>
    </row>
    <row r="1804" spans="1:58">
      <c r="A1804" s="4" t="s">
        <v>58</v>
      </c>
      <c r="B1804" s="4" t="s">
        <v>15670</v>
      </c>
      <c r="C1804" s="4" t="s">
        <v>15671</v>
      </c>
      <c r="D1804" s="4" t="s">
        <v>15672</v>
      </c>
      <c r="E1804" s="4" t="s">
        <v>15672</v>
      </c>
      <c r="F1804" s="4">
        <v>2012</v>
      </c>
      <c r="G1804" s="4" t="s">
        <v>189</v>
      </c>
      <c r="H1804" s="4">
        <v>142</v>
      </c>
      <c r="I1804" s="4">
        <v>5</v>
      </c>
      <c r="J1804" s="4" t="s">
        <v>15673</v>
      </c>
      <c r="K1804" s="4" t="s">
        <v>63</v>
      </c>
      <c r="L1804" s="4" t="s">
        <v>15674</v>
      </c>
      <c r="M1804" s="4" t="s">
        <v>15675</v>
      </c>
      <c r="N1804" s="4" t="s">
        <v>15676</v>
      </c>
      <c r="O1804" s="4" t="s">
        <v>63</v>
      </c>
      <c r="P1804" s="4"/>
      <c r="Q1804" s="4" t="s">
        <v>63</v>
      </c>
      <c r="R1804" s="4" t="s">
        <v>63</v>
      </c>
      <c r="S1804" s="4" t="s">
        <v>63</v>
      </c>
      <c r="T1804" s="4" t="s">
        <v>63</v>
      </c>
      <c r="U1804" s="4"/>
      <c r="V1804" s="4"/>
      <c r="W1804" s="4"/>
      <c r="X1804" s="4" t="s">
        <v>63</v>
      </c>
      <c r="Y1804" s="4" t="s">
        <v>15677</v>
      </c>
      <c r="Z1804" s="4" t="s">
        <v>63</v>
      </c>
      <c r="AA1804" s="4" t="s">
        <v>63</v>
      </c>
      <c r="AB1804" s="4" t="s">
        <v>63</v>
      </c>
      <c r="AC1804" s="4" t="s">
        <v>67</v>
      </c>
      <c r="AD1804" s="4" t="s">
        <v>63</v>
      </c>
      <c r="AE1804" s="4" t="s">
        <v>63</v>
      </c>
      <c r="AF1804" s="4" t="s">
        <v>63</v>
      </c>
      <c r="AG1804" s="4" t="s">
        <v>63</v>
      </c>
      <c r="AH1804" s="4" t="s">
        <v>63</v>
      </c>
      <c r="AI1804" s="4" t="s">
        <v>63</v>
      </c>
      <c r="AJ1804" s="4" t="s">
        <v>63</v>
      </c>
      <c r="AK1804" s="4" t="s">
        <v>63</v>
      </c>
      <c r="AL1804" s="4" t="s">
        <v>63</v>
      </c>
      <c r="AM1804" s="4" t="s">
        <v>15671</v>
      </c>
      <c r="AN1804" s="4" t="s">
        <v>63</v>
      </c>
      <c r="AO1804" s="4" t="s">
        <v>63</v>
      </c>
      <c r="AP1804" s="4" t="s">
        <v>63</v>
      </c>
      <c r="AQ1804" s="4" t="s">
        <v>63</v>
      </c>
      <c r="AR1804" s="4" t="s">
        <v>63</v>
      </c>
      <c r="AS1804" s="4" t="s">
        <v>63</v>
      </c>
      <c r="AT1804" s="4" t="s">
        <v>63</v>
      </c>
      <c r="AU1804" s="4" t="s">
        <v>63</v>
      </c>
      <c r="AV1804" s="4" t="s">
        <v>63</v>
      </c>
      <c r="AW1804" s="4" t="s">
        <v>63</v>
      </c>
      <c r="AX1804" s="4" t="s">
        <v>63</v>
      </c>
      <c r="AY1804" s="4" t="s">
        <v>63</v>
      </c>
      <c r="AZ1804" s="4" t="s">
        <v>63</v>
      </c>
      <c r="BA1804" s="4" t="s">
        <v>63</v>
      </c>
      <c r="BB1804" s="4" t="s">
        <v>63</v>
      </c>
      <c r="BC1804" s="4" t="s">
        <v>63</v>
      </c>
      <c r="BD1804" s="4" t="s">
        <v>63</v>
      </c>
      <c r="BE1804" s="4" t="s">
        <v>63</v>
      </c>
      <c r="BF1804" s="4" t="s">
        <v>63</v>
      </c>
    </row>
    <row r="1805" spans="1:58">
      <c r="A1805" s="4" t="s">
        <v>58</v>
      </c>
      <c r="B1805" s="4" t="s">
        <v>15678</v>
      </c>
      <c r="C1805" s="4" t="s">
        <v>15679</v>
      </c>
      <c r="D1805" s="4" t="s">
        <v>1689</v>
      </c>
      <c r="E1805" s="4" t="s">
        <v>63</v>
      </c>
      <c r="F1805" s="4">
        <v>2009</v>
      </c>
      <c r="G1805" s="4" t="s">
        <v>15389</v>
      </c>
      <c r="H1805" s="4" t="s">
        <v>15680</v>
      </c>
      <c r="I1805" s="4" t="s">
        <v>63</v>
      </c>
      <c r="J1805" s="4" t="s">
        <v>15681</v>
      </c>
      <c r="K1805" s="4" t="s">
        <v>15682</v>
      </c>
      <c r="L1805" s="4" t="s">
        <v>15683</v>
      </c>
      <c r="M1805" s="4" t="s">
        <v>15684</v>
      </c>
      <c r="N1805" s="4" t="s">
        <v>15685</v>
      </c>
      <c r="O1805" s="4" t="s">
        <v>63</v>
      </c>
      <c r="P1805" s="4"/>
      <c r="Q1805" s="4" t="s">
        <v>63</v>
      </c>
      <c r="R1805" s="4" t="s">
        <v>63</v>
      </c>
      <c r="S1805" s="4" t="s">
        <v>63</v>
      </c>
      <c r="T1805" s="4" t="s">
        <v>63</v>
      </c>
      <c r="U1805" s="4"/>
      <c r="V1805" s="4"/>
      <c r="W1805" s="4"/>
      <c r="X1805" s="4" t="s">
        <v>63</v>
      </c>
      <c r="Y1805" s="4" t="s">
        <v>15686</v>
      </c>
      <c r="Z1805" s="4" t="s">
        <v>63</v>
      </c>
      <c r="AA1805" s="4" t="s">
        <v>63</v>
      </c>
      <c r="AB1805" s="4" t="s">
        <v>63</v>
      </c>
      <c r="AC1805" s="4" t="s">
        <v>67</v>
      </c>
      <c r="AD1805" s="4" t="s">
        <v>63</v>
      </c>
      <c r="AE1805" s="4" t="s">
        <v>63</v>
      </c>
      <c r="AF1805" s="4" t="s">
        <v>63</v>
      </c>
      <c r="AG1805" s="4" t="s">
        <v>63</v>
      </c>
      <c r="AH1805" s="4" t="s">
        <v>63</v>
      </c>
      <c r="AI1805" s="4" t="s">
        <v>15687</v>
      </c>
      <c r="AJ1805" s="4" t="s">
        <v>63</v>
      </c>
      <c r="AK1805" s="4" t="s">
        <v>63</v>
      </c>
      <c r="AL1805" s="4" t="s">
        <v>63</v>
      </c>
      <c r="AM1805" s="4" t="s">
        <v>15679</v>
      </c>
      <c r="AN1805" s="4" t="s">
        <v>63</v>
      </c>
      <c r="AO1805" s="4" t="s">
        <v>63</v>
      </c>
      <c r="AP1805" s="4" t="s">
        <v>63</v>
      </c>
      <c r="AQ1805" s="4" t="s">
        <v>63</v>
      </c>
      <c r="AR1805" s="4" t="s">
        <v>63</v>
      </c>
      <c r="AS1805" s="4" t="s">
        <v>63</v>
      </c>
      <c r="AT1805" s="4" t="s">
        <v>63</v>
      </c>
      <c r="AU1805" s="4" t="s">
        <v>63</v>
      </c>
      <c r="AV1805" s="4" t="s">
        <v>63</v>
      </c>
      <c r="AW1805" s="4" t="s">
        <v>63</v>
      </c>
      <c r="AX1805" s="4" t="s">
        <v>63</v>
      </c>
      <c r="AY1805" s="4" t="s">
        <v>63</v>
      </c>
      <c r="AZ1805" s="4" t="s">
        <v>63</v>
      </c>
      <c r="BA1805" s="4" t="s">
        <v>63</v>
      </c>
      <c r="BB1805" s="4" t="s">
        <v>63</v>
      </c>
      <c r="BC1805" s="4" t="s">
        <v>63</v>
      </c>
      <c r="BD1805" s="4" t="s">
        <v>63</v>
      </c>
      <c r="BE1805" s="4" t="s">
        <v>63</v>
      </c>
      <c r="BF1805" s="4" t="s">
        <v>63</v>
      </c>
    </row>
    <row r="1806" spans="1:58">
      <c r="A1806" s="4" t="s">
        <v>58</v>
      </c>
      <c r="B1806" s="4" t="s">
        <v>15688</v>
      </c>
      <c r="C1806" s="4" t="s">
        <v>15689</v>
      </c>
      <c r="D1806" s="4" t="s">
        <v>371</v>
      </c>
      <c r="E1806" s="4" t="s">
        <v>63</v>
      </c>
      <c r="F1806" s="4">
        <v>2013</v>
      </c>
      <c r="G1806" s="4" t="s">
        <v>15155</v>
      </c>
      <c r="H1806" s="4" t="s">
        <v>15690</v>
      </c>
      <c r="I1806" s="4" t="s">
        <v>63</v>
      </c>
      <c r="J1806" s="4" t="s">
        <v>6630</v>
      </c>
      <c r="K1806" s="4" t="s">
        <v>63</v>
      </c>
      <c r="L1806" s="4" t="s">
        <v>15691</v>
      </c>
      <c r="M1806" s="4" t="s">
        <v>15692</v>
      </c>
      <c r="N1806" s="4" t="s">
        <v>15693</v>
      </c>
      <c r="O1806" s="4" t="s">
        <v>63</v>
      </c>
      <c r="P1806" s="4"/>
      <c r="Q1806" s="4" t="s">
        <v>63</v>
      </c>
      <c r="R1806" s="4" t="s">
        <v>63</v>
      </c>
      <c r="S1806" s="4" t="s">
        <v>63</v>
      </c>
      <c r="T1806" s="4" t="s">
        <v>63</v>
      </c>
      <c r="U1806" s="4"/>
      <c r="V1806" s="4"/>
      <c r="W1806" s="4"/>
      <c r="X1806" s="4" t="s">
        <v>63</v>
      </c>
      <c r="Y1806" s="4" t="s">
        <v>375</v>
      </c>
      <c r="Z1806" s="4" t="s">
        <v>63</v>
      </c>
      <c r="AA1806" s="4" t="s">
        <v>63</v>
      </c>
      <c r="AB1806" s="4" t="s">
        <v>63</v>
      </c>
      <c r="AC1806" s="4" t="s">
        <v>67</v>
      </c>
      <c r="AD1806" s="4" t="s">
        <v>63</v>
      </c>
      <c r="AE1806" s="4" t="s">
        <v>63</v>
      </c>
      <c r="AF1806" s="4" t="s">
        <v>63</v>
      </c>
      <c r="AG1806" s="4" t="s">
        <v>63</v>
      </c>
      <c r="AH1806" s="4" t="s">
        <v>63</v>
      </c>
      <c r="AI1806" s="4" t="s">
        <v>63</v>
      </c>
      <c r="AJ1806" s="4" t="s">
        <v>63</v>
      </c>
      <c r="AK1806" s="4" t="s">
        <v>63</v>
      </c>
      <c r="AL1806" s="4" t="s">
        <v>63</v>
      </c>
      <c r="AM1806" s="4" t="s">
        <v>15689</v>
      </c>
      <c r="AN1806" s="4" t="s">
        <v>63</v>
      </c>
      <c r="AO1806" s="4" t="s">
        <v>63</v>
      </c>
      <c r="AP1806" s="4" t="s">
        <v>63</v>
      </c>
      <c r="AQ1806" s="4" t="s">
        <v>63</v>
      </c>
      <c r="AR1806" s="4" t="s">
        <v>63</v>
      </c>
      <c r="AS1806" s="4" t="s">
        <v>63</v>
      </c>
      <c r="AT1806" s="4" t="s">
        <v>63</v>
      </c>
      <c r="AU1806" s="4" t="s">
        <v>63</v>
      </c>
      <c r="AV1806" s="4" t="s">
        <v>63</v>
      </c>
      <c r="AW1806" s="4" t="s">
        <v>63</v>
      </c>
      <c r="AX1806" s="4" t="s">
        <v>63</v>
      </c>
      <c r="AY1806" s="4" t="s">
        <v>63</v>
      </c>
      <c r="AZ1806" s="4" t="s">
        <v>63</v>
      </c>
      <c r="BA1806" s="4" t="s">
        <v>63</v>
      </c>
      <c r="BB1806" s="4" t="s">
        <v>63</v>
      </c>
      <c r="BC1806" s="4" t="s">
        <v>63</v>
      </c>
      <c r="BD1806" s="4" t="s">
        <v>63</v>
      </c>
      <c r="BE1806" s="4" t="s">
        <v>63</v>
      </c>
      <c r="BF1806" s="4" t="s">
        <v>63</v>
      </c>
    </row>
    <row r="1807" spans="1:58">
      <c r="A1807" s="4" t="s">
        <v>58</v>
      </c>
      <c r="B1807" s="4" t="s">
        <v>15694</v>
      </c>
      <c r="C1807" s="4" t="s">
        <v>15695</v>
      </c>
      <c r="D1807" s="4" t="s">
        <v>15263</v>
      </c>
      <c r="E1807" s="4" t="s">
        <v>15264</v>
      </c>
      <c r="F1807" s="4">
        <v>2015</v>
      </c>
      <c r="G1807" s="4">
        <v>1</v>
      </c>
      <c r="H1807" s="4">
        <v>146</v>
      </c>
      <c r="I1807" s="4" t="s">
        <v>63</v>
      </c>
      <c r="J1807" s="4" t="s">
        <v>15696</v>
      </c>
      <c r="K1807" s="4" t="s">
        <v>15697</v>
      </c>
      <c r="L1807" s="4" t="s">
        <v>15698</v>
      </c>
      <c r="M1807" s="4" t="s">
        <v>15699</v>
      </c>
      <c r="N1807" s="4" t="s">
        <v>15700</v>
      </c>
      <c r="O1807" s="4" t="s">
        <v>63</v>
      </c>
      <c r="P1807" s="4"/>
      <c r="Q1807" s="4" t="s">
        <v>63</v>
      </c>
      <c r="R1807" s="4" t="s">
        <v>63</v>
      </c>
      <c r="S1807" s="4" t="s">
        <v>63</v>
      </c>
      <c r="T1807" s="4" t="s">
        <v>63</v>
      </c>
      <c r="U1807" s="4"/>
      <c r="V1807" s="4"/>
      <c r="W1807" s="4"/>
      <c r="X1807" s="4" t="s">
        <v>63</v>
      </c>
      <c r="Y1807" s="4" t="s">
        <v>4942</v>
      </c>
      <c r="Z1807" s="4" t="s">
        <v>63</v>
      </c>
      <c r="AA1807" s="4" t="s">
        <v>63</v>
      </c>
      <c r="AB1807" s="4" t="s">
        <v>63</v>
      </c>
      <c r="AC1807" s="4" t="s">
        <v>67</v>
      </c>
      <c r="AD1807" s="4" t="s">
        <v>63</v>
      </c>
      <c r="AE1807" s="4" t="s">
        <v>63</v>
      </c>
      <c r="AF1807" s="4" t="s">
        <v>63</v>
      </c>
      <c r="AG1807" s="4" t="s">
        <v>63</v>
      </c>
      <c r="AH1807" s="4" t="s">
        <v>63</v>
      </c>
      <c r="AI1807" s="4" t="s">
        <v>15701</v>
      </c>
      <c r="AJ1807" s="4" t="s">
        <v>63</v>
      </c>
      <c r="AK1807" s="4" t="s">
        <v>63</v>
      </c>
      <c r="AL1807" s="4" t="s">
        <v>63</v>
      </c>
      <c r="AM1807" s="4" t="s">
        <v>15695</v>
      </c>
      <c r="AN1807" s="4" t="s">
        <v>63</v>
      </c>
      <c r="AO1807" s="4" t="s">
        <v>63</v>
      </c>
      <c r="AP1807" s="4" t="s">
        <v>63</v>
      </c>
      <c r="AQ1807" s="4" t="s">
        <v>63</v>
      </c>
      <c r="AR1807" s="4" t="s">
        <v>63</v>
      </c>
      <c r="AS1807" s="4" t="s">
        <v>63</v>
      </c>
      <c r="AT1807" s="4" t="s">
        <v>63</v>
      </c>
      <c r="AU1807" s="4" t="s">
        <v>63</v>
      </c>
      <c r="AV1807" s="4" t="s">
        <v>63</v>
      </c>
      <c r="AW1807" s="4" t="s">
        <v>63</v>
      </c>
      <c r="AX1807" s="4" t="s">
        <v>63</v>
      </c>
      <c r="AY1807" s="4" t="s">
        <v>63</v>
      </c>
      <c r="AZ1807" s="4" t="s">
        <v>63</v>
      </c>
      <c r="BA1807" s="4" t="s">
        <v>63</v>
      </c>
      <c r="BB1807" s="4" t="s">
        <v>63</v>
      </c>
      <c r="BC1807" s="4" t="s">
        <v>63</v>
      </c>
      <c r="BD1807" s="4" t="s">
        <v>63</v>
      </c>
      <c r="BE1807" s="4" t="s">
        <v>63</v>
      </c>
      <c r="BF1807" s="4" t="s">
        <v>63</v>
      </c>
    </row>
    <row r="1808" spans="1:58">
      <c r="A1808" s="4" t="s">
        <v>58</v>
      </c>
      <c r="B1808" s="4" t="s">
        <v>15702</v>
      </c>
      <c r="C1808" s="4" t="s">
        <v>15703</v>
      </c>
      <c r="D1808" s="4" t="s">
        <v>938</v>
      </c>
      <c r="E1808" s="4" t="s">
        <v>63</v>
      </c>
      <c r="F1808" s="4">
        <v>2008</v>
      </c>
      <c r="G1808" s="4" t="s">
        <v>15389</v>
      </c>
      <c r="H1808" s="4">
        <v>17</v>
      </c>
      <c r="I1808" s="4">
        <v>2</v>
      </c>
      <c r="J1808" s="4">
        <v>145</v>
      </c>
      <c r="K1808" s="4">
        <v>148</v>
      </c>
      <c r="L1808" s="4" t="s">
        <v>15704</v>
      </c>
      <c r="M1808" s="4" t="s">
        <v>15705</v>
      </c>
      <c r="N1808" s="4" t="s">
        <v>15706</v>
      </c>
      <c r="O1808" s="4" t="s">
        <v>63</v>
      </c>
      <c r="P1808" s="4"/>
      <c r="Q1808" s="4" t="s">
        <v>63</v>
      </c>
      <c r="R1808" s="4" t="s">
        <v>63</v>
      </c>
      <c r="S1808" s="4" t="s">
        <v>63</v>
      </c>
      <c r="T1808" s="4" t="s">
        <v>63</v>
      </c>
      <c r="U1808" s="4"/>
      <c r="V1808" s="4"/>
      <c r="W1808" s="4"/>
      <c r="X1808" s="4" t="s">
        <v>63</v>
      </c>
      <c r="Y1808" s="4" t="s">
        <v>15707</v>
      </c>
      <c r="Z1808" s="4" t="s">
        <v>63</v>
      </c>
      <c r="AA1808" s="4" t="s">
        <v>63</v>
      </c>
      <c r="AB1808" s="4">
        <v>2008174866</v>
      </c>
      <c r="AC1808" s="4" t="s">
        <v>67</v>
      </c>
      <c r="AD1808" s="4" t="s">
        <v>63</v>
      </c>
      <c r="AE1808" s="4" t="s">
        <v>63</v>
      </c>
      <c r="AF1808" s="4" t="s">
        <v>63</v>
      </c>
      <c r="AG1808" s="4" t="s">
        <v>15708</v>
      </c>
      <c r="AH1808" s="4" t="s">
        <v>63</v>
      </c>
      <c r="AI1808" s="4" t="s">
        <v>15709</v>
      </c>
      <c r="AJ1808" s="4" t="s">
        <v>63</v>
      </c>
      <c r="AK1808" s="4" t="s">
        <v>63</v>
      </c>
      <c r="AL1808" s="4" t="s">
        <v>63</v>
      </c>
      <c r="AM1808" s="4" t="s">
        <v>15710</v>
      </c>
      <c r="AN1808" s="4" t="s">
        <v>63</v>
      </c>
      <c r="AO1808" s="4" t="s">
        <v>63</v>
      </c>
      <c r="AP1808" s="4" t="s">
        <v>63</v>
      </c>
      <c r="AQ1808" s="4" t="s">
        <v>63</v>
      </c>
      <c r="AR1808" s="4" t="s">
        <v>63</v>
      </c>
      <c r="AS1808" s="4" t="s">
        <v>63</v>
      </c>
      <c r="AT1808" s="4" t="s">
        <v>63</v>
      </c>
      <c r="AU1808" s="4" t="s">
        <v>63</v>
      </c>
      <c r="AV1808" s="4" t="s">
        <v>63</v>
      </c>
      <c r="AW1808" s="4" t="s">
        <v>63</v>
      </c>
      <c r="AX1808" s="4" t="s">
        <v>63</v>
      </c>
      <c r="AY1808" s="4" t="s">
        <v>63</v>
      </c>
      <c r="AZ1808" s="4" t="s">
        <v>63</v>
      </c>
      <c r="BA1808" s="4" t="s">
        <v>63</v>
      </c>
      <c r="BB1808" s="4" t="s">
        <v>63</v>
      </c>
      <c r="BC1808" s="4" t="s">
        <v>63</v>
      </c>
      <c r="BD1808" s="4" t="s">
        <v>63</v>
      </c>
      <c r="BE1808" s="4" t="s">
        <v>63</v>
      </c>
      <c r="BF1808" s="4" t="s">
        <v>63</v>
      </c>
    </row>
    <row r="1809" spans="1:58">
      <c r="A1809" s="4" t="s">
        <v>58</v>
      </c>
      <c r="B1809" s="4" t="s">
        <v>15711</v>
      </c>
      <c r="C1809" s="4" t="s">
        <v>15712</v>
      </c>
      <c r="D1809" s="4" t="s">
        <v>15713</v>
      </c>
      <c r="E1809" s="4" t="s">
        <v>15714</v>
      </c>
      <c r="F1809" s="4">
        <v>2002</v>
      </c>
      <c r="G1809" s="4" t="s">
        <v>63</v>
      </c>
      <c r="H1809" s="4">
        <v>7</v>
      </c>
      <c r="I1809" s="4">
        <v>1</v>
      </c>
      <c r="J1809" s="4">
        <v>50</v>
      </c>
      <c r="K1809" s="4">
        <v>56</v>
      </c>
      <c r="L1809" s="4" t="s">
        <v>15715</v>
      </c>
      <c r="M1809" s="4" t="s">
        <v>15716</v>
      </c>
      <c r="N1809" s="4" t="s">
        <v>15717</v>
      </c>
      <c r="O1809" s="4" t="s">
        <v>63</v>
      </c>
      <c r="P1809" s="4"/>
      <c r="Q1809" s="4" t="s">
        <v>63</v>
      </c>
      <c r="R1809" s="4" t="s">
        <v>63</v>
      </c>
      <c r="S1809" s="4" t="s">
        <v>63</v>
      </c>
      <c r="T1809" s="4" t="s">
        <v>63</v>
      </c>
      <c r="U1809" s="4"/>
      <c r="V1809" s="4"/>
      <c r="W1809" s="4"/>
      <c r="X1809" s="4" t="s">
        <v>63</v>
      </c>
      <c r="Y1809" s="4" t="s">
        <v>15718</v>
      </c>
      <c r="Z1809" s="4" t="s">
        <v>63</v>
      </c>
      <c r="AA1809" s="4" t="s">
        <v>63</v>
      </c>
      <c r="AB1809" s="4" t="s">
        <v>15719</v>
      </c>
      <c r="AC1809" s="4" t="s">
        <v>67</v>
      </c>
      <c r="AD1809" s="4" t="s">
        <v>63</v>
      </c>
      <c r="AE1809" s="4" t="s">
        <v>63</v>
      </c>
      <c r="AF1809" s="4" t="s">
        <v>63</v>
      </c>
      <c r="AG1809" s="4" t="s">
        <v>63</v>
      </c>
      <c r="AH1809" s="4" t="s">
        <v>63</v>
      </c>
      <c r="AI1809" s="4" t="s">
        <v>15720</v>
      </c>
      <c r="AJ1809" s="4" t="s">
        <v>63</v>
      </c>
      <c r="AK1809" s="4" t="s">
        <v>63</v>
      </c>
      <c r="AL1809" s="4" t="s">
        <v>63</v>
      </c>
      <c r="AM1809" s="4" t="s">
        <v>15712</v>
      </c>
      <c r="AN1809" s="4" t="s">
        <v>63</v>
      </c>
      <c r="AO1809" s="4" t="s">
        <v>63</v>
      </c>
      <c r="AP1809" s="4" t="s">
        <v>63</v>
      </c>
      <c r="AQ1809" s="4" t="s">
        <v>63</v>
      </c>
      <c r="AR1809" s="4" t="s">
        <v>63</v>
      </c>
      <c r="AS1809" s="4" t="s">
        <v>63</v>
      </c>
      <c r="AT1809" s="4" t="s">
        <v>63</v>
      </c>
      <c r="AU1809" s="4" t="s">
        <v>63</v>
      </c>
      <c r="AV1809" s="4" t="s">
        <v>63</v>
      </c>
      <c r="AW1809" s="4" t="s">
        <v>63</v>
      </c>
      <c r="AX1809" s="4" t="s">
        <v>63</v>
      </c>
      <c r="AY1809" s="4" t="s">
        <v>63</v>
      </c>
      <c r="AZ1809" s="4" t="s">
        <v>63</v>
      </c>
      <c r="BA1809" s="4" t="s">
        <v>63</v>
      </c>
      <c r="BB1809" s="4" t="s">
        <v>63</v>
      </c>
      <c r="BC1809" s="4" t="s">
        <v>63</v>
      </c>
      <c r="BD1809" s="4" t="s">
        <v>63</v>
      </c>
      <c r="BE1809" s="4" t="s">
        <v>63</v>
      </c>
      <c r="BF1809" s="4" t="s">
        <v>63</v>
      </c>
    </row>
    <row r="1810" spans="1:58">
      <c r="A1810" s="4" t="s">
        <v>58</v>
      </c>
      <c r="B1810" s="4" t="s">
        <v>15721</v>
      </c>
      <c r="C1810" s="4" t="s">
        <v>15722</v>
      </c>
      <c r="D1810" s="4" t="s">
        <v>15723</v>
      </c>
      <c r="E1810" s="4" t="s">
        <v>15724</v>
      </c>
      <c r="F1810" s="4">
        <v>2010</v>
      </c>
      <c r="G1810" s="4" t="s">
        <v>63</v>
      </c>
      <c r="H1810" s="4">
        <v>9</v>
      </c>
      <c r="I1810" s="4">
        <v>1</v>
      </c>
      <c r="J1810" s="4">
        <v>61</v>
      </c>
      <c r="K1810" s="4">
        <v>62</v>
      </c>
      <c r="L1810" s="4" t="s">
        <v>15725</v>
      </c>
      <c r="M1810" s="4" t="s">
        <v>15726</v>
      </c>
      <c r="N1810" s="4" t="s">
        <v>15727</v>
      </c>
      <c r="O1810" s="4" t="s">
        <v>63</v>
      </c>
      <c r="P1810" s="4"/>
      <c r="Q1810" s="4" t="s">
        <v>63</v>
      </c>
      <c r="R1810" s="4" t="s">
        <v>63</v>
      </c>
      <c r="S1810" s="4" t="s">
        <v>63</v>
      </c>
      <c r="T1810" s="4" t="s">
        <v>63</v>
      </c>
      <c r="U1810" s="4"/>
      <c r="V1810" s="4"/>
      <c r="W1810" s="4"/>
      <c r="X1810" s="4" t="s">
        <v>63</v>
      </c>
      <c r="Y1810" s="4" t="s">
        <v>15728</v>
      </c>
      <c r="Z1810" s="4" t="s">
        <v>63</v>
      </c>
      <c r="AA1810" s="4" t="s">
        <v>63</v>
      </c>
      <c r="AB1810" s="4" t="s">
        <v>63</v>
      </c>
      <c r="AC1810" s="4" t="s">
        <v>67</v>
      </c>
      <c r="AD1810" s="4" t="s">
        <v>63</v>
      </c>
      <c r="AE1810" s="4" t="s">
        <v>63</v>
      </c>
      <c r="AF1810" s="4" t="s">
        <v>63</v>
      </c>
      <c r="AG1810" s="4" t="s">
        <v>63</v>
      </c>
      <c r="AH1810" s="4" t="s">
        <v>63</v>
      </c>
      <c r="AI1810" s="4" t="s">
        <v>15729</v>
      </c>
      <c r="AJ1810" s="4" t="s">
        <v>63</v>
      </c>
      <c r="AK1810" s="4" t="s">
        <v>63</v>
      </c>
      <c r="AL1810" s="4" t="s">
        <v>63</v>
      </c>
      <c r="AM1810" s="4" t="s">
        <v>15722</v>
      </c>
      <c r="AN1810" s="4" t="s">
        <v>63</v>
      </c>
      <c r="AO1810" s="4" t="s">
        <v>63</v>
      </c>
      <c r="AP1810" s="4" t="s">
        <v>63</v>
      </c>
      <c r="AQ1810" s="4" t="s">
        <v>63</v>
      </c>
      <c r="AR1810" s="4" t="s">
        <v>63</v>
      </c>
      <c r="AS1810" s="4" t="s">
        <v>63</v>
      </c>
      <c r="AT1810" s="4" t="s">
        <v>63</v>
      </c>
      <c r="AU1810" s="4" t="s">
        <v>63</v>
      </c>
      <c r="AV1810" s="4" t="s">
        <v>63</v>
      </c>
      <c r="AW1810" s="4" t="s">
        <v>63</v>
      </c>
      <c r="AX1810" s="4" t="s">
        <v>63</v>
      </c>
      <c r="AY1810" s="4" t="s">
        <v>63</v>
      </c>
      <c r="AZ1810" s="4" t="s">
        <v>63</v>
      </c>
      <c r="BA1810" s="4" t="s">
        <v>63</v>
      </c>
      <c r="BB1810" s="4" t="s">
        <v>63</v>
      </c>
      <c r="BC1810" s="4" t="s">
        <v>63</v>
      </c>
      <c r="BD1810" s="4" t="s">
        <v>63</v>
      </c>
      <c r="BE1810" s="4" t="s">
        <v>63</v>
      </c>
      <c r="BF1810" s="4" t="s">
        <v>63</v>
      </c>
    </row>
    <row r="1811" spans="1:58">
      <c r="A1811" s="4" t="s">
        <v>58</v>
      </c>
      <c r="B1811" s="4" t="s">
        <v>15730</v>
      </c>
      <c r="C1811" s="4" t="s">
        <v>15731</v>
      </c>
      <c r="D1811" s="4" t="s">
        <v>15732</v>
      </c>
      <c r="E1811" s="4" t="s">
        <v>15733</v>
      </c>
      <c r="F1811" s="4">
        <v>1974</v>
      </c>
      <c r="G1811" s="4" t="s">
        <v>63</v>
      </c>
      <c r="H1811" s="4">
        <v>16</v>
      </c>
      <c r="I1811" s="4">
        <v>3</v>
      </c>
      <c r="J1811" s="4">
        <v>68</v>
      </c>
      <c r="K1811" s="4">
        <v>70</v>
      </c>
      <c r="L1811" s="4" t="s">
        <v>15734</v>
      </c>
      <c r="M1811" s="4" t="s">
        <v>15735</v>
      </c>
      <c r="N1811" s="4" t="s">
        <v>15736</v>
      </c>
      <c r="O1811" s="4" t="s">
        <v>63</v>
      </c>
      <c r="P1811" s="4"/>
      <c r="Q1811" s="4" t="s">
        <v>63</v>
      </c>
      <c r="R1811" s="4" t="s">
        <v>63</v>
      </c>
      <c r="S1811" s="4" t="s">
        <v>63</v>
      </c>
      <c r="T1811" s="4" t="s">
        <v>63</v>
      </c>
      <c r="U1811" s="4"/>
      <c r="V1811" s="4"/>
      <c r="W1811" s="4"/>
      <c r="X1811" s="4" t="s">
        <v>63</v>
      </c>
      <c r="Y1811" s="4" t="s">
        <v>15737</v>
      </c>
      <c r="Z1811" s="4" t="s">
        <v>63</v>
      </c>
      <c r="AA1811" s="4" t="s">
        <v>63</v>
      </c>
      <c r="AB1811" s="4" t="s">
        <v>15738</v>
      </c>
      <c r="AC1811" s="4" t="s">
        <v>67</v>
      </c>
      <c r="AD1811" s="4" t="s">
        <v>63</v>
      </c>
      <c r="AE1811" s="4" t="s">
        <v>63</v>
      </c>
      <c r="AF1811" s="4" t="s">
        <v>63</v>
      </c>
      <c r="AG1811" s="4" t="s">
        <v>63</v>
      </c>
      <c r="AH1811" s="4" t="s">
        <v>63</v>
      </c>
      <c r="AI1811" s="4" t="s">
        <v>63</v>
      </c>
      <c r="AJ1811" s="4" t="s">
        <v>63</v>
      </c>
      <c r="AK1811" s="4" t="s">
        <v>63</v>
      </c>
      <c r="AL1811" s="4" t="s">
        <v>63</v>
      </c>
      <c r="AM1811" s="4" t="s">
        <v>15731</v>
      </c>
      <c r="AN1811" s="4" t="s">
        <v>63</v>
      </c>
      <c r="AO1811" s="4" t="s">
        <v>63</v>
      </c>
      <c r="AP1811" s="4" t="s">
        <v>63</v>
      </c>
      <c r="AQ1811" s="4" t="s">
        <v>63</v>
      </c>
      <c r="AR1811" s="4" t="s">
        <v>63</v>
      </c>
      <c r="AS1811" s="4" t="s">
        <v>63</v>
      </c>
      <c r="AT1811" s="4" t="s">
        <v>63</v>
      </c>
      <c r="AU1811" s="4" t="s">
        <v>63</v>
      </c>
      <c r="AV1811" s="4" t="s">
        <v>63</v>
      </c>
      <c r="AW1811" s="4" t="s">
        <v>63</v>
      </c>
      <c r="AX1811" s="4" t="s">
        <v>63</v>
      </c>
      <c r="AY1811" s="4" t="s">
        <v>63</v>
      </c>
      <c r="AZ1811" s="4" t="s">
        <v>63</v>
      </c>
      <c r="BA1811" s="4" t="s">
        <v>63</v>
      </c>
      <c r="BB1811" s="4" t="s">
        <v>63</v>
      </c>
      <c r="BC1811" s="4" t="s">
        <v>63</v>
      </c>
      <c r="BD1811" s="4" t="s">
        <v>63</v>
      </c>
      <c r="BE1811" s="4" t="s">
        <v>63</v>
      </c>
      <c r="BF1811" s="4" t="s">
        <v>63</v>
      </c>
    </row>
    <row r="1812" spans="1:58">
      <c r="A1812" s="4" t="s">
        <v>58</v>
      </c>
      <c r="B1812" s="4" t="s">
        <v>15739</v>
      </c>
      <c r="C1812" s="4" t="s">
        <v>15740</v>
      </c>
      <c r="D1812" s="4" t="s">
        <v>15741</v>
      </c>
      <c r="E1812" s="4" t="s">
        <v>63</v>
      </c>
      <c r="F1812" s="4">
        <v>2013</v>
      </c>
      <c r="G1812" s="4" t="s">
        <v>63</v>
      </c>
      <c r="H1812" s="4">
        <v>13</v>
      </c>
      <c r="I1812" s="4">
        <v>3</v>
      </c>
      <c r="J1812" s="4">
        <v>375</v>
      </c>
      <c r="K1812" s="4">
        <v>379</v>
      </c>
      <c r="L1812" s="4" t="s">
        <v>15742</v>
      </c>
      <c r="M1812" s="4" t="s">
        <v>15743</v>
      </c>
      <c r="N1812" s="4" t="s">
        <v>15744</v>
      </c>
      <c r="O1812" s="4" t="s">
        <v>63</v>
      </c>
      <c r="P1812" s="4"/>
      <c r="Q1812" s="4" t="s">
        <v>63</v>
      </c>
      <c r="R1812" s="4" t="s">
        <v>63</v>
      </c>
      <c r="S1812" s="4" t="s">
        <v>63</v>
      </c>
      <c r="T1812" s="4" t="s">
        <v>63</v>
      </c>
      <c r="U1812" s="4"/>
      <c r="V1812" s="4"/>
      <c r="W1812" s="4"/>
      <c r="X1812" s="4" t="s">
        <v>63</v>
      </c>
      <c r="Y1812" s="4" t="s">
        <v>15745</v>
      </c>
      <c r="Z1812" s="4" t="s">
        <v>63</v>
      </c>
      <c r="AA1812" s="4" t="s">
        <v>63</v>
      </c>
      <c r="AB1812" s="4" t="s">
        <v>15746</v>
      </c>
      <c r="AC1812" s="4" t="s">
        <v>67</v>
      </c>
      <c r="AD1812" s="4" t="s">
        <v>63</v>
      </c>
      <c r="AE1812" s="4" t="s">
        <v>63</v>
      </c>
      <c r="AF1812" s="4" t="s">
        <v>63</v>
      </c>
      <c r="AG1812" s="4" t="s">
        <v>63</v>
      </c>
      <c r="AH1812" s="4" t="s">
        <v>63</v>
      </c>
      <c r="AI1812" s="4" t="s">
        <v>63</v>
      </c>
      <c r="AJ1812" s="4" t="s">
        <v>63</v>
      </c>
      <c r="AK1812" s="4" t="s">
        <v>63</v>
      </c>
      <c r="AL1812" s="4" t="s">
        <v>63</v>
      </c>
      <c r="AM1812" s="4" t="s">
        <v>15740</v>
      </c>
      <c r="AN1812" s="4" t="s">
        <v>63</v>
      </c>
      <c r="AO1812" s="4" t="s">
        <v>63</v>
      </c>
      <c r="AP1812" s="4" t="s">
        <v>63</v>
      </c>
      <c r="AQ1812" s="4" t="s">
        <v>63</v>
      </c>
      <c r="AR1812" s="4" t="s">
        <v>63</v>
      </c>
      <c r="AS1812" s="4" t="s">
        <v>63</v>
      </c>
      <c r="AT1812" s="4" t="s">
        <v>63</v>
      </c>
      <c r="AU1812" s="4" t="s">
        <v>63</v>
      </c>
      <c r="AV1812" s="4" t="s">
        <v>63</v>
      </c>
      <c r="AW1812" s="4" t="s">
        <v>63</v>
      </c>
      <c r="AX1812" s="4" t="s">
        <v>63</v>
      </c>
      <c r="AY1812" s="4" t="s">
        <v>63</v>
      </c>
      <c r="AZ1812" s="4" t="s">
        <v>63</v>
      </c>
      <c r="BA1812" s="4" t="s">
        <v>63</v>
      </c>
      <c r="BB1812" s="4" t="s">
        <v>63</v>
      </c>
      <c r="BC1812" s="4" t="s">
        <v>63</v>
      </c>
      <c r="BD1812" s="4" t="s">
        <v>63</v>
      </c>
      <c r="BE1812" s="4" t="s">
        <v>63</v>
      </c>
      <c r="BF1812" s="4" t="s">
        <v>63</v>
      </c>
    </row>
    <row r="1813" spans="1:58">
      <c r="A1813" s="4" t="s">
        <v>58</v>
      </c>
      <c r="B1813" s="4" t="s">
        <v>15747</v>
      </c>
      <c r="C1813" s="4" t="s">
        <v>15748</v>
      </c>
      <c r="D1813" s="4" t="s">
        <v>15440</v>
      </c>
      <c r="E1813" s="4" t="s">
        <v>15440</v>
      </c>
      <c r="F1813" s="4">
        <v>2017</v>
      </c>
      <c r="G1813" s="4" t="s">
        <v>63</v>
      </c>
      <c r="H1813" s="4">
        <v>37</v>
      </c>
      <c r="I1813" s="4">
        <v>12</v>
      </c>
      <c r="J1813" s="4" t="s">
        <v>15749</v>
      </c>
      <c r="K1813" s="4" t="s">
        <v>63</v>
      </c>
      <c r="L1813" s="4" t="s">
        <v>15750</v>
      </c>
      <c r="M1813" s="4" t="s">
        <v>15751</v>
      </c>
      <c r="N1813" s="4" t="s">
        <v>15752</v>
      </c>
      <c r="O1813" s="4" t="s">
        <v>63</v>
      </c>
      <c r="P1813" s="4"/>
      <c r="Q1813" s="4" t="s">
        <v>63</v>
      </c>
      <c r="R1813" s="4" t="s">
        <v>63</v>
      </c>
      <c r="S1813" s="4" t="s">
        <v>63</v>
      </c>
      <c r="T1813" s="4" t="s">
        <v>63</v>
      </c>
      <c r="U1813" s="4"/>
      <c r="V1813" s="4"/>
      <c r="W1813" s="4"/>
      <c r="X1813" s="4" t="s">
        <v>63</v>
      </c>
      <c r="Y1813" s="4" t="s">
        <v>15753</v>
      </c>
      <c r="Z1813" s="4" t="s">
        <v>63</v>
      </c>
      <c r="AA1813" s="4" t="s">
        <v>63</v>
      </c>
      <c r="AB1813" s="4" t="s">
        <v>63</v>
      </c>
      <c r="AC1813" s="4" t="s">
        <v>67</v>
      </c>
      <c r="AD1813" s="4" t="s">
        <v>63</v>
      </c>
      <c r="AE1813" s="4" t="s">
        <v>63</v>
      </c>
      <c r="AF1813" s="4" t="s">
        <v>63</v>
      </c>
      <c r="AG1813" s="4" t="s">
        <v>63</v>
      </c>
      <c r="AH1813" s="4" t="s">
        <v>63</v>
      </c>
      <c r="AI1813" s="4" t="s">
        <v>15754</v>
      </c>
      <c r="AJ1813" s="4" t="s">
        <v>63</v>
      </c>
      <c r="AK1813" s="4" t="s">
        <v>63</v>
      </c>
      <c r="AL1813" s="4" t="s">
        <v>63</v>
      </c>
      <c r="AM1813" s="4" t="s">
        <v>15748</v>
      </c>
      <c r="AN1813" s="4" t="s">
        <v>63</v>
      </c>
      <c r="AO1813" s="4" t="s">
        <v>63</v>
      </c>
      <c r="AP1813" s="4" t="s">
        <v>63</v>
      </c>
      <c r="AQ1813" s="4" t="s">
        <v>63</v>
      </c>
      <c r="AR1813" s="4" t="s">
        <v>63</v>
      </c>
      <c r="AS1813" s="4" t="s">
        <v>63</v>
      </c>
      <c r="AT1813" s="4" t="s">
        <v>63</v>
      </c>
      <c r="AU1813" s="4" t="s">
        <v>63</v>
      </c>
      <c r="AV1813" s="4" t="s">
        <v>63</v>
      </c>
      <c r="AW1813" s="4" t="s">
        <v>63</v>
      </c>
      <c r="AX1813" s="4" t="s">
        <v>63</v>
      </c>
      <c r="AY1813" s="4" t="s">
        <v>63</v>
      </c>
      <c r="AZ1813" s="4" t="s">
        <v>63</v>
      </c>
      <c r="BA1813" s="4" t="s">
        <v>63</v>
      </c>
      <c r="BB1813" s="4" t="s">
        <v>63</v>
      </c>
      <c r="BC1813" s="4" t="s">
        <v>63</v>
      </c>
      <c r="BD1813" s="4" t="s">
        <v>63</v>
      </c>
      <c r="BE1813" s="4" t="s">
        <v>63</v>
      </c>
      <c r="BF1813" s="4" t="s">
        <v>63</v>
      </c>
    </row>
    <row r="1814" spans="1:58">
      <c r="A1814" s="4" t="s">
        <v>58</v>
      </c>
      <c r="B1814" s="4" t="s">
        <v>15755</v>
      </c>
      <c r="C1814" s="4" t="s">
        <v>15756</v>
      </c>
      <c r="D1814" s="4" t="s">
        <v>11901</v>
      </c>
      <c r="E1814" s="4" t="s">
        <v>63</v>
      </c>
      <c r="F1814" s="4">
        <v>2016</v>
      </c>
      <c r="G1814" s="4">
        <v>1</v>
      </c>
      <c r="H1814" s="4">
        <v>58</v>
      </c>
      <c r="I1814" s="4">
        <v>5</v>
      </c>
      <c r="J1814" s="4" t="s">
        <v>15757</v>
      </c>
      <c r="K1814" s="4" t="s">
        <v>63</v>
      </c>
      <c r="L1814" s="4" t="s">
        <v>15758</v>
      </c>
      <c r="M1814" s="4" t="s">
        <v>15759</v>
      </c>
      <c r="N1814" s="4" t="s">
        <v>15760</v>
      </c>
      <c r="O1814" s="4" t="s">
        <v>63</v>
      </c>
      <c r="P1814" s="4"/>
      <c r="Q1814" s="4" t="s">
        <v>63</v>
      </c>
      <c r="R1814" s="4" t="s">
        <v>63</v>
      </c>
      <c r="S1814" s="4" t="s">
        <v>63</v>
      </c>
      <c r="T1814" s="4" t="s">
        <v>63</v>
      </c>
      <c r="U1814" s="4"/>
      <c r="V1814" s="4"/>
      <c r="W1814" s="4"/>
      <c r="X1814" s="4" t="s">
        <v>63</v>
      </c>
      <c r="Y1814" s="4" t="s">
        <v>15618</v>
      </c>
      <c r="Z1814" s="4" t="s">
        <v>63</v>
      </c>
      <c r="AA1814" s="4" t="s">
        <v>63</v>
      </c>
      <c r="AB1814" s="4" t="s">
        <v>63</v>
      </c>
      <c r="AC1814" s="4" t="s">
        <v>67</v>
      </c>
      <c r="AD1814" s="4" t="s">
        <v>63</v>
      </c>
      <c r="AE1814" s="4" t="s">
        <v>63</v>
      </c>
      <c r="AF1814" s="4" t="s">
        <v>63</v>
      </c>
      <c r="AG1814" s="4" t="s">
        <v>63</v>
      </c>
      <c r="AH1814" s="4" t="s">
        <v>63</v>
      </c>
      <c r="AI1814" s="4" t="s">
        <v>63</v>
      </c>
      <c r="AJ1814" s="4" t="s">
        <v>63</v>
      </c>
      <c r="AK1814" s="4" t="s">
        <v>63</v>
      </c>
      <c r="AL1814" s="4" t="s">
        <v>63</v>
      </c>
      <c r="AM1814" s="4" t="s">
        <v>15756</v>
      </c>
      <c r="AN1814" s="4" t="s">
        <v>63</v>
      </c>
      <c r="AO1814" s="4" t="s">
        <v>63</v>
      </c>
      <c r="AP1814" s="4" t="s">
        <v>63</v>
      </c>
      <c r="AQ1814" s="4" t="s">
        <v>63</v>
      </c>
      <c r="AR1814" s="4" t="s">
        <v>63</v>
      </c>
      <c r="AS1814" s="4" t="s">
        <v>63</v>
      </c>
      <c r="AT1814" s="4" t="s">
        <v>63</v>
      </c>
      <c r="AU1814" s="4" t="s">
        <v>63</v>
      </c>
      <c r="AV1814" s="4" t="s">
        <v>63</v>
      </c>
      <c r="AW1814" s="4" t="s">
        <v>63</v>
      </c>
      <c r="AX1814" s="4" t="s">
        <v>63</v>
      </c>
      <c r="AY1814" s="4" t="s">
        <v>63</v>
      </c>
      <c r="AZ1814" s="4" t="s">
        <v>63</v>
      </c>
      <c r="BA1814" s="4" t="s">
        <v>63</v>
      </c>
      <c r="BB1814" s="4" t="s">
        <v>63</v>
      </c>
      <c r="BC1814" s="4" t="s">
        <v>63</v>
      </c>
      <c r="BD1814" s="4" t="s">
        <v>63</v>
      </c>
      <c r="BE1814" s="4" t="s">
        <v>63</v>
      </c>
      <c r="BF1814" s="4" t="s">
        <v>63</v>
      </c>
    </row>
    <row r="1815" spans="1:58">
      <c r="A1815" s="4" t="s">
        <v>58</v>
      </c>
      <c r="B1815" s="4" t="s">
        <v>15761</v>
      </c>
      <c r="C1815" s="4" t="s">
        <v>15762</v>
      </c>
      <c r="D1815" s="4" t="s">
        <v>15763</v>
      </c>
      <c r="E1815" s="4" t="s">
        <v>63</v>
      </c>
      <c r="F1815" s="4">
        <v>2015</v>
      </c>
      <c r="G1815" s="4">
        <v>1</v>
      </c>
      <c r="H1815" s="4">
        <v>7</v>
      </c>
      <c r="I1815" s="4">
        <v>1</v>
      </c>
      <c r="J1815" s="4">
        <v>59</v>
      </c>
      <c r="K1815" s="4">
        <v>64</v>
      </c>
      <c r="L1815" s="4" t="s">
        <v>15764</v>
      </c>
      <c r="M1815" s="4" t="s">
        <v>15765</v>
      </c>
      <c r="N1815" s="4" t="s">
        <v>15766</v>
      </c>
      <c r="O1815" s="4" t="s">
        <v>63</v>
      </c>
      <c r="P1815" s="4"/>
      <c r="Q1815" s="4" t="s">
        <v>63</v>
      </c>
      <c r="R1815" s="4" t="s">
        <v>63</v>
      </c>
      <c r="S1815" s="4" t="s">
        <v>63</v>
      </c>
      <c r="T1815" s="4" t="s">
        <v>63</v>
      </c>
      <c r="U1815" s="4"/>
      <c r="V1815" s="4"/>
      <c r="W1815" s="4"/>
      <c r="X1815" s="4" t="s">
        <v>63</v>
      </c>
      <c r="Y1815" s="4" t="s">
        <v>10956</v>
      </c>
      <c r="Z1815" s="4" t="s">
        <v>63</v>
      </c>
      <c r="AA1815" s="4" t="s">
        <v>63</v>
      </c>
      <c r="AB1815" s="4" t="s">
        <v>63</v>
      </c>
      <c r="AC1815" s="4" t="s">
        <v>67</v>
      </c>
      <c r="AD1815" s="4" t="s">
        <v>63</v>
      </c>
      <c r="AE1815" s="4" t="s">
        <v>63</v>
      </c>
      <c r="AF1815" s="4" t="s">
        <v>63</v>
      </c>
      <c r="AG1815" s="4" t="s">
        <v>15767</v>
      </c>
      <c r="AH1815" s="4" t="s">
        <v>63</v>
      </c>
      <c r="AI1815" s="4" t="s">
        <v>15768</v>
      </c>
      <c r="AJ1815" s="4" t="s">
        <v>63</v>
      </c>
      <c r="AK1815" s="4" t="s">
        <v>63</v>
      </c>
      <c r="AL1815" s="4" t="s">
        <v>63</v>
      </c>
      <c r="AM1815" s="4" t="s">
        <v>15769</v>
      </c>
      <c r="AN1815" s="4" t="s">
        <v>63</v>
      </c>
      <c r="AO1815" s="4" t="s">
        <v>63</v>
      </c>
      <c r="AP1815" s="4" t="s">
        <v>63</v>
      </c>
      <c r="AQ1815" s="4" t="s">
        <v>63</v>
      </c>
      <c r="AR1815" s="4" t="s">
        <v>63</v>
      </c>
      <c r="AS1815" s="4" t="s">
        <v>63</v>
      </c>
      <c r="AT1815" s="4" t="s">
        <v>63</v>
      </c>
      <c r="AU1815" s="4" t="s">
        <v>63</v>
      </c>
      <c r="AV1815" s="4" t="s">
        <v>63</v>
      </c>
      <c r="AW1815" s="4" t="s">
        <v>63</v>
      </c>
      <c r="AX1815" s="4" t="s">
        <v>63</v>
      </c>
      <c r="AY1815" s="4" t="s">
        <v>63</v>
      </c>
      <c r="AZ1815" s="4" t="s">
        <v>63</v>
      </c>
      <c r="BA1815" s="4" t="s">
        <v>63</v>
      </c>
      <c r="BB1815" s="4" t="s">
        <v>63</v>
      </c>
      <c r="BC1815" s="4" t="s">
        <v>63</v>
      </c>
      <c r="BD1815" s="4" t="s">
        <v>63</v>
      </c>
      <c r="BE1815" s="4" t="s">
        <v>63</v>
      </c>
      <c r="BF1815" s="4" t="s">
        <v>63</v>
      </c>
    </row>
    <row r="1816" spans="1:58">
      <c r="A1816" s="4" t="s">
        <v>58</v>
      </c>
      <c r="B1816" s="4" t="s">
        <v>15770</v>
      </c>
      <c r="C1816" s="4" t="s">
        <v>15771</v>
      </c>
      <c r="D1816" s="4" t="s">
        <v>15772</v>
      </c>
      <c r="E1816" s="4" t="s">
        <v>63</v>
      </c>
      <c r="F1816" s="4">
        <v>1965</v>
      </c>
      <c r="G1816" s="4" t="s">
        <v>63</v>
      </c>
      <c r="H1816" s="4">
        <v>61</v>
      </c>
      <c r="I1816" s="4">
        <v>2</v>
      </c>
      <c r="J1816" s="4">
        <v>118</v>
      </c>
      <c r="K1816" s="4">
        <v>123</v>
      </c>
      <c r="L1816" s="4" t="s">
        <v>15773</v>
      </c>
      <c r="M1816" s="4" t="s">
        <v>15774</v>
      </c>
      <c r="N1816" s="4" t="s">
        <v>15775</v>
      </c>
      <c r="O1816" s="4" t="s">
        <v>63</v>
      </c>
      <c r="P1816" s="4"/>
      <c r="Q1816" s="4" t="s">
        <v>63</v>
      </c>
      <c r="R1816" s="4" t="s">
        <v>63</v>
      </c>
      <c r="S1816" s="4" t="s">
        <v>63</v>
      </c>
      <c r="T1816" s="4" t="s">
        <v>63</v>
      </c>
      <c r="U1816" s="4"/>
      <c r="V1816" s="4"/>
      <c r="W1816" s="4"/>
      <c r="X1816" s="4" t="s">
        <v>63</v>
      </c>
      <c r="Y1816" s="4" t="s">
        <v>15776</v>
      </c>
      <c r="Z1816" s="4" t="s">
        <v>63</v>
      </c>
      <c r="AA1816" s="4" t="s">
        <v>63</v>
      </c>
      <c r="AB1816" s="4" t="s">
        <v>15777</v>
      </c>
      <c r="AC1816" s="4" t="s">
        <v>67</v>
      </c>
      <c r="AD1816" s="4" t="s">
        <v>63</v>
      </c>
      <c r="AE1816" s="4" t="s">
        <v>63</v>
      </c>
      <c r="AF1816" s="4" t="s">
        <v>63</v>
      </c>
      <c r="AG1816" s="4" t="s">
        <v>63</v>
      </c>
      <c r="AH1816" s="4" t="s">
        <v>63</v>
      </c>
      <c r="AI1816" s="4" t="s">
        <v>63</v>
      </c>
      <c r="AJ1816" s="4" t="s">
        <v>63</v>
      </c>
      <c r="AK1816" s="4" t="s">
        <v>63</v>
      </c>
      <c r="AL1816" s="4" t="s">
        <v>63</v>
      </c>
      <c r="AM1816" s="4" t="s">
        <v>15771</v>
      </c>
      <c r="AN1816" s="4" t="s">
        <v>63</v>
      </c>
      <c r="AO1816" s="4" t="s">
        <v>63</v>
      </c>
      <c r="AP1816" s="4" t="s">
        <v>63</v>
      </c>
      <c r="AQ1816" s="4" t="s">
        <v>63</v>
      </c>
      <c r="AR1816" s="4" t="s">
        <v>63</v>
      </c>
      <c r="AS1816" s="4" t="s">
        <v>63</v>
      </c>
      <c r="AT1816" s="4" t="s">
        <v>63</v>
      </c>
      <c r="AU1816" s="4" t="s">
        <v>63</v>
      </c>
      <c r="AV1816" s="4" t="s">
        <v>63</v>
      </c>
      <c r="AW1816" s="4" t="s">
        <v>63</v>
      </c>
      <c r="AX1816" s="4" t="s">
        <v>63</v>
      </c>
      <c r="AY1816" s="4" t="s">
        <v>63</v>
      </c>
      <c r="AZ1816" s="4" t="s">
        <v>63</v>
      </c>
      <c r="BA1816" s="4" t="s">
        <v>63</v>
      </c>
      <c r="BB1816" s="4" t="s">
        <v>63</v>
      </c>
      <c r="BC1816" s="4" t="s">
        <v>63</v>
      </c>
      <c r="BD1816" s="4" t="s">
        <v>63</v>
      </c>
      <c r="BE1816" s="4" t="s">
        <v>63</v>
      </c>
      <c r="BF1816" s="4" t="s">
        <v>63</v>
      </c>
    </row>
    <row r="1817" spans="1:58">
      <c r="A1817" s="4" t="s">
        <v>58</v>
      </c>
      <c r="B1817" s="4" t="s">
        <v>15778</v>
      </c>
      <c r="C1817" s="4" t="s">
        <v>15779</v>
      </c>
      <c r="D1817" s="4" t="s">
        <v>1212</v>
      </c>
      <c r="E1817" s="4" t="s">
        <v>63</v>
      </c>
      <c r="F1817" s="4">
        <v>2013</v>
      </c>
      <c r="G1817" s="4" t="s">
        <v>15449</v>
      </c>
      <c r="H1817" s="4">
        <v>7</v>
      </c>
      <c r="I1817" s="4">
        <v>4</v>
      </c>
      <c r="J1817" s="4">
        <v>236</v>
      </c>
      <c r="K1817" s="4">
        <v>242</v>
      </c>
      <c r="L1817" s="4" t="s">
        <v>15780</v>
      </c>
      <c r="M1817" s="4" t="s">
        <v>15781</v>
      </c>
      <c r="N1817" s="4" t="s">
        <v>15782</v>
      </c>
      <c r="O1817" s="4" t="s">
        <v>63</v>
      </c>
      <c r="P1817" s="4"/>
      <c r="Q1817" s="4" t="s">
        <v>63</v>
      </c>
      <c r="R1817" s="4" t="s">
        <v>63</v>
      </c>
      <c r="S1817" s="4" t="s">
        <v>63</v>
      </c>
      <c r="T1817" s="4" t="s">
        <v>63</v>
      </c>
      <c r="U1817" s="4"/>
      <c r="V1817" s="4"/>
      <c r="W1817" s="4"/>
      <c r="X1817" s="4" t="s">
        <v>63</v>
      </c>
      <c r="Y1817" s="4" t="s">
        <v>15530</v>
      </c>
      <c r="Z1817" s="4" t="s">
        <v>63</v>
      </c>
      <c r="AA1817" s="4" t="s">
        <v>63</v>
      </c>
      <c r="AB1817" s="4">
        <v>2013728187</v>
      </c>
      <c r="AC1817" s="4" t="s">
        <v>67</v>
      </c>
      <c r="AD1817" s="4" t="s">
        <v>63</v>
      </c>
      <c r="AE1817" s="4" t="s">
        <v>63</v>
      </c>
      <c r="AF1817" s="4" t="s">
        <v>63</v>
      </c>
      <c r="AG1817" s="4" t="s">
        <v>15783</v>
      </c>
      <c r="AH1817" s="4" t="s">
        <v>63</v>
      </c>
      <c r="AI1817" s="4" t="s">
        <v>15784</v>
      </c>
      <c r="AJ1817" s="4" t="s">
        <v>63</v>
      </c>
      <c r="AK1817" s="4" t="s">
        <v>63</v>
      </c>
      <c r="AL1817" s="4" t="s">
        <v>63</v>
      </c>
      <c r="AM1817" s="4" t="s">
        <v>15785</v>
      </c>
      <c r="AN1817" s="4" t="s">
        <v>63</v>
      </c>
      <c r="AO1817" s="4" t="s">
        <v>63</v>
      </c>
      <c r="AP1817" s="4" t="s">
        <v>63</v>
      </c>
      <c r="AQ1817" s="4" t="s">
        <v>63</v>
      </c>
      <c r="AR1817" s="4" t="s">
        <v>63</v>
      </c>
      <c r="AS1817" s="4" t="s">
        <v>63</v>
      </c>
      <c r="AT1817" s="4" t="s">
        <v>63</v>
      </c>
      <c r="AU1817" s="4" t="s">
        <v>63</v>
      </c>
      <c r="AV1817" s="4" t="s">
        <v>63</v>
      </c>
      <c r="AW1817" s="4" t="s">
        <v>63</v>
      </c>
      <c r="AX1817" s="4" t="s">
        <v>63</v>
      </c>
      <c r="AY1817" s="4" t="s">
        <v>63</v>
      </c>
      <c r="AZ1817" s="4" t="s">
        <v>63</v>
      </c>
      <c r="BA1817" s="4" t="s">
        <v>63</v>
      </c>
      <c r="BB1817" s="4" t="s">
        <v>63</v>
      </c>
      <c r="BC1817" s="4" t="s">
        <v>63</v>
      </c>
      <c r="BD1817" s="4" t="s">
        <v>63</v>
      </c>
      <c r="BE1817" s="4" t="s">
        <v>63</v>
      </c>
      <c r="BF1817" s="4" t="s">
        <v>63</v>
      </c>
    </row>
    <row r="1818" spans="1:58">
      <c r="A1818" s="4" t="s">
        <v>58</v>
      </c>
      <c r="B1818" s="4" t="s">
        <v>15786</v>
      </c>
      <c r="C1818" s="4" t="s">
        <v>15787</v>
      </c>
      <c r="D1818" s="4" t="s">
        <v>1270</v>
      </c>
      <c r="E1818" s="4" t="s">
        <v>1270</v>
      </c>
      <c r="F1818" s="4">
        <v>1983</v>
      </c>
      <c r="G1818" s="4" t="s">
        <v>63</v>
      </c>
      <c r="H1818" s="4">
        <v>54</v>
      </c>
      <c r="I1818" s="4">
        <v>5</v>
      </c>
      <c r="J1818" s="4">
        <v>259</v>
      </c>
      <c r="K1818" s="4">
        <v>261</v>
      </c>
      <c r="L1818" s="4" t="s">
        <v>15788</v>
      </c>
      <c r="M1818" s="4" t="s">
        <v>15789</v>
      </c>
      <c r="N1818" s="4" t="s">
        <v>15790</v>
      </c>
      <c r="O1818" s="4" t="s">
        <v>63</v>
      </c>
      <c r="P1818" s="4"/>
      <c r="Q1818" s="4" t="s">
        <v>63</v>
      </c>
      <c r="R1818" s="4" t="s">
        <v>63</v>
      </c>
      <c r="S1818" s="4" t="s">
        <v>63</v>
      </c>
      <c r="T1818" s="4" t="s">
        <v>63</v>
      </c>
      <c r="U1818" s="4"/>
      <c r="V1818" s="4"/>
      <c r="W1818" s="4"/>
      <c r="X1818" s="4" t="s">
        <v>63</v>
      </c>
      <c r="Y1818" s="4" t="s">
        <v>15791</v>
      </c>
      <c r="Z1818" s="4" t="s">
        <v>63</v>
      </c>
      <c r="AA1818" s="4" t="s">
        <v>63</v>
      </c>
      <c r="AB1818" s="4">
        <v>1983134044</v>
      </c>
      <c r="AC1818" s="4" t="s">
        <v>102</v>
      </c>
      <c r="AD1818" s="4" t="s">
        <v>63</v>
      </c>
      <c r="AE1818" s="4" t="s">
        <v>63</v>
      </c>
      <c r="AF1818" s="4" t="s">
        <v>63</v>
      </c>
      <c r="AG1818" s="4" t="s">
        <v>15792</v>
      </c>
      <c r="AH1818" s="4" t="s">
        <v>63</v>
      </c>
      <c r="AI1818" s="4" t="s">
        <v>63</v>
      </c>
      <c r="AJ1818" s="4" t="s">
        <v>63</v>
      </c>
      <c r="AK1818" s="4" t="s">
        <v>63</v>
      </c>
      <c r="AL1818" s="4" t="s">
        <v>63</v>
      </c>
      <c r="AM1818" s="4" t="s">
        <v>15793</v>
      </c>
      <c r="AN1818" s="4" t="s">
        <v>63</v>
      </c>
      <c r="AO1818" s="4" t="s">
        <v>63</v>
      </c>
      <c r="AP1818" s="4" t="s">
        <v>63</v>
      </c>
      <c r="AQ1818" s="4" t="s">
        <v>63</v>
      </c>
      <c r="AR1818" s="4" t="s">
        <v>63</v>
      </c>
      <c r="AS1818" s="4" t="s">
        <v>63</v>
      </c>
      <c r="AT1818" s="4" t="s">
        <v>63</v>
      </c>
      <c r="AU1818" s="4" t="s">
        <v>63</v>
      </c>
      <c r="AV1818" s="4" t="s">
        <v>63</v>
      </c>
      <c r="AW1818" s="4" t="s">
        <v>63</v>
      </c>
      <c r="AX1818" s="4" t="s">
        <v>63</v>
      </c>
      <c r="AY1818" s="4" t="s">
        <v>63</v>
      </c>
      <c r="AZ1818" s="4" t="s">
        <v>63</v>
      </c>
      <c r="BA1818" s="4" t="s">
        <v>63</v>
      </c>
      <c r="BB1818" s="4" t="s">
        <v>63</v>
      </c>
      <c r="BC1818" s="4" t="s">
        <v>63</v>
      </c>
      <c r="BD1818" s="4" t="s">
        <v>63</v>
      </c>
      <c r="BE1818" s="4" t="s">
        <v>63</v>
      </c>
      <c r="BF1818" s="4" t="s">
        <v>63</v>
      </c>
    </row>
    <row r="1819" spans="1:58">
      <c r="A1819" s="4" t="s">
        <v>58</v>
      </c>
      <c r="B1819" s="4" t="s">
        <v>15794</v>
      </c>
      <c r="C1819" s="4" t="s">
        <v>15795</v>
      </c>
      <c r="D1819" s="4" t="s">
        <v>533</v>
      </c>
      <c r="E1819" s="4" t="s">
        <v>534</v>
      </c>
      <c r="F1819" s="4">
        <v>2010</v>
      </c>
      <c r="G1819" s="4">
        <v>17</v>
      </c>
      <c r="H1819" s="4">
        <v>362</v>
      </c>
      <c r="I1819" s="4">
        <v>24</v>
      </c>
      <c r="J1819" s="4">
        <v>2295</v>
      </c>
      <c r="K1819" s="4" t="s">
        <v>15796</v>
      </c>
      <c r="L1819" s="4" t="s">
        <v>15797</v>
      </c>
      <c r="M1819" s="4" t="s">
        <v>15798</v>
      </c>
      <c r="N1819" s="4" t="s">
        <v>15799</v>
      </c>
      <c r="O1819" s="4" t="s">
        <v>63</v>
      </c>
      <c r="P1819" s="4"/>
      <c r="Q1819" s="4" t="s">
        <v>63</v>
      </c>
      <c r="R1819" s="4" t="s">
        <v>63</v>
      </c>
      <c r="S1819" s="4" t="s">
        <v>63</v>
      </c>
      <c r="T1819" s="4" t="s">
        <v>63</v>
      </c>
      <c r="U1819" s="4"/>
      <c r="V1819" s="4"/>
      <c r="W1819" s="4"/>
      <c r="X1819" s="4" t="s">
        <v>63</v>
      </c>
      <c r="Y1819" s="4" t="s">
        <v>15800</v>
      </c>
      <c r="Z1819" s="4" t="s">
        <v>63</v>
      </c>
      <c r="AA1819" s="4" t="s">
        <v>63</v>
      </c>
      <c r="AB1819" s="4">
        <v>2010343345</v>
      </c>
      <c r="AC1819" s="4" t="s">
        <v>67</v>
      </c>
      <c r="AD1819" s="4" t="s">
        <v>63</v>
      </c>
      <c r="AE1819" s="4" t="s">
        <v>63</v>
      </c>
      <c r="AF1819" s="4" t="s">
        <v>63</v>
      </c>
      <c r="AG1819" s="4" t="s">
        <v>15801</v>
      </c>
      <c r="AH1819" s="4" t="s">
        <v>63</v>
      </c>
      <c r="AI1819" s="4" t="s">
        <v>15802</v>
      </c>
      <c r="AJ1819" s="4" t="s">
        <v>63</v>
      </c>
      <c r="AK1819" s="4" t="s">
        <v>63</v>
      </c>
      <c r="AL1819" s="4" t="s">
        <v>63</v>
      </c>
      <c r="AM1819" s="4" t="s">
        <v>15803</v>
      </c>
      <c r="AN1819" s="4" t="s">
        <v>63</v>
      </c>
      <c r="AO1819" s="4" t="s">
        <v>63</v>
      </c>
      <c r="AP1819" s="4" t="s">
        <v>63</v>
      </c>
      <c r="AQ1819" s="4" t="s">
        <v>63</v>
      </c>
      <c r="AR1819" s="4" t="s">
        <v>63</v>
      </c>
      <c r="AS1819" s="4" t="s">
        <v>63</v>
      </c>
      <c r="AT1819" s="4" t="s">
        <v>63</v>
      </c>
      <c r="AU1819" s="4" t="s">
        <v>63</v>
      </c>
      <c r="AV1819" s="4" t="s">
        <v>63</v>
      </c>
      <c r="AW1819" s="4" t="s">
        <v>63</v>
      </c>
      <c r="AX1819" s="4" t="s">
        <v>63</v>
      </c>
      <c r="AY1819" s="4" t="s">
        <v>63</v>
      </c>
      <c r="AZ1819" s="4" t="s">
        <v>63</v>
      </c>
      <c r="BA1819" s="4" t="s">
        <v>63</v>
      </c>
      <c r="BB1819" s="4" t="s">
        <v>63</v>
      </c>
      <c r="BC1819" s="4" t="s">
        <v>63</v>
      </c>
      <c r="BD1819" s="4" t="s">
        <v>63</v>
      </c>
      <c r="BE1819" s="4" t="s">
        <v>63</v>
      </c>
      <c r="BF1819" s="4" t="s">
        <v>63</v>
      </c>
    </row>
    <row r="1820" spans="1:58">
      <c r="A1820" s="4" t="s">
        <v>58</v>
      </c>
      <c r="B1820" s="4" t="s">
        <v>15804</v>
      </c>
      <c r="C1820" s="4" t="s">
        <v>15805</v>
      </c>
      <c r="D1820" s="4" t="s">
        <v>15806</v>
      </c>
      <c r="E1820" s="4" t="s">
        <v>63</v>
      </c>
      <c r="F1820" s="4">
        <v>2012</v>
      </c>
      <c r="G1820" s="4" t="s">
        <v>15155</v>
      </c>
      <c r="H1820" s="4">
        <v>25</v>
      </c>
      <c r="I1820" s="4">
        <v>2</v>
      </c>
      <c r="J1820" s="4">
        <v>78</v>
      </c>
      <c r="K1820" s="4">
        <v>82</v>
      </c>
      <c r="L1820" s="4" t="s">
        <v>15807</v>
      </c>
      <c r="M1820" s="4" t="s">
        <v>15808</v>
      </c>
      <c r="N1820" s="4" t="s">
        <v>15809</v>
      </c>
      <c r="O1820" s="4" t="s">
        <v>63</v>
      </c>
      <c r="P1820" s="4"/>
      <c r="Q1820" s="4" t="s">
        <v>63</v>
      </c>
      <c r="R1820" s="4" t="s">
        <v>63</v>
      </c>
      <c r="S1820" s="4" t="s">
        <v>63</v>
      </c>
      <c r="T1820" s="4" t="s">
        <v>63</v>
      </c>
      <c r="U1820" s="4"/>
      <c r="V1820" s="4"/>
      <c r="W1820" s="4"/>
      <c r="X1820" s="4" t="s">
        <v>63</v>
      </c>
      <c r="Y1820" s="4" t="s">
        <v>15810</v>
      </c>
      <c r="Z1820" s="4" t="s">
        <v>63</v>
      </c>
      <c r="AA1820" s="4" t="s">
        <v>63</v>
      </c>
      <c r="AB1820" s="4" t="s">
        <v>15811</v>
      </c>
      <c r="AC1820" s="4" t="s">
        <v>1371</v>
      </c>
      <c r="AD1820" s="4" t="s">
        <v>63</v>
      </c>
      <c r="AE1820" s="4" t="s">
        <v>63</v>
      </c>
      <c r="AF1820" s="4" t="s">
        <v>63</v>
      </c>
      <c r="AG1820" s="4" t="s">
        <v>63</v>
      </c>
      <c r="AH1820" s="4" t="s">
        <v>63</v>
      </c>
      <c r="AI1820" s="4" t="s">
        <v>15812</v>
      </c>
      <c r="AJ1820" s="4" t="s">
        <v>63</v>
      </c>
      <c r="AK1820" s="4" t="s">
        <v>63</v>
      </c>
      <c r="AL1820" s="4" t="s">
        <v>63</v>
      </c>
      <c r="AM1820" s="4" t="s">
        <v>15805</v>
      </c>
      <c r="AN1820" s="4" t="s">
        <v>63</v>
      </c>
      <c r="AO1820" s="4" t="s">
        <v>63</v>
      </c>
      <c r="AP1820" s="4" t="s">
        <v>63</v>
      </c>
      <c r="AQ1820" s="4" t="s">
        <v>63</v>
      </c>
      <c r="AR1820" s="4" t="s">
        <v>63</v>
      </c>
      <c r="AS1820" s="4" t="s">
        <v>63</v>
      </c>
      <c r="AT1820" s="4" t="s">
        <v>63</v>
      </c>
      <c r="AU1820" s="4" t="s">
        <v>63</v>
      </c>
      <c r="AV1820" s="4" t="s">
        <v>63</v>
      </c>
      <c r="AW1820" s="4" t="s">
        <v>63</v>
      </c>
      <c r="AX1820" s="4" t="s">
        <v>63</v>
      </c>
      <c r="AY1820" s="4" t="s">
        <v>63</v>
      </c>
      <c r="AZ1820" s="4" t="s">
        <v>63</v>
      </c>
      <c r="BA1820" s="4" t="s">
        <v>63</v>
      </c>
      <c r="BB1820" s="4" t="s">
        <v>63</v>
      </c>
      <c r="BC1820" s="4" t="s">
        <v>63</v>
      </c>
      <c r="BD1820" s="4" t="s">
        <v>63</v>
      </c>
      <c r="BE1820" s="4" t="s">
        <v>63</v>
      </c>
      <c r="BF1820" s="4" t="s">
        <v>63</v>
      </c>
    </row>
    <row r="1821" spans="1:58">
      <c r="A1821" s="4" t="s">
        <v>58</v>
      </c>
      <c r="B1821" s="4" t="s">
        <v>15813</v>
      </c>
      <c r="C1821" s="4" t="s">
        <v>15814</v>
      </c>
      <c r="D1821" s="4" t="s">
        <v>371</v>
      </c>
      <c r="E1821" s="4" t="s">
        <v>63</v>
      </c>
      <c r="F1821" s="4">
        <v>2016</v>
      </c>
      <c r="G1821" s="4" t="s">
        <v>189</v>
      </c>
      <c r="H1821" s="4">
        <v>31</v>
      </c>
      <c r="I1821" s="4">
        <v>2</v>
      </c>
      <c r="J1821" s="4" t="s">
        <v>15815</v>
      </c>
      <c r="K1821" s="4" t="s">
        <v>63</v>
      </c>
      <c r="L1821" s="4" t="s">
        <v>15816</v>
      </c>
      <c r="M1821" s="4" t="s">
        <v>15817</v>
      </c>
      <c r="N1821" s="4" t="s">
        <v>15818</v>
      </c>
      <c r="O1821" s="4" t="s">
        <v>63</v>
      </c>
      <c r="P1821" s="4"/>
      <c r="Q1821" s="4" t="s">
        <v>63</v>
      </c>
      <c r="R1821" s="4" t="s">
        <v>63</v>
      </c>
      <c r="S1821" s="4" t="s">
        <v>63</v>
      </c>
      <c r="T1821" s="4" t="s">
        <v>63</v>
      </c>
      <c r="U1821" s="4"/>
      <c r="V1821" s="4"/>
      <c r="W1821" s="4"/>
      <c r="X1821" s="4" t="s">
        <v>63</v>
      </c>
      <c r="Y1821" s="4" t="s">
        <v>547</v>
      </c>
      <c r="Z1821" s="4" t="s">
        <v>63</v>
      </c>
      <c r="AA1821" s="4" t="s">
        <v>63</v>
      </c>
      <c r="AB1821" s="4" t="s">
        <v>63</v>
      </c>
      <c r="AC1821" s="4" t="s">
        <v>67</v>
      </c>
      <c r="AD1821" s="4" t="s">
        <v>63</v>
      </c>
      <c r="AE1821" s="4" t="s">
        <v>63</v>
      </c>
      <c r="AF1821" s="4" t="s">
        <v>63</v>
      </c>
      <c r="AG1821" s="4" t="s">
        <v>63</v>
      </c>
      <c r="AH1821" s="4" t="s">
        <v>63</v>
      </c>
      <c r="AI1821" s="4" t="s">
        <v>63</v>
      </c>
      <c r="AJ1821" s="4" t="s">
        <v>63</v>
      </c>
      <c r="AK1821" s="4" t="s">
        <v>63</v>
      </c>
      <c r="AL1821" s="4" t="s">
        <v>63</v>
      </c>
      <c r="AM1821" s="4" t="s">
        <v>15814</v>
      </c>
      <c r="AN1821" s="4" t="s">
        <v>63</v>
      </c>
      <c r="AO1821" s="4" t="s">
        <v>63</v>
      </c>
      <c r="AP1821" s="4" t="s">
        <v>63</v>
      </c>
      <c r="AQ1821" s="4" t="s">
        <v>63</v>
      </c>
      <c r="AR1821" s="4" t="s">
        <v>63</v>
      </c>
      <c r="AS1821" s="4" t="s">
        <v>63</v>
      </c>
      <c r="AT1821" s="4" t="s">
        <v>63</v>
      </c>
      <c r="AU1821" s="4" t="s">
        <v>63</v>
      </c>
      <c r="AV1821" s="4" t="s">
        <v>63</v>
      </c>
      <c r="AW1821" s="4" t="s">
        <v>63</v>
      </c>
      <c r="AX1821" s="4" t="s">
        <v>63</v>
      </c>
      <c r="AY1821" s="4" t="s">
        <v>63</v>
      </c>
      <c r="AZ1821" s="4" t="s">
        <v>63</v>
      </c>
      <c r="BA1821" s="4" t="s">
        <v>63</v>
      </c>
      <c r="BB1821" s="4" t="s">
        <v>63</v>
      </c>
      <c r="BC1821" s="4" t="s">
        <v>63</v>
      </c>
      <c r="BD1821" s="4" t="s">
        <v>63</v>
      </c>
      <c r="BE1821" s="4" t="s">
        <v>63</v>
      </c>
      <c r="BF1821" s="4" t="s">
        <v>63</v>
      </c>
    </row>
    <row r="1822" spans="1:58">
      <c r="A1822" s="4" t="s">
        <v>58</v>
      </c>
      <c r="B1822" s="4" t="s">
        <v>15819</v>
      </c>
      <c r="C1822" s="4" t="s">
        <v>15820</v>
      </c>
      <c r="D1822" s="4" t="s">
        <v>155</v>
      </c>
      <c r="E1822" s="4" t="s">
        <v>156</v>
      </c>
      <c r="F1822" s="4">
        <v>2017</v>
      </c>
      <c r="G1822" s="4">
        <v>1</v>
      </c>
      <c r="H1822" s="4">
        <v>70</v>
      </c>
      <c r="I1822" s="4">
        <v>4</v>
      </c>
      <c r="J1822" s="4" t="s">
        <v>15821</v>
      </c>
      <c r="K1822" s="4" t="s">
        <v>15822</v>
      </c>
      <c r="L1822" s="4" t="s">
        <v>15823</v>
      </c>
      <c r="M1822" s="4" t="s">
        <v>15824</v>
      </c>
      <c r="N1822" s="4" t="s">
        <v>15825</v>
      </c>
      <c r="O1822" s="4" t="s">
        <v>63</v>
      </c>
      <c r="P1822" s="4"/>
      <c r="Q1822" s="4" t="s">
        <v>63</v>
      </c>
      <c r="R1822" s="4" t="s">
        <v>63</v>
      </c>
      <c r="S1822" s="4" t="s">
        <v>63</v>
      </c>
      <c r="T1822" s="4" t="s">
        <v>63</v>
      </c>
      <c r="U1822" s="4"/>
      <c r="V1822" s="4"/>
      <c r="W1822" s="4"/>
      <c r="X1822" s="4" t="s">
        <v>63</v>
      </c>
      <c r="Y1822" s="4" t="s">
        <v>2310</v>
      </c>
      <c r="Z1822" s="4" t="s">
        <v>63</v>
      </c>
      <c r="AA1822" s="4" t="s">
        <v>63</v>
      </c>
      <c r="AB1822" s="4" t="s">
        <v>63</v>
      </c>
      <c r="AC1822" s="4" t="s">
        <v>67</v>
      </c>
      <c r="AD1822" s="4" t="s">
        <v>63</v>
      </c>
      <c r="AE1822" s="4" t="s">
        <v>63</v>
      </c>
      <c r="AF1822" s="4" t="s">
        <v>63</v>
      </c>
      <c r="AG1822" s="4" t="s">
        <v>63</v>
      </c>
      <c r="AH1822" s="4" t="s">
        <v>63</v>
      </c>
      <c r="AI1822" s="4" t="s">
        <v>63</v>
      </c>
      <c r="AJ1822" s="4" t="s">
        <v>63</v>
      </c>
      <c r="AK1822" s="4" t="s">
        <v>63</v>
      </c>
      <c r="AL1822" s="4" t="s">
        <v>63</v>
      </c>
      <c r="AM1822" s="4" t="s">
        <v>15820</v>
      </c>
      <c r="AN1822" s="4" t="s">
        <v>63</v>
      </c>
      <c r="AO1822" s="4" t="s">
        <v>63</v>
      </c>
      <c r="AP1822" s="4" t="s">
        <v>63</v>
      </c>
      <c r="AQ1822" s="4" t="s">
        <v>63</v>
      </c>
      <c r="AR1822" s="4" t="s">
        <v>63</v>
      </c>
      <c r="AS1822" s="4" t="s">
        <v>63</v>
      </c>
      <c r="AT1822" s="4" t="s">
        <v>63</v>
      </c>
      <c r="AU1822" s="4" t="s">
        <v>63</v>
      </c>
      <c r="AV1822" s="4" t="s">
        <v>63</v>
      </c>
      <c r="AW1822" s="4" t="s">
        <v>63</v>
      </c>
      <c r="AX1822" s="4" t="s">
        <v>63</v>
      </c>
      <c r="AY1822" s="4" t="s">
        <v>63</v>
      </c>
      <c r="AZ1822" s="4" t="s">
        <v>63</v>
      </c>
      <c r="BA1822" s="4" t="s">
        <v>63</v>
      </c>
      <c r="BB1822" s="4" t="s">
        <v>63</v>
      </c>
      <c r="BC1822" s="4" t="s">
        <v>63</v>
      </c>
      <c r="BD1822" s="4" t="s">
        <v>63</v>
      </c>
      <c r="BE1822" s="4" t="s">
        <v>63</v>
      </c>
      <c r="BF1822" s="4" t="s">
        <v>63</v>
      </c>
    </row>
    <row r="1823" spans="1:58">
      <c r="A1823" s="4" t="s">
        <v>58</v>
      </c>
      <c r="B1823" s="4" t="s">
        <v>15826</v>
      </c>
      <c r="C1823" s="4" t="s">
        <v>15827</v>
      </c>
      <c r="D1823" s="4" t="s">
        <v>155</v>
      </c>
      <c r="E1823" s="4" t="s">
        <v>156</v>
      </c>
      <c r="F1823" s="4">
        <v>2016</v>
      </c>
      <c r="G1823" s="4">
        <v>1</v>
      </c>
      <c r="H1823" s="4">
        <v>68</v>
      </c>
      <c r="I1823" s="4">
        <v>4</v>
      </c>
      <c r="J1823" s="4" t="s">
        <v>14230</v>
      </c>
      <c r="K1823" s="4" t="s">
        <v>15828</v>
      </c>
      <c r="L1823" s="4" t="s">
        <v>15829</v>
      </c>
      <c r="M1823" s="4" t="s">
        <v>15830</v>
      </c>
      <c r="N1823" s="4" t="s">
        <v>15831</v>
      </c>
      <c r="O1823" s="4" t="s">
        <v>63</v>
      </c>
      <c r="P1823" s="4"/>
      <c r="Q1823" s="4" t="s">
        <v>63</v>
      </c>
      <c r="R1823" s="4" t="s">
        <v>63</v>
      </c>
      <c r="S1823" s="4" t="s">
        <v>63</v>
      </c>
      <c r="T1823" s="4" t="s">
        <v>63</v>
      </c>
      <c r="U1823" s="4"/>
      <c r="V1823" s="4"/>
      <c r="W1823" s="4"/>
      <c r="X1823" s="4" t="s">
        <v>63</v>
      </c>
      <c r="Y1823" s="4" t="s">
        <v>2310</v>
      </c>
      <c r="Z1823" s="4" t="s">
        <v>63</v>
      </c>
      <c r="AA1823" s="4" t="s">
        <v>63</v>
      </c>
      <c r="AB1823" s="4" t="s">
        <v>63</v>
      </c>
      <c r="AC1823" s="4" t="s">
        <v>67</v>
      </c>
      <c r="AD1823" s="4" t="s">
        <v>63</v>
      </c>
      <c r="AE1823" s="4" t="s">
        <v>63</v>
      </c>
      <c r="AF1823" s="4" t="s">
        <v>63</v>
      </c>
      <c r="AG1823" s="4" t="s">
        <v>63</v>
      </c>
      <c r="AH1823" s="4" t="s">
        <v>63</v>
      </c>
      <c r="AI1823" s="4" t="s">
        <v>63</v>
      </c>
      <c r="AJ1823" s="4" t="s">
        <v>63</v>
      </c>
      <c r="AK1823" s="4" t="s">
        <v>63</v>
      </c>
      <c r="AL1823" s="4" t="s">
        <v>63</v>
      </c>
      <c r="AM1823" s="4" t="s">
        <v>15827</v>
      </c>
      <c r="AN1823" s="4" t="s">
        <v>63</v>
      </c>
      <c r="AO1823" s="4" t="s">
        <v>63</v>
      </c>
      <c r="AP1823" s="4" t="s">
        <v>63</v>
      </c>
      <c r="AQ1823" s="4" t="s">
        <v>63</v>
      </c>
      <c r="AR1823" s="4" t="s">
        <v>63</v>
      </c>
      <c r="AS1823" s="4" t="s">
        <v>63</v>
      </c>
      <c r="AT1823" s="4" t="s">
        <v>63</v>
      </c>
      <c r="AU1823" s="4" t="s">
        <v>63</v>
      </c>
      <c r="AV1823" s="4" t="s">
        <v>63</v>
      </c>
      <c r="AW1823" s="4" t="s">
        <v>63</v>
      </c>
      <c r="AX1823" s="4" t="s">
        <v>63</v>
      </c>
      <c r="AY1823" s="4" t="s">
        <v>63</v>
      </c>
      <c r="AZ1823" s="4" t="s">
        <v>63</v>
      </c>
      <c r="BA1823" s="4" t="s">
        <v>63</v>
      </c>
      <c r="BB1823" s="4" t="s">
        <v>63</v>
      </c>
      <c r="BC1823" s="4" t="s">
        <v>63</v>
      </c>
      <c r="BD1823" s="4" t="s">
        <v>63</v>
      </c>
      <c r="BE1823" s="4" t="s">
        <v>63</v>
      </c>
      <c r="BF1823" s="4" t="s">
        <v>63</v>
      </c>
    </row>
    <row r="1824" spans="1:58">
      <c r="A1824" s="4" t="s">
        <v>58</v>
      </c>
      <c r="B1824" s="4" t="s">
        <v>15832</v>
      </c>
      <c r="C1824" s="4" t="s">
        <v>15833</v>
      </c>
      <c r="D1824" s="4" t="s">
        <v>15834</v>
      </c>
      <c r="E1824" s="4" t="s">
        <v>15835</v>
      </c>
      <c r="F1824" s="4">
        <v>1979</v>
      </c>
      <c r="G1824" s="4" t="s">
        <v>63</v>
      </c>
      <c r="H1824" s="4">
        <v>129</v>
      </c>
      <c r="I1824" s="4">
        <v>4</v>
      </c>
      <c r="J1824" s="4">
        <v>463</v>
      </c>
      <c r="K1824" s="4">
        <v>469</v>
      </c>
      <c r="L1824" s="4" t="s">
        <v>15836</v>
      </c>
      <c r="M1824" s="4" t="s">
        <v>15837</v>
      </c>
      <c r="N1824" s="4" t="s">
        <v>15838</v>
      </c>
      <c r="O1824" s="4" t="s">
        <v>63</v>
      </c>
      <c r="P1824" s="4"/>
      <c r="Q1824" s="4" t="s">
        <v>63</v>
      </c>
      <c r="R1824" s="4" t="s">
        <v>63</v>
      </c>
      <c r="S1824" s="4" t="s">
        <v>63</v>
      </c>
      <c r="T1824" s="4" t="s">
        <v>63</v>
      </c>
      <c r="U1824" s="4"/>
      <c r="V1824" s="4"/>
      <c r="W1824" s="4"/>
      <c r="X1824" s="4" t="s">
        <v>63</v>
      </c>
      <c r="Y1824" s="4" t="s">
        <v>63</v>
      </c>
      <c r="Z1824" s="4" t="s">
        <v>63</v>
      </c>
      <c r="AA1824" s="4" t="s">
        <v>63</v>
      </c>
      <c r="AB1824" s="4" t="s">
        <v>15839</v>
      </c>
      <c r="AC1824" s="4" t="s">
        <v>4823</v>
      </c>
      <c r="AD1824" s="4" t="s">
        <v>63</v>
      </c>
      <c r="AE1824" s="4" t="s">
        <v>63</v>
      </c>
      <c r="AF1824" s="4" t="s">
        <v>63</v>
      </c>
      <c r="AG1824" s="4" t="s">
        <v>63</v>
      </c>
      <c r="AH1824" s="4" t="s">
        <v>63</v>
      </c>
      <c r="AI1824" s="4" t="s">
        <v>63</v>
      </c>
      <c r="AJ1824" s="4" t="s">
        <v>63</v>
      </c>
      <c r="AK1824" s="4" t="s">
        <v>63</v>
      </c>
      <c r="AL1824" s="4" t="s">
        <v>63</v>
      </c>
      <c r="AM1824" s="4" t="s">
        <v>15833</v>
      </c>
      <c r="AN1824" s="4" t="s">
        <v>63</v>
      </c>
      <c r="AO1824" s="4" t="s">
        <v>63</v>
      </c>
      <c r="AP1824" s="4" t="s">
        <v>63</v>
      </c>
      <c r="AQ1824" s="4" t="s">
        <v>63</v>
      </c>
      <c r="AR1824" s="4" t="s">
        <v>63</v>
      </c>
      <c r="AS1824" s="4" t="s">
        <v>63</v>
      </c>
      <c r="AT1824" s="4" t="s">
        <v>63</v>
      </c>
      <c r="AU1824" s="4" t="s">
        <v>63</v>
      </c>
      <c r="AV1824" s="4" t="s">
        <v>63</v>
      </c>
      <c r="AW1824" s="4" t="s">
        <v>63</v>
      </c>
      <c r="AX1824" s="4" t="s">
        <v>63</v>
      </c>
      <c r="AY1824" s="4" t="s">
        <v>63</v>
      </c>
      <c r="AZ1824" s="4" t="s">
        <v>63</v>
      </c>
      <c r="BA1824" s="4" t="s">
        <v>63</v>
      </c>
      <c r="BB1824" s="4" t="s">
        <v>63</v>
      </c>
      <c r="BC1824" s="4" t="s">
        <v>63</v>
      </c>
      <c r="BD1824" s="4" t="s">
        <v>63</v>
      </c>
      <c r="BE1824" s="4" t="s">
        <v>63</v>
      </c>
      <c r="BF1824" s="4" t="s">
        <v>63</v>
      </c>
    </row>
    <row r="1825" spans="1:58">
      <c r="A1825" s="4" t="s">
        <v>58</v>
      </c>
      <c r="B1825" s="4" t="s">
        <v>15840</v>
      </c>
      <c r="C1825" s="4" t="s">
        <v>15841</v>
      </c>
      <c r="D1825" s="4" t="s">
        <v>6854</v>
      </c>
      <c r="E1825" s="4" t="s">
        <v>63</v>
      </c>
      <c r="F1825" s="4">
        <v>2013</v>
      </c>
      <c r="G1825" s="6">
        <v>41882</v>
      </c>
      <c r="H1825" s="4" t="s">
        <v>15842</v>
      </c>
      <c r="I1825" s="4" t="s">
        <v>63</v>
      </c>
      <c r="J1825" s="4" t="s">
        <v>63</v>
      </c>
      <c r="K1825" s="4" t="s">
        <v>63</v>
      </c>
      <c r="L1825" s="4" t="s">
        <v>15843</v>
      </c>
      <c r="M1825" s="4" t="s">
        <v>15844</v>
      </c>
      <c r="N1825" s="4" t="s">
        <v>15845</v>
      </c>
      <c r="O1825" s="4" t="s">
        <v>63</v>
      </c>
      <c r="P1825" s="4"/>
      <c r="Q1825" s="4" t="s">
        <v>63</v>
      </c>
      <c r="R1825" s="4" t="s">
        <v>63</v>
      </c>
      <c r="S1825" s="4" t="s">
        <v>63</v>
      </c>
      <c r="T1825" s="4" t="s">
        <v>63</v>
      </c>
      <c r="U1825" s="4"/>
      <c r="V1825" s="4"/>
      <c r="W1825" s="4"/>
      <c r="X1825" s="4" t="s">
        <v>63</v>
      </c>
      <c r="Y1825" s="4" t="s">
        <v>15322</v>
      </c>
      <c r="Z1825" s="4" t="s">
        <v>63</v>
      </c>
      <c r="AA1825" s="4" t="s">
        <v>63</v>
      </c>
      <c r="AB1825" s="4" t="s">
        <v>63</v>
      </c>
      <c r="AC1825" s="4" t="s">
        <v>67</v>
      </c>
      <c r="AD1825" s="4" t="s">
        <v>63</v>
      </c>
      <c r="AE1825" s="4" t="s">
        <v>63</v>
      </c>
      <c r="AF1825" s="4" t="s">
        <v>63</v>
      </c>
      <c r="AG1825" s="4" t="s">
        <v>63</v>
      </c>
      <c r="AH1825" s="4" t="s">
        <v>63</v>
      </c>
      <c r="AI1825" s="4" t="s">
        <v>63</v>
      </c>
      <c r="AJ1825" s="4" t="s">
        <v>63</v>
      </c>
      <c r="AK1825" s="4" t="s">
        <v>63</v>
      </c>
      <c r="AL1825" s="4" t="s">
        <v>63</v>
      </c>
      <c r="AM1825" s="4" t="s">
        <v>15841</v>
      </c>
      <c r="AN1825" s="4" t="s">
        <v>63</v>
      </c>
      <c r="AO1825" s="4" t="s">
        <v>63</v>
      </c>
      <c r="AP1825" s="4" t="s">
        <v>63</v>
      </c>
      <c r="AQ1825" s="4" t="s">
        <v>63</v>
      </c>
      <c r="AR1825" s="4" t="s">
        <v>63</v>
      </c>
      <c r="AS1825" s="4" t="s">
        <v>63</v>
      </c>
      <c r="AT1825" s="4" t="s">
        <v>63</v>
      </c>
      <c r="AU1825" s="4" t="s">
        <v>63</v>
      </c>
      <c r="AV1825" s="4" t="s">
        <v>63</v>
      </c>
      <c r="AW1825" s="4" t="s">
        <v>63</v>
      </c>
      <c r="AX1825" s="4" t="s">
        <v>63</v>
      </c>
      <c r="AY1825" s="4" t="s">
        <v>63</v>
      </c>
      <c r="AZ1825" s="4" t="s">
        <v>63</v>
      </c>
      <c r="BA1825" s="4" t="s">
        <v>63</v>
      </c>
      <c r="BB1825" s="4" t="s">
        <v>63</v>
      </c>
      <c r="BC1825" s="4" t="s">
        <v>63</v>
      </c>
      <c r="BD1825" s="4" t="s">
        <v>63</v>
      </c>
      <c r="BE1825" s="4" t="s">
        <v>63</v>
      </c>
      <c r="BF1825" s="4" t="s">
        <v>63</v>
      </c>
    </row>
    <row r="1826" spans="1:58">
      <c r="A1826" s="4" t="s">
        <v>58</v>
      </c>
      <c r="B1826" s="4" t="s">
        <v>15846</v>
      </c>
      <c r="C1826" s="4" t="s">
        <v>15847</v>
      </c>
      <c r="D1826" s="4" t="s">
        <v>371</v>
      </c>
      <c r="E1826" s="4" t="s">
        <v>63</v>
      </c>
      <c r="F1826" s="4">
        <v>2016</v>
      </c>
      <c r="G1826" s="4" t="s">
        <v>189</v>
      </c>
      <c r="H1826" s="4">
        <v>31</v>
      </c>
      <c r="I1826" s="4">
        <v>2</v>
      </c>
      <c r="J1826" s="4" t="s">
        <v>15848</v>
      </c>
      <c r="K1826" s="4" t="s">
        <v>63</v>
      </c>
      <c r="L1826" s="4" t="s">
        <v>15849</v>
      </c>
      <c r="M1826" s="4" t="s">
        <v>15850</v>
      </c>
      <c r="N1826" s="4" t="s">
        <v>15851</v>
      </c>
      <c r="O1826" s="4" t="s">
        <v>63</v>
      </c>
      <c r="P1826" s="4"/>
      <c r="Q1826" s="4" t="s">
        <v>63</v>
      </c>
      <c r="R1826" s="4" t="s">
        <v>63</v>
      </c>
      <c r="S1826" s="4" t="s">
        <v>63</v>
      </c>
      <c r="T1826" s="4" t="s">
        <v>63</v>
      </c>
      <c r="U1826" s="4"/>
      <c r="V1826" s="4"/>
      <c r="W1826" s="4"/>
      <c r="X1826" s="4" t="s">
        <v>63</v>
      </c>
      <c r="Y1826" s="4" t="s">
        <v>547</v>
      </c>
      <c r="Z1826" s="4" t="s">
        <v>63</v>
      </c>
      <c r="AA1826" s="4" t="s">
        <v>63</v>
      </c>
      <c r="AB1826" s="4" t="s">
        <v>63</v>
      </c>
      <c r="AC1826" s="4" t="s">
        <v>67</v>
      </c>
      <c r="AD1826" s="4" t="s">
        <v>63</v>
      </c>
      <c r="AE1826" s="4" t="s">
        <v>63</v>
      </c>
      <c r="AF1826" s="4" t="s">
        <v>63</v>
      </c>
      <c r="AG1826" s="4" t="s">
        <v>63</v>
      </c>
      <c r="AH1826" s="4" t="s">
        <v>63</v>
      </c>
      <c r="AI1826" s="4" t="s">
        <v>63</v>
      </c>
      <c r="AJ1826" s="4" t="s">
        <v>63</v>
      </c>
      <c r="AK1826" s="4" t="s">
        <v>63</v>
      </c>
      <c r="AL1826" s="4" t="s">
        <v>63</v>
      </c>
      <c r="AM1826" s="4" t="s">
        <v>15847</v>
      </c>
      <c r="AN1826" s="4" t="s">
        <v>63</v>
      </c>
      <c r="AO1826" s="4" t="s">
        <v>63</v>
      </c>
      <c r="AP1826" s="4" t="s">
        <v>63</v>
      </c>
      <c r="AQ1826" s="4" t="s">
        <v>63</v>
      </c>
      <c r="AR1826" s="4" t="s">
        <v>63</v>
      </c>
      <c r="AS1826" s="4" t="s">
        <v>63</v>
      </c>
      <c r="AT1826" s="4" t="s">
        <v>63</v>
      </c>
      <c r="AU1826" s="4" t="s">
        <v>63</v>
      </c>
      <c r="AV1826" s="4" t="s">
        <v>63</v>
      </c>
      <c r="AW1826" s="4" t="s">
        <v>63</v>
      </c>
      <c r="AX1826" s="4" t="s">
        <v>63</v>
      </c>
      <c r="AY1826" s="4" t="s">
        <v>63</v>
      </c>
      <c r="AZ1826" s="4" t="s">
        <v>63</v>
      </c>
      <c r="BA1826" s="4" t="s">
        <v>63</v>
      </c>
      <c r="BB1826" s="4" t="s">
        <v>63</v>
      </c>
      <c r="BC1826" s="4" t="s">
        <v>63</v>
      </c>
      <c r="BD1826" s="4" t="s">
        <v>63</v>
      </c>
      <c r="BE1826" s="4" t="s">
        <v>63</v>
      </c>
      <c r="BF1826" s="4" t="s">
        <v>63</v>
      </c>
    </row>
    <row r="1827" spans="1:58">
      <c r="A1827" s="4" t="s">
        <v>58</v>
      </c>
      <c r="B1827" s="4" t="s">
        <v>15852</v>
      </c>
      <c r="C1827" s="4" t="s">
        <v>15853</v>
      </c>
      <c r="D1827" s="4" t="s">
        <v>11901</v>
      </c>
      <c r="E1827" s="4" t="s">
        <v>63</v>
      </c>
      <c r="F1827" s="4">
        <v>2016</v>
      </c>
      <c r="G1827" s="4">
        <v>1</v>
      </c>
      <c r="H1827" s="4">
        <v>58</v>
      </c>
      <c r="I1827" s="4">
        <v>5</v>
      </c>
      <c r="J1827" s="4" t="s">
        <v>15854</v>
      </c>
      <c r="K1827" s="4" t="s">
        <v>13343</v>
      </c>
      <c r="L1827" s="4" t="s">
        <v>15855</v>
      </c>
      <c r="M1827" s="4" t="s">
        <v>15856</v>
      </c>
      <c r="N1827" s="4" t="s">
        <v>15857</v>
      </c>
      <c r="O1827" s="4" t="s">
        <v>63</v>
      </c>
      <c r="P1827" s="4"/>
      <c r="Q1827" s="4" t="s">
        <v>63</v>
      </c>
      <c r="R1827" s="4" t="s">
        <v>63</v>
      </c>
      <c r="S1827" s="4" t="s">
        <v>63</v>
      </c>
      <c r="T1827" s="4" t="s">
        <v>63</v>
      </c>
      <c r="U1827" s="4"/>
      <c r="V1827" s="4"/>
      <c r="W1827" s="4"/>
      <c r="X1827" s="4" t="s">
        <v>63</v>
      </c>
      <c r="Y1827" s="4" t="s">
        <v>15618</v>
      </c>
      <c r="Z1827" s="4" t="s">
        <v>63</v>
      </c>
      <c r="AA1827" s="4" t="s">
        <v>63</v>
      </c>
      <c r="AB1827" s="4" t="s">
        <v>63</v>
      </c>
      <c r="AC1827" s="4" t="s">
        <v>67</v>
      </c>
      <c r="AD1827" s="4" t="s">
        <v>63</v>
      </c>
      <c r="AE1827" s="4" t="s">
        <v>63</v>
      </c>
      <c r="AF1827" s="4" t="s">
        <v>63</v>
      </c>
      <c r="AG1827" s="4" t="s">
        <v>63</v>
      </c>
      <c r="AH1827" s="4" t="s">
        <v>63</v>
      </c>
      <c r="AI1827" s="4" t="s">
        <v>63</v>
      </c>
      <c r="AJ1827" s="4" t="s">
        <v>63</v>
      </c>
      <c r="AK1827" s="4" t="s">
        <v>63</v>
      </c>
      <c r="AL1827" s="4" t="s">
        <v>63</v>
      </c>
      <c r="AM1827" s="4" t="s">
        <v>15853</v>
      </c>
      <c r="AN1827" s="4" t="s">
        <v>63</v>
      </c>
      <c r="AO1827" s="4" t="s">
        <v>63</v>
      </c>
      <c r="AP1827" s="4" t="s">
        <v>63</v>
      </c>
      <c r="AQ1827" s="4" t="s">
        <v>63</v>
      </c>
      <c r="AR1827" s="4" t="s">
        <v>63</v>
      </c>
      <c r="AS1827" s="4" t="s">
        <v>63</v>
      </c>
      <c r="AT1827" s="4" t="s">
        <v>63</v>
      </c>
      <c r="AU1827" s="4" t="s">
        <v>63</v>
      </c>
      <c r="AV1827" s="4" t="s">
        <v>63</v>
      </c>
      <c r="AW1827" s="4" t="s">
        <v>63</v>
      </c>
      <c r="AX1827" s="4" t="s">
        <v>63</v>
      </c>
      <c r="AY1827" s="4" t="s">
        <v>63</v>
      </c>
      <c r="AZ1827" s="4" t="s">
        <v>63</v>
      </c>
      <c r="BA1827" s="4" t="s">
        <v>63</v>
      </c>
      <c r="BB1827" s="4" t="s">
        <v>63</v>
      </c>
      <c r="BC1827" s="4" t="s">
        <v>63</v>
      </c>
      <c r="BD1827" s="4" t="s">
        <v>63</v>
      </c>
      <c r="BE1827" s="4" t="s">
        <v>63</v>
      </c>
      <c r="BF1827" s="4" t="s">
        <v>63</v>
      </c>
    </row>
    <row r="1828" spans="1:58">
      <c r="A1828" s="4" t="s">
        <v>58</v>
      </c>
      <c r="B1828" s="4" t="s">
        <v>15858</v>
      </c>
      <c r="C1828" s="4" t="s">
        <v>15859</v>
      </c>
      <c r="D1828" s="4" t="s">
        <v>15860</v>
      </c>
      <c r="E1828" s="4" t="s">
        <v>63</v>
      </c>
      <c r="F1828" s="4">
        <v>2017</v>
      </c>
      <c r="G1828" s="4">
        <v>1</v>
      </c>
      <c r="H1828" s="4" t="s">
        <v>15861</v>
      </c>
      <c r="I1828" s="4" t="s">
        <v>63</v>
      </c>
      <c r="J1828" s="4" t="s">
        <v>15862</v>
      </c>
      <c r="K1828" s="4" t="s">
        <v>63</v>
      </c>
      <c r="L1828" s="4" t="s">
        <v>15863</v>
      </c>
      <c r="M1828" s="4" t="s">
        <v>15864</v>
      </c>
      <c r="N1828" s="4" t="s">
        <v>15865</v>
      </c>
      <c r="O1828" s="4" t="s">
        <v>63</v>
      </c>
      <c r="P1828" s="4"/>
      <c r="Q1828" s="4" t="s">
        <v>63</v>
      </c>
      <c r="R1828" s="4" t="s">
        <v>63</v>
      </c>
      <c r="S1828" s="4" t="s">
        <v>63</v>
      </c>
      <c r="T1828" s="4" t="s">
        <v>63</v>
      </c>
      <c r="U1828" s="4"/>
      <c r="V1828" s="4"/>
      <c r="W1828" s="4"/>
      <c r="X1828" s="4" t="s">
        <v>63</v>
      </c>
      <c r="Y1828" s="4" t="s">
        <v>15866</v>
      </c>
      <c r="Z1828" s="4" t="s">
        <v>63</v>
      </c>
      <c r="AA1828" s="4" t="s">
        <v>63</v>
      </c>
      <c r="AB1828" s="4" t="s">
        <v>63</v>
      </c>
      <c r="AC1828" s="4" t="s">
        <v>67</v>
      </c>
      <c r="AD1828" s="4" t="s">
        <v>63</v>
      </c>
      <c r="AE1828" s="4" t="s">
        <v>63</v>
      </c>
      <c r="AF1828" s="4" t="s">
        <v>63</v>
      </c>
      <c r="AG1828" s="4" t="s">
        <v>63</v>
      </c>
      <c r="AH1828" s="4" t="s">
        <v>63</v>
      </c>
      <c r="AI1828" s="4" t="s">
        <v>63</v>
      </c>
      <c r="AJ1828" s="4" t="s">
        <v>63</v>
      </c>
      <c r="AK1828" s="4" t="s">
        <v>63</v>
      </c>
      <c r="AL1828" s="4" t="s">
        <v>63</v>
      </c>
      <c r="AM1828" s="4" t="s">
        <v>15859</v>
      </c>
      <c r="AN1828" s="4" t="s">
        <v>63</v>
      </c>
      <c r="AO1828" s="4" t="s">
        <v>63</v>
      </c>
      <c r="AP1828" s="4" t="s">
        <v>63</v>
      </c>
      <c r="AQ1828" s="4" t="s">
        <v>63</v>
      </c>
      <c r="AR1828" s="4" t="s">
        <v>63</v>
      </c>
      <c r="AS1828" s="4" t="s">
        <v>63</v>
      </c>
      <c r="AT1828" s="4" t="s">
        <v>63</v>
      </c>
      <c r="AU1828" s="4" t="s">
        <v>63</v>
      </c>
      <c r="AV1828" s="4" t="s">
        <v>63</v>
      </c>
      <c r="AW1828" s="4" t="s">
        <v>63</v>
      </c>
      <c r="AX1828" s="4" t="s">
        <v>63</v>
      </c>
      <c r="AY1828" s="4" t="s">
        <v>63</v>
      </c>
      <c r="AZ1828" s="4" t="s">
        <v>63</v>
      </c>
      <c r="BA1828" s="4" t="s">
        <v>63</v>
      </c>
      <c r="BB1828" s="4" t="s">
        <v>63</v>
      </c>
      <c r="BC1828" s="4" t="s">
        <v>63</v>
      </c>
      <c r="BD1828" s="4" t="s">
        <v>63</v>
      </c>
      <c r="BE1828" s="4" t="s">
        <v>63</v>
      </c>
      <c r="BF1828" s="4" t="s">
        <v>63</v>
      </c>
    </row>
    <row r="1829" spans="1:58">
      <c r="A1829" s="4" t="s">
        <v>58</v>
      </c>
      <c r="B1829" s="4" t="s">
        <v>15867</v>
      </c>
      <c r="C1829" s="4" t="s">
        <v>15868</v>
      </c>
      <c r="D1829" s="4" t="s">
        <v>371</v>
      </c>
      <c r="E1829" s="4" t="s">
        <v>63</v>
      </c>
      <c r="F1829" s="4">
        <v>2015</v>
      </c>
      <c r="G1829" s="4" t="s">
        <v>15165</v>
      </c>
      <c r="H1829" s="4" t="s">
        <v>15869</v>
      </c>
      <c r="I1829" s="4" t="s">
        <v>63</v>
      </c>
      <c r="J1829" s="4" t="s">
        <v>15870</v>
      </c>
      <c r="K1829" s="4" t="s">
        <v>63</v>
      </c>
      <c r="L1829" s="4" t="s">
        <v>15871</v>
      </c>
      <c r="M1829" s="4" t="s">
        <v>15872</v>
      </c>
      <c r="N1829" s="4" t="s">
        <v>15873</v>
      </c>
      <c r="O1829" s="4" t="s">
        <v>63</v>
      </c>
      <c r="P1829" s="4"/>
      <c r="Q1829" s="4" t="s">
        <v>63</v>
      </c>
      <c r="R1829" s="4" t="s">
        <v>63</v>
      </c>
      <c r="S1829" s="4" t="s">
        <v>63</v>
      </c>
      <c r="T1829" s="4" t="s">
        <v>63</v>
      </c>
      <c r="U1829" s="4"/>
      <c r="V1829" s="4"/>
      <c r="W1829" s="4"/>
      <c r="X1829" s="4" t="s">
        <v>63</v>
      </c>
      <c r="Y1829" s="4" t="s">
        <v>375</v>
      </c>
      <c r="Z1829" s="4" t="s">
        <v>63</v>
      </c>
      <c r="AA1829" s="4" t="s">
        <v>63</v>
      </c>
      <c r="AB1829" s="4" t="s">
        <v>63</v>
      </c>
      <c r="AC1829" s="4" t="s">
        <v>67</v>
      </c>
      <c r="AD1829" s="4" t="s">
        <v>63</v>
      </c>
      <c r="AE1829" s="4" t="s">
        <v>63</v>
      </c>
      <c r="AF1829" s="4" t="s">
        <v>63</v>
      </c>
      <c r="AG1829" s="4" t="s">
        <v>63</v>
      </c>
      <c r="AH1829" s="4" t="s">
        <v>63</v>
      </c>
      <c r="AI1829" s="4" t="s">
        <v>63</v>
      </c>
      <c r="AJ1829" s="4" t="s">
        <v>63</v>
      </c>
      <c r="AK1829" s="4" t="s">
        <v>63</v>
      </c>
      <c r="AL1829" s="4" t="s">
        <v>63</v>
      </c>
      <c r="AM1829" s="4" t="s">
        <v>15868</v>
      </c>
      <c r="AN1829" s="4" t="s">
        <v>63</v>
      </c>
      <c r="AO1829" s="4" t="s">
        <v>63</v>
      </c>
      <c r="AP1829" s="4" t="s">
        <v>63</v>
      </c>
      <c r="AQ1829" s="4" t="s">
        <v>63</v>
      </c>
      <c r="AR1829" s="4" t="s">
        <v>63</v>
      </c>
      <c r="AS1829" s="4" t="s">
        <v>63</v>
      </c>
      <c r="AT1829" s="4" t="s">
        <v>63</v>
      </c>
      <c r="AU1829" s="4" t="s">
        <v>63</v>
      </c>
      <c r="AV1829" s="4" t="s">
        <v>63</v>
      </c>
      <c r="AW1829" s="4" t="s">
        <v>63</v>
      </c>
      <c r="AX1829" s="4" t="s">
        <v>63</v>
      </c>
      <c r="AY1829" s="4" t="s">
        <v>63</v>
      </c>
      <c r="AZ1829" s="4" t="s">
        <v>63</v>
      </c>
      <c r="BA1829" s="4" t="s">
        <v>63</v>
      </c>
      <c r="BB1829" s="4" t="s">
        <v>63</v>
      </c>
      <c r="BC1829" s="4" t="s">
        <v>63</v>
      </c>
      <c r="BD1829" s="4" t="s">
        <v>63</v>
      </c>
      <c r="BE1829" s="4" t="s">
        <v>63</v>
      </c>
      <c r="BF1829" s="4" t="s">
        <v>63</v>
      </c>
    </row>
    <row r="1830" spans="1:58">
      <c r="A1830" s="4" t="s">
        <v>58</v>
      </c>
      <c r="B1830" s="4" t="s">
        <v>15874</v>
      </c>
      <c r="C1830" s="4" t="s">
        <v>15875</v>
      </c>
      <c r="D1830" s="4" t="s">
        <v>15876</v>
      </c>
      <c r="E1830" s="4" t="s">
        <v>63</v>
      </c>
      <c r="F1830" s="4">
        <v>2008</v>
      </c>
      <c r="G1830" s="4" t="s">
        <v>63</v>
      </c>
      <c r="H1830" s="4">
        <v>65</v>
      </c>
      <c r="I1830" s="4">
        <v>10</v>
      </c>
      <c r="J1830" s="4">
        <v>568</v>
      </c>
      <c r="K1830" s="4">
        <v>571</v>
      </c>
      <c r="L1830" s="4" t="s">
        <v>15877</v>
      </c>
      <c r="M1830" s="4" t="s">
        <v>15878</v>
      </c>
      <c r="N1830" s="4" t="s">
        <v>15879</v>
      </c>
      <c r="O1830" s="4" t="s">
        <v>63</v>
      </c>
      <c r="P1830" s="4"/>
      <c r="Q1830" s="4" t="s">
        <v>63</v>
      </c>
      <c r="R1830" s="4" t="s">
        <v>63</v>
      </c>
      <c r="S1830" s="4" t="s">
        <v>63</v>
      </c>
      <c r="T1830" s="4" t="s">
        <v>63</v>
      </c>
      <c r="U1830" s="4"/>
      <c r="V1830" s="4"/>
      <c r="W1830" s="4"/>
      <c r="X1830" s="4" t="s">
        <v>63</v>
      </c>
      <c r="Y1830" s="4" t="s">
        <v>694</v>
      </c>
      <c r="Z1830" s="4" t="s">
        <v>63</v>
      </c>
      <c r="AA1830" s="4" t="s">
        <v>63</v>
      </c>
      <c r="AB1830" s="4" t="s">
        <v>63</v>
      </c>
      <c r="AC1830" s="4" t="s">
        <v>696</v>
      </c>
      <c r="AD1830" s="4" t="s">
        <v>63</v>
      </c>
      <c r="AE1830" s="4" t="s">
        <v>63</v>
      </c>
      <c r="AF1830" s="4" t="s">
        <v>63</v>
      </c>
      <c r="AG1830" s="4" t="s">
        <v>15880</v>
      </c>
      <c r="AH1830" s="4" t="s">
        <v>63</v>
      </c>
      <c r="AI1830" s="4" t="s">
        <v>63</v>
      </c>
      <c r="AJ1830" s="4" t="s">
        <v>63</v>
      </c>
      <c r="AK1830" s="4" t="s">
        <v>63</v>
      </c>
      <c r="AL1830" s="4" t="s">
        <v>63</v>
      </c>
      <c r="AM1830" s="4" t="s">
        <v>15881</v>
      </c>
      <c r="AN1830" s="4" t="s">
        <v>63</v>
      </c>
      <c r="AO1830" s="4" t="s">
        <v>63</v>
      </c>
      <c r="AP1830" s="4" t="s">
        <v>63</v>
      </c>
      <c r="AQ1830" s="4" t="s">
        <v>63</v>
      </c>
      <c r="AR1830" s="4" t="s">
        <v>63</v>
      </c>
      <c r="AS1830" s="4" t="s">
        <v>63</v>
      </c>
      <c r="AT1830" s="4" t="s">
        <v>63</v>
      </c>
      <c r="AU1830" s="4" t="s">
        <v>63</v>
      </c>
      <c r="AV1830" s="4" t="s">
        <v>63</v>
      </c>
      <c r="AW1830" s="4" t="s">
        <v>63</v>
      </c>
      <c r="AX1830" s="4" t="s">
        <v>63</v>
      </c>
      <c r="AY1830" s="4" t="s">
        <v>63</v>
      </c>
      <c r="AZ1830" s="4" t="s">
        <v>63</v>
      </c>
      <c r="BA1830" s="4" t="s">
        <v>63</v>
      </c>
      <c r="BB1830" s="4" t="s">
        <v>63</v>
      </c>
      <c r="BC1830" s="4" t="s">
        <v>63</v>
      </c>
      <c r="BD1830" s="4" t="s">
        <v>63</v>
      </c>
      <c r="BE1830" s="4" t="s">
        <v>63</v>
      </c>
      <c r="BF1830" s="4" t="s">
        <v>63</v>
      </c>
    </row>
    <row r="1831" spans="1:58">
      <c r="A1831" s="4" t="s">
        <v>58</v>
      </c>
      <c r="B1831" s="4" t="s">
        <v>15882</v>
      </c>
      <c r="C1831" s="4" t="s">
        <v>15883</v>
      </c>
      <c r="D1831" s="4" t="s">
        <v>632</v>
      </c>
      <c r="E1831" s="4" t="s">
        <v>63</v>
      </c>
      <c r="F1831" s="4">
        <v>1976</v>
      </c>
      <c r="G1831" s="4" t="s">
        <v>63</v>
      </c>
      <c r="H1831" s="4">
        <v>27</v>
      </c>
      <c r="I1831" s="4">
        <v>19</v>
      </c>
      <c r="J1831" s="4">
        <v>908</v>
      </c>
      <c r="K1831" s="4">
        <v>911</v>
      </c>
      <c r="L1831" s="4" t="s">
        <v>15884</v>
      </c>
      <c r="M1831" s="4" t="s">
        <v>15885</v>
      </c>
      <c r="N1831" s="4" t="s">
        <v>15886</v>
      </c>
      <c r="O1831" s="4" t="s">
        <v>63</v>
      </c>
      <c r="P1831" s="4"/>
      <c r="Q1831" s="4" t="s">
        <v>63</v>
      </c>
      <c r="R1831" s="4" t="s">
        <v>63</v>
      </c>
      <c r="S1831" s="4" t="s">
        <v>63</v>
      </c>
      <c r="T1831" s="4" t="s">
        <v>63</v>
      </c>
      <c r="U1831" s="4"/>
      <c r="V1831" s="4"/>
      <c r="W1831" s="4"/>
      <c r="X1831" s="4" t="s">
        <v>63</v>
      </c>
      <c r="Y1831" s="4" t="s">
        <v>635</v>
      </c>
      <c r="Z1831" s="4" t="s">
        <v>63</v>
      </c>
      <c r="AA1831" s="4" t="s">
        <v>63</v>
      </c>
      <c r="AB1831" s="4" t="s">
        <v>15887</v>
      </c>
      <c r="AC1831" s="4" t="s">
        <v>102</v>
      </c>
      <c r="AD1831" s="4" t="s">
        <v>63</v>
      </c>
      <c r="AE1831" s="4" t="s">
        <v>63</v>
      </c>
      <c r="AF1831" s="4" t="s">
        <v>63</v>
      </c>
      <c r="AG1831" s="4" t="s">
        <v>63</v>
      </c>
      <c r="AH1831" s="4" t="s">
        <v>63</v>
      </c>
      <c r="AI1831" s="4" t="s">
        <v>63</v>
      </c>
      <c r="AJ1831" s="4" t="s">
        <v>63</v>
      </c>
      <c r="AK1831" s="4" t="s">
        <v>63</v>
      </c>
      <c r="AL1831" s="4" t="s">
        <v>63</v>
      </c>
      <c r="AM1831" s="4" t="s">
        <v>15883</v>
      </c>
      <c r="AN1831" s="4" t="s">
        <v>63</v>
      </c>
      <c r="AO1831" s="4" t="s">
        <v>63</v>
      </c>
      <c r="AP1831" s="4" t="s">
        <v>63</v>
      </c>
      <c r="AQ1831" s="4" t="s">
        <v>63</v>
      </c>
      <c r="AR1831" s="4" t="s">
        <v>63</v>
      </c>
      <c r="AS1831" s="4" t="s">
        <v>63</v>
      </c>
      <c r="AT1831" s="4" t="s">
        <v>63</v>
      </c>
      <c r="AU1831" s="4" t="s">
        <v>63</v>
      </c>
      <c r="AV1831" s="4" t="s">
        <v>63</v>
      </c>
      <c r="AW1831" s="4" t="s">
        <v>63</v>
      </c>
      <c r="AX1831" s="4" t="s">
        <v>63</v>
      </c>
      <c r="AY1831" s="4" t="s">
        <v>63</v>
      </c>
      <c r="AZ1831" s="4" t="s">
        <v>63</v>
      </c>
      <c r="BA1831" s="4" t="s">
        <v>63</v>
      </c>
      <c r="BB1831" s="4" t="s">
        <v>63</v>
      </c>
      <c r="BC1831" s="4" t="s">
        <v>63</v>
      </c>
      <c r="BD1831" s="4" t="s">
        <v>63</v>
      </c>
      <c r="BE1831" s="4" t="s">
        <v>63</v>
      </c>
      <c r="BF1831" s="4" t="s">
        <v>63</v>
      </c>
    </row>
    <row r="1832" spans="1:58">
      <c r="A1832" s="4" t="s">
        <v>58</v>
      </c>
      <c r="B1832" s="4" t="s">
        <v>15888</v>
      </c>
      <c r="C1832" s="4" t="s">
        <v>15889</v>
      </c>
      <c r="D1832" s="4" t="s">
        <v>6386</v>
      </c>
      <c r="E1832" s="4" t="s">
        <v>63</v>
      </c>
      <c r="F1832" s="4">
        <v>1981</v>
      </c>
      <c r="G1832" s="4" t="s">
        <v>63</v>
      </c>
      <c r="H1832" s="4">
        <v>43</v>
      </c>
      <c r="I1832" s="4">
        <v>1</v>
      </c>
      <c r="J1832" s="4">
        <v>40</v>
      </c>
      <c r="K1832" s="4">
        <v>47</v>
      </c>
      <c r="L1832" s="4" t="s">
        <v>15890</v>
      </c>
      <c r="M1832" s="4" t="s">
        <v>15891</v>
      </c>
      <c r="N1832" s="4" t="s">
        <v>15892</v>
      </c>
      <c r="O1832" s="4" t="s">
        <v>63</v>
      </c>
      <c r="P1832" s="4"/>
      <c r="Q1832" s="4" t="s">
        <v>63</v>
      </c>
      <c r="R1832" s="4" t="s">
        <v>63</v>
      </c>
      <c r="S1832" s="4" t="s">
        <v>63</v>
      </c>
      <c r="T1832" s="4" t="s">
        <v>63</v>
      </c>
      <c r="U1832" s="4"/>
      <c r="V1832" s="4"/>
      <c r="W1832" s="4"/>
      <c r="X1832" s="4" t="s">
        <v>63</v>
      </c>
      <c r="Y1832" s="4" t="s">
        <v>6389</v>
      </c>
      <c r="Z1832" s="4" t="s">
        <v>63</v>
      </c>
      <c r="AA1832" s="4" t="s">
        <v>63</v>
      </c>
      <c r="AB1832" s="4">
        <v>1981125637</v>
      </c>
      <c r="AC1832" s="4" t="s">
        <v>102</v>
      </c>
      <c r="AD1832" s="4" t="s">
        <v>63</v>
      </c>
      <c r="AE1832" s="4" t="s">
        <v>63</v>
      </c>
      <c r="AF1832" s="4" t="s">
        <v>63</v>
      </c>
      <c r="AG1832" s="4" t="s">
        <v>15893</v>
      </c>
      <c r="AH1832" s="4" t="s">
        <v>63</v>
      </c>
      <c r="AI1832" s="4" t="s">
        <v>63</v>
      </c>
      <c r="AJ1832" s="4" t="s">
        <v>63</v>
      </c>
      <c r="AK1832" s="4" t="s">
        <v>63</v>
      </c>
      <c r="AL1832" s="4" t="s">
        <v>63</v>
      </c>
      <c r="AM1832" s="4" t="s">
        <v>15894</v>
      </c>
      <c r="AN1832" s="4" t="s">
        <v>63</v>
      </c>
      <c r="AO1832" s="4" t="s">
        <v>63</v>
      </c>
      <c r="AP1832" s="4" t="s">
        <v>63</v>
      </c>
      <c r="AQ1832" s="4" t="s">
        <v>63</v>
      </c>
      <c r="AR1832" s="4" t="s">
        <v>63</v>
      </c>
      <c r="AS1832" s="4" t="s">
        <v>63</v>
      </c>
      <c r="AT1832" s="4" t="s">
        <v>63</v>
      </c>
      <c r="AU1832" s="4" t="s">
        <v>63</v>
      </c>
      <c r="AV1832" s="4" t="s">
        <v>63</v>
      </c>
      <c r="AW1832" s="4" t="s">
        <v>63</v>
      </c>
      <c r="AX1832" s="4" t="s">
        <v>63</v>
      </c>
      <c r="AY1832" s="4" t="s">
        <v>63</v>
      </c>
      <c r="AZ1832" s="4" t="s">
        <v>63</v>
      </c>
      <c r="BA1832" s="4" t="s">
        <v>63</v>
      </c>
      <c r="BB1832" s="4" t="s">
        <v>63</v>
      </c>
      <c r="BC1832" s="4" t="s">
        <v>63</v>
      </c>
      <c r="BD1832" s="4" t="s">
        <v>63</v>
      </c>
      <c r="BE1832" s="4" t="s">
        <v>63</v>
      </c>
      <c r="BF1832" s="4" t="s">
        <v>63</v>
      </c>
    </row>
    <row r="1833" spans="1:58">
      <c r="A1833" s="4" t="s">
        <v>58</v>
      </c>
      <c r="B1833" s="4" t="s">
        <v>15895</v>
      </c>
      <c r="C1833" s="4" t="s">
        <v>15896</v>
      </c>
      <c r="D1833" s="4" t="s">
        <v>6854</v>
      </c>
      <c r="E1833" s="4" t="s">
        <v>63</v>
      </c>
      <c r="F1833" s="4">
        <v>2011</v>
      </c>
      <c r="G1833" s="6">
        <v>41882</v>
      </c>
      <c r="H1833" s="4" t="s">
        <v>15897</v>
      </c>
      <c r="I1833" s="4" t="s">
        <v>63</v>
      </c>
      <c r="J1833" s="4" t="s">
        <v>63</v>
      </c>
      <c r="K1833" s="4" t="s">
        <v>63</v>
      </c>
      <c r="L1833" s="4" t="s">
        <v>15898</v>
      </c>
      <c r="M1833" s="4" t="s">
        <v>15899</v>
      </c>
      <c r="N1833" s="4" t="s">
        <v>15900</v>
      </c>
      <c r="O1833" s="4" t="s">
        <v>63</v>
      </c>
      <c r="P1833" s="4"/>
      <c r="Q1833" s="4" t="s">
        <v>63</v>
      </c>
      <c r="R1833" s="4" t="s">
        <v>63</v>
      </c>
      <c r="S1833" s="4" t="s">
        <v>63</v>
      </c>
      <c r="T1833" s="4" t="s">
        <v>63</v>
      </c>
      <c r="U1833" s="4"/>
      <c r="V1833" s="4"/>
      <c r="W1833" s="4"/>
      <c r="X1833" s="4" t="s">
        <v>63</v>
      </c>
      <c r="Y1833" s="4" t="s">
        <v>15322</v>
      </c>
      <c r="Z1833" s="4" t="s">
        <v>63</v>
      </c>
      <c r="AA1833" s="4" t="s">
        <v>63</v>
      </c>
      <c r="AB1833" s="4" t="s">
        <v>63</v>
      </c>
      <c r="AC1833" s="4" t="s">
        <v>67</v>
      </c>
      <c r="AD1833" s="4" t="s">
        <v>63</v>
      </c>
      <c r="AE1833" s="4" t="s">
        <v>63</v>
      </c>
      <c r="AF1833" s="4" t="s">
        <v>63</v>
      </c>
      <c r="AG1833" s="4" t="s">
        <v>63</v>
      </c>
      <c r="AH1833" s="4" t="s">
        <v>63</v>
      </c>
      <c r="AI1833" s="4" t="s">
        <v>63</v>
      </c>
      <c r="AJ1833" s="4" t="s">
        <v>63</v>
      </c>
      <c r="AK1833" s="4" t="s">
        <v>63</v>
      </c>
      <c r="AL1833" s="4" t="s">
        <v>63</v>
      </c>
      <c r="AM1833" s="4" t="s">
        <v>15896</v>
      </c>
      <c r="AN1833" s="4" t="s">
        <v>63</v>
      </c>
      <c r="AO1833" s="4" t="s">
        <v>63</v>
      </c>
      <c r="AP1833" s="4" t="s">
        <v>63</v>
      </c>
      <c r="AQ1833" s="4" t="s">
        <v>63</v>
      </c>
      <c r="AR1833" s="4" t="s">
        <v>63</v>
      </c>
      <c r="AS1833" s="4" t="s">
        <v>63</v>
      </c>
      <c r="AT1833" s="4" t="s">
        <v>63</v>
      </c>
      <c r="AU1833" s="4" t="s">
        <v>63</v>
      </c>
      <c r="AV1833" s="4" t="s">
        <v>63</v>
      </c>
      <c r="AW1833" s="4" t="s">
        <v>63</v>
      </c>
      <c r="AX1833" s="4" t="s">
        <v>63</v>
      </c>
      <c r="AY1833" s="4" t="s">
        <v>63</v>
      </c>
      <c r="AZ1833" s="4" t="s">
        <v>63</v>
      </c>
      <c r="BA1833" s="4" t="s">
        <v>63</v>
      </c>
      <c r="BB1833" s="4" t="s">
        <v>63</v>
      </c>
      <c r="BC1833" s="4" t="s">
        <v>63</v>
      </c>
      <c r="BD1833" s="4" t="s">
        <v>63</v>
      </c>
      <c r="BE1833" s="4" t="s">
        <v>63</v>
      </c>
      <c r="BF1833" s="4" t="s">
        <v>63</v>
      </c>
    </row>
    <row r="1834" spans="1:58">
      <c r="A1834" s="4" t="s">
        <v>58</v>
      </c>
      <c r="B1834" s="4" t="s">
        <v>15901</v>
      </c>
      <c r="C1834" s="4" t="s">
        <v>15902</v>
      </c>
      <c r="D1834" s="4" t="s">
        <v>15903</v>
      </c>
      <c r="E1834" s="4" t="s">
        <v>63</v>
      </c>
      <c r="F1834" s="4">
        <v>2008</v>
      </c>
      <c r="G1834" s="4" t="s">
        <v>15904</v>
      </c>
      <c r="H1834" s="4">
        <v>27</v>
      </c>
      <c r="I1834" s="4">
        <v>2</v>
      </c>
      <c r="J1834" s="4">
        <v>179</v>
      </c>
      <c r="K1834" s="4">
        <v>189</v>
      </c>
      <c r="L1834" s="4" t="s">
        <v>15905</v>
      </c>
      <c r="M1834" s="4" t="s">
        <v>15906</v>
      </c>
      <c r="N1834" s="4" t="s">
        <v>15907</v>
      </c>
      <c r="O1834" s="4" t="s">
        <v>63</v>
      </c>
      <c r="P1834" s="4"/>
      <c r="Q1834" s="4" t="s">
        <v>63</v>
      </c>
      <c r="R1834" s="4" t="s">
        <v>63</v>
      </c>
      <c r="S1834" s="4" t="s">
        <v>63</v>
      </c>
      <c r="T1834" s="4" t="s">
        <v>63</v>
      </c>
      <c r="U1834" s="4"/>
      <c r="V1834" s="4"/>
      <c r="W1834" s="4"/>
      <c r="X1834" s="4" t="s">
        <v>63</v>
      </c>
      <c r="Y1834" s="4" t="s">
        <v>15908</v>
      </c>
      <c r="Z1834" s="4" t="s">
        <v>63</v>
      </c>
      <c r="AA1834" s="4" t="s">
        <v>63</v>
      </c>
      <c r="AB1834" s="4" t="s">
        <v>15909</v>
      </c>
      <c r="AC1834" s="4" t="s">
        <v>67</v>
      </c>
      <c r="AD1834" s="4" t="s">
        <v>63</v>
      </c>
      <c r="AE1834" s="4" t="s">
        <v>63</v>
      </c>
      <c r="AF1834" s="4" t="s">
        <v>63</v>
      </c>
      <c r="AG1834" s="4" t="s">
        <v>63</v>
      </c>
      <c r="AH1834" s="4" t="s">
        <v>63</v>
      </c>
      <c r="AI1834" s="4" t="s">
        <v>63</v>
      </c>
      <c r="AJ1834" s="4" t="s">
        <v>63</v>
      </c>
      <c r="AK1834" s="4" t="s">
        <v>63</v>
      </c>
      <c r="AL1834" s="4" t="s">
        <v>63</v>
      </c>
      <c r="AM1834" s="4" t="s">
        <v>15902</v>
      </c>
      <c r="AN1834" s="4" t="s">
        <v>63</v>
      </c>
      <c r="AO1834" s="4" t="s">
        <v>63</v>
      </c>
      <c r="AP1834" s="4" t="s">
        <v>63</v>
      </c>
      <c r="AQ1834" s="4" t="s">
        <v>63</v>
      </c>
      <c r="AR1834" s="4" t="s">
        <v>63</v>
      </c>
      <c r="AS1834" s="4" t="s">
        <v>63</v>
      </c>
      <c r="AT1834" s="4" t="s">
        <v>63</v>
      </c>
      <c r="AU1834" s="4" t="s">
        <v>63</v>
      </c>
      <c r="AV1834" s="4" t="s">
        <v>63</v>
      </c>
      <c r="AW1834" s="4" t="s">
        <v>63</v>
      </c>
      <c r="AX1834" s="4" t="s">
        <v>63</v>
      </c>
      <c r="AY1834" s="4" t="s">
        <v>63</v>
      </c>
      <c r="AZ1834" s="4" t="s">
        <v>63</v>
      </c>
      <c r="BA1834" s="4" t="s">
        <v>63</v>
      </c>
      <c r="BB1834" s="4" t="s">
        <v>63</v>
      </c>
      <c r="BC1834" s="4" t="s">
        <v>63</v>
      </c>
      <c r="BD1834" s="4" t="s">
        <v>63</v>
      </c>
      <c r="BE1834" s="4" t="s">
        <v>63</v>
      </c>
      <c r="BF1834" s="4" t="s">
        <v>63</v>
      </c>
    </row>
    <row r="1835" spans="1:58">
      <c r="A1835" s="4" t="s">
        <v>58</v>
      </c>
      <c r="B1835" s="4" t="s">
        <v>15910</v>
      </c>
      <c r="C1835" s="4" t="s">
        <v>15911</v>
      </c>
      <c r="D1835" s="4" t="s">
        <v>371</v>
      </c>
      <c r="E1835" s="4" t="s">
        <v>63</v>
      </c>
      <c r="F1835" s="4">
        <v>2014</v>
      </c>
      <c r="G1835" s="4" t="s">
        <v>15165</v>
      </c>
      <c r="H1835" s="4" t="s">
        <v>15912</v>
      </c>
      <c r="I1835" s="4" t="s">
        <v>63</v>
      </c>
      <c r="J1835" s="4" t="s">
        <v>15913</v>
      </c>
      <c r="K1835" s="4" t="s">
        <v>15914</v>
      </c>
      <c r="L1835" s="4" t="s">
        <v>15915</v>
      </c>
      <c r="M1835" s="4" t="s">
        <v>15916</v>
      </c>
      <c r="N1835" s="4" t="s">
        <v>15917</v>
      </c>
      <c r="O1835" s="4" t="s">
        <v>63</v>
      </c>
      <c r="P1835" s="4"/>
      <c r="Q1835" s="4" t="s">
        <v>63</v>
      </c>
      <c r="R1835" s="4" t="s">
        <v>63</v>
      </c>
      <c r="S1835" s="4" t="s">
        <v>63</v>
      </c>
      <c r="T1835" s="4" t="s">
        <v>63</v>
      </c>
      <c r="U1835" s="4"/>
      <c r="V1835" s="4"/>
      <c r="W1835" s="4"/>
      <c r="X1835" s="4" t="s">
        <v>63</v>
      </c>
      <c r="Y1835" s="4" t="s">
        <v>375</v>
      </c>
      <c r="Z1835" s="4" t="s">
        <v>63</v>
      </c>
      <c r="AA1835" s="4" t="s">
        <v>63</v>
      </c>
      <c r="AB1835" s="4" t="s">
        <v>63</v>
      </c>
      <c r="AC1835" s="4" t="s">
        <v>67</v>
      </c>
      <c r="AD1835" s="4" t="s">
        <v>63</v>
      </c>
      <c r="AE1835" s="4" t="s">
        <v>63</v>
      </c>
      <c r="AF1835" s="4" t="s">
        <v>63</v>
      </c>
      <c r="AG1835" s="4" t="s">
        <v>63</v>
      </c>
      <c r="AH1835" s="4" t="s">
        <v>63</v>
      </c>
      <c r="AI1835" s="4" t="s">
        <v>63</v>
      </c>
      <c r="AJ1835" s="4" t="s">
        <v>63</v>
      </c>
      <c r="AK1835" s="4" t="s">
        <v>63</v>
      </c>
      <c r="AL1835" s="4" t="s">
        <v>63</v>
      </c>
      <c r="AM1835" s="4" t="s">
        <v>15911</v>
      </c>
      <c r="AN1835" s="4" t="s">
        <v>63</v>
      </c>
      <c r="AO1835" s="4" t="s">
        <v>63</v>
      </c>
      <c r="AP1835" s="4" t="s">
        <v>63</v>
      </c>
      <c r="AQ1835" s="4" t="s">
        <v>63</v>
      </c>
      <c r="AR1835" s="4" t="s">
        <v>63</v>
      </c>
      <c r="AS1835" s="4" t="s">
        <v>63</v>
      </c>
      <c r="AT1835" s="4" t="s">
        <v>63</v>
      </c>
      <c r="AU1835" s="4" t="s">
        <v>63</v>
      </c>
      <c r="AV1835" s="4" t="s">
        <v>63</v>
      </c>
      <c r="AW1835" s="4" t="s">
        <v>63</v>
      </c>
      <c r="AX1835" s="4" t="s">
        <v>63</v>
      </c>
      <c r="AY1835" s="4" t="s">
        <v>63</v>
      </c>
      <c r="AZ1835" s="4" t="s">
        <v>63</v>
      </c>
      <c r="BA1835" s="4" t="s">
        <v>63</v>
      </c>
      <c r="BB1835" s="4" t="s">
        <v>63</v>
      </c>
      <c r="BC1835" s="4" t="s">
        <v>63</v>
      </c>
      <c r="BD1835" s="4" t="s">
        <v>63</v>
      </c>
      <c r="BE1835" s="4" t="s">
        <v>63</v>
      </c>
      <c r="BF1835" s="4" t="s">
        <v>63</v>
      </c>
    </row>
    <row r="1836" spans="1:58">
      <c r="A1836" s="4" t="s">
        <v>58</v>
      </c>
      <c r="B1836" s="4" t="s">
        <v>15918</v>
      </c>
      <c r="C1836" s="4" t="s">
        <v>15919</v>
      </c>
      <c r="D1836" s="4" t="s">
        <v>15920</v>
      </c>
      <c r="E1836" s="4" t="s">
        <v>63</v>
      </c>
      <c r="F1836" s="4">
        <v>2015</v>
      </c>
      <c r="G1836" s="4">
        <v>22</v>
      </c>
      <c r="H1836" s="4">
        <v>32</v>
      </c>
      <c r="I1836" s="4">
        <v>1</v>
      </c>
      <c r="J1836" s="4">
        <v>137</v>
      </c>
      <c r="K1836" s="4">
        <v>146</v>
      </c>
      <c r="L1836" s="4" t="s">
        <v>15921</v>
      </c>
      <c r="M1836" s="4" t="s">
        <v>15922</v>
      </c>
      <c r="N1836" s="4" t="s">
        <v>15923</v>
      </c>
      <c r="O1836" s="4" t="s">
        <v>63</v>
      </c>
      <c r="P1836" s="4"/>
      <c r="Q1836" s="4" t="s">
        <v>63</v>
      </c>
      <c r="R1836" s="4" t="s">
        <v>63</v>
      </c>
      <c r="S1836" s="4" t="s">
        <v>63</v>
      </c>
      <c r="T1836" s="4" t="s">
        <v>63</v>
      </c>
      <c r="U1836" s="4"/>
      <c r="V1836" s="4"/>
      <c r="W1836" s="4"/>
      <c r="X1836" s="4" t="s">
        <v>63</v>
      </c>
      <c r="Y1836" s="4" t="s">
        <v>15924</v>
      </c>
      <c r="Z1836" s="4" t="s">
        <v>63</v>
      </c>
      <c r="AA1836" s="4" t="s">
        <v>63</v>
      </c>
      <c r="AB1836" s="4" t="s">
        <v>15925</v>
      </c>
      <c r="AC1836" s="4" t="s">
        <v>67</v>
      </c>
      <c r="AD1836" s="4" t="s">
        <v>63</v>
      </c>
      <c r="AE1836" s="4" t="s">
        <v>63</v>
      </c>
      <c r="AF1836" s="4" t="s">
        <v>63</v>
      </c>
      <c r="AG1836" s="4" t="s">
        <v>63</v>
      </c>
      <c r="AH1836" s="4" t="s">
        <v>63</v>
      </c>
      <c r="AI1836" s="4" t="s">
        <v>15926</v>
      </c>
      <c r="AJ1836" s="4" t="s">
        <v>63</v>
      </c>
      <c r="AK1836" s="4" t="s">
        <v>63</v>
      </c>
      <c r="AL1836" s="4" t="s">
        <v>63</v>
      </c>
      <c r="AM1836" s="4" t="s">
        <v>15919</v>
      </c>
      <c r="AN1836" s="4" t="s">
        <v>63</v>
      </c>
      <c r="AO1836" s="4" t="s">
        <v>63</v>
      </c>
      <c r="AP1836" s="4" t="s">
        <v>63</v>
      </c>
      <c r="AQ1836" s="4" t="s">
        <v>63</v>
      </c>
      <c r="AR1836" s="4" t="s">
        <v>63</v>
      </c>
      <c r="AS1836" s="4" t="s">
        <v>63</v>
      </c>
      <c r="AT1836" s="4" t="s">
        <v>63</v>
      </c>
      <c r="AU1836" s="4" t="s">
        <v>63</v>
      </c>
      <c r="AV1836" s="4" t="s">
        <v>63</v>
      </c>
      <c r="AW1836" s="4" t="s">
        <v>63</v>
      </c>
      <c r="AX1836" s="4" t="s">
        <v>63</v>
      </c>
      <c r="AY1836" s="4" t="s">
        <v>63</v>
      </c>
      <c r="AZ1836" s="4" t="s">
        <v>63</v>
      </c>
      <c r="BA1836" s="4" t="s">
        <v>63</v>
      </c>
      <c r="BB1836" s="4" t="s">
        <v>63</v>
      </c>
      <c r="BC1836" s="4" t="s">
        <v>63</v>
      </c>
      <c r="BD1836" s="4" t="s">
        <v>63</v>
      </c>
      <c r="BE1836" s="4" t="s">
        <v>63</v>
      </c>
      <c r="BF1836" s="4" t="s">
        <v>63</v>
      </c>
    </row>
    <row r="1837" spans="1:58">
      <c r="A1837" s="4" t="s">
        <v>58</v>
      </c>
      <c r="B1837" s="4" t="s">
        <v>15927</v>
      </c>
      <c r="C1837" s="4" t="s">
        <v>15928</v>
      </c>
      <c r="D1837" s="4" t="s">
        <v>15929</v>
      </c>
      <c r="E1837" s="4" t="s">
        <v>63</v>
      </c>
      <c r="F1837" s="4">
        <v>2016</v>
      </c>
      <c r="G1837" s="4" t="s">
        <v>63</v>
      </c>
      <c r="H1837" s="4">
        <v>21</v>
      </c>
      <c r="I1837" s="4">
        <v>5</v>
      </c>
      <c r="J1837" s="4">
        <v>222</v>
      </c>
      <c r="K1837" s="4" t="s">
        <v>63</v>
      </c>
      <c r="L1837" s="4" t="s">
        <v>15930</v>
      </c>
      <c r="M1837" s="4" t="s">
        <v>63</v>
      </c>
      <c r="N1837" s="4" t="s">
        <v>15931</v>
      </c>
      <c r="O1837" s="4" t="s">
        <v>63</v>
      </c>
      <c r="P1837" s="4"/>
      <c r="Q1837" s="4" t="s">
        <v>63</v>
      </c>
      <c r="R1837" s="4" t="s">
        <v>63</v>
      </c>
      <c r="S1837" s="4" t="s">
        <v>63</v>
      </c>
      <c r="T1837" s="4" t="s">
        <v>63</v>
      </c>
      <c r="U1837" s="4"/>
      <c r="V1837" s="4"/>
      <c r="W1837" s="4"/>
      <c r="X1837" s="4" t="s">
        <v>63</v>
      </c>
      <c r="Y1837" s="4" t="s">
        <v>15932</v>
      </c>
      <c r="Z1837" s="4" t="s">
        <v>63</v>
      </c>
      <c r="AA1837" s="4" t="s">
        <v>63</v>
      </c>
      <c r="AB1837" s="4" t="s">
        <v>15933</v>
      </c>
      <c r="AC1837" s="4" t="s">
        <v>15934</v>
      </c>
      <c r="AD1837" s="4" t="s">
        <v>63</v>
      </c>
      <c r="AE1837" s="4" t="s">
        <v>63</v>
      </c>
      <c r="AF1837" s="4" t="s">
        <v>63</v>
      </c>
      <c r="AG1837" s="4" t="s">
        <v>63</v>
      </c>
      <c r="AH1837" s="4" t="s">
        <v>63</v>
      </c>
      <c r="AI1837" s="4" t="s">
        <v>15935</v>
      </c>
      <c r="AJ1837" s="4" t="s">
        <v>63</v>
      </c>
      <c r="AK1837" s="4" t="s">
        <v>63</v>
      </c>
      <c r="AL1837" s="4" t="s">
        <v>63</v>
      </c>
      <c r="AM1837" s="4" t="s">
        <v>15928</v>
      </c>
      <c r="AN1837" s="4" t="s">
        <v>63</v>
      </c>
      <c r="AO1837" s="4" t="s">
        <v>63</v>
      </c>
      <c r="AP1837" s="4" t="s">
        <v>63</v>
      </c>
      <c r="AQ1837" s="4" t="s">
        <v>63</v>
      </c>
      <c r="AR1837" s="4" t="s">
        <v>63</v>
      </c>
      <c r="AS1837" s="4" t="s">
        <v>63</v>
      </c>
      <c r="AT1837" s="4" t="s">
        <v>63</v>
      </c>
      <c r="AU1837" s="4" t="s">
        <v>63</v>
      </c>
      <c r="AV1837" s="4" t="s">
        <v>63</v>
      </c>
      <c r="AW1837" s="4" t="s">
        <v>63</v>
      </c>
      <c r="AX1837" s="4" t="s">
        <v>63</v>
      </c>
      <c r="AY1837" s="4" t="s">
        <v>63</v>
      </c>
      <c r="AZ1837" s="4" t="s">
        <v>63</v>
      </c>
      <c r="BA1837" s="4" t="s">
        <v>63</v>
      </c>
      <c r="BB1837" s="4" t="s">
        <v>63</v>
      </c>
      <c r="BC1837" s="4" t="s">
        <v>63</v>
      </c>
      <c r="BD1837" s="4" t="s">
        <v>63</v>
      </c>
      <c r="BE1837" s="4" t="s">
        <v>63</v>
      </c>
      <c r="BF1837" s="4" t="s">
        <v>63</v>
      </c>
    </row>
    <row r="1838" spans="1:58">
      <c r="A1838" s="4" t="s">
        <v>58</v>
      </c>
      <c r="B1838" s="4" t="s">
        <v>15936</v>
      </c>
      <c r="C1838" s="4" t="s">
        <v>15937</v>
      </c>
      <c r="D1838" s="4" t="s">
        <v>1240</v>
      </c>
      <c r="E1838" s="4" t="s">
        <v>63</v>
      </c>
      <c r="F1838" s="4">
        <v>2007</v>
      </c>
      <c r="G1838" s="4" t="s">
        <v>15665</v>
      </c>
      <c r="H1838" s="4">
        <v>57</v>
      </c>
      <c r="I1838" s="4">
        <v>535</v>
      </c>
      <c r="J1838" s="4">
        <v>101</v>
      </c>
      <c r="K1838" s="4">
        <v>109</v>
      </c>
      <c r="L1838" s="4" t="s">
        <v>15938</v>
      </c>
      <c r="M1838" s="4" t="s">
        <v>15939</v>
      </c>
      <c r="N1838" s="4" t="s">
        <v>15940</v>
      </c>
      <c r="O1838" s="4" t="s">
        <v>63</v>
      </c>
      <c r="P1838" s="4"/>
      <c r="Q1838" s="4" t="s">
        <v>63</v>
      </c>
      <c r="R1838" s="4" t="s">
        <v>63</v>
      </c>
      <c r="S1838" s="4" t="s">
        <v>63</v>
      </c>
      <c r="T1838" s="4" t="s">
        <v>63</v>
      </c>
      <c r="U1838" s="4"/>
      <c r="V1838" s="4"/>
      <c r="W1838" s="4"/>
      <c r="X1838" s="4" t="s">
        <v>63</v>
      </c>
      <c r="Y1838" s="4" t="s">
        <v>2376</v>
      </c>
      <c r="Z1838" s="4" t="s">
        <v>63</v>
      </c>
      <c r="AA1838" s="4" t="s">
        <v>63</v>
      </c>
      <c r="AB1838" s="4">
        <v>2007084699</v>
      </c>
      <c r="AC1838" s="4" t="s">
        <v>67</v>
      </c>
      <c r="AD1838" s="4" t="s">
        <v>63</v>
      </c>
      <c r="AE1838" s="4" t="s">
        <v>63</v>
      </c>
      <c r="AF1838" s="4" t="s">
        <v>63</v>
      </c>
      <c r="AG1838" s="4" t="s">
        <v>15941</v>
      </c>
      <c r="AH1838" s="4" t="s">
        <v>63</v>
      </c>
      <c r="AI1838" s="4" t="s">
        <v>63</v>
      </c>
      <c r="AJ1838" s="4" t="s">
        <v>63</v>
      </c>
      <c r="AK1838" s="4" t="s">
        <v>63</v>
      </c>
      <c r="AL1838" s="4" t="s">
        <v>63</v>
      </c>
      <c r="AM1838" s="4" t="s">
        <v>15942</v>
      </c>
      <c r="AN1838" s="4" t="s">
        <v>63</v>
      </c>
      <c r="AO1838" s="4" t="s">
        <v>63</v>
      </c>
      <c r="AP1838" s="4" t="s">
        <v>63</v>
      </c>
      <c r="AQ1838" s="4" t="s">
        <v>63</v>
      </c>
      <c r="AR1838" s="4" t="s">
        <v>63</v>
      </c>
      <c r="AS1838" s="4" t="s">
        <v>63</v>
      </c>
      <c r="AT1838" s="4" t="s">
        <v>63</v>
      </c>
      <c r="AU1838" s="4" t="s">
        <v>63</v>
      </c>
      <c r="AV1838" s="4" t="s">
        <v>63</v>
      </c>
      <c r="AW1838" s="4" t="s">
        <v>63</v>
      </c>
      <c r="AX1838" s="4" t="s">
        <v>63</v>
      </c>
      <c r="AY1838" s="4" t="s">
        <v>63</v>
      </c>
      <c r="AZ1838" s="4" t="s">
        <v>63</v>
      </c>
      <c r="BA1838" s="4" t="s">
        <v>63</v>
      </c>
      <c r="BB1838" s="4" t="s">
        <v>63</v>
      </c>
      <c r="BC1838" s="4" t="s">
        <v>63</v>
      </c>
      <c r="BD1838" s="4" t="s">
        <v>63</v>
      </c>
      <c r="BE1838" s="4" t="s">
        <v>63</v>
      </c>
      <c r="BF1838" s="4" t="s">
        <v>63</v>
      </c>
    </row>
    <row r="1839" spans="1:58">
      <c r="A1839" s="4" t="s">
        <v>58</v>
      </c>
      <c r="B1839" s="4" t="s">
        <v>15943</v>
      </c>
      <c r="C1839" s="4" t="s">
        <v>15944</v>
      </c>
      <c r="D1839" s="4" t="s">
        <v>1689</v>
      </c>
      <c r="E1839" s="4" t="s">
        <v>63</v>
      </c>
      <c r="F1839" s="4">
        <v>2012</v>
      </c>
      <c r="G1839" s="4" t="s">
        <v>15389</v>
      </c>
      <c r="H1839" s="4">
        <v>20</v>
      </c>
      <c r="I1839" s="4">
        <v>3</v>
      </c>
      <c r="J1839" s="4" t="s">
        <v>9267</v>
      </c>
      <c r="K1839" s="4" t="s">
        <v>15945</v>
      </c>
      <c r="L1839" s="4" t="s">
        <v>15946</v>
      </c>
      <c r="M1839" s="4" t="s">
        <v>15947</v>
      </c>
      <c r="N1839" s="4" t="s">
        <v>15948</v>
      </c>
      <c r="O1839" s="4" t="s">
        <v>63</v>
      </c>
      <c r="P1839" s="4"/>
      <c r="Q1839" s="4" t="s">
        <v>63</v>
      </c>
      <c r="R1839" s="4" t="s">
        <v>63</v>
      </c>
      <c r="S1839" s="4" t="s">
        <v>63</v>
      </c>
      <c r="T1839" s="4" t="s">
        <v>63</v>
      </c>
      <c r="U1839" s="4"/>
      <c r="V1839" s="4"/>
      <c r="W1839" s="4"/>
      <c r="X1839" s="4" t="s">
        <v>63</v>
      </c>
      <c r="Y1839" s="4" t="s">
        <v>15686</v>
      </c>
      <c r="Z1839" s="4" t="s">
        <v>63</v>
      </c>
      <c r="AA1839" s="4" t="s">
        <v>63</v>
      </c>
      <c r="AB1839" s="4" t="s">
        <v>63</v>
      </c>
      <c r="AC1839" s="4" t="s">
        <v>67</v>
      </c>
      <c r="AD1839" s="4" t="s">
        <v>63</v>
      </c>
      <c r="AE1839" s="4" t="s">
        <v>63</v>
      </c>
      <c r="AF1839" s="4" t="s">
        <v>63</v>
      </c>
      <c r="AG1839" s="4" t="s">
        <v>63</v>
      </c>
      <c r="AH1839" s="4" t="s">
        <v>63</v>
      </c>
      <c r="AI1839" s="4" t="s">
        <v>15949</v>
      </c>
      <c r="AJ1839" s="4" t="s">
        <v>63</v>
      </c>
      <c r="AK1839" s="4" t="s">
        <v>63</v>
      </c>
      <c r="AL1839" s="4" t="s">
        <v>63</v>
      </c>
      <c r="AM1839" s="4" t="s">
        <v>15944</v>
      </c>
      <c r="AN1839" s="4" t="s">
        <v>63</v>
      </c>
      <c r="AO1839" s="4" t="s">
        <v>63</v>
      </c>
      <c r="AP1839" s="4" t="s">
        <v>63</v>
      </c>
      <c r="AQ1839" s="4" t="s">
        <v>63</v>
      </c>
      <c r="AR1839" s="4" t="s">
        <v>63</v>
      </c>
      <c r="AS1839" s="4" t="s">
        <v>63</v>
      </c>
      <c r="AT1839" s="4" t="s">
        <v>63</v>
      </c>
      <c r="AU1839" s="4" t="s">
        <v>63</v>
      </c>
      <c r="AV1839" s="4" t="s">
        <v>63</v>
      </c>
      <c r="AW1839" s="4" t="s">
        <v>63</v>
      </c>
      <c r="AX1839" s="4" t="s">
        <v>63</v>
      </c>
      <c r="AY1839" s="4" t="s">
        <v>63</v>
      </c>
      <c r="AZ1839" s="4" t="s">
        <v>63</v>
      </c>
      <c r="BA1839" s="4" t="s">
        <v>63</v>
      </c>
      <c r="BB1839" s="4" t="s">
        <v>63</v>
      </c>
      <c r="BC1839" s="4" t="s">
        <v>63</v>
      </c>
      <c r="BD1839" s="4" t="s">
        <v>63</v>
      </c>
      <c r="BE1839" s="4" t="s">
        <v>63</v>
      </c>
      <c r="BF1839" s="4" t="s">
        <v>63</v>
      </c>
    </row>
    <row r="1840" spans="1:58">
      <c r="A1840" s="4" t="s">
        <v>58</v>
      </c>
      <c r="B1840" s="4" t="s">
        <v>15950</v>
      </c>
      <c r="C1840" s="4" t="s">
        <v>15951</v>
      </c>
      <c r="D1840" s="4" t="s">
        <v>1689</v>
      </c>
      <c r="E1840" s="4" t="s">
        <v>63</v>
      </c>
      <c r="F1840" s="4">
        <v>2011</v>
      </c>
      <c r="G1840" s="4" t="s">
        <v>15389</v>
      </c>
      <c r="H1840" s="4">
        <v>19</v>
      </c>
      <c r="I1840" s="4">
        <v>3</v>
      </c>
      <c r="J1840" s="4" t="s">
        <v>15591</v>
      </c>
      <c r="K1840" s="4" t="s">
        <v>15952</v>
      </c>
      <c r="L1840" s="4" t="s">
        <v>15953</v>
      </c>
      <c r="M1840" s="4" t="s">
        <v>15954</v>
      </c>
      <c r="N1840" s="4" t="s">
        <v>15955</v>
      </c>
      <c r="O1840" s="4" t="s">
        <v>63</v>
      </c>
      <c r="P1840" s="4"/>
      <c r="Q1840" s="4" t="s">
        <v>63</v>
      </c>
      <c r="R1840" s="4" t="s">
        <v>63</v>
      </c>
      <c r="S1840" s="4" t="s">
        <v>63</v>
      </c>
      <c r="T1840" s="4" t="s">
        <v>63</v>
      </c>
      <c r="U1840" s="4"/>
      <c r="V1840" s="4"/>
      <c r="W1840" s="4"/>
      <c r="X1840" s="4" t="s">
        <v>63</v>
      </c>
      <c r="Y1840" s="4" t="s">
        <v>15686</v>
      </c>
      <c r="Z1840" s="4" t="s">
        <v>63</v>
      </c>
      <c r="AA1840" s="4" t="s">
        <v>63</v>
      </c>
      <c r="AB1840" s="4" t="s">
        <v>63</v>
      </c>
      <c r="AC1840" s="4" t="s">
        <v>67</v>
      </c>
      <c r="AD1840" s="4" t="s">
        <v>63</v>
      </c>
      <c r="AE1840" s="4" t="s">
        <v>63</v>
      </c>
      <c r="AF1840" s="4" t="s">
        <v>63</v>
      </c>
      <c r="AG1840" s="4" t="s">
        <v>63</v>
      </c>
      <c r="AH1840" s="4" t="s">
        <v>63</v>
      </c>
      <c r="AI1840" s="4" t="s">
        <v>15956</v>
      </c>
      <c r="AJ1840" s="4" t="s">
        <v>63</v>
      </c>
      <c r="AK1840" s="4" t="s">
        <v>63</v>
      </c>
      <c r="AL1840" s="4" t="s">
        <v>63</v>
      </c>
      <c r="AM1840" s="4" t="s">
        <v>15951</v>
      </c>
      <c r="AN1840" s="4" t="s">
        <v>63</v>
      </c>
      <c r="AO1840" s="4" t="s">
        <v>63</v>
      </c>
      <c r="AP1840" s="4" t="s">
        <v>63</v>
      </c>
      <c r="AQ1840" s="4" t="s">
        <v>63</v>
      </c>
      <c r="AR1840" s="4" t="s">
        <v>63</v>
      </c>
      <c r="AS1840" s="4" t="s">
        <v>63</v>
      </c>
      <c r="AT1840" s="4" t="s">
        <v>63</v>
      </c>
      <c r="AU1840" s="4" t="s">
        <v>63</v>
      </c>
      <c r="AV1840" s="4" t="s">
        <v>63</v>
      </c>
      <c r="AW1840" s="4" t="s">
        <v>63</v>
      </c>
      <c r="AX1840" s="4" t="s">
        <v>63</v>
      </c>
      <c r="AY1840" s="4" t="s">
        <v>63</v>
      </c>
      <c r="AZ1840" s="4" t="s">
        <v>63</v>
      </c>
      <c r="BA1840" s="4" t="s">
        <v>63</v>
      </c>
      <c r="BB1840" s="4" t="s">
        <v>63</v>
      </c>
      <c r="BC1840" s="4" t="s">
        <v>63</v>
      </c>
      <c r="BD1840" s="4" t="s">
        <v>63</v>
      </c>
      <c r="BE1840" s="4" t="s">
        <v>63</v>
      </c>
      <c r="BF1840" s="4" t="s">
        <v>63</v>
      </c>
    </row>
    <row r="1841" spans="1:58">
      <c r="A1841" s="4" t="s">
        <v>58</v>
      </c>
      <c r="B1841" s="4" t="s">
        <v>15957</v>
      </c>
      <c r="C1841" s="4" t="s">
        <v>15958</v>
      </c>
      <c r="D1841" s="4" t="s">
        <v>2914</v>
      </c>
      <c r="E1841" s="4" t="s">
        <v>2915</v>
      </c>
      <c r="F1841" s="4">
        <v>1951</v>
      </c>
      <c r="G1841" s="4" t="s">
        <v>63</v>
      </c>
      <c r="H1841" s="4">
        <v>12</v>
      </c>
      <c r="I1841" s="4">
        <v>3</v>
      </c>
      <c r="J1841" s="4">
        <v>495</v>
      </c>
      <c r="K1841" s="4">
        <v>516</v>
      </c>
      <c r="L1841" s="4" t="s">
        <v>15959</v>
      </c>
      <c r="M1841" s="4" t="s">
        <v>15960</v>
      </c>
      <c r="N1841" s="4" t="s">
        <v>15961</v>
      </c>
      <c r="O1841" s="4" t="s">
        <v>63</v>
      </c>
      <c r="P1841" s="4"/>
      <c r="Q1841" s="4" t="s">
        <v>63</v>
      </c>
      <c r="R1841" s="4" t="s">
        <v>63</v>
      </c>
      <c r="S1841" s="4" t="s">
        <v>63</v>
      </c>
      <c r="T1841" s="4" t="s">
        <v>63</v>
      </c>
      <c r="U1841" s="4"/>
      <c r="V1841" s="4"/>
      <c r="W1841" s="4"/>
      <c r="X1841" s="4" t="s">
        <v>63</v>
      </c>
      <c r="Y1841" s="4" t="s">
        <v>2918</v>
      </c>
      <c r="Z1841" s="4" t="s">
        <v>63</v>
      </c>
      <c r="AA1841" s="4" t="s">
        <v>63</v>
      </c>
      <c r="AB1841" s="4" t="s">
        <v>15962</v>
      </c>
      <c r="AC1841" s="4" t="s">
        <v>67</v>
      </c>
      <c r="AD1841" s="4" t="s">
        <v>63</v>
      </c>
      <c r="AE1841" s="4" t="s">
        <v>63</v>
      </c>
      <c r="AF1841" s="4" t="s">
        <v>63</v>
      </c>
      <c r="AG1841" s="4" t="s">
        <v>63</v>
      </c>
      <c r="AH1841" s="4" t="s">
        <v>63</v>
      </c>
      <c r="AI1841" s="4" t="s">
        <v>63</v>
      </c>
      <c r="AJ1841" s="4" t="s">
        <v>63</v>
      </c>
      <c r="AK1841" s="4" t="s">
        <v>63</v>
      </c>
      <c r="AL1841" s="4" t="s">
        <v>63</v>
      </c>
      <c r="AM1841" s="4" t="s">
        <v>15958</v>
      </c>
      <c r="AN1841" s="4" t="s">
        <v>63</v>
      </c>
      <c r="AO1841" s="4" t="s">
        <v>63</v>
      </c>
      <c r="AP1841" s="4" t="s">
        <v>63</v>
      </c>
      <c r="AQ1841" s="4" t="s">
        <v>63</v>
      </c>
      <c r="AR1841" s="4" t="s">
        <v>63</v>
      </c>
      <c r="AS1841" s="4" t="s">
        <v>63</v>
      </c>
      <c r="AT1841" s="4" t="s">
        <v>63</v>
      </c>
      <c r="AU1841" s="4" t="s">
        <v>63</v>
      </c>
      <c r="AV1841" s="4" t="s">
        <v>63</v>
      </c>
      <c r="AW1841" s="4" t="s">
        <v>63</v>
      </c>
      <c r="AX1841" s="4" t="s">
        <v>63</v>
      </c>
      <c r="AY1841" s="4" t="s">
        <v>63</v>
      </c>
      <c r="AZ1841" s="4" t="s">
        <v>63</v>
      </c>
      <c r="BA1841" s="4" t="s">
        <v>63</v>
      </c>
      <c r="BB1841" s="4" t="s">
        <v>63</v>
      </c>
      <c r="BC1841" s="4" t="s">
        <v>63</v>
      </c>
      <c r="BD1841" s="4" t="s">
        <v>63</v>
      </c>
      <c r="BE1841" s="4" t="s">
        <v>63</v>
      </c>
      <c r="BF1841" s="4" t="s">
        <v>63</v>
      </c>
    </row>
    <row r="1842" spans="1:58">
      <c r="A1842" s="4" t="s">
        <v>58</v>
      </c>
      <c r="B1842" s="4" t="s">
        <v>15963</v>
      </c>
      <c r="C1842" s="4" t="s">
        <v>15964</v>
      </c>
      <c r="D1842" s="4" t="s">
        <v>15965</v>
      </c>
      <c r="E1842" s="4" t="s">
        <v>63</v>
      </c>
      <c r="F1842" s="4">
        <v>2013</v>
      </c>
      <c r="G1842" s="4" t="s">
        <v>63</v>
      </c>
      <c r="H1842" s="4">
        <v>110</v>
      </c>
      <c r="I1842" s="4">
        <v>4</v>
      </c>
      <c r="J1842" s="4">
        <v>128</v>
      </c>
      <c r="K1842" s="4">
        <v>129</v>
      </c>
      <c r="L1842" s="4" t="s">
        <v>15966</v>
      </c>
      <c r="M1842" s="4" t="s">
        <v>63</v>
      </c>
      <c r="N1842" s="4" t="s">
        <v>15967</v>
      </c>
      <c r="O1842" s="4" t="s">
        <v>63</v>
      </c>
      <c r="P1842" s="4"/>
      <c r="Q1842" s="4" t="s">
        <v>63</v>
      </c>
      <c r="R1842" s="4" t="s">
        <v>63</v>
      </c>
      <c r="S1842" s="4" t="s">
        <v>63</v>
      </c>
      <c r="T1842" s="4" t="s">
        <v>63</v>
      </c>
      <c r="U1842" s="4"/>
      <c r="V1842" s="4"/>
      <c r="W1842" s="4"/>
      <c r="X1842" s="4" t="s">
        <v>63</v>
      </c>
      <c r="Y1842" s="4" t="s">
        <v>1442</v>
      </c>
      <c r="Z1842" s="4" t="s">
        <v>63</v>
      </c>
      <c r="AA1842" s="4" t="s">
        <v>63</v>
      </c>
      <c r="AB1842" s="4" t="s">
        <v>63</v>
      </c>
      <c r="AC1842" s="4" t="s">
        <v>1444</v>
      </c>
      <c r="AD1842" s="4" t="s">
        <v>63</v>
      </c>
      <c r="AE1842" s="4" t="s">
        <v>63</v>
      </c>
      <c r="AF1842" s="4" t="s">
        <v>63</v>
      </c>
      <c r="AG1842" s="4" t="s">
        <v>15968</v>
      </c>
      <c r="AH1842" s="4" t="s">
        <v>63</v>
      </c>
      <c r="AI1842" s="4" t="s">
        <v>63</v>
      </c>
      <c r="AJ1842" s="4" t="s">
        <v>63</v>
      </c>
      <c r="AK1842" s="4" t="s">
        <v>63</v>
      </c>
      <c r="AL1842" s="4" t="s">
        <v>63</v>
      </c>
      <c r="AM1842" s="4" t="s">
        <v>15969</v>
      </c>
      <c r="AN1842" s="4" t="s">
        <v>63</v>
      </c>
      <c r="AO1842" s="4" t="s">
        <v>63</v>
      </c>
      <c r="AP1842" s="4" t="s">
        <v>63</v>
      </c>
      <c r="AQ1842" s="4" t="s">
        <v>63</v>
      </c>
      <c r="AR1842" s="4" t="s">
        <v>63</v>
      </c>
      <c r="AS1842" s="4" t="s">
        <v>63</v>
      </c>
      <c r="AT1842" s="4" t="s">
        <v>63</v>
      </c>
      <c r="AU1842" s="4" t="s">
        <v>63</v>
      </c>
      <c r="AV1842" s="4" t="s">
        <v>63</v>
      </c>
      <c r="AW1842" s="4" t="s">
        <v>63</v>
      </c>
      <c r="AX1842" s="4" t="s">
        <v>63</v>
      </c>
      <c r="AY1842" s="4" t="s">
        <v>63</v>
      </c>
      <c r="AZ1842" s="4" t="s">
        <v>63</v>
      </c>
      <c r="BA1842" s="4" t="s">
        <v>63</v>
      </c>
      <c r="BB1842" s="4" t="s">
        <v>63</v>
      </c>
      <c r="BC1842" s="4" t="s">
        <v>63</v>
      </c>
      <c r="BD1842" s="4" t="s">
        <v>63</v>
      </c>
      <c r="BE1842" s="4" t="s">
        <v>63</v>
      </c>
      <c r="BF1842" s="4" t="s">
        <v>63</v>
      </c>
    </row>
    <row r="1843" spans="1:58">
      <c r="A1843" s="4" t="s">
        <v>58</v>
      </c>
      <c r="B1843" s="4" t="s">
        <v>15970</v>
      </c>
      <c r="C1843" s="4" t="s">
        <v>15971</v>
      </c>
      <c r="D1843" s="4" t="s">
        <v>15972</v>
      </c>
      <c r="E1843" s="4" t="s">
        <v>15973</v>
      </c>
      <c r="F1843" s="4">
        <v>1996</v>
      </c>
      <c r="G1843" s="4" t="s">
        <v>63</v>
      </c>
      <c r="H1843" s="4">
        <v>12</v>
      </c>
      <c r="I1843" s="4">
        <v>1</v>
      </c>
      <c r="J1843" s="4">
        <v>1</v>
      </c>
      <c r="K1843" s="4">
        <v>3</v>
      </c>
      <c r="L1843" s="4" t="s">
        <v>15974</v>
      </c>
      <c r="M1843" s="4" t="s">
        <v>15975</v>
      </c>
      <c r="N1843" s="4" t="s">
        <v>15976</v>
      </c>
      <c r="O1843" s="4" t="s">
        <v>63</v>
      </c>
      <c r="P1843" s="4"/>
      <c r="Q1843" s="4" t="s">
        <v>63</v>
      </c>
      <c r="R1843" s="4" t="s">
        <v>63</v>
      </c>
      <c r="S1843" s="4" t="s">
        <v>63</v>
      </c>
      <c r="T1843" s="4" t="s">
        <v>63</v>
      </c>
      <c r="U1843" s="4"/>
      <c r="V1843" s="4"/>
      <c r="W1843" s="4"/>
      <c r="X1843" s="4" t="s">
        <v>63</v>
      </c>
      <c r="Y1843" s="4" t="s">
        <v>15977</v>
      </c>
      <c r="Z1843" s="4" t="s">
        <v>63</v>
      </c>
      <c r="AA1843" s="4" t="s">
        <v>63</v>
      </c>
      <c r="AB1843" s="4">
        <v>1996206849</v>
      </c>
      <c r="AC1843" s="4" t="s">
        <v>67</v>
      </c>
      <c r="AD1843" s="4" t="s">
        <v>63</v>
      </c>
      <c r="AE1843" s="4" t="s">
        <v>63</v>
      </c>
      <c r="AF1843" s="4" t="s">
        <v>63</v>
      </c>
      <c r="AG1843" s="4" t="s">
        <v>15978</v>
      </c>
      <c r="AH1843" s="4" t="s">
        <v>63</v>
      </c>
      <c r="AI1843" s="4" t="s">
        <v>15979</v>
      </c>
      <c r="AJ1843" s="4" t="s">
        <v>63</v>
      </c>
      <c r="AK1843" s="4" t="s">
        <v>63</v>
      </c>
      <c r="AL1843" s="4" t="s">
        <v>63</v>
      </c>
      <c r="AM1843" s="4" t="s">
        <v>15980</v>
      </c>
      <c r="AN1843" s="4" t="s">
        <v>63</v>
      </c>
      <c r="AO1843" s="4" t="s">
        <v>63</v>
      </c>
      <c r="AP1843" s="4" t="s">
        <v>63</v>
      </c>
      <c r="AQ1843" s="4" t="s">
        <v>63</v>
      </c>
      <c r="AR1843" s="4" t="s">
        <v>63</v>
      </c>
      <c r="AS1843" s="4" t="s">
        <v>63</v>
      </c>
      <c r="AT1843" s="4" t="s">
        <v>63</v>
      </c>
      <c r="AU1843" s="4" t="s">
        <v>63</v>
      </c>
      <c r="AV1843" s="4" t="s">
        <v>63</v>
      </c>
      <c r="AW1843" s="4" t="s">
        <v>63</v>
      </c>
      <c r="AX1843" s="4" t="s">
        <v>63</v>
      </c>
      <c r="AY1843" s="4" t="s">
        <v>63</v>
      </c>
      <c r="AZ1843" s="4" t="s">
        <v>63</v>
      </c>
      <c r="BA1843" s="4" t="s">
        <v>63</v>
      </c>
      <c r="BB1843" s="4" t="s">
        <v>63</v>
      </c>
      <c r="BC1843" s="4" t="s">
        <v>63</v>
      </c>
      <c r="BD1843" s="4" t="s">
        <v>63</v>
      </c>
      <c r="BE1843" s="4" t="s">
        <v>63</v>
      </c>
      <c r="BF1843" s="4" t="s">
        <v>63</v>
      </c>
    </row>
    <row r="1844" spans="1:58">
      <c r="A1844" s="4" t="s">
        <v>58</v>
      </c>
      <c r="B1844" s="4" t="s">
        <v>15981</v>
      </c>
      <c r="C1844" s="4" t="s">
        <v>15982</v>
      </c>
      <c r="D1844" s="4" t="s">
        <v>15263</v>
      </c>
      <c r="E1844" s="4" t="s">
        <v>15264</v>
      </c>
      <c r="F1844" s="4">
        <v>2015</v>
      </c>
      <c r="G1844" s="4">
        <v>1</v>
      </c>
      <c r="H1844" s="4">
        <v>156</v>
      </c>
      <c r="I1844" s="4" t="s">
        <v>63</v>
      </c>
      <c r="J1844" s="4" t="s">
        <v>15983</v>
      </c>
      <c r="K1844" s="4" t="s">
        <v>15984</v>
      </c>
      <c r="L1844" s="4" t="s">
        <v>15985</v>
      </c>
      <c r="M1844" s="4" t="s">
        <v>15986</v>
      </c>
      <c r="N1844" s="4" t="s">
        <v>15987</v>
      </c>
      <c r="O1844" s="4" t="s">
        <v>63</v>
      </c>
      <c r="P1844" s="4"/>
      <c r="Q1844" s="4" t="s">
        <v>63</v>
      </c>
      <c r="R1844" s="4" t="s">
        <v>63</v>
      </c>
      <c r="S1844" s="4" t="s">
        <v>63</v>
      </c>
      <c r="T1844" s="4" t="s">
        <v>63</v>
      </c>
      <c r="U1844" s="4"/>
      <c r="V1844" s="4"/>
      <c r="W1844" s="4"/>
      <c r="X1844" s="4" t="s">
        <v>63</v>
      </c>
      <c r="Y1844" s="4" t="s">
        <v>4942</v>
      </c>
      <c r="Z1844" s="4" t="s">
        <v>63</v>
      </c>
      <c r="AA1844" s="4" t="s">
        <v>63</v>
      </c>
      <c r="AB1844" s="4" t="s">
        <v>63</v>
      </c>
      <c r="AC1844" s="4" t="s">
        <v>67</v>
      </c>
      <c r="AD1844" s="4" t="s">
        <v>63</v>
      </c>
      <c r="AE1844" s="4" t="s">
        <v>63</v>
      </c>
      <c r="AF1844" s="4" t="s">
        <v>63</v>
      </c>
      <c r="AG1844" s="4" t="s">
        <v>63</v>
      </c>
      <c r="AH1844" s="4" t="s">
        <v>63</v>
      </c>
      <c r="AI1844" s="4" t="s">
        <v>15988</v>
      </c>
      <c r="AJ1844" s="4" t="s">
        <v>63</v>
      </c>
      <c r="AK1844" s="4" t="s">
        <v>63</v>
      </c>
      <c r="AL1844" s="4" t="s">
        <v>63</v>
      </c>
      <c r="AM1844" s="4" t="s">
        <v>15982</v>
      </c>
      <c r="AN1844" s="4" t="s">
        <v>63</v>
      </c>
      <c r="AO1844" s="4" t="s">
        <v>63</v>
      </c>
      <c r="AP1844" s="4" t="s">
        <v>63</v>
      </c>
      <c r="AQ1844" s="4" t="s">
        <v>63</v>
      </c>
      <c r="AR1844" s="4" t="s">
        <v>63</v>
      </c>
      <c r="AS1844" s="4" t="s">
        <v>63</v>
      </c>
      <c r="AT1844" s="4" t="s">
        <v>63</v>
      </c>
      <c r="AU1844" s="4" t="s">
        <v>63</v>
      </c>
      <c r="AV1844" s="4" t="s">
        <v>63</v>
      </c>
      <c r="AW1844" s="4" t="s">
        <v>63</v>
      </c>
      <c r="AX1844" s="4" t="s">
        <v>63</v>
      </c>
      <c r="AY1844" s="4" t="s">
        <v>63</v>
      </c>
      <c r="AZ1844" s="4" t="s">
        <v>63</v>
      </c>
      <c r="BA1844" s="4" t="s">
        <v>63</v>
      </c>
      <c r="BB1844" s="4" t="s">
        <v>63</v>
      </c>
      <c r="BC1844" s="4" t="s">
        <v>63</v>
      </c>
      <c r="BD1844" s="4" t="s">
        <v>63</v>
      </c>
      <c r="BE1844" s="4" t="s">
        <v>63</v>
      </c>
      <c r="BF1844" s="4" t="s">
        <v>63</v>
      </c>
    </row>
    <row r="1845" spans="1:58">
      <c r="A1845" s="4" t="s">
        <v>58</v>
      </c>
      <c r="B1845" s="4" t="s">
        <v>15989</v>
      </c>
      <c r="C1845" s="4" t="s">
        <v>15990</v>
      </c>
      <c r="D1845" s="4" t="s">
        <v>15421</v>
      </c>
      <c r="E1845" s="4" t="s">
        <v>63</v>
      </c>
      <c r="F1845" s="4">
        <v>2002</v>
      </c>
      <c r="G1845" s="4" t="s">
        <v>181</v>
      </c>
      <c r="H1845" s="4">
        <v>23</v>
      </c>
      <c r="I1845" s="4">
        <v>3</v>
      </c>
      <c r="J1845" s="4">
        <v>169</v>
      </c>
      <c r="K1845" s="4">
        <v>183</v>
      </c>
      <c r="L1845" s="4" t="s">
        <v>15991</v>
      </c>
      <c r="M1845" s="4" t="s">
        <v>63</v>
      </c>
      <c r="N1845" s="4" t="s">
        <v>15992</v>
      </c>
      <c r="O1845" s="4" t="s">
        <v>63</v>
      </c>
      <c r="P1845" s="4"/>
      <c r="Q1845" s="4" t="s">
        <v>63</v>
      </c>
      <c r="R1845" s="4" t="s">
        <v>63</v>
      </c>
      <c r="S1845" s="4" t="s">
        <v>63</v>
      </c>
      <c r="T1845" s="4" t="s">
        <v>63</v>
      </c>
      <c r="U1845" s="4"/>
      <c r="V1845" s="4"/>
      <c r="W1845" s="4"/>
      <c r="X1845" s="4" t="s">
        <v>63</v>
      </c>
      <c r="Y1845" s="4" t="s">
        <v>392</v>
      </c>
      <c r="Z1845" s="4" t="s">
        <v>63</v>
      </c>
      <c r="AA1845" s="4" t="s">
        <v>63</v>
      </c>
      <c r="AB1845" s="4" t="s">
        <v>63</v>
      </c>
      <c r="AC1845" s="4" t="s">
        <v>67</v>
      </c>
      <c r="AD1845" s="4" t="s">
        <v>63</v>
      </c>
      <c r="AE1845" s="4" t="s">
        <v>63</v>
      </c>
      <c r="AF1845" s="4" t="s">
        <v>63</v>
      </c>
      <c r="AG1845" s="4" t="s">
        <v>15993</v>
      </c>
      <c r="AH1845" s="4" t="s">
        <v>63</v>
      </c>
      <c r="AI1845" s="4" t="s">
        <v>63</v>
      </c>
      <c r="AJ1845" s="4" t="s">
        <v>63</v>
      </c>
      <c r="AK1845" s="4" t="s">
        <v>63</v>
      </c>
      <c r="AL1845" s="4" t="s">
        <v>63</v>
      </c>
      <c r="AM1845" s="4" t="s">
        <v>15994</v>
      </c>
      <c r="AN1845" s="4" t="s">
        <v>63</v>
      </c>
      <c r="AO1845" s="4" t="s">
        <v>63</v>
      </c>
      <c r="AP1845" s="4" t="s">
        <v>63</v>
      </c>
      <c r="AQ1845" s="4" t="s">
        <v>63</v>
      </c>
      <c r="AR1845" s="4" t="s">
        <v>63</v>
      </c>
      <c r="AS1845" s="4" t="s">
        <v>63</v>
      </c>
      <c r="AT1845" s="4" t="s">
        <v>63</v>
      </c>
      <c r="AU1845" s="4" t="s">
        <v>63</v>
      </c>
      <c r="AV1845" s="4" t="s">
        <v>63</v>
      </c>
      <c r="AW1845" s="4" t="s">
        <v>63</v>
      </c>
      <c r="AX1845" s="4" t="s">
        <v>63</v>
      </c>
      <c r="AY1845" s="4" t="s">
        <v>63</v>
      </c>
      <c r="AZ1845" s="4" t="s">
        <v>63</v>
      </c>
      <c r="BA1845" s="4" t="s">
        <v>63</v>
      </c>
      <c r="BB1845" s="4" t="s">
        <v>63</v>
      </c>
      <c r="BC1845" s="4" t="s">
        <v>63</v>
      </c>
      <c r="BD1845" s="4" t="s">
        <v>63</v>
      </c>
      <c r="BE1845" s="4" t="s">
        <v>63</v>
      </c>
      <c r="BF1845" s="4" t="s">
        <v>63</v>
      </c>
    </row>
    <row r="1846" spans="1:58">
      <c r="A1846" s="4" t="s">
        <v>58</v>
      </c>
      <c r="B1846" s="4" t="s">
        <v>15995</v>
      </c>
      <c r="C1846" s="4" t="s">
        <v>15996</v>
      </c>
      <c r="D1846" s="4" t="s">
        <v>1212</v>
      </c>
      <c r="E1846" s="4" t="s">
        <v>63</v>
      </c>
      <c r="F1846" s="4">
        <v>2013</v>
      </c>
      <c r="G1846" s="4" t="s">
        <v>15997</v>
      </c>
      <c r="H1846" s="4">
        <v>7</v>
      </c>
      <c r="I1846" s="4">
        <v>6</v>
      </c>
      <c r="J1846" s="4">
        <v>439</v>
      </c>
      <c r="K1846" s="4">
        <v>446</v>
      </c>
      <c r="L1846" s="4" t="s">
        <v>15998</v>
      </c>
      <c r="M1846" s="4" t="s">
        <v>15999</v>
      </c>
      <c r="N1846" s="4" t="s">
        <v>16000</v>
      </c>
      <c r="O1846" s="4" t="s">
        <v>63</v>
      </c>
      <c r="P1846" s="4"/>
      <c r="Q1846" s="4" t="s">
        <v>63</v>
      </c>
      <c r="R1846" s="4" t="s">
        <v>63</v>
      </c>
      <c r="S1846" s="4" t="s">
        <v>63</v>
      </c>
      <c r="T1846" s="4" t="s">
        <v>63</v>
      </c>
      <c r="U1846" s="4"/>
      <c r="V1846" s="4"/>
      <c r="W1846" s="4"/>
      <c r="X1846" s="4" t="s">
        <v>63</v>
      </c>
      <c r="Y1846" s="4" t="s">
        <v>15530</v>
      </c>
      <c r="Z1846" s="4" t="s">
        <v>63</v>
      </c>
      <c r="AA1846" s="4" t="s">
        <v>63</v>
      </c>
      <c r="AB1846" s="4">
        <v>2013728219</v>
      </c>
      <c r="AC1846" s="4" t="s">
        <v>67</v>
      </c>
      <c r="AD1846" s="4" t="s">
        <v>63</v>
      </c>
      <c r="AE1846" s="4" t="s">
        <v>63</v>
      </c>
      <c r="AF1846" s="4" t="s">
        <v>63</v>
      </c>
      <c r="AG1846" s="4" t="s">
        <v>16001</v>
      </c>
      <c r="AH1846" s="4" t="s">
        <v>63</v>
      </c>
      <c r="AI1846" s="4" t="s">
        <v>16002</v>
      </c>
      <c r="AJ1846" s="4" t="s">
        <v>63</v>
      </c>
      <c r="AK1846" s="4" t="s">
        <v>63</v>
      </c>
      <c r="AL1846" s="4" t="s">
        <v>63</v>
      </c>
      <c r="AM1846" s="4" t="s">
        <v>16003</v>
      </c>
      <c r="AN1846" s="4" t="s">
        <v>63</v>
      </c>
      <c r="AO1846" s="4" t="s">
        <v>63</v>
      </c>
      <c r="AP1846" s="4" t="s">
        <v>63</v>
      </c>
      <c r="AQ1846" s="4" t="s">
        <v>63</v>
      </c>
      <c r="AR1846" s="4" t="s">
        <v>63</v>
      </c>
      <c r="AS1846" s="4" t="s">
        <v>63</v>
      </c>
      <c r="AT1846" s="4" t="s">
        <v>63</v>
      </c>
      <c r="AU1846" s="4" t="s">
        <v>63</v>
      </c>
      <c r="AV1846" s="4" t="s">
        <v>63</v>
      </c>
      <c r="AW1846" s="4" t="s">
        <v>63</v>
      </c>
      <c r="AX1846" s="4" t="s">
        <v>63</v>
      </c>
      <c r="AY1846" s="4" t="s">
        <v>63</v>
      </c>
      <c r="AZ1846" s="4" t="s">
        <v>63</v>
      </c>
      <c r="BA1846" s="4" t="s">
        <v>63</v>
      </c>
      <c r="BB1846" s="4" t="s">
        <v>63</v>
      </c>
      <c r="BC1846" s="4" t="s">
        <v>63</v>
      </c>
      <c r="BD1846" s="4" t="s">
        <v>63</v>
      </c>
      <c r="BE1846" s="4" t="s">
        <v>63</v>
      </c>
      <c r="BF1846" s="4" t="s">
        <v>63</v>
      </c>
    </row>
    <row r="1847" spans="1:58">
      <c r="A1847" s="4" t="s">
        <v>58</v>
      </c>
      <c r="B1847" s="4" t="s">
        <v>16004</v>
      </c>
      <c r="C1847" s="4" t="s">
        <v>16005</v>
      </c>
      <c r="D1847" s="4" t="s">
        <v>15482</v>
      </c>
      <c r="E1847" s="4" t="s">
        <v>63</v>
      </c>
      <c r="F1847" s="4">
        <v>2009</v>
      </c>
      <c r="G1847" s="4" t="s">
        <v>15155</v>
      </c>
      <c r="H1847" s="4" t="s">
        <v>15483</v>
      </c>
      <c r="I1847" s="4" t="s">
        <v>63</v>
      </c>
      <c r="J1847" s="4" t="s">
        <v>16006</v>
      </c>
      <c r="K1847" s="4" t="s">
        <v>63</v>
      </c>
      <c r="L1847" s="4" t="s">
        <v>16007</v>
      </c>
      <c r="M1847" s="4" t="s">
        <v>16008</v>
      </c>
      <c r="N1847" s="4" t="s">
        <v>16009</v>
      </c>
      <c r="O1847" s="4" t="s">
        <v>63</v>
      </c>
      <c r="P1847" s="4"/>
      <c r="Q1847" s="4" t="s">
        <v>63</v>
      </c>
      <c r="R1847" s="4" t="s">
        <v>63</v>
      </c>
      <c r="S1847" s="4" t="s">
        <v>63</v>
      </c>
      <c r="T1847" s="4" t="s">
        <v>63</v>
      </c>
      <c r="U1847" s="4"/>
      <c r="V1847" s="4"/>
      <c r="W1847" s="4"/>
      <c r="X1847" s="4" t="s">
        <v>63</v>
      </c>
      <c r="Y1847" s="4" t="s">
        <v>4853</v>
      </c>
      <c r="Z1847" s="4" t="s">
        <v>63</v>
      </c>
      <c r="AA1847" s="4" t="s">
        <v>63</v>
      </c>
      <c r="AB1847" s="4" t="s">
        <v>63</v>
      </c>
      <c r="AC1847" s="4" t="s">
        <v>67</v>
      </c>
      <c r="AD1847" s="4" t="s">
        <v>63</v>
      </c>
      <c r="AE1847" s="4" t="s">
        <v>63</v>
      </c>
      <c r="AF1847" s="4" t="s">
        <v>63</v>
      </c>
      <c r="AG1847" s="4" t="s">
        <v>63</v>
      </c>
      <c r="AH1847" s="4" t="s">
        <v>63</v>
      </c>
      <c r="AI1847" s="4" t="s">
        <v>15488</v>
      </c>
      <c r="AJ1847" s="4" t="s">
        <v>63</v>
      </c>
      <c r="AK1847" s="4" t="s">
        <v>63</v>
      </c>
      <c r="AL1847" s="4" t="s">
        <v>63</v>
      </c>
      <c r="AM1847" s="4" t="s">
        <v>16005</v>
      </c>
      <c r="AN1847" s="4" t="s">
        <v>63</v>
      </c>
      <c r="AO1847" s="4" t="s">
        <v>63</v>
      </c>
      <c r="AP1847" s="4" t="s">
        <v>63</v>
      </c>
      <c r="AQ1847" s="4" t="s">
        <v>63</v>
      </c>
      <c r="AR1847" s="4" t="s">
        <v>63</v>
      </c>
      <c r="AS1847" s="4" t="s">
        <v>63</v>
      </c>
      <c r="AT1847" s="4" t="s">
        <v>63</v>
      </c>
      <c r="AU1847" s="4" t="s">
        <v>63</v>
      </c>
      <c r="AV1847" s="4" t="s">
        <v>63</v>
      </c>
      <c r="AW1847" s="4" t="s">
        <v>63</v>
      </c>
      <c r="AX1847" s="4" t="s">
        <v>63</v>
      </c>
      <c r="AY1847" s="4" t="s">
        <v>63</v>
      </c>
      <c r="AZ1847" s="4" t="s">
        <v>63</v>
      </c>
      <c r="BA1847" s="4" t="s">
        <v>63</v>
      </c>
      <c r="BB1847" s="4" t="s">
        <v>63</v>
      </c>
      <c r="BC1847" s="4" t="s">
        <v>63</v>
      </c>
      <c r="BD1847" s="4" t="s">
        <v>63</v>
      </c>
      <c r="BE1847" s="4" t="s">
        <v>63</v>
      </c>
      <c r="BF1847" s="4" t="s">
        <v>63</v>
      </c>
    </row>
    <row r="1848" spans="1:58">
      <c r="A1848" s="4" t="s">
        <v>58</v>
      </c>
      <c r="B1848" s="4" t="s">
        <v>16010</v>
      </c>
      <c r="C1848" s="4" t="s">
        <v>16011</v>
      </c>
      <c r="D1848" s="4" t="s">
        <v>2166</v>
      </c>
      <c r="E1848" s="4" t="s">
        <v>2167</v>
      </c>
      <c r="F1848" s="4">
        <v>1975</v>
      </c>
      <c r="G1848" s="4" t="s">
        <v>63</v>
      </c>
      <c r="H1848" s="4">
        <v>58</v>
      </c>
      <c r="I1848" s="4">
        <v>9</v>
      </c>
      <c r="J1848" s="4">
        <v>391</v>
      </c>
      <c r="K1848" s="4" t="s">
        <v>16012</v>
      </c>
      <c r="L1848" s="4" t="s">
        <v>16013</v>
      </c>
      <c r="M1848" s="4" t="s">
        <v>63</v>
      </c>
      <c r="N1848" s="4" t="s">
        <v>16014</v>
      </c>
      <c r="O1848" s="4" t="s">
        <v>63</v>
      </c>
      <c r="P1848" s="4"/>
      <c r="Q1848" s="4" t="s">
        <v>63</v>
      </c>
      <c r="R1848" s="4" t="s">
        <v>63</v>
      </c>
      <c r="S1848" s="4" t="s">
        <v>63</v>
      </c>
      <c r="T1848" s="4" t="s">
        <v>63</v>
      </c>
      <c r="U1848" s="4"/>
      <c r="V1848" s="4"/>
      <c r="W1848" s="4"/>
      <c r="X1848" s="4" t="s">
        <v>63</v>
      </c>
      <c r="Y1848" s="4" t="s">
        <v>2170</v>
      </c>
      <c r="Z1848" s="4" t="s">
        <v>63</v>
      </c>
      <c r="AA1848" s="4" t="s">
        <v>63</v>
      </c>
      <c r="AB1848" s="4" t="s">
        <v>16015</v>
      </c>
      <c r="AC1848" s="4" t="s">
        <v>67</v>
      </c>
      <c r="AD1848" s="4" t="s">
        <v>63</v>
      </c>
      <c r="AE1848" s="4" t="s">
        <v>63</v>
      </c>
      <c r="AF1848" s="4" t="s">
        <v>63</v>
      </c>
      <c r="AG1848" s="4" t="s">
        <v>63</v>
      </c>
      <c r="AH1848" s="4" t="s">
        <v>63</v>
      </c>
      <c r="AI1848" s="4" t="s">
        <v>63</v>
      </c>
      <c r="AJ1848" s="4" t="s">
        <v>63</v>
      </c>
      <c r="AK1848" s="4" t="s">
        <v>63</v>
      </c>
      <c r="AL1848" s="4" t="s">
        <v>63</v>
      </c>
      <c r="AM1848" s="4" t="s">
        <v>16011</v>
      </c>
      <c r="AN1848" s="4" t="s">
        <v>63</v>
      </c>
      <c r="AO1848" s="4" t="s">
        <v>63</v>
      </c>
      <c r="AP1848" s="4" t="s">
        <v>63</v>
      </c>
      <c r="AQ1848" s="4" t="s">
        <v>63</v>
      </c>
      <c r="AR1848" s="4" t="s">
        <v>63</v>
      </c>
      <c r="AS1848" s="4" t="s">
        <v>63</v>
      </c>
      <c r="AT1848" s="4" t="s">
        <v>63</v>
      </c>
      <c r="AU1848" s="4" t="s">
        <v>63</v>
      </c>
      <c r="AV1848" s="4" t="s">
        <v>63</v>
      </c>
      <c r="AW1848" s="4" t="s">
        <v>63</v>
      </c>
      <c r="AX1848" s="4" t="s">
        <v>63</v>
      </c>
      <c r="AY1848" s="4" t="s">
        <v>63</v>
      </c>
      <c r="AZ1848" s="4" t="s">
        <v>63</v>
      </c>
      <c r="BA1848" s="4" t="s">
        <v>63</v>
      </c>
      <c r="BB1848" s="4" t="s">
        <v>63</v>
      </c>
      <c r="BC1848" s="4" t="s">
        <v>63</v>
      </c>
      <c r="BD1848" s="4" t="s">
        <v>63</v>
      </c>
      <c r="BE1848" s="4" t="s">
        <v>63</v>
      </c>
      <c r="BF1848" s="4" t="s">
        <v>63</v>
      </c>
    </row>
    <row r="1849" spans="1:58">
      <c r="A1849" s="4" t="s">
        <v>58</v>
      </c>
      <c r="B1849" s="4" t="s">
        <v>16016</v>
      </c>
      <c r="C1849" s="4" t="s">
        <v>16017</v>
      </c>
      <c r="D1849" s="4" t="s">
        <v>16018</v>
      </c>
      <c r="E1849" s="4" t="s">
        <v>63</v>
      </c>
      <c r="F1849" s="4">
        <v>2015</v>
      </c>
      <c r="G1849" s="4" t="s">
        <v>15165</v>
      </c>
      <c r="H1849" s="4">
        <v>14</v>
      </c>
      <c r="I1849" s="4">
        <v>2</v>
      </c>
      <c r="J1849" s="4" t="s">
        <v>16019</v>
      </c>
      <c r="K1849" s="4" t="s">
        <v>63</v>
      </c>
      <c r="L1849" s="4" t="s">
        <v>16020</v>
      </c>
      <c r="M1849" s="4" t="s">
        <v>16021</v>
      </c>
      <c r="N1849" s="4" t="s">
        <v>16022</v>
      </c>
      <c r="O1849" s="4" t="s">
        <v>63</v>
      </c>
      <c r="P1849" s="4"/>
      <c r="Q1849" s="4" t="s">
        <v>63</v>
      </c>
      <c r="R1849" s="4" t="s">
        <v>63</v>
      </c>
      <c r="S1849" s="4" t="s">
        <v>63</v>
      </c>
      <c r="T1849" s="4" t="s">
        <v>63</v>
      </c>
      <c r="U1849" s="4"/>
      <c r="V1849" s="4"/>
      <c r="W1849" s="4"/>
      <c r="X1849" s="4" t="s">
        <v>63</v>
      </c>
      <c r="Y1849" s="4" t="s">
        <v>16023</v>
      </c>
      <c r="Z1849" s="4" t="s">
        <v>63</v>
      </c>
      <c r="AA1849" s="4" t="s">
        <v>63</v>
      </c>
      <c r="AB1849" s="4" t="s">
        <v>63</v>
      </c>
      <c r="AC1849" s="4" t="s">
        <v>67</v>
      </c>
      <c r="AD1849" s="4" t="s">
        <v>63</v>
      </c>
      <c r="AE1849" s="4" t="s">
        <v>63</v>
      </c>
      <c r="AF1849" s="4" t="s">
        <v>63</v>
      </c>
      <c r="AG1849" s="4" t="s">
        <v>63</v>
      </c>
      <c r="AH1849" s="4" t="s">
        <v>63</v>
      </c>
      <c r="AI1849" s="4" t="s">
        <v>63</v>
      </c>
      <c r="AJ1849" s="4" t="s">
        <v>63</v>
      </c>
      <c r="AK1849" s="4" t="s">
        <v>63</v>
      </c>
      <c r="AL1849" s="4" t="s">
        <v>63</v>
      </c>
      <c r="AM1849" s="4" t="s">
        <v>16017</v>
      </c>
      <c r="AN1849" s="4" t="s">
        <v>63</v>
      </c>
      <c r="AO1849" s="4" t="s">
        <v>63</v>
      </c>
      <c r="AP1849" s="4" t="s">
        <v>63</v>
      </c>
      <c r="AQ1849" s="4" t="s">
        <v>63</v>
      </c>
      <c r="AR1849" s="4" t="s">
        <v>63</v>
      </c>
      <c r="AS1849" s="4" t="s">
        <v>63</v>
      </c>
      <c r="AT1849" s="4" t="s">
        <v>63</v>
      </c>
      <c r="AU1849" s="4" t="s">
        <v>63</v>
      </c>
      <c r="AV1849" s="4" t="s">
        <v>63</v>
      </c>
      <c r="AW1849" s="4" t="s">
        <v>63</v>
      </c>
      <c r="AX1849" s="4" t="s">
        <v>63</v>
      </c>
      <c r="AY1849" s="4" t="s">
        <v>63</v>
      </c>
      <c r="AZ1849" s="4" t="s">
        <v>63</v>
      </c>
      <c r="BA1849" s="4" t="s">
        <v>63</v>
      </c>
      <c r="BB1849" s="4" t="s">
        <v>63</v>
      </c>
      <c r="BC1849" s="4" t="s">
        <v>63</v>
      </c>
      <c r="BD1849" s="4" t="s">
        <v>63</v>
      </c>
      <c r="BE1849" s="4" t="s">
        <v>63</v>
      </c>
      <c r="BF1849" s="4" t="s">
        <v>63</v>
      </c>
    </row>
    <row r="1850" spans="1:58">
      <c r="A1850" s="4" t="s">
        <v>58</v>
      </c>
      <c r="B1850" s="4" t="s">
        <v>16024</v>
      </c>
      <c r="C1850" s="4" t="s">
        <v>16025</v>
      </c>
      <c r="D1850" s="4" t="s">
        <v>9444</v>
      </c>
      <c r="E1850" s="4" t="s">
        <v>63</v>
      </c>
      <c r="F1850" s="4">
        <v>2013</v>
      </c>
      <c r="G1850" s="4" t="s">
        <v>15389</v>
      </c>
      <c r="H1850" s="4">
        <v>63</v>
      </c>
      <c r="I1850" s="4">
        <v>3</v>
      </c>
      <c r="J1850" s="4">
        <v>336</v>
      </c>
      <c r="K1850" s="4">
        <v>342</v>
      </c>
      <c r="L1850" s="4" t="s">
        <v>16026</v>
      </c>
      <c r="M1850" s="4" t="s">
        <v>16027</v>
      </c>
      <c r="N1850" s="4" t="s">
        <v>16028</v>
      </c>
      <c r="O1850" s="4" t="s">
        <v>63</v>
      </c>
      <c r="P1850" s="4"/>
      <c r="Q1850" s="4" t="s">
        <v>63</v>
      </c>
      <c r="R1850" s="4" t="s">
        <v>63</v>
      </c>
      <c r="S1850" s="4" t="s">
        <v>63</v>
      </c>
      <c r="T1850" s="4" t="s">
        <v>63</v>
      </c>
      <c r="U1850" s="4"/>
      <c r="V1850" s="4"/>
      <c r="W1850" s="4"/>
      <c r="X1850" s="4" t="s">
        <v>63</v>
      </c>
      <c r="Y1850" s="4" t="s">
        <v>9448</v>
      </c>
      <c r="Z1850" s="4" t="s">
        <v>63</v>
      </c>
      <c r="AA1850" s="4" t="s">
        <v>63</v>
      </c>
      <c r="AB1850" s="4">
        <v>2013227114</v>
      </c>
      <c r="AC1850" s="4" t="s">
        <v>1371</v>
      </c>
      <c r="AD1850" s="4" t="s">
        <v>63</v>
      </c>
      <c r="AE1850" s="4" t="s">
        <v>63</v>
      </c>
      <c r="AF1850" s="4" t="s">
        <v>63</v>
      </c>
      <c r="AG1850" s="4" t="s">
        <v>16029</v>
      </c>
      <c r="AH1850" s="4" t="s">
        <v>63</v>
      </c>
      <c r="AI1850" s="4" t="s">
        <v>63</v>
      </c>
      <c r="AJ1850" s="4" t="s">
        <v>63</v>
      </c>
      <c r="AK1850" s="4" t="s">
        <v>63</v>
      </c>
      <c r="AL1850" s="4" t="s">
        <v>63</v>
      </c>
      <c r="AM1850" s="4" t="s">
        <v>16030</v>
      </c>
      <c r="AN1850" s="4" t="s">
        <v>63</v>
      </c>
      <c r="AO1850" s="4" t="s">
        <v>63</v>
      </c>
      <c r="AP1850" s="4" t="s">
        <v>63</v>
      </c>
      <c r="AQ1850" s="4" t="s">
        <v>63</v>
      </c>
      <c r="AR1850" s="4" t="s">
        <v>63</v>
      </c>
      <c r="AS1850" s="4" t="s">
        <v>63</v>
      </c>
      <c r="AT1850" s="4" t="s">
        <v>63</v>
      </c>
      <c r="AU1850" s="4" t="s">
        <v>63</v>
      </c>
      <c r="AV1850" s="4" t="s">
        <v>63</v>
      </c>
      <c r="AW1850" s="4" t="s">
        <v>63</v>
      </c>
      <c r="AX1850" s="4" t="s">
        <v>63</v>
      </c>
      <c r="AY1850" s="4" t="s">
        <v>63</v>
      </c>
      <c r="AZ1850" s="4" t="s">
        <v>63</v>
      </c>
      <c r="BA1850" s="4" t="s">
        <v>63</v>
      </c>
      <c r="BB1850" s="4" t="s">
        <v>63</v>
      </c>
      <c r="BC1850" s="4" t="s">
        <v>63</v>
      </c>
      <c r="BD1850" s="4" t="s">
        <v>63</v>
      </c>
      <c r="BE1850" s="4" t="s">
        <v>63</v>
      </c>
      <c r="BF1850" s="4" t="s">
        <v>63</v>
      </c>
    </row>
    <row r="1851" spans="1:58">
      <c r="A1851" s="4" t="s">
        <v>58</v>
      </c>
      <c r="B1851" s="4" t="s">
        <v>16031</v>
      </c>
      <c r="C1851" s="4" t="s">
        <v>16032</v>
      </c>
      <c r="D1851" s="4" t="s">
        <v>734</v>
      </c>
      <c r="E1851" s="4" t="s">
        <v>63</v>
      </c>
      <c r="F1851" s="4">
        <v>2003</v>
      </c>
      <c r="G1851" s="4" t="s">
        <v>157</v>
      </c>
      <c r="H1851" s="4">
        <v>14</v>
      </c>
      <c r="I1851" s="4">
        <v>5</v>
      </c>
      <c r="J1851" s="4">
        <v>457</v>
      </c>
      <c r="K1851" s="4">
        <v>459</v>
      </c>
      <c r="L1851" s="4" t="s">
        <v>16033</v>
      </c>
      <c r="M1851" s="4" t="s">
        <v>16034</v>
      </c>
      <c r="N1851" s="4" t="s">
        <v>16035</v>
      </c>
      <c r="O1851" s="4" t="s">
        <v>63</v>
      </c>
      <c r="P1851" s="4"/>
      <c r="Q1851" s="4" t="s">
        <v>63</v>
      </c>
      <c r="R1851" s="4" t="s">
        <v>63</v>
      </c>
      <c r="S1851" s="4" t="s">
        <v>63</v>
      </c>
      <c r="T1851" s="4" t="s">
        <v>63</v>
      </c>
      <c r="U1851" s="4"/>
      <c r="V1851" s="4"/>
      <c r="W1851" s="4"/>
      <c r="X1851" s="4" t="s">
        <v>63</v>
      </c>
      <c r="Y1851" s="4" t="s">
        <v>16036</v>
      </c>
      <c r="Z1851" s="4" t="s">
        <v>63</v>
      </c>
      <c r="AA1851" s="4" t="s">
        <v>63</v>
      </c>
      <c r="AB1851" s="4" t="s">
        <v>16037</v>
      </c>
      <c r="AC1851" s="4" t="s">
        <v>67</v>
      </c>
      <c r="AD1851" s="4" t="s">
        <v>63</v>
      </c>
      <c r="AE1851" s="4" t="s">
        <v>63</v>
      </c>
      <c r="AF1851" s="4" t="s">
        <v>63</v>
      </c>
      <c r="AG1851" s="4" t="s">
        <v>63</v>
      </c>
      <c r="AH1851" s="4" t="s">
        <v>63</v>
      </c>
      <c r="AI1851" s="4" t="s">
        <v>16038</v>
      </c>
      <c r="AJ1851" s="4" t="s">
        <v>63</v>
      </c>
      <c r="AK1851" s="4" t="s">
        <v>63</v>
      </c>
      <c r="AL1851" s="4" t="s">
        <v>63</v>
      </c>
      <c r="AM1851" s="4" t="s">
        <v>16032</v>
      </c>
      <c r="AN1851" s="4" t="s">
        <v>63</v>
      </c>
      <c r="AO1851" s="4" t="s">
        <v>63</v>
      </c>
      <c r="AP1851" s="4" t="s">
        <v>63</v>
      </c>
      <c r="AQ1851" s="4" t="s">
        <v>63</v>
      </c>
      <c r="AR1851" s="4" t="s">
        <v>63</v>
      </c>
      <c r="AS1851" s="4" t="s">
        <v>63</v>
      </c>
      <c r="AT1851" s="4" t="s">
        <v>63</v>
      </c>
      <c r="AU1851" s="4" t="s">
        <v>63</v>
      </c>
      <c r="AV1851" s="4" t="s">
        <v>63</v>
      </c>
      <c r="AW1851" s="4" t="s">
        <v>63</v>
      </c>
      <c r="AX1851" s="4" t="s">
        <v>63</v>
      </c>
      <c r="AY1851" s="4" t="s">
        <v>63</v>
      </c>
      <c r="AZ1851" s="4" t="s">
        <v>63</v>
      </c>
      <c r="BA1851" s="4" t="s">
        <v>63</v>
      </c>
      <c r="BB1851" s="4" t="s">
        <v>63</v>
      </c>
      <c r="BC1851" s="4" t="s">
        <v>63</v>
      </c>
      <c r="BD1851" s="4" t="s">
        <v>63</v>
      </c>
      <c r="BE1851" s="4" t="s">
        <v>63</v>
      </c>
      <c r="BF1851" s="4" t="s">
        <v>63</v>
      </c>
    </row>
    <row r="1852" spans="1:58">
      <c r="A1852" s="4" t="s">
        <v>58</v>
      </c>
      <c r="B1852" s="4" t="s">
        <v>16039</v>
      </c>
      <c r="C1852" s="4" t="s">
        <v>16040</v>
      </c>
      <c r="D1852" s="4" t="s">
        <v>15515</v>
      </c>
      <c r="E1852" s="4" t="s">
        <v>15516</v>
      </c>
      <c r="F1852" s="4">
        <v>1988</v>
      </c>
      <c r="G1852" s="4" t="s">
        <v>63</v>
      </c>
      <c r="H1852" s="4">
        <v>260</v>
      </c>
      <c r="I1852" s="4">
        <v>15</v>
      </c>
      <c r="J1852" s="4">
        <v>2267</v>
      </c>
      <c r="K1852" s="4">
        <v>2270</v>
      </c>
      <c r="L1852" s="4" t="s">
        <v>16041</v>
      </c>
      <c r="M1852" s="4" t="s">
        <v>16042</v>
      </c>
      <c r="N1852" s="4" t="s">
        <v>16043</v>
      </c>
      <c r="O1852" s="4" t="s">
        <v>63</v>
      </c>
      <c r="P1852" s="4"/>
      <c r="Q1852" s="4" t="s">
        <v>63</v>
      </c>
      <c r="R1852" s="4" t="s">
        <v>63</v>
      </c>
      <c r="S1852" s="4" t="s">
        <v>63</v>
      </c>
      <c r="T1852" s="4" t="s">
        <v>63</v>
      </c>
      <c r="U1852" s="4"/>
      <c r="V1852" s="4"/>
      <c r="W1852" s="4"/>
      <c r="X1852" s="4" t="s">
        <v>63</v>
      </c>
      <c r="Y1852" s="4" t="s">
        <v>208</v>
      </c>
      <c r="Z1852" s="4" t="s">
        <v>63</v>
      </c>
      <c r="AA1852" s="4" t="s">
        <v>63</v>
      </c>
      <c r="AB1852" s="4">
        <v>1988242685</v>
      </c>
      <c r="AC1852" s="4" t="s">
        <v>67</v>
      </c>
      <c r="AD1852" s="4" t="s">
        <v>63</v>
      </c>
      <c r="AE1852" s="4" t="s">
        <v>63</v>
      </c>
      <c r="AF1852" s="4" t="s">
        <v>63</v>
      </c>
      <c r="AG1852" s="4" t="s">
        <v>16044</v>
      </c>
      <c r="AH1852" s="4" t="s">
        <v>63</v>
      </c>
      <c r="AI1852" s="4" t="s">
        <v>16045</v>
      </c>
      <c r="AJ1852" s="4" t="s">
        <v>63</v>
      </c>
      <c r="AK1852" s="4" t="s">
        <v>63</v>
      </c>
      <c r="AL1852" s="4" t="s">
        <v>63</v>
      </c>
      <c r="AM1852" s="4" t="s">
        <v>16046</v>
      </c>
      <c r="AN1852" s="4" t="s">
        <v>63</v>
      </c>
      <c r="AO1852" s="4" t="s">
        <v>63</v>
      </c>
      <c r="AP1852" s="4" t="s">
        <v>63</v>
      </c>
      <c r="AQ1852" s="4" t="s">
        <v>63</v>
      </c>
      <c r="AR1852" s="4" t="s">
        <v>63</v>
      </c>
      <c r="AS1852" s="4" t="s">
        <v>63</v>
      </c>
      <c r="AT1852" s="4" t="s">
        <v>63</v>
      </c>
      <c r="AU1852" s="4" t="s">
        <v>63</v>
      </c>
      <c r="AV1852" s="4" t="s">
        <v>63</v>
      </c>
      <c r="AW1852" s="4" t="s">
        <v>63</v>
      </c>
      <c r="AX1852" s="4" t="s">
        <v>63</v>
      </c>
      <c r="AY1852" s="4" t="s">
        <v>63</v>
      </c>
      <c r="AZ1852" s="4" t="s">
        <v>63</v>
      </c>
      <c r="BA1852" s="4" t="s">
        <v>63</v>
      </c>
      <c r="BB1852" s="4" t="s">
        <v>63</v>
      </c>
      <c r="BC1852" s="4" t="s">
        <v>63</v>
      </c>
      <c r="BD1852" s="4" t="s">
        <v>63</v>
      </c>
      <c r="BE1852" s="4" t="s">
        <v>63</v>
      </c>
      <c r="BF1852" s="4" t="s">
        <v>63</v>
      </c>
    </row>
    <row r="1853" spans="1:58">
      <c r="A1853" s="4" t="s">
        <v>58</v>
      </c>
      <c r="B1853" s="4" t="s">
        <v>16047</v>
      </c>
      <c r="C1853" s="4" t="s">
        <v>16048</v>
      </c>
      <c r="D1853" s="4" t="s">
        <v>155</v>
      </c>
      <c r="E1853" s="4" t="s">
        <v>156</v>
      </c>
      <c r="F1853" s="4">
        <v>2015</v>
      </c>
      <c r="G1853" s="4" t="s">
        <v>15358</v>
      </c>
      <c r="H1853" s="4">
        <v>66</v>
      </c>
      <c r="I1853" s="4">
        <v>4</v>
      </c>
      <c r="J1853" s="4" t="s">
        <v>16049</v>
      </c>
      <c r="K1853" s="4" t="s">
        <v>63</v>
      </c>
      <c r="L1853" s="4" t="s">
        <v>16050</v>
      </c>
      <c r="M1853" s="4" t="s">
        <v>16051</v>
      </c>
      <c r="N1853" s="4" t="s">
        <v>16052</v>
      </c>
      <c r="O1853" s="4" t="s">
        <v>63</v>
      </c>
      <c r="P1853" s="4"/>
      <c r="Q1853" s="4" t="s">
        <v>63</v>
      </c>
      <c r="R1853" s="4" t="s">
        <v>63</v>
      </c>
      <c r="S1853" s="4" t="s">
        <v>63</v>
      </c>
      <c r="T1853" s="4" t="s">
        <v>63</v>
      </c>
      <c r="U1853" s="4"/>
      <c r="V1853" s="4"/>
      <c r="W1853" s="4"/>
      <c r="X1853" s="4" t="s">
        <v>63</v>
      </c>
      <c r="Y1853" s="4" t="s">
        <v>160</v>
      </c>
      <c r="Z1853" s="4" t="s">
        <v>63</v>
      </c>
      <c r="AA1853" s="4" t="s">
        <v>63</v>
      </c>
      <c r="AB1853" s="4" t="s">
        <v>63</v>
      </c>
      <c r="AC1853" s="4" t="s">
        <v>67</v>
      </c>
      <c r="AD1853" s="4" t="s">
        <v>63</v>
      </c>
      <c r="AE1853" s="4" t="s">
        <v>63</v>
      </c>
      <c r="AF1853" s="4" t="s">
        <v>63</v>
      </c>
      <c r="AG1853" s="4" t="s">
        <v>63</v>
      </c>
      <c r="AH1853" s="4" t="s">
        <v>63</v>
      </c>
      <c r="AI1853" s="4" t="s">
        <v>63</v>
      </c>
      <c r="AJ1853" s="4" t="s">
        <v>63</v>
      </c>
      <c r="AK1853" s="4" t="s">
        <v>63</v>
      </c>
      <c r="AL1853" s="4" t="s">
        <v>63</v>
      </c>
      <c r="AM1853" s="4" t="s">
        <v>16048</v>
      </c>
      <c r="AN1853" s="4" t="s">
        <v>63</v>
      </c>
      <c r="AO1853" s="4" t="s">
        <v>63</v>
      </c>
      <c r="AP1853" s="4" t="s">
        <v>63</v>
      </c>
      <c r="AQ1853" s="4" t="s">
        <v>63</v>
      </c>
      <c r="AR1853" s="4" t="s">
        <v>63</v>
      </c>
      <c r="AS1853" s="4" t="s">
        <v>63</v>
      </c>
      <c r="AT1853" s="4" t="s">
        <v>63</v>
      </c>
      <c r="AU1853" s="4" t="s">
        <v>63</v>
      </c>
      <c r="AV1853" s="4" t="s">
        <v>63</v>
      </c>
      <c r="AW1853" s="4" t="s">
        <v>63</v>
      </c>
      <c r="AX1853" s="4" t="s">
        <v>63</v>
      </c>
      <c r="AY1853" s="4" t="s">
        <v>63</v>
      </c>
      <c r="AZ1853" s="4" t="s">
        <v>63</v>
      </c>
      <c r="BA1853" s="4" t="s">
        <v>63</v>
      </c>
      <c r="BB1853" s="4" t="s">
        <v>63</v>
      </c>
      <c r="BC1853" s="4" t="s">
        <v>63</v>
      </c>
      <c r="BD1853" s="4" t="s">
        <v>63</v>
      </c>
      <c r="BE1853" s="4" t="s">
        <v>63</v>
      </c>
      <c r="BF1853" s="4" t="s">
        <v>63</v>
      </c>
    </row>
    <row r="1854" spans="1:58">
      <c r="A1854" s="4" t="s">
        <v>58</v>
      </c>
      <c r="B1854" s="4" t="s">
        <v>16053</v>
      </c>
      <c r="C1854" s="4" t="s">
        <v>16054</v>
      </c>
      <c r="D1854" s="4" t="s">
        <v>15421</v>
      </c>
      <c r="E1854" s="4" t="s">
        <v>63</v>
      </c>
      <c r="F1854" s="4">
        <v>2013</v>
      </c>
      <c r="G1854" s="4" t="s">
        <v>63</v>
      </c>
      <c r="H1854" s="4">
        <v>34</v>
      </c>
      <c r="I1854" s="4">
        <v>3</v>
      </c>
      <c r="J1854" s="4">
        <v>263</v>
      </c>
      <c r="K1854" s="4">
        <v>272</v>
      </c>
      <c r="L1854" s="4" t="s">
        <v>16055</v>
      </c>
      <c r="M1854" s="4" t="s">
        <v>16056</v>
      </c>
      <c r="N1854" s="4" t="s">
        <v>16057</v>
      </c>
      <c r="O1854" s="4" t="s">
        <v>63</v>
      </c>
      <c r="P1854" s="4"/>
      <c r="Q1854" s="4" t="s">
        <v>63</v>
      </c>
      <c r="R1854" s="4" t="s">
        <v>63</v>
      </c>
      <c r="S1854" s="4" t="s">
        <v>63</v>
      </c>
      <c r="T1854" s="4" t="s">
        <v>63</v>
      </c>
      <c r="U1854" s="4"/>
      <c r="V1854" s="4"/>
      <c r="W1854" s="4"/>
      <c r="X1854" s="4" t="s">
        <v>63</v>
      </c>
      <c r="Y1854" s="4" t="s">
        <v>15425</v>
      </c>
      <c r="Z1854" s="4" t="s">
        <v>63</v>
      </c>
      <c r="AA1854" s="4" t="s">
        <v>63</v>
      </c>
      <c r="AB1854" s="4" t="s">
        <v>63</v>
      </c>
      <c r="AC1854" s="4" t="s">
        <v>67</v>
      </c>
      <c r="AD1854" s="4" t="s">
        <v>63</v>
      </c>
      <c r="AE1854" s="4" t="s">
        <v>63</v>
      </c>
      <c r="AF1854" s="4" t="s">
        <v>63</v>
      </c>
      <c r="AG1854" s="4" t="s">
        <v>16058</v>
      </c>
      <c r="AH1854" s="4" t="s">
        <v>63</v>
      </c>
      <c r="AI1854" s="4" t="s">
        <v>63</v>
      </c>
      <c r="AJ1854" s="4" t="s">
        <v>63</v>
      </c>
      <c r="AK1854" s="4" t="s">
        <v>63</v>
      </c>
      <c r="AL1854" s="4" t="s">
        <v>63</v>
      </c>
      <c r="AM1854" s="4" t="s">
        <v>16059</v>
      </c>
      <c r="AN1854" s="4" t="s">
        <v>63</v>
      </c>
      <c r="AO1854" s="4" t="s">
        <v>63</v>
      </c>
      <c r="AP1854" s="4" t="s">
        <v>63</v>
      </c>
      <c r="AQ1854" s="4" t="s">
        <v>63</v>
      </c>
      <c r="AR1854" s="4" t="s">
        <v>63</v>
      </c>
      <c r="AS1854" s="4" t="s">
        <v>63</v>
      </c>
      <c r="AT1854" s="4" t="s">
        <v>63</v>
      </c>
      <c r="AU1854" s="4" t="s">
        <v>63</v>
      </c>
      <c r="AV1854" s="4" t="s">
        <v>63</v>
      </c>
      <c r="AW1854" s="4" t="s">
        <v>63</v>
      </c>
      <c r="AX1854" s="4" t="s">
        <v>63</v>
      </c>
      <c r="AY1854" s="4" t="s">
        <v>63</v>
      </c>
      <c r="AZ1854" s="4" t="s">
        <v>63</v>
      </c>
      <c r="BA1854" s="4" t="s">
        <v>63</v>
      </c>
      <c r="BB1854" s="4" t="s">
        <v>63</v>
      </c>
      <c r="BC1854" s="4" t="s">
        <v>63</v>
      </c>
      <c r="BD1854" s="4" t="s">
        <v>63</v>
      </c>
      <c r="BE1854" s="4" t="s">
        <v>63</v>
      </c>
      <c r="BF1854" s="4" t="s">
        <v>63</v>
      </c>
    </row>
    <row r="1855" spans="1:58">
      <c r="A1855" s="4" t="s">
        <v>58</v>
      </c>
      <c r="B1855" s="4" t="s">
        <v>16060</v>
      </c>
      <c r="C1855" s="4" t="s">
        <v>16061</v>
      </c>
      <c r="D1855" s="4" t="s">
        <v>15440</v>
      </c>
      <c r="E1855" s="4" t="s">
        <v>15440</v>
      </c>
      <c r="F1855" s="4">
        <v>2013</v>
      </c>
      <c r="G1855" s="4" t="s">
        <v>15358</v>
      </c>
      <c r="H1855" s="4">
        <v>33</v>
      </c>
      <c r="I1855" s="4">
        <v>10</v>
      </c>
      <c r="J1855" s="4" t="s">
        <v>16062</v>
      </c>
      <c r="K1855" s="4" t="s">
        <v>63</v>
      </c>
      <c r="L1855" s="4" t="s">
        <v>16063</v>
      </c>
      <c r="M1855" s="4" t="s">
        <v>16064</v>
      </c>
      <c r="N1855" s="4" t="s">
        <v>16065</v>
      </c>
      <c r="O1855" s="4" t="s">
        <v>63</v>
      </c>
      <c r="P1855" s="4"/>
      <c r="Q1855" s="4" t="s">
        <v>63</v>
      </c>
      <c r="R1855" s="4" t="s">
        <v>63</v>
      </c>
      <c r="S1855" s="4" t="s">
        <v>63</v>
      </c>
      <c r="T1855" s="4" t="s">
        <v>63</v>
      </c>
      <c r="U1855" s="4"/>
      <c r="V1855" s="4"/>
      <c r="W1855" s="4"/>
      <c r="X1855" s="4" t="s">
        <v>63</v>
      </c>
      <c r="Y1855" s="4" t="s">
        <v>15446</v>
      </c>
      <c r="Z1855" s="4" t="s">
        <v>63</v>
      </c>
      <c r="AA1855" s="4" t="s">
        <v>63</v>
      </c>
      <c r="AB1855" s="4" t="s">
        <v>63</v>
      </c>
      <c r="AC1855" s="4" t="s">
        <v>67</v>
      </c>
      <c r="AD1855" s="4" t="s">
        <v>63</v>
      </c>
      <c r="AE1855" s="4" t="s">
        <v>63</v>
      </c>
      <c r="AF1855" s="4" t="s">
        <v>63</v>
      </c>
      <c r="AG1855" s="4" t="s">
        <v>63</v>
      </c>
      <c r="AH1855" s="4" t="s">
        <v>63</v>
      </c>
      <c r="AI1855" s="4" t="s">
        <v>16066</v>
      </c>
      <c r="AJ1855" s="4" t="s">
        <v>63</v>
      </c>
      <c r="AK1855" s="4" t="s">
        <v>63</v>
      </c>
      <c r="AL1855" s="4" t="s">
        <v>63</v>
      </c>
      <c r="AM1855" s="4" t="s">
        <v>16061</v>
      </c>
      <c r="AN1855" s="4" t="s">
        <v>63</v>
      </c>
      <c r="AO1855" s="4" t="s">
        <v>63</v>
      </c>
      <c r="AP1855" s="4" t="s">
        <v>63</v>
      </c>
      <c r="AQ1855" s="4" t="s">
        <v>63</v>
      </c>
      <c r="AR1855" s="4" t="s">
        <v>63</v>
      </c>
      <c r="AS1855" s="4" t="s">
        <v>63</v>
      </c>
      <c r="AT1855" s="4" t="s">
        <v>63</v>
      </c>
      <c r="AU1855" s="4" t="s">
        <v>63</v>
      </c>
      <c r="AV1855" s="4" t="s">
        <v>63</v>
      </c>
      <c r="AW1855" s="4" t="s">
        <v>63</v>
      </c>
      <c r="AX1855" s="4" t="s">
        <v>63</v>
      </c>
      <c r="AY1855" s="4" t="s">
        <v>63</v>
      </c>
      <c r="AZ1855" s="4" t="s">
        <v>63</v>
      </c>
      <c r="BA1855" s="4" t="s">
        <v>63</v>
      </c>
      <c r="BB1855" s="4" t="s">
        <v>63</v>
      </c>
      <c r="BC1855" s="4" t="s">
        <v>63</v>
      </c>
      <c r="BD1855" s="4" t="s">
        <v>63</v>
      </c>
      <c r="BE1855" s="4" t="s">
        <v>63</v>
      </c>
      <c r="BF1855" s="4" t="s">
        <v>63</v>
      </c>
    </row>
    <row r="1856" spans="1:58">
      <c r="A1856" s="4" t="s">
        <v>58</v>
      </c>
      <c r="B1856" s="4" t="s">
        <v>16067</v>
      </c>
      <c r="C1856" s="4" t="s">
        <v>16068</v>
      </c>
      <c r="D1856" s="4" t="s">
        <v>16069</v>
      </c>
      <c r="E1856" s="4" t="s">
        <v>16070</v>
      </c>
      <c r="F1856" s="4">
        <v>2018</v>
      </c>
      <c r="G1856" s="4">
        <v>1</v>
      </c>
      <c r="H1856" s="4" t="s">
        <v>16071</v>
      </c>
      <c r="I1856" s="4">
        <v>2</v>
      </c>
      <c r="J1856" s="4" t="s">
        <v>16072</v>
      </c>
      <c r="K1856" s="4" t="s">
        <v>16073</v>
      </c>
      <c r="L1856" s="4" t="s">
        <v>16074</v>
      </c>
      <c r="M1856" s="4" t="s">
        <v>16075</v>
      </c>
      <c r="N1856" s="4" t="s">
        <v>16076</v>
      </c>
      <c r="O1856" s="4" t="s">
        <v>63</v>
      </c>
      <c r="P1856" s="4"/>
      <c r="Q1856" s="4" t="s">
        <v>63</v>
      </c>
      <c r="R1856" s="4" t="s">
        <v>63</v>
      </c>
      <c r="S1856" s="4" t="s">
        <v>63</v>
      </c>
      <c r="T1856" s="4" t="s">
        <v>63</v>
      </c>
      <c r="U1856" s="4"/>
      <c r="V1856" s="4"/>
      <c r="W1856" s="4"/>
      <c r="X1856" s="4" t="s">
        <v>63</v>
      </c>
      <c r="Y1856" s="4" t="s">
        <v>16077</v>
      </c>
      <c r="Z1856" s="4" t="s">
        <v>63</v>
      </c>
      <c r="AA1856" s="4" t="s">
        <v>63</v>
      </c>
      <c r="AB1856" s="4" t="s">
        <v>16078</v>
      </c>
      <c r="AC1856" s="4" t="s">
        <v>67</v>
      </c>
      <c r="AD1856" s="4" t="s">
        <v>63</v>
      </c>
      <c r="AE1856" s="4" t="s">
        <v>63</v>
      </c>
      <c r="AF1856" s="4" t="s">
        <v>63</v>
      </c>
      <c r="AG1856" s="4" t="s">
        <v>63</v>
      </c>
      <c r="AH1856" s="4" t="s">
        <v>63</v>
      </c>
      <c r="AI1856" s="4" t="s">
        <v>16079</v>
      </c>
      <c r="AJ1856" s="4" t="s">
        <v>63</v>
      </c>
      <c r="AK1856" s="4" t="s">
        <v>63</v>
      </c>
      <c r="AL1856" s="4" t="s">
        <v>63</v>
      </c>
      <c r="AM1856" s="4" t="s">
        <v>16068</v>
      </c>
      <c r="AN1856" s="4" t="s">
        <v>63</v>
      </c>
      <c r="AO1856" s="4" t="s">
        <v>63</v>
      </c>
      <c r="AP1856" s="4" t="s">
        <v>63</v>
      </c>
      <c r="AQ1856" s="4" t="s">
        <v>63</v>
      </c>
      <c r="AR1856" s="4" t="s">
        <v>63</v>
      </c>
      <c r="AS1856" s="4" t="s">
        <v>63</v>
      </c>
      <c r="AT1856" s="4" t="s">
        <v>63</v>
      </c>
      <c r="AU1856" s="4" t="s">
        <v>63</v>
      </c>
      <c r="AV1856" s="4" t="s">
        <v>63</v>
      </c>
      <c r="AW1856" s="4" t="s">
        <v>63</v>
      </c>
      <c r="AX1856" s="4" t="s">
        <v>63</v>
      </c>
      <c r="AY1856" s="4" t="s">
        <v>63</v>
      </c>
      <c r="AZ1856" s="4" t="s">
        <v>63</v>
      </c>
      <c r="BA1856" s="4" t="s">
        <v>63</v>
      </c>
      <c r="BB1856" s="4" t="s">
        <v>63</v>
      </c>
      <c r="BC1856" s="4" t="s">
        <v>63</v>
      </c>
      <c r="BD1856" s="4" t="s">
        <v>63</v>
      </c>
      <c r="BE1856" s="4" t="s">
        <v>63</v>
      </c>
      <c r="BF1856" s="4" t="s">
        <v>63</v>
      </c>
    </row>
    <row r="1857" spans="1:58">
      <c r="A1857" s="4" t="s">
        <v>58</v>
      </c>
      <c r="B1857" s="4" t="s">
        <v>16080</v>
      </c>
      <c r="C1857" s="4" t="s">
        <v>16081</v>
      </c>
      <c r="D1857" s="4" t="s">
        <v>592</v>
      </c>
      <c r="E1857" s="4" t="s">
        <v>593</v>
      </c>
      <c r="F1857" s="4">
        <v>1998</v>
      </c>
      <c r="G1857" s="4" t="s">
        <v>219</v>
      </c>
      <c r="H1857" s="4">
        <v>27</v>
      </c>
      <c r="I1857" s="4">
        <v>11</v>
      </c>
      <c r="J1857" s="4">
        <v>1005</v>
      </c>
      <c r="K1857" s="4">
        <v>1008</v>
      </c>
      <c r="L1857" s="4" t="s">
        <v>16082</v>
      </c>
      <c r="M1857" s="4" t="s">
        <v>16083</v>
      </c>
      <c r="N1857" s="4" t="s">
        <v>16084</v>
      </c>
      <c r="O1857" s="4" t="s">
        <v>63</v>
      </c>
      <c r="P1857" s="4"/>
      <c r="Q1857" s="4" t="s">
        <v>63</v>
      </c>
      <c r="R1857" s="4" t="s">
        <v>63</v>
      </c>
      <c r="S1857" s="4" t="s">
        <v>63</v>
      </c>
      <c r="T1857" s="4" t="s">
        <v>63</v>
      </c>
      <c r="U1857" s="4"/>
      <c r="V1857" s="4"/>
      <c r="W1857" s="4"/>
      <c r="X1857" s="4" t="s">
        <v>63</v>
      </c>
      <c r="Y1857" s="4" t="s">
        <v>597</v>
      </c>
      <c r="Z1857" s="4" t="s">
        <v>63</v>
      </c>
      <c r="AA1857" s="4" t="s">
        <v>63</v>
      </c>
      <c r="AB1857" s="4" t="s">
        <v>63</v>
      </c>
      <c r="AC1857" s="4" t="s">
        <v>67</v>
      </c>
      <c r="AD1857" s="4" t="s">
        <v>63</v>
      </c>
      <c r="AE1857" s="4" t="s">
        <v>63</v>
      </c>
      <c r="AF1857" s="4" t="s">
        <v>63</v>
      </c>
      <c r="AG1857" s="4" t="s">
        <v>16085</v>
      </c>
      <c r="AH1857" s="4" t="s">
        <v>63</v>
      </c>
      <c r="AI1857" s="4" t="s">
        <v>63</v>
      </c>
      <c r="AJ1857" s="4" t="s">
        <v>63</v>
      </c>
      <c r="AK1857" s="4" t="s">
        <v>63</v>
      </c>
      <c r="AL1857" s="4" t="s">
        <v>63</v>
      </c>
      <c r="AM1857" s="4" t="s">
        <v>16086</v>
      </c>
      <c r="AN1857" s="4" t="s">
        <v>63</v>
      </c>
      <c r="AO1857" s="4" t="s">
        <v>63</v>
      </c>
      <c r="AP1857" s="4" t="s">
        <v>63</v>
      </c>
      <c r="AQ1857" s="4" t="s">
        <v>63</v>
      </c>
      <c r="AR1857" s="4" t="s">
        <v>63</v>
      </c>
      <c r="AS1857" s="4" t="s">
        <v>63</v>
      </c>
      <c r="AT1857" s="4" t="s">
        <v>63</v>
      </c>
      <c r="AU1857" s="4" t="s">
        <v>63</v>
      </c>
      <c r="AV1857" s="4" t="s">
        <v>63</v>
      </c>
      <c r="AW1857" s="4" t="s">
        <v>63</v>
      </c>
      <c r="AX1857" s="4" t="s">
        <v>63</v>
      </c>
      <c r="AY1857" s="4" t="s">
        <v>63</v>
      </c>
      <c r="AZ1857" s="4" t="s">
        <v>63</v>
      </c>
      <c r="BA1857" s="4" t="s">
        <v>63</v>
      </c>
      <c r="BB1857" s="4" t="s">
        <v>63</v>
      </c>
      <c r="BC1857" s="4" t="s">
        <v>63</v>
      </c>
      <c r="BD1857" s="4" t="s">
        <v>63</v>
      </c>
      <c r="BE1857" s="4" t="s">
        <v>63</v>
      </c>
      <c r="BF1857" s="4" t="s">
        <v>63</v>
      </c>
    </row>
    <row r="1858" spans="1:58">
      <c r="A1858" s="4" t="s">
        <v>58</v>
      </c>
      <c r="B1858" s="4" t="s">
        <v>16087</v>
      </c>
      <c r="C1858" s="4" t="s">
        <v>16088</v>
      </c>
      <c r="D1858" s="4" t="s">
        <v>16089</v>
      </c>
      <c r="E1858" s="4" t="s">
        <v>16090</v>
      </c>
      <c r="F1858" s="4">
        <v>2002</v>
      </c>
      <c r="G1858" s="4" t="s">
        <v>16091</v>
      </c>
      <c r="H1858" s="4">
        <v>30</v>
      </c>
      <c r="I1858" s="4">
        <v>2</v>
      </c>
      <c r="J1858" s="4">
        <v>109</v>
      </c>
      <c r="K1858" s="4">
        <v>120</v>
      </c>
      <c r="L1858" s="4" t="s">
        <v>16092</v>
      </c>
      <c r="M1858" s="4" t="s">
        <v>16093</v>
      </c>
      <c r="N1858" s="4" t="s">
        <v>16094</v>
      </c>
      <c r="O1858" s="4" t="s">
        <v>63</v>
      </c>
      <c r="P1858" s="4"/>
      <c r="Q1858" s="4" t="s">
        <v>63</v>
      </c>
      <c r="R1858" s="4" t="s">
        <v>63</v>
      </c>
      <c r="S1858" s="4" t="s">
        <v>63</v>
      </c>
      <c r="T1858" s="4" t="s">
        <v>63</v>
      </c>
      <c r="U1858" s="4"/>
      <c r="V1858" s="4"/>
      <c r="W1858" s="4"/>
      <c r="X1858" s="4" t="s">
        <v>63</v>
      </c>
      <c r="Y1858" s="4" t="s">
        <v>5929</v>
      </c>
      <c r="Z1858" s="4" t="s">
        <v>63</v>
      </c>
      <c r="AA1858" s="4" t="s">
        <v>63</v>
      </c>
      <c r="AB1858" s="4">
        <v>2003136962</v>
      </c>
      <c r="AC1858" s="4" t="s">
        <v>67</v>
      </c>
      <c r="AD1858" s="4" t="s">
        <v>63</v>
      </c>
      <c r="AE1858" s="4" t="s">
        <v>63</v>
      </c>
      <c r="AF1858" s="4" t="s">
        <v>63</v>
      </c>
      <c r="AG1858" s="4" t="s">
        <v>16095</v>
      </c>
      <c r="AH1858" s="4" t="s">
        <v>63</v>
      </c>
      <c r="AI1858" s="4" t="s">
        <v>16096</v>
      </c>
      <c r="AJ1858" s="4" t="s">
        <v>63</v>
      </c>
      <c r="AK1858" s="4" t="s">
        <v>63</v>
      </c>
      <c r="AL1858" s="4" t="s">
        <v>63</v>
      </c>
      <c r="AM1858" s="4" t="s">
        <v>16097</v>
      </c>
      <c r="AN1858" s="4" t="s">
        <v>63</v>
      </c>
      <c r="AO1858" s="4" t="s">
        <v>63</v>
      </c>
      <c r="AP1858" s="4" t="s">
        <v>63</v>
      </c>
      <c r="AQ1858" s="4" t="s">
        <v>63</v>
      </c>
      <c r="AR1858" s="4" t="s">
        <v>63</v>
      </c>
      <c r="AS1858" s="4" t="s">
        <v>63</v>
      </c>
      <c r="AT1858" s="4" t="s">
        <v>63</v>
      </c>
      <c r="AU1858" s="4" t="s">
        <v>63</v>
      </c>
      <c r="AV1858" s="4" t="s">
        <v>63</v>
      </c>
      <c r="AW1858" s="4" t="s">
        <v>63</v>
      </c>
      <c r="AX1858" s="4" t="s">
        <v>63</v>
      </c>
      <c r="AY1858" s="4" t="s">
        <v>63</v>
      </c>
      <c r="AZ1858" s="4" t="s">
        <v>63</v>
      </c>
      <c r="BA1858" s="4" t="s">
        <v>63</v>
      </c>
      <c r="BB1858" s="4" t="s">
        <v>63</v>
      </c>
      <c r="BC1858" s="4" t="s">
        <v>63</v>
      </c>
      <c r="BD1858" s="4" t="s">
        <v>63</v>
      </c>
      <c r="BE1858" s="4" t="s">
        <v>63</v>
      </c>
      <c r="BF1858" s="4" t="s">
        <v>63</v>
      </c>
    </row>
    <row r="1859" spans="1:58">
      <c r="A1859" s="4" t="s">
        <v>58</v>
      </c>
      <c r="B1859" s="4" t="s">
        <v>16098</v>
      </c>
      <c r="C1859" s="4" t="s">
        <v>16099</v>
      </c>
      <c r="D1859" s="4" t="s">
        <v>16100</v>
      </c>
      <c r="E1859" s="4" t="s">
        <v>63</v>
      </c>
      <c r="F1859" s="4">
        <v>2014</v>
      </c>
      <c r="G1859" s="4">
        <v>1</v>
      </c>
      <c r="H1859" s="4" t="s">
        <v>16101</v>
      </c>
      <c r="I1859" s="4" t="s">
        <v>63</v>
      </c>
      <c r="J1859" s="4" t="s">
        <v>16102</v>
      </c>
      <c r="K1859" s="4" t="s">
        <v>63</v>
      </c>
      <c r="L1859" s="4" t="s">
        <v>16103</v>
      </c>
      <c r="M1859" s="4" t="s">
        <v>16104</v>
      </c>
      <c r="N1859" s="4" t="s">
        <v>16105</v>
      </c>
      <c r="O1859" s="4" t="s">
        <v>63</v>
      </c>
      <c r="P1859" s="4"/>
      <c r="Q1859" s="4" t="s">
        <v>63</v>
      </c>
      <c r="R1859" s="4" t="s">
        <v>63</v>
      </c>
      <c r="S1859" s="4" t="s">
        <v>63</v>
      </c>
      <c r="T1859" s="4" t="s">
        <v>63</v>
      </c>
      <c r="U1859" s="4"/>
      <c r="V1859" s="4"/>
      <c r="W1859" s="4"/>
      <c r="X1859" s="4" t="s">
        <v>63</v>
      </c>
      <c r="Y1859" s="4" t="s">
        <v>185</v>
      </c>
      <c r="Z1859" s="4" t="s">
        <v>63</v>
      </c>
      <c r="AA1859" s="4" t="s">
        <v>63</v>
      </c>
      <c r="AB1859" s="4" t="s">
        <v>63</v>
      </c>
      <c r="AC1859" s="4" t="s">
        <v>67</v>
      </c>
      <c r="AD1859" s="4" t="s">
        <v>63</v>
      </c>
      <c r="AE1859" s="4" t="s">
        <v>63</v>
      </c>
      <c r="AF1859" s="4" t="s">
        <v>63</v>
      </c>
      <c r="AG1859" s="4" t="s">
        <v>63</v>
      </c>
      <c r="AH1859" s="4" t="s">
        <v>63</v>
      </c>
      <c r="AI1859" s="4" t="s">
        <v>16106</v>
      </c>
      <c r="AJ1859" s="4" t="s">
        <v>63</v>
      </c>
      <c r="AK1859" s="4" t="s">
        <v>63</v>
      </c>
      <c r="AL1859" s="4" t="s">
        <v>63</v>
      </c>
      <c r="AM1859" s="4" t="s">
        <v>16099</v>
      </c>
      <c r="AN1859" s="4" t="s">
        <v>63</v>
      </c>
      <c r="AO1859" s="4" t="s">
        <v>63</v>
      </c>
      <c r="AP1859" s="4" t="s">
        <v>63</v>
      </c>
      <c r="AQ1859" s="4" t="s">
        <v>63</v>
      </c>
      <c r="AR1859" s="4" t="s">
        <v>63</v>
      </c>
      <c r="AS1859" s="4" t="s">
        <v>63</v>
      </c>
      <c r="AT1859" s="4" t="s">
        <v>63</v>
      </c>
      <c r="AU1859" s="4" t="s">
        <v>63</v>
      </c>
      <c r="AV1859" s="4" t="s">
        <v>63</v>
      </c>
      <c r="AW1859" s="4" t="s">
        <v>63</v>
      </c>
      <c r="AX1859" s="4" t="s">
        <v>63</v>
      </c>
      <c r="AY1859" s="4" t="s">
        <v>63</v>
      </c>
      <c r="AZ1859" s="4" t="s">
        <v>63</v>
      </c>
      <c r="BA1859" s="4" t="s">
        <v>63</v>
      </c>
      <c r="BB1859" s="4" t="s">
        <v>63</v>
      </c>
      <c r="BC1859" s="4" t="s">
        <v>63</v>
      </c>
      <c r="BD1859" s="4" t="s">
        <v>63</v>
      </c>
      <c r="BE1859" s="4" t="s">
        <v>63</v>
      </c>
      <c r="BF1859" s="4" t="s">
        <v>63</v>
      </c>
    </row>
    <row r="1860" spans="1:58">
      <c r="A1860" s="4" t="s">
        <v>58</v>
      </c>
      <c r="B1860" s="4" t="s">
        <v>16107</v>
      </c>
      <c r="C1860" s="4" t="s">
        <v>16108</v>
      </c>
      <c r="D1860" s="4" t="s">
        <v>16109</v>
      </c>
      <c r="E1860" s="4" t="s">
        <v>16109</v>
      </c>
      <c r="F1860" s="4">
        <v>2014</v>
      </c>
      <c r="G1860" s="4" t="s">
        <v>15472</v>
      </c>
      <c r="H1860" s="4">
        <v>20</v>
      </c>
      <c r="I1860" s="4">
        <v>1</v>
      </c>
      <c r="J1860" s="4">
        <v>150</v>
      </c>
      <c r="K1860" s="4">
        <v>151</v>
      </c>
      <c r="L1860" s="4" t="s">
        <v>16110</v>
      </c>
      <c r="M1860" s="4" t="s">
        <v>16111</v>
      </c>
      <c r="N1860" s="4" t="s">
        <v>16112</v>
      </c>
      <c r="O1860" s="4" t="s">
        <v>63</v>
      </c>
      <c r="P1860" s="4"/>
      <c r="Q1860" s="4" t="s">
        <v>63</v>
      </c>
      <c r="R1860" s="4" t="s">
        <v>63</v>
      </c>
      <c r="S1860" s="4" t="s">
        <v>63</v>
      </c>
      <c r="T1860" s="4" t="s">
        <v>63</v>
      </c>
      <c r="U1860" s="4"/>
      <c r="V1860" s="4"/>
      <c r="W1860" s="4"/>
      <c r="X1860" s="4" t="s">
        <v>63</v>
      </c>
      <c r="Y1860" s="4" t="s">
        <v>16113</v>
      </c>
      <c r="Z1860" s="4" t="s">
        <v>63</v>
      </c>
      <c r="AA1860" s="4" t="s">
        <v>63</v>
      </c>
      <c r="AB1860" s="4" t="s">
        <v>63</v>
      </c>
      <c r="AC1860" s="4" t="s">
        <v>67</v>
      </c>
      <c r="AD1860" s="4" t="s">
        <v>63</v>
      </c>
      <c r="AE1860" s="4" t="s">
        <v>63</v>
      </c>
      <c r="AF1860" s="4" t="s">
        <v>63</v>
      </c>
      <c r="AG1860" s="4" t="s">
        <v>63</v>
      </c>
      <c r="AH1860" s="4" t="s">
        <v>63</v>
      </c>
      <c r="AI1860" s="4" t="s">
        <v>16114</v>
      </c>
      <c r="AJ1860" s="4" t="s">
        <v>63</v>
      </c>
      <c r="AK1860" s="4" t="s">
        <v>63</v>
      </c>
      <c r="AL1860" s="4" t="s">
        <v>63</v>
      </c>
      <c r="AM1860" s="4" t="s">
        <v>16108</v>
      </c>
      <c r="AN1860" s="4" t="s">
        <v>63</v>
      </c>
      <c r="AO1860" s="4" t="s">
        <v>63</v>
      </c>
      <c r="AP1860" s="4" t="s">
        <v>63</v>
      </c>
      <c r="AQ1860" s="4" t="s">
        <v>63</v>
      </c>
      <c r="AR1860" s="4" t="s">
        <v>63</v>
      </c>
      <c r="AS1860" s="4" t="s">
        <v>63</v>
      </c>
      <c r="AT1860" s="4" t="s">
        <v>63</v>
      </c>
      <c r="AU1860" s="4" t="s">
        <v>63</v>
      </c>
      <c r="AV1860" s="4" t="s">
        <v>63</v>
      </c>
      <c r="AW1860" s="4" t="s">
        <v>63</v>
      </c>
      <c r="AX1860" s="4" t="s">
        <v>63</v>
      </c>
      <c r="AY1860" s="4" t="s">
        <v>63</v>
      </c>
      <c r="AZ1860" s="4" t="s">
        <v>63</v>
      </c>
      <c r="BA1860" s="4" t="s">
        <v>63</v>
      </c>
      <c r="BB1860" s="4" t="s">
        <v>63</v>
      </c>
      <c r="BC1860" s="4" t="s">
        <v>63</v>
      </c>
      <c r="BD1860" s="4" t="s">
        <v>63</v>
      </c>
      <c r="BE1860" s="4" t="s">
        <v>63</v>
      </c>
      <c r="BF1860" s="4" t="s">
        <v>63</v>
      </c>
    </row>
    <row r="1861" spans="1:58">
      <c r="A1861" s="4" t="s">
        <v>58</v>
      </c>
      <c r="B1861" s="4" t="s">
        <v>16115</v>
      </c>
      <c r="C1861" s="4" t="s">
        <v>16116</v>
      </c>
      <c r="D1861" s="4" t="s">
        <v>13967</v>
      </c>
      <c r="E1861" s="4" t="s">
        <v>13968</v>
      </c>
      <c r="F1861" s="4">
        <v>1996</v>
      </c>
      <c r="G1861" s="4" t="s">
        <v>63</v>
      </c>
      <c r="H1861" s="4">
        <v>41</v>
      </c>
      <c r="I1861" s="4">
        <v>3</v>
      </c>
      <c r="J1861" s="4">
        <v>150</v>
      </c>
      <c r="K1861" s="4">
        <v>157</v>
      </c>
      <c r="L1861" s="4" t="s">
        <v>16117</v>
      </c>
      <c r="M1861" s="4" t="s">
        <v>16118</v>
      </c>
      <c r="N1861" s="4" t="s">
        <v>16119</v>
      </c>
      <c r="O1861" s="4" t="s">
        <v>63</v>
      </c>
      <c r="P1861" s="4"/>
      <c r="Q1861" s="4" t="s">
        <v>63</v>
      </c>
      <c r="R1861" s="4" t="s">
        <v>63</v>
      </c>
      <c r="S1861" s="4" t="s">
        <v>63</v>
      </c>
      <c r="T1861" s="4" t="s">
        <v>63</v>
      </c>
      <c r="U1861" s="4"/>
      <c r="V1861" s="4"/>
      <c r="W1861" s="4"/>
      <c r="X1861" s="4" t="s">
        <v>63</v>
      </c>
      <c r="Y1861" s="4" t="s">
        <v>13972</v>
      </c>
      <c r="Z1861" s="4" t="s">
        <v>63</v>
      </c>
      <c r="AA1861" s="4" t="s">
        <v>63</v>
      </c>
      <c r="AB1861" s="4">
        <v>1996203664</v>
      </c>
      <c r="AC1861" s="4" t="s">
        <v>67</v>
      </c>
      <c r="AD1861" s="4" t="s">
        <v>63</v>
      </c>
      <c r="AE1861" s="4" t="s">
        <v>63</v>
      </c>
      <c r="AF1861" s="4" t="s">
        <v>63</v>
      </c>
      <c r="AG1861" s="4" t="s">
        <v>16120</v>
      </c>
      <c r="AH1861" s="4" t="s">
        <v>63</v>
      </c>
      <c r="AI1861" s="4" t="s">
        <v>16121</v>
      </c>
      <c r="AJ1861" s="4" t="s">
        <v>63</v>
      </c>
      <c r="AK1861" s="4" t="s">
        <v>63</v>
      </c>
      <c r="AL1861" s="4" t="s">
        <v>63</v>
      </c>
      <c r="AM1861" s="4" t="s">
        <v>16122</v>
      </c>
      <c r="AN1861" s="4" t="s">
        <v>63</v>
      </c>
      <c r="AO1861" s="4" t="s">
        <v>63</v>
      </c>
      <c r="AP1861" s="4" t="s">
        <v>63</v>
      </c>
      <c r="AQ1861" s="4" t="s">
        <v>63</v>
      </c>
      <c r="AR1861" s="4" t="s">
        <v>63</v>
      </c>
      <c r="AS1861" s="4" t="s">
        <v>63</v>
      </c>
      <c r="AT1861" s="4" t="s">
        <v>63</v>
      </c>
      <c r="AU1861" s="4" t="s">
        <v>63</v>
      </c>
      <c r="AV1861" s="4" t="s">
        <v>63</v>
      </c>
      <c r="AW1861" s="4" t="s">
        <v>63</v>
      </c>
      <c r="AX1861" s="4" t="s">
        <v>63</v>
      </c>
      <c r="AY1861" s="4" t="s">
        <v>63</v>
      </c>
      <c r="AZ1861" s="4" t="s">
        <v>63</v>
      </c>
      <c r="BA1861" s="4" t="s">
        <v>63</v>
      </c>
      <c r="BB1861" s="4" t="s">
        <v>63</v>
      </c>
      <c r="BC1861" s="4" t="s">
        <v>63</v>
      </c>
      <c r="BD1861" s="4" t="s">
        <v>63</v>
      </c>
      <c r="BE1861" s="4" t="s">
        <v>63</v>
      </c>
      <c r="BF1861" s="4" t="s">
        <v>63</v>
      </c>
    </row>
    <row r="1862" spans="1:58">
      <c r="A1862" s="4" t="s">
        <v>58</v>
      </c>
      <c r="B1862" s="4" t="s">
        <v>16123</v>
      </c>
      <c r="C1862" s="4" t="s">
        <v>16124</v>
      </c>
      <c r="D1862" s="4" t="s">
        <v>1240</v>
      </c>
      <c r="E1862" s="4" t="s">
        <v>63</v>
      </c>
      <c r="F1862" s="4">
        <v>2013</v>
      </c>
      <c r="G1862" s="4" t="s">
        <v>15254</v>
      </c>
      <c r="H1862" s="4">
        <v>63</v>
      </c>
      <c r="I1862" s="4">
        <v>617</v>
      </c>
      <c r="J1862" s="4" t="s">
        <v>16125</v>
      </c>
      <c r="K1862" s="4" t="s">
        <v>16126</v>
      </c>
      <c r="L1862" s="4" t="s">
        <v>16127</v>
      </c>
      <c r="M1862" s="4" t="s">
        <v>16128</v>
      </c>
      <c r="N1862" s="4" t="s">
        <v>16129</v>
      </c>
      <c r="O1862" s="4" t="s">
        <v>63</v>
      </c>
      <c r="P1862" s="4"/>
      <c r="Q1862" s="4" t="s">
        <v>63</v>
      </c>
      <c r="R1862" s="4" t="s">
        <v>63</v>
      </c>
      <c r="S1862" s="4" t="s">
        <v>63</v>
      </c>
      <c r="T1862" s="4" t="s">
        <v>63</v>
      </c>
      <c r="U1862" s="4"/>
      <c r="V1862" s="4"/>
      <c r="W1862" s="4"/>
      <c r="X1862" s="4" t="s">
        <v>63</v>
      </c>
      <c r="Y1862" s="4" t="s">
        <v>2376</v>
      </c>
      <c r="Z1862" s="4" t="s">
        <v>63</v>
      </c>
      <c r="AA1862" s="4" t="s">
        <v>63</v>
      </c>
      <c r="AB1862" s="4">
        <v>2013759627</v>
      </c>
      <c r="AC1862" s="4" t="s">
        <v>67</v>
      </c>
      <c r="AD1862" s="4" t="s">
        <v>63</v>
      </c>
      <c r="AE1862" s="4" t="s">
        <v>63</v>
      </c>
      <c r="AF1862" s="4" t="s">
        <v>63</v>
      </c>
      <c r="AG1862" s="4" t="s">
        <v>16130</v>
      </c>
      <c r="AH1862" s="4" t="s">
        <v>63</v>
      </c>
      <c r="AI1862" s="4" t="s">
        <v>16131</v>
      </c>
      <c r="AJ1862" s="4" t="s">
        <v>63</v>
      </c>
      <c r="AK1862" s="4" t="s">
        <v>63</v>
      </c>
      <c r="AL1862" s="4" t="s">
        <v>63</v>
      </c>
      <c r="AM1862" s="4" t="s">
        <v>16132</v>
      </c>
      <c r="AN1862" s="4" t="s">
        <v>63</v>
      </c>
      <c r="AO1862" s="4" t="s">
        <v>63</v>
      </c>
      <c r="AP1862" s="4" t="s">
        <v>63</v>
      </c>
      <c r="AQ1862" s="4" t="s">
        <v>63</v>
      </c>
      <c r="AR1862" s="4" t="s">
        <v>63</v>
      </c>
      <c r="AS1862" s="4" t="s">
        <v>63</v>
      </c>
      <c r="AT1862" s="4" t="s">
        <v>63</v>
      </c>
      <c r="AU1862" s="4" t="s">
        <v>63</v>
      </c>
      <c r="AV1862" s="4" t="s">
        <v>63</v>
      </c>
      <c r="AW1862" s="4" t="s">
        <v>63</v>
      </c>
      <c r="AX1862" s="4" t="s">
        <v>63</v>
      </c>
      <c r="AY1862" s="4" t="s">
        <v>63</v>
      </c>
      <c r="AZ1862" s="4" t="s">
        <v>63</v>
      </c>
      <c r="BA1862" s="4" t="s">
        <v>63</v>
      </c>
      <c r="BB1862" s="4" t="s">
        <v>63</v>
      </c>
      <c r="BC1862" s="4" t="s">
        <v>63</v>
      </c>
      <c r="BD1862" s="4" t="s">
        <v>63</v>
      </c>
      <c r="BE1862" s="4" t="s">
        <v>63</v>
      </c>
      <c r="BF1862" s="4" t="s">
        <v>63</v>
      </c>
    </row>
    <row r="1863" spans="1:58">
      <c r="A1863" s="4" t="s">
        <v>58</v>
      </c>
      <c r="B1863" s="4" t="s">
        <v>16133</v>
      </c>
      <c r="C1863" s="4" t="s">
        <v>16134</v>
      </c>
      <c r="D1863" s="4" t="s">
        <v>16135</v>
      </c>
      <c r="E1863" s="4" t="s">
        <v>16136</v>
      </c>
      <c r="F1863" s="4">
        <v>1988</v>
      </c>
      <c r="G1863" s="4" t="s">
        <v>63</v>
      </c>
      <c r="H1863" s="4">
        <v>18</v>
      </c>
      <c r="I1863" s="4">
        <v>4</v>
      </c>
      <c r="J1863" s="4">
        <v>679</v>
      </c>
      <c r="K1863" s="4">
        <v>697</v>
      </c>
      <c r="L1863" s="4" t="s">
        <v>16137</v>
      </c>
      <c r="M1863" s="4" t="s">
        <v>16138</v>
      </c>
      <c r="N1863" s="4" t="s">
        <v>16139</v>
      </c>
      <c r="O1863" s="4" t="s">
        <v>63</v>
      </c>
      <c r="P1863" s="4"/>
      <c r="Q1863" s="4" t="s">
        <v>63</v>
      </c>
      <c r="R1863" s="4" t="s">
        <v>63</v>
      </c>
      <c r="S1863" s="4" t="s">
        <v>63</v>
      </c>
      <c r="T1863" s="4" t="s">
        <v>63</v>
      </c>
      <c r="U1863" s="4"/>
      <c r="V1863" s="4"/>
      <c r="W1863" s="4"/>
      <c r="X1863" s="4" t="s">
        <v>63</v>
      </c>
      <c r="Y1863" s="4" t="s">
        <v>16140</v>
      </c>
      <c r="Z1863" s="4" t="s">
        <v>63</v>
      </c>
      <c r="AA1863" s="4" t="s">
        <v>63</v>
      </c>
      <c r="AB1863" s="4" t="s">
        <v>16141</v>
      </c>
      <c r="AC1863" s="4" t="s">
        <v>67</v>
      </c>
      <c r="AD1863" s="4" t="s">
        <v>63</v>
      </c>
      <c r="AE1863" s="4" t="s">
        <v>63</v>
      </c>
      <c r="AF1863" s="4" t="s">
        <v>63</v>
      </c>
      <c r="AG1863" s="4" t="s">
        <v>63</v>
      </c>
      <c r="AH1863" s="4" t="s">
        <v>63</v>
      </c>
      <c r="AI1863" s="4" t="s">
        <v>63</v>
      </c>
      <c r="AJ1863" s="4" t="s">
        <v>63</v>
      </c>
      <c r="AK1863" s="4" t="s">
        <v>63</v>
      </c>
      <c r="AL1863" s="4" t="s">
        <v>63</v>
      </c>
      <c r="AM1863" s="4" t="s">
        <v>16134</v>
      </c>
      <c r="AN1863" s="4" t="s">
        <v>63</v>
      </c>
      <c r="AO1863" s="4" t="s">
        <v>63</v>
      </c>
      <c r="AP1863" s="4" t="s">
        <v>63</v>
      </c>
      <c r="AQ1863" s="4" t="s">
        <v>63</v>
      </c>
      <c r="AR1863" s="4" t="s">
        <v>63</v>
      </c>
      <c r="AS1863" s="4" t="s">
        <v>63</v>
      </c>
      <c r="AT1863" s="4" t="s">
        <v>63</v>
      </c>
      <c r="AU1863" s="4" t="s">
        <v>63</v>
      </c>
      <c r="AV1863" s="4" t="s">
        <v>63</v>
      </c>
      <c r="AW1863" s="4" t="s">
        <v>63</v>
      </c>
      <c r="AX1863" s="4" t="s">
        <v>63</v>
      </c>
      <c r="AY1863" s="4" t="s">
        <v>63</v>
      </c>
      <c r="AZ1863" s="4" t="s">
        <v>63</v>
      </c>
      <c r="BA1863" s="4" t="s">
        <v>63</v>
      </c>
      <c r="BB1863" s="4" t="s">
        <v>63</v>
      </c>
      <c r="BC1863" s="4" t="s">
        <v>63</v>
      </c>
      <c r="BD1863" s="4" t="s">
        <v>63</v>
      </c>
      <c r="BE1863" s="4" t="s">
        <v>63</v>
      </c>
      <c r="BF1863" s="4" t="s">
        <v>63</v>
      </c>
    </row>
    <row r="1864" spans="1:58">
      <c r="A1864" s="4" t="s">
        <v>58</v>
      </c>
      <c r="B1864" s="4" t="s">
        <v>16142</v>
      </c>
      <c r="C1864" s="4" t="s">
        <v>16143</v>
      </c>
      <c r="D1864" s="4" t="s">
        <v>15421</v>
      </c>
      <c r="E1864" s="4" t="s">
        <v>63</v>
      </c>
      <c r="F1864" s="4">
        <v>2010</v>
      </c>
      <c r="G1864" s="4" t="s">
        <v>84</v>
      </c>
      <c r="H1864" s="4">
        <v>31</v>
      </c>
      <c r="I1864" s="4">
        <v>2</v>
      </c>
      <c r="J1864" s="4">
        <v>86</v>
      </c>
      <c r="K1864" s="4">
        <v>97</v>
      </c>
      <c r="L1864" s="4" t="s">
        <v>16144</v>
      </c>
      <c r="M1864" s="4" t="s">
        <v>16145</v>
      </c>
      <c r="N1864" s="4" t="s">
        <v>16146</v>
      </c>
      <c r="O1864" s="4" t="s">
        <v>63</v>
      </c>
      <c r="P1864" s="4"/>
      <c r="Q1864" s="4" t="s">
        <v>63</v>
      </c>
      <c r="R1864" s="4" t="s">
        <v>63</v>
      </c>
      <c r="S1864" s="4" t="s">
        <v>63</v>
      </c>
      <c r="T1864" s="4" t="s">
        <v>63</v>
      </c>
      <c r="U1864" s="4"/>
      <c r="V1864" s="4"/>
      <c r="W1864" s="4"/>
      <c r="X1864" s="4" t="s">
        <v>63</v>
      </c>
      <c r="Y1864" s="4" t="s">
        <v>15425</v>
      </c>
      <c r="Z1864" s="4" t="s">
        <v>63</v>
      </c>
      <c r="AA1864" s="4" t="s">
        <v>63</v>
      </c>
      <c r="AB1864" s="4" t="s">
        <v>63</v>
      </c>
      <c r="AC1864" s="4" t="s">
        <v>67</v>
      </c>
      <c r="AD1864" s="4" t="s">
        <v>63</v>
      </c>
      <c r="AE1864" s="4" t="s">
        <v>63</v>
      </c>
      <c r="AF1864" s="4" t="s">
        <v>63</v>
      </c>
      <c r="AG1864" s="4" t="s">
        <v>16147</v>
      </c>
      <c r="AH1864" s="4" t="s">
        <v>63</v>
      </c>
      <c r="AI1864" s="4" t="s">
        <v>16148</v>
      </c>
      <c r="AJ1864" s="4" t="s">
        <v>63</v>
      </c>
      <c r="AK1864" s="4" t="s">
        <v>63</v>
      </c>
      <c r="AL1864" s="4" t="s">
        <v>63</v>
      </c>
      <c r="AM1864" s="4" t="s">
        <v>16149</v>
      </c>
      <c r="AN1864" s="4" t="s">
        <v>63</v>
      </c>
      <c r="AO1864" s="4" t="s">
        <v>63</v>
      </c>
      <c r="AP1864" s="4" t="s">
        <v>63</v>
      </c>
      <c r="AQ1864" s="4" t="s">
        <v>63</v>
      </c>
      <c r="AR1864" s="4" t="s">
        <v>63</v>
      </c>
      <c r="AS1864" s="4" t="s">
        <v>63</v>
      </c>
      <c r="AT1864" s="4" t="s">
        <v>63</v>
      </c>
      <c r="AU1864" s="4" t="s">
        <v>63</v>
      </c>
      <c r="AV1864" s="4" t="s">
        <v>63</v>
      </c>
      <c r="AW1864" s="4" t="s">
        <v>63</v>
      </c>
      <c r="AX1864" s="4" t="s">
        <v>63</v>
      </c>
      <c r="AY1864" s="4" t="s">
        <v>63</v>
      </c>
      <c r="AZ1864" s="4" t="s">
        <v>63</v>
      </c>
      <c r="BA1864" s="4" t="s">
        <v>63</v>
      </c>
      <c r="BB1864" s="4" t="s">
        <v>63</v>
      </c>
      <c r="BC1864" s="4" t="s">
        <v>63</v>
      </c>
      <c r="BD1864" s="4" t="s">
        <v>63</v>
      </c>
      <c r="BE1864" s="4" t="s">
        <v>63</v>
      </c>
      <c r="BF1864" s="4" t="s">
        <v>63</v>
      </c>
    </row>
    <row r="1865" spans="1:58">
      <c r="A1865" s="4" t="s">
        <v>58</v>
      </c>
      <c r="B1865" s="4" t="s">
        <v>16150</v>
      </c>
      <c r="C1865" s="4" t="s">
        <v>16151</v>
      </c>
      <c r="D1865" s="4" t="s">
        <v>16152</v>
      </c>
      <c r="E1865" s="4" t="s">
        <v>63</v>
      </c>
      <c r="F1865" s="4">
        <v>2016</v>
      </c>
      <c r="G1865" s="4">
        <v>1</v>
      </c>
      <c r="H1865" s="4">
        <v>18</v>
      </c>
      <c r="I1865" s="4">
        <v>3</v>
      </c>
      <c r="J1865" s="4">
        <v>24</v>
      </c>
      <c r="K1865" s="4" t="s">
        <v>63</v>
      </c>
      <c r="L1865" s="4" t="s">
        <v>16153</v>
      </c>
      <c r="M1865" s="4" t="s">
        <v>16154</v>
      </c>
      <c r="N1865" s="4" t="s">
        <v>16155</v>
      </c>
      <c r="O1865" s="4" t="s">
        <v>63</v>
      </c>
      <c r="P1865" s="4"/>
      <c r="Q1865" s="4" t="s">
        <v>63</v>
      </c>
      <c r="R1865" s="4" t="s">
        <v>63</v>
      </c>
      <c r="S1865" s="4" t="s">
        <v>63</v>
      </c>
      <c r="T1865" s="4" t="s">
        <v>63</v>
      </c>
      <c r="U1865" s="4"/>
      <c r="V1865" s="4"/>
      <c r="W1865" s="4"/>
      <c r="X1865" s="4" t="s">
        <v>63</v>
      </c>
      <c r="Y1865" s="4" t="s">
        <v>16156</v>
      </c>
      <c r="Z1865" s="4" t="s">
        <v>63</v>
      </c>
      <c r="AA1865" s="4" t="s">
        <v>63</v>
      </c>
      <c r="AB1865" s="4" t="s">
        <v>63</v>
      </c>
      <c r="AC1865" s="4" t="s">
        <v>67</v>
      </c>
      <c r="AD1865" s="4" t="s">
        <v>63</v>
      </c>
      <c r="AE1865" s="4" t="s">
        <v>63</v>
      </c>
      <c r="AF1865" s="4" t="s">
        <v>63</v>
      </c>
      <c r="AG1865" s="4" t="s">
        <v>63</v>
      </c>
      <c r="AH1865" s="4" t="s">
        <v>63</v>
      </c>
      <c r="AI1865" s="4" t="s">
        <v>63</v>
      </c>
      <c r="AJ1865" s="4" t="s">
        <v>63</v>
      </c>
      <c r="AK1865" s="4" t="s">
        <v>63</v>
      </c>
      <c r="AL1865" s="4" t="s">
        <v>63</v>
      </c>
      <c r="AM1865" s="4" t="s">
        <v>16151</v>
      </c>
      <c r="AN1865" s="4" t="s">
        <v>63</v>
      </c>
      <c r="AO1865" s="4" t="s">
        <v>63</v>
      </c>
      <c r="AP1865" s="4" t="s">
        <v>63</v>
      </c>
      <c r="AQ1865" s="4" t="s">
        <v>63</v>
      </c>
      <c r="AR1865" s="4" t="s">
        <v>63</v>
      </c>
      <c r="AS1865" s="4" t="s">
        <v>63</v>
      </c>
      <c r="AT1865" s="4" t="s">
        <v>63</v>
      </c>
      <c r="AU1865" s="4" t="s">
        <v>63</v>
      </c>
      <c r="AV1865" s="4" t="s">
        <v>63</v>
      </c>
      <c r="AW1865" s="4" t="s">
        <v>63</v>
      </c>
      <c r="AX1865" s="4" t="s">
        <v>63</v>
      </c>
      <c r="AY1865" s="4" t="s">
        <v>63</v>
      </c>
      <c r="AZ1865" s="4" t="s">
        <v>63</v>
      </c>
      <c r="BA1865" s="4" t="s">
        <v>63</v>
      </c>
      <c r="BB1865" s="4" t="s">
        <v>63</v>
      </c>
      <c r="BC1865" s="4" t="s">
        <v>63</v>
      </c>
      <c r="BD1865" s="4" t="s">
        <v>63</v>
      </c>
      <c r="BE1865" s="4" t="s">
        <v>63</v>
      </c>
      <c r="BF1865" s="4" t="s">
        <v>63</v>
      </c>
    </row>
    <row r="1866" spans="1:58">
      <c r="A1866" s="4" t="s">
        <v>58</v>
      </c>
      <c r="B1866" s="4" t="s">
        <v>16157</v>
      </c>
      <c r="C1866" s="4" t="s">
        <v>16158</v>
      </c>
      <c r="D1866" s="4" t="s">
        <v>16159</v>
      </c>
      <c r="E1866" s="4" t="s">
        <v>63</v>
      </c>
      <c r="F1866" s="4">
        <v>1986</v>
      </c>
      <c r="G1866" s="4" t="s">
        <v>63</v>
      </c>
      <c r="H1866" s="4">
        <v>1</v>
      </c>
      <c r="I1866" s="4">
        <v>1</v>
      </c>
      <c r="J1866" s="4">
        <v>34</v>
      </c>
      <c r="K1866" s="4">
        <v>37</v>
      </c>
      <c r="L1866" s="4" t="s">
        <v>16160</v>
      </c>
      <c r="M1866" s="4" t="s">
        <v>16161</v>
      </c>
      <c r="N1866" s="4" t="s">
        <v>16162</v>
      </c>
      <c r="O1866" s="4" t="s">
        <v>63</v>
      </c>
      <c r="P1866" s="4"/>
      <c r="Q1866" s="4" t="s">
        <v>63</v>
      </c>
      <c r="R1866" s="4" t="s">
        <v>63</v>
      </c>
      <c r="S1866" s="4" t="s">
        <v>63</v>
      </c>
      <c r="T1866" s="4" t="s">
        <v>63</v>
      </c>
      <c r="U1866" s="4"/>
      <c r="V1866" s="4"/>
      <c r="W1866" s="4"/>
      <c r="X1866" s="4" t="s">
        <v>63</v>
      </c>
      <c r="Y1866" s="4" t="s">
        <v>375</v>
      </c>
      <c r="Z1866" s="4" t="s">
        <v>63</v>
      </c>
      <c r="AA1866" s="4" t="s">
        <v>63</v>
      </c>
      <c r="AB1866" s="4" t="s">
        <v>63</v>
      </c>
      <c r="AC1866" s="4" t="s">
        <v>67</v>
      </c>
      <c r="AD1866" s="4" t="s">
        <v>63</v>
      </c>
      <c r="AE1866" s="4" t="s">
        <v>63</v>
      </c>
      <c r="AF1866" s="4" t="s">
        <v>63</v>
      </c>
      <c r="AG1866" s="4" t="s">
        <v>16163</v>
      </c>
      <c r="AH1866" s="4" t="s">
        <v>63</v>
      </c>
      <c r="AI1866" s="4" t="s">
        <v>63</v>
      </c>
      <c r="AJ1866" s="4" t="s">
        <v>63</v>
      </c>
      <c r="AK1866" s="4" t="s">
        <v>63</v>
      </c>
      <c r="AL1866" s="4" t="s">
        <v>63</v>
      </c>
      <c r="AM1866" s="4" t="s">
        <v>16164</v>
      </c>
      <c r="AN1866" s="4" t="s">
        <v>63</v>
      </c>
      <c r="AO1866" s="4" t="s">
        <v>63</v>
      </c>
      <c r="AP1866" s="4" t="s">
        <v>63</v>
      </c>
      <c r="AQ1866" s="4" t="s">
        <v>63</v>
      </c>
      <c r="AR1866" s="4" t="s">
        <v>63</v>
      </c>
      <c r="AS1866" s="4" t="s">
        <v>63</v>
      </c>
      <c r="AT1866" s="4" t="s">
        <v>63</v>
      </c>
      <c r="AU1866" s="4" t="s">
        <v>63</v>
      </c>
      <c r="AV1866" s="4" t="s">
        <v>63</v>
      </c>
      <c r="AW1866" s="4" t="s">
        <v>63</v>
      </c>
      <c r="AX1866" s="4" t="s">
        <v>63</v>
      </c>
      <c r="AY1866" s="4" t="s">
        <v>63</v>
      </c>
      <c r="AZ1866" s="4" t="s">
        <v>63</v>
      </c>
      <c r="BA1866" s="4" t="s">
        <v>63</v>
      </c>
      <c r="BB1866" s="4" t="s">
        <v>63</v>
      </c>
      <c r="BC1866" s="4" t="s">
        <v>63</v>
      </c>
      <c r="BD1866" s="4" t="s">
        <v>63</v>
      </c>
      <c r="BE1866" s="4" t="s">
        <v>63</v>
      </c>
      <c r="BF1866" s="4" t="s">
        <v>63</v>
      </c>
    </row>
    <row r="1867" spans="1:58">
      <c r="A1867" s="4" t="s">
        <v>58</v>
      </c>
      <c r="B1867" s="4" t="s">
        <v>16165</v>
      </c>
      <c r="C1867" s="4" t="s">
        <v>16166</v>
      </c>
      <c r="D1867" s="4" t="s">
        <v>15421</v>
      </c>
      <c r="E1867" s="4" t="s">
        <v>63</v>
      </c>
      <c r="F1867" s="4">
        <v>2013</v>
      </c>
      <c r="G1867" s="4" t="s">
        <v>63</v>
      </c>
      <c r="H1867" s="4">
        <v>34</v>
      </c>
      <c r="I1867" s="4">
        <v>3</v>
      </c>
      <c r="J1867" s="4">
        <v>273</v>
      </c>
      <c r="K1867" s="4">
        <v>276</v>
      </c>
      <c r="L1867" s="4" t="s">
        <v>16167</v>
      </c>
      <c r="M1867" s="4" t="s">
        <v>16168</v>
      </c>
      <c r="N1867" s="4" t="s">
        <v>16169</v>
      </c>
      <c r="O1867" s="4" t="s">
        <v>63</v>
      </c>
      <c r="P1867" s="4"/>
      <c r="Q1867" s="4" t="s">
        <v>63</v>
      </c>
      <c r="R1867" s="4" t="s">
        <v>63</v>
      </c>
      <c r="S1867" s="4" t="s">
        <v>63</v>
      </c>
      <c r="T1867" s="4" t="s">
        <v>63</v>
      </c>
      <c r="U1867" s="4"/>
      <c r="V1867" s="4"/>
      <c r="W1867" s="4"/>
      <c r="X1867" s="4" t="s">
        <v>63</v>
      </c>
      <c r="Y1867" s="4" t="s">
        <v>15425</v>
      </c>
      <c r="Z1867" s="4" t="s">
        <v>63</v>
      </c>
      <c r="AA1867" s="4" t="s">
        <v>63</v>
      </c>
      <c r="AB1867" s="4" t="s">
        <v>63</v>
      </c>
      <c r="AC1867" s="4" t="s">
        <v>67</v>
      </c>
      <c r="AD1867" s="4" t="s">
        <v>63</v>
      </c>
      <c r="AE1867" s="4" t="s">
        <v>63</v>
      </c>
      <c r="AF1867" s="4" t="s">
        <v>63</v>
      </c>
      <c r="AG1867" s="4" t="s">
        <v>16170</v>
      </c>
      <c r="AH1867" s="4" t="s">
        <v>63</v>
      </c>
      <c r="AI1867" s="4" t="s">
        <v>63</v>
      </c>
      <c r="AJ1867" s="4" t="s">
        <v>63</v>
      </c>
      <c r="AK1867" s="4" t="s">
        <v>63</v>
      </c>
      <c r="AL1867" s="4" t="s">
        <v>63</v>
      </c>
      <c r="AM1867" s="4" t="s">
        <v>16171</v>
      </c>
      <c r="AN1867" s="4" t="s">
        <v>63</v>
      </c>
      <c r="AO1867" s="4" t="s">
        <v>63</v>
      </c>
      <c r="AP1867" s="4" t="s">
        <v>63</v>
      </c>
      <c r="AQ1867" s="4" t="s">
        <v>63</v>
      </c>
      <c r="AR1867" s="4" t="s">
        <v>63</v>
      </c>
      <c r="AS1867" s="4" t="s">
        <v>63</v>
      </c>
      <c r="AT1867" s="4" t="s">
        <v>63</v>
      </c>
      <c r="AU1867" s="4" t="s">
        <v>63</v>
      </c>
      <c r="AV1867" s="4" t="s">
        <v>63</v>
      </c>
      <c r="AW1867" s="4" t="s">
        <v>63</v>
      </c>
      <c r="AX1867" s="4" t="s">
        <v>63</v>
      </c>
      <c r="AY1867" s="4" t="s">
        <v>63</v>
      </c>
      <c r="AZ1867" s="4" t="s">
        <v>63</v>
      </c>
      <c r="BA1867" s="4" t="s">
        <v>63</v>
      </c>
      <c r="BB1867" s="4" t="s">
        <v>63</v>
      </c>
      <c r="BC1867" s="4" t="s">
        <v>63</v>
      </c>
      <c r="BD1867" s="4" t="s">
        <v>63</v>
      </c>
      <c r="BE1867" s="4" t="s">
        <v>63</v>
      </c>
      <c r="BF1867" s="4" t="s">
        <v>63</v>
      </c>
    </row>
    <row r="1868" spans="1:58">
      <c r="A1868" s="4" t="s">
        <v>58</v>
      </c>
      <c r="B1868" s="4" t="s">
        <v>16172</v>
      </c>
      <c r="C1868" s="4" t="s">
        <v>16173</v>
      </c>
      <c r="D1868" s="4" t="s">
        <v>4567</v>
      </c>
      <c r="E1868" s="4" t="s">
        <v>4568</v>
      </c>
      <c r="F1868" s="4">
        <v>2014</v>
      </c>
      <c r="G1868" s="4" t="s">
        <v>15254</v>
      </c>
      <c r="H1868" s="4">
        <v>69</v>
      </c>
      <c r="I1868" s="4" t="s">
        <v>63</v>
      </c>
      <c r="J1868" s="4">
        <v>1</v>
      </c>
      <c r="K1868" s="4">
        <v>4</v>
      </c>
      <c r="L1868" s="4" t="s">
        <v>16174</v>
      </c>
      <c r="M1868" s="4" t="s">
        <v>16175</v>
      </c>
      <c r="N1868" s="4" t="s">
        <v>16176</v>
      </c>
      <c r="O1868" s="4" t="s">
        <v>63</v>
      </c>
      <c r="P1868" s="4"/>
      <c r="Q1868" s="4" t="s">
        <v>63</v>
      </c>
      <c r="R1868" s="4" t="s">
        <v>63</v>
      </c>
      <c r="S1868" s="4" t="s">
        <v>63</v>
      </c>
      <c r="T1868" s="4" t="s">
        <v>63</v>
      </c>
      <c r="U1868" s="4"/>
      <c r="V1868" s="4"/>
      <c r="W1868" s="4"/>
      <c r="X1868" s="4" t="s">
        <v>63</v>
      </c>
      <c r="Y1868" s="4" t="s">
        <v>16177</v>
      </c>
      <c r="Z1868" s="4" t="s">
        <v>63</v>
      </c>
      <c r="AA1868" s="4" t="s">
        <v>63</v>
      </c>
      <c r="AB1868" s="4" t="s">
        <v>16178</v>
      </c>
      <c r="AC1868" s="4" t="s">
        <v>67</v>
      </c>
      <c r="AD1868" s="4" t="s">
        <v>63</v>
      </c>
      <c r="AE1868" s="4" t="s">
        <v>63</v>
      </c>
      <c r="AF1868" s="4" t="s">
        <v>63</v>
      </c>
      <c r="AG1868" s="4" t="s">
        <v>63</v>
      </c>
      <c r="AH1868" s="4" t="s">
        <v>63</v>
      </c>
      <c r="AI1868" s="4" t="s">
        <v>16179</v>
      </c>
      <c r="AJ1868" s="4" t="s">
        <v>63</v>
      </c>
      <c r="AK1868" s="4" t="s">
        <v>63</v>
      </c>
      <c r="AL1868" s="4" t="s">
        <v>63</v>
      </c>
      <c r="AM1868" s="4" t="s">
        <v>16173</v>
      </c>
      <c r="AN1868" s="4" t="s">
        <v>63</v>
      </c>
      <c r="AO1868" s="4" t="s">
        <v>63</v>
      </c>
      <c r="AP1868" s="4" t="s">
        <v>63</v>
      </c>
      <c r="AQ1868" s="4" t="s">
        <v>63</v>
      </c>
      <c r="AR1868" s="4" t="s">
        <v>63</v>
      </c>
      <c r="AS1868" s="4" t="s">
        <v>63</v>
      </c>
      <c r="AT1868" s="4" t="s">
        <v>63</v>
      </c>
      <c r="AU1868" s="4" t="s">
        <v>63</v>
      </c>
      <c r="AV1868" s="4" t="s">
        <v>63</v>
      </c>
      <c r="AW1868" s="4" t="s">
        <v>63</v>
      </c>
      <c r="AX1868" s="4" t="s">
        <v>63</v>
      </c>
      <c r="AY1868" s="4" t="s">
        <v>63</v>
      </c>
      <c r="AZ1868" s="4" t="s">
        <v>63</v>
      </c>
      <c r="BA1868" s="4" t="s">
        <v>63</v>
      </c>
      <c r="BB1868" s="4" t="s">
        <v>63</v>
      </c>
      <c r="BC1868" s="4" t="s">
        <v>63</v>
      </c>
      <c r="BD1868" s="4" t="s">
        <v>63</v>
      </c>
      <c r="BE1868" s="4" t="s">
        <v>63</v>
      </c>
      <c r="BF1868" s="4" t="s">
        <v>63</v>
      </c>
    </row>
    <row r="1869" spans="1:58">
      <c r="A1869" s="4" t="s">
        <v>58</v>
      </c>
      <c r="B1869" s="4" t="s">
        <v>16180</v>
      </c>
      <c r="C1869" s="4" t="s">
        <v>16181</v>
      </c>
      <c r="D1869" s="4" t="s">
        <v>371</v>
      </c>
      <c r="E1869" s="4" t="s">
        <v>63</v>
      </c>
      <c r="F1869" s="4">
        <v>2012</v>
      </c>
      <c r="G1869" s="4" t="s">
        <v>16182</v>
      </c>
      <c r="H1869" s="4" t="s">
        <v>16183</v>
      </c>
      <c r="I1869" s="4" t="s">
        <v>63</v>
      </c>
      <c r="J1869" s="4" t="s">
        <v>16184</v>
      </c>
      <c r="K1869" s="4" t="s">
        <v>63</v>
      </c>
      <c r="L1869" s="4" t="s">
        <v>16185</v>
      </c>
      <c r="M1869" s="4" t="s">
        <v>16186</v>
      </c>
      <c r="N1869" s="4" t="s">
        <v>16187</v>
      </c>
      <c r="O1869" s="4" t="s">
        <v>63</v>
      </c>
      <c r="P1869" s="4"/>
      <c r="Q1869" s="4" t="s">
        <v>63</v>
      </c>
      <c r="R1869" s="4" t="s">
        <v>63</v>
      </c>
      <c r="S1869" s="4" t="s">
        <v>63</v>
      </c>
      <c r="T1869" s="4" t="s">
        <v>63</v>
      </c>
      <c r="U1869" s="4"/>
      <c r="V1869" s="4"/>
      <c r="W1869" s="4"/>
      <c r="X1869" s="4" t="s">
        <v>63</v>
      </c>
      <c r="Y1869" s="4" t="s">
        <v>375</v>
      </c>
      <c r="Z1869" s="4" t="s">
        <v>63</v>
      </c>
      <c r="AA1869" s="4" t="s">
        <v>63</v>
      </c>
      <c r="AB1869" s="4" t="s">
        <v>63</v>
      </c>
      <c r="AC1869" s="4" t="s">
        <v>67</v>
      </c>
      <c r="AD1869" s="4" t="s">
        <v>63</v>
      </c>
      <c r="AE1869" s="4" t="s">
        <v>63</v>
      </c>
      <c r="AF1869" s="4" t="s">
        <v>63</v>
      </c>
      <c r="AG1869" s="4" t="s">
        <v>63</v>
      </c>
      <c r="AH1869" s="4" t="s">
        <v>63</v>
      </c>
      <c r="AI1869" s="4" t="s">
        <v>63</v>
      </c>
      <c r="AJ1869" s="4" t="s">
        <v>63</v>
      </c>
      <c r="AK1869" s="4" t="s">
        <v>63</v>
      </c>
      <c r="AL1869" s="4" t="s">
        <v>63</v>
      </c>
      <c r="AM1869" s="4" t="s">
        <v>16181</v>
      </c>
      <c r="AN1869" s="4" t="s">
        <v>63</v>
      </c>
      <c r="AO1869" s="4" t="s">
        <v>63</v>
      </c>
      <c r="AP1869" s="4" t="s">
        <v>63</v>
      </c>
      <c r="AQ1869" s="4" t="s">
        <v>63</v>
      </c>
      <c r="AR1869" s="4" t="s">
        <v>63</v>
      </c>
      <c r="AS1869" s="4" t="s">
        <v>63</v>
      </c>
      <c r="AT1869" s="4" t="s">
        <v>63</v>
      </c>
      <c r="AU1869" s="4" t="s">
        <v>63</v>
      </c>
      <c r="AV1869" s="4" t="s">
        <v>63</v>
      </c>
      <c r="AW1869" s="4" t="s">
        <v>63</v>
      </c>
      <c r="AX1869" s="4" t="s">
        <v>63</v>
      </c>
      <c r="AY1869" s="4" t="s">
        <v>63</v>
      </c>
      <c r="AZ1869" s="4" t="s">
        <v>63</v>
      </c>
      <c r="BA1869" s="4" t="s">
        <v>63</v>
      </c>
      <c r="BB1869" s="4" t="s">
        <v>63</v>
      </c>
      <c r="BC1869" s="4" t="s">
        <v>63</v>
      </c>
      <c r="BD1869" s="4" t="s">
        <v>63</v>
      </c>
      <c r="BE1869" s="4" t="s">
        <v>63</v>
      </c>
      <c r="BF1869" s="4" t="s">
        <v>63</v>
      </c>
    </row>
    <row r="1870" spans="1:58">
      <c r="A1870" s="4" t="s">
        <v>58</v>
      </c>
      <c r="B1870" s="4" t="s">
        <v>16188</v>
      </c>
      <c r="C1870" s="4" t="s">
        <v>16189</v>
      </c>
      <c r="D1870" s="4" t="s">
        <v>1866</v>
      </c>
      <c r="E1870" s="4" t="s">
        <v>1867</v>
      </c>
      <c r="F1870" s="4">
        <v>2006</v>
      </c>
      <c r="G1870" s="4" t="s">
        <v>15472</v>
      </c>
      <c r="H1870" s="4">
        <v>65</v>
      </c>
      <c r="I1870" s="4">
        <v>3</v>
      </c>
      <c r="J1870" s="4">
        <v>252</v>
      </c>
      <c r="K1870" s="4">
        <v>266</v>
      </c>
      <c r="L1870" s="4" t="s">
        <v>16190</v>
      </c>
      <c r="M1870" s="4" t="s">
        <v>16191</v>
      </c>
      <c r="N1870" s="4" t="s">
        <v>16192</v>
      </c>
      <c r="O1870" s="4" t="s">
        <v>63</v>
      </c>
      <c r="P1870" s="4"/>
      <c r="Q1870" s="4" t="s">
        <v>63</v>
      </c>
      <c r="R1870" s="4" t="s">
        <v>63</v>
      </c>
      <c r="S1870" s="4" t="s">
        <v>63</v>
      </c>
      <c r="T1870" s="4" t="s">
        <v>63</v>
      </c>
      <c r="U1870" s="4"/>
      <c r="V1870" s="4"/>
      <c r="W1870" s="4"/>
      <c r="X1870" s="4" t="s">
        <v>63</v>
      </c>
      <c r="Y1870" s="4" t="s">
        <v>1870</v>
      </c>
      <c r="Z1870" s="4" t="s">
        <v>63</v>
      </c>
      <c r="AA1870" s="4" t="s">
        <v>63</v>
      </c>
      <c r="AB1870" s="4" t="s">
        <v>16193</v>
      </c>
      <c r="AC1870" s="4" t="s">
        <v>67</v>
      </c>
      <c r="AD1870" s="4" t="s">
        <v>63</v>
      </c>
      <c r="AE1870" s="4" t="s">
        <v>63</v>
      </c>
      <c r="AF1870" s="4" t="s">
        <v>63</v>
      </c>
      <c r="AG1870" s="4" t="s">
        <v>63</v>
      </c>
      <c r="AH1870" s="4" t="s">
        <v>63</v>
      </c>
      <c r="AI1870" s="4" t="s">
        <v>16194</v>
      </c>
      <c r="AJ1870" s="4" t="s">
        <v>63</v>
      </c>
      <c r="AK1870" s="4" t="s">
        <v>63</v>
      </c>
      <c r="AL1870" s="4" t="s">
        <v>63</v>
      </c>
      <c r="AM1870" s="4" t="s">
        <v>16189</v>
      </c>
      <c r="AN1870" s="4" t="s">
        <v>63</v>
      </c>
      <c r="AO1870" s="4" t="s">
        <v>63</v>
      </c>
      <c r="AP1870" s="4" t="s">
        <v>63</v>
      </c>
      <c r="AQ1870" s="4" t="s">
        <v>63</v>
      </c>
      <c r="AR1870" s="4" t="s">
        <v>63</v>
      </c>
      <c r="AS1870" s="4" t="s">
        <v>63</v>
      </c>
      <c r="AT1870" s="4" t="s">
        <v>63</v>
      </c>
      <c r="AU1870" s="4" t="s">
        <v>63</v>
      </c>
      <c r="AV1870" s="4" t="s">
        <v>63</v>
      </c>
      <c r="AW1870" s="4" t="s">
        <v>63</v>
      </c>
      <c r="AX1870" s="4" t="s">
        <v>63</v>
      </c>
      <c r="AY1870" s="4" t="s">
        <v>63</v>
      </c>
      <c r="AZ1870" s="4" t="s">
        <v>63</v>
      </c>
      <c r="BA1870" s="4" t="s">
        <v>63</v>
      </c>
      <c r="BB1870" s="4" t="s">
        <v>63</v>
      </c>
      <c r="BC1870" s="4" t="s">
        <v>63</v>
      </c>
      <c r="BD1870" s="4" t="s">
        <v>63</v>
      </c>
      <c r="BE1870" s="4" t="s">
        <v>63</v>
      </c>
      <c r="BF1870" s="4" t="s">
        <v>63</v>
      </c>
    </row>
    <row r="1871" spans="1:58">
      <c r="A1871" s="4" t="s">
        <v>58</v>
      </c>
      <c r="B1871" s="4" t="s">
        <v>16195</v>
      </c>
      <c r="C1871" s="4" t="s">
        <v>16196</v>
      </c>
      <c r="D1871" s="4" t="s">
        <v>16197</v>
      </c>
      <c r="E1871" s="4" t="s">
        <v>63</v>
      </c>
      <c r="F1871" s="4">
        <v>2002</v>
      </c>
      <c r="G1871" s="4" t="s">
        <v>274</v>
      </c>
      <c r="H1871" s="4">
        <v>95</v>
      </c>
      <c r="I1871" s="4">
        <v>3</v>
      </c>
      <c r="J1871" s="4">
        <v>199</v>
      </c>
      <c r="K1871" s="4">
        <v>200</v>
      </c>
      <c r="L1871" s="4" t="s">
        <v>16198</v>
      </c>
      <c r="M1871" s="4" t="s">
        <v>63</v>
      </c>
      <c r="N1871" s="4" t="s">
        <v>16199</v>
      </c>
      <c r="O1871" s="4" t="s">
        <v>63</v>
      </c>
      <c r="P1871" s="4"/>
      <c r="Q1871" s="4" t="s">
        <v>63</v>
      </c>
      <c r="R1871" s="4" t="s">
        <v>63</v>
      </c>
      <c r="S1871" s="4" t="s">
        <v>63</v>
      </c>
      <c r="T1871" s="4" t="s">
        <v>63</v>
      </c>
      <c r="U1871" s="4"/>
      <c r="V1871" s="4"/>
      <c r="W1871" s="4"/>
      <c r="X1871" s="4" t="s">
        <v>63</v>
      </c>
      <c r="Y1871" s="4" t="s">
        <v>3553</v>
      </c>
      <c r="Z1871" s="4" t="s">
        <v>63</v>
      </c>
      <c r="AA1871" s="4" t="s">
        <v>63</v>
      </c>
      <c r="AB1871" s="4" t="s">
        <v>63</v>
      </c>
      <c r="AC1871" s="4" t="s">
        <v>67</v>
      </c>
      <c r="AD1871" s="4" t="s">
        <v>63</v>
      </c>
      <c r="AE1871" s="4" t="s">
        <v>63</v>
      </c>
      <c r="AF1871" s="4" t="s">
        <v>63</v>
      </c>
      <c r="AG1871" s="4" t="s">
        <v>16200</v>
      </c>
      <c r="AH1871" s="4" t="s">
        <v>63</v>
      </c>
      <c r="AI1871" s="4" t="s">
        <v>63</v>
      </c>
      <c r="AJ1871" s="4" t="s">
        <v>63</v>
      </c>
      <c r="AK1871" s="4" t="s">
        <v>63</v>
      </c>
      <c r="AL1871" s="4" t="s">
        <v>63</v>
      </c>
      <c r="AM1871" s="4" t="s">
        <v>16201</v>
      </c>
      <c r="AN1871" s="4" t="s">
        <v>63</v>
      </c>
      <c r="AO1871" s="4" t="s">
        <v>63</v>
      </c>
      <c r="AP1871" s="4" t="s">
        <v>63</v>
      </c>
      <c r="AQ1871" s="4" t="s">
        <v>63</v>
      </c>
      <c r="AR1871" s="4" t="s">
        <v>63</v>
      </c>
      <c r="AS1871" s="4" t="s">
        <v>63</v>
      </c>
      <c r="AT1871" s="4" t="s">
        <v>63</v>
      </c>
      <c r="AU1871" s="4" t="s">
        <v>63</v>
      </c>
      <c r="AV1871" s="4" t="s">
        <v>63</v>
      </c>
      <c r="AW1871" s="4" t="s">
        <v>63</v>
      </c>
      <c r="AX1871" s="4" t="s">
        <v>63</v>
      </c>
      <c r="AY1871" s="4" t="s">
        <v>63</v>
      </c>
      <c r="AZ1871" s="4" t="s">
        <v>63</v>
      </c>
      <c r="BA1871" s="4" t="s">
        <v>63</v>
      </c>
      <c r="BB1871" s="4" t="s">
        <v>63</v>
      </c>
      <c r="BC1871" s="4" t="s">
        <v>63</v>
      </c>
      <c r="BD1871" s="4" t="s">
        <v>63</v>
      </c>
      <c r="BE1871" s="4" t="s">
        <v>63</v>
      </c>
      <c r="BF1871" s="4" t="s">
        <v>63</v>
      </c>
    </row>
    <row r="1872" spans="1:58">
      <c r="A1872" s="4" t="s">
        <v>58</v>
      </c>
      <c r="B1872" s="4" t="s">
        <v>16202</v>
      </c>
      <c r="C1872" s="4" t="s">
        <v>16203</v>
      </c>
      <c r="D1872" s="4" t="s">
        <v>1332</v>
      </c>
      <c r="E1872" s="4" t="s">
        <v>63</v>
      </c>
      <c r="F1872" s="4">
        <v>2014</v>
      </c>
      <c r="G1872" s="4" t="s">
        <v>15165</v>
      </c>
      <c r="H1872" s="4">
        <v>54</v>
      </c>
      <c r="I1872" s="4">
        <v>4</v>
      </c>
      <c r="J1872" s="4">
        <v>467</v>
      </c>
      <c r="K1872" s="4">
        <v>473</v>
      </c>
      <c r="L1872" s="4" t="s">
        <v>16204</v>
      </c>
      <c r="M1872" s="4" t="s">
        <v>16205</v>
      </c>
      <c r="N1872" s="4" t="s">
        <v>16206</v>
      </c>
      <c r="O1872" s="4" t="s">
        <v>63</v>
      </c>
      <c r="P1872" s="4"/>
      <c r="Q1872" s="4" t="s">
        <v>63</v>
      </c>
      <c r="R1872" s="4" t="s">
        <v>63</v>
      </c>
      <c r="S1872" s="4" t="s">
        <v>63</v>
      </c>
      <c r="T1872" s="4" t="s">
        <v>63</v>
      </c>
      <c r="U1872" s="4"/>
      <c r="V1872" s="4"/>
      <c r="W1872" s="4"/>
      <c r="X1872" s="4" t="s">
        <v>63</v>
      </c>
      <c r="Y1872" s="4" t="s">
        <v>16207</v>
      </c>
      <c r="Z1872" s="4" t="s">
        <v>63</v>
      </c>
      <c r="AA1872" s="4" t="s">
        <v>63</v>
      </c>
      <c r="AB1872" s="4">
        <v>2014201479</v>
      </c>
      <c r="AC1872" s="4" t="s">
        <v>67</v>
      </c>
      <c r="AD1872" s="4" t="s">
        <v>63</v>
      </c>
      <c r="AE1872" s="4" t="s">
        <v>63</v>
      </c>
      <c r="AF1872" s="4" t="s">
        <v>63</v>
      </c>
      <c r="AG1872" s="4" t="s">
        <v>16208</v>
      </c>
      <c r="AH1872" s="4" t="s">
        <v>63</v>
      </c>
      <c r="AI1872" s="4" t="s">
        <v>16209</v>
      </c>
      <c r="AJ1872" s="4" t="s">
        <v>63</v>
      </c>
      <c r="AK1872" s="4" t="s">
        <v>63</v>
      </c>
      <c r="AL1872" s="4" t="s">
        <v>63</v>
      </c>
      <c r="AM1872" s="4" t="s">
        <v>16210</v>
      </c>
      <c r="AN1872" s="4" t="s">
        <v>63</v>
      </c>
      <c r="AO1872" s="4" t="s">
        <v>63</v>
      </c>
      <c r="AP1872" s="4" t="s">
        <v>63</v>
      </c>
      <c r="AQ1872" s="4" t="s">
        <v>63</v>
      </c>
      <c r="AR1872" s="4" t="s">
        <v>63</v>
      </c>
      <c r="AS1872" s="4" t="s">
        <v>63</v>
      </c>
      <c r="AT1872" s="4" t="s">
        <v>63</v>
      </c>
      <c r="AU1872" s="4" t="s">
        <v>63</v>
      </c>
      <c r="AV1872" s="4" t="s">
        <v>63</v>
      </c>
      <c r="AW1872" s="4" t="s">
        <v>63</v>
      </c>
      <c r="AX1872" s="4" t="s">
        <v>63</v>
      </c>
      <c r="AY1872" s="4" t="s">
        <v>63</v>
      </c>
      <c r="AZ1872" s="4" t="s">
        <v>63</v>
      </c>
      <c r="BA1872" s="4" t="s">
        <v>63</v>
      </c>
      <c r="BB1872" s="4" t="s">
        <v>63</v>
      </c>
      <c r="BC1872" s="4" t="s">
        <v>63</v>
      </c>
      <c r="BD1872" s="4" t="s">
        <v>63</v>
      </c>
      <c r="BE1872" s="4" t="s">
        <v>63</v>
      </c>
      <c r="BF1872" s="4" t="s">
        <v>63</v>
      </c>
    </row>
    <row r="1873" spans="1:58">
      <c r="A1873" s="4" t="s">
        <v>58</v>
      </c>
      <c r="B1873" s="4" t="s">
        <v>16211</v>
      </c>
      <c r="C1873" s="4" t="s">
        <v>16212</v>
      </c>
      <c r="D1873" s="4" t="s">
        <v>389</v>
      </c>
      <c r="E1873" s="4" t="s">
        <v>63</v>
      </c>
      <c r="F1873" s="4">
        <v>2009</v>
      </c>
      <c r="G1873" s="4" t="s">
        <v>15165</v>
      </c>
      <c r="H1873" s="4">
        <v>30</v>
      </c>
      <c r="I1873" s="4">
        <v>2</v>
      </c>
      <c r="J1873" s="4">
        <v>212</v>
      </c>
      <c r="K1873" s="4" t="s">
        <v>63</v>
      </c>
      <c r="L1873" s="4" t="s">
        <v>16213</v>
      </c>
      <c r="M1873" s="4" t="s">
        <v>16214</v>
      </c>
      <c r="N1873" s="4" t="s">
        <v>16215</v>
      </c>
      <c r="O1873" s="4" t="s">
        <v>63</v>
      </c>
      <c r="P1873" s="4"/>
      <c r="Q1873" s="4" t="s">
        <v>63</v>
      </c>
      <c r="R1873" s="4" t="s">
        <v>63</v>
      </c>
      <c r="S1873" s="4" t="s">
        <v>63</v>
      </c>
      <c r="T1873" s="4" t="s">
        <v>63</v>
      </c>
      <c r="U1873" s="4"/>
      <c r="V1873" s="4"/>
      <c r="W1873" s="4"/>
      <c r="X1873" s="4" t="s">
        <v>63</v>
      </c>
      <c r="Y1873" s="4" t="s">
        <v>392</v>
      </c>
      <c r="Z1873" s="4" t="s">
        <v>63</v>
      </c>
      <c r="AA1873" s="4" t="s">
        <v>63</v>
      </c>
      <c r="AB1873" s="4" t="s">
        <v>63</v>
      </c>
      <c r="AC1873" s="4" t="s">
        <v>67</v>
      </c>
      <c r="AD1873" s="4" t="s">
        <v>63</v>
      </c>
      <c r="AE1873" s="4" t="s">
        <v>63</v>
      </c>
      <c r="AF1873" s="4" t="s">
        <v>63</v>
      </c>
      <c r="AG1873" s="4" t="s">
        <v>63</v>
      </c>
      <c r="AH1873" s="4" t="s">
        <v>63</v>
      </c>
      <c r="AI1873" s="4" t="s">
        <v>16216</v>
      </c>
      <c r="AJ1873" s="4" t="s">
        <v>63</v>
      </c>
      <c r="AK1873" s="4" t="s">
        <v>63</v>
      </c>
      <c r="AL1873" s="4" t="s">
        <v>63</v>
      </c>
      <c r="AM1873" s="4" t="s">
        <v>16212</v>
      </c>
      <c r="AN1873" s="4" t="s">
        <v>63</v>
      </c>
      <c r="AO1873" s="4" t="s">
        <v>63</v>
      </c>
      <c r="AP1873" s="4" t="s">
        <v>63</v>
      </c>
      <c r="AQ1873" s="4" t="s">
        <v>63</v>
      </c>
      <c r="AR1873" s="4" t="s">
        <v>63</v>
      </c>
      <c r="AS1873" s="4" t="s">
        <v>63</v>
      </c>
      <c r="AT1873" s="4" t="s">
        <v>63</v>
      </c>
      <c r="AU1873" s="4" t="s">
        <v>63</v>
      </c>
      <c r="AV1873" s="4" t="s">
        <v>63</v>
      </c>
      <c r="AW1873" s="4" t="s">
        <v>63</v>
      </c>
      <c r="AX1873" s="4" t="s">
        <v>63</v>
      </c>
      <c r="AY1873" s="4" t="s">
        <v>63</v>
      </c>
      <c r="AZ1873" s="4" t="s">
        <v>63</v>
      </c>
      <c r="BA1873" s="4" t="s">
        <v>63</v>
      </c>
      <c r="BB1873" s="4" t="s">
        <v>63</v>
      </c>
      <c r="BC1873" s="4" t="s">
        <v>63</v>
      </c>
      <c r="BD1873" s="4" t="s">
        <v>63</v>
      </c>
      <c r="BE1873" s="4" t="s">
        <v>63</v>
      </c>
      <c r="BF1873" s="4" t="s">
        <v>63</v>
      </c>
    </row>
    <row r="1874" spans="1:58">
      <c r="A1874" s="4" t="s">
        <v>58</v>
      </c>
      <c r="B1874" s="4" t="s">
        <v>16217</v>
      </c>
      <c r="C1874" s="4" t="s">
        <v>16218</v>
      </c>
      <c r="D1874" s="4" t="s">
        <v>16219</v>
      </c>
      <c r="E1874" s="4" t="s">
        <v>63</v>
      </c>
      <c r="F1874" s="4">
        <v>1994</v>
      </c>
      <c r="G1874" s="4" t="s">
        <v>63</v>
      </c>
      <c r="H1874" s="4">
        <v>40</v>
      </c>
      <c r="I1874" s="4">
        <v>3</v>
      </c>
      <c r="J1874" s="4">
        <v>165</v>
      </c>
      <c r="K1874" s="4">
        <v>170</v>
      </c>
      <c r="L1874" s="4" t="s">
        <v>16220</v>
      </c>
      <c r="M1874" s="4" t="s">
        <v>16221</v>
      </c>
      <c r="N1874" s="4" t="s">
        <v>16222</v>
      </c>
      <c r="O1874" s="4" t="s">
        <v>63</v>
      </c>
      <c r="P1874" s="4"/>
      <c r="Q1874" s="4" t="s">
        <v>63</v>
      </c>
      <c r="R1874" s="4" t="s">
        <v>63</v>
      </c>
      <c r="S1874" s="4" t="s">
        <v>63</v>
      </c>
      <c r="T1874" s="4" t="s">
        <v>63</v>
      </c>
      <c r="U1874" s="4"/>
      <c r="V1874" s="4"/>
      <c r="W1874" s="4"/>
      <c r="X1874" s="4" t="s">
        <v>63</v>
      </c>
      <c r="Y1874" s="4" t="s">
        <v>16223</v>
      </c>
      <c r="Z1874" s="4" t="s">
        <v>63</v>
      </c>
      <c r="AA1874" s="4" t="s">
        <v>63</v>
      </c>
      <c r="AB1874" s="4" t="s">
        <v>16224</v>
      </c>
      <c r="AC1874" s="4" t="s">
        <v>102</v>
      </c>
      <c r="AD1874" s="4" t="s">
        <v>63</v>
      </c>
      <c r="AE1874" s="4" t="s">
        <v>63</v>
      </c>
      <c r="AF1874" s="4" t="s">
        <v>63</v>
      </c>
      <c r="AG1874" s="4" t="s">
        <v>63</v>
      </c>
      <c r="AH1874" s="4" t="s">
        <v>63</v>
      </c>
      <c r="AI1874" s="4" t="s">
        <v>63</v>
      </c>
      <c r="AJ1874" s="4" t="s">
        <v>63</v>
      </c>
      <c r="AK1874" s="4" t="s">
        <v>63</v>
      </c>
      <c r="AL1874" s="4" t="s">
        <v>63</v>
      </c>
      <c r="AM1874" s="4" t="s">
        <v>16225</v>
      </c>
      <c r="AN1874" s="4" t="s">
        <v>63</v>
      </c>
      <c r="AO1874" s="4" t="s">
        <v>63</v>
      </c>
      <c r="AP1874" s="4" t="s">
        <v>63</v>
      </c>
      <c r="AQ1874" s="4" t="s">
        <v>63</v>
      </c>
      <c r="AR1874" s="4" t="s">
        <v>63</v>
      </c>
      <c r="AS1874" s="4" t="s">
        <v>63</v>
      </c>
      <c r="AT1874" s="4" t="s">
        <v>63</v>
      </c>
      <c r="AU1874" s="4" t="s">
        <v>63</v>
      </c>
      <c r="AV1874" s="4" t="s">
        <v>63</v>
      </c>
      <c r="AW1874" s="4" t="s">
        <v>63</v>
      </c>
      <c r="AX1874" s="4" t="s">
        <v>63</v>
      </c>
      <c r="AY1874" s="4" t="s">
        <v>63</v>
      </c>
      <c r="AZ1874" s="4" t="s">
        <v>63</v>
      </c>
      <c r="BA1874" s="4" t="s">
        <v>63</v>
      </c>
      <c r="BB1874" s="4" t="s">
        <v>63</v>
      </c>
      <c r="BC1874" s="4" t="s">
        <v>63</v>
      </c>
      <c r="BD1874" s="4" t="s">
        <v>63</v>
      </c>
      <c r="BE1874" s="4" t="s">
        <v>63</v>
      </c>
      <c r="BF1874" s="4" t="s">
        <v>63</v>
      </c>
    </row>
    <row r="1875" spans="1:58">
      <c r="A1875" s="4" t="s">
        <v>58</v>
      </c>
      <c r="B1875" s="4" t="s">
        <v>16226</v>
      </c>
      <c r="C1875" s="4" t="s">
        <v>16227</v>
      </c>
      <c r="D1875" s="4" t="s">
        <v>16100</v>
      </c>
      <c r="E1875" s="4" t="s">
        <v>63</v>
      </c>
      <c r="F1875" s="4">
        <v>2014</v>
      </c>
      <c r="G1875" s="4">
        <v>1</v>
      </c>
      <c r="H1875" s="4" t="s">
        <v>16101</v>
      </c>
      <c r="I1875" s="4" t="s">
        <v>63</v>
      </c>
      <c r="J1875" s="4" t="s">
        <v>16228</v>
      </c>
      <c r="K1875" s="4" t="s">
        <v>63</v>
      </c>
      <c r="L1875" s="4" t="s">
        <v>16229</v>
      </c>
      <c r="M1875" s="4" t="s">
        <v>16230</v>
      </c>
      <c r="N1875" s="4" t="s">
        <v>16231</v>
      </c>
      <c r="O1875" s="4" t="s">
        <v>63</v>
      </c>
      <c r="P1875" s="4"/>
      <c r="Q1875" s="4" t="s">
        <v>63</v>
      </c>
      <c r="R1875" s="4" t="s">
        <v>63</v>
      </c>
      <c r="S1875" s="4" t="s">
        <v>63</v>
      </c>
      <c r="T1875" s="4" t="s">
        <v>63</v>
      </c>
      <c r="U1875" s="4"/>
      <c r="V1875" s="4"/>
      <c r="W1875" s="4"/>
      <c r="X1875" s="4" t="s">
        <v>63</v>
      </c>
      <c r="Y1875" s="4" t="s">
        <v>185</v>
      </c>
      <c r="Z1875" s="4" t="s">
        <v>63</v>
      </c>
      <c r="AA1875" s="4" t="s">
        <v>63</v>
      </c>
      <c r="AB1875" s="4" t="s">
        <v>63</v>
      </c>
      <c r="AC1875" s="4" t="s">
        <v>67</v>
      </c>
      <c r="AD1875" s="4" t="s">
        <v>63</v>
      </c>
      <c r="AE1875" s="4" t="s">
        <v>63</v>
      </c>
      <c r="AF1875" s="4" t="s">
        <v>63</v>
      </c>
      <c r="AG1875" s="4" t="s">
        <v>63</v>
      </c>
      <c r="AH1875" s="4" t="s">
        <v>63</v>
      </c>
      <c r="AI1875" s="4" t="s">
        <v>16232</v>
      </c>
      <c r="AJ1875" s="4" t="s">
        <v>63</v>
      </c>
      <c r="AK1875" s="4" t="s">
        <v>63</v>
      </c>
      <c r="AL1875" s="4" t="s">
        <v>63</v>
      </c>
      <c r="AM1875" s="4" t="s">
        <v>16227</v>
      </c>
      <c r="AN1875" s="4" t="s">
        <v>63</v>
      </c>
      <c r="AO1875" s="4" t="s">
        <v>63</v>
      </c>
      <c r="AP1875" s="4" t="s">
        <v>63</v>
      </c>
      <c r="AQ1875" s="4" t="s">
        <v>63</v>
      </c>
      <c r="AR1875" s="4" t="s">
        <v>63</v>
      </c>
      <c r="AS1875" s="4" t="s">
        <v>63</v>
      </c>
      <c r="AT1875" s="4" t="s">
        <v>63</v>
      </c>
      <c r="AU1875" s="4" t="s">
        <v>63</v>
      </c>
      <c r="AV1875" s="4" t="s">
        <v>63</v>
      </c>
      <c r="AW1875" s="4" t="s">
        <v>63</v>
      </c>
      <c r="AX1875" s="4" t="s">
        <v>63</v>
      </c>
      <c r="AY1875" s="4" t="s">
        <v>63</v>
      </c>
      <c r="AZ1875" s="4" t="s">
        <v>63</v>
      </c>
      <c r="BA1875" s="4" t="s">
        <v>63</v>
      </c>
      <c r="BB1875" s="4" t="s">
        <v>63</v>
      </c>
      <c r="BC1875" s="4" t="s">
        <v>63</v>
      </c>
      <c r="BD1875" s="4" t="s">
        <v>63</v>
      </c>
      <c r="BE1875" s="4" t="s">
        <v>63</v>
      </c>
      <c r="BF1875" s="4" t="s">
        <v>63</v>
      </c>
    </row>
    <row r="1876" spans="1:58">
      <c r="A1876" s="4" t="s">
        <v>58</v>
      </c>
      <c r="B1876" s="4" t="s">
        <v>16233</v>
      </c>
      <c r="C1876" s="4" t="s">
        <v>16234</v>
      </c>
      <c r="D1876" s="4" t="s">
        <v>16235</v>
      </c>
      <c r="E1876" s="4" t="s">
        <v>16236</v>
      </c>
      <c r="F1876" s="4">
        <v>2012</v>
      </c>
      <c r="G1876" s="4" t="s">
        <v>15165</v>
      </c>
      <c r="H1876" s="7">
        <v>3.2527777777777778</v>
      </c>
      <c r="I1876" s="4" t="s">
        <v>63</v>
      </c>
      <c r="J1876" s="4" t="s">
        <v>63</v>
      </c>
      <c r="K1876" s="4" t="s">
        <v>63</v>
      </c>
      <c r="L1876" s="4" t="s">
        <v>16237</v>
      </c>
      <c r="M1876" s="4" t="s">
        <v>63</v>
      </c>
      <c r="N1876" s="4" t="s">
        <v>16238</v>
      </c>
      <c r="O1876" s="4" t="s">
        <v>63</v>
      </c>
      <c r="P1876" s="4"/>
      <c r="Q1876" s="4" t="s">
        <v>63</v>
      </c>
      <c r="R1876" s="4" t="s">
        <v>63</v>
      </c>
      <c r="S1876" s="4" t="s">
        <v>63</v>
      </c>
      <c r="T1876" s="4" t="s">
        <v>63</v>
      </c>
      <c r="U1876" s="4"/>
      <c r="V1876" s="4"/>
      <c r="W1876" s="4"/>
      <c r="X1876" s="4" t="s">
        <v>63</v>
      </c>
      <c r="Y1876" s="4" t="s">
        <v>16239</v>
      </c>
      <c r="Z1876" s="4" t="s">
        <v>63</v>
      </c>
      <c r="AA1876" s="4" t="s">
        <v>63</v>
      </c>
      <c r="AB1876" s="4" t="s">
        <v>16240</v>
      </c>
      <c r="AC1876" s="4" t="s">
        <v>67</v>
      </c>
      <c r="AD1876" s="4" t="s">
        <v>63</v>
      </c>
      <c r="AE1876" s="4" t="s">
        <v>63</v>
      </c>
      <c r="AF1876" s="4" t="s">
        <v>63</v>
      </c>
      <c r="AG1876" s="4" t="s">
        <v>63</v>
      </c>
      <c r="AH1876" s="4" t="s">
        <v>63</v>
      </c>
      <c r="AI1876" s="4" t="s">
        <v>63</v>
      </c>
      <c r="AJ1876" s="4" t="s">
        <v>63</v>
      </c>
      <c r="AK1876" s="4" t="s">
        <v>63</v>
      </c>
      <c r="AL1876" s="4" t="s">
        <v>63</v>
      </c>
      <c r="AM1876" s="4" t="s">
        <v>16234</v>
      </c>
      <c r="AN1876" s="4" t="s">
        <v>63</v>
      </c>
      <c r="AO1876" s="4" t="s">
        <v>63</v>
      </c>
      <c r="AP1876" s="4" t="s">
        <v>63</v>
      </c>
      <c r="AQ1876" s="4" t="s">
        <v>63</v>
      </c>
      <c r="AR1876" s="4" t="s">
        <v>63</v>
      </c>
      <c r="AS1876" s="4" t="s">
        <v>63</v>
      </c>
      <c r="AT1876" s="4" t="s">
        <v>63</v>
      </c>
      <c r="AU1876" s="4" t="s">
        <v>63</v>
      </c>
      <c r="AV1876" s="4" t="s">
        <v>63</v>
      </c>
      <c r="AW1876" s="4" t="s">
        <v>63</v>
      </c>
      <c r="AX1876" s="4" t="s">
        <v>63</v>
      </c>
      <c r="AY1876" s="4" t="s">
        <v>63</v>
      </c>
      <c r="AZ1876" s="4" t="s">
        <v>63</v>
      </c>
      <c r="BA1876" s="4" t="s">
        <v>63</v>
      </c>
      <c r="BB1876" s="4" t="s">
        <v>63</v>
      </c>
      <c r="BC1876" s="4" t="s">
        <v>63</v>
      </c>
      <c r="BD1876" s="4" t="s">
        <v>63</v>
      </c>
      <c r="BE1876" s="4" t="s">
        <v>63</v>
      </c>
      <c r="BF1876" s="4" t="s">
        <v>63</v>
      </c>
    </row>
    <row r="1877" spans="1:58">
      <c r="A1877" s="4" t="s">
        <v>58</v>
      </c>
      <c r="B1877" s="4" t="s">
        <v>16241</v>
      </c>
      <c r="C1877" s="4" t="s">
        <v>16242</v>
      </c>
      <c r="D1877" s="4" t="s">
        <v>16243</v>
      </c>
      <c r="E1877" s="4" t="s">
        <v>63</v>
      </c>
      <c r="F1877" s="4">
        <v>1994</v>
      </c>
      <c r="G1877" s="4" t="s">
        <v>63</v>
      </c>
      <c r="H1877" s="4">
        <v>5</v>
      </c>
      <c r="I1877" s="4">
        <v>3</v>
      </c>
      <c r="J1877" s="4">
        <v>149</v>
      </c>
      <c r="K1877" s="4">
        <v>150</v>
      </c>
      <c r="L1877" s="4" t="s">
        <v>16244</v>
      </c>
      <c r="M1877" s="4" t="s">
        <v>63</v>
      </c>
      <c r="N1877" s="4" t="s">
        <v>16245</v>
      </c>
      <c r="O1877" s="4" t="s">
        <v>63</v>
      </c>
      <c r="P1877" s="4"/>
      <c r="Q1877" s="4" t="s">
        <v>63</v>
      </c>
      <c r="R1877" s="4" t="s">
        <v>63</v>
      </c>
      <c r="S1877" s="4" t="s">
        <v>63</v>
      </c>
      <c r="T1877" s="4" t="s">
        <v>63</v>
      </c>
      <c r="U1877" s="4"/>
      <c r="V1877" s="4"/>
      <c r="W1877" s="4"/>
      <c r="X1877" s="4" t="s">
        <v>63</v>
      </c>
      <c r="Y1877" s="4" t="s">
        <v>16246</v>
      </c>
      <c r="Z1877" s="4" t="s">
        <v>63</v>
      </c>
      <c r="AA1877" s="4" t="s">
        <v>63</v>
      </c>
      <c r="AB1877" s="4" t="s">
        <v>16247</v>
      </c>
      <c r="AC1877" s="4" t="s">
        <v>67</v>
      </c>
      <c r="AD1877" s="4" t="s">
        <v>63</v>
      </c>
      <c r="AE1877" s="4" t="s">
        <v>63</v>
      </c>
      <c r="AF1877" s="4" t="s">
        <v>63</v>
      </c>
      <c r="AG1877" s="4" t="s">
        <v>63</v>
      </c>
      <c r="AH1877" s="4" t="s">
        <v>63</v>
      </c>
      <c r="AI1877" s="4" t="s">
        <v>63</v>
      </c>
      <c r="AJ1877" s="4" t="s">
        <v>63</v>
      </c>
      <c r="AK1877" s="4" t="s">
        <v>63</v>
      </c>
      <c r="AL1877" s="4" t="s">
        <v>63</v>
      </c>
      <c r="AM1877" s="4" t="s">
        <v>16242</v>
      </c>
      <c r="AN1877" s="4" t="s">
        <v>63</v>
      </c>
      <c r="AO1877" s="4" t="s">
        <v>63</v>
      </c>
      <c r="AP1877" s="4" t="s">
        <v>63</v>
      </c>
      <c r="AQ1877" s="4" t="s">
        <v>63</v>
      </c>
      <c r="AR1877" s="4" t="s">
        <v>63</v>
      </c>
      <c r="AS1877" s="4" t="s">
        <v>63</v>
      </c>
      <c r="AT1877" s="4" t="s">
        <v>63</v>
      </c>
      <c r="AU1877" s="4" t="s">
        <v>63</v>
      </c>
      <c r="AV1877" s="4" t="s">
        <v>63</v>
      </c>
      <c r="AW1877" s="4" t="s">
        <v>63</v>
      </c>
      <c r="AX1877" s="4" t="s">
        <v>63</v>
      </c>
      <c r="AY1877" s="4" t="s">
        <v>63</v>
      </c>
      <c r="AZ1877" s="4" t="s">
        <v>63</v>
      </c>
      <c r="BA1877" s="4" t="s">
        <v>63</v>
      </c>
      <c r="BB1877" s="4" t="s">
        <v>63</v>
      </c>
      <c r="BC1877" s="4" t="s">
        <v>63</v>
      </c>
      <c r="BD1877" s="4" t="s">
        <v>63</v>
      </c>
      <c r="BE1877" s="4" t="s">
        <v>63</v>
      </c>
      <c r="BF1877" s="4" t="s">
        <v>63</v>
      </c>
    </row>
    <row r="1878" spans="1:58">
      <c r="A1878" s="4" t="s">
        <v>58</v>
      </c>
      <c r="B1878" s="4" t="s">
        <v>16248</v>
      </c>
      <c r="C1878" s="4" t="s">
        <v>16249</v>
      </c>
      <c r="D1878" s="4" t="s">
        <v>290</v>
      </c>
      <c r="E1878" s="4" t="s">
        <v>291</v>
      </c>
      <c r="F1878" s="4">
        <v>1963</v>
      </c>
      <c r="G1878" s="4" t="s">
        <v>63</v>
      </c>
      <c r="H1878" s="4">
        <v>50</v>
      </c>
      <c r="I1878" s="4">
        <v>1</v>
      </c>
      <c r="J1878" s="4">
        <v>9</v>
      </c>
      <c r="K1878" s="4">
        <v>12</v>
      </c>
      <c r="L1878" s="4" t="s">
        <v>16250</v>
      </c>
      <c r="M1878" s="4" t="s">
        <v>16251</v>
      </c>
      <c r="N1878" s="4" t="s">
        <v>16252</v>
      </c>
      <c r="O1878" s="4" t="s">
        <v>63</v>
      </c>
      <c r="P1878" s="4"/>
      <c r="Q1878" s="4" t="s">
        <v>63</v>
      </c>
      <c r="R1878" s="4" t="s">
        <v>63</v>
      </c>
      <c r="S1878" s="4" t="s">
        <v>63</v>
      </c>
      <c r="T1878" s="4" t="s">
        <v>63</v>
      </c>
      <c r="U1878" s="4"/>
      <c r="V1878" s="4"/>
      <c r="W1878" s="4"/>
      <c r="X1878" s="4" t="s">
        <v>63</v>
      </c>
      <c r="Y1878" s="4" t="s">
        <v>294</v>
      </c>
      <c r="Z1878" s="4" t="s">
        <v>63</v>
      </c>
      <c r="AA1878" s="4" t="s">
        <v>63</v>
      </c>
      <c r="AB1878" s="4" t="s">
        <v>16253</v>
      </c>
      <c r="AC1878" s="4" t="s">
        <v>67</v>
      </c>
      <c r="AD1878" s="4" t="s">
        <v>63</v>
      </c>
      <c r="AE1878" s="4" t="s">
        <v>63</v>
      </c>
      <c r="AF1878" s="4" t="s">
        <v>63</v>
      </c>
      <c r="AG1878" s="4" t="s">
        <v>63</v>
      </c>
      <c r="AH1878" s="4" t="s">
        <v>63</v>
      </c>
      <c r="AI1878" s="4" t="s">
        <v>63</v>
      </c>
      <c r="AJ1878" s="4" t="s">
        <v>63</v>
      </c>
      <c r="AK1878" s="4" t="s">
        <v>63</v>
      </c>
      <c r="AL1878" s="4" t="s">
        <v>63</v>
      </c>
      <c r="AM1878" s="4" t="s">
        <v>16249</v>
      </c>
      <c r="AN1878" s="4" t="s">
        <v>63</v>
      </c>
      <c r="AO1878" s="4" t="s">
        <v>63</v>
      </c>
      <c r="AP1878" s="4" t="s">
        <v>63</v>
      </c>
      <c r="AQ1878" s="4" t="s">
        <v>63</v>
      </c>
      <c r="AR1878" s="4" t="s">
        <v>63</v>
      </c>
      <c r="AS1878" s="4" t="s">
        <v>63</v>
      </c>
      <c r="AT1878" s="4" t="s">
        <v>63</v>
      </c>
      <c r="AU1878" s="4" t="s">
        <v>63</v>
      </c>
      <c r="AV1878" s="4" t="s">
        <v>63</v>
      </c>
      <c r="AW1878" s="4" t="s">
        <v>63</v>
      </c>
      <c r="AX1878" s="4" t="s">
        <v>63</v>
      </c>
      <c r="AY1878" s="4" t="s">
        <v>63</v>
      </c>
      <c r="AZ1878" s="4" t="s">
        <v>63</v>
      </c>
      <c r="BA1878" s="4" t="s">
        <v>63</v>
      </c>
      <c r="BB1878" s="4" t="s">
        <v>63</v>
      </c>
      <c r="BC1878" s="4" t="s">
        <v>63</v>
      </c>
      <c r="BD1878" s="4" t="s">
        <v>63</v>
      </c>
      <c r="BE1878" s="4" t="s">
        <v>63</v>
      </c>
      <c r="BF1878" s="4" t="s">
        <v>63</v>
      </c>
    </row>
    <row r="1879" spans="1:58">
      <c r="A1879" s="4" t="s">
        <v>58</v>
      </c>
      <c r="B1879" s="4" t="s">
        <v>16254</v>
      </c>
      <c r="C1879" s="4" t="s">
        <v>16255</v>
      </c>
      <c r="D1879" s="4" t="s">
        <v>16256</v>
      </c>
      <c r="E1879" s="4" t="s">
        <v>63</v>
      </c>
      <c r="F1879" s="4">
        <v>2006</v>
      </c>
      <c r="G1879" s="4" t="s">
        <v>189</v>
      </c>
      <c r="H1879" s="4">
        <v>51</v>
      </c>
      <c r="I1879" s="4">
        <v>2</v>
      </c>
      <c r="J1879" s="4">
        <v>175</v>
      </c>
      <c r="K1879" s="4">
        <v>178</v>
      </c>
      <c r="L1879" s="4" t="s">
        <v>16257</v>
      </c>
      <c r="M1879" s="4" t="s">
        <v>16258</v>
      </c>
      <c r="N1879" s="4" t="s">
        <v>16259</v>
      </c>
      <c r="O1879" s="4" t="s">
        <v>63</v>
      </c>
      <c r="P1879" s="4"/>
      <c r="Q1879" s="4" t="s">
        <v>63</v>
      </c>
      <c r="R1879" s="4" t="s">
        <v>63</v>
      </c>
      <c r="S1879" s="4" t="s">
        <v>63</v>
      </c>
      <c r="T1879" s="4" t="s">
        <v>63</v>
      </c>
      <c r="U1879" s="4"/>
      <c r="V1879" s="4"/>
      <c r="W1879" s="4"/>
      <c r="X1879" s="4" t="s">
        <v>63</v>
      </c>
      <c r="Y1879" s="4" t="s">
        <v>16260</v>
      </c>
      <c r="Z1879" s="4" t="s">
        <v>63</v>
      </c>
      <c r="AA1879" s="4" t="s">
        <v>63</v>
      </c>
      <c r="AB1879" s="4" t="s">
        <v>16261</v>
      </c>
      <c r="AC1879" s="4" t="s">
        <v>67</v>
      </c>
      <c r="AD1879" s="4" t="s">
        <v>63</v>
      </c>
      <c r="AE1879" s="4" t="s">
        <v>63</v>
      </c>
      <c r="AF1879" s="4" t="s">
        <v>63</v>
      </c>
      <c r="AG1879" s="4" t="s">
        <v>63</v>
      </c>
      <c r="AH1879" s="4" t="s">
        <v>63</v>
      </c>
      <c r="AI1879" s="4" t="s">
        <v>16262</v>
      </c>
      <c r="AJ1879" s="4" t="s">
        <v>63</v>
      </c>
      <c r="AK1879" s="4" t="s">
        <v>63</v>
      </c>
      <c r="AL1879" s="4" t="s">
        <v>63</v>
      </c>
      <c r="AM1879" s="4" t="s">
        <v>16255</v>
      </c>
      <c r="AN1879" s="4" t="s">
        <v>63</v>
      </c>
      <c r="AO1879" s="4" t="s">
        <v>63</v>
      </c>
      <c r="AP1879" s="4" t="s">
        <v>63</v>
      </c>
      <c r="AQ1879" s="4" t="s">
        <v>63</v>
      </c>
      <c r="AR1879" s="4" t="s">
        <v>63</v>
      </c>
      <c r="AS1879" s="4" t="s">
        <v>63</v>
      </c>
      <c r="AT1879" s="4" t="s">
        <v>63</v>
      </c>
      <c r="AU1879" s="4" t="s">
        <v>63</v>
      </c>
      <c r="AV1879" s="4" t="s">
        <v>63</v>
      </c>
      <c r="AW1879" s="4" t="s">
        <v>63</v>
      </c>
      <c r="AX1879" s="4" t="s">
        <v>63</v>
      </c>
      <c r="AY1879" s="4" t="s">
        <v>63</v>
      </c>
      <c r="AZ1879" s="4" t="s">
        <v>63</v>
      </c>
      <c r="BA1879" s="4" t="s">
        <v>63</v>
      </c>
      <c r="BB1879" s="4" t="s">
        <v>63</v>
      </c>
      <c r="BC1879" s="4" t="s">
        <v>63</v>
      </c>
      <c r="BD1879" s="4" t="s">
        <v>63</v>
      </c>
      <c r="BE1879" s="4" t="s">
        <v>63</v>
      </c>
      <c r="BF1879" s="4" t="s">
        <v>63</v>
      </c>
    </row>
    <row r="1880" spans="1:58">
      <c r="A1880" s="4" t="s">
        <v>58</v>
      </c>
      <c r="B1880" s="4" t="s">
        <v>16263</v>
      </c>
      <c r="C1880" s="4" t="s">
        <v>16264</v>
      </c>
      <c r="D1880" s="4" t="s">
        <v>15421</v>
      </c>
      <c r="E1880" s="4" t="s">
        <v>63</v>
      </c>
      <c r="F1880" s="4">
        <v>2010</v>
      </c>
      <c r="G1880" s="4" t="s">
        <v>198</v>
      </c>
      <c r="H1880" s="4">
        <v>31</v>
      </c>
      <c r="I1880" s="4">
        <v>1</v>
      </c>
      <c r="J1880" s="4">
        <v>1</v>
      </c>
      <c r="K1880" s="4">
        <v>7</v>
      </c>
      <c r="L1880" s="4" t="s">
        <v>16265</v>
      </c>
      <c r="M1880" s="4" t="s">
        <v>16266</v>
      </c>
      <c r="N1880" s="4" t="s">
        <v>16267</v>
      </c>
      <c r="O1880" s="4" t="s">
        <v>63</v>
      </c>
      <c r="P1880" s="4"/>
      <c r="Q1880" s="4" t="s">
        <v>63</v>
      </c>
      <c r="R1880" s="4" t="s">
        <v>63</v>
      </c>
      <c r="S1880" s="4" t="s">
        <v>63</v>
      </c>
      <c r="T1880" s="4" t="s">
        <v>63</v>
      </c>
      <c r="U1880" s="4"/>
      <c r="V1880" s="4"/>
      <c r="W1880" s="4"/>
      <c r="X1880" s="4" t="s">
        <v>63</v>
      </c>
      <c r="Y1880" s="4" t="s">
        <v>15425</v>
      </c>
      <c r="Z1880" s="4" t="s">
        <v>63</v>
      </c>
      <c r="AA1880" s="4" t="s">
        <v>63</v>
      </c>
      <c r="AB1880" s="4" t="s">
        <v>63</v>
      </c>
      <c r="AC1880" s="4" t="s">
        <v>67</v>
      </c>
      <c r="AD1880" s="4" t="s">
        <v>63</v>
      </c>
      <c r="AE1880" s="4" t="s">
        <v>63</v>
      </c>
      <c r="AF1880" s="4" t="s">
        <v>63</v>
      </c>
      <c r="AG1880" s="4" t="s">
        <v>16268</v>
      </c>
      <c r="AH1880" s="4" t="s">
        <v>63</v>
      </c>
      <c r="AI1880" s="4" t="s">
        <v>16269</v>
      </c>
      <c r="AJ1880" s="4" t="s">
        <v>63</v>
      </c>
      <c r="AK1880" s="4" t="s">
        <v>63</v>
      </c>
      <c r="AL1880" s="4" t="s">
        <v>63</v>
      </c>
      <c r="AM1880" s="4" t="s">
        <v>16270</v>
      </c>
      <c r="AN1880" s="4" t="s">
        <v>63</v>
      </c>
      <c r="AO1880" s="4" t="s">
        <v>63</v>
      </c>
      <c r="AP1880" s="4" t="s">
        <v>63</v>
      </c>
      <c r="AQ1880" s="4" t="s">
        <v>63</v>
      </c>
      <c r="AR1880" s="4" t="s">
        <v>63</v>
      </c>
      <c r="AS1880" s="4" t="s">
        <v>63</v>
      </c>
      <c r="AT1880" s="4" t="s">
        <v>63</v>
      </c>
      <c r="AU1880" s="4" t="s">
        <v>63</v>
      </c>
      <c r="AV1880" s="4" t="s">
        <v>63</v>
      </c>
      <c r="AW1880" s="4" t="s">
        <v>63</v>
      </c>
      <c r="AX1880" s="4" t="s">
        <v>63</v>
      </c>
      <c r="AY1880" s="4" t="s">
        <v>63</v>
      </c>
      <c r="AZ1880" s="4" t="s">
        <v>63</v>
      </c>
      <c r="BA1880" s="4" t="s">
        <v>63</v>
      </c>
      <c r="BB1880" s="4" t="s">
        <v>63</v>
      </c>
      <c r="BC1880" s="4" t="s">
        <v>63</v>
      </c>
      <c r="BD1880" s="4" t="s">
        <v>63</v>
      </c>
      <c r="BE1880" s="4" t="s">
        <v>63</v>
      </c>
      <c r="BF1880" s="4" t="s">
        <v>63</v>
      </c>
    </row>
    <row r="1881" spans="1:58">
      <c r="A1881" s="4" t="s">
        <v>58</v>
      </c>
      <c r="B1881" s="4" t="s">
        <v>16271</v>
      </c>
      <c r="C1881" s="4" t="s">
        <v>16272</v>
      </c>
      <c r="D1881" s="4" t="s">
        <v>16273</v>
      </c>
      <c r="E1881" s="4" t="s">
        <v>16274</v>
      </c>
      <c r="F1881" s="4">
        <v>2012</v>
      </c>
      <c r="G1881" s="4" t="s">
        <v>15300</v>
      </c>
      <c r="H1881" s="4">
        <v>80</v>
      </c>
      <c r="I1881" s="4">
        <v>4</v>
      </c>
      <c r="J1881" s="4">
        <v>560</v>
      </c>
      <c r="K1881" s="4">
        <v>573</v>
      </c>
      <c r="L1881" s="4" t="s">
        <v>16275</v>
      </c>
      <c r="M1881" s="4" t="s">
        <v>16276</v>
      </c>
      <c r="N1881" s="4" t="s">
        <v>16277</v>
      </c>
      <c r="O1881" s="4" t="s">
        <v>63</v>
      </c>
      <c r="P1881" s="4"/>
      <c r="Q1881" s="4" t="s">
        <v>63</v>
      </c>
      <c r="R1881" s="4" t="s">
        <v>63</v>
      </c>
      <c r="S1881" s="4" t="s">
        <v>63</v>
      </c>
      <c r="T1881" s="4" t="s">
        <v>63</v>
      </c>
      <c r="U1881" s="4"/>
      <c r="V1881" s="4"/>
      <c r="W1881" s="4"/>
      <c r="X1881" s="4" t="s">
        <v>63</v>
      </c>
      <c r="Y1881" s="4" t="s">
        <v>16278</v>
      </c>
      <c r="Z1881" s="4" t="s">
        <v>63</v>
      </c>
      <c r="AA1881" s="4" t="s">
        <v>63</v>
      </c>
      <c r="AB1881" s="4">
        <v>2013115938</v>
      </c>
      <c r="AC1881" s="4" t="s">
        <v>67</v>
      </c>
      <c r="AD1881" s="4" t="s">
        <v>63</v>
      </c>
      <c r="AE1881" s="4" t="s">
        <v>63</v>
      </c>
      <c r="AF1881" s="4" t="s">
        <v>63</v>
      </c>
      <c r="AG1881" s="4" t="s">
        <v>16279</v>
      </c>
      <c r="AH1881" s="4" t="s">
        <v>63</v>
      </c>
      <c r="AI1881" s="4" t="s">
        <v>16280</v>
      </c>
      <c r="AJ1881" s="4" t="s">
        <v>63</v>
      </c>
      <c r="AK1881" s="4" t="s">
        <v>63</v>
      </c>
      <c r="AL1881" s="4" t="s">
        <v>63</v>
      </c>
      <c r="AM1881" s="4" t="s">
        <v>16281</v>
      </c>
      <c r="AN1881" s="4" t="s">
        <v>63</v>
      </c>
      <c r="AO1881" s="4" t="s">
        <v>63</v>
      </c>
      <c r="AP1881" s="4" t="s">
        <v>63</v>
      </c>
      <c r="AQ1881" s="4" t="s">
        <v>63</v>
      </c>
      <c r="AR1881" s="4" t="s">
        <v>63</v>
      </c>
      <c r="AS1881" s="4" t="s">
        <v>63</v>
      </c>
      <c r="AT1881" s="4" t="s">
        <v>63</v>
      </c>
      <c r="AU1881" s="4" t="s">
        <v>63</v>
      </c>
      <c r="AV1881" s="4" t="s">
        <v>63</v>
      </c>
      <c r="AW1881" s="4" t="s">
        <v>63</v>
      </c>
      <c r="AX1881" s="4" t="s">
        <v>63</v>
      </c>
      <c r="AY1881" s="4" t="s">
        <v>63</v>
      </c>
      <c r="AZ1881" s="4" t="s">
        <v>63</v>
      </c>
      <c r="BA1881" s="4" t="s">
        <v>63</v>
      </c>
      <c r="BB1881" s="4" t="s">
        <v>63</v>
      </c>
      <c r="BC1881" s="4" t="s">
        <v>63</v>
      </c>
      <c r="BD1881" s="4" t="s">
        <v>63</v>
      </c>
      <c r="BE1881" s="4" t="s">
        <v>63</v>
      </c>
      <c r="BF1881" s="4" t="s">
        <v>63</v>
      </c>
    </row>
    <row r="1882" spans="1:58">
      <c r="A1882" s="4" t="s">
        <v>58</v>
      </c>
      <c r="B1882" s="4" t="s">
        <v>16282</v>
      </c>
      <c r="C1882" s="4" t="s">
        <v>16283</v>
      </c>
      <c r="D1882" s="4" t="s">
        <v>16284</v>
      </c>
      <c r="E1882" s="4" t="s">
        <v>16285</v>
      </c>
      <c r="F1882" s="4">
        <v>2006</v>
      </c>
      <c r="G1882" s="4" t="s">
        <v>326</v>
      </c>
      <c r="H1882" s="4">
        <v>23</v>
      </c>
      <c r="I1882" s="4" t="s">
        <v>63</v>
      </c>
      <c r="J1882" s="4" t="s">
        <v>16286</v>
      </c>
      <c r="K1882" s="4" t="s">
        <v>63</v>
      </c>
      <c r="L1882" s="4" t="s">
        <v>16287</v>
      </c>
      <c r="M1882" s="4" t="s">
        <v>63</v>
      </c>
      <c r="N1882" s="4" t="s">
        <v>16288</v>
      </c>
      <c r="O1882" s="4" t="s">
        <v>63</v>
      </c>
      <c r="P1882" s="4"/>
      <c r="Q1882" s="4" t="s">
        <v>63</v>
      </c>
      <c r="R1882" s="4" t="s">
        <v>63</v>
      </c>
      <c r="S1882" s="4" t="s">
        <v>63</v>
      </c>
      <c r="T1882" s="4" t="s">
        <v>63</v>
      </c>
      <c r="U1882" s="4"/>
      <c r="V1882" s="4"/>
      <c r="W1882" s="4"/>
      <c r="X1882" s="4" t="s">
        <v>63</v>
      </c>
      <c r="Y1882" s="4" t="s">
        <v>16289</v>
      </c>
      <c r="Z1882" s="4" t="s">
        <v>63</v>
      </c>
      <c r="AA1882" s="4" t="s">
        <v>63</v>
      </c>
      <c r="AB1882" s="4" t="s">
        <v>16290</v>
      </c>
      <c r="AC1882" s="4" t="s">
        <v>1371</v>
      </c>
      <c r="AD1882" s="4" t="s">
        <v>63</v>
      </c>
      <c r="AE1882" s="4" t="s">
        <v>63</v>
      </c>
      <c r="AF1882" s="4" t="s">
        <v>63</v>
      </c>
      <c r="AG1882" s="4" t="s">
        <v>63</v>
      </c>
      <c r="AH1882" s="4" t="s">
        <v>63</v>
      </c>
      <c r="AI1882" s="4" t="s">
        <v>16291</v>
      </c>
      <c r="AJ1882" s="4" t="s">
        <v>63</v>
      </c>
      <c r="AK1882" s="4" t="s">
        <v>63</v>
      </c>
      <c r="AL1882" s="4" t="s">
        <v>63</v>
      </c>
      <c r="AM1882" s="4" t="s">
        <v>16292</v>
      </c>
      <c r="AN1882" s="4" t="s">
        <v>63</v>
      </c>
      <c r="AO1882" s="4" t="s">
        <v>63</v>
      </c>
      <c r="AP1882" s="4" t="s">
        <v>63</v>
      </c>
      <c r="AQ1882" s="4" t="s">
        <v>63</v>
      </c>
      <c r="AR1882" s="4" t="s">
        <v>63</v>
      </c>
      <c r="AS1882" s="4" t="s">
        <v>63</v>
      </c>
      <c r="AT1882" s="4" t="s">
        <v>63</v>
      </c>
      <c r="AU1882" s="4" t="s">
        <v>63</v>
      </c>
      <c r="AV1882" s="4" t="s">
        <v>63</v>
      </c>
      <c r="AW1882" s="4" t="s">
        <v>63</v>
      </c>
      <c r="AX1882" s="4" t="s">
        <v>63</v>
      </c>
      <c r="AY1882" s="4" t="s">
        <v>63</v>
      </c>
      <c r="AZ1882" s="4" t="s">
        <v>63</v>
      </c>
      <c r="BA1882" s="4" t="s">
        <v>63</v>
      </c>
      <c r="BB1882" s="4" t="s">
        <v>63</v>
      </c>
      <c r="BC1882" s="4" t="s">
        <v>63</v>
      </c>
      <c r="BD1882" s="4" t="s">
        <v>63</v>
      </c>
      <c r="BE1882" s="4" t="s">
        <v>63</v>
      </c>
      <c r="BF1882" s="4" t="s">
        <v>63</v>
      </c>
    </row>
    <row r="1883" spans="1:58">
      <c r="A1883" s="4" t="s">
        <v>58</v>
      </c>
      <c r="B1883" s="4" t="s">
        <v>16293</v>
      </c>
      <c r="C1883" s="4" t="s">
        <v>16294</v>
      </c>
      <c r="D1883" s="4" t="s">
        <v>16295</v>
      </c>
      <c r="E1883" s="4" t="s">
        <v>63</v>
      </c>
      <c r="F1883" s="4">
        <v>2012</v>
      </c>
      <c r="G1883" s="4" t="s">
        <v>15254</v>
      </c>
      <c r="H1883" s="4">
        <v>31</v>
      </c>
      <c r="I1883" s="4">
        <v>4</v>
      </c>
      <c r="J1883" s="4">
        <v>201</v>
      </c>
      <c r="K1883" s="4">
        <v>204</v>
      </c>
      <c r="L1883" s="4" t="s">
        <v>16296</v>
      </c>
      <c r="M1883" s="4" t="s">
        <v>16297</v>
      </c>
      <c r="N1883" s="4" t="s">
        <v>16298</v>
      </c>
      <c r="O1883" s="4" t="s">
        <v>63</v>
      </c>
      <c r="P1883" s="4"/>
      <c r="Q1883" s="4" t="s">
        <v>63</v>
      </c>
      <c r="R1883" s="4" t="s">
        <v>63</v>
      </c>
      <c r="S1883" s="4" t="s">
        <v>63</v>
      </c>
      <c r="T1883" s="4" t="s">
        <v>63</v>
      </c>
      <c r="U1883" s="4"/>
      <c r="V1883" s="4"/>
      <c r="W1883" s="4"/>
      <c r="X1883" s="4" t="s">
        <v>63</v>
      </c>
      <c r="Y1883" s="4" t="s">
        <v>16299</v>
      </c>
      <c r="Z1883" s="4" t="s">
        <v>63</v>
      </c>
      <c r="AA1883" s="4" t="s">
        <v>63</v>
      </c>
      <c r="AB1883" s="4" t="s">
        <v>16300</v>
      </c>
      <c r="AC1883" s="4" t="s">
        <v>4823</v>
      </c>
      <c r="AD1883" s="4" t="s">
        <v>63</v>
      </c>
      <c r="AE1883" s="4" t="s">
        <v>63</v>
      </c>
      <c r="AF1883" s="4" t="s">
        <v>63</v>
      </c>
      <c r="AG1883" s="4" t="s">
        <v>63</v>
      </c>
      <c r="AH1883" s="4" t="s">
        <v>63</v>
      </c>
      <c r="AI1883" s="4" t="s">
        <v>16301</v>
      </c>
      <c r="AJ1883" s="4" t="s">
        <v>63</v>
      </c>
      <c r="AK1883" s="4" t="s">
        <v>63</v>
      </c>
      <c r="AL1883" s="4" t="s">
        <v>63</v>
      </c>
      <c r="AM1883" s="4" t="s">
        <v>16294</v>
      </c>
      <c r="AN1883" s="4" t="s">
        <v>63</v>
      </c>
      <c r="AO1883" s="4" t="s">
        <v>63</v>
      </c>
      <c r="AP1883" s="4" t="s">
        <v>63</v>
      </c>
      <c r="AQ1883" s="4" t="s">
        <v>63</v>
      </c>
      <c r="AR1883" s="4" t="s">
        <v>63</v>
      </c>
      <c r="AS1883" s="4" t="s">
        <v>63</v>
      </c>
      <c r="AT1883" s="4" t="s">
        <v>63</v>
      </c>
      <c r="AU1883" s="4" t="s">
        <v>63</v>
      </c>
      <c r="AV1883" s="4" t="s">
        <v>63</v>
      </c>
      <c r="AW1883" s="4" t="s">
        <v>63</v>
      </c>
      <c r="AX1883" s="4" t="s">
        <v>63</v>
      </c>
      <c r="AY1883" s="4" t="s">
        <v>63</v>
      </c>
      <c r="AZ1883" s="4" t="s">
        <v>63</v>
      </c>
      <c r="BA1883" s="4" t="s">
        <v>63</v>
      </c>
      <c r="BB1883" s="4" t="s">
        <v>63</v>
      </c>
      <c r="BC1883" s="4" t="s">
        <v>63</v>
      </c>
      <c r="BD1883" s="4" t="s">
        <v>63</v>
      </c>
      <c r="BE1883" s="4" t="s">
        <v>63</v>
      </c>
      <c r="BF1883" s="4" t="s">
        <v>63</v>
      </c>
    </row>
    <row r="1884" spans="1:58">
      <c r="A1884" s="4" t="s">
        <v>58</v>
      </c>
      <c r="B1884" s="4" t="s">
        <v>16302</v>
      </c>
      <c r="C1884" s="4" t="s">
        <v>16303</v>
      </c>
      <c r="D1884" s="4" t="s">
        <v>1481</v>
      </c>
      <c r="E1884" s="4" t="s">
        <v>1481</v>
      </c>
      <c r="F1884" s="4">
        <v>2003</v>
      </c>
      <c r="G1884" s="4">
        <v>1</v>
      </c>
      <c r="H1884" s="4">
        <v>98</v>
      </c>
      <c r="I1884" s="4">
        <v>8</v>
      </c>
      <c r="J1884" s="4">
        <v>1039</v>
      </c>
      <c r="K1884" s="4">
        <v>1042</v>
      </c>
      <c r="L1884" s="4" t="s">
        <v>16304</v>
      </c>
      <c r="M1884" s="4" t="s">
        <v>16305</v>
      </c>
      <c r="N1884" s="4" t="s">
        <v>16306</v>
      </c>
      <c r="O1884" s="4" t="s">
        <v>63</v>
      </c>
      <c r="P1884" s="4"/>
      <c r="Q1884" s="4" t="s">
        <v>63</v>
      </c>
      <c r="R1884" s="4" t="s">
        <v>63</v>
      </c>
      <c r="S1884" s="4" t="s">
        <v>63</v>
      </c>
      <c r="T1884" s="4" t="s">
        <v>63</v>
      </c>
      <c r="U1884" s="4"/>
      <c r="V1884" s="4"/>
      <c r="W1884" s="4"/>
      <c r="X1884" s="4" t="s">
        <v>63</v>
      </c>
      <c r="Y1884" s="4" t="s">
        <v>2426</v>
      </c>
      <c r="Z1884" s="4" t="s">
        <v>63</v>
      </c>
      <c r="AA1884" s="4" t="s">
        <v>63</v>
      </c>
      <c r="AB1884" s="4">
        <v>2003314541</v>
      </c>
      <c r="AC1884" s="4" t="s">
        <v>67</v>
      </c>
      <c r="AD1884" s="4" t="s">
        <v>63</v>
      </c>
      <c r="AE1884" s="4" t="s">
        <v>63</v>
      </c>
      <c r="AF1884" s="4" t="s">
        <v>63</v>
      </c>
      <c r="AG1884" s="4" t="s">
        <v>16307</v>
      </c>
      <c r="AH1884" s="4" t="s">
        <v>63</v>
      </c>
      <c r="AI1884" s="4" t="s">
        <v>16308</v>
      </c>
      <c r="AJ1884" s="4" t="s">
        <v>63</v>
      </c>
      <c r="AK1884" s="4" t="s">
        <v>63</v>
      </c>
      <c r="AL1884" s="4" t="s">
        <v>63</v>
      </c>
      <c r="AM1884" s="4" t="s">
        <v>16309</v>
      </c>
      <c r="AN1884" s="4" t="s">
        <v>63</v>
      </c>
      <c r="AO1884" s="4" t="s">
        <v>63</v>
      </c>
      <c r="AP1884" s="4" t="s">
        <v>63</v>
      </c>
      <c r="AQ1884" s="4" t="s">
        <v>63</v>
      </c>
      <c r="AR1884" s="4" t="s">
        <v>63</v>
      </c>
      <c r="AS1884" s="4" t="s">
        <v>63</v>
      </c>
      <c r="AT1884" s="4" t="s">
        <v>63</v>
      </c>
      <c r="AU1884" s="4" t="s">
        <v>63</v>
      </c>
      <c r="AV1884" s="4" t="s">
        <v>63</v>
      </c>
      <c r="AW1884" s="4" t="s">
        <v>63</v>
      </c>
      <c r="AX1884" s="4" t="s">
        <v>63</v>
      </c>
      <c r="AY1884" s="4" t="s">
        <v>63</v>
      </c>
      <c r="AZ1884" s="4" t="s">
        <v>63</v>
      </c>
      <c r="BA1884" s="4" t="s">
        <v>63</v>
      </c>
      <c r="BB1884" s="4" t="s">
        <v>63</v>
      </c>
      <c r="BC1884" s="4" t="s">
        <v>63</v>
      </c>
      <c r="BD1884" s="4" t="s">
        <v>63</v>
      </c>
      <c r="BE1884" s="4" t="s">
        <v>63</v>
      </c>
      <c r="BF1884" s="4" t="s">
        <v>63</v>
      </c>
    </row>
    <row r="1885" spans="1:58">
      <c r="A1885" s="4" t="s">
        <v>58</v>
      </c>
      <c r="B1885" s="4" t="s">
        <v>16310</v>
      </c>
      <c r="C1885" s="4" t="s">
        <v>16311</v>
      </c>
      <c r="D1885" s="4" t="s">
        <v>11321</v>
      </c>
      <c r="E1885" s="4" t="s">
        <v>11321</v>
      </c>
      <c r="F1885" s="4">
        <v>2012</v>
      </c>
      <c r="G1885" s="4" t="s">
        <v>15165</v>
      </c>
      <c r="H1885" s="4" t="s">
        <v>16312</v>
      </c>
      <c r="I1885" s="4" t="s">
        <v>63</v>
      </c>
      <c r="J1885" s="4">
        <v>20</v>
      </c>
      <c r="K1885" s="4" t="s">
        <v>63</v>
      </c>
      <c r="L1885" s="4" t="s">
        <v>16313</v>
      </c>
      <c r="M1885" s="4" t="s">
        <v>16314</v>
      </c>
      <c r="N1885" s="4" t="s">
        <v>16315</v>
      </c>
      <c r="O1885" s="4" t="s">
        <v>63</v>
      </c>
      <c r="P1885" s="4"/>
      <c r="Q1885" s="4" t="s">
        <v>63</v>
      </c>
      <c r="R1885" s="4" t="s">
        <v>63</v>
      </c>
      <c r="S1885" s="4" t="s">
        <v>63</v>
      </c>
      <c r="T1885" s="4" t="s">
        <v>63</v>
      </c>
      <c r="U1885" s="4"/>
      <c r="V1885" s="4"/>
      <c r="W1885" s="4"/>
      <c r="X1885" s="4" t="s">
        <v>63</v>
      </c>
      <c r="Y1885" s="4" t="s">
        <v>11325</v>
      </c>
      <c r="Z1885" s="4" t="s">
        <v>63</v>
      </c>
      <c r="AA1885" s="4" t="s">
        <v>63</v>
      </c>
      <c r="AB1885" s="4" t="s">
        <v>63</v>
      </c>
      <c r="AC1885" s="4" t="s">
        <v>67</v>
      </c>
      <c r="AD1885" s="4" t="s">
        <v>63</v>
      </c>
      <c r="AE1885" s="4" t="s">
        <v>63</v>
      </c>
      <c r="AF1885" s="4" t="s">
        <v>63</v>
      </c>
      <c r="AG1885" s="4" t="s">
        <v>63</v>
      </c>
      <c r="AH1885" s="4" t="s">
        <v>63</v>
      </c>
      <c r="AI1885" s="4" t="s">
        <v>16316</v>
      </c>
      <c r="AJ1885" s="4" t="s">
        <v>63</v>
      </c>
      <c r="AK1885" s="4" t="s">
        <v>63</v>
      </c>
      <c r="AL1885" s="4" t="s">
        <v>63</v>
      </c>
      <c r="AM1885" s="4" t="s">
        <v>16311</v>
      </c>
      <c r="AN1885" s="4" t="s">
        <v>63</v>
      </c>
      <c r="AO1885" s="4" t="s">
        <v>63</v>
      </c>
      <c r="AP1885" s="4" t="s">
        <v>63</v>
      </c>
      <c r="AQ1885" s="4" t="s">
        <v>63</v>
      </c>
      <c r="AR1885" s="4" t="s">
        <v>63</v>
      </c>
      <c r="AS1885" s="4" t="s">
        <v>63</v>
      </c>
      <c r="AT1885" s="4" t="s">
        <v>63</v>
      </c>
      <c r="AU1885" s="4" t="s">
        <v>63</v>
      </c>
      <c r="AV1885" s="4" t="s">
        <v>63</v>
      </c>
      <c r="AW1885" s="4" t="s">
        <v>63</v>
      </c>
      <c r="AX1885" s="4" t="s">
        <v>63</v>
      </c>
      <c r="AY1885" s="4" t="s">
        <v>63</v>
      </c>
      <c r="AZ1885" s="4" t="s">
        <v>63</v>
      </c>
      <c r="BA1885" s="4" t="s">
        <v>63</v>
      </c>
      <c r="BB1885" s="4" t="s">
        <v>63</v>
      </c>
      <c r="BC1885" s="4" t="s">
        <v>63</v>
      </c>
      <c r="BD1885" s="4" t="s">
        <v>63</v>
      </c>
      <c r="BE1885" s="4" t="s">
        <v>63</v>
      </c>
      <c r="BF1885" s="4" t="s">
        <v>63</v>
      </c>
    </row>
    <row r="1886" spans="1:58">
      <c r="A1886" s="4" t="s">
        <v>58</v>
      </c>
      <c r="B1886" s="4" t="s">
        <v>16317</v>
      </c>
      <c r="C1886" s="4" t="s">
        <v>16318</v>
      </c>
      <c r="D1886" s="4" t="s">
        <v>16319</v>
      </c>
      <c r="E1886" s="4" t="s">
        <v>16320</v>
      </c>
      <c r="F1886" s="4">
        <v>2008</v>
      </c>
      <c r="G1886" s="4" t="s">
        <v>16321</v>
      </c>
      <c r="H1886" s="4">
        <v>20</v>
      </c>
      <c r="I1886" s="4">
        <v>3</v>
      </c>
      <c r="J1886" s="4">
        <v>321</v>
      </c>
      <c r="K1886" s="4">
        <v>328</v>
      </c>
      <c r="L1886" s="4" t="s">
        <v>16322</v>
      </c>
      <c r="M1886" s="4" t="s">
        <v>16323</v>
      </c>
      <c r="N1886" s="4" t="s">
        <v>16324</v>
      </c>
      <c r="O1886" s="4" t="s">
        <v>63</v>
      </c>
      <c r="P1886" s="4"/>
      <c r="Q1886" s="4" t="s">
        <v>63</v>
      </c>
      <c r="R1886" s="4" t="s">
        <v>63</v>
      </c>
      <c r="S1886" s="4" t="s">
        <v>63</v>
      </c>
      <c r="T1886" s="4" t="s">
        <v>63</v>
      </c>
      <c r="U1886" s="4"/>
      <c r="V1886" s="4"/>
      <c r="W1886" s="4"/>
      <c r="X1886" s="4" t="s">
        <v>63</v>
      </c>
      <c r="Y1886" s="4" t="s">
        <v>12372</v>
      </c>
      <c r="Z1886" s="4" t="s">
        <v>63</v>
      </c>
      <c r="AA1886" s="4" t="s">
        <v>63</v>
      </c>
      <c r="AB1886" s="4">
        <v>2008569782</v>
      </c>
      <c r="AC1886" s="4" t="s">
        <v>67</v>
      </c>
      <c r="AD1886" s="4" t="s">
        <v>63</v>
      </c>
      <c r="AE1886" s="4" t="s">
        <v>63</v>
      </c>
      <c r="AF1886" s="4" t="s">
        <v>63</v>
      </c>
      <c r="AG1886" s="4" t="s">
        <v>16325</v>
      </c>
      <c r="AH1886" s="4" t="s">
        <v>63</v>
      </c>
      <c r="AI1886" s="4" t="s">
        <v>63</v>
      </c>
      <c r="AJ1886" s="4" t="s">
        <v>63</v>
      </c>
      <c r="AK1886" s="4" t="s">
        <v>63</v>
      </c>
      <c r="AL1886" s="4" t="s">
        <v>63</v>
      </c>
      <c r="AM1886" s="4" t="s">
        <v>16326</v>
      </c>
      <c r="AN1886" s="4" t="s">
        <v>63</v>
      </c>
      <c r="AO1886" s="4" t="s">
        <v>63</v>
      </c>
      <c r="AP1886" s="4" t="s">
        <v>63</v>
      </c>
      <c r="AQ1886" s="4" t="s">
        <v>63</v>
      </c>
      <c r="AR1886" s="4" t="s">
        <v>63</v>
      </c>
      <c r="AS1886" s="4" t="s">
        <v>63</v>
      </c>
      <c r="AT1886" s="4" t="s">
        <v>63</v>
      </c>
      <c r="AU1886" s="4" t="s">
        <v>63</v>
      </c>
      <c r="AV1886" s="4" t="s">
        <v>63</v>
      </c>
      <c r="AW1886" s="4" t="s">
        <v>63</v>
      </c>
      <c r="AX1886" s="4" t="s">
        <v>63</v>
      </c>
      <c r="AY1886" s="4" t="s">
        <v>63</v>
      </c>
      <c r="AZ1886" s="4" t="s">
        <v>63</v>
      </c>
      <c r="BA1886" s="4" t="s">
        <v>63</v>
      </c>
      <c r="BB1886" s="4" t="s">
        <v>63</v>
      </c>
      <c r="BC1886" s="4" t="s">
        <v>63</v>
      </c>
      <c r="BD1886" s="4" t="s">
        <v>63</v>
      </c>
      <c r="BE1886" s="4" t="s">
        <v>63</v>
      </c>
      <c r="BF1886" s="4" t="s">
        <v>63</v>
      </c>
    </row>
    <row r="1887" spans="1:58">
      <c r="A1887" s="4" t="s">
        <v>58</v>
      </c>
      <c r="B1887" s="4" t="s">
        <v>16327</v>
      </c>
      <c r="C1887" s="4" t="s">
        <v>16328</v>
      </c>
      <c r="D1887" s="4" t="s">
        <v>1212</v>
      </c>
      <c r="E1887" s="4" t="s">
        <v>63</v>
      </c>
      <c r="F1887" s="4">
        <v>2012</v>
      </c>
      <c r="G1887" s="4" t="s">
        <v>15155</v>
      </c>
      <c r="H1887" s="4">
        <v>6</v>
      </c>
      <c r="I1887" s="4">
        <v>2</v>
      </c>
      <c r="J1887" s="4">
        <v>112</v>
      </c>
      <c r="K1887" s="4">
        <v>117</v>
      </c>
      <c r="L1887" s="4" t="s">
        <v>16329</v>
      </c>
      <c r="M1887" s="4" t="s">
        <v>16330</v>
      </c>
      <c r="N1887" s="4" t="s">
        <v>16331</v>
      </c>
      <c r="O1887" s="4" t="s">
        <v>63</v>
      </c>
      <c r="P1887" s="4"/>
      <c r="Q1887" s="4" t="s">
        <v>63</v>
      </c>
      <c r="R1887" s="4" t="s">
        <v>63</v>
      </c>
      <c r="S1887" s="4" t="s">
        <v>63</v>
      </c>
      <c r="T1887" s="4" t="s">
        <v>63</v>
      </c>
      <c r="U1887" s="4"/>
      <c r="V1887" s="4"/>
      <c r="W1887" s="4"/>
      <c r="X1887" s="4" t="s">
        <v>63</v>
      </c>
      <c r="Y1887" s="4" t="s">
        <v>15530</v>
      </c>
      <c r="Z1887" s="4" t="s">
        <v>63</v>
      </c>
      <c r="AA1887" s="4" t="s">
        <v>63</v>
      </c>
      <c r="AB1887" s="4">
        <v>2012398290</v>
      </c>
      <c r="AC1887" s="4" t="s">
        <v>67</v>
      </c>
      <c r="AD1887" s="4" t="s">
        <v>63</v>
      </c>
      <c r="AE1887" s="4" t="s">
        <v>63</v>
      </c>
      <c r="AF1887" s="4" t="s">
        <v>63</v>
      </c>
      <c r="AG1887" s="4" t="s">
        <v>16332</v>
      </c>
      <c r="AH1887" s="4" t="s">
        <v>63</v>
      </c>
      <c r="AI1887" s="4" t="s">
        <v>16333</v>
      </c>
      <c r="AJ1887" s="4" t="s">
        <v>63</v>
      </c>
      <c r="AK1887" s="4" t="s">
        <v>63</v>
      </c>
      <c r="AL1887" s="4" t="s">
        <v>63</v>
      </c>
      <c r="AM1887" s="4" t="s">
        <v>16334</v>
      </c>
      <c r="AN1887" s="4" t="s">
        <v>63</v>
      </c>
      <c r="AO1887" s="4" t="s">
        <v>63</v>
      </c>
      <c r="AP1887" s="4" t="s">
        <v>63</v>
      </c>
      <c r="AQ1887" s="4" t="s">
        <v>63</v>
      </c>
      <c r="AR1887" s="4" t="s">
        <v>63</v>
      </c>
      <c r="AS1887" s="4" t="s">
        <v>63</v>
      </c>
      <c r="AT1887" s="4" t="s">
        <v>63</v>
      </c>
      <c r="AU1887" s="4" t="s">
        <v>63</v>
      </c>
      <c r="AV1887" s="4" t="s">
        <v>63</v>
      </c>
      <c r="AW1887" s="4" t="s">
        <v>63</v>
      </c>
      <c r="AX1887" s="4" t="s">
        <v>63</v>
      </c>
      <c r="AY1887" s="4" t="s">
        <v>63</v>
      </c>
      <c r="AZ1887" s="4" t="s">
        <v>63</v>
      </c>
      <c r="BA1887" s="4" t="s">
        <v>63</v>
      </c>
      <c r="BB1887" s="4" t="s">
        <v>63</v>
      </c>
      <c r="BC1887" s="4" t="s">
        <v>63</v>
      </c>
      <c r="BD1887" s="4" t="s">
        <v>63</v>
      </c>
      <c r="BE1887" s="4" t="s">
        <v>63</v>
      </c>
      <c r="BF1887" s="4" t="s">
        <v>63</v>
      </c>
    </row>
    <row r="1888" spans="1:58">
      <c r="A1888" s="4" t="s">
        <v>58</v>
      </c>
      <c r="B1888" s="4" t="s">
        <v>16335</v>
      </c>
      <c r="C1888" s="4" t="s">
        <v>16336</v>
      </c>
      <c r="D1888" s="4" t="s">
        <v>389</v>
      </c>
      <c r="E1888" s="4" t="s">
        <v>63</v>
      </c>
      <c r="F1888" s="4">
        <v>2006</v>
      </c>
      <c r="G1888" s="4">
        <v>22</v>
      </c>
      <c r="H1888" s="4">
        <v>26</v>
      </c>
      <c r="I1888" s="4">
        <v>3</v>
      </c>
      <c r="J1888" s="4">
        <v>35</v>
      </c>
      <c r="K1888" s="4">
        <v>38</v>
      </c>
      <c r="L1888" s="4" t="s">
        <v>16337</v>
      </c>
      <c r="M1888" s="4" t="s">
        <v>16338</v>
      </c>
      <c r="N1888" s="4" t="s">
        <v>16339</v>
      </c>
      <c r="O1888" s="4" t="s">
        <v>63</v>
      </c>
      <c r="P1888" s="4"/>
      <c r="Q1888" s="4" t="s">
        <v>63</v>
      </c>
      <c r="R1888" s="4" t="s">
        <v>63</v>
      </c>
      <c r="S1888" s="4" t="s">
        <v>63</v>
      </c>
      <c r="T1888" s="4" t="s">
        <v>63</v>
      </c>
      <c r="U1888" s="4"/>
      <c r="V1888" s="4"/>
      <c r="W1888" s="4"/>
      <c r="X1888" s="4" t="s">
        <v>63</v>
      </c>
      <c r="Y1888" s="4" t="s">
        <v>15600</v>
      </c>
      <c r="Z1888" s="4" t="s">
        <v>63</v>
      </c>
      <c r="AA1888" s="4" t="s">
        <v>63</v>
      </c>
      <c r="AB1888" s="4">
        <v>2006368070</v>
      </c>
      <c r="AC1888" s="4" t="s">
        <v>67</v>
      </c>
      <c r="AD1888" s="4" t="s">
        <v>63</v>
      </c>
      <c r="AE1888" s="4" t="s">
        <v>63</v>
      </c>
      <c r="AF1888" s="4" t="s">
        <v>63</v>
      </c>
      <c r="AG1888" s="4" t="s">
        <v>16340</v>
      </c>
      <c r="AH1888" s="4" t="s">
        <v>63</v>
      </c>
      <c r="AI1888" s="4" t="s">
        <v>16341</v>
      </c>
      <c r="AJ1888" s="4" t="s">
        <v>63</v>
      </c>
      <c r="AK1888" s="4" t="s">
        <v>63</v>
      </c>
      <c r="AL1888" s="4" t="s">
        <v>63</v>
      </c>
      <c r="AM1888" s="4" t="s">
        <v>16342</v>
      </c>
      <c r="AN1888" s="4" t="s">
        <v>63</v>
      </c>
      <c r="AO1888" s="4" t="s">
        <v>63</v>
      </c>
      <c r="AP1888" s="4" t="s">
        <v>63</v>
      </c>
      <c r="AQ1888" s="4" t="s">
        <v>63</v>
      </c>
      <c r="AR1888" s="4" t="s">
        <v>63</v>
      </c>
      <c r="AS1888" s="4" t="s">
        <v>63</v>
      </c>
      <c r="AT1888" s="4" t="s">
        <v>63</v>
      </c>
      <c r="AU1888" s="4" t="s">
        <v>63</v>
      </c>
      <c r="AV1888" s="4" t="s">
        <v>63</v>
      </c>
      <c r="AW1888" s="4" t="s">
        <v>63</v>
      </c>
      <c r="AX1888" s="4" t="s">
        <v>63</v>
      </c>
      <c r="AY1888" s="4" t="s">
        <v>63</v>
      </c>
      <c r="AZ1888" s="4" t="s">
        <v>63</v>
      </c>
      <c r="BA1888" s="4" t="s">
        <v>63</v>
      </c>
      <c r="BB1888" s="4" t="s">
        <v>63</v>
      </c>
      <c r="BC1888" s="4" t="s">
        <v>63</v>
      </c>
      <c r="BD1888" s="4" t="s">
        <v>63</v>
      </c>
      <c r="BE1888" s="4" t="s">
        <v>63</v>
      </c>
      <c r="BF1888" s="4" t="s">
        <v>63</v>
      </c>
    </row>
    <row r="1889" spans="1:58">
      <c r="A1889" s="4" t="s">
        <v>58</v>
      </c>
      <c r="B1889" s="4" t="s">
        <v>16343</v>
      </c>
      <c r="C1889" s="4" t="s">
        <v>16344</v>
      </c>
      <c r="D1889" s="4" t="s">
        <v>15224</v>
      </c>
      <c r="E1889" s="4" t="s">
        <v>15224</v>
      </c>
      <c r="F1889" s="4">
        <v>2010</v>
      </c>
      <c r="G1889" s="4" t="s">
        <v>15358</v>
      </c>
      <c r="H1889" s="7">
        <v>5.7527777777777773</v>
      </c>
      <c r="I1889" s="4" t="s">
        <v>63</v>
      </c>
      <c r="J1889" s="4" t="s">
        <v>63</v>
      </c>
      <c r="K1889" s="4" t="s">
        <v>63</v>
      </c>
      <c r="L1889" s="4" t="s">
        <v>16345</v>
      </c>
      <c r="M1889" s="4" t="s">
        <v>16346</v>
      </c>
      <c r="N1889" s="4" t="s">
        <v>16347</v>
      </c>
      <c r="O1889" s="4" t="s">
        <v>63</v>
      </c>
      <c r="P1889" s="4"/>
      <c r="Q1889" s="4" t="s">
        <v>63</v>
      </c>
      <c r="R1889" s="4" t="s">
        <v>63</v>
      </c>
      <c r="S1889" s="4" t="s">
        <v>63</v>
      </c>
      <c r="T1889" s="4" t="s">
        <v>63</v>
      </c>
      <c r="U1889" s="4"/>
      <c r="V1889" s="4"/>
      <c r="W1889" s="4"/>
      <c r="X1889" s="4" t="s">
        <v>63</v>
      </c>
      <c r="Y1889" s="5">
        <v>32477</v>
      </c>
      <c r="Z1889" s="4" t="s">
        <v>63</v>
      </c>
      <c r="AA1889" s="4" t="s">
        <v>63</v>
      </c>
      <c r="AB1889" s="4" t="s">
        <v>63</v>
      </c>
      <c r="AC1889" s="4" t="s">
        <v>67</v>
      </c>
      <c r="AD1889" s="4" t="s">
        <v>63</v>
      </c>
      <c r="AE1889" s="4" t="s">
        <v>63</v>
      </c>
      <c r="AF1889" s="4" t="s">
        <v>63</v>
      </c>
      <c r="AG1889" s="4" t="s">
        <v>63</v>
      </c>
      <c r="AH1889" s="4" t="s">
        <v>63</v>
      </c>
      <c r="AI1889" s="4" t="s">
        <v>16348</v>
      </c>
      <c r="AJ1889" s="4" t="s">
        <v>63</v>
      </c>
      <c r="AK1889" s="4" t="s">
        <v>63</v>
      </c>
      <c r="AL1889" s="4" t="s">
        <v>63</v>
      </c>
      <c r="AM1889" s="4" t="s">
        <v>16344</v>
      </c>
      <c r="AN1889" s="4" t="s">
        <v>63</v>
      </c>
      <c r="AO1889" s="4" t="s">
        <v>63</v>
      </c>
      <c r="AP1889" s="4" t="s">
        <v>63</v>
      </c>
      <c r="AQ1889" s="4" t="s">
        <v>63</v>
      </c>
      <c r="AR1889" s="4" t="s">
        <v>63</v>
      </c>
      <c r="AS1889" s="4" t="s">
        <v>63</v>
      </c>
      <c r="AT1889" s="4" t="s">
        <v>63</v>
      </c>
      <c r="AU1889" s="4" t="s">
        <v>63</v>
      </c>
      <c r="AV1889" s="4" t="s">
        <v>63</v>
      </c>
      <c r="AW1889" s="4" t="s">
        <v>63</v>
      </c>
      <c r="AX1889" s="4" t="s">
        <v>63</v>
      </c>
      <c r="AY1889" s="4" t="s">
        <v>63</v>
      </c>
      <c r="AZ1889" s="4" t="s">
        <v>63</v>
      </c>
      <c r="BA1889" s="4" t="s">
        <v>63</v>
      </c>
      <c r="BB1889" s="4" t="s">
        <v>63</v>
      </c>
      <c r="BC1889" s="4" t="s">
        <v>63</v>
      </c>
      <c r="BD1889" s="4" t="s">
        <v>63</v>
      </c>
      <c r="BE1889" s="4" t="s">
        <v>63</v>
      </c>
      <c r="BF1889" s="4" t="s">
        <v>63</v>
      </c>
    </row>
    <row r="1890" spans="1:58">
      <c r="A1890" s="4" t="s">
        <v>58</v>
      </c>
      <c r="B1890" s="4" t="s">
        <v>16349</v>
      </c>
      <c r="C1890" s="4" t="s">
        <v>16350</v>
      </c>
      <c r="D1890" s="4" t="s">
        <v>15263</v>
      </c>
      <c r="E1890" s="4" t="s">
        <v>15264</v>
      </c>
      <c r="F1890" s="4">
        <v>2015</v>
      </c>
      <c r="G1890" s="4">
        <v>1</v>
      </c>
      <c r="H1890" s="4">
        <v>146</v>
      </c>
      <c r="I1890" s="4" t="s">
        <v>63</v>
      </c>
      <c r="J1890" s="4" t="s">
        <v>16019</v>
      </c>
      <c r="K1890" s="4" t="s">
        <v>63</v>
      </c>
      <c r="L1890" s="4" t="s">
        <v>16351</v>
      </c>
      <c r="M1890" s="4" t="s">
        <v>16352</v>
      </c>
      <c r="N1890" s="4" t="s">
        <v>16353</v>
      </c>
      <c r="O1890" s="4" t="s">
        <v>63</v>
      </c>
      <c r="P1890" s="4"/>
      <c r="Q1890" s="4" t="s">
        <v>63</v>
      </c>
      <c r="R1890" s="4" t="s">
        <v>63</v>
      </c>
      <c r="S1890" s="4" t="s">
        <v>63</v>
      </c>
      <c r="T1890" s="4" t="s">
        <v>63</v>
      </c>
      <c r="U1890" s="4"/>
      <c r="V1890" s="4"/>
      <c r="W1890" s="4"/>
      <c r="X1890" s="4" t="s">
        <v>63</v>
      </c>
      <c r="Y1890" s="4" t="s">
        <v>4942</v>
      </c>
      <c r="Z1890" s="4" t="s">
        <v>63</v>
      </c>
      <c r="AA1890" s="4" t="s">
        <v>63</v>
      </c>
      <c r="AB1890" s="4" t="s">
        <v>63</v>
      </c>
      <c r="AC1890" s="4" t="s">
        <v>67</v>
      </c>
      <c r="AD1890" s="4" t="s">
        <v>63</v>
      </c>
      <c r="AE1890" s="4" t="s">
        <v>63</v>
      </c>
      <c r="AF1890" s="4" t="s">
        <v>63</v>
      </c>
      <c r="AG1890" s="4" t="s">
        <v>63</v>
      </c>
      <c r="AH1890" s="4" t="s">
        <v>63</v>
      </c>
      <c r="AI1890" s="4" t="s">
        <v>16354</v>
      </c>
      <c r="AJ1890" s="4" t="s">
        <v>63</v>
      </c>
      <c r="AK1890" s="4" t="s">
        <v>63</v>
      </c>
      <c r="AL1890" s="4" t="s">
        <v>63</v>
      </c>
      <c r="AM1890" s="4" t="s">
        <v>16350</v>
      </c>
      <c r="AN1890" s="4" t="s">
        <v>63</v>
      </c>
      <c r="AO1890" s="4" t="s">
        <v>63</v>
      </c>
      <c r="AP1890" s="4" t="s">
        <v>63</v>
      </c>
      <c r="AQ1890" s="4" t="s">
        <v>63</v>
      </c>
      <c r="AR1890" s="4" t="s">
        <v>63</v>
      </c>
      <c r="AS1890" s="4" t="s">
        <v>63</v>
      </c>
      <c r="AT1890" s="4" t="s">
        <v>63</v>
      </c>
      <c r="AU1890" s="4" t="s">
        <v>63</v>
      </c>
      <c r="AV1890" s="4" t="s">
        <v>63</v>
      </c>
      <c r="AW1890" s="4" t="s">
        <v>63</v>
      </c>
      <c r="AX1890" s="4" t="s">
        <v>63</v>
      </c>
      <c r="AY1890" s="4" t="s">
        <v>63</v>
      </c>
      <c r="AZ1890" s="4" t="s">
        <v>63</v>
      </c>
      <c r="BA1890" s="4" t="s">
        <v>63</v>
      </c>
      <c r="BB1890" s="4" t="s">
        <v>63</v>
      </c>
      <c r="BC1890" s="4" t="s">
        <v>63</v>
      </c>
      <c r="BD1890" s="4" t="s">
        <v>63</v>
      </c>
      <c r="BE1890" s="4" t="s">
        <v>63</v>
      </c>
      <c r="BF1890" s="4" t="s">
        <v>63</v>
      </c>
    </row>
    <row r="1891" spans="1:58">
      <c r="A1891" s="4" t="s">
        <v>58</v>
      </c>
      <c r="B1891" s="4" t="s">
        <v>16355</v>
      </c>
      <c r="C1891" s="4" t="s">
        <v>16356</v>
      </c>
      <c r="D1891" s="4" t="s">
        <v>16357</v>
      </c>
      <c r="E1891" s="4" t="s">
        <v>16358</v>
      </c>
      <c r="F1891" s="4">
        <v>2016</v>
      </c>
      <c r="G1891" s="4">
        <v>1</v>
      </c>
      <c r="H1891" s="4" t="s">
        <v>16359</v>
      </c>
      <c r="I1891" s="4" t="s">
        <v>63</v>
      </c>
      <c r="J1891" s="4">
        <v>53</v>
      </c>
      <c r="K1891" s="4" t="s">
        <v>63</v>
      </c>
      <c r="L1891" s="4" t="s">
        <v>16360</v>
      </c>
      <c r="M1891" s="4" t="s">
        <v>16361</v>
      </c>
      <c r="N1891" s="4" t="s">
        <v>16362</v>
      </c>
      <c r="O1891" s="4" t="s">
        <v>63</v>
      </c>
      <c r="P1891" s="4"/>
      <c r="Q1891" s="4" t="s">
        <v>63</v>
      </c>
      <c r="R1891" s="4" t="s">
        <v>63</v>
      </c>
      <c r="S1891" s="4" t="s">
        <v>63</v>
      </c>
      <c r="T1891" s="4" t="s">
        <v>63</v>
      </c>
      <c r="U1891" s="4"/>
      <c r="V1891" s="4"/>
      <c r="W1891" s="4"/>
      <c r="X1891" s="4" t="s">
        <v>63</v>
      </c>
      <c r="Y1891" s="4" t="s">
        <v>16363</v>
      </c>
      <c r="Z1891" s="4" t="s">
        <v>63</v>
      </c>
      <c r="AA1891" s="4" t="s">
        <v>63</v>
      </c>
      <c r="AB1891" s="4" t="s">
        <v>63</v>
      </c>
      <c r="AC1891" s="4" t="s">
        <v>67</v>
      </c>
      <c r="AD1891" s="4" t="s">
        <v>63</v>
      </c>
      <c r="AE1891" s="4" t="s">
        <v>63</v>
      </c>
      <c r="AF1891" s="4" t="s">
        <v>63</v>
      </c>
      <c r="AG1891" s="4" t="s">
        <v>63</v>
      </c>
      <c r="AH1891" s="4" t="s">
        <v>63</v>
      </c>
      <c r="AI1891" s="4" t="s">
        <v>16364</v>
      </c>
      <c r="AJ1891" s="4" t="s">
        <v>63</v>
      </c>
      <c r="AK1891" s="4" t="s">
        <v>63</v>
      </c>
      <c r="AL1891" s="4" t="s">
        <v>63</v>
      </c>
      <c r="AM1891" s="4" t="s">
        <v>16356</v>
      </c>
      <c r="AN1891" s="4" t="s">
        <v>63</v>
      </c>
      <c r="AO1891" s="4" t="s">
        <v>63</v>
      </c>
      <c r="AP1891" s="4" t="s">
        <v>63</v>
      </c>
      <c r="AQ1891" s="4" t="s">
        <v>63</v>
      </c>
      <c r="AR1891" s="4" t="s">
        <v>63</v>
      </c>
      <c r="AS1891" s="4" t="s">
        <v>63</v>
      </c>
      <c r="AT1891" s="4" t="s">
        <v>63</v>
      </c>
      <c r="AU1891" s="4" t="s">
        <v>63</v>
      </c>
      <c r="AV1891" s="4" t="s">
        <v>63</v>
      </c>
      <c r="AW1891" s="4" t="s">
        <v>63</v>
      </c>
      <c r="AX1891" s="4" t="s">
        <v>63</v>
      </c>
      <c r="AY1891" s="4" t="s">
        <v>63</v>
      </c>
      <c r="AZ1891" s="4" t="s">
        <v>63</v>
      </c>
      <c r="BA1891" s="4" t="s">
        <v>63</v>
      </c>
      <c r="BB1891" s="4" t="s">
        <v>63</v>
      </c>
      <c r="BC1891" s="4" t="s">
        <v>63</v>
      </c>
      <c r="BD1891" s="4" t="s">
        <v>63</v>
      </c>
      <c r="BE1891" s="4" t="s">
        <v>63</v>
      </c>
      <c r="BF1891" s="4" t="s">
        <v>63</v>
      </c>
    </row>
    <row r="1892" spans="1:58">
      <c r="A1892" s="4" t="s">
        <v>58</v>
      </c>
      <c r="B1892" s="4" t="s">
        <v>16365</v>
      </c>
      <c r="C1892" s="4" t="s">
        <v>16366</v>
      </c>
      <c r="D1892" s="4" t="s">
        <v>15263</v>
      </c>
      <c r="E1892" s="4" t="s">
        <v>15264</v>
      </c>
      <c r="F1892" s="4">
        <v>2015</v>
      </c>
      <c r="G1892" s="4">
        <v>1</v>
      </c>
      <c r="H1892" s="4">
        <v>146</v>
      </c>
      <c r="I1892" s="4" t="s">
        <v>63</v>
      </c>
      <c r="J1892" s="4" t="s">
        <v>16367</v>
      </c>
      <c r="K1892" s="4" t="s">
        <v>16368</v>
      </c>
      <c r="L1892" s="4" t="s">
        <v>16369</v>
      </c>
      <c r="M1892" s="4" t="s">
        <v>16370</v>
      </c>
      <c r="N1892" s="4" t="s">
        <v>16371</v>
      </c>
      <c r="O1892" s="4" t="s">
        <v>63</v>
      </c>
      <c r="P1892" s="4"/>
      <c r="Q1892" s="4" t="s">
        <v>63</v>
      </c>
      <c r="R1892" s="4" t="s">
        <v>63</v>
      </c>
      <c r="S1892" s="4" t="s">
        <v>63</v>
      </c>
      <c r="T1892" s="4" t="s">
        <v>63</v>
      </c>
      <c r="U1892" s="4"/>
      <c r="V1892" s="4"/>
      <c r="W1892" s="4"/>
      <c r="X1892" s="4" t="s">
        <v>63</v>
      </c>
      <c r="Y1892" s="4" t="s">
        <v>4942</v>
      </c>
      <c r="Z1892" s="4" t="s">
        <v>63</v>
      </c>
      <c r="AA1892" s="4" t="s">
        <v>63</v>
      </c>
      <c r="AB1892" s="4" t="s">
        <v>63</v>
      </c>
      <c r="AC1892" s="4" t="s">
        <v>67</v>
      </c>
      <c r="AD1892" s="4" t="s">
        <v>63</v>
      </c>
      <c r="AE1892" s="4" t="s">
        <v>63</v>
      </c>
      <c r="AF1892" s="4" t="s">
        <v>63</v>
      </c>
      <c r="AG1892" s="4" t="s">
        <v>63</v>
      </c>
      <c r="AH1892" s="4" t="s">
        <v>63</v>
      </c>
      <c r="AI1892" s="4" t="s">
        <v>16372</v>
      </c>
      <c r="AJ1892" s="4" t="s">
        <v>63</v>
      </c>
      <c r="AK1892" s="4" t="s">
        <v>63</v>
      </c>
      <c r="AL1892" s="4" t="s">
        <v>63</v>
      </c>
      <c r="AM1892" s="4" t="s">
        <v>16366</v>
      </c>
      <c r="AN1892" s="4" t="s">
        <v>63</v>
      </c>
      <c r="AO1892" s="4" t="s">
        <v>63</v>
      </c>
      <c r="AP1892" s="4" t="s">
        <v>63</v>
      </c>
      <c r="AQ1892" s="4" t="s">
        <v>63</v>
      </c>
      <c r="AR1892" s="4" t="s">
        <v>63</v>
      </c>
      <c r="AS1892" s="4" t="s">
        <v>63</v>
      </c>
      <c r="AT1892" s="4" t="s">
        <v>63</v>
      </c>
      <c r="AU1892" s="4" t="s">
        <v>63</v>
      </c>
      <c r="AV1892" s="4" t="s">
        <v>63</v>
      </c>
      <c r="AW1892" s="4" t="s">
        <v>63</v>
      </c>
      <c r="AX1892" s="4" t="s">
        <v>63</v>
      </c>
      <c r="AY1892" s="4" t="s">
        <v>63</v>
      </c>
      <c r="AZ1892" s="4" t="s">
        <v>63</v>
      </c>
      <c r="BA1892" s="4" t="s">
        <v>63</v>
      </c>
      <c r="BB1892" s="4" t="s">
        <v>63</v>
      </c>
      <c r="BC1892" s="4" t="s">
        <v>63</v>
      </c>
      <c r="BD1892" s="4" t="s">
        <v>63</v>
      </c>
      <c r="BE1892" s="4" t="s">
        <v>63</v>
      </c>
      <c r="BF1892" s="4" t="s">
        <v>63</v>
      </c>
    </row>
    <row r="1893" spans="1:58">
      <c r="A1893" s="4" t="s">
        <v>58</v>
      </c>
      <c r="B1893" s="4" t="s">
        <v>16373</v>
      </c>
      <c r="C1893" s="4" t="s">
        <v>16374</v>
      </c>
      <c r="D1893" s="4" t="s">
        <v>11901</v>
      </c>
      <c r="E1893" s="4" t="s">
        <v>63</v>
      </c>
      <c r="F1893" s="4">
        <v>2016</v>
      </c>
      <c r="G1893" s="4">
        <v>1</v>
      </c>
      <c r="H1893" s="4">
        <v>58</v>
      </c>
      <c r="I1893" s="4">
        <v>5</v>
      </c>
      <c r="J1893" s="4" t="s">
        <v>16375</v>
      </c>
      <c r="K1893" s="4" t="s">
        <v>63</v>
      </c>
      <c r="L1893" s="4" t="s">
        <v>16376</v>
      </c>
      <c r="M1893" s="4" t="s">
        <v>16377</v>
      </c>
      <c r="N1893" s="4" t="s">
        <v>16378</v>
      </c>
      <c r="O1893" s="4" t="s">
        <v>63</v>
      </c>
      <c r="P1893" s="4"/>
      <c r="Q1893" s="4" t="s">
        <v>63</v>
      </c>
      <c r="R1893" s="4" t="s">
        <v>63</v>
      </c>
      <c r="S1893" s="4" t="s">
        <v>63</v>
      </c>
      <c r="T1893" s="4" t="s">
        <v>63</v>
      </c>
      <c r="U1893" s="4"/>
      <c r="V1893" s="4"/>
      <c r="W1893" s="4"/>
      <c r="X1893" s="4" t="s">
        <v>63</v>
      </c>
      <c r="Y1893" s="4" t="s">
        <v>15618</v>
      </c>
      <c r="Z1893" s="4" t="s">
        <v>63</v>
      </c>
      <c r="AA1893" s="4" t="s">
        <v>63</v>
      </c>
      <c r="AB1893" s="4" t="s">
        <v>63</v>
      </c>
      <c r="AC1893" s="4" t="s">
        <v>67</v>
      </c>
      <c r="AD1893" s="4" t="s">
        <v>63</v>
      </c>
      <c r="AE1893" s="4" t="s">
        <v>63</v>
      </c>
      <c r="AF1893" s="4" t="s">
        <v>63</v>
      </c>
      <c r="AG1893" s="4" t="s">
        <v>63</v>
      </c>
      <c r="AH1893" s="4" t="s">
        <v>63</v>
      </c>
      <c r="AI1893" s="4" t="s">
        <v>63</v>
      </c>
      <c r="AJ1893" s="4" t="s">
        <v>63</v>
      </c>
      <c r="AK1893" s="4" t="s">
        <v>63</v>
      </c>
      <c r="AL1893" s="4" t="s">
        <v>63</v>
      </c>
      <c r="AM1893" s="4" t="s">
        <v>16374</v>
      </c>
      <c r="AN1893" s="4" t="s">
        <v>63</v>
      </c>
      <c r="AO1893" s="4" t="s">
        <v>63</v>
      </c>
      <c r="AP1893" s="4" t="s">
        <v>63</v>
      </c>
      <c r="AQ1893" s="4" t="s">
        <v>63</v>
      </c>
      <c r="AR1893" s="4" t="s">
        <v>63</v>
      </c>
      <c r="AS1893" s="4" t="s">
        <v>63</v>
      </c>
      <c r="AT1893" s="4" t="s">
        <v>63</v>
      </c>
      <c r="AU1893" s="4" t="s">
        <v>63</v>
      </c>
      <c r="AV1893" s="4" t="s">
        <v>63</v>
      </c>
      <c r="AW1893" s="4" t="s">
        <v>63</v>
      </c>
      <c r="AX1893" s="4" t="s">
        <v>63</v>
      </c>
      <c r="AY1893" s="4" t="s">
        <v>63</v>
      </c>
      <c r="AZ1893" s="4" t="s">
        <v>63</v>
      </c>
      <c r="BA1893" s="4" t="s">
        <v>63</v>
      </c>
      <c r="BB1893" s="4" t="s">
        <v>63</v>
      </c>
      <c r="BC1893" s="4" t="s">
        <v>63</v>
      </c>
      <c r="BD1893" s="4" t="s">
        <v>63</v>
      </c>
      <c r="BE1893" s="4" t="s">
        <v>63</v>
      </c>
      <c r="BF1893" s="4" t="s">
        <v>63</v>
      </c>
    </row>
    <row r="1894" spans="1:58">
      <c r="A1894" s="4" t="s">
        <v>58</v>
      </c>
      <c r="B1894" s="4" t="s">
        <v>16379</v>
      </c>
      <c r="C1894" s="4" t="s">
        <v>16380</v>
      </c>
      <c r="D1894" s="4" t="s">
        <v>155</v>
      </c>
      <c r="E1894" s="4" t="s">
        <v>156</v>
      </c>
      <c r="F1894" s="4">
        <v>2016</v>
      </c>
      <c r="G1894" s="4">
        <v>1</v>
      </c>
      <c r="H1894" s="4">
        <v>68</v>
      </c>
      <c r="I1894" s="4">
        <v>4</v>
      </c>
      <c r="J1894" s="4" t="s">
        <v>16381</v>
      </c>
      <c r="K1894" s="4" t="s">
        <v>63</v>
      </c>
      <c r="L1894" s="4" t="s">
        <v>16382</v>
      </c>
      <c r="M1894" s="4" t="s">
        <v>16383</v>
      </c>
      <c r="N1894" s="4" t="s">
        <v>16384</v>
      </c>
      <c r="O1894" s="4" t="s">
        <v>63</v>
      </c>
      <c r="P1894" s="4"/>
      <c r="Q1894" s="4" t="s">
        <v>63</v>
      </c>
      <c r="R1894" s="4" t="s">
        <v>63</v>
      </c>
      <c r="S1894" s="4" t="s">
        <v>63</v>
      </c>
      <c r="T1894" s="4" t="s">
        <v>63</v>
      </c>
      <c r="U1894" s="4"/>
      <c r="V1894" s="4"/>
      <c r="W1894" s="4"/>
      <c r="X1894" s="4" t="s">
        <v>63</v>
      </c>
      <c r="Y1894" s="4" t="s">
        <v>2310</v>
      </c>
      <c r="Z1894" s="4" t="s">
        <v>63</v>
      </c>
      <c r="AA1894" s="4" t="s">
        <v>63</v>
      </c>
      <c r="AB1894" s="4" t="s">
        <v>63</v>
      </c>
      <c r="AC1894" s="4" t="s">
        <v>67</v>
      </c>
      <c r="AD1894" s="4" t="s">
        <v>63</v>
      </c>
      <c r="AE1894" s="4" t="s">
        <v>63</v>
      </c>
      <c r="AF1894" s="4" t="s">
        <v>63</v>
      </c>
      <c r="AG1894" s="4" t="s">
        <v>63</v>
      </c>
      <c r="AH1894" s="4" t="s">
        <v>63</v>
      </c>
      <c r="AI1894" s="4" t="s">
        <v>63</v>
      </c>
      <c r="AJ1894" s="4" t="s">
        <v>63</v>
      </c>
      <c r="AK1894" s="4" t="s">
        <v>63</v>
      </c>
      <c r="AL1894" s="4" t="s">
        <v>63</v>
      </c>
      <c r="AM1894" s="4" t="s">
        <v>16380</v>
      </c>
      <c r="AN1894" s="4" t="s">
        <v>63</v>
      </c>
      <c r="AO1894" s="4" t="s">
        <v>63</v>
      </c>
      <c r="AP1894" s="4" t="s">
        <v>63</v>
      </c>
      <c r="AQ1894" s="4" t="s">
        <v>63</v>
      </c>
      <c r="AR1894" s="4" t="s">
        <v>63</v>
      </c>
      <c r="AS1894" s="4" t="s">
        <v>63</v>
      </c>
      <c r="AT1894" s="4" t="s">
        <v>63</v>
      </c>
      <c r="AU1894" s="4" t="s">
        <v>63</v>
      </c>
      <c r="AV1894" s="4" t="s">
        <v>63</v>
      </c>
      <c r="AW1894" s="4" t="s">
        <v>63</v>
      </c>
      <c r="AX1894" s="4" t="s">
        <v>63</v>
      </c>
      <c r="AY1894" s="4" t="s">
        <v>63</v>
      </c>
      <c r="AZ1894" s="4" t="s">
        <v>63</v>
      </c>
      <c r="BA1894" s="4" t="s">
        <v>63</v>
      </c>
      <c r="BB1894" s="4" t="s">
        <v>63</v>
      </c>
      <c r="BC1894" s="4" t="s">
        <v>63</v>
      </c>
      <c r="BD1894" s="4" t="s">
        <v>63</v>
      </c>
      <c r="BE1894" s="4" t="s">
        <v>63</v>
      </c>
      <c r="BF1894" s="4" t="s">
        <v>63</v>
      </c>
    </row>
    <row r="1895" spans="1:58">
      <c r="A1895" s="4" t="s">
        <v>58</v>
      </c>
      <c r="B1895" s="4" t="s">
        <v>16385</v>
      </c>
      <c r="C1895" s="4" t="s">
        <v>16386</v>
      </c>
      <c r="D1895" s="4" t="s">
        <v>15421</v>
      </c>
      <c r="E1895" s="4" t="s">
        <v>63</v>
      </c>
      <c r="F1895" s="4">
        <v>2013</v>
      </c>
      <c r="G1895" s="4" t="s">
        <v>63</v>
      </c>
      <c r="H1895" s="4">
        <v>34</v>
      </c>
      <c r="I1895" s="4">
        <v>3</v>
      </c>
      <c r="J1895" s="4">
        <v>292</v>
      </c>
      <c r="K1895" s="4">
        <v>297</v>
      </c>
      <c r="L1895" s="4" t="s">
        <v>16387</v>
      </c>
      <c r="M1895" s="4" t="s">
        <v>16388</v>
      </c>
      <c r="N1895" s="4" t="s">
        <v>16389</v>
      </c>
      <c r="O1895" s="4" t="s">
        <v>63</v>
      </c>
      <c r="P1895" s="4"/>
      <c r="Q1895" s="4" t="s">
        <v>63</v>
      </c>
      <c r="R1895" s="4" t="s">
        <v>63</v>
      </c>
      <c r="S1895" s="4" t="s">
        <v>63</v>
      </c>
      <c r="T1895" s="4" t="s">
        <v>63</v>
      </c>
      <c r="U1895" s="4"/>
      <c r="V1895" s="4"/>
      <c r="W1895" s="4"/>
      <c r="X1895" s="4" t="s">
        <v>63</v>
      </c>
      <c r="Y1895" s="4" t="s">
        <v>15425</v>
      </c>
      <c r="Z1895" s="4" t="s">
        <v>63</v>
      </c>
      <c r="AA1895" s="4" t="s">
        <v>63</v>
      </c>
      <c r="AB1895" s="4" t="s">
        <v>63</v>
      </c>
      <c r="AC1895" s="4" t="s">
        <v>67</v>
      </c>
      <c r="AD1895" s="4" t="s">
        <v>63</v>
      </c>
      <c r="AE1895" s="4" t="s">
        <v>63</v>
      </c>
      <c r="AF1895" s="4" t="s">
        <v>63</v>
      </c>
      <c r="AG1895" s="4" t="s">
        <v>16390</v>
      </c>
      <c r="AH1895" s="4" t="s">
        <v>63</v>
      </c>
      <c r="AI1895" s="4" t="s">
        <v>63</v>
      </c>
      <c r="AJ1895" s="4" t="s">
        <v>63</v>
      </c>
      <c r="AK1895" s="4" t="s">
        <v>63</v>
      </c>
      <c r="AL1895" s="4" t="s">
        <v>63</v>
      </c>
      <c r="AM1895" s="4" t="s">
        <v>16391</v>
      </c>
      <c r="AN1895" s="4" t="s">
        <v>63</v>
      </c>
      <c r="AO1895" s="4" t="s">
        <v>63</v>
      </c>
      <c r="AP1895" s="4" t="s">
        <v>63</v>
      </c>
      <c r="AQ1895" s="4" t="s">
        <v>63</v>
      </c>
      <c r="AR1895" s="4" t="s">
        <v>63</v>
      </c>
      <c r="AS1895" s="4" t="s">
        <v>63</v>
      </c>
      <c r="AT1895" s="4" t="s">
        <v>63</v>
      </c>
      <c r="AU1895" s="4" t="s">
        <v>63</v>
      </c>
      <c r="AV1895" s="4" t="s">
        <v>63</v>
      </c>
      <c r="AW1895" s="4" t="s">
        <v>63</v>
      </c>
      <c r="AX1895" s="4" t="s">
        <v>63</v>
      </c>
      <c r="AY1895" s="4" t="s">
        <v>63</v>
      </c>
      <c r="AZ1895" s="4" t="s">
        <v>63</v>
      </c>
      <c r="BA1895" s="4" t="s">
        <v>63</v>
      </c>
      <c r="BB1895" s="4" t="s">
        <v>63</v>
      </c>
      <c r="BC1895" s="4" t="s">
        <v>63</v>
      </c>
      <c r="BD1895" s="4" t="s">
        <v>63</v>
      </c>
      <c r="BE1895" s="4" t="s">
        <v>63</v>
      </c>
      <c r="BF1895" s="4" t="s">
        <v>63</v>
      </c>
    </row>
    <row r="1896" spans="1:58">
      <c r="A1896" s="4" t="s">
        <v>58</v>
      </c>
      <c r="B1896" s="4" t="s">
        <v>16392</v>
      </c>
      <c r="C1896" s="4" t="s">
        <v>16393</v>
      </c>
      <c r="D1896" s="4" t="s">
        <v>15440</v>
      </c>
      <c r="E1896" s="4" t="s">
        <v>15440</v>
      </c>
      <c r="F1896" s="4">
        <v>2014</v>
      </c>
      <c r="G1896" s="4" t="s">
        <v>15358</v>
      </c>
      <c r="H1896" s="4">
        <v>34</v>
      </c>
      <c r="I1896" s="4">
        <v>10</v>
      </c>
      <c r="J1896" s="4" t="s">
        <v>16394</v>
      </c>
      <c r="K1896" s="4" t="s">
        <v>63</v>
      </c>
      <c r="L1896" s="4" t="s">
        <v>16395</v>
      </c>
      <c r="M1896" s="4" t="s">
        <v>16396</v>
      </c>
      <c r="N1896" s="4" t="s">
        <v>16397</v>
      </c>
      <c r="O1896" s="4" t="s">
        <v>63</v>
      </c>
      <c r="P1896" s="4"/>
      <c r="Q1896" s="4" t="s">
        <v>63</v>
      </c>
      <c r="R1896" s="4" t="s">
        <v>63</v>
      </c>
      <c r="S1896" s="4" t="s">
        <v>63</v>
      </c>
      <c r="T1896" s="4" t="s">
        <v>63</v>
      </c>
      <c r="U1896" s="4"/>
      <c r="V1896" s="4"/>
      <c r="W1896" s="4"/>
      <c r="X1896" s="4" t="s">
        <v>63</v>
      </c>
      <c r="Y1896" s="4" t="s">
        <v>15446</v>
      </c>
      <c r="Z1896" s="4" t="s">
        <v>63</v>
      </c>
      <c r="AA1896" s="4" t="s">
        <v>63</v>
      </c>
      <c r="AB1896" s="4" t="s">
        <v>63</v>
      </c>
      <c r="AC1896" s="4" t="s">
        <v>67</v>
      </c>
      <c r="AD1896" s="4" t="s">
        <v>63</v>
      </c>
      <c r="AE1896" s="4" t="s">
        <v>63</v>
      </c>
      <c r="AF1896" s="4" t="s">
        <v>63</v>
      </c>
      <c r="AG1896" s="4" t="s">
        <v>63</v>
      </c>
      <c r="AH1896" s="4" t="s">
        <v>63</v>
      </c>
      <c r="AI1896" s="4" t="s">
        <v>16398</v>
      </c>
      <c r="AJ1896" s="4" t="s">
        <v>63</v>
      </c>
      <c r="AK1896" s="4" t="s">
        <v>63</v>
      </c>
      <c r="AL1896" s="4" t="s">
        <v>63</v>
      </c>
      <c r="AM1896" s="4" t="s">
        <v>16393</v>
      </c>
      <c r="AN1896" s="4" t="s">
        <v>63</v>
      </c>
      <c r="AO1896" s="4" t="s">
        <v>63</v>
      </c>
      <c r="AP1896" s="4" t="s">
        <v>63</v>
      </c>
      <c r="AQ1896" s="4" t="s">
        <v>63</v>
      </c>
      <c r="AR1896" s="4" t="s">
        <v>63</v>
      </c>
      <c r="AS1896" s="4" t="s">
        <v>63</v>
      </c>
      <c r="AT1896" s="4" t="s">
        <v>63</v>
      </c>
      <c r="AU1896" s="4" t="s">
        <v>63</v>
      </c>
      <c r="AV1896" s="4" t="s">
        <v>63</v>
      </c>
      <c r="AW1896" s="4" t="s">
        <v>63</v>
      </c>
      <c r="AX1896" s="4" t="s">
        <v>63</v>
      </c>
      <c r="AY1896" s="4" t="s">
        <v>63</v>
      </c>
      <c r="AZ1896" s="4" t="s">
        <v>63</v>
      </c>
      <c r="BA1896" s="4" t="s">
        <v>63</v>
      </c>
      <c r="BB1896" s="4" t="s">
        <v>63</v>
      </c>
      <c r="BC1896" s="4" t="s">
        <v>63</v>
      </c>
      <c r="BD1896" s="4" t="s">
        <v>63</v>
      </c>
      <c r="BE1896" s="4" t="s">
        <v>63</v>
      </c>
      <c r="BF1896" s="4" t="s">
        <v>63</v>
      </c>
    </row>
    <row r="1897" spans="1:58">
      <c r="A1897" s="4" t="s">
        <v>58</v>
      </c>
      <c r="B1897" s="4" t="s">
        <v>16399</v>
      </c>
      <c r="C1897" s="4" t="s">
        <v>16400</v>
      </c>
      <c r="D1897" s="4" t="s">
        <v>13447</v>
      </c>
      <c r="E1897" s="4" t="s">
        <v>63</v>
      </c>
      <c r="F1897" s="4">
        <v>2010</v>
      </c>
      <c r="G1897" s="4" t="s">
        <v>15165</v>
      </c>
      <c r="H1897" s="4">
        <v>23</v>
      </c>
      <c r="I1897" s="4">
        <v>2</v>
      </c>
      <c r="J1897" s="4">
        <v>179</v>
      </c>
      <c r="K1897" s="4" t="s">
        <v>63</v>
      </c>
      <c r="L1897" s="4" t="s">
        <v>16401</v>
      </c>
      <c r="M1897" s="4" t="s">
        <v>16402</v>
      </c>
      <c r="N1897" s="4" t="s">
        <v>16403</v>
      </c>
      <c r="O1897" s="4" t="s">
        <v>63</v>
      </c>
      <c r="P1897" s="4"/>
      <c r="Q1897" s="4" t="s">
        <v>63</v>
      </c>
      <c r="R1897" s="4" t="s">
        <v>63</v>
      </c>
      <c r="S1897" s="4" t="s">
        <v>63</v>
      </c>
      <c r="T1897" s="4" t="s">
        <v>63</v>
      </c>
      <c r="U1897" s="4"/>
      <c r="V1897" s="4"/>
      <c r="W1897" s="4"/>
      <c r="X1897" s="4" t="s">
        <v>63</v>
      </c>
      <c r="Y1897" s="4" t="s">
        <v>16404</v>
      </c>
      <c r="Z1897" s="4" t="s">
        <v>63</v>
      </c>
      <c r="AA1897" s="4" t="s">
        <v>63</v>
      </c>
      <c r="AB1897" s="4" t="s">
        <v>63</v>
      </c>
      <c r="AC1897" s="4" t="s">
        <v>67</v>
      </c>
      <c r="AD1897" s="4" t="s">
        <v>63</v>
      </c>
      <c r="AE1897" s="4" t="s">
        <v>63</v>
      </c>
      <c r="AF1897" s="4" t="s">
        <v>63</v>
      </c>
      <c r="AG1897" s="4" t="s">
        <v>63</v>
      </c>
      <c r="AH1897" s="4" t="s">
        <v>63</v>
      </c>
      <c r="AI1897" s="4" t="s">
        <v>16405</v>
      </c>
      <c r="AJ1897" s="4" t="s">
        <v>63</v>
      </c>
      <c r="AK1897" s="4" t="s">
        <v>63</v>
      </c>
      <c r="AL1897" s="4" t="s">
        <v>63</v>
      </c>
      <c r="AM1897" s="4" t="s">
        <v>16400</v>
      </c>
      <c r="AN1897" s="4" t="s">
        <v>63</v>
      </c>
      <c r="AO1897" s="4" t="s">
        <v>63</v>
      </c>
      <c r="AP1897" s="4" t="s">
        <v>63</v>
      </c>
      <c r="AQ1897" s="4" t="s">
        <v>63</v>
      </c>
      <c r="AR1897" s="4" t="s">
        <v>63</v>
      </c>
      <c r="AS1897" s="4" t="s">
        <v>63</v>
      </c>
      <c r="AT1897" s="4" t="s">
        <v>63</v>
      </c>
      <c r="AU1897" s="4" t="s">
        <v>63</v>
      </c>
      <c r="AV1897" s="4" t="s">
        <v>63</v>
      </c>
      <c r="AW1897" s="4" t="s">
        <v>63</v>
      </c>
      <c r="AX1897" s="4" t="s">
        <v>63</v>
      </c>
      <c r="AY1897" s="4" t="s">
        <v>63</v>
      </c>
      <c r="AZ1897" s="4" t="s">
        <v>63</v>
      </c>
      <c r="BA1897" s="4" t="s">
        <v>63</v>
      </c>
      <c r="BB1897" s="4" t="s">
        <v>63</v>
      </c>
      <c r="BC1897" s="4" t="s">
        <v>63</v>
      </c>
      <c r="BD1897" s="4" t="s">
        <v>63</v>
      </c>
      <c r="BE1897" s="4" t="s">
        <v>63</v>
      </c>
      <c r="BF1897" s="4" t="s">
        <v>63</v>
      </c>
    </row>
    <row r="1898" spans="1:58">
      <c r="A1898" s="4" t="s">
        <v>58</v>
      </c>
      <c r="B1898" s="4" t="s">
        <v>16406</v>
      </c>
      <c r="C1898" s="4" t="s">
        <v>16407</v>
      </c>
      <c r="D1898" s="4" t="s">
        <v>16273</v>
      </c>
      <c r="E1898" s="4" t="s">
        <v>16274</v>
      </c>
      <c r="F1898" s="4">
        <v>2013</v>
      </c>
      <c r="G1898" s="4" t="s">
        <v>15300</v>
      </c>
      <c r="H1898" s="4">
        <v>81</v>
      </c>
      <c r="I1898" s="4">
        <v>4</v>
      </c>
      <c r="J1898" s="4">
        <v>674</v>
      </c>
      <c r="K1898" s="4">
        <v>680</v>
      </c>
      <c r="L1898" s="4" t="s">
        <v>16408</v>
      </c>
      <c r="M1898" s="4" t="s">
        <v>16409</v>
      </c>
      <c r="N1898" s="4" t="s">
        <v>16410</v>
      </c>
      <c r="O1898" s="4" t="s">
        <v>63</v>
      </c>
      <c r="P1898" s="4"/>
      <c r="Q1898" s="4" t="s">
        <v>63</v>
      </c>
      <c r="R1898" s="4" t="s">
        <v>63</v>
      </c>
      <c r="S1898" s="4" t="s">
        <v>63</v>
      </c>
      <c r="T1898" s="4" t="s">
        <v>63</v>
      </c>
      <c r="U1898" s="4"/>
      <c r="V1898" s="4"/>
      <c r="W1898" s="4"/>
      <c r="X1898" s="4" t="s">
        <v>63</v>
      </c>
      <c r="Y1898" s="4" t="s">
        <v>16411</v>
      </c>
      <c r="Z1898" s="4" t="s">
        <v>63</v>
      </c>
      <c r="AA1898" s="4" t="s">
        <v>63</v>
      </c>
      <c r="AB1898" s="4">
        <v>2013487615</v>
      </c>
      <c r="AC1898" s="4" t="s">
        <v>67</v>
      </c>
      <c r="AD1898" s="4" t="s">
        <v>63</v>
      </c>
      <c r="AE1898" s="4" t="s">
        <v>63</v>
      </c>
      <c r="AF1898" s="4" t="s">
        <v>63</v>
      </c>
      <c r="AG1898" s="4" t="s">
        <v>16412</v>
      </c>
      <c r="AH1898" s="4" t="s">
        <v>63</v>
      </c>
      <c r="AI1898" s="4" t="s">
        <v>16413</v>
      </c>
      <c r="AJ1898" s="4" t="s">
        <v>63</v>
      </c>
      <c r="AK1898" s="4" t="s">
        <v>63</v>
      </c>
      <c r="AL1898" s="4" t="s">
        <v>63</v>
      </c>
      <c r="AM1898" s="4" t="s">
        <v>16414</v>
      </c>
      <c r="AN1898" s="4" t="s">
        <v>63</v>
      </c>
      <c r="AO1898" s="4" t="s">
        <v>63</v>
      </c>
      <c r="AP1898" s="4" t="s">
        <v>63</v>
      </c>
      <c r="AQ1898" s="4" t="s">
        <v>63</v>
      </c>
      <c r="AR1898" s="4" t="s">
        <v>63</v>
      </c>
      <c r="AS1898" s="4" t="s">
        <v>63</v>
      </c>
      <c r="AT1898" s="4" t="s">
        <v>63</v>
      </c>
      <c r="AU1898" s="4" t="s">
        <v>63</v>
      </c>
      <c r="AV1898" s="4" t="s">
        <v>63</v>
      </c>
      <c r="AW1898" s="4" t="s">
        <v>63</v>
      </c>
      <c r="AX1898" s="4" t="s">
        <v>63</v>
      </c>
      <c r="AY1898" s="4" t="s">
        <v>63</v>
      </c>
      <c r="AZ1898" s="4" t="s">
        <v>63</v>
      </c>
      <c r="BA1898" s="4" t="s">
        <v>63</v>
      </c>
      <c r="BB1898" s="4" t="s">
        <v>63</v>
      </c>
      <c r="BC1898" s="4" t="s">
        <v>63</v>
      </c>
      <c r="BD1898" s="4" t="s">
        <v>63</v>
      </c>
      <c r="BE1898" s="4" t="s">
        <v>63</v>
      </c>
      <c r="BF1898" s="4" t="s">
        <v>63</v>
      </c>
    </row>
    <row r="1899" spans="1:58">
      <c r="A1899" s="4" t="s">
        <v>58</v>
      </c>
      <c r="B1899" s="4" t="s">
        <v>16415</v>
      </c>
      <c r="C1899" s="4" t="s">
        <v>16416</v>
      </c>
      <c r="D1899" s="4" t="s">
        <v>2646</v>
      </c>
      <c r="E1899" s="4" t="s">
        <v>2647</v>
      </c>
      <c r="F1899" s="4">
        <v>1992</v>
      </c>
      <c r="G1899" s="4" t="s">
        <v>63</v>
      </c>
      <c r="H1899" s="4">
        <v>85</v>
      </c>
      <c r="I1899" s="4">
        <v>12</v>
      </c>
      <c r="J1899" s="4">
        <v>774</v>
      </c>
      <c r="K1899" s="4" t="s">
        <v>63</v>
      </c>
      <c r="L1899" s="4" t="s">
        <v>16417</v>
      </c>
      <c r="M1899" s="4" t="s">
        <v>63</v>
      </c>
      <c r="N1899" s="4" t="s">
        <v>16418</v>
      </c>
      <c r="O1899" s="4" t="s">
        <v>63</v>
      </c>
      <c r="P1899" s="4"/>
      <c r="Q1899" s="4" t="s">
        <v>63</v>
      </c>
      <c r="R1899" s="4" t="s">
        <v>63</v>
      </c>
      <c r="S1899" s="4" t="s">
        <v>63</v>
      </c>
      <c r="T1899" s="4" t="s">
        <v>63</v>
      </c>
      <c r="U1899" s="4"/>
      <c r="V1899" s="4"/>
      <c r="W1899" s="4"/>
      <c r="X1899" s="4" t="s">
        <v>63</v>
      </c>
      <c r="Y1899" s="4" t="s">
        <v>2649</v>
      </c>
      <c r="Z1899" s="4" t="s">
        <v>63</v>
      </c>
      <c r="AA1899" s="4" t="s">
        <v>63</v>
      </c>
      <c r="AB1899" s="4" t="s">
        <v>16419</v>
      </c>
      <c r="AC1899" s="4" t="s">
        <v>67</v>
      </c>
      <c r="AD1899" s="4" t="s">
        <v>63</v>
      </c>
      <c r="AE1899" s="4" t="s">
        <v>63</v>
      </c>
      <c r="AF1899" s="4" t="s">
        <v>63</v>
      </c>
      <c r="AG1899" s="4" t="s">
        <v>63</v>
      </c>
      <c r="AH1899" s="4" t="s">
        <v>63</v>
      </c>
      <c r="AI1899" s="4" t="s">
        <v>63</v>
      </c>
      <c r="AJ1899" s="4" t="s">
        <v>63</v>
      </c>
      <c r="AK1899" s="4" t="s">
        <v>63</v>
      </c>
      <c r="AL1899" s="4" t="s">
        <v>63</v>
      </c>
      <c r="AM1899" s="4" t="s">
        <v>16420</v>
      </c>
      <c r="AN1899" s="4" t="s">
        <v>63</v>
      </c>
      <c r="AO1899" s="4" t="s">
        <v>63</v>
      </c>
      <c r="AP1899" s="4" t="s">
        <v>63</v>
      </c>
      <c r="AQ1899" s="4" t="s">
        <v>63</v>
      </c>
      <c r="AR1899" s="4" t="s">
        <v>63</v>
      </c>
      <c r="AS1899" s="4" t="s">
        <v>63</v>
      </c>
      <c r="AT1899" s="4" t="s">
        <v>63</v>
      </c>
      <c r="AU1899" s="4" t="s">
        <v>63</v>
      </c>
      <c r="AV1899" s="4" t="s">
        <v>63</v>
      </c>
      <c r="AW1899" s="4" t="s">
        <v>63</v>
      </c>
      <c r="AX1899" s="4" t="s">
        <v>63</v>
      </c>
      <c r="AY1899" s="4" t="s">
        <v>63</v>
      </c>
      <c r="AZ1899" s="4" t="s">
        <v>63</v>
      </c>
      <c r="BA1899" s="4" t="s">
        <v>63</v>
      </c>
      <c r="BB1899" s="4" t="s">
        <v>63</v>
      </c>
      <c r="BC1899" s="4" t="s">
        <v>63</v>
      </c>
      <c r="BD1899" s="4" t="s">
        <v>63</v>
      </c>
      <c r="BE1899" s="4" t="s">
        <v>63</v>
      </c>
      <c r="BF1899" s="4" t="s">
        <v>63</v>
      </c>
    </row>
    <row r="1900" spans="1:58">
      <c r="A1900" s="4" t="s">
        <v>58</v>
      </c>
      <c r="B1900" s="4" t="s">
        <v>16421</v>
      </c>
      <c r="C1900" s="4" t="s">
        <v>16422</v>
      </c>
      <c r="D1900" s="4" t="s">
        <v>243</v>
      </c>
      <c r="E1900" s="4" t="s">
        <v>243</v>
      </c>
      <c r="F1900" s="4">
        <v>2009</v>
      </c>
      <c r="G1900" s="4">
        <v>10</v>
      </c>
      <c r="H1900" s="4">
        <v>374</v>
      </c>
      <c r="I1900" s="4">
        <v>9697</v>
      </c>
      <c r="J1900" s="4">
        <v>1233</v>
      </c>
      <c r="K1900" s="4" t="s">
        <v>63</v>
      </c>
      <c r="L1900" s="4" t="s">
        <v>16423</v>
      </c>
      <c r="M1900" s="4" t="s">
        <v>63</v>
      </c>
      <c r="N1900" s="4" t="s">
        <v>16424</v>
      </c>
      <c r="O1900" s="4" t="s">
        <v>63</v>
      </c>
      <c r="P1900" s="4"/>
      <c r="Q1900" s="4" t="s">
        <v>63</v>
      </c>
      <c r="R1900" s="4" t="s">
        <v>63</v>
      </c>
      <c r="S1900" s="4" t="s">
        <v>63</v>
      </c>
      <c r="T1900" s="4" t="s">
        <v>63</v>
      </c>
      <c r="U1900" s="4"/>
      <c r="V1900" s="4"/>
      <c r="W1900" s="4"/>
      <c r="X1900" s="4" t="s">
        <v>63</v>
      </c>
      <c r="Y1900" s="4" t="s">
        <v>16425</v>
      </c>
      <c r="Z1900" s="4" t="s">
        <v>63</v>
      </c>
      <c r="AA1900" s="4" t="s">
        <v>63</v>
      </c>
      <c r="AB1900" s="4" t="s">
        <v>63</v>
      </c>
      <c r="AC1900" s="4" t="s">
        <v>67</v>
      </c>
      <c r="AD1900" s="4" t="s">
        <v>63</v>
      </c>
      <c r="AE1900" s="4" t="s">
        <v>63</v>
      </c>
      <c r="AF1900" s="4" t="s">
        <v>63</v>
      </c>
      <c r="AG1900" s="4" t="s">
        <v>16426</v>
      </c>
      <c r="AH1900" s="4" t="s">
        <v>63</v>
      </c>
      <c r="AI1900" s="4" t="s">
        <v>63</v>
      </c>
      <c r="AJ1900" s="4" t="s">
        <v>63</v>
      </c>
      <c r="AK1900" s="4" t="s">
        <v>63</v>
      </c>
      <c r="AL1900" s="4" t="s">
        <v>63</v>
      </c>
      <c r="AM1900" s="4" t="s">
        <v>16427</v>
      </c>
      <c r="AN1900" s="4" t="s">
        <v>63</v>
      </c>
      <c r="AO1900" s="4" t="s">
        <v>63</v>
      </c>
      <c r="AP1900" s="4" t="s">
        <v>63</v>
      </c>
      <c r="AQ1900" s="4" t="s">
        <v>63</v>
      </c>
      <c r="AR1900" s="4" t="s">
        <v>63</v>
      </c>
      <c r="AS1900" s="4" t="s">
        <v>63</v>
      </c>
      <c r="AT1900" s="4" t="s">
        <v>63</v>
      </c>
      <c r="AU1900" s="4" t="s">
        <v>63</v>
      </c>
      <c r="AV1900" s="4" t="s">
        <v>63</v>
      </c>
      <c r="AW1900" s="4" t="s">
        <v>63</v>
      </c>
      <c r="AX1900" s="4" t="s">
        <v>63</v>
      </c>
      <c r="AY1900" s="4" t="s">
        <v>63</v>
      </c>
      <c r="AZ1900" s="4" t="s">
        <v>63</v>
      </c>
      <c r="BA1900" s="4" t="s">
        <v>63</v>
      </c>
      <c r="BB1900" s="4" t="s">
        <v>63</v>
      </c>
      <c r="BC1900" s="4" t="s">
        <v>63</v>
      </c>
      <c r="BD1900" s="4" t="s">
        <v>63</v>
      </c>
      <c r="BE1900" s="4" t="s">
        <v>63</v>
      </c>
      <c r="BF1900" s="4" t="s">
        <v>63</v>
      </c>
    </row>
    <row r="1901" spans="1:58">
      <c r="A1901" s="4" t="s">
        <v>58</v>
      </c>
      <c r="B1901" s="4" t="s">
        <v>16428</v>
      </c>
      <c r="C1901" s="4" t="s">
        <v>16429</v>
      </c>
      <c r="D1901" s="4" t="s">
        <v>2677</v>
      </c>
      <c r="E1901" s="4" t="s">
        <v>2678</v>
      </c>
      <c r="F1901" s="4">
        <v>1978</v>
      </c>
      <c r="G1901" s="4" t="s">
        <v>63</v>
      </c>
      <c r="H1901" s="4">
        <v>10</v>
      </c>
      <c r="I1901" s="4">
        <v>4</v>
      </c>
      <c r="J1901" s="4">
        <v>393</v>
      </c>
      <c r="K1901" s="4">
        <v>397</v>
      </c>
      <c r="L1901" s="4" t="s">
        <v>16430</v>
      </c>
      <c r="M1901" s="4" t="s">
        <v>16431</v>
      </c>
      <c r="N1901" s="4" t="s">
        <v>16432</v>
      </c>
      <c r="O1901" s="4" t="s">
        <v>63</v>
      </c>
      <c r="P1901" s="4"/>
      <c r="Q1901" s="4" t="s">
        <v>63</v>
      </c>
      <c r="R1901" s="4" t="s">
        <v>63</v>
      </c>
      <c r="S1901" s="4" t="s">
        <v>63</v>
      </c>
      <c r="T1901" s="4" t="s">
        <v>63</v>
      </c>
      <c r="U1901" s="4"/>
      <c r="V1901" s="4"/>
      <c r="W1901" s="4"/>
      <c r="X1901" s="4" t="s">
        <v>63</v>
      </c>
      <c r="Y1901" s="4" t="s">
        <v>2682</v>
      </c>
      <c r="Z1901" s="4" t="s">
        <v>63</v>
      </c>
      <c r="AA1901" s="4" t="s">
        <v>63</v>
      </c>
      <c r="AB1901" s="4" t="s">
        <v>16433</v>
      </c>
      <c r="AC1901" s="4" t="s">
        <v>67</v>
      </c>
      <c r="AD1901" s="4" t="s">
        <v>63</v>
      </c>
      <c r="AE1901" s="4" t="s">
        <v>63</v>
      </c>
      <c r="AF1901" s="4" t="s">
        <v>63</v>
      </c>
      <c r="AG1901" s="4" t="s">
        <v>63</v>
      </c>
      <c r="AH1901" s="4" t="s">
        <v>63</v>
      </c>
      <c r="AI1901" s="4" t="s">
        <v>63</v>
      </c>
      <c r="AJ1901" s="4" t="s">
        <v>63</v>
      </c>
      <c r="AK1901" s="4" t="s">
        <v>63</v>
      </c>
      <c r="AL1901" s="4" t="s">
        <v>63</v>
      </c>
      <c r="AM1901" s="4" t="s">
        <v>16429</v>
      </c>
      <c r="AN1901" s="4" t="s">
        <v>63</v>
      </c>
      <c r="AO1901" s="4" t="s">
        <v>63</v>
      </c>
      <c r="AP1901" s="4" t="s">
        <v>63</v>
      </c>
      <c r="AQ1901" s="4" t="s">
        <v>63</v>
      </c>
      <c r="AR1901" s="4" t="s">
        <v>63</v>
      </c>
      <c r="AS1901" s="4" t="s">
        <v>63</v>
      </c>
      <c r="AT1901" s="4" t="s">
        <v>63</v>
      </c>
      <c r="AU1901" s="4" t="s">
        <v>63</v>
      </c>
      <c r="AV1901" s="4" t="s">
        <v>63</v>
      </c>
      <c r="AW1901" s="4" t="s">
        <v>63</v>
      </c>
      <c r="AX1901" s="4" t="s">
        <v>63</v>
      </c>
      <c r="AY1901" s="4" t="s">
        <v>63</v>
      </c>
      <c r="AZ1901" s="4" t="s">
        <v>63</v>
      </c>
      <c r="BA1901" s="4" t="s">
        <v>63</v>
      </c>
      <c r="BB1901" s="4" t="s">
        <v>63</v>
      </c>
      <c r="BC1901" s="4" t="s">
        <v>63</v>
      </c>
      <c r="BD1901" s="4" t="s">
        <v>63</v>
      </c>
      <c r="BE1901" s="4" t="s">
        <v>63</v>
      </c>
      <c r="BF1901" s="4" t="s">
        <v>63</v>
      </c>
    </row>
    <row r="1902" spans="1:58">
      <c r="A1902" s="4" t="s">
        <v>58</v>
      </c>
      <c r="B1902" s="4" t="s">
        <v>16434</v>
      </c>
      <c r="C1902" s="4" t="s">
        <v>16435</v>
      </c>
      <c r="D1902" s="4" t="s">
        <v>16436</v>
      </c>
      <c r="E1902" s="4" t="s">
        <v>16437</v>
      </c>
      <c r="F1902" s="4">
        <v>1997</v>
      </c>
      <c r="G1902" s="4" t="s">
        <v>15389</v>
      </c>
      <c r="H1902" s="4">
        <v>45</v>
      </c>
      <c r="I1902" s="4">
        <v>1</v>
      </c>
      <c r="J1902" s="4">
        <v>13</v>
      </c>
      <c r="K1902" s="4">
        <v>22</v>
      </c>
      <c r="L1902" s="4" t="s">
        <v>16438</v>
      </c>
      <c r="M1902" s="4" t="s">
        <v>16439</v>
      </c>
      <c r="N1902" s="4" t="s">
        <v>16440</v>
      </c>
      <c r="O1902" s="4" t="s">
        <v>63</v>
      </c>
      <c r="P1902" s="4"/>
      <c r="Q1902" s="4" t="s">
        <v>63</v>
      </c>
      <c r="R1902" s="4" t="s">
        <v>63</v>
      </c>
      <c r="S1902" s="4" t="s">
        <v>63</v>
      </c>
      <c r="T1902" s="4" t="s">
        <v>63</v>
      </c>
      <c r="U1902" s="4"/>
      <c r="V1902" s="4"/>
      <c r="W1902" s="4"/>
      <c r="X1902" s="4" t="s">
        <v>63</v>
      </c>
      <c r="Y1902" s="4" t="s">
        <v>2698</v>
      </c>
      <c r="Z1902" s="4" t="s">
        <v>63</v>
      </c>
      <c r="AA1902" s="4" t="s">
        <v>63</v>
      </c>
      <c r="AB1902" s="4">
        <v>1997100995</v>
      </c>
      <c r="AC1902" s="4" t="s">
        <v>1371</v>
      </c>
      <c r="AD1902" s="4" t="s">
        <v>63</v>
      </c>
      <c r="AE1902" s="4" t="s">
        <v>63</v>
      </c>
      <c r="AF1902" s="4" t="s">
        <v>63</v>
      </c>
      <c r="AG1902" s="4" t="s">
        <v>16441</v>
      </c>
      <c r="AH1902" s="4" t="s">
        <v>63</v>
      </c>
      <c r="AI1902" s="4" t="s">
        <v>63</v>
      </c>
      <c r="AJ1902" s="4" t="s">
        <v>63</v>
      </c>
      <c r="AK1902" s="4" t="s">
        <v>63</v>
      </c>
      <c r="AL1902" s="4" t="s">
        <v>63</v>
      </c>
      <c r="AM1902" s="4" t="s">
        <v>16442</v>
      </c>
      <c r="AN1902" s="4" t="s">
        <v>63</v>
      </c>
      <c r="AO1902" s="4" t="s">
        <v>63</v>
      </c>
      <c r="AP1902" s="4" t="s">
        <v>63</v>
      </c>
      <c r="AQ1902" s="4" t="s">
        <v>63</v>
      </c>
      <c r="AR1902" s="4" t="s">
        <v>63</v>
      </c>
      <c r="AS1902" s="4" t="s">
        <v>63</v>
      </c>
      <c r="AT1902" s="4" t="s">
        <v>63</v>
      </c>
      <c r="AU1902" s="4" t="s">
        <v>63</v>
      </c>
      <c r="AV1902" s="4" t="s">
        <v>63</v>
      </c>
      <c r="AW1902" s="4" t="s">
        <v>63</v>
      </c>
      <c r="AX1902" s="4" t="s">
        <v>63</v>
      </c>
      <c r="AY1902" s="4" t="s">
        <v>63</v>
      </c>
      <c r="AZ1902" s="4" t="s">
        <v>63</v>
      </c>
      <c r="BA1902" s="4" t="s">
        <v>63</v>
      </c>
      <c r="BB1902" s="4" t="s">
        <v>63</v>
      </c>
      <c r="BC1902" s="4" t="s">
        <v>63</v>
      </c>
      <c r="BD1902" s="4" t="s">
        <v>63</v>
      </c>
      <c r="BE1902" s="4" t="s">
        <v>63</v>
      </c>
      <c r="BF1902" s="4" t="s">
        <v>63</v>
      </c>
    </row>
    <row r="1903" spans="1:58">
      <c r="A1903" s="4" t="s">
        <v>58</v>
      </c>
      <c r="B1903" s="4" t="s">
        <v>16443</v>
      </c>
      <c r="C1903" s="4" t="s">
        <v>16444</v>
      </c>
      <c r="D1903" s="4" t="s">
        <v>1332</v>
      </c>
      <c r="E1903" s="4" t="s">
        <v>63</v>
      </c>
      <c r="F1903" s="4">
        <v>2016</v>
      </c>
      <c r="G1903" s="4" t="s">
        <v>15665</v>
      </c>
      <c r="H1903" s="4">
        <v>58</v>
      </c>
      <c r="I1903" s="4">
        <v>2</v>
      </c>
      <c r="J1903" s="4" t="s">
        <v>16445</v>
      </c>
      <c r="K1903" s="4" t="s">
        <v>503</v>
      </c>
      <c r="L1903" s="4" t="s">
        <v>16446</v>
      </c>
      <c r="M1903" s="4" t="s">
        <v>16447</v>
      </c>
      <c r="N1903" s="4" t="s">
        <v>16448</v>
      </c>
      <c r="O1903" s="4" t="s">
        <v>63</v>
      </c>
      <c r="P1903" s="4"/>
      <c r="Q1903" s="4" t="s">
        <v>63</v>
      </c>
      <c r="R1903" s="4" t="s">
        <v>63</v>
      </c>
      <c r="S1903" s="4" t="s">
        <v>63</v>
      </c>
      <c r="T1903" s="4" t="s">
        <v>63</v>
      </c>
      <c r="U1903" s="4"/>
      <c r="V1903" s="4"/>
      <c r="W1903" s="4"/>
      <c r="X1903" s="4" t="s">
        <v>63</v>
      </c>
      <c r="Y1903" s="4" t="s">
        <v>1336</v>
      </c>
      <c r="Z1903" s="4" t="s">
        <v>63</v>
      </c>
      <c r="AA1903" s="4" t="s">
        <v>63</v>
      </c>
      <c r="AB1903" s="4" t="s">
        <v>63</v>
      </c>
      <c r="AC1903" s="4" t="s">
        <v>67</v>
      </c>
      <c r="AD1903" s="4" t="s">
        <v>63</v>
      </c>
      <c r="AE1903" s="4" t="s">
        <v>63</v>
      </c>
      <c r="AF1903" s="4" t="s">
        <v>63</v>
      </c>
      <c r="AG1903" s="4" t="s">
        <v>63</v>
      </c>
      <c r="AH1903" s="4" t="s">
        <v>63</v>
      </c>
      <c r="AI1903" s="4" t="s">
        <v>63</v>
      </c>
      <c r="AJ1903" s="4" t="s">
        <v>63</v>
      </c>
      <c r="AK1903" s="4" t="s">
        <v>63</v>
      </c>
      <c r="AL1903" s="4" t="s">
        <v>63</v>
      </c>
      <c r="AM1903" s="4" t="s">
        <v>16444</v>
      </c>
      <c r="AN1903" s="4" t="s">
        <v>63</v>
      </c>
      <c r="AO1903" s="4" t="s">
        <v>63</v>
      </c>
      <c r="AP1903" s="4" t="s">
        <v>63</v>
      </c>
      <c r="AQ1903" s="4" t="s">
        <v>63</v>
      </c>
      <c r="AR1903" s="4" t="s">
        <v>63</v>
      </c>
      <c r="AS1903" s="4" t="s">
        <v>63</v>
      </c>
      <c r="AT1903" s="4" t="s">
        <v>63</v>
      </c>
      <c r="AU1903" s="4" t="s">
        <v>63</v>
      </c>
      <c r="AV1903" s="4" t="s">
        <v>63</v>
      </c>
      <c r="AW1903" s="4" t="s">
        <v>63</v>
      </c>
      <c r="AX1903" s="4" t="s">
        <v>63</v>
      </c>
      <c r="AY1903" s="4" t="s">
        <v>63</v>
      </c>
      <c r="AZ1903" s="4" t="s">
        <v>63</v>
      </c>
      <c r="BA1903" s="4" t="s">
        <v>63</v>
      </c>
      <c r="BB1903" s="4" t="s">
        <v>63</v>
      </c>
      <c r="BC1903" s="4" t="s">
        <v>63</v>
      </c>
      <c r="BD1903" s="4" t="s">
        <v>63</v>
      </c>
      <c r="BE1903" s="4" t="s">
        <v>63</v>
      </c>
      <c r="BF1903" s="4" t="s">
        <v>63</v>
      </c>
    </row>
    <row r="1904" spans="1:58">
      <c r="A1904" s="4" t="s">
        <v>58</v>
      </c>
      <c r="B1904" s="4" t="s">
        <v>16449</v>
      </c>
      <c r="C1904" s="4" t="s">
        <v>16450</v>
      </c>
      <c r="D1904" s="4" t="s">
        <v>8584</v>
      </c>
      <c r="E1904" s="4" t="s">
        <v>63</v>
      </c>
      <c r="F1904" s="4">
        <v>2017</v>
      </c>
      <c r="G1904" s="4" t="s">
        <v>63</v>
      </c>
      <c r="H1904" s="4">
        <v>23</v>
      </c>
      <c r="I1904" s="4">
        <v>2</v>
      </c>
      <c r="J1904" s="4">
        <v>132</v>
      </c>
      <c r="K1904" s="4">
        <v>139</v>
      </c>
      <c r="L1904" s="4" t="s">
        <v>16451</v>
      </c>
      <c r="M1904" s="4" t="s">
        <v>16452</v>
      </c>
      <c r="N1904" s="4" t="s">
        <v>16453</v>
      </c>
      <c r="O1904" s="4" t="s">
        <v>63</v>
      </c>
      <c r="P1904" s="4"/>
      <c r="Q1904" s="4" t="s">
        <v>63</v>
      </c>
      <c r="R1904" s="4" t="s">
        <v>63</v>
      </c>
      <c r="S1904" s="4" t="s">
        <v>63</v>
      </c>
      <c r="T1904" s="4" t="s">
        <v>63</v>
      </c>
      <c r="U1904" s="4"/>
      <c r="V1904" s="4"/>
      <c r="W1904" s="4"/>
      <c r="X1904" s="4" t="s">
        <v>63</v>
      </c>
      <c r="Y1904" s="4" t="s">
        <v>16454</v>
      </c>
      <c r="Z1904" s="4" t="s">
        <v>63</v>
      </c>
      <c r="AA1904" s="4" t="s">
        <v>63</v>
      </c>
      <c r="AB1904" s="4" t="s">
        <v>16455</v>
      </c>
      <c r="AC1904" s="4" t="s">
        <v>67</v>
      </c>
      <c r="AD1904" s="4" t="s">
        <v>63</v>
      </c>
      <c r="AE1904" s="4" t="s">
        <v>63</v>
      </c>
      <c r="AF1904" s="4" t="s">
        <v>63</v>
      </c>
      <c r="AG1904" s="4" t="s">
        <v>63</v>
      </c>
      <c r="AH1904" s="4" t="s">
        <v>63</v>
      </c>
      <c r="AI1904" s="4" t="s">
        <v>16456</v>
      </c>
      <c r="AJ1904" s="4" t="s">
        <v>63</v>
      </c>
      <c r="AK1904" s="4" t="s">
        <v>63</v>
      </c>
      <c r="AL1904" s="4" t="s">
        <v>63</v>
      </c>
      <c r="AM1904" s="4" t="s">
        <v>16450</v>
      </c>
      <c r="AN1904" s="4" t="s">
        <v>63</v>
      </c>
      <c r="AO1904" s="4" t="s">
        <v>63</v>
      </c>
      <c r="AP1904" s="4" t="s">
        <v>63</v>
      </c>
      <c r="AQ1904" s="4" t="s">
        <v>63</v>
      </c>
      <c r="AR1904" s="4" t="s">
        <v>63</v>
      </c>
      <c r="AS1904" s="4" t="s">
        <v>63</v>
      </c>
      <c r="AT1904" s="4" t="s">
        <v>63</v>
      </c>
      <c r="AU1904" s="4" t="s">
        <v>63</v>
      </c>
      <c r="AV1904" s="4" t="s">
        <v>63</v>
      </c>
      <c r="AW1904" s="4" t="s">
        <v>63</v>
      </c>
      <c r="AX1904" s="4" t="s">
        <v>63</v>
      </c>
      <c r="AY1904" s="4" t="s">
        <v>63</v>
      </c>
      <c r="AZ1904" s="4" t="s">
        <v>63</v>
      </c>
      <c r="BA1904" s="4" t="s">
        <v>63</v>
      </c>
      <c r="BB1904" s="4" t="s">
        <v>63</v>
      </c>
      <c r="BC1904" s="4" t="s">
        <v>63</v>
      </c>
      <c r="BD1904" s="4" t="s">
        <v>63</v>
      </c>
      <c r="BE1904" s="4" t="s">
        <v>63</v>
      </c>
      <c r="BF1904" s="4" t="s">
        <v>63</v>
      </c>
    </row>
    <row r="1905" spans="1:58">
      <c r="A1905" s="4" t="s">
        <v>58</v>
      </c>
      <c r="B1905" s="4" t="s">
        <v>16457</v>
      </c>
      <c r="C1905" s="4" t="s">
        <v>16458</v>
      </c>
      <c r="D1905" s="4" t="s">
        <v>11901</v>
      </c>
      <c r="E1905" s="4" t="s">
        <v>63</v>
      </c>
      <c r="F1905" s="4">
        <v>2016</v>
      </c>
      <c r="G1905" s="4">
        <v>1</v>
      </c>
      <c r="H1905" s="4">
        <v>58</v>
      </c>
      <c r="I1905" s="4">
        <v>5</v>
      </c>
      <c r="J1905" s="4" t="s">
        <v>16459</v>
      </c>
      <c r="K1905" s="4" t="s">
        <v>63</v>
      </c>
      <c r="L1905" s="4" t="s">
        <v>16460</v>
      </c>
      <c r="M1905" s="4" t="s">
        <v>16461</v>
      </c>
      <c r="N1905" s="4" t="s">
        <v>16462</v>
      </c>
      <c r="O1905" s="4" t="s">
        <v>63</v>
      </c>
      <c r="P1905" s="4"/>
      <c r="Q1905" s="4" t="s">
        <v>63</v>
      </c>
      <c r="R1905" s="4" t="s">
        <v>63</v>
      </c>
      <c r="S1905" s="4" t="s">
        <v>63</v>
      </c>
      <c r="T1905" s="4" t="s">
        <v>63</v>
      </c>
      <c r="U1905" s="4"/>
      <c r="V1905" s="4"/>
      <c r="W1905" s="4"/>
      <c r="X1905" s="4" t="s">
        <v>63</v>
      </c>
      <c r="Y1905" s="4" t="s">
        <v>15618</v>
      </c>
      <c r="Z1905" s="4" t="s">
        <v>63</v>
      </c>
      <c r="AA1905" s="4" t="s">
        <v>63</v>
      </c>
      <c r="AB1905" s="4" t="s">
        <v>63</v>
      </c>
      <c r="AC1905" s="4" t="s">
        <v>67</v>
      </c>
      <c r="AD1905" s="4" t="s">
        <v>63</v>
      </c>
      <c r="AE1905" s="4" t="s">
        <v>63</v>
      </c>
      <c r="AF1905" s="4" t="s">
        <v>63</v>
      </c>
      <c r="AG1905" s="4" t="s">
        <v>63</v>
      </c>
      <c r="AH1905" s="4" t="s">
        <v>63</v>
      </c>
      <c r="AI1905" s="4" t="s">
        <v>63</v>
      </c>
      <c r="AJ1905" s="4" t="s">
        <v>63</v>
      </c>
      <c r="AK1905" s="4" t="s">
        <v>63</v>
      </c>
      <c r="AL1905" s="4" t="s">
        <v>63</v>
      </c>
      <c r="AM1905" s="4" t="s">
        <v>16458</v>
      </c>
      <c r="AN1905" s="4" t="s">
        <v>63</v>
      </c>
      <c r="AO1905" s="4" t="s">
        <v>63</v>
      </c>
      <c r="AP1905" s="4" t="s">
        <v>63</v>
      </c>
      <c r="AQ1905" s="4" t="s">
        <v>63</v>
      </c>
      <c r="AR1905" s="4" t="s">
        <v>63</v>
      </c>
      <c r="AS1905" s="4" t="s">
        <v>63</v>
      </c>
      <c r="AT1905" s="4" t="s">
        <v>63</v>
      </c>
      <c r="AU1905" s="4" t="s">
        <v>63</v>
      </c>
      <c r="AV1905" s="4" t="s">
        <v>63</v>
      </c>
      <c r="AW1905" s="4" t="s">
        <v>63</v>
      </c>
      <c r="AX1905" s="4" t="s">
        <v>63</v>
      </c>
      <c r="AY1905" s="4" t="s">
        <v>63</v>
      </c>
      <c r="AZ1905" s="4" t="s">
        <v>63</v>
      </c>
      <c r="BA1905" s="4" t="s">
        <v>63</v>
      </c>
      <c r="BB1905" s="4" t="s">
        <v>63</v>
      </c>
      <c r="BC1905" s="4" t="s">
        <v>63</v>
      </c>
      <c r="BD1905" s="4" t="s">
        <v>63</v>
      </c>
      <c r="BE1905" s="4" t="s">
        <v>63</v>
      </c>
      <c r="BF1905" s="4" t="s">
        <v>63</v>
      </c>
    </row>
    <row r="1906" spans="1:58">
      <c r="A1906" s="4" t="s">
        <v>58</v>
      </c>
      <c r="B1906" s="4" t="s">
        <v>16463</v>
      </c>
      <c r="C1906" s="4" t="s">
        <v>16464</v>
      </c>
      <c r="D1906" s="4" t="s">
        <v>16465</v>
      </c>
      <c r="E1906" s="4" t="s">
        <v>63</v>
      </c>
      <c r="F1906" s="4">
        <v>1984</v>
      </c>
      <c r="G1906" s="4" t="s">
        <v>63</v>
      </c>
      <c r="H1906" s="4">
        <v>252</v>
      </c>
      <c r="I1906" s="4">
        <v>20</v>
      </c>
      <c r="J1906" s="4">
        <v>2802</v>
      </c>
      <c r="K1906" s="4" t="s">
        <v>63</v>
      </c>
      <c r="L1906" s="4" t="s">
        <v>16466</v>
      </c>
      <c r="M1906" s="4" t="s">
        <v>63</v>
      </c>
      <c r="N1906" s="4" t="s">
        <v>16467</v>
      </c>
      <c r="O1906" s="4" t="s">
        <v>63</v>
      </c>
      <c r="P1906" s="4"/>
      <c r="Q1906" s="4" t="s">
        <v>63</v>
      </c>
      <c r="R1906" s="4" t="s">
        <v>63</v>
      </c>
      <c r="S1906" s="4" t="s">
        <v>63</v>
      </c>
      <c r="T1906" s="4" t="s">
        <v>63</v>
      </c>
      <c r="U1906" s="4"/>
      <c r="V1906" s="4"/>
      <c r="W1906" s="4"/>
      <c r="X1906" s="4" t="s">
        <v>63</v>
      </c>
      <c r="Y1906" s="4" t="s">
        <v>208</v>
      </c>
      <c r="Z1906" s="4" t="s">
        <v>63</v>
      </c>
      <c r="AA1906" s="4" t="s">
        <v>63</v>
      </c>
      <c r="AB1906" s="4" t="s">
        <v>63</v>
      </c>
      <c r="AC1906" s="4" t="s">
        <v>67</v>
      </c>
      <c r="AD1906" s="4" t="s">
        <v>63</v>
      </c>
      <c r="AE1906" s="4" t="s">
        <v>63</v>
      </c>
      <c r="AF1906" s="4" t="s">
        <v>63</v>
      </c>
      <c r="AG1906" s="4" t="s">
        <v>16468</v>
      </c>
      <c r="AH1906" s="4" t="s">
        <v>63</v>
      </c>
      <c r="AI1906" s="4" t="s">
        <v>63</v>
      </c>
      <c r="AJ1906" s="4" t="s">
        <v>63</v>
      </c>
      <c r="AK1906" s="4" t="s">
        <v>63</v>
      </c>
      <c r="AL1906" s="4" t="s">
        <v>63</v>
      </c>
      <c r="AM1906" s="4" t="s">
        <v>16469</v>
      </c>
      <c r="AN1906" s="4" t="s">
        <v>63</v>
      </c>
      <c r="AO1906" s="4" t="s">
        <v>63</v>
      </c>
      <c r="AP1906" s="4" t="s">
        <v>63</v>
      </c>
      <c r="AQ1906" s="4" t="s">
        <v>63</v>
      </c>
      <c r="AR1906" s="4" t="s">
        <v>63</v>
      </c>
      <c r="AS1906" s="4" t="s">
        <v>63</v>
      </c>
      <c r="AT1906" s="4" t="s">
        <v>63</v>
      </c>
      <c r="AU1906" s="4" t="s">
        <v>63</v>
      </c>
      <c r="AV1906" s="4" t="s">
        <v>63</v>
      </c>
      <c r="AW1906" s="4" t="s">
        <v>63</v>
      </c>
      <c r="AX1906" s="4" t="s">
        <v>63</v>
      </c>
      <c r="AY1906" s="4" t="s">
        <v>63</v>
      </c>
      <c r="AZ1906" s="4" t="s">
        <v>63</v>
      </c>
      <c r="BA1906" s="4" t="s">
        <v>63</v>
      </c>
      <c r="BB1906" s="4" t="s">
        <v>63</v>
      </c>
      <c r="BC1906" s="4" t="s">
        <v>63</v>
      </c>
      <c r="BD1906" s="4" t="s">
        <v>63</v>
      </c>
      <c r="BE1906" s="4" t="s">
        <v>63</v>
      </c>
      <c r="BF1906" s="4" t="s">
        <v>63</v>
      </c>
    </row>
    <row r="1907" spans="1:58">
      <c r="A1907" s="4" t="s">
        <v>58</v>
      </c>
      <c r="B1907" s="4" t="s">
        <v>16470</v>
      </c>
      <c r="C1907" s="4" t="s">
        <v>16471</v>
      </c>
      <c r="D1907" s="4" t="s">
        <v>574</v>
      </c>
      <c r="E1907" s="4" t="s">
        <v>63</v>
      </c>
      <c r="F1907" s="4">
        <v>2010</v>
      </c>
      <c r="G1907" s="4" t="s">
        <v>15665</v>
      </c>
      <c r="H1907" s="4">
        <v>11</v>
      </c>
      <c r="I1907" s="4">
        <v>2</v>
      </c>
      <c r="J1907" s="4">
        <v>308</v>
      </c>
      <c r="K1907" s="4" t="s">
        <v>63</v>
      </c>
      <c r="L1907" s="4" t="s">
        <v>16472</v>
      </c>
      <c r="M1907" s="4" t="s">
        <v>16473</v>
      </c>
      <c r="N1907" s="4" t="s">
        <v>16474</v>
      </c>
      <c r="O1907" s="4" t="s">
        <v>63</v>
      </c>
      <c r="P1907" s="4"/>
      <c r="Q1907" s="4" t="s">
        <v>63</v>
      </c>
      <c r="R1907" s="4" t="s">
        <v>63</v>
      </c>
      <c r="S1907" s="4" t="s">
        <v>63</v>
      </c>
      <c r="T1907" s="4" t="s">
        <v>63</v>
      </c>
      <c r="U1907" s="4"/>
      <c r="V1907" s="4"/>
      <c r="W1907" s="4"/>
      <c r="X1907" s="4" t="s">
        <v>63</v>
      </c>
      <c r="Y1907" s="4" t="s">
        <v>4483</v>
      </c>
      <c r="Z1907" s="4" t="s">
        <v>63</v>
      </c>
      <c r="AA1907" s="4" t="s">
        <v>63</v>
      </c>
      <c r="AB1907" s="4" t="s">
        <v>63</v>
      </c>
      <c r="AC1907" s="4" t="s">
        <v>67</v>
      </c>
      <c r="AD1907" s="4" t="s">
        <v>63</v>
      </c>
      <c r="AE1907" s="4" t="s">
        <v>63</v>
      </c>
      <c r="AF1907" s="4" t="s">
        <v>63</v>
      </c>
      <c r="AG1907" s="4" t="s">
        <v>63</v>
      </c>
      <c r="AH1907" s="4" t="s">
        <v>63</v>
      </c>
      <c r="AI1907" s="4" t="s">
        <v>16475</v>
      </c>
      <c r="AJ1907" s="4" t="s">
        <v>63</v>
      </c>
      <c r="AK1907" s="4" t="s">
        <v>63</v>
      </c>
      <c r="AL1907" s="4" t="s">
        <v>63</v>
      </c>
      <c r="AM1907" s="4" t="s">
        <v>16471</v>
      </c>
      <c r="AN1907" s="4" t="s">
        <v>63</v>
      </c>
      <c r="AO1907" s="4" t="s">
        <v>63</v>
      </c>
      <c r="AP1907" s="4" t="s">
        <v>63</v>
      </c>
      <c r="AQ1907" s="4" t="s">
        <v>63</v>
      </c>
      <c r="AR1907" s="4" t="s">
        <v>63</v>
      </c>
      <c r="AS1907" s="4" t="s">
        <v>63</v>
      </c>
      <c r="AT1907" s="4" t="s">
        <v>63</v>
      </c>
      <c r="AU1907" s="4" t="s">
        <v>63</v>
      </c>
      <c r="AV1907" s="4" t="s">
        <v>63</v>
      </c>
      <c r="AW1907" s="4" t="s">
        <v>63</v>
      </c>
      <c r="AX1907" s="4" t="s">
        <v>63</v>
      </c>
      <c r="AY1907" s="4" t="s">
        <v>63</v>
      </c>
      <c r="AZ1907" s="4" t="s">
        <v>63</v>
      </c>
      <c r="BA1907" s="4" t="s">
        <v>63</v>
      </c>
      <c r="BB1907" s="4" t="s">
        <v>63</v>
      </c>
      <c r="BC1907" s="4" t="s">
        <v>63</v>
      </c>
      <c r="BD1907" s="4" t="s">
        <v>63</v>
      </c>
      <c r="BE1907" s="4" t="s">
        <v>63</v>
      </c>
      <c r="BF1907" s="4" t="s">
        <v>63</v>
      </c>
    </row>
    <row r="1908" spans="1:58">
      <c r="A1908" s="4" t="s">
        <v>58</v>
      </c>
      <c r="B1908" s="4" t="s">
        <v>16476</v>
      </c>
      <c r="C1908" s="4" t="s">
        <v>16477</v>
      </c>
      <c r="D1908" s="4" t="s">
        <v>15663</v>
      </c>
      <c r="E1908" s="4" t="s">
        <v>15664</v>
      </c>
      <c r="F1908" s="4">
        <v>2011</v>
      </c>
      <c r="G1908" s="4" t="s">
        <v>15508</v>
      </c>
      <c r="H1908" s="4">
        <v>41</v>
      </c>
      <c r="I1908" s="4">
        <v>1</v>
      </c>
      <c r="J1908" s="4">
        <v>227</v>
      </c>
      <c r="K1908" s="4">
        <v>228</v>
      </c>
      <c r="L1908" s="4" t="s">
        <v>16478</v>
      </c>
      <c r="M1908" s="4" t="s">
        <v>16479</v>
      </c>
      <c r="N1908" s="4" t="s">
        <v>16480</v>
      </c>
      <c r="O1908" s="4" t="s">
        <v>63</v>
      </c>
      <c r="P1908" s="4"/>
      <c r="Q1908" s="4" t="s">
        <v>63</v>
      </c>
      <c r="R1908" s="4" t="s">
        <v>63</v>
      </c>
      <c r="S1908" s="4" t="s">
        <v>63</v>
      </c>
      <c r="T1908" s="4" t="s">
        <v>63</v>
      </c>
      <c r="U1908" s="4"/>
      <c r="V1908" s="4"/>
      <c r="W1908" s="4"/>
      <c r="X1908" s="4" t="s">
        <v>63</v>
      </c>
      <c r="Y1908" s="4" t="s">
        <v>3022</v>
      </c>
      <c r="Z1908" s="4" t="s">
        <v>63</v>
      </c>
      <c r="AA1908" s="4" t="s">
        <v>63</v>
      </c>
      <c r="AB1908" s="4" t="s">
        <v>63</v>
      </c>
      <c r="AC1908" s="4" t="s">
        <v>67</v>
      </c>
      <c r="AD1908" s="4" t="s">
        <v>63</v>
      </c>
      <c r="AE1908" s="4" t="s">
        <v>63</v>
      </c>
      <c r="AF1908" s="4" t="s">
        <v>63</v>
      </c>
      <c r="AG1908" s="4" t="s">
        <v>63</v>
      </c>
      <c r="AH1908" s="4" t="s">
        <v>63</v>
      </c>
      <c r="AI1908" s="4" t="s">
        <v>16481</v>
      </c>
      <c r="AJ1908" s="4" t="s">
        <v>63</v>
      </c>
      <c r="AK1908" s="4" t="s">
        <v>63</v>
      </c>
      <c r="AL1908" s="4" t="s">
        <v>63</v>
      </c>
      <c r="AM1908" s="4" t="s">
        <v>16477</v>
      </c>
      <c r="AN1908" s="4" t="s">
        <v>63</v>
      </c>
      <c r="AO1908" s="4" t="s">
        <v>63</v>
      </c>
      <c r="AP1908" s="4" t="s">
        <v>63</v>
      </c>
      <c r="AQ1908" s="4" t="s">
        <v>63</v>
      </c>
      <c r="AR1908" s="4" t="s">
        <v>63</v>
      </c>
      <c r="AS1908" s="4" t="s">
        <v>63</v>
      </c>
      <c r="AT1908" s="4" t="s">
        <v>63</v>
      </c>
      <c r="AU1908" s="4" t="s">
        <v>63</v>
      </c>
      <c r="AV1908" s="4" t="s">
        <v>63</v>
      </c>
      <c r="AW1908" s="4" t="s">
        <v>63</v>
      </c>
      <c r="AX1908" s="4" t="s">
        <v>63</v>
      </c>
      <c r="AY1908" s="4" t="s">
        <v>63</v>
      </c>
      <c r="AZ1908" s="4" t="s">
        <v>63</v>
      </c>
      <c r="BA1908" s="4" t="s">
        <v>63</v>
      </c>
      <c r="BB1908" s="4" t="s">
        <v>63</v>
      </c>
      <c r="BC1908" s="4" t="s">
        <v>63</v>
      </c>
      <c r="BD1908" s="4" t="s">
        <v>63</v>
      </c>
      <c r="BE1908" s="4" t="s">
        <v>63</v>
      </c>
      <c r="BF1908" s="4" t="s">
        <v>63</v>
      </c>
    </row>
    <row r="1909" spans="1:58">
      <c r="A1909" s="4" t="s">
        <v>58</v>
      </c>
      <c r="B1909" s="4" t="s">
        <v>16482</v>
      </c>
      <c r="C1909" s="4" t="s">
        <v>16483</v>
      </c>
      <c r="D1909" s="4" t="s">
        <v>15663</v>
      </c>
      <c r="E1909" s="4" t="s">
        <v>15664</v>
      </c>
      <c r="F1909" s="4">
        <v>2011</v>
      </c>
      <c r="G1909" s="4" t="s">
        <v>15508</v>
      </c>
      <c r="H1909" s="4">
        <v>41</v>
      </c>
      <c r="I1909" s="4">
        <v>1</v>
      </c>
      <c r="J1909" s="4">
        <v>222</v>
      </c>
      <c r="K1909" s="4">
        <v>223</v>
      </c>
      <c r="L1909" s="4" t="s">
        <v>16484</v>
      </c>
      <c r="M1909" s="4" t="s">
        <v>16485</v>
      </c>
      <c r="N1909" s="4" t="s">
        <v>16486</v>
      </c>
      <c r="O1909" s="4" t="s">
        <v>63</v>
      </c>
      <c r="P1909" s="4"/>
      <c r="Q1909" s="4" t="s">
        <v>63</v>
      </c>
      <c r="R1909" s="4" t="s">
        <v>63</v>
      </c>
      <c r="S1909" s="4" t="s">
        <v>63</v>
      </c>
      <c r="T1909" s="4" t="s">
        <v>63</v>
      </c>
      <c r="U1909" s="4"/>
      <c r="V1909" s="4"/>
      <c r="W1909" s="4"/>
      <c r="X1909" s="4" t="s">
        <v>63</v>
      </c>
      <c r="Y1909" s="4" t="s">
        <v>3022</v>
      </c>
      <c r="Z1909" s="4" t="s">
        <v>63</v>
      </c>
      <c r="AA1909" s="4" t="s">
        <v>63</v>
      </c>
      <c r="AB1909" s="4" t="s">
        <v>63</v>
      </c>
      <c r="AC1909" s="4" t="s">
        <v>67</v>
      </c>
      <c r="AD1909" s="4" t="s">
        <v>63</v>
      </c>
      <c r="AE1909" s="4" t="s">
        <v>63</v>
      </c>
      <c r="AF1909" s="4" t="s">
        <v>63</v>
      </c>
      <c r="AG1909" s="4" t="s">
        <v>63</v>
      </c>
      <c r="AH1909" s="4" t="s">
        <v>63</v>
      </c>
      <c r="AI1909" s="4" t="s">
        <v>16487</v>
      </c>
      <c r="AJ1909" s="4" t="s">
        <v>63</v>
      </c>
      <c r="AK1909" s="4" t="s">
        <v>63</v>
      </c>
      <c r="AL1909" s="4" t="s">
        <v>63</v>
      </c>
      <c r="AM1909" s="4" t="s">
        <v>16483</v>
      </c>
      <c r="AN1909" s="4" t="s">
        <v>63</v>
      </c>
      <c r="AO1909" s="4" t="s">
        <v>63</v>
      </c>
      <c r="AP1909" s="4" t="s">
        <v>63</v>
      </c>
      <c r="AQ1909" s="4" t="s">
        <v>63</v>
      </c>
      <c r="AR1909" s="4" t="s">
        <v>63</v>
      </c>
      <c r="AS1909" s="4" t="s">
        <v>63</v>
      </c>
      <c r="AT1909" s="4" t="s">
        <v>63</v>
      </c>
      <c r="AU1909" s="4" t="s">
        <v>63</v>
      </c>
      <c r="AV1909" s="4" t="s">
        <v>63</v>
      </c>
      <c r="AW1909" s="4" t="s">
        <v>63</v>
      </c>
      <c r="AX1909" s="4" t="s">
        <v>63</v>
      </c>
      <c r="AY1909" s="4" t="s">
        <v>63</v>
      </c>
      <c r="AZ1909" s="4" t="s">
        <v>63</v>
      </c>
      <c r="BA1909" s="4" t="s">
        <v>63</v>
      </c>
      <c r="BB1909" s="4" t="s">
        <v>63</v>
      </c>
      <c r="BC1909" s="4" t="s">
        <v>63</v>
      </c>
      <c r="BD1909" s="4" t="s">
        <v>63</v>
      </c>
      <c r="BE1909" s="4" t="s">
        <v>63</v>
      </c>
      <c r="BF1909" s="4" t="s">
        <v>63</v>
      </c>
    </row>
    <row r="1910" spans="1:58">
      <c r="A1910" s="4" t="s">
        <v>58</v>
      </c>
      <c r="B1910" s="4" t="s">
        <v>16488</v>
      </c>
      <c r="C1910" s="4" t="s">
        <v>16489</v>
      </c>
      <c r="D1910" s="4" t="s">
        <v>15421</v>
      </c>
      <c r="E1910" s="4" t="s">
        <v>63</v>
      </c>
      <c r="F1910" s="4">
        <v>2012</v>
      </c>
      <c r="G1910" s="4" t="s">
        <v>63</v>
      </c>
      <c r="H1910" s="4">
        <v>33</v>
      </c>
      <c r="I1910" s="4">
        <v>3</v>
      </c>
      <c r="J1910" s="4">
        <v>272</v>
      </c>
      <c r="K1910" s="4">
        <v>277</v>
      </c>
      <c r="L1910" s="4" t="s">
        <v>16490</v>
      </c>
      <c r="M1910" s="4" t="s">
        <v>16491</v>
      </c>
      <c r="N1910" s="4" t="s">
        <v>16492</v>
      </c>
      <c r="O1910" s="4" t="s">
        <v>63</v>
      </c>
      <c r="P1910" s="4"/>
      <c r="Q1910" s="4" t="s">
        <v>63</v>
      </c>
      <c r="R1910" s="4" t="s">
        <v>63</v>
      </c>
      <c r="S1910" s="4" t="s">
        <v>63</v>
      </c>
      <c r="T1910" s="4" t="s">
        <v>63</v>
      </c>
      <c r="U1910" s="4"/>
      <c r="V1910" s="4"/>
      <c r="W1910" s="4"/>
      <c r="X1910" s="4" t="s">
        <v>63</v>
      </c>
      <c r="Y1910" s="4" t="s">
        <v>15425</v>
      </c>
      <c r="Z1910" s="4" t="s">
        <v>63</v>
      </c>
      <c r="AA1910" s="4" t="s">
        <v>63</v>
      </c>
      <c r="AB1910" s="4" t="s">
        <v>63</v>
      </c>
      <c r="AC1910" s="4" t="s">
        <v>67</v>
      </c>
      <c r="AD1910" s="4" t="s">
        <v>63</v>
      </c>
      <c r="AE1910" s="4" t="s">
        <v>63</v>
      </c>
      <c r="AF1910" s="4" t="s">
        <v>63</v>
      </c>
      <c r="AG1910" s="4" t="s">
        <v>16493</v>
      </c>
      <c r="AH1910" s="4" t="s">
        <v>63</v>
      </c>
      <c r="AI1910" s="4" t="s">
        <v>16494</v>
      </c>
      <c r="AJ1910" s="4" t="s">
        <v>63</v>
      </c>
      <c r="AK1910" s="4" t="s">
        <v>63</v>
      </c>
      <c r="AL1910" s="4" t="s">
        <v>63</v>
      </c>
      <c r="AM1910" s="4" t="s">
        <v>16495</v>
      </c>
      <c r="AN1910" s="4" t="s">
        <v>63</v>
      </c>
      <c r="AO1910" s="4" t="s">
        <v>63</v>
      </c>
      <c r="AP1910" s="4" t="s">
        <v>63</v>
      </c>
      <c r="AQ1910" s="4" t="s">
        <v>63</v>
      </c>
      <c r="AR1910" s="4" t="s">
        <v>63</v>
      </c>
      <c r="AS1910" s="4" t="s">
        <v>63</v>
      </c>
      <c r="AT1910" s="4" t="s">
        <v>63</v>
      </c>
      <c r="AU1910" s="4" t="s">
        <v>63</v>
      </c>
      <c r="AV1910" s="4" t="s">
        <v>63</v>
      </c>
      <c r="AW1910" s="4" t="s">
        <v>63</v>
      </c>
      <c r="AX1910" s="4" t="s">
        <v>63</v>
      </c>
      <c r="AY1910" s="4" t="s">
        <v>63</v>
      </c>
      <c r="AZ1910" s="4" t="s">
        <v>63</v>
      </c>
      <c r="BA1910" s="4" t="s">
        <v>63</v>
      </c>
      <c r="BB1910" s="4" t="s">
        <v>63</v>
      </c>
      <c r="BC1910" s="4" t="s">
        <v>63</v>
      </c>
      <c r="BD1910" s="4" t="s">
        <v>63</v>
      </c>
      <c r="BE1910" s="4" t="s">
        <v>63</v>
      </c>
      <c r="BF1910" s="4" t="s">
        <v>63</v>
      </c>
    </row>
    <row r="1911" spans="1:58">
      <c r="A1911" s="4" t="s">
        <v>58</v>
      </c>
      <c r="B1911" s="4" t="s">
        <v>16496</v>
      </c>
      <c r="C1911" s="4" t="s">
        <v>16497</v>
      </c>
      <c r="D1911" s="4" t="s">
        <v>16498</v>
      </c>
      <c r="E1911" s="4" t="s">
        <v>63</v>
      </c>
      <c r="F1911" s="4">
        <v>2016</v>
      </c>
      <c r="G1911" s="4" t="s">
        <v>63</v>
      </c>
      <c r="H1911" s="4">
        <v>11</v>
      </c>
      <c r="I1911" s="4">
        <v>2</v>
      </c>
      <c r="J1911" s="4">
        <v>2</v>
      </c>
      <c r="K1911" s="4">
        <v>6</v>
      </c>
      <c r="L1911" s="4" t="s">
        <v>16499</v>
      </c>
      <c r="M1911" s="4" t="s">
        <v>16500</v>
      </c>
      <c r="N1911" s="4" t="s">
        <v>16501</v>
      </c>
      <c r="O1911" s="4" t="s">
        <v>63</v>
      </c>
      <c r="P1911" s="4"/>
      <c r="Q1911" s="4" t="s">
        <v>63</v>
      </c>
      <c r="R1911" s="4" t="s">
        <v>63</v>
      </c>
      <c r="S1911" s="4" t="s">
        <v>63</v>
      </c>
      <c r="T1911" s="4" t="s">
        <v>63</v>
      </c>
      <c r="U1911" s="4"/>
      <c r="V1911" s="4"/>
      <c r="W1911" s="4"/>
      <c r="X1911" s="4" t="s">
        <v>63</v>
      </c>
      <c r="Y1911" s="4" t="s">
        <v>16502</v>
      </c>
      <c r="Z1911" s="4" t="s">
        <v>63</v>
      </c>
      <c r="AA1911" s="4" t="s">
        <v>63</v>
      </c>
      <c r="AB1911" s="4" t="s">
        <v>16503</v>
      </c>
      <c r="AC1911" s="4" t="s">
        <v>67</v>
      </c>
      <c r="AD1911" s="4" t="s">
        <v>63</v>
      </c>
      <c r="AE1911" s="4" t="s">
        <v>63</v>
      </c>
      <c r="AF1911" s="4" t="s">
        <v>63</v>
      </c>
      <c r="AG1911" s="4" t="s">
        <v>63</v>
      </c>
      <c r="AH1911" s="4" t="s">
        <v>63</v>
      </c>
      <c r="AI1911" s="4" t="s">
        <v>16504</v>
      </c>
      <c r="AJ1911" s="4" t="s">
        <v>63</v>
      </c>
      <c r="AK1911" s="4" t="s">
        <v>63</v>
      </c>
      <c r="AL1911" s="4" t="s">
        <v>63</v>
      </c>
      <c r="AM1911" s="4" t="s">
        <v>16497</v>
      </c>
      <c r="AN1911" s="4" t="s">
        <v>63</v>
      </c>
      <c r="AO1911" s="4" t="s">
        <v>63</v>
      </c>
      <c r="AP1911" s="4" t="s">
        <v>63</v>
      </c>
      <c r="AQ1911" s="4" t="s">
        <v>63</v>
      </c>
      <c r="AR1911" s="4" t="s">
        <v>63</v>
      </c>
      <c r="AS1911" s="4" t="s">
        <v>63</v>
      </c>
      <c r="AT1911" s="4" t="s">
        <v>63</v>
      </c>
      <c r="AU1911" s="4" t="s">
        <v>63</v>
      </c>
      <c r="AV1911" s="4" t="s">
        <v>63</v>
      </c>
      <c r="AW1911" s="4" t="s">
        <v>63</v>
      </c>
      <c r="AX1911" s="4" t="s">
        <v>63</v>
      </c>
      <c r="AY1911" s="4" t="s">
        <v>63</v>
      </c>
      <c r="AZ1911" s="4" t="s">
        <v>63</v>
      </c>
      <c r="BA1911" s="4" t="s">
        <v>63</v>
      </c>
      <c r="BB1911" s="4" t="s">
        <v>63</v>
      </c>
      <c r="BC1911" s="4" t="s">
        <v>63</v>
      </c>
      <c r="BD1911" s="4" t="s">
        <v>63</v>
      </c>
      <c r="BE1911" s="4" t="s">
        <v>63</v>
      </c>
      <c r="BF1911" s="4" t="s">
        <v>63</v>
      </c>
    </row>
    <row r="1912" spans="1:58">
      <c r="A1912" s="4" t="s">
        <v>58</v>
      </c>
      <c r="B1912" s="4" t="s">
        <v>16505</v>
      </c>
      <c r="C1912" s="4" t="s">
        <v>16506</v>
      </c>
      <c r="D1912" s="4" t="s">
        <v>6854</v>
      </c>
      <c r="E1912" s="4" t="s">
        <v>63</v>
      </c>
      <c r="F1912" s="4">
        <v>2011</v>
      </c>
      <c r="G1912" s="6">
        <v>41882</v>
      </c>
      <c r="H1912" s="4" t="s">
        <v>15897</v>
      </c>
      <c r="I1912" s="4" t="s">
        <v>63</v>
      </c>
      <c r="J1912" s="4" t="s">
        <v>63</v>
      </c>
      <c r="K1912" s="4" t="s">
        <v>63</v>
      </c>
      <c r="L1912" s="4" t="s">
        <v>16507</v>
      </c>
      <c r="M1912" s="4" t="s">
        <v>16508</v>
      </c>
      <c r="N1912" s="4" t="s">
        <v>16509</v>
      </c>
      <c r="O1912" s="4" t="s">
        <v>63</v>
      </c>
      <c r="P1912" s="4"/>
      <c r="Q1912" s="4" t="s">
        <v>63</v>
      </c>
      <c r="R1912" s="4" t="s">
        <v>63</v>
      </c>
      <c r="S1912" s="4" t="s">
        <v>63</v>
      </c>
      <c r="T1912" s="4" t="s">
        <v>63</v>
      </c>
      <c r="U1912" s="4"/>
      <c r="V1912" s="4"/>
      <c r="W1912" s="4"/>
      <c r="X1912" s="4" t="s">
        <v>63</v>
      </c>
      <c r="Y1912" s="4" t="s">
        <v>15322</v>
      </c>
      <c r="Z1912" s="4" t="s">
        <v>63</v>
      </c>
      <c r="AA1912" s="4" t="s">
        <v>63</v>
      </c>
      <c r="AB1912" s="4" t="s">
        <v>63</v>
      </c>
      <c r="AC1912" s="4" t="s">
        <v>67</v>
      </c>
      <c r="AD1912" s="4" t="s">
        <v>63</v>
      </c>
      <c r="AE1912" s="4" t="s">
        <v>63</v>
      </c>
      <c r="AF1912" s="4" t="s">
        <v>63</v>
      </c>
      <c r="AG1912" s="4" t="s">
        <v>63</v>
      </c>
      <c r="AH1912" s="4" t="s">
        <v>63</v>
      </c>
      <c r="AI1912" s="4" t="s">
        <v>63</v>
      </c>
      <c r="AJ1912" s="4" t="s">
        <v>63</v>
      </c>
      <c r="AK1912" s="4" t="s">
        <v>63</v>
      </c>
      <c r="AL1912" s="4" t="s">
        <v>63</v>
      </c>
      <c r="AM1912" s="4" t="s">
        <v>16506</v>
      </c>
      <c r="AN1912" s="4" t="s">
        <v>63</v>
      </c>
      <c r="AO1912" s="4" t="s">
        <v>63</v>
      </c>
      <c r="AP1912" s="4" t="s">
        <v>63</v>
      </c>
      <c r="AQ1912" s="4" t="s">
        <v>63</v>
      </c>
      <c r="AR1912" s="4" t="s">
        <v>63</v>
      </c>
      <c r="AS1912" s="4" t="s">
        <v>63</v>
      </c>
      <c r="AT1912" s="4" t="s">
        <v>63</v>
      </c>
      <c r="AU1912" s="4" t="s">
        <v>63</v>
      </c>
      <c r="AV1912" s="4" t="s">
        <v>63</v>
      </c>
      <c r="AW1912" s="4" t="s">
        <v>63</v>
      </c>
      <c r="AX1912" s="4" t="s">
        <v>63</v>
      </c>
      <c r="AY1912" s="4" t="s">
        <v>63</v>
      </c>
      <c r="AZ1912" s="4" t="s">
        <v>63</v>
      </c>
      <c r="BA1912" s="4" t="s">
        <v>63</v>
      </c>
      <c r="BB1912" s="4" t="s">
        <v>63</v>
      </c>
      <c r="BC1912" s="4" t="s">
        <v>63</v>
      </c>
      <c r="BD1912" s="4" t="s">
        <v>63</v>
      </c>
      <c r="BE1912" s="4" t="s">
        <v>63</v>
      </c>
      <c r="BF1912" s="4" t="s">
        <v>63</v>
      </c>
    </row>
    <row r="1913" spans="1:58">
      <c r="A1913" s="4" t="s">
        <v>58</v>
      </c>
      <c r="B1913" s="4" t="s">
        <v>16510</v>
      </c>
      <c r="C1913" s="4" t="s">
        <v>16511</v>
      </c>
      <c r="D1913" s="4" t="s">
        <v>16512</v>
      </c>
      <c r="E1913" s="4" t="s">
        <v>63</v>
      </c>
      <c r="F1913" s="4">
        <v>2010</v>
      </c>
      <c r="G1913" s="4" t="s">
        <v>16091</v>
      </c>
      <c r="H1913" s="4">
        <v>39</v>
      </c>
      <c r="I1913" s="4">
        <v>11</v>
      </c>
      <c r="J1913" s="4" t="s">
        <v>16513</v>
      </c>
      <c r="K1913" s="4" t="s">
        <v>63</v>
      </c>
      <c r="L1913" s="4" t="s">
        <v>16514</v>
      </c>
      <c r="M1913" s="4" t="s">
        <v>16515</v>
      </c>
      <c r="N1913" s="4" t="s">
        <v>16516</v>
      </c>
      <c r="O1913" s="4" t="s">
        <v>63</v>
      </c>
      <c r="P1913" s="4"/>
      <c r="Q1913" s="4" t="s">
        <v>63</v>
      </c>
      <c r="R1913" s="4" t="s">
        <v>63</v>
      </c>
      <c r="S1913" s="4" t="s">
        <v>63</v>
      </c>
      <c r="T1913" s="4" t="s">
        <v>63</v>
      </c>
      <c r="U1913" s="4"/>
      <c r="V1913" s="4"/>
      <c r="W1913" s="4"/>
      <c r="X1913" s="4" t="s">
        <v>63</v>
      </c>
      <c r="Y1913" s="4" t="s">
        <v>16517</v>
      </c>
      <c r="Z1913" s="4" t="s">
        <v>63</v>
      </c>
      <c r="AA1913" s="4" t="s">
        <v>63</v>
      </c>
      <c r="AB1913" s="4" t="s">
        <v>63</v>
      </c>
      <c r="AC1913" s="4" t="s">
        <v>67</v>
      </c>
      <c r="AD1913" s="4" t="s">
        <v>63</v>
      </c>
      <c r="AE1913" s="4" t="s">
        <v>63</v>
      </c>
      <c r="AF1913" s="4" t="s">
        <v>63</v>
      </c>
      <c r="AG1913" s="4" t="s">
        <v>63</v>
      </c>
      <c r="AH1913" s="4" t="s">
        <v>63</v>
      </c>
      <c r="AI1913" s="4" t="s">
        <v>63</v>
      </c>
      <c r="AJ1913" s="4" t="s">
        <v>63</v>
      </c>
      <c r="AK1913" s="4" t="s">
        <v>63</v>
      </c>
      <c r="AL1913" s="4" t="s">
        <v>63</v>
      </c>
      <c r="AM1913" s="4" t="s">
        <v>16511</v>
      </c>
      <c r="AN1913" s="4" t="s">
        <v>63</v>
      </c>
      <c r="AO1913" s="4" t="s">
        <v>63</v>
      </c>
      <c r="AP1913" s="4" t="s">
        <v>63</v>
      </c>
      <c r="AQ1913" s="4" t="s">
        <v>63</v>
      </c>
      <c r="AR1913" s="4" t="s">
        <v>63</v>
      </c>
      <c r="AS1913" s="4" t="s">
        <v>63</v>
      </c>
      <c r="AT1913" s="4" t="s">
        <v>63</v>
      </c>
      <c r="AU1913" s="4" t="s">
        <v>63</v>
      </c>
      <c r="AV1913" s="4" t="s">
        <v>63</v>
      </c>
      <c r="AW1913" s="4" t="s">
        <v>63</v>
      </c>
      <c r="AX1913" s="4" t="s">
        <v>63</v>
      </c>
      <c r="AY1913" s="4" t="s">
        <v>63</v>
      </c>
      <c r="AZ1913" s="4" t="s">
        <v>63</v>
      </c>
      <c r="BA1913" s="4" t="s">
        <v>63</v>
      </c>
      <c r="BB1913" s="4" t="s">
        <v>63</v>
      </c>
      <c r="BC1913" s="4" t="s">
        <v>63</v>
      </c>
      <c r="BD1913" s="4" t="s">
        <v>63</v>
      </c>
      <c r="BE1913" s="4" t="s">
        <v>63</v>
      </c>
      <c r="BF1913" s="4" t="s">
        <v>63</v>
      </c>
    </row>
    <row r="1914" spans="1:58">
      <c r="A1914" s="4" t="s">
        <v>58</v>
      </c>
      <c r="B1914" s="4" t="s">
        <v>16518</v>
      </c>
      <c r="C1914" s="4" t="s">
        <v>16519</v>
      </c>
      <c r="D1914" s="4" t="s">
        <v>2150</v>
      </c>
      <c r="E1914" s="4" t="s">
        <v>2151</v>
      </c>
      <c r="F1914" s="4">
        <v>2018</v>
      </c>
      <c r="G1914" s="4">
        <v>1</v>
      </c>
      <c r="H1914" s="4">
        <v>117</v>
      </c>
      <c r="I1914" s="4">
        <v>1</v>
      </c>
      <c r="J1914" s="4">
        <v>34</v>
      </c>
      <c r="K1914" s="4">
        <v>37</v>
      </c>
      <c r="L1914" s="4" t="s">
        <v>16520</v>
      </c>
      <c r="M1914" s="4" t="s">
        <v>16521</v>
      </c>
      <c r="N1914" s="4" t="s">
        <v>16522</v>
      </c>
      <c r="O1914" s="4" t="s">
        <v>63</v>
      </c>
      <c r="P1914" s="4"/>
      <c r="Q1914" s="4" t="s">
        <v>63</v>
      </c>
      <c r="R1914" s="4" t="s">
        <v>63</v>
      </c>
      <c r="S1914" s="4" t="s">
        <v>63</v>
      </c>
      <c r="T1914" s="4" t="s">
        <v>63</v>
      </c>
      <c r="U1914" s="4"/>
      <c r="V1914" s="4"/>
      <c r="W1914" s="4"/>
      <c r="X1914" s="4" t="s">
        <v>63</v>
      </c>
      <c r="Y1914" s="4" t="s">
        <v>16523</v>
      </c>
      <c r="Z1914" s="4" t="s">
        <v>63</v>
      </c>
      <c r="AA1914" s="4" t="s">
        <v>63</v>
      </c>
      <c r="AB1914" s="4" t="s">
        <v>16524</v>
      </c>
      <c r="AC1914" s="4" t="s">
        <v>67</v>
      </c>
      <c r="AD1914" s="4" t="s">
        <v>63</v>
      </c>
      <c r="AE1914" s="4" t="s">
        <v>63</v>
      </c>
      <c r="AF1914" s="4" t="s">
        <v>63</v>
      </c>
      <c r="AG1914" s="4" t="s">
        <v>63</v>
      </c>
      <c r="AH1914" s="4" t="s">
        <v>63</v>
      </c>
      <c r="AI1914" s="4" t="s">
        <v>63</v>
      </c>
      <c r="AJ1914" s="4" t="s">
        <v>63</v>
      </c>
      <c r="AK1914" s="4" t="s">
        <v>63</v>
      </c>
      <c r="AL1914" s="4" t="s">
        <v>63</v>
      </c>
      <c r="AM1914" s="4" t="s">
        <v>16519</v>
      </c>
      <c r="AN1914" s="4" t="s">
        <v>63</v>
      </c>
      <c r="AO1914" s="4" t="s">
        <v>63</v>
      </c>
      <c r="AP1914" s="4" t="s">
        <v>63</v>
      </c>
      <c r="AQ1914" s="4" t="s">
        <v>63</v>
      </c>
      <c r="AR1914" s="4" t="s">
        <v>63</v>
      </c>
      <c r="AS1914" s="4" t="s">
        <v>63</v>
      </c>
      <c r="AT1914" s="4" t="s">
        <v>63</v>
      </c>
      <c r="AU1914" s="4" t="s">
        <v>63</v>
      </c>
      <c r="AV1914" s="4" t="s">
        <v>63</v>
      </c>
      <c r="AW1914" s="4" t="s">
        <v>63</v>
      </c>
      <c r="AX1914" s="4" t="s">
        <v>63</v>
      </c>
      <c r="AY1914" s="4" t="s">
        <v>63</v>
      </c>
      <c r="AZ1914" s="4" t="s">
        <v>63</v>
      </c>
      <c r="BA1914" s="4" t="s">
        <v>63</v>
      </c>
      <c r="BB1914" s="4" t="s">
        <v>63</v>
      </c>
      <c r="BC1914" s="4" t="s">
        <v>63</v>
      </c>
      <c r="BD1914" s="4" t="s">
        <v>63</v>
      </c>
      <c r="BE1914" s="4" t="s">
        <v>63</v>
      </c>
      <c r="BF1914" s="4" t="s">
        <v>63</v>
      </c>
    </row>
    <row r="1915" spans="1:58">
      <c r="A1915" s="4" t="s">
        <v>58</v>
      </c>
      <c r="B1915" s="4" t="s">
        <v>16525</v>
      </c>
      <c r="C1915" s="4" t="s">
        <v>16526</v>
      </c>
      <c r="D1915" s="4" t="s">
        <v>15421</v>
      </c>
      <c r="E1915" s="4" t="s">
        <v>63</v>
      </c>
      <c r="F1915" s="4">
        <v>2002</v>
      </c>
      <c r="G1915" s="4" t="s">
        <v>181</v>
      </c>
      <c r="H1915" s="4">
        <v>23</v>
      </c>
      <c r="I1915" s="4">
        <v>3</v>
      </c>
      <c r="J1915" s="4">
        <v>185</v>
      </c>
      <c r="K1915" s="4">
        <v>206</v>
      </c>
      <c r="L1915" s="4" t="s">
        <v>16527</v>
      </c>
      <c r="M1915" s="4" t="s">
        <v>63</v>
      </c>
      <c r="N1915" s="4" t="s">
        <v>16528</v>
      </c>
      <c r="O1915" s="4" t="s">
        <v>63</v>
      </c>
      <c r="P1915" s="4"/>
      <c r="Q1915" s="4" t="s">
        <v>63</v>
      </c>
      <c r="R1915" s="4" t="s">
        <v>63</v>
      </c>
      <c r="S1915" s="4" t="s">
        <v>63</v>
      </c>
      <c r="T1915" s="4" t="s">
        <v>63</v>
      </c>
      <c r="U1915" s="4"/>
      <c r="V1915" s="4"/>
      <c r="W1915" s="4"/>
      <c r="X1915" s="4" t="s">
        <v>63</v>
      </c>
      <c r="Y1915" s="4" t="s">
        <v>392</v>
      </c>
      <c r="Z1915" s="4" t="s">
        <v>63</v>
      </c>
      <c r="AA1915" s="4" t="s">
        <v>63</v>
      </c>
      <c r="AB1915" s="4" t="s">
        <v>63</v>
      </c>
      <c r="AC1915" s="4" t="s">
        <v>67</v>
      </c>
      <c r="AD1915" s="4" t="s">
        <v>63</v>
      </c>
      <c r="AE1915" s="4" t="s">
        <v>63</v>
      </c>
      <c r="AF1915" s="4" t="s">
        <v>63</v>
      </c>
      <c r="AG1915" s="4" t="s">
        <v>16529</v>
      </c>
      <c r="AH1915" s="4" t="s">
        <v>63</v>
      </c>
      <c r="AI1915" s="4" t="s">
        <v>63</v>
      </c>
      <c r="AJ1915" s="4" t="s">
        <v>63</v>
      </c>
      <c r="AK1915" s="4" t="s">
        <v>63</v>
      </c>
      <c r="AL1915" s="4" t="s">
        <v>63</v>
      </c>
      <c r="AM1915" s="4" t="s">
        <v>16530</v>
      </c>
      <c r="AN1915" s="4" t="s">
        <v>63</v>
      </c>
      <c r="AO1915" s="4" t="s">
        <v>63</v>
      </c>
      <c r="AP1915" s="4" t="s">
        <v>63</v>
      </c>
      <c r="AQ1915" s="4" t="s">
        <v>63</v>
      </c>
      <c r="AR1915" s="4" t="s">
        <v>63</v>
      </c>
      <c r="AS1915" s="4" t="s">
        <v>63</v>
      </c>
      <c r="AT1915" s="4" t="s">
        <v>63</v>
      </c>
      <c r="AU1915" s="4" t="s">
        <v>63</v>
      </c>
      <c r="AV1915" s="4" t="s">
        <v>63</v>
      </c>
      <c r="AW1915" s="4" t="s">
        <v>63</v>
      </c>
      <c r="AX1915" s="4" t="s">
        <v>63</v>
      </c>
      <c r="AY1915" s="4" t="s">
        <v>63</v>
      </c>
      <c r="AZ1915" s="4" t="s">
        <v>63</v>
      </c>
      <c r="BA1915" s="4" t="s">
        <v>63</v>
      </c>
      <c r="BB1915" s="4" t="s">
        <v>63</v>
      </c>
      <c r="BC1915" s="4" t="s">
        <v>63</v>
      </c>
      <c r="BD1915" s="4" t="s">
        <v>63</v>
      </c>
      <c r="BE1915" s="4" t="s">
        <v>63</v>
      </c>
      <c r="BF1915" s="4" t="s">
        <v>63</v>
      </c>
    </row>
    <row r="1916" spans="1:58">
      <c r="A1916" s="4" t="s">
        <v>58</v>
      </c>
      <c r="B1916" s="4" t="s">
        <v>16531</v>
      </c>
      <c r="C1916" s="4" t="s">
        <v>16532</v>
      </c>
      <c r="D1916" s="4" t="s">
        <v>389</v>
      </c>
      <c r="E1916" s="4" t="s">
        <v>63</v>
      </c>
      <c r="F1916" s="4">
        <v>2009</v>
      </c>
      <c r="G1916" s="4" t="s">
        <v>15165</v>
      </c>
      <c r="H1916" s="4">
        <v>30</v>
      </c>
      <c r="I1916" s="4">
        <v>2</v>
      </c>
      <c r="J1916" s="4">
        <v>211</v>
      </c>
      <c r="K1916" s="4" t="s">
        <v>63</v>
      </c>
      <c r="L1916" s="4" t="s">
        <v>16533</v>
      </c>
      <c r="M1916" s="4" t="s">
        <v>16534</v>
      </c>
      <c r="N1916" s="4" t="s">
        <v>16535</v>
      </c>
      <c r="O1916" s="4" t="s">
        <v>63</v>
      </c>
      <c r="P1916" s="4"/>
      <c r="Q1916" s="4" t="s">
        <v>63</v>
      </c>
      <c r="R1916" s="4" t="s">
        <v>63</v>
      </c>
      <c r="S1916" s="4" t="s">
        <v>63</v>
      </c>
      <c r="T1916" s="4" t="s">
        <v>63</v>
      </c>
      <c r="U1916" s="4"/>
      <c r="V1916" s="4"/>
      <c r="W1916" s="4"/>
      <c r="X1916" s="4" t="s">
        <v>63</v>
      </c>
      <c r="Y1916" s="4" t="s">
        <v>392</v>
      </c>
      <c r="Z1916" s="4" t="s">
        <v>63</v>
      </c>
      <c r="AA1916" s="4" t="s">
        <v>63</v>
      </c>
      <c r="AB1916" s="4" t="s">
        <v>63</v>
      </c>
      <c r="AC1916" s="4" t="s">
        <v>67</v>
      </c>
      <c r="AD1916" s="4" t="s">
        <v>63</v>
      </c>
      <c r="AE1916" s="4" t="s">
        <v>63</v>
      </c>
      <c r="AF1916" s="4" t="s">
        <v>63</v>
      </c>
      <c r="AG1916" s="4" t="s">
        <v>63</v>
      </c>
      <c r="AH1916" s="4" t="s">
        <v>63</v>
      </c>
      <c r="AI1916" s="4" t="s">
        <v>16216</v>
      </c>
      <c r="AJ1916" s="4" t="s">
        <v>63</v>
      </c>
      <c r="AK1916" s="4" t="s">
        <v>63</v>
      </c>
      <c r="AL1916" s="4" t="s">
        <v>63</v>
      </c>
      <c r="AM1916" s="4" t="s">
        <v>16532</v>
      </c>
      <c r="AN1916" s="4" t="s">
        <v>63</v>
      </c>
      <c r="AO1916" s="4" t="s">
        <v>63</v>
      </c>
      <c r="AP1916" s="4" t="s">
        <v>63</v>
      </c>
      <c r="AQ1916" s="4" t="s">
        <v>63</v>
      </c>
      <c r="AR1916" s="4" t="s">
        <v>63</v>
      </c>
      <c r="AS1916" s="4" t="s">
        <v>63</v>
      </c>
      <c r="AT1916" s="4" t="s">
        <v>63</v>
      </c>
      <c r="AU1916" s="4" t="s">
        <v>63</v>
      </c>
      <c r="AV1916" s="4" t="s">
        <v>63</v>
      </c>
      <c r="AW1916" s="4" t="s">
        <v>63</v>
      </c>
      <c r="AX1916" s="4" t="s">
        <v>63</v>
      </c>
      <c r="AY1916" s="4" t="s">
        <v>63</v>
      </c>
      <c r="AZ1916" s="4" t="s">
        <v>63</v>
      </c>
      <c r="BA1916" s="4" t="s">
        <v>63</v>
      </c>
      <c r="BB1916" s="4" t="s">
        <v>63</v>
      </c>
      <c r="BC1916" s="4" t="s">
        <v>63</v>
      </c>
      <c r="BD1916" s="4" t="s">
        <v>63</v>
      </c>
      <c r="BE1916" s="4" t="s">
        <v>63</v>
      </c>
      <c r="BF1916" s="4" t="s">
        <v>63</v>
      </c>
    </row>
    <row r="1917" spans="1:58">
      <c r="A1917" s="4" t="s">
        <v>58</v>
      </c>
      <c r="B1917" s="4" t="s">
        <v>16536</v>
      </c>
      <c r="C1917" s="4" t="s">
        <v>16537</v>
      </c>
      <c r="D1917" s="4" t="s">
        <v>1055</v>
      </c>
      <c r="E1917" s="4" t="s">
        <v>1056</v>
      </c>
      <c r="F1917" s="4">
        <v>1996</v>
      </c>
      <c r="G1917" s="4" t="s">
        <v>63</v>
      </c>
      <c r="H1917" s="4">
        <v>30</v>
      </c>
      <c r="I1917" s="4">
        <v>4</v>
      </c>
      <c r="J1917" s="4">
        <v>290</v>
      </c>
      <c r="K1917" s="4">
        <v>295</v>
      </c>
      <c r="L1917" s="4" t="s">
        <v>16538</v>
      </c>
      <c r="M1917" s="4" t="s">
        <v>16539</v>
      </c>
      <c r="N1917" s="4" t="s">
        <v>16540</v>
      </c>
      <c r="O1917" s="4" t="s">
        <v>63</v>
      </c>
      <c r="P1917" s="4"/>
      <c r="Q1917" s="4" t="s">
        <v>63</v>
      </c>
      <c r="R1917" s="4" t="s">
        <v>63</v>
      </c>
      <c r="S1917" s="4" t="s">
        <v>63</v>
      </c>
      <c r="T1917" s="4" t="s">
        <v>63</v>
      </c>
      <c r="U1917" s="4"/>
      <c r="V1917" s="4"/>
      <c r="W1917" s="4"/>
      <c r="X1917" s="4" t="s">
        <v>63</v>
      </c>
      <c r="Y1917" s="4" t="s">
        <v>1059</v>
      </c>
      <c r="Z1917" s="4" t="s">
        <v>63</v>
      </c>
      <c r="AA1917" s="4" t="s">
        <v>63</v>
      </c>
      <c r="AB1917" s="4">
        <v>1996223166</v>
      </c>
      <c r="AC1917" s="4" t="s">
        <v>67</v>
      </c>
      <c r="AD1917" s="4" t="s">
        <v>63</v>
      </c>
      <c r="AE1917" s="4" t="s">
        <v>63</v>
      </c>
      <c r="AF1917" s="4" t="s">
        <v>63</v>
      </c>
      <c r="AG1917" s="4" t="s">
        <v>16541</v>
      </c>
      <c r="AH1917" s="4" t="s">
        <v>63</v>
      </c>
      <c r="AI1917" s="4" t="s">
        <v>63</v>
      </c>
      <c r="AJ1917" s="4" t="s">
        <v>63</v>
      </c>
      <c r="AK1917" s="4" t="s">
        <v>63</v>
      </c>
      <c r="AL1917" s="4" t="s">
        <v>63</v>
      </c>
      <c r="AM1917" s="4" t="s">
        <v>16542</v>
      </c>
      <c r="AN1917" s="4" t="s">
        <v>63</v>
      </c>
      <c r="AO1917" s="4" t="s">
        <v>63</v>
      </c>
      <c r="AP1917" s="4" t="s">
        <v>63</v>
      </c>
      <c r="AQ1917" s="4" t="s">
        <v>63</v>
      </c>
      <c r="AR1917" s="4" t="s">
        <v>63</v>
      </c>
      <c r="AS1917" s="4" t="s">
        <v>63</v>
      </c>
      <c r="AT1917" s="4" t="s">
        <v>63</v>
      </c>
      <c r="AU1917" s="4" t="s">
        <v>63</v>
      </c>
      <c r="AV1917" s="4" t="s">
        <v>63</v>
      </c>
      <c r="AW1917" s="4" t="s">
        <v>63</v>
      </c>
      <c r="AX1917" s="4" t="s">
        <v>63</v>
      </c>
      <c r="AY1917" s="4" t="s">
        <v>63</v>
      </c>
      <c r="AZ1917" s="4" t="s">
        <v>63</v>
      </c>
      <c r="BA1917" s="4" t="s">
        <v>63</v>
      </c>
      <c r="BB1917" s="4" t="s">
        <v>63</v>
      </c>
      <c r="BC1917" s="4" t="s">
        <v>63</v>
      </c>
      <c r="BD1917" s="4" t="s">
        <v>63</v>
      </c>
      <c r="BE1917" s="4" t="s">
        <v>63</v>
      </c>
      <c r="BF1917" s="4" t="s">
        <v>63</v>
      </c>
    </row>
    <row r="1918" spans="1:58">
      <c r="A1918" s="4" t="s">
        <v>58</v>
      </c>
      <c r="B1918" s="4" t="s">
        <v>16543</v>
      </c>
      <c r="C1918" s="4" t="s">
        <v>16544</v>
      </c>
      <c r="D1918" s="4" t="s">
        <v>16545</v>
      </c>
      <c r="E1918" s="4" t="s">
        <v>63</v>
      </c>
      <c r="F1918" s="4">
        <v>2014</v>
      </c>
      <c r="G1918" s="4">
        <v>1</v>
      </c>
      <c r="H1918" s="4">
        <v>5</v>
      </c>
      <c r="I1918" s="4">
        <v>3</v>
      </c>
      <c r="J1918" s="4">
        <v>14</v>
      </c>
      <c r="K1918" s="4">
        <v>16</v>
      </c>
      <c r="L1918" s="4" t="s">
        <v>16546</v>
      </c>
      <c r="M1918" s="4" t="s">
        <v>16547</v>
      </c>
      <c r="N1918" s="4" t="s">
        <v>16548</v>
      </c>
      <c r="O1918" s="4" t="s">
        <v>63</v>
      </c>
      <c r="P1918" s="4"/>
      <c r="Q1918" s="4" t="s">
        <v>63</v>
      </c>
      <c r="R1918" s="4" t="s">
        <v>63</v>
      </c>
      <c r="S1918" s="4" t="s">
        <v>63</v>
      </c>
      <c r="T1918" s="4" t="s">
        <v>63</v>
      </c>
      <c r="U1918" s="4"/>
      <c r="V1918" s="4"/>
      <c r="W1918" s="4"/>
      <c r="X1918" s="4" t="s">
        <v>63</v>
      </c>
      <c r="Y1918" s="4" t="s">
        <v>16549</v>
      </c>
      <c r="Z1918" s="4" t="s">
        <v>63</v>
      </c>
      <c r="AA1918" s="4" t="s">
        <v>63</v>
      </c>
      <c r="AB1918" s="4" t="s">
        <v>16550</v>
      </c>
      <c r="AC1918" s="4" t="s">
        <v>67</v>
      </c>
      <c r="AD1918" s="4" t="s">
        <v>63</v>
      </c>
      <c r="AE1918" s="4" t="s">
        <v>63</v>
      </c>
      <c r="AF1918" s="4" t="s">
        <v>63</v>
      </c>
      <c r="AG1918" s="4" t="s">
        <v>63</v>
      </c>
      <c r="AH1918" s="4" t="s">
        <v>63</v>
      </c>
      <c r="AI1918" s="4" t="s">
        <v>63</v>
      </c>
      <c r="AJ1918" s="4" t="s">
        <v>63</v>
      </c>
      <c r="AK1918" s="4" t="s">
        <v>63</v>
      </c>
      <c r="AL1918" s="4" t="s">
        <v>63</v>
      </c>
      <c r="AM1918" s="4" t="s">
        <v>16544</v>
      </c>
      <c r="AN1918" s="4" t="s">
        <v>63</v>
      </c>
      <c r="AO1918" s="4" t="s">
        <v>63</v>
      </c>
      <c r="AP1918" s="4" t="s">
        <v>63</v>
      </c>
      <c r="AQ1918" s="4" t="s">
        <v>63</v>
      </c>
      <c r="AR1918" s="4" t="s">
        <v>63</v>
      </c>
      <c r="AS1918" s="4" t="s">
        <v>63</v>
      </c>
      <c r="AT1918" s="4" t="s">
        <v>63</v>
      </c>
      <c r="AU1918" s="4" t="s">
        <v>63</v>
      </c>
      <c r="AV1918" s="4" t="s">
        <v>63</v>
      </c>
      <c r="AW1918" s="4" t="s">
        <v>63</v>
      </c>
      <c r="AX1918" s="4" t="s">
        <v>63</v>
      </c>
      <c r="AY1918" s="4" t="s">
        <v>63</v>
      </c>
      <c r="AZ1918" s="4" t="s">
        <v>63</v>
      </c>
      <c r="BA1918" s="4" t="s">
        <v>63</v>
      </c>
      <c r="BB1918" s="4" t="s">
        <v>63</v>
      </c>
      <c r="BC1918" s="4" t="s">
        <v>63</v>
      </c>
      <c r="BD1918" s="4" t="s">
        <v>63</v>
      </c>
      <c r="BE1918" s="4" t="s">
        <v>63</v>
      </c>
      <c r="BF1918" s="4" t="s">
        <v>63</v>
      </c>
    </row>
    <row r="1919" spans="1:58">
      <c r="A1919" s="4" t="s">
        <v>58</v>
      </c>
      <c r="B1919" s="4" t="s">
        <v>16551</v>
      </c>
      <c r="C1919" s="4" t="s">
        <v>16552</v>
      </c>
      <c r="D1919" s="4" t="s">
        <v>15263</v>
      </c>
      <c r="E1919" s="4" t="s">
        <v>15264</v>
      </c>
      <c r="F1919" s="4">
        <v>2017</v>
      </c>
      <c r="G1919" s="4">
        <v>1</v>
      </c>
      <c r="H1919" s="4">
        <v>171</v>
      </c>
      <c r="I1919" s="4" t="s">
        <v>63</v>
      </c>
      <c r="J1919" s="4" t="s">
        <v>7547</v>
      </c>
      <c r="K1919" s="4" t="s">
        <v>16553</v>
      </c>
      <c r="L1919" s="4" t="s">
        <v>16554</v>
      </c>
      <c r="M1919" s="4" t="s">
        <v>16555</v>
      </c>
      <c r="N1919" s="4" t="s">
        <v>16556</v>
      </c>
      <c r="O1919" s="4" t="s">
        <v>63</v>
      </c>
      <c r="P1919" s="4"/>
      <c r="Q1919" s="4" t="s">
        <v>63</v>
      </c>
      <c r="R1919" s="4" t="s">
        <v>63</v>
      </c>
      <c r="S1919" s="4" t="s">
        <v>63</v>
      </c>
      <c r="T1919" s="4" t="s">
        <v>63</v>
      </c>
      <c r="U1919" s="4"/>
      <c r="V1919" s="4"/>
      <c r="W1919" s="4"/>
      <c r="X1919" s="4" t="s">
        <v>63</v>
      </c>
      <c r="Y1919" s="4" t="s">
        <v>4942</v>
      </c>
      <c r="Z1919" s="4" t="s">
        <v>63</v>
      </c>
      <c r="AA1919" s="4" t="s">
        <v>63</v>
      </c>
      <c r="AB1919" s="4" t="s">
        <v>63</v>
      </c>
      <c r="AC1919" s="4" t="s">
        <v>67</v>
      </c>
      <c r="AD1919" s="4" t="s">
        <v>63</v>
      </c>
      <c r="AE1919" s="4" t="s">
        <v>63</v>
      </c>
      <c r="AF1919" s="4" t="s">
        <v>63</v>
      </c>
      <c r="AG1919" s="4" t="s">
        <v>63</v>
      </c>
      <c r="AH1919" s="4" t="s">
        <v>63</v>
      </c>
      <c r="AI1919" s="4" t="s">
        <v>16557</v>
      </c>
      <c r="AJ1919" s="4" t="s">
        <v>63</v>
      </c>
      <c r="AK1919" s="4" t="s">
        <v>63</v>
      </c>
      <c r="AL1919" s="4" t="s">
        <v>63</v>
      </c>
      <c r="AM1919" s="4" t="s">
        <v>16552</v>
      </c>
      <c r="AN1919" s="4" t="s">
        <v>63</v>
      </c>
      <c r="AO1919" s="4" t="s">
        <v>63</v>
      </c>
      <c r="AP1919" s="4" t="s">
        <v>63</v>
      </c>
      <c r="AQ1919" s="4" t="s">
        <v>63</v>
      </c>
      <c r="AR1919" s="4" t="s">
        <v>63</v>
      </c>
      <c r="AS1919" s="4" t="s">
        <v>63</v>
      </c>
      <c r="AT1919" s="4" t="s">
        <v>63</v>
      </c>
      <c r="AU1919" s="4" t="s">
        <v>63</v>
      </c>
      <c r="AV1919" s="4" t="s">
        <v>63</v>
      </c>
      <c r="AW1919" s="4" t="s">
        <v>63</v>
      </c>
      <c r="AX1919" s="4" t="s">
        <v>63</v>
      </c>
      <c r="AY1919" s="4" t="s">
        <v>63</v>
      </c>
      <c r="AZ1919" s="4" t="s">
        <v>63</v>
      </c>
      <c r="BA1919" s="4" t="s">
        <v>63</v>
      </c>
      <c r="BB1919" s="4" t="s">
        <v>63</v>
      </c>
      <c r="BC1919" s="4" t="s">
        <v>63</v>
      </c>
      <c r="BD1919" s="4" t="s">
        <v>63</v>
      </c>
      <c r="BE1919" s="4" t="s">
        <v>63</v>
      </c>
      <c r="BF1919" s="4" t="s">
        <v>63</v>
      </c>
    </row>
    <row r="1920" spans="1:58">
      <c r="A1920" s="4" t="s">
        <v>58</v>
      </c>
      <c r="B1920" s="4" t="s">
        <v>16558</v>
      </c>
      <c r="C1920" s="4" t="s">
        <v>16559</v>
      </c>
      <c r="D1920" s="4" t="s">
        <v>1689</v>
      </c>
      <c r="E1920" s="4" t="s">
        <v>63</v>
      </c>
      <c r="F1920" s="4">
        <v>2010</v>
      </c>
      <c r="G1920" s="4" t="s">
        <v>15389</v>
      </c>
      <c r="H1920" s="4">
        <v>18</v>
      </c>
      <c r="I1920" s="4">
        <v>3</v>
      </c>
      <c r="J1920" s="4" t="s">
        <v>8257</v>
      </c>
      <c r="K1920" s="4" t="s">
        <v>63</v>
      </c>
      <c r="L1920" s="4" t="s">
        <v>16560</v>
      </c>
      <c r="M1920" s="4" t="s">
        <v>16561</v>
      </c>
      <c r="N1920" s="4" t="s">
        <v>16562</v>
      </c>
      <c r="O1920" s="4" t="s">
        <v>63</v>
      </c>
      <c r="P1920" s="4"/>
      <c r="Q1920" s="4" t="s">
        <v>63</v>
      </c>
      <c r="R1920" s="4" t="s">
        <v>63</v>
      </c>
      <c r="S1920" s="4" t="s">
        <v>63</v>
      </c>
      <c r="T1920" s="4" t="s">
        <v>63</v>
      </c>
      <c r="U1920" s="4"/>
      <c r="V1920" s="4"/>
      <c r="W1920" s="4"/>
      <c r="X1920" s="4" t="s">
        <v>63</v>
      </c>
      <c r="Y1920" s="4" t="s">
        <v>15686</v>
      </c>
      <c r="Z1920" s="4" t="s">
        <v>63</v>
      </c>
      <c r="AA1920" s="4" t="s">
        <v>63</v>
      </c>
      <c r="AB1920" s="4" t="s">
        <v>63</v>
      </c>
      <c r="AC1920" s="4" t="s">
        <v>67</v>
      </c>
      <c r="AD1920" s="4" t="s">
        <v>63</v>
      </c>
      <c r="AE1920" s="4" t="s">
        <v>63</v>
      </c>
      <c r="AF1920" s="4" t="s">
        <v>63</v>
      </c>
      <c r="AG1920" s="4" t="s">
        <v>63</v>
      </c>
      <c r="AH1920" s="4" t="s">
        <v>63</v>
      </c>
      <c r="AI1920" s="4" t="s">
        <v>16563</v>
      </c>
      <c r="AJ1920" s="4" t="s">
        <v>63</v>
      </c>
      <c r="AK1920" s="4" t="s">
        <v>63</v>
      </c>
      <c r="AL1920" s="4" t="s">
        <v>63</v>
      </c>
      <c r="AM1920" s="4" t="s">
        <v>16559</v>
      </c>
      <c r="AN1920" s="4" t="s">
        <v>63</v>
      </c>
      <c r="AO1920" s="4" t="s">
        <v>63</v>
      </c>
      <c r="AP1920" s="4" t="s">
        <v>63</v>
      </c>
      <c r="AQ1920" s="4" t="s">
        <v>63</v>
      </c>
      <c r="AR1920" s="4" t="s">
        <v>63</v>
      </c>
      <c r="AS1920" s="4" t="s">
        <v>63</v>
      </c>
      <c r="AT1920" s="4" t="s">
        <v>63</v>
      </c>
      <c r="AU1920" s="4" t="s">
        <v>63</v>
      </c>
      <c r="AV1920" s="4" t="s">
        <v>63</v>
      </c>
      <c r="AW1920" s="4" t="s">
        <v>63</v>
      </c>
      <c r="AX1920" s="4" t="s">
        <v>63</v>
      </c>
      <c r="AY1920" s="4" t="s">
        <v>63</v>
      </c>
      <c r="AZ1920" s="4" t="s">
        <v>63</v>
      </c>
      <c r="BA1920" s="4" t="s">
        <v>63</v>
      </c>
      <c r="BB1920" s="4" t="s">
        <v>63</v>
      </c>
      <c r="BC1920" s="4" t="s">
        <v>63</v>
      </c>
      <c r="BD1920" s="4" t="s">
        <v>63</v>
      </c>
      <c r="BE1920" s="4" t="s">
        <v>63</v>
      </c>
      <c r="BF1920" s="4" t="s">
        <v>63</v>
      </c>
    </row>
    <row r="1921" spans="1:58">
      <c r="A1921" s="4" t="s">
        <v>58</v>
      </c>
      <c r="B1921" s="4" t="s">
        <v>16564</v>
      </c>
      <c r="C1921" s="4" t="s">
        <v>16565</v>
      </c>
      <c r="D1921" s="4" t="s">
        <v>5991</v>
      </c>
      <c r="E1921" s="4" t="s">
        <v>5992</v>
      </c>
      <c r="F1921" s="4">
        <v>1974</v>
      </c>
      <c r="G1921" s="4" t="s">
        <v>63</v>
      </c>
      <c r="H1921" s="4" t="s">
        <v>16566</v>
      </c>
      <c r="I1921" s="4">
        <v>6</v>
      </c>
      <c r="J1921" s="4">
        <v>544</v>
      </c>
      <c r="K1921" s="4">
        <v>552</v>
      </c>
      <c r="L1921" s="4" t="s">
        <v>16567</v>
      </c>
      <c r="M1921" s="4" t="s">
        <v>63</v>
      </c>
      <c r="N1921" s="4" t="s">
        <v>16568</v>
      </c>
      <c r="O1921" s="4" t="s">
        <v>63</v>
      </c>
      <c r="P1921" s="4"/>
      <c r="Q1921" s="4" t="s">
        <v>63</v>
      </c>
      <c r="R1921" s="4" t="s">
        <v>63</v>
      </c>
      <c r="S1921" s="4" t="s">
        <v>63</v>
      </c>
      <c r="T1921" s="4" t="s">
        <v>63</v>
      </c>
      <c r="U1921" s="4"/>
      <c r="V1921" s="4"/>
      <c r="W1921" s="4"/>
      <c r="X1921" s="4" t="s">
        <v>63</v>
      </c>
      <c r="Y1921" s="4" t="s">
        <v>5996</v>
      </c>
      <c r="Z1921" s="4" t="s">
        <v>63</v>
      </c>
      <c r="AA1921" s="4" t="s">
        <v>63</v>
      </c>
      <c r="AB1921" s="4" t="s">
        <v>63</v>
      </c>
      <c r="AC1921" s="4" t="s">
        <v>67</v>
      </c>
      <c r="AD1921" s="4" t="s">
        <v>63</v>
      </c>
      <c r="AE1921" s="4" t="s">
        <v>63</v>
      </c>
      <c r="AF1921" s="4" t="s">
        <v>63</v>
      </c>
      <c r="AG1921" s="4" t="s">
        <v>16569</v>
      </c>
      <c r="AH1921" s="4" t="s">
        <v>63</v>
      </c>
      <c r="AI1921" s="4" t="s">
        <v>63</v>
      </c>
      <c r="AJ1921" s="4" t="s">
        <v>63</v>
      </c>
      <c r="AK1921" s="4" t="s">
        <v>63</v>
      </c>
      <c r="AL1921" s="4" t="s">
        <v>63</v>
      </c>
      <c r="AM1921" s="4" t="s">
        <v>16570</v>
      </c>
      <c r="AN1921" s="4" t="s">
        <v>63</v>
      </c>
      <c r="AO1921" s="4" t="s">
        <v>63</v>
      </c>
      <c r="AP1921" s="4" t="s">
        <v>63</v>
      </c>
      <c r="AQ1921" s="4" t="s">
        <v>63</v>
      </c>
      <c r="AR1921" s="4" t="s">
        <v>63</v>
      </c>
      <c r="AS1921" s="4" t="s">
        <v>63</v>
      </c>
      <c r="AT1921" s="4" t="s">
        <v>63</v>
      </c>
      <c r="AU1921" s="4" t="s">
        <v>63</v>
      </c>
      <c r="AV1921" s="4" t="s">
        <v>63</v>
      </c>
      <c r="AW1921" s="4" t="s">
        <v>63</v>
      </c>
      <c r="AX1921" s="4" t="s">
        <v>63</v>
      </c>
      <c r="AY1921" s="4" t="s">
        <v>63</v>
      </c>
      <c r="AZ1921" s="4" t="s">
        <v>63</v>
      </c>
      <c r="BA1921" s="4" t="s">
        <v>63</v>
      </c>
      <c r="BB1921" s="4" t="s">
        <v>63</v>
      </c>
      <c r="BC1921" s="4" t="s">
        <v>63</v>
      </c>
      <c r="BD1921" s="4" t="s">
        <v>63</v>
      </c>
      <c r="BE1921" s="4" t="s">
        <v>63</v>
      </c>
      <c r="BF1921" s="4" t="s">
        <v>63</v>
      </c>
    </row>
    <row r="1922" spans="1:58">
      <c r="A1922" s="4" t="s">
        <v>58</v>
      </c>
      <c r="B1922" s="4" t="s">
        <v>16571</v>
      </c>
      <c r="C1922" s="4" t="s">
        <v>16572</v>
      </c>
      <c r="D1922" s="4" t="s">
        <v>16573</v>
      </c>
      <c r="E1922" s="4" t="s">
        <v>16574</v>
      </c>
      <c r="F1922" s="4">
        <v>1975</v>
      </c>
      <c r="G1922" s="4" t="s">
        <v>63</v>
      </c>
      <c r="H1922" s="4">
        <v>64</v>
      </c>
      <c r="I1922" s="4" t="s">
        <v>63</v>
      </c>
      <c r="J1922" s="4">
        <v>9</v>
      </c>
      <c r="K1922" s="4">
        <v>18</v>
      </c>
      <c r="L1922" s="4" t="s">
        <v>16575</v>
      </c>
      <c r="M1922" s="4" t="s">
        <v>16576</v>
      </c>
      <c r="N1922" s="4" t="s">
        <v>16577</v>
      </c>
      <c r="O1922" s="4" t="s">
        <v>63</v>
      </c>
      <c r="P1922" s="4"/>
      <c r="Q1922" s="4" t="s">
        <v>63</v>
      </c>
      <c r="R1922" s="4" t="s">
        <v>63</v>
      </c>
      <c r="S1922" s="4" t="s">
        <v>63</v>
      </c>
      <c r="T1922" s="4" t="s">
        <v>63</v>
      </c>
      <c r="U1922" s="4"/>
      <c r="V1922" s="4"/>
      <c r="W1922" s="4"/>
      <c r="X1922" s="4" t="s">
        <v>63</v>
      </c>
      <c r="Y1922" s="4" t="s">
        <v>16578</v>
      </c>
      <c r="Z1922" s="4" t="s">
        <v>63</v>
      </c>
      <c r="AA1922" s="4" t="s">
        <v>63</v>
      </c>
      <c r="AB1922" s="4" t="s">
        <v>16579</v>
      </c>
      <c r="AC1922" s="4" t="s">
        <v>67</v>
      </c>
      <c r="AD1922" s="4" t="s">
        <v>63</v>
      </c>
      <c r="AE1922" s="4" t="s">
        <v>63</v>
      </c>
      <c r="AF1922" s="4" t="s">
        <v>63</v>
      </c>
      <c r="AG1922" s="4" t="s">
        <v>63</v>
      </c>
      <c r="AH1922" s="4" t="s">
        <v>63</v>
      </c>
      <c r="AI1922" s="4" t="s">
        <v>63</v>
      </c>
      <c r="AJ1922" s="4" t="s">
        <v>63</v>
      </c>
      <c r="AK1922" s="4" t="s">
        <v>63</v>
      </c>
      <c r="AL1922" s="4" t="s">
        <v>63</v>
      </c>
      <c r="AM1922" s="4" t="s">
        <v>16572</v>
      </c>
      <c r="AN1922" s="4" t="s">
        <v>63</v>
      </c>
      <c r="AO1922" s="4" t="s">
        <v>63</v>
      </c>
      <c r="AP1922" s="4" t="s">
        <v>63</v>
      </c>
      <c r="AQ1922" s="4" t="s">
        <v>63</v>
      </c>
      <c r="AR1922" s="4" t="s">
        <v>63</v>
      </c>
      <c r="AS1922" s="4" t="s">
        <v>63</v>
      </c>
      <c r="AT1922" s="4" t="s">
        <v>63</v>
      </c>
      <c r="AU1922" s="4" t="s">
        <v>63</v>
      </c>
      <c r="AV1922" s="4" t="s">
        <v>63</v>
      </c>
      <c r="AW1922" s="4" t="s">
        <v>63</v>
      </c>
      <c r="AX1922" s="4" t="s">
        <v>63</v>
      </c>
      <c r="AY1922" s="4" t="s">
        <v>63</v>
      </c>
      <c r="AZ1922" s="4" t="s">
        <v>63</v>
      </c>
      <c r="BA1922" s="4" t="s">
        <v>63</v>
      </c>
      <c r="BB1922" s="4" t="s">
        <v>63</v>
      </c>
      <c r="BC1922" s="4" t="s">
        <v>63</v>
      </c>
      <c r="BD1922" s="4" t="s">
        <v>63</v>
      </c>
      <c r="BE1922" s="4" t="s">
        <v>63</v>
      </c>
      <c r="BF1922" s="4" t="s">
        <v>63</v>
      </c>
    </row>
    <row r="1923" spans="1:58">
      <c r="A1923" s="4" t="s">
        <v>58</v>
      </c>
      <c r="B1923" s="4" t="s">
        <v>16580</v>
      </c>
      <c r="C1923" s="4" t="s">
        <v>16581</v>
      </c>
      <c r="D1923" s="4" t="s">
        <v>16545</v>
      </c>
      <c r="E1923" s="4" t="s">
        <v>63</v>
      </c>
      <c r="F1923" s="4">
        <v>2016</v>
      </c>
      <c r="G1923" s="4">
        <v>1</v>
      </c>
      <c r="H1923" s="4">
        <v>7</v>
      </c>
      <c r="I1923" s="4">
        <v>2</v>
      </c>
      <c r="J1923" s="4">
        <v>36</v>
      </c>
      <c r="K1923" s="4">
        <v>37</v>
      </c>
      <c r="L1923" s="4" t="s">
        <v>16582</v>
      </c>
      <c r="M1923" s="4" t="s">
        <v>63</v>
      </c>
      <c r="N1923" s="4" t="s">
        <v>16583</v>
      </c>
      <c r="O1923" s="4" t="s">
        <v>63</v>
      </c>
      <c r="P1923" s="4"/>
      <c r="Q1923" s="4" t="s">
        <v>63</v>
      </c>
      <c r="R1923" s="4" t="s">
        <v>63</v>
      </c>
      <c r="S1923" s="4" t="s">
        <v>63</v>
      </c>
      <c r="T1923" s="4" t="s">
        <v>63</v>
      </c>
      <c r="U1923" s="4"/>
      <c r="V1923" s="4"/>
      <c r="W1923" s="4"/>
      <c r="X1923" s="4" t="s">
        <v>63</v>
      </c>
      <c r="Y1923" s="4" t="s">
        <v>16549</v>
      </c>
      <c r="Z1923" s="4" t="s">
        <v>63</v>
      </c>
      <c r="AA1923" s="4" t="s">
        <v>63</v>
      </c>
      <c r="AB1923" s="4" t="s">
        <v>16584</v>
      </c>
      <c r="AC1923" s="4" t="s">
        <v>67</v>
      </c>
      <c r="AD1923" s="4" t="s">
        <v>63</v>
      </c>
      <c r="AE1923" s="4" t="s">
        <v>63</v>
      </c>
      <c r="AF1923" s="4" t="s">
        <v>63</v>
      </c>
      <c r="AG1923" s="4" t="s">
        <v>63</v>
      </c>
      <c r="AH1923" s="4" t="s">
        <v>63</v>
      </c>
      <c r="AI1923" s="4" t="s">
        <v>63</v>
      </c>
      <c r="AJ1923" s="4" t="s">
        <v>63</v>
      </c>
      <c r="AK1923" s="4" t="s">
        <v>63</v>
      </c>
      <c r="AL1923" s="4" t="s">
        <v>63</v>
      </c>
      <c r="AM1923" s="4" t="s">
        <v>16581</v>
      </c>
      <c r="AN1923" s="4" t="s">
        <v>63</v>
      </c>
      <c r="AO1923" s="4" t="s">
        <v>63</v>
      </c>
      <c r="AP1923" s="4" t="s">
        <v>63</v>
      </c>
      <c r="AQ1923" s="4" t="s">
        <v>63</v>
      </c>
      <c r="AR1923" s="4" t="s">
        <v>63</v>
      </c>
      <c r="AS1923" s="4" t="s">
        <v>63</v>
      </c>
      <c r="AT1923" s="4" t="s">
        <v>63</v>
      </c>
      <c r="AU1923" s="4" t="s">
        <v>63</v>
      </c>
      <c r="AV1923" s="4" t="s">
        <v>63</v>
      </c>
      <c r="AW1923" s="4" t="s">
        <v>63</v>
      </c>
      <c r="AX1923" s="4" t="s">
        <v>63</v>
      </c>
      <c r="AY1923" s="4" t="s">
        <v>63</v>
      </c>
      <c r="AZ1923" s="4" t="s">
        <v>63</v>
      </c>
      <c r="BA1923" s="4" t="s">
        <v>63</v>
      </c>
      <c r="BB1923" s="4" t="s">
        <v>63</v>
      </c>
      <c r="BC1923" s="4" t="s">
        <v>63</v>
      </c>
      <c r="BD1923" s="4" t="s">
        <v>63</v>
      </c>
      <c r="BE1923" s="4" t="s">
        <v>63</v>
      </c>
      <c r="BF1923" s="4" t="s">
        <v>63</v>
      </c>
    </row>
    <row r="1924" spans="1:58">
      <c r="A1924" s="4" t="s">
        <v>58</v>
      </c>
      <c r="B1924" s="4" t="s">
        <v>16585</v>
      </c>
      <c r="C1924" s="4" t="s">
        <v>16586</v>
      </c>
      <c r="D1924" s="4" t="s">
        <v>2353</v>
      </c>
      <c r="E1924" s="4" t="s">
        <v>2354</v>
      </c>
      <c r="F1924" s="4">
        <v>2005</v>
      </c>
      <c r="G1924" s="4" t="s">
        <v>15358</v>
      </c>
      <c r="H1924" s="4">
        <v>29</v>
      </c>
      <c r="I1924" s="4">
        <v>3</v>
      </c>
      <c r="J1924" s="4">
        <v>167</v>
      </c>
      <c r="K1924" s="4">
        <v>172</v>
      </c>
      <c r="L1924" s="4" t="s">
        <v>16587</v>
      </c>
      <c r="M1924" s="4" t="s">
        <v>16588</v>
      </c>
      <c r="N1924" s="4" t="s">
        <v>16589</v>
      </c>
      <c r="O1924" s="4" t="s">
        <v>63</v>
      </c>
      <c r="P1924" s="4"/>
      <c r="Q1924" s="4" t="s">
        <v>63</v>
      </c>
      <c r="R1924" s="4" t="s">
        <v>63</v>
      </c>
      <c r="S1924" s="4" t="s">
        <v>63</v>
      </c>
      <c r="T1924" s="4" t="s">
        <v>63</v>
      </c>
      <c r="U1924" s="4"/>
      <c r="V1924" s="4"/>
      <c r="W1924" s="4"/>
      <c r="X1924" s="4" t="s">
        <v>63</v>
      </c>
      <c r="Y1924" s="4" t="s">
        <v>2358</v>
      </c>
      <c r="Z1924" s="4" t="s">
        <v>63</v>
      </c>
      <c r="AA1924" s="4" t="s">
        <v>63</v>
      </c>
      <c r="AB1924" s="4">
        <v>2005439393</v>
      </c>
      <c r="AC1924" s="4" t="s">
        <v>67</v>
      </c>
      <c r="AD1924" s="4" t="s">
        <v>63</v>
      </c>
      <c r="AE1924" s="4" t="s">
        <v>63</v>
      </c>
      <c r="AF1924" s="4" t="s">
        <v>63</v>
      </c>
      <c r="AG1924" s="4" t="s">
        <v>16590</v>
      </c>
      <c r="AH1924" s="4" t="s">
        <v>63</v>
      </c>
      <c r="AI1924" s="4" t="s">
        <v>16591</v>
      </c>
      <c r="AJ1924" s="4" t="s">
        <v>63</v>
      </c>
      <c r="AK1924" s="4" t="s">
        <v>63</v>
      </c>
      <c r="AL1924" s="4" t="s">
        <v>63</v>
      </c>
      <c r="AM1924" s="4" t="s">
        <v>16592</v>
      </c>
      <c r="AN1924" s="4" t="s">
        <v>63</v>
      </c>
      <c r="AO1924" s="4" t="s">
        <v>63</v>
      </c>
      <c r="AP1924" s="4" t="s">
        <v>63</v>
      </c>
      <c r="AQ1924" s="4" t="s">
        <v>63</v>
      </c>
      <c r="AR1924" s="4" t="s">
        <v>63</v>
      </c>
      <c r="AS1924" s="4" t="s">
        <v>63</v>
      </c>
      <c r="AT1924" s="4" t="s">
        <v>63</v>
      </c>
      <c r="AU1924" s="4" t="s">
        <v>63</v>
      </c>
      <c r="AV1924" s="4" t="s">
        <v>63</v>
      </c>
      <c r="AW1924" s="4" t="s">
        <v>63</v>
      </c>
      <c r="AX1924" s="4" t="s">
        <v>63</v>
      </c>
      <c r="AY1924" s="4" t="s">
        <v>63</v>
      </c>
      <c r="AZ1924" s="4" t="s">
        <v>63</v>
      </c>
      <c r="BA1924" s="4" t="s">
        <v>63</v>
      </c>
      <c r="BB1924" s="4" t="s">
        <v>63</v>
      </c>
      <c r="BC1924" s="4" t="s">
        <v>63</v>
      </c>
      <c r="BD1924" s="4" t="s">
        <v>63</v>
      </c>
      <c r="BE1924" s="4" t="s">
        <v>63</v>
      </c>
      <c r="BF1924" s="4" t="s">
        <v>63</v>
      </c>
    </row>
    <row r="1925" spans="1:58">
      <c r="A1925" s="4" t="s">
        <v>58</v>
      </c>
      <c r="B1925" s="4" t="s">
        <v>16593</v>
      </c>
      <c r="C1925" s="4" t="s">
        <v>16594</v>
      </c>
      <c r="D1925" s="4" t="s">
        <v>15589</v>
      </c>
      <c r="E1925" s="4" t="s">
        <v>63</v>
      </c>
      <c r="F1925" s="4">
        <v>2016</v>
      </c>
      <c r="G1925" s="4" t="s">
        <v>15389</v>
      </c>
      <c r="H1925" s="4" t="s">
        <v>16595</v>
      </c>
      <c r="I1925" s="4" t="s">
        <v>63</v>
      </c>
      <c r="J1925" s="4" t="s">
        <v>16596</v>
      </c>
      <c r="K1925" s="4" t="s">
        <v>63</v>
      </c>
      <c r="L1925" s="4" t="s">
        <v>16597</v>
      </c>
      <c r="M1925" s="4" t="s">
        <v>16598</v>
      </c>
      <c r="N1925" s="4" t="s">
        <v>16599</v>
      </c>
      <c r="O1925" s="4" t="s">
        <v>63</v>
      </c>
      <c r="P1925" s="4"/>
      <c r="Q1925" s="4" t="s">
        <v>63</v>
      </c>
      <c r="R1925" s="4" t="s">
        <v>63</v>
      </c>
      <c r="S1925" s="4" t="s">
        <v>63</v>
      </c>
      <c r="T1925" s="4" t="s">
        <v>63</v>
      </c>
      <c r="U1925" s="4"/>
      <c r="V1925" s="4"/>
      <c r="W1925" s="4"/>
      <c r="X1925" s="4" t="s">
        <v>63</v>
      </c>
      <c r="Y1925" s="4" t="s">
        <v>16600</v>
      </c>
      <c r="Z1925" s="4" t="s">
        <v>63</v>
      </c>
      <c r="AA1925" s="4" t="s">
        <v>63</v>
      </c>
      <c r="AB1925" s="4" t="s">
        <v>63</v>
      </c>
      <c r="AC1925" s="4" t="s">
        <v>67</v>
      </c>
      <c r="AD1925" s="4" t="s">
        <v>63</v>
      </c>
      <c r="AE1925" s="4" t="s">
        <v>63</v>
      </c>
      <c r="AF1925" s="4" t="s">
        <v>63</v>
      </c>
      <c r="AG1925" s="4" t="s">
        <v>63</v>
      </c>
      <c r="AH1925" s="4" t="s">
        <v>63</v>
      </c>
      <c r="AI1925" s="4" t="s">
        <v>16601</v>
      </c>
      <c r="AJ1925" s="4" t="s">
        <v>63</v>
      </c>
      <c r="AK1925" s="4" t="s">
        <v>63</v>
      </c>
      <c r="AL1925" s="4" t="s">
        <v>63</v>
      </c>
      <c r="AM1925" s="4" t="s">
        <v>16594</v>
      </c>
      <c r="AN1925" s="4" t="s">
        <v>63</v>
      </c>
      <c r="AO1925" s="4" t="s">
        <v>63</v>
      </c>
      <c r="AP1925" s="4" t="s">
        <v>63</v>
      </c>
      <c r="AQ1925" s="4" t="s">
        <v>63</v>
      </c>
      <c r="AR1925" s="4" t="s">
        <v>63</v>
      </c>
      <c r="AS1925" s="4" t="s">
        <v>63</v>
      </c>
      <c r="AT1925" s="4" t="s">
        <v>63</v>
      </c>
      <c r="AU1925" s="4" t="s">
        <v>63</v>
      </c>
      <c r="AV1925" s="4" t="s">
        <v>63</v>
      </c>
      <c r="AW1925" s="4" t="s">
        <v>63</v>
      </c>
      <c r="AX1925" s="4" t="s">
        <v>63</v>
      </c>
      <c r="AY1925" s="4" t="s">
        <v>63</v>
      </c>
      <c r="AZ1925" s="4" t="s">
        <v>63</v>
      </c>
      <c r="BA1925" s="4" t="s">
        <v>63</v>
      </c>
      <c r="BB1925" s="4" t="s">
        <v>63</v>
      </c>
      <c r="BC1925" s="4" t="s">
        <v>63</v>
      </c>
      <c r="BD1925" s="4" t="s">
        <v>63</v>
      </c>
      <c r="BE1925" s="4" t="s">
        <v>63</v>
      </c>
      <c r="BF1925" s="4" t="s">
        <v>63</v>
      </c>
    </row>
    <row r="1926" spans="1:58">
      <c r="A1926" s="4" t="s">
        <v>58</v>
      </c>
      <c r="B1926" s="4" t="s">
        <v>16602</v>
      </c>
      <c r="C1926" s="4" t="s">
        <v>16603</v>
      </c>
      <c r="D1926" s="4" t="s">
        <v>16604</v>
      </c>
      <c r="E1926" s="4" t="s">
        <v>16605</v>
      </c>
      <c r="F1926" s="4">
        <v>2011</v>
      </c>
      <c r="G1926" s="4" t="s">
        <v>189</v>
      </c>
      <c r="H1926" s="4" t="s">
        <v>16606</v>
      </c>
      <c r="I1926" s="4" t="s">
        <v>63</v>
      </c>
      <c r="J1926" s="4">
        <v>5</v>
      </c>
      <c r="K1926" s="4" t="s">
        <v>63</v>
      </c>
      <c r="L1926" s="4" t="s">
        <v>16607</v>
      </c>
      <c r="M1926" s="4" t="s">
        <v>16608</v>
      </c>
      <c r="N1926" s="4" t="s">
        <v>16609</v>
      </c>
      <c r="O1926" s="4" t="s">
        <v>63</v>
      </c>
      <c r="P1926" s="4"/>
      <c r="Q1926" s="4" t="s">
        <v>63</v>
      </c>
      <c r="R1926" s="4" t="s">
        <v>63</v>
      </c>
      <c r="S1926" s="4" t="s">
        <v>63</v>
      </c>
      <c r="T1926" s="4" t="s">
        <v>63</v>
      </c>
      <c r="U1926" s="4"/>
      <c r="V1926" s="4"/>
      <c r="W1926" s="4"/>
      <c r="X1926" s="4" t="s">
        <v>63</v>
      </c>
      <c r="Y1926" s="4" t="s">
        <v>16610</v>
      </c>
      <c r="Z1926" s="4" t="s">
        <v>63</v>
      </c>
      <c r="AA1926" s="4" t="s">
        <v>63</v>
      </c>
      <c r="AB1926" s="4" t="s">
        <v>63</v>
      </c>
      <c r="AC1926" s="4" t="s">
        <v>67</v>
      </c>
      <c r="AD1926" s="4" t="s">
        <v>63</v>
      </c>
      <c r="AE1926" s="4" t="s">
        <v>63</v>
      </c>
      <c r="AF1926" s="4" t="s">
        <v>63</v>
      </c>
      <c r="AG1926" s="4" t="s">
        <v>63</v>
      </c>
      <c r="AH1926" s="4" t="s">
        <v>63</v>
      </c>
      <c r="AI1926" s="4" t="s">
        <v>16611</v>
      </c>
      <c r="AJ1926" s="4" t="s">
        <v>63</v>
      </c>
      <c r="AK1926" s="4" t="s">
        <v>63</v>
      </c>
      <c r="AL1926" s="4" t="s">
        <v>63</v>
      </c>
      <c r="AM1926" s="4" t="s">
        <v>16603</v>
      </c>
      <c r="AN1926" s="4" t="s">
        <v>63</v>
      </c>
      <c r="AO1926" s="4" t="s">
        <v>63</v>
      </c>
      <c r="AP1926" s="4" t="s">
        <v>63</v>
      </c>
      <c r="AQ1926" s="4" t="s">
        <v>63</v>
      </c>
      <c r="AR1926" s="4" t="s">
        <v>63</v>
      </c>
      <c r="AS1926" s="4" t="s">
        <v>63</v>
      </c>
      <c r="AT1926" s="4" t="s">
        <v>63</v>
      </c>
      <c r="AU1926" s="4" t="s">
        <v>63</v>
      </c>
      <c r="AV1926" s="4" t="s">
        <v>63</v>
      </c>
      <c r="AW1926" s="4" t="s">
        <v>63</v>
      </c>
      <c r="AX1926" s="4" t="s">
        <v>63</v>
      </c>
      <c r="AY1926" s="4" t="s">
        <v>63</v>
      </c>
      <c r="AZ1926" s="4" t="s">
        <v>63</v>
      </c>
      <c r="BA1926" s="4" t="s">
        <v>63</v>
      </c>
      <c r="BB1926" s="4" t="s">
        <v>63</v>
      </c>
      <c r="BC1926" s="4" t="s">
        <v>63</v>
      </c>
      <c r="BD1926" s="4" t="s">
        <v>63</v>
      </c>
      <c r="BE1926" s="4" t="s">
        <v>63</v>
      </c>
      <c r="BF1926" s="4" t="s">
        <v>63</v>
      </c>
    </row>
    <row r="1927" spans="1:58">
      <c r="A1927" s="4" t="s">
        <v>58</v>
      </c>
      <c r="B1927" s="4" t="s">
        <v>16612</v>
      </c>
      <c r="C1927" s="4" t="s">
        <v>16613</v>
      </c>
      <c r="D1927" s="4" t="s">
        <v>16614</v>
      </c>
      <c r="E1927" s="4" t="s">
        <v>16615</v>
      </c>
      <c r="F1927" s="4">
        <v>1998</v>
      </c>
      <c r="G1927" s="4" t="s">
        <v>63</v>
      </c>
      <c r="H1927" s="4">
        <v>3</v>
      </c>
      <c r="I1927" s="4">
        <v>1</v>
      </c>
      <c r="J1927" s="4">
        <v>42</v>
      </c>
      <c r="K1927" s="4">
        <v>49</v>
      </c>
      <c r="L1927" s="4" t="s">
        <v>16616</v>
      </c>
      <c r="M1927" s="4" t="s">
        <v>16617</v>
      </c>
      <c r="N1927" s="4" t="s">
        <v>16618</v>
      </c>
      <c r="O1927" s="4" t="s">
        <v>63</v>
      </c>
      <c r="P1927" s="4"/>
      <c r="Q1927" s="4" t="s">
        <v>63</v>
      </c>
      <c r="R1927" s="4" t="s">
        <v>63</v>
      </c>
      <c r="S1927" s="4" t="s">
        <v>63</v>
      </c>
      <c r="T1927" s="4" t="s">
        <v>63</v>
      </c>
      <c r="U1927" s="4"/>
      <c r="V1927" s="4"/>
      <c r="W1927" s="4"/>
      <c r="X1927" s="4" t="s">
        <v>63</v>
      </c>
      <c r="Y1927" s="4" t="s">
        <v>16619</v>
      </c>
      <c r="Z1927" s="4" t="s">
        <v>63</v>
      </c>
      <c r="AA1927" s="4" t="s">
        <v>63</v>
      </c>
      <c r="AB1927" s="4" t="s">
        <v>16620</v>
      </c>
      <c r="AC1927" s="4" t="s">
        <v>67</v>
      </c>
      <c r="AD1927" s="4" t="s">
        <v>63</v>
      </c>
      <c r="AE1927" s="4" t="s">
        <v>63</v>
      </c>
      <c r="AF1927" s="4" t="s">
        <v>63</v>
      </c>
      <c r="AG1927" s="4" t="s">
        <v>63</v>
      </c>
      <c r="AH1927" s="4" t="s">
        <v>63</v>
      </c>
      <c r="AI1927" s="4" t="s">
        <v>63</v>
      </c>
      <c r="AJ1927" s="4" t="s">
        <v>63</v>
      </c>
      <c r="AK1927" s="4" t="s">
        <v>63</v>
      </c>
      <c r="AL1927" s="4" t="s">
        <v>63</v>
      </c>
      <c r="AM1927" s="4" t="s">
        <v>16613</v>
      </c>
      <c r="AN1927" s="4" t="s">
        <v>63</v>
      </c>
      <c r="AO1927" s="4" t="s">
        <v>63</v>
      </c>
      <c r="AP1927" s="4" t="s">
        <v>63</v>
      </c>
      <c r="AQ1927" s="4" t="s">
        <v>63</v>
      </c>
      <c r="AR1927" s="4" t="s">
        <v>63</v>
      </c>
      <c r="AS1927" s="4" t="s">
        <v>63</v>
      </c>
      <c r="AT1927" s="4" t="s">
        <v>63</v>
      </c>
      <c r="AU1927" s="4" t="s">
        <v>63</v>
      </c>
      <c r="AV1927" s="4" t="s">
        <v>63</v>
      </c>
      <c r="AW1927" s="4" t="s">
        <v>63</v>
      </c>
      <c r="AX1927" s="4" t="s">
        <v>63</v>
      </c>
      <c r="AY1927" s="4" t="s">
        <v>63</v>
      </c>
      <c r="AZ1927" s="4" t="s">
        <v>63</v>
      </c>
      <c r="BA1927" s="4" t="s">
        <v>63</v>
      </c>
      <c r="BB1927" s="4" t="s">
        <v>63</v>
      </c>
      <c r="BC1927" s="4" t="s">
        <v>63</v>
      </c>
      <c r="BD1927" s="4" t="s">
        <v>63</v>
      </c>
      <c r="BE1927" s="4" t="s">
        <v>63</v>
      </c>
      <c r="BF1927" s="4" t="s">
        <v>63</v>
      </c>
    </row>
    <row r="1928" spans="1:58">
      <c r="A1928" s="4" t="s">
        <v>58</v>
      </c>
      <c r="B1928" s="4" t="s">
        <v>16621</v>
      </c>
      <c r="C1928" s="4" t="s">
        <v>16622</v>
      </c>
      <c r="D1928" s="4" t="s">
        <v>16623</v>
      </c>
      <c r="E1928" s="4" t="s">
        <v>63</v>
      </c>
      <c r="F1928" s="4">
        <v>2012</v>
      </c>
      <c r="G1928" s="4">
        <v>1</v>
      </c>
      <c r="H1928" s="4">
        <v>5</v>
      </c>
      <c r="I1928" s="4">
        <v>3</v>
      </c>
      <c r="J1928" s="4">
        <v>206</v>
      </c>
      <c r="K1928" s="4">
        <v>216</v>
      </c>
      <c r="L1928" s="4" t="s">
        <v>16624</v>
      </c>
      <c r="M1928" s="4" t="s">
        <v>16625</v>
      </c>
      <c r="N1928" s="4" t="s">
        <v>16626</v>
      </c>
      <c r="O1928" s="4" t="s">
        <v>63</v>
      </c>
      <c r="P1928" s="4"/>
      <c r="Q1928" s="4" t="s">
        <v>63</v>
      </c>
      <c r="R1928" s="4" t="s">
        <v>63</v>
      </c>
      <c r="S1928" s="4" t="s">
        <v>63</v>
      </c>
      <c r="T1928" s="4" t="s">
        <v>63</v>
      </c>
      <c r="U1928" s="4"/>
      <c r="V1928" s="4"/>
      <c r="W1928" s="4"/>
      <c r="X1928" s="4" t="s">
        <v>63</v>
      </c>
      <c r="Y1928" s="4" t="s">
        <v>16627</v>
      </c>
      <c r="Z1928" s="4" t="s">
        <v>63</v>
      </c>
      <c r="AA1928" s="4" t="s">
        <v>63</v>
      </c>
      <c r="AB1928" s="4" t="s">
        <v>16628</v>
      </c>
      <c r="AC1928" s="4" t="s">
        <v>67</v>
      </c>
      <c r="AD1928" s="4" t="s">
        <v>63</v>
      </c>
      <c r="AE1928" s="4" t="s">
        <v>63</v>
      </c>
      <c r="AF1928" s="4" t="s">
        <v>63</v>
      </c>
      <c r="AG1928" s="4" t="s">
        <v>63</v>
      </c>
      <c r="AH1928" s="4" t="s">
        <v>63</v>
      </c>
      <c r="AI1928" s="4" t="s">
        <v>16629</v>
      </c>
      <c r="AJ1928" s="4" t="s">
        <v>63</v>
      </c>
      <c r="AK1928" s="4" t="s">
        <v>63</v>
      </c>
      <c r="AL1928" s="4" t="s">
        <v>63</v>
      </c>
      <c r="AM1928" s="4" t="s">
        <v>16622</v>
      </c>
      <c r="AN1928" s="4" t="s">
        <v>63</v>
      </c>
      <c r="AO1928" s="4" t="s">
        <v>63</v>
      </c>
      <c r="AP1928" s="4" t="s">
        <v>63</v>
      </c>
      <c r="AQ1928" s="4" t="s">
        <v>63</v>
      </c>
      <c r="AR1928" s="4" t="s">
        <v>63</v>
      </c>
      <c r="AS1928" s="4" t="s">
        <v>63</v>
      </c>
      <c r="AT1928" s="4" t="s">
        <v>63</v>
      </c>
      <c r="AU1928" s="4" t="s">
        <v>63</v>
      </c>
      <c r="AV1928" s="4" t="s">
        <v>63</v>
      </c>
      <c r="AW1928" s="4" t="s">
        <v>63</v>
      </c>
      <c r="AX1928" s="4" t="s">
        <v>63</v>
      </c>
      <c r="AY1928" s="4" t="s">
        <v>63</v>
      </c>
      <c r="AZ1928" s="4" t="s">
        <v>63</v>
      </c>
      <c r="BA1928" s="4" t="s">
        <v>63</v>
      </c>
      <c r="BB1928" s="4" t="s">
        <v>63</v>
      </c>
      <c r="BC1928" s="4" t="s">
        <v>63</v>
      </c>
      <c r="BD1928" s="4" t="s">
        <v>63</v>
      </c>
      <c r="BE1928" s="4" t="s">
        <v>63</v>
      </c>
      <c r="BF1928" s="4" t="s">
        <v>63</v>
      </c>
    </row>
    <row r="1929" spans="1:58">
      <c r="A1929" s="4" t="s">
        <v>58</v>
      </c>
      <c r="B1929" s="4" t="s">
        <v>16630</v>
      </c>
      <c r="C1929" s="4" t="s">
        <v>16631</v>
      </c>
      <c r="D1929" s="4" t="s">
        <v>16632</v>
      </c>
      <c r="E1929" s="4" t="s">
        <v>63</v>
      </c>
      <c r="F1929" s="4">
        <v>2011</v>
      </c>
      <c r="G1929" s="4" t="s">
        <v>16633</v>
      </c>
      <c r="H1929" s="4">
        <v>16</v>
      </c>
      <c r="I1929" s="4">
        <v>2</v>
      </c>
      <c r="J1929" s="4">
        <v>100</v>
      </c>
      <c r="K1929" s="4" t="s">
        <v>63</v>
      </c>
      <c r="L1929" s="4" t="s">
        <v>16634</v>
      </c>
      <c r="M1929" s="4" t="s">
        <v>16635</v>
      </c>
      <c r="N1929" s="4" t="s">
        <v>16636</v>
      </c>
      <c r="O1929" s="4" t="s">
        <v>63</v>
      </c>
      <c r="P1929" s="4"/>
      <c r="Q1929" s="4" t="s">
        <v>63</v>
      </c>
      <c r="R1929" s="4" t="s">
        <v>63</v>
      </c>
      <c r="S1929" s="4" t="s">
        <v>63</v>
      </c>
      <c r="T1929" s="4" t="s">
        <v>63</v>
      </c>
      <c r="U1929" s="4"/>
      <c r="V1929" s="4"/>
      <c r="W1929" s="4"/>
      <c r="X1929" s="4" t="s">
        <v>63</v>
      </c>
      <c r="Y1929" s="4" t="s">
        <v>9691</v>
      </c>
      <c r="Z1929" s="4" t="s">
        <v>63</v>
      </c>
      <c r="AA1929" s="4" t="s">
        <v>63</v>
      </c>
      <c r="AB1929" s="4" t="s">
        <v>63</v>
      </c>
      <c r="AC1929" s="4" t="s">
        <v>67</v>
      </c>
      <c r="AD1929" s="4" t="s">
        <v>63</v>
      </c>
      <c r="AE1929" s="4" t="s">
        <v>63</v>
      </c>
      <c r="AF1929" s="4" t="s">
        <v>63</v>
      </c>
      <c r="AG1929" s="4" t="s">
        <v>63</v>
      </c>
      <c r="AH1929" s="4" t="s">
        <v>63</v>
      </c>
      <c r="AI1929" s="4" t="s">
        <v>63</v>
      </c>
      <c r="AJ1929" s="4" t="s">
        <v>63</v>
      </c>
      <c r="AK1929" s="4" t="s">
        <v>63</v>
      </c>
      <c r="AL1929" s="4" t="s">
        <v>63</v>
      </c>
      <c r="AM1929" s="4" t="s">
        <v>16631</v>
      </c>
      <c r="AN1929" s="4" t="s">
        <v>63</v>
      </c>
      <c r="AO1929" s="4" t="s">
        <v>63</v>
      </c>
      <c r="AP1929" s="4" t="s">
        <v>63</v>
      </c>
      <c r="AQ1929" s="4" t="s">
        <v>63</v>
      </c>
      <c r="AR1929" s="4" t="s">
        <v>63</v>
      </c>
      <c r="AS1929" s="4" t="s">
        <v>63</v>
      </c>
      <c r="AT1929" s="4" t="s">
        <v>63</v>
      </c>
      <c r="AU1929" s="4" t="s">
        <v>63</v>
      </c>
      <c r="AV1929" s="4" t="s">
        <v>63</v>
      </c>
      <c r="AW1929" s="4" t="s">
        <v>63</v>
      </c>
      <c r="AX1929" s="4" t="s">
        <v>63</v>
      </c>
      <c r="AY1929" s="4" t="s">
        <v>63</v>
      </c>
      <c r="AZ1929" s="4" t="s">
        <v>63</v>
      </c>
      <c r="BA1929" s="4" t="s">
        <v>63</v>
      </c>
      <c r="BB1929" s="4" t="s">
        <v>63</v>
      </c>
      <c r="BC1929" s="4" t="s">
        <v>63</v>
      </c>
      <c r="BD1929" s="4" t="s">
        <v>63</v>
      </c>
      <c r="BE1929" s="4" t="s">
        <v>63</v>
      </c>
      <c r="BF1929" s="4" t="s">
        <v>63</v>
      </c>
    </row>
    <row r="1930" spans="1:58">
      <c r="A1930" s="4" t="s">
        <v>58</v>
      </c>
      <c r="B1930" s="4" t="s">
        <v>16637</v>
      </c>
      <c r="C1930" s="4" t="s">
        <v>16638</v>
      </c>
      <c r="D1930" s="4" t="s">
        <v>16639</v>
      </c>
      <c r="E1930" s="4" t="s">
        <v>63</v>
      </c>
      <c r="F1930" s="4">
        <v>1998</v>
      </c>
      <c r="G1930" s="4" t="s">
        <v>63</v>
      </c>
      <c r="H1930" s="4">
        <v>63</v>
      </c>
      <c r="I1930" s="4">
        <v>1</v>
      </c>
      <c r="J1930" s="4">
        <v>175</v>
      </c>
      <c r="K1930" s="4">
        <v>184</v>
      </c>
      <c r="L1930" s="4" t="s">
        <v>16640</v>
      </c>
      <c r="M1930" s="4" t="s">
        <v>16641</v>
      </c>
      <c r="N1930" s="4" t="s">
        <v>16642</v>
      </c>
      <c r="O1930" s="4" t="s">
        <v>63</v>
      </c>
      <c r="P1930" s="4"/>
      <c r="Q1930" s="4" t="s">
        <v>63</v>
      </c>
      <c r="R1930" s="4" t="s">
        <v>63</v>
      </c>
      <c r="S1930" s="4" t="s">
        <v>63</v>
      </c>
      <c r="T1930" s="4" t="s">
        <v>63</v>
      </c>
      <c r="U1930" s="4"/>
      <c r="V1930" s="4"/>
      <c r="W1930" s="4"/>
      <c r="X1930" s="4" t="s">
        <v>63</v>
      </c>
      <c r="Y1930" s="4" t="s">
        <v>16643</v>
      </c>
      <c r="Z1930" s="4" t="s">
        <v>63</v>
      </c>
      <c r="AA1930" s="4" t="s">
        <v>63</v>
      </c>
      <c r="AB1930" s="4" t="s">
        <v>16644</v>
      </c>
      <c r="AC1930" s="4" t="s">
        <v>1371</v>
      </c>
      <c r="AD1930" s="4" t="s">
        <v>63</v>
      </c>
      <c r="AE1930" s="4" t="s">
        <v>63</v>
      </c>
      <c r="AF1930" s="4" t="s">
        <v>63</v>
      </c>
      <c r="AG1930" s="4" t="s">
        <v>63</v>
      </c>
      <c r="AH1930" s="4" t="s">
        <v>63</v>
      </c>
      <c r="AI1930" s="4" t="s">
        <v>63</v>
      </c>
      <c r="AJ1930" s="4" t="s">
        <v>63</v>
      </c>
      <c r="AK1930" s="4" t="s">
        <v>63</v>
      </c>
      <c r="AL1930" s="4" t="s">
        <v>63</v>
      </c>
      <c r="AM1930" s="4" t="s">
        <v>16638</v>
      </c>
      <c r="AN1930" s="4" t="s">
        <v>63</v>
      </c>
      <c r="AO1930" s="4" t="s">
        <v>63</v>
      </c>
      <c r="AP1930" s="4" t="s">
        <v>63</v>
      </c>
      <c r="AQ1930" s="4" t="s">
        <v>63</v>
      </c>
      <c r="AR1930" s="4" t="s">
        <v>63</v>
      </c>
      <c r="AS1930" s="4" t="s">
        <v>63</v>
      </c>
      <c r="AT1930" s="4" t="s">
        <v>63</v>
      </c>
      <c r="AU1930" s="4" t="s">
        <v>63</v>
      </c>
      <c r="AV1930" s="4" t="s">
        <v>63</v>
      </c>
      <c r="AW1930" s="4" t="s">
        <v>63</v>
      </c>
      <c r="AX1930" s="4" t="s">
        <v>63</v>
      </c>
      <c r="AY1930" s="4" t="s">
        <v>63</v>
      </c>
      <c r="AZ1930" s="4" t="s">
        <v>63</v>
      </c>
      <c r="BA1930" s="4" t="s">
        <v>63</v>
      </c>
      <c r="BB1930" s="4" t="s">
        <v>63</v>
      </c>
      <c r="BC1930" s="4" t="s">
        <v>63</v>
      </c>
      <c r="BD1930" s="4" t="s">
        <v>63</v>
      </c>
      <c r="BE1930" s="4" t="s">
        <v>63</v>
      </c>
      <c r="BF1930" s="4" t="s">
        <v>63</v>
      </c>
    </row>
    <row r="1931" spans="1:58">
      <c r="A1931" s="4" t="s">
        <v>58</v>
      </c>
      <c r="B1931" s="4" t="s">
        <v>16645</v>
      </c>
      <c r="C1931" s="4" t="s">
        <v>16646</v>
      </c>
      <c r="D1931" s="4" t="s">
        <v>4567</v>
      </c>
      <c r="E1931" s="4" t="s">
        <v>4568</v>
      </c>
      <c r="F1931" s="4">
        <v>2005</v>
      </c>
      <c r="G1931" s="4" t="s">
        <v>15155</v>
      </c>
      <c r="H1931" s="4">
        <v>40</v>
      </c>
      <c r="I1931" s="4">
        <v>6</v>
      </c>
      <c r="J1931" s="4">
        <v>888</v>
      </c>
      <c r="K1931" s="4">
        <v>895</v>
      </c>
      <c r="L1931" s="4" t="s">
        <v>16647</v>
      </c>
      <c r="M1931" s="4" t="s">
        <v>16648</v>
      </c>
      <c r="N1931" s="4" t="s">
        <v>16649</v>
      </c>
      <c r="O1931" s="4" t="s">
        <v>63</v>
      </c>
      <c r="P1931" s="4"/>
      <c r="Q1931" s="4" t="s">
        <v>63</v>
      </c>
      <c r="R1931" s="4" t="s">
        <v>63</v>
      </c>
      <c r="S1931" s="4" t="s">
        <v>63</v>
      </c>
      <c r="T1931" s="4" t="s">
        <v>63</v>
      </c>
      <c r="U1931" s="4"/>
      <c r="V1931" s="4"/>
      <c r="W1931" s="4"/>
      <c r="X1931" s="4" t="s">
        <v>63</v>
      </c>
      <c r="Y1931" s="4" t="s">
        <v>5761</v>
      </c>
      <c r="Z1931" s="4" t="s">
        <v>63</v>
      </c>
      <c r="AA1931" s="4" t="s">
        <v>63</v>
      </c>
      <c r="AB1931" s="4">
        <v>2005197279</v>
      </c>
      <c r="AC1931" s="4" t="s">
        <v>67</v>
      </c>
      <c r="AD1931" s="4" t="s">
        <v>63</v>
      </c>
      <c r="AE1931" s="4" t="s">
        <v>63</v>
      </c>
      <c r="AF1931" s="4" t="s">
        <v>63</v>
      </c>
      <c r="AG1931" s="4" t="s">
        <v>16650</v>
      </c>
      <c r="AH1931" s="4" t="s">
        <v>63</v>
      </c>
      <c r="AI1931" s="4" t="s">
        <v>16651</v>
      </c>
      <c r="AJ1931" s="4" t="s">
        <v>63</v>
      </c>
      <c r="AK1931" s="4" t="s">
        <v>63</v>
      </c>
      <c r="AL1931" s="4" t="s">
        <v>63</v>
      </c>
      <c r="AM1931" s="4" t="s">
        <v>16652</v>
      </c>
      <c r="AN1931" s="4" t="s">
        <v>63</v>
      </c>
      <c r="AO1931" s="4" t="s">
        <v>63</v>
      </c>
      <c r="AP1931" s="4" t="s">
        <v>63</v>
      </c>
      <c r="AQ1931" s="4" t="s">
        <v>63</v>
      </c>
      <c r="AR1931" s="4" t="s">
        <v>63</v>
      </c>
      <c r="AS1931" s="4" t="s">
        <v>63</v>
      </c>
      <c r="AT1931" s="4" t="s">
        <v>63</v>
      </c>
      <c r="AU1931" s="4" t="s">
        <v>63</v>
      </c>
      <c r="AV1931" s="4" t="s">
        <v>63</v>
      </c>
      <c r="AW1931" s="4" t="s">
        <v>63</v>
      </c>
      <c r="AX1931" s="4" t="s">
        <v>63</v>
      </c>
      <c r="AY1931" s="4" t="s">
        <v>63</v>
      </c>
      <c r="AZ1931" s="4" t="s">
        <v>63</v>
      </c>
      <c r="BA1931" s="4" t="s">
        <v>63</v>
      </c>
      <c r="BB1931" s="4" t="s">
        <v>63</v>
      </c>
      <c r="BC1931" s="4" t="s">
        <v>63</v>
      </c>
      <c r="BD1931" s="4" t="s">
        <v>63</v>
      </c>
      <c r="BE1931" s="4" t="s">
        <v>63</v>
      </c>
      <c r="BF1931" s="4" t="s">
        <v>63</v>
      </c>
    </row>
    <row r="1932" spans="1:58">
      <c r="A1932" s="4" t="s">
        <v>58</v>
      </c>
      <c r="B1932" s="4" t="s">
        <v>16653</v>
      </c>
      <c r="C1932" s="4" t="s">
        <v>16654</v>
      </c>
      <c r="D1932" s="4" t="s">
        <v>14670</v>
      </c>
      <c r="E1932" s="4" t="s">
        <v>14671</v>
      </c>
      <c r="F1932" s="4">
        <v>1977</v>
      </c>
      <c r="G1932" s="4" t="s">
        <v>63</v>
      </c>
      <c r="H1932" s="4">
        <v>74</v>
      </c>
      <c r="I1932" s="4">
        <v>4</v>
      </c>
      <c r="J1932" s="4">
        <v>355</v>
      </c>
      <c r="K1932" s="4">
        <v>364</v>
      </c>
      <c r="L1932" s="4" t="s">
        <v>16655</v>
      </c>
      <c r="M1932" s="4" t="s">
        <v>16656</v>
      </c>
      <c r="N1932" s="4" t="s">
        <v>16657</v>
      </c>
      <c r="O1932" s="4" t="s">
        <v>63</v>
      </c>
      <c r="P1932" s="4"/>
      <c r="Q1932" s="4" t="s">
        <v>63</v>
      </c>
      <c r="R1932" s="4" t="s">
        <v>63</v>
      </c>
      <c r="S1932" s="4" t="s">
        <v>63</v>
      </c>
      <c r="T1932" s="4" t="s">
        <v>63</v>
      </c>
      <c r="U1932" s="4"/>
      <c r="V1932" s="4"/>
      <c r="W1932" s="4"/>
      <c r="X1932" s="4" t="s">
        <v>63</v>
      </c>
      <c r="Y1932" s="4" t="s">
        <v>14674</v>
      </c>
      <c r="Z1932" s="4" t="s">
        <v>63</v>
      </c>
      <c r="AA1932" s="4" t="s">
        <v>63</v>
      </c>
      <c r="AB1932" s="4">
        <v>1978074239</v>
      </c>
      <c r="AC1932" s="4" t="s">
        <v>67</v>
      </c>
      <c r="AD1932" s="4" t="s">
        <v>63</v>
      </c>
      <c r="AE1932" s="4" t="s">
        <v>63</v>
      </c>
      <c r="AF1932" s="4" t="s">
        <v>63</v>
      </c>
      <c r="AG1932" s="4" t="s">
        <v>16658</v>
      </c>
      <c r="AH1932" s="4" t="s">
        <v>63</v>
      </c>
      <c r="AI1932" s="4" t="s">
        <v>63</v>
      </c>
      <c r="AJ1932" s="4" t="s">
        <v>63</v>
      </c>
      <c r="AK1932" s="4" t="s">
        <v>63</v>
      </c>
      <c r="AL1932" s="4" t="s">
        <v>63</v>
      </c>
      <c r="AM1932" s="4" t="s">
        <v>16659</v>
      </c>
      <c r="AN1932" s="4" t="s">
        <v>63</v>
      </c>
      <c r="AO1932" s="4" t="s">
        <v>63</v>
      </c>
      <c r="AP1932" s="4" t="s">
        <v>63</v>
      </c>
      <c r="AQ1932" s="4" t="s">
        <v>63</v>
      </c>
      <c r="AR1932" s="4" t="s">
        <v>63</v>
      </c>
      <c r="AS1932" s="4" t="s">
        <v>63</v>
      </c>
      <c r="AT1932" s="4" t="s">
        <v>63</v>
      </c>
      <c r="AU1932" s="4" t="s">
        <v>63</v>
      </c>
      <c r="AV1932" s="4" t="s">
        <v>63</v>
      </c>
      <c r="AW1932" s="4" t="s">
        <v>63</v>
      </c>
      <c r="AX1932" s="4" t="s">
        <v>63</v>
      </c>
      <c r="AY1932" s="4" t="s">
        <v>63</v>
      </c>
      <c r="AZ1932" s="4" t="s">
        <v>63</v>
      </c>
      <c r="BA1932" s="4" t="s">
        <v>63</v>
      </c>
      <c r="BB1932" s="4" t="s">
        <v>63</v>
      </c>
      <c r="BC1932" s="4" t="s">
        <v>63</v>
      </c>
      <c r="BD1932" s="4" t="s">
        <v>63</v>
      </c>
      <c r="BE1932" s="4" t="s">
        <v>63</v>
      </c>
      <c r="BF1932" s="4" t="s">
        <v>63</v>
      </c>
    </row>
    <row r="1933" spans="1:58">
      <c r="A1933" s="4" t="s">
        <v>58</v>
      </c>
      <c r="B1933" s="4" t="s">
        <v>16660</v>
      </c>
      <c r="C1933" s="4" t="s">
        <v>16661</v>
      </c>
      <c r="D1933" s="4" t="s">
        <v>16662</v>
      </c>
      <c r="E1933" s="4" t="s">
        <v>63</v>
      </c>
      <c r="F1933" s="4">
        <v>2002</v>
      </c>
      <c r="G1933" s="4" t="s">
        <v>63</v>
      </c>
      <c r="H1933" s="4">
        <v>6</v>
      </c>
      <c r="I1933" s="4">
        <v>4</v>
      </c>
      <c r="J1933" s="4">
        <v>176</v>
      </c>
      <c r="K1933" s="4">
        <v>177</v>
      </c>
      <c r="L1933" s="4" t="s">
        <v>16663</v>
      </c>
      <c r="M1933" s="4" t="s">
        <v>63</v>
      </c>
      <c r="N1933" s="4" t="s">
        <v>16664</v>
      </c>
      <c r="O1933" s="4" t="s">
        <v>63</v>
      </c>
      <c r="P1933" s="4"/>
      <c r="Q1933" s="4" t="s">
        <v>63</v>
      </c>
      <c r="R1933" s="4" t="s">
        <v>63</v>
      </c>
      <c r="S1933" s="4" t="s">
        <v>63</v>
      </c>
      <c r="T1933" s="4" t="s">
        <v>63</v>
      </c>
      <c r="U1933" s="4"/>
      <c r="V1933" s="4"/>
      <c r="W1933" s="4"/>
      <c r="X1933" s="4" t="s">
        <v>63</v>
      </c>
      <c r="Y1933" s="4" t="s">
        <v>16665</v>
      </c>
      <c r="Z1933" s="4" t="s">
        <v>63</v>
      </c>
      <c r="AA1933" s="4" t="s">
        <v>63</v>
      </c>
      <c r="AB1933" s="4" t="s">
        <v>16666</v>
      </c>
      <c r="AC1933" s="4" t="s">
        <v>67</v>
      </c>
      <c r="AD1933" s="4" t="s">
        <v>63</v>
      </c>
      <c r="AE1933" s="4" t="s">
        <v>63</v>
      </c>
      <c r="AF1933" s="4" t="s">
        <v>63</v>
      </c>
      <c r="AG1933" s="4" t="s">
        <v>63</v>
      </c>
      <c r="AH1933" s="4" t="s">
        <v>63</v>
      </c>
      <c r="AI1933" s="4" t="s">
        <v>16667</v>
      </c>
      <c r="AJ1933" s="4" t="s">
        <v>63</v>
      </c>
      <c r="AK1933" s="4" t="s">
        <v>63</v>
      </c>
      <c r="AL1933" s="4" t="s">
        <v>63</v>
      </c>
      <c r="AM1933" s="4" t="s">
        <v>16661</v>
      </c>
      <c r="AN1933" s="4" t="s">
        <v>63</v>
      </c>
      <c r="AO1933" s="4" t="s">
        <v>63</v>
      </c>
      <c r="AP1933" s="4" t="s">
        <v>63</v>
      </c>
      <c r="AQ1933" s="4" t="s">
        <v>63</v>
      </c>
      <c r="AR1933" s="4" t="s">
        <v>63</v>
      </c>
      <c r="AS1933" s="4" t="s">
        <v>63</v>
      </c>
      <c r="AT1933" s="4" t="s">
        <v>63</v>
      </c>
      <c r="AU1933" s="4" t="s">
        <v>63</v>
      </c>
      <c r="AV1933" s="4" t="s">
        <v>63</v>
      </c>
      <c r="AW1933" s="4" t="s">
        <v>63</v>
      </c>
      <c r="AX1933" s="4" t="s">
        <v>63</v>
      </c>
      <c r="AY1933" s="4" t="s">
        <v>63</v>
      </c>
      <c r="AZ1933" s="4" t="s">
        <v>63</v>
      </c>
      <c r="BA1933" s="4" t="s">
        <v>63</v>
      </c>
      <c r="BB1933" s="4" t="s">
        <v>63</v>
      </c>
      <c r="BC1933" s="4" t="s">
        <v>63</v>
      </c>
      <c r="BD1933" s="4" t="s">
        <v>63</v>
      </c>
      <c r="BE1933" s="4" t="s">
        <v>63</v>
      </c>
      <c r="BF1933" s="4" t="s">
        <v>63</v>
      </c>
    </row>
    <row r="1934" spans="1:58">
      <c r="A1934" s="4" t="s">
        <v>58</v>
      </c>
      <c r="B1934" s="4" t="s">
        <v>16668</v>
      </c>
      <c r="C1934" s="4" t="s">
        <v>16669</v>
      </c>
      <c r="D1934" s="4" t="s">
        <v>15672</v>
      </c>
      <c r="E1934" s="4" t="s">
        <v>15672</v>
      </c>
      <c r="F1934" s="4">
        <v>2001</v>
      </c>
      <c r="G1934" s="4" t="s">
        <v>63</v>
      </c>
      <c r="H1934" s="4">
        <v>120</v>
      </c>
      <c r="I1934" s="4">
        <v>5</v>
      </c>
      <c r="J1934" s="4">
        <v>1093</v>
      </c>
      <c r="K1934" s="4">
        <v>1099</v>
      </c>
      <c r="L1934" s="4" t="s">
        <v>16670</v>
      </c>
      <c r="M1934" s="4" t="s">
        <v>16671</v>
      </c>
      <c r="N1934" s="4" t="s">
        <v>16672</v>
      </c>
      <c r="O1934" s="4" t="s">
        <v>63</v>
      </c>
      <c r="P1934" s="4"/>
      <c r="Q1934" s="4" t="s">
        <v>63</v>
      </c>
      <c r="R1934" s="4" t="s">
        <v>63</v>
      </c>
      <c r="S1934" s="4" t="s">
        <v>63</v>
      </c>
      <c r="T1934" s="4" t="s">
        <v>63</v>
      </c>
      <c r="U1934" s="4"/>
      <c r="V1934" s="4"/>
      <c r="W1934" s="4"/>
      <c r="X1934" s="4" t="s">
        <v>63</v>
      </c>
      <c r="Y1934" s="4" t="s">
        <v>15677</v>
      </c>
      <c r="Z1934" s="4" t="s">
        <v>63</v>
      </c>
      <c r="AA1934" s="4" t="s">
        <v>63</v>
      </c>
      <c r="AB1934" s="4">
        <v>2001122601</v>
      </c>
      <c r="AC1934" s="4" t="s">
        <v>67</v>
      </c>
      <c r="AD1934" s="4" t="s">
        <v>63</v>
      </c>
      <c r="AE1934" s="4" t="s">
        <v>63</v>
      </c>
      <c r="AF1934" s="4" t="s">
        <v>63</v>
      </c>
      <c r="AG1934" s="4" t="s">
        <v>16673</v>
      </c>
      <c r="AH1934" s="4" t="s">
        <v>63</v>
      </c>
      <c r="AI1934" s="4" t="s">
        <v>63</v>
      </c>
      <c r="AJ1934" s="4" t="s">
        <v>63</v>
      </c>
      <c r="AK1934" s="4" t="s">
        <v>63</v>
      </c>
      <c r="AL1934" s="4" t="s">
        <v>63</v>
      </c>
      <c r="AM1934" s="4" t="s">
        <v>16674</v>
      </c>
      <c r="AN1934" s="4" t="s">
        <v>63</v>
      </c>
      <c r="AO1934" s="4" t="s">
        <v>63</v>
      </c>
      <c r="AP1934" s="4" t="s">
        <v>63</v>
      </c>
      <c r="AQ1934" s="4" t="s">
        <v>63</v>
      </c>
      <c r="AR1934" s="4" t="s">
        <v>63</v>
      </c>
      <c r="AS1934" s="4" t="s">
        <v>63</v>
      </c>
      <c r="AT1934" s="4" t="s">
        <v>63</v>
      </c>
      <c r="AU1934" s="4" t="s">
        <v>63</v>
      </c>
      <c r="AV1934" s="4" t="s">
        <v>63</v>
      </c>
      <c r="AW1934" s="4" t="s">
        <v>63</v>
      </c>
      <c r="AX1934" s="4" t="s">
        <v>63</v>
      </c>
      <c r="AY1934" s="4" t="s">
        <v>63</v>
      </c>
      <c r="AZ1934" s="4" t="s">
        <v>63</v>
      </c>
      <c r="BA1934" s="4" t="s">
        <v>63</v>
      </c>
      <c r="BB1934" s="4" t="s">
        <v>63</v>
      </c>
      <c r="BC1934" s="4" t="s">
        <v>63</v>
      </c>
      <c r="BD1934" s="4" t="s">
        <v>63</v>
      </c>
      <c r="BE1934" s="4" t="s">
        <v>63</v>
      </c>
      <c r="BF1934" s="4" t="s">
        <v>63</v>
      </c>
    </row>
    <row r="1935" spans="1:58">
      <c r="A1935" s="4" t="s">
        <v>58</v>
      </c>
      <c r="B1935" s="4" t="s">
        <v>16675</v>
      </c>
      <c r="C1935" s="4" t="s">
        <v>16676</v>
      </c>
      <c r="D1935" s="4" t="s">
        <v>16677</v>
      </c>
      <c r="E1935" s="4" t="s">
        <v>63</v>
      </c>
      <c r="F1935" s="4">
        <v>1999</v>
      </c>
      <c r="G1935" s="4" t="s">
        <v>63</v>
      </c>
      <c r="H1935" s="4">
        <v>17</v>
      </c>
      <c r="I1935" s="4">
        <v>1</v>
      </c>
      <c r="J1935" s="4">
        <v>133</v>
      </c>
      <c r="K1935" s="4">
        <v>148</v>
      </c>
      <c r="L1935" s="4" t="s">
        <v>16678</v>
      </c>
      <c r="M1935" s="4" t="s">
        <v>16679</v>
      </c>
      <c r="N1935" s="4" t="s">
        <v>16680</v>
      </c>
      <c r="O1935" s="4" t="s">
        <v>63</v>
      </c>
      <c r="P1935" s="4"/>
      <c r="Q1935" s="4" t="s">
        <v>63</v>
      </c>
      <c r="R1935" s="4" t="s">
        <v>63</v>
      </c>
      <c r="S1935" s="4" t="s">
        <v>63</v>
      </c>
      <c r="T1935" s="4" t="s">
        <v>63</v>
      </c>
      <c r="U1935" s="4"/>
      <c r="V1935" s="4"/>
      <c r="W1935" s="4"/>
      <c r="X1935" s="4" t="s">
        <v>63</v>
      </c>
      <c r="Y1935" s="4" t="s">
        <v>16681</v>
      </c>
      <c r="Z1935" s="4" t="s">
        <v>63</v>
      </c>
      <c r="AA1935" s="4" t="s">
        <v>63</v>
      </c>
      <c r="AB1935" s="4" t="s">
        <v>16682</v>
      </c>
      <c r="AC1935" s="4" t="s">
        <v>67</v>
      </c>
      <c r="AD1935" s="4" t="s">
        <v>63</v>
      </c>
      <c r="AE1935" s="4" t="s">
        <v>63</v>
      </c>
      <c r="AF1935" s="4" t="s">
        <v>63</v>
      </c>
      <c r="AG1935" s="4" t="s">
        <v>63</v>
      </c>
      <c r="AH1935" s="4" t="s">
        <v>63</v>
      </c>
      <c r="AI1935" s="4" t="s">
        <v>16683</v>
      </c>
      <c r="AJ1935" s="4" t="s">
        <v>63</v>
      </c>
      <c r="AK1935" s="4" t="s">
        <v>63</v>
      </c>
      <c r="AL1935" s="4" t="s">
        <v>63</v>
      </c>
      <c r="AM1935" s="4" t="s">
        <v>16676</v>
      </c>
      <c r="AN1935" s="4" t="s">
        <v>63</v>
      </c>
      <c r="AO1935" s="4" t="s">
        <v>63</v>
      </c>
      <c r="AP1935" s="4" t="s">
        <v>63</v>
      </c>
      <c r="AQ1935" s="4" t="s">
        <v>63</v>
      </c>
      <c r="AR1935" s="4" t="s">
        <v>63</v>
      </c>
      <c r="AS1935" s="4" t="s">
        <v>63</v>
      </c>
      <c r="AT1935" s="4" t="s">
        <v>63</v>
      </c>
      <c r="AU1935" s="4" t="s">
        <v>63</v>
      </c>
      <c r="AV1935" s="4" t="s">
        <v>63</v>
      </c>
      <c r="AW1935" s="4" t="s">
        <v>63</v>
      </c>
      <c r="AX1935" s="4" t="s">
        <v>63</v>
      </c>
      <c r="AY1935" s="4" t="s">
        <v>63</v>
      </c>
      <c r="AZ1935" s="4" t="s">
        <v>63</v>
      </c>
      <c r="BA1935" s="4" t="s">
        <v>63</v>
      </c>
      <c r="BB1935" s="4" t="s">
        <v>63</v>
      </c>
      <c r="BC1935" s="4" t="s">
        <v>63</v>
      </c>
      <c r="BD1935" s="4" t="s">
        <v>63</v>
      </c>
      <c r="BE1935" s="4" t="s">
        <v>63</v>
      </c>
      <c r="BF1935" s="4" t="s">
        <v>63</v>
      </c>
    </row>
    <row r="1936" spans="1:58">
      <c r="A1936" s="4" t="s">
        <v>58</v>
      </c>
      <c r="B1936" s="4" t="s">
        <v>16684</v>
      </c>
      <c r="C1936" s="4" t="s">
        <v>16685</v>
      </c>
      <c r="D1936" s="4" t="s">
        <v>1332</v>
      </c>
      <c r="E1936" s="4" t="s">
        <v>63</v>
      </c>
      <c r="F1936" s="4">
        <v>2018</v>
      </c>
      <c r="G1936" s="4">
        <v>1</v>
      </c>
      <c r="H1936" s="4">
        <v>62</v>
      </c>
      <c r="I1936" s="4">
        <v>2</v>
      </c>
      <c r="J1936" s="4" t="s">
        <v>16686</v>
      </c>
      <c r="K1936" s="4" t="s">
        <v>63</v>
      </c>
      <c r="L1936" s="4" t="s">
        <v>16687</v>
      </c>
      <c r="M1936" s="4" t="s">
        <v>16688</v>
      </c>
      <c r="N1936" s="4" t="s">
        <v>16689</v>
      </c>
      <c r="O1936" s="4" t="s">
        <v>63</v>
      </c>
      <c r="P1936" s="4"/>
      <c r="Q1936" s="4" t="s">
        <v>63</v>
      </c>
      <c r="R1936" s="4" t="s">
        <v>63</v>
      </c>
      <c r="S1936" s="4" t="s">
        <v>63</v>
      </c>
      <c r="T1936" s="4" t="s">
        <v>63</v>
      </c>
      <c r="U1936" s="4"/>
      <c r="V1936" s="4"/>
      <c r="W1936" s="4"/>
      <c r="X1936" s="4" t="s">
        <v>63</v>
      </c>
      <c r="Y1936" s="4" t="s">
        <v>1336</v>
      </c>
      <c r="Z1936" s="4" t="s">
        <v>63</v>
      </c>
      <c r="AA1936" s="4" t="s">
        <v>63</v>
      </c>
      <c r="AB1936" s="4" t="s">
        <v>63</v>
      </c>
      <c r="AC1936" s="4" t="s">
        <v>67</v>
      </c>
      <c r="AD1936" s="4" t="s">
        <v>63</v>
      </c>
      <c r="AE1936" s="4" t="s">
        <v>63</v>
      </c>
      <c r="AF1936" s="4" t="s">
        <v>63</v>
      </c>
      <c r="AG1936" s="4" t="s">
        <v>63</v>
      </c>
      <c r="AH1936" s="4" t="s">
        <v>63</v>
      </c>
      <c r="AI1936" s="4" t="s">
        <v>63</v>
      </c>
      <c r="AJ1936" s="4" t="s">
        <v>63</v>
      </c>
      <c r="AK1936" s="4" t="s">
        <v>63</v>
      </c>
      <c r="AL1936" s="4" t="s">
        <v>63</v>
      </c>
      <c r="AM1936" s="4" t="s">
        <v>16685</v>
      </c>
      <c r="AN1936" s="4" t="s">
        <v>63</v>
      </c>
      <c r="AO1936" s="4" t="s">
        <v>63</v>
      </c>
      <c r="AP1936" s="4" t="s">
        <v>63</v>
      </c>
      <c r="AQ1936" s="4" t="s">
        <v>63</v>
      </c>
      <c r="AR1936" s="4" t="s">
        <v>63</v>
      </c>
      <c r="AS1936" s="4" t="s">
        <v>63</v>
      </c>
      <c r="AT1936" s="4" t="s">
        <v>63</v>
      </c>
      <c r="AU1936" s="4" t="s">
        <v>63</v>
      </c>
      <c r="AV1936" s="4" t="s">
        <v>63</v>
      </c>
      <c r="AW1936" s="4" t="s">
        <v>63</v>
      </c>
      <c r="AX1936" s="4" t="s">
        <v>63</v>
      </c>
      <c r="AY1936" s="4" t="s">
        <v>63</v>
      </c>
      <c r="AZ1936" s="4" t="s">
        <v>63</v>
      </c>
      <c r="BA1936" s="4" t="s">
        <v>63</v>
      </c>
      <c r="BB1936" s="4" t="s">
        <v>63</v>
      </c>
      <c r="BC1936" s="4" t="s">
        <v>63</v>
      </c>
      <c r="BD1936" s="4" t="s">
        <v>63</v>
      </c>
      <c r="BE1936" s="4" t="s">
        <v>63</v>
      </c>
      <c r="BF1936" s="4" t="s">
        <v>63</v>
      </c>
    </row>
    <row r="1937" spans="1:58">
      <c r="A1937" s="4" t="s">
        <v>58</v>
      </c>
      <c r="B1937" s="4" t="s">
        <v>16690</v>
      </c>
      <c r="C1937" s="4" t="s">
        <v>16691</v>
      </c>
      <c r="D1937" s="4" t="s">
        <v>16692</v>
      </c>
      <c r="E1937" s="4" t="s">
        <v>63</v>
      </c>
      <c r="F1937" s="4">
        <v>1994</v>
      </c>
      <c r="G1937" s="4" t="s">
        <v>63</v>
      </c>
      <c r="H1937" s="4">
        <v>64</v>
      </c>
      <c r="I1937" s="4">
        <v>1</v>
      </c>
      <c r="J1937" s="4">
        <v>43</v>
      </c>
      <c r="K1937" s="4">
        <v>52</v>
      </c>
      <c r="L1937" s="4" t="s">
        <v>16693</v>
      </c>
      <c r="M1937" s="4" t="s">
        <v>16694</v>
      </c>
      <c r="N1937" s="4" t="s">
        <v>16695</v>
      </c>
      <c r="O1937" s="4" t="s">
        <v>63</v>
      </c>
      <c r="P1937" s="4"/>
      <c r="Q1937" s="4" t="s">
        <v>63</v>
      </c>
      <c r="R1937" s="4" t="s">
        <v>63</v>
      </c>
      <c r="S1937" s="4" t="s">
        <v>63</v>
      </c>
      <c r="T1937" s="4" t="s">
        <v>63</v>
      </c>
      <c r="U1937" s="4"/>
      <c r="V1937" s="4"/>
      <c r="W1937" s="4"/>
      <c r="X1937" s="4" t="s">
        <v>63</v>
      </c>
      <c r="Y1937" s="4" t="s">
        <v>16696</v>
      </c>
      <c r="Z1937" s="4" t="s">
        <v>63</v>
      </c>
      <c r="AA1937" s="4" t="s">
        <v>63</v>
      </c>
      <c r="AB1937" s="4" t="s">
        <v>16697</v>
      </c>
      <c r="AC1937" s="4" t="s">
        <v>67</v>
      </c>
      <c r="AD1937" s="4" t="s">
        <v>63</v>
      </c>
      <c r="AE1937" s="4" t="s">
        <v>63</v>
      </c>
      <c r="AF1937" s="4" t="s">
        <v>63</v>
      </c>
      <c r="AG1937" s="4" t="s">
        <v>63</v>
      </c>
      <c r="AH1937" s="4" t="s">
        <v>63</v>
      </c>
      <c r="AI1937" s="4" t="s">
        <v>63</v>
      </c>
      <c r="AJ1937" s="4" t="s">
        <v>63</v>
      </c>
      <c r="AK1937" s="4" t="s">
        <v>63</v>
      </c>
      <c r="AL1937" s="4" t="s">
        <v>63</v>
      </c>
      <c r="AM1937" s="4" t="s">
        <v>16691</v>
      </c>
      <c r="AN1937" s="4" t="s">
        <v>63</v>
      </c>
      <c r="AO1937" s="4" t="s">
        <v>63</v>
      </c>
      <c r="AP1937" s="4" t="s">
        <v>63</v>
      </c>
      <c r="AQ1937" s="4" t="s">
        <v>63</v>
      </c>
      <c r="AR1937" s="4" t="s">
        <v>63</v>
      </c>
      <c r="AS1937" s="4" t="s">
        <v>63</v>
      </c>
      <c r="AT1937" s="4" t="s">
        <v>63</v>
      </c>
      <c r="AU1937" s="4" t="s">
        <v>63</v>
      </c>
      <c r="AV1937" s="4" t="s">
        <v>63</v>
      </c>
      <c r="AW1937" s="4" t="s">
        <v>63</v>
      </c>
      <c r="AX1937" s="4" t="s">
        <v>63</v>
      </c>
      <c r="AY1937" s="4" t="s">
        <v>63</v>
      </c>
      <c r="AZ1937" s="4" t="s">
        <v>63</v>
      </c>
      <c r="BA1937" s="4" t="s">
        <v>63</v>
      </c>
      <c r="BB1937" s="4" t="s">
        <v>63</v>
      </c>
      <c r="BC1937" s="4" t="s">
        <v>63</v>
      </c>
      <c r="BD1937" s="4" t="s">
        <v>63</v>
      </c>
      <c r="BE1937" s="4" t="s">
        <v>63</v>
      </c>
      <c r="BF1937" s="4" t="s">
        <v>63</v>
      </c>
    </row>
    <row r="1938" spans="1:58">
      <c r="A1938" s="4" t="s">
        <v>58</v>
      </c>
      <c r="B1938" s="4" t="s">
        <v>16698</v>
      </c>
      <c r="C1938" s="4" t="s">
        <v>16699</v>
      </c>
      <c r="D1938" s="4" t="s">
        <v>1055</v>
      </c>
      <c r="E1938" s="4" t="s">
        <v>1056</v>
      </c>
      <c r="F1938" s="4">
        <v>1996</v>
      </c>
      <c r="G1938" s="4" t="s">
        <v>63</v>
      </c>
      <c r="H1938" s="4">
        <v>30</v>
      </c>
      <c r="I1938" s="4">
        <v>6</v>
      </c>
      <c r="J1938" s="4">
        <v>424</v>
      </c>
      <c r="K1938" s="4">
        <v>427</v>
      </c>
      <c r="L1938" s="4" t="s">
        <v>16700</v>
      </c>
      <c r="M1938" s="4" t="s">
        <v>16701</v>
      </c>
      <c r="N1938" s="4" t="s">
        <v>16702</v>
      </c>
      <c r="O1938" s="4" t="s">
        <v>63</v>
      </c>
      <c r="P1938" s="4"/>
      <c r="Q1938" s="4" t="s">
        <v>63</v>
      </c>
      <c r="R1938" s="4" t="s">
        <v>63</v>
      </c>
      <c r="S1938" s="4" t="s">
        <v>63</v>
      </c>
      <c r="T1938" s="4" t="s">
        <v>63</v>
      </c>
      <c r="U1938" s="4"/>
      <c r="V1938" s="4"/>
      <c r="W1938" s="4"/>
      <c r="X1938" s="4" t="s">
        <v>63</v>
      </c>
      <c r="Y1938" s="4" t="s">
        <v>1059</v>
      </c>
      <c r="Z1938" s="4" t="s">
        <v>63</v>
      </c>
      <c r="AA1938" s="4" t="s">
        <v>63</v>
      </c>
      <c r="AB1938" s="4">
        <v>1996360251</v>
      </c>
      <c r="AC1938" s="4" t="s">
        <v>67</v>
      </c>
      <c r="AD1938" s="4" t="s">
        <v>63</v>
      </c>
      <c r="AE1938" s="4" t="s">
        <v>63</v>
      </c>
      <c r="AF1938" s="4" t="s">
        <v>63</v>
      </c>
      <c r="AG1938" s="4" t="s">
        <v>16703</v>
      </c>
      <c r="AH1938" s="4" t="s">
        <v>63</v>
      </c>
      <c r="AI1938" s="4" t="s">
        <v>63</v>
      </c>
      <c r="AJ1938" s="4" t="s">
        <v>63</v>
      </c>
      <c r="AK1938" s="4" t="s">
        <v>63</v>
      </c>
      <c r="AL1938" s="4" t="s">
        <v>63</v>
      </c>
      <c r="AM1938" s="4" t="s">
        <v>16704</v>
      </c>
      <c r="AN1938" s="4" t="s">
        <v>63</v>
      </c>
      <c r="AO1938" s="4" t="s">
        <v>63</v>
      </c>
      <c r="AP1938" s="4" t="s">
        <v>63</v>
      </c>
      <c r="AQ1938" s="4" t="s">
        <v>63</v>
      </c>
      <c r="AR1938" s="4" t="s">
        <v>63</v>
      </c>
      <c r="AS1938" s="4" t="s">
        <v>63</v>
      </c>
      <c r="AT1938" s="4" t="s">
        <v>63</v>
      </c>
      <c r="AU1938" s="4" t="s">
        <v>63</v>
      </c>
      <c r="AV1938" s="4" t="s">
        <v>63</v>
      </c>
      <c r="AW1938" s="4" t="s">
        <v>63</v>
      </c>
      <c r="AX1938" s="4" t="s">
        <v>63</v>
      </c>
      <c r="AY1938" s="4" t="s">
        <v>63</v>
      </c>
      <c r="AZ1938" s="4" t="s">
        <v>63</v>
      </c>
      <c r="BA1938" s="4" t="s">
        <v>63</v>
      </c>
      <c r="BB1938" s="4" t="s">
        <v>63</v>
      </c>
      <c r="BC1938" s="4" t="s">
        <v>63</v>
      </c>
      <c r="BD1938" s="4" t="s">
        <v>63</v>
      </c>
      <c r="BE1938" s="4" t="s">
        <v>63</v>
      </c>
      <c r="BF1938" s="4" t="s">
        <v>63</v>
      </c>
    </row>
    <row r="1939" spans="1:58">
      <c r="A1939" s="4" t="s">
        <v>58</v>
      </c>
      <c r="B1939" s="4" t="s">
        <v>16705</v>
      </c>
      <c r="C1939" s="4" t="s">
        <v>16706</v>
      </c>
      <c r="D1939" s="4" t="s">
        <v>16707</v>
      </c>
      <c r="E1939" s="4" t="s">
        <v>63</v>
      </c>
      <c r="F1939" s="4">
        <v>2003</v>
      </c>
      <c r="G1939" s="4" t="s">
        <v>63</v>
      </c>
      <c r="H1939" s="4">
        <v>32</v>
      </c>
      <c r="I1939" s="4">
        <v>9</v>
      </c>
      <c r="J1939" s="4">
        <v>306</v>
      </c>
      <c r="K1939" s="4">
        <v>312</v>
      </c>
      <c r="L1939" s="4" t="s">
        <v>16708</v>
      </c>
      <c r="M1939" s="4" t="s">
        <v>16709</v>
      </c>
      <c r="N1939" s="4" t="s">
        <v>16710</v>
      </c>
      <c r="O1939" s="4" t="s">
        <v>63</v>
      </c>
      <c r="P1939" s="4"/>
      <c r="Q1939" s="4" t="s">
        <v>63</v>
      </c>
      <c r="R1939" s="4" t="s">
        <v>63</v>
      </c>
      <c r="S1939" s="4" t="s">
        <v>63</v>
      </c>
      <c r="T1939" s="4" t="s">
        <v>63</v>
      </c>
      <c r="U1939" s="4"/>
      <c r="V1939" s="4"/>
      <c r="W1939" s="4"/>
      <c r="X1939" s="4" t="s">
        <v>63</v>
      </c>
      <c r="Y1939" s="4" t="s">
        <v>16711</v>
      </c>
      <c r="Z1939" s="4" t="s">
        <v>63</v>
      </c>
      <c r="AA1939" s="4" t="s">
        <v>63</v>
      </c>
      <c r="AB1939" s="4" t="s">
        <v>16712</v>
      </c>
      <c r="AC1939" s="4" t="s">
        <v>102</v>
      </c>
      <c r="AD1939" s="4" t="s">
        <v>63</v>
      </c>
      <c r="AE1939" s="4" t="s">
        <v>63</v>
      </c>
      <c r="AF1939" s="4" t="s">
        <v>63</v>
      </c>
      <c r="AG1939" s="4" t="s">
        <v>63</v>
      </c>
      <c r="AH1939" s="4" t="s">
        <v>63</v>
      </c>
      <c r="AI1939" s="4" t="s">
        <v>16713</v>
      </c>
      <c r="AJ1939" s="4" t="s">
        <v>63</v>
      </c>
      <c r="AK1939" s="4" t="s">
        <v>63</v>
      </c>
      <c r="AL1939" s="4" t="s">
        <v>63</v>
      </c>
      <c r="AM1939" s="4" t="s">
        <v>16714</v>
      </c>
      <c r="AN1939" s="4" t="s">
        <v>63</v>
      </c>
      <c r="AO1939" s="4" t="s">
        <v>63</v>
      </c>
      <c r="AP1939" s="4" t="s">
        <v>63</v>
      </c>
      <c r="AQ1939" s="4" t="s">
        <v>63</v>
      </c>
      <c r="AR1939" s="4" t="s">
        <v>63</v>
      </c>
      <c r="AS1939" s="4" t="s">
        <v>63</v>
      </c>
      <c r="AT1939" s="4" t="s">
        <v>63</v>
      </c>
      <c r="AU1939" s="4" t="s">
        <v>63</v>
      </c>
      <c r="AV1939" s="4" t="s">
        <v>63</v>
      </c>
      <c r="AW1939" s="4" t="s">
        <v>63</v>
      </c>
      <c r="AX1939" s="4" t="s">
        <v>63</v>
      </c>
      <c r="AY1939" s="4" t="s">
        <v>63</v>
      </c>
      <c r="AZ1939" s="4" t="s">
        <v>63</v>
      </c>
      <c r="BA1939" s="4" t="s">
        <v>63</v>
      </c>
      <c r="BB1939" s="4" t="s">
        <v>63</v>
      </c>
      <c r="BC1939" s="4" t="s">
        <v>63</v>
      </c>
      <c r="BD1939" s="4" t="s">
        <v>63</v>
      </c>
      <c r="BE1939" s="4" t="s">
        <v>63</v>
      </c>
      <c r="BF1939" s="4" t="s">
        <v>63</v>
      </c>
    </row>
    <row r="1940" spans="1:58">
      <c r="A1940" s="4" t="s">
        <v>58</v>
      </c>
      <c r="B1940" s="4" t="s">
        <v>16715</v>
      </c>
      <c r="C1940" s="4" t="s">
        <v>16716</v>
      </c>
      <c r="D1940" s="4" t="s">
        <v>15263</v>
      </c>
      <c r="E1940" s="4" t="s">
        <v>15264</v>
      </c>
      <c r="F1940" s="4">
        <v>2017</v>
      </c>
      <c r="G1940" s="4">
        <v>1</v>
      </c>
      <c r="H1940" s="4">
        <v>171</v>
      </c>
      <c r="I1940" s="4" t="s">
        <v>63</v>
      </c>
      <c r="J1940" s="4" t="s">
        <v>16717</v>
      </c>
      <c r="K1940" s="4" t="s">
        <v>63</v>
      </c>
      <c r="L1940" s="4" t="s">
        <v>16718</v>
      </c>
      <c r="M1940" s="4" t="s">
        <v>16719</v>
      </c>
      <c r="N1940" s="4" t="s">
        <v>16720</v>
      </c>
      <c r="O1940" s="4" t="s">
        <v>63</v>
      </c>
      <c r="P1940" s="4"/>
      <c r="Q1940" s="4" t="s">
        <v>63</v>
      </c>
      <c r="R1940" s="4" t="s">
        <v>63</v>
      </c>
      <c r="S1940" s="4" t="s">
        <v>63</v>
      </c>
      <c r="T1940" s="4" t="s">
        <v>63</v>
      </c>
      <c r="U1940" s="4"/>
      <c r="V1940" s="4"/>
      <c r="W1940" s="4"/>
      <c r="X1940" s="4" t="s">
        <v>63</v>
      </c>
      <c r="Y1940" s="4" t="s">
        <v>4942</v>
      </c>
      <c r="Z1940" s="4" t="s">
        <v>63</v>
      </c>
      <c r="AA1940" s="4" t="s">
        <v>63</v>
      </c>
      <c r="AB1940" s="4" t="s">
        <v>63</v>
      </c>
      <c r="AC1940" s="4" t="s">
        <v>67</v>
      </c>
      <c r="AD1940" s="4" t="s">
        <v>63</v>
      </c>
      <c r="AE1940" s="4" t="s">
        <v>63</v>
      </c>
      <c r="AF1940" s="4" t="s">
        <v>63</v>
      </c>
      <c r="AG1940" s="4" t="s">
        <v>63</v>
      </c>
      <c r="AH1940" s="4" t="s">
        <v>63</v>
      </c>
      <c r="AI1940" s="4" t="s">
        <v>16721</v>
      </c>
      <c r="AJ1940" s="4" t="s">
        <v>63</v>
      </c>
      <c r="AK1940" s="4" t="s">
        <v>63</v>
      </c>
      <c r="AL1940" s="4" t="s">
        <v>63</v>
      </c>
      <c r="AM1940" s="4" t="s">
        <v>16716</v>
      </c>
      <c r="AN1940" s="4" t="s">
        <v>63</v>
      </c>
      <c r="AO1940" s="4" t="s">
        <v>63</v>
      </c>
      <c r="AP1940" s="4" t="s">
        <v>63</v>
      </c>
      <c r="AQ1940" s="4" t="s">
        <v>63</v>
      </c>
      <c r="AR1940" s="4" t="s">
        <v>63</v>
      </c>
      <c r="AS1940" s="4" t="s">
        <v>63</v>
      </c>
      <c r="AT1940" s="4" t="s">
        <v>63</v>
      </c>
      <c r="AU1940" s="4" t="s">
        <v>63</v>
      </c>
      <c r="AV1940" s="4" t="s">
        <v>63</v>
      </c>
      <c r="AW1940" s="4" t="s">
        <v>63</v>
      </c>
      <c r="AX1940" s="4" t="s">
        <v>63</v>
      </c>
      <c r="AY1940" s="4" t="s">
        <v>63</v>
      </c>
      <c r="AZ1940" s="4" t="s">
        <v>63</v>
      </c>
      <c r="BA1940" s="4" t="s">
        <v>63</v>
      </c>
      <c r="BB1940" s="4" t="s">
        <v>63</v>
      </c>
      <c r="BC1940" s="4" t="s">
        <v>63</v>
      </c>
      <c r="BD1940" s="4" t="s">
        <v>63</v>
      </c>
      <c r="BE1940" s="4" t="s">
        <v>63</v>
      </c>
      <c r="BF1940" s="4" t="s">
        <v>63</v>
      </c>
    </row>
    <row r="1941" spans="1:58">
      <c r="A1941" s="4" t="s">
        <v>58</v>
      </c>
      <c r="B1941" s="4" t="s">
        <v>16722</v>
      </c>
      <c r="C1941" s="4" t="s">
        <v>16723</v>
      </c>
      <c r="D1941" s="4" t="s">
        <v>2353</v>
      </c>
      <c r="E1941" s="4" t="s">
        <v>2354</v>
      </c>
      <c r="F1941" s="4">
        <v>1996</v>
      </c>
      <c r="G1941" s="4" t="s">
        <v>16724</v>
      </c>
      <c r="H1941" s="4">
        <v>13</v>
      </c>
      <c r="I1941" s="4">
        <v>2</v>
      </c>
      <c r="J1941" s="4">
        <v>141</v>
      </c>
      <c r="K1941" s="4">
        <v>144</v>
      </c>
      <c r="L1941" s="4" t="s">
        <v>16725</v>
      </c>
      <c r="M1941" s="4" t="s">
        <v>16726</v>
      </c>
      <c r="N1941" s="4" t="s">
        <v>16727</v>
      </c>
      <c r="O1941" s="4" t="s">
        <v>63</v>
      </c>
      <c r="P1941" s="4"/>
      <c r="Q1941" s="4" t="s">
        <v>63</v>
      </c>
      <c r="R1941" s="4" t="s">
        <v>63</v>
      </c>
      <c r="S1941" s="4" t="s">
        <v>63</v>
      </c>
      <c r="T1941" s="4" t="s">
        <v>63</v>
      </c>
      <c r="U1941" s="4"/>
      <c r="V1941" s="4"/>
      <c r="W1941" s="4"/>
      <c r="X1941" s="4" t="s">
        <v>63</v>
      </c>
      <c r="Y1941" s="4" t="s">
        <v>2358</v>
      </c>
      <c r="Z1941" s="4" t="s">
        <v>63</v>
      </c>
      <c r="AA1941" s="4" t="s">
        <v>63</v>
      </c>
      <c r="AB1941" s="4">
        <v>1996282058</v>
      </c>
      <c r="AC1941" s="4" t="s">
        <v>67</v>
      </c>
      <c r="AD1941" s="4" t="s">
        <v>63</v>
      </c>
      <c r="AE1941" s="4" t="s">
        <v>63</v>
      </c>
      <c r="AF1941" s="4" t="s">
        <v>63</v>
      </c>
      <c r="AG1941" s="4" t="s">
        <v>16728</v>
      </c>
      <c r="AH1941" s="4" t="s">
        <v>63</v>
      </c>
      <c r="AI1941" s="4" t="s">
        <v>16729</v>
      </c>
      <c r="AJ1941" s="4" t="s">
        <v>63</v>
      </c>
      <c r="AK1941" s="4" t="s">
        <v>63</v>
      </c>
      <c r="AL1941" s="4" t="s">
        <v>63</v>
      </c>
      <c r="AM1941" s="4" t="s">
        <v>16730</v>
      </c>
      <c r="AN1941" s="4" t="s">
        <v>63</v>
      </c>
      <c r="AO1941" s="4" t="s">
        <v>63</v>
      </c>
      <c r="AP1941" s="4" t="s">
        <v>63</v>
      </c>
      <c r="AQ1941" s="4" t="s">
        <v>63</v>
      </c>
      <c r="AR1941" s="4" t="s">
        <v>63</v>
      </c>
      <c r="AS1941" s="4" t="s">
        <v>63</v>
      </c>
      <c r="AT1941" s="4" t="s">
        <v>63</v>
      </c>
      <c r="AU1941" s="4" t="s">
        <v>63</v>
      </c>
      <c r="AV1941" s="4" t="s">
        <v>63</v>
      </c>
      <c r="AW1941" s="4" t="s">
        <v>63</v>
      </c>
      <c r="AX1941" s="4" t="s">
        <v>63</v>
      </c>
      <c r="AY1941" s="4" t="s">
        <v>63</v>
      </c>
      <c r="AZ1941" s="4" t="s">
        <v>63</v>
      </c>
      <c r="BA1941" s="4" t="s">
        <v>63</v>
      </c>
      <c r="BB1941" s="4" t="s">
        <v>63</v>
      </c>
      <c r="BC1941" s="4" t="s">
        <v>63</v>
      </c>
      <c r="BD1941" s="4" t="s">
        <v>63</v>
      </c>
      <c r="BE1941" s="4" t="s">
        <v>63</v>
      </c>
      <c r="BF1941" s="4" t="s">
        <v>63</v>
      </c>
    </row>
    <row r="1942" spans="1:58">
      <c r="A1942" s="4" t="s">
        <v>58</v>
      </c>
      <c r="B1942" s="4" t="s">
        <v>16731</v>
      </c>
      <c r="C1942" s="4" t="s">
        <v>16732</v>
      </c>
      <c r="D1942" s="4" t="s">
        <v>16733</v>
      </c>
      <c r="E1942" s="4" t="s">
        <v>16734</v>
      </c>
      <c r="F1942" s="4">
        <v>2014</v>
      </c>
      <c r="G1942" s="4" t="s">
        <v>15389</v>
      </c>
      <c r="H1942" s="4">
        <v>78</v>
      </c>
      <c r="I1942" s="4">
        <v>3</v>
      </c>
      <c r="J1942" s="4">
        <v>407</v>
      </c>
      <c r="K1942" s="4">
        <v>409</v>
      </c>
      <c r="L1942" s="4" t="s">
        <v>16735</v>
      </c>
      <c r="M1942" s="4" t="s">
        <v>16736</v>
      </c>
      <c r="N1942" s="4" t="s">
        <v>16737</v>
      </c>
      <c r="O1942" s="4" t="s">
        <v>63</v>
      </c>
      <c r="P1942" s="4"/>
      <c r="Q1942" s="4" t="s">
        <v>63</v>
      </c>
      <c r="R1942" s="4" t="s">
        <v>63</v>
      </c>
      <c r="S1942" s="4" t="s">
        <v>63</v>
      </c>
      <c r="T1942" s="4" t="s">
        <v>63</v>
      </c>
      <c r="U1942" s="4"/>
      <c r="V1942" s="4"/>
      <c r="W1942" s="4"/>
      <c r="X1942" s="4" t="s">
        <v>63</v>
      </c>
      <c r="Y1942" s="4" t="s">
        <v>16738</v>
      </c>
      <c r="Z1942" s="4" t="s">
        <v>63</v>
      </c>
      <c r="AA1942" s="4" t="s">
        <v>63</v>
      </c>
      <c r="AB1942" s="4">
        <v>2014102601</v>
      </c>
      <c r="AC1942" s="4" t="s">
        <v>67</v>
      </c>
      <c r="AD1942" s="4" t="s">
        <v>63</v>
      </c>
      <c r="AE1942" s="4" t="s">
        <v>63</v>
      </c>
      <c r="AF1942" s="4" t="s">
        <v>63</v>
      </c>
      <c r="AG1942" s="4" t="s">
        <v>16739</v>
      </c>
      <c r="AH1942" s="4" t="s">
        <v>63</v>
      </c>
      <c r="AI1942" s="4" t="s">
        <v>16740</v>
      </c>
      <c r="AJ1942" s="4" t="s">
        <v>63</v>
      </c>
      <c r="AK1942" s="4" t="s">
        <v>63</v>
      </c>
      <c r="AL1942" s="4" t="s">
        <v>63</v>
      </c>
      <c r="AM1942" s="4" t="s">
        <v>16741</v>
      </c>
      <c r="AN1942" s="4" t="s">
        <v>63</v>
      </c>
      <c r="AO1942" s="4" t="s">
        <v>63</v>
      </c>
      <c r="AP1942" s="4" t="s">
        <v>63</v>
      </c>
      <c r="AQ1942" s="4" t="s">
        <v>63</v>
      </c>
      <c r="AR1942" s="4" t="s">
        <v>63</v>
      </c>
      <c r="AS1942" s="4" t="s">
        <v>63</v>
      </c>
      <c r="AT1942" s="4" t="s">
        <v>63</v>
      </c>
      <c r="AU1942" s="4" t="s">
        <v>63</v>
      </c>
      <c r="AV1942" s="4" t="s">
        <v>63</v>
      </c>
      <c r="AW1942" s="4" t="s">
        <v>63</v>
      </c>
      <c r="AX1942" s="4" t="s">
        <v>63</v>
      </c>
      <c r="AY1942" s="4" t="s">
        <v>63</v>
      </c>
      <c r="AZ1942" s="4" t="s">
        <v>63</v>
      </c>
      <c r="BA1942" s="4" t="s">
        <v>63</v>
      </c>
      <c r="BB1942" s="4" t="s">
        <v>63</v>
      </c>
      <c r="BC1942" s="4" t="s">
        <v>63</v>
      </c>
      <c r="BD1942" s="4" t="s">
        <v>63</v>
      </c>
      <c r="BE1942" s="4" t="s">
        <v>63</v>
      </c>
      <c r="BF1942" s="4" t="s">
        <v>63</v>
      </c>
    </row>
    <row r="1943" spans="1:58">
      <c r="A1943" s="4" t="s">
        <v>58</v>
      </c>
      <c r="B1943" s="4" t="s">
        <v>16742</v>
      </c>
      <c r="C1943" s="4" t="s">
        <v>16743</v>
      </c>
      <c r="D1943" s="4" t="s">
        <v>2353</v>
      </c>
      <c r="E1943" s="4" t="s">
        <v>2354</v>
      </c>
      <c r="F1943" s="4">
        <v>2018</v>
      </c>
      <c r="G1943" s="4">
        <v>1</v>
      </c>
      <c r="H1943" s="4">
        <v>86</v>
      </c>
      <c r="I1943" s="4" t="s">
        <v>63</v>
      </c>
      <c r="J1943" s="4">
        <v>78</v>
      </c>
      <c r="K1943" s="4">
        <v>85</v>
      </c>
      <c r="L1943" s="4" t="s">
        <v>16744</v>
      </c>
      <c r="M1943" s="4" t="s">
        <v>16745</v>
      </c>
      <c r="N1943" s="4" t="s">
        <v>16746</v>
      </c>
      <c r="O1943" s="4" t="s">
        <v>63</v>
      </c>
      <c r="P1943" s="4"/>
      <c r="Q1943" s="4" t="s">
        <v>63</v>
      </c>
      <c r="R1943" s="4" t="s">
        <v>63</v>
      </c>
      <c r="S1943" s="4" t="s">
        <v>63</v>
      </c>
      <c r="T1943" s="4" t="s">
        <v>63</v>
      </c>
      <c r="U1943" s="4"/>
      <c r="V1943" s="4"/>
      <c r="W1943" s="4"/>
      <c r="X1943" s="4" t="s">
        <v>63</v>
      </c>
      <c r="Y1943" s="4" t="s">
        <v>16747</v>
      </c>
      <c r="Z1943" s="4" t="s">
        <v>63</v>
      </c>
      <c r="AA1943" s="4" t="s">
        <v>63</v>
      </c>
      <c r="AB1943" s="4" t="s">
        <v>16748</v>
      </c>
      <c r="AC1943" s="4" t="s">
        <v>67</v>
      </c>
      <c r="AD1943" s="4" t="s">
        <v>63</v>
      </c>
      <c r="AE1943" s="4" t="s">
        <v>63</v>
      </c>
      <c r="AF1943" s="4" t="s">
        <v>63</v>
      </c>
      <c r="AG1943" s="4" t="s">
        <v>63</v>
      </c>
      <c r="AH1943" s="4" t="s">
        <v>63</v>
      </c>
      <c r="AI1943" s="4" t="s">
        <v>16749</v>
      </c>
      <c r="AJ1943" s="4" t="s">
        <v>63</v>
      </c>
      <c r="AK1943" s="4" t="s">
        <v>63</v>
      </c>
      <c r="AL1943" s="4" t="s">
        <v>63</v>
      </c>
      <c r="AM1943" s="4" t="s">
        <v>16743</v>
      </c>
      <c r="AN1943" s="4" t="s">
        <v>63</v>
      </c>
      <c r="AO1943" s="4" t="s">
        <v>63</v>
      </c>
      <c r="AP1943" s="4" t="s">
        <v>63</v>
      </c>
      <c r="AQ1943" s="4" t="s">
        <v>63</v>
      </c>
      <c r="AR1943" s="4" t="s">
        <v>63</v>
      </c>
      <c r="AS1943" s="4" t="s">
        <v>63</v>
      </c>
      <c r="AT1943" s="4" t="s">
        <v>63</v>
      </c>
      <c r="AU1943" s="4" t="s">
        <v>63</v>
      </c>
      <c r="AV1943" s="4" t="s">
        <v>63</v>
      </c>
      <c r="AW1943" s="4" t="s">
        <v>63</v>
      </c>
      <c r="AX1943" s="4" t="s">
        <v>63</v>
      </c>
      <c r="AY1943" s="4" t="s">
        <v>63</v>
      </c>
      <c r="AZ1943" s="4" t="s">
        <v>63</v>
      </c>
      <c r="BA1943" s="4" t="s">
        <v>63</v>
      </c>
      <c r="BB1943" s="4" t="s">
        <v>63</v>
      </c>
      <c r="BC1943" s="4" t="s">
        <v>63</v>
      </c>
      <c r="BD1943" s="4" t="s">
        <v>63</v>
      </c>
      <c r="BE1943" s="4" t="s">
        <v>63</v>
      </c>
      <c r="BF1943" s="4" t="s">
        <v>63</v>
      </c>
    </row>
    <row r="1944" spans="1:58">
      <c r="A1944" s="4" t="s">
        <v>58</v>
      </c>
      <c r="B1944" s="4" t="s">
        <v>16750</v>
      </c>
      <c r="C1944" s="4" t="s">
        <v>16751</v>
      </c>
      <c r="D1944" s="4" t="s">
        <v>16752</v>
      </c>
      <c r="E1944" s="4" t="s">
        <v>63</v>
      </c>
      <c r="F1944" s="4" t="s">
        <v>63</v>
      </c>
      <c r="G1944" s="4" t="s">
        <v>63</v>
      </c>
      <c r="H1944" s="4" t="s">
        <v>63</v>
      </c>
      <c r="I1944" s="4" t="s">
        <v>63</v>
      </c>
      <c r="J1944" s="4" t="s">
        <v>63</v>
      </c>
      <c r="K1944" s="4" t="s">
        <v>63</v>
      </c>
      <c r="L1944" s="4" t="s">
        <v>16753</v>
      </c>
      <c r="M1944" s="4" t="s">
        <v>16754</v>
      </c>
      <c r="N1944" s="4" t="s">
        <v>16755</v>
      </c>
      <c r="O1944" s="4" t="s">
        <v>63</v>
      </c>
      <c r="P1944" s="4"/>
      <c r="Q1944" s="4" t="s">
        <v>63</v>
      </c>
      <c r="R1944" s="4" t="s">
        <v>63</v>
      </c>
      <c r="S1944" s="4" t="s">
        <v>63</v>
      </c>
      <c r="T1944" s="4" t="s">
        <v>63</v>
      </c>
      <c r="U1944" s="4"/>
      <c r="V1944" s="4"/>
      <c r="W1944" s="4"/>
      <c r="X1944" s="4" t="s">
        <v>63</v>
      </c>
      <c r="Y1944" s="4" t="s">
        <v>63</v>
      </c>
      <c r="Z1944" s="4" t="s">
        <v>63</v>
      </c>
      <c r="AA1944" s="4" t="s">
        <v>63</v>
      </c>
      <c r="AB1944" s="4" t="s">
        <v>16756</v>
      </c>
      <c r="AC1944" s="4" t="s">
        <v>4823</v>
      </c>
      <c r="AD1944" s="4" t="s">
        <v>63</v>
      </c>
      <c r="AE1944" s="4" t="s">
        <v>63</v>
      </c>
      <c r="AF1944" s="4" t="s">
        <v>63</v>
      </c>
      <c r="AG1944" s="4" t="s">
        <v>63</v>
      </c>
      <c r="AH1944" s="4" t="s">
        <v>63</v>
      </c>
      <c r="AI1944" s="4" t="s">
        <v>63</v>
      </c>
      <c r="AJ1944" s="4" t="s">
        <v>63</v>
      </c>
      <c r="AK1944" s="4" t="s">
        <v>63</v>
      </c>
      <c r="AL1944" s="4" t="s">
        <v>63</v>
      </c>
      <c r="AM1944" s="4" t="s">
        <v>16751</v>
      </c>
      <c r="AN1944" s="4" t="s">
        <v>63</v>
      </c>
      <c r="AO1944" s="4" t="s">
        <v>63</v>
      </c>
      <c r="AP1944" s="4" t="s">
        <v>63</v>
      </c>
      <c r="AQ1944" s="4" t="s">
        <v>63</v>
      </c>
      <c r="AR1944" s="4" t="s">
        <v>63</v>
      </c>
      <c r="AS1944" s="4" t="s">
        <v>63</v>
      </c>
      <c r="AT1944" s="4" t="s">
        <v>63</v>
      </c>
      <c r="AU1944" s="4" t="s">
        <v>63</v>
      </c>
      <c r="AV1944" s="4" t="s">
        <v>63</v>
      </c>
      <c r="AW1944" s="4" t="s">
        <v>63</v>
      </c>
      <c r="AX1944" s="4" t="s">
        <v>63</v>
      </c>
      <c r="AY1944" s="4" t="s">
        <v>63</v>
      </c>
      <c r="AZ1944" s="4" t="s">
        <v>63</v>
      </c>
      <c r="BA1944" s="4" t="s">
        <v>63</v>
      </c>
      <c r="BB1944" s="4" t="s">
        <v>63</v>
      </c>
      <c r="BC1944" s="4" t="s">
        <v>63</v>
      </c>
      <c r="BD1944" s="4" t="s">
        <v>63</v>
      </c>
      <c r="BE1944" s="4" t="s">
        <v>63</v>
      </c>
      <c r="BF1944" s="4" t="s">
        <v>63</v>
      </c>
    </row>
    <row r="1945" spans="1:58">
      <c r="A1945" s="4" t="s">
        <v>58</v>
      </c>
      <c r="B1945" s="4" t="s">
        <v>16757</v>
      </c>
      <c r="C1945" s="4" t="s">
        <v>16758</v>
      </c>
      <c r="D1945" s="4" t="s">
        <v>16759</v>
      </c>
      <c r="E1945" s="4" t="s">
        <v>63</v>
      </c>
      <c r="F1945" s="4" t="s">
        <v>63</v>
      </c>
      <c r="G1945" s="4" t="s">
        <v>63</v>
      </c>
      <c r="H1945" s="4" t="s">
        <v>63</v>
      </c>
      <c r="I1945" s="4" t="s">
        <v>63</v>
      </c>
      <c r="J1945" s="4" t="s">
        <v>63</v>
      </c>
      <c r="K1945" s="4" t="s">
        <v>63</v>
      </c>
      <c r="L1945" s="4" t="s">
        <v>16760</v>
      </c>
      <c r="M1945" s="4" t="s">
        <v>16761</v>
      </c>
      <c r="N1945" s="4" t="s">
        <v>16762</v>
      </c>
      <c r="O1945" s="4" t="s">
        <v>63</v>
      </c>
      <c r="P1945" s="4"/>
      <c r="Q1945" s="4" t="s">
        <v>63</v>
      </c>
      <c r="R1945" s="4" t="s">
        <v>63</v>
      </c>
      <c r="S1945" s="4" t="s">
        <v>63</v>
      </c>
      <c r="T1945" s="4" t="s">
        <v>63</v>
      </c>
      <c r="U1945" s="4"/>
      <c r="V1945" s="4"/>
      <c r="W1945" s="4"/>
      <c r="X1945" s="4" t="s">
        <v>63</v>
      </c>
      <c r="Y1945" s="4" t="s">
        <v>16763</v>
      </c>
      <c r="Z1945" s="4" t="s">
        <v>63</v>
      </c>
      <c r="AA1945" s="4" t="s">
        <v>63</v>
      </c>
      <c r="AB1945" s="4" t="s">
        <v>16764</v>
      </c>
      <c r="AC1945" s="4" t="s">
        <v>67</v>
      </c>
      <c r="AD1945" s="4" t="s">
        <v>63</v>
      </c>
      <c r="AE1945" s="4" t="s">
        <v>63</v>
      </c>
      <c r="AF1945" s="4" t="s">
        <v>63</v>
      </c>
      <c r="AG1945" s="4" t="s">
        <v>63</v>
      </c>
      <c r="AH1945" s="4" t="s">
        <v>63</v>
      </c>
      <c r="AI1945" s="4" t="s">
        <v>16765</v>
      </c>
      <c r="AJ1945" s="4" t="s">
        <v>63</v>
      </c>
      <c r="AK1945" s="4" t="s">
        <v>63</v>
      </c>
      <c r="AL1945" s="4" t="s">
        <v>63</v>
      </c>
      <c r="AM1945" s="4" t="s">
        <v>16758</v>
      </c>
      <c r="AN1945" s="4" t="s">
        <v>63</v>
      </c>
      <c r="AO1945" s="4" t="s">
        <v>63</v>
      </c>
      <c r="AP1945" s="4" t="s">
        <v>63</v>
      </c>
      <c r="AQ1945" s="4" t="s">
        <v>63</v>
      </c>
      <c r="AR1945" s="4" t="s">
        <v>63</v>
      </c>
      <c r="AS1945" s="4" t="s">
        <v>63</v>
      </c>
      <c r="AT1945" s="4" t="s">
        <v>63</v>
      </c>
      <c r="AU1945" s="4" t="s">
        <v>63</v>
      </c>
      <c r="AV1945" s="4" t="s">
        <v>63</v>
      </c>
      <c r="AW1945" s="4" t="s">
        <v>63</v>
      </c>
      <c r="AX1945" s="4" t="s">
        <v>63</v>
      </c>
      <c r="AY1945" s="4" t="s">
        <v>63</v>
      </c>
      <c r="AZ1945" s="4" t="s">
        <v>63</v>
      </c>
      <c r="BA1945" s="4" t="s">
        <v>63</v>
      </c>
      <c r="BB1945" s="4" t="s">
        <v>63</v>
      </c>
      <c r="BC1945" s="4" t="s">
        <v>63</v>
      </c>
      <c r="BD1945" s="4" t="s">
        <v>63</v>
      </c>
      <c r="BE1945" s="4" t="s">
        <v>63</v>
      </c>
      <c r="BF1945" s="4" t="s">
        <v>63</v>
      </c>
    </row>
    <row r="1946" spans="1:58">
      <c r="A1946" s="4" t="s">
        <v>58</v>
      </c>
      <c r="B1946" s="4" t="s">
        <v>16766</v>
      </c>
      <c r="C1946" s="4" t="s">
        <v>16767</v>
      </c>
      <c r="D1946" s="4" t="s">
        <v>15672</v>
      </c>
      <c r="E1946" s="4" t="s">
        <v>15672</v>
      </c>
      <c r="F1946" s="4">
        <v>2016</v>
      </c>
      <c r="G1946" s="4" t="s">
        <v>15165</v>
      </c>
      <c r="H1946" s="4">
        <v>150</v>
      </c>
      <c r="I1946" s="4">
        <v>4</v>
      </c>
      <c r="J1946" s="4" t="s">
        <v>16768</v>
      </c>
      <c r="K1946" s="4" t="s">
        <v>16769</v>
      </c>
      <c r="L1946" s="4" t="s">
        <v>16770</v>
      </c>
      <c r="M1946" s="4" t="s">
        <v>16771</v>
      </c>
      <c r="N1946" s="4" t="s">
        <v>16772</v>
      </c>
      <c r="O1946" s="4" t="s">
        <v>63</v>
      </c>
      <c r="P1946" s="4"/>
      <c r="Q1946" s="4" t="s">
        <v>63</v>
      </c>
      <c r="R1946" s="4" t="s">
        <v>63</v>
      </c>
      <c r="S1946" s="4" t="s">
        <v>63</v>
      </c>
      <c r="T1946" s="4" t="s">
        <v>63</v>
      </c>
      <c r="U1946" s="4"/>
      <c r="V1946" s="4"/>
      <c r="W1946" s="4"/>
      <c r="X1946" s="4" t="s">
        <v>63</v>
      </c>
      <c r="Y1946" s="4" t="s">
        <v>15677</v>
      </c>
      <c r="Z1946" s="4" t="s">
        <v>63</v>
      </c>
      <c r="AA1946" s="4" t="s">
        <v>63</v>
      </c>
      <c r="AB1946" s="4" t="s">
        <v>63</v>
      </c>
      <c r="AC1946" s="4" t="s">
        <v>67</v>
      </c>
      <c r="AD1946" s="4" t="s">
        <v>63</v>
      </c>
      <c r="AE1946" s="4" t="s">
        <v>63</v>
      </c>
      <c r="AF1946" s="4" t="s">
        <v>63</v>
      </c>
      <c r="AG1946" s="4" t="s">
        <v>63</v>
      </c>
      <c r="AH1946" s="4" t="s">
        <v>63</v>
      </c>
      <c r="AI1946" s="4" t="s">
        <v>63</v>
      </c>
      <c r="AJ1946" s="4" t="s">
        <v>63</v>
      </c>
      <c r="AK1946" s="4" t="s">
        <v>63</v>
      </c>
      <c r="AL1946" s="4" t="s">
        <v>63</v>
      </c>
      <c r="AM1946" s="4" t="s">
        <v>16767</v>
      </c>
      <c r="AN1946" s="4" t="s">
        <v>63</v>
      </c>
      <c r="AO1946" s="4" t="s">
        <v>63</v>
      </c>
      <c r="AP1946" s="4" t="s">
        <v>63</v>
      </c>
      <c r="AQ1946" s="4" t="s">
        <v>63</v>
      </c>
      <c r="AR1946" s="4" t="s">
        <v>63</v>
      </c>
      <c r="AS1946" s="4" t="s">
        <v>63</v>
      </c>
      <c r="AT1946" s="4" t="s">
        <v>63</v>
      </c>
      <c r="AU1946" s="4" t="s">
        <v>63</v>
      </c>
      <c r="AV1946" s="4" t="s">
        <v>63</v>
      </c>
      <c r="AW1946" s="4" t="s">
        <v>63</v>
      </c>
      <c r="AX1946" s="4" t="s">
        <v>63</v>
      </c>
      <c r="AY1946" s="4" t="s">
        <v>63</v>
      </c>
      <c r="AZ1946" s="4" t="s">
        <v>63</v>
      </c>
      <c r="BA1946" s="4" t="s">
        <v>63</v>
      </c>
      <c r="BB1946" s="4" t="s">
        <v>63</v>
      </c>
      <c r="BC1946" s="4" t="s">
        <v>63</v>
      </c>
      <c r="BD1946" s="4" t="s">
        <v>63</v>
      </c>
      <c r="BE1946" s="4" t="s">
        <v>63</v>
      </c>
      <c r="BF1946" s="4" t="s">
        <v>63</v>
      </c>
    </row>
    <row r="1947" spans="1:58">
      <c r="A1947" s="4" t="s">
        <v>58</v>
      </c>
      <c r="B1947" s="4" t="s">
        <v>16773</v>
      </c>
      <c r="C1947" s="4" t="s">
        <v>16774</v>
      </c>
      <c r="D1947" s="4" t="s">
        <v>4734</v>
      </c>
      <c r="E1947" s="4" t="s">
        <v>4735</v>
      </c>
      <c r="F1947" s="4">
        <v>2000</v>
      </c>
      <c r="G1947" s="4">
        <v>20</v>
      </c>
      <c r="H1947" s="4">
        <v>162</v>
      </c>
      <c r="I1947" s="4">
        <v>12</v>
      </c>
      <c r="J1947" s="4">
        <v>1752</v>
      </c>
      <c r="K1947" s="4">
        <v>1753</v>
      </c>
      <c r="L1947" s="4" t="s">
        <v>16775</v>
      </c>
      <c r="M1947" s="4" t="s">
        <v>63</v>
      </c>
      <c r="N1947" s="4" t="s">
        <v>16776</v>
      </c>
      <c r="O1947" s="4" t="s">
        <v>63</v>
      </c>
      <c r="P1947" s="4"/>
      <c r="Q1947" s="4" t="s">
        <v>63</v>
      </c>
      <c r="R1947" s="4" t="s">
        <v>63</v>
      </c>
      <c r="S1947" s="4" t="s">
        <v>63</v>
      </c>
      <c r="T1947" s="4" t="s">
        <v>63</v>
      </c>
      <c r="U1947" s="4"/>
      <c r="V1947" s="4"/>
      <c r="W1947" s="4"/>
      <c r="X1947" s="4" t="s">
        <v>63</v>
      </c>
      <c r="Y1947" s="4" t="s">
        <v>4739</v>
      </c>
      <c r="Z1947" s="4" t="s">
        <v>63</v>
      </c>
      <c r="AA1947" s="4" t="s">
        <v>63</v>
      </c>
      <c r="AB1947" s="4" t="s">
        <v>63</v>
      </c>
      <c r="AC1947" s="4" t="s">
        <v>4741</v>
      </c>
      <c r="AD1947" s="4" t="s">
        <v>63</v>
      </c>
      <c r="AE1947" s="4" t="s">
        <v>63</v>
      </c>
      <c r="AF1947" s="4" t="s">
        <v>63</v>
      </c>
      <c r="AG1947" s="4" t="s">
        <v>16777</v>
      </c>
      <c r="AH1947" s="4" t="s">
        <v>63</v>
      </c>
      <c r="AI1947" s="4" t="s">
        <v>63</v>
      </c>
      <c r="AJ1947" s="4" t="s">
        <v>63</v>
      </c>
      <c r="AK1947" s="4" t="s">
        <v>63</v>
      </c>
      <c r="AL1947" s="4" t="s">
        <v>63</v>
      </c>
      <c r="AM1947" s="4" t="s">
        <v>16778</v>
      </c>
      <c r="AN1947" s="4" t="s">
        <v>63</v>
      </c>
      <c r="AO1947" s="4" t="s">
        <v>63</v>
      </c>
      <c r="AP1947" s="4" t="s">
        <v>63</v>
      </c>
      <c r="AQ1947" s="4" t="s">
        <v>63</v>
      </c>
      <c r="AR1947" s="4" t="s">
        <v>63</v>
      </c>
      <c r="AS1947" s="4" t="s">
        <v>63</v>
      </c>
      <c r="AT1947" s="4" t="s">
        <v>63</v>
      </c>
      <c r="AU1947" s="4" t="s">
        <v>63</v>
      </c>
      <c r="AV1947" s="4" t="s">
        <v>63</v>
      </c>
      <c r="AW1947" s="4" t="s">
        <v>63</v>
      </c>
      <c r="AX1947" s="4" t="s">
        <v>63</v>
      </c>
      <c r="AY1947" s="4" t="s">
        <v>63</v>
      </c>
      <c r="AZ1947" s="4" t="s">
        <v>63</v>
      </c>
      <c r="BA1947" s="4" t="s">
        <v>63</v>
      </c>
      <c r="BB1947" s="4" t="s">
        <v>63</v>
      </c>
      <c r="BC1947" s="4" t="s">
        <v>63</v>
      </c>
      <c r="BD1947" s="4" t="s">
        <v>63</v>
      </c>
      <c r="BE1947" s="4" t="s">
        <v>63</v>
      </c>
      <c r="BF1947" s="4" t="s">
        <v>63</v>
      </c>
    </row>
    <row r="1948" spans="1:58">
      <c r="A1948" s="4" t="s">
        <v>58</v>
      </c>
      <c r="B1948" s="4" t="s">
        <v>16779</v>
      </c>
      <c r="C1948" s="4" t="s">
        <v>16780</v>
      </c>
      <c r="D1948" s="4" t="s">
        <v>3576</v>
      </c>
      <c r="E1948" s="4" t="s">
        <v>63</v>
      </c>
      <c r="F1948" s="4">
        <v>2015</v>
      </c>
      <c r="G1948" s="4">
        <v>1</v>
      </c>
      <c r="H1948" s="4">
        <v>29</v>
      </c>
      <c r="I1948" s="4">
        <v>3</v>
      </c>
      <c r="J1948" s="4">
        <v>613</v>
      </c>
      <c r="K1948" s="4">
        <v>619</v>
      </c>
      <c r="L1948" s="4" t="s">
        <v>16781</v>
      </c>
      <c r="M1948" s="4" t="s">
        <v>16782</v>
      </c>
      <c r="N1948" s="4" t="s">
        <v>16783</v>
      </c>
      <c r="O1948" s="4" t="s">
        <v>63</v>
      </c>
      <c r="P1948" s="4"/>
      <c r="Q1948" s="4" t="s">
        <v>63</v>
      </c>
      <c r="R1948" s="4" t="s">
        <v>63</v>
      </c>
      <c r="S1948" s="4" t="s">
        <v>63</v>
      </c>
      <c r="T1948" s="4" t="s">
        <v>63</v>
      </c>
      <c r="U1948" s="4"/>
      <c r="V1948" s="4"/>
      <c r="W1948" s="4"/>
      <c r="X1948" s="4" t="s">
        <v>63</v>
      </c>
      <c r="Y1948" s="4" t="s">
        <v>16784</v>
      </c>
      <c r="Z1948" s="4" t="s">
        <v>63</v>
      </c>
      <c r="AA1948" s="4" t="s">
        <v>63</v>
      </c>
      <c r="AB1948" s="4">
        <v>2015414458</v>
      </c>
      <c r="AC1948" s="4" t="s">
        <v>67</v>
      </c>
      <c r="AD1948" s="4" t="s">
        <v>63</v>
      </c>
      <c r="AE1948" s="4" t="s">
        <v>63</v>
      </c>
      <c r="AF1948" s="4" t="s">
        <v>63</v>
      </c>
      <c r="AG1948" s="4" t="s">
        <v>16785</v>
      </c>
      <c r="AH1948" s="4" t="s">
        <v>63</v>
      </c>
      <c r="AI1948" s="4" t="s">
        <v>16786</v>
      </c>
      <c r="AJ1948" s="4" t="s">
        <v>63</v>
      </c>
      <c r="AK1948" s="4" t="s">
        <v>63</v>
      </c>
      <c r="AL1948" s="4" t="s">
        <v>63</v>
      </c>
      <c r="AM1948" s="4" t="s">
        <v>16787</v>
      </c>
      <c r="AN1948" s="4" t="s">
        <v>63</v>
      </c>
      <c r="AO1948" s="4" t="s">
        <v>63</v>
      </c>
      <c r="AP1948" s="4" t="s">
        <v>63</v>
      </c>
      <c r="AQ1948" s="4" t="s">
        <v>63</v>
      </c>
      <c r="AR1948" s="4" t="s">
        <v>63</v>
      </c>
      <c r="AS1948" s="4" t="s">
        <v>63</v>
      </c>
      <c r="AT1948" s="4" t="s">
        <v>63</v>
      </c>
      <c r="AU1948" s="4" t="s">
        <v>63</v>
      </c>
      <c r="AV1948" s="4" t="s">
        <v>63</v>
      </c>
      <c r="AW1948" s="4" t="s">
        <v>63</v>
      </c>
      <c r="AX1948" s="4" t="s">
        <v>63</v>
      </c>
      <c r="AY1948" s="4" t="s">
        <v>63</v>
      </c>
      <c r="AZ1948" s="4" t="s">
        <v>63</v>
      </c>
      <c r="BA1948" s="4" t="s">
        <v>63</v>
      </c>
      <c r="BB1948" s="4" t="s">
        <v>63</v>
      </c>
      <c r="BC1948" s="4" t="s">
        <v>63</v>
      </c>
      <c r="BD1948" s="4" t="s">
        <v>63</v>
      </c>
      <c r="BE1948" s="4" t="s">
        <v>63</v>
      </c>
      <c r="BF1948" s="4" t="s">
        <v>63</v>
      </c>
    </row>
    <row r="1949" spans="1:58">
      <c r="A1949" s="4" t="s">
        <v>58</v>
      </c>
      <c r="B1949" s="4" t="s">
        <v>16788</v>
      </c>
      <c r="C1949" s="4" t="s">
        <v>16789</v>
      </c>
      <c r="D1949" s="4" t="s">
        <v>16790</v>
      </c>
      <c r="E1949" s="4" t="s">
        <v>63</v>
      </c>
      <c r="F1949" s="4">
        <v>2001</v>
      </c>
      <c r="G1949" s="4" t="s">
        <v>63</v>
      </c>
      <c r="H1949" s="4">
        <v>2</v>
      </c>
      <c r="I1949" s="4">
        <v>8</v>
      </c>
      <c r="J1949" s="4">
        <v>529</v>
      </c>
      <c r="K1949" s="4">
        <v>531</v>
      </c>
      <c r="L1949" s="4" t="s">
        <v>16791</v>
      </c>
      <c r="M1949" s="4" t="s">
        <v>63</v>
      </c>
      <c r="N1949" s="4" t="s">
        <v>16792</v>
      </c>
      <c r="O1949" s="4" t="s">
        <v>63</v>
      </c>
      <c r="P1949" s="4"/>
      <c r="Q1949" s="4" t="s">
        <v>63</v>
      </c>
      <c r="R1949" s="4" t="s">
        <v>63</v>
      </c>
      <c r="S1949" s="4" t="s">
        <v>63</v>
      </c>
      <c r="T1949" s="4" t="s">
        <v>63</v>
      </c>
      <c r="U1949" s="4"/>
      <c r="V1949" s="4"/>
      <c r="W1949" s="4"/>
      <c r="X1949" s="4" t="s">
        <v>63</v>
      </c>
      <c r="Y1949" s="4" t="s">
        <v>16793</v>
      </c>
      <c r="Z1949" s="4" t="s">
        <v>63</v>
      </c>
      <c r="AA1949" s="4" t="s">
        <v>63</v>
      </c>
      <c r="AB1949" s="4" t="s">
        <v>16794</v>
      </c>
      <c r="AC1949" s="4" t="s">
        <v>67</v>
      </c>
      <c r="AD1949" s="4" t="s">
        <v>63</v>
      </c>
      <c r="AE1949" s="4" t="s">
        <v>63</v>
      </c>
      <c r="AF1949" s="4" t="s">
        <v>63</v>
      </c>
      <c r="AG1949" s="4" t="s">
        <v>63</v>
      </c>
      <c r="AH1949" s="4" t="s">
        <v>63</v>
      </c>
      <c r="AI1949" s="4" t="s">
        <v>63</v>
      </c>
      <c r="AJ1949" s="4" t="s">
        <v>63</v>
      </c>
      <c r="AK1949" s="4" t="s">
        <v>63</v>
      </c>
      <c r="AL1949" s="4" t="s">
        <v>63</v>
      </c>
      <c r="AM1949" s="4" t="s">
        <v>16789</v>
      </c>
      <c r="AN1949" s="4" t="s">
        <v>63</v>
      </c>
      <c r="AO1949" s="4" t="s">
        <v>63</v>
      </c>
      <c r="AP1949" s="4" t="s">
        <v>63</v>
      </c>
      <c r="AQ1949" s="4" t="s">
        <v>63</v>
      </c>
      <c r="AR1949" s="4" t="s">
        <v>63</v>
      </c>
      <c r="AS1949" s="4" t="s">
        <v>63</v>
      </c>
      <c r="AT1949" s="4" t="s">
        <v>63</v>
      </c>
      <c r="AU1949" s="4" t="s">
        <v>63</v>
      </c>
      <c r="AV1949" s="4" t="s">
        <v>63</v>
      </c>
      <c r="AW1949" s="4" t="s">
        <v>63</v>
      </c>
      <c r="AX1949" s="4" t="s">
        <v>63</v>
      </c>
      <c r="AY1949" s="4" t="s">
        <v>63</v>
      </c>
      <c r="AZ1949" s="4" t="s">
        <v>63</v>
      </c>
      <c r="BA1949" s="4" t="s">
        <v>63</v>
      </c>
      <c r="BB1949" s="4" t="s">
        <v>63</v>
      </c>
      <c r="BC1949" s="4" t="s">
        <v>63</v>
      </c>
      <c r="BD1949" s="4" t="s">
        <v>63</v>
      </c>
      <c r="BE1949" s="4" t="s">
        <v>63</v>
      </c>
      <c r="BF1949" s="4" t="s">
        <v>63</v>
      </c>
    </row>
    <row r="1950" spans="1:58">
      <c r="A1950" s="4" t="s">
        <v>58</v>
      </c>
      <c r="B1950" s="4" t="s">
        <v>16795</v>
      </c>
      <c r="C1950" s="4" t="s">
        <v>16796</v>
      </c>
      <c r="D1950" s="4" t="s">
        <v>734</v>
      </c>
      <c r="E1950" s="4" t="s">
        <v>63</v>
      </c>
      <c r="F1950" s="4">
        <v>2012</v>
      </c>
      <c r="G1950" s="4" t="s">
        <v>15472</v>
      </c>
      <c r="H1950" s="4">
        <v>23</v>
      </c>
      <c r="I1950" s="4">
        <v>5</v>
      </c>
      <c r="J1950" s="4">
        <v>374</v>
      </c>
      <c r="K1950" s="4">
        <v>384</v>
      </c>
      <c r="L1950" s="4" t="s">
        <v>16797</v>
      </c>
      <c r="M1950" s="4" t="s">
        <v>16798</v>
      </c>
      <c r="N1950" s="4" t="s">
        <v>16799</v>
      </c>
      <c r="O1950" s="4" t="s">
        <v>63</v>
      </c>
      <c r="P1950" s="4"/>
      <c r="Q1950" s="4" t="s">
        <v>63</v>
      </c>
      <c r="R1950" s="4" t="s">
        <v>63</v>
      </c>
      <c r="S1950" s="4" t="s">
        <v>63</v>
      </c>
      <c r="T1950" s="4" t="s">
        <v>63</v>
      </c>
      <c r="U1950" s="4"/>
      <c r="V1950" s="4"/>
      <c r="W1950" s="4"/>
      <c r="X1950" s="4" t="s">
        <v>63</v>
      </c>
      <c r="Y1950" s="4" t="s">
        <v>16800</v>
      </c>
      <c r="Z1950" s="4" t="s">
        <v>63</v>
      </c>
      <c r="AA1950" s="4" t="s">
        <v>63</v>
      </c>
      <c r="AB1950" s="4">
        <v>2012540796</v>
      </c>
      <c r="AC1950" s="4" t="s">
        <v>67</v>
      </c>
      <c r="AD1950" s="4" t="s">
        <v>63</v>
      </c>
      <c r="AE1950" s="4" t="s">
        <v>63</v>
      </c>
      <c r="AF1950" s="4" t="s">
        <v>63</v>
      </c>
      <c r="AG1950" s="4" t="s">
        <v>16801</v>
      </c>
      <c r="AH1950" s="4" t="s">
        <v>63</v>
      </c>
      <c r="AI1950" s="4" t="s">
        <v>16802</v>
      </c>
      <c r="AJ1950" s="4" t="s">
        <v>63</v>
      </c>
      <c r="AK1950" s="4" t="s">
        <v>63</v>
      </c>
      <c r="AL1950" s="4" t="s">
        <v>63</v>
      </c>
      <c r="AM1950" s="4" t="s">
        <v>16803</v>
      </c>
      <c r="AN1950" s="4" t="s">
        <v>63</v>
      </c>
      <c r="AO1950" s="4" t="s">
        <v>63</v>
      </c>
      <c r="AP1950" s="4" t="s">
        <v>63</v>
      </c>
      <c r="AQ1950" s="4" t="s">
        <v>63</v>
      </c>
      <c r="AR1950" s="4" t="s">
        <v>63</v>
      </c>
      <c r="AS1950" s="4" t="s">
        <v>63</v>
      </c>
      <c r="AT1950" s="4" t="s">
        <v>63</v>
      </c>
      <c r="AU1950" s="4" t="s">
        <v>63</v>
      </c>
      <c r="AV1950" s="4" t="s">
        <v>63</v>
      </c>
      <c r="AW1950" s="4" t="s">
        <v>63</v>
      </c>
      <c r="AX1950" s="4" t="s">
        <v>63</v>
      </c>
      <c r="AY1950" s="4" t="s">
        <v>63</v>
      </c>
      <c r="AZ1950" s="4" t="s">
        <v>63</v>
      </c>
      <c r="BA1950" s="4" t="s">
        <v>63</v>
      </c>
      <c r="BB1950" s="4" t="s">
        <v>63</v>
      </c>
      <c r="BC1950" s="4" t="s">
        <v>63</v>
      </c>
      <c r="BD1950" s="4" t="s">
        <v>63</v>
      </c>
      <c r="BE1950" s="4" t="s">
        <v>63</v>
      </c>
      <c r="BF1950" s="4" t="s">
        <v>63</v>
      </c>
    </row>
    <row r="1951" spans="1:58">
      <c r="A1951" s="4" t="s">
        <v>58</v>
      </c>
      <c r="B1951" s="4" t="s">
        <v>16804</v>
      </c>
      <c r="C1951" s="4" t="s">
        <v>16805</v>
      </c>
      <c r="D1951" s="4" t="s">
        <v>2353</v>
      </c>
      <c r="E1951" s="4" t="s">
        <v>2354</v>
      </c>
      <c r="F1951" s="4">
        <v>2002</v>
      </c>
      <c r="G1951" s="4" t="s">
        <v>63</v>
      </c>
      <c r="H1951" s="4">
        <v>22</v>
      </c>
      <c r="I1951" s="4">
        <v>4</v>
      </c>
      <c r="J1951" s="4">
        <v>219</v>
      </c>
      <c r="K1951" s="4">
        <v>230</v>
      </c>
      <c r="L1951" s="4" t="s">
        <v>16806</v>
      </c>
      <c r="M1951" s="4" t="s">
        <v>16807</v>
      </c>
      <c r="N1951" s="4" t="s">
        <v>16808</v>
      </c>
      <c r="O1951" s="4" t="s">
        <v>63</v>
      </c>
      <c r="P1951" s="4"/>
      <c r="Q1951" s="4" t="s">
        <v>63</v>
      </c>
      <c r="R1951" s="4" t="s">
        <v>63</v>
      </c>
      <c r="S1951" s="4" t="s">
        <v>63</v>
      </c>
      <c r="T1951" s="4" t="s">
        <v>63</v>
      </c>
      <c r="U1951" s="4"/>
      <c r="V1951" s="4"/>
      <c r="W1951" s="4"/>
      <c r="X1951" s="4" t="s">
        <v>63</v>
      </c>
      <c r="Y1951" s="4" t="s">
        <v>2358</v>
      </c>
      <c r="Z1951" s="4" t="s">
        <v>63</v>
      </c>
      <c r="AA1951" s="4" t="s">
        <v>63</v>
      </c>
      <c r="AB1951" s="4">
        <v>2002203395</v>
      </c>
      <c r="AC1951" s="4" t="s">
        <v>67</v>
      </c>
      <c r="AD1951" s="4" t="s">
        <v>63</v>
      </c>
      <c r="AE1951" s="4" t="s">
        <v>63</v>
      </c>
      <c r="AF1951" s="4" t="s">
        <v>63</v>
      </c>
      <c r="AG1951" s="4" t="s">
        <v>16809</v>
      </c>
      <c r="AH1951" s="4" t="s">
        <v>63</v>
      </c>
      <c r="AI1951" s="4" t="s">
        <v>16810</v>
      </c>
      <c r="AJ1951" s="4" t="s">
        <v>63</v>
      </c>
      <c r="AK1951" s="4" t="s">
        <v>63</v>
      </c>
      <c r="AL1951" s="4" t="s">
        <v>63</v>
      </c>
      <c r="AM1951" s="4" t="s">
        <v>16811</v>
      </c>
      <c r="AN1951" s="4" t="s">
        <v>63</v>
      </c>
      <c r="AO1951" s="4" t="s">
        <v>63</v>
      </c>
      <c r="AP1951" s="4" t="s">
        <v>63</v>
      </c>
      <c r="AQ1951" s="4" t="s">
        <v>63</v>
      </c>
      <c r="AR1951" s="4" t="s">
        <v>63</v>
      </c>
      <c r="AS1951" s="4" t="s">
        <v>63</v>
      </c>
      <c r="AT1951" s="4" t="s">
        <v>63</v>
      </c>
      <c r="AU1951" s="4" t="s">
        <v>63</v>
      </c>
      <c r="AV1951" s="4" t="s">
        <v>63</v>
      </c>
      <c r="AW1951" s="4" t="s">
        <v>63</v>
      </c>
      <c r="AX1951" s="4" t="s">
        <v>63</v>
      </c>
      <c r="AY1951" s="4" t="s">
        <v>63</v>
      </c>
      <c r="AZ1951" s="4" t="s">
        <v>63</v>
      </c>
      <c r="BA1951" s="4" t="s">
        <v>63</v>
      </c>
      <c r="BB1951" s="4" t="s">
        <v>63</v>
      </c>
      <c r="BC1951" s="4" t="s">
        <v>63</v>
      </c>
      <c r="BD1951" s="4" t="s">
        <v>63</v>
      </c>
      <c r="BE1951" s="4" t="s">
        <v>63</v>
      </c>
      <c r="BF1951" s="4" t="s">
        <v>63</v>
      </c>
    </row>
    <row r="1952" spans="1:58">
      <c r="A1952" s="4" t="s">
        <v>58</v>
      </c>
      <c r="B1952" s="4" t="s">
        <v>16812</v>
      </c>
      <c r="C1952" s="4" t="s">
        <v>16813</v>
      </c>
      <c r="D1952" s="4" t="s">
        <v>16814</v>
      </c>
      <c r="E1952" s="4" t="s">
        <v>16815</v>
      </c>
      <c r="F1952" s="4">
        <v>1981</v>
      </c>
      <c r="G1952" s="4" t="s">
        <v>63</v>
      </c>
      <c r="H1952" s="4">
        <v>44</v>
      </c>
      <c r="I1952" s="4">
        <v>1</v>
      </c>
      <c r="J1952" s="4">
        <v>117</v>
      </c>
      <c r="K1952" s="4">
        <v>138</v>
      </c>
      <c r="L1952" s="4" t="s">
        <v>16816</v>
      </c>
      <c r="M1952" s="4" t="s">
        <v>16817</v>
      </c>
      <c r="N1952" s="4" t="s">
        <v>16818</v>
      </c>
      <c r="O1952" s="4" t="s">
        <v>63</v>
      </c>
      <c r="P1952" s="4"/>
      <c r="Q1952" s="4" t="s">
        <v>63</v>
      </c>
      <c r="R1952" s="4" t="s">
        <v>63</v>
      </c>
      <c r="S1952" s="4" t="s">
        <v>63</v>
      </c>
      <c r="T1952" s="4" t="s">
        <v>63</v>
      </c>
      <c r="U1952" s="4"/>
      <c r="V1952" s="4"/>
      <c r="W1952" s="4"/>
      <c r="X1952" s="4" t="s">
        <v>63</v>
      </c>
      <c r="Y1952" s="4" t="s">
        <v>16819</v>
      </c>
      <c r="Z1952" s="4" t="s">
        <v>63</v>
      </c>
      <c r="AA1952" s="4" t="s">
        <v>63</v>
      </c>
      <c r="AB1952" s="4" t="s">
        <v>16820</v>
      </c>
      <c r="AC1952" s="4" t="s">
        <v>4823</v>
      </c>
      <c r="AD1952" s="4" t="s">
        <v>63</v>
      </c>
      <c r="AE1952" s="4" t="s">
        <v>63</v>
      </c>
      <c r="AF1952" s="4" t="s">
        <v>63</v>
      </c>
      <c r="AG1952" s="4" t="s">
        <v>63</v>
      </c>
      <c r="AH1952" s="4" t="s">
        <v>63</v>
      </c>
      <c r="AI1952" s="4" t="s">
        <v>63</v>
      </c>
      <c r="AJ1952" s="4" t="s">
        <v>63</v>
      </c>
      <c r="AK1952" s="4" t="s">
        <v>63</v>
      </c>
      <c r="AL1952" s="4" t="s">
        <v>63</v>
      </c>
      <c r="AM1952" s="4" t="s">
        <v>16821</v>
      </c>
      <c r="AN1952" s="4" t="s">
        <v>63</v>
      </c>
      <c r="AO1952" s="4" t="s">
        <v>63</v>
      </c>
      <c r="AP1952" s="4" t="s">
        <v>63</v>
      </c>
      <c r="AQ1952" s="4" t="s">
        <v>63</v>
      </c>
      <c r="AR1952" s="4" t="s">
        <v>63</v>
      </c>
      <c r="AS1952" s="4" t="s">
        <v>63</v>
      </c>
      <c r="AT1952" s="4" t="s">
        <v>63</v>
      </c>
      <c r="AU1952" s="4" t="s">
        <v>63</v>
      </c>
      <c r="AV1952" s="4" t="s">
        <v>63</v>
      </c>
      <c r="AW1952" s="4" t="s">
        <v>63</v>
      </c>
      <c r="AX1952" s="4" t="s">
        <v>63</v>
      </c>
      <c r="AY1952" s="4" t="s">
        <v>63</v>
      </c>
      <c r="AZ1952" s="4" t="s">
        <v>63</v>
      </c>
      <c r="BA1952" s="4" t="s">
        <v>63</v>
      </c>
      <c r="BB1952" s="4" t="s">
        <v>63</v>
      </c>
      <c r="BC1952" s="4" t="s">
        <v>63</v>
      </c>
      <c r="BD1952" s="4" t="s">
        <v>63</v>
      </c>
      <c r="BE1952" s="4" t="s">
        <v>63</v>
      </c>
      <c r="BF1952" s="4" t="s">
        <v>63</v>
      </c>
    </row>
    <row r="1953" spans="1:58">
      <c r="A1953" s="4" t="s">
        <v>58</v>
      </c>
      <c r="B1953" s="4" t="s">
        <v>16822</v>
      </c>
      <c r="C1953" s="4" t="s">
        <v>16823</v>
      </c>
      <c r="D1953" s="4" t="s">
        <v>16824</v>
      </c>
      <c r="E1953" s="4" t="s">
        <v>63</v>
      </c>
      <c r="F1953" s="4">
        <v>2015</v>
      </c>
      <c r="G1953" s="4" t="s">
        <v>15526</v>
      </c>
      <c r="H1953" s="4">
        <v>81</v>
      </c>
      <c r="I1953" s="4">
        <v>1</v>
      </c>
      <c r="J1953" s="4">
        <v>143</v>
      </c>
      <c r="K1953" s="4">
        <v>144</v>
      </c>
      <c r="L1953" s="4" t="s">
        <v>16825</v>
      </c>
      <c r="M1953" s="4" t="s">
        <v>16826</v>
      </c>
      <c r="N1953" s="4" t="s">
        <v>16827</v>
      </c>
      <c r="O1953" s="4" t="s">
        <v>63</v>
      </c>
      <c r="P1953" s="4"/>
      <c r="Q1953" s="4" t="s">
        <v>63</v>
      </c>
      <c r="R1953" s="4" t="s">
        <v>63</v>
      </c>
      <c r="S1953" s="4" t="s">
        <v>63</v>
      </c>
      <c r="T1953" s="4" t="s">
        <v>63</v>
      </c>
      <c r="U1953" s="4"/>
      <c r="V1953" s="4"/>
      <c r="W1953" s="4"/>
      <c r="X1953" s="4" t="s">
        <v>63</v>
      </c>
      <c r="Y1953" s="4" t="s">
        <v>16828</v>
      </c>
      <c r="Z1953" s="4" t="s">
        <v>63</v>
      </c>
      <c r="AA1953" s="4" t="s">
        <v>63</v>
      </c>
      <c r="AB1953" s="4" t="s">
        <v>63</v>
      </c>
      <c r="AC1953" s="4" t="s">
        <v>67</v>
      </c>
      <c r="AD1953" s="4" t="s">
        <v>63</v>
      </c>
      <c r="AE1953" s="4" t="s">
        <v>63</v>
      </c>
      <c r="AF1953" s="4" t="s">
        <v>63</v>
      </c>
      <c r="AG1953" s="4" t="s">
        <v>63</v>
      </c>
      <c r="AH1953" s="4" t="s">
        <v>63</v>
      </c>
      <c r="AI1953" s="4" t="s">
        <v>63</v>
      </c>
      <c r="AJ1953" s="4" t="s">
        <v>63</v>
      </c>
      <c r="AK1953" s="4" t="s">
        <v>63</v>
      </c>
      <c r="AL1953" s="4" t="s">
        <v>63</v>
      </c>
      <c r="AM1953" s="4" t="s">
        <v>16823</v>
      </c>
      <c r="AN1953" s="4" t="s">
        <v>63</v>
      </c>
      <c r="AO1953" s="4" t="s">
        <v>63</v>
      </c>
      <c r="AP1953" s="4" t="s">
        <v>63</v>
      </c>
      <c r="AQ1953" s="4" t="s">
        <v>63</v>
      </c>
      <c r="AR1953" s="4" t="s">
        <v>63</v>
      </c>
      <c r="AS1953" s="4" t="s">
        <v>63</v>
      </c>
      <c r="AT1953" s="4" t="s">
        <v>63</v>
      </c>
      <c r="AU1953" s="4" t="s">
        <v>63</v>
      </c>
      <c r="AV1953" s="4" t="s">
        <v>63</v>
      </c>
      <c r="AW1953" s="4" t="s">
        <v>63</v>
      </c>
      <c r="AX1953" s="4" t="s">
        <v>63</v>
      </c>
      <c r="AY1953" s="4" t="s">
        <v>63</v>
      </c>
      <c r="AZ1953" s="4" t="s">
        <v>63</v>
      </c>
      <c r="BA1953" s="4" t="s">
        <v>63</v>
      </c>
      <c r="BB1953" s="4" t="s">
        <v>63</v>
      </c>
      <c r="BC1953" s="4" t="s">
        <v>63</v>
      </c>
      <c r="BD1953" s="4" t="s">
        <v>63</v>
      </c>
      <c r="BE1953" s="4" t="s">
        <v>63</v>
      </c>
      <c r="BF1953" s="4" t="s">
        <v>63</v>
      </c>
    </row>
    <row r="1954" spans="1:58">
      <c r="A1954" s="4" t="s">
        <v>58</v>
      </c>
      <c r="B1954" s="4" t="s">
        <v>16829</v>
      </c>
      <c r="C1954" s="4" t="s">
        <v>16830</v>
      </c>
      <c r="D1954" s="4" t="s">
        <v>10155</v>
      </c>
      <c r="E1954" s="4" t="s">
        <v>10156</v>
      </c>
      <c r="F1954" s="4">
        <v>1975</v>
      </c>
      <c r="G1954" s="4" t="s">
        <v>63</v>
      </c>
      <c r="H1954" s="4">
        <v>144</v>
      </c>
      <c r="I1954" s="4">
        <v>6</v>
      </c>
      <c r="J1954" s="4">
        <v>49</v>
      </c>
      <c r="K1954" s="4">
        <v>57</v>
      </c>
      <c r="L1954" s="4" t="s">
        <v>16831</v>
      </c>
      <c r="M1954" s="4" t="s">
        <v>63</v>
      </c>
      <c r="N1954" s="4" t="s">
        <v>16832</v>
      </c>
      <c r="O1954" s="4" t="s">
        <v>63</v>
      </c>
      <c r="P1954" s="4"/>
      <c r="Q1954" s="4" t="s">
        <v>63</v>
      </c>
      <c r="R1954" s="4" t="s">
        <v>63</v>
      </c>
      <c r="S1954" s="4" t="s">
        <v>63</v>
      </c>
      <c r="T1954" s="4" t="s">
        <v>63</v>
      </c>
      <c r="U1954" s="4"/>
      <c r="V1954" s="4"/>
      <c r="W1954" s="4"/>
      <c r="X1954" s="4" t="s">
        <v>63</v>
      </c>
      <c r="Y1954" s="4" t="s">
        <v>16833</v>
      </c>
      <c r="Z1954" s="4" t="s">
        <v>63</v>
      </c>
      <c r="AA1954" s="4" t="s">
        <v>63</v>
      </c>
      <c r="AB1954" s="4">
        <v>1976085936</v>
      </c>
      <c r="AC1954" s="4" t="s">
        <v>67</v>
      </c>
      <c r="AD1954" s="4" t="s">
        <v>63</v>
      </c>
      <c r="AE1954" s="4" t="s">
        <v>63</v>
      </c>
      <c r="AF1954" s="4" t="s">
        <v>63</v>
      </c>
      <c r="AG1954" s="4" t="s">
        <v>16834</v>
      </c>
      <c r="AH1954" s="4" t="s">
        <v>63</v>
      </c>
      <c r="AI1954" s="4" t="s">
        <v>63</v>
      </c>
      <c r="AJ1954" s="4" t="s">
        <v>63</v>
      </c>
      <c r="AK1954" s="4" t="s">
        <v>63</v>
      </c>
      <c r="AL1954" s="4" t="s">
        <v>63</v>
      </c>
      <c r="AM1954" s="4" t="s">
        <v>16835</v>
      </c>
      <c r="AN1954" s="4" t="s">
        <v>63</v>
      </c>
      <c r="AO1954" s="4" t="s">
        <v>63</v>
      </c>
      <c r="AP1954" s="4" t="s">
        <v>63</v>
      </c>
      <c r="AQ1954" s="4" t="s">
        <v>63</v>
      </c>
      <c r="AR1954" s="4" t="s">
        <v>63</v>
      </c>
      <c r="AS1954" s="4" t="s">
        <v>63</v>
      </c>
      <c r="AT1954" s="4" t="s">
        <v>63</v>
      </c>
      <c r="AU1954" s="4" t="s">
        <v>63</v>
      </c>
      <c r="AV1954" s="4" t="s">
        <v>63</v>
      </c>
      <c r="AW1954" s="4" t="s">
        <v>63</v>
      </c>
      <c r="AX1954" s="4" t="s">
        <v>63</v>
      </c>
      <c r="AY1954" s="4" t="s">
        <v>63</v>
      </c>
      <c r="AZ1954" s="4" t="s">
        <v>63</v>
      </c>
      <c r="BA1954" s="4" t="s">
        <v>63</v>
      </c>
      <c r="BB1954" s="4" t="s">
        <v>63</v>
      </c>
      <c r="BC1954" s="4" t="s">
        <v>63</v>
      </c>
      <c r="BD1954" s="4" t="s">
        <v>63</v>
      </c>
      <c r="BE1954" s="4" t="s">
        <v>63</v>
      </c>
      <c r="BF1954" s="4" t="s">
        <v>63</v>
      </c>
    </row>
    <row r="1955" spans="1:58">
      <c r="A1955" s="4" t="s">
        <v>58</v>
      </c>
      <c r="B1955" s="4" t="s">
        <v>16836</v>
      </c>
      <c r="C1955" s="4" t="s">
        <v>16837</v>
      </c>
      <c r="D1955" s="4" t="s">
        <v>16838</v>
      </c>
      <c r="E1955" s="4" t="s">
        <v>63</v>
      </c>
      <c r="F1955" s="4">
        <v>2011</v>
      </c>
      <c r="G1955" s="4" t="s">
        <v>15165</v>
      </c>
      <c r="H1955" s="4">
        <v>3</v>
      </c>
      <c r="I1955" s="4">
        <v>4</v>
      </c>
      <c r="J1955" s="4" t="s">
        <v>8528</v>
      </c>
      <c r="K1955" s="4" t="s">
        <v>16839</v>
      </c>
      <c r="L1955" s="4" t="s">
        <v>16840</v>
      </c>
      <c r="M1955" s="4" t="s">
        <v>16841</v>
      </c>
      <c r="N1955" s="4" t="s">
        <v>16842</v>
      </c>
      <c r="O1955" s="4" t="s">
        <v>63</v>
      </c>
      <c r="P1955" s="4"/>
      <c r="Q1955" s="4" t="s">
        <v>63</v>
      </c>
      <c r="R1955" s="4" t="s">
        <v>63</v>
      </c>
      <c r="S1955" s="4" t="s">
        <v>63</v>
      </c>
      <c r="T1955" s="4" t="s">
        <v>63</v>
      </c>
      <c r="U1955" s="4"/>
      <c r="V1955" s="4"/>
      <c r="W1955" s="4"/>
      <c r="X1955" s="4" t="s">
        <v>63</v>
      </c>
      <c r="Y1955" s="4" t="s">
        <v>16843</v>
      </c>
      <c r="Z1955" s="4" t="s">
        <v>63</v>
      </c>
      <c r="AA1955" s="4" t="s">
        <v>63</v>
      </c>
      <c r="AB1955" s="4" t="s">
        <v>63</v>
      </c>
      <c r="AC1955" s="4" t="s">
        <v>67</v>
      </c>
      <c r="AD1955" s="4" t="s">
        <v>63</v>
      </c>
      <c r="AE1955" s="4" t="s">
        <v>63</v>
      </c>
      <c r="AF1955" s="4" t="s">
        <v>63</v>
      </c>
      <c r="AG1955" s="4" t="s">
        <v>63</v>
      </c>
      <c r="AH1955" s="4" t="s">
        <v>63</v>
      </c>
      <c r="AI1955" s="4" t="s">
        <v>63</v>
      </c>
      <c r="AJ1955" s="4" t="s">
        <v>63</v>
      </c>
      <c r="AK1955" s="4" t="s">
        <v>63</v>
      </c>
      <c r="AL1955" s="4" t="s">
        <v>63</v>
      </c>
      <c r="AM1955" s="4" t="s">
        <v>16837</v>
      </c>
      <c r="AN1955" s="4" t="s">
        <v>63</v>
      </c>
      <c r="AO1955" s="4" t="s">
        <v>63</v>
      </c>
      <c r="AP1955" s="4" t="s">
        <v>63</v>
      </c>
      <c r="AQ1955" s="4" t="s">
        <v>63</v>
      </c>
      <c r="AR1955" s="4" t="s">
        <v>63</v>
      </c>
      <c r="AS1955" s="4" t="s">
        <v>63</v>
      </c>
      <c r="AT1955" s="4" t="s">
        <v>63</v>
      </c>
      <c r="AU1955" s="4" t="s">
        <v>63</v>
      </c>
      <c r="AV1955" s="4" t="s">
        <v>63</v>
      </c>
      <c r="AW1955" s="4" t="s">
        <v>63</v>
      </c>
      <c r="AX1955" s="4" t="s">
        <v>63</v>
      </c>
      <c r="AY1955" s="4" t="s">
        <v>63</v>
      </c>
      <c r="AZ1955" s="4" t="s">
        <v>63</v>
      </c>
      <c r="BA1955" s="4" t="s">
        <v>63</v>
      </c>
      <c r="BB1955" s="4" t="s">
        <v>63</v>
      </c>
      <c r="BC1955" s="4" t="s">
        <v>63</v>
      </c>
      <c r="BD1955" s="4" t="s">
        <v>63</v>
      </c>
      <c r="BE1955" s="4" t="s">
        <v>63</v>
      </c>
      <c r="BF1955" s="4" t="s">
        <v>63</v>
      </c>
    </row>
    <row r="1956" spans="1:58">
      <c r="A1956" s="4" t="s">
        <v>58</v>
      </c>
      <c r="B1956" s="4" t="s">
        <v>16844</v>
      </c>
      <c r="C1956" s="4" t="s">
        <v>16845</v>
      </c>
      <c r="D1956" s="4" t="s">
        <v>15482</v>
      </c>
      <c r="E1956" s="4" t="s">
        <v>63</v>
      </c>
      <c r="F1956" s="4">
        <v>2017</v>
      </c>
      <c r="G1956" s="4">
        <v>1</v>
      </c>
      <c r="H1956" s="4" t="s">
        <v>16846</v>
      </c>
      <c r="I1956" s="4" t="s">
        <v>63</v>
      </c>
      <c r="J1956" s="4" t="s">
        <v>16847</v>
      </c>
      <c r="K1956" s="4" t="s">
        <v>63</v>
      </c>
      <c r="L1956" s="4" t="s">
        <v>16848</v>
      </c>
      <c r="M1956" s="4" t="s">
        <v>16849</v>
      </c>
      <c r="N1956" s="4" t="s">
        <v>16850</v>
      </c>
      <c r="O1956" s="4" t="s">
        <v>63</v>
      </c>
      <c r="P1956" s="4"/>
      <c r="Q1956" s="4" t="s">
        <v>63</v>
      </c>
      <c r="R1956" s="4" t="s">
        <v>63</v>
      </c>
      <c r="S1956" s="4" t="s">
        <v>63</v>
      </c>
      <c r="T1956" s="4" t="s">
        <v>63</v>
      </c>
      <c r="U1956" s="4"/>
      <c r="V1956" s="4"/>
      <c r="W1956" s="4"/>
      <c r="X1956" s="4" t="s">
        <v>63</v>
      </c>
      <c r="Y1956" s="4" t="s">
        <v>16851</v>
      </c>
      <c r="Z1956" s="4" t="s">
        <v>63</v>
      </c>
      <c r="AA1956" s="4" t="s">
        <v>63</v>
      </c>
      <c r="AB1956" s="4" t="s">
        <v>63</v>
      </c>
      <c r="AC1956" s="4" t="s">
        <v>67</v>
      </c>
      <c r="AD1956" s="4" t="s">
        <v>63</v>
      </c>
      <c r="AE1956" s="4" t="s">
        <v>63</v>
      </c>
      <c r="AF1956" s="4" t="s">
        <v>63</v>
      </c>
      <c r="AG1956" s="4" t="s">
        <v>63</v>
      </c>
      <c r="AH1956" s="4" t="s">
        <v>63</v>
      </c>
      <c r="AI1956" s="4" t="s">
        <v>16852</v>
      </c>
      <c r="AJ1956" s="4" t="s">
        <v>63</v>
      </c>
      <c r="AK1956" s="4" t="s">
        <v>63</v>
      </c>
      <c r="AL1956" s="4" t="s">
        <v>63</v>
      </c>
      <c r="AM1956" s="4" t="s">
        <v>16845</v>
      </c>
      <c r="AN1956" s="4" t="s">
        <v>63</v>
      </c>
      <c r="AO1956" s="4" t="s">
        <v>63</v>
      </c>
      <c r="AP1956" s="4" t="s">
        <v>63</v>
      </c>
      <c r="AQ1956" s="4" t="s">
        <v>63</v>
      </c>
      <c r="AR1956" s="4" t="s">
        <v>63</v>
      </c>
      <c r="AS1956" s="4" t="s">
        <v>63</v>
      </c>
      <c r="AT1956" s="4" t="s">
        <v>63</v>
      </c>
      <c r="AU1956" s="4" t="s">
        <v>63</v>
      </c>
      <c r="AV1956" s="4" t="s">
        <v>63</v>
      </c>
      <c r="AW1956" s="4" t="s">
        <v>63</v>
      </c>
      <c r="AX1956" s="4" t="s">
        <v>63</v>
      </c>
      <c r="AY1956" s="4" t="s">
        <v>63</v>
      </c>
      <c r="AZ1956" s="4" t="s">
        <v>63</v>
      </c>
      <c r="BA1956" s="4" t="s">
        <v>63</v>
      </c>
      <c r="BB1956" s="4" t="s">
        <v>63</v>
      </c>
      <c r="BC1956" s="4" t="s">
        <v>63</v>
      </c>
      <c r="BD1956" s="4" t="s">
        <v>63</v>
      </c>
      <c r="BE1956" s="4" t="s">
        <v>63</v>
      </c>
      <c r="BF1956" s="4" t="s">
        <v>63</v>
      </c>
    </row>
    <row r="1957" spans="1:58">
      <c r="A1957" s="4" t="s">
        <v>58</v>
      </c>
      <c r="B1957" s="4" t="s">
        <v>16853</v>
      </c>
      <c r="C1957" s="4" t="s">
        <v>16854</v>
      </c>
      <c r="D1957" s="4" t="s">
        <v>371</v>
      </c>
      <c r="E1957" s="4" t="s">
        <v>63</v>
      </c>
      <c r="F1957" s="4">
        <v>2016</v>
      </c>
      <c r="G1957" s="4" t="s">
        <v>189</v>
      </c>
      <c r="H1957" s="4">
        <v>31</v>
      </c>
      <c r="I1957" s="4">
        <v>2</v>
      </c>
      <c r="J1957" s="4" t="s">
        <v>16855</v>
      </c>
      <c r="K1957" s="4" t="s">
        <v>16856</v>
      </c>
      <c r="L1957" s="4" t="s">
        <v>16857</v>
      </c>
      <c r="M1957" s="4" t="s">
        <v>16858</v>
      </c>
      <c r="N1957" s="4" t="s">
        <v>16859</v>
      </c>
      <c r="O1957" s="4" t="s">
        <v>63</v>
      </c>
      <c r="P1957" s="4"/>
      <c r="Q1957" s="4" t="s">
        <v>63</v>
      </c>
      <c r="R1957" s="4" t="s">
        <v>63</v>
      </c>
      <c r="S1957" s="4" t="s">
        <v>63</v>
      </c>
      <c r="T1957" s="4" t="s">
        <v>63</v>
      </c>
      <c r="U1957" s="4"/>
      <c r="V1957" s="4"/>
      <c r="W1957" s="4"/>
      <c r="X1957" s="4" t="s">
        <v>63</v>
      </c>
      <c r="Y1957" s="4" t="s">
        <v>547</v>
      </c>
      <c r="Z1957" s="4" t="s">
        <v>63</v>
      </c>
      <c r="AA1957" s="4" t="s">
        <v>63</v>
      </c>
      <c r="AB1957" s="4" t="s">
        <v>63</v>
      </c>
      <c r="AC1957" s="4" t="s">
        <v>67</v>
      </c>
      <c r="AD1957" s="4" t="s">
        <v>63</v>
      </c>
      <c r="AE1957" s="4" t="s">
        <v>63</v>
      </c>
      <c r="AF1957" s="4" t="s">
        <v>63</v>
      </c>
      <c r="AG1957" s="4" t="s">
        <v>63</v>
      </c>
      <c r="AH1957" s="4" t="s">
        <v>63</v>
      </c>
      <c r="AI1957" s="4" t="s">
        <v>63</v>
      </c>
      <c r="AJ1957" s="4" t="s">
        <v>63</v>
      </c>
      <c r="AK1957" s="4" t="s">
        <v>63</v>
      </c>
      <c r="AL1957" s="4" t="s">
        <v>63</v>
      </c>
      <c r="AM1957" s="4" t="s">
        <v>16854</v>
      </c>
      <c r="AN1957" s="4" t="s">
        <v>63</v>
      </c>
      <c r="AO1957" s="4" t="s">
        <v>63</v>
      </c>
      <c r="AP1957" s="4" t="s">
        <v>63</v>
      </c>
      <c r="AQ1957" s="4" t="s">
        <v>63</v>
      </c>
      <c r="AR1957" s="4" t="s">
        <v>63</v>
      </c>
      <c r="AS1957" s="4" t="s">
        <v>63</v>
      </c>
      <c r="AT1957" s="4" t="s">
        <v>63</v>
      </c>
      <c r="AU1957" s="4" t="s">
        <v>63</v>
      </c>
      <c r="AV1957" s="4" t="s">
        <v>63</v>
      </c>
      <c r="AW1957" s="4" t="s">
        <v>63</v>
      </c>
      <c r="AX1957" s="4" t="s">
        <v>63</v>
      </c>
      <c r="AY1957" s="4" t="s">
        <v>63</v>
      </c>
      <c r="AZ1957" s="4" t="s">
        <v>63</v>
      </c>
      <c r="BA1957" s="4" t="s">
        <v>63</v>
      </c>
      <c r="BB1957" s="4" t="s">
        <v>63</v>
      </c>
      <c r="BC1957" s="4" t="s">
        <v>63</v>
      </c>
      <c r="BD1957" s="4" t="s">
        <v>63</v>
      </c>
      <c r="BE1957" s="4" t="s">
        <v>63</v>
      </c>
      <c r="BF1957" s="4" t="s">
        <v>63</v>
      </c>
    </row>
    <row r="1958" spans="1:58">
      <c r="A1958" s="4" t="s">
        <v>58</v>
      </c>
      <c r="B1958" s="4" t="s">
        <v>16860</v>
      </c>
      <c r="C1958" s="4" t="s">
        <v>16861</v>
      </c>
      <c r="D1958" s="4" t="s">
        <v>16219</v>
      </c>
      <c r="E1958" s="4" t="s">
        <v>63</v>
      </c>
      <c r="F1958" s="4">
        <v>2012</v>
      </c>
      <c r="G1958" s="4" t="s">
        <v>63</v>
      </c>
      <c r="H1958" s="4" t="s">
        <v>16862</v>
      </c>
      <c r="I1958" s="4" t="s">
        <v>63</v>
      </c>
      <c r="J1958" s="4">
        <v>92</v>
      </c>
      <c r="K1958" s="4">
        <v>93</v>
      </c>
      <c r="L1958" s="4" t="s">
        <v>16863</v>
      </c>
      <c r="M1958" s="4" t="s">
        <v>16864</v>
      </c>
      <c r="N1958" s="4" t="s">
        <v>16865</v>
      </c>
      <c r="O1958" s="4" t="s">
        <v>63</v>
      </c>
      <c r="P1958" s="4"/>
      <c r="Q1958" s="4" t="s">
        <v>63</v>
      </c>
      <c r="R1958" s="4" t="s">
        <v>63</v>
      </c>
      <c r="S1958" s="4" t="s">
        <v>63</v>
      </c>
      <c r="T1958" s="4" t="s">
        <v>63</v>
      </c>
      <c r="U1958" s="4"/>
      <c r="V1958" s="4"/>
      <c r="W1958" s="4"/>
      <c r="X1958" s="4" t="s">
        <v>63</v>
      </c>
      <c r="Y1958" s="4" t="s">
        <v>16223</v>
      </c>
      <c r="Z1958" s="4" t="s">
        <v>63</v>
      </c>
      <c r="AA1958" s="4" t="s">
        <v>63</v>
      </c>
      <c r="AB1958" s="4" t="s">
        <v>63</v>
      </c>
      <c r="AC1958" s="4" t="s">
        <v>67</v>
      </c>
      <c r="AD1958" s="4" t="s">
        <v>63</v>
      </c>
      <c r="AE1958" s="4" t="s">
        <v>63</v>
      </c>
      <c r="AF1958" s="4" t="s">
        <v>63</v>
      </c>
      <c r="AG1958" s="4" t="s">
        <v>63</v>
      </c>
      <c r="AH1958" s="4" t="s">
        <v>63</v>
      </c>
      <c r="AI1958" s="4" t="s">
        <v>16866</v>
      </c>
      <c r="AJ1958" s="4" t="s">
        <v>63</v>
      </c>
      <c r="AK1958" s="4" t="s">
        <v>63</v>
      </c>
      <c r="AL1958" s="4" t="s">
        <v>63</v>
      </c>
      <c r="AM1958" s="4" t="s">
        <v>16861</v>
      </c>
      <c r="AN1958" s="4" t="s">
        <v>63</v>
      </c>
      <c r="AO1958" s="4" t="s">
        <v>63</v>
      </c>
      <c r="AP1958" s="4" t="s">
        <v>63</v>
      </c>
      <c r="AQ1958" s="4" t="s">
        <v>63</v>
      </c>
      <c r="AR1958" s="4" t="s">
        <v>63</v>
      </c>
      <c r="AS1958" s="4" t="s">
        <v>63</v>
      </c>
      <c r="AT1958" s="4" t="s">
        <v>63</v>
      </c>
      <c r="AU1958" s="4" t="s">
        <v>63</v>
      </c>
      <c r="AV1958" s="4" t="s">
        <v>63</v>
      </c>
      <c r="AW1958" s="4" t="s">
        <v>63</v>
      </c>
      <c r="AX1958" s="4" t="s">
        <v>63</v>
      </c>
      <c r="AY1958" s="4" t="s">
        <v>63</v>
      </c>
      <c r="AZ1958" s="4" t="s">
        <v>63</v>
      </c>
      <c r="BA1958" s="4" t="s">
        <v>63</v>
      </c>
      <c r="BB1958" s="4" t="s">
        <v>63</v>
      </c>
      <c r="BC1958" s="4" t="s">
        <v>63</v>
      </c>
      <c r="BD1958" s="4" t="s">
        <v>63</v>
      </c>
      <c r="BE1958" s="4" t="s">
        <v>63</v>
      </c>
      <c r="BF1958" s="4" t="s">
        <v>63</v>
      </c>
    </row>
    <row r="1959" spans="1:58">
      <c r="A1959" s="4" t="s">
        <v>58</v>
      </c>
      <c r="B1959" s="4" t="s">
        <v>16867</v>
      </c>
      <c r="C1959" s="4" t="s">
        <v>16868</v>
      </c>
      <c r="D1959" s="4" t="s">
        <v>3467</v>
      </c>
      <c r="E1959" s="4" t="s">
        <v>3468</v>
      </c>
      <c r="F1959" s="4">
        <v>2013</v>
      </c>
      <c r="G1959" s="4" t="s">
        <v>63</v>
      </c>
      <c r="H1959" s="7">
        <v>6.5583333333333336</v>
      </c>
      <c r="I1959" s="4" t="s">
        <v>63</v>
      </c>
      <c r="J1959" s="4" t="s">
        <v>63</v>
      </c>
      <c r="K1959" s="4" t="s">
        <v>63</v>
      </c>
      <c r="L1959" s="4" t="s">
        <v>16869</v>
      </c>
      <c r="M1959" s="4" t="s">
        <v>3471</v>
      </c>
      <c r="N1959" s="4" t="s">
        <v>16870</v>
      </c>
      <c r="O1959" s="4" t="s">
        <v>63</v>
      </c>
      <c r="P1959" s="4"/>
      <c r="Q1959" s="4" t="s">
        <v>63</v>
      </c>
      <c r="R1959" s="4" t="s">
        <v>63</v>
      </c>
      <c r="S1959" s="4" t="s">
        <v>63</v>
      </c>
      <c r="T1959" s="4" t="s">
        <v>63</v>
      </c>
      <c r="U1959" s="4"/>
      <c r="V1959" s="4"/>
      <c r="W1959" s="4"/>
      <c r="X1959" s="4" t="s">
        <v>63</v>
      </c>
      <c r="Y1959" s="4" t="s">
        <v>13899</v>
      </c>
      <c r="Z1959" s="4" t="s">
        <v>63</v>
      </c>
      <c r="AA1959" s="4" t="s">
        <v>63</v>
      </c>
      <c r="AB1959" s="4">
        <v>2013444583</v>
      </c>
      <c r="AC1959" s="4" t="s">
        <v>3475</v>
      </c>
      <c r="AD1959" s="4" t="s">
        <v>63</v>
      </c>
      <c r="AE1959" s="4" t="s">
        <v>63</v>
      </c>
      <c r="AF1959" s="4" t="s">
        <v>63</v>
      </c>
      <c r="AG1959" s="4" t="s">
        <v>16871</v>
      </c>
      <c r="AH1959" s="4" t="s">
        <v>63</v>
      </c>
      <c r="AI1959" s="4" t="s">
        <v>63</v>
      </c>
      <c r="AJ1959" s="4" t="s">
        <v>63</v>
      </c>
      <c r="AK1959" s="4" t="s">
        <v>63</v>
      </c>
      <c r="AL1959" s="4" t="s">
        <v>63</v>
      </c>
      <c r="AM1959" s="4" t="s">
        <v>16872</v>
      </c>
      <c r="AN1959" s="4" t="s">
        <v>63</v>
      </c>
      <c r="AO1959" s="4" t="s">
        <v>63</v>
      </c>
      <c r="AP1959" s="4" t="s">
        <v>63</v>
      </c>
      <c r="AQ1959" s="4" t="s">
        <v>63</v>
      </c>
      <c r="AR1959" s="4" t="s">
        <v>63</v>
      </c>
      <c r="AS1959" s="4" t="s">
        <v>63</v>
      </c>
      <c r="AT1959" s="4" t="s">
        <v>63</v>
      </c>
      <c r="AU1959" s="4" t="s">
        <v>63</v>
      </c>
      <c r="AV1959" s="4" t="s">
        <v>63</v>
      </c>
      <c r="AW1959" s="4" t="s">
        <v>63</v>
      </c>
      <c r="AX1959" s="4" t="s">
        <v>63</v>
      </c>
      <c r="AY1959" s="4" t="s">
        <v>63</v>
      </c>
      <c r="AZ1959" s="4" t="s">
        <v>63</v>
      </c>
      <c r="BA1959" s="4" t="s">
        <v>63</v>
      </c>
      <c r="BB1959" s="4" t="s">
        <v>63</v>
      </c>
      <c r="BC1959" s="4" t="s">
        <v>63</v>
      </c>
      <c r="BD1959" s="4" t="s">
        <v>63</v>
      </c>
      <c r="BE1959" s="4" t="s">
        <v>63</v>
      </c>
      <c r="BF1959" s="4" t="s">
        <v>63</v>
      </c>
    </row>
    <row r="1960" spans="1:58">
      <c r="A1960" s="4" t="s">
        <v>58</v>
      </c>
      <c r="B1960" s="4" t="s">
        <v>16873</v>
      </c>
      <c r="C1960" s="4" t="s">
        <v>16874</v>
      </c>
      <c r="D1960" s="4" t="s">
        <v>16152</v>
      </c>
      <c r="E1960" s="4" t="s">
        <v>63</v>
      </c>
      <c r="F1960" s="4">
        <v>2016</v>
      </c>
      <c r="G1960" s="4">
        <v>1</v>
      </c>
      <c r="H1960" s="4">
        <v>18</v>
      </c>
      <c r="I1960" s="4">
        <v>3</v>
      </c>
      <c r="J1960" s="4">
        <v>24</v>
      </c>
      <c r="K1960" s="4">
        <v>25</v>
      </c>
      <c r="L1960" s="4" t="s">
        <v>16875</v>
      </c>
      <c r="M1960" s="4" t="s">
        <v>16876</v>
      </c>
      <c r="N1960" s="4" t="s">
        <v>16877</v>
      </c>
      <c r="O1960" s="4" t="s">
        <v>63</v>
      </c>
      <c r="P1960" s="4"/>
      <c r="Q1960" s="4" t="s">
        <v>63</v>
      </c>
      <c r="R1960" s="4" t="s">
        <v>63</v>
      </c>
      <c r="S1960" s="4" t="s">
        <v>63</v>
      </c>
      <c r="T1960" s="4" t="s">
        <v>63</v>
      </c>
      <c r="U1960" s="4"/>
      <c r="V1960" s="4"/>
      <c r="W1960" s="4"/>
      <c r="X1960" s="4" t="s">
        <v>63</v>
      </c>
      <c r="Y1960" s="4" t="s">
        <v>16156</v>
      </c>
      <c r="Z1960" s="4" t="s">
        <v>63</v>
      </c>
      <c r="AA1960" s="4" t="s">
        <v>63</v>
      </c>
      <c r="AB1960" s="4" t="s">
        <v>63</v>
      </c>
      <c r="AC1960" s="4" t="s">
        <v>67</v>
      </c>
      <c r="AD1960" s="4" t="s">
        <v>63</v>
      </c>
      <c r="AE1960" s="4" t="s">
        <v>63</v>
      </c>
      <c r="AF1960" s="4" t="s">
        <v>63</v>
      </c>
      <c r="AG1960" s="4" t="s">
        <v>63</v>
      </c>
      <c r="AH1960" s="4" t="s">
        <v>63</v>
      </c>
      <c r="AI1960" s="4" t="s">
        <v>63</v>
      </c>
      <c r="AJ1960" s="4" t="s">
        <v>63</v>
      </c>
      <c r="AK1960" s="4" t="s">
        <v>63</v>
      </c>
      <c r="AL1960" s="4" t="s">
        <v>63</v>
      </c>
      <c r="AM1960" s="4" t="s">
        <v>16874</v>
      </c>
      <c r="AN1960" s="4" t="s">
        <v>63</v>
      </c>
      <c r="AO1960" s="4" t="s">
        <v>63</v>
      </c>
      <c r="AP1960" s="4" t="s">
        <v>63</v>
      </c>
      <c r="AQ1960" s="4" t="s">
        <v>63</v>
      </c>
      <c r="AR1960" s="4" t="s">
        <v>63</v>
      </c>
      <c r="AS1960" s="4" t="s">
        <v>63</v>
      </c>
      <c r="AT1960" s="4" t="s">
        <v>63</v>
      </c>
      <c r="AU1960" s="4" t="s">
        <v>63</v>
      </c>
      <c r="AV1960" s="4" t="s">
        <v>63</v>
      </c>
      <c r="AW1960" s="4" t="s">
        <v>63</v>
      </c>
      <c r="AX1960" s="4" t="s">
        <v>63</v>
      </c>
      <c r="AY1960" s="4" t="s">
        <v>63</v>
      </c>
      <c r="AZ1960" s="4" t="s">
        <v>63</v>
      </c>
      <c r="BA1960" s="4" t="s">
        <v>63</v>
      </c>
      <c r="BB1960" s="4" t="s">
        <v>63</v>
      </c>
      <c r="BC1960" s="4" t="s">
        <v>63</v>
      </c>
      <c r="BD1960" s="4" t="s">
        <v>63</v>
      </c>
      <c r="BE1960" s="4" t="s">
        <v>63</v>
      </c>
      <c r="BF1960" s="4" t="s">
        <v>63</v>
      </c>
    </row>
    <row r="1961" spans="1:58">
      <c r="A1961" s="4" t="s">
        <v>58</v>
      </c>
      <c r="B1961" s="4" t="s">
        <v>16878</v>
      </c>
      <c r="C1961" s="4" t="s">
        <v>16879</v>
      </c>
      <c r="D1961" s="4" t="s">
        <v>16880</v>
      </c>
      <c r="E1961" s="4" t="s">
        <v>16881</v>
      </c>
      <c r="F1961" s="4">
        <v>2015</v>
      </c>
      <c r="G1961" s="4" t="s">
        <v>16882</v>
      </c>
      <c r="H1961" s="4">
        <v>40</v>
      </c>
      <c r="I1961" s="4">
        <v>5</v>
      </c>
      <c r="J1961" s="4" t="s">
        <v>16883</v>
      </c>
      <c r="K1961" s="4" t="s">
        <v>16884</v>
      </c>
      <c r="L1961" s="4" t="s">
        <v>16885</v>
      </c>
      <c r="M1961" s="4" t="s">
        <v>16886</v>
      </c>
      <c r="N1961" s="4" t="s">
        <v>16887</v>
      </c>
      <c r="O1961" s="4" t="s">
        <v>63</v>
      </c>
      <c r="P1961" s="4"/>
      <c r="Q1961" s="4" t="s">
        <v>63</v>
      </c>
      <c r="R1961" s="4" t="s">
        <v>63</v>
      </c>
      <c r="S1961" s="4" t="s">
        <v>63</v>
      </c>
      <c r="T1961" s="4" t="s">
        <v>63</v>
      </c>
      <c r="U1961" s="4"/>
      <c r="V1961" s="4"/>
      <c r="W1961" s="4"/>
      <c r="X1961" s="4" t="s">
        <v>63</v>
      </c>
      <c r="Y1961" s="4" t="s">
        <v>16888</v>
      </c>
      <c r="Z1961" s="4" t="s">
        <v>63</v>
      </c>
      <c r="AA1961" s="4" t="s">
        <v>63</v>
      </c>
      <c r="AB1961" s="4" t="s">
        <v>63</v>
      </c>
      <c r="AC1961" s="4" t="s">
        <v>67</v>
      </c>
      <c r="AD1961" s="4" t="s">
        <v>63</v>
      </c>
      <c r="AE1961" s="4" t="s">
        <v>63</v>
      </c>
      <c r="AF1961" s="4" t="s">
        <v>63</v>
      </c>
      <c r="AG1961" s="4" t="s">
        <v>63</v>
      </c>
      <c r="AH1961" s="4" t="s">
        <v>63</v>
      </c>
      <c r="AI1961" s="4" t="s">
        <v>16889</v>
      </c>
      <c r="AJ1961" s="4" t="s">
        <v>63</v>
      </c>
      <c r="AK1961" s="4" t="s">
        <v>63</v>
      </c>
      <c r="AL1961" s="4" t="s">
        <v>63</v>
      </c>
      <c r="AM1961" s="4" t="s">
        <v>16879</v>
      </c>
      <c r="AN1961" s="4" t="s">
        <v>63</v>
      </c>
      <c r="AO1961" s="4" t="s">
        <v>63</v>
      </c>
      <c r="AP1961" s="4" t="s">
        <v>63</v>
      </c>
      <c r="AQ1961" s="4" t="s">
        <v>63</v>
      </c>
      <c r="AR1961" s="4" t="s">
        <v>63</v>
      </c>
      <c r="AS1961" s="4" t="s">
        <v>63</v>
      </c>
      <c r="AT1961" s="4" t="s">
        <v>63</v>
      </c>
      <c r="AU1961" s="4" t="s">
        <v>63</v>
      </c>
      <c r="AV1961" s="4" t="s">
        <v>63</v>
      </c>
      <c r="AW1961" s="4" t="s">
        <v>63</v>
      </c>
      <c r="AX1961" s="4" t="s">
        <v>63</v>
      </c>
      <c r="AY1961" s="4" t="s">
        <v>63</v>
      </c>
      <c r="AZ1961" s="4" t="s">
        <v>63</v>
      </c>
      <c r="BA1961" s="4" t="s">
        <v>63</v>
      </c>
      <c r="BB1961" s="4" t="s">
        <v>63</v>
      </c>
      <c r="BC1961" s="4" t="s">
        <v>63</v>
      </c>
      <c r="BD1961" s="4" t="s">
        <v>63</v>
      </c>
      <c r="BE1961" s="4" t="s">
        <v>63</v>
      </c>
      <c r="BF1961" s="4" t="s">
        <v>63</v>
      </c>
    </row>
    <row r="1962" spans="1:58">
      <c r="A1962" s="4" t="s">
        <v>58</v>
      </c>
      <c r="B1962" s="4" t="s">
        <v>16890</v>
      </c>
      <c r="C1962" s="4" t="s">
        <v>16891</v>
      </c>
      <c r="D1962" s="4" t="s">
        <v>16892</v>
      </c>
      <c r="E1962" s="4" t="s">
        <v>63</v>
      </c>
      <c r="F1962" s="4">
        <v>2016</v>
      </c>
      <c r="G1962" s="4" t="s">
        <v>63</v>
      </c>
      <c r="H1962" s="4" t="s">
        <v>16893</v>
      </c>
      <c r="I1962" s="4" t="s">
        <v>63</v>
      </c>
      <c r="J1962" s="4" t="s">
        <v>63</v>
      </c>
      <c r="K1962" s="4" t="s">
        <v>63</v>
      </c>
      <c r="L1962" s="4" t="s">
        <v>16894</v>
      </c>
      <c r="M1962" s="4" t="s">
        <v>63</v>
      </c>
      <c r="N1962" s="4" t="s">
        <v>16895</v>
      </c>
      <c r="O1962" s="4" t="s">
        <v>63</v>
      </c>
      <c r="P1962" s="4"/>
      <c r="Q1962" s="4" t="s">
        <v>63</v>
      </c>
      <c r="R1962" s="4" t="s">
        <v>63</v>
      </c>
      <c r="S1962" s="4" t="s">
        <v>63</v>
      </c>
      <c r="T1962" s="4" t="s">
        <v>63</v>
      </c>
      <c r="U1962" s="4"/>
      <c r="V1962" s="4"/>
      <c r="W1962" s="4"/>
      <c r="X1962" s="4" t="s">
        <v>63</v>
      </c>
      <c r="Y1962" s="4" t="s">
        <v>16896</v>
      </c>
      <c r="Z1962" s="4" t="s">
        <v>63</v>
      </c>
      <c r="AA1962" s="4" t="s">
        <v>63</v>
      </c>
      <c r="AB1962" s="4" t="s">
        <v>16897</v>
      </c>
      <c r="AC1962" s="4" t="s">
        <v>67</v>
      </c>
      <c r="AD1962" s="4" t="s">
        <v>63</v>
      </c>
      <c r="AE1962" s="4" t="s">
        <v>63</v>
      </c>
      <c r="AF1962" s="4" t="s">
        <v>63</v>
      </c>
      <c r="AG1962" s="4" t="s">
        <v>63</v>
      </c>
      <c r="AH1962" s="4" t="s">
        <v>63</v>
      </c>
      <c r="AI1962" s="4" t="s">
        <v>16898</v>
      </c>
      <c r="AJ1962" s="4" t="s">
        <v>63</v>
      </c>
      <c r="AK1962" s="4" t="s">
        <v>63</v>
      </c>
      <c r="AL1962" s="4" t="s">
        <v>63</v>
      </c>
      <c r="AM1962" s="4" t="s">
        <v>16891</v>
      </c>
      <c r="AN1962" s="4" t="s">
        <v>63</v>
      </c>
      <c r="AO1962" s="4" t="s">
        <v>63</v>
      </c>
      <c r="AP1962" s="4" t="s">
        <v>63</v>
      </c>
      <c r="AQ1962" s="4" t="s">
        <v>63</v>
      </c>
      <c r="AR1962" s="4" t="s">
        <v>63</v>
      </c>
      <c r="AS1962" s="4" t="s">
        <v>63</v>
      </c>
      <c r="AT1962" s="4" t="s">
        <v>63</v>
      </c>
      <c r="AU1962" s="4" t="s">
        <v>63</v>
      </c>
      <c r="AV1962" s="4" t="s">
        <v>63</v>
      </c>
      <c r="AW1962" s="4" t="s">
        <v>63</v>
      </c>
      <c r="AX1962" s="4" t="s">
        <v>63</v>
      </c>
      <c r="AY1962" s="4" t="s">
        <v>63</v>
      </c>
      <c r="AZ1962" s="4" t="s">
        <v>63</v>
      </c>
      <c r="BA1962" s="4" t="s">
        <v>63</v>
      </c>
      <c r="BB1962" s="4" t="s">
        <v>63</v>
      </c>
      <c r="BC1962" s="4" t="s">
        <v>63</v>
      </c>
      <c r="BD1962" s="4" t="s">
        <v>63</v>
      </c>
      <c r="BE1962" s="4" t="s">
        <v>63</v>
      </c>
      <c r="BF1962" s="4" t="s">
        <v>63</v>
      </c>
    </row>
    <row r="1963" spans="1:58">
      <c r="A1963" s="4" t="s">
        <v>58</v>
      </c>
      <c r="B1963" s="4" t="s">
        <v>16899</v>
      </c>
      <c r="C1963" s="4" t="s">
        <v>16900</v>
      </c>
      <c r="D1963" s="4" t="s">
        <v>16901</v>
      </c>
      <c r="E1963" s="4" t="s">
        <v>63</v>
      </c>
      <c r="F1963" s="4">
        <v>2015</v>
      </c>
      <c r="G1963" s="4">
        <v>1</v>
      </c>
      <c r="H1963" s="4">
        <v>30</v>
      </c>
      <c r="I1963" s="4">
        <v>3</v>
      </c>
      <c r="J1963" s="4">
        <v>149</v>
      </c>
      <c r="K1963" s="4">
        <v>157</v>
      </c>
      <c r="L1963" s="4" t="s">
        <v>16902</v>
      </c>
      <c r="M1963" s="4" t="s">
        <v>16903</v>
      </c>
      <c r="N1963" s="4" t="s">
        <v>16904</v>
      </c>
      <c r="O1963" s="4" t="s">
        <v>63</v>
      </c>
      <c r="P1963" s="4"/>
      <c r="Q1963" s="4" t="s">
        <v>63</v>
      </c>
      <c r="R1963" s="4" t="s">
        <v>63</v>
      </c>
      <c r="S1963" s="4" t="s">
        <v>63</v>
      </c>
      <c r="T1963" s="4" t="s">
        <v>63</v>
      </c>
      <c r="U1963" s="4"/>
      <c r="V1963" s="4"/>
      <c r="W1963" s="4"/>
      <c r="X1963" s="4" t="s">
        <v>63</v>
      </c>
      <c r="Y1963" s="4" t="s">
        <v>16905</v>
      </c>
      <c r="Z1963" s="4" t="s">
        <v>63</v>
      </c>
      <c r="AA1963" s="4" t="s">
        <v>63</v>
      </c>
      <c r="AB1963" s="4" t="s">
        <v>16906</v>
      </c>
      <c r="AC1963" s="4" t="s">
        <v>16907</v>
      </c>
      <c r="AD1963" s="4" t="s">
        <v>63</v>
      </c>
      <c r="AE1963" s="4" t="s">
        <v>63</v>
      </c>
      <c r="AF1963" s="4" t="s">
        <v>63</v>
      </c>
      <c r="AG1963" s="4" t="s">
        <v>63</v>
      </c>
      <c r="AH1963" s="4" t="s">
        <v>63</v>
      </c>
      <c r="AI1963" s="4" t="s">
        <v>63</v>
      </c>
      <c r="AJ1963" s="4" t="s">
        <v>63</v>
      </c>
      <c r="AK1963" s="4" t="s">
        <v>63</v>
      </c>
      <c r="AL1963" s="4" t="s">
        <v>63</v>
      </c>
      <c r="AM1963" s="4" t="s">
        <v>16900</v>
      </c>
      <c r="AN1963" s="4" t="s">
        <v>63</v>
      </c>
      <c r="AO1963" s="4" t="s">
        <v>63</v>
      </c>
      <c r="AP1963" s="4" t="s">
        <v>63</v>
      </c>
      <c r="AQ1963" s="4" t="s">
        <v>63</v>
      </c>
      <c r="AR1963" s="4" t="s">
        <v>63</v>
      </c>
      <c r="AS1963" s="4" t="s">
        <v>63</v>
      </c>
      <c r="AT1963" s="4" t="s">
        <v>63</v>
      </c>
      <c r="AU1963" s="4" t="s">
        <v>63</v>
      </c>
      <c r="AV1963" s="4" t="s">
        <v>63</v>
      </c>
      <c r="AW1963" s="4" t="s">
        <v>63</v>
      </c>
      <c r="AX1963" s="4" t="s">
        <v>63</v>
      </c>
      <c r="AY1963" s="4" t="s">
        <v>63</v>
      </c>
      <c r="AZ1963" s="4" t="s">
        <v>63</v>
      </c>
      <c r="BA1963" s="4" t="s">
        <v>63</v>
      </c>
      <c r="BB1963" s="4" t="s">
        <v>63</v>
      </c>
      <c r="BC1963" s="4" t="s">
        <v>63</v>
      </c>
      <c r="BD1963" s="4" t="s">
        <v>63</v>
      </c>
      <c r="BE1963" s="4" t="s">
        <v>63</v>
      </c>
      <c r="BF1963" s="4" t="s">
        <v>63</v>
      </c>
    </row>
    <row r="1964" spans="1:58">
      <c r="A1964" s="4" t="s">
        <v>58</v>
      </c>
      <c r="B1964" s="4" t="s">
        <v>16908</v>
      </c>
      <c r="C1964" s="4" t="s">
        <v>16909</v>
      </c>
      <c r="D1964" s="4" t="s">
        <v>16910</v>
      </c>
      <c r="E1964" s="4" t="s">
        <v>16910</v>
      </c>
      <c r="F1964" s="4">
        <v>2017</v>
      </c>
      <c r="G1964" s="4">
        <v>1</v>
      </c>
      <c r="H1964" s="4">
        <v>22</v>
      </c>
      <c r="I1964" s="4">
        <v>1</v>
      </c>
      <c r="J1964" s="4">
        <v>115</v>
      </c>
      <c r="K1964" s="4">
        <v>121</v>
      </c>
      <c r="L1964" s="4" t="s">
        <v>16911</v>
      </c>
      <c r="M1964" s="4" t="s">
        <v>16912</v>
      </c>
      <c r="N1964" s="4" t="s">
        <v>16913</v>
      </c>
      <c r="O1964" s="4" t="s">
        <v>63</v>
      </c>
      <c r="P1964" s="4"/>
      <c r="Q1964" s="4" t="s">
        <v>63</v>
      </c>
      <c r="R1964" s="4" t="s">
        <v>63</v>
      </c>
      <c r="S1964" s="4" t="s">
        <v>63</v>
      </c>
      <c r="T1964" s="4" t="s">
        <v>63</v>
      </c>
      <c r="U1964" s="4"/>
      <c r="V1964" s="4"/>
      <c r="W1964" s="4"/>
      <c r="X1964" s="4" t="s">
        <v>63</v>
      </c>
      <c r="Y1964" s="4" t="s">
        <v>16914</v>
      </c>
      <c r="Z1964" s="4" t="s">
        <v>63</v>
      </c>
      <c r="AA1964" s="4" t="s">
        <v>63</v>
      </c>
      <c r="AB1964" s="4">
        <v>20170095004</v>
      </c>
      <c r="AC1964" s="4" t="s">
        <v>67</v>
      </c>
      <c r="AD1964" s="4" t="s">
        <v>63</v>
      </c>
      <c r="AE1964" s="4" t="s">
        <v>63</v>
      </c>
      <c r="AF1964" s="4" t="s">
        <v>63</v>
      </c>
      <c r="AG1964" s="4" t="s">
        <v>16915</v>
      </c>
      <c r="AH1964" s="4" t="s">
        <v>63</v>
      </c>
      <c r="AI1964" s="4" t="s">
        <v>16916</v>
      </c>
      <c r="AJ1964" s="4" t="s">
        <v>63</v>
      </c>
      <c r="AK1964" s="4" t="s">
        <v>63</v>
      </c>
      <c r="AL1964" s="4" t="s">
        <v>63</v>
      </c>
      <c r="AM1964" s="4" t="s">
        <v>16917</v>
      </c>
      <c r="AN1964" s="4" t="s">
        <v>63</v>
      </c>
      <c r="AO1964" s="4" t="s">
        <v>63</v>
      </c>
      <c r="AP1964" s="4" t="s">
        <v>63</v>
      </c>
      <c r="AQ1964" s="4" t="s">
        <v>63</v>
      </c>
      <c r="AR1964" s="4" t="s">
        <v>63</v>
      </c>
      <c r="AS1964" s="4" t="s">
        <v>63</v>
      </c>
      <c r="AT1964" s="4" t="s">
        <v>63</v>
      </c>
      <c r="AU1964" s="4" t="s">
        <v>63</v>
      </c>
      <c r="AV1964" s="4" t="s">
        <v>63</v>
      </c>
      <c r="AW1964" s="4" t="s">
        <v>63</v>
      </c>
      <c r="AX1964" s="4" t="s">
        <v>63</v>
      </c>
      <c r="AY1964" s="4" t="s">
        <v>63</v>
      </c>
      <c r="AZ1964" s="4" t="s">
        <v>63</v>
      </c>
      <c r="BA1964" s="4" t="s">
        <v>63</v>
      </c>
      <c r="BB1964" s="4" t="s">
        <v>63</v>
      </c>
      <c r="BC1964" s="4" t="s">
        <v>63</v>
      </c>
      <c r="BD1964" s="4" t="s">
        <v>63</v>
      </c>
      <c r="BE1964" s="4" t="s">
        <v>63</v>
      </c>
      <c r="BF1964" s="4" t="s">
        <v>63</v>
      </c>
    </row>
    <row r="1965" spans="1:58">
      <c r="A1965" s="4" t="s">
        <v>58</v>
      </c>
      <c r="B1965" s="4" t="s">
        <v>16918</v>
      </c>
      <c r="C1965" s="4" t="s">
        <v>16919</v>
      </c>
      <c r="D1965" s="4" t="s">
        <v>16920</v>
      </c>
      <c r="E1965" s="4" t="s">
        <v>63</v>
      </c>
      <c r="F1965" s="4">
        <v>2005</v>
      </c>
      <c r="G1965" s="4" t="s">
        <v>73</v>
      </c>
      <c r="H1965" s="4" t="s">
        <v>63</v>
      </c>
      <c r="I1965" s="4">
        <v>78</v>
      </c>
      <c r="J1965" s="4">
        <v>52</v>
      </c>
      <c r="K1965" s="4">
        <v>72</v>
      </c>
      <c r="L1965" s="4" t="s">
        <v>16921</v>
      </c>
      <c r="M1965" s="4" t="s">
        <v>16922</v>
      </c>
      <c r="N1965" s="4" t="s">
        <v>16923</v>
      </c>
      <c r="O1965" s="4" t="s">
        <v>63</v>
      </c>
      <c r="P1965" s="4"/>
      <c r="Q1965" s="4" t="s">
        <v>63</v>
      </c>
      <c r="R1965" s="4" t="s">
        <v>63</v>
      </c>
      <c r="S1965" s="4" t="s">
        <v>63</v>
      </c>
      <c r="T1965" s="4" t="s">
        <v>63</v>
      </c>
      <c r="U1965" s="4"/>
      <c r="V1965" s="4"/>
      <c r="W1965" s="4"/>
      <c r="X1965" s="4" t="s">
        <v>63</v>
      </c>
      <c r="Y1965" s="4" t="s">
        <v>16924</v>
      </c>
      <c r="Z1965" s="4" t="s">
        <v>63</v>
      </c>
      <c r="AA1965" s="4" t="s">
        <v>63</v>
      </c>
      <c r="AB1965" s="4" t="s">
        <v>16925</v>
      </c>
      <c r="AC1965" s="4" t="s">
        <v>67</v>
      </c>
      <c r="AD1965" s="4" t="s">
        <v>63</v>
      </c>
      <c r="AE1965" s="4" t="s">
        <v>63</v>
      </c>
      <c r="AF1965" s="4" t="s">
        <v>63</v>
      </c>
      <c r="AG1965" s="4" t="s">
        <v>63</v>
      </c>
      <c r="AH1965" s="4" t="s">
        <v>63</v>
      </c>
      <c r="AI1965" s="4" t="s">
        <v>63</v>
      </c>
      <c r="AJ1965" s="4" t="s">
        <v>63</v>
      </c>
      <c r="AK1965" s="4" t="s">
        <v>63</v>
      </c>
      <c r="AL1965" s="4" t="s">
        <v>63</v>
      </c>
      <c r="AM1965" s="4" t="s">
        <v>16919</v>
      </c>
      <c r="AN1965" s="4" t="s">
        <v>63</v>
      </c>
      <c r="AO1965" s="4" t="s">
        <v>63</v>
      </c>
      <c r="AP1965" s="4" t="s">
        <v>63</v>
      </c>
      <c r="AQ1965" s="4" t="s">
        <v>63</v>
      </c>
      <c r="AR1965" s="4" t="s">
        <v>63</v>
      </c>
      <c r="AS1965" s="4" t="s">
        <v>63</v>
      </c>
      <c r="AT1965" s="4" t="s">
        <v>63</v>
      </c>
      <c r="AU1965" s="4" t="s">
        <v>63</v>
      </c>
      <c r="AV1965" s="4" t="s">
        <v>63</v>
      </c>
      <c r="AW1965" s="4" t="s">
        <v>63</v>
      </c>
      <c r="AX1965" s="4" t="s">
        <v>63</v>
      </c>
      <c r="AY1965" s="4" t="s">
        <v>63</v>
      </c>
      <c r="AZ1965" s="4" t="s">
        <v>63</v>
      </c>
      <c r="BA1965" s="4" t="s">
        <v>63</v>
      </c>
      <c r="BB1965" s="4" t="s">
        <v>63</v>
      </c>
      <c r="BC1965" s="4" t="s">
        <v>63</v>
      </c>
      <c r="BD1965" s="4" t="s">
        <v>63</v>
      </c>
      <c r="BE1965" s="4" t="s">
        <v>63</v>
      </c>
      <c r="BF1965" s="4" t="s">
        <v>63</v>
      </c>
    </row>
    <row r="1966" spans="1:58">
      <c r="A1966" s="4" t="s">
        <v>58</v>
      </c>
      <c r="B1966" s="4" t="s">
        <v>16926</v>
      </c>
      <c r="C1966" s="4" t="s">
        <v>16927</v>
      </c>
      <c r="D1966" s="4" t="s">
        <v>16928</v>
      </c>
      <c r="E1966" s="4" t="s">
        <v>63</v>
      </c>
      <c r="F1966" s="4">
        <v>2006</v>
      </c>
      <c r="G1966" s="6">
        <v>41857</v>
      </c>
      <c r="H1966" s="7">
        <v>6.260416666666667</v>
      </c>
      <c r="I1966" s="4" t="s">
        <v>63</v>
      </c>
      <c r="J1966" s="4" t="s">
        <v>63</v>
      </c>
      <c r="K1966" s="4" t="s">
        <v>63</v>
      </c>
      <c r="L1966" s="4" t="s">
        <v>16929</v>
      </c>
      <c r="M1966" s="4" t="s">
        <v>63</v>
      </c>
      <c r="N1966" s="4" t="s">
        <v>16930</v>
      </c>
      <c r="O1966" s="4" t="s">
        <v>63</v>
      </c>
      <c r="P1966" s="4"/>
      <c r="Q1966" s="4" t="s">
        <v>63</v>
      </c>
      <c r="R1966" s="4" t="s">
        <v>63</v>
      </c>
      <c r="S1966" s="4" t="s">
        <v>63</v>
      </c>
      <c r="T1966" s="4" t="s">
        <v>63</v>
      </c>
      <c r="U1966" s="4"/>
      <c r="V1966" s="4"/>
      <c r="W1966" s="4"/>
      <c r="X1966" s="4" t="s">
        <v>63</v>
      </c>
      <c r="Y1966" s="5">
        <v>41988</v>
      </c>
      <c r="Z1966" s="4" t="s">
        <v>63</v>
      </c>
      <c r="AA1966" s="4" t="s">
        <v>63</v>
      </c>
      <c r="AB1966" s="4" t="s">
        <v>16931</v>
      </c>
      <c r="AC1966" s="4" t="s">
        <v>67</v>
      </c>
      <c r="AD1966" s="4" t="s">
        <v>63</v>
      </c>
      <c r="AE1966" s="4" t="s">
        <v>63</v>
      </c>
      <c r="AF1966" s="4" t="s">
        <v>63</v>
      </c>
      <c r="AG1966" s="4" t="s">
        <v>63</v>
      </c>
      <c r="AH1966" s="4" t="s">
        <v>63</v>
      </c>
      <c r="AI1966" s="4" t="s">
        <v>63</v>
      </c>
      <c r="AJ1966" s="4" t="s">
        <v>63</v>
      </c>
      <c r="AK1966" s="4" t="s">
        <v>63</v>
      </c>
      <c r="AL1966" s="4" t="s">
        <v>63</v>
      </c>
      <c r="AM1966" s="4" t="s">
        <v>16927</v>
      </c>
      <c r="AN1966" s="4" t="s">
        <v>63</v>
      </c>
      <c r="AO1966" s="4" t="s">
        <v>63</v>
      </c>
      <c r="AP1966" s="4" t="s">
        <v>63</v>
      </c>
      <c r="AQ1966" s="4" t="s">
        <v>63</v>
      </c>
      <c r="AR1966" s="4" t="s">
        <v>63</v>
      </c>
      <c r="AS1966" s="4" t="s">
        <v>63</v>
      </c>
      <c r="AT1966" s="4" t="s">
        <v>63</v>
      </c>
      <c r="AU1966" s="4" t="s">
        <v>63</v>
      </c>
      <c r="AV1966" s="4" t="s">
        <v>63</v>
      </c>
      <c r="AW1966" s="4" t="s">
        <v>63</v>
      </c>
      <c r="AX1966" s="4" t="s">
        <v>63</v>
      </c>
      <c r="AY1966" s="4" t="s">
        <v>63</v>
      </c>
      <c r="AZ1966" s="4" t="s">
        <v>63</v>
      </c>
      <c r="BA1966" s="4" t="s">
        <v>63</v>
      </c>
      <c r="BB1966" s="4" t="s">
        <v>63</v>
      </c>
      <c r="BC1966" s="4" t="s">
        <v>63</v>
      </c>
      <c r="BD1966" s="4" t="s">
        <v>63</v>
      </c>
      <c r="BE1966" s="4" t="s">
        <v>63</v>
      </c>
      <c r="BF1966" s="4" t="s">
        <v>63</v>
      </c>
    </row>
    <row r="1967" spans="1:58">
      <c r="A1967" s="4" t="s">
        <v>58</v>
      </c>
      <c r="B1967" s="4" t="s">
        <v>16932</v>
      </c>
      <c r="C1967" s="4" t="s">
        <v>16933</v>
      </c>
      <c r="D1967" s="4" t="s">
        <v>2731</v>
      </c>
      <c r="E1967" s="4" t="s">
        <v>63</v>
      </c>
      <c r="F1967" s="4">
        <v>2016</v>
      </c>
      <c r="G1967" s="4">
        <v>1</v>
      </c>
      <c r="H1967" s="4">
        <v>12</v>
      </c>
      <c r="I1967" s="4">
        <v>5</v>
      </c>
      <c r="J1967" s="4">
        <v>360</v>
      </c>
      <c r="K1967" s="4">
        <v>366</v>
      </c>
      <c r="L1967" s="4" t="s">
        <v>16934</v>
      </c>
      <c r="M1967" s="4" t="s">
        <v>16935</v>
      </c>
      <c r="N1967" s="4" t="s">
        <v>16936</v>
      </c>
      <c r="O1967" s="4" t="s">
        <v>63</v>
      </c>
      <c r="P1967" s="4"/>
      <c r="Q1967" s="4" t="s">
        <v>63</v>
      </c>
      <c r="R1967" s="4" t="s">
        <v>63</v>
      </c>
      <c r="S1967" s="4" t="s">
        <v>63</v>
      </c>
      <c r="T1967" s="4" t="s">
        <v>63</v>
      </c>
      <c r="U1967" s="4"/>
      <c r="V1967" s="4"/>
      <c r="W1967" s="4"/>
      <c r="X1967" s="4" t="s">
        <v>63</v>
      </c>
      <c r="Y1967" s="4" t="s">
        <v>16937</v>
      </c>
      <c r="Z1967" s="4" t="s">
        <v>63</v>
      </c>
      <c r="AA1967" s="4" t="s">
        <v>63</v>
      </c>
      <c r="AB1967" s="4" t="s">
        <v>16938</v>
      </c>
      <c r="AC1967" s="4" t="s">
        <v>67</v>
      </c>
      <c r="AD1967" s="4" t="s">
        <v>63</v>
      </c>
      <c r="AE1967" s="4" t="s">
        <v>63</v>
      </c>
      <c r="AF1967" s="4" t="s">
        <v>63</v>
      </c>
      <c r="AG1967" s="4" t="s">
        <v>63</v>
      </c>
      <c r="AH1967" s="4" t="s">
        <v>63</v>
      </c>
      <c r="AI1967" s="4" t="s">
        <v>16939</v>
      </c>
      <c r="AJ1967" s="4" t="s">
        <v>63</v>
      </c>
      <c r="AK1967" s="4" t="s">
        <v>63</v>
      </c>
      <c r="AL1967" s="4" t="s">
        <v>63</v>
      </c>
      <c r="AM1967" s="4" t="s">
        <v>16933</v>
      </c>
      <c r="AN1967" s="4" t="s">
        <v>63</v>
      </c>
      <c r="AO1967" s="4" t="s">
        <v>63</v>
      </c>
      <c r="AP1967" s="4" t="s">
        <v>63</v>
      </c>
      <c r="AQ1967" s="4" t="s">
        <v>63</v>
      </c>
      <c r="AR1967" s="4" t="s">
        <v>63</v>
      </c>
      <c r="AS1967" s="4" t="s">
        <v>63</v>
      </c>
      <c r="AT1967" s="4" t="s">
        <v>63</v>
      </c>
      <c r="AU1967" s="4" t="s">
        <v>63</v>
      </c>
      <c r="AV1967" s="4" t="s">
        <v>63</v>
      </c>
      <c r="AW1967" s="4" t="s">
        <v>63</v>
      </c>
      <c r="AX1967" s="4" t="s">
        <v>63</v>
      </c>
      <c r="AY1967" s="4" t="s">
        <v>63</v>
      </c>
      <c r="AZ1967" s="4" t="s">
        <v>63</v>
      </c>
      <c r="BA1967" s="4" t="s">
        <v>63</v>
      </c>
      <c r="BB1967" s="4" t="s">
        <v>63</v>
      </c>
      <c r="BC1967" s="4" t="s">
        <v>63</v>
      </c>
      <c r="BD1967" s="4" t="s">
        <v>63</v>
      </c>
      <c r="BE1967" s="4" t="s">
        <v>63</v>
      </c>
      <c r="BF1967" s="4" t="s">
        <v>63</v>
      </c>
    </row>
    <row r="1968" spans="1:58">
      <c r="A1968" s="4" t="s">
        <v>58</v>
      </c>
      <c r="B1968" s="4" t="s">
        <v>16940</v>
      </c>
      <c r="C1968" s="4" t="s">
        <v>16941</v>
      </c>
      <c r="D1968" s="4" t="s">
        <v>15515</v>
      </c>
      <c r="E1968" s="4" t="s">
        <v>15516</v>
      </c>
      <c r="F1968" s="4">
        <v>1992</v>
      </c>
      <c r="G1968" s="4" t="s">
        <v>63</v>
      </c>
      <c r="H1968" s="4">
        <v>267</v>
      </c>
      <c r="I1968" s="4">
        <v>5</v>
      </c>
      <c r="J1968" s="4">
        <v>702</v>
      </c>
      <c r="K1968" s="4">
        <v>703</v>
      </c>
      <c r="L1968" s="4" t="s">
        <v>16942</v>
      </c>
      <c r="M1968" s="4" t="s">
        <v>63</v>
      </c>
      <c r="N1968" s="4" t="s">
        <v>16943</v>
      </c>
      <c r="O1968" s="4" t="s">
        <v>63</v>
      </c>
      <c r="P1968" s="4"/>
      <c r="Q1968" s="4" t="s">
        <v>63</v>
      </c>
      <c r="R1968" s="4" t="s">
        <v>63</v>
      </c>
      <c r="S1968" s="4" t="s">
        <v>63</v>
      </c>
      <c r="T1968" s="4" t="s">
        <v>63</v>
      </c>
      <c r="U1968" s="4"/>
      <c r="V1968" s="4"/>
      <c r="W1968" s="4"/>
      <c r="X1968" s="4" t="s">
        <v>63</v>
      </c>
      <c r="Y1968" s="4" t="s">
        <v>208</v>
      </c>
      <c r="Z1968" s="4" t="s">
        <v>63</v>
      </c>
      <c r="AA1968" s="4" t="s">
        <v>63</v>
      </c>
      <c r="AB1968" s="4">
        <v>1992091915</v>
      </c>
      <c r="AC1968" s="4" t="s">
        <v>67</v>
      </c>
      <c r="AD1968" s="4" t="s">
        <v>63</v>
      </c>
      <c r="AE1968" s="4" t="s">
        <v>63</v>
      </c>
      <c r="AF1968" s="4" t="s">
        <v>63</v>
      </c>
      <c r="AG1968" s="4" t="s">
        <v>16944</v>
      </c>
      <c r="AH1968" s="4" t="s">
        <v>63</v>
      </c>
      <c r="AI1968" s="4" t="s">
        <v>16945</v>
      </c>
      <c r="AJ1968" s="4" t="s">
        <v>63</v>
      </c>
      <c r="AK1968" s="4" t="s">
        <v>63</v>
      </c>
      <c r="AL1968" s="4" t="s">
        <v>63</v>
      </c>
      <c r="AM1968" s="4" t="s">
        <v>16946</v>
      </c>
      <c r="AN1968" s="4" t="s">
        <v>63</v>
      </c>
      <c r="AO1968" s="4" t="s">
        <v>63</v>
      </c>
      <c r="AP1968" s="4" t="s">
        <v>63</v>
      </c>
      <c r="AQ1968" s="4" t="s">
        <v>63</v>
      </c>
      <c r="AR1968" s="4" t="s">
        <v>63</v>
      </c>
      <c r="AS1968" s="4" t="s">
        <v>63</v>
      </c>
      <c r="AT1968" s="4" t="s">
        <v>63</v>
      </c>
      <c r="AU1968" s="4" t="s">
        <v>63</v>
      </c>
      <c r="AV1968" s="4" t="s">
        <v>63</v>
      </c>
      <c r="AW1968" s="4" t="s">
        <v>63</v>
      </c>
      <c r="AX1968" s="4" t="s">
        <v>63</v>
      </c>
      <c r="AY1968" s="4" t="s">
        <v>63</v>
      </c>
      <c r="AZ1968" s="4" t="s">
        <v>63</v>
      </c>
      <c r="BA1968" s="4" t="s">
        <v>63</v>
      </c>
      <c r="BB1968" s="4" t="s">
        <v>63</v>
      </c>
      <c r="BC1968" s="4" t="s">
        <v>63</v>
      </c>
      <c r="BD1968" s="4" t="s">
        <v>63</v>
      </c>
      <c r="BE1968" s="4" t="s">
        <v>63</v>
      </c>
      <c r="BF1968" s="4" t="s">
        <v>63</v>
      </c>
    </row>
    <row r="1969" spans="1:58">
      <c r="A1969" s="4" t="s">
        <v>58</v>
      </c>
      <c r="B1969" s="4" t="s">
        <v>16947</v>
      </c>
      <c r="C1969" s="4" t="s">
        <v>16948</v>
      </c>
      <c r="D1969" s="4" t="s">
        <v>5991</v>
      </c>
      <c r="E1969" s="4" t="s">
        <v>5992</v>
      </c>
      <c r="F1969" s="4">
        <v>1974</v>
      </c>
      <c r="G1969" s="4" t="s">
        <v>63</v>
      </c>
      <c r="H1969" s="4" t="s">
        <v>16949</v>
      </c>
      <c r="I1969" s="4">
        <v>3</v>
      </c>
      <c r="J1969" s="4">
        <v>505</v>
      </c>
      <c r="K1969" s="4">
        <v>511</v>
      </c>
      <c r="L1969" s="4" t="s">
        <v>16950</v>
      </c>
      <c r="M1969" s="4" t="s">
        <v>63</v>
      </c>
      <c r="N1969" s="4" t="s">
        <v>16951</v>
      </c>
      <c r="O1969" s="4" t="s">
        <v>63</v>
      </c>
      <c r="P1969" s="4"/>
      <c r="Q1969" s="4" t="s">
        <v>63</v>
      </c>
      <c r="R1969" s="4" t="s">
        <v>63</v>
      </c>
      <c r="S1969" s="4" t="s">
        <v>63</v>
      </c>
      <c r="T1969" s="4" t="s">
        <v>63</v>
      </c>
      <c r="U1969" s="4"/>
      <c r="V1969" s="4"/>
      <c r="W1969" s="4"/>
      <c r="X1969" s="4" t="s">
        <v>63</v>
      </c>
      <c r="Y1969" s="4" t="s">
        <v>5996</v>
      </c>
      <c r="Z1969" s="4" t="s">
        <v>63</v>
      </c>
      <c r="AA1969" s="4" t="s">
        <v>63</v>
      </c>
      <c r="AB1969" s="4" t="s">
        <v>63</v>
      </c>
      <c r="AC1969" s="4" t="s">
        <v>67</v>
      </c>
      <c r="AD1969" s="4" t="s">
        <v>63</v>
      </c>
      <c r="AE1969" s="4" t="s">
        <v>63</v>
      </c>
      <c r="AF1969" s="4" t="s">
        <v>63</v>
      </c>
      <c r="AG1969" s="4" t="s">
        <v>16952</v>
      </c>
      <c r="AH1969" s="4" t="s">
        <v>63</v>
      </c>
      <c r="AI1969" s="4" t="s">
        <v>63</v>
      </c>
      <c r="AJ1969" s="4" t="s">
        <v>63</v>
      </c>
      <c r="AK1969" s="4" t="s">
        <v>63</v>
      </c>
      <c r="AL1969" s="4" t="s">
        <v>63</v>
      </c>
      <c r="AM1969" s="4" t="s">
        <v>16953</v>
      </c>
      <c r="AN1969" s="4" t="s">
        <v>63</v>
      </c>
      <c r="AO1969" s="4" t="s">
        <v>63</v>
      </c>
      <c r="AP1969" s="4" t="s">
        <v>63</v>
      </c>
      <c r="AQ1969" s="4" t="s">
        <v>63</v>
      </c>
      <c r="AR1969" s="4" t="s">
        <v>63</v>
      </c>
      <c r="AS1969" s="4" t="s">
        <v>63</v>
      </c>
      <c r="AT1969" s="4" t="s">
        <v>63</v>
      </c>
      <c r="AU1969" s="4" t="s">
        <v>63</v>
      </c>
      <c r="AV1969" s="4" t="s">
        <v>63</v>
      </c>
      <c r="AW1969" s="4" t="s">
        <v>63</v>
      </c>
      <c r="AX1969" s="4" t="s">
        <v>63</v>
      </c>
      <c r="AY1969" s="4" t="s">
        <v>63</v>
      </c>
      <c r="AZ1969" s="4" t="s">
        <v>63</v>
      </c>
      <c r="BA1969" s="4" t="s">
        <v>63</v>
      </c>
      <c r="BB1969" s="4" t="s">
        <v>63</v>
      </c>
      <c r="BC1969" s="4" t="s">
        <v>63</v>
      </c>
      <c r="BD1969" s="4" t="s">
        <v>63</v>
      </c>
      <c r="BE1969" s="4" t="s">
        <v>63</v>
      </c>
      <c r="BF1969" s="4" t="s">
        <v>63</v>
      </c>
    </row>
    <row r="1970" spans="1:58">
      <c r="A1970" s="4" t="s">
        <v>58</v>
      </c>
      <c r="B1970" s="4" t="s">
        <v>16954</v>
      </c>
      <c r="C1970" s="4" t="s">
        <v>16955</v>
      </c>
      <c r="D1970" s="4" t="s">
        <v>16100</v>
      </c>
      <c r="E1970" s="4" t="s">
        <v>63</v>
      </c>
      <c r="F1970" s="4">
        <v>2014</v>
      </c>
      <c r="G1970" s="4">
        <v>1</v>
      </c>
      <c r="H1970" s="4" t="s">
        <v>16101</v>
      </c>
      <c r="I1970" s="4" t="s">
        <v>63</v>
      </c>
      <c r="J1970" s="4" t="s">
        <v>16228</v>
      </c>
      <c r="K1970" s="4" t="s">
        <v>63</v>
      </c>
      <c r="L1970" s="4" t="s">
        <v>16956</v>
      </c>
      <c r="M1970" s="4" t="s">
        <v>16957</v>
      </c>
      <c r="N1970" s="4" t="s">
        <v>16958</v>
      </c>
      <c r="O1970" s="4" t="s">
        <v>63</v>
      </c>
      <c r="P1970" s="4"/>
      <c r="Q1970" s="4" t="s">
        <v>63</v>
      </c>
      <c r="R1970" s="4" t="s">
        <v>63</v>
      </c>
      <c r="S1970" s="4" t="s">
        <v>63</v>
      </c>
      <c r="T1970" s="4" t="s">
        <v>63</v>
      </c>
      <c r="U1970" s="4"/>
      <c r="V1970" s="4"/>
      <c r="W1970" s="4"/>
      <c r="X1970" s="4" t="s">
        <v>63</v>
      </c>
      <c r="Y1970" s="4" t="s">
        <v>185</v>
      </c>
      <c r="Z1970" s="4" t="s">
        <v>63</v>
      </c>
      <c r="AA1970" s="4" t="s">
        <v>63</v>
      </c>
      <c r="AB1970" s="4" t="s">
        <v>63</v>
      </c>
      <c r="AC1970" s="4" t="s">
        <v>67</v>
      </c>
      <c r="AD1970" s="4" t="s">
        <v>63</v>
      </c>
      <c r="AE1970" s="4" t="s">
        <v>63</v>
      </c>
      <c r="AF1970" s="4" t="s">
        <v>63</v>
      </c>
      <c r="AG1970" s="4" t="s">
        <v>63</v>
      </c>
      <c r="AH1970" s="4" t="s">
        <v>63</v>
      </c>
      <c r="AI1970" s="4" t="s">
        <v>16959</v>
      </c>
      <c r="AJ1970" s="4" t="s">
        <v>63</v>
      </c>
      <c r="AK1970" s="4" t="s">
        <v>63</v>
      </c>
      <c r="AL1970" s="4" t="s">
        <v>63</v>
      </c>
      <c r="AM1970" s="4" t="s">
        <v>16955</v>
      </c>
      <c r="AN1970" s="4" t="s">
        <v>63</v>
      </c>
      <c r="AO1970" s="4" t="s">
        <v>63</v>
      </c>
      <c r="AP1970" s="4" t="s">
        <v>63</v>
      </c>
      <c r="AQ1970" s="4" t="s">
        <v>63</v>
      </c>
      <c r="AR1970" s="4" t="s">
        <v>63</v>
      </c>
      <c r="AS1970" s="4" t="s">
        <v>63</v>
      </c>
      <c r="AT1970" s="4" t="s">
        <v>63</v>
      </c>
      <c r="AU1970" s="4" t="s">
        <v>63</v>
      </c>
      <c r="AV1970" s="4" t="s">
        <v>63</v>
      </c>
      <c r="AW1970" s="4" t="s">
        <v>63</v>
      </c>
      <c r="AX1970" s="4" t="s">
        <v>63</v>
      </c>
      <c r="AY1970" s="4" t="s">
        <v>63</v>
      </c>
      <c r="AZ1970" s="4" t="s">
        <v>63</v>
      </c>
      <c r="BA1970" s="4" t="s">
        <v>63</v>
      </c>
      <c r="BB1970" s="4" t="s">
        <v>63</v>
      </c>
      <c r="BC1970" s="4" t="s">
        <v>63</v>
      </c>
      <c r="BD1970" s="4" t="s">
        <v>63</v>
      </c>
      <c r="BE1970" s="4" t="s">
        <v>63</v>
      </c>
      <c r="BF1970" s="4" t="s">
        <v>63</v>
      </c>
    </row>
    <row r="1971" spans="1:58">
      <c r="A1971" s="4" t="s">
        <v>58</v>
      </c>
      <c r="B1971" s="4" t="s">
        <v>16960</v>
      </c>
      <c r="C1971" s="4" t="s">
        <v>16961</v>
      </c>
      <c r="D1971" s="4" t="s">
        <v>16962</v>
      </c>
      <c r="E1971" s="4" t="s">
        <v>63</v>
      </c>
      <c r="F1971" s="4">
        <v>2004</v>
      </c>
      <c r="G1971" s="4" t="s">
        <v>63</v>
      </c>
      <c r="H1971" s="4">
        <v>30</v>
      </c>
      <c r="I1971" s="4">
        <v>1</v>
      </c>
      <c r="J1971" s="4">
        <v>37</v>
      </c>
      <c r="K1971" s="4">
        <v>41</v>
      </c>
      <c r="L1971" s="4" t="s">
        <v>16963</v>
      </c>
      <c r="M1971" s="4" t="s">
        <v>16964</v>
      </c>
      <c r="N1971" s="4" t="s">
        <v>16965</v>
      </c>
      <c r="O1971" s="4" t="s">
        <v>63</v>
      </c>
      <c r="P1971" s="4"/>
      <c r="Q1971" s="4" t="s">
        <v>63</v>
      </c>
      <c r="R1971" s="4" t="s">
        <v>63</v>
      </c>
      <c r="S1971" s="4" t="s">
        <v>63</v>
      </c>
      <c r="T1971" s="4" t="s">
        <v>63</v>
      </c>
      <c r="U1971" s="4"/>
      <c r="V1971" s="4"/>
      <c r="W1971" s="4"/>
      <c r="X1971" s="4" t="s">
        <v>63</v>
      </c>
      <c r="Y1971" s="4" t="s">
        <v>16966</v>
      </c>
      <c r="Z1971" s="4" t="s">
        <v>63</v>
      </c>
      <c r="AA1971" s="4" t="s">
        <v>63</v>
      </c>
      <c r="AB1971" s="4" t="s">
        <v>16967</v>
      </c>
      <c r="AC1971" s="4" t="s">
        <v>102</v>
      </c>
      <c r="AD1971" s="4" t="s">
        <v>63</v>
      </c>
      <c r="AE1971" s="4" t="s">
        <v>63</v>
      </c>
      <c r="AF1971" s="4" t="s">
        <v>63</v>
      </c>
      <c r="AG1971" s="4" t="s">
        <v>63</v>
      </c>
      <c r="AH1971" s="4" t="s">
        <v>63</v>
      </c>
      <c r="AI1971" s="4" t="s">
        <v>63</v>
      </c>
      <c r="AJ1971" s="4" t="s">
        <v>63</v>
      </c>
      <c r="AK1971" s="4" t="s">
        <v>63</v>
      </c>
      <c r="AL1971" s="4" t="s">
        <v>63</v>
      </c>
      <c r="AM1971" s="4" t="s">
        <v>16961</v>
      </c>
      <c r="AN1971" s="4" t="s">
        <v>63</v>
      </c>
      <c r="AO1971" s="4" t="s">
        <v>63</v>
      </c>
      <c r="AP1971" s="4" t="s">
        <v>63</v>
      </c>
      <c r="AQ1971" s="4" t="s">
        <v>63</v>
      </c>
      <c r="AR1971" s="4" t="s">
        <v>63</v>
      </c>
      <c r="AS1971" s="4" t="s">
        <v>63</v>
      </c>
      <c r="AT1971" s="4" t="s">
        <v>63</v>
      </c>
      <c r="AU1971" s="4" t="s">
        <v>63</v>
      </c>
      <c r="AV1971" s="4" t="s">
        <v>63</v>
      </c>
      <c r="AW1971" s="4" t="s">
        <v>63</v>
      </c>
      <c r="AX1971" s="4" t="s">
        <v>63</v>
      </c>
      <c r="AY1971" s="4" t="s">
        <v>63</v>
      </c>
      <c r="AZ1971" s="4" t="s">
        <v>63</v>
      </c>
      <c r="BA1971" s="4" t="s">
        <v>63</v>
      </c>
      <c r="BB1971" s="4" t="s">
        <v>63</v>
      </c>
      <c r="BC1971" s="4" t="s">
        <v>63</v>
      </c>
      <c r="BD1971" s="4" t="s">
        <v>63</v>
      </c>
      <c r="BE1971" s="4" t="s">
        <v>63</v>
      </c>
      <c r="BF1971" s="4" t="s">
        <v>63</v>
      </c>
    </row>
    <row r="1972" spans="1:58">
      <c r="A1972" s="4" t="s">
        <v>58</v>
      </c>
      <c r="B1972" s="4" t="s">
        <v>16968</v>
      </c>
      <c r="C1972" s="4" t="s">
        <v>16969</v>
      </c>
      <c r="D1972" s="4" t="s">
        <v>6854</v>
      </c>
      <c r="E1972" s="4" t="s">
        <v>63</v>
      </c>
      <c r="F1972" s="4">
        <v>2012</v>
      </c>
      <c r="G1972" s="6">
        <v>41882</v>
      </c>
      <c r="H1972" s="4" t="s">
        <v>16970</v>
      </c>
      <c r="I1972" s="4" t="s">
        <v>63</v>
      </c>
      <c r="J1972" s="4" t="s">
        <v>63</v>
      </c>
      <c r="K1972" s="4" t="s">
        <v>63</v>
      </c>
      <c r="L1972" s="4" t="s">
        <v>16971</v>
      </c>
      <c r="M1972" s="4" t="s">
        <v>16972</v>
      </c>
      <c r="N1972" s="4" t="s">
        <v>16973</v>
      </c>
      <c r="O1972" s="4" t="s">
        <v>63</v>
      </c>
      <c r="P1972" s="4"/>
      <c r="Q1972" s="4" t="s">
        <v>63</v>
      </c>
      <c r="R1972" s="4" t="s">
        <v>63</v>
      </c>
      <c r="S1972" s="4" t="s">
        <v>63</v>
      </c>
      <c r="T1972" s="4" t="s">
        <v>63</v>
      </c>
      <c r="U1972" s="4"/>
      <c r="V1972" s="4"/>
      <c r="W1972" s="4"/>
      <c r="X1972" s="4" t="s">
        <v>63</v>
      </c>
      <c r="Y1972" s="4" t="s">
        <v>15322</v>
      </c>
      <c r="Z1972" s="4" t="s">
        <v>63</v>
      </c>
      <c r="AA1972" s="4" t="s">
        <v>63</v>
      </c>
      <c r="AB1972" s="4" t="s">
        <v>63</v>
      </c>
      <c r="AC1972" s="4" t="s">
        <v>67</v>
      </c>
      <c r="AD1972" s="4" t="s">
        <v>63</v>
      </c>
      <c r="AE1972" s="4" t="s">
        <v>63</v>
      </c>
      <c r="AF1972" s="4" t="s">
        <v>63</v>
      </c>
      <c r="AG1972" s="4" t="s">
        <v>63</v>
      </c>
      <c r="AH1972" s="4" t="s">
        <v>63</v>
      </c>
      <c r="AI1972" s="4" t="s">
        <v>63</v>
      </c>
      <c r="AJ1972" s="4" t="s">
        <v>63</v>
      </c>
      <c r="AK1972" s="4" t="s">
        <v>63</v>
      </c>
      <c r="AL1972" s="4" t="s">
        <v>63</v>
      </c>
      <c r="AM1972" s="4" t="s">
        <v>16969</v>
      </c>
      <c r="AN1972" s="4" t="s">
        <v>63</v>
      </c>
      <c r="AO1972" s="4" t="s">
        <v>63</v>
      </c>
      <c r="AP1972" s="4" t="s">
        <v>63</v>
      </c>
      <c r="AQ1972" s="4" t="s">
        <v>63</v>
      </c>
      <c r="AR1972" s="4" t="s">
        <v>63</v>
      </c>
      <c r="AS1972" s="4" t="s">
        <v>63</v>
      </c>
      <c r="AT1972" s="4" t="s">
        <v>63</v>
      </c>
      <c r="AU1972" s="4" t="s">
        <v>63</v>
      </c>
      <c r="AV1972" s="4" t="s">
        <v>63</v>
      </c>
      <c r="AW1972" s="4" t="s">
        <v>63</v>
      </c>
      <c r="AX1972" s="4" t="s">
        <v>63</v>
      </c>
      <c r="AY1972" s="4" t="s">
        <v>63</v>
      </c>
      <c r="AZ1972" s="4" t="s">
        <v>63</v>
      </c>
      <c r="BA1972" s="4" t="s">
        <v>63</v>
      </c>
      <c r="BB1972" s="4" t="s">
        <v>63</v>
      </c>
      <c r="BC1972" s="4" t="s">
        <v>63</v>
      </c>
      <c r="BD1972" s="4" t="s">
        <v>63</v>
      </c>
      <c r="BE1972" s="4" t="s">
        <v>63</v>
      </c>
      <c r="BF1972" s="4" t="s">
        <v>63</v>
      </c>
    </row>
    <row r="1973" spans="1:58">
      <c r="A1973" s="4" t="s">
        <v>58</v>
      </c>
      <c r="B1973" s="4" t="s">
        <v>16974</v>
      </c>
      <c r="C1973" s="4" t="s">
        <v>16975</v>
      </c>
      <c r="D1973" s="4" t="s">
        <v>16976</v>
      </c>
      <c r="E1973" s="4" t="s">
        <v>63</v>
      </c>
      <c r="F1973" s="4">
        <v>2017</v>
      </c>
      <c r="G1973" s="4" t="s">
        <v>63</v>
      </c>
      <c r="H1973" s="4" t="s">
        <v>16977</v>
      </c>
      <c r="I1973" s="4">
        <v>1</v>
      </c>
      <c r="J1973" s="4">
        <v>89</v>
      </c>
      <c r="K1973" s="4">
        <v>109</v>
      </c>
      <c r="L1973" s="4" t="s">
        <v>16978</v>
      </c>
      <c r="M1973" s="4" t="s">
        <v>16979</v>
      </c>
      <c r="N1973" s="4" t="s">
        <v>16980</v>
      </c>
      <c r="O1973" s="4" t="s">
        <v>63</v>
      </c>
      <c r="P1973" s="4"/>
      <c r="Q1973" s="4" t="s">
        <v>63</v>
      </c>
      <c r="R1973" s="4" t="s">
        <v>63</v>
      </c>
      <c r="S1973" s="4" t="s">
        <v>63</v>
      </c>
      <c r="T1973" s="4" t="s">
        <v>63</v>
      </c>
      <c r="U1973" s="4"/>
      <c r="V1973" s="4"/>
      <c r="W1973" s="4"/>
      <c r="X1973" s="4" t="s">
        <v>63</v>
      </c>
      <c r="Y1973" s="4" t="s">
        <v>16981</v>
      </c>
      <c r="Z1973" s="4" t="s">
        <v>63</v>
      </c>
      <c r="AA1973" s="4" t="s">
        <v>63</v>
      </c>
      <c r="AB1973" s="4" t="s">
        <v>16982</v>
      </c>
      <c r="AC1973" s="4" t="s">
        <v>1371</v>
      </c>
      <c r="AD1973" s="4" t="s">
        <v>63</v>
      </c>
      <c r="AE1973" s="4" t="s">
        <v>63</v>
      </c>
      <c r="AF1973" s="4" t="s">
        <v>63</v>
      </c>
      <c r="AG1973" s="4" t="s">
        <v>63</v>
      </c>
      <c r="AH1973" s="4" t="s">
        <v>63</v>
      </c>
      <c r="AI1973" s="4" t="s">
        <v>16983</v>
      </c>
      <c r="AJ1973" s="4" t="s">
        <v>63</v>
      </c>
      <c r="AK1973" s="4" t="s">
        <v>63</v>
      </c>
      <c r="AL1973" s="4" t="s">
        <v>63</v>
      </c>
      <c r="AM1973" s="4" t="s">
        <v>16984</v>
      </c>
      <c r="AN1973" s="4" t="s">
        <v>63</v>
      </c>
      <c r="AO1973" s="4" t="s">
        <v>63</v>
      </c>
      <c r="AP1973" s="4" t="s">
        <v>63</v>
      </c>
      <c r="AQ1973" s="4" t="s">
        <v>63</v>
      </c>
      <c r="AR1973" s="4" t="s">
        <v>63</v>
      </c>
      <c r="AS1973" s="4" t="s">
        <v>63</v>
      </c>
      <c r="AT1973" s="4" t="s">
        <v>63</v>
      </c>
      <c r="AU1973" s="4" t="s">
        <v>63</v>
      </c>
      <c r="AV1973" s="4" t="s">
        <v>63</v>
      </c>
      <c r="AW1973" s="4" t="s">
        <v>63</v>
      </c>
      <c r="AX1973" s="4" t="s">
        <v>63</v>
      </c>
      <c r="AY1973" s="4" t="s">
        <v>63</v>
      </c>
      <c r="AZ1973" s="4" t="s">
        <v>63</v>
      </c>
      <c r="BA1973" s="4" t="s">
        <v>63</v>
      </c>
      <c r="BB1973" s="4" t="s">
        <v>63</v>
      </c>
      <c r="BC1973" s="4" t="s">
        <v>63</v>
      </c>
      <c r="BD1973" s="4" t="s">
        <v>63</v>
      </c>
      <c r="BE1973" s="4" t="s">
        <v>63</v>
      </c>
      <c r="BF1973" s="4" t="s">
        <v>63</v>
      </c>
    </row>
    <row r="1974" spans="1:58">
      <c r="A1974" s="4" t="s">
        <v>58</v>
      </c>
      <c r="B1974" s="4" t="s">
        <v>16985</v>
      </c>
      <c r="C1974" s="4" t="s">
        <v>16986</v>
      </c>
      <c r="D1974" s="4" t="s">
        <v>16987</v>
      </c>
      <c r="E1974" s="4" t="s">
        <v>63</v>
      </c>
      <c r="F1974" s="4">
        <v>2013</v>
      </c>
      <c r="G1974" s="4" t="s">
        <v>63</v>
      </c>
      <c r="H1974" s="4" t="s">
        <v>16988</v>
      </c>
      <c r="I1974" s="4" t="s">
        <v>63</v>
      </c>
      <c r="J1974" s="4" t="s">
        <v>15952</v>
      </c>
      <c r="K1974" s="4" t="s">
        <v>63</v>
      </c>
      <c r="L1974" s="4" t="s">
        <v>16989</v>
      </c>
      <c r="M1974" s="4" t="s">
        <v>16990</v>
      </c>
      <c r="N1974" s="4" t="s">
        <v>16991</v>
      </c>
      <c r="O1974" s="4" t="s">
        <v>63</v>
      </c>
      <c r="P1974" s="4"/>
      <c r="Q1974" s="4" t="s">
        <v>63</v>
      </c>
      <c r="R1974" s="4" t="s">
        <v>63</v>
      </c>
      <c r="S1974" s="4" t="s">
        <v>63</v>
      </c>
      <c r="T1974" s="4" t="s">
        <v>63</v>
      </c>
      <c r="U1974" s="4"/>
      <c r="V1974" s="4"/>
      <c r="W1974" s="4"/>
      <c r="X1974" s="4" t="s">
        <v>63</v>
      </c>
      <c r="Y1974" s="4" t="s">
        <v>16992</v>
      </c>
      <c r="Z1974" s="4" t="s">
        <v>63</v>
      </c>
      <c r="AA1974" s="4" t="s">
        <v>63</v>
      </c>
      <c r="AB1974" s="4" t="s">
        <v>63</v>
      </c>
      <c r="AC1974" s="4" t="s">
        <v>67</v>
      </c>
      <c r="AD1974" s="4" t="s">
        <v>63</v>
      </c>
      <c r="AE1974" s="4" t="s">
        <v>63</v>
      </c>
      <c r="AF1974" s="4" t="s">
        <v>63</v>
      </c>
      <c r="AG1974" s="4" t="s">
        <v>63</v>
      </c>
      <c r="AH1974" s="4" t="s">
        <v>63</v>
      </c>
      <c r="AI1974" s="4" t="s">
        <v>63</v>
      </c>
      <c r="AJ1974" s="4" t="s">
        <v>63</v>
      </c>
      <c r="AK1974" s="4" t="s">
        <v>63</v>
      </c>
      <c r="AL1974" s="4" t="s">
        <v>63</v>
      </c>
      <c r="AM1974" s="4" t="s">
        <v>16986</v>
      </c>
      <c r="AN1974" s="4" t="s">
        <v>63</v>
      </c>
      <c r="AO1974" s="4" t="s">
        <v>63</v>
      </c>
      <c r="AP1974" s="4" t="s">
        <v>63</v>
      </c>
      <c r="AQ1974" s="4" t="s">
        <v>63</v>
      </c>
      <c r="AR1974" s="4" t="s">
        <v>63</v>
      </c>
      <c r="AS1974" s="4" t="s">
        <v>63</v>
      </c>
      <c r="AT1974" s="4" t="s">
        <v>63</v>
      </c>
      <c r="AU1974" s="4" t="s">
        <v>63</v>
      </c>
      <c r="AV1974" s="4" t="s">
        <v>63</v>
      </c>
      <c r="AW1974" s="4" t="s">
        <v>63</v>
      </c>
      <c r="AX1974" s="4" t="s">
        <v>63</v>
      </c>
      <c r="AY1974" s="4" t="s">
        <v>63</v>
      </c>
      <c r="AZ1974" s="4" t="s">
        <v>63</v>
      </c>
      <c r="BA1974" s="4" t="s">
        <v>63</v>
      </c>
      <c r="BB1974" s="4" t="s">
        <v>63</v>
      </c>
      <c r="BC1974" s="4" t="s">
        <v>63</v>
      </c>
      <c r="BD1974" s="4" t="s">
        <v>63</v>
      </c>
      <c r="BE1974" s="4" t="s">
        <v>63</v>
      </c>
      <c r="BF1974" s="4" t="s">
        <v>63</v>
      </c>
    </row>
    <row r="1975" spans="1:58">
      <c r="A1975" s="4" t="s">
        <v>58</v>
      </c>
      <c r="B1975" s="4" t="s">
        <v>16993</v>
      </c>
      <c r="C1975" s="4" t="s">
        <v>16994</v>
      </c>
      <c r="D1975" s="4" t="s">
        <v>15421</v>
      </c>
      <c r="E1975" s="4" t="s">
        <v>63</v>
      </c>
      <c r="F1975" s="4">
        <v>2002</v>
      </c>
      <c r="G1975" s="4" t="s">
        <v>181</v>
      </c>
      <c r="H1975" s="4">
        <v>23</v>
      </c>
      <c r="I1975" s="4">
        <v>3</v>
      </c>
      <c r="J1975" s="4">
        <v>263</v>
      </c>
      <c r="K1975" s="4">
        <v>271</v>
      </c>
      <c r="L1975" s="4" t="s">
        <v>16995</v>
      </c>
      <c r="M1975" s="4" t="s">
        <v>63</v>
      </c>
      <c r="N1975" s="4" t="s">
        <v>16996</v>
      </c>
      <c r="O1975" s="4" t="s">
        <v>63</v>
      </c>
      <c r="P1975" s="4"/>
      <c r="Q1975" s="4" t="s">
        <v>63</v>
      </c>
      <c r="R1975" s="4" t="s">
        <v>63</v>
      </c>
      <c r="S1975" s="4" t="s">
        <v>63</v>
      </c>
      <c r="T1975" s="4" t="s">
        <v>63</v>
      </c>
      <c r="U1975" s="4"/>
      <c r="V1975" s="4"/>
      <c r="W1975" s="4"/>
      <c r="X1975" s="4" t="s">
        <v>63</v>
      </c>
      <c r="Y1975" s="4" t="s">
        <v>392</v>
      </c>
      <c r="Z1975" s="4" t="s">
        <v>63</v>
      </c>
      <c r="AA1975" s="4" t="s">
        <v>63</v>
      </c>
      <c r="AB1975" s="4" t="s">
        <v>63</v>
      </c>
      <c r="AC1975" s="4" t="s">
        <v>67</v>
      </c>
      <c r="AD1975" s="4" t="s">
        <v>63</v>
      </c>
      <c r="AE1975" s="4" t="s">
        <v>63</v>
      </c>
      <c r="AF1975" s="4" t="s">
        <v>63</v>
      </c>
      <c r="AG1975" s="4" t="s">
        <v>16997</v>
      </c>
      <c r="AH1975" s="4" t="s">
        <v>63</v>
      </c>
      <c r="AI1975" s="4" t="s">
        <v>63</v>
      </c>
      <c r="AJ1975" s="4" t="s">
        <v>63</v>
      </c>
      <c r="AK1975" s="4" t="s">
        <v>63</v>
      </c>
      <c r="AL1975" s="4" t="s">
        <v>63</v>
      </c>
      <c r="AM1975" s="4" t="s">
        <v>16998</v>
      </c>
      <c r="AN1975" s="4" t="s">
        <v>63</v>
      </c>
      <c r="AO1975" s="4" t="s">
        <v>63</v>
      </c>
      <c r="AP1975" s="4" t="s">
        <v>63</v>
      </c>
      <c r="AQ1975" s="4" t="s">
        <v>63</v>
      </c>
      <c r="AR1975" s="4" t="s">
        <v>63</v>
      </c>
      <c r="AS1975" s="4" t="s">
        <v>63</v>
      </c>
      <c r="AT1975" s="4" t="s">
        <v>63</v>
      </c>
      <c r="AU1975" s="4" t="s">
        <v>63</v>
      </c>
      <c r="AV1975" s="4" t="s">
        <v>63</v>
      </c>
      <c r="AW1975" s="4" t="s">
        <v>63</v>
      </c>
      <c r="AX1975" s="4" t="s">
        <v>63</v>
      </c>
      <c r="AY1975" s="4" t="s">
        <v>63</v>
      </c>
      <c r="AZ1975" s="4" t="s">
        <v>63</v>
      </c>
      <c r="BA1975" s="4" t="s">
        <v>63</v>
      </c>
      <c r="BB1975" s="4" t="s">
        <v>63</v>
      </c>
      <c r="BC1975" s="4" t="s">
        <v>63</v>
      </c>
      <c r="BD1975" s="4" t="s">
        <v>63</v>
      </c>
      <c r="BE1975" s="4" t="s">
        <v>63</v>
      </c>
      <c r="BF1975" s="4" t="s">
        <v>63</v>
      </c>
    </row>
    <row r="1976" spans="1:58">
      <c r="A1976" s="4" t="s">
        <v>58</v>
      </c>
      <c r="B1976" s="4" t="s">
        <v>16999</v>
      </c>
      <c r="C1976" s="4" t="s">
        <v>17000</v>
      </c>
      <c r="D1976" s="4" t="s">
        <v>17001</v>
      </c>
      <c r="E1976" s="4" t="s">
        <v>17002</v>
      </c>
      <c r="F1976" s="4">
        <v>2016</v>
      </c>
      <c r="G1976" s="4" t="s">
        <v>63</v>
      </c>
      <c r="H1976" s="4">
        <v>109</v>
      </c>
      <c r="I1976" s="4">
        <v>2</v>
      </c>
      <c r="J1976" s="4">
        <v>77</v>
      </c>
      <c r="K1976" s="4" t="s">
        <v>63</v>
      </c>
      <c r="L1976" s="4" t="s">
        <v>17003</v>
      </c>
      <c r="M1976" s="4" t="s">
        <v>63</v>
      </c>
      <c r="N1976" s="4" t="s">
        <v>17004</v>
      </c>
      <c r="O1976" s="4" t="s">
        <v>63</v>
      </c>
      <c r="P1976" s="4"/>
      <c r="Q1976" s="4" t="s">
        <v>63</v>
      </c>
      <c r="R1976" s="4" t="s">
        <v>63</v>
      </c>
      <c r="S1976" s="4" t="s">
        <v>63</v>
      </c>
      <c r="T1976" s="4" t="s">
        <v>63</v>
      </c>
      <c r="U1976" s="4"/>
      <c r="V1976" s="4"/>
      <c r="W1976" s="4"/>
      <c r="X1976" s="4" t="s">
        <v>63</v>
      </c>
      <c r="Y1976" s="4" t="s">
        <v>17005</v>
      </c>
      <c r="Z1976" s="4" t="s">
        <v>63</v>
      </c>
      <c r="AA1976" s="4" t="s">
        <v>63</v>
      </c>
      <c r="AB1976" s="4">
        <v>20160194119</v>
      </c>
      <c r="AC1976" s="4" t="s">
        <v>67</v>
      </c>
      <c r="AD1976" s="4" t="s">
        <v>63</v>
      </c>
      <c r="AE1976" s="4" t="s">
        <v>63</v>
      </c>
      <c r="AF1976" s="4" t="s">
        <v>63</v>
      </c>
      <c r="AG1976" s="4" t="s">
        <v>17006</v>
      </c>
      <c r="AH1976" s="4" t="s">
        <v>63</v>
      </c>
      <c r="AI1976" s="4" t="s">
        <v>17007</v>
      </c>
      <c r="AJ1976" s="4" t="s">
        <v>63</v>
      </c>
      <c r="AK1976" s="4" t="s">
        <v>63</v>
      </c>
      <c r="AL1976" s="4" t="s">
        <v>63</v>
      </c>
      <c r="AM1976" s="4" t="s">
        <v>17008</v>
      </c>
      <c r="AN1976" s="4" t="s">
        <v>63</v>
      </c>
      <c r="AO1976" s="4" t="s">
        <v>63</v>
      </c>
      <c r="AP1976" s="4" t="s">
        <v>63</v>
      </c>
      <c r="AQ1976" s="4" t="s">
        <v>63</v>
      </c>
      <c r="AR1976" s="4" t="s">
        <v>63</v>
      </c>
      <c r="AS1976" s="4" t="s">
        <v>63</v>
      </c>
      <c r="AT1976" s="4" t="s">
        <v>63</v>
      </c>
      <c r="AU1976" s="4" t="s">
        <v>63</v>
      </c>
      <c r="AV1976" s="4" t="s">
        <v>63</v>
      </c>
      <c r="AW1976" s="4" t="s">
        <v>63</v>
      </c>
      <c r="AX1976" s="4" t="s">
        <v>63</v>
      </c>
      <c r="AY1976" s="4" t="s">
        <v>63</v>
      </c>
      <c r="AZ1976" s="4" t="s">
        <v>63</v>
      </c>
      <c r="BA1976" s="4" t="s">
        <v>63</v>
      </c>
      <c r="BB1976" s="4" t="s">
        <v>63</v>
      </c>
      <c r="BC1976" s="4" t="s">
        <v>63</v>
      </c>
      <c r="BD1976" s="4" t="s">
        <v>63</v>
      </c>
      <c r="BE1976" s="4" t="s">
        <v>63</v>
      </c>
      <c r="BF1976" s="4" t="s">
        <v>63</v>
      </c>
    </row>
    <row r="1977" spans="1:58">
      <c r="A1977" s="4" t="s">
        <v>58</v>
      </c>
      <c r="B1977" s="4" t="s">
        <v>17009</v>
      </c>
      <c r="C1977" s="4" t="s">
        <v>17010</v>
      </c>
      <c r="D1977" s="4" t="s">
        <v>371</v>
      </c>
      <c r="E1977" s="4" t="s">
        <v>63</v>
      </c>
      <c r="F1977" s="4">
        <v>2014</v>
      </c>
      <c r="G1977" s="4" t="s">
        <v>15165</v>
      </c>
      <c r="H1977" s="4" t="s">
        <v>15912</v>
      </c>
      <c r="I1977" s="4" t="s">
        <v>63</v>
      </c>
      <c r="J1977" s="4" t="s">
        <v>17011</v>
      </c>
      <c r="K1977" s="4" t="s">
        <v>63</v>
      </c>
      <c r="L1977" s="4" t="s">
        <v>17012</v>
      </c>
      <c r="M1977" s="4" t="s">
        <v>17013</v>
      </c>
      <c r="N1977" s="4" t="s">
        <v>17014</v>
      </c>
      <c r="O1977" s="4" t="s">
        <v>63</v>
      </c>
      <c r="P1977" s="4"/>
      <c r="Q1977" s="4" t="s">
        <v>63</v>
      </c>
      <c r="R1977" s="4" t="s">
        <v>63</v>
      </c>
      <c r="S1977" s="4" t="s">
        <v>63</v>
      </c>
      <c r="T1977" s="4" t="s">
        <v>63</v>
      </c>
      <c r="U1977" s="4"/>
      <c r="V1977" s="4"/>
      <c r="W1977" s="4"/>
      <c r="X1977" s="4" t="s">
        <v>63</v>
      </c>
      <c r="Y1977" s="4" t="s">
        <v>375</v>
      </c>
      <c r="Z1977" s="4" t="s">
        <v>63</v>
      </c>
      <c r="AA1977" s="4" t="s">
        <v>63</v>
      </c>
      <c r="AB1977" s="4" t="s">
        <v>63</v>
      </c>
      <c r="AC1977" s="4" t="s">
        <v>67</v>
      </c>
      <c r="AD1977" s="4" t="s">
        <v>63</v>
      </c>
      <c r="AE1977" s="4" t="s">
        <v>63</v>
      </c>
      <c r="AF1977" s="4" t="s">
        <v>63</v>
      </c>
      <c r="AG1977" s="4" t="s">
        <v>63</v>
      </c>
      <c r="AH1977" s="4" t="s">
        <v>63</v>
      </c>
      <c r="AI1977" s="4" t="s">
        <v>63</v>
      </c>
      <c r="AJ1977" s="4" t="s">
        <v>63</v>
      </c>
      <c r="AK1977" s="4" t="s">
        <v>63</v>
      </c>
      <c r="AL1977" s="4" t="s">
        <v>63</v>
      </c>
      <c r="AM1977" s="4" t="s">
        <v>17010</v>
      </c>
      <c r="AN1977" s="4" t="s">
        <v>63</v>
      </c>
      <c r="AO1977" s="4" t="s">
        <v>63</v>
      </c>
      <c r="AP1977" s="4" t="s">
        <v>63</v>
      </c>
      <c r="AQ1977" s="4" t="s">
        <v>63</v>
      </c>
      <c r="AR1977" s="4" t="s">
        <v>63</v>
      </c>
      <c r="AS1977" s="4" t="s">
        <v>63</v>
      </c>
      <c r="AT1977" s="4" t="s">
        <v>63</v>
      </c>
      <c r="AU1977" s="4" t="s">
        <v>63</v>
      </c>
      <c r="AV1977" s="4" t="s">
        <v>63</v>
      </c>
      <c r="AW1977" s="4" t="s">
        <v>63</v>
      </c>
      <c r="AX1977" s="4" t="s">
        <v>63</v>
      </c>
      <c r="AY1977" s="4" t="s">
        <v>63</v>
      </c>
      <c r="AZ1977" s="4" t="s">
        <v>63</v>
      </c>
      <c r="BA1977" s="4" t="s">
        <v>63</v>
      </c>
      <c r="BB1977" s="4" t="s">
        <v>63</v>
      </c>
      <c r="BC1977" s="4" t="s">
        <v>63</v>
      </c>
      <c r="BD1977" s="4" t="s">
        <v>63</v>
      </c>
      <c r="BE1977" s="4" t="s">
        <v>63</v>
      </c>
      <c r="BF1977" s="4" t="s">
        <v>63</v>
      </c>
    </row>
    <row r="1978" spans="1:58">
      <c r="A1978" s="4" t="s">
        <v>58</v>
      </c>
      <c r="B1978" s="4" t="s">
        <v>17015</v>
      </c>
      <c r="C1978" s="4" t="s">
        <v>17016</v>
      </c>
      <c r="D1978" s="4" t="s">
        <v>17017</v>
      </c>
      <c r="E1978" s="4" t="s">
        <v>63</v>
      </c>
      <c r="F1978" s="4">
        <v>2005</v>
      </c>
      <c r="G1978" s="4" t="s">
        <v>15904</v>
      </c>
      <c r="H1978" s="4">
        <v>33</v>
      </c>
      <c r="I1978" s="4">
        <v>3</v>
      </c>
      <c r="J1978" s="4">
        <v>453</v>
      </c>
      <c r="K1978" s="4">
        <v>463</v>
      </c>
      <c r="L1978" s="4" t="s">
        <v>17018</v>
      </c>
      <c r="M1978" s="4" t="s">
        <v>17019</v>
      </c>
      <c r="N1978" s="4" t="s">
        <v>17020</v>
      </c>
      <c r="O1978" s="4" t="s">
        <v>63</v>
      </c>
      <c r="P1978" s="4"/>
      <c r="Q1978" s="4" t="s">
        <v>63</v>
      </c>
      <c r="R1978" s="4" t="s">
        <v>63</v>
      </c>
      <c r="S1978" s="4" t="s">
        <v>63</v>
      </c>
      <c r="T1978" s="4" t="s">
        <v>63</v>
      </c>
      <c r="U1978" s="4"/>
      <c r="V1978" s="4"/>
      <c r="W1978" s="4"/>
      <c r="X1978" s="4" t="s">
        <v>63</v>
      </c>
      <c r="Y1978" s="4" t="s">
        <v>17021</v>
      </c>
      <c r="Z1978" s="4" t="s">
        <v>63</v>
      </c>
      <c r="AA1978" s="4" t="s">
        <v>63</v>
      </c>
      <c r="AB1978" s="4">
        <v>2005502863</v>
      </c>
      <c r="AC1978" s="4" t="s">
        <v>67</v>
      </c>
      <c r="AD1978" s="4" t="s">
        <v>63</v>
      </c>
      <c r="AE1978" s="4" t="s">
        <v>63</v>
      </c>
      <c r="AF1978" s="4" t="s">
        <v>63</v>
      </c>
      <c r="AG1978" s="4" t="s">
        <v>17022</v>
      </c>
      <c r="AH1978" s="4" t="s">
        <v>63</v>
      </c>
      <c r="AI1978" s="4" t="s">
        <v>63</v>
      </c>
      <c r="AJ1978" s="4" t="s">
        <v>63</v>
      </c>
      <c r="AK1978" s="4" t="s">
        <v>63</v>
      </c>
      <c r="AL1978" s="4" t="s">
        <v>63</v>
      </c>
      <c r="AM1978" s="4" t="s">
        <v>17023</v>
      </c>
      <c r="AN1978" s="4" t="s">
        <v>63</v>
      </c>
      <c r="AO1978" s="4" t="s">
        <v>63</v>
      </c>
      <c r="AP1978" s="4" t="s">
        <v>63</v>
      </c>
      <c r="AQ1978" s="4" t="s">
        <v>63</v>
      </c>
      <c r="AR1978" s="4" t="s">
        <v>63</v>
      </c>
      <c r="AS1978" s="4" t="s">
        <v>63</v>
      </c>
      <c r="AT1978" s="4" t="s">
        <v>63</v>
      </c>
      <c r="AU1978" s="4" t="s">
        <v>63</v>
      </c>
      <c r="AV1978" s="4" t="s">
        <v>63</v>
      </c>
      <c r="AW1978" s="4" t="s">
        <v>63</v>
      </c>
      <c r="AX1978" s="4" t="s">
        <v>63</v>
      </c>
      <c r="AY1978" s="4" t="s">
        <v>63</v>
      </c>
      <c r="AZ1978" s="4" t="s">
        <v>63</v>
      </c>
      <c r="BA1978" s="4" t="s">
        <v>63</v>
      </c>
      <c r="BB1978" s="4" t="s">
        <v>63</v>
      </c>
      <c r="BC1978" s="4" t="s">
        <v>63</v>
      </c>
      <c r="BD1978" s="4" t="s">
        <v>63</v>
      </c>
      <c r="BE1978" s="4" t="s">
        <v>63</v>
      </c>
      <c r="BF1978" s="4" t="s">
        <v>63</v>
      </c>
    </row>
    <row r="1979" spans="1:58">
      <c r="A1979" s="4" t="s">
        <v>58</v>
      </c>
      <c r="B1979" s="4" t="s">
        <v>17024</v>
      </c>
      <c r="C1979" s="4" t="s">
        <v>17025</v>
      </c>
      <c r="D1979" s="4" t="s">
        <v>17026</v>
      </c>
      <c r="E1979" s="4" t="s">
        <v>63</v>
      </c>
      <c r="F1979" s="4">
        <v>2014</v>
      </c>
      <c r="G1979" s="4" t="s">
        <v>63</v>
      </c>
      <c r="H1979" s="4" t="s">
        <v>17027</v>
      </c>
      <c r="I1979" s="4" t="s">
        <v>63</v>
      </c>
      <c r="J1979" s="4" t="s">
        <v>63</v>
      </c>
      <c r="K1979" s="4" t="s">
        <v>63</v>
      </c>
      <c r="L1979" s="4" t="s">
        <v>17028</v>
      </c>
      <c r="M1979" s="4" t="s">
        <v>17029</v>
      </c>
      <c r="N1979" s="4" t="s">
        <v>17030</v>
      </c>
      <c r="O1979" s="4" t="s">
        <v>63</v>
      </c>
      <c r="P1979" s="4"/>
      <c r="Q1979" s="4" t="s">
        <v>63</v>
      </c>
      <c r="R1979" s="4" t="s">
        <v>63</v>
      </c>
      <c r="S1979" s="4" t="s">
        <v>63</v>
      </c>
      <c r="T1979" s="4" t="s">
        <v>63</v>
      </c>
      <c r="U1979" s="4"/>
      <c r="V1979" s="4"/>
      <c r="W1979" s="4"/>
      <c r="X1979" s="4" t="s">
        <v>63</v>
      </c>
      <c r="Y1979" s="4" t="s">
        <v>17031</v>
      </c>
      <c r="Z1979" s="4" t="s">
        <v>63</v>
      </c>
      <c r="AA1979" s="4" t="s">
        <v>63</v>
      </c>
      <c r="AB1979" s="4" t="s">
        <v>63</v>
      </c>
      <c r="AC1979" s="4" t="s">
        <v>67</v>
      </c>
      <c r="AD1979" s="4" t="s">
        <v>63</v>
      </c>
      <c r="AE1979" s="4" t="s">
        <v>63</v>
      </c>
      <c r="AF1979" s="4" t="s">
        <v>63</v>
      </c>
      <c r="AG1979" s="4" t="s">
        <v>63</v>
      </c>
      <c r="AH1979" s="4" t="s">
        <v>63</v>
      </c>
      <c r="AI1979" s="4" t="s">
        <v>63</v>
      </c>
      <c r="AJ1979" s="4" t="s">
        <v>63</v>
      </c>
      <c r="AK1979" s="4" t="s">
        <v>63</v>
      </c>
      <c r="AL1979" s="4" t="s">
        <v>63</v>
      </c>
      <c r="AM1979" s="4" t="s">
        <v>17025</v>
      </c>
      <c r="AN1979" s="4" t="s">
        <v>63</v>
      </c>
      <c r="AO1979" s="4" t="s">
        <v>63</v>
      </c>
      <c r="AP1979" s="4" t="s">
        <v>63</v>
      </c>
      <c r="AQ1979" s="4" t="s">
        <v>63</v>
      </c>
      <c r="AR1979" s="4" t="s">
        <v>63</v>
      </c>
      <c r="AS1979" s="4" t="s">
        <v>63</v>
      </c>
      <c r="AT1979" s="4" t="s">
        <v>63</v>
      </c>
      <c r="AU1979" s="4" t="s">
        <v>63</v>
      </c>
      <c r="AV1979" s="4" t="s">
        <v>63</v>
      </c>
      <c r="AW1979" s="4" t="s">
        <v>63</v>
      </c>
      <c r="AX1979" s="4" t="s">
        <v>63</v>
      </c>
      <c r="AY1979" s="4" t="s">
        <v>63</v>
      </c>
      <c r="AZ1979" s="4" t="s">
        <v>63</v>
      </c>
      <c r="BA1979" s="4" t="s">
        <v>63</v>
      </c>
      <c r="BB1979" s="4" t="s">
        <v>63</v>
      </c>
      <c r="BC1979" s="4" t="s">
        <v>63</v>
      </c>
      <c r="BD1979" s="4" t="s">
        <v>63</v>
      </c>
      <c r="BE1979" s="4" t="s">
        <v>63</v>
      </c>
      <c r="BF1979" s="4" t="s">
        <v>63</v>
      </c>
    </row>
    <row r="1980" spans="1:58">
      <c r="A1980" s="4" t="s">
        <v>58</v>
      </c>
      <c r="B1980" s="4" t="s">
        <v>17032</v>
      </c>
      <c r="C1980" s="4" t="s">
        <v>17033</v>
      </c>
      <c r="D1980" s="4" t="s">
        <v>938</v>
      </c>
      <c r="E1980" s="4" t="s">
        <v>63</v>
      </c>
      <c r="F1980" s="4">
        <v>2012</v>
      </c>
      <c r="G1980" s="4" t="s">
        <v>15449</v>
      </c>
      <c r="H1980" s="4">
        <v>21</v>
      </c>
      <c r="I1980" s="4">
        <v>4</v>
      </c>
      <c r="J1980" s="4">
        <v>397</v>
      </c>
      <c r="K1980" s="4" t="s">
        <v>63</v>
      </c>
      <c r="L1980" s="4" t="s">
        <v>17034</v>
      </c>
      <c r="M1980" s="4" t="s">
        <v>17035</v>
      </c>
      <c r="N1980" s="4" t="s">
        <v>17036</v>
      </c>
      <c r="O1980" s="4" t="s">
        <v>63</v>
      </c>
      <c r="P1980" s="4"/>
      <c r="Q1980" s="4" t="s">
        <v>63</v>
      </c>
      <c r="R1980" s="4" t="s">
        <v>63</v>
      </c>
      <c r="S1980" s="4" t="s">
        <v>63</v>
      </c>
      <c r="T1980" s="4" t="s">
        <v>63</v>
      </c>
      <c r="U1980" s="4"/>
      <c r="V1980" s="4"/>
      <c r="W1980" s="4"/>
      <c r="X1980" s="4" t="s">
        <v>63</v>
      </c>
      <c r="Y1980" s="4" t="s">
        <v>2500</v>
      </c>
      <c r="Z1980" s="4" t="s">
        <v>63</v>
      </c>
      <c r="AA1980" s="4" t="s">
        <v>63</v>
      </c>
      <c r="AB1980" s="4" t="s">
        <v>63</v>
      </c>
      <c r="AC1980" s="4" t="s">
        <v>67</v>
      </c>
      <c r="AD1980" s="4" t="s">
        <v>63</v>
      </c>
      <c r="AE1980" s="4" t="s">
        <v>63</v>
      </c>
      <c r="AF1980" s="4" t="s">
        <v>63</v>
      </c>
      <c r="AG1980" s="4" t="s">
        <v>63</v>
      </c>
      <c r="AH1980" s="4" t="s">
        <v>63</v>
      </c>
      <c r="AI1980" s="4" t="s">
        <v>17037</v>
      </c>
      <c r="AJ1980" s="4" t="s">
        <v>63</v>
      </c>
      <c r="AK1980" s="4" t="s">
        <v>63</v>
      </c>
      <c r="AL1980" s="4" t="s">
        <v>63</v>
      </c>
      <c r="AM1980" s="4" t="s">
        <v>17033</v>
      </c>
      <c r="AN1980" s="4" t="s">
        <v>63</v>
      </c>
      <c r="AO1980" s="4" t="s">
        <v>63</v>
      </c>
      <c r="AP1980" s="4" t="s">
        <v>63</v>
      </c>
      <c r="AQ1980" s="4" t="s">
        <v>63</v>
      </c>
      <c r="AR1980" s="4" t="s">
        <v>63</v>
      </c>
      <c r="AS1980" s="4" t="s">
        <v>63</v>
      </c>
      <c r="AT1980" s="4" t="s">
        <v>63</v>
      </c>
      <c r="AU1980" s="4" t="s">
        <v>63</v>
      </c>
      <c r="AV1980" s="4" t="s">
        <v>63</v>
      </c>
      <c r="AW1980" s="4" t="s">
        <v>63</v>
      </c>
      <c r="AX1980" s="4" t="s">
        <v>63</v>
      </c>
      <c r="AY1980" s="4" t="s">
        <v>63</v>
      </c>
      <c r="AZ1980" s="4" t="s">
        <v>63</v>
      </c>
      <c r="BA1980" s="4" t="s">
        <v>63</v>
      </c>
      <c r="BB1980" s="4" t="s">
        <v>63</v>
      </c>
      <c r="BC1980" s="4" t="s">
        <v>63</v>
      </c>
      <c r="BD1980" s="4" t="s">
        <v>63</v>
      </c>
      <c r="BE1980" s="4" t="s">
        <v>63</v>
      </c>
      <c r="BF1980" s="4" t="s">
        <v>63</v>
      </c>
    </row>
    <row r="1981" spans="1:58">
      <c r="A1981" s="4" t="s">
        <v>58</v>
      </c>
      <c r="B1981" s="4" t="s">
        <v>17038</v>
      </c>
      <c r="C1981" s="4" t="s">
        <v>17039</v>
      </c>
      <c r="D1981" s="4" t="s">
        <v>16677</v>
      </c>
      <c r="E1981" s="4" t="s">
        <v>63</v>
      </c>
      <c r="F1981" s="4">
        <v>1995</v>
      </c>
      <c r="G1981" s="4" t="s">
        <v>63</v>
      </c>
      <c r="H1981" s="4">
        <v>12</v>
      </c>
      <c r="I1981" s="4">
        <v>4</v>
      </c>
      <c r="J1981" s="4">
        <v>19</v>
      </c>
      <c r="K1981" s="4">
        <v>30</v>
      </c>
      <c r="L1981" s="4" t="s">
        <v>17040</v>
      </c>
      <c r="M1981" s="4" t="s">
        <v>17041</v>
      </c>
      <c r="N1981" s="4" t="s">
        <v>17042</v>
      </c>
      <c r="O1981" s="4" t="s">
        <v>63</v>
      </c>
      <c r="P1981" s="4"/>
      <c r="Q1981" s="4" t="s">
        <v>63</v>
      </c>
      <c r="R1981" s="4" t="s">
        <v>63</v>
      </c>
      <c r="S1981" s="4" t="s">
        <v>63</v>
      </c>
      <c r="T1981" s="4" t="s">
        <v>63</v>
      </c>
      <c r="U1981" s="4"/>
      <c r="V1981" s="4"/>
      <c r="W1981" s="4"/>
      <c r="X1981" s="4" t="s">
        <v>63</v>
      </c>
      <c r="Y1981" s="4" t="s">
        <v>16681</v>
      </c>
      <c r="Z1981" s="4" t="s">
        <v>63</v>
      </c>
      <c r="AA1981" s="4" t="s">
        <v>63</v>
      </c>
      <c r="AB1981" s="4" t="s">
        <v>17043</v>
      </c>
      <c r="AC1981" s="4" t="s">
        <v>67</v>
      </c>
      <c r="AD1981" s="4" t="s">
        <v>63</v>
      </c>
      <c r="AE1981" s="4" t="s">
        <v>63</v>
      </c>
      <c r="AF1981" s="4" t="s">
        <v>63</v>
      </c>
      <c r="AG1981" s="4" t="s">
        <v>63</v>
      </c>
      <c r="AH1981" s="4" t="s">
        <v>63</v>
      </c>
      <c r="AI1981" s="4" t="s">
        <v>63</v>
      </c>
      <c r="AJ1981" s="4" t="s">
        <v>63</v>
      </c>
      <c r="AK1981" s="4" t="s">
        <v>63</v>
      </c>
      <c r="AL1981" s="4" t="s">
        <v>63</v>
      </c>
      <c r="AM1981" s="4" t="s">
        <v>17039</v>
      </c>
      <c r="AN1981" s="4" t="s">
        <v>63</v>
      </c>
      <c r="AO1981" s="4" t="s">
        <v>63</v>
      </c>
      <c r="AP1981" s="4" t="s">
        <v>63</v>
      </c>
      <c r="AQ1981" s="4" t="s">
        <v>63</v>
      </c>
      <c r="AR1981" s="4" t="s">
        <v>63</v>
      </c>
      <c r="AS1981" s="4" t="s">
        <v>63</v>
      </c>
      <c r="AT1981" s="4" t="s">
        <v>63</v>
      </c>
      <c r="AU1981" s="4" t="s">
        <v>63</v>
      </c>
      <c r="AV1981" s="4" t="s">
        <v>63</v>
      </c>
      <c r="AW1981" s="4" t="s">
        <v>63</v>
      </c>
      <c r="AX1981" s="4" t="s">
        <v>63</v>
      </c>
      <c r="AY1981" s="4" t="s">
        <v>63</v>
      </c>
      <c r="AZ1981" s="4" t="s">
        <v>63</v>
      </c>
      <c r="BA1981" s="4" t="s">
        <v>63</v>
      </c>
      <c r="BB1981" s="4" t="s">
        <v>63</v>
      </c>
      <c r="BC1981" s="4" t="s">
        <v>63</v>
      </c>
      <c r="BD1981" s="4" t="s">
        <v>63</v>
      </c>
      <c r="BE1981" s="4" t="s">
        <v>63</v>
      </c>
      <c r="BF1981" s="4" t="s">
        <v>63</v>
      </c>
    </row>
    <row r="1982" spans="1:58">
      <c r="A1982" s="4" t="s">
        <v>58</v>
      </c>
      <c r="B1982" s="4" t="s">
        <v>17044</v>
      </c>
      <c r="C1982" s="4" t="s">
        <v>17045</v>
      </c>
      <c r="D1982" s="4" t="s">
        <v>16632</v>
      </c>
      <c r="E1982" s="4" t="s">
        <v>63</v>
      </c>
      <c r="F1982" s="4">
        <v>2011</v>
      </c>
      <c r="G1982" s="4" t="s">
        <v>16633</v>
      </c>
      <c r="H1982" s="4">
        <v>16</v>
      </c>
      <c r="I1982" s="4">
        <v>2</v>
      </c>
      <c r="J1982" s="4">
        <v>105</v>
      </c>
      <c r="K1982" s="4" t="s">
        <v>63</v>
      </c>
      <c r="L1982" s="4" t="s">
        <v>17046</v>
      </c>
      <c r="M1982" s="4" t="s">
        <v>17047</v>
      </c>
      <c r="N1982" s="4" t="s">
        <v>17048</v>
      </c>
      <c r="O1982" s="4" t="s">
        <v>63</v>
      </c>
      <c r="P1982" s="4"/>
      <c r="Q1982" s="4" t="s">
        <v>63</v>
      </c>
      <c r="R1982" s="4" t="s">
        <v>63</v>
      </c>
      <c r="S1982" s="4" t="s">
        <v>63</v>
      </c>
      <c r="T1982" s="4" t="s">
        <v>63</v>
      </c>
      <c r="U1982" s="4"/>
      <c r="V1982" s="4"/>
      <c r="W1982" s="4"/>
      <c r="X1982" s="4" t="s">
        <v>63</v>
      </c>
      <c r="Y1982" s="4" t="s">
        <v>9691</v>
      </c>
      <c r="Z1982" s="4" t="s">
        <v>63</v>
      </c>
      <c r="AA1982" s="4" t="s">
        <v>63</v>
      </c>
      <c r="AB1982" s="4" t="s">
        <v>63</v>
      </c>
      <c r="AC1982" s="4" t="s">
        <v>67</v>
      </c>
      <c r="AD1982" s="4" t="s">
        <v>63</v>
      </c>
      <c r="AE1982" s="4" t="s">
        <v>63</v>
      </c>
      <c r="AF1982" s="4" t="s">
        <v>63</v>
      </c>
      <c r="AG1982" s="4" t="s">
        <v>63</v>
      </c>
      <c r="AH1982" s="4" t="s">
        <v>63</v>
      </c>
      <c r="AI1982" s="4" t="s">
        <v>63</v>
      </c>
      <c r="AJ1982" s="4" t="s">
        <v>63</v>
      </c>
      <c r="AK1982" s="4" t="s">
        <v>63</v>
      </c>
      <c r="AL1982" s="4" t="s">
        <v>63</v>
      </c>
      <c r="AM1982" s="4" t="s">
        <v>17045</v>
      </c>
      <c r="AN1982" s="4" t="s">
        <v>63</v>
      </c>
      <c r="AO1982" s="4" t="s">
        <v>63</v>
      </c>
      <c r="AP1982" s="4" t="s">
        <v>63</v>
      </c>
      <c r="AQ1982" s="4" t="s">
        <v>63</v>
      </c>
      <c r="AR1982" s="4" t="s">
        <v>63</v>
      </c>
      <c r="AS1982" s="4" t="s">
        <v>63</v>
      </c>
      <c r="AT1982" s="4" t="s">
        <v>63</v>
      </c>
      <c r="AU1982" s="4" t="s">
        <v>63</v>
      </c>
      <c r="AV1982" s="4" t="s">
        <v>63</v>
      </c>
      <c r="AW1982" s="4" t="s">
        <v>63</v>
      </c>
      <c r="AX1982" s="4" t="s">
        <v>63</v>
      </c>
      <c r="AY1982" s="4" t="s">
        <v>63</v>
      </c>
      <c r="AZ1982" s="4" t="s">
        <v>63</v>
      </c>
      <c r="BA1982" s="4" t="s">
        <v>63</v>
      </c>
      <c r="BB1982" s="4" t="s">
        <v>63</v>
      </c>
      <c r="BC1982" s="4" t="s">
        <v>63</v>
      </c>
      <c r="BD1982" s="4" t="s">
        <v>63</v>
      </c>
      <c r="BE1982" s="4" t="s">
        <v>63</v>
      </c>
      <c r="BF1982" s="4" t="s">
        <v>63</v>
      </c>
    </row>
    <row r="1983" spans="1:58">
      <c r="A1983" s="4" t="s">
        <v>58</v>
      </c>
      <c r="B1983" s="4" t="s">
        <v>17049</v>
      </c>
      <c r="C1983" s="4" t="s">
        <v>17050</v>
      </c>
      <c r="D1983" s="4" t="s">
        <v>1366</v>
      </c>
      <c r="E1983" s="4" t="s">
        <v>1367</v>
      </c>
      <c r="F1983" s="4">
        <v>2015</v>
      </c>
      <c r="G1983" s="4">
        <v>1</v>
      </c>
      <c r="H1983" s="4">
        <v>173</v>
      </c>
      <c r="I1983" s="4">
        <v>6</v>
      </c>
      <c r="J1983" s="4">
        <v>525</v>
      </c>
      <c r="K1983" s="4">
        <v>530</v>
      </c>
      <c r="L1983" s="4" t="s">
        <v>17051</v>
      </c>
      <c r="M1983" s="4" t="s">
        <v>17052</v>
      </c>
      <c r="N1983" s="4" t="s">
        <v>17053</v>
      </c>
      <c r="O1983" s="4" t="s">
        <v>63</v>
      </c>
      <c r="P1983" s="4"/>
      <c r="Q1983" s="4" t="s">
        <v>63</v>
      </c>
      <c r="R1983" s="4" t="s">
        <v>63</v>
      </c>
      <c r="S1983" s="4" t="s">
        <v>63</v>
      </c>
      <c r="T1983" s="4" t="s">
        <v>63</v>
      </c>
      <c r="U1983" s="4"/>
      <c r="V1983" s="4"/>
      <c r="W1983" s="4"/>
      <c r="X1983" s="4" t="s">
        <v>63</v>
      </c>
      <c r="Y1983" s="4" t="s">
        <v>17054</v>
      </c>
      <c r="Z1983" s="4" t="s">
        <v>63</v>
      </c>
      <c r="AA1983" s="4" t="s">
        <v>63</v>
      </c>
      <c r="AB1983" s="4" t="s">
        <v>17055</v>
      </c>
      <c r="AC1983" s="4" t="s">
        <v>1371</v>
      </c>
      <c r="AD1983" s="4" t="s">
        <v>63</v>
      </c>
      <c r="AE1983" s="4" t="s">
        <v>63</v>
      </c>
      <c r="AF1983" s="4" t="s">
        <v>63</v>
      </c>
      <c r="AG1983" s="4" t="s">
        <v>63</v>
      </c>
      <c r="AH1983" s="4" t="s">
        <v>63</v>
      </c>
      <c r="AI1983" s="4" t="s">
        <v>17056</v>
      </c>
      <c r="AJ1983" s="4" t="s">
        <v>63</v>
      </c>
      <c r="AK1983" s="4" t="s">
        <v>63</v>
      </c>
      <c r="AL1983" s="4" t="s">
        <v>63</v>
      </c>
      <c r="AM1983" s="4" t="s">
        <v>17050</v>
      </c>
      <c r="AN1983" s="4" t="s">
        <v>63</v>
      </c>
      <c r="AO1983" s="4" t="s">
        <v>63</v>
      </c>
      <c r="AP1983" s="4" t="s">
        <v>63</v>
      </c>
      <c r="AQ1983" s="4" t="s">
        <v>63</v>
      </c>
      <c r="AR1983" s="4" t="s">
        <v>63</v>
      </c>
      <c r="AS1983" s="4" t="s">
        <v>63</v>
      </c>
      <c r="AT1983" s="4" t="s">
        <v>63</v>
      </c>
      <c r="AU1983" s="4" t="s">
        <v>63</v>
      </c>
      <c r="AV1983" s="4" t="s">
        <v>63</v>
      </c>
      <c r="AW1983" s="4" t="s">
        <v>63</v>
      </c>
      <c r="AX1983" s="4" t="s">
        <v>63</v>
      </c>
      <c r="AY1983" s="4" t="s">
        <v>63</v>
      </c>
      <c r="AZ1983" s="4" t="s">
        <v>63</v>
      </c>
      <c r="BA1983" s="4" t="s">
        <v>63</v>
      </c>
      <c r="BB1983" s="4" t="s">
        <v>63</v>
      </c>
      <c r="BC1983" s="4" t="s">
        <v>63</v>
      </c>
      <c r="BD1983" s="4" t="s">
        <v>63</v>
      </c>
      <c r="BE1983" s="4" t="s">
        <v>63</v>
      </c>
      <c r="BF1983" s="4" t="s">
        <v>63</v>
      </c>
    </row>
    <row r="1984" spans="1:58">
      <c r="A1984" s="4" t="s">
        <v>58</v>
      </c>
      <c r="B1984" s="4" t="s">
        <v>17057</v>
      </c>
      <c r="C1984" s="4" t="s">
        <v>17058</v>
      </c>
      <c r="D1984" s="4" t="s">
        <v>15263</v>
      </c>
      <c r="E1984" s="4" t="s">
        <v>15264</v>
      </c>
      <c r="F1984" s="4">
        <v>2015</v>
      </c>
      <c r="G1984" s="4">
        <v>1</v>
      </c>
      <c r="H1984" s="4">
        <v>156</v>
      </c>
      <c r="I1984" s="4" t="s">
        <v>63</v>
      </c>
      <c r="J1984" s="4" t="s">
        <v>17059</v>
      </c>
      <c r="K1984" s="4" t="s">
        <v>63</v>
      </c>
      <c r="L1984" s="4" t="s">
        <v>17060</v>
      </c>
      <c r="M1984" s="4" t="s">
        <v>17061</v>
      </c>
      <c r="N1984" s="4" t="s">
        <v>17062</v>
      </c>
      <c r="O1984" s="4" t="s">
        <v>63</v>
      </c>
      <c r="P1984" s="4"/>
      <c r="Q1984" s="4" t="s">
        <v>63</v>
      </c>
      <c r="R1984" s="4" t="s">
        <v>63</v>
      </c>
      <c r="S1984" s="4" t="s">
        <v>63</v>
      </c>
      <c r="T1984" s="4" t="s">
        <v>63</v>
      </c>
      <c r="U1984" s="4"/>
      <c r="V1984" s="4"/>
      <c r="W1984" s="4"/>
      <c r="X1984" s="4" t="s">
        <v>63</v>
      </c>
      <c r="Y1984" s="4" t="s">
        <v>4942</v>
      </c>
      <c r="Z1984" s="4" t="s">
        <v>63</v>
      </c>
      <c r="AA1984" s="4" t="s">
        <v>63</v>
      </c>
      <c r="AB1984" s="4" t="s">
        <v>63</v>
      </c>
      <c r="AC1984" s="4" t="s">
        <v>67</v>
      </c>
      <c r="AD1984" s="4" t="s">
        <v>63</v>
      </c>
      <c r="AE1984" s="4" t="s">
        <v>63</v>
      </c>
      <c r="AF1984" s="4" t="s">
        <v>63</v>
      </c>
      <c r="AG1984" s="4" t="s">
        <v>63</v>
      </c>
      <c r="AH1984" s="4" t="s">
        <v>63</v>
      </c>
      <c r="AI1984" s="4" t="s">
        <v>17063</v>
      </c>
      <c r="AJ1984" s="4" t="s">
        <v>63</v>
      </c>
      <c r="AK1984" s="4" t="s">
        <v>63</v>
      </c>
      <c r="AL1984" s="4" t="s">
        <v>63</v>
      </c>
      <c r="AM1984" s="4" t="s">
        <v>17058</v>
      </c>
      <c r="AN1984" s="4" t="s">
        <v>63</v>
      </c>
      <c r="AO1984" s="4" t="s">
        <v>63</v>
      </c>
      <c r="AP1984" s="4" t="s">
        <v>63</v>
      </c>
      <c r="AQ1984" s="4" t="s">
        <v>63</v>
      </c>
      <c r="AR1984" s="4" t="s">
        <v>63</v>
      </c>
      <c r="AS1984" s="4" t="s">
        <v>63</v>
      </c>
      <c r="AT1984" s="4" t="s">
        <v>63</v>
      </c>
      <c r="AU1984" s="4" t="s">
        <v>63</v>
      </c>
      <c r="AV1984" s="4" t="s">
        <v>63</v>
      </c>
      <c r="AW1984" s="4" t="s">
        <v>63</v>
      </c>
      <c r="AX1984" s="4" t="s">
        <v>63</v>
      </c>
      <c r="AY1984" s="4" t="s">
        <v>63</v>
      </c>
      <c r="AZ1984" s="4" t="s">
        <v>63</v>
      </c>
      <c r="BA1984" s="4" t="s">
        <v>63</v>
      </c>
      <c r="BB1984" s="4" t="s">
        <v>63</v>
      </c>
      <c r="BC1984" s="4" t="s">
        <v>63</v>
      </c>
      <c r="BD1984" s="4" t="s">
        <v>63</v>
      </c>
      <c r="BE1984" s="4" t="s">
        <v>63</v>
      </c>
      <c r="BF1984" s="4" t="s">
        <v>63</v>
      </c>
    </row>
    <row r="1985" spans="1:58">
      <c r="A1985" s="4" t="s">
        <v>58</v>
      </c>
      <c r="B1985" s="4" t="s">
        <v>17064</v>
      </c>
      <c r="C1985" s="4" t="s">
        <v>17065</v>
      </c>
      <c r="D1985" s="4" t="s">
        <v>16632</v>
      </c>
      <c r="E1985" s="4" t="s">
        <v>63</v>
      </c>
      <c r="F1985" s="4">
        <v>2014</v>
      </c>
      <c r="G1985" s="4" t="s">
        <v>17066</v>
      </c>
      <c r="H1985" s="4">
        <v>19</v>
      </c>
      <c r="I1985" s="4">
        <v>3</v>
      </c>
      <c r="J1985" s="4" t="s">
        <v>17067</v>
      </c>
      <c r="K1985" s="4" t="s">
        <v>63</v>
      </c>
      <c r="L1985" s="4" t="s">
        <v>17068</v>
      </c>
      <c r="M1985" s="4" t="s">
        <v>17069</v>
      </c>
      <c r="N1985" s="4" t="s">
        <v>17070</v>
      </c>
      <c r="O1985" s="4" t="s">
        <v>63</v>
      </c>
      <c r="P1985" s="4"/>
      <c r="Q1985" s="4" t="s">
        <v>63</v>
      </c>
      <c r="R1985" s="4" t="s">
        <v>63</v>
      </c>
      <c r="S1985" s="4" t="s">
        <v>63</v>
      </c>
      <c r="T1985" s="4" t="s">
        <v>63</v>
      </c>
      <c r="U1985" s="4"/>
      <c r="V1985" s="4"/>
      <c r="W1985" s="4"/>
      <c r="X1985" s="4" t="s">
        <v>63</v>
      </c>
      <c r="Y1985" s="4" t="s">
        <v>9691</v>
      </c>
      <c r="Z1985" s="4" t="s">
        <v>63</v>
      </c>
      <c r="AA1985" s="4" t="s">
        <v>63</v>
      </c>
      <c r="AB1985" s="4" t="s">
        <v>63</v>
      </c>
      <c r="AC1985" s="4" t="s">
        <v>67</v>
      </c>
      <c r="AD1985" s="4" t="s">
        <v>63</v>
      </c>
      <c r="AE1985" s="4" t="s">
        <v>63</v>
      </c>
      <c r="AF1985" s="4" t="s">
        <v>63</v>
      </c>
      <c r="AG1985" s="4" t="s">
        <v>63</v>
      </c>
      <c r="AH1985" s="4" t="s">
        <v>63</v>
      </c>
      <c r="AI1985" s="4" t="s">
        <v>63</v>
      </c>
      <c r="AJ1985" s="4" t="s">
        <v>63</v>
      </c>
      <c r="AK1985" s="4" t="s">
        <v>63</v>
      </c>
      <c r="AL1985" s="4" t="s">
        <v>63</v>
      </c>
      <c r="AM1985" s="4" t="s">
        <v>17065</v>
      </c>
      <c r="AN1985" s="4" t="s">
        <v>63</v>
      </c>
      <c r="AO1985" s="4" t="s">
        <v>63</v>
      </c>
      <c r="AP1985" s="4" t="s">
        <v>63</v>
      </c>
      <c r="AQ1985" s="4" t="s">
        <v>63</v>
      </c>
      <c r="AR1985" s="4" t="s">
        <v>63</v>
      </c>
      <c r="AS1985" s="4" t="s">
        <v>63</v>
      </c>
      <c r="AT1985" s="4" t="s">
        <v>63</v>
      </c>
      <c r="AU1985" s="4" t="s">
        <v>63</v>
      </c>
      <c r="AV1985" s="4" t="s">
        <v>63</v>
      </c>
      <c r="AW1985" s="4" t="s">
        <v>63</v>
      </c>
      <c r="AX1985" s="4" t="s">
        <v>63</v>
      </c>
      <c r="AY1985" s="4" t="s">
        <v>63</v>
      </c>
      <c r="AZ1985" s="4" t="s">
        <v>63</v>
      </c>
      <c r="BA1985" s="4" t="s">
        <v>63</v>
      </c>
      <c r="BB1985" s="4" t="s">
        <v>63</v>
      </c>
      <c r="BC1985" s="4" t="s">
        <v>63</v>
      </c>
      <c r="BD1985" s="4" t="s">
        <v>63</v>
      </c>
      <c r="BE1985" s="4" t="s">
        <v>63</v>
      </c>
      <c r="BF1985" s="4" t="s">
        <v>63</v>
      </c>
    </row>
    <row r="1986" spans="1:58">
      <c r="A1986" s="4" t="s">
        <v>58</v>
      </c>
      <c r="B1986" s="4" t="s">
        <v>17071</v>
      </c>
      <c r="C1986" s="4" t="s">
        <v>17072</v>
      </c>
      <c r="D1986" s="4" t="s">
        <v>155</v>
      </c>
      <c r="E1986" s="4" t="s">
        <v>156</v>
      </c>
      <c r="F1986" s="4">
        <v>2013</v>
      </c>
      <c r="G1986" s="4" t="s">
        <v>15358</v>
      </c>
      <c r="H1986" s="4">
        <v>62</v>
      </c>
      <c r="I1986" s="4">
        <v>4</v>
      </c>
      <c r="J1986" s="4" t="s">
        <v>17073</v>
      </c>
      <c r="K1986" s="4" t="s">
        <v>63</v>
      </c>
      <c r="L1986" s="4" t="s">
        <v>17074</v>
      </c>
      <c r="M1986" s="4" t="s">
        <v>17075</v>
      </c>
      <c r="N1986" s="4" t="s">
        <v>17076</v>
      </c>
      <c r="O1986" s="4" t="s">
        <v>63</v>
      </c>
      <c r="P1986" s="4"/>
      <c r="Q1986" s="4" t="s">
        <v>63</v>
      </c>
      <c r="R1986" s="4" t="s">
        <v>63</v>
      </c>
      <c r="S1986" s="4" t="s">
        <v>63</v>
      </c>
      <c r="T1986" s="4" t="s">
        <v>63</v>
      </c>
      <c r="U1986" s="4"/>
      <c r="V1986" s="4"/>
      <c r="W1986" s="4"/>
      <c r="X1986" s="4" t="s">
        <v>63</v>
      </c>
      <c r="Y1986" s="4" t="s">
        <v>160</v>
      </c>
      <c r="Z1986" s="4" t="s">
        <v>63</v>
      </c>
      <c r="AA1986" s="4" t="s">
        <v>63</v>
      </c>
      <c r="AB1986" s="4" t="s">
        <v>63</v>
      </c>
      <c r="AC1986" s="4" t="s">
        <v>67</v>
      </c>
      <c r="AD1986" s="4" t="s">
        <v>63</v>
      </c>
      <c r="AE1986" s="4" t="s">
        <v>63</v>
      </c>
      <c r="AF1986" s="4" t="s">
        <v>63</v>
      </c>
      <c r="AG1986" s="4" t="s">
        <v>63</v>
      </c>
      <c r="AH1986" s="4" t="s">
        <v>63</v>
      </c>
      <c r="AI1986" s="4" t="s">
        <v>17077</v>
      </c>
      <c r="AJ1986" s="4" t="s">
        <v>63</v>
      </c>
      <c r="AK1986" s="4" t="s">
        <v>63</v>
      </c>
      <c r="AL1986" s="4" t="s">
        <v>63</v>
      </c>
      <c r="AM1986" s="4" t="s">
        <v>17072</v>
      </c>
      <c r="AN1986" s="4" t="s">
        <v>63</v>
      </c>
      <c r="AO1986" s="4" t="s">
        <v>63</v>
      </c>
      <c r="AP1986" s="4" t="s">
        <v>63</v>
      </c>
      <c r="AQ1986" s="4" t="s">
        <v>63</v>
      </c>
      <c r="AR1986" s="4" t="s">
        <v>63</v>
      </c>
      <c r="AS1986" s="4" t="s">
        <v>63</v>
      </c>
      <c r="AT1986" s="4" t="s">
        <v>63</v>
      </c>
      <c r="AU1986" s="4" t="s">
        <v>63</v>
      </c>
      <c r="AV1986" s="4" t="s">
        <v>63</v>
      </c>
      <c r="AW1986" s="4" t="s">
        <v>63</v>
      </c>
      <c r="AX1986" s="4" t="s">
        <v>63</v>
      </c>
      <c r="AY1986" s="4" t="s">
        <v>63</v>
      </c>
      <c r="AZ1986" s="4" t="s">
        <v>63</v>
      </c>
      <c r="BA1986" s="4" t="s">
        <v>63</v>
      </c>
      <c r="BB1986" s="4" t="s">
        <v>63</v>
      </c>
      <c r="BC1986" s="4" t="s">
        <v>63</v>
      </c>
      <c r="BD1986" s="4" t="s">
        <v>63</v>
      </c>
      <c r="BE1986" s="4" t="s">
        <v>63</v>
      </c>
      <c r="BF1986" s="4" t="s">
        <v>63</v>
      </c>
    </row>
    <row r="1987" spans="1:58">
      <c r="A1987" s="4" t="s">
        <v>58</v>
      </c>
      <c r="B1987" s="4" t="s">
        <v>17078</v>
      </c>
      <c r="C1987" s="4" t="s">
        <v>17079</v>
      </c>
      <c r="D1987" s="4" t="s">
        <v>763</v>
      </c>
      <c r="E1987" s="4" t="s">
        <v>63</v>
      </c>
      <c r="F1987" s="4">
        <v>2001</v>
      </c>
      <c r="G1987" s="4" t="s">
        <v>63</v>
      </c>
      <c r="H1987" s="4">
        <v>76</v>
      </c>
      <c r="I1987" s="4">
        <v>4</v>
      </c>
      <c r="J1987" s="4">
        <v>395</v>
      </c>
      <c r="K1987" s="4" t="s">
        <v>63</v>
      </c>
      <c r="L1987" s="4" t="s">
        <v>17080</v>
      </c>
      <c r="M1987" s="4" t="s">
        <v>17081</v>
      </c>
      <c r="N1987" s="4" t="s">
        <v>17082</v>
      </c>
      <c r="O1987" s="4" t="s">
        <v>63</v>
      </c>
      <c r="P1987" s="4"/>
      <c r="Q1987" s="4" t="s">
        <v>63</v>
      </c>
      <c r="R1987" s="4" t="s">
        <v>63</v>
      </c>
      <c r="S1987" s="4" t="s">
        <v>63</v>
      </c>
      <c r="T1987" s="4" t="s">
        <v>63</v>
      </c>
      <c r="U1987" s="4"/>
      <c r="V1987" s="4"/>
      <c r="W1987" s="4"/>
      <c r="X1987" s="4" t="s">
        <v>63</v>
      </c>
      <c r="Y1987" s="4" t="s">
        <v>858</v>
      </c>
      <c r="Z1987" s="4" t="s">
        <v>63</v>
      </c>
      <c r="AA1987" s="4" t="s">
        <v>63</v>
      </c>
      <c r="AB1987" s="4">
        <v>2001143190</v>
      </c>
      <c r="AC1987" s="4" t="s">
        <v>67</v>
      </c>
      <c r="AD1987" s="4" t="s">
        <v>63</v>
      </c>
      <c r="AE1987" s="4" t="s">
        <v>63</v>
      </c>
      <c r="AF1987" s="4" t="s">
        <v>63</v>
      </c>
      <c r="AG1987" s="4" t="s">
        <v>17083</v>
      </c>
      <c r="AH1987" s="4" t="s">
        <v>63</v>
      </c>
      <c r="AI1987" s="4" t="s">
        <v>63</v>
      </c>
      <c r="AJ1987" s="4" t="s">
        <v>63</v>
      </c>
      <c r="AK1987" s="4" t="s">
        <v>63</v>
      </c>
      <c r="AL1987" s="4" t="s">
        <v>63</v>
      </c>
      <c r="AM1987" s="4" t="s">
        <v>17084</v>
      </c>
      <c r="AN1987" s="4" t="s">
        <v>63</v>
      </c>
      <c r="AO1987" s="4" t="s">
        <v>63</v>
      </c>
      <c r="AP1987" s="4" t="s">
        <v>63</v>
      </c>
      <c r="AQ1987" s="4" t="s">
        <v>63</v>
      </c>
      <c r="AR1987" s="4" t="s">
        <v>63</v>
      </c>
      <c r="AS1987" s="4" t="s">
        <v>63</v>
      </c>
      <c r="AT1987" s="4" t="s">
        <v>63</v>
      </c>
      <c r="AU1987" s="4" t="s">
        <v>63</v>
      </c>
      <c r="AV1987" s="4" t="s">
        <v>63</v>
      </c>
      <c r="AW1987" s="4" t="s">
        <v>63</v>
      </c>
      <c r="AX1987" s="4" t="s">
        <v>63</v>
      </c>
      <c r="AY1987" s="4" t="s">
        <v>63</v>
      </c>
      <c r="AZ1987" s="4" t="s">
        <v>63</v>
      </c>
      <c r="BA1987" s="4" t="s">
        <v>63</v>
      </c>
      <c r="BB1987" s="4" t="s">
        <v>63</v>
      </c>
      <c r="BC1987" s="4" t="s">
        <v>63</v>
      </c>
      <c r="BD1987" s="4" t="s">
        <v>63</v>
      </c>
      <c r="BE1987" s="4" t="s">
        <v>63</v>
      </c>
      <c r="BF1987" s="4" t="s">
        <v>63</v>
      </c>
    </row>
    <row r="1988" spans="1:58">
      <c r="A1988" s="4" t="s">
        <v>58</v>
      </c>
      <c r="B1988" s="4" t="s">
        <v>17085</v>
      </c>
      <c r="C1988" s="4" t="s">
        <v>17086</v>
      </c>
      <c r="D1988" s="4" t="s">
        <v>17087</v>
      </c>
      <c r="E1988" s="4" t="s">
        <v>63</v>
      </c>
      <c r="F1988" s="4">
        <v>2014</v>
      </c>
      <c r="G1988" s="4" t="s">
        <v>15300</v>
      </c>
      <c r="H1988" s="4">
        <v>18</v>
      </c>
      <c r="I1988" s="4">
        <v>8</v>
      </c>
      <c r="J1988" s="4">
        <v>745</v>
      </c>
      <c r="K1988" s="4">
        <v>752</v>
      </c>
      <c r="L1988" s="4" t="s">
        <v>17088</v>
      </c>
      <c r="M1988" s="4" t="s">
        <v>17089</v>
      </c>
      <c r="N1988" s="4" t="s">
        <v>17090</v>
      </c>
      <c r="O1988" s="4" t="s">
        <v>63</v>
      </c>
      <c r="P1988" s="4"/>
      <c r="Q1988" s="4" t="s">
        <v>63</v>
      </c>
      <c r="R1988" s="4" t="s">
        <v>63</v>
      </c>
      <c r="S1988" s="4" t="s">
        <v>63</v>
      </c>
      <c r="T1988" s="4" t="s">
        <v>63</v>
      </c>
      <c r="U1988" s="4"/>
      <c r="V1988" s="4"/>
      <c r="W1988" s="4"/>
      <c r="X1988" s="4" t="s">
        <v>63</v>
      </c>
      <c r="Y1988" s="4" t="s">
        <v>17091</v>
      </c>
      <c r="Z1988" s="4" t="s">
        <v>63</v>
      </c>
      <c r="AA1988" s="4" t="s">
        <v>63</v>
      </c>
      <c r="AB1988" s="4">
        <v>2014536145</v>
      </c>
      <c r="AC1988" s="4" t="s">
        <v>67</v>
      </c>
      <c r="AD1988" s="4" t="s">
        <v>63</v>
      </c>
      <c r="AE1988" s="4" t="s">
        <v>63</v>
      </c>
      <c r="AF1988" s="4" t="s">
        <v>63</v>
      </c>
      <c r="AG1988" s="4" t="s">
        <v>17092</v>
      </c>
      <c r="AH1988" s="4" t="s">
        <v>63</v>
      </c>
      <c r="AI1988" s="4" t="s">
        <v>17093</v>
      </c>
      <c r="AJ1988" s="4" t="s">
        <v>63</v>
      </c>
      <c r="AK1988" s="4" t="s">
        <v>63</v>
      </c>
      <c r="AL1988" s="4" t="s">
        <v>63</v>
      </c>
      <c r="AM1988" s="4" t="s">
        <v>17094</v>
      </c>
      <c r="AN1988" s="4" t="s">
        <v>63</v>
      </c>
      <c r="AO1988" s="4" t="s">
        <v>63</v>
      </c>
      <c r="AP1988" s="4" t="s">
        <v>63</v>
      </c>
      <c r="AQ1988" s="4" t="s">
        <v>63</v>
      </c>
      <c r="AR1988" s="4" t="s">
        <v>63</v>
      </c>
      <c r="AS1988" s="4" t="s">
        <v>63</v>
      </c>
      <c r="AT1988" s="4" t="s">
        <v>63</v>
      </c>
      <c r="AU1988" s="4" t="s">
        <v>63</v>
      </c>
      <c r="AV1988" s="4" t="s">
        <v>63</v>
      </c>
      <c r="AW1988" s="4" t="s">
        <v>63</v>
      </c>
      <c r="AX1988" s="4" t="s">
        <v>63</v>
      </c>
      <c r="AY1988" s="4" t="s">
        <v>63</v>
      </c>
      <c r="AZ1988" s="4" t="s">
        <v>63</v>
      </c>
      <c r="BA1988" s="4" t="s">
        <v>63</v>
      </c>
      <c r="BB1988" s="4" t="s">
        <v>63</v>
      </c>
      <c r="BC1988" s="4" t="s">
        <v>63</v>
      </c>
      <c r="BD1988" s="4" t="s">
        <v>63</v>
      </c>
      <c r="BE1988" s="4" t="s">
        <v>63</v>
      </c>
      <c r="BF1988" s="4" t="s">
        <v>63</v>
      </c>
    </row>
    <row r="1989" spans="1:58">
      <c r="A1989" s="4" t="s">
        <v>58</v>
      </c>
      <c r="B1989" s="4" t="s">
        <v>17095</v>
      </c>
      <c r="C1989" s="4" t="s">
        <v>17096</v>
      </c>
      <c r="D1989" s="4" t="s">
        <v>17097</v>
      </c>
      <c r="E1989" s="4" t="s">
        <v>17098</v>
      </c>
      <c r="F1989" s="4">
        <v>2014</v>
      </c>
      <c r="G1989" s="4" t="s">
        <v>63</v>
      </c>
      <c r="H1989" s="4">
        <v>43</v>
      </c>
      <c r="I1989" s="4">
        <v>1</v>
      </c>
      <c r="J1989" s="4">
        <v>1</v>
      </c>
      <c r="K1989" s="4">
        <v>4</v>
      </c>
      <c r="L1989" s="4" t="s">
        <v>17099</v>
      </c>
      <c r="M1989" s="4" t="s">
        <v>63</v>
      </c>
      <c r="N1989" s="4" t="s">
        <v>17100</v>
      </c>
      <c r="O1989" s="4" t="s">
        <v>63</v>
      </c>
      <c r="P1989" s="4"/>
      <c r="Q1989" s="4" t="s">
        <v>63</v>
      </c>
      <c r="R1989" s="4" t="s">
        <v>63</v>
      </c>
      <c r="S1989" s="4" t="s">
        <v>63</v>
      </c>
      <c r="T1989" s="4" t="s">
        <v>63</v>
      </c>
      <c r="U1989" s="4"/>
      <c r="V1989" s="4"/>
      <c r="W1989" s="4"/>
      <c r="X1989" s="4" t="s">
        <v>63</v>
      </c>
      <c r="Y1989" s="4" t="s">
        <v>17101</v>
      </c>
      <c r="Z1989" s="4" t="s">
        <v>63</v>
      </c>
      <c r="AA1989" s="4" t="s">
        <v>63</v>
      </c>
      <c r="AB1989" s="4" t="s">
        <v>17102</v>
      </c>
      <c r="AC1989" s="4" t="s">
        <v>67</v>
      </c>
      <c r="AD1989" s="4" t="s">
        <v>63</v>
      </c>
      <c r="AE1989" s="4" t="s">
        <v>63</v>
      </c>
      <c r="AF1989" s="4" t="s">
        <v>63</v>
      </c>
      <c r="AG1989" s="4" t="s">
        <v>63</v>
      </c>
      <c r="AH1989" s="4" t="s">
        <v>63</v>
      </c>
      <c r="AI1989" s="4" t="s">
        <v>17103</v>
      </c>
      <c r="AJ1989" s="4" t="s">
        <v>63</v>
      </c>
      <c r="AK1989" s="4" t="s">
        <v>63</v>
      </c>
      <c r="AL1989" s="4" t="s">
        <v>63</v>
      </c>
      <c r="AM1989" s="4" t="s">
        <v>17096</v>
      </c>
      <c r="AN1989" s="4" t="s">
        <v>63</v>
      </c>
      <c r="AO1989" s="4" t="s">
        <v>63</v>
      </c>
      <c r="AP1989" s="4" t="s">
        <v>63</v>
      </c>
      <c r="AQ1989" s="4" t="s">
        <v>63</v>
      </c>
      <c r="AR1989" s="4" t="s">
        <v>63</v>
      </c>
      <c r="AS1989" s="4" t="s">
        <v>63</v>
      </c>
      <c r="AT1989" s="4" t="s">
        <v>63</v>
      </c>
      <c r="AU1989" s="4" t="s">
        <v>63</v>
      </c>
      <c r="AV1989" s="4" t="s">
        <v>63</v>
      </c>
      <c r="AW1989" s="4" t="s">
        <v>63</v>
      </c>
      <c r="AX1989" s="4" t="s">
        <v>63</v>
      </c>
      <c r="AY1989" s="4" t="s">
        <v>63</v>
      </c>
      <c r="AZ1989" s="4" t="s">
        <v>63</v>
      </c>
      <c r="BA1989" s="4" t="s">
        <v>63</v>
      </c>
      <c r="BB1989" s="4" t="s">
        <v>63</v>
      </c>
      <c r="BC1989" s="4" t="s">
        <v>63</v>
      </c>
      <c r="BD1989" s="4" t="s">
        <v>63</v>
      </c>
      <c r="BE1989" s="4" t="s">
        <v>63</v>
      </c>
      <c r="BF1989" s="4" t="s">
        <v>63</v>
      </c>
    </row>
    <row r="1990" spans="1:58">
      <c r="A1990" s="4" t="s">
        <v>58</v>
      </c>
      <c r="B1990" s="4" t="s">
        <v>17104</v>
      </c>
      <c r="C1990" s="4" t="s">
        <v>17105</v>
      </c>
      <c r="D1990" s="4" t="s">
        <v>17106</v>
      </c>
      <c r="E1990" s="4" t="s">
        <v>63</v>
      </c>
      <c r="F1990" s="4">
        <v>2016</v>
      </c>
      <c r="G1990" s="4">
        <v>1</v>
      </c>
      <c r="H1990" s="4">
        <v>74</v>
      </c>
      <c r="I1990" s="4">
        <v>9</v>
      </c>
      <c r="J1990" s="4" t="s">
        <v>17107</v>
      </c>
      <c r="K1990" s="4" t="s">
        <v>7547</v>
      </c>
      <c r="L1990" s="4" t="s">
        <v>17108</v>
      </c>
      <c r="M1990" s="4" t="s">
        <v>17109</v>
      </c>
      <c r="N1990" s="4" t="s">
        <v>17110</v>
      </c>
      <c r="O1990" s="4" t="s">
        <v>63</v>
      </c>
      <c r="P1990" s="4"/>
      <c r="Q1990" s="4" t="s">
        <v>63</v>
      </c>
      <c r="R1990" s="4" t="s">
        <v>63</v>
      </c>
      <c r="S1990" s="4" t="s">
        <v>63</v>
      </c>
      <c r="T1990" s="4" t="s">
        <v>63</v>
      </c>
      <c r="U1990" s="4"/>
      <c r="V1990" s="4"/>
      <c r="W1990" s="4"/>
      <c r="X1990" s="4" t="s">
        <v>63</v>
      </c>
      <c r="Y1990" s="4" t="s">
        <v>3831</v>
      </c>
      <c r="Z1990" s="4" t="s">
        <v>63</v>
      </c>
      <c r="AA1990" s="4" t="s">
        <v>63</v>
      </c>
      <c r="AB1990" s="4" t="s">
        <v>63</v>
      </c>
      <c r="AC1990" s="4" t="s">
        <v>67</v>
      </c>
      <c r="AD1990" s="4" t="s">
        <v>63</v>
      </c>
      <c r="AE1990" s="4" t="s">
        <v>63</v>
      </c>
      <c r="AF1990" s="4" t="s">
        <v>63</v>
      </c>
      <c r="AG1990" s="4" t="s">
        <v>63</v>
      </c>
      <c r="AH1990" s="4" t="s">
        <v>63</v>
      </c>
      <c r="AI1990" s="4" t="s">
        <v>63</v>
      </c>
      <c r="AJ1990" s="4" t="s">
        <v>63</v>
      </c>
      <c r="AK1990" s="4" t="s">
        <v>63</v>
      </c>
      <c r="AL1990" s="4" t="s">
        <v>63</v>
      </c>
      <c r="AM1990" s="4" t="s">
        <v>17105</v>
      </c>
      <c r="AN1990" s="4" t="s">
        <v>63</v>
      </c>
      <c r="AO1990" s="4" t="s">
        <v>63</v>
      </c>
      <c r="AP1990" s="4" t="s">
        <v>63</v>
      </c>
      <c r="AQ1990" s="4" t="s">
        <v>63</v>
      </c>
      <c r="AR1990" s="4" t="s">
        <v>63</v>
      </c>
      <c r="AS1990" s="4" t="s">
        <v>63</v>
      </c>
      <c r="AT1990" s="4" t="s">
        <v>63</v>
      </c>
      <c r="AU1990" s="4" t="s">
        <v>63</v>
      </c>
      <c r="AV1990" s="4" t="s">
        <v>63</v>
      </c>
      <c r="AW1990" s="4" t="s">
        <v>63</v>
      </c>
      <c r="AX1990" s="4" t="s">
        <v>63</v>
      </c>
      <c r="AY1990" s="4" t="s">
        <v>63</v>
      </c>
      <c r="AZ1990" s="4" t="s">
        <v>63</v>
      </c>
      <c r="BA1990" s="4" t="s">
        <v>63</v>
      </c>
      <c r="BB1990" s="4" t="s">
        <v>63</v>
      </c>
      <c r="BC1990" s="4" t="s">
        <v>63</v>
      </c>
      <c r="BD1990" s="4" t="s">
        <v>63</v>
      </c>
      <c r="BE1990" s="4" t="s">
        <v>63</v>
      </c>
      <c r="BF1990" s="4" t="s">
        <v>63</v>
      </c>
    </row>
    <row r="1991" spans="1:58">
      <c r="A1991" s="4" t="s">
        <v>58</v>
      </c>
      <c r="B1991" s="4" t="s">
        <v>17111</v>
      </c>
      <c r="C1991" s="4" t="s">
        <v>17112</v>
      </c>
      <c r="D1991" s="4" t="s">
        <v>17113</v>
      </c>
      <c r="E1991" s="4" t="s">
        <v>63</v>
      </c>
      <c r="F1991" s="4">
        <v>2012</v>
      </c>
      <c r="G1991" s="4" t="s">
        <v>15300</v>
      </c>
      <c r="H1991" s="4" t="s">
        <v>17114</v>
      </c>
      <c r="I1991" s="4" t="s">
        <v>63</v>
      </c>
      <c r="J1991" s="4" t="s">
        <v>14754</v>
      </c>
      <c r="K1991" s="4" t="s">
        <v>17115</v>
      </c>
      <c r="L1991" s="4" t="s">
        <v>17116</v>
      </c>
      <c r="M1991" s="4" t="s">
        <v>17117</v>
      </c>
      <c r="N1991" s="4" t="s">
        <v>17118</v>
      </c>
      <c r="O1991" s="4" t="s">
        <v>63</v>
      </c>
      <c r="P1991" s="4"/>
      <c r="Q1991" s="4" t="s">
        <v>63</v>
      </c>
      <c r="R1991" s="4" t="s">
        <v>63</v>
      </c>
      <c r="S1991" s="4" t="s">
        <v>63</v>
      </c>
      <c r="T1991" s="4" t="s">
        <v>63</v>
      </c>
      <c r="U1991" s="4"/>
      <c r="V1991" s="4"/>
      <c r="W1991" s="4"/>
      <c r="X1991" s="4" t="s">
        <v>63</v>
      </c>
      <c r="Y1991" s="4" t="s">
        <v>17119</v>
      </c>
      <c r="Z1991" s="4" t="s">
        <v>63</v>
      </c>
      <c r="AA1991" s="4" t="s">
        <v>63</v>
      </c>
      <c r="AB1991" s="4" t="s">
        <v>63</v>
      </c>
      <c r="AC1991" s="4" t="s">
        <v>67</v>
      </c>
      <c r="AD1991" s="4" t="s">
        <v>63</v>
      </c>
      <c r="AE1991" s="4" t="s">
        <v>63</v>
      </c>
      <c r="AF1991" s="4" t="s">
        <v>63</v>
      </c>
      <c r="AG1991" s="4" t="s">
        <v>63</v>
      </c>
      <c r="AH1991" s="4" t="s">
        <v>63</v>
      </c>
      <c r="AI1991" s="4" t="s">
        <v>63</v>
      </c>
      <c r="AJ1991" s="4" t="s">
        <v>63</v>
      </c>
      <c r="AK1991" s="4" t="s">
        <v>63</v>
      </c>
      <c r="AL1991" s="4" t="s">
        <v>63</v>
      </c>
      <c r="AM1991" s="4" t="s">
        <v>17112</v>
      </c>
      <c r="AN1991" s="4" t="s">
        <v>63</v>
      </c>
      <c r="AO1991" s="4" t="s">
        <v>63</v>
      </c>
      <c r="AP1991" s="4" t="s">
        <v>63</v>
      </c>
      <c r="AQ1991" s="4" t="s">
        <v>63</v>
      </c>
      <c r="AR1991" s="4" t="s">
        <v>63</v>
      </c>
      <c r="AS1991" s="4" t="s">
        <v>63</v>
      </c>
      <c r="AT1991" s="4" t="s">
        <v>63</v>
      </c>
      <c r="AU1991" s="4" t="s">
        <v>63</v>
      </c>
      <c r="AV1991" s="4" t="s">
        <v>63</v>
      </c>
      <c r="AW1991" s="4" t="s">
        <v>63</v>
      </c>
      <c r="AX1991" s="4" t="s">
        <v>63</v>
      </c>
      <c r="AY1991" s="4" t="s">
        <v>63</v>
      </c>
      <c r="AZ1991" s="4" t="s">
        <v>63</v>
      </c>
      <c r="BA1991" s="4" t="s">
        <v>63</v>
      </c>
      <c r="BB1991" s="4" t="s">
        <v>63</v>
      </c>
      <c r="BC1991" s="4" t="s">
        <v>63</v>
      </c>
      <c r="BD1991" s="4" t="s">
        <v>63</v>
      </c>
      <c r="BE1991" s="4" t="s">
        <v>63</v>
      </c>
      <c r="BF1991" s="4" t="s">
        <v>63</v>
      </c>
    </row>
    <row r="1992" spans="1:58">
      <c r="A1992" s="4" t="s">
        <v>58</v>
      </c>
      <c r="B1992" s="4" t="s">
        <v>17120</v>
      </c>
      <c r="C1992" s="4" t="s">
        <v>17121</v>
      </c>
      <c r="D1992" s="4" t="s">
        <v>17122</v>
      </c>
      <c r="E1992" s="4" t="s">
        <v>17123</v>
      </c>
      <c r="F1992" s="4">
        <v>2008</v>
      </c>
      <c r="G1992" s="4" t="s">
        <v>15165</v>
      </c>
      <c r="H1992" s="4">
        <v>84</v>
      </c>
      <c r="I1992" s="4">
        <v>4</v>
      </c>
      <c r="J1992" s="4">
        <v>142</v>
      </c>
      <c r="K1992" s="4">
        <v>143</v>
      </c>
      <c r="L1992" s="4" t="s">
        <v>17124</v>
      </c>
      <c r="M1992" s="4" t="s">
        <v>63</v>
      </c>
      <c r="N1992" s="4" t="s">
        <v>17125</v>
      </c>
      <c r="O1992" s="4" t="s">
        <v>63</v>
      </c>
      <c r="P1992" s="4"/>
      <c r="Q1992" s="4" t="s">
        <v>63</v>
      </c>
      <c r="R1992" s="4" t="s">
        <v>63</v>
      </c>
      <c r="S1992" s="4" t="s">
        <v>63</v>
      </c>
      <c r="T1992" s="4" t="s">
        <v>63</v>
      </c>
      <c r="U1992" s="4"/>
      <c r="V1992" s="4"/>
      <c r="W1992" s="4"/>
      <c r="X1992" s="4" t="s">
        <v>63</v>
      </c>
      <c r="Y1992" s="4" t="s">
        <v>17126</v>
      </c>
      <c r="Z1992" s="4" t="s">
        <v>63</v>
      </c>
      <c r="AA1992" s="4" t="s">
        <v>63</v>
      </c>
      <c r="AB1992" s="4" t="s">
        <v>17127</v>
      </c>
      <c r="AC1992" s="4" t="s">
        <v>102</v>
      </c>
      <c r="AD1992" s="4" t="s">
        <v>63</v>
      </c>
      <c r="AE1992" s="4" t="s">
        <v>63</v>
      </c>
      <c r="AF1992" s="4" t="s">
        <v>63</v>
      </c>
      <c r="AG1992" s="4" t="s">
        <v>63</v>
      </c>
      <c r="AH1992" s="4" t="s">
        <v>63</v>
      </c>
      <c r="AI1992" s="4" t="s">
        <v>63</v>
      </c>
      <c r="AJ1992" s="4" t="s">
        <v>63</v>
      </c>
      <c r="AK1992" s="4" t="s">
        <v>63</v>
      </c>
      <c r="AL1992" s="4" t="s">
        <v>63</v>
      </c>
      <c r="AM1992" s="4" t="s">
        <v>17128</v>
      </c>
      <c r="AN1992" s="4" t="s">
        <v>63</v>
      </c>
      <c r="AO1992" s="4" t="s">
        <v>63</v>
      </c>
      <c r="AP1992" s="4" t="s">
        <v>63</v>
      </c>
      <c r="AQ1992" s="4" t="s">
        <v>63</v>
      </c>
      <c r="AR1992" s="4" t="s">
        <v>63</v>
      </c>
      <c r="AS1992" s="4" t="s">
        <v>63</v>
      </c>
      <c r="AT1992" s="4" t="s">
        <v>63</v>
      </c>
      <c r="AU1992" s="4" t="s">
        <v>63</v>
      </c>
      <c r="AV1992" s="4" t="s">
        <v>63</v>
      </c>
      <c r="AW1992" s="4" t="s">
        <v>63</v>
      </c>
      <c r="AX1992" s="4" t="s">
        <v>63</v>
      </c>
      <c r="AY1992" s="4" t="s">
        <v>63</v>
      </c>
      <c r="AZ1992" s="4" t="s">
        <v>63</v>
      </c>
      <c r="BA1992" s="4" t="s">
        <v>63</v>
      </c>
      <c r="BB1992" s="4" t="s">
        <v>63</v>
      </c>
      <c r="BC1992" s="4" t="s">
        <v>63</v>
      </c>
      <c r="BD1992" s="4" t="s">
        <v>63</v>
      </c>
      <c r="BE1992" s="4" t="s">
        <v>63</v>
      </c>
      <c r="BF1992" s="4" t="s">
        <v>63</v>
      </c>
    </row>
    <row r="1993" spans="1:58">
      <c r="A1993" s="4" t="s">
        <v>58</v>
      </c>
      <c r="B1993" s="4" t="s">
        <v>17129</v>
      </c>
      <c r="C1993" s="4" t="s">
        <v>17130</v>
      </c>
      <c r="D1993" s="4" t="s">
        <v>371</v>
      </c>
      <c r="E1993" s="4" t="s">
        <v>63</v>
      </c>
      <c r="F1993" s="4">
        <v>2016</v>
      </c>
      <c r="G1993" s="4" t="s">
        <v>189</v>
      </c>
      <c r="H1993" s="4">
        <v>31</v>
      </c>
      <c r="I1993" s="4">
        <v>2</v>
      </c>
      <c r="J1993" s="4" t="s">
        <v>17131</v>
      </c>
      <c r="K1993" s="4" t="s">
        <v>17132</v>
      </c>
      <c r="L1993" s="4" t="s">
        <v>17133</v>
      </c>
      <c r="M1993" s="4" t="s">
        <v>17134</v>
      </c>
      <c r="N1993" s="4" t="s">
        <v>17135</v>
      </c>
      <c r="O1993" s="4" t="s">
        <v>63</v>
      </c>
      <c r="P1993" s="4"/>
      <c r="Q1993" s="4" t="s">
        <v>63</v>
      </c>
      <c r="R1993" s="4" t="s">
        <v>63</v>
      </c>
      <c r="S1993" s="4" t="s">
        <v>63</v>
      </c>
      <c r="T1993" s="4" t="s">
        <v>63</v>
      </c>
      <c r="U1993" s="4"/>
      <c r="V1993" s="4"/>
      <c r="W1993" s="4"/>
      <c r="X1993" s="4" t="s">
        <v>63</v>
      </c>
      <c r="Y1993" s="4" t="s">
        <v>547</v>
      </c>
      <c r="Z1993" s="4" t="s">
        <v>63</v>
      </c>
      <c r="AA1993" s="4" t="s">
        <v>63</v>
      </c>
      <c r="AB1993" s="4" t="s">
        <v>63</v>
      </c>
      <c r="AC1993" s="4" t="s">
        <v>67</v>
      </c>
      <c r="AD1993" s="4" t="s">
        <v>63</v>
      </c>
      <c r="AE1993" s="4" t="s">
        <v>63</v>
      </c>
      <c r="AF1993" s="4" t="s">
        <v>63</v>
      </c>
      <c r="AG1993" s="4" t="s">
        <v>63</v>
      </c>
      <c r="AH1993" s="4" t="s">
        <v>63</v>
      </c>
      <c r="AI1993" s="4" t="s">
        <v>63</v>
      </c>
      <c r="AJ1993" s="4" t="s">
        <v>63</v>
      </c>
      <c r="AK1993" s="4" t="s">
        <v>63</v>
      </c>
      <c r="AL1993" s="4" t="s">
        <v>63</v>
      </c>
      <c r="AM1993" s="4" t="s">
        <v>17130</v>
      </c>
      <c r="AN1993" s="4" t="s">
        <v>63</v>
      </c>
      <c r="AO1993" s="4" t="s">
        <v>63</v>
      </c>
      <c r="AP1993" s="4" t="s">
        <v>63</v>
      </c>
      <c r="AQ1993" s="4" t="s">
        <v>63</v>
      </c>
      <c r="AR1993" s="4" t="s">
        <v>63</v>
      </c>
      <c r="AS1993" s="4" t="s">
        <v>63</v>
      </c>
      <c r="AT1993" s="4" t="s">
        <v>63</v>
      </c>
      <c r="AU1993" s="4" t="s">
        <v>63</v>
      </c>
      <c r="AV1993" s="4" t="s">
        <v>63</v>
      </c>
      <c r="AW1993" s="4" t="s">
        <v>63</v>
      </c>
      <c r="AX1993" s="4" t="s">
        <v>63</v>
      </c>
      <c r="AY1993" s="4" t="s">
        <v>63</v>
      </c>
      <c r="AZ1993" s="4" t="s">
        <v>63</v>
      </c>
      <c r="BA1993" s="4" t="s">
        <v>63</v>
      </c>
      <c r="BB1993" s="4" t="s">
        <v>63</v>
      </c>
      <c r="BC1993" s="4" t="s">
        <v>63</v>
      </c>
      <c r="BD1993" s="4" t="s">
        <v>63</v>
      </c>
      <c r="BE1993" s="4" t="s">
        <v>63</v>
      </c>
      <c r="BF1993" s="4" t="s">
        <v>63</v>
      </c>
    </row>
    <row r="1994" spans="1:58">
      <c r="A1994" s="4" t="s">
        <v>58</v>
      </c>
      <c r="B1994" s="4" t="s">
        <v>17136</v>
      </c>
      <c r="C1994" s="4" t="s">
        <v>17137</v>
      </c>
      <c r="D1994" s="4" t="s">
        <v>6854</v>
      </c>
      <c r="E1994" s="4" t="s">
        <v>63</v>
      </c>
      <c r="F1994" s="4">
        <v>2012</v>
      </c>
      <c r="G1994" s="6">
        <v>41882</v>
      </c>
      <c r="H1994" s="4" t="s">
        <v>16970</v>
      </c>
      <c r="I1994" s="4" t="s">
        <v>63</v>
      </c>
      <c r="J1994" s="4" t="s">
        <v>63</v>
      </c>
      <c r="K1994" s="4" t="s">
        <v>63</v>
      </c>
      <c r="L1994" s="4" t="s">
        <v>17138</v>
      </c>
      <c r="M1994" s="4" t="s">
        <v>17139</v>
      </c>
      <c r="N1994" s="4" t="s">
        <v>17140</v>
      </c>
      <c r="O1994" s="4" t="s">
        <v>63</v>
      </c>
      <c r="P1994" s="4"/>
      <c r="Q1994" s="4" t="s">
        <v>63</v>
      </c>
      <c r="R1994" s="4" t="s">
        <v>63</v>
      </c>
      <c r="S1994" s="4" t="s">
        <v>63</v>
      </c>
      <c r="T1994" s="4" t="s">
        <v>63</v>
      </c>
      <c r="U1994" s="4"/>
      <c r="V1994" s="4"/>
      <c r="W1994" s="4"/>
      <c r="X1994" s="4" t="s">
        <v>63</v>
      </c>
      <c r="Y1994" s="4" t="s">
        <v>15322</v>
      </c>
      <c r="Z1994" s="4" t="s">
        <v>63</v>
      </c>
      <c r="AA1994" s="4" t="s">
        <v>63</v>
      </c>
      <c r="AB1994" s="4" t="s">
        <v>63</v>
      </c>
      <c r="AC1994" s="4" t="s">
        <v>67</v>
      </c>
      <c r="AD1994" s="4" t="s">
        <v>63</v>
      </c>
      <c r="AE1994" s="4" t="s">
        <v>63</v>
      </c>
      <c r="AF1994" s="4" t="s">
        <v>63</v>
      </c>
      <c r="AG1994" s="4" t="s">
        <v>63</v>
      </c>
      <c r="AH1994" s="4" t="s">
        <v>63</v>
      </c>
      <c r="AI1994" s="4" t="s">
        <v>63</v>
      </c>
      <c r="AJ1994" s="4" t="s">
        <v>63</v>
      </c>
      <c r="AK1994" s="4" t="s">
        <v>63</v>
      </c>
      <c r="AL1994" s="4" t="s">
        <v>63</v>
      </c>
      <c r="AM1994" s="4" t="s">
        <v>17137</v>
      </c>
      <c r="AN1994" s="4" t="s">
        <v>63</v>
      </c>
      <c r="AO1994" s="4" t="s">
        <v>63</v>
      </c>
      <c r="AP1994" s="4" t="s">
        <v>63</v>
      </c>
      <c r="AQ1994" s="4" t="s">
        <v>63</v>
      </c>
      <c r="AR1994" s="4" t="s">
        <v>63</v>
      </c>
      <c r="AS1994" s="4" t="s">
        <v>63</v>
      </c>
      <c r="AT1994" s="4" t="s">
        <v>63</v>
      </c>
      <c r="AU1994" s="4" t="s">
        <v>63</v>
      </c>
      <c r="AV1994" s="4" t="s">
        <v>63</v>
      </c>
      <c r="AW1994" s="4" t="s">
        <v>63</v>
      </c>
      <c r="AX1994" s="4" t="s">
        <v>63</v>
      </c>
      <c r="AY1994" s="4" t="s">
        <v>63</v>
      </c>
      <c r="AZ1994" s="4" t="s">
        <v>63</v>
      </c>
      <c r="BA1994" s="4" t="s">
        <v>63</v>
      </c>
      <c r="BB1994" s="4" t="s">
        <v>63</v>
      </c>
      <c r="BC1994" s="4" t="s">
        <v>63</v>
      </c>
      <c r="BD1994" s="4" t="s">
        <v>63</v>
      </c>
      <c r="BE1994" s="4" t="s">
        <v>63</v>
      </c>
      <c r="BF1994" s="4" t="s">
        <v>63</v>
      </c>
    </row>
    <row r="1995" spans="1:58">
      <c r="A1995" s="4" t="s">
        <v>58</v>
      </c>
      <c r="B1995" s="4" t="s">
        <v>17141</v>
      </c>
      <c r="C1995" s="4" t="s">
        <v>17142</v>
      </c>
      <c r="D1995" s="4" t="s">
        <v>4164</v>
      </c>
      <c r="E1995" s="4" t="s">
        <v>4165</v>
      </c>
      <c r="F1995" s="4">
        <v>2017</v>
      </c>
      <c r="G1995" s="4" t="s">
        <v>63</v>
      </c>
      <c r="H1995" s="4">
        <v>235</v>
      </c>
      <c r="I1995" s="4" t="s">
        <v>63</v>
      </c>
      <c r="J1995" s="4">
        <v>239</v>
      </c>
      <c r="K1995" s="4">
        <v>264</v>
      </c>
      <c r="L1995" s="4" t="s">
        <v>17143</v>
      </c>
      <c r="M1995" s="4" t="s">
        <v>17144</v>
      </c>
      <c r="N1995" s="4" t="s">
        <v>17145</v>
      </c>
      <c r="O1995" s="4" t="s">
        <v>63</v>
      </c>
      <c r="P1995" s="4"/>
      <c r="Q1995" s="4" t="s">
        <v>63</v>
      </c>
      <c r="R1995" s="4" t="s">
        <v>63</v>
      </c>
      <c r="S1995" s="4" t="s">
        <v>63</v>
      </c>
      <c r="T1995" s="4" t="s">
        <v>63</v>
      </c>
      <c r="U1995" s="4"/>
      <c r="V1995" s="4"/>
      <c r="W1995" s="4"/>
      <c r="X1995" s="4" t="s">
        <v>63</v>
      </c>
      <c r="Y1995" s="4" t="s">
        <v>17146</v>
      </c>
      <c r="Z1995" s="4" t="s">
        <v>63</v>
      </c>
      <c r="AA1995" s="4" t="s">
        <v>63</v>
      </c>
      <c r="AB1995" s="4" t="s">
        <v>17147</v>
      </c>
      <c r="AC1995" s="4" t="s">
        <v>67</v>
      </c>
      <c r="AD1995" s="4" t="s">
        <v>63</v>
      </c>
      <c r="AE1995" s="4" t="s">
        <v>63</v>
      </c>
      <c r="AF1995" s="4" t="s">
        <v>63</v>
      </c>
      <c r="AG1995" s="4" t="s">
        <v>63</v>
      </c>
      <c r="AH1995" s="4" t="s">
        <v>63</v>
      </c>
      <c r="AI1995" s="4" t="s">
        <v>17148</v>
      </c>
      <c r="AJ1995" s="4" t="s">
        <v>63</v>
      </c>
      <c r="AK1995" s="4" t="s">
        <v>63</v>
      </c>
      <c r="AL1995" s="4" t="s">
        <v>63</v>
      </c>
      <c r="AM1995" s="4" t="s">
        <v>17142</v>
      </c>
      <c r="AN1995" s="4" t="s">
        <v>63</v>
      </c>
      <c r="AO1995" s="4" t="s">
        <v>63</v>
      </c>
      <c r="AP1995" s="4" t="s">
        <v>63</v>
      </c>
      <c r="AQ1995" s="4" t="s">
        <v>63</v>
      </c>
      <c r="AR1995" s="4" t="s">
        <v>63</v>
      </c>
      <c r="AS1995" s="4" t="s">
        <v>63</v>
      </c>
      <c r="AT1995" s="4" t="s">
        <v>63</v>
      </c>
      <c r="AU1995" s="4" t="s">
        <v>63</v>
      </c>
      <c r="AV1995" s="4" t="s">
        <v>63</v>
      </c>
      <c r="AW1995" s="4" t="s">
        <v>63</v>
      </c>
      <c r="AX1995" s="4" t="s">
        <v>63</v>
      </c>
      <c r="AY1995" s="4" t="s">
        <v>63</v>
      </c>
      <c r="AZ1995" s="4" t="s">
        <v>63</v>
      </c>
      <c r="BA1995" s="4" t="s">
        <v>63</v>
      </c>
      <c r="BB1995" s="4" t="s">
        <v>63</v>
      </c>
      <c r="BC1995" s="4" t="s">
        <v>63</v>
      </c>
      <c r="BD1995" s="4" t="s">
        <v>63</v>
      </c>
      <c r="BE1995" s="4" t="s">
        <v>63</v>
      </c>
      <c r="BF1995" s="4" t="s">
        <v>63</v>
      </c>
    </row>
    <row r="1996" spans="1:58">
      <c r="A1996" s="4" t="s">
        <v>58</v>
      </c>
      <c r="B1996" s="4" t="s">
        <v>17149</v>
      </c>
      <c r="C1996" s="4" t="s">
        <v>17150</v>
      </c>
      <c r="D1996" s="4" t="s">
        <v>17151</v>
      </c>
      <c r="E1996" s="4" t="s">
        <v>63</v>
      </c>
      <c r="F1996" s="4">
        <v>2017</v>
      </c>
      <c r="G1996" s="4">
        <v>1</v>
      </c>
      <c r="H1996" s="4">
        <v>10</v>
      </c>
      <c r="I1996" s="4">
        <v>2</v>
      </c>
      <c r="J1996" s="4">
        <v>454</v>
      </c>
      <c r="K1996" s="4">
        <v>455</v>
      </c>
      <c r="L1996" s="4" t="s">
        <v>17152</v>
      </c>
      <c r="M1996" s="4" t="s">
        <v>17153</v>
      </c>
      <c r="N1996" s="4" t="s">
        <v>17154</v>
      </c>
      <c r="O1996" s="4" t="s">
        <v>63</v>
      </c>
      <c r="P1996" s="4"/>
      <c r="Q1996" s="4" t="s">
        <v>63</v>
      </c>
      <c r="R1996" s="4" t="s">
        <v>63</v>
      </c>
      <c r="S1996" s="4" t="s">
        <v>63</v>
      </c>
      <c r="T1996" s="4" t="s">
        <v>63</v>
      </c>
      <c r="U1996" s="4"/>
      <c r="V1996" s="4"/>
      <c r="W1996" s="4"/>
      <c r="X1996" s="4" t="s">
        <v>63</v>
      </c>
      <c r="Y1996" s="4" t="s">
        <v>17155</v>
      </c>
      <c r="Z1996" s="4" t="s">
        <v>63</v>
      </c>
      <c r="AA1996" s="4" t="s">
        <v>63</v>
      </c>
      <c r="AB1996" s="4" t="s">
        <v>63</v>
      </c>
      <c r="AC1996" s="4" t="s">
        <v>67</v>
      </c>
      <c r="AD1996" s="4" t="s">
        <v>63</v>
      </c>
      <c r="AE1996" s="4" t="s">
        <v>63</v>
      </c>
      <c r="AF1996" s="4" t="s">
        <v>63</v>
      </c>
      <c r="AG1996" s="4" t="s">
        <v>63</v>
      </c>
      <c r="AH1996" s="4" t="s">
        <v>63</v>
      </c>
      <c r="AI1996" s="4" t="s">
        <v>17156</v>
      </c>
      <c r="AJ1996" s="4" t="s">
        <v>63</v>
      </c>
      <c r="AK1996" s="4" t="s">
        <v>63</v>
      </c>
      <c r="AL1996" s="4" t="s">
        <v>63</v>
      </c>
      <c r="AM1996" s="4" t="s">
        <v>17150</v>
      </c>
      <c r="AN1996" s="4" t="s">
        <v>63</v>
      </c>
      <c r="AO1996" s="4" t="s">
        <v>63</v>
      </c>
      <c r="AP1996" s="4" t="s">
        <v>63</v>
      </c>
      <c r="AQ1996" s="4" t="s">
        <v>63</v>
      </c>
      <c r="AR1996" s="4" t="s">
        <v>63</v>
      </c>
      <c r="AS1996" s="4" t="s">
        <v>63</v>
      </c>
      <c r="AT1996" s="4" t="s">
        <v>63</v>
      </c>
      <c r="AU1996" s="4" t="s">
        <v>63</v>
      </c>
      <c r="AV1996" s="4" t="s">
        <v>63</v>
      </c>
      <c r="AW1996" s="4" t="s">
        <v>63</v>
      </c>
      <c r="AX1996" s="4" t="s">
        <v>63</v>
      </c>
      <c r="AY1996" s="4" t="s">
        <v>63</v>
      </c>
      <c r="AZ1996" s="4" t="s">
        <v>63</v>
      </c>
      <c r="BA1996" s="4" t="s">
        <v>63</v>
      </c>
      <c r="BB1996" s="4" t="s">
        <v>63</v>
      </c>
      <c r="BC1996" s="4" t="s">
        <v>63</v>
      </c>
      <c r="BD1996" s="4" t="s">
        <v>63</v>
      </c>
      <c r="BE1996" s="4" t="s">
        <v>63</v>
      </c>
      <c r="BF1996" s="4" t="s">
        <v>63</v>
      </c>
    </row>
    <row r="1997" spans="1:58">
      <c r="A1997" s="4" t="s">
        <v>58</v>
      </c>
      <c r="B1997" s="4" t="s">
        <v>17157</v>
      </c>
      <c r="C1997" s="4" t="s">
        <v>17158</v>
      </c>
      <c r="D1997" s="4" t="s">
        <v>17159</v>
      </c>
      <c r="E1997" s="4" t="s">
        <v>63</v>
      </c>
      <c r="F1997" s="4">
        <v>2014</v>
      </c>
      <c r="G1997" s="4" t="s">
        <v>63</v>
      </c>
      <c r="H1997" s="4">
        <v>5</v>
      </c>
      <c r="I1997" s="4">
        <v>3</v>
      </c>
      <c r="J1997" s="4">
        <v>1</v>
      </c>
      <c r="K1997" s="4">
        <v>4</v>
      </c>
      <c r="L1997" s="4" t="s">
        <v>17160</v>
      </c>
      <c r="M1997" s="4" t="s">
        <v>63</v>
      </c>
      <c r="N1997" s="4" t="s">
        <v>17161</v>
      </c>
      <c r="O1997" s="4" t="s">
        <v>63</v>
      </c>
      <c r="P1997" s="4"/>
      <c r="Q1997" s="4" t="s">
        <v>63</v>
      </c>
      <c r="R1997" s="4" t="s">
        <v>63</v>
      </c>
      <c r="S1997" s="4" t="s">
        <v>63</v>
      </c>
      <c r="T1997" s="4" t="s">
        <v>63</v>
      </c>
      <c r="U1997" s="4"/>
      <c r="V1997" s="4"/>
      <c r="W1997" s="4"/>
      <c r="X1997" s="4" t="s">
        <v>63</v>
      </c>
      <c r="Y1997" s="4" t="s">
        <v>17162</v>
      </c>
      <c r="Z1997" s="4" t="s">
        <v>63</v>
      </c>
      <c r="AA1997" s="4" t="s">
        <v>63</v>
      </c>
      <c r="AB1997" s="4" t="s">
        <v>17163</v>
      </c>
      <c r="AC1997" s="4" t="s">
        <v>67</v>
      </c>
      <c r="AD1997" s="4" t="s">
        <v>63</v>
      </c>
      <c r="AE1997" s="4" t="s">
        <v>63</v>
      </c>
      <c r="AF1997" s="4" t="s">
        <v>63</v>
      </c>
      <c r="AG1997" s="4" t="s">
        <v>63</v>
      </c>
      <c r="AH1997" s="4" t="s">
        <v>63</v>
      </c>
      <c r="AI1997" s="4" t="s">
        <v>63</v>
      </c>
      <c r="AJ1997" s="4" t="s">
        <v>63</v>
      </c>
      <c r="AK1997" s="4" t="s">
        <v>63</v>
      </c>
      <c r="AL1997" s="4" t="s">
        <v>63</v>
      </c>
      <c r="AM1997" s="4" t="s">
        <v>17158</v>
      </c>
      <c r="AN1997" s="4" t="s">
        <v>63</v>
      </c>
      <c r="AO1997" s="4" t="s">
        <v>63</v>
      </c>
      <c r="AP1997" s="4" t="s">
        <v>63</v>
      </c>
      <c r="AQ1997" s="4" t="s">
        <v>63</v>
      </c>
      <c r="AR1997" s="4" t="s">
        <v>63</v>
      </c>
      <c r="AS1997" s="4" t="s">
        <v>63</v>
      </c>
      <c r="AT1997" s="4" t="s">
        <v>63</v>
      </c>
      <c r="AU1997" s="4" t="s">
        <v>63</v>
      </c>
      <c r="AV1997" s="4" t="s">
        <v>63</v>
      </c>
      <c r="AW1997" s="4" t="s">
        <v>63</v>
      </c>
      <c r="AX1997" s="4" t="s">
        <v>63</v>
      </c>
      <c r="AY1997" s="4" t="s">
        <v>63</v>
      </c>
      <c r="AZ1997" s="4" t="s">
        <v>63</v>
      </c>
      <c r="BA1997" s="4" t="s">
        <v>63</v>
      </c>
      <c r="BB1997" s="4" t="s">
        <v>63</v>
      </c>
      <c r="BC1997" s="4" t="s">
        <v>63</v>
      </c>
      <c r="BD1997" s="4" t="s">
        <v>63</v>
      </c>
      <c r="BE1997" s="4" t="s">
        <v>63</v>
      </c>
      <c r="BF1997" s="4" t="s">
        <v>63</v>
      </c>
    </row>
    <row r="1998" spans="1:58">
      <c r="A1998" s="4" t="s">
        <v>58</v>
      </c>
      <c r="B1998" s="4" t="s">
        <v>17164</v>
      </c>
      <c r="C1998" s="4" t="s">
        <v>17165</v>
      </c>
      <c r="D1998" s="4" t="s">
        <v>16100</v>
      </c>
      <c r="E1998" s="4" t="s">
        <v>63</v>
      </c>
      <c r="F1998" s="4">
        <v>2014</v>
      </c>
      <c r="G1998" s="4">
        <v>1</v>
      </c>
      <c r="H1998" s="4" t="s">
        <v>16101</v>
      </c>
      <c r="I1998" s="4" t="s">
        <v>63</v>
      </c>
      <c r="J1998" s="4" t="s">
        <v>16228</v>
      </c>
      <c r="K1998" s="4" t="s">
        <v>17166</v>
      </c>
      <c r="L1998" s="4" t="s">
        <v>17167</v>
      </c>
      <c r="M1998" s="4" t="s">
        <v>17168</v>
      </c>
      <c r="N1998" s="4" t="s">
        <v>17169</v>
      </c>
      <c r="O1998" s="4" t="s">
        <v>63</v>
      </c>
      <c r="P1998" s="4"/>
      <c r="Q1998" s="4" t="s">
        <v>63</v>
      </c>
      <c r="R1998" s="4" t="s">
        <v>63</v>
      </c>
      <c r="S1998" s="4" t="s">
        <v>63</v>
      </c>
      <c r="T1998" s="4" t="s">
        <v>63</v>
      </c>
      <c r="U1998" s="4"/>
      <c r="V1998" s="4"/>
      <c r="W1998" s="4"/>
      <c r="X1998" s="4" t="s">
        <v>63</v>
      </c>
      <c r="Y1998" s="4" t="s">
        <v>185</v>
      </c>
      <c r="Z1998" s="4" t="s">
        <v>63</v>
      </c>
      <c r="AA1998" s="4" t="s">
        <v>63</v>
      </c>
      <c r="AB1998" s="4" t="s">
        <v>63</v>
      </c>
      <c r="AC1998" s="4" t="s">
        <v>67</v>
      </c>
      <c r="AD1998" s="4" t="s">
        <v>63</v>
      </c>
      <c r="AE1998" s="4" t="s">
        <v>63</v>
      </c>
      <c r="AF1998" s="4" t="s">
        <v>63</v>
      </c>
      <c r="AG1998" s="4" t="s">
        <v>63</v>
      </c>
      <c r="AH1998" s="4" t="s">
        <v>63</v>
      </c>
      <c r="AI1998" s="4" t="s">
        <v>17170</v>
      </c>
      <c r="AJ1998" s="4" t="s">
        <v>63</v>
      </c>
      <c r="AK1998" s="4" t="s">
        <v>63</v>
      </c>
      <c r="AL1998" s="4" t="s">
        <v>63</v>
      </c>
      <c r="AM1998" s="4" t="s">
        <v>17165</v>
      </c>
      <c r="AN1998" s="4" t="s">
        <v>63</v>
      </c>
      <c r="AO1998" s="4" t="s">
        <v>63</v>
      </c>
      <c r="AP1998" s="4" t="s">
        <v>63</v>
      </c>
      <c r="AQ1998" s="4" t="s">
        <v>63</v>
      </c>
      <c r="AR1998" s="4" t="s">
        <v>63</v>
      </c>
      <c r="AS1998" s="4" t="s">
        <v>63</v>
      </c>
      <c r="AT1998" s="4" t="s">
        <v>63</v>
      </c>
      <c r="AU1998" s="4" t="s">
        <v>63</v>
      </c>
      <c r="AV1998" s="4" t="s">
        <v>63</v>
      </c>
      <c r="AW1998" s="4" t="s">
        <v>63</v>
      </c>
      <c r="AX1998" s="4" t="s">
        <v>63</v>
      </c>
      <c r="AY1998" s="4" t="s">
        <v>63</v>
      </c>
      <c r="AZ1998" s="4" t="s">
        <v>63</v>
      </c>
      <c r="BA1998" s="4" t="s">
        <v>63</v>
      </c>
      <c r="BB1998" s="4" t="s">
        <v>63</v>
      </c>
      <c r="BC1998" s="4" t="s">
        <v>63</v>
      </c>
      <c r="BD1998" s="4" t="s">
        <v>63</v>
      </c>
      <c r="BE1998" s="4" t="s">
        <v>63</v>
      </c>
      <c r="BF1998" s="4" t="s">
        <v>63</v>
      </c>
    </row>
    <row r="1999" spans="1:58">
      <c r="A1999" s="4" t="s">
        <v>58</v>
      </c>
      <c r="B1999" s="4" t="s">
        <v>17171</v>
      </c>
      <c r="C1999" s="4" t="s">
        <v>17172</v>
      </c>
      <c r="D1999" s="4" t="s">
        <v>16100</v>
      </c>
      <c r="E1999" s="4" t="s">
        <v>63</v>
      </c>
      <c r="F1999" s="4">
        <v>2014</v>
      </c>
      <c r="G1999" s="4">
        <v>1</v>
      </c>
      <c r="H1999" s="4" t="s">
        <v>16101</v>
      </c>
      <c r="I1999" s="4" t="s">
        <v>63</v>
      </c>
      <c r="J1999" s="4" t="s">
        <v>16228</v>
      </c>
      <c r="K1999" s="4" t="s">
        <v>63</v>
      </c>
      <c r="L1999" s="4" t="s">
        <v>17173</v>
      </c>
      <c r="M1999" s="4" t="s">
        <v>17174</v>
      </c>
      <c r="N1999" s="4" t="s">
        <v>17175</v>
      </c>
      <c r="O1999" s="4" t="s">
        <v>63</v>
      </c>
      <c r="P1999" s="4"/>
      <c r="Q1999" s="4" t="s">
        <v>63</v>
      </c>
      <c r="R1999" s="4" t="s">
        <v>63</v>
      </c>
      <c r="S1999" s="4" t="s">
        <v>63</v>
      </c>
      <c r="T1999" s="4" t="s">
        <v>63</v>
      </c>
      <c r="U1999" s="4"/>
      <c r="V1999" s="4"/>
      <c r="W1999" s="4"/>
      <c r="X1999" s="4" t="s">
        <v>63</v>
      </c>
      <c r="Y1999" s="4" t="s">
        <v>185</v>
      </c>
      <c r="Z1999" s="4" t="s">
        <v>63</v>
      </c>
      <c r="AA1999" s="4" t="s">
        <v>63</v>
      </c>
      <c r="AB1999" s="4" t="s">
        <v>63</v>
      </c>
      <c r="AC1999" s="4" t="s">
        <v>67</v>
      </c>
      <c r="AD1999" s="4" t="s">
        <v>63</v>
      </c>
      <c r="AE1999" s="4" t="s">
        <v>63</v>
      </c>
      <c r="AF1999" s="4" t="s">
        <v>63</v>
      </c>
      <c r="AG1999" s="4" t="s">
        <v>63</v>
      </c>
      <c r="AH1999" s="4" t="s">
        <v>63</v>
      </c>
      <c r="AI1999" s="4" t="s">
        <v>17176</v>
      </c>
      <c r="AJ1999" s="4" t="s">
        <v>63</v>
      </c>
      <c r="AK1999" s="4" t="s">
        <v>63</v>
      </c>
      <c r="AL1999" s="4" t="s">
        <v>63</v>
      </c>
      <c r="AM1999" s="4" t="s">
        <v>17172</v>
      </c>
      <c r="AN1999" s="4" t="s">
        <v>63</v>
      </c>
      <c r="AO1999" s="4" t="s">
        <v>63</v>
      </c>
      <c r="AP1999" s="4" t="s">
        <v>63</v>
      </c>
      <c r="AQ1999" s="4" t="s">
        <v>63</v>
      </c>
      <c r="AR1999" s="4" t="s">
        <v>63</v>
      </c>
      <c r="AS1999" s="4" t="s">
        <v>63</v>
      </c>
      <c r="AT1999" s="4" t="s">
        <v>63</v>
      </c>
      <c r="AU1999" s="4" t="s">
        <v>63</v>
      </c>
      <c r="AV1999" s="4" t="s">
        <v>63</v>
      </c>
      <c r="AW1999" s="4" t="s">
        <v>63</v>
      </c>
      <c r="AX1999" s="4" t="s">
        <v>63</v>
      </c>
      <c r="AY1999" s="4" t="s">
        <v>63</v>
      </c>
      <c r="AZ1999" s="4" t="s">
        <v>63</v>
      </c>
      <c r="BA1999" s="4" t="s">
        <v>63</v>
      </c>
      <c r="BB1999" s="4" t="s">
        <v>63</v>
      </c>
      <c r="BC1999" s="4" t="s">
        <v>63</v>
      </c>
      <c r="BD1999" s="4" t="s">
        <v>63</v>
      </c>
      <c r="BE1999" s="4" t="s">
        <v>63</v>
      </c>
      <c r="BF1999" s="4" t="s">
        <v>63</v>
      </c>
    </row>
    <row r="2000" spans="1:58">
      <c r="A2000" s="4" t="s">
        <v>58</v>
      </c>
      <c r="B2000" s="4" t="s">
        <v>17177</v>
      </c>
      <c r="C2000" s="4" t="s">
        <v>17178</v>
      </c>
      <c r="D2000" s="4" t="s">
        <v>1055</v>
      </c>
      <c r="E2000" s="4" t="s">
        <v>1056</v>
      </c>
      <c r="F2000" s="4">
        <v>1979</v>
      </c>
      <c r="G2000" s="4" t="s">
        <v>63</v>
      </c>
      <c r="H2000" s="4">
        <v>13</v>
      </c>
      <c r="I2000" s="4">
        <v>3</v>
      </c>
      <c r="J2000" s="4">
        <v>163</v>
      </c>
      <c r="K2000" s="4">
        <v>171</v>
      </c>
      <c r="L2000" s="4" t="s">
        <v>17179</v>
      </c>
      <c r="M2000" s="4" t="s">
        <v>17180</v>
      </c>
      <c r="N2000" s="4" t="s">
        <v>17181</v>
      </c>
      <c r="O2000" s="4" t="s">
        <v>63</v>
      </c>
      <c r="P2000" s="4"/>
      <c r="Q2000" s="4" t="s">
        <v>63</v>
      </c>
      <c r="R2000" s="4" t="s">
        <v>63</v>
      </c>
      <c r="S2000" s="4" t="s">
        <v>63</v>
      </c>
      <c r="T2000" s="4" t="s">
        <v>63</v>
      </c>
      <c r="U2000" s="4"/>
      <c r="V2000" s="4"/>
      <c r="W2000" s="4"/>
      <c r="X2000" s="4" t="s">
        <v>63</v>
      </c>
      <c r="Y2000" s="4" t="s">
        <v>1059</v>
      </c>
      <c r="Z2000" s="4" t="s">
        <v>63</v>
      </c>
      <c r="AA2000" s="4" t="s">
        <v>63</v>
      </c>
      <c r="AB2000" s="4">
        <v>1980040321</v>
      </c>
      <c r="AC2000" s="4" t="s">
        <v>67</v>
      </c>
      <c r="AD2000" s="4" t="s">
        <v>63</v>
      </c>
      <c r="AE2000" s="4" t="s">
        <v>63</v>
      </c>
      <c r="AF2000" s="4" t="s">
        <v>63</v>
      </c>
      <c r="AG2000" s="4" t="s">
        <v>17182</v>
      </c>
      <c r="AH2000" s="4" t="s">
        <v>63</v>
      </c>
      <c r="AI2000" s="4" t="s">
        <v>63</v>
      </c>
      <c r="AJ2000" s="4" t="s">
        <v>63</v>
      </c>
      <c r="AK2000" s="4" t="s">
        <v>63</v>
      </c>
      <c r="AL2000" s="4" t="s">
        <v>63</v>
      </c>
      <c r="AM2000" s="4" t="s">
        <v>17183</v>
      </c>
      <c r="AN2000" s="4" t="s">
        <v>63</v>
      </c>
      <c r="AO2000" s="4" t="s">
        <v>63</v>
      </c>
      <c r="AP2000" s="4" t="s">
        <v>63</v>
      </c>
      <c r="AQ2000" s="4" t="s">
        <v>63</v>
      </c>
      <c r="AR2000" s="4" t="s">
        <v>63</v>
      </c>
      <c r="AS2000" s="4" t="s">
        <v>63</v>
      </c>
      <c r="AT2000" s="4" t="s">
        <v>63</v>
      </c>
      <c r="AU2000" s="4" t="s">
        <v>63</v>
      </c>
      <c r="AV2000" s="4" t="s">
        <v>63</v>
      </c>
      <c r="AW2000" s="4" t="s">
        <v>63</v>
      </c>
      <c r="AX2000" s="4" t="s">
        <v>63</v>
      </c>
      <c r="AY2000" s="4" t="s">
        <v>63</v>
      </c>
      <c r="AZ2000" s="4" t="s">
        <v>63</v>
      </c>
      <c r="BA2000" s="4" t="s">
        <v>63</v>
      </c>
      <c r="BB2000" s="4" t="s">
        <v>63</v>
      </c>
      <c r="BC2000" s="4" t="s">
        <v>63</v>
      </c>
      <c r="BD2000" s="4" t="s">
        <v>63</v>
      </c>
      <c r="BE2000" s="4" t="s">
        <v>63</v>
      </c>
      <c r="BF2000" s="4" t="s">
        <v>63</v>
      </c>
    </row>
    <row r="2001" spans="1:58">
      <c r="A2001" s="4" t="s">
        <v>58</v>
      </c>
      <c r="B2001" s="4" t="s">
        <v>17184</v>
      </c>
      <c r="C2001" s="4" t="s">
        <v>17185</v>
      </c>
      <c r="D2001" s="4" t="s">
        <v>15515</v>
      </c>
      <c r="E2001" s="4" t="s">
        <v>15516</v>
      </c>
      <c r="F2001" s="4">
        <v>1986</v>
      </c>
      <c r="G2001" s="4" t="s">
        <v>63</v>
      </c>
      <c r="H2001" s="4">
        <v>255</v>
      </c>
      <c r="I2001" s="4">
        <v>12</v>
      </c>
      <c r="J2001" s="4">
        <v>1589</v>
      </c>
      <c r="K2001" s="4">
        <v>1599</v>
      </c>
      <c r="L2001" s="4" t="s">
        <v>17186</v>
      </c>
      <c r="M2001" s="4" t="s">
        <v>17187</v>
      </c>
      <c r="N2001" s="4" t="s">
        <v>17188</v>
      </c>
      <c r="O2001" s="4" t="s">
        <v>63</v>
      </c>
      <c r="P2001" s="4"/>
      <c r="Q2001" s="4" t="s">
        <v>63</v>
      </c>
      <c r="R2001" s="4" t="s">
        <v>63</v>
      </c>
      <c r="S2001" s="4" t="s">
        <v>63</v>
      </c>
      <c r="T2001" s="4" t="s">
        <v>63</v>
      </c>
      <c r="U2001" s="4"/>
      <c r="V2001" s="4"/>
      <c r="W2001" s="4"/>
      <c r="X2001" s="4" t="s">
        <v>63</v>
      </c>
      <c r="Y2001" s="4" t="s">
        <v>208</v>
      </c>
      <c r="Z2001" s="4" t="s">
        <v>63</v>
      </c>
      <c r="AA2001" s="4" t="s">
        <v>63</v>
      </c>
      <c r="AB2001" s="4">
        <v>1986111541</v>
      </c>
      <c r="AC2001" s="4" t="s">
        <v>67</v>
      </c>
      <c r="AD2001" s="4" t="s">
        <v>63</v>
      </c>
      <c r="AE2001" s="4" t="s">
        <v>63</v>
      </c>
      <c r="AF2001" s="4" t="s">
        <v>63</v>
      </c>
      <c r="AG2001" s="4" t="s">
        <v>17189</v>
      </c>
      <c r="AH2001" s="4" t="s">
        <v>63</v>
      </c>
      <c r="AI2001" s="4" t="s">
        <v>17190</v>
      </c>
      <c r="AJ2001" s="4" t="s">
        <v>63</v>
      </c>
      <c r="AK2001" s="4" t="s">
        <v>63</v>
      </c>
      <c r="AL2001" s="4" t="s">
        <v>63</v>
      </c>
      <c r="AM2001" s="4" t="s">
        <v>17191</v>
      </c>
      <c r="AN2001" s="4" t="s">
        <v>63</v>
      </c>
      <c r="AO2001" s="4" t="s">
        <v>63</v>
      </c>
      <c r="AP2001" s="4" t="s">
        <v>63</v>
      </c>
      <c r="AQ2001" s="4" t="s">
        <v>63</v>
      </c>
      <c r="AR2001" s="4" t="s">
        <v>63</v>
      </c>
      <c r="AS2001" s="4" t="s">
        <v>63</v>
      </c>
      <c r="AT2001" s="4" t="s">
        <v>63</v>
      </c>
      <c r="AU2001" s="4" t="s">
        <v>63</v>
      </c>
      <c r="AV2001" s="4" t="s">
        <v>63</v>
      </c>
      <c r="AW2001" s="4" t="s">
        <v>63</v>
      </c>
      <c r="AX2001" s="4" t="s">
        <v>63</v>
      </c>
      <c r="AY2001" s="4" t="s">
        <v>63</v>
      </c>
      <c r="AZ2001" s="4" t="s">
        <v>63</v>
      </c>
      <c r="BA2001" s="4" t="s">
        <v>63</v>
      </c>
      <c r="BB2001" s="4" t="s">
        <v>63</v>
      </c>
      <c r="BC2001" s="4" t="s">
        <v>63</v>
      </c>
      <c r="BD2001" s="4" t="s">
        <v>63</v>
      </c>
      <c r="BE2001" s="4" t="s">
        <v>63</v>
      </c>
      <c r="BF2001" s="4" t="s">
        <v>63</v>
      </c>
    </row>
    <row r="2002" spans="1:58">
      <c r="A2002" s="4" t="s">
        <v>58</v>
      </c>
      <c r="B2002" s="4" t="s">
        <v>17192</v>
      </c>
      <c r="C2002" s="4" t="s">
        <v>17193</v>
      </c>
      <c r="D2002" s="4" t="s">
        <v>371</v>
      </c>
      <c r="E2002" s="4" t="s">
        <v>63</v>
      </c>
      <c r="F2002" s="4">
        <v>2016</v>
      </c>
      <c r="G2002" s="4" t="s">
        <v>189</v>
      </c>
      <c r="H2002" s="4">
        <v>31</v>
      </c>
      <c r="I2002" s="4">
        <v>2</v>
      </c>
      <c r="J2002" s="4" t="s">
        <v>17194</v>
      </c>
      <c r="K2002" s="4" t="s">
        <v>17195</v>
      </c>
      <c r="L2002" s="4" t="s">
        <v>17196</v>
      </c>
      <c r="M2002" s="4" t="s">
        <v>17197</v>
      </c>
      <c r="N2002" s="4" t="s">
        <v>17198</v>
      </c>
      <c r="O2002" s="4" t="s">
        <v>63</v>
      </c>
      <c r="P2002" s="4"/>
      <c r="Q2002" s="4" t="s">
        <v>63</v>
      </c>
      <c r="R2002" s="4" t="s">
        <v>63</v>
      </c>
      <c r="S2002" s="4" t="s">
        <v>63</v>
      </c>
      <c r="T2002" s="4" t="s">
        <v>63</v>
      </c>
      <c r="U2002" s="4"/>
      <c r="V2002" s="4"/>
      <c r="W2002" s="4"/>
      <c r="X2002" s="4" t="s">
        <v>63</v>
      </c>
      <c r="Y2002" s="4" t="s">
        <v>547</v>
      </c>
      <c r="Z2002" s="4" t="s">
        <v>63</v>
      </c>
      <c r="AA2002" s="4" t="s">
        <v>63</v>
      </c>
      <c r="AB2002" s="4" t="s">
        <v>63</v>
      </c>
      <c r="AC2002" s="4" t="s">
        <v>67</v>
      </c>
      <c r="AD2002" s="4" t="s">
        <v>63</v>
      </c>
      <c r="AE2002" s="4" t="s">
        <v>63</v>
      </c>
      <c r="AF2002" s="4" t="s">
        <v>63</v>
      </c>
      <c r="AG2002" s="4" t="s">
        <v>63</v>
      </c>
      <c r="AH2002" s="4" t="s">
        <v>63</v>
      </c>
      <c r="AI2002" s="4" t="s">
        <v>63</v>
      </c>
      <c r="AJ2002" s="4" t="s">
        <v>63</v>
      </c>
      <c r="AK2002" s="4" t="s">
        <v>63</v>
      </c>
      <c r="AL2002" s="4" t="s">
        <v>63</v>
      </c>
      <c r="AM2002" s="4" t="s">
        <v>17193</v>
      </c>
      <c r="AN2002" s="4" t="s">
        <v>63</v>
      </c>
      <c r="AO2002" s="4" t="s">
        <v>63</v>
      </c>
      <c r="AP2002" s="4" t="s">
        <v>63</v>
      </c>
      <c r="AQ2002" s="4" t="s">
        <v>63</v>
      </c>
      <c r="AR2002" s="4" t="s">
        <v>63</v>
      </c>
      <c r="AS2002" s="4" t="s">
        <v>63</v>
      </c>
      <c r="AT2002" s="4" t="s">
        <v>63</v>
      </c>
      <c r="AU2002" s="4" t="s">
        <v>63</v>
      </c>
      <c r="AV2002" s="4" t="s">
        <v>63</v>
      </c>
      <c r="AW2002" s="4" t="s">
        <v>63</v>
      </c>
      <c r="AX2002" s="4" t="s">
        <v>63</v>
      </c>
      <c r="AY2002" s="4" t="s">
        <v>63</v>
      </c>
      <c r="AZ2002" s="4" t="s">
        <v>63</v>
      </c>
      <c r="BA2002" s="4" t="s">
        <v>63</v>
      </c>
      <c r="BB2002" s="4" t="s">
        <v>63</v>
      </c>
      <c r="BC2002" s="4" t="s">
        <v>63</v>
      </c>
      <c r="BD2002" s="4" t="s">
        <v>63</v>
      </c>
      <c r="BE2002" s="4" t="s">
        <v>63</v>
      </c>
      <c r="BF2002" s="4" t="s">
        <v>63</v>
      </c>
    </row>
    <row r="2003" spans="1:58">
      <c r="A2003" s="4" t="s">
        <v>58</v>
      </c>
      <c r="B2003" s="4" t="s">
        <v>17199</v>
      </c>
      <c r="C2003" s="4" t="s">
        <v>17200</v>
      </c>
      <c r="D2003" s="4" t="s">
        <v>371</v>
      </c>
      <c r="E2003" s="4" t="s">
        <v>63</v>
      </c>
      <c r="F2003" s="4">
        <v>2016</v>
      </c>
      <c r="G2003" s="4" t="s">
        <v>189</v>
      </c>
      <c r="H2003" s="4">
        <v>31</v>
      </c>
      <c r="I2003" s="4">
        <v>2</v>
      </c>
      <c r="J2003" s="4" t="s">
        <v>17201</v>
      </c>
      <c r="K2003" s="4" t="s">
        <v>63</v>
      </c>
      <c r="L2003" s="4" t="s">
        <v>17202</v>
      </c>
      <c r="M2003" s="4" t="s">
        <v>17203</v>
      </c>
      <c r="N2003" s="4" t="s">
        <v>17204</v>
      </c>
      <c r="O2003" s="4" t="s">
        <v>63</v>
      </c>
      <c r="P2003" s="4"/>
      <c r="Q2003" s="4" t="s">
        <v>63</v>
      </c>
      <c r="R2003" s="4" t="s">
        <v>63</v>
      </c>
      <c r="S2003" s="4" t="s">
        <v>63</v>
      </c>
      <c r="T2003" s="4" t="s">
        <v>63</v>
      </c>
      <c r="U2003" s="4"/>
      <c r="V2003" s="4"/>
      <c r="W2003" s="4"/>
      <c r="X2003" s="4" t="s">
        <v>63</v>
      </c>
      <c r="Y2003" s="4" t="s">
        <v>547</v>
      </c>
      <c r="Z2003" s="4" t="s">
        <v>63</v>
      </c>
      <c r="AA2003" s="4" t="s">
        <v>63</v>
      </c>
      <c r="AB2003" s="4" t="s">
        <v>63</v>
      </c>
      <c r="AC2003" s="4" t="s">
        <v>67</v>
      </c>
      <c r="AD2003" s="4" t="s">
        <v>63</v>
      </c>
      <c r="AE2003" s="4" t="s">
        <v>63</v>
      </c>
      <c r="AF2003" s="4" t="s">
        <v>63</v>
      </c>
      <c r="AG2003" s="4" t="s">
        <v>63</v>
      </c>
      <c r="AH2003" s="4" t="s">
        <v>63</v>
      </c>
      <c r="AI2003" s="4" t="s">
        <v>63</v>
      </c>
      <c r="AJ2003" s="4" t="s">
        <v>63</v>
      </c>
      <c r="AK2003" s="4" t="s">
        <v>63</v>
      </c>
      <c r="AL2003" s="4" t="s">
        <v>63</v>
      </c>
      <c r="AM2003" s="4" t="s">
        <v>17200</v>
      </c>
      <c r="AN2003" s="4" t="s">
        <v>63</v>
      </c>
      <c r="AO2003" s="4" t="s">
        <v>63</v>
      </c>
      <c r="AP2003" s="4" t="s">
        <v>63</v>
      </c>
      <c r="AQ2003" s="4" t="s">
        <v>63</v>
      </c>
      <c r="AR2003" s="4" t="s">
        <v>63</v>
      </c>
      <c r="AS2003" s="4" t="s">
        <v>63</v>
      </c>
      <c r="AT2003" s="4" t="s">
        <v>63</v>
      </c>
      <c r="AU2003" s="4" t="s">
        <v>63</v>
      </c>
      <c r="AV2003" s="4" t="s">
        <v>63</v>
      </c>
      <c r="AW2003" s="4" t="s">
        <v>63</v>
      </c>
      <c r="AX2003" s="4" t="s">
        <v>63</v>
      </c>
      <c r="AY2003" s="4" t="s">
        <v>63</v>
      </c>
      <c r="AZ2003" s="4" t="s">
        <v>63</v>
      </c>
      <c r="BA2003" s="4" t="s">
        <v>63</v>
      </c>
      <c r="BB2003" s="4" t="s">
        <v>63</v>
      </c>
      <c r="BC2003" s="4" t="s">
        <v>63</v>
      </c>
      <c r="BD2003" s="4" t="s">
        <v>63</v>
      </c>
      <c r="BE2003" s="4" t="s">
        <v>63</v>
      </c>
      <c r="BF2003" s="4" t="s">
        <v>63</v>
      </c>
    </row>
    <row r="2004" spans="1:58">
      <c r="A2004" s="4" t="s">
        <v>58</v>
      </c>
      <c r="B2004" s="4" t="s">
        <v>17205</v>
      </c>
      <c r="C2004" s="4" t="s">
        <v>17206</v>
      </c>
      <c r="D2004" s="4" t="s">
        <v>17207</v>
      </c>
      <c r="E2004" s="4" t="s">
        <v>17208</v>
      </c>
      <c r="F2004" s="4">
        <v>2004</v>
      </c>
      <c r="G2004" s="4" t="s">
        <v>15165</v>
      </c>
      <c r="H2004" s="4">
        <v>13</v>
      </c>
      <c r="I2004" s="4">
        <v>2</v>
      </c>
      <c r="J2004" s="4">
        <v>24</v>
      </c>
      <c r="K2004" s="4">
        <v>28</v>
      </c>
      <c r="L2004" s="4" t="s">
        <v>17209</v>
      </c>
      <c r="M2004" s="4" t="s">
        <v>17210</v>
      </c>
      <c r="N2004" s="4" t="s">
        <v>17211</v>
      </c>
      <c r="O2004" s="4" t="s">
        <v>63</v>
      </c>
      <c r="P2004" s="4"/>
      <c r="Q2004" s="4" t="s">
        <v>63</v>
      </c>
      <c r="R2004" s="4" t="s">
        <v>63</v>
      </c>
      <c r="S2004" s="4" t="s">
        <v>63</v>
      </c>
      <c r="T2004" s="4" t="s">
        <v>63</v>
      </c>
      <c r="U2004" s="4"/>
      <c r="V2004" s="4"/>
      <c r="W2004" s="4"/>
      <c r="X2004" s="4" t="s">
        <v>63</v>
      </c>
      <c r="Y2004" s="4" t="s">
        <v>17212</v>
      </c>
      <c r="Z2004" s="4" t="s">
        <v>63</v>
      </c>
      <c r="AA2004" s="4" t="s">
        <v>63</v>
      </c>
      <c r="AB2004" s="4" t="s">
        <v>63</v>
      </c>
      <c r="AC2004" s="4" t="s">
        <v>67</v>
      </c>
      <c r="AD2004" s="4" t="s">
        <v>63</v>
      </c>
      <c r="AE2004" s="4" t="s">
        <v>63</v>
      </c>
      <c r="AF2004" s="4" t="s">
        <v>63</v>
      </c>
      <c r="AG2004" s="4" t="s">
        <v>17213</v>
      </c>
      <c r="AH2004" s="4" t="s">
        <v>63</v>
      </c>
      <c r="AI2004" s="4" t="s">
        <v>63</v>
      </c>
      <c r="AJ2004" s="4" t="s">
        <v>63</v>
      </c>
      <c r="AK2004" s="4" t="s">
        <v>63</v>
      </c>
      <c r="AL2004" s="4" t="s">
        <v>63</v>
      </c>
      <c r="AM2004" s="4" t="s">
        <v>17214</v>
      </c>
      <c r="AN2004" s="4" t="s">
        <v>63</v>
      </c>
      <c r="AO2004" s="4" t="s">
        <v>63</v>
      </c>
      <c r="AP2004" s="4" t="s">
        <v>63</v>
      </c>
      <c r="AQ2004" s="4" t="s">
        <v>63</v>
      </c>
      <c r="AR2004" s="4" t="s">
        <v>63</v>
      </c>
      <c r="AS2004" s="4" t="s">
        <v>63</v>
      </c>
      <c r="AT2004" s="4" t="s">
        <v>63</v>
      </c>
      <c r="AU2004" s="4" t="s">
        <v>63</v>
      </c>
      <c r="AV2004" s="4" t="s">
        <v>63</v>
      </c>
      <c r="AW2004" s="4" t="s">
        <v>63</v>
      </c>
      <c r="AX2004" s="4" t="s">
        <v>63</v>
      </c>
      <c r="AY2004" s="4" t="s">
        <v>63</v>
      </c>
      <c r="AZ2004" s="4" t="s">
        <v>63</v>
      </c>
      <c r="BA2004" s="4" t="s">
        <v>63</v>
      </c>
      <c r="BB2004" s="4" t="s">
        <v>63</v>
      </c>
      <c r="BC2004" s="4" t="s">
        <v>63</v>
      </c>
      <c r="BD2004" s="4" t="s">
        <v>63</v>
      </c>
      <c r="BE2004" s="4" t="s">
        <v>63</v>
      </c>
      <c r="BF2004" s="4" t="s">
        <v>63</v>
      </c>
    </row>
    <row r="2005" spans="1:58">
      <c r="A2005" s="4" t="s">
        <v>58</v>
      </c>
      <c r="B2005" s="4" t="s">
        <v>17215</v>
      </c>
      <c r="C2005" s="4" t="s">
        <v>17216</v>
      </c>
      <c r="D2005" s="4" t="s">
        <v>15421</v>
      </c>
      <c r="E2005" s="4" t="s">
        <v>63</v>
      </c>
      <c r="F2005" s="4">
        <v>2010</v>
      </c>
      <c r="G2005" s="4" t="s">
        <v>1670</v>
      </c>
      <c r="H2005" s="4">
        <v>31</v>
      </c>
      <c r="I2005" s="4">
        <v>3</v>
      </c>
      <c r="J2005" s="4">
        <v>162</v>
      </c>
      <c r="K2005" s="4">
        <v>169</v>
      </c>
      <c r="L2005" s="4" t="s">
        <v>17217</v>
      </c>
      <c r="M2005" s="4" t="s">
        <v>17218</v>
      </c>
      <c r="N2005" s="4" t="s">
        <v>17219</v>
      </c>
      <c r="O2005" s="4" t="s">
        <v>63</v>
      </c>
      <c r="P2005" s="4"/>
      <c r="Q2005" s="4" t="s">
        <v>63</v>
      </c>
      <c r="R2005" s="4" t="s">
        <v>63</v>
      </c>
      <c r="S2005" s="4" t="s">
        <v>63</v>
      </c>
      <c r="T2005" s="4" t="s">
        <v>63</v>
      </c>
      <c r="U2005" s="4"/>
      <c r="V2005" s="4"/>
      <c r="W2005" s="4"/>
      <c r="X2005" s="4" t="s">
        <v>63</v>
      </c>
      <c r="Y2005" s="4" t="s">
        <v>15425</v>
      </c>
      <c r="Z2005" s="4" t="s">
        <v>63</v>
      </c>
      <c r="AA2005" s="4" t="s">
        <v>63</v>
      </c>
      <c r="AB2005" s="4" t="s">
        <v>63</v>
      </c>
      <c r="AC2005" s="4" t="s">
        <v>67</v>
      </c>
      <c r="AD2005" s="4" t="s">
        <v>63</v>
      </c>
      <c r="AE2005" s="4" t="s">
        <v>63</v>
      </c>
      <c r="AF2005" s="4" t="s">
        <v>63</v>
      </c>
      <c r="AG2005" s="4" t="s">
        <v>17220</v>
      </c>
      <c r="AH2005" s="4" t="s">
        <v>63</v>
      </c>
      <c r="AI2005" s="4" t="s">
        <v>63</v>
      </c>
      <c r="AJ2005" s="4" t="s">
        <v>63</v>
      </c>
      <c r="AK2005" s="4" t="s">
        <v>63</v>
      </c>
      <c r="AL2005" s="4" t="s">
        <v>63</v>
      </c>
      <c r="AM2005" s="4" t="s">
        <v>17221</v>
      </c>
      <c r="AN2005" s="4" t="s">
        <v>63</v>
      </c>
      <c r="AO2005" s="4" t="s">
        <v>63</v>
      </c>
      <c r="AP2005" s="4" t="s">
        <v>63</v>
      </c>
      <c r="AQ2005" s="4" t="s">
        <v>63</v>
      </c>
      <c r="AR2005" s="4" t="s">
        <v>63</v>
      </c>
      <c r="AS2005" s="4" t="s">
        <v>63</v>
      </c>
      <c r="AT2005" s="4" t="s">
        <v>63</v>
      </c>
      <c r="AU2005" s="4" t="s">
        <v>63</v>
      </c>
      <c r="AV2005" s="4" t="s">
        <v>63</v>
      </c>
      <c r="AW2005" s="4" t="s">
        <v>63</v>
      </c>
      <c r="AX2005" s="4" t="s">
        <v>63</v>
      </c>
      <c r="AY2005" s="4" t="s">
        <v>63</v>
      </c>
      <c r="AZ2005" s="4" t="s">
        <v>63</v>
      </c>
      <c r="BA2005" s="4" t="s">
        <v>63</v>
      </c>
      <c r="BB2005" s="4" t="s">
        <v>63</v>
      </c>
      <c r="BC2005" s="4" t="s">
        <v>63</v>
      </c>
      <c r="BD2005" s="4" t="s">
        <v>63</v>
      </c>
      <c r="BE2005" s="4" t="s">
        <v>63</v>
      </c>
      <c r="BF2005" s="4" t="s">
        <v>63</v>
      </c>
    </row>
    <row r="2006" spans="1:58">
      <c r="A2006" s="4" t="s">
        <v>58</v>
      </c>
      <c r="B2006" s="4" t="s">
        <v>17222</v>
      </c>
      <c r="C2006" s="4" t="s">
        <v>17223</v>
      </c>
      <c r="D2006" s="4" t="s">
        <v>3984</v>
      </c>
      <c r="E2006" s="4" t="s">
        <v>63</v>
      </c>
      <c r="F2006" s="4">
        <v>2012</v>
      </c>
      <c r="G2006" s="4" t="s">
        <v>15165</v>
      </c>
      <c r="H2006" s="4">
        <v>13</v>
      </c>
      <c r="I2006" s="4">
        <v>4</v>
      </c>
      <c r="J2006" s="4" t="s">
        <v>17224</v>
      </c>
      <c r="K2006" s="4" t="s">
        <v>63</v>
      </c>
      <c r="L2006" s="4" t="s">
        <v>17225</v>
      </c>
      <c r="M2006" s="4" t="s">
        <v>17226</v>
      </c>
      <c r="N2006" s="4" t="s">
        <v>17227</v>
      </c>
      <c r="O2006" s="4" t="s">
        <v>63</v>
      </c>
      <c r="P2006" s="4"/>
      <c r="Q2006" s="4" t="s">
        <v>63</v>
      </c>
      <c r="R2006" s="4" t="s">
        <v>63</v>
      </c>
      <c r="S2006" s="4" t="s">
        <v>63</v>
      </c>
      <c r="T2006" s="4" t="s">
        <v>63</v>
      </c>
      <c r="U2006" s="4"/>
      <c r="V2006" s="4"/>
      <c r="W2006" s="4"/>
      <c r="X2006" s="4" t="s">
        <v>63</v>
      </c>
      <c r="Y2006" s="4" t="s">
        <v>5160</v>
      </c>
      <c r="Z2006" s="4" t="s">
        <v>63</v>
      </c>
      <c r="AA2006" s="4" t="s">
        <v>63</v>
      </c>
      <c r="AB2006" s="4" t="s">
        <v>63</v>
      </c>
      <c r="AC2006" s="4" t="s">
        <v>67</v>
      </c>
      <c r="AD2006" s="4" t="s">
        <v>63</v>
      </c>
      <c r="AE2006" s="4" t="s">
        <v>63</v>
      </c>
      <c r="AF2006" s="4" t="s">
        <v>63</v>
      </c>
      <c r="AG2006" s="4" t="s">
        <v>63</v>
      </c>
      <c r="AH2006" s="4" t="s">
        <v>63</v>
      </c>
      <c r="AI2006" s="4" t="s">
        <v>17228</v>
      </c>
      <c r="AJ2006" s="4" t="s">
        <v>63</v>
      </c>
      <c r="AK2006" s="4" t="s">
        <v>63</v>
      </c>
      <c r="AL2006" s="4" t="s">
        <v>63</v>
      </c>
      <c r="AM2006" s="4" t="s">
        <v>17223</v>
      </c>
      <c r="AN2006" s="4" t="s">
        <v>63</v>
      </c>
      <c r="AO2006" s="4" t="s">
        <v>63</v>
      </c>
      <c r="AP2006" s="4" t="s">
        <v>63</v>
      </c>
      <c r="AQ2006" s="4" t="s">
        <v>63</v>
      </c>
      <c r="AR2006" s="4" t="s">
        <v>63</v>
      </c>
      <c r="AS2006" s="4" t="s">
        <v>63</v>
      </c>
      <c r="AT2006" s="4" t="s">
        <v>63</v>
      </c>
      <c r="AU2006" s="4" t="s">
        <v>63</v>
      </c>
      <c r="AV2006" s="4" t="s">
        <v>63</v>
      </c>
      <c r="AW2006" s="4" t="s">
        <v>63</v>
      </c>
      <c r="AX2006" s="4" t="s">
        <v>63</v>
      </c>
      <c r="AY2006" s="4" t="s">
        <v>63</v>
      </c>
      <c r="AZ2006" s="4" t="s">
        <v>63</v>
      </c>
      <c r="BA2006" s="4" t="s">
        <v>63</v>
      </c>
      <c r="BB2006" s="4" t="s">
        <v>63</v>
      </c>
      <c r="BC2006" s="4" t="s">
        <v>63</v>
      </c>
      <c r="BD2006" s="4" t="s">
        <v>63</v>
      </c>
      <c r="BE2006" s="4" t="s">
        <v>63</v>
      </c>
      <c r="BF2006" s="4" t="s">
        <v>63</v>
      </c>
    </row>
    <row r="2007" spans="1:58">
      <c r="A2007" s="4" t="s">
        <v>58</v>
      </c>
      <c r="B2007" s="4" t="s">
        <v>17229</v>
      </c>
      <c r="C2007" s="4" t="s">
        <v>17230</v>
      </c>
      <c r="D2007" s="4" t="s">
        <v>17231</v>
      </c>
      <c r="E2007" s="4" t="s">
        <v>63</v>
      </c>
      <c r="F2007" s="4">
        <v>2017</v>
      </c>
      <c r="G2007" s="4" t="s">
        <v>63</v>
      </c>
      <c r="H2007" s="4">
        <v>9</v>
      </c>
      <c r="I2007" s="4">
        <v>2</v>
      </c>
      <c r="J2007" s="4">
        <v>78</v>
      </c>
      <c r="K2007" s="4">
        <v>82</v>
      </c>
      <c r="L2007" s="4" t="s">
        <v>17232</v>
      </c>
      <c r="M2007" s="4" t="s">
        <v>17233</v>
      </c>
      <c r="N2007" s="4" t="s">
        <v>17234</v>
      </c>
      <c r="O2007" s="4" t="s">
        <v>63</v>
      </c>
      <c r="P2007" s="4"/>
      <c r="Q2007" s="4" t="s">
        <v>63</v>
      </c>
      <c r="R2007" s="4" t="s">
        <v>63</v>
      </c>
      <c r="S2007" s="4" t="s">
        <v>63</v>
      </c>
      <c r="T2007" s="4" t="s">
        <v>63</v>
      </c>
      <c r="U2007" s="4"/>
      <c r="V2007" s="4"/>
      <c r="W2007" s="4"/>
      <c r="X2007" s="4" t="s">
        <v>63</v>
      </c>
      <c r="Y2007" s="4" t="s">
        <v>17235</v>
      </c>
      <c r="Z2007" s="4" t="s">
        <v>63</v>
      </c>
      <c r="AA2007" s="4" t="s">
        <v>63</v>
      </c>
      <c r="AB2007" s="4" t="s">
        <v>17236</v>
      </c>
      <c r="AC2007" s="4" t="s">
        <v>444</v>
      </c>
      <c r="AD2007" s="4" t="s">
        <v>63</v>
      </c>
      <c r="AE2007" s="4" t="s">
        <v>63</v>
      </c>
      <c r="AF2007" s="4" t="s">
        <v>63</v>
      </c>
      <c r="AG2007" s="4" t="s">
        <v>63</v>
      </c>
      <c r="AH2007" s="4" t="s">
        <v>63</v>
      </c>
      <c r="AI2007" s="4" t="s">
        <v>17237</v>
      </c>
      <c r="AJ2007" s="4" t="s">
        <v>63</v>
      </c>
      <c r="AK2007" s="4" t="s">
        <v>63</v>
      </c>
      <c r="AL2007" s="4" t="s">
        <v>63</v>
      </c>
      <c r="AM2007" s="4" t="s">
        <v>17230</v>
      </c>
      <c r="AN2007" s="4" t="s">
        <v>63</v>
      </c>
      <c r="AO2007" s="4" t="s">
        <v>63</v>
      </c>
      <c r="AP2007" s="4" t="s">
        <v>63</v>
      </c>
      <c r="AQ2007" s="4" t="s">
        <v>63</v>
      </c>
      <c r="AR2007" s="4" t="s">
        <v>63</v>
      </c>
      <c r="AS2007" s="4" t="s">
        <v>63</v>
      </c>
      <c r="AT2007" s="4" t="s">
        <v>63</v>
      </c>
      <c r="AU2007" s="4" t="s">
        <v>63</v>
      </c>
      <c r="AV2007" s="4" t="s">
        <v>63</v>
      </c>
      <c r="AW2007" s="4" t="s">
        <v>63</v>
      </c>
      <c r="AX2007" s="4" t="s">
        <v>63</v>
      </c>
      <c r="AY2007" s="4" t="s">
        <v>63</v>
      </c>
      <c r="AZ2007" s="4" t="s">
        <v>63</v>
      </c>
      <c r="BA2007" s="4" t="s">
        <v>63</v>
      </c>
      <c r="BB2007" s="4" t="s">
        <v>63</v>
      </c>
      <c r="BC2007" s="4" t="s">
        <v>63</v>
      </c>
      <c r="BD2007" s="4" t="s">
        <v>63</v>
      </c>
      <c r="BE2007" s="4" t="s">
        <v>63</v>
      </c>
      <c r="BF2007" s="4" t="s">
        <v>63</v>
      </c>
    </row>
    <row r="2008" spans="1:58">
      <c r="A2008" s="4" t="s">
        <v>58</v>
      </c>
      <c r="B2008" s="4" t="s">
        <v>17238</v>
      </c>
      <c r="C2008" s="4" t="s">
        <v>17239</v>
      </c>
      <c r="D2008" s="4" t="s">
        <v>790</v>
      </c>
      <c r="E2008" s="4" t="s">
        <v>791</v>
      </c>
      <c r="F2008" s="4">
        <v>1997</v>
      </c>
      <c r="G2008" s="4" t="s">
        <v>17240</v>
      </c>
      <c r="H2008" s="4">
        <v>22</v>
      </c>
      <c r="I2008" s="4">
        <v>3</v>
      </c>
      <c r="J2008" s="4">
        <v>427</v>
      </c>
      <c r="K2008" s="4">
        <v>430</v>
      </c>
      <c r="L2008" s="4" t="s">
        <v>17241</v>
      </c>
      <c r="M2008" s="4" t="s">
        <v>17242</v>
      </c>
      <c r="N2008" s="4" t="s">
        <v>17243</v>
      </c>
      <c r="O2008" s="4" t="s">
        <v>63</v>
      </c>
      <c r="P2008" s="4"/>
      <c r="Q2008" s="4" t="s">
        <v>63</v>
      </c>
      <c r="R2008" s="4" t="s">
        <v>63</v>
      </c>
      <c r="S2008" s="4" t="s">
        <v>63</v>
      </c>
      <c r="T2008" s="4" t="s">
        <v>63</v>
      </c>
      <c r="U2008" s="4"/>
      <c r="V2008" s="4"/>
      <c r="W2008" s="4"/>
      <c r="X2008" s="4" t="s">
        <v>63</v>
      </c>
      <c r="Y2008" s="4" t="s">
        <v>795</v>
      </c>
      <c r="Z2008" s="4" t="s">
        <v>63</v>
      </c>
      <c r="AA2008" s="4" t="s">
        <v>63</v>
      </c>
      <c r="AB2008" s="4">
        <v>1997162208</v>
      </c>
      <c r="AC2008" s="4" t="s">
        <v>67</v>
      </c>
      <c r="AD2008" s="4" t="s">
        <v>63</v>
      </c>
      <c r="AE2008" s="4" t="s">
        <v>63</v>
      </c>
      <c r="AF2008" s="4" t="s">
        <v>63</v>
      </c>
      <c r="AG2008" s="4" t="s">
        <v>17244</v>
      </c>
      <c r="AH2008" s="4" t="s">
        <v>63</v>
      </c>
      <c r="AI2008" s="4" t="s">
        <v>17245</v>
      </c>
      <c r="AJ2008" s="4" t="s">
        <v>63</v>
      </c>
      <c r="AK2008" s="4" t="s">
        <v>63</v>
      </c>
      <c r="AL2008" s="4" t="s">
        <v>63</v>
      </c>
      <c r="AM2008" s="4" t="s">
        <v>17246</v>
      </c>
      <c r="AN2008" s="4" t="s">
        <v>63</v>
      </c>
      <c r="AO2008" s="4" t="s">
        <v>63</v>
      </c>
      <c r="AP2008" s="4" t="s">
        <v>63</v>
      </c>
      <c r="AQ2008" s="4" t="s">
        <v>63</v>
      </c>
      <c r="AR2008" s="4" t="s">
        <v>63</v>
      </c>
      <c r="AS2008" s="4" t="s">
        <v>63</v>
      </c>
      <c r="AT2008" s="4" t="s">
        <v>63</v>
      </c>
      <c r="AU2008" s="4" t="s">
        <v>63</v>
      </c>
      <c r="AV2008" s="4" t="s">
        <v>63</v>
      </c>
      <c r="AW2008" s="4" t="s">
        <v>63</v>
      </c>
      <c r="AX2008" s="4" t="s">
        <v>63</v>
      </c>
      <c r="AY2008" s="4" t="s">
        <v>63</v>
      </c>
      <c r="AZ2008" s="4" t="s">
        <v>63</v>
      </c>
      <c r="BA2008" s="4" t="s">
        <v>63</v>
      </c>
      <c r="BB2008" s="4" t="s">
        <v>63</v>
      </c>
      <c r="BC2008" s="4" t="s">
        <v>63</v>
      </c>
      <c r="BD2008" s="4" t="s">
        <v>63</v>
      </c>
      <c r="BE2008" s="4" t="s">
        <v>63</v>
      </c>
      <c r="BF2008" s="4" t="s">
        <v>63</v>
      </c>
    </row>
    <row r="2009" spans="1:58">
      <c r="A2009" s="4" t="s">
        <v>58</v>
      </c>
      <c r="B2009" s="4" t="s">
        <v>17247</v>
      </c>
      <c r="C2009" s="4" t="s">
        <v>17248</v>
      </c>
      <c r="D2009" s="4" t="s">
        <v>371</v>
      </c>
      <c r="E2009" s="4" t="s">
        <v>63</v>
      </c>
      <c r="F2009" s="4">
        <v>2016</v>
      </c>
      <c r="G2009" s="4" t="s">
        <v>189</v>
      </c>
      <c r="H2009" s="4">
        <v>31</v>
      </c>
      <c r="I2009" s="4">
        <v>2</v>
      </c>
      <c r="J2009" s="4" t="s">
        <v>17249</v>
      </c>
      <c r="K2009" s="4" t="s">
        <v>63</v>
      </c>
      <c r="L2009" s="4" t="s">
        <v>17250</v>
      </c>
      <c r="M2009" s="4" t="s">
        <v>17251</v>
      </c>
      <c r="N2009" s="4" t="s">
        <v>17252</v>
      </c>
      <c r="O2009" s="4" t="s">
        <v>63</v>
      </c>
      <c r="P2009" s="4"/>
      <c r="Q2009" s="4" t="s">
        <v>63</v>
      </c>
      <c r="R2009" s="4" t="s">
        <v>63</v>
      </c>
      <c r="S2009" s="4" t="s">
        <v>63</v>
      </c>
      <c r="T2009" s="4" t="s">
        <v>63</v>
      </c>
      <c r="U2009" s="4"/>
      <c r="V2009" s="4"/>
      <c r="W2009" s="4"/>
      <c r="X2009" s="4" t="s">
        <v>63</v>
      </c>
      <c r="Y2009" s="4" t="s">
        <v>547</v>
      </c>
      <c r="Z2009" s="4" t="s">
        <v>63</v>
      </c>
      <c r="AA2009" s="4" t="s">
        <v>63</v>
      </c>
      <c r="AB2009" s="4" t="s">
        <v>63</v>
      </c>
      <c r="AC2009" s="4" t="s">
        <v>67</v>
      </c>
      <c r="AD2009" s="4" t="s">
        <v>63</v>
      </c>
      <c r="AE2009" s="4" t="s">
        <v>63</v>
      </c>
      <c r="AF2009" s="4" t="s">
        <v>63</v>
      </c>
      <c r="AG2009" s="4" t="s">
        <v>63</v>
      </c>
      <c r="AH2009" s="4" t="s">
        <v>63</v>
      </c>
      <c r="AI2009" s="4" t="s">
        <v>63</v>
      </c>
      <c r="AJ2009" s="4" t="s">
        <v>63</v>
      </c>
      <c r="AK2009" s="4" t="s">
        <v>63</v>
      </c>
      <c r="AL2009" s="4" t="s">
        <v>63</v>
      </c>
      <c r="AM2009" s="4" t="s">
        <v>17248</v>
      </c>
      <c r="AN2009" s="4" t="s">
        <v>63</v>
      </c>
      <c r="AO2009" s="4" t="s">
        <v>63</v>
      </c>
      <c r="AP2009" s="4" t="s">
        <v>63</v>
      </c>
      <c r="AQ2009" s="4" t="s">
        <v>63</v>
      </c>
      <c r="AR2009" s="4" t="s">
        <v>63</v>
      </c>
      <c r="AS2009" s="4" t="s">
        <v>63</v>
      </c>
      <c r="AT2009" s="4" t="s">
        <v>63</v>
      </c>
      <c r="AU2009" s="4" t="s">
        <v>63</v>
      </c>
      <c r="AV2009" s="4" t="s">
        <v>63</v>
      </c>
      <c r="AW2009" s="4" t="s">
        <v>63</v>
      </c>
      <c r="AX2009" s="4" t="s">
        <v>63</v>
      </c>
      <c r="AY2009" s="4" t="s">
        <v>63</v>
      </c>
      <c r="AZ2009" s="4" t="s">
        <v>63</v>
      </c>
      <c r="BA2009" s="4" t="s">
        <v>63</v>
      </c>
      <c r="BB2009" s="4" t="s">
        <v>63</v>
      </c>
      <c r="BC2009" s="4" t="s">
        <v>63</v>
      </c>
      <c r="BD2009" s="4" t="s">
        <v>63</v>
      </c>
      <c r="BE2009" s="4" t="s">
        <v>63</v>
      </c>
      <c r="BF2009" s="4" t="s">
        <v>63</v>
      </c>
    </row>
    <row r="2010" spans="1:58">
      <c r="A2010" s="4" t="s">
        <v>58</v>
      </c>
      <c r="B2010" s="4" t="s">
        <v>17253</v>
      </c>
      <c r="C2010" s="4" t="s">
        <v>17254</v>
      </c>
      <c r="D2010" s="4" t="s">
        <v>17255</v>
      </c>
      <c r="E2010" s="4" t="s">
        <v>63</v>
      </c>
      <c r="F2010" s="4">
        <v>2017</v>
      </c>
      <c r="G2010" s="4" t="s">
        <v>63</v>
      </c>
      <c r="H2010" s="4">
        <v>24</v>
      </c>
      <c r="I2010" s="4">
        <v>3</v>
      </c>
      <c r="J2010" s="4" t="s">
        <v>17256</v>
      </c>
      <c r="K2010" s="4" t="s">
        <v>17257</v>
      </c>
      <c r="L2010" s="4" t="s">
        <v>17258</v>
      </c>
      <c r="M2010" s="4" t="s">
        <v>17259</v>
      </c>
      <c r="N2010" s="4" t="s">
        <v>17260</v>
      </c>
      <c r="O2010" s="4" t="s">
        <v>63</v>
      </c>
      <c r="P2010" s="4"/>
      <c r="Q2010" s="4" t="s">
        <v>63</v>
      </c>
      <c r="R2010" s="4" t="s">
        <v>63</v>
      </c>
      <c r="S2010" s="4" t="s">
        <v>63</v>
      </c>
      <c r="T2010" s="4" t="s">
        <v>63</v>
      </c>
      <c r="U2010" s="4"/>
      <c r="V2010" s="4"/>
      <c r="W2010" s="4"/>
      <c r="X2010" s="4" t="s">
        <v>63</v>
      </c>
      <c r="Y2010" s="4" t="s">
        <v>17261</v>
      </c>
      <c r="Z2010" s="4" t="s">
        <v>63</v>
      </c>
      <c r="AA2010" s="4" t="s">
        <v>63</v>
      </c>
      <c r="AB2010" s="4" t="s">
        <v>17262</v>
      </c>
      <c r="AC2010" s="4" t="s">
        <v>67</v>
      </c>
      <c r="AD2010" s="4" t="s">
        <v>63</v>
      </c>
      <c r="AE2010" s="4" t="s">
        <v>63</v>
      </c>
      <c r="AF2010" s="4" t="s">
        <v>63</v>
      </c>
      <c r="AG2010" s="4" t="s">
        <v>63</v>
      </c>
      <c r="AH2010" s="4" t="s">
        <v>63</v>
      </c>
      <c r="AI2010" s="4" t="s">
        <v>17263</v>
      </c>
      <c r="AJ2010" s="4" t="s">
        <v>63</v>
      </c>
      <c r="AK2010" s="4" t="s">
        <v>63</v>
      </c>
      <c r="AL2010" s="4" t="s">
        <v>63</v>
      </c>
      <c r="AM2010" s="4" t="s">
        <v>17254</v>
      </c>
      <c r="AN2010" s="4" t="s">
        <v>63</v>
      </c>
      <c r="AO2010" s="4" t="s">
        <v>63</v>
      </c>
      <c r="AP2010" s="4" t="s">
        <v>63</v>
      </c>
      <c r="AQ2010" s="4" t="s">
        <v>63</v>
      </c>
      <c r="AR2010" s="4" t="s">
        <v>63</v>
      </c>
      <c r="AS2010" s="4" t="s">
        <v>63</v>
      </c>
      <c r="AT2010" s="4" t="s">
        <v>63</v>
      </c>
      <c r="AU2010" s="4" t="s">
        <v>63</v>
      </c>
      <c r="AV2010" s="4" t="s">
        <v>63</v>
      </c>
      <c r="AW2010" s="4" t="s">
        <v>63</v>
      </c>
      <c r="AX2010" s="4" t="s">
        <v>63</v>
      </c>
      <c r="AY2010" s="4" t="s">
        <v>63</v>
      </c>
      <c r="AZ2010" s="4" t="s">
        <v>63</v>
      </c>
      <c r="BA2010" s="4" t="s">
        <v>63</v>
      </c>
      <c r="BB2010" s="4" t="s">
        <v>63</v>
      </c>
      <c r="BC2010" s="4" t="s">
        <v>63</v>
      </c>
      <c r="BD2010" s="4" t="s">
        <v>63</v>
      </c>
      <c r="BE2010" s="4" t="s">
        <v>63</v>
      </c>
      <c r="BF2010" s="4" t="s">
        <v>63</v>
      </c>
    </row>
    <row r="2011" spans="1:58">
      <c r="A2011" s="4" t="s">
        <v>58</v>
      </c>
      <c r="B2011" s="4" t="s">
        <v>17264</v>
      </c>
      <c r="C2011" s="4" t="s">
        <v>17265</v>
      </c>
      <c r="D2011" s="4" t="s">
        <v>1184</v>
      </c>
      <c r="E2011" s="4" t="s">
        <v>1185</v>
      </c>
      <c r="F2011" s="4">
        <v>1983</v>
      </c>
      <c r="G2011" s="4" t="s">
        <v>63</v>
      </c>
      <c r="H2011" s="4">
        <v>58</v>
      </c>
      <c r="I2011" s="4">
        <v>6</v>
      </c>
      <c r="J2011" s="4">
        <v>468</v>
      </c>
      <c r="K2011" s="4">
        <v>473</v>
      </c>
      <c r="L2011" s="4" t="s">
        <v>17266</v>
      </c>
      <c r="M2011" s="4" t="s">
        <v>17267</v>
      </c>
      <c r="N2011" s="4" t="s">
        <v>17268</v>
      </c>
      <c r="O2011" s="4" t="s">
        <v>63</v>
      </c>
      <c r="P2011" s="4"/>
      <c r="Q2011" s="4" t="s">
        <v>63</v>
      </c>
      <c r="R2011" s="4" t="s">
        <v>63</v>
      </c>
      <c r="S2011" s="4" t="s">
        <v>63</v>
      </c>
      <c r="T2011" s="4" t="s">
        <v>63</v>
      </c>
      <c r="U2011" s="4"/>
      <c r="V2011" s="4"/>
      <c r="W2011" s="4"/>
      <c r="X2011" s="4" t="s">
        <v>63</v>
      </c>
      <c r="Y2011" s="4" t="s">
        <v>1188</v>
      </c>
      <c r="Z2011" s="4" t="s">
        <v>63</v>
      </c>
      <c r="AA2011" s="4" t="s">
        <v>63</v>
      </c>
      <c r="AB2011" s="4">
        <v>1983180347</v>
      </c>
      <c r="AC2011" s="4" t="s">
        <v>67</v>
      </c>
      <c r="AD2011" s="4" t="s">
        <v>63</v>
      </c>
      <c r="AE2011" s="4" t="s">
        <v>63</v>
      </c>
      <c r="AF2011" s="4" t="s">
        <v>63</v>
      </c>
      <c r="AG2011" s="4" t="s">
        <v>17269</v>
      </c>
      <c r="AH2011" s="4" t="s">
        <v>63</v>
      </c>
      <c r="AI2011" s="4" t="s">
        <v>63</v>
      </c>
      <c r="AJ2011" s="4" t="s">
        <v>63</v>
      </c>
      <c r="AK2011" s="4" t="s">
        <v>63</v>
      </c>
      <c r="AL2011" s="4" t="s">
        <v>63</v>
      </c>
      <c r="AM2011" s="4" t="s">
        <v>17270</v>
      </c>
      <c r="AN2011" s="4" t="s">
        <v>63</v>
      </c>
      <c r="AO2011" s="4" t="s">
        <v>63</v>
      </c>
      <c r="AP2011" s="4" t="s">
        <v>63</v>
      </c>
      <c r="AQ2011" s="4" t="s">
        <v>63</v>
      </c>
      <c r="AR2011" s="4" t="s">
        <v>63</v>
      </c>
      <c r="AS2011" s="4" t="s">
        <v>63</v>
      </c>
      <c r="AT2011" s="4" t="s">
        <v>63</v>
      </c>
      <c r="AU2011" s="4" t="s">
        <v>63</v>
      </c>
      <c r="AV2011" s="4" t="s">
        <v>63</v>
      </c>
      <c r="AW2011" s="4" t="s">
        <v>63</v>
      </c>
      <c r="AX2011" s="4" t="s">
        <v>63</v>
      </c>
      <c r="AY2011" s="4" t="s">
        <v>63</v>
      </c>
      <c r="AZ2011" s="4" t="s">
        <v>63</v>
      </c>
      <c r="BA2011" s="4" t="s">
        <v>63</v>
      </c>
      <c r="BB2011" s="4" t="s">
        <v>63</v>
      </c>
      <c r="BC2011" s="4" t="s">
        <v>63</v>
      </c>
      <c r="BD2011" s="4" t="s">
        <v>63</v>
      </c>
      <c r="BE2011" s="4" t="s">
        <v>63</v>
      </c>
      <c r="BF2011" s="4" t="s">
        <v>63</v>
      </c>
    </row>
    <row r="2012" spans="1:58">
      <c r="A2012" s="4" t="s">
        <v>58</v>
      </c>
      <c r="B2012" s="4" t="s">
        <v>17271</v>
      </c>
      <c r="C2012" s="4" t="s">
        <v>17272</v>
      </c>
      <c r="D2012" s="4" t="s">
        <v>17273</v>
      </c>
      <c r="E2012" s="4" t="s">
        <v>63</v>
      </c>
      <c r="F2012" s="4">
        <v>2007</v>
      </c>
      <c r="G2012" s="4" t="s">
        <v>15508</v>
      </c>
      <c r="H2012" s="4">
        <v>19</v>
      </c>
      <c r="I2012" s="4">
        <v>1</v>
      </c>
      <c r="J2012" s="4">
        <v>23</v>
      </c>
      <c r="K2012" s="4">
        <v>27</v>
      </c>
      <c r="L2012" s="4" t="s">
        <v>17274</v>
      </c>
      <c r="M2012" s="4" t="s">
        <v>17275</v>
      </c>
      <c r="N2012" s="4" t="s">
        <v>17276</v>
      </c>
      <c r="O2012" s="4" t="s">
        <v>63</v>
      </c>
      <c r="P2012" s="4"/>
      <c r="Q2012" s="4" t="s">
        <v>63</v>
      </c>
      <c r="R2012" s="4" t="s">
        <v>63</v>
      </c>
      <c r="S2012" s="4" t="s">
        <v>63</v>
      </c>
      <c r="T2012" s="4" t="s">
        <v>63</v>
      </c>
      <c r="U2012" s="4"/>
      <c r="V2012" s="4"/>
      <c r="W2012" s="4"/>
      <c r="X2012" s="4" t="s">
        <v>63</v>
      </c>
      <c r="Y2012" s="4" t="s">
        <v>17277</v>
      </c>
      <c r="Z2012" s="4" t="s">
        <v>63</v>
      </c>
      <c r="AA2012" s="4" t="s">
        <v>63</v>
      </c>
      <c r="AB2012" s="4" t="s">
        <v>17278</v>
      </c>
      <c r="AC2012" s="4" t="s">
        <v>67</v>
      </c>
      <c r="AD2012" s="4" t="s">
        <v>63</v>
      </c>
      <c r="AE2012" s="4" t="s">
        <v>63</v>
      </c>
      <c r="AF2012" s="4" t="s">
        <v>63</v>
      </c>
      <c r="AG2012" s="4" t="s">
        <v>63</v>
      </c>
      <c r="AH2012" s="4" t="s">
        <v>63</v>
      </c>
      <c r="AI2012" s="4" t="s">
        <v>63</v>
      </c>
      <c r="AJ2012" s="4" t="s">
        <v>63</v>
      </c>
      <c r="AK2012" s="4" t="s">
        <v>63</v>
      </c>
      <c r="AL2012" s="4" t="s">
        <v>63</v>
      </c>
      <c r="AM2012" s="4" t="s">
        <v>17272</v>
      </c>
      <c r="AN2012" s="4" t="s">
        <v>63</v>
      </c>
      <c r="AO2012" s="4" t="s">
        <v>63</v>
      </c>
      <c r="AP2012" s="4" t="s">
        <v>63</v>
      </c>
      <c r="AQ2012" s="4" t="s">
        <v>63</v>
      </c>
      <c r="AR2012" s="4" t="s">
        <v>63</v>
      </c>
      <c r="AS2012" s="4" t="s">
        <v>63</v>
      </c>
      <c r="AT2012" s="4" t="s">
        <v>63</v>
      </c>
      <c r="AU2012" s="4" t="s">
        <v>63</v>
      </c>
      <c r="AV2012" s="4" t="s">
        <v>63</v>
      </c>
      <c r="AW2012" s="4" t="s">
        <v>63</v>
      </c>
      <c r="AX2012" s="4" t="s">
        <v>63</v>
      </c>
      <c r="AY2012" s="4" t="s">
        <v>63</v>
      </c>
      <c r="AZ2012" s="4" t="s">
        <v>63</v>
      </c>
      <c r="BA2012" s="4" t="s">
        <v>63</v>
      </c>
      <c r="BB2012" s="4" t="s">
        <v>63</v>
      </c>
      <c r="BC2012" s="4" t="s">
        <v>63</v>
      </c>
      <c r="BD2012" s="4" t="s">
        <v>63</v>
      </c>
      <c r="BE2012" s="4" t="s">
        <v>63</v>
      </c>
      <c r="BF2012" s="4" t="s">
        <v>63</v>
      </c>
    </row>
    <row r="2013" spans="1:58">
      <c r="A2013" s="4" t="s">
        <v>58</v>
      </c>
      <c r="B2013" s="4" t="s">
        <v>17279</v>
      </c>
      <c r="C2013" s="4" t="s">
        <v>17280</v>
      </c>
      <c r="D2013" s="4" t="s">
        <v>17281</v>
      </c>
      <c r="E2013" s="4" t="s">
        <v>63</v>
      </c>
      <c r="F2013" s="4">
        <v>2010</v>
      </c>
      <c r="G2013" s="4" t="s">
        <v>15358</v>
      </c>
      <c r="H2013" s="4">
        <v>11</v>
      </c>
      <c r="I2013" s="4">
        <v>4</v>
      </c>
      <c r="J2013" s="4">
        <v>209</v>
      </c>
      <c r="K2013" s="4">
        <v>218</v>
      </c>
      <c r="L2013" s="4" t="s">
        <v>17282</v>
      </c>
      <c r="M2013" s="4" t="s">
        <v>17283</v>
      </c>
      <c r="N2013" s="4" t="s">
        <v>17284</v>
      </c>
      <c r="O2013" s="4" t="s">
        <v>63</v>
      </c>
      <c r="P2013" s="4"/>
      <c r="Q2013" s="4" t="s">
        <v>63</v>
      </c>
      <c r="R2013" s="4" t="s">
        <v>63</v>
      </c>
      <c r="S2013" s="4" t="s">
        <v>63</v>
      </c>
      <c r="T2013" s="4" t="s">
        <v>63</v>
      </c>
      <c r="U2013" s="4"/>
      <c r="V2013" s="4"/>
      <c r="W2013" s="4"/>
      <c r="X2013" s="4" t="s">
        <v>63</v>
      </c>
      <c r="Y2013" s="4" t="s">
        <v>17285</v>
      </c>
      <c r="Z2013" s="4" t="s">
        <v>63</v>
      </c>
      <c r="AA2013" s="4" t="s">
        <v>63</v>
      </c>
      <c r="AB2013" s="4" t="s">
        <v>17286</v>
      </c>
      <c r="AC2013" s="4" t="s">
        <v>67</v>
      </c>
      <c r="AD2013" s="4" t="s">
        <v>63</v>
      </c>
      <c r="AE2013" s="4" t="s">
        <v>63</v>
      </c>
      <c r="AF2013" s="4" t="s">
        <v>63</v>
      </c>
      <c r="AG2013" s="4" t="s">
        <v>63</v>
      </c>
      <c r="AH2013" s="4" t="s">
        <v>63</v>
      </c>
      <c r="AI2013" s="4" t="s">
        <v>63</v>
      </c>
      <c r="AJ2013" s="4" t="s">
        <v>63</v>
      </c>
      <c r="AK2013" s="4" t="s">
        <v>63</v>
      </c>
      <c r="AL2013" s="4" t="s">
        <v>63</v>
      </c>
      <c r="AM2013" s="4" t="s">
        <v>17280</v>
      </c>
      <c r="AN2013" s="4" t="s">
        <v>63</v>
      </c>
      <c r="AO2013" s="4" t="s">
        <v>63</v>
      </c>
      <c r="AP2013" s="4" t="s">
        <v>63</v>
      </c>
      <c r="AQ2013" s="4" t="s">
        <v>63</v>
      </c>
      <c r="AR2013" s="4" t="s">
        <v>63</v>
      </c>
      <c r="AS2013" s="4" t="s">
        <v>63</v>
      </c>
      <c r="AT2013" s="4" t="s">
        <v>63</v>
      </c>
      <c r="AU2013" s="4" t="s">
        <v>63</v>
      </c>
      <c r="AV2013" s="4" t="s">
        <v>63</v>
      </c>
      <c r="AW2013" s="4" t="s">
        <v>63</v>
      </c>
      <c r="AX2013" s="4" t="s">
        <v>63</v>
      </c>
      <c r="AY2013" s="4" t="s">
        <v>63</v>
      </c>
      <c r="AZ2013" s="4" t="s">
        <v>63</v>
      </c>
      <c r="BA2013" s="4" t="s">
        <v>63</v>
      </c>
      <c r="BB2013" s="4" t="s">
        <v>63</v>
      </c>
      <c r="BC2013" s="4" t="s">
        <v>63</v>
      </c>
      <c r="BD2013" s="4" t="s">
        <v>63</v>
      </c>
      <c r="BE2013" s="4" t="s">
        <v>63</v>
      </c>
      <c r="BF2013" s="4" t="s">
        <v>63</v>
      </c>
    </row>
    <row r="2014" spans="1:58">
      <c r="A2014" s="4" t="s">
        <v>58</v>
      </c>
      <c r="B2014" s="4" t="s">
        <v>17287</v>
      </c>
      <c r="C2014" s="4" t="s">
        <v>17288</v>
      </c>
      <c r="D2014" s="4" t="s">
        <v>371</v>
      </c>
      <c r="E2014" s="4" t="s">
        <v>63</v>
      </c>
      <c r="F2014" s="4">
        <v>2017</v>
      </c>
      <c r="G2014" s="4">
        <v>1</v>
      </c>
      <c r="H2014" s="4">
        <v>32</v>
      </c>
      <c r="I2014" s="4">
        <v>2</v>
      </c>
      <c r="J2014" s="4" t="s">
        <v>17289</v>
      </c>
      <c r="K2014" s="4" t="s">
        <v>63</v>
      </c>
      <c r="L2014" s="4" t="s">
        <v>17290</v>
      </c>
      <c r="M2014" s="4" t="s">
        <v>17291</v>
      </c>
      <c r="N2014" s="4" t="s">
        <v>17292</v>
      </c>
      <c r="O2014" s="4" t="s">
        <v>63</v>
      </c>
      <c r="P2014" s="4"/>
      <c r="Q2014" s="4" t="s">
        <v>63</v>
      </c>
      <c r="R2014" s="4" t="s">
        <v>63</v>
      </c>
      <c r="S2014" s="4" t="s">
        <v>63</v>
      </c>
      <c r="T2014" s="4" t="s">
        <v>63</v>
      </c>
      <c r="U2014" s="4"/>
      <c r="V2014" s="4"/>
      <c r="W2014" s="4"/>
      <c r="X2014" s="4" t="s">
        <v>63</v>
      </c>
      <c r="Y2014" s="4" t="s">
        <v>375</v>
      </c>
      <c r="Z2014" s="4" t="s">
        <v>63</v>
      </c>
      <c r="AA2014" s="4" t="s">
        <v>63</v>
      </c>
      <c r="AB2014" s="4" t="s">
        <v>63</v>
      </c>
      <c r="AC2014" s="4" t="s">
        <v>67</v>
      </c>
      <c r="AD2014" s="4" t="s">
        <v>63</v>
      </c>
      <c r="AE2014" s="4" t="s">
        <v>63</v>
      </c>
      <c r="AF2014" s="4" t="s">
        <v>63</v>
      </c>
      <c r="AG2014" s="4" t="s">
        <v>63</v>
      </c>
      <c r="AH2014" s="4" t="s">
        <v>63</v>
      </c>
      <c r="AI2014" s="4" t="s">
        <v>63</v>
      </c>
      <c r="AJ2014" s="4" t="s">
        <v>63</v>
      </c>
      <c r="AK2014" s="4" t="s">
        <v>63</v>
      </c>
      <c r="AL2014" s="4" t="s">
        <v>63</v>
      </c>
      <c r="AM2014" s="4" t="s">
        <v>17288</v>
      </c>
      <c r="AN2014" s="4" t="s">
        <v>63</v>
      </c>
      <c r="AO2014" s="4" t="s">
        <v>63</v>
      </c>
      <c r="AP2014" s="4" t="s">
        <v>63</v>
      </c>
      <c r="AQ2014" s="4" t="s">
        <v>63</v>
      </c>
      <c r="AR2014" s="4" t="s">
        <v>63</v>
      </c>
      <c r="AS2014" s="4" t="s">
        <v>63</v>
      </c>
      <c r="AT2014" s="4" t="s">
        <v>63</v>
      </c>
      <c r="AU2014" s="4" t="s">
        <v>63</v>
      </c>
      <c r="AV2014" s="4" t="s">
        <v>63</v>
      </c>
      <c r="AW2014" s="4" t="s">
        <v>63</v>
      </c>
      <c r="AX2014" s="4" t="s">
        <v>63</v>
      </c>
      <c r="AY2014" s="4" t="s">
        <v>63</v>
      </c>
      <c r="AZ2014" s="4" t="s">
        <v>63</v>
      </c>
      <c r="BA2014" s="4" t="s">
        <v>63</v>
      </c>
      <c r="BB2014" s="4" t="s">
        <v>63</v>
      </c>
      <c r="BC2014" s="4" t="s">
        <v>63</v>
      </c>
      <c r="BD2014" s="4" t="s">
        <v>63</v>
      </c>
      <c r="BE2014" s="4" t="s">
        <v>63</v>
      </c>
      <c r="BF2014" s="4" t="s">
        <v>63</v>
      </c>
    </row>
    <row r="2015" spans="1:58">
      <c r="A2015" s="4" t="s">
        <v>58</v>
      </c>
      <c r="B2015" s="4" t="s">
        <v>17293</v>
      </c>
      <c r="C2015" s="4" t="s">
        <v>17294</v>
      </c>
      <c r="D2015" s="4" t="s">
        <v>938</v>
      </c>
      <c r="E2015" s="4" t="s">
        <v>63</v>
      </c>
      <c r="F2015" s="4">
        <v>2017</v>
      </c>
      <c r="G2015" s="4">
        <v>1</v>
      </c>
      <c r="H2015" s="4">
        <v>26</v>
      </c>
      <c r="I2015" s="4">
        <v>3</v>
      </c>
      <c r="J2015" s="4">
        <v>279</v>
      </c>
      <c r="K2015" s="4">
        <v>280</v>
      </c>
      <c r="L2015" s="4" t="s">
        <v>17295</v>
      </c>
      <c r="M2015" s="4" t="s">
        <v>17296</v>
      </c>
      <c r="N2015" s="4" t="s">
        <v>17297</v>
      </c>
      <c r="O2015" s="4" t="s">
        <v>63</v>
      </c>
      <c r="P2015" s="4"/>
      <c r="Q2015" s="4" t="s">
        <v>63</v>
      </c>
      <c r="R2015" s="4" t="s">
        <v>63</v>
      </c>
      <c r="S2015" s="4" t="s">
        <v>63</v>
      </c>
      <c r="T2015" s="4" t="s">
        <v>63</v>
      </c>
      <c r="U2015" s="4"/>
      <c r="V2015" s="4"/>
      <c r="W2015" s="4"/>
      <c r="X2015" s="4" t="s">
        <v>63</v>
      </c>
      <c r="Y2015" s="4" t="s">
        <v>2500</v>
      </c>
      <c r="Z2015" s="4" t="s">
        <v>63</v>
      </c>
      <c r="AA2015" s="4" t="s">
        <v>63</v>
      </c>
      <c r="AB2015" s="4" t="s">
        <v>63</v>
      </c>
      <c r="AC2015" s="4" t="s">
        <v>67</v>
      </c>
      <c r="AD2015" s="4" t="s">
        <v>63</v>
      </c>
      <c r="AE2015" s="4" t="s">
        <v>63</v>
      </c>
      <c r="AF2015" s="4" t="s">
        <v>63</v>
      </c>
      <c r="AG2015" s="4" t="s">
        <v>63</v>
      </c>
      <c r="AH2015" s="4" t="s">
        <v>63</v>
      </c>
      <c r="AI2015" s="4" t="s">
        <v>17298</v>
      </c>
      <c r="AJ2015" s="4" t="s">
        <v>63</v>
      </c>
      <c r="AK2015" s="4" t="s">
        <v>63</v>
      </c>
      <c r="AL2015" s="4" t="s">
        <v>63</v>
      </c>
      <c r="AM2015" s="4" t="s">
        <v>17294</v>
      </c>
      <c r="AN2015" s="4" t="s">
        <v>63</v>
      </c>
      <c r="AO2015" s="4" t="s">
        <v>63</v>
      </c>
      <c r="AP2015" s="4" t="s">
        <v>63</v>
      </c>
      <c r="AQ2015" s="4" t="s">
        <v>63</v>
      </c>
      <c r="AR2015" s="4" t="s">
        <v>63</v>
      </c>
      <c r="AS2015" s="4" t="s">
        <v>63</v>
      </c>
      <c r="AT2015" s="4" t="s">
        <v>63</v>
      </c>
      <c r="AU2015" s="4" t="s">
        <v>63</v>
      </c>
      <c r="AV2015" s="4" t="s">
        <v>63</v>
      </c>
      <c r="AW2015" s="4" t="s">
        <v>63</v>
      </c>
      <c r="AX2015" s="4" t="s">
        <v>63</v>
      </c>
      <c r="AY2015" s="4" t="s">
        <v>63</v>
      </c>
      <c r="AZ2015" s="4" t="s">
        <v>63</v>
      </c>
      <c r="BA2015" s="4" t="s">
        <v>63</v>
      </c>
      <c r="BB2015" s="4" t="s">
        <v>63</v>
      </c>
      <c r="BC2015" s="4" t="s">
        <v>63</v>
      </c>
      <c r="BD2015" s="4" t="s">
        <v>63</v>
      </c>
      <c r="BE2015" s="4" t="s">
        <v>63</v>
      </c>
      <c r="BF2015" s="4" t="s">
        <v>63</v>
      </c>
    </row>
    <row r="2016" spans="1:58">
      <c r="A2016" s="4" t="s">
        <v>58</v>
      </c>
      <c r="B2016" s="4" t="s">
        <v>17299</v>
      </c>
      <c r="C2016" s="4" t="s">
        <v>17300</v>
      </c>
      <c r="D2016" s="4" t="s">
        <v>15515</v>
      </c>
      <c r="E2016" s="4" t="s">
        <v>15516</v>
      </c>
      <c r="F2016" s="4">
        <v>1991</v>
      </c>
      <c r="G2016" s="4" t="s">
        <v>63</v>
      </c>
      <c r="H2016" s="4">
        <v>266</v>
      </c>
      <c r="I2016" s="4">
        <v>22</v>
      </c>
      <c r="J2016" s="4">
        <v>3168</v>
      </c>
      <c r="K2016" s="4">
        <v>3171</v>
      </c>
      <c r="L2016" s="4" t="s">
        <v>17301</v>
      </c>
      <c r="M2016" s="4" t="s">
        <v>17302</v>
      </c>
      <c r="N2016" s="4" t="s">
        <v>17303</v>
      </c>
      <c r="O2016" s="4" t="s">
        <v>63</v>
      </c>
      <c r="P2016" s="4"/>
      <c r="Q2016" s="4" t="s">
        <v>63</v>
      </c>
      <c r="R2016" s="4" t="s">
        <v>63</v>
      </c>
      <c r="S2016" s="4" t="s">
        <v>63</v>
      </c>
      <c r="T2016" s="4" t="s">
        <v>63</v>
      </c>
      <c r="U2016" s="4"/>
      <c r="V2016" s="4"/>
      <c r="W2016" s="4"/>
      <c r="X2016" s="4" t="s">
        <v>63</v>
      </c>
      <c r="Y2016" s="4" t="s">
        <v>208</v>
      </c>
      <c r="Z2016" s="4" t="s">
        <v>63</v>
      </c>
      <c r="AA2016" s="4" t="s">
        <v>63</v>
      </c>
      <c r="AB2016" s="4">
        <v>1992033927</v>
      </c>
      <c r="AC2016" s="4" t="s">
        <v>67</v>
      </c>
      <c r="AD2016" s="4" t="s">
        <v>63</v>
      </c>
      <c r="AE2016" s="4" t="s">
        <v>63</v>
      </c>
      <c r="AF2016" s="4" t="s">
        <v>63</v>
      </c>
      <c r="AG2016" s="4" t="s">
        <v>17304</v>
      </c>
      <c r="AH2016" s="4" t="s">
        <v>63</v>
      </c>
      <c r="AI2016" s="4" t="s">
        <v>17305</v>
      </c>
      <c r="AJ2016" s="4" t="s">
        <v>63</v>
      </c>
      <c r="AK2016" s="4" t="s">
        <v>63</v>
      </c>
      <c r="AL2016" s="4" t="s">
        <v>63</v>
      </c>
      <c r="AM2016" s="4" t="s">
        <v>17306</v>
      </c>
      <c r="AN2016" s="4" t="s">
        <v>63</v>
      </c>
      <c r="AO2016" s="4" t="s">
        <v>63</v>
      </c>
      <c r="AP2016" s="4" t="s">
        <v>63</v>
      </c>
      <c r="AQ2016" s="4" t="s">
        <v>63</v>
      </c>
      <c r="AR2016" s="4" t="s">
        <v>63</v>
      </c>
      <c r="AS2016" s="4" t="s">
        <v>63</v>
      </c>
      <c r="AT2016" s="4" t="s">
        <v>63</v>
      </c>
      <c r="AU2016" s="4" t="s">
        <v>63</v>
      </c>
      <c r="AV2016" s="4" t="s">
        <v>63</v>
      </c>
      <c r="AW2016" s="4" t="s">
        <v>63</v>
      </c>
      <c r="AX2016" s="4" t="s">
        <v>63</v>
      </c>
      <c r="AY2016" s="4" t="s">
        <v>63</v>
      </c>
      <c r="AZ2016" s="4" t="s">
        <v>63</v>
      </c>
      <c r="BA2016" s="4" t="s">
        <v>63</v>
      </c>
      <c r="BB2016" s="4" t="s">
        <v>63</v>
      </c>
      <c r="BC2016" s="4" t="s">
        <v>63</v>
      </c>
      <c r="BD2016" s="4" t="s">
        <v>63</v>
      </c>
      <c r="BE2016" s="4" t="s">
        <v>63</v>
      </c>
      <c r="BF2016" s="4" t="s">
        <v>63</v>
      </c>
    </row>
    <row r="2017" spans="1:58">
      <c r="A2017" s="4" t="s">
        <v>58</v>
      </c>
      <c r="B2017" s="4" t="s">
        <v>17307</v>
      </c>
      <c r="C2017" s="4" t="s">
        <v>17308</v>
      </c>
      <c r="D2017" s="4" t="s">
        <v>17309</v>
      </c>
      <c r="E2017" s="4" t="s">
        <v>63</v>
      </c>
      <c r="F2017" s="4">
        <v>1974</v>
      </c>
      <c r="G2017" s="4" t="s">
        <v>63</v>
      </c>
      <c r="H2017" s="4">
        <v>35</v>
      </c>
      <c r="I2017" s="4">
        <v>2</v>
      </c>
      <c r="J2017" s="4">
        <v>565</v>
      </c>
      <c r="K2017" s="4">
        <v>576</v>
      </c>
      <c r="L2017" s="4" t="s">
        <v>17310</v>
      </c>
      <c r="M2017" s="4" t="s">
        <v>17311</v>
      </c>
      <c r="N2017" s="4" t="s">
        <v>17312</v>
      </c>
      <c r="O2017" s="4" t="s">
        <v>63</v>
      </c>
      <c r="P2017" s="4"/>
      <c r="Q2017" s="4" t="s">
        <v>63</v>
      </c>
      <c r="R2017" s="4" t="s">
        <v>63</v>
      </c>
      <c r="S2017" s="4" t="s">
        <v>63</v>
      </c>
      <c r="T2017" s="4" t="s">
        <v>63</v>
      </c>
      <c r="U2017" s="4"/>
      <c r="V2017" s="4"/>
      <c r="W2017" s="4"/>
      <c r="X2017" s="4" t="s">
        <v>63</v>
      </c>
      <c r="Y2017" s="4" t="s">
        <v>63</v>
      </c>
      <c r="Z2017" s="4" t="s">
        <v>63</v>
      </c>
      <c r="AA2017" s="4" t="s">
        <v>63</v>
      </c>
      <c r="AB2017" s="4">
        <v>1975053988</v>
      </c>
      <c r="AC2017" s="4" t="s">
        <v>67</v>
      </c>
      <c r="AD2017" s="4" t="s">
        <v>63</v>
      </c>
      <c r="AE2017" s="4" t="s">
        <v>63</v>
      </c>
      <c r="AF2017" s="4" t="s">
        <v>63</v>
      </c>
      <c r="AG2017" s="4" t="s">
        <v>17313</v>
      </c>
      <c r="AH2017" s="4" t="s">
        <v>63</v>
      </c>
      <c r="AI2017" s="4" t="s">
        <v>63</v>
      </c>
      <c r="AJ2017" s="4" t="s">
        <v>63</v>
      </c>
      <c r="AK2017" s="4" t="s">
        <v>63</v>
      </c>
      <c r="AL2017" s="4" t="s">
        <v>63</v>
      </c>
      <c r="AM2017" s="4" t="s">
        <v>17314</v>
      </c>
      <c r="AN2017" s="4" t="s">
        <v>63</v>
      </c>
      <c r="AO2017" s="4" t="s">
        <v>63</v>
      </c>
      <c r="AP2017" s="4" t="s">
        <v>63</v>
      </c>
      <c r="AQ2017" s="4" t="s">
        <v>63</v>
      </c>
      <c r="AR2017" s="4" t="s">
        <v>63</v>
      </c>
      <c r="AS2017" s="4" t="s">
        <v>63</v>
      </c>
      <c r="AT2017" s="4" t="s">
        <v>63</v>
      </c>
      <c r="AU2017" s="4" t="s">
        <v>63</v>
      </c>
      <c r="AV2017" s="4" t="s">
        <v>63</v>
      </c>
      <c r="AW2017" s="4" t="s">
        <v>63</v>
      </c>
      <c r="AX2017" s="4" t="s">
        <v>63</v>
      </c>
      <c r="AY2017" s="4" t="s">
        <v>63</v>
      </c>
      <c r="AZ2017" s="4" t="s">
        <v>63</v>
      </c>
      <c r="BA2017" s="4" t="s">
        <v>63</v>
      </c>
      <c r="BB2017" s="4" t="s">
        <v>63</v>
      </c>
      <c r="BC2017" s="4" t="s">
        <v>63</v>
      </c>
      <c r="BD2017" s="4" t="s">
        <v>63</v>
      </c>
      <c r="BE2017" s="4" t="s">
        <v>63</v>
      </c>
      <c r="BF2017" s="4" t="s">
        <v>63</v>
      </c>
    </row>
    <row r="2018" spans="1:58">
      <c r="A2018" s="4" t="s">
        <v>58</v>
      </c>
      <c r="B2018" s="4" t="s">
        <v>17315</v>
      </c>
      <c r="C2018" s="4" t="s">
        <v>17316</v>
      </c>
      <c r="D2018" s="4" t="s">
        <v>16677</v>
      </c>
      <c r="E2018" s="4" t="s">
        <v>63</v>
      </c>
      <c r="F2018" s="4">
        <v>2013</v>
      </c>
      <c r="G2018" s="4">
        <v>1</v>
      </c>
      <c r="H2018" s="4">
        <v>31</v>
      </c>
      <c r="I2018" s="4">
        <v>1</v>
      </c>
      <c r="J2018" s="4">
        <v>38</v>
      </c>
      <c r="K2018" s="4">
        <v>49</v>
      </c>
      <c r="L2018" s="4" t="s">
        <v>17317</v>
      </c>
      <c r="M2018" s="4" t="s">
        <v>17318</v>
      </c>
      <c r="N2018" s="4" t="s">
        <v>17319</v>
      </c>
      <c r="O2018" s="4" t="s">
        <v>63</v>
      </c>
      <c r="P2018" s="4"/>
      <c r="Q2018" s="4" t="s">
        <v>63</v>
      </c>
      <c r="R2018" s="4" t="s">
        <v>63</v>
      </c>
      <c r="S2018" s="4" t="s">
        <v>63</v>
      </c>
      <c r="T2018" s="4" t="s">
        <v>63</v>
      </c>
      <c r="U2018" s="4"/>
      <c r="V2018" s="4"/>
      <c r="W2018" s="4"/>
      <c r="X2018" s="4" t="s">
        <v>63</v>
      </c>
      <c r="Y2018" s="4" t="s">
        <v>17320</v>
      </c>
      <c r="Z2018" s="4" t="s">
        <v>63</v>
      </c>
      <c r="AA2018" s="4" t="s">
        <v>63</v>
      </c>
      <c r="AB2018" s="4" t="s">
        <v>17321</v>
      </c>
      <c r="AC2018" s="4" t="s">
        <v>67</v>
      </c>
      <c r="AD2018" s="4" t="s">
        <v>63</v>
      </c>
      <c r="AE2018" s="4" t="s">
        <v>63</v>
      </c>
      <c r="AF2018" s="4" t="s">
        <v>63</v>
      </c>
      <c r="AG2018" s="4" t="s">
        <v>63</v>
      </c>
      <c r="AH2018" s="4" t="s">
        <v>63</v>
      </c>
      <c r="AI2018" s="4" t="s">
        <v>17322</v>
      </c>
      <c r="AJ2018" s="4" t="s">
        <v>63</v>
      </c>
      <c r="AK2018" s="4" t="s">
        <v>63</v>
      </c>
      <c r="AL2018" s="4" t="s">
        <v>63</v>
      </c>
      <c r="AM2018" s="4" t="s">
        <v>17316</v>
      </c>
      <c r="AN2018" s="4" t="s">
        <v>63</v>
      </c>
      <c r="AO2018" s="4" t="s">
        <v>63</v>
      </c>
      <c r="AP2018" s="4" t="s">
        <v>63</v>
      </c>
      <c r="AQ2018" s="4" t="s">
        <v>63</v>
      </c>
      <c r="AR2018" s="4" t="s">
        <v>63</v>
      </c>
      <c r="AS2018" s="4" t="s">
        <v>63</v>
      </c>
      <c r="AT2018" s="4" t="s">
        <v>63</v>
      </c>
      <c r="AU2018" s="4" t="s">
        <v>63</v>
      </c>
      <c r="AV2018" s="4" t="s">
        <v>63</v>
      </c>
      <c r="AW2018" s="4" t="s">
        <v>63</v>
      </c>
      <c r="AX2018" s="4" t="s">
        <v>63</v>
      </c>
      <c r="AY2018" s="4" t="s">
        <v>63</v>
      </c>
      <c r="AZ2018" s="4" t="s">
        <v>63</v>
      </c>
      <c r="BA2018" s="4" t="s">
        <v>63</v>
      </c>
      <c r="BB2018" s="4" t="s">
        <v>63</v>
      </c>
      <c r="BC2018" s="4" t="s">
        <v>63</v>
      </c>
      <c r="BD2018" s="4" t="s">
        <v>63</v>
      </c>
      <c r="BE2018" s="4" t="s">
        <v>63</v>
      </c>
      <c r="BF2018" s="4" t="s">
        <v>63</v>
      </c>
    </row>
    <row r="2019" spans="1:58">
      <c r="A2019" s="4" t="s">
        <v>58</v>
      </c>
      <c r="B2019" s="4" t="s">
        <v>17323</v>
      </c>
      <c r="C2019" s="4" t="s">
        <v>17324</v>
      </c>
      <c r="D2019" s="4" t="s">
        <v>3142</v>
      </c>
      <c r="E2019" s="4" t="s">
        <v>3143</v>
      </c>
      <c r="F2019" s="4">
        <v>1991</v>
      </c>
      <c r="G2019" s="4" t="s">
        <v>63</v>
      </c>
      <c r="H2019" s="4">
        <v>151</v>
      </c>
      <c r="I2019" s="4">
        <v>3</v>
      </c>
      <c r="J2019" s="4">
        <v>561</v>
      </c>
      <c r="K2019" s="4">
        <v>564</v>
      </c>
      <c r="L2019" s="4" t="s">
        <v>17325</v>
      </c>
      <c r="M2019" s="4" t="s">
        <v>4312</v>
      </c>
      <c r="N2019" s="4" t="s">
        <v>17326</v>
      </c>
      <c r="O2019" s="4" t="s">
        <v>63</v>
      </c>
      <c r="P2019" s="4"/>
      <c r="Q2019" s="4" t="s">
        <v>63</v>
      </c>
      <c r="R2019" s="4" t="s">
        <v>63</v>
      </c>
      <c r="S2019" s="4" t="s">
        <v>63</v>
      </c>
      <c r="T2019" s="4" t="s">
        <v>63</v>
      </c>
      <c r="U2019" s="4"/>
      <c r="V2019" s="4"/>
      <c r="W2019" s="4"/>
      <c r="X2019" s="4" t="s">
        <v>63</v>
      </c>
      <c r="Y2019" s="5">
        <v>41723</v>
      </c>
      <c r="Z2019" s="4" t="s">
        <v>63</v>
      </c>
      <c r="AA2019" s="4" t="s">
        <v>63</v>
      </c>
      <c r="AB2019" s="4">
        <v>1991118710</v>
      </c>
      <c r="AC2019" s="4" t="s">
        <v>67</v>
      </c>
      <c r="AD2019" s="4" t="s">
        <v>63</v>
      </c>
      <c r="AE2019" s="4" t="s">
        <v>63</v>
      </c>
      <c r="AF2019" s="4" t="s">
        <v>63</v>
      </c>
      <c r="AG2019" s="4" t="s">
        <v>17327</v>
      </c>
      <c r="AH2019" s="4" t="s">
        <v>63</v>
      </c>
      <c r="AI2019" s="4" t="s">
        <v>17328</v>
      </c>
      <c r="AJ2019" s="4" t="s">
        <v>63</v>
      </c>
      <c r="AK2019" s="4" t="s">
        <v>63</v>
      </c>
      <c r="AL2019" s="4" t="s">
        <v>63</v>
      </c>
      <c r="AM2019" s="4" t="s">
        <v>17329</v>
      </c>
      <c r="AN2019" s="4" t="s">
        <v>63</v>
      </c>
      <c r="AO2019" s="4" t="s">
        <v>63</v>
      </c>
      <c r="AP2019" s="4" t="s">
        <v>63</v>
      </c>
      <c r="AQ2019" s="4" t="s">
        <v>63</v>
      </c>
      <c r="AR2019" s="4" t="s">
        <v>63</v>
      </c>
      <c r="AS2019" s="4" t="s">
        <v>63</v>
      </c>
      <c r="AT2019" s="4" t="s">
        <v>63</v>
      </c>
      <c r="AU2019" s="4" t="s">
        <v>63</v>
      </c>
      <c r="AV2019" s="4" t="s">
        <v>63</v>
      </c>
      <c r="AW2019" s="4" t="s">
        <v>63</v>
      </c>
      <c r="AX2019" s="4" t="s">
        <v>63</v>
      </c>
      <c r="AY2019" s="4" t="s">
        <v>63</v>
      </c>
      <c r="AZ2019" s="4" t="s">
        <v>63</v>
      </c>
      <c r="BA2019" s="4" t="s">
        <v>63</v>
      </c>
      <c r="BB2019" s="4" t="s">
        <v>63</v>
      </c>
      <c r="BC2019" s="4" t="s">
        <v>63</v>
      </c>
      <c r="BD2019" s="4" t="s">
        <v>63</v>
      </c>
      <c r="BE2019" s="4" t="s">
        <v>63</v>
      </c>
      <c r="BF2019" s="4" t="s">
        <v>63</v>
      </c>
    </row>
    <row r="2020" spans="1:58">
      <c r="A2020" s="4" t="s">
        <v>58</v>
      </c>
      <c r="B2020" s="4" t="s">
        <v>17330</v>
      </c>
      <c r="C2020" s="4" t="s">
        <v>17331</v>
      </c>
      <c r="D2020" s="4" t="s">
        <v>15263</v>
      </c>
      <c r="E2020" s="4" t="s">
        <v>15264</v>
      </c>
      <c r="F2020" s="4">
        <v>2015</v>
      </c>
      <c r="G2020" s="4">
        <v>1</v>
      </c>
      <c r="H2020" s="4">
        <v>156</v>
      </c>
      <c r="I2020" s="4" t="s">
        <v>63</v>
      </c>
      <c r="J2020" s="4" t="s">
        <v>16717</v>
      </c>
      <c r="K2020" s="4" t="s">
        <v>63</v>
      </c>
      <c r="L2020" s="4" t="s">
        <v>17332</v>
      </c>
      <c r="M2020" s="4" t="s">
        <v>17333</v>
      </c>
      <c r="N2020" s="4" t="s">
        <v>17334</v>
      </c>
      <c r="O2020" s="4" t="s">
        <v>63</v>
      </c>
      <c r="P2020" s="4"/>
      <c r="Q2020" s="4" t="s">
        <v>63</v>
      </c>
      <c r="R2020" s="4" t="s">
        <v>63</v>
      </c>
      <c r="S2020" s="4" t="s">
        <v>63</v>
      </c>
      <c r="T2020" s="4" t="s">
        <v>63</v>
      </c>
      <c r="U2020" s="4"/>
      <c r="V2020" s="4"/>
      <c r="W2020" s="4"/>
      <c r="X2020" s="4" t="s">
        <v>63</v>
      </c>
      <c r="Y2020" s="4" t="s">
        <v>4942</v>
      </c>
      <c r="Z2020" s="4" t="s">
        <v>63</v>
      </c>
      <c r="AA2020" s="4" t="s">
        <v>63</v>
      </c>
      <c r="AB2020" s="4" t="s">
        <v>63</v>
      </c>
      <c r="AC2020" s="4" t="s">
        <v>67</v>
      </c>
      <c r="AD2020" s="4" t="s">
        <v>63</v>
      </c>
      <c r="AE2020" s="4" t="s">
        <v>63</v>
      </c>
      <c r="AF2020" s="4" t="s">
        <v>63</v>
      </c>
      <c r="AG2020" s="4" t="s">
        <v>63</v>
      </c>
      <c r="AH2020" s="4" t="s">
        <v>63</v>
      </c>
      <c r="AI2020" s="4" t="s">
        <v>17335</v>
      </c>
      <c r="AJ2020" s="4" t="s">
        <v>63</v>
      </c>
      <c r="AK2020" s="4" t="s">
        <v>63</v>
      </c>
      <c r="AL2020" s="4" t="s">
        <v>63</v>
      </c>
      <c r="AM2020" s="4" t="s">
        <v>17331</v>
      </c>
      <c r="AN2020" s="4" t="s">
        <v>63</v>
      </c>
      <c r="AO2020" s="4" t="s">
        <v>63</v>
      </c>
      <c r="AP2020" s="4" t="s">
        <v>63</v>
      </c>
      <c r="AQ2020" s="4" t="s">
        <v>63</v>
      </c>
      <c r="AR2020" s="4" t="s">
        <v>63</v>
      </c>
      <c r="AS2020" s="4" t="s">
        <v>63</v>
      </c>
      <c r="AT2020" s="4" t="s">
        <v>63</v>
      </c>
      <c r="AU2020" s="4" t="s">
        <v>63</v>
      </c>
      <c r="AV2020" s="4" t="s">
        <v>63</v>
      </c>
      <c r="AW2020" s="4" t="s">
        <v>63</v>
      </c>
      <c r="AX2020" s="4" t="s">
        <v>63</v>
      </c>
      <c r="AY2020" s="4" t="s">
        <v>63</v>
      </c>
      <c r="AZ2020" s="4" t="s">
        <v>63</v>
      </c>
      <c r="BA2020" s="4" t="s">
        <v>63</v>
      </c>
      <c r="BB2020" s="4" t="s">
        <v>63</v>
      </c>
      <c r="BC2020" s="4" t="s">
        <v>63</v>
      </c>
      <c r="BD2020" s="4" t="s">
        <v>63</v>
      </c>
      <c r="BE2020" s="4" t="s">
        <v>63</v>
      </c>
      <c r="BF2020" s="4" t="s">
        <v>63</v>
      </c>
    </row>
    <row r="2021" spans="1:58">
      <c r="A2021" s="4" t="s">
        <v>58</v>
      </c>
      <c r="B2021" s="4" t="s">
        <v>17336</v>
      </c>
      <c r="C2021" s="4" t="s">
        <v>17337</v>
      </c>
      <c r="D2021" s="4" t="s">
        <v>17338</v>
      </c>
      <c r="E2021" s="4" t="s">
        <v>63</v>
      </c>
      <c r="F2021" s="4">
        <v>1975</v>
      </c>
      <c r="G2021" s="4" t="s">
        <v>63</v>
      </c>
      <c r="H2021" s="4">
        <v>28</v>
      </c>
      <c r="I2021" s="4">
        <v>13</v>
      </c>
      <c r="J2021" s="4">
        <v>937</v>
      </c>
      <c r="K2021" s="4">
        <v>938</v>
      </c>
      <c r="L2021" s="4" t="s">
        <v>17339</v>
      </c>
      <c r="M2021" s="4" t="s">
        <v>63</v>
      </c>
      <c r="N2021" s="4" t="s">
        <v>17340</v>
      </c>
      <c r="O2021" s="4" t="s">
        <v>63</v>
      </c>
      <c r="P2021" s="4"/>
      <c r="Q2021" s="4" t="s">
        <v>63</v>
      </c>
      <c r="R2021" s="4" t="s">
        <v>63</v>
      </c>
      <c r="S2021" s="4" t="s">
        <v>63</v>
      </c>
      <c r="T2021" s="4" t="s">
        <v>63</v>
      </c>
      <c r="U2021" s="4"/>
      <c r="V2021" s="4"/>
      <c r="W2021" s="4"/>
      <c r="X2021" s="4" t="s">
        <v>63</v>
      </c>
      <c r="Y2021" s="4" t="s">
        <v>63</v>
      </c>
      <c r="Z2021" s="4" t="s">
        <v>63</v>
      </c>
      <c r="AA2021" s="4" t="s">
        <v>63</v>
      </c>
      <c r="AB2021" s="4" t="s">
        <v>17341</v>
      </c>
      <c r="AC2021" s="4" t="s">
        <v>1371</v>
      </c>
      <c r="AD2021" s="4" t="s">
        <v>63</v>
      </c>
      <c r="AE2021" s="4" t="s">
        <v>63</v>
      </c>
      <c r="AF2021" s="4" t="s">
        <v>63</v>
      </c>
      <c r="AG2021" s="4" t="s">
        <v>63</v>
      </c>
      <c r="AH2021" s="4" t="s">
        <v>63</v>
      </c>
      <c r="AI2021" s="4" t="s">
        <v>63</v>
      </c>
      <c r="AJ2021" s="4" t="s">
        <v>63</v>
      </c>
      <c r="AK2021" s="4" t="s">
        <v>63</v>
      </c>
      <c r="AL2021" s="4" t="s">
        <v>63</v>
      </c>
      <c r="AM2021" s="4" t="s">
        <v>17337</v>
      </c>
      <c r="AN2021" s="4" t="s">
        <v>63</v>
      </c>
      <c r="AO2021" s="4" t="s">
        <v>63</v>
      </c>
      <c r="AP2021" s="4" t="s">
        <v>63</v>
      </c>
      <c r="AQ2021" s="4" t="s">
        <v>63</v>
      </c>
      <c r="AR2021" s="4" t="s">
        <v>63</v>
      </c>
      <c r="AS2021" s="4" t="s">
        <v>63</v>
      </c>
      <c r="AT2021" s="4" t="s">
        <v>63</v>
      </c>
      <c r="AU2021" s="4" t="s">
        <v>63</v>
      </c>
      <c r="AV2021" s="4" t="s">
        <v>63</v>
      </c>
      <c r="AW2021" s="4" t="s">
        <v>63</v>
      </c>
      <c r="AX2021" s="4" t="s">
        <v>63</v>
      </c>
      <c r="AY2021" s="4" t="s">
        <v>63</v>
      </c>
      <c r="AZ2021" s="4" t="s">
        <v>63</v>
      </c>
      <c r="BA2021" s="4" t="s">
        <v>63</v>
      </c>
      <c r="BB2021" s="4" t="s">
        <v>63</v>
      </c>
      <c r="BC2021" s="4" t="s">
        <v>63</v>
      </c>
      <c r="BD2021" s="4" t="s">
        <v>63</v>
      </c>
      <c r="BE2021" s="4" t="s">
        <v>63</v>
      </c>
      <c r="BF2021" s="4" t="s">
        <v>63</v>
      </c>
    </row>
    <row r="2022" spans="1:58">
      <c r="A2022" s="4" t="s">
        <v>58</v>
      </c>
      <c r="B2022" s="4" t="s">
        <v>17342</v>
      </c>
      <c r="C2022" s="4" t="s">
        <v>17343</v>
      </c>
      <c r="D2022" s="4" t="s">
        <v>17344</v>
      </c>
      <c r="E2022" s="4" t="s">
        <v>63</v>
      </c>
      <c r="F2022" s="4">
        <v>2018</v>
      </c>
      <c r="G2022" s="4" t="s">
        <v>63</v>
      </c>
      <c r="H2022" s="4" t="s">
        <v>17345</v>
      </c>
      <c r="I2022" s="4" t="s">
        <v>63</v>
      </c>
      <c r="J2022" s="4" t="s">
        <v>63</v>
      </c>
      <c r="K2022" s="4" t="s">
        <v>63</v>
      </c>
      <c r="L2022" s="4" t="s">
        <v>17346</v>
      </c>
      <c r="M2022" s="4" t="s">
        <v>17347</v>
      </c>
      <c r="N2022" s="4" t="s">
        <v>17348</v>
      </c>
      <c r="O2022" s="4" t="s">
        <v>63</v>
      </c>
      <c r="P2022" s="4"/>
      <c r="Q2022" s="4" t="s">
        <v>63</v>
      </c>
      <c r="R2022" s="4" t="s">
        <v>63</v>
      </c>
      <c r="S2022" s="4" t="s">
        <v>63</v>
      </c>
      <c r="T2022" s="4" t="s">
        <v>63</v>
      </c>
      <c r="U2022" s="4"/>
      <c r="V2022" s="4"/>
      <c r="W2022" s="4"/>
      <c r="X2022" s="4" t="s">
        <v>63</v>
      </c>
      <c r="Y2022" s="4" t="s">
        <v>17349</v>
      </c>
      <c r="Z2022" s="4" t="s">
        <v>63</v>
      </c>
      <c r="AA2022" s="4" t="s">
        <v>63</v>
      </c>
      <c r="AB2022" s="4" t="s">
        <v>17350</v>
      </c>
      <c r="AC2022" s="4" t="s">
        <v>67</v>
      </c>
      <c r="AD2022" s="4" t="s">
        <v>63</v>
      </c>
      <c r="AE2022" s="4" t="s">
        <v>63</v>
      </c>
      <c r="AF2022" s="4" t="s">
        <v>63</v>
      </c>
      <c r="AG2022" s="4" t="s">
        <v>63</v>
      </c>
      <c r="AH2022" s="4" t="s">
        <v>63</v>
      </c>
      <c r="AI2022" s="4" t="s">
        <v>17351</v>
      </c>
      <c r="AJ2022" s="4" t="s">
        <v>63</v>
      </c>
      <c r="AK2022" s="4" t="s">
        <v>63</v>
      </c>
      <c r="AL2022" s="4" t="s">
        <v>63</v>
      </c>
      <c r="AM2022" s="4" t="s">
        <v>17343</v>
      </c>
      <c r="AN2022" s="4" t="s">
        <v>63</v>
      </c>
      <c r="AO2022" s="4" t="s">
        <v>63</v>
      </c>
      <c r="AP2022" s="4" t="s">
        <v>63</v>
      </c>
      <c r="AQ2022" s="4" t="s">
        <v>63</v>
      </c>
      <c r="AR2022" s="4" t="s">
        <v>63</v>
      </c>
      <c r="AS2022" s="4" t="s">
        <v>63</v>
      </c>
      <c r="AT2022" s="4" t="s">
        <v>63</v>
      </c>
      <c r="AU2022" s="4" t="s">
        <v>63</v>
      </c>
      <c r="AV2022" s="4" t="s">
        <v>63</v>
      </c>
      <c r="AW2022" s="4" t="s">
        <v>63</v>
      </c>
      <c r="AX2022" s="4" t="s">
        <v>63</v>
      </c>
      <c r="AY2022" s="4" t="s">
        <v>63</v>
      </c>
      <c r="AZ2022" s="4" t="s">
        <v>63</v>
      </c>
      <c r="BA2022" s="4" t="s">
        <v>63</v>
      </c>
      <c r="BB2022" s="4" t="s">
        <v>63</v>
      </c>
      <c r="BC2022" s="4" t="s">
        <v>63</v>
      </c>
      <c r="BD2022" s="4" t="s">
        <v>63</v>
      </c>
      <c r="BE2022" s="4" t="s">
        <v>63</v>
      </c>
      <c r="BF2022" s="4" t="s">
        <v>63</v>
      </c>
    </row>
    <row r="2023" spans="1:58">
      <c r="A2023" s="4" t="s">
        <v>58</v>
      </c>
      <c r="B2023" s="4" t="s">
        <v>17352</v>
      </c>
      <c r="C2023" s="4" t="s">
        <v>17353</v>
      </c>
      <c r="D2023" s="4" t="s">
        <v>15589</v>
      </c>
      <c r="E2023" s="4" t="s">
        <v>63</v>
      </c>
      <c r="F2023" s="4">
        <v>2016</v>
      </c>
      <c r="G2023" s="4" t="s">
        <v>15389</v>
      </c>
      <c r="H2023" s="4" t="s">
        <v>16595</v>
      </c>
      <c r="I2023" s="4" t="s">
        <v>63</v>
      </c>
      <c r="J2023" s="4" t="s">
        <v>17354</v>
      </c>
      <c r="K2023" s="4" t="s">
        <v>17355</v>
      </c>
      <c r="L2023" s="4" t="s">
        <v>17356</v>
      </c>
      <c r="M2023" s="4" t="s">
        <v>17357</v>
      </c>
      <c r="N2023" s="4" t="s">
        <v>17358</v>
      </c>
      <c r="O2023" s="4" t="s">
        <v>63</v>
      </c>
      <c r="P2023" s="4"/>
      <c r="Q2023" s="4" t="s">
        <v>63</v>
      </c>
      <c r="R2023" s="4" t="s">
        <v>63</v>
      </c>
      <c r="S2023" s="4" t="s">
        <v>63</v>
      </c>
      <c r="T2023" s="4" t="s">
        <v>63</v>
      </c>
      <c r="U2023" s="4"/>
      <c r="V2023" s="4"/>
      <c r="W2023" s="4"/>
      <c r="X2023" s="4" t="s">
        <v>63</v>
      </c>
      <c r="Y2023" s="4" t="s">
        <v>16600</v>
      </c>
      <c r="Z2023" s="4" t="s">
        <v>63</v>
      </c>
      <c r="AA2023" s="4" t="s">
        <v>63</v>
      </c>
      <c r="AB2023" s="4" t="s">
        <v>63</v>
      </c>
      <c r="AC2023" s="4" t="s">
        <v>67</v>
      </c>
      <c r="AD2023" s="4" t="s">
        <v>63</v>
      </c>
      <c r="AE2023" s="4" t="s">
        <v>63</v>
      </c>
      <c r="AF2023" s="4" t="s">
        <v>63</v>
      </c>
      <c r="AG2023" s="4" t="s">
        <v>63</v>
      </c>
      <c r="AH2023" s="4" t="s">
        <v>63</v>
      </c>
      <c r="AI2023" s="4" t="s">
        <v>17359</v>
      </c>
      <c r="AJ2023" s="4" t="s">
        <v>63</v>
      </c>
      <c r="AK2023" s="4" t="s">
        <v>63</v>
      </c>
      <c r="AL2023" s="4" t="s">
        <v>63</v>
      </c>
      <c r="AM2023" s="4" t="s">
        <v>17353</v>
      </c>
      <c r="AN2023" s="4" t="s">
        <v>63</v>
      </c>
      <c r="AO2023" s="4" t="s">
        <v>63</v>
      </c>
      <c r="AP2023" s="4" t="s">
        <v>63</v>
      </c>
      <c r="AQ2023" s="4" t="s">
        <v>63</v>
      </c>
      <c r="AR2023" s="4" t="s">
        <v>63</v>
      </c>
      <c r="AS2023" s="4" t="s">
        <v>63</v>
      </c>
      <c r="AT2023" s="4" t="s">
        <v>63</v>
      </c>
      <c r="AU2023" s="4" t="s">
        <v>63</v>
      </c>
      <c r="AV2023" s="4" t="s">
        <v>63</v>
      </c>
      <c r="AW2023" s="4" t="s">
        <v>63</v>
      </c>
      <c r="AX2023" s="4" t="s">
        <v>63</v>
      </c>
      <c r="AY2023" s="4" t="s">
        <v>63</v>
      </c>
      <c r="AZ2023" s="4" t="s">
        <v>63</v>
      </c>
      <c r="BA2023" s="4" t="s">
        <v>63</v>
      </c>
      <c r="BB2023" s="4" t="s">
        <v>63</v>
      </c>
      <c r="BC2023" s="4" t="s">
        <v>63</v>
      </c>
      <c r="BD2023" s="4" t="s">
        <v>63</v>
      </c>
      <c r="BE2023" s="4" t="s">
        <v>63</v>
      </c>
      <c r="BF2023" s="4" t="s">
        <v>63</v>
      </c>
    </row>
    <row r="2024" spans="1:58">
      <c r="A2024" s="4" t="s">
        <v>58</v>
      </c>
      <c r="B2024" s="4" t="s">
        <v>17360</v>
      </c>
      <c r="C2024" s="4" t="s">
        <v>17361</v>
      </c>
      <c r="D2024" s="4" t="s">
        <v>17362</v>
      </c>
      <c r="E2024" s="4" t="s">
        <v>63</v>
      </c>
      <c r="F2024" s="4">
        <v>2017</v>
      </c>
      <c r="G2024" s="4">
        <v>1</v>
      </c>
      <c r="H2024" s="4">
        <v>13</v>
      </c>
      <c r="I2024" s="4">
        <v>1</v>
      </c>
      <c r="J2024" s="4">
        <v>32</v>
      </c>
      <c r="K2024" s="4" t="s">
        <v>63</v>
      </c>
      <c r="L2024" s="4" t="s">
        <v>17363</v>
      </c>
      <c r="M2024" s="4" t="s">
        <v>17364</v>
      </c>
      <c r="N2024" s="4" t="s">
        <v>17365</v>
      </c>
      <c r="O2024" s="4" t="s">
        <v>63</v>
      </c>
      <c r="P2024" s="4"/>
      <c r="Q2024" s="4" t="s">
        <v>63</v>
      </c>
      <c r="R2024" s="4" t="s">
        <v>63</v>
      </c>
      <c r="S2024" s="4" t="s">
        <v>63</v>
      </c>
      <c r="T2024" s="4" t="s">
        <v>63</v>
      </c>
      <c r="U2024" s="4"/>
      <c r="V2024" s="4"/>
      <c r="W2024" s="4"/>
      <c r="X2024" s="4" t="s">
        <v>63</v>
      </c>
      <c r="Y2024" s="4" t="s">
        <v>1317</v>
      </c>
      <c r="Z2024" s="4" t="s">
        <v>63</v>
      </c>
      <c r="AA2024" s="4" t="s">
        <v>63</v>
      </c>
      <c r="AB2024" s="4" t="s">
        <v>63</v>
      </c>
      <c r="AC2024" s="4" t="s">
        <v>67</v>
      </c>
      <c r="AD2024" s="4" t="s">
        <v>63</v>
      </c>
      <c r="AE2024" s="4" t="s">
        <v>63</v>
      </c>
      <c r="AF2024" s="4" t="s">
        <v>63</v>
      </c>
      <c r="AG2024" s="4" t="s">
        <v>63</v>
      </c>
      <c r="AH2024" s="4" t="s">
        <v>63</v>
      </c>
      <c r="AI2024" s="4" t="s">
        <v>17366</v>
      </c>
      <c r="AJ2024" s="4" t="s">
        <v>63</v>
      </c>
      <c r="AK2024" s="4" t="s">
        <v>63</v>
      </c>
      <c r="AL2024" s="4" t="s">
        <v>63</v>
      </c>
      <c r="AM2024" s="4" t="s">
        <v>17361</v>
      </c>
      <c r="AN2024" s="4" t="s">
        <v>63</v>
      </c>
      <c r="AO2024" s="4" t="s">
        <v>63</v>
      </c>
      <c r="AP2024" s="4" t="s">
        <v>63</v>
      </c>
      <c r="AQ2024" s="4" t="s">
        <v>63</v>
      </c>
      <c r="AR2024" s="4" t="s">
        <v>63</v>
      </c>
      <c r="AS2024" s="4" t="s">
        <v>63</v>
      </c>
      <c r="AT2024" s="4" t="s">
        <v>63</v>
      </c>
      <c r="AU2024" s="4" t="s">
        <v>63</v>
      </c>
      <c r="AV2024" s="4" t="s">
        <v>63</v>
      </c>
      <c r="AW2024" s="4" t="s">
        <v>63</v>
      </c>
      <c r="AX2024" s="4" t="s">
        <v>63</v>
      </c>
      <c r="AY2024" s="4" t="s">
        <v>63</v>
      </c>
      <c r="AZ2024" s="4" t="s">
        <v>63</v>
      </c>
      <c r="BA2024" s="4" t="s">
        <v>63</v>
      </c>
      <c r="BB2024" s="4" t="s">
        <v>63</v>
      </c>
      <c r="BC2024" s="4" t="s">
        <v>63</v>
      </c>
      <c r="BD2024" s="4" t="s">
        <v>63</v>
      </c>
      <c r="BE2024" s="4" t="s">
        <v>63</v>
      </c>
      <c r="BF2024" s="4" t="s">
        <v>63</v>
      </c>
    </row>
    <row r="2025" spans="1:58">
      <c r="A2025" s="4" t="s">
        <v>58</v>
      </c>
      <c r="B2025" s="4" t="s">
        <v>17367</v>
      </c>
      <c r="C2025" s="4" t="s">
        <v>17368</v>
      </c>
      <c r="D2025" s="4" t="s">
        <v>660</v>
      </c>
      <c r="E2025" s="4" t="s">
        <v>661</v>
      </c>
      <c r="F2025" s="4">
        <v>2016</v>
      </c>
      <c r="G2025" s="4" t="s">
        <v>63</v>
      </c>
      <c r="H2025" s="4" t="s">
        <v>17369</v>
      </c>
      <c r="I2025" s="4" t="s">
        <v>63</v>
      </c>
      <c r="J2025" s="4">
        <v>26</v>
      </c>
      <c r="K2025" s="4">
        <v>27</v>
      </c>
      <c r="L2025" s="4" t="s">
        <v>17370</v>
      </c>
      <c r="M2025" s="4" t="s">
        <v>17371</v>
      </c>
      <c r="N2025" s="4" t="s">
        <v>17372</v>
      </c>
      <c r="O2025" s="4" t="s">
        <v>63</v>
      </c>
      <c r="P2025" s="4"/>
      <c r="Q2025" s="4" t="s">
        <v>63</v>
      </c>
      <c r="R2025" s="4" t="s">
        <v>63</v>
      </c>
      <c r="S2025" s="4" t="s">
        <v>63</v>
      </c>
      <c r="T2025" s="4" t="s">
        <v>63</v>
      </c>
      <c r="U2025" s="4"/>
      <c r="V2025" s="4"/>
      <c r="W2025" s="4"/>
      <c r="X2025" s="4" t="s">
        <v>63</v>
      </c>
      <c r="Y2025" s="4" t="s">
        <v>8863</v>
      </c>
      <c r="Z2025" s="4" t="s">
        <v>63</v>
      </c>
      <c r="AA2025" s="4" t="s">
        <v>63</v>
      </c>
      <c r="AB2025" s="4" t="s">
        <v>63</v>
      </c>
      <c r="AC2025" s="4" t="s">
        <v>67</v>
      </c>
      <c r="AD2025" s="4" t="s">
        <v>63</v>
      </c>
      <c r="AE2025" s="4" t="s">
        <v>63</v>
      </c>
      <c r="AF2025" s="4" t="s">
        <v>63</v>
      </c>
      <c r="AG2025" s="4" t="s">
        <v>63</v>
      </c>
      <c r="AH2025" s="4" t="s">
        <v>63</v>
      </c>
      <c r="AI2025" s="4" t="s">
        <v>17373</v>
      </c>
      <c r="AJ2025" s="4" t="s">
        <v>63</v>
      </c>
      <c r="AK2025" s="4" t="s">
        <v>63</v>
      </c>
      <c r="AL2025" s="4" t="s">
        <v>63</v>
      </c>
      <c r="AM2025" s="4" t="s">
        <v>17368</v>
      </c>
      <c r="AN2025" s="4" t="s">
        <v>63</v>
      </c>
      <c r="AO2025" s="4" t="s">
        <v>63</v>
      </c>
      <c r="AP2025" s="4" t="s">
        <v>63</v>
      </c>
      <c r="AQ2025" s="4" t="s">
        <v>63</v>
      </c>
      <c r="AR2025" s="4" t="s">
        <v>63</v>
      </c>
      <c r="AS2025" s="4" t="s">
        <v>63</v>
      </c>
      <c r="AT2025" s="4" t="s">
        <v>63</v>
      </c>
      <c r="AU2025" s="4" t="s">
        <v>63</v>
      </c>
      <c r="AV2025" s="4" t="s">
        <v>63</v>
      </c>
      <c r="AW2025" s="4" t="s">
        <v>63</v>
      </c>
      <c r="AX2025" s="4" t="s">
        <v>63</v>
      </c>
      <c r="AY2025" s="4" t="s">
        <v>63</v>
      </c>
      <c r="AZ2025" s="4" t="s">
        <v>63</v>
      </c>
      <c r="BA2025" s="4" t="s">
        <v>63</v>
      </c>
      <c r="BB2025" s="4" t="s">
        <v>63</v>
      </c>
      <c r="BC2025" s="4" t="s">
        <v>63</v>
      </c>
      <c r="BD2025" s="4" t="s">
        <v>63</v>
      </c>
      <c r="BE2025" s="4" t="s">
        <v>63</v>
      </c>
      <c r="BF2025" s="4" t="s">
        <v>63</v>
      </c>
    </row>
    <row r="2026" spans="1:58">
      <c r="A2026" s="4" t="s">
        <v>58</v>
      </c>
      <c r="B2026" s="4" t="s">
        <v>17374</v>
      </c>
      <c r="C2026" s="4" t="s">
        <v>17375</v>
      </c>
      <c r="D2026" s="4" t="s">
        <v>17376</v>
      </c>
      <c r="E2026" s="4" t="s">
        <v>17376</v>
      </c>
      <c r="F2026" s="4">
        <v>2005</v>
      </c>
      <c r="G2026" s="4" t="s">
        <v>15155</v>
      </c>
      <c r="H2026" s="4">
        <v>19</v>
      </c>
      <c r="I2026" s="4">
        <v>6</v>
      </c>
      <c r="J2026" s="4">
        <v>609</v>
      </c>
      <c r="K2026" s="4">
        <v>610</v>
      </c>
      <c r="L2026" s="4" t="s">
        <v>17377</v>
      </c>
      <c r="M2026" s="4" t="s">
        <v>63</v>
      </c>
      <c r="N2026" s="4" t="s">
        <v>17378</v>
      </c>
      <c r="O2026" s="4" t="s">
        <v>63</v>
      </c>
      <c r="P2026" s="4"/>
      <c r="Q2026" s="4" t="s">
        <v>63</v>
      </c>
      <c r="R2026" s="4" t="s">
        <v>63</v>
      </c>
      <c r="S2026" s="4" t="s">
        <v>63</v>
      </c>
      <c r="T2026" s="4" t="s">
        <v>63</v>
      </c>
      <c r="U2026" s="4"/>
      <c r="V2026" s="4"/>
      <c r="W2026" s="4"/>
      <c r="X2026" s="4" t="s">
        <v>63</v>
      </c>
      <c r="Y2026" s="4" t="s">
        <v>17379</v>
      </c>
      <c r="Z2026" s="4" t="s">
        <v>63</v>
      </c>
      <c r="AA2026" s="4" t="s">
        <v>63</v>
      </c>
      <c r="AB2026" s="4">
        <v>2005288960</v>
      </c>
      <c r="AC2026" s="4" t="s">
        <v>67</v>
      </c>
      <c r="AD2026" s="4" t="s">
        <v>63</v>
      </c>
      <c r="AE2026" s="4" t="s">
        <v>63</v>
      </c>
      <c r="AF2026" s="4" t="s">
        <v>63</v>
      </c>
      <c r="AG2026" s="4" t="s">
        <v>17380</v>
      </c>
      <c r="AH2026" s="4" t="s">
        <v>63</v>
      </c>
      <c r="AI2026" s="4" t="s">
        <v>17381</v>
      </c>
      <c r="AJ2026" s="4" t="s">
        <v>63</v>
      </c>
      <c r="AK2026" s="4" t="s">
        <v>63</v>
      </c>
      <c r="AL2026" s="4" t="s">
        <v>63</v>
      </c>
      <c r="AM2026" s="4" t="s">
        <v>17382</v>
      </c>
      <c r="AN2026" s="4" t="s">
        <v>63</v>
      </c>
      <c r="AO2026" s="4" t="s">
        <v>63</v>
      </c>
      <c r="AP2026" s="4" t="s">
        <v>63</v>
      </c>
      <c r="AQ2026" s="4" t="s">
        <v>63</v>
      </c>
      <c r="AR2026" s="4" t="s">
        <v>63</v>
      </c>
      <c r="AS2026" s="4" t="s">
        <v>63</v>
      </c>
      <c r="AT2026" s="4" t="s">
        <v>63</v>
      </c>
      <c r="AU2026" s="4" t="s">
        <v>63</v>
      </c>
      <c r="AV2026" s="4" t="s">
        <v>63</v>
      </c>
      <c r="AW2026" s="4" t="s">
        <v>63</v>
      </c>
      <c r="AX2026" s="4" t="s">
        <v>63</v>
      </c>
      <c r="AY2026" s="4" t="s">
        <v>63</v>
      </c>
      <c r="AZ2026" s="4" t="s">
        <v>63</v>
      </c>
      <c r="BA2026" s="4" t="s">
        <v>63</v>
      </c>
      <c r="BB2026" s="4" t="s">
        <v>63</v>
      </c>
      <c r="BC2026" s="4" t="s">
        <v>63</v>
      </c>
      <c r="BD2026" s="4" t="s">
        <v>63</v>
      </c>
      <c r="BE2026" s="4" t="s">
        <v>63</v>
      </c>
      <c r="BF2026" s="4" t="s">
        <v>63</v>
      </c>
    </row>
    <row r="2027" spans="1:58">
      <c r="A2027" s="4" t="s">
        <v>58</v>
      </c>
      <c r="B2027" s="4" t="s">
        <v>17383</v>
      </c>
      <c r="C2027" s="4" t="s">
        <v>17384</v>
      </c>
      <c r="D2027" s="4" t="s">
        <v>4116</v>
      </c>
      <c r="E2027" s="4" t="s">
        <v>4117</v>
      </c>
      <c r="F2027" s="4">
        <v>1976</v>
      </c>
      <c r="G2027" s="4" t="s">
        <v>63</v>
      </c>
      <c r="H2027" s="4">
        <v>37</v>
      </c>
      <c r="I2027" s="4">
        <v>11</v>
      </c>
      <c r="J2027" s="4">
        <v>1686</v>
      </c>
      <c r="K2027" s="4">
        <v>1693</v>
      </c>
      <c r="L2027" s="4" t="s">
        <v>17385</v>
      </c>
      <c r="M2027" s="4" t="s">
        <v>17386</v>
      </c>
      <c r="N2027" s="4" t="s">
        <v>17387</v>
      </c>
      <c r="O2027" s="4" t="s">
        <v>63</v>
      </c>
      <c r="P2027" s="4"/>
      <c r="Q2027" s="4" t="s">
        <v>63</v>
      </c>
      <c r="R2027" s="4" t="s">
        <v>63</v>
      </c>
      <c r="S2027" s="4" t="s">
        <v>63</v>
      </c>
      <c r="T2027" s="4" t="s">
        <v>63</v>
      </c>
      <c r="U2027" s="4"/>
      <c r="V2027" s="4"/>
      <c r="W2027" s="4"/>
      <c r="X2027" s="4" t="s">
        <v>63</v>
      </c>
      <c r="Y2027" s="4" t="s">
        <v>4121</v>
      </c>
      <c r="Z2027" s="4" t="s">
        <v>63</v>
      </c>
      <c r="AA2027" s="4" t="s">
        <v>63</v>
      </c>
      <c r="AB2027" s="4">
        <v>1977213027</v>
      </c>
      <c r="AC2027" s="4" t="s">
        <v>67</v>
      </c>
      <c r="AD2027" s="4" t="s">
        <v>63</v>
      </c>
      <c r="AE2027" s="4" t="s">
        <v>63</v>
      </c>
      <c r="AF2027" s="4" t="s">
        <v>63</v>
      </c>
      <c r="AG2027" s="4" t="s">
        <v>17388</v>
      </c>
      <c r="AH2027" s="4" t="s">
        <v>63</v>
      </c>
      <c r="AI2027" s="4" t="s">
        <v>63</v>
      </c>
      <c r="AJ2027" s="4" t="s">
        <v>63</v>
      </c>
      <c r="AK2027" s="4" t="s">
        <v>63</v>
      </c>
      <c r="AL2027" s="4" t="s">
        <v>63</v>
      </c>
      <c r="AM2027" s="4" t="s">
        <v>17389</v>
      </c>
      <c r="AN2027" s="4" t="s">
        <v>63</v>
      </c>
      <c r="AO2027" s="4" t="s">
        <v>63</v>
      </c>
      <c r="AP2027" s="4" t="s">
        <v>63</v>
      </c>
      <c r="AQ2027" s="4" t="s">
        <v>63</v>
      </c>
      <c r="AR2027" s="4" t="s">
        <v>63</v>
      </c>
      <c r="AS2027" s="4" t="s">
        <v>63</v>
      </c>
      <c r="AT2027" s="4" t="s">
        <v>63</v>
      </c>
      <c r="AU2027" s="4" t="s">
        <v>63</v>
      </c>
      <c r="AV2027" s="4" t="s">
        <v>63</v>
      </c>
      <c r="AW2027" s="4" t="s">
        <v>63</v>
      </c>
      <c r="AX2027" s="4" t="s">
        <v>63</v>
      </c>
      <c r="AY2027" s="4" t="s">
        <v>63</v>
      </c>
      <c r="AZ2027" s="4" t="s">
        <v>63</v>
      </c>
      <c r="BA2027" s="4" t="s">
        <v>63</v>
      </c>
      <c r="BB2027" s="4" t="s">
        <v>63</v>
      </c>
      <c r="BC2027" s="4" t="s">
        <v>63</v>
      </c>
      <c r="BD2027" s="4" t="s">
        <v>63</v>
      </c>
      <c r="BE2027" s="4" t="s">
        <v>63</v>
      </c>
      <c r="BF2027" s="4" t="s">
        <v>63</v>
      </c>
    </row>
    <row r="2028" spans="1:58">
      <c r="A2028" s="4" t="s">
        <v>58</v>
      </c>
      <c r="B2028" s="4" t="s">
        <v>17390</v>
      </c>
      <c r="C2028" s="4" t="s">
        <v>17391</v>
      </c>
      <c r="D2028" s="4" t="s">
        <v>17392</v>
      </c>
      <c r="E2028" s="4" t="s">
        <v>63</v>
      </c>
      <c r="F2028" s="4">
        <v>2015</v>
      </c>
      <c r="G2028" s="4" t="s">
        <v>16633</v>
      </c>
      <c r="H2028" s="4">
        <v>55</v>
      </c>
      <c r="I2028" s="4">
        <v>2</v>
      </c>
      <c r="J2028" s="4" t="s">
        <v>17393</v>
      </c>
      <c r="K2028" s="4" t="s">
        <v>63</v>
      </c>
      <c r="L2028" s="4" t="s">
        <v>17394</v>
      </c>
      <c r="M2028" s="4" t="s">
        <v>17395</v>
      </c>
      <c r="N2028" s="4" t="s">
        <v>17396</v>
      </c>
      <c r="O2028" s="4" t="s">
        <v>63</v>
      </c>
      <c r="P2028" s="4"/>
      <c r="Q2028" s="4" t="s">
        <v>63</v>
      </c>
      <c r="R2028" s="4" t="s">
        <v>63</v>
      </c>
      <c r="S2028" s="4" t="s">
        <v>63</v>
      </c>
      <c r="T2028" s="4" t="s">
        <v>63</v>
      </c>
      <c r="U2028" s="4"/>
      <c r="V2028" s="4"/>
      <c r="W2028" s="4"/>
      <c r="X2028" s="4" t="s">
        <v>63</v>
      </c>
      <c r="Y2028" s="4" t="s">
        <v>17397</v>
      </c>
      <c r="Z2028" s="4" t="s">
        <v>63</v>
      </c>
      <c r="AA2028" s="4" t="s">
        <v>63</v>
      </c>
      <c r="AB2028" s="4" t="s">
        <v>63</v>
      </c>
      <c r="AC2028" s="4" t="s">
        <v>67</v>
      </c>
      <c r="AD2028" s="4" t="s">
        <v>63</v>
      </c>
      <c r="AE2028" s="4" t="s">
        <v>63</v>
      </c>
      <c r="AF2028" s="4" t="s">
        <v>63</v>
      </c>
      <c r="AG2028" s="4" t="s">
        <v>63</v>
      </c>
      <c r="AH2028" s="4" t="s">
        <v>63</v>
      </c>
      <c r="AI2028" s="4" t="s">
        <v>17398</v>
      </c>
      <c r="AJ2028" s="4" t="s">
        <v>63</v>
      </c>
      <c r="AK2028" s="4" t="s">
        <v>63</v>
      </c>
      <c r="AL2028" s="4" t="s">
        <v>63</v>
      </c>
      <c r="AM2028" s="4" t="s">
        <v>17391</v>
      </c>
      <c r="AN2028" s="4" t="s">
        <v>63</v>
      </c>
      <c r="AO2028" s="4" t="s">
        <v>63</v>
      </c>
      <c r="AP2028" s="4" t="s">
        <v>63</v>
      </c>
      <c r="AQ2028" s="4" t="s">
        <v>63</v>
      </c>
      <c r="AR2028" s="4" t="s">
        <v>63</v>
      </c>
      <c r="AS2028" s="4" t="s">
        <v>63</v>
      </c>
      <c r="AT2028" s="4" t="s">
        <v>63</v>
      </c>
      <c r="AU2028" s="4" t="s">
        <v>63</v>
      </c>
      <c r="AV2028" s="4" t="s">
        <v>63</v>
      </c>
      <c r="AW2028" s="4" t="s">
        <v>63</v>
      </c>
      <c r="AX2028" s="4" t="s">
        <v>63</v>
      </c>
      <c r="AY2028" s="4" t="s">
        <v>63</v>
      </c>
      <c r="AZ2028" s="4" t="s">
        <v>63</v>
      </c>
      <c r="BA2028" s="4" t="s">
        <v>63</v>
      </c>
      <c r="BB2028" s="4" t="s">
        <v>63</v>
      </c>
      <c r="BC2028" s="4" t="s">
        <v>63</v>
      </c>
      <c r="BD2028" s="4" t="s">
        <v>63</v>
      </c>
      <c r="BE2028" s="4" t="s">
        <v>63</v>
      </c>
      <c r="BF2028" s="4" t="s">
        <v>63</v>
      </c>
    </row>
    <row r="2029" spans="1:58">
      <c r="A2029" s="4" t="s">
        <v>58</v>
      </c>
      <c r="B2029" s="4" t="s">
        <v>17399</v>
      </c>
      <c r="C2029" s="4" t="s">
        <v>17400</v>
      </c>
      <c r="D2029" s="4" t="s">
        <v>1212</v>
      </c>
      <c r="E2029" s="4" t="s">
        <v>63</v>
      </c>
      <c r="F2029" s="4">
        <v>2012</v>
      </c>
      <c r="G2029" s="4" t="s">
        <v>15389</v>
      </c>
      <c r="H2029" s="4">
        <v>6</v>
      </c>
      <c r="I2029" s="4">
        <v>1</v>
      </c>
      <c r="J2029" s="4">
        <v>77</v>
      </c>
      <c r="K2029" s="4">
        <v>84</v>
      </c>
      <c r="L2029" s="4" t="s">
        <v>17401</v>
      </c>
      <c r="M2029" s="4" t="s">
        <v>17402</v>
      </c>
      <c r="N2029" s="4" t="s">
        <v>17403</v>
      </c>
      <c r="O2029" s="4" t="s">
        <v>63</v>
      </c>
      <c r="P2029" s="4"/>
      <c r="Q2029" s="4" t="s">
        <v>63</v>
      </c>
      <c r="R2029" s="4" t="s">
        <v>63</v>
      </c>
      <c r="S2029" s="4" t="s">
        <v>63</v>
      </c>
      <c r="T2029" s="4" t="s">
        <v>63</v>
      </c>
      <c r="U2029" s="4"/>
      <c r="V2029" s="4"/>
      <c r="W2029" s="4"/>
      <c r="X2029" s="4" t="s">
        <v>63</v>
      </c>
      <c r="Y2029" s="4" t="s">
        <v>15530</v>
      </c>
      <c r="Z2029" s="4" t="s">
        <v>63</v>
      </c>
      <c r="AA2029" s="4" t="s">
        <v>63</v>
      </c>
      <c r="AB2029" s="4">
        <v>2012398283</v>
      </c>
      <c r="AC2029" s="4" t="s">
        <v>67</v>
      </c>
      <c r="AD2029" s="4" t="s">
        <v>63</v>
      </c>
      <c r="AE2029" s="4" t="s">
        <v>63</v>
      </c>
      <c r="AF2029" s="4" t="s">
        <v>63</v>
      </c>
      <c r="AG2029" s="4" t="s">
        <v>17404</v>
      </c>
      <c r="AH2029" s="4" t="s">
        <v>63</v>
      </c>
      <c r="AI2029" s="4" t="s">
        <v>17405</v>
      </c>
      <c r="AJ2029" s="4" t="s">
        <v>63</v>
      </c>
      <c r="AK2029" s="4" t="s">
        <v>63</v>
      </c>
      <c r="AL2029" s="4" t="s">
        <v>63</v>
      </c>
      <c r="AM2029" s="4" t="s">
        <v>17406</v>
      </c>
      <c r="AN2029" s="4" t="s">
        <v>63</v>
      </c>
      <c r="AO2029" s="4" t="s">
        <v>63</v>
      </c>
      <c r="AP2029" s="4" t="s">
        <v>63</v>
      </c>
      <c r="AQ2029" s="4" t="s">
        <v>63</v>
      </c>
      <c r="AR2029" s="4" t="s">
        <v>63</v>
      </c>
      <c r="AS2029" s="4" t="s">
        <v>63</v>
      </c>
      <c r="AT2029" s="4" t="s">
        <v>63</v>
      </c>
      <c r="AU2029" s="4" t="s">
        <v>63</v>
      </c>
      <c r="AV2029" s="4" t="s">
        <v>63</v>
      </c>
      <c r="AW2029" s="4" t="s">
        <v>63</v>
      </c>
      <c r="AX2029" s="4" t="s">
        <v>63</v>
      </c>
      <c r="AY2029" s="4" t="s">
        <v>63</v>
      </c>
      <c r="AZ2029" s="4" t="s">
        <v>63</v>
      </c>
      <c r="BA2029" s="4" t="s">
        <v>63</v>
      </c>
      <c r="BB2029" s="4" t="s">
        <v>63</v>
      </c>
      <c r="BC2029" s="4" t="s">
        <v>63</v>
      </c>
      <c r="BD2029" s="4" t="s">
        <v>63</v>
      </c>
      <c r="BE2029" s="4" t="s">
        <v>63</v>
      </c>
      <c r="BF2029" s="4" t="s">
        <v>63</v>
      </c>
    </row>
    <row r="2030" spans="1:58">
      <c r="A2030" s="4" t="s">
        <v>58</v>
      </c>
      <c r="B2030" s="4" t="s">
        <v>17407</v>
      </c>
      <c r="C2030" s="4" t="s">
        <v>17408</v>
      </c>
      <c r="D2030" s="4" t="s">
        <v>17409</v>
      </c>
      <c r="E2030" s="4" t="s">
        <v>63</v>
      </c>
      <c r="F2030" s="4">
        <v>2009</v>
      </c>
      <c r="G2030" s="4" t="s">
        <v>15165</v>
      </c>
      <c r="H2030" s="4">
        <v>31</v>
      </c>
      <c r="I2030" s="4">
        <v>2</v>
      </c>
      <c r="J2030" s="4">
        <v>149</v>
      </c>
      <c r="K2030" s="4">
        <v>153</v>
      </c>
      <c r="L2030" s="4" t="s">
        <v>17410</v>
      </c>
      <c r="M2030" s="4" t="s">
        <v>17411</v>
      </c>
      <c r="N2030" s="4" t="s">
        <v>17412</v>
      </c>
      <c r="O2030" s="4" t="s">
        <v>63</v>
      </c>
      <c r="P2030" s="4"/>
      <c r="Q2030" s="4" t="s">
        <v>63</v>
      </c>
      <c r="R2030" s="4" t="s">
        <v>63</v>
      </c>
      <c r="S2030" s="4" t="s">
        <v>63</v>
      </c>
      <c r="T2030" s="4" t="s">
        <v>63</v>
      </c>
      <c r="U2030" s="4"/>
      <c r="V2030" s="4"/>
      <c r="W2030" s="4"/>
      <c r="X2030" s="4" t="s">
        <v>63</v>
      </c>
      <c r="Y2030" s="4" t="s">
        <v>17413</v>
      </c>
      <c r="Z2030" s="4" t="s">
        <v>63</v>
      </c>
      <c r="AA2030" s="4" t="s">
        <v>63</v>
      </c>
      <c r="AB2030" s="4">
        <v>2009147451</v>
      </c>
      <c r="AC2030" s="4" t="s">
        <v>67</v>
      </c>
      <c r="AD2030" s="4" t="s">
        <v>63</v>
      </c>
      <c r="AE2030" s="4" t="s">
        <v>63</v>
      </c>
      <c r="AF2030" s="4" t="s">
        <v>63</v>
      </c>
      <c r="AG2030" s="4" t="s">
        <v>17414</v>
      </c>
      <c r="AH2030" s="4" t="s">
        <v>63</v>
      </c>
      <c r="AI2030" s="4" t="s">
        <v>17415</v>
      </c>
      <c r="AJ2030" s="4" t="s">
        <v>63</v>
      </c>
      <c r="AK2030" s="4" t="s">
        <v>63</v>
      </c>
      <c r="AL2030" s="4" t="s">
        <v>63</v>
      </c>
      <c r="AM2030" s="4" t="s">
        <v>17416</v>
      </c>
      <c r="AN2030" s="4" t="s">
        <v>63</v>
      </c>
      <c r="AO2030" s="4" t="s">
        <v>63</v>
      </c>
      <c r="AP2030" s="4" t="s">
        <v>63</v>
      </c>
      <c r="AQ2030" s="4" t="s">
        <v>63</v>
      </c>
      <c r="AR2030" s="4" t="s">
        <v>63</v>
      </c>
      <c r="AS2030" s="4" t="s">
        <v>63</v>
      </c>
      <c r="AT2030" s="4" t="s">
        <v>63</v>
      </c>
      <c r="AU2030" s="4" t="s">
        <v>63</v>
      </c>
      <c r="AV2030" s="4" t="s">
        <v>63</v>
      </c>
      <c r="AW2030" s="4" t="s">
        <v>63</v>
      </c>
      <c r="AX2030" s="4" t="s">
        <v>63</v>
      </c>
      <c r="AY2030" s="4" t="s">
        <v>63</v>
      </c>
      <c r="AZ2030" s="4" t="s">
        <v>63</v>
      </c>
      <c r="BA2030" s="4" t="s">
        <v>63</v>
      </c>
      <c r="BB2030" s="4" t="s">
        <v>63</v>
      </c>
      <c r="BC2030" s="4" t="s">
        <v>63</v>
      </c>
      <c r="BD2030" s="4" t="s">
        <v>63</v>
      </c>
      <c r="BE2030" s="4" t="s">
        <v>63</v>
      </c>
      <c r="BF2030" s="4" t="s">
        <v>63</v>
      </c>
    </row>
    <row r="2031" spans="1:58">
      <c r="A2031" s="4" t="s">
        <v>58</v>
      </c>
      <c r="B2031" s="4" t="s">
        <v>17417</v>
      </c>
      <c r="C2031" s="4" t="s">
        <v>17418</v>
      </c>
      <c r="D2031" s="4" t="s">
        <v>5037</v>
      </c>
      <c r="E2031" s="4" t="s">
        <v>5038</v>
      </c>
      <c r="F2031" s="4">
        <v>1989</v>
      </c>
      <c r="G2031" s="4" t="s">
        <v>63</v>
      </c>
      <c r="H2031" s="4">
        <v>79</v>
      </c>
      <c r="I2031" s="4">
        <v>10</v>
      </c>
      <c r="J2031" s="4">
        <v>1371</v>
      </c>
      <c r="K2031" s="4">
        <v>1376</v>
      </c>
      <c r="L2031" s="4" t="s">
        <v>17419</v>
      </c>
      <c r="M2031" s="4" t="s">
        <v>17420</v>
      </c>
      <c r="N2031" s="4" t="s">
        <v>17421</v>
      </c>
      <c r="O2031" s="4" t="s">
        <v>63</v>
      </c>
      <c r="P2031" s="4"/>
      <c r="Q2031" s="4" t="s">
        <v>63</v>
      </c>
      <c r="R2031" s="4" t="s">
        <v>63</v>
      </c>
      <c r="S2031" s="4" t="s">
        <v>63</v>
      </c>
      <c r="T2031" s="4" t="s">
        <v>63</v>
      </c>
      <c r="U2031" s="4"/>
      <c r="V2031" s="4"/>
      <c r="W2031" s="4"/>
      <c r="X2031" s="4" t="s">
        <v>63</v>
      </c>
      <c r="Y2031" s="4" t="s">
        <v>5042</v>
      </c>
      <c r="Z2031" s="4" t="s">
        <v>63</v>
      </c>
      <c r="AA2031" s="4" t="s">
        <v>63</v>
      </c>
      <c r="AB2031" s="4">
        <v>1989239178</v>
      </c>
      <c r="AC2031" s="4" t="s">
        <v>67</v>
      </c>
      <c r="AD2031" s="4" t="s">
        <v>63</v>
      </c>
      <c r="AE2031" s="4" t="s">
        <v>63</v>
      </c>
      <c r="AF2031" s="4" t="s">
        <v>63</v>
      </c>
      <c r="AG2031" s="4" t="s">
        <v>17422</v>
      </c>
      <c r="AH2031" s="4" t="s">
        <v>63</v>
      </c>
      <c r="AI2031" s="4" t="s">
        <v>63</v>
      </c>
      <c r="AJ2031" s="4" t="s">
        <v>63</v>
      </c>
      <c r="AK2031" s="4" t="s">
        <v>63</v>
      </c>
      <c r="AL2031" s="4" t="s">
        <v>63</v>
      </c>
      <c r="AM2031" s="4" t="s">
        <v>17423</v>
      </c>
      <c r="AN2031" s="4" t="s">
        <v>63</v>
      </c>
      <c r="AO2031" s="4" t="s">
        <v>63</v>
      </c>
      <c r="AP2031" s="4" t="s">
        <v>63</v>
      </c>
      <c r="AQ2031" s="4" t="s">
        <v>63</v>
      </c>
      <c r="AR2031" s="4" t="s">
        <v>63</v>
      </c>
      <c r="AS2031" s="4" t="s">
        <v>63</v>
      </c>
      <c r="AT2031" s="4" t="s">
        <v>63</v>
      </c>
      <c r="AU2031" s="4" t="s">
        <v>63</v>
      </c>
      <c r="AV2031" s="4" t="s">
        <v>63</v>
      </c>
      <c r="AW2031" s="4" t="s">
        <v>63</v>
      </c>
      <c r="AX2031" s="4" t="s">
        <v>63</v>
      </c>
      <c r="AY2031" s="4" t="s">
        <v>63</v>
      </c>
      <c r="AZ2031" s="4" t="s">
        <v>63</v>
      </c>
      <c r="BA2031" s="4" t="s">
        <v>63</v>
      </c>
      <c r="BB2031" s="4" t="s">
        <v>63</v>
      </c>
      <c r="BC2031" s="4" t="s">
        <v>63</v>
      </c>
      <c r="BD2031" s="4" t="s">
        <v>63</v>
      </c>
      <c r="BE2031" s="4" t="s">
        <v>63</v>
      </c>
      <c r="BF2031" s="4" t="s">
        <v>63</v>
      </c>
    </row>
    <row r="2032" spans="1:58">
      <c r="A2032" s="4" t="s">
        <v>58</v>
      </c>
      <c r="B2032" s="4" t="s">
        <v>17424</v>
      </c>
      <c r="C2032" s="4" t="s">
        <v>17425</v>
      </c>
      <c r="D2032" s="4" t="s">
        <v>16219</v>
      </c>
      <c r="E2032" s="4" t="s">
        <v>63</v>
      </c>
      <c r="F2032" s="4">
        <v>2005</v>
      </c>
      <c r="G2032" s="4" t="s">
        <v>84</v>
      </c>
      <c r="H2032" s="4">
        <v>51</v>
      </c>
      <c r="I2032" s="4">
        <v>2</v>
      </c>
      <c r="J2032" s="4">
        <v>68</v>
      </c>
      <c r="K2032" s="4">
        <v>69</v>
      </c>
      <c r="L2032" s="4" t="s">
        <v>17426</v>
      </c>
      <c r="M2032" s="4" t="s">
        <v>63</v>
      </c>
      <c r="N2032" s="4" t="s">
        <v>17427</v>
      </c>
      <c r="O2032" s="4" t="s">
        <v>63</v>
      </c>
      <c r="P2032" s="4"/>
      <c r="Q2032" s="4" t="s">
        <v>63</v>
      </c>
      <c r="R2032" s="4" t="s">
        <v>63</v>
      </c>
      <c r="S2032" s="4" t="s">
        <v>63</v>
      </c>
      <c r="T2032" s="4" t="s">
        <v>63</v>
      </c>
      <c r="U2032" s="4"/>
      <c r="V2032" s="4"/>
      <c r="W2032" s="4"/>
      <c r="X2032" s="4" t="s">
        <v>63</v>
      </c>
      <c r="Y2032" s="4" t="s">
        <v>16223</v>
      </c>
      <c r="Z2032" s="4" t="s">
        <v>63</v>
      </c>
      <c r="AA2032" s="4" t="s">
        <v>63</v>
      </c>
      <c r="AB2032" s="4" t="s">
        <v>17428</v>
      </c>
      <c r="AC2032" s="4" t="s">
        <v>102</v>
      </c>
      <c r="AD2032" s="4" t="s">
        <v>63</v>
      </c>
      <c r="AE2032" s="4" t="s">
        <v>63</v>
      </c>
      <c r="AF2032" s="4" t="s">
        <v>63</v>
      </c>
      <c r="AG2032" s="4" t="s">
        <v>63</v>
      </c>
      <c r="AH2032" s="4" t="s">
        <v>63</v>
      </c>
      <c r="AI2032" s="4" t="s">
        <v>17429</v>
      </c>
      <c r="AJ2032" s="4" t="s">
        <v>63</v>
      </c>
      <c r="AK2032" s="4" t="s">
        <v>63</v>
      </c>
      <c r="AL2032" s="4" t="s">
        <v>63</v>
      </c>
      <c r="AM2032" s="4" t="s">
        <v>17425</v>
      </c>
      <c r="AN2032" s="4" t="s">
        <v>63</v>
      </c>
      <c r="AO2032" s="4" t="s">
        <v>63</v>
      </c>
      <c r="AP2032" s="4" t="s">
        <v>63</v>
      </c>
      <c r="AQ2032" s="4" t="s">
        <v>63</v>
      </c>
      <c r="AR2032" s="4" t="s">
        <v>63</v>
      </c>
      <c r="AS2032" s="4" t="s">
        <v>63</v>
      </c>
      <c r="AT2032" s="4" t="s">
        <v>63</v>
      </c>
      <c r="AU2032" s="4" t="s">
        <v>63</v>
      </c>
      <c r="AV2032" s="4" t="s">
        <v>63</v>
      </c>
      <c r="AW2032" s="4" t="s">
        <v>63</v>
      </c>
      <c r="AX2032" s="4" t="s">
        <v>63</v>
      </c>
      <c r="AY2032" s="4" t="s">
        <v>63</v>
      </c>
      <c r="AZ2032" s="4" t="s">
        <v>63</v>
      </c>
      <c r="BA2032" s="4" t="s">
        <v>63</v>
      </c>
      <c r="BB2032" s="4" t="s">
        <v>63</v>
      </c>
      <c r="BC2032" s="4" t="s">
        <v>63</v>
      </c>
      <c r="BD2032" s="4" t="s">
        <v>63</v>
      </c>
      <c r="BE2032" s="4" t="s">
        <v>63</v>
      </c>
      <c r="BF2032" s="4" t="s">
        <v>63</v>
      </c>
    </row>
    <row r="2033" spans="1:58">
      <c r="A2033" s="4" t="s">
        <v>58</v>
      </c>
      <c r="B2033" s="4" t="s">
        <v>17430</v>
      </c>
      <c r="C2033" s="4" t="s">
        <v>17431</v>
      </c>
      <c r="D2033" s="4" t="s">
        <v>17432</v>
      </c>
      <c r="E2033" s="4" t="s">
        <v>63</v>
      </c>
      <c r="F2033" s="4">
        <v>2009</v>
      </c>
      <c r="G2033" s="4" t="s">
        <v>15449</v>
      </c>
      <c r="H2033" s="4">
        <v>22</v>
      </c>
      <c r="I2033" s="4">
        <v>4</v>
      </c>
      <c r="J2033" s="4">
        <v>387</v>
      </c>
      <c r="K2033" s="4">
        <v>398</v>
      </c>
      <c r="L2033" s="4" t="s">
        <v>17433</v>
      </c>
      <c r="M2033" s="4" t="s">
        <v>17434</v>
      </c>
      <c r="N2033" s="4" t="s">
        <v>17435</v>
      </c>
      <c r="O2033" s="4" t="s">
        <v>63</v>
      </c>
      <c r="P2033" s="4"/>
      <c r="Q2033" s="4" t="s">
        <v>63</v>
      </c>
      <c r="R2033" s="4" t="s">
        <v>63</v>
      </c>
      <c r="S2033" s="4" t="s">
        <v>63</v>
      </c>
      <c r="T2033" s="4" t="s">
        <v>63</v>
      </c>
      <c r="U2033" s="4"/>
      <c r="V2033" s="4"/>
      <c r="W2033" s="4"/>
      <c r="X2033" s="4" t="s">
        <v>63</v>
      </c>
      <c r="Y2033" s="4" t="s">
        <v>17436</v>
      </c>
      <c r="Z2033" s="4" t="s">
        <v>63</v>
      </c>
      <c r="AA2033" s="4" t="s">
        <v>63</v>
      </c>
      <c r="AB2033" s="4">
        <v>2009369593</v>
      </c>
      <c r="AC2033" s="4" t="s">
        <v>67</v>
      </c>
      <c r="AD2033" s="4" t="s">
        <v>63</v>
      </c>
      <c r="AE2033" s="4" t="s">
        <v>63</v>
      </c>
      <c r="AF2033" s="4" t="s">
        <v>63</v>
      </c>
      <c r="AG2033" s="4" t="s">
        <v>17437</v>
      </c>
      <c r="AH2033" s="4" t="s">
        <v>63</v>
      </c>
      <c r="AI2033" s="4" t="s">
        <v>17438</v>
      </c>
      <c r="AJ2033" s="4" t="s">
        <v>63</v>
      </c>
      <c r="AK2033" s="4" t="s">
        <v>63</v>
      </c>
      <c r="AL2033" s="4" t="s">
        <v>63</v>
      </c>
      <c r="AM2033" s="4" t="s">
        <v>17439</v>
      </c>
      <c r="AN2033" s="4" t="s">
        <v>63</v>
      </c>
      <c r="AO2033" s="4" t="s">
        <v>63</v>
      </c>
      <c r="AP2033" s="4" t="s">
        <v>63</v>
      </c>
      <c r="AQ2033" s="4" t="s">
        <v>63</v>
      </c>
      <c r="AR2033" s="4" t="s">
        <v>63</v>
      </c>
      <c r="AS2033" s="4" t="s">
        <v>63</v>
      </c>
      <c r="AT2033" s="4" t="s">
        <v>63</v>
      </c>
      <c r="AU2033" s="4" t="s">
        <v>63</v>
      </c>
      <c r="AV2033" s="4" t="s">
        <v>63</v>
      </c>
      <c r="AW2033" s="4" t="s">
        <v>63</v>
      </c>
      <c r="AX2033" s="4" t="s">
        <v>63</v>
      </c>
      <c r="AY2033" s="4" t="s">
        <v>63</v>
      </c>
      <c r="AZ2033" s="4" t="s">
        <v>63</v>
      </c>
      <c r="BA2033" s="4" t="s">
        <v>63</v>
      </c>
      <c r="BB2033" s="4" t="s">
        <v>63</v>
      </c>
      <c r="BC2033" s="4" t="s">
        <v>63</v>
      </c>
      <c r="BD2033" s="4" t="s">
        <v>63</v>
      </c>
      <c r="BE2033" s="4" t="s">
        <v>63</v>
      </c>
      <c r="BF2033" s="4" t="s">
        <v>63</v>
      </c>
    </row>
    <row r="2034" spans="1:58">
      <c r="A2034" s="4" t="s">
        <v>58</v>
      </c>
      <c r="B2034" s="4" t="s">
        <v>17440</v>
      </c>
      <c r="C2034" s="4" t="s">
        <v>17441</v>
      </c>
      <c r="D2034" s="4" t="s">
        <v>15421</v>
      </c>
      <c r="E2034" s="4" t="s">
        <v>63</v>
      </c>
      <c r="F2034" s="4">
        <v>2002</v>
      </c>
      <c r="G2034" s="4" t="s">
        <v>181</v>
      </c>
      <c r="H2034" s="4">
        <v>23</v>
      </c>
      <c r="I2034" s="4">
        <v>3</v>
      </c>
      <c r="J2034" s="4">
        <v>47</v>
      </c>
      <c r="K2034" s="4">
        <v>65</v>
      </c>
      <c r="L2034" s="4" t="s">
        <v>17442</v>
      </c>
      <c r="M2034" s="4" t="s">
        <v>17443</v>
      </c>
      <c r="N2034" s="4" t="s">
        <v>17444</v>
      </c>
      <c r="O2034" s="4" t="s">
        <v>63</v>
      </c>
      <c r="P2034" s="4"/>
      <c r="Q2034" s="4" t="s">
        <v>63</v>
      </c>
      <c r="R2034" s="4" t="s">
        <v>63</v>
      </c>
      <c r="S2034" s="4" t="s">
        <v>63</v>
      </c>
      <c r="T2034" s="4" t="s">
        <v>63</v>
      </c>
      <c r="U2034" s="4"/>
      <c r="V2034" s="4"/>
      <c r="W2034" s="4"/>
      <c r="X2034" s="4" t="s">
        <v>63</v>
      </c>
      <c r="Y2034" s="4" t="s">
        <v>392</v>
      </c>
      <c r="Z2034" s="4" t="s">
        <v>63</v>
      </c>
      <c r="AA2034" s="4" t="s">
        <v>63</v>
      </c>
      <c r="AB2034" s="4" t="s">
        <v>63</v>
      </c>
      <c r="AC2034" s="4" t="s">
        <v>67</v>
      </c>
      <c r="AD2034" s="4" t="s">
        <v>63</v>
      </c>
      <c r="AE2034" s="4" t="s">
        <v>63</v>
      </c>
      <c r="AF2034" s="4" t="s">
        <v>63</v>
      </c>
      <c r="AG2034" s="4" t="s">
        <v>17445</v>
      </c>
      <c r="AH2034" s="4" t="s">
        <v>63</v>
      </c>
      <c r="AI2034" s="4" t="s">
        <v>63</v>
      </c>
      <c r="AJ2034" s="4" t="s">
        <v>63</v>
      </c>
      <c r="AK2034" s="4" t="s">
        <v>63</v>
      </c>
      <c r="AL2034" s="4" t="s">
        <v>63</v>
      </c>
      <c r="AM2034" s="4" t="s">
        <v>17446</v>
      </c>
      <c r="AN2034" s="4" t="s">
        <v>63</v>
      </c>
      <c r="AO2034" s="4" t="s">
        <v>63</v>
      </c>
      <c r="AP2034" s="4" t="s">
        <v>63</v>
      </c>
      <c r="AQ2034" s="4" t="s">
        <v>63</v>
      </c>
      <c r="AR2034" s="4" t="s">
        <v>63</v>
      </c>
      <c r="AS2034" s="4" t="s">
        <v>63</v>
      </c>
      <c r="AT2034" s="4" t="s">
        <v>63</v>
      </c>
      <c r="AU2034" s="4" t="s">
        <v>63</v>
      </c>
      <c r="AV2034" s="4" t="s">
        <v>63</v>
      </c>
      <c r="AW2034" s="4" t="s">
        <v>63</v>
      </c>
      <c r="AX2034" s="4" t="s">
        <v>63</v>
      </c>
      <c r="AY2034" s="4" t="s">
        <v>63</v>
      </c>
      <c r="AZ2034" s="4" t="s">
        <v>63</v>
      </c>
      <c r="BA2034" s="4" t="s">
        <v>63</v>
      </c>
      <c r="BB2034" s="4" t="s">
        <v>63</v>
      </c>
      <c r="BC2034" s="4" t="s">
        <v>63</v>
      </c>
      <c r="BD2034" s="4" t="s">
        <v>63</v>
      </c>
      <c r="BE2034" s="4" t="s">
        <v>63</v>
      </c>
      <c r="BF2034" s="4" t="s">
        <v>63</v>
      </c>
    </row>
    <row r="2035" spans="1:58">
      <c r="A2035" s="4" t="s">
        <v>58</v>
      </c>
      <c r="B2035" s="4" t="s">
        <v>17447</v>
      </c>
      <c r="C2035" s="4" t="s">
        <v>17448</v>
      </c>
      <c r="D2035" s="4" t="s">
        <v>15263</v>
      </c>
      <c r="E2035" s="4" t="s">
        <v>15264</v>
      </c>
      <c r="F2035" s="4">
        <v>2015</v>
      </c>
      <c r="G2035" s="4">
        <v>1</v>
      </c>
      <c r="H2035" s="4">
        <v>156</v>
      </c>
      <c r="I2035" s="4" t="s">
        <v>63</v>
      </c>
      <c r="J2035" s="4" t="s">
        <v>16884</v>
      </c>
      <c r="K2035" s="4" t="s">
        <v>63</v>
      </c>
      <c r="L2035" s="4" t="s">
        <v>17449</v>
      </c>
      <c r="M2035" s="4" t="s">
        <v>17450</v>
      </c>
      <c r="N2035" s="4" t="s">
        <v>17451</v>
      </c>
      <c r="O2035" s="4" t="s">
        <v>63</v>
      </c>
      <c r="P2035" s="4"/>
      <c r="Q2035" s="4" t="s">
        <v>63</v>
      </c>
      <c r="R2035" s="4" t="s">
        <v>63</v>
      </c>
      <c r="S2035" s="4" t="s">
        <v>63</v>
      </c>
      <c r="T2035" s="4" t="s">
        <v>63</v>
      </c>
      <c r="U2035" s="4"/>
      <c r="V2035" s="4"/>
      <c r="W2035" s="4"/>
      <c r="X2035" s="4" t="s">
        <v>63</v>
      </c>
      <c r="Y2035" s="4" t="s">
        <v>4942</v>
      </c>
      <c r="Z2035" s="4" t="s">
        <v>63</v>
      </c>
      <c r="AA2035" s="4" t="s">
        <v>63</v>
      </c>
      <c r="AB2035" s="4" t="s">
        <v>63</v>
      </c>
      <c r="AC2035" s="4" t="s">
        <v>67</v>
      </c>
      <c r="AD2035" s="4" t="s">
        <v>63</v>
      </c>
      <c r="AE2035" s="4" t="s">
        <v>63</v>
      </c>
      <c r="AF2035" s="4" t="s">
        <v>63</v>
      </c>
      <c r="AG2035" s="4" t="s">
        <v>63</v>
      </c>
      <c r="AH2035" s="4" t="s">
        <v>63</v>
      </c>
      <c r="AI2035" s="4" t="s">
        <v>17452</v>
      </c>
      <c r="AJ2035" s="4" t="s">
        <v>63</v>
      </c>
      <c r="AK2035" s="4" t="s">
        <v>63</v>
      </c>
      <c r="AL2035" s="4" t="s">
        <v>63</v>
      </c>
      <c r="AM2035" s="4" t="s">
        <v>17448</v>
      </c>
      <c r="AN2035" s="4" t="s">
        <v>63</v>
      </c>
      <c r="AO2035" s="4" t="s">
        <v>63</v>
      </c>
      <c r="AP2035" s="4" t="s">
        <v>63</v>
      </c>
      <c r="AQ2035" s="4" t="s">
        <v>63</v>
      </c>
      <c r="AR2035" s="4" t="s">
        <v>63</v>
      </c>
      <c r="AS2035" s="4" t="s">
        <v>63</v>
      </c>
      <c r="AT2035" s="4" t="s">
        <v>63</v>
      </c>
      <c r="AU2035" s="4" t="s">
        <v>63</v>
      </c>
      <c r="AV2035" s="4" t="s">
        <v>63</v>
      </c>
      <c r="AW2035" s="4" t="s">
        <v>63</v>
      </c>
      <c r="AX2035" s="4" t="s">
        <v>63</v>
      </c>
      <c r="AY2035" s="4" t="s">
        <v>63</v>
      </c>
      <c r="AZ2035" s="4" t="s">
        <v>63</v>
      </c>
      <c r="BA2035" s="4" t="s">
        <v>63</v>
      </c>
      <c r="BB2035" s="4" t="s">
        <v>63</v>
      </c>
      <c r="BC2035" s="4" t="s">
        <v>63</v>
      </c>
      <c r="BD2035" s="4" t="s">
        <v>63</v>
      </c>
      <c r="BE2035" s="4" t="s">
        <v>63</v>
      </c>
      <c r="BF2035" s="4" t="s">
        <v>63</v>
      </c>
    </row>
    <row r="2036" spans="1:58">
      <c r="A2036" s="4" t="s">
        <v>58</v>
      </c>
      <c r="B2036" s="4" t="s">
        <v>17453</v>
      </c>
      <c r="C2036" s="4" t="s">
        <v>17454</v>
      </c>
      <c r="D2036" s="4" t="s">
        <v>1793</v>
      </c>
      <c r="E2036" s="4" t="s">
        <v>63</v>
      </c>
      <c r="F2036" s="4">
        <v>2014</v>
      </c>
      <c r="G2036" s="4" t="s">
        <v>15665</v>
      </c>
      <c r="H2036" s="4">
        <v>22</v>
      </c>
      <c r="I2036" s="4">
        <v>1</v>
      </c>
      <c r="J2036" s="4">
        <v>94</v>
      </c>
      <c r="K2036" s="4" t="s">
        <v>63</v>
      </c>
      <c r="L2036" s="4" t="s">
        <v>17455</v>
      </c>
      <c r="M2036" s="4" t="s">
        <v>63</v>
      </c>
      <c r="N2036" s="4" t="s">
        <v>17456</v>
      </c>
      <c r="O2036" s="4" t="s">
        <v>63</v>
      </c>
      <c r="P2036" s="4"/>
      <c r="Q2036" s="4" t="s">
        <v>63</v>
      </c>
      <c r="R2036" s="4" t="s">
        <v>63</v>
      </c>
      <c r="S2036" s="4" t="s">
        <v>63</v>
      </c>
      <c r="T2036" s="4" t="s">
        <v>63</v>
      </c>
      <c r="U2036" s="4"/>
      <c r="V2036" s="4"/>
      <c r="W2036" s="4"/>
      <c r="X2036" s="4" t="s">
        <v>63</v>
      </c>
      <c r="Y2036" s="4" t="s">
        <v>17457</v>
      </c>
      <c r="Z2036" s="4" t="s">
        <v>63</v>
      </c>
      <c r="AA2036" s="4" t="s">
        <v>63</v>
      </c>
      <c r="AB2036" s="4">
        <v>2014174158</v>
      </c>
      <c r="AC2036" s="4" t="s">
        <v>67</v>
      </c>
      <c r="AD2036" s="4" t="s">
        <v>63</v>
      </c>
      <c r="AE2036" s="4" t="s">
        <v>63</v>
      </c>
      <c r="AF2036" s="4" t="s">
        <v>63</v>
      </c>
      <c r="AG2036" s="4" t="s">
        <v>17458</v>
      </c>
      <c r="AH2036" s="4" t="s">
        <v>63</v>
      </c>
      <c r="AI2036" s="4" t="s">
        <v>17459</v>
      </c>
      <c r="AJ2036" s="4" t="s">
        <v>63</v>
      </c>
      <c r="AK2036" s="4" t="s">
        <v>63</v>
      </c>
      <c r="AL2036" s="4" t="s">
        <v>63</v>
      </c>
      <c r="AM2036" s="4" t="s">
        <v>17460</v>
      </c>
      <c r="AN2036" s="4" t="s">
        <v>63</v>
      </c>
      <c r="AO2036" s="4" t="s">
        <v>63</v>
      </c>
      <c r="AP2036" s="4" t="s">
        <v>63</v>
      </c>
      <c r="AQ2036" s="4" t="s">
        <v>63</v>
      </c>
      <c r="AR2036" s="4" t="s">
        <v>63</v>
      </c>
      <c r="AS2036" s="4" t="s">
        <v>63</v>
      </c>
      <c r="AT2036" s="4" t="s">
        <v>63</v>
      </c>
      <c r="AU2036" s="4" t="s">
        <v>63</v>
      </c>
      <c r="AV2036" s="4" t="s">
        <v>63</v>
      </c>
      <c r="AW2036" s="4" t="s">
        <v>63</v>
      </c>
      <c r="AX2036" s="4" t="s">
        <v>63</v>
      </c>
      <c r="AY2036" s="4" t="s">
        <v>63</v>
      </c>
      <c r="AZ2036" s="4" t="s">
        <v>63</v>
      </c>
      <c r="BA2036" s="4" t="s">
        <v>63</v>
      </c>
      <c r="BB2036" s="4" t="s">
        <v>63</v>
      </c>
      <c r="BC2036" s="4" t="s">
        <v>63</v>
      </c>
      <c r="BD2036" s="4" t="s">
        <v>63</v>
      </c>
      <c r="BE2036" s="4" t="s">
        <v>63</v>
      </c>
      <c r="BF2036" s="4" t="s">
        <v>63</v>
      </c>
    </row>
    <row r="2037" spans="1:58">
      <c r="A2037" s="4" t="s">
        <v>58</v>
      </c>
      <c r="B2037" s="4" t="s">
        <v>17461</v>
      </c>
      <c r="C2037" s="4" t="s">
        <v>17462</v>
      </c>
      <c r="D2037" s="4" t="s">
        <v>734</v>
      </c>
      <c r="E2037" s="4" t="s">
        <v>63</v>
      </c>
      <c r="F2037" s="4">
        <v>2000</v>
      </c>
      <c r="G2037" s="4" t="s">
        <v>63</v>
      </c>
      <c r="H2037" s="4">
        <v>11</v>
      </c>
      <c r="I2037" s="4">
        <v>6</v>
      </c>
      <c r="J2037" s="4">
        <v>387</v>
      </c>
      <c r="K2037" s="4">
        <v>392</v>
      </c>
      <c r="L2037" s="4" t="s">
        <v>17463</v>
      </c>
      <c r="M2037" s="4" t="s">
        <v>17464</v>
      </c>
      <c r="N2037" s="4" t="s">
        <v>17465</v>
      </c>
      <c r="O2037" s="4" t="s">
        <v>63</v>
      </c>
      <c r="P2037" s="4"/>
      <c r="Q2037" s="4" t="s">
        <v>63</v>
      </c>
      <c r="R2037" s="4" t="s">
        <v>63</v>
      </c>
      <c r="S2037" s="4" t="s">
        <v>63</v>
      </c>
      <c r="T2037" s="4" t="s">
        <v>63</v>
      </c>
      <c r="U2037" s="4"/>
      <c r="V2037" s="4"/>
      <c r="W2037" s="4"/>
      <c r="X2037" s="4" t="s">
        <v>63</v>
      </c>
      <c r="Y2037" s="4" t="s">
        <v>16036</v>
      </c>
      <c r="Z2037" s="4" t="s">
        <v>63</v>
      </c>
      <c r="AA2037" s="4" t="s">
        <v>63</v>
      </c>
      <c r="AB2037" s="4" t="s">
        <v>17466</v>
      </c>
      <c r="AC2037" s="4" t="s">
        <v>67</v>
      </c>
      <c r="AD2037" s="4" t="s">
        <v>63</v>
      </c>
      <c r="AE2037" s="4" t="s">
        <v>63</v>
      </c>
      <c r="AF2037" s="4" t="s">
        <v>63</v>
      </c>
      <c r="AG2037" s="4" t="s">
        <v>63</v>
      </c>
      <c r="AH2037" s="4" t="s">
        <v>63</v>
      </c>
      <c r="AI2037" s="4" t="s">
        <v>17467</v>
      </c>
      <c r="AJ2037" s="4" t="s">
        <v>63</v>
      </c>
      <c r="AK2037" s="4" t="s">
        <v>63</v>
      </c>
      <c r="AL2037" s="4" t="s">
        <v>63</v>
      </c>
      <c r="AM2037" s="4" t="s">
        <v>17462</v>
      </c>
      <c r="AN2037" s="4" t="s">
        <v>63</v>
      </c>
      <c r="AO2037" s="4" t="s">
        <v>63</v>
      </c>
      <c r="AP2037" s="4" t="s">
        <v>63</v>
      </c>
      <c r="AQ2037" s="4" t="s">
        <v>63</v>
      </c>
      <c r="AR2037" s="4" t="s">
        <v>63</v>
      </c>
      <c r="AS2037" s="4" t="s">
        <v>63</v>
      </c>
      <c r="AT2037" s="4" t="s">
        <v>63</v>
      </c>
      <c r="AU2037" s="4" t="s">
        <v>63</v>
      </c>
      <c r="AV2037" s="4" t="s">
        <v>63</v>
      </c>
      <c r="AW2037" s="4" t="s">
        <v>63</v>
      </c>
      <c r="AX2037" s="4" t="s">
        <v>63</v>
      </c>
      <c r="AY2037" s="4" t="s">
        <v>63</v>
      </c>
      <c r="AZ2037" s="4" t="s">
        <v>63</v>
      </c>
      <c r="BA2037" s="4" t="s">
        <v>63</v>
      </c>
      <c r="BB2037" s="4" t="s">
        <v>63</v>
      </c>
      <c r="BC2037" s="4" t="s">
        <v>63</v>
      </c>
      <c r="BD2037" s="4" t="s">
        <v>63</v>
      </c>
      <c r="BE2037" s="4" t="s">
        <v>63</v>
      </c>
      <c r="BF2037" s="4" t="s">
        <v>63</v>
      </c>
    </row>
    <row r="2038" spans="1:58">
      <c r="A2038" s="4" t="s">
        <v>58</v>
      </c>
      <c r="B2038" s="4" t="s">
        <v>17468</v>
      </c>
      <c r="C2038" s="4" t="s">
        <v>17469</v>
      </c>
      <c r="D2038" s="4" t="s">
        <v>17470</v>
      </c>
      <c r="E2038" s="4" t="s">
        <v>63</v>
      </c>
      <c r="F2038" s="4">
        <v>2016</v>
      </c>
      <c r="G2038" s="4">
        <v>1</v>
      </c>
      <c r="H2038" s="4">
        <v>5</v>
      </c>
      <c r="I2038" s="4">
        <v>4</v>
      </c>
      <c r="J2038" s="4">
        <v>285</v>
      </c>
      <c r="K2038" s="4">
        <v>289</v>
      </c>
      <c r="L2038" s="4" t="s">
        <v>17471</v>
      </c>
      <c r="M2038" s="4" t="s">
        <v>17472</v>
      </c>
      <c r="N2038" s="4" t="s">
        <v>17473</v>
      </c>
      <c r="O2038" s="4" t="s">
        <v>63</v>
      </c>
      <c r="P2038" s="4"/>
      <c r="Q2038" s="4" t="s">
        <v>63</v>
      </c>
      <c r="R2038" s="4" t="s">
        <v>63</v>
      </c>
      <c r="S2038" s="4" t="s">
        <v>63</v>
      </c>
      <c r="T2038" s="4" t="s">
        <v>63</v>
      </c>
      <c r="U2038" s="4"/>
      <c r="V2038" s="4"/>
      <c r="W2038" s="4"/>
      <c r="X2038" s="4" t="s">
        <v>63</v>
      </c>
      <c r="Y2038" s="4" t="s">
        <v>17474</v>
      </c>
      <c r="Z2038" s="4" t="s">
        <v>63</v>
      </c>
      <c r="AA2038" s="4" t="s">
        <v>63</v>
      </c>
      <c r="AB2038" s="4" t="s">
        <v>17475</v>
      </c>
      <c r="AC2038" s="4" t="s">
        <v>67</v>
      </c>
      <c r="AD2038" s="4" t="s">
        <v>63</v>
      </c>
      <c r="AE2038" s="4" t="s">
        <v>63</v>
      </c>
      <c r="AF2038" s="4" t="s">
        <v>63</v>
      </c>
      <c r="AG2038" s="4" t="s">
        <v>63</v>
      </c>
      <c r="AH2038" s="4" t="s">
        <v>63</v>
      </c>
      <c r="AI2038" s="4" t="s">
        <v>17476</v>
      </c>
      <c r="AJ2038" s="4" t="s">
        <v>63</v>
      </c>
      <c r="AK2038" s="4" t="s">
        <v>63</v>
      </c>
      <c r="AL2038" s="4" t="s">
        <v>63</v>
      </c>
      <c r="AM2038" s="4" t="s">
        <v>17469</v>
      </c>
      <c r="AN2038" s="4" t="s">
        <v>63</v>
      </c>
      <c r="AO2038" s="4" t="s">
        <v>63</v>
      </c>
      <c r="AP2038" s="4" t="s">
        <v>63</v>
      </c>
      <c r="AQ2038" s="4" t="s">
        <v>63</v>
      </c>
      <c r="AR2038" s="4" t="s">
        <v>63</v>
      </c>
      <c r="AS2038" s="4" t="s">
        <v>63</v>
      </c>
      <c r="AT2038" s="4" t="s">
        <v>63</v>
      </c>
      <c r="AU2038" s="4" t="s">
        <v>63</v>
      </c>
      <c r="AV2038" s="4" t="s">
        <v>63</v>
      </c>
      <c r="AW2038" s="4" t="s">
        <v>63</v>
      </c>
      <c r="AX2038" s="4" t="s">
        <v>63</v>
      </c>
      <c r="AY2038" s="4" t="s">
        <v>63</v>
      </c>
      <c r="AZ2038" s="4" t="s">
        <v>63</v>
      </c>
      <c r="BA2038" s="4" t="s">
        <v>63</v>
      </c>
      <c r="BB2038" s="4" t="s">
        <v>63</v>
      </c>
      <c r="BC2038" s="4" t="s">
        <v>63</v>
      </c>
      <c r="BD2038" s="4" t="s">
        <v>63</v>
      </c>
      <c r="BE2038" s="4" t="s">
        <v>63</v>
      </c>
      <c r="BF2038" s="4" t="s">
        <v>63</v>
      </c>
    </row>
    <row r="2039" spans="1:58">
      <c r="A2039" s="4" t="s">
        <v>58</v>
      </c>
      <c r="B2039" s="4" t="s">
        <v>17477</v>
      </c>
      <c r="C2039" s="4" t="s">
        <v>17478</v>
      </c>
      <c r="D2039" s="4" t="s">
        <v>13447</v>
      </c>
      <c r="E2039" s="4" t="s">
        <v>63</v>
      </c>
      <c r="F2039" s="4">
        <v>2012</v>
      </c>
      <c r="G2039" s="4" t="s">
        <v>15165</v>
      </c>
      <c r="H2039" s="4">
        <v>25</v>
      </c>
      <c r="I2039" s="4">
        <v>2</v>
      </c>
      <c r="J2039" s="4">
        <v>284</v>
      </c>
      <c r="K2039" s="4" t="s">
        <v>63</v>
      </c>
      <c r="L2039" s="4" t="s">
        <v>17479</v>
      </c>
      <c r="M2039" s="4" t="s">
        <v>17480</v>
      </c>
      <c r="N2039" s="4" t="s">
        <v>17481</v>
      </c>
      <c r="O2039" s="4" t="s">
        <v>63</v>
      </c>
      <c r="P2039" s="4"/>
      <c r="Q2039" s="4" t="s">
        <v>63</v>
      </c>
      <c r="R2039" s="4" t="s">
        <v>63</v>
      </c>
      <c r="S2039" s="4" t="s">
        <v>63</v>
      </c>
      <c r="T2039" s="4" t="s">
        <v>63</v>
      </c>
      <c r="U2039" s="4"/>
      <c r="V2039" s="4"/>
      <c r="W2039" s="4"/>
      <c r="X2039" s="4" t="s">
        <v>63</v>
      </c>
      <c r="Y2039" s="4" t="s">
        <v>16404</v>
      </c>
      <c r="Z2039" s="4" t="s">
        <v>63</v>
      </c>
      <c r="AA2039" s="4" t="s">
        <v>63</v>
      </c>
      <c r="AB2039" s="4" t="s">
        <v>63</v>
      </c>
      <c r="AC2039" s="4" t="s">
        <v>67</v>
      </c>
      <c r="AD2039" s="4" t="s">
        <v>63</v>
      </c>
      <c r="AE2039" s="4" t="s">
        <v>63</v>
      </c>
      <c r="AF2039" s="4" t="s">
        <v>63</v>
      </c>
      <c r="AG2039" s="4" t="s">
        <v>63</v>
      </c>
      <c r="AH2039" s="4" t="s">
        <v>63</v>
      </c>
      <c r="AI2039" s="4" t="s">
        <v>17482</v>
      </c>
      <c r="AJ2039" s="4" t="s">
        <v>63</v>
      </c>
      <c r="AK2039" s="4" t="s">
        <v>63</v>
      </c>
      <c r="AL2039" s="4" t="s">
        <v>63</v>
      </c>
      <c r="AM2039" s="4" t="s">
        <v>17478</v>
      </c>
      <c r="AN2039" s="4" t="s">
        <v>63</v>
      </c>
      <c r="AO2039" s="4" t="s">
        <v>63</v>
      </c>
      <c r="AP2039" s="4" t="s">
        <v>63</v>
      </c>
      <c r="AQ2039" s="4" t="s">
        <v>63</v>
      </c>
      <c r="AR2039" s="4" t="s">
        <v>63</v>
      </c>
      <c r="AS2039" s="4" t="s">
        <v>63</v>
      </c>
      <c r="AT2039" s="4" t="s">
        <v>63</v>
      </c>
      <c r="AU2039" s="4" t="s">
        <v>63</v>
      </c>
      <c r="AV2039" s="4" t="s">
        <v>63</v>
      </c>
      <c r="AW2039" s="4" t="s">
        <v>63</v>
      </c>
      <c r="AX2039" s="4" t="s">
        <v>63</v>
      </c>
      <c r="AY2039" s="4" t="s">
        <v>63</v>
      </c>
      <c r="AZ2039" s="4" t="s">
        <v>63</v>
      </c>
      <c r="BA2039" s="4" t="s">
        <v>63</v>
      </c>
      <c r="BB2039" s="4" t="s">
        <v>63</v>
      </c>
      <c r="BC2039" s="4" t="s">
        <v>63</v>
      </c>
      <c r="BD2039" s="4" t="s">
        <v>63</v>
      </c>
      <c r="BE2039" s="4" t="s">
        <v>63</v>
      </c>
      <c r="BF2039" s="4" t="s">
        <v>63</v>
      </c>
    </row>
    <row r="2040" spans="1:58">
      <c r="A2040" s="4" t="s">
        <v>58</v>
      </c>
      <c r="B2040" s="4" t="s">
        <v>17483</v>
      </c>
      <c r="C2040" s="4" t="s">
        <v>17484</v>
      </c>
      <c r="D2040" s="4" t="s">
        <v>17485</v>
      </c>
      <c r="E2040" s="4" t="s">
        <v>17486</v>
      </c>
      <c r="F2040" s="4">
        <v>2002</v>
      </c>
      <c r="G2040" s="4" t="s">
        <v>63</v>
      </c>
      <c r="H2040" s="4">
        <v>26</v>
      </c>
      <c r="I2040" s="4">
        <v>1</v>
      </c>
      <c r="J2040" s="4">
        <v>99</v>
      </c>
      <c r="K2040" s="4">
        <v>100</v>
      </c>
      <c r="L2040" s="4" t="s">
        <v>17487</v>
      </c>
      <c r="M2040" s="4" t="s">
        <v>17488</v>
      </c>
      <c r="N2040" s="4" t="s">
        <v>17489</v>
      </c>
      <c r="O2040" s="4" t="s">
        <v>63</v>
      </c>
      <c r="P2040" s="4"/>
      <c r="Q2040" s="4" t="s">
        <v>63</v>
      </c>
      <c r="R2040" s="4" t="s">
        <v>63</v>
      </c>
      <c r="S2040" s="4" t="s">
        <v>63</v>
      </c>
      <c r="T2040" s="4" t="s">
        <v>63</v>
      </c>
      <c r="U2040" s="4"/>
      <c r="V2040" s="4"/>
      <c r="W2040" s="4"/>
      <c r="X2040" s="4" t="s">
        <v>63</v>
      </c>
      <c r="Y2040" s="4" t="s">
        <v>17490</v>
      </c>
      <c r="Z2040" s="4" t="s">
        <v>63</v>
      </c>
      <c r="AA2040" s="4" t="s">
        <v>63</v>
      </c>
      <c r="AB2040" s="4">
        <v>2002289918</v>
      </c>
      <c r="AC2040" s="4" t="s">
        <v>67</v>
      </c>
      <c r="AD2040" s="4" t="s">
        <v>63</v>
      </c>
      <c r="AE2040" s="4" t="s">
        <v>63</v>
      </c>
      <c r="AF2040" s="4" t="s">
        <v>63</v>
      </c>
      <c r="AG2040" s="4" t="s">
        <v>17491</v>
      </c>
      <c r="AH2040" s="4" t="s">
        <v>63</v>
      </c>
      <c r="AI2040" s="4" t="s">
        <v>63</v>
      </c>
      <c r="AJ2040" s="4" t="s">
        <v>63</v>
      </c>
      <c r="AK2040" s="4" t="s">
        <v>63</v>
      </c>
      <c r="AL2040" s="4" t="s">
        <v>63</v>
      </c>
      <c r="AM2040" s="4" t="s">
        <v>17492</v>
      </c>
      <c r="AN2040" s="4" t="s">
        <v>63</v>
      </c>
      <c r="AO2040" s="4" t="s">
        <v>63</v>
      </c>
      <c r="AP2040" s="4" t="s">
        <v>63</v>
      </c>
      <c r="AQ2040" s="4" t="s">
        <v>63</v>
      </c>
      <c r="AR2040" s="4" t="s">
        <v>63</v>
      </c>
      <c r="AS2040" s="4" t="s">
        <v>63</v>
      </c>
      <c r="AT2040" s="4" t="s">
        <v>63</v>
      </c>
      <c r="AU2040" s="4" t="s">
        <v>63</v>
      </c>
      <c r="AV2040" s="4" t="s">
        <v>63</v>
      </c>
      <c r="AW2040" s="4" t="s">
        <v>63</v>
      </c>
      <c r="AX2040" s="4" t="s">
        <v>63</v>
      </c>
      <c r="AY2040" s="4" t="s">
        <v>63</v>
      </c>
      <c r="AZ2040" s="4" t="s">
        <v>63</v>
      </c>
      <c r="BA2040" s="4" t="s">
        <v>63</v>
      </c>
      <c r="BB2040" s="4" t="s">
        <v>63</v>
      </c>
      <c r="BC2040" s="4" t="s">
        <v>63</v>
      </c>
      <c r="BD2040" s="4" t="s">
        <v>63</v>
      </c>
      <c r="BE2040" s="4" t="s">
        <v>63</v>
      </c>
      <c r="BF2040" s="4" t="s">
        <v>63</v>
      </c>
    </row>
    <row r="2041" spans="1:58">
      <c r="A2041" s="4" t="s">
        <v>58</v>
      </c>
      <c r="B2041" s="4" t="s">
        <v>17493</v>
      </c>
      <c r="C2041" s="4" t="s">
        <v>17494</v>
      </c>
      <c r="D2041" s="4" t="s">
        <v>17495</v>
      </c>
      <c r="E2041" s="4" t="s">
        <v>63</v>
      </c>
      <c r="F2041" s="4">
        <v>2010</v>
      </c>
      <c r="G2041" s="4" t="s">
        <v>63</v>
      </c>
      <c r="H2041" s="4" t="s">
        <v>17496</v>
      </c>
      <c r="I2041" s="4" t="s">
        <v>63</v>
      </c>
      <c r="J2041" s="4" t="s">
        <v>63</v>
      </c>
      <c r="K2041" s="4" t="s">
        <v>63</v>
      </c>
      <c r="L2041" s="4" t="s">
        <v>17497</v>
      </c>
      <c r="M2041" s="4" t="s">
        <v>17498</v>
      </c>
      <c r="N2041" s="4" t="s">
        <v>17499</v>
      </c>
      <c r="O2041" s="4" t="s">
        <v>63</v>
      </c>
      <c r="P2041" s="4"/>
      <c r="Q2041" s="4" t="s">
        <v>63</v>
      </c>
      <c r="R2041" s="4" t="s">
        <v>63</v>
      </c>
      <c r="S2041" s="4" t="s">
        <v>63</v>
      </c>
      <c r="T2041" s="4" t="s">
        <v>63</v>
      </c>
      <c r="U2041" s="4"/>
      <c r="V2041" s="4"/>
      <c r="W2041" s="4"/>
      <c r="X2041" s="4" t="s">
        <v>63</v>
      </c>
      <c r="Y2041" s="4" t="s">
        <v>17500</v>
      </c>
      <c r="Z2041" s="4" t="s">
        <v>63</v>
      </c>
      <c r="AA2041" s="4" t="s">
        <v>63</v>
      </c>
      <c r="AB2041" s="4" t="s">
        <v>63</v>
      </c>
      <c r="AC2041" s="4" t="s">
        <v>67</v>
      </c>
      <c r="AD2041" s="4" t="s">
        <v>63</v>
      </c>
      <c r="AE2041" s="4" t="s">
        <v>63</v>
      </c>
      <c r="AF2041" s="4" t="s">
        <v>63</v>
      </c>
      <c r="AG2041" s="4" t="s">
        <v>63</v>
      </c>
      <c r="AH2041" s="4" t="s">
        <v>63</v>
      </c>
      <c r="AI2041" s="4" t="s">
        <v>63</v>
      </c>
      <c r="AJ2041" s="4" t="s">
        <v>63</v>
      </c>
      <c r="AK2041" s="4" t="s">
        <v>63</v>
      </c>
      <c r="AL2041" s="4" t="s">
        <v>63</v>
      </c>
      <c r="AM2041" s="4" t="s">
        <v>17494</v>
      </c>
      <c r="AN2041" s="4" t="s">
        <v>63</v>
      </c>
      <c r="AO2041" s="4" t="s">
        <v>63</v>
      </c>
      <c r="AP2041" s="4" t="s">
        <v>63</v>
      </c>
      <c r="AQ2041" s="4" t="s">
        <v>63</v>
      </c>
      <c r="AR2041" s="4" t="s">
        <v>63</v>
      </c>
      <c r="AS2041" s="4" t="s">
        <v>63</v>
      </c>
      <c r="AT2041" s="4" t="s">
        <v>63</v>
      </c>
      <c r="AU2041" s="4" t="s">
        <v>63</v>
      </c>
      <c r="AV2041" s="4" t="s">
        <v>63</v>
      </c>
      <c r="AW2041" s="4" t="s">
        <v>63</v>
      </c>
      <c r="AX2041" s="4" t="s">
        <v>63</v>
      </c>
      <c r="AY2041" s="4" t="s">
        <v>63</v>
      </c>
      <c r="AZ2041" s="4" t="s">
        <v>63</v>
      </c>
      <c r="BA2041" s="4" t="s">
        <v>63</v>
      </c>
      <c r="BB2041" s="4" t="s">
        <v>63</v>
      </c>
      <c r="BC2041" s="4" t="s">
        <v>63</v>
      </c>
      <c r="BD2041" s="4" t="s">
        <v>63</v>
      </c>
      <c r="BE2041" s="4" t="s">
        <v>63</v>
      </c>
      <c r="BF2041" s="4" t="s">
        <v>63</v>
      </c>
    </row>
    <row r="2042" spans="1:58">
      <c r="A2042" s="4" t="s">
        <v>58</v>
      </c>
      <c r="B2042" s="4" t="s">
        <v>17501</v>
      </c>
      <c r="C2042" s="4" t="s">
        <v>17502</v>
      </c>
      <c r="D2042" s="4" t="s">
        <v>17503</v>
      </c>
      <c r="E2042" s="4" t="s">
        <v>63</v>
      </c>
      <c r="F2042" s="4">
        <v>2015</v>
      </c>
      <c r="G2042" s="4" t="s">
        <v>15165</v>
      </c>
      <c r="H2042" s="4">
        <v>18</v>
      </c>
      <c r="I2042" s="4">
        <v>2</v>
      </c>
      <c r="J2042" s="4">
        <v>311</v>
      </c>
      <c r="K2042" s="4" t="s">
        <v>63</v>
      </c>
      <c r="L2042" s="4" t="s">
        <v>17504</v>
      </c>
      <c r="M2042" s="4" t="s">
        <v>17505</v>
      </c>
      <c r="N2042" s="4" t="s">
        <v>17506</v>
      </c>
      <c r="O2042" s="4" t="s">
        <v>63</v>
      </c>
      <c r="P2042" s="4"/>
      <c r="Q2042" s="4" t="s">
        <v>63</v>
      </c>
      <c r="R2042" s="4" t="s">
        <v>63</v>
      </c>
      <c r="S2042" s="4" t="s">
        <v>63</v>
      </c>
      <c r="T2042" s="4" t="s">
        <v>63</v>
      </c>
      <c r="U2042" s="4"/>
      <c r="V2042" s="4"/>
      <c r="W2042" s="4"/>
      <c r="X2042" s="4" t="s">
        <v>63</v>
      </c>
      <c r="Y2042" s="4" t="s">
        <v>17507</v>
      </c>
      <c r="Z2042" s="4" t="s">
        <v>63</v>
      </c>
      <c r="AA2042" s="4" t="s">
        <v>63</v>
      </c>
      <c r="AB2042" s="4" t="s">
        <v>63</v>
      </c>
      <c r="AC2042" s="4" t="s">
        <v>67</v>
      </c>
      <c r="AD2042" s="4" t="s">
        <v>63</v>
      </c>
      <c r="AE2042" s="4" t="s">
        <v>63</v>
      </c>
      <c r="AF2042" s="4" t="s">
        <v>63</v>
      </c>
      <c r="AG2042" s="4" t="s">
        <v>63</v>
      </c>
      <c r="AH2042" s="4" t="s">
        <v>63</v>
      </c>
      <c r="AI2042" s="4" t="s">
        <v>17508</v>
      </c>
      <c r="AJ2042" s="4" t="s">
        <v>63</v>
      </c>
      <c r="AK2042" s="4" t="s">
        <v>63</v>
      </c>
      <c r="AL2042" s="4" t="s">
        <v>63</v>
      </c>
      <c r="AM2042" s="4" t="s">
        <v>17502</v>
      </c>
      <c r="AN2042" s="4" t="s">
        <v>63</v>
      </c>
      <c r="AO2042" s="4" t="s">
        <v>63</v>
      </c>
      <c r="AP2042" s="4" t="s">
        <v>63</v>
      </c>
      <c r="AQ2042" s="4" t="s">
        <v>63</v>
      </c>
      <c r="AR2042" s="4" t="s">
        <v>63</v>
      </c>
      <c r="AS2042" s="4" t="s">
        <v>63</v>
      </c>
      <c r="AT2042" s="4" t="s">
        <v>63</v>
      </c>
      <c r="AU2042" s="4" t="s">
        <v>63</v>
      </c>
      <c r="AV2042" s="4" t="s">
        <v>63</v>
      </c>
      <c r="AW2042" s="4" t="s">
        <v>63</v>
      </c>
      <c r="AX2042" s="4" t="s">
        <v>63</v>
      </c>
      <c r="AY2042" s="4" t="s">
        <v>63</v>
      </c>
      <c r="AZ2042" s="4" t="s">
        <v>63</v>
      </c>
      <c r="BA2042" s="4" t="s">
        <v>63</v>
      </c>
      <c r="BB2042" s="4" t="s">
        <v>63</v>
      </c>
      <c r="BC2042" s="4" t="s">
        <v>63</v>
      </c>
      <c r="BD2042" s="4" t="s">
        <v>63</v>
      </c>
      <c r="BE2042" s="4" t="s">
        <v>63</v>
      </c>
      <c r="BF2042" s="4" t="s">
        <v>63</v>
      </c>
    </row>
    <row r="2043" spans="1:58">
      <c r="A2043" s="4" t="s">
        <v>2702</v>
      </c>
      <c r="B2043" s="4" t="s">
        <v>17509</v>
      </c>
      <c r="C2043" s="4" t="s">
        <v>17510</v>
      </c>
      <c r="D2043" s="4" t="s">
        <v>8616</v>
      </c>
      <c r="E2043" s="4" t="s">
        <v>8617</v>
      </c>
      <c r="F2043" s="4">
        <v>1980</v>
      </c>
      <c r="G2043" s="4">
        <v>14</v>
      </c>
      <c r="H2043" s="4">
        <v>121</v>
      </c>
      <c r="I2043" s="4">
        <v>50</v>
      </c>
      <c r="J2043" s="4">
        <v>3078</v>
      </c>
      <c r="K2043" s="4">
        <v>3079</v>
      </c>
      <c r="L2043" s="4" t="s">
        <v>17511</v>
      </c>
      <c r="M2043" s="4" t="s">
        <v>63</v>
      </c>
      <c r="N2043" s="4" t="s">
        <v>17512</v>
      </c>
      <c r="O2043" s="4" t="s">
        <v>63</v>
      </c>
      <c r="P2043" s="4"/>
      <c r="Q2043" s="4" t="s">
        <v>63</v>
      </c>
      <c r="R2043" s="4" t="s">
        <v>63</v>
      </c>
      <c r="S2043" s="4" t="s">
        <v>63</v>
      </c>
      <c r="T2043" s="4" t="s">
        <v>63</v>
      </c>
      <c r="U2043" s="4"/>
      <c r="V2043" s="4"/>
      <c r="W2043" s="4"/>
      <c r="X2043" s="4" t="s">
        <v>63</v>
      </c>
      <c r="Y2043" s="4" t="s">
        <v>8621</v>
      </c>
      <c r="Z2043" s="4" t="s">
        <v>63</v>
      </c>
      <c r="AA2043" s="4" t="s">
        <v>63</v>
      </c>
      <c r="AB2043" s="4" t="s">
        <v>63</v>
      </c>
      <c r="AC2043" s="4" t="s">
        <v>8623</v>
      </c>
      <c r="AD2043" s="4" t="s">
        <v>63</v>
      </c>
      <c r="AE2043" s="4" t="s">
        <v>63</v>
      </c>
      <c r="AF2043" s="4" t="s">
        <v>63</v>
      </c>
      <c r="AG2043" s="4" t="s">
        <v>17513</v>
      </c>
      <c r="AH2043" s="4" t="s">
        <v>63</v>
      </c>
      <c r="AI2043" s="4" t="s">
        <v>63</v>
      </c>
      <c r="AJ2043" s="4" t="s">
        <v>63</v>
      </c>
      <c r="AK2043" s="4" t="s">
        <v>63</v>
      </c>
      <c r="AL2043" s="4" t="s">
        <v>63</v>
      </c>
      <c r="AM2043" s="4" t="s">
        <v>17514</v>
      </c>
      <c r="AN2043" s="4" t="s">
        <v>63</v>
      </c>
      <c r="AO2043" s="4" t="s">
        <v>63</v>
      </c>
      <c r="AP2043" s="4" t="s">
        <v>63</v>
      </c>
      <c r="AQ2043" s="4" t="s">
        <v>63</v>
      </c>
      <c r="AR2043" s="4" t="s">
        <v>63</v>
      </c>
      <c r="AS2043" s="4" t="s">
        <v>63</v>
      </c>
      <c r="AT2043" s="4" t="s">
        <v>63</v>
      </c>
      <c r="AU2043" s="4" t="s">
        <v>63</v>
      </c>
      <c r="AV2043" s="4" t="s">
        <v>63</v>
      </c>
      <c r="AW2043" s="4" t="s">
        <v>63</v>
      </c>
      <c r="AX2043" s="4" t="s">
        <v>63</v>
      </c>
      <c r="AY2043" s="4" t="s">
        <v>63</v>
      </c>
      <c r="AZ2043" s="4" t="s">
        <v>63</v>
      </c>
      <c r="BA2043" s="4" t="s">
        <v>63</v>
      </c>
      <c r="BB2043" s="4" t="s">
        <v>63</v>
      </c>
      <c r="BC2043" s="4" t="s">
        <v>63</v>
      </c>
      <c r="BD2043" s="4" t="s">
        <v>63</v>
      </c>
      <c r="BE2043" s="4" t="s">
        <v>63</v>
      </c>
      <c r="BF2043" s="4" t="s">
        <v>63</v>
      </c>
    </row>
    <row r="2044" spans="1:58">
      <c r="A2044" s="4" t="s">
        <v>58</v>
      </c>
      <c r="B2044" s="4" t="s">
        <v>17515</v>
      </c>
      <c r="C2044" s="4" t="s">
        <v>17516</v>
      </c>
      <c r="D2044" s="4" t="s">
        <v>17517</v>
      </c>
      <c r="E2044" s="4" t="s">
        <v>17517</v>
      </c>
      <c r="F2044" s="4">
        <v>2011</v>
      </c>
      <c r="G2044" s="4" t="s">
        <v>15254</v>
      </c>
      <c r="H2044" s="4" t="s">
        <v>17518</v>
      </c>
      <c r="I2044" s="4" t="s">
        <v>63</v>
      </c>
      <c r="J2044" s="4" t="s">
        <v>17519</v>
      </c>
      <c r="K2044" s="4" t="s">
        <v>17520</v>
      </c>
      <c r="L2044" s="4" t="s">
        <v>17521</v>
      </c>
      <c r="M2044" s="4" t="s">
        <v>17522</v>
      </c>
      <c r="N2044" s="4" t="s">
        <v>17523</v>
      </c>
      <c r="O2044" s="4" t="s">
        <v>63</v>
      </c>
      <c r="P2044" s="4"/>
      <c r="Q2044" s="4" t="s">
        <v>63</v>
      </c>
      <c r="R2044" s="4" t="s">
        <v>63</v>
      </c>
      <c r="S2044" s="4" t="s">
        <v>63</v>
      </c>
      <c r="T2044" s="4" t="s">
        <v>63</v>
      </c>
      <c r="U2044" s="4"/>
      <c r="V2044" s="4"/>
      <c r="W2044" s="4"/>
      <c r="X2044" s="4" t="s">
        <v>63</v>
      </c>
      <c r="Y2044" s="4" t="s">
        <v>17524</v>
      </c>
      <c r="Z2044" s="4" t="s">
        <v>63</v>
      </c>
      <c r="AA2044" s="4" t="s">
        <v>63</v>
      </c>
      <c r="AB2044" s="4" t="s">
        <v>63</v>
      </c>
      <c r="AC2044" s="4" t="s">
        <v>67</v>
      </c>
      <c r="AD2044" s="4" t="s">
        <v>63</v>
      </c>
      <c r="AE2044" s="4" t="s">
        <v>63</v>
      </c>
      <c r="AF2044" s="4" t="s">
        <v>63</v>
      </c>
      <c r="AG2044" s="4" t="s">
        <v>63</v>
      </c>
      <c r="AH2044" s="4" t="s">
        <v>63</v>
      </c>
      <c r="AI2044" s="4" t="s">
        <v>17525</v>
      </c>
      <c r="AJ2044" s="4" t="s">
        <v>63</v>
      </c>
      <c r="AK2044" s="4" t="s">
        <v>63</v>
      </c>
      <c r="AL2044" s="4" t="s">
        <v>63</v>
      </c>
      <c r="AM2044" s="4" t="s">
        <v>17516</v>
      </c>
      <c r="AN2044" s="4" t="s">
        <v>63</v>
      </c>
      <c r="AO2044" s="4" t="s">
        <v>63</v>
      </c>
      <c r="AP2044" s="4" t="s">
        <v>63</v>
      </c>
      <c r="AQ2044" s="4" t="s">
        <v>63</v>
      </c>
      <c r="AR2044" s="4" t="s">
        <v>63</v>
      </c>
      <c r="AS2044" s="4" t="s">
        <v>63</v>
      </c>
      <c r="AT2044" s="4" t="s">
        <v>63</v>
      </c>
      <c r="AU2044" s="4" t="s">
        <v>63</v>
      </c>
      <c r="AV2044" s="4" t="s">
        <v>63</v>
      </c>
      <c r="AW2044" s="4" t="s">
        <v>63</v>
      </c>
      <c r="AX2044" s="4" t="s">
        <v>63</v>
      </c>
      <c r="AY2044" s="4" t="s">
        <v>63</v>
      </c>
      <c r="AZ2044" s="4" t="s">
        <v>63</v>
      </c>
      <c r="BA2044" s="4" t="s">
        <v>63</v>
      </c>
      <c r="BB2044" s="4" t="s">
        <v>63</v>
      </c>
      <c r="BC2044" s="4" t="s">
        <v>63</v>
      </c>
      <c r="BD2044" s="4" t="s">
        <v>63</v>
      </c>
      <c r="BE2044" s="4" t="s">
        <v>63</v>
      </c>
      <c r="BF2044" s="4" t="s">
        <v>63</v>
      </c>
    </row>
    <row r="2045" spans="1:58">
      <c r="A2045" s="4" t="s">
        <v>58</v>
      </c>
      <c r="B2045" s="4" t="s">
        <v>17526</v>
      </c>
      <c r="C2045" s="4" t="s">
        <v>17527</v>
      </c>
      <c r="D2045" s="4" t="s">
        <v>4567</v>
      </c>
      <c r="E2045" s="4" t="s">
        <v>4568</v>
      </c>
      <c r="F2045" s="4">
        <v>2018</v>
      </c>
      <c r="G2045" s="4">
        <v>1</v>
      </c>
      <c r="H2045" s="4">
        <v>111</v>
      </c>
      <c r="I2045" s="4" t="s">
        <v>63</v>
      </c>
      <c r="J2045" s="4">
        <v>231</v>
      </c>
      <c r="K2045" s="4">
        <v>234</v>
      </c>
      <c r="L2045" s="4" t="s">
        <v>17528</v>
      </c>
      <c r="M2045" s="4" t="s">
        <v>17529</v>
      </c>
      <c r="N2045" s="4" t="s">
        <v>17530</v>
      </c>
      <c r="O2045" s="4" t="s">
        <v>63</v>
      </c>
      <c r="P2045" s="4"/>
      <c r="Q2045" s="4" t="s">
        <v>63</v>
      </c>
      <c r="R2045" s="4" t="s">
        <v>63</v>
      </c>
      <c r="S2045" s="4" t="s">
        <v>63</v>
      </c>
      <c r="T2045" s="4" t="s">
        <v>63</v>
      </c>
      <c r="U2045" s="4"/>
      <c r="V2045" s="4"/>
      <c r="W2045" s="4"/>
      <c r="X2045" s="4" t="s">
        <v>63</v>
      </c>
      <c r="Y2045" s="4" t="s">
        <v>16177</v>
      </c>
      <c r="Z2045" s="4" t="s">
        <v>63</v>
      </c>
      <c r="AA2045" s="4" t="s">
        <v>63</v>
      </c>
      <c r="AB2045" s="4" t="s">
        <v>17531</v>
      </c>
      <c r="AC2045" s="4" t="s">
        <v>67</v>
      </c>
      <c r="AD2045" s="4" t="s">
        <v>63</v>
      </c>
      <c r="AE2045" s="4" t="s">
        <v>63</v>
      </c>
      <c r="AF2045" s="4" t="s">
        <v>63</v>
      </c>
      <c r="AG2045" s="4" t="s">
        <v>63</v>
      </c>
      <c r="AH2045" s="4" t="s">
        <v>63</v>
      </c>
      <c r="AI2045" s="4" t="s">
        <v>17532</v>
      </c>
      <c r="AJ2045" s="4" t="s">
        <v>63</v>
      </c>
      <c r="AK2045" s="4" t="s">
        <v>63</v>
      </c>
      <c r="AL2045" s="4" t="s">
        <v>63</v>
      </c>
      <c r="AM2045" s="4" t="s">
        <v>17527</v>
      </c>
      <c r="AN2045" s="4" t="s">
        <v>63</v>
      </c>
      <c r="AO2045" s="4" t="s">
        <v>63</v>
      </c>
      <c r="AP2045" s="4" t="s">
        <v>63</v>
      </c>
      <c r="AQ2045" s="4" t="s">
        <v>63</v>
      </c>
      <c r="AR2045" s="4" t="s">
        <v>63</v>
      </c>
      <c r="AS2045" s="4" t="s">
        <v>63</v>
      </c>
      <c r="AT2045" s="4" t="s">
        <v>63</v>
      </c>
      <c r="AU2045" s="4" t="s">
        <v>63</v>
      </c>
      <c r="AV2045" s="4" t="s">
        <v>63</v>
      </c>
      <c r="AW2045" s="4" t="s">
        <v>63</v>
      </c>
      <c r="AX2045" s="4" t="s">
        <v>63</v>
      </c>
      <c r="AY2045" s="4" t="s">
        <v>63</v>
      </c>
      <c r="AZ2045" s="4" t="s">
        <v>63</v>
      </c>
      <c r="BA2045" s="4" t="s">
        <v>63</v>
      </c>
      <c r="BB2045" s="4" t="s">
        <v>63</v>
      </c>
      <c r="BC2045" s="4" t="s">
        <v>63</v>
      </c>
      <c r="BD2045" s="4" t="s">
        <v>63</v>
      </c>
      <c r="BE2045" s="4" t="s">
        <v>63</v>
      </c>
      <c r="BF2045" s="4" t="s">
        <v>63</v>
      </c>
    </row>
    <row r="2046" spans="1:58">
      <c r="A2046" s="4" t="s">
        <v>58</v>
      </c>
      <c r="B2046" s="4" t="s">
        <v>17533</v>
      </c>
      <c r="C2046" s="4" t="s">
        <v>17534</v>
      </c>
      <c r="D2046" s="4" t="s">
        <v>17535</v>
      </c>
      <c r="E2046" s="4" t="s">
        <v>63</v>
      </c>
      <c r="F2046" s="4">
        <v>1994</v>
      </c>
      <c r="G2046" s="4" t="s">
        <v>326</v>
      </c>
      <c r="H2046" s="4">
        <v>10</v>
      </c>
      <c r="I2046" s="4">
        <v>1</v>
      </c>
      <c r="J2046" s="4">
        <v>6</v>
      </c>
      <c r="K2046" s="4">
        <v>9</v>
      </c>
      <c r="L2046" s="4" t="s">
        <v>17536</v>
      </c>
      <c r="M2046" s="4" t="s">
        <v>17537</v>
      </c>
      <c r="N2046" s="4" t="s">
        <v>17538</v>
      </c>
      <c r="O2046" s="4" t="s">
        <v>63</v>
      </c>
      <c r="P2046" s="4"/>
      <c r="Q2046" s="4" t="s">
        <v>63</v>
      </c>
      <c r="R2046" s="4" t="s">
        <v>63</v>
      </c>
      <c r="S2046" s="4" t="s">
        <v>63</v>
      </c>
      <c r="T2046" s="4" t="s">
        <v>63</v>
      </c>
      <c r="U2046" s="4"/>
      <c r="V2046" s="4"/>
      <c r="W2046" s="4"/>
      <c r="X2046" s="4" t="s">
        <v>63</v>
      </c>
      <c r="Y2046" s="4" t="s">
        <v>17539</v>
      </c>
      <c r="Z2046" s="4" t="s">
        <v>63</v>
      </c>
      <c r="AA2046" s="4" t="s">
        <v>63</v>
      </c>
      <c r="AB2046" s="4" t="s">
        <v>63</v>
      </c>
      <c r="AC2046" s="4" t="s">
        <v>67</v>
      </c>
      <c r="AD2046" s="4" t="s">
        <v>63</v>
      </c>
      <c r="AE2046" s="4" t="s">
        <v>63</v>
      </c>
      <c r="AF2046" s="4" t="s">
        <v>63</v>
      </c>
      <c r="AG2046" s="4" t="s">
        <v>17540</v>
      </c>
      <c r="AH2046" s="4" t="s">
        <v>63</v>
      </c>
      <c r="AI2046" s="4" t="s">
        <v>63</v>
      </c>
      <c r="AJ2046" s="4" t="s">
        <v>63</v>
      </c>
      <c r="AK2046" s="4" t="s">
        <v>63</v>
      </c>
      <c r="AL2046" s="4" t="s">
        <v>63</v>
      </c>
      <c r="AM2046" s="4" t="s">
        <v>17541</v>
      </c>
      <c r="AN2046" s="4" t="s">
        <v>63</v>
      </c>
      <c r="AO2046" s="4" t="s">
        <v>63</v>
      </c>
      <c r="AP2046" s="4" t="s">
        <v>63</v>
      </c>
      <c r="AQ2046" s="4" t="s">
        <v>63</v>
      </c>
      <c r="AR2046" s="4" t="s">
        <v>63</v>
      </c>
      <c r="AS2046" s="4" t="s">
        <v>63</v>
      </c>
      <c r="AT2046" s="4" t="s">
        <v>63</v>
      </c>
      <c r="AU2046" s="4" t="s">
        <v>63</v>
      </c>
      <c r="AV2046" s="4" t="s">
        <v>63</v>
      </c>
      <c r="AW2046" s="4" t="s">
        <v>63</v>
      </c>
      <c r="AX2046" s="4" t="s">
        <v>63</v>
      </c>
      <c r="AY2046" s="4" t="s">
        <v>63</v>
      </c>
      <c r="AZ2046" s="4" t="s">
        <v>63</v>
      </c>
      <c r="BA2046" s="4" t="s">
        <v>63</v>
      </c>
      <c r="BB2046" s="4" t="s">
        <v>63</v>
      </c>
      <c r="BC2046" s="4" t="s">
        <v>63</v>
      </c>
      <c r="BD2046" s="4" t="s">
        <v>63</v>
      </c>
      <c r="BE2046" s="4" t="s">
        <v>63</v>
      </c>
      <c r="BF2046" s="4" t="s">
        <v>63</v>
      </c>
    </row>
    <row r="2047" spans="1:58">
      <c r="A2047" s="4" t="s">
        <v>58</v>
      </c>
      <c r="B2047" s="4" t="s">
        <v>17542</v>
      </c>
      <c r="C2047" s="4" t="s">
        <v>17543</v>
      </c>
      <c r="D2047" s="4" t="s">
        <v>371</v>
      </c>
      <c r="E2047" s="4" t="s">
        <v>63</v>
      </c>
      <c r="F2047" s="4">
        <v>2013</v>
      </c>
      <c r="G2047" s="4" t="s">
        <v>15155</v>
      </c>
      <c r="H2047" s="4" t="s">
        <v>15690</v>
      </c>
      <c r="I2047" s="4" t="s">
        <v>63</v>
      </c>
      <c r="J2047" s="4" t="s">
        <v>15202</v>
      </c>
      <c r="K2047" s="4" t="s">
        <v>17544</v>
      </c>
      <c r="L2047" s="4" t="s">
        <v>17545</v>
      </c>
      <c r="M2047" s="4" t="s">
        <v>17546</v>
      </c>
      <c r="N2047" s="4" t="s">
        <v>17547</v>
      </c>
      <c r="O2047" s="4" t="s">
        <v>63</v>
      </c>
      <c r="P2047" s="4"/>
      <c r="Q2047" s="4" t="s">
        <v>63</v>
      </c>
      <c r="R2047" s="4" t="s">
        <v>63</v>
      </c>
      <c r="S2047" s="4" t="s">
        <v>63</v>
      </c>
      <c r="T2047" s="4" t="s">
        <v>63</v>
      </c>
      <c r="U2047" s="4"/>
      <c r="V2047" s="4"/>
      <c r="W2047" s="4"/>
      <c r="X2047" s="4" t="s">
        <v>63</v>
      </c>
      <c r="Y2047" s="4" t="s">
        <v>375</v>
      </c>
      <c r="Z2047" s="4" t="s">
        <v>63</v>
      </c>
      <c r="AA2047" s="4" t="s">
        <v>63</v>
      </c>
      <c r="AB2047" s="4" t="s">
        <v>63</v>
      </c>
      <c r="AC2047" s="4" t="s">
        <v>67</v>
      </c>
      <c r="AD2047" s="4" t="s">
        <v>63</v>
      </c>
      <c r="AE2047" s="4" t="s">
        <v>63</v>
      </c>
      <c r="AF2047" s="4" t="s">
        <v>63</v>
      </c>
      <c r="AG2047" s="4" t="s">
        <v>63</v>
      </c>
      <c r="AH2047" s="4" t="s">
        <v>63</v>
      </c>
      <c r="AI2047" s="4" t="s">
        <v>63</v>
      </c>
      <c r="AJ2047" s="4" t="s">
        <v>63</v>
      </c>
      <c r="AK2047" s="4" t="s">
        <v>63</v>
      </c>
      <c r="AL2047" s="4" t="s">
        <v>63</v>
      </c>
      <c r="AM2047" s="4" t="s">
        <v>17543</v>
      </c>
      <c r="AN2047" s="4" t="s">
        <v>63</v>
      </c>
      <c r="AO2047" s="4" t="s">
        <v>63</v>
      </c>
      <c r="AP2047" s="4" t="s">
        <v>63</v>
      </c>
      <c r="AQ2047" s="4" t="s">
        <v>63</v>
      </c>
      <c r="AR2047" s="4" t="s">
        <v>63</v>
      </c>
      <c r="AS2047" s="4" t="s">
        <v>63</v>
      </c>
      <c r="AT2047" s="4" t="s">
        <v>63</v>
      </c>
      <c r="AU2047" s="4" t="s">
        <v>63</v>
      </c>
      <c r="AV2047" s="4" t="s">
        <v>63</v>
      </c>
      <c r="AW2047" s="4" t="s">
        <v>63</v>
      </c>
      <c r="AX2047" s="4" t="s">
        <v>63</v>
      </c>
      <c r="AY2047" s="4" t="s">
        <v>63</v>
      </c>
      <c r="AZ2047" s="4" t="s">
        <v>63</v>
      </c>
      <c r="BA2047" s="4" t="s">
        <v>63</v>
      </c>
      <c r="BB2047" s="4" t="s">
        <v>63</v>
      </c>
      <c r="BC2047" s="4" t="s">
        <v>63</v>
      </c>
      <c r="BD2047" s="4" t="s">
        <v>63</v>
      </c>
      <c r="BE2047" s="4" t="s">
        <v>63</v>
      </c>
      <c r="BF2047" s="4" t="s">
        <v>63</v>
      </c>
    </row>
    <row r="2048" spans="1:58">
      <c r="A2048" s="4" t="s">
        <v>58</v>
      </c>
      <c r="B2048" s="4" t="s">
        <v>17548</v>
      </c>
      <c r="C2048" s="4" t="s">
        <v>17549</v>
      </c>
      <c r="D2048" s="4" t="s">
        <v>13447</v>
      </c>
      <c r="E2048" s="4" t="s">
        <v>63</v>
      </c>
      <c r="F2048" s="4">
        <v>2003</v>
      </c>
      <c r="G2048" s="4" t="s">
        <v>614</v>
      </c>
      <c r="H2048" s="4">
        <v>16</v>
      </c>
      <c r="I2048" s="4">
        <v>4</v>
      </c>
      <c r="J2048" s="4">
        <v>291</v>
      </c>
      <c r="K2048" s="4">
        <v>308</v>
      </c>
      <c r="L2048" s="4" t="s">
        <v>17550</v>
      </c>
      <c r="M2048" s="4" t="s">
        <v>17551</v>
      </c>
      <c r="N2048" s="4" t="s">
        <v>17552</v>
      </c>
      <c r="O2048" s="4" t="s">
        <v>63</v>
      </c>
      <c r="P2048" s="4"/>
      <c r="Q2048" s="4" t="s">
        <v>63</v>
      </c>
      <c r="R2048" s="4" t="s">
        <v>63</v>
      </c>
      <c r="S2048" s="4" t="s">
        <v>63</v>
      </c>
      <c r="T2048" s="4" t="s">
        <v>63</v>
      </c>
      <c r="U2048" s="4"/>
      <c r="V2048" s="4"/>
      <c r="W2048" s="4"/>
      <c r="X2048" s="4" t="s">
        <v>63</v>
      </c>
      <c r="Y2048" s="4" t="s">
        <v>16404</v>
      </c>
      <c r="Z2048" s="4" t="s">
        <v>63</v>
      </c>
      <c r="AA2048" s="4" t="s">
        <v>63</v>
      </c>
      <c r="AB2048" s="4" t="s">
        <v>17553</v>
      </c>
      <c r="AC2048" s="4" t="s">
        <v>67</v>
      </c>
      <c r="AD2048" s="4" t="s">
        <v>63</v>
      </c>
      <c r="AE2048" s="4" t="s">
        <v>63</v>
      </c>
      <c r="AF2048" s="4" t="s">
        <v>63</v>
      </c>
      <c r="AG2048" s="4" t="s">
        <v>63</v>
      </c>
      <c r="AH2048" s="4" t="s">
        <v>63</v>
      </c>
      <c r="AI2048" s="4" t="s">
        <v>17554</v>
      </c>
      <c r="AJ2048" s="4" t="s">
        <v>63</v>
      </c>
      <c r="AK2048" s="4" t="s">
        <v>63</v>
      </c>
      <c r="AL2048" s="4" t="s">
        <v>63</v>
      </c>
      <c r="AM2048" s="4" t="s">
        <v>17549</v>
      </c>
      <c r="AN2048" s="4" t="s">
        <v>63</v>
      </c>
      <c r="AO2048" s="4" t="s">
        <v>63</v>
      </c>
      <c r="AP2048" s="4" t="s">
        <v>63</v>
      </c>
      <c r="AQ2048" s="4" t="s">
        <v>63</v>
      </c>
      <c r="AR2048" s="4" t="s">
        <v>63</v>
      </c>
      <c r="AS2048" s="4" t="s">
        <v>63</v>
      </c>
      <c r="AT2048" s="4" t="s">
        <v>63</v>
      </c>
      <c r="AU2048" s="4" t="s">
        <v>63</v>
      </c>
      <c r="AV2048" s="4" t="s">
        <v>63</v>
      </c>
      <c r="AW2048" s="4" t="s">
        <v>63</v>
      </c>
      <c r="AX2048" s="4" t="s">
        <v>63</v>
      </c>
      <c r="AY2048" s="4" t="s">
        <v>63</v>
      </c>
      <c r="AZ2048" s="4" t="s">
        <v>63</v>
      </c>
      <c r="BA2048" s="4" t="s">
        <v>63</v>
      </c>
      <c r="BB2048" s="4" t="s">
        <v>63</v>
      </c>
      <c r="BC2048" s="4" t="s">
        <v>63</v>
      </c>
      <c r="BD2048" s="4" t="s">
        <v>63</v>
      </c>
      <c r="BE2048" s="4" t="s">
        <v>63</v>
      </c>
      <c r="BF2048" s="4" t="s">
        <v>63</v>
      </c>
    </row>
    <row r="2049" spans="1:58">
      <c r="A2049" s="4" t="s">
        <v>58</v>
      </c>
      <c r="B2049" s="4" t="s">
        <v>17555</v>
      </c>
      <c r="C2049" s="4" t="s">
        <v>17556</v>
      </c>
      <c r="D2049" s="4" t="s">
        <v>938</v>
      </c>
      <c r="E2049" s="4" t="s">
        <v>63</v>
      </c>
      <c r="F2049" s="4">
        <v>2009</v>
      </c>
      <c r="G2049" s="4" t="s">
        <v>16182</v>
      </c>
      <c r="H2049" s="4">
        <v>18</v>
      </c>
      <c r="I2049" s="4">
        <v>4</v>
      </c>
      <c r="J2049" s="4">
        <v>328</v>
      </c>
      <c r="K2049" s="4" t="s">
        <v>63</v>
      </c>
      <c r="L2049" s="4" t="s">
        <v>17557</v>
      </c>
      <c r="M2049" s="4" t="s">
        <v>17558</v>
      </c>
      <c r="N2049" s="4" t="s">
        <v>17559</v>
      </c>
      <c r="O2049" s="4" t="s">
        <v>63</v>
      </c>
      <c r="P2049" s="4"/>
      <c r="Q2049" s="4" t="s">
        <v>63</v>
      </c>
      <c r="R2049" s="4" t="s">
        <v>63</v>
      </c>
      <c r="S2049" s="4" t="s">
        <v>63</v>
      </c>
      <c r="T2049" s="4" t="s">
        <v>63</v>
      </c>
      <c r="U2049" s="4"/>
      <c r="V2049" s="4"/>
      <c r="W2049" s="4"/>
      <c r="X2049" s="4" t="s">
        <v>63</v>
      </c>
      <c r="Y2049" s="4" t="s">
        <v>2500</v>
      </c>
      <c r="Z2049" s="4" t="s">
        <v>63</v>
      </c>
      <c r="AA2049" s="4" t="s">
        <v>63</v>
      </c>
      <c r="AB2049" s="4" t="s">
        <v>63</v>
      </c>
      <c r="AC2049" s="4" t="s">
        <v>67</v>
      </c>
      <c r="AD2049" s="4" t="s">
        <v>63</v>
      </c>
      <c r="AE2049" s="4" t="s">
        <v>63</v>
      </c>
      <c r="AF2049" s="4" t="s">
        <v>63</v>
      </c>
      <c r="AG2049" s="4" t="s">
        <v>63</v>
      </c>
      <c r="AH2049" s="4" t="s">
        <v>63</v>
      </c>
      <c r="AI2049" s="4" t="s">
        <v>17560</v>
      </c>
      <c r="AJ2049" s="4" t="s">
        <v>63</v>
      </c>
      <c r="AK2049" s="4" t="s">
        <v>63</v>
      </c>
      <c r="AL2049" s="4" t="s">
        <v>63</v>
      </c>
      <c r="AM2049" s="4" t="s">
        <v>17556</v>
      </c>
      <c r="AN2049" s="4" t="s">
        <v>63</v>
      </c>
      <c r="AO2049" s="4" t="s">
        <v>63</v>
      </c>
      <c r="AP2049" s="4" t="s">
        <v>63</v>
      </c>
      <c r="AQ2049" s="4" t="s">
        <v>63</v>
      </c>
      <c r="AR2049" s="4" t="s">
        <v>63</v>
      </c>
      <c r="AS2049" s="4" t="s">
        <v>63</v>
      </c>
      <c r="AT2049" s="4" t="s">
        <v>63</v>
      </c>
      <c r="AU2049" s="4" t="s">
        <v>63</v>
      </c>
      <c r="AV2049" s="4" t="s">
        <v>63</v>
      </c>
      <c r="AW2049" s="4" t="s">
        <v>63</v>
      </c>
      <c r="AX2049" s="4" t="s">
        <v>63</v>
      </c>
      <c r="AY2049" s="4" t="s">
        <v>63</v>
      </c>
      <c r="AZ2049" s="4" t="s">
        <v>63</v>
      </c>
      <c r="BA2049" s="4" t="s">
        <v>63</v>
      </c>
      <c r="BB2049" s="4" t="s">
        <v>63</v>
      </c>
      <c r="BC2049" s="4" t="s">
        <v>63</v>
      </c>
      <c r="BD2049" s="4" t="s">
        <v>63</v>
      </c>
      <c r="BE2049" s="4" t="s">
        <v>63</v>
      </c>
      <c r="BF2049" s="4" t="s">
        <v>63</v>
      </c>
    </row>
    <row r="2050" spans="1:58">
      <c r="A2050" s="4" t="s">
        <v>58</v>
      </c>
      <c r="B2050" s="4" t="s">
        <v>17561</v>
      </c>
      <c r="C2050" s="4" t="s">
        <v>17562</v>
      </c>
      <c r="D2050" s="4" t="s">
        <v>389</v>
      </c>
      <c r="E2050" s="4" t="s">
        <v>63</v>
      </c>
      <c r="F2050" s="4">
        <v>2009</v>
      </c>
      <c r="G2050" s="4" t="s">
        <v>15508</v>
      </c>
      <c r="H2050" s="4">
        <v>30</v>
      </c>
      <c r="I2050" s="4">
        <v>1</v>
      </c>
      <c r="J2050" s="4">
        <v>47</v>
      </c>
      <c r="K2050" s="4">
        <v>60</v>
      </c>
      <c r="L2050" s="4" t="s">
        <v>17563</v>
      </c>
      <c r="M2050" s="4" t="s">
        <v>17564</v>
      </c>
      <c r="N2050" s="4" t="s">
        <v>17565</v>
      </c>
      <c r="O2050" s="4" t="s">
        <v>63</v>
      </c>
      <c r="P2050" s="4"/>
      <c r="Q2050" s="4" t="s">
        <v>63</v>
      </c>
      <c r="R2050" s="4" t="s">
        <v>63</v>
      </c>
      <c r="S2050" s="4" t="s">
        <v>63</v>
      </c>
      <c r="T2050" s="4" t="s">
        <v>63</v>
      </c>
      <c r="U2050" s="4"/>
      <c r="V2050" s="4"/>
      <c r="W2050" s="4"/>
      <c r="X2050" s="4" t="s">
        <v>63</v>
      </c>
      <c r="Y2050" s="4" t="s">
        <v>15600</v>
      </c>
      <c r="Z2050" s="4" t="s">
        <v>63</v>
      </c>
      <c r="AA2050" s="4" t="s">
        <v>63</v>
      </c>
      <c r="AB2050" s="4">
        <v>2009111085</v>
      </c>
      <c r="AC2050" s="4" t="s">
        <v>67</v>
      </c>
      <c r="AD2050" s="4" t="s">
        <v>63</v>
      </c>
      <c r="AE2050" s="4" t="s">
        <v>63</v>
      </c>
      <c r="AF2050" s="4" t="s">
        <v>63</v>
      </c>
      <c r="AG2050" s="4" t="s">
        <v>17566</v>
      </c>
      <c r="AH2050" s="4" t="s">
        <v>63</v>
      </c>
      <c r="AI2050" s="4" t="s">
        <v>17567</v>
      </c>
      <c r="AJ2050" s="4" t="s">
        <v>63</v>
      </c>
      <c r="AK2050" s="4" t="s">
        <v>63</v>
      </c>
      <c r="AL2050" s="4" t="s">
        <v>63</v>
      </c>
      <c r="AM2050" s="4" t="s">
        <v>17568</v>
      </c>
      <c r="AN2050" s="4" t="s">
        <v>63</v>
      </c>
      <c r="AO2050" s="4" t="s">
        <v>63</v>
      </c>
      <c r="AP2050" s="4" t="s">
        <v>63</v>
      </c>
      <c r="AQ2050" s="4" t="s">
        <v>63</v>
      </c>
      <c r="AR2050" s="4" t="s">
        <v>63</v>
      </c>
      <c r="AS2050" s="4" t="s">
        <v>63</v>
      </c>
      <c r="AT2050" s="4" t="s">
        <v>63</v>
      </c>
      <c r="AU2050" s="4" t="s">
        <v>63</v>
      </c>
      <c r="AV2050" s="4" t="s">
        <v>63</v>
      </c>
      <c r="AW2050" s="4" t="s">
        <v>63</v>
      </c>
      <c r="AX2050" s="4" t="s">
        <v>63</v>
      </c>
      <c r="AY2050" s="4" t="s">
        <v>63</v>
      </c>
      <c r="AZ2050" s="4" t="s">
        <v>63</v>
      </c>
      <c r="BA2050" s="4" t="s">
        <v>63</v>
      </c>
      <c r="BB2050" s="4" t="s">
        <v>63</v>
      </c>
      <c r="BC2050" s="4" t="s">
        <v>63</v>
      </c>
      <c r="BD2050" s="4" t="s">
        <v>63</v>
      </c>
      <c r="BE2050" s="4" t="s">
        <v>63</v>
      </c>
      <c r="BF2050" s="4" t="s">
        <v>63</v>
      </c>
    </row>
    <row r="2051" spans="1:58">
      <c r="A2051" s="4" t="s">
        <v>58</v>
      </c>
      <c r="B2051" s="4" t="s">
        <v>17569</v>
      </c>
      <c r="C2051" s="4" t="s">
        <v>17570</v>
      </c>
      <c r="D2051" s="4" t="s">
        <v>16100</v>
      </c>
      <c r="E2051" s="4" t="s">
        <v>63</v>
      </c>
      <c r="F2051" s="4">
        <v>2014</v>
      </c>
      <c r="G2051" s="4">
        <v>1</v>
      </c>
      <c r="H2051" s="4" t="s">
        <v>16101</v>
      </c>
      <c r="I2051" s="4" t="s">
        <v>63</v>
      </c>
      <c r="J2051" s="4" t="s">
        <v>17166</v>
      </c>
      <c r="K2051" s="4" t="s">
        <v>63</v>
      </c>
      <c r="L2051" s="4" t="s">
        <v>17571</v>
      </c>
      <c r="M2051" s="4" t="s">
        <v>17572</v>
      </c>
      <c r="N2051" s="4" t="s">
        <v>17573</v>
      </c>
      <c r="O2051" s="4" t="s">
        <v>63</v>
      </c>
      <c r="P2051" s="4"/>
      <c r="Q2051" s="4" t="s">
        <v>63</v>
      </c>
      <c r="R2051" s="4" t="s">
        <v>63</v>
      </c>
      <c r="S2051" s="4" t="s">
        <v>63</v>
      </c>
      <c r="T2051" s="4" t="s">
        <v>63</v>
      </c>
      <c r="U2051" s="4"/>
      <c r="V2051" s="4"/>
      <c r="W2051" s="4"/>
      <c r="X2051" s="4" t="s">
        <v>63</v>
      </c>
      <c r="Y2051" s="4" t="s">
        <v>185</v>
      </c>
      <c r="Z2051" s="4" t="s">
        <v>63</v>
      </c>
      <c r="AA2051" s="4" t="s">
        <v>63</v>
      </c>
      <c r="AB2051" s="4" t="s">
        <v>63</v>
      </c>
      <c r="AC2051" s="4" t="s">
        <v>67</v>
      </c>
      <c r="AD2051" s="4" t="s">
        <v>63</v>
      </c>
      <c r="AE2051" s="4" t="s">
        <v>63</v>
      </c>
      <c r="AF2051" s="4" t="s">
        <v>63</v>
      </c>
      <c r="AG2051" s="4" t="s">
        <v>63</v>
      </c>
      <c r="AH2051" s="4" t="s">
        <v>63</v>
      </c>
      <c r="AI2051" s="4" t="s">
        <v>17574</v>
      </c>
      <c r="AJ2051" s="4" t="s">
        <v>63</v>
      </c>
      <c r="AK2051" s="4" t="s">
        <v>63</v>
      </c>
      <c r="AL2051" s="4" t="s">
        <v>63</v>
      </c>
      <c r="AM2051" s="4" t="s">
        <v>17570</v>
      </c>
      <c r="AN2051" s="4" t="s">
        <v>63</v>
      </c>
      <c r="AO2051" s="4" t="s">
        <v>63</v>
      </c>
      <c r="AP2051" s="4" t="s">
        <v>63</v>
      </c>
      <c r="AQ2051" s="4" t="s">
        <v>63</v>
      </c>
      <c r="AR2051" s="4" t="s">
        <v>63</v>
      </c>
      <c r="AS2051" s="4" t="s">
        <v>63</v>
      </c>
      <c r="AT2051" s="4" t="s">
        <v>63</v>
      </c>
      <c r="AU2051" s="4" t="s">
        <v>63</v>
      </c>
      <c r="AV2051" s="4" t="s">
        <v>63</v>
      </c>
      <c r="AW2051" s="4" t="s">
        <v>63</v>
      </c>
      <c r="AX2051" s="4" t="s">
        <v>63</v>
      </c>
      <c r="AY2051" s="4" t="s">
        <v>63</v>
      </c>
      <c r="AZ2051" s="4" t="s">
        <v>63</v>
      </c>
      <c r="BA2051" s="4" t="s">
        <v>63</v>
      </c>
      <c r="BB2051" s="4" t="s">
        <v>63</v>
      </c>
      <c r="BC2051" s="4" t="s">
        <v>63</v>
      </c>
      <c r="BD2051" s="4" t="s">
        <v>63</v>
      </c>
      <c r="BE2051" s="4" t="s">
        <v>63</v>
      </c>
      <c r="BF2051" s="4" t="s">
        <v>63</v>
      </c>
    </row>
    <row r="2052" spans="1:58">
      <c r="A2052" s="4" t="s">
        <v>58</v>
      </c>
      <c r="B2052" s="4" t="s">
        <v>17575</v>
      </c>
      <c r="C2052" s="4" t="s">
        <v>17576</v>
      </c>
      <c r="D2052" s="4" t="s">
        <v>15482</v>
      </c>
      <c r="E2052" s="4" t="s">
        <v>63</v>
      </c>
      <c r="F2052" s="4">
        <v>2005</v>
      </c>
      <c r="G2052" s="4" t="s">
        <v>16091</v>
      </c>
      <c r="H2052" s="4">
        <v>29</v>
      </c>
      <c r="I2052" s="4">
        <v>11</v>
      </c>
      <c r="J2052" s="4">
        <v>2001</v>
      </c>
      <c r="K2052" s="4">
        <v>2007</v>
      </c>
      <c r="L2052" s="4" t="s">
        <v>17577</v>
      </c>
      <c r="M2052" s="4" t="s">
        <v>17578</v>
      </c>
      <c r="N2052" s="4" t="s">
        <v>17579</v>
      </c>
      <c r="O2052" s="4" t="s">
        <v>63</v>
      </c>
      <c r="P2052" s="4"/>
      <c r="Q2052" s="4" t="s">
        <v>63</v>
      </c>
      <c r="R2052" s="4" t="s">
        <v>63</v>
      </c>
      <c r="S2052" s="4" t="s">
        <v>63</v>
      </c>
      <c r="T2052" s="4" t="s">
        <v>63</v>
      </c>
      <c r="U2052" s="4"/>
      <c r="V2052" s="4"/>
      <c r="W2052" s="4"/>
      <c r="X2052" s="4" t="s">
        <v>63</v>
      </c>
      <c r="Y2052" s="4" t="s">
        <v>4853</v>
      </c>
      <c r="Z2052" s="4" t="s">
        <v>63</v>
      </c>
      <c r="AA2052" s="4" t="s">
        <v>63</v>
      </c>
      <c r="AB2052" s="4">
        <v>2005572029</v>
      </c>
      <c r="AC2052" s="4" t="s">
        <v>67</v>
      </c>
      <c r="AD2052" s="4" t="s">
        <v>63</v>
      </c>
      <c r="AE2052" s="4" t="s">
        <v>63</v>
      </c>
      <c r="AF2052" s="4" t="s">
        <v>63</v>
      </c>
      <c r="AG2052" s="4" t="s">
        <v>17580</v>
      </c>
      <c r="AH2052" s="4" t="s">
        <v>63</v>
      </c>
      <c r="AI2052" s="4" t="s">
        <v>17581</v>
      </c>
      <c r="AJ2052" s="4" t="s">
        <v>63</v>
      </c>
      <c r="AK2052" s="4" t="s">
        <v>63</v>
      </c>
      <c r="AL2052" s="4" t="s">
        <v>63</v>
      </c>
      <c r="AM2052" s="4" t="s">
        <v>17582</v>
      </c>
      <c r="AN2052" s="4" t="s">
        <v>63</v>
      </c>
      <c r="AO2052" s="4" t="s">
        <v>63</v>
      </c>
      <c r="AP2052" s="4" t="s">
        <v>63</v>
      </c>
      <c r="AQ2052" s="4" t="s">
        <v>63</v>
      </c>
      <c r="AR2052" s="4" t="s">
        <v>63</v>
      </c>
      <c r="AS2052" s="4" t="s">
        <v>63</v>
      </c>
      <c r="AT2052" s="4" t="s">
        <v>63</v>
      </c>
      <c r="AU2052" s="4" t="s">
        <v>63</v>
      </c>
      <c r="AV2052" s="4" t="s">
        <v>63</v>
      </c>
      <c r="AW2052" s="4" t="s">
        <v>63</v>
      </c>
      <c r="AX2052" s="4" t="s">
        <v>63</v>
      </c>
      <c r="AY2052" s="4" t="s">
        <v>63</v>
      </c>
      <c r="AZ2052" s="4" t="s">
        <v>63</v>
      </c>
      <c r="BA2052" s="4" t="s">
        <v>63</v>
      </c>
      <c r="BB2052" s="4" t="s">
        <v>63</v>
      </c>
      <c r="BC2052" s="4" t="s">
        <v>63</v>
      </c>
      <c r="BD2052" s="4" t="s">
        <v>63</v>
      </c>
      <c r="BE2052" s="4" t="s">
        <v>63</v>
      </c>
      <c r="BF2052" s="4" t="s">
        <v>63</v>
      </c>
    </row>
    <row r="2053" spans="1:58">
      <c r="A2053" s="4" t="s">
        <v>58</v>
      </c>
      <c r="B2053" s="4" t="s">
        <v>17583</v>
      </c>
      <c r="C2053" s="4" t="s">
        <v>17584</v>
      </c>
      <c r="D2053" s="4" t="s">
        <v>938</v>
      </c>
      <c r="E2053" s="4" t="s">
        <v>63</v>
      </c>
      <c r="F2053" s="4">
        <v>2017</v>
      </c>
      <c r="G2053" s="4">
        <v>1</v>
      </c>
      <c r="H2053" s="4">
        <v>26</v>
      </c>
      <c r="I2053" s="4">
        <v>3</v>
      </c>
      <c r="J2053" s="4">
        <v>235</v>
      </c>
      <c r="K2053" s="4">
        <v>236</v>
      </c>
      <c r="L2053" s="4" t="s">
        <v>17585</v>
      </c>
      <c r="M2053" s="4" t="s">
        <v>17586</v>
      </c>
      <c r="N2053" s="4" t="s">
        <v>17587</v>
      </c>
      <c r="O2053" s="4" t="s">
        <v>63</v>
      </c>
      <c r="P2053" s="4"/>
      <c r="Q2053" s="4" t="s">
        <v>63</v>
      </c>
      <c r="R2053" s="4" t="s">
        <v>63</v>
      </c>
      <c r="S2053" s="4" t="s">
        <v>63</v>
      </c>
      <c r="T2053" s="4" t="s">
        <v>63</v>
      </c>
      <c r="U2053" s="4"/>
      <c r="V2053" s="4"/>
      <c r="W2053" s="4"/>
      <c r="X2053" s="4" t="s">
        <v>63</v>
      </c>
      <c r="Y2053" s="4" t="s">
        <v>2500</v>
      </c>
      <c r="Z2053" s="4" t="s">
        <v>63</v>
      </c>
      <c r="AA2053" s="4" t="s">
        <v>63</v>
      </c>
      <c r="AB2053" s="4" t="s">
        <v>63</v>
      </c>
      <c r="AC2053" s="4" t="s">
        <v>67</v>
      </c>
      <c r="AD2053" s="4" t="s">
        <v>63</v>
      </c>
      <c r="AE2053" s="4" t="s">
        <v>63</v>
      </c>
      <c r="AF2053" s="4" t="s">
        <v>63</v>
      </c>
      <c r="AG2053" s="4" t="s">
        <v>63</v>
      </c>
      <c r="AH2053" s="4" t="s">
        <v>63</v>
      </c>
      <c r="AI2053" s="4" t="s">
        <v>17298</v>
      </c>
      <c r="AJ2053" s="4" t="s">
        <v>63</v>
      </c>
      <c r="AK2053" s="4" t="s">
        <v>63</v>
      </c>
      <c r="AL2053" s="4" t="s">
        <v>63</v>
      </c>
      <c r="AM2053" s="4" t="s">
        <v>17584</v>
      </c>
      <c r="AN2053" s="4" t="s">
        <v>63</v>
      </c>
      <c r="AO2053" s="4" t="s">
        <v>63</v>
      </c>
      <c r="AP2053" s="4" t="s">
        <v>63</v>
      </c>
      <c r="AQ2053" s="4" t="s">
        <v>63</v>
      </c>
      <c r="AR2053" s="4" t="s">
        <v>63</v>
      </c>
      <c r="AS2053" s="4" t="s">
        <v>63</v>
      </c>
      <c r="AT2053" s="4" t="s">
        <v>63</v>
      </c>
      <c r="AU2053" s="4" t="s">
        <v>63</v>
      </c>
      <c r="AV2053" s="4" t="s">
        <v>63</v>
      </c>
      <c r="AW2053" s="4" t="s">
        <v>63</v>
      </c>
      <c r="AX2053" s="4" t="s">
        <v>63</v>
      </c>
      <c r="AY2053" s="4" t="s">
        <v>63</v>
      </c>
      <c r="AZ2053" s="4" t="s">
        <v>63</v>
      </c>
      <c r="BA2053" s="4" t="s">
        <v>63</v>
      </c>
      <c r="BB2053" s="4" t="s">
        <v>63</v>
      </c>
      <c r="BC2053" s="4" t="s">
        <v>63</v>
      </c>
      <c r="BD2053" s="4" t="s">
        <v>63</v>
      </c>
      <c r="BE2053" s="4" t="s">
        <v>63</v>
      </c>
      <c r="BF2053" s="4" t="s">
        <v>63</v>
      </c>
    </row>
    <row r="2054" spans="1:58">
      <c r="A2054" s="4" t="s">
        <v>58</v>
      </c>
      <c r="B2054" s="4" t="s">
        <v>17588</v>
      </c>
      <c r="C2054" s="4" t="s">
        <v>17589</v>
      </c>
      <c r="D2054" s="4" t="s">
        <v>4030</v>
      </c>
      <c r="E2054" s="4" t="s">
        <v>4031</v>
      </c>
      <c r="F2054" s="4">
        <v>2014</v>
      </c>
      <c r="G2054" s="4">
        <v>1</v>
      </c>
      <c r="H2054" s="4">
        <v>44</v>
      </c>
      <c r="I2054" s="4">
        <v>3</v>
      </c>
      <c r="J2054" s="4">
        <v>116</v>
      </c>
      <c r="K2054" s="4">
        <v>136</v>
      </c>
      <c r="L2054" s="4" t="s">
        <v>17590</v>
      </c>
      <c r="M2054" s="4" t="s">
        <v>17591</v>
      </c>
      <c r="N2054" s="4" t="s">
        <v>17592</v>
      </c>
      <c r="O2054" s="4" t="s">
        <v>63</v>
      </c>
      <c r="P2054" s="4"/>
      <c r="Q2054" s="4" t="s">
        <v>63</v>
      </c>
      <c r="R2054" s="4" t="s">
        <v>63</v>
      </c>
      <c r="S2054" s="4" t="s">
        <v>63</v>
      </c>
      <c r="T2054" s="4" t="s">
        <v>63</v>
      </c>
      <c r="U2054" s="4"/>
      <c r="V2054" s="4"/>
      <c r="W2054" s="4"/>
      <c r="X2054" s="4" t="s">
        <v>63</v>
      </c>
      <c r="Y2054" s="4" t="s">
        <v>17593</v>
      </c>
      <c r="Z2054" s="4" t="s">
        <v>63</v>
      </c>
      <c r="AA2054" s="4" t="s">
        <v>63</v>
      </c>
      <c r="AB2054" s="4">
        <v>2015454240</v>
      </c>
      <c r="AC2054" s="4" t="s">
        <v>67</v>
      </c>
      <c r="AD2054" s="4" t="s">
        <v>63</v>
      </c>
      <c r="AE2054" s="4" t="s">
        <v>63</v>
      </c>
      <c r="AF2054" s="4" t="s">
        <v>63</v>
      </c>
      <c r="AG2054" s="4" t="s">
        <v>17594</v>
      </c>
      <c r="AH2054" s="4" t="s">
        <v>63</v>
      </c>
      <c r="AI2054" s="4" t="s">
        <v>17595</v>
      </c>
      <c r="AJ2054" s="4" t="s">
        <v>63</v>
      </c>
      <c r="AK2054" s="4" t="s">
        <v>63</v>
      </c>
      <c r="AL2054" s="4" t="s">
        <v>63</v>
      </c>
      <c r="AM2054" s="4" t="s">
        <v>17596</v>
      </c>
      <c r="AN2054" s="4" t="s">
        <v>63</v>
      </c>
      <c r="AO2054" s="4" t="s">
        <v>63</v>
      </c>
      <c r="AP2054" s="4" t="s">
        <v>63</v>
      </c>
      <c r="AQ2054" s="4" t="s">
        <v>63</v>
      </c>
      <c r="AR2054" s="4" t="s">
        <v>63</v>
      </c>
      <c r="AS2054" s="4" t="s">
        <v>63</v>
      </c>
      <c r="AT2054" s="4" t="s">
        <v>63</v>
      </c>
      <c r="AU2054" s="4" t="s">
        <v>63</v>
      </c>
      <c r="AV2054" s="4" t="s">
        <v>63</v>
      </c>
      <c r="AW2054" s="4" t="s">
        <v>63</v>
      </c>
      <c r="AX2054" s="4" t="s">
        <v>63</v>
      </c>
      <c r="AY2054" s="4" t="s">
        <v>63</v>
      </c>
      <c r="AZ2054" s="4" t="s">
        <v>63</v>
      </c>
      <c r="BA2054" s="4" t="s">
        <v>63</v>
      </c>
      <c r="BB2054" s="4" t="s">
        <v>63</v>
      </c>
      <c r="BC2054" s="4" t="s">
        <v>63</v>
      </c>
      <c r="BD2054" s="4" t="s">
        <v>63</v>
      </c>
      <c r="BE2054" s="4" t="s">
        <v>63</v>
      </c>
      <c r="BF2054" s="4" t="s">
        <v>63</v>
      </c>
    </row>
    <row r="2055" spans="1:58">
      <c r="A2055" s="4" t="s">
        <v>58</v>
      </c>
      <c r="B2055" s="4" t="s">
        <v>17597</v>
      </c>
      <c r="C2055" s="4" t="s">
        <v>17598</v>
      </c>
      <c r="D2055" s="4" t="s">
        <v>17599</v>
      </c>
      <c r="E2055" s="4" t="s">
        <v>17600</v>
      </c>
      <c r="F2055" s="4">
        <v>2002</v>
      </c>
      <c r="G2055" s="4">
        <v>1</v>
      </c>
      <c r="H2055" s="4">
        <v>29</v>
      </c>
      <c r="I2055" s="4">
        <v>1</v>
      </c>
      <c r="J2055" s="4">
        <v>69</v>
      </c>
      <c r="K2055" s="4">
        <v>75</v>
      </c>
      <c r="L2055" s="4" t="s">
        <v>17601</v>
      </c>
      <c r="M2055" s="4" t="s">
        <v>17602</v>
      </c>
      <c r="N2055" s="4" t="s">
        <v>17603</v>
      </c>
      <c r="O2055" s="4" t="s">
        <v>63</v>
      </c>
      <c r="P2055" s="4"/>
      <c r="Q2055" s="4" t="s">
        <v>63</v>
      </c>
      <c r="R2055" s="4" t="s">
        <v>63</v>
      </c>
      <c r="S2055" s="4" t="s">
        <v>63</v>
      </c>
      <c r="T2055" s="4" t="s">
        <v>63</v>
      </c>
      <c r="U2055" s="4"/>
      <c r="V2055" s="4"/>
      <c r="W2055" s="4"/>
      <c r="X2055" s="4" t="s">
        <v>63</v>
      </c>
      <c r="Y2055" s="4" t="s">
        <v>17604</v>
      </c>
      <c r="Z2055" s="4" t="s">
        <v>63</v>
      </c>
      <c r="AA2055" s="4" t="s">
        <v>63</v>
      </c>
      <c r="AB2055" s="4">
        <v>2002040385</v>
      </c>
      <c r="AC2055" s="4" t="s">
        <v>67</v>
      </c>
      <c r="AD2055" s="4" t="s">
        <v>63</v>
      </c>
      <c r="AE2055" s="4" t="s">
        <v>63</v>
      </c>
      <c r="AF2055" s="4" t="s">
        <v>63</v>
      </c>
      <c r="AG2055" s="4" t="s">
        <v>17605</v>
      </c>
      <c r="AH2055" s="4" t="s">
        <v>63</v>
      </c>
      <c r="AI2055" s="4" t="s">
        <v>63</v>
      </c>
      <c r="AJ2055" s="4" t="s">
        <v>63</v>
      </c>
      <c r="AK2055" s="4" t="s">
        <v>63</v>
      </c>
      <c r="AL2055" s="4" t="s">
        <v>63</v>
      </c>
      <c r="AM2055" s="4" t="s">
        <v>17606</v>
      </c>
      <c r="AN2055" s="4" t="s">
        <v>63</v>
      </c>
      <c r="AO2055" s="4" t="s">
        <v>63</v>
      </c>
      <c r="AP2055" s="4" t="s">
        <v>63</v>
      </c>
      <c r="AQ2055" s="4" t="s">
        <v>63</v>
      </c>
      <c r="AR2055" s="4" t="s">
        <v>63</v>
      </c>
      <c r="AS2055" s="4" t="s">
        <v>63</v>
      </c>
      <c r="AT2055" s="4" t="s">
        <v>63</v>
      </c>
      <c r="AU2055" s="4" t="s">
        <v>63</v>
      </c>
      <c r="AV2055" s="4" t="s">
        <v>63</v>
      </c>
      <c r="AW2055" s="4" t="s">
        <v>63</v>
      </c>
      <c r="AX2055" s="4" t="s">
        <v>63</v>
      </c>
      <c r="AY2055" s="4" t="s">
        <v>63</v>
      </c>
      <c r="AZ2055" s="4" t="s">
        <v>63</v>
      </c>
      <c r="BA2055" s="4" t="s">
        <v>63</v>
      </c>
      <c r="BB2055" s="4" t="s">
        <v>63</v>
      </c>
      <c r="BC2055" s="4" t="s">
        <v>63</v>
      </c>
      <c r="BD2055" s="4" t="s">
        <v>63</v>
      </c>
      <c r="BE2055" s="4" t="s">
        <v>63</v>
      </c>
      <c r="BF2055" s="4" t="s">
        <v>63</v>
      </c>
    </row>
    <row r="2056" spans="1:58">
      <c r="A2056" s="4" t="s">
        <v>58</v>
      </c>
      <c r="B2056" s="4" t="s">
        <v>17607</v>
      </c>
      <c r="C2056" s="4" t="s">
        <v>17608</v>
      </c>
      <c r="D2056" s="4" t="s">
        <v>16219</v>
      </c>
      <c r="E2056" s="4" t="s">
        <v>63</v>
      </c>
      <c r="F2056" s="4">
        <v>2005</v>
      </c>
      <c r="G2056" s="4" t="s">
        <v>73</v>
      </c>
      <c r="H2056" s="4">
        <v>51</v>
      </c>
      <c r="I2056" s="4">
        <v>3</v>
      </c>
      <c r="J2056" s="4">
        <v>187</v>
      </c>
      <c r="K2056" s="4" t="s">
        <v>63</v>
      </c>
      <c r="L2056" s="4" t="s">
        <v>17609</v>
      </c>
      <c r="M2056" s="4" t="s">
        <v>63</v>
      </c>
      <c r="N2056" s="4" t="s">
        <v>17610</v>
      </c>
      <c r="O2056" s="4" t="s">
        <v>63</v>
      </c>
      <c r="P2056" s="4"/>
      <c r="Q2056" s="4" t="s">
        <v>63</v>
      </c>
      <c r="R2056" s="4" t="s">
        <v>63</v>
      </c>
      <c r="S2056" s="4" t="s">
        <v>63</v>
      </c>
      <c r="T2056" s="4" t="s">
        <v>63</v>
      </c>
      <c r="U2056" s="4"/>
      <c r="V2056" s="4"/>
      <c r="W2056" s="4"/>
      <c r="X2056" s="4" t="s">
        <v>63</v>
      </c>
      <c r="Y2056" s="4" t="s">
        <v>16223</v>
      </c>
      <c r="Z2056" s="4" t="s">
        <v>63</v>
      </c>
      <c r="AA2056" s="4" t="s">
        <v>63</v>
      </c>
      <c r="AB2056" s="4" t="s">
        <v>17611</v>
      </c>
      <c r="AC2056" s="4" t="s">
        <v>102</v>
      </c>
      <c r="AD2056" s="4" t="s">
        <v>63</v>
      </c>
      <c r="AE2056" s="4" t="s">
        <v>63</v>
      </c>
      <c r="AF2056" s="4" t="s">
        <v>63</v>
      </c>
      <c r="AG2056" s="4" t="s">
        <v>63</v>
      </c>
      <c r="AH2056" s="4" t="s">
        <v>63</v>
      </c>
      <c r="AI2056" s="4" t="s">
        <v>63</v>
      </c>
      <c r="AJ2056" s="4" t="s">
        <v>63</v>
      </c>
      <c r="AK2056" s="4" t="s">
        <v>63</v>
      </c>
      <c r="AL2056" s="4" t="s">
        <v>63</v>
      </c>
      <c r="AM2056" s="4" t="s">
        <v>17608</v>
      </c>
      <c r="AN2056" s="4" t="s">
        <v>63</v>
      </c>
      <c r="AO2056" s="4" t="s">
        <v>63</v>
      </c>
      <c r="AP2056" s="4" t="s">
        <v>63</v>
      </c>
      <c r="AQ2056" s="4" t="s">
        <v>63</v>
      </c>
      <c r="AR2056" s="4" t="s">
        <v>63</v>
      </c>
      <c r="AS2056" s="4" t="s">
        <v>63</v>
      </c>
      <c r="AT2056" s="4" t="s">
        <v>63</v>
      </c>
      <c r="AU2056" s="4" t="s">
        <v>63</v>
      </c>
      <c r="AV2056" s="4" t="s">
        <v>63</v>
      </c>
      <c r="AW2056" s="4" t="s">
        <v>63</v>
      </c>
      <c r="AX2056" s="4" t="s">
        <v>63</v>
      </c>
      <c r="AY2056" s="4" t="s">
        <v>63</v>
      </c>
      <c r="AZ2056" s="4" t="s">
        <v>63</v>
      </c>
      <c r="BA2056" s="4" t="s">
        <v>63</v>
      </c>
      <c r="BB2056" s="4" t="s">
        <v>63</v>
      </c>
      <c r="BC2056" s="4" t="s">
        <v>63</v>
      </c>
      <c r="BD2056" s="4" t="s">
        <v>63</v>
      </c>
      <c r="BE2056" s="4" t="s">
        <v>63</v>
      </c>
      <c r="BF2056" s="4" t="s">
        <v>63</v>
      </c>
    </row>
    <row r="2057" spans="1:58">
      <c r="A2057" s="4" t="s">
        <v>58</v>
      </c>
      <c r="B2057" s="4" t="s">
        <v>17612</v>
      </c>
      <c r="C2057" s="4" t="s">
        <v>17613</v>
      </c>
      <c r="D2057" s="4" t="s">
        <v>17614</v>
      </c>
      <c r="E2057" s="4" t="s">
        <v>17615</v>
      </c>
      <c r="F2057" s="4">
        <v>1975</v>
      </c>
      <c r="G2057" s="4" t="s">
        <v>63</v>
      </c>
      <c r="H2057" s="4">
        <v>18</v>
      </c>
      <c r="I2057" s="4">
        <v>1</v>
      </c>
      <c r="J2057" s="4">
        <v>34</v>
      </c>
      <c r="K2057" s="4">
        <v>38</v>
      </c>
      <c r="L2057" s="4" t="s">
        <v>17616</v>
      </c>
      <c r="M2057" s="4" t="s">
        <v>17617</v>
      </c>
      <c r="N2057" s="4" t="s">
        <v>17618</v>
      </c>
      <c r="O2057" s="4" t="s">
        <v>63</v>
      </c>
      <c r="P2057" s="4"/>
      <c r="Q2057" s="4" t="s">
        <v>63</v>
      </c>
      <c r="R2057" s="4" t="s">
        <v>63</v>
      </c>
      <c r="S2057" s="4" t="s">
        <v>63</v>
      </c>
      <c r="T2057" s="4" t="s">
        <v>63</v>
      </c>
      <c r="U2057" s="4"/>
      <c r="V2057" s="4"/>
      <c r="W2057" s="4"/>
      <c r="X2057" s="4" t="s">
        <v>63</v>
      </c>
      <c r="Y2057" s="4" t="s">
        <v>17619</v>
      </c>
      <c r="Z2057" s="4" t="s">
        <v>63</v>
      </c>
      <c r="AA2057" s="4" t="s">
        <v>63</v>
      </c>
      <c r="AB2057" s="4" t="s">
        <v>17620</v>
      </c>
      <c r="AC2057" s="4" t="s">
        <v>102</v>
      </c>
      <c r="AD2057" s="4" t="s">
        <v>63</v>
      </c>
      <c r="AE2057" s="4" t="s">
        <v>63</v>
      </c>
      <c r="AF2057" s="4" t="s">
        <v>63</v>
      </c>
      <c r="AG2057" s="4" t="s">
        <v>63</v>
      </c>
      <c r="AH2057" s="4" t="s">
        <v>63</v>
      </c>
      <c r="AI2057" s="4" t="s">
        <v>63</v>
      </c>
      <c r="AJ2057" s="4" t="s">
        <v>63</v>
      </c>
      <c r="AK2057" s="4" t="s">
        <v>63</v>
      </c>
      <c r="AL2057" s="4" t="s">
        <v>63</v>
      </c>
      <c r="AM2057" s="4" t="s">
        <v>17613</v>
      </c>
      <c r="AN2057" s="4" t="s">
        <v>63</v>
      </c>
      <c r="AO2057" s="4" t="s">
        <v>63</v>
      </c>
      <c r="AP2057" s="4" t="s">
        <v>63</v>
      </c>
      <c r="AQ2057" s="4" t="s">
        <v>63</v>
      </c>
      <c r="AR2057" s="4" t="s">
        <v>63</v>
      </c>
      <c r="AS2057" s="4" t="s">
        <v>63</v>
      </c>
      <c r="AT2057" s="4" t="s">
        <v>63</v>
      </c>
      <c r="AU2057" s="4" t="s">
        <v>63</v>
      </c>
      <c r="AV2057" s="4" t="s">
        <v>63</v>
      </c>
      <c r="AW2057" s="4" t="s">
        <v>63</v>
      </c>
      <c r="AX2057" s="4" t="s">
        <v>63</v>
      </c>
      <c r="AY2057" s="4" t="s">
        <v>63</v>
      </c>
      <c r="AZ2057" s="4" t="s">
        <v>63</v>
      </c>
      <c r="BA2057" s="4" t="s">
        <v>63</v>
      </c>
      <c r="BB2057" s="4" t="s">
        <v>63</v>
      </c>
      <c r="BC2057" s="4" t="s">
        <v>63</v>
      </c>
      <c r="BD2057" s="4" t="s">
        <v>63</v>
      </c>
      <c r="BE2057" s="4" t="s">
        <v>63</v>
      </c>
      <c r="BF2057" s="4" t="s">
        <v>63</v>
      </c>
    </row>
    <row r="2058" spans="1:58">
      <c r="A2058" s="4" t="s">
        <v>58</v>
      </c>
      <c r="B2058" s="4" t="s">
        <v>17621</v>
      </c>
      <c r="C2058" s="4" t="s">
        <v>17622</v>
      </c>
      <c r="D2058" s="4" t="s">
        <v>1439</v>
      </c>
      <c r="E2058" s="4" t="s">
        <v>1439</v>
      </c>
      <c r="F2058" s="4">
        <v>1974</v>
      </c>
      <c r="G2058" s="4" t="s">
        <v>63</v>
      </c>
      <c r="H2058" s="4">
        <v>71</v>
      </c>
      <c r="I2058" s="4">
        <v>35</v>
      </c>
      <c r="J2058" s="4">
        <v>3138</v>
      </c>
      <c r="K2058" s="4">
        <v>3139</v>
      </c>
      <c r="L2058" s="4" t="s">
        <v>17623</v>
      </c>
      <c r="M2058" s="4" t="s">
        <v>17624</v>
      </c>
      <c r="N2058" s="4" t="s">
        <v>17625</v>
      </c>
      <c r="O2058" s="4" t="s">
        <v>63</v>
      </c>
      <c r="P2058" s="4"/>
      <c r="Q2058" s="4" t="s">
        <v>63</v>
      </c>
      <c r="R2058" s="4" t="s">
        <v>63</v>
      </c>
      <c r="S2058" s="4" t="s">
        <v>63</v>
      </c>
      <c r="T2058" s="4" t="s">
        <v>63</v>
      </c>
      <c r="U2058" s="4"/>
      <c r="V2058" s="4"/>
      <c r="W2058" s="4"/>
      <c r="X2058" s="4" t="s">
        <v>63</v>
      </c>
      <c r="Y2058" s="4" t="s">
        <v>1442</v>
      </c>
      <c r="Z2058" s="4" t="s">
        <v>63</v>
      </c>
      <c r="AA2058" s="4" t="s">
        <v>63</v>
      </c>
      <c r="AB2058" s="4" t="s">
        <v>17626</v>
      </c>
      <c r="AC2058" s="4" t="s">
        <v>1444</v>
      </c>
      <c r="AD2058" s="4" t="s">
        <v>63</v>
      </c>
      <c r="AE2058" s="4" t="s">
        <v>63</v>
      </c>
      <c r="AF2058" s="4" t="s">
        <v>63</v>
      </c>
      <c r="AG2058" s="4" t="s">
        <v>63</v>
      </c>
      <c r="AH2058" s="4" t="s">
        <v>63</v>
      </c>
      <c r="AI2058" s="4" t="s">
        <v>63</v>
      </c>
      <c r="AJ2058" s="4" t="s">
        <v>63</v>
      </c>
      <c r="AK2058" s="4" t="s">
        <v>63</v>
      </c>
      <c r="AL2058" s="4" t="s">
        <v>63</v>
      </c>
      <c r="AM2058" s="4" t="s">
        <v>17622</v>
      </c>
      <c r="AN2058" s="4" t="s">
        <v>63</v>
      </c>
      <c r="AO2058" s="4" t="s">
        <v>63</v>
      </c>
      <c r="AP2058" s="4" t="s">
        <v>63</v>
      </c>
      <c r="AQ2058" s="4" t="s">
        <v>63</v>
      </c>
      <c r="AR2058" s="4" t="s">
        <v>63</v>
      </c>
      <c r="AS2058" s="4" t="s">
        <v>63</v>
      </c>
      <c r="AT2058" s="4" t="s">
        <v>63</v>
      </c>
      <c r="AU2058" s="4" t="s">
        <v>63</v>
      </c>
      <c r="AV2058" s="4" t="s">
        <v>63</v>
      </c>
      <c r="AW2058" s="4" t="s">
        <v>63</v>
      </c>
      <c r="AX2058" s="4" t="s">
        <v>63</v>
      </c>
      <c r="AY2058" s="4" t="s">
        <v>63</v>
      </c>
      <c r="AZ2058" s="4" t="s">
        <v>63</v>
      </c>
      <c r="BA2058" s="4" t="s">
        <v>63</v>
      </c>
      <c r="BB2058" s="4" t="s">
        <v>63</v>
      </c>
      <c r="BC2058" s="4" t="s">
        <v>63</v>
      </c>
      <c r="BD2058" s="4" t="s">
        <v>63</v>
      </c>
      <c r="BE2058" s="4" t="s">
        <v>63</v>
      </c>
      <c r="BF2058" s="4" t="s">
        <v>63</v>
      </c>
    </row>
    <row r="2059" spans="1:58">
      <c r="A2059" s="4" t="s">
        <v>58</v>
      </c>
      <c r="B2059" s="4" t="s">
        <v>17627</v>
      </c>
      <c r="C2059" s="4" t="s">
        <v>17628</v>
      </c>
      <c r="D2059" s="4" t="s">
        <v>15482</v>
      </c>
      <c r="E2059" s="4" t="s">
        <v>63</v>
      </c>
      <c r="F2059" s="4">
        <v>2012</v>
      </c>
      <c r="G2059" s="4" t="s">
        <v>15155</v>
      </c>
      <c r="H2059" s="4" t="s">
        <v>17518</v>
      </c>
      <c r="I2059" s="4" t="s">
        <v>63</v>
      </c>
      <c r="J2059" s="4" t="s">
        <v>17629</v>
      </c>
      <c r="K2059" s="4" t="s">
        <v>63</v>
      </c>
      <c r="L2059" s="4" t="s">
        <v>17630</v>
      </c>
      <c r="M2059" s="4" t="s">
        <v>17631</v>
      </c>
      <c r="N2059" s="4" t="s">
        <v>17632</v>
      </c>
      <c r="O2059" s="4" t="s">
        <v>63</v>
      </c>
      <c r="P2059" s="4"/>
      <c r="Q2059" s="4" t="s">
        <v>63</v>
      </c>
      <c r="R2059" s="4" t="s">
        <v>63</v>
      </c>
      <c r="S2059" s="4" t="s">
        <v>63</v>
      </c>
      <c r="T2059" s="4" t="s">
        <v>63</v>
      </c>
      <c r="U2059" s="4"/>
      <c r="V2059" s="4"/>
      <c r="W2059" s="4"/>
      <c r="X2059" s="4" t="s">
        <v>63</v>
      </c>
      <c r="Y2059" s="4" t="s">
        <v>4853</v>
      </c>
      <c r="Z2059" s="4" t="s">
        <v>63</v>
      </c>
      <c r="AA2059" s="4" t="s">
        <v>63</v>
      </c>
      <c r="AB2059" s="4" t="s">
        <v>63</v>
      </c>
      <c r="AC2059" s="4" t="s">
        <v>67</v>
      </c>
      <c r="AD2059" s="4" t="s">
        <v>63</v>
      </c>
      <c r="AE2059" s="4" t="s">
        <v>63</v>
      </c>
      <c r="AF2059" s="4" t="s">
        <v>63</v>
      </c>
      <c r="AG2059" s="4" t="s">
        <v>63</v>
      </c>
      <c r="AH2059" s="4" t="s">
        <v>63</v>
      </c>
      <c r="AI2059" s="4" t="s">
        <v>17633</v>
      </c>
      <c r="AJ2059" s="4" t="s">
        <v>63</v>
      </c>
      <c r="AK2059" s="4" t="s">
        <v>63</v>
      </c>
      <c r="AL2059" s="4" t="s">
        <v>63</v>
      </c>
      <c r="AM2059" s="4" t="s">
        <v>17628</v>
      </c>
      <c r="AN2059" s="4" t="s">
        <v>63</v>
      </c>
      <c r="AO2059" s="4" t="s">
        <v>63</v>
      </c>
      <c r="AP2059" s="4" t="s">
        <v>63</v>
      </c>
      <c r="AQ2059" s="4" t="s">
        <v>63</v>
      </c>
      <c r="AR2059" s="4" t="s">
        <v>63</v>
      </c>
      <c r="AS2059" s="4" t="s">
        <v>63</v>
      </c>
      <c r="AT2059" s="4" t="s">
        <v>63</v>
      </c>
      <c r="AU2059" s="4" t="s">
        <v>63</v>
      </c>
      <c r="AV2059" s="4" t="s">
        <v>63</v>
      </c>
      <c r="AW2059" s="4" t="s">
        <v>63</v>
      </c>
      <c r="AX2059" s="4" t="s">
        <v>63</v>
      </c>
      <c r="AY2059" s="4" t="s">
        <v>63</v>
      </c>
      <c r="AZ2059" s="4" t="s">
        <v>63</v>
      </c>
      <c r="BA2059" s="4" t="s">
        <v>63</v>
      </c>
      <c r="BB2059" s="4" t="s">
        <v>63</v>
      </c>
      <c r="BC2059" s="4" t="s">
        <v>63</v>
      </c>
      <c r="BD2059" s="4" t="s">
        <v>63</v>
      </c>
      <c r="BE2059" s="4" t="s">
        <v>63</v>
      </c>
      <c r="BF2059" s="4" t="s">
        <v>63</v>
      </c>
    </row>
    <row r="2060" spans="1:58">
      <c r="A2060" s="4" t="s">
        <v>58</v>
      </c>
      <c r="B2060" s="4" t="s">
        <v>17634</v>
      </c>
      <c r="C2060" s="4" t="s">
        <v>17635</v>
      </c>
      <c r="D2060" s="4" t="s">
        <v>17636</v>
      </c>
      <c r="E2060" s="4" t="s">
        <v>63</v>
      </c>
      <c r="F2060" s="4">
        <v>2010</v>
      </c>
      <c r="G2060" s="4" t="s">
        <v>16091</v>
      </c>
      <c r="H2060" s="4" t="s">
        <v>17637</v>
      </c>
      <c r="I2060" s="4" t="s">
        <v>63</v>
      </c>
      <c r="J2060" s="4">
        <v>170</v>
      </c>
      <c r="K2060" s="4" t="s">
        <v>63</v>
      </c>
      <c r="L2060" s="4" t="s">
        <v>17638</v>
      </c>
      <c r="M2060" s="4" t="s">
        <v>17639</v>
      </c>
      <c r="N2060" s="4" t="s">
        <v>17640</v>
      </c>
      <c r="O2060" s="4" t="s">
        <v>63</v>
      </c>
      <c r="P2060" s="4"/>
      <c r="Q2060" s="4" t="s">
        <v>63</v>
      </c>
      <c r="R2060" s="4" t="s">
        <v>63</v>
      </c>
      <c r="S2060" s="4" t="s">
        <v>63</v>
      </c>
      <c r="T2060" s="4" t="s">
        <v>63</v>
      </c>
      <c r="U2060" s="4"/>
      <c r="V2060" s="4"/>
      <c r="W2060" s="4"/>
      <c r="X2060" s="4" t="s">
        <v>63</v>
      </c>
      <c r="Y2060" s="4" t="s">
        <v>17641</v>
      </c>
      <c r="Z2060" s="4" t="s">
        <v>63</v>
      </c>
      <c r="AA2060" s="4" t="s">
        <v>63</v>
      </c>
      <c r="AB2060" s="4" t="s">
        <v>63</v>
      </c>
      <c r="AC2060" s="4" t="s">
        <v>67</v>
      </c>
      <c r="AD2060" s="4" t="s">
        <v>63</v>
      </c>
      <c r="AE2060" s="4" t="s">
        <v>63</v>
      </c>
      <c r="AF2060" s="4" t="s">
        <v>63</v>
      </c>
      <c r="AG2060" s="4" t="s">
        <v>63</v>
      </c>
      <c r="AH2060" s="4" t="s">
        <v>63</v>
      </c>
      <c r="AI2060" s="4" t="s">
        <v>17642</v>
      </c>
      <c r="AJ2060" s="4" t="s">
        <v>63</v>
      </c>
      <c r="AK2060" s="4" t="s">
        <v>63</v>
      </c>
      <c r="AL2060" s="4" t="s">
        <v>63</v>
      </c>
      <c r="AM2060" s="4" t="s">
        <v>17635</v>
      </c>
      <c r="AN2060" s="4" t="s">
        <v>63</v>
      </c>
      <c r="AO2060" s="4" t="s">
        <v>63</v>
      </c>
      <c r="AP2060" s="4" t="s">
        <v>63</v>
      </c>
      <c r="AQ2060" s="4" t="s">
        <v>63</v>
      </c>
      <c r="AR2060" s="4" t="s">
        <v>63</v>
      </c>
      <c r="AS2060" s="4" t="s">
        <v>63</v>
      </c>
      <c r="AT2060" s="4" t="s">
        <v>63</v>
      </c>
      <c r="AU2060" s="4" t="s">
        <v>63</v>
      </c>
      <c r="AV2060" s="4" t="s">
        <v>63</v>
      </c>
      <c r="AW2060" s="4" t="s">
        <v>63</v>
      </c>
      <c r="AX2060" s="4" t="s">
        <v>63</v>
      </c>
      <c r="AY2060" s="4" t="s">
        <v>63</v>
      </c>
      <c r="AZ2060" s="4" t="s">
        <v>63</v>
      </c>
      <c r="BA2060" s="4" t="s">
        <v>63</v>
      </c>
      <c r="BB2060" s="4" t="s">
        <v>63</v>
      </c>
      <c r="BC2060" s="4" t="s">
        <v>63</v>
      </c>
      <c r="BD2060" s="4" t="s">
        <v>63</v>
      </c>
      <c r="BE2060" s="4" t="s">
        <v>63</v>
      </c>
      <c r="BF2060" s="4" t="s">
        <v>63</v>
      </c>
    </row>
    <row r="2061" spans="1:58">
      <c r="A2061" s="4" t="s">
        <v>58</v>
      </c>
      <c r="B2061" s="4" t="s">
        <v>17643</v>
      </c>
      <c r="C2061" s="4" t="s">
        <v>17644</v>
      </c>
      <c r="D2061" s="4" t="s">
        <v>3007</v>
      </c>
      <c r="E2061" s="4" t="s">
        <v>3008</v>
      </c>
      <c r="F2061" s="4">
        <v>2006</v>
      </c>
      <c r="G2061" s="4" t="s">
        <v>15472</v>
      </c>
      <c r="H2061" s="4">
        <v>29</v>
      </c>
      <c r="I2061" s="4">
        <v>3</v>
      </c>
      <c r="J2061" s="4">
        <v>649</v>
      </c>
      <c r="K2061" s="4">
        <v>673</v>
      </c>
      <c r="L2061" s="4" t="s">
        <v>17645</v>
      </c>
      <c r="M2061" s="4" t="s">
        <v>17646</v>
      </c>
      <c r="N2061" s="4" t="s">
        <v>17647</v>
      </c>
      <c r="O2061" s="4" t="s">
        <v>63</v>
      </c>
      <c r="P2061" s="4"/>
      <c r="Q2061" s="4" t="s">
        <v>63</v>
      </c>
      <c r="R2061" s="4" t="s">
        <v>63</v>
      </c>
      <c r="S2061" s="4" t="s">
        <v>63</v>
      </c>
      <c r="T2061" s="4" t="s">
        <v>63</v>
      </c>
      <c r="U2061" s="4"/>
      <c r="V2061" s="4"/>
      <c r="W2061" s="4"/>
      <c r="X2061" s="4" t="s">
        <v>63</v>
      </c>
      <c r="Y2061" s="4" t="s">
        <v>3740</v>
      </c>
      <c r="Z2061" s="4" t="s">
        <v>63</v>
      </c>
      <c r="AA2061" s="4" t="s">
        <v>63</v>
      </c>
      <c r="AB2061" s="4">
        <v>2006374451</v>
      </c>
      <c r="AC2061" s="4" t="s">
        <v>67</v>
      </c>
      <c r="AD2061" s="4" t="s">
        <v>63</v>
      </c>
      <c r="AE2061" s="4" t="s">
        <v>63</v>
      </c>
      <c r="AF2061" s="4" t="s">
        <v>63</v>
      </c>
      <c r="AG2061" s="4" t="s">
        <v>17648</v>
      </c>
      <c r="AH2061" s="4" t="s">
        <v>63</v>
      </c>
      <c r="AI2061" s="4" t="s">
        <v>17649</v>
      </c>
      <c r="AJ2061" s="4" t="s">
        <v>63</v>
      </c>
      <c r="AK2061" s="4" t="s">
        <v>63</v>
      </c>
      <c r="AL2061" s="4" t="s">
        <v>63</v>
      </c>
      <c r="AM2061" s="4" t="s">
        <v>17650</v>
      </c>
      <c r="AN2061" s="4" t="s">
        <v>63</v>
      </c>
      <c r="AO2061" s="4" t="s">
        <v>63</v>
      </c>
      <c r="AP2061" s="4" t="s">
        <v>63</v>
      </c>
      <c r="AQ2061" s="4" t="s">
        <v>63</v>
      </c>
      <c r="AR2061" s="4" t="s">
        <v>63</v>
      </c>
      <c r="AS2061" s="4" t="s">
        <v>63</v>
      </c>
      <c r="AT2061" s="4" t="s">
        <v>63</v>
      </c>
      <c r="AU2061" s="4" t="s">
        <v>63</v>
      </c>
      <c r="AV2061" s="4" t="s">
        <v>63</v>
      </c>
      <c r="AW2061" s="4" t="s">
        <v>63</v>
      </c>
      <c r="AX2061" s="4" t="s">
        <v>63</v>
      </c>
      <c r="AY2061" s="4" t="s">
        <v>63</v>
      </c>
      <c r="AZ2061" s="4" t="s">
        <v>63</v>
      </c>
      <c r="BA2061" s="4" t="s">
        <v>63</v>
      </c>
      <c r="BB2061" s="4" t="s">
        <v>63</v>
      </c>
      <c r="BC2061" s="4" t="s">
        <v>63</v>
      </c>
      <c r="BD2061" s="4" t="s">
        <v>63</v>
      </c>
      <c r="BE2061" s="4" t="s">
        <v>63</v>
      </c>
      <c r="BF2061" s="4" t="s">
        <v>63</v>
      </c>
    </row>
    <row r="2062" spans="1:58">
      <c r="A2062" s="4" t="s">
        <v>58</v>
      </c>
      <c r="B2062" s="4" t="s">
        <v>17651</v>
      </c>
      <c r="C2062" s="4" t="s">
        <v>17652</v>
      </c>
      <c r="D2062" s="4" t="s">
        <v>16436</v>
      </c>
      <c r="E2062" s="4" t="s">
        <v>16437</v>
      </c>
      <c r="F2062" s="4">
        <v>1987</v>
      </c>
      <c r="G2062" s="4" t="s">
        <v>63</v>
      </c>
      <c r="H2062" s="4">
        <v>35</v>
      </c>
      <c r="I2062" s="4">
        <v>5</v>
      </c>
      <c r="J2062" s="4">
        <v>386</v>
      </c>
      <c r="K2062" s="4">
        <v>392</v>
      </c>
      <c r="L2062" s="4" t="s">
        <v>17653</v>
      </c>
      <c r="M2062" s="4" t="s">
        <v>17654</v>
      </c>
      <c r="N2062" s="4" t="s">
        <v>17655</v>
      </c>
      <c r="O2062" s="4" t="s">
        <v>63</v>
      </c>
      <c r="P2062" s="4"/>
      <c r="Q2062" s="4" t="s">
        <v>63</v>
      </c>
      <c r="R2062" s="4" t="s">
        <v>63</v>
      </c>
      <c r="S2062" s="4" t="s">
        <v>63</v>
      </c>
      <c r="T2062" s="4" t="s">
        <v>63</v>
      </c>
      <c r="U2062" s="4"/>
      <c r="V2062" s="4"/>
      <c r="W2062" s="4"/>
      <c r="X2062" s="4" t="s">
        <v>63</v>
      </c>
      <c r="Y2062" s="4" t="s">
        <v>2698</v>
      </c>
      <c r="Z2062" s="4" t="s">
        <v>63</v>
      </c>
      <c r="AA2062" s="4" t="s">
        <v>63</v>
      </c>
      <c r="AB2062" s="4">
        <v>1987235249</v>
      </c>
      <c r="AC2062" s="4" t="s">
        <v>67</v>
      </c>
      <c r="AD2062" s="4" t="s">
        <v>63</v>
      </c>
      <c r="AE2062" s="4" t="s">
        <v>63</v>
      </c>
      <c r="AF2062" s="4" t="s">
        <v>63</v>
      </c>
      <c r="AG2062" s="4" t="s">
        <v>17656</v>
      </c>
      <c r="AH2062" s="4" t="s">
        <v>63</v>
      </c>
      <c r="AI2062" s="4" t="s">
        <v>63</v>
      </c>
      <c r="AJ2062" s="4" t="s">
        <v>63</v>
      </c>
      <c r="AK2062" s="4" t="s">
        <v>63</v>
      </c>
      <c r="AL2062" s="4" t="s">
        <v>63</v>
      </c>
      <c r="AM2062" s="4" t="s">
        <v>17657</v>
      </c>
      <c r="AN2062" s="4" t="s">
        <v>63</v>
      </c>
      <c r="AO2062" s="4" t="s">
        <v>63</v>
      </c>
      <c r="AP2062" s="4" t="s">
        <v>63</v>
      </c>
      <c r="AQ2062" s="4" t="s">
        <v>63</v>
      </c>
      <c r="AR2062" s="4" t="s">
        <v>63</v>
      </c>
      <c r="AS2062" s="4" t="s">
        <v>63</v>
      </c>
      <c r="AT2062" s="4" t="s">
        <v>63</v>
      </c>
      <c r="AU2062" s="4" t="s">
        <v>63</v>
      </c>
      <c r="AV2062" s="4" t="s">
        <v>63</v>
      </c>
      <c r="AW2062" s="4" t="s">
        <v>63</v>
      </c>
      <c r="AX2062" s="4" t="s">
        <v>63</v>
      </c>
      <c r="AY2062" s="4" t="s">
        <v>63</v>
      </c>
      <c r="AZ2062" s="4" t="s">
        <v>63</v>
      </c>
      <c r="BA2062" s="4" t="s">
        <v>63</v>
      </c>
      <c r="BB2062" s="4" t="s">
        <v>63</v>
      </c>
      <c r="BC2062" s="4" t="s">
        <v>63</v>
      </c>
      <c r="BD2062" s="4" t="s">
        <v>63</v>
      </c>
      <c r="BE2062" s="4" t="s">
        <v>63</v>
      </c>
      <c r="BF2062" s="4" t="s">
        <v>63</v>
      </c>
    </row>
    <row r="2063" spans="1:58">
      <c r="A2063" s="4" t="s">
        <v>58</v>
      </c>
      <c r="B2063" s="4" t="s">
        <v>17658</v>
      </c>
      <c r="C2063" s="4" t="s">
        <v>17659</v>
      </c>
      <c r="D2063" s="4" t="s">
        <v>6854</v>
      </c>
      <c r="E2063" s="4" t="s">
        <v>63</v>
      </c>
      <c r="F2063" s="4">
        <v>2016</v>
      </c>
      <c r="G2063" s="4" t="s">
        <v>63</v>
      </c>
      <c r="H2063" s="4" t="s">
        <v>17660</v>
      </c>
      <c r="I2063" s="4" t="s">
        <v>63</v>
      </c>
      <c r="J2063" s="4" t="s">
        <v>63</v>
      </c>
      <c r="K2063" s="4" t="s">
        <v>63</v>
      </c>
      <c r="L2063" s="4" t="s">
        <v>17661</v>
      </c>
      <c r="M2063" s="4" t="s">
        <v>17662</v>
      </c>
      <c r="N2063" s="4" t="s">
        <v>17663</v>
      </c>
      <c r="O2063" s="4" t="s">
        <v>63</v>
      </c>
      <c r="P2063" s="4"/>
      <c r="Q2063" s="4" t="s">
        <v>63</v>
      </c>
      <c r="R2063" s="4" t="s">
        <v>63</v>
      </c>
      <c r="S2063" s="4" t="s">
        <v>63</v>
      </c>
      <c r="T2063" s="4" t="s">
        <v>63</v>
      </c>
      <c r="U2063" s="4"/>
      <c r="V2063" s="4"/>
      <c r="W2063" s="4"/>
      <c r="X2063" s="4" t="s">
        <v>63</v>
      </c>
      <c r="Y2063" s="4" t="s">
        <v>6857</v>
      </c>
      <c r="Z2063" s="4" t="s">
        <v>63</v>
      </c>
      <c r="AA2063" s="4" t="s">
        <v>63</v>
      </c>
      <c r="AB2063" s="4" t="s">
        <v>63</v>
      </c>
      <c r="AC2063" s="4" t="s">
        <v>67</v>
      </c>
      <c r="AD2063" s="4" t="s">
        <v>63</v>
      </c>
      <c r="AE2063" s="4" t="s">
        <v>63</v>
      </c>
      <c r="AF2063" s="4" t="s">
        <v>63</v>
      </c>
      <c r="AG2063" s="4" t="s">
        <v>63</v>
      </c>
      <c r="AH2063" s="4" t="s">
        <v>63</v>
      </c>
      <c r="AI2063" s="4" t="s">
        <v>17664</v>
      </c>
      <c r="AJ2063" s="4" t="s">
        <v>63</v>
      </c>
      <c r="AK2063" s="4" t="s">
        <v>63</v>
      </c>
      <c r="AL2063" s="4" t="s">
        <v>63</v>
      </c>
      <c r="AM2063" s="4" t="s">
        <v>17659</v>
      </c>
      <c r="AN2063" s="4" t="s">
        <v>63</v>
      </c>
      <c r="AO2063" s="4" t="s">
        <v>63</v>
      </c>
      <c r="AP2063" s="4" t="s">
        <v>63</v>
      </c>
      <c r="AQ2063" s="4" t="s">
        <v>63</v>
      </c>
      <c r="AR2063" s="4" t="s">
        <v>63</v>
      </c>
      <c r="AS2063" s="4" t="s">
        <v>63</v>
      </c>
      <c r="AT2063" s="4" t="s">
        <v>63</v>
      </c>
      <c r="AU2063" s="4" t="s">
        <v>63</v>
      </c>
      <c r="AV2063" s="4" t="s">
        <v>63</v>
      </c>
      <c r="AW2063" s="4" t="s">
        <v>63</v>
      </c>
      <c r="AX2063" s="4" t="s">
        <v>63</v>
      </c>
      <c r="AY2063" s="4" t="s">
        <v>63</v>
      </c>
      <c r="AZ2063" s="4" t="s">
        <v>63</v>
      </c>
      <c r="BA2063" s="4" t="s">
        <v>63</v>
      </c>
      <c r="BB2063" s="4" t="s">
        <v>63</v>
      </c>
      <c r="BC2063" s="4" t="s">
        <v>63</v>
      </c>
      <c r="BD2063" s="4" t="s">
        <v>63</v>
      </c>
      <c r="BE2063" s="4" t="s">
        <v>63</v>
      </c>
      <c r="BF2063" s="4" t="s">
        <v>63</v>
      </c>
    </row>
    <row r="2064" spans="1:58">
      <c r="A2064" s="4" t="s">
        <v>58</v>
      </c>
      <c r="B2064" s="4" t="s">
        <v>17665</v>
      </c>
      <c r="C2064" s="4" t="s">
        <v>17666</v>
      </c>
      <c r="D2064" s="4" t="s">
        <v>1212</v>
      </c>
      <c r="E2064" s="4" t="s">
        <v>63</v>
      </c>
      <c r="F2064" s="4">
        <v>2013</v>
      </c>
      <c r="G2064" s="4" t="s">
        <v>17066</v>
      </c>
      <c r="H2064" s="4">
        <v>7</v>
      </c>
      <c r="I2064" s="4">
        <v>3</v>
      </c>
      <c r="J2064" s="4">
        <v>200</v>
      </c>
      <c r="K2064" s="4">
        <v>203</v>
      </c>
      <c r="L2064" s="4" t="s">
        <v>17667</v>
      </c>
      <c r="M2064" s="4" t="s">
        <v>17668</v>
      </c>
      <c r="N2064" s="4" t="s">
        <v>17669</v>
      </c>
      <c r="O2064" s="4" t="s">
        <v>63</v>
      </c>
      <c r="P2064" s="4"/>
      <c r="Q2064" s="4" t="s">
        <v>63</v>
      </c>
      <c r="R2064" s="4" t="s">
        <v>63</v>
      </c>
      <c r="S2064" s="4" t="s">
        <v>63</v>
      </c>
      <c r="T2064" s="4" t="s">
        <v>63</v>
      </c>
      <c r="U2064" s="4"/>
      <c r="V2064" s="4"/>
      <c r="W2064" s="4"/>
      <c r="X2064" s="4" t="s">
        <v>63</v>
      </c>
      <c r="Y2064" s="4" t="s">
        <v>15530</v>
      </c>
      <c r="Z2064" s="4" t="s">
        <v>63</v>
      </c>
      <c r="AA2064" s="4" t="s">
        <v>63</v>
      </c>
      <c r="AB2064" s="4">
        <v>2013728180</v>
      </c>
      <c r="AC2064" s="4" t="s">
        <v>67</v>
      </c>
      <c r="AD2064" s="4" t="s">
        <v>63</v>
      </c>
      <c r="AE2064" s="4" t="s">
        <v>63</v>
      </c>
      <c r="AF2064" s="4" t="s">
        <v>63</v>
      </c>
      <c r="AG2064" s="4" t="s">
        <v>17670</v>
      </c>
      <c r="AH2064" s="4" t="s">
        <v>63</v>
      </c>
      <c r="AI2064" s="4" t="s">
        <v>17671</v>
      </c>
      <c r="AJ2064" s="4" t="s">
        <v>63</v>
      </c>
      <c r="AK2064" s="4" t="s">
        <v>63</v>
      </c>
      <c r="AL2064" s="4" t="s">
        <v>63</v>
      </c>
      <c r="AM2064" s="4" t="s">
        <v>17672</v>
      </c>
      <c r="AN2064" s="4" t="s">
        <v>63</v>
      </c>
      <c r="AO2064" s="4" t="s">
        <v>63</v>
      </c>
      <c r="AP2064" s="4" t="s">
        <v>63</v>
      </c>
      <c r="AQ2064" s="4" t="s">
        <v>63</v>
      </c>
      <c r="AR2064" s="4" t="s">
        <v>63</v>
      </c>
      <c r="AS2064" s="4" t="s">
        <v>63</v>
      </c>
      <c r="AT2064" s="4" t="s">
        <v>63</v>
      </c>
      <c r="AU2064" s="4" t="s">
        <v>63</v>
      </c>
      <c r="AV2064" s="4" t="s">
        <v>63</v>
      </c>
      <c r="AW2064" s="4" t="s">
        <v>63</v>
      </c>
      <c r="AX2064" s="4" t="s">
        <v>63</v>
      </c>
      <c r="AY2064" s="4" t="s">
        <v>63</v>
      </c>
      <c r="AZ2064" s="4" t="s">
        <v>63</v>
      </c>
      <c r="BA2064" s="4" t="s">
        <v>63</v>
      </c>
      <c r="BB2064" s="4" t="s">
        <v>63</v>
      </c>
      <c r="BC2064" s="4" t="s">
        <v>63</v>
      </c>
      <c r="BD2064" s="4" t="s">
        <v>63</v>
      </c>
      <c r="BE2064" s="4" t="s">
        <v>63</v>
      </c>
      <c r="BF2064" s="4" t="s">
        <v>63</v>
      </c>
    </row>
    <row r="2065" spans="1:58">
      <c r="A2065" s="4" t="s">
        <v>58</v>
      </c>
      <c r="B2065" s="4" t="s">
        <v>17673</v>
      </c>
      <c r="C2065" s="4" t="s">
        <v>17674</v>
      </c>
      <c r="D2065" s="4" t="s">
        <v>17675</v>
      </c>
      <c r="E2065" s="4" t="s">
        <v>63</v>
      </c>
      <c r="F2065" s="4">
        <v>2014</v>
      </c>
      <c r="G2065" s="4" t="s">
        <v>63</v>
      </c>
      <c r="H2065" s="4">
        <v>72</v>
      </c>
      <c r="I2065" s="4">
        <v>3</v>
      </c>
      <c r="J2065" s="4">
        <v>181</v>
      </c>
      <c r="K2065" s="4">
        <v>186</v>
      </c>
      <c r="L2065" s="4" t="s">
        <v>17676</v>
      </c>
      <c r="M2065" s="4" t="s">
        <v>17677</v>
      </c>
      <c r="N2065" s="4" t="s">
        <v>17678</v>
      </c>
      <c r="O2065" s="4" t="s">
        <v>63</v>
      </c>
      <c r="P2065" s="4"/>
      <c r="Q2065" s="4" t="s">
        <v>63</v>
      </c>
      <c r="R2065" s="4" t="s">
        <v>63</v>
      </c>
      <c r="S2065" s="4" t="s">
        <v>63</v>
      </c>
      <c r="T2065" s="4" t="s">
        <v>63</v>
      </c>
      <c r="U2065" s="4"/>
      <c r="V2065" s="4"/>
      <c r="W2065" s="4"/>
      <c r="X2065" s="4" t="s">
        <v>63</v>
      </c>
      <c r="Y2065" s="4" t="s">
        <v>17679</v>
      </c>
      <c r="Z2065" s="4" t="s">
        <v>63</v>
      </c>
      <c r="AA2065" s="4" t="s">
        <v>63</v>
      </c>
      <c r="AB2065" s="4" t="s">
        <v>17680</v>
      </c>
      <c r="AC2065" s="4" t="s">
        <v>67</v>
      </c>
      <c r="AD2065" s="4" t="s">
        <v>63</v>
      </c>
      <c r="AE2065" s="4" t="s">
        <v>63</v>
      </c>
      <c r="AF2065" s="4" t="s">
        <v>63</v>
      </c>
      <c r="AG2065" s="4" t="s">
        <v>63</v>
      </c>
      <c r="AH2065" s="4" t="s">
        <v>63</v>
      </c>
      <c r="AI2065" s="4" t="s">
        <v>63</v>
      </c>
      <c r="AJ2065" s="4" t="s">
        <v>63</v>
      </c>
      <c r="AK2065" s="4" t="s">
        <v>63</v>
      </c>
      <c r="AL2065" s="4" t="s">
        <v>63</v>
      </c>
      <c r="AM2065" s="4" t="s">
        <v>17674</v>
      </c>
      <c r="AN2065" s="4" t="s">
        <v>63</v>
      </c>
      <c r="AO2065" s="4" t="s">
        <v>63</v>
      </c>
      <c r="AP2065" s="4" t="s">
        <v>63</v>
      </c>
      <c r="AQ2065" s="4" t="s">
        <v>63</v>
      </c>
      <c r="AR2065" s="4" t="s">
        <v>63</v>
      </c>
      <c r="AS2065" s="4" t="s">
        <v>63</v>
      </c>
      <c r="AT2065" s="4" t="s">
        <v>63</v>
      </c>
      <c r="AU2065" s="4" t="s">
        <v>63</v>
      </c>
      <c r="AV2065" s="4" t="s">
        <v>63</v>
      </c>
      <c r="AW2065" s="4" t="s">
        <v>63</v>
      </c>
      <c r="AX2065" s="4" t="s">
        <v>63</v>
      </c>
      <c r="AY2065" s="4" t="s">
        <v>63</v>
      </c>
      <c r="AZ2065" s="4" t="s">
        <v>63</v>
      </c>
      <c r="BA2065" s="4" t="s">
        <v>63</v>
      </c>
      <c r="BB2065" s="4" t="s">
        <v>63</v>
      </c>
      <c r="BC2065" s="4" t="s">
        <v>63</v>
      </c>
      <c r="BD2065" s="4" t="s">
        <v>63</v>
      </c>
      <c r="BE2065" s="4" t="s">
        <v>63</v>
      </c>
      <c r="BF2065" s="4" t="s">
        <v>63</v>
      </c>
    </row>
    <row r="2066" spans="1:58">
      <c r="A2066" s="4" t="s">
        <v>58</v>
      </c>
      <c r="B2066" s="4" t="s">
        <v>17681</v>
      </c>
      <c r="C2066" s="4" t="s">
        <v>17682</v>
      </c>
      <c r="D2066" s="4" t="s">
        <v>17683</v>
      </c>
      <c r="E2066" s="4" t="s">
        <v>63</v>
      </c>
      <c r="F2066" s="4">
        <v>2006</v>
      </c>
      <c r="G2066" s="4" t="s">
        <v>1670</v>
      </c>
      <c r="H2066" s="4">
        <v>8</v>
      </c>
      <c r="I2066" s="4">
        <v>3</v>
      </c>
      <c r="J2066" s="4">
        <v>609</v>
      </c>
      <c r="K2066" s="4">
        <v>611</v>
      </c>
      <c r="L2066" s="4" t="s">
        <v>17684</v>
      </c>
      <c r="M2066" s="4" t="s">
        <v>17685</v>
      </c>
      <c r="N2066" s="4" t="s">
        <v>17686</v>
      </c>
      <c r="O2066" s="4" t="s">
        <v>63</v>
      </c>
      <c r="P2066" s="4"/>
      <c r="Q2066" s="4" t="s">
        <v>63</v>
      </c>
      <c r="R2066" s="4" t="s">
        <v>63</v>
      </c>
      <c r="S2066" s="4" t="s">
        <v>63</v>
      </c>
      <c r="T2066" s="4" t="s">
        <v>63</v>
      </c>
      <c r="U2066" s="4"/>
      <c r="V2066" s="4"/>
      <c r="W2066" s="4"/>
      <c r="X2066" s="4" t="s">
        <v>63</v>
      </c>
      <c r="Y2066" s="4" t="s">
        <v>17687</v>
      </c>
      <c r="Z2066" s="4" t="s">
        <v>63</v>
      </c>
      <c r="AA2066" s="4" t="s">
        <v>63</v>
      </c>
      <c r="AB2066" s="4" t="s">
        <v>17688</v>
      </c>
      <c r="AC2066" s="4" t="s">
        <v>696</v>
      </c>
      <c r="AD2066" s="4" t="s">
        <v>63</v>
      </c>
      <c r="AE2066" s="4" t="s">
        <v>63</v>
      </c>
      <c r="AF2066" s="4" t="s">
        <v>63</v>
      </c>
      <c r="AG2066" s="4" t="s">
        <v>63</v>
      </c>
      <c r="AH2066" s="4" t="s">
        <v>63</v>
      </c>
      <c r="AI2066" s="4" t="s">
        <v>63</v>
      </c>
      <c r="AJ2066" s="4" t="s">
        <v>63</v>
      </c>
      <c r="AK2066" s="4" t="s">
        <v>63</v>
      </c>
      <c r="AL2066" s="4" t="s">
        <v>63</v>
      </c>
      <c r="AM2066" s="4" t="s">
        <v>17682</v>
      </c>
      <c r="AN2066" s="4" t="s">
        <v>63</v>
      </c>
      <c r="AO2066" s="4" t="s">
        <v>63</v>
      </c>
      <c r="AP2066" s="4" t="s">
        <v>63</v>
      </c>
      <c r="AQ2066" s="4" t="s">
        <v>63</v>
      </c>
      <c r="AR2066" s="4" t="s">
        <v>63</v>
      </c>
      <c r="AS2066" s="4" t="s">
        <v>63</v>
      </c>
      <c r="AT2066" s="4" t="s">
        <v>63</v>
      </c>
      <c r="AU2066" s="4" t="s">
        <v>63</v>
      </c>
      <c r="AV2066" s="4" t="s">
        <v>63</v>
      </c>
      <c r="AW2066" s="4" t="s">
        <v>63</v>
      </c>
      <c r="AX2066" s="4" t="s">
        <v>63</v>
      </c>
      <c r="AY2066" s="4" t="s">
        <v>63</v>
      </c>
      <c r="AZ2066" s="4" t="s">
        <v>63</v>
      </c>
      <c r="BA2066" s="4" t="s">
        <v>63</v>
      </c>
      <c r="BB2066" s="4" t="s">
        <v>63</v>
      </c>
      <c r="BC2066" s="4" t="s">
        <v>63</v>
      </c>
      <c r="BD2066" s="4" t="s">
        <v>63</v>
      </c>
      <c r="BE2066" s="4" t="s">
        <v>63</v>
      </c>
      <c r="BF2066" s="4" t="s">
        <v>63</v>
      </c>
    </row>
    <row r="2067" spans="1:58">
      <c r="A2067" s="4" t="s">
        <v>58</v>
      </c>
      <c r="B2067" s="4" t="s">
        <v>17689</v>
      </c>
      <c r="C2067" s="4" t="s">
        <v>17690</v>
      </c>
      <c r="D2067" s="4" t="s">
        <v>17691</v>
      </c>
      <c r="E2067" s="4" t="s">
        <v>63</v>
      </c>
      <c r="F2067" s="4">
        <v>1990</v>
      </c>
      <c r="G2067" s="4" t="s">
        <v>63</v>
      </c>
      <c r="H2067" s="4">
        <v>44</v>
      </c>
      <c r="I2067" s="4">
        <v>1</v>
      </c>
      <c r="J2067" s="4">
        <v>515</v>
      </c>
      <c r="K2067" s="4">
        <v>516</v>
      </c>
      <c r="L2067" s="4" t="s">
        <v>17692</v>
      </c>
      <c r="M2067" s="4" t="s">
        <v>17693</v>
      </c>
      <c r="N2067" s="4" t="s">
        <v>17694</v>
      </c>
      <c r="O2067" s="4" t="s">
        <v>63</v>
      </c>
      <c r="P2067" s="4"/>
      <c r="Q2067" s="4" t="s">
        <v>63</v>
      </c>
      <c r="R2067" s="4" t="s">
        <v>63</v>
      </c>
      <c r="S2067" s="4" t="s">
        <v>63</v>
      </c>
      <c r="T2067" s="4" t="s">
        <v>63</v>
      </c>
      <c r="U2067" s="4"/>
      <c r="V2067" s="4"/>
      <c r="W2067" s="4"/>
      <c r="X2067" s="4" t="s">
        <v>63</v>
      </c>
      <c r="Y2067" s="4" t="s">
        <v>17695</v>
      </c>
      <c r="Z2067" s="4" t="s">
        <v>63</v>
      </c>
      <c r="AA2067" s="4" t="s">
        <v>63</v>
      </c>
      <c r="AB2067" s="4" t="s">
        <v>17696</v>
      </c>
      <c r="AC2067" s="4" t="s">
        <v>102</v>
      </c>
      <c r="AD2067" s="4" t="s">
        <v>63</v>
      </c>
      <c r="AE2067" s="4" t="s">
        <v>63</v>
      </c>
      <c r="AF2067" s="4" t="s">
        <v>63</v>
      </c>
      <c r="AG2067" s="4" t="s">
        <v>63</v>
      </c>
      <c r="AH2067" s="4" t="s">
        <v>63</v>
      </c>
      <c r="AI2067" s="4" t="s">
        <v>63</v>
      </c>
      <c r="AJ2067" s="4" t="s">
        <v>63</v>
      </c>
      <c r="AK2067" s="4" t="s">
        <v>63</v>
      </c>
      <c r="AL2067" s="4" t="s">
        <v>63</v>
      </c>
      <c r="AM2067" s="4" t="s">
        <v>17697</v>
      </c>
      <c r="AN2067" s="4" t="s">
        <v>63</v>
      </c>
      <c r="AO2067" s="4" t="s">
        <v>63</v>
      </c>
      <c r="AP2067" s="4" t="s">
        <v>63</v>
      </c>
      <c r="AQ2067" s="4" t="s">
        <v>63</v>
      </c>
      <c r="AR2067" s="4" t="s">
        <v>63</v>
      </c>
      <c r="AS2067" s="4" t="s">
        <v>63</v>
      </c>
      <c r="AT2067" s="4" t="s">
        <v>63</v>
      </c>
      <c r="AU2067" s="4" t="s">
        <v>63</v>
      </c>
      <c r="AV2067" s="4" t="s">
        <v>63</v>
      </c>
      <c r="AW2067" s="4" t="s">
        <v>63</v>
      </c>
      <c r="AX2067" s="4" t="s">
        <v>63</v>
      </c>
      <c r="AY2067" s="4" t="s">
        <v>63</v>
      </c>
      <c r="AZ2067" s="4" t="s">
        <v>63</v>
      </c>
      <c r="BA2067" s="4" t="s">
        <v>63</v>
      </c>
      <c r="BB2067" s="4" t="s">
        <v>63</v>
      </c>
      <c r="BC2067" s="4" t="s">
        <v>63</v>
      </c>
      <c r="BD2067" s="4" t="s">
        <v>63</v>
      </c>
      <c r="BE2067" s="4" t="s">
        <v>63</v>
      </c>
      <c r="BF2067" s="4" t="s">
        <v>63</v>
      </c>
    </row>
    <row r="2068" spans="1:58">
      <c r="A2068" s="4" t="s">
        <v>58</v>
      </c>
      <c r="B2068" s="4" t="s">
        <v>17698</v>
      </c>
      <c r="C2068" s="4" t="s">
        <v>17699</v>
      </c>
      <c r="D2068" s="4" t="s">
        <v>10155</v>
      </c>
      <c r="E2068" s="4" t="s">
        <v>10156</v>
      </c>
      <c r="F2068" s="4">
        <v>2012</v>
      </c>
      <c r="G2068" s="4" t="s">
        <v>15300</v>
      </c>
      <c r="H2068" s="4" t="s">
        <v>17700</v>
      </c>
      <c r="I2068" s="4" t="s">
        <v>63</v>
      </c>
      <c r="J2068" s="4" t="s">
        <v>17701</v>
      </c>
      <c r="K2068" s="4" t="s">
        <v>63</v>
      </c>
      <c r="L2068" s="4" t="s">
        <v>17702</v>
      </c>
      <c r="M2068" s="4" t="s">
        <v>17703</v>
      </c>
      <c r="N2068" s="4" t="s">
        <v>17704</v>
      </c>
      <c r="O2068" s="4" t="s">
        <v>63</v>
      </c>
      <c r="P2068" s="4"/>
      <c r="Q2068" s="4" t="s">
        <v>63</v>
      </c>
      <c r="R2068" s="4" t="s">
        <v>63</v>
      </c>
      <c r="S2068" s="4" t="s">
        <v>63</v>
      </c>
      <c r="T2068" s="4" t="s">
        <v>63</v>
      </c>
      <c r="U2068" s="4"/>
      <c r="V2068" s="4"/>
      <c r="W2068" s="4"/>
      <c r="X2068" s="4" t="s">
        <v>63</v>
      </c>
      <c r="Y2068" s="4" t="s">
        <v>16833</v>
      </c>
      <c r="Z2068" s="4" t="s">
        <v>63</v>
      </c>
      <c r="AA2068" s="4" t="s">
        <v>63</v>
      </c>
      <c r="AB2068" s="4" t="s">
        <v>63</v>
      </c>
      <c r="AC2068" s="4" t="s">
        <v>67</v>
      </c>
      <c r="AD2068" s="4" t="s">
        <v>63</v>
      </c>
      <c r="AE2068" s="4" t="s">
        <v>63</v>
      </c>
      <c r="AF2068" s="4" t="s">
        <v>63</v>
      </c>
      <c r="AG2068" s="4" t="s">
        <v>63</v>
      </c>
      <c r="AH2068" s="4" t="s">
        <v>63</v>
      </c>
      <c r="AI2068" s="4" t="s">
        <v>17705</v>
      </c>
      <c r="AJ2068" s="4" t="s">
        <v>63</v>
      </c>
      <c r="AK2068" s="4" t="s">
        <v>63</v>
      </c>
      <c r="AL2068" s="4" t="s">
        <v>63</v>
      </c>
      <c r="AM2068" s="4" t="s">
        <v>17699</v>
      </c>
      <c r="AN2068" s="4" t="s">
        <v>63</v>
      </c>
      <c r="AO2068" s="4" t="s">
        <v>63</v>
      </c>
      <c r="AP2068" s="4" t="s">
        <v>63</v>
      </c>
      <c r="AQ2068" s="4" t="s">
        <v>63</v>
      </c>
      <c r="AR2068" s="4" t="s">
        <v>63</v>
      </c>
      <c r="AS2068" s="4" t="s">
        <v>63</v>
      </c>
      <c r="AT2068" s="4" t="s">
        <v>63</v>
      </c>
      <c r="AU2068" s="4" t="s">
        <v>63</v>
      </c>
      <c r="AV2068" s="4" t="s">
        <v>63</v>
      </c>
      <c r="AW2068" s="4" t="s">
        <v>63</v>
      </c>
      <c r="AX2068" s="4" t="s">
        <v>63</v>
      </c>
      <c r="AY2068" s="4" t="s">
        <v>63</v>
      </c>
      <c r="AZ2068" s="4" t="s">
        <v>63</v>
      </c>
      <c r="BA2068" s="4" t="s">
        <v>63</v>
      </c>
      <c r="BB2068" s="4" t="s">
        <v>63</v>
      </c>
      <c r="BC2068" s="4" t="s">
        <v>63</v>
      </c>
      <c r="BD2068" s="4" t="s">
        <v>63</v>
      </c>
      <c r="BE2068" s="4" t="s">
        <v>63</v>
      </c>
      <c r="BF2068" s="4" t="s">
        <v>63</v>
      </c>
    </row>
    <row r="2069" spans="1:58">
      <c r="A2069" s="4" t="s">
        <v>58</v>
      </c>
      <c r="B2069" s="4" t="s">
        <v>17706</v>
      </c>
      <c r="C2069" s="4" t="s">
        <v>17707</v>
      </c>
      <c r="D2069" s="4" t="s">
        <v>17708</v>
      </c>
      <c r="E2069" s="4" t="s">
        <v>63</v>
      </c>
      <c r="F2069" s="4">
        <v>2014</v>
      </c>
      <c r="G2069" s="4" t="s">
        <v>63</v>
      </c>
      <c r="H2069" s="8">
        <v>0.66875000000000007</v>
      </c>
      <c r="I2069" s="4" t="s">
        <v>63</v>
      </c>
      <c r="J2069" s="4" t="s">
        <v>63</v>
      </c>
      <c r="K2069" s="4" t="s">
        <v>63</v>
      </c>
      <c r="L2069" s="4" t="s">
        <v>17709</v>
      </c>
      <c r="M2069" s="4" t="s">
        <v>17710</v>
      </c>
      <c r="N2069" s="4" t="s">
        <v>17711</v>
      </c>
      <c r="O2069" s="4" t="s">
        <v>63</v>
      </c>
      <c r="P2069" s="4"/>
      <c r="Q2069" s="4" t="s">
        <v>63</v>
      </c>
      <c r="R2069" s="4" t="s">
        <v>63</v>
      </c>
      <c r="S2069" s="4" t="s">
        <v>63</v>
      </c>
      <c r="T2069" s="4" t="s">
        <v>63</v>
      </c>
      <c r="U2069" s="4"/>
      <c r="V2069" s="4"/>
      <c r="W2069" s="4"/>
      <c r="X2069" s="4" t="s">
        <v>63</v>
      </c>
      <c r="Y2069" s="4" t="s">
        <v>17712</v>
      </c>
      <c r="Z2069" s="4" t="s">
        <v>63</v>
      </c>
      <c r="AA2069" s="4" t="s">
        <v>63</v>
      </c>
      <c r="AB2069" s="4" t="s">
        <v>17713</v>
      </c>
      <c r="AC2069" s="4" t="s">
        <v>67</v>
      </c>
      <c r="AD2069" s="4" t="s">
        <v>63</v>
      </c>
      <c r="AE2069" s="4" t="s">
        <v>63</v>
      </c>
      <c r="AF2069" s="4" t="s">
        <v>63</v>
      </c>
      <c r="AG2069" s="4" t="s">
        <v>63</v>
      </c>
      <c r="AH2069" s="4" t="s">
        <v>63</v>
      </c>
      <c r="AI2069" s="4" t="s">
        <v>17714</v>
      </c>
      <c r="AJ2069" s="4" t="s">
        <v>63</v>
      </c>
      <c r="AK2069" s="4" t="s">
        <v>63</v>
      </c>
      <c r="AL2069" s="4" t="s">
        <v>63</v>
      </c>
      <c r="AM2069" s="4" t="s">
        <v>17707</v>
      </c>
      <c r="AN2069" s="4" t="s">
        <v>63</v>
      </c>
      <c r="AO2069" s="4" t="s">
        <v>63</v>
      </c>
      <c r="AP2069" s="4" t="s">
        <v>63</v>
      </c>
      <c r="AQ2069" s="4" t="s">
        <v>63</v>
      </c>
      <c r="AR2069" s="4" t="s">
        <v>63</v>
      </c>
      <c r="AS2069" s="4" t="s">
        <v>63</v>
      </c>
      <c r="AT2069" s="4" t="s">
        <v>63</v>
      </c>
      <c r="AU2069" s="4" t="s">
        <v>63</v>
      </c>
      <c r="AV2069" s="4" t="s">
        <v>63</v>
      </c>
      <c r="AW2069" s="4" t="s">
        <v>63</v>
      </c>
      <c r="AX2069" s="4" t="s">
        <v>63</v>
      </c>
      <c r="AY2069" s="4" t="s">
        <v>63</v>
      </c>
      <c r="AZ2069" s="4" t="s">
        <v>63</v>
      </c>
      <c r="BA2069" s="4" t="s">
        <v>63</v>
      </c>
      <c r="BB2069" s="4" t="s">
        <v>63</v>
      </c>
      <c r="BC2069" s="4" t="s">
        <v>63</v>
      </c>
      <c r="BD2069" s="4" t="s">
        <v>63</v>
      </c>
      <c r="BE2069" s="4" t="s">
        <v>63</v>
      </c>
      <c r="BF2069" s="4" t="s">
        <v>63</v>
      </c>
    </row>
    <row r="2070" spans="1:58">
      <c r="A2070" s="4" t="s">
        <v>58</v>
      </c>
      <c r="B2070" s="4" t="s">
        <v>17715</v>
      </c>
      <c r="C2070" s="4" t="s">
        <v>17716</v>
      </c>
      <c r="D2070" s="4" t="s">
        <v>6854</v>
      </c>
      <c r="E2070" s="4" t="s">
        <v>63</v>
      </c>
      <c r="F2070" s="4">
        <v>2016</v>
      </c>
      <c r="G2070" s="4" t="s">
        <v>63</v>
      </c>
      <c r="H2070" s="4" t="s">
        <v>17660</v>
      </c>
      <c r="I2070" s="4" t="s">
        <v>63</v>
      </c>
      <c r="J2070" s="4" t="s">
        <v>63</v>
      </c>
      <c r="K2070" s="4" t="s">
        <v>63</v>
      </c>
      <c r="L2070" s="4" t="s">
        <v>17717</v>
      </c>
      <c r="M2070" s="4" t="s">
        <v>17718</v>
      </c>
      <c r="N2070" s="4" t="s">
        <v>17719</v>
      </c>
      <c r="O2070" s="4" t="s">
        <v>63</v>
      </c>
      <c r="P2070" s="4"/>
      <c r="Q2070" s="4" t="s">
        <v>63</v>
      </c>
      <c r="R2070" s="4" t="s">
        <v>63</v>
      </c>
      <c r="S2070" s="4" t="s">
        <v>63</v>
      </c>
      <c r="T2070" s="4" t="s">
        <v>63</v>
      </c>
      <c r="U2070" s="4"/>
      <c r="V2070" s="4"/>
      <c r="W2070" s="4"/>
      <c r="X2070" s="4" t="s">
        <v>63</v>
      </c>
      <c r="Y2070" s="4" t="s">
        <v>6857</v>
      </c>
      <c r="Z2070" s="4" t="s">
        <v>63</v>
      </c>
      <c r="AA2070" s="4" t="s">
        <v>63</v>
      </c>
      <c r="AB2070" s="4" t="s">
        <v>63</v>
      </c>
      <c r="AC2070" s="4" t="s">
        <v>67</v>
      </c>
      <c r="AD2070" s="4" t="s">
        <v>63</v>
      </c>
      <c r="AE2070" s="4" t="s">
        <v>63</v>
      </c>
      <c r="AF2070" s="4" t="s">
        <v>63</v>
      </c>
      <c r="AG2070" s="4" t="s">
        <v>63</v>
      </c>
      <c r="AH2070" s="4" t="s">
        <v>63</v>
      </c>
      <c r="AI2070" s="4" t="s">
        <v>17720</v>
      </c>
      <c r="AJ2070" s="4" t="s">
        <v>63</v>
      </c>
      <c r="AK2070" s="4" t="s">
        <v>63</v>
      </c>
      <c r="AL2070" s="4" t="s">
        <v>63</v>
      </c>
      <c r="AM2070" s="4" t="s">
        <v>17716</v>
      </c>
      <c r="AN2070" s="4" t="s">
        <v>63</v>
      </c>
      <c r="AO2070" s="4" t="s">
        <v>63</v>
      </c>
      <c r="AP2070" s="4" t="s">
        <v>63</v>
      </c>
      <c r="AQ2070" s="4" t="s">
        <v>63</v>
      </c>
      <c r="AR2070" s="4" t="s">
        <v>63</v>
      </c>
      <c r="AS2070" s="4" t="s">
        <v>63</v>
      </c>
      <c r="AT2070" s="4" t="s">
        <v>63</v>
      </c>
      <c r="AU2070" s="4" t="s">
        <v>63</v>
      </c>
      <c r="AV2070" s="4" t="s">
        <v>63</v>
      </c>
      <c r="AW2070" s="4" t="s">
        <v>63</v>
      </c>
      <c r="AX2070" s="4" t="s">
        <v>63</v>
      </c>
      <c r="AY2070" s="4" t="s">
        <v>63</v>
      </c>
      <c r="AZ2070" s="4" t="s">
        <v>63</v>
      </c>
      <c r="BA2070" s="4" t="s">
        <v>63</v>
      </c>
      <c r="BB2070" s="4" t="s">
        <v>63</v>
      </c>
      <c r="BC2070" s="4" t="s">
        <v>63</v>
      </c>
      <c r="BD2070" s="4" t="s">
        <v>63</v>
      </c>
      <c r="BE2070" s="4" t="s">
        <v>63</v>
      </c>
      <c r="BF2070" s="4" t="s">
        <v>63</v>
      </c>
    </row>
    <row r="2071" spans="1:58">
      <c r="A2071" s="4" t="s">
        <v>58</v>
      </c>
      <c r="B2071" s="4" t="s">
        <v>17721</v>
      </c>
      <c r="C2071" s="4" t="s">
        <v>17722</v>
      </c>
      <c r="D2071" s="4" t="s">
        <v>6854</v>
      </c>
      <c r="E2071" s="4" t="s">
        <v>63</v>
      </c>
      <c r="F2071" s="4">
        <v>2011</v>
      </c>
      <c r="G2071" s="6">
        <v>41882</v>
      </c>
      <c r="H2071" s="4" t="s">
        <v>15897</v>
      </c>
      <c r="I2071" s="4" t="s">
        <v>63</v>
      </c>
      <c r="J2071" s="4" t="s">
        <v>63</v>
      </c>
      <c r="K2071" s="4" t="s">
        <v>63</v>
      </c>
      <c r="L2071" s="4" t="s">
        <v>17723</v>
      </c>
      <c r="M2071" s="4" t="s">
        <v>17724</v>
      </c>
      <c r="N2071" s="4" t="s">
        <v>17725</v>
      </c>
      <c r="O2071" s="4" t="s">
        <v>63</v>
      </c>
      <c r="P2071" s="4"/>
      <c r="Q2071" s="4" t="s">
        <v>63</v>
      </c>
      <c r="R2071" s="4" t="s">
        <v>63</v>
      </c>
      <c r="S2071" s="4" t="s">
        <v>63</v>
      </c>
      <c r="T2071" s="4" t="s">
        <v>63</v>
      </c>
      <c r="U2071" s="4"/>
      <c r="V2071" s="4"/>
      <c r="W2071" s="4"/>
      <c r="X2071" s="4" t="s">
        <v>63</v>
      </c>
      <c r="Y2071" s="4" t="s">
        <v>15322</v>
      </c>
      <c r="Z2071" s="4" t="s">
        <v>63</v>
      </c>
      <c r="AA2071" s="4" t="s">
        <v>63</v>
      </c>
      <c r="AB2071" s="4" t="s">
        <v>63</v>
      </c>
      <c r="AC2071" s="4" t="s">
        <v>67</v>
      </c>
      <c r="AD2071" s="4" t="s">
        <v>63</v>
      </c>
      <c r="AE2071" s="4" t="s">
        <v>63</v>
      </c>
      <c r="AF2071" s="4" t="s">
        <v>63</v>
      </c>
      <c r="AG2071" s="4" t="s">
        <v>63</v>
      </c>
      <c r="AH2071" s="4" t="s">
        <v>63</v>
      </c>
      <c r="AI2071" s="4" t="s">
        <v>63</v>
      </c>
      <c r="AJ2071" s="4" t="s">
        <v>63</v>
      </c>
      <c r="AK2071" s="4" t="s">
        <v>63</v>
      </c>
      <c r="AL2071" s="4" t="s">
        <v>63</v>
      </c>
      <c r="AM2071" s="4" t="s">
        <v>17722</v>
      </c>
      <c r="AN2071" s="4" t="s">
        <v>63</v>
      </c>
      <c r="AO2071" s="4" t="s">
        <v>63</v>
      </c>
      <c r="AP2071" s="4" t="s">
        <v>63</v>
      </c>
      <c r="AQ2071" s="4" t="s">
        <v>63</v>
      </c>
      <c r="AR2071" s="4" t="s">
        <v>63</v>
      </c>
      <c r="AS2071" s="4" t="s">
        <v>63</v>
      </c>
      <c r="AT2071" s="4" t="s">
        <v>63</v>
      </c>
      <c r="AU2071" s="4" t="s">
        <v>63</v>
      </c>
      <c r="AV2071" s="4" t="s">
        <v>63</v>
      </c>
      <c r="AW2071" s="4" t="s">
        <v>63</v>
      </c>
      <c r="AX2071" s="4" t="s">
        <v>63</v>
      </c>
      <c r="AY2071" s="4" t="s">
        <v>63</v>
      </c>
      <c r="AZ2071" s="4" t="s">
        <v>63</v>
      </c>
      <c r="BA2071" s="4" t="s">
        <v>63</v>
      </c>
      <c r="BB2071" s="4" t="s">
        <v>63</v>
      </c>
      <c r="BC2071" s="4" t="s">
        <v>63</v>
      </c>
      <c r="BD2071" s="4" t="s">
        <v>63</v>
      </c>
      <c r="BE2071" s="4" t="s">
        <v>63</v>
      </c>
      <c r="BF2071" s="4" t="s">
        <v>63</v>
      </c>
    </row>
    <row r="2072" spans="1:58">
      <c r="A2072" s="4" t="s">
        <v>58</v>
      </c>
      <c r="B2072" s="4" t="s">
        <v>17726</v>
      </c>
      <c r="C2072" s="4" t="s">
        <v>17727</v>
      </c>
      <c r="D2072" s="4" t="s">
        <v>17728</v>
      </c>
      <c r="E2072" s="4" t="s">
        <v>63</v>
      </c>
      <c r="F2072" s="4">
        <v>2012</v>
      </c>
      <c r="G2072" s="4" t="s">
        <v>15165</v>
      </c>
      <c r="H2072" s="4" t="s">
        <v>15590</v>
      </c>
      <c r="I2072" s="4" t="s">
        <v>63</v>
      </c>
      <c r="J2072" s="4">
        <v>9</v>
      </c>
      <c r="K2072" s="4" t="s">
        <v>63</v>
      </c>
      <c r="L2072" s="4" t="s">
        <v>17729</v>
      </c>
      <c r="M2072" s="4" t="s">
        <v>17730</v>
      </c>
      <c r="N2072" s="4" t="s">
        <v>17731</v>
      </c>
      <c r="O2072" s="4" t="s">
        <v>63</v>
      </c>
      <c r="P2072" s="4"/>
      <c r="Q2072" s="4" t="s">
        <v>63</v>
      </c>
      <c r="R2072" s="4" t="s">
        <v>63</v>
      </c>
      <c r="S2072" s="4" t="s">
        <v>63</v>
      </c>
      <c r="T2072" s="4" t="s">
        <v>63</v>
      </c>
      <c r="U2072" s="4"/>
      <c r="V2072" s="4"/>
      <c r="W2072" s="4"/>
      <c r="X2072" s="4" t="s">
        <v>63</v>
      </c>
      <c r="Y2072" s="4" t="s">
        <v>17732</v>
      </c>
      <c r="Z2072" s="4" t="s">
        <v>63</v>
      </c>
      <c r="AA2072" s="4" t="s">
        <v>63</v>
      </c>
      <c r="AB2072" s="4" t="s">
        <v>63</v>
      </c>
      <c r="AC2072" s="4" t="s">
        <v>67</v>
      </c>
      <c r="AD2072" s="4" t="s">
        <v>63</v>
      </c>
      <c r="AE2072" s="4" t="s">
        <v>63</v>
      </c>
      <c r="AF2072" s="4" t="s">
        <v>63</v>
      </c>
      <c r="AG2072" s="4" t="s">
        <v>63</v>
      </c>
      <c r="AH2072" s="4" t="s">
        <v>63</v>
      </c>
      <c r="AI2072" s="4" t="s">
        <v>17733</v>
      </c>
      <c r="AJ2072" s="4" t="s">
        <v>63</v>
      </c>
      <c r="AK2072" s="4" t="s">
        <v>63</v>
      </c>
      <c r="AL2072" s="4" t="s">
        <v>63</v>
      </c>
      <c r="AM2072" s="4" t="s">
        <v>17727</v>
      </c>
      <c r="AN2072" s="4" t="s">
        <v>63</v>
      </c>
      <c r="AO2072" s="4" t="s">
        <v>63</v>
      </c>
      <c r="AP2072" s="4" t="s">
        <v>63</v>
      </c>
      <c r="AQ2072" s="4" t="s">
        <v>63</v>
      </c>
      <c r="AR2072" s="4" t="s">
        <v>63</v>
      </c>
      <c r="AS2072" s="4" t="s">
        <v>63</v>
      </c>
      <c r="AT2072" s="4" t="s">
        <v>63</v>
      </c>
      <c r="AU2072" s="4" t="s">
        <v>63</v>
      </c>
      <c r="AV2072" s="4" t="s">
        <v>63</v>
      </c>
      <c r="AW2072" s="4" t="s">
        <v>63</v>
      </c>
      <c r="AX2072" s="4" t="s">
        <v>63</v>
      </c>
      <c r="AY2072" s="4" t="s">
        <v>63</v>
      </c>
      <c r="AZ2072" s="4" t="s">
        <v>63</v>
      </c>
      <c r="BA2072" s="4" t="s">
        <v>63</v>
      </c>
      <c r="BB2072" s="4" t="s">
        <v>63</v>
      </c>
      <c r="BC2072" s="4" t="s">
        <v>63</v>
      </c>
      <c r="BD2072" s="4" t="s">
        <v>63</v>
      </c>
      <c r="BE2072" s="4" t="s">
        <v>63</v>
      </c>
      <c r="BF2072" s="4" t="s">
        <v>63</v>
      </c>
    </row>
    <row r="2073" spans="1:58">
      <c r="A2073" s="4" t="s">
        <v>58</v>
      </c>
      <c r="B2073" s="4" t="s">
        <v>17734</v>
      </c>
      <c r="C2073" s="4" t="s">
        <v>17735</v>
      </c>
      <c r="D2073" s="4" t="s">
        <v>17736</v>
      </c>
      <c r="E2073" s="4" t="s">
        <v>17737</v>
      </c>
      <c r="F2073" s="4">
        <v>1974</v>
      </c>
      <c r="G2073" s="4" t="s">
        <v>63</v>
      </c>
      <c r="H2073" s="4">
        <v>139</v>
      </c>
      <c r="I2073" s="4">
        <v>6</v>
      </c>
      <c r="J2073" s="4">
        <v>486</v>
      </c>
      <c r="K2073" s="4">
        <v>488</v>
      </c>
      <c r="L2073" s="4" t="s">
        <v>17738</v>
      </c>
      <c r="M2073" s="4" t="s">
        <v>17739</v>
      </c>
      <c r="N2073" s="4" t="s">
        <v>17740</v>
      </c>
      <c r="O2073" s="4" t="s">
        <v>63</v>
      </c>
      <c r="P2073" s="4"/>
      <c r="Q2073" s="4" t="s">
        <v>63</v>
      </c>
      <c r="R2073" s="4" t="s">
        <v>63</v>
      </c>
      <c r="S2073" s="4" t="s">
        <v>63</v>
      </c>
      <c r="T2073" s="4" t="s">
        <v>63</v>
      </c>
      <c r="U2073" s="4"/>
      <c r="V2073" s="4"/>
      <c r="W2073" s="4"/>
      <c r="X2073" s="4" t="s">
        <v>63</v>
      </c>
      <c r="Y2073" s="4" t="s">
        <v>17741</v>
      </c>
      <c r="Z2073" s="4" t="s">
        <v>63</v>
      </c>
      <c r="AA2073" s="4" t="s">
        <v>63</v>
      </c>
      <c r="AB2073" s="4" t="s">
        <v>17742</v>
      </c>
      <c r="AC2073" s="4" t="s">
        <v>67</v>
      </c>
      <c r="AD2073" s="4" t="s">
        <v>63</v>
      </c>
      <c r="AE2073" s="4" t="s">
        <v>63</v>
      </c>
      <c r="AF2073" s="4" t="s">
        <v>63</v>
      </c>
      <c r="AG2073" s="4" t="s">
        <v>63</v>
      </c>
      <c r="AH2073" s="4" t="s">
        <v>63</v>
      </c>
      <c r="AI2073" s="4" t="s">
        <v>63</v>
      </c>
      <c r="AJ2073" s="4" t="s">
        <v>63</v>
      </c>
      <c r="AK2073" s="4" t="s">
        <v>63</v>
      </c>
      <c r="AL2073" s="4" t="s">
        <v>63</v>
      </c>
      <c r="AM2073" s="4" t="s">
        <v>17735</v>
      </c>
      <c r="AN2073" s="4" t="s">
        <v>63</v>
      </c>
      <c r="AO2073" s="4" t="s">
        <v>63</v>
      </c>
      <c r="AP2073" s="4" t="s">
        <v>63</v>
      </c>
      <c r="AQ2073" s="4" t="s">
        <v>63</v>
      </c>
      <c r="AR2073" s="4" t="s">
        <v>63</v>
      </c>
      <c r="AS2073" s="4" t="s">
        <v>63</v>
      </c>
      <c r="AT2073" s="4" t="s">
        <v>63</v>
      </c>
      <c r="AU2073" s="4" t="s">
        <v>63</v>
      </c>
      <c r="AV2073" s="4" t="s">
        <v>63</v>
      </c>
      <c r="AW2073" s="4" t="s">
        <v>63</v>
      </c>
      <c r="AX2073" s="4" t="s">
        <v>63</v>
      </c>
      <c r="AY2073" s="4" t="s">
        <v>63</v>
      </c>
      <c r="AZ2073" s="4" t="s">
        <v>63</v>
      </c>
      <c r="BA2073" s="4" t="s">
        <v>63</v>
      </c>
      <c r="BB2073" s="4" t="s">
        <v>63</v>
      </c>
      <c r="BC2073" s="4" t="s">
        <v>63</v>
      </c>
      <c r="BD2073" s="4" t="s">
        <v>63</v>
      </c>
      <c r="BE2073" s="4" t="s">
        <v>63</v>
      </c>
      <c r="BF2073" s="4" t="s">
        <v>63</v>
      </c>
    </row>
    <row r="2074" spans="1:58">
      <c r="A2074" s="4" t="s">
        <v>58</v>
      </c>
      <c r="B2074" s="4" t="s">
        <v>17743</v>
      </c>
      <c r="C2074" s="4" t="s">
        <v>17744</v>
      </c>
      <c r="D2074" s="4" t="s">
        <v>371</v>
      </c>
      <c r="E2074" s="4" t="s">
        <v>63</v>
      </c>
      <c r="F2074" s="4">
        <v>2014</v>
      </c>
      <c r="G2074" s="4" t="s">
        <v>15165</v>
      </c>
      <c r="H2074" s="4" t="s">
        <v>15912</v>
      </c>
      <c r="I2074" s="4" t="s">
        <v>63</v>
      </c>
      <c r="J2074" s="4" t="s">
        <v>17745</v>
      </c>
      <c r="K2074" s="4" t="s">
        <v>63</v>
      </c>
      <c r="L2074" s="4" t="s">
        <v>17746</v>
      </c>
      <c r="M2074" s="4" t="s">
        <v>17747</v>
      </c>
      <c r="N2074" s="4" t="s">
        <v>17748</v>
      </c>
      <c r="O2074" s="4" t="s">
        <v>63</v>
      </c>
      <c r="P2074" s="4"/>
      <c r="Q2074" s="4" t="s">
        <v>63</v>
      </c>
      <c r="R2074" s="4" t="s">
        <v>63</v>
      </c>
      <c r="S2074" s="4" t="s">
        <v>63</v>
      </c>
      <c r="T2074" s="4" t="s">
        <v>63</v>
      </c>
      <c r="U2074" s="4"/>
      <c r="V2074" s="4"/>
      <c r="W2074" s="4"/>
      <c r="X2074" s="4" t="s">
        <v>63</v>
      </c>
      <c r="Y2074" s="4" t="s">
        <v>375</v>
      </c>
      <c r="Z2074" s="4" t="s">
        <v>63</v>
      </c>
      <c r="AA2074" s="4" t="s">
        <v>63</v>
      </c>
      <c r="AB2074" s="4" t="s">
        <v>63</v>
      </c>
      <c r="AC2074" s="4" t="s">
        <v>67</v>
      </c>
      <c r="AD2074" s="4" t="s">
        <v>63</v>
      </c>
      <c r="AE2074" s="4" t="s">
        <v>63</v>
      </c>
      <c r="AF2074" s="4" t="s">
        <v>63</v>
      </c>
      <c r="AG2074" s="4" t="s">
        <v>63</v>
      </c>
      <c r="AH2074" s="4" t="s">
        <v>63</v>
      </c>
      <c r="AI2074" s="4" t="s">
        <v>63</v>
      </c>
      <c r="AJ2074" s="4" t="s">
        <v>63</v>
      </c>
      <c r="AK2074" s="4" t="s">
        <v>63</v>
      </c>
      <c r="AL2074" s="4" t="s">
        <v>63</v>
      </c>
      <c r="AM2074" s="4" t="s">
        <v>17744</v>
      </c>
      <c r="AN2074" s="4" t="s">
        <v>63</v>
      </c>
      <c r="AO2074" s="4" t="s">
        <v>63</v>
      </c>
      <c r="AP2074" s="4" t="s">
        <v>63</v>
      </c>
      <c r="AQ2074" s="4" t="s">
        <v>63</v>
      </c>
      <c r="AR2074" s="4" t="s">
        <v>63</v>
      </c>
      <c r="AS2074" s="4" t="s">
        <v>63</v>
      </c>
      <c r="AT2074" s="4" t="s">
        <v>63</v>
      </c>
      <c r="AU2074" s="4" t="s">
        <v>63</v>
      </c>
      <c r="AV2074" s="4" t="s">
        <v>63</v>
      </c>
      <c r="AW2074" s="4" t="s">
        <v>63</v>
      </c>
      <c r="AX2074" s="4" t="s">
        <v>63</v>
      </c>
      <c r="AY2074" s="4" t="s">
        <v>63</v>
      </c>
      <c r="AZ2074" s="4" t="s">
        <v>63</v>
      </c>
      <c r="BA2074" s="4" t="s">
        <v>63</v>
      </c>
      <c r="BB2074" s="4" t="s">
        <v>63</v>
      </c>
      <c r="BC2074" s="4" t="s">
        <v>63</v>
      </c>
      <c r="BD2074" s="4" t="s">
        <v>63</v>
      </c>
      <c r="BE2074" s="4" t="s">
        <v>63</v>
      </c>
      <c r="BF2074" s="4" t="s">
        <v>63</v>
      </c>
    </row>
    <row r="2075" spans="1:58">
      <c r="A2075" s="4" t="s">
        <v>58</v>
      </c>
      <c r="B2075" s="4" t="s">
        <v>17749</v>
      </c>
      <c r="C2075" s="4" t="s">
        <v>17750</v>
      </c>
      <c r="D2075" s="4" t="s">
        <v>17751</v>
      </c>
      <c r="E2075" s="4" t="s">
        <v>63</v>
      </c>
      <c r="F2075" s="4">
        <v>1976</v>
      </c>
      <c r="G2075" s="4" t="s">
        <v>63</v>
      </c>
      <c r="H2075" s="4">
        <v>11</v>
      </c>
      <c r="I2075" s="4">
        <v>3</v>
      </c>
      <c r="J2075" s="4">
        <v>85</v>
      </c>
      <c r="K2075" s="4">
        <v>91</v>
      </c>
      <c r="L2075" s="4" t="s">
        <v>17752</v>
      </c>
      <c r="M2075" s="4" t="s">
        <v>17753</v>
      </c>
      <c r="N2075" s="4" t="s">
        <v>17754</v>
      </c>
      <c r="O2075" s="4" t="s">
        <v>63</v>
      </c>
      <c r="P2075" s="4"/>
      <c r="Q2075" s="4" t="s">
        <v>63</v>
      </c>
      <c r="R2075" s="4" t="s">
        <v>63</v>
      </c>
      <c r="S2075" s="4" t="s">
        <v>63</v>
      </c>
      <c r="T2075" s="4" t="s">
        <v>63</v>
      </c>
      <c r="U2075" s="4"/>
      <c r="V2075" s="4"/>
      <c r="W2075" s="4"/>
      <c r="X2075" s="4" t="s">
        <v>63</v>
      </c>
      <c r="Y2075" s="4" t="s">
        <v>63</v>
      </c>
      <c r="Z2075" s="4" t="s">
        <v>63</v>
      </c>
      <c r="AA2075" s="4" t="s">
        <v>63</v>
      </c>
      <c r="AB2075" s="4" t="s">
        <v>17755</v>
      </c>
      <c r="AC2075" s="4" t="s">
        <v>67</v>
      </c>
      <c r="AD2075" s="4" t="s">
        <v>63</v>
      </c>
      <c r="AE2075" s="4" t="s">
        <v>63</v>
      </c>
      <c r="AF2075" s="4" t="s">
        <v>63</v>
      </c>
      <c r="AG2075" s="4" t="s">
        <v>63</v>
      </c>
      <c r="AH2075" s="4" t="s">
        <v>63</v>
      </c>
      <c r="AI2075" s="4" t="s">
        <v>63</v>
      </c>
      <c r="AJ2075" s="4" t="s">
        <v>63</v>
      </c>
      <c r="AK2075" s="4" t="s">
        <v>63</v>
      </c>
      <c r="AL2075" s="4" t="s">
        <v>63</v>
      </c>
      <c r="AM2075" s="4" t="s">
        <v>17750</v>
      </c>
      <c r="AN2075" s="4" t="s">
        <v>63</v>
      </c>
      <c r="AO2075" s="4" t="s">
        <v>63</v>
      </c>
      <c r="AP2075" s="4" t="s">
        <v>63</v>
      </c>
      <c r="AQ2075" s="4" t="s">
        <v>63</v>
      </c>
      <c r="AR2075" s="4" t="s">
        <v>63</v>
      </c>
      <c r="AS2075" s="4" t="s">
        <v>63</v>
      </c>
      <c r="AT2075" s="4" t="s">
        <v>63</v>
      </c>
      <c r="AU2075" s="4" t="s">
        <v>63</v>
      </c>
      <c r="AV2075" s="4" t="s">
        <v>63</v>
      </c>
      <c r="AW2075" s="4" t="s">
        <v>63</v>
      </c>
      <c r="AX2075" s="4" t="s">
        <v>63</v>
      </c>
      <c r="AY2075" s="4" t="s">
        <v>63</v>
      </c>
      <c r="AZ2075" s="4" t="s">
        <v>63</v>
      </c>
      <c r="BA2075" s="4" t="s">
        <v>63</v>
      </c>
      <c r="BB2075" s="4" t="s">
        <v>63</v>
      </c>
      <c r="BC2075" s="4" t="s">
        <v>63</v>
      </c>
      <c r="BD2075" s="4" t="s">
        <v>63</v>
      </c>
      <c r="BE2075" s="4" t="s">
        <v>63</v>
      </c>
      <c r="BF2075" s="4" t="s">
        <v>63</v>
      </c>
    </row>
    <row r="2076" spans="1:58">
      <c r="A2076" s="4" t="s">
        <v>58</v>
      </c>
      <c r="B2076" s="4" t="s">
        <v>17756</v>
      </c>
      <c r="C2076" s="4" t="s">
        <v>17757</v>
      </c>
      <c r="D2076" s="4" t="s">
        <v>17758</v>
      </c>
      <c r="E2076" s="4" t="s">
        <v>2291</v>
      </c>
      <c r="F2076" s="4">
        <v>2017</v>
      </c>
      <c r="G2076" s="4" t="s">
        <v>63</v>
      </c>
      <c r="H2076" s="4" t="s">
        <v>17759</v>
      </c>
      <c r="I2076" s="4" t="s">
        <v>63</v>
      </c>
      <c r="J2076" s="4" t="s">
        <v>63</v>
      </c>
      <c r="K2076" s="4" t="s">
        <v>63</v>
      </c>
      <c r="L2076" s="4" t="s">
        <v>17760</v>
      </c>
      <c r="M2076" s="4" t="s">
        <v>63</v>
      </c>
      <c r="N2076" s="4" t="s">
        <v>17761</v>
      </c>
      <c r="O2076" s="4" t="s">
        <v>63</v>
      </c>
      <c r="P2076" s="4"/>
      <c r="Q2076" s="4" t="s">
        <v>63</v>
      </c>
      <c r="R2076" s="4" t="s">
        <v>63</v>
      </c>
      <c r="S2076" s="4" t="s">
        <v>63</v>
      </c>
      <c r="T2076" s="4" t="s">
        <v>63</v>
      </c>
      <c r="U2076" s="4"/>
      <c r="V2076" s="4"/>
      <c r="W2076" s="4"/>
      <c r="X2076" s="4" t="s">
        <v>63</v>
      </c>
      <c r="Y2076" s="4" t="s">
        <v>17762</v>
      </c>
      <c r="Z2076" s="4" t="s">
        <v>63</v>
      </c>
      <c r="AA2076" s="4" t="s">
        <v>63</v>
      </c>
      <c r="AB2076" s="4" t="s">
        <v>17763</v>
      </c>
      <c r="AC2076" s="4" t="s">
        <v>67</v>
      </c>
      <c r="AD2076" s="4" t="s">
        <v>63</v>
      </c>
      <c r="AE2076" s="4" t="s">
        <v>63</v>
      </c>
      <c r="AF2076" s="4" t="s">
        <v>63</v>
      </c>
      <c r="AG2076" s="4" t="s">
        <v>63</v>
      </c>
      <c r="AH2076" s="4" t="s">
        <v>63</v>
      </c>
      <c r="AI2076" s="4" t="s">
        <v>17764</v>
      </c>
      <c r="AJ2076" s="4" t="s">
        <v>63</v>
      </c>
      <c r="AK2076" s="4" t="s">
        <v>63</v>
      </c>
      <c r="AL2076" s="4" t="s">
        <v>63</v>
      </c>
      <c r="AM2076" s="4" t="s">
        <v>17757</v>
      </c>
      <c r="AN2076" s="4" t="s">
        <v>63</v>
      </c>
      <c r="AO2076" s="4" t="s">
        <v>63</v>
      </c>
      <c r="AP2076" s="4" t="s">
        <v>63</v>
      </c>
      <c r="AQ2076" s="4" t="s">
        <v>63</v>
      </c>
      <c r="AR2076" s="4" t="s">
        <v>63</v>
      </c>
      <c r="AS2076" s="4" t="s">
        <v>63</v>
      </c>
      <c r="AT2076" s="4" t="s">
        <v>63</v>
      </c>
      <c r="AU2076" s="4" t="s">
        <v>63</v>
      </c>
      <c r="AV2076" s="4" t="s">
        <v>63</v>
      </c>
      <c r="AW2076" s="4" t="s">
        <v>63</v>
      </c>
      <c r="AX2076" s="4" t="s">
        <v>63</v>
      </c>
      <c r="AY2076" s="4" t="s">
        <v>63</v>
      </c>
      <c r="AZ2076" s="4" t="s">
        <v>63</v>
      </c>
      <c r="BA2076" s="4" t="s">
        <v>63</v>
      </c>
      <c r="BB2076" s="4" t="s">
        <v>63</v>
      </c>
      <c r="BC2076" s="4" t="s">
        <v>63</v>
      </c>
      <c r="BD2076" s="4" t="s">
        <v>63</v>
      </c>
      <c r="BE2076" s="4" t="s">
        <v>63</v>
      </c>
      <c r="BF2076" s="4" t="s">
        <v>63</v>
      </c>
    </row>
    <row r="2077" spans="1:58">
      <c r="A2077" s="4" t="s">
        <v>58</v>
      </c>
      <c r="B2077" s="4" t="s">
        <v>17765</v>
      </c>
      <c r="C2077" s="4" t="s">
        <v>17766</v>
      </c>
      <c r="D2077" s="4" t="s">
        <v>17767</v>
      </c>
      <c r="E2077" s="4" t="s">
        <v>17768</v>
      </c>
      <c r="F2077" s="4">
        <v>1981</v>
      </c>
      <c r="G2077" s="4" t="s">
        <v>63</v>
      </c>
      <c r="H2077" s="4">
        <v>75</v>
      </c>
      <c r="I2077" s="4">
        <v>2</v>
      </c>
      <c r="J2077" s="4">
        <v>76</v>
      </c>
      <c r="K2077" s="4">
        <v>77</v>
      </c>
      <c r="L2077" s="4" t="s">
        <v>17769</v>
      </c>
      <c r="M2077" s="4" t="s">
        <v>17770</v>
      </c>
      <c r="N2077" s="4" t="s">
        <v>17771</v>
      </c>
      <c r="O2077" s="4" t="s">
        <v>63</v>
      </c>
      <c r="P2077" s="4"/>
      <c r="Q2077" s="4" t="s">
        <v>63</v>
      </c>
      <c r="R2077" s="4" t="s">
        <v>63</v>
      </c>
      <c r="S2077" s="4" t="s">
        <v>63</v>
      </c>
      <c r="T2077" s="4" t="s">
        <v>63</v>
      </c>
      <c r="U2077" s="4"/>
      <c r="V2077" s="4"/>
      <c r="W2077" s="4"/>
      <c r="X2077" s="4" t="s">
        <v>63</v>
      </c>
      <c r="Y2077" s="4" t="s">
        <v>176</v>
      </c>
      <c r="Z2077" s="4" t="s">
        <v>63</v>
      </c>
      <c r="AA2077" s="4" t="s">
        <v>63</v>
      </c>
      <c r="AB2077" s="4">
        <v>1981094244</v>
      </c>
      <c r="AC2077" s="4" t="s">
        <v>102</v>
      </c>
      <c r="AD2077" s="4" t="s">
        <v>63</v>
      </c>
      <c r="AE2077" s="4" t="s">
        <v>63</v>
      </c>
      <c r="AF2077" s="4" t="s">
        <v>63</v>
      </c>
      <c r="AG2077" s="4" t="s">
        <v>17772</v>
      </c>
      <c r="AH2077" s="4" t="s">
        <v>63</v>
      </c>
      <c r="AI2077" s="4" t="s">
        <v>63</v>
      </c>
      <c r="AJ2077" s="4" t="s">
        <v>63</v>
      </c>
      <c r="AK2077" s="4" t="s">
        <v>63</v>
      </c>
      <c r="AL2077" s="4" t="s">
        <v>63</v>
      </c>
      <c r="AM2077" s="4" t="s">
        <v>17773</v>
      </c>
      <c r="AN2077" s="4" t="s">
        <v>63</v>
      </c>
      <c r="AO2077" s="4" t="s">
        <v>63</v>
      </c>
      <c r="AP2077" s="4" t="s">
        <v>63</v>
      </c>
      <c r="AQ2077" s="4" t="s">
        <v>63</v>
      </c>
      <c r="AR2077" s="4" t="s">
        <v>63</v>
      </c>
      <c r="AS2077" s="4" t="s">
        <v>63</v>
      </c>
      <c r="AT2077" s="4" t="s">
        <v>63</v>
      </c>
      <c r="AU2077" s="4" t="s">
        <v>63</v>
      </c>
      <c r="AV2077" s="4" t="s">
        <v>63</v>
      </c>
      <c r="AW2077" s="4" t="s">
        <v>63</v>
      </c>
      <c r="AX2077" s="4" t="s">
        <v>63</v>
      </c>
      <c r="AY2077" s="4" t="s">
        <v>63</v>
      </c>
      <c r="AZ2077" s="4" t="s">
        <v>63</v>
      </c>
      <c r="BA2077" s="4" t="s">
        <v>63</v>
      </c>
      <c r="BB2077" s="4" t="s">
        <v>63</v>
      </c>
      <c r="BC2077" s="4" t="s">
        <v>63</v>
      </c>
      <c r="BD2077" s="4" t="s">
        <v>63</v>
      </c>
      <c r="BE2077" s="4" t="s">
        <v>63</v>
      </c>
      <c r="BF2077" s="4" t="s">
        <v>63</v>
      </c>
    </row>
    <row r="2078" spans="1:58">
      <c r="A2078" s="4" t="s">
        <v>58</v>
      </c>
      <c r="B2078" s="4" t="s">
        <v>17774</v>
      </c>
      <c r="C2078" s="4" t="s">
        <v>17775</v>
      </c>
      <c r="D2078" s="4" t="s">
        <v>2353</v>
      </c>
      <c r="E2078" s="4" t="s">
        <v>2354</v>
      </c>
      <c r="F2078" s="4">
        <v>1986</v>
      </c>
      <c r="G2078" s="4" t="s">
        <v>63</v>
      </c>
      <c r="H2078" s="4">
        <v>3</v>
      </c>
      <c r="I2078" s="4">
        <v>3</v>
      </c>
      <c r="J2078" s="4">
        <v>157</v>
      </c>
      <c r="K2078" s="4">
        <v>161</v>
      </c>
      <c r="L2078" s="4" t="s">
        <v>17776</v>
      </c>
      <c r="M2078" s="4" t="s">
        <v>63</v>
      </c>
      <c r="N2078" s="4" t="s">
        <v>17777</v>
      </c>
      <c r="O2078" s="4" t="s">
        <v>63</v>
      </c>
      <c r="P2078" s="4"/>
      <c r="Q2078" s="4" t="s">
        <v>63</v>
      </c>
      <c r="R2078" s="4" t="s">
        <v>63</v>
      </c>
      <c r="S2078" s="4" t="s">
        <v>63</v>
      </c>
      <c r="T2078" s="4" t="s">
        <v>63</v>
      </c>
      <c r="U2078" s="4"/>
      <c r="V2078" s="4"/>
      <c r="W2078" s="4"/>
      <c r="X2078" s="4" t="s">
        <v>63</v>
      </c>
      <c r="Y2078" s="4" t="s">
        <v>2358</v>
      </c>
      <c r="Z2078" s="4" t="s">
        <v>63</v>
      </c>
      <c r="AA2078" s="4" t="s">
        <v>63</v>
      </c>
      <c r="AB2078" s="4">
        <v>1987046612</v>
      </c>
      <c r="AC2078" s="4" t="s">
        <v>67</v>
      </c>
      <c r="AD2078" s="4" t="s">
        <v>63</v>
      </c>
      <c r="AE2078" s="4" t="s">
        <v>63</v>
      </c>
      <c r="AF2078" s="4" t="s">
        <v>63</v>
      </c>
      <c r="AG2078" s="4" t="s">
        <v>17778</v>
      </c>
      <c r="AH2078" s="4" t="s">
        <v>63</v>
      </c>
      <c r="AI2078" s="4" t="s">
        <v>17779</v>
      </c>
      <c r="AJ2078" s="4" t="s">
        <v>63</v>
      </c>
      <c r="AK2078" s="4" t="s">
        <v>63</v>
      </c>
      <c r="AL2078" s="4" t="s">
        <v>63</v>
      </c>
      <c r="AM2078" s="4" t="s">
        <v>17780</v>
      </c>
      <c r="AN2078" s="4" t="s">
        <v>63</v>
      </c>
      <c r="AO2078" s="4" t="s">
        <v>63</v>
      </c>
      <c r="AP2078" s="4" t="s">
        <v>63</v>
      </c>
      <c r="AQ2078" s="4" t="s">
        <v>63</v>
      </c>
      <c r="AR2078" s="4" t="s">
        <v>63</v>
      </c>
      <c r="AS2078" s="4" t="s">
        <v>63</v>
      </c>
      <c r="AT2078" s="4" t="s">
        <v>63</v>
      </c>
      <c r="AU2078" s="4" t="s">
        <v>63</v>
      </c>
      <c r="AV2078" s="4" t="s">
        <v>63</v>
      </c>
      <c r="AW2078" s="4" t="s">
        <v>63</v>
      </c>
      <c r="AX2078" s="4" t="s">
        <v>63</v>
      </c>
      <c r="AY2078" s="4" t="s">
        <v>63</v>
      </c>
      <c r="AZ2078" s="4" t="s">
        <v>63</v>
      </c>
      <c r="BA2078" s="4" t="s">
        <v>63</v>
      </c>
      <c r="BB2078" s="4" t="s">
        <v>63</v>
      </c>
      <c r="BC2078" s="4" t="s">
        <v>63</v>
      </c>
      <c r="BD2078" s="4" t="s">
        <v>63</v>
      </c>
      <c r="BE2078" s="4" t="s">
        <v>63</v>
      </c>
      <c r="BF2078" s="4" t="s">
        <v>63</v>
      </c>
    </row>
    <row r="2079" spans="1:58">
      <c r="A2079" s="4" t="s">
        <v>58</v>
      </c>
      <c r="B2079" s="4" t="s">
        <v>17781</v>
      </c>
      <c r="C2079" s="4" t="s">
        <v>17782</v>
      </c>
      <c r="D2079" s="4" t="s">
        <v>15421</v>
      </c>
      <c r="E2079" s="4" t="s">
        <v>63</v>
      </c>
      <c r="F2079" s="4">
        <v>2010</v>
      </c>
      <c r="G2079" s="4" t="s">
        <v>198</v>
      </c>
      <c r="H2079" s="4">
        <v>31</v>
      </c>
      <c r="I2079" s="4">
        <v>1</v>
      </c>
      <c r="J2079" s="4">
        <v>24</v>
      </c>
      <c r="K2079" s="4">
        <v>34</v>
      </c>
      <c r="L2079" s="4" t="s">
        <v>17783</v>
      </c>
      <c r="M2079" s="4" t="s">
        <v>17784</v>
      </c>
      <c r="N2079" s="4" t="s">
        <v>17785</v>
      </c>
      <c r="O2079" s="4" t="s">
        <v>63</v>
      </c>
      <c r="P2079" s="4"/>
      <c r="Q2079" s="4" t="s">
        <v>63</v>
      </c>
      <c r="R2079" s="4" t="s">
        <v>63</v>
      </c>
      <c r="S2079" s="4" t="s">
        <v>63</v>
      </c>
      <c r="T2079" s="4" t="s">
        <v>63</v>
      </c>
      <c r="U2079" s="4"/>
      <c r="V2079" s="4"/>
      <c r="W2079" s="4"/>
      <c r="X2079" s="4" t="s">
        <v>63</v>
      </c>
      <c r="Y2079" s="4" t="s">
        <v>15425</v>
      </c>
      <c r="Z2079" s="4" t="s">
        <v>63</v>
      </c>
      <c r="AA2079" s="4" t="s">
        <v>63</v>
      </c>
      <c r="AB2079" s="4" t="s">
        <v>63</v>
      </c>
      <c r="AC2079" s="4" t="s">
        <v>67</v>
      </c>
      <c r="AD2079" s="4" t="s">
        <v>63</v>
      </c>
      <c r="AE2079" s="4" t="s">
        <v>63</v>
      </c>
      <c r="AF2079" s="4" t="s">
        <v>63</v>
      </c>
      <c r="AG2079" s="4" t="s">
        <v>17786</v>
      </c>
      <c r="AH2079" s="4" t="s">
        <v>63</v>
      </c>
      <c r="AI2079" s="4" t="s">
        <v>17787</v>
      </c>
      <c r="AJ2079" s="4" t="s">
        <v>63</v>
      </c>
      <c r="AK2079" s="4" t="s">
        <v>63</v>
      </c>
      <c r="AL2079" s="4" t="s">
        <v>63</v>
      </c>
      <c r="AM2079" s="4" t="s">
        <v>17788</v>
      </c>
      <c r="AN2079" s="4" t="s">
        <v>63</v>
      </c>
      <c r="AO2079" s="4" t="s">
        <v>63</v>
      </c>
      <c r="AP2079" s="4" t="s">
        <v>63</v>
      </c>
      <c r="AQ2079" s="4" t="s">
        <v>63</v>
      </c>
      <c r="AR2079" s="4" t="s">
        <v>63</v>
      </c>
      <c r="AS2079" s="4" t="s">
        <v>63</v>
      </c>
      <c r="AT2079" s="4" t="s">
        <v>63</v>
      </c>
      <c r="AU2079" s="4" t="s">
        <v>63</v>
      </c>
      <c r="AV2079" s="4" t="s">
        <v>63</v>
      </c>
      <c r="AW2079" s="4" t="s">
        <v>63</v>
      </c>
      <c r="AX2079" s="4" t="s">
        <v>63</v>
      </c>
      <c r="AY2079" s="4" t="s">
        <v>63</v>
      </c>
      <c r="AZ2079" s="4" t="s">
        <v>63</v>
      </c>
      <c r="BA2079" s="4" t="s">
        <v>63</v>
      </c>
      <c r="BB2079" s="4" t="s">
        <v>63</v>
      </c>
      <c r="BC2079" s="4" t="s">
        <v>63</v>
      </c>
      <c r="BD2079" s="4" t="s">
        <v>63</v>
      </c>
      <c r="BE2079" s="4" t="s">
        <v>63</v>
      </c>
      <c r="BF2079" s="4" t="s">
        <v>63</v>
      </c>
    </row>
    <row r="2080" spans="1:58">
      <c r="A2080" s="4" t="s">
        <v>58</v>
      </c>
      <c r="B2080" s="4" t="s">
        <v>17789</v>
      </c>
      <c r="C2080" s="4" t="s">
        <v>17790</v>
      </c>
      <c r="D2080" s="4" t="s">
        <v>17791</v>
      </c>
      <c r="E2080" s="4" t="s">
        <v>63</v>
      </c>
      <c r="F2080" s="4">
        <v>2013</v>
      </c>
      <c r="G2080" s="6">
        <v>41751</v>
      </c>
      <c r="H2080" s="4" t="s">
        <v>17792</v>
      </c>
      <c r="I2080" s="4" t="s">
        <v>63</v>
      </c>
      <c r="J2080" s="4" t="s">
        <v>63</v>
      </c>
      <c r="K2080" s="4" t="s">
        <v>63</v>
      </c>
      <c r="L2080" s="4" t="s">
        <v>17793</v>
      </c>
      <c r="M2080" s="4" t="s">
        <v>17794</v>
      </c>
      <c r="N2080" s="4" t="s">
        <v>17795</v>
      </c>
      <c r="O2080" s="4" t="s">
        <v>63</v>
      </c>
      <c r="P2080" s="4"/>
      <c r="Q2080" s="4" t="s">
        <v>63</v>
      </c>
      <c r="R2080" s="4" t="s">
        <v>63</v>
      </c>
      <c r="S2080" s="4" t="s">
        <v>63</v>
      </c>
      <c r="T2080" s="4" t="s">
        <v>63</v>
      </c>
      <c r="U2080" s="4"/>
      <c r="V2080" s="4"/>
      <c r="W2080" s="4"/>
      <c r="X2080" s="4" t="s">
        <v>63</v>
      </c>
      <c r="Y2080" s="4" t="s">
        <v>17796</v>
      </c>
      <c r="Z2080" s="4" t="s">
        <v>63</v>
      </c>
      <c r="AA2080" s="4" t="s">
        <v>63</v>
      </c>
      <c r="AB2080" s="4" t="s">
        <v>63</v>
      </c>
      <c r="AC2080" s="4" t="s">
        <v>67</v>
      </c>
      <c r="AD2080" s="4" t="s">
        <v>63</v>
      </c>
      <c r="AE2080" s="4" t="s">
        <v>63</v>
      </c>
      <c r="AF2080" s="4" t="s">
        <v>63</v>
      </c>
      <c r="AG2080" s="4" t="s">
        <v>63</v>
      </c>
      <c r="AH2080" s="4" t="s">
        <v>63</v>
      </c>
      <c r="AI2080" s="4" t="s">
        <v>63</v>
      </c>
      <c r="AJ2080" s="4" t="s">
        <v>63</v>
      </c>
      <c r="AK2080" s="4" t="s">
        <v>63</v>
      </c>
      <c r="AL2080" s="4" t="s">
        <v>63</v>
      </c>
      <c r="AM2080" s="4" t="s">
        <v>17790</v>
      </c>
      <c r="AN2080" s="4" t="s">
        <v>63</v>
      </c>
      <c r="AO2080" s="4" t="s">
        <v>63</v>
      </c>
      <c r="AP2080" s="4" t="s">
        <v>63</v>
      </c>
      <c r="AQ2080" s="4" t="s">
        <v>63</v>
      </c>
      <c r="AR2080" s="4" t="s">
        <v>63</v>
      </c>
      <c r="AS2080" s="4" t="s">
        <v>63</v>
      </c>
      <c r="AT2080" s="4" t="s">
        <v>63</v>
      </c>
      <c r="AU2080" s="4" t="s">
        <v>63</v>
      </c>
      <c r="AV2080" s="4" t="s">
        <v>63</v>
      </c>
      <c r="AW2080" s="4" t="s">
        <v>63</v>
      </c>
      <c r="AX2080" s="4" t="s">
        <v>63</v>
      </c>
      <c r="AY2080" s="4" t="s">
        <v>63</v>
      </c>
      <c r="AZ2080" s="4" t="s">
        <v>63</v>
      </c>
      <c r="BA2080" s="4" t="s">
        <v>63</v>
      </c>
      <c r="BB2080" s="4" t="s">
        <v>63</v>
      </c>
      <c r="BC2080" s="4" t="s">
        <v>63</v>
      </c>
      <c r="BD2080" s="4" t="s">
        <v>63</v>
      </c>
      <c r="BE2080" s="4" t="s">
        <v>63</v>
      </c>
      <c r="BF2080" s="4" t="s">
        <v>63</v>
      </c>
    </row>
    <row r="2081" spans="1:58">
      <c r="A2081" s="4" t="s">
        <v>58</v>
      </c>
      <c r="B2081" s="4" t="s">
        <v>17797</v>
      </c>
      <c r="C2081" s="4" t="s">
        <v>17798</v>
      </c>
      <c r="D2081" s="4" t="s">
        <v>938</v>
      </c>
      <c r="E2081" s="4" t="s">
        <v>63</v>
      </c>
      <c r="F2081" s="4">
        <v>2017</v>
      </c>
      <c r="G2081" s="4">
        <v>1</v>
      </c>
      <c r="H2081" s="4">
        <v>26</v>
      </c>
      <c r="I2081" s="4">
        <v>3</v>
      </c>
      <c r="J2081" s="4">
        <v>285</v>
      </c>
      <c r="K2081" s="4">
        <v>286</v>
      </c>
      <c r="L2081" s="4" t="s">
        <v>17799</v>
      </c>
      <c r="M2081" s="4" t="s">
        <v>17800</v>
      </c>
      <c r="N2081" s="4" t="s">
        <v>17801</v>
      </c>
      <c r="O2081" s="4" t="s">
        <v>63</v>
      </c>
      <c r="P2081" s="4"/>
      <c r="Q2081" s="4" t="s">
        <v>63</v>
      </c>
      <c r="R2081" s="4" t="s">
        <v>63</v>
      </c>
      <c r="S2081" s="4" t="s">
        <v>63</v>
      </c>
      <c r="T2081" s="4" t="s">
        <v>63</v>
      </c>
      <c r="U2081" s="4"/>
      <c r="V2081" s="4"/>
      <c r="W2081" s="4"/>
      <c r="X2081" s="4" t="s">
        <v>63</v>
      </c>
      <c r="Y2081" s="4" t="s">
        <v>2500</v>
      </c>
      <c r="Z2081" s="4" t="s">
        <v>63</v>
      </c>
      <c r="AA2081" s="4" t="s">
        <v>63</v>
      </c>
      <c r="AB2081" s="4" t="s">
        <v>63</v>
      </c>
      <c r="AC2081" s="4" t="s">
        <v>67</v>
      </c>
      <c r="AD2081" s="4" t="s">
        <v>63</v>
      </c>
      <c r="AE2081" s="4" t="s">
        <v>63</v>
      </c>
      <c r="AF2081" s="4" t="s">
        <v>63</v>
      </c>
      <c r="AG2081" s="4" t="s">
        <v>63</v>
      </c>
      <c r="AH2081" s="4" t="s">
        <v>63</v>
      </c>
      <c r="AI2081" s="4" t="s">
        <v>17298</v>
      </c>
      <c r="AJ2081" s="4" t="s">
        <v>63</v>
      </c>
      <c r="AK2081" s="4" t="s">
        <v>63</v>
      </c>
      <c r="AL2081" s="4" t="s">
        <v>63</v>
      </c>
      <c r="AM2081" s="4" t="s">
        <v>17798</v>
      </c>
      <c r="AN2081" s="4" t="s">
        <v>63</v>
      </c>
      <c r="AO2081" s="4" t="s">
        <v>63</v>
      </c>
      <c r="AP2081" s="4" t="s">
        <v>63</v>
      </c>
      <c r="AQ2081" s="4" t="s">
        <v>63</v>
      </c>
      <c r="AR2081" s="4" t="s">
        <v>63</v>
      </c>
      <c r="AS2081" s="4" t="s">
        <v>63</v>
      </c>
      <c r="AT2081" s="4" t="s">
        <v>63</v>
      </c>
      <c r="AU2081" s="4" t="s">
        <v>63</v>
      </c>
      <c r="AV2081" s="4" t="s">
        <v>63</v>
      </c>
      <c r="AW2081" s="4" t="s">
        <v>63</v>
      </c>
      <c r="AX2081" s="4" t="s">
        <v>63</v>
      </c>
      <c r="AY2081" s="4" t="s">
        <v>63</v>
      </c>
      <c r="AZ2081" s="4" t="s">
        <v>63</v>
      </c>
      <c r="BA2081" s="4" t="s">
        <v>63</v>
      </c>
      <c r="BB2081" s="4" t="s">
        <v>63</v>
      </c>
      <c r="BC2081" s="4" t="s">
        <v>63</v>
      </c>
      <c r="BD2081" s="4" t="s">
        <v>63</v>
      </c>
      <c r="BE2081" s="4" t="s">
        <v>63</v>
      </c>
      <c r="BF2081" s="4" t="s">
        <v>63</v>
      </c>
    </row>
    <row r="2082" spans="1:58">
      <c r="A2082" s="4" t="s">
        <v>58</v>
      </c>
      <c r="B2082" s="4" t="s">
        <v>17802</v>
      </c>
      <c r="C2082" s="4" t="s">
        <v>17803</v>
      </c>
      <c r="D2082" s="4" t="s">
        <v>17804</v>
      </c>
      <c r="E2082" s="4" t="s">
        <v>63</v>
      </c>
      <c r="F2082" s="4">
        <v>2017</v>
      </c>
      <c r="G2082" s="4">
        <v>1</v>
      </c>
      <c r="H2082" s="4">
        <v>15</v>
      </c>
      <c r="I2082" s="4">
        <v>8</v>
      </c>
      <c r="J2082" s="4">
        <v>2153</v>
      </c>
      <c r="K2082" s="4">
        <v>2181</v>
      </c>
      <c r="L2082" s="4" t="s">
        <v>17805</v>
      </c>
      <c r="M2082" s="4" t="s">
        <v>17806</v>
      </c>
      <c r="N2082" s="4" t="s">
        <v>17807</v>
      </c>
      <c r="O2082" s="4" t="s">
        <v>63</v>
      </c>
      <c r="P2082" s="4"/>
      <c r="Q2082" s="4" t="s">
        <v>63</v>
      </c>
      <c r="R2082" s="4" t="s">
        <v>63</v>
      </c>
      <c r="S2082" s="4" t="s">
        <v>63</v>
      </c>
      <c r="T2082" s="4" t="s">
        <v>63</v>
      </c>
      <c r="U2082" s="4"/>
      <c r="V2082" s="4"/>
      <c r="W2082" s="4"/>
      <c r="X2082" s="4" t="s">
        <v>63</v>
      </c>
      <c r="Y2082" s="4" t="s">
        <v>17808</v>
      </c>
      <c r="Z2082" s="4" t="s">
        <v>63</v>
      </c>
      <c r="AA2082" s="4" t="s">
        <v>63</v>
      </c>
      <c r="AB2082" s="4" t="s">
        <v>17809</v>
      </c>
      <c r="AC2082" s="4" t="s">
        <v>67</v>
      </c>
      <c r="AD2082" s="4" t="s">
        <v>63</v>
      </c>
      <c r="AE2082" s="4" t="s">
        <v>63</v>
      </c>
      <c r="AF2082" s="4" t="s">
        <v>63</v>
      </c>
      <c r="AG2082" s="4" t="s">
        <v>63</v>
      </c>
      <c r="AH2082" s="4" t="s">
        <v>63</v>
      </c>
      <c r="AI2082" s="4" t="s">
        <v>17810</v>
      </c>
      <c r="AJ2082" s="4" t="s">
        <v>63</v>
      </c>
      <c r="AK2082" s="4" t="s">
        <v>63</v>
      </c>
      <c r="AL2082" s="4" t="s">
        <v>63</v>
      </c>
      <c r="AM2082" s="4" t="s">
        <v>17803</v>
      </c>
      <c r="AN2082" s="4" t="s">
        <v>63</v>
      </c>
      <c r="AO2082" s="4" t="s">
        <v>63</v>
      </c>
      <c r="AP2082" s="4" t="s">
        <v>63</v>
      </c>
      <c r="AQ2082" s="4" t="s">
        <v>63</v>
      </c>
      <c r="AR2082" s="4" t="s">
        <v>63</v>
      </c>
      <c r="AS2082" s="4" t="s">
        <v>63</v>
      </c>
      <c r="AT2082" s="4" t="s">
        <v>63</v>
      </c>
      <c r="AU2082" s="4" t="s">
        <v>63</v>
      </c>
      <c r="AV2082" s="4" t="s">
        <v>63</v>
      </c>
      <c r="AW2082" s="4" t="s">
        <v>63</v>
      </c>
      <c r="AX2082" s="4" t="s">
        <v>63</v>
      </c>
      <c r="AY2082" s="4" t="s">
        <v>63</v>
      </c>
      <c r="AZ2082" s="4" t="s">
        <v>63</v>
      </c>
      <c r="BA2082" s="4" t="s">
        <v>63</v>
      </c>
      <c r="BB2082" s="4" t="s">
        <v>63</v>
      </c>
      <c r="BC2082" s="4" t="s">
        <v>63</v>
      </c>
      <c r="BD2082" s="4" t="s">
        <v>63</v>
      </c>
      <c r="BE2082" s="4" t="s">
        <v>63</v>
      </c>
      <c r="BF2082" s="4" t="s">
        <v>63</v>
      </c>
    </row>
    <row r="2083" spans="1:58">
      <c r="A2083" s="4" t="s">
        <v>58</v>
      </c>
      <c r="B2083" s="4" t="s">
        <v>17811</v>
      </c>
      <c r="C2083" s="4" t="s">
        <v>17812</v>
      </c>
      <c r="D2083" s="4" t="s">
        <v>17159</v>
      </c>
      <c r="E2083" s="4" t="s">
        <v>63</v>
      </c>
      <c r="F2083" s="4">
        <v>2014</v>
      </c>
      <c r="G2083" s="4" t="s">
        <v>63</v>
      </c>
      <c r="H2083" s="4">
        <v>5</v>
      </c>
      <c r="I2083" s="4">
        <v>3</v>
      </c>
      <c r="J2083" s="4">
        <v>5</v>
      </c>
      <c r="K2083" s="4">
        <v>10</v>
      </c>
      <c r="L2083" s="4" t="s">
        <v>17813</v>
      </c>
      <c r="M2083" s="4" t="s">
        <v>17814</v>
      </c>
      <c r="N2083" s="4" t="s">
        <v>17815</v>
      </c>
      <c r="O2083" s="4" t="s">
        <v>63</v>
      </c>
      <c r="P2083" s="4"/>
      <c r="Q2083" s="4" t="s">
        <v>63</v>
      </c>
      <c r="R2083" s="4" t="s">
        <v>63</v>
      </c>
      <c r="S2083" s="4" t="s">
        <v>63</v>
      </c>
      <c r="T2083" s="4" t="s">
        <v>63</v>
      </c>
      <c r="U2083" s="4"/>
      <c r="V2083" s="4"/>
      <c r="W2083" s="4"/>
      <c r="X2083" s="4" t="s">
        <v>63</v>
      </c>
      <c r="Y2083" s="4" t="s">
        <v>17162</v>
      </c>
      <c r="Z2083" s="4" t="s">
        <v>63</v>
      </c>
      <c r="AA2083" s="4" t="s">
        <v>63</v>
      </c>
      <c r="AB2083" s="4" t="s">
        <v>17816</v>
      </c>
      <c r="AC2083" s="4" t="s">
        <v>67</v>
      </c>
      <c r="AD2083" s="4" t="s">
        <v>63</v>
      </c>
      <c r="AE2083" s="4" t="s">
        <v>63</v>
      </c>
      <c r="AF2083" s="4" t="s">
        <v>63</v>
      </c>
      <c r="AG2083" s="4" t="s">
        <v>63</v>
      </c>
      <c r="AH2083" s="4" t="s">
        <v>63</v>
      </c>
      <c r="AI2083" s="4" t="s">
        <v>63</v>
      </c>
      <c r="AJ2083" s="4" t="s">
        <v>63</v>
      </c>
      <c r="AK2083" s="4" t="s">
        <v>63</v>
      </c>
      <c r="AL2083" s="4" t="s">
        <v>63</v>
      </c>
      <c r="AM2083" s="4" t="s">
        <v>17812</v>
      </c>
      <c r="AN2083" s="4" t="s">
        <v>63</v>
      </c>
      <c r="AO2083" s="4" t="s">
        <v>63</v>
      </c>
      <c r="AP2083" s="4" t="s">
        <v>63</v>
      </c>
      <c r="AQ2083" s="4" t="s">
        <v>63</v>
      </c>
      <c r="AR2083" s="4" t="s">
        <v>63</v>
      </c>
      <c r="AS2083" s="4" t="s">
        <v>63</v>
      </c>
      <c r="AT2083" s="4" t="s">
        <v>63</v>
      </c>
      <c r="AU2083" s="4" t="s">
        <v>63</v>
      </c>
      <c r="AV2083" s="4" t="s">
        <v>63</v>
      </c>
      <c r="AW2083" s="4" t="s">
        <v>63</v>
      </c>
      <c r="AX2083" s="4" t="s">
        <v>63</v>
      </c>
      <c r="AY2083" s="4" t="s">
        <v>63</v>
      </c>
      <c r="AZ2083" s="4" t="s">
        <v>63</v>
      </c>
      <c r="BA2083" s="4" t="s">
        <v>63</v>
      </c>
      <c r="BB2083" s="4" t="s">
        <v>63</v>
      </c>
      <c r="BC2083" s="4" t="s">
        <v>63</v>
      </c>
      <c r="BD2083" s="4" t="s">
        <v>63</v>
      </c>
      <c r="BE2083" s="4" t="s">
        <v>63</v>
      </c>
      <c r="BF2083" s="4" t="s">
        <v>63</v>
      </c>
    </row>
    <row r="2084" spans="1:58">
      <c r="A2084" s="4" t="s">
        <v>58</v>
      </c>
      <c r="B2084" s="4" t="s">
        <v>17817</v>
      </c>
      <c r="C2084" s="4" t="s">
        <v>17818</v>
      </c>
      <c r="D2084" s="4" t="s">
        <v>371</v>
      </c>
      <c r="E2084" s="4" t="s">
        <v>63</v>
      </c>
      <c r="F2084" s="4">
        <v>2011</v>
      </c>
      <c r="G2084" s="4" t="s">
        <v>189</v>
      </c>
      <c r="H2084" s="4" t="s">
        <v>17819</v>
      </c>
      <c r="I2084" s="4" t="s">
        <v>63</v>
      </c>
      <c r="J2084" s="4" t="s">
        <v>17820</v>
      </c>
      <c r="K2084" s="4" t="s">
        <v>63</v>
      </c>
      <c r="L2084" s="4" t="s">
        <v>17821</v>
      </c>
      <c r="M2084" s="4" t="s">
        <v>17822</v>
      </c>
      <c r="N2084" s="4" t="s">
        <v>17823</v>
      </c>
      <c r="O2084" s="4" t="s">
        <v>63</v>
      </c>
      <c r="P2084" s="4"/>
      <c r="Q2084" s="4" t="s">
        <v>63</v>
      </c>
      <c r="R2084" s="4" t="s">
        <v>63</v>
      </c>
      <c r="S2084" s="4" t="s">
        <v>63</v>
      </c>
      <c r="T2084" s="4" t="s">
        <v>63</v>
      </c>
      <c r="U2084" s="4"/>
      <c r="V2084" s="4"/>
      <c r="W2084" s="4"/>
      <c r="X2084" s="4" t="s">
        <v>63</v>
      </c>
      <c r="Y2084" s="4" t="s">
        <v>375</v>
      </c>
      <c r="Z2084" s="4" t="s">
        <v>63</v>
      </c>
      <c r="AA2084" s="4" t="s">
        <v>63</v>
      </c>
      <c r="AB2084" s="4" t="s">
        <v>63</v>
      </c>
      <c r="AC2084" s="4" t="s">
        <v>67</v>
      </c>
      <c r="AD2084" s="4" t="s">
        <v>63</v>
      </c>
      <c r="AE2084" s="4" t="s">
        <v>63</v>
      </c>
      <c r="AF2084" s="4" t="s">
        <v>63</v>
      </c>
      <c r="AG2084" s="4" t="s">
        <v>63</v>
      </c>
      <c r="AH2084" s="4" t="s">
        <v>63</v>
      </c>
      <c r="AI2084" s="4" t="s">
        <v>17824</v>
      </c>
      <c r="AJ2084" s="4" t="s">
        <v>63</v>
      </c>
      <c r="AK2084" s="4" t="s">
        <v>63</v>
      </c>
      <c r="AL2084" s="4" t="s">
        <v>63</v>
      </c>
      <c r="AM2084" s="4" t="s">
        <v>17818</v>
      </c>
      <c r="AN2084" s="4" t="s">
        <v>63</v>
      </c>
      <c r="AO2084" s="4" t="s">
        <v>63</v>
      </c>
      <c r="AP2084" s="4" t="s">
        <v>63</v>
      </c>
      <c r="AQ2084" s="4" t="s">
        <v>63</v>
      </c>
      <c r="AR2084" s="4" t="s">
        <v>63</v>
      </c>
      <c r="AS2084" s="4" t="s">
        <v>63</v>
      </c>
      <c r="AT2084" s="4" t="s">
        <v>63</v>
      </c>
      <c r="AU2084" s="4" t="s">
        <v>63</v>
      </c>
      <c r="AV2084" s="4" t="s">
        <v>63</v>
      </c>
      <c r="AW2084" s="4" t="s">
        <v>63</v>
      </c>
      <c r="AX2084" s="4" t="s">
        <v>63</v>
      </c>
      <c r="AY2084" s="4" t="s">
        <v>63</v>
      </c>
      <c r="AZ2084" s="4" t="s">
        <v>63</v>
      </c>
      <c r="BA2084" s="4" t="s">
        <v>63</v>
      </c>
      <c r="BB2084" s="4" t="s">
        <v>63</v>
      </c>
      <c r="BC2084" s="4" t="s">
        <v>63</v>
      </c>
      <c r="BD2084" s="4" t="s">
        <v>63</v>
      </c>
      <c r="BE2084" s="4" t="s">
        <v>63</v>
      </c>
      <c r="BF2084" s="4" t="s">
        <v>63</v>
      </c>
    </row>
    <row r="2085" spans="1:58">
      <c r="A2085" s="4" t="s">
        <v>58</v>
      </c>
      <c r="B2085" s="4" t="s">
        <v>17825</v>
      </c>
      <c r="C2085" s="4" t="s">
        <v>17826</v>
      </c>
      <c r="D2085" s="4" t="s">
        <v>15421</v>
      </c>
      <c r="E2085" s="4" t="s">
        <v>63</v>
      </c>
      <c r="F2085" s="4">
        <v>2013</v>
      </c>
      <c r="G2085" s="4" t="s">
        <v>63</v>
      </c>
      <c r="H2085" s="4">
        <v>34</v>
      </c>
      <c r="I2085" s="4">
        <v>4</v>
      </c>
      <c r="J2085" s="4">
        <v>339</v>
      </c>
      <c r="K2085" s="4">
        <v>341</v>
      </c>
      <c r="L2085" s="4" t="s">
        <v>17827</v>
      </c>
      <c r="M2085" s="4" t="s">
        <v>63</v>
      </c>
      <c r="N2085" s="4" t="s">
        <v>17828</v>
      </c>
      <c r="O2085" s="4" t="s">
        <v>63</v>
      </c>
      <c r="P2085" s="4"/>
      <c r="Q2085" s="4" t="s">
        <v>63</v>
      </c>
      <c r="R2085" s="4" t="s">
        <v>63</v>
      </c>
      <c r="S2085" s="4" t="s">
        <v>63</v>
      </c>
      <c r="T2085" s="4" t="s">
        <v>63</v>
      </c>
      <c r="U2085" s="4"/>
      <c r="V2085" s="4"/>
      <c r="W2085" s="4"/>
      <c r="X2085" s="4" t="s">
        <v>63</v>
      </c>
      <c r="Y2085" s="4" t="s">
        <v>15425</v>
      </c>
      <c r="Z2085" s="4" t="s">
        <v>63</v>
      </c>
      <c r="AA2085" s="4" t="s">
        <v>63</v>
      </c>
      <c r="AB2085" s="4" t="s">
        <v>63</v>
      </c>
      <c r="AC2085" s="4" t="s">
        <v>67</v>
      </c>
      <c r="AD2085" s="4" t="s">
        <v>63</v>
      </c>
      <c r="AE2085" s="4" t="s">
        <v>63</v>
      </c>
      <c r="AF2085" s="4" t="s">
        <v>63</v>
      </c>
      <c r="AG2085" s="4" t="s">
        <v>17829</v>
      </c>
      <c r="AH2085" s="4" t="s">
        <v>63</v>
      </c>
      <c r="AI2085" s="4" t="s">
        <v>63</v>
      </c>
      <c r="AJ2085" s="4" t="s">
        <v>63</v>
      </c>
      <c r="AK2085" s="4" t="s">
        <v>63</v>
      </c>
      <c r="AL2085" s="4" t="s">
        <v>63</v>
      </c>
      <c r="AM2085" s="4" t="s">
        <v>17830</v>
      </c>
      <c r="AN2085" s="4" t="s">
        <v>63</v>
      </c>
      <c r="AO2085" s="4" t="s">
        <v>63</v>
      </c>
      <c r="AP2085" s="4" t="s">
        <v>63</v>
      </c>
      <c r="AQ2085" s="4" t="s">
        <v>63</v>
      </c>
      <c r="AR2085" s="4" t="s">
        <v>63</v>
      </c>
      <c r="AS2085" s="4" t="s">
        <v>63</v>
      </c>
      <c r="AT2085" s="4" t="s">
        <v>63</v>
      </c>
      <c r="AU2085" s="4" t="s">
        <v>63</v>
      </c>
      <c r="AV2085" s="4" t="s">
        <v>63</v>
      </c>
      <c r="AW2085" s="4" t="s">
        <v>63</v>
      </c>
      <c r="AX2085" s="4" t="s">
        <v>63</v>
      </c>
      <c r="AY2085" s="4" t="s">
        <v>63</v>
      </c>
      <c r="AZ2085" s="4" t="s">
        <v>63</v>
      </c>
      <c r="BA2085" s="4" t="s">
        <v>63</v>
      </c>
      <c r="BB2085" s="4" t="s">
        <v>63</v>
      </c>
      <c r="BC2085" s="4" t="s">
        <v>63</v>
      </c>
      <c r="BD2085" s="4" t="s">
        <v>63</v>
      </c>
      <c r="BE2085" s="4" t="s">
        <v>63</v>
      </c>
      <c r="BF2085" s="4" t="s">
        <v>63</v>
      </c>
    </row>
    <row r="2086" spans="1:58">
      <c r="A2086" s="4" t="s">
        <v>58</v>
      </c>
      <c r="B2086" s="4" t="s">
        <v>17831</v>
      </c>
      <c r="C2086" s="4" t="s">
        <v>17832</v>
      </c>
      <c r="D2086" s="4" t="s">
        <v>17833</v>
      </c>
      <c r="E2086" s="4" t="s">
        <v>63</v>
      </c>
      <c r="F2086" s="4">
        <v>2014</v>
      </c>
      <c r="G2086" s="4" t="s">
        <v>63</v>
      </c>
      <c r="H2086" s="4">
        <v>35</v>
      </c>
      <c r="I2086" s="4">
        <v>3</v>
      </c>
      <c r="J2086" s="4">
        <v>290</v>
      </c>
      <c r="K2086" s="4">
        <v>291</v>
      </c>
      <c r="L2086" s="4" t="s">
        <v>17834</v>
      </c>
      <c r="M2086" s="4" t="s">
        <v>63</v>
      </c>
      <c r="N2086" s="4" t="s">
        <v>17835</v>
      </c>
      <c r="O2086" s="4" t="s">
        <v>63</v>
      </c>
      <c r="P2086" s="4"/>
      <c r="Q2086" s="4" t="s">
        <v>63</v>
      </c>
      <c r="R2086" s="4" t="s">
        <v>63</v>
      </c>
      <c r="S2086" s="4" t="s">
        <v>63</v>
      </c>
      <c r="T2086" s="4" t="s">
        <v>63</v>
      </c>
      <c r="U2086" s="4"/>
      <c r="V2086" s="4"/>
      <c r="W2086" s="4"/>
      <c r="X2086" s="4" t="s">
        <v>63</v>
      </c>
      <c r="Y2086" s="4" t="s">
        <v>15425</v>
      </c>
      <c r="Z2086" s="4" t="s">
        <v>63</v>
      </c>
      <c r="AA2086" s="4" t="s">
        <v>63</v>
      </c>
      <c r="AB2086" s="4" t="s">
        <v>63</v>
      </c>
      <c r="AC2086" s="4" t="s">
        <v>67</v>
      </c>
      <c r="AD2086" s="4" t="s">
        <v>63</v>
      </c>
      <c r="AE2086" s="4" t="s">
        <v>63</v>
      </c>
      <c r="AF2086" s="4" t="s">
        <v>63</v>
      </c>
      <c r="AG2086" s="4" t="s">
        <v>17836</v>
      </c>
      <c r="AH2086" s="4" t="s">
        <v>63</v>
      </c>
      <c r="AI2086" s="4" t="s">
        <v>17837</v>
      </c>
      <c r="AJ2086" s="4" t="s">
        <v>63</v>
      </c>
      <c r="AK2086" s="4" t="s">
        <v>63</v>
      </c>
      <c r="AL2086" s="4" t="s">
        <v>63</v>
      </c>
      <c r="AM2086" s="4" t="s">
        <v>17838</v>
      </c>
      <c r="AN2086" s="4" t="s">
        <v>63</v>
      </c>
      <c r="AO2086" s="4" t="s">
        <v>63</v>
      </c>
      <c r="AP2086" s="4" t="s">
        <v>63</v>
      </c>
      <c r="AQ2086" s="4" t="s">
        <v>63</v>
      </c>
      <c r="AR2086" s="4" t="s">
        <v>63</v>
      </c>
      <c r="AS2086" s="4" t="s">
        <v>63</v>
      </c>
      <c r="AT2086" s="4" t="s">
        <v>63</v>
      </c>
      <c r="AU2086" s="4" t="s">
        <v>63</v>
      </c>
      <c r="AV2086" s="4" t="s">
        <v>63</v>
      </c>
      <c r="AW2086" s="4" t="s">
        <v>63</v>
      </c>
      <c r="AX2086" s="4" t="s">
        <v>63</v>
      </c>
      <c r="AY2086" s="4" t="s">
        <v>63</v>
      </c>
      <c r="AZ2086" s="4" t="s">
        <v>63</v>
      </c>
      <c r="BA2086" s="4" t="s">
        <v>63</v>
      </c>
      <c r="BB2086" s="4" t="s">
        <v>63</v>
      </c>
      <c r="BC2086" s="4" t="s">
        <v>63</v>
      </c>
      <c r="BD2086" s="4" t="s">
        <v>63</v>
      </c>
      <c r="BE2086" s="4" t="s">
        <v>63</v>
      </c>
      <c r="BF2086" s="4" t="s">
        <v>63</v>
      </c>
    </row>
    <row r="2087" spans="1:58">
      <c r="A2087" s="4" t="s">
        <v>58</v>
      </c>
      <c r="B2087" s="4" t="s">
        <v>17839</v>
      </c>
      <c r="C2087" s="4" t="s">
        <v>17840</v>
      </c>
      <c r="D2087" s="4" t="s">
        <v>938</v>
      </c>
      <c r="E2087" s="4" t="s">
        <v>63</v>
      </c>
      <c r="F2087" s="4">
        <v>2009</v>
      </c>
      <c r="G2087" s="4" t="s">
        <v>16182</v>
      </c>
      <c r="H2087" s="4">
        <v>18</v>
      </c>
      <c r="I2087" s="4">
        <v>4</v>
      </c>
      <c r="J2087" s="4">
        <v>337</v>
      </c>
      <c r="K2087" s="4">
        <v>338</v>
      </c>
      <c r="L2087" s="4" t="s">
        <v>17841</v>
      </c>
      <c r="M2087" s="4" t="s">
        <v>63</v>
      </c>
      <c r="N2087" s="4" t="s">
        <v>17842</v>
      </c>
      <c r="O2087" s="4" t="s">
        <v>63</v>
      </c>
      <c r="P2087" s="4"/>
      <c r="Q2087" s="4" t="s">
        <v>63</v>
      </c>
      <c r="R2087" s="4" t="s">
        <v>63</v>
      </c>
      <c r="S2087" s="4" t="s">
        <v>63</v>
      </c>
      <c r="T2087" s="4" t="s">
        <v>63</v>
      </c>
      <c r="U2087" s="4"/>
      <c r="V2087" s="4"/>
      <c r="W2087" s="4"/>
      <c r="X2087" s="4" t="s">
        <v>63</v>
      </c>
      <c r="Y2087" s="4" t="s">
        <v>15707</v>
      </c>
      <c r="Z2087" s="4" t="s">
        <v>63</v>
      </c>
      <c r="AA2087" s="4" t="s">
        <v>63</v>
      </c>
      <c r="AB2087" s="4" t="s">
        <v>17843</v>
      </c>
      <c r="AC2087" s="4" t="s">
        <v>67</v>
      </c>
      <c r="AD2087" s="4" t="s">
        <v>63</v>
      </c>
      <c r="AE2087" s="4" t="s">
        <v>63</v>
      </c>
      <c r="AF2087" s="4" t="s">
        <v>63</v>
      </c>
      <c r="AG2087" s="4" t="s">
        <v>63</v>
      </c>
      <c r="AH2087" s="4" t="s">
        <v>63</v>
      </c>
      <c r="AI2087" s="4" t="s">
        <v>17844</v>
      </c>
      <c r="AJ2087" s="4" t="s">
        <v>63</v>
      </c>
      <c r="AK2087" s="4" t="s">
        <v>63</v>
      </c>
      <c r="AL2087" s="4" t="s">
        <v>63</v>
      </c>
      <c r="AM2087" s="4" t="s">
        <v>17840</v>
      </c>
      <c r="AN2087" s="4" t="s">
        <v>63</v>
      </c>
      <c r="AO2087" s="4" t="s">
        <v>63</v>
      </c>
      <c r="AP2087" s="4" t="s">
        <v>63</v>
      </c>
      <c r="AQ2087" s="4" t="s">
        <v>63</v>
      </c>
      <c r="AR2087" s="4" t="s">
        <v>63</v>
      </c>
      <c r="AS2087" s="4" t="s">
        <v>63</v>
      </c>
      <c r="AT2087" s="4" t="s">
        <v>63</v>
      </c>
      <c r="AU2087" s="4" t="s">
        <v>63</v>
      </c>
      <c r="AV2087" s="4" t="s">
        <v>63</v>
      </c>
      <c r="AW2087" s="4" t="s">
        <v>63</v>
      </c>
      <c r="AX2087" s="4" t="s">
        <v>63</v>
      </c>
      <c r="AY2087" s="4" t="s">
        <v>63</v>
      </c>
      <c r="AZ2087" s="4" t="s">
        <v>63</v>
      </c>
      <c r="BA2087" s="4" t="s">
        <v>63</v>
      </c>
      <c r="BB2087" s="4" t="s">
        <v>63</v>
      </c>
      <c r="BC2087" s="4" t="s">
        <v>63</v>
      </c>
      <c r="BD2087" s="4" t="s">
        <v>63</v>
      </c>
      <c r="BE2087" s="4" t="s">
        <v>63</v>
      </c>
      <c r="BF2087" s="4" t="s">
        <v>63</v>
      </c>
    </row>
    <row r="2088" spans="1:58">
      <c r="A2088" s="4" t="s">
        <v>58</v>
      </c>
      <c r="B2088" s="4" t="s">
        <v>17845</v>
      </c>
      <c r="C2088" s="4" t="s">
        <v>17846</v>
      </c>
      <c r="D2088" s="4" t="s">
        <v>2317</v>
      </c>
      <c r="E2088" s="4" t="s">
        <v>63</v>
      </c>
      <c r="F2088" s="4">
        <v>2012</v>
      </c>
      <c r="G2088" s="4" t="s">
        <v>189</v>
      </c>
      <c r="H2088" s="4">
        <v>132</v>
      </c>
      <c r="I2088" s="4">
        <v>3</v>
      </c>
      <c r="J2088" s="4">
        <v>135</v>
      </c>
      <c r="K2088" s="4">
        <v>143</v>
      </c>
      <c r="L2088" s="4" t="s">
        <v>17847</v>
      </c>
      <c r="M2088" s="4" t="s">
        <v>17848</v>
      </c>
      <c r="N2088" s="4" t="s">
        <v>17849</v>
      </c>
      <c r="O2088" s="4" t="s">
        <v>63</v>
      </c>
      <c r="P2088" s="4"/>
      <c r="Q2088" s="4" t="s">
        <v>63</v>
      </c>
      <c r="R2088" s="4" t="s">
        <v>63</v>
      </c>
      <c r="S2088" s="4" t="s">
        <v>63</v>
      </c>
      <c r="T2088" s="4" t="s">
        <v>63</v>
      </c>
      <c r="U2088" s="4"/>
      <c r="V2088" s="4"/>
      <c r="W2088" s="4"/>
      <c r="X2088" s="4" t="s">
        <v>63</v>
      </c>
      <c r="Y2088" s="4" t="s">
        <v>17850</v>
      </c>
      <c r="Z2088" s="4" t="s">
        <v>63</v>
      </c>
      <c r="AA2088" s="4" t="s">
        <v>63</v>
      </c>
      <c r="AB2088" s="4">
        <v>2012321001</v>
      </c>
      <c r="AC2088" s="4" t="s">
        <v>67</v>
      </c>
      <c r="AD2088" s="4" t="s">
        <v>63</v>
      </c>
      <c r="AE2088" s="4" t="s">
        <v>63</v>
      </c>
      <c r="AF2088" s="4" t="s">
        <v>63</v>
      </c>
      <c r="AG2088" s="4" t="s">
        <v>17851</v>
      </c>
      <c r="AH2088" s="4" t="s">
        <v>63</v>
      </c>
      <c r="AI2088" s="4" t="s">
        <v>17852</v>
      </c>
      <c r="AJ2088" s="4" t="s">
        <v>63</v>
      </c>
      <c r="AK2088" s="4" t="s">
        <v>63</v>
      </c>
      <c r="AL2088" s="4" t="s">
        <v>63</v>
      </c>
      <c r="AM2088" s="4" t="s">
        <v>17853</v>
      </c>
      <c r="AN2088" s="4" t="s">
        <v>63</v>
      </c>
      <c r="AO2088" s="4" t="s">
        <v>63</v>
      </c>
      <c r="AP2088" s="4" t="s">
        <v>63</v>
      </c>
      <c r="AQ2088" s="4" t="s">
        <v>63</v>
      </c>
      <c r="AR2088" s="4" t="s">
        <v>63</v>
      </c>
      <c r="AS2088" s="4" t="s">
        <v>63</v>
      </c>
      <c r="AT2088" s="4" t="s">
        <v>63</v>
      </c>
      <c r="AU2088" s="4" t="s">
        <v>63</v>
      </c>
      <c r="AV2088" s="4" t="s">
        <v>63</v>
      </c>
      <c r="AW2088" s="4" t="s">
        <v>63</v>
      </c>
      <c r="AX2088" s="4" t="s">
        <v>63</v>
      </c>
      <c r="AY2088" s="4" t="s">
        <v>63</v>
      </c>
      <c r="AZ2088" s="4" t="s">
        <v>63</v>
      </c>
      <c r="BA2088" s="4" t="s">
        <v>63</v>
      </c>
      <c r="BB2088" s="4" t="s">
        <v>63</v>
      </c>
      <c r="BC2088" s="4" t="s">
        <v>63</v>
      </c>
      <c r="BD2088" s="4" t="s">
        <v>63</v>
      </c>
      <c r="BE2088" s="4" t="s">
        <v>63</v>
      </c>
      <c r="BF2088" s="4" t="s">
        <v>63</v>
      </c>
    </row>
    <row r="2089" spans="1:58">
      <c r="A2089" s="4" t="s">
        <v>58</v>
      </c>
      <c r="B2089" s="4" t="s">
        <v>17854</v>
      </c>
      <c r="C2089" s="4" t="s">
        <v>17855</v>
      </c>
      <c r="D2089" s="4" t="s">
        <v>15421</v>
      </c>
      <c r="E2089" s="4" t="s">
        <v>63</v>
      </c>
      <c r="F2089" s="4">
        <v>2012</v>
      </c>
      <c r="G2089" s="4" t="s">
        <v>63</v>
      </c>
      <c r="H2089" s="4">
        <v>33</v>
      </c>
      <c r="I2089" s="4">
        <v>4</v>
      </c>
      <c r="J2089" s="4">
        <v>336</v>
      </c>
      <c r="K2089" s="4">
        <v>349</v>
      </c>
      <c r="L2089" s="4" t="s">
        <v>17856</v>
      </c>
      <c r="M2089" s="4" t="s">
        <v>17857</v>
      </c>
      <c r="N2089" s="4" t="s">
        <v>17858</v>
      </c>
      <c r="O2089" s="4" t="s">
        <v>63</v>
      </c>
      <c r="P2089" s="4"/>
      <c r="Q2089" s="4" t="s">
        <v>63</v>
      </c>
      <c r="R2089" s="4" t="s">
        <v>63</v>
      </c>
      <c r="S2089" s="4" t="s">
        <v>63</v>
      </c>
      <c r="T2089" s="4" t="s">
        <v>63</v>
      </c>
      <c r="U2089" s="4"/>
      <c r="V2089" s="4"/>
      <c r="W2089" s="4"/>
      <c r="X2089" s="4" t="s">
        <v>63</v>
      </c>
      <c r="Y2089" s="4" t="s">
        <v>15425</v>
      </c>
      <c r="Z2089" s="4" t="s">
        <v>63</v>
      </c>
      <c r="AA2089" s="4" t="s">
        <v>63</v>
      </c>
      <c r="AB2089" s="4" t="s">
        <v>63</v>
      </c>
      <c r="AC2089" s="4" t="s">
        <v>67</v>
      </c>
      <c r="AD2089" s="4" t="s">
        <v>63</v>
      </c>
      <c r="AE2089" s="4" t="s">
        <v>63</v>
      </c>
      <c r="AF2089" s="4" t="s">
        <v>63</v>
      </c>
      <c r="AG2089" s="4" t="s">
        <v>17859</v>
      </c>
      <c r="AH2089" s="4" t="s">
        <v>63</v>
      </c>
      <c r="AI2089" s="4" t="s">
        <v>63</v>
      </c>
      <c r="AJ2089" s="4" t="s">
        <v>63</v>
      </c>
      <c r="AK2089" s="4" t="s">
        <v>63</v>
      </c>
      <c r="AL2089" s="4" t="s">
        <v>63</v>
      </c>
      <c r="AM2089" s="4" t="s">
        <v>17860</v>
      </c>
      <c r="AN2089" s="4" t="s">
        <v>63</v>
      </c>
      <c r="AO2089" s="4" t="s">
        <v>63</v>
      </c>
      <c r="AP2089" s="4" t="s">
        <v>63</v>
      </c>
      <c r="AQ2089" s="4" t="s">
        <v>63</v>
      </c>
      <c r="AR2089" s="4" t="s">
        <v>63</v>
      </c>
      <c r="AS2089" s="4" t="s">
        <v>63</v>
      </c>
      <c r="AT2089" s="4" t="s">
        <v>63</v>
      </c>
      <c r="AU2089" s="4" t="s">
        <v>63</v>
      </c>
      <c r="AV2089" s="4" t="s">
        <v>63</v>
      </c>
      <c r="AW2089" s="4" t="s">
        <v>63</v>
      </c>
      <c r="AX2089" s="4" t="s">
        <v>63</v>
      </c>
      <c r="AY2089" s="4" t="s">
        <v>63</v>
      </c>
      <c r="AZ2089" s="4" t="s">
        <v>63</v>
      </c>
      <c r="BA2089" s="4" t="s">
        <v>63</v>
      </c>
      <c r="BB2089" s="4" t="s">
        <v>63</v>
      </c>
      <c r="BC2089" s="4" t="s">
        <v>63</v>
      </c>
      <c r="BD2089" s="4" t="s">
        <v>63</v>
      </c>
      <c r="BE2089" s="4" t="s">
        <v>63</v>
      </c>
      <c r="BF2089" s="4" t="s">
        <v>63</v>
      </c>
    </row>
    <row r="2090" spans="1:58">
      <c r="A2090" s="4" t="s">
        <v>58</v>
      </c>
      <c r="B2090" s="4" t="s">
        <v>17861</v>
      </c>
      <c r="C2090" s="4" t="s">
        <v>17862</v>
      </c>
      <c r="D2090" s="4" t="s">
        <v>1439</v>
      </c>
      <c r="E2090" s="4" t="s">
        <v>1439</v>
      </c>
      <c r="F2090" s="4">
        <v>1972</v>
      </c>
      <c r="G2090" s="4" t="s">
        <v>63</v>
      </c>
      <c r="H2090" s="4">
        <v>69</v>
      </c>
      <c r="I2090" s="4">
        <v>52</v>
      </c>
      <c r="J2090" s="4">
        <v>6179</v>
      </c>
      <c r="K2090" s="4">
        <v>6183</v>
      </c>
      <c r="L2090" s="4" t="s">
        <v>17863</v>
      </c>
      <c r="M2090" s="4" t="s">
        <v>17864</v>
      </c>
      <c r="N2090" s="4" t="s">
        <v>17865</v>
      </c>
      <c r="O2090" s="4" t="s">
        <v>63</v>
      </c>
      <c r="P2090" s="4"/>
      <c r="Q2090" s="4" t="s">
        <v>63</v>
      </c>
      <c r="R2090" s="4" t="s">
        <v>63</v>
      </c>
      <c r="S2090" s="4" t="s">
        <v>63</v>
      </c>
      <c r="T2090" s="4" t="s">
        <v>63</v>
      </c>
      <c r="U2090" s="4"/>
      <c r="V2090" s="4"/>
      <c r="W2090" s="4"/>
      <c r="X2090" s="4" t="s">
        <v>63</v>
      </c>
      <c r="Y2090" s="4" t="s">
        <v>1442</v>
      </c>
      <c r="Z2090" s="4" t="s">
        <v>63</v>
      </c>
      <c r="AA2090" s="4" t="s">
        <v>63</v>
      </c>
      <c r="AB2090" s="4" t="s">
        <v>17866</v>
      </c>
      <c r="AC2090" s="4" t="s">
        <v>1444</v>
      </c>
      <c r="AD2090" s="4" t="s">
        <v>63</v>
      </c>
      <c r="AE2090" s="4" t="s">
        <v>63</v>
      </c>
      <c r="AF2090" s="4" t="s">
        <v>63</v>
      </c>
      <c r="AG2090" s="4" t="s">
        <v>63</v>
      </c>
      <c r="AH2090" s="4" t="s">
        <v>63</v>
      </c>
      <c r="AI2090" s="4" t="s">
        <v>63</v>
      </c>
      <c r="AJ2090" s="4" t="s">
        <v>63</v>
      </c>
      <c r="AK2090" s="4" t="s">
        <v>63</v>
      </c>
      <c r="AL2090" s="4" t="s">
        <v>63</v>
      </c>
      <c r="AM2090" s="4" t="s">
        <v>17862</v>
      </c>
      <c r="AN2090" s="4" t="s">
        <v>63</v>
      </c>
      <c r="AO2090" s="4" t="s">
        <v>63</v>
      </c>
      <c r="AP2090" s="4" t="s">
        <v>63</v>
      </c>
      <c r="AQ2090" s="4" t="s">
        <v>63</v>
      </c>
      <c r="AR2090" s="4" t="s">
        <v>63</v>
      </c>
      <c r="AS2090" s="4" t="s">
        <v>63</v>
      </c>
      <c r="AT2090" s="4" t="s">
        <v>63</v>
      </c>
      <c r="AU2090" s="4" t="s">
        <v>63</v>
      </c>
      <c r="AV2090" s="4" t="s">
        <v>63</v>
      </c>
      <c r="AW2090" s="4" t="s">
        <v>63</v>
      </c>
      <c r="AX2090" s="4" t="s">
        <v>63</v>
      </c>
      <c r="AY2090" s="4" t="s">
        <v>63</v>
      </c>
      <c r="AZ2090" s="4" t="s">
        <v>63</v>
      </c>
      <c r="BA2090" s="4" t="s">
        <v>63</v>
      </c>
      <c r="BB2090" s="4" t="s">
        <v>63</v>
      </c>
      <c r="BC2090" s="4" t="s">
        <v>63</v>
      </c>
      <c r="BD2090" s="4" t="s">
        <v>63</v>
      </c>
      <c r="BE2090" s="4" t="s">
        <v>63</v>
      </c>
      <c r="BF2090" s="4" t="s">
        <v>63</v>
      </c>
    </row>
    <row r="2091" spans="1:58">
      <c r="A2091" s="4" t="s">
        <v>58</v>
      </c>
      <c r="B2091" s="4" t="s">
        <v>17867</v>
      </c>
      <c r="C2091" s="4" t="s">
        <v>17868</v>
      </c>
      <c r="D2091" s="4" t="s">
        <v>17869</v>
      </c>
      <c r="E2091" s="4" t="s">
        <v>63</v>
      </c>
      <c r="F2091" s="4">
        <v>2010</v>
      </c>
      <c r="G2091" s="4" t="s">
        <v>15389</v>
      </c>
      <c r="H2091" s="4">
        <v>24</v>
      </c>
      <c r="I2091" s="4">
        <v>3</v>
      </c>
      <c r="J2091" s="4">
        <v>451</v>
      </c>
      <c r="K2091" s="4">
        <v>452</v>
      </c>
      <c r="L2091" s="4" t="s">
        <v>17870</v>
      </c>
      <c r="M2091" s="4" t="s">
        <v>17871</v>
      </c>
      <c r="N2091" s="4" t="s">
        <v>17872</v>
      </c>
      <c r="O2091" s="4" t="s">
        <v>63</v>
      </c>
      <c r="P2091" s="4"/>
      <c r="Q2091" s="4" t="s">
        <v>63</v>
      </c>
      <c r="R2091" s="4" t="s">
        <v>63</v>
      </c>
      <c r="S2091" s="4" t="s">
        <v>63</v>
      </c>
      <c r="T2091" s="4" t="s">
        <v>63</v>
      </c>
      <c r="U2091" s="4"/>
      <c r="V2091" s="4"/>
      <c r="W2091" s="4"/>
      <c r="X2091" s="4" t="s">
        <v>63</v>
      </c>
      <c r="Y2091" s="4" t="s">
        <v>17873</v>
      </c>
      <c r="Z2091" s="4" t="s">
        <v>63</v>
      </c>
      <c r="AA2091" s="4" t="s">
        <v>63</v>
      </c>
      <c r="AB2091" s="4" t="s">
        <v>63</v>
      </c>
      <c r="AC2091" s="4" t="s">
        <v>67</v>
      </c>
      <c r="AD2091" s="4" t="s">
        <v>63</v>
      </c>
      <c r="AE2091" s="4" t="s">
        <v>63</v>
      </c>
      <c r="AF2091" s="4" t="s">
        <v>63</v>
      </c>
      <c r="AG2091" s="4" t="s">
        <v>63</v>
      </c>
      <c r="AH2091" s="4" t="s">
        <v>63</v>
      </c>
      <c r="AI2091" s="4" t="s">
        <v>17874</v>
      </c>
      <c r="AJ2091" s="4" t="s">
        <v>63</v>
      </c>
      <c r="AK2091" s="4" t="s">
        <v>63</v>
      </c>
      <c r="AL2091" s="4" t="s">
        <v>63</v>
      </c>
      <c r="AM2091" s="4" t="s">
        <v>17868</v>
      </c>
      <c r="AN2091" s="4" t="s">
        <v>63</v>
      </c>
      <c r="AO2091" s="4" t="s">
        <v>63</v>
      </c>
      <c r="AP2091" s="4" t="s">
        <v>63</v>
      </c>
      <c r="AQ2091" s="4" t="s">
        <v>63</v>
      </c>
      <c r="AR2091" s="4" t="s">
        <v>63</v>
      </c>
      <c r="AS2091" s="4" t="s">
        <v>63</v>
      </c>
      <c r="AT2091" s="4" t="s">
        <v>63</v>
      </c>
      <c r="AU2091" s="4" t="s">
        <v>63</v>
      </c>
      <c r="AV2091" s="4" t="s">
        <v>63</v>
      </c>
      <c r="AW2091" s="4" t="s">
        <v>63</v>
      </c>
      <c r="AX2091" s="4" t="s">
        <v>63</v>
      </c>
      <c r="AY2091" s="4" t="s">
        <v>63</v>
      </c>
      <c r="AZ2091" s="4" t="s">
        <v>63</v>
      </c>
      <c r="BA2091" s="4" t="s">
        <v>63</v>
      </c>
      <c r="BB2091" s="4" t="s">
        <v>63</v>
      </c>
      <c r="BC2091" s="4" t="s">
        <v>63</v>
      </c>
      <c r="BD2091" s="4" t="s">
        <v>63</v>
      </c>
      <c r="BE2091" s="4" t="s">
        <v>63</v>
      </c>
      <c r="BF2091" s="4" t="s">
        <v>63</v>
      </c>
    </row>
    <row r="2092" spans="1:58">
      <c r="A2092" s="4" t="s">
        <v>58</v>
      </c>
      <c r="B2092" s="4" t="s">
        <v>17875</v>
      </c>
      <c r="C2092" s="4" t="s">
        <v>17876</v>
      </c>
      <c r="D2092" s="4" t="s">
        <v>574</v>
      </c>
      <c r="E2092" s="4" t="s">
        <v>63</v>
      </c>
      <c r="F2092" s="4">
        <v>2014</v>
      </c>
      <c r="G2092" s="4" t="s">
        <v>189</v>
      </c>
      <c r="H2092" s="4" t="s">
        <v>17877</v>
      </c>
      <c r="I2092" s="4">
        <v>5</v>
      </c>
      <c r="J2092" s="4">
        <v>758</v>
      </c>
      <c r="K2092" s="4">
        <v>761</v>
      </c>
      <c r="L2092" s="4" t="s">
        <v>17878</v>
      </c>
      <c r="M2092" s="4" t="s">
        <v>17879</v>
      </c>
      <c r="N2092" s="4" t="s">
        <v>17880</v>
      </c>
      <c r="O2092" s="4" t="s">
        <v>63</v>
      </c>
      <c r="P2092" s="4"/>
      <c r="Q2092" s="4" t="s">
        <v>63</v>
      </c>
      <c r="R2092" s="4" t="s">
        <v>63</v>
      </c>
      <c r="S2092" s="4" t="s">
        <v>63</v>
      </c>
      <c r="T2092" s="4" t="s">
        <v>63</v>
      </c>
      <c r="U2092" s="4"/>
      <c r="V2092" s="4"/>
      <c r="W2092" s="4"/>
      <c r="X2092" s="4" t="s">
        <v>63</v>
      </c>
      <c r="Y2092" s="4" t="s">
        <v>17881</v>
      </c>
      <c r="Z2092" s="4" t="s">
        <v>63</v>
      </c>
      <c r="AA2092" s="4" t="s">
        <v>63</v>
      </c>
      <c r="AB2092" s="4">
        <v>2014342857</v>
      </c>
      <c r="AC2092" s="4" t="s">
        <v>67</v>
      </c>
      <c r="AD2092" s="4" t="s">
        <v>63</v>
      </c>
      <c r="AE2092" s="4" t="s">
        <v>63</v>
      </c>
      <c r="AF2092" s="4" t="s">
        <v>63</v>
      </c>
      <c r="AG2092" s="4" t="s">
        <v>17882</v>
      </c>
      <c r="AH2092" s="4" t="s">
        <v>63</v>
      </c>
      <c r="AI2092" s="4" t="s">
        <v>17883</v>
      </c>
      <c r="AJ2092" s="4" t="s">
        <v>63</v>
      </c>
      <c r="AK2092" s="4" t="s">
        <v>63</v>
      </c>
      <c r="AL2092" s="4" t="s">
        <v>63</v>
      </c>
      <c r="AM2092" s="4" t="s">
        <v>17884</v>
      </c>
      <c r="AN2092" s="4" t="s">
        <v>63</v>
      </c>
      <c r="AO2092" s="4" t="s">
        <v>63</v>
      </c>
      <c r="AP2092" s="4" t="s">
        <v>63</v>
      </c>
      <c r="AQ2092" s="4" t="s">
        <v>63</v>
      </c>
      <c r="AR2092" s="4" t="s">
        <v>63</v>
      </c>
      <c r="AS2092" s="4" t="s">
        <v>63</v>
      </c>
      <c r="AT2092" s="4" t="s">
        <v>63</v>
      </c>
      <c r="AU2092" s="4" t="s">
        <v>63</v>
      </c>
      <c r="AV2092" s="4" t="s">
        <v>63</v>
      </c>
      <c r="AW2092" s="4" t="s">
        <v>63</v>
      </c>
      <c r="AX2092" s="4" t="s">
        <v>63</v>
      </c>
      <c r="AY2092" s="4" t="s">
        <v>63</v>
      </c>
      <c r="AZ2092" s="4" t="s">
        <v>63</v>
      </c>
      <c r="BA2092" s="4" t="s">
        <v>63</v>
      </c>
      <c r="BB2092" s="4" t="s">
        <v>63</v>
      </c>
      <c r="BC2092" s="4" t="s">
        <v>63</v>
      </c>
      <c r="BD2092" s="4" t="s">
        <v>63</v>
      </c>
      <c r="BE2092" s="4" t="s">
        <v>63</v>
      </c>
      <c r="BF2092" s="4" t="s">
        <v>63</v>
      </c>
    </row>
    <row r="2093" spans="1:58">
      <c r="A2093" s="4" t="s">
        <v>58</v>
      </c>
      <c r="B2093" s="4" t="s">
        <v>17885</v>
      </c>
      <c r="C2093" s="4" t="s">
        <v>17886</v>
      </c>
      <c r="D2093" s="4" t="s">
        <v>15920</v>
      </c>
      <c r="E2093" s="4" t="s">
        <v>63</v>
      </c>
      <c r="F2093" s="4">
        <v>2001</v>
      </c>
      <c r="G2093" s="4" t="s">
        <v>63</v>
      </c>
      <c r="H2093" s="4">
        <v>18</v>
      </c>
      <c r="I2093" s="4">
        <v>1</v>
      </c>
      <c r="J2093" s="4">
        <v>24</v>
      </c>
      <c r="K2093" s="4">
        <v>26</v>
      </c>
      <c r="L2093" s="4" t="s">
        <v>17887</v>
      </c>
      <c r="M2093" s="4" t="s">
        <v>17888</v>
      </c>
      <c r="N2093" s="4" t="s">
        <v>17889</v>
      </c>
      <c r="O2093" s="4" t="s">
        <v>63</v>
      </c>
      <c r="P2093" s="4"/>
      <c r="Q2093" s="4" t="s">
        <v>63</v>
      </c>
      <c r="R2093" s="4" t="s">
        <v>63</v>
      </c>
      <c r="S2093" s="4" t="s">
        <v>63</v>
      </c>
      <c r="T2093" s="4" t="s">
        <v>63</v>
      </c>
      <c r="U2093" s="4"/>
      <c r="V2093" s="4"/>
      <c r="W2093" s="4"/>
      <c r="X2093" s="4" t="s">
        <v>63</v>
      </c>
      <c r="Y2093" s="4" t="s">
        <v>17890</v>
      </c>
      <c r="Z2093" s="4" t="s">
        <v>63</v>
      </c>
      <c r="AA2093" s="4" t="s">
        <v>63</v>
      </c>
      <c r="AB2093" s="4" t="s">
        <v>17891</v>
      </c>
      <c r="AC2093" s="4" t="s">
        <v>67</v>
      </c>
      <c r="AD2093" s="4" t="s">
        <v>63</v>
      </c>
      <c r="AE2093" s="4" t="s">
        <v>63</v>
      </c>
      <c r="AF2093" s="4" t="s">
        <v>63</v>
      </c>
      <c r="AG2093" s="4" t="s">
        <v>63</v>
      </c>
      <c r="AH2093" s="4" t="s">
        <v>63</v>
      </c>
      <c r="AI2093" s="4" t="s">
        <v>63</v>
      </c>
      <c r="AJ2093" s="4" t="s">
        <v>63</v>
      </c>
      <c r="AK2093" s="4" t="s">
        <v>63</v>
      </c>
      <c r="AL2093" s="4" t="s">
        <v>63</v>
      </c>
      <c r="AM2093" s="4" t="s">
        <v>17886</v>
      </c>
      <c r="AN2093" s="4" t="s">
        <v>63</v>
      </c>
      <c r="AO2093" s="4" t="s">
        <v>63</v>
      </c>
      <c r="AP2093" s="4" t="s">
        <v>63</v>
      </c>
      <c r="AQ2093" s="4" t="s">
        <v>63</v>
      </c>
      <c r="AR2093" s="4" t="s">
        <v>63</v>
      </c>
      <c r="AS2093" s="4" t="s">
        <v>63</v>
      </c>
      <c r="AT2093" s="4" t="s">
        <v>63</v>
      </c>
      <c r="AU2093" s="4" t="s">
        <v>63</v>
      </c>
      <c r="AV2093" s="4" t="s">
        <v>63</v>
      </c>
      <c r="AW2093" s="4" t="s">
        <v>63</v>
      </c>
      <c r="AX2093" s="4" t="s">
        <v>63</v>
      </c>
      <c r="AY2093" s="4" t="s">
        <v>63</v>
      </c>
      <c r="AZ2093" s="4" t="s">
        <v>63</v>
      </c>
      <c r="BA2093" s="4" t="s">
        <v>63</v>
      </c>
      <c r="BB2093" s="4" t="s">
        <v>63</v>
      </c>
      <c r="BC2093" s="4" t="s">
        <v>63</v>
      </c>
      <c r="BD2093" s="4" t="s">
        <v>63</v>
      </c>
      <c r="BE2093" s="4" t="s">
        <v>63</v>
      </c>
      <c r="BF2093" s="4" t="s">
        <v>63</v>
      </c>
    </row>
    <row r="2094" spans="1:58">
      <c r="A2094" s="4" t="s">
        <v>58</v>
      </c>
      <c r="B2094" s="4" t="s">
        <v>17892</v>
      </c>
      <c r="C2094" s="4" t="s">
        <v>17893</v>
      </c>
      <c r="D2094" s="4" t="s">
        <v>17894</v>
      </c>
      <c r="E2094" s="4" t="s">
        <v>17895</v>
      </c>
      <c r="F2094" s="4">
        <v>2017</v>
      </c>
      <c r="G2094" s="4">
        <v>1</v>
      </c>
      <c r="H2094" s="4">
        <v>56</v>
      </c>
      <c r="I2094" s="4">
        <v>10</v>
      </c>
      <c r="J2094" s="4" t="s">
        <v>15202</v>
      </c>
      <c r="K2094" s="4" t="s">
        <v>63</v>
      </c>
      <c r="L2094" s="4" t="s">
        <v>17896</v>
      </c>
      <c r="M2094" s="4" t="s">
        <v>17897</v>
      </c>
      <c r="N2094" s="4" t="s">
        <v>17898</v>
      </c>
      <c r="O2094" s="4" t="s">
        <v>63</v>
      </c>
      <c r="P2094" s="4"/>
      <c r="Q2094" s="4" t="s">
        <v>63</v>
      </c>
      <c r="R2094" s="4" t="s">
        <v>63</v>
      </c>
      <c r="S2094" s="4" t="s">
        <v>63</v>
      </c>
      <c r="T2094" s="4" t="s">
        <v>63</v>
      </c>
      <c r="U2094" s="4"/>
      <c r="V2094" s="4"/>
      <c r="W2094" s="4"/>
      <c r="X2094" s="4" t="s">
        <v>63</v>
      </c>
      <c r="Y2094" s="4" t="s">
        <v>17899</v>
      </c>
      <c r="Z2094" s="4" t="s">
        <v>63</v>
      </c>
      <c r="AA2094" s="4" t="s">
        <v>63</v>
      </c>
      <c r="AB2094" s="4" t="s">
        <v>63</v>
      </c>
      <c r="AC2094" s="4" t="s">
        <v>67</v>
      </c>
      <c r="AD2094" s="4" t="s">
        <v>63</v>
      </c>
      <c r="AE2094" s="4" t="s">
        <v>63</v>
      </c>
      <c r="AF2094" s="4" t="s">
        <v>63</v>
      </c>
      <c r="AG2094" s="4" t="s">
        <v>63</v>
      </c>
      <c r="AH2094" s="4" t="s">
        <v>63</v>
      </c>
      <c r="AI2094" s="4" t="s">
        <v>17900</v>
      </c>
      <c r="AJ2094" s="4" t="s">
        <v>63</v>
      </c>
      <c r="AK2094" s="4" t="s">
        <v>63</v>
      </c>
      <c r="AL2094" s="4" t="s">
        <v>63</v>
      </c>
      <c r="AM2094" s="4" t="s">
        <v>17893</v>
      </c>
      <c r="AN2094" s="4" t="s">
        <v>63</v>
      </c>
      <c r="AO2094" s="4" t="s">
        <v>63</v>
      </c>
      <c r="AP2094" s="4" t="s">
        <v>63</v>
      </c>
      <c r="AQ2094" s="4" t="s">
        <v>63</v>
      </c>
      <c r="AR2094" s="4" t="s">
        <v>63</v>
      </c>
      <c r="AS2094" s="4" t="s">
        <v>63</v>
      </c>
      <c r="AT2094" s="4" t="s">
        <v>63</v>
      </c>
      <c r="AU2094" s="4" t="s">
        <v>63</v>
      </c>
      <c r="AV2094" s="4" t="s">
        <v>63</v>
      </c>
      <c r="AW2094" s="4" t="s">
        <v>63</v>
      </c>
      <c r="AX2094" s="4" t="s">
        <v>63</v>
      </c>
      <c r="AY2094" s="4" t="s">
        <v>63</v>
      </c>
      <c r="AZ2094" s="4" t="s">
        <v>63</v>
      </c>
      <c r="BA2094" s="4" t="s">
        <v>63</v>
      </c>
      <c r="BB2094" s="4" t="s">
        <v>63</v>
      </c>
      <c r="BC2094" s="4" t="s">
        <v>63</v>
      </c>
      <c r="BD2094" s="4" t="s">
        <v>63</v>
      </c>
      <c r="BE2094" s="4" t="s">
        <v>63</v>
      </c>
      <c r="BF2094" s="4" t="s">
        <v>63</v>
      </c>
    </row>
    <row r="2095" spans="1:58">
      <c r="A2095" s="4" t="s">
        <v>58</v>
      </c>
      <c r="B2095" s="4" t="s">
        <v>17901</v>
      </c>
      <c r="C2095" s="4" t="s">
        <v>17902</v>
      </c>
      <c r="D2095" s="4" t="s">
        <v>938</v>
      </c>
      <c r="E2095" s="4" t="s">
        <v>63</v>
      </c>
      <c r="F2095" s="4">
        <v>2014</v>
      </c>
      <c r="G2095" s="4" t="s">
        <v>17066</v>
      </c>
      <c r="H2095" s="4">
        <v>23</v>
      </c>
      <c r="I2095" s="4">
        <v>3</v>
      </c>
      <c r="J2095" s="4">
        <v>197</v>
      </c>
      <c r="K2095" s="4">
        <v>204</v>
      </c>
      <c r="L2095" s="4" t="s">
        <v>17903</v>
      </c>
      <c r="M2095" s="4" t="s">
        <v>17904</v>
      </c>
      <c r="N2095" s="4" t="s">
        <v>17905</v>
      </c>
      <c r="O2095" s="4" t="s">
        <v>63</v>
      </c>
      <c r="P2095" s="4"/>
      <c r="Q2095" s="4" t="s">
        <v>63</v>
      </c>
      <c r="R2095" s="4" t="s">
        <v>63</v>
      </c>
      <c r="S2095" s="4" t="s">
        <v>63</v>
      </c>
      <c r="T2095" s="4" t="s">
        <v>63</v>
      </c>
      <c r="U2095" s="4"/>
      <c r="V2095" s="4"/>
      <c r="W2095" s="4"/>
      <c r="X2095" s="4" t="s">
        <v>63</v>
      </c>
      <c r="Y2095" s="4" t="s">
        <v>17906</v>
      </c>
      <c r="Z2095" s="4" t="s">
        <v>63</v>
      </c>
      <c r="AA2095" s="4" t="s">
        <v>63</v>
      </c>
      <c r="AB2095" s="4">
        <v>2014267447</v>
      </c>
      <c r="AC2095" s="4" t="s">
        <v>67</v>
      </c>
      <c r="AD2095" s="4" t="s">
        <v>63</v>
      </c>
      <c r="AE2095" s="4" t="s">
        <v>63</v>
      </c>
      <c r="AF2095" s="4" t="s">
        <v>63</v>
      </c>
      <c r="AG2095" s="4" t="s">
        <v>17907</v>
      </c>
      <c r="AH2095" s="4" t="s">
        <v>63</v>
      </c>
      <c r="AI2095" s="4" t="s">
        <v>17908</v>
      </c>
      <c r="AJ2095" s="4" t="s">
        <v>63</v>
      </c>
      <c r="AK2095" s="4" t="s">
        <v>63</v>
      </c>
      <c r="AL2095" s="4" t="s">
        <v>63</v>
      </c>
      <c r="AM2095" s="4" t="s">
        <v>17909</v>
      </c>
      <c r="AN2095" s="4" t="s">
        <v>63</v>
      </c>
      <c r="AO2095" s="4" t="s">
        <v>63</v>
      </c>
      <c r="AP2095" s="4" t="s">
        <v>63</v>
      </c>
      <c r="AQ2095" s="4" t="s">
        <v>63</v>
      </c>
      <c r="AR2095" s="4" t="s">
        <v>63</v>
      </c>
      <c r="AS2095" s="4" t="s">
        <v>63</v>
      </c>
      <c r="AT2095" s="4" t="s">
        <v>63</v>
      </c>
      <c r="AU2095" s="4" t="s">
        <v>63</v>
      </c>
      <c r="AV2095" s="4" t="s">
        <v>63</v>
      </c>
      <c r="AW2095" s="4" t="s">
        <v>63</v>
      </c>
      <c r="AX2095" s="4" t="s">
        <v>63</v>
      </c>
      <c r="AY2095" s="4" t="s">
        <v>63</v>
      </c>
      <c r="AZ2095" s="4" t="s">
        <v>63</v>
      </c>
      <c r="BA2095" s="4" t="s">
        <v>63</v>
      </c>
      <c r="BB2095" s="4" t="s">
        <v>63</v>
      </c>
      <c r="BC2095" s="4" t="s">
        <v>63</v>
      </c>
      <c r="BD2095" s="4" t="s">
        <v>63</v>
      </c>
      <c r="BE2095" s="4" t="s">
        <v>63</v>
      </c>
      <c r="BF2095" s="4" t="s">
        <v>63</v>
      </c>
    </row>
    <row r="2096" spans="1:58">
      <c r="A2096" s="4" t="s">
        <v>58</v>
      </c>
      <c r="B2096" s="4" t="s">
        <v>17910</v>
      </c>
      <c r="C2096" s="4" t="s">
        <v>17911</v>
      </c>
      <c r="D2096" s="4" t="s">
        <v>15263</v>
      </c>
      <c r="E2096" s="4" t="s">
        <v>15264</v>
      </c>
      <c r="F2096" s="4">
        <v>2015</v>
      </c>
      <c r="G2096" s="4">
        <v>1</v>
      </c>
      <c r="H2096" s="4">
        <v>156</v>
      </c>
      <c r="I2096" s="4" t="s">
        <v>63</v>
      </c>
      <c r="J2096" s="4" t="s">
        <v>17912</v>
      </c>
      <c r="K2096" s="4" t="s">
        <v>17913</v>
      </c>
      <c r="L2096" s="4" t="s">
        <v>17914</v>
      </c>
      <c r="M2096" s="4" t="s">
        <v>17915</v>
      </c>
      <c r="N2096" s="4" t="s">
        <v>17916</v>
      </c>
      <c r="O2096" s="4" t="s">
        <v>63</v>
      </c>
      <c r="P2096" s="4"/>
      <c r="Q2096" s="4" t="s">
        <v>63</v>
      </c>
      <c r="R2096" s="4" t="s">
        <v>63</v>
      </c>
      <c r="S2096" s="4" t="s">
        <v>63</v>
      </c>
      <c r="T2096" s="4" t="s">
        <v>63</v>
      </c>
      <c r="U2096" s="4"/>
      <c r="V2096" s="4"/>
      <c r="W2096" s="4"/>
      <c r="X2096" s="4" t="s">
        <v>63</v>
      </c>
      <c r="Y2096" s="4" t="s">
        <v>4942</v>
      </c>
      <c r="Z2096" s="4" t="s">
        <v>63</v>
      </c>
      <c r="AA2096" s="4" t="s">
        <v>63</v>
      </c>
      <c r="AB2096" s="4" t="s">
        <v>63</v>
      </c>
      <c r="AC2096" s="4" t="s">
        <v>67</v>
      </c>
      <c r="AD2096" s="4" t="s">
        <v>63</v>
      </c>
      <c r="AE2096" s="4" t="s">
        <v>63</v>
      </c>
      <c r="AF2096" s="4" t="s">
        <v>63</v>
      </c>
      <c r="AG2096" s="4" t="s">
        <v>63</v>
      </c>
      <c r="AH2096" s="4" t="s">
        <v>63</v>
      </c>
      <c r="AI2096" s="4" t="s">
        <v>17917</v>
      </c>
      <c r="AJ2096" s="4" t="s">
        <v>63</v>
      </c>
      <c r="AK2096" s="4" t="s">
        <v>63</v>
      </c>
      <c r="AL2096" s="4" t="s">
        <v>63</v>
      </c>
      <c r="AM2096" s="4" t="s">
        <v>17911</v>
      </c>
      <c r="AN2096" s="4" t="s">
        <v>63</v>
      </c>
      <c r="AO2096" s="4" t="s">
        <v>63</v>
      </c>
      <c r="AP2096" s="4" t="s">
        <v>63</v>
      </c>
      <c r="AQ2096" s="4" t="s">
        <v>63</v>
      </c>
      <c r="AR2096" s="4" t="s">
        <v>63</v>
      </c>
      <c r="AS2096" s="4" t="s">
        <v>63</v>
      </c>
      <c r="AT2096" s="4" t="s">
        <v>63</v>
      </c>
      <c r="AU2096" s="4" t="s">
        <v>63</v>
      </c>
      <c r="AV2096" s="4" t="s">
        <v>63</v>
      </c>
      <c r="AW2096" s="4" t="s">
        <v>63</v>
      </c>
      <c r="AX2096" s="4" t="s">
        <v>63</v>
      </c>
      <c r="AY2096" s="4" t="s">
        <v>63</v>
      </c>
      <c r="AZ2096" s="4" t="s">
        <v>63</v>
      </c>
      <c r="BA2096" s="4" t="s">
        <v>63</v>
      </c>
      <c r="BB2096" s="4" t="s">
        <v>63</v>
      </c>
      <c r="BC2096" s="4" t="s">
        <v>63</v>
      </c>
      <c r="BD2096" s="4" t="s">
        <v>63</v>
      </c>
      <c r="BE2096" s="4" t="s">
        <v>63</v>
      </c>
      <c r="BF2096" s="4" t="s">
        <v>63</v>
      </c>
    </row>
    <row r="2097" spans="1:58">
      <c r="A2097" s="4" t="s">
        <v>58</v>
      </c>
      <c r="B2097" s="4" t="s">
        <v>17918</v>
      </c>
      <c r="C2097" s="4" t="s">
        <v>17919</v>
      </c>
      <c r="D2097" s="4" t="s">
        <v>15263</v>
      </c>
      <c r="E2097" s="4" t="s">
        <v>15264</v>
      </c>
      <c r="F2097" s="4">
        <v>2015</v>
      </c>
      <c r="G2097" s="4">
        <v>1</v>
      </c>
      <c r="H2097" s="4">
        <v>146</v>
      </c>
      <c r="I2097" s="4" t="s">
        <v>63</v>
      </c>
      <c r="J2097" s="4" t="s">
        <v>17920</v>
      </c>
      <c r="K2097" s="4" t="s">
        <v>17921</v>
      </c>
      <c r="L2097" s="4" t="s">
        <v>17922</v>
      </c>
      <c r="M2097" s="4" t="s">
        <v>17923</v>
      </c>
      <c r="N2097" s="4" t="s">
        <v>17924</v>
      </c>
      <c r="O2097" s="4" t="s">
        <v>63</v>
      </c>
      <c r="P2097" s="4"/>
      <c r="Q2097" s="4" t="s">
        <v>63</v>
      </c>
      <c r="R2097" s="4" t="s">
        <v>63</v>
      </c>
      <c r="S2097" s="4" t="s">
        <v>63</v>
      </c>
      <c r="T2097" s="4" t="s">
        <v>63</v>
      </c>
      <c r="U2097" s="4"/>
      <c r="V2097" s="4"/>
      <c r="W2097" s="4"/>
      <c r="X2097" s="4" t="s">
        <v>63</v>
      </c>
      <c r="Y2097" s="4" t="s">
        <v>4942</v>
      </c>
      <c r="Z2097" s="4" t="s">
        <v>63</v>
      </c>
      <c r="AA2097" s="4" t="s">
        <v>63</v>
      </c>
      <c r="AB2097" s="4" t="s">
        <v>63</v>
      </c>
      <c r="AC2097" s="4" t="s">
        <v>67</v>
      </c>
      <c r="AD2097" s="4" t="s">
        <v>63</v>
      </c>
      <c r="AE2097" s="4" t="s">
        <v>63</v>
      </c>
      <c r="AF2097" s="4" t="s">
        <v>63</v>
      </c>
      <c r="AG2097" s="4" t="s">
        <v>63</v>
      </c>
      <c r="AH2097" s="4" t="s">
        <v>63</v>
      </c>
      <c r="AI2097" s="4" t="s">
        <v>17925</v>
      </c>
      <c r="AJ2097" s="4" t="s">
        <v>63</v>
      </c>
      <c r="AK2097" s="4" t="s">
        <v>63</v>
      </c>
      <c r="AL2097" s="4" t="s">
        <v>63</v>
      </c>
      <c r="AM2097" s="4" t="s">
        <v>17919</v>
      </c>
      <c r="AN2097" s="4" t="s">
        <v>63</v>
      </c>
      <c r="AO2097" s="4" t="s">
        <v>63</v>
      </c>
      <c r="AP2097" s="4" t="s">
        <v>63</v>
      </c>
      <c r="AQ2097" s="4" t="s">
        <v>63</v>
      </c>
      <c r="AR2097" s="4" t="s">
        <v>63</v>
      </c>
      <c r="AS2097" s="4" t="s">
        <v>63</v>
      </c>
      <c r="AT2097" s="4" t="s">
        <v>63</v>
      </c>
      <c r="AU2097" s="4" t="s">
        <v>63</v>
      </c>
      <c r="AV2097" s="4" t="s">
        <v>63</v>
      </c>
      <c r="AW2097" s="4" t="s">
        <v>63</v>
      </c>
      <c r="AX2097" s="4" t="s">
        <v>63</v>
      </c>
      <c r="AY2097" s="4" t="s">
        <v>63</v>
      </c>
      <c r="AZ2097" s="4" t="s">
        <v>63</v>
      </c>
      <c r="BA2097" s="4" t="s">
        <v>63</v>
      </c>
      <c r="BB2097" s="4" t="s">
        <v>63</v>
      </c>
      <c r="BC2097" s="4" t="s">
        <v>63</v>
      </c>
      <c r="BD2097" s="4" t="s">
        <v>63</v>
      </c>
      <c r="BE2097" s="4" t="s">
        <v>63</v>
      </c>
      <c r="BF2097" s="4" t="s">
        <v>63</v>
      </c>
    </row>
    <row r="2098" spans="1:58">
      <c r="A2098" s="4" t="s">
        <v>58</v>
      </c>
      <c r="B2098" s="4" t="s">
        <v>17926</v>
      </c>
      <c r="C2098" s="4" t="s">
        <v>17927</v>
      </c>
      <c r="D2098" s="4" t="s">
        <v>5521</v>
      </c>
      <c r="E2098" s="4" t="s">
        <v>63</v>
      </c>
      <c r="F2098" s="4">
        <v>2017</v>
      </c>
      <c r="G2098" s="4">
        <v>1</v>
      </c>
      <c r="H2098" s="4">
        <v>17</v>
      </c>
      <c r="I2098" s="4">
        <v>5</v>
      </c>
      <c r="J2098" s="4">
        <v>625</v>
      </c>
      <c r="K2098" s="4">
        <v>632</v>
      </c>
      <c r="L2098" s="4" t="s">
        <v>17928</v>
      </c>
      <c r="M2098" s="4" t="s">
        <v>17929</v>
      </c>
      <c r="N2098" s="4" t="s">
        <v>17930</v>
      </c>
      <c r="O2098" s="4" t="s">
        <v>63</v>
      </c>
      <c r="P2098" s="4"/>
      <c r="Q2098" s="4" t="s">
        <v>63</v>
      </c>
      <c r="R2098" s="4" t="s">
        <v>63</v>
      </c>
      <c r="S2098" s="4" t="s">
        <v>63</v>
      </c>
      <c r="T2098" s="4" t="s">
        <v>63</v>
      </c>
      <c r="U2098" s="4"/>
      <c r="V2098" s="4"/>
      <c r="W2098" s="4"/>
      <c r="X2098" s="4" t="s">
        <v>63</v>
      </c>
      <c r="Y2098" s="4" t="s">
        <v>17931</v>
      </c>
      <c r="Z2098" s="4" t="s">
        <v>63</v>
      </c>
      <c r="AA2098" s="4" t="s">
        <v>63</v>
      </c>
      <c r="AB2098" s="4">
        <v>20160751187</v>
      </c>
      <c r="AC2098" s="4" t="s">
        <v>67</v>
      </c>
      <c r="AD2098" s="4" t="s">
        <v>63</v>
      </c>
      <c r="AE2098" s="4" t="s">
        <v>63</v>
      </c>
      <c r="AF2098" s="4" t="s">
        <v>63</v>
      </c>
      <c r="AG2098" s="4" t="s">
        <v>17932</v>
      </c>
      <c r="AH2098" s="4" t="s">
        <v>63</v>
      </c>
      <c r="AI2098" s="4" t="s">
        <v>17933</v>
      </c>
      <c r="AJ2098" s="4" t="s">
        <v>63</v>
      </c>
      <c r="AK2098" s="4" t="s">
        <v>63</v>
      </c>
      <c r="AL2098" s="4" t="s">
        <v>63</v>
      </c>
      <c r="AM2098" s="4" t="s">
        <v>17934</v>
      </c>
      <c r="AN2098" s="4" t="s">
        <v>63</v>
      </c>
      <c r="AO2098" s="4" t="s">
        <v>63</v>
      </c>
      <c r="AP2098" s="4" t="s">
        <v>63</v>
      </c>
      <c r="AQ2098" s="4" t="s">
        <v>63</v>
      </c>
      <c r="AR2098" s="4" t="s">
        <v>63</v>
      </c>
      <c r="AS2098" s="4" t="s">
        <v>63</v>
      </c>
      <c r="AT2098" s="4" t="s">
        <v>63</v>
      </c>
      <c r="AU2098" s="4" t="s">
        <v>63</v>
      </c>
      <c r="AV2098" s="4" t="s">
        <v>63</v>
      </c>
      <c r="AW2098" s="4" t="s">
        <v>63</v>
      </c>
      <c r="AX2098" s="4" t="s">
        <v>63</v>
      </c>
      <c r="AY2098" s="4" t="s">
        <v>63</v>
      </c>
      <c r="AZ2098" s="4" t="s">
        <v>63</v>
      </c>
      <c r="BA2098" s="4" t="s">
        <v>63</v>
      </c>
      <c r="BB2098" s="4" t="s">
        <v>63</v>
      </c>
      <c r="BC2098" s="4" t="s">
        <v>63</v>
      </c>
      <c r="BD2098" s="4" t="s">
        <v>63</v>
      </c>
      <c r="BE2098" s="4" t="s">
        <v>63</v>
      </c>
      <c r="BF2098" s="4" t="s">
        <v>63</v>
      </c>
    </row>
    <row r="2099" spans="1:58">
      <c r="A2099" s="4" t="s">
        <v>58</v>
      </c>
      <c r="B2099" s="4" t="s">
        <v>17935</v>
      </c>
      <c r="C2099" s="4" t="s">
        <v>17936</v>
      </c>
      <c r="D2099" s="4" t="s">
        <v>17937</v>
      </c>
      <c r="E2099" s="4" t="s">
        <v>63</v>
      </c>
      <c r="F2099" s="4">
        <v>2014</v>
      </c>
      <c r="G2099" s="4" t="s">
        <v>63</v>
      </c>
      <c r="H2099" s="4">
        <v>20</v>
      </c>
      <c r="I2099" s="4">
        <v>3</v>
      </c>
      <c r="J2099" s="4">
        <v>116</v>
      </c>
      <c r="K2099" s="4" t="s">
        <v>63</v>
      </c>
      <c r="L2099" s="4" t="s">
        <v>17938</v>
      </c>
      <c r="M2099" s="4" t="s">
        <v>17939</v>
      </c>
      <c r="N2099" s="4" t="s">
        <v>17940</v>
      </c>
      <c r="O2099" s="4" t="s">
        <v>63</v>
      </c>
      <c r="P2099" s="4"/>
      <c r="Q2099" s="4" t="s">
        <v>63</v>
      </c>
      <c r="R2099" s="4" t="s">
        <v>63</v>
      </c>
      <c r="S2099" s="4" t="s">
        <v>63</v>
      </c>
      <c r="T2099" s="4" t="s">
        <v>63</v>
      </c>
      <c r="U2099" s="4"/>
      <c r="V2099" s="4"/>
      <c r="W2099" s="4"/>
      <c r="X2099" s="4" t="s">
        <v>63</v>
      </c>
      <c r="Y2099" s="4" t="s">
        <v>17941</v>
      </c>
      <c r="Z2099" s="4" t="s">
        <v>63</v>
      </c>
      <c r="AA2099" s="4" t="s">
        <v>63</v>
      </c>
      <c r="AB2099" s="4" t="s">
        <v>63</v>
      </c>
      <c r="AC2099" s="4" t="s">
        <v>67</v>
      </c>
      <c r="AD2099" s="4" t="s">
        <v>63</v>
      </c>
      <c r="AE2099" s="4" t="s">
        <v>63</v>
      </c>
      <c r="AF2099" s="4" t="s">
        <v>63</v>
      </c>
      <c r="AG2099" s="4" t="s">
        <v>63</v>
      </c>
      <c r="AH2099" s="4" t="s">
        <v>63</v>
      </c>
      <c r="AI2099" s="4" t="s">
        <v>17942</v>
      </c>
      <c r="AJ2099" s="4" t="s">
        <v>63</v>
      </c>
      <c r="AK2099" s="4" t="s">
        <v>63</v>
      </c>
      <c r="AL2099" s="4" t="s">
        <v>63</v>
      </c>
      <c r="AM2099" s="4" t="s">
        <v>17936</v>
      </c>
      <c r="AN2099" s="4" t="s">
        <v>63</v>
      </c>
      <c r="AO2099" s="4" t="s">
        <v>63</v>
      </c>
      <c r="AP2099" s="4" t="s">
        <v>63</v>
      </c>
      <c r="AQ2099" s="4" t="s">
        <v>63</v>
      </c>
      <c r="AR2099" s="4" t="s">
        <v>63</v>
      </c>
      <c r="AS2099" s="4" t="s">
        <v>63</v>
      </c>
      <c r="AT2099" s="4" t="s">
        <v>63</v>
      </c>
      <c r="AU2099" s="4" t="s">
        <v>63</v>
      </c>
      <c r="AV2099" s="4" t="s">
        <v>63</v>
      </c>
      <c r="AW2099" s="4" t="s">
        <v>63</v>
      </c>
      <c r="AX2099" s="4" t="s">
        <v>63</v>
      </c>
      <c r="AY2099" s="4" t="s">
        <v>63</v>
      </c>
      <c r="AZ2099" s="4" t="s">
        <v>63</v>
      </c>
      <c r="BA2099" s="4" t="s">
        <v>63</v>
      </c>
      <c r="BB2099" s="4" t="s">
        <v>63</v>
      </c>
      <c r="BC2099" s="4" t="s">
        <v>63</v>
      </c>
      <c r="BD2099" s="4" t="s">
        <v>63</v>
      </c>
      <c r="BE2099" s="4" t="s">
        <v>63</v>
      </c>
      <c r="BF2099" s="4" t="s">
        <v>63</v>
      </c>
    </row>
    <row r="2100" spans="1:58">
      <c r="A2100" s="4" t="s">
        <v>58</v>
      </c>
      <c r="B2100" s="4" t="s">
        <v>17943</v>
      </c>
      <c r="C2100" s="4" t="s">
        <v>17944</v>
      </c>
      <c r="D2100" s="4" t="s">
        <v>15713</v>
      </c>
      <c r="E2100" s="4" t="s">
        <v>15714</v>
      </c>
      <c r="F2100" s="4">
        <v>2000</v>
      </c>
      <c r="G2100" s="4" t="s">
        <v>63</v>
      </c>
      <c r="H2100" s="4">
        <v>5</v>
      </c>
      <c r="I2100" s="4">
        <v>3</v>
      </c>
      <c r="J2100" s="4">
        <v>227</v>
      </c>
      <c r="K2100" s="4">
        <v>233</v>
      </c>
      <c r="L2100" s="4" t="s">
        <v>17945</v>
      </c>
      <c r="M2100" s="4" t="s">
        <v>17946</v>
      </c>
      <c r="N2100" s="4" t="s">
        <v>17947</v>
      </c>
      <c r="O2100" s="4" t="s">
        <v>63</v>
      </c>
      <c r="P2100" s="4"/>
      <c r="Q2100" s="4" t="s">
        <v>63</v>
      </c>
      <c r="R2100" s="4" t="s">
        <v>63</v>
      </c>
      <c r="S2100" s="4" t="s">
        <v>63</v>
      </c>
      <c r="T2100" s="4" t="s">
        <v>63</v>
      </c>
      <c r="U2100" s="4"/>
      <c r="V2100" s="4"/>
      <c r="W2100" s="4"/>
      <c r="X2100" s="4" t="s">
        <v>63</v>
      </c>
      <c r="Y2100" s="4" t="s">
        <v>15718</v>
      </c>
      <c r="Z2100" s="4" t="s">
        <v>63</v>
      </c>
      <c r="AA2100" s="4" t="s">
        <v>63</v>
      </c>
      <c r="AB2100" s="4" t="s">
        <v>17948</v>
      </c>
      <c r="AC2100" s="4" t="s">
        <v>67</v>
      </c>
      <c r="AD2100" s="4" t="s">
        <v>63</v>
      </c>
      <c r="AE2100" s="4" t="s">
        <v>63</v>
      </c>
      <c r="AF2100" s="4" t="s">
        <v>63</v>
      </c>
      <c r="AG2100" s="4" t="s">
        <v>63</v>
      </c>
      <c r="AH2100" s="4" t="s">
        <v>63</v>
      </c>
      <c r="AI2100" s="4" t="s">
        <v>63</v>
      </c>
      <c r="AJ2100" s="4" t="s">
        <v>63</v>
      </c>
      <c r="AK2100" s="4" t="s">
        <v>63</v>
      </c>
      <c r="AL2100" s="4" t="s">
        <v>63</v>
      </c>
      <c r="AM2100" s="4" t="s">
        <v>17944</v>
      </c>
      <c r="AN2100" s="4" t="s">
        <v>63</v>
      </c>
      <c r="AO2100" s="4" t="s">
        <v>63</v>
      </c>
      <c r="AP2100" s="4" t="s">
        <v>63</v>
      </c>
      <c r="AQ2100" s="4" t="s">
        <v>63</v>
      </c>
      <c r="AR2100" s="4" t="s">
        <v>63</v>
      </c>
      <c r="AS2100" s="4" t="s">
        <v>63</v>
      </c>
      <c r="AT2100" s="4" t="s">
        <v>63</v>
      </c>
      <c r="AU2100" s="4" t="s">
        <v>63</v>
      </c>
      <c r="AV2100" s="4" t="s">
        <v>63</v>
      </c>
      <c r="AW2100" s="4" t="s">
        <v>63</v>
      </c>
      <c r="AX2100" s="4" t="s">
        <v>63</v>
      </c>
      <c r="AY2100" s="4" t="s">
        <v>63</v>
      </c>
      <c r="AZ2100" s="4" t="s">
        <v>63</v>
      </c>
      <c r="BA2100" s="4" t="s">
        <v>63</v>
      </c>
      <c r="BB2100" s="4" t="s">
        <v>63</v>
      </c>
      <c r="BC2100" s="4" t="s">
        <v>63</v>
      </c>
      <c r="BD2100" s="4" t="s">
        <v>63</v>
      </c>
      <c r="BE2100" s="4" t="s">
        <v>63</v>
      </c>
      <c r="BF2100" s="4" t="s">
        <v>63</v>
      </c>
    </row>
    <row r="2101" spans="1:58">
      <c r="A2101" s="4" t="s">
        <v>58</v>
      </c>
      <c r="B2101" s="4" t="s">
        <v>17949</v>
      </c>
      <c r="C2101" s="4" t="s">
        <v>17950</v>
      </c>
      <c r="D2101" s="4" t="s">
        <v>155</v>
      </c>
      <c r="E2101" s="4" t="s">
        <v>156</v>
      </c>
      <c r="F2101" s="4">
        <v>2017</v>
      </c>
      <c r="G2101" s="4">
        <v>1</v>
      </c>
      <c r="H2101" s="4">
        <v>70</v>
      </c>
      <c r="I2101" s="4">
        <v>4</v>
      </c>
      <c r="J2101" s="4" t="s">
        <v>15821</v>
      </c>
      <c r="K2101" s="4" t="s">
        <v>63</v>
      </c>
      <c r="L2101" s="4" t="s">
        <v>17951</v>
      </c>
      <c r="M2101" s="4" t="s">
        <v>17952</v>
      </c>
      <c r="N2101" s="4" t="s">
        <v>17953</v>
      </c>
      <c r="O2101" s="4" t="s">
        <v>63</v>
      </c>
      <c r="P2101" s="4"/>
      <c r="Q2101" s="4" t="s">
        <v>63</v>
      </c>
      <c r="R2101" s="4" t="s">
        <v>63</v>
      </c>
      <c r="S2101" s="4" t="s">
        <v>63</v>
      </c>
      <c r="T2101" s="4" t="s">
        <v>63</v>
      </c>
      <c r="U2101" s="4"/>
      <c r="V2101" s="4"/>
      <c r="W2101" s="4"/>
      <c r="X2101" s="4" t="s">
        <v>63</v>
      </c>
      <c r="Y2101" s="4" t="s">
        <v>2310</v>
      </c>
      <c r="Z2101" s="4" t="s">
        <v>63</v>
      </c>
      <c r="AA2101" s="4" t="s">
        <v>63</v>
      </c>
      <c r="AB2101" s="4" t="s">
        <v>63</v>
      </c>
      <c r="AC2101" s="4" t="s">
        <v>67</v>
      </c>
      <c r="AD2101" s="4" t="s">
        <v>63</v>
      </c>
      <c r="AE2101" s="4" t="s">
        <v>63</v>
      </c>
      <c r="AF2101" s="4" t="s">
        <v>63</v>
      </c>
      <c r="AG2101" s="4" t="s">
        <v>63</v>
      </c>
      <c r="AH2101" s="4" t="s">
        <v>63</v>
      </c>
      <c r="AI2101" s="4" t="s">
        <v>63</v>
      </c>
      <c r="AJ2101" s="4" t="s">
        <v>63</v>
      </c>
      <c r="AK2101" s="4" t="s">
        <v>63</v>
      </c>
      <c r="AL2101" s="4" t="s">
        <v>63</v>
      </c>
      <c r="AM2101" s="4" t="s">
        <v>17950</v>
      </c>
      <c r="AN2101" s="4" t="s">
        <v>63</v>
      </c>
      <c r="AO2101" s="4" t="s">
        <v>63</v>
      </c>
      <c r="AP2101" s="4" t="s">
        <v>63</v>
      </c>
      <c r="AQ2101" s="4" t="s">
        <v>63</v>
      </c>
      <c r="AR2101" s="4" t="s">
        <v>63</v>
      </c>
      <c r="AS2101" s="4" t="s">
        <v>63</v>
      </c>
      <c r="AT2101" s="4" t="s">
        <v>63</v>
      </c>
      <c r="AU2101" s="4" t="s">
        <v>63</v>
      </c>
      <c r="AV2101" s="4" t="s">
        <v>63</v>
      </c>
      <c r="AW2101" s="4" t="s">
        <v>63</v>
      </c>
      <c r="AX2101" s="4" t="s">
        <v>63</v>
      </c>
      <c r="AY2101" s="4" t="s">
        <v>63</v>
      </c>
      <c r="AZ2101" s="4" t="s">
        <v>63</v>
      </c>
      <c r="BA2101" s="4" t="s">
        <v>63</v>
      </c>
      <c r="BB2101" s="4" t="s">
        <v>63</v>
      </c>
      <c r="BC2101" s="4" t="s">
        <v>63</v>
      </c>
      <c r="BD2101" s="4" t="s">
        <v>63</v>
      </c>
      <c r="BE2101" s="4" t="s">
        <v>63</v>
      </c>
      <c r="BF2101" s="4" t="s">
        <v>63</v>
      </c>
    </row>
    <row r="2102" spans="1:58">
      <c r="A2102" s="4" t="s">
        <v>58</v>
      </c>
      <c r="B2102" s="4" t="s">
        <v>17954</v>
      </c>
      <c r="C2102" s="4" t="s">
        <v>17955</v>
      </c>
      <c r="D2102" s="4" t="s">
        <v>13457</v>
      </c>
      <c r="E2102" s="4" t="s">
        <v>63</v>
      </c>
      <c r="F2102" s="4">
        <v>2012</v>
      </c>
      <c r="G2102" s="4" t="s">
        <v>15665</v>
      </c>
      <c r="H2102" s="4" t="s">
        <v>17956</v>
      </c>
      <c r="I2102" s="4">
        <v>1</v>
      </c>
      <c r="J2102" s="4">
        <v>89</v>
      </c>
      <c r="K2102" s="4">
        <v>94</v>
      </c>
      <c r="L2102" s="4" t="s">
        <v>17957</v>
      </c>
      <c r="M2102" s="4" t="s">
        <v>17958</v>
      </c>
      <c r="N2102" s="4" t="s">
        <v>17959</v>
      </c>
      <c r="O2102" s="4" t="s">
        <v>63</v>
      </c>
      <c r="P2102" s="4"/>
      <c r="Q2102" s="4" t="s">
        <v>63</v>
      </c>
      <c r="R2102" s="4" t="s">
        <v>63</v>
      </c>
      <c r="S2102" s="4" t="s">
        <v>63</v>
      </c>
      <c r="T2102" s="4" t="s">
        <v>63</v>
      </c>
      <c r="U2102" s="4"/>
      <c r="V2102" s="4"/>
      <c r="W2102" s="4"/>
      <c r="X2102" s="4" t="s">
        <v>63</v>
      </c>
      <c r="Y2102" s="4" t="s">
        <v>17960</v>
      </c>
      <c r="Z2102" s="4" t="s">
        <v>63</v>
      </c>
      <c r="AA2102" s="4" t="s">
        <v>63</v>
      </c>
      <c r="AB2102" s="4" t="s">
        <v>17961</v>
      </c>
      <c r="AC2102" s="4" t="s">
        <v>67</v>
      </c>
      <c r="AD2102" s="4" t="s">
        <v>63</v>
      </c>
      <c r="AE2102" s="4" t="s">
        <v>63</v>
      </c>
      <c r="AF2102" s="4" t="s">
        <v>63</v>
      </c>
      <c r="AG2102" s="4" t="s">
        <v>63</v>
      </c>
      <c r="AH2102" s="4" t="s">
        <v>63</v>
      </c>
      <c r="AI2102" s="4" t="s">
        <v>17962</v>
      </c>
      <c r="AJ2102" s="4" t="s">
        <v>63</v>
      </c>
      <c r="AK2102" s="4" t="s">
        <v>63</v>
      </c>
      <c r="AL2102" s="4" t="s">
        <v>63</v>
      </c>
      <c r="AM2102" s="4" t="s">
        <v>17955</v>
      </c>
      <c r="AN2102" s="4" t="s">
        <v>63</v>
      </c>
      <c r="AO2102" s="4" t="s">
        <v>63</v>
      </c>
      <c r="AP2102" s="4" t="s">
        <v>63</v>
      </c>
      <c r="AQ2102" s="4" t="s">
        <v>63</v>
      </c>
      <c r="AR2102" s="4" t="s">
        <v>63</v>
      </c>
      <c r="AS2102" s="4" t="s">
        <v>63</v>
      </c>
      <c r="AT2102" s="4" t="s">
        <v>63</v>
      </c>
      <c r="AU2102" s="4" t="s">
        <v>63</v>
      </c>
      <c r="AV2102" s="4" t="s">
        <v>63</v>
      </c>
      <c r="AW2102" s="4" t="s">
        <v>63</v>
      </c>
      <c r="AX2102" s="4" t="s">
        <v>63</v>
      </c>
      <c r="AY2102" s="4" t="s">
        <v>63</v>
      </c>
      <c r="AZ2102" s="4" t="s">
        <v>63</v>
      </c>
      <c r="BA2102" s="4" t="s">
        <v>63</v>
      </c>
      <c r="BB2102" s="4" t="s">
        <v>63</v>
      </c>
      <c r="BC2102" s="4" t="s">
        <v>63</v>
      </c>
      <c r="BD2102" s="4" t="s">
        <v>63</v>
      </c>
      <c r="BE2102" s="4" t="s">
        <v>63</v>
      </c>
      <c r="BF2102" s="4" t="s">
        <v>63</v>
      </c>
    </row>
    <row r="2103" spans="1:58">
      <c r="A2103" s="4" t="s">
        <v>58</v>
      </c>
      <c r="B2103" s="4" t="s">
        <v>17963</v>
      </c>
      <c r="C2103" s="4" t="s">
        <v>17964</v>
      </c>
      <c r="D2103" s="4" t="s">
        <v>17965</v>
      </c>
      <c r="E2103" s="4" t="s">
        <v>17966</v>
      </c>
      <c r="F2103" s="4">
        <v>2010</v>
      </c>
      <c r="G2103" s="4" t="s">
        <v>15155</v>
      </c>
      <c r="H2103" s="4">
        <v>24</v>
      </c>
      <c r="I2103" s="4">
        <v>4</v>
      </c>
      <c r="J2103" s="4" t="s">
        <v>17967</v>
      </c>
      <c r="K2103" s="4" t="s">
        <v>63</v>
      </c>
      <c r="L2103" s="4" t="s">
        <v>17968</v>
      </c>
      <c r="M2103" s="4" t="s">
        <v>17969</v>
      </c>
      <c r="N2103" s="4" t="s">
        <v>17970</v>
      </c>
      <c r="O2103" s="4" t="s">
        <v>63</v>
      </c>
      <c r="P2103" s="4"/>
      <c r="Q2103" s="4" t="s">
        <v>63</v>
      </c>
      <c r="R2103" s="4" t="s">
        <v>63</v>
      </c>
      <c r="S2103" s="4" t="s">
        <v>63</v>
      </c>
      <c r="T2103" s="4" t="s">
        <v>63</v>
      </c>
      <c r="U2103" s="4"/>
      <c r="V2103" s="4"/>
      <c r="W2103" s="4"/>
      <c r="X2103" s="4" t="s">
        <v>63</v>
      </c>
      <c r="Y2103" s="4" t="s">
        <v>17971</v>
      </c>
      <c r="Z2103" s="4" t="s">
        <v>63</v>
      </c>
      <c r="AA2103" s="4" t="s">
        <v>63</v>
      </c>
      <c r="AB2103" s="4" t="s">
        <v>63</v>
      </c>
      <c r="AC2103" s="4" t="s">
        <v>67</v>
      </c>
      <c r="AD2103" s="4" t="s">
        <v>63</v>
      </c>
      <c r="AE2103" s="4" t="s">
        <v>63</v>
      </c>
      <c r="AF2103" s="4" t="s">
        <v>63</v>
      </c>
      <c r="AG2103" s="4" t="s">
        <v>63</v>
      </c>
      <c r="AH2103" s="4" t="s">
        <v>63</v>
      </c>
      <c r="AI2103" s="4" t="s">
        <v>17972</v>
      </c>
      <c r="AJ2103" s="4" t="s">
        <v>63</v>
      </c>
      <c r="AK2103" s="4" t="s">
        <v>63</v>
      </c>
      <c r="AL2103" s="4" t="s">
        <v>63</v>
      </c>
      <c r="AM2103" s="4" t="s">
        <v>17964</v>
      </c>
      <c r="AN2103" s="4" t="s">
        <v>63</v>
      </c>
      <c r="AO2103" s="4" t="s">
        <v>63</v>
      </c>
      <c r="AP2103" s="4" t="s">
        <v>63</v>
      </c>
      <c r="AQ2103" s="4" t="s">
        <v>63</v>
      </c>
      <c r="AR2103" s="4" t="s">
        <v>63</v>
      </c>
      <c r="AS2103" s="4" t="s">
        <v>63</v>
      </c>
      <c r="AT2103" s="4" t="s">
        <v>63</v>
      </c>
      <c r="AU2103" s="4" t="s">
        <v>63</v>
      </c>
      <c r="AV2103" s="4" t="s">
        <v>63</v>
      </c>
      <c r="AW2103" s="4" t="s">
        <v>63</v>
      </c>
      <c r="AX2103" s="4" t="s">
        <v>63</v>
      </c>
      <c r="AY2103" s="4" t="s">
        <v>63</v>
      </c>
      <c r="AZ2103" s="4" t="s">
        <v>63</v>
      </c>
      <c r="BA2103" s="4" t="s">
        <v>63</v>
      </c>
      <c r="BB2103" s="4" t="s">
        <v>63</v>
      </c>
      <c r="BC2103" s="4" t="s">
        <v>63</v>
      </c>
      <c r="BD2103" s="4" t="s">
        <v>63</v>
      </c>
      <c r="BE2103" s="4" t="s">
        <v>63</v>
      </c>
      <c r="BF2103" s="4" t="s">
        <v>63</v>
      </c>
    </row>
    <row r="2104" spans="1:58">
      <c r="A2104" s="4" t="s">
        <v>58</v>
      </c>
      <c r="B2104" s="4" t="s">
        <v>17973</v>
      </c>
      <c r="C2104" s="4" t="s">
        <v>17974</v>
      </c>
      <c r="D2104" s="4" t="s">
        <v>15421</v>
      </c>
      <c r="E2104" s="4" t="s">
        <v>63</v>
      </c>
      <c r="F2104" s="4">
        <v>2002</v>
      </c>
      <c r="G2104" s="4" t="s">
        <v>181</v>
      </c>
      <c r="H2104" s="4">
        <v>23</v>
      </c>
      <c r="I2104" s="4">
        <v>3</v>
      </c>
      <c r="J2104" s="4">
        <v>95</v>
      </c>
      <c r="K2104" s="4">
        <v>104</v>
      </c>
      <c r="L2104" s="4" t="s">
        <v>17975</v>
      </c>
      <c r="M2104" s="4" t="s">
        <v>63</v>
      </c>
      <c r="N2104" s="4" t="s">
        <v>17976</v>
      </c>
      <c r="O2104" s="4" t="s">
        <v>63</v>
      </c>
      <c r="P2104" s="4"/>
      <c r="Q2104" s="4" t="s">
        <v>63</v>
      </c>
      <c r="R2104" s="4" t="s">
        <v>63</v>
      </c>
      <c r="S2104" s="4" t="s">
        <v>63</v>
      </c>
      <c r="T2104" s="4" t="s">
        <v>63</v>
      </c>
      <c r="U2104" s="4"/>
      <c r="V2104" s="4"/>
      <c r="W2104" s="4"/>
      <c r="X2104" s="4" t="s">
        <v>63</v>
      </c>
      <c r="Y2104" s="4" t="s">
        <v>392</v>
      </c>
      <c r="Z2104" s="4" t="s">
        <v>63</v>
      </c>
      <c r="AA2104" s="4" t="s">
        <v>63</v>
      </c>
      <c r="AB2104" s="4" t="s">
        <v>63</v>
      </c>
      <c r="AC2104" s="4" t="s">
        <v>67</v>
      </c>
      <c r="AD2104" s="4" t="s">
        <v>63</v>
      </c>
      <c r="AE2104" s="4" t="s">
        <v>63</v>
      </c>
      <c r="AF2104" s="4" t="s">
        <v>63</v>
      </c>
      <c r="AG2104" s="4" t="s">
        <v>17977</v>
      </c>
      <c r="AH2104" s="4" t="s">
        <v>63</v>
      </c>
      <c r="AI2104" s="4" t="s">
        <v>63</v>
      </c>
      <c r="AJ2104" s="4" t="s">
        <v>63</v>
      </c>
      <c r="AK2104" s="4" t="s">
        <v>63</v>
      </c>
      <c r="AL2104" s="4" t="s">
        <v>63</v>
      </c>
      <c r="AM2104" s="4" t="s">
        <v>17978</v>
      </c>
      <c r="AN2104" s="4" t="s">
        <v>63</v>
      </c>
      <c r="AO2104" s="4" t="s">
        <v>63</v>
      </c>
      <c r="AP2104" s="4" t="s">
        <v>63</v>
      </c>
      <c r="AQ2104" s="4" t="s">
        <v>63</v>
      </c>
      <c r="AR2104" s="4" t="s">
        <v>63</v>
      </c>
      <c r="AS2104" s="4" t="s">
        <v>63</v>
      </c>
      <c r="AT2104" s="4" t="s">
        <v>63</v>
      </c>
      <c r="AU2104" s="4" t="s">
        <v>63</v>
      </c>
      <c r="AV2104" s="4" t="s">
        <v>63</v>
      </c>
      <c r="AW2104" s="4" t="s">
        <v>63</v>
      </c>
      <c r="AX2104" s="4" t="s">
        <v>63</v>
      </c>
      <c r="AY2104" s="4" t="s">
        <v>63</v>
      </c>
      <c r="AZ2104" s="4" t="s">
        <v>63</v>
      </c>
      <c r="BA2104" s="4" t="s">
        <v>63</v>
      </c>
      <c r="BB2104" s="4" t="s">
        <v>63</v>
      </c>
      <c r="BC2104" s="4" t="s">
        <v>63</v>
      </c>
      <c r="BD2104" s="4" t="s">
        <v>63</v>
      </c>
      <c r="BE2104" s="4" t="s">
        <v>63</v>
      </c>
      <c r="BF2104" s="4" t="s">
        <v>63</v>
      </c>
    </row>
    <row r="2105" spans="1:58">
      <c r="A2105" s="4" t="s">
        <v>58</v>
      </c>
      <c r="B2105" s="4" t="s">
        <v>17979</v>
      </c>
      <c r="C2105" s="4" t="s">
        <v>17980</v>
      </c>
      <c r="D2105" s="4" t="s">
        <v>17675</v>
      </c>
      <c r="E2105" s="4" t="s">
        <v>63</v>
      </c>
      <c r="F2105" s="4">
        <v>2009</v>
      </c>
      <c r="G2105" s="4" t="s">
        <v>16091</v>
      </c>
      <c r="H2105" s="4">
        <v>67</v>
      </c>
      <c r="I2105" s="4">
        <v>8</v>
      </c>
      <c r="J2105" s="4">
        <v>592</v>
      </c>
      <c r="K2105" s="4">
        <v>597</v>
      </c>
      <c r="L2105" s="4" t="s">
        <v>17981</v>
      </c>
      <c r="M2105" s="4" t="s">
        <v>17982</v>
      </c>
      <c r="N2105" s="4" t="s">
        <v>17983</v>
      </c>
      <c r="O2105" s="4" t="s">
        <v>63</v>
      </c>
      <c r="P2105" s="4"/>
      <c r="Q2105" s="4" t="s">
        <v>63</v>
      </c>
      <c r="R2105" s="4" t="s">
        <v>63</v>
      </c>
      <c r="S2105" s="4" t="s">
        <v>63</v>
      </c>
      <c r="T2105" s="4" t="s">
        <v>63</v>
      </c>
      <c r="U2105" s="4"/>
      <c r="V2105" s="4"/>
      <c r="W2105" s="4"/>
      <c r="X2105" s="4" t="s">
        <v>63</v>
      </c>
      <c r="Y2105" s="4" t="s">
        <v>17679</v>
      </c>
      <c r="Z2105" s="4" t="s">
        <v>63</v>
      </c>
      <c r="AA2105" s="4" t="s">
        <v>63</v>
      </c>
      <c r="AB2105" s="4" t="s">
        <v>17984</v>
      </c>
      <c r="AC2105" s="4" t="s">
        <v>17985</v>
      </c>
      <c r="AD2105" s="4" t="s">
        <v>63</v>
      </c>
      <c r="AE2105" s="4" t="s">
        <v>63</v>
      </c>
      <c r="AF2105" s="4" t="s">
        <v>63</v>
      </c>
      <c r="AG2105" s="4" t="s">
        <v>63</v>
      </c>
      <c r="AH2105" s="4" t="s">
        <v>63</v>
      </c>
      <c r="AI2105" s="4" t="s">
        <v>63</v>
      </c>
      <c r="AJ2105" s="4" t="s">
        <v>63</v>
      </c>
      <c r="AK2105" s="4" t="s">
        <v>63</v>
      </c>
      <c r="AL2105" s="4" t="s">
        <v>63</v>
      </c>
      <c r="AM2105" s="4" t="s">
        <v>17980</v>
      </c>
      <c r="AN2105" s="4" t="s">
        <v>63</v>
      </c>
      <c r="AO2105" s="4" t="s">
        <v>63</v>
      </c>
      <c r="AP2105" s="4" t="s">
        <v>63</v>
      </c>
      <c r="AQ2105" s="4" t="s">
        <v>63</v>
      </c>
      <c r="AR2105" s="4" t="s">
        <v>63</v>
      </c>
      <c r="AS2105" s="4" t="s">
        <v>63</v>
      </c>
      <c r="AT2105" s="4" t="s">
        <v>63</v>
      </c>
      <c r="AU2105" s="4" t="s">
        <v>63</v>
      </c>
      <c r="AV2105" s="4" t="s">
        <v>63</v>
      </c>
      <c r="AW2105" s="4" t="s">
        <v>63</v>
      </c>
      <c r="AX2105" s="4" t="s">
        <v>63</v>
      </c>
      <c r="AY2105" s="4" t="s">
        <v>63</v>
      </c>
      <c r="AZ2105" s="4" t="s">
        <v>63</v>
      </c>
      <c r="BA2105" s="4" t="s">
        <v>63</v>
      </c>
      <c r="BB2105" s="4" t="s">
        <v>63</v>
      </c>
      <c r="BC2105" s="4" t="s">
        <v>63</v>
      </c>
      <c r="BD2105" s="4" t="s">
        <v>63</v>
      </c>
      <c r="BE2105" s="4" t="s">
        <v>63</v>
      </c>
      <c r="BF2105" s="4" t="s">
        <v>63</v>
      </c>
    </row>
    <row r="2106" spans="1:58">
      <c r="A2106" s="4" t="s">
        <v>58</v>
      </c>
      <c r="B2106" s="4" t="s">
        <v>17986</v>
      </c>
      <c r="C2106" s="4" t="s">
        <v>17987</v>
      </c>
      <c r="D2106" s="4" t="s">
        <v>2759</v>
      </c>
      <c r="E2106" s="4" t="s">
        <v>2760</v>
      </c>
      <c r="F2106" s="4">
        <v>1978</v>
      </c>
      <c r="G2106" s="4" t="s">
        <v>63</v>
      </c>
      <c r="H2106" s="4">
        <v>128</v>
      </c>
      <c r="I2106" s="4">
        <v>1</v>
      </c>
      <c r="J2106" s="4">
        <v>85</v>
      </c>
      <c r="K2106" s="4">
        <v>88</v>
      </c>
      <c r="L2106" s="4" t="s">
        <v>17988</v>
      </c>
      <c r="M2106" s="4" t="s">
        <v>17989</v>
      </c>
      <c r="N2106" s="4" t="s">
        <v>17990</v>
      </c>
      <c r="O2106" s="4" t="s">
        <v>63</v>
      </c>
      <c r="P2106" s="4"/>
      <c r="Q2106" s="4" t="s">
        <v>63</v>
      </c>
      <c r="R2106" s="4" t="s">
        <v>63</v>
      </c>
      <c r="S2106" s="4" t="s">
        <v>63</v>
      </c>
      <c r="T2106" s="4" t="s">
        <v>63</v>
      </c>
      <c r="U2106" s="4"/>
      <c r="V2106" s="4"/>
      <c r="W2106" s="4"/>
      <c r="X2106" s="4" t="s">
        <v>63</v>
      </c>
      <c r="Y2106" s="4" t="s">
        <v>2763</v>
      </c>
      <c r="Z2106" s="4" t="s">
        <v>63</v>
      </c>
      <c r="AA2106" s="4" t="s">
        <v>63</v>
      </c>
      <c r="AB2106" s="4">
        <v>1978350339</v>
      </c>
      <c r="AC2106" s="4" t="s">
        <v>67</v>
      </c>
      <c r="AD2106" s="4" t="s">
        <v>63</v>
      </c>
      <c r="AE2106" s="4" t="s">
        <v>63</v>
      </c>
      <c r="AF2106" s="4" t="s">
        <v>63</v>
      </c>
      <c r="AG2106" s="4" t="s">
        <v>17991</v>
      </c>
      <c r="AH2106" s="4" t="s">
        <v>63</v>
      </c>
      <c r="AI2106" s="4" t="s">
        <v>63</v>
      </c>
      <c r="AJ2106" s="4" t="s">
        <v>63</v>
      </c>
      <c r="AK2106" s="4" t="s">
        <v>63</v>
      </c>
      <c r="AL2106" s="4" t="s">
        <v>63</v>
      </c>
      <c r="AM2106" s="4" t="s">
        <v>17992</v>
      </c>
      <c r="AN2106" s="4" t="s">
        <v>63</v>
      </c>
      <c r="AO2106" s="4" t="s">
        <v>63</v>
      </c>
      <c r="AP2106" s="4" t="s">
        <v>63</v>
      </c>
      <c r="AQ2106" s="4" t="s">
        <v>63</v>
      </c>
      <c r="AR2106" s="4" t="s">
        <v>63</v>
      </c>
      <c r="AS2106" s="4" t="s">
        <v>63</v>
      </c>
      <c r="AT2106" s="4" t="s">
        <v>63</v>
      </c>
      <c r="AU2106" s="4" t="s">
        <v>63</v>
      </c>
      <c r="AV2106" s="4" t="s">
        <v>63</v>
      </c>
      <c r="AW2106" s="4" t="s">
        <v>63</v>
      </c>
      <c r="AX2106" s="4" t="s">
        <v>63</v>
      </c>
      <c r="AY2106" s="4" t="s">
        <v>63</v>
      </c>
      <c r="AZ2106" s="4" t="s">
        <v>63</v>
      </c>
      <c r="BA2106" s="4" t="s">
        <v>63</v>
      </c>
      <c r="BB2106" s="4" t="s">
        <v>63</v>
      </c>
      <c r="BC2106" s="4" t="s">
        <v>63</v>
      </c>
      <c r="BD2106" s="4" t="s">
        <v>63</v>
      </c>
      <c r="BE2106" s="4" t="s">
        <v>63</v>
      </c>
      <c r="BF2106" s="4" t="s">
        <v>63</v>
      </c>
    </row>
    <row r="2107" spans="1:58">
      <c r="A2107" s="4" t="s">
        <v>58</v>
      </c>
      <c r="B2107" s="4" t="s">
        <v>17993</v>
      </c>
      <c r="C2107" s="4" t="s">
        <v>17994</v>
      </c>
      <c r="D2107" s="4" t="s">
        <v>6405</v>
      </c>
      <c r="E2107" s="4" t="s">
        <v>6406</v>
      </c>
      <c r="F2107" s="4">
        <v>2017</v>
      </c>
      <c r="G2107" s="4">
        <v>1</v>
      </c>
      <c r="H2107" s="4">
        <v>225</v>
      </c>
      <c r="I2107" s="4">
        <v>4</v>
      </c>
      <c r="J2107" s="4" t="s">
        <v>17995</v>
      </c>
      <c r="K2107" s="4" t="s">
        <v>17996</v>
      </c>
      <c r="L2107" s="4" t="s">
        <v>17997</v>
      </c>
      <c r="M2107" s="4" t="s">
        <v>17998</v>
      </c>
      <c r="N2107" s="4" t="s">
        <v>17999</v>
      </c>
      <c r="O2107" s="4" t="s">
        <v>63</v>
      </c>
      <c r="P2107" s="4"/>
      <c r="Q2107" s="4" t="s">
        <v>63</v>
      </c>
      <c r="R2107" s="4" t="s">
        <v>63</v>
      </c>
      <c r="S2107" s="4" t="s">
        <v>63</v>
      </c>
      <c r="T2107" s="4" t="s">
        <v>63</v>
      </c>
      <c r="U2107" s="4"/>
      <c r="V2107" s="4"/>
      <c r="W2107" s="4"/>
      <c r="X2107" s="4" t="s">
        <v>63</v>
      </c>
      <c r="Y2107" s="4" t="s">
        <v>8757</v>
      </c>
      <c r="Z2107" s="4" t="s">
        <v>63</v>
      </c>
      <c r="AA2107" s="4" t="s">
        <v>63</v>
      </c>
      <c r="AB2107" s="4" t="s">
        <v>63</v>
      </c>
      <c r="AC2107" s="4" t="s">
        <v>67</v>
      </c>
      <c r="AD2107" s="4" t="s">
        <v>63</v>
      </c>
      <c r="AE2107" s="4" t="s">
        <v>63</v>
      </c>
      <c r="AF2107" s="4" t="s">
        <v>63</v>
      </c>
      <c r="AG2107" s="4" t="s">
        <v>63</v>
      </c>
      <c r="AH2107" s="4" t="s">
        <v>63</v>
      </c>
      <c r="AI2107" s="4" t="s">
        <v>63</v>
      </c>
      <c r="AJ2107" s="4" t="s">
        <v>63</v>
      </c>
      <c r="AK2107" s="4" t="s">
        <v>63</v>
      </c>
      <c r="AL2107" s="4" t="s">
        <v>63</v>
      </c>
      <c r="AM2107" s="4" t="s">
        <v>17994</v>
      </c>
      <c r="AN2107" s="4" t="s">
        <v>63</v>
      </c>
      <c r="AO2107" s="4" t="s">
        <v>63</v>
      </c>
      <c r="AP2107" s="4" t="s">
        <v>63</v>
      </c>
      <c r="AQ2107" s="4" t="s">
        <v>63</v>
      </c>
      <c r="AR2107" s="4" t="s">
        <v>63</v>
      </c>
      <c r="AS2107" s="4" t="s">
        <v>63</v>
      </c>
      <c r="AT2107" s="4" t="s">
        <v>63</v>
      </c>
      <c r="AU2107" s="4" t="s">
        <v>63</v>
      </c>
      <c r="AV2107" s="4" t="s">
        <v>63</v>
      </c>
      <c r="AW2107" s="4" t="s">
        <v>63</v>
      </c>
      <c r="AX2107" s="4" t="s">
        <v>63</v>
      </c>
      <c r="AY2107" s="4" t="s">
        <v>63</v>
      </c>
      <c r="AZ2107" s="4" t="s">
        <v>63</v>
      </c>
      <c r="BA2107" s="4" t="s">
        <v>63</v>
      </c>
      <c r="BB2107" s="4" t="s">
        <v>63</v>
      </c>
      <c r="BC2107" s="4" t="s">
        <v>63</v>
      </c>
      <c r="BD2107" s="4" t="s">
        <v>63</v>
      </c>
      <c r="BE2107" s="4" t="s">
        <v>63</v>
      </c>
      <c r="BF2107" s="4" t="s">
        <v>63</v>
      </c>
    </row>
    <row r="2108" spans="1:58">
      <c r="A2108" s="4" t="s">
        <v>58</v>
      </c>
      <c r="B2108" s="4" t="s">
        <v>18000</v>
      </c>
      <c r="C2108" s="4" t="s">
        <v>18001</v>
      </c>
      <c r="D2108" s="4" t="s">
        <v>15290</v>
      </c>
      <c r="E2108" s="4" t="s">
        <v>63</v>
      </c>
      <c r="F2108" s="4">
        <v>1995</v>
      </c>
      <c r="G2108" s="4" t="s">
        <v>63</v>
      </c>
      <c r="H2108" s="4">
        <v>19</v>
      </c>
      <c r="I2108" s="4">
        <v>9</v>
      </c>
      <c r="J2108" s="4">
        <v>538</v>
      </c>
      <c r="K2108" s="4">
        <v>540</v>
      </c>
      <c r="L2108" s="4" t="s">
        <v>18002</v>
      </c>
      <c r="M2108" s="4" t="s">
        <v>18003</v>
      </c>
      <c r="N2108" s="4" t="s">
        <v>18004</v>
      </c>
      <c r="O2108" s="4" t="s">
        <v>63</v>
      </c>
      <c r="P2108" s="4"/>
      <c r="Q2108" s="4" t="s">
        <v>63</v>
      </c>
      <c r="R2108" s="4" t="s">
        <v>63</v>
      </c>
      <c r="S2108" s="4" t="s">
        <v>63</v>
      </c>
      <c r="T2108" s="4" t="s">
        <v>63</v>
      </c>
      <c r="U2108" s="4"/>
      <c r="V2108" s="4"/>
      <c r="W2108" s="4"/>
      <c r="X2108" s="4" t="s">
        <v>63</v>
      </c>
      <c r="Y2108" s="4" t="s">
        <v>15294</v>
      </c>
      <c r="Z2108" s="4" t="s">
        <v>63</v>
      </c>
      <c r="AA2108" s="4" t="s">
        <v>63</v>
      </c>
      <c r="AB2108" s="4" t="s">
        <v>18005</v>
      </c>
      <c r="AC2108" s="4" t="s">
        <v>67</v>
      </c>
      <c r="AD2108" s="4" t="s">
        <v>63</v>
      </c>
      <c r="AE2108" s="4" t="s">
        <v>63</v>
      </c>
      <c r="AF2108" s="4" t="s">
        <v>63</v>
      </c>
      <c r="AG2108" s="4" t="s">
        <v>63</v>
      </c>
      <c r="AH2108" s="4" t="s">
        <v>63</v>
      </c>
      <c r="AI2108" s="4" t="s">
        <v>63</v>
      </c>
      <c r="AJ2108" s="4" t="s">
        <v>63</v>
      </c>
      <c r="AK2108" s="4" t="s">
        <v>63</v>
      </c>
      <c r="AL2108" s="4" t="s">
        <v>63</v>
      </c>
      <c r="AM2108" s="4" t="s">
        <v>18001</v>
      </c>
      <c r="AN2108" s="4" t="s">
        <v>63</v>
      </c>
      <c r="AO2108" s="4" t="s">
        <v>63</v>
      </c>
      <c r="AP2108" s="4" t="s">
        <v>63</v>
      </c>
      <c r="AQ2108" s="4" t="s">
        <v>63</v>
      </c>
      <c r="AR2108" s="4" t="s">
        <v>63</v>
      </c>
      <c r="AS2108" s="4" t="s">
        <v>63</v>
      </c>
      <c r="AT2108" s="4" t="s">
        <v>63</v>
      </c>
      <c r="AU2108" s="4" t="s">
        <v>63</v>
      </c>
      <c r="AV2108" s="4" t="s">
        <v>63</v>
      </c>
      <c r="AW2108" s="4" t="s">
        <v>63</v>
      </c>
      <c r="AX2108" s="4" t="s">
        <v>63</v>
      </c>
      <c r="AY2108" s="4" t="s">
        <v>63</v>
      </c>
      <c r="AZ2108" s="4" t="s">
        <v>63</v>
      </c>
      <c r="BA2108" s="4" t="s">
        <v>63</v>
      </c>
      <c r="BB2108" s="4" t="s">
        <v>63</v>
      </c>
      <c r="BC2108" s="4" t="s">
        <v>63</v>
      </c>
      <c r="BD2108" s="4" t="s">
        <v>63</v>
      </c>
      <c r="BE2108" s="4" t="s">
        <v>63</v>
      </c>
      <c r="BF2108" s="4" t="s">
        <v>63</v>
      </c>
    </row>
    <row r="2109" spans="1:58">
      <c r="A2109" s="4" t="s">
        <v>58</v>
      </c>
      <c r="B2109" s="4" t="s">
        <v>18006</v>
      </c>
      <c r="C2109" s="4" t="s">
        <v>18007</v>
      </c>
      <c r="D2109" s="4" t="s">
        <v>18008</v>
      </c>
      <c r="E2109" s="4" t="s">
        <v>18009</v>
      </c>
      <c r="F2109" s="4">
        <v>2014</v>
      </c>
      <c r="G2109" s="4">
        <v>13</v>
      </c>
      <c r="H2109" s="4">
        <v>186</v>
      </c>
      <c r="I2109" s="4">
        <v>8</v>
      </c>
      <c r="J2109" s="4" t="s">
        <v>5795</v>
      </c>
      <c r="K2109" s="4" t="s">
        <v>18010</v>
      </c>
      <c r="L2109" s="4" t="s">
        <v>18011</v>
      </c>
      <c r="M2109" s="4" t="s">
        <v>18012</v>
      </c>
      <c r="N2109" s="4" t="s">
        <v>18013</v>
      </c>
      <c r="O2109" s="4" t="s">
        <v>63</v>
      </c>
      <c r="P2109" s="4"/>
      <c r="Q2109" s="4" t="s">
        <v>63</v>
      </c>
      <c r="R2109" s="4" t="s">
        <v>63</v>
      </c>
      <c r="S2109" s="4" t="s">
        <v>63</v>
      </c>
      <c r="T2109" s="4" t="s">
        <v>63</v>
      </c>
      <c r="U2109" s="4"/>
      <c r="V2109" s="4"/>
      <c r="W2109" s="4"/>
      <c r="X2109" s="4" t="s">
        <v>63</v>
      </c>
      <c r="Y2109" s="4" t="s">
        <v>18014</v>
      </c>
      <c r="Z2109" s="4" t="s">
        <v>63</v>
      </c>
      <c r="AA2109" s="4" t="s">
        <v>63</v>
      </c>
      <c r="AB2109" s="4">
        <v>2014331116</v>
      </c>
      <c r="AC2109" s="4" t="s">
        <v>67</v>
      </c>
      <c r="AD2109" s="4" t="s">
        <v>63</v>
      </c>
      <c r="AE2109" s="4" t="s">
        <v>63</v>
      </c>
      <c r="AF2109" s="4" t="s">
        <v>63</v>
      </c>
      <c r="AG2109" s="4" t="s">
        <v>18015</v>
      </c>
      <c r="AH2109" s="4" t="s">
        <v>63</v>
      </c>
      <c r="AI2109" s="4" t="s">
        <v>18016</v>
      </c>
      <c r="AJ2109" s="4" t="s">
        <v>63</v>
      </c>
      <c r="AK2109" s="4" t="s">
        <v>63</v>
      </c>
      <c r="AL2109" s="4" t="s">
        <v>63</v>
      </c>
      <c r="AM2109" s="4" t="s">
        <v>18017</v>
      </c>
      <c r="AN2109" s="4" t="s">
        <v>63</v>
      </c>
      <c r="AO2109" s="4" t="s">
        <v>63</v>
      </c>
      <c r="AP2109" s="4" t="s">
        <v>63</v>
      </c>
      <c r="AQ2109" s="4" t="s">
        <v>63</v>
      </c>
      <c r="AR2109" s="4" t="s">
        <v>63</v>
      </c>
      <c r="AS2109" s="4" t="s">
        <v>63</v>
      </c>
      <c r="AT2109" s="4" t="s">
        <v>63</v>
      </c>
      <c r="AU2109" s="4" t="s">
        <v>63</v>
      </c>
      <c r="AV2109" s="4" t="s">
        <v>63</v>
      </c>
      <c r="AW2109" s="4" t="s">
        <v>63</v>
      </c>
      <c r="AX2109" s="4" t="s">
        <v>63</v>
      </c>
      <c r="AY2109" s="4" t="s">
        <v>63</v>
      </c>
      <c r="AZ2109" s="4" t="s">
        <v>63</v>
      </c>
      <c r="BA2109" s="4" t="s">
        <v>63</v>
      </c>
      <c r="BB2109" s="4" t="s">
        <v>63</v>
      </c>
      <c r="BC2109" s="4" t="s">
        <v>63</v>
      </c>
      <c r="BD2109" s="4" t="s">
        <v>63</v>
      </c>
      <c r="BE2109" s="4" t="s">
        <v>63</v>
      </c>
      <c r="BF2109" s="4" t="s">
        <v>63</v>
      </c>
    </row>
    <row r="2110" spans="1:58">
      <c r="A2110" s="4" t="s">
        <v>58</v>
      </c>
      <c r="B2110" s="4" t="s">
        <v>18018</v>
      </c>
      <c r="C2110" s="4" t="s">
        <v>18019</v>
      </c>
      <c r="D2110" s="4" t="s">
        <v>1993</v>
      </c>
      <c r="E2110" s="4" t="s">
        <v>1994</v>
      </c>
      <c r="F2110" s="4">
        <v>1993</v>
      </c>
      <c r="G2110" s="4" t="s">
        <v>189</v>
      </c>
      <c r="H2110" s="4">
        <v>76</v>
      </c>
      <c r="I2110" s="4">
        <v>5</v>
      </c>
      <c r="J2110" s="4">
        <v>27</v>
      </c>
      <c r="K2110" s="4">
        <v>28</v>
      </c>
      <c r="L2110" s="4" t="s">
        <v>18020</v>
      </c>
      <c r="M2110" s="4" t="s">
        <v>63</v>
      </c>
      <c r="N2110" s="4" t="s">
        <v>18021</v>
      </c>
      <c r="O2110" s="4" t="s">
        <v>63</v>
      </c>
      <c r="P2110" s="4"/>
      <c r="Q2110" s="4" t="s">
        <v>63</v>
      </c>
      <c r="R2110" s="4" t="s">
        <v>63</v>
      </c>
      <c r="S2110" s="4" t="s">
        <v>63</v>
      </c>
      <c r="T2110" s="4" t="s">
        <v>63</v>
      </c>
      <c r="U2110" s="4"/>
      <c r="V2110" s="4"/>
      <c r="W2110" s="4"/>
      <c r="X2110" s="4" t="s">
        <v>63</v>
      </c>
      <c r="Y2110" s="4" t="s">
        <v>1997</v>
      </c>
      <c r="Z2110" s="4" t="s">
        <v>63</v>
      </c>
      <c r="AA2110" s="4" t="s">
        <v>63</v>
      </c>
      <c r="AB2110" s="4" t="s">
        <v>63</v>
      </c>
      <c r="AC2110" s="4" t="s">
        <v>67</v>
      </c>
      <c r="AD2110" s="4" t="s">
        <v>63</v>
      </c>
      <c r="AE2110" s="4" t="s">
        <v>63</v>
      </c>
      <c r="AF2110" s="4" t="s">
        <v>63</v>
      </c>
      <c r="AG2110" s="4" t="s">
        <v>18022</v>
      </c>
      <c r="AH2110" s="4" t="s">
        <v>63</v>
      </c>
      <c r="AI2110" s="4" t="s">
        <v>63</v>
      </c>
      <c r="AJ2110" s="4" t="s">
        <v>63</v>
      </c>
      <c r="AK2110" s="4" t="s">
        <v>63</v>
      </c>
      <c r="AL2110" s="4" t="s">
        <v>63</v>
      </c>
      <c r="AM2110" s="4" t="s">
        <v>18023</v>
      </c>
      <c r="AN2110" s="4" t="s">
        <v>63</v>
      </c>
      <c r="AO2110" s="4" t="s">
        <v>63</v>
      </c>
      <c r="AP2110" s="4" t="s">
        <v>63</v>
      </c>
      <c r="AQ2110" s="4" t="s">
        <v>63</v>
      </c>
      <c r="AR2110" s="4" t="s">
        <v>63</v>
      </c>
      <c r="AS2110" s="4" t="s">
        <v>63</v>
      </c>
      <c r="AT2110" s="4" t="s">
        <v>63</v>
      </c>
      <c r="AU2110" s="4" t="s">
        <v>63</v>
      </c>
      <c r="AV2110" s="4" t="s">
        <v>63</v>
      </c>
      <c r="AW2110" s="4" t="s">
        <v>63</v>
      </c>
      <c r="AX2110" s="4" t="s">
        <v>63</v>
      </c>
      <c r="AY2110" s="4" t="s">
        <v>63</v>
      </c>
      <c r="AZ2110" s="4" t="s">
        <v>63</v>
      </c>
      <c r="BA2110" s="4" t="s">
        <v>63</v>
      </c>
      <c r="BB2110" s="4" t="s">
        <v>63</v>
      </c>
      <c r="BC2110" s="4" t="s">
        <v>63</v>
      </c>
      <c r="BD2110" s="4" t="s">
        <v>63</v>
      </c>
      <c r="BE2110" s="4" t="s">
        <v>63</v>
      </c>
      <c r="BF2110" s="4" t="s">
        <v>63</v>
      </c>
    </row>
    <row r="2111" spans="1:58">
      <c r="A2111" s="4" t="s">
        <v>58</v>
      </c>
      <c r="B2111" s="4" t="s">
        <v>18024</v>
      </c>
      <c r="C2111" s="4" t="s">
        <v>18025</v>
      </c>
      <c r="D2111" s="4" t="s">
        <v>17273</v>
      </c>
      <c r="E2111" s="4" t="s">
        <v>63</v>
      </c>
      <c r="F2111" s="4">
        <v>2013</v>
      </c>
      <c r="G2111" s="4" t="s">
        <v>18026</v>
      </c>
      <c r="H2111" s="4">
        <v>24</v>
      </c>
      <c r="I2111" s="4">
        <v>2</v>
      </c>
      <c r="J2111" s="4">
        <v>56</v>
      </c>
      <c r="K2111" s="4">
        <v>61</v>
      </c>
      <c r="L2111" s="4" t="s">
        <v>18027</v>
      </c>
      <c r="M2111" s="4" t="s">
        <v>18028</v>
      </c>
      <c r="N2111" s="4" t="s">
        <v>18029</v>
      </c>
      <c r="O2111" s="4" t="s">
        <v>63</v>
      </c>
      <c r="P2111" s="4"/>
      <c r="Q2111" s="4" t="s">
        <v>63</v>
      </c>
      <c r="R2111" s="4" t="s">
        <v>63</v>
      </c>
      <c r="S2111" s="4" t="s">
        <v>63</v>
      </c>
      <c r="T2111" s="4" t="s">
        <v>63</v>
      </c>
      <c r="U2111" s="4"/>
      <c r="V2111" s="4"/>
      <c r="W2111" s="4"/>
      <c r="X2111" s="4" t="s">
        <v>63</v>
      </c>
      <c r="Y2111" s="4" t="s">
        <v>17277</v>
      </c>
      <c r="Z2111" s="4" t="s">
        <v>63</v>
      </c>
      <c r="AA2111" s="4" t="s">
        <v>63</v>
      </c>
      <c r="AB2111" s="4" t="s">
        <v>18030</v>
      </c>
      <c r="AC2111" s="4" t="s">
        <v>67</v>
      </c>
      <c r="AD2111" s="4" t="s">
        <v>63</v>
      </c>
      <c r="AE2111" s="4" t="s">
        <v>63</v>
      </c>
      <c r="AF2111" s="4" t="s">
        <v>63</v>
      </c>
      <c r="AG2111" s="4" t="s">
        <v>63</v>
      </c>
      <c r="AH2111" s="4" t="s">
        <v>63</v>
      </c>
      <c r="AI2111" s="4" t="s">
        <v>63</v>
      </c>
      <c r="AJ2111" s="4" t="s">
        <v>63</v>
      </c>
      <c r="AK2111" s="4" t="s">
        <v>63</v>
      </c>
      <c r="AL2111" s="4" t="s">
        <v>63</v>
      </c>
      <c r="AM2111" s="4" t="s">
        <v>18025</v>
      </c>
      <c r="AN2111" s="4" t="s">
        <v>63</v>
      </c>
      <c r="AO2111" s="4" t="s">
        <v>63</v>
      </c>
      <c r="AP2111" s="4" t="s">
        <v>63</v>
      </c>
      <c r="AQ2111" s="4" t="s">
        <v>63</v>
      </c>
      <c r="AR2111" s="4" t="s">
        <v>63</v>
      </c>
      <c r="AS2111" s="4" t="s">
        <v>63</v>
      </c>
      <c r="AT2111" s="4" t="s">
        <v>63</v>
      </c>
      <c r="AU2111" s="4" t="s">
        <v>63</v>
      </c>
      <c r="AV2111" s="4" t="s">
        <v>63</v>
      </c>
      <c r="AW2111" s="4" t="s">
        <v>63</v>
      </c>
      <c r="AX2111" s="4" t="s">
        <v>63</v>
      </c>
      <c r="AY2111" s="4" t="s">
        <v>63</v>
      </c>
      <c r="AZ2111" s="4" t="s">
        <v>63</v>
      </c>
      <c r="BA2111" s="4" t="s">
        <v>63</v>
      </c>
      <c r="BB2111" s="4" t="s">
        <v>63</v>
      </c>
      <c r="BC2111" s="4" t="s">
        <v>63</v>
      </c>
      <c r="BD2111" s="4" t="s">
        <v>63</v>
      </c>
      <c r="BE2111" s="4" t="s">
        <v>63</v>
      </c>
      <c r="BF2111" s="4" t="s">
        <v>63</v>
      </c>
    </row>
    <row r="2112" spans="1:58">
      <c r="A2112" s="4" t="s">
        <v>58</v>
      </c>
      <c r="B2112" s="4" t="s">
        <v>18031</v>
      </c>
      <c r="C2112" s="4" t="s">
        <v>18032</v>
      </c>
      <c r="D2112" s="4" t="s">
        <v>15421</v>
      </c>
      <c r="E2112" s="4" t="s">
        <v>63</v>
      </c>
      <c r="F2112" s="4">
        <v>2013</v>
      </c>
      <c r="G2112" s="4" t="s">
        <v>63</v>
      </c>
      <c r="H2112" s="4">
        <v>34</v>
      </c>
      <c r="I2112" s="4">
        <v>2</v>
      </c>
      <c r="J2112" s="4">
        <v>97</v>
      </c>
      <c r="K2112" s="4">
        <v>104</v>
      </c>
      <c r="L2112" s="4" t="s">
        <v>18033</v>
      </c>
      <c r="M2112" s="4" t="s">
        <v>18034</v>
      </c>
      <c r="N2112" s="4" t="s">
        <v>18035</v>
      </c>
      <c r="O2112" s="4" t="s">
        <v>63</v>
      </c>
      <c r="P2112" s="4"/>
      <c r="Q2112" s="4" t="s">
        <v>63</v>
      </c>
      <c r="R2112" s="4" t="s">
        <v>63</v>
      </c>
      <c r="S2112" s="4" t="s">
        <v>63</v>
      </c>
      <c r="T2112" s="4" t="s">
        <v>63</v>
      </c>
      <c r="U2112" s="4"/>
      <c r="V2112" s="4"/>
      <c r="W2112" s="4"/>
      <c r="X2112" s="4" t="s">
        <v>63</v>
      </c>
      <c r="Y2112" s="4" t="s">
        <v>15425</v>
      </c>
      <c r="Z2112" s="4" t="s">
        <v>63</v>
      </c>
      <c r="AA2112" s="4" t="s">
        <v>63</v>
      </c>
      <c r="AB2112" s="4" t="s">
        <v>63</v>
      </c>
      <c r="AC2112" s="4" t="s">
        <v>67</v>
      </c>
      <c r="AD2112" s="4" t="s">
        <v>63</v>
      </c>
      <c r="AE2112" s="4" t="s">
        <v>63</v>
      </c>
      <c r="AF2112" s="4" t="s">
        <v>63</v>
      </c>
      <c r="AG2112" s="4" t="s">
        <v>18036</v>
      </c>
      <c r="AH2112" s="4" t="s">
        <v>63</v>
      </c>
      <c r="AI2112" s="4" t="s">
        <v>18037</v>
      </c>
      <c r="AJ2112" s="4" t="s">
        <v>63</v>
      </c>
      <c r="AK2112" s="4" t="s">
        <v>63</v>
      </c>
      <c r="AL2112" s="4" t="s">
        <v>63</v>
      </c>
      <c r="AM2112" s="4" t="s">
        <v>18038</v>
      </c>
      <c r="AN2112" s="4" t="s">
        <v>63</v>
      </c>
      <c r="AO2112" s="4" t="s">
        <v>63</v>
      </c>
      <c r="AP2112" s="4" t="s">
        <v>63</v>
      </c>
      <c r="AQ2112" s="4" t="s">
        <v>63</v>
      </c>
      <c r="AR2112" s="4" t="s">
        <v>63</v>
      </c>
      <c r="AS2112" s="4" t="s">
        <v>63</v>
      </c>
      <c r="AT2112" s="4" t="s">
        <v>63</v>
      </c>
      <c r="AU2112" s="4" t="s">
        <v>63</v>
      </c>
      <c r="AV2112" s="4" t="s">
        <v>63</v>
      </c>
      <c r="AW2112" s="4" t="s">
        <v>63</v>
      </c>
      <c r="AX2112" s="4" t="s">
        <v>63</v>
      </c>
      <c r="AY2112" s="4" t="s">
        <v>63</v>
      </c>
      <c r="AZ2112" s="4" t="s">
        <v>63</v>
      </c>
      <c r="BA2112" s="4" t="s">
        <v>63</v>
      </c>
      <c r="BB2112" s="4" t="s">
        <v>63</v>
      </c>
      <c r="BC2112" s="4" t="s">
        <v>63</v>
      </c>
      <c r="BD2112" s="4" t="s">
        <v>63</v>
      </c>
      <c r="BE2112" s="4" t="s">
        <v>63</v>
      </c>
      <c r="BF2112" s="4" t="s">
        <v>63</v>
      </c>
    </row>
    <row r="2113" spans="1:58">
      <c r="A2113" s="4" t="s">
        <v>58</v>
      </c>
      <c r="B2113" s="4" t="s">
        <v>18039</v>
      </c>
      <c r="C2113" s="4" t="s">
        <v>18040</v>
      </c>
      <c r="D2113" s="4" t="s">
        <v>17894</v>
      </c>
      <c r="E2113" s="4" t="s">
        <v>17895</v>
      </c>
      <c r="F2113" s="4">
        <v>2017</v>
      </c>
      <c r="G2113" s="4">
        <v>1</v>
      </c>
      <c r="H2113" s="4">
        <v>56</v>
      </c>
      <c r="I2113" s="4">
        <v>10</v>
      </c>
      <c r="J2113" s="4" t="s">
        <v>18041</v>
      </c>
      <c r="K2113" s="4" t="s">
        <v>15848</v>
      </c>
      <c r="L2113" s="4" t="s">
        <v>18042</v>
      </c>
      <c r="M2113" s="4" t="s">
        <v>18043</v>
      </c>
      <c r="N2113" s="4" t="s">
        <v>18044</v>
      </c>
      <c r="O2113" s="4" t="s">
        <v>63</v>
      </c>
      <c r="P2113" s="4"/>
      <c r="Q2113" s="4" t="s">
        <v>63</v>
      </c>
      <c r="R2113" s="4" t="s">
        <v>63</v>
      </c>
      <c r="S2113" s="4" t="s">
        <v>63</v>
      </c>
      <c r="T2113" s="4" t="s">
        <v>63</v>
      </c>
      <c r="U2113" s="4"/>
      <c r="V2113" s="4"/>
      <c r="W2113" s="4"/>
      <c r="X2113" s="4" t="s">
        <v>63</v>
      </c>
      <c r="Y2113" s="4" t="s">
        <v>17899</v>
      </c>
      <c r="Z2113" s="4" t="s">
        <v>63</v>
      </c>
      <c r="AA2113" s="4" t="s">
        <v>63</v>
      </c>
      <c r="AB2113" s="4" t="s">
        <v>63</v>
      </c>
      <c r="AC2113" s="4" t="s">
        <v>67</v>
      </c>
      <c r="AD2113" s="4" t="s">
        <v>63</v>
      </c>
      <c r="AE2113" s="4" t="s">
        <v>63</v>
      </c>
      <c r="AF2113" s="4" t="s">
        <v>63</v>
      </c>
      <c r="AG2113" s="4" t="s">
        <v>63</v>
      </c>
      <c r="AH2113" s="4" t="s">
        <v>63</v>
      </c>
      <c r="AI2113" s="4" t="s">
        <v>18045</v>
      </c>
      <c r="AJ2113" s="4" t="s">
        <v>63</v>
      </c>
      <c r="AK2113" s="4" t="s">
        <v>63</v>
      </c>
      <c r="AL2113" s="4" t="s">
        <v>63</v>
      </c>
      <c r="AM2113" s="4" t="s">
        <v>18040</v>
      </c>
      <c r="AN2113" s="4" t="s">
        <v>63</v>
      </c>
      <c r="AO2113" s="4" t="s">
        <v>63</v>
      </c>
      <c r="AP2113" s="4" t="s">
        <v>63</v>
      </c>
      <c r="AQ2113" s="4" t="s">
        <v>63</v>
      </c>
      <c r="AR2113" s="4" t="s">
        <v>63</v>
      </c>
      <c r="AS2113" s="4" t="s">
        <v>63</v>
      </c>
      <c r="AT2113" s="4" t="s">
        <v>63</v>
      </c>
      <c r="AU2113" s="4" t="s">
        <v>63</v>
      </c>
      <c r="AV2113" s="4" t="s">
        <v>63</v>
      </c>
      <c r="AW2113" s="4" t="s">
        <v>63</v>
      </c>
      <c r="AX2113" s="4" t="s">
        <v>63</v>
      </c>
      <c r="AY2113" s="4" t="s">
        <v>63</v>
      </c>
      <c r="AZ2113" s="4" t="s">
        <v>63</v>
      </c>
      <c r="BA2113" s="4" t="s">
        <v>63</v>
      </c>
      <c r="BB2113" s="4" t="s">
        <v>63</v>
      </c>
      <c r="BC2113" s="4" t="s">
        <v>63</v>
      </c>
      <c r="BD2113" s="4" t="s">
        <v>63</v>
      </c>
      <c r="BE2113" s="4" t="s">
        <v>63</v>
      </c>
      <c r="BF2113" s="4" t="s">
        <v>63</v>
      </c>
    </row>
    <row r="2114" spans="1:58">
      <c r="A2114" s="4" t="s">
        <v>58</v>
      </c>
      <c r="B2114" s="4" t="s">
        <v>18046</v>
      </c>
      <c r="C2114" s="4" t="s">
        <v>18047</v>
      </c>
      <c r="D2114" s="4" t="s">
        <v>18048</v>
      </c>
      <c r="E2114" s="4" t="s">
        <v>63</v>
      </c>
      <c r="F2114" s="4">
        <v>2011</v>
      </c>
      <c r="G2114" s="4" t="s">
        <v>63</v>
      </c>
      <c r="H2114" s="4">
        <v>5</v>
      </c>
      <c r="I2114" s="4">
        <v>2</v>
      </c>
      <c r="J2114" s="4">
        <v>141</v>
      </c>
      <c r="K2114" s="4">
        <v>150</v>
      </c>
      <c r="L2114" s="4" t="s">
        <v>18049</v>
      </c>
      <c r="M2114" s="4" t="s">
        <v>18050</v>
      </c>
      <c r="N2114" s="4" t="s">
        <v>18051</v>
      </c>
      <c r="O2114" s="4" t="s">
        <v>63</v>
      </c>
      <c r="P2114" s="4"/>
      <c r="Q2114" s="4" t="s">
        <v>63</v>
      </c>
      <c r="R2114" s="4" t="s">
        <v>63</v>
      </c>
      <c r="S2114" s="4" t="s">
        <v>63</v>
      </c>
      <c r="T2114" s="4" t="s">
        <v>63</v>
      </c>
      <c r="U2114" s="4"/>
      <c r="V2114" s="4"/>
      <c r="W2114" s="4"/>
      <c r="X2114" s="4" t="s">
        <v>63</v>
      </c>
      <c r="Y2114" s="4" t="s">
        <v>18052</v>
      </c>
      <c r="Z2114" s="4" t="s">
        <v>63</v>
      </c>
      <c r="AA2114" s="4" t="s">
        <v>63</v>
      </c>
      <c r="AB2114" s="4" t="s">
        <v>63</v>
      </c>
      <c r="AC2114" s="4" t="s">
        <v>67</v>
      </c>
      <c r="AD2114" s="4" t="s">
        <v>63</v>
      </c>
      <c r="AE2114" s="4" t="s">
        <v>63</v>
      </c>
      <c r="AF2114" s="4" t="s">
        <v>63</v>
      </c>
      <c r="AG2114" s="4" t="s">
        <v>18053</v>
      </c>
      <c r="AH2114" s="4" t="s">
        <v>63</v>
      </c>
      <c r="AI2114" s="4" t="s">
        <v>18054</v>
      </c>
      <c r="AJ2114" s="4" t="s">
        <v>63</v>
      </c>
      <c r="AK2114" s="4" t="s">
        <v>63</v>
      </c>
      <c r="AL2114" s="4" t="s">
        <v>63</v>
      </c>
      <c r="AM2114" s="4" t="s">
        <v>18055</v>
      </c>
      <c r="AN2114" s="4" t="s">
        <v>63</v>
      </c>
      <c r="AO2114" s="4" t="s">
        <v>63</v>
      </c>
      <c r="AP2114" s="4" t="s">
        <v>63</v>
      </c>
      <c r="AQ2114" s="4" t="s">
        <v>63</v>
      </c>
      <c r="AR2114" s="4" t="s">
        <v>63</v>
      </c>
      <c r="AS2114" s="4" t="s">
        <v>63</v>
      </c>
      <c r="AT2114" s="4" t="s">
        <v>63</v>
      </c>
      <c r="AU2114" s="4" t="s">
        <v>63</v>
      </c>
      <c r="AV2114" s="4" t="s">
        <v>63</v>
      </c>
      <c r="AW2114" s="4" t="s">
        <v>63</v>
      </c>
      <c r="AX2114" s="4" t="s">
        <v>63</v>
      </c>
      <c r="AY2114" s="4" t="s">
        <v>63</v>
      </c>
      <c r="AZ2114" s="4" t="s">
        <v>63</v>
      </c>
      <c r="BA2114" s="4" t="s">
        <v>63</v>
      </c>
      <c r="BB2114" s="4" t="s">
        <v>63</v>
      </c>
      <c r="BC2114" s="4" t="s">
        <v>63</v>
      </c>
      <c r="BD2114" s="4" t="s">
        <v>63</v>
      </c>
      <c r="BE2114" s="4" t="s">
        <v>63</v>
      </c>
      <c r="BF2114" s="4" t="s">
        <v>63</v>
      </c>
    </row>
    <row r="2115" spans="1:58">
      <c r="A2115" s="4" t="s">
        <v>58</v>
      </c>
      <c r="B2115" s="4" t="s">
        <v>18056</v>
      </c>
      <c r="C2115" s="4" t="s">
        <v>18057</v>
      </c>
      <c r="D2115" s="4" t="s">
        <v>2431</v>
      </c>
      <c r="E2115" s="4" t="s">
        <v>2432</v>
      </c>
      <c r="F2115" s="4">
        <v>2011</v>
      </c>
      <c r="G2115" s="4" t="s">
        <v>157</v>
      </c>
      <c r="H2115" s="4">
        <v>36</v>
      </c>
      <c r="I2115" s="4">
        <v>6</v>
      </c>
      <c r="J2115" s="4">
        <v>966</v>
      </c>
      <c r="K2115" s="4">
        <v>974</v>
      </c>
      <c r="L2115" s="4" t="s">
        <v>18058</v>
      </c>
      <c r="M2115" s="4" t="s">
        <v>18059</v>
      </c>
      <c r="N2115" s="4" t="s">
        <v>18060</v>
      </c>
      <c r="O2115" s="4" t="s">
        <v>63</v>
      </c>
      <c r="P2115" s="4"/>
      <c r="Q2115" s="4" t="s">
        <v>63</v>
      </c>
      <c r="R2115" s="4" t="s">
        <v>63</v>
      </c>
      <c r="S2115" s="4" t="s">
        <v>63</v>
      </c>
      <c r="T2115" s="4" t="s">
        <v>63</v>
      </c>
      <c r="U2115" s="4"/>
      <c r="V2115" s="4"/>
      <c r="W2115" s="4"/>
      <c r="X2115" s="4" t="s">
        <v>63</v>
      </c>
      <c r="Y2115" s="4" t="s">
        <v>18061</v>
      </c>
      <c r="Z2115" s="4" t="s">
        <v>63</v>
      </c>
      <c r="AA2115" s="4" t="s">
        <v>63</v>
      </c>
      <c r="AB2115" s="4" t="s">
        <v>63</v>
      </c>
      <c r="AC2115" s="4" t="s">
        <v>67</v>
      </c>
      <c r="AD2115" s="4" t="s">
        <v>63</v>
      </c>
      <c r="AE2115" s="4" t="s">
        <v>63</v>
      </c>
      <c r="AF2115" s="4" t="s">
        <v>63</v>
      </c>
      <c r="AG2115" s="4" t="s">
        <v>18062</v>
      </c>
      <c r="AH2115" s="4" t="s">
        <v>63</v>
      </c>
      <c r="AI2115" s="4" t="s">
        <v>63</v>
      </c>
      <c r="AJ2115" s="4" t="s">
        <v>63</v>
      </c>
      <c r="AK2115" s="4" t="s">
        <v>63</v>
      </c>
      <c r="AL2115" s="4" t="s">
        <v>63</v>
      </c>
      <c r="AM2115" s="4" t="s">
        <v>18063</v>
      </c>
      <c r="AN2115" s="4" t="s">
        <v>63</v>
      </c>
      <c r="AO2115" s="4" t="s">
        <v>63</v>
      </c>
      <c r="AP2115" s="4" t="s">
        <v>63</v>
      </c>
      <c r="AQ2115" s="4" t="s">
        <v>63</v>
      </c>
      <c r="AR2115" s="4" t="s">
        <v>63</v>
      </c>
      <c r="AS2115" s="4" t="s">
        <v>63</v>
      </c>
      <c r="AT2115" s="4" t="s">
        <v>63</v>
      </c>
      <c r="AU2115" s="4" t="s">
        <v>63</v>
      </c>
      <c r="AV2115" s="4" t="s">
        <v>63</v>
      </c>
      <c r="AW2115" s="4" t="s">
        <v>63</v>
      </c>
      <c r="AX2115" s="4" t="s">
        <v>63</v>
      </c>
      <c r="AY2115" s="4" t="s">
        <v>63</v>
      </c>
      <c r="AZ2115" s="4" t="s">
        <v>63</v>
      </c>
      <c r="BA2115" s="4" t="s">
        <v>63</v>
      </c>
      <c r="BB2115" s="4" t="s">
        <v>63</v>
      </c>
      <c r="BC2115" s="4" t="s">
        <v>63</v>
      </c>
      <c r="BD2115" s="4" t="s">
        <v>63</v>
      </c>
      <c r="BE2115" s="4" t="s">
        <v>63</v>
      </c>
      <c r="BF2115" s="4" t="s">
        <v>63</v>
      </c>
    </row>
    <row r="2116" spans="1:58">
      <c r="A2116" s="4" t="s">
        <v>58</v>
      </c>
      <c r="B2116" s="4" t="s">
        <v>18064</v>
      </c>
      <c r="C2116" s="4" t="s">
        <v>18065</v>
      </c>
      <c r="D2116" s="4" t="s">
        <v>18066</v>
      </c>
      <c r="E2116" s="4" t="s">
        <v>18067</v>
      </c>
      <c r="F2116" s="4">
        <v>1999</v>
      </c>
      <c r="G2116" s="4" t="s">
        <v>15665</v>
      </c>
      <c r="H2116" s="4">
        <v>93</v>
      </c>
      <c r="I2116" s="4">
        <v>2</v>
      </c>
      <c r="J2116" s="4">
        <v>213</v>
      </c>
      <c r="K2116" s="4">
        <v>218</v>
      </c>
      <c r="L2116" s="4" t="s">
        <v>18068</v>
      </c>
      <c r="M2116" s="4" t="s">
        <v>18069</v>
      </c>
      <c r="N2116" s="4" t="s">
        <v>18070</v>
      </c>
      <c r="O2116" s="4" t="s">
        <v>63</v>
      </c>
      <c r="P2116" s="4"/>
      <c r="Q2116" s="4" t="s">
        <v>63</v>
      </c>
      <c r="R2116" s="4" t="s">
        <v>63</v>
      </c>
      <c r="S2116" s="4" t="s">
        <v>63</v>
      </c>
      <c r="T2116" s="4" t="s">
        <v>63</v>
      </c>
      <c r="U2116" s="4"/>
      <c r="V2116" s="4"/>
      <c r="W2116" s="4"/>
      <c r="X2116" s="4" t="s">
        <v>63</v>
      </c>
      <c r="Y2116" s="4" t="s">
        <v>2189</v>
      </c>
      <c r="Z2116" s="4" t="s">
        <v>63</v>
      </c>
      <c r="AA2116" s="4" t="s">
        <v>63</v>
      </c>
      <c r="AB2116" s="4">
        <v>1999052462</v>
      </c>
      <c r="AC2116" s="4" t="s">
        <v>67</v>
      </c>
      <c r="AD2116" s="4" t="s">
        <v>63</v>
      </c>
      <c r="AE2116" s="4" t="s">
        <v>63</v>
      </c>
      <c r="AF2116" s="4" t="s">
        <v>63</v>
      </c>
      <c r="AG2116" s="4" t="s">
        <v>18071</v>
      </c>
      <c r="AH2116" s="4" t="s">
        <v>63</v>
      </c>
      <c r="AI2116" s="4" t="s">
        <v>18072</v>
      </c>
      <c r="AJ2116" s="4" t="s">
        <v>63</v>
      </c>
      <c r="AK2116" s="4" t="s">
        <v>63</v>
      </c>
      <c r="AL2116" s="4" t="s">
        <v>63</v>
      </c>
      <c r="AM2116" s="4" t="s">
        <v>18073</v>
      </c>
      <c r="AN2116" s="4" t="s">
        <v>63</v>
      </c>
      <c r="AO2116" s="4" t="s">
        <v>63</v>
      </c>
      <c r="AP2116" s="4" t="s">
        <v>63</v>
      </c>
      <c r="AQ2116" s="4" t="s">
        <v>63</v>
      </c>
      <c r="AR2116" s="4" t="s">
        <v>63</v>
      </c>
      <c r="AS2116" s="4" t="s">
        <v>63</v>
      </c>
      <c r="AT2116" s="4" t="s">
        <v>63</v>
      </c>
      <c r="AU2116" s="4" t="s">
        <v>63</v>
      </c>
      <c r="AV2116" s="4" t="s">
        <v>63</v>
      </c>
      <c r="AW2116" s="4" t="s">
        <v>63</v>
      </c>
      <c r="AX2116" s="4" t="s">
        <v>63</v>
      </c>
      <c r="AY2116" s="4" t="s">
        <v>63</v>
      </c>
      <c r="AZ2116" s="4" t="s">
        <v>63</v>
      </c>
      <c r="BA2116" s="4" t="s">
        <v>63</v>
      </c>
      <c r="BB2116" s="4" t="s">
        <v>63</v>
      </c>
      <c r="BC2116" s="4" t="s">
        <v>63</v>
      </c>
      <c r="BD2116" s="4" t="s">
        <v>63</v>
      </c>
      <c r="BE2116" s="4" t="s">
        <v>63</v>
      </c>
      <c r="BF2116" s="4" t="s">
        <v>63</v>
      </c>
    </row>
    <row r="2117" spans="1:58">
      <c r="A2117" s="4" t="s">
        <v>58</v>
      </c>
      <c r="B2117" s="4" t="s">
        <v>18074</v>
      </c>
      <c r="C2117" s="4" t="s">
        <v>18075</v>
      </c>
      <c r="D2117" s="4" t="s">
        <v>371</v>
      </c>
      <c r="E2117" s="4" t="s">
        <v>63</v>
      </c>
      <c r="F2117" s="4">
        <v>2015</v>
      </c>
      <c r="G2117" s="4" t="s">
        <v>15165</v>
      </c>
      <c r="H2117" s="4" t="s">
        <v>15869</v>
      </c>
      <c r="I2117" s="4" t="s">
        <v>63</v>
      </c>
      <c r="J2117" s="4" t="s">
        <v>18076</v>
      </c>
      <c r="K2117" s="4" t="s">
        <v>18077</v>
      </c>
      <c r="L2117" s="4" t="s">
        <v>18078</v>
      </c>
      <c r="M2117" s="4" t="s">
        <v>18079</v>
      </c>
      <c r="N2117" s="4" t="s">
        <v>18080</v>
      </c>
      <c r="O2117" s="4" t="s">
        <v>63</v>
      </c>
      <c r="P2117" s="4"/>
      <c r="Q2117" s="4" t="s">
        <v>63</v>
      </c>
      <c r="R2117" s="4" t="s">
        <v>63</v>
      </c>
      <c r="S2117" s="4" t="s">
        <v>63</v>
      </c>
      <c r="T2117" s="4" t="s">
        <v>63</v>
      </c>
      <c r="U2117" s="4"/>
      <c r="V2117" s="4"/>
      <c r="W2117" s="4"/>
      <c r="X2117" s="4" t="s">
        <v>63</v>
      </c>
      <c r="Y2117" s="4" t="s">
        <v>375</v>
      </c>
      <c r="Z2117" s="4" t="s">
        <v>63</v>
      </c>
      <c r="AA2117" s="4" t="s">
        <v>63</v>
      </c>
      <c r="AB2117" s="4" t="s">
        <v>63</v>
      </c>
      <c r="AC2117" s="4" t="s">
        <v>67</v>
      </c>
      <c r="AD2117" s="4" t="s">
        <v>63</v>
      </c>
      <c r="AE2117" s="4" t="s">
        <v>63</v>
      </c>
      <c r="AF2117" s="4" t="s">
        <v>63</v>
      </c>
      <c r="AG2117" s="4" t="s">
        <v>63</v>
      </c>
      <c r="AH2117" s="4" t="s">
        <v>63</v>
      </c>
      <c r="AI2117" s="4" t="s">
        <v>63</v>
      </c>
      <c r="AJ2117" s="4" t="s">
        <v>63</v>
      </c>
      <c r="AK2117" s="4" t="s">
        <v>63</v>
      </c>
      <c r="AL2117" s="4" t="s">
        <v>63</v>
      </c>
      <c r="AM2117" s="4" t="s">
        <v>18075</v>
      </c>
      <c r="AN2117" s="4" t="s">
        <v>63</v>
      </c>
      <c r="AO2117" s="4" t="s">
        <v>63</v>
      </c>
      <c r="AP2117" s="4" t="s">
        <v>63</v>
      </c>
      <c r="AQ2117" s="4" t="s">
        <v>63</v>
      </c>
      <c r="AR2117" s="4" t="s">
        <v>63</v>
      </c>
      <c r="AS2117" s="4" t="s">
        <v>63</v>
      </c>
      <c r="AT2117" s="4" t="s">
        <v>63</v>
      </c>
      <c r="AU2117" s="4" t="s">
        <v>63</v>
      </c>
      <c r="AV2117" s="4" t="s">
        <v>63</v>
      </c>
      <c r="AW2117" s="4" t="s">
        <v>63</v>
      </c>
      <c r="AX2117" s="4" t="s">
        <v>63</v>
      </c>
      <c r="AY2117" s="4" t="s">
        <v>63</v>
      </c>
      <c r="AZ2117" s="4" t="s">
        <v>63</v>
      </c>
      <c r="BA2117" s="4" t="s">
        <v>63</v>
      </c>
      <c r="BB2117" s="4" t="s">
        <v>63</v>
      </c>
      <c r="BC2117" s="4" t="s">
        <v>63</v>
      </c>
      <c r="BD2117" s="4" t="s">
        <v>63</v>
      </c>
      <c r="BE2117" s="4" t="s">
        <v>63</v>
      </c>
      <c r="BF2117" s="4" t="s">
        <v>63</v>
      </c>
    </row>
    <row r="2118" spans="1:58">
      <c r="A2118" s="4" t="s">
        <v>58</v>
      </c>
      <c r="B2118" s="4" t="s">
        <v>18081</v>
      </c>
      <c r="C2118" s="4" t="s">
        <v>18082</v>
      </c>
      <c r="D2118" s="4" t="s">
        <v>938</v>
      </c>
      <c r="E2118" s="4" t="s">
        <v>63</v>
      </c>
      <c r="F2118" s="4">
        <v>2017</v>
      </c>
      <c r="G2118" s="4">
        <v>1</v>
      </c>
      <c r="H2118" s="4">
        <v>26</v>
      </c>
      <c r="I2118" s="4">
        <v>3</v>
      </c>
      <c r="J2118" s="4">
        <v>236</v>
      </c>
      <c r="K2118" s="4" t="s">
        <v>63</v>
      </c>
      <c r="L2118" s="4" t="s">
        <v>18083</v>
      </c>
      <c r="M2118" s="4" t="s">
        <v>18084</v>
      </c>
      <c r="N2118" s="4" t="s">
        <v>18085</v>
      </c>
      <c r="O2118" s="4" t="s">
        <v>63</v>
      </c>
      <c r="P2118" s="4"/>
      <c r="Q2118" s="4" t="s">
        <v>63</v>
      </c>
      <c r="R2118" s="4" t="s">
        <v>63</v>
      </c>
      <c r="S2118" s="4" t="s">
        <v>63</v>
      </c>
      <c r="T2118" s="4" t="s">
        <v>63</v>
      </c>
      <c r="U2118" s="4"/>
      <c r="V2118" s="4"/>
      <c r="W2118" s="4"/>
      <c r="X2118" s="4" t="s">
        <v>63</v>
      </c>
      <c r="Y2118" s="4" t="s">
        <v>2500</v>
      </c>
      <c r="Z2118" s="4" t="s">
        <v>63</v>
      </c>
      <c r="AA2118" s="4" t="s">
        <v>63</v>
      </c>
      <c r="AB2118" s="4" t="s">
        <v>63</v>
      </c>
      <c r="AC2118" s="4" t="s">
        <v>67</v>
      </c>
      <c r="AD2118" s="4" t="s">
        <v>63</v>
      </c>
      <c r="AE2118" s="4" t="s">
        <v>63</v>
      </c>
      <c r="AF2118" s="4" t="s">
        <v>63</v>
      </c>
      <c r="AG2118" s="4" t="s">
        <v>63</v>
      </c>
      <c r="AH2118" s="4" t="s">
        <v>63</v>
      </c>
      <c r="AI2118" s="4" t="s">
        <v>17298</v>
      </c>
      <c r="AJ2118" s="4" t="s">
        <v>63</v>
      </c>
      <c r="AK2118" s="4" t="s">
        <v>63</v>
      </c>
      <c r="AL2118" s="4" t="s">
        <v>63</v>
      </c>
      <c r="AM2118" s="4" t="s">
        <v>18082</v>
      </c>
      <c r="AN2118" s="4" t="s">
        <v>63</v>
      </c>
      <c r="AO2118" s="4" t="s">
        <v>63</v>
      </c>
      <c r="AP2118" s="4" t="s">
        <v>63</v>
      </c>
      <c r="AQ2118" s="4" t="s">
        <v>63</v>
      </c>
      <c r="AR2118" s="4" t="s">
        <v>63</v>
      </c>
      <c r="AS2118" s="4" t="s">
        <v>63</v>
      </c>
      <c r="AT2118" s="4" t="s">
        <v>63</v>
      </c>
      <c r="AU2118" s="4" t="s">
        <v>63</v>
      </c>
      <c r="AV2118" s="4" t="s">
        <v>63</v>
      </c>
      <c r="AW2118" s="4" t="s">
        <v>63</v>
      </c>
      <c r="AX2118" s="4" t="s">
        <v>63</v>
      </c>
      <c r="AY2118" s="4" t="s">
        <v>63</v>
      </c>
      <c r="AZ2118" s="4" t="s">
        <v>63</v>
      </c>
      <c r="BA2118" s="4" t="s">
        <v>63</v>
      </c>
      <c r="BB2118" s="4" t="s">
        <v>63</v>
      </c>
      <c r="BC2118" s="4" t="s">
        <v>63</v>
      </c>
      <c r="BD2118" s="4" t="s">
        <v>63</v>
      </c>
      <c r="BE2118" s="4" t="s">
        <v>63</v>
      </c>
      <c r="BF2118" s="4" t="s">
        <v>63</v>
      </c>
    </row>
    <row r="2119" spans="1:58">
      <c r="A2119" s="4" t="s">
        <v>58</v>
      </c>
      <c r="B2119" s="4" t="s">
        <v>18086</v>
      </c>
      <c r="C2119" s="4" t="s">
        <v>18087</v>
      </c>
      <c r="D2119" s="4" t="s">
        <v>18088</v>
      </c>
      <c r="E2119" s="4" t="s">
        <v>63</v>
      </c>
      <c r="F2119" s="4">
        <v>1998</v>
      </c>
      <c r="G2119" s="4" t="s">
        <v>63</v>
      </c>
      <c r="H2119" s="4">
        <v>43</v>
      </c>
      <c r="I2119" s="4">
        <v>1</v>
      </c>
      <c r="J2119" s="4">
        <v>45</v>
      </c>
      <c r="K2119" s="4">
        <v>48</v>
      </c>
      <c r="L2119" s="4" t="s">
        <v>18089</v>
      </c>
      <c r="M2119" s="4" t="s">
        <v>18090</v>
      </c>
      <c r="N2119" s="4" t="s">
        <v>18091</v>
      </c>
      <c r="O2119" s="4" t="s">
        <v>63</v>
      </c>
      <c r="P2119" s="4"/>
      <c r="Q2119" s="4" t="s">
        <v>63</v>
      </c>
      <c r="R2119" s="4" t="s">
        <v>63</v>
      </c>
      <c r="S2119" s="4" t="s">
        <v>63</v>
      </c>
      <c r="T2119" s="4" t="s">
        <v>63</v>
      </c>
      <c r="U2119" s="4"/>
      <c r="V2119" s="4"/>
      <c r="W2119" s="4"/>
      <c r="X2119" s="4" t="s">
        <v>63</v>
      </c>
      <c r="Y2119" s="4" t="s">
        <v>18092</v>
      </c>
      <c r="Z2119" s="4" t="s">
        <v>63</v>
      </c>
      <c r="AA2119" s="4" t="s">
        <v>63</v>
      </c>
      <c r="AB2119" s="4" t="s">
        <v>18093</v>
      </c>
      <c r="AC2119" s="4" t="s">
        <v>18094</v>
      </c>
      <c r="AD2119" s="4" t="s">
        <v>63</v>
      </c>
      <c r="AE2119" s="4" t="s">
        <v>63</v>
      </c>
      <c r="AF2119" s="4" t="s">
        <v>63</v>
      </c>
      <c r="AG2119" s="4" t="s">
        <v>63</v>
      </c>
      <c r="AH2119" s="4" t="s">
        <v>63</v>
      </c>
      <c r="AI2119" s="4" t="s">
        <v>63</v>
      </c>
      <c r="AJ2119" s="4" t="s">
        <v>63</v>
      </c>
      <c r="AK2119" s="4" t="s">
        <v>63</v>
      </c>
      <c r="AL2119" s="4" t="s">
        <v>63</v>
      </c>
      <c r="AM2119" s="4" t="s">
        <v>18087</v>
      </c>
      <c r="AN2119" s="4" t="s">
        <v>63</v>
      </c>
      <c r="AO2119" s="4" t="s">
        <v>63</v>
      </c>
      <c r="AP2119" s="4" t="s">
        <v>63</v>
      </c>
      <c r="AQ2119" s="4" t="s">
        <v>63</v>
      </c>
      <c r="AR2119" s="4" t="s">
        <v>63</v>
      </c>
      <c r="AS2119" s="4" t="s">
        <v>63</v>
      </c>
      <c r="AT2119" s="4" t="s">
        <v>63</v>
      </c>
      <c r="AU2119" s="4" t="s">
        <v>63</v>
      </c>
      <c r="AV2119" s="4" t="s">
        <v>63</v>
      </c>
      <c r="AW2119" s="4" t="s">
        <v>63</v>
      </c>
      <c r="AX2119" s="4" t="s">
        <v>63</v>
      </c>
      <c r="AY2119" s="4" t="s">
        <v>63</v>
      </c>
      <c r="AZ2119" s="4" t="s">
        <v>63</v>
      </c>
      <c r="BA2119" s="4" t="s">
        <v>63</v>
      </c>
      <c r="BB2119" s="4" t="s">
        <v>63</v>
      </c>
      <c r="BC2119" s="4" t="s">
        <v>63</v>
      </c>
      <c r="BD2119" s="4" t="s">
        <v>63</v>
      </c>
      <c r="BE2119" s="4" t="s">
        <v>63</v>
      </c>
      <c r="BF2119" s="4" t="s">
        <v>63</v>
      </c>
    </row>
    <row r="2120" spans="1:58">
      <c r="A2120" s="4" t="s">
        <v>58</v>
      </c>
      <c r="B2120" s="4" t="s">
        <v>18095</v>
      </c>
      <c r="C2120" s="4" t="s">
        <v>18096</v>
      </c>
      <c r="D2120" s="4" t="s">
        <v>6854</v>
      </c>
      <c r="E2120" s="4" t="s">
        <v>63</v>
      </c>
      <c r="F2120" s="4">
        <v>2012</v>
      </c>
      <c r="G2120" s="6">
        <v>41882</v>
      </c>
      <c r="H2120" s="4" t="s">
        <v>16970</v>
      </c>
      <c r="I2120" s="4" t="s">
        <v>63</v>
      </c>
      <c r="J2120" s="4" t="s">
        <v>63</v>
      </c>
      <c r="K2120" s="4" t="s">
        <v>63</v>
      </c>
      <c r="L2120" s="4" t="s">
        <v>18097</v>
      </c>
      <c r="M2120" s="4" t="s">
        <v>18098</v>
      </c>
      <c r="N2120" s="4" t="s">
        <v>18099</v>
      </c>
      <c r="O2120" s="4" t="s">
        <v>63</v>
      </c>
      <c r="P2120" s="4"/>
      <c r="Q2120" s="4" t="s">
        <v>63</v>
      </c>
      <c r="R2120" s="4" t="s">
        <v>63</v>
      </c>
      <c r="S2120" s="4" t="s">
        <v>63</v>
      </c>
      <c r="T2120" s="4" t="s">
        <v>63</v>
      </c>
      <c r="U2120" s="4"/>
      <c r="V2120" s="4"/>
      <c r="W2120" s="4"/>
      <c r="X2120" s="4" t="s">
        <v>63</v>
      </c>
      <c r="Y2120" s="4" t="s">
        <v>15322</v>
      </c>
      <c r="Z2120" s="4" t="s">
        <v>63</v>
      </c>
      <c r="AA2120" s="4" t="s">
        <v>63</v>
      </c>
      <c r="AB2120" s="4" t="s">
        <v>63</v>
      </c>
      <c r="AC2120" s="4" t="s">
        <v>67</v>
      </c>
      <c r="AD2120" s="4" t="s">
        <v>63</v>
      </c>
      <c r="AE2120" s="4" t="s">
        <v>63</v>
      </c>
      <c r="AF2120" s="4" t="s">
        <v>63</v>
      </c>
      <c r="AG2120" s="4" t="s">
        <v>63</v>
      </c>
      <c r="AH2120" s="4" t="s">
        <v>63</v>
      </c>
      <c r="AI2120" s="4" t="s">
        <v>63</v>
      </c>
      <c r="AJ2120" s="4" t="s">
        <v>63</v>
      </c>
      <c r="AK2120" s="4" t="s">
        <v>63</v>
      </c>
      <c r="AL2120" s="4" t="s">
        <v>63</v>
      </c>
      <c r="AM2120" s="4" t="s">
        <v>18096</v>
      </c>
      <c r="AN2120" s="4" t="s">
        <v>63</v>
      </c>
      <c r="AO2120" s="4" t="s">
        <v>63</v>
      </c>
      <c r="AP2120" s="4" t="s">
        <v>63</v>
      </c>
      <c r="AQ2120" s="4" t="s">
        <v>63</v>
      </c>
      <c r="AR2120" s="4" t="s">
        <v>63</v>
      </c>
      <c r="AS2120" s="4" t="s">
        <v>63</v>
      </c>
      <c r="AT2120" s="4" t="s">
        <v>63</v>
      </c>
      <c r="AU2120" s="4" t="s">
        <v>63</v>
      </c>
      <c r="AV2120" s="4" t="s">
        <v>63</v>
      </c>
      <c r="AW2120" s="4" t="s">
        <v>63</v>
      </c>
      <c r="AX2120" s="4" t="s">
        <v>63</v>
      </c>
      <c r="AY2120" s="4" t="s">
        <v>63</v>
      </c>
      <c r="AZ2120" s="4" t="s">
        <v>63</v>
      </c>
      <c r="BA2120" s="4" t="s">
        <v>63</v>
      </c>
      <c r="BB2120" s="4" t="s">
        <v>63</v>
      </c>
      <c r="BC2120" s="4" t="s">
        <v>63</v>
      </c>
      <c r="BD2120" s="4" t="s">
        <v>63</v>
      </c>
      <c r="BE2120" s="4" t="s">
        <v>63</v>
      </c>
      <c r="BF2120" s="4" t="s">
        <v>63</v>
      </c>
    </row>
    <row r="2121" spans="1:58">
      <c r="A2121" s="4" t="s">
        <v>58</v>
      </c>
      <c r="B2121" s="4" t="s">
        <v>18100</v>
      </c>
      <c r="C2121" s="4" t="s">
        <v>18101</v>
      </c>
      <c r="D2121" s="4" t="s">
        <v>16604</v>
      </c>
      <c r="E2121" s="4" t="s">
        <v>16605</v>
      </c>
      <c r="F2121" s="4">
        <v>2013</v>
      </c>
      <c r="G2121" s="4" t="s">
        <v>189</v>
      </c>
      <c r="H2121" s="4" t="s">
        <v>18102</v>
      </c>
      <c r="I2121" s="4" t="s">
        <v>63</v>
      </c>
      <c r="J2121" s="4">
        <v>19</v>
      </c>
      <c r="K2121" s="4" t="s">
        <v>63</v>
      </c>
      <c r="L2121" s="4" t="s">
        <v>18103</v>
      </c>
      <c r="M2121" s="4" t="s">
        <v>18104</v>
      </c>
      <c r="N2121" s="4" t="s">
        <v>18105</v>
      </c>
      <c r="O2121" s="4" t="s">
        <v>63</v>
      </c>
      <c r="P2121" s="4"/>
      <c r="Q2121" s="4" t="s">
        <v>63</v>
      </c>
      <c r="R2121" s="4" t="s">
        <v>63</v>
      </c>
      <c r="S2121" s="4" t="s">
        <v>63</v>
      </c>
      <c r="T2121" s="4" t="s">
        <v>63</v>
      </c>
      <c r="U2121" s="4"/>
      <c r="V2121" s="4"/>
      <c r="W2121" s="4"/>
      <c r="X2121" s="4" t="s">
        <v>63</v>
      </c>
      <c r="Y2121" s="4" t="s">
        <v>16610</v>
      </c>
      <c r="Z2121" s="4" t="s">
        <v>63</v>
      </c>
      <c r="AA2121" s="4" t="s">
        <v>63</v>
      </c>
      <c r="AB2121" s="4" t="s">
        <v>63</v>
      </c>
      <c r="AC2121" s="4" t="s">
        <v>67</v>
      </c>
      <c r="AD2121" s="4" t="s">
        <v>63</v>
      </c>
      <c r="AE2121" s="4" t="s">
        <v>63</v>
      </c>
      <c r="AF2121" s="4" t="s">
        <v>63</v>
      </c>
      <c r="AG2121" s="4" t="s">
        <v>63</v>
      </c>
      <c r="AH2121" s="4" t="s">
        <v>63</v>
      </c>
      <c r="AI2121" s="4" t="s">
        <v>18106</v>
      </c>
      <c r="AJ2121" s="4" t="s">
        <v>63</v>
      </c>
      <c r="AK2121" s="4" t="s">
        <v>63</v>
      </c>
      <c r="AL2121" s="4" t="s">
        <v>63</v>
      </c>
      <c r="AM2121" s="4" t="s">
        <v>18101</v>
      </c>
      <c r="AN2121" s="4" t="s">
        <v>63</v>
      </c>
      <c r="AO2121" s="4" t="s">
        <v>63</v>
      </c>
      <c r="AP2121" s="4" t="s">
        <v>63</v>
      </c>
      <c r="AQ2121" s="4" t="s">
        <v>63</v>
      </c>
      <c r="AR2121" s="4" t="s">
        <v>63</v>
      </c>
      <c r="AS2121" s="4" t="s">
        <v>63</v>
      </c>
      <c r="AT2121" s="4" t="s">
        <v>63</v>
      </c>
      <c r="AU2121" s="4" t="s">
        <v>63</v>
      </c>
      <c r="AV2121" s="4" t="s">
        <v>63</v>
      </c>
      <c r="AW2121" s="4" t="s">
        <v>63</v>
      </c>
      <c r="AX2121" s="4" t="s">
        <v>63</v>
      </c>
      <c r="AY2121" s="4" t="s">
        <v>63</v>
      </c>
      <c r="AZ2121" s="4" t="s">
        <v>63</v>
      </c>
      <c r="BA2121" s="4" t="s">
        <v>63</v>
      </c>
      <c r="BB2121" s="4" t="s">
        <v>63</v>
      </c>
      <c r="BC2121" s="4" t="s">
        <v>63</v>
      </c>
      <c r="BD2121" s="4" t="s">
        <v>63</v>
      </c>
      <c r="BE2121" s="4" t="s">
        <v>63</v>
      </c>
      <c r="BF2121" s="4" t="s">
        <v>63</v>
      </c>
    </row>
    <row r="2122" spans="1:58">
      <c r="A2122" s="4" t="s">
        <v>58</v>
      </c>
      <c r="B2122" s="4" t="s">
        <v>18107</v>
      </c>
      <c r="C2122" s="4" t="s">
        <v>18108</v>
      </c>
      <c r="D2122" s="4" t="s">
        <v>18109</v>
      </c>
      <c r="E2122" s="4" t="s">
        <v>63</v>
      </c>
      <c r="F2122" s="4">
        <v>2014</v>
      </c>
      <c r="G2122" s="4" t="s">
        <v>63</v>
      </c>
      <c r="H2122" s="7">
        <v>2.6680555555555556</v>
      </c>
      <c r="I2122" s="4" t="s">
        <v>63</v>
      </c>
      <c r="J2122" s="4" t="s">
        <v>63</v>
      </c>
      <c r="K2122" s="4" t="s">
        <v>63</v>
      </c>
      <c r="L2122" s="4" t="s">
        <v>18110</v>
      </c>
      <c r="M2122" s="4" t="s">
        <v>18111</v>
      </c>
      <c r="N2122" s="4" t="s">
        <v>18112</v>
      </c>
      <c r="O2122" s="4" t="s">
        <v>63</v>
      </c>
      <c r="P2122" s="4"/>
      <c r="Q2122" s="4" t="s">
        <v>63</v>
      </c>
      <c r="R2122" s="4" t="s">
        <v>63</v>
      </c>
      <c r="S2122" s="4" t="s">
        <v>63</v>
      </c>
      <c r="T2122" s="4" t="s">
        <v>63</v>
      </c>
      <c r="U2122" s="4"/>
      <c r="V2122" s="4"/>
      <c r="W2122" s="4"/>
      <c r="X2122" s="4" t="s">
        <v>63</v>
      </c>
      <c r="Y2122" s="4" t="s">
        <v>3655</v>
      </c>
      <c r="Z2122" s="4" t="s">
        <v>63</v>
      </c>
      <c r="AA2122" s="4" t="s">
        <v>63</v>
      </c>
      <c r="AB2122" s="4">
        <v>2014081734</v>
      </c>
      <c r="AC2122" s="4" t="s">
        <v>67</v>
      </c>
      <c r="AD2122" s="4" t="s">
        <v>63</v>
      </c>
      <c r="AE2122" s="4" t="s">
        <v>63</v>
      </c>
      <c r="AF2122" s="4" t="s">
        <v>63</v>
      </c>
      <c r="AG2122" s="4" t="s">
        <v>18113</v>
      </c>
      <c r="AH2122" s="4" t="s">
        <v>63</v>
      </c>
      <c r="AI2122" s="4" t="s">
        <v>63</v>
      </c>
      <c r="AJ2122" s="4" t="s">
        <v>63</v>
      </c>
      <c r="AK2122" s="4" t="s">
        <v>63</v>
      </c>
      <c r="AL2122" s="4" t="s">
        <v>63</v>
      </c>
      <c r="AM2122" s="4" t="s">
        <v>18114</v>
      </c>
      <c r="AN2122" s="4" t="s">
        <v>63</v>
      </c>
      <c r="AO2122" s="4" t="s">
        <v>63</v>
      </c>
      <c r="AP2122" s="4" t="s">
        <v>63</v>
      </c>
      <c r="AQ2122" s="4" t="s">
        <v>63</v>
      </c>
      <c r="AR2122" s="4" t="s">
        <v>63</v>
      </c>
      <c r="AS2122" s="4" t="s">
        <v>63</v>
      </c>
      <c r="AT2122" s="4" t="s">
        <v>63</v>
      </c>
      <c r="AU2122" s="4" t="s">
        <v>63</v>
      </c>
      <c r="AV2122" s="4" t="s">
        <v>63</v>
      </c>
      <c r="AW2122" s="4" t="s">
        <v>63</v>
      </c>
      <c r="AX2122" s="4" t="s">
        <v>63</v>
      </c>
      <c r="AY2122" s="4" t="s">
        <v>63</v>
      </c>
      <c r="AZ2122" s="4" t="s">
        <v>63</v>
      </c>
      <c r="BA2122" s="4" t="s">
        <v>63</v>
      </c>
      <c r="BB2122" s="4" t="s">
        <v>63</v>
      </c>
      <c r="BC2122" s="4" t="s">
        <v>63</v>
      </c>
      <c r="BD2122" s="4" t="s">
        <v>63</v>
      </c>
      <c r="BE2122" s="4" t="s">
        <v>63</v>
      </c>
      <c r="BF2122" s="4" t="s">
        <v>63</v>
      </c>
    </row>
    <row r="2123" spans="1:58">
      <c r="A2123" s="4" t="s">
        <v>58</v>
      </c>
      <c r="B2123" s="4" t="s">
        <v>18115</v>
      </c>
      <c r="C2123" s="4" t="s">
        <v>18116</v>
      </c>
      <c r="D2123" s="4" t="s">
        <v>18117</v>
      </c>
      <c r="E2123" s="4" t="s">
        <v>18118</v>
      </c>
      <c r="F2123" s="4">
        <v>1983</v>
      </c>
      <c r="G2123" s="4" t="s">
        <v>63</v>
      </c>
      <c r="H2123" s="4">
        <v>44</v>
      </c>
      <c r="I2123" s="4">
        <v>12</v>
      </c>
      <c r="J2123" s="4" t="s">
        <v>18119</v>
      </c>
      <c r="K2123" s="4" t="s">
        <v>18120</v>
      </c>
      <c r="L2123" s="4" t="s">
        <v>18121</v>
      </c>
      <c r="M2123" s="4" t="s">
        <v>63</v>
      </c>
      <c r="N2123" s="4" t="s">
        <v>18122</v>
      </c>
      <c r="O2123" s="4" t="s">
        <v>63</v>
      </c>
      <c r="P2123" s="4"/>
      <c r="Q2123" s="4" t="s">
        <v>63</v>
      </c>
      <c r="R2123" s="4" t="s">
        <v>63</v>
      </c>
      <c r="S2123" s="4" t="s">
        <v>63</v>
      </c>
      <c r="T2123" s="4" t="s">
        <v>63</v>
      </c>
      <c r="U2123" s="4"/>
      <c r="V2123" s="4"/>
      <c r="W2123" s="4"/>
      <c r="X2123" s="4" t="s">
        <v>63</v>
      </c>
      <c r="Y2123" s="4" t="s">
        <v>18123</v>
      </c>
      <c r="Z2123" s="4" t="s">
        <v>63</v>
      </c>
      <c r="AA2123" s="4" t="s">
        <v>63</v>
      </c>
      <c r="AB2123" s="4" t="s">
        <v>18124</v>
      </c>
      <c r="AC2123" s="4" t="s">
        <v>67</v>
      </c>
      <c r="AD2123" s="4" t="s">
        <v>63</v>
      </c>
      <c r="AE2123" s="4" t="s">
        <v>63</v>
      </c>
      <c r="AF2123" s="4" t="s">
        <v>63</v>
      </c>
      <c r="AG2123" s="4" t="s">
        <v>63</v>
      </c>
      <c r="AH2123" s="4" t="s">
        <v>63</v>
      </c>
      <c r="AI2123" s="4" t="s">
        <v>63</v>
      </c>
      <c r="AJ2123" s="4" t="s">
        <v>63</v>
      </c>
      <c r="AK2123" s="4" t="s">
        <v>63</v>
      </c>
      <c r="AL2123" s="4" t="s">
        <v>63</v>
      </c>
      <c r="AM2123" s="4" t="s">
        <v>18116</v>
      </c>
      <c r="AN2123" s="4" t="s">
        <v>63</v>
      </c>
      <c r="AO2123" s="4" t="s">
        <v>63</v>
      </c>
      <c r="AP2123" s="4" t="s">
        <v>63</v>
      </c>
      <c r="AQ2123" s="4" t="s">
        <v>63</v>
      </c>
      <c r="AR2123" s="4" t="s">
        <v>63</v>
      </c>
      <c r="AS2123" s="4" t="s">
        <v>63</v>
      </c>
      <c r="AT2123" s="4" t="s">
        <v>63</v>
      </c>
      <c r="AU2123" s="4" t="s">
        <v>63</v>
      </c>
      <c r="AV2123" s="4" t="s">
        <v>63</v>
      </c>
      <c r="AW2123" s="4" t="s">
        <v>63</v>
      </c>
      <c r="AX2123" s="4" t="s">
        <v>63</v>
      </c>
      <c r="AY2123" s="4" t="s">
        <v>63</v>
      </c>
      <c r="AZ2123" s="4" t="s">
        <v>63</v>
      </c>
      <c r="BA2123" s="4" t="s">
        <v>63</v>
      </c>
      <c r="BB2123" s="4" t="s">
        <v>63</v>
      </c>
      <c r="BC2123" s="4" t="s">
        <v>63</v>
      </c>
      <c r="BD2123" s="4" t="s">
        <v>63</v>
      </c>
      <c r="BE2123" s="4" t="s">
        <v>63</v>
      </c>
      <c r="BF2123" s="4" t="s">
        <v>63</v>
      </c>
    </row>
    <row r="2124" spans="1:58">
      <c r="A2124" s="4" t="s">
        <v>58</v>
      </c>
      <c r="B2124" s="4" t="s">
        <v>18125</v>
      </c>
      <c r="C2124" s="4" t="s">
        <v>18126</v>
      </c>
      <c r="D2124" s="4" t="s">
        <v>458</v>
      </c>
      <c r="E2124" s="4" t="s">
        <v>459</v>
      </c>
      <c r="F2124" s="4">
        <v>2009</v>
      </c>
      <c r="G2124" s="4" t="s">
        <v>189</v>
      </c>
      <c r="H2124" s="4">
        <v>73</v>
      </c>
      <c r="I2124" s="4">
        <v>5</v>
      </c>
      <c r="J2124" s="4">
        <v>539</v>
      </c>
      <c r="K2124" s="4">
        <v>549</v>
      </c>
      <c r="L2124" s="4" t="s">
        <v>18127</v>
      </c>
      <c r="M2124" s="4" t="s">
        <v>18128</v>
      </c>
      <c r="N2124" s="4" t="s">
        <v>18129</v>
      </c>
      <c r="O2124" s="4" t="s">
        <v>63</v>
      </c>
      <c r="P2124" s="4"/>
      <c r="Q2124" s="4" t="s">
        <v>63</v>
      </c>
      <c r="R2124" s="4" t="s">
        <v>63</v>
      </c>
      <c r="S2124" s="4" t="s">
        <v>63</v>
      </c>
      <c r="T2124" s="4" t="s">
        <v>63</v>
      </c>
      <c r="U2124" s="4"/>
      <c r="V2124" s="4"/>
      <c r="W2124" s="4"/>
      <c r="X2124" s="4" t="s">
        <v>63</v>
      </c>
      <c r="Y2124" s="4" t="s">
        <v>15242</v>
      </c>
      <c r="Z2124" s="4" t="s">
        <v>63</v>
      </c>
      <c r="AA2124" s="4" t="s">
        <v>63</v>
      </c>
      <c r="AB2124" s="4" t="s">
        <v>63</v>
      </c>
      <c r="AC2124" s="4" t="s">
        <v>67</v>
      </c>
      <c r="AD2124" s="4" t="s">
        <v>63</v>
      </c>
      <c r="AE2124" s="4" t="s">
        <v>63</v>
      </c>
      <c r="AF2124" s="4" t="s">
        <v>63</v>
      </c>
      <c r="AG2124" s="4" t="s">
        <v>18130</v>
      </c>
      <c r="AH2124" s="4" t="s">
        <v>63</v>
      </c>
      <c r="AI2124" s="4" t="s">
        <v>63</v>
      </c>
      <c r="AJ2124" s="4" t="s">
        <v>63</v>
      </c>
      <c r="AK2124" s="4" t="s">
        <v>63</v>
      </c>
      <c r="AL2124" s="4" t="s">
        <v>63</v>
      </c>
      <c r="AM2124" s="4" t="s">
        <v>18131</v>
      </c>
      <c r="AN2124" s="4" t="s">
        <v>63</v>
      </c>
      <c r="AO2124" s="4" t="s">
        <v>63</v>
      </c>
      <c r="AP2124" s="4" t="s">
        <v>63</v>
      </c>
      <c r="AQ2124" s="4" t="s">
        <v>63</v>
      </c>
      <c r="AR2124" s="4" t="s">
        <v>63</v>
      </c>
      <c r="AS2124" s="4" t="s">
        <v>63</v>
      </c>
      <c r="AT2124" s="4" t="s">
        <v>63</v>
      </c>
      <c r="AU2124" s="4" t="s">
        <v>63</v>
      </c>
      <c r="AV2124" s="4" t="s">
        <v>63</v>
      </c>
      <c r="AW2124" s="4" t="s">
        <v>63</v>
      </c>
      <c r="AX2124" s="4" t="s">
        <v>63</v>
      </c>
      <c r="AY2124" s="4" t="s">
        <v>63</v>
      </c>
      <c r="AZ2124" s="4" t="s">
        <v>63</v>
      </c>
      <c r="BA2124" s="4" t="s">
        <v>63</v>
      </c>
      <c r="BB2124" s="4" t="s">
        <v>63</v>
      </c>
      <c r="BC2124" s="4" t="s">
        <v>63</v>
      </c>
      <c r="BD2124" s="4" t="s">
        <v>63</v>
      </c>
      <c r="BE2124" s="4" t="s">
        <v>63</v>
      </c>
      <c r="BF2124" s="4" t="s">
        <v>63</v>
      </c>
    </row>
    <row r="2125" spans="1:58">
      <c r="A2125" s="4" t="s">
        <v>58</v>
      </c>
      <c r="B2125" s="4" t="s">
        <v>18132</v>
      </c>
      <c r="C2125" s="4" t="s">
        <v>18133</v>
      </c>
      <c r="D2125" s="4" t="s">
        <v>15399</v>
      </c>
      <c r="E2125" s="4" t="s">
        <v>63</v>
      </c>
      <c r="F2125" s="4">
        <v>2014</v>
      </c>
      <c r="G2125" s="4" t="s">
        <v>63</v>
      </c>
      <c r="H2125" s="4">
        <v>4</v>
      </c>
      <c r="I2125" s="4">
        <v>1</v>
      </c>
      <c r="J2125" s="4">
        <v>17</v>
      </c>
      <c r="K2125" s="4">
        <v>22</v>
      </c>
      <c r="L2125" s="4" t="s">
        <v>18134</v>
      </c>
      <c r="M2125" s="4" t="s">
        <v>18135</v>
      </c>
      <c r="N2125" s="4" t="s">
        <v>18136</v>
      </c>
      <c r="O2125" s="4" t="s">
        <v>63</v>
      </c>
      <c r="P2125" s="4"/>
      <c r="Q2125" s="4" t="s">
        <v>63</v>
      </c>
      <c r="R2125" s="4" t="s">
        <v>63</v>
      </c>
      <c r="S2125" s="4" t="s">
        <v>63</v>
      </c>
      <c r="T2125" s="4" t="s">
        <v>63</v>
      </c>
      <c r="U2125" s="4"/>
      <c r="V2125" s="4"/>
      <c r="W2125" s="4"/>
      <c r="X2125" s="4" t="s">
        <v>63</v>
      </c>
      <c r="Y2125" s="4" t="s">
        <v>15403</v>
      </c>
      <c r="Z2125" s="4" t="s">
        <v>63</v>
      </c>
      <c r="AA2125" s="4" t="s">
        <v>63</v>
      </c>
      <c r="AB2125" s="4" t="s">
        <v>18137</v>
      </c>
      <c r="AC2125" s="4" t="s">
        <v>67</v>
      </c>
      <c r="AD2125" s="4" t="s">
        <v>63</v>
      </c>
      <c r="AE2125" s="4" t="s">
        <v>63</v>
      </c>
      <c r="AF2125" s="4" t="s">
        <v>63</v>
      </c>
      <c r="AG2125" s="4" t="s">
        <v>63</v>
      </c>
      <c r="AH2125" s="4" t="s">
        <v>63</v>
      </c>
      <c r="AI2125" s="4" t="s">
        <v>63</v>
      </c>
      <c r="AJ2125" s="4" t="s">
        <v>63</v>
      </c>
      <c r="AK2125" s="4" t="s">
        <v>63</v>
      </c>
      <c r="AL2125" s="4" t="s">
        <v>63</v>
      </c>
      <c r="AM2125" s="4" t="s">
        <v>18133</v>
      </c>
      <c r="AN2125" s="4" t="s">
        <v>63</v>
      </c>
      <c r="AO2125" s="4" t="s">
        <v>63</v>
      </c>
      <c r="AP2125" s="4" t="s">
        <v>63</v>
      </c>
      <c r="AQ2125" s="4" t="s">
        <v>63</v>
      </c>
      <c r="AR2125" s="4" t="s">
        <v>63</v>
      </c>
      <c r="AS2125" s="4" t="s">
        <v>63</v>
      </c>
      <c r="AT2125" s="4" t="s">
        <v>63</v>
      </c>
      <c r="AU2125" s="4" t="s">
        <v>63</v>
      </c>
      <c r="AV2125" s="4" t="s">
        <v>63</v>
      </c>
      <c r="AW2125" s="4" t="s">
        <v>63</v>
      </c>
      <c r="AX2125" s="4" t="s">
        <v>63</v>
      </c>
      <c r="AY2125" s="4" t="s">
        <v>63</v>
      </c>
      <c r="AZ2125" s="4" t="s">
        <v>63</v>
      </c>
      <c r="BA2125" s="4" t="s">
        <v>63</v>
      </c>
      <c r="BB2125" s="4" t="s">
        <v>63</v>
      </c>
      <c r="BC2125" s="4" t="s">
        <v>63</v>
      </c>
      <c r="BD2125" s="4" t="s">
        <v>63</v>
      </c>
      <c r="BE2125" s="4" t="s">
        <v>63</v>
      </c>
      <c r="BF2125" s="4" t="s">
        <v>63</v>
      </c>
    </row>
    <row r="2126" spans="1:58">
      <c r="A2126" s="4" t="s">
        <v>58</v>
      </c>
      <c r="B2126" s="4" t="s">
        <v>18138</v>
      </c>
      <c r="C2126" s="4" t="s">
        <v>18139</v>
      </c>
      <c r="D2126" s="4" t="s">
        <v>18140</v>
      </c>
      <c r="E2126" s="4" t="s">
        <v>18141</v>
      </c>
      <c r="F2126" s="4">
        <v>2000</v>
      </c>
      <c r="G2126" s="4" t="s">
        <v>198</v>
      </c>
      <c r="H2126" s="4">
        <v>21</v>
      </c>
      <c r="I2126" s="4">
        <v>1</v>
      </c>
      <c r="J2126" s="4">
        <v>76</v>
      </c>
      <c r="K2126" s="4">
        <v>80</v>
      </c>
      <c r="L2126" s="4" t="s">
        <v>18142</v>
      </c>
      <c r="M2126" s="4" t="s">
        <v>18143</v>
      </c>
      <c r="N2126" s="4" t="s">
        <v>18144</v>
      </c>
      <c r="O2126" s="4" t="s">
        <v>63</v>
      </c>
      <c r="P2126" s="4"/>
      <c r="Q2126" s="4" t="s">
        <v>63</v>
      </c>
      <c r="R2126" s="4" t="s">
        <v>63</v>
      </c>
      <c r="S2126" s="4" t="s">
        <v>63</v>
      </c>
      <c r="T2126" s="4" t="s">
        <v>63</v>
      </c>
      <c r="U2126" s="4"/>
      <c r="V2126" s="4"/>
      <c r="W2126" s="4"/>
      <c r="X2126" s="4" t="s">
        <v>63</v>
      </c>
      <c r="Y2126" s="4" t="s">
        <v>18145</v>
      </c>
      <c r="Z2126" s="4" t="s">
        <v>63</v>
      </c>
      <c r="AA2126" s="4" t="s">
        <v>63</v>
      </c>
      <c r="AB2126" s="4" t="s">
        <v>63</v>
      </c>
      <c r="AC2126" s="4" t="s">
        <v>67</v>
      </c>
      <c r="AD2126" s="4" t="s">
        <v>63</v>
      </c>
      <c r="AE2126" s="4" t="s">
        <v>63</v>
      </c>
      <c r="AF2126" s="4" t="s">
        <v>63</v>
      </c>
      <c r="AG2126" s="4" t="s">
        <v>18146</v>
      </c>
      <c r="AH2126" s="4" t="s">
        <v>63</v>
      </c>
      <c r="AI2126" s="4" t="s">
        <v>63</v>
      </c>
      <c r="AJ2126" s="4" t="s">
        <v>63</v>
      </c>
      <c r="AK2126" s="4" t="s">
        <v>63</v>
      </c>
      <c r="AL2126" s="4" t="s">
        <v>63</v>
      </c>
      <c r="AM2126" s="4" t="s">
        <v>18147</v>
      </c>
      <c r="AN2126" s="4" t="s">
        <v>63</v>
      </c>
      <c r="AO2126" s="4" t="s">
        <v>63</v>
      </c>
      <c r="AP2126" s="4" t="s">
        <v>63</v>
      </c>
      <c r="AQ2126" s="4" t="s">
        <v>63</v>
      </c>
      <c r="AR2126" s="4" t="s">
        <v>63</v>
      </c>
      <c r="AS2126" s="4" t="s">
        <v>63</v>
      </c>
      <c r="AT2126" s="4" t="s">
        <v>63</v>
      </c>
      <c r="AU2126" s="4" t="s">
        <v>63</v>
      </c>
      <c r="AV2126" s="4" t="s">
        <v>63</v>
      </c>
      <c r="AW2126" s="4" t="s">
        <v>63</v>
      </c>
      <c r="AX2126" s="4" t="s">
        <v>63</v>
      </c>
      <c r="AY2126" s="4" t="s">
        <v>63</v>
      </c>
      <c r="AZ2126" s="4" t="s">
        <v>63</v>
      </c>
      <c r="BA2126" s="4" t="s">
        <v>63</v>
      </c>
      <c r="BB2126" s="4" t="s">
        <v>63</v>
      </c>
      <c r="BC2126" s="4" t="s">
        <v>63</v>
      </c>
      <c r="BD2126" s="4" t="s">
        <v>63</v>
      </c>
      <c r="BE2126" s="4" t="s">
        <v>63</v>
      </c>
      <c r="BF2126" s="4" t="s">
        <v>63</v>
      </c>
    </row>
    <row r="2127" spans="1:58">
      <c r="A2127" s="4" t="s">
        <v>58</v>
      </c>
      <c r="B2127" s="4" t="s">
        <v>18148</v>
      </c>
      <c r="C2127" s="4" t="s">
        <v>18149</v>
      </c>
      <c r="D2127" s="4" t="s">
        <v>3638</v>
      </c>
      <c r="E2127" s="4" t="s">
        <v>3639</v>
      </c>
      <c r="F2127" s="4">
        <v>2014</v>
      </c>
      <c r="G2127" s="4" t="s">
        <v>15165</v>
      </c>
      <c r="H2127" s="4" t="s">
        <v>18150</v>
      </c>
      <c r="I2127" s="4" t="s">
        <v>63</v>
      </c>
      <c r="J2127" s="4" t="s">
        <v>18151</v>
      </c>
      <c r="K2127" s="4" t="s">
        <v>63</v>
      </c>
      <c r="L2127" s="4" t="s">
        <v>18152</v>
      </c>
      <c r="M2127" s="4" t="s">
        <v>18153</v>
      </c>
      <c r="N2127" s="4" t="s">
        <v>18154</v>
      </c>
      <c r="O2127" s="4" t="s">
        <v>63</v>
      </c>
      <c r="P2127" s="4"/>
      <c r="Q2127" s="4" t="s">
        <v>63</v>
      </c>
      <c r="R2127" s="4" t="s">
        <v>63</v>
      </c>
      <c r="S2127" s="4" t="s">
        <v>63</v>
      </c>
      <c r="T2127" s="4" t="s">
        <v>63</v>
      </c>
      <c r="U2127" s="4"/>
      <c r="V2127" s="4"/>
      <c r="W2127" s="4"/>
      <c r="X2127" s="4" t="s">
        <v>63</v>
      </c>
      <c r="Y2127" s="4" t="s">
        <v>3645</v>
      </c>
      <c r="Z2127" s="4" t="s">
        <v>63</v>
      </c>
      <c r="AA2127" s="4" t="s">
        <v>63</v>
      </c>
      <c r="AB2127" s="4" t="s">
        <v>63</v>
      </c>
      <c r="AC2127" s="4" t="s">
        <v>67</v>
      </c>
      <c r="AD2127" s="4" t="s">
        <v>63</v>
      </c>
      <c r="AE2127" s="4" t="s">
        <v>63</v>
      </c>
      <c r="AF2127" s="4" t="s">
        <v>63</v>
      </c>
      <c r="AG2127" s="4" t="s">
        <v>63</v>
      </c>
      <c r="AH2127" s="4" t="s">
        <v>63</v>
      </c>
      <c r="AI2127" s="4" t="s">
        <v>63</v>
      </c>
      <c r="AJ2127" s="4" t="s">
        <v>63</v>
      </c>
      <c r="AK2127" s="4" t="s">
        <v>63</v>
      </c>
      <c r="AL2127" s="4" t="s">
        <v>63</v>
      </c>
      <c r="AM2127" s="4" t="s">
        <v>18149</v>
      </c>
      <c r="AN2127" s="4" t="s">
        <v>63</v>
      </c>
      <c r="AO2127" s="4" t="s">
        <v>63</v>
      </c>
      <c r="AP2127" s="4" t="s">
        <v>63</v>
      </c>
      <c r="AQ2127" s="4" t="s">
        <v>63</v>
      </c>
      <c r="AR2127" s="4" t="s">
        <v>63</v>
      </c>
      <c r="AS2127" s="4" t="s">
        <v>63</v>
      </c>
      <c r="AT2127" s="4" t="s">
        <v>63</v>
      </c>
      <c r="AU2127" s="4" t="s">
        <v>63</v>
      </c>
      <c r="AV2127" s="4" t="s">
        <v>63</v>
      </c>
      <c r="AW2127" s="4" t="s">
        <v>63</v>
      </c>
      <c r="AX2127" s="4" t="s">
        <v>63</v>
      </c>
      <c r="AY2127" s="4" t="s">
        <v>63</v>
      </c>
      <c r="AZ2127" s="4" t="s">
        <v>63</v>
      </c>
      <c r="BA2127" s="4" t="s">
        <v>63</v>
      </c>
      <c r="BB2127" s="4" t="s">
        <v>63</v>
      </c>
      <c r="BC2127" s="4" t="s">
        <v>63</v>
      </c>
      <c r="BD2127" s="4" t="s">
        <v>63</v>
      </c>
      <c r="BE2127" s="4" t="s">
        <v>63</v>
      </c>
      <c r="BF2127" s="4" t="s">
        <v>63</v>
      </c>
    </row>
    <row r="2128" spans="1:58">
      <c r="A2128" s="4" t="s">
        <v>58</v>
      </c>
      <c r="B2128" s="4" t="s">
        <v>18155</v>
      </c>
      <c r="C2128" s="4" t="s">
        <v>18156</v>
      </c>
      <c r="D2128" s="4" t="s">
        <v>1332</v>
      </c>
      <c r="E2128" s="4" t="s">
        <v>63</v>
      </c>
      <c r="F2128" s="4">
        <v>2012</v>
      </c>
      <c r="G2128" s="4" t="s">
        <v>15665</v>
      </c>
      <c r="H2128" s="4">
        <v>50</v>
      </c>
      <c r="I2128" s="4">
        <v>2</v>
      </c>
      <c r="J2128" s="4" t="s">
        <v>3151</v>
      </c>
      <c r="K2128" s="4" t="s">
        <v>63</v>
      </c>
      <c r="L2128" s="4" t="s">
        <v>18157</v>
      </c>
      <c r="M2128" s="4" t="s">
        <v>18158</v>
      </c>
      <c r="N2128" s="4" t="s">
        <v>18159</v>
      </c>
      <c r="O2128" s="4" t="s">
        <v>63</v>
      </c>
      <c r="P2128" s="4"/>
      <c r="Q2128" s="4" t="s">
        <v>63</v>
      </c>
      <c r="R2128" s="4" t="s">
        <v>63</v>
      </c>
      <c r="S2128" s="4" t="s">
        <v>63</v>
      </c>
      <c r="T2128" s="4" t="s">
        <v>63</v>
      </c>
      <c r="U2128" s="4"/>
      <c r="V2128" s="4"/>
      <c r="W2128" s="4"/>
      <c r="X2128" s="4" t="s">
        <v>63</v>
      </c>
      <c r="Y2128" s="4" t="s">
        <v>18160</v>
      </c>
      <c r="Z2128" s="4" t="s">
        <v>63</v>
      </c>
      <c r="AA2128" s="4" t="s">
        <v>63</v>
      </c>
      <c r="AB2128" s="4" t="s">
        <v>63</v>
      </c>
      <c r="AC2128" s="4" t="s">
        <v>67</v>
      </c>
      <c r="AD2128" s="4" t="s">
        <v>63</v>
      </c>
      <c r="AE2128" s="4" t="s">
        <v>63</v>
      </c>
      <c r="AF2128" s="4" t="s">
        <v>63</v>
      </c>
      <c r="AG2128" s="4" t="s">
        <v>63</v>
      </c>
      <c r="AH2128" s="4" t="s">
        <v>63</v>
      </c>
      <c r="AI2128" s="4" t="s">
        <v>18161</v>
      </c>
      <c r="AJ2128" s="4" t="s">
        <v>63</v>
      </c>
      <c r="AK2128" s="4" t="s">
        <v>63</v>
      </c>
      <c r="AL2128" s="4" t="s">
        <v>63</v>
      </c>
      <c r="AM2128" s="4" t="s">
        <v>18156</v>
      </c>
      <c r="AN2128" s="4" t="s">
        <v>63</v>
      </c>
      <c r="AO2128" s="4" t="s">
        <v>63</v>
      </c>
      <c r="AP2128" s="4" t="s">
        <v>63</v>
      </c>
      <c r="AQ2128" s="4" t="s">
        <v>63</v>
      </c>
      <c r="AR2128" s="4" t="s">
        <v>63</v>
      </c>
      <c r="AS2128" s="4" t="s">
        <v>63</v>
      </c>
      <c r="AT2128" s="4" t="s">
        <v>63</v>
      </c>
      <c r="AU2128" s="4" t="s">
        <v>63</v>
      </c>
      <c r="AV2128" s="4" t="s">
        <v>63</v>
      </c>
      <c r="AW2128" s="4" t="s">
        <v>63</v>
      </c>
      <c r="AX2128" s="4" t="s">
        <v>63</v>
      </c>
      <c r="AY2128" s="4" t="s">
        <v>63</v>
      </c>
      <c r="AZ2128" s="4" t="s">
        <v>63</v>
      </c>
      <c r="BA2128" s="4" t="s">
        <v>63</v>
      </c>
      <c r="BB2128" s="4" t="s">
        <v>63</v>
      </c>
      <c r="BC2128" s="4" t="s">
        <v>63</v>
      </c>
      <c r="BD2128" s="4" t="s">
        <v>63</v>
      </c>
      <c r="BE2128" s="4" t="s">
        <v>63</v>
      </c>
      <c r="BF2128" s="4" t="s">
        <v>63</v>
      </c>
    </row>
    <row r="2129" spans="1:58">
      <c r="A2129" s="4" t="s">
        <v>58</v>
      </c>
      <c r="B2129" s="4" t="s">
        <v>18162</v>
      </c>
      <c r="C2129" s="4" t="s">
        <v>18163</v>
      </c>
      <c r="D2129" s="4" t="s">
        <v>155</v>
      </c>
      <c r="E2129" s="4" t="s">
        <v>156</v>
      </c>
      <c r="F2129" s="4">
        <v>2012</v>
      </c>
      <c r="G2129" s="4" t="s">
        <v>15358</v>
      </c>
      <c r="H2129" s="4">
        <v>60</v>
      </c>
      <c r="I2129" s="4">
        <v>4</v>
      </c>
      <c r="J2129" s="4" t="s">
        <v>18164</v>
      </c>
      <c r="K2129" s="4" t="s">
        <v>18165</v>
      </c>
      <c r="L2129" s="4" t="s">
        <v>18166</v>
      </c>
      <c r="M2129" s="4" t="s">
        <v>18167</v>
      </c>
      <c r="N2129" s="4" t="s">
        <v>18168</v>
      </c>
      <c r="O2129" s="4" t="s">
        <v>63</v>
      </c>
      <c r="P2129" s="4"/>
      <c r="Q2129" s="4" t="s">
        <v>63</v>
      </c>
      <c r="R2129" s="4" t="s">
        <v>63</v>
      </c>
      <c r="S2129" s="4" t="s">
        <v>63</v>
      </c>
      <c r="T2129" s="4" t="s">
        <v>63</v>
      </c>
      <c r="U2129" s="4"/>
      <c r="V2129" s="4"/>
      <c r="W2129" s="4"/>
      <c r="X2129" s="4" t="s">
        <v>63</v>
      </c>
      <c r="Y2129" s="4" t="s">
        <v>160</v>
      </c>
      <c r="Z2129" s="4" t="s">
        <v>63</v>
      </c>
      <c r="AA2129" s="4" t="s">
        <v>63</v>
      </c>
      <c r="AB2129" s="4" t="s">
        <v>63</v>
      </c>
      <c r="AC2129" s="4" t="s">
        <v>67</v>
      </c>
      <c r="AD2129" s="4" t="s">
        <v>63</v>
      </c>
      <c r="AE2129" s="4" t="s">
        <v>63</v>
      </c>
      <c r="AF2129" s="4" t="s">
        <v>63</v>
      </c>
      <c r="AG2129" s="4" t="s">
        <v>63</v>
      </c>
      <c r="AH2129" s="4" t="s">
        <v>63</v>
      </c>
      <c r="AI2129" s="4" t="s">
        <v>18169</v>
      </c>
      <c r="AJ2129" s="4" t="s">
        <v>63</v>
      </c>
      <c r="AK2129" s="4" t="s">
        <v>63</v>
      </c>
      <c r="AL2129" s="4" t="s">
        <v>63</v>
      </c>
      <c r="AM2129" s="4" t="s">
        <v>18163</v>
      </c>
      <c r="AN2129" s="4" t="s">
        <v>63</v>
      </c>
      <c r="AO2129" s="4" t="s">
        <v>63</v>
      </c>
      <c r="AP2129" s="4" t="s">
        <v>63</v>
      </c>
      <c r="AQ2129" s="4" t="s">
        <v>63</v>
      </c>
      <c r="AR2129" s="4" t="s">
        <v>63</v>
      </c>
      <c r="AS2129" s="4" t="s">
        <v>63</v>
      </c>
      <c r="AT2129" s="4" t="s">
        <v>63</v>
      </c>
      <c r="AU2129" s="4" t="s">
        <v>63</v>
      </c>
      <c r="AV2129" s="4" t="s">
        <v>63</v>
      </c>
      <c r="AW2129" s="4" t="s">
        <v>63</v>
      </c>
      <c r="AX2129" s="4" t="s">
        <v>63</v>
      </c>
      <c r="AY2129" s="4" t="s">
        <v>63</v>
      </c>
      <c r="AZ2129" s="4" t="s">
        <v>63</v>
      </c>
      <c r="BA2129" s="4" t="s">
        <v>63</v>
      </c>
      <c r="BB2129" s="4" t="s">
        <v>63</v>
      </c>
      <c r="BC2129" s="4" t="s">
        <v>63</v>
      </c>
      <c r="BD2129" s="4" t="s">
        <v>63</v>
      </c>
      <c r="BE2129" s="4" t="s">
        <v>63</v>
      </c>
      <c r="BF2129" s="4" t="s">
        <v>63</v>
      </c>
    </row>
    <row r="2130" spans="1:58">
      <c r="A2130" s="4" t="s">
        <v>58</v>
      </c>
      <c r="B2130" s="4" t="s">
        <v>18170</v>
      </c>
      <c r="C2130" s="4" t="s">
        <v>18171</v>
      </c>
      <c r="D2130" s="4" t="s">
        <v>18172</v>
      </c>
      <c r="E2130" s="4" t="s">
        <v>63</v>
      </c>
      <c r="F2130" s="4">
        <v>2018</v>
      </c>
      <c r="G2130" s="4" t="s">
        <v>63</v>
      </c>
      <c r="H2130" s="7">
        <v>2.0006944444444446</v>
      </c>
      <c r="I2130" s="4" t="s">
        <v>63</v>
      </c>
      <c r="J2130" s="4" t="s">
        <v>63</v>
      </c>
      <c r="K2130" s="4" t="s">
        <v>63</v>
      </c>
      <c r="L2130" s="4" t="s">
        <v>18173</v>
      </c>
      <c r="M2130" s="4" t="s">
        <v>18174</v>
      </c>
      <c r="N2130" s="4" t="s">
        <v>18175</v>
      </c>
      <c r="O2130" s="4" t="s">
        <v>63</v>
      </c>
      <c r="P2130" s="4"/>
      <c r="Q2130" s="4" t="s">
        <v>63</v>
      </c>
      <c r="R2130" s="4" t="s">
        <v>63</v>
      </c>
      <c r="S2130" s="4" t="s">
        <v>63</v>
      </c>
      <c r="T2130" s="4" t="s">
        <v>63</v>
      </c>
      <c r="U2130" s="4"/>
      <c r="V2130" s="4"/>
      <c r="W2130" s="4"/>
      <c r="X2130" s="4" t="s">
        <v>63</v>
      </c>
      <c r="Y2130" s="4" t="s">
        <v>18176</v>
      </c>
      <c r="Z2130" s="4" t="s">
        <v>63</v>
      </c>
      <c r="AA2130" s="4" t="s">
        <v>63</v>
      </c>
      <c r="AB2130" s="4" t="s">
        <v>18177</v>
      </c>
      <c r="AC2130" s="4" t="s">
        <v>67</v>
      </c>
      <c r="AD2130" s="4" t="s">
        <v>63</v>
      </c>
      <c r="AE2130" s="4" t="s">
        <v>63</v>
      </c>
      <c r="AF2130" s="4" t="s">
        <v>63</v>
      </c>
      <c r="AG2130" s="4" t="s">
        <v>63</v>
      </c>
      <c r="AH2130" s="4" t="s">
        <v>63</v>
      </c>
      <c r="AI2130" s="4" t="s">
        <v>18178</v>
      </c>
      <c r="AJ2130" s="4" t="s">
        <v>63</v>
      </c>
      <c r="AK2130" s="4" t="s">
        <v>63</v>
      </c>
      <c r="AL2130" s="4" t="s">
        <v>63</v>
      </c>
      <c r="AM2130" s="4" t="s">
        <v>18171</v>
      </c>
      <c r="AN2130" s="4" t="s">
        <v>63</v>
      </c>
      <c r="AO2130" s="4" t="s">
        <v>63</v>
      </c>
      <c r="AP2130" s="4" t="s">
        <v>63</v>
      </c>
      <c r="AQ2130" s="4" t="s">
        <v>63</v>
      </c>
      <c r="AR2130" s="4" t="s">
        <v>63</v>
      </c>
      <c r="AS2130" s="4" t="s">
        <v>63</v>
      </c>
      <c r="AT2130" s="4" t="s">
        <v>63</v>
      </c>
      <c r="AU2130" s="4" t="s">
        <v>63</v>
      </c>
      <c r="AV2130" s="4" t="s">
        <v>63</v>
      </c>
      <c r="AW2130" s="4" t="s">
        <v>63</v>
      </c>
      <c r="AX2130" s="4" t="s">
        <v>63</v>
      </c>
      <c r="AY2130" s="4" t="s">
        <v>63</v>
      </c>
      <c r="AZ2130" s="4" t="s">
        <v>63</v>
      </c>
      <c r="BA2130" s="4" t="s">
        <v>63</v>
      </c>
      <c r="BB2130" s="4" t="s">
        <v>63</v>
      </c>
      <c r="BC2130" s="4" t="s">
        <v>63</v>
      </c>
      <c r="BD2130" s="4" t="s">
        <v>63</v>
      </c>
      <c r="BE2130" s="4" t="s">
        <v>63</v>
      </c>
      <c r="BF2130" s="4" t="s">
        <v>63</v>
      </c>
    </row>
    <row r="2131" spans="1:58">
      <c r="A2131" s="4" t="s">
        <v>58</v>
      </c>
      <c r="B2131" s="4" t="s">
        <v>18179</v>
      </c>
      <c r="C2131" s="4" t="s">
        <v>18180</v>
      </c>
      <c r="D2131" s="4" t="s">
        <v>2353</v>
      </c>
      <c r="E2131" s="4" t="s">
        <v>2354</v>
      </c>
      <c r="F2131" s="4">
        <v>2007</v>
      </c>
      <c r="G2131" s="4" t="s">
        <v>15389</v>
      </c>
      <c r="H2131" s="4">
        <v>32</v>
      </c>
      <c r="I2131" s="4">
        <v>2</v>
      </c>
      <c r="J2131" s="4">
        <v>121</v>
      </c>
      <c r="K2131" s="4">
        <v>131</v>
      </c>
      <c r="L2131" s="4" t="s">
        <v>18181</v>
      </c>
      <c r="M2131" s="4" t="s">
        <v>18182</v>
      </c>
      <c r="N2131" s="4" t="s">
        <v>18183</v>
      </c>
      <c r="O2131" s="4" t="s">
        <v>63</v>
      </c>
      <c r="P2131" s="4"/>
      <c r="Q2131" s="4" t="s">
        <v>63</v>
      </c>
      <c r="R2131" s="4" t="s">
        <v>63</v>
      </c>
      <c r="S2131" s="4" t="s">
        <v>63</v>
      </c>
      <c r="T2131" s="4" t="s">
        <v>63</v>
      </c>
      <c r="U2131" s="4"/>
      <c r="V2131" s="4"/>
      <c r="W2131" s="4"/>
      <c r="X2131" s="4" t="s">
        <v>63</v>
      </c>
      <c r="Y2131" s="4" t="s">
        <v>2358</v>
      </c>
      <c r="Z2131" s="4" t="s">
        <v>63</v>
      </c>
      <c r="AA2131" s="4" t="s">
        <v>63</v>
      </c>
      <c r="AB2131" s="4">
        <v>2007083851</v>
      </c>
      <c r="AC2131" s="4" t="s">
        <v>67</v>
      </c>
      <c r="AD2131" s="4" t="s">
        <v>63</v>
      </c>
      <c r="AE2131" s="4" t="s">
        <v>63</v>
      </c>
      <c r="AF2131" s="4" t="s">
        <v>63</v>
      </c>
      <c r="AG2131" s="4" t="s">
        <v>18184</v>
      </c>
      <c r="AH2131" s="4" t="s">
        <v>63</v>
      </c>
      <c r="AI2131" s="4" t="s">
        <v>18185</v>
      </c>
      <c r="AJ2131" s="4" t="s">
        <v>63</v>
      </c>
      <c r="AK2131" s="4" t="s">
        <v>63</v>
      </c>
      <c r="AL2131" s="4" t="s">
        <v>63</v>
      </c>
      <c r="AM2131" s="4" t="s">
        <v>18186</v>
      </c>
      <c r="AN2131" s="4" t="s">
        <v>63</v>
      </c>
      <c r="AO2131" s="4" t="s">
        <v>63</v>
      </c>
      <c r="AP2131" s="4" t="s">
        <v>63</v>
      </c>
      <c r="AQ2131" s="4" t="s">
        <v>63</v>
      </c>
      <c r="AR2131" s="4" t="s">
        <v>63</v>
      </c>
      <c r="AS2131" s="4" t="s">
        <v>63</v>
      </c>
      <c r="AT2131" s="4" t="s">
        <v>63</v>
      </c>
      <c r="AU2131" s="4" t="s">
        <v>63</v>
      </c>
      <c r="AV2131" s="4" t="s">
        <v>63</v>
      </c>
      <c r="AW2131" s="4" t="s">
        <v>63</v>
      </c>
      <c r="AX2131" s="4" t="s">
        <v>63</v>
      </c>
      <c r="AY2131" s="4" t="s">
        <v>63</v>
      </c>
      <c r="AZ2131" s="4" t="s">
        <v>63</v>
      </c>
      <c r="BA2131" s="4" t="s">
        <v>63</v>
      </c>
      <c r="BB2131" s="4" t="s">
        <v>63</v>
      </c>
      <c r="BC2131" s="4" t="s">
        <v>63</v>
      </c>
      <c r="BD2131" s="4" t="s">
        <v>63</v>
      </c>
      <c r="BE2131" s="4" t="s">
        <v>63</v>
      </c>
      <c r="BF2131" s="4" t="s">
        <v>63</v>
      </c>
    </row>
    <row r="2132" spans="1:58">
      <c r="A2132" s="4" t="s">
        <v>58</v>
      </c>
      <c r="B2132" s="4" t="s">
        <v>18187</v>
      </c>
      <c r="C2132" s="4" t="s">
        <v>18188</v>
      </c>
      <c r="D2132" s="4" t="s">
        <v>16273</v>
      </c>
      <c r="E2132" s="4" t="s">
        <v>16274</v>
      </c>
      <c r="F2132" s="4">
        <v>2008</v>
      </c>
      <c r="G2132" s="4" t="s">
        <v>15300</v>
      </c>
      <c r="H2132" s="4">
        <v>76</v>
      </c>
      <c r="I2132" s="4">
        <v>4</v>
      </c>
      <c r="J2132" s="4">
        <v>556</v>
      </c>
      <c r="K2132" s="4">
        <v>567</v>
      </c>
      <c r="L2132" s="4" t="s">
        <v>18189</v>
      </c>
      <c r="M2132" s="4" t="s">
        <v>18190</v>
      </c>
      <c r="N2132" s="4" t="s">
        <v>18191</v>
      </c>
      <c r="O2132" s="4" t="s">
        <v>63</v>
      </c>
      <c r="P2132" s="4"/>
      <c r="Q2132" s="4" t="s">
        <v>63</v>
      </c>
      <c r="R2132" s="4" t="s">
        <v>63</v>
      </c>
      <c r="S2132" s="4" t="s">
        <v>63</v>
      </c>
      <c r="T2132" s="4" t="s">
        <v>63</v>
      </c>
      <c r="U2132" s="4"/>
      <c r="V2132" s="4"/>
      <c r="W2132" s="4"/>
      <c r="X2132" s="4" t="s">
        <v>63</v>
      </c>
      <c r="Y2132" s="4" t="s">
        <v>13942</v>
      </c>
      <c r="Z2132" s="4" t="s">
        <v>63</v>
      </c>
      <c r="AA2132" s="4" t="s">
        <v>63</v>
      </c>
      <c r="AB2132" s="4">
        <v>2008368204</v>
      </c>
      <c r="AC2132" s="4" t="s">
        <v>67</v>
      </c>
      <c r="AD2132" s="4" t="s">
        <v>63</v>
      </c>
      <c r="AE2132" s="4" t="s">
        <v>63</v>
      </c>
      <c r="AF2132" s="4" t="s">
        <v>63</v>
      </c>
      <c r="AG2132" s="4" t="s">
        <v>18192</v>
      </c>
      <c r="AH2132" s="4" t="s">
        <v>63</v>
      </c>
      <c r="AI2132" s="4" t="s">
        <v>18193</v>
      </c>
      <c r="AJ2132" s="4" t="s">
        <v>63</v>
      </c>
      <c r="AK2132" s="4" t="s">
        <v>63</v>
      </c>
      <c r="AL2132" s="4" t="s">
        <v>63</v>
      </c>
      <c r="AM2132" s="4" t="s">
        <v>18194</v>
      </c>
      <c r="AN2132" s="4" t="s">
        <v>63</v>
      </c>
      <c r="AO2132" s="4" t="s">
        <v>63</v>
      </c>
      <c r="AP2132" s="4" t="s">
        <v>63</v>
      </c>
      <c r="AQ2132" s="4" t="s">
        <v>63</v>
      </c>
      <c r="AR2132" s="4" t="s">
        <v>63</v>
      </c>
      <c r="AS2132" s="4" t="s">
        <v>63</v>
      </c>
      <c r="AT2132" s="4" t="s">
        <v>63</v>
      </c>
      <c r="AU2132" s="4" t="s">
        <v>63</v>
      </c>
      <c r="AV2132" s="4" t="s">
        <v>63</v>
      </c>
      <c r="AW2132" s="4" t="s">
        <v>63</v>
      </c>
      <c r="AX2132" s="4" t="s">
        <v>63</v>
      </c>
      <c r="AY2132" s="4" t="s">
        <v>63</v>
      </c>
      <c r="AZ2132" s="4" t="s">
        <v>63</v>
      </c>
      <c r="BA2132" s="4" t="s">
        <v>63</v>
      </c>
      <c r="BB2132" s="4" t="s">
        <v>63</v>
      </c>
      <c r="BC2132" s="4" t="s">
        <v>63</v>
      </c>
      <c r="BD2132" s="4" t="s">
        <v>63</v>
      </c>
      <c r="BE2132" s="4" t="s">
        <v>63</v>
      </c>
      <c r="BF2132" s="4" t="s">
        <v>63</v>
      </c>
    </row>
    <row r="2133" spans="1:58">
      <c r="A2133" s="4" t="s">
        <v>58</v>
      </c>
      <c r="B2133" s="4" t="s">
        <v>18195</v>
      </c>
      <c r="C2133" s="4" t="s">
        <v>18196</v>
      </c>
      <c r="D2133" s="4" t="s">
        <v>18197</v>
      </c>
      <c r="E2133" s="4" t="s">
        <v>18198</v>
      </c>
      <c r="F2133" s="4">
        <v>2013</v>
      </c>
      <c r="G2133" s="4" t="s">
        <v>15358</v>
      </c>
      <c r="H2133" s="4">
        <v>29</v>
      </c>
      <c r="I2133" s="4">
        <v>10</v>
      </c>
      <c r="J2133" s="4" t="s">
        <v>18199</v>
      </c>
      <c r="K2133" s="4" t="s">
        <v>63</v>
      </c>
      <c r="L2133" s="4" t="s">
        <v>18200</v>
      </c>
      <c r="M2133" s="4" t="s">
        <v>18201</v>
      </c>
      <c r="N2133" s="4" t="s">
        <v>18202</v>
      </c>
      <c r="O2133" s="4" t="s">
        <v>63</v>
      </c>
      <c r="P2133" s="4"/>
      <c r="Q2133" s="4" t="s">
        <v>63</v>
      </c>
      <c r="R2133" s="4" t="s">
        <v>63</v>
      </c>
      <c r="S2133" s="4" t="s">
        <v>63</v>
      </c>
      <c r="T2133" s="4" t="s">
        <v>63</v>
      </c>
      <c r="U2133" s="4"/>
      <c r="V2133" s="4"/>
      <c r="W2133" s="4"/>
      <c r="X2133" s="4" t="s">
        <v>63</v>
      </c>
      <c r="Y2133" s="4" t="s">
        <v>18203</v>
      </c>
      <c r="Z2133" s="4" t="s">
        <v>63</v>
      </c>
      <c r="AA2133" s="4" t="s">
        <v>63</v>
      </c>
      <c r="AB2133" s="4" t="s">
        <v>63</v>
      </c>
      <c r="AC2133" s="4" t="s">
        <v>67</v>
      </c>
      <c r="AD2133" s="4" t="s">
        <v>63</v>
      </c>
      <c r="AE2133" s="4" t="s">
        <v>63</v>
      </c>
      <c r="AF2133" s="4" t="s">
        <v>63</v>
      </c>
      <c r="AG2133" s="4" t="s">
        <v>63</v>
      </c>
      <c r="AH2133" s="4" t="s">
        <v>63</v>
      </c>
      <c r="AI2133" s="4" t="s">
        <v>18204</v>
      </c>
      <c r="AJ2133" s="4" t="s">
        <v>63</v>
      </c>
      <c r="AK2133" s="4" t="s">
        <v>63</v>
      </c>
      <c r="AL2133" s="4" t="s">
        <v>63</v>
      </c>
      <c r="AM2133" s="4" t="s">
        <v>18196</v>
      </c>
      <c r="AN2133" s="4" t="s">
        <v>63</v>
      </c>
      <c r="AO2133" s="4" t="s">
        <v>63</v>
      </c>
      <c r="AP2133" s="4" t="s">
        <v>63</v>
      </c>
      <c r="AQ2133" s="4" t="s">
        <v>63</v>
      </c>
      <c r="AR2133" s="4" t="s">
        <v>63</v>
      </c>
      <c r="AS2133" s="4" t="s">
        <v>63</v>
      </c>
      <c r="AT2133" s="4" t="s">
        <v>63</v>
      </c>
      <c r="AU2133" s="4" t="s">
        <v>63</v>
      </c>
      <c r="AV2133" s="4" t="s">
        <v>63</v>
      </c>
      <c r="AW2133" s="4" t="s">
        <v>63</v>
      </c>
      <c r="AX2133" s="4" t="s">
        <v>63</v>
      </c>
      <c r="AY2133" s="4" t="s">
        <v>63</v>
      </c>
      <c r="AZ2133" s="4" t="s">
        <v>63</v>
      </c>
      <c r="BA2133" s="4" t="s">
        <v>63</v>
      </c>
      <c r="BB2133" s="4" t="s">
        <v>63</v>
      </c>
      <c r="BC2133" s="4" t="s">
        <v>63</v>
      </c>
      <c r="BD2133" s="4" t="s">
        <v>63</v>
      </c>
      <c r="BE2133" s="4" t="s">
        <v>63</v>
      </c>
      <c r="BF2133" s="4" t="s">
        <v>63</v>
      </c>
    </row>
    <row r="2134" spans="1:58">
      <c r="A2134" s="4" t="s">
        <v>58</v>
      </c>
      <c r="B2134" s="4" t="s">
        <v>18205</v>
      </c>
      <c r="C2134" s="4" t="s">
        <v>18206</v>
      </c>
      <c r="D2134" s="4" t="s">
        <v>18207</v>
      </c>
      <c r="E2134" s="4" t="s">
        <v>63</v>
      </c>
      <c r="F2134" s="4">
        <v>2017</v>
      </c>
      <c r="G2134" s="4" t="s">
        <v>63</v>
      </c>
      <c r="H2134" s="4">
        <v>195</v>
      </c>
      <c r="I2134" s="4" t="s">
        <v>63</v>
      </c>
      <c r="J2134" s="4" t="s">
        <v>63</v>
      </c>
      <c r="K2134" s="4" t="s">
        <v>63</v>
      </c>
      <c r="L2134" s="4" t="s">
        <v>18208</v>
      </c>
      <c r="M2134" s="4" t="s">
        <v>18209</v>
      </c>
      <c r="N2134" s="4" t="s">
        <v>18210</v>
      </c>
      <c r="O2134" s="4" t="s">
        <v>63</v>
      </c>
      <c r="P2134" s="4"/>
      <c r="Q2134" s="4" t="s">
        <v>63</v>
      </c>
      <c r="R2134" s="4" t="s">
        <v>63</v>
      </c>
      <c r="S2134" s="4" t="s">
        <v>63</v>
      </c>
      <c r="T2134" s="4" t="s">
        <v>63</v>
      </c>
      <c r="U2134" s="4"/>
      <c r="V2134" s="4"/>
      <c r="W2134" s="4"/>
      <c r="X2134" s="4" t="s">
        <v>63</v>
      </c>
      <c r="Y2134" s="4" t="s">
        <v>18211</v>
      </c>
      <c r="Z2134" s="4" t="s">
        <v>63</v>
      </c>
      <c r="AA2134" s="4" t="s">
        <v>63</v>
      </c>
      <c r="AB2134" s="4" t="s">
        <v>63</v>
      </c>
      <c r="AC2134" s="4" t="s">
        <v>67</v>
      </c>
      <c r="AD2134" s="4" t="s">
        <v>63</v>
      </c>
      <c r="AE2134" s="4" t="s">
        <v>63</v>
      </c>
      <c r="AF2134" s="4" t="s">
        <v>63</v>
      </c>
      <c r="AG2134" s="4" t="s">
        <v>63</v>
      </c>
      <c r="AH2134" s="4" t="s">
        <v>63</v>
      </c>
      <c r="AI2134" s="4" t="s">
        <v>18212</v>
      </c>
      <c r="AJ2134" s="4" t="s">
        <v>63</v>
      </c>
      <c r="AK2134" s="4" t="s">
        <v>63</v>
      </c>
      <c r="AL2134" s="4" t="s">
        <v>63</v>
      </c>
      <c r="AM2134" s="4" t="s">
        <v>18206</v>
      </c>
      <c r="AN2134" s="4" t="s">
        <v>63</v>
      </c>
      <c r="AO2134" s="4" t="s">
        <v>63</v>
      </c>
      <c r="AP2134" s="4" t="s">
        <v>63</v>
      </c>
      <c r="AQ2134" s="4" t="s">
        <v>63</v>
      </c>
      <c r="AR2134" s="4" t="s">
        <v>63</v>
      </c>
      <c r="AS2134" s="4" t="s">
        <v>63</v>
      </c>
      <c r="AT2134" s="4" t="s">
        <v>63</v>
      </c>
      <c r="AU2134" s="4" t="s">
        <v>63</v>
      </c>
      <c r="AV2134" s="4" t="s">
        <v>63</v>
      </c>
      <c r="AW2134" s="4" t="s">
        <v>63</v>
      </c>
      <c r="AX2134" s="4" t="s">
        <v>63</v>
      </c>
      <c r="AY2134" s="4" t="s">
        <v>63</v>
      </c>
      <c r="AZ2134" s="4" t="s">
        <v>63</v>
      </c>
      <c r="BA2134" s="4" t="s">
        <v>63</v>
      </c>
      <c r="BB2134" s="4" t="s">
        <v>63</v>
      </c>
      <c r="BC2134" s="4" t="s">
        <v>63</v>
      </c>
      <c r="BD2134" s="4" t="s">
        <v>63</v>
      </c>
      <c r="BE2134" s="4" t="s">
        <v>63</v>
      </c>
      <c r="BF2134" s="4" t="s">
        <v>63</v>
      </c>
    </row>
    <row r="2135" spans="1:58">
      <c r="A2135" s="4" t="s">
        <v>58</v>
      </c>
      <c r="B2135" s="4" t="s">
        <v>18213</v>
      </c>
      <c r="C2135" s="4" t="s">
        <v>18214</v>
      </c>
      <c r="D2135" s="4" t="s">
        <v>17159</v>
      </c>
      <c r="E2135" s="4" t="s">
        <v>63</v>
      </c>
      <c r="F2135" s="4">
        <v>2014</v>
      </c>
      <c r="G2135" s="4" t="s">
        <v>63</v>
      </c>
      <c r="H2135" s="4">
        <v>5</v>
      </c>
      <c r="I2135" s="4">
        <v>3</v>
      </c>
      <c r="J2135" s="4">
        <v>10</v>
      </c>
      <c r="K2135" s="4">
        <v>14</v>
      </c>
      <c r="L2135" s="4" t="s">
        <v>18215</v>
      </c>
      <c r="M2135" s="4" t="s">
        <v>18216</v>
      </c>
      <c r="N2135" s="4" t="s">
        <v>18217</v>
      </c>
      <c r="O2135" s="4" t="s">
        <v>63</v>
      </c>
      <c r="P2135" s="4"/>
      <c r="Q2135" s="4" t="s">
        <v>63</v>
      </c>
      <c r="R2135" s="4" t="s">
        <v>63</v>
      </c>
      <c r="S2135" s="4" t="s">
        <v>63</v>
      </c>
      <c r="T2135" s="4" t="s">
        <v>63</v>
      </c>
      <c r="U2135" s="4"/>
      <c r="V2135" s="4"/>
      <c r="W2135" s="4"/>
      <c r="X2135" s="4" t="s">
        <v>63</v>
      </c>
      <c r="Y2135" s="4" t="s">
        <v>17162</v>
      </c>
      <c r="Z2135" s="4" t="s">
        <v>63</v>
      </c>
      <c r="AA2135" s="4" t="s">
        <v>63</v>
      </c>
      <c r="AB2135" s="4" t="s">
        <v>18218</v>
      </c>
      <c r="AC2135" s="4" t="s">
        <v>67</v>
      </c>
      <c r="AD2135" s="4" t="s">
        <v>63</v>
      </c>
      <c r="AE2135" s="4" t="s">
        <v>63</v>
      </c>
      <c r="AF2135" s="4" t="s">
        <v>63</v>
      </c>
      <c r="AG2135" s="4" t="s">
        <v>63</v>
      </c>
      <c r="AH2135" s="4" t="s">
        <v>63</v>
      </c>
      <c r="AI2135" s="4" t="s">
        <v>63</v>
      </c>
      <c r="AJ2135" s="4" t="s">
        <v>63</v>
      </c>
      <c r="AK2135" s="4" t="s">
        <v>63</v>
      </c>
      <c r="AL2135" s="4" t="s">
        <v>63</v>
      </c>
      <c r="AM2135" s="4" t="s">
        <v>18214</v>
      </c>
      <c r="AN2135" s="4" t="s">
        <v>63</v>
      </c>
      <c r="AO2135" s="4" t="s">
        <v>63</v>
      </c>
      <c r="AP2135" s="4" t="s">
        <v>63</v>
      </c>
      <c r="AQ2135" s="4" t="s">
        <v>63</v>
      </c>
      <c r="AR2135" s="4" t="s">
        <v>63</v>
      </c>
      <c r="AS2135" s="4" t="s">
        <v>63</v>
      </c>
      <c r="AT2135" s="4" t="s">
        <v>63</v>
      </c>
      <c r="AU2135" s="4" t="s">
        <v>63</v>
      </c>
      <c r="AV2135" s="4" t="s">
        <v>63</v>
      </c>
      <c r="AW2135" s="4" t="s">
        <v>63</v>
      </c>
      <c r="AX2135" s="4" t="s">
        <v>63</v>
      </c>
      <c r="AY2135" s="4" t="s">
        <v>63</v>
      </c>
      <c r="AZ2135" s="4" t="s">
        <v>63</v>
      </c>
      <c r="BA2135" s="4" t="s">
        <v>63</v>
      </c>
      <c r="BB2135" s="4" t="s">
        <v>63</v>
      </c>
      <c r="BC2135" s="4" t="s">
        <v>63</v>
      </c>
      <c r="BD2135" s="4" t="s">
        <v>63</v>
      </c>
      <c r="BE2135" s="4" t="s">
        <v>63</v>
      </c>
      <c r="BF2135" s="4" t="s">
        <v>63</v>
      </c>
    </row>
    <row r="2136" spans="1:58">
      <c r="A2136" s="4" t="s">
        <v>58</v>
      </c>
      <c r="B2136" s="4" t="s">
        <v>18219</v>
      </c>
      <c r="C2136" s="4" t="s">
        <v>18220</v>
      </c>
      <c r="D2136" s="4" t="s">
        <v>18221</v>
      </c>
      <c r="E2136" s="4" t="s">
        <v>18222</v>
      </c>
      <c r="F2136" s="4">
        <v>1976</v>
      </c>
      <c r="G2136" s="4" t="s">
        <v>63</v>
      </c>
      <c r="H2136" s="4">
        <v>69</v>
      </c>
      <c r="I2136" s="4">
        <v>7</v>
      </c>
      <c r="J2136" s="4">
        <v>163</v>
      </c>
      <c r="K2136" s="4">
        <v>166</v>
      </c>
      <c r="L2136" s="4" t="s">
        <v>18223</v>
      </c>
      <c r="M2136" s="4" t="s">
        <v>18224</v>
      </c>
      <c r="N2136" s="4" t="s">
        <v>18225</v>
      </c>
      <c r="O2136" s="4" t="s">
        <v>63</v>
      </c>
      <c r="P2136" s="4"/>
      <c r="Q2136" s="4" t="s">
        <v>63</v>
      </c>
      <c r="R2136" s="4" t="s">
        <v>63</v>
      </c>
      <c r="S2136" s="4" t="s">
        <v>63</v>
      </c>
      <c r="T2136" s="4" t="s">
        <v>63</v>
      </c>
      <c r="U2136" s="4"/>
      <c r="V2136" s="4"/>
      <c r="W2136" s="4"/>
      <c r="X2136" s="4" t="s">
        <v>63</v>
      </c>
      <c r="Y2136" s="4" t="s">
        <v>18226</v>
      </c>
      <c r="Z2136" s="4" t="s">
        <v>63</v>
      </c>
      <c r="AA2136" s="4" t="s">
        <v>63</v>
      </c>
      <c r="AB2136" s="4" t="s">
        <v>18227</v>
      </c>
      <c r="AC2136" s="4" t="s">
        <v>67</v>
      </c>
      <c r="AD2136" s="4" t="s">
        <v>63</v>
      </c>
      <c r="AE2136" s="4" t="s">
        <v>63</v>
      </c>
      <c r="AF2136" s="4" t="s">
        <v>63</v>
      </c>
      <c r="AG2136" s="4" t="s">
        <v>63</v>
      </c>
      <c r="AH2136" s="4" t="s">
        <v>63</v>
      </c>
      <c r="AI2136" s="4" t="s">
        <v>63</v>
      </c>
      <c r="AJ2136" s="4" t="s">
        <v>63</v>
      </c>
      <c r="AK2136" s="4" t="s">
        <v>63</v>
      </c>
      <c r="AL2136" s="4" t="s">
        <v>63</v>
      </c>
      <c r="AM2136" s="4" t="s">
        <v>18220</v>
      </c>
      <c r="AN2136" s="4" t="s">
        <v>63</v>
      </c>
      <c r="AO2136" s="4" t="s">
        <v>63</v>
      </c>
      <c r="AP2136" s="4" t="s">
        <v>63</v>
      </c>
      <c r="AQ2136" s="4" t="s">
        <v>63</v>
      </c>
      <c r="AR2136" s="4" t="s">
        <v>63</v>
      </c>
      <c r="AS2136" s="4" t="s">
        <v>63</v>
      </c>
      <c r="AT2136" s="4" t="s">
        <v>63</v>
      </c>
      <c r="AU2136" s="4" t="s">
        <v>63</v>
      </c>
      <c r="AV2136" s="4" t="s">
        <v>63</v>
      </c>
      <c r="AW2136" s="4" t="s">
        <v>63</v>
      </c>
      <c r="AX2136" s="4" t="s">
        <v>63</v>
      </c>
      <c r="AY2136" s="4" t="s">
        <v>63</v>
      </c>
      <c r="AZ2136" s="4" t="s">
        <v>63</v>
      </c>
      <c r="BA2136" s="4" t="s">
        <v>63</v>
      </c>
      <c r="BB2136" s="4" t="s">
        <v>63</v>
      </c>
      <c r="BC2136" s="4" t="s">
        <v>63</v>
      </c>
      <c r="BD2136" s="4" t="s">
        <v>63</v>
      </c>
      <c r="BE2136" s="4" t="s">
        <v>63</v>
      </c>
      <c r="BF2136" s="4" t="s">
        <v>63</v>
      </c>
    </row>
    <row r="2137" spans="1:58">
      <c r="A2137" s="4" t="s">
        <v>58</v>
      </c>
      <c r="B2137" s="4" t="s">
        <v>18228</v>
      </c>
      <c r="C2137" s="4" t="s">
        <v>18229</v>
      </c>
      <c r="D2137" s="4" t="s">
        <v>18230</v>
      </c>
      <c r="E2137" s="4" t="s">
        <v>63</v>
      </c>
      <c r="F2137" s="4">
        <v>2016</v>
      </c>
      <c r="G2137" s="4">
        <v>1</v>
      </c>
      <c r="H2137" s="4">
        <v>23</v>
      </c>
      <c r="I2137" s="4">
        <v>1</v>
      </c>
      <c r="J2137" s="4">
        <v>8</v>
      </c>
      <c r="K2137" s="4">
        <v>13</v>
      </c>
      <c r="L2137" s="4" t="s">
        <v>18231</v>
      </c>
      <c r="M2137" s="4" t="s">
        <v>18232</v>
      </c>
      <c r="N2137" s="4" t="s">
        <v>18233</v>
      </c>
      <c r="O2137" s="4" t="s">
        <v>63</v>
      </c>
      <c r="P2137" s="4"/>
      <c r="Q2137" s="4" t="s">
        <v>63</v>
      </c>
      <c r="R2137" s="4" t="s">
        <v>63</v>
      </c>
      <c r="S2137" s="4" t="s">
        <v>63</v>
      </c>
      <c r="T2137" s="4" t="s">
        <v>63</v>
      </c>
      <c r="U2137" s="4"/>
      <c r="V2137" s="4"/>
      <c r="W2137" s="4"/>
      <c r="X2137" s="4" t="s">
        <v>63</v>
      </c>
      <c r="Y2137" s="4" t="s">
        <v>18234</v>
      </c>
      <c r="Z2137" s="4" t="s">
        <v>63</v>
      </c>
      <c r="AA2137" s="4" t="s">
        <v>63</v>
      </c>
      <c r="AB2137" s="4" t="s">
        <v>18235</v>
      </c>
      <c r="AC2137" s="4" t="s">
        <v>913</v>
      </c>
      <c r="AD2137" s="4" t="s">
        <v>63</v>
      </c>
      <c r="AE2137" s="4" t="s">
        <v>63</v>
      </c>
      <c r="AF2137" s="4" t="s">
        <v>63</v>
      </c>
      <c r="AG2137" s="4" t="s">
        <v>63</v>
      </c>
      <c r="AH2137" s="4" t="s">
        <v>63</v>
      </c>
      <c r="AI2137" s="4" t="s">
        <v>18236</v>
      </c>
      <c r="AJ2137" s="4" t="s">
        <v>63</v>
      </c>
      <c r="AK2137" s="4" t="s">
        <v>63</v>
      </c>
      <c r="AL2137" s="4" t="s">
        <v>63</v>
      </c>
      <c r="AM2137" s="4" t="s">
        <v>18237</v>
      </c>
      <c r="AN2137" s="4" t="s">
        <v>63</v>
      </c>
      <c r="AO2137" s="4" t="s">
        <v>63</v>
      </c>
      <c r="AP2137" s="4" t="s">
        <v>63</v>
      </c>
      <c r="AQ2137" s="4" t="s">
        <v>63</v>
      </c>
      <c r="AR2137" s="4" t="s">
        <v>63</v>
      </c>
      <c r="AS2137" s="4" t="s">
        <v>63</v>
      </c>
      <c r="AT2137" s="4" t="s">
        <v>63</v>
      </c>
      <c r="AU2137" s="4" t="s">
        <v>63</v>
      </c>
      <c r="AV2137" s="4" t="s">
        <v>63</v>
      </c>
      <c r="AW2137" s="4" t="s">
        <v>63</v>
      </c>
      <c r="AX2137" s="4" t="s">
        <v>63</v>
      </c>
      <c r="AY2137" s="4" t="s">
        <v>63</v>
      </c>
      <c r="AZ2137" s="4" t="s">
        <v>63</v>
      </c>
      <c r="BA2137" s="4" t="s">
        <v>63</v>
      </c>
      <c r="BB2137" s="4" t="s">
        <v>63</v>
      </c>
      <c r="BC2137" s="4" t="s">
        <v>63</v>
      </c>
      <c r="BD2137" s="4" t="s">
        <v>63</v>
      </c>
      <c r="BE2137" s="4" t="s">
        <v>63</v>
      </c>
      <c r="BF2137" s="4" t="s">
        <v>63</v>
      </c>
    </row>
    <row r="2138" spans="1:58">
      <c r="A2138" s="4" t="s">
        <v>58</v>
      </c>
      <c r="B2138" s="4" t="s">
        <v>18238</v>
      </c>
      <c r="C2138" s="4" t="s">
        <v>18239</v>
      </c>
      <c r="D2138" s="4" t="s">
        <v>15263</v>
      </c>
      <c r="E2138" s="4" t="s">
        <v>15264</v>
      </c>
      <c r="F2138" s="4">
        <v>2013</v>
      </c>
      <c r="G2138" s="4">
        <v>1</v>
      </c>
      <c r="H2138" s="4">
        <v>127</v>
      </c>
      <c r="I2138" s="4">
        <v>1</v>
      </c>
      <c r="J2138" s="4">
        <v>220</v>
      </c>
      <c r="K2138" s="4">
        <v>225</v>
      </c>
      <c r="L2138" s="4" t="s">
        <v>18240</v>
      </c>
      <c r="M2138" s="4" t="s">
        <v>18241</v>
      </c>
      <c r="N2138" s="4" t="s">
        <v>18242</v>
      </c>
      <c r="O2138" s="4" t="s">
        <v>63</v>
      </c>
      <c r="P2138" s="4"/>
      <c r="Q2138" s="4" t="s">
        <v>63</v>
      </c>
      <c r="R2138" s="4" t="s">
        <v>63</v>
      </c>
      <c r="S2138" s="4" t="s">
        <v>63</v>
      </c>
      <c r="T2138" s="4" t="s">
        <v>63</v>
      </c>
      <c r="U2138" s="4"/>
      <c r="V2138" s="4"/>
      <c r="W2138" s="4"/>
      <c r="X2138" s="4" t="s">
        <v>63</v>
      </c>
      <c r="Y2138" s="4" t="s">
        <v>18243</v>
      </c>
      <c r="Z2138" s="4" t="s">
        <v>63</v>
      </c>
      <c r="AA2138" s="4" t="s">
        <v>63</v>
      </c>
      <c r="AB2138" s="4">
        <v>2012729742</v>
      </c>
      <c r="AC2138" s="4" t="s">
        <v>67</v>
      </c>
      <c r="AD2138" s="4" t="s">
        <v>63</v>
      </c>
      <c r="AE2138" s="4" t="s">
        <v>63</v>
      </c>
      <c r="AF2138" s="4" t="s">
        <v>63</v>
      </c>
      <c r="AG2138" s="4" t="s">
        <v>18244</v>
      </c>
      <c r="AH2138" s="4" t="s">
        <v>63</v>
      </c>
      <c r="AI2138" s="4" t="s">
        <v>18245</v>
      </c>
      <c r="AJ2138" s="4" t="s">
        <v>63</v>
      </c>
      <c r="AK2138" s="4" t="s">
        <v>63</v>
      </c>
      <c r="AL2138" s="4" t="s">
        <v>63</v>
      </c>
      <c r="AM2138" s="4" t="s">
        <v>18246</v>
      </c>
      <c r="AN2138" s="4" t="s">
        <v>63</v>
      </c>
      <c r="AO2138" s="4" t="s">
        <v>63</v>
      </c>
      <c r="AP2138" s="4" t="s">
        <v>63</v>
      </c>
      <c r="AQ2138" s="4" t="s">
        <v>63</v>
      </c>
      <c r="AR2138" s="4" t="s">
        <v>63</v>
      </c>
      <c r="AS2138" s="4" t="s">
        <v>63</v>
      </c>
      <c r="AT2138" s="4" t="s">
        <v>63</v>
      </c>
      <c r="AU2138" s="4" t="s">
        <v>63</v>
      </c>
      <c r="AV2138" s="4" t="s">
        <v>63</v>
      </c>
      <c r="AW2138" s="4" t="s">
        <v>63</v>
      </c>
      <c r="AX2138" s="4" t="s">
        <v>63</v>
      </c>
      <c r="AY2138" s="4" t="s">
        <v>63</v>
      </c>
      <c r="AZ2138" s="4" t="s">
        <v>63</v>
      </c>
      <c r="BA2138" s="4" t="s">
        <v>63</v>
      </c>
      <c r="BB2138" s="4" t="s">
        <v>63</v>
      </c>
      <c r="BC2138" s="4" t="s">
        <v>63</v>
      </c>
      <c r="BD2138" s="4" t="s">
        <v>63</v>
      </c>
      <c r="BE2138" s="4" t="s">
        <v>63</v>
      </c>
      <c r="BF2138" s="4" t="s">
        <v>63</v>
      </c>
    </row>
    <row r="2139" spans="1:58">
      <c r="A2139" s="4" t="s">
        <v>58</v>
      </c>
      <c r="B2139" s="4" t="s">
        <v>18247</v>
      </c>
      <c r="C2139" s="4" t="s">
        <v>18248</v>
      </c>
      <c r="D2139" s="4" t="s">
        <v>18249</v>
      </c>
      <c r="E2139" s="4" t="s">
        <v>18250</v>
      </c>
      <c r="F2139" s="4">
        <v>2008</v>
      </c>
      <c r="G2139" s="4" t="s">
        <v>15358</v>
      </c>
      <c r="H2139" s="4">
        <v>24</v>
      </c>
      <c r="I2139" s="4">
        <v>10</v>
      </c>
      <c r="J2139" s="4">
        <v>732</v>
      </c>
      <c r="K2139" s="4" t="s">
        <v>63</v>
      </c>
      <c r="L2139" s="4" t="s">
        <v>18251</v>
      </c>
      <c r="M2139" s="4" t="s">
        <v>18252</v>
      </c>
      <c r="N2139" s="4" t="s">
        <v>18253</v>
      </c>
      <c r="O2139" s="4" t="s">
        <v>63</v>
      </c>
      <c r="P2139" s="4"/>
      <c r="Q2139" s="4" t="s">
        <v>63</v>
      </c>
      <c r="R2139" s="4" t="s">
        <v>63</v>
      </c>
      <c r="S2139" s="4" t="s">
        <v>63</v>
      </c>
      <c r="T2139" s="4" t="s">
        <v>63</v>
      </c>
      <c r="U2139" s="4"/>
      <c r="V2139" s="4"/>
      <c r="W2139" s="4"/>
      <c r="X2139" s="4" t="s">
        <v>63</v>
      </c>
      <c r="Y2139" s="4" t="s">
        <v>18254</v>
      </c>
      <c r="Z2139" s="4" t="s">
        <v>63</v>
      </c>
      <c r="AA2139" s="4" t="s">
        <v>63</v>
      </c>
      <c r="AB2139" s="4" t="s">
        <v>63</v>
      </c>
      <c r="AC2139" s="4" t="s">
        <v>67</v>
      </c>
      <c r="AD2139" s="4" t="s">
        <v>63</v>
      </c>
      <c r="AE2139" s="4" t="s">
        <v>63</v>
      </c>
      <c r="AF2139" s="4" t="s">
        <v>63</v>
      </c>
      <c r="AG2139" s="4" t="s">
        <v>63</v>
      </c>
      <c r="AH2139" s="4" t="s">
        <v>63</v>
      </c>
      <c r="AI2139" s="4" t="s">
        <v>63</v>
      </c>
      <c r="AJ2139" s="4" t="s">
        <v>63</v>
      </c>
      <c r="AK2139" s="4" t="s">
        <v>63</v>
      </c>
      <c r="AL2139" s="4" t="s">
        <v>63</v>
      </c>
      <c r="AM2139" s="4" t="s">
        <v>18248</v>
      </c>
      <c r="AN2139" s="4" t="s">
        <v>63</v>
      </c>
      <c r="AO2139" s="4" t="s">
        <v>63</v>
      </c>
      <c r="AP2139" s="4" t="s">
        <v>63</v>
      </c>
      <c r="AQ2139" s="4" t="s">
        <v>63</v>
      </c>
      <c r="AR2139" s="4" t="s">
        <v>63</v>
      </c>
      <c r="AS2139" s="4" t="s">
        <v>63</v>
      </c>
      <c r="AT2139" s="4" t="s">
        <v>63</v>
      </c>
      <c r="AU2139" s="4" t="s">
        <v>63</v>
      </c>
      <c r="AV2139" s="4" t="s">
        <v>63</v>
      </c>
      <c r="AW2139" s="4" t="s">
        <v>63</v>
      </c>
      <c r="AX2139" s="4" t="s">
        <v>63</v>
      </c>
      <c r="AY2139" s="4" t="s">
        <v>63</v>
      </c>
      <c r="AZ2139" s="4" t="s">
        <v>63</v>
      </c>
      <c r="BA2139" s="4" t="s">
        <v>63</v>
      </c>
      <c r="BB2139" s="4" t="s">
        <v>63</v>
      </c>
      <c r="BC2139" s="4" t="s">
        <v>63</v>
      </c>
      <c r="BD2139" s="4" t="s">
        <v>63</v>
      </c>
      <c r="BE2139" s="4" t="s">
        <v>63</v>
      </c>
      <c r="BF2139" s="4" t="s">
        <v>63</v>
      </c>
    </row>
    <row r="2140" spans="1:58">
      <c r="A2140" s="4" t="s">
        <v>58</v>
      </c>
      <c r="B2140" s="4" t="s">
        <v>18255</v>
      </c>
      <c r="C2140" s="4" t="s">
        <v>18256</v>
      </c>
      <c r="D2140" s="4" t="s">
        <v>1866</v>
      </c>
      <c r="E2140" s="4" t="s">
        <v>1867</v>
      </c>
      <c r="F2140" s="4">
        <v>2014</v>
      </c>
      <c r="G2140" s="4" t="s">
        <v>189</v>
      </c>
      <c r="H2140" s="4">
        <v>73</v>
      </c>
      <c r="I2140" s="4">
        <v>3</v>
      </c>
      <c r="J2140" s="4">
        <v>295</v>
      </c>
      <c r="K2140" s="4">
        <v>302</v>
      </c>
      <c r="L2140" s="4" t="s">
        <v>18257</v>
      </c>
      <c r="M2140" s="4" t="s">
        <v>18258</v>
      </c>
      <c r="N2140" s="4" t="s">
        <v>18259</v>
      </c>
      <c r="O2140" s="4" t="s">
        <v>63</v>
      </c>
      <c r="P2140" s="4"/>
      <c r="Q2140" s="4" t="s">
        <v>63</v>
      </c>
      <c r="R2140" s="4" t="s">
        <v>63</v>
      </c>
      <c r="S2140" s="4" t="s">
        <v>63</v>
      </c>
      <c r="T2140" s="4" t="s">
        <v>63</v>
      </c>
      <c r="U2140" s="4"/>
      <c r="V2140" s="4"/>
      <c r="W2140" s="4"/>
      <c r="X2140" s="4" t="s">
        <v>63</v>
      </c>
      <c r="Y2140" s="4" t="s">
        <v>18260</v>
      </c>
      <c r="Z2140" s="4" t="s">
        <v>63</v>
      </c>
      <c r="AA2140" s="4" t="s">
        <v>63</v>
      </c>
      <c r="AB2140" s="4" t="s">
        <v>18261</v>
      </c>
      <c r="AC2140" s="4" t="s">
        <v>67</v>
      </c>
      <c r="AD2140" s="4" t="s">
        <v>63</v>
      </c>
      <c r="AE2140" s="4" t="s">
        <v>63</v>
      </c>
      <c r="AF2140" s="4" t="s">
        <v>63</v>
      </c>
      <c r="AG2140" s="4" t="s">
        <v>63</v>
      </c>
      <c r="AH2140" s="4" t="s">
        <v>63</v>
      </c>
      <c r="AI2140" s="4" t="s">
        <v>18262</v>
      </c>
      <c r="AJ2140" s="4" t="s">
        <v>63</v>
      </c>
      <c r="AK2140" s="4" t="s">
        <v>63</v>
      </c>
      <c r="AL2140" s="4" t="s">
        <v>63</v>
      </c>
      <c r="AM2140" s="4" t="s">
        <v>18256</v>
      </c>
      <c r="AN2140" s="4" t="s">
        <v>63</v>
      </c>
      <c r="AO2140" s="4" t="s">
        <v>63</v>
      </c>
      <c r="AP2140" s="4" t="s">
        <v>63</v>
      </c>
      <c r="AQ2140" s="4" t="s">
        <v>63</v>
      </c>
      <c r="AR2140" s="4" t="s">
        <v>63</v>
      </c>
      <c r="AS2140" s="4" t="s">
        <v>63</v>
      </c>
      <c r="AT2140" s="4" t="s">
        <v>63</v>
      </c>
      <c r="AU2140" s="4" t="s">
        <v>63</v>
      </c>
      <c r="AV2140" s="4" t="s">
        <v>63</v>
      </c>
      <c r="AW2140" s="4" t="s">
        <v>63</v>
      </c>
      <c r="AX2140" s="4" t="s">
        <v>63</v>
      </c>
      <c r="AY2140" s="4" t="s">
        <v>63</v>
      </c>
      <c r="AZ2140" s="4" t="s">
        <v>63</v>
      </c>
      <c r="BA2140" s="4" t="s">
        <v>63</v>
      </c>
      <c r="BB2140" s="4" t="s">
        <v>63</v>
      </c>
      <c r="BC2140" s="4" t="s">
        <v>63</v>
      </c>
      <c r="BD2140" s="4" t="s">
        <v>63</v>
      </c>
      <c r="BE2140" s="4" t="s">
        <v>63</v>
      </c>
      <c r="BF2140" s="4" t="s">
        <v>63</v>
      </c>
    </row>
    <row r="2141" spans="1:58">
      <c r="A2141" s="4" t="s">
        <v>58</v>
      </c>
      <c r="B2141" s="4" t="s">
        <v>18263</v>
      </c>
      <c r="C2141" s="4" t="s">
        <v>18264</v>
      </c>
      <c r="D2141" s="4" t="s">
        <v>9560</v>
      </c>
      <c r="E2141" s="4" t="s">
        <v>9560</v>
      </c>
      <c r="F2141" s="4">
        <v>2006</v>
      </c>
      <c r="G2141" s="4" t="s">
        <v>15358</v>
      </c>
      <c r="H2141" s="4">
        <v>32</v>
      </c>
      <c r="I2141" s="4">
        <v>5</v>
      </c>
      <c r="J2141" s="4">
        <v>688</v>
      </c>
      <c r="K2141" s="4">
        <v>696</v>
      </c>
      <c r="L2141" s="4" t="s">
        <v>18265</v>
      </c>
      <c r="M2141" s="4" t="s">
        <v>18266</v>
      </c>
      <c r="N2141" s="4" t="s">
        <v>18267</v>
      </c>
      <c r="O2141" s="4" t="s">
        <v>63</v>
      </c>
      <c r="P2141" s="4"/>
      <c r="Q2141" s="4" t="s">
        <v>63</v>
      </c>
      <c r="R2141" s="4" t="s">
        <v>63</v>
      </c>
      <c r="S2141" s="4" t="s">
        <v>63</v>
      </c>
      <c r="T2141" s="4" t="s">
        <v>63</v>
      </c>
      <c r="U2141" s="4"/>
      <c r="V2141" s="4"/>
      <c r="W2141" s="4"/>
      <c r="X2141" s="4" t="s">
        <v>63</v>
      </c>
      <c r="Y2141" s="4" t="s">
        <v>9564</v>
      </c>
      <c r="Z2141" s="4" t="s">
        <v>63</v>
      </c>
      <c r="AA2141" s="4" t="s">
        <v>63</v>
      </c>
      <c r="AB2141" s="4">
        <v>2006555548</v>
      </c>
      <c r="AC2141" s="4" t="s">
        <v>1371</v>
      </c>
      <c r="AD2141" s="4" t="s">
        <v>63</v>
      </c>
      <c r="AE2141" s="4" t="s">
        <v>63</v>
      </c>
      <c r="AF2141" s="4" t="s">
        <v>63</v>
      </c>
      <c r="AG2141" s="4" t="s">
        <v>18268</v>
      </c>
      <c r="AH2141" s="4" t="s">
        <v>63</v>
      </c>
      <c r="AI2141" s="4" t="s">
        <v>63</v>
      </c>
      <c r="AJ2141" s="4" t="s">
        <v>63</v>
      </c>
      <c r="AK2141" s="4" t="s">
        <v>63</v>
      </c>
      <c r="AL2141" s="4" t="s">
        <v>63</v>
      </c>
      <c r="AM2141" s="4" t="s">
        <v>18269</v>
      </c>
      <c r="AN2141" s="4" t="s">
        <v>63</v>
      </c>
      <c r="AO2141" s="4" t="s">
        <v>63</v>
      </c>
      <c r="AP2141" s="4" t="s">
        <v>63</v>
      </c>
      <c r="AQ2141" s="4" t="s">
        <v>63</v>
      </c>
      <c r="AR2141" s="4" t="s">
        <v>63</v>
      </c>
      <c r="AS2141" s="4" t="s">
        <v>63</v>
      </c>
      <c r="AT2141" s="4" t="s">
        <v>63</v>
      </c>
      <c r="AU2141" s="4" t="s">
        <v>63</v>
      </c>
      <c r="AV2141" s="4" t="s">
        <v>63</v>
      </c>
      <c r="AW2141" s="4" t="s">
        <v>63</v>
      </c>
      <c r="AX2141" s="4" t="s">
        <v>63</v>
      </c>
      <c r="AY2141" s="4" t="s">
        <v>63</v>
      </c>
      <c r="AZ2141" s="4" t="s">
        <v>63</v>
      </c>
      <c r="BA2141" s="4" t="s">
        <v>63</v>
      </c>
      <c r="BB2141" s="4" t="s">
        <v>63</v>
      </c>
      <c r="BC2141" s="4" t="s">
        <v>63</v>
      </c>
      <c r="BD2141" s="4" t="s">
        <v>63</v>
      </c>
      <c r="BE2141" s="4" t="s">
        <v>63</v>
      </c>
      <c r="BF2141" s="4" t="s">
        <v>63</v>
      </c>
    </row>
    <row r="2142" spans="1:58">
      <c r="A2142" s="4" t="s">
        <v>58</v>
      </c>
      <c r="B2142" s="4" t="s">
        <v>18270</v>
      </c>
      <c r="C2142" s="4" t="s">
        <v>18271</v>
      </c>
      <c r="D2142" s="4" t="s">
        <v>18272</v>
      </c>
      <c r="E2142" s="4" t="s">
        <v>63</v>
      </c>
      <c r="F2142" s="4" t="s">
        <v>63</v>
      </c>
      <c r="G2142" s="4" t="s">
        <v>63</v>
      </c>
      <c r="H2142" s="4" t="s">
        <v>63</v>
      </c>
      <c r="I2142" s="4" t="s">
        <v>63</v>
      </c>
      <c r="J2142" s="4" t="s">
        <v>63</v>
      </c>
      <c r="K2142" s="4" t="s">
        <v>63</v>
      </c>
      <c r="L2142" s="4" t="s">
        <v>18273</v>
      </c>
      <c r="M2142" s="4" t="s">
        <v>18274</v>
      </c>
      <c r="N2142" s="4" t="s">
        <v>18275</v>
      </c>
      <c r="O2142" s="4" t="s">
        <v>63</v>
      </c>
      <c r="P2142" s="4"/>
      <c r="Q2142" s="4" t="s">
        <v>63</v>
      </c>
      <c r="R2142" s="4" t="s">
        <v>63</v>
      </c>
      <c r="S2142" s="4" t="s">
        <v>63</v>
      </c>
      <c r="T2142" s="4" t="s">
        <v>63</v>
      </c>
      <c r="U2142" s="4"/>
      <c r="V2142" s="4"/>
      <c r="W2142" s="4"/>
      <c r="X2142" s="4" t="s">
        <v>63</v>
      </c>
      <c r="Y2142" s="4" t="s">
        <v>18276</v>
      </c>
      <c r="Z2142" s="4" t="s">
        <v>63</v>
      </c>
      <c r="AA2142" s="4" t="s">
        <v>63</v>
      </c>
      <c r="AB2142" s="4" t="s">
        <v>18277</v>
      </c>
      <c r="AC2142" s="4" t="s">
        <v>67</v>
      </c>
      <c r="AD2142" s="4" t="s">
        <v>63</v>
      </c>
      <c r="AE2142" s="4" t="s">
        <v>63</v>
      </c>
      <c r="AF2142" s="4" t="s">
        <v>63</v>
      </c>
      <c r="AG2142" s="4" t="s">
        <v>63</v>
      </c>
      <c r="AH2142" s="4" t="s">
        <v>63</v>
      </c>
      <c r="AI2142" s="4" t="s">
        <v>18278</v>
      </c>
      <c r="AJ2142" s="4" t="s">
        <v>63</v>
      </c>
      <c r="AK2142" s="4" t="s">
        <v>63</v>
      </c>
      <c r="AL2142" s="4" t="s">
        <v>63</v>
      </c>
      <c r="AM2142" s="4" t="s">
        <v>18271</v>
      </c>
      <c r="AN2142" s="4" t="s">
        <v>63</v>
      </c>
      <c r="AO2142" s="4" t="s">
        <v>63</v>
      </c>
      <c r="AP2142" s="4" t="s">
        <v>63</v>
      </c>
      <c r="AQ2142" s="4" t="s">
        <v>63</v>
      </c>
      <c r="AR2142" s="4" t="s">
        <v>63</v>
      </c>
      <c r="AS2142" s="4" t="s">
        <v>63</v>
      </c>
      <c r="AT2142" s="4" t="s">
        <v>63</v>
      </c>
      <c r="AU2142" s="4" t="s">
        <v>63</v>
      </c>
      <c r="AV2142" s="4" t="s">
        <v>63</v>
      </c>
      <c r="AW2142" s="4" t="s">
        <v>63</v>
      </c>
      <c r="AX2142" s="4" t="s">
        <v>63</v>
      </c>
      <c r="AY2142" s="4" t="s">
        <v>63</v>
      </c>
      <c r="AZ2142" s="4" t="s">
        <v>63</v>
      </c>
      <c r="BA2142" s="4" t="s">
        <v>63</v>
      </c>
      <c r="BB2142" s="4" t="s">
        <v>63</v>
      </c>
      <c r="BC2142" s="4" t="s">
        <v>63</v>
      </c>
      <c r="BD2142" s="4" t="s">
        <v>63</v>
      </c>
      <c r="BE2142" s="4" t="s">
        <v>63</v>
      </c>
      <c r="BF2142" s="4" t="s">
        <v>63</v>
      </c>
    </row>
    <row r="2143" spans="1:58">
      <c r="A2143" s="4" t="s">
        <v>58</v>
      </c>
      <c r="B2143" s="4" t="s">
        <v>18279</v>
      </c>
      <c r="C2143" s="4" t="s">
        <v>18280</v>
      </c>
      <c r="D2143" s="4" t="s">
        <v>2353</v>
      </c>
      <c r="E2143" s="4" t="s">
        <v>2354</v>
      </c>
      <c r="F2143" s="4">
        <v>1993</v>
      </c>
      <c r="G2143" s="4" t="s">
        <v>63</v>
      </c>
      <c r="H2143" s="4">
        <v>10</v>
      </c>
      <c r="I2143" s="4">
        <v>6</v>
      </c>
      <c r="J2143" s="4">
        <v>595</v>
      </c>
      <c r="K2143" s="4">
        <v>597</v>
      </c>
      <c r="L2143" s="4" t="s">
        <v>18281</v>
      </c>
      <c r="M2143" s="4" t="s">
        <v>63</v>
      </c>
      <c r="N2143" s="4" t="s">
        <v>18282</v>
      </c>
      <c r="O2143" s="4" t="s">
        <v>63</v>
      </c>
      <c r="P2143" s="4"/>
      <c r="Q2143" s="4" t="s">
        <v>63</v>
      </c>
      <c r="R2143" s="4" t="s">
        <v>63</v>
      </c>
      <c r="S2143" s="4" t="s">
        <v>63</v>
      </c>
      <c r="T2143" s="4" t="s">
        <v>63</v>
      </c>
      <c r="U2143" s="4"/>
      <c r="V2143" s="4"/>
      <c r="W2143" s="4"/>
      <c r="X2143" s="4" t="s">
        <v>63</v>
      </c>
      <c r="Y2143" s="4" t="s">
        <v>2358</v>
      </c>
      <c r="Z2143" s="4" t="s">
        <v>63</v>
      </c>
      <c r="AA2143" s="4" t="s">
        <v>63</v>
      </c>
      <c r="AB2143" s="4" t="s">
        <v>18283</v>
      </c>
      <c r="AC2143" s="4" t="s">
        <v>67</v>
      </c>
      <c r="AD2143" s="4" t="s">
        <v>63</v>
      </c>
      <c r="AE2143" s="4" t="s">
        <v>63</v>
      </c>
      <c r="AF2143" s="4" t="s">
        <v>63</v>
      </c>
      <c r="AG2143" s="4" t="s">
        <v>63</v>
      </c>
      <c r="AH2143" s="4" t="s">
        <v>63</v>
      </c>
      <c r="AI2143" s="4" t="s">
        <v>18284</v>
      </c>
      <c r="AJ2143" s="4" t="s">
        <v>63</v>
      </c>
      <c r="AK2143" s="4" t="s">
        <v>63</v>
      </c>
      <c r="AL2143" s="4" t="s">
        <v>63</v>
      </c>
      <c r="AM2143" s="4" t="s">
        <v>18280</v>
      </c>
      <c r="AN2143" s="4" t="s">
        <v>63</v>
      </c>
      <c r="AO2143" s="4" t="s">
        <v>63</v>
      </c>
      <c r="AP2143" s="4" t="s">
        <v>63</v>
      </c>
      <c r="AQ2143" s="4" t="s">
        <v>63</v>
      </c>
      <c r="AR2143" s="4" t="s">
        <v>63</v>
      </c>
      <c r="AS2143" s="4" t="s">
        <v>63</v>
      </c>
      <c r="AT2143" s="4" t="s">
        <v>63</v>
      </c>
      <c r="AU2143" s="4" t="s">
        <v>63</v>
      </c>
      <c r="AV2143" s="4" t="s">
        <v>63</v>
      </c>
      <c r="AW2143" s="4" t="s">
        <v>63</v>
      </c>
      <c r="AX2143" s="4" t="s">
        <v>63</v>
      </c>
      <c r="AY2143" s="4" t="s">
        <v>63</v>
      </c>
      <c r="AZ2143" s="4" t="s">
        <v>63</v>
      </c>
      <c r="BA2143" s="4" t="s">
        <v>63</v>
      </c>
      <c r="BB2143" s="4" t="s">
        <v>63</v>
      </c>
      <c r="BC2143" s="4" t="s">
        <v>63</v>
      </c>
      <c r="BD2143" s="4" t="s">
        <v>63</v>
      </c>
      <c r="BE2143" s="4" t="s">
        <v>63</v>
      </c>
      <c r="BF2143" s="4" t="s">
        <v>63</v>
      </c>
    </row>
    <row r="2144" spans="1:58">
      <c r="A2144" s="4" t="s">
        <v>58</v>
      </c>
      <c r="B2144" s="4" t="s">
        <v>18279</v>
      </c>
      <c r="C2144" s="4" t="s">
        <v>18280</v>
      </c>
      <c r="D2144" s="4" t="s">
        <v>2353</v>
      </c>
      <c r="E2144" s="4" t="s">
        <v>2354</v>
      </c>
      <c r="F2144" s="4">
        <v>1993</v>
      </c>
      <c r="G2144" s="4" t="s">
        <v>63</v>
      </c>
      <c r="H2144" s="4">
        <v>10</v>
      </c>
      <c r="I2144" s="4">
        <v>5</v>
      </c>
      <c r="J2144" s="4">
        <v>493</v>
      </c>
      <c r="K2144" s="4">
        <v>495</v>
      </c>
      <c r="L2144" s="4" t="s">
        <v>18285</v>
      </c>
      <c r="M2144" s="4" t="s">
        <v>63</v>
      </c>
      <c r="N2144" s="4" t="s">
        <v>18286</v>
      </c>
      <c r="O2144" s="4" t="s">
        <v>63</v>
      </c>
      <c r="P2144" s="4"/>
      <c r="Q2144" s="4" t="s">
        <v>63</v>
      </c>
      <c r="R2144" s="4" t="s">
        <v>63</v>
      </c>
      <c r="S2144" s="4" t="s">
        <v>63</v>
      </c>
      <c r="T2144" s="4" t="s">
        <v>63</v>
      </c>
      <c r="U2144" s="4"/>
      <c r="V2144" s="4"/>
      <c r="W2144" s="4"/>
      <c r="X2144" s="4" t="s">
        <v>63</v>
      </c>
      <c r="Y2144" s="4" t="s">
        <v>2358</v>
      </c>
      <c r="Z2144" s="4" t="s">
        <v>63</v>
      </c>
      <c r="AA2144" s="4" t="s">
        <v>63</v>
      </c>
      <c r="AB2144" s="4" t="s">
        <v>18287</v>
      </c>
      <c r="AC2144" s="4" t="s">
        <v>67</v>
      </c>
      <c r="AD2144" s="4" t="s">
        <v>63</v>
      </c>
      <c r="AE2144" s="4" t="s">
        <v>63</v>
      </c>
      <c r="AF2144" s="4" t="s">
        <v>63</v>
      </c>
      <c r="AG2144" s="4" t="s">
        <v>63</v>
      </c>
      <c r="AH2144" s="4" t="s">
        <v>63</v>
      </c>
      <c r="AI2144" s="4" t="s">
        <v>18288</v>
      </c>
      <c r="AJ2144" s="4" t="s">
        <v>63</v>
      </c>
      <c r="AK2144" s="4" t="s">
        <v>63</v>
      </c>
      <c r="AL2144" s="4" t="s">
        <v>63</v>
      </c>
      <c r="AM2144" s="4" t="s">
        <v>18280</v>
      </c>
      <c r="AN2144" s="4" t="s">
        <v>63</v>
      </c>
      <c r="AO2144" s="4" t="s">
        <v>63</v>
      </c>
      <c r="AP2144" s="4" t="s">
        <v>63</v>
      </c>
      <c r="AQ2144" s="4" t="s">
        <v>63</v>
      </c>
      <c r="AR2144" s="4" t="s">
        <v>63</v>
      </c>
      <c r="AS2144" s="4" t="s">
        <v>63</v>
      </c>
      <c r="AT2144" s="4" t="s">
        <v>63</v>
      </c>
      <c r="AU2144" s="4" t="s">
        <v>63</v>
      </c>
      <c r="AV2144" s="4" t="s">
        <v>63</v>
      </c>
      <c r="AW2144" s="4" t="s">
        <v>63</v>
      </c>
      <c r="AX2144" s="4" t="s">
        <v>63</v>
      </c>
      <c r="AY2144" s="4" t="s">
        <v>63</v>
      </c>
      <c r="AZ2144" s="4" t="s">
        <v>63</v>
      </c>
      <c r="BA2144" s="4" t="s">
        <v>63</v>
      </c>
      <c r="BB2144" s="4" t="s">
        <v>63</v>
      </c>
      <c r="BC2144" s="4" t="s">
        <v>63</v>
      </c>
      <c r="BD2144" s="4" t="s">
        <v>63</v>
      </c>
      <c r="BE2144" s="4" t="s">
        <v>63</v>
      </c>
      <c r="BF2144" s="4" t="s">
        <v>63</v>
      </c>
    </row>
    <row r="2145" spans="1:58">
      <c r="A2145" s="4" t="s">
        <v>58</v>
      </c>
      <c r="B2145" s="4" t="s">
        <v>18289</v>
      </c>
      <c r="C2145" s="4" t="s">
        <v>18290</v>
      </c>
      <c r="D2145" s="4" t="s">
        <v>371</v>
      </c>
      <c r="E2145" s="4" t="s">
        <v>63</v>
      </c>
      <c r="F2145" s="4">
        <v>2011</v>
      </c>
      <c r="G2145" s="4" t="s">
        <v>189</v>
      </c>
      <c r="H2145" s="4" t="s">
        <v>17819</v>
      </c>
      <c r="I2145" s="4" t="s">
        <v>63</v>
      </c>
      <c r="J2145" s="4" t="s">
        <v>18291</v>
      </c>
      <c r="K2145" s="4" t="s">
        <v>63</v>
      </c>
      <c r="L2145" s="4" t="s">
        <v>18292</v>
      </c>
      <c r="M2145" s="4" t="s">
        <v>18293</v>
      </c>
      <c r="N2145" s="4" t="s">
        <v>18294</v>
      </c>
      <c r="O2145" s="4" t="s">
        <v>63</v>
      </c>
      <c r="P2145" s="4"/>
      <c r="Q2145" s="4" t="s">
        <v>63</v>
      </c>
      <c r="R2145" s="4" t="s">
        <v>63</v>
      </c>
      <c r="S2145" s="4" t="s">
        <v>63</v>
      </c>
      <c r="T2145" s="4" t="s">
        <v>63</v>
      </c>
      <c r="U2145" s="4"/>
      <c r="V2145" s="4"/>
      <c r="W2145" s="4"/>
      <c r="X2145" s="4" t="s">
        <v>63</v>
      </c>
      <c r="Y2145" s="4" t="s">
        <v>375</v>
      </c>
      <c r="Z2145" s="4" t="s">
        <v>63</v>
      </c>
      <c r="AA2145" s="4" t="s">
        <v>63</v>
      </c>
      <c r="AB2145" s="4" t="s">
        <v>63</v>
      </c>
      <c r="AC2145" s="4" t="s">
        <v>67</v>
      </c>
      <c r="AD2145" s="4" t="s">
        <v>63</v>
      </c>
      <c r="AE2145" s="4" t="s">
        <v>63</v>
      </c>
      <c r="AF2145" s="4" t="s">
        <v>63</v>
      </c>
      <c r="AG2145" s="4" t="s">
        <v>63</v>
      </c>
      <c r="AH2145" s="4" t="s">
        <v>63</v>
      </c>
      <c r="AI2145" s="4" t="s">
        <v>17824</v>
      </c>
      <c r="AJ2145" s="4" t="s">
        <v>63</v>
      </c>
      <c r="AK2145" s="4" t="s">
        <v>63</v>
      </c>
      <c r="AL2145" s="4" t="s">
        <v>63</v>
      </c>
      <c r="AM2145" s="4" t="s">
        <v>18290</v>
      </c>
      <c r="AN2145" s="4" t="s">
        <v>63</v>
      </c>
      <c r="AO2145" s="4" t="s">
        <v>63</v>
      </c>
      <c r="AP2145" s="4" t="s">
        <v>63</v>
      </c>
      <c r="AQ2145" s="4" t="s">
        <v>63</v>
      </c>
      <c r="AR2145" s="4" t="s">
        <v>63</v>
      </c>
      <c r="AS2145" s="4" t="s">
        <v>63</v>
      </c>
      <c r="AT2145" s="4" t="s">
        <v>63</v>
      </c>
      <c r="AU2145" s="4" t="s">
        <v>63</v>
      </c>
      <c r="AV2145" s="4" t="s">
        <v>63</v>
      </c>
      <c r="AW2145" s="4" t="s">
        <v>63</v>
      </c>
      <c r="AX2145" s="4" t="s">
        <v>63</v>
      </c>
      <c r="AY2145" s="4" t="s">
        <v>63</v>
      </c>
      <c r="AZ2145" s="4" t="s">
        <v>63</v>
      </c>
      <c r="BA2145" s="4" t="s">
        <v>63</v>
      </c>
      <c r="BB2145" s="4" t="s">
        <v>63</v>
      </c>
      <c r="BC2145" s="4" t="s">
        <v>63</v>
      </c>
      <c r="BD2145" s="4" t="s">
        <v>63</v>
      </c>
      <c r="BE2145" s="4" t="s">
        <v>63</v>
      </c>
      <c r="BF2145" s="4" t="s">
        <v>63</v>
      </c>
    </row>
    <row r="2146" spans="1:58">
      <c r="A2146" s="4" t="s">
        <v>58</v>
      </c>
      <c r="B2146" s="4" t="s">
        <v>18295</v>
      </c>
      <c r="C2146" s="4" t="s">
        <v>18296</v>
      </c>
      <c r="D2146" s="4" t="s">
        <v>17122</v>
      </c>
      <c r="E2146" s="4" t="s">
        <v>17123</v>
      </c>
      <c r="F2146" s="4">
        <v>2015</v>
      </c>
      <c r="G2146" s="4" t="s">
        <v>63</v>
      </c>
      <c r="H2146" s="4">
        <v>91</v>
      </c>
      <c r="I2146" s="4">
        <v>7</v>
      </c>
      <c r="J2146" s="4">
        <v>315</v>
      </c>
      <c r="K2146" s="4">
        <v>320</v>
      </c>
      <c r="L2146" s="4" t="s">
        <v>18297</v>
      </c>
      <c r="M2146" s="4" t="s">
        <v>18298</v>
      </c>
      <c r="N2146" s="4" t="s">
        <v>18299</v>
      </c>
      <c r="O2146" s="4" t="s">
        <v>63</v>
      </c>
      <c r="P2146" s="4"/>
      <c r="Q2146" s="4" t="s">
        <v>63</v>
      </c>
      <c r="R2146" s="4" t="s">
        <v>63</v>
      </c>
      <c r="S2146" s="4" t="s">
        <v>63</v>
      </c>
      <c r="T2146" s="4" t="s">
        <v>63</v>
      </c>
      <c r="U2146" s="4"/>
      <c r="V2146" s="4"/>
      <c r="W2146" s="4"/>
      <c r="X2146" s="4" t="s">
        <v>63</v>
      </c>
      <c r="Y2146" s="4" t="s">
        <v>18300</v>
      </c>
      <c r="Z2146" s="4" t="s">
        <v>63</v>
      </c>
      <c r="AA2146" s="4" t="s">
        <v>63</v>
      </c>
      <c r="AB2146" s="4" t="s">
        <v>18301</v>
      </c>
      <c r="AC2146" s="4" t="s">
        <v>102</v>
      </c>
      <c r="AD2146" s="4" t="s">
        <v>63</v>
      </c>
      <c r="AE2146" s="4" t="s">
        <v>63</v>
      </c>
      <c r="AF2146" s="4" t="s">
        <v>63</v>
      </c>
      <c r="AG2146" s="4" t="s">
        <v>63</v>
      </c>
      <c r="AH2146" s="4" t="s">
        <v>63</v>
      </c>
      <c r="AI2146" s="4" t="s">
        <v>18302</v>
      </c>
      <c r="AJ2146" s="4" t="s">
        <v>63</v>
      </c>
      <c r="AK2146" s="4" t="s">
        <v>63</v>
      </c>
      <c r="AL2146" s="4" t="s">
        <v>63</v>
      </c>
      <c r="AM2146" s="4" t="s">
        <v>18296</v>
      </c>
      <c r="AN2146" s="4" t="s">
        <v>63</v>
      </c>
      <c r="AO2146" s="4" t="s">
        <v>63</v>
      </c>
      <c r="AP2146" s="4" t="s">
        <v>63</v>
      </c>
      <c r="AQ2146" s="4" t="s">
        <v>63</v>
      </c>
      <c r="AR2146" s="4" t="s">
        <v>63</v>
      </c>
      <c r="AS2146" s="4" t="s">
        <v>63</v>
      </c>
      <c r="AT2146" s="4" t="s">
        <v>63</v>
      </c>
      <c r="AU2146" s="4" t="s">
        <v>63</v>
      </c>
      <c r="AV2146" s="4" t="s">
        <v>63</v>
      </c>
      <c r="AW2146" s="4" t="s">
        <v>63</v>
      </c>
      <c r="AX2146" s="4" t="s">
        <v>63</v>
      </c>
      <c r="AY2146" s="4" t="s">
        <v>63</v>
      </c>
      <c r="AZ2146" s="4" t="s">
        <v>63</v>
      </c>
      <c r="BA2146" s="4" t="s">
        <v>63</v>
      </c>
      <c r="BB2146" s="4" t="s">
        <v>63</v>
      </c>
      <c r="BC2146" s="4" t="s">
        <v>63</v>
      </c>
      <c r="BD2146" s="4" t="s">
        <v>63</v>
      </c>
      <c r="BE2146" s="4" t="s">
        <v>63</v>
      </c>
      <c r="BF2146" s="4" t="s">
        <v>63</v>
      </c>
    </row>
    <row r="2147" spans="1:58">
      <c r="A2147" s="4" t="s">
        <v>58</v>
      </c>
      <c r="B2147" s="4" t="s">
        <v>18303</v>
      </c>
      <c r="C2147" s="4" t="s">
        <v>18304</v>
      </c>
      <c r="D2147" s="4" t="s">
        <v>18305</v>
      </c>
      <c r="E2147" s="4" t="s">
        <v>18306</v>
      </c>
      <c r="F2147" s="4">
        <v>2008</v>
      </c>
      <c r="G2147" s="4">
        <v>1</v>
      </c>
      <c r="H2147" s="4">
        <v>21</v>
      </c>
      <c r="I2147" s="4">
        <v>2</v>
      </c>
      <c r="J2147" s="4">
        <v>179</v>
      </c>
      <c r="K2147" s="4">
        <v>187</v>
      </c>
      <c r="L2147" s="4" t="s">
        <v>18307</v>
      </c>
      <c r="M2147" s="4" t="s">
        <v>18308</v>
      </c>
      <c r="N2147" s="4" t="s">
        <v>18309</v>
      </c>
      <c r="O2147" s="4" t="s">
        <v>63</v>
      </c>
      <c r="P2147" s="4"/>
      <c r="Q2147" s="4" t="s">
        <v>63</v>
      </c>
      <c r="R2147" s="4" t="s">
        <v>63</v>
      </c>
      <c r="S2147" s="4" t="s">
        <v>63</v>
      </c>
      <c r="T2147" s="4" t="s">
        <v>63</v>
      </c>
      <c r="U2147" s="4"/>
      <c r="V2147" s="4"/>
      <c r="W2147" s="4"/>
      <c r="X2147" s="4" t="s">
        <v>63</v>
      </c>
      <c r="Y2147" s="4" t="s">
        <v>18310</v>
      </c>
      <c r="Z2147" s="4" t="s">
        <v>63</v>
      </c>
      <c r="AA2147" s="4" t="s">
        <v>63</v>
      </c>
      <c r="AB2147" s="4">
        <v>2008401666</v>
      </c>
      <c r="AC2147" s="4" t="s">
        <v>67</v>
      </c>
      <c r="AD2147" s="4" t="s">
        <v>63</v>
      </c>
      <c r="AE2147" s="4" t="s">
        <v>63</v>
      </c>
      <c r="AF2147" s="4" t="s">
        <v>63</v>
      </c>
      <c r="AG2147" s="4" t="s">
        <v>18311</v>
      </c>
      <c r="AH2147" s="4" t="s">
        <v>63</v>
      </c>
      <c r="AI2147" s="4" t="s">
        <v>18312</v>
      </c>
      <c r="AJ2147" s="4" t="s">
        <v>63</v>
      </c>
      <c r="AK2147" s="4" t="s">
        <v>63</v>
      </c>
      <c r="AL2147" s="4" t="s">
        <v>63</v>
      </c>
      <c r="AM2147" s="4" t="s">
        <v>18313</v>
      </c>
      <c r="AN2147" s="4" t="s">
        <v>63</v>
      </c>
      <c r="AO2147" s="4" t="s">
        <v>63</v>
      </c>
      <c r="AP2147" s="4" t="s">
        <v>63</v>
      </c>
      <c r="AQ2147" s="4" t="s">
        <v>63</v>
      </c>
      <c r="AR2147" s="4" t="s">
        <v>63</v>
      </c>
      <c r="AS2147" s="4" t="s">
        <v>63</v>
      </c>
      <c r="AT2147" s="4" t="s">
        <v>63</v>
      </c>
      <c r="AU2147" s="4" t="s">
        <v>63</v>
      </c>
      <c r="AV2147" s="4" t="s">
        <v>63</v>
      </c>
      <c r="AW2147" s="4" t="s">
        <v>63</v>
      </c>
      <c r="AX2147" s="4" t="s">
        <v>63</v>
      </c>
      <c r="AY2147" s="4" t="s">
        <v>63</v>
      </c>
      <c r="AZ2147" s="4" t="s">
        <v>63</v>
      </c>
      <c r="BA2147" s="4" t="s">
        <v>63</v>
      </c>
      <c r="BB2147" s="4" t="s">
        <v>63</v>
      </c>
      <c r="BC2147" s="4" t="s">
        <v>63</v>
      </c>
      <c r="BD2147" s="4" t="s">
        <v>63</v>
      </c>
      <c r="BE2147" s="4" t="s">
        <v>63</v>
      </c>
      <c r="BF2147" s="4" t="s">
        <v>63</v>
      </c>
    </row>
    <row r="2148" spans="1:58">
      <c r="A2148" s="4" t="s">
        <v>58</v>
      </c>
      <c r="B2148" s="4" t="s">
        <v>18314</v>
      </c>
      <c r="C2148" s="4" t="s">
        <v>18315</v>
      </c>
      <c r="D2148" s="4" t="s">
        <v>13447</v>
      </c>
      <c r="E2148" s="4" t="s">
        <v>63</v>
      </c>
      <c r="F2148" s="4">
        <v>2016</v>
      </c>
      <c r="G2148" s="4">
        <v>1</v>
      </c>
      <c r="H2148" s="4">
        <v>29</v>
      </c>
      <c r="I2148" s="4">
        <v>3</v>
      </c>
      <c r="J2148" s="4">
        <v>332</v>
      </c>
      <c r="K2148" s="4" t="s">
        <v>63</v>
      </c>
      <c r="L2148" s="4" t="s">
        <v>18316</v>
      </c>
      <c r="M2148" s="4" t="s">
        <v>18317</v>
      </c>
      <c r="N2148" s="4" t="s">
        <v>18318</v>
      </c>
      <c r="O2148" s="4" t="s">
        <v>63</v>
      </c>
      <c r="P2148" s="4"/>
      <c r="Q2148" s="4" t="s">
        <v>63</v>
      </c>
      <c r="R2148" s="4" t="s">
        <v>63</v>
      </c>
      <c r="S2148" s="4" t="s">
        <v>63</v>
      </c>
      <c r="T2148" s="4" t="s">
        <v>63</v>
      </c>
      <c r="U2148" s="4"/>
      <c r="V2148" s="4"/>
      <c r="W2148" s="4"/>
      <c r="X2148" s="4" t="s">
        <v>63</v>
      </c>
      <c r="Y2148" s="4" t="s">
        <v>13450</v>
      </c>
      <c r="Z2148" s="4" t="s">
        <v>63</v>
      </c>
      <c r="AA2148" s="4" t="s">
        <v>63</v>
      </c>
      <c r="AB2148" s="4" t="s">
        <v>63</v>
      </c>
      <c r="AC2148" s="4" t="s">
        <v>67</v>
      </c>
      <c r="AD2148" s="4" t="s">
        <v>63</v>
      </c>
      <c r="AE2148" s="4" t="s">
        <v>63</v>
      </c>
      <c r="AF2148" s="4" t="s">
        <v>63</v>
      </c>
      <c r="AG2148" s="4" t="s">
        <v>63</v>
      </c>
      <c r="AH2148" s="4" t="s">
        <v>63</v>
      </c>
      <c r="AI2148" s="4" t="s">
        <v>18319</v>
      </c>
      <c r="AJ2148" s="4" t="s">
        <v>63</v>
      </c>
      <c r="AK2148" s="4" t="s">
        <v>63</v>
      </c>
      <c r="AL2148" s="4" t="s">
        <v>63</v>
      </c>
      <c r="AM2148" s="4" t="s">
        <v>18315</v>
      </c>
      <c r="AN2148" s="4" t="s">
        <v>63</v>
      </c>
      <c r="AO2148" s="4" t="s">
        <v>63</v>
      </c>
      <c r="AP2148" s="4" t="s">
        <v>63</v>
      </c>
      <c r="AQ2148" s="4" t="s">
        <v>63</v>
      </c>
      <c r="AR2148" s="4" t="s">
        <v>63</v>
      </c>
      <c r="AS2148" s="4" t="s">
        <v>63</v>
      </c>
      <c r="AT2148" s="4" t="s">
        <v>63</v>
      </c>
      <c r="AU2148" s="4" t="s">
        <v>63</v>
      </c>
      <c r="AV2148" s="4" t="s">
        <v>63</v>
      </c>
      <c r="AW2148" s="4" t="s">
        <v>63</v>
      </c>
      <c r="AX2148" s="4" t="s">
        <v>63</v>
      </c>
      <c r="AY2148" s="4" t="s">
        <v>63</v>
      </c>
      <c r="AZ2148" s="4" t="s">
        <v>63</v>
      </c>
      <c r="BA2148" s="4" t="s">
        <v>63</v>
      </c>
      <c r="BB2148" s="4" t="s">
        <v>63</v>
      </c>
      <c r="BC2148" s="4" t="s">
        <v>63</v>
      </c>
      <c r="BD2148" s="4" t="s">
        <v>63</v>
      </c>
      <c r="BE2148" s="4" t="s">
        <v>63</v>
      </c>
      <c r="BF2148" s="4" t="s">
        <v>63</v>
      </c>
    </row>
    <row r="2149" spans="1:58">
      <c r="A2149" s="4" t="s">
        <v>58</v>
      </c>
      <c r="B2149" s="4" t="s">
        <v>18320</v>
      </c>
      <c r="C2149" s="4" t="s">
        <v>18321</v>
      </c>
      <c r="D2149" s="4" t="s">
        <v>18322</v>
      </c>
      <c r="E2149" s="4" t="s">
        <v>18323</v>
      </c>
      <c r="F2149" s="4">
        <v>2018</v>
      </c>
      <c r="G2149" s="4">
        <v>1</v>
      </c>
      <c r="H2149" s="4">
        <v>91</v>
      </c>
      <c r="I2149" s="4">
        <v>1</v>
      </c>
      <c r="J2149" s="4">
        <v>67</v>
      </c>
      <c r="K2149" s="4">
        <v>71</v>
      </c>
      <c r="L2149" s="4" t="s">
        <v>18324</v>
      </c>
      <c r="M2149" s="4" t="s">
        <v>63</v>
      </c>
      <c r="N2149" s="4" t="s">
        <v>18325</v>
      </c>
      <c r="O2149" s="4" t="s">
        <v>63</v>
      </c>
      <c r="P2149" s="4"/>
      <c r="Q2149" s="4" t="s">
        <v>63</v>
      </c>
      <c r="R2149" s="4" t="s">
        <v>63</v>
      </c>
      <c r="S2149" s="4" t="s">
        <v>63</v>
      </c>
      <c r="T2149" s="4" t="s">
        <v>63</v>
      </c>
      <c r="U2149" s="4"/>
      <c r="V2149" s="4"/>
      <c r="W2149" s="4"/>
      <c r="X2149" s="4" t="s">
        <v>63</v>
      </c>
      <c r="Y2149" s="4" t="s">
        <v>18326</v>
      </c>
      <c r="Z2149" s="4" t="s">
        <v>63</v>
      </c>
      <c r="AA2149" s="4" t="s">
        <v>63</v>
      </c>
      <c r="AB2149" s="4" t="s">
        <v>18327</v>
      </c>
      <c r="AC2149" s="4" t="s">
        <v>67</v>
      </c>
      <c r="AD2149" s="4" t="s">
        <v>63</v>
      </c>
      <c r="AE2149" s="4" t="s">
        <v>63</v>
      </c>
      <c r="AF2149" s="4" t="s">
        <v>63</v>
      </c>
      <c r="AG2149" s="4" t="s">
        <v>63</v>
      </c>
      <c r="AH2149" s="4" t="s">
        <v>63</v>
      </c>
      <c r="AI2149" s="4" t="s">
        <v>63</v>
      </c>
      <c r="AJ2149" s="4" t="s">
        <v>63</v>
      </c>
      <c r="AK2149" s="4" t="s">
        <v>63</v>
      </c>
      <c r="AL2149" s="4" t="s">
        <v>63</v>
      </c>
      <c r="AM2149" s="4" t="s">
        <v>18321</v>
      </c>
      <c r="AN2149" s="4" t="s">
        <v>63</v>
      </c>
      <c r="AO2149" s="4" t="s">
        <v>63</v>
      </c>
      <c r="AP2149" s="4" t="s">
        <v>63</v>
      </c>
      <c r="AQ2149" s="4" t="s">
        <v>63</v>
      </c>
      <c r="AR2149" s="4" t="s">
        <v>63</v>
      </c>
      <c r="AS2149" s="4" t="s">
        <v>63</v>
      </c>
      <c r="AT2149" s="4" t="s">
        <v>63</v>
      </c>
      <c r="AU2149" s="4" t="s">
        <v>63</v>
      </c>
      <c r="AV2149" s="4" t="s">
        <v>63</v>
      </c>
      <c r="AW2149" s="4" t="s">
        <v>63</v>
      </c>
      <c r="AX2149" s="4" t="s">
        <v>63</v>
      </c>
      <c r="AY2149" s="4" t="s">
        <v>63</v>
      </c>
      <c r="AZ2149" s="4" t="s">
        <v>63</v>
      </c>
      <c r="BA2149" s="4" t="s">
        <v>63</v>
      </c>
      <c r="BB2149" s="4" t="s">
        <v>63</v>
      </c>
      <c r="BC2149" s="4" t="s">
        <v>63</v>
      </c>
      <c r="BD2149" s="4" t="s">
        <v>63</v>
      </c>
      <c r="BE2149" s="4" t="s">
        <v>63</v>
      </c>
      <c r="BF2149" s="4" t="s">
        <v>63</v>
      </c>
    </row>
    <row r="2150" spans="1:58">
      <c r="A2150" s="4" t="s">
        <v>58</v>
      </c>
      <c r="B2150" s="4" t="s">
        <v>18328</v>
      </c>
      <c r="C2150" s="4" t="s">
        <v>18329</v>
      </c>
      <c r="D2150" s="4" t="s">
        <v>18330</v>
      </c>
      <c r="E2150" s="4" t="s">
        <v>63</v>
      </c>
      <c r="F2150" s="4">
        <v>2007</v>
      </c>
      <c r="G2150" s="4" t="s">
        <v>15155</v>
      </c>
      <c r="H2150" s="4">
        <v>70</v>
      </c>
      <c r="I2150" s="4">
        <v>2</v>
      </c>
      <c r="J2150" s="4">
        <v>217</v>
      </c>
      <c r="K2150" s="4">
        <v>229</v>
      </c>
      <c r="L2150" s="4" t="s">
        <v>18331</v>
      </c>
      <c r="M2150" s="4" t="s">
        <v>18332</v>
      </c>
      <c r="N2150" s="4" t="s">
        <v>18333</v>
      </c>
      <c r="O2150" s="4" t="s">
        <v>63</v>
      </c>
      <c r="P2150" s="4"/>
      <c r="Q2150" s="4" t="s">
        <v>63</v>
      </c>
      <c r="R2150" s="4" t="s">
        <v>63</v>
      </c>
      <c r="S2150" s="4" t="s">
        <v>63</v>
      </c>
      <c r="T2150" s="4" t="s">
        <v>63</v>
      </c>
      <c r="U2150" s="4"/>
      <c r="V2150" s="4"/>
      <c r="W2150" s="4"/>
      <c r="X2150" s="4" t="s">
        <v>63</v>
      </c>
      <c r="Y2150" s="4" t="s">
        <v>18334</v>
      </c>
      <c r="Z2150" s="4" t="s">
        <v>63</v>
      </c>
      <c r="AA2150" s="4" t="s">
        <v>63</v>
      </c>
      <c r="AB2150" s="4" t="s">
        <v>18335</v>
      </c>
      <c r="AC2150" s="4" t="s">
        <v>102</v>
      </c>
      <c r="AD2150" s="4" t="s">
        <v>63</v>
      </c>
      <c r="AE2150" s="4" t="s">
        <v>63</v>
      </c>
      <c r="AF2150" s="4" t="s">
        <v>63</v>
      </c>
      <c r="AG2150" s="4" t="s">
        <v>63</v>
      </c>
      <c r="AH2150" s="4" t="s">
        <v>63</v>
      </c>
      <c r="AI2150" s="4" t="s">
        <v>63</v>
      </c>
      <c r="AJ2150" s="4" t="s">
        <v>63</v>
      </c>
      <c r="AK2150" s="4" t="s">
        <v>63</v>
      </c>
      <c r="AL2150" s="4" t="s">
        <v>63</v>
      </c>
      <c r="AM2150" s="4" t="s">
        <v>18329</v>
      </c>
      <c r="AN2150" s="4" t="s">
        <v>63</v>
      </c>
      <c r="AO2150" s="4" t="s">
        <v>63</v>
      </c>
      <c r="AP2150" s="4" t="s">
        <v>63</v>
      </c>
      <c r="AQ2150" s="4" t="s">
        <v>63</v>
      </c>
      <c r="AR2150" s="4" t="s">
        <v>63</v>
      </c>
      <c r="AS2150" s="4" t="s">
        <v>63</v>
      </c>
      <c r="AT2150" s="4" t="s">
        <v>63</v>
      </c>
      <c r="AU2150" s="4" t="s">
        <v>63</v>
      </c>
      <c r="AV2150" s="4" t="s">
        <v>63</v>
      </c>
      <c r="AW2150" s="4" t="s">
        <v>63</v>
      </c>
      <c r="AX2150" s="4" t="s">
        <v>63</v>
      </c>
      <c r="AY2150" s="4" t="s">
        <v>63</v>
      </c>
      <c r="AZ2150" s="4" t="s">
        <v>63</v>
      </c>
      <c r="BA2150" s="4" t="s">
        <v>63</v>
      </c>
      <c r="BB2150" s="4" t="s">
        <v>63</v>
      </c>
      <c r="BC2150" s="4" t="s">
        <v>63</v>
      </c>
      <c r="BD2150" s="4" t="s">
        <v>63</v>
      </c>
      <c r="BE2150" s="4" t="s">
        <v>63</v>
      </c>
      <c r="BF2150" s="4" t="s">
        <v>63</v>
      </c>
    </row>
    <row r="2151" spans="1:58">
      <c r="A2151" s="4" t="s">
        <v>58</v>
      </c>
      <c r="B2151" s="4" t="s">
        <v>18336</v>
      </c>
      <c r="C2151" s="4" t="s">
        <v>18337</v>
      </c>
      <c r="D2151" s="4" t="s">
        <v>18338</v>
      </c>
      <c r="E2151" s="4" t="s">
        <v>63</v>
      </c>
      <c r="F2151" s="4">
        <v>2004</v>
      </c>
      <c r="G2151" s="4" t="s">
        <v>326</v>
      </c>
      <c r="H2151" s="4" t="s">
        <v>18339</v>
      </c>
      <c r="I2151" s="4" t="s">
        <v>63</v>
      </c>
      <c r="J2151" s="4">
        <v>36</v>
      </c>
      <c r="K2151" s="4">
        <v>41</v>
      </c>
      <c r="L2151" s="4" t="s">
        <v>18340</v>
      </c>
      <c r="M2151" s="4" t="s">
        <v>18341</v>
      </c>
      <c r="N2151" s="4" t="s">
        <v>18342</v>
      </c>
      <c r="O2151" s="4" t="s">
        <v>63</v>
      </c>
      <c r="P2151" s="4"/>
      <c r="Q2151" s="4" t="s">
        <v>63</v>
      </c>
      <c r="R2151" s="4" t="s">
        <v>63</v>
      </c>
      <c r="S2151" s="4" t="s">
        <v>63</v>
      </c>
      <c r="T2151" s="4" t="s">
        <v>63</v>
      </c>
      <c r="U2151" s="4"/>
      <c r="V2151" s="4"/>
      <c r="W2151" s="4"/>
      <c r="X2151" s="4" t="s">
        <v>63</v>
      </c>
      <c r="Y2151" s="4" t="s">
        <v>18343</v>
      </c>
      <c r="Z2151" s="4" t="s">
        <v>63</v>
      </c>
      <c r="AA2151" s="4" t="s">
        <v>63</v>
      </c>
      <c r="AB2151" s="4" t="s">
        <v>63</v>
      </c>
      <c r="AC2151" s="4" t="s">
        <v>67</v>
      </c>
      <c r="AD2151" s="4" t="s">
        <v>63</v>
      </c>
      <c r="AE2151" s="4" t="s">
        <v>63</v>
      </c>
      <c r="AF2151" s="4" t="s">
        <v>63</v>
      </c>
      <c r="AG2151" s="4" t="s">
        <v>18344</v>
      </c>
      <c r="AH2151" s="4" t="s">
        <v>63</v>
      </c>
      <c r="AI2151" s="4" t="s">
        <v>63</v>
      </c>
      <c r="AJ2151" s="4" t="s">
        <v>63</v>
      </c>
      <c r="AK2151" s="4" t="s">
        <v>63</v>
      </c>
      <c r="AL2151" s="4" t="s">
        <v>63</v>
      </c>
      <c r="AM2151" s="4" t="s">
        <v>18345</v>
      </c>
      <c r="AN2151" s="4" t="s">
        <v>63</v>
      </c>
      <c r="AO2151" s="4" t="s">
        <v>63</v>
      </c>
      <c r="AP2151" s="4" t="s">
        <v>63</v>
      </c>
      <c r="AQ2151" s="4" t="s">
        <v>63</v>
      </c>
      <c r="AR2151" s="4" t="s">
        <v>63</v>
      </c>
      <c r="AS2151" s="4" t="s">
        <v>63</v>
      </c>
      <c r="AT2151" s="4" t="s">
        <v>63</v>
      </c>
      <c r="AU2151" s="4" t="s">
        <v>63</v>
      </c>
      <c r="AV2151" s="4" t="s">
        <v>63</v>
      </c>
      <c r="AW2151" s="4" t="s">
        <v>63</v>
      </c>
      <c r="AX2151" s="4" t="s">
        <v>63</v>
      </c>
      <c r="AY2151" s="4" t="s">
        <v>63</v>
      </c>
      <c r="AZ2151" s="4" t="s">
        <v>63</v>
      </c>
      <c r="BA2151" s="4" t="s">
        <v>63</v>
      </c>
      <c r="BB2151" s="4" t="s">
        <v>63</v>
      </c>
      <c r="BC2151" s="4" t="s">
        <v>63</v>
      </c>
      <c r="BD2151" s="4" t="s">
        <v>63</v>
      </c>
      <c r="BE2151" s="4" t="s">
        <v>63</v>
      </c>
      <c r="BF2151" s="4" t="s">
        <v>63</v>
      </c>
    </row>
    <row r="2152" spans="1:58">
      <c r="A2152" s="4" t="s">
        <v>58</v>
      </c>
      <c r="B2152" s="4" t="s">
        <v>18346</v>
      </c>
      <c r="C2152" s="4" t="s">
        <v>18347</v>
      </c>
      <c r="D2152" s="4" t="s">
        <v>18348</v>
      </c>
      <c r="E2152" s="4" t="s">
        <v>63</v>
      </c>
      <c r="F2152" s="4">
        <v>1998</v>
      </c>
      <c r="G2152" s="4" t="s">
        <v>63</v>
      </c>
      <c r="H2152" s="4">
        <v>71</v>
      </c>
      <c r="I2152" s="4">
        <v>2</v>
      </c>
      <c r="J2152" s="4">
        <v>153</v>
      </c>
      <c r="K2152" s="4">
        <v>160</v>
      </c>
      <c r="L2152" s="4" t="s">
        <v>18349</v>
      </c>
      <c r="M2152" s="4" t="s">
        <v>18350</v>
      </c>
      <c r="N2152" s="4" t="s">
        <v>18351</v>
      </c>
      <c r="O2152" s="4" t="s">
        <v>63</v>
      </c>
      <c r="P2152" s="4"/>
      <c r="Q2152" s="4" t="s">
        <v>63</v>
      </c>
      <c r="R2152" s="4" t="s">
        <v>63</v>
      </c>
      <c r="S2152" s="4" t="s">
        <v>63</v>
      </c>
      <c r="T2152" s="4" t="s">
        <v>63</v>
      </c>
      <c r="U2152" s="4"/>
      <c r="V2152" s="4"/>
      <c r="W2152" s="4"/>
      <c r="X2152" s="4" t="s">
        <v>63</v>
      </c>
      <c r="Y2152" s="4" t="s">
        <v>18352</v>
      </c>
      <c r="Z2152" s="4" t="s">
        <v>63</v>
      </c>
      <c r="AA2152" s="4" t="s">
        <v>63</v>
      </c>
      <c r="AB2152" s="4" t="s">
        <v>18353</v>
      </c>
      <c r="AC2152" s="4" t="s">
        <v>67</v>
      </c>
      <c r="AD2152" s="4" t="s">
        <v>63</v>
      </c>
      <c r="AE2152" s="4" t="s">
        <v>63</v>
      </c>
      <c r="AF2152" s="4" t="s">
        <v>63</v>
      </c>
      <c r="AG2152" s="4" t="s">
        <v>63</v>
      </c>
      <c r="AH2152" s="4" t="s">
        <v>63</v>
      </c>
      <c r="AI2152" s="4" t="s">
        <v>63</v>
      </c>
      <c r="AJ2152" s="4" t="s">
        <v>63</v>
      </c>
      <c r="AK2152" s="4" t="s">
        <v>63</v>
      </c>
      <c r="AL2152" s="4" t="s">
        <v>63</v>
      </c>
      <c r="AM2152" s="4" t="s">
        <v>18347</v>
      </c>
      <c r="AN2152" s="4" t="s">
        <v>63</v>
      </c>
      <c r="AO2152" s="4" t="s">
        <v>63</v>
      </c>
      <c r="AP2152" s="4" t="s">
        <v>63</v>
      </c>
      <c r="AQ2152" s="4" t="s">
        <v>63</v>
      </c>
      <c r="AR2152" s="4" t="s">
        <v>63</v>
      </c>
      <c r="AS2152" s="4" t="s">
        <v>63</v>
      </c>
      <c r="AT2152" s="4" t="s">
        <v>63</v>
      </c>
      <c r="AU2152" s="4" t="s">
        <v>63</v>
      </c>
      <c r="AV2152" s="4" t="s">
        <v>63</v>
      </c>
      <c r="AW2152" s="4" t="s">
        <v>63</v>
      </c>
      <c r="AX2152" s="4" t="s">
        <v>63</v>
      </c>
      <c r="AY2152" s="4" t="s">
        <v>63</v>
      </c>
      <c r="AZ2152" s="4" t="s">
        <v>63</v>
      </c>
      <c r="BA2152" s="4" t="s">
        <v>63</v>
      </c>
      <c r="BB2152" s="4" t="s">
        <v>63</v>
      </c>
      <c r="BC2152" s="4" t="s">
        <v>63</v>
      </c>
      <c r="BD2152" s="4" t="s">
        <v>63</v>
      </c>
      <c r="BE2152" s="4" t="s">
        <v>63</v>
      </c>
      <c r="BF2152" s="4" t="s">
        <v>63</v>
      </c>
    </row>
    <row r="2153" spans="1:58">
      <c r="A2153" s="4" t="s">
        <v>58</v>
      </c>
      <c r="B2153" s="4" t="s">
        <v>18354</v>
      </c>
      <c r="C2153" s="4" t="s">
        <v>18355</v>
      </c>
      <c r="D2153" s="4" t="s">
        <v>18356</v>
      </c>
      <c r="E2153" s="4" t="s">
        <v>63</v>
      </c>
      <c r="F2153" s="4">
        <v>2000</v>
      </c>
      <c r="G2153" s="4" t="s">
        <v>63</v>
      </c>
      <c r="H2153" s="4">
        <v>3</v>
      </c>
      <c r="I2153" s="4">
        <v>6</v>
      </c>
      <c r="J2153" s="4">
        <v>935</v>
      </c>
      <c r="K2153" s="4">
        <v>950</v>
      </c>
      <c r="L2153" s="4" t="s">
        <v>18357</v>
      </c>
      <c r="M2153" s="4" t="s">
        <v>18358</v>
      </c>
      <c r="N2153" s="4" t="s">
        <v>18359</v>
      </c>
      <c r="O2153" s="4" t="s">
        <v>63</v>
      </c>
      <c r="P2153" s="4"/>
      <c r="Q2153" s="4" t="s">
        <v>63</v>
      </c>
      <c r="R2153" s="4" t="s">
        <v>63</v>
      </c>
      <c r="S2153" s="4" t="s">
        <v>63</v>
      </c>
      <c r="T2153" s="4" t="s">
        <v>63</v>
      </c>
      <c r="U2153" s="4"/>
      <c r="V2153" s="4"/>
      <c r="W2153" s="4"/>
      <c r="X2153" s="4" t="s">
        <v>63</v>
      </c>
      <c r="Y2153" s="4" t="s">
        <v>18360</v>
      </c>
      <c r="Z2153" s="4" t="s">
        <v>63</v>
      </c>
      <c r="AA2153" s="4" t="s">
        <v>63</v>
      </c>
      <c r="AB2153" s="4" t="s">
        <v>18361</v>
      </c>
      <c r="AC2153" s="4" t="s">
        <v>67</v>
      </c>
      <c r="AD2153" s="4" t="s">
        <v>63</v>
      </c>
      <c r="AE2153" s="4" t="s">
        <v>63</v>
      </c>
      <c r="AF2153" s="4" t="s">
        <v>63</v>
      </c>
      <c r="AG2153" s="4" t="s">
        <v>63</v>
      </c>
      <c r="AH2153" s="4" t="s">
        <v>63</v>
      </c>
      <c r="AI2153" s="4" t="s">
        <v>18362</v>
      </c>
      <c r="AJ2153" s="4" t="s">
        <v>63</v>
      </c>
      <c r="AK2153" s="4" t="s">
        <v>63</v>
      </c>
      <c r="AL2153" s="4" t="s">
        <v>63</v>
      </c>
      <c r="AM2153" s="4" t="s">
        <v>18355</v>
      </c>
      <c r="AN2153" s="4" t="s">
        <v>63</v>
      </c>
      <c r="AO2153" s="4" t="s">
        <v>63</v>
      </c>
      <c r="AP2153" s="4" t="s">
        <v>63</v>
      </c>
      <c r="AQ2153" s="4" t="s">
        <v>63</v>
      </c>
      <c r="AR2153" s="4" t="s">
        <v>63</v>
      </c>
      <c r="AS2153" s="4" t="s">
        <v>63</v>
      </c>
      <c r="AT2153" s="4" t="s">
        <v>63</v>
      </c>
      <c r="AU2153" s="4" t="s">
        <v>63</v>
      </c>
      <c r="AV2153" s="4" t="s">
        <v>63</v>
      </c>
      <c r="AW2153" s="4" t="s">
        <v>63</v>
      </c>
      <c r="AX2153" s="4" t="s">
        <v>63</v>
      </c>
      <c r="AY2153" s="4" t="s">
        <v>63</v>
      </c>
      <c r="AZ2153" s="4" t="s">
        <v>63</v>
      </c>
      <c r="BA2153" s="4" t="s">
        <v>63</v>
      </c>
      <c r="BB2153" s="4" t="s">
        <v>63</v>
      </c>
      <c r="BC2153" s="4" t="s">
        <v>63</v>
      </c>
      <c r="BD2153" s="4" t="s">
        <v>63</v>
      </c>
      <c r="BE2153" s="4" t="s">
        <v>63</v>
      </c>
      <c r="BF2153" s="4" t="s">
        <v>63</v>
      </c>
    </row>
    <row r="2154" spans="1:58">
      <c r="A2154" s="4" t="s">
        <v>58</v>
      </c>
      <c r="B2154" s="4" t="s">
        <v>18363</v>
      </c>
      <c r="C2154" s="4" t="s">
        <v>18364</v>
      </c>
      <c r="D2154" s="4" t="s">
        <v>18365</v>
      </c>
      <c r="E2154" s="4" t="s">
        <v>63</v>
      </c>
      <c r="F2154" s="4">
        <v>2005</v>
      </c>
      <c r="G2154" s="4" t="s">
        <v>15165</v>
      </c>
      <c r="H2154" s="4">
        <v>7</v>
      </c>
      <c r="I2154" s="4">
        <v>2</v>
      </c>
      <c r="J2154" s="4">
        <v>225</v>
      </c>
      <c r="K2154" s="4">
        <v>232</v>
      </c>
      <c r="L2154" s="4" t="s">
        <v>18366</v>
      </c>
      <c r="M2154" s="4" t="s">
        <v>18367</v>
      </c>
      <c r="N2154" s="4" t="s">
        <v>18368</v>
      </c>
      <c r="O2154" s="4" t="s">
        <v>63</v>
      </c>
      <c r="P2154" s="4"/>
      <c r="Q2154" s="4" t="s">
        <v>63</v>
      </c>
      <c r="R2154" s="4" t="s">
        <v>63</v>
      </c>
      <c r="S2154" s="4" t="s">
        <v>63</v>
      </c>
      <c r="T2154" s="4" t="s">
        <v>63</v>
      </c>
      <c r="U2154" s="4"/>
      <c r="V2154" s="4"/>
      <c r="W2154" s="4"/>
      <c r="X2154" s="4" t="s">
        <v>63</v>
      </c>
      <c r="Y2154" s="4" t="s">
        <v>18369</v>
      </c>
      <c r="Z2154" s="4" t="s">
        <v>63</v>
      </c>
      <c r="AA2154" s="4" t="s">
        <v>63</v>
      </c>
      <c r="AB2154" s="4">
        <v>2005276232</v>
      </c>
      <c r="AC2154" s="4" t="s">
        <v>67</v>
      </c>
      <c r="AD2154" s="4" t="s">
        <v>63</v>
      </c>
      <c r="AE2154" s="4" t="s">
        <v>63</v>
      </c>
      <c r="AF2154" s="4" t="s">
        <v>63</v>
      </c>
      <c r="AG2154" s="4" t="s">
        <v>18370</v>
      </c>
      <c r="AH2154" s="4" t="s">
        <v>63</v>
      </c>
      <c r="AI2154" s="4" t="s">
        <v>18371</v>
      </c>
      <c r="AJ2154" s="4" t="s">
        <v>63</v>
      </c>
      <c r="AK2154" s="4" t="s">
        <v>63</v>
      </c>
      <c r="AL2154" s="4" t="s">
        <v>63</v>
      </c>
      <c r="AM2154" s="4" t="s">
        <v>18372</v>
      </c>
      <c r="AN2154" s="4" t="s">
        <v>63</v>
      </c>
      <c r="AO2154" s="4" t="s">
        <v>63</v>
      </c>
      <c r="AP2154" s="4" t="s">
        <v>63</v>
      </c>
      <c r="AQ2154" s="4" t="s">
        <v>63</v>
      </c>
      <c r="AR2154" s="4" t="s">
        <v>63</v>
      </c>
      <c r="AS2154" s="4" t="s">
        <v>63</v>
      </c>
      <c r="AT2154" s="4" t="s">
        <v>63</v>
      </c>
      <c r="AU2154" s="4" t="s">
        <v>63</v>
      </c>
      <c r="AV2154" s="4" t="s">
        <v>63</v>
      </c>
      <c r="AW2154" s="4" t="s">
        <v>63</v>
      </c>
      <c r="AX2154" s="4" t="s">
        <v>63</v>
      </c>
      <c r="AY2154" s="4" t="s">
        <v>63</v>
      </c>
      <c r="AZ2154" s="4" t="s">
        <v>63</v>
      </c>
      <c r="BA2154" s="4" t="s">
        <v>63</v>
      </c>
      <c r="BB2154" s="4" t="s">
        <v>63</v>
      </c>
      <c r="BC2154" s="4" t="s">
        <v>63</v>
      </c>
      <c r="BD2154" s="4" t="s">
        <v>63</v>
      </c>
      <c r="BE2154" s="4" t="s">
        <v>63</v>
      </c>
      <c r="BF2154" s="4" t="s">
        <v>63</v>
      </c>
    </row>
    <row r="2155" spans="1:58">
      <c r="A2155" s="4" t="s">
        <v>58</v>
      </c>
      <c r="B2155" s="4" t="s">
        <v>18373</v>
      </c>
      <c r="C2155" s="4" t="s">
        <v>18374</v>
      </c>
      <c r="D2155" s="4" t="s">
        <v>18365</v>
      </c>
      <c r="E2155" s="4" t="s">
        <v>63</v>
      </c>
      <c r="F2155" s="4">
        <v>2014</v>
      </c>
      <c r="G2155" s="4">
        <v>1</v>
      </c>
      <c r="H2155" s="4">
        <v>16</v>
      </c>
      <c r="I2155" s="4">
        <v>10</v>
      </c>
      <c r="J2155" s="4">
        <v>1394</v>
      </c>
      <c r="K2155" s="4">
        <v>1398</v>
      </c>
      <c r="L2155" s="4" t="s">
        <v>18375</v>
      </c>
      <c r="M2155" s="4" t="s">
        <v>18376</v>
      </c>
      <c r="N2155" s="4" t="s">
        <v>18377</v>
      </c>
      <c r="O2155" s="4" t="s">
        <v>63</v>
      </c>
      <c r="P2155" s="4"/>
      <c r="Q2155" s="4" t="s">
        <v>63</v>
      </c>
      <c r="R2155" s="4" t="s">
        <v>63</v>
      </c>
      <c r="S2155" s="4" t="s">
        <v>63</v>
      </c>
      <c r="T2155" s="4" t="s">
        <v>63</v>
      </c>
      <c r="U2155" s="4"/>
      <c r="V2155" s="4"/>
      <c r="W2155" s="4"/>
      <c r="X2155" s="4" t="s">
        <v>63</v>
      </c>
      <c r="Y2155" s="4" t="s">
        <v>18378</v>
      </c>
      <c r="Z2155" s="4" t="s">
        <v>63</v>
      </c>
      <c r="AA2155" s="4" t="s">
        <v>63</v>
      </c>
      <c r="AB2155" s="4" t="s">
        <v>18379</v>
      </c>
      <c r="AC2155" s="4" t="s">
        <v>67</v>
      </c>
      <c r="AD2155" s="4" t="s">
        <v>63</v>
      </c>
      <c r="AE2155" s="4" t="s">
        <v>63</v>
      </c>
      <c r="AF2155" s="4" t="s">
        <v>63</v>
      </c>
      <c r="AG2155" s="4" t="s">
        <v>63</v>
      </c>
      <c r="AH2155" s="4" t="s">
        <v>63</v>
      </c>
      <c r="AI2155" s="4" t="s">
        <v>18380</v>
      </c>
      <c r="AJ2155" s="4" t="s">
        <v>63</v>
      </c>
      <c r="AK2155" s="4" t="s">
        <v>63</v>
      </c>
      <c r="AL2155" s="4" t="s">
        <v>63</v>
      </c>
      <c r="AM2155" s="4" t="s">
        <v>18374</v>
      </c>
      <c r="AN2155" s="4" t="s">
        <v>63</v>
      </c>
      <c r="AO2155" s="4" t="s">
        <v>63</v>
      </c>
      <c r="AP2155" s="4" t="s">
        <v>63</v>
      </c>
      <c r="AQ2155" s="4" t="s">
        <v>63</v>
      </c>
      <c r="AR2155" s="4" t="s">
        <v>63</v>
      </c>
      <c r="AS2155" s="4" t="s">
        <v>63</v>
      </c>
      <c r="AT2155" s="4" t="s">
        <v>63</v>
      </c>
      <c r="AU2155" s="4" t="s">
        <v>63</v>
      </c>
      <c r="AV2155" s="4" t="s">
        <v>63</v>
      </c>
      <c r="AW2155" s="4" t="s">
        <v>63</v>
      </c>
      <c r="AX2155" s="4" t="s">
        <v>63</v>
      </c>
      <c r="AY2155" s="4" t="s">
        <v>63</v>
      </c>
      <c r="AZ2155" s="4" t="s">
        <v>63</v>
      </c>
      <c r="BA2155" s="4" t="s">
        <v>63</v>
      </c>
      <c r="BB2155" s="4" t="s">
        <v>63</v>
      </c>
      <c r="BC2155" s="4" t="s">
        <v>63</v>
      </c>
      <c r="BD2155" s="4" t="s">
        <v>63</v>
      </c>
      <c r="BE2155" s="4" t="s">
        <v>63</v>
      </c>
      <c r="BF2155" s="4" t="s">
        <v>63</v>
      </c>
    </row>
    <row r="2156" spans="1:58">
      <c r="A2156" s="4" t="s">
        <v>58</v>
      </c>
      <c r="B2156" s="4" t="s">
        <v>18381</v>
      </c>
      <c r="C2156" s="4" t="s">
        <v>18382</v>
      </c>
      <c r="D2156" s="4" t="s">
        <v>18383</v>
      </c>
      <c r="E2156" s="4" t="s">
        <v>18384</v>
      </c>
      <c r="F2156" s="4">
        <v>1972</v>
      </c>
      <c r="G2156" s="4" t="s">
        <v>63</v>
      </c>
      <c r="H2156" s="4">
        <v>18</v>
      </c>
      <c r="I2156" s="4">
        <v>3</v>
      </c>
      <c r="J2156" s="4">
        <v>157</v>
      </c>
      <c r="K2156" s="4">
        <v>170</v>
      </c>
      <c r="L2156" s="4" t="s">
        <v>18385</v>
      </c>
      <c r="M2156" s="4" t="s">
        <v>18386</v>
      </c>
      <c r="N2156" s="4" t="s">
        <v>18387</v>
      </c>
      <c r="O2156" s="4" t="s">
        <v>63</v>
      </c>
      <c r="P2156" s="4"/>
      <c r="Q2156" s="4" t="s">
        <v>63</v>
      </c>
      <c r="R2156" s="4" t="s">
        <v>63</v>
      </c>
      <c r="S2156" s="4" t="s">
        <v>63</v>
      </c>
      <c r="T2156" s="4" t="s">
        <v>63</v>
      </c>
      <c r="U2156" s="4"/>
      <c r="V2156" s="4"/>
      <c r="W2156" s="4"/>
      <c r="X2156" s="4" t="s">
        <v>63</v>
      </c>
      <c r="Y2156" s="4" t="s">
        <v>18388</v>
      </c>
      <c r="Z2156" s="4" t="s">
        <v>63</v>
      </c>
      <c r="AA2156" s="4" t="s">
        <v>63</v>
      </c>
      <c r="AB2156" s="4" t="s">
        <v>18389</v>
      </c>
      <c r="AC2156" s="4" t="s">
        <v>67</v>
      </c>
      <c r="AD2156" s="4" t="s">
        <v>63</v>
      </c>
      <c r="AE2156" s="4" t="s">
        <v>63</v>
      </c>
      <c r="AF2156" s="4" t="s">
        <v>63</v>
      </c>
      <c r="AG2156" s="4" t="s">
        <v>63</v>
      </c>
      <c r="AH2156" s="4" t="s">
        <v>63</v>
      </c>
      <c r="AI2156" s="4" t="s">
        <v>63</v>
      </c>
      <c r="AJ2156" s="4" t="s">
        <v>63</v>
      </c>
      <c r="AK2156" s="4" t="s">
        <v>63</v>
      </c>
      <c r="AL2156" s="4" t="s">
        <v>63</v>
      </c>
      <c r="AM2156" s="4" t="s">
        <v>18382</v>
      </c>
      <c r="AN2156" s="4" t="s">
        <v>63</v>
      </c>
      <c r="AO2156" s="4" t="s">
        <v>63</v>
      </c>
      <c r="AP2156" s="4" t="s">
        <v>63</v>
      </c>
      <c r="AQ2156" s="4" t="s">
        <v>63</v>
      </c>
      <c r="AR2156" s="4" t="s">
        <v>63</v>
      </c>
      <c r="AS2156" s="4" t="s">
        <v>63</v>
      </c>
      <c r="AT2156" s="4" t="s">
        <v>63</v>
      </c>
      <c r="AU2156" s="4" t="s">
        <v>63</v>
      </c>
      <c r="AV2156" s="4" t="s">
        <v>63</v>
      </c>
      <c r="AW2156" s="4" t="s">
        <v>63</v>
      </c>
      <c r="AX2156" s="4" t="s">
        <v>63</v>
      </c>
      <c r="AY2156" s="4" t="s">
        <v>63</v>
      </c>
      <c r="AZ2156" s="4" t="s">
        <v>63</v>
      </c>
      <c r="BA2156" s="4" t="s">
        <v>63</v>
      </c>
      <c r="BB2156" s="4" t="s">
        <v>63</v>
      </c>
      <c r="BC2156" s="4" t="s">
        <v>63</v>
      </c>
      <c r="BD2156" s="4" t="s">
        <v>63</v>
      </c>
      <c r="BE2156" s="4" t="s">
        <v>63</v>
      </c>
      <c r="BF2156" s="4" t="s">
        <v>63</v>
      </c>
    </row>
    <row r="2157" spans="1:58">
      <c r="A2157" s="4" t="s">
        <v>58</v>
      </c>
      <c r="B2157" s="4" t="s">
        <v>18390</v>
      </c>
      <c r="C2157" s="4" t="s">
        <v>18391</v>
      </c>
      <c r="D2157" s="4" t="s">
        <v>18392</v>
      </c>
      <c r="E2157" s="4" t="s">
        <v>63</v>
      </c>
      <c r="F2157" s="4">
        <v>2011</v>
      </c>
      <c r="G2157" s="4" t="s">
        <v>15254</v>
      </c>
      <c r="H2157" s="4" t="s">
        <v>18393</v>
      </c>
      <c r="I2157" s="4" t="s">
        <v>63</v>
      </c>
      <c r="J2157" s="4">
        <v>414</v>
      </c>
      <c r="K2157" s="4" t="s">
        <v>63</v>
      </c>
      <c r="L2157" s="4" t="s">
        <v>18394</v>
      </c>
      <c r="M2157" s="4" t="s">
        <v>18395</v>
      </c>
      <c r="N2157" s="4" t="s">
        <v>18396</v>
      </c>
      <c r="O2157" s="4" t="s">
        <v>63</v>
      </c>
      <c r="P2157" s="4"/>
      <c r="Q2157" s="4" t="s">
        <v>63</v>
      </c>
      <c r="R2157" s="4" t="s">
        <v>63</v>
      </c>
      <c r="S2157" s="4" t="s">
        <v>63</v>
      </c>
      <c r="T2157" s="4" t="s">
        <v>63</v>
      </c>
      <c r="U2157" s="4"/>
      <c r="V2157" s="4"/>
      <c r="W2157" s="4"/>
      <c r="X2157" s="4" t="s">
        <v>63</v>
      </c>
      <c r="Y2157" s="4" t="s">
        <v>18397</v>
      </c>
      <c r="Z2157" s="4" t="s">
        <v>63</v>
      </c>
      <c r="AA2157" s="4" t="s">
        <v>63</v>
      </c>
      <c r="AB2157" s="4" t="s">
        <v>63</v>
      </c>
      <c r="AC2157" s="4" t="s">
        <v>67</v>
      </c>
      <c r="AD2157" s="4" t="s">
        <v>63</v>
      </c>
      <c r="AE2157" s="4" t="s">
        <v>63</v>
      </c>
      <c r="AF2157" s="4" t="s">
        <v>63</v>
      </c>
      <c r="AG2157" s="4" t="s">
        <v>63</v>
      </c>
      <c r="AH2157" s="4" t="s">
        <v>63</v>
      </c>
      <c r="AI2157" s="4" t="s">
        <v>18398</v>
      </c>
      <c r="AJ2157" s="4" t="s">
        <v>63</v>
      </c>
      <c r="AK2157" s="4" t="s">
        <v>63</v>
      </c>
      <c r="AL2157" s="4" t="s">
        <v>63</v>
      </c>
      <c r="AM2157" s="4" t="s">
        <v>18391</v>
      </c>
      <c r="AN2157" s="4" t="s">
        <v>63</v>
      </c>
      <c r="AO2157" s="4" t="s">
        <v>63</v>
      </c>
      <c r="AP2157" s="4" t="s">
        <v>63</v>
      </c>
      <c r="AQ2157" s="4" t="s">
        <v>63</v>
      </c>
      <c r="AR2157" s="4" t="s">
        <v>63</v>
      </c>
      <c r="AS2157" s="4" t="s">
        <v>63</v>
      </c>
      <c r="AT2157" s="4" t="s">
        <v>63</v>
      </c>
      <c r="AU2157" s="4" t="s">
        <v>63</v>
      </c>
      <c r="AV2157" s="4" t="s">
        <v>63</v>
      </c>
      <c r="AW2157" s="4" t="s">
        <v>63</v>
      </c>
      <c r="AX2157" s="4" t="s">
        <v>63</v>
      </c>
      <c r="AY2157" s="4" t="s">
        <v>63</v>
      </c>
      <c r="AZ2157" s="4" t="s">
        <v>63</v>
      </c>
      <c r="BA2157" s="4" t="s">
        <v>63</v>
      </c>
      <c r="BB2157" s="4" t="s">
        <v>63</v>
      </c>
      <c r="BC2157" s="4" t="s">
        <v>63</v>
      </c>
      <c r="BD2157" s="4" t="s">
        <v>63</v>
      </c>
      <c r="BE2157" s="4" t="s">
        <v>63</v>
      </c>
      <c r="BF2157" s="4" t="s">
        <v>63</v>
      </c>
    </row>
    <row r="2158" spans="1:58">
      <c r="A2158" s="4" t="s">
        <v>58</v>
      </c>
      <c r="B2158" s="4" t="s">
        <v>18399</v>
      </c>
      <c r="C2158" s="4" t="s">
        <v>18400</v>
      </c>
      <c r="D2158" s="4" t="s">
        <v>18401</v>
      </c>
      <c r="E2158" s="4" t="s">
        <v>63</v>
      </c>
      <c r="F2158" s="4">
        <v>2016</v>
      </c>
      <c r="G2158" s="4">
        <v>1</v>
      </c>
      <c r="H2158" s="4">
        <v>28</v>
      </c>
      <c r="I2158" s="4">
        <v>6</v>
      </c>
      <c r="J2158" s="4">
        <v>625</v>
      </c>
      <c r="K2158" s="4" t="s">
        <v>63</v>
      </c>
      <c r="L2158" s="4" t="s">
        <v>18402</v>
      </c>
      <c r="M2158" s="4" t="s">
        <v>63</v>
      </c>
      <c r="N2158" s="4" t="s">
        <v>18403</v>
      </c>
      <c r="O2158" s="4" t="s">
        <v>63</v>
      </c>
      <c r="P2158" s="4"/>
      <c r="Q2158" s="4" t="s">
        <v>63</v>
      </c>
      <c r="R2158" s="4" t="s">
        <v>63</v>
      </c>
      <c r="S2158" s="4" t="s">
        <v>63</v>
      </c>
      <c r="T2158" s="4" t="s">
        <v>63</v>
      </c>
      <c r="U2158" s="4"/>
      <c r="V2158" s="4"/>
      <c r="W2158" s="4"/>
      <c r="X2158" s="4" t="s">
        <v>63</v>
      </c>
      <c r="Y2158" s="4" t="s">
        <v>18404</v>
      </c>
      <c r="Z2158" s="4" t="s">
        <v>63</v>
      </c>
      <c r="AA2158" s="4" t="s">
        <v>63</v>
      </c>
      <c r="AB2158" s="4">
        <v>20160858104</v>
      </c>
      <c r="AC2158" s="4" t="s">
        <v>67</v>
      </c>
      <c r="AD2158" s="4" t="s">
        <v>63</v>
      </c>
      <c r="AE2158" s="4" t="s">
        <v>63</v>
      </c>
      <c r="AF2158" s="4" t="s">
        <v>63</v>
      </c>
      <c r="AG2158" s="4" t="s">
        <v>18405</v>
      </c>
      <c r="AH2158" s="4" t="s">
        <v>63</v>
      </c>
      <c r="AI2158" s="4" t="s">
        <v>18406</v>
      </c>
      <c r="AJ2158" s="4" t="s">
        <v>63</v>
      </c>
      <c r="AK2158" s="4" t="s">
        <v>63</v>
      </c>
      <c r="AL2158" s="4" t="s">
        <v>63</v>
      </c>
      <c r="AM2158" s="4" t="s">
        <v>18407</v>
      </c>
      <c r="AN2158" s="4" t="s">
        <v>63</v>
      </c>
      <c r="AO2158" s="4" t="s">
        <v>63</v>
      </c>
      <c r="AP2158" s="4" t="s">
        <v>63</v>
      </c>
      <c r="AQ2158" s="4" t="s">
        <v>63</v>
      </c>
      <c r="AR2158" s="4" t="s">
        <v>63</v>
      </c>
      <c r="AS2158" s="4" t="s">
        <v>63</v>
      </c>
      <c r="AT2158" s="4" t="s">
        <v>63</v>
      </c>
      <c r="AU2158" s="4" t="s">
        <v>63</v>
      </c>
      <c r="AV2158" s="4" t="s">
        <v>63</v>
      </c>
      <c r="AW2158" s="4" t="s">
        <v>63</v>
      </c>
      <c r="AX2158" s="4" t="s">
        <v>63</v>
      </c>
      <c r="AY2158" s="4" t="s">
        <v>63</v>
      </c>
      <c r="AZ2158" s="4" t="s">
        <v>63</v>
      </c>
      <c r="BA2158" s="4" t="s">
        <v>63</v>
      </c>
      <c r="BB2158" s="4" t="s">
        <v>63</v>
      </c>
      <c r="BC2158" s="4" t="s">
        <v>63</v>
      </c>
      <c r="BD2158" s="4" t="s">
        <v>63</v>
      </c>
      <c r="BE2158" s="4" t="s">
        <v>63</v>
      </c>
      <c r="BF2158" s="4" t="s">
        <v>63</v>
      </c>
    </row>
    <row r="2159" spans="1:58">
      <c r="A2159" s="4" t="s">
        <v>58</v>
      </c>
      <c r="B2159" s="4" t="s">
        <v>18408</v>
      </c>
      <c r="C2159" s="4" t="s">
        <v>18409</v>
      </c>
      <c r="D2159" s="4" t="s">
        <v>18410</v>
      </c>
      <c r="E2159" s="4" t="s">
        <v>18411</v>
      </c>
      <c r="F2159" s="4">
        <v>2003</v>
      </c>
      <c r="G2159" s="4">
        <v>24</v>
      </c>
      <c r="H2159" s="4">
        <v>61</v>
      </c>
      <c r="I2159" s="4">
        <v>2451</v>
      </c>
      <c r="J2159" s="4">
        <v>1809</v>
      </c>
      <c r="K2159" s="4">
        <v>1815</v>
      </c>
      <c r="L2159" s="4" t="s">
        <v>18412</v>
      </c>
      <c r="M2159" s="4" t="s">
        <v>18413</v>
      </c>
      <c r="N2159" s="4" t="s">
        <v>18414</v>
      </c>
      <c r="O2159" s="4" t="s">
        <v>63</v>
      </c>
      <c r="P2159" s="4"/>
      <c r="Q2159" s="4" t="s">
        <v>63</v>
      </c>
      <c r="R2159" s="4" t="s">
        <v>63</v>
      </c>
      <c r="S2159" s="4" t="s">
        <v>63</v>
      </c>
      <c r="T2159" s="4" t="s">
        <v>63</v>
      </c>
      <c r="U2159" s="4"/>
      <c r="V2159" s="4"/>
      <c r="W2159" s="4"/>
      <c r="X2159" s="4" t="s">
        <v>63</v>
      </c>
      <c r="Y2159" s="4" t="s">
        <v>18415</v>
      </c>
      <c r="Z2159" s="4" t="s">
        <v>63</v>
      </c>
      <c r="AA2159" s="4" t="s">
        <v>63</v>
      </c>
      <c r="AB2159" s="4" t="s">
        <v>18416</v>
      </c>
      <c r="AC2159" s="4" t="s">
        <v>1371</v>
      </c>
      <c r="AD2159" s="4" t="s">
        <v>63</v>
      </c>
      <c r="AE2159" s="4" t="s">
        <v>63</v>
      </c>
      <c r="AF2159" s="4" t="s">
        <v>63</v>
      </c>
      <c r="AG2159" s="4" t="s">
        <v>63</v>
      </c>
      <c r="AH2159" s="4" t="s">
        <v>63</v>
      </c>
      <c r="AI2159" s="4" t="s">
        <v>63</v>
      </c>
      <c r="AJ2159" s="4" t="s">
        <v>63</v>
      </c>
      <c r="AK2159" s="4" t="s">
        <v>63</v>
      </c>
      <c r="AL2159" s="4" t="s">
        <v>63</v>
      </c>
      <c r="AM2159" s="4" t="s">
        <v>18409</v>
      </c>
      <c r="AN2159" s="4" t="s">
        <v>63</v>
      </c>
      <c r="AO2159" s="4" t="s">
        <v>63</v>
      </c>
      <c r="AP2159" s="4" t="s">
        <v>63</v>
      </c>
      <c r="AQ2159" s="4" t="s">
        <v>63</v>
      </c>
      <c r="AR2159" s="4" t="s">
        <v>63</v>
      </c>
      <c r="AS2159" s="4" t="s">
        <v>63</v>
      </c>
      <c r="AT2159" s="4" t="s">
        <v>63</v>
      </c>
      <c r="AU2159" s="4" t="s">
        <v>63</v>
      </c>
      <c r="AV2159" s="4" t="s">
        <v>63</v>
      </c>
      <c r="AW2159" s="4" t="s">
        <v>63</v>
      </c>
      <c r="AX2159" s="4" t="s">
        <v>63</v>
      </c>
      <c r="AY2159" s="4" t="s">
        <v>63</v>
      </c>
      <c r="AZ2159" s="4" t="s">
        <v>63</v>
      </c>
      <c r="BA2159" s="4" t="s">
        <v>63</v>
      </c>
      <c r="BB2159" s="4" t="s">
        <v>63</v>
      </c>
      <c r="BC2159" s="4" t="s">
        <v>63</v>
      </c>
      <c r="BD2159" s="4" t="s">
        <v>63</v>
      </c>
      <c r="BE2159" s="4" t="s">
        <v>63</v>
      </c>
      <c r="BF2159" s="4" t="s">
        <v>63</v>
      </c>
    </row>
    <row r="2160" spans="1:58">
      <c r="A2160" s="4" t="s">
        <v>58</v>
      </c>
      <c r="B2160" s="4" t="s">
        <v>18417</v>
      </c>
      <c r="C2160" s="4" t="s">
        <v>18418</v>
      </c>
      <c r="D2160" s="4" t="s">
        <v>1481</v>
      </c>
      <c r="E2160" s="4" t="s">
        <v>1481</v>
      </c>
      <c r="F2160" s="4">
        <v>2004</v>
      </c>
      <c r="G2160" s="4" t="s">
        <v>181</v>
      </c>
      <c r="H2160" s="4">
        <v>99</v>
      </c>
      <c r="I2160" s="4">
        <v>9</v>
      </c>
      <c r="J2160" s="4">
        <v>1221</v>
      </c>
      <c r="K2160" s="4">
        <v>1222</v>
      </c>
      <c r="L2160" s="4" t="s">
        <v>18419</v>
      </c>
      <c r="M2160" s="4" t="s">
        <v>63</v>
      </c>
      <c r="N2160" s="4" t="s">
        <v>18420</v>
      </c>
      <c r="O2160" s="4" t="s">
        <v>63</v>
      </c>
      <c r="P2160" s="4"/>
      <c r="Q2160" s="4" t="s">
        <v>63</v>
      </c>
      <c r="R2160" s="4" t="s">
        <v>63</v>
      </c>
      <c r="S2160" s="4" t="s">
        <v>63</v>
      </c>
      <c r="T2160" s="4" t="s">
        <v>63</v>
      </c>
      <c r="U2160" s="4"/>
      <c r="V2160" s="4"/>
      <c r="W2160" s="4"/>
      <c r="X2160" s="4" t="s">
        <v>63</v>
      </c>
      <c r="Y2160" s="4" t="s">
        <v>2426</v>
      </c>
      <c r="Z2160" s="4" t="s">
        <v>63</v>
      </c>
      <c r="AA2160" s="4" t="s">
        <v>63</v>
      </c>
      <c r="AB2160" s="4" t="s">
        <v>18421</v>
      </c>
      <c r="AC2160" s="4" t="s">
        <v>67</v>
      </c>
      <c r="AD2160" s="4" t="s">
        <v>63</v>
      </c>
      <c r="AE2160" s="4" t="s">
        <v>63</v>
      </c>
      <c r="AF2160" s="4" t="s">
        <v>63</v>
      </c>
      <c r="AG2160" s="4" t="s">
        <v>63</v>
      </c>
      <c r="AH2160" s="4" t="s">
        <v>63</v>
      </c>
      <c r="AI2160" s="4" t="s">
        <v>18422</v>
      </c>
      <c r="AJ2160" s="4" t="s">
        <v>63</v>
      </c>
      <c r="AK2160" s="4" t="s">
        <v>63</v>
      </c>
      <c r="AL2160" s="4" t="s">
        <v>63</v>
      </c>
      <c r="AM2160" s="4" t="s">
        <v>18418</v>
      </c>
      <c r="AN2160" s="4" t="s">
        <v>63</v>
      </c>
      <c r="AO2160" s="4" t="s">
        <v>63</v>
      </c>
      <c r="AP2160" s="4" t="s">
        <v>63</v>
      </c>
      <c r="AQ2160" s="4" t="s">
        <v>63</v>
      </c>
      <c r="AR2160" s="4" t="s">
        <v>63</v>
      </c>
      <c r="AS2160" s="4" t="s">
        <v>63</v>
      </c>
      <c r="AT2160" s="4" t="s">
        <v>63</v>
      </c>
      <c r="AU2160" s="4" t="s">
        <v>63</v>
      </c>
      <c r="AV2160" s="4" t="s">
        <v>63</v>
      </c>
      <c r="AW2160" s="4" t="s">
        <v>63</v>
      </c>
      <c r="AX2160" s="4" t="s">
        <v>63</v>
      </c>
      <c r="AY2160" s="4" t="s">
        <v>63</v>
      </c>
      <c r="AZ2160" s="4" t="s">
        <v>63</v>
      </c>
      <c r="BA2160" s="4" t="s">
        <v>63</v>
      </c>
      <c r="BB2160" s="4" t="s">
        <v>63</v>
      </c>
      <c r="BC2160" s="4" t="s">
        <v>63</v>
      </c>
      <c r="BD2160" s="4" t="s">
        <v>63</v>
      </c>
      <c r="BE2160" s="4" t="s">
        <v>63</v>
      </c>
      <c r="BF2160" s="4" t="s">
        <v>63</v>
      </c>
    </row>
    <row r="2161" spans="1:58">
      <c r="A2161" s="4" t="s">
        <v>58</v>
      </c>
      <c r="B2161" s="4" t="s">
        <v>18423</v>
      </c>
      <c r="C2161" s="4" t="s">
        <v>18424</v>
      </c>
      <c r="D2161" s="4" t="s">
        <v>15421</v>
      </c>
      <c r="E2161" s="4" t="s">
        <v>63</v>
      </c>
      <c r="F2161" s="4">
        <v>2012</v>
      </c>
      <c r="G2161" s="4" t="s">
        <v>63</v>
      </c>
      <c r="H2161" s="4">
        <v>33</v>
      </c>
      <c r="I2161" s="4">
        <v>1</v>
      </c>
      <c r="J2161" s="4">
        <v>5</v>
      </c>
      <c r="K2161" s="4">
        <v>8</v>
      </c>
      <c r="L2161" s="4" t="s">
        <v>18425</v>
      </c>
      <c r="M2161" s="4" t="s">
        <v>18426</v>
      </c>
      <c r="N2161" s="4" t="s">
        <v>18427</v>
      </c>
      <c r="O2161" s="4" t="s">
        <v>63</v>
      </c>
      <c r="P2161" s="4"/>
      <c r="Q2161" s="4" t="s">
        <v>63</v>
      </c>
      <c r="R2161" s="4" t="s">
        <v>63</v>
      </c>
      <c r="S2161" s="4" t="s">
        <v>63</v>
      </c>
      <c r="T2161" s="4" t="s">
        <v>63</v>
      </c>
      <c r="U2161" s="4"/>
      <c r="V2161" s="4"/>
      <c r="W2161" s="4"/>
      <c r="X2161" s="4" t="s">
        <v>63</v>
      </c>
      <c r="Y2161" s="4" t="s">
        <v>15425</v>
      </c>
      <c r="Z2161" s="4" t="s">
        <v>63</v>
      </c>
      <c r="AA2161" s="4" t="s">
        <v>63</v>
      </c>
      <c r="AB2161" s="4" t="s">
        <v>63</v>
      </c>
      <c r="AC2161" s="4" t="s">
        <v>67</v>
      </c>
      <c r="AD2161" s="4" t="s">
        <v>63</v>
      </c>
      <c r="AE2161" s="4" t="s">
        <v>63</v>
      </c>
      <c r="AF2161" s="4" t="s">
        <v>63</v>
      </c>
      <c r="AG2161" s="4" t="s">
        <v>18428</v>
      </c>
      <c r="AH2161" s="4" t="s">
        <v>63</v>
      </c>
      <c r="AI2161" s="4" t="s">
        <v>18429</v>
      </c>
      <c r="AJ2161" s="4" t="s">
        <v>63</v>
      </c>
      <c r="AK2161" s="4" t="s">
        <v>63</v>
      </c>
      <c r="AL2161" s="4" t="s">
        <v>63</v>
      </c>
      <c r="AM2161" s="4" t="s">
        <v>18430</v>
      </c>
      <c r="AN2161" s="4" t="s">
        <v>63</v>
      </c>
      <c r="AO2161" s="4" t="s">
        <v>63</v>
      </c>
      <c r="AP2161" s="4" t="s">
        <v>63</v>
      </c>
      <c r="AQ2161" s="4" t="s">
        <v>63</v>
      </c>
      <c r="AR2161" s="4" t="s">
        <v>63</v>
      </c>
      <c r="AS2161" s="4" t="s">
        <v>63</v>
      </c>
      <c r="AT2161" s="4" t="s">
        <v>63</v>
      </c>
      <c r="AU2161" s="4" t="s">
        <v>63</v>
      </c>
      <c r="AV2161" s="4" t="s">
        <v>63</v>
      </c>
      <c r="AW2161" s="4" t="s">
        <v>63</v>
      </c>
      <c r="AX2161" s="4" t="s">
        <v>63</v>
      </c>
      <c r="AY2161" s="4" t="s">
        <v>63</v>
      </c>
      <c r="AZ2161" s="4" t="s">
        <v>63</v>
      </c>
      <c r="BA2161" s="4" t="s">
        <v>63</v>
      </c>
      <c r="BB2161" s="4" t="s">
        <v>63</v>
      </c>
      <c r="BC2161" s="4" t="s">
        <v>63</v>
      </c>
      <c r="BD2161" s="4" t="s">
        <v>63</v>
      </c>
      <c r="BE2161" s="4" t="s">
        <v>63</v>
      </c>
      <c r="BF2161" s="4" t="s">
        <v>63</v>
      </c>
    </row>
    <row r="2162" spans="1:58">
      <c r="A2162" s="4" t="s">
        <v>58</v>
      </c>
      <c r="B2162" s="4" t="s">
        <v>18431</v>
      </c>
      <c r="C2162" s="4" t="s">
        <v>18432</v>
      </c>
      <c r="D2162" s="4" t="s">
        <v>243</v>
      </c>
      <c r="E2162" s="4" t="s">
        <v>243</v>
      </c>
      <c r="F2162" s="4">
        <v>1954</v>
      </c>
      <c r="G2162" s="4" t="s">
        <v>63</v>
      </c>
      <c r="H2162" s="4">
        <v>267</v>
      </c>
      <c r="I2162" s="4">
        <v>2</v>
      </c>
      <c r="J2162" s="4">
        <v>58</v>
      </c>
      <c r="K2162" s="4">
        <v>62</v>
      </c>
      <c r="L2162" s="4" t="s">
        <v>18433</v>
      </c>
      <c r="M2162" s="4" t="s">
        <v>18434</v>
      </c>
      <c r="N2162" s="4" t="s">
        <v>18435</v>
      </c>
      <c r="O2162" s="4" t="s">
        <v>63</v>
      </c>
      <c r="P2162" s="4"/>
      <c r="Q2162" s="4" t="s">
        <v>63</v>
      </c>
      <c r="R2162" s="4" t="s">
        <v>63</v>
      </c>
      <c r="S2162" s="4" t="s">
        <v>63</v>
      </c>
      <c r="T2162" s="4" t="s">
        <v>63</v>
      </c>
      <c r="U2162" s="4"/>
      <c r="V2162" s="4"/>
      <c r="W2162" s="4"/>
      <c r="X2162" s="4" t="s">
        <v>63</v>
      </c>
      <c r="Y2162" s="4" t="s">
        <v>246</v>
      </c>
      <c r="Z2162" s="4" t="s">
        <v>63</v>
      </c>
      <c r="AA2162" s="4" t="s">
        <v>63</v>
      </c>
      <c r="AB2162" s="4" t="s">
        <v>18436</v>
      </c>
      <c r="AC2162" s="4" t="s">
        <v>67</v>
      </c>
      <c r="AD2162" s="4" t="s">
        <v>63</v>
      </c>
      <c r="AE2162" s="4" t="s">
        <v>63</v>
      </c>
      <c r="AF2162" s="4" t="s">
        <v>63</v>
      </c>
      <c r="AG2162" s="4" t="s">
        <v>63</v>
      </c>
      <c r="AH2162" s="4" t="s">
        <v>63</v>
      </c>
      <c r="AI2162" s="4" t="s">
        <v>63</v>
      </c>
      <c r="AJ2162" s="4" t="s">
        <v>63</v>
      </c>
      <c r="AK2162" s="4" t="s">
        <v>63</v>
      </c>
      <c r="AL2162" s="4" t="s">
        <v>63</v>
      </c>
      <c r="AM2162" s="4" t="s">
        <v>18432</v>
      </c>
      <c r="AN2162" s="4" t="s">
        <v>63</v>
      </c>
      <c r="AO2162" s="4" t="s">
        <v>63</v>
      </c>
      <c r="AP2162" s="4" t="s">
        <v>63</v>
      </c>
      <c r="AQ2162" s="4" t="s">
        <v>63</v>
      </c>
      <c r="AR2162" s="4" t="s">
        <v>63</v>
      </c>
      <c r="AS2162" s="4" t="s">
        <v>63</v>
      </c>
      <c r="AT2162" s="4" t="s">
        <v>63</v>
      </c>
      <c r="AU2162" s="4" t="s">
        <v>63</v>
      </c>
      <c r="AV2162" s="4" t="s">
        <v>63</v>
      </c>
      <c r="AW2162" s="4" t="s">
        <v>63</v>
      </c>
      <c r="AX2162" s="4" t="s">
        <v>63</v>
      </c>
      <c r="AY2162" s="4" t="s">
        <v>63</v>
      </c>
      <c r="AZ2162" s="4" t="s">
        <v>63</v>
      </c>
      <c r="BA2162" s="4" t="s">
        <v>63</v>
      </c>
      <c r="BB2162" s="4" t="s">
        <v>63</v>
      </c>
      <c r="BC2162" s="4" t="s">
        <v>63</v>
      </c>
      <c r="BD2162" s="4" t="s">
        <v>63</v>
      </c>
      <c r="BE2162" s="4" t="s">
        <v>63</v>
      </c>
      <c r="BF2162" s="4" t="s">
        <v>63</v>
      </c>
    </row>
    <row r="2163" spans="1:58">
      <c r="A2163" s="4" t="s">
        <v>58</v>
      </c>
      <c r="B2163" s="4" t="s">
        <v>18437</v>
      </c>
      <c r="C2163" s="4" t="s">
        <v>18438</v>
      </c>
      <c r="D2163" s="4" t="s">
        <v>18439</v>
      </c>
      <c r="E2163" s="4" t="s">
        <v>18440</v>
      </c>
      <c r="F2163" s="4">
        <v>2012</v>
      </c>
      <c r="G2163" s="4" t="s">
        <v>189</v>
      </c>
      <c r="H2163" s="4">
        <v>40</v>
      </c>
      <c r="I2163" s="4">
        <v>3</v>
      </c>
      <c r="J2163" s="4">
        <v>541</v>
      </c>
      <c r="K2163" s="4" t="s">
        <v>63</v>
      </c>
      <c r="L2163" s="4" t="s">
        <v>18441</v>
      </c>
      <c r="M2163" s="4" t="s">
        <v>18442</v>
      </c>
      <c r="N2163" s="4" t="s">
        <v>18443</v>
      </c>
      <c r="O2163" s="4" t="s">
        <v>63</v>
      </c>
      <c r="P2163" s="4"/>
      <c r="Q2163" s="4" t="s">
        <v>63</v>
      </c>
      <c r="R2163" s="4" t="s">
        <v>63</v>
      </c>
      <c r="S2163" s="4" t="s">
        <v>63</v>
      </c>
      <c r="T2163" s="4" t="s">
        <v>63</v>
      </c>
      <c r="U2163" s="4"/>
      <c r="V2163" s="4"/>
      <c r="W2163" s="4"/>
      <c r="X2163" s="4" t="s">
        <v>63</v>
      </c>
      <c r="Y2163" s="4" t="s">
        <v>4780</v>
      </c>
      <c r="Z2163" s="4" t="s">
        <v>63</v>
      </c>
      <c r="AA2163" s="4" t="s">
        <v>63</v>
      </c>
      <c r="AB2163" s="4" t="s">
        <v>63</v>
      </c>
      <c r="AC2163" s="4" t="s">
        <v>67</v>
      </c>
      <c r="AD2163" s="4" t="s">
        <v>63</v>
      </c>
      <c r="AE2163" s="4" t="s">
        <v>63</v>
      </c>
      <c r="AF2163" s="4" t="s">
        <v>63</v>
      </c>
      <c r="AG2163" s="4" t="s">
        <v>63</v>
      </c>
      <c r="AH2163" s="4" t="s">
        <v>63</v>
      </c>
      <c r="AI2163" s="4" t="s">
        <v>63</v>
      </c>
      <c r="AJ2163" s="4" t="s">
        <v>63</v>
      </c>
      <c r="AK2163" s="4" t="s">
        <v>63</v>
      </c>
      <c r="AL2163" s="4" t="s">
        <v>63</v>
      </c>
      <c r="AM2163" s="4" t="s">
        <v>18438</v>
      </c>
      <c r="AN2163" s="4" t="s">
        <v>63</v>
      </c>
      <c r="AO2163" s="4" t="s">
        <v>63</v>
      </c>
      <c r="AP2163" s="4" t="s">
        <v>63</v>
      </c>
      <c r="AQ2163" s="4" t="s">
        <v>63</v>
      </c>
      <c r="AR2163" s="4" t="s">
        <v>63</v>
      </c>
      <c r="AS2163" s="4" t="s">
        <v>63</v>
      </c>
      <c r="AT2163" s="4" t="s">
        <v>63</v>
      </c>
      <c r="AU2163" s="4" t="s">
        <v>63</v>
      </c>
      <c r="AV2163" s="4" t="s">
        <v>63</v>
      </c>
      <c r="AW2163" s="4" t="s">
        <v>63</v>
      </c>
      <c r="AX2163" s="4" t="s">
        <v>63</v>
      </c>
      <c r="AY2163" s="4" t="s">
        <v>63</v>
      </c>
      <c r="AZ2163" s="4" t="s">
        <v>63</v>
      </c>
      <c r="BA2163" s="4" t="s">
        <v>63</v>
      </c>
      <c r="BB2163" s="4" t="s">
        <v>63</v>
      </c>
      <c r="BC2163" s="4" t="s">
        <v>63</v>
      </c>
      <c r="BD2163" s="4" t="s">
        <v>63</v>
      </c>
      <c r="BE2163" s="4" t="s">
        <v>63</v>
      </c>
      <c r="BF2163" s="4" t="s">
        <v>63</v>
      </c>
    </row>
    <row r="2164" spans="1:58">
      <c r="A2164" s="4" t="s">
        <v>58</v>
      </c>
      <c r="B2164" s="4" t="s">
        <v>18444</v>
      </c>
      <c r="C2164" s="4" t="s">
        <v>18445</v>
      </c>
      <c r="D2164" s="4" t="s">
        <v>938</v>
      </c>
      <c r="E2164" s="4" t="s">
        <v>63</v>
      </c>
      <c r="F2164" s="4">
        <v>2011</v>
      </c>
      <c r="G2164" s="4" t="s">
        <v>15449</v>
      </c>
      <c r="H2164" s="4">
        <v>20</v>
      </c>
      <c r="I2164" s="4">
        <v>4</v>
      </c>
      <c r="J2164" s="4">
        <v>387</v>
      </c>
      <c r="K2164" s="4" t="s">
        <v>63</v>
      </c>
      <c r="L2164" s="4" t="s">
        <v>18446</v>
      </c>
      <c r="M2164" s="4" t="s">
        <v>18447</v>
      </c>
      <c r="N2164" s="4" t="s">
        <v>18448</v>
      </c>
      <c r="O2164" s="4" t="s">
        <v>63</v>
      </c>
      <c r="P2164" s="4"/>
      <c r="Q2164" s="4" t="s">
        <v>63</v>
      </c>
      <c r="R2164" s="4" t="s">
        <v>63</v>
      </c>
      <c r="S2164" s="4" t="s">
        <v>63</v>
      </c>
      <c r="T2164" s="4" t="s">
        <v>63</v>
      </c>
      <c r="U2164" s="4"/>
      <c r="V2164" s="4"/>
      <c r="W2164" s="4"/>
      <c r="X2164" s="4" t="s">
        <v>63</v>
      </c>
      <c r="Y2164" s="4" t="s">
        <v>2500</v>
      </c>
      <c r="Z2164" s="4" t="s">
        <v>63</v>
      </c>
      <c r="AA2164" s="4" t="s">
        <v>63</v>
      </c>
      <c r="AB2164" s="4" t="s">
        <v>63</v>
      </c>
      <c r="AC2164" s="4" t="s">
        <v>67</v>
      </c>
      <c r="AD2164" s="4" t="s">
        <v>63</v>
      </c>
      <c r="AE2164" s="4" t="s">
        <v>63</v>
      </c>
      <c r="AF2164" s="4" t="s">
        <v>63</v>
      </c>
      <c r="AG2164" s="4" t="s">
        <v>63</v>
      </c>
      <c r="AH2164" s="4" t="s">
        <v>63</v>
      </c>
      <c r="AI2164" s="4" t="s">
        <v>18449</v>
      </c>
      <c r="AJ2164" s="4" t="s">
        <v>63</v>
      </c>
      <c r="AK2164" s="4" t="s">
        <v>63</v>
      </c>
      <c r="AL2164" s="4" t="s">
        <v>63</v>
      </c>
      <c r="AM2164" s="4" t="s">
        <v>18445</v>
      </c>
      <c r="AN2164" s="4" t="s">
        <v>63</v>
      </c>
      <c r="AO2164" s="4" t="s">
        <v>63</v>
      </c>
      <c r="AP2164" s="4" t="s">
        <v>63</v>
      </c>
      <c r="AQ2164" s="4" t="s">
        <v>63</v>
      </c>
      <c r="AR2164" s="4" t="s">
        <v>63</v>
      </c>
      <c r="AS2164" s="4" t="s">
        <v>63</v>
      </c>
      <c r="AT2164" s="4" t="s">
        <v>63</v>
      </c>
      <c r="AU2164" s="4" t="s">
        <v>63</v>
      </c>
      <c r="AV2164" s="4" t="s">
        <v>63</v>
      </c>
      <c r="AW2164" s="4" t="s">
        <v>63</v>
      </c>
      <c r="AX2164" s="4" t="s">
        <v>63</v>
      </c>
      <c r="AY2164" s="4" t="s">
        <v>63</v>
      </c>
      <c r="AZ2164" s="4" t="s">
        <v>63</v>
      </c>
      <c r="BA2164" s="4" t="s">
        <v>63</v>
      </c>
      <c r="BB2164" s="4" t="s">
        <v>63</v>
      </c>
      <c r="BC2164" s="4" t="s">
        <v>63</v>
      </c>
      <c r="BD2164" s="4" t="s">
        <v>63</v>
      </c>
      <c r="BE2164" s="4" t="s">
        <v>63</v>
      </c>
      <c r="BF2164" s="4" t="s">
        <v>63</v>
      </c>
    </row>
    <row r="2165" spans="1:58">
      <c r="A2165" s="4" t="s">
        <v>58</v>
      </c>
      <c r="B2165" s="4" t="s">
        <v>18450</v>
      </c>
      <c r="C2165" s="4" t="s">
        <v>18451</v>
      </c>
      <c r="D2165" s="4" t="s">
        <v>18452</v>
      </c>
      <c r="E2165" s="4" t="s">
        <v>18453</v>
      </c>
      <c r="F2165" s="4">
        <v>2013</v>
      </c>
      <c r="G2165" s="4" t="s">
        <v>15508</v>
      </c>
      <c r="H2165" s="4">
        <v>61</v>
      </c>
      <c r="I2165" s="4">
        <v>1</v>
      </c>
      <c r="J2165" s="4">
        <v>115</v>
      </c>
      <c r="K2165" s="4" t="s">
        <v>63</v>
      </c>
      <c r="L2165" s="4" t="s">
        <v>18454</v>
      </c>
      <c r="M2165" s="4" t="s">
        <v>18455</v>
      </c>
      <c r="N2165" s="4" t="s">
        <v>18456</v>
      </c>
      <c r="O2165" s="4" t="s">
        <v>63</v>
      </c>
      <c r="P2165" s="4"/>
      <c r="Q2165" s="4" t="s">
        <v>63</v>
      </c>
      <c r="R2165" s="4" t="s">
        <v>63</v>
      </c>
      <c r="S2165" s="4" t="s">
        <v>63</v>
      </c>
      <c r="T2165" s="4" t="s">
        <v>63</v>
      </c>
      <c r="U2165" s="4"/>
      <c r="V2165" s="4"/>
      <c r="W2165" s="4"/>
      <c r="X2165" s="4" t="s">
        <v>63</v>
      </c>
      <c r="Y2165" s="4" t="s">
        <v>18457</v>
      </c>
      <c r="Z2165" s="4" t="s">
        <v>63</v>
      </c>
      <c r="AA2165" s="4" t="s">
        <v>63</v>
      </c>
      <c r="AB2165" s="4" t="s">
        <v>63</v>
      </c>
      <c r="AC2165" s="4" t="s">
        <v>67</v>
      </c>
      <c r="AD2165" s="4" t="s">
        <v>63</v>
      </c>
      <c r="AE2165" s="4" t="s">
        <v>63</v>
      </c>
      <c r="AF2165" s="4" t="s">
        <v>63</v>
      </c>
      <c r="AG2165" s="4" t="s">
        <v>63</v>
      </c>
      <c r="AH2165" s="4" t="s">
        <v>63</v>
      </c>
      <c r="AI2165" s="4" t="s">
        <v>18458</v>
      </c>
      <c r="AJ2165" s="4" t="s">
        <v>63</v>
      </c>
      <c r="AK2165" s="4" t="s">
        <v>63</v>
      </c>
      <c r="AL2165" s="4" t="s">
        <v>63</v>
      </c>
      <c r="AM2165" s="4" t="s">
        <v>18451</v>
      </c>
      <c r="AN2165" s="4" t="s">
        <v>63</v>
      </c>
      <c r="AO2165" s="4" t="s">
        <v>63</v>
      </c>
      <c r="AP2165" s="4" t="s">
        <v>63</v>
      </c>
      <c r="AQ2165" s="4" t="s">
        <v>63</v>
      </c>
      <c r="AR2165" s="4" t="s">
        <v>63</v>
      </c>
      <c r="AS2165" s="4" t="s">
        <v>63</v>
      </c>
      <c r="AT2165" s="4" t="s">
        <v>63</v>
      </c>
      <c r="AU2165" s="4" t="s">
        <v>63</v>
      </c>
      <c r="AV2165" s="4" t="s">
        <v>63</v>
      </c>
      <c r="AW2165" s="4" t="s">
        <v>63</v>
      </c>
      <c r="AX2165" s="4" t="s">
        <v>63</v>
      </c>
      <c r="AY2165" s="4" t="s">
        <v>63</v>
      </c>
      <c r="AZ2165" s="4" t="s">
        <v>63</v>
      </c>
      <c r="BA2165" s="4" t="s">
        <v>63</v>
      </c>
      <c r="BB2165" s="4" t="s">
        <v>63</v>
      </c>
      <c r="BC2165" s="4" t="s">
        <v>63</v>
      </c>
      <c r="BD2165" s="4" t="s">
        <v>63</v>
      </c>
      <c r="BE2165" s="4" t="s">
        <v>63</v>
      </c>
      <c r="BF2165" s="4" t="s">
        <v>63</v>
      </c>
    </row>
    <row r="2166" spans="1:58">
      <c r="A2166" s="4" t="s">
        <v>58</v>
      </c>
      <c r="B2166" s="4" t="s">
        <v>18459</v>
      </c>
      <c r="C2166" s="4" t="s">
        <v>18460</v>
      </c>
      <c r="D2166" s="4" t="s">
        <v>18461</v>
      </c>
      <c r="E2166" s="4" t="s">
        <v>63</v>
      </c>
      <c r="F2166" s="4">
        <v>2011</v>
      </c>
      <c r="G2166" s="4" t="s">
        <v>63</v>
      </c>
      <c r="H2166" s="4">
        <v>7</v>
      </c>
      <c r="I2166" s="4">
        <v>2</v>
      </c>
      <c r="J2166" s="4">
        <v>143</v>
      </c>
      <c r="K2166" s="4">
        <v>152</v>
      </c>
      <c r="L2166" s="4" t="s">
        <v>18462</v>
      </c>
      <c r="M2166" s="4" t="s">
        <v>18463</v>
      </c>
      <c r="N2166" s="4" t="s">
        <v>18464</v>
      </c>
      <c r="O2166" s="4" t="s">
        <v>63</v>
      </c>
      <c r="P2166" s="4"/>
      <c r="Q2166" s="4" t="s">
        <v>63</v>
      </c>
      <c r="R2166" s="4" t="s">
        <v>63</v>
      </c>
      <c r="S2166" s="4" t="s">
        <v>63</v>
      </c>
      <c r="T2166" s="4" t="s">
        <v>63</v>
      </c>
      <c r="U2166" s="4"/>
      <c r="V2166" s="4"/>
      <c r="W2166" s="4"/>
      <c r="X2166" s="4" t="s">
        <v>63</v>
      </c>
      <c r="Y2166" s="4" t="s">
        <v>18465</v>
      </c>
      <c r="Z2166" s="4" t="s">
        <v>63</v>
      </c>
      <c r="AA2166" s="4" t="s">
        <v>63</v>
      </c>
      <c r="AB2166" s="4" t="s">
        <v>18466</v>
      </c>
      <c r="AC2166" s="4" t="s">
        <v>67</v>
      </c>
      <c r="AD2166" s="4" t="s">
        <v>63</v>
      </c>
      <c r="AE2166" s="4" t="s">
        <v>63</v>
      </c>
      <c r="AF2166" s="4" t="s">
        <v>63</v>
      </c>
      <c r="AG2166" s="4" t="s">
        <v>63</v>
      </c>
      <c r="AH2166" s="4" t="s">
        <v>63</v>
      </c>
      <c r="AI2166" s="4" t="s">
        <v>18467</v>
      </c>
      <c r="AJ2166" s="4" t="s">
        <v>63</v>
      </c>
      <c r="AK2166" s="4" t="s">
        <v>63</v>
      </c>
      <c r="AL2166" s="4" t="s">
        <v>63</v>
      </c>
      <c r="AM2166" s="4" t="s">
        <v>18460</v>
      </c>
      <c r="AN2166" s="4" t="s">
        <v>63</v>
      </c>
      <c r="AO2166" s="4" t="s">
        <v>63</v>
      </c>
      <c r="AP2166" s="4" t="s">
        <v>63</v>
      </c>
      <c r="AQ2166" s="4" t="s">
        <v>63</v>
      </c>
      <c r="AR2166" s="4" t="s">
        <v>63</v>
      </c>
      <c r="AS2166" s="4" t="s">
        <v>63</v>
      </c>
      <c r="AT2166" s="4" t="s">
        <v>63</v>
      </c>
      <c r="AU2166" s="4" t="s">
        <v>63</v>
      </c>
      <c r="AV2166" s="4" t="s">
        <v>63</v>
      </c>
      <c r="AW2166" s="4" t="s">
        <v>63</v>
      </c>
      <c r="AX2166" s="4" t="s">
        <v>63</v>
      </c>
      <c r="AY2166" s="4" t="s">
        <v>63</v>
      </c>
      <c r="AZ2166" s="4" t="s">
        <v>63</v>
      </c>
      <c r="BA2166" s="4" t="s">
        <v>63</v>
      </c>
      <c r="BB2166" s="4" t="s">
        <v>63</v>
      </c>
      <c r="BC2166" s="4" t="s">
        <v>63</v>
      </c>
      <c r="BD2166" s="4" t="s">
        <v>63</v>
      </c>
      <c r="BE2166" s="4" t="s">
        <v>63</v>
      </c>
      <c r="BF2166" s="4" t="s">
        <v>63</v>
      </c>
    </row>
    <row r="2167" spans="1:58">
      <c r="A2167" s="4" t="s">
        <v>58</v>
      </c>
      <c r="B2167" s="4" t="s">
        <v>18468</v>
      </c>
      <c r="C2167" s="4" t="s">
        <v>18469</v>
      </c>
      <c r="D2167" s="4" t="s">
        <v>18470</v>
      </c>
      <c r="E2167" s="4" t="s">
        <v>63</v>
      </c>
      <c r="F2167" s="4">
        <v>2010</v>
      </c>
      <c r="G2167" s="4" t="s">
        <v>15472</v>
      </c>
      <c r="H2167" s="4" t="s">
        <v>18471</v>
      </c>
      <c r="I2167" s="4" t="s">
        <v>63</v>
      </c>
      <c r="J2167" s="4">
        <v>55</v>
      </c>
      <c r="K2167" s="4">
        <v>56</v>
      </c>
      <c r="L2167" s="4" t="s">
        <v>18472</v>
      </c>
      <c r="M2167" s="4" t="s">
        <v>18473</v>
      </c>
      <c r="N2167" s="4" t="s">
        <v>18474</v>
      </c>
      <c r="O2167" s="4" t="s">
        <v>63</v>
      </c>
      <c r="P2167" s="4"/>
      <c r="Q2167" s="4" t="s">
        <v>63</v>
      </c>
      <c r="R2167" s="4" t="s">
        <v>63</v>
      </c>
      <c r="S2167" s="4" t="s">
        <v>63</v>
      </c>
      <c r="T2167" s="4" t="s">
        <v>63</v>
      </c>
      <c r="U2167" s="4"/>
      <c r="V2167" s="4"/>
      <c r="W2167" s="4"/>
      <c r="X2167" s="4" t="s">
        <v>63</v>
      </c>
      <c r="Y2167" s="4" t="s">
        <v>18475</v>
      </c>
      <c r="Z2167" s="4" t="s">
        <v>63</v>
      </c>
      <c r="AA2167" s="4" t="s">
        <v>63</v>
      </c>
      <c r="AB2167" s="4" t="s">
        <v>63</v>
      </c>
      <c r="AC2167" s="4" t="s">
        <v>67</v>
      </c>
      <c r="AD2167" s="4" t="s">
        <v>63</v>
      </c>
      <c r="AE2167" s="4" t="s">
        <v>63</v>
      </c>
      <c r="AF2167" s="4" t="s">
        <v>63</v>
      </c>
      <c r="AG2167" s="4" t="s">
        <v>63</v>
      </c>
      <c r="AH2167" s="4" t="s">
        <v>63</v>
      </c>
      <c r="AI2167" s="4" t="s">
        <v>18476</v>
      </c>
      <c r="AJ2167" s="4" t="s">
        <v>63</v>
      </c>
      <c r="AK2167" s="4" t="s">
        <v>63</v>
      </c>
      <c r="AL2167" s="4" t="s">
        <v>63</v>
      </c>
      <c r="AM2167" s="4" t="s">
        <v>18469</v>
      </c>
      <c r="AN2167" s="4" t="s">
        <v>63</v>
      </c>
      <c r="AO2167" s="4" t="s">
        <v>63</v>
      </c>
      <c r="AP2167" s="4" t="s">
        <v>63</v>
      </c>
      <c r="AQ2167" s="4" t="s">
        <v>63</v>
      </c>
      <c r="AR2167" s="4" t="s">
        <v>63</v>
      </c>
      <c r="AS2167" s="4" t="s">
        <v>63</v>
      </c>
      <c r="AT2167" s="4" t="s">
        <v>63</v>
      </c>
      <c r="AU2167" s="4" t="s">
        <v>63</v>
      </c>
      <c r="AV2167" s="4" t="s">
        <v>63</v>
      </c>
      <c r="AW2167" s="4" t="s">
        <v>63</v>
      </c>
      <c r="AX2167" s="4" t="s">
        <v>63</v>
      </c>
      <c r="AY2167" s="4" t="s">
        <v>63</v>
      </c>
      <c r="AZ2167" s="4" t="s">
        <v>63</v>
      </c>
      <c r="BA2167" s="4" t="s">
        <v>63</v>
      </c>
      <c r="BB2167" s="4" t="s">
        <v>63</v>
      </c>
      <c r="BC2167" s="4" t="s">
        <v>63</v>
      </c>
      <c r="BD2167" s="4" t="s">
        <v>63</v>
      </c>
      <c r="BE2167" s="4" t="s">
        <v>63</v>
      </c>
      <c r="BF2167" s="4" t="s">
        <v>63</v>
      </c>
    </row>
    <row r="2168" spans="1:58">
      <c r="A2168" s="4" t="s">
        <v>58</v>
      </c>
      <c r="B2168" s="4" t="s">
        <v>18477</v>
      </c>
      <c r="C2168" s="4" t="s">
        <v>18478</v>
      </c>
      <c r="D2168" s="4" t="s">
        <v>18479</v>
      </c>
      <c r="E2168" s="4" t="s">
        <v>63</v>
      </c>
      <c r="F2168" s="4">
        <v>2013</v>
      </c>
      <c r="G2168" s="4" t="s">
        <v>16182</v>
      </c>
      <c r="H2168" s="4">
        <v>22</v>
      </c>
      <c r="I2168" s="4">
        <v>2</v>
      </c>
      <c r="J2168" s="4" t="s">
        <v>18480</v>
      </c>
      <c r="K2168" s="4" t="s">
        <v>18481</v>
      </c>
      <c r="L2168" s="4" t="s">
        <v>18482</v>
      </c>
      <c r="M2168" s="4" t="s">
        <v>18483</v>
      </c>
      <c r="N2168" s="4" t="s">
        <v>18484</v>
      </c>
      <c r="O2168" s="4" t="s">
        <v>63</v>
      </c>
      <c r="P2168" s="4"/>
      <c r="Q2168" s="4" t="s">
        <v>63</v>
      </c>
      <c r="R2168" s="4" t="s">
        <v>63</v>
      </c>
      <c r="S2168" s="4" t="s">
        <v>63</v>
      </c>
      <c r="T2168" s="4" t="s">
        <v>63</v>
      </c>
      <c r="U2168" s="4"/>
      <c r="V2168" s="4"/>
      <c r="W2168" s="4"/>
      <c r="X2168" s="4" t="s">
        <v>63</v>
      </c>
      <c r="Y2168" s="4" t="s">
        <v>18485</v>
      </c>
      <c r="Z2168" s="4" t="s">
        <v>63</v>
      </c>
      <c r="AA2168" s="4" t="s">
        <v>63</v>
      </c>
      <c r="AB2168" s="4" t="s">
        <v>63</v>
      </c>
      <c r="AC2168" s="4" t="s">
        <v>67</v>
      </c>
      <c r="AD2168" s="4" t="s">
        <v>63</v>
      </c>
      <c r="AE2168" s="4" t="s">
        <v>63</v>
      </c>
      <c r="AF2168" s="4" t="s">
        <v>63</v>
      </c>
      <c r="AG2168" s="4" t="s">
        <v>63</v>
      </c>
      <c r="AH2168" s="4" t="s">
        <v>63</v>
      </c>
      <c r="AI2168" s="4" t="s">
        <v>18486</v>
      </c>
      <c r="AJ2168" s="4" t="s">
        <v>63</v>
      </c>
      <c r="AK2168" s="4" t="s">
        <v>63</v>
      </c>
      <c r="AL2168" s="4" t="s">
        <v>63</v>
      </c>
      <c r="AM2168" s="4" t="s">
        <v>18478</v>
      </c>
      <c r="AN2168" s="4" t="s">
        <v>63</v>
      </c>
      <c r="AO2168" s="4" t="s">
        <v>63</v>
      </c>
      <c r="AP2168" s="4" t="s">
        <v>63</v>
      </c>
      <c r="AQ2168" s="4" t="s">
        <v>63</v>
      </c>
      <c r="AR2168" s="4" t="s">
        <v>63</v>
      </c>
      <c r="AS2168" s="4" t="s">
        <v>63</v>
      </c>
      <c r="AT2168" s="4" t="s">
        <v>63</v>
      </c>
      <c r="AU2168" s="4" t="s">
        <v>63</v>
      </c>
      <c r="AV2168" s="4" t="s">
        <v>63</v>
      </c>
      <c r="AW2168" s="4" t="s">
        <v>63</v>
      </c>
      <c r="AX2168" s="4" t="s">
        <v>63</v>
      </c>
      <c r="AY2168" s="4" t="s">
        <v>63</v>
      </c>
      <c r="AZ2168" s="4" t="s">
        <v>63</v>
      </c>
      <c r="BA2168" s="4" t="s">
        <v>63</v>
      </c>
      <c r="BB2168" s="4" t="s">
        <v>63</v>
      </c>
      <c r="BC2168" s="4" t="s">
        <v>63</v>
      </c>
      <c r="BD2168" s="4" t="s">
        <v>63</v>
      </c>
      <c r="BE2168" s="4" t="s">
        <v>63</v>
      </c>
      <c r="BF2168" s="4" t="s">
        <v>63</v>
      </c>
    </row>
    <row r="2169" spans="1:58">
      <c r="A2169" s="4" t="s">
        <v>58</v>
      </c>
      <c r="B2169" s="4" t="s">
        <v>18487</v>
      </c>
      <c r="C2169" s="4" t="s">
        <v>18488</v>
      </c>
      <c r="D2169" s="4" t="s">
        <v>18489</v>
      </c>
      <c r="E2169" s="4" t="s">
        <v>18490</v>
      </c>
      <c r="F2169" s="4">
        <v>2011</v>
      </c>
      <c r="G2169" s="4">
        <v>5</v>
      </c>
      <c r="H2169" s="4">
        <v>57</v>
      </c>
      <c r="I2169" s="4">
        <v>14</v>
      </c>
      <c r="J2169" s="4" t="s">
        <v>18491</v>
      </c>
      <c r="K2169" s="4" t="s">
        <v>63</v>
      </c>
      <c r="L2169" s="4" t="s">
        <v>18492</v>
      </c>
      <c r="M2169" s="4" t="s">
        <v>18493</v>
      </c>
      <c r="N2169" s="4" t="s">
        <v>18494</v>
      </c>
      <c r="O2169" s="4" t="s">
        <v>63</v>
      </c>
      <c r="P2169" s="4"/>
      <c r="Q2169" s="4" t="s">
        <v>63</v>
      </c>
      <c r="R2169" s="4" t="s">
        <v>63</v>
      </c>
      <c r="S2169" s="4" t="s">
        <v>63</v>
      </c>
      <c r="T2169" s="4" t="s">
        <v>63</v>
      </c>
      <c r="U2169" s="4"/>
      <c r="V2169" s="4"/>
      <c r="W2169" s="4"/>
      <c r="X2169" s="4" t="s">
        <v>63</v>
      </c>
      <c r="Y2169" s="4" t="s">
        <v>18495</v>
      </c>
      <c r="Z2169" s="4" t="s">
        <v>63</v>
      </c>
      <c r="AA2169" s="4" t="s">
        <v>63</v>
      </c>
      <c r="AB2169" s="4" t="s">
        <v>63</v>
      </c>
      <c r="AC2169" s="4" t="s">
        <v>67</v>
      </c>
      <c r="AD2169" s="4" t="s">
        <v>63</v>
      </c>
      <c r="AE2169" s="4" t="s">
        <v>63</v>
      </c>
      <c r="AF2169" s="4" t="s">
        <v>63</v>
      </c>
      <c r="AG2169" s="4" t="s">
        <v>63</v>
      </c>
      <c r="AH2169" s="4" t="s">
        <v>63</v>
      </c>
      <c r="AI2169" s="4" t="s">
        <v>18496</v>
      </c>
      <c r="AJ2169" s="4" t="s">
        <v>63</v>
      </c>
      <c r="AK2169" s="4" t="s">
        <v>63</v>
      </c>
      <c r="AL2169" s="4" t="s">
        <v>63</v>
      </c>
      <c r="AM2169" s="4" t="s">
        <v>18488</v>
      </c>
      <c r="AN2169" s="4" t="s">
        <v>63</v>
      </c>
      <c r="AO2169" s="4" t="s">
        <v>63</v>
      </c>
      <c r="AP2169" s="4" t="s">
        <v>63</v>
      </c>
      <c r="AQ2169" s="4" t="s">
        <v>63</v>
      </c>
      <c r="AR2169" s="4" t="s">
        <v>63</v>
      </c>
      <c r="AS2169" s="4" t="s">
        <v>63</v>
      </c>
      <c r="AT2169" s="4" t="s">
        <v>63</v>
      </c>
      <c r="AU2169" s="4" t="s">
        <v>63</v>
      </c>
      <c r="AV2169" s="4" t="s">
        <v>63</v>
      </c>
      <c r="AW2169" s="4" t="s">
        <v>63</v>
      </c>
      <c r="AX2169" s="4" t="s">
        <v>63</v>
      </c>
      <c r="AY2169" s="4" t="s">
        <v>63</v>
      </c>
      <c r="AZ2169" s="4" t="s">
        <v>63</v>
      </c>
      <c r="BA2169" s="4" t="s">
        <v>63</v>
      </c>
      <c r="BB2169" s="4" t="s">
        <v>63</v>
      </c>
      <c r="BC2169" s="4" t="s">
        <v>63</v>
      </c>
      <c r="BD2169" s="4" t="s">
        <v>63</v>
      </c>
      <c r="BE2169" s="4" t="s">
        <v>63</v>
      </c>
      <c r="BF2169" s="4" t="s">
        <v>63</v>
      </c>
    </row>
    <row r="2170" spans="1:58">
      <c r="A2170" s="4" t="s">
        <v>58</v>
      </c>
      <c r="B2170" s="4" t="s">
        <v>18497</v>
      </c>
      <c r="C2170" s="4" t="s">
        <v>18498</v>
      </c>
      <c r="D2170" s="4" t="s">
        <v>18499</v>
      </c>
      <c r="E2170" s="4" t="s">
        <v>63</v>
      </c>
      <c r="F2170" s="4">
        <v>2004</v>
      </c>
      <c r="G2170" s="4" t="s">
        <v>1670</v>
      </c>
      <c r="H2170" s="4">
        <v>51</v>
      </c>
      <c r="I2170" s="4">
        <v>7</v>
      </c>
      <c r="J2170" s="4">
        <v>540</v>
      </c>
      <c r="K2170" s="4">
        <v>551</v>
      </c>
      <c r="L2170" s="4" t="s">
        <v>18500</v>
      </c>
      <c r="M2170" s="4" t="s">
        <v>18501</v>
      </c>
      <c r="N2170" s="4" t="s">
        <v>18502</v>
      </c>
      <c r="O2170" s="4" t="s">
        <v>63</v>
      </c>
      <c r="P2170" s="4"/>
      <c r="Q2170" s="4" t="s">
        <v>63</v>
      </c>
      <c r="R2170" s="4" t="s">
        <v>63</v>
      </c>
      <c r="S2170" s="4" t="s">
        <v>63</v>
      </c>
      <c r="T2170" s="4" t="s">
        <v>63</v>
      </c>
      <c r="U2170" s="4"/>
      <c r="V2170" s="4"/>
      <c r="W2170" s="4"/>
      <c r="X2170" s="4" t="s">
        <v>63</v>
      </c>
      <c r="Y2170" s="4" t="s">
        <v>4808</v>
      </c>
      <c r="Z2170" s="4" t="s">
        <v>63</v>
      </c>
      <c r="AA2170" s="4" t="s">
        <v>63</v>
      </c>
      <c r="AB2170" s="4" t="s">
        <v>63</v>
      </c>
      <c r="AC2170" s="4" t="s">
        <v>4810</v>
      </c>
      <c r="AD2170" s="4" t="s">
        <v>63</v>
      </c>
      <c r="AE2170" s="4" t="s">
        <v>63</v>
      </c>
      <c r="AF2170" s="4" t="s">
        <v>63</v>
      </c>
      <c r="AG2170" s="4" t="s">
        <v>18503</v>
      </c>
      <c r="AH2170" s="4" t="s">
        <v>63</v>
      </c>
      <c r="AI2170" s="4" t="s">
        <v>63</v>
      </c>
      <c r="AJ2170" s="4" t="s">
        <v>63</v>
      </c>
      <c r="AK2170" s="4" t="s">
        <v>63</v>
      </c>
      <c r="AL2170" s="4" t="s">
        <v>63</v>
      </c>
      <c r="AM2170" s="4" t="s">
        <v>18504</v>
      </c>
      <c r="AN2170" s="4" t="s">
        <v>63</v>
      </c>
      <c r="AO2170" s="4" t="s">
        <v>63</v>
      </c>
      <c r="AP2170" s="4" t="s">
        <v>63</v>
      </c>
      <c r="AQ2170" s="4" t="s">
        <v>63</v>
      </c>
      <c r="AR2170" s="4" t="s">
        <v>63</v>
      </c>
      <c r="AS2170" s="4" t="s">
        <v>63</v>
      </c>
      <c r="AT2170" s="4" t="s">
        <v>63</v>
      </c>
      <c r="AU2170" s="4" t="s">
        <v>63</v>
      </c>
      <c r="AV2170" s="4" t="s">
        <v>63</v>
      </c>
      <c r="AW2170" s="4" t="s">
        <v>63</v>
      </c>
      <c r="AX2170" s="4" t="s">
        <v>63</v>
      </c>
      <c r="AY2170" s="4" t="s">
        <v>63</v>
      </c>
      <c r="AZ2170" s="4" t="s">
        <v>63</v>
      </c>
      <c r="BA2170" s="4" t="s">
        <v>63</v>
      </c>
      <c r="BB2170" s="4" t="s">
        <v>63</v>
      </c>
      <c r="BC2170" s="4" t="s">
        <v>63</v>
      </c>
      <c r="BD2170" s="4" t="s">
        <v>63</v>
      </c>
      <c r="BE2170" s="4" t="s">
        <v>63</v>
      </c>
      <c r="BF2170" s="4" t="s">
        <v>63</v>
      </c>
    </row>
    <row r="2171" spans="1:58">
      <c r="A2171" s="4" t="s">
        <v>58</v>
      </c>
      <c r="B2171" s="4" t="s">
        <v>18505</v>
      </c>
      <c r="C2171" s="4" t="s">
        <v>18506</v>
      </c>
      <c r="D2171" s="4" t="s">
        <v>18507</v>
      </c>
      <c r="E2171" s="4" t="s">
        <v>18508</v>
      </c>
      <c r="F2171" s="4">
        <v>2013</v>
      </c>
      <c r="G2171" s="4" t="s">
        <v>181</v>
      </c>
      <c r="H2171" s="4">
        <v>21</v>
      </c>
      <c r="I2171" s="4">
        <v>3</v>
      </c>
      <c r="J2171" s="4">
        <v>134</v>
      </c>
      <c r="K2171" s="4">
        <v>139</v>
      </c>
      <c r="L2171" s="4" t="s">
        <v>18509</v>
      </c>
      <c r="M2171" s="4" t="s">
        <v>18510</v>
      </c>
      <c r="N2171" s="4" t="s">
        <v>18511</v>
      </c>
      <c r="O2171" s="4" t="s">
        <v>63</v>
      </c>
      <c r="P2171" s="4"/>
      <c r="Q2171" s="4" t="s">
        <v>63</v>
      </c>
      <c r="R2171" s="4" t="s">
        <v>63</v>
      </c>
      <c r="S2171" s="4" t="s">
        <v>63</v>
      </c>
      <c r="T2171" s="4" t="s">
        <v>63</v>
      </c>
      <c r="U2171" s="4"/>
      <c r="V2171" s="4"/>
      <c r="W2171" s="4"/>
      <c r="X2171" s="4" t="s">
        <v>63</v>
      </c>
      <c r="Y2171" s="4" t="s">
        <v>18512</v>
      </c>
      <c r="Z2171" s="4" t="s">
        <v>63</v>
      </c>
      <c r="AA2171" s="4" t="s">
        <v>63</v>
      </c>
      <c r="AB2171" s="4" t="s">
        <v>63</v>
      </c>
      <c r="AC2171" s="4" t="s">
        <v>67</v>
      </c>
      <c r="AD2171" s="4" t="s">
        <v>63</v>
      </c>
      <c r="AE2171" s="4" t="s">
        <v>63</v>
      </c>
      <c r="AF2171" s="4" t="s">
        <v>63</v>
      </c>
      <c r="AG2171" s="4" t="s">
        <v>18513</v>
      </c>
      <c r="AH2171" s="4" t="s">
        <v>63</v>
      </c>
      <c r="AI2171" s="4" t="s">
        <v>63</v>
      </c>
      <c r="AJ2171" s="4" t="s">
        <v>63</v>
      </c>
      <c r="AK2171" s="4" t="s">
        <v>63</v>
      </c>
      <c r="AL2171" s="4" t="s">
        <v>63</v>
      </c>
      <c r="AM2171" s="4" t="s">
        <v>18514</v>
      </c>
      <c r="AN2171" s="4" t="s">
        <v>63</v>
      </c>
      <c r="AO2171" s="4" t="s">
        <v>63</v>
      </c>
      <c r="AP2171" s="4" t="s">
        <v>63</v>
      </c>
      <c r="AQ2171" s="4" t="s">
        <v>63</v>
      </c>
      <c r="AR2171" s="4" t="s">
        <v>63</v>
      </c>
      <c r="AS2171" s="4" t="s">
        <v>63</v>
      </c>
      <c r="AT2171" s="4" t="s">
        <v>63</v>
      </c>
      <c r="AU2171" s="4" t="s">
        <v>63</v>
      </c>
      <c r="AV2171" s="4" t="s">
        <v>63</v>
      </c>
      <c r="AW2171" s="4" t="s">
        <v>63</v>
      </c>
      <c r="AX2171" s="4" t="s">
        <v>63</v>
      </c>
      <c r="AY2171" s="4" t="s">
        <v>63</v>
      </c>
      <c r="AZ2171" s="4" t="s">
        <v>63</v>
      </c>
      <c r="BA2171" s="4" t="s">
        <v>63</v>
      </c>
      <c r="BB2171" s="4" t="s">
        <v>63</v>
      </c>
      <c r="BC2171" s="4" t="s">
        <v>63</v>
      </c>
      <c r="BD2171" s="4" t="s">
        <v>63</v>
      </c>
      <c r="BE2171" s="4" t="s">
        <v>63</v>
      </c>
      <c r="BF2171" s="4" t="s">
        <v>63</v>
      </c>
    </row>
    <row r="2172" spans="1:58">
      <c r="A2172" s="4" t="s">
        <v>58</v>
      </c>
      <c r="B2172" s="4" t="s">
        <v>18515</v>
      </c>
      <c r="C2172" s="4" t="s">
        <v>18516</v>
      </c>
      <c r="D2172" s="4" t="s">
        <v>449</v>
      </c>
      <c r="E2172" s="4" t="s">
        <v>63</v>
      </c>
      <c r="F2172" s="4">
        <v>2013</v>
      </c>
      <c r="G2172" s="4" t="s">
        <v>63</v>
      </c>
      <c r="H2172" s="4">
        <v>18</v>
      </c>
      <c r="I2172" s="4">
        <v>3</v>
      </c>
      <c r="J2172" s="4">
        <v>245</v>
      </c>
      <c r="K2172" s="4">
        <v>251</v>
      </c>
      <c r="L2172" s="4" t="s">
        <v>18517</v>
      </c>
      <c r="M2172" s="4" t="s">
        <v>18518</v>
      </c>
      <c r="N2172" s="4" t="s">
        <v>18519</v>
      </c>
      <c r="O2172" s="4" t="s">
        <v>63</v>
      </c>
      <c r="P2172" s="4"/>
      <c r="Q2172" s="4" t="s">
        <v>63</v>
      </c>
      <c r="R2172" s="4" t="s">
        <v>63</v>
      </c>
      <c r="S2172" s="4" t="s">
        <v>63</v>
      </c>
      <c r="T2172" s="4" t="s">
        <v>63</v>
      </c>
      <c r="U2172" s="4"/>
      <c r="V2172" s="4"/>
      <c r="W2172" s="4"/>
      <c r="X2172" s="4" t="s">
        <v>63</v>
      </c>
      <c r="Y2172" s="4" t="s">
        <v>18520</v>
      </c>
      <c r="Z2172" s="4" t="s">
        <v>63</v>
      </c>
      <c r="AA2172" s="4" t="s">
        <v>63</v>
      </c>
      <c r="AB2172" s="4" t="s">
        <v>18521</v>
      </c>
      <c r="AC2172" s="4" t="s">
        <v>67</v>
      </c>
      <c r="AD2172" s="4" t="s">
        <v>63</v>
      </c>
      <c r="AE2172" s="4" t="s">
        <v>63</v>
      </c>
      <c r="AF2172" s="4" t="s">
        <v>63</v>
      </c>
      <c r="AG2172" s="4" t="s">
        <v>63</v>
      </c>
      <c r="AH2172" s="4" t="s">
        <v>63</v>
      </c>
      <c r="AI2172" s="4" t="s">
        <v>63</v>
      </c>
      <c r="AJ2172" s="4" t="s">
        <v>63</v>
      </c>
      <c r="AK2172" s="4" t="s">
        <v>63</v>
      </c>
      <c r="AL2172" s="4" t="s">
        <v>63</v>
      </c>
      <c r="AM2172" s="4" t="s">
        <v>18516</v>
      </c>
      <c r="AN2172" s="4" t="s">
        <v>63</v>
      </c>
      <c r="AO2172" s="4" t="s">
        <v>63</v>
      </c>
      <c r="AP2172" s="4" t="s">
        <v>63</v>
      </c>
      <c r="AQ2172" s="4" t="s">
        <v>63</v>
      </c>
      <c r="AR2172" s="4" t="s">
        <v>63</v>
      </c>
      <c r="AS2172" s="4" t="s">
        <v>63</v>
      </c>
      <c r="AT2172" s="4" t="s">
        <v>63</v>
      </c>
      <c r="AU2172" s="4" t="s">
        <v>63</v>
      </c>
      <c r="AV2172" s="4" t="s">
        <v>63</v>
      </c>
      <c r="AW2172" s="4" t="s">
        <v>63</v>
      </c>
      <c r="AX2172" s="4" t="s">
        <v>63</v>
      </c>
      <c r="AY2172" s="4" t="s">
        <v>63</v>
      </c>
      <c r="AZ2172" s="4" t="s">
        <v>63</v>
      </c>
      <c r="BA2172" s="4" t="s">
        <v>63</v>
      </c>
      <c r="BB2172" s="4" t="s">
        <v>63</v>
      </c>
      <c r="BC2172" s="4" t="s">
        <v>63</v>
      </c>
      <c r="BD2172" s="4" t="s">
        <v>63</v>
      </c>
      <c r="BE2172" s="4" t="s">
        <v>63</v>
      </c>
      <c r="BF2172" s="4" t="s">
        <v>63</v>
      </c>
    </row>
    <row r="2173" spans="1:58">
      <c r="A2173" s="4" t="s">
        <v>58</v>
      </c>
      <c r="B2173" s="4" t="s">
        <v>18522</v>
      </c>
      <c r="C2173" s="4" t="s">
        <v>18096</v>
      </c>
      <c r="D2173" s="4" t="s">
        <v>11321</v>
      </c>
      <c r="E2173" s="4" t="s">
        <v>11321</v>
      </c>
      <c r="F2173" s="4">
        <v>2011</v>
      </c>
      <c r="G2173" s="4" t="s">
        <v>16091</v>
      </c>
      <c r="H2173" s="4" t="s">
        <v>18523</v>
      </c>
      <c r="I2173" s="4" t="s">
        <v>63</v>
      </c>
      <c r="J2173" s="4">
        <v>39</v>
      </c>
      <c r="K2173" s="4" t="s">
        <v>63</v>
      </c>
      <c r="L2173" s="4" t="s">
        <v>18524</v>
      </c>
      <c r="M2173" s="4" t="s">
        <v>18525</v>
      </c>
      <c r="N2173" s="4" t="s">
        <v>18526</v>
      </c>
      <c r="O2173" s="4" t="s">
        <v>63</v>
      </c>
      <c r="P2173" s="4"/>
      <c r="Q2173" s="4" t="s">
        <v>63</v>
      </c>
      <c r="R2173" s="4" t="s">
        <v>63</v>
      </c>
      <c r="S2173" s="4" t="s">
        <v>63</v>
      </c>
      <c r="T2173" s="4" t="s">
        <v>63</v>
      </c>
      <c r="U2173" s="4"/>
      <c r="V2173" s="4"/>
      <c r="W2173" s="4"/>
      <c r="X2173" s="4" t="s">
        <v>63</v>
      </c>
      <c r="Y2173" s="4" t="s">
        <v>11325</v>
      </c>
      <c r="Z2173" s="4" t="s">
        <v>63</v>
      </c>
      <c r="AA2173" s="4" t="s">
        <v>63</v>
      </c>
      <c r="AB2173" s="4" t="s">
        <v>63</v>
      </c>
      <c r="AC2173" s="4" t="s">
        <v>67</v>
      </c>
      <c r="AD2173" s="4" t="s">
        <v>63</v>
      </c>
      <c r="AE2173" s="4" t="s">
        <v>63</v>
      </c>
      <c r="AF2173" s="4" t="s">
        <v>63</v>
      </c>
      <c r="AG2173" s="4" t="s">
        <v>63</v>
      </c>
      <c r="AH2173" s="4" t="s">
        <v>63</v>
      </c>
      <c r="AI2173" s="4" t="s">
        <v>18527</v>
      </c>
      <c r="AJ2173" s="4" t="s">
        <v>63</v>
      </c>
      <c r="AK2173" s="4" t="s">
        <v>63</v>
      </c>
      <c r="AL2173" s="4" t="s">
        <v>63</v>
      </c>
      <c r="AM2173" s="4" t="s">
        <v>18096</v>
      </c>
      <c r="AN2173" s="4" t="s">
        <v>63</v>
      </c>
      <c r="AO2173" s="4" t="s">
        <v>63</v>
      </c>
      <c r="AP2173" s="4" t="s">
        <v>63</v>
      </c>
      <c r="AQ2173" s="4" t="s">
        <v>63</v>
      </c>
      <c r="AR2173" s="4" t="s">
        <v>63</v>
      </c>
      <c r="AS2173" s="4" t="s">
        <v>63</v>
      </c>
      <c r="AT2173" s="4" t="s">
        <v>63</v>
      </c>
      <c r="AU2173" s="4" t="s">
        <v>63</v>
      </c>
      <c r="AV2173" s="4" t="s">
        <v>63</v>
      </c>
      <c r="AW2173" s="4" t="s">
        <v>63</v>
      </c>
      <c r="AX2173" s="4" t="s">
        <v>63</v>
      </c>
      <c r="AY2173" s="4" t="s">
        <v>63</v>
      </c>
      <c r="AZ2173" s="4" t="s">
        <v>63</v>
      </c>
      <c r="BA2173" s="4" t="s">
        <v>63</v>
      </c>
      <c r="BB2173" s="4" t="s">
        <v>63</v>
      </c>
      <c r="BC2173" s="4" t="s">
        <v>63</v>
      </c>
      <c r="BD2173" s="4" t="s">
        <v>63</v>
      </c>
      <c r="BE2173" s="4" t="s">
        <v>63</v>
      </c>
      <c r="BF2173" s="4" t="s">
        <v>63</v>
      </c>
    </row>
    <row r="2174" spans="1:58">
      <c r="A2174" s="4" t="s">
        <v>58</v>
      </c>
      <c r="B2174" s="4" t="s">
        <v>18528</v>
      </c>
      <c r="C2174" s="4" t="s">
        <v>18529</v>
      </c>
      <c r="D2174" s="4" t="s">
        <v>1212</v>
      </c>
      <c r="E2174" s="4" t="s">
        <v>63</v>
      </c>
      <c r="F2174" s="4">
        <v>2014</v>
      </c>
      <c r="G2174" s="4" t="s">
        <v>15526</v>
      </c>
      <c r="H2174" s="4">
        <v>8</v>
      </c>
      <c r="I2174" s="4">
        <v>1</v>
      </c>
      <c r="J2174" s="4">
        <v>1</v>
      </c>
      <c r="K2174" s="4">
        <v>5</v>
      </c>
      <c r="L2174" s="4" t="s">
        <v>18530</v>
      </c>
      <c r="M2174" s="4" t="s">
        <v>18531</v>
      </c>
      <c r="N2174" s="4" t="s">
        <v>18532</v>
      </c>
      <c r="O2174" s="4" t="s">
        <v>63</v>
      </c>
      <c r="P2174" s="4"/>
      <c r="Q2174" s="4" t="s">
        <v>63</v>
      </c>
      <c r="R2174" s="4" t="s">
        <v>63</v>
      </c>
      <c r="S2174" s="4" t="s">
        <v>63</v>
      </c>
      <c r="T2174" s="4" t="s">
        <v>63</v>
      </c>
      <c r="U2174" s="4"/>
      <c r="V2174" s="4"/>
      <c r="W2174" s="4"/>
      <c r="X2174" s="4" t="s">
        <v>63</v>
      </c>
      <c r="Y2174" s="4" t="s">
        <v>15084</v>
      </c>
      <c r="Z2174" s="4" t="s">
        <v>63</v>
      </c>
      <c r="AA2174" s="4" t="s">
        <v>63</v>
      </c>
      <c r="AB2174" s="4">
        <v>2014245101</v>
      </c>
      <c r="AC2174" s="4" t="s">
        <v>67</v>
      </c>
      <c r="AD2174" s="4" t="s">
        <v>63</v>
      </c>
      <c r="AE2174" s="4" t="s">
        <v>63</v>
      </c>
      <c r="AF2174" s="4" t="s">
        <v>63</v>
      </c>
      <c r="AG2174" s="4" t="s">
        <v>18533</v>
      </c>
      <c r="AH2174" s="4" t="s">
        <v>63</v>
      </c>
      <c r="AI2174" s="4" t="s">
        <v>18534</v>
      </c>
      <c r="AJ2174" s="4" t="s">
        <v>63</v>
      </c>
      <c r="AK2174" s="4" t="s">
        <v>63</v>
      </c>
      <c r="AL2174" s="4" t="s">
        <v>63</v>
      </c>
      <c r="AM2174" s="4" t="s">
        <v>18535</v>
      </c>
      <c r="AN2174" s="4" t="s">
        <v>63</v>
      </c>
      <c r="AO2174" s="4" t="s">
        <v>63</v>
      </c>
      <c r="AP2174" s="4" t="s">
        <v>63</v>
      </c>
      <c r="AQ2174" s="4" t="s">
        <v>63</v>
      </c>
      <c r="AR2174" s="4" t="s">
        <v>63</v>
      </c>
      <c r="AS2174" s="4" t="s">
        <v>63</v>
      </c>
      <c r="AT2174" s="4" t="s">
        <v>63</v>
      </c>
      <c r="AU2174" s="4" t="s">
        <v>63</v>
      </c>
      <c r="AV2174" s="4" t="s">
        <v>63</v>
      </c>
      <c r="AW2174" s="4" t="s">
        <v>63</v>
      </c>
      <c r="AX2174" s="4" t="s">
        <v>63</v>
      </c>
      <c r="AY2174" s="4" t="s">
        <v>63</v>
      </c>
      <c r="AZ2174" s="4" t="s">
        <v>63</v>
      </c>
      <c r="BA2174" s="4" t="s">
        <v>63</v>
      </c>
      <c r="BB2174" s="4" t="s">
        <v>63</v>
      </c>
      <c r="BC2174" s="4" t="s">
        <v>63</v>
      </c>
      <c r="BD2174" s="4" t="s">
        <v>63</v>
      </c>
      <c r="BE2174" s="4" t="s">
        <v>63</v>
      </c>
      <c r="BF2174" s="4" t="s">
        <v>63</v>
      </c>
    </row>
    <row r="2175" spans="1:58">
      <c r="A2175" s="4" t="s">
        <v>58</v>
      </c>
      <c r="B2175" s="4" t="s">
        <v>18536</v>
      </c>
      <c r="C2175" s="4" t="s">
        <v>18537</v>
      </c>
      <c r="D2175" s="4" t="s">
        <v>18538</v>
      </c>
      <c r="E2175" s="4" t="s">
        <v>63</v>
      </c>
      <c r="F2175" s="4">
        <v>2017</v>
      </c>
      <c r="G2175" s="4">
        <v>1</v>
      </c>
      <c r="H2175" s="4">
        <v>8</v>
      </c>
      <c r="I2175" s="4">
        <v>4</v>
      </c>
      <c r="J2175" s="4">
        <v>220</v>
      </c>
      <c r="K2175" s="4">
        <v>224</v>
      </c>
      <c r="L2175" s="4" t="s">
        <v>18539</v>
      </c>
      <c r="M2175" s="4" t="s">
        <v>18540</v>
      </c>
      <c r="N2175" s="4" t="s">
        <v>18541</v>
      </c>
      <c r="O2175" s="4" t="s">
        <v>63</v>
      </c>
      <c r="P2175" s="4"/>
      <c r="Q2175" s="4" t="s">
        <v>63</v>
      </c>
      <c r="R2175" s="4" t="s">
        <v>63</v>
      </c>
      <c r="S2175" s="4" t="s">
        <v>63</v>
      </c>
      <c r="T2175" s="4" t="s">
        <v>63</v>
      </c>
      <c r="U2175" s="4"/>
      <c r="V2175" s="4"/>
      <c r="W2175" s="4"/>
      <c r="X2175" s="4" t="s">
        <v>63</v>
      </c>
      <c r="Y2175" s="4" t="s">
        <v>18542</v>
      </c>
      <c r="Z2175" s="4" t="s">
        <v>63</v>
      </c>
      <c r="AA2175" s="4" t="s">
        <v>63</v>
      </c>
      <c r="AB2175" s="4" t="s">
        <v>18543</v>
      </c>
      <c r="AC2175" s="4" t="s">
        <v>67</v>
      </c>
      <c r="AD2175" s="4" t="s">
        <v>63</v>
      </c>
      <c r="AE2175" s="4" t="s">
        <v>63</v>
      </c>
      <c r="AF2175" s="4" t="s">
        <v>63</v>
      </c>
      <c r="AG2175" s="4" t="s">
        <v>63</v>
      </c>
      <c r="AH2175" s="4" t="s">
        <v>63</v>
      </c>
      <c r="AI2175" s="4" t="s">
        <v>18544</v>
      </c>
      <c r="AJ2175" s="4" t="s">
        <v>63</v>
      </c>
      <c r="AK2175" s="4" t="s">
        <v>63</v>
      </c>
      <c r="AL2175" s="4" t="s">
        <v>63</v>
      </c>
      <c r="AM2175" s="4" t="s">
        <v>18537</v>
      </c>
      <c r="AN2175" s="4" t="s">
        <v>63</v>
      </c>
      <c r="AO2175" s="4" t="s">
        <v>63</v>
      </c>
      <c r="AP2175" s="4" t="s">
        <v>63</v>
      </c>
      <c r="AQ2175" s="4" t="s">
        <v>63</v>
      </c>
      <c r="AR2175" s="4" t="s">
        <v>63</v>
      </c>
      <c r="AS2175" s="4" t="s">
        <v>63</v>
      </c>
      <c r="AT2175" s="4" t="s">
        <v>63</v>
      </c>
      <c r="AU2175" s="4" t="s">
        <v>63</v>
      </c>
      <c r="AV2175" s="4" t="s">
        <v>63</v>
      </c>
      <c r="AW2175" s="4" t="s">
        <v>63</v>
      </c>
      <c r="AX2175" s="4" t="s">
        <v>63</v>
      </c>
      <c r="AY2175" s="4" t="s">
        <v>63</v>
      </c>
      <c r="AZ2175" s="4" t="s">
        <v>63</v>
      </c>
      <c r="BA2175" s="4" t="s">
        <v>63</v>
      </c>
      <c r="BB2175" s="4" t="s">
        <v>63</v>
      </c>
      <c r="BC2175" s="4" t="s">
        <v>63</v>
      </c>
      <c r="BD2175" s="4" t="s">
        <v>63</v>
      </c>
      <c r="BE2175" s="4" t="s">
        <v>63</v>
      </c>
      <c r="BF2175" s="4" t="s">
        <v>63</v>
      </c>
    </row>
    <row r="2176" spans="1:58">
      <c r="A2176" s="4" t="s">
        <v>58</v>
      </c>
      <c r="B2176" s="4" t="s">
        <v>18545</v>
      </c>
      <c r="C2176" s="4" t="s">
        <v>18546</v>
      </c>
      <c r="D2176" s="4" t="s">
        <v>15663</v>
      </c>
      <c r="E2176" s="4" t="s">
        <v>15664</v>
      </c>
      <c r="F2176" s="4">
        <v>2017</v>
      </c>
      <c r="G2176" s="4">
        <v>1</v>
      </c>
      <c r="H2176" s="4">
        <v>53</v>
      </c>
      <c r="I2176" s="4">
        <v>2</v>
      </c>
      <c r="J2176" s="4">
        <v>460</v>
      </c>
      <c r="K2176" s="4" t="s">
        <v>63</v>
      </c>
      <c r="L2176" s="4" t="s">
        <v>18547</v>
      </c>
      <c r="M2176" s="4" t="s">
        <v>18548</v>
      </c>
      <c r="N2176" s="4" t="s">
        <v>18549</v>
      </c>
      <c r="O2176" s="4" t="s">
        <v>63</v>
      </c>
      <c r="P2176" s="4"/>
      <c r="Q2176" s="4" t="s">
        <v>63</v>
      </c>
      <c r="R2176" s="4" t="s">
        <v>63</v>
      </c>
      <c r="S2176" s="4" t="s">
        <v>63</v>
      </c>
      <c r="T2176" s="4" t="s">
        <v>63</v>
      </c>
      <c r="U2176" s="4"/>
      <c r="V2176" s="4"/>
      <c r="W2176" s="4"/>
      <c r="X2176" s="4" t="s">
        <v>63</v>
      </c>
      <c r="Y2176" s="4" t="s">
        <v>2781</v>
      </c>
      <c r="Z2176" s="4" t="s">
        <v>63</v>
      </c>
      <c r="AA2176" s="4" t="s">
        <v>63</v>
      </c>
      <c r="AB2176" s="4" t="s">
        <v>63</v>
      </c>
      <c r="AC2176" s="4" t="s">
        <v>67</v>
      </c>
      <c r="AD2176" s="4" t="s">
        <v>63</v>
      </c>
      <c r="AE2176" s="4" t="s">
        <v>63</v>
      </c>
      <c r="AF2176" s="4" t="s">
        <v>63</v>
      </c>
      <c r="AG2176" s="4" t="s">
        <v>63</v>
      </c>
      <c r="AH2176" s="4" t="s">
        <v>63</v>
      </c>
      <c r="AI2176" s="4" t="s">
        <v>18550</v>
      </c>
      <c r="AJ2176" s="4" t="s">
        <v>63</v>
      </c>
      <c r="AK2176" s="4" t="s">
        <v>63</v>
      </c>
      <c r="AL2176" s="4" t="s">
        <v>63</v>
      </c>
      <c r="AM2176" s="4" t="s">
        <v>18546</v>
      </c>
      <c r="AN2176" s="4" t="s">
        <v>63</v>
      </c>
      <c r="AO2176" s="4" t="s">
        <v>63</v>
      </c>
      <c r="AP2176" s="4" t="s">
        <v>63</v>
      </c>
      <c r="AQ2176" s="4" t="s">
        <v>63</v>
      </c>
      <c r="AR2176" s="4" t="s">
        <v>63</v>
      </c>
      <c r="AS2176" s="4" t="s">
        <v>63</v>
      </c>
      <c r="AT2176" s="4" t="s">
        <v>63</v>
      </c>
      <c r="AU2176" s="4" t="s">
        <v>63</v>
      </c>
      <c r="AV2176" s="4" t="s">
        <v>63</v>
      </c>
      <c r="AW2176" s="4" t="s">
        <v>63</v>
      </c>
      <c r="AX2176" s="4" t="s">
        <v>63</v>
      </c>
      <c r="AY2176" s="4" t="s">
        <v>63</v>
      </c>
      <c r="AZ2176" s="4" t="s">
        <v>63</v>
      </c>
      <c r="BA2176" s="4" t="s">
        <v>63</v>
      </c>
      <c r="BB2176" s="4" t="s">
        <v>63</v>
      </c>
      <c r="BC2176" s="4" t="s">
        <v>63</v>
      </c>
      <c r="BD2176" s="4" t="s">
        <v>63</v>
      </c>
      <c r="BE2176" s="4" t="s">
        <v>63</v>
      </c>
      <c r="BF2176" s="4" t="s">
        <v>63</v>
      </c>
    </row>
    <row r="2177" spans="1:58">
      <c r="A2177" s="4" t="s">
        <v>58</v>
      </c>
      <c r="B2177" s="4" t="s">
        <v>18551</v>
      </c>
      <c r="C2177" s="4" t="s">
        <v>18552</v>
      </c>
      <c r="D2177" s="4" t="s">
        <v>11321</v>
      </c>
      <c r="E2177" s="4" t="s">
        <v>11321</v>
      </c>
      <c r="F2177" s="4">
        <v>2012</v>
      </c>
      <c r="G2177" s="4" t="s">
        <v>15165</v>
      </c>
      <c r="H2177" s="4" t="s">
        <v>16312</v>
      </c>
      <c r="I2177" s="4" t="s">
        <v>63</v>
      </c>
      <c r="J2177" s="4">
        <v>87</v>
      </c>
      <c r="K2177" s="4" t="s">
        <v>63</v>
      </c>
      <c r="L2177" s="4" t="s">
        <v>18553</v>
      </c>
      <c r="M2177" s="4" t="s">
        <v>18554</v>
      </c>
      <c r="N2177" s="4" t="s">
        <v>18555</v>
      </c>
      <c r="O2177" s="4" t="s">
        <v>63</v>
      </c>
      <c r="P2177" s="4"/>
      <c r="Q2177" s="4" t="s">
        <v>63</v>
      </c>
      <c r="R2177" s="4" t="s">
        <v>63</v>
      </c>
      <c r="S2177" s="4" t="s">
        <v>63</v>
      </c>
      <c r="T2177" s="4" t="s">
        <v>63</v>
      </c>
      <c r="U2177" s="4"/>
      <c r="V2177" s="4"/>
      <c r="W2177" s="4"/>
      <c r="X2177" s="4" t="s">
        <v>63</v>
      </c>
      <c r="Y2177" s="4" t="s">
        <v>11325</v>
      </c>
      <c r="Z2177" s="4" t="s">
        <v>63</v>
      </c>
      <c r="AA2177" s="4" t="s">
        <v>63</v>
      </c>
      <c r="AB2177" s="4" t="s">
        <v>63</v>
      </c>
      <c r="AC2177" s="4" t="s">
        <v>67</v>
      </c>
      <c r="AD2177" s="4" t="s">
        <v>63</v>
      </c>
      <c r="AE2177" s="4" t="s">
        <v>63</v>
      </c>
      <c r="AF2177" s="4" t="s">
        <v>63</v>
      </c>
      <c r="AG2177" s="4" t="s">
        <v>63</v>
      </c>
      <c r="AH2177" s="4" t="s">
        <v>63</v>
      </c>
      <c r="AI2177" s="4" t="s">
        <v>18556</v>
      </c>
      <c r="AJ2177" s="4" t="s">
        <v>63</v>
      </c>
      <c r="AK2177" s="4" t="s">
        <v>63</v>
      </c>
      <c r="AL2177" s="4" t="s">
        <v>63</v>
      </c>
      <c r="AM2177" s="4" t="s">
        <v>18552</v>
      </c>
      <c r="AN2177" s="4" t="s">
        <v>63</v>
      </c>
      <c r="AO2177" s="4" t="s">
        <v>63</v>
      </c>
      <c r="AP2177" s="4" t="s">
        <v>63</v>
      </c>
      <c r="AQ2177" s="4" t="s">
        <v>63</v>
      </c>
      <c r="AR2177" s="4" t="s">
        <v>63</v>
      </c>
      <c r="AS2177" s="4" t="s">
        <v>63</v>
      </c>
      <c r="AT2177" s="4" t="s">
        <v>63</v>
      </c>
      <c r="AU2177" s="4" t="s">
        <v>63</v>
      </c>
      <c r="AV2177" s="4" t="s">
        <v>63</v>
      </c>
      <c r="AW2177" s="4" t="s">
        <v>63</v>
      </c>
      <c r="AX2177" s="4" t="s">
        <v>63</v>
      </c>
      <c r="AY2177" s="4" t="s">
        <v>63</v>
      </c>
      <c r="AZ2177" s="4" t="s">
        <v>63</v>
      </c>
      <c r="BA2177" s="4" t="s">
        <v>63</v>
      </c>
      <c r="BB2177" s="4" t="s">
        <v>63</v>
      </c>
      <c r="BC2177" s="4" t="s">
        <v>63</v>
      </c>
      <c r="BD2177" s="4" t="s">
        <v>63</v>
      </c>
      <c r="BE2177" s="4" t="s">
        <v>63</v>
      </c>
      <c r="BF2177" s="4" t="s">
        <v>63</v>
      </c>
    </row>
    <row r="2178" spans="1:58">
      <c r="A2178" s="4" t="s">
        <v>58</v>
      </c>
      <c r="B2178" s="4" t="s">
        <v>18557</v>
      </c>
      <c r="C2178" s="4" t="s">
        <v>18558</v>
      </c>
      <c r="D2178" s="4" t="s">
        <v>3984</v>
      </c>
      <c r="E2178" s="4" t="s">
        <v>63</v>
      </c>
      <c r="F2178" s="4">
        <v>2009</v>
      </c>
      <c r="G2178" s="4" t="s">
        <v>15165</v>
      </c>
      <c r="H2178" s="4">
        <v>10</v>
      </c>
      <c r="I2178" s="4">
        <v>4</v>
      </c>
      <c r="J2178" s="4" t="s">
        <v>18559</v>
      </c>
      <c r="K2178" s="4" t="s">
        <v>63</v>
      </c>
      <c r="L2178" s="4" t="s">
        <v>18560</v>
      </c>
      <c r="M2178" s="4" t="s">
        <v>18561</v>
      </c>
      <c r="N2178" s="4" t="s">
        <v>18562</v>
      </c>
      <c r="O2178" s="4" t="s">
        <v>63</v>
      </c>
      <c r="P2178" s="4"/>
      <c r="Q2178" s="4" t="s">
        <v>63</v>
      </c>
      <c r="R2178" s="4" t="s">
        <v>63</v>
      </c>
      <c r="S2178" s="4" t="s">
        <v>63</v>
      </c>
      <c r="T2178" s="4" t="s">
        <v>63</v>
      </c>
      <c r="U2178" s="4"/>
      <c r="V2178" s="4"/>
      <c r="W2178" s="4"/>
      <c r="X2178" s="4" t="s">
        <v>63</v>
      </c>
      <c r="Y2178" s="4" t="s">
        <v>5160</v>
      </c>
      <c r="Z2178" s="4" t="s">
        <v>63</v>
      </c>
      <c r="AA2178" s="4" t="s">
        <v>63</v>
      </c>
      <c r="AB2178" s="4" t="s">
        <v>63</v>
      </c>
      <c r="AC2178" s="4" t="s">
        <v>67</v>
      </c>
      <c r="AD2178" s="4" t="s">
        <v>63</v>
      </c>
      <c r="AE2178" s="4" t="s">
        <v>63</v>
      </c>
      <c r="AF2178" s="4" t="s">
        <v>63</v>
      </c>
      <c r="AG2178" s="4" t="s">
        <v>63</v>
      </c>
      <c r="AH2178" s="4" t="s">
        <v>63</v>
      </c>
      <c r="AI2178" s="4" t="s">
        <v>18563</v>
      </c>
      <c r="AJ2178" s="4" t="s">
        <v>63</v>
      </c>
      <c r="AK2178" s="4" t="s">
        <v>63</v>
      </c>
      <c r="AL2178" s="4" t="s">
        <v>63</v>
      </c>
      <c r="AM2178" s="4" t="s">
        <v>18558</v>
      </c>
      <c r="AN2178" s="4" t="s">
        <v>63</v>
      </c>
      <c r="AO2178" s="4" t="s">
        <v>63</v>
      </c>
      <c r="AP2178" s="4" t="s">
        <v>63</v>
      </c>
      <c r="AQ2178" s="4" t="s">
        <v>63</v>
      </c>
      <c r="AR2178" s="4" t="s">
        <v>63</v>
      </c>
      <c r="AS2178" s="4" t="s">
        <v>63</v>
      </c>
      <c r="AT2178" s="4" t="s">
        <v>63</v>
      </c>
      <c r="AU2178" s="4" t="s">
        <v>63</v>
      </c>
      <c r="AV2178" s="4" t="s">
        <v>63</v>
      </c>
      <c r="AW2178" s="4" t="s">
        <v>63</v>
      </c>
      <c r="AX2178" s="4" t="s">
        <v>63</v>
      </c>
      <c r="AY2178" s="4" t="s">
        <v>63</v>
      </c>
      <c r="AZ2178" s="4" t="s">
        <v>63</v>
      </c>
      <c r="BA2178" s="4" t="s">
        <v>63</v>
      </c>
      <c r="BB2178" s="4" t="s">
        <v>63</v>
      </c>
      <c r="BC2178" s="4" t="s">
        <v>63</v>
      </c>
      <c r="BD2178" s="4" t="s">
        <v>63</v>
      </c>
      <c r="BE2178" s="4" t="s">
        <v>63</v>
      </c>
      <c r="BF2178" s="4" t="s">
        <v>63</v>
      </c>
    </row>
    <row r="2179" spans="1:58">
      <c r="A2179" s="4" t="s">
        <v>58</v>
      </c>
      <c r="B2179" s="4" t="s">
        <v>18564</v>
      </c>
      <c r="C2179" s="4" t="s">
        <v>18565</v>
      </c>
      <c r="D2179" s="4" t="s">
        <v>15263</v>
      </c>
      <c r="E2179" s="4" t="s">
        <v>15264</v>
      </c>
      <c r="F2179" s="4">
        <v>2015</v>
      </c>
      <c r="G2179" s="4">
        <v>1</v>
      </c>
      <c r="H2179" s="4">
        <v>146</v>
      </c>
      <c r="I2179" s="4" t="s">
        <v>63</v>
      </c>
      <c r="J2179" s="4" t="s">
        <v>18566</v>
      </c>
      <c r="K2179" s="4" t="s">
        <v>18567</v>
      </c>
      <c r="L2179" s="4" t="s">
        <v>18568</v>
      </c>
      <c r="M2179" s="4" t="s">
        <v>18569</v>
      </c>
      <c r="N2179" s="4" t="s">
        <v>18570</v>
      </c>
      <c r="O2179" s="4" t="s">
        <v>63</v>
      </c>
      <c r="P2179" s="4"/>
      <c r="Q2179" s="4" t="s">
        <v>63</v>
      </c>
      <c r="R2179" s="4" t="s">
        <v>63</v>
      </c>
      <c r="S2179" s="4" t="s">
        <v>63</v>
      </c>
      <c r="T2179" s="4" t="s">
        <v>63</v>
      </c>
      <c r="U2179" s="4"/>
      <c r="V2179" s="4"/>
      <c r="W2179" s="4"/>
      <c r="X2179" s="4" t="s">
        <v>63</v>
      </c>
      <c r="Y2179" s="4" t="s">
        <v>4942</v>
      </c>
      <c r="Z2179" s="4" t="s">
        <v>63</v>
      </c>
      <c r="AA2179" s="4" t="s">
        <v>63</v>
      </c>
      <c r="AB2179" s="4" t="s">
        <v>63</v>
      </c>
      <c r="AC2179" s="4" t="s">
        <v>67</v>
      </c>
      <c r="AD2179" s="4" t="s">
        <v>63</v>
      </c>
      <c r="AE2179" s="4" t="s">
        <v>63</v>
      </c>
      <c r="AF2179" s="4" t="s">
        <v>63</v>
      </c>
      <c r="AG2179" s="4" t="s">
        <v>63</v>
      </c>
      <c r="AH2179" s="4" t="s">
        <v>63</v>
      </c>
      <c r="AI2179" s="4" t="s">
        <v>18571</v>
      </c>
      <c r="AJ2179" s="4" t="s">
        <v>63</v>
      </c>
      <c r="AK2179" s="4" t="s">
        <v>63</v>
      </c>
      <c r="AL2179" s="4" t="s">
        <v>63</v>
      </c>
      <c r="AM2179" s="4" t="s">
        <v>18565</v>
      </c>
      <c r="AN2179" s="4" t="s">
        <v>63</v>
      </c>
      <c r="AO2179" s="4" t="s">
        <v>63</v>
      </c>
      <c r="AP2179" s="4" t="s">
        <v>63</v>
      </c>
      <c r="AQ2179" s="4" t="s">
        <v>63</v>
      </c>
      <c r="AR2179" s="4" t="s">
        <v>63</v>
      </c>
      <c r="AS2179" s="4" t="s">
        <v>63</v>
      </c>
      <c r="AT2179" s="4" t="s">
        <v>63</v>
      </c>
      <c r="AU2179" s="4" t="s">
        <v>63</v>
      </c>
      <c r="AV2179" s="4" t="s">
        <v>63</v>
      </c>
      <c r="AW2179" s="4" t="s">
        <v>63</v>
      </c>
      <c r="AX2179" s="4" t="s">
        <v>63</v>
      </c>
      <c r="AY2179" s="4" t="s">
        <v>63</v>
      </c>
      <c r="AZ2179" s="4" t="s">
        <v>63</v>
      </c>
      <c r="BA2179" s="4" t="s">
        <v>63</v>
      </c>
      <c r="BB2179" s="4" t="s">
        <v>63</v>
      </c>
      <c r="BC2179" s="4" t="s">
        <v>63</v>
      </c>
      <c r="BD2179" s="4" t="s">
        <v>63</v>
      </c>
      <c r="BE2179" s="4" t="s">
        <v>63</v>
      </c>
      <c r="BF2179" s="4" t="s">
        <v>63</v>
      </c>
    </row>
    <row r="2180" spans="1:58">
      <c r="A2180" s="4" t="s">
        <v>58</v>
      </c>
      <c r="B2180" s="4" t="s">
        <v>18572</v>
      </c>
      <c r="C2180" s="4" t="s">
        <v>18573</v>
      </c>
      <c r="D2180" s="4" t="s">
        <v>15224</v>
      </c>
      <c r="E2180" s="4" t="s">
        <v>15224</v>
      </c>
      <c r="F2180" s="4">
        <v>2011</v>
      </c>
      <c r="G2180" s="4" t="s">
        <v>15358</v>
      </c>
      <c r="H2180" s="4" t="s">
        <v>18574</v>
      </c>
      <c r="I2180" s="4" t="s">
        <v>63</v>
      </c>
      <c r="J2180" s="4" t="s">
        <v>63</v>
      </c>
      <c r="K2180" s="4" t="s">
        <v>63</v>
      </c>
      <c r="L2180" s="4" t="s">
        <v>18575</v>
      </c>
      <c r="M2180" s="4" t="s">
        <v>18576</v>
      </c>
      <c r="N2180" s="4" t="s">
        <v>18577</v>
      </c>
      <c r="O2180" s="4" t="s">
        <v>63</v>
      </c>
      <c r="P2180" s="4"/>
      <c r="Q2180" s="4" t="s">
        <v>63</v>
      </c>
      <c r="R2180" s="4" t="s">
        <v>63</v>
      </c>
      <c r="S2180" s="4" t="s">
        <v>63</v>
      </c>
      <c r="T2180" s="4" t="s">
        <v>63</v>
      </c>
      <c r="U2180" s="4"/>
      <c r="V2180" s="4"/>
      <c r="W2180" s="4"/>
      <c r="X2180" s="4" t="s">
        <v>63</v>
      </c>
      <c r="Y2180" s="5">
        <v>32477</v>
      </c>
      <c r="Z2180" s="4" t="s">
        <v>63</v>
      </c>
      <c r="AA2180" s="4" t="s">
        <v>63</v>
      </c>
      <c r="AB2180" s="4" t="s">
        <v>63</v>
      </c>
      <c r="AC2180" s="4" t="s">
        <v>67</v>
      </c>
      <c r="AD2180" s="4" t="s">
        <v>63</v>
      </c>
      <c r="AE2180" s="4" t="s">
        <v>63</v>
      </c>
      <c r="AF2180" s="4" t="s">
        <v>63</v>
      </c>
      <c r="AG2180" s="4" t="s">
        <v>63</v>
      </c>
      <c r="AH2180" s="4" t="s">
        <v>63</v>
      </c>
      <c r="AI2180" s="4" t="s">
        <v>18578</v>
      </c>
      <c r="AJ2180" s="4" t="s">
        <v>63</v>
      </c>
      <c r="AK2180" s="4" t="s">
        <v>63</v>
      </c>
      <c r="AL2180" s="4" t="s">
        <v>63</v>
      </c>
      <c r="AM2180" s="4" t="s">
        <v>18573</v>
      </c>
      <c r="AN2180" s="4" t="s">
        <v>63</v>
      </c>
      <c r="AO2180" s="4" t="s">
        <v>63</v>
      </c>
      <c r="AP2180" s="4" t="s">
        <v>63</v>
      </c>
      <c r="AQ2180" s="4" t="s">
        <v>63</v>
      </c>
      <c r="AR2180" s="4" t="s">
        <v>63</v>
      </c>
      <c r="AS2180" s="4" t="s">
        <v>63</v>
      </c>
      <c r="AT2180" s="4" t="s">
        <v>63</v>
      </c>
      <c r="AU2180" s="4" t="s">
        <v>63</v>
      </c>
      <c r="AV2180" s="4" t="s">
        <v>63</v>
      </c>
      <c r="AW2180" s="4" t="s">
        <v>63</v>
      </c>
      <c r="AX2180" s="4" t="s">
        <v>63</v>
      </c>
      <c r="AY2180" s="4" t="s">
        <v>63</v>
      </c>
      <c r="AZ2180" s="4" t="s">
        <v>63</v>
      </c>
      <c r="BA2180" s="4" t="s">
        <v>63</v>
      </c>
      <c r="BB2180" s="4" t="s">
        <v>63</v>
      </c>
      <c r="BC2180" s="4" t="s">
        <v>63</v>
      </c>
      <c r="BD2180" s="4" t="s">
        <v>63</v>
      </c>
      <c r="BE2180" s="4" t="s">
        <v>63</v>
      </c>
      <c r="BF2180" s="4" t="s">
        <v>63</v>
      </c>
    </row>
    <row r="2181" spans="1:58">
      <c r="A2181" s="4" t="s">
        <v>58</v>
      </c>
      <c r="B2181" s="4" t="s">
        <v>18579</v>
      </c>
      <c r="C2181" s="4" t="s">
        <v>18580</v>
      </c>
      <c r="D2181" s="4" t="s">
        <v>11321</v>
      </c>
      <c r="E2181" s="4" t="s">
        <v>11321</v>
      </c>
      <c r="F2181" s="4">
        <v>2011</v>
      </c>
      <c r="G2181" s="4" t="s">
        <v>16091</v>
      </c>
      <c r="H2181" s="4" t="s">
        <v>18523</v>
      </c>
      <c r="I2181" s="4" t="s">
        <v>63</v>
      </c>
      <c r="J2181" s="4">
        <v>44</v>
      </c>
      <c r="K2181" s="4">
        <v>46</v>
      </c>
      <c r="L2181" s="4" t="s">
        <v>18581</v>
      </c>
      <c r="M2181" s="4" t="s">
        <v>18582</v>
      </c>
      <c r="N2181" s="4" t="s">
        <v>18583</v>
      </c>
      <c r="O2181" s="4" t="s">
        <v>63</v>
      </c>
      <c r="P2181" s="4"/>
      <c r="Q2181" s="4" t="s">
        <v>63</v>
      </c>
      <c r="R2181" s="4" t="s">
        <v>63</v>
      </c>
      <c r="S2181" s="4" t="s">
        <v>63</v>
      </c>
      <c r="T2181" s="4" t="s">
        <v>63</v>
      </c>
      <c r="U2181" s="4"/>
      <c r="V2181" s="4"/>
      <c r="W2181" s="4"/>
      <c r="X2181" s="4" t="s">
        <v>63</v>
      </c>
      <c r="Y2181" s="4" t="s">
        <v>11325</v>
      </c>
      <c r="Z2181" s="4" t="s">
        <v>63</v>
      </c>
      <c r="AA2181" s="4" t="s">
        <v>63</v>
      </c>
      <c r="AB2181" s="4" t="s">
        <v>63</v>
      </c>
      <c r="AC2181" s="4" t="s">
        <v>67</v>
      </c>
      <c r="AD2181" s="4" t="s">
        <v>63</v>
      </c>
      <c r="AE2181" s="4" t="s">
        <v>63</v>
      </c>
      <c r="AF2181" s="4" t="s">
        <v>63</v>
      </c>
      <c r="AG2181" s="4" t="s">
        <v>63</v>
      </c>
      <c r="AH2181" s="4" t="s">
        <v>63</v>
      </c>
      <c r="AI2181" s="4" t="s">
        <v>18527</v>
      </c>
      <c r="AJ2181" s="4" t="s">
        <v>63</v>
      </c>
      <c r="AK2181" s="4" t="s">
        <v>63</v>
      </c>
      <c r="AL2181" s="4" t="s">
        <v>63</v>
      </c>
      <c r="AM2181" s="4" t="s">
        <v>18580</v>
      </c>
      <c r="AN2181" s="4" t="s">
        <v>63</v>
      </c>
      <c r="AO2181" s="4" t="s">
        <v>63</v>
      </c>
      <c r="AP2181" s="4" t="s">
        <v>63</v>
      </c>
      <c r="AQ2181" s="4" t="s">
        <v>63</v>
      </c>
      <c r="AR2181" s="4" t="s">
        <v>63</v>
      </c>
      <c r="AS2181" s="4" t="s">
        <v>63</v>
      </c>
      <c r="AT2181" s="4" t="s">
        <v>63</v>
      </c>
      <c r="AU2181" s="4" t="s">
        <v>63</v>
      </c>
      <c r="AV2181" s="4" t="s">
        <v>63</v>
      </c>
      <c r="AW2181" s="4" t="s">
        <v>63</v>
      </c>
      <c r="AX2181" s="4" t="s">
        <v>63</v>
      </c>
      <c r="AY2181" s="4" t="s">
        <v>63</v>
      </c>
      <c r="AZ2181" s="4" t="s">
        <v>63</v>
      </c>
      <c r="BA2181" s="4" t="s">
        <v>63</v>
      </c>
      <c r="BB2181" s="4" t="s">
        <v>63</v>
      </c>
      <c r="BC2181" s="4" t="s">
        <v>63</v>
      </c>
      <c r="BD2181" s="4" t="s">
        <v>63</v>
      </c>
      <c r="BE2181" s="4" t="s">
        <v>63</v>
      </c>
      <c r="BF2181" s="4" t="s">
        <v>63</v>
      </c>
    </row>
    <row r="2182" spans="1:58">
      <c r="A2182" s="4" t="s">
        <v>58</v>
      </c>
      <c r="B2182" s="4" t="s">
        <v>18584</v>
      </c>
      <c r="C2182" s="4" t="s">
        <v>18585</v>
      </c>
      <c r="D2182" s="4" t="s">
        <v>18586</v>
      </c>
      <c r="E2182" s="4" t="s">
        <v>18587</v>
      </c>
      <c r="F2182" s="4">
        <v>1976</v>
      </c>
      <c r="G2182" s="4" t="s">
        <v>63</v>
      </c>
      <c r="H2182" s="4">
        <v>21</v>
      </c>
      <c r="I2182" s="4">
        <v>4</v>
      </c>
      <c r="J2182" s="4">
        <v>251</v>
      </c>
      <c r="K2182" s="4">
        <v>256</v>
      </c>
      <c r="L2182" s="4" t="s">
        <v>18588</v>
      </c>
      <c r="M2182" s="4" t="s">
        <v>63</v>
      </c>
      <c r="N2182" s="4" t="s">
        <v>18589</v>
      </c>
      <c r="O2182" s="4" t="s">
        <v>63</v>
      </c>
      <c r="P2182" s="4"/>
      <c r="Q2182" s="4" t="s">
        <v>63</v>
      </c>
      <c r="R2182" s="4" t="s">
        <v>63</v>
      </c>
      <c r="S2182" s="4" t="s">
        <v>63</v>
      </c>
      <c r="T2182" s="4" t="s">
        <v>63</v>
      </c>
      <c r="U2182" s="4"/>
      <c r="V2182" s="4"/>
      <c r="W2182" s="4"/>
      <c r="X2182" s="4" t="s">
        <v>63</v>
      </c>
      <c r="Y2182" s="4" t="s">
        <v>18590</v>
      </c>
      <c r="Z2182" s="4" t="s">
        <v>63</v>
      </c>
      <c r="AA2182" s="4" t="s">
        <v>63</v>
      </c>
      <c r="AB2182" s="4" t="s">
        <v>18591</v>
      </c>
      <c r="AC2182" s="4" t="s">
        <v>67</v>
      </c>
      <c r="AD2182" s="4" t="s">
        <v>63</v>
      </c>
      <c r="AE2182" s="4" t="s">
        <v>63</v>
      </c>
      <c r="AF2182" s="4" t="s">
        <v>63</v>
      </c>
      <c r="AG2182" s="4" t="s">
        <v>63</v>
      </c>
      <c r="AH2182" s="4" t="s">
        <v>63</v>
      </c>
      <c r="AI2182" s="4" t="s">
        <v>63</v>
      </c>
      <c r="AJ2182" s="4" t="s">
        <v>63</v>
      </c>
      <c r="AK2182" s="4" t="s">
        <v>63</v>
      </c>
      <c r="AL2182" s="4" t="s">
        <v>63</v>
      </c>
      <c r="AM2182" s="4" t="s">
        <v>18585</v>
      </c>
      <c r="AN2182" s="4" t="s">
        <v>63</v>
      </c>
      <c r="AO2182" s="4" t="s">
        <v>63</v>
      </c>
      <c r="AP2182" s="4" t="s">
        <v>63</v>
      </c>
      <c r="AQ2182" s="4" t="s">
        <v>63</v>
      </c>
      <c r="AR2182" s="4" t="s">
        <v>63</v>
      </c>
      <c r="AS2182" s="4" t="s">
        <v>63</v>
      </c>
      <c r="AT2182" s="4" t="s">
        <v>63</v>
      </c>
      <c r="AU2182" s="4" t="s">
        <v>63</v>
      </c>
      <c r="AV2182" s="4" t="s">
        <v>63</v>
      </c>
      <c r="AW2182" s="4" t="s">
        <v>63</v>
      </c>
      <c r="AX2182" s="4" t="s">
        <v>63</v>
      </c>
      <c r="AY2182" s="4" t="s">
        <v>63</v>
      </c>
      <c r="AZ2182" s="4" t="s">
        <v>63</v>
      </c>
      <c r="BA2182" s="4" t="s">
        <v>63</v>
      </c>
      <c r="BB2182" s="4" t="s">
        <v>63</v>
      </c>
      <c r="BC2182" s="4" t="s">
        <v>63</v>
      </c>
      <c r="BD2182" s="4" t="s">
        <v>63</v>
      </c>
      <c r="BE2182" s="4" t="s">
        <v>63</v>
      </c>
      <c r="BF2182" s="4" t="s">
        <v>63</v>
      </c>
    </row>
    <row r="2183" spans="1:58">
      <c r="A2183" s="4" t="s">
        <v>58</v>
      </c>
      <c r="B2183" s="4" t="s">
        <v>18592</v>
      </c>
      <c r="C2183" s="4" t="s">
        <v>18593</v>
      </c>
      <c r="D2183" s="4" t="s">
        <v>1212</v>
      </c>
      <c r="E2183" s="4" t="s">
        <v>63</v>
      </c>
      <c r="F2183" s="4">
        <v>2014</v>
      </c>
      <c r="G2183" s="4" t="s">
        <v>16633</v>
      </c>
      <c r="H2183" s="4">
        <v>8</v>
      </c>
      <c r="I2183" s="4">
        <v>2</v>
      </c>
      <c r="J2183" s="4">
        <v>102</v>
      </c>
      <c r="K2183" s="4">
        <v>110</v>
      </c>
      <c r="L2183" s="4" t="s">
        <v>18594</v>
      </c>
      <c r="M2183" s="4" t="s">
        <v>18595</v>
      </c>
      <c r="N2183" s="4" t="s">
        <v>18596</v>
      </c>
      <c r="O2183" s="4" t="s">
        <v>63</v>
      </c>
      <c r="P2183" s="4"/>
      <c r="Q2183" s="4" t="s">
        <v>63</v>
      </c>
      <c r="R2183" s="4" t="s">
        <v>63</v>
      </c>
      <c r="S2183" s="4" t="s">
        <v>63</v>
      </c>
      <c r="T2183" s="4" t="s">
        <v>63</v>
      </c>
      <c r="U2183" s="4"/>
      <c r="V2183" s="4"/>
      <c r="W2183" s="4"/>
      <c r="X2183" s="4" t="s">
        <v>63</v>
      </c>
      <c r="Y2183" s="4" t="s">
        <v>15084</v>
      </c>
      <c r="Z2183" s="4" t="s">
        <v>63</v>
      </c>
      <c r="AA2183" s="4" t="s">
        <v>63</v>
      </c>
      <c r="AB2183" s="4">
        <v>2014245117</v>
      </c>
      <c r="AC2183" s="4" t="s">
        <v>67</v>
      </c>
      <c r="AD2183" s="4" t="s">
        <v>63</v>
      </c>
      <c r="AE2183" s="4" t="s">
        <v>63</v>
      </c>
      <c r="AF2183" s="4" t="s">
        <v>63</v>
      </c>
      <c r="AG2183" s="4" t="s">
        <v>18597</v>
      </c>
      <c r="AH2183" s="4" t="s">
        <v>63</v>
      </c>
      <c r="AI2183" s="4" t="s">
        <v>18598</v>
      </c>
      <c r="AJ2183" s="4" t="s">
        <v>63</v>
      </c>
      <c r="AK2183" s="4" t="s">
        <v>63</v>
      </c>
      <c r="AL2183" s="4" t="s">
        <v>63</v>
      </c>
      <c r="AM2183" s="4" t="s">
        <v>18599</v>
      </c>
      <c r="AN2183" s="4" t="s">
        <v>63</v>
      </c>
      <c r="AO2183" s="4" t="s">
        <v>63</v>
      </c>
      <c r="AP2183" s="4" t="s">
        <v>63</v>
      </c>
      <c r="AQ2183" s="4" t="s">
        <v>63</v>
      </c>
      <c r="AR2183" s="4" t="s">
        <v>63</v>
      </c>
      <c r="AS2183" s="4" t="s">
        <v>63</v>
      </c>
      <c r="AT2183" s="4" t="s">
        <v>63</v>
      </c>
      <c r="AU2183" s="4" t="s">
        <v>63</v>
      </c>
      <c r="AV2183" s="4" t="s">
        <v>63</v>
      </c>
      <c r="AW2183" s="4" t="s">
        <v>63</v>
      </c>
      <c r="AX2183" s="4" t="s">
        <v>63</v>
      </c>
      <c r="AY2183" s="4" t="s">
        <v>63</v>
      </c>
      <c r="AZ2183" s="4" t="s">
        <v>63</v>
      </c>
      <c r="BA2183" s="4" t="s">
        <v>63</v>
      </c>
      <c r="BB2183" s="4" t="s">
        <v>63</v>
      </c>
      <c r="BC2183" s="4" t="s">
        <v>63</v>
      </c>
      <c r="BD2183" s="4" t="s">
        <v>63</v>
      </c>
      <c r="BE2183" s="4" t="s">
        <v>63</v>
      </c>
      <c r="BF2183" s="4" t="s">
        <v>63</v>
      </c>
    </row>
    <row r="2184" spans="1:58">
      <c r="A2184" s="4" t="s">
        <v>58</v>
      </c>
      <c r="B2184" s="4" t="s">
        <v>18600</v>
      </c>
      <c r="C2184" s="4" t="s">
        <v>18601</v>
      </c>
      <c r="D2184" s="4" t="s">
        <v>1212</v>
      </c>
      <c r="E2184" s="4" t="s">
        <v>63</v>
      </c>
      <c r="F2184" s="4">
        <v>2013</v>
      </c>
      <c r="G2184" s="4" t="s">
        <v>15449</v>
      </c>
      <c r="H2184" s="4">
        <v>7</v>
      </c>
      <c r="I2184" s="4">
        <v>4</v>
      </c>
      <c r="J2184" s="4" t="s">
        <v>18602</v>
      </c>
      <c r="K2184" s="4" t="s">
        <v>63</v>
      </c>
      <c r="L2184" s="4" t="s">
        <v>18603</v>
      </c>
      <c r="M2184" s="4" t="s">
        <v>18604</v>
      </c>
      <c r="N2184" s="4" t="s">
        <v>18605</v>
      </c>
      <c r="O2184" s="4" t="s">
        <v>63</v>
      </c>
      <c r="P2184" s="4"/>
      <c r="Q2184" s="4" t="s">
        <v>63</v>
      </c>
      <c r="R2184" s="4" t="s">
        <v>63</v>
      </c>
      <c r="S2184" s="4" t="s">
        <v>63</v>
      </c>
      <c r="T2184" s="4" t="s">
        <v>63</v>
      </c>
      <c r="U2184" s="4"/>
      <c r="V2184" s="4"/>
      <c r="W2184" s="4"/>
      <c r="X2184" s="4" t="s">
        <v>63</v>
      </c>
      <c r="Y2184" s="4" t="s">
        <v>1216</v>
      </c>
      <c r="Z2184" s="4" t="s">
        <v>63</v>
      </c>
      <c r="AA2184" s="4" t="s">
        <v>63</v>
      </c>
      <c r="AB2184" s="4" t="s">
        <v>63</v>
      </c>
      <c r="AC2184" s="4" t="s">
        <v>67</v>
      </c>
      <c r="AD2184" s="4" t="s">
        <v>63</v>
      </c>
      <c r="AE2184" s="4" t="s">
        <v>63</v>
      </c>
      <c r="AF2184" s="4" t="s">
        <v>63</v>
      </c>
      <c r="AG2184" s="4" t="s">
        <v>63</v>
      </c>
      <c r="AH2184" s="4" t="s">
        <v>63</v>
      </c>
      <c r="AI2184" s="4" t="s">
        <v>63</v>
      </c>
      <c r="AJ2184" s="4" t="s">
        <v>63</v>
      </c>
      <c r="AK2184" s="4" t="s">
        <v>63</v>
      </c>
      <c r="AL2184" s="4" t="s">
        <v>63</v>
      </c>
      <c r="AM2184" s="4" t="s">
        <v>18601</v>
      </c>
      <c r="AN2184" s="4" t="s">
        <v>63</v>
      </c>
      <c r="AO2184" s="4" t="s">
        <v>63</v>
      </c>
      <c r="AP2184" s="4" t="s">
        <v>63</v>
      </c>
      <c r="AQ2184" s="4" t="s">
        <v>63</v>
      </c>
      <c r="AR2184" s="4" t="s">
        <v>63</v>
      </c>
      <c r="AS2184" s="4" t="s">
        <v>63</v>
      </c>
      <c r="AT2184" s="4" t="s">
        <v>63</v>
      </c>
      <c r="AU2184" s="4" t="s">
        <v>63</v>
      </c>
      <c r="AV2184" s="4" t="s">
        <v>63</v>
      </c>
      <c r="AW2184" s="4" t="s">
        <v>63</v>
      </c>
      <c r="AX2184" s="4" t="s">
        <v>63</v>
      </c>
      <c r="AY2184" s="4" t="s">
        <v>63</v>
      </c>
      <c r="AZ2184" s="4" t="s">
        <v>63</v>
      </c>
      <c r="BA2184" s="4" t="s">
        <v>63</v>
      </c>
      <c r="BB2184" s="4" t="s">
        <v>63</v>
      </c>
      <c r="BC2184" s="4" t="s">
        <v>63</v>
      </c>
      <c r="BD2184" s="4" t="s">
        <v>63</v>
      </c>
      <c r="BE2184" s="4" t="s">
        <v>63</v>
      </c>
      <c r="BF2184" s="4" t="s">
        <v>63</v>
      </c>
    </row>
    <row r="2185" spans="1:58">
      <c r="A2185" s="4" t="s">
        <v>58</v>
      </c>
      <c r="B2185" s="4" t="s">
        <v>18606</v>
      </c>
      <c r="C2185" s="4" t="s">
        <v>18607</v>
      </c>
      <c r="D2185" s="4" t="s">
        <v>18608</v>
      </c>
      <c r="E2185" s="4" t="s">
        <v>18609</v>
      </c>
      <c r="F2185" s="4">
        <v>2012</v>
      </c>
      <c r="G2185" s="4" t="s">
        <v>16882</v>
      </c>
      <c r="H2185" s="4">
        <v>27</v>
      </c>
      <c r="I2185" s="4">
        <v>5</v>
      </c>
      <c r="J2185" s="4" t="s">
        <v>18610</v>
      </c>
      <c r="K2185" s="4" t="s">
        <v>63</v>
      </c>
      <c r="L2185" s="4" t="s">
        <v>18611</v>
      </c>
      <c r="M2185" s="4" t="s">
        <v>18612</v>
      </c>
      <c r="N2185" s="4" t="s">
        <v>18613</v>
      </c>
      <c r="O2185" s="4" t="s">
        <v>63</v>
      </c>
      <c r="P2185" s="4"/>
      <c r="Q2185" s="4" t="s">
        <v>63</v>
      </c>
      <c r="R2185" s="4" t="s">
        <v>63</v>
      </c>
      <c r="S2185" s="4" t="s">
        <v>63</v>
      </c>
      <c r="T2185" s="4" t="s">
        <v>63</v>
      </c>
      <c r="U2185" s="4"/>
      <c r="V2185" s="4"/>
      <c r="W2185" s="4"/>
      <c r="X2185" s="4" t="s">
        <v>63</v>
      </c>
      <c r="Y2185" s="4" t="s">
        <v>18614</v>
      </c>
      <c r="Z2185" s="4" t="s">
        <v>63</v>
      </c>
      <c r="AA2185" s="4" t="s">
        <v>63</v>
      </c>
      <c r="AB2185" s="4" t="s">
        <v>63</v>
      </c>
      <c r="AC2185" s="4" t="s">
        <v>67</v>
      </c>
      <c r="AD2185" s="4" t="s">
        <v>63</v>
      </c>
      <c r="AE2185" s="4" t="s">
        <v>63</v>
      </c>
      <c r="AF2185" s="4" t="s">
        <v>63</v>
      </c>
      <c r="AG2185" s="4" t="s">
        <v>63</v>
      </c>
      <c r="AH2185" s="4" t="s">
        <v>63</v>
      </c>
      <c r="AI2185" s="4" t="s">
        <v>18615</v>
      </c>
      <c r="AJ2185" s="4" t="s">
        <v>63</v>
      </c>
      <c r="AK2185" s="4" t="s">
        <v>63</v>
      </c>
      <c r="AL2185" s="4" t="s">
        <v>63</v>
      </c>
      <c r="AM2185" s="4" t="s">
        <v>18607</v>
      </c>
      <c r="AN2185" s="4" t="s">
        <v>63</v>
      </c>
      <c r="AO2185" s="4" t="s">
        <v>63</v>
      </c>
      <c r="AP2185" s="4" t="s">
        <v>63</v>
      </c>
      <c r="AQ2185" s="4" t="s">
        <v>63</v>
      </c>
      <c r="AR2185" s="4" t="s">
        <v>63</v>
      </c>
      <c r="AS2185" s="4" t="s">
        <v>63</v>
      </c>
      <c r="AT2185" s="4" t="s">
        <v>63</v>
      </c>
      <c r="AU2185" s="4" t="s">
        <v>63</v>
      </c>
      <c r="AV2185" s="4" t="s">
        <v>63</v>
      </c>
      <c r="AW2185" s="4" t="s">
        <v>63</v>
      </c>
      <c r="AX2185" s="4" t="s">
        <v>63</v>
      </c>
      <c r="AY2185" s="4" t="s">
        <v>63</v>
      </c>
      <c r="AZ2185" s="4" t="s">
        <v>63</v>
      </c>
      <c r="BA2185" s="4" t="s">
        <v>63</v>
      </c>
      <c r="BB2185" s="4" t="s">
        <v>63</v>
      </c>
      <c r="BC2185" s="4" t="s">
        <v>63</v>
      </c>
      <c r="BD2185" s="4" t="s">
        <v>63</v>
      </c>
      <c r="BE2185" s="4" t="s">
        <v>63</v>
      </c>
      <c r="BF2185" s="4" t="s">
        <v>63</v>
      </c>
    </row>
    <row r="2186" spans="1:58">
      <c r="A2186" s="4" t="s">
        <v>58</v>
      </c>
      <c r="B2186" s="4" t="s">
        <v>18616</v>
      </c>
      <c r="C2186" s="4" t="s">
        <v>18617</v>
      </c>
      <c r="D2186" s="4" t="s">
        <v>574</v>
      </c>
      <c r="E2186" s="4" t="s">
        <v>63</v>
      </c>
      <c r="F2186" s="4">
        <v>2009</v>
      </c>
      <c r="G2186" s="4" t="s">
        <v>15526</v>
      </c>
      <c r="H2186" s="4">
        <v>10</v>
      </c>
      <c r="I2186" s="4">
        <v>1</v>
      </c>
      <c r="J2186" s="4">
        <v>272</v>
      </c>
      <c r="K2186" s="4">
        <v>273</v>
      </c>
      <c r="L2186" s="4" t="s">
        <v>18618</v>
      </c>
      <c r="M2186" s="4" t="s">
        <v>18619</v>
      </c>
      <c r="N2186" s="4" t="s">
        <v>18620</v>
      </c>
      <c r="O2186" s="4" t="s">
        <v>63</v>
      </c>
      <c r="P2186" s="4"/>
      <c r="Q2186" s="4" t="s">
        <v>63</v>
      </c>
      <c r="R2186" s="4" t="s">
        <v>63</v>
      </c>
      <c r="S2186" s="4" t="s">
        <v>63</v>
      </c>
      <c r="T2186" s="4" t="s">
        <v>63</v>
      </c>
      <c r="U2186" s="4"/>
      <c r="V2186" s="4"/>
      <c r="W2186" s="4"/>
      <c r="X2186" s="4" t="s">
        <v>63</v>
      </c>
      <c r="Y2186" s="4" t="s">
        <v>4483</v>
      </c>
      <c r="Z2186" s="4" t="s">
        <v>63</v>
      </c>
      <c r="AA2186" s="4" t="s">
        <v>63</v>
      </c>
      <c r="AB2186" s="4" t="s">
        <v>63</v>
      </c>
      <c r="AC2186" s="4" t="s">
        <v>67</v>
      </c>
      <c r="AD2186" s="4" t="s">
        <v>63</v>
      </c>
      <c r="AE2186" s="4" t="s">
        <v>63</v>
      </c>
      <c r="AF2186" s="4" t="s">
        <v>63</v>
      </c>
      <c r="AG2186" s="4" t="s">
        <v>63</v>
      </c>
      <c r="AH2186" s="4" t="s">
        <v>63</v>
      </c>
      <c r="AI2186" s="4" t="s">
        <v>18621</v>
      </c>
      <c r="AJ2186" s="4" t="s">
        <v>63</v>
      </c>
      <c r="AK2186" s="4" t="s">
        <v>63</v>
      </c>
      <c r="AL2186" s="4" t="s">
        <v>63</v>
      </c>
      <c r="AM2186" s="4" t="s">
        <v>18617</v>
      </c>
      <c r="AN2186" s="4" t="s">
        <v>63</v>
      </c>
      <c r="AO2186" s="4" t="s">
        <v>63</v>
      </c>
      <c r="AP2186" s="4" t="s">
        <v>63</v>
      </c>
      <c r="AQ2186" s="4" t="s">
        <v>63</v>
      </c>
      <c r="AR2186" s="4" t="s">
        <v>63</v>
      </c>
      <c r="AS2186" s="4" t="s">
        <v>63</v>
      </c>
      <c r="AT2186" s="4" t="s">
        <v>63</v>
      </c>
      <c r="AU2186" s="4" t="s">
        <v>63</v>
      </c>
      <c r="AV2186" s="4" t="s">
        <v>63</v>
      </c>
      <c r="AW2186" s="4" t="s">
        <v>63</v>
      </c>
      <c r="AX2186" s="4" t="s">
        <v>63</v>
      </c>
      <c r="AY2186" s="4" t="s">
        <v>63</v>
      </c>
      <c r="AZ2186" s="4" t="s">
        <v>63</v>
      </c>
      <c r="BA2186" s="4" t="s">
        <v>63</v>
      </c>
      <c r="BB2186" s="4" t="s">
        <v>63</v>
      </c>
      <c r="BC2186" s="4" t="s">
        <v>63</v>
      </c>
      <c r="BD2186" s="4" t="s">
        <v>63</v>
      </c>
      <c r="BE2186" s="4" t="s">
        <v>63</v>
      </c>
      <c r="BF2186" s="4" t="s">
        <v>63</v>
      </c>
    </row>
    <row r="2187" spans="1:58">
      <c r="A2187" s="4" t="s">
        <v>58</v>
      </c>
      <c r="B2187" s="4" t="s">
        <v>18622</v>
      </c>
      <c r="C2187" s="4" t="s">
        <v>18623</v>
      </c>
      <c r="D2187" s="4" t="s">
        <v>15482</v>
      </c>
      <c r="E2187" s="4" t="s">
        <v>63</v>
      </c>
      <c r="F2187" s="4">
        <v>2012</v>
      </c>
      <c r="G2187" s="4" t="s">
        <v>15155</v>
      </c>
      <c r="H2187" s="4" t="s">
        <v>17518</v>
      </c>
      <c r="I2187" s="4" t="s">
        <v>63</v>
      </c>
      <c r="J2187" s="4" t="s">
        <v>18624</v>
      </c>
      <c r="K2187" s="4" t="s">
        <v>63</v>
      </c>
      <c r="L2187" s="4" t="s">
        <v>18625</v>
      </c>
      <c r="M2187" s="4" t="s">
        <v>18626</v>
      </c>
      <c r="N2187" s="4" t="s">
        <v>18627</v>
      </c>
      <c r="O2187" s="4" t="s">
        <v>63</v>
      </c>
      <c r="P2187" s="4"/>
      <c r="Q2187" s="4" t="s">
        <v>63</v>
      </c>
      <c r="R2187" s="4" t="s">
        <v>63</v>
      </c>
      <c r="S2187" s="4" t="s">
        <v>63</v>
      </c>
      <c r="T2187" s="4" t="s">
        <v>63</v>
      </c>
      <c r="U2187" s="4"/>
      <c r="V2187" s="4"/>
      <c r="W2187" s="4"/>
      <c r="X2187" s="4" t="s">
        <v>63</v>
      </c>
      <c r="Y2187" s="4" t="s">
        <v>4853</v>
      </c>
      <c r="Z2187" s="4" t="s">
        <v>63</v>
      </c>
      <c r="AA2187" s="4" t="s">
        <v>63</v>
      </c>
      <c r="AB2187" s="4" t="s">
        <v>63</v>
      </c>
      <c r="AC2187" s="4" t="s">
        <v>67</v>
      </c>
      <c r="AD2187" s="4" t="s">
        <v>63</v>
      </c>
      <c r="AE2187" s="4" t="s">
        <v>63</v>
      </c>
      <c r="AF2187" s="4" t="s">
        <v>63</v>
      </c>
      <c r="AG2187" s="4" t="s">
        <v>63</v>
      </c>
      <c r="AH2187" s="4" t="s">
        <v>63</v>
      </c>
      <c r="AI2187" s="4" t="s">
        <v>17633</v>
      </c>
      <c r="AJ2187" s="4" t="s">
        <v>63</v>
      </c>
      <c r="AK2187" s="4" t="s">
        <v>63</v>
      </c>
      <c r="AL2187" s="4" t="s">
        <v>63</v>
      </c>
      <c r="AM2187" s="4" t="s">
        <v>18623</v>
      </c>
      <c r="AN2187" s="4" t="s">
        <v>63</v>
      </c>
      <c r="AO2187" s="4" t="s">
        <v>63</v>
      </c>
      <c r="AP2187" s="4" t="s">
        <v>63</v>
      </c>
      <c r="AQ2187" s="4" t="s">
        <v>63</v>
      </c>
      <c r="AR2187" s="4" t="s">
        <v>63</v>
      </c>
      <c r="AS2187" s="4" t="s">
        <v>63</v>
      </c>
      <c r="AT2187" s="4" t="s">
        <v>63</v>
      </c>
      <c r="AU2187" s="4" t="s">
        <v>63</v>
      </c>
      <c r="AV2187" s="4" t="s">
        <v>63</v>
      </c>
      <c r="AW2187" s="4" t="s">
        <v>63</v>
      </c>
      <c r="AX2187" s="4" t="s">
        <v>63</v>
      </c>
      <c r="AY2187" s="4" t="s">
        <v>63</v>
      </c>
      <c r="AZ2187" s="4" t="s">
        <v>63</v>
      </c>
      <c r="BA2187" s="4" t="s">
        <v>63</v>
      </c>
      <c r="BB2187" s="4" t="s">
        <v>63</v>
      </c>
      <c r="BC2187" s="4" t="s">
        <v>63</v>
      </c>
      <c r="BD2187" s="4" t="s">
        <v>63</v>
      </c>
      <c r="BE2187" s="4" t="s">
        <v>63</v>
      </c>
      <c r="BF2187" s="4" t="s">
        <v>63</v>
      </c>
    </row>
    <row r="2188" spans="1:58">
      <c r="A2188" s="4" t="s">
        <v>58</v>
      </c>
      <c r="B2188" s="4" t="s">
        <v>18628</v>
      </c>
      <c r="C2188" s="4" t="s">
        <v>18629</v>
      </c>
      <c r="D2188" s="4" t="s">
        <v>16152</v>
      </c>
      <c r="E2188" s="4" t="s">
        <v>63</v>
      </c>
      <c r="F2188" s="4">
        <v>2016</v>
      </c>
      <c r="G2188" s="4">
        <v>1</v>
      </c>
      <c r="H2188" s="4">
        <v>18</v>
      </c>
      <c r="I2188" s="4">
        <v>3</v>
      </c>
      <c r="J2188" s="4">
        <v>25</v>
      </c>
      <c r="K2188" s="4" t="s">
        <v>63</v>
      </c>
      <c r="L2188" s="4" t="s">
        <v>18630</v>
      </c>
      <c r="M2188" s="4" t="s">
        <v>18631</v>
      </c>
      <c r="N2188" s="4" t="s">
        <v>18632</v>
      </c>
      <c r="O2188" s="4" t="s">
        <v>63</v>
      </c>
      <c r="P2188" s="4"/>
      <c r="Q2188" s="4" t="s">
        <v>63</v>
      </c>
      <c r="R2188" s="4" t="s">
        <v>63</v>
      </c>
      <c r="S2188" s="4" t="s">
        <v>63</v>
      </c>
      <c r="T2188" s="4" t="s">
        <v>63</v>
      </c>
      <c r="U2188" s="4"/>
      <c r="V2188" s="4"/>
      <c r="W2188" s="4"/>
      <c r="X2188" s="4" t="s">
        <v>63</v>
      </c>
      <c r="Y2188" s="4" t="s">
        <v>16156</v>
      </c>
      <c r="Z2188" s="4" t="s">
        <v>63</v>
      </c>
      <c r="AA2188" s="4" t="s">
        <v>63</v>
      </c>
      <c r="AB2188" s="4" t="s">
        <v>63</v>
      </c>
      <c r="AC2188" s="4" t="s">
        <v>67</v>
      </c>
      <c r="AD2188" s="4" t="s">
        <v>63</v>
      </c>
      <c r="AE2188" s="4" t="s">
        <v>63</v>
      </c>
      <c r="AF2188" s="4" t="s">
        <v>63</v>
      </c>
      <c r="AG2188" s="4" t="s">
        <v>63</v>
      </c>
      <c r="AH2188" s="4" t="s">
        <v>63</v>
      </c>
      <c r="AI2188" s="4" t="s">
        <v>63</v>
      </c>
      <c r="AJ2188" s="4" t="s">
        <v>63</v>
      </c>
      <c r="AK2188" s="4" t="s">
        <v>63</v>
      </c>
      <c r="AL2188" s="4" t="s">
        <v>63</v>
      </c>
      <c r="AM2188" s="4" t="s">
        <v>18629</v>
      </c>
      <c r="AN2188" s="4" t="s">
        <v>63</v>
      </c>
      <c r="AO2188" s="4" t="s">
        <v>63</v>
      </c>
      <c r="AP2188" s="4" t="s">
        <v>63</v>
      </c>
      <c r="AQ2188" s="4" t="s">
        <v>63</v>
      </c>
      <c r="AR2188" s="4" t="s">
        <v>63</v>
      </c>
      <c r="AS2188" s="4" t="s">
        <v>63</v>
      </c>
      <c r="AT2188" s="4" t="s">
        <v>63</v>
      </c>
      <c r="AU2188" s="4" t="s">
        <v>63</v>
      </c>
      <c r="AV2188" s="4" t="s">
        <v>63</v>
      </c>
      <c r="AW2188" s="4" t="s">
        <v>63</v>
      </c>
      <c r="AX2188" s="4" t="s">
        <v>63</v>
      </c>
      <c r="AY2188" s="4" t="s">
        <v>63</v>
      </c>
      <c r="AZ2188" s="4" t="s">
        <v>63</v>
      </c>
      <c r="BA2188" s="4" t="s">
        <v>63</v>
      </c>
      <c r="BB2188" s="4" t="s">
        <v>63</v>
      </c>
      <c r="BC2188" s="4" t="s">
        <v>63</v>
      </c>
      <c r="BD2188" s="4" t="s">
        <v>63</v>
      </c>
      <c r="BE2188" s="4" t="s">
        <v>63</v>
      </c>
      <c r="BF2188" s="4" t="s">
        <v>63</v>
      </c>
    </row>
    <row r="2189" spans="1:58">
      <c r="A2189" s="4" t="s">
        <v>58</v>
      </c>
      <c r="B2189" s="4" t="s">
        <v>18633</v>
      </c>
      <c r="C2189" s="4" t="s">
        <v>18634</v>
      </c>
      <c r="D2189" s="4" t="s">
        <v>15589</v>
      </c>
      <c r="E2189" s="4" t="s">
        <v>63</v>
      </c>
      <c r="F2189" s="4">
        <v>2013</v>
      </c>
      <c r="G2189" s="4" t="s">
        <v>63</v>
      </c>
      <c r="H2189" s="4" t="s">
        <v>18635</v>
      </c>
      <c r="I2189" s="4" t="s">
        <v>63</v>
      </c>
      <c r="J2189" s="4" t="s">
        <v>63</v>
      </c>
      <c r="K2189" s="4" t="s">
        <v>63</v>
      </c>
      <c r="L2189" s="4" t="s">
        <v>18636</v>
      </c>
      <c r="M2189" s="4" t="s">
        <v>18637</v>
      </c>
      <c r="N2189" s="4" t="s">
        <v>18638</v>
      </c>
      <c r="O2189" s="4" t="s">
        <v>63</v>
      </c>
      <c r="P2189" s="4"/>
      <c r="Q2189" s="4" t="s">
        <v>63</v>
      </c>
      <c r="R2189" s="4" t="s">
        <v>63</v>
      </c>
      <c r="S2189" s="4" t="s">
        <v>63</v>
      </c>
      <c r="T2189" s="4" t="s">
        <v>63</v>
      </c>
      <c r="U2189" s="4"/>
      <c r="V2189" s="4"/>
      <c r="W2189" s="4"/>
      <c r="X2189" s="4" t="s">
        <v>63</v>
      </c>
      <c r="Y2189" s="4" t="s">
        <v>3365</v>
      </c>
      <c r="Z2189" s="4" t="s">
        <v>63</v>
      </c>
      <c r="AA2189" s="4" t="s">
        <v>63</v>
      </c>
      <c r="AB2189" s="4" t="s">
        <v>63</v>
      </c>
      <c r="AC2189" s="4" t="s">
        <v>67</v>
      </c>
      <c r="AD2189" s="4" t="s">
        <v>63</v>
      </c>
      <c r="AE2189" s="4" t="s">
        <v>63</v>
      </c>
      <c r="AF2189" s="4" t="s">
        <v>63</v>
      </c>
      <c r="AG2189" s="4" t="s">
        <v>63</v>
      </c>
      <c r="AH2189" s="4" t="s">
        <v>63</v>
      </c>
      <c r="AI2189" s="4" t="s">
        <v>63</v>
      </c>
      <c r="AJ2189" s="4" t="s">
        <v>63</v>
      </c>
      <c r="AK2189" s="4" t="s">
        <v>63</v>
      </c>
      <c r="AL2189" s="4" t="s">
        <v>63</v>
      </c>
      <c r="AM2189" s="4" t="s">
        <v>18634</v>
      </c>
      <c r="AN2189" s="4" t="s">
        <v>63</v>
      </c>
      <c r="AO2189" s="4" t="s">
        <v>63</v>
      </c>
      <c r="AP2189" s="4" t="s">
        <v>63</v>
      </c>
      <c r="AQ2189" s="4" t="s">
        <v>63</v>
      </c>
      <c r="AR2189" s="4" t="s">
        <v>63</v>
      </c>
      <c r="AS2189" s="4" t="s">
        <v>63</v>
      </c>
      <c r="AT2189" s="4" t="s">
        <v>63</v>
      </c>
      <c r="AU2189" s="4" t="s">
        <v>63</v>
      </c>
      <c r="AV2189" s="4" t="s">
        <v>63</v>
      </c>
      <c r="AW2189" s="4" t="s">
        <v>63</v>
      </c>
      <c r="AX2189" s="4" t="s">
        <v>63</v>
      </c>
      <c r="AY2189" s="4" t="s">
        <v>63</v>
      </c>
      <c r="AZ2189" s="4" t="s">
        <v>63</v>
      </c>
      <c r="BA2189" s="4" t="s">
        <v>63</v>
      </c>
      <c r="BB2189" s="4" t="s">
        <v>63</v>
      </c>
      <c r="BC2189" s="4" t="s">
        <v>63</v>
      </c>
      <c r="BD2189" s="4" t="s">
        <v>63</v>
      </c>
      <c r="BE2189" s="4" t="s">
        <v>63</v>
      </c>
      <c r="BF2189" s="4" t="s">
        <v>63</v>
      </c>
    </row>
    <row r="2190" spans="1:58">
      <c r="A2190" s="4" t="s">
        <v>58</v>
      </c>
      <c r="B2190" s="4" t="s">
        <v>18639</v>
      </c>
      <c r="C2190" s="4" t="s">
        <v>18640</v>
      </c>
      <c r="D2190" s="4" t="s">
        <v>938</v>
      </c>
      <c r="E2190" s="4" t="s">
        <v>63</v>
      </c>
      <c r="F2190" s="4">
        <v>2012</v>
      </c>
      <c r="G2190" s="4" t="s">
        <v>15449</v>
      </c>
      <c r="H2190" s="4">
        <v>21</v>
      </c>
      <c r="I2190" s="4">
        <v>4</v>
      </c>
      <c r="J2190" s="4">
        <v>385</v>
      </c>
      <c r="K2190" s="4" t="s">
        <v>63</v>
      </c>
      <c r="L2190" s="4" t="s">
        <v>18641</v>
      </c>
      <c r="M2190" s="4" t="s">
        <v>18642</v>
      </c>
      <c r="N2190" s="4" t="s">
        <v>18643</v>
      </c>
      <c r="O2190" s="4" t="s">
        <v>63</v>
      </c>
      <c r="P2190" s="4"/>
      <c r="Q2190" s="4" t="s">
        <v>63</v>
      </c>
      <c r="R2190" s="4" t="s">
        <v>63</v>
      </c>
      <c r="S2190" s="4" t="s">
        <v>63</v>
      </c>
      <c r="T2190" s="4" t="s">
        <v>63</v>
      </c>
      <c r="U2190" s="4"/>
      <c r="V2190" s="4"/>
      <c r="W2190" s="4"/>
      <c r="X2190" s="4" t="s">
        <v>63</v>
      </c>
      <c r="Y2190" s="4" t="s">
        <v>2500</v>
      </c>
      <c r="Z2190" s="4" t="s">
        <v>63</v>
      </c>
      <c r="AA2190" s="4" t="s">
        <v>63</v>
      </c>
      <c r="AB2190" s="4" t="s">
        <v>63</v>
      </c>
      <c r="AC2190" s="4" t="s">
        <v>67</v>
      </c>
      <c r="AD2190" s="4" t="s">
        <v>63</v>
      </c>
      <c r="AE2190" s="4" t="s">
        <v>63</v>
      </c>
      <c r="AF2190" s="4" t="s">
        <v>63</v>
      </c>
      <c r="AG2190" s="4" t="s">
        <v>63</v>
      </c>
      <c r="AH2190" s="4" t="s">
        <v>63</v>
      </c>
      <c r="AI2190" s="4" t="s">
        <v>17037</v>
      </c>
      <c r="AJ2190" s="4" t="s">
        <v>63</v>
      </c>
      <c r="AK2190" s="4" t="s">
        <v>63</v>
      </c>
      <c r="AL2190" s="4" t="s">
        <v>63</v>
      </c>
      <c r="AM2190" s="4" t="s">
        <v>18640</v>
      </c>
      <c r="AN2190" s="4" t="s">
        <v>63</v>
      </c>
      <c r="AO2190" s="4" t="s">
        <v>63</v>
      </c>
      <c r="AP2190" s="4" t="s">
        <v>63</v>
      </c>
      <c r="AQ2190" s="4" t="s">
        <v>63</v>
      </c>
      <c r="AR2190" s="4" t="s">
        <v>63</v>
      </c>
      <c r="AS2190" s="4" t="s">
        <v>63</v>
      </c>
      <c r="AT2190" s="4" t="s">
        <v>63</v>
      </c>
      <c r="AU2190" s="4" t="s">
        <v>63</v>
      </c>
      <c r="AV2190" s="4" t="s">
        <v>63</v>
      </c>
      <c r="AW2190" s="4" t="s">
        <v>63</v>
      </c>
      <c r="AX2190" s="4" t="s">
        <v>63</v>
      </c>
      <c r="AY2190" s="4" t="s">
        <v>63</v>
      </c>
      <c r="AZ2190" s="4" t="s">
        <v>63</v>
      </c>
      <c r="BA2190" s="4" t="s">
        <v>63</v>
      </c>
      <c r="BB2190" s="4" t="s">
        <v>63</v>
      </c>
      <c r="BC2190" s="4" t="s">
        <v>63</v>
      </c>
      <c r="BD2190" s="4" t="s">
        <v>63</v>
      </c>
      <c r="BE2190" s="4" t="s">
        <v>63</v>
      </c>
      <c r="BF2190" s="4" t="s">
        <v>63</v>
      </c>
    </row>
    <row r="2191" spans="1:58">
      <c r="A2191" s="4" t="s">
        <v>58</v>
      </c>
      <c r="B2191" s="4" t="s">
        <v>18644</v>
      </c>
      <c r="C2191" s="4" t="s">
        <v>18645</v>
      </c>
      <c r="D2191" s="4" t="s">
        <v>15972</v>
      </c>
      <c r="E2191" s="4" t="s">
        <v>15973</v>
      </c>
      <c r="F2191" s="4">
        <v>2013</v>
      </c>
      <c r="G2191" s="4" t="s">
        <v>15300</v>
      </c>
      <c r="H2191" s="4">
        <v>28</v>
      </c>
      <c r="I2191" s="4">
        <v>1</v>
      </c>
      <c r="J2191" s="4" t="s">
        <v>18076</v>
      </c>
      <c r="K2191" s="4" t="s">
        <v>63</v>
      </c>
      <c r="L2191" s="4" t="s">
        <v>18646</v>
      </c>
      <c r="M2191" s="4" t="s">
        <v>18647</v>
      </c>
      <c r="N2191" s="4" t="s">
        <v>18648</v>
      </c>
      <c r="O2191" s="4" t="s">
        <v>63</v>
      </c>
      <c r="P2191" s="4"/>
      <c r="Q2191" s="4" t="s">
        <v>63</v>
      </c>
      <c r="R2191" s="4" t="s">
        <v>63</v>
      </c>
      <c r="S2191" s="4" t="s">
        <v>63</v>
      </c>
      <c r="T2191" s="4" t="s">
        <v>63</v>
      </c>
      <c r="U2191" s="4"/>
      <c r="V2191" s="4"/>
      <c r="W2191" s="4"/>
      <c r="X2191" s="4" t="s">
        <v>63</v>
      </c>
      <c r="Y2191" s="4" t="s">
        <v>15977</v>
      </c>
      <c r="Z2191" s="4" t="s">
        <v>63</v>
      </c>
      <c r="AA2191" s="4" t="s">
        <v>63</v>
      </c>
      <c r="AB2191" s="4" t="s">
        <v>63</v>
      </c>
      <c r="AC2191" s="4" t="s">
        <v>67</v>
      </c>
      <c r="AD2191" s="4" t="s">
        <v>63</v>
      </c>
      <c r="AE2191" s="4" t="s">
        <v>63</v>
      </c>
      <c r="AF2191" s="4" t="s">
        <v>63</v>
      </c>
      <c r="AG2191" s="4" t="s">
        <v>63</v>
      </c>
      <c r="AH2191" s="4" t="s">
        <v>63</v>
      </c>
      <c r="AI2191" s="4" t="s">
        <v>18649</v>
      </c>
      <c r="AJ2191" s="4" t="s">
        <v>63</v>
      </c>
      <c r="AK2191" s="4" t="s">
        <v>63</v>
      </c>
      <c r="AL2191" s="4" t="s">
        <v>63</v>
      </c>
      <c r="AM2191" s="4" t="s">
        <v>18645</v>
      </c>
      <c r="AN2191" s="4" t="s">
        <v>63</v>
      </c>
      <c r="AO2191" s="4" t="s">
        <v>63</v>
      </c>
      <c r="AP2191" s="4" t="s">
        <v>63</v>
      </c>
      <c r="AQ2191" s="4" t="s">
        <v>63</v>
      </c>
      <c r="AR2191" s="4" t="s">
        <v>63</v>
      </c>
      <c r="AS2191" s="4" t="s">
        <v>63</v>
      </c>
      <c r="AT2191" s="4" t="s">
        <v>63</v>
      </c>
      <c r="AU2191" s="4" t="s">
        <v>63</v>
      </c>
      <c r="AV2191" s="4" t="s">
        <v>63</v>
      </c>
      <c r="AW2191" s="4" t="s">
        <v>63</v>
      </c>
      <c r="AX2191" s="4" t="s">
        <v>63</v>
      </c>
      <c r="AY2191" s="4" t="s">
        <v>63</v>
      </c>
      <c r="AZ2191" s="4" t="s">
        <v>63</v>
      </c>
      <c r="BA2191" s="4" t="s">
        <v>63</v>
      </c>
      <c r="BB2191" s="4" t="s">
        <v>63</v>
      </c>
      <c r="BC2191" s="4" t="s">
        <v>63</v>
      </c>
      <c r="BD2191" s="4" t="s">
        <v>63</v>
      </c>
      <c r="BE2191" s="4" t="s">
        <v>63</v>
      </c>
      <c r="BF2191" s="4" t="s">
        <v>63</v>
      </c>
    </row>
    <row r="2192" spans="1:58">
      <c r="A2192" s="4" t="s">
        <v>58</v>
      </c>
      <c r="B2192" s="4" t="s">
        <v>18650</v>
      </c>
      <c r="C2192" s="4" t="s">
        <v>18651</v>
      </c>
      <c r="D2192" s="4" t="s">
        <v>18652</v>
      </c>
      <c r="E2192" s="4" t="s">
        <v>18653</v>
      </c>
      <c r="F2192" s="4">
        <v>2014</v>
      </c>
      <c r="G2192" s="4" t="s">
        <v>15358</v>
      </c>
      <c r="H2192" s="4" t="s">
        <v>18654</v>
      </c>
      <c r="I2192" s="4" t="s">
        <v>63</v>
      </c>
      <c r="J2192" s="4">
        <v>380</v>
      </c>
      <c r="K2192" s="4">
        <v>381</v>
      </c>
      <c r="L2192" s="4" t="s">
        <v>18655</v>
      </c>
      <c r="M2192" s="4" t="s">
        <v>18656</v>
      </c>
      <c r="N2192" s="4" t="s">
        <v>18657</v>
      </c>
      <c r="O2192" s="4" t="s">
        <v>63</v>
      </c>
      <c r="P2192" s="4"/>
      <c r="Q2192" s="4" t="s">
        <v>63</v>
      </c>
      <c r="R2192" s="4" t="s">
        <v>63</v>
      </c>
      <c r="S2192" s="4" t="s">
        <v>63</v>
      </c>
      <c r="T2192" s="4" t="s">
        <v>63</v>
      </c>
      <c r="U2192" s="4"/>
      <c r="V2192" s="4"/>
      <c r="W2192" s="4"/>
      <c r="X2192" s="4" t="s">
        <v>63</v>
      </c>
      <c r="Y2192" s="4" t="s">
        <v>18658</v>
      </c>
      <c r="Z2192" s="4" t="s">
        <v>63</v>
      </c>
      <c r="AA2192" s="4" t="s">
        <v>63</v>
      </c>
      <c r="AB2192" s="4" t="s">
        <v>63</v>
      </c>
      <c r="AC2192" s="4" t="s">
        <v>67</v>
      </c>
      <c r="AD2192" s="4" t="s">
        <v>63</v>
      </c>
      <c r="AE2192" s="4" t="s">
        <v>63</v>
      </c>
      <c r="AF2192" s="4" t="s">
        <v>63</v>
      </c>
      <c r="AG2192" s="4" t="s">
        <v>63</v>
      </c>
      <c r="AH2192" s="4" t="s">
        <v>63</v>
      </c>
      <c r="AI2192" s="4" t="s">
        <v>18659</v>
      </c>
      <c r="AJ2192" s="4" t="s">
        <v>63</v>
      </c>
      <c r="AK2192" s="4" t="s">
        <v>63</v>
      </c>
      <c r="AL2192" s="4" t="s">
        <v>63</v>
      </c>
      <c r="AM2192" s="4" t="s">
        <v>18651</v>
      </c>
      <c r="AN2192" s="4" t="s">
        <v>63</v>
      </c>
      <c r="AO2192" s="4" t="s">
        <v>63</v>
      </c>
      <c r="AP2192" s="4" t="s">
        <v>63</v>
      </c>
      <c r="AQ2192" s="4" t="s">
        <v>63</v>
      </c>
      <c r="AR2192" s="4" t="s">
        <v>63</v>
      </c>
      <c r="AS2192" s="4" t="s">
        <v>63</v>
      </c>
      <c r="AT2192" s="4" t="s">
        <v>63</v>
      </c>
      <c r="AU2192" s="4" t="s">
        <v>63</v>
      </c>
      <c r="AV2192" s="4" t="s">
        <v>63</v>
      </c>
      <c r="AW2192" s="4" t="s">
        <v>63</v>
      </c>
      <c r="AX2192" s="4" t="s">
        <v>63</v>
      </c>
      <c r="AY2192" s="4" t="s">
        <v>63</v>
      </c>
      <c r="AZ2192" s="4" t="s">
        <v>63</v>
      </c>
      <c r="BA2192" s="4" t="s">
        <v>63</v>
      </c>
      <c r="BB2192" s="4" t="s">
        <v>63</v>
      </c>
      <c r="BC2192" s="4" t="s">
        <v>63</v>
      </c>
      <c r="BD2192" s="4" t="s">
        <v>63</v>
      </c>
      <c r="BE2192" s="4" t="s">
        <v>63</v>
      </c>
      <c r="BF2192" s="4" t="s">
        <v>63</v>
      </c>
    </row>
    <row r="2193" spans="1:58">
      <c r="A2193" s="4" t="s">
        <v>58</v>
      </c>
      <c r="B2193" s="4" t="s">
        <v>18660</v>
      </c>
      <c r="C2193" s="4" t="s">
        <v>18661</v>
      </c>
      <c r="D2193" s="4" t="s">
        <v>18088</v>
      </c>
      <c r="E2193" s="4" t="s">
        <v>63</v>
      </c>
      <c r="F2193" s="4">
        <v>1996</v>
      </c>
      <c r="G2193" s="4" t="s">
        <v>63</v>
      </c>
      <c r="H2193" s="4">
        <v>41</v>
      </c>
      <c r="I2193" s="4">
        <v>6</v>
      </c>
      <c r="J2193" s="4">
        <v>304</v>
      </c>
      <c r="K2193" s="4">
        <v>315</v>
      </c>
      <c r="L2193" s="4" t="s">
        <v>18662</v>
      </c>
      <c r="M2193" s="4" t="s">
        <v>18663</v>
      </c>
      <c r="N2193" s="4" t="s">
        <v>18664</v>
      </c>
      <c r="O2193" s="4" t="s">
        <v>63</v>
      </c>
      <c r="P2193" s="4"/>
      <c r="Q2193" s="4" t="s">
        <v>63</v>
      </c>
      <c r="R2193" s="4" t="s">
        <v>63</v>
      </c>
      <c r="S2193" s="4" t="s">
        <v>63</v>
      </c>
      <c r="T2193" s="4" t="s">
        <v>63</v>
      </c>
      <c r="U2193" s="4"/>
      <c r="V2193" s="4"/>
      <c r="W2193" s="4"/>
      <c r="X2193" s="4" t="s">
        <v>63</v>
      </c>
      <c r="Y2193" s="4" t="s">
        <v>18092</v>
      </c>
      <c r="Z2193" s="4" t="s">
        <v>63</v>
      </c>
      <c r="AA2193" s="4" t="s">
        <v>63</v>
      </c>
      <c r="AB2193" s="4" t="s">
        <v>18665</v>
      </c>
      <c r="AC2193" s="4" t="s">
        <v>15437</v>
      </c>
      <c r="AD2193" s="4" t="s">
        <v>63</v>
      </c>
      <c r="AE2193" s="4" t="s">
        <v>63</v>
      </c>
      <c r="AF2193" s="4" t="s">
        <v>63</v>
      </c>
      <c r="AG2193" s="4" t="s">
        <v>63</v>
      </c>
      <c r="AH2193" s="4" t="s">
        <v>63</v>
      </c>
      <c r="AI2193" s="4" t="s">
        <v>63</v>
      </c>
      <c r="AJ2193" s="4" t="s">
        <v>63</v>
      </c>
      <c r="AK2193" s="4" t="s">
        <v>63</v>
      </c>
      <c r="AL2193" s="4" t="s">
        <v>63</v>
      </c>
      <c r="AM2193" s="4" t="s">
        <v>18666</v>
      </c>
      <c r="AN2193" s="4" t="s">
        <v>63</v>
      </c>
      <c r="AO2193" s="4" t="s">
        <v>63</v>
      </c>
      <c r="AP2193" s="4" t="s">
        <v>63</v>
      </c>
      <c r="AQ2193" s="4" t="s">
        <v>63</v>
      </c>
      <c r="AR2193" s="4" t="s">
        <v>63</v>
      </c>
      <c r="AS2193" s="4" t="s">
        <v>63</v>
      </c>
      <c r="AT2193" s="4" t="s">
        <v>63</v>
      </c>
      <c r="AU2193" s="4" t="s">
        <v>63</v>
      </c>
      <c r="AV2193" s="4" t="s">
        <v>63</v>
      </c>
      <c r="AW2193" s="4" t="s">
        <v>63</v>
      </c>
      <c r="AX2193" s="4" t="s">
        <v>63</v>
      </c>
      <c r="AY2193" s="4" t="s">
        <v>63</v>
      </c>
      <c r="AZ2193" s="4" t="s">
        <v>63</v>
      </c>
      <c r="BA2193" s="4" t="s">
        <v>63</v>
      </c>
      <c r="BB2193" s="4" t="s">
        <v>63</v>
      </c>
      <c r="BC2193" s="4" t="s">
        <v>63</v>
      </c>
      <c r="BD2193" s="4" t="s">
        <v>63</v>
      </c>
      <c r="BE2193" s="4" t="s">
        <v>63</v>
      </c>
      <c r="BF2193" s="4" t="s">
        <v>63</v>
      </c>
    </row>
    <row r="2194" spans="1:58">
      <c r="A2194" s="4" t="s">
        <v>58</v>
      </c>
      <c r="B2194" s="4" t="s">
        <v>18667</v>
      </c>
      <c r="C2194" s="4" t="s">
        <v>18668</v>
      </c>
      <c r="D2194" s="4" t="s">
        <v>290</v>
      </c>
      <c r="E2194" s="4" t="s">
        <v>291</v>
      </c>
      <c r="F2194" s="4">
        <v>1989</v>
      </c>
      <c r="G2194" s="4" t="s">
        <v>63</v>
      </c>
      <c r="H2194" s="4">
        <v>151</v>
      </c>
      <c r="I2194" s="4">
        <v>3</v>
      </c>
      <c r="J2194" s="4">
        <v>153</v>
      </c>
      <c r="K2194" s="4">
        <v>157</v>
      </c>
      <c r="L2194" s="4" t="s">
        <v>18669</v>
      </c>
      <c r="M2194" s="4" t="s">
        <v>18670</v>
      </c>
      <c r="N2194" s="4" t="s">
        <v>18671</v>
      </c>
      <c r="O2194" s="4" t="s">
        <v>63</v>
      </c>
      <c r="P2194" s="4"/>
      <c r="Q2194" s="4" t="s">
        <v>63</v>
      </c>
      <c r="R2194" s="4" t="s">
        <v>63</v>
      </c>
      <c r="S2194" s="4" t="s">
        <v>63</v>
      </c>
      <c r="T2194" s="4" t="s">
        <v>63</v>
      </c>
      <c r="U2194" s="4"/>
      <c r="V2194" s="4"/>
      <c r="W2194" s="4"/>
      <c r="X2194" s="4" t="s">
        <v>63</v>
      </c>
      <c r="Y2194" s="4" t="s">
        <v>294</v>
      </c>
      <c r="Z2194" s="4" t="s">
        <v>63</v>
      </c>
      <c r="AA2194" s="4" t="s">
        <v>63</v>
      </c>
      <c r="AB2194" s="4">
        <v>1989193836</v>
      </c>
      <c r="AC2194" s="4" t="s">
        <v>67</v>
      </c>
      <c r="AD2194" s="4" t="s">
        <v>63</v>
      </c>
      <c r="AE2194" s="4" t="s">
        <v>63</v>
      </c>
      <c r="AF2194" s="4" t="s">
        <v>63</v>
      </c>
      <c r="AG2194" s="4" t="s">
        <v>18672</v>
      </c>
      <c r="AH2194" s="4" t="s">
        <v>63</v>
      </c>
      <c r="AI2194" s="4" t="s">
        <v>63</v>
      </c>
      <c r="AJ2194" s="4" t="s">
        <v>63</v>
      </c>
      <c r="AK2194" s="4" t="s">
        <v>63</v>
      </c>
      <c r="AL2194" s="4" t="s">
        <v>63</v>
      </c>
      <c r="AM2194" s="4" t="s">
        <v>18673</v>
      </c>
      <c r="AN2194" s="4" t="s">
        <v>63</v>
      </c>
      <c r="AO2194" s="4" t="s">
        <v>63</v>
      </c>
      <c r="AP2194" s="4" t="s">
        <v>63</v>
      </c>
      <c r="AQ2194" s="4" t="s">
        <v>63</v>
      </c>
      <c r="AR2194" s="4" t="s">
        <v>63</v>
      </c>
      <c r="AS2194" s="4" t="s">
        <v>63</v>
      </c>
      <c r="AT2194" s="4" t="s">
        <v>63</v>
      </c>
      <c r="AU2194" s="4" t="s">
        <v>63</v>
      </c>
      <c r="AV2194" s="4" t="s">
        <v>63</v>
      </c>
      <c r="AW2194" s="4" t="s">
        <v>63</v>
      </c>
      <c r="AX2194" s="4" t="s">
        <v>63</v>
      </c>
      <c r="AY2194" s="4" t="s">
        <v>63</v>
      </c>
      <c r="AZ2194" s="4" t="s">
        <v>63</v>
      </c>
      <c r="BA2194" s="4" t="s">
        <v>63</v>
      </c>
      <c r="BB2194" s="4" t="s">
        <v>63</v>
      </c>
      <c r="BC2194" s="4" t="s">
        <v>63</v>
      </c>
      <c r="BD2194" s="4" t="s">
        <v>63</v>
      </c>
      <c r="BE2194" s="4" t="s">
        <v>63</v>
      </c>
      <c r="BF2194" s="4" t="s">
        <v>63</v>
      </c>
    </row>
    <row r="2195" spans="1:58">
      <c r="A2195" s="4" t="s">
        <v>58</v>
      </c>
      <c r="B2195" s="4" t="s">
        <v>18674</v>
      </c>
      <c r="C2195" s="4" t="s">
        <v>18675</v>
      </c>
      <c r="D2195" s="4" t="s">
        <v>5521</v>
      </c>
      <c r="E2195" s="4" t="s">
        <v>63</v>
      </c>
      <c r="F2195" s="4">
        <v>2009</v>
      </c>
      <c r="G2195" s="4" t="s">
        <v>15389</v>
      </c>
      <c r="H2195" s="4" t="s">
        <v>17114</v>
      </c>
      <c r="I2195" s="4" t="s">
        <v>63</v>
      </c>
      <c r="J2195" s="4">
        <v>53</v>
      </c>
      <c r="K2195" s="4" t="s">
        <v>63</v>
      </c>
      <c r="L2195" s="4" t="s">
        <v>18676</v>
      </c>
      <c r="M2195" s="4" t="s">
        <v>18677</v>
      </c>
      <c r="N2195" s="4" t="s">
        <v>18678</v>
      </c>
      <c r="O2195" s="4" t="s">
        <v>63</v>
      </c>
      <c r="P2195" s="4"/>
      <c r="Q2195" s="4" t="s">
        <v>63</v>
      </c>
      <c r="R2195" s="4" t="s">
        <v>63</v>
      </c>
      <c r="S2195" s="4" t="s">
        <v>63</v>
      </c>
      <c r="T2195" s="4" t="s">
        <v>63</v>
      </c>
      <c r="U2195" s="4"/>
      <c r="V2195" s="4"/>
      <c r="W2195" s="4"/>
      <c r="X2195" s="4" t="s">
        <v>63</v>
      </c>
      <c r="Y2195" s="4" t="s">
        <v>18679</v>
      </c>
      <c r="Z2195" s="4" t="s">
        <v>63</v>
      </c>
      <c r="AA2195" s="4" t="s">
        <v>63</v>
      </c>
      <c r="AB2195" s="4" t="s">
        <v>63</v>
      </c>
      <c r="AC2195" s="4" t="s">
        <v>67</v>
      </c>
      <c r="AD2195" s="4" t="s">
        <v>63</v>
      </c>
      <c r="AE2195" s="4" t="s">
        <v>63</v>
      </c>
      <c r="AF2195" s="4" t="s">
        <v>63</v>
      </c>
      <c r="AG2195" s="4" t="s">
        <v>63</v>
      </c>
      <c r="AH2195" s="4" t="s">
        <v>63</v>
      </c>
      <c r="AI2195" s="4" t="s">
        <v>18680</v>
      </c>
      <c r="AJ2195" s="4" t="s">
        <v>63</v>
      </c>
      <c r="AK2195" s="4" t="s">
        <v>63</v>
      </c>
      <c r="AL2195" s="4" t="s">
        <v>63</v>
      </c>
      <c r="AM2195" s="4" t="s">
        <v>18675</v>
      </c>
      <c r="AN2195" s="4" t="s">
        <v>63</v>
      </c>
      <c r="AO2195" s="4" t="s">
        <v>63</v>
      </c>
      <c r="AP2195" s="4" t="s">
        <v>63</v>
      </c>
      <c r="AQ2195" s="4" t="s">
        <v>63</v>
      </c>
      <c r="AR2195" s="4" t="s">
        <v>63</v>
      </c>
      <c r="AS2195" s="4" t="s">
        <v>63</v>
      </c>
      <c r="AT2195" s="4" t="s">
        <v>63</v>
      </c>
      <c r="AU2195" s="4" t="s">
        <v>63</v>
      </c>
      <c r="AV2195" s="4" t="s">
        <v>63</v>
      </c>
      <c r="AW2195" s="4" t="s">
        <v>63</v>
      </c>
      <c r="AX2195" s="4" t="s">
        <v>63</v>
      </c>
      <c r="AY2195" s="4" t="s">
        <v>63</v>
      </c>
      <c r="AZ2195" s="4" t="s">
        <v>63</v>
      </c>
      <c r="BA2195" s="4" t="s">
        <v>63</v>
      </c>
      <c r="BB2195" s="4" t="s">
        <v>63</v>
      </c>
      <c r="BC2195" s="4" t="s">
        <v>63</v>
      </c>
      <c r="BD2195" s="4" t="s">
        <v>63</v>
      </c>
      <c r="BE2195" s="4" t="s">
        <v>63</v>
      </c>
      <c r="BF2195" s="4" t="s">
        <v>63</v>
      </c>
    </row>
    <row r="2196" spans="1:58">
      <c r="A2196" s="4" t="s">
        <v>58</v>
      </c>
      <c r="B2196" s="4" t="s">
        <v>18681</v>
      </c>
      <c r="C2196" s="4" t="s">
        <v>18682</v>
      </c>
      <c r="D2196" s="4" t="s">
        <v>18683</v>
      </c>
      <c r="E2196" s="4" t="s">
        <v>63</v>
      </c>
      <c r="F2196" s="4">
        <v>2013</v>
      </c>
      <c r="G2196" s="4" t="s">
        <v>15389</v>
      </c>
      <c r="H2196" s="4">
        <v>3</v>
      </c>
      <c r="I2196" s="4">
        <v>1</v>
      </c>
      <c r="J2196" s="4">
        <v>10</v>
      </c>
      <c r="K2196" s="4">
        <v>17</v>
      </c>
      <c r="L2196" s="4" t="s">
        <v>18684</v>
      </c>
      <c r="M2196" s="4" t="s">
        <v>18685</v>
      </c>
      <c r="N2196" s="4" t="s">
        <v>18686</v>
      </c>
      <c r="O2196" s="4" t="s">
        <v>63</v>
      </c>
      <c r="P2196" s="4"/>
      <c r="Q2196" s="4" t="s">
        <v>63</v>
      </c>
      <c r="R2196" s="4" t="s">
        <v>63</v>
      </c>
      <c r="S2196" s="4" t="s">
        <v>63</v>
      </c>
      <c r="T2196" s="4" t="s">
        <v>63</v>
      </c>
      <c r="U2196" s="4"/>
      <c r="V2196" s="4"/>
      <c r="W2196" s="4"/>
      <c r="X2196" s="4" t="s">
        <v>63</v>
      </c>
      <c r="Y2196" s="4" t="s">
        <v>18687</v>
      </c>
      <c r="Z2196" s="4" t="s">
        <v>63</v>
      </c>
      <c r="AA2196" s="4" t="s">
        <v>63</v>
      </c>
      <c r="AB2196" s="4" t="s">
        <v>18688</v>
      </c>
      <c r="AC2196" s="4" t="s">
        <v>67</v>
      </c>
      <c r="AD2196" s="4" t="s">
        <v>63</v>
      </c>
      <c r="AE2196" s="4" t="s">
        <v>63</v>
      </c>
      <c r="AF2196" s="4" t="s">
        <v>63</v>
      </c>
      <c r="AG2196" s="4" t="s">
        <v>63</v>
      </c>
      <c r="AH2196" s="4" t="s">
        <v>63</v>
      </c>
      <c r="AI2196" s="4" t="s">
        <v>18689</v>
      </c>
      <c r="AJ2196" s="4" t="s">
        <v>63</v>
      </c>
      <c r="AK2196" s="4" t="s">
        <v>63</v>
      </c>
      <c r="AL2196" s="4" t="s">
        <v>63</v>
      </c>
      <c r="AM2196" s="4" t="s">
        <v>18682</v>
      </c>
      <c r="AN2196" s="4" t="s">
        <v>63</v>
      </c>
      <c r="AO2196" s="4" t="s">
        <v>63</v>
      </c>
      <c r="AP2196" s="4" t="s">
        <v>63</v>
      </c>
      <c r="AQ2196" s="4" t="s">
        <v>63</v>
      </c>
      <c r="AR2196" s="4" t="s">
        <v>63</v>
      </c>
      <c r="AS2196" s="4" t="s">
        <v>63</v>
      </c>
      <c r="AT2196" s="4" t="s">
        <v>63</v>
      </c>
      <c r="AU2196" s="4" t="s">
        <v>63</v>
      </c>
      <c r="AV2196" s="4" t="s">
        <v>63</v>
      </c>
      <c r="AW2196" s="4" t="s">
        <v>63</v>
      </c>
      <c r="AX2196" s="4" t="s">
        <v>63</v>
      </c>
      <c r="AY2196" s="4" t="s">
        <v>63</v>
      </c>
      <c r="AZ2196" s="4" t="s">
        <v>63</v>
      </c>
      <c r="BA2196" s="4" t="s">
        <v>63</v>
      </c>
      <c r="BB2196" s="4" t="s">
        <v>63</v>
      </c>
      <c r="BC2196" s="4" t="s">
        <v>63</v>
      </c>
      <c r="BD2196" s="4" t="s">
        <v>63</v>
      </c>
      <c r="BE2196" s="4" t="s">
        <v>63</v>
      </c>
      <c r="BF2196" s="4" t="s">
        <v>63</v>
      </c>
    </row>
    <row r="2197" spans="1:58">
      <c r="A2197" s="4" t="s">
        <v>58</v>
      </c>
      <c r="B2197" s="4" t="s">
        <v>18690</v>
      </c>
      <c r="C2197" s="4" t="s">
        <v>18691</v>
      </c>
      <c r="D2197" s="4" t="s">
        <v>18692</v>
      </c>
      <c r="E2197" s="4" t="s">
        <v>18693</v>
      </c>
      <c r="F2197" s="4">
        <v>2007</v>
      </c>
      <c r="G2197" s="4" t="s">
        <v>138</v>
      </c>
      <c r="H2197" s="4">
        <v>69</v>
      </c>
      <c r="I2197" s="4">
        <v>3</v>
      </c>
      <c r="J2197" s="4">
        <v>149</v>
      </c>
      <c r="K2197" s="4">
        <v>156</v>
      </c>
      <c r="L2197" s="4" t="s">
        <v>18694</v>
      </c>
      <c r="M2197" s="4" t="s">
        <v>18695</v>
      </c>
      <c r="N2197" s="4" t="s">
        <v>18696</v>
      </c>
      <c r="O2197" s="4" t="s">
        <v>63</v>
      </c>
      <c r="P2197" s="4"/>
      <c r="Q2197" s="4" t="s">
        <v>63</v>
      </c>
      <c r="R2197" s="4" t="s">
        <v>63</v>
      </c>
      <c r="S2197" s="4" t="s">
        <v>63</v>
      </c>
      <c r="T2197" s="4" t="s">
        <v>63</v>
      </c>
      <c r="U2197" s="4"/>
      <c r="V2197" s="4"/>
      <c r="W2197" s="4"/>
      <c r="X2197" s="4" t="s">
        <v>63</v>
      </c>
      <c r="Y2197" s="4" t="s">
        <v>18697</v>
      </c>
      <c r="Z2197" s="4" t="s">
        <v>63</v>
      </c>
      <c r="AA2197" s="4" t="s">
        <v>63</v>
      </c>
      <c r="AB2197" s="4" t="s">
        <v>63</v>
      </c>
      <c r="AC2197" s="4" t="s">
        <v>67</v>
      </c>
      <c r="AD2197" s="4" t="s">
        <v>63</v>
      </c>
      <c r="AE2197" s="4" t="s">
        <v>63</v>
      </c>
      <c r="AF2197" s="4" t="s">
        <v>63</v>
      </c>
      <c r="AG2197" s="4" t="s">
        <v>18698</v>
      </c>
      <c r="AH2197" s="4" t="s">
        <v>63</v>
      </c>
      <c r="AI2197" s="4" t="s">
        <v>63</v>
      </c>
      <c r="AJ2197" s="4" t="s">
        <v>63</v>
      </c>
      <c r="AK2197" s="4" t="s">
        <v>63</v>
      </c>
      <c r="AL2197" s="4" t="s">
        <v>63</v>
      </c>
      <c r="AM2197" s="4" t="s">
        <v>18699</v>
      </c>
      <c r="AN2197" s="4" t="s">
        <v>63</v>
      </c>
      <c r="AO2197" s="4" t="s">
        <v>63</v>
      </c>
      <c r="AP2197" s="4" t="s">
        <v>63</v>
      </c>
      <c r="AQ2197" s="4" t="s">
        <v>63</v>
      </c>
      <c r="AR2197" s="4" t="s">
        <v>63</v>
      </c>
      <c r="AS2197" s="4" t="s">
        <v>63</v>
      </c>
      <c r="AT2197" s="4" t="s">
        <v>63</v>
      </c>
      <c r="AU2197" s="4" t="s">
        <v>63</v>
      </c>
      <c r="AV2197" s="4" t="s">
        <v>63</v>
      </c>
      <c r="AW2197" s="4" t="s">
        <v>63</v>
      </c>
      <c r="AX2197" s="4" t="s">
        <v>63</v>
      </c>
      <c r="AY2197" s="4" t="s">
        <v>63</v>
      </c>
      <c r="AZ2197" s="4" t="s">
        <v>63</v>
      </c>
      <c r="BA2197" s="4" t="s">
        <v>63</v>
      </c>
      <c r="BB2197" s="4" t="s">
        <v>63</v>
      </c>
      <c r="BC2197" s="4" t="s">
        <v>63</v>
      </c>
      <c r="BD2197" s="4" t="s">
        <v>63</v>
      </c>
      <c r="BE2197" s="4" t="s">
        <v>63</v>
      </c>
      <c r="BF2197" s="4" t="s">
        <v>63</v>
      </c>
    </row>
    <row r="2198" spans="1:58">
      <c r="A2198" s="4" t="s">
        <v>58</v>
      </c>
      <c r="B2198" s="4" t="s">
        <v>18700</v>
      </c>
      <c r="C2198" s="4" t="s">
        <v>18701</v>
      </c>
      <c r="D2198" s="4" t="s">
        <v>18702</v>
      </c>
      <c r="E2198" s="4" t="s">
        <v>63</v>
      </c>
      <c r="F2198" s="4">
        <v>2011</v>
      </c>
      <c r="G2198" s="4" t="s">
        <v>63</v>
      </c>
      <c r="H2198" s="4">
        <v>59</v>
      </c>
      <c r="I2198" s="4">
        <v>1</v>
      </c>
      <c r="J2198" s="4">
        <v>18</v>
      </c>
      <c r="K2198" s="4">
        <v>26</v>
      </c>
      <c r="L2198" s="4" t="s">
        <v>18703</v>
      </c>
      <c r="M2198" s="4" t="s">
        <v>18704</v>
      </c>
      <c r="N2198" s="4" t="s">
        <v>18705</v>
      </c>
      <c r="O2198" s="4" t="s">
        <v>63</v>
      </c>
      <c r="P2198" s="4"/>
      <c r="Q2198" s="4" t="s">
        <v>63</v>
      </c>
      <c r="R2198" s="4" t="s">
        <v>63</v>
      </c>
      <c r="S2198" s="4" t="s">
        <v>63</v>
      </c>
      <c r="T2198" s="4" t="s">
        <v>63</v>
      </c>
      <c r="U2198" s="4"/>
      <c r="V2198" s="4"/>
      <c r="W2198" s="4"/>
      <c r="X2198" s="4" t="s">
        <v>63</v>
      </c>
      <c r="Y2198" s="4" t="s">
        <v>18706</v>
      </c>
      <c r="Z2198" s="4" t="s">
        <v>63</v>
      </c>
      <c r="AA2198" s="4" t="s">
        <v>63</v>
      </c>
      <c r="AB2198" s="4">
        <v>2011301279</v>
      </c>
      <c r="AC2198" s="4" t="s">
        <v>15171</v>
      </c>
      <c r="AD2198" s="4" t="s">
        <v>63</v>
      </c>
      <c r="AE2198" s="4" t="s">
        <v>63</v>
      </c>
      <c r="AF2198" s="4" t="s">
        <v>63</v>
      </c>
      <c r="AG2198" s="4" t="s">
        <v>18707</v>
      </c>
      <c r="AH2198" s="4" t="s">
        <v>63</v>
      </c>
      <c r="AI2198" s="4" t="s">
        <v>18708</v>
      </c>
      <c r="AJ2198" s="4" t="s">
        <v>63</v>
      </c>
      <c r="AK2198" s="4" t="s">
        <v>63</v>
      </c>
      <c r="AL2198" s="4" t="s">
        <v>63</v>
      </c>
      <c r="AM2198" s="4" t="s">
        <v>18709</v>
      </c>
      <c r="AN2198" s="4" t="s">
        <v>63</v>
      </c>
      <c r="AO2198" s="4" t="s">
        <v>63</v>
      </c>
      <c r="AP2198" s="4" t="s">
        <v>63</v>
      </c>
      <c r="AQ2198" s="4" t="s">
        <v>63</v>
      </c>
      <c r="AR2198" s="4" t="s">
        <v>63</v>
      </c>
      <c r="AS2198" s="4" t="s">
        <v>63</v>
      </c>
      <c r="AT2198" s="4" t="s">
        <v>63</v>
      </c>
      <c r="AU2198" s="4" t="s">
        <v>63</v>
      </c>
      <c r="AV2198" s="4" t="s">
        <v>63</v>
      </c>
      <c r="AW2198" s="4" t="s">
        <v>63</v>
      </c>
      <c r="AX2198" s="4" t="s">
        <v>63</v>
      </c>
      <c r="AY2198" s="4" t="s">
        <v>63</v>
      </c>
      <c r="AZ2198" s="4" t="s">
        <v>63</v>
      </c>
      <c r="BA2198" s="4" t="s">
        <v>63</v>
      </c>
      <c r="BB2198" s="4" t="s">
        <v>63</v>
      </c>
      <c r="BC2198" s="4" t="s">
        <v>63</v>
      </c>
      <c r="BD2198" s="4" t="s">
        <v>63</v>
      </c>
      <c r="BE2198" s="4" t="s">
        <v>63</v>
      </c>
      <c r="BF2198" s="4" t="s">
        <v>63</v>
      </c>
    </row>
    <row r="2199" spans="1:58">
      <c r="A2199" s="4" t="s">
        <v>58</v>
      </c>
      <c r="B2199" s="4" t="s">
        <v>18710</v>
      </c>
      <c r="C2199" s="4" t="s">
        <v>18711</v>
      </c>
      <c r="D2199" s="4" t="s">
        <v>15421</v>
      </c>
      <c r="E2199" s="4" t="s">
        <v>63</v>
      </c>
      <c r="F2199" s="4">
        <v>2011</v>
      </c>
      <c r="G2199" s="4" t="s">
        <v>198</v>
      </c>
      <c r="H2199" s="4">
        <v>32</v>
      </c>
      <c r="I2199" s="4">
        <v>1</v>
      </c>
      <c r="J2199" s="4">
        <v>43</v>
      </c>
      <c r="K2199" s="4">
        <v>46</v>
      </c>
      <c r="L2199" s="4" t="s">
        <v>18712</v>
      </c>
      <c r="M2199" s="4" t="s">
        <v>63</v>
      </c>
      <c r="N2199" s="4" t="s">
        <v>18713</v>
      </c>
      <c r="O2199" s="4" t="s">
        <v>63</v>
      </c>
      <c r="P2199" s="4"/>
      <c r="Q2199" s="4" t="s">
        <v>63</v>
      </c>
      <c r="R2199" s="4" t="s">
        <v>63</v>
      </c>
      <c r="S2199" s="4" t="s">
        <v>63</v>
      </c>
      <c r="T2199" s="4" t="s">
        <v>63</v>
      </c>
      <c r="U2199" s="4"/>
      <c r="V2199" s="4"/>
      <c r="W2199" s="4"/>
      <c r="X2199" s="4" t="s">
        <v>63</v>
      </c>
      <c r="Y2199" s="4" t="s">
        <v>15425</v>
      </c>
      <c r="Z2199" s="4" t="s">
        <v>63</v>
      </c>
      <c r="AA2199" s="4" t="s">
        <v>63</v>
      </c>
      <c r="AB2199" s="4" t="s">
        <v>63</v>
      </c>
      <c r="AC2199" s="4" t="s">
        <v>67</v>
      </c>
      <c r="AD2199" s="4" t="s">
        <v>63</v>
      </c>
      <c r="AE2199" s="4" t="s">
        <v>63</v>
      </c>
      <c r="AF2199" s="4" t="s">
        <v>63</v>
      </c>
      <c r="AG2199" s="4" t="s">
        <v>18714</v>
      </c>
      <c r="AH2199" s="4" t="s">
        <v>63</v>
      </c>
      <c r="AI2199" s="4" t="s">
        <v>18715</v>
      </c>
      <c r="AJ2199" s="4" t="s">
        <v>63</v>
      </c>
      <c r="AK2199" s="4" t="s">
        <v>63</v>
      </c>
      <c r="AL2199" s="4" t="s">
        <v>63</v>
      </c>
      <c r="AM2199" s="4" t="s">
        <v>18716</v>
      </c>
      <c r="AN2199" s="4" t="s">
        <v>63</v>
      </c>
      <c r="AO2199" s="4" t="s">
        <v>63</v>
      </c>
      <c r="AP2199" s="4" t="s">
        <v>63</v>
      </c>
      <c r="AQ2199" s="4" t="s">
        <v>63</v>
      </c>
      <c r="AR2199" s="4" t="s">
        <v>63</v>
      </c>
      <c r="AS2199" s="4" t="s">
        <v>63</v>
      </c>
      <c r="AT2199" s="4" t="s">
        <v>63</v>
      </c>
      <c r="AU2199" s="4" t="s">
        <v>63</v>
      </c>
      <c r="AV2199" s="4" t="s">
        <v>63</v>
      </c>
      <c r="AW2199" s="4" t="s">
        <v>63</v>
      </c>
      <c r="AX2199" s="4" t="s">
        <v>63</v>
      </c>
      <c r="AY2199" s="4" t="s">
        <v>63</v>
      </c>
      <c r="AZ2199" s="4" t="s">
        <v>63</v>
      </c>
      <c r="BA2199" s="4" t="s">
        <v>63</v>
      </c>
      <c r="BB2199" s="4" t="s">
        <v>63</v>
      </c>
      <c r="BC2199" s="4" t="s">
        <v>63</v>
      </c>
      <c r="BD2199" s="4" t="s">
        <v>63</v>
      </c>
      <c r="BE2199" s="4" t="s">
        <v>63</v>
      </c>
      <c r="BF2199" s="4" t="s">
        <v>63</v>
      </c>
    </row>
    <row r="2200" spans="1:58">
      <c r="A2200" s="4" t="s">
        <v>58</v>
      </c>
      <c r="B2200" s="4" t="s">
        <v>18717</v>
      </c>
      <c r="C2200" s="4" t="s">
        <v>18718</v>
      </c>
      <c r="D2200" s="4" t="s">
        <v>18719</v>
      </c>
      <c r="E2200" s="4" t="s">
        <v>18720</v>
      </c>
      <c r="F2200" s="4">
        <v>2011</v>
      </c>
      <c r="G2200" s="4" t="s">
        <v>15358</v>
      </c>
      <c r="H2200" s="4" t="s">
        <v>18721</v>
      </c>
      <c r="I2200" s="4" t="s">
        <v>63</v>
      </c>
      <c r="J2200" s="4" t="s">
        <v>63</v>
      </c>
      <c r="K2200" s="4" t="s">
        <v>63</v>
      </c>
      <c r="L2200" s="4" t="s">
        <v>18722</v>
      </c>
      <c r="M2200" s="4" t="s">
        <v>18723</v>
      </c>
      <c r="N2200" s="4" t="s">
        <v>18724</v>
      </c>
      <c r="O2200" s="4" t="s">
        <v>63</v>
      </c>
      <c r="P2200" s="4"/>
      <c r="Q2200" s="4" t="s">
        <v>63</v>
      </c>
      <c r="R2200" s="4" t="s">
        <v>63</v>
      </c>
      <c r="S2200" s="4" t="s">
        <v>63</v>
      </c>
      <c r="T2200" s="4" t="s">
        <v>63</v>
      </c>
      <c r="U2200" s="4"/>
      <c r="V2200" s="4"/>
      <c r="W2200" s="4"/>
      <c r="X2200" s="4" t="s">
        <v>63</v>
      </c>
      <c r="Y2200" s="5">
        <v>31867</v>
      </c>
      <c r="Z2200" s="4" t="s">
        <v>63</v>
      </c>
      <c r="AA2200" s="4" t="s">
        <v>63</v>
      </c>
      <c r="AB2200" s="4" t="s">
        <v>63</v>
      </c>
      <c r="AC2200" s="4" t="s">
        <v>67</v>
      </c>
      <c r="AD2200" s="4" t="s">
        <v>63</v>
      </c>
      <c r="AE2200" s="4" t="s">
        <v>63</v>
      </c>
      <c r="AF2200" s="4" t="s">
        <v>63</v>
      </c>
      <c r="AG2200" s="4" t="s">
        <v>63</v>
      </c>
      <c r="AH2200" s="4" t="s">
        <v>63</v>
      </c>
      <c r="AI2200" s="4" t="s">
        <v>63</v>
      </c>
      <c r="AJ2200" s="4" t="s">
        <v>63</v>
      </c>
      <c r="AK2200" s="4" t="s">
        <v>63</v>
      </c>
      <c r="AL2200" s="4" t="s">
        <v>63</v>
      </c>
      <c r="AM2200" s="4" t="s">
        <v>18718</v>
      </c>
      <c r="AN2200" s="4" t="s">
        <v>63</v>
      </c>
      <c r="AO2200" s="4" t="s">
        <v>63</v>
      </c>
      <c r="AP2200" s="4" t="s">
        <v>63</v>
      </c>
      <c r="AQ2200" s="4" t="s">
        <v>63</v>
      </c>
      <c r="AR2200" s="4" t="s">
        <v>63</v>
      </c>
      <c r="AS2200" s="4" t="s">
        <v>63</v>
      </c>
      <c r="AT2200" s="4" t="s">
        <v>63</v>
      </c>
      <c r="AU2200" s="4" t="s">
        <v>63</v>
      </c>
      <c r="AV2200" s="4" t="s">
        <v>63</v>
      </c>
      <c r="AW2200" s="4" t="s">
        <v>63</v>
      </c>
      <c r="AX2200" s="4" t="s">
        <v>63</v>
      </c>
      <c r="AY2200" s="4" t="s">
        <v>63</v>
      </c>
      <c r="AZ2200" s="4" t="s">
        <v>63</v>
      </c>
      <c r="BA2200" s="4" t="s">
        <v>63</v>
      </c>
      <c r="BB2200" s="4" t="s">
        <v>63</v>
      </c>
      <c r="BC2200" s="4" t="s">
        <v>63</v>
      </c>
      <c r="BD2200" s="4" t="s">
        <v>63</v>
      </c>
      <c r="BE2200" s="4" t="s">
        <v>63</v>
      </c>
      <c r="BF2200" s="4" t="s">
        <v>63</v>
      </c>
    </row>
    <row r="2201" spans="1:58">
      <c r="A2201" s="4" t="s">
        <v>58</v>
      </c>
      <c r="B2201" s="4" t="s">
        <v>18725</v>
      </c>
      <c r="C2201" s="4" t="s">
        <v>18718</v>
      </c>
      <c r="D2201" s="4" t="s">
        <v>18719</v>
      </c>
      <c r="E2201" s="4" t="s">
        <v>18720</v>
      </c>
      <c r="F2201" s="4">
        <v>2013</v>
      </c>
      <c r="G2201" s="4" t="s">
        <v>15358</v>
      </c>
      <c r="H2201" s="4" t="s">
        <v>18726</v>
      </c>
      <c r="I2201" s="4" t="s">
        <v>63</v>
      </c>
      <c r="J2201" s="4" t="s">
        <v>18727</v>
      </c>
      <c r="K2201" s="4" t="s">
        <v>18728</v>
      </c>
      <c r="L2201" s="4" t="s">
        <v>18729</v>
      </c>
      <c r="M2201" s="4" t="s">
        <v>18730</v>
      </c>
      <c r="N2201" s="4" t="s">
        <v>18731</v>
      </c>
      <c r="O2201" s="4" t="s">
        <v>63</v>
      </c>
      <c r="P2201" s="4"/>
      <c r="Q2201" s="4" t="s">
        <v>63</v>
      </c>
      <c r="R2201" s="4" t="s">
        <v>63</v>
      </c>
      <c r="S2201" s="4" t="s">
        <v>63</v>
      </c>
      <c r="T2201" s="4" t="s">
        <v>63</v>
      </c>
      <c r="U2201" s="4"/>
      <c r="V2201" s="4"/>
      <c r="W2201" s="4"/>
      <c r="X2201" s="4" t="s">
        <v>63</v>
      </c>
      <c r="Y2201" s="5">
        <v>31867</v>
      </c>
      <c r="Z2201" s="4" t="s">
        <v>63</v>
      </c>
      <c r="AA2201" s="4" t="s">
        <v>63</v>
      </c>
      <c r="AB2201" s="4" t="s">
        <v>63</v>
      </c>
      <c r="AC2201" s="4" t="s">
        <v>67</v>
      </c>
      <c r="AD2201" s="4" t="s">
        <v>63</v>
      </c>
      <c r="AE2201" s="4" t="s">
        <v>63</v>
      </c>
      <c r="AF2201" s="4" t="s">
        <v>63</v>
      </c>
      <c r="AG2201" s="4" t="s">
        <v>63</v>
      </c>
      <c r="AH2201" s="4" t="s">
        <v>63</v>
      </c>
      <c r="AI2201" s="4" t="s">
        <v>18732</v>
      </c>
      <c r="AJ2201" s="4" t="s">
        <v>63</v>
      </c>
      <c r="AK2201" s="4" t="s">
        <v>63</v>
      </c>
      <c r="AL2201" s="4" t="s">
        <v>63</v>
      </c>
      <c r="AM2201" s="4" t="s">
        <v>18718</v>
      </c>
      <c r="AN2201" s="4" t="s">
        <v>63</v>
      </c>
      <c r="AO2201" s="4" t="s">
        <v>63</v>
      </c>
      <c r="AP2201" s="4" t="s">
        <v>63</v>
      </c>
      <c r="AQ2201" s="4" t="s">
        <v>63</v>
      </c>
      <c r="AR2201" s="4" t="s">
        <v>63</v>
      </c>
      <c r="AS2201" s="4" t="s">
        <v>63</v>
      </c>
      <c r="AT2201" s="4" t="s">
        <v>63</v>
      </c>
      <c r="AU2201" s="4" t="s">
        <v>63</v>
      </c>
      <c r="AV2201" s="4" t="s">
        <v>63</v>
      </c>
      <c r="AW2201" s="4" t="s">
        <v>63</v>
      </c>
      <c r="AX2201" s="4" t="s">
        <v>63</v>
      </c>
      <c r="AY2201" s="4" t="s">
        <v>63</v>
      </c>
      <c r="AZ2201" s="4" t="s">
        <v>63</v>
      </c>
      <c r="BA2201" s="4" t="s">
        <v>63</v>
      </c>
      <c r="BB2201" s="4" t="s">
        <v>63</v>
      </c>
      <c r="BC2201" s="4" t="s">
        <v>63</v>
      </c>
      <c r="BD2201" s="4" t="s">
        <v>63</v>
      </c>
      <c r="BE2201" s="4" t="s">
        <v>63</v>
      </c>
      <c r="BF2201" s="4" t="s">
        <v>63</v>
      </c>
    </row>
    <row r="2202" spans="1:58">
      <c r="A2202" s="4" t="s">
        <v>58</v>
      </c>
      <c r="B2202" s="4" t="s">
        <v>18733</v>
      </c>
      <c r="C2202" s="4" t="s">
        <v>18734</v>
      </c>
      <c r="D2202" s="4" t="s">
        <v>250</v>
      </c>
      <c r="E2202" s="4" t="s">
        <v>251</v>
      </c>
      <c r="F2202" s="4">
        <v>1992</v>
      </c>
      <c r="G2202" s="4" t="s">
        <v>63</v>
      </c>
      <c r="H2202" s="4">
        <v>146</v>
      </c>
      <c r="I2202" s="4">
        <v>5</v>
      </c>
      <c r="J2202" s="4">
        <v>755</v>
      </c>
      <c r="K2202" s="4">
        <v>757</v>
      </c>
      <c r="L2202" s="4" t="s">
        <v>18735</v>
      </c>
      <c r="M2202" s="4" t="s">
        <v>63</v>
      </c>
      <c r="N2202" s="4" t="s">
        <v>18736</v>
      </c>
      <c r="O2202" s="4" t="s">
        <v>63</v>
      </c>
      <c r="P2202" s="4"/>
      <c r="Q2202" s="4" t="s">
        <v>63</v>
      </c>
      <c r="R2202" s="4" t="s">
        <v>63</v>
      </c>
      <c r="S2202" s="4" t="s">
        <v>63</v>
      </c>
      <c r="T2202" s="4" t="s">
        <v>63</v>
      </c>
      <c r="U2202" s="4"/>
      <c r="V2202" s="4"/>
      <c r="W2202" s="4"/>
      <c r="X2202" s="4" t="s">
        <v>63</v>
      </c>
      <c r="Y2202" s="4" t="s">
        <v>215</v>
      </c>
      <c r="Z2202" s="4" t="s">
        <v>63</v>
      </c>
      <c r="AA2202" s="4" t="s">
        <v>63</v>
      </c>
      <c r="AB2202" s="4">
        <v>1992134586</v>
      </c>
      <c r="AC2202" s="4" t="s">
        <v>67</v>
      </c>
      <c r="AD2202" s="4" t="s">
        <v>63</v>
      </c>
      <c r="AE2202" s="4" t="s">
        <v>63</v>
      </c>
      <c r="AF2202" s="4" t="s">
        <v>63</v>
      </c>
      <c r="AG2202" s="4" t="s">
        <v>18737</v>
      </c>
      <c r="AH2202" s="4" t="s">
        <v>63</v>
      </c>
      <c r="AI2202" s="4" t="s">
        <v>63</v>
      </c>
      <c r="AJ2202" s="4" t="s">
        <v>63</v>
      </c>
      <c r="AK2202" s="4" t="s">
        <v>63</v>
      </c>
      <c r="AL2202" s="4" t="s">
        <v>63</v>
      </c>
      <c r="AM2202" s="4" t="s">
        <v>18738</v>
      </c>
      <c r="AN2202" s="4" t="s">
        <v>63</v>
      </c>
      <c r="AO2202" s="4" t="s">
        <v>63</v>
      </c>
      <c r="AP2202" s="4" t="s">
        <v>63</v>
      </c>
      <c r="AQ2202" s="4" t="s">
        <v>63</v>
      </c>
      <c r="AR2202" s="4" t="s">
        <v>63</v>
      </c>
      <c r="AS2202" s="4" t="s">
        <v>63</v>
      </c>
      <c r="AT2202" s="4" t="s">
        <v>63</v>
      </c>
      <c r="AU2202" s="4" t="s">
        <v>63</v>
      </c>
      <c r="AV2202" s="4" t="s">
        <v>63</v>
      </c>
      <c r="AW2202" s="4" t="s">
        <v>63</v>
      </c>
      <c r="AX2202" s="4" t="s">
        <v>63</v>
      </c>
      <c r="AY2202" s="4" t="s">
        <v>63</v>
      </c>
      <c r="AZ2202" s="4" t="s">
        <v>63</v>
      </c>
      <c r="BA2202" s="4" t="s">
        <v>63</v>
      </c>
      <c r="BB2202" s="4" t="s">
        <v>63</v>
      </c>
      <c r="BC2202" s="4" t="s">
        <v>63</v>
      </c>
      <c r="BD2202" s="4" t="s">
        <v>63</v>
      </c>
      <c r="BE2202" s="4" t="s">
        <v>63</v>
      </c>
      <c r="BF2202" s="4" t="s">
        <v>63</v>
      </c>
    </row>
    <row r="2203" spans="1:58">
      <c r="A2203" s="4" t="s">
        <v>58</v>
      </c>
      <c r="B2203" s="4" t="s">
        <v>18739</v>
      </c>
      <c r="C2203" s="4" t="s">
        <v>18740</v>
      </c>
      <c r="D2203" s="4" t="s">
        <v>18741</v>
      </c>
      <c r="E2203" s="4" t="s">
        <v>18742</v>
      </c>
      <c r="F2203" s="4">
        <v>2018</v>
      </c>
      <c r="G2203" s="4">
        <v>1</v>
      </c>
      <c r="H2203" s="4">
        <v>31</v>
      </c>
      <c r="I2203" s="4">
        <v>2</v>
      </c>
      <c r="J2203" s="4">
        <v>102</v>
      </c>
      <c r="K2203" s="4">
        <v>106</v>
      </c>
      <c r="L2203" s="4" t="s">
        <v>18743</v>
      </c>
      <c r="M2203" s="4" t="s">
        <v>18744</v>
      </c>
      <c r="N2203" s="4" t="s">
        <v>18745</v>
      </c>
      <c r="O2203" s="4" t="s">
        <v>63</v>
      </c>
      <c r="P2203" s="4"/>
      <c r="Q2203" s="4" t="s">
        <v>63</v>
      </c>
      <c r="R2203" s="4" t="s">
        <v>63</v>
      </c>
      <c r="S2203" s="4" t="s">
        <v>63</v>
      </c>
      <c r="T2203" s="4" t="s">
        <v>63</v>
      </c>
      <c r="U2203" s="4"/>
      <c r="V2203" s="4"/>
      <c r="W2203" s="4"/>
      <c r="X2203" s="4" t="s">
        <v>63</v>
      </c>
      <c r="Y2203" s="4" t="s">
        <v>18746</v>
      </c>
      <c r="Z2203" s="4" t="s">
        <v>63</v>
      </c>
      <c r="AA2203" s="4" t="s">
        <v>63</v>
      </c>
      <c r="AB2203" s="4">
        <v>20170905837</v>
      </c>
      <c r="AC2203" s="4" t="s">
        <v>67</v>
      </c>
      <c r="AD2203" s="4" t="s">
        <v>63</v>
      </c>
      <c r="AE2203" s="4" t="s">
        <v>63</v>
      </c>
      <c r="AF2203" s="4" t="s">
        <v>63</v>
      </c>
      <c r="AG2203" s="4" t="s">
        <v>18747</v>
      </c>
      <c r="AH2203" s="4" t="s">
        <v>63</v>
      </c>
      <c r="AI2203" s="4" t="s">
        <v>18748</v>
      </c>
      <c r="AJ2203" s="4" t="s">
        <v>63</v>
      </c>
      <c r="AK2203" s="4" t="s">
        <v>63</v>
      </c>
      <c r="AL2203" s="4" t="s">
        <v>63</v>
      </c>
      <c r="AM2203" s="4" t="s">
        <v>18749</v>
      </c>
      <c r="AN2203" s="4" t="s">
        <v>63</v>
      </c>
      <c r="AO2203" s="4" t="s">
        <v>63</v>
      </c>
      <c r="AP2203" s="4" t="s">
        <v>63</v>
      </c>
      <c r="AQ2203" s="4" t="s">
        <v>63</v>
      </c>
      <c r="AR2203" s="4" t="s">
        <v>63</v>
      </c>
      <c r="AS2203" s="4" t="s">
        <v>63</v>
      </c>
      <c r="AT2203" s="4" t="s">
        <v>63</v>
      </c>
      <c r="AU2203" s="4" t="s">
        <v>63</v>
      </c>
      <c r="AV2203" s="4" t="s">
        <v>63</v>
      </c>
      <c r="AW2203" s="4" t="s">
        <v>63</v>
      </c>
      <c r="AX2203" s="4" t="s">
        <v>63</v>
      </c>
      <c r="AY2203" s="4" t="s">
        <v>63</v>
      </c>
      <c r="AZ2203" s="4" t="s">
        <v>63</v>
      </c>
      <c r="BA2203" s="4" t="s">
        <v>63</v>
      </c>
      <c r="BB2203" s="4" t="s">
        <v>63</v>
      </c>
      <c r="BC2203" s="4" t="s">
        <v>63</v>
      </c>
      <c r="BD2203" s="4" t="s">
        <v>63</v>
      </c>
      <c r="BE2203" s="4" t="s">
        <v>63</v>
      </c>
      <c r="BF2203" s="4" t="s">
        <v>63</v>
      </c>
    </row>
    <row r="2204" spans="1:58">
      <c r="A2204" s="4" t="s">
        <v>58</v>
      </c>
      <c r="B2204" s="4" t="s">
        <v>18750</v>
      </c>
      <c r="C2204" s="4" t="s">
        <v>18751</v>
      </c>
      <c r="D2204" s="4" t="s">
        <v>18752</v>
      </c>
      <c r="E2204" s="4" t="s">
        <v>63</v>
      </c>
      <c r="F2204" s="4">
        <v>2015</v>
      </c>
      <c r="G2204" s="4">
        <v>1</v>
      </c>
      <c r="H2204" s="4">
        <v>18</v>
      </c>
      <c r="I2204" s="4">
        <v>149</v>
      </c>
      <c r="J2204" s="4">
        <v>8</v>
      </c>
      <c r="K2204" s="4">
        <v>16</v>
      </c>
      <c r="L2204" s="4" t="s">
        <v>18753</v>
      </c>
      <c r="M2204" s="4" t="s">
        <v>18754</v>
      </c>
      <c r="N2204" s="4" t="s">
        <v>18755</v>
      </c>
      <c r="O2204" s="4" t="s">
        <v>63</v>
      </c>
      <c r="P2204" s="4"/>
      <c r="Q2204" s="4" t="s">
        <v>63</v>
      </c>
      <c r="R2204" s="4" t="s">
        <v>63</v>
      </c>
      <c r="S2204" s="4" t="s">
        <v>63</v>
      </c>
      <c r="T2204" s="4" t="s">
        <v>63</v>
      </c>
      <c r="U2204" s="4"/>
      <c r="V2204" s="4"/>
      <c r="W2204" s="4"/>
      <c r="X2204" s="4" t="s">
        <v>63</v>
      </c>
      <c r="Y2204" s="4" t="s">
        <v>18756</v>
      </c>
      <c r="Z2204" s="4" t="s">
        <v>63</v>
      </c>
      <c r="AA2204" s="4" t="s">
        <v>63</v>
      </c>
      <c r="AB2204" s="4" t="s">
        <v>18757</v>
      </c>
      <c r="AC2204" s="4" t="s">
        <v>67</v>
      </c>
      <c r="AD2204" s="4" t="s">
        <v>63</v>
      </c>
      <c r="AE2204" s="4" t="s">
        <v>63</v>
      </c>
      <c r="AF2204" s="4" t="s">
        <v>63</v>
      </c>
      <c r="AG2204" s="4" t="s">
        <v>63</v>
      </c>
      <c r="AH2204" s="4" t="s">
        <v>63</v>
      </c>
      <c r="AI2204" s="4" t="s">
        <v>63</v>
      </c>
      <c r="AJ2204" s="4" t="s">
        <v>63</v>
      </c>
      <c r="AK2204" s="4" t="s">
        <v>63</v>
      </c>
      <c r="AL2204" s="4" t="s">
        <v>63</v>
      </c>
      <c r="AM2204" s="4" t="s">
        <v>18751</v>
      </c>
      <c r="AN2204" s="4" t="s">
        <v>63</v>
      </c>
      <c r="AO2204" s="4" t="s">
        <v>63</v>
      </c>
      <c r="AP2204" s="4" t="s">
        <v>63</v>
      </c>
      <c r="AQ2204" s="4" t="s">
        <v>63</v>
      </c>
      <c r="AR2204" s="4" t="s">
        <v>63</v>
      </c>
      <c r="AS2204" s="4" t="s">
        <v>63</v>
      </c>
      <c r="AT2204" s="4" t="s">
        <v>63</v>
      </c>
      <c r="AU2204" s="4" t="s">
        <v>63</v>
      </c>
      <c r="AV2204" s="4" t="s">
        <v>63</v>
      </c>
      <c r="AW2204" s="4" t="s">
        <v>63</v>
      </c>
      <c r="AX2204" s="4" t="s">
        <v>63</v>
      </c>
      <c r="AY2204" s="4" t="s">
        <v>63</v>
      </c>
      <c r="AZ2204" s="4" t="s">
        <v>63</v>
      </c>
      <c r="BA2204" s="4" t="s">
        <v>63</v>
      </c>
      <c r="BB2204" s="4" t="s">
        <v>63</v>
      </c>
      <c r="BC2204" s="4" t="s">
        <v>63</v>
      </c>
      <c r="BD2204" s="4" t="s">
        <v>63</v>
      </c>
      <c r="BE2204" s="4" t="s">
        <v>63</v>
      </c>
      <c r="BF2204" s="4" t="s">
        <v>63</v>
      </c>
    </row>
    <row r="2205" spans="1:58">
      <c r="A2205" s="4" t="s">
        <v>58</v>
      </c>
      <c r="B2205" s="4" t="s">
        <v>18758</v>
      </c>
      <c r="C2205" s="4" t="s">
        <v>18759</v>
      </c>
      <c r="D2205" s="4" t="s">
        <v>18760</v>
      </c>
      <c r="E2205" s="4" t="s">
        <v>18761</v>
      </c>
      <c r="F2205" s="4">
        <v>2000</v>
      </c>
      <c r="G2205" s="4" t="s">
        <v>189</v>
      </c>
      <c r="H2205" s="4">
        <v>10</v>
      </c>
      <c r="I2205" s="4">
        <v>3</v>
      </c>
      <c r="J2205" s="4">
        <v>157</v>
      </c>
      <c r="K2205" s="4">
        <v>162</v>
      </c>
      <c r="L2205" s="4" t="s">
        <v>18762</v>
      </c>
      <c r="M2205" s="4" t="s">
        <v>18763</v>
      </c>
      <c r="N2205" s="4" t="s">
        <v>18764</v>
      </c>
      <c r="O2205" s="4" t="s">
        <v>63</v>
      </c>
      <c r="P2205" s="4"/>
      <c r="Q2205" s="4" t="s">
        <v>63</v>
      </c>
      <c r="R2205" s="4" t="s">
        <v>63</v>
      </c>
      <c r="S2205" s="4" t="s">
        <v>63</v>
      </c>
      <c r="T2205" s="4" t="s">
        <v>63</v>
      </c>
      <c r="U2205" s="4"/>
      <c r="V2205" s="4"/>
      <c r="W2205" s="4"/>
      <c r="X2205" s="4" t="s">
        <v>63</v>
      </c>
      <c r="Y2205" s="4" t="s">
        <v>18765</v>
      </c>
      <c r="Z2205" s="4" t="s">
        <v>63</v>
      </c>
      <c r="AA2205" s="4" t="s">
        <v>63</v>
      </c>
      <c r="AB2205" s="4" t="s">
        <v>63</v>
      </c>
      <c r="AC2205" s="4" t="s">
        <v>67</v>
      </c>
      <c r="AD2205" s="4" t="s">
        <v>63</v>
      </c>
      <c r="AE2205" s="4" t="s">
        <v>63</v>
      </c>
      <c r="AF2205" s="4" t="s">
        <v>63</v>
      </c>
      <c r="AG2205" s="4" t="s">
        <v>18766</v>
      </c>
      <c r="AH2205" s="4" t="s">
        <v>63</v>
      </c>
      <c r="AI2205" s="4" t="s">
        <v>63</v>
      </c>
      <c r="AJ2205" s="4" t="s">
        <v>63</v>
      </c>
      <c r="AK2205" s="4" t="s">
        <v>63</v>
      </c>
      <c r="AL2205" s="4" t="s">
        <v>63</v>
      </c>
      <c r="AM2205" s="4" t="s">
        <v>18767</v>
      </c>
      <c r="AN2205" s="4" t="s">
        <v>63</v>
      </c>
      <c r="AO2205" s="4" t="s">
        <v>63</v>
      </c>
      <c r="AP2205" s="4" t="s">
        <v>63</v>
      </c>
      <c r="AQ2205" s="4" t="s">
        <v>63</v>
      </c>
      <c r="AR2205" s="4" t="s">
        <v>63</v>
      </c>
      <c r="AS2205" s="4" t="s">
        <v>63</v>
      </c>
      <c r="AT2205" s="4" t="s">
        <v>63</v>
      </c>
      <c r="AU2205" s="4" t="s">
        <v>63</v>
      </c>
      <c r="AV2205" s="4" t="s">
        <v>63</v>
      </c>
      <c r="AW2205" s="4" t="s">
        <v>63</v>
      </c>
      <c r="AX2205" s="4" t="s">
        <v>63</v>
      </c>
      <c r="AY2205" s="4" t="s">
        <v>63</v>
      </c>
      <c r="AZ2205" s="4" t="s">
        <v>63</v>
      </c>
      <c r="BA2205" s="4" t="s">
        <v>63</v>
      </c>
      <c r="BB2205" s="4" t="s">
        <v>63</v>
      </c>
      <c r="BC2205" s="4" t="s">
        <v>63</v>
      </c>
      <c r="BD2205" s="4" t="s">
        <v>63</v>
      </c>
      <c r="BE2205" s="4" t="s">
        <v>63</v>
      </c>
      <c r="BF2205" s="4" t="s">
        <v>63</v>
      </c>
    </row>
    <row r="2206" spans="1:58">
      <c r="A2206" s="4" t="s">
        <v>58</v>
      </c>
      <c r="B2206" s="4" t="s">
        <v>18768</v>
      </c>
      <c r="C2206" s="4" t="s">
        <v>18769</v>
      </c>
      <c r="D2206" s="4" t="s">
        <v>17675</v>
      </c>
      <c r="E2206" s="4" t="s">
        <v>63</v>
      </c>
      <c r="F2206" s="4">
        <v>2016</v>
      </c>
      <c r="G2206" s="4">
        <v>1</v>
      </c>
      <c r="H2206" s="4">
        <v>73</v>
      </c>
      <c r="I2206" s="4">
        <v>10</v>
      </c>
      <c r="J2206" s="4">
        <v>739</v>
      </c>
      <c r="K2206" s="4">
        <v>743</v>
      </c>
      <c r="L2206" s="4" t="s">
        <v>18770</v>
      </c>
      <c r="M2206" s="4" t="s">
        <v>18771</v>
      </c>
      <c r="N2206" s="4" t="s">
        <v>18772</v>
      </c>
      <c r="O2206" s="4" t="s">
        <v>63</v>
      </c>
      <c r="P2206" s="4"/>
      <c r="Q2206" s="4" t="s">
        <v>63</v>
      </c>
      <c r="R2206" s="4" t="s">
        <v>63</v>
      </c>
      <c r="S2206" s="4" t="s">
        <v>63</v>
      </c>
      <c r="T2206" s="4" t="s">
        <v>63</v>
      </c>
      <c r="U2206" s="4"/>
      <c r="V2206" s="4"/>
      <c r="W2206" s="4"/>
      <c r="X2206" s="4" t="s">
        <v>63</v>
      </c>
      <c r="Y2206" s="4" t="s">
        <v>18773</v>
      </c>
      <c r="Z2206" s="4" t="s">
        <v>63</v>
      </c>
      <c r="AA2206" s="4" t="s">
        <v>63</v>
      </c>
      <c r="AB2206" s="4" t="s">
        <v>18774</v>
      </c>
      <c r="AC2206" s="4" t="s">
        <v>18775</v>
      </c>
      <c r="AD2206" s="4" t="s">
        <v>63</v>
      </c>
      <c r="AE2206" s="4" t="s">
        <v>63</v>
      </c>
      <c r="AF2206" s="4" t="s">
        <v>63</v>
      </c>
      <c r="AG2206" s="4" t="s">
        <v>63</v>
      </c>
      <c r="AH2206" s="4" t="s">
        <v>63</v>
      </c>
      <c r="AI2206" s="4" t="s">
        <v>63</v>
      </c>
      <c r="AJ2206" s="4" t="s">
        <v>63</v>
      </c>
      <c r="AK2206" s="4" t="s">
        <v>63</v>
      </c>
      <c r="AL2206" s="4" t="s">
        <v>63</v>
      </c>
      <c r="AM2206" s="4" t="s">
        <v>18769</v>
      </c>
      <c r="AN2206" s="4" t="s">
        <v>63</v>
      </c>
      <c r="AO2206" s="4" t="s">
        <v>63</v>
      </c>
      <c r="AP2206" s="4" t="s">
        <v>63</v>
      </c>
      <c r="AQ2206" s="4" t="s">
        <v>63</v>
      </c>
      <c r="AR2206" s="4" t="s">
        <v>63</v>
      </c>
      <c r="AS2206" s="4" t="s">
        <v>63</v>
      </c>
      <c r="AT2206" s="4" t="s">
        <v>63</v>
      </c>
      <c r="AU2206" s="4" t="s">
        <v>63</v>
      </c>
      <c r="AV2206" s="4" t="s">
        <v>63</v>
      </c>
      <c r="AW2206" s="4" t="s">
        <v>63</v>
      </c>
      <c r="AX2206" s="4" t="s">
        <v>63</v>
      </c>
      <c r="AY2206" s="4" t="s">
        <v>63</v>
      </c>
      <c r="AZ2206" s="4" t="s">
        <v>63</v>
      </c>
      <c r="BA2206" s="4" t="s">
        <v>63</v>
      </c>
      <c r="BB2206" s="4" t="s">
        <v>63</v>
      </c>
      <c r="BC2206" s="4" t="s">
        <v>63</v>
      </c>
      <c r="BD2206" s="4" t="s">
        <v>63</v>
      </c>
      <c r="BE2206" s="4" t="s">
        <v>63</v>
      </c>
      <c r="BF2206" s="4" t="s">
        <v>63</v>
      </c>
    </row>
    <row r="2207" spans="1:58">
      <c r="A2207" s="4" t="s">
        <v>58</v>
      </c>
      <c r="B2207" s="4" t="s">
        <v>18776</v>
      </c>
      <c r="C2207" s="4" t="s">
        <v>18777</v>
      </c>
      <c r="D2207" s="4" t="s">
        <v>389</v>
      </c>
      <c r="E2207" s="4" t="s">
        <v>63</v>
      </c>
      <c r="F2207" s="4">
        <v>1999</v>
      </c>
      <c r="G2207" s="4" t="s">
        <v>63</v>
      </c>
      <c r="H2207" s="4">
        <v>20</v>
      </c>
      <c r="I2207" s="4">
        <v>3</v>
      </c>
      <c r="J2207" s="4">
        <v>123</v>
      </c>
      <c r="K2207" s="4">
        <v>140</v>
      </c>
      <c r="L2207" s="4" t="s">
        <v>18778</v>
      </c>
      <c r="M2207" s="4" t="s">
        <v>18779</v>
      </c>
      <c r="N2207" s="4" t="s">
        <v>18780</v>
      </c>
      <c r="O2207" s="4" t="s">
        <v>63</v>
      </c>
      <c r="P2207" s="4"/>
      <c r="Q2207" s="4" t="s">
        <v>63</v>
      </c>
      <c r="R2207" s="4" t="s">
        <v>63</v>
      </c>
      <c r="S2207" s="4" t="s">
        <v>63</v>
      </c>
      <c r="T2207" s="4" t="s">
        <v>63</v>
      </c>
      <c r="U2207" s="4"/>
      <c r="V2207" s="4"/>
      <c r="W2207" s="4"/>
      <c r="X2207" s="4" t="s">
        <v>63</v>
      </c>
      <c r="Y2207" s="4" t="s">
        <v>392</v>
      </c>
      <c r="Z2207" s="4" t="s">
        <v>63</v>
      </c>
      <c r="AA2207" s="4" t="s">
        <v>63</v>
      </c>
      <c r="AB2207" s="4" t="s">
        <v>18781</v>
      </c>
      <c r="AC2207" s="4" t="s">
        <v>67</v>
      </c>
      <c r="AD2207" s="4" t="s">
        <v>63</v>
      </c>
      <c r="AE2207" s="4" t="s">
        <v>63</v>
      </c>
      <c r="AF2207" s="4" t="s">
        <v>63</v>
      </c>
      <c r="AG2207" s="4" t="s">
        <v>63</v>
      </c>
      <c r="AH2207" s="4" t="s">
        <v>63</v>
      </c>
      <c r="AI2207" s="4" t="s">
        <v>18782</v>
      </c>
      <c r="AJ2207" s="4" t="s">
        <v>63</v>
      </c>
      <c r="AK2207" s="4" t="s">
        <v>63</v>
      </c>
      <c r="AL2207" s="4" t="s">
        <v>63</v>
      </c>
      <c r="AM2207" s="4" t="s">
        <v>18777</v>
      </c>
      <c r="AN2207" s="4" t="s">
        <v>63</v>
      </c>
      <c r="AO2207" s="4" t="s">
        <v>63</v>
      </c>
      <c r="AP2207" s="4" t="s">
        <v>63</v>
      </c>
      <c r="AQ2207" s="4" t="s">
        <v>63</v>
      </c>
      <c r="AR2207" s="4" t="s">
        <v>63</v>
      </c>
      <c r="AS2207" s="4" t="s">
        <v>63</v>
      </c>
      <c r="AT2207" s="4" t="s">
        <v>63</v>
      </c>
      <c r="AU2207" s="4" t="s">
        <v>63</v>
      </c>
      <c r="AV2207" s="4" t="s">
        <v>63</v>
      </c>
      <c r="AW2207" s="4" t="s">
        <v>63</v>
      </c>
      <c r="AX2207" s="4" t="s">
        <v>63</v>
      </c>
      <c r="AY2207" s="4" t="s">
        <v>63</v>
      </c>
      <c r="AZ2207" s="4" t="s">
        <v>63</v>
      </c>
      <c r="BA2207" s="4" t="s">
        <v>63</v>
      </c>
      <c r="BB2207" s="4" t="s">
        <v>63</v>
      </c>
      <c r="BC2207" s="4" t="s">
        <v>63</v>
      </c>
      <c r="BD2207" s="4" t="s">
        <v>63</v>
      </c>
      <c r="BE2207" s="4" t="s">
        <v>63</v>
      </c>
      <c r="BF2207" s="4" t="s">
        <v>63</v>
      </c>
    </row>
    <row r="2208" spans="1:58">
      <c r="A2208" s="4" t="s">
        <v>58</v>
      </c>
      <c r="B2208" s="4" t="s">
        <v>18783</v>
      </c>
      <c r="C2208" s="4" t="s">
        <v>18784</v>
      </c>
      <c r="D2208" s="4" t="s">
        <v>371</v>
      </c>
      <c r="E2208" s="4" t="s">
        <v>63</v>
      </c>
      <c r="F2208" s="4">
        <v>2017</v>
      </c>
      <c r="G2208" s="4">
        <v>1</v>
      </c>
      <c r="H2208" s="4">
        <v>32</v>
      </c>
      <c r="I2208" s="4">
        <v>2</v>
      </c>
      <c r="J2208" s="4" t="s">
        <v>18785</v>
      </c>
      <c r="K2208" s="4" t="s">
        <v>63</v>
      </c>
      <c r="L2208" s="4" t="s">
        <v>18786</v>
      </c>
      <c r="M2208" s="4" t="s">
        <v>18787</v>
      </c>
      <c r="N2208" s="4" t="s">
        <v>18788</v>
      </c>
      <c r="O2208" s="4" t="s">
        <v>63</v>
      </c>
      <c r="P2208" s="4"/>
      <c r="Q2208" s="4" t="s">
        <v>63</v>
      </c>
      <c r="R2208" s="4" t="s">
        <v>63</v>
      </c>
      <c r="S2208" s="4" t="s">
        <v>63</v>
      </c>
      <c r="T2208" s="4" t="s">
        <v>63</v>
      </c>
      <c r="U2208" s="4"/>
      <c r="V2208" s="4"/>
      <c r="W2208" s="4"/>
      <c r="X2208" s="4" t="s">
        <v>63</v>
      </c>
      <c r="Y2208" s="4" t="s">
        <v>375</v>
      </c>
      <c r="Z2208" s="4" t="s">
        <v>63</v>
      </c>
      <c r="AA2208" s="4" t="s">
        <v>63</v>
      </c>
      <c r="AB2208" s="4" t="s">
        <v>63</v>
      </c>
      <c r="AC2208" s="4" t="s">
        <v>67</v>
      </c>
      <c r="AD2208" s="4" t="s">
        <v>63</v>
      </c>
      <c r="AE2208" s="4" t="s">
        <v>63</v>
      </c>
      <c r="AF2208" s="4" t="s">
        <v>63</v>
      </c>
      <c r="AG2208" s="4" t="s">
        <v>63</v>
      </c>
      <c r="AH2208" s="4" t="s">
        <v>63</v>
      </c>
      <c r="AI2208" s="4" t="s">
        <v>63</v>
      </c>
      <c r="AJ2208" s="4" t="s">
        <v>63</v>
      </c>
      <c r="AK2208" s="4" t="s">
        <v>63</v>
      </c>
      <c r="AL2208" s="4" t="s">
        <v>63</v>
      </c>
      <c r="AM2208" s="4" t="s">
        <v>18784</v>
      </c>
      <c r="AN2208" s="4" t="s">
        <v>63</v>
      </c>
      <c r="AO2208" s="4" t="s">
        <v>63</v>
      </c>
      <c r="AP2208" s="4" t="s">
        <v>63</v>
      </c>
      <c r="AQ2208" s="4" t="s">
        <v>63</v>
      </c>
      <c r="AR2208" s="4" t="s">
        <v>63</v>
      </c>
      <c r="AS2208" s="4" t="s">
        <v>63</v>
      </c>
      <c r="AT2208" s="4" t="s">
        <v>63</v>
      </c>
      <c r="AU2208" s="4" t="s">
        <v>63</v>
      </c>
      <c r="AV2208" s="4" t="s">
        <v>63</v>
      </c>
      <c r="AW2208" s="4" t="s">
        <v>63</v>
      </c>
      <c r="AX2208" s="4" t="s">
        <v>63</v>
      </c>
      <c r="AY2208" s="4" t="s">
        <v>63</v>
      </c>
      <c r="AZ2208" s="4" t="s">
        <v>63</v>
      </c>
      <c r="BA2208" s="4" t="s">
        <v>63</v>
      </c>
      <c r="BB2208" s="4" t="s">
        <v>63</v>
      </c>
      <c r="BC2208" s="4" t="s">
        <v>63</v>
      </c>
      <c r="BD2208" s="4" t="s">
        <v>63</v>
      </c>
      <c r="BE2208" s="4" t="s">
        <v>63</v>
      </c>
      <c r="BF2208" s="4" t="s">
        <v>63</v>
      </c>
    </row>
    <row r="2209" spans="1:58">
      <c r="A2209" s="4" t="s">
        <v>58</v>
      </c>
      <c r="B2209" s="4" t="s">
        <v>18789</v>
      </c>
      <c r="C2209" s="4" t="s">
        <v>18790</v>
      </c>
      <c r="D2209" s="4" t="s">
        <v>6854</v>
      </c>
      <c r="E2209" s="4" t="s">
        <v>63</v>
      </c>
      <c r="F2209" s="4">
        <v>2013</v>
      </c>
      <c r="G2209" s="6">
        <v>41882</v>
      </c>
      <c r="H2209" s="4" t="s">
        <v>15842</v>
      </c>
      <c r="I2209" s="4" t="s">
        <v>63</v>
      </c>
      <c r="J2209" s="4" t="s">
        <v>63</v>
      </c>
      <c r="K2209" s="4" t="s">
        <v>63</v>
      </c>
      <c r="L2209" s="4" t="s">
        <v>18791</v>
      </c>
      <c r="M2209" s="4" t="s">
        <v>18792</v>
      </c>
      <c r="N2209" s="4" t="s">
        <v>18793</v>
      </c>
      <c r="O2209" s="4" t="s">
        <v>63</v>
      </c>
      <c r="P2209" s="4"/>
      <c r="Q2209" s="4" t="s">
        <v>63</v>
      </c>
      <c r="R2209" s="4" t="s">
        <v>63</v>
      </c>
      <c r="S2209" s="4" t="s">
        <v>63</v>
      </c>
      <c r="T2209" s="4" t="s">
        <v>63</v>
      </c>
      <c r="U2209" s="4"/>
      <c r="V2209" s="4"/>
      <c r="W2209" s="4"/>
      <c r="X2209" s="4" t="s">
        <v>63</v>
      </c>
      <c r="Y2209" s="4" t="s">
        <v>15322</v>
      </c>
      <c r="Z2209" s="4" t="s">
        <v>63</v>
      </c>
      <c r="AA2209" s="4" t="s">
        <v>63</v>
      </c>
      <c r="AB2209" s="4" t="s">
        <v>63</v>
      </c>
      <c r="AC2209" s="4" t="s">
        <v>67</v>
      </c>
      <c r="AD2209" s="4" t="s">
        <v>63</v>
      </c>
      <c r="AE2209" s="4" t="s">
        <v>63</v>
      </c>
      <c r="AF2209" s="4" t="s">
        <v>63</v>
      </c>
      <c r="AG2209" s="4" t="s">
        <v>63</v>
      </c>
      <c r="AH2209" s="4" t="s">
        <v>63</v>
      </c>
      <c r="AI2209" s="4" t="s">
        <v>63</v>
      </c>
      <c r="AJ2209" s="4" t="s">
        <v>63</v>
      </c>
      <c r="AK2209" s="4" t="s">
        <v>63</v>
      </c>
      <c r="AL2209" s="4" t="s">
        <v>63</v>
      </c>
      <c r="AM2209" s="4" t="s">
        <v>18790</v>
      </c>
      <c r="AN2209" s="4" t="s">
        <v>63</v>
      </c>
      <c r="AO2209" s="4" t="s">
        <v>63</v>
      </c>
      <c r="AP2209" s="4" t="s">
        <v>63</v>
      </c>
      <c r="AQ2209" s="4" t="s">
        <v>63</v>
      </c>
      <c r="AR2209" s="4" t="s">
        <v>63</v>
      </c>
      <c r="AS2209" s="4" t="s">
        <v>63</v>
      </c>
      <c r="AT2209" s="4" t="s">
        <v>63</v>
      </c>
      <c r="AU2209" s="4" t="s">
        <v>63</v>
      </c>
      <c r="AV2209" s="4" t="s">
        <v>63</v>
      </c>
      <c r="AW2209" s="4" t="s">
        <v>63</v>
      </c>
      <c r="AX2209" s="4" t="s">
        <v>63</v>
      </c>
      <c r="AY2209" s="4" t="s">
        <v>63</v>
      </c>
      <c r="AZ2209" s="4" t="s">
        <v>63</v>
      </c>
      <c r="BA2209" s="4" t="s">
        <v>63</v>
      </c>
      <c r="BB2209" s="4" t="s">
        <v>63</v>
      </c>
      <c r="BC2209" s="4" t="s">
        <v>63</v>
      </c>
      <c r="BD2209" s="4" t="s">
        <v>63</v>
      </c>
      <c r="BE2209" s="4" t="s">
        <v>63</v>
      </c>
      <c r="BF2209" s="4" t="s">
        <v>63</v>
      </c>
    </row>
    <row r="2210" spans="1:58">
      <c r="A2210" s="4" t="s">
        <v>58</v>
      </c>
      <c r="B2210" s="4" t="s">
        <v>18794</v>
      </c>
      <c r="C2210" s="4" t="s">
        <v>18795</v>
      </c>
      <c r="D2210" s="4" t="s">
        <v>15589</v>
      </c>
      <c r="E2210" s="4" t="s">
        <v>63</v>
      </c>
      <c r="F2210" s="4">
        <v>2015</v>
      </c>
      <c r="G2210" s="4">
        <v>31</v>
      </c>
      <c r="H2210" s="4" t="s">
        <v>18796</v>
      </c>
      <c r="I2210" s="4" t="s">
        <v>63</v>
      </c>
      <c r="J2210" s="4">
        <v>1070</v>
      </c>
      <c r="K2210" s="4" t="s">
        <v>63</v>
      </c>
      <c r="L2210" s="4" t="s">
        <v>18797</v>
      </c>
      <c r="M2210" s="4" t="s">
        <v>18798</v>
      </c>
      <c r="N2210" s="4" t="s">
        <v>18799</v>
      </c>
      <c r="O2210" s="4" t="s">
        <v>63</v>
      </c>
      <c r="P2210" s="4"/>
      <c r="Q2210" s="4" t="s">
        <v>63</v>
      </c>
      <c r="R2210" s="4" t="s">
        <v>63</v>
      </c>
      <c r="S2210" s="4" t="s">
        <v>63</v>
      </c>
      <c r="T2210" s="4" t="s">
        <v>63</v>
      </c>
      <c r="U2210" s="4"/>
      <c r="V2210" s="4"/>
      <c r="W2210" s="4"/>
      <c r="X2210" s="4" t="s">
        <v>63</v>
      </c>
      <c r="Y2210" s="4" t="s">
        <v>3365</v>
      </c>
      <c r="Z2210" s="4" t="s">
        <v>63</v>
      </c>
      <c r="AA2210" s="4" t="s">
        <v>63</v>
      </c>
      <c r="AB2210" s="4" t="s">
        <v>63</v>
      </c>
      <c r="AC2210" s="4" t="s">
        <v>67</v>
      </c>
      <c r="AD2210" s="4" t="s">
        <v>63</v>
      </c>
      <c r="AE2210" s="4" t="s">
        <v>63</v>
      </c>
      <c r="AF2210" s="4" t="s">
        <v>63</v>
      </c>
      <c r="AG2210" s="4" t="s">
        <v>63</v>
      </c>
      <c r="AH2210" s="4" t="s">
        <v>63</v>
      </c>
      <c r="AI2210" s="4" t="s">
        <v>63</v>
      </c>
      <c r="AJ2210" s="4" t="s">
        <v>63</v>
      </c>
      <c r="AK2210" s="4" t="s">
        <v>63</v>
      </c>
      <c r="AL2210" s="4" t="s">
        <v>63</v>
      </c>
      <c r="AM2210" s="4" t="s">
        <v>18795</v>
      </c>
      <c r="AN2210" s="4" t="s">
        <v>63</v>
      </c>
      <c r="AO2210" s="4" t="s">
        <v>63</v>
      </c>
      <c r="AP2210" s="4" t="s">
        <v>63</v>
      </c>
      <c r="AQ2210" s="4" t="s">
        <v>63</v>
      </c>
      <c r="AR2210" s="4" t="s">
        <v>63</v>
      </c>
      <c r="AS2210" s="4" t="s">
        <v>63</v>
      </c>
      <c r="AT2210" s="4" t="s">
        <v>63</v>
      </c>
      <c r="AU2210" s="4" t="s">
        <v>63</v>
      </c>
      <c r="AV2210" s="4" t="s">
        <v>63</v>
      </c>
      <c r="AW2210" s="4" t="s">
        <v>63</v>
      </c>
      <c r="AX2210" s="4" t="s">
        <v>63</v>
      </c>
      <c r="AY2210" s="4" t="s">
        <v>63</v>
      </c>
      <c r="AZ2210" s="4" t="s">
        <v>63</v>
      </c>
      <c r="BA2210" s="4" t="s">
        <v>63</v>
      </c>
      <c r="BB2210" s="4" t="s">
        <v>63</v>
      </c>
      <c r="BC2210" s="4" t="s">
        <v>63</v>
      </c>
      <c r="BD2210" s="4" t="s">
        <v>63</v>
      </c>
      <c r="BE2210" s="4" t="s">
        <v>63</v>
      </c>
      <c r="BF2210" s="4" t="s">
        <v>63</v>
      </c>
    </row>
    <row r="2211" spans="1:58">
      <c r="A2211" s="4" t="s">
        <v>58</v>
      </c>
      <c r="B2211" s="4" t="s">
        <v>18800</v>
      </c>
      <c r="C2211" s="4" t="s">
        <v>18801</v>
      </c>
      <c r="D2211" s="4" t="s">
        <v>4225</v>
      </c>
      <c r="E2211" s="4" t="s">
        <v>4226</v>
      </c>
      <c r="F2211" s="4">
        <v>2009</v>
      </c>
      <c r="G2211" s="4" t="s">
        <v>63</v>
      </c>
      <c r="H2211" s="4">
        <v>47</v>
      </c>
      <c r="I2211" s="4">
        <v>3</v>
      </c>
      <c r="J2211" s="4">
        <v>193</v>
      </c>
      <c r="K2211" s="4">
        <v>196</v>
      </c>
      <c r="L2211" s="4" t="s">
        <v>18802</v>
      </c>
      <c r="M2211" s="4" t="s">
        <v>18803</v>
      </c>
      <c r="N2211" s="4" t="s">
        <v>18804</v>
      </c>
      <c r="O2211" s="4" t="s">
        <v>63</v>
      </c>
      <c r="P2211" s="4"/>
      <c r="Q2211" s="4" t="s">
        <v>63</v>
      </c>
      <c r="R2211" s="4" t="s">
        <v>63</v>
      </c>
      <c r="S2211" s="4" t="s">
        <v>63</v>
      </c>
      <c r="T2211" s="4" t="s">
        <v>63</v>
      </c>
      <c r="U2211" s="4"/>
      <c r="V2211" s="4"/>
      <c r="W2211" s="4"/>
      <c r="X2211" s="4" t="s">
        <v>63</v>
      </c>
      <c r="Y2211" s="4" t="s">
        <v>18805</v>
      </c>
      <c r="Z2211" s="4" t="s">
        <v>63</v>
      </c>
      <c r="AA2211" s="4" t="s">
        <v>63</v>
      </c>
      <c r="AB2211" s="4" t="s">
        <v>18806</v>
      </c>
      <c r="AC2211" s="4" t="s">
        <v>67</v>
      </c>
      <c r="AD2211" s="4" t="s">
        <v>63</v>
      </c>
      <c r="AE2211" s="4" t="s">
        <v>63</v>
      </c>
      <c r="AF2211" s="4" t="s">
        <v>63</v>
      </c>
      <c r="AG2211" s="4" t="s">
        <v>63</v>
      </c>
      <c r="AH2211" s="4" t="s">
        <v>63</v>
      </c>
      <c r="AI2211" s="4" t="s">
        <v>63</v>
      </c>
      <c r="AJ2211" s="4" t="s">
        <v>63</v>
      </c>
      <c r="AK2211" s="4" t="s">
        <v>63</v>
      </c>
      <c r="AL2211" s="4" t="s">
        <v>63</v>
      </c>
      <c r="AM2211" s="4" t="s">
        <v>18801</v>
      </c>
      <c r="AN2211" s="4" t="s">
        <v>63</v>
      </c>
      <c r="AO2211" s="4" t="s">
        <v>63</v>
      </c>
      <c r="AP2211" s="4" t="s">
        <v>63</v>
      </c>
      <c r="AQ2211" s="4" t="s">
        <v>63</v>
      </c>
      <c r="AR2211" s="4" t="s">
        <v>63</v>
      </c>
      <c r="AS2211" s="4" t="s">
        <v>63</v>
      </c>
      <c r="AT2211" s="4" t="s">
        <v>63</v>
      </c>
      <c r="AU2211" s="4" t="s">
        <v>63</v>
      </c>
      <c r="AV2211" s="4" t="s">
        <v>63</v>
      </c>
      <c r="AW2211" s="4" t="s">
        <v>63</v>
      </c>
      <c r="AX2211" s="4" t="s">
        <v>63</v>
      </c>
      <c r="AY2211" s="4" t="s">
        <v>63</v>
      </c>
      <c r="AZ2211" s="4" t="s">
        <v>63</v>
      </c>
      <c r="BA2211" s="4" t="s">
        <v>63</v>
      </c>
      <c r="BB2211" s="4" t="s">
        <v>63</v>
      </c>
      <c r="BC2211" s="4" t="s">
        <v>63</v>
      </c>
      <c r="BD2211" s="4" t="s">
        <v>63</v>
      </c>
      <c r="BE2211" s="4" t="s">
        <v>63</v>
      </c>
      <c r="BF2211" s="4" t="s">
        <v>63</v>
      </c>
    </row>
    <row r="2212" spans="1:58">
      <c r="A2212" s="4" t="s">
        <v>58</v>
      </c>
      <c r="B2212" s="4" t="s">
        <v>18807</v>
      </c>
      <c r="C2212" s="4" t="s">
        <v>18808</v>
      </c>
      <c r="D2212" s="4" t="s">
        <v>18809</v>
      </c>
      <c r="E2212" s="4" t="s">
        <v>63</v>
      </c>
      <c r="F2212" s="4">
        <v>1992</v>
      </c>
      <c r="G2212" s="4" t="s">
        <v>63</v>
      </c>
      <c r="H2212" s="4">
        <v>2</v>
      </c>
      <c r="I2212" s="4">
        <v>1</v>
      </c>
      <c r="J2212" s="4">
        <v>35</v>
      </c>
      <c r="K2212" s="4">
        <v>44</v>
      </c>
      <c r="L2212" s="4" t="s">
        <v>18810</v>
      </c>
      <c r="M2212" s="4" t="s">
        <v>18811</v>
      </c>
      <c r="N2212" s="4" t="s">
        <v>18812</v>
      </c>
      <c r="O2212" s="4" t="s">
        <v>63</v>
      </c>
      <c r="P2212" s="4"/>
      <c r="Q2212" s="4" t="s">
        <v>63</v>
      </c>
      <c r="R2212" s="4" t="s">
        <v>63</v>
      </c>
      <c r="S2212" s="4" t="s">
        <v>63</v>
      </c>
      <c r="T2212" s="4" t="s">
        <v>63</v>
      </c>
      <c r="U2212" s="4"/>
      <c r="V2212" s="4"/>
      <c r="W2212" s="4"/>
      <c r="X2212" s="4" t="s">
        <v>63</v>
      </c>
      <c r="Y2212" s="4" t="s">
        <v>18813</v>
      </c>
      <c r="Z2212" s="4" t="s">
        <v>63</v>
      </c>
      <c r="AA2212" s="4" t="s">
        <v>63</v>
      </c>
      <c r="AB2212" s="4" t="s">
        <v>18814</v>
      </c>
      <c r="AC2212" s="4" t="s">
        <v>67</v>
      </c>
      <c r="AD2212" s="4" t="s">
        <v>63</v>
      </c>
      <c r="AE2212" s="4" t="s">
        <v>63</v>
      </c>
      <c r="AF2212" s="4" t="s">
        <v>63</v>
      </c>
      <c r="AG2212" s="4" t="s">
        <v>63</v>
      </c>
      <c r="AH2212" s="4" t="s">
        <v>63</v>
      </c>
      <c r="AI2212" s="4" t="s">
        <v>18815</v>
      </c>
      <c r="AJ2212" s="4" t="s">
        <v>63</v>
      </c>
      <c r="AK2212" s="4" t="s">
        <v>63</v>
      </c>
      <c r="AL2212" s="4" t="s">
        <v>63</v>
      </c>
      <c r="AM2212" s="4" t="s">
        <v>18808</v>
      </c>
      <c r="AN2212" s="4" t="s">
        <v>63</v>
      </c>
      <c r="AO2212" s="4" t="s">
        <v>63</v>
      </c>
      <c r="AP2212" s="4" t="s">
        <v>63</v>
      </c>
      <c r="AQ2212" s="4" t="s">
        <v>63</v>
      </c>
      <c r="AR2212" s="4" t="s">
        <v>63</v>
      </c>
      <c r="AS2212" s="4" t="s">
        <v>63</v>
      </c>
      <c r="AT2212" s="4" t="s">
        <v>63</v>
      </c>
      <c r="AU2212" s="4" t="s">
        <v>63</v>
      </c>
      <c r="AV2212" s="4" t="s">
        <v>63</v>
      </c>
      <c r="AW2212" s="4" t="s">
        <v>63</v>
      </c>
      <c r="AX2212" s="4" t="s">
        <v>63</v>
      </c>
      <c r="AY2212" s="4" t="s">
        <v>63</v>
      </c>
      <c r="AZ2212" s="4" t="s">
        <v>63</v>
      </c>
      <c r="BA2212" s="4" t="s">
        <v>63</v>
      </c>
      <c r="BB2212" s="4" t="s">
        <v>63</v>
      </c>
      <c r="BC2212" s="4" t="s">
        <v>63</v>
      </c>
      <c r="BD2212" s="4" t="s">
        <v>63</v>
      </c>
      <c r="BE2212" s="4" t="s">
        <v>63</v>
      </c>
      <c r="BF2212" s="4" t="s">
        <v>63</v>
      </c>
    </row>
    <row r="2213" spans="1:58">
      <c r="A2213" s="4" t="s">
        <v>58</v>
      </c>
      <c r="B2213" s="4" t="s">
        <v>18816</v>
      </c>
      <c r="C2213" s="4" t="s">
        <v>18817</v>
      </c>
      <c r="D2213" s="4" t="s">
        <v>18818</v>
      </c>
      <c r="E2213" s="4" t="s">
        <v>63</v>
      </c>
      <c r="F2213" s="4">
        <v>1993</v>
      </c>
      <c r="G2213" s="4" t="s">
        <v>63</v>
      </c>
      <c r="H2213" s="4" t="s">
        <v>63</v>
      </c>
      <c r="I2213" s="4">
        <v>132</v>
      </c>
      <c r="J2213" s="4">
        <v>1</v>
      </c>
      <c r="K2213" s="4">
        <v>2</v>
      </c>
      <c r="L2213" s="4" t="s">
        <v>18819</v>
      </c>
      <c r="M2213" s="4" t="s">
        <v>63</v>
      </c>
      <c r="N2213" s="4" t="s">
        <v>18820</v>
      </c>
      <c r="O2213" s="4" t="s">
        <v>63</v>
      </c>
      <c r="P2213" s="4"/>
      <c r="Q2213" s="4" t="s">
        <v>63</v>
      </c>
      <c r="R2213" s="4" t="s">
        <v>63</v>
      </c>
      <c r="S2213" s="4" t="s">
        <v>63</v>
      </c>
      <c r="T2213" s="4" t="s">
        <v>63</v>
      </c>
      <c r="U2213" s="4"/>
      <c r="V2213" s="4"/>
      <c r="W2213" s="4"/>
      <c r="X2213" s="4" t="s">
        <v>63</v>
      </c>
      <c r="Y2213" s="4" t="s">
        <v>14739</v>
      </c>
      <c r="Z2213" s="4" t="s">
        <v>63</v>
      </c>
      <c r="AA2213" s="4" t="s">
        <v>63</v>
      </c>
      <c r="AB2213" s="4" t="s">
        <v>18821</v>
      </c>
      <c r="AC2213" s="4" t="s">
        <v>67</v>
      </c>
      <c r="AD2213" s="4" t="s">
        <v>63</v>
      </c>
      <c r="AE2213" s="4" t="s">
        <v>63</v>
      </c>
      <c r="AF2213" s="4" t="s">
        <v>63</v>
      </c>
      <c r="AG2213" s="4" t="s">
        <v>63</v>
      </c>
      <c r="AH2213" s="4" t="s">
        <v>63</v>
      </c>
      <c r="AI2213" s="4" t="s">
        <v>63</v>
      </c>
      <c r="AJ2213" s="4" t="s">
        <v>63</v>
      </c>
      <c r="AK2213" s="4" t="s">
        <v>63</v>
      </c>
      <c r="AL2213" s="4" t="s">
        <v>63</v>
      </c>
      <c r="AM2213" s="4" t="s">
        <v>18817</v>
      </c>
      <c r="AN2213" s="4" t="s">
        <v>63</v>
      </c>
      <c r="AO2213" s="4" t="s">
        <v>63</v>
      </c>
      <c r="AP2213" s="4" t="s">
        <v>63</v>
      </c>
      <c r="AQ2213" s="4" t="s">
        <v>63</v>
      </c>
      <c r="AR2213" s="4" t="s">
        <v>63</v>
      </c>
      <c r="AS2213" s="4" t="s">
        <v>63</v>
      </c>
      <c r="AT2213" s="4" t="s">
        <v>63</v>
      </c>
      <c r="AU2213" s="4" t="s">
        <v>63</v>
      </c>
      <c r="AV2213" s="4" t="s">
        <v>63</v>
      </c>
      <c r="AW2213" s="4" t="s">
        <v>63</v>
      </c>
      <c r="AX2213" s="4" t="s">
        <v>63</v>
      </c>
      <c r="AY2213" s="4" t="s">
        <v>63</v>
      </c>
      <c r="AZ2213" s="4" t="s">
        <v>63</v>
      </c>
      <c r="BA2213" s="4" t="s">
        <v>63</v>
      </c>
      <c r="BB2213" s="4" t="s">
        <v>63</v>
      </c>
      <c r="BC2213" s="4" t="s">
        <v>63</v>
      </c>
      <c r="BD2213" s="4" t="s">
        <v>63</v>
      </c>
      <c r="BE2213" s="4" t="s">
        <v>63</v>
      </c>
      <c r="BF2213" s="4" t="s">
        <v>63</v>
      </c>
    </row>
    <row r="2214" spans="1:58">
      <c r="A2214" s="4" t="s">
        <v>58</v>
      </c>
      <c r="B2214" s="4" t="s">
        <v>18822</v>
      </c>
      <c r="C2214" s="4" t="s">
        <v>18823</v>
      </c>
      <c r="D2214" s="4" t="s">
        <v>15263</v>
      </c>
      <c r="E2214" s="4" t="s">
        <v>15264</v>
      </c>
      <c r="F2214" s="4">
        <v>2015</v>
      </c>
      <c r="G2214" s="4">
        <v>1</v>
      </c>
      <c r="H2214" s="4">
        <v>156</v>
      </c>
      <c r="I2214" s="4" t="s">
        <v>63</v>
      </c>
      <c r="J2214" s="4" t="s">
        <v>18824</v>
      </c>
      <c r="K2214" s="4" t="s">
        <v>63</v>
      </c>
      <c r="L2214" s="4" t="s">
        <v>18825</v>
      </c>
      <c r="M2214" s="4" t="s">
        <v>18826</v>
      </c>
      <c r="N2214" s="4" t="s">
        <v>18827</v>
      </c>
      <c r="O2214" s="4" t="s">
        <v>63</v>
      </c>
      <c r="P2214" s="4"/>
      <c r="Q2214" s="4" t="s">
        <v>63</v>
      </c>
      <c r="R2214" s="4" t="s">
        <v>63</v>
      </c>
      <c r="S2214" s="4" t="s">
        <v>63</v>
      </c>
      <c r="T2214" s="4" t="s">
        <v>63</v>
      </c>
      <c r="U2214" s="4"/>
      <c r="V2214" s="4"/>
      <c r="W2214" s="4"/>
      <c r="X2214" s="4" t="s">
        <v>63</v>
      </c>
      <c r="Y2214" s="4" t="s">
        <v>4942</v>
      </c>
      <c r="Z2214" s="4" t="s">
        <v>63</v>
      </c>
      <c r="AA2214" s="4" t="s">
        <v>63</v>
      </c>
      <c r="AB2214" s="4" t="s">
        <v>63</v>
      </c>
      <c r="AC2214" s="4" t="s">
        <v>67</v>
      </c>
      <c r="AD2214" s="4" t="s">
        <v>63</v>
      </c>
      <c r="AE2214" s="4" t="s">
        <v>63</v>
      </c>
      <c r="AF2214" s="4" t="s">
        <v>63</v>
      </c>
      <c r="AG2214" s="4" t="s">
        <v>63</v>
      </c>
      <c r="AH2214" s="4" t="s">
        <v>63</v>
      </c>
      <c r="AI2214" s="4" t="s">
        <v>18828</v>
      </c>
      <c r="AJ2214" s="4" t="s">
        <v>63</v>
      </c>
      <c r="AK2214" s="4" t="s">
        <v>63</v>
      </c>
      <c r="AL2214" s="4" t="s">
        <v>63</v>
      </c>
      <c r="AM2214" s="4" t="s">
        <v>18823</v>
      </c>
      <c r="AN2214" s="4" t="s">
        <v>63</v>
      </c>
      <c r="AO2214" s="4" t="s">
        <v>63</v>
      </c>
      <c r="AP2214" s="4" t="s">
        <v>63</v>
      </c>
      <c r="AQ2214" s="4" t="s">
        <v>63</v>
      </c>
      <c r="AR2214" s="4" t="s">
        <v>63</v>
      </c>
      <c r="AS2214" s="4" t="s">
        <v>63</v>
      </c>
      <c r="AT2214" s="4" t="s">
        <v>63</v>
      </c>
      <c r="AU2214" s="4" t="s">
        <v>63</v>
      </c>
      <c r="AV2214" s="4" t="s">
        <v>63</v>
      </c>
      <c r="AW2214" s="4" t="s">
        <v>63</v>
      </c>
      <c r="AX2214" s="4" t="s">
        <v>63</v>
      </c>
      <c r="AY2214" s="4" t="s">
        <v>63</v>
      </c>
      <c r="AZ2214" s="4" t="s">
        <v>63</v>
      </c>
      <c r="BA2214" s="4" t="s">
        <v>63</v>
      </c>
      <c r="BB2214" s="4" t="s">
        <v>63</v>
      </c>
      <c r="BC2214" s="4" t="s">
        <v>63</v>
      </c>
      <c r="BD2214" s="4" t="s">
        <v>63</v>
      </c>
      <c r="BE2214" s="4" t="s">
        <v>63</v>
      </c>
      <c r="BF2214" s="4" t="s">
        <v>63</v>
      </c>
    </row>
    <row r="2215" spans="1:58">
      <c r="A2215" s="4" t="s">
        <v>58</v>
      </c>
      <c r="B2215" s="4" t="s">
        <v>18829</v>
      </c>
      <c r="C2215" s="4" t="s">
        <v>18830</v>
      </c>
      <c r="D2215" s="4" t="s">
        <v>18831</v>
      </c>
      <c r="E2215" s="4" t="s">
        <v>63</v>
      </c>
      <c r="F2215" s="4">
        <v>2011</v>
      </c>
      <c r="G2215" s="4" t="s">
        <v>15472</v>
      </c>
      <c r="H2215" s="4" t="s">
        <v>18832</v>
      </c>
      <c r="I2215" s="4" t="s">
        <v>63</v>
      </c>
      <c r="J2215" s="4" t="s">
        <v>18833</v>
      </c>
      <c r="K2215" s="4" t="s">
        <v>18834</v>
      </c>
      <c r="L2215" s="4" t="s">
        <v>18835</v>
      </c>
      <c r="M2215" s="4" t="s">
        <v>18836</v>
      </c>
      <c r="N2215" s="4" t="s">
        <v>18837</v>
      </c>
      <c r="O2215" s="4" t="s">
        <v>63</v>
      </c>
      <c r="P2215" s="4"/>
      <c r="Q2215" s="4" t="s">
        <v>63</v>
      </c>
      <c r="R2215" s="4" t="s">
        <v>63</v>
      </c>
      <c r="S2215" s="4" t="s">
        <v>63</v>
      </c>
      <c r="T2215" s="4" t="s">
        <v>63</v>
      </c>
      <c r="U2215" s="4"/>
      <c r="V2215" s="4"/>
      <c r="W2215" s="4"/>
      <c r="X2215" s="4" t="s">
        <v>63</v>
      </c>
      <c r="Y2215" s="4" t="s">
        <v>18838</v>
      </c>
      <c r="Z2215" s="4" t="s">
        <v>63</v>
      </c>
      <c r="AA2215" s="4" t="s">
        <v>63</v>
      </c>
      <c r="AB2215" s="4" t="s">
        <v>63</v>
      </c>
      <c r="AC2215" s="4" t="s">
        <v>67</v>
      </c>
      <c r="AD2215" s="4" t="s">
        <v>63</v>
      </c>
      <c r="AE2215" s="4" t="s">
        <v>63</v>
      </c>
      <c r="AF2215" s="4" t="s">
        <v>63</v>
      </c>
      <c r="AG2215" s="4" t="s">
        <v>63</v>
      </c>
      <c r="AH2215" s="4" t="s">
        <v>63</v>
      </c>
      <c r="AI2215" s="4" t="s">
        <v>18839</v>
      </c>
      <c r="AJ2215" s="4" t="s">
        <v>63</v>
      </c>
      <c r="AK2215" s="4" t="s">
        <v>63</v>
      </c>
      <c r="AL2215" s="4" t="s">
        <v>63</v>
      </c>
      <c r="AM2215" s="4" t="s">
        <v>18830</v>
      </c>
      <c r="AN2215" s="4" t="s">
        <v>63</v>
      </c>
      <c r="AO2215" s="4" t="s">
        <v>63</v>
      </c>
      <c r="AP2215" s="4" t="s">
        <v>63</v>
      </c>
      <c r="AQ2215" s="4" t="s">
        <v>63</v>
      </c>
      <c r="AR2215" s="4" t="s">
        <v>63</v>
      </c>
      <c r="AS2215" s="4" t="s">
        <v>63</v>
      </c>
      <c r="AT2215" s="4" t="s">
        <v>63</v>
      </c>
      <c r="AU2215" s="4" t="s">
        <v>63</v>
      </c>
      <c r="AV2215" s="4" t="s">
        <v>63</v>
      </c>
      <c r="AW2215" s="4" t="s">
        <v>63</v>
      </c>
      <c r="AX2215" s="4" t="s">
        <v>63</v>
      </c>
      <c r="AY2215" s="4" t="s">
        <v>63</v>
      </c>
      <c r="AZ2215" s="4" t="s">
        <v>63</v>
      </c>
      <c r="BA2215" s="4" t="s">
        <v>63</v>
      </c>
      <c r="BB2215" s="4" t="s">
        <v>63</v>
      </c>
      <c r="BC2215" s="4" t="s">
        <v>63</v>
      </c>
      <c r="BD2215" s="4" t="s">
        <v>63</v>
      </c>
      <c r="BE2215" s="4" t="s">
        <v>63</v>
      </c>
      <c r="BF2215" s="4" t="s">
        <v>63</v>
      </c>
    </row>
    <row r="2216" spans="1:58">
      <c r="A2216" s="4" t="s">
        <v>58</v>
      </c>
      <c r="B2216" s="4" t="s">
        <v>18840</v>
      </c>
      <c r="C2216" s="4" t="s">
        <v>18841</v>
      </c>
      <c r="D2216" s="4" t="s">
        <v>18842</v>
      </c>
      <c r="E2216" s="4" t="s">
        <v>18843</v>
      </c>
      <c r="F2216" s="4">
        <v>2007</v>
      </c>
      <c r="G2216" s="4" t="s">
        <v>15165</v>
      </c>
      <c r="H2216" s="4">
        <v>42</v>
      </c>
      <c r="I2216" s="4">
        <v>2</v>
      </c>
      <c r="J2216" s="4">
        <v>755</v>
      </c>
      <c r="K2216" s="4">
        <v>772</v>
      </c>
      <c r="L2216" s="4" t="s">
        <v>18844</v>
      </c>
      <c r="M2216" s="4" t="s">
        <v>18845</v>
      </c>
      <c r="N2216" s="4" t="s">
        <v>18846</v>
      </c>
      <c r="O2216" s="4" t="s">
        <v>63</v>
      </c>
      <c r="P2216" s="4"/>
      <c r="Q2216" s="4" t="s">
        <v>63</v>
      </c>
      <c r="R2216" s="4" t="s">
        <v>63</v>
      </c>
      <c r="S2216" s="4" t="s">
        <v>63</v>
      </c>
      <c r="T2216" s="4" t="s">
        <v>63</v>
      </c>
      <c r="U2216" s="4"/>
      <c r="V2216" s="4"/>
      <c r="W2216" s="4"/>
      <c r="X2216" s="4" t="s">
        <v>63</v>
      </c>
      <c r="Y2216" s="4" t="s">
        <v>18847</v>
      </c>
      <c r="Z2216" s="4" t="s">
        <v>63</v>
      </c>
      <c r="AA2216" s="4" t="s">
        <v>63</v>
      </c>
      <c r="AB2216" s="4">
        <v>2007130255</v>
      </c>
      <c r="AC2216" s="4" t="s">
        <v>67</v>
      </c>
      <c r="AD2216" s="4" t="s">
        <v>63</v>
      </c>
      <c r="AE2216" s="4" t="s">
        <v>63</v>
      </c>
      <c r="AF2216" s="4" t="s">
        <v>63</v>
      </c>
      <c r="AG2216" s="4" t="s">
        <v>18848</v>
      </c>
      <c r="AH2216" s="4" t="s">
        <v>63</v>
      </c>
      <c r="AI2216" s="4" t="s">
        <v>18849</v>
      </c>
      <c r="AJ2216" s="4" t="s">
        <v>63</v>
      </c>
      <c r="AK2216" s="4" t="s">
        <v>63</v>
      </c>
      <c r="AL2216" s="4" t="s">
        <v>63</v>
      </c>
      <c r="AM2216" s="4" t="s">
        <v>18850</v>
      </c>
      <c r="AN2216" s="4" t="s">
        <v>63</v>
      </c>
      <c r="AO2216" s="4" t="s">
        <v>63</v>
      </c>
      <c r="AP2216" s="4" t="s">
        <v>63</v>
      </c>
      <c r="AQ2216" s="4" t="s">
        <v>63</v>
      </c>
      <c r="AR2216" s="4" t="s">
        <v>63</v>
      </c>
      <c r="AS2216" s="4" t="s">
        <v>63</v>
      </c>
      <c r="AT2216" s="4" t="s">
        <v>63</v>
      </c>
      <c r="AU2216" s="4" t="s">
        <v>63</v>
      </c>
      <c r="AV2216" s="4" t="s">
        <v>63</v>
      </c>
      <c r="AW2216" s="4" t="s">
        <v>63</v>
      </c>
      <c r="AX2216" s="4" t="s">
        <v>63</v>
      </c>
      <c r="AY2216" s="4" t="s">
        <v>63</v>
      </c>
      <c r="AZ2216" s="4" t="s">
        <v>63</v>
      </c>
      <c r="BA2216" s="4" t="s">
        <v>63</v>
      </c>
      <c r="BB2216" s="4" t="s">
        <v>63</v>
      </c>
      <c r="BC2216" s="4" t="s">
        <v>63</v>
      </c>
      <c r="BD2216" s="4" t="s">
        <v>63</v>
      </c>
      <c r="BE2216" s="4" t="s">
        <v>63</v>
      </c>
      <c r="BF2216" s="4" t="s">
        <v>63</v>
      </c>
    </row>
    <row r="2217" spans="1:58">
      <c r="A2217" s="4" t="s">
        <v>58</v>
      </c>
      <c r="B2217" s="4" t="s">
        <v>18851</v>
      </c>
      <c r="C2217" s="4" t="s">
        <v>18852</v>
      </c>
      <c r="D2217" s="4" t="s">
        <v>18853</v>
      </c>
      <c r="E2217" s="4" t="s">
        <v>63</v>
      </c>
      <c r="F2217" s="4">
        <v>1988</v>
      </c>
      <c r="G2217" s="4" t="s">
        <v>63</v>
      </c>
      <c r="H2217" s="4" t="s">
        <v>63</v>
      </c>
      <c r="I2217" s="4">
        <v>11</v>
      </c>
      <c r="J2217" s="4">
        <v>32</v>
      </c>
      <c r="K2217" s="4">
        <v>34</v>
      </c>
      <c r="L2217" s="4" t="s">
        <v>18854</v>
      </c>
      <c r="M2217" s="4" t="s">
        <v>63</v>
      </c>
      <c r="N2217" s="4" t="s">
        <v>18855</v>
      </c>
      <c r="O2217" s="4" t="s">
        <v>63</v>
      </c>
      <c r="P2217" s="4"/>
      <c r="Q2217" s="4" t="s">
        <v>63</v>
      </c>
      <c r="R2217" s="4" t="s">
        <v>63</v>
      </c>
      <c r="S2217" s="4" t="s">
        <v>63</v>
      </c>
      <c r="T2217" s="4" t="s">
        <v>63</v>
      </c>
      <c r="U2217" s="4"/>
      <c r="V2217" s="4"/>
      <c r="W2217" s="4"/>
      <c r="X2217" s="4" t="s">
        <v>63</v>
      </c>
      <c r="Y2217" s="4" t="s">
        <v>7319</v>
      </c>
      <c r="Z2217" s="4" t="s">
        <v>63</v>
      </c>
      <c r="AA2217" s="4" t="s">
        <v>63</v>
      </c>
      <c r="AB2217" s="4" t="s">
        <v>63</v>
      </c>
      <c r="AC2217" s="4" t="s">
        <v>5266</v>
      </c>
      <c r="AD2217" s="4" t="s">
        <v>63</v>
      </c>
      <c r="AE2217" s="4" t="s">
        <v>63</v>
      </c>
      <c r="AF2217" s="4" t="s">
        <v>63</v>
      </c>
      <c r="AG2217" s="4" t="s">
        <v>18856</v>
      </c>
      <c r="AH2217" s="4" t="s">
        <v>63</v>
      </c>
      <c r="AI2217" s="4" t="s">
        <v>63</v>
      </c>
      <c r="AJ2217" s="4" t="s">
        <v>63</v>
      </c>
      <c r="AK2217" s="4" t="s">
        <v>63</v>
      </c>
      <c r="AL2217" s="4" t="s">
        <v>63</v>
      </c>
      <c r="AM2217" s="4" t="s">
        <v>18857</v>
      </c>
      <c r="AN2217" s="4" t="s">
        <v>63</v>
      </c>
      <c r="AO2217" s="4" t="s">
        <v>63</v>
      </c>
      <c r="AP2217" s="4" t="s">
        <v>63</v>
      </c>
      <c r="AQ2217" s="4" t="s">
        <v>63</v>
      </c>
      <c r="AR2217" s="4" t="s">
        <v>63</v>
      </c>
      <c r="AS2217" s="4" t="s">
        <v>63</v>
      </c>
      <c r="AT2217" s="4" t="s">
        <v>63</v>
      </c>
      <c r="AU2217" s="4" t="s">
        <v>63</v>
      </c>
      <c r="AV2217" s="4" t="s">
        <v>63</v>
      </c>
      <c r="AW2217" s="4" t="s">
        <v>63</v>
      </c>
      <c r="AX2217" s="4" t="s">
        <v>63</v>
      </c>
      <c r="AY2217" s="4" t="s">
        <v>63</v>
      </c>
      <c r="AZ2217" s="4" t="s">
        <v>63</v>
      </c>
      <c r="BA2217" s="4" t="s">
        <v>63</v>
      </c>
      <c r="BB2217" s="4" t="s">
        <v>63</v>
      </c>
      <c r="BC2217" s="4" t="s">
        <v>63</v>
      </c>
      <c r="BD2217" s="4" t="s">
        <v>63</v>
      </c>
      <c r="BE2217" s="4" t="s">
        <v>63</v>
      </c>
      <c r="BF2217" s="4" t="s">
        <v>63</v>
      </c>
    </row>
    <row r="2218" spans="1:58">
      <c r="A2218" s="4" t="s">
        <v>58</v>
      </c>
      <c r="B2218" s="4" t="s">
        <v>18858</v>
      </c>
      <c r="C2218" s="4" t="s">
        <v>18859</v>
      </c>
      <c r="D2218" s="4" t="s">
        <v>18479</v>
      </c>
      <c r="E2218" s="4" t="s">
        <v>63</v>
      </c>
      <c r="F2218" s="4">
        <v>2015</v>
      </c>
      <c r="G2218" s="4" t="s">
        <v>15155</v>
      </c>
      <c r="H2218" s="4">
        <v>24</v>
      </c>
      <c r="I2218" s="4">
        <v>1</v>
      </c>
      <c r="J2218" s="4" t="s">
        <v>18860</v>
      </c>
      <c r="K2218" s="4" t="s">
        <v>63</v>
      </c>
      <c r="L2218" s="4" t="s">
        <v>18861</v>
      </c>
      <c r="M2218" s="4" t="s">
        <v>18862</v>
      </c>
      <c r="N2218" s="4" t="s">
        <v>18863</v>
      </c>
      <c r="O2218" s="4" t="s">
        <v>63</v>
      </c>
      <c r="P2218" s="4"/>
      <c r="Q2218" s="4" t="s">
        <v>63</v>
      </c>
      <c r="R2218" s="4" t="s">
        <v>63</v>
      </c>
      <c r="S2218" s="4" t="s">
        <v>63</v>
      </c>
      <c r="T2218" s="4" t="s">
        <v>63</v>
      </c>
      <c r="U2218" s="4"/>
      <c r="V2218" s="4"/>
      <c r="W2218" s="4"/>
      <c r="X2218" s="4" t="s">
        <v>63</v>
      </c>
      <c r="Y2218" s="4" t="s">
        <v>18485</v>
      </c>
      <c r="Z2218" s="4" t="s">
        <v>63</v>
      </c>
      <c r="AA2218" s="4" t="s">
        <v>63</v>
      </c>
      <c r="AB2218" s="4" t="s">
        <v>63</v>
      </c>
      <c r="AC2218" s="4" t="s">
        <v>67</v>
      </c>
      <c r="AD2218" s="4" t="s">
        <v>63</v>
      </c>
      <c r="AE2218" s="4" t="s">
        <v>63</v>
      </c>
      <c r="AF2218" s="4" t="s">
        <v>63</v>
      </c>
      <c r="AG2218" s="4" t="s">
        <v>63</v>
      </c>
      <c r="AH2218" s="4" t="s">
        <v>63</v>
      </c>
      <c r="AI2218" s="4" t="s">
        <v>18864</v>
      </c>
      <c r="AJ2218" s="4" t="s">
        <v>63</v>
      </c>
      <c r="AK2218" s="4" t="s">
        <v>63</v>
      </c>
      <c r="AL2218" s="4" t="s">
        <v>63</v>
      </c>
      <c r="AM2218" s="4" t="s">
        <v>18859</v>
      </c>
      <c r="AN2218" s="4" t="s">
        <v>63</v>
      </c>
      <c r="AO2218" s="4" t="s">
        <v>63</v>
      </c>
      <c r="AP2218" s="4" t="s">
        <v>63</v>
      </c>
      <c r="AQ2218" s="4" t="s">
        <v>63</v>
      </c>
      <c r="AR2218" s="4" t="s">
        <v>63</v>
      </c>
      <c r="AS2218" s="4" t="s">
        <v>63</v>
      </c>
      <c r="AT2218" s="4" t="s">
        <v>63</v>
      </c>
      <c r="AU2218" s="4" t="s">
        <v>63</v>
      </c>
      <c r="AV2218" s="4" t="s">
        <v>63</v>
      </c>
      <c r="AW2218" s="4" t="s">
        <v>63</v>
      </c>
      <c r="AX2218" s="4" t="s">
        <v>63</v>
      </c>
      <c r="AY2218" s="4" t="s">
        <v>63</v>
      </c>
      <c r="AZ2218" s="4" t="s">
        <v>63</v>
      </c>
      <c r="BA2218" s="4" t="s">
        <v>63</v>
      </c>
      <c r="BB2218" s="4" t="s">
        <v>63</v>
      </c>
      <c r="BC2218" s="4" t="s">
        <v>63</v>
      </c>
      <c r="BD2218" s="4" t="s">
        <v>63</v>
      </c>
      <c r="BE2218" s="4" t="s">
        <v>63</v>
      </c>
      <c r="BF2218" s="4" t="s">
        <v>63</v>
      </c>
    </row>
    <row r="2219" spans="1:58">
      <c r="A2219" s="4" t="s">
        <v>58</v>
      </c>
      <c r="B2219" s="4" t="s">
        <v>18865</v>
      </c>
      <c r="C2219" s="4" t="s">
        <v>18866</v>
      </c>
      <c r="D2219" s="4" t="s">
        <v>1728</v>
      </c>
      <c r="E2219" s="4" t="s">
        <v>1729</v>
      </c>
      <c r="F2219" s="4">
        <v>1997</v>
      </c>
      <c r="G2219" s="4" t="s">
        <v>16321</v>
      </c>
      <c r="H2219" s="4">
        <v>29</v>
      </c>
      <c r="I2219" s="4">
        <v>3</v>
      </c>
      <c r="J2219" s="4">
        <v>263</v>
      </c>
      <c r="K2219" s="4">
        <v>268</v>
      </c>
      <c r="L2219" s="4" t="s">
        <v>18867</v>
      </c>
      <c r="M2219" s="4" t="s">
        <v>18868</v>
      </c>
      <c r="N2219" s="4" t="s">
        <v>18869</v>
      </c>
      <c r="O2219" s="4" t="s">
        <v>63</v>
      </c>
      <c r="P2219" s="4"/>
      <c r="Q2219" s="4" t="s">
        <v>63</v>
      </c>
      <c r="R2219" s="4" t="s">
        <v>63</v>
      </c>
      <c r="S2219" s="4" t="s">
        <v>63</v>
      </c>
      <c r="T2219" s="4" t="s">
        <v>63</v>
      </c>
      <c r="U2219" s="4"/>
      <c r="V2219" s="4"/>
      <c r="W2219" s="4"/>
      <c r="X2219" s="4" t="s">
        <v>63</v>
      </c>
      <c r="Y2219" s="4" t="s">
        <v>1733</v>
      </c>
      <c r="Z2219" s="4" t="s">
        <v>63</v>
      </c>
      <c r="AA2219" s="4" t="s">
        <v>63</v>
      </c>
      <c r="AB2219" s="4">
        <v>1997311532</v>
      </c>
      <c r="AC2219" s="4" t="s">
        <v>67</v>
      </c>
      <c r="AD2219" s="4" t="s">
        <v>63</v>
      </c>
      <c r="AE2219" s="4" t="s">
        <v>63</v>
      </c>
      <c r="AF2219" s="4" t="s">
        <v>63</v>
      </c>
      <c r="AG2219" s="4" t="s">
        <v>18870</v>
      </c>
      <c r="AH2219" s="4" t="s">
        <v>63</v>
      </c>
      <c r="AI2219" s="4" t="s">
        <v>63</v>
      </c>
      <c r="AJ2219" s="4" t="s">
        <v>63</v>
      </c>
      <c r="AK2219" s="4" t="s">
        <v>63</v>
      </c>
      <c r="AL2219" s="4" t="s">
        <v>63</v>
      </c>
      <c r="AM2219" s="4" t="s">
        <v>7338</v>
      </c>
      <c r="AN2219" s="4" t="s">
        <v>63</v>
      </c>
      <c r="AO2219" s="4" t="s">
        <v>63</v>
      </c>
      <c r="AP2219" s="4" t="s">
        <v>63</v>
      </c>
      <c r="AQ2219" s="4" t="s">
        <v>63</v>
      </c>
      <c r="AR2219" s="4" t="s">
        <v>63</v>
      </c>
      <c r="AS2219" s="4" t="s">
        <v>63</v>
      </c>
      <c r="AT2219" s="4" t="s">
        <v>63</v>
      </c>
      <c r="AU2219" s="4" t="s">
        <v>63</v>
      </c>
      <c r="AV2219" s="4" t="s">
        <v>63</v>
      </c>
      <c r="AW2219" s="4" t="s">
        <v>63</v>
      </c>
      <c r="AX2219" s="4" t="s">
        <v>63</v>
      </c>
      <c r="AY2219" s="4" t="s">
        <v>63</v>
      </c>
      <c r="AZ2219" s="4" t="s">
        <v>63</v>
      </c>
      <c r="BA2219" s="4" t="s">
        <v>63</v>
      </c>
      <c r="BB2219" s="4" t="s">
        <v>63</v>
      </c>
      <c r="BC2219" s="4" t="s">
        <v>63</v>
      </c>
      <c r="BD2219" s="4" t="s">
        <v>63</v>
      </c>
      <c r="BE2219" s="4" t="s">
        <v>63</v>
      </c>
      <c r="BF2219" s="4" t="s">
        <v>63</v>
      </c>
    </row>
    <row r="2220" spans="1:58">
      <c r="A2220" s="4" t="s">
        <v>58</v>
      </c>
      <c r="B2220" s="4" t="s">
        <v>18871</v>
      </c>
      <c r="C2220" s="4" t="s">
        <v>18872</v>
      </c>
      <c r="D2220" s="4" t="s">
        <v>164</v>
      </c>
      <c r="E2220" s="4" t="s">
        <v>165</v>
      </c>
      <c r="F2220" s="4">
        <v>1978</v>
      </c>
      <c r="G2220" s="4" t="s">
        <v>63</v>
      </c>
      <c r="H2220" s="4">
        <v>135</v>
      </c>
      <c r="I2220" s="4">
        <v>3</v>
      </c>
      <c r="J2220" s="4">
        <v>320</v>
      </c>
      <c r="K2220" s="4">
        <v>324</v>
      </c>
      <c r="L2220" s="4" t="s">
        <v>18873</v>
      </c>
      <c r="M2220" s="4" t="s">
        <v>18874</v>
      </c>
      <c r="N2220" s="4" t="s">
        <v>18875</v>
      </c>
      <c r="O2220" s="4" t="s">
        <v>63</v>
      </c>
      <c r="P2220" s="4"/>
      <c r="Q2220" s="4" t="s">
        <v>63</v>
      </c>
      <c r="R2220" s="4" t="s">
        <v>63</v>
      </c>
      <c r="S2220" s="4" t="s">
        <v>63</v>
      </c>
      <c r="T2220" s="4" t="s">
        <v>63</v>
      </c>
      <c r="U2220" s="4"/>
      <c r="V2220" s="4"/>
      <c r="W2220" s="4"/>
      <c r="X2220" s="4" t="s">
        <v>63</v>
      </c>
      <c r="Y2220" s="4" t="s">
        <v>169</v>
      </c>
      <c r="Z2220" s="4" t="s">
        <v>63</v>
      </c>
      <c r="AA2220" s="4" t="s">
        <v>63</v>
      </c>
      <c r="AB2220" s="4">
        <v>1978299405</v>
      </c>
      <c r="AC2220" s="4" t="s">
        <v>67</v>
      </c>
      <c r="AD2220" s="4" t="s">
        <v>63</v>
      </c>
      <c r="AE2220" s="4" t="s">
        <v>63</v>
      </c>
      <c r="AF2220" s="4" t="s">
        <v>63</v>
      </c>
      <c r="AG2220" s="4" t="s">
        <v>18876</v>
      </c>
      <c r="AH2220" s="4" t="s">
        <v>63</v>
      </c>
      <c r="AI2220" s="4" t="s">
        <v>63</v>
      </c>
      <c r="AJ2220" s="4" t="s">
        <v>63</v>
      </c>
      <c r="AK2220" s="4" t="s">
        <v>63</v>
      </c>
      <c r="AL2220" s="4" t="s">
        <v>63</v>
      </c>
      <c r="AM2220" s="4" t="s">
        <v>18877</v>
      </c>
      <c r="AN2220" s="4" t="s">
        <v>63</v>
      </c>
      <c r="AO2220" s="4" t="s">
        <v>63</v>
      </c>
      <c r="AP2220" s="4" t="s">
        <v>63</v>
      </c>
      <c r="AQ2220" s="4" t="s">
        <v>63</v>
      </c>
      <c r="AR2220" s="4" t="s">
        <v>63</v>
      </c>
      <c r="AS2220" s="4" t="s">
        <v>63</v>
      </c>
      <c r="AT2220" s="4" t="s">
        <v>63</v>
      </c>
      <c r="AU2220" s="4" t="s">
        <v>63</v>
      </c>
      <c r="AV2220" s="4" t="s">
        <v>63</v>
      </c>
      <c r="AW2220" s="4" t="s">
        <v>63</v>
      </c>
      <c r="AX2220" s="4" t="s">
        <v>63</v>
      </c>
      <c r="AY2220" s="4" t="s">
        <v>63</v>
      </c>
      <c r="AZ2220" s="4" t="s">
        <v>63</v>
      </c>
      <c r="BA2220" s="4" t="s">
        <v>63</v>
      </c>
      <c r="BB2220" s="4" t="s">
        <v>63</v>
      </c>
      <c r="BC2220" s="4" t="s">
        <v>63</v>
      </c>
      <c r="BD2220" s="4" t="s">
        <v>63</v>
      </c>
      <c r="BE2220" s="4" t="s">
        <v>63</v>
      </c>
      <c r="BF2220" s="4" t="s">
        <v>63</v>
      </c>
    </row>
    <row r="2221" spans="1:58">
      <c r="A2221" s="4" t="s">
        <v>58</v>
      </c>
      <c r="B2221" s="4" t="s">
        <v>18878</v>
      </c>
      <c r="C2221" s="4" t="s">
        <v>18879</v>
      </c>
      <c r="D2221" s="4" t="s">
        <v>1332</v>
      </c>
      <c r="E2221" s="4" t="s">
        <v>63</v>
      </c>
      <c r="F2221" s="4">
        <v>2010</v>
      </c>
      <c r="G2221" s="4" t="s">
        <v>63</v>
      </c>
      <c r="H2221" s="4">
        <v>46</v>
      </c>
      <c r="I2221" s="4">
        <v>2</v>
      </c>
      <c r="J2221" s="4" t="s">
        <v>18880</v>
      </c>
      <c r="K2221" s="4" t="s">
        <v>18881</v>
      </c>
      <c r="L2221" s="4" t="s">
        <v>18882</v>
      </c>
      <c r="M2221" s="4" t="s">
        <v>18883</v>
      </c>
      <c r="N2221" s="4" t="s">
        <v>18884</v>
      </c>
      <c r="O2221" s="4" t="s">
        <v>63</v>
      </c>
      <c r="P2221" s="4"/>
      <c r="Q2221" s="4" t="s">
        <v>63</v>
      </c>
      <c r="R2221" s="4" t="s">
        <v>63</v>
      </c>
      <c r="S2221" s="4" t="s">
        <v>63</v>
      </c>
      <c r="T2221" s="4" t="s">
        <v>63</v>
      </c>
      <c r="U2221" s="4"/>
      <c r="V2221" s="4"/>
      <c r="W2221" s="4"/>
      <c r="X2221" s="4" t="s">
        <v>63</v>
      </c>
      <c r="Y2221" s="4" t="s">
        <v>18160</v>
      </c>
      <c r="Z2221" s="4" t="s">
        <v>63</v>
      </c>
      <c r="AA2221" s="4" t="s">
        <v>63</v>
      </c>
      <c r="AB2221" s="4" t="s">
        <v>63</v>
      </c>
      <c r="AC2221" s="4" t="s">
        <v>67</v>
      </c>
      <c r="AD2221" s="4" t="s">
        <v>63</v>
      </c>
      <c r="AE2221" s="4" t="s">
        <v>63</v>
      </c>
      <c r="AF2221" s="4" t="s">
        <v>63</v>
      </c>
      <c r="AG2221" s="4" t="s">
        <v>63</v>
      </c>
      <c r="AH2221" s="4" t="s">
        <v>63</v>
      </c>
      <c r="AI2221" s="4" t="s">
        <v>18885</v>
      </c>
      <c r="AJ2221" s="4" t="s">
        <v>63</v>
      </c>
      <c r="AK2221" s="4" t="s">
        <v>63</v>
      </c>
      <c r="AL2221" s="4" t="s">
        <v>63</v>
      </c>
      <c r="AM2221" s="4" t="s">
        <v>18879</v>
      </c>
      <c r="AN2221" s="4" t="s">
        <v>63</v>
      </c>
      <c r="AO2221" s="4" t="s">
        <v>63</v>
      </c>
      <c r="AP2221" s="4" t="s">
        <v>63</v>
      </c>
      <c r="AQ2221" s="4" t="s">
        <v>63</v>
      </c>
      <c r="AR2221" s="4" t="s">
        <v>63</v>
      </c>
      <c r="AS2221" s="4" t="s">
        <v>63</v>
      </c>
      <c r="AT2221" s="4" t="s">
        <v>63</v>
      </c>
      <c r="AU2221" s="4" t="s">
        <v>63</v>
      </c>
      <c r="AV2221" s="4" t="s">
        <v>63</v>
      </c>
      <c r="AW2221" s="4" t="s">
        <v>63</v>
      </c>
      <c r="AX2221" s="4" t="s">
        <v>63</v>
      </c>
      <c r="AY2221" s="4" t="s">
        <v>63</v>
      </c>
      <c r="AZ2221" s="4" t="s">
        <v>63</v>
      </c>
      <c r="BA2221" s="4" t="s">
        <v>63</v>
      </c>
      <c r="BB2221" s="4" t="s">
        <v>63</v>
      </c>
      <c r="BC2221" s="4" t="s">
        <v>63</v>
      </c>
      <c r="BD2221" s="4" t="s">
        <v>63</v>
      </c>
      <c r="BE2221" s="4" t="s">
        <v>63</v>
      </c>
      <c r="BF2221" s="4" t="s">
        <v>63</v>
      </c>
    </row>
    <row r="2222" spans="1:58">
      <c r="A2222" s="4" t="s">
        <v>58</v>
      </c>
      <c r="B2222" s="4" t="s">
        <v>18886</v>
      </c>
      <c r="C2222" s="4" t="s">
        <v>18887</v>
      </c>
      <c r="D2222" s="4" t="s">
        <v>4030</v>
      </c>
      <c r="E2222" s="4" t="s">
        <v>4031</v>
      </c>
      <c r="F2222" s="4">
        <v>1983</v>
      </c>
      <c r="G2222" s="4" t="s">
        <v>63</v>
      </c>
      <c r="H2222" s="4">
        <v>13</v>
      </c>
      <c r="I2222" s="4">
        <v>1</v>
      </c>
      <c r="J2222" s="4">
        <v>73</v>
      </c>
      <c r="K2222" s="4">
        <v>82</v>
      </c>
      <c r="L2222" s="4" t="s">
        <v>18888</v>
      </c>
      <c r="M2222" s="4" t="s">
        <v>18889</v>
      </c>
      <c r="N2222" s="4" t="s">
        <v>18890</v>
      </c>
      <c r="O2222" s="4" t="s">
        <v>63</v>
      </c>
      <c r="P2222" s="4"/>
      <c r="Q2222" s="4" t="s">
        <v>63</v>
      </c>
      <c r="R2222" s="4" t="s">
        <v>63</v>
      </c>
      <c r="S2222" s="4" t="s">
        <v>63</v>
      </c>
      <c r="T2222" s="4" t="s">
        <v>63</v>
      </c>
      <c r="U2222" s="4"/>
      <c r="V2222" s="4"/>
      <c r="W2222" s="4"/>
      <c r="X2222" s="4" t="s">
        <v>63</v>
      </c>
      <c r="Y2222" s="4" t="s">
        <v>4035</v>
      </c>
      <c r="Z2222" s="4" t="s">
        <v>63</v>
      </c>
      <c r="AA2222" s="4" t="s">
        <v>63</v>
      </c>
      <c r="AB2222" s="4" t="s">
        <v>18891</v>
      </c>
      <c r="AC2222" s="4" t="s">
        <v>67</v>
      </c>
      <c r="AD2222" s="4" t="s">
        <v>63</v>
      </c>
      <c r="AE2222" s="4" t="s">
        <v>63</v>
      </c>
      <c r="AF2222" s="4" t="s">
        <v>63</v>
      </c>
      <c r="AG2222" s="4" t="s">
        <v>63</v>
      </c>
      <c r="AH2222" s="4" t="s">
        <v>63</v>
      </c>
      <c r="AI2222" s="4" t="s">
        <v>63</v>
      </c>
      <c r="AJ2222" s="4" t="s">
        <v>63</v>
      </c>
      <c r="AK2222" s="4" t="s">
        <v>63</v>
      </c>
      <c r="AL2222" s="4" t="s">
        <v>63</v>
      </c>
      <c r="AM2222" s="4" t="s">
        <v>18887</v>
      </c>
      <c r="AN2222" s="4" t="s">
        <v>63</v>
      </c>
      <c r="AO2222" s="4" t="s">
        <v>63</v>
      </c>
      <c r="AP2222" s="4" t="s">
        <v>63</v>
      </c>
      <c r="AQ2222" s="4" t="s">
        <v>63</v>
      </c>
      <c r="AR2222" s="4" t="s">
        <v>63</v>
      </c>
      <c r="AS2222" s="4" t="s">
        <v>63</v>
      </c>
      <c r="AT2222" s="4" t="s">
        <v>63</v>
      </c>
      <c r="AU2222" s="4" t="s">
        <v>63</v>
      </c>
      <c r="AV2222" s="4" t="s">
        <v>63</v>
      </c>
      <c r="AW2222" s="4" t="s">
        <v>63</v>
      </c>
      <c r="AX2222" s="4" t="s">
        <v>63</v>
      </c>
      <c r="AY2222" s="4" t="s">
        <v>63</v>
      </c>
      <c r="AZ2222" s="4" t="s">
        <v>63</v>
      </c>
      <c r="BA2222" s="4" t="s">
        <v>63</v>
      </c>
      <c r="BB2222" s="4" t="s">
        <v>63</v>
      </c>
      <c r="BC2222" s="4" t="s">
        <v>63</v>
      </c>
      <c r="BD2222" s="4" t="s">
        <v>63</v>
      </c>
      <c r="BE2222" s="4" t="s">
        <v>63</v>
      </c>
      <c r="BF2222" s="4" t="s">
        <v>63</v>
      </c>
    </row>
    <row r="2223" spans="1:58">
      <c r="A2223" s="4" t="s">
        <v>58</v>
      </c>
      <c r="B2223" s="4" t="s">
        <v>18892</v>
      </c>
      <c r="C2223" s="4" t="s">
        <v>18893</v>
      </c>
      <c r="D2223" s="4" t="s">
        <v>1212</v>
      </c>
      <c r="E2223" s="4" t="s">
        <v>63</v>
      </c>
      <c r="F2223" s="4">
        <v>2017</v>
      </c>
      <c r="G2223" s="4" t="s">
        <v>63</v>
      </c>
      <c r="H2223" s="4">
        <v>11</v>
      </c>
      <c r="I2223" s="4">
        <v>1</v>
      </c>
      <c r="J2223" s="4">
        <v>80</v>
      </c>
      <c r="K2223" s="4">
        <v>81</v>
      </c>
      <c r="L2223" s="4" t="s">
        <v>18894</v>
      </c>
      <c r="M2223" s="4" t="s">
        <v>63</v>
      </c>
      <c r="N2223" s="4" t="s">
        <v>18895</v>
      </c>
      <c r="O2223" s="4" t="s">
        <v>63</v>
      </c>
      <c r="P2223" s="4"/>
      <c r="Q2223" s="4" t="s">
        <v>63</v>
      </c>
      <c r="R2223" s="4" t="s">
        <v>63</v>
      </c>
      <c r="S2223" s="4" t="s">
        <v>63</v>
      </c>
      <c r="T2223" s="4" t="s">
        <v>63</v>
      </c>
      <c r="U2223" s="4"/>
      <c r="V2223" s="4"/>
      <c r="W2223" s="4"/>
      <c r="X2223" s="4" t="s">
        <v>63</v>
      </c>
      <c r="Y2223" s="4" t="s">
        <v>15084</v>
      </c>
      <c r="Z2223" s="4" t="s">
        <v>63</v>
      </c>
      <c r="AA2223" s="4" t="s">
        <v>63</v>
      </c>
      <c r="AB2223" s="4" t="s">
        <v>18896</v>
      </c>
      <c r="AC2223" s="4" t="s">
        <v>67</v>
      </c>
      <c r="AD2223" s="4" t="s">
        <v>63</v>
      </c>
      <c r="AE2223" s="4" t="s">
        <v>63</v>
      </c>
      <c r="AF2223" s="4" t="s">
        <v>63</v>
      </c>
      <c r="AG2223" s="4" t="s">
        <v>63</v>
      </c>
      <c r="AH2223" s="4" t="s">
        <v>63</v>
      </c>
      <c r="AI2223" s="4" t="s">
        <v>18897</v>
      </c>
      <c r="AJ2223" s="4" t="s">
        <v>63</v>
      </c>
      <c r="AK2223" s="4" t="s">
        <v>63</v>
      </c>
      <c r="AL2223" s="4" t="s">
        <v>63</v>
      </c>
      <c r="AM2223" s="4" t="s">
        <v>18893</v>
      </c>
      <c r="AN2223" s="4" t="s">
        <v>63</v>
      </c>
      <c r="AO2223" s="4" t="s">
        <v>63</v>
      </c>
      <c r="AP2223" s="4" t="s">
        <v>63</v>
      </c>
      <c r="AQ2223" s="4" t="s">
        <v>63</v>
      </c>
      <c r="AR2223" s="4" t="s">
        <v>63</v>
      </c>
      <c r="AS2223" s="4" t="s">
        <v>63</v>
      </c>
      <c r="AT2223" s="4" t="s">
        <v>63</v>
      </c>
      <c r="AU2223" s="4" t="s">
        <v>63</v>
      </c>
      <c r="AV2223" s="4" t="s">
        <v>63</v>
      </c>
      <c r="AW2223" s="4" t="s">
        <v>63</v>
      </c>
      <c r="AX2223" s="4" t="s">
        <v>63</v>
      </c>
      <c r="AY2223" s="4" t="s">
        <v>63</v>
      </c>
      <c r="AZ2223" s="4" t="s">
        <v>63</v>
      </c>
      <c r="BA2223" s="4" t="s">
        <v>63</v>
      </c>
      <c r="BB2223" s="4" t="s">
        <v>63</v>
      </c>
      <c r="BC2223" s="4" t="s">
        <v>63</v>
      </c>
      <c r="BD2223" s="4" t="s">
        <v>63</v>
      </c>
      <c r="BE2223" s="4" t="s">
        <v>63</v>
      </c>
      <c r="BF2223" s="4" t="s">
        <v>63</v>
      </c>
    </row>
    <row r="2224" spans="1:58">
      <c r="A2224" s="4" t="s">
        <v>58</v>
      </c>
      <c r="B2224" s="4" t="s">
        <v>18898</v>
      </c>
      <c r="C2224" s="4" t="s">
        <v>18899</v>
      </c>
      <c r="D2224" s="4" t="s">
        <v>155</v>
      </c>
      <c r="E2224" s="4" t="s">
        <v>156</v>
      </c>
      <c r="F2224" s="4">
        <v>2011</v>
      </c>
      <c r="G2224" s="4" t="s">
        <v>15358</v>
      </c>
      <c r="H2224" s="4">
        <v>58</v>
      </c>
      <c r="I2224" s="4">
        <v>4</v>
      </c>
      <c r="J2224" s="4" t="s">
        <v>18900</v>
      </c>
      <c r="K2224" s="4" t="s">
        <v>18901</v>
      </c>
      <c r="L2224" s="4" t="s">
        <v>18902</v>
      </c>
      <c r="M2224" s="4" t="s">
        <v>18903</v>
      </c>
      <c r="N2224" s="4" t="s">
        <v>18904</v>
      </c>
      <c r="O2224" s="4" t="s">
        <v>63</v>
      </c>
      <c r="P2224" s="4"/>
      <c r="Q2224" s="4" t="s">
        <v>63</v>
      </c>
      <c r="R2224" s="4" t="s">
        <v>63</v>
      </c>
      <c r="S2224" s="4" t="s">
        <v>63</v>
      </c>
      <c r="T2224" s="4" t="s">
        <v>63</v>
      </c>
      <c r="U2224" s="4"/>
      <c r="V2224" s="4"/>
      <c r="W2224" s="4"/>
      <c r="X2224" s="4" t="s">
        <v>63</v>
      </c>
      <c r="Y2224" s="4" t="s">
        <v>160</v>
      </c>
      <c r="Z2224" s="4" t="s">
        <v>63</v>
      </c>
      <c r="AA2224" s="4" t="s">
        <v>63</v>
      </c>
      <c r="AB2224" s="4" t="s">
        <v>63</v>
      </c>
      <c r="AC2224" s="4" t="s">
        <v>67</v>
      </c>
      <c r="AD2224" s="4" t="s">
        <v>63</v>
      </c>
      <c r="AE2224" s="4" t="s">
        <v>63</v>
      </c>
      <c r="AF2224" s="4" t="s">
        <v>63</v>
      </c>
      <c r="AG2224" s="4" t="s">
        <v>63</v>
      </c>
      <c r="AH2224" s="4" t="s">
        <v>63</v>
      </c>
      <c r="AI2224" s="4" t="s">
        <v>18905</v>
      </c>
      <c r="AJ2224" s="4" t="s">
        <v>63</v>
      </c>
      <c r="AK2224" s="4" t="s">
        <v>63</v>
      </c>
      <c r="AL2224" s="4" t="s">
        <v>63</v>
      </c>
      <c r="AM2224" s="4" t="s">
        <v>18899</v>
      </c>
      <c r="AN2224" s="4" t="s">
        <v>63</v>
      </c>
      <c r="AO2224" s="4" t="s">
        <v>63</v>
      </c>
      <c r="AP2224" s="4" t="s">
        <v>63</v>
      </c>
      <c r="AQ2224" s="4" t="s">
        <v>63</v>
      </c>
      <c r="AR2224" s="4" t="s">
        <v>63</v>
      </c>
      <c r="AS2224" s="4" t="s">
        <v>63</v>
      </c>
      <c r="AT2224" s="4" t="s">
        <v>63</v>
      </c>
      <c r="AU2224" s="4" t="s">
        <v>63</v>
      </c>
      <c r="AV2224" s="4" t="s">
        <v>63</v>
      </c>
      <c r="AW2224" s="4" t="s">
        <v>63</v>
      </c>
      <c r="AX2224" s="4" t="s">
        <v>63</v>
      </c>
      <c r="AY2224" s="4" t="s">
        <v>63</v>
      </c>
      <c r="AZ2224" s="4" t="s">
        <v>63</v>
      </c>
      <c r="BA2224" s="4" t="s">
        <v>63</v>
      </c>
      <c r="BB2224" s="4" t="s">
        <v>63</v>
      </c>
      <c r="BC2224" s="4" t="s">
        <v>63</v>
      </c>
      <c r="BD2224" s="4" t="s">
        <v>63</v>
      </c>
      <c r="BE2224" s="4" t="s">
        <v>63</v>
      </c>
      <c r="BF2224" s="4" t="s">
        <v>63</v>
      </c>
    </row>
    <row r="2225" spans="1:58">
      <c r="A2225" s="4" t="s">
        <v>58</v>
      </c>
      <c r="B2225" s="4" t="s">
        <v>18906</v>
      </c>
      <c r="C2225" s="4" t="s">
        <v>18907</v>
      </c>
      <c r="D2225" s="4" t="s">
        <v>4003</v>
      </c>
      <c r="E2225" s="4" t="s">
        <v>63</v>
      </c>
      <c r="F2225" s="4">
        <v>2010</v>
      </c>
      <c r="G2225" s="4" t="s">
        <v>15389</v>
      </c>
      <c r="H2225" s="4" t="s">
        <v>18908</v>
      </c>
      <c r="I2225" s="4" t="s">
        <v>63</v>
      </c>
      <c r="J2225" s="4">
        <v>43</v>
      </c>
      <c r="K2225" s="4">
        <v>44</v>
      </c>
      <c r="L2225" s="4" t="s">
        <v>18909</v>
      </c>
      <c r="M2225" s="4" t="s">
        <v>18910</v>
      </c>
      <c r="N2225" s="4" t="s">
        <v>18911</v>
      </c>
      <c r="O2225" s="4" t="s">
        <v>63</v>
      </c>
      <c r="P2225" s="4"/>
      <c r="Q2225" s="4" t="s">
        <v>63</v>
      </c>
      <c r="R2225" s="4" t="s">
        <v>63</v>
      </c>
      <c r="S2225" s="4" t="s">
        <v>63</v>
      </c>
      <c r="T2225" s="4" t="s">
        <v>63</v>
      </c>
      <c r="U2225" s="4"/>
      <c r="V2225" s="4"/>
      <c r="W2225" s="4"/>
      <c r="X2225" s="4" t="s">
        <v>63</v>
      </c>
      <c r="Y2225" s="4" t="s">
        <v>18912</v>
      </c>
      <c r="Z2225" s="4" t="s">
        <v>63</v>
      </c>
      <c r="AA2225" s="4" t="s">
        <v>63</v>
      </c>
      <c r="AB2225" s="4" t="s">
        <v>63</v>
      </c>
      <c r="AC2225" s="4" t="s">
        <v>67</v>
      </c>
      <c r="AD2225" s="4" t="s">
        <v>63</v>
      </c>
      <c r="AE2225" s="4" t="s">
        <v>63</v>
      </c>
      <c r="AF2225" s="4" t="s">
        <v>63</v>
      </c>
      <c r="AG2225" s="4" t="s">
        <v>63</v>
      </c>
      <c r="AH2225" s="4" t="s">
        <v>63</v>
      </c>
      <c r="AI2225" s="4" t="s">
        <v>18913</v>
      </c>
      <c r="AJ2225" s="4" t="s">
        <v>63</v>
      </c>
      <c r="AK2225" s="4" t="s">
        <v>63</v>
      </c>
      <c r="AL2225" s="4" t="s">
        <v>63</v>
      </c>
      <c r="AM2225" s="4" t="s">
        <v>18907</v>
      </c>
      <c r="AN2225" s="4" t="s">
        <v>63</v>
      </c>
      <c r="AO2225" s="4" t="s">
        <v>63</v>
      </c>
      <c r="AP2225" s="4" t="s">
        <v>63</v>
      </c>
      <c r="AQ2225" s="4" t="s">
        <v>63</v>
      </c>
      <c r="AR2225" s="4" t="s">
        <v>63</v>
      </c>
      <c r="AS2225" s="4" t="s">
        <v>63</v>
      </c>
      <c r="AT2225" s="4" t="s">
        <v>63</v>
      </c>
      <c r="AU2225" s="4" t="s">
        <v>63</v>
      </c>
      <c r="AV2225" s="4" t="s">
        <v>63</v>
      </c>
      <c r="AW2225" s="4" t="s">
        <v>63</v>
      </c>
      <c r="AX2225" s="4" t="s">
        <v>63</v>
      </c>
      <c r="AY2225" s="4" t="s">
        <v>63</v>
      </c>
      <c r="AZ2225" s="4" t="s">
        <v>63</v>
      </c>
      <c r="BA2225" s="4" t="s">
        <v>63</v>
      </c>
      <c r="BB2225" s="4" t="s">
        <v>63</v>
      </c>
      <c r="BC2225" s="4" t="s">
        <v>63</v>
      </c>
      <c r="BD2225" s="4" t="s">
        <v>63</v>
      </c>
      <c r="BE2225" s="4" t="s">
        <v>63</v>
      </c>
      <c r="BF2225" s="4" t="s">
        <v>63</v>
      </c>
    </row>
    <row r="2226" spans="1:58">
      <c r="A2226" s="4" t="s">
        <v>58</v>
      </c>
      <c r="B2226" s="4" t="s">
        <v>18914</v>
      </c>
      <c r="C2226" s="4" t="s">
        <v>18915</v>
      </c>
      <c r="D2226" s="4" t="s">
        <v>18916</v>
      </c>
      <c r="E2226" s="4" t="s">
        <v>63</v>
      </c>
      <c r="F2226" s="4">
        <v>1982</v>
      </c>
      <c r="G2226" s="4" t="s">
        <v>63</v>
      </c>
      <c r="H2226" s="4">
        <v>16</v>
      </c>
      <c r="I2226" s="4">
        <v>24</v>
      </c>
      <c r="J2226" s="4">
        <v>2137</v>
      </c>
      <c r="K2226" s="4">
        <v>2143</v>
      </c>
      <c r="L2226" s="4" t="s">
        <v>18917</v>
      </c>
      <c r="M2226" s="4" t="s">
        <v>18918</v>
      </c>
      <c r="N2226" s="4" t="s">
        <v>18919</v>
      </c>
      <c r="O2226" s="4" t="s">
        <v>63</v>
      </c>
      <c r="P2226" s="4"/>
      <c r="Q2226" s="4" t="s">
        <v>63</v>
      </c>
      <c r="R2226" s="4" t="s">
        <v>63</v>
      </c>
      <c r="S2226" s="4" t="s">
        <v>63</v>
      </c>
      <c r="T2226" s="4" t="s">
        <v>63</v>
      </c>
      <c r="U2226" s="4"/>
      <c r="V2226" s="4"/>
      <c r="W2226" s="4"/>
      <c r="X2226" s="4" t="s">
        <v>63</v>
      </c>
      <c r="Y2226" s="4" t="s">
        <v>5283</v>
      </c>
      <c r="Z2226" s="4" t="s">
        <v>63</v>
      </c>
      <c r="AA2226" s="4" t="s">
        <v>63</v>
      </c>
      <c r="AB2226" s="4">
        <v>1983076003</v>
      </c>
      <c r="AC2226" s="4" t="s">
        <v>67</v>
      </c>
      <c r="AD2226" s="4" t="s">
        <v>63</v>
      </c>
      <c r="AE2226" s="4" t="s">
        <v>63</v>
      </c>
      <c r="AF2226" s="4" t="s">
        <v>63</v>
      </c>
      <c r="AG2226" s="4" t="s">
        <v>18920</v>
      </c>
      <c r="AH2226" s="4" t="s">
        <v>63</v>
      </c>
      <c r="AI2226" s="4" t="s">
        <v>18921</v>
      </c>
      <c r="AJ2226" s="4" t="s">
        <v>63</v>
      </c>
      <c r="AK2226" s="4" t="s">
        <v>63</v>
      </c>
      <c r="AL2226" s="4" t="s">
        <v>63</v>
      </c>
      <c r="AM2226" s="4" t="s">
        <v>18922</v>
      </c>
      <c r="AN2226" s="4" t="s">
        <v>63</v>
      </c>
      <c r="AO2226" s="4" t="s">
        <v>63</v>
      </c>
      <c r="AP2226" s="4" t="s">
        <v>63</v>
      </c>
      <c r="AQ2226" s="4" t="s">
        <v>63</v>
      </c>
      <c r="AR2226" s="4" t="s">
        <v>63</v>
      </c>
      <c r="AS2226" s="4" t="s">
        <v>63</v>
      </c>
      <c r="AT2226" s="4" t="s">
        <v>63</v>
      </c>
      <c r="AU2226" s="4" t="s">
        <v>63</v>
      </c>
      <c r="AV2226" s="4" t="s">
        <v>63</v>
      </c>
      <c r="AW2226" s="4" t="s">
        <v>63</v>
      </c>
      <c r="AX2226" s="4" t="s">
        <v>63</v>
      </c>
      <c r="AY2226" s="4" t="s">
        <v>63</v>
      </c>
      <c r="AZ2226" s="4" t="s">
        <v>63</v>
      </c>
      <c r="BA2226" s="4" t="s">
        <v>63</v>
      </c>
      <c r="BB2226" s="4" t="s">
        <v>63</v>
      </c>
      <c r="BC2226" s="4" t="s">
        <v>63</v>
      </c>
      <c r="BD2226" s="4" t="s">
        <v>63</v>
      </c>
      <c r="BE2226" s="4" t="s">
        <v>63</v>
      </c>
      <c r="BF2226" s="4" t="s">
        <v>63</v>
      </c>
    </row>
    <row r="2227" spans="1:58">
      <c r="A2227" s="4" t="s">
        <v>58</v>
      </c>
      <c r="B2227" s="4" t="s">
        <v>18923</v>
      </c>
      <c r="C2227" s="4" t="s">
        <v>18924</v>
      </c>
      <c r="D2227" s="4" t="s">
        <v>371</v>
      </c>
      <c r="E2227" s="4" t="s">
        <v>63</v>
      </c>
      <c r="F2227" s="4">
        <v>2017</v>
      </c>
      <c r="G2227" s="4">
        <v>1</v>
      </c>
      <c r="H2227" s="4">
        <v>32</v>
      </c>
      <c r="I2227" s="4">
        <v>2</v>
      </c>
      <c r="J2227" s="4" t="s">
        <v>18834</v>
      </c>
      <c r="K2227" s="4" t="s">
        <v>18925</v>
      </c>
      <c r="L2227" s="4" t="s">
        <v>18926</v>
      </c>
      <c r="M2227" s="4" t="s">
        <v>18927</v>
      </c>
      <c r="N2227" s="4" t="s">
        <v>18928</v>
      </c>
      <c r="O2227" s="4" t="s">
        <v>63</v>
      </c>
      <c r="P2227" s="4"/>
      <c r="Q2227" s="4" t="s">
        <v>63</v>
      </c>
      <c r="R2227" s="4" t="s">
        <v>63</v>
      </c>
      <c r="S2227" s="4" t="s">
        <v>63</v>
      </c>
      <c r="T2227" s="4" t="s">
        <v>63</v>
      </c>
      <c r="U2227" s="4"/>
      <c r="V2227" s="4"/>
      <c r="W2227" s="4"/>
      <c r="X2227" s="4" t="s">
        <v>63</v>
      </c>
      <c r="Y2227" s="4" t="s">
        <v>375</v>
      </c>
      <c r="Z2227" s="4" t="s">
        <v>63</v>
      </c>
      <c r="AA2227" s="4" t="s">
        <v>63</v>
      </c>
      <c r="AB2227" s="4" t="s">
        <v>63</v>
      </c>
      <c r="AC2227" s="4" t="s">
        <v>67</v>
      </c>
      <c r="AD2227" s="4" t="s">
        <v>63</v>
      </c>
      <c r="AE2227" s="4" t="s">
        <v>63</v>
      </c>
      <c r="AF2227" s="4" t="s">
        <v>63</v>
      </c>
      <c r="AG2227" s="4" t="s">
        <v>63</v>
      </c>
      <c r="AH2227" s="4" t="s">
        <v>63</v>
      </c>
      <c r="AI2227" s="4" t="s">
        <v>63</v>
      </c>
      <c r="AJ2227" s="4" t="s">
        <v>63</v>
      </c>
      <c r="AK2227" s="4" t="s">
        <v>63</v>
      </c>
      <c r="AL2227" s="4" t="s">
        <v>63</v>
      </c>
      <c r="AM2227" s="4" t="s">
        <v>18924</v>
      </c>
      <c r="AN2227" s="4" t="s">
        <v>63</v>
      </c>
      <c r="AO2227" s="4" t="s">
        <v>63</v>
      </c>
      <c r="AP2227" s="4" t="s">
        <v>63</v>
      </c>
      <c r="AQ2227" s="4" t="s">
        <v>63</v>
      </c>
      <c r="AR2227" s="4" t="s">
        <v>63</v>
      </c>
      <c r="AS2227" s="4" t="s">
        <v>63</v>
      </c>
      <c r="AT2227" s="4" t="s">
        <v>63</v>
      </c>
      <c r="AU2227" s="4" t="s">
        <v>63</v>
      </c>
      <c r="AV2227" s="4" t="s">
        <v>63</v>
      </c>
      <c r="AW2227" s="4" t="s">
        <v>63</v>
      </c>
      <c r="AX2227" s="4" t="s">
        <v>63</v>
      </c>
      <c r="AY2227" s="4" t="s">
        <v>63</v>
      </c>
      <c r="AZ2227" s="4" t="s">
        <v>63</v>
      </c>
      <c r="BA2227" s="4" t="s">
        <v>63</v>
      </c>
      <c r="BB2227" s="4" t="s">
        <v>63</v>
      </c>
      <c r="BC2227" s="4" t="s">
        <v>63</v>
      </c>
      <c r="BD2227" s="4" t="s">
        <v>63</v>
      </c>
      <c r="BE2227" s="4" t="s">
        <v>63</v>
      </c>
      <c r="BF2227" s="4" t="s">
        <v>63</v>
      </c>
    </row>
    <row r="2228" spans="1:58">
      <c r="A2228" s="4" t="s">
        <v>58</v>
      </c>
      <c r="B2228" s="4" t="s">
        <v>18929</v>
      </c>
      <c r="C2228" s="4" t="s">
        <v>18930</v>
      </c>
      <c r="D2228" s="4" t="s">
        <v>18931</v>
      </c>
      <c r="E2228" s="4" t="s">
        <v>63</v>
      </c>
      <c r="F2228" s="4">
        <v>2009</v>
      </c>
      <c r="G2228" s="4" t="s">
        <v>15358</v>
      </c>
      <c r="H2228" s="4">
        <v>163</v>
      </c>
      <c r="I2228" s="4">
        <v>10</v>
      </c>
      <c r="J2228" s="4">
        <v>937</v>
      </c>
      <c r="K2228" s="4">
        <v>943</v>
      </c>
      <c r="L2228" s="4" t="s">
        <v>18932</v>
      </c>
      <c r="M2228" s="4" t="s">
        <v>18933</v>
      </c>
      <c r="N2228" s="4" t="s">
        <v>18934</v>
      </c>
      <c r="O2228" s="4" t="s">
        <v>63</v>
      </c>
      <c r="P2228" s="4"/>
      <c r="Q2228" s="4" t="s">
        <v>63</v>
      </c>
      <c r="R2228" s="4" t="s">
        <v>63</v>
      </c>
      <c r="S2228" s="4" t="s">
        <v>63</v>
      </c>
      <c r="T2228" s="4" t="s">
        <v>63</v>
      </c>
      <c r="U2228" s="4"/>
      <c r="V2228" s="4"/>
      <c r="W2228" s="4"/>
      <c r="X2228" s="4" t="s">
        <v>63</v>
      </c>
      <c r="Y2228" s="4" t="s">
        <v>18935</v>
      </c>
      <c r="Z2228" s="4" t="s">
        <v>63</v>
      </c>
      <c r="AA2228" s="4" t="s">
        <v>63</v>
      </c>
      <c r="AB2228" s="4">
        <v>2009529663</v>
      </c>
      <c r="AC2228" s="4" t="s">
        <v>67</v>
      </c>
      <c r="AD2228" s="4" t="s">
        <v>63</v>
      </c>
      <c r="AE2228" s="4" t="s">
        <v>63</v>
      </c>
      <c r="AF2228" s="4" t="s">
        <v>63</v>
      </c>
      <c r="AG2228" s="4" t="s">
        <v>18936</v>
      </c>
      <c r="AH2228" s="4" t="s">
        <v>63</v>
      </c>
      <c r="AI2228" s="4" t="s">
        <v>18937</v>
      </c>
      <c r="AJ2228" s="4" t="s">
        <v>63</v>
      </c>
      <c r="AK2228" s="4" t="s">
        <v>63</v>
      </c>
      <c r="AL2228" s="4" t="s">
        <v>63</v>
      </c>
      <c r="AM2228" s="4" t="s">
        <v>18938</v>
      </c>
      <c r="AN2228" s="4" t="s">
        <v>63</v>
      </c>
      <c r="AO2228" s="4" t="s">
        <v>63</v>
      </c>
      <c r="AP2228" s="4" t="s">
        <v>63</v>
      </c>
      <c r="AQ2228" s="4" t="s">
        <v>63</v>
      </c>
      <c r="AR2228" s="4" t="s">
        <v>63</v>
      </c>
      <c r="AS2228" s="4" t="s">
        <v>63</v>
      </c>
      <c r="AT2228" s="4" t="s">
        <v>63</v>
      </c>
      <c r="AU2228" s="4" t="s">
        <v>63</v>
      </c>
      <c r="AV2228" s="4" t="s">
        <v>63</v>
      </c>
      <c r="AW2228" s="4" t="s">
        <v>63</v>
      </c>
      <c r="AX2228" s="4" t="s">
        <v>63</v>
      </c>
      <c r="AY2228" s="4" t="s">
        <v>63</v>
      </c>
      <c r="AZ2228" s="4" t="s">
        <v>63</v>
      </c>
      <c r="BA2228" s="4" t="s">
        <v>63</v>
      </c>
      <c r="BB2228" s="4" t="s">
        <v>63</v>
      </c>
      <c r="BC2228" s="4" t="s">
        <v>63</v>
      </c>
      <c r="BD2228" s="4" t="s">
        <v>63</v>
      </c>
      <c r="BE2228" s="4" t="s">
        <v>63</v>
      </c>
      <c r="BF2228" s="4" t="s">
        <v>63</v>
      </c>
    </row>
    <row r="2229" spans="1:58">
      <c r="A2229" s="4" t="s">
        <v>58</v>
      </c>
      <c r="B2229" s="4" t="s">
        <v>18939</v>
      </c>
      <c r="C2229" s="4" t="s">
        <v>18940</v>
      </c>
      <c r="D2229" s="4" t="s">
        <v>18941</v>
      </c>
      <c r="E2229" s="4" t="s">
        <v>18942</v>
      </c>
      <c r="F2229" s="4">
        <v>1975</v>
      </c>
      <c r="G2229" s="4" t="s">
        <v>63</v>
      </c>
      <c r="H2229" s="4">
        <v>8</v>
      </c>
      <c r="I2229" s="4">
        <v>3</v>
      </c>
      <c r="J2229" s="4">
        <v>333</v>
      </c>
      <c r="K2229" s="4">
        <v>336</v>
      </c>
      <c r="L2229" s="4" t="s">
        <v>18943</v>
      </c>
      <c r="M2229" s="4" t="s">
        <v>63</v>
      </c>
      <c r="N2229" s="4" t="s">
        <v>18944</v>
      </c>
      <c r="O2229" s="4" t="s">
        <v>63</v>
      </c>
      <c r="P2229" s="4"/>
      <c r="Q2229" s="4" t="s">
        <v>63</v>
      </c>
      <c r="R2229" s="4" t="s">
        <v>63</v>
      </c>
      <c r="S2229" s="4" t="s">
        <v>63</v>
      </c>
      <c r="T2229" s="4" t="s">
        <v>63</v>
      </c>
      <c r="U2229" s="4"/>
      <c r="V2229" s="4"/>
      <c r="W2229" s="4"/>
      <c r="X2229" s="4" t="s">
        <v>63</v>
      </c>
      <c r="Y2229" s="5">
        <v>41890</v>
      </c>
      <c r="Z2229" s="4" t="s">
        <v>63</v>
      </c>
      <c r="AA2229" s="4" t="s">
        <v>63</v>
      </c>
      <c r="AB2229" s="4">
        <v>1976156503</v>
      </c>
      <c r="AC2229" s="4" t="s">
        <v>67</v>
      </c>
      <c r="AD2229" s="4" t="s">
        <v>63</v>
      </c>
      <c r="AE2229" s="4" t="s">
        <v>63</v>
      </c>
      <c r="AF2229" s="4" t="s">
        <v>63</v>
      </c>
      <c r="AG2229" s="4" t="s">
        <v>18945</v>
      </c>
      <c r="AH2229" s="4" t="s">
        <v>63</v>
      </c>
      <c r="AI2229" s="4" t="s">
        <v>63</v>
      </c>
      <c r="AJ2229" s="4" t="s">
        <v>63</v>
      </c>
      <c r="AK2229" s="4" t="s">
        <v>63</v>
      </c>
      <c r="AL2229" s="4" t="s">
        <v>63</v>
      </c>
      <c r="AM2229" s="4" t="s">
        <v>18946</v>
      </c>
      <c r="AN2229" s="4" t="s">
        <v>63</v>
      </c>
      <c r="AO2229" s="4" t="s">
        <v>63</v>
      </c>
      <c r="AP2229" s="4" t="s">
        <v>63</v>
      </c>
      <c r="AQ2229" s="4" t="s">
        <v>63</v>
      </c>
      <c r="AR2229" s="4" t="s">
        <v>63</v>
      </c>
      <c r="AS2229" s="4" t="s">
        <v>63</v>
      </c>
      <c r="AT2229" s="4" t="s">
        <v>63</v>
      </c>
      <c r="AU2229" s="4" t="s">
        <v>63</v>
      </c>
      <c r="AV2229" s="4" t="s">
        <v>63</v>
      </c>
      <c r="AW2229" s="4" t="s">
        <v>63</v>
      </c>
      <c r="AX2229" s="4" t="s">
        <v>63</v>
      </c>
      <c r="AY2229" s="4" t="s">
        <v>63</v>
      </c>
      <c r="AZ2229" s="4" t="s">
        <v>63</v>
      </c>
      <c r="BA2229" s="4" t="s">
        <v>63</v>
      </c>
      <c r="BB2229" s="4" t="s">
        <v>63</v>
      </c>
      <c r="BC2229" s="4" t="s">
        <v>63</v>
      </c>
      <c r="BD2229" s="4" t="s">
        <v>63</v>
      </c>
      <c r="BE2229" s="4" t="s">
        <v>63</v>
      </c>
      <c r="BF2229" s="4" t="s">
        <v>63</v>
      </c>
    </row>
    <row r="2230" spans="1:58">
      <c r="A2230" s="4" t="s">
        <v>58</v>
      </c>
      <c r="B2230" s="4" t="s">
        <v>18947</v>
      </c>
      <c r="C2230" s="4" t="s">
        <v>18948</v>
      </c>
      <c r="D2230" s="4" t="s">
        <v>1744</v>
      </c>
      <c r="E2230" s="4" t="s">
        <v>1745</v>
      </c>
      <c r="F2230" s="4">
        <v>2013</v>
      </c>
      <c r="G2230" s="4">
        <v>1</v>
      </c>
      <c r="H2230" s="4">
        <v>46</v>
      </c>
      <c r="I2230" s="4">
        <v>3</v>
      </c>
      <c r="J2230" s="4">
        <v>223</v>
      </c>
      <c r="K2230" s="4">
        <v>242</v>
      </c>
      <c r="L2230" s="4" t="s">
        <v>18949</v>
      </c>
      <c r="M2230" s="4" t="s">
        <v>18950</v>
      </c>
      <c r="N2230" s="4" t="s">
        <v>18951</v>
      </c>
      <c r="O2230" s="4" t="s">
        <v>63</v>
      </c>
      <c r="P2230" s="4"/>
      <c r="Q2230" s="4" t="s">
        <v>63</v>
      </c>
      <c r="R2230" s="4" t="s">
        <v>63</v>
      </c>
      <c r="S2230" s="4" t="s">
        <v>63</v>
      </c>
      <c r="T2230" s="4" t="s">
        <v>63</v>
      </c>
      <c r="U2230" s="4"/>
      <c r="V2230" s="4"/>
      <c r="W2230" s="4"/>
      <c r="X2230" s="4" t="s">
        <v>63</v>
      </c>
      <c r="Y2230" s="4" t="s">
        <v>18952</v>
      </c>
      <c r="Z2230" s="4" t="s">
        <v>63</v>
      </c>
      <c r="AA2230" s="4" t="s">
        <v>63</v>
      </c>
      <c r="AB2230" s="4">
        <v>2014120652</v>
      </c>
      <c r="AC2230" s="4" t="s">
        <v>67</v>
      </c>
      <c r="AD2230" s="4" t="s">
        <v>63</v>
      </c>
      <c r="AE2230" s="4" t="s">
        <v>63</v>
      </c>
      <c r="AF2230" s="4" t="s">
        <v>63</v>
      </c>
      <c r="AG2230" s="4" t="s">
        <v>18953</v>
      </c>
      <c r="AH2230" s="4" t="s">
        <v>63</v>
      </c>
      <c r="AI2230" s="4" t="s">
        <v>18954</v>
      </c>
      <c r="AJ2230" s="4" t="s">
        <v>63</v>
      </c>
      <c r="AK2230" s="4" t="s">
        <v>63</v>
      </c>
      <c r="AL2230" s="4" t="s">
        <v>63</v>
      </c>
      <c r="AM2230" s="4" t="s">
        <v>18955</v>
      </c>
      <c r="AN2230" s="4" t="s">
        <v>63</v>
      </c>
      <c r="AO2230" s="4" t="s">
        <v>63</v>
      </c>
      <c r="AP2230" s="4" t="s">
        <v>63</v>
      </c>
      <c r="AQ2230" s="4" t="s">
        <v>63</v>
      </c>
      <c r="AR2230" s="4" t="s">
        <v>63</v>
      </c>
      <c r="AS2230" s="4" t="s">
        <v>63</v>
      </c>
      <c r="AT2230" s="4" t="s">
        <v>63</v>
      </c>
      <c r="AU2230" s="4" t="s">
        <v>63</v>
      </c>
      <c r="AV2230" s="4" t="s">
        <v>63</v>
      </c>
      <c r="AW2230" s="4" t="s">
        <v>63</v>
      </c>
      <c r="AX2230" s="4" t="s">
        <v>63</v>
      </c>
      <c r="AY2230" s="4" t="s">
        <v>63</v>
      </c>
      <c r="AZ2230" s="4" t="s">
        <v>63</v>
      </c>
      <c r="BA2230" s="4" t="s">
        <v>63</v>
      </c>
      <c r="BB2230" s="4" t="s">
        <v>63</v>
      </c>
      <c r="BC2230" s="4" t="s">
        <v>63</v>
      </c>
      <c r="BD2230" s="4" t="s">
        <v>63</v>
      </c>
      <c r="BE2230" s="4" t="s">
        <v>63</v>
      </c>
      <c r="BF2230" s="4" t="s">
        <v>63</v>
      </c>
    </row>
    <row r="2231" spans="1:58">
      <c r="A2231" s="4" t="s">
        <v>58</v>
      </c>
      <c r="B2231" s="4" t="s">
        <v>18956</v>
      </c>
      <c r="C2231" s="4" t="s">
        <v>18957</v>
      </c>
      <c r="D2231" s="4" t="s">
        <v>18958</v>
      </c>
      <c r="E2231" s="4" t="s">
        <v>63</v>
      </c>
      <c r="F2231" s="4">
        <v>2008</v>
      </c>
      <c r="G2231" s="4" t="s">
        <v>17240</v>
      </c>
      <c r="H2231" s="4">
        <v>25</v>
      </c>
      <c r="I2231" s="4">
        <v>3</v>
      </c>
      <c r="J2231" s="4">
        <v>373</v>
      </c>
      <c r="K2231" s="4">
        <v>383</v>
      </c>
      <c r="L2231" s="4" t="s">
        <v>18959</v>
      </c>
      <c r="M2231" s="4" t="s">
        <v>18960</v>
      </c>
      <c r="N2231" s="4" t="s">
        <v>18961</v>
      </c>
      <c r="O2231" s="4" t="s">
        <v>63</v>
      </c>
      <c r="P2231" s="4"/>
      <c r="Q2231" s="4" t="s">
        <v>63</v>
      </c>
      <c r="R2231" s="4" t="s">
        <v>63</v>
      </c>
      <c r="S2231" s="4" t="s">
        <v>63</v>
      </c>
      <c r="T2231" s="4" t="s">
        <v>63</v>
      </c>
      <c r="U2231" s="4"/>
      <c r="V2231" s="4"/>
      <c r="W2231" s="4"/>
      <c r="X2231" s="4" t="s">
        <v>63</v>
      </c>
      <c r="Y2231" s="4" t="s">
        <v>18962</v>
      </c>
      <c r="Z2231" s="4" t="s">
        <v>63</v>
      </c>
      <c r="AA2231" s="4" t="s">
        <v>63</v>
      </c>
      <c r="AB2231" s="4" t="s">
        <v>18963</v>
      </c>
      <c r="AC2231" s="4" t="s">
        <v>13694</v>
      </c>
      <c r="AD2231" s="4" t="s">
        <v>63</v>
      </c>
      <c r="AE2231" s="4" t="s">
        <v>63</v>
      </c>
      <c r="AF2231" s="4" t="s">
        <v>63</v>
      </c>
      <c r="AG2231" s="4" t="s">
        <v>63</v>
      </c>
      <c r="AH2231" s="4" t="s">
        <v>63</v>
      </c>
      <c r="AI2231" s="4" t="s">
        <v>63</v>
      </c>
      <c r="AJ2231" s="4" t="s">
        <v>63</v>
      </c>
      <c r="AK2231" s="4" t="s">
        <v>63</v>
      </c>
      <c r="AL2231" s="4" t="s">
        <v>63</v>
      </c>
      <c r="AM2231" s="4" t="s">
        <v>18957</v>
      </c>
      <c r="AN2231" s="4" t="s">
        <v>63</v>
      </c>
      <c r="AO2231" s="4" t="s">
        <v>63</v>
      </c>
      <c r="AP2231" s="4" t="s">
        <v>63</v>
      </c>
      <c r="AQ2231" s="4" t="s">
        <v>63</v>
      </c>
      <c r="AR2231" s="4" t="s">
        <v>63</v>
      </c>
      <c r="AS2231" s="4" t="s">
        <v>63</v>
      </c>
      <c r="AT2231" s="4" t="s">
        <v>63</v>
      </c>
      <c r="AU2231" s="4" t="s">
        <v>63</v>
      </c>
      <c r="AV2231" s="4" t="s">
        <v>63</v>
      </c>
      <c r="AW2231" s="4" t="s">
        <v>63</v>
      </c>
      <c r="AX2231" s="4" t="s">
        <v>63</v>
      </c>
      <c r="AY2231" s="4" t="s">
        <v>63</v>
      </c>
      <c r="AZ2231" s="4" t="s">
        <v>63</v>
      </c>
      <c r="BA2231" s="4" t="s">
        <v>63</v>
      </c>
      <c r="BB2231" s="4" t="s">
        <v>63</v>
      </c>
      <c r="BC2231" s="4" t="s">
        <v>63</v>
      </c>
      <c r="BD2231" s="4" t="s">
        <v>63</v>
      </c>
      <c r="BE2231" s="4" t="s">
        <v>63</v>
      </c>
      <c r="BF2231" s="4" t="s">
        <v>63</v>
      </c>
    </row>
    <row r="2232" spans="1:58">
      <c r="A2232" s="4" t="s">
        <v>58</v>
      </c>
      <c r="B2232" s="4" t="s">
        <v>18964</v>
      </c>
      <c r="C2232" s="4" t="s">
        <v>18965</v>
      </c>
      <c r="D2232" s="4" t="s">
        <v>398</v>
      </c>
      <c r="E2232" s="4" t="s">
        <v>398</v>
      </c>
      <c r="F2232" s="4">
        <v>1995</v>
      </c>
      <c r="G2232" s="4" t="s">
        <v>63</v>
      </c>
      <c r="H2232" s="4">
        <v>96</v>
      </c>
      <c r="I2232" s="4">
        <v>1</v>
      </c>
      <c r="J2232" s="4">
        <v>99</v>
      </c>
      <c r="K2232" s="4">
        <v>104</v>
      </c>
      <c r="L2232" s="4" t="s">
        <v>18966</v>
      </c>
      <c r="M2232" s="4" t="s">
        <v>18967</v>
      </c>
      <c r="N2232" s="4" t="s">
        <v>18968</v>
      </c>
      <c r="O2232" s="4" t="s">
        <v>63</v>
      </c>
      <c r="P2232" s="4"/>
      <c r="Q2232" s="4" t="s">
        <v>63</v>
      </c>
      <c r="R2232" s="4" t="s">
        <v>63</v>
      </c>
      <c r="S2232" s="4" t="s">
        <v>63</v>
      </c>
      <c r="T2232" s="4" t="s">
        <v>63</v>
      </c>
      <c r="U2232" s="4"/>
      <c r="V2232" s="4"/>
      <c r="W2232" s="4"/>
      <c r="X2232" s="4" t="s">
        <v>63</v>
      </c>
      <c r="Y2232" s="4" t="s">
        <v>402</v>
      </c>
      <c r="Z2232" s="4" t="s">
        <v>63</v>
      </c>
      <c r="AA2232" s="4" t="s">
        <v>63</v>
      </c>
      <c r="AB2232" s="4">
        <v>1995218008</v>
      </c>
      <c r="AC2232" s="4" t="s">
        <v>67</v>
      </c>
      <c r="AD2232" s="4" t="s">
        <v>63</v>
      </c>
      <c r="AE2232" s="4" t="s">
        <v>63</v>
      </c>
      <c r="AF2232" s="4" t="s">
        <v>63</v>
      </c>
      <c r="AG2232" s="4" t="s">
        <v>18969</v>
      </c>
      <c r="AH2232" s="4" t="s">
        <v>63</v>
      </c>
      <c r="AI2232" s="4" t="s">
        <v>63</v>
      </c>
      <c r="AJ2232" s="4" t="s">
        <v>63</v>
      </c>
      <c r="AK2232" s="4" t="s">
        <v>63</v>
      </c>
      <c r="AL2232" s="4" t="s">
        <v>63</v>
      </c>
      <c r="AM2232" s="4" t="s">
        <v>18970</v>
      </c>
      <c r="AN2232" s="4" t="s">
        <v>63</v>
      </c>
      <c r="AO2232" s="4" t="s">
        <v>63</v>
      </c>
      <c r="AP2232" s="4" t="s">
        <v>63</v>
      </c>
      <c r="AQ2232" s="4" t="s">
        <v>63</v>
      </c>
      <c r="AR2232" s="4" t="s">
        <v>63</v>
      </c>
      <c r="AS2232" s="4" t="s">
        <v>63</v>
      </c>
      <c r="AT2232" s="4" t="s">
        <v>63</v>
      </c>
      <c r="AU2232" s="4" t="s">
        <v>63</v>
      </c>
      <c r="AV2232" s="4" t="s">
        <v>63</v>
      </c>
      <c r="AW2232" s="4" t="s">
        <v>63</v>
      </c>
      <c r="AX2232" s="4" t="s">
        <v>63</v>
      </c>
      <c r="AY2232" s="4" t="s">
        <v>63</v>
      </c>
      <c r="AZ2232" s="4" t="s">
        <v>63</v>
      </c>
      <c r="BA2232" s="4" t="s">
        <v>63</v>
      </c>
      <c r="BB2232" s="4" t="s">
        <v>63</v>
      </c>
      <c r="BC2232" s="4" t="s">
        <v>63</v>
      </c>
      <c r="BD2232" s="4" t="s">
        <v>63</v>
      </c>
      <c r="BE2232" s="4" t="s">
        <v>63</v>
      </c>
      <c r="BF2232" s="4" t="s">
        <v>63</v>
      </c>
    </row>
    <row r="2233" spans="1:58">
      <c r="A2233" s="4" t="s">
        <v>58</v>
      </c>
      <c r="B2233" s="4" t="s">
        <v>18971</v>
      </c>
      <c r="C2233" s="4" t="s">
        <v>18972</v>
      </c>
      <c r="D2233" s="4" t="s">
        <v>371</v>
      </c>
      <c r="E2233" s="4" t="s">
        <v>63</v>
      </c>
      <c r="F2233" s="4">
        <v>2011</v>
      </c>
      <c r="G2233" s="4" t="s">
        <v>189</v>
      </c>
      <c r="H2233" s="4" t="s">
        <v>17819</v>
      </c>
      <c r="I2233" s="4" t="s">
        <v>63</v>
      </c>
      <c r="J2233" s="4" t="s">
        <v>18973</v>
      </c>
      <c r="K2233" s="4" t="s">
        <v>17995</v>
      </c>
      <c r="L2233" s="4" t="s">
        <v>18974</v>
      </c>
      <c r="M2233" s="4" t="s">
        <v>18975</v>
      </c>
      <c r="N2233" s="4" t="s">
        <v>18976</v>
      </c>
      <c r="O2233" s="4" t="s">
        <v>63</v>
      </c>
      <c r="P2233" s="4"/>
      <c r="Q2233" s="4" t="s">
        <v>63</v>
      </c>
      <c r="R2233" s="4" t="s">
        <v>63</v>
      </c>
      <c r="S2233" s="4" t="s">
        <v>63</v>
      </c>
      <c r="T2233" s="4" t="s">
        <v>63</v>
      </c>
      <c r="U2233" s="4"/>
      <c r="V2233" s="4"/>
      <c r="W2233" s="4"/>
      <c r="X2233" s="4" t="s">
        <v>63</v>
      </c>
      <c r="Y2233" s="4" t="s">
        <v>375</v>
      </c>
      <c r="Z2233" s="4" t="s">
        <v>63</v>
      </c>
      <c r="AA2233" s="4" t="s">
        <v>63</v>
      </c>
      <c r="AB2233" s="4" t="s">
        <v>63</v>
      </c>
      <c r="AC2233" s="4" t="s">
        <v>67</v>
      </c>
      <c r="AD2233" s="4" t="s">
        <v>63</v>
      </c>
      <c r="AE2233" s="4" t="s">
        <v>63</v>
      </c>
      <c r="AF2233" s="4" t="s">
        <v>63</v>
      </c>
      <c r="AG2233" s="4" t="s">
        <v>63</v>
      </c>
      <c r="AH2233" s="4" t="s">
        <v>63</v>
      </c>
      <c r="AI2233" s="4" t="s">
        <v>17824</v>
      </c>
      <c r="AJ2233" s="4" t="s">
        <v>63</v>
      </c>
      <c r="AK2233" s="4" t="s">
        <v>63</v>
      </c>
      <c r="AL2233" s="4" t="s">
        <v>63</v>
      </c>
      <c r="AM2233" s="4" t="s">
        <v>18972</v>
      </c>
      <c r="AN2233" s="4" t="s">
        <v>63</v>
      </c>
      <c r="AO2233" s="4" t="s">
        <v>63</v>
      </c>
      <c r="AP2233" s="4" t="s">
        <v>63</v>
      </c>
      <c r="AQ2233" s="4" t="s">
        <v>63</v>
      </c>
      <c r="AR2233" s="4" t="s">
        <v>63</v>
      </c>
      <c r="AS2233" s="4" t="s">
        <v>63</v>
      </c>
      <c r="AT2233" s="4" t="s">
        <v>63</v>
      </c>
      <c r="AU2233" s="4" t="s">
        <v>63</v>
      </c>
      <c r="AV2233" s="4" t="s">
        <v>63</v>
      </c>
      <c r="AW2233" s="4" t="s">
        <v>63</v>
      </c>
      <c r="AX2233" s="4" t="s">
        <v>63</v>
      </c>
      <c r="AY2233" s="4" t="s">
        <v>63</v>
      </c>
      <c r="AZ2233" s="4" t="s">
        <v>63</v>
      </c>
      <c r="BA2233" s="4" t="s">
        <v>63</v>
      </c>
      <c r="BB2233" s="4" t="s">
        <v>63</v>
      </c>
      <c r="BC2233" s="4" t="s">
        <v>63</v>
      </c>
      <c r="BD2233" s="4" t="s">
        <v>63</v>
      </c>
      <c r="BE2233" s="4" t="s">
        <v>63</v>
      </c>
      <c r="BF2233" s="4" t="s">
        <v>63</v>
      </c>
    </row>
    <row r="2234" spans="1:58">
      <c r="A2234" s="4" t="s">
        <v>58</v>
      </c>
      <c r="B2234" s="4" t="s">
        <v>18977</v>
      </c>
      <c r="C2234" s="4" t="s">
        <v>18978</v>
      </c>
      <c r="D2234" s="4" t="s">
        <v>1212</v>
      </c>
      <c r="E2234" s="4" t="s">
        <v>63</v>
      </c>
      <c r="F2234" s="4">
        <v>2013</v>
      </c>
      <c r="G2234" s="4" t="s">
        <v>16633</v>
      </c>
      <c r="H2234" s="4">
        <v>7</v>
      </c>
      <c r="I2234" s="4">
        <v>2</v>
      </c>
      <c r="J2234" s="4">
        <v>116</v>
      </c>
      <c r="K2234" s="4">
        <v>121</v>
      </c>
      <c r="L2234" s="4" t="s">
        <v>18979</v>
      </c>
      <c r="M2234" s="4" t="s">
        <v>18980</v>
      </c>
      <c r="N2234" s="4" t="s">
        <v>18981</v>
      </c>
      <c r="O2234" s="4" t="s">
        <v>63</v>
      </c>
      <c r="P2234" s="4"/>
      <c r="Q2234" s="4" t="s">
        <v>63</v>
      </c>
      <c r="R2234" s="4" t="s">
        <v>63</v>
      </c>
      <c r="S2234" s="4" t="s">
        <v>63</v>
      </c>
      <c r="T2234" s="4" t="s">
        <v>63</v>
      </c>
      <c r="U2234" s="4"/>
      <c r="V2234" s="4"/>
      <c r="W2234" s="4"/>
      <c r="X2234" s="4" t="s">
        <v>63</v>
      </c>
      <c r="Y2234" s="4" t="s">
        <v>15530</v>
      </c>
      <c r="Z2234" s="4" t="s">
        <v>63</v>
      </c>
      <c r="AA2234" s="4" t="s">
        <v>63</v>
      </c>
      <c r="AB2234" s="4">
        <v>2013319534</v>
      </c>
      <c r="AC2234" s="4" t="s">
        <v>67</v>
      </c>
      <c r="AD2234" s="4" t="s">
        <v>63</v>
      </c>
      <c r="AE2234" s="4" t="s">
        <v>63</v>
      </c>
      <c r="AF2234" s="4" t="s">
        <v>63</v>
      </c>
      <c r="AG2234" s="4" t="s">
        <v>18982</v>
      </c>
      <c r="AH2234" s="4" t="s">
        <v>63</v>
      </c>
      <c r="AI2234" s="4" t="s">
        <v>18983</v>
      </c>
      <c r="AJ2234" s="4" t="s">
        <v>63</v>
      </c>
      <c r="AK2234" s="4" t="s">
        <v>63</v>
      </c>
      <c r="AL2234" s="4" t="s">
        <v>63</v>
      </c>
      <c r="AM2234" s="4" t="s">
        <v>18984</v>
      </c>
      <c r="AN2234" s="4" t="s">
        <v>63</v>
      </c>
      <c r="AO2234" s="4" t="s">
        <v>63</v>
      </c>
      <c r="AP2234" s="4" t="s">
        <v>63</v>
      </c>
      <c r="AQ2234" s="4" t="s">
        <v>63</v>
      </c>
      <c r="AR2234" s="4" t="s">
        <v>63</v>
      </c>
      <c r="AS2234" s="4" t="s">
        <v>63</v>
      </c>
      <c r="AT2234" s="4" t="s">
        <v>63</v>
      </c>
      <c r="AU2234" s="4" t="s">
        <v>63</v>
      </c>
      <c r="AV2234" s="4" t="s">
        <v>63</v>
      </c>
      <c r="AW2234" s="4" t="s">
        <v>63</v>
      </c>
      <c r="AX2234" s="4" t="s">
        <v>63</v>
      </c>
      <c r="AY2234" s="4" t="s">
        <v>63</v>
      </c>
      <c r="AZ2234" s="4" t="s">
        <v>63</v>
      </c>
      <c r="BA2234" s="4" t="s">
        <v>63</v>
      </c>
      <c r="BB2234" s="4" t="s">
        <v>63</v>
      </c>
      <c r="BC2234" s="4" t="s">
        <v>63</v>
      </c>
      <c r="BD2234" s="4" t="s">
        <v>63</v>
      </c>
      <c r="BE2234" s="4" t="s">
        <v>63</v>
      </c>
      <c r="BF2234" s="4" t="s">
        <v>63</v>
      </c>
    </row>
    <row r="2235" spans="1:58">
      <c r="A2235" s="4" t="s">
        <v>58</v>
      </c>
      <c r="B2235" s="4" t="s">
        <v>18985</v>
      </c>
      <c r="C2235" s="4" t="s">
        <v>18986</v>
      </c>
      <c r="D2235" s="4" t="s">
        <v>16100</v>
      </c>
      <c r="E2235" s="4" t="s">
        <v>63</v>
      </c>
      <c r="F2235" s="4">
        <v>2017</v>
      </c>
      <c r="G2235" s="4">
        <v>1</v>
      </c>
      <c r="H2235" s="4" t="s">
        <v>18987</v>
      </c>
      <c r="I2235" s="4" t="s">
        <v>63</v>
      </c>
      <c r="J2235" s="4" t="s">
        <v>18988</v>
      </c>
      <c r="K2235" s="4" t="s">
        <v>63</v>
      </c>
      <c r="L2235" s="4" t="s">
        <v>18989</v>
      </c>
      <c r="M2235" s="4" t="s">
        <v>18990</v>
      </c>
      <c r="N2235" s="4" t="s">
        <v>18991</v>
      </c>
      <c r="O2235" s="4" t="s">
        <v>63</v>
      </c>
      <c r="P2235" s="4"/>
      <c r="Q2235" s="4" t="s">
        <v>63</v>
      </c>
      <c r="R2235" s="4" t="s">
        <v>63</v>
      </c>
      <c r="S2235" s="4" t="s">
        <v>63</v>
      </c>
      <c r="T2235" s="4" t="s">
        <v>63</v>
      </c>
      <c r="U2235" s="4"/>
      <c r="V2235" s="4"/>
      <c r="W2235" s="4"/>
      <c r="X2235" s="4" t="s">
        <v>63</v>
      </c>
      <c r="Y2235" s="4" t="s">
        <v>11717</v>
      </c>
      <c r="Z2235" s="4" t="s">
        <v>63</v>
      </c>
      <c r="AA2235" s="4" t="s">
        <v>63</v>
      </c>
      <c r="AB2235" s="4" t="s">
        <v>63</v>
      </c>
      <c r="AC2235" s="4" t="s">
        <v>67</v>
      </c>
      <c r="AD2235" s="4" t="s">
        <v>63</v>
      </c>
      <c r="AE2235" s="4" t="s">
        <v>63</v>
      </c>
      <c r="AF2235" s="4" t="s">
        <v>63</v>
      </c>
      <c r="AG2235" s="4" t="s">
        <v>63</v>
      </c>
      <c r="AH2235" s="4" t="s">
        <v>63</v>
      </c>
      <c r="AI2235" s="4" t="s">
        <v>18992</v>
      </c>
      <c r="AJ2235" s="4" t="s">
        <v>63</v>
      </c>
      <c r="AK2235" s="4" t="s">
        <v>63</v>
      </c>
      <c r="AL2235" s="4" t="s">
        <v>63</v>
      </c>
      <c r="AM2235" s="4" t="s">
        <v>18986</v>
      </c>
      <c r="AN2235" s="4" t="s">
        <v>63</v>
      </c>
      <c r="AO2235" s="4" t="s">
        <v>63</v>
      </c>
      <c r="AP2235" s="4" t="s">
        <v>63</v>
      </c>
      <c r="AQ2235" s="4" t="s">
        <v>63</v>
      </c>
      <c r="AR2235" s="4" t="s">
        <v>63</v>
      </c>
      <c r="AS2235" s="4" t="s">
        <v>63</v>
      </c>
      <c r="AT2235" s="4" t="s">
        <v>63</v>
      </c>
      <c r="AU2235" s="4" t="s">
        <v>63</v>
      </c>
      <c r="AV2235" s="4" t="s">
        <v>63</v>
      </c>
      <c r="AW2235" s="4" t="s">
        <v>63</v>
      </c>
      <c r="AX2235" s="4" t="s">
        <v>63</v>
      </c>
      <c r="AY2235" s="4" t="s">
        <v>63</v>
      </c>
      <c r="AZ2235" s="4" t="s">
        <v>63</v>
      </c>
      <c r="BA2235" s="4" t="s">
        <v>63</v>
      </c>
      <c r="BB2235" s="4" t="s">
        <v>63</v>
      </c>
      <c r="BC2235" s="4" t="s">
        <v>63</v>
      </c>
      <c r="BD2235" s="4" t="s">
        <v>63</v>
      </c>
      <c r="BE2235" s="4" t="s">
        <v>63</v>
      </c>
      <c r="BF2235" s="4" t="s">
        <v>63</v>
      </c>
    </row>
    <row r="2236" spans="1:58">
      <c r="A2236" s="4" t="s">
        <v>58</v>
      </c>
      <c r="B2236" s="4" t="s">
        <v>18993</v>
      </c>
      <c r="C2236" s="4" t="s">
        <v>18994</v>
      </c>
      <c r="D2236" s="4" t="s">
        <v>18995</v>
      </c>
      <c r="E2236" s="4" t="s">
        <v>63</v>
      </c>
      <c r="F2236" s="4">
        <v>2011</v>
      </c>
      <c r="G2236" s="4" t="s">
        <v>18996</v>
      </c>
      <c r="H2236" s="4" t="s">
        <v>18997</v>
      </c>
      <c r="I2236" s="4" t="s">
        <v>63</v>
      </c>
      <c r="J2236" s="4" t="s">
        <v>18998</v>
      </c>
      <c r="K2236" s="4" t="s">
        <v>63</v>
      </c>
      <c r="L2236" s="4" t="s">
        <v>18999</v>
      </c>
      <c r="M2236" s="4" t="s">
        <v>19000</v>
      </c>
      <c r="N2236" s="4" t="s">
        <v>19001</v>
      </c>
      <c r="O2236" s="4" t="s">
        <v>63</v>
      </c>
      <c r="P2236" s="4"/>
      <c r="Q2236" s="4" t="s">
        <v>63</v>
      </c>
      <c r="R2236" s="4" t="s">
        <v>63</v>
      </c>
      <c r="S2236" s="4" t="s">
        <v>63</v>
      </c>
      <c r="T2236" s="4" t="s">
        <v>63</v>
      </c>
      <c r="U2236" s="4"/>
      <c r="V2236" s="4"/>
      <c r="W2236" s="4"/>
      <c r="X2236" s="4" t="s">
        <v>63</v>
      </c>
      <c r="Y2236" s="4" t="s">
        <v>19002</v>
      </c>
      <c r="Z2236" s="4" t="s">
        <v>63</v>
      </c>
      <c r="AA2236" s="4" t="s">
        <v>63</v>
      </c>
      <c r="AB2236" s="4" t="s">
        <v>63</v>
      </c>
      <c r="AC2236" s="4" t="s">
        <v>67</v>
      </c>
      <c r="AD2236" s="4" t="s">
        <v>63</v>
      </c>
      <c r="AE2236" s="4" t="s">
        <v>63</v>
      </c>
      <c r="AF2236" s="4" t="s">
        <v>63</v>
      </c>
      <c r="AG2236" s="4" t="s">
        <v>63</v>
      </c>
      <c r="AH2236" s="4" t="s">
        <v>63</v>
      </c>
      <c r="AI2236" s="4" t="s">
        <v>63</v>
      </c>
      <c r="AJ2236" s="4" t="s">
        <v>63</v>
      </c>
      <c r="AK2236" s="4" t="s">
        <v>63</v>
      </c>
      <c r="AL2236" s="4" t="s">
        <v>63</v>
      </c>
      <c r="AM2236" s="4" t="s">
        <v>18994</v>
      </c>
      <c r="AN2236" s="4" t="s">
        <v>63</v>
      </c>
      <c r="AO2236" s="4" t="s">
        <v>63</v>
      </c>
      <c r="AP2236" s="4" t="s">
        <v>63</v>
      </c>
      <c r="AQ2236" s="4" t="s">
        <v>63</v>
      </c>
      <c r="AR2236" s="4" t="s">
        <v>63</v>
      </c>
      <c r="AS2236" s="4" t="s">
        <v>63</v>
      </c>
      <c r="AT2236" s="4" t="s">
        <v>63</v>
      </c>
      <c r="AU2236" s="4" t="s">
        <v>63</v>
      </c>
      <c r="AV2236" s="4" t="s">
        <v>63</v>
      </c>
      <c r="AW2236" s="4" t="s">
        <v>63</v>
      </c>
      <c r="AX2236" s="4" t="s">
        <v>63</v>
      </c>
      <c r="AY2236" s="4" t="s">
        <v>63</v>
      </c>
      <c r="AZ2236" s="4" t="s">
        <v>63</v>
      </c>
      <c r="BA2236" s="4" t="s">
        <v>63</v>
      </c>
      <c r="BB2236" s="4" t="s">
        <v>63</v>
      </c>
      <c r="BC2236" s="4" t="s">
        <v>63</v>
      </c>
      <c r="BD2236" s="4" t="s">
        <v>63</v>
      </c>
      <c r="BE2236" s="4" t="s">
        <v>63</v>
      </c>
      <c r="BF2236" s="4" t="s">
        <v>63</v>
      </c>
    </row>
    <row r="2237" spans="1:58">
      <c r="A2237" s="4" t="s">
        <v>58</v>
      </c>
      <c r="B2237" s="4" t="s">
        <v>19003</v>
      </c>
      <c r="C2237" s="4" t="s">
        <v>19004</v>
      </c>
      <c r="D2237" s="4" t="s">
        <v>3984</v>
      </c>
      <c r="E2237" s="4" t="s">
        <v>63</v>
      </c>
      <c r="F2237" s="4">
        <v>2009</v>
      </c>
      <c r="G2237" s="4" t="s">
        <v>15165</v>
      </c>
      <c r="H2237" s="4">
        <v>10</v>
      </c>
      <c r="I2237" s="4">
        <v>4</v>
      </c>
      <c r="J2237" s="4" t="s">
        <v>19005</v>
      </c>
      <c r="K2237" s="4" t="s">
        <v>63</v>
      </c>
      <c r="L2237" s="4" t="s">
        <v>19006</v>
      </c>
      <c r="M2237" s="4" t="s">
        <v>19007</v>
      </c>
      <c r="N2237" s="4" t="s">
        <v>19008</v>
      </c>
      <c r="O2237" s="4" t="s">
        <v>63</v>
      </c>
      <c r="P2237" s="4"/>
      <c r="Q2237" s="4" t="s">
        <v>63</v>
      </c>
      <c r="R2237" s="4" t="s">
        <v>63</v>
      </c>
      <c r="S2237" s="4" t="s">
        <v>63</v>
      </c>
      <c r="T2237" s="4" t="s">
        <v>63</v>
      </c>
      <c r="U2237" s="4"/>
      <c r="V2237" s="4"/>
      <c r="W2237" s="4"/>
      <c r="X2237" s="4" t="s">
        <v>63</v>
      </c>
      <c r="Y2237" s="4" t="s">
        <v>5160</v>
      </c>
      <c r="Z2237" s="4" t="s">
        <v>63</v>
      </c>
      <c r="AA2237" s="4" t="s">
        <v>63</v>
      </c>
      <c r="AB2237" s="4" t="s">
        <v>63</v>
      </c>
      <c r="AC2237" s="4" t="s">
        <v>67</v>
      </c>
      <c r="AD2237" s="4" t="s">
        <v>63</v>
      </c>
      <c r="AE2237" s="4" t="s">
        <v>63</v>
      </c>
      <c r="AF2237" s="4" t="s">
        <v>63</v>
      </c>
      <c r="AG2237" s="4" t="s">
        <v>63</v>
      </c>
      <c r="AH2237" s="4" t="s">
        <v>63</v>
      </c>
      <c r="AI2237" s="4" t="s">
        <v>19009</v>
      </c>
      <c r="AJ2237" s="4" t="s">
        <v>63</v>
      </c>
      <c r="AK2237" s="4" t="s">
        <v>63</v>
      </c>
      <c r="AL2237" s="4" t="s">
        <v>63</v>
      </c>
      <c r="AM2237" s="4" t="s">
        <v>19004</v>
      </c>
      <c r="AN2237" s="4" t="s">
        <v>63</v>
      </c>
      <c r="AO2237" s="4" t="s">
        <v>63</v>
      </c>
      <c r="AP2237" s="4" t="s">
        <v>63</v>
      </c>
      <c r="AQ2237" s="4" t="s">
        <v>63</v>
      </c>
      <c r="AR2237" s="4" t="s">
        <v>63</v>
      </c>
      <c r="AS2237" s="4" t="s">
        <v>63</v>
      </c>
      <c r="AT2237" s="4" t="s">
        <v>63</v>
      </c>
      <c r="AU2237" s="4" t="s">
        <v>63</v>
      </c>
      <c r="AV2237" s="4" t="s">
        <v>63</v>
      </c>
      <c r="AW2237" s="4" t="s">
        <v>63</v>
      </c>
      <c r="AX2237" s="4" t="s">
        <v>63</v>
      </c>
      <c r="AY2237" s="4" t="s">
        <v>63</v>
      </c>
      <c r="AZ2237" s="4" t="s">
        <v>63</v>
      </c>
      <c r="BA2237" s="4" t="s">
        <v>63</v>
      </c>
      <c r="BB2237" s="4" t="s">
        <v>63</v>
      </c>
      <c r="BC2237" s="4" t="s">
        <v>63</v>
      </c>
      <c r="BD2237" s="4" t="s">
        <v>63</v>
      </c>
      <c r="BE2237" s="4" t="s">
        <v>63</v>
      </c>
      <c r="BF2237" s="4" t="s">
        <v>63</v>
      </c>
    </row>
    <row r="2238" spans="1:58">
      <c r="A2238" s="4" t="s">
        <v>58</v>
      </c>
      <c r="B2238" s="4" t="s">
        <v>19010</v>
      </c>
      <c r="C2238" s="4" t="s">
        <v>19011</v>
      </c>
      <c r="D2238" s="4" t="s">
        <v>19012</v>
      </c>
      <c r="E2238" s="4" t="s">
        <v>63</v>
      </c>
      <c r="F2238" s="4">
        <v>2001</v>
      </c>
      <c r="G2238" s="4" t="s">
        <v>63</v>
      </c>
      <c r="H2238" s="4">
        <v>46</v>
      </c>
      <c r="I2238" s="4">
        <v>4</v>
      </c>
      <c r="J2238" s="4">
        <v>232</v>
      </c>
      <c r="K2238" s="4">
        <v>242</v>
      </c>
      <c r="L2238" s="4" t="s">
        <v>19013</v>
      </c>
      <c r="M2238" s="4" t="s">
        <v>19014</v>
      </c>
      <c r="N2238" s="4" t="s">
        <v>19015</v>
      </c>
      <c r="O2238" s="4" t="s">
        <v>63</v>
      </c>
      <c r="P2238" s="4"/>
      <c r="Q2238" s="4" t="s">
        <v>63</v>
      </c>
      <c r="R2238" s="4" t="s">
        <v>63</v>
      </c>
      <c r="S2238" s="4" t="s">
        <v>63</v>
      </c>
      <c r="T2238" s="4" t="s">
        <v>63</v>
      </c>
      <c r="U2238" s="4"/>
      <c r="V2238" s="4"/>
      <c r="W2238" s="4"/>
      <c r="X2238" s="4" t="s">
        <v>63</v>
      </c>
      <c r="Y2238" s="4" t="s">
        <v>19016</v>
      </c>
      <c r="Z2238" s="4" t="s">
        <v>63</v>
      </c>
      <c r="AA2238" s="4" t="s">
        <v>63</v>
      </c>
      <c r="AB2238" s="4" t="s">
        <v>19017</v>
      </c>
      <c r="AC2238" s="4" t="s">
        <v>102</v>
      </c>
      <c r="AD2238" s="4" t="s">
        <v>63</v>
      </c>
      <c r="AE2238" s="4" t="s">
        <v>63</v>
      </c>
      <c r="AF2238" s="4" t="s">
        <v>63</v>
      </c>
      <c r="AG2238" s="4" t="s">
        <v>63</v>
      </c>
      <c r="AH2238" s="4" t="s">
        <v>63</v>
      </c>
      <c r="AI2238" s="4" t="s">
        <v>19018</v>
      </c>
      <c r="AJ2238" s="4" t="s">
        <v>63</v>
      </c>
      <c r="AK2238" s="4" t="s">
        <v>63</v>
      </c>
      <c r="AL2238" s="4" t="s">
        <v>63</v>
      </c>
      <c r="AM2238" s="4" t="s">
        <v>19011</v>
      </c>
      <c r="AN2238" s="4" t="s">
        <v>63</v>
      </c>
      <c r="AO2238" s="4" t="s">
        <v>63</v>
      </c>
      <c r="AP2238" s="4" t="s">
        <v>63</v>
      </c>
      <c r="AQ2238" s="4" t="s">
        <v>63</v>
      </c>
      <c r="AR2238" s="4" t="s">
        <v>63</v>
      </c>
      <c r="AS2238" s="4" t="s">
        <v>63</v>
      </c>
      <c r="AT2238" s="4" t="s">
        <v>63</v>
      </c>
      <c r="AU2238" s="4" t="s">
        <v>63</v>
      </c>
      <c r="AV2238" s="4" t="s">
        <v>63</v>
      </c>
      <c r="AW2238" s="4" t="s">
        <v>63</v>
      </c>
      <c r="AX2238" s="4" t="s">
        <v>63</v>
      </c>
      <c r="AY2238" s="4" t="s">
        <v>63</v>
      </c>
      <c r="AZ2238" s="4" t="s">
        <v>63</v>
      </c>
      <c r="BA2238" s="4" t="s">
        <v>63</v>
      </c>
      <c r="BB2238" s="4" t="s">
        <v>63</v>
      </c>
      <c r="BC2238" s="4" t="s">
        <v>63</v>
      </c>
      <c r="BD2238" s="4" t="s">
        <v>63</v>
      </c>
      <c r="BE2238" s="4" t="s">
        <v>63</v>
      </c>
      <c r="BF2238" s="4" t="s">
        <v>63</v>
      </c>
    </row>
    <row r="2239" spans="1:58">
      <c r="A2239" s="4" t="s">
        <v>58</v>
      </c>
      <c r="B2239" s="4" t="s">
        <v>19019</v>
      </c>
      <c r="C2239" s="4" t="s">
        <v>19020</v>
      </c>
      <c r="D2239" s="4" t="s">
        <v>19021</v>
      </c>
      <c r="E2239" s="4" t="s">
        <v>63</v>
      </c>
      <c r="F2239" s="4">
        <v>2004</v>
      </c>
      <c r="G2239" s="4" t="s">
        <v>63</v>
      </c>
      <c r="H2239" s="4">
        <v>39</v>
      </c>
      <c r="I2239" s="4">
        <v>1</v>
      </c>
      <c r="J2239" s="4">
        <v>135</v>
      </c>
      <c r="K2239" s="4">
        <v>178</v>
      </c>
      <c r="L2239" s="4" t="s">
        <v>19022</v>
      </c>
      <c r="M2239" s="4" t="s">
        <v>19023</v>
      </c>
      <c r="N2239" s="4" t="s">
        <v>19024</v>
      </c>
      <c r="O2239" s="4" t="s">
        <v>63</v>
      </c>
      <c r="P2239" s="4"/>
      <c r="Q2239" s="4" t="s">
        <v>63</v>
      </c>
      <c r="R2239" s="4" t="s">
        <v>63</v>
      </c>
      <c r="S2239" s="4" t="s">
        <v>63</v>
      </c>
      <c r="T2239" s="4" t="s">
        <v>63</v>
      </c>
      <c r="U2239" s="4"/>
      <c r="V2239" s="4"/>
      <c r="W2239" s="4"/>
      <c r="X2239" s="4" t="s">
        <v>63</v>
      </c>
      <c r="Y2239" s="4" t="s">
        <v>3682</v>
      </c>
      <c r="Z2239" s="4" t="s">
        <v>63</v>
      </c>
      <c r="AA2239" s="4" t="s">
        <v>63</v>
      </c>
      <c r="AB2239" s="4">
        <v>2004094268</v>
      </c>
      <c r="AC2239" s="4" t="s">
        <v>67</v>
      </c>
      <c r="AD2239" s="4" t="s">
        <v>63</v>
      </c>
      <c r="AE2239" s="4" t="s">
        <v>63</v>
      </c>
      <c r="AF2239" s="4" t="s">
        <v>63</v>
      </c>
      <c r="AG2239" s="4" t="s">
        <v>19025</v>
      </c>
      <c r="AH2239" s="4" t="s">
        <v>63</v>
      </c>
      <c r="AI2239" s="4" t="s">
        <v>19026</v>
      </c>
      <c r="AJ2239" s="4" t="s">
        <v>63</v>
      </c>
      <c r="AK2239" s="4" t="s">
        <v>63</v>
      </c>
      <c r="AL2239" s="4" t="s">
        <v>63</v>
      </c>
      <c r="AM2239" s="4" t="s">
        <v>19027</v>
      </c>
      <c r="AN2239" s="4" t="s">
        <v>63</v>
      </c>
      <c r="AO2239" s="4" t="s">
        <v>63</v>
      </c>
      <c r="AP2239" s="4" t="s">
        <v>63</v>
      </c>
      <c r="AQ2239" s="4" t="s">
        <v>63</v>
      </c>
      <c r="AR2239" s="4" t="s">
        <v>63</v>
      </c>
      <c r="AS2239" s="4" t="s">
        <v>63</v>
      </c>
      <c r="AT2239" s="4" t="s">
        <v>63</v>
      </c>
      <c r="AU2239" s="4" t="s">
        <v>63</v>
      </c>
      <c r="AV2239" s="4" t="s">
        <v>63</v>
      </c>
      <c r="AW2239" s="4" t="s">
        <v>63</v>
      </c>
      <c r="AX2239" s="4" t="s">
        <v>63</v>
      </c>
      <c r="AY2239" s="4" t="s">
        <v>63</v>
      </c>
      <c r="AZ2239" s="4" t="s">
        <v>63</v>
      </c>
      <c r="BA2239" s="4" t="s">
        <v>63</v>
      </c>
      <c r="BB2239" s="4" t="s">
        <v>63</v>
      </c>
      <c r="BC2239" s="4" t="s">
        <v>63</v>
      </c>
      <c r="BD2239" s="4" t="s">
        <v>63</v>
      </c>
      <c r="BE2239" s="4" t="s">
        <v>63</v>
      </c>
      <c r="BF2239" s="4" t="s">
        <v>63</v>
      </c>
    </row>
    <row r="2240" spans="1:58">
      <c r="A2240" s="4" t="s">
        <v>58</v>
      </c>
      <c r="B2240" s="4" t="s">
        <v>19028</v>
      </c>
      <c r="C2240" s="4" t="s">
        <v>19029</v>
      </c>
      <c r="D2240" s="4" t="s">
        <v>16357</v>
      </c>
      <c r="E2240" s="4" t="s">
        <v>16358</v>
      </c>
      <c r="F2240" s="4">
        <v>2004</v>
      </c>
      <c r="G2240" s="4" t="s">
        <v>16182</v>
      </c>
      <c r="H2240" s="4">
        <v>38</v>
      </c>
      <c r="I2240" s="4">
        <v>7</v>
      </c>
      <c r="J2240" s="4">
        <v>554</v>
      </c>
      <c r="K2240" s="4">
        <v>559</v>
      </c>
      <c r="L2240" s="4" t="s">
        <v>19030</v>
      </c>
      <c r="M2240" s="4" t="s">
        <v>19031</v>
      </c>
      <c r="N2240" s="4" t="s">
        <v>19032</v>
      </c>
      <c r="O2240" s="4" t="s">
        <v>63</v>
      </c>
      <c r="P2240" s="4"/>
      <c r="Q2240" s="4" t="s">
        <v>63</v>
      </c>
      <c r="R2240" s="4" t="s">
        <v>63</v>
      </c>
      <c r="S2240" s="4" t="s">
        <v>63</v>
      </c>
      <c r="T2240" s="4" t="s">
        <v>63</v>
      </c>
      <c r="U2240" s="4"/>
      <c r="V2240" s="4"/>
      <c r="W2240" s="4"/>
      <c r="X2240" s="4" t="s">
        <v>63</v>
      </c>
      <c r="Y2240" s="5">
        <v>25658</v>
      </c>
      <c r="Z2240" s="4" t="s">
        <v>63</v>
      </c>
      <c r="AA2240" s="4" t="s">
        <v>63</v>
      </c>
      <c r="AB2240" s="4">
        <v>2004372455</v>
      </c>
      <c r="AC2240" s="4" t="s">
        <v>67</v>
      </c>
      <c r="AD2240" s="4" t="s">
        <v>63</v>
      </c>
      <c r="AE2240" s="4" t="s">
        <v>63</v>
      </c>
      <c r="AF2240" s="4" t="s">
        <v>63</v>
      </c>
      <c r="AG2240" s="4" t="s">
        <v>19033</v>
      </c>
      <c r="AH2240" s="4" t="s">
        <v>63</v>
      </c>
      <c r="AI2240" s="4" t="s">
        <v>19034</v>
      </c>
      <c r="AJ2240" s="4" t="s">
        <v>63</v>
      </c>
      <c r="AK2240" s="4" t="s">
        <v>63</v>
      </c>
      <c r="AL2240" s="4" t="s">
        <v>63</v>
      </c>
      <c r="AM2240" s="4" t="s">
        <v>19035</v>
      </c>
      <c r="AN2240" s="4" t="s">
        <v>63</v>
      </c>
      <c r="AO2240" s="4" t="s">
        <v>63</v>
      </c>
      <c r="AP2240" s="4" t="s">
        <v>63</v>
      </c>
      <c r="AQ2240" s="4" t="s">
        <v>63</v>
      </c>
      <c r="AR2240" s="4" t="s">
        <v>63</v>
      </c>
      <c r="AS2240" s="4" t="s">
        <v>63</v>
      </c>
      <c r="AT2240" s="4" t="s">
        <v>63</v>
      </c>
      <c r="AU2240" s="4" t="s">
        <v>63</v>
      </c>
      <c r="AV2240" s="4" t="s">
        <v>63</v>
      </c>
      <c r="AW2240" s="4" t="s">
        <v>63</v>
      </c>
      <c r="AX2240" s="4" t="s">
        <v>63</v>
      </c>
      <c r="AY2240" s="4" t="s">
        <v>63</v>
      </c>
      <c r="AZ2240" s="4" t="s">
        <v>63</v>
      </c>
      <c r="BA2240" s="4" t="s">
        <v>63</v>
      </c>
      <c r="BB2240" s="4" t="s">
        <v>63</v>
      </c>
      <c r="BC2240" s="4" t="s">
        <v>63</v>
      </c>
      <c r="BD2240" s="4" t="s">
        <v>63</v>
      </c>
      <c r="BE2240" s="4" t="s">
        <v>63</v>
      </c>
      <c r="BF2240" s="4" t="s">
        <v>63</v>
      </c>
    </row>
    <row r="2241" spans="1:58">
      <c r="A2241" s="4" t="s">
        <v>58</v>
      </c>
      <c r="B2241" s="4" t="s">
        <v>19036</v>
      </c>
      <c r="C2241" s="4" t="s">
        <v>19037</v>
      </c>
      <c r="D2241" s="4" t="s">
        <v>19038</v>
      </c>
      <c r="E2241" s="4" t="s">
        <v>63</v>
      </c>
      <c r="F2241" s="4" t="s">
        <v>63</v>
      </c>
      <c r="G2241" s="4" t="s">
        <v>63</v>
      </c>
      <c r="H2241" s="4" t="s">
        <v>63</v>
      </c>
      <c r="I2241" s="4" t="s">
        <v>63</v>
      </c>
      <c r="J2241" s="4" t="s">
        <v>63</v>
      </c>
      <c r="K2241" s="4" t="s">
        <v>63</v>
      </c>
      <c r="L2241" s="4" t="s">
        <v>19039</v>
      </c>
      <c r="M2241" s="4" t="s">
        <v>19040</v>
      </c>
      <c r="N2241" s="4" t="s">
        <v>19041</v>
      </c>
      <c r="O2241" s="4" t="s">
        <v>63</v>
      </c>
      <c r="P2241" s="4"/>
      <c r="Q2241" s="4" t="s">
        <v>63</v>
      </c>
      <c r="R2241" s="4" t="s">
        <v>63</v>
      </c>
      <c r="S2241" s="4" t="s">
        <v>63</v>
      </c>
      <c r="T2241" s="4" t="s">
        <v>63</v>
      </c>
      <c r="U2241" s="4"/>
      <c r="V2241" s="4"/>
      <c r="W2241" s="4"/>
      <c r="X2241" s="4" t="s">
        <v>63</v>
      </c>
      <c r="Y2241" s="4" t="s">
        <v>19042</v>
      </c>
      <c r="Z2241" s="4" t="s">
        <v>63</v>
      </c>
      <c r="AA2241" s="4" t="s">
        <v>63</v>
      </c>
      <c r="AB2241" s="4" t="s">
        <v>19043</v>
      </c>
      <c r="AC2241" s="4" t="s">
        <v>67</v>
      </c>
      <c r="AD2241" s="4" t="s">
        <v>63</v>
      </c>
      <c r="AE2241" s="4" t="s">
        <v>63</v>
      </c>
      <c r="AF2241" s="4" t="s">
        <v>63</v>
      </c>
      <c r="AG2241" s="4" t="s">
        <v>63</v>
      </c>
      <c r="AH2241" s="4" t="s">
        <v>63</v>
      </c>
      <c r="AI2241" s="4" t="s">
        <v>19044</v>
      </c>
      <c r="AJ2241" s="4" t="s">
        <v>63</v>
      </c>
      <c r="AK2241" s="4" t="s">
        <v>63</v>
      </c>
      <c r="AL2241" s="4" t="s">
        <v>63</v>
      </c>
      <c r="AM2241" s="4" t="s">
        <v>19037</v>
      </c>
      <c r="AN2241" s="4" t="s">
        <v>63</v>
      </c>
      <c r="AO2241" s="4" t="s">
        <v>63</v>
      </c>
      <c r="AP2241" s="4" t="s">
        <v>63</v>
      </c>
      <c r="AQ2241" s="4" t="s">
        <v>63</v>
      </c>
      <c r="AR2241" s="4" t="s">
        <v>63</v>
      </c>
      <c r="AS2241" s="4" t="s">
        <v>63</v>
      </c>
      <c r="AT2241" s="4" t="s">
        <v>63</v>
      </c>
      <c r="AU2241" s="4" t="s">
        <v>63</v>
      </c>
      <c r="AV2241" s="4" t="s">
        <v>63</v>
      </c>
      <c r="AW2241" s="4" t="s">
        <v>63</v>
      </c>
      <c r="AX2241" s="4" t="s">
        <v>63</v>
      </c>
      <c r="AY2241" s="4" t="s">
        <v>63</v>
      </c>
      <c r="AZ2241" s="4" t="s">
        <v>63</v>
      </c>
      <c r="BA2241" s="4" t="s">
        <v>63</v>
      </c>
      <c r="BB2241" s="4" t="s">
        <v>63</v>
      </c>
      <c r="BC2241" s="4" t="s">
        <v>63</v>
      </c>
      <c r="BD2241" s="4" t="s">
        <v>63</v>
      </c>
      <c r="BE2241" s="4" t="s">
        <v>63</v>
      </c>
      <c r="BF2241" s="4" t="s">
        <v>63</v>
      </c>
    </row>
    <row r="2242" spans="1:58">
      <c r="A2242" s="4" t="s">
        <v>58</v>
      </c>
      <c r="B2242" s="4" t="s">
        <v>19045</v>
      </c>
      <c r="C2242" s="4" t="s">
        <v>19046</v>
      </c>
      <c r="D2242" s="4" t="s">
        <v>2353</v>
      </c>
      <c r="E2242" s="4" t="s">
        <v>2354</v>
      </c>
      <c r="F2242" s="4">
        <v>2008</v>
      </c>
      <c r="G2242" s="4" t="s">
        <v>16182</v>
      </c>
      <c r="H2242" s="4">
        <v>35</v>
      </c>
      <c r="I2242" s="4">
        <v>1</v>
      </c>
      <c r="J2242" s="4">
        <v>93</v>
      </c>
      <c r="K2242" s="4">
        <v>98</v>
      </c>
      <c r="L2242" s="4" t="s">
        <v>19047</v>
      </c>
      <c r="M2242" s="4" t="s">
        <v>19048</v>
      </c>
      <c r="N2242" s="4" t="s">
        <v>19049</v>
      </c>
      <c r="O2242" s="4" t="s">
        <v>63</v>
      </c>
      <c r="P2242" s="4"/>
      <c r="Q2242" s="4" t="s">
        <v>63</v>
      </c>
      <c r="R2242" s="4" t="s">
        <v>63</v>
      </c>
      <c r="S2242" s="4" t="s">
        <v>63</v>
      </c>
      <c r="T2242" s="4" t="s">
        <v>63</v>
      </c>
      <c r="U2242" s="4"/>
      <c r="V2242" s="4"/>
      <c r="W2242" s="4"/>
      <c r="X2242" s="4" t="s">
        <v>63</v>
      </c>
      <c r="Y2242" s="4" t="s">
        <v>2358</v>
      </c>
      <c r="Z2242" s="4" t="s">
        <v>63</v>
      </c>
      <c r="AA2242" s="4" t="s">
        <v>63</v>
      </c>
      <c r="AB2242" s="4">
        <v>2008255127</v>
      </c>
      <c r="AC2242" s="4" t="s">
        <v>67</v>
      </c>
      <c r="AD2242" s="4" t="s">
        <v>63</v>
      </c>
      <c r="AE2242" s="4" t="s">
        <v>63</v>
      </c>
      <c r="AF2242" s="4" t="s">
        <v>63</v>
      </c>
      <c r="AG2242" s="4" t="s">
        <v>19050</v>
      </c>
      <c r="AH2242" s="4" t="s">
        <v>63</v>
      </c>
      <c r="AI2242" s="4" t="s">
        <v>19051</v>
      </c>
      <c r="AJ2242" s="4" t="s">
        <v>63</v>
      </c>
      <c r="AK2242" s="4" t="s">
        <v>63</v>
      </c>
      <c r="AL2242" s="4" t="s">
        <v>63</v>
      </c>
      <c r="AM2242" s="4" t="s">
        <v>19052</v>
      </c>
      <c r="AN2242" s="4" t="s">
        <v>63</v>
      </c>
      <c r="AO2242" s="4" t="s">
        <v>63</v>
      </c>
      <c r="AP2242" s="4" t="s">
        <v>63</v>
      </c>
      <c r="AQ2242" s="4" t="s">
        <v>63</v>
      </c>
      <c r="AR2242" s="4" t="s">
        <v>63</v>
      </c>
      <c r="AS2242" s="4" t="s">
        <v>63</v>
      </c>
      <c r="AT2242" s="4" t="s">
        <v>63</v>
      </c>
      <c r="AU2242" s="4" t="s">
        <v>63</v>
      </c>
      <c r="AV2242" s="4" t="s">
        <v>63</v>
      </c>
      <c r="AW2242" s="4" t="s">
        <v>63</v>
      </c>
      <c r="AX2242" s="4" t="s">
        <v>63</v>
      </c>
      <c r="AY2242" s="4" t="s">
        <v>63</v>
      </c>
      <c r="AZ2242" s="4" t="s">
        <v>63</v>
      </c>
      <c r="BA2242" s="4" t="s">
        <v>63</v>
      </c>
      <c r="BB2242" s="4" t="s">
        <v>63</v>
      </c>
      <c r="BC2242" s="4" t="s">
        <v>63</v>
      </c>
      <c r="BD2242" s="4" t="s">
        <v>63</v>
      </c>
      <c r="BE2242" s="4" t="s">
        <v>63</v>
      </c>
      <c r="BF2242" s="4" t="s">
        <v>63</v>
      </c>
    </row>
    <row r="2243" spans="1:58">
      <c r="A2243" s="4" t="s">
        <v>58</v>
      </c>
      <c r="B2243" s="4" t="s">
        <v>19053</v>
      </c>
      <c r="C2243" s="4" t="s">
        <v>19054</v>
      </c>
      <c r="D2243" s="4" t="s">
        <v>19055</v>
      </c>
      <c r="E2243" s="4" t="s">
        <v>63</v>
      </c>
      <c r="F2243" s="4">
        <v>2010</v>
      </c>
      <c r="G2243" s="4">
        <v>25</v>
      </c>
      <c r="H2243" s="4">
        <v>304</v>
      </c>
      <c r="I2243" s="4">
        <v>8</v>
      </c>
      <c r="J2243" s="4">
        <v>845</v>
      </c>
      <c r="K2243" s="4" t="s">
        <v>63</v>
      </c>
      <c r="L2243" s="4" t="s">
        <v>19056</v>
      </c>
      <c r="M2243" s="4" t="s">
        <v>63</v>
      </c>
      <c r="N2243" s="4" t="s">
        <v>19057</v>
      </c>
      <c r="O2243" s="4" t="s">
        <v>63</v>
      </c>
      <c r="P2243" s="4"/>
      <c r="Q2243" s="4" t="s">
        <v>63</v>
      </c>
      <c r="R2243" s="4" t="s">
        <v>63</v>
      </c>
      <c r="S2243" s="4" t="s">
        <v>63</v>
      </c>
      <c r="T2243" s="4" t="s">
        <v>63</v>
      </c>
      <c r="U2243" s="4"/>
      <c r="V2243" s="4"/>
      <c r="W2243" s="4"/>
      <c r="X2243" s="4" t="s">
        <v>63</v>
      </c>
      <c r="Y2243" s="4" t="s">
        <v>15520</v>
      </c>
      <c r="Z2243" s="4" t="s">
        <v>63</v>
      </c>
      <c r="AA2243" s="4" t="s">
        <v>63</v>
      </c>
      <c r="AB2243" s="4">
        <v>2010581697</v>
      </c>
      <c r="AC2243" s="4" t="s">
        <v>67</v>
      </c>
      <c r="AD2243" s="4" t="s">
        <v>63</v>
      </c>
      <c r="AE2243" s="4" t="s">
        <v>63</v>
      </c>
      <c r="AF2243" s="4" t="s">
        <v>63</v>
      </c>
      <c r="AG2243" s="4" t="s">
        <v>19058</v>
      </c>
      <c r="AH2243" s="4" t="s">
        <v>63</v>
      </c>
      <c r="AI2243" s="4" t="s">
        <v>19059</v>
      </c>
      <c r="AJ2243" s="4" t="s">
        <v>63</v>
      </c>
      <c r="AK2243" s="4" t="s">
        <v>63</v>
      </c>
      <c r="AL2243" s="4" t="s">
        <v>63</v>
      </c>
      <c r="AM2243" s="4" t="s">
        <v>7773</v>
      </c>
      <c r="AN2243" s="4" t="s">
        <v>63</v>
      </c>
      <c r="AO2243" s="4" t="s">
        <v>63</v>
      </c>
      <c r="AP2243" s="4" t="s">
        <v>63</v>
      </c>
      <c r="AQ2243" s="4" t="s">
        <v>63</v>
      </c>
      <c r="AR2243" s="4" t="s">
        <v>63</v>
      </c>
      <c r="AS2243" s="4" t="s">
        <v>63</v>
      </c>
      <c r="AT2243" s="4" t="s">
        <v>63</v>
      </c>
      <c r="AU2243" s="4" t="s">
        <v>63</v>
      </c>
      <c r="AV2243" s="4" t="s">
        <v>63</v>
      </c>
      <c r="AW2243" s="4" t="s">
        <v>63</v>
      </c>
      <c r="AX2243" s="4" t="s">
        <v>63</v>
      </c>
      <c r="AY2243" s="4" t="s">
        <v>63</v>
      </c>
      <c r="AZ2243" s="4" t="s">
        <v>63</v>
      </c>
      <c r="BA2243" s="4" t="s">
        <v>63</v>
      </c>
      <c r="BB2243" s="4" t="s">
        <v>63</v>
      </c>
      <c r="BC2243" s="4" t="s">
        <v>63</v>
      </c>
      <c r="BD2243" s="4" t="s">
        <v>63</v>
      </c>
      <c r="BE2243" s="4" t="s">
        <v>63</v>
      </c>
      <c r="BF2243" s="4" t="s">
        <v>63</v>
      </c>
    </row>
    <row r="2244" spans="1:58">
      <c r="A2244" s="4" t="s">
        <v>58</v>
      </c>
      <c r="B2244" s="4" t="s">
        <v>19060</v>
      </c>
      <c r="C2244" s="4" t="s">
        <v>19061</v>
      </c>
      <c r="D2244" s="4" t="s">
        <v>19062</v>
      </c>
      <c r="E2244" s="4" t="s">
        <v>63</v>
      </c>
      <c r="F2244" s="4">
        <v>2006</v>
      </c>
      <c r="G2244" s="4" t="s">
        <v>63</v>
      </c>
      <c r="H2244" s="4">
        <v>4</v>
      </c>
      <c r="I2244" s="4">
        <v>16</v>
      </c>
      <c r="J2244" s="4">
        <v>460</v>
      </c>
      <c r="K2244" s="4">
        <v>464</v>
      </c>
      <c r="L2244" s="4" t="s">
        <v>19063</v>
      </c>
      <c r="M2244" s="4" t="s">
        <v>19064</v>
      </c>
      <c r="N2244" s="4" t="s">
        <v>19065</v>
      </c>
      <c r="O2244" s="4" t="s">
        <v>63</v>
      </c>
      <c r="P2244" s="4"/>
      <c r="Q2244" s="4" t="s">
        <v>63</v>
      </c>
      <c r="R2244" s="4" t="s">
        <v>63</v>
      </c>
      <c r="S2244" s="4" t="s">
        <v>63</v>
      </c>
      <c r="T2244" s="4" t="s">
        <v>63</v>
      </c>
      <c r="U2244" s="4"/>
      <c r="V2244" s="4"/>
      <c r="W2244" s="4"/>
      <c r="X2244" s="4" t="s">
        <v>63</v>
      </c>
      <c r="Y2244" s="4" t="s">
        <v>19066</v>
      </c>
      <c r="Z2244" s="4" t="s">
        <v>63</v>
      </c>
      <c r="AA2244" s="4" t="s">
        <v>63</v>
      </c>
      <c r="AB2244" s="4">
        <v>2008174323</v>
      </c>
      <c r="AC2244" s="4" t="s">
        <v>67</v>
      </c>
      <c r="AD2244" s="4" t="s">
        <v>63</v>
      </c>
      <c r="AE2244" s="4" t="s">
        <v>63</v>
      </c>
      <c r="AF2244" s="4" t="s">
        <v>63</v>
      </c>
      <c r="AG2244" s="4" t="s">
        <v>19067</v>
      </c>
      <c r="AH2244" s="4" t="s">
        <v>63</v>
      </c>
      <c r="AI2244" s="4" t="s">
        <v>63</v>
      </c>
      <c r="AJ2244" s="4" t="s">
        <v>63</v>
      </c>
      <c r="AK2244" s="4" t="s">
        <v>63</v>
      </c>
      <c r="AL2244" s="4" t="s">
        <v>63</v>
      </c>
      <c r="AM2244" s="4" t="s">
        <v>19068</v>
      </c>
      <c r="AN2244" s="4" t="s">
        <v>63</v>
      </c>
      <c r="AO2244" s="4" t="s">
        <v>63</v>
      </c>
      <c r="AP2244" s="4" t="s">
        <v>63</v>
      </c>
      <c r="AQ2244" s="4" t="s">
        <v>63</v>
      </c>
      <c r="AR2244" s="4" t="s">
        <v>63</v>
      </c>
      <c r="AS2244" s="4" t="s">
        <v>63</v>
      </c>
      <c r="AT2244" s="4" t="s">
        <v>63</v>
      </c>
      <c r="AU2244" s="4" t="s">
        <v>63</v>
      </c>
      <c r="AV2244" s="4" t="s">
        <v>63</v>
      </c>
      <c r="AW2244" s="4" t="s">
        <v>63</v>
      </c>
      <c r="AX2244" s="4" t="s">
        <v>63</v>
      </c>
      <c r="AY2244" s="4" t="s">
        <v>63</v>
      </c>
      <c r="AZ2244" s="4" t="s">
        <v>63</v>
      </c>
      <c r="BA2244" s="4" t="s">
        <v>63</v>
      </c>
      <c r="BB2244" s="4" t="s">
        <v>63</v>
      </c>
      <c r="BC2244" s="4" t="s">
        <v>63</v>
      </c>
      <c r="BD2244" s="4" t="s">
        <v>63</v>
      </c>
      <c r="BE2244" s="4" t="s">
        <v>63</v>
      </c>
      <c r="BF2244" s="4" t="s">
        <v>63</v>
      </c>
    </row>
    <row r="2245" spans="1:58">
      <c r="A2245" s="4" t="s">
        <v>58</v>
      </c>
      <c r="B2245" s="4" t="s">
        <v>19069</v>
      </c>
      <c r="C2245" s="4" t="s">
        <v>19070</v>
      </c>
      <c r="D2245" s="4" t="s">
        <v>19071</v>
      </c>
      <c r="E2245" s="4" t="s">
        <v>19072</v>
      </c>
      <c r="F2245" s="4">
        <v>2013</v>
      </c>
      <c r="G2245" s="4" t="s">
        <v>15472</v>
      </c>
      <c r="H2245" s="4" t="s">
        <v>19073</v>
      </c>
      <c r="I2245" s="4" t="s">
        <v>63</v>
      </c>
      <c r="J2245" s="4" t="s">
        <v>14754</v>
      </c>
      <c r="K2245" s="4" t="s">
        <v>63</v>
      </c>
      <c r="L2245" s="4" t="s">
        <v>19074</v>
      </c>
      <c r="M2245" s="4" t="s">
        <v>19075</v>
      </c>
      <c r="N2245" s="4" t="s">
        <v>19076</v>
      </c>
      <c r="O2245" s="4" t="s">
        <v>63</v>
      </c>
      <c r="P2245" s="4"/>
      <c r="Q2245" s="4" t="s">
        <v>63</v>
      </c>
      <c r="R2245" s="4" t="s">
        <v>63</v>
      </c>
      <c r="S2245" s="4" t="s">
        <v>63</v>
      </c>
      <c r="T2245" s="4" t="s">
        <v>63</v>
      </c>
      <c r="U2245" s="4"/>
      <c r="V2245" s="4"/>
      <c r="W2245" s="4"/>
      <c r="X2245" s="4" t="s">
        <v>63</v>
      </c>
      <c r="Y2245" s="4" t="s">
        <v>19077</v>
      </c>
      <c r="Z2245" s="4" t="s">
        <v>63</v>
      </c>
      <c r="AA2245" s="4" t="s">
        <v>63</v>
      </c>
      <c r="AB2245" s="4" t="s">
        <v>63</v>
      </c>
      <c r="AC2245" s="4" t="s">
        <v>67</v>
      </c>
      <c r="AD2245" s="4" t="s">
        <v>63</v>
      </c>
      <c r="AE2245" s="4" t="s">
        <v>63</v>
      </c>
      <c r="AF2245" s="4" t="s">
        <v>63</v>
      </c>
      <c r="AG2245" s="4" t="s">
        <v>63</v>
      </c>
      <c r="AH2245" s="4" t="s">
        <v>63</v>
      </c>
      <c r="AI2245" s="4" t="s">
        <v>63</v>
      </c>
      <c r="AJ2245" s="4" t="s">
        <v>63</v>
      </c>
      <c r="AK2245" s="4" t="s">
        <v>63</v>
      </c>
      <c r="AL2245" s="4" t="s">
        <v>63</v>
      </c>
      <c r="AM2245" s="4" t="s">
        <v>19070</v>
      </c>
      <c r="AN2245" s="4" t="s">
        <v>63</v>
      </c>
      <c r="AO2245" s="4" t="s">
        <v>63</v>
      </c>
      <c r="AP2245" s="4" t="s">
        <v>63</v>
      </c>
      <c r="AQ2245" s="4" t="s">
        <v>63</v>
      </c>
      <c r="AR2245" s="4" t="s">
        <v>63</v>
      </c>
      <c r="AS2245" s="4" t="s">
        <v>63</v>
      </c>
      <c r="AT2245" s="4" t="s">
        <v>63</v>
      </c>
      <c r="AU2245" s="4" t="s">
        <v>63</v>
      </c>
      <c r="AV2245" s="4" t="s">
        <v>63</v>
      </c>
      <c r="AW2245" s="4" t="s">
        <v>63</v>
      </c>
      <c r="AX2245" s="4" t="s">
        <v>63</v>
      </c>
      <c r="AY2245" s="4" t="s">
        <v>63</v>
      </c>
      <c r="AZ2245" s="4" t="s">
        <v>63</v>
      </c>
      <c r="BA2245" s="4" t="s">
        <v>63</v>
      </c>
      <c r="BB2245" s="4" t="s">
        <v>63</v>
      </c>
      <c r="BC2245" s="4" t="s">
        <v>63</v>
      </c>
      <c r="BD2245" s="4" t="s">
        <v>63</v>
      </c>
      <c r="BE2245" s="4" t="s">
        <v>63</v>
      </c>
      <c r="BF2245" s="4" t="s">
        <v>63</v>
      </c>
    </row>
    <row r="2246" spans="1:58">
      <c r="A2246" s="4" t="s">
        <v>58</v>
      </c>
      <c r="B2246" s="4" t="s">
        <v>19078</v>
      </c>
      <c r="C2246" s="4" t="s">
        <v>19079</v>
      </c>
      <c r="D2246" s="4" t="s">
        <v>11901</v>
      </c>
      <c r="E2246" s="4" t="s">
        <v>63</v>
      </c>
      <c r="F2246" s="4">
        <v>2018</v>
      </c>
      <c r="G2246" s="4">
        <v>1</v>
      </c>
      <c r="H2246" s="4">
        <v>60</v>
      </c>
      <c r="I2246" s="4">
        <v>5</v>
      </c>
      <c r="J2246" s="4" t="s">
        <v>13677</v>
      </c>
      <c r="K2246" s="4" t="s">
        <v>63</v>
      </c>
      <c r="L2246" s="4" t="s">
        <v>19080</v>
      </c>
      <c r="M2246" s="4" t="s">
        <v>19081</v>
      </c>
      <c r="N2246" s="4" t="s">
        <v>19082</v>
      </c>
      <c r="O2246" s="4" t="s">
        <v>63</v>
      </c>
      <c r="P2246" s="4"/>
      <c r="Q2246" s="4" t="s">
        <v>63</v>
      </c>
      <c r="R2246" s="4" t="s">
        <v>63</v>
      </c>
      <c r="S2246" s="4" t="s">
        <v>63</v>
      </c>
      <c r="T2246" s="4" t="s">
        <v>63</v>
      </c>
      <c r="U2246" s="4"/>
      <c r="V2246" s="4"/>
      <c r="W2246" s="4"/>
      <c r="X2246" s="4" t="s">
        <v>63</v>
      </c>
      <c r="Y2246" s="4" t="s">
        <v>15618</v>
      </c>
      <c r="Z2246" s="4" t="s">
        <v>63</v>
      </c>
      <c r="AA2246" s="4" t="s">
        <v>63</v>
      </c>
      <c r="AB2246" s="4" t="s">
        <v>63</v>
      </c>
      <c r="AC2246" s="4" t="s">
        <v>67</v>
      </c>
      <c r="AD2246" s="4" t="s">
        <v>63</v>
      </c>
      <c r="AE2246" s="4" t="s">
        <v>63</v>
      </c>
      <c r="AF2246" s="4" t="s">
        <v>63</v>
      </c>
      <c r="AG2246" s="4" t="s">
        <v>63</v>
      </c>
      <c r="AH2246" s="4" t="s">
        <v>63</v>
      </c>
      <c r="AI2246" s="4" t="s">
        <v>63</v>
      </c>
      <c r="AJ2246" s="4" t="s">
        <v>63</v>
      </c>
      <c r="AK2246" s="4" t="s">
        <v>63</v>
      </c>
      <c r="AL2246" s="4" t="s">
        <v>63</v>
      </c>
      <c r="AM2246" s="4" t="s">
        <v>19079</v>
      </c>
      <c r="AN2246" s="4" t="s">
        <v>63</v>
      </c>
      <c r="AO2246" s="4" t="s">
        <v>63</v>
      </c>
      <c r="AP2246" s="4" t="s">
        <v>63</v>
      </c>
      <c r="AQ2246" s="4" t="s">
        <v>63</v>
      </c>
      <c r="AR2246" s="4" t="s">
        <v>63</v>
      </c>
      <c r="AS2246" s="4" t="s">
        <v>63</v>
      </c>
      <c r="AT2246" s="4" t="s">
        <v>63</v>
      </c>
      <c r="AU2246" s="4" t="s">
        <v>63</v>
      </c>
      <c r="AV2246" s="4" t="s">
        <v>63</v>
      </c>
      <c r="AW2246" s="4" t="s">
        <v>63</v>
      </c>
      <c r="AX2246" s="4" t="s">
        <v>63</v>
      </c>
      <c r="AY2246" s="4" t="s">
        <v>63</v>
      </c>
      <c r="AZ2246" s="4" t="s">
        <v>63</v>
      </c>
      <c r="BA2246" s="4" t="s">
        <v>63</v>
      </c>
      <c r="BB2246" s="4" t="s">
        <v>63</v>
      </c>
      <c r="BC2246" s="4" t="s">
        <v>63</v>
      </c>
      <c r="BD2246" s="4" t="s">
        <v>63</v>
      </c>
      <c r="BE2246" s="4" t="s">
        <v>63</v>
      </c>
      <c r="BF2246" s="4" t="s">
        <v>63</v>
      </c>
    </row>
    <row r="2247" spans="1:58">
      <c r="A2247" s="4" t="s">
        <v>58</v>
      </c>
      <c r="B2247" s="4" t="s">
        <v>19083</v>
      </c>
      <c r="C2247" s="4" t="s">
        <v>19084</v>
      </c>
      <c r="D2247" s="4" t="s">
        <v>19085</v>
      </c>
      <c r="E2247" s="4" t="s">
        <v>19086</v>
      </c>
      <c r="F2247" s="4">
        <v>2011</v>
      </c>
      <c r="G2247" s="6">
        <v>41743</v>
      </c>
      <c r="H2247" s="4" t="s">
        <v>19087</v>
      </c>
      <c r="I2247" s="4" t="s">
        <v>63</v>
      </c>
      <c r="J2247" s="4" t="s">
        <v>63</v>
      </c>
      <c r="K2247" s="4" t="s">
        <v>63</v>
      </c>
      <c r="L2247" s="4" t="s">
        <v>19088</v>
      </c>
      <c r="M2247" s="4" t="s">
        <v>19089</v>
      </c>
      <c r="N2247" s="4" t="s">
        <v>19090</v>
      </c>
      <c r="O2247" s="4" t="s">
        <v>63</v>
      </c>
      <c r="P2247" s="4"/>
      <c r="Q2247" s="4" t="s">
        <v>63</v>
      </c>
      <c r="R2247" s="4" t="s">
        <v>63</v>
      </c>
      <c r="S2247" s="4" t="s">
        <v>63</v>
      </c>
      <c r="T2247" s="4" t="s">
        <v>63</v>
      </c>
      <c r="U2247" s="4"/>
      <c r="V2247" s="4"/>
      <c r="W2247" s="4"/>
      <c r="X2247" s="4" t="s">
        <v>63</v>
      </c>
      <c r="Y2247" s="5">
        <v>25050</v>
      </c>
      <c r="Z2247" s="4" t="s">
        <v>63</v>
      </c>
      <c r="AA2247" s="4" t="s">
        <v>63</v>
      </c>
      <c r="AB2247" s="4" t="s">
        <v>63</v>
      </c>
      <c r="AC2247" s="4" t="s">
        <v>67</v>
      </c>
      <c r="AD2247" s="4" t="s">
        <v>63</v>
      </c>
      <c r="AE2247" s="4" t="s">
        <v>63</v>
      </c>
      <c r="AF2247" s="4" t="s">
        <v>63</v>
      </c>
      <c r="AG2247" s="4" t="s">
        <v>63</v>
      </c>
      <c r="AH2247" s="4" t="s">
        <v>63</v>
      </c>
      <c r="AI2247" s="4" t="s">
        <v>19091</v>
      </c>
      <c r="AJ2247" s="4" t="s">
        <v>63</v>
      </c>
      <c r="AK2247" s="4" t="s">
        <v>63</v>
      </c>
      <c r="AL2247" s="4" t="s">
        <v>63</v>
      </c>
      <c r="AM2247" s="4" t="s">
        <v>19084</v>
      </c>
      <c r="AN2247" s="4" t="s">
        <v>63</v>
      </c>
      <c r="AO2247" s="4" t="s">
        <v>63</v>
      </c>
      <c r="AP2247" s="4" t="s">
        <v>63</v>
      </c>
      <c r="AQ2247" s="4" t="s">
        <v>63</v>
      </c>
      <c r="AR2247" s="4" t="s">
        <v>63</v>
      </c>
      <c r="AS2247" s="4" t="s">
        <v>63</v>
      </c>
      <c r="AT2247" s="4" t="s">
        <v>63</v>
      </c>
      <c r="AU2247" s="4" t="s">
        <v>63</v>
      </c>
      <c r="AV2247" s="4" t="s">
        <v>63</v>
      </c>
      <c r="AW2247" s="4" t="s">
        <v>63</v>
      </c>
      <c r="AX2247" s="4" t="s">
        <v>63</v>
      </c>
      <c r="AY2247" s="4" t="s">
        <v>63</v>
      </c>
      <c r="AZ2247" s="4" t="s">
        <v>63</v>
      </c>
      <c r="BA2247" s="4" t="s">
        <v>63</v>
      </c>
      <c r="BB2247" s="4" t="s">
        <v>63</v>
      </c>
      <c r="BC2247" s="4" t="s">
        <v>63</v>
      </c>
      <c r="BD2247" s="4" t="s">
        <v>63</v>
      </c>
      <c r="BE2247" s="4" t="s">
        <v>63</v>
      </c>
      <c r="BF2247" s="4" t="s">
        <v>63</v>
      </c>
    </row>
    <row r="2248" spans="1:58">
      <c r="A2248" s="4" t="s">
        <v>58</v>
      </c>
      <c r="B2248" s="4" t="s">
        <v>19092</v>
      </c>
      <c r="C2248" s="4" t="s">
        <v>19093</v>
      </c>
      <c r="D2248" s="4" t="s">
        <v>111</v>
      </c>
      <c r="E2248" s="4" t="s">
        <v>112</v>
      </c>
      <c r="F2248" s="4">
        <v>1973</v>
      </c>
      <c r="G2248" s="4" t="s">
        <v>63</v>
      </c>
      <c r="H2248" s="4">
        <v>79</v>
      </c>
      <c r="I2248" s="4">
        <v>4</v>
      </c>
      <c r="J2248" s="4">
        <v>555</v>
      </c>
      <c r="K2248" s="4">
        <v>560</v>
      </c>
      <c r="L2248" s="4" t="s">
        <v>19094</v>
      </c>
      <c r="M2248" s="4" t="s">
        <v>63</v>
      </c>
      <c r="N2248" s="4" t="s">
        <v>19095</v>
      </c>
      <c r="O2248" s="4" t="s">
        <v>63</v>
      </c>
      <c r="P2248" s="4"/>
      <c r="Q2248" s="4" t="s">
        <v>63</v>
      </c>
      <c r="R2248" s="4" t="s">
        <v>63</v>
      </c>
      <c r="S2248" s="4" t="s">
        <v>63</v>
      </c>
      <c r="T2248" s="4" t="s">
        <v>63</v>
      </c>
      <c r="U2248" s="4"/>
      <c r="V2248" s="4"/>
      <c r="W2248" s="4"/>
      <c r="X2248" s="4" t="s">
        <v>63</v>
      </c>
      <c r="Y2248" s="5">
        <v>41716</v>
      </c>
      <c r="Z2248" s="4" t="s">
        <v>63</v>
      </c>
      <c r="AA2248" s="4" t="s">
        <v>63</v>
      </c>
      <c r="AB2248" s="4">
        <v>1974091452</v>
      </c>
      <c r="AC2248" s="4" t="s">
        <v>67</v>
      </c>
      <c r="AD2248" s="4" t="s">
        <v>63</v>
      </c>
      <c r="AE2248" s="4" t="s">
        <v>63</v>
      </c>
      <c r="AF2248" s="4" t="s">
        <v>63</v>
      </c>
      <c r="AG2248" s="4" t="s">
        <v>19096</v>
      </c>
      <c r="AH2248" s="4" t="s">
        <v>63</v>
      </c>
      <c r="AI2248" s="4" t="s">
        <v>63</v>
      </c>
      <c r="AJ2248" s="4" t="s">
        <v>63</v>
      </c>
      <c r="AK2248" s="4" t="s">
        <v>63</v>
      </c>
      <c r="AL2248" s="4" t="s">
        <v>63</v>
      </c>
      <c r="AM2248" s="4" t="s">
        <v>19097</v>
      </c>
      <c r="AN2248" s="4" t="s">
        <v>63</v>
      </c>
      <c r="AO2248" s="4" t="s">
        <v>63</v>
      </c>
      <c r="AP2248" s="4" t="s">
        <v>63</v>
      </c>
      <c r="AQ2248" s="4" t="s">
        <v>63</v>
      </c>
      <c r="AR2248" s="4" t="s">
        <v>63</v>
      </c>
      <c r="AS2248" s="4" t="s">
        <v>63</v>
      </c>
      <c r="AT2248" s="4" t="s">
        <v>63</v>
      </c>
      <c r="AU2248" s="4" t="s">
        <v>63</v>
      </c>
      <c r="AV2248" s="4" t="s">
        <v>63</v>
      </c>
      <c r="AW2248" s="4" t="s">
        <v>63</v>
      </c>
      <c r="AX2248" s="4" t="s">
        <v>63</v>
      </c>
      <c r="AY2248" s="4" t="s">
        <v>63</v>
      </c>
      <c r="AZ2248" s="4" t="s">
        <v>63</v>
      </c>
      <c r="BA2248" s="4" t="s">
        <v>63</v>
      </c>
      <c r="BB2248" s="4" t="s">
        <v>63</v>
      </c>
      <c r="BC2248" s="4" t="s">
        <v>63</v>
      </c>
      <c r="BD2248" s="4" t="s">
        <v>63</v>
      </c>
      <c r="BE2248" s="4" t="s">
        <v>63</v>
      </c>
      <c r="BF2248" s="4" t="s">
        <v>63</v>
      </c>
    </row>
    <row r="2249" spans="1:58">
      <c r="A2249" s="4" t="s">
        <v>58</v>
      </c>
      <c r="B2249" s="4" t="s">
        <v>19098</v>
      </c>
      <c r="C2249" s="4" t="s">
        <v>19099</v>
      </c>
      <c r="D2249" s="4" t="s">
        <v>19100</v>
      </c>
      <c r="E2249" s="4" t="s">
        <v>63</v>
      </c>
      <c r="F2249" s="4">
        <v>1987</v>
      </c>
      <c r="G2249" s="4" t="s">
        <v>219</v>
      </c>
      <c r="H2249" s="4">
        <v>40</v>
      </c>
      <c r="I2249" s="4" t="s">
        <v>63</v>
      </c>
      <c r="J2249" s="4">
        <v>277</v>
      </c>
      <c r="K2249" s="4">
        <v>278</v>
      </c>
      <c r="L2249" s="4" t="s">
        <v>19101</v>
      </c>
      <c r="M2249" s="4" t="s">
        <v>63</v>
      </c>
      <c r="N2249" s="4" t="s">
        <v>19102</v>
      </c>
      <c r="O2249" s="4" t="s">
        <v>63</v>
      </c>
      <c r="P2249" s="4"/>
      <c r="Q2249" s="4" t="s">
        <v>63</v>
      </c>
      <c r="R2249" s="4" t="s">
        <v>63</v>
      </c>
      <c r="S2249" s="4" t="s">
        <v>63</v>
      </c>
      <c r="T2249" s="4" t="s">
        <v>63</v>
      </c>
      <c r="U2249" s="4"/>
      <c r="V2249" s="4"/>
      <c r="W2249" s="4"/>
      <c r="X2249" s="4" t="s">
        <v>63</v>
      </c>
      <c r="Y2249" s="4" t="s">
        <v>19103</v>
      </c>
      <c r="Z2249" s="4" t="s">
        <v>63</v>
      </c>
      <c r="AA2249" s="4" t="s">
        <v>63</v>
      </c>
      <c r="AB2249" s="4" t="s">
        <v>63</v>
      </c>
      <c r="AC2249" s="4" t="s">
        <v>102</v>
      </c>
      <c r="AD2249" s="4" t="s">
        <v>63</v>
      </c>
      <c r="AE2249" s="4" t="s">
        <v>63</v>
      </c>
      <c r="AF2249" s="4" t="s">
        <v>63</v>
      </c>
      <c r="AG2249" s="4" t="s">
        <v>19104</v>
      </c>
      <c r="AH2249" s="4" t="s">
        <v>63</v>
      </c>
      <c r="AI2249" s="4" t="s">
        <v>63</v>
      </c>
      <c r="AJ2249" s="4" t="s">
        <v>63</v>
      </c>
      <c r="AK2249" s="4" t="s">
        <v>63</v>
      </c>
      <c r="AL2249" s="4" t="s">
        <v>63</v>
      </c>
      <c r="AM2249" s="4" t="s">
        <v>19105</v>
      </c>
      <c r="AN2249" s="4" t="s">
        <v>63</v>
      </c>
      <c r="AO2249" s="4" t="s">
        <v>63</v>
      </c>
      <c r="AP2249" s="4" t="s">
        <v>63</v>
      </c>
      <c r="AQ2249" s="4" t="s">
        <v>63</v>
      </c>
      <c r="AR2249" s="4" t="s">
        <v>63</v>
      </c>
      <c r="AS2249" s="4" t="s">
        <v>63</v>
      </c>
      <c r="AT2249" s="4" t="s">
        <v>63</v>
      </c>
      <c r="AU2249" s="4" t="s">
        <v>63</v>
      </c>
      <c r="AV2249" s="4" t="s">
        <v>63</v>
      </c>
      <c r="AW2249" s="4" t="s">
        <v>63</v>
      </c>
      <c r="AX2249" s="4" t="s">
        <v>63</v>
      </c>
      <c r="AY2249" s="4" t="s">
        <v>63</v>
      </c>
      <c r="AZ2249" s="4" t="s">
        <v>63</v>
      </c>
      <c r="BA2249" s="4" t="s">
        <v>63</v>
      </c>
      <c r="BB2249" s="4" t="s">
        <v>63</v>
      </c>
      <c r="BC2249" s="4" t="s">
        <v>63</v>
      </c>
      <c r="BD2249" s="4" t="s">
        <v>63</v>
      </c>
      <c r="BE2249" s="4" t="s">
        <v>63</v>
      </c>
      <c r="BF2249" s="4" t="s">
        <v>63</v>
      </c>
    </row>
    <row r="2250" spans="1:58">
      <c r="A2250" s="4" t="s">
        <v>58</v>
      </c>
      <c r="B2250" s="4" t="s">
        <v>19106</v>
      </c>
      <c r="C2250" s="4" t="s">
        <v>19107</v>
      </c>
      <c r="D2250" s="4" t="s">
        <v>15876</v>
      </c>
      <c r="E2250" s="4" t="s">
        <v>63</v>
      </c>
      <c r="F2250" s="4">
        <v>2007</v>
      </c>
      <c r="G2250" s="4" t="s">
        <v>63</v>
      </c>
      <c r="H2250" s="4">
        <v>64</v>
      </c>
      <c r="I2250" s="4">
        <v>10</v>
      </c>
      <c r="J2250" s="4">
        <v>797</v>
      </c>
      <c r="K2250" s="4">
        <v>799</v>
      </c>
      <c r="L2250" s="4" t="s">
        <v>19108</v>
      </c>
      <c r="M2250" s="4" t="s">
        <v>19109</v>
      </c>
      <c r="N2250" s="4" t="s">
        <v>19110</v>
      </c>
      <c r="O2250" s="4" t="s">
        <v>63</v>
      </c>
      <c r="P2250" s="4"/>
      <c r="Q2250" s="4" t="s">
        <v>63</v>
      </c>
      <c r="R2250" s="4" t="s">
        <v>63</v>
      </c>
      <c r="S2250" s="4" t="s">
        <v>63</v>
      </c>
      <c r="T2250" s="4" t="s">
        <v>63</v>
      </c>
      <c r="U2250" s="4"/>
      <c r="V2250" s="4"/>
      <c r="W2250" s="4"/>
      <c r="X2250" s="4" t="s">
        <v>63</v>
      </c>
      <c r="Y2250" s="4" t="s">
        <v>694</v>
      </c>
      <c r="Z2250" s="4" t="s">
        <v>63</v>
      </c>
      <c r="AA2250" s="4" t="s">
        <v>63</v>
      </c>
      <c r="AB2250" s="4" t="s">
        <v>63</v>
      </c>
      <c r="AC2250" s="4" t="s">
        <v>696</v>
      </c>
      <c r="AD2250" s="4" t="s">
        <v>63</v>
      </c>
      <c r="AE2250" s="4" t="s">
        <v>63</v>
      </c>
      <c r="AF2250" s="4" t="s">
        <v>63</v>
      </c>
      <c r="AG2250" s="4" t="s">
        <v>19111</v>
      </c>
      <c r="AH2250" s="4" t="s">
        <v>63</v>
      </c>
      <c r="AI2250" s="4" t="s">
        <v>63</v>
      </c>
      <c r="AJ2250" s="4" t="s">
        <v>63</v>
      </c>
      <c r="AK2250" s="4" t="s">
        <v>63</v>
      </c>
      <c r="AL2250" s="4" t="s">
        <v>63</v>
      </c>
      <c r="AM2250" s="4" t="s">
        <v>19112</v>
      </c>
      <c r="AN2250" s="4" t="s">
        <v>63</v>
      </c>
      <c r="AO2250" s="4" t="s">
        <v>63</v>
      </c>
      <c r="AP2250" s="4" t="s">
        <v>63</v>
      </c>
      <c r="AQ2250" s="4" t="s">
        <v>63</v>
      </c>
      <c r="AR2250" s="4" t="s">
        <v>63</v>
      </c>
      <c r="AS2250" s="4" t="s">
        <v>63</v>
      </c>
      <c r="AT2250" s="4" t="s">
        <v>63</v>
      </c>
      <c r="AU2250" s="4" t="s">
        <v>63</v>
      </c>
      <c r="AV2250" s="4" t="s">
        <v>63</v>
      </c>
      <c r="AW2250" s="4" t="s">
        <v>63</v>
      </c>
      <c r="AX2250" s="4" t="s">
        <v>63</v>
      </c>
      <c r="AY2250" s="4" t="s">
        <v>63</v>
      </c>
      <c r="AZ2250" s="4" t="s">
        <v>63</v>
      </c>
      <c r="BA2250" s="4" t="s">
        <v>63</v>
      </c>
      <c r="BB2250" s="4" t="s">
        <v>63</v>
      </c>
      <c r="BC2250" s="4" t="s">
        <v>63</v>
      </c>
      <c r="BD2250" s="4" t="s">
        <v>63</v>
      </c>
      <c r="BE2250" s="4" t="s">
        <v>63</v>
      </c>
      <c r="BF2250" s="4" t="s">
        <v>63</v>
      </c>
    </row>
    <row r="2251" spans="1:58">
      <c r="A2251" s="4" t="s">
        <v>58</v>
      </c>
      <c r="B2251" s="4" t="s">
        <v>19113</v>
      </c>
      <c r="C2251" s="4" t="s">
        <v>19114</v>
      </c>
      <c r="D2251" s="4" t="s">
        <v>15876</v>
      </c>
      <c r="E2251" s="4" t="s">
        <v>63</v>
      </c>
      <c r="F2251" s="4">
        <v>2009</v>
      </c>
      <c r="G2251" s="4" t="s">
        <v>63</v>
      </c>
      <c r="H2251" s="4">
        <v>66</v>
      </c>
      <c r="I2251" s="4">
        <v>10</v>
      </c>
      <c r="J2251" s="4">
        <v>714</v>
      </c>
      <c r="K2251" s="4">
        <v>715</v>
      </c>
      <c r="L2251" s="4" t="s">
        <v>19115</v>
      </c>
      <c r="M2251" s="4" t="s">
        <v>19116</v>
      </c>
      <c r="N2251" s="4" t="s">
        <v>19117</v>
      </c>
      <c r="O2251" s="4" t="s">
        <v>63</v>
      </c>
      <c r="P2251" s="4"/>
      <c r="Q2251" s="4" t="s">
        <v>63</v>
      </c>
      <c r="R2251" s="4" t="s">
        <v>63</v>
      </c>
      <c r="S2251" s="4" t="s">
        <v>63</v>
      </c>
      <c r="T2251" s="4" t="s">
        <v>63</v>
      </c>
      <c r="U2251" s="4"/>
      <c r="V2251" s="4"/>
      <c r="W2251" s="4"/>
      <c r="X2251" s="4" t="s">
        <v>63</v>
      </c>
      <c r="Y2251" s="4" t="s">
        <v>694</v>
      </c>
      <c r="Z2251" s="4" t="s">
        <v>63</v>
      </c>
      <c r="AA2251" s="4" t="s">
        <v>63</v>
      </c>
      <c r="AB2251" s="4" t="s">
        <v>63</v>
      </c>
      <c r="AC2251" s="4" t="s">
        <v>696</v>
      </c>
      <c r="AD2251" s="4" t="s">
        <v>63</v>
      </c>
      <c r="AE2251" s="4" t="s">
        <v>63</v>
      </c>
      <c r="AF2251" s="4" t="s">
        <v>63</v>
      </c>
      <c r="AG2251" s="4" t="s">
        <v>19118</v>
      </c>
      <c r="AH2251" s="4" t="s">
        <v>63</v>
      </c>
      <c r="AI2251" s="4" t="s">
        <v>63</v>
      </c>
      <c r="AJ2251" s="4" t="s">
        <v>63</v>
      </c>
      <c r="AK2251" s="4" t="s">
        <v>63</v>
      </c>
      <c r="AL2251" s="4" t="s">
        <v>63</v>
      </c>
      <c r="AM2251" s="4" t="s">
        <v>19119</v>
      </c>
      <c r="AN2251" s="4" t="s">
        <v>63</v>
      </c>
      <c r="AO2251" s="4" t="s">
        <v>63</v>
      </c>
      <c r="AP2251" s="4" t="s">
        <v>63</v>
      </c>
      <c r="AQ2251" s="4" t="s">
        <v>63</v>
      </c>
      <c r="AR2251" s="4" t="s">
        <v>63</v>
      </c>
      <c r="AS2251" s="4" t="s">
        <v>63</v>
      </c>
      <c r="AT2251" s="4" t="s">
        <v>63</v>
      </c>
      <c r="AU2251" s="4" t="s">
        <v>63</v>
      </c>
      <c r="AV2251" s="4" t="s">
        <v>63</v>
      </c>
      <c r="AW2251" s="4" t="s">
        <v>63</v>
      </c>
      <c r="AX2251" s="4" t="s">
        <v>63</v>
      </c>
      <c r="AY2251" s="4" t="s">
        <v>63</v>
      </c>
      <c r="AZ2251" s="4" t="s">
        <v>63</v>
      </c>
      <c r="BA2251" s="4" t="s">
        <v>63</v>
      </c>
      <c r="BB2251" s="4" t="s">
        <v>63</v>
      </c>
      <c r="BC2251" s="4" t="s">
        <v>63</v>
      </c>
      <c r="BD2251" s="4" t="s">
        <v>63</v>
      </c>
      <c r="BE2251" s="4" t="s">
        <v>63</v>
      </c>
      <c r="BF2251" s="4" t="s">
        <v>63</v>
      </c>
    </row>
    <row r="2252" spans="1:58">
      <c r="A2252" s="4" t="s">
        <v>58</v>
      </c>
      <c r="B2252" s="4" t="s">
        <v>19120</v>
      </c>
      <c r="C2252" s="4" t="s">
        <v>19121</v>
      </c>
      <c r="D2252" s="4" t="s">
        <v>1055</v>
      </c>
      <c r="E2252" s="4" t="s">
        <v>1056</v>
      </c>
      <c r="F2252" s="4">
        <v>1978</v>
      </c>
      <c r="G2252" s="4" t="s">
        <v>63</v>
      </c>
      <c r="H2252" s="4">
        <v>12</v>
      </c>
      <c r="I2252" s="4">
        <v>4</v>
      </c>
      <c r="J2252" s="4">
        <v>306</v>
      </c>
      <c r="K2252" s="4">
        <v>313</v>
      </c>
      <c r="L2252" s="4" t="s">
        <v>19122</v>
      </c>
      <c r="M2252" s="4" t="s">
        <v>19123</v>
      </c>
      <c r="N2252" s="4" t="s">
        <v>19124</v>
      </c>
      <c r="O2252" s="4" t="s">
        <v>63</v>
      </c>
      <c r="P2252" s="4"/>
      <c r="Q2252" s="4" t="s">
        <v>63</v>
      </c>
      <c r="R2252" s="4" t="s">
        <v>63</v>
      </c>
      <c r="S2252" s="4" t="s">
        <v>63</v>
      </c>
      <c r="T2252" s="4" t="s">
        <v>63</v>
      </c>
      <c r="U2252" s="4"/>
      <c r="V2252" s="4"/>
      <c r="W2252" s="4"/>
      <c r="X2252" s="4" t="s">
        <v>63</v>
      </c>
      <c r="Y2252" s="4" t="s">
        <v>1059</v>
      </c>
      <c r="Z2252" s="4" t="s">
        <v>63</v>
      </c>
      <c r="AA2252" s="4" t="s">
        <v>63</v>
      </c>
      <c r="AB2252" s="4">
        <v>1978401825</v>
      </c>
      <c r="AC2252" s="4" t="s">
        <v>67</v>
      </c>
      <c r="AD2252" s="4" t="s">
        <v>63</v>
      </c>
      <c r="AE2252" s="4" t="s">
        <v>63</v>
      </c>
      <c r="AF2252" s="4" t="s">
        <v>63</v>
      </c>
      <c r="AG2252" s="4" t="s">
        <v>19125</v>
      </c>
      <c r="AH2252" s="4" t="s">
        <v>63</v>
      </c>
      <c r="AI2252" s="4" t="s">
        <v>63</v>
      </c>
      <c r="AJ2252" s="4" t="s">
        <v>63</v>
      </c>
      <c r="AK2252" s="4" t="s">
        <v>63</v>
      </c>
      <c r="AL2252" s="4" t="s">
        <v>63</v>
      </c>
      <c r="AM2252" s="4" t="s">
        <v>19126</v>
      </c>
      <c r="AN2252" s="4" t="s">
        <v>63</v>
      </c>
      <c r="AO2252" s="4" t="s">
        <v>63</v>
      </c>
      <c r="AP2252" s="4" t="s">
        <v>63</v>
      </c>
      <c r="AQ2252" s="4" t="s">
        <v>63</v>
      </c>
      <c r="AR2252" s="4" t="s">
        <v>63</v>
      </c>
      <c r="AS2252" s="4" t="s">
        <v>63</v>
      </c>
      <c r="AT2252" s="4" t="s">
        <v>63</v>
      </c>
      <c r="AU2252" s="4" t="s">
        <v>63</v>
      </c>
      <c r="AV2252" s="4" t="s">
        <v>63</v>
      </c>
      <c r="AW2252" s="4" t="s">
        <v>63</v>
      </c>
      <c r="AX2252" s="4" t="s">
        <v>63</v>
      </c>
      <c r="AY2252" s="4" t="s">
        <v>63</v>
      </c>
      <c r="AZ2252" s="4" t="s">
        <v>63</v>
      </c>
      <c r="BA2252" s="4" t="s">
        <v>63</v>
      </c>
      <c r="BB2252" s="4" t="s">
        <v>63</v>
      </c>
      <c r="BC2252" s="4" t="s">
        <v>63</v>
      </c>
      <c r="BD2252" s="4" t="s">
        <v>63</v>
      </c>
      <c r="BE2252" s="4" t="s">
        <v>63</v>
      </c>
      <c r="BF2252" s="4" t="s">
        <v>63</v>
      </c>
    </row>
    <row r="2253" spans="1:58">
      <c r="A2253" s="4" t="s">
        <v>58</v>
      </c>
      <c r="B2253" s="4" t="s">
        <v>19127</v>
      </c>
      <c r="C2253" s="4" t="s">
        <v>19128</v>
      </c>
      <c r="D2253" s="4" t="s">
        <v>17159</v>
      </c>
      <c r="E2253" s="4" t="s">
        <v>63</v>
      </c>
      <c r="F2253" s="4">
        <v>2013</v>
      </c>
      <c r="G2253" s="4" t="s">
        <v>63</v>
      </c>
      <c r="H2253" s="4">
        <v>4</v>
      </c>
      <c r="I2253" s="4">
        <v>2</v>
      </c>
      <c r="J2253" s="4">
        <v>14</v>
      </c>
      <c r="K2253" s="4">
        <v>19</v>
      </c>
      <c r="L2253" s="4" t="s">
        <v>19129</v>
      </c>
      <c r="M2253" s="4" t="s">
        <v>19130</v>
      </c>
      <c r="N2253" s="4" t="s">
        <v>19131</v>
      </c>
      <c r="O2253" s="4" t="s">
        <v>63</v>
      </c>
      <c r="P2253" s="4"/>
      <c r="Q2253" s="4" t="s">
        <v>63</v>
      </c>
      <c r="R2253" s="4" t="s">
        <v>63</v>
      </c>
      <c r="S2253" s="4" t="s">
        <v>63</v>
      </c>
      <c r="T2253" s="4" t="s">
        <v>63</v>
      </c>
      <c r="U2253" s="4"/>
      <c r="V2253" s="4"/>
      <c r="W2253" s="4"/>
      <c r="X2253" s="4" t="s">
        <v>63</v>
      </c>
      <c r="Y2253" s="4" t="s">
        <v>17162</v>
      </c>
      <c r="Z2253" s="4" t="s">
        <v>63</v>
      </c>
      <c r="AA2253" s="4" t="s">
        <v>63</v>
      </c>
      <c r="AB2253" s="4" t="s">
        <v>19132</v>
      </c>
      <c r="AC2253" s="4" t="s">
        <v>67</v>
      </c>
      <c r="AD2253" s="4" t="s">
        <v>63</v>
      </c>
      <c r="AE2253" s="4" t="s">
        <v>63</v>
      </c>
      <c r="AF2253" s="4" t="s">
        <v>63</v>
      </c>
      <c r="AG2253" s="4" t="s">
        <v>63</v>
      </c>
      <c r="AH2253" s="4" t="s">
        <v>63</v>
      </c>
      <c r="AI2253" s="4" t="s">
        <v>63</v>
      </c>
      <c r="AJ2253" s="4" t="s">
        <v>63</v>
      </c>
      <c r="AK2253" s="4" t="s">
        <v>63</v>
      </c>
      <c r="AL2253" s="4" t="s">
        <v>63</v>
      </c>
      <c r="AM2253" s="4" t="s">
        <v>19128</v>
      </c>
      <c r="AN2253" s="4" t="s">
        <v>63</v>
      </c>
      <c r="AO2253" s="4" t="s">
        <v>63</v>
      </c>
      <c r="AP2253" s="4" t="s">
        <v>63</v>
      </c>
      <c r="AQ2253" s="4" t="s">
        <v>63</v>
      </c>
      <c r="AR2253" s="4" t="s">
        <v>63</v>
      </c>
      <c r="AS2253" s="4" t="s">
        <v>63</v>
      </c>
      <c r="AT2253" s="4" t="s">
        <v>63</v>
      </c>
      <c r="AU2253" s="4" t="s">
        <v>63</v>
      </c>
      <c r="AV2253" s="4" t="s">
        <v>63</v>
      </c>
      <c r="AW2253" s="4" t="s">
        <v>63</v>
      </c>
      <c r="AX2253" s="4" t="s">
        <v>63</v>
      </c>
      <c r="AY2253" s="4" t="s">
        <v>63</v>
      </c>
      <c r="AZ2253" s="4" t="s">
        <v>63</v>
      </c>
      <c r="BA2253" s="4" t="s">
        <v>63</v>
      </c>
      <c r="BB2253" s="4" t="s">
        <v>63</v>
      </c>
      <c r="BC2253" s="4" t="s">
        <v>63</v>
      </c>
      <c r="BD2253" s="4" t="s">
        <v>63</v>
      </c>
      <c r="BE2253" s="4" t="s">
        <v>63</v>
      </c>
      <c r="BF2253" s="4" t="s">
        <v>63</v>
      </c>
    </row>
    <row r="2254" spans="1:58">
      <c r="A2254" s="4" t="s">
        <v>58</v>
      </c>
      <c r="B2254" s="4" t="s">
        <v>19133</v>
      </c>
      <c r="C2254" s="4" t="s">
        <v>19134</v>
      </c>
      <c r="D2254" s="4" t="s">
        <v>17485</v>
      </c>
      <c r="E2254" s="4" t="s">
        <v>17486</v>
      </c>
      <c r="F2254" s="4">
        <v>2010</v>
      </c>
      <c r="G2254" s="4" t="s">
        <v>63</v>
      </c>
      <c r="H2254" s="4">
        <v>33</v>
      </c>
      <c r="I2254" s="4">
        <v>4</v>
      </c>
      <c r="J2254" s="4">
        <v>320</v>
      </c>
      <c r="K2254" s="4">
        <v>327</v>
      </c>
      <c r="L2254" s="4" t="s">
        <v>19135</v>
      </c>
      <c r="M2254" s="4" t="s">
        <v>19136</v>
      </c>
      <c r="N2254" s="4" t="s">
        <v>19137</v>
      </c>
      <c r="O2254" s="4" t="s">
        <v>63</v>
      </c>
      <c r="P2254" s="4"/>
      <c r="Q2254" s="4" t="s">
        <v>63</v>
      </c>
      <c r="R2254" s="4" t="s">
        <v>63</v>
      </c>
      <c r="S2254" s="4" t="s">
        <v>63</v>
      </c>
      <c r="T2254" s="4" t="s">
        <v>63</v>
      </c>
      <c r="U2254" s="4"/>
      <c r="V2254" s="4"/>
      <c r="W2254" s="4"/>
      <c r="X2254" s="4" t="s">
        <v>63</v>
      </c>
      <c r="Y2254" s="4" t="s">
        <v>17490</v>
      </c>
      <c r="Z2254" s="4" t="s">
        <v>63</v>
      </c>
      <c r="AA2254" s="4" t="s">
        <v>63</v>
      </c>
      <c r="AB2254" s="4" t="s">
        <v>63</v>
      </c>
      <c r="AC2254" s="4" t="s">
        <v>67</v>
      </c>
      <c r="AD2254" s="4" t="s">
        <v>63</v>
      </c>
      <c r="AE2254" s="4" t="s">
        <v>63</v>
      </c>
      <c r="AF2254" s="4" t="s">
        <v>63</v>
      </c>
      <c r="AG2254" s="4" t="s">
        <v>19138</v>
      </c>
      <c r="AH2254" s="4" t="s">
        <v>63</v>
      </c>
      <c r="AI2254" s="4" t="s">
        <v>19139</v>
      </c>
      <c r="AJ2254" s="4" t="s">
        <v>63</v>
      </c>
      <c r="AK2254" s="4" t="s">
        <v>63</v>
      </c>
      <c r="AL2254" s="4" t="s">
        <v>63</v>
      </c>
      <c r="AM2254" s="4" t="s">
        <v>19140</v>
      </c>
      <c r="AN2254" s="4" t="s">
        <v>63</v>
      </c>
      <c r="AO2254" s="4" t="s">
        <v>63</v>
      </c>
      <c r="AP2254" s="4" t="s">
        <v>63</v>
      </c>
      <c r="AQ2254" s="4" t="s">
        <v>63</v>
      </c>
      <c r="AR2254" s="4" t="s">
        <v>63</v>
      </c>
      <c r="AS2254" s="4" t="s">
        <v>63</v>
      </c>
      <c r="AT2254" s="4" t="s">
        <v>63</v>
      </c>
      <c r="AU2254" s="4" t="s">
        <v>63</v>
      </c>
      <c r="AV2254" s="4" t="s">
        <v>63</v>
      </c>
      <c r="AW2254" s="4" t="s">
        <v>63</v>
      </c>
      <c r="AX2254" s="4" t="s">
        <v>63</v>
      </c>
      <c r="AY2254" s="4" t="s">
        <v>63</v>
      </c>
      <c r="AZ2254" s="4" t="s">
        <v>63</v>
      </c>
      <c r="BA2254" s="4" t="s">
        <v>63</v>
      </c>
      <c r="BB2254" s="4" t="s">
        <v>63</v>
      </c>
      <c r="BC2254" s="4" t="s">
        <v>63</v>
      </c>
      <c r="BD2254" s="4" t="s">
        <v>63</v>
      </c>
      <c r="BE2254" s="4" t="s">
        <v>63</v>
      </c>
      <c r="BF2254" s="4" t="s">
        <v>63</v>
      </c>
    </row>
    <row r="2255" spans="1:58">
      <c r="A2255" s="4" t="s">
        <v>58</v>
      </c>
      <c r="B2255" s="4" t="s">
        <v>19141</v>
      </c>
      <c r="C2255" s="4" t="s">
        <v>19142</v>
      </c>
      <c r="D2255" s="4" t="s">
        <v>3071</v>
      </c>
      <c r="E2255" s="4" t="s">
        <v>3072</v>
      </c>
      <c r="F2255" s="4">
        <v>1989</v>
      </c>
      <c r="G2255" s="4" t="s">
        <v>63</v>
      </c>
      <c r="H2255" s="4">
        <v>84</v>
      </c>
      <c r="I2255" s="4">
        <v>9</v>
      </c>
      <c r="J2255" s="4">
        <v>999</v>
      </c>
      <c r="K2255" s="4">
        <v>1009</v>
      </c>
      <c r="L2255" s="4" t="s">
        <v>19143</v>
      </c>
      <c r="M2255" s="4" t="s">
        <v>19144</v>
      </c>
      <c r="N2255" s="4" t="s">
        <v>19145</v>
      </c>
      <c r="O2255" s="4" t="s">
        <v>63</v>
      </c>
      <c r="P2255" s="4"/>
      <c r="Q2255" s="4" t="s">
        <v>63</v>
      </c>
      <c r="R2255" s="4" t="s">
        <v>63</v>
      </c>
      <c r="S2255" s="4" t="s">
        <v>63</v>
      </c>
      <c r="T2255" s="4" t="s">
        <v>63</v>
      </c>
      <c r="U2255" s="4"/>
      <c r="V2255" s="4"/>
      <c r="W2255" s="4"/>
      <c r="X2255" s="4" t="s">
        <v>63</v>
      </c>
      <c r="Y2255" s="4" t="s">
        <v>3075</v>
      </c>
      <c r="Z2255" s="4" t="s">
        <v>63</v>
      </c>
      <c r="AA2255" s="4" t="s">
        <v>63</v>
      </c>
      <c r="AB2255" s="4">
        <v>1989232393</v>
      </c>
      <c r="AC2255" s="4" t="s">
        <v>67</v>
      </c>
      <c r="AD2255" s="4" t="s">
        <v>63</v>
      </c>
      <c r="AE2255" s="4" t="s">
        <v>63</v>
      </c>
      <c r="AF2255" s="4" t="s">
        <v>63</v>
      </c>
      <c r="AG2255" s="4" t="s">
        <v>19146</v>
      </c>
      <c r="AH2255" s="4" t="s">
        <v>63</v>
      </c>
      <c r="AI2255" s="4" t="s">
        <v>63</v>
      </c>
      <c r="AJ2255" s="4" t="s">
        <v>63</v>
      </c>
      <c r="AK2255" s="4" t="s">
        <v>63</v>
      </c>
      <c r="AL2255" s="4" t="s">
        <v>63</v>
      </c>
      <c r="AM2255" s="4" t="s">
        <v>19147</v>
      </c>
      <c r="AN2255" s="4" t="s">
        <v>63</v>
      </c>
      <c r="AO2255" s="4" t="s">
        <v>63</v>
      </c>
      <c r="AP2255" s="4" t="s">
        <v>63</v>
      </c>
      <c r="AQ2255" s="4" t="s">
        <v>63</v>
      </c>
      <c r="AR2255" s="4" t="s">
        <v>63</v>
      </c>
      <c r="AS2255" s="4" t="s">
        <v>63</v>
      </c>
      <c r="AT2255" s="4" t="s">
        <v>63</v>
      </c>
      <c r="AU2255" s="4" t="s">
        <v>63</v>
      </c>
      <c r="AV2255" s="4" t="s">
        <v>63</v>
      </c>
      <c r="AW2255" s="4" t="s">
        <v>63</v>
      </c>
      <c r="AX2255" s="4" t="s">
        <v>63</v>
      </c>
      <c r="AY2255" s="4" t="s">
        <v>63</v>
      </c>
      <c r="AZ2255" s="4" t="s">
        <v>63</v>
      </c>
      <c r="BA2255" s="4" t="s">
        <v>63</v>
      </c>
      <c r="BB2255" s="4" t="s">
        <v>63</v>
      </c>
      <c r="BC2255" s="4" t="s">
        <v>63</v>
      </c>
      <c r="BD2255" s="4" t="s">
        <v>63</v>
      </c>
      <c r="BE2255" s="4" t="s">
        <v>63</v>
      </c>
      <c r="BF2255" s="4" t="s">
        <v>63</v>
      </c>
    </row>
    <row r="2256" spans="1:58">
      <c r="A2256" s="4" t="s">
        <v>58</v>
      </c>
      <c r="B2256" s="4" t="s">
        <v>19148</v>
      </c>
      <c r="C2256" s="4" t="s">
        <v>19149</v>
      </c>
      <c r="D2256" s="4" t="s">
        <v>16824</v>
      </c>
      <c r="E2256" s="4" t="s">
        <v>63</v>
      </c>
      <c r="F2256" s="4">
        <v>2014</v>
      </c>
      <c r="G2256" s="4" t="s">
        <v>17066</v>
      </c>
      <c r="H2256" s="4">
        <v>80</v>
      </c>
      <c r="I2256" s="4">
        <v>3</v>
      </c>
      <c r="J2256" s="4">
        <v>167</v>
      </c>
      <c r="K2256" s="4">
        <v>168</v>
      </c>
      <c r="L2256" s="4" t="s">
        <v>19150</v>
      </c>
      <c r="M2256" s="4" t="s">
        <v>19151</v>
      </c>
      <c r="N2256" s="4" t="s">
        <v>19152</v>
      </c>
      <c r="O2256" s="4" t="s">
        <v>63</v>
      </c>
      <c r="P2256" s="4"/>
      <c r="Q2256" s="4" t="s">
        <v>63</v>
      </c>
      <c r="R2256" s="4" t="s">
        <v>63</v>
      </c>
      <c r="S2256" s="4" t="s">
        <v>63</v>
      </c>
      <c r="T2256" s="4" t="s">
        <v>63</v>
      </c>
      <c r="U2256" s="4"/>
      <c r="V2256" s="4"/>
      <c r="W2256" s="4"/>
      <c r="X2256" s="4" t="s">
        <v>63</v>
      </c>
      <c r="Y2256" s="4" t="s">
        <v>16828</v>
      </c>
      <c r="Z2256" s="4" t="s">
        <v>63</v>
      </c>
      <c r="AA2256" s="4" t="s">
        <v>63</v>
      </c>
      <c r="AB2256" s="4" t="s">
        <v>63</v>
      </c>
      <c r="AC2256" s="4" t="s">
        <v>67</v>
      </c>
      <c r="AD2256" s="4" t="s">
        <v>63</v>
      </c>
      <c r="AE2256" s="4" t="s">
        <v>63</v>
      </c>
      <c r="AF2256" s="4" t="s">
        <v>63</v>
      </c>
      <c r="AG2256" s="4" t="s">
        <v>63</v>
      </c>
      <c r="AH2256" s="4" t="s">
        <v>63</v>
      </c>
      <c r="AI2256" s="4" t="s">
        <v>63</v>
      </c>
      <c r="AJ2256" s="4" t="s">
        <v>63</v>
      </c>
      <c r="AK2256" s="4" t="s">
        <v>63</v>
      </c>
      <c r="AL2256" s="4" t="s">
        <v>63</v>
      </c>
      <c r="AM2256" s="4" t="s">
        <v>19149</v>
      </c>
      <c r="AN2256" s="4" t="s">
        <v>63</v>
      </c>
      <c r="AO2256" s="4" t="s">
        <v>63</v>
      </c>
      <c r="AP2256" s="4" t="s">
        <v>63</v>
      </c>
      <c r="AQ2256" s="4" t="s">
        <v>63</v>
      </c>
      <c r="AR2256" s="4" t="s">
        <v>63</v>
      </c>
      <c r="AS2256" s="4" t="s">
        <v>63</v>
      </c>
      <c r="AT2256" s="4" t="s">
        <v>63</v>
      </c>
      <c r="AU2256" s="4" t="s">
        <v>63</v>
      </c>
      <c r="AV2256" s="4" t="s">
        <v>63</v>
      </c>
      <c r="AW2256" s="4" t="s">
        <v>63</v>
      </c>
      <c r="AX2256" s="4" t="s">
        <v>63</v>
      </c>
      <c r="AY2256" s="4" t="s">
        <v>63</v>
      </c>
      <c r="AZ2256" s="4" t="s">
        <v>63</v>
      </c>
      <c r="BA2256" s="4" t="s">
        <v>63</v>
      </c>
      <c r="BB2256" s="4" t="s">
        <v>63</v>
      </c>
      <c r="BC2256" s="4" t="s">
        <v>63</v>
      </c>
      <c r="BD2256" s="4" t="s">
        <v>63</v>
      </c>
      <c r="BE2256" s="4" t="s">
        <v>63</v>
      </c>
      <c r="BF2256" s="4" t="s">
        <v>63</v>
      </c>
    </row>
    <row r="2257" spans="1:58">
      <c r="A2257" s="4" t="s">
        <v>58</v>
      </c>
      <c r="B2257" s="4" t="s">
        <v>19153</v>
      </c>
      <c r="C2257" s="4" t="s">
        <v>19154</v>
      </c>
      <c r="D2257" s="4" t="s">
        <v>17894</v>
      </c>
      <c r="E2257" s="4" t="s">
        <v>17895</v>
      </c>
      <c r="F2257" s="4">
        <v>2017</v>
      </c>
      <c r="G2257" s="4">
        <v>1</v>
      </c>
      <c r="H2257" s="4">
        <v>56</v>
      </c>
      <c r="I2257" s="4">
        <v>10</v>
      </c>
      <c r="J2257" s="4" t="s">
        <v>19155</v>
      </c>
      <c r="K2257" s="4" t="s">
        <v>19156</v>
      </c>
      <c r="L2257" s="4" t="s">
        <v>19157</v>
      </c>
      <c r="M2257" s="4" t="s">
        <v>19158</v>
      </c>
      <c r="N2257" s="4" t="s">
        <v>19159</v>
      </c>
      <c r="O2257" s="4" t="s">
        <v>63</v>
      </c>
      <c r="P2257" s="4"/>
      <c r="Q2257" s="4" t="s">
        <v>63</v>
      </c>
      <c r="R2257" s="4" t="s">
        <v>63</v>
      </c>
      <c r="S2257" s="4" t="s">
        <v>63</v>
      </c>
      <c r="T2257" s="4" t="s">
        <v>63</v>
      </c>
      <c r="U2257" s="4"/>
      <c r="V2257" s="4"/>
      <c r="W2257" s="4"/>
      <c r="X2257" s="4" t="s">
        <v>63</v>
      </c>
      <c r="Y2257" s="4" t="s">
        <v>17899</v>
      </c>
      <c r="Z2257" s="4" t="s">
        <v>63</v>
      </c>
      <c r="AA2257" s="4" t="s">
        <v>63</v>
      </c>
      <c r="AB2257" s="4" t="s">
        <v>63</v>
      </c>
      <c r="AC2257" s="4" t="s">
        <v>67</v>
      </c>
      <c r="AD2257" s="4" t="s">
        <v>63</v>
      </c>
      <c r="AE2257" s="4" t="s">
        <v>63</v>
      </c>
      <c r="AF2257" s="4" t="s">
        <v>63</v>
      </c>
      <c r="AG2257" s="4" t="s">
        <v>63</v>
      </c>
      <c r="AH2257" s="4" t="s">
        <v>63</v>
      </c>
      <c r="AI2257" s="4" t="s">
        <v>19160</v>
      </c>
      <c r="AJ2257" s="4" t="s">
        <v>63</v>
      </c>
      <c r="AK2257" s="4" t="s">
        <v>63</v>
      </c>
      <c r="AL2257" s="4" t="s">
        <v>63</v>
      </c>
      <c r="AM2257" s="4" t="s">
        <v>19154</v>
      </c>
      <c r="AN2257" s="4" t="s">
        <v>63</v>
      </c>
      <c r="AO2257" s="4" t="s">
        <v>63</v>
      </c>
      <c r="AP2257" s="4" t="s">
        <v>63</v>
      </c>
      <c r="AQ2257" s="4" t="s">
        <v>63</v>
      </c>
      <c r="AR2257" s="4" t="s">
        <v>63</v>
      </c>
      <c r="AS2257" s="4" t="s">
        <v>63</v>
      </c>
      <c r="AT2257" s="4" t="s">
        <v>63</v>
      </c>
      <c r="AU2257" s="4" t="s">
        <v>63</v>
      </c>
      <c r="AV2257" s="4" t="s">
        <v>63</v>
      </c>
      <c r="AW2257" s="4" t="s">
        <v>63</v>
      </c>
      <c r="AX2257" s="4" t="s">
        <v>63</v>
      </c>
      <c r="AY2257" s="4" t="s">
        <v>63</v>
      </c>
      <c r="AZ2257" s="4" t="s">
        <v>63</v>
      </c>
      <c r="BA2257" s="4" t="s">
        <v>63</v>
      </c>
      <c r="BB2257" s="4" t="s">
        <v>63</v>
      </c>
      <c r="BC2257" s="4" t="s">
        <v>63</v>
      </c>
      <c r="BD2257" s="4" t="s">
        <v>63</v>
      </c>
      <c r="BE2257" s="4" t="s">
        <v>63</v>
      </c>
      <c r="BF2257" s="4" t="s">
        <v>63</v>
      </c>
    </row>
    <row r="2258" spans="1:58">
      <c r="A2258" s="4" t="s">
        <v>58</v>
      </c>
      <c r="B2258" s="4" t="s">
        <v>19161</v>
      </c>
      <c r="C2258" s="4" t="s">
        <v>19162</v>
      </c>
      <c r="D2258" s="4" t="s">
        <v>19163</v>
      </c>
      <c r="E2258" s="4" t="s">
        <v>19163</v>
      </c>
      <c r="F2258" s="4">
        <v>2014</v>
      </c>
      <c r="G2258" s="4" t="s">
        <v>189</v>
      </c>
      <c r="H2258" s="4" t="s">
        <v>19164</v>
      </c>
      <c r="I2258" s="4" t="s">
        <v>63</v>
      </c>
      <c r="J2258" s="4">
        <v>155</v>
      </c>
      <c r="K2258" s="4" t="s">
        <v>63</v>
      </c>
      <c r="L2258" s="4" t="s">
        <v>19165</v>
      </c>
      <c r="M2258" s="4" t="s">
        <v>19166</v>
      </c>
      <c r="N2258" s="4" t="s">
        <v>19167</v>
      </c>
      <c r="O2258" s="4" t="s">
        <v>63</v>
      </c>
      <c r="P2258" s="4"/>
      <c r="Q2258" s="4" t="s">
        <v>63</v>
      </c>
      <c r="R2258" s="4" t="s">
        <v>63</v>
      </c>
      <c r="S2258" s="4" t="s">
        <v>63</v>
      </c>
      <c r="T2258" s="4" t="s">
        <v>63</v>
      </c>
      <c r="U2258" s="4"/>
      <c r="V2258" s="4"/>
      <c r="W2258" s="4"/>
      <c r="X2258" s="4" t="s">
        <v>63</v>
      </c>
      <c r="Y2258" s="4" t="s">
        <v>19168</v>
      </c>
      <c r="Z2258" s="4" t="s">
        <v>63</v>
      </c>
      <c r="AA2258" s="4" t="s">
        <v>63</v>
      </c>
      <c r="AB2258" s="4" t="s">
        <v>63</v>
      </c>
      <c r="AC2258" s="4" t="s">
        <v>67</v>
      </c>
      <c r="AD2258" s="4" t="s">
        <v>63</v>
      </c>
      <c r="AE2258" s="4" t="s">
        <v>63</v>
      </c>
      <c r="AF2258" s="4" t="s">
        <v>63</v>
      </c>
      <c r="AG2258" s="4" t="s">
        <v>63</v>
      </c>
      <c r="AH2258" s="4" t="s">
        <v>63</v>
      </c>
      <c r="AI2258" s="4" t="s">
        <v>19169</v>
      </c>
      <c r="AJ2258" s="4" t="s">
        <v>63</v>
      </c>
      <c r="AK2258" s="4" t="s">
        <v>63</v>
      </c>
      <c r="AL2258" s="4" t="s">
        <v>63</v>
      </c>
      <c r="AM2258" s="4" t="s">
        <v>19162</v>
      </c>
      <c r="AN2258" s="4" t="s">
        <v>63</v>
      </c>
      <c r="AO2258" s="4" t="s">
        <v>63</v>
      </c>
      <c r="AP2258" s="4" t="s">
        <v>63</v>
      </c>
      <c r="AQ2258" s="4" t="s">
        <v>63</v>
      </c>
      <c r="AR2258" s="4" t="s">
        <v>63</v>
      </c>
      <c r="AS2258" s="4" t="s">
        <v>63</v>
      </c>
      <c r="AT2258" s="4" t="s">
        <v>63</v>
      </c>
      <c r="AU2258" s="4" t="s">
        <v>63</v>
      </c>
      <c r="AV2258" s="4" t="s">
        <v>63</v>
      </c>
      <c r="AW2258" s="4" t="s">
        <v>63</v>
      </c>
      <c r="AX2258" s="4" t="s">
        <v>63</v>
      </c>
      <c r="AY2258" s="4" t="s">
        <v>63</v>
      </c>
      <c r="AZ2258" s="4" t="s">
        <v>63</v>
      </c>
      <c r="BA2258" s="4" t="s">
        <v>63</v>
      </c>
      <c r="BB2258" s="4" t="s">
        <v>63</v>
      </c>
      <c r="BC2258" s="4" t="s">
        <v>63</v>
      </c>
      <c r="BD2258" s="4" t="s">
        <v>63</v>
      </c>
      <c r="BE2258" s="4" t="s">
        <v>63</v>
      </c>
      <c r="BF2258" s="4" t="s">
        <v>63</v>
      </c>
    </row>
    <row r="2259" spans="1:58">
      <c r="A2259" s="4" t="s">
        <v>58</v>
      </c>
      <c r="B2259" s="4" t="s">
        <v>19170</v>
      </c>
      <c r="C2259" s="4" t="s">
        <v>19171</v>
      </c>
      <c r="D2259" s="4" t="s">
        <v>11901</v>
      </c>
      <c r="E2259" s="4" t="s">
        <v>63</v>
      </c>
      <c r="F2259" s="4">
        <v>2013</v>
      </c>
      <c r="G2259" s="4" t="s">
        <v>15508</v>
      </c>
      <c r="H2259" s="4" t="s">
        <v>19172</v>
      </c>
      <c r="I2259" s="4" t="s">
        <v>63</v>
      </c>
      <c r="J2259" s="4" t="s">
        <v>15822</v>
      </c>
      <c r="K2259" s="4" t="s">
        <v>63</v>
      </c>
      <c r="L2259" s="4" t="s">
        <v>19173</v>
      </c>
      <c r="M2259" s="4" t="s">
        <v>19174</v>
      </c>
      <c r="N2259" s="4" t="s">
        <v>19175</v>
      </c>
      <c r="O2259" s="4" t="s">
        <v>63</v>
      </c>
      <c r="P2259" s="4"/>
      <c r="Q2259" s="4" t="s">
        <v>63</v>
      </c>
      <c r="R2259" s="4" t="s">
        <v>63</v>
      </c>
      <c r="S2259" s="4" t="s">
        <v>63</v>
      </c>
      <c r="T2259" s="4" t="s">
        <v>63</v>
      </c>
      <c r="U2259" s="4"/>
      <c r="V2259" s="4"/>
      <c r="W2259" s="4"/>
      <c r="X2259" s="4" t="s">
        <v>63</v>
      </c>
      <c r="Y2259" s="4" t="s">
        <v>11904</v>
      </c>
      <c r="Z2259" s="4" t="s">
        <v>63</v>
      </c>
      <c r="AA2259" s="4" t="s">
        <v>63</v>
      </c>
      <c r="AB2259" s="4" t="s">
        <v>63</v>
      </c>
      <c r="AC2259" s="4" t="s">
        <v>67</v>
      </c>
      <c r="AD2259" s="4" t="s">
        <v>63</v>
      </c>
      <c r="AE2259" s="4" t="s">
        <v>63</v>
      </c>
      <c r="AF2259" s="4" t="s">
        <v>63</v>
      </c>
      <c r="AG2259" s="4" t="s">
        <v>63</v>
      </c>
      <c r="AH2259" s="4" t="s">
        <v>63</v>
      </c>
      <c r="AI2259" s="4" t="s">
        <v>63</v>
      </c>
      <c r="AJ2259" s="4" t="s">
        <v>63</v>
      </c>
      <c r="AK2259" s="4" t="s">
        <v>63</v>
      </c>
      <c r="AL2259" s="4" t="s">
        <v>63</v>
      </c>
      <c r="AM2259" s="4" t="s">
        <v>19171</v>
      </c>
      <c r="AN2259" s="4" t="s">
        <v>63</v>
      </c>
      <c r="AO2259" s="4" t="s">
        <v>63</v>
      </c>
      <c r="AP2259" s="4" t="s">
        <v>63</v>
      </c>
      <c r="AQ2259" s="4" t="s">
        <v>63</v>
      </c>
      <c r="AR2259" s="4" t="s">
        <v>63</v>
      </c>
      <c r="AS2259" s="4" t="s">
        <v>63</v>
      </c>
      <c r="AT2259" s="4" t="s">
        <v>63</v>
      </c>
      <c r="AU2259" s="4" t="s">
        <v>63</v>
      </c>
      <c r="AV2259" s="4" t="s">
        <v>63</v>
      </c>
      <c r="AW2259" s="4" t="s">
        <v>63</v>
      </c>
      <c r="AX2259" s="4" t="s">
        <v>63</v>
      </c>
      <c r="AY2259" s="4" t="s">
        <v>63</v>
      </c>
      <c r="AZ2259" s="4" t="s">
        <v>63</v>
      </c>
      <c r="BA2259" s="4" t="s">
        <v>63</v>
      </c>
      <c r="BB2259" s="4" t="s">
        <v>63</v>
      </c>
      <c r="BC2259" s="4" t="s">
        <v>63</v>
      </c>
      <c r="BD2259" s="4" t="s">
        <v>63</v>
      </c>
      <c r="BE2259" s="4" t="s">
        <v>63</v>
      </c>
      <c r="BF2259" s="4" t="s">
        <v>63</v>
      </c>
    </row>
    <row r="2260" spans="1:58">
      <c r="A2260" s="4" t="s">
        <v>58</v>
      </c>
      <c r="B2260" s="4" t="s">
        <v>19176</v>
      </c>
      <c r="C2260" s="4" t="s">
        <v>19177</v>
      </c>
      <c r="D2260" s="4" t="s">
        <v>90</v>
      </c>
      <c r="E2260" s="4" t="s">
        <v>63</v>
      </c>
      <c r="F2260" s="4">
        <v>2010</v>
      </c>
      <c r="G2260" s="4" t="s">
        <v>15165</v>
      </c>
      <c r="H2260" s="4">
        <v>29</v>
      </c>
      <c r="I2260" s="4">
        <v>2</v>
      </c>
      <c r="J2260" s="4">
        <v>277</v>
      </c>
      <c r="K2260" s="4">
        <v>278</v>
      </c>
      <c r="L2260" s="4" t="s">
        <v>19178</v>
      </c>
      <c r="M2260" s="4" t="s">
        <v>63</v>
      </c>
      <c r="N2260" s="4" t="s">
        <v>19179</v>
      </c>
      <c r="O2260" s="4" t="s">
        <v>63</v>
      </c>
      <c r="P2260" s="4"/>
      <c r="Q2260" s="4" t="s">
        <v>63</v>
      </c>
      <c r="R2260" s="4" t="s">
        <v>63</v>
      </c>
      <c r="S2260" s="4" t="s">
        <v>63</v>
      </c>
      <c r="T2260" s="4" t="s">
        <v>63</v>
      </c>
      <c r="U2260" s="4"/>
      <c r="V2260" s="4"/>
      <c r="W2260" s="4"/>
      <c r="X2260" s="4" t="s">
        <v>63</v>
      </c>
      <c r="Y2260" s="4" t="s">
        <v>19180</v>
      </c>
      <c r="Z2260" s="4" t="s">
        <v>63</v>
      </c>
      <c r="AA2260" s="4" t="s">
        <v>63</v>
      </c>
      <c r="AB2260" s="4">
        <v>2010243315</v>
      </c>
      <c r="AC2260" s="4" t="s">
        <v>67</v>
      </c>
      <c r="AD2260" s="4" t="s">
        <v>63</v>
      </c>
      <c r="AE2260" s="4" t="s">
        <v>63</v>
      </c>
      <c r="AF2260" s="4" t="s">
        <v>63</v>
      </c>
      <c r="AG2260" s="4" t="s">
        <v>19181</v>
      </c>
      <c r="AH2260" s="4" t="s">
        <v>63</v>
      </c>
      <c r="AI2260" s="4" t="s">
        <v>19182</v>
      </c>
      <c r="AJ2260" s="4" t="s">
        <v>63</v>
      </c>
      <c r="AK2260" s="4" t="s">
        <v>63</v>
      </c>
      <c r="AL2260" s="4" t="s">
        <v>63</v>
      </c>
      <c r="AM2260" s="4" t="s">
        <v>14116</v>
      </c>
      <c r="AN2260" s="4" t="s">
        <v>63</v>
      </c>
      <c r="AO2260" s="4" t="s">
        <v>63</v>
      </c>
      <c r="AP2260" s="4" t="s">
        <v>63</v>
      </c>
      <c r="AQ2260" s="4" t="s">
        <v>63</v>
      </c>
      <c r="AR2260" s="4" t="s">
        <v>63</v>
      </c>
      <c r="AS2260" s="4" t="s">
        <v>63</v>
      </c>
      <c r="AT2260" s="4" t="s">
        <v>63</v>
      </c>
      <c r="AU2260" s="4" t="s">
        <v>63</v>
      </c>
      <c r="AV2260" s="4" t="s">
        <v>63</v>
      </c>
      <c r="AW2260" s="4" t="s">
        <v>63</v>
      </c>
      <c r="AX2260" s="4" t="s">
        <v>63</v>
      </c>
      <c r="AY2260" s="4" t="s">
        <v>63</v>
      </c>
      <c r="AZ2260" s="4" t="s">
        <v>63</v>
      </c>
      <c r="BA2260" s="4" t="s">
        <v>63</v>
      </c>
      <c r="BB2260" s="4" t="s">
        <v>63</v>
      </c>
      <c r="BC2260" s="4" t="s">
        <v>63</v>
      </c>
      <c r="BD2260" s="4" t="s">
        <v>63</v>
      </c>
      <c r="BE2260" s="4" t="s">
        <v>63</v>
      </c>
      <c r="BF2260" s="4" t="s">
        <v>63</v>
      </c>
    </row>
    <row r="2261" spans="1:58">
      <c r="A2261" s="4" t="s">
        <v>58</v>
      </c>
      <c r="B2261" s="4" t="s">
        <v>19183</v>
      </c>
      <c r="C2261" s="4" t="s">
        <v>19184</v>
      </c>
      <c r="D2261" s="4" t="s">
        <v>15482</v>
      </c>
      <c r="E2261" s="4" t="s">
        <v>63</v>
      </c>
      <c r="F2261" s="4">
        <v>2010</v>
      </c>
      <c r="G2261" s="4" t="s">
        <v>15300</v>
      </c>
      <c r="H2261" s="4" t="s">
        <v>19185</v>
      </c>
      <c r="I2261" s="4" t="s">
        <v>63</v>
      </c>
      <c r="J2261" s="4" t="s">
        <v>19186</v>
      </c>
      <c r="K2261" s="4" t="s">
        <v>63</v>
      </c>
      <c r="L2261" s="4" t="s">
        <v>19187</v>
      </c>
      <c r="M2261" s="4" t="s">
        <v>19188</v>
      </c>
      <c r="N2261" s="4" t="s">
        <v>19189</v>
      </c>
      <c r="O2261" s="4" t="s">
        <v>63</v>
      </c>
      <c r="P2261" s="4"/>
      <c r="Q2261" s="4" t="s">
        <v>63</v>
      </c>
      <c r="R2261" s="4" t="s">
        <v>63</v>
      </c>
      <c r="S2261" s="4" t="s">
        <v>63</v>
      </c>
      <c r="T2261" s="4" t="s">
        <v>63</v>
      </c>
      <c r="U2261" s="4"/>
      <c r="V2261" s="4"/>
      <c r="W2261" s="4"/>
      <c r="X2261" s="4" t="s">
        <v>63</v>
      </c>
      <c r="Y2261" s="4" t="s">
        <v>4853</v>
      </c>
      <c r="Z2261" s="4" t="s">
        <v>63</v>
      </c>
      <c r="AA2261" s="4" t="s">
        <v>63</v>
      </c>
      <c r="AB2261" s="4" t="s">
        <v>63</v>
      </c>
      <c r="AC2261" s="4" t="s">
        <v>67</v>
      </c>
      <c r="AD2261" s="4" t="s">
        <v>63</v>
      </c>
      <c r="AE2261" s="4" t="s">
        <v>63</v>
      </c>
      <c r="AF2261" s="4" t="s">
        <v>63</v>
      </c>
      <c r="AG2261" s="4" t="s">
        <v>63</v>
      </c>
      <c r="AH2261" s="4" t="s">
        <v>63</v>
      </c>
      <c r="AI2261" s="4" t="s">
        <v>19190</v>
      </c>
      <c r="AJ2261" s="4" t="s">
        <v>63</v>
      </c>
      <c r="AK2261" s="4" t="s">
        <v>63</v>
      </c>
      <c r="AL2261" s="4" t="s">
        <v>63</v>
      </c>
      <c r="AM2261" s="4" t="s">
        <v>19184</v>
      </c>
      <c r="AN2261" s="4" t="s">
        <v>63</v>
      </c>
      <c r="AO2261" s="4" t="s">
        <v>63</v>
      </c>
      <c r="AP2261" s="4" t="s">
        <v>63</v>
      </c>
      <c r="AQ2261" s="4" t="s">
        <v>63</v>
      </c>
      <c r="AR2261" s="4" t="s">
        <v>63</v>
      </c>
      <c r="AS2261" s="4" t="s">
        <v>63</v>
      </c>
      <c r="AT2261" s="4" t="s">
        <v>63</v>
      </c>
      <c r="AU2261" s="4" t="s">
        <v>63</v>
      </c>
      <c r="AV2261" s="4" t="s">
        <v>63</v>
      </c>
      <c r="AW2261" s="4" t="s">
        <v>63</v>
      </c>
      <c r="AX2261" s="4" t="s">
        <v>63</v>
      </c>
      <c r="AY2261" s="4" t="s">
        <v>63</v>
      </c>
      <c r="AZ2261" s="4" t="s">
        <v>63</v>
      </c>
      <c r="BA2261" s="4" t="s">
        <v>63</v>
      </c>
      <c r="BB2261" s="4" t="s">
        <v>63</v>
      </c>
      <c r="BC2261" s="4" t="s">
        <v>63</v>
      </c>
      <c r="BD2261" s="4" t="s">
        <v>63</v>
      </c>
      <c r="BE2261" s="4" t="s">
        <v>63</v>
      </c>
      <c r="BF2261" s="4" t="s">
        <v>63</v>
      </c>
    </row>
    <row r="2262" spans="1:58">
      <c r="A2262" s="4" t="s">
        <v>58</v>
      </c>
      <c r="B2262" s="4" t="s">
        <v>19191</v>
      </c>
      <c r="C2262" s="4" t="s">
        <v>19192</v>
      </c>
      <c r="D2262" s="4" t="s">
        <v>15263</v>
      </c>
      <c r="E2262" s="4" t="s">
        <v>15264</v>
      </c>
      <c r="F2262" s="4">
        <v>2015</v>
      </c>
      <c r="G2262" s="4">
        <v>1</v>
      </c>
      <c r="H2262" s="4">
        <v>146</v>
      </c>
      <c r="I2262" s="4" t="s">
        <v>63</v>
      </c>
      <c r="J2262" s="4" t="s">
        <v>19193</v>
      </c>
      <c r="K2262" s="4" t="s">
        <v>19194</v>
      </c>
      <c r="L2262" s="4" t="s">
        <v>19195</v>
      </c>
      <c r="M2262" s="4" t="s">
        <v>19196</v>
      </c>
      <c r="N2262" s="4" t="s">
        <v>19197</v>
      </c>
      <c r="O2262" s="4" t="s">
        <v>63</v>
      </c>
      <c r="P2262" s="4"/>
      <c r="Q2262" s="4" t="s">
        <v>63</v>
      </c>
      <c r="R2262" s="4" t="s">
        <v>63</v>
      </c>
      <c r="S2262" s="4" t="s">
        <v>63</v>
      </c>
      <c r="T2262" s="4" t="s">
        <v>63</v>
      </c>
      <c r="U2262" s="4"/>
      <c r="V2262" s="4"/>
      <c r="W2262" s="4"/>
      <c r="X2262" s="4" t="s">
        <v>63</v>
      </c>
      <c r="Y2262" s="4" t="s">
        <v>4942</v>
      </c>
      <c r="Z2262" s="4" t="s">
        <v>63</v>
      </c>
      <c r="AA2262" s="4" t="s">
        <v>63</v>
      </c>
      <c r="AB2262" s="4" t="s">
        <v>63</v>
      </c>
      <c r="AC2262" s="4" t="s">
        <v>67</v>
      </c>
      <c r="AD2262" s="4" t="s">
        <v>63</v>
      </c>
      <c r="AE2262" s="4" t="s">
        <v>63</v>
      </c>
      <c r="AF2262" s="4" t="s">
        <v>63</v>
      </c>
      <c r="AG2262" s="4" t="s">
        <v>63</v>
      </c>
      <c r="AH2262" s="4" t="s">
        <v>63</v>
      </c>
      <c r="AI2262" s="4" t="s">
        <v>19198</v>
      </c>
      <c r="AJ2262" s="4" t="s">
        <v>63</v>
      </c>
      <c r="AK2262" s="4" t="s">
        <v>63</v>
      </c>
      <c r="AL2262" s="4" t="s">
        <v>63</v>
      </c>
      <c r="AM2262" s="4" t="s">
        <v>19192</v>
      </c>
      <c r="AN2262" s="4" t="s">
        <v>63</v>
      </c>
      <c r="AO2262" s="4" t="s">
        <v>63</v>
      </c>
      <c r="AP2262" s="4" t="s">
        <v>63</v>
      </c>
      <c r="AQ2262" s="4" t="s">
        <v>63</v>
      </c>
      <c r="AR2262" s="4" t="s">
        <v>63</v>
      </c>
      <c r="AS2262" s="4" t="s">
        <v>63</v>
      </c>
      <c r="AT2262" s="4" t="s">
        <v>63</v>
      </c>
      <c r="AU2262" s="4" t="s">
        <v>63</v>
      </c>
      <c r="AV2262" s="4" t="s">
        <v>63</v>
      </c>
      <c r="AW2262" s="4" t="s">
        <v>63</v>
      </c>
      <c r="AX2262" s="4" t="s">
        <v>63</v>
      </c>
      <c r="AY2262" s="4" t="s">
        <v>63</v>
      </c>
      <c r="AZ2262" s="4" t="s">
        <v>63</v>
      </c>
      <c r="BA2262" s="4" t="s">
        <v>63</v>
      </c>
      <c r="BB2262" s="4" t="s">
        <v>63</v>
      </c>
      <c r="BC2262" s="4" t="s">
        <v>63</v>
      </c>
      <c r="BD2262" s="4" t="s">
        <v>63</v>
      </c>
      <c r="BE2262" s="4" t="s">
        <v>63</v>
      </c>
      <c r="BF2262" s="4" t="s">
        <v>63</v>
      </c>
    </row>
    <row r="2263" spans="1:58">
      <c r="A2263" s="4" t="s">
        <v>58</v>
      </c>
      <c r="B2263" s="4" t="s">
        <v>19199</v>
      </c>
      <c r="C2263" s="4" t="s">
        <v>19200</v>
      </c>
      <c r="D2263" s="4" t="s">
        <v>19201</v>
      </c>
      <c r="E2263" s="4" t="s">
        <v>19201</v>
      </c>
      <c r="F2263" s="4">
        <v>2014</v>
      </c>
      <c r="G2263" s="4">
        <v>15</v>
      </c>
      <c r="H2263" s="4" t="s">
        <v>19202</v>
      </c>
      <c r="I2263" s="4" t="s">
        <v>63</v>
      </c>
      <c r="J2263" s="4">
        <v>198</v>
      </c>
      <c r="K2263" s="4" t="s">
        <v>63</v>
      </c>
      <c r="L2263" s="4" t="s">
        <v>19203</v>
      </c>
      <c r="M2263" s="4" t="s">
        <v>19204</v>
      </c>
      <c r="N2263" s="4" t="s">
        <v>19205</v>
      </c>
      <c r="O2263" s="4" t="s">
        <v>63</v>
      </c>
      <c r="P2263" s="4"/>
      <c r="Q2263" s="4" t="s">
        <v>63</v>
      </c>
      <c r="R2263" s="4" t="s">
        <v>63</v>
      </c>
      <c r="S2263" s="4" t="s">
        <v>63</v>
      </c>
      <c r="T2263" s="4" t="s">
        <v>63</v>
      </c>
      <c r="U2263" s="4"/>
      <c r="V2263" s="4"/>
      <c r="W2263" s="4"/>
      <c r="X2263" s="4" t="s">
        <v>63</v>
      </c>
      <c r="Y2263" s="4" t="s">
        <v>19206</v>
      </c>
      <c r="Z2263" s="4" t="s">
        <v>63</v>
      </c>
      <c r="AA2263" s="4" t="s">
        <v>63</v>
      </c>
      <c r="AB2263" s="4" t="s">
        <v>63</v>
      </c>
      <c r="AC2263" s="4" t="s">
        <v>67</v>
      </c>
      <c r="AD2263" s="4" t="s">
        <v>63</v>
      </c>
      <c r="AE2263" s="4" t="s">
        <v>63</v>
      </c>
      <c r="AF2263" s="4" t="s">
        <v>63</v>
      </c>
      <c r="AG2263" s="4" t="s">
        <v>63</v>
      </c>
      <c r="AH2263" s="4" t="s">
        <v>63</v>
      </c>
      <c r="AI2263" s="4" t="s">
        <v>19207</v>
      </c>
      <c r="AJ2263" s="4" t="s">
        <v>63</v>
      </c>
      <c r="AK2263" s="4" t="s">
        <v>63</v>
      </c>
      <c r="AL2263" s="4" t="s">
        <v>63</v>
      </c>
      <c r="AM2263" s="4" t="s">
        <v>19200</v>
      </c>
      <c r="AN2263" s="4" t="s">
        <v>63</v>
      </c>
      <c r="AO2263" s="4" t="s">
        <v>63</v>
      </c>
      <c r="AP2263" s="4" t="s">
        <v>63</v>
      </c>
      <c r="AQ2263" s="4" t="s">
        <v>63</v>
      </c>
      <c r="AR2263" s="4" t="s">
        <v>63</v>
      </c>
      <c r="AS2263" s="4" t="s">
        <v>63</v>
      </c>
      <c r="AT2263" s="4" t="s">
        <v>63</v>
      </c>
      <c r="AU2263" s="4" t="s">
        <v>63</v>
      </c>
      <c r="AV2263" s="4" t="s">
        <v>63</v>
      </c>
      <c r="AW2263" s="4" t="s">
        <v>63</v>
      </c>
      <c r="AX2263" s="4" t="s">
        <v>63</v>
      </c>
      <c r="AY2263" s="4" t="s">
        <v>63</v>
      </c>
      <c r="AZ2263" s="4" t="s">
        <v>63</v>
      </c>
      <c r="BA2263" s="4" t="s">
        <v>63</v>
      </c>
      <c r="BB2263" s="4" t="s">
        <v>63</v>
      </c>
      <c r="BC2263" s="4" t="s">
        <v>63</v>
      </c>
      <c r="BD2263" s="4" t="s">
        <v>63</v>
      </c>
      <c r="BE2263" s="4" t="s">
        <v>63</v>
      </c>
      <c r="BF2263" s="4" t="s">
        <v>63</v>
      </c>
    </row>
    <row r="2264" spans="1:58">
      <c r="A2264" s="4" t="s">
        <v>58</v>
      </c>
      <c r="B2264" s="4" t="s">
        <v>19208</v>
      </c>
      <c r="C2264" s="4" t="s">
        <v>19209</v>
      </c>
      <c r="D2264" s="4" t="s">
        <v>389</v>
      </c>
      <c r="E2264" s="4" t="s">
        <v>63</v>
      </c>
      <c r="F2264" s="4">
        <v>2009</v>
      </c>
      <c r="G2264" s="4" t="s">
        <v>15508</v>
      </c>
      <c r="H2264" s="4">
        <v>30</v>
      </c>
      <c r="I2264" s="4">
        <v>1</v>
      </c>
      <c r="J2264" s="4">
        <v>26</v>
      </c>
      <c r="K2264" s="4">
        <v>39</v>
      </c>
      <c r="L2264" s="4" t="s">
        <v>19210</v>
      </c>
      <c r="M2264" s="4" t="s">
        <v>19211</v>
      </c>
      <c r="N2264" s="4" t="s">
        <v>19212</v>
      </c>
      <c r="O2264" s="4" t="s">
        <v>63</v>
      </c>
      <c r="P2264" s="4"/>
      <c r="Q2264" s="4" t="s">
        <v>63</v>
      </c>
      <c r="R2264" s="4" t="s">
        <v>63</v>
      </c>
      <c r="S2264" s="4" t="s">
        <v>63</v>
      </c>
      <c r="T2264" s="4" t="s">
        <v>63</v>
      </c>
      <c r="U2264" s="4"/>
      <c r="V2264" s="4"/>
      <c r="W2264" s="4"/>
      <c r="X2264" s="4" t="s">
        <v>63</v>
      </c>
      <c r="Y2264" s="4" t="s">
        <v>15600</v>
      </c>
      <c r="Z2264" s="4" t="s">
        <v>63</v>
      </c>
      <c r="AA2264" s="4" t="s">
        <v>63</v>
      </c>
      <c r="AB2264" s="4">
        <v>2009111084</v>
      </c>
      <c r="AC2264" s="4" t="s">
        <v>67</v>
      </c>
      <c r="AD2264" s="4" t="s">
        <v>63</v>
      </c>
      <c r="AE2264" s="4" t="s">
        <v>63</v>
      </c>
      <c r="AF2264" s="4" t="s">
        <v>63</v>
      </c>
      <c r="AG2264" s="4" t="s">
        <v>19213</v>
      </c>
      <c r="AH2264" s="4" t="s">
        <v>63</v>
      </c>
      <c r="AI2264" s="4" t="s">
        <v>19214</v>
      </c>
      <c r="AJ2264" s="4" t="s">
        <v>63</v>
      </c>
      <c r="AK2264" s="4" t="s">
        <v>63</v>
      </c>
      <c r="AL2264" s="4" t="s">
        <v>63</v>
      </c>
      <c r="AM2264" s="4" t="s">
        <v>19215</v>
      </c>
      <c r="AN2264" s="4" t="s">
        <v>63</v>
      </c>
      <c r="AO2264" s="4" t="s">
        <v>63</v>
      </c>
      <c r="AP2264" s="4" t="s">
        <v>63</v>
      </c>
      <c r="AQ2264" s="4" t="s">
        <v>63</v>
      </c>
      <c r="AR2264" s="4" t="s">
        <v>63</v>
      </c>
      <c r="AS2264" s="4" t="s">
        <v>63</v>
      </c>
      <c r="AT2264" s="4" t="s">
        <v>63</v>
      </c>
      <c r="AU2264" s="4" t="s">
        <v>63</v>
      </c>
      <c r="AV2264" s="4" t="s">
        <v>63</v>
      </c>
      <c r="AW2264" s="4" t="s">
        <v>63</v>
      </c>
      <c r="AX2264" s="4" t="s">
        <v>63</v>
      </c>
      <c r="AY2264" s="4" t="s">
        <v>63</v>
      </c>
      <c r="AZ2264" s="4" t="s">
        <v>63</v>
      </c>
      <c r="BA2264" s="4" t="s">
        <v>63</v>
      </c>
      <c r="BB2264" s="4" t="s">
        <v>63</v>
      </c>
      <c r="BC2264" s="4" t="s">
        <v>63</v>
      </c>
      <c r="BD2264" s="4" t="s">
        <v>63</v>
      </c>
      <c r="BE2264" s="4" t="s">
        <v>63</v>
      </c>
      <c r="BF2264" s="4" t="s">
        <v>63</v>
      </c>
    </row>
    <row r="2265" spans="1:58">
      <c r="A2265" s="4" t="s">
        <v>58</v>
      </c>
      <c r="B2265" s="4" t="s">
        <v>19216</v>
      </c>
      <c r="C2265" s="4" t="s">
        <v>19217</v>
      </c>
      <c r="D2265" s="4" t="s">
        <v>19218</v>
      </c>
      <c r="E2265" s="4" t="s">
        <v>63</v>
      </c>
      <c r="F2265" s="4">
        <v>2009</v>
      </c>
      <c r="G2265" s="4" t="s">
        <v>181</v>
      </c>
      <c r="H2265" s="4">
        <v>20</v>
      </c>
      <c r="I2265" s="4">
        <v>5</v>
      </c>
      <c r="J2265" s="4">
        <v>862</v>
      </c>
      <c r="K2265" s="4">
        <v>866</v>
      </c>
      <c r="L2265" s="4" t="s">
        <v>19219</v>
      </c>
      <c r="M2265" s="4" t="s">
        <v>19220</v>
      </c>
      <c r="N2265" s="4" t="s">
        <v>19221</v>
      </c>
      <c r="O2265" s="4" t="s">
        <v>63</v>
      </c>
      <c r="P2265" s="4"/>
      <c r="Q2265" s="4" t="s">
        <v>63</v>
      </c>
      <c r="R2265" s="4" t="s">
        <v>63</v>
      </c>
      <c r="S2265" s="4" t="s">
        <v>63</v>
      </c>
      <c r="T2265" s="4" t="s">
        <v>63</v>
      </c>
      <c r="U2265" s="4"/>
      <c r="V2265" s="4"/>
      <c r="W2265" s="4"/>
      <c r="X2265" s="4" t="s">
        <v>63</v>
      </c>
      <c r="Y2265" s="4" t="s">
        <v>19222</v>
      </c>
      <c r="Z2265" s="4" t="s">
        <v>63</v>
      </c>
      <c r="AA2265" s="4" t="s">
        <v>63</v>
      </c>
      <c r="AB2265" s="4" t="s">
        <v>63</v>
      </c>
      <c r="AC2265" s="4" t="s">
        <v>67</v>
      </c>
      <c r="AD2265" s="4" t="s">
        <v>63</v>
      </c>
      <c r="AE2265" s="4" t="s">
        <v>63</v>
      </c>
      <c r="AF2265" s="4" t="s">
        <v>63</v>
      </c>
      <c r="AG2265" s="4" t="s">
        <v>19223</v>
      </c>
      <c r="AH2265" s="4" t="s">
        <v>63</v>
      </c>
      <c r="AI2265" s="4" t="s">
        <v>63</v>
      </c>
      <c r="AJ2265" s="4" t="s">
        <v>63</v>
      </c>
      <c r="AK2265" s="4" t="s">
        <v>63</v>
      </c>
      <c r="AL2265" s="4" t="s">
        <v>63</v>
      </c>
      <c r="AM2265" s="4" t="s">
        <v>19224</v>
      </c>
      <c r="AN2265" s="4" t="s">
        <v>63</v>
      </c>
      <c r="AO2265" s="4" t="s">
        <v>63</v>
      </c>
      <c r="AP2265" s="4" t="s">
        <v>63</v>
      </c>
      <c r="AQ2265" s="4" t="s">
        <v>63</v>
      </c>
      <c r="AR2265" s="4" t="s">
        <v>63</v>
      </c>
      <c r="AS2265" s="4" t="s">
        <v>63</v>
      </c>
      <c r="AT2265" s="4" t="s">
        <v>63</v>
      </c>
      <c r="AU2265" s="4" t="s">
        <v>63</v>
      </c>
      <c r="AV2265" s="4" t="s">
        <v>63</v>
      </c>
      <c r="AW2265" s="4" t="s">
        <v>63</v>
      </c>
      <c r="AX2265" s="4" t="s">
        <v>63</v>
      </c>
      <c r="AY2265" s="4" t="s">
        <v>63</v>
      </c>
      <c r="AZ2265" s="4" t="s">
        <v>63</v>
      </c>
      <c r="BA2265" s="4" t="s">
        <v>63</v>
      </c>
      <c r="BB2265" s="4" t="s">
        <v>63</v>
      </c>
      <c r="BC2265" s="4" t="s">
        <v>63</v>
      </c>
      <c r="BD2265" s="4" t="s">
        <v>63</v>
      </c>
      <c r="BE2265" s="4" t="s">
        <v>63</v>
      </c>
      <c r="BF2265" s="4" t="s">
        <v>63</v>
      </c>
    </row>
    <row r="2266" spans="1:58">
      <c r="A2266" s="4" t="s">
        <v>58</v>
      </c>
      <c r="B2266" s="4" t="s">
        <v>19225</v>
      </c>
      <c r="C2266" s="4" t="s">
        <v>19226</v>
      </c>
      <c r="D2266" s="4" t="s">
        <v>12969</v>
      </c>
      <c r="E2266" s="4" t="s">
        <v>12969</v>
      </c>
      <c r="F2266" s="4">
        <v>2015</v>
      </c>
      <c r="G2266" s="4" t="s">
        <v>189</v>
      </c>
      <c r="H2266" s="4" t="s">
        <v>19227</v>
      </c>
      <c r="I2266" s="4" t="s">
        <v>63</v>
      </c>
      <c r="J2266" s="4">
        <v>109</v>
      </c>
      <c r="K2266" s="4" t="s">
        <v>63</v>
      </c>
      <c r="L2266" s="4" t="s">
        <v>19228</v>
      </c>
      <c r="M2266" s="4" t="s">
        <v>19229</v>
      </c>
      <c r="N2266" s="4" t="s">
        <v>19230</v>
      </c>
      <c r="O2266" s="4" t="s">
        <v>63</v>
      </c>
      <c r="P2266" s="4"/>
      <c r="Q2266" s="4" t="s">
        <v>63</v>
      </c>
      <c r="R2266" s="4" t="s">
        <v>63</v>
      </c>
      <c r="S2266" s="4" t="s">
        <v>63</v>
      </c>
      <c r="T2266" s="4" t="s">
        <v>63</v>
      </c>
      <c r="U2266" s="4"/>
      <c r="V2266" s="4"/>
      <c r="W2266" s="4"/>
      <c r="X2266" s="4" t="s">
        <v>63</v>
      </c>
      <c r="Y2266" s="4" t="s">
        <v>12972</v>
      </c>
      <c r="Z2266" s="4" t="s">
        <v>63</v>
      </c>
      <c r="AA2266" s="4" t="s">
        <v>63</v>
      </c>
      <c r="AB2266" s="4" t="s">
        <v>63</v>
      </c>
      <c r="AC2266" s="4" t="s">
        <v>67</v>
      </c>
      <c r="AD2266" s="4" t="s">
        <v>63</v>
      </c>
      <c r="AE2266" s="4" t="s">
        <v>63</v>
      </c>
      <c r="AF2266" s="4" t="s">
        <v>63</v>
      </c>
      <c r="AG2266" s="4" t="s">
        <v>63</v>
      </c>
      <c r="AH2266" s="4" t="s">
        <v>63</v>
      </c>
      <c r="AI2266" s="4" t="s">
        <v>19231</v>
      </c>
      <c r="AJ2266" s="4" t="s">
        <v>63</v>
      </c>
      <c r="AK2266" s="4" t="s">
        <v>63</v>
      </c>
      <c r="AL2266" s="4" t="s">
        <v>63</v>
      </c>
      <c r="AM2266" s="4" t="s">
        <v>19226</v>
      </c>
      <c r="AN2266" s="4" t="s">
        <v>63</v>
      </c>
      <c r="AO2266" s="4" t="s">
        <v>63</v>
      </c>
      <c r="AP2266" s="4" t="s">
        <v>63</v>
      </c>
      <c r="AQ2266" s="4" t="s">
        <v>63</v>
      </c>
      <c r="AR2266" s="4" t="s">
        <v>63</v>
      </c>
      <c r="AS2266" s="4" t="s">
        <v>63</v>
      </c>
      <c r="AT2266" s="4" t="s">
        <v>63</v>
      </c>
      <c r="AU2266" s="4" t="s">
        <v>63</v>
      </c>
      <c r="AV2266" s="4" t="s">
        <v>63</v>
      </c>
      <c r="AW2266" s="4" t="s">
        <v>63</v>
      </c>
      <c r="AX2266" s="4" t="s">
        <v>63</v>
      </c>
      <c r="AY2266" s="4" t="s">
        <v>63</v>
      </c>
      <c r="AZ2266" s="4" t="s">
        <v>63</v>
      </c>
      <c r="BA2266" s="4" t="s">
        <v>63</v>
      </c>
      <c r="BB2266" s="4" t="s">
        <v>63</v>
      </c>
      <c r="BC2266" s="4" t="s">
        <v>63</v>
      </c>
      <c r="BD2266" s="4" t="s">
        <v>63</v>
      </c>
      <c r="BE2266" s="4" t="s">
        <v>63</v>
      </c>
      <c r="BF2266" s="4" t="s">
        <v>63</v>
      </c>
    </row>
    <row r="2267" spans="1:58">
      <c r="A2267" s="4" t="s">
        <v>58</v>
      </c>
      <c r="B2267" s="4" t="s">
        <v>19232</v>
      </c>
      <c r="C2267" s="4" t="s">
        <v>19233</v>
      </c>
      <c r="D2267" s="4" t="s">
        <v>371</v>
      </c>
      <c r="E2267" s="4" t="s">
        <v>63</v>
      </c>
      <c r="F2267" s="4">
        <v>2016</v>
      </c>
      <c r="G2267" s="4" t="s">
        <v>189</v>
      </c>
      <c r="H2267" s="4">
        <v>31</v>
      </c>
      <c r="I2267" s="4">
        <v>2</v>
      </c>
      <c r="J2267" s="4" t="s">
        <v>19234</v>
      </c>
      <c r="K2267" s="4" t="s">
        <v>63</v>
      </c>
      <c r="L2267" s="4" t="s">
        <v>19235</v>
      </c>
      <c r="M2267" s="4" t="s">
        <v>19236</v>
      </c>
      <c r="N2267" s="4" t="s">
        <v>19237</v>
      </c>
      <c r="O2267" s="4" t="s">
        <v>63</v>
      </c>
      <c r="P2267" s="4"/>
      <c r="Q2267" s="4" t="s">
        <v>63</v>
      </c>
      <c r="R2267" s="4" t="s">
        <v>63</v>
      </c>
      <c r="S2267" s="4" t="s">
        <v>63</v>
      </c>
      <c r="T2267" s="4" t="s">
        <v>63</v>
      </c>
      <c r="U2267" s="4"/>
      <c r="V2267" s="4"/>
      <c r="W2267" s="4"/>
      <c r="X2267" s="4" t="s">
        <v>63</v>
      </c>
      <c r="Y2267" s="4" t="s">
        <v>547</v>
      </c>
      <c r="Z2267" s="4" t="s">
        <v>63</v>
      </c>
      <c r="AA2267" s="4" t="s">
        <v>63</v>
      </c>
      <c r="AB2267" s="4" t="s">
        <v>63</v>
      </c>
      <c r="AC2267" s="4" t="s">
        <v>67</v>
      </c>
      <c r="AD2267" s="4" t="s">
        <v>63</v>
      </c>
      <c r="AE2267" s="4" t="s">
        <v>63</v>
      </c>
      <c r="AF2267" s="4" t="s">
        <v>63</v>
      </c>
      <c r="AG2267" s="4" t="s">
        <v>63</v>
      </c>
      <c r="AH2267" s="4" t="s">
        <v>63</v>
      </c>
      <c r="AI2267" s="4" t="s">
        <v>63</v>
      </c>
      <c r="AJ2267" s="4" t="s">
        <v>63</v>
      </c>
      <c r="AK2267" s="4" t="s">
        <v>63</v>
      </c>
      <c r="AL2267" s="4" t="s">
        <v>63</v>
      </c>
      <c r="AM2267" s="4" t="s">
        <v>19233</v>
      </c>
      <c r="AN2267" s="4" t="s">
        <v>63</v>
      </c>
      <c r="AO2267" s="4" t="s">
        <v>63</v>
      </c>
      <c r="AP2267" s="4" t="s">
        <v>63</v>
      </c>
      <c r="AQ2267" s="4" t="s">
        <v>63</v>
      </c>
      <c r="AR2267" s="4" t="s">
        <v>63</v>
      </c>
      <c r="AS2267" s="4" t="s">
        <v>63</v>
      </c>
      <c r="AT2267" s="4" t="s">
        <v>63</v>
      </c>
      <c r="AU2267" s="4" t="s">
        <v>63</v>
      </c>
      <c r="AV2267" s="4" t="s">
        <v>63</v>
      </c>
      <c r="AW2267" s="4" t="s">
        <v>63</v>
      </c>
      <c r="AX2267" s="4" t="s">
        <v>63</v>
      </c>
      <c r="AY2267" s="4" t="s">
        <v>63</v>
      </c>
      <c r="AZ2267" s="4" t="s">
        <v>63</v>
      </c>
      <c r="BA2267" s="4" t="s">
        <v>63</v>
      </c>
      <c r="BB2267" s="4" t="s">
        <v>63</v>
      </c>
      <c r="BC2267" s="4" t="s">
        <v>63</v>
      </c>
      <c r="BD2267" s="4" t="s">
        <v>63</v>
      </c>
      <c r="BE2267" s="4" t="s">
        <v>63</v>
      </c>
      <c r="BF2267" s="4" t="s">
        <v>63</v>
      </c>
    </row>
    <row r="2268" spans="1:58">
      <c r="A2268" s="4" t="s">
        <v>58</v>
      </c>
      <c r="B2268" s="4" t="s">
        <v>19238</v>
      </c>
      <c r="C2268" s="4" t="s">
        <v>19239</v>
      </c>
      <c r="D2268" s="4" t="s">
        <v>19240</v>
      </c>
      <c r="E2268" s="4" t="s">
        <v>19240</v>
      </c>
      <c r="F2268" s="4">
        <v>2006</v>
      </c>
      <c r="G2268" s="4" t="s">
        <v>15389</v>
      </c>
      <c r="H2268" s="4">
        <v>18</v>
      </c>
      <c r="I2268" s="4">
        <v>1</v>
      </c>
      <c r="J2268" s="4">
        <v>7</v>
      </c>
      <c r="K2268" s="4">
        <v>21</v>
      </c>
      <c r="L2268" s="4" t="s">
        <v>19241</v>
      </c>
      <c r="M2268" s="4" t="s">
        <v>19242</v>
      </c>
      <c r="N2268" s="4" t="s">
        <v>19243</v>
      </c>
      <c r="O2268" s="4" t="s">
        <v>63</v>
      </c>
      <c r="P2268" s="4"/>
      <c r="Q2268" s="4" t="s">
        <v>63</v>
      </c>
      <c r="R2268" s="4" t="s">
        <v>63</v>
      </c>
      <c r="S2268" s="4" t="s">
        <v>63</v>
      </c>
      <c r="T2268" s="4" t="s">
        <v>63</v>
      </c>
      <c r="U2268" s="4"/>
      <c r="V2268" s="4"/>
      <c r="W2268" s="4"/>
      <c r="X2268" s="4" t="s">
        <v>63</v>
      </c>
      <c r="Y2268" s="4" t="s">
        <v>1636</v>
      </c>
      <c r="Z2268" s="4" t="s">
        <v>63</v>
      </c>
      <c r="AA2268" s="4" t="s">
        <v>63</v>
      </c>
      <c r="AB2268" s="4">
        <v>2006178183</v>
      </c>
      <c r="AC2268" s="4" t="s">
        <v>1371</v>
      </c>
      <c r="AD2268" s="4" t="s">
        <v>63</v>
      </c>
      <c r="AE2268" s="4" t="s">
        <v>63</v>
      </c>
      <c r="AF2268" s="4" t="s">
        <v>63</v>
      </c>
      <c r="AG2268" s="4" t="s">
        <v>19244</v>
      </c>
      <c r="AH2268" s="4" t="s">
        <v>63</v>
      </c>
      <c r="AI2268" s="4" t="s">
        <v>63</v>
      </c>
      <c r="AJ2268" s="4" t="s">
        <v>63</v>
      </c>
      <c r="AK2268" s="4" t="s">
        <v>63</v>
      </c>
      <c r="AL2268" s="4" t="s">
        <v>63</v>
      </c>
      <c r="AM2268" s="4" t="s">
        <v>19245</v>
      </c>
      <c r="AN2268" s="4" t="s">
        <v>63</v>
      </c>
      <c r="AO2268" s="4" t="s">
        <v>63</v>
      </c>
      <c r="AP2268" s="4" t="s">
        <v>63</v>
      </c>
      <c r="AQ2268" s="4" t="s">
        <v>63</v>
      </c>
      <c r="AR2268" s="4" t="s">
        <v>63</v>
      </c>
      <c r="AS2268" s="4" t="s">
        <v>63</v>
      </c>
      <c r="AT2268" s="4" t="s">
        <v>63</v>
      </c>
      <c r="AU2268" s="4" t="s">
        <v>63</v>
      </c>
      <c r="AV2268" s="4" t="s">
        <v>63</v>
      </c>
      <c r="AW2268" s="4" t="s">
        <v>63</v>
      </c>
      <c r="AX2268" s="4" t="s">
        <v>63</v>
      </c>
      <c r="AY2268" s="4" t="s">
        <v>63</v>
      </c>
      <c r="AZ2268" s="4" t="s">
        <v>63</v>
      </c>
      <c r="BA2268" s="4" t="s">
        <v>63</v>
      </c>
      <c r="BB2268" s="4" t="s">
        <v>63</v>
      </c>
      <c r="BC2268" s="4" t="s">
        <v>63</v>
      </c>
      <c r="BD2268" s="4" t="s">
        <v>63</v>
      </c>
      <c r="BE2268" s="4" t="s">
        <v>63</v>
      </c>
      <c r="BF2268" s="4" t="s">
        <v>63</v>
      </c>
    </row>
    <row r="2269" spans="1:58">
      <c r="A2269" s="4" t="s">
        <v>58</v>
      </c>
      <c r="B2269" s="4" t="s">
        <v>19246</v>
      </c>
      <c r="C2269" s="4" t="s">
        <v>19247</v>
      </c>
      <c r="D2269" s="4" t="s">
        <v>19248</v>
      </c>
      <c r="E2269" s="4" t="s">
        <v>19248</v>
      </c>
      <c r="F2269" s="4">
        <v>2011</v>
      </c>
      <c r="G2269" s="4" t="s">
        <v>15508</v>
      </c>
      <c r="H2269" s="4" t="s">
        <v>19249</v>
      </c>
      <c r="I2269" s="4" t="s">
        <v>63</v>
      </c>
      <c r="J2269" s="4" t="s">
        <v>19250</v>
      </c>
      <c r="K2269" s="4" t="s">
        <v>63</v>
      </c>
      <c r="L2269" s="4" t="s">
        <v>19251</v>
      </c>
      <c r="M2269" s="4" t="s">
        <v>19252</v>
      </c>
      <c r="N2269" s="4" t="s">
        <v>19253</v>
      </c>
      <c r="O2269" s="4" t="s">
        <v>63</v>
      </c>
      <c r="P2269" s="4"/>
      <c r="Q2269" s="4" t="s">
        <v>63</v>
      </c>
      <c r="R2269" s="4" t="s">
        <v>63</v>
      </c>
      <c r="S2269" s="4" t="s">
        <v>63</v>
      </c>
      <c r="T2269" s="4" t="s">
        <v>63</v>
      </c>
      <c r="U2269" s="4"/>
      <c r="V2269" s="4"/>
      <c r="W2269" s="4"/>
      <c r="X2269" s="4" t="s">
        <v>63</v>
      </c>
      <c r="Y2269" s="4" t="s">
        <v>19254</v>
      </c>
      <c r="Z2269" s="4" t="s">
        <v>63</v>
      </c>
      <c r="AA2269" s="4" t="s">
        <v>63</v>
      </c>
      <c r="AB2269" s="4" t="s">
        <v>63</v>
      </c>
      <c r="AC2269" s="4" t="s">
        <v>67</v>
      </c>
      <c r="AD2269" s="4" t="s">
        <v>63</v>
      </c>
      <c r="AE2269" s="4" t="s">
        <v>63</v>
      </c>
      <c r="AF2269" s="4" t="s">
        <v>63</v>
      </c>
      <c r="AG2269" s="4" t="s">
        <v>63</v>
      </c>
      <c r="AH2269" s="4" t="s">
        <v>63</v>
      </c>
      <c r="AI2269" s="4" t="s">
        <v>19255</v>
      </c>
      <c r="AJ2269" s="4" t="s">
        <v>63</v>
      </c>
      <c r="AK2269" s="4" t="s">
        <v>63</v>
      </c>
      <c r="AL2269" s="4" t="s">
        <v>63</v>
      </c>
      <c r="AM2269" s="4" t="s">
        <v>19247</v>
      </c>
      <c r="AN2269" s="4" t="s">
        <v>63</v>
      </c>
      <c r="AO2269" s="4" t="s">
        <v>63</v>
      </c>
      <c r="AP2269" s="4" t="s">
        <v>63</v>
      </c>
      <c r="AQ2269" s="4" t="s">
        <v>63</v>
      </c>
      <c r="AR2269" s="4" t="s">
        <v>63</v>
      </c>
      <c r="AS2269" s="4" t="s">
        <v>63</v>
      </c>
      <c r="AT2269" s="4" t="s">
        <v>63</v>
      </c>
      <c r="AU2269" s="4" t="s">
        <v>63</v>
      </c>
      <c r="AV2269" s="4" t="s">
        <v>63</v>
      </c>
      <c r="AW2269" s="4" t="s">
        <v>63</v>
      </c>
      <c r="AX2269" s="4" t="s">
        <v>63</v>
      </c>
      <c r="AY2269" s="4" t="s">
        <v>63</v>
      </c>
      <c r="AZ2269" s="4" t="s">
        <v>63</v>
      </c>
      <c r="BA2269" s="4" t="s">
        <v>63</v>
      </c>
      <c r="BB2269" s="4" t="s">
        <v>63</v>
      </c>
      <c r="BC2269" s="4" t="s">
        <v>63</v>
      </c>
      <c r="BD2269" s="4" t="s">
        <v>63</v>
      </c>
      <c r="BE2269" s="4" t="s">
        <v>63</v>
      </c>
      <c r="BF2269" s="4" t="s">
        <v>63</v>
      </c>
    </row>
    <row r="2270" spans="1:58">
      <c r="A2270" s="4" t="s">
        <v>58</v>
      </c>
      <c r="B2270" s="4" t="s">
        <v>19256</v>
      </c>
      <c r="C2270" s="4" t="s">
        <v>19257</v>
      </c>
      <c r="D2270" s="4" t="s">
        <v>19258</v>
      </c>
      <c r="E2270" s="4" t="s">
        <v>63</v>
      </c>
      <c r="F2270" s="4">
        <v>1952</v>
      </c>
      <c r="G2270" s="4" t="s">
        <v>63</v>
      </c>
      <c r="H2270" s="4" t="s">
        <v>19259</v>
      </c>
      <c r="I2270" s="4">
        <v>1</v>
      </c>
      <c r="J2270" s="4" t="s">
        <v>8125</v>
      </c>
      <c r="K2270" s="4">
        <v>38</v>
      </c>
      <c r="L2270" s="4" t="s">
        <v>19260</v>
      </c>
      <c r="M2270" s="4" t="s">
        <v>63</v>
      </c>
      <c r="N2270" s="4" t="s">
        <v>19261</v>
      </c>
      <c r="O2270" s="4" t="s">
        <v>63</v>
      </c>
      <c r="P2270" s="4"/>
      <c r="Q2270" s="4" t="s">
        <v>63</v>
      </c>
      <c r="R2270" s="4" t="s">
        <v>63</v>
      </c>
      <c r="S2270" s="4" t="s">
        <v>63</v>
      </c>
      <c r="T2270" s="4" t="s">
        <v>63</v>
      </c>
      <c r="U2270" s="4"/>
      <c r="V2270" s="4"/>
      <c r="W2270" s="4"/>
      <c r="X2270" s="4" t="s">
        <v>63</v>
      </c>
      <c r="Y2270" s="4" t="s">
        <v>8128</v>
      </c>
      <c r="Z2270" s="4" t="s">
        <v>63</v>
      </c>
      <c r="AA2270" s="4" t="s">
        <v>63</v>
      </c>
      <c r="AB2270" s="4" t="s">
        <v>63</v>
      </c>
      <c r="AC2270" s="4" t="s">
        <v>5266</v>
      </c>
      <c r="AD2270" s="4" t="s">
        <v>63</v>
      </c>
      <c r="AE2270" s="4" t="s">
        <v>63</v>
      </c>
      <c r="AF2270" s="4" t="s">
        <v>63</v>
      </c>
      <c r="AG2270" s="4" t="s">
        <v>19262</v>
      </c>
      <c r="AH2270" s="4" t="s">
        <v>63</v>
      </c>
      <c r="AI2270" s="4" t="s">
        <v>63</v>
      </c>
      <c r="AJ2270" s="4" t="s">
        <v>63</v>
      </c>
      <c r="AK2270" s="4" t="s">
        <v>63</v>
      </c>
      <c r="AL2270" s="4" t="s">
        <v>63</v>
      </c>
      <c r="AM2270" s="4" t="s">
        <v>19263</v>
      </c>
      <c r="AN2270" s="4" t="s">
        <v>63</v>
      </c>
      <c r="AO2270" s="4" t="s">
        <v>63</v>
      </c>
      <c r="AP2270" s="4" t="s">
        <v>63</v>
      </c>
      <c r="AQ2270" s="4" t="s">
        <v>63</v>
      </c>
      <c r="AR2270" s="4" t="s">
        <v>63</v>
      </c>
      <c r="AS2270" s="4" t="s">
        <v>63</v>
      </c>
      <c r="AT2270" s="4" t="s">
        <v>63</v>
      </c>
      <c r="AU2270" s="4" t="s">
        <v>63</v>
      </c>
      <c r="AV2270" s="4" t="s">
        <v>63</v>
      </c>
      <c r="AW2270" s="4" t="s">
        <v>63</v>
      </c>
      <c r="AX2270" s="4" t="s">
        <v>63</v>
      </c>
      <c r="AY2270" s="4" t="s">
        <v>63</v>
      </c>
      <c r="AZ2270" s="4" t="s">
        <v>63</v>
      </c>
      <c r="BA2270" s="4" t="s">
        <v>63</v>
      </c>
      <c r="BB2270" s="4" t="s">
        <v>63</v>
      </c>
      <c r="BC2270" s="4" t="s">
        <v>63</v>
      </c>
      <c r="BD2270" s="4" t="s">
        <v>63</v>
      </c>
      <c r="BE2270" s="4" t="s">
        <v>63</v>
      </c>
      <c r="BF2270" s="4" t="s">
        <v>63</v>
      </c>
    </row>
    <row r="2271" spans="1:58">
      <c r="A2271" s="4" t="s">
        <v>58</v>
      </c>
      <c r="B2271" s="4" t="s">
        <v>19264</v>
      </c>
      <c r="C2271" s="4" t="s">
        <v>19265</v>
      </c>
      <c r="D2271" s="4" t="s">
        <v>15421</v>
      </c>
      <c r="E2271" s="4" t="s">
        <v>63</v>
      </c>
      <c r="F2271" s="4">
        <v>2011</v>
      </c>
      <c r="G2271" s="4" t="s">
        <v>1670</v>
      </c>
      <c r="H2271" s="4">
        <v>32</v>
      </c>
      <c r="I2271" s="4">
        <v>3</v>
      </c>
      <c r="J2271" s="4">
        <v>128</v>
      </c>
      <c r="K2271" s="4">
        <v>134</v>
      </c>
      <c r="L2271" s="4" t="s">
        <v>19266</v>
      </c>
      <c r="M2271" s="4" t="s">
        <v>19267</v>
      </c>
      <c r="N2271" s="4" t="s">
        <v>19268</v>
      </c>
      <c r="O2271" s="4" t="s">
        <v>63</v>
      </c>
      <c r="P2271" s="4"/>
      <c r="Q2271" s="4" t="s">
        <v>63</v>
      </c>
      <c r="R2271" s="4" t="s">
        <v>63</v>
      </c>
      <c r="S2271" s="4" t="s">
        <v>63</v>
      </c>
      <c r="T2271" s="4" t="s">
        <v>63</v>
      </c>
      <c r="U2271" s="4"/>
      <c r="V2271" s="4"/>
      <c r="W2271" s="4"/>
      <c r="X2271" s="4" t="s">
        <v>63</v>
      </c>
      <c r="Y2271" s="4" t="s">
        <v>15425</v>
      </c>
      <c r="Z2271" s="4" t="s">
        <v>63</v>
      </c>
      <c r="AA2271" s="4" t="s">
        <v>63</v>
      </c>
      <c r="AB2271" s="4" t="s">
        <v>63</v>
      </c>
      <c r="AC2271" s="4" t="s">
        <v>67</v>
      </c>
      <c r="AD2271" s="4" t="s">
        <v>63</v>
      </c>
      <c r="AE2271" s="4" t="s">
        <v>63</v>
      </c>
      <c r="AF2271" s="4" t="s">
        <v>63</v>
      </c>
      <c r="AG2271" s="4" t="s">
        <v>19269</v>
      </c>
      <c r="AH2271" s="4" t="s">
        <v>63</v>
      </c>
      <c r="AI2271" s="4" t="s">
        <v>19270</v>
      </c>
      <c r="AJ2271" s="4" t="s">
        <v>63</v>
      </c>
      <c r="AK2271" s="4" t="s">
        <v>63</v>
      </c>
      <c r="AL2271" s="4" t="s">
        <v>63</v>
      </c>
      <c r="AM2271" s="4" t="s">
        <v>19271</v>
      </c>
      <c r="AN2271" s="4" t="s">
        <v>63</v>
      </c>
      <c r="AO2271" s="4" t="s">
        <v>63</v>
      </c>
      <c r="AP2271" s="4" t="s">
        <v>63</v>
      </c>
      <c r="AQ2271" s="4" t="s">
        <v>63</v>
      </c>
      <c r="AR2271" s="4" t="s">
        <v>63</v>
      </c>
      <c r="AS2271" s="4" t="s">
        <v>63</v>
      </c>
      <c r="AT2271" s="4" t="s">
        <v>63</v>
      </c>
      <c r="AU2271" s="4" t="s">
        <v>63</v>
      </c>
      <c r="AV2271" s="4" t="s">
        <v>63</v>
      </c>
      <c r="AW2271" s="4" t="s">
        <v>63</v>
      </c>
      <c r="AX2271" s="4" t="s">
        <v>63</v>
      </c>
      <c r="AY2271" s="4" t="s">
        <v>63</v>
      </c>
      <c r="AZ2271" s="4" t="s">
        <v>63</v>
      </c>
      <c r="BA2271" s="4" t="s">
        <v>63</v>
      </c>
      <c r="BB2271" s="4" t="s">
        <v>63</v>
      </c>
      <c r="BC2271" s="4" t="s">
        <v>63</v>
      </c>
      <c r="BD2271" s="4" t="s">
        <v>63</v>
      </c>
      <c r="BE2271" s="4" t="s">
        <v>63</v>
      </c>
      <c r="BF2271" s="4" t="s">
        <v>63</v>
      </c>
    </row>
    <row r="2272" spans="1:58">
      <c r="A2272" s="4" t="s">
        <v>58</v>
      </c>
      <c r="B2272" s="4" t="s">
        <v>19272</v>
      </c>
      <c r="C2272" s="4" t="s">
        <v>19273</v>
      </c>
      <c r="D2272" s="4" t="s">
        <v>16623</v>
      </c>
      <c r="E2272" s="4" t="s">
        <v>63</v>
      </c>
      <c r="F2272" s="4">
        <v>2011</v>
      </c>
      <c r="G2272" s="4" t="s">
        <v>16091</v>
      </c>
      <c r="H2272" s="4">
        <v>4</v>
      </c>
      <c r="I2272" s="4">
        <v>4</v>
      </c>
      <c r="J2272" s="4">
        <v>340</v>
      </c>
      <c r="K2272" s="4">
        <v>347</v>
      </c>
      <c r="L2272" s="4" t="s">
        <v>19274</v>
      </c>
      <c r="M2272" s="4" t="s">
        <v>19275</v>
      </c>
      <c r="N2272" s="4" t="s">
        <v>19276</v>
      </c>
      <c r="O2272" s="4" t="s">
        <v>63</v>
      </c>
      <c r="P2272" s="4"/>
      <c r="Q2272" s="4" t="s">
        <v>63</v>
      </c>
      <c r="R2272" s="4" t="s">
        <v>63</v>
      </c>
      <c r="S2272" s="4" t="s">
        <v>63</v>
      </c>
      <c r="T2272" s="4" t="s">
        <v>63</v>
      </c>
      <c r="U2272" s="4"/>
      <c r="V2272" s="4"/>
      <c r="W2272" s="4"/>
      <c r="X2272" s="4" t="s">
        <v>63</v>
      </c>
      <c r="Y2272" s="4" t="s">
        <v>16627</v>
      </c>
      <c r="Z2272" s="4" t="s">
        <v>63</v>
      </c>
      <c r="AA2272" s="4" t="s">
        <v>63</v>
      </c>
      <c r="AB2272" s="4" t="s">
        <v>19277</v>
      </c>
      <c r="AC2272" s="4" t="s">
        <v>67</v>
      </c>
      <c r="AD2272" s="4" t="s">
        <v>63</v>
      </c>
      <c r="AE2272" s="4" t="s">
        <v>63</v>
      </c>
      <c r="AF2272" s="4" t="s">
        <v>63</v>
      </c>
      <c r="AG2272" s="4" t="s">
        <v>63</v>
      </c>
      <c r="AH2272" s="4" t="s">
        <v>63</v>
      </c>
      <c r="AI2272" s="4" t="s">
        <v>19278</v>
      </c>
      <c r="AJ2272" s="4" t="s">
        <v>63</v>
      </c>
      <c r="AK2272" s="4" t="s">
        <v>63</v>
      </c>
      <c r="AL2272" s="4" t="s">
        <v>63</v>
      </c>
      <c r="AM2272" s="4" t="s">
        <v>19273</v>
      </c>
      <c r="AN2272" s="4" t="s">
        <v>63</v>
      </c>
      <c r="AO2272" s="4" t="s">
        <v>63</v>
      </c>
      <c r="AP2272" s="4" t="s">
        <v>63</v>
      </c>
      <c r="AQ2272" s="4" t="s">
        <v>63</v>
      </c>
      <c r="AR2272" s="4" t="s">
        <v>63</v>
      </c>
      <c r="AS2272" s="4" t="s">
        <v>63</v>
      </c>
      <c r="AT2272" s="4" t="s">
        <v>63</v>
      </c>
      <c r="AU2272" s="4" t="s">
        <v>63</v>
      </c>
      <c r="AV2272" s="4" t="s">
        <v>63</v>
      </c>
      <c r="AW2272" s="4" t="s">
        <v>63</v>
      </c>
      <c r="AX2272" s="4" t="s">
        <v>63</v>
      </c>
      <c r="AY2272" s="4" t="s">
        <v>63</v>
      </c>
      <c r="AZ2272" s="4" t="s">
        <v>63</v>
      </c>
      <c r="BA2272" s="4" t="s">
        <v>63</v>
      </c>
      <c r="BB2272" s="4" t="s">
        <v>63</v>
      </c>
      <c r="BC2272" s="4" t="s">
        <v>63</v>
      </c>
      <c r="BD2272" s="4" t="s">
        <v>63</v>
      </c>
      <c r="BE2272" s="4" t="s">
        <v>63</v>
      </c>
      <c r="BF2272" s="4" t="s">
        <v>63</v>
      </c>
    </row>
    <row r="2273" spans="1:58">
      <c r="A2273" s="4" t="s">
        <v>58</v>
      </c>
      <c r="B2273" s="4" t="s">
        <v>19279</v>
      </c>
      <c r="C2273" s="4" t="s">
        <v>19280</v>
      </c>
      <c r="D2273" s="4" t="s">
        <v>137</v>
      </c>
      <c r="E2273" s="4" t="s">
        <v>63</v>
      </c>
      <c r="F2273" s="4">
        <v>2015</v>
      </c>
      <c r="G2273" s="4">
        <v>1</v>
      </c>
      <c r="H2273" s="4">
        <v>61</v>
      </c>
      <c r="I2273" s="4">
        <v>6</v>
      </c>
      <c r="J2273" s="4">
        <v>538</v>
      </c>
      <c r="K2273" s="4">
        <v>543</v>
      </c>
      <c r="L2273" s="4" t="s">
        <v>19281</v>
      </c>
      <c r="M2273" s="4" t="s">
        <v>19282</v>
      </c>
      <c r="N2273" s="4" t="s">
        <v>19283</v>
      </c>
      <c r="O2273" s="4" t="s">
        <v>63</v>
      </c>
      <c r="P2273" s="4"/>
      <c r="Q2273" s="4" t="s">
        <v>63</v>
      </c>
      <c r="R2273" s="4" t="s">
        <v>63</v>
      </c>
      <c r="S2273" s="4" t="s">
        <v>63</v>
      </c>
      <c r="T2273" s="4" t="s">
        <v>63</v>
      </c>
      <c r="U2273" s="4"/>
      <c r="V2273" s="4"/>
      <c r="W2273" s="4"/>
      <c r="X2273" s="4" t="s">
        <v>63</v>
      </c>
      <c r="Y2273" s="4" t="s">
        <v>141</v>
      </c>
      <c r="Z2273" s="4" t="s">
        <v>63</v>
      </c>
      <c r="AA2273" s="4" t="s">
        <v>63</v>
      </c>
      <c r="AB2273" s="4" t="s">
        <v>19284</v>
      </c>
      <c r="AC2273" s="4" t="s">
        <v>67</v>
      </c>
      <c r="AD2273" s="4" t="s">
        <v>63</v>
      </c>
      <c r="AE2273" s="4" t="s">
        <v>63</v>
      </c>
      <c r="AF2273" s="4" t="s">
        <v>63</v>
      </c>
      <c r="AG2273" s="4" t="s">
        <v>63</v>
      </c>
      <c r="AH2273" s="4" t="s">
        <v>63</v>
      </c>
      <c r="AI2273" s="4" t="s">
        <v>63</v>
      </c>
      <c r="AJ2273" s="4" t="s">
        <v>63</v>
      </c>
      <c r="AK2273" s="4" t="s">
        <v>63</v>
      </c>
      <c r="AL2273" s="4" t="s">
        <v>63</v>
      </c>
      <c r="AM2273" s="4" t="s">
        <v>19280</v>
      </c>
      <c r="AN2273" s="4" t="s">
        <v>63</v>
      </c>
      <c r="AO2273" s="4" t="s">
        <v>63</v>
      </c>
      <c r="AP2273" s="4" t="s">
        <v>63</v>
      </c>
      <c r="AQ2273" s="4" t="s">
        <v>63</v>
      </c>
      <c r="AR2273" s="4" t="s">
        <v>63</v>
      </c>
      <c r="AS2273" s="4" t="s">
        <v>63</v>
      </c>
      <c r="AT2273" s="4" t="s">
        <v>63</v>
      </c>
      <c r="AU2273" s="4" t="s">
        <v>63</v>
      </c>
      <c r="AV2273" s="4" t="s">
        <v>63</v>
      </c>
      <c r="AW2273" s="4" t="s">
        <v>63</v>
      </c>
      <c r="AX2273" s="4" t="s">
        <v>63</v>
      </c>
      <c r="AY2273" s="4" t="s">
        <v>63</v>
      </c>
      <c r="AZ2273" s="4" t="s">
        <v>63</v>
      </c>
      <c r="BA2273" s="4" t="s">
        <v>63</v>
      </c>
      <c r="BB2273" s="4" t="s">
        <v>63</v>
      </c>
      <c r="BC2273" s="4" t="s">
        <v>63</v>
      </c>
      <c r="BD2273" s="4" t="s">
        <v>63</v>
      </c>
      <c r="BE2273" s="4" t="s">
        <v>63</v>
      </c>
      <c r="BF2273" s="4" t="s">
        <v>63</v>
      </c>
    </row>
    <row r="2274" spans="1:58">
      <c r="A2274" s="4" t="s">
        <v>58</v>
      </c>
      <c r="B2274" s="4" t="s">
        <v>19285</v>
      </c>
      <c r="C2274" s="4" t="s">
        <v>19286</v>
      </c>
      <c r="D2274" s="4" t="s">
        <v>18322</v>
      </c>
      <c r="E2274" s="4" t="s">
        <v>18323</v>
      </c>
      <c r="F2274" s="4">
        <v>1987</v>
      </c>
      <c r="G2274" s="4" t="s">
        <v>63</v>
      </c>
      <c r="H2274" s="4">
        <v>60</v>
      </c>
      <c r="I2274" s="4">
        <v>1</v>
      </c>
      <c r="J2274" s="4">
        <v>9</v>
      </c>
      <c r="K2274" s="4">
        <v>18</v>
      </c>
      <c r="L2274" s="4" t="s">
        <v>19287</v>
      </c>
      <c r="M2274" s="4" t="s">
        <v>63</v>
      </c>
      <c r="N2274" s="4" t="s">
        <v>19288</v>
      </c>
      <c r="O2274" s="4" t="s">
        <v>63</v>
      </c>
      <c r="P2274" s="4"/>
      <c r="Q2274" s="4" t="s">
        <v>63</v>
      </c>
      <c r="R2274" s="4" t="s">
        <v>63</v>
      </c>
      <c r="S2274" s="4" t="s">
        <v>63</v>
      </c>
      <c r="T2274" s="4" t="s">
        <v>63</v>
      </c>
      <c r="U2274" s="4"/>
      <c r="V2274" s="4"/>
      <c r="W2274" s="4"/>
      <c r="X2274" s="4" t="s">
        <v>63</v>
      </c>
      <c r="Y2274" s="4" t="s">
        <v>18326</v>
      </c>
      <c r="Z2274" s="4" t="s">
        <v>63</v>
      </c>
      <c r="AA2274" s="4" t="s">
        <v>63</v>
      </c>
      <c r="AB2274" s="4">
        <v>1987081720</v>
      </c>
      <c r="AC2274" s="4" t="s">
        <v>67</v>
      </c>
      <c r="AD2274" s="4" t="s">
        <v>63</v>
      </c>
      <c r="AE2274" s="4" t="s">
        <v>63</v>
      </c>
      <c r="AF2274" s="4" t="s">
        <v>63</v>
      </c>
      <c r="AG2274" s="4" t="s">
        <v>19289</v>
      </c>
      <c r="AH2274" s="4" t="s">
        <v>63</v>
      </c>
      <c r="AI2274" s="4" t="s">
        <v>63</v>
      </c>
      <c r="AJ2274" s="4" t="s">
        <v>63</v>
      </c>
      <c r="AK2274" s="4" t="s">
        <v>63</v>
      </c>
      <c r="AL2274" s="4" t="s">
        <v>63</v>
      </c>
      <c r="AM2274" s="4" t="s">
        <v>19290</v>
      </c>
      <c r="AN2274" s="4" t="s">
        <v>63</v>
      </c>
      <c r="AO2274" s="4" t="s">
        <v>63</v>
      </c>
      <c r="AP2274" s="4" t="s">
        <v>63</v>
      </c>
      <c r="AQ2274" s="4" t="s">
        <v>63</v>
      </c>
      <c r="AR2274" s="4" t="s">
        <v>63</v>
      </c>
      <c r="AS2274" s="4" t="s">
        <v>63</v>
      </c>
      <c r="AT2274" s="4" t="s">
        <v>63</v>
      </c>
      <c r="AU2274" s="4" t="s">
        <v>63</v>
      </c>
      <c r="AV2274" s="4" t="s">
        <v>63</v>
      </c>
      <c r="AW2274" s="4" t="s">
        <v>63</v>
      </c>
      <c r="AX2274" s="4" t="s">
        <v>63</v>
      </c>
      <c r="AY2274" s="4" t="s">
        <v>63</v>
      </c>
      <c r="AZ2274" s="4" t="s">
        <v>63</v>
      </c>
      <c r="BA2274" s="4" t="s">
        <v>63</v>
      </c>
      <c r="BB2274" s="4" t="s">
        <v>63</v>
      </c>
      <c r="BC2274" s="4" t="s">
        <v>63</v>
      </c>
      <c r="BD2274" s="4" t="s">
        <v>63</v>
      </c>
      <c r="BE2274" s="4" t="s">
        <v>63</v>
      </c>
      <c r="BF2274" s="4" t="s">
        <v>63</v>
      </c>
    </row>
    <row r="2275" spans="1:58">
      <c r="A2275" s="4" t="s">
        <v>58</v>
      </c>
      <c r="B2275" s="4" t="s">
        <v>19291</v>
      </c>
      <c r="C2275" s="4" t="s">
        <v>19292</v>
      </c>
      <c r="D2275" s="4" t="s">
        <v>19293</v>
      </c>
      <c r="E2275" s="4" t="s">
        <v>63</v>
      </c>
      <c r="F2275" s="4">
        <v>2018</v>
      </c>
      <c r="G2275" s="4" t="s">
        <v>63</v>
      </c>
      <c r="H2275" s="4">
        <v>40</v>
      </c>
      <c r="I2275" s="4">
        <v>1</v>
      </c>
      <c r="J2275" s="4">
        <v>313</v>
      </c>
      <c r="K2275" s="4" t="s">
        <v>63</v>
      </c>
      <c r="L2275" s="4" t="s">
        <v>19294</v>
      </c>
      <c r="M2275" s="4" t="s">
        <v>19295</v>
      </c>
      <c r="N2275" s="4" t="s">
        <v>19296</v>
      </c>
      <c r="O2275" s="4" t="s">
        <v>63</v>
      </c>
      <c r="P2275" s="4"/>
      <c r="Q2275" s="4" t="s">
        <v>63</v>
      </c>
      <c r="R2275" s="4" t="s">
        <v>63</v>
      </c>
      <c r="S2275" s="4" t="s">
        <v>63</v>
      </c>
      <c r="T2275" s="4" t="s">
        <v>63</v>
      </c>
      <c r="U2275" s="4"/>
      <c r="V2275" s="4"/>
      <c r="W2275" s="4"/>
      <c r="X2275" s="4" t="s">
        <v>63</v>
      </c>
      <c r="Y2275" s="4" t="s">
        <v>19297</v>
      </c>
      <c r="Z2275" s="4" t="s">
        <v>63</v>
      </c>
      <c r="AA2275" s="4" t="s">
        <v>63</v>
      </c>
      <c r="AB2275" s="4" t="s">
        <v>63</v>
      </c>
      <c r="AC2275" s="4" t="s">
        <v>67</v>
      </c>
      <c r="AD2275" s="4" t="s">
        <v>63</v>
      </c>
      <c r="AE2275" s="4" t="s">
        <v>63</v>
      </c>
      <c r="AF2275" s="4" t="s">
        <v>63</v>
      </c>
      <c r="AG2275" s="4" t="s">
        <v>63</v>
      </c>
      <c r="AH2275" s="4" t="s">
        <v>63</v>
      </c>
      <c r="AI2275" s="4" t="s">
        <v>19298</v>
      </c>
      <c r="AJ2275" s="4" t="s">
        <v>63</v>
      </c>
      <c r="AK2275" s="4" t="s">
        <v>63</v>
      </c>
      <c r="AL2275" s="4" t="s">
        <v>63</v>
      </c>
      <c r="AM2275" s="4" t="s">
        <v>19292</v>
      </c>
      <c r="AN2275" s="4" t="s">
        <v>63</v>
      </c>
      <c r="AO2275" s="4" t="s">
        <v>63</v>
      </c>
      <c r="AP2275" s="4" t="s">
        <v>63</v>
      </c>
      <c r="AQ2275" s="4" t="s">
        <v>63</v>
      </c>
      <c r="AR2275" s="4" t="s">
        <v>63</v>
      </c>
      <c r="AS2275" s="4" t="s">
        <v>63</v>
      </c>
      <c r="AT2275" s="4" t="s">
        <v>63</v>
      </c>
      <c r="AU2275" s="4" t="s">
        <v>63</v>
      </c>
      <c r="AV2275" s="4" t="s">
        <v>63</v>
      </c>
      <c r="AW2275" s="4" t="s">
        <v>63</v>
      </c>
      <c r="AX2275" s="4" t="s">
        <v>63</v>
      </c>
      <c r="AY2275" s="4" t="s">
        <v>63</v>
      </c>
      <c r="AZ2275" s="4" t="s">
        <v>63</v>
      </c>
      <c r="BA2275" s="4" t="s">
        <v>63</v>
      </c>
      <c r="BB2275" s="4" t="s">
        <v>63</v>
      </c>
      <c r="BC2275" s="4" t="s">
        <v>63</v>
      </c>
      <c r="BD2275" s="4" t="s">
        <v>63</v>
      </c>
      <c r="BE2275" s="4" t="s">
        <v>63</v>
      </c>
      <c r="BF2275" s="4" t="s">
        <v>63</v>
      </c>
    </row>
    <row r="2276" spans="1:58">
      <c r="A2276" s="4" t="s">
        <v>58</v>
      </c>
      <c r="B2276" s="4" t="s">
        <v>19299</v>
      </c>
      <c r="C2276" s="4" t="s">
        <v>19300</v>
      </c>
      <c r="D2276" s="4" t="s">
        <v>19301</v>
      </c>
      <c r="E2276" s="4" t="s">
        <v>19302</v>
      </c>
      <c r="F2276" s="4">
        <v>1993</v>
      </c>
      <c r="G2276" s="4" t="s">
        <v>63</v>
      </c>
      <c r="H2276" s="4">
        <v>20</v>
      </c>
      <c r="I2276" s="4">
        <v>1</v>
      </c>
      <c r="J2276" s="4">
        <v>17</v>
      </c>
      <c r="K2276" s="4">
        <v>25</v>
      </c>
      <c r="L2276" s="4" t="s">
        <v>19303</v>
      </c>
      <c r="M2276" s="4" t="s">
        <v>19304</v>
      </c>
      <c r="N2276" s="4" t="s">
        <v>19305</v>
      </c>
      <c r="O2276" s="4" t="s">
        <v>63</v>
      </c>
      <c r="P2276" s="4"/>
      <c r="Q2276" s="4" t="s">
        <v>63</v>
      </c>
      <c r="R2276" s="4" t="s">
        <v>63</v>
      </c>
      <c r="S2276" s="4" t="s">
        <v>63</v>
      </c>
      <c r="T2276" s="4" t="s">
        <v>63</v>
      </c>
      <c r="U2276" s="4"/>
      <c r="V2276" s="4"/>
      <c r="W2276" s="4"/>
      <c r="X2276" s="4" t="s">
        <v>63</v>
      </c>
      <c r="Y2276" s="4" t="s">
        <v>13799</v>
      </c>
      <c r="Z2276" s="4" t="s">
        <v>63</v>
      </c>
      <c r="AA2276" s="4" t="s">
        <v>63</v>
      </c>
      <c r="AB2276" s="4">
        <v>1993051739</v>
      </c>
      <c r="AC2276" s="4" t="s">
        <v>67</v>
      </c>
      <c r="AD2276" s="4" t="s">
        <v>63</v>
      </c>
      <c r="AE2276" s="4" t="s">
        <v>63</v>
      </c>
      <c r="AF2276" s="4" t="s">
        <v>63</v>
      </c>
      <c r="AG2276" s="4" t="s">
        <v>19306</v>
      </c>
      <c r="AH2276" s="4" t="s">
        <v>63</v>
      </c>
      <c r="AI2276" s="4" t="s">
        <v>19307</v>
      </c>
      <c r="AJ2276" s="4" t="s">
        <v>63</v>
      </c>
      <c r="AK2276" s="4" t="s">
        <v>63</v>
      </c>
      <c r="AL2276" s="4" t="s">
        <v>63</v>
      </c>
      <c r="AM2276" s="4" t="s">
        <v>19308</v>
      </c>
      <c r="AN2276" s="4" t="s">
        <v>63</v>
      </c>
      <c r="AO2276" s="4" t="s">
        <v>63</v>
      </c>
      <c r="AP2276" s="4" t="s">
        <v>63</v>
      </c>
      <c r="AQ2276" s="4" t="s">
        <v>63</v>
      </c>
      <c r="AR2276" s="4" t="s">
        <v>63</v>
      </c>
      <c r="AS2276" s="4" t="s">
        <v>63</v>
      </c>
      <c r="AT2276" s="4" t="s">
        <v>63</v>
      </c>
      <c r="AU2276" s="4" t="s">
        <v>63</v>
      </c>
      <c r="AV2276" s="4" t="s">
        <v>63</v>
      </c>
      <c r="AW2276" s="4" t="s">
        <v>63</v>
      </c>
      <c r="AX2276" s="4" t="s">
        <v>63</v>
      </c>
      <c r="AY2276" s="4" t="s">
        <v>63</v>
      </c>
      <c r="AZ2276" s="4" t="s">
        <v>63</v>
      </c>
      <c r="BA2276" s="4" t="s">
        <v>63</v>
      </c>
      <c r="BB2276" s="4" t="s">
        <v>63</v>
      </c>
      <c r="BC2276" s="4" t="s">
        <v>63</v>
      </c>
      <c r="BD2276" s="4" t="s">
        <v>63</v>
      </c>
      <c r="BE2276" s="4" t="s">
        <v>63</v>
      </c>
      <c r="BF2276" s="4" t="s">
        <v>63</v>
      </c>
    </row>
    <row r="2277" spans="1:58">
      <c r="A2277" s="4" t="s">
        <v>58</v>
      </c>
      <c r="B2277" s="4" t="s">
        <v>19309</v>
      </c>
      <c r="C2277" s="4" t="s">
        <v>19310</v>
      </c>
      <c r="D2277" s="4" t="s">
        <v>19311</v>
      </c>
      <c r="E2277" s="4" t="s">
        <v>63</v>
      </c>
      <c r="F2277" s="4">
        <v>2011</v>
      </c>
      <c r="G2277" s="4" t="s">
        <v>63</v>
      </c>
      <c r="H2277" s="4" t="s">
        <v>19312</v>
      </c>
      <c r="I2277" s="4" t="s">
        <v>63</v>
      </c>
      <c r="J2277" s="4">
        <v>63</v>
      </c>
      <c r="K2277" s="4" t="s">
        <v>63</v>
      </c>
      <c r="L2277" s="4" t="s">
        <v>19313</v>
      </c>
      <c r="M2277" s="4" t="s">
        <v>19314</v>
      </c>
      <c r="N2277" s="4" t="s">
        <v>19315</v>
      </c>
      <c r="O2277" s="4" t="s">
        <v>63</v>
      </c>
      <c r="P2277" s="4"/>
      <c r="Q2277" s="4" t="s">
        <v>63</v>
      </c>
      <c r="R2277" s="4" t="s">
        <v>63</v>
      </c>
      <c r="S2277" s="4" t="s">
        <v>63</v>
      </c>
      <c r="T2277" s="4" t="s">
        <v>63</v>
      </c>
      <c r="U2277" s="4"/>
      <c r="V2277" s="4"/>
      <c r="W2277" s="4"/>
      <c r="X2277" s="4" t="s">
        <v>63</v>
      </c>
      <c r="Y2277" s="4" t="s">
        <v>19316</v>
      </c>
      <c r="Z2277" s="4" t="s">
        <v>63</v>
      </c>
      <c r="AA2277" s="4" t="s">
        <v>63</v>
      </c>
      <c r="AB2277" s="4" t="s">
        <v>63</v>
      </c>
      <c r="AC2277" s="4" t="s">
        <v>67</v>
      </c>
      <c r="AD2277" s="4" t="s">
        <v>63</v>
      </c>
      <c r="AE2277" s="4" t="s">
        <v>63</v>
      </c>
      <c r="AF2277" s="4" t="s">
        <v>63</v>
      </c>
      <c r="AG2277" s="4" t="s">
        <v>63</v>
      </c>
      <c r="AH2277" s="4" t="s">
        <v>63</v>
      </c>
      <c r="AI2277" s="4" t="s">
        <v>63</v>
      </c>
      <c r="AJ2277" s="4" t="s">
        <v>63</v>
      </c>
      <c r="AK2277" s="4" t="s">
        <v>63</v>
      </c>
      <c r="AL2277" s="4" t="s">
        <v>63</v>
      </c>
      <c r="AM2277" s="4" t="s">
        <v>19310</v>
      </c>
      <c r="AN2277" s="4" t="s">
        <v>63</v>
      </c>
      <c r="AO2277" s="4" t="s">
        <v>63</v>
      </c>
      <c r="AP2277" s="4" t="s">
        <v>63</v>
      </c>
      <c r="AQ2277" s="4" t="s">
        <v>63</v>
      </c>
      <c r="AR2277" s="4" t="s">
        <v>63</v>
      </c>
      <c r="AS2277" s="4" t="s">
        <v>63</v>
      </c>
      <c r="AT2277" s="4" t="s">
        <v>63</v>
      </c>
      <c r="AU2277" s="4" t="s">
        <v>63</v>
      </c>
      <c r="AV2277" s="4" t="s">
        <v>63</v>
      </c>
      <c r="AW2277" s="4" t="s">
        <v>63</v>
      </c>
      <c r="AX2277" s="4" t="s">
        <v>63</v>
      </c>
      <c r="AY2277" s="4" t="s">
        <v>63</v>
      </c>
      <c r="AZ2277" s="4" t="s">
        <v>63</v>
      </c>
      <c r="BA2277" s="4" t="s">
        <v>63</v>
      </c>
      <c r="BB2277" s="4" t="s">
        <v>63</v>
      </c>
      <c r="BC2277" s="4" t="s">
        <v>63</v>
      </c>
      <c r="BD2277" s="4" t="s">
        <v>63</v>
      </c>
      <c r="BE2277" s="4" t="s">
        <v>63</v>
      </c>
      <c r="BF2277" s="4" t="s">
        <v>63</v>
      </c>
    </row>
    <row r="2278" spans="1:58">
      <c r="A2278" s="4" t="s">
        <v>58</v>
      </c>
      <c r="B2278" s="4" t="s">
        <v>19317</v>
      </c>
      <c r="C2278" s="4" t="s">
        <v>19318</v>
      </c>
      <c r="D2278" s="4" t="s">
        <v>7598</v>
      </c>
      <c r="E2278" s="4" t="s">
        <v>7599</v>
      </c>
      <c r="F2278" s="4">
        <v>2015</v>
      </c>
      <c r="G2278" s="4" t="s">
        <v>15358</v>
      </c>
      <c r="H2278" s="4" t="s">
        <v>19319</v>
      </c>
      <c r="I2278" s="4" t="s">
        <v>63</v>
      </c>
      <c r="J2278" s="4" t="s">
        <v>16839</v>
      </c>
      <c r="K2278" s="4" t="s">
        <v>63</v>
      </c>
      <c r="L2278" s="4" t="s">
        <v>19320</v>
      </c>
      <c r="M2278" s="4" t="s">
        <v>19321</v>
      </c>
      <c r="N2278" s="4" t="s">
        <v>19322</v>
      </c>
      <c r="O2278" s="4" t="s">
        <v>63</v>
      </c>
      <c r="P2278" s="4"/>
      <c r="Q2278" s="4" t="s">
        <v>63</v>
      </c>
      <c r="R2278" s="4" t="s">
        <v>63</v>
      </c>
      <c r="S2278" s="4" t="s">
        <v>63</v>
      </c>
      <c r="T2278" s="4" t="s">
        <v>63</v>
      </c>
      <c r="U2278" s="4"/>
      <c r="V2278" s="4"/>
      <c r="W2278" s="4"/>
      <c r="X2278" s="4" t="s">
        <v>63</v>
      </c>
      <c r="Y2278" s="5">
        <v>24138</v>
      </c>
      <c r="Z2278" s="4" t="s">
        <v>63</v>
      </c>
      <c r="AA2278" s="4" t="s">
        <v>63</v>
      </c>
      <c r="AB2278" s="4" t="s">
        <v>63</v>
      </c>
      <c r="AC2278" s="4" t="s">
        <v>67</v>
      </c>
      <c r="AD2278" s="4" t="s">
        <v>63</v>
      </c>
      <c r="AE2278" s="4" t="s">
        <v>63</v>
      </c>
      <c r="AF2278" s="4" t="s">
        <v>63</v>
      </c>
      <c r="AG2278" s="4" t="s">
        <v>63</v>
      </c>
      <c r="AH2278" s="4" t="s">
        <v>63</v>
      </c>
      <c r="AI2278" s="4" t="s">
        <v>19323</v>
      </c>
      <c r="AJ2278" s="4" t="s">
        <v>63</v>
      </c>
      <c r="AK2278" s="4" t="s">
        <v>63</v>
      </c>
      <c r="AL2278" s="4" t="s">
        <v>63</v>
      </c>
      <c r="AM2278" s="4" t="s">
        <v>19318</v>
      </c>
      <c r="AN2278" s="4" t="s">
        <v>63</v>
      </c>
      <c r="AO2278" s="4" t="s">
        <v>63</v>
      </c>
      <c r="AP2278" s="4" t="s">
        <v>63</v>
      </c>
      <c r="AQ2278" s="4" t="s">
        <v>63</v>
      </c>
      <c r="AR2278" s="4" t="s">
        <v>63</v>
      </c>
      <c r="AS2278" s="4" t="s">
        <v>63</v>
      </c>
      <c r="AT2278" s="4" t="s">
        <v>63</v>
      </c>
      <c r="AU2278" s="4" t="s">
        <v>63</v>
      </c>
      <c r="AV2278" s="4" t="s">
        <v>63</v>
      </c>
      <c r="AW2278" s="4" t="s">
        <v>63</v>
      </c>
      <c r="AX2278" s="4" t="s">
        <v>63</v>
      </c>
      <c r="AY2278" s="4" t="s">
        <v>63</v>
      </c>
      <c r="AZ2278" s="4" t="s">
        <v>63</v>
      </c>
      <c r="BA2278" s="4" t="s">
        <v>63</v>
      </c>
      <c r="BB2278" s="4" t="s">
        <v>63</v>
      </c>
      <c r="BC2278" s="4" t="s">
        <v>63</v>
      </c>
      <c r="BD2278" s="4" t="s">
        <v>63</v>
      </c>
      <c r="BE2278" s="4" t="s">
        <v>63</v>
      </c>
      <c r="BF2278" s="4" t="s">
        <v>63</v>
      </c>
    </row>
    <row r="2279" spans="1:58">
      <c r="A2279" s="4" t="s">
        <v>58</v>
      </c>
      <c r="B2279" s="4" t="s">
        <v>19324</v>
      </c>
      <c r="C2279" s="4" t="s">
        <v>19325</v>
      </c>
      <c r="D2279" s="4" t="s">
        <v>17965</v>
      </c>
      <c r="E2279" s="4" t="s">
        <v>17966</v>
      </c>
      <c r="F2279" s="4">
        <v>2014</v>
      </c>
      <c r="G2279" s="4" t="s">
        <v>15155</v>
      </c>
      <c r="H2279" s="4">
        <v>28</v>
      </c>
      <c r="I2279" s="4">
        <v>6</v>
      </c>
      <c r="J2279" s="4">
        <v>835</v>
      </c>
      <c r="K2279" s="4">
        <v>836</v>
      </c>
      <c r="L2279" s="4" t="s">
        <v>19326</v>
      </c>
      <c r="M2279" s="4" t="s">
        <v>19327</v>
      </c>
      <c r="N2279" s="4" t="s">
        <v>19328</v>
      </c>
      <c r="O2279" s="4" t="s">
        <v>63</v>
      </c>
      <c r="P2279" s="4"/>
      <c r="Q2279" s="4" t="s">
        <v>63</v>
      </c>
      <c r="R2279" s="4" t="s">
        <v>63</v>
      </c>
      <c r="S2279" s="4" t="s">
        <v>63</v>
      </c>
      <c r="T2279" s="4" t="s">
        <v>63</v>
      </c>
      <c r="U2279" s="4"/>
      <c r="V2279" s="4"/>
      <c r="W2279" s="4"/>
      <c r="X2279" s="4" t="s">
        <v>63</v>
      </c>
      <c r="Y2279" s="4" t="s">
        <v>17971</v>
      </c>
      <c r="Z2279" s="4" t="s">
        <v>63</v>
      </c>
      <c r="AA2279" s="4" t="s">
        <v>63</v>
      </c>
      <c r="AB2279" s="4" t="s">
        <v>63</v>
      </c>
      <c r="AC2279" s="4" t="s">
        <v>67</v>
      </c>
      <c r="AD2279" s="4" t="s">
        <v>63</v>
      </c>
      <c r="AE2279" s="4" t="s">
        <v>63</v>
      </c>
      <c r="AF2279" s="4" t="s">
        <v>63</v>
      </c>
      <c r="AG2279" s="4" t="s">
        <v>63</v>
      </c>
      <c r="AH2279" s="4" t="s">
        <v>63</v>
      </c>
      <c r="AI2279" s="4" t="s">
        <v>19329</v>
      </c>
      <c r="AJ2279" s="4" t="s">
        <v>63</v>
      </c>
      <c r="AK2279" s="4" t="s">
        <v>63</v>
      </c>
      <c r="AL2279" s="4" t="s">
        <v>63</v>
      </c>
      <c r="AM2279" s="4" t="s">
        <v>19325</v>
      </c>
      <c r="AN2279" s="4" t="s">
        <v>63</v>
      </c>
      <c r="AO2279" s="4" t="s">
        <v>63</v>
      </c>
      <c r="AP2279" s="4" t="s">
        <v>63</v>
      </c>
      <c r="AQ2279" s="4" t="s">
        <v>63</v>
      </c>
      <c r="AR2279" s="4" t="s">
        <v>63</v>
      </c>
      <c r="AS2279" s="4" t="s">
        <v>63</v>
      </c>
      <c r="AT2279" s="4" t="s">
        <v>63</v>
      </c>
      <c r="AU2279" s="4" t="s">
        <v>63</v>
      </c>
      <c r="AV2279" s="4" t="s">
        <v>63</v>
      </c>
      <c r="AW2279" s="4" t="s">
        <v>63</v>
      </c>
      <c r="AX2279" s="4" t="s">
        <v>63</v>
      </c>
      <c r="AY2279" s="4" t="s">
        <v>63</v>
      </c>
      <c r="AZ2279" s="4" t="s">
        <v>63</v>
      </c>
      <c r="BA2279" s="4" t="s">
        <v>63</v>
      </c>
      <c r="BB2279" s="4" t="s">
        <v>63</v>
      </c>
      <c r="BC2279" s="4" t="s">
        <v>63</v>
      </c>
      <c r="BD2279" s="4" t="s">
        <v>63</v>
      </c>
      <c r="BE2279" s="4" t="s">
        <v>63</v>
      </c>
      <c r="BF2279" s="4" t="s">
        <v>63</v>
      </c>
    </row>
    <row r="2280" spans="1:58">
      <c r="A2280" s="4" t="s">
        <v>58</v>
      </c>
      <c r="B2280" s="4" t="s">
        <v>19330</v>
      </c>
      <c r="C2280" s="4" t="s">
        <v>19331</v>
      </c>
      <c r="D2280" s="4" t="s">
        <v>17965</v>
      </c>
      <c r="E2280" s="4" t="s">
        <v>17966</v>
      </c>
      <c r="F2280" s="4">
        <v>2014</v>
      </c>
      <c r="G2280" s="4" t="s">
        <v>15155</v>
      </c>
      <c r="H2280" s="4">
        <v>28</v>
      </c>
      <c r="I2280" s="4">
        <v>6</v>
      </c>
      <c r="J2280" s="4">
        <v>734</v>
      </c>
      <c r="K2280" s="4">
        <v>735</v>
      </c>
      <c r="L2280" s="4" t="s">
        <v>19332</v>
      </c>
      <c r="M2280" s="4" t="s">
        <v>19333</v>
      </c>
      <c r="N2280" s="4" t="s">
        <v>19334</v>
      </c>
      <c r="O2280" s="4" t="s">
        <v>63</v>
      </c>
      <c r="P2280" s="4"/>
      <c r="Q2280" s="4" t="s">
        <v>63</v>
      </c>
      <c r="R2280" s="4" t="s">
        <v>63</v>
      </c>
      <c r="S2280" s="4" t="s">
        <v>63</v>
      </c>
      <c r="T2280" s="4" t="s">
        <v>63</v>
      </c>
      <c r="U2280" s="4"/>
      <c r="V2280" s="4"/>
      <c r="W2280" s="4"/>
      <c r="X2280" s="4" t="s">
        <v>63</v>
      </c>
      <c r="Y2280" s="4" t="s">
        <v>17971</v>
      </c>
      <c r="Z2280" s="4" t="s">
        <v>63</v>
      </c>
      <c r="AA2280" s="4" t="s">
        <v>63</v>
      </c>
      <c r="AB2280" s="4" t="s">
        <v>63</v>
      </c>
      <c r="AC2280" s="4" t="s">
        <v>67</v>
      </c>
      <c r="AD2280" s="4" t="s">
        <v>63</v>
      </c>
      <c r="AE2280" s="4" t="s">
        <v>63</v>
      </c>
      <c r="AF2280" s="4" t="s">
        <v>63</v>
      </c>
      <c r="AG2280" s="4" t="s">
        <v>63</v>
      </c>
      <c r="AH2280" s="4" t="s">
        <v>63</v>
      </c>
      <c r="AI2280" s="4" t="s">
        <v>19329</v>
      </c>
      <c r="AJ2280" s="4" t="s">
        <v>63</v>
      </c>
      <c r="AK2280" s="4" t="s">
        <v>63</v>
      </c>
      <c r="AL2280" s="4" t="s">
        <v>63</v>
      </c>
      <c r="AM2280" s="4" t="s">
        <v>19331</v>
      </c>
      <c r="AN2280" s="4" t="s">
        <v>63</v>
      </c>
      <c r="AO2280" s="4" t="s">
        <v>63</v>
      </c>
      <c r="AP2280" s="4" t="s">
        <v>63</v>
      </c>
      <c r="AQ2280" s="4" t="s">
        <v>63</v>
      </c>
      <c r="AR2280" s="4" t="s">
        <v>63</v>
      </c>
      <c r="AS2280" s="4" t="s">
        <v>63</v>
      </c>
      <c r="AT2280" s="4" t="s">
        <v>63</v>
      </c>
      <c r="AU2280" s="4" t="s">
        <v>63</v>
      </c>
      <c r="AV2280" s="4" t="s">
        <v>63</v>
      </c>
      <c r="AW2280" s="4" t="s">
        <v>63</v>
      </c>
      <c r="AX2280" s="4" t="s">
        <v>63</v>
      </c>
      <c r="AY2280" s="4" t="s">
        <v>63</v>
      </c>
      <c r="AZ2280" s="4" t="s">
        <v>63</v>
      </c>
      <c r="BA2280" s="4" t="s">
        <v>63</v>
      </c>
      <c r="BB2280" s="4" t="s">
        <v>63</v>
      </c>
      <c r="BC2280" s="4" t="s">
        <v>63</v>
      </c>
      <c r="BD2280" s="4" t="s">
        <v>63</v>
      </c>
      <c r="BE2280" s="4" t="s">
        <v>63</v>
      </c>
      <c r="BF2280" s="4" t="s">
        <v>63</v>
      </c>
    </row>
    <row r="2281" spans="1:58">
      <c r="A2281" s="4" t="s">
        <v>58</v>
      </c>
      <c r="B2281" s="4" t="s">
        <v>19335</v>
      </c>
      <c r="C2281" s="4" t="s">
        <v>19336</v>
      </c>
      <c r="D2281" s="4" t="s">
        <v>1469</v>
      </c>
      <c r="E2281" s="4" t="s">
        <v>1470</v>
      </c>
      <c r="F2281" s="4">
        <v>2016</v>
      </c>
      <c r="G2281" s="4" t="s">
        <v>189</v>
      </c>
      <c r="H2281" s="4" t="s">
        <v>16988</v>
      </c>
      <c r="I2281" s="4" t="s">
        <v>63</v>
      </c>
      <c r="J2281" s="4" t="s">
        <v>19337</v>
      </c>
      <c r="K2281" s="4" t="s">
        <v>63</v>
      </c>
      <c r="L2281" s="4" t="s">
        <v>19338</v>
      </c>
      <c r="M2281" s="4" t="s">
        <v>19339</v>
      </c>
      <c r="N2281" s="4" t="s">
        <v>19340</v>
      </c>
      <c r="O2281" s="4" t="s">
        <v>63</v>
      </c>
      <c r="P2281" s="4"/>
      <c r="Q2281" s="4" t="s">
        <v>63</v>
      </c>
      <c r="R2281" s="4" t="s">
        <v>63</v>
      </c>
      <c r="S2281" s="4" t="s">
        <v>63</v>
      </c>
      <c r="T2281" s="4" t="s">
        <v>63</v>
      </c>
      <c r="U2281" s="4"/>
      <c r="V2281" s="4"/>
      <c r="W2281" s="4"/>
      <c r="X2281" s="4" t="s">
        <v>63</v>
      </c>
      <c r="Y2281" s="4" t="s">
        <v>1474</v>
      </c>
      <c r="Z2281" s="4" t="s">
        <v>63</v>
      </c>
      <c r="AA2281" s="4" t="s">
        <v>63</v>
      </c>
      <c r="AB2281" s="4" t="s">
        <v>63</v>
      </c>
      <c r="AC2281" s="4" t="s">
        <v>67</v>
      </c>
      <c r="AD2281" s="4" t="s">
        <v>63</v>
      </c>
      <c r="AE2281" s="4" t="s">
        <v>63</v>
      </c>
      <c r="AF2281" s="4" t="s">
        <v>63</v>
      </c>
      <c r="AG2281" s="4" t="s">
        <v>63</v>
      </c>
      <c r="AH2281" s="4" t="s">
        <v>63</v>
      </c>
      <c r="AI2281" s="4" t="s">
        <v>19341</v>
      </c>
      <c r="AJ2281" s="4" t="s">
        <v>63</v>
      </c>
      <c r="AK2281" s="4" t="s">
        <v>63</v>
      </c>
      <c r="AL2281" s="4" t="s">
        <v>63</v>
      </c>
      <c r="AM2281" s="4" t="s">
        <v>19336</v>
      </c>
      <c r="AN2281" s="4" t="s">
        <v>63</v>
      </c>
      <c r="AO2281" s="4" t="s">
        <v>63</v>
      </c>
      <c r="AP2281" s="4" t="s">
        <v>63</v>
      </c>
      <c r="AQ2281" s="4" t="s">
        <v>63</v>
      </c>
      <c r="AR2281" s="4" t="s">
        <v>63</v>
      </c>
      <c r="AS2281" s="4" t="s">
        <v>63</v>
      </c>
      <c r="AT2281" s="4" t="s">
        <v>63</v>
      </c>
      <c r="AU2281" s="4" t="s">
        <v>63</v>
      </c>
      <c r="AV2281" s="4" t="s">
        <v>63</v>
      </c>
      <c r="AW2281" s="4" t="s">
        <v>63</v>
      </c>
      <c r="AX2281" s="4" t="s">
        <v>63</v>
      </c>
      <c r="AY2281" s="4" t="s">
        <v>63</v>
      </c>
      <c r="AZ2281" s="4" t="s">
        <v>63</v>
      </c>
      <c r="BA2281" s="4" t="s">
        <v>63</v>
      </c>
      <c r="BB2281" s="4" t="s">
        <v>63</v>
      </c>
      <c r="BC2281" s="4" t="s">
        <v>63</v>
      </c>
      <c r="BD2281" s="4" t="s">
        <v>63</v>
      </c>
      <c r="BE2281" s="4" t="s">
        <v>63</v>
      </c>
      <c r="BF2281" s="4" t="s">
        <v>63</v>
      </c>
    </row>
    <row r="2282" spans="1:58">
      <c r="A2282" s="4" t="s">
        <v>58</v>
      </c>
      <c r="B2282" s="4" t="s">
        <v>19342</v>
      </c>
      <c r="C2282" s="4" t="s">
        <v>19343</v>
      </c>
      <c r="D2282" s="4" t="s">
        <v>19344</v>
      </c>
      <c r="E2282" s="4" t="s">
        <v>63</v>
      </c>
      <c r="F2282" s="4">
        <v>2011</v>
      </c>
      <c r="G2282" s="4" t="s">
        <v>189</v>
      </c>
      <c r="H2282" s="4" t="s">
        <v>19345</v>
      </c>
      <c r="I2282" s="4" t="s">
        <v>63</v>
      </c>
      <c r="J2282" s="4">
        <v>66</v>
      </c>
      <c r="K2282" s="4">
        <v>67</v>
      </c>
      <c r="L2282" s="4" t="s">
        <v>19346</v>
      </c>
      <c r="M2282" s="4" t="s">
        <v>19347</v>
      </c>
      <c r="N2282" s="4" t="s">
        <v>19348</v>
      </c>
      <c r="O2282" s="4" t="s">
        <v>63</v>
      </c>
      <c r="P2282" s="4"/>
      <c r="Q2282" s="4" t="s">
        <v>63</v>
      </c>
      <c r="R2282" s="4" t="s">
        <v>63</v>
      </c>
      <c r="S2282" s="4" t="s">
        <v>63</v>
      </c>
      <c r="T2282" s="4" t="s">
        <v>63</v>
      </c>
      <c r="U2282" s="4"/>
      <c r="V2282" s="4"/>
      <c r="W2282" s="4"/>
      <c r="X2282" s="4" t="s">
        <v>63</v>
      </c>
      <c r="Y2282" s="4" t="s">
        <v>19349</v>
      </c>
      <c r="Z2282" s="4" t="s">
        <v>63</v>
      </c>
      <c r="AA2282" s="4" t="s">
        <v>63</v>
      </c>
      <c r="AB2282" s="4" t="s">
        <v>63</v>
      </c>
      <c r="AC2282" s="4" t="s">
        <v>67</v>
      </c>
      <c r="AD2282" s="4" t="s">
        <v>63</v>
      </c>
      <c r="AE2282" s="4" t="s">
        <v>63</v>
      </c>
      <c r="AF2282" s="4" t="s">
        <v>63</v>
      </c>
      <c r="AG2282" s="4" t="s">
        <v>63</v>
      </c>
      <c r="AH2282" s="4" t="s">
        <v>63</v>
      </c>
      <c r="AI2282" s="4" t="s">
        <v>19350</v>
      </c>
      <c r="AJ2282" s="4" t="s">
        <v>63</v>
      </c>
      <c r="AK2282" s="4" t="s">
        <v>63</v>
      </c>
      <c r="AL2282" s="4" t="s">
        <v>63</v>
      </c>
      <c r="AM2282" s="4" t="s">
        <v>19343</v>
      </c>
      <c r="AN2282" s="4" t="s">
        <v>63</v>
      </c>
      <c r="AO2282" s="4" t="s">
        <v>63</v>
      </c>
      <c r="AP2282" s="4" t="s">
        <v>63</v>
      </c>
      <c r="AQ2282" s="4" t="s">
        <v>63</v>
      </c>
      <c r="AR2282" s="4" t="s">
        <v>63</v>
      </c>
      <c r="AS2282" s="4" t="s">
        <v>63</v>
      </c>
      <c r="AT2282" s="4" t="s">
        <v>63</v>
      </c>
      <c r="AU2282" s="4" t="s">
        <v>63</v>
      </c>
      <c r="AV2282" s="4" t="s">
        <v>63</v>
      </c>
      <c r="AW2282" s="4" t="s">
        <v>63</v>
      </c>
      <c r="AX2282" s="4" t="s">
        <v>63</v>
      </c>
      <c r="AY2282" s="4" t="s">
        <v>63</v>
      </c>
      <c r="AZ2282" s="4" t="s">
        <v>63</v>
      </c>
      <c r="BA2282" s="4" t="s">
        <v>63</v>
      </c>
      <c r="BB2282" s="4" t="s">
        <v>63</v>
      </c>
      <c r="BC2282" s="4" t="s">
        <v>63</v>
      </c>
      <c r="BD2282" s="4" t="s">
        <v>63</v>
      </c>
      <c r="BE2282" s="4" t="s">
        <v>63</v>
      </c>
      <c r="BF2282" s="4" t="s">
        <v>63</v>
      </c>
    </row>
    <row r="2283" spans="1:58">
      <c r="A2283" s="4" t="s">
        <v>58</v>
      </c>
      <c r="B2283" s="4" t="s">
        <v>19351</v>
      </c>
      <c r="C2283" s="4" t="s">
        <v>19352</v>
      </c>
      <c r="D2283" s="4" t="s">
        <v>19353</v>
      </c>
      <c r="E2283" s="4" t="s">
        <v>63</v>
      </c>
      <c r="F2283" s="4">
        <v>2015</v>
      </c>
      <c r="G2283" s="4" t="s">
        <v>189</v>
      </c>
      <c r="H2283" s="4" t="s">
        <v>16312</v>
      </c>
      <c r="I2283" s="4" t="s">
        <v>63</v>
      </c>
      <c r="J2283" s="4">
        <v>256</v>
      </c>
      <c r="K2283" s="4">
        <v>257</v>
      </c>
      <c r="L2283" s="4" t="s">
        <v>19354</v>
      </c>
      <c r="M2283" s="4" t="s">
        <v>19355</v>
      </c>
      <c r="N2283" s="4" t="s">
        <v>19356</v>
      </c>
      <c r="O2283" s="4" t="s">
        <v>63</v>
      </c>
      <c r="P2283" s="4"/>
      <c r="Q2283" s="4" t="s">
        <v>63</v>
      </c>
      <c r="R2283" s="4" t="s">
        <v>63</v>
      </c>
      <c r="S2283" s="4" t="s">
        <v>63</v>
      </c>
      <c r="T2283" s="4" t="s">
        <v>63</v>
      </c>
      <c r="U2283" s="4"/>
      <c r="V2283" s="4"/>
      <c r="W2283" s="4"/>
      <c r="X2283" s="4" t="s">
        <v>63</v>
      </c>
      <c r="Y2283" s="4" t="s">
        <v>19357</v>
      </c>
      <c r="Z2283" s="4" t="s">
        <v>63</v>
      </c>
      <c r="AA2283" s="4" t="s">
        <v>63</v>
      </c>
      <c r="AB2283" s="4" t="s">
        <v>63</v>
      </c>
      <c r="AC2283" s="4" t="s">
        <v>67</v>
      </c>
      <c r="AD2283" s="4" t="s">
        <v>63</v>
      </c>
      <c r="AE2283" s="4" t="s">
        <v>63</v>
      </c>
      <c r="AF2283" s="4" t="s">
        <v>63</v>
      </c>
      <c r="AG2283" s="4" t="s">
        <v>63</v>
      </c>
      <c r="AH2283" s="4" t="s">
        <v>63</v>
      </c>
      <c r="AI2283" s="4" t="s">
        <v>19358</v>
      </c>
      <c r="AJ2283" s="4" t="s">
        <v>63</v>
      </c>
      <c r="AK2283" s="4" t="s">
        <v>63</v>
      </c>
      <c r="AL2283" s="4" t="s">
        <v>63</v>
      </c>
      <c r="AM2283" s="4" t="s">
        <v>19352</v>
      </c>
      <c r="AN2283" s="4" t="s">
        <v>63</v>
      </c>
      <c r="AO2283" s="4" t="s">
        <v>63</v>
      </c>
      <c r="AP2283" s="4" t="s">
        <v>63</v>
      </c>
      <c r="AQ2283" s="4" t="s">
        <v>63</v>
      </c>
      <c r="AR2283" s="4" t="s">
        <v>63</v>
      </c>
      <c r="AS2283" s="4" t="s">
        <v>63</v>
      </c>
      <c r="AT2283" s="4" t="s">
        <v>63</v>
      </c>
      <c r="AU2283" s="4" t="s">
        <v>63</v>
      </c>
      <c r="AV2283" s="4" t="s">
        <v>63</v>
      </c>
      <c r="AW2283" s="4" t="s">
        <v>63</v>
      </c>
      <c r="AX2283" s="4" t="s">
        <v>63</v>
      </c>
      <c r="AY2283" s="4" t="s">
        <v>63</v>
      </c>
      <c r="AZ2283" s="4" t="s">
        <v>63</v>
      </c>
      <c r="BA2283" s="4" t="s">
        <v>63</v>
      </c>
      <c r="BB2283" s="4" t="s">
        <v>63</v>
      </c>
      <c r="BC2283" s="4" t="s">
        <v>63</v>
      </c>
      <c r="BD2283" s="4" t="s">
        <v>63</v>
      </c>
      <c r="BE2283" s="4" t="s">
        <v>63</v>
      </c>
      <c r="BF2283" s="4" t="s">
        <v>63</v>
      </c>
    </row>
    <row r="2284" spans="1:58">
      <c r="A2284" s="4" t="s">
        <v>58</v>
      </c>
      <c r="B2284" s="4" t="s">
        <v>19359</v>
      </c>
      <c r="C2284" s="4" t="s">
        <v>19360</v>
      </c>
      <c r="D2284" s="4" t="s">
        <v>19361</v>
      </c>
      <c r="E2284" s="4" t="s">
        <v>19362</v>
      </c>
      <c r="F2284" s="4">
        <v>2012</v>
      </c>
      <c r="G2284" s="4" t="s">
        <v>16182</v>
      </c>
      <c r="H2284" s="4">
        <v>60</v>
      </c>
      <c r="I2284" s="4">
        <v>5</v>
      </c>
      <c r="J2284" s="4" t="s">
        <v>17011</v>
      </c>
      <c r="K2284" s="4" t="s">
        <v>19363</v>
      </c>
      <c r="L2284" s="4" t="s">
        <v>19364</v>
      </c>
      <c r="M2284" s="4" t="s">
        <v>19365</v>
      </c>
      <c r="N2284" s="4" t="s">
        <v>19366</v>
      </c>
      <c r="O2284" s="4" t="s">
        <v>63</v>
      </c>
      <c r="P2284" s="4"/>
      <c r="Q2284" s="4" t="s">
        <v>63</v>
      </c>
      <c r="R2284" s="4" t="s">
        <v>63</v>
      </c>
      <c r="S2284" s="4" t="s">
        <v>63</v>
      </c>
      <c r="T2284" s="4" t="s">
        <v>63</v>
      </c>
      <c r="U2284" s="4"/>
      <c r="V2284" s="4"/>
      <c r="W2284" s="4"/>
      <c r="X2284" s="4" t="s">
        <v>63</v>
      </c>
      <c r="Y2284" s="4" t="s">
        <v>19367</v>
      </c>
      <c r="Z2284" s="4" t="s">
        <v>63</v>
      </c>
      <c r="AA2284" s="4" t="s">
        <v>63</v>
      </c>
      <c r="AB2284" s="4" t="s">
        <v>63</v>
      </c>
      <c r="AC2284" s="4" t="s">
        <v>67</v>
      </c>
      <c r="AD2284" s="4" t="s">
        <v>63</v>
      </c>
      <c r="AE2284" s="4" t="s">
        <v>63</v>
      </c>
      <c r="AF2284" s="4" t="s">
        <v>63</v>
      </c>
      <c r="AG2284" s="4" t="s">
        <v>63</v>
      </c>
      <c r="AH2284" s="4" t="s">
        <v>63</v>
      </c>
      <c r="AI2284" s="4" t="s">
        <v>19368</v>
      </c>
      <c r="AJ2284" s="4" t="s">
        <v>63</v>
      </c>
      <c r="AK2284" s="4" t="s">
        <v>63</v>
      </c>
      <c r="AL2284" s="4" t="s">
        <v>63</v>
      </c>
      <c r="AM2284" s="4" t="s">
        <v>19360</v>
      </c>
      <c r="AN2284" s="4" t="s">
        <v>63</v>
      </c>
      <c r="AO2284" s="4" t="s">
        <v>63</v>
      </c>
      <c r="AP2284" s="4" t="s">
        <v>63</v>
      </c>
      <c r="AQ2284" s="4" t="s">
        <v>63</v>
      </c>
      <c r="AR2284" s="4" t="s">
        <v>63</v>
      </c>
      <c r="AS2284" s="4" t="s">
        <v>63</v>
      </c>
      <c r="AT2284" s="4" t="s">
        <v>63</v>
      </c>
      <c r="AU2284" s="4" t="s">
        <v>63</v>
      </c>
      <c r="AV2284" s="4" t="s">
        <v>63</v>
      </c>
      <c r="AW2284" s="4" t="s">
        <v>63</v>
      </c>
      <c r="AX2284" s="4" t="s">
        <v>63</v>
      </c>
      <c r="AY2284" s="4" t="s">
        <v>63</v>
      </c>
      <c r="AZ2284" s="4" t="s">
        <v>63</v>
      </c>
      <c r="BA2284" s="4" t="s">
        <v>63</v>
      </c>
      <c r="BB2284" s="4" t="s">
        <v>63</v>
      </c>
      <c r="BC2284" s="4" t="s">
        <v>63</v>
      </c>
      <c r="BD2284" s="4" t="s">
        <v>63</v>
      </c>
      <c r="BE2284" s="4" t="s">
        <v>63</v>
      </c>
      <c r="BF2284" s="4" t="s">
        <v>63</v>
      </c>
    </row>
    <row r="2285" spans="1:58">
      <c r="A2285" s="4" t="s">
        <v>58</v>
      </c>
      <c r="B2285" s="4" t="s">
        <v>19359</v>
      </c>
      <c r="C2285" s="4" t="s">
        <v>19369</v>
      </c>
      <c r="D2285" s="4" t="s">
        <v>19361</v>
      </c>
      <c r="E2285" s="4" t="s">
        <v>19362</v>
      </c>
      <c r="F2285" s="4">
        <v>2012</v>
      </c>
      <c r="G2285" s="4" t="s">
        <v>16182</v>
      </c>
      <c r="H2285" s="4">
        <v>60</v>
      </c>
      <c r="I2285" s="4">
        <v>5</v>
      </c>
      <c r="J2285" s="4" t="s">
        <v>19363</v>
      </c>
      <c r="K2285" s="4" t="s">
        <v>63</v>
      </c>
      <c r="L2285" s="4" t="s">
        <v>19370</v>
      </c>
      <c r="M2285" s="4" t="s">
        <v>19371</v>
      </c>
      <c r="N2285" s="4" t="s">
        <v>19372</v>
      </c>
      <c r="O2285" s="4" t="s">
        <v>63</v>
      </c>
      <c r="P2285" s="4"/>
      <c r="Q2285" s="4" t="s">
        <v>63</v>
      </c>
      <c r="R2285" s="4" t="s">
        <v>63</v>
      </c>
      <c r="S2285" s="4" t="s">
        <v>63</v>
      </c>
      <c r="T2285" s="4" t="s">
        <v>63</v>
      </c>
      <c r="U2285" s="4"/>
      <c r="V2285" s="4"/>
      <c r="W2285" s="4"/>
      <c r="X2285" s="4" t="s">
        <v>63</v>
      </c>
      <c r="Y2285" s="4" t="s">
        <v>19367</v>
      </c>
      <c r="Z2285" s="4" t="s">
        <v>63</v>
      </c>
      <c r="AA2285" s="4" t="s">
        <v>63</v>
      </c>
      <c r="AB2285" s="4" t="s">
        <v>63</v>
      </c>
      <c r="AC2285" s="4" t="s">
        <v>67</v>
      </c>
      <c r="AD2285" s="4" t="s">
        <v>63</v>
      </c>
      <c r="AE2285" s="4" t="s">
        <v>63</v>
      </c>
      <c r="AF2285" s="4" t="s">
        <v>63</v>
      </c>
      <c r="AG2285" s="4" t="s">
        <v>63</v>
      </c>
      <c r="AH2285" s="4" t="s">
        <v>63</v>
      </c>
      <c r="AI2285" s="4" t="s">
        <v>19373</v>
      </c>
      <c r="AJ2285" s="4" t="s">
        <v>63</v>
      </c>
      <c r="AK2285" s="4" t="s">
        <v>63</v>
      </c>
      <c r="AL2285" s="4" t="s">
        <v>63</v>
      </c>
      <c r="AM2285" s="4" t="s">
        <v>19369</v>
      </c>
      <c r="AN2285" s="4" t="s">
        <v>63</v>
      </c>
      <c r="AO2285" s="4" t="s">
        <v>63</v>
      </c>
      <c r="AP2285" s="4" t="s">
        <v>63</v>
      </c>
      <c r="AQ2285" s="4" t="s">
        <v>63</v>
      </c>
      <c r="AR2285" s="4" t="s">
        <v>63</v>
      </c>
      <c r="AS2285" s="4" t="s">
        <v>63</v>
      </c>
      <c r="AT2285" s="4" t="s">
        <v>63</v>
      </c>
      <c r="AU2285" s="4" t="s">
        <v>63</v>
      </c>
      <c r="AV2285" s="4" t="s">
        <v>63</v>
      </c>
      <c r="AW2285" s="4" t="s">
        <v>63</v>
      </c>
      <c r="AX2285" s="4" t="s">
        <v>63</v>
      </c>
      <c r="AY2285" s="4" t="s">
        <v>63</v>
      </c>
      <c r="AZ2285" s="4" t="s">
        <v>63</v>
      </c>
      <c r="BA2285" s="4" t="s">
        <v>63</v>
      </c>
      <c r="BB2285" s="4" t="s">
        <v>63</v>
      </c>
      <c r="BC2285" s="4" t="s">
        <v>63</v>
      </c>
      <c r="BD2285" s="4" t="s">
        <v>63</v>
      </c>
      <c r="BE2285" s="4" t="s">
        <v>63</v>
      </c>
      <c r="BF2285" s="4" t="s">
        <v>63</v>
      </c>
    </row>
    <row r="2286" spans="1:58">
      <c r="A2286" s="4" t="s">
        <v>58</v>
      </c>
      <c r="B2286" s="4" t="s">
        <v>19374</v>
      </c>
      <c r="C2286" s="4" t="s">
        <v>19375</v>
      </c>
      <c r="D2286" s="4" t="s">
        <v>19376</v>
      </c>
      <c r="E2286" s="4" t="s">
        <v>63</v>
      </c>
      <c r="F2286" s="4">
        <v>2006</v>
      </c>
      <c r="G2286" s="4">
        <v>1</v>
      </c>
      <c r="H2286" s="4">
        <v>4</v>
      </c>
      <c r="I2286" s="4">
        <v>1</v>
      </c>
      <c r="J2286" s="4">
        <v>38</v>
      </c>
      <c r="K2286" s="4">
        <v>48</v>
      </c>
      <c r="L2286" s="4" t="s">
        <v>19377</v>
      </c>
      <c r="M2286" s="4" t="s">
        <v>19378</v>
      </c>
      <c r="N2286" s="4" t="s">
        <v>19379</v>
      </c>
      <c r="O2286" s="4" t="s">
        <v>63</v>
      </c>
      <c r="P2286" s="4"/>
      <c r="Q2286" s="4" t="s">
        <v>63</v>
      </c>
      <c r="R2286" s="4" t="s">
        <v>63</v>
      </c>
      <c r="S2286" s="4" t="s">
        <v>63</v>
      </c>
      <c r="T2286" s="4" t="s">
        <v>63</v>
      </c>
      <c r="U2286" s="4"/>
      <c r="V2286" s="4"/>
      <c r="W2286" s="4"/>
      <c r="X2286" s="4" t="s">
        <v>63</v>
      </c>
      <c r="Y2286" s="4" t="s">
        <v>19380</v>
      </c>
      <c r="Z2286" s="4" t="s">
        <v>63</v>
      </c>
      <c r="AA2286" s="4" t="s">
        <v>63</v>
      </c>
      <c r="AB2286" s="4" t="s">
        <v>19381</v>
      </c>
      <c r="AC2286" s="4" t="s">
        <v>67</v>
      </c>
      <c r="AD2286" s="4" t="s">
        <v>63</v>
      </c>
      <c r="AE2286" s="4" t="s">
        <v>63</v>
      </c>
      <c r="AF2286" s="4" t="s">
        <v>63</v>
      </c>
      <c r="AG2286" s="4" t="s">
        <v>63</v>
      </c>
      <c r="AH2286" s="4" t="s">
        <v>63</v>
      </c>
      <c r="AI2286" s="4" t="s">
        <v>63</v>
      </c>
      <c r="AJ2286" s="4" t="s">
        <v>63</v>
      </c>
      <c r="AK2286" s="4" t="s">
        <v>63</v>
      </c>
      <c r="AL2286" s="4" t="s">
        <v>63</v>
      </c>
      <c r="AM2286" s="4" t="s">
        <v>19375</v>
      </c>
      <c r="AN2286" s="4" t="s">
        <v>63</v>
      </c>
      <c r="AO2286" s="4" t="s">
        <v>63</v>
      </c>
      <c r="AP2286" s="4" t="s">
        <v>63</v>
      </c>
      <c r="AQ2286" s="4" t="s">
        <v>63</v>
      </c>
      <c r="AR2286" s="4" t="s">
        <v>63</v>
      </c>
      <c r="AS2286" s="4" t="s">
        <v>63</v>
      </c>
      <c r="AT2286" s="4" t="s">
        <v>63</v>
      </c>
      <c r="AU2286" s="4" t="s">
        <v>63</v>
      </c>
      <c r="AV2286" s="4" t="s">
        <v>63</v>
      </c>
      <c r="AW2286" s="4" t="s">
        <v>63</v>
      </c>
      <c r="AX2286" s="4" t="s">
        <v>63</v>
      </c>
      <c r="AY2286" s="4" t="s">
        <v>63</v>
      </c>
      <c r="AZ2286" s="4" t="s">
        <v>63</v>
      </c>
      <c r="BA2286" s="4" t="s">
        <v>63</v>
      </c>
      <c r="BB2286" s="4" t="s">
        <v>63</v>
      </c>
      <c r="BC2286" s="4" t="s">
        <v>63</v>
      </c>
      <c r="BD2286" s="4" t="s">
        <v>63</v>
      </c>
      <c r="BE2286" s="4" t="s">
        <v>63</v>
      </c>
      <c r="BF2286" s="4" t="s">
        <v>63</v>
      </c>
    </row>
    <row r="2287" spans="1:58">
      <c r="A2287" s="4" t="s">
        <v>58</v>
      </c>
      <c r="B2287" s="4" t="s">
        <v>19382</v>
      </c>
      <c r="C2287" s="4" t="s">
        <v>19383</v>
      </c>
      <c r="D2287" s="4" t="s">
        <v>3890</v>
      </c>
      <c r="E2287" s="4" t="s">
        <v>3891</v>
      </c>
      <c r="F2287" s="4">
        <v>1966</v>
      </c>
      <c r="G2287" s="4" t="s">
        <v>63</v>
      </c>
      <c r="H2287" s="4">
        <v>1</v>
      </c>
      <c r="I2287" s="4">
        <v>1</v>
      </c>
      <c r="J2287" s="4">
        <v>42</v>
      </c>
      <c r="K2287" s="4">
        <v>49</v>
      </c>
      <c r="L2287" s="4" t="s">
        <v>19384</v>
      </c>
      <c r="M2287" s="4" t="s">
        <v>19385</v>
      </c>
      <c r="N2287" s="4" t="s">
        <v>19386</v>
      </c>
      <c r="O2287" s="4" t="s">
        <v>63</v>
      </c>
      <c r="P2287" s="4"/>
      <c r="Q2287" s="4" t="s">
        <v>63</v>
      </c>
      <c r="R2287" s="4" t="s">
        <v>63</v>
      </c>
      <c r="S2287" s="4" t="s">
        <v>63</v>
      </c>
      <c r="T2287" s="4" t="s">
        <v>63</v>
      </c>
      <c r="U2287" s="4"/>
      <c r="V2287" s="4"/>
      <c r="W2287" s="4"/>
      <c r="X2287" s="4" t="s">
        <v>63</v>
      </c>
      <c r="Y2287" s="4" t="s">
        <v>3894</v>
      </c>
      <c r="Z2287" s="4" t="s">
        <v>63</v>
      </c>
      <c r="AA2287" s="4" t="s">
        <v>63</v>
      </c>
      <c r="AB2287" s="4" t="s">
        <v>19387</v>
      </c>
      <c r="AC2287" s="4" t="s">
        <v>67</v>
      </c>
      <c r="AD2287" s="4" t="s">
        <v>63</v>
      </c>
      <c r="AE2287" s="4" t="s">
        <v>63</v>
      </c>
      <c r="AF2287" s="4" t="s">
        <v>63</v>
      </c>
      <c r="AG2287" s="4" t="s">
        <v>63</v>
      </c>
      <c r="AH2287" s="4" t="s">
        <v>63</v>
      </c>
      <c r="AI2287" s="4" t="s">
        <v>63</v>
      </c>
      <c r="AJ2287" s="4" t="s">
        <v>63</v>
      </c>
      <c r="AK2287" s="4" t="s">
        <v>63</v>
      </c>
      <c r="AL2287" s="4" t="s">
        <v>63</v>
      </c>
      <c r="AM2287" s="4" t="s">
        <v>19383</v>
      </c>
      <c r="AN2287" s="4" t="s">
        <v>63</v>
      </c>
      <c r="AO2287" s="4" t="s">
        <v>63</v>
      </c>
      <c r="AP2287" s="4" t="s">
        <v>63</v>
      </c>
      <c r="AQ2287" s="4" t="s">
        <v>63</v>
      </c>
      <c r="AR2287" s="4" t="s">
        <v>63</v>
      </c>
      <c r="AS2287" s="4" t="s">
        <v>63</v>
      </c>
      <c r="AT2287" s="4" t="s">
        <v>63</v>
      </c>
      <c r="AU2287" s="4" t="s">
        <v>63</v>
      </c>
      <c r="AV2287" s="4" t="s">
        <v>63</v>
      </c>
      <c r="AW2287" s="4" t="s">
        <v>63</v>
      </c>
      <c r="AX2287" s="4" t="s">
        <v>63</v>
      </c>
      <c r="AY2287" s="4" t="s">
        <v>63</v>
      </c>
      <c r="AZ2287" s="4" t="s">
        <v>63</v>
      </c>
      <c r="BA2287" s="4" t="s">
        <v>63</v>
      </c>
      <c r="BB2287" s="4" t="s">
        <v>63</v>
      </c>
      <c r="BC2287" s="4" t="s">
        <v>63</v>
      </c>
      <c r="BD2287" s="4" t="s">
        <v>63</v>
      </c>
      <c r="BE2287" s="4" t="s">
        <v>63</v>
      </c>
      <c r="BF2287" s="4" t="s">
        <v>63</v>
      </c>
    </row>
    <row r="2288" spans="1:58">
      <c r="A2288" s="4" t="s">
        <v>58</v>
      </c>
      <c r="B2288" s="4" t="s">
        <v>19388</v>
      </c>
      <c r="C2288" s="4" t="s">
        <v>19389</v>
      </c>
      <c r="D2288" s="4" t="s">
        <v>15421</v>
      </c>
      <c r="E2288" s="4" t="s">
        <v>63</v>
      </c>
      <c r="F2288" s="4">
        <v>2010</v>
      </c>
      <c r="G2288" s="4" t="s">
        <v>84</v>
      </c>
      <c r="H2288" s="4">
        <v>31</v>
      </c>
      <c r="I2288" s="4">
        <v>2</v>
      </c>
      <c r="J2288" s="4">
        <v>79</v>
      </c>
      <c r="K2288" s="4">
        <v>85</v>
      </c>
      <c r="L2288" s="4" t="s">
        <v>19390</v>
      </c>
      <c r="M2288" s="4" t="s">
        <v>19391</v>
      </c>
      <c r="N2288" s="4" t="s">
        <v>19392</v>
      </c>
      <c r="O2288" s="4" t="s">
        <v>63</v>
      </c>
      <c r="P2288" s="4"/>
      <c r="Q2288" s="4" t="s">
        <v>63</v>
      </c>
      <c r="R2288" s="4" t="s">
        <v>63</v>
      </c>
      <c r="S2288" s="4" t="s">
        <v>63</v>
      </c>
      <c r="T2288" s="4" t="s">
        <v>63</v>
      </c>
      <c r="U2288" s="4"/>
      <c r="V2288" s="4"/>
      <c r="W2288" s="4"/>
      <c r="X2288" s="4" t="s">
        <v>63</v>
      </c>
      <c r="Y2288" s="4" t="s">
        <v>15425</v>
      </c>
      <c r="Z2288" s="4" t="s">
        <v>63</v>
      </c>
      <c r="AA2288" s="4" t="s">
        <v>63</v>
      </c>
      <c r="AB2288" s="4" t="s">
        <v>63</v>
      </c>
      <c r="AC2288" s="4" t="s">
        <v>67</v>
      </c>
      <c r="AD2288" s="4" t="s">
        <v>63</v>
      </c>
      <c r="AE2288" s="4" t="s">
        <v>63</v>
      </c>
      <c r="AF2288" s="4" t="s">
        <v>63</v>
      </c>
      <c r="AG2288" s="4" t="s">
        <v>19393</v>
      </c>
      <c r="AH2288" s="4" t="s">
        <v>63</v>
      </c>
      <c r="AI2288" s="4" t="s">
        <v>19394</v>
      </c>
      <c r="AJ2288" s="4" t="s">
        <v>63</v>
      </c>
      <c r="AK2288" s="4" t="s">
        <v>63</v>
      </c>
      <c r="AL2288" s="4" t="s">
        <v>63</v>
      </c>
      <c r="AM2288" s="4" t="s">
        <v>19395</v>
      </c>
      <c r="AN2288" s="4" t="s">
        <v>63</v>
      </c>
      <c r="AO2288" s="4" t="s">
        <v>63</v>
      </c>
      <c r="AP2288" s="4" t="s">
        <v>63</v>
      </c>
      <c r="AQ2288" s="4" t="s">
        <v>63</v>
      </c>
      <c r="AR2288" s="4" t="s">
        <v>63</v>
      </c>
      <c r="AS2288" s="4" t="s">
        <v>63</v>
      </c>
      <c r="AT2288" s="4" t="s">
        <v>63</v>
      </c>
      <c r="AU2288" s="4" t="s">
        <v>63</v>
      </c>
      <c r="AV2288" s="4" t="s">
        <v>63</v>
      </c>
      <c r="AW2288" s="4" t="s">
        <v>63</v>
      </c>
      <c r="AX2288" s="4" t="s">
        <v>63</v>
      </c>
      <c r="AY2288" s="4" t="s">
        <v>63</v>
      </c>
      <c r="AZ2288" s="4" t="s">
        <v>63</v>
      </c>
      <c r="BA2288" s="4" t="s">
        <v>63</v>
      </c>
      <c r="BB2288" s="4" t="s">
        <v>63</v>
      </c>
      <c r="BC2288" s="4" t="s">
        <v>63</v>
      </c>
      <c r="BD2288" s="4" t="s">
        <v>63</v>
      </c>
      <c r="BE2288" s="4" t="s">
        <v>63</v>
      </c>
      <c r="BF2288" s="4" t="s">
        <v>63</v>
      </c>
    </row>
    <row r="2289" spans="1:58">
      <c r="A2289" s="4" t="s">
        <v>58</v>
      </c>
      <c r="B2289" s="4" t="s">
        <v>19396</v>
      </c>
      <c r="C2289" s="4" t="s">
        <v>19397</v>
      </c>
      <c r="D2289" s="4" t="s">
        <v>19398</v>
      </c>
      <c r="E2289" s="4" t="s">
        <v>63</v>
      </c>
      <c r="F2289" s="4">
        <v>2016</v>
      </c>
      <c r="G2289" s="4">
        <v>1</v>
      </c>
      <c r="H2289" s="4">
        <v>53</v>
      </c>
      <c r="I2289" s="4">
        <v>3</v>
      </c>
      <c r="J2289" s="4">
        <v>342</v>
      </c>
      <c r="K2289" s="4">
        <v>346</v>
      </c>
      <c r="L2289" s="4" t="s">
        <v>19399</v>
      </c>
      <c r="M2289" s="4" t="s">
        <v>19400</v>
      </c>
      <c r="N2289" s="4" t="s">
        <v>19401</v>
      </c>
      <c r="O2289" s="4" t="s">
        <v>63</v>
      </c>
      <c r="P2289" s="4"/>
      <c r="Q2289" s="4" t="s">
        <v>63</v>
      </c>
      <c r="R2289" s="4" t="s">
        <v>63</v>
      </c>
      <c r="S2289" s="4" t="s">
        <v>63</v>
      </c>
      <c r="T2289" s="4" t="s">
        <v>63</v>
      </c>
      <c r="U2289" s="4"/>
      <c r="V2289" s="4"/>
      <c r="W2289" s="4"/>
      <c r="X2289" s="4" t="s">
        <v>63</v>
      </c>
      <c r="Y2289" s="4" t="s">
        <v>19402</v>
      </c>
      <c r="Z2289" s="4" t="s">
        <v>63</v>
      </c>
      <c r="AA2289" s="4" t="s">
        <v>63</v>
      </c>
      <c r="AB2289" s="4">
        <v>20160672960</v>
      </c>
      <c r="AC2289" s="4" t="s">
        <v>67</v>
      </c>
      <c r="AD2289" s="4" t="s">
        <v>63</v>
      </c>
      <c r="AE2289" s="4" t="s">
        <v>63</v>
      </c>
      <c r="AF2289" s="4" t="s">
        <v>63</v>
      </c>
      <c r="AG2289" s="4" t="s">
        <v>19403</v>
      </c>
      <c r="AH2289" s="4" t="s">
        <v>63</v>
      </c>
      <c r="AI2289" s="4" t="s">
        <v>19404</v>
      </c>
      <c r="AJ2289" s="4" t="s">
        <v>63</v>
      </c>
      <c r="AK2289" s="4" t="s">
        <v>63</v>
      </c>
      <c r="AL2289" s="4" t="s">
        <v>63</v>
      </c>
      <c r="AM2289" s="4" t="s">
        <v>19405</v>
      </c>
      <c r="AN2289" s="4" t="s">
        <v>63</v>
      </c>
      <c r="AO2289" s="4" t="s">
        <v>63</v>
      </c>
      <c r="AP2289" s="4" t="s">
        <v>63</v>
      </c>
      <c r="AQ2289" s="4" t="s">
        <v>63</v>
      </c>
      <c r="AR2289" s="4" t="s">
        <v>63</v>
      </c>
      <c r="AS2289" s="4" t="s">
        <v>63</v>
      </c>
      <c r="AT2289" s="4" t="s">
        <v>63</v>
      </c>
      <c r="AU2289" s="4" t="s">
        <v>63</v>
      </c>
      <c r="AV2289" s="4" t="s">
        <v>63</v>
      </c>
      <c r="AW2289" s="4" t="s">
        <v>63</v>
      </c>
      <c r="AX2289" s="4" t="s">
        <v>63</v>
      </c>
      <c r="AY2289" s="4" t="s">
        <v>63</v>
      </c>
      <c r="AZ2289" s="4" t="s">
        <v>63</v>
      </c>
      <c r="BA2289" s="4" t="s">
        <v>63</v>
      </c>
      <c r="BB2289" s="4" t="s">
        <v>63</v>
      </c>
      <c r="BC2289" s="4" t="s">
        <v>63</v>
      </c>
      <c r="BD2289" s="4" t="s">
        <v>63</v>
      </c>
      <c r="BE2289" s="4" t="s">
        <v>63</v>
      </c>
      <c r="BF2289" s="4" t="s">
        <v>63</v>
      </c>
    </row>
    <row r="2290" spans="1:58">
      <c r="A2290" s="4" t="s">
        <v>58</v>
      </c>
      <c r="B2290" s="4" t="s">
        <v>19406</v>
      </c>
      <c r="C2290" s="4" t="s">
        <v>19407</v>
      </c>
      <c r="D2290" s="4" t="s">
        <v>15263</v>
      </c>
      <c r="E2290" s="4" t="s">
        <v>15264</v>
      </c>
      <c r="F2290" s="4">
        <v>2015</v>
      </c>
      <c r="G2290" s="4">
        <v>1</v>
      </c>
      <c r="H2290" s="4">
        <v>146</v>
      </c>
      <c r="I2290" s="4" t="s">
        <v>63</v>
      </c>
      <c r="J2290" s="4" t="s">
        <v>19408</v>
      </c>
      <c r="K2290" s="4" t="s">
        <v>19409</v>
      </c>
      <c r="L2290" s="4" t="s">
        <v>19410</v>
      </c>
      <c r="M2290" s="4" t="s">
        <v>19411</v>
      </c>
      <c r="N2290" s="4" t="s">
        <v>19412</v>
      </c>
      <c r="O2290" s="4" t="s">
        <v>63</v>
      </c>
      <c r="P2290" s="4"/>
      <c r="Q2290" s="4" t="s">
        <v>63</v>
      </c>
      <c r="R2290" s="4" t="s">
        <v>63</v>
      </c>
      <c r="S2290" s="4" t="s">
        <v>63</v>
      </c>
      <c r="T2290" s="4" t="s">
        <v>63</v>
      </c>
      <c r="U2290" s="4"/>
      <c r="V2290" s="4"/>
      <c r="W2290" s="4"/>
      <c r="X2290" s="4" t="s">
        <v>63</v>
      </c>
      <c r="Y2290" s="4" t="s">
        <v>4942</v>
      </c>
      <c r="Z2290" s="4" t="s">
        <v>63</v>
      </c>
      <c r="AA2290" s="4" t="s">
        <v>63</v>
      </c>
      <c r="AB2290" s="4" t="s">
        <v>63</v>
      </c>
      <c r="AC2290" s="4" t="s">
        <v>67</v>
      </c>
      <c r="AD2290" s="4" t="s">
        <v>63</v>
      </c>
      <c r="AE2290" s="4" t="s">
        <v>63</v>
      </c>
      <c r="AF2290" s="4" t="s">
        <v>63</v>
      </c>
      <c r="AG2290" s="4" t="s">
        <v>63</v>
      </c>
      <c r="AH2290" s="4" t="s">
        <v>63</v>
      </c>
      <c r="AI2290" s="4" t="s">
        <v>19413</v>
      </c>
      <c r="AJ2290" s="4" t="s">
        <v>63</v>
      </c>
      <c r="AK2290" s="4" t="s">
        <v>63</v>
      </c>
      <c r="AL2290" s="4" t="s">
        <v>63</v>
      </c>
      <c r="AM2290" s="4" t="s">
        <v>19407</v>
      </c>
      <c r="AN2290" s="4" t="s">
        <v>63</v>
      </c>
      <c r="AO2290" s="4" t="s">
        <v>63</v>
      </c>
      <c r="AP2290" s="4" t="s">
        <v>63</v>
      </c>
      <c r="AQ2290" s="4" t="s">
        <v>63</v>
      </c>
      <c r="AR2290" s="4" t="s">
        <v>63</v>
      </c>
      <c r="AS2290" s="4" t="s">
        <v>63</v>
      </c>
      <c r="AT2290" s="4" t="s">
        <v>63</v>
      </c>
      <c r="AU2290" s="4" t="s">
        <v>63</v>
      </c>
      <c r="AV2290" s="4" t="s">
        <v>63</v>
      </c>
      <c r="AW2290" s="4" t="s">
        <v>63</v>
      </c>
      <c r="AX2290" s="4" t="s">
        <v>63</v>
      </c>
      <c r="AY2290" s="4" t="s">
        <v>63</v>
      </c>
      <c r="AZ2290" s="4" t="s">
        <v>63</v>
      </c>
      <c r="BA2290" s="4" t="s">
        <v>63</v>
      </c>
      <c r="BB2290" s="4" t="s">
        <v>63</v>
      </c>
      <c r="BC2290" s="4" t="s">
        <v>63</v>
      </c>
      <c r="BD2290" s="4" t="s">
        <v>63</v>
      </c>
      <c r="BE2290" s="4" t="s">
        <v>63</v>
      </c>
      <c r="BF2290" s="4" t="s">
        <v>63</v>
      </c>
    </row>
    <row r="2291" spans="1:58">
      <c r="A2291" s="4" t="s">
        <v>58</v>
      </c>
      <c r="B2291" s="4" t="s">
        <v>19414</v>
      </c>
      <c r="C2291" s="4" t="s">
        <v>19415</v>
      </c>
      <c r="D2291" s="4" t="s">
        <v>17159</v>
      </c>
      <c r="E2291" s="4" t="s">
        <v>63</v>
      </c>
      <c r="F2291" s="4">
        <v>2014</v>
      </c>
      <c r="G2291" s="4" t="s">
        <v>63</v>
      </c>
      <c r="H2291" s="4">
        <v>5</v>
      </c>
      <c r="I2291" s="4">
        <v>3</v>
      </c>
      <c r="J2291" s="4">
        <v>21</v>
      </c>
      <c r="K2291" s="4">
        <v>23</v>
      </c>
      <c r="L2291" s="4" t="s">
        <v>19416</v>
      </c>
      <c r="M2291" s="4" t="s">
        <v>19417</v>
      </c>
      <c r="N2291" s="4" t="s">
        <v>19418</v>
      </c>
      <c r="O2291" s="4" t="s">
        <v>63</v>
      </c>
      <c r="P2291" s="4"/>
      <c r="Q2291" s="4" t="s">
        <v>63</v>
      </c>
      <c r="R2291" s="4" t="s">
        <v>63</v>
      </c>
      <c r="S2291" s="4" t="s">
        <v>63</v>
      </c>
      <c r="T2291" s="4" t="s">
        <v>63</v>
      </c>
      <c r="U2291" s="4"/>
      <c r="V2291" s="4"/>
      <c r="W2291" s="4"/>
      <c r="X2291" s="4" t="s">
        <v>63</v>
      </c>
      <c r="Y2291" s="4" t="s">
        <v>17162</v>
      </c>
      <c r="Z2291" s="4" t="s">
        <v>63</v>
      </c>
      <c r="AA2291" s="4" t="s">
        <v>63</v>
      </c>
      <c r="AB2291" s="4" t="s">
        <v>19419</v>
      </c>
      <c r="AC2291" s="4" t="s">
        <v>67</v>
      </c>
      <c r="AD2291" s="4" t="s">
        <v>63</v>
      </c>
      <c r="AE2291" s="4" t="s">
        <v>63</v>
      </c>
      <c r="AF2291" s="4" t="s">
        <v>63</v>
      </c>
      <c r="AG2291" s="4" t="s">
        <v>63</v>
      </c>
      <c r="AH2291" s="4" t="s">
        <v>63</v>
      </c>
      <c r="AI2291" s="4" t="s">
        <v>63</v>
      </c>
      <c r="AJ2291" s="4" t="s">
        <v>63</v>
      </c>
      <c r="AK2291" s="4" t="s">
        <v>63</v>
      </c>
      <c r="AL2291" s="4" t="s">
        <v>63</v>
      </c>
      <c r="AM2291" s="4" t="s">
        <v>19415</v>
      </c>
      <c r="AN2291" s="4" t="s">
        <v>63</v>
      </c>
      <c r="AO2291" s="4" t="s">
        <v>63</v>
      </c>
      <c r="AP2291" s="4" t="s">
        <v>63</v>
      </c>
      <c r="AQ2291" s="4" t="s">
        <v>63</v>
      </c>
      <c r="AR2291" s="4" t="s">
        <v>63</v>
      </c>
      <c r="AS2291" s="4" t="s">
        <v>63</v>
      </c>
      <c r="AT2291" s="4" t="s">
        <v>63</v>
      </c>
      <c r="AU2291" s="4" t="s">
        <v>63</v>
      </c>
      <c r="AV2291" s="4" t="s">
        <v>63</v>
      </c>
      <c r="AW2291" s="4" t="s">
        <v>63</v>
      </c>
      <c r="AX2291" s="4" t="s">
        <v>63</v>
      </c>
      <c r="AY2291" s="4" t="s">
        <v>63</v>
      </c>
      <c r="AZ2291" s="4" t="s">
        <v>63</v>
      </c>
      <c r="BA2291" s="4" t="s">
        <v>63</v>
      </c>
      <c r="BB2291" s="4" t="s">
        <v>63</v>
      </c>
      <c r="BC2291" s="4" t="s">
        <v>63</v>
      </c>
      <c r="BD2291" s="4" t="s">
        <v>63</v>
      </c>
      <c r="BE2291" s="4" t="s">
        <v>63</v>
      </c>
      <c r="BF2291" s="4" t="s">
        <v>63</v>
      </c>
    </row>
    <row r="2292" spans="1:58">
      <c r="A2292" s="4" t="s">
        <v>58</v>
      </c>
      <c r="B2292" s="4" t="s">
        <v>19420</v>
      </c>
      <c r="C2292" s="4" t="s">
        <v>19421</v>
      </c>
      <c r="D2292" s="4" t="s">
        <v>6854</v>
      </c>
      <c r="E2292" s="4" t="s">
        <v>63</v>
      </c>
      <c r="F2292" s="4">
        <v>2012</v>
      </c>
      <c r="G2292" s="6">
        <v>41882</v>
      </c>
      <c r="H2292" s="4" t="s">
        <v>16970</v>
      </c>
      <c r="I2292" s="4" t="s">
        <v>63</v>
      </c>
      <c r="J2292" s="4" t="s">
        <v>63</v>
      </c>
      <c r="K2292" s="4" t="s">
        <v>63</v>
      </c>
      <c r="L2292" s="4" t="s">
        <v>19422</v>
      </c>
      <c r="M2292" s="4" t="s">
        <v>19423</v>
      </c>
      <c r="N2292" s="4" t="s">
        <v>19424</v>
      </c>
      <c r="O2292" s="4" t="s">
        <v>63</v>
      </c>
      <c r="P2292" s="4"/>
      <c r="Q2292" s="4" t="s">
        <v>63</v>
      </c>
      <c r="R2292" s="4" t="s">
        <v>63</v>
      </c>
      <c r="S2292" s="4" t="s">
        <v>63</v>
      </c>
      <c r="T2292" s="4" t="s">
        <v>63</v>
      </c>
      <c r="U2292" s="4"/>
      <c r="V2292" s="4"/>
      <c r="W2292" s="4"/>
      <c r="X2292" s="4" t="s">
        <v>63</v>
      </c>
      <c r="Y2292" s="4" t="s">
        <v>15322</v>
      </c>
      <c r="Z2292" s="4" t="s">
        <v>63</v>
      </c>
      <c r="AA2292" s="4" t="s">
        <v>63</v>
      </c>
      <c r="AB2292" s="4" t="s">
        <v>63</v>
      </c>
      <c r="AC2292" s="4" t="s">
        <v>67</v>
      </c>
      <c r="AD2292" s="4" t="s">
        <v>63</v>
      </c>
      <c r="AE2292" s="4" t="s">
        <v>63</v>
      </c>
      <c r="AF2292" s="4" t="s">
        <v>63</v>
      </c>
      <c r="AG2292" s="4" t="s">
        <v>63</v>
      </c>
      <c r="AH2292" s="4" t="s">
        <v>63</v>
      </c>
      <c r="AI2292" s="4" t="s">
        <v>63</v>
      </c>
      <c r="AJ2292" s="4" t="s">
        <v>63</v>
      </c>
      <c r="AK2292" s="4" t="s">
        <v>63</v>
      </c>
      <c r="AL2292" s="4" t="s">
        <v>63</v>
      </c>
      <c r="AM2292" s="4" t="s">
        <v>19421</v>
      </c>
      <c r="AN2292" s="4" t="s">
        <v>63</v>
      </c>
      <c r="AO2292" s="4" t="s">
        <v>63</v>
      </c>
      <c r="AP2292" s="4" t="s">
        <v>63</v>
      </c>
      <c r="AQ2292" s="4" t="s">
        <v>63</v>
      </c>
      <c r="AR2292" s="4" t="s">
        <v>63</v>
      </c>
      <c r="AS2292" s="4" t="s">
        <v>63</v>
      </c>
      <c r="AT2292" s="4" t="s">
        <v>63</v>
      </c>
      <c r="AU2292" s="4" t="s">
        <v>63</v>
      </c>
      <c r="AV2292" s="4" t="s">
        <v>63</v>
      </c>
      <c r="AW2292" s="4" t="s">
        <v>63</v>
      </c>
      <c r="AX2292" s="4" t="s">
        <v>63</v>
      </c>
      <c r="AY2292" s="4" t="s">
        <v>63</v>
      </c>
      <c r="AZ2292" s="4" t="s">
        <v>63</v>
      </c>
      <c r="BA2292" s="4" t="s">
        <v>63</v>
      </c>
      <c r="BB2292" s="4" t="s">
        <v>63</v>
      </c>
      <c r="BC2292" s="4" t="s">
        <v>63</v>
      </c>
      <c r="BD2292" s="4" t="s">
        <v>63</v>
      </c>
      <c r="BE2292" s="4" t="s">
        <v>63</v>
      </c>
      <c r="BF2292" s="4" t="s">
        <v>63</v>
      </c>
    </row>
    <row r="2293" spans="1:58">
      <c r="A2293" s="4" t="s">
        <v>58</v>
      </c>
      <c r="B2293" s="4" t="s">
        <v>19425</v>
      </c>
      <c r="C2293" s="4" t="s">
        <v>19426</v>
      </c>
      <c r="D2293" s="4" t="s">
        <v>19427</v>
      </c>
      <c r="E2293" s="4" t="s">
        <v>19428</v>
      </c>
      <c r="F2293" s="4">
        <v>2008</v>
      </c>
      <c r="G2293" s="4" t="s">
        <v>15904</v>
      </c>
      <c r="H2293" s="4">
        <v>46</v>
      </c>
      <c r="I2293" s="4">
        <v>4</v>
      </c>
      <c r="J2293" s="4">
        <v>151</v>
      </c>
      <c r="K2293" s="4">
        <v>160</v>
      </c>
      <c r="L2293" s="4" t="s">
        <v>19429</v>
      </c>
      <c r="M2293" s="4" t="s">
        <v>63</v>
      </c>
      <c r="N2293" s="4" t="s">
        <v>19430</v>
      </c>
      <c r="O2293" s="4" t="s">
        <v>63</v>
      </c>
      <c r="P2293" s="4"/>
      <c r="Q2293" s="4" t="s">
        <v>63</v>
      </c>
      <c r="R2293" s="4" t="s">
        <v>63</v>
      </c>
      <c r="S2293" s="4" t="s">
        <v>63</v>
      </c>
      <c r="T2293" s="4" t="s">
        <v>63</v>
      </c>
      <c r="U2293" s="4"/>
      <c r="V2293" s="4"/>
      <c r="W2293" s="4"/>
      <c r="X2293" s="4" t="s">
        <v>63</v>
      </c>
      <c r="Y2293" s="4" t="s">
        <v>19431</v>
      </c>
      <c r="Z2293" s="4" t="s">
        <v>63</v>
      </c>
      <c r="AA2293" s="4" t="s">
        <v>63</v>
      </c>
      <c r="AB2293" s="4">
        <v>2009259831</v>
      </c>
      <c r="AC2293" s="4" t="s">
        <v>67</v>
      </c>
      <c r="AD2293" s="4" t="s">
        <v>63</v>
      </c>
      <c r="AE2293" s="4" t="s">
        <v>63</v>
      </c>
      <c r="AF2293" s="4" t="s">
        <v>63</v>
      </c>
      <c r="AG2293" s="4" t="s">
        <v>19432</v>
      </c>
      <c r="AH2293" s="4" t="s">
        <v>63</v>
      </c>
      <c r="AI2293" s="4" t="s">
        <v>19433</v>
      </c>
      <c r="AJ2293" s="4" t="s">
        <v>63</v>
      </c>
      <c r="AK2293" s="4" t="s">
        <v>63</v>
      </c>
      <c r="AL2293" s="4" t="s">
        <v>63</v>
      </c>
      <c r="AM2293" s="4" t="s">
        <v>19434</v>
      </c>
      <c r="AN2293" s="4" t="s">
        <v>63</v>
      </c>
      <c r="AO2293" s="4" t="s">
        <v>63</v>
      </c>
      <c r="AP2293" s="4" t="s">
        <v>63</v>
      </c>
      <c r="AQ2293" s="4" t="s">
        <v>63</v>
      </c>
      <c r="AR2293" s="4" t="s">
        <v>63</v>
      </c>
      <c r="AS2293" s="4" t="s">
        <v>63</v>
      </c>
      <c r="AT2293" s="4" t="s">
        <v>63</v>
      </c>
      <c r="AU2293" s="4" t="s">
        <v>63</v>
      </c>
      <c r="AV2293" s="4" t="s">
        <v>63</v>
      </c>
      <c r="AW2293" s="4" t="s">
        <v>63</v>
      </c>
      <c r="AX2293" s="4" t="s">
        <v>63</v>
      </c>
      <c r="AY2293" s="4" t="s">
        <v>63</v>
      </c>
      <c r="AZ2293" s="4" t="s">
        <v>63</v>
      </c>
      <c r="BA2293" s="4" t="s">
        <v>63</v>
      </c>
      <c r="BB2293" s="4" t="s">
        <v>63</v>
      </c>
      <c r="BC2293" s="4" t="s">
        <v>63</v>
      </c>
      <c r="BD2293" s="4" t="s">
        <v>63</v>
      </c>
      <c r="BE2293" s="4" t="s">
        <v>63</v>
      </c>
      <c r="BF2293" s="4" t="s">
        <v>63</v>
      </c>
    </row>
    <row r="2294" spans="1:58">
      <c r="A2294" s="4" t="s">
        <v>58</v>
      </c>
      <c r="B2294" s="4" t="s">
        <v>19435</v>
      </c>
      <c r="C2294" s="4" t="s">
        <v>19436</v>
      </c>
      <c r="D2294" s="4" t="s">
        <v>15589</v>
      </c>
      <c r="E2294" s="4" t="s">
        <v>63</v>
      </c>
      <c r="F2294" s="4">
        <v>2015</v>
      </c>
      <c r="G2294" s="4">
        <v>31</v>
      </c>
      <c r="H2294" s="4" t="s">
        <v>18796</v>
      </c>
      <c r="I2294" s="4" t="s">
        <v>63</v>
      </c>
      <c r="J2294" s="4">
        <v>1807</v>
      </c>
      <c r="K2294" s="4" t="s">
        <v>63</v>
      </c>
      <c r="L2294" s="4" t="s">
        <v>19437</v>
      </c>
      <c r="M2294" s="4" t="s">
        <v>19438</v>
      </c>
      <c r="N2294" s="4" t="s">
        <v>19439</v>
      </c>
      <c r="O2294" s="4" t="s">
        <v>63</v>
      </c>
      <c r="P2294" s="4"/>
      <c r="Q2294" s="4" t="s">
        <v>63</v>
      </c>
      <c r="R2294" s="4" t="s">
        <v>63</v>
      </c>
      <c r="S2294" s="4" t="s">
        <v>63</v>
      </c>
      <c r="T2294" s="4" t="s">
        <v>63</v>
      </c>
      <c r="U2294" s="4"/>
      <c r="V2294" s="4"/>
      <c r="W2294" s="4"/>
      <c r="X2294" s="4" t="s">
        <v>63</v>
      </c>
      <c r="Y2294" s="4" t="s">
        <v>3365</v>
      </c>
      <c r="Z2294" s="4" t="s">
        <v>63</v>
      </c>
      <c r="AA2294" s="4" t="s">
        <v>63</v>
      </c>
      <c r="AB2294" s="4" t="s">
        <v>63</v>
      </c>
      <c r="AC2294" s="4" t="s">
        <v>67</v>
      </c>
      <c r="AD2294" s="4" t="s">
        <v>63</v>
      </c>
      <c r="AE2294" s="4" t="s">
        <v>63</v>
      </c>
      <c r="AF2294" s="4" t="s">
        <v>63</v>
      </c>
      <c r="AG2294" s="4" t="s">
        <v>63</v>
      </c>
      <c r="AH2294" s="4" t="s">
        <v>63</v>
      </c>
      <c r="AI2294" s="4" t="s">
        <v>63</v>
      </c>
      <c r="AJ2294" s="4" t="s">
        <v>63</v>
      </c>
      <c r="AK2294" s="4" t="s">
        <v>63</v>
      </c>
      <c r="AL2294" s="4" t="s">
        <v>63</v>
      </c>
      <c r="AM2294" s="4" t="s">
        <v>19436</v>
      </c>
      <c r="AN2294" s="4" t="s">
        <v>63</v>
      </c>
      <c r="AO2294" s="4" t="s">
        <v>63</v>
      </c>
      <c r="AP2294" s="4" t="s">
        <v>63</v>
      </c>
      <c r="AQ2294" s="4" t="s">
        <v>63</v>
      </c>
      <c r="AR2294" s="4" t="s">
        <v>63</v>
      </c>
      <c r="AS2294" s="4" t="s">
        <v>63</v>
      </c>
      <c r="AT2294" s="4" t="s">
        <v>63</v>
      </c>
      <c r="AU2294" s="4" t="s">
        <v>63</v>
      </c>
      <c r="AV2294" s="4" t="s">
        <v>63</v>
      </c>
      <c r="AW2294" s="4" t="s">
        <v>63</v>
      </c>
      <c r="AX2294" s="4" t="s">
        <v>63</v>
      </c>
      <c r="AY2294" s="4" t="s">
        <v>63</v>
      </c>
      <c r="AZ2294" s="4" t="s">
        <v>63</v>
      </c>
      <c r="BA2294" s="4" t="s">
        <v>63</v>
      </c>
      <c r="BB2294" s="4" t="s">
        <v>63</v>
      </c>
      <c r="BC2294" s="4" t="s">
        <v>63</v>
      </c>
      <c r="BD2294" s="4" t="s">
        <v>63</v>
      </c>
      <c r="BE2294" s="4" t="s">
        <v>63</v>
      </c>
      <c r="BF2294" s="4" t="s">
        <v>63</v>
      </c>
    </row>
    <row r="2295" spans="1:58">
      <c r="A2295" s="4" t="s">
        <v>58</v>
      </c>
      <c r="B2295" s="4" t="s">
        <v>19440</v>
      </c>
      <c r="C2295" s="4" t="s">
        <v>19441</v>
      </c>
      <c r="D2295" s="4" t="s">
        <v>19442</v>
      </c>
      <c r="E2295" s="4" t="s">
        <v>63</v>
      </c>
      <c r="F2295" s="4">
        <v>2016</v>
      </c>
      <c r="G2295" s="4">
        <v>1</v>
      </c>
      <c r="H2295" s="4">
        <v>12</v>
      </c>
      <c r="I2295" s="4">
        <v>7</v>
      </c>
      <c r="J2295" s="4" t="s">
        <v>19443</v>
      </c>
      <c r="K2295" s="4" t="s">
        <v>19444</v>
      </c>
      <c r="L2295" s="4" t="s">
        <v>19445</v>
      </c>
      <c r="M2295" s="4" t="s">
        <v>19446</v>
      </c>
      <c r="N2295" s="4" t="s">
        <v>19447</v>
      </c>
      <c r="O2295" s="4" t="s">
        <v>63</v>
      </c>
      <c r="P2295" s="4"/>
      <c r="Q2295" s="4" t="s">
        <v>63</v>
      </c>
      <c r="R2295" s="4" t="s">
        <v>63</v>
      </c>
      <c r="S2295" s="4" t="s">
        <v>63</v>
      </c>
      <c r="T2295" s="4" t="s">
        <v>63</v>
      </c>
      <c r="U2295" s="4"/>
      <c r="V2295" s="4"/>
      <c r="W2295" s="4"/>
      <c r="X2295" s="4" t="s">
        <v>63</v>
      </c>
      <c r="Y2295" s="4" t="s">
        <v>19448</v>
      </c>
      <c r="Z2295" s="4" t="s">
        <v>63</v>
      </c>
      <c r="AA2295" s="4" t="s">
        <v>63</v>
      </c>
      <c r="AB2295" s="4" t="s">
        <v>63</v>
      </c>
      <c r="AC2295" s="4" t="s">
        <v>67</v>
      </c>
      <c r="AD2295" s="4" t="s">
        <v>63</v>
      </c>
      <c r="AE2295" s="4" t="s">
        <v>63</v>
      </c>
      <c r="AF2295" s="4" t="s">
        <v>63</v>
      </c>
      <c r="AG2295" s="4" t="s">
        <v>63</v>
      </c>
      <c r="AH2295" s="4" t="s">
        <v>63</v>
      </c>
      <c r="AI2295" s="4" t="s">
        <v>63</v>
      </c>
      <c r="AJ2295" s="4" t="s">
        <v>63</v>
      </c>
      <c r="AK2295" s="4" t="s">
        <v>63</v>
      </c>
      <c r="AL2295" s="4" t="s">
        <v>63</v>
      </c>
      <c r="AM2295" s="4" t="s">
        <v>19441</v>
      </c>
      <c r="AN2295" s="4" t="s">
        <v>63</v>
      </c>
      <c r="AO2295" s="4" t="s">
        <v>63</v>
      </c>
      <c r="AP2295" s="4" t="s">
        <v>63</v>
      </c>
      <c r="AQ2295" s="4" t="s">
        <v>63</v>
      </c>
      <c r="AR2295" s="4" t="s">
        <v>63</v>
      </c>
      <c r="AS2295" s="4" t="s">
        <v>63</v>
      </c>
      <c r="AT2295" s="4" t="s">
        <v>63</v>
      </c>
      <c r="AU2295" s="4" t="s">
        <v>63</v>
      </c>
      <c r="AV2295" s="4" t="s">
        <v>63</v>
      </c>
      <c r="AW2295" s="4" t="s">
        <v>63</v>
      </c>
      <c r="AX2295" s="4" t="s">
        <v>63</v>
      </c>
      <c r="AY2295" s="4" t="s">
        <v>63</v>
      </c>
      <c r="AZ2295" s="4" t="s">
        <v>63</v>
      </c>
      <c r="BA2295" s="4" t="s">
        <v>63</v>
      </c>
      <c r="BB2295" s="4" t="s">
        <v>63</v>
      </c>
      <c r="BC2295" s="4" t="s">
        <v>63</v>
      </c>
      <c r="BD2295" s="4" t="s">
        <v>63</v>
      </c>
      <c r="BE2295" s="4" t="s">
        <v>63</v>
      </c>
      <c r="BF2295" s="4" t="s">
        <v>63</v>
      </c>
    </row>
    <row r="2296" spans="1:58">
      <c r="A2296" s="4" t="s">
        <v>58</v>
      </c>
      <c r="B2296" s="4" t="s">
        <v>19449</v>
      </c>
      <c r="C2296" s="4" t="s">
        <v>19450</v>
      </c>
      <c r="D2296" s="4" t="s">
        <v>19258</v>
      </c>
      <c r="E2296" s="4" t="s">
        <v>63</v>
      </c>
      <c r="F2296" s="4">
        <v>1952</v>
      </c>
      <c r="G2296" s="4" t="s">
        <v>63</v>
      </c>
      <c r="H2296" s="4" t="s">
        <v>19451</v>
      </c>
      <c r="I2296" s="4">
        <v>11</v>
      </c>
      <c r="J2296" s="4">
        <v>139</v>
      </c>
      <c r="K2296" s="4">
        <v>141</v>
      </c>
      <c r="L2296" s="4" t="s">
        <v>19452</v>
      </c>
      <c r="M2296" s="4" t="s">
        <v>63</v>
      </c>
      <c r="N2296" s="4" t="s">
        <v>19453</v>
      </c>
      <c r="O2296" s="4" t="s">
        <v>63</v>
      </c>
      <c r="P2296" s="4"/>
      <c r="Q2296" s="4" t="s">
        <v>63</v>
      </c>
      <c r="R2296" s="4" t="s">
        <v>63</v>
      </c>
      <c r="S2296" s="4" t="s">
        <v>63</v>
      </c>
      <c r="T2296" s="4" t="s">
        <v>63</v>
      </c>
      <c r="U2296" s="4"/>
      <c r="V2296" s="4"/>
      <c r="W2296" s="4"/>
      <c r="X2296" s="4" t="s">
        <v>63</v>
      </c>
      <c r="Y2296" s="4" t="s">
        <v>8128</v>
      </c>
      <c r="Z2296" s="4" t="s">
        <v>63</v>
      </c>
      <c r="AA2296" s="4" t="s">
        <v>63</v>
      </c>
      <c r="AB2296" s="4" t="s">
        <v>63</v>
      </c>
      <c r="AC2296" s="4" t="s">
        <v>5266</v>
      </c>
      <c r="AD2296" s="4" t="s">
        <v>63</v>
      </c>
      <c r="AE2296" s="4" t="s">
        <v>63</v>
      </c>
      <c r="AF2296" s="4" t="s">
        <v>63</v>
      </c>
      <c r="AG2296" s="4" t="s">
        <v>19454</v>
      </c>
      <c r="AH2296" s="4" t="s">
        <v>63</v>
      </c>
      <c r="AI2296" s="4" t="s">
        <v>63</v>
      </c>
      <c r="AJ2296" s="4" t="s">
        <v>63</v>
      </c>
      <c r="AK2296" s="4" t="s">
        <v>63</v>
      </c>
      <c r="AL2296" s="4" t="s">
        <v>63</v>
      </c>
      <c r="AM2296" s="4" t="s">
        <v>19455</v>
      </c>
      <c r="AN2296" s="4" t="s">
        <v>63</v>
      </c>
      <c r="AO2296" s="4" t="s">
        <v>63</v>
      </c>
      <c r="AP2296" s="4" t="s">
        <v>63</v>
      </c>
      <c r="AQ2296" s="4" t="s">
        <v>63</v>
      </c>
      <c r="AR2296" s="4" t="s">
        <v>63</v>
      </c>
      <c r="AS2296" s="4" t="s">
        <v>63</v>
      </c>
      <c r="AT2296" s="4" t="s">
        <v>63</v>
      </c>
      <c r="AU2296" s="4" t="s">
        <v>63</v>
      </c>
      <c r="AV2296" s="4" t="s">
        <v>63</v>
      </c>
      <c r="AW2296" s="4" t="s">
        <v>63</v>
      </c>
      <c r="AX2296" s="4" t="s">
        <v>63</v>
      </c>
      <c r="AY2296" s="4" t="s">
        <v>63</v>
      </c>
      <c r="AZ2296" s="4" t="s">
        <v>63</v>
      </c>
      <c r="BA2296" s="4" t="s">
        <v>63</v>
      </c>
      <c r="BB2296" s="4" t="s">
        <v>63</v>
      </c>
      <c r="BC2296" s="4" t="s">
        <v>63</v>
      </c>
      <c r="BD2296" s="4" t="s">
        <v>63</v>
      </c>
      <c r="BE2296" s="4" t="s">
        <v>63</v>
      </c>
      <c r="BF2296" s="4" t="s">
        <v>63</v>
      </c>
    </row>
    <row r="2297" spans="1:58">
      <c r="A2297" s="4" t="s">
        <v>58</v>
      </c>
      <c r="B2297" s="4" t="s">
        <v>19456</v>
      </c>
      <c r="C2297" s="4" t="s">
        <v>19457</v>
      </c>
      <c r="D2297" s="4" t="s">
        <v>938</v>
      </c>
      <c r="E2297" s="4" t="s">
        <v>63</v>
      </c>
      <c r="F2297" s="4">
        <v>2017</v>
      </c>
      <c r="G2297" s="4">
        <v>1</v>
      </c>
      <c r="H2297" s="4">
        <v>26</v>
      </c>
      <c r="I2297" s="4">
        <v>3</v>
      </c>
      <c r="J2297" s="4">
        <v>275</v>
      </c>
      <c r="K2297" s="4">
        <v>276</v>
      </c>
      <c r="L2297" s="4" t="s">
        <v>19458</v>
      </c>
      <c r="M2297" s="4" t="s">
        <v>19459</v>
      </c>
      <c r="N2297" s="4" t="s">
        <v>19460</v>
      </c>
      <c r="O2297" s="4" t="s">
        <v>63</v>
      </c>
      <c r="P2297" s="4"/>
      <c r="Q2297" s="4" t="s">
        <v>63</v>
      </c>
      <c r="R2297" s="4" t="s">
        <v>63</v>
      </c>
      <c r="S2297" s="4" t="s">
        <v>63</v>
      </c>
      <c r="T2297" s="4" t="s">
        <v>63</v>
      </c>
      <c r="U2297" s="4"/>
      <c r="V2297" s="4"/>
      <c r="W2297" s="4"/>
      <c r="X2297" s="4" t="s">
        <v>63</v>
      </c>
      <c r="Y2297" s="4" t="s">
        <v>2500</v>
      </c>
      <c r="Z2297" s="4" t="s">
        <v>63</v>
      </c>
      <c r="AA2297" s="4" t="s">
        <v>63</v>
      </c>
      <c r="AB2297" s="4" t="s">
        <v>63</v>
      </c>
      <c r="AC2297" s="4" t="s">
        <v>67</v>
      </c>
      <c r="AD2297" s="4" t="s">
        <v>63</v>
      </c>
      <c r="AE2297" s="4" t="s">
        <v>63</v>
      </c>
      <c r="AF2297" s="4" t="s">
        <v>63</v>
      </c>
      <c r="AG2297" s="4" t="s">
        <v>63</v>
      </c>
      <c r="AH2297" s="4" t="s">
        <v>63</v>
      </c>
      <c r="AI2297" s="4" t="s">
        <v>17298</v>
      </c>
      <c r="AJ2297" s="4" t="s">
        <v>63</v>
      </c>
      <c r="AK2297" s="4" t="s">
        <v>63</v>
      </c>
      <c r="AL2297" s="4" t="s">
        <v>63</v>
      </c>
      <c r="AM2297" s="4" t="s">
        <v>19457</v>
      </c>
      <c r="AN2297" s="4" t="s">
        <v>63</v>
      </c>
      <c r="AO2297" s="4" t="s">
        <v>63</v>
      </c>
      <c r="AP2297" s="4" t="s">
        <v>63</v>
      </c>
      <c r="AQ2297" s="4" t="s">
        <v>63</v>
      </c>
      <c r="AR2297" s="4" t="s">
        <v>63</v>
      </c>
      <c r="AS2297" s="4" t="s">
        <v>63</v>
      </c>
      <c r="AT2297" s="4" t="s">
        <v>63</v>
      </c>
      <c r="AU2297" s="4" t="s">
        <v>63</v>
      </c>
      <c r="AV2297" s="4" t="s">
        <v>63</v>
      </c>
      <c r="AW2297" s="4" t="s">
        <v>63</v>
      </c>
      <c r="AX2297" s="4" t="s">
        <v>63</v>
      </c>
      <c r="AY2297" s="4" t="s">
        <v>63</v>
      </c>
      <c r="AZ2297" s="4" t="s">
        <v>63</v>
      </c>
      <c r="BA2297" s="4" t="s">
        <v>63</v>
      </c>
      <c r="BB2297" s="4" t="s">
        <v>63</v>
      </c>
      <c r="BC2297" s="4" t="s">
        <v>63</v>
      </c>
      <c r="BD2297" s="4" t="s">
        <v>63</v>
      </c>
      <c r="BE2297" s="4" t="s">
        <v>63</v>
      </c>
      <c r="BF2297" s="4" t="s">
        <v>63</v>
      </c>
    </row>
    <row r="2298" spans="1:58">
      <c r="A2298" s="4" t="s">
        <v>58</v>
      </c>
      <c r="B2298" s="4" t="s">
        <v>19461</v>
      </c>
      <c r="C2298" s="4" t="s">
        <v>19462</v>
      </c>
      <c r="D2298" s="4" t="s">
        <v>15972</v>
      </c>
      <c r="E2298" s="4" t="s">
        <v>15973</v>
      </c>
      <c r="F2298" s="4">
        <v>2015</v>
      </c>
      <c r="G2298" s="4" t="s">
        <v>15300</v>
      </c>
      <c r="H2298" s="4">
        <v>30</v>
      </c>
      <c r="I2298" s="4">
        <v>8</v>
      </c>
      <c r="J2298" s="4">
        <v>882</v>
      </c>
      <c r="K2298" s="4" t="s">
        <v>63</v>
      </c>
      <c r="L2298" s="4" t="s">
        <v>19463</v>
      </c>
      <c r="M2298" s="4" t="s">
        <v>19464</v>
      </c>
      <c r="N2298" s="4" t="s">
        <v>19465</v>
      </c>
      <c r="O2298" s="4" t="s">
        <v>63</v>
      </c>
      <c r="P2298" s="4"/>
      <c r="Q2298" s="4" t="s">
        <v>63</v>
      </c>
      <c r="R2298" s="4" t="s">
        <v>63</v>
      </c>
      <c r="S2298" s="4" t="s">
        <v>63</v>
      </c>
      <c r="T2298" s="4" t="s">
        <v>63</v>
      </c>
      <c r="U2298" s="4"/>
      <c r="V2298" s="4"/>
      <c r="W2298" s="4"/>
      <c r="X2298" s="4" t="s">
        <v>63</v>
      </c>
      <c r="Y2298" s="4" t="s">
        <v>15977</v>
      </c>
      <c r="Z2298" s="4" t="s">
        <v>63</v>
      </c>
      <c r="AA2298" s="4" t="s">
        <v>63</v>
      </c>
      <c r="AB2298" s="4" t="s">
        <v>63</v>
      </c>
      <c r="AC2298" s="4" t="s">
        <v>67</v>
      </c>
      <c r="AD2298" s="4" t="s">
        <v>63</v>
      </c>
      <c r="AE2298" s="4" t="s">
        <v>63</v>
      </c>
      <c r="AF2298" s="4" t="s">
        <v>63</v>
      </c>
      <c r="AG2298" s="4" t="s">
        <v>63</v>
      </c>
      <c r="AH2298" s="4" t="s">
        <v>63</v>
      </c>
      <c r="AI2298" s="4" t="s">
        <v>19466</v>
      </c>
      <c r="AJ2298" s="4" t="s">
        <v>63</v>
      </c>
      <c r="AK2298" s="4" t="s">
        <v>63</v>
      </c>
      <c r="AL2298" s="4" t="s">
        <v>63</v>
      </c>
      <c r="AM2298" s="4" t="s">
        <v>19462</v>
      </c>
      <c r="AN2298" s="4" t="s">
        <v>63</v>
      </c>
      <c r="AO2298" s="4" t="s">
        <v>63</v>
      </c>
      <c r="AP2298" s="4" t="s">
        <v>63</v>
      </c>
      <c r="AQ2298" s="4" t="s">
        <v>63</v>
      </c>
      <c r="AR2298" s="4" t="s">
        <v>63</v>
      </c>
      <c r="AS2298" s="4" t="s">
        <v>63</v>
      </c>
      <c r="AT2298" s="4" t="s">
        <v>63</v>
      </c>
      <c r="AU2298" s="4" t="s">
        <v>63</v>
      </c>
      <c r="AV2298" s="4" t="s">
        <v>63</v>
      </c>
      <c r="AW2298" s="4" t="s">
        <v>63</v>
      </c>
      <c r="AX2298" s="4" t="s">
        <v>63</v>
      </c>
      <c r="AY2298" s="4" t="s">
        <v>63</v>
      </c>
      <c r="AZ2298" s="4" t="s">
        <v>63</v>
      </c>
      <c r="BA2298" s="4" t="s">
        <v>63</v>
      </c>
      <c r="BB2298" s="4" t="s">
        <v>63</v>
      </c>
      <c r="BC2298" s="4" t="s">
        <v>63</v>
      </c>
      <c r="BD2298" s="4" t="s">
        <v>63</v>
      </c>
      <c r="BE2298" s="4" t="s">
        <v>63</v>
      </c>
      <c r="BF2298" s="4" t="s">
        <v>63</v>
      </c>
    </row>
    <row r="2299" spans="1:58">
      <c r="A2299" s="4" t="s">
        <v>58</v>
      </c>
      <c r="B2299" s="4" t="s">
        <v>19467</v>
      </c>
      <c r="C2299" s="4" t="s">
        <v>19468</v>
      </c>
      <c r="D2299" s="4" t="s">
        <v>15672</v>
      </c>
      <c r="E2299" s="4" t="s">
        <v>15672</v>
      </c>
      <c r="F2299" s="4">
        <v>2016</v>
      </c>
      <c r="G2299" s="4" t="s">
        <v>15165</v>
      </c>
      <c r="H2299" s="4">
        <v>150</v>
      </c>
      <c r="I2299" s="4">
        <v>4</v>
      </c>
      <c r="J2299" s="4" t="s">
        <v>19469</v>
      </c>
      <c r="K2299" s="4" t="s">
        <v>63</v>
      </c>
      <c r="L2299" s="4" t="s">
        <v>19470</v>
      </c>
      <c r="M2299" s="4" t="s">
        <v>19471</v>
      </c>
      <c r="N2299" s="4" t="s">
        <v>19472</v>
      </c>
      <c r="O2299" s="4" t="s">
        <v>63</v>
      </c>
      <c r="P2299" s="4"/>
      <c r="Q2299" s="4" t="s">
        <v>63</v>
      </c>
      <c r="R2299" s="4" t="s">
        <v>63</v>
      </c>
      <c r="S2299" s="4" t="s">
        <v>63</v>
      </c>
      <c r="T2299" s="4" t="s">
        <v>63</v>
      </c>
      <c r="U2299" s="4"/>
      <c r="V2299" s="4"/>
      <c r="W2299" s="4"/>
      <c r="X2299" s="4" t="s">
        <v>63</v>
      </c>
      <c r="Y2299" s="4" t="s">
        <v>15677</v>
      </c>
      <c r="Z2299" s="4" t="s">
        <v>63</v>
      </c>
      <c r="AA2299" s="4" t="s">
        <v>63</v>
      </c>
      <c r="AB2299" s="4" t="s">
        <v>63</v>
      </c>
      <c r="AC2299" s="4" t="s">
        <v>67</v>
      </c>
      <c r="AD2299" s="4" t="s">
        <v>63</v>
      </c>
      <c r="AE2299" s="4" t="s">
        <v>63</v>
      </c>
      <c r="AF2299" s="4" t="s">
        <v>63</v>
      </c>
      <c r="AG2299" s="4" t="s">
        <v>63</v>
      </c>
      <c r="AH2299" s="4" t="s">
        <v>63</v>
      </c>
      <c r="AI2299" s="4" t="s">
        <v>63</v>
      </c>
      <c r="AJ2299" s="4" t="s">
        <v>63</v>
      </c>
      <c r="AK2299" s="4" t="s">
        <v>63</v>
      </c>
      <c r="AL2299" s="4" t="s">
        <v>63</v>
      </c>
      <c r="AM2299" s="4" t="s">
        <v>19468</v>
      </c>
      <c r="AN2299" s="4" t="s">
        <v>63</v>
      </c>
      <c r="AO2299" s="4" t="s">
        <v>63</v>
      </c>
      <c r="AP2299" s="4" t="s">
        <v>63</v>
      </c>
      <c r="AQ2299" s="4" t="s">
        <v>63</v>
      </c>
      <c r="AR2299" s="4" t="s">
        <v>63</v>
      </c>
      <c r="AS2299" s="4" t="s">
        <v>63</v>
      </c>
      <c r="AT2299" s="4" t="s">
        <v>63</v>
      </c>
      <c r="AU2299" s="4" t="s">
        <v>63</v>
      </c>
      <c r="AV2299" s="4" t="s">
        <v>63</v>
      </c>
      <c r="AW2299" s="4" t="s">
        <v>63</v>
      </c>
      <c r="AX2299" s="4" t="s">
        <v>63</v>
      </c>
      <c r="AY2299" s="4" t="s">
        <v>63</v>
      </c>
      <c r="AZ2299" s="4" t="s">
        <v>63</v>
      </c>
      <c r="BA2299" s="4" t="s">
        <v>63</v>
      </c>
      <c r="BB2299" s="4" t="s">
        <v>63</v>
      </c>
      <c r="BC2299" s="4" t="s">
        <v>63</v>
      </c>
      <c r="BD2299" s="4" t="s">
        <v>63</v>
      </c>
      <c r="BE2299" s="4" t="s">
        <v>63</v>
      </c>
      <c r="BF2299" s="4" t="s">
        <v>63</v>
      </c>
    </row>
    <row r="2300" spans="1:58">
      <c r="A2300" s="4" t="s">
        <v>58</v>
      </c>
      <c r="B2300" s="4" t="s">
        <v>19473</v>
      </c>
      <c r="C2300" s="4" t="s">
        <v>19474</v>
      </c>
      <c r="D2300" s="4" t="s">
        <v>19475</v>
      </c>
      <c r="E2300" s="4" t="s">
        <v>63</v>
      </c>
      <c r="F2300" s="4">
        <v>1975</v>
      </c>
      <c r="G2300" s="4" t="s">
        <v>63</v>
      </c>
      <c r="H2300" s="4">
        <v>10</v>
      </c>
      <c r="I2300" s="4">
        <v>7</v>
      </c>
      <c r="J2300" s="4">
        <v>133</v>
      </c>
      <c r="K2300" s="4">
        <v>136</v>
      </c>
      <c r="L2300" s="4" t="s">
        <v>19476</v>
      </c>
      <c r="M2300" s="4" t="s">
        <v>63</v>
      </c>
      <c r="N2300" s="4" t="s">
        <v>19477</v>
      </c>
      <c r="O2300" s="4" t="s">
        <v>63</v>
      </c>
      <c r="P2300" s="4"/>
      <c r="Q2300" s="4" t="s">
        <v>63</v>
      </c>
      <c r="R2300" s="4" t="s">
        <v>63</v>
      </c>
      <c r="S2300" s="4" t="s">
        <v>63</v>
      </c>
      <c r="T2300" s="4" t="s">
        <v>63</v>
      </c>
      <c r="U2300" s="4"/>
      <c r="V2300" s="4"/>
      <c r="W2300" s="4"/>
      <c r="X2300" s="4" t="s">
        <v>63</v>
      </c>
      <c r="Y2300" s="4" t="s">
        <v>19478</v>
      </c>
      <c r="Z2300" s="4" t="s">
        <v>63</v>
      </c>
      <c r="AA2300" s="4" t="s">
        <v>63</v>
      </c>
      <c r="AB2300" s="4" t="s">
        <v>19479</v>
      </c>
      <c r="AC2300" s="4" t="s">
        <v>102</v>
      </c>
      <c r="AD2300" s="4" t="s">
        <v>63</v>
      </c>
      <c r="AE2300" s="4" t="s">
        <v>63</v>
      </c>
      <c r="AF2300" s="4" t="s">
        <v>63</v>
      </c>
      <c r="AG2300" s="4" t="s">
        <v>63</v>
      </c>
      <c r="AH2300" s="4" t="s">
        <v>63</v>
      </c>
      <c r="AI2300" s="4" t="s">
        <v>63</v>
      </c>
      <c r="AJ2300" s="4" t="s">
        <v>63</v>
      </c>
      <c r="AK2300" s="4" t="s">
        <v>63</v>
      </c>
      <c r="AL2300" s="4" t="s">
        <v>63</v>
      </c>
      <c r="AM2300" s="4" t="s">
        <v>19474</v>
      </c>
      <c r="AN2300" s="4" t="s">
        <v>63</v>
      </c>
      <c r="AO2300" s="4" t="s">
        <v>63</v>
      </c>
      <c r="AP2300" s="4" t="s">
        <v>63</v>
      </c>
      <c r="AQ2300" s="4" t="s">
        <v>63</v>
      </c>
      <c r="AR2300" s="4" t="s">
        <v>63</v>
      </c>
      <c r="AS2300" s="4" t="s">
        <v>63</v>
      </c>
      <c r="AT2300" s="4" t="s">
        <v>63</v>
      </c>
      <c r="AU2300" s="4" t="s">
        <v>63</v>
      </c>
      <c r="AV2300" s="4" t="s">
        <v>63</v>
      </c>
      <c r="AW2300" s="4" t="s">
        <v>63</v>
      </c>
      <c r="AX2300" s="4" t="s">
        <v>63</v>
      </c>
      <c r="AY2300" s="4" t="s">
        <v>63</v>
      </c>
      <c r="AZ2300" s="4" t="s">
        <v>63</v>
      </c>
      <c r="BA2300" s="4" t="s">
        <v>63</v>
      </c>
      <c r="BB2300" s="4" t="s">
        <v>63</v>
      </c>
      <c r="BC2300" s="4" t="s">
        <v>63</v>
      </c>
      <c r="BD2300" s="4" t="s">
        <v>63</v>
      </c>
      <c r="BE2300" s="4" t="s">
        <v>63</v>
      </c>
      <c r="BF2300" s="4" t="s">
        <v>63</v>
      </c>
    </row>
    <row r="2301" spans="1:58">
      <c r="A2301" s="4" t="s">
        <v>58</v>
      </c>
      <c r="B2301" s="4" t="s">
        <v>19480</v>
      </c>
      <c r="C2301" s="4" t="s">
        <v>19481</v>
      </c>
      <c r="D2301" s="4" t="s">
        <v>19482</v>
      </c>
      <c r="E2301" s="4" t="s">
        <v>63</v>
      </c>
      <c r="F2301" s="4">
        <v>2015</v>
      </c>
      <c r="G2301" s="4">
        <v>1</v>
      </c>
      <c r="H2301" s="4" t="s">
        <v>19483</v>
      </c>
      <c r="I2301" s="4" t="s">
        <v>63</v>
      </c>
      <c r="J2301" s="4">
        <v>119</v>
      </c>
      <c r="K2301" s="4">
        <v>124</v>
      </c>
      <c r="L2301" s="4" t="s">
        <v>19484</v>
      </c>
      <c r="M2301" s="4" t="s">
        <v>63</v>
      </c>
      <c r="N2301" s="4" t="s">
        <v>19485</v>
      </c>
      <c r="O2301" s="4" t="s">
        <v>63</v>
      </c>
      <c r="P2301" s="4"/>
      <c r="Q2301" s="4" t="s">
        <v>63</v>
      </c>
      <c r="R2301" s="4" t="s">
        <v>63</v>
      </c>
      <c r="S2301" s="4" t="s">
        <v>63</v>
      </c>
      <c r="T2301" s="4" t="s">
        <v>63</v>
      </c>
      <c r="U2301" s="4"/>
      <c r="V2301" s="4"/>
      <c r="W2301" s="4"/>
      <c r="X2301" s="4" t="s">
        <v>63</v>
      </c>
      <c r="Y2301" s="4" t="s">
        <v>19486</v>
      </c>
      <c r="Z2301" s="4" t="s">
        <v>63</v>
      </c>
      <c r="AA2301" s="4" t="s">
        <v>63</v>
      </c>
      <c r="AB2301" s="4" t="s">
        <v>19487</v>
      </c>
      <c r="AC2301" s="4" t="s">
        <v>67</v>
      </c>
      <c r="AD2301" s="4" t="s">
        <v>63</v>
      </c>
      <c r="AE2301" s="4" t="s">
        <v>63</v>
      </c>
      <c r="AF2301" s="4" t="s">
        <v>63</v>
      </c>
      <c r="AG2301" s="4" t="s">
        <v>63</v>
      </c>
      <c r="AH2301" s="4" t="s">
        <v>63</v>
      </c>
      <c r="AI2301" s="4" t="s">
        <v>19488</v>
      </c>
      <c r="AJ2301" s="4" t="s">
        <v>63</v>
      </c>
      <c r="AK2301" s="4" t="s">
        <v>63</v>
      </c>
      <c r="AL2301" s="4" t="s">
        <v>63</v>
      </c>
      <c r="AM2301" s="4" t="s">
        <v>19481</v>
      </c>
      <c r="AN2301" s="4" t="s">
        <v>63</v>
      </c>
      <c r="AO2301" s="4" t="s">
        <v>63</v>
      </c>
      <c r="AP2301" s="4" t="s">
        <v>63</v>
      </c>
      <c r="AQ2301" s="4" t="s">
        <v>63</v>
      </c>
      <c r="AR2301" s="4" t="s">
        <v>63</v>
      </c>
      <c r="AS2301" s="4" t="s">
        <v>63</v>
      </c>
      <c r="AT2301" s="4" t="s">
        <v>63</v>
      </c>
      <c r="AU2301" s="4" t="s">
        <v>63</v>
      </c>
      <c r="AV2301" s="4" t="s">
        <v>63</v>
      </c>
      <c r="AW2301" s="4" t="s">
        <v>63</v>
      </c>
      <c r="AX2301" s="4" t="s">
        <v>63</v>
      </c>
      <c r="AY2301" s="4" t="s">
        <v>63</v>
      </c>
      <c r="AZ2301" s="4" t="s">
        <v>63</v>
      </c>
      <c r="BA2301" s="4" t="s">
        <v>63</v>
      </c>
      <c r="BB2301" s="4" t="s">
        <v>63</v>
      </c>
      <c r="BC2301" s="4" t="s">
        <v>63</v>
      </c>
      <c r="BD2301" s="4" t="s">
        <v>63</v>
      </c>
      <c r="BE2301" s="4" t="s">
        <v>63</v>
      </c>
      <c r="BF2301" s="4" t="s">
        <v>63</v>
      </c>
    </row>
    <row r="2302" spans="1:58">
      <c r="A2302" s="4" t="s">
        <v>58</v>
      </c>
      <c r="B2302" s="4" t="s">
        <v>19489</v>
      </c>
      <c r="C2302" s="4" t="s">
        <v>19490</v>
      </c>
      <c r="D2302" s="4" t="s">
        <v>5220</v>
      </c>
      <c r="E2302" s="4" t="s">
        <v>5221</v>
      </c>
      <c r="F2302" s="4">
        <v>1963</v>
      </c>
      <c r="G2302" s="4">
        <v>30</v>
      </c>
      <c r="H2302" s="4">
        <v>1</v>
      </c>
      <c r="I2302" s="4">
        <v>5334</v>
      </c>
      <c r="J2302" s="4">
        <v>852</v>
      </c>
      <c r="K2302" s="4">
        <v>855</v>
      </c>
      <c r="L2302" s="4" t="s">
        <v>19491</v>
      </c>
      <c r="M2302" s="4" t="s">
        <v>63</v>
      </c>
      <c r="N2302" s="4" t="s">
        <v>19492</v>
      </c>
      <c r="O2302" s="4" t="s">
        <v>63</v>
      </c>
      <c r="P2302" s="4"/>
      <c r="Q2302" s="4" t="s">
        <v>63</v>
      </c>
      <c r="R2302" s="4" t="s">
        <v>63</v>
      </c>
      <c r="S2302" s="4" t="s">
        <v>63</v>
      </c>
      <c r="T2302" s="4" t="s">
        <v>63</v>
      </c>
      <c r="U2302" s="4"/>
      <c r="V2302" s="4"/>
      <c r="W2302" s="4"/>
      <c r="X2302" s="4" t="s">
        <v>63</v>
      </c>
      <c r="Y2302" s="4" t="s">
        <v>5224</v>
      </c>
      <c r="Z2302" s="4" t="s">
        <v>63</v>
      </c>
      <c r="AA2302" s="4" t="s">
        <v>63</v>
      </c>
      <c r="AB2302" s="4" t="s">
        <v>63</v>
      </c>
      <c r="AC2302" s="4" t="s">
        <v>67</v>
      </c>
      <c r="AD2302" s="4" t="s">
        <v>63</v>
      </c>
      <c r="AE2302" s="4" t="s">
        <v>63</v>
      </c>
      <c r="AF2302" s="4" t="s">
        <v>63</v>
      </c>
      <c r="AG2302" s="4" t="s">
        <v>19493</v>
      </c>
      <c r="AH2302" s="4" t="s">
        <v>63</v>
      </c>
      <c r="AI2302" s="4" t="s">
        <v>63</v>
      </c>
      <c r="AJ2302" s="4" t="s">
        <v>63</v>
      </c>
      <c r="AK2302" s="4" t="s">
        <v>63</v>
      </c>
      <c r="AL2302" s="4" t="s">
        <v>63</v>
      </c>
      <c r="AM2302" s="4" t="s">
        <v>19494</v>
      </c>
      <c r="AN2302" s="4" t="s">
        <v>63</v>
      </c>
      <c r="AO2302" s="4" t="s">
        <v>63</v>
      </c>
      <c r="AP2302" s="4" t="s">
        <v>63</v>
      </c>
      <c r="AQ2302" s="4" t="s">
        <v>63</v>
      </c>
      <c r="AR2302" s="4" t="s">
        <v>63</v>
      </c>
      <c r="AS2302" s="4" t="s">
        <v>63</v>
      </c>
      <c r="AT2302" s="4" t="s">
        <v>63</v>
      </c>
      <c r="AU2302" s="4" t="s">
        <v>63</v>
      </c>
      <c r="AV2302" s="4" t="s">
        <v>63</v>
      </c>
      <c r="AW2302" s="4" t="s">
        <v>63</v>
      </c>
      <c r="AX2302" s="4" t="s">
        <v>63</v>
      </c>
      <c r="AY2302" s="4" t="s">
        <v>63</v>
      </c>
      <c r="AZ2302" s="4" t="s">
        <v>63</v>
      </c>
      <c r="BA2302" s="4" t="s">
        <v>63</v>
      </c>
      <c r="BB2302" s="4" t="s">
        <v>63</v>
      </c>
      <c r="BC2302" s="4" t="s">
        <v>63</v>
      </c>
      <c r="BD2302" s="4" t="s">
        <v>63</v>
      </c>
      <c r="BE2302" s="4" t="s">
        <v>63</v>
      </c>
      <c r="BF2302" s="4" t="s">
        <v>63</v>
      </c>
    </row>
    <row r="2303" spans="1:58">
      <c r="A2303" s="4" t="s">
        <v>58</v>
      </c>
      <c r="B2303" s="4" t="s">
        <v>19495</v>
      </c>
      <c r="C2303" s="4" t="s">
        <v>19496</v>
      </c>
      <c r="D2303" s="4" t="s">
        <v>18941</v>
      </c>
      <c r="E2303" s="4" t="s">
        <v>18942</v>
      </c>
      <c r="F2303" s="4">
        <v>2017</v>
      </c>
      <c r="G2303" s="4" t="s">
        <v>63</v>
      </c>
      <c r="H2303" s="4">
        <v>55</v>
      </c>
      <c r="I2303" s="4">
        <v>7</v>
      </c>
      <c r="J2303" s="4">
        <v>786</v>
      </c>
      <c r="K2303" s="4" t="s">
        <v>63</v>
      </c>
      <c r="L2303" s="4" t="s">
        <v>19497</v>
      </c>
      <c r="M2303" s="4" t="s">
        <v>19498</v>
      </c>
      <c r="N2303" s="4" t="s">
        <v>19499</v>
      </c>
      <c r="O2303" s="4" t="s">
        <v>63</v>
      </c>
      <c r="P2303" s="4"/>
      <c r="Q2303" s="4" t="s">
        <v>63</v>
      </c>
      <c r="R2303" s="4" t="s">
        <v>63</v>
      </c>
      <c r="S2303" s="4" t="s">
        <v>63</v>
      </c>
      <c r="T2303" s="4" t="s">
        <v>63</v>
      </c>
      <c r="U2303" s="4"/>
      <c r="V2303" s="4"/>
      <c r="W2303" s="4"/>
      <c r="X2303" s="4" t="s">
        <v>63</v>
      </c>
      <c r="Y2303" s="4" t="s">
        <v>19500</v>
      </c>
      <c r="Z2303" s="4" t="s">
        <v>63</v>
      </c>
      <c r="AA2303" s="4" t="s">
        <v>63</v>
      </c>
      <c r="AB2303" s="4" t="s">
        <v>63</v>
      </c>
      <c r="AC2303" s="4" t="s">
        <v>67</v>
      </c>
      <c r="AD2303" s="4" t="s">
        <v>63</v>
      </c>
      <c r="AE2303" s="4" t="s">
        <v>63</v>
      </c>
      <c r="AF2303" s="4" t="s">
        <v>63</v>
      </c>
      <c r="AG2303" s="4" t="s">
        <v>63</v>
      </c>
      <c r="AH2303" s="4" t="s">
        <v>63</v>
      </c>
      <c r="AI2303" s="4" t="s">
        <v>19501</v>
      </c>
      <c r="AJ2303" s="4" t="s">
        <v>63</v>
      </c>
      <c r="AK2303" s="4" t="s">
        <v>63</v>
      </c>
      <c r="AL2303" s="4" t="s">
        <v>63</v>
      </c>
      <c r="AM2303" s="4" t="s">
        <v>19496</v>
      </c>
      <c r="AN2303" s="4" t="s">
        <v>63</v>
      </c>
      <c r="AO2303" s="4" t="s">
        <v>63</v>
      </c>
      <c r="AP2303" s="4" t="s">
        <v>63</v>
      </c>
      <c r="AQ2303" s="4" t="s">
        <v>63</v>
      </c>
      <c r="AR2303" s="4" t="s">
        <v>63</v>
      </c>
      <c r="AS2303" s="4" t="s">
        <v>63</v>
      </c>
      <c r="AT2303" s="4" t="s">
        <v>63</v>
      </c>
      <c r="AU2303" s="4" t="s">
        <v>63</v>
      </c>
      <c r="AV2303" s="4" t="s">
        <v>63</v>
      </c>
      <c r="AW2303" s="4" t="s">
        <v>63</v>
      </c>
      <c r="AX2303" s="4" t="s">
        <v>63</v>
      </c>
      <c r="AY2303" s="4" t="s">
        <v>63</v>
      </c>
      <c r="AZ2303" s="4" t="s">
        <v>63</v>
      </c>
      <c r="BA2303" s="4" t="s">
        <v>63</v>
      </c>
      <c r="BB2303" s="4" t="s">
        <v>63</v>
      </c>
      <c r="BC2303" s="4" t="s">
        <v>63</v>
      </c>
      <c r="BD2303" s="4" t="s">
        <v>63</v>
      </c>
      <c r="BE2303" s="4" t="s">
        <v>63</v>
      </c>
      <c r="BF2303" s="4" t="s">
        <v>63</v>
      </c>
    </row>
    <row r="2304" spans="1:58">
      <c r="A2304" s="4" t="s">
        <v>58</v>
      </c>
      <c r="B2304" s="4" t="s">
        <v>19502</v>
      </c>
      <c r="C2304" s="4" t="s">
        <v>19503</v>
      </c>
      <c r="D2304" s="4" t="s">
        <v>938</v>
      </c>
      <c r="E2304" s="4" t="s">
        <v>63</v>
      </c>
      <c r="F2304" s="4">
        <v>2013</v>
      </c>
      <c r="G2304" s="4" t="s">
        <v>17066</v>
      </c>
      <c r="H2304" s="4">
        <v>22</v>
      </c>
      <c r="I2304" s="4">
        <v>3</v>
      </c>
      <c r="J2304" s="4">
        <v>306</v>
      </c>
      <c r="K2304" s="4" t="s">
        <v>63</v>
      </c>
      <c r="L2304" s="4" t="s">
        <v>19504</v>
      </c>
      <c r="M2304" s="4" t="s">
        <v>19505</v>
      </c>
      <c r="N2304" s="4" t="s">
        <v>19506</v>
      </c>
      <c r="O2304" s="4" t="s">
        <v>63</v>
      </c>
      <c r="P2304" s="4"/>
      <c r="Q2304" s="4" t="s">
        <v>63</v>
      </c>
      <c r="R2304" s="4" t="s">
        <v>63</v>
      </c>
      <c r="S2304" s="4" t="s">
        <v>63</v>
      </c>
      <c r="T2304" s="4" t="s">
        <v>63</v>
      </c>
      <c r="U2304" s="4"/>
      <c r="V2304" s="4"/>
      <c r="W2304" s="4"/>
      <c r="X2304" s="4" t="s">
        <v>63</v>
      </c>
      <c r="Y2304" s="4" t="s">
        <v>2500</v>
      </c>
      <c r="Z2304" s="4" t="s">
        <v>63</v>
      </c>
      <c r="AA2304" s="4" t="s">
        <v>63</v>
      </c>
      <c r="AB2304" s="4" t="s">
        <v>63</v>
      </c>
      <c r="AC2304" s="4" t="s">
        <v>67</v>
      </c>
      <c r="AD2304" s="4" t="s">
        <v>63</v>
      </c>
      <c r="AE2304" s="4" t="s">
        <v>63</v>
      </c>
      <c r="AF2304" s="4" t="s">
        <v>63</v>
      </c>
      <c r="AG2304" s="4" t="s">
        <v>63</v>
      </c>
      <c r="AH2304" s="4" t="s">
        <v>63</v>
      </c>
      <c r="AI2304" s="4" t="s">
        <v>19507</v>
      </c>
      <c r="AJ2304" s="4" t="s">
        <v>63</v>
      </c>
      <c r="AK2304" s="4" t="s">
        <v>63</v>
      </c>
      <c r="AL2304" s="4" t="s">
        <v>63</v>
      </c>
      <c r="AM2304" s="4" t="s">
        <v>19503</v>
      </c>
      <c r="AN2304" s="4" t="s">
        <v>63</v>
      </c>
      <c r="AO2304" s="4" t="s">
        <v>63</v>
      </c>
      <c r="AP2304" s="4" t="s">
        <v>63</v>
      </c>
      <c r="AQ2304" s="4" t="s">
        <v>63</v>
      </c>
      <c r="AR2304" s="4" t="s">
        <v>63</v>
      </c>
      <c r="AS2304" s="4" t="s">
        <v>63</v>
      </c>
      <c r="AT2304" s="4" t="s">
        <v>63</v>
      </c>
      <c r="AU2304" s="4" t="s">
        <v>63</v>
      </c>
      <c r="AV2304" s="4" t="s">
        <v>63</v>
      </c>
      <c r="AW2304" s="4" t="s">
        <v>63</v>
      </c>
      <c r="AX2304" s="4" t="s">
        <v>63</v>
      </c>
      <c r="AY2304" s="4" t="s">
        <v>63</v>
      </c>
      <c r="AZ2304" s="4" t="s">
        <v>63</v>
      </c>
      <c r="BA2304" s="4" t="s">
        <v>63</v>
      </c>
      <c r="BB2304" s="4" t="s">
        <v>63</v>
      </c>
      <c r="BC2304" s="4" t="s">
        <v>63</v>
      </c>
      <c r="BD2304" s="4" t="s">
        <v>63</v>
      </c>
      <c r="BE2304" s="4" t="s">
        <v>63</v>
      </c>
      <c r="BF2304" s="4" t="s">
        <v>63</v>
      </c>
    </row>
    <row r="2305" spans="1:58">
      <c r="A2305" s="4" t="s">
        <v>58</v>
      </c>
      <c r="B2305" s="4" t="s">
        <v>19508</v>
      </c>
      <c r="C2305" s="4" t="s">
        <v>19509</v>
      </c>
      <c r="D2305" s="4" t="s">
        <v>8441</v>
      </c>
      <c r="E2305" s="4" t="s">
        <v>63</v>
      </c>
      <c r="F2305" s="4">
        <v>1991</v>
      </c>
      <c r="G2305" s="4" t="s">
        <v>63</v>
      </c>
      <c r="H2305" s="4">
        <v>6</v>
      </c>
      <c r="I2305" s="4">
        <v>2</v>
      </c>
      <c r="J2305" s="4">
        <v>123</v>
      </c>
      <c r="K2305" s="4">
        <v>128</v>
      </c>
      <c r="L2305" s="4" t="s">
        <v>19510</v>
      </c>
      <c r="M2305" s="4" t="s">
        <v>19511</v>
      </c>
      <c r="N2305" s="4" t="s">
        <v>19512</v>
      </c>
      <c r="O2305" s="4" t="s">
        <v>63</v>
      </c>
      <c r="P2305" s="4"/>
      <c r="Q2305" s="4" t="s">
        <v>63</v>
      </c>
      <c r="R2305" s="4" t="s">
        <v>63</v>
      </c>
      <c r="S2305" s="4" t="s">
        <v>63</v>
      </c>
      <c r="T2305" s="4" t="s">
        <v>63</v>
      </c>
      <c r="U2305" s="4"/>
      <c r="V2305" s="4"/>
      <c r="W2305" s="4"/>
      <c r="X2305" s="4" t="s">
        <v>63</v>
      </c>
      <c r="Y2305" s="4" t="s">
        <v>8444</v>
      </c>
      <c r="Z2305" s="4" t="s">
        <v>63</v>
      </c>
      <c r="AA2305" s="4" t="s">
        <v>63</v>
      </c>
      <c r="AB2305" s="4">
        <v>1992018605</v>
      </c>
      <c r="AC2305" s="4" t="s">
        <v>67</v>
      </c>
      <c r="AD2305" s="4" t="s">
        <v>63</v>
      </c>
      <c r="AE2305" s="4" t="s">
        <v>63</v>
      </c>
      <c r="AF2305" s="4" t="s">
        <v>63</v>
      </c>
      <c r="AG2305" s="4" t="s">
        <v>19513</v>
      </c>
      <c r="AH2305" s="4" t="s">
        <v>63</v>
      </c>
      <c r="AI2305" s="4" t="s">
        <v>63</v>
      </c>
      <c r="AJ2305" s="4" t="s">
        <v>63</v>
      </c>
      <c r="AK2305" s="4" t="s">
        <v>63</v>
      </c>
      <c r="AL2305" s="4" t="s">
        <v>63</v>
      </c>
      <c r="AM2305" s="4" t="s">
        <v>19514</v>
      </c>
      <c r="AN2305" s="4" t="s">
        <v>63</v>
      </c>
      <c r="AO2305" s="4" t="s">
        <v>63</v>
      </c>
      <c r="AP2305" s="4" t="s">
        <v>63</v>
      </c>
      <c r="AQ2305" s="4" t="s">
        <v>63</v>
      </c>
      <c r="AR2305" s="4" t="s">
        <v>63</v>
      </c>
      <c r="AS2305" s="4" t="s">
        <v>63</v>
      </c>
      <c r="AT2305" s="4" t="s">
        <v>63</v>
      </c>
      <c r="AU2305" s="4" t="s">
        <v>63</v>
      </c>
      <c r="AV2305" s="4" t="s">
        <v>63</v>
      </c>
      <c r="AW2305" s="4" t="s">
        <v>63</v>
      </c>
      <c r="AX2305" s="4" t="s">
        <v>63</v>
      </c>
      <c r="AY2305" s="4" t="s">
        <v>63</v>
      </c>
      <c r="AZ2305" s="4" t="s">
        <v>63</v>
      </c>
      <c r="BA2305" s="4" t="s">
        <v>63</v>
      </c>
      <c r="BB2305" s="4" t="s">
        <v>63</v>
      </c>
      <c r="BC2305" s="4" t="s">
        <v>63</v>
      </c>
      <c r="BD2305" s="4" t="s">
        <v>63</v>
      </c>
      <c r="BE2305" s="4" t="s">
        <v>63</v>
      </c>
      <c r="BF2305" s="4" t="s">
        <v>63</v>
      </c>
    </row>
    <row r="2306" spans="1:58">
      <c r="A2306" s="4" t="s">
        <v>58</v>
      </c>
      <c r="B2306" s="4" t="s">
        <v>19515</v>
      </c>
      <c r="C2306" s="4" t="s">
        <v>19516</v>
      </c>
      <c r="D2306" s="4" t="s">
        <v>19517</v>
      </c>
      <c r="E2306" s="4" t="s">
        <v>63</v>
      </c>
      <c r="F2306" s="4">
        <v>2009</v>
      </c>
      <c r="G2306" s="4" t="s">
        <v>15155</v>
      </c>
      <c r="H2306" s="4" t="s">
        <v>15509</v>
      </c>
      <c r="I2306" s="4" t="s">
        <v>63</v>
      </c>
      <c r="J2306" s="4" t="s">
        <v>19518</v>
      </c>
      <c r="K2306" s="4" t="s">
        <v>63</v>
      </c>
      <c r="L2306" s="4" t="s">
        <v>19519</v>
      </c>
      <c r="M2306" s="4" t="s">
        <v>19520</v>
      </c>
      <c r="N2306" s="4" t="s">
        <v>19521</v>
      </c>
      <c r="O2306" s="4" t="s">
        <v>63</v>
      </c>
      <c r="P2306" s="4"/>
      <c r="Q2306" s="4" t="s">
        <v>63</v>
      </c>
      <c r="R2306" s="4" t="s">
        <v>63</v>
      </c>
      <c r="S2306" s="4" t="s">
        <v>63</v>
      </c>
      <c r="T2306" s="4" t="s">
        <v>63</v>
      </c>
      <c r="U2306" s="4"/>
      <c r="V2306" s="4"/>
      <c r="W2306" s="4"/>
      <c r="X2306" s="4" t="s">
        <v>63</v>
      </c>
      <c r="Y2306" s="4" t="s">
        <v>4213</v>
      </c>
      <c r="Z2306" s="4" t="s">
        <v>63</v>
      </c>
      <c r="AA2306" s="4" t="s">
        <v>63</v>
      </c>
      <c r="AB2306" s="4" t="s">
        <v>63</v>
      </c>
      <c r="AC2306" s="4" t="s">
        <v>67</v>
      </c>
      <c r="AD2306" s="4" t="s">
        <v>63</v>
      </c>
      <c r="AE2306" s="4" t="s">
        <v>63</v>
      </c>
      <c r="AF2306" s="4" t="s">
        <v>63</v>
      </c>
      <c r="AG2306" s="4" t="s">
        <v>63</v>
      </c>
      <c r="AH2306" s="4" t="s">
        <v>63</v>
      </c>
      <c r="AI2306" s="4" t="s">
        <v>19522</v>
      </c>
      <c r="AJ2306" s="4" t="s">
        <v>63</v>
      </c>
      <c r="AK2306" s="4" t="s">
        <v>63</v>
      </c>
      <c r="AL2306" s="4" t="s">
        <v>63</v>
      </c>
      <c r="AM2306" s="4" t="s">
        <v>19516</v>
      </c>
      <c r="AN2306" s="4" t="s">
        <v>63</v>
      </c>
      <c r="AO2306" s="4" t="s">
        <v>63</v>
      </c>
      <c r="AP2306" s="4" t="s">
        <v>63</v>
      </c>
      <c r="AQ2306" s="4" t="s">
        <v>63</v>
      </c>
      <c r="AR2306" s="4" t="s">
        <v>63</v>
      </c>
      <c r="AS2306" s="4" t="s">
        <v>63</v>
      </c>
      <c r="AT2306" s="4" t="s">
        <v>63</v>
      </c>
      <c r="AU2306" s="4" t="s">
        <v>63</v>
      </c>
      <c r="AV2306" s="4" t="s">
        <v>63</v>
      </c>
      <c r="AW2306" s="4" t="s">
        <v>63</v>
      </c>
      <c r="AX2306" s="4" t="s">
        <v>63</v>
      </c>
      <c r="AY2306" s="4" t="s">
        <v>63</v>
      </c>
      <c r="AZ2306" s="4" t="s">
        <v>63</v>
      </c>
      <c r="BA2306" s="4" t="s">
        <v>63</v>
      </c>
      <c r="BB2306" s="4" t="s">
        <v>63</v>
      </c>
      <c r="BC2306" s="4" t="s">
        <v>63</v>
      </c>
      <c r="BD2306" s="4" t="s">
        <v>63</v>
      </c>
      <c r="BE2306" s="4" t="s">
        <v>63</v>
      </c>
      <c r="BF2306" s="4" t="s">
        <v>63</v>
      </c>
    </row>
    <row r="2307" spans="1:58">
      <c r="A2307" s="4" t="s">
        <v>58</v>
      </c>
      <c r="B2307" s="4" t="s">
        <v>19523</v>
      </c>
      <c r="C2307" s="4" t="s">
        <v>19524</v>
      </c>
      <c r="D2307" s="4" t="s">
        <v>1689</v>
      </c>
      <c r="E2307" s="4" t="s">
        <v>63</v>
      </c>
      <c r="F2307" s="4">
        <v>2009</v>
      </c>
      <c r="G2307" s="4" t="s">
        <v>15508</v>
      </c>
      <c r="H2307" s="4">
        <v>17</v>
      </c>
      <c r="I2307" s="4">
        <v>1</v>
      </c>
      <c r="J2307" s="4">
        <v>75</v>
      </c>
      <c r="K2307" s="4">
        <v>82</v>
      </c>
      <c r="L2307" s="4" t="s">
        <v>19525</v>
      </c>
      <c r="M2307" s="4" t="s">
        <v>19526</v>
      </c>
      <c r="N2307" s="4" t="s">
        <v>19527</v>
      </c>
      <c r="O2307" s="4" t="s">
        <v>63</v>
      </c>
      <c r="P2307" s="4"/>
      <c r="Q2307" s="4" t="s">
        <v>63</v>
      </c>
      <c r="R2307" s="4" t="s">
        <v>63</v>
      </c>
      <c r="S2307" s="4" t="s">
        <v>63</v>
      </c>
      <c r="T2307" s="4" t="s">
        <v>63</v>
      </c>
      <c r="U2307" s="4"/>
      <c r="V2307" s="4"/>
      <c r="W2307" s="4"/>
      <c r="X2307" s="4" t="s">
        <v>63</v>
      </c>
      <c r="Y2307" s="4" t="s">
        <v>19528</v>
      </c>
      <c r="Z2307" s="4" t="s">
        <v>63</v>
      </c>
      <c r="AA2307" s="4" t="s">
        <v>63</v>
      </c>
      <c r="AB2307" s="4">
        <v>2009310395</v>
      </c>
      <c r="AC2307" s="4" t="s">
        <v>67</v>
      </c>
      <c r="AD2307" s="4" t="s">
        <v>63</v>
      </c>
      <c r="AE2307" s="4" t="s">
        <v>63</v>
      </c>
      <c r="AF2307" s="4" t="s">
        <v>63</v>
      </c>
      <c r="AG2307" s="4" t="s">
        <v>19529</v>
      </c>
      <c r="AH2307" s="4" t="s">
        <v>63</v>
      </c>
      <c r="AI2307" s="4" t="s">
        <v>19530</v>
      </c>
      <c r="AJ2307" s="4" t="s">
        <v>63</v>
      </c>
      <c r="AK2307" s="4" t="s">
        <v>63</v>
      </c>
      <c r="AL2307" s="4" t="s">
        <v>63</v>
      </c>
      <c r="AM2307" s="4" t="s">
        <v>19531</v>
      </c>
      <c r="AN2307" s="4" t="s">
        <v>63</v>
      </c>
      <c r="AO2307" s="4" t="s">
        <v>63</v>
      </c>
      <c r="AP2307" s="4" t="s">
        <v>63</v>
      </c>
      <c r="AQ2307" s="4" t="s">
        <v>63</v>
      </c>
      <c r="AR2307" s="4" t="s">
        <v>63</v>
      </c>
      <c r="AS2307" s="4" t="s">
        <v>63</v>
      </c>
      <c r="AT2307" s="4" t="s">
        <v>63</v>
      </c>
      <c r="AU2307" s="4" t="s">
        <v>63</v>
      </c>
      <c r="AV2307" s="4" t="s">
        <v>63</v>
      </c>
      <c r="AW2307" s="4" t="s">
        <v>63</v>
      </c>
      <c r="AX2307" s="4" t="s">
        <v>63</v>
      </c>
      <c r="AY2307" s="4" t="s">
        <v>63</v>
      </c>
      <c r="AZ2307" s="4" t="s">
        <v>63</v>
      </c>
      <c r="BA2307" s="4" t="s">
        <v>63</v>
      </c>
      <c r="BB2307" s="4" t="s">
        <v>63</v>
      </c>
      <c r="BC2307" s="4" t="s">
        <v>63</v>
      </c>
      <c r="BD2307" s="4" t="s">
        <v>63</v>
      </c>
      <c r="BE2307" s="4" t="s">
        <v>63</v>
      </c>
      <c r="BF2307" s="4" t="s">
        <v>63</v>
      </c>
    </row>
    <row r="2308" spans="1:58">
      <c r="A2308" s="4" t="s">
        <v>58</v>
      </c>
      <c r="B2308" s="4" t="s">
        <v>19532</v>
      </c>
      <c r="C2308" s="4" t="s">
        <v>19533</v>
      </c>
      <c r="D2308" s="4" t="s">
        <v>16100</v>
      </c>
      <c r="E2308" s="4" t="s">
        <v>63</v>
      </c>
      <c r="F2308" s="4">
        <v>1993</v>
      </c>
      <c r="G2308" s="4" t="s">
        <v>63</v>
      </c>
      <c r="H2308" s="4">
        <v>28</v>
      </c>
      <c r="I2308" s="4">
        <v>6</v>
      </c>
      <c r="J2308" s="4">
        <v>617</v>
      </c>
      <c r="K2308" s="4">
        <v>620</v>
      </c>
      <c r="L2308" s="4" t="s">
        <v>19534</v>
      </c>
      <c r="M2308" s="4" t="s">
        <v>19535</v>
      </c>
      <c r="N2308" s="4" t="s">
        <v>19536</v>
      </c>
      <c r="O2308" s="4" t="s">
        <v>63</v>
      </c>
      <c r="P2308" s="4"/>
      <c r="Q2308" s="4" t="s">
        <v>63</v>
      </c>
      <c r="R2308" s="4" t="s">
        <v>63</v>
      </c>
      <c r="S2308" s="4" t="s">
        <v>63</v>
      </c>
      <c r="T2308" s="4" t="s">
        <v>63</v>
      </c>
      <c r="U2308" s="4"/>
      <c r="V2308" s="4"/>
      <c r="W2308" s="4"/>
      <c r="X2308" s="4" t="s">
        <v>63</v>
      </c>
      <c r="Y2308" s="4" t="s">
        <v>185</v>
      </c>
      <c r="Z2308" s="4" t="s">
        <v>63</v>
      </c>
      <c r="AA2308" s="4" t="s">
        <v>63</v>
      </c>
      <c r="AB2308" s="4">
        <v>1994044592</v>
      </c>
      <c r="AC2308" s="4" t="s">
        <v>67</v>
      </c>
      <c r="AD2308" s="4" t="s">
        <v>63</v>
      </c>
      <c r="AE2308" s="4" t="s">
        <v>63</v>
      </c>
      <c r="AF2308" s="4" t="s">
        <v>63</v>
      </c>
      <c r="AG2308" s="4" t="s">
        <v>19537</v>
      </c>
      <c r="AH2308" s="4" t="s">
        <v>63</v>
      </c>
      <c r="AI2308" s="4" t="s">
        <v>63</v>
      </c>
      <c r="AJ2308" s="4" t="s">
        <v>63</v>
      </c>
      <c r="AK2308" s="4" t="s">
        <v>63</v>
      </c>
      <c r="AL2308" s="4" t="s">
        <v>63</v>
      </c>
      <c r="AM2308" s="4" t="s">
        <v>19538</v>
      </c>
      <c r="AN2308" s="4" t="s">
        <v>63</v>
      </c>
      <c r="AO2308" s="4" t="s">
        <v>63</v>
      </c>
      <c r="AP2308" s="4" t="s">
        <v>63</v>
      </c>
      <c r="AQ2308" s="4" t="s">
        <v>63</v>
      </c>
      <c r="AR2308" s="4" t="s">
        <v>63</v>
      </c>
      <c r="AS2308" s="4" t="s">
        <v>63</v>
      </c>
      <c r="AT2308" s="4" t="s">
        <v>63</v>
      </c>
      <c r="AU2308" s="4" t="s">
        <v>63</v>
      </c>
      <c r="AV2308" s="4" t="s">
        <v>63</v>
      </c>
      <c r="AW2308" s="4" t="s">
        <v>63</v>
      </c>
      <c r="AX2308" s="4" t="s">
        <v>63</v>
      </c>
      <c r="AY2308" s="4" t="s">
        <v>63</v>
      </c>
      <c r="AZ2308" s="4" t="s">
        <v>63</v>
      </c>
      <c r="BA2308" s="4" t="s">
        <v>63</v>
      </c>
      <c r="BB2308" s="4" t="s">
        <v>63</v>
      </c>
      <c r="BC2308" s="4" t="s">
        <v>63</v>
      </c>
      <c r="BD2308" s="4" t="s">
        <v>63</v>
      </c>
      <c r="BE2308" s="4" t="s">
        <v>63</v>
      </c>
      <c r="BF2308" s="4" t="s">
        <v>63</v>
      </c>
    </row>
    <row r="2309" spans="1:58">
      <c r="A2309" s="4" t="s">
        <v>58</v>
      </c>
      <c r="B2309" s="4" t="s">
        <v>19539</v>
      </c>
      <c r="C2309" s="4" t="s">
        <v>19540</v>
      </c>
      <c r="D2309" s="4" t="s">
        <v>17517</v>
      </c>
      <c r="E2309" s="4" t="s">
        <v>17517</v>
      </c>
      <c r="F2309" s="4">
        <v>2015</v>
      </c>
      <c r="G2309" s="4" t="s">
        <v>15254</v>
      </c>
      <c r="H2309" s="4" t="s">
        <v>19541</v>
      </c>
      <c r="I2309" s="4" t="s">
        <v>63</v>
      </c>
      <c r="J2309" s="4" t="s">
        <v>19542</v>
      </c>
      <c r="K2309" s="4" t="s">
        <v>19543</v>
      </c>
      <c r="L2309" s="4" t="s">
        <v>19544</v>
      </c>
      <c r="M2309" s="4" t="s">
        <v>19545</v>
      </c>
      <c r="N2309" s="4" t="s">
        <v>19546</v>
      </c>
      <c r="O2309" s="4" t="s">
        <v>63</v>
      </c>
      <c r="P2309" s="4"/>
      <c r="Q2309" s="4" t="s">
        <v>63</v>
      </c>
      <c r="R2309" s="4" t="s">
        <v>63</v>
      </c>
      <c r="S2309" s="4" t="s">
        <v>63</v>
      </c>
      <c r="T2309" s="4" t="s">
        <v>63</v>
      </c>
      <c r="U2309" s="4"/>
      <c r="V2309" s="4"/>
      <c r="W2309" s="4"/>
      <c r="X2309" s="4" t="s">
        <v>63</v>
      </c>
      <c r="Y2309" s="4" t="s">
        <v>17524</v>
      </c>
      <c r="Z2309" s="4" t="s">
        <v>63</v>
      </c>
      <c r="AA2309" s="4" t="s">
        <v>63</v>
      </c>
      <c r="AB2309" s="4" t="s">
        <v>63</v>
      </c>
      <c r="AC2309" s="4" t="s">
        <v>67</v>
      </c>
      <c r="AD2309" s="4" t="s">
        <v>63</v>
      </c>
      <c r="AE2309" s="4" t="s">
        <v>63</v>
      </c>
      <c r="AF2309" s="4" t="s">
        <v>63</v>
      </c>
      <c r="AG2309" s="4" t="s">
        <v>63</v>
      </c>
      <c r="AH2309" s="4" t="s">
        <v>63</v>
      </c>
      <c r="AI2309" s="4" t="s">
        <v>19547</v>
      </c>
      <c r="AJ2309" s="4" t="s">
        <v>63</v>
      </c>
      <c r="AK2309" s="4" t="s">
        <v>63</v>
      </c>
      <c r="AL2309" s="4" t="s">
        <v>63</v>
      </c>
      <c r="AM2309" s="4" t="s">
        <v>19540</v>
      </c>
      <c r="AN2309" s="4" t="s">
        <v>63</v>
      </c>
      <c r="AO2309" s="4" t="s">
        <v>63</v>
      </c>
      <c r="AP2309" s="4" t="s">
        <v>63</v>
      </c>
      <c r="AQ2309" s="4" t="s">
        <v>63</v>
      </c>
      <c r="AR2309" s="4" t="s">
        <v>63</v>
      </c>
      <c r="AS2309" s="4" t="s">
        <v>63</v>
      </c>
      <c r="AT2309" s="4" t="s">
        <v>63</v>
      </c>
      <c r="AU2309" s="4" t="s">
        <v>63</v>
      </c>
      <c r="AV2309" s="4" t="s">
        <v>63</v>
      </c>
      <c r="AW2309" s="4" t="s">
        <v>63</v>
      </c>
      <c r="AX2309" s="4" t="s">
        <v>63</v>
      </c>
      <c r="AY2309" s="4" t="s">
        <v>63</v>
      </c>
      <c r="AZ2309" s="4" t="s">
        <v>63</v>
      </c>
      <c r="BA2309" s="4" t="s">
        <v>63</v>
      </c>
      <c r="BB2309" s="4" t="s">
        <v>63</v>
      </c>
      <c r="BC2309" s="4" t="s">
        <v>63</v>
      </c>
      <c r="BD2309" s="4" t="s">
        <v>63</v>
      </c>
      <c r="BE2309" s="4" t="s">
        <v>63</v>
      </c>
      <c r="BF2309" s="4" t="s">
        <v>63</v>
      </c>
    </row>
    <row r="2310" spans="1:58">
      <c r="A2310" s="4" t="s">
        <v>58</v>
      </c>
      <c r="B2310" s="4" t="s">
        <v>19548</v>
      </c>
      <c r="C2310" s="4" t="s">
        <v>19549</v>
      </c>
      <c r="D2310" s="4" t="s">
        <v>19550</v>
      </c>
      <c r="E2310" s="4" t="s">
        <v>19551</v>
      </c>
      <c r="F2310" s="4" t="s">
        <v>63</v>
      </c>
      <c r="G2310" s="4" t="s">
        <v>63</v>
      </c>
      <c r="H2310" s="4" t="s">
        <v>19552</v>
      </c>
      <c r="I2310" s="4">
        <v>2</v>
      </c>
      <c r="J2310" s="4">
        <v>200</v>
      </c>
      <c r="K2310" s="4">
        <v>207</v>
      </c>
      <c r="L2310" s="4" t="s">
        <v>19553</v>
      </c>
      <c r="M2310" s="4" t="s">
        <v>19554</v>
      </c>
      <c r="N2310" s="4" t="s">
        <v>19555</v>
      </c>
      <c r="O2310" s="4" t="s">
        <v>63</v>
      </c>
      <c r="P2310" s="4"/>
      <c r="Q2310" s="4" t="s">
        <v>63</v>
      </c>
      <c r="R2310" s="4" t="s">
        <v>63</v>
      </c>
      <c r="S2310" s="4" t="s">
        <v>63</v>
      </c>
      <c r="T2310" s="4" t="s">
        <v>63</v>
      </c>
      <c r="U2310" s="4"/>
      <c r="V2310" s="4"/>
      <c r="W2310" s="4"/>
      <c r="X2310" s="4" t="s">
        <v>63</v>
      </c>
      <c r="Y2310" s="4" t="s">
        <v>19556</v>
      </c>
      <c r="Z2310" s="4" t="s">
        <v>63</v>
      </c>
      <c r="AA2310" s="4" t="s">
        <v>63</v>
      </c>
      <c r="AB2310" s="4" t="s">
        <v>19557</v>
      </c>
      <c r="AC2310" s="4" t="s">
        <v>67</v>
      </c>
      <c r="AD2310" s="4" t="s">
        <v>63</v>
      </c>
      <c r="AE2310" s="4" t="s">
        <v>63</v>
      </c>
      <c r="AF2310" s="4" t="s">
        <v>63</v>
      </c>
      <c r="AG2310" s="4" t="s">
        <v>63</v>
      </c>
      <c r="AH2310" s="4" t="s">
        <v>63</v>
      </c>
      <c r="AI2310" s="4" t="s">
        <v>19558</v>
      </c>
      <c r="AJ2310" s="4" t="s">
        <v>63</v>
      </c>
      <c r="AK2310" s="4" t="s">
        <v>63</v>
      </c>
      <c r="AL2310" s="4" t="s">
        <v>63</v>
      </c>
      <c r="AM2310" s="4" t="s">
        <v>19549</v>
      </c>
      <c r="AN2310" s="4" t="s">
        <v>63</v>
      </c>
      <c r="AO2310" s="4" t="s">
        <v>63</v>
      </c>
      <c r="AP2310" s="4" t="s">
        <v>63</v>
      </c>
      <c r="AQ2310" s="4" t="s">
        <v>63</v>
      </c>
      <c r="AR2310" s="4" t="s">
        <v>63</v>
      </c>
      <c r="AS2310" s="4" t="s">
        <v>63</v>
      </c>
      <c r="AT2310" s="4" t="s">
        <v>63</v>
      </c>
      <c r="AU2310" s="4" t="s">
        <v>63</v>
      </c>
      <c r="AV2310" s="4" t="s">
        <v>63</v>
      </c>
      <c r="AW2310" s="4" t="s">
        <v>63</v>
      </c>
      <c r="AX2310" s="4" t="s">
        <v>63</v>
      </c>
      <c r="AY2310" s="4" t="s">
        <v>63</v>
      </c>
      <c r="AZ2310" s="4" t="s">
        <v>63</v>
      </c>
      <c r="BA2310" s="4" t="s">
        <v>63</v>
      </c>
      <c r="BB2310" s="4" t="s">
        <v>63</v>
      </c>
      <c r="BC2310" s="4" t="s">
        <v>63</v>
      </c>
      <c r="BD2310" s="4" t="s">
        <v>63</v>
      </c>
      <c r="BE2310" s="4" t="s">
        <v>63</v>
      </c>
      <c r="BF2310" s="4" t="s">
        <v>63</v>
      </c>
    </row>
    <row r="2311" spans="1:58">
      <c r="A2311" s="4" t="s">
        <v>58</v>
      </c>
      <c r="B2311" s="4" t="s">
        <v>19559</v>
      </c>
      <c r="C2311" s="4" t="s">
        <v>19560</v>
      </c>
      <c r="D2311" s="4" t="s">
        <v>371</v>
      </c>
      <c r="E2311" s="4" t="s">
        <v>63</v>
      </c>
      <c r="F2311" s="4">
        <v>2012</v>
      </c>
      <c r="G2311" s="4" t="s">
        <v>16182</v>
      </c>
      <c r="H2311" s="4" t="s">
        <v>16183</v>
      </c>
      <c r="I2311" s="4" t="s">
        <v>63</v>
      </c>
      <c r="J2311" s="4" t="s">
        <v>19561</v>
      </c>
      <c r="K2311" s="4" t="s">
        <v>19562</v>
      </c>
      <c r="L2311" s="4" t="s">
        <v>19563</v>
      </c>
      <c r="M2311" s="4" t="s">
        <v>19564</v>
      </c>
      <c r="N2311" s="4" t="s">
        <v>19565</v>
      </c>
      <c r="O2311" s="4" t="s">
        <v>63</v>
      </c>
      <c r="P2311" s="4"/>
      <c r="Q2311" s="4" t="s">
        <v>63</v>
      </c>
      <c r="R2311" s="4" t="s">
        <v>63</v>
      </c>
      <c r="S2311" s="4" t="s">
        <v>63</v>
      </c>
      <c r="T2311" s="4" t="s">
        <v>63</v>
      </c>
      <c r="U2311" s="4"/>
      <c r="V2311" s="4"/>
      <c r="W2311" s="4"/>
      <c r="X2311" s="4" t="s">
        <v>63</v>
      </c>
      <c r="Y2311" s="4" t="s">
        <v>375</v>
      </c>
      <c r="Z2311" s="4" t="s">
        <v>63</v>
      </c>
      <c r="AA2311" s="4" t="s">
        <v>63</v>
      </c>
      <c r="AB2311" s="4" t="s">
        <v>63</v>
      </c>
      <c r="AC2311" s="4" t="s">
        <v>67</v>
      </c>
      <c r="AD2311" s="4" t="s">
        <v>63</v>
      </c>
      <c r="AE2311" s="4" t="s">
        <v>63</v>
      </c>
      <c r="AF2311" s="4" t="s">
        <v>63</v>
      </c>
      <c r="AG2311" s="4" t="s">
        <v>63</v>
      </c>
      <c r="AH2311" s="4" t="s">
        <v>63</v>
      </c>
      <c r="AI2311" s="4" t="s">
        <v>63</v>
      </c>
      <c r="AJ2311" s="4" t="s">
        <v>63</v>
      </c>
      <c r="AK2311" s="4" t="s">
        <v>63</v>
      </c>
      <c r="AL2311" s="4" t="s">
        <v>63</v>
      </c>
      <c r="AM2311" s="4" t="s">
        <v>19560</v>
      </c>
      <c r="AN2311" s="4" t="s">
        <v>63</v>
      </c>
      <c r="AO2311" s="4" t="s">
        <v>63</v>
      </c>
      <c r="AP2311" s="4" t="s">
        <v>63</v>
      </c>
      <c r="AQ2311" s="4" t="s">
        <v>63</v>
      </c>
      <c r="AR2311" s="4" t="s">
        <v>63</v>
      </c>
      <c r="AS2311" s="4" t="s">
        <v>63</v>
      </c>
      <c r="AT2311" s="4" t="s">
        <v>63</v>
      </c>
      <c r="AU2311" s="4" t="s">
        <v>63</v>
      </c>
      <c r="AV2311" s="4" t="s">
        <v>63</v>
      </c>
      <c r="AW2311" s="4" t="s">
        <v>63</v>
      </c>
      <c r="AX2311" s="4" t="s">
        <v>63</v>
      </c>
      <c r="AY2311" s="4" t="s">
        <v>63</v>
      </c>
      <c r="AZ2311" s="4" t="s">
        <v>63</v>
      </c>
      <c r="BA2311" s="4" t="s">
        <v>63</v>
      </c>
      <c r="BB2311" s="4" t="s">
        <v>63</v>
      </c>
      <c r="BC2311" s="4" t="s">
        <v>63</v>
      </c>
      <c r="BD2311" s="4" t="s">
        <v>63</v>
      </c>
      <c r="BE2311" s="4" t="s">
        <v>63</v>
      </c>
      <c r="BF2311" s="4" t="s">
        <v>63</v>
      </c>
    </row>
    <row r="2312" spans="1:58">
      <c r="A2312" s="4" t="s">
        <v>58</v>
      </c>
      <c r="B2312" s="4" t="s">
        <v>19566</v>
      </c>
      <c r="C2312" s="4" t="s">
        <v>19567</v>
      </c>
      <c r="D2312" s="4" t="s">
        <v>19568</v>
      </c>
      <c r="E2312" s="4" t="s">
        <v>19569</v>
      </c>
      <c r="F2312" s="4">
        <v>1975</v>
      </c>
      <c r="G2312" s="4" t="s">
        <v>63</v>
      </c>
      <c r="H2312" s="4">
        <v>2</v>
      </c>
      <c r="I2312" s="4">
        <v>2</v>
      </c>
      <c r="J2312" s="4">
        <v>215</v>
      </c>
      <c r="K2312" s="4">
        <v>230</v>
      </c>
      <c r="L2312" s="4" t="s">
        <v>19570</v>
      </c>
      <c r="M2312" s="4" t="s">
        <v>19571</v>
      </c>
      <c r="N2312" s="4" t="s">
        <v>19572</v>
      </c>
      <c r="O2312" s="4" t="s">
        <v>63</v>
      </c>
      <c r="P2312" s="4"/>
      <c r="Q2312" s="4" t="s">
        <v>63</v>
      </c>
      <c r="R2312" s="4" t="s">
        <v>63</v>
      </c>
      <c r="S2312" s="4" t="s">
        <v>63</v>
      </c>
      <c r="T2312" s="4" t="s">
        <v>63</v>
      </c>
      <c r="U2312" s="4"/>
      <c r="V2312" s="4"/>
      <c r="W2312" s="4"/>
      <c r="X2312" s="4" t="s">
        <v>63</v>
      </c>
      <c r="Y2312" s="4" t="s">
        <v>1683</v>
      </c>
      <c r="Z2312" s="4" t="s">
        <v>63</v>
      </c>
      <c r="AA2312" s="4" t="s">
        <v>63</v>
      </c>
      <c r="AB2312" s="4">
        <v>1977122262</v>
      </c>
      <c r="AC2312" s="4" t="s">
        <v>67</v>
      </c>
      <c r="AD2312" s="4" t="s">
        <v>63</v>
      </c>
      <c r="AE2312" s="4" t="s">
        <v>63</v>
      </c>
      <c r="AF2312" s="4" t="s">
        <v>63</v>
      </c>
      <c r="AG2312" s="4" t="s">
        <v>19573</v>
      </c>
      <c r="AH2312" s="4" t="s">
        <v>63</v>
      </c>
      <c r="AI2312" s="4" t="s">
        <v>63</v>
      </c>
      <c r="AJ2312" s="4" t="s">
        <v>63</v>
      </c>
      <c r="AK2312" s="4" t="s">
        <v>63</v>
      </c>
      <c r="AL2312" s="4" t="s">
        <v>63</v>
      </c>
      <c r="AM2312" s="4" t="s">
        <v>19574</v>
      </c>
      <c r="AN2312" s="4" t="s">
        <v>63</v>
      </c>
      <c r="AO2312" s="4" t="s">
        <v>63</v>
      </c>
      <c r="AP2312" s="4" t="s">
        <v>63</v>
      </c>
      <c r="AQ2312" s="4" t="s">
        <v>63</v>
      </c>
      <c r="AR2312" s="4" t="s">
        <v>63</v>
      </c>
      <c r="AS2312" s="4" t="s">
        <v>63</v>
      </c>
      <c r="AT2312" s="4" t="s">
        <v>63</v>
      </c>
      <c r="AU2312" s="4" t="s">
        <v>63</v>
      </c>
      <c r="AV2312" s="4" t="s">
        <v>63</v>
      </c>
      <c r="AW2312" s="4" t="s">
        <v>63</v>
      </c>
      <c r="AX2312" s="4" t="s">
        <v>63</v>
      </c>
      <c r="AY2312" s="4" t="s">
        <v>63</v>
      </c>
      <c r="AZ2312" s="4" t="s">
        <v>63</v>
      </c>
      <c r="BA2312" s="4" t="s">
        <v>63</v>
      </c>
      <c r="BB2312" s="4" t="s">
        <v>63</v>
      </c>
      <c r="BC2312" s="4" t="s">
        <v>63</v>
      </c>
      <c r="BD2312" s="4" t="s">
        <v>63</v>
      </c>
      <c r="BE2312" s="4" t="s">
        <v>63</v>
      </c>
      <c r="BF2312" s="4" t="s">
        <v>63</v>
      </c>
    </row>
    <row r="2313" spans="1:58">
      <c r="A2313" s="4" t="s">
        <v>58</v>
      </c>
      <c r="B2313" s="4" t="s">
        <v>19575</v>
      </c>
      <c r="C2313" s="4" t="s">
        <v>19576</v>
      </c>
      <c r="D2313" s="4" t="s">
        <v>2593</v>
      </c>
      <c r="E2313" s="4" t="s">
        <v>63</v>
      </c>
      <c r="F2313" s="4">
        <v>2013</v>
      </c>
      <c r="G2313" s="4">
        <v>1</v>
      </c>
      <c r="H2313" s="4">
        <v>64</v>
      </c>
      <c r="I2313" s="4">
        <v>5</v>
      </c>
      <c r="J2313" s="4">
        <v>497</v>
      </c>
      <c r="K2313" s="4" t="s">
        <v>63</v>
      </c>
      <c r="L2313" s="4" t="s">
        <v>19577</v>
      </c>
      <c r="M2313" s="4" t="s">
        <v>63</v>
      </c>
      <c r="N2313" s="4" t="s">
        <v>19578</v>
      </c>
      <c r="O2313" s="4" t="s">
        <v>63</v>
      </c>
      <c r="P2313" s="4"/>
      <c r="Q2313" s="4" t="s">
        <v>63</v>
      </c>
      <c r="R2313" s="4" t="s">
        <v>63</v>
      </c>
      <c r="S2313" s="4" t="s">
        <v>63</v>
      </c>
      <c r="T2313" s="4" t="s">
        <v>63</v>
      </c>
      <c r="U2313" s="4"/>
      <c r="V2313" s="4"/>
      <c r="W2313" s="4"/>
      <c r="X2313" s="4" t="s">
        <v>63</v>
      </c>
      <c r="Y2313" s="4" t="s">
        <v>19579</v>
      </c>
      <c r="Z2313" s="4" t="s">
        <v>63</v>
      </c>
      <c r="AA2313" s="4" t="s">
        <v>63</v>
      </c>
      <c r="AB2313" s="4">
        <v>2013537962</v>
      </c>
      <c r="AC2313" s="4" t="s">
        <v>67</v>
      </c>
      <c r="AD2313" s="4" t="s">
        <v>63</v>
      </c>
      <c r="AE2313" s="4" t="s">
        <v>63</v>
      </c>
      <c r="AF2313" s="4" t="s">
        <v>63</v>
      </c>
      <c r="AG2313" s="4" t="s">
        <v>19580</v>
      </c>
      <c r="AH2313" s="4" t="s">
        <v>63</v>
      </c>
      <c r="AI2313" s="4" t="s">
        <v>19581</v>
      </c>
      <c r="AJ2313" s="4" t="s">
        <v>63</v>
      </c>
      <c r="AK2313" s="4" t="s">
        <v>63</v>
      </c>
      <c r="AL2313" s="4" t="s">
        <v>63</v>
      </c>
      <c r="AM2313" s="4" t="s">
        <v>19582</v>
      </c>
      <c r="AN2313" s="4" t="s">
        <v>63</v>
      </c>
      <c r="AO2313" s="4" t="s">
        <v>63</v>
      </c>
      <c r="AP2313" s="4" t="s">
        <v>63</v>
      </c>
      <c r="AQ2313" s="4" t="s">
        <v>63</v>
      </c>
      <c r="AR2313" s="4" t="s">
        <v>63</v>
      </c>
      <c r="AS2313" s="4" t="s">
        <v>63</v>
      </c>
      <c r="AT2313" s="4" t="s">
        <v>63</v>
      </c>
      <c r="AU2313" s="4" t="s">
        <v>63</v>
      </c>
      <c r="AV2313" s="4" t="s">
        <v>63</v>
      </c>
      <c r="AW2313" s="4" t="s">
        <v>63</v>
      </c>
      <c r="AX2313" s="4" t="s">
        <v>63</v>
      </c>
      <c r="AY2313" s="4" t="s">
        <v>63</v>
      </c>
      <c r="AZ2313" s="4" t="s">
        <v>63</v>
      </c>
      <c r="BA2313" s="4" t="s">
        <v>63</v>
      </c>
      <c r="BB2313" s="4" t="s">
        <v>63</v>
      </c>
      <c r="BC2313" s="4" t="s">
        <v>63</v>
      </c>
      <c r="BD2313" s="4" t="s">
        <v>63</v>
      </c>
      <c r="BE2313" s="4" t="s">
        <v>63</v>
      </c>
      <c r="BF2313" s="4" t="s">
        <v>63</v>
      </c>
    </row>
    <row r="2314" spans="1:58">
      <c r="A2314" s="4" t="s">
        <v>58</v>
      </c>
      <c r="B2314" s="4" t="s">
        <v>19583</v>
      </c>
      <c r="C2314" s="4" t="s">
        <v>19584</v>
      </c>
      <c r="D2314" s="4" t="s">
        <v>16219</v>
      </c>
      <c r="E2314" s="4" t="s">
        <v>63</v>
      </c>
      <c r="F2314" s="4">
        <v>1997</v>
      </c>
      <c r="G2314" s="4" t="s">
        <v>63</v>
      </c>
      <c r="H2314" s="4">
        <v>43</v>
      </c>
      <c r="I2314" s="4">
        <v>4</v>
      </c>
      <c r="J2314" s="4">
        <v>267</v>
      </c>
      <c r="K2314" s="4">
        <v>269</v>
      </c>
      <c r="L2314" s="4" t="s">
        <v>19585</v>
      </c>
      <c r="M2314" s="4" t="s">
        <v>63</v>
      </c>
      <c r="N2314" s="4" t="s">
        <v>19586</v>
      </c>
      <c r="O2314" s="4" t="s">
        <v>63</v>
      </c>
      <c r="P2314" s="4"/>
      <c r="Q2314" s="4" t="s">
        <v>63</v>
      </c>
      <c r="R2314" s="4" t="s">
        <v>63</v>
      </c>
      <c r="S2314" s="4" t="s">
        <v>63</v>
      </c>
      <c r="T2314" s="4" t="s">
        <v>63</v>
      </c>
      <c r="U2314" s="4"/>
      <c r="V2314" s="4"/>
      <c r="W2314" s="4"/>
      <c r="X2314" s="4" t="s">
        <v>63</v>
      </c>
      <c r="Y2314" s="4" t="s">
        <v>16223</v>
      </c>
      <c r="Z2314" s="4" t="s">
        <v>63</v>
      </c>
      <c r="AA2314" s="4" t="s">
        <v>63</v>
      </c>
      <c r="AB2314" s="4" t="s">
        <v>19587</v>
      </c>
      <c r="AC2314" s="4" t="s">
        <v>102</v>
      </c>
      <c r="AD2314" s="4" t="s">
        <v>63</v>
      </c>
      <c r="AE2314" s="4" t="s">
        <v>63</v>
      </c>
      <c r="AF2314" s="4" t="s">
        <v>63</v>
      </c>
      <c r="AG2314" s="4" t="s">
        <v>63</v>
      </c>
      <c r="AH2314" s="4" t="s">
        <v>63</v>
      </c>
      <c r="AI2314" s="4" t="s">
        <v>63</v>
      </c>
      <c r="AJ2314" s="4" t="s">
        <v>63</v>
      </c>
      <c r="AK2314" s="4" t="s">
        <v>63</v>
      </c>
      <c r="AL2314" s="4" t="s">
        <v>63</v>
      </c>
      <c r="AM2314" s="4" t="s">
        <v>19584</v>
      </c>
      <c r="AN2314" s="4" t="s">
        <v>63</v>
      </c>
      <c r="AO2314" s="4" t="s">
        <v>63</v>
      </c>
      <c r="AP2314" s="4" t="s">
        <v>63</v>
      </c>
      <c r="AQ2314" s="4" t="s">
        <v>63</v>
      </c>
      <c r="AR2314" s="4" t="s">
        <v>63</v>
      </c>
      <c r="AS2314" s="4" t="s">
        <v>63</v>
      </c>
      <c r="AT2314" s="4" t="s">
        <v>63</v>
      </c>
      <c r="AU2314" s="4" t="s">
        <v>63</v>
      </c>
      <c r="AV2314" s="4" t="s">
        <v>63</v>
      </c>
      <c r="AW2314" s="4" t="s">
        <v>63</v>
      </c>
      <c r="AX2314" s="4" t="s">
        <v>63</v>
      </c>
      <c r="AY2314" s="4" t="s">
        <v>63</v>
      </c>
      <c r="AZ2314" s="4" t="s">
        <v>63</v>
      </c>
      <c r="BA2314" s="4" t="s">
        <v>63</v>
      </c>
      <c r="BB2314" s="4" t="s">
        <v>63</v>
      </c>
      <c r="BC2314" s="4" t="s">
        <v>63</v>
      </c>
      <c r="BD2314" s="4" t="s">
        <v>63</v>
      </c>
      <c r="BE2314" s="4" t="s">
        <v>63</v>
      </c>
      <c r="BF2314" s="4" t="s">
        <v>63</v>
      </c>
    </row>
    <row r="2315" spans="1:58">
      <c r="A2315" s="4" t="s">
        <v>58</v>
      </c>
      <c r="B2315" s="4" t="s">
        <v>19588</v>
      </c>
      <c r="C2315" s="4" t="s">
        <v>19589</v>
      </c>
      <c r="D2315" s="4" t="s">
        <v>603</v>
      </c>
      <c r="E2315" s="4" t="s">
        <v>604</v>
      </c>
      <c r="F2315" s="4">
        <v>2002</v>
      </c>
      <c r="G2315" s="4" t="s">
        <v>326</v>
      </c>
      <c r="H2315" s="4">
        <v>94</v>
      </c>
      <c r="I2315" s="4">
        <v>2</v>
      </c>
      <c r="J2315" s="4">
        <v>78</v>
      </c>
      <c r="K2315" s="4">
        <v>87</v>
      </c>
      <c r="L2315" s="4" t="s">
        <v>19590</v>
      </c>
      <c r="M2315" s="4" t="s">
        <v>19591</v>
      </c>
      <c r="N2315" s="4" t="s">
        <v>19592</v>
      </c>
      <c r="O2315" s="4" t="s">
        <v>63</v>
      </c>
      <c r="P2315" s="4"/>
      <c r="Q2315" s="4" t="s">
        <v>63</v>
      </c>
      <c r="R2315" s="4" t="s">
        <v>63</v>
      </c>
      <c r="S2315" s="4" t="s">
        <v>63</v>
      </c>
      <c r="T2315" s="4" t="s">
        <v>63</v>
      </c>
      <c r="U2315" s="4"/>
      <c r="V2315" s="4"/>
      <c r="W2315" s="4"/>
      <c r="X2315" s="4" t="s">
        <v>63</v>
      </c>
      <c r="Y2315" s="4" t="s">
        <v>608</v>
      </c>
      <c r="Z2315" s="4" t="s">
        <v>63</v>
      </c>
      <c r="AA2315" s="4" t="s">
        <v>63</v>
      </c>
      <c r="AB2315" s="4" t="s">
        <v>63</v>
      </c>
      <c r="AC2315" s="4" t="s">
        <v>67</v>
      </c>
      <c r="AD2315" s="4" t="s">
        <v>63</v>
      </c>
      <c r="AE2315" s="4" t="s">
        <v>63</v>
      </c>
      <c r="AF2315" s="4" t="s">
        <v>63</v>
      </c>
      <c r="AG2315" s="4" t="s">
        <v>19593</v>
      </c>
      <c r="AH2315" s="4" t="s">
        <v>63</v>
      </c>
      <c r="AI2315" s="4" t="s">
        <v>63</v>
      </c>
      <c r="AJ2315" s="4" t="s">
        <v>63</v>
      </c>
      <c r="AK2315" s="4" t="s">
        <v>63</v>
      </c>
      <c r="AL2315" s="4" t="s">
        <v>63</v>
      </c>
      <c r="AM2315" s="4" t="s">
        <v>19594</v>
      </c>
      <c r="AN2315" s="4" t="s">
        <v>63</v>
      </c>
      <c r="AO2315" s="4" t="s">
        <v>63</v>
      </c>
      <c r="AP2315" s="4" t="s">
        <v>63</v>
      </c>
      <c r="AQ2315" s="4" t="s">
        <v>63</v>
      </c>
      <c r="AR2315" s="4" t="s">
        <v>63</v>
      </c>
      <c r="AS2315" s="4" t="s">
        <v>63</v>
      </c>
      <c r="AT2315" s="4" t="s">
        <v>63</v>
      </c>
      <c r="AU2315" s="4" t="s">
        <v>63</v>
      </c>
      <c r="AV2315" s="4" t="s">
        <v>63</v>
      </c>
      <c r="AW2315" s="4" t="s">
        <v>63</v>
      </c>
      <c r="AX2315" s="4" t="s">
        <v>63</v>
      </c>
      <c r="AY2315" s="4" t="s">
        <v>63</v>
      </c>
      <c r="AZ2315" s="4" t="s">
        <v>63</v>
      </c>
      <c r="BA2315" s="4" t="s">
        <v>63</v>
      </c>
      <c r="BB2315" s="4" t="s">
        <v>63</v>
      </c>
      <c r="BC2315" s="4" t="s">
        <v>63</v>
      </c>
      <c r="BD2315" s="4" t="s">
        <v>63</v>
      </c>
      <c r="BE2315" s="4" t="s">
        <v>63</v>
      </c>
      <c r="BF2315" s="4" t="s">
        <v>63</v>
      </c>
    </row>
    <row r="2316" spans="1:58">
      <c r="A2316" s="4" t="s">
        <v>58</v>
      </c>
      <c r="B2316" s="4" t="s">
        <v>19595</v>
      </c>
      <c r="C2316" s="4" t="s">
        <v>19596</v>
      </c>
      <c r="D2316" s="4" t="s">
        <v>389</v>
      </c>
      <c r="E2316" s="4" t="s">
        <v>63</v>
      </c>
      <c r="F2316" s="4">
        <v>2009</v>
      </c>
      <c r="G2316" s="4" t="s">
        <v>15165</v>
      </c>
      <c r="H2316" s="4">
        <v>30</v>
      </c>
      <c r="I2316" s="4">
        <v>2</v>
      </c>
      <c r="J2316" s="4">
        <v>194</v>
      </c>
      <c r="K2316" s="4">
        <v>195</v>
      </c>
      <c r="L2316" s="4" t="s">
        <v>19597</v>
      </c>
      <c r="M2316" s="4" t="s">
        <v>19598</v>
      </c>
      <c r="N2316" s="4" t="s">
        <v>19599</v>
      </c>
      <c r="O2316" s="4" t="s">
        <v>63</v>
      </c>
      <c r="P2316" s="4"/>
      <c r="Q2316" s="4" t="s">
        <v>63</v>
      </c>
      <c r="R2316" s="4" t="s">
        <v>63</v>
      </c>
      <c r="S2316" s="4" t="s">
        <v>63</v>
      </c>
      <c r="T2316" s="4" t="s">
        <v>63</v>
      </c>
      <c r="U2316" s="4"/>
      <c r="V2316" s="4"/>
      <c r="W2316" s="4"/>
      <c r="X2316" s="4" t="s">
        <v>63</v>
      </c>
      <c r="Y2316" s="4" t="s">
        <v>392</v>
      </c>
      <c r="Z2316" s="4" t="s">
        <v>63</v>
      </c>
      <c r="AA2316" s="4" t="s">
        <v>63</v>
      </c>
      <c r="AB2316" s="4" t="s">
        <v>63</v>
      </c>
      <c r="AC2316" s="4" t="s">
        <v>67</v>
      </c>
      <c r="AD2316" s="4" t="s">
        <v>63</v>
      </c>
      <c r="AE2316" s="4" t="s">
        <v>63</v>
      </c>
      <c r="AF2316" s="4" t="s">
        <v>63</v>
      </c>
      <c r="AG2316" s="4" t="s">
        <v>63</v>
      </c>
      <c r="AH2316" s="4" t="s">
        <v>63</v>
      </c>
      <c r="AI2316" s="4" t="s">
        <v>16216</v>
      </c>
      <c r="AJ2316" s="4" t="s">
        <v>63</v>
      </c>
      <c r="AK2316" s="4" t="s">
        <v>63</v>
      </c>
      <c r="AL2316" s="4" t="s">
        <v>63</v>
      </c>
      <c r="AM2316" s="4" t="s">
        <v>19596</v>
      </c>
      <c r="AN2316" s="4" t="s">
        <v>63</v>
      </c>
      <c r="AO2316" s="4" t="s">
        <v>63</v>
      </c>
      <c r="AP2316" s="4" t="s">
        <v>63</v>
      </c>
      <c r="AQ2316" s="4" t="s">
        <v>63</v>
      </c>
      <c r="AR2316" s="4" t="s">
        <v>63</v>
      </c>
      <c r="AS2316" s="4" t="s">
        <v>63</v>
      </c>
      <c r="AT2316" s="4" t="s">
        <v>63</v>
      </c>
      <c r="AU2316" s="4" t="s">
        <v>63</v>
      </c>
      <c r="AV2316" s="4" t="s">
        <v>63</v>
      </c>
      <c r="AW2316" s="4" t="s">
        <v>63</v>
      </c>
      <c r="AX2316" s="4" t="s">
        <v>63</v>
      </c>
      <c r="AY2316" s="4" t="s">
        <v>63</v>
      </c>
      <c r="AZ2316" s="4" t="s">
        <v>63</v>
      </c>
      <c r="BA2316" s="4" t="s">
        <v>63</v>
      </c>
      <c r="BB2316" s="4" t="s">
        <v>63</v>
      </c>
      <c r="BC2316" s="4" t="s">
        <v>63</v>
      </c>
      <c r="BD2316" s="4" t="s">
        <v>63</v>
      </c>
      <c r="BE2316" s="4" t="s">
        <v>63</v>
      </c>
      <c r="BF2316" s="4" t="s">
        <v>63</v>
      </c>
    </row>
    <row r="2317" spans="1:58">
      <c r="A2317" s="4" t="s">
        <v>58</v>
      </c>
      <c r="B2317" s="4" t="s">
        <v>19600</v>
      </c>
      <c r="C2317" s="4" t="s">
        <v>19601</v>
      </c>
      <c r="D2317" s="4" t="s">
        <v>6802</v>
      </c>
      <c r="E2317" s="4" t="s">
        <v>6803</v>
      </c>
      <c r="F2317" s="4">
        <v>2011</v>
      </c>
      <c r="G2317" s="4" t="s">
        <v>15165</v>
      </c>
      <c r="H2317" s="4">
        <v>67</v>
      </c>
      <c r="I2317" s="4">
        <v>4</v>
      </c>
      <c r="J2317" s="4">
        <v>747</v>
      </c>
      <c r="K2317" s="4">
        <v>755</v>
      </c>
      <c r="L2317" s="4" t="s">
        <v>19602</v>
      </c>
      <c r="M2317" s="4" t="s">
        <v>19603</v>
      </c>
      <c r="N2317" s="4" t="s">
        <v>19604</v>
      </c>
      <c r="O2317" s="4" t="s">
        <v>63</v>
      </c>
      <c r="P2317" s="4"/>
      <c r="Q2317" s="4" t="s">
        <v>63</v>
      </c>
      <c r="R2317" s="4" t="s">
        <v>63</v>
      </c>
      <c r="S2317" s="4" t="s">
        <v>63</v>
      </c>
      <c r="T2317" s="4" t="s">
        <v>63</v>
      </c>
      <c r="U2317" s="4"/>
      <c r="V2317" s="4"/>
      <c r="W2317" s="4"/>
      <c r="X2317" s="4" t="s">
        <v>63</v>
      </c>
      <c r="Y2317" s="4" t="s">
        <v>19605</v>
      </c>
      <c r="Z2317" s="4" t="s">
        <v>63</v>
      </c>
      <c r="AA2317" s="4" t="s">
        <v>63</v>
      </c>
      <c r="AB2317" s="4" t="s">
        <v>63</v>
      </c>
      <c r="AC2317" s="4" t="s">
        <v>67</v>
      </c>
      <c r="AD2317" s="4" t="s">
        <v>63</v>
      </c>
      <c r="AE2317" s="4" t="s">
        <v>63</v>
      </c>
      <c r="AF2317" s="4" t="s">
        <v>63</v>
      </c>
      <c r="AG2317" s="4" t="s">
        <v>19606</v>
      </c>
      <c r="AH2317" s="4" t="s">
        <v>63</v>
      </c>
      <c r="AI2317" s="4" t="s">
        <v>19607</v>
      </c>
      <c r="AJ2317" s="4" t="s">
        <v>63</v>
      </c>
      <c r="AK2317" s="4" t="s">
        <v>63</v>
      </c>
      <c r="AL2317" s="4" t="s">
        <v>63</v>
      </c>
      <c r="AM2317" s="4" t="s">
        <v>19608</v>
      </c>
      <c r="AN2317" s="4" t="s">
        <v>63</v>
      </c>
      <c r="AO2317" s="4" t="s">
        <v>63</v>
      </c>
      <c r="AP2317" s="4" t="s">
        <v>63</v>
      </c>
      <c r="AQ2317" s="4" t="s">
        <v>63</v>
      </c>
      <c r="AR2317" s="4" t="s">
        <v>63</v>
      </c>
      <c r="AS2317" s="4" t="s">
        <v>63</v>
      </c>
      <c r="AT2317" s="4" t="s">
        <v>63</v>
      </c>
      <c r="AU2317" s="4" t="s">
        <v>63</v>
      </c>
      <c r="AV2317" s="4" t="s">
        <v>63</v>
      </c>
      <c r="AW2317" s="4" t="s">
        <v>63</v>
      </c>
      <c r="AX2317" s="4" t="s">
        <v>63</v>
      </c>
      <c r="AY2317" s="4" t="s">
        <v>63</v>
      </c>
      <c r="AZ2317" s="4" t="s">
        <v>63</v>
      </c>
      <c r="BA2317" s="4" t="s">
        <v>63</v>
      </c>
      <c r="BB2317" s="4" t="s">
        <v>63</v>
      </c>
      <c r="BC2317" s="4" t="s">
        <v>63</v>
      </c>
      <c r="BD2317" s="4" t="s">
        <v>63</v>
      </c>
      <c r="BE2317" s="4" t="s">
        <v>63</v>
      </c>
      <c r="BF2317" s="4" t="s">
        <v>63</v>
      </c>
    </row>
    <row r="2318" spans="1:58">
      <c r="A2318" s="4" t="s">
        <v>58</v>
      </c>
      <c r="B2318" s="4" t="s">
        <v>19609</v>
      </c>
      <c r="C2318" s="4" t="s">
        <v>19610</v>
      </c>
      <c r="D2318" s="4" t="s">
        <v>1500</v>
      </c>
      <c r="E2318" s="4" t="s">
        <v>1501</v>
      </c>
      <c r="F2318" s="4">
        <v>1982</v>
      </c>
      <c r="G2318" s="4" t="s">
        <v>63</v>
      </c>
      <c r="H2318" s="4">
        <v>102</v>
      </c>
      <c r="I2318" s="4">
        <v>1</v>
      </c>
      <c r="J2318" s="4">
        <v>67</v>
      </c>
      <c r="K2318" s="4">
        <v>77</v>
      </c>
      <c r="L2318" s="4" t="s">
        <v>19611</v>
      </c>
      <c r="M2318" s="4" t="s">
        <v>19612</v>
      </c>
      <c r="N2318" s="4" t="s">
        <v>19613</v>
      </c>
      <c r="O2318" s="4" t="s">
        <v>63</v>
      </c>
      <c r="P2318" s="4"/>
      <c r="Q2318" s="4" t="s">
        <v>63</v>
      </c>
      <c r="R2318" s="4" t="s">
        <v>63</v>
      </c>
      <c r="S2318" s="4" t="s">
        <v>63</v>
      </c>
      <c r="T2318" s="4" t="s">
        <v>63</v>
      </c>
      <c r="U2318" s="4"/>
      <c r="V2318" s="4"/>
      <c r="W2318" s="4"/>
      <c r="X2318" s="4" t="s">
        <v>63</v>
      </c>
      <c r="Y2318" s="4" t="s">
        <v>1504</v>
      </c>
      <c r="Z2318" s="4" t="s">
        <v>63</v>
      </c>
      <c r="AA2318" s="4" t="s">
        <v>63</v>
      </c>
      <c r="AB2318" s="4">
        <v>1982132178</v>
      </c>
      <c r="AC2318" s="4" t="s">
        <v>1371</v>
      </c>
      <c r="AD2318" s="4" t="s">
        <v>63</v>
      </c>
      <c r="AE2318" s="4" t="s">
        <v>63</v>
      </c>
      <c r="AF2318" s="4" t="s">
        <v>63</v>
      </c>
      <c r="AG2318" s="4" t="s">
        <v>19614</v>
      </c>
      <c r="AH2318" s="4" t="s">
        <v>63</v>
      </c>
      <c r="AI2318" s="4" t="s">
        <v>63</v>
      </c>
      <c r="AJ2318" s="4" t="s">
        <v>63</v>
      </c>
      <c r="AK2318" s="4" t="s">
        <v>63</v>
      </c>
      <c r="AL2318" s="4" t="s">
        <v>63</v>
      </c>
      <c r="AM2318" s="4" t="s">
        <v>19615</v>
      </c>
      <c r="AN2318" s="4" t="s">
        <v>63</v>
      </c>
      <c r="AO2318" s="4" t="s">
        <v>63</v>
      </c>
      <c r="AP2318" s="4" t="s">
        <v>63</v>
      </c>
      <c r="AQ2318" s="4" t="s">
        <v>63</v>
      </c>
      <c r="AR2318" s="4" t="s">
        <v>63</v>
      </c>
      <c r="AS2318" s="4" t="s">
        <v>63</v>
      </c>
      <c r="AT2318" s="4" t="s">
        <v>63</v>
      </c>
      <c r="AU2318" s="4" t="s">
        <v>63</v>
      </c>
      <c r="AV2318" s="4" t="s">
        <v>63</v>
      </c>
      <c r="AW2318" s="4" t="s">
        <v>63</v>
      </c>
      <c r="AX2318" s="4" t="s">
        <v>63</v>
      </c>
      <c r="AY2318" s="4" t="s">
        <v>63</v>
      </c>
      <c r="AZ2318" s="4" t="s">
        <v>63</v>
      </c>
      <c r="BA2318" s="4" t="s">
        <v>63</v>
      </c>
      <c r="BB2318" s="4" t="s">
        <v>63</v>
      </c>
      <c r="BC2318" s="4" t="s">
        <v>63</v>
      </c>
      <c r="BD2318" s="4" t="s">
        <v>63</v>
      </c>
      <c r="BE2318" s="4" t="s">
        <v>63</v>
      </c>
      <c r="BF2318" s="4" t="s">
        <v>63</v>
      </c>
    </row>
    <row r="2319" spans="1:58">
      <c r="A2319" s="4" t="s">
        <v>58</v>
      </c>
      <c r="B2319" s="4" t="s">
        <v>19616</v>
      </c>
      <c r="C2319" s="4" t="s">
        <v>19617</v>
      </c>
      <c r="D2319" s="4" t="s">
        <v>389</v>
      </c>
      <c r="E2319" s="4" t="s">
        <v>63</v>
      </c>
      <c r="F2319" s="4">
        <v>2006</v>
      </c>
      <c r="G2319" s="4">
        <v>22</v>
      </c>
      <c r="H2319" s="4">
        <v>26</v>
      </c>
      <c r="I2319" s="4">
        <v>3</v>
      </c>
      <c r="J2319" s="4">
        <v>49</v>
      </c>
      <c r="K2319" s="4">
        <v>52</v>
      </c>
      <c r="L2319" s="4" t="s">
        <v>19618</v>
      </c>
      <c r="M2319" s="4" t="s">
        <v>19619</v>
      </c>
      <c r="N2319" s="4" t="s">
        <v>19620</v>
      </c>
      <c r="O2319" s="4" t="s">
        <v>63</v>
      </c>
      <c r="P2319" s="4"/>
      <c r="Q2319" s="4" t="s">
        <v>63</v>
      </c>
      <c r="R2319" s="4" t="s">
        <v>63</v>
      </c>
      <c r="S2319" s="4" t="s">
        <v>63</v>
      </c>
      <c r="T2319" s="4" t="s">
        <v>63</v>
      </c>
      <c r="U2319" s="4"/>
      <c r="V2319" s="4"/>
      <c r="W2319" s="4"/>
      <c r="X2319" s="4" t="s">
        <v>63</v>
      </c>
      <c r="Y2319" s="4" t="s">
        <v>15600</v>
      </c>
      <c r="Z2319" s="4" t="s">
        <v>63</v>
      </c>
      <c r="AA2319" s="4" t="s">
        <v>63</v>
      </c>
      <c r="AB2319" s="4">
        <v>2006368073</v>
      </c>
      <c r="AC2319" s="4" t="s">
        <v>67</v>
      </c>
      <c r="AD2319" s="4" t="s">
        <v>63</v>
      </c>
      <c r="AE2319" s="4" t="s">
        <v>63</v>
      </c>
      <c r="AF2319" s="4" t="s">
        <v>63</v>
      </c>
      <c r="AG2319" s="4" t="s">
        <v>19621</v>
      </c>
      <c r="AH2319" s="4" t="s">
        <v>63</v>
      </c>
      <c r="AI2319" s="4" t="s">
        <v>19622</v>
      </c>
      <c r="AJ2319" s="4" t="s">
        <v>63</v>
      </c>
      <c r="AK2319" s="4" t="s">
        <v>63</v>
      </c>
      <c r="AL2319" s="4" t="s">
        <v>63</v>
      </c>
      <c r="AM2319" s="4" t="s">
        <v>19623</v>
      </c>
      <c r="AN2319" s="4" t="s">
        <v>63</v>
      </c>
      <c r="AO2319" s="4" t="s">
        <v>63</v>
      </c>
      <c r="AP2319" s="4" t="s">
        <v>63</v>
      </c>
      <c r="AQ2319" s="4" t="s">
        <v>63</v>
      </c>
      <c r="AR2319" s="4" t="s">
        <v>63</v>
      </c>
      <c r="AS2319" s="4" t="s">
        <v>63</v>
      </c>
      <c r="AT2319" s="4" t="s">
        <v>63</v>
      </c>
      <c r="AU2319" s="4" t="s">
        <v>63</v>
      </c>
      <c r="AV2319" s="4" t="s">
        <v>63</v>
      </c>
      <c r="AW2319" s="4" t="s">
        <v>63</v>
      </c>
      <c r="AX2319" s="4" t="s">
        <v>63</v>
      </c>
      <c r="AY2319" s="4" t="s">
        <v>63</v>
      </c>
      <c r="AZ2319" s="4" t="s">
        <v>63</v>
      </c>
      <c r="BA2319" s="4" t="s">
        <v>63</v>
      </c>
      <c r="BB2319" s="4" t="s">
        <v>63</v>
      </c>
      <c r="BC2319" s="4" t="s">
        <v>63</v>
      </c>
      <c r="BD2319" s="4" t="s">
        <v>63</v>
      </c>
      <c r="BE2319" s="4" t="s">
        <v>63</v>
      </c>
      <c r="BF2319" s="4" t="s">
        <v>63</v>
      </c>
    </row>
    <row r="2320" spans="1:58">
      <c r="A2320" s="4" t="s">
        <v>58</v>
      </c>
      <c r="B2320" s="4" t="s">
        <v>19624</v>
      </c>
      <c r="C2320" s="4" t="s">
        <v>19625</v>
      </c>
      <c r="D2320" s="4" t="s">
        <v>15482</v>
      </c>
      <c r="E2320" s="4" t="s">
        <v>63</v>
      </c>
      <c r="F2320" s="4">
        <v>2014</v>
      </c>
      <c r="G2320" s="4" t="s">
        <v>15155</v>
      </c>
      <c r="H2320" s="4" t="s">
        <v>19626</v>
      </c>
      <c r="I2320" s="4" t="s">
        <v>63</v>
      </c>
      <c r="J2320" s="4" t="s">
        <v>19627</v>
      </c>
      <c r="K2320" s="4" t="s">
        <v>63</v>
      </c>
      <c r="L2320" s="4" t="s">
        <v>19628</v>
      </c>
      <c r="M2320" s="4" t="s">
        <v>19629</v>
      </c>
      <c r="N2320" s="4" t="s">
        <v>19630</v>
      </c>
      <c r="O2320" s="4" t="s">
        <v>63</v>
      </c>
      <c r="P2320" s="4"/>
      <c r="Q2320" s="4" t="s">
        <v>63</v>
      </c>
      <c r="R2320" s="4" t="s">
        <v>63</v>
      </c>
      <c r="S2320" s="4" t="s">
        <v>63</v>
      </c>
      <c r="T2320" s="4" t="s">
        <v>63</v>
      </c>
      <c r="U2320" s="4"/>
      <c r="V2320" s="4"/>
      <c r="W2320" s="4"/>
      <c r="X2320" s="4" t="s">
        <v>63</v>
      </c>
      <c r="Y2320" s="4" t="s">
        <v>4853</v>
      </c>
      <c r="Z2320" s="4" t="s">
        <v>63</v>
      </c>
      <c r="AA2320" s="4" t="s">
        <v>63</v>
      </c>
      <c r="AB2320" s="4" t="s">
        <v>63</v>
      </c>
      <c r="AC2320" s="4" t="s">
        <v>67</v>
      </c>
      <c r="AD2320" s="4" t="s">
        <v>63</v>
      </c>
      <c r="AE2320" s="4" t="s">
        <v>63</v>
      </c>
      <c r="AF2320" s="4" t="s">
        <v>63</v>
      </c>
      <c r="AG2320" s="4" t="s">
        <v>63</v>
      </c>
      <c r="AH2320" s="4" t="s">
        <v>63</v>
      </c>
      <c r="AI2320" s="4" t="s">
        <v>63</v>
      </c>
      <c r="AJ2320" s="4" t="s">
        <v>63</v>
      </c>
      <c r="AK2320" s="4" t="s">
        <v>63</v>
      </c>
      <c r="AL2320" s="4" t="s">
        <v>63</v>
      </c>
      <c r="AM2320" s="4" t="s">
        <v>19625</v>
      </c>
      <c r="AN2320" s="4" t="s">
        <v>63</v>
      </c>
      <c r="AO2320" s="4" t="s">
        <v>63</v>
      </c>
      <c r="AP2320" s="4" t="s">
        <v>63</v>
      </c>
      <c r="AQ2320" s="4" t="s">
        <v>63</v>
      </c>
      <c r="AR2320" s="4" t="s">
        <v>63</v>
      </c>
      <c r="AS2320" s="4" t="s">
        <v>63</v>
      </c>
      <c r="AT2320" s="4" t="s">
        <v>63</v>
      </c>
      <c r="AU2320" s="4" t="s">
        <v>63</v>
      </c>
      <c r="AV2320" s="4" t="s">
        <v>63</v>
      </c>
      <c r="AW2320" s="4" t="s">
        <v>63</v>
      </c>
      <c r="AX2320" s="4" t="s">
        <v>63</v>
      </c>
      <c r="AY2320" s="4" t="s">
        <v>63</v>
      </c>
      <c r="AZ2320" s="4" t="s">
        <v>63</v>
      </c>
      <c r="BA2320" s="4" t="s">
        <v>63</v>
      </c>
      <c r="BB2320" s="4" t="s">
        <v>63</v>
      </c>
      <c r="BC2320" s="4" t="s">
        <v>63</v>
      </c>
      <c r="BD2320" s="4" t="s">
        <v>63</v>
      </c>
      <c r="BE2320" s="4" t="s">
        <v>63</v>
      </c>
      <c r="BF2320" s="4" t="s">
        <v>63</v>
      </c>
    </row>
    <row r="2321" spans="1:58">
      <c r="A2321" s="4" t="s">
        <v>58</v>
      </c>
      <c r="B2321" s="4" t="s">
        <v>19631</v>
      </c>
      <c r="C2321" s="4" t="s">
        <v>19632</v>
      </c>
      <c r="D2321" s="4" t="s">
        <v>16319</v>
      </c>
      <c r="E2321" s="4" t="s">
        <v>16320</v>
      </c>
      <c r="F2321" s="4">
        <v>2013</v>
      </c>
      <c r="G2321" s="4" t="s">
        <v>15472</v>
      </c>
      <c r="H2321" s="4">
        <v>25</v>
      </c>
      <c r="I2321" s="4">
        <v>3</v>
      </c>
      <c r="J2321" s="4">
        <v>231</v>
      </c>
      <c r="K2321" s="4">
        <v>243</v>
      </c>
      <c r="L2321" s="4" t="s">
        <v>19633</v>
      </c>
      <c r="M2321" s="4" t="s">
        <v>19634</v>
      </c>
      <c r="N2321" s="4" t="s">
        <v>19635</v>
      </c>
      <c r="O2321" s="4" t="s">
        <v>63</v>
      </c>
      <c r="P2321" s="4"/>
      <c r="Q2321" s="4" t="s">
        <v>63</v>
      </c>
      <c r="R2321" s="4" t="s">
        <v>63</v>
      </c>
      <c r="S2321" s="4" t="s">
        <v>63</v>
      </c>
      <c r="T2321" s="4" t="s">
        <v>63</v>
      </c>
      <c r="U2321" s="4"/>
      <c r="V2321" s="4"/>
      <c r="W2321" s="4"/>
      <c r="X2321" s="4" t="s">
        <v>63</v>
      </c>
      <c r="Y2321" s="4" t="s">
        <v>19636</v>
      </c>
      <c r="Z2321" s="4" t="s">
        <v>63</v>
      </c>
      <c r="AA2321" s="4" t="s">
        <v>63</v>
      </c>
      <c r="AB2321" s="4">
        <v>2014041654</v>
      </c>
      <c r="AC2321" s="4" t="s">
        <v>67</v>
      </c>
      <c r="AD2321" s="4" t="s">
        <v>63</v>
      </c>
      <c r="AE2321" s="4" t="s">
        <v>63</v>
      </c>
      <c r="AF2321" s="4" t="s">
        <v>63</v>
      </c>
      <c r="AG2321" s="4" t="s">
        <v>19637</v>
      </c>
      <c r="AH2321" s="4" t="s">
        <v>63</v>
      </c>
      <c r="AI2321" s="4" t="s">
        <v>19638</v>
      </c>
      <c r="AJ2321" s="4" t="s">
        <v>63</v>
      </c>
      <c r="AK2321" s="4" t="s">
        <v>63</v>
      </c>
      <c r="AL2321" s="4" t="s">
        <v>63</v>
      </c>
      <c r="AM2321" s="4" t="s">
        <v>19639</v>
      </c>
      <c r="AN2321" s="4" t="s">
        <v>63</v>
      </c>
      <c r="AO2321" s="4" t="s">
        <v>63</v>
      </c>
      <c r="AP2321" s="4" t="s">
        <v>63</v>
      </c>
      <c r="AQ2321" s="4" t="s">
        <v>63</v>
      </c>
      <c r="AR2321" s="4" t="s">
        <v>63</v>
      </c>
      <c r="AS2321" s="4" t="s">
        <v>63</v>
      </c>
      <c r="AT2321" s="4" t="s">
        <v>63</v>
      </c>
      <c r="AU2321" s="4" t="s">
        <v>63</v>
      </c>
      <c r="AV2321" s="4" t="s">
        <v>63</v>
      </c>
      <c r="AW2321" s="4" t="s">
        <v>63</v>
      </c>
      <c r="AX2321" s="4" t="s">
        <v>63</v>
      </c>
      <c r="AY2321" s="4" t="s">
        <v>63</v>
      </c>
      <c r="AZ2321" s="4" t="s">
        <v>63</v>
      </c>
      <c r="BA2321" s="4" t="s">
        <v>63</v>
      </c>
      <c r="BB2321" s="4" t="s">
        <v>63</v>
      </c>
      <c r="BC2321" s="4" t="s">
        <v>63</v>
      </c>
      <c r="BD2321" s="4" t="s">
        <v>63</v>
      </c>
      <c r="BE2321" s="4" t="s">
        <v>63</v>
      </c>
      <c r="BF2321" s="4" t="s">
        <v>63</v>
      </c>
    </row>
    <row r="2322" spans="1:58">
      <c r="A2322" s="4" t="s">
        <v>58</v>
      </c>
      <c r="B2322" s="4" t="s">
        <v>19640</v>
      </c>
      <c r="C2322" s="4" t="s">
        <v>19641</v>
      </c>
      <c r="D2322" s="4" t="s">
        <v>19642</v>
      </c>
      <c r="E2322" s="4" t="s">
        <v>63</v>
      </c>
      <c r="F2322" s="4">
        <v>2012</v>
      </c>
      <c r="G2322" s="4" t="s">
        <v>16182</v>
      </c>
      <c r="H2322" s="4">
        <v>119</v>
      </c>
      <c r="I2322" s="4">
        <v>8</v>
      </c>
      <c r="J2322" s="4">
        <v>1</v>
      </c>
      <c r="K2322" s="4">
        <v>2</v>
      </c>
      <c r="L2322" s="4" t="s">
        <v>19643</v>
      </c>
      <c r="M2322" s="4" t="s">
        <v>63</v>
      </c>
      <c r="N2322" s="4" t="s">
        <v>19644</v>
      </c>
      <c r="O2322" s="4" t="s">
        <v>63</v>
      </c>
      <c r="P2322" s="4"/>
      <c r="Q2322" s="4" t="s">
        <v>63</v>
      </c>
      <c r="R2322" s="4" t="s">
        <v>63</v>
      </c>
      <c r="S2322" s="4" t="s">
        <v>63</v>
      </c>
      <c r="T2322" s="4" t="s">
        <v>63</v>
      </c>
      <c r="U2322" s="4"/>
      <c r="V2322" s="4"/>
      <c r="W2322" s="4"/>
      <c r="X2322" s="4" t="s">
        <v>63</v>
      </c>
      <c r="Y2322" s="4" t="s">
        <v>19645</v>
      </c>
      <c r="Z2322" s="4" t="s">
        <v>63</v>
      </c>
      <c r="AA2322" s="4" t="s">
        <v>63</v>
      </c>
      <c r="AB2322" s="4" t="s">
        <v>19646</v>
      </c>
      <c r="AC2322" s="4" t="s">
        <v>67</v>
      </c>
      <c r="AD2322" s="4" t="s">
        <v>63</v>
      </c>
      <c r="AE2322" s="4" t="s">
        <v>63</v>
      </c>
      <c r="AF2322" s="4" t="s">
        <v>63</v>
      </c>
      <c r="AG2322" s="4" t="s">
        <v>63</v>
      </c>
      <c r="AH2322" s="4" t="s">
        <v>63</v>
      </c>
      <c r="AI2322" s="4" t="s">
        <v>19647</v>
      </c>
      <c r="AJ2322" s="4" t="s">
        <v>63</v>
      </c>
      <c r="AK2322" s="4" t="s">
        <v>63</v>
      </c>
      <c r="AL2322" s="4" t="s">
        <v>63</v>
      </c>
      <c r="AM2322" s="4" t="s">
        <v>19641</v>
      </c>
      <c r="AN2322" s="4" t="s">
        <v>63</v>
      </c>
      <c r="AO2322" s="4" t="s">
        <v>63</v>
      </c>
      <c r="AP2322" s="4" t="s">
        <v>63</v>
      </c>
      <c r="AQ2322" s="4" t="s">
        <v>63</v>
      </c>
      <c r="AR2322" s="4" t="s">
        <v>63</v>
      </c>
      <c r="AS2322" s="4" t="s">
        <v>63</v>
      </c>
      <c r="AT2322" s="4" t="s">
        <v>63</v>
      </c>
      <c r="AU2322" s="4" t="s">
        <v>63</v>
      </c>
      <c r="AV2322" s="4" t="s">
        <v>63</v>
      </c>
      <c r="AW2322" s="4" t="s">
        <v>63</v>
      </c>
      <c r="AX2322" s="4" t="s">
        <v>63</v>
      </c>
      <c r="AY2322" s="4" t="s">
        <v>63</v>
      </c>
      <c r="AZ2322" s="4" t="s">
        <v>63</v>
      </c>
      <c r="BA2322" s="4" t="s">
        <v>63</v>
      </c>
      <c r="BB2322" s="4" t="s">
        <v>63</v>
      </c>
      <c r="BC2322" s="4" t="s">
        <v>63</v>
      </c>
      <c r="BD2322" s="4" t="s">
        <v>63</v>
      </c>
      <c r="BE2322" s="4" t="s">
        <v>63</v>
      </c>
      <c r="BF2322" s="4" t="s">
        <v>63</v>
      </c>
    </row>
    <row r="2323" spans="1:58">
      <c r="A2323" s="4" t="s">
        <v>58</v>
      </c>
      <c r="B2323" s="4" t="s">
        <v>19648</v>
      </c>
      <c r="C2323" s="4" t="s">
        <v>19649</v>
      </c>
      <c r="D2323" s="4" t="s">
        <v>15263</v>
      </c>
      <c r="E2323" s="4" t="s">
        <v>15264</v>
      </c>
      <c r="F2323" s="4">
        <v>2015</v>
      </c>
      <c r="G2323" s="4">
        <v>1</v>
      </c>
      <c r="H2323" s="4">
        <v>156</v>
      </c>
      <c r="I2323" s="4" t="s">
        <v>63</v>
      </c>
      <c r="J2323" s="4" t="s">
        <v>19650</v>
      </c>
      <c r="K2323" s="4" t="s">
        <v>63</v>
      </c>
      <c r="L2323" s="4" t="s">
        <v>19651</v>
      </c>
      <c r="M2323" s="4" t="s">
        <v>19652</v>
      </c>
      <c r="N2323" s="4" t="s">
        <v>19653</v>
      </c>
      <c r="O2323" s="4" t="s">
        <v>63</v>
      </c>
      <c r="P2323" s="4"/>
      <c r="Q2323" s="4" t="s">
        <v>63</v>
      </c>
      <c r="R2323" s="4" t="s">
        <v>63</v>
      </c>
      <c r="S2323" s="4" t="s">
        <v>63</v>
      </c>
      <c r="T2323" s="4" t="s">
        <v>63</v>
      </c>
      <c r="U2323" s="4"/>
      <c r="V2323" s="4"/>
      <c r="W2323" s="4"/>
      <c r="X2323" s="4" t="s">
        <v>63</v>
      </c>
      <c r="Y2323" s="4" t="s">
        <v>4942</v>
      </c>
      <c r="Z2323" s="4" t="s">
        <v>63</v>
      </c>
      <c r="AA2323" s="4" t="s">
        <v>63</v>
      </c>
      <c r="AB2323" s="4" t="s">
        <v>63</v>
      </c>
      <c r="AC2323" s="4" t="s">
        <v>67</v>
      </c>
      <c r="AD2323" s="4" t="s">
        <v>63</v>
      </c>
      <c r="AE2323" s="4" t="s">
        <v>63</v>
      </c>
      <c r="AF2323" s="4" t="s">
        <v>63</v>
      </c>
      <c r="AG2323" s="4" t="s">
        <v>63</v>
      </c>
      <c r="AH2323" s="4" t="s">
        <v>63</v>
      </c>
      <c r="AI2323" s="4" t="s">
        <v>19654</v>
      </c>
      <c r="AJ2323" s="4" t="s">
        <v>63</v>
      </c>
      <c r="AK2323" s="4" t="s">
        <v>63</v>
      </c>
      <c r="AL2323" s="4" t="s">
        <v>63</v>
      </c>
      <c r="AM2323" s="4" t="s">
        <v>19649</v>
      </c>
      <c r="AN2323" s="4" t="s">
        <v>63</v>
      </c>
      <c r="AO2323" s="4" t="s">
        <v>63</v>
      </c>
      <c r="AP2323" s="4" t="s">
        <v>63</v>
      </c>
      <c r="AQ2323" s="4" t="s">
        <v>63</v>
      </c>
      <c r="AR2323" s="4" t="s">
        <v>63</v>
      </c>
      <c r="AS2323" s="4" t="s">
        <v>63</v>
      </c>
      <c r="AT2323" s="4" t="s">
        <v>63</v>
      </c>
      <c r="AU2323" s="4" t="s">
        <v>63</v>
      </c>
      <c r="AV2323" s="4" t="s">
        <v>63</v>
      </c>
      <c r="AW2323" s="4" t="s">
        <v>63</v>
      </c>
      <c r="AX2323" s="4" t="s">
        <v>63</v>
      </c>
      <c r="AY2323" s="4" t="s">
        <v>63</v>
      </c>
      <c r="AZ2323" s="4" t="s">
        <v>63</v>
      </c>
      <c r="BA2323" s="4" t="s">
        <v>63</v>
      </c>
      <c r="BB2323" s="4" t="s">
        <v>63</v>
      </c>
      <c r="BC2323" s="4" t="s">
        <v>63</v>
      </c>
      <c r="BD2323" s="4" t="s">
        <v>63</v>
      </c>
      <c r="BE2323" s="4" t="s">
        <v>63</v>
      </c>
      <c r="BF2323" s="4" t="s">
        <v>63</v>
      </c>
    </row>
    <row r="2324" spans="1:58">
      <c r="A2324" s="4" t="s">
        <v>58</v>
      </c>
      <c r="B2324" s="4" t="s">
        <v>19655</v>
      </c>
      <c r="C2324" s="4" t="s">
        <v>19656</v>
      </c>
      <c r="D2324" s="4" t="s">
        <v>19657</v>
      </c>
      <c r="E2324" s="4" t="s">
        <v>63</v>
      </c>
      <c r="F2324" s="4">
        <v>2001</v>
      </c>
      <c r="G2324" s="4" t="s">
        <v>63</v>
      </c>
      <c r="H2324" s="4">
        <v>10</v>
      </c>
      <c r="I2324" s="4">
        <v>2</v>
      </c>
      <c r="J2324" s="4">
        <v>131</v>
      </c>
      <c r="K2324" s="4">
        <v>140</v>
      </c>
      <c r="L2324" s="4" t="s">
        <v>19658</v>
      </c>
      <c r="M2324" s="4" t="s">
        <v>19659</v>
      </c>
      <c r="N2324" s="4" t="s">
        <v>19660</v>
      </c>
      <c r="O2324" s="4" t="s">
        <v>63</v>
      </c>
      <c r="P2324" s="4"/>
      <c r="Q2324" s="4" t="s">
        <v>63</v>
      </c>
      <c r="R2324" s="4" t="s">
        <v>63</v>
      </c>
      <c r="S2324" s="4" t="s">
        <v>63</v>
      </c>
      <c r="T2324" s="4" t="s">
        <v>63</v>
      </c>
      <c r="U2324" s="4"/>
      <c r="V2324" s="4"/>
      <c r="W2324" s="4"/>
      <c r="X2324" s="4" t="s">
        <v>63</v>
      </c>
      <c r="Y2324" s="4" t="s">
        <v>19661</v>
      </c>
      <c r="Z2324" s="4" t="s">
        <v>63</v>
      </c>
      <c r="AA2324" s="4" t="s">
        <v>63</v>
      </c>
      <c r="AB2324" s="4" t="s">
        <v>19662</v>
      </c>
      <c r="AC2324" s="4" t="s">
        <v>67</v>
      </c>
      <c r="AD2324" s="4" t="s">
        <v>63</v>
      </c>
      <c r="AE2324" s="4" t="s">
        <v>63</v>
      </c>
      <c r="AF2324" s="4" t="s">
        <v>63</v>
      </c>
      <c r="AG2324" s="4" t="s">
        <v>63</v>
      </c>
      <c r="AH2324" s="4" t="s">
        <v>63</v>
      </c>
      <c r="AI2324" s="4" t="s">
        <v>19663</v>
      </c>
      <c r="AJ2324" s="4" t="s">
        <v>63</v>
      </c>
      <c r="AK2324" s="4" t="s">
        <v>63</v>
      </c>
      <c r="AL2324" s="4" t="s">
        <v>63</v>
      </c>
      <c r="AM2324" s="4" t="s">
        <v>19656</v>
      </c>
      <c r="AN2324" s="4" t="s">
        <v>63</v>
      </c>
      <c r="AO2324" s="4" t="s">
        <v>63</v>
      </c>
      <c r="AP2324" s="4" t="s">
        <v>63</v>
      </c>
      <c r="AQ2324" s="4" t="s">
        <v>63</v>
      </c>
      <c r="AR2324" s="4" t="s">
        <v>63</v>
      </c>
      <c r="AS2324" s="4" t="s">
        <v>63</v>
      </c>
      <c r="AT2324" s="4" t="s">
        <v>63</v>
      </c>
      <c r="AU2324" s="4" t="s">
        <v>63</v>
      </c>
      <c r="AV2324" s="4" t="s">
        <v>63</v>
      </c>
      <c r="AW2324" s="4" t="s">
        <v>63</v>
      </c>
      <c r="AX2324" s="4" t="s">
        <v>63</v>
      </c>
      <c r="AY2324" s="4" t="s">
        <v>63</v>
      </c>
      <c r="AZ2324" s="4" t="s">
        <v>63</v>
      </c>
      <c r="BA2324" s="4" t="s">
        <v>63</v>
      </c>
      <c r="BB2324" s="4" t="s">
        <v>63</v>
      </c>
      <c r="BC2324" s="4" t="s">
        <v>63</v>
      </c>
      <c r="BD2324" s="4" t="s">
        <v>63</v>
      </c>
      <c r="BE2324" s="4" t="s">
        <v>63</v>
      </c>
      <c r="BF2324" s="4" t="s">
        <v>63</v>
      </c>
    </row>
    <row r="2325" spans="1:58">
      <c r="A2325" s="4" t="s">
        <v>58</v>
      </c>
      <c r="B2325" s="4" t="s">
        <v>19664</v>
      </c>
      <c r="C2325" s="4" t="s">
        <v>19665</v>
      </c>
      <c r="D2325" s="4" t="s">
        <v>18831</v>
      </c>
      <c r="E2325" s="4" t="s">
        <v>63</v>
      </c>
      <c r="F2325" s="4">
        <v>2016</v>
      </c>
      <c r="G2325" s="4">
        <v>1</v>
      </c>
      <c r="H2325" s="4" t="s">
        <v>19666</v>
      </c>
      <c r="I2325" s="4" t="s">
        <v>63</v>
      </c>
      <c r="J2325" s="4" t="s">
        <v>18785</v>
      </c>
      <c r="K2325" s="4" t="s">
        <v>63</v>
      </c>
      <c r="L2325" s="4" t="s">
        <v>19667</v>
      </c>
      <c r="M2325" s="4" t="s">
        <v>19668</v>
      </c>
      <c r="N2325" s="4" t="s">
        <v>19669</v>
      </c>
      <c r="O2325" s="4" t="s">
        <v>63</v>
      </c>
      <c r="P2325" s="4"/>
      <c r="Q2325" s="4" t="s">
        <v>63</v>
      </c>
      <c r="R2325" s="4" t="s">
        <v>63</v>
      </c>
      <c r="S2325" s="4" t="s">
        <v>63</v>
      </c>
      <c r="T2325" s="4" t="s">
        <v>63</v>
      </c>
      <c r="U2325" s="4"/>
      <c r="V2325" s="4"/>
      <c r="W2325" s="4"/>
      <c r="X2325" s="4" t="s">
        <v>63</v>
      </c>
      <c r="Y2325" s="4" t="s">
        <v>19670</v>
      </c>
      <c r="Z2325" s="4" t="s">
        <v>63</v>
      </c>
      <c r="AA2325" s="4" t="s">
        <v>63</v>
      </c>
      <c r="AB2325" s="4" t="s">
        <v>63</v>
      </c>
      <c r="AC2325" s="4" t="s">
        <v>67</v>
      </c>
      <c r="AD2325" s="4" t="s">
        <v>63</v>
      </c>
      <c r="AE2325" s="4" t="s">
        <v>63</v>
      </c>
      <c r="AF2325" s="4" t="s">
        <v>63</v>
      </c>
      <c r="AG2325" s="4" t="s">
        <v>63</v>
      </c>
      <c r="AH2325" s="4" t="s">
        <v>63</v>
      </c>
      <c r="AI2325" s="4" t="s">
        <v>63</v>
      </c>
      <c r="AJ2325" s="4" t="s">
        <v>63</v>
      </c>
      <c r="AK2325" s="4" t="s">
        <v>63</v>
      </c>
      <c r="AL2325" s="4" t="s">
        <v>63</v>
      </c>
      <c r="AM2325" s="4" t="s">
        <v>19665</v>
      </c>
      <c r="AN2325" s="4" t="s">
        <v>63</v>
      </c>
      <c r="AO2325" s="4" t="s">
        <v>63</v>
      </c>
      <c r="AP2325" s="4" t="s">
        <v>63</v>
      </c>
      <c r="AQ2325" s="4" t="s">
        <v>63</v>
      </c>
      <c r="AR2325" s="4" t="s">
        <v>63</v>
      </c>
      <c r="AS2325" s="4" t="s">
        <v>63</v>
      </c>
      <c r="AT2325" s="4" t="s">
        <v>63</v>
      </c>
      <c r="AU2325" s="4" t="s">
        <v>63</v>
      </c>
      <c r="AV2325" s="4" t="s">
        <v>63</v>
      </c>
      <c r="AW2325" s="4" t="s">
        <v>63</v>
      </c>
      <c r="AX2325" s="4" t="s">
        <v>63</v>
      </c>
      <c r="AY2325" s="4" t="s">
        <v>63</v>
      </c>
      <c r="AZ2325" s="4" t="s">
        <v>63</v>
      </c>
      <c r="BA2325" s="4" t="s">
        <v>63</v>
      </c>
      <c r="BB2325" s="4" t="s">
        <v>63</v>
      </c>
      <c r="BC2325" s="4" t="s">
        <v>63</v>
      </c>
      <c r="BD2325" s="4" t="s">
        <v>63</v>
      </c>
      <c r="BE2325" s="4" t="s">
        <v>63</v>
      </c>
      <c r="BF2325" s="4" t="s">
        <v>63</v>
      </c>
    </row>
    <row r="2326" spans="1:58">
      <c r="A2326" s="4" t="s">
        <v>58</v>
      </c>
      <c r="B2326" s="4" t="s">
        <v>19671</v>
      </c>
      <c r="C2326" s="4" t="s">
        <v>19672</v>
      </c>
      <c r="D2326" s="4" t="s">
        <v>15656</v>
      </c>
      <c r="E2326" s="4" t="s">
        <v>15656</v>
      </c>
      <c r="F2326" s="4">
        <v>2012</v>
      </c>
      <c r="G2326" s="4">
        <v>15</v>
      </c>
      <c r="H2326" s="4">
        <v>125</v>
      </c>
      <c r="I2326" s="4">
        <v>19</v>
      </c>
      <c r="J2326" s="4" t="s">
        <v>19673</v>
      </c>
      <c r="K2326" s="4" t="s">
        <v>63</v>
      </c>
      <c r="L2326" s="4" t="s">
        <v>19674</v>
      </c>
      <c r="M2326" s="4" t="s">
        <v>19675</v>
      </c>
      <c r="N2326" s="4" t="s">
        <v>19676</v>
      </c>
      <c r="O2326" s="4" t="s">
        <v>63</v>
      </c>
      <c r="P2326" s="4"/>
      <c r="Q2326" s="4" t="s">
        <v>63</v>
      </c>
      <c r="R2326" s="4" t="s">
        <v>63</v>
      </c>
      <c r="S2326" s="4" t="s">
        <v>63</v>
      </c>
      <c r="T2326" s="4" t="s">
        <v>63</v>
      </c>
      <c r="U2326" s="4"/>
      <c r="V2326" s="4"/>
      <c r="W2326" s="4"/>
      <c r="X2326" s="4" t="s">
        <v>63</v>
      </c>
      <c r="Y2326" s="5">
        <v>41903</v>
      </c>
      <c r="Z2326" s="4" t="s">
        <v>63</v>
      </c>
      <c r="AA2326" s="4" t="s">
        <v>63</v>
      </c>
      <c r="AB2326" s="4" t="s">
        <v>63</v>
      </c>
      <c r="AC2326" s="4" t="s">
        <v>67</v>
      </c>
      <c r="AD2326" s="4" t="s">
        <v>63</v>
      </c>
      <c r="AE2326" s="4" t="s">
        <v>63</v>
      </c>
      <c r="AF2326" s="4" t="s">
        <v>63</v>
      </c>
      <c r="AG2326" s="4" t="s">
        <v>63</v>
      </c>
      <c r="AH2326" s="4" t="s">
        <v>63</v>
      </c>
      <c r="AI2326" s="4" t="s">
        <v>19677</v>
      </c>
      <c r="AJ2326" s="4" t="s">
        <v>63</v>
      </c>
      <c r="AK2326" s="4" t="s">
        <v>63</v>
      </c>
      <c r="AL2326" s="4" t="s">
        <v>63</v>
      </c>
      <c r="AM2326" s="4" t="s">
        <v>19672</v>
      </c>
      <c r="AN2326" s="4" t="s">
        <v>63</v>
      </c>
      <c r="AO2326" s="4" t="s">
        <v>63</v>
      </c>
      <c r="AP2326" s="4" t="s">
        <v>63</v>
      </c>
      <c r="AQ2326" s="4" t="s">
        <v>63</v>
      </c>
      <c r="AR2326" s="4" t="s">
        <v>63</v>
      </c>
      <c r="AS2326" s="4" t="s">
        <v>63</v>
      </c>
      <c r="AT2326" s="4" t="s">
        <v>63</v>
      </c>
      <c r="AU2326" s="4" t="s">
        <v>63</v>
      </c>
      <c r="AV2326" s="4" t="s">
        <v>63</v>
      </c>
      <c r="AW2326" s="4" t="s">
        <v>63</v>
      </c>
      <c r="AX2326" s="4" t="s">
        <v>63</v>
      </c>
      <c r="AY2326" s="4" t="s">
        <v>63</v>
      </c>
      <c r="AZ2326" s="4" t="s">
        <v>63</v>
      </c>
      <c r="BA2326" s="4" t="s">
        <v>63</v>
      </c>
      <c r="BB2326" s="4" t="s">
        <v>63</v>
      </c>
      <c r="BC2326" s="4" t="s">
        <v>63</v>
      </c>
      <c r="BD2326" s="4" t="s">
        <v>63</v>
      </c>
      <c r="BE2326" s="4" t="s">
        <v>63</v>
      </c>
      <c r="BF2326" s="4" t="s">
        <v>63</v>
      </c>
    </row>
    <row r="2327" spans="1:58">
      <c r="A2327" s="4" t="s">
        <v>58</v>
      </c>
      <c r="B2327" s="4" t="s">
        <v>19678</v>
      </c>
      <c r="C2327" s="4" t="s">
        <v>19679</v>
      </c>
      <c r="D2327" s="4" t="s">
        <v>15440</v>
      </c>
      <c r="E2327" s="4" t="s">
        <v>15440</v>
      </c>
      <c r="F2327" s="4">
        <v>2011</v>
      </c>
      <c r="G2327" s="4" t="s">
        <v>15358</v>
      </c>
      <c r="H2327" s="4">
        <v>31</v>
      </c>
      <c r="I2327" s="4">
        <v>10</v>
      </c>
      <c r="J2327" s="4" t="s">
        <v>19680</v>
      </c>
      <c r="K2327" s="4" t="s">
        <v>19681</v>
      </c>
      <c r="L2327" s="4" t="s">
        <v>19682</v>
      </c>
      <c r="M2327" s="4" t="s">
        <v>19683</v>
      </c>
      <c r="N2327" s="4" t="s">
        <v>19684</v>
      </c>
      <c r="O2327" s="4" t="s">
        <v>63</v>
      </c>
      <c r="P2327" s="4"/>
      <c r="Q2327" s="4" t="s">
        <v>63</v>
      </c>
      <c r="R2327" s="4" t="s">
        <v>63</v>
      </c>
      <c r="S2327" s="4" t="s">
        <v>63</v>
      </c>
      <c r="T2327" s="4" t="s">
        <v>63</v>
      </c>
      <c r="U2327" s="4"/>
      <c r="V2327" s="4"/>
      <c r="W2327" s="4"/>
      <c r="X2327" s="4" t="s">
        <v>63</v>
      </c>
      <c r="Y2327" s="4" t="s">
        <v>15446</v>
      </c>
      <c r="Z2327" s="4" t="s">
        <v>63</v>
      </c>
      <c r="AA2327" s="4" t="s">
        <v>63</v>
      </c>
      <c r="AB2327" s="4" t="s">
        <v>63</v>
      </c>
      <c r="AC2327" s="4" t="s">
        <v>67</v>
      </c>
      <c r="AD2327" s="4" t="s">
        <v>63</v>
      </c>
      <c r="AE2327" s="4" t="s">
        <v>63</v>
      </c>
      <c r="AF2327" s="4" t="s">
        <v>63</v>
      </c>
      <c r="AG2327" s="4" t="s">
        <v>63</v>
      </c>
      <c r="AH2327" s="4" t="s">
        <v>63</v>
      </c>
      <c r="AI2327" s="4" t="s">
        <v>63</v>
      </c>
      <c r="AJ2327" s="4" t="s">
        <v>63</v>
      </c>
      <c r="AK2327" s="4" t="s">
        <v>63</v>
      </c>
      <c r="AL2327" s="4" t="s">
        <v>63</v>
      </c>
      <c r="AM2327" s="4" t="s">
        <v>19679</v>
      </c>
      <c r="AN2327" s="4" t="s">
        <v>63</v>
      </c>
      <c r="AO2327" s="4" t="s">
        <v>63</v>
      </c>
      <c r="AP2327" s="4" t="s">
        <v>63</v>
      </c>
      <c r="AQ2327" s="4" t="s">
        <v>63</v>
      </c>
      <c r="AR2327" s="4" t="s">
        <v>63</v>
      </c>
      <c r="AS2327" s="4" t="s">
        <v>63</v>
      </c>
      <c r="AT2327" s="4" t="s">
        <v>63</v>
      </c>
      <c r="AU2327" s="4" t="s">
        <v>63</v>
      </c>
      <c r="AV2327" s="4" t="s">
        <v>63</v>
      </c>
      <c r="AW2327" s="4" t="s">
        <v>63</v>
      </c>
      <c r="AX2327" s="4" t="s">
        <v>63</v>
      </c>
      <c r="AY2327" s="4" t="s">
        <v>63</v>
      </c>
      <c r="AZ2327" s="4" t="s">
        <v>63</v>
      </c>
      <c r="BA2327" s="4" t="s">
        <v>63</v>
      </c>
      <c r="BB2327" s="4" t="s">
        <v>63</v>
      </c>
      <c r="BC2327" s="4" t="s">
        <v>63</v>
      </c>
      <c r="BD2327" s="4" t="s">
        <v>63</v>
      </c>
      <c r="BE2327" s="4" t="s">
        <v>63</v>
      </c>
      <c r="BF2327" s="4" t="s">
        <v>63</v>
      </c>
    </row>
    <row r="2328" spans="1:58">
      <c r="A2328" s="4" t="s">
        <v>58</v>
      </c>
      <c r="B2328" s="4" t="s">
        <v>19685</v>
      </c>
      <c r="C2328" s="4" t="s">
        <v>19686</v>
      </c>
      <c r="D2328" s="4" t="s">
        <v>15263</v>
      </c>
      <c r="E2328" s="4" t="s">
        <v>15264</v>
      </c>
      <c r="F2328" s="4">
        <v>2015</v>
      </c>
      <c r="G2328" s="4">
        <v>1</v>
      </c>
      <c r="H2328" s="4">
        <v>156</v>
      </c>
      <c r="I2328" s="4" t="s">
        <v>63</v>
      </c>
      <c r="J2328" s="4" t="s">
        <v>19687</v>
      </c>
      <c r="K2328" s="4" t="s">
        <v>63</v>
      </c>
      <c r="L2328" s="4" t="s">
        <v>19688</v>
      </c>
      <c r="M2328" s="4" t="s">
        <v>19689</v>
      </c>
      <c r="N2328" s="4" t="s">
        <v>19690</v>
      </c>
      <c r="O2328" s="4" t="s">
        <v>63</v>
      </c>
      <c r="P2328" s="4"/>
      <c r="Q2328" s="4" t="s">
        <v>63</v>
      </c>
      <c r="R2328" s="4" t="s">
        <v>63</v>
      </c>
      <c r="S2328" s="4" t="s">
        <v>63</v>
      </c>
      <c r="T2328" s="4" t="s">
        <v>63</v>
      </c>
      <c r="U2328" s="4"/>
      <c r="V2328" s="4"/>
      <c r="W2328" s="4"/>
      <c r="X2328" s="4" t="s">
        <v>63</v>
      </c>
      <c r="Y2328" s="4" t="s">
        <v>4942</v>
      </c>
      <c r="Z2328" s="4" t="s">
        <v>63</v>
      </c>
      <c r="AA2328" s="4" t="s">
        <v>63</v>
      </c>
      <c r="AB2328" s="4" t="s">
        <v>63</v>
      </c>
      <c r="AC2328" s="4" t="s">
        <v>67</v>
      </c>
      <c r="AD2328" s="4" t="s">
        <v>63</v>
      </c>
      <c r="AE2328" s="4" t="s">
        <v>63</v>
      </c>
      <c r="AF2328" s="4" t="s">
        <v>63</v>
      </c>
      <c r="AG2328" s="4" t="s">
        <v>63</v>
      </c>
      <c r="AH2328" s="4" t="s">
        <v>63</v>
      </c>
      <c r="AI2328" s="4" t="s">
        <v>19691</v>
      </c>
      <c r="AJ2328" s="4" t="s">
        <v>63</v>
      </c>
      <c r="AK2328" s="4" t="s">
        <v>63</v>
      </c>
      <c r="AL2328" s="4" t="s">
        <v>63</v>
      </c>
      <c r="AM2328" s="4" t="s">
        <v>19686</v>
      </c>
      <c r="AN2328" s="4" t="s">
        <v>63</v>
      </c>
      <c r="AO2328" s="4" t="s">
        <v>63</v>
      </c>
      <c r="AP2328" s="4" t="s">
        <v>63</v>
      </c>
      <c r="AQ2328" s="4" t="s">
        <v>63</v>
      </c>
      <c r="AR2328" s="4" t="s">
        <v>63</v>
      </c>
      <c r="AS2328" s="4" t="s">
        <v>63</v>
      </c>
      <c r="AT2328" s="4" t="s">
        <v>63</v>
      </c>
      <c r="AU2328" s="4" t="s">
        <v>63</v>
      </c>
      <c r="AV2328" s="4" t="s">
        <v>63</v>
      </c>
      <c r="AW2328" s="4" t="s">
        <v>63</v>
      </c>
      <c r="AX2328" s="4" t="s">
        <v>63</v>
      </c>
      <c r="AY2328" s="4" t="s">
        <v>63</v>
      </c>
      <c r="AZ2328" s="4" t="s">
        <v>63</v>
      </c>
      <c r="BA2328" s="4" t="s">
        <v>63</v>
      </c>
      <c r="BB2328" s="4" t="s">
        <v>63</v>
      </c>
      <c r="BC2328" s="4" t="s">
        <v>63</v>
      </c>
      <c r="BD2328" s="4" t="s">
        <v>63</v>
      </c>
      <c r="BE2328" s="4" t="s">
        <v>63</v>
      </c>
      <c r="BF2328" s="4" t="s">
        <v>63</v>
      </c>
    </row>
    <row r="2329" spans="1:58">
      <c r="A2329" s="4" t="s">
        <v>58</v>
      </c>
      <c r="B2329" s="4" t="s">
        <v>19692</v>
      </c>
      <c r="C2329" s="4" t="s">
        <v>19693</v>
      </c>
      <c r="D2329" s="4" t="s">
        <v>15663</v>
      </c>
      <c r="E2329" s="4" t="s">
        <v>15664</v>
      </c>
      <c r="F2329" s="4">
        <v>2016</v>
      </c>
      <c r="G2329" s="4" t="s">
        <v>15665</v>
      </c>
      <c r="H2329" s="4">
        <v>51</v>
      </c>
      <c r="I2329" s="4">
        <v>2</v>
      </c>
      <c r="J2329" s="4">
        <v>454</v>
      </c>
      <c r="K2329" s="4" t="s">
        <v>63</v>
      </c>
      <c r="L2329" s="4" t="s">
        <v>19694</v>
      </c>
      <c r="M2329" s="4" t="s">
        <v>19695</v>
      </c>
      <c r="N2329" s="4" t="s">
        <v>19696</v>
      </c>
      <c r="O2329" s="4" t="s">
        <v>63</v>
      </c>
      <c r="P2329" s="4"/>
      <c r="Q2329" s="4" t="s">
        <v>63</v>
      </c>
      <c r="R2329" s="4" t="s">
        <v>63</v>
      </c>
      <c r="S2329" s="4" t="s">
        <v>63</v>
      </c>
      <c r="T2329" s="4" t="s">
        <v>63</v>
      </c>
      <c r="U2329" s="4"/>
      <c r="V2329" s="4"/>
      <c r="W2329" s="4"/>
      <c r="X2329" s="4" t="s">
        <v>63</v>
      </c>
      <c r="Y2329" s="4" t="s">
        <v>3022</v>
      </c>
      <c r="Z2329" s="4" t="s">
        <v>63</v>
      </c>
      <c r="AA2329" s="4" t="s">
        <v>63</v>
      </c>
      <c r="AB2329" s="4" t="s">
        <v>63</v>
      </c>
      <c r="AC2329" s="4" t="s">
        <v>67</v>
      </c>
      <c r="AD2329" s="4" t="s">
        <v>63</v>
      </c>
      <c r="AE2329" s="4" t="s">
        <v>63</v>
      </c>
      <c r="AF2329" s="4" t="s">
        <v>63</v>
      </c>
      <c r="AG2329" s="4" t="s">
        <v>63</v>
      </c>
      <c r="AH2329" s="4" t="s">
        <v>63</v>
      </c>
      <c r="AI2329" s="4" t="s">
        <v>63</v>
      </c>
      <c r="AJ2329" s="4" t="s">
        <v>63</v>
      </c>
      <c r="AK2329" s="4" t="s">
        <v>63</v>
      </c>
      <c r="AL2329" s="4" t="s">
        <v>63</v>
      </c>
      <c r="AM2329" s="4" t="s">
        <v>19693</v>
      </c>
      <c r="AN2329" s="4" t="s">
        <v>63</v>
      </c>
      <c r="AO2329" s="4" t="s">
        <v>63</v>
      </c>
      <c r="AP2329" s="4" t="s">
        <v>63</v>
      </c>
      <c r="AQ2329" s="4" t="s">
        <v>63</v>
      </c>
      <c r="AR2329" s="4" t="s">
        <v>63</v>
      </c>
      <c r="AS2329" s="4" t="s">
        <v>63</v>
      </c>
      <c r="AT2329" s="4" t="s">
        <v>63</v>
      </c>
      <c r="AU2329" s="4" t="s">
        <v>63</v>
      </c>
      <c r="AV2329" s="4" t="s">
        <v>63</v>
      </c>
      <c r="AW2329" s="4" t="s">
        <v>63</v>
      </c>
      <c r="AX2329" s="4" t="s">
        <v>63</v>
      </c>
      <c r="AY2329" s="4" t="s">
        <v>63</v>
      </c>
      <c r="AZ2329" s="4" t="s">
        <v>63</v>
      </c>
      <c r="BA2329" s="4" t="s">
        <v>63</v>
      </c>
      <c r="BB2329" s="4" t="s">
        <v>63</v>
      </c>
      <c r="BC2329" s="4" t="s">
        <v>63</v>
      </c>
      <c r="BD2329" s="4" t="s">
        <v>63</v>
      </c>
      <c r="BE2329" s="4" t="s">
        <v>63</v>
      </c>
      <c r="BF2329" s="4" t="s">
        <v>63</v>
      </c>
    </row>
    <row r="2330" spans="1:58">
      <c r="A2330" s="4" t="s">
        <v>58</v>
      </c>
      <c r="B2330" s="4" t="s">
        <v>19697</v>
      </c>
      <c r="C2330" s="4" t="s">
        <v>19698</v>
      </c>
      <c r="D2330" s="4" t="s">
        <v>16987</v>
      </c>
      <c r="E2330" s="4" t="s">
        <v>63</v>
      </c>
      <c r="F2330" s="4">
        <v>2015</v>
      </c>
      <c r="G2330" s="4" t="s">
        <v>63</v>
      </c>
      <c r="H2330" s="4" t="s">
        <v>19699</v>
      </c>
      <c r="I2330" s="4" t="s">
        <v>63</v>
      </c>
      <c r="J2330" s="4" t="s">
        <v>19700</v>
      </c>
      <c r="K2330" s="4" t="s">
        <v>63</v>
      </c>
      <c r="L2330" s="4" t="s">
        <v>19701</v>
      </c>
      <c r="M2330" s="4" t="s">
        <v>19702</v>
      </c>
      <c r="N2330" s="4" t="s">
        <v>19703</v>
      </c>
      <c r="O2330" s="4" t="s">
        <v>63</v>
      </c>
      <c r="P2330" s="4"/>
      <c r="Q2330" s="4" t="s">
        <v>63</v>
      </c>
      <c r="R2330" s="4" t="s">
        <v>63</v>
      </c>
      <c r="S2330" s="4" t="s">
        <v>63</v>
      </c>
      <c r="T2330" s="4" t="s">
        <v>63</v>
      </c>
      <c r="U2330" s="4"/>
      <c r="V2330" s="4"/>
      <c r="W2330" s="4"/>
      <c r="X2330" s="4" t="s">
        <v>63</v>
      </c>
      <c r="Y2330" s="4" t="s">
        <v>16992</v>
      </c>
      <c r="Z2330" s="4" t="s">
        <v>63</v>
      </c>
      <c r="AA2330" s="4" t="s">
        <v>63</v>
      </c>
      <c r="AB2330" s="4" t="s">
        <v>63</v>
      </c>
      <c r="AC2330" s="4" t="s">
        <v>67</v>
      </c>
      <c r="AD2330" s="4" t="s">
        <v>63</v>
      </c>
      <c r="AE2330" s="4" t="s">
        <v>63</v>
      </c>
      <c r="AF2330" s="4" t="s">
        <v>63</v>
      </c>
      <c r="AG2330" s="4" t="s">
        <v>63</v>
      </c>
      <c r="AH2330" s="4" t="s">
        <v>63</v>
      </c>
      <c r="AI2330" s="4" t="s">
        <v>63</v>
      </c>
      <c r="AJ2330" s="4" t="s">
        <v>63</v>
      </c>
      <c r="AK2330" s="4" t="s">
        <v>63</v>
      </c>
      <c r="AL2330" s="4" t="s">
        <v>63</v>
      </c>
      <c r="AM2330" s="4" t="s">
        <v>19698</v>
      </c>
      <c r="AN2330" s="4" t="s">
        <v>63</v>
      </c>
      <c r="AO2330" s="4" t="s">
        <v>63</v>
      </c>
      <c r="AP2330" s="4" t="s">
        <v>63</v>
      </c>
      <c r="AQ2330" s="4" t="s">
        <v>63</v>
      </c>
      <c r="AR2330" s="4" t="s">
        <v>63</v>
      </c>
      <c r="AS2330" s="4" t="s">
        <v>63</v>
      </c>
      <c r="AT2330" s="4" t="s">
        <v>63</v>
      </c>
      <c r="AU2330" s="4" t="s">
        <v>63</v>
      </c>
      <c r="AV2330" s="4" t="s">
        <v>63</v>
      </c>
      <c r="AW2330" s="4" t="s">
        <v>63</v>
      </c>
      <c r="AX2330" s="4" t="s">
        <v>63</v>
      </c>
      <c r="AY2330" s="4" t="s">
        <v>63</v>
      </c>
      <c r="AZ2330" s="4" t="s">
        <v>63</v>
      </c>
      <c r="BA2330" s="4" t="s">
        <v>63</v>
      </c>
      <c r="BB2330" s="4" t="s">
        <v>63</v>
      </c>
      <c r="BC2330" s="4" t="s">
        <v>63</v>
      </c>
      <c r="BD2330" s="4" t="s">
        <v>63</v>
      </c>
      <c r="BE2330" s="4" t="s">
        <v>63</v>
      </c>
      <c r="BF2330" s="4" t="s">
        <v>63</v>
      </c>
    </row>
    <row r="2331" spans="1:58">
      <c r="A2331" s="4" t="s">
        <v>58</v>
      </c>
      <c r="B2331" s="4" t="s">
        <v>19704</v>
      </c>
      <c r="C2331" s="4" t="s">
        <v>19705</v>
      </c>
      <c r="D2331" s="4" t="s">
        <v>18652</v>
      </c>
      <c r="E2331" s="4" t="s">
        <v>18653</v>
      </c>
      <c r="F2331" s="4">
        <v>2015</v>
      </c>
      <c r="G2331" s="4" t="s">
        <v>16182</v>
      </c>
      <c r="H2331" s="4" t="s">
        <v>19706</v>
      </c>
      <c r="I2331" s="4" t="s">
        <v>63</v>
      </c>
      <c r="J2331" s="4">
        <v>194</v>
      </c>
      <c r="K2331" s="4">
        <v>195</v>
      </c>
      <c r="L2331" s="4" t="s">
        <v>19707</v>
      </c>
      <c r="M2331" s="4" t="s">
        <v>19708</v>
      </c>
      <c r="N2331" s="4" t="s">
        <v>19709</v>
      </c>
      <c r="O2331" s="4" t="s">
        <v>63</v>
      </c>
      <c r="P2331" s="4"/>
      <c r="Q2331" s="4" t="s">
        <v>63</v>
      </c>
      <c r="R2331" s="4" t="s">
        <v>63</v>
      </c>
      <c r="S2331" s="4" t="s">
        <v>63</v>
      </c>
      <c r="T2331" s="4" t="s">
        <v>63</v>
      </c>
      <c r="U2331" s="4"/>
      <c r="V2331" s="4"/>
      <c r="W2331" s="4"/>
      <c r="X2331" s="4" t="s">
        <v>63</v>
      </c>
      <c r="Y2331" s="4" t="s">
        <v>18658</v>
      </c>
      <c r="Z2331" s="4" t="s">
        <v>63</v>
      </c>
      <c r="AA2331" s="4" t="s">
        <v>63</v>
      </c>
      <c r="AB2331" s="4" t="s">
        <v>63</v>
      </c>
      <c r="AC2331" s="4" t="s">
        <v>67</v>
      </c>
      <c r="AD2331" s="4" t="s">
        <v>63</v>
      </c>
      <c r="AE2331" s="4" t="s">
        <v>63</v>
      </c>
      <c r="AF2331" s="4" t="s">
        <v>63</v>
      </c>
      <c r="AG2331" s="4" t="s">
        <v>63</v>
      </c>
      <c r="AH2331" s="4" t="s">
        <v>63</v>
      </c>
      <c r="AI2331" s="4" t="s">
        <v>19710</v>
      </c>
      <c r="AJ2331" s="4" t="s">
        <v>63</v>
      </c>
      <c r="AK2331" s="4" t="s">
        <v>63</v>
      </c>
      <c r="AL2331" s="4" t="s">
        <v>63</v>
      </c>
      <c r="AM2331" s="4" t="s">
        <v>19705</v>
      </c>
      <c r="AN2331" s="4" t="s">
        <v>63</v>
      </c>
      <c r="AO2331" s="4" t="s">
        <v>63</v>
      </c>
      <c r="AP2331" s="4" t="s">
        <v>63</v>
      </c>
      <c r="AQ2331" s="4" t="s">
        <v>63</v>
      </c>
      <c r="AR2331" s="4" t="s">
        <v>63</v>
      </c>
      <c r="AS2331" s="4" t="s">
        <v>63</v>
      </c>
      <c r="AT2331" s="4" t="s">
        <v>63</v>
      </c>
      <c r="AU2331" s="4" t="s">
        <v>63</v>
      </c>
      <c r="AV2331" s="4" t="s">
        <v>63</v>
      </c>
      <c r="AW2331" s="4" t="s">
        <v>63</v>
      </c>
      <c r="AX2331" s="4" t="s">
        <v>63</v>
      </c>
      <c r="AY2331" s="4" t="s">
        <v>63</v>
      </c>
      <c r="AZ2331" s="4" t="s">
        <v>63</v>
      </c>
      <c r="BA2331" s="4" t="s">
        <v>63</v>
      </c>
      <c r="BB2331" s="4" t="s">
        <v>63</v>
      </c>
      <c r="BC2331" s="4" t="s">
        <v>63</v>
      </c>
      <c r="BD2331" s="4" t="s">
        <v>63</v>
      </c>
      <c r="BE2331" s="4" t="s">
        <v>63</v>
      </c>
      <c r="BF2331" s="4" t="s">
        <v>63</v>
      </c>
    </row>
    <row r="2332" spans="1:58">
      <c r="A2332" s="4" t="s">
        <v>58</v>
      </c>
      <c r="B2332" s="4" t="s">
        <v>19711</v>
      </c>
      <c r="C2332" s="4" t="s">
        <v>19712</v>
      </c>
      <c r="D2332" s="4" t="s">
        <v>18652</v>
      </c>
      <c r="E2332" s="4" t="s">
        <v>18653</v>
      </c>
      <c r="F2332" s="4">
        <v>2014</v>
      </c>
      <c r="G2332" s="4" t="s">
        <v>15665</v>
      </c>
      <c r="H2332" s="4" t="s">
        <v>16988</v>
      </c>
      <c r="I2332" s="4" t="s">
        <v>63</v>
      </c>
      <c r="J2332" s="4">
        <v>26</v>
      </c>
      <c r="K2332" s="4">
        <v>27</v>
      </c>
      <c r="L2332" s="4" t="s">
        <v>19713</v>
      </c>
      <c r="M2332" s="4" t="s">
        <v>19714</v>
      </c>
      <c r="N2332" s="4" t="s">
        <v>19715</v>
      </c>
      <c r="O2332" s="4" t="s">
        <v>63</v>
      </c>
      <c r="P2332" s="4"/>
      <c r="Q2332" s="4" t="s">
        <v>63</v>
      </c>
      <c r="R2332" s="4" t="s">
        <v>63</v>
      </c>
      <c r="S2332" s="4" t="s">
        <v>63</v>
      </c>
      <c r="T2332" s="4" t="s">
        <v>63</v>
      </c>
      <c r="U2332" s="4"/>
      <c r="V2332" s="4"/>
      <c r="W2332" s="4"/>
      <c r="X2332" s="4" t="s">
        <v>63</v>
      </c>
      <c r="Y2332" s="4" t="s">
        <v>18658</v>
      </c>
      <c r="Z2332" s="4" t="s">
        <v>63</v>
      </c>
      <c r="AA2332" s="4" t="s">
        <v>63</v>
      </c>
      <c r="AB2332" s="4" t="s">
        <v>63</v>
      </c>
      <c r="AC2332" s="4" t="s">
        <v>67</v>
      </c>
      <c r="AD2332" s="4" t="s">
        <v>63</v>
      </c>
      <c r="AE2332" s="4" t="s">
        <v>63</v>
      </c>
      <c r="AF2332" s="4" t="s">
        <v>63</v>
      </c>
      <c r="AG2332" s="4" t="s">
        <v>63</v>
      </c>
      <c r="AH2332" s="4" t="s">
        <v>63</v>
      </c>
      <c r="AI2332" s="4" t="s">
        <v>19716</v>
      </c>
      <c r="AJ2332" s="4" t="s">
        <v>63</v>
      </c>
      <c r="AK2332" s="4" t="s">
        <v>63</v>
      </c>
      <c r="AL2332" s="4" t="s">
        <v>63</v>
      </c>
      <c r="AM2332" s="4" t="s">
        <v>19712</v>
      </c>
      <c r="AN2332" s="4" t="s">
        <v>63</v>
      </c>
      <c r="AO2332" s="4" t="s">
        <v>63</v>
      </c>
      <c r="AP2332" s="4" t="s">
        <v>63</v>
      </c>
      <c r="AQ2332" s="4" t="s">
        <v>63</v>
      </c>
      <c r="AR2332" s="4" t="s">
        <v>63</v>
      </c>
      <c r="AS2332" s="4" t="s">
        <v>63</v>
      </c>
      <c r="AT2332" s="4" t="s">
        <v>63</v>
      </c>
      <c r="AU2332" s="4" t="s">
        <v>63</v>
      </c>
      <c r="AV2332" s="4" t="s">
        <v>63</v>
      </c>
      <c r="AW2332" s="4" t="s">
        <v>63</v>
      </c>
      <c r="AX2332" s="4" t="s">
        <v>63</v>
      </c>
      <c r="AY2332" s="4" t="s">
        <v>63</v>
      </c>
      <c r="AZ2332" s="4" t="s">
        <v>63</v>
      </c>
      <c r="BA2332" s="4" t="s">
        <v>63</v>
      </c>
      <c r="BB2332" s="4" t="s">
        <v>63</v>
      </c>
      <c r="BC2332" s="4" t="s">
        <v>63</v>
      </c>
      <c r="BD2332" s="4" t="s">
        <v>63</v>
      </c>
      <c r="BE2332" s="4" t="s">
        <v>63</v>
      </c>
      <c r="BF2332" s="4" t="s">
        <v>63</v>
      </c>
    </row>
    <row r="2333" spans="1:58">
      <c r="A2333" s="4" t="s">
        <v>58</v>
      </c>
      <c r="B2333" s="4" t="s">
        <v>19717</v>
      </c>
      <c r="C2333" s="4" t="s">
        <v>19718</v>
      </c>
      <c r="D2333" s="4" t="s">
        <v>1469</v>
      </c>
      <c r="E2333" s="4" t="s">
        <v>1470</v>
      </c>
      <c r="F2333" s="4">
        <v>2014</v>
      </c>
      <c r="G2333" s="4" t="s">
        <v>189</v>
      </c>
      <c r="H2333" s="4">
        <v>21</v>
      </c>
      <c r="I2333" s="4">
        <v>5</v>
      </c>
      <c r="J2333" s="4" t="s">
        <v>13343</v>
      </c>
      <c r="K2333" s="4" t="s">
        <v>63</v>
      </c>
      <c r="L2333" s="4" t="s">
        <v>19719</v>
      </c>
      <c r="M2333" s="4" t="s">
        <v>19720</v>
      </c>
      <c r="N2333" s="4" t="s">
        <v>19721</v>
      </c>
      <c r="O2333" s="4" t="s">
        <v>63</v>
      </c>
      <c r="P2333" s="4"/>
      <c r="Q2333" s="4" t="s">
        <v>63</v>
      </c>
      <c r="R2333" s="4" t="s">
        <v>63</v>
      </c>
      <c r="S2333" s="4" t="s">
        <v>63</v>
      </c>
      <c r="T2333" s="4" t="s">
        <v>63</v>
      </c>
      <c r="U2333" s="4"/>
      <c r="V2333" s="4"/>
      <c r="W2333" s="4"/>
      <c r="X2333" s="4" t="s">
        <v>63</v>
      </c>
      <c r="Y2333" s="4" t="s">
        <v>1972</v>
      </c>
      <c r="Z2333" s="4" t="s">
        <v>63</v>
      </c>
      <c r="AA2333" s="4" t="s">
        <v>63</v>
      </c>
      <c r="AB2333" s="4" t="s">
        <v>63</v>
      </c>
      <c r="AC2333" s="4" t="s">
        <v>67</v>
      </c>
      <c r="AD2333" s="4" t="s">
        <v>63</v>
      </c>
      <c r="AE2333" s="4" t="s">
        <v>63</v>
      </c>
      <c r="AF2333" s="4" t="s">
        <v>63</v>
      </c>
      <c r="AG2333" s="4" t="s">
        <v>63</v>
      </c>
      <c r="AH2333" s="4" t="s">
        <v>63</v>
      </c>
      <c r="AI2333" s="4" t="s">
        <v>19722</v>
      </c>
      <c r="AJ2333" s="4" t="s">
        <v>63</v>
      </c>
      <c r="AK2333" s="4" t="s">
        <v>63</v>
      </c>
      <c r="AL2333" s="4" t="s">
        <v>63</v>
      </c>
      <c r="AM2333" s="4" t="s">
        <v>19718</v>
      </c>
      <c r="AN2333" s="4" t="s">
        <v>63</v>
      </c>
      <c r="AO2333" s="4" t="s">
        <v>63</v>
      </c>
      <c r="AP2333" s="4" t="s">
        <v>63</v>
      </c>
      <c r="AQ2333" s="4" t="s">
        <v>63</v>
      </c>
      <c r="AR2333" s="4" t="s">
        <v>63</v>
      </c>
      <c r="AS2333" s="4" t="s">
        <v>63</v>
      </c>
      <c r="AT2333" s="4" t="s">
        <v>63</v>
      </c>
      <c r="AU2333" s="4" t="s">
        <v>63</v>
      </c>
      <c r="AV2333" s="4" t="s">
        <v>63</v>
      </c>
      <c r="AW2333" s="4" t="s">
        <v>63</v>
      </c>
      <c r="AX2333" s="4" t="s">
        <v>63</v>
      </c>
      <c r="AY2333" s="4" t="s">
        <v>63</v>
      </c>
      <c r="AZ2333" s="4" t="s">
        <v>63</v>
      </c>
      <c r="BA2333" s="4" t="s">
        <v>63</v>
      </c>
      <c r="BB2333" s="4" t="s">
        <v>63</v>
      </c>
      <c r="BC2333" s="4" t="s">
        <v>63</v>
      </c>
      <c r="BD2333" s="4" t="s">
        <v>63</v>
      </c>
      <c r="BE2333" s="4" t="s">
        <v>63</v>
      </c>
      <c r="BF2333" s="4" t="s">
        <v>63</v>
      </c>
    </row>
    <row r="2334" spans="1:58">
      <c r="A2334" s="4" t="s">
        <v>58</v>
      </c>
      <c r="B2334" s="4" t="s">
        <v>19723</v>
      </c>
      <c r="C2334" s="4" t="s">
        <v>19724</v>
      </c>
      <c r="D2334" s="4" t="s">
        <v>17362</v>
      </c>
      <c r="E2334" s="4" t="s">
        <v>63</v>
      </c>
      <c r="F2334" s="4">
        <v>2014</v>
      </c>
      <c r="G2334" s="4" t="s">
        <v>15389</v>
      </c>
      <c r="H2334" s="4">
        <v>10</v>
      </c>
      <c r="I2334" s="4">
        <v>1</v>
      </c>
      <c r="J2334" s="4">
        <v>67</v>
      </c>
      <c r="K2334" s="4" t="s">
        <v>63</v>
      </c>
      <c r="L2334" s="4" t="s">
        <v>19725</v>
      </c>
      <c r="M2334" s="4" t="s">
        <v>19726</v>
      </c>
      <c r="N2334" s="4" t="s">
        <v>19727</v>
      </c>
      <c r="O2334" s="4" t="s">
        <v>63</v>
      </c>
      <c r="P2334" s="4"/>
      <c r="Q2334" s="4" t="s">
        <v>63</v>
      </c>
      <c r="R2334" s="4" t="s">
        <v>63</v>
      </c>
      <c r="S2334" s="4" t="s">
        <v>63</v>
      </c>
      <c r="T2334" s="4" t="s">
        <v>63</v>
      </c>
      <c r="U2334" s="4"/>
      <c r="V2334" s="4"/>
      <c r="W2334" s="4"/>
      <c r="X2334" s="4" t="s">
        <v>63</v>
      </c>
      <c r="Y2334" s="4" t="s">
        <v>19728</v>
      </c>
      <c r="Z2334" s="4" t="s">
        <v>63</v>
      </c>
      <c r="AA2334" s="4" t="s">
        <v>63</v>
      </c>
      <c r="AB2334" s="4" t="s">
        <v>63</v>
      </c>
      <c r="AC2334" s="4" t="s">
        <v>67</v>
      </c>
      <c r="AD2334" s="4" t="s">
        <v>63</v>
      </c>
      <c r="AE2334" s="4" t="s">
        <v>63</v>
      </c>
      <c r="AF2334" s="4" t="s">
        <v>63</v>
      </c>
      <c r="AG2334" s="4" t="s">
        <v>63</v>
      </c>
      <c r="AH2334" s="4" t="s">
        <v>63</v>
      </c>
      <c r="AI2334" s="4" t="s">
        <v>19729</v>
      </c>
      <c r="AJ2334" s="4" t="s">
        <v>63</v>
      </c>
      <c r="AK2334" s="4" t="s">
        <v>63</v>
      </c>
      <c r="AL2334" s="4" t="s">
        <v>63</v>
      </c>
      <c r="AM2334" s="4" t="s">
        <v>19724</v>
      </c>
      <c r="AN2334" s="4" t="s">
        <v>63</v>
      </c>
      <c r="AO2334" s="4" t="s">
        <v>63</v>
      </c>
      <c r="AP2334" s="4" t="s">
        <v>63</v>
      </c>
      <c r="AQ2334" s="4" t="s">
        <v>63</v>
      </c>
      <c r="AR2334" s="4" t="s">
        <v>63</v>
      </c>
      <c r="AS2334" s="4" t="s">
        <v>63</v>
      </c>
      <c r="AT2334" s="4" t="s">
        <v>63</v>
      </c>
      <c r="AU2334" s="4" t="s">
        <v>63</v>
      </c>
      <c r="AV2334" s="4" t="s">
        <v>63</v>
      </c>
      <c r="AW2334" s="4" t="s">
        <v>63</v>
      </c>
      <c r="AX2334" s="4" t="s">
        <v>63</v>
      </c>
      <c r="AY2334" s="4" t="s">
        <v>63</v>
      </c>
      <c r="AZ2334" s="4" t="s">
        <v>63</v>
      </c>
      <c r="BA2334" s="4" t="s">
        <v>63</v>
      </c>
      <c r="BB2334" s="4" t="s">
        <v>63</v>
      </c>
      <c r="BC2334" s="4" t="s">
        <v>63</v>
      </c>
      <c r="BD2334" s="4" t="s">
        <v>63</v>
      </c>
      <c r="BE2334" s="4" t="s">
        <v>63</v>
      </c>
      <c r="BF2334" s="4" t="s">
        <v>63</v>
      </c>
    </row>
    <row r="2335" spans="1:58">
      <c r="A2335" s="4" t="s">
        <v>58</v>
      </c>
      <c r="B2335" s="4" t="s">
        <v>19730</v>
      </c>
      <c r="C2335" s="4" t="s">
        <v>19731</v>
      </c>
      <c r="D2335" s="4" t="s">
        <v>18140</v>
      </c>
      <c r="E2335" s="4" t="s">
        <v>18141</v>
      </c>
      <c r="F2335" s="4">
        <v>2000</v>
      </c>
      <c r="G2335" s="4" t="s">
        <v>614</v>
      </c>
      <c r="H2335" s="4">
        <v>21</v>
      </c>
      <c r="I2335" s="4">
        <v>8</v>
      </c>
      <c r="J2335" s="4">
        <v>786</v>
      </c>
      <c r="K2335" s="4">
        <v>787</v>
      </c>
      <c r="L2335" s="4" t="s">
        <v>19732</v>
      </c>
      <c r="M2335" s="4" t="s">
        <v>63</v>
      </c>
      <c r="N2335" s="4" t="s">
        <v>19733</v>
      </c>
      <c r="O2335" s="4" t="s">
        <v>63</v>
      </c>
      <c r="P2335" s="4"/>
      <c r="Q2335" s="4" t="s">
        <v>63</v>
      </c>
      <c r="R2335" s="4" t="s">
        <v>63</v>
      </c>
      <c r="S2335" s="4" t="s">
        <v>63</v>
      </c>
      <c r="T2335" s="4" t="s">
        <v>63</v>
      </c>
      <c r="U2335" s="4"/>
      <c r="V2335" s="4"/>
      <c r="W2335" s="4"/>
      <c r="X2335" s="4" t="s">
        <v>63</v>
      </c>
      <c r="Y2335" s="4" t="s">
        <v>18145</v>
      </c>
      <c r="Z2335" s="4" t="s">
        <v>63</v>
      </c>
      <c r="AA2335" s="4" t="s">
        <v>63</v>
      </c>
      <c r="AB2335" s="4" t="s">
        <v>63</v>
      </c>
      <c r="AC2335" s="4" t="s">
        <v>67</v>
      </c>
      <c r="AD2335" s="4" t="s">
        <v>63</v>
      </c>
      <c r="AE2335" s="4" t="s">
        <v>63</v>
      </c>
      <c r="AF2335" s="4" t="s">
        <v>63</v>
      </c>
      <c r="AG2335" s="4" t="s">
        <v>19734</v>
      </c>
      <c r="AH2335" s="4" t="s">
        <v>63</v>
      </c>
      <c r="AI2335" s="4" t="s">
        <v>63</v>
      </c>
      <c r="AJ2335" s="4" t="s">
        <v>63</v>
      </c>
      <c r="AK2335" s="4" t="s">
        <v>63</v>
      </c>
      <c r="AL2335" s="4" t="s">
        <v>63</v>
      </c>
      <c r="AM2335" s="4" t="s">
        <v>19735</v>
      </c>
      <c r="AN2335" s="4" t="s">
        <v>63</v>
      </c>
      <c r="AO2335" s="4" t="s">
        <v>63</v>
      </c>
      <c r="AP2335" s="4" t="s">
        <v>63</v>
      </c>
      <c r="AQ2335" s="4" t="s">
        <v>63</v>
      </c>
      <c r="AR2335" s="4" t="s">
        <v>63</v>
      </c>
      <c r="AS2335" s="4" t="s">
        <v>63</v>
      </c>
      <c r="AT2335" s="4" t="s">
        <v>63</v>
      </c>
      <c r="AU2335" s="4" t="s">
        <v>63</v>
      </c>
      <c r="AV2335" s="4" t="s">
        <v>63</v>
      </c>
      <c r="AW2335" s="4" t="s">
        <v>63</v>
      </c>
      <c r="AX2335" s="4" t="s">
        <v>63</v>
      </c>
      <c r="AY2335" s="4" t="s">
        <v>63</v>
      </c>
      <c r="AZ2335" s="4" t="s">
        <v>63</v>
      </c>
      <c r="BA2335" s="4" t="s">
        <v>63</v>
      </c>
      <c r="BB2335" s="4" t="s">
        <v>63</v>
      </c>
      <c r="BC2335" s="4" t="s">
        <v>63</v>
      </c>
      <c r="BD2335" s="4" t="s">
        <v>63</v>
      </c>
      <c r="BE2335" s="4" t="s">
        <v>63</v>
      </c>
      <c r="BF2335" s="4" t="s">
        <v>63</v>
      </c>
    </row>
    <row r="2336" spans="1:58">
      <c r="A2336" s="4" t="s">
        <v>58</v>
      </c>
      <c r="B2336" s="4" t="s">
        <v>19736</v>
      </c>
      <c r="C2336" s="4" t="s">
        <v>19737</v>
      </c>
      <c r="D2336" s="4" t="s">
        <v>16100</v>
      </c>
      <c r="E2336" s="4" t="s">
        <v>63</v>
      </c>
      <c r="F2336" s="4">
        <v>1997</v>
      </c>
      <c r="G2336" s="4" t="s">
        <v>63</v>
      </c>
      <c r="H2336" s="4">
        <v>32</v>
      </c>
      <c r="I2336" s="4">
        <v>1</v>
      </c>
      <c r="J2336" s="4">
        <v>9</v>
      </c>
      <c r="K2336" s="4">
        <v>12</v>
      </c>
      <c r="L2336" s="4" t="s">
        <v>19738</v>
      </c>
      <c r="M2336" s="4" t="s">
        <v>19739</v>
      </c>
      <c r="N2336" s="4" t="s">
        <v>19740</v>
      </c>
      <c r="O2336" s="4" t="s">
        <v>63</v>
      </c>
      <c r="P2336" s="4"/>
      <c r="Q2336" s="4" t="s">
        <v>63</v>
      </c>
      <c r="R2336" s="4" t="s">
        <v>63</v>
      </c>
      <c r="S2336" s="4" t="s">
        <v>63</v>
      </c>
      <c r="T2336" s="4" t="s">
        <v>63</v>
      </c>
      <c r="U2336" s="4"/>
      <c r="V2336" s="4"/>
      <c r="W2336" s="4"/>
      <c r="X2336" s="4" t="s">
        <v>63</v>
      </c>
      <c r="Y2336" s="4" t="s">
        <v>185</v>
      </c>
      <c r="Z2336" s="4" t="s">
        <v>63</v>
      </c>
      <c r="AA2336" s="4" t="s">
        <v>63</v>
      </c>
      <c r="AB2336" s="4">
        <v>1997065205</v>
      </c>
      <c r="AC2336" s="4" t="s">
        <v>67</v>
      </c>
      <c r="AD2336" s="4" t="s">
        <v>63</v>
      </c>
      <c r="AE2336" s="4" t="s">
        <v>63</v>
      </c>
      <c r="AF2336" s="4" t="s">
        <v>63</v>
      </c>
      <c r="AG2336" s="4" t="s">
        <v>19741</v>
      </c>
      <c r="AH2336" s="4" t="s">
        <v>63</v>
      </c>
      <c r="AI2336" s="4" t="s">
        <v>63</v>
      </c>
      <c r="AJ2336" s="4" t="s">
        <v>63</v>
      </c>
      <c r="AK2336" s="4" t="s">
        <v>63</v>
      </c>
      <c r="AL2336" s="4" t="s">
        <v>63</v>
      </c>
      <c r="AM2336" s="4" t="s">
        <v>5214</v>
      </c>
      <c r="AN2336" s="4" t="s">
        <v>63</v>
      </c>
      <c r="AO2336" s="4" t="s">
        <v>63</v>
      </c>
      <c r="AP2336" s="4" t="s">
        <v>63</v>
      </c>
      <c r="AQ2336" s="4" t="s">
        <v>63</v>
      </c>
      <c r="AR2336" s="4" t="s">
        <v>63</v>
      </c>
      <c r="AS2336" s="4" t="s">
        <v>63</v>
      </c>
      <c r="AT2336" s="4" t="s">
        <v>63</v>
      </c>
      <c r="AU2336" s="4" t="s">
        <v>63</v>
      </c>
      <c r="AV2336" s="4" t="s">
        <v>63</v>
      </c>
      <c r="AW2336" s="4" t="s">
        <v>63</v>
      </c>
      <c r="AX2336" s="4" t="s">
        <v>63</v>
      </c>
      <c r="AY2336" s="4" t="s">
        <v>63</v>
      </c>
      <c r="AZ2336" s="4" t="s">
        <v>63</v>
      </c>
      <c r="BA2336" s="4" t="s">
        <v>63</v>
      </c>
      <c r="BB2336" s="4" t="s">
        <v>63</v>
      </c>
      <c r="BC2336" s="4" t="s">
        <v>63</v>
      </c>
      <c r="BD2336" s="4" t="s">
        <v>63</v>
      </c>
      <c r="BE2336" s="4" t="s">
        <v>63</v>
      </c>
      <c r="BF2336" s="4" t="s">
        <v>63</v>
      </c>
    </row>
    <row r="2337" spans="1:58">
      <c r="A2337" s="4" t="s">
        <v>58</v>
      </c>
      <c r="B2337" s="4" t="s">
        <v>19742</v>
      </c>
      <c r="C2337" s="4" t="s">
        <v>19743</v>
      </c>
      <c r="D2337" s="4" t="s">
        <v>938</v>
      </c>
      <c r="E2337" s="4" t="s">
        <v>63</v>
      </c>
      <c r="F2337" s="4">
        <v>2009</v>
      </c>
      <c r="G2337" s="4" t="s">
        <v>16182</v>
      </c>
      <c r="H2337" s="4">
        <v>18</v>
      </c>
      <c r="I2337" s="4">
        <v>4</v>
      </c>
      <c r="J2337" s="4">
        <v>322</v>
      </c>
      <c r="K2337" s="4" t="s">
        <v>63</v>
      </c>
      <c r="L2337" s="4" t="s">
        <v>19744</v>
      </c>
      <c r="M2337" s="4" t="s">
        <v>19745</v>
      </c>
      <c r="N2337" s="4" t="s">
        <v>19746</v>
      </c>
      <c r="O2337" s="4" t="s">
        <v>63</v>
      </c>
      <c r="P2337" s="4"/>
      <c r="Q2337" s="4" t="s">
        <v>63</v>
      </c>
      <c r="R2337" s="4" t="s">
        <v>63</v>
      </c>
      <c r="S2337" s="4" t="s">
        <v>63</v>
      </c>
      <c r="T2337" s="4" t="s">
        <v>63</v>
      </c>
      <c r="U2337" s="4"/>
      <c r="V2337" s="4"/>
      <c r="W2337" s="4"/>
      <c r="X2337" s="4" t="s">
        <v>63</v>
      </c>
      <c r="Y2337" s="4" t="s">
        <v>2500</v>
      </c>
      <c r="Z2337" s="4" t="s">
        <v>63</v>
      </c>
      <c r="AA2337" s="4" t="s">
        <v>63</v>
      </c>
      <c r="AB2337" s="4" t="s">
        <v>63</v>
      </c>
      <c r="AC2337" s="4" t="s">
        <v>67</v>
      </c>
      <c r="AD2337" s="4" t="s">
        <v>63</v>
      </c>
      <c r="AE2337" s="4" t="s">
        <v>63</v>
      </c>
      <c r="AF2337" s="4" t="s">
        <v>63</v>
      </c>
      <c r="AG2337" s="4" t="s">
        <v>63</v>
      </c>
      <c r="AH2337" s="4" t="s">
        <v>63</v>
      </c>
      <c r="AI2337" s="4" t="s">
        <v>17560</v>
      </c>
      <c r="AJ2337" s="4" t="s">
        <v>63</v>
      </c>
      <c r="AK2337" s="4" t="s">
        <v>63</v>
      </c>
      <c r="AL2337" s="4" t="s">
        <v>63</v>
      </c>
      <c r="AM2337" s="4" t="s">
        <v>19743</v>
      </c>
      <c r="AN2337" s="4" t="s">
        <v>63</v>
      </c>
      <c r="AO2337" s="4" t="s">
        <v>63</v>
      </c>
      <c r="AP2337" s="4" t="s">
        <v>63</v>
      </c>
      <c r="AQ2337" s="4" t="s">
        <v>63</v>
      </c>
      <c r="AR2337" s="4" t="s">
        <v>63</v>
      </c>
      <c r="AS2337" s="4" t="s">
        <v>63</v>
      </c>
      <c r="AT2337" s="4" t="s">
        <v>63</v>
      </c>
      <c r="AU2337" s="4" t="s">
        <v>63</v>
      </c>
      <c r="AV2337" s="4" t="s">
        <v>63</v>
      </c>
      <c r="AW2337" s="4" t="s">
        <v>63</v>
      </c>
      <c r="AX2337" s="4" t="s">
        <v>63</v>
      </c>
      <c r="AY2337" s="4" t="s">
        <v>63</v>
      </c>
      <c r="AZ2337" s="4" t="s">
        <v>63</v>
      </c>
      <c r="BA2337" s="4" t="s">
        <v>63</v>
      </c>
      <c r="BB2337" s="4" t="s">
        <v>63</v>
      </c>
      <c r="BC2337" s="4" t="s">
        <v>63</v>
      </c>
      <c r="BD2337" s="4" t="s">
        <v>63</v>
      </c>
      <c r="BE2337" s="4" t="s">
        <v>63</v>
      </c>
      <c r="BF2337" s="4" t="s">
        <v>63</v>
      </c>
    </row>
    <row r="2338" spans="1:58">
      <c r="A2338" s="4" t="s">
        <v>58</v>
      </c>
      <c r="B2338" s="4" t="s">
        <v>19747</v>
      </c>
      <c r="C2338" s="4" t="s">
        <v>19748</v>
      </c>
      <c r="D2338" s="4" t="s">
        <v>19749</v>
      </c>
      <c r="E2338" s="4" t="s">
        <v>63</v>
      </c>
      <c r="F2338" s="4">
        <v>2009</v>
      </c>
      <c r="G2338" s="4" t="s">
        <v>15508</v>
      </c>
      <c r="H2338" s="4">
        <v>36</v>
      </c>
      <c r="I2338" s="4">
        <v>1</v>
      </c>
      <c r="J2338" s="4">
        <v>52</v>
      </c>
      <c r="K2338" s="4">
        <v>60</v>
      </c>
      <c r="L2338" s="4" t="s">
        <v>19750</v>
      </c>
      <c r="M2338" s="4" t="s">
        <v>19751</v>
      </c>
      <c r="N2338" s="4" t="s">
        <v>19752</v>
      </c>
      <c r="O2338" s="4" t="s">
        <v>63</v>
      </c>
      <c r="P2338" s="4"/>
      <c r="Q2338" s="4" t="s">
        <v>63</v>
      </c>
      <c r="R2338" s="4" t="s">
        <v>63</v>
      </c>
      <c r="S2338" s="4" t="s">
        <v>63</v>
      </c>
      <c r="T2338" s="4" t="s">
        <v>63</v>
      </c>
      <c r="U2338" s="4"/>
      <c r="V2338" s="4"/>
      <c r="W2338" s="4"/>
      <c r="X2338" s="4" t="s">
        <v>63</v>
      </c>
      <c r="Y2338" s="4" t="s">
        <v>7947</v>
      </c>
      <c r="Z2338" s="4" t="s">
        <v>63</v>
      </c>
      <c r="AA2338" s="4" t="s">
        <v>63</v>
      </c>
      <c r="AB2338" s="4">
        <v>2009085865</v>
      </c>
      <c r="AC2338" s="4" t="s">
        <v>67</v>
      </c>
      <c r="AD2338" s="4" t="s">
        <v>63</v>
      </c>
      <c r="AE2338" s="4" t="s">
        <v>63</v>
      </c>
      <c r="AF2338" s="4" t="s">
        <v>63</v>
      </c>
      <c r="AG2338" s="4" t="s">
        <v>19753</v>
      </c>
      <c r="AH2338" s="4" t="s">
        <v>63</v>
      </c>
      <c r="AI2338" s="4" t="s">
        <v>19754</v>
      </c>
      <c r="AJ2338" s="4" t="s">
        <v>63</v>
      </c>
      <c r="AK2338" s="4" t="s">
        <v>63</v>
      </c>
      <c r="AL2338" s="4" t="s">
        <v>63</v>
      </c>
      <c r="AM2338" s="4" t="s">
        <v>19755</v>
      </c>
      <c r="AN2338" s="4" t="s">
        <v>63</v>
      </c>
      <c r="AO2338" s="4" t="s">
        <v>63</v>
      </c>
      <c r="AP2338" s="4" t="s">
        <v>63</v>
      </c>
      <c r="AQ2338" s="4" t="s">
        <v>63</v>
      </c>
      <c r="AR2338" s="4" t="s">
        <v>63</v>
      </c>
      <c r="AS2338" s="4" t="s">
        <v>63</v>
      </c>
      <c r="AT2338" s="4" t="s">
        <v>63</v>
      </c>
      <c r="AU2338" s="4" t="s">
        <v>63</v>
      </c>
      <c r="AV2338" s="4" t="s">
        <v>63</v>
      </c>
      <c r="AW2338" s="4" t="s">
        <v>63</v>
      </c>
      <c r="AX2338" s="4" t="s">
        <v>63</v>
      </c>
      <c r="AY2338" s="4" t="s">
        <v>63</v>
      </c>
      <c r="AZ2338" s="4" t="s">
        <v>63</v>
      </c>
      <c r="BA2338" s="4" t="s">
        <v>63</v>
      </c>
      <c r="BB2338" s="4" t="s">
        <v>63</v>
      </c>
      <c r="BC2338" s="4" t="s">
        <v>63</v>
      </c>
      <c r="BD2338" s="4" t="s">
        <v>63</v>
      </c>
      <c r="BE2338" s="4" t="s">
        <v>63</v>
      </c>
      <c r="BF2338" s="4" t="s">
        <v>63</v>
      </c>
    </row>
    <row r="2339" spans="1:58">
      <c r="A2339" s="4" t="s">
        <v>58</v>
      </c>
      <c r="B2339" s="4" t="s">
        <v>19756</v>
      </c>
      <c r="C2339" s="4" t="s">
        <v>19757</v>
      </c>
      <c r="D2339" s="4" t="s">
        <v>1212</v>
      </c>
      <c r="E2339" s="4" t="s">
        <v>63</v>
      </c>
      <c r="F2339" s="4">
        <v>2016</v>
      </c>
      <c r="G2339" s="4" t="s">
        <v>63</v>
      </c>
      <c r="H2339" s="4">
        <v>10</v>
      </c>
      <c r="I2339" s="4">
        <v>5</v>
      </c>
      <c r="J2339" s="4">
        <v>363</v>
      </c>
      <c r="K2339" s="4">
        <v>364</v>
      </c>
      <c r="L2339" s="4" t="s">
        <v>19758</v>
      </c>
      <c r="M2339" s="4" t="s">
        <v>63</v>
      </c>
      <c r="N2339" s="4" t="s">
        <v>19759</v>
      </c>
      <c r="O2339" s="4" t="s">
        <v>63</v>
      </c>
      <c r="P2339" s="4"/>
      <c r="Q2339" s="4" t="s">
        <v>63</v>
      </c>
      <c r="R2339" s="4" t="s">
        <v>63</v>
      </c>
      <c r="S2339" s="4" t="s">
        <v>63</v>
      </c>
      <c r="T2339" s="4" t="s">
        <v>63</v>
      </c>
      <c r="U2339" s="4"/>
      <c r="V2339" s="4"/>
      <c r="W2339" s="4"/>
      <c r="X2339" s="4" t="s">
        <v>63</v>
      </c>
      <c r="Y2339" s="4" t="s">
        <v>15084</v>
      </c>
      <c r="Z2339" s="4" t="s">
        <v>63</v>
      </c>
      <c r="AA2339" s="4" t="s">
        <v>63</v>
      </c>
      <c r="AB2339" s="4" t="s">
        <v>19760</v>
      </c>
      <c r="AC2339" s="4" t="s">
        <v>67</v>
      </c>
      <c r="AD2339" s="4" t="s">
        <v>63</v>
      </c>
      <c r="AE2339" s="4" t="s">
        <v>63</v>
      </c>
      <c r="AF2339" s="4" t="s">
        <v>63</v>
      </c>
      <c r="AG2339" s="4" t="s">
        <v>63</v>
      </c>
      <c r="AH2339" s="4" t="s">
        <v>63</v>
      </c>
      <c r="AI2339" s="4" t="s">
        <v>19761</v>
      </c>
      <c r="AJ2339" s="4" t="s">
        <v>63</v>
      </c>
      <c r="AK2339" s="4" t="s">
        <v>63</v>
      </c>
      <c r="AL2339" s="4" t="s">
        <v>63</v>
      </c>
      <c r="AM2339" s="4" t="s">
        <v>19757</v>
      </c>
      <c r="AN2339" s="4" t="s">
        <v>63</v>
      </c>
      <c r="AO2339" s="4" t="s">
        <v>63</v>
      </c>
      <c r="AP2339" s="4" t="s">
        <v>63</v>
      </c>
      <c r="AQ2339" s="4" t="s">
        <v>63</v>
      </c>
      <c r="AR2339" s="4" t="s">
        <v>63</v>
      </c>
      <c r="AS2339" s="4" t="s">
        <v>63</v>
      </c>
      <c r="AT2339" s="4" t="s">
        <v>63</v>
      </c>
      <c r="AU2339" s="4" t="s">
        <v>63</v>
      </c>
      <c r="AV2339" s="4" t="s">
        <v>63</v>
      </c>
      <c r="AW2339" s="4" t="s">
        <v>63</v>
      </c>
      <c r="AX2339" s="4" t="s">
        <v>63</v>
      </c>
      <c r="AY2339" s="4" t="s">
        <v>63</v>
      </c>
      <c r="AZ2339" s="4" t="s">
        <v>63</v>
      </c>
      <c r="BA2339" s="4" t="s">
        <v>63</v>
      </c>
      <c r="BB2339" s="4" t="s">
        <v>63</v>
      </c>
      <c r="BC2339" s="4" t="s">
        <v>63</v>
      </c>
      <c r="BD2339" s="4" t="s">
        <v>63</v>
      </c>
      <c r="BE2339" s="4" t="s">
        <v>63</v>
      </c>
      <c r="BF2339" s="4" t="s">
        <v>63</v>
      </c>
    </row>
    <row r="2340" spans="1:58">
      <c r="A2340" s="4" t="s">
        <v>58</v>
      </c>
      <c r="B2340" s="4" t="s">
        <v>19762</v>
      </c>
      <c r="C2340" s="4" t="s">
        <v>19763</v>
      </c>
      <c r="D2340" s="4" t="s">
        <v>15263</v>
      </c>
      <c r="E2340" s="4" t="s">
        <v>15264</v>
      </c>
      <c r="F2340" s="4">
        <v>2015</v>
      </c>
      <c r="G2340" s="4">
        <v>1</v>
      </c>
      <c r="H2340" s="4">
        <v>146</v>
      </c>
      <c r="I2340" s="4" t="s">
        <v>63</v>
      </c>
      <c r="J2340" s="4" t="s">
        <v>19764</v>
      </c>
      <c r="K2340" s="4" t="s">
        <v>63</v>
      </c>
      <c r="L2340" s="4" t="s">
        <v>19765</v>
      </c>
      <c r="M2340" s="4" t="s">
        <v>19766</v>
      </c>
      <c r="N2340" s="4" t="s">
        <v>19767</v>
      </c>
      <c r="O2340" s="4" t="s">
        <v>63</v>
      </c>
      <c r="P2340" s="4"/>
      <c r="Q2340" s="4" t="s">
        <v>63</v>
      </c>
      <c r="R2340" s="4" t="s">
        <v>63</v>
      </c>
      <c r="S2340" s="4" t="s">
        <v>63</v>
      </c>
      <c r="T2340" s="4" t="s">
        <v>63</v>
      </c>
      <c r="U2340" s="4"/>
      <c r="V2340" s="4"/>
      <c r="W2340" s="4"/>
      <c r="X2340" s="4" t="s">
        <v>63</v>
      </c>
      <c r="Y2340" s="4" t="s">
        <v>4942</v>
      </c>
      <c r="Z2340" s="4" t="s">
        <v>63</v>
      </c>
      <c r="AA2340" s="4" t="s">
        <v>63</v>
      </c>
      <c r="AB2340" s="4" t="s">
        <v>63</v>
      </c>
      <c r="AC2340" s="4" t="s">
        <v>67</v>
      </c>
      <c r="AD2340" s="4" t="s">
        <v>63</v>
      </c>
      <c r="AE2340" s="4" t="s">
        <v>63</v>
      </c>
      <c r="AF2340" s="4" t="s">
        <v>63</v>
      </c>
      <c r="AG2340" s="4" t="s">
        <v>63</v>
      </c>
      <c r="AH2340" s="4" t="s">
        <v>63</v>
      </c>
      <c r="AI2340" s="4" t="s">
        <v>19768</v>
      </c>
      <c r="AJ2340" s="4" t="s">
        <v>63</v>
      </c>
      <c r="AK2340" s="4" t="s">
        <v>63</v>
      </c>
      <c r="AL2340" s="4" t="s">
        <v>63</v>
      </c>
      <c r="AM2340" s="4" t="s">
        <v>19763</v>
      </c>
      <c r="AN2340" s="4" t="s">
        <v>63</v>
      </c>
      <c r="AO2340" s="4" t="s">
        <v>63</v>
      </c>
      <c r="AP2340" s="4" t="s">
        <v>63</v>
      </c>
      <c r="AQ2340" s="4" t="s">
        <v>63</v>
      </c>
      <c r="AR2340" s="4" t="s">
        <v>63</v>
      </c>
      <c r="AS2340" s="4" t="s">
        <v>63</v>
      </c>
      <c r="AT2340" s="4" t="s">
        <v>63</v>
      </c>
      <c r="AU2340" s="4" t="s">
        <v>63</v>
      </c>
      <c r="AV2340" s="4" t="s">
        <v>63</v>
      </c>
      <c r="AW2340" s="4" t="s">
        <v>63</v>
      </c>
      <c r="AX2340" s="4" t="s">
        <v>63</v>
      </c>
      <c r="AY2340" s="4" t="s">
        <v>63</v>
      </c>
      <c r="AZ2340" s="4" t="s">
        <v>63</v>
      </c>
      <c r="BA2340" s="4" t="s">
        <v>63</v>
      </c>
      <c r="BB2340" s="4" t="s">
        <v>63</v>
      </c>
      <c r="BC2340" s="4" t="s">
        <v>63</v>
      </c>
      <c r="BD2340" s="4" t="s">
        <v>63</v>
      </c>
      <c r="BE2340" s="4" t="s">
        <v>63</v>
      </c>
      <c r="BF2340" s="4" t="s">
        <v>63</v>
      </c>
    </row>
    <row r="2341" spans="1:58">
      <c r="A2341" s="4" t="s">
        <v>58</v>
      </c>
      <c r="B2341" s="4" t="s">
        <v>19769</v>
      </c>
      <c r="C2341" s="4" t="s">
        <v>19770</v>
      </c>
      <c r="D2341" s="4" t="s">
        <v>371</v>
      </c>
      <c r="E2341" s="4" t="s">
        <v>63</v>
      </c>
      <c r="F2341" s="4">
        <v>2013</v>
      </c>
      <c r="G2341" s="4" t="s">
        <v>15155</v>
      </c>
      <c r="H2341" s="4" t="s">
        <v>15690</v>
      </c>
      <c r="I2341" s="4" t="s">
        <v>63</v>
      </c>
      <c r="J2341" s="4" t="s">
        <v>19771</v>
      </c>
      <c r="K2341" s="4" t="s">
        <v>19772</v>
      </c>
      <c r="L2341" s="4" t="s">
        <v>19773</v>
      </c>
      <c r="M2341" s="4" t="s">
        <v>19774</v>
      </c>
      <c r="N2341" s="4" t="s">
        <v>19775</v>
      </c>
      <c r="O2341" s="4" t="s">
        <v>63</v>
      </c>
      <c r="P2341" s="4"/>
      <c r="Q2341" s="4" t="s">
        <v>63</v>
      </c>
      <c r="R2341" s="4" t="s">
        <v>63</v>
      </c>
      <c r="S2341" s="4" t="s">
        <v>63</v>
      </c>
      <c r="T2341" s="4" t="s">
        <v>63</v>
      </c>
      <c r="U2341" s="4"/>
      <c r="V2341" s="4"/>
      <c r="W2341" s="4"/>
      <c r="X2341" s="4" t="s">
        <v>63</v>
      </c>
      <c r="Y2341" s="4" t="s">
        <v>375</v>
      </c>
      <c r="Z2341" s="4" t="s">
        <v>63</v>
      </c>
      <c r="AA2341" s="4" t="s">
        <v>63</v>
      </c>
      <c r="AB2341" s="4" t="s">
        <v>63</v>
      </c>
      <c r="AC2341" s="4" t="s">
        <v>67</v>
      </c>
      <c r="AD2341" s="4" t="s">
        <v>63</v>
      </c>
      <c r="AE2341" s="4" t="s">
        <v>63</v>
      </c>
      <c r="AF2341" s="4" t="s">
        <v>63</v>
      </c>
      <c r="AG2341" s="4" t="s">
        <v>63</v>
      </c>
      <c r="AH2341" s="4" t="s">
        <v>63</v>
      </c>
      <c r="AI2341" s="4" t="s">
        <v>63</v>
      </c>
      <c r="AJ2341" s="4" t="s">
        <v>63</v>
      </c>
      <c r="AK2341" s="4" t="s">
        <v>63</v>
      </c>
      <c r="AL2341" s="4" t="s">
        <v>63</v>
      </c>
      <c r="AM2341" s="4" t="s">
        <v>19770</v>
      </c>
      <c r="AN2341" s="4" t="s">
        <v>63</v>
      </c>
      <c r="AO2341" s="4" t="s">
        <v>63</v>
      </c>
      <c r="AP2341" s="4" t="s">
        <v>63</v>
      </c>
      <c r="AQ2341" s="4" t="s">
        <v>63</v>
      </c>
      <c r="AR2341" s="4" t="s">
        <v>63</v>
      </c>
      <c r="AS2341" s="4" t="s">
        <v>63</v>
      </c>
      <c r="AT2341" s="4" t="s">
        <v>63</v>
      </c>
      <c r="AU2341" s="4" t="s">
        <v>63</v>
      </c>
      <c r="AV2341" s="4" t="s">
        <v>63</v>
      </c>
      <c r="AW2341" s="4" t="s">
        <v>63</v>
      </c>
      <c r="AX2341" s="4" t="s">
        <v>63</v>
      </c>
      <c r="AY2341" s="4" t="s">
        <v>63</v>
      </c>
      <c r="AZ2341" s="4" t="s">
        <v>63</v>
      </c>
      <c r="BA2341" s="4" t="s">
        <v>63</v>
      </c>
      <c r="BB2341" s="4" t="s">
        <v>63</v>
      </c>
      <c r="BC2341" s="4" t="s">
        <v>63</v>
      </c>
      <c r="BD2341" s="4" t="s">
        <v>63</v>
      </c>
      <c r="BE2341" s="4" t="s">
        <v>63</v>
      </c>
      <c r="BF2341" s="4" t="s">
        <v>63</v>
      </c>
    </row>
    <row r="2342" spans="1:58">
      <c r="A2342" s="4" t="s">
        <v>58</v>
      </c>
      <c r="B2342" s="4" t="s">
        <v>19776</v>
      </c>
      <c r="C2342" s="4" t="s">
        <v>19777</v>
      </c>
      <c r="D2342" s="4" t="s">
        <v>19778</v>
      </c>
      <c r="E2342" s="4" t="s">
        <v>63</v>
      </c>
      <c r="F2342" s="4">
        <v>1973</v>
      </c>
      <c r="G2342" s="4" t="s">
        <v>63</v>
      </c>
      <c r="H2342" s="4">
        <v>10</v>
      </c>
      <c r="I2342" s="4">
        <v>2</v>
      </c>
      <c r="J2342" s="4" t="s">
        <v>19779</v>
      </c>
      <c r="K2342" s="4" t="s">
        <v>63</v>
      </c>
      <c r="L2342" s="4" t="s">
        <v>19780</v>
      </c>
      <c r="M2342" s="4" t="s">
        <v>19781</v>
      </c>
      <c r="N2342" s="4" t="s">
        <v>19782</v>
      </c>
      <c r="O2342" s="4" t="s">
        <v>63</v>
      </c>
      <c r="P2342" s="4"/>
      <c r="Q2342" s="4" t="s">
        <v>63</v>
      </c>
      <c r="R2342" s="4" t="s">
        <v>63</v>
      </c>
      <c r="S2342" s="4" t="s">
        <v>63</v>
      </c>
      <c r="T2342" s="4" t="s">
        <v>63</v>
      </c>
      <c r="U2342" s="4"/>
      <c r="V2342" s="4"/>
      <c r="W2342" s="4"/>
      <c r="X2342" s="4" t="s">
        <v>63</v>
      </c>
      <c r="Y2342" s="4" t="s">
        <v>63</v>
      </c>
      <c r="Z2342" s="4" t="s">
        <v>63</v>
      </c>
      <c r="AA2342" s="4" t="s">
        <v>63</v>
      </c>
      <c r="AB2342" s="4" t="s">
        <v>19783</v>
      </c>
      <c r="AC2342" s="4" t="s">
        <v>67</v>
      </c>
      <c r="AD2342" s="4" t="s">
        <v>63</v>
      </c>
      <c r="AE2342" s="4" t="s">
        <v>63</v>
      </c>
      <c r="AF2342" s="4" t="s">
        <v>63</v>
      </c>
      <c r="AG2342" s="4" t="s">
        <v>63</v>
      </c>
      <c r="AH2342" s="4" t="s">
        <v>63</v>
      </c>
      <c r="AI2342" s="4" t="s">
        <v>63</v>
      </c>
      <c r="AJ2342" s="4" t="s">
        <v>63</v>
      </c>
      <c r="AK2342" s="4" t="s">
        <v>63</v>
      </c>
      <c r="AL2342" s="4" t="s">
        <v>63</v>
      </c>
      <c r="AM2342" s="4" t="s">
        <v>19777</v>
      </c>
      <c r="AN2342" s="4" t="s">
        <v>63</v>
      </c>
      <c r="AO2342" s="4" t="s">
        <v>63</v>
      </c>
      <c r="AP2342" s="4" t="s">
        <v>63</v>
      </c>
      <c r="AQ2342" s="4" t="s">
        <v>63</v>
      </c>
      <c r="AR2342" s="4" t="s">
        <v>63</v>
      </c>
      <c r="AS2342" s="4" t="s">
        <v>63</v>
      </c>
      <c r="AT2342" s="4" t="s">
        <v>63</v>
      </c>
      <c r="AU2342" s="4" t="s">
        <v>63</v>
      </c>
      <c r="AV2342" s="4" t="s">
        <v>63</v>
      </c>
      <c r="AW2342" s="4" t="s">
        <v>63</v>
      </c>
      <c r="AX2342" s="4" t="s">
        <v>63</v>
      </c>
      <c r="AY2342" s="4" t="s">
        <v>63</v>
      </c>
      <c r="AZ2342" s="4" t="s">
        <v>63</v>
      </c>
      <c r="BA2342" s="4" t="s">
        <v>63</v>
      </c>
      <c r="BB2342" s="4" t="s">
        <v>63</v>
      </c>
      <c r="BC2342" s="4" t="s">
        <v>63</v>
      </c>
      <c r="BD2342" s="4" t="s">
        <v>63</v>
      </c>
      <c r="BE2342" s="4" t="s">
        <v>63</v>
      </c>
      <c r="BF2342" s="4" t="s">
        <v>63</v>
      </c>
    </row>
    <row r="2343" spans="1:58">
      <c r="A2343" s="4" t="s">
        <v>58</v>
      </c>
      <c r="B2343" s="4" t="s">
        <v>19784</v>
      </c>
      <c r="C2343" s="4" t="s">
        <v>19785</v>
      </c>
      <c r="D2343" s="4" t="s">
        <v>15421</v>
      </c>
      <c r="E2343" s="4" t="s">
        <v>63</v>
      </c>
      <c r="F2343" s="4">
        <v>2013</v>
      </c>
      <c r="G2343" s="4" t="s">
        <v>63</v>
      </c>
      <c r="H2343" s="4">
        <v>34</v>
      </c>
      <c r="I2343" s="4">
        <v>4</v>
      </c>
      <c r="J2343" s="4">
        <v>371</v>
      </c>
      <c r="K2343" s="4">
        <v>380</v>
      </c>
      <c r="L2343" s="4" t="s">
        <v>19786</v>
      </c>
      <c r="M2343" s="4" t="s">
        <v>19787</v>
      </c>
      <c r="N2343" s="4" t="s">
        <v>19788</v>
      </c>
      <c r="O2343" s="4" t="s">
        <v>63</v>
      </c>
      <c r="P2343" s="4"/>
      <c r="Q2343" s="4" t="s">
        <v>63</v>
      </c>
      <c r="R2343" s="4" t="s">
        <v>63</v>
      </c>
      <c r="S2343" s="4" t="s">
        <v>63</v>
      </c>
      <c r="T2343" s="4" t="s">
        <v>63</v>
      </c>
      <c r="U2343" s="4"/>
      <c r="V2343" s="4"/>
      <c r="W2343" s="4"/>
      <c r="X2343" s="4" t="s">
        <v>63</v>
      </c>
      <c r="Y2343" s="4" t="s">
        <v>15425</v>
      </c>
      <c r="Z2343" s="4" t="s">
        <v>63</v>
      </c>
      <c r="AA2343" s="4" t="s">
        <v>63</v>
      </c>
      <c r="AB2343" s="4" t="s">
        <v>63</v>
      </c>
      <c r="AC2343" s="4" t="s">
        <v>67</v>
      </c>
      <c r="AD2343" s="4" t="s">
        <v>63</v>
      </c>
      <c r="AE2343" s="4" t="s">
        <v>63</v>
      </c>
      <c r="AF2343" s="4" t="s">
        <v>63</v>
      </c>
      <c r="AG2343" s="4" t="s">
        <v>19789</v>
      </c>
      <c r="AH2343" s="4" t="s">
        <v>63</v>
      </c>
      <c r="AI2343" s="4" t="s">
        <v>63</v>
      </c>
      <c r="AJ2343" s="4" t="s">
        <v>63</v>
      </c>
      <c r="AK2343" s="4" t="s">
        <v>63</v>
      </c>
      <c r="AL2343" s="4" t="s">
        <v>63</v>
      </c>
      <c r="AM2343" s="4" t="s">
        <v>19790</v>
      </c>
      <c r="AN2343" s="4" t="s">
        <v>63</v>
      </c>
      <c r="AO2343" s="4" t="s">
        <v>63</v>
      </c>
      <c r="AP2343" s="4" t="s">
        <v>63</v>
      </c>
      <c r="AQ2343" s="4" t="s">
        <v>63</v>
      </c>
      <c r="AR2343" s="4" t="s">
        <v>63</v>
      </c>
      <c r="AS2343" s="4" t="s">
        <v>63</v>
      </c>
      <c r="AT2343" s="4" t="s">
        <v>63</v>
      </c>
      <c r="AU2343" s="4" t="s">
        <v>63</v>
      </c>
      <c r="AV2343" s="4" t="s">
        <v>63</v>
      </c>
      <c r="AW2343" s="4" t="s">
        <v>63</v>
      </c>
      <c r="AX2343" s="4" t="s">
        <v>63</v>
      </c>
      <c r="AY2343" s="4" t="s">
        <v>63</v>
      </c>
      <c r="AZ2343" s="4" t="s">
        <v>63</v>
      </c>
      <c r="BA2343" s="4" t="s">
        <v>63</v>
      </c>
      <c r="BB2343" s="4" t="s">
        <v>63</v>
      </c>
      <c r="BC2343" s="4" t="s">
        <v>63</v>
      </c>
      <c r="BD2343" s="4" t="s">
        <v>63</v>
      </c>
      <c r="BE2343" s="4" t="s">
        <v>63</v>
      </c>
      <c r="BF2343" s="4" t="s">
        <v>63</v>
      </c>
    </row>
    <row r="2344" spans="1:58">
      <c r="A2344" s="4" t="s">
        <v>58</v>
      </c>
      <c r="B2344" s="4" t="s">
        <v>19791</v>
      </c>
      <c r="C2344" s="4" t="s">
        <v>19792</v>
      </c>
      <c r="D2344" s="4" t="s">
        <v>19793</v>
      </c>
      <c r="E2344" s="4" t="s">
        <v>63</v>
      </c>
      <c r="F2344" s="4">
        <v>2004</v>
      </c>
      <c r="G2344" s="4" t="s">
        <v>63</v>
      </c>
      <c r="H2344" s="4">
        <v>3</v>
      </c>
      <c r="I2344" s="4">
        <v>4</v>
      </c>
      <c r="J2344" s="4">
        <v>47</v>
      </c>
      <c r="K2344" s="4">
        <v>60</v>
      </c>
      <c r="L2344" s="4" t="s">
        <v>19794</v>
      </c>
      <c r="M2344" s="4" t="s">
        <v>19795</v>
      </c>
      <c r="N2344" s="4" t="s">
        <v>19796</v>
      </c>
      <c r="O2344" s="4" t="s">
        <v>63</v>
      </c>
      <c r="P2344" s="4"/>
      <c r="Q2344" s="4" t="s">
        <v>63</v>
      </c>
      <c r="R2344" s="4" t="s">
        <v>63</v>
      </c>
      <c r="S2344" s="4" t="s">
        <v>63</v>
      </c>
      <c r="T2344" s="4" t="s">
        <v>63</v>
      </c>
      <c r="U2344" s="4"/>
      <c r="V2344" s="4"/>
      <c r="W2344" s="4"/>
      <c r="X2344" s="4" t="s">
        <v>63</v>
      </c>
      <c r="Y2344" s="4" t="s">
        <v>19797</v>
      </c>
      <c r="Z2344" s="4" t="s">
        <v>63</v>
      </c>
      <c r="AA2344" s="4" t="s">
        <v>63</v>
      </c>
      <c r="AB2344" s="4" t="s">
        <v>19798</v>
      </c>
      <c r="AC2344" s="4" t="s">
        <v>67</v>
      </c>
      <c r="AD2344" s="4" t="s">
        <v>63</v>
      </c>
      <c r="AE2344" s="4" t="s">
        <v>63</v>
      </c>
      <c r="AF2344" s="4" t="s">
        <v>63</v>
      </c>
      <c r="AG2344" s="4" t="s">
        <v>63</v>
      </c>
      <c r="AH2344" s="4" t="s">
        <v>63</v>
      </c>
      <c r="AI2344" s="4" t="s">
        <v>19799</v>
      </c>
      <c r="AJ2344" s="4" t="s">
        <v>63</v>
      </c>
      <c r="AK2344" s="4" t="s">
        <v>63</v>
      </c>
      <c r="AL2344" s="4" t="s">
        <v>63</v>
      </c>
      <c r="AM2344" s="4" t="s">
        <v>19792</v>
      </c>
      <c r="AN2344" s="4" t="s">
        <v>63</v>
      </c>
      <c r="AO2344" s="4" t="s">
        <v>63</v>
      </c>
      <c r="AP2344" s="4" t="s">
        <v>63</v>
      </c>
      <c r="AQ2344" s="4" t="s">
        <v>63</v>
      </c>
      <c r="AR2344" s="4" t="s">
        <v>63</v>
      </c>
      <c r="AS2344" s="4" t="s">
        <v>63</v>
      </c>
      <c r="AT2344" s="4" t="s">
        <v>63</v>
      </c>
      <c r="AU2344" s="4" t="s">
        <v>63</v>
      </c>
      <c r="AV2344" s="4" t="s">
        <v>63</v>
      </c>
      <c r="AW2344" s="4" t="s">
        <v>63</v>
      </c>
      <c r="AX2344" s="4" t="s">
        <v>63</v>
      </c>
      <c r="AY2344" s="4" t="s">
        <v>63</v>
      </c>
      <c r="AZ2344" s="4" t="s">
        <v>63</v>
      </c>
      <c r="BA2344" s="4" t="s">
        <v>63</v>
      </c>
      <c r="BB2344" s="4" t="s">
        <v>63</v>
      </c>
      <c r="BC2344" s="4" t="s">
        <v>63</v>
      </c>
      <c r="BD2344" s="4" t="s">
        <v>63</v>
      </c>
      <c r="BE2344" s="4" t="s">
        <v>63</v>
      </c>
      <c r="BF2344" s="4" t="s">
        <v>63</v>
      </c>
    </row>
    <row r="2345" spans="1:58">
      <c r="A2345" s="4" t="s">
        <v>58</v>
      </c>
      <c r="B2345" s="4" t="s">
        <v>19800</v>
      </c>
      <c r="C2345" s="4" t="s">
        <v>19801</v>
      </c>
      <c r="D2345" s="4" t="s">
        <v>16880</v>
      </c>
      <c r="E2345" s="4" t="s">
        <v>16881</v>
      </c>
      <c r="F2345" s="4">
        <v>2016</v>
      </c>
      <c r="G2345" s="4" t="s">
        <v>63</v>
      </c>
      <c r="H2345" s="7">
        <v>1.7097222222222221</v>
      </c>
      <c r="I2345" s="4" t="s">
        <v>63</v>
      </c>
      <c r="J2345" s="4" t="s">
        <v>63</v>
      </c>
      <c r="K2345" s="4" t="s">
        <v>63</v>
      </c>
      <c r="L2345" s="4" t="s">
        <v>19802</v>
      </c>
      <c r="M2345" s="4" t="s">
        <v>19803</v>
      </c>
      <c r="N2345" s="4" t="s">
        <v>19804</v>
      </c>
      <c r="O2345" s="4" t="s">
        <v>63</v>
      </c>
      <c r="P2345" s="4"/>
      <c r="Q2345" s="4" t="s">
        <v>63</v>
      </c>
      <c r="R2345" s="4" t="s">
        <v>63</v>
      </c>
      <c r="S2345" s="4" t="s">
        <v>63</v>
      </c>
      <c r="T2345" s="4" t="s">
        <v>63</v>
      </c>
      <c r="U2345" s="4"/>
      <c r="V2345" s="4"/>
      <c r="W2345" s="4"/>
      <c r="X2345" s="4" t="s">
        <v>63</v>
      </c>
      <c r="Y2345" s="4" t="s">
        <v>16888</v>
      </c>
      <c r="Z2345" s="4" t="s">
        <v>63</v>
      </c>
      <c r="AA2345" s="4" t="s">
        <v>63</v>
      </c>
      <c r="AB2345" s="4" t="s">
        <v>63</v>
      </c>
      <c r="AC2345" s="4" t="s">
        <v>67</v>
      </c>
      <c r="AD2345" s="4" t="s">
        <v>63</v>
      </c>
      <c r="AE2345" s="4" t="s">
        <v>63</v>
      </c>
      <c r="AF2345" s="4" t="s">
        <v>63</v>
      </c>
      <c r="AG2345" s="4" t="s">
        <v>63</v>
      </c>
      <c r="AH2345" s="4" t="s">
        <v>63</v>
      </c>
      <c r="AI2345" s="4" t="s">
        <v>63</v>
      </c>
      <c r="AJ2345" s="4" t="s">
        <v>63</v>
      </c>
      <c r="AK2345" s="4" t="s">
        <v>63</v>
      </c>
      <c r="AL2345" s="4" t="s">
        <v>63</v>
      </c>
      <c r="AM2345" s="4" t="s">
        <v>19801</v>
      </c>
      <c r="AN2345" s="4" t="s">
        <v>63</v>
      </c>
      <c r="AO2345" s="4" t="s">
        <v>63</v>
      </c>
      <c r="AP2345" s="4" t="s">
        <v>63</v>
      </c>
      <c r="AQ2345" s="4" t="s">
        <v>63</v>
      </c>
      <c r="AR2345" s="4" t="s">
        <v>63</v>
      </c>
      <c r="AS2345" s="4" t="s">
        <v>63</v>
      </c>
      <c r="AT2345" s="4" t="s">
        <v>63</v>
      </c>
      <c r="AU2345" s="4" t="s">
        <v>63</v>
      </c>
      <c r="AV2345" s="4" t="s">
        <v>63</v>
      </c>
      <c r="AW2345" s="4" t="s">
        <v>63</v>
      </c>
      <c r="AX2345" s="4" t="s">
        <v>63</v>
      </c>
      <c r="AY2345" s="4" t="s">
        <v>63</v>
      </c>
      <c r="AZ2345" s="4" t="s">
        <v>63</v>
      </c>
      <c r="BA2345" s="4" t="s">
        <v>63</v>
      </c>
      <c r="BB2345" s="4" t="s">
        <v>63</v>
      </c>
      <c r="BC2345" s="4" t="s">
        <v>63</v>
      </c>
      <c r="BD2345" s="4" t="s">
        <v>63</v>
      </c>
      <c r="BE2345" s="4" t="s">
        <v>63</v>
      </c>
      <c r="BF2345" s="4" t="s">
        <v>63</v>
      </c>
    </row>
    <row r="2346" spans="1:58">
      <c r="A2346" s="4" t="s">
        <v>58</v>
      </c>
      <c r="B2346" s="4" t="s">
        <v>19805</v>
      </c>
      <c r="C2346" s="4" t="s">
        <v>19806</v>
      </c>
      <c r="D2346" s="4" t="s">
        <v>15421</v>
      </c>
      <c r="E2346" s="4" t="s">
        <v>63</v>
      </c>
      <c r="F2346" s="4">
        <v>2002</v>
      </c>
      <c r="G2346" s="4" t="s">
        <v>181</v>
      </c>
      <c r="H2346" s="4">
        <v>23</v>
      </c>
      <c r="I2346" s="4">
        <v>3</v>
      </c>
      <c r="J2346" s="4">
        <v>67</v>
      </c>
      <c r="K2346" s="4">
        <v>94</v>
      </c>
      <c r="L2346" s="4" t="s">
        <v>19807</v>
      </c>
      <c r="M2346" s="4" t="s">
        <v>63</v>
      </c>
      <c r="N2346" s="4" t="s">
        <v>19808</v>
      </c>
      <c r="O2346" s="4" t="s">
        <v>63</v>
      </c>
      <c r="P2346" s="4"/>
      <c r="Q2346" s="4" t="s">
        <v>63</v>
      </c>
      <c r="R2346" s="4" t="s">
        <v>63</v>
      </c>
      <c r="S2346" s="4" t="s">
        <v>63</v>
      </c>
      <c r="T2346" s="4" t="s">
        <v>63</v>
      </c>
      <c r="U2346" s="4"/>
      <c r="V2346" s="4"/>
      <c r="W2346" s="4"/>
      <c r="X2346" s="4" t="s">
        <v>63</v>
      </c>
      <c r="Y2346" s="4" t="s">
        <v>392</v>
      </c>
      <c r="Z2346" s="4" t="s">
        <v>63</v>
      </c>
      <c r="AA2346" s="4" t="s">
        <v>63</v>
      </c>
      <c r="AB2346" s="4" t="s">
        <v>63</v>
      </c>
      <c r="AC2346" s="4" t="s">
        <v>67</v>
      </c>
      <c r="AD2346" s="4" t="s">
        <v>63</v>
      </c>
      <c r="AE2346" s="4" t="s">
        <v>63</v>
      </c>
      <c r="AF2346" s="4" t="s">
        <v>63</v>
      </c>
      <c r="AG2346" s="4" t="s">
        <v>19809</v>
      </c>
      <c r="AH2346" s="4" t="s">
        <v>63</v>
      </c>
      <c r="AI2346" s="4" t="s">
        <v>63</v>
      </c>
      <c r="AJ2346" s="4" t="s">
        <v>63</v>
      </c>
      <c r="AK2346" s="4" t="s">
        <v>63</v>
      </c>
      <c r="AL2346" s="4" t="s">
        <v>63</v>
      </c>
      <c r="AM2346" s="4" t="s">
        <v>19810</v>
      </c>
      <c r="AN2346" s="4" t="s">
        <v>63</v>
      </c>
      <c r="AO2346" s="4" t="s">
        <v>63</v>
      </c>
      <c r="AP2346" s="4" t="s">
        <v>63</v>
      </c>
      <c r="AQ2346" s="4" t="s">
        <v>63</v>
      </c>
      <c r="AR2346" s="4" t="s">
        <v>63</v>
      </c>
      <c r="AS2346" s="4" t="s">
        <v>63</v>
      </c>
      <c r="AT2346" s="4" t="s">
        <v>63</v>
      </c>
      <c r="AU2346" s="4" t="s">
        <v>63</v>
      </c>
      <c r="AV2346" s="4" t="s">
        <v>63</v>
      </c>
      <c r="AW2346" s="4" t="s">
        <v>63</v>
      </c>
      <c r="AX2346" s="4" t="s">
        <v>63</v>
      </c>
      <c r="AY2346" s="4" t="s">
        <v>63</v>
      </c>
      <c r="AZ2346" s="4" t="s">
        <v>63</v>
      </c>
      <c r="BA2346" s="4" t="s">
        <v>63</v>
      </c>
      <c r="BB2346" s="4" t="s">
        <v>63</v>
      </c>
      <c r="BC2346" s="4" t="s">
        <v>63</v>
      </c>
      <c r="BD2346" s="4" t="s">
        <v>63</v>
      </c>
      <c r="BE2346" s="4" t="s">
        <v>63</v>
      </c>
      <c r="BF2346" s="4" t="s">
        <v>63</v>
      </c>
    </row>
    <row r="2347" spans="1:58">
      <c r="A2347" s="4" t="s">
        <v>58</v>
      </c>
      <c r="B2347" s="4" t="s">
        <v>19811</v>
      </c>
      <c r="C2347" s="4" t="s">
        <v>19812</v>
      </c>
      <c r="D2347" s="4" t="s">
        <v>15263</v>
      </c>
      <c r="E2347" s="4" t="s">
        <v>15264</v>
      </c>
      <c r="F2347" s="4">
        <v>2015</v>
      </c>
      <c r="G2347" s="4">
        <v>1</v>
      </c>
      <c r="H2347" s="4">
        <v>146</v>
      </c>
      <c r="I2347" s="4" t="s">
        <v>63</v>
      </c>
      <c r="J2347" s="4" t="s">
        <v>9765</v>
      </c>
      <c r="K2347" s="4" t="s">
        <v>63</v>
      </c>
      <c r="L2347" s="4" t="s">
        <v>19813</v>
      </c>
      <c r="M2347" s="4" t="s">
        <v>19814</v>
      </c>
      <c r="N2347" s="4" t="s">
        <v>19815</v>
      </c>
      <c r="O2347" s="4" t="s">
        <v>63</v>
      </c>
      <c r="P2347" s="4"/>
      <c r="Q2347" s="4" t="s">
        <v>63</v>
      </c>
      <c r="R2347" s="4" t="s">
        <v>63</v>
      </c>
      <c r="S2347" s="4" t="s">
        <v>63</v>
      </c>
      <c r="T2347" s="4" t="s">
        <v>63</v>
      </c>
      <c r="U2347" s="4"/>
      <c r="V2347" s="4"/>
      <c r="W2347" s="4"/>
      <c r="X2347" s="4" t="s">
        <v>63</v>
      </c>
      <c r="Y2347" s="4" t="s">
        <v>4942</v>
      </c>
      <c r="Z2347" s="4" t="s">
        <v>63</v>
      </c>
      <c r="AA2347" s="4" t="s">
        <v>63</v>
      </c>
      <c r="AB2347" s="4" t="s">
        <v>63</v>
      </c>
      <c r="AC2347" s="4" t="s">
        <v>67</v>
      </c>
      <c r="AD2347" s="4" t="s">
        <v>63</v>
      </c>
      <c r="AE2347" s="4" t="s">
        <v>63</v>
      </c>
      <c r="AF2347" s="4" t="s">
        <v>63</v>
      </c>
      <c r="AG2347" s="4" t="s">
        <v>63</v>
      </c>
      <c r="AH2347" s="4" t="s">
        <v>63</v>
      </c>
      <c r="AI2347" s="4" t="s">
        <v>19816</v>
      </c>
      <c r="AJ2347" s="4" t="s">
        <v>63</v>
      </c>
      <c r="AK2347" s="4" t="s">
        <v>63</v>
      </c>
      <c r="AL2347" s="4" t="s">
        <v>63</v>
      </c>
      <c r="AM2347" s="4" t="s">
        <v>19812</v>
      </c>
      <c r="AN2347" s="4" t="s">
        <v>63</v>
      </c>
      <c r="AO2347" s="4" t="s">
        <v>63</v>
      </c>
      <c r="AP2347" s="4" t="s">
        <v>63</v>
      </c>
      <c r="AQ2347" s="4" t="s">
        <v>63</v>
      </c>
      <c r="AR2347" s="4" t="s">
        <v>63</v>
      </c>
      <c r="AS2347" s="4" t="s">
        <v>63</v>
      </c>
      <c r="AT2347" s="4" t="s">
        <v>63</v>
      </c>
      <c r="AU2347" s="4" t="s">
        <v>63</v>
      </c>
      <c r="AV2347" s="4" t="s">
        <v>63</v>
      </c>
      <c r="AW2347" s="4" t="s">
        <v>63</v>
      </c>
      <c r="AX2347" s="4" t="s">
        <v>63</v>
      </c>
      <c r="AY2347" s="4" t="s">
        <v>63</v>
      </c>
      <c r="AZ2347" s="4" t="s">
        <v>63</v>
      </c>
      <c r="BA2347" s="4" t="s">
        <v>63</v>
      </c>
      <c r="BB2347" s="4" t="s">
        <v>63</v>
      </c>
      <c r="BC2347" s="4" t="s">
        <v>63</v>
      </c>
      <c r="BD2347" s="4" t="s">
        <v>63</v>
      </c>
      <c r="BE2347" s="4" t="s">
        <v>63</v>
      </c>
      <c r="BF2347" s="4" t="s">
        <v>63</v>
      </c>
    </row>
    <row r="2348" spans="1:58">
      <c r="A2348" s="4" t="s">
        <v>58</v>
      </c>
      <c r="B2348" s="4" t="s">
        <v>19817</v>
      </c>
      <c r="C2348" s="4" t="s">
        <v>19818</v>
      </c>
      <c r="D2348" s="4" t="s">
        <v>1481</v>
      </c>
      <c r="E2348" s="4" t="s">
        <v>1481</v>
      </c>
      <c r="F2348" s="4">
        <v>1998</v>
      </c>
      <c r="G2348" s="4" t="s">
        <v>63</v>
      </c>
      <c r="H2348" s="4">
        <v>93</v>
      </c>
      <c r="I2348" s="4">
        <v>10</v>
      </c>
      <c r="J2348" s="4">
        <v>1489</v>
      </c>
      <c r="K2348" s="4">
        <v>1499</v>
      </c>
      <c r="L2348" s="4" t="s">
        <v>19819</v>
      </c>
      <c r="M2348" s="4" t="s">
        <v>19820</v>
      </c>
      <c r="N2348" s="4" t="s">
        <v>19821</v>
      </c>
      <c r="O2348" s="4" t="s">
        <v>63</v>
      </c>
      <c r="P2348" s="4"/>
      <c r="Q2348" s="4" t="s">
        <v>63</v>
      </c>
      <c r="R2348" s="4" t="s">
        <v>63</v>
      </c>
      <c r="S2348" s="4" t="s">
        <v>63</v>
      </c>
      <c r="T2348" s="4" t="s">
        <v>63</v>
      </c>
      <c r="U2348" s="4"/>
      <c r="V2348" s="4"/>
      <c r="W2348" s="4"/>
      <c r="X2348" s="4" t="s">
        <v>63</v>
      </c>
      <c r="Y2348" s="4" t="s">
        <v>2426</v>
      </c>
      <c r="Z2348" s="4" t="s">
        <v>63</v>
      </c>
      <c r="AA2348" s="4" t="s">
        <v>63</v>
      </c>
      <c r="AB2348" s="4">
        <v>1998348350</v>
      </c>
      <c r="AC2348" s="4" t="s">
        <v>67</v>
      </c>
      <c r="AD2348" s="4" t="s">
        <v>63</v>
      </c>
      <c r="AE2348" s="4" t="s">
        <v>63</v>
      </c>
      <c r="AF2348" s="4" t="s">
        <v>63</v>
      </c>
      <c r="AG2348" s="4" t="s">
        <v>19822</v>
      </c>
      <c r="AH2348" s="4" t="s">
        <v>63</v>
      </c>
      <c r="AI2348" s="4" t="s">
        <v>63</v>
      </c>
      <c r="AJ2348" s="4" t="s">
        <v>63</v>
      </c>
      <c r="AK2348" s="4" t="s">
        <v>63</v>
      </c>
      <c r="AL2348" s="4" t="s">
        <v>63</v>
      </c>
      <c r="AM2348" s="4" t="s">
        <v>19823</v>
      </c>
      <c r="AN2348" s="4" t="s">
        <v>63</v>
      </c>
      <c r="AO2348" s="4" t="s">
        <v>63</v>
      </c>
      <c r="AP2348" s="4" t="s">
        <v>63</v>
      </c>
      <c r="AQ2348" s="4" t="s">
        <v>63</v>
      </c>
      <c r="AR2348" s="4" t="s">
        <v>63</v>
      </c>
      <c r="AS2348" s="4" t="s">
        <v>63</v>
      </c>
      <c r="AT2348" s="4" t="s">
        <v>63</v>
      </c>
      <c r="AU2348" s="4" t="s">
        <v>63</v>
      </c>
      <c r="AV2348" s="4" t="s">
        <v>63</v>
      </c>
      <c r="AW2348" s="4" t="s">
        <v>63</v>
      </c>
      <c r="AX2348" s="4" t="s">
        <v>63</v>
      </c>
      <c r="AY2348" s="4" t="s">
        <v>63</v>
      </c>
      <c r="AZ2348" s="4" t="s">
        <v>63</v>
      </c>
      <c r="BA2348" s="4" t="s">
        <v>63</v>
      </c>
      <c r="BB2348" s="4" t="s">
        <v>63</v>
      </c>
      <c r="BC2348" s="4" t="s">
        <v>63</v>
      </c>
      <c r="BD2348" s="4" t="s">
        <v>63</v>
      </c>
      <c r="BE2348" s="4" t="s">
        <v>63</v>
      </c>
      <c r="BF2348" s="4" t="s">
        <v>63</v>
      </c>
    </row>
    <row r="2349" spans="1:58">
      <c r="A2349" s="4" t="s">
        <v>58</v>
      </c>
      <c r="B2349" s="4" t="s">
        <v>19824</v>
      </c>
      <c r="C2349" s="4" t="s">
        <v>19825</v>
      </c>
      <c r="D2349" s="4" t="s">
        <v>18995</v>
      </c>
      <c r="E2349" s="4" t="s">
        <v>63</v>
      </c>
      <c r="F2349" s="4">
        <v>2012</v>
      </c>
      <c r="G2349" s="4" t="s">
        <v>19826</v>
      </c>
      <c r="H2349" s="4" t="s">
        <v>19827</v>
      </c>
      <c r="I2349" s="4" t="s">
        <v>63</v>
      </c>
      <c r="J2349" s="4" t="s">
        <v>19828</v>
      </c>
      <c r="K2349" s="4" t="s">
        <v>63</v>
      </c>
      <c r="L2349" s="4" t="s">
        <v>19829</v>
      </c>
      <c r="M2349" s="4" t="s">
        <v>19830</v>
      </c>
      <c r="N2349" s="4" t="s">
        <v>19831</v>
      </c>
      <c r="O2349" s="4" t="s">
        <v>63</v>
      </c>
      <c r="P2349" s="4"/>
      <c r="Q2349" s="4" t="s">
        <v>63</v>
      </c>
      <c r="R2349" s="4" t="s">
        <v>63</v>
      </c>
      <c r="S2349" s="4" t="s">
        <v>63</v>
      </c>
      <c r="T2349" s="4" t="s">
        <v>63</v>
      </c>
      <c r="U2349" s="4"/>
      <c r="V2349" s="4"/>
      <c r="W2349" s="4"/>
      <c r="X2349" s="4" t="s">
        <v>63</v>
      </c>
      <c r="Y2349" s="4" t="s">
        <v>19002</v>
      </c>
      <c r="Z2349" s="4" t="s">
        <v>63</v>
      </c>
      <c r="AA2349" s="4" t="s">
        <v>63</v>
      </c>
      <c r="AB2349" s="4" t="s">
        <v>63</v>
      </c>
      <c r="AC2349" s="4" t="s">
        <v>67</v>
      </c>
      <c r="AD2349" s="4" t="s">
        <v>63</v>
      </c>
      <c r="AE2349" s="4" t="s">
        <v>63</v>
      </c>
      <c r="AF2349" s="4" t="s">
        <v>63</v>
      </c>
      <c r="AG2349" s="4" t="s">
        <v>63</v>
      </c>
      <c r="AH2349" s="4" t="s">
        <v>63</v>
      </c>
      <c r="AI2349" s="4" t="s">
        <v>63</v>
      </c>
      <c r="AJ2349" s="4" t="s">
        <v>63</v>
      </c>
      <c r="AK2349" s="4" t="s">
        <v>63</v>
      </c>
      <c r="AL2349" s="4" t="s">
        <v>63</v>
      </c>
      <c r="AM2349" s="4" t="s">
        <v>19825</v>
      </c>
      <c r="AN2349" s="4" t="s">
        <v>63</v>
      </c>
      <c r="AO2349" s="4" t="s">
        <v>63</v>
      </c>
      <c r="AP2349" s="4" t="s">
        <v>63</v>
      </c>
      <c r="AQ2349" s="4" t="s">
        <v>63</v>
      </c>
      <c r="AR2349" s="4" t="s">
        <v>63</v>
      </c>
      <c r="AS2349" s="4" t="s">
        <v>63</v>
      </c>
      <c r="AT2349" s="4" t="s">
        <v>63</v>
      </c>
      <c r="AU2349" s="4" t="s">
        <v>63</v>
      </c>
      <c r="AV2349" s="4" t="s">
        <v>63</v>
      </c>
      <c r="AW2349" s="4" t="s">
        <v>63</v>
      </c>
      <c r="AX2349" s="4" t="s">
        <v>63</v>
      </c>
      <c r="AY2349" s="4" t="s">
        <v>63</v>
      </c>
      <c r="AZ2349" s="4" t="s">
        <v>63</v>
      </c>
      <c r="BA2349" s="4" t="s">
        <v>63</v>
      </c>
      <c r="BB2349" s="4" t="s">
        <v>63</v>
      </c>
      <c r="BC2349" s="4" t="s">
        <v>63</v>
      </c>
      <c r="BD2349" s="4" t="s">
        <v>63</v>
      </c>
      <c r="BE2349" s="4" t="s">
        <v>63</v>
      </c>
      <c r="BF2349" s="4" t="s">
        <v>63</v>
      </c>
    </row>
    <row r="2350" spans="1:58">
      <c r="A2350" s="4" t="s">
        <v>58</v>
      </c>
      <c r="B2350" s="4" t="s">
        <v>19832</v>
      </c>
      <c r="C2350" s="4" t="s">
        <v>19833</v>
      </c>
      <c r="D2350" s="4" t="s">
        <v>371</v>
      </c>
      <c r="E2350" s="4" t="s">
        <v>63</v>
      </c>
      <c r="F2350" s="4">
        <v>2013</v>
      </c>
      <c r="G2350" s="4" t="s">
        <v>15155</v>
      </c>
      <c r="H2350" s="4" t="s">
        <v>15690</v>
      </c>
      <c r="I2350" s="4" t="s">
        <v>63</v>
      </c>
      <c r="J2350" s="4" t="s">
        <v>19834</v>
      </c>
      <c r="K2350" s="4" t="s">
        <v>63</v>
      </c>
      <c r="L2350" s="4" t="s">
        <v>19835</v>
      </c>
      <c r="M2350" s="4" t="s">
        <v>19836</v>
      </c>
      <c r="N2350" s="4" t="s">
        <v>19837</v>
      </c>
      <c r="O2350" s="4" t="s">
        <v>63</v>
      </c>
      <c r="P2350" s="4"/>
      <c r="Q2350" s="4" t="s">
        <v>63</v>
      </c>
      <c r="R2350" s="4" t="s">
        <v>63</v>
      </c>
      <c r="S2350" s="4" t="s">
        <v>63</v>
      </c>
      <c r="T2350" s="4" t="s">
        <v>63</v>
      </c>
      <c r="U2350" s="4"/>
      <c r="V2350" s="4"/>
      <c r="W2350" s="4"/>
      <c r="X2350" s="4" t="s">
        <v>63</v>
      </c>
      <c r="Y2350" s="4" t="s">
        <v>375</v>
      </c>
      <c r="Z2350" s="4" t="s">
        <v>63</v>
      </c>
      <c r="AA2350" s="4" t="s">
        <v>63</v>
      </c>
      <c r="AB2350" s="4" t="s">
        <v>63</v>
      </c>
      <c r="AC2350" s="4" t="s">
        <v>67</v>
      </c>
      <c r="AD2350" s="4" t="s">
        <v>63</v>
      </c>
      <c r="AE2350" s="4" t="s">
        <v>63</v>
      </c>
      <c r="AF2350" s="4" t="s">
        <v>63</v>
      </c>
      <c r="AG2350" s="4" t="s">
        <v>63</v>
      </c>
      <c r="AH2350" s="4" t="s">
        <v>63</v>
      </c>
      <c r="AI2350" s="4" t="s">
        <v>63</v>
      </c>
      <c r="AJ2350" s="4" t="s">
        <v>63</v>
      </c>
      <c r="AK2350" s="4" t="s">
        <v>63</v>
      </c>
      <c r="AL2350" s="4" t="s">
        <v>63</v>
      </c>
      <c r="AM2350" s="4" t="s">
        <v>19833</v>
      </c>
      <c r="AN2350" s="4" t="s">
        <v>63</v>
      </c>
      <c r="AO2350" s="4" t="s">
        <v>63</v>
      </c>
      <c r="AP2350" s="4" t="s">
        <v>63</v>
      </c>
      <c r="AQ2350" s="4" t="s">
        <v>63</v>
      </c>
      <c r="AR2350" s="4" t="s">
        <v>63</v>
      </c>
      <c r="AS2350" s="4" t="s">
        <v>63</v>
      </c>
      <c r="AT2350" s="4" t="s">
        <v>63</v>
      </c>
      <c r="AU2350" s="4" t="s">
        <v>63</v>
      </c>
      <c r="AV2350" s="4" t="s">
        <v>63</v>
      </c>
      <c r="AW2350" s="4" t="s">
        <v>63</v>
      </c>
      <c r="AX2350" s="4" t="s">
        <v>63</v>
      </c>
      <c r="AY2350" s="4" t="s">
        <v>63</v>
      </c>
      <c r="AZ2350" s="4" t="s">
        <v>63</v>
      </c>
      <c r="BA2350" s="4" t="s">
        <v>63</v>
      </c>
      <c r="BB2350" s="4" t="s">
        <v>63</v>
      </c>
      <c r="BC2350" s="4" t="s">
        <v>63</v>
      </c>
      <c r="BD2350" s="4" t="s">
        <v>63</v>
      </c>
      <c r="BE2350" s="4" t="s">
        <v>63</v>
      </c>
      <c r="BF2350" s="4" t="s">
        <v>63</v>
      </c>
    </row>
    <row r="2351" spans="1:58">
      <c r="A2351" s="4" t="s">
        <v>58</v>
      </c>
      <c r="B2351" s="4" t="s">
        <v>19838</v>
      </c>
      <c r="C2351" s="4" t="s">
        <v>19839</v>
      </c>
      <c r="D2351" s="4" t="s">
        <v>19840</v>
      </c>
      <c r="E2351" s="4" t="s">
        <v>63</v>
      </c>
      <c r="F2351" s="4">
        <v>2015</v>
      </c>
      <c r="G2351" s="4" t="s">
        <v>16091</v>
      </c>
      <c r="H2351" s="4">
        <v>18</v>
      </c>
      <c r="I2351" s="4">
        <v>7</v>
      </c>
      <c r="J2351" s="4" t="s">
        <v>19841</v>
      </c>
      <c r="K2351" s="4" t="s">
        <v>63</v>
      </c>
      <c r="L2351" s="4" t="s">
        <v>19842</v>
      </c>
      <c r="M2351" s="4" t="s">
        <v>19843</v>
      </c>
      <c r="N2351" s="4" t="s">
        <v>19844</v>
      </c>
      <c r="O2351" s="4" t="s">
        <v>63</v>
      </c>
      <c r="P2351" s="4"/>
      <c r="Q2351" s="4" t="s">
        <v>63</v>
      </c>
      <c r="R2351" s="4" t="s">
        <v>63</v>
      </c>
      <c r="S2351" s="4" t="s">
        <v>63</v>
      </c>
      <c r="T2351" s="4" t="s">
        <v>63</v>
      </c>
      <c r="U2351" s="4"/>
      <c r="V2351" s="4"/>
      <c r="W2351" s="4"/>
      <c r="X2351" s="4" t="s">
        <v>63</v>
      </c>
      <c r="Y2351" s="4" t="s">
        <v>19845</v>
      </c>
      <c r="Z2351" s="4" t="s">
        <v>63</v>
      </c>
      <c r="AA2351" s="4" t="s">
        <v>63</v>
      </c>
      <c r="AB2351" s="4" t="s">
        <v>63</v>
      </c>
      <c r="AC2351" s="4" t="s">
        <v>67</v>
      </c>
      <c r="AD2351" s="4" t="s">
        <v>63</v>
      </c>
      <c r="AE2351" s="4" t="s">
        <v>63</v>
      </c>
      <c r="AF2351" s="4" t="s">
        <v>63</v>
      </c>
      <c r="AG2351" s="4" t="s">
        <v>63</v>
      </c>
      <c r="AH2351" s="4" t="s">
        <v>63</v>
      </c>
      <c r="AI2351" s="4" t="s">
        <v>63</v>
      </c>
      <c r="AJ2351" s="4" t="s">
        <v>63</v>
      </c>
      <c r="AK2351" s="4" t="s">
        <v>63</v>
      </c>
      <c r="AL2351" s="4" t="s">
        <v>63</v>
      </c>
      <c r="AM2351" s="4" t="s">
        <v>19839</v>
      </c>
      <c r="AN2351" s="4" t="s">
        <v>63</v>
      </c>
      <c r="AO2351" s="4" t="s">
        <v>63</v>
      </c>
      <c r="AP2351" s="4" t="s">
        <v>63</v>
      </c>
      <c r="AQ2351" s="4" t="s">
        <v>63</v>
      </c>
      <c r="AR2351" s="4" t="s">
        <v>63</v>
      </c>
      <c r="AS2351" s="4" t="s">
        <v>63</v>
      </c>
      <c r="AT2351" s="4" t="s">
        <v>63</v>
      </c>
      <c r="AU2351" s="4" t="s">
        <v>63</v>
      </c>
      <c r="AV2351" s="4" t="s">
        <v>63</v>
      </c>
      <c r="AW2351" s="4" t="s">
        <v>63</v>
      </c>
      <c r="AX2351" s="4" t="s">
        <v>63</v>
      </c>
      <c r="AY2351" s="4" t="s">
        <v>63</v>
      </c>
      <c r="AZ2351" s="4" t="s">
        <v>63</v>
      </c>
      <c r="BA2351" s="4" t="s">
        <v>63</v>
      </c>
      <c r="BB2351" s="4" t="s">
        <v>63</v>
      </c>
      <c r="BC2351" s="4" t="s">
        <v>63</v>
      </c>
      <c r="BD2351" s="4" t="s">
        <v>63</v>
      </c>
      <c r="BE2351" s="4" t="s">
        <v>63</v>
      </c>
      <c r="BF2351" s="4" t="s">
        <v>63</v>
      </c>
    </row>
    <row r="2352" spans="1:58">
      <c r="A2352" s="4" t="s">
        <v>58</v>
      </c>
      <c r="B2352" s="4" t="s">
        <v>19846</v>
      </c>
      <c r="C2352" s="4" t="s">
        <v>19847</v>
      </c>
      <c r="D2352" s="4" t="s">
        <v>2353</v>
      </c>
      <c r="E2352" s="4" t="s">
        <v>2354</v>
      </c>
      <c r="F2352" s="4">
        <v>2009</v>
      </c>
      <c r="G2352" s="4" t="s">
        <v>15389</v>
      </c>
      <c r="H2352" s="4">
        <v>36</v>
      </c>
      <c r="I2352" s="4">
        <v>2</v>
      </c>
      <c r="J2352" s="4">
        <v>174</v>
      </c>
      <c r="K2352" s="4">
        <v>182</v>
      </c>
      <c r="L2352" s="4" t="s">
        <v>19848</v>
      </c>
      <c r="M2352" s="4" t="s">
        <v>19849</v>
      </c>
      <c r="N2352" s="4" t="s">
        <v>19850</v>
      </c>
      <c r="O2352" s="4" t="s">
        <v>63</v>
      </c>
      <c r="P2352" s="4"/>
      <c r="Q2352" s="4" t="s">
        <v>63</v>
      </c>
      <c r="R2352" s="4" t="s">
        <v>63</v>
      </c>
      <c r="S2352" s="4" t="s">
        <v>63</v>
      </c>
      <c r="T2352" s="4" t="s">
        <v>63</v>
      </c>
      <c r="U2352" s="4"/>
      <c r="V2352" s="4"/>
      <c r="W2352" s="4"/>
      <c r="X2352" s="4" t="s">
        <v>63</v>
      </c>
      <c r="Y2352" s="4" t="s">
        <v>2358</v>
      </c>
      <c r="Z2352" s="4" t="s">
        <v>63</v>
      </c>
      <c r="AA2352" s="4" t="s">
        <v>63</v>
      </c>
      <c r="AB2352" s="4">
        <v>2009030383</v>
      </c>
      <c r="AC2352" s="4" t="s">
        <v>67</v>
      </c>
      <c r="AD2352" s="4" t="s">
        <v>63</v>
      </c>
      <c r="AE2352" s="4" t="s">
        <v>63</v>
      </c>
      <c r="AF2352" s="4" t="s">
        <v>63</v>
      </c>
      <c r="AG2352" s="4" t="s">
        <v>19851</v>
      </c>
      <c r="AH2352" s="4" t="s">
        <v>63</v>
      </c>
      <c r="AI2352" s="4" t="s">
        <v>19852</v>
      </c>
      <c r="AJ2352" s="4" t="s">
        <v>63</v>
      </c>
      <c r="AK2352" s="4" t="s">
        <v>63</v>
      </c>
      <c r="AL2352" s="4" t="s">
        <v>63</v>
      </c>
      <c r="AM2352" s="4" t="s">
        <v>19853</v>
      </c>
      <c r="AN2352" s="4" t="s">
        <v>63</v>
      </c>
      <c r="AO2352" s="4" t="s">
        <v>63</v>
      </c>
      <c r="AP2352" s="4" t="s">
        <v>63</v>
      </c>
      <c r="AQ2352" s="4" t="s">
        <v>63</v>
      </c>
      <c r="AR2352" s="4" t="s">
        <v>63</v>
      </c>
      <c r="AS2352" s="4" t="s">
        <v>63</v>
      </c>
      <c r="AT2352" s="4" t="s">
        <v>63</v>
      </c>
      <c r="AU2352" s="4" t="s">
        <v>63</v>
      </c>
      <c r="AV2352" s="4" t="s">
        <v>63</v>
      </c>
      <c r="AW2352" s="4" t="s">
        <v>63</v>
      </c>
      <c r="AX2352" s="4" t="s">
        <v>63</v>
      </c>
      <c r="AY2352" s="4" t="s">
        <v>63</v>
      </c>
      <c r="AZ2352" s="4" t="s">
        <v>63</v>
      </c>
      <c r="BA2352" s="4" t="s">
        <v>63</v>
      </c>
      <c r="BB2352" s="4" t="s">
        <v>63</v>
      </c>
      <c r="BC2352" s="4" t="s">
        <v>63</v>
      </c>
      <c r="BD2352" s="4" t="s">
        <v>63</v>
      </c>
      <c r="BE2352" s="4" t="s">
        <v>63</v>
      </c>
      <c r="BF2352" s="4" t="s">
        <v>63</v>
      </c>
    </row>
    <row r="2353" spans="1:58">
      <c r="A2353" s="4" t="s">
        <v>58</v>
      </c>
      <c r="B2353" s="4" t="s">
        <v>19854</v>
      </c>
      <c r="C2353" s="4" t="s">
        <v>19855</v>
      </c>
      <c r="D2353" s="4" t="s">
        <v>19856</v>
      </c>
      <c r="E2353" s="4" t="s">
        <v>63</v>
      </c>
      <c r="F2353" s="4">
        <v>2012</v>
      </c>
      <c r="G2353" s="4" t="s">
        <v>15508</v>
      </c>
      <c r="H2353" s="4">
        <v>6</v>
      </c>
      <c r="I2353" s="4">
        <v>1</v>
      </c>
      <c r="J2353" s="4">
        <v>103</v>
      </c>
      <c r="K2353" s="4">
        <v>104</v>
      </c>
      <c r="L2353" s="4" t="s">
        <v>19857</v>
      </c>
      <c r="M2353" s="4" t="s">
        <v>19858</v>
      </c>
      <c r="N2353" s="4" t="s">
        <v>19859</v>
      </c>
      <c r="O2353" s="4" t="s">
        <v>63</v>
      </c>
      <c r="P2353" s="4"/>
      <c r="Q2353" s="4" t="s">
        <v>63</v>
      </c>
      <c r="R2353" s="4" t="s">
        <v>63</v>
      </c>
      <c r="S2353" s="4" t="s">
        <v>63</v>
      </c>
      <c r="T2353" s="4" t="s">
        <v>63</v>
      </c>
      <c r="U2353" s="4"/>
      <c r="V2353" s="4"/>
      <c r="W2353" s="4"/>
      <c r="X2353" s="4" t="s">
        <v>63</v>
      </c>
      <c r="Y2353" s="4" t="s">
        <v>19860</v>
      </c>
      <c r="Z2353" s="4" t="s">
        <v>63</v>
      </c>
      <c r="AA2353" s="4" t="s">
        <v>63</v>
      </c>
      <c r="AB2353" s="4" t="s">
        <v>63</v>
      </c>
      <c r="AC2353" s="4" t="s">
        <v>67</v>
      </c>
      <c r="AD2353" s="4" t="s">
        <v>63</v>
      </c>
      <c r="AE2353" s="4" t="s">
        <v>63</v>
      </c>
      <c r="AF2353" s="4" t="s">
        <v>63</v>
      </c>
      <c r="AG2353" s="4" t="s">
        <v>63</v>
      </c>
      <c r="AH2353" s="4" t="s">
        <v>63</v>
      </c>
      <c r="AI2353" s="4" t="s">
        <v>19861</v>
      </c>
      <c r="AJ2353" s="4" t="s">
        <v>63</v>
      </c>
      <c r="AK2353" s="4" t="s">
        <v>63</v>
      </c>
      <c r="AL2353" s="4" t="s">
        <v>63</v>
      </c>
      <c r="AM2353" s="4" t="s">
        <v>19855</v>
      </c>
      <c r="AN2353" s="4" t="s">
        <v>63</v>
      </c>
      <c r="AO2353" s="4" t="s">
        <v>63</v>
      </c>
      <c r="AP2353" s="4" t="s">
        <v>63</v>
      </c>
      <c r="AQ2353" s="4" t="s">
        <v>63</v>
      </c>
      <c r="AR2353" s="4" t="s">
        <v>63</v>
      </c>
      <c r="AS2353" s="4" t="s">
        <v>63</v>
      </c>
      <c r="AT2353" s="4" t="s">
        <v>63</v>
      </c>
      <c r="AU2353" s="4" t="s">
        <v>63</v>
      </c>
      <c r="AV2353" s="4" t="s">
        <v>63</v>
      </c>
      <c r="AW2353" s="4" t="s">
        <v>63</v>
      </c>
      <c r="AX2353" s="4" t="s">
        <v>63</v>
      </c>
      <c r="AY2353" s="4" t="s">
        <v>63</v>
      </c>
      <c r="AZ2353" s="4" t="s">
        <v>63</v>
      </c>
      <c r="BA2353" s="4" t="s">
        <v>63</v>
      </c>
      <c r="BB2353" s="4" t="s">
        <v>63</v>
      </c>
      <c r="BC2353" s="4" t="s">
        <v>63</v>
      </c>
      <c r="BD2353" s="4" t="s">
        <v>63</v>
      </c>
      <c r="BE2353" s="4" t="s">
        <v>63</v>
      </c>
      <c r="BF2353" s="4" t="s">
        <v>63</v>
      </c>
    </row>
    <row r="2354" spans="1:58">
      <c r="A2354" s="4" t="s">
        <v>58</v>
      </c>
      <c r="B2354" s="4" t="s">
        <v>19862</v>
      </c>
      <c r="C2354" s="4" t="s">
        <v>19863</v>
      </c>
      <c r="D2354" s="4" t="s">
        <v>19864</v>
      </c>
      <c r="E2354" s="4" t="s">
        <v>63</v>
      </c>
      <c r="F2354" s="4">
        <v>2005</v>
      </c>
      <c r="G2354" s="4" t="s">
        <v>63</v>
      </c>
      <c r="H2354" s="8">
        <v>8.4722222222222213E-2</v>
      </c>
      <c r="I2354" s="4" t="s">
        <v>63</v>
      </c>
      <c r="J2354" s="4" t="s">
        <v>63</v>
      </c>
      <c r="K2354" s="4" t="s">
        <v>63</v>
      </c>
      <c r="L2354" s="4" t="s">
        <v>19865</v>
      </c>
      <c r="M2354" s="4" t="s">
        <v>19866</v>
      </c>
      <c r="N2354" s="4" t="s">
        <v>19867</v>
      </c>
      <c r="O2354" s="4" t="s">
        <v>63</v>
      </c>
      <c r="P2354" s="4"/>
      <c r="Q2354" s="4" t="s">
        <v>63</v>
      </c>
      <c r="R2354" s="4" t="s">
        <v>63</v>
      </c>
      <c r="S2354" s="4" t="s">
        <v>63</v>
      </c>
      <c r="T2354" s="4" t="s">
        <v>63</v>
      </c>
      <c r="U2354" s="4"/>
      <c r="V2354" s="4"/>
      <c r="W2354" s="4"/>
      <c r="X2354" s="4" t="s">
        <v>63</v>
      </c>
      <c r="Y2354" s="4" t="s">
        <v>19868</v>
      </c>
      <c r="Z2354" s="4" t="s">
        <v>63</v>
      </c>
      <c r="AA2354" s="4" t="s">
        <v>63</v>
      </c>
      <c r="AB2354" s="4" t="s">
        <v>19869</v>
      </c>
      <c r="AC2354" s="4" t="s">
        <v>913</v>
      </c>
      <c r="AD2354" s="4" t="s">
        <v>63</v>
      </c>
      <c r="AE2354" s="4" t="s">
        <v>63</v>
      </c>
      <c r="AF2354" s="4" t="s">
        <v>63</v>
      </c>
      <c r="AG2354" s="4" t="s">
        <v>63</v>
      </c>
      <c r="AH2354" s="4" t="s">
        <v>63</v>
      </c>
      <c r="AI2354" s="4" t="s">
        <v>63</v>
      </c>
      <c r="AJ2354" s="4" t="s">
        <v>63</v>
      </c>
      <c r="AK2354" s="4" t="s">
        <v>63</v>
      </c>
      <c r="AL2354" s="4" t="s">
        <v>63</v>
      </c>
      <c r="AM2354" s="4" t="s">
        <v>19863</v>
      </c>
      <c r="AN2354" s="4" t="s">
        <v>63</v>
      </c>
      <c r="AO2354" s="4" t="s">
        <v>63</v>
      </c>
      <c r="AP2354" s="4" t="s">
        <v>63</v>
      </c>
      <c r="AQ2354" s="4" t="s">
        <v>63</v>
      </c>
      <c r="AR2354" s="4" t="s">
        <v>63</v>
      </c>
      <c r="AS2354" s="4" t="s">
        <v>63</v>
      </c>
      <c r="AT2354" s="4" t="s">
        <v>63</v>
      </c>
      <c r="AU2354" s="4" t="s">
        <v>63</v>
      </c>
      <c r="AV2354" s="4" t="s">
        <v>63</v>
      </c>
      <c r="AW2354" s="4" t="s">
        <v>63</v>
      </c>
      <c r="AX2354" s="4" t="s">
        <v>63</v>
      </c>
      <c r="AY2354" s="4" t="s">
        <v>63</v>
      </c>
      <c r="AZ2354" s="4" t="s">
        <v>63</v>
      </c>
      <c r="BA2354" s="4" t="s">
        <v>63</v>
      </c>
      <c r="BB2354" s="4" t="s">
        <v>63</v>
      </c>
      <c r="BC2354" s="4" t="s">
        <v>63</v>
      </c>
      <c r="BD2354" s="4" t="s">
        <v>63</v>
      </c>
      <c r="BE2354" s="4" t="s">
        <v>63</v>
      </c>
      <c r="BF2354" s="4" t="s">
        <v>63</v>
      </c>
    </row>
    <row r="2355" spans="1:58">
      <c r="A2355" s="4" t="s">
        <v>58</v>
      </c>
      <c r="B2355" s="4" t="s">
        <v>19870</v>
      </c>
      <c r="C2355" s="4" t="s">
        <v>19871</v>
      </c>
      <c r="D2355" s="4" t="s">
        <v>3071</v>
      </c>
      <c r="E2355" s="4" t="s">
        <v>3072</v>
      </c>
      <c r="F2355" s="4">
        <v>1987</v>
      </c>
      <c r="G2355" s="4" t="s">
        <v>63</v>
      </c>
      <c r="H2355" s="4">
        <v>82</v>
      </c>
      <c r="I2355" s="4">
        <v>11</v>
      </c>
      <c r="J2355" s="4">
        <v>1191</v>
      </c>
      <c r="K2355" s="4">
        <v>1202</v>
      </c>
      <c r="L2355" s="4" t="s">
        <v>19872</v>
      </c>
      <c r="M2355" s="4" t="s">
        <v>63</v>
      </c>
      <c r="N2355" s="4" t="s">
        <v>19873</v>
      </c>
      <c r="O2355" s="4" t="s">
        <v>63</v>
      </c>
      <c r="P2355" s="4"/>
      <c r="Q2355" s="4" t="s">
        <v>63</v>
      </c>
      <c r="R2355" s="4" t="s">
        <v>63</v>
      </c>
      <c r="S2355" s="4" t="s">
        <v>63</v>
      </c>
      <c r="T2355" s="4" t="s">
        <v>63</v>
      </c>
      <c r="U2355" s="4"/>
      <c r="V2355" s="4"/>
      <c r="W2355" s="4"/>
      <c r="X2355" s="4" t="s">
        <v>63</v>
      </c>
      <c r="Y2355" s="4" t="s">
        <v>3075</v>
      </c>
      <c r="Z2355" s="4" t="s">
        <v>63</v>
      </c>
      <c r="AA2355" s="4" t="s">
        <v>63</v>
      </c>
      <c r="AB2355" s="4">
        <v>1988004538</v>
      </c>
      <c r="AC2355" s="4" t="s">
        <v>67</v>
      </c>
      <c r="AD2355" s="4" t="s">
        <v>63</v>
      </c>
      <c r="AE2355" s="4" t="s">
        <v>63</v>
      </c>
      <c r="AF2355" s="4" t="s">
        <v>63</v>
      </c>
      <c r="AG2355" s="4" t="s">
        <v>19874</v>
      </c>
      <c r="AH2355" s="4" t="s">
        <v>63</v>
      </c>
      <c r="AI2355" s="4" t="s">
        <v>63</v>
      </c>
      <c r="AJ2355" s="4" t="s">
        <v>63</v>
      </c>
      <c r="AK2355" s="4" t="s">
        <v>63</v>
      </c>
      <c r="AL2355" s="4" t="s">
        <v>63</v>
      </c>
      <c r="AM2355" s="4" t="s">
        <v>19875</v>
      </c>
      <c r="AN2355" s="4" t="s">
        <v>63</v>
      </c>
      <c r="AO2355" s="4" t="s">
        <v>63</v>
      </c>
      <c r="AP2355" s="4" t="s">
        <v>63</v>
      </c>
      <c r="AQ2355" s="4" t="s">
        <v>63</v>
      </c>
      <c r="AR2355" s="4" t="s">
        <v>63</v>
      </c>
      <c r="AS2355" s="4" t="s">
        <v>63</v>
      </c>
      <c r="AT2355" s="4" t="s">
        <v>63</v>
      </c>
      <c r="AU2355" s="4" t="s">
        <v>63</v>
      </c>
      <c r="AV2355" s="4" t="s">
        <v>63</v>
      </c>
      <c r="AW2355" s="4" t="s">
        <v>63</v>
      </c>
      <c r="AX2355" s="4" t="s">
        <v>63</v>
      </c>
      <c r="AY2355" s="4" t="s">
        <v>63</v>
      </c>
      <c r="AZ2355" s="4" t="s">
        <v>63</v>
      </c>
      <c r="BA2355" s="4" t="s">
        <v>63</v>
      </c>
      <c r="BB2355" s="4" t="s">
        <v>63</v>
      </c>
      <c r="BC2355" s="4" t="s">
        <v>63</v>
      </c>
      <c r="BD2355" s="4" t="s">
        <v>63</v>
      </c>
      <c r="BE2355" s="4" t="s">
        <v>63</v>
      </c>
      <c r="BF2355" s="4" t="s">
        <v>63</v>
      </c>
    </row>
    <row r="2356" spans="1:58">
      <c r="A2356" s="4" t="s">
        <v>58</v>
      </c>
      <c r="B2356" s="4" t="s">
        <v>19876</v>
      </c>
      <c r="C2356" s="4" t="s">
        <v>19877</v>
      </c>
      <c r="D2356" s="4" t="s">
        <v>19878</v>
      </c>
      <c r="E2356" s="4" t="s">
        <v>2616</v>
      </c>
      <c r="F2356" s="4">
        <v>2013</v>
      </c>
      <c r="G2356" s="4" t="s">
        <v>63</v>
      </c>
      <c r="H2356" s="4">
        <v>13</v>
      </c>
      <c r="I2356" s="4" t="s">
        <v>63</v>
      </c>
      <c r="J2356" s="4">
        <v>162</v>
      </c>
      <c r="K2356" s="4" t="s">
        <v>63</v>
      </c>
      <c r="L2356" s="4" t="s">
        <v>19879</v>
      </c>
      <c r="M2356" s="4" t="s">
        <v>19880</v>
      </c>
      <c r="N2356" s="4" t="s">
        <v>19881</v>
      </c>
      <c r="O2356" s="4" t="s">
        <v>63</v>
      </c>
      <c r="P2356" s="4"/>
      <c r="Q2356" s="4" t="s">
        <v>63</v>
      </c>
      <c r="R2356" s="4" t="s">
        <v>63</v>
      </c>
      <c r="S2356" s="4" t="s">
        <v>63</v>
      </c>
      <c r="T2356" s="4" t="s">
        <v>63</v>
      </c>
      <c r="U2356" s="4"/>
      <c r="V2356" s="4"/>
      <c r="W2356" s="4"/>
      <c r="X2356" s="4" t="s">
        <v>63</v>
      </c>
      <c r="Y2356" s="4" t="s">
        <v>19882</v>
      </c>
      <c r="Z2356" s="4" t="s">
        <v>63</v>
      </c>
      <c r="AA2356" s="4" t="s">
        <v>63</v>
      </c>
      <c r="AB2356" s="4" t="s">
        <v>63</v>
      </c>
      <c r="AC2356" s="4" t="s">
        <v>67</v>
      </c>
      <c r="AD2356" s="4" t="s">
        <v>63</v>
      </c>
      <c r="AE2356" s="4" t="s">
        <v>63</v>
      </c>
      <c r="AF2356" s="4" t="s">
        <v>63</v>
      </c>
      <c r="AG2356" s="4" t="s">
        <v>19883</v>
      </c>
      <c r="AH2356" s="4" t="s">
        <v>63</v>
      </c>
      <c r="AI2356" s="4" t="s">
        <v>19884</v>
      </c>
      <c r="AJ2356" s="4" t="s">
        <v>63</v>
      </c>
      <c r="AK2356" s="4" t="s">
        <v>63</v>
      </c>
      <c r="AL2356" s="4" t="s">
        <v>63</v>
      </c>
      <c r="AM2356" s="4" t="s">
        <v>19885</v>
      </c>
      <c r="AN2356" s="4" t="s">
        <v>63</v>
      </c>
      <c r="AO2356" s="4" t="s">
        <v>63</v>
      </c>
      <c r="AP2356" s="4" t="s">
        <v>63</v>
      </c>
      <c r="AQ2356" s="4" t="s">
        <v>63</v>
      </c>
      <c r="AR2356" s="4" t="s">
        <v>63</v>
      </c>
      <c r="AS2356" s="4" t="s">
        <v>63</v>
      </c>
      <c r="AT2356" s="4" t="s">
        <v>63</v>
      </c>
      <c r="AU2356" s="4" t="s">
        <v>63</v>
      </c>
      <c r="AV2356" s="4" t="s">
        <v>63</v>
      </c>
      <c r="AW2356" s="4" t="s">
        <v>63</v>
      </c>
      <c r="AX2356" s="4" t="s">
        <v>63</v>
      </c>
      <c r="AY2356" s="4" t="s">
        <v>63</v>
      </c>
      <c r="AZ2356" s="4" t="s">
        <v>63</v>
      </c>
      <c r="BA2356" s="4" t="s">
        <v>63</v>
      </c>
      <c r="BB2356" s="4" t="s">
        <v>63</v>
      </c>
      <c r="BC2356" s="4" t="s">
        <v>63</v>
      </c>
      <c r="BD2356" s="4" t="s">
        <v>63</v>
      </c>
      <c r="BE2356" s="4" t="s">
        <v>63</v>
      </c>
      <c r="BF2356" s="4" t="s">
        <v>63</v>
      </c>
    </row>
    <row r="2357" spans="1:58">
      <c r="A2357" s="4" t="s">
        <v>58</v>
      </c>
      <c r="B2357" s="4" t="s">
        <v>19886</v>
      </c>
      <c r="C2357" s="4" t="s">
        <v>19887</v>
      </c>
      <c r="D2357" s="4" t="s">
        <v>17833</v>
      </c>
      <c r="E2357" s="4" t="s">
        <v>63</v>
      </c>
      <c r="F2357" s="4">
        <v>2014</v>
      </c>
      <c r="G2357" s="4" t="s">
        <v>63</v>
      </c>
      <c r="H2357" s="4">
        <v>35</v>
      </c>
      <c r="I2357" s="4">
        <v>2</v>
      </c>
      <c r="J2357" s="4">
        <v>163</v>
      </c>
      <c r="K2357" s="4">
        <v>167</v>
      </c>
      <c r="L2357" s="4" t="s">
        <v>19888</v>
      </c>
      <c r="M2357" s="4" t="s">
        <v>19889</v>
      </c>
      <c r="N2357" s="4" t="s">
        <v>19890</v>
      </c>
      <c r="O2357" s="4" t="s">
        <v>63</v>
      </c>
      <c r="P2357" s="4"/>
      <c r="Q2357" s="4" t="s">
        <v>63</v>
      </c>
      <c r="R2357" s="4" t="s">
        <v>63</v>
      </c>
      <c r="S2357" s="4" t="s">
        <v>63</v>
      </c>
      <c r="T2357" s="4" t="s">
        <v>63</v>
      </c>
      <c r="U2357" s="4"/>
      <c r="V2357" s="4"/>
      <c r="W2357" s="4"/>
      <c r="X2357" s="4" t="s">
        <v>63</v>
      </c>
      <c r="Y2357" s="4" t="s">
        <v>15425</v>
      </c>
      <c r="Z2357" s="4" t="s">
        <v>63</v>
      </c>
      <c r="AA2357" s="4" t="s">
        <v>63</v>
      </c>
      <c r="AB2357" s="4" t="s">
        <v>63</v>
      </c>
      <c r="AC2357" s="4" t="s">
        <v>67</v>
      </c>
      <c r="AD2357" s="4" t="s">
        <v>63</v>
      </c>
      <c r="AE2357" s="4" t="s">
        <v>63</v>
      </c>
      <c r="AF2357" s="4" t="s">
        <v>63</v>
      </c>
      <c r="AG2357" s="4" t="s">
        <v>19891</v>
      </c>
      <c r="AH2357" s="4" t="s">
        <v>63</v>
      </c>
      <c r="AI2357" s="4" t="s">
        <v>19892</v>
      </c>
      <c r="AJ2357" s="4" t="s">
        <v>63</v>
      </c>
      <c r="AK2357" s="4" t="s">
        <v>63</v>
      </c>
      <c r="AL2357" s="4" t="s">
        <v>63</v>
      </c>
      <c r="AM2357" s="4" t="s">
        <v>19893</v>
      </c>
      <c r="AN2357" s="4" t="s">
        <v>63</v>
      </c>
      <c r="AO2357" s="4" t="s">
        <v>63</v>
      </c>
      <c r="AP2357" s="4" t="s">
        <v>63</v>
      </c>
      <c r="AQ2357" s="4" t="s">
        <v>63</v>
      </c>
      <c r="AR2357" s="4" t="s">
        <v>63</v>
      </c>
      <c r="AS2357" s="4" t="s">
        <v>63</v>
      </c>
      <c r="AT2357" s="4" t="s">
        <v>63</v>
      </c>
      <c r="AU2357" s="4" t="s">
        <v>63</v>
      </c>
      <c r="AV2357" s="4" t="s">
        <v>63</v>
      </c>
      <c r="AW2357" s="4" t="s">
        <v>63</v>
      </c>
      <c r="AX2357" s="4" t="s">
        <v>63</v>
      </c>
      <c r="AY2357" s="4" t="s">
        <v>63</v>
      </c>
      <c r="AZ2357" s="4" t="s">
        <v>63</v>
      </c>
      <c r="BA2357" s="4" t="s">
        <v>63</v>
      </c>
      <c r="BB2357" s="4" t="s">
        <v>63</v>
      </c>
      <c r="BC2357" s="4" t="s">
        <v>63</v>
      </c>
      <c r="BD2357" s="4" t="s">
        <v>63</v>
      </c>
      <c r="BE2357" s="4" t="s">
        <v>63</v>
      </c>
      <c r="BF2357" s="4" t="s">
        <v>63</v>
      </c>
    </row>
    <row r="2358" spans="1:58">
      <c r="A2358" s="4" t="s">
        <v>58</v>
      </c>
      <c r="B2358" s="4" t="s">
        <v>19894</v>
      </c>
      <c r="C2358" s="4" t="s">
        <v>19895</v>
      </c>
      <c r="D2358" s="4" t="s">
        <v>19896</v>
      </c>
      <c r="E2358" s="4" t="s">
        <v>19897</v>
      </c>
      <c r="F2358" s="4">
        <v>2012</v>
      </c>
      <c r="G2358" s="4" t="s">
        <v>15155</v>
      </c>
      <c r="H2358" s="4">
        <v>200</v>
      </c>
      <c r="I2358" s="4">
        <v>6</v>
      </c>
      <c r="J2358" s="4">
        <v>489</v>
      </c>
      <c r="K2358" s="4">
        <v>491</v>
      </c>
      <c r="L2358" s="4" t="s">
        <v>19898</v>
      </c>
      <c r="M2358" s="4" t="s">
        <v>19899</v>
      </c>
      <c r="N2358" s="4" t="s">
        <v>19900</v>
      </c>
      <c r="O2358" s="4" t="s">
        <v>63</v>
      </c>
      <c r="P2358" s="4"/>
      <c r="Q2358" s="4" t="s">
        <v>63</v>
      </c>
      <c r="R2358" s="4" t="s">
        <v>63</v>
      </c>
      <c r="S2358" s="4" t="s">
        <v>63</v>
      </c>
      <c r="T2358" s="4" t="s">
        <v>63</v>
      </c>
      <c r="U2358" s="4"/>
      <c r="V2358" s="4"/>
      <c r="W2358" s="4"/>
      <c r="X2358" s="4" t="s">
        <v>63</v>
      </c>
      <c r="Y2358" s="4" t="s">
        <v>19901</v>
      </c>
      <c r="Z2358" s="4" t="s">
        <v>63</v>
      </c>
      <c r="AA2358" s="4" t="s">
        <v>63</v>
      </c>
      <c r="AB2358" s="4">
        <v>2012335081</v>
      </c>
      <c r="AC2358" s="4" t="s">
        <v>67</v>
      </c>
      <c r="AD2358" s="4" t="s">
        <v>63</v>
      </c>
      <c r="AE2358" s="4" t="s">
        <v>63</v>
      </c>
      <c r="AF2358" s="4" t="s">
        <v>63</v>
      </c>
      <c r="AG2358" s="4" t="s">
        <v>19902</v>
      </c>
      <c r="AH2358" s="4" t="s">
        <v>63</v>
      </c>
      <c r="AI2358" s="4" t="s">
        <v>19903</v>
      </c>
      <c r="AJ2358" s="4" t="s">
        <v>63</v>
      </c>
      <c r="AK2358" s="4" t="s">
        <v>63</v>
      </c>
      <c r="AL2358" s="4" t="s">
        <v>63</v>
      </c>
      <c r="AM2358" s="4" t="s">
        <v>19904</v>
      </c>
      <c r="AN2358" s="4" t="s">
        <v>63</v>
      </c>
      <c r="AO2358" s="4" t="s">
        <v>63</v>
      </c>
      <c r="AP2358" s="4" t="s">
        <v>63</v>
      </c>
      <c r="AQ2358" s="4" t="s">
        <v>63</v>
      </c>
      <c r="AR2358" s="4" t="s">
        <v>63</v>
      </c>
      <c r="AS2358" s="4" t="s">
        <v>63</v>
      </c>
      <c r="AT2358" s="4" t="s">
        <v>63</v>
      </c>
      <c r="AU2358" s="4" t="s">
        <v>63</v>
      </c>
      <c r="AV2358" s="4" t="s">
        <v>63</v>
      </c>
      <c r="AW2358" s="4" t="s">
        <v>63</v>
      </c>
      <c r="AX2358" s="4" t="s">
        <v>63</v>
      </c>
      <c r="AY2358" s="4" t="s">
        <v>63</v>
      </c>
      <c r="AZ2358" s="4" t="s">
        <v>63</v>
      </c>
      <c r="BA2358" s="4" t="s">
        <v>63</v>
      </c>
      <c r="BB2358" s="4" t="s">
        <v>63</v>
      </c>
      <c r="BC2358" s="4" t="s">
        <v>63</v>
      </c>
      <c r="BD2358" s="4" t="s">
        <v>63</v>
      </c>
      <c r="BE2358" s="4" t="s">
        <v>63</v>
      </c>
      <c r="BF2358" s="4" t="s">
        <v>63</v>
      </c>
    </row>
    <row r="2359" spans="1:58">
      <c r="A2359" s="4" t="s">
        <v>58</v>
      </c>
      <c r="B2359" s="4" t="s">
        <v>19905</v>
      </c>
      <c r="C2359" s="4" t="s">
        <v>19906</v>
      </c>
      <c r="D2359" s="4" t="s">
        <v>19907</v>
      </c>
      <c r="E2359" s="4" t="s">
        <v>63</v>
      </c>
      <c r="F2359" s="4">
        <v>2010</v>
      </c>
      <c r="G2359" s="4" t="s">
        <v>63</v>
      </c>
      <c r="H2359" s="4">
        <v>14</v>
      </c>
      <c r="I2359" s="4">
        <v>4</v>
      </c>
      <c r="J2359" s="4">
        <v>363</v>
      </c>
      <c r="K2359" s="4">
        <v>364</v>
      </c>
      <c r="L2359" s="4" t="s">
        <v>19908</v>
      </c>
      <c r="M2359" s="4" t="s">
        <v>19909</v>
      </c>
      <c r="N2359" s="4" t="s">
        <v>19910</v>
      </c>
      <c r="O2359" s="4" t="s">
        <v>63</v>
      </c>
      <c r="P2359" s="4"/>
      <c r="Q2359" s="4" t="s">
        <v>63</v>
      </c>
      <c r="R2359" s="4" t="s">
        <v>63</v>
      </c>
      <c r="S2359" s="4" t="s">
        <v>63</v>
      </c>
      <c r="T2359" s="4" t="s">
        <v>63</v>
      </c>
      <c r="U2359" s="4"/>
      <c r="V2359" s="4"/>
      <c r="W2359" s="4"/>
      <c r="X2359" s="4" t="s">
        <v>63</v>
      </c>
      <c r="Y2359" s="4" t="s">
        <v>19911</v>
      </c>
      <c r="Z2359" s="4" t="s">
        <v>63</v>
      </c>
      <c r="AA2359" s="4" t="s">
        <v>63</v>
      </c>
      <c r="AB2359" s="4" t="s">
        <v>63</v>
      </c>
      <c r="AC2359" s="4" t="s">
        <v>67</v>
      </c>
      <c r="AD2359" s="4" t="s">
        <v>63</v>
      </c>
      <c r="AE2359" s="4" t="s">
        <v>63</v>
      </c>
      <c r="AF2359" s="4" t="s">
        <v>63</v>
      </c>
      <c r="AG2359" s="4" t="s">
        <v>63</v>
      </c>
      <c r="AH2359" s="4" t="s">
        <v>63</v>
      </c>
      <c r="AI2359" s="4" t="s">
        <v>19912</v>
      </c>
      <c r="AJ2359" s="4" t="s">
        <v>63</v>
      </c>
      <c r="AK2359" s="4" t="s">
        <v>63</v>
      </c>
      <c r="AL2359" s="4" t="s">
        <v>63</v>
      </c>
      <c r="AM2359" s="4" t="s">
        <v>19906</v>
      </c>
      <c r="AN2359" s="4" t="s">
        <v>63</v>
      </c>
      <c r="AO2359" s="4" t="s">
        <v>63</v>
      </c>
      <c r="AP2359" s="4" t="s">
        <v>63</v>
      </c>
      <c r="AQ2359" s="4" t="s">
        <v>63</v>
      </c>
      <c r="AR2359" s="4" t="s">
        <v>63</v>
      </c>
      <c r="AS2359" s="4" t="s">
        <v>63</v>
      </c>
      <c r="AT2359" s="4" t="s">
        <v>63</v>
      </c>
      <c r="AU2359" s="4" t="s">
        <v>63</v>
      </c>
      <c r="AV2359" s="4" t="s">
        <v>63</v>
      </c>
      <c r="AW2359" s="4" t="s">
        <v>63</v>
      </c>
      <c r="AX2359" s="4" t="s">
        <v>63</v>
      </c>
      <c r="AY2359" s="4" t="s">
        <v>63</v>
      </c>
      <c r="AZ2359" s="4" t="s">
        <v>63</v>
      </c>
      <c r="BA2359" s="4" t="s">
        <v>63</v>
      </c>
      <c r="BB2359" s="4" t="s">
        <v>63</v>
      </c>
      <c r="BC2359" s="4" t="s">
        <v>63</v>
      </c>
      <c r="BD2359" s="4" t="s">
        <v>63</v>
      </c>
      <c r="BE2359" s="4" t="s">
        <v>63</v>
      </c>
      <c r="BF2359" s="4" t="s">
        <v>63</v>
      </c>
    </row>
    <row r="2360" spans="1:58">
      <c r="A2360" s="4" t="s">
        <v>58</v>
      </c>
      <c r="B2360" s="4" t="s">
        <v>19913</v>
      </c>
      <c r="C2360" s="4" t="s">
        <v>19914</v>
      </c>
      <c r="D2360" s="4" t="s">
        <v>5991</v>
      </c>
      <c r="E2360" s="4" t="s">
        <v>5992</v>
      </c>
      <c r="F2360" s="4">
        <v>2017</v>
      </c>
      <c r="G2360" s="4">
        <v>1</v>
      </c>
      <c r="H2360" s="4">
        <v>132</v>
      </c>
      <c r="I2360" s="4">
        <v>3</v>
      </c>
      <c r="J2360" s="4">
        <v>336</v>
      </c>
      <c r="K2360" s="4">
        <v>342</v>
      </c>
      <c r="L2360" s="4" t="s">
        <v>19915</v>
      </c>
      <c r="M2360" s="4" t="s">
        <v>19916</v>
      </c>
      <c r="N2360" s="4" t="s">
        <v>19917</v>
      </c>
      <c r="O2360" s="4" t="s">
        <v>63</v>
      </c>
      <c r="P2360" s="4"/>
      <c r="Q2360" s="4" t="s">
        <v>63</v>
      </c>
      <c r="R2360" s="4" t="s">
        <v>63</v>
      </c>
      <c r="S2360" s="4" t="s">
        <v>63</v>
      </c>
      <c r="T2360" s="4" t="s">
        <v>63</v>
      </c>
      <c r="U2360" s="4"/>
      <c r="V2360" s="4"/>
      <c r="W2360" s="4"/>
      <c r="X2360" s="4" t="s">
        <v>63</v>
      </c>
      <c r="Y2360" s="4" t="s">
        <v>19918</v>
      </c>
      <c r="Z2360" s="4" t="s">
        <v>63</v>
      </c>
      <c r="AA2360" s="4" t="s">
        <v>63</v>
      </c>
      <c r="AB2360" s="4">
        <v>20170816825</v>
      </c>
      <c r="AC2360" s="4" t="s">
        <v>67</v>
      </c>
      <c r="AD2360" s="4" t="s">
        <v>63</v>
      </c>
      <c r="AE2360" s="4" t="s">
        <v>63</v>
      </c>
      <c r="AF2360" s="4" t="s">
        <v>63</v>
      </c>
      <c r="AG2360" s="4" t="s">
        <v>19919</v>
      </c>
      <c r="AH2360" s="4" t="s">
        <v>63</v>
      </c>
      <c r="AI2360" s="4" t="s">
        <v>19920</v>
      </c>
      <c r="AJ2360" s="4" t="s">
        <v>63</v>
      </c>
      <c r="AK2360" s="4" t="s">
        <v>63</v>
      </c>
      <c r="AL2360" s="4" t="s">
        <v>63</v>
      </c>
      <c r="AM2360" s="4" t="s">
        <v>19921</v>
      </c>
      <c r="AN2360" s="4" t="s">
        <v>63</v>
      </c>
      <c r="AO2360" s="4" t="s">
        <v>63</v>
      </c>
      <c r="AP2360" s="4" t="s">
        <v>63</v>
      </c>
      <c r="AQ2360" s="4" t="s">
        <v>63</v>
      </c>
      <c r="AR2360" s="4" t="s">
        <v>63</v>
      </c>
      <c r="AS2360" s="4" t="s">
        <v>63</v>
      </c>
      <c r="AT2360" s="4" t="s">
        <v>63</v>
      </c>
      <c r="AU2360" s="4" t="s">
        <v>63</v>
      </c>
      <c r="AV2360" s="4" t="s">
        <v>63</v>
      </c>
      <c r="AW2360" s="4" t="s">
        <v>63</v>
      </c>
      <c r="AX2360" s="4" t="s">
        <v>63</v>
      </c>
      <c r="AY2360" s="4" t="s">
        <v>63</v>
      </c>
      <c r="AZ2360" s="4" t="s">
        <v>63</v>
      </c>
      <c r="BA2360" s="4" t="s">
        <v>63</v>
      </c>
      <c r="BB2360" s="4" t="s">
        <v>63</v>
      </c>
      <c r="BC2360" s="4" t="s">
        <v>63</v>
      </c>
      <c r="BD2360" s="4" t="s">
        <v>63</v>
      </c>
      <c r="BE2360" s="4" t="s">
        <v>63</v>
      </c>
      <c r="BF2360" s="4" t="s">
        <v>63</v>
      </c>
    </row>
    <row r="2361" spans="1:58">
      <c r="A2361" s="4" t="s">
        <v>58</v>
      </c>
      <c r="B2361" s="4" t="s">
        <v>19922</v>
      </c>
      <c r="C2361" s="4" t="s">
        <v>19923</v>
      </c>
      <c r="D2361" s="4" t="s">
        <v>15421</v>
      </c>
      <c r="E2361" s="4" t="s">
        <v>63</v>
      </c>
      <c r="F2361" s="4">
        <v>2002</v>
      </c>
      <c r="G2361" s="4" t="s">
        <v>181</v>
      </c>
      <c r="H2361" s="4">
        <v>23</v>
      </c>
      <c r="I2361" s="4">
        <v>3</v>
      </c>
      <c r="J2361" s="4">
        <v>289</v>
      </c>
      <c r="K2361" s="4">
        <v>303</v>
      </c>
      <c r="L2361" s="4" t="s">
        <v>19924</v>
      </c>
      <c r="M2361" s="4" t="s">
        <v>63</v>
      </c>
      <c r="N2361" s="4" t="s">
        <v>19925</v>
      </c>
      <c r="O2361" s="4" t="s">
        <v>63</v>
      </c>
      <c r="P2361" s="4"/>
      <c r="Q2361" s="4" t="s">
        <v>63</v>
      </c>
      <c r="R2361" s="4" t="s">
        <v>63</v>
      </c>
      <c r="S2361" s="4" t="s">
        <v>63</v>
      </c>
      <c r="T2361" s="4" t="s">
        <v>63</v>
      </c>
      <c r="U2361" s="4"/>
      <c r="V2361" s="4"/>
      <c r="W2361" s="4"/>
      <c r="X2361" s="4" t="s">
        <v>63</v>
      </c>
      <c r="Y2361" s="4" t="s">
        <v>392</v>
      </c>
      <c r="Z2361" s="4" t="s">
        <v>63</v>
      </c>
      <c r="AA2361" s="4" t="s">
        <v>63</v>
      </c>
      <c r="AB2361" s="4" t="s">
        <v>63</v>
      </c>
      <c r="AC2361" s="4" t="s">
        <v>67</v>
      </c>
      <c r="AD2361" s="4" t="s">
        <v>63</v>
      </c>
      <c r="AE2361" s="4" t="s">
        <v>63</v>
      </c>
      <c r="AF2361" s="4" t="s">
        <v>63</v>
      </c>
      <c r="AG2361" s="4" t="s">
        <v>19926</v>
      </c>
      <c r="AH2361" s="4" t="s">
        <v>63</v>
      </c>
      <c r="AI2361" s="4" t="s">
        <v>63</v>
      </c>
      <c r="AJ2361" s="4" t="s">
        <v>63</v>
      </c>
      <c r="AK2361" s="4" t="s">
        <v>63</v>
      </c>
      <c r="AL2361" s="4" t="s">
        <v>63</v>
      </c>
      <c r="AM2361" s="4" t="s">
        <v>19927</v>
      </c>
      <c r="AN2361" s="4" t="s">
        <v>63</v>
      </c>
      <c r="AO2361" s="4" t="s">
        <v>63</v>
      </c>
      <c r="AP2361" s="4" t="s">
        <v>63</v>
      </c>
      <c r="AQ2361" s="4" t="s">
        <v>63</v>
      </c>
      <c r="AR2361" s="4" t="s">
        <v>63</v>
      </c>
      <c r="AS2361" s="4" t="s">
        <v>63</v>
      </c>
      <c r="AT2361" s="4" t="s">
        <v>63</v>
      </c>
      <c r="AU2361" s="4" t="s">
        <v>63</v>
      </c>
      <c r="AV2361" s="4" t="s">
        <v>63</v>
      </c>
      <c r="AW2361" s="4" t="s">
        <v>63</v>
      </c>
      <c r="AX2361" s="4" t="s">
        <v>63</v>
      </c>
      <c r="AY2361" s="4" t="s">
        <v>63</v>
      </c>
      <c r="AZ2361" s="4" t="s">
        <v>63</v>
      </c>
      <c r="BA2361" s="4" t="s">
        <v>63</v>
      </c>
      <c r="BB2361" s="4" t="s">
        <v>63</v>
      </c>
      <c r="BC2361" s="4" t="s">
        <v>63</v>
      </c>
      <c r="BD2361" s="4" t="s">
        <v>63</v>
      </c>
      <c r="BE2361" s="4" t="s">
        <v>63</v>
      </c>
      <c r="BF2361" s="4" t="s">
        <v>63</v>
      </c>
    </row>
    <row r="2362" spans="1:58">
      <c r="A2362" s="4" t="s">
        <v>58</v>
      </c>
      <c r="B2362" s="4" t="s">
        <v>19928</v>
      </c>
      <c r="C2362" s="4" t="s">
        <v>19929</v>
      </c>
      <c r="D2362" s="4" t="s">
        <v>16677</v>
      </c>
      <c r="E2362" s="4" t="s">
        <v>63</v>
      </c>
      <c r="F2362" s="4">
        <v>2016</v>
      </c>
      <c r="G2362" s="4">
        <v>2</v>
      </c>
      <c r="H2362" s="4">
        <v>34</v>
      </c>
      <c r="I2362" s="4">
        <v>1</v>
      </c>
      <c r="J2362" s="4">
        <v>92</v>
      </c>
      <c r="K2362" s="4">
        <v>115</v>
      </c>
      <c r="L2362" s="4" t="s">
        <v>19930</v>
      </c>
      <c r="M2362" s="4" t="s">
        <v>19931</v>
      </c>
      <c r="N2362" s="4" t="s">
        <v>19932</v>
      </c>
      <c r="O2362" s="4" t="s">
        <v>63</v>
      </c>
      <c r="P2362" s="4"/>
      <c r="Q2362" s="4" t="s">
        <v>63</v>
      </c>
      <c r="R2362" s="4" t="s">
        <v>63</v>
      </c>
      <c r="S2362" s="4" t="s">
        <v>63</v>
      </c>
      <c r="T2362" s="4" t="s">
        <v>63</v>
      </c>
      <c r="U2362" s="4"/>
      <c r="V2362" s="4"/>
      <c r="W2362" s="4"/>
      <c r="X2362" s="4" t="s">
        <v>63</v>
      </c>
      <c r="Y2362" s="4" t="s">
        <v>19933</v>
      </c>
      <c r="Z2362" s="4" t="s">
        <v>63</v>
      </c>
      <c r="AA2362" s="4" t="s">
        <v>63</v>
      </c>
      <c r="AB2362" s="4" t="s">
        <v>19934</v>
      </c>
      <c r="AC2362" s="4" t="s">
        <v>67</v>
      </c>
      <c r="AD2362" s="4" t="s">
        <v>63</v>
      </c>
      <c r="AE2362" s="4" t="s">
        <v>63</v>
      </c>
      <c r="AF2362" s="4" t="s">
        <v>63</v>
      </c>
      <c r="AG2362" s="4" t="s">
        <v>63</v>
      </c>
      <c r="AH2362" s="4" t="s">
        <v>63</v>
      </c>
      <c r="AI2362" s="4" t="s">
        <v>19935</v>
      </c>
      <c r="AJ2362" s="4" t="s">
        <v>63</v>
      </c>
      <c r="AK2362" s="4" t="s">
        <v>63</v>
      </c>
      <c r="AL2362" s="4" t="s">
        <v>63</v>
      </c>
      <c r="AM2362" s="4" t="s">
        <v>19929</v>
      </c>
      <c r="AN2362" s="4" t="s">
        <v>63</v>
      </c>
      <c r="AO2362" s="4" t="s">
        <v>63</v>
      </c>
      <c r="AP2362" s="4" t="s">
        <v>63</v>
      </c>
      <c r="AQ2362" s="4" t="s">
        <v>63</v>
      </c>
      <c r="AR2362" s="4" t="s">
        <v>63</v>
      </c>
      <c r="AS2362" s="4" t="s">
        <v>63</v>
      </c>
      <c r="AT2362" s="4" t="s">
        <v>63</v>
      </c>
      <c r="AU2362" s="4" t="s">
        <v>63</v>
      </c>
      <c r="AV2362" s="4" t="s">
        <v>63</v>
      </c>
      <c r="AW2362" s="4" t="s">
        <v>63</v>
      </c>
      <c r="AX2362" s="4" t="s">
        <v>63</v>
      </c>
      <c r="AY2362" s="4" t="s">
        <v>63</v>
      </c>
      <c r="AZ2362" s="4" t="s">
        <v>63</v>
      </c>
      <c r="BA2362" s="4" t="s">
        <v>63</v>
      </c>
      <c r="BB2362" s="4" t="s">
        <v>63</v>
      </c>
      <c r="BC2362" s="4" t="s">
        <v>63</v>
      </c>
      <c r="BD2362" s="4" t="s">
        <v>63</v>
      </c>
      <c r="BE2362" s="4" t="s">
        <v>63</v>
      </c>
      <c r="BF2362" s="4" t="s">
        <v>63</v>
      </c>
    </row>
    <row r="2363" spans="1:58">
      <c r="A2363" s="4" t="s">
        <v>58</v>
      </c>
      <c r="B2363" s="4" t="s">
        <v>19936</v>
      </c>
      <c r="C2363" s="4" t="s">
        <v>19937</v>
      </c>
      <c r="D2363" s="4" t="s">
        <v>16100</v>
      </c>
      <c r="E2363" s="4" t="s">
        <v>63</v>
      </c>
      <c r="F2363" s="4">
        <v>2015</v>
      </c>
      <c r="G2363" s="4">
        <v>1</v>
      </c>
      <c r="H2363" s="4" t="s">
        <v>16359</v>
      </c>
      <c r="I2363" s="4" t="s">
        <v>63</v>
      </c>
      <c r="J2363" s="4" t="s">
        <v>19938</v>
      </c>
      <c r="K2363" s="4" t="s">
        <v>63</v>
      </c>
      <c r="L2363" s="4" t="s">
        <v>19939</v>
      </c>
      <c r="M2363" s="4" t="s">
        <v>19940</v>
      </c>
      <c r="N2363" s="4" t="s">
        <v>19941</v>
      </c>
      <c r="O2363" s="4" t="s">
        <v>63</v>
      </c>
      <c r="P2363" s="4"/>
      <c r="Q2363" s="4" t="s">
        <v>63</v>
      </c>
      <c r="R2363" s="4" t="s">
        <v>63</v>
      </c>
      <c r="S2363" s="4" t="s">
        <v>63</v>
      </c>
      <c r="T2363" s="4" t="s">
        <v>63</v>
      </c>
      <c r="U2363" s="4"/>
      <c r="V2363" s="4"/>
      <c r="W2363" s="4"/>
      <c r="X2363" s="4" t="s">
        <v>63</v>
      </c>
      <c r="Y2363" s="4" t="s">
        <v>11717</v>
      </c>
      <c r="Z2363" s="4" t="s">
        <v>63</v>
      </c>
      <c r="AA2363" s="4" t="s">
        <v>63</v>
      </c>
      <c r="AB2363" s="4" t="s">
        <v>63</v>
      </c>
      <c r="AC2363" s="4" t="s">
        <v>67</v>
      </c>
      <c r="AD2363" s="4" t="s">
        <v>63</v>
      </c>
      <c r="AE2363" s="4" t="s">
        <v>63</v>
      </c>
      <c r="AF2363" s="4" t="s">
        <v>63</v>
      </c>
      <c r="AG2363" s="4" t="s">
        <v>63</v>
      </c>
      <c r="AH2363" s="4" t="s">
        <v>63</v>
      </c>
      <c r="AI2363" s="4" t="s">
        <v>19942</v>
      </c>
      <c r="AJ2363" s="4" t="s">
        <v>63</v>
      </c>
      <c r="AK2363" s="4" t="s">
        <v>63</v>
      </c>
      <c r="AL2363" s="4" t="s">
        <v>63</v>
      </c>
      <c r="AM2363" s="4" t="s">
        <v>19937</v>
      </c>
      <c r="AN2363" s="4" t="s">
        <v>63</v>
      </c>
      <c r="AO2363" s="4" t="s">
        <v>63</v>
      </c>
      <c r="AP2363" s="4" t="s">
        <v>63</v>
      </c>
      <c r="AQ2363" s="4" t="s">
        <v>63</v>
      </c>
      <c r="AR2363" s="4" t="s">
        <v>63</v>
      </c>
      <c r="AS2363" s="4" t="s">
        <v>63</v>
      </c>
      <c r="AT2363" s="4" t="s">
        <v>63</v>
      </c>
      <c r="AU2363" s="4" t="s">
        <v>63</v>
      </c>
      <c r="AV2363" s="4" t="s">
        <v>63</v>
      </c>
      <c r="AW2363" s="4" t="s">
        <v>63</v>
      </c>
      <c r="AX2363" s="4" t="s">
        <v>63</v>
      </c>
      <c r="AY2363" s="4" t="s">
        <v>63</v>
      </c>
      <c r="AZ2363" s="4" t="s">
        <v>63</v>
      </c>
      <c r="BA2363" s="4" t="s">
        <v>63</v>
      </c>
      <c r="BB2363" s="4" t="s">
        <v>63</v>
      </c>
      <c r="BC2363" s="4" t="s">
        <v>63</v>
      </c>
      <c r="BD2363" s="4" t="s">
        <v>63</v>
      </c>
      <c r="BE2363" s="4" t="s">
        <v>63</v>
      </c>
      <c r="BF2363" s="4" t="s">
        <v>63</v>
      </c>
    </row>
    <row r="2364" spans="1:58">
      <c r="A2364" s="4" t="s">
        <v>58</v>
      </c>
      <c r="B2364" s="4" t="s">
        <v>19943</v>
      </c>
      <c r="C2364" s="4" t="s">
        <v>19944</v>
      </c>
      <c r="D2364" s="4" t="s">
        <v>1960</v>
      </c>
      <c r="E2364" s="4" t="s">
        <v>63</v>
      </c>
      <c r="F2364" s="4">
        <v>1997</v>
      </c>
      <c r="G2364" s="4" t="s">
        <v>63</v>
      </c>
      <c r="H2364" s="4">
        <v>9</v>
      </c>
      <c r="I2364" s="4">
        <v>4</v>
      </c>
      <c r="J2364" s="4">
        <v>571</v>
      </c>
      <c r="K2364" s="4">
        <v>578</v>
      </c>
      <c r="L2364" s="4" t="s">
        <v>19945</v>
      </c>
      <c r="M2364" s="4" t="s">
        <v>19946</v>
      </c>
      <c r="N2364" s="4" t="s">
        <v>19947</v>
      </c>
      <c r="O2364" s="4" t="s">
        <v>63</v>
      </c>
      <c r="P2364" s="4"/>
      <c r="Q2364" s="4" t="s">
        <v>63</v>
      </c>
      <c r="R2364" s="4" t="s">
        <v>63</v>
      </c>
      <c r="S2364" s="4" t="s">
        <v>63</v>
      </c>
      <c r="T2364" s="4" t="s">
        <v>63</v>
      </c>
      <c r="U2364" s="4"/>
      <c r="V2364" s="4"/>
      <c r="W2364" s="4"/>
      <c r="X2364" s="4" t="s">
        <v>63</v>
      </c>
      <c r="Y2364" s="4" t="s">
        <v>1964</v>
      </c>
      <c r="Z2364" s="4" t="s">
        <v>63</v>
      </c>
      <c r="AA2364" s="4" t="s">
        <v>63</v>
      </c>
      <c r="AB2364" s="4" t="s">
        <v>19948</v>
      </c>
      <c r="AC2364" s="4" t="s">
        <v>913</v>
      </c>
      <c r="AD2364" s="4" t="s">
        <v>63</v>
      </c>
      <c r="AE2364" s="4" t="s">
        <v>63</v>
      </c>
      <c r="AF2364" s="4" t="s">
        <v>63</v>
      </c>
      <c r="AG2364" s="4" t="s">
        <v>63</v>
      </c>
      <c r="AH2364" s="4" t="s">
        <v>63</v>
      </c>
      <c r="AI2364" s="4" t="s">
        <v>63</v>
      </c>
      <c r="AJ2364" s="4" t="s">
        <v>63</v>
      </c>
      <c r="AK2364" s="4" t="s">
        <v>63</v>
      </c>
      <c r="AL2364" s="4" t="s">
        <v>63</v>
      </c>
      <c r="AM2364" s="4" t="s">
        <v>19944</v>
      </c>
      <c r="AN2364" s="4" t="s">
        <v>63</v>
      </c>
      <c r="AO2364" s="4" t="s">
        <v>63</v>
      </c>
      <c r="AP2364" s="4" t="s">
        <v>63</v>
      </c>
      <c r="AQ2364" s="4" t="s">
        <v>63</v>
      </c>
      <c r="AR2364" s="4" t="s">
        <v>63</v>
      </c>
      <c r="AS2364" s="4" t="s">
        <v>63</v>
      </c>
      <c r="AT2364" s="4" t="s">
        <v>63</v>
      </c>
      <c r="AU2364" s="4" t="s">
        <v>63</v>
      </c>
      <c r="AV2364" s="4" t="s">
        <v>63</v>
      </c>
      <c r="AW2364" s="4" t="s">
        <v>63</v>
      </c>
      <c r="AX2364" s="4" t="s">
        <v>63</v>
      </c>
      <c r="AY2364" s="4" t="s">
        <v>63</v>
      </c>
      <c r="AZ2364" s="4" t="s">
        <v>63</v>
      </c>
      <c r="BA2364" s="4" t="s">
        <v>63</v>
      </c>
      <c r="BB2364" s="4" t="s">
        <v>63</v>
      </c>
      <c r="BC2364" s="4" t="s">
        <v>63</v>
      </c>
      <c r="BD2364" s="4" t="s">
        <v>63</v>
      </c>
      <c r="BE2364" s="4" t="s">
        <v>63</v>
      </c>
      <c r="BF2364" s="4" t="s">
        <v>63</v>
      </c>
    </row>
    <row r="2365" spans="1:58">
      <c r="A2365" s="4" t="s">
        <v>58</v>
      </c>
      <c r="B2365" s="4" t="s">
        <v>19949</v>
      </c>
      <c r="C2365" s="4" t="s">
        <v>19950</v>
      </c>
      <c r="D2365" s="4" t="s">
        <v>16219</v>
      </c>
      <c r="E2365" s="4" t="s">
        <v>63</v>
      </c>
      <c r="F2365" s="4">
        <v>2011</v>
      </c>
      <c r="G2365" s="4" t="s">
        <v>63</v>
      </c>
      <c r="H2365" s="4">
        <v>57</v>
      </c>
      <c r="I2365" s="4">
        <v>6</v>
      </c>
      <c r="J2365" s="4">
        <v>451</v>
      </c>
      <c r="K2365" s="4">
        <v>468</v>
      </c>
      <c r="L2365" s="4" t="s">
        <v>19951</v>
      </c>
      <c r="M2365" s="4" t="s">
        <v>19952</v>
      </c>
      <c r="N2365" s="4" t="s">
        <v>19953</v>
      </c>
      <c r="O2365" s="4" t="s">
        <v>63</v>
      </c>
      <c r="P2365" s="4"/>
      <c r="Q2365" s="4" t="s">
        <v>63</v>
      </c>
      <c r="R2365" s="4" t="s">
        <v>63</v>
      </c>
      <c r="S2365" s="4" t="s">
        <v>63</v>
      </c>
      <c r="T2365" s="4" t="s">
        <v>63</v>
      </c>
      <c r="U2365" s="4"/>
      <c r="V2365" s="4"/>
      <c r="W2365" s="4"/>
      <c r="X2365" s="4" t="s">
        <v>63</v>
      </c>
      <c r="Y2365" s="4" t="s">
        <v>16223</v>
      </c>
      <c r="Z2365" s="4" t="s">
        <v>63</v>
      </c>
      <c r="AA2365" s="4" t="s">
        <v>63</v>
      </c>
      <c r="AB2365" s="4" t="s">
        <v>19954</v>
      </c>
      <c r="AC2365" s="4" t="s">
        <v>102</v>
      </c>
      <c r="AD2365" s="4" t="s">
        <v>63</v>
      </c>
      <c r="AE2365" s="4" t="s">
        <v>63</v>
      </c>
      <c r="AF2365" s="4" t="s">
        <v>63</v>
      </c>
      <c r="AG2365" s="4" t="s">
        <v>63</v>
      </c>
      <c r="AH2365" s="4" t="s">
        <v>63</v>
      </c>
      <c r="AI2365" s="4" t="s">
        <v>19955</v>
      </c>
      <c r="AJ2365" s="4" t="s">
        <v>63</v>
      </c>
      <c r="AK2365" s="4" t="s">
        <v>63</v>
      </c>
      <c r="AL2365" s="4" t="s">
        <v>63</v>
      </c>
      <c r="AM2365" s="4" t="s">
        <v>19950</v>
      </c>
      <c r="AN2365" s="4" t="s">
        <v>63</v>
      </c>
      <c r="AO2365" s="4" t="s">
        <v>63</v>
      </c>
      <c r="AP2365" s="4" t="s">
        <v>63</v>
      </c>
      <c r="AQ2365" s="4" t="s">
        <v>63</v>
      </c>
      <c r="AR2365" s="4" t="s">
        <v>63</v>
      </c>
      <c r="AS2365" s="4" t="s">
        <v>63</v>
      </c>
      <c r="AT2365" s="4" t="s">
        <v>63</v>
      </c>
      <c r="AU2365" s="4" t="s">
        <v>63</v>
      </c>
      <c r="AV2365" s="4" t="s">
        <v>63</v>
      </c>
      <c r="AW2365" s="4" t="s">
        <v>63</v>
      </c>
      <c r="AX2365" s="4" t="s">
        <v>63</v>
      </c>
      <c r="AY2365" s="4" t="s">
        <v>63</v>
      </c>
      <c r="AZ2365" s="4" t="s">
        <v>63</v>
      </c>
      <c r="BA2365" s="4" t="s">
        <v>63</v>
      </c>
      <c r="BB2365" s="4" t="s">
        <v>63</v>
      </c>
      <c r="BC2365" s="4" t="s">
        <v>63</v>
      </c>
      <c r="BD2365" s="4" t="s">
        <v>63</v>
      </c>
      <c r="BE2365" s="4" t="s">
        <v>63</v>
      </c>
      <c r="BF2365" s="4" t="s">
        <v>63</v>
      </c>
    </row>
    <row r="2366" spans="1:58">
      <c r="A2366" s="4" t="s">
        <v>58</v>
      </c>
      <c r="B2366" s="4" t="s">
        <v>19956</v>
      </c>
      <c r="C2366" s="4" t="s">
        <v>19957</v>
      </c>
      <c r="D2366" s="4" t="s">
        <v>371</v>
      </c>
      <c r="E2366" s="4" t="s">
        <v>63</v>
      </c>
      <c r="F2366" s="4">
        <v>2015</v>
      </c>
      <c r="G2366" s="4" t="s">
        <v>15165</v>
      </c>
      <c r="H2366" s="4" t="s">
        <v>15869</v>
      </c>
      <c r="I2366" s="4" t="s">
        <v>63</v>
      </c>
      <c r="J2366" s="4" t="s">
        <v>19958</v>
      </c>
      <c r="K2366" s="4" t="s">
        <v>63</v>
      </c>
      <c r="L2366" s="4" t="s">
        <v>19959</v>
      </c>
      <c r="M2366" s="4" t="s">
        <v>19960</v>
      </c>
      <c r="N2366" s="4" t="s">
        <v>19961</v>
      </c>
      <c r="O2366" s="4" t="s">
        <v>63</v>
      </c>
      <c r="P2366" s="4"/>
      <c r="Q2366" s="4" t="s">
        <v>63</v>
      </c>
      <c r="R2366" s="4" t="s">
        <v>63</v>
      </c>
      <c r="S2366" s="4" t="s">
        <v>63</v>
      </c>
      <c r="T2366" s="4" t="s">
        <v>63</v>
      </c>
      <c r="U2366" s="4"/>
      <c r="V2366" s="4"/>
      <c r="W2366" s="4"/>
      <c r="X2366" s="4" t="s">
        <v>63</v>
      </c>
      <c r="Y2366" s="4" t="s">
        <v>375</v>
      </c>
      <c r="Z2366" s="4" t="s">
        <v>63</v>
      </c>
      <c r="AA2366" s="4" t="s">
        <v>63</v>
      </c>
      <c r="AB2366" s="4" t="s">
        <v>63</v>
      </c>
      <c r="AC2366" s="4" t="s">
        <v>67</v>
      </c>
      <c r="AD2366" s="4" t="s">
        <v>63</v>
      </c>
      <c r="AE2366" s="4" t="s">
        <v>63</v>
      </c>
      <c r="AF2366" s="4" t="s">
        <v>63</v>
      </c>
      <c r="AG2366" s="4" t="s">
        <v>63</v>
      </c>
      <c r="AH2366" s="4" t="s">
        <v>63</v>
      </c>
      <c r="AI2366" s="4" t="s">
        <v>63</v>
      </c>
      <c r="AJ2366" s="4" t="s">
        <v>63</v>
      </c>
      <c r="AK2366" s="4" t="s">
        <v>63</v>
      </c>
      <c r="AL2366" s="4" t="s">
        <v>63</v>
      </c>
      <c r="AM2366" s="4" t="s">
        <v>19957</v>
      </c>
      <c r="AN2366" s="4" t="s">
        <v>63</v>
      </c>
      <c r="AO2366" s="4" t="s">
        <v>63</v>
      </c>
      <c r="AP2366" s="4" t="s">
        <v>63</v>
      </c>
      <c r="AQ2366" s="4" t="s">
        <v>63</v>
      </c>
      <c r="AR2366" s="4" t="s">
        <v>63</v>
      </c>
      <c r="AS2366" s="4" t="s">
        <v>63</v>
      </c>
      <c r="AT2366" s="4" t="s">
        <v>63</v>
      </c>
      <c r="AU2366" s="4" t="s">
        <v>63</v>
      </c>
      <c r="AV2366" s="4" t="s">
        <v>63</v>
      </c>
      <c r="AW2366" s="4" t="s">
        <v>63</v>
      </c>
      <c r="AX2366" s="4" t="s">
        <v>63</v>
      </c>
      <c r="AY2366" s="4" t="s">
        <v>63</v>
      </c>
      <c r="AZ2366" s="4" t="s">
        <v>63</v>
      </c>
      <c r="BA2366" s="4" t="s">
        <v>63</v>
      </c>
      <c r="BB2366" s="4" t="s">
        <v>63</v>
      </c>
      <c r="BC2366" s="4" t="s">
        <v>63</v>
      </c>
      <c r="BD2366" s="4" t="s">
        <v>63</v>
      </c>
      <c r="BE2366" s="4" t="s">
        <v>63</v>
      </c>
      <c r="BF2366" s="4" t="s">
        <v>63</v>
      </c>
    </row>
    <row r="2367" spans="1:58">
      <c r="A2367" s="4" t="s">
        <v>58</v>
      </c>
      <c r="B2367" s="4" t="s">
        <v>19962</v>
      </c>
      <c r="C2367" s="4" t="s">
        <v>19963</v>
      </c>
      <c r="D2367" s="4" t="s">
        <v>19964</v>
      </c>
      <c r="E2367" s="4" t="s">
        <v>63</v>
      </c>
      <c r="F2367" s="4">
        <v>2015</v>
      </c>
      <c r="G2367" s="4">
        <v>1</v>
      </c>
      <c r="H2367" s="4">
        <v>2</v>
      </c>
      <c r="I2367" s="4">
        <v>3</v>
      </c>
      <c r="J2367" s="4">
        <v>208</v>
      </c>
      <c r="K2367" s="4" t="s">
        <v>63</v>
      </c>
      <c r="L2367" s="4" t="s">
        <v>19965</v>
      </c>
      <c r="M2367" s="4" t="s">
        <v>63</v>
      </c>
      <c r="N2367" s="4" t="s">
        <v>19966</v>
      </c>
      <c r="O2367" s="4" t="s">
        <v>63</v>
      </c>
      <c r="P2367" s="4"/>
      <c r="Q2367" s="4" t="s">
        <v>63</v>
      </c>
      <c r="R2367" s="4" t="s">
        <v>63</v>
      </c>
      <c r="S2367" s="4" t="s">
        <v>63</v>
      </c>
      <c r="T2367" s="4" t="s">
        <v>63</v>
      </c>
      <c r="U2367" s="4"/>
      <c r="V2367" s="4"/>
      <c r="W2367" s="4"/>
      <c r="X2367" s="4" t="s">
        <v>63</v>
      </c>
      <c r="Y2367" s="4" t="s">
        <v>19967</v>
      </c>
      <c r="Z2367" s="4" t="s">
        <v>63</v>
      </c>
      <c r="AA2367" s="4" t="s">
        <v>63</v>
      </c>
      <c r="AB2367" s="4">
        <v>2015774190</v>
      </c>
      <c r="AC2367" s="4" t="s">
        <v>67</v>
      </c>
      <c r="AD2367" s="4" t="s">
        <v>63</v>
      </c>
      <c r="AE2367" s="4" t="s">
        <v>63</v>
      </c>
      <c r="AF2367" s="4" t="s">
        <v>63</v>
      </c>
      <c r="AG2367" s="4" t="s">
        <v>19968</v>
      </c>
      <c r="AH2367" s="4" t="s">
        <v>63</v>
      </c>
      <c r="AI2367" s="4" t="s">
        <v>19969</v>
      </c>
      <c r="AJ2367" s="4" t="s">
        <v>63</v>
      </c>
      <c r="AK2367" s="4" t="s">
        <v>63</v>
      </c>
      <c r="AL2367" s="4" t="s">
        <v>63</v>
      </c>
      <c r="AM2367" s="4" t="s">
        <v>19970</v>
      </c>
      <c r="AN2367" s="4" t="s">
        <v>63</v>
      </c>
      <c r="AO2367" s="4" t="s">
        <v>63</v>
      </c>
      <c r="AP2367" s="4" t="s">
        <v>63</v>
      </c>
      <c r="AQ2367" s="4" t="s">
        <v>63</v>
      </c>
      <c r="AR2367" s="4" t="s">
        <v>63</v>
      </c>
      <c r="AS2367" s="4" t="s">
        <v>63</v>
      </c>
      <c r="AT2367" s="4" t="s">
        <v>63</v>
      </c>
      <c r="AU2367" s="4" t="s">
        <v>63</v>
      </c>
      <c r="AV2367" s="4" t="s">
        <v>63</v>
      </c>
      <c r="AW2367" s="4" t="s">
        <v>63</v>
      </c>
      <c r="AX2367" s="4" t="s">
        <v>63</v>
      </c>
      <c r="AY2367" s="4" t="s">
        <v>63</v>
      </c>
      <c r="AZ2367" s="4" t="s">
        <v>63</v>
      </c>
      <c r="BA2367" s="4" t="s">
        <v>63</v>
      </c>
      <c r="BB2367" s="4" t="s">
        <v>63</v>
      </c>
      <c r="BC2367" s="4" t="s">
        <v>63</v>
      </c>
      <c r="BD2367" s="4" t="s">
        <v>63</v>
      </c>
      <c r="BE2367" s="4" t="s">
        <v>63</v>
      </c>
      <c r="BF2367" s="4" t="s">
        <v>63</v>
      </c>
    </row>
    <row r="2368" spans="1:58">
      <c r="A2368" s="4" t="s">
        <v>58</v>
      </c>
      <c r="B2368" s="4" t="s">
        <v>19971</v>
      </c>
      <c r="C2368" s="4" t="s">
        <v>19972</v>
      </c>
      <c r="D2368" s="4" t="s">
        <v>19973</v>
      </c>
      <c r="E2368" s="4" t="s">
        <v>63</v>
      </c>
      <c r="F2368" s="4">
        <v>2012</v>
      </c>
      <c r="G2368" s="4" t="s">
        <v>15155</v>
      </c>
      <c r="H2368" s="4">
        <v>2</v>
      </c>
      <c r="I2368" s="4">
        <v>1</v>
      </c>
      <c r="J2368" s="4">
        <v>61</v>
      </c>
      <c r="K2368" s="4">
        <v>69</v>
      </c>
      <c r="L2368" s="4" t="s">
        <v>19974</v>
      </c>
      <c r="M2368" s="4" t="s">
        <v>19975</v>
      </c>
      <c r="N2368" s="4" t="s">
        <v>19976</v>
      </c>
      <c r="O2368" s="4" t="s">
        <v>63</v>
      </c>
      <c r="P2368" s="4"/>
      <c r="Q2368" s="4" t="s">
        <v>63</v>
      </c>
      <c r="R2368" s="4" t="s">
        <v>63</v>
      </c>
      <c r="S2368" s="4" t="s">
        <v>63</v>
      </c>
      <c r="T2368" s="4" t="s">
        <v>63</v>
      </c>
      <c r="U2368" s="4"/>
      <c r="V2368" s="4"/>
      <c r="W2368" s="4"/>
      <c r="X2368" s="4" t="s">
        <v>63</v>
      </c>
      <c r="Y2368" s="4" t="s">
        <v>19977</v>
      </c>
      <c r="Z2368" s="4" t="s">
        <v>63</v>
      </c>
      <c r="AA2368" s="4" t="s">
        <v>63</v>
      </c>
      <c r="AB2368" s="4" t="s">
        <v>19978</v>
      </c>
      <c r="AC2368" s="4" t="s">
        <v>67</v>
      </c>
      <c r="AD2368" s="4" t="s">
        <v>63</v>
      </c>
      <c r="AE2368" s="4" t="s">
        <v>63</v>
      </c>
      <c r="AF2368" s="4" t="s">
        <v>63</v>
      </c>
      <c r="AG2368" s="4" t="s">
        <v>63</v>
      </c>
      <c r="AH2368" s="4" t="s">
        <v>63</v>
      </c>
      <c r="AI2368" s="4" t="s">
        <v>19979</v>
      </c>
      <c r="AJ2368" s="4" t="s">
        <v>63</v>
      </c>
      <c r="AK2368" s="4" t="s">
        <v>63</v>
      </c>
      <c r="AL2368" s="4" t="s">
        <v>63</v>
      </c>
      <c r="AM2368" s="4" t="s">
        <v>19972</v>
      </c>
      <c r="AN2368" s="4" t="s">
        <v>63</v>
      </c>
      <c r="AO2368" s="4" t="s">
        <v>63</v>
      </c>
      <c r="AP2368" s="4" t="s">
        <v>63</v>
      </c>
      <c r="AQ2368" s="4" t="s">
        <v>63</v>
      </c>
      <c r="AR2368" s="4" t="s">
        <v>63</v>
      </c>
      <c r="AS2368" s="4" t="s">
        <v>63</v>
      </c>
      <c r="AT2368" s="4" t="s">
        <v>63</v>
      </c>
      <c r="AU2368" s="4" t="s">
        <v>63</v>
      </c>
      <c r="AV2368" s="4" t="s">
        <v>63</v>
      </c>
      <c r="AW2368" s="4" t="s">
        <v>63</v>
      </c>
      <c r="AX2368" s="4" t="s">
        <v>63</v>
      </c>
      <c r="AY2368" s="4" t="s">
        <v>63</v>
      </c>
      <c r="AZ2368" s="4" t="s">
        <v>63</v>
      </c>
      <c r="BA2368" s="4" t="s">
        <v>63</v>
      </c>
      <c r="BB2368" s="4" t="s">
        <v>63</v>
      </c>
      <c r="BC2368" s="4" t="s">
        <v>63</v>
      </c>
      <c r="BD2368" s="4" t="s">
        <v>63</v>
      </c>
      <c r="BE2368" s="4" t="s">
        <v>63</v>
      </c>
      <c r="BF2368" s="4" t="s">
        <v>63</v>
      </c>
    </row>
    <row r="2369" spans="1:58">
      <c r="A2369" s="4" t="s">
        <v>58</v>
      </c>
      <c r="B2369" s="4" t="s">
        <v>19980</v>
      </c>
      <c r="C2369" s="4" t="s">
        <v>19981</v>
      </c>
      <c r="D2369" s="4" t="s">
        <v>16357</v>
      </c>
      <c r="E2369" s="4" t="s">
        <v>16358</v>
      </c>
      <c r="F2369" s="4">
        <v>2015</v>
      </c>
      <c r="G2369" s="4" t="s">
        <v>189</v>
      </c>
      <c r="H2369" s="4" t="s">
        <v>16101</v>
      </c>
      <c r="I2369" s="4" t="s">
        <v>63</v>
      </c>
      <c r="J2369" s="4">
        <v>50</v>
      </c>
      <c r="K2369" s="4">
        <v>51</v>
      </c>
      <c r="L2369" s="4" t="s">
        <v>19982</v>
      </c>
      <c r="M2369" s="4" t="s">
        <v>19983</v>
      </c>
      <c r="N2369" s="4" t="s">
        <v>19984</v>
      </c>
      <c r="O2369" s="4" t="s">
        <v>63</v>
      </c>
      <c r="P2369" s="4"/>
      <c r="Q2369" s="4" t="s">
        <v>63</v>
      </c>
      <c r="R2369" s="4" t="s">
        <v>63</v>
      </c>
      <c r="S2369" s="4" t="s">
        <v>63</v>
      </c>
      <c r="T2369" s="4" t="s">
        <v>63</v>
      </c>
      <c r="U2369" s="4"/>
      <c r="V2369" s="4"/>
      <c r="W2369" s="4"/>
      <c r="X2369" s="4" t="s">
        <v>63</v>
      </c>
      <c r="Y2369" s="5">
        <v>25658</v>
      </c>
      <c r="Z2369" s="4" t="s">
        <v>63</v>
      </c>
      <c r="AA2369" s="4" t="s">
        <v>63</v>
      </c>
      <c r="AB2369" s="4" t="s">
        <v>63</v>
      </c>
      <c r="AC2369" s="4" t="s">
        <v>67</v>
      </c>
      <c r="AD2369" s="4" t="s">
        <v>63</v>
      </c>
      <c r="AE2369" s="4" t="s">
        <v>63</v>
      </c>
      <c r="AF2369" s="4" t="s">
        <v>63</v>
      </c>
      <c r="AG2369" s="4" t="s">
        <v>63</v>
      </c>
      <c r="AH2369" s="4" t="s">
        <v>63</v>
      </c>
      <c r="AI2369" s="4" t="s">
        <v>19985</v>
      </c>
      <c r="AJ2369" s="4" t="s">
        <v>63</v>
      </c>
      <c r="AK2369" s="4" t="s">
        <v>63</v>
      </c>
      <c r="AL2369" s="4" t="s">
        <v>63</v>
      </c>
      <c r="AM2369" s="4" t="s">
        <v>19981</v>
      </c>
      <c r="AN2369" s="4" t="s">
        <v>63</v>
      </c>
      <c r="AO2369" s="4" t="s">
        <v>63</v>
      </c>
      <c r="AP2369" s="4" t="s">
        <v>63</v>
      </c>
      <c r="AQ2369" s="4" t="s">
        <v>63</v>
      </c>
      <c r="AR2369" s="4" t="s">
        <v>63</v>
      </c>
      <c r="AS2369" s="4" t="s">
        <v>63</v>
      </c>
      <c r="AT2369" s="4" t="s">
        <v>63</v>
      </c>
      <c r="AU2369" s="4" t="s">
        <v>63</v>
      </c>
      <c r="AV2369" s="4" t="s">
        <v>63</v>
      </c>
      <c r="AW2369" s="4" t="s">
        <v>63</v>
      </c>
      <c r="AX2369" s="4" t="s">
        <v>63</v>
      </c>
      <c r="AY2369" s="4" t="s">
        <v>63</v>
      </c>
      <c r="AZ2369" s="4" t="s">
        <v>63</v>
      </c>
      <c r="BA2369" s="4" t="s">
        <v>63</v>
      </c>
      <c r="BB2369" s="4" t="s">
        <v>63</v>
      </c>
      <c r="BC2369" s="4" t="s">
        <v>63</v>
      </c>
      <c r="BD2369" s="4" t="s">
        <v>63</v>
      </c>
      <c r="BE2369" s="4" t="s">
        <v>63</v>
      </c>
      <c r="BF2369" s="4" t="s">
        <v>63</v>
      </c>
    </row>
    <row r="2370" spans="1:58">
      <c r="A2370" s="4" t="s">
        <v>58</v>
      </c>
      <c r="B2370" s="4" t="s">
        <v>19986</v>
      </c>
      <c r="C2370" s="4" t="s">
        <v>19987</v>
      </c>
      <c r="D2370" s="4" t="s">
        <v>16357</v>
      </c>
      <c r="E2370" s="4" t="s">
        <v>16358</v>
      </c>
      <c r="F2370" s="4">
        <v>2015</v>
      </c>
      <c r="G2370" s="4" t="s">
        <v>189</v>
      </c>
      <c r="H2370" s="4" t="s">
        <v>16101</v>
      </c>
      <c r="I2370" s="4" t="s">
        <v>63</v>
      </c>
      <c r="J2370" s="4">
        <v>114</v>
      </c>
      <c r="K2370" s="4" t="s">
        <v>63</v>
      </c>
      <c r="L2370" s="4" t="s">
        <v>19988</v>
      </c>
      <c r="M2370" s="4" t="s">
        <v>19989</v>
      </c>
      <c r="N2370" s="4" t="s">
        <v>19990</v>
      </c>
      <c r="O2370" s="4" t="s">
        <v>63</v>
      </c>
      <c r="P2370" s="4"/>
      <c r="Q2370" s="4" t="s">
        <v>63</v>
      </c>
      <c r="R2370" s="4" t="s">
        <v>63</v>
      </c>
      <c r="S2370" s="4" t="s">
        <v>63</v>
      </c>
      <c r="T2370" s="4" t="s">
        <v>63</v>
      </c>
      <c r="U2370" s="4"/>
      <c r="V2370" s="4"/>
      <c r="W2370" s="4"/>
      <c r="X2370" s="4" t="s">
        <v>63</v>
      </c>
      <c r="Y2370" s="5">
        <v>25658</v>
      </c>
      <c r="Z2370" s="4" t="s">
        <v>63</v>
      </c>
      <c r="AA2370" s="4" t="s">
        <v>63</v>
      </c>
      <c r="AB2370" s="4" t="s">
        <v>63</v>
      </c>
      <c r="AC2370" s="4" t="s">
        <v>67</v>
      </c>
      <c r="AD2370" s="4" t="s">
        <v>63</v>
      </c>
      <c r="AE2370" s="4" t="s">
        <v>63</v>
      </c>
      <c r="AF2370" s="4" t="s">
        <v>63</v>
      </c>
      <c r="AG2370" s="4" t="s">
        <v>63</v>
      </c>
      <c r="AH2370" s="4" t="s">
        <v>63</v>
      </c>
      <c r="AI2370" s="4" t="s">
        <v>19985</v>
      </c>
      <c r="AJ2370" s="4" t="s">
        <v>63</v>
      </c>
      <c r="AK2370" s="4" t="s">
        <v>63</v>
      </c>
      <c r="AL2370" s="4" t="s">
        <v>63</v>
      </c>
      <c r="AM2370" s="4" t="s">
        <v>19987</v>
      </c>
      <c r="AN2370" s="4" t="s">
        <v>63</v>
      </c>
      <c r="AO2370" s="4" t="s">
        <v>63</v>
      </c>
      <c r="AP2370" s="4" t="s">
        <v>63</v>
      </c>
      <c r="AQ2370" s="4" t="s">
        <v>63</v>
      </c>
      <c r="AR2370" s="4" t="s">
        <v>63</v>
      </c>
      <c r="AS2370" s="4" t="s">
        <v>63</v>
      </c>
      <c r="AT2370" s="4" t="s">
        <v>63</v>
      </c>
      <c r="AU2370" s="4" t="s">
        <v>63</v>
      </c>
      <c r="AV2370" s="4" t="s">
        <v>63</v>
      </c>
      <c r="AW2370" s="4" t="s">
        <v>63</v>
      </c>
      <c r="AX2370" s="4" t="s">
        <v>63</v>
      </c>
      <c r="AY2370" s="4" t="s">
        <v>63</v>
      </c>
      <c r="AZ2370" s="4" t="s">
        <v>63</v>
      </c>
      <c r="BA2370" s="4" t="s">
        <v>63</v>
      </c>
      <c r="BB2370" s="4" t="s">
        <v>63</v>
      </c>
      <c r="BC2370" s="4" t="s">
        <v>63</v>
      </c>
      <c r="BD2370" s="4" t="s">
        <v>63</v>
      </c>
      <c r="BE2370" s="4" t="s">
        <v>63</v>
      </c>
      <c r="BF2370" s="4" t="s">
        <v>63</v>
      </c>
    </row>
    <row r="2371" spans="1:58">
      <c r="A2371" s="4" t="s">
        <v>58</v>
      </c>
      <c r="B2371" s="4" t="s">
        <v>19991</v>
      </c>
      <c r="C2371" s="4" t="s">
        <v>19992</v>
      </c>
      <c r="D2371" s="4" t="s">
        <v>11901</v>
      </c>
      <c r="E2371" s="4" t="s">
        <v>63</v>
      </c>
      <c r="F2371" s="4">
        <v>2013</v>
      </c>
      <c r="G2371" s="4" t="s">
        <v>15508</v>
      </c>
      <c r="H2371" s="4" t="s">
        <v>19172</v>
      </c>
      <c r="I2371" s="4" t="s">
        <v>63</v>
      </c>
      <c r="J2371" s="4" t="s">
        <v>18164</v>
      </c>
      <c r="K2371" s="4" t="s">
        <v>63</v>
      </c>
      <c r="L2371" s="4" t="s">
        <v>19993</v>
      </c>
      <c r="M2371" s="4" t="s">
        <v>19994</v>
      </c>
      <c r="N2371" s="4" t="s">
        <v>19995</v>
      </c>
      <c r="O2371" s="4" t="s">
        <v>63</v>
      </c>
      <c r="P2371" s="4"/>
      <c r="Q2371" s="4" t="s">
        <v>63</v>
      </c>
      <c r="R2371" s="4" t="s">
        <v>63</v>
      </c>
      <c r="S2371" s="4" t="s">
        <v>63</v>
      </c>
      <c r="T2371" s="4" t="s">
        <v>63</v>
      </c>
      <c r="U2371" s="4"/>
      <c r="V2371" s="4"/>
      <c r="W2371" s="4"/>
      <c r="X2371" s="4" t="s">
        <v>63</v>
      </c>
      <c r="Y2371" s="4" t="s">
        <v>11904</v>
      </c>
      <c r="Z2371" s="4" t="s">
        <v>63</v>
      </c>
      <c r="AA2371" s="4" t="s">
        <v>63</v>
      </c>
      <c r="AB2371" s="4" t="s">
        <v>63</v>
      </c>
      <c r="AC2371" s="4" t="s">
        <v>67</v>
      </c>
      <c r="AD2371" s="4" t="s">
        <v>63</v>
      </c>
      <c r="AE2371" s="4" t="s">
        <v>63</v>
      </c>
      <c r="AF2371" s="4" t="s">
        <v>63</v>
      </c>
      <c r="AG2371" s="4" t="s">
        <v>63</v>
      </c>
      <c r="AH2371" s="4" t="s">
        <v>63</v>
      </c>
      <c r="AI2371" s="4" t="s">
        <v>63</v>
      </c>
      <c r="AJ2371" s="4" t="s">
        <v>63</v>
      </c>
      <c r="AK2371" s="4" t="s">
        <v>63</v>
      </c>
      <c r="AL2371" s="4" t="s">
        <v>63</v>
      </c>
      <c r="AM2371" s="4" t="s">
        <v>19992</v>
      </c>
      <c r="AN2371" s="4" t="s">
        <v>63</v>
      </c>
      <c r="AO2371" s="4" t="s">
        <v>63</v>
      </c>
      <c r="AP2371" s="4" t="s">
        <v>63</v>
      </c>
      <c r="AQ2371" s="4" t="s">
        <v>63</v>
      </c>
      <c r="AR2371" s="4" t="s">
        <v>63</v>
      </c>
      <c r="AS2371" s="4" t="s">
        <v>63</v>
      </c>
      <c r="AT2371" s="4" t="s">
        <v>63</v>
      </c>
      <c r="AU2371" s="4" t="s">
        <v>63</v>
      </c>
      <c r="AV2371" s="4" t="s">
        <v>63</v>
      </c>
      <c r="AW2371" s="4" t="s">
        <v>63</v>
      </c>
      <c r="AX2371" s="4" t="s">
        <v>63</v>
      </c>
      <c r="AY2371" s="4" t="s">
        <v>63</v>
      </c>
      <c r="AZ2371" s="4" t="s">
        <v>63</v>
      </c>
      <c r="BA2371" s="4" t="s">
        <v>63</v>
      </c>
      <c r="BB2371" s="4" t="s">
        <v>63</v>
      </c>
      <c r="BC2371" s="4" t="s">
        <v>63</v>
      </c>
      <c r="BD2371" s="4" t="s">
        <v>63</v>
      </c>
      <c r="BE2371" s="4" t="s">
        <v>63</v>
      </c>
      <c r="BF2371" s="4" t="s">
        <v>63</v>
      </c>
    </row>
    <row r="2372" spans="1:58">
      <c r="A2372" s="4" t="s">
        <v>58</v>
      </c>
      <c r="B2372" s="4" t="s">
        <v>19996</v>
      </c>
      <c r="C2372" s="4" t="s">
        <v>19997</v>
      </c>
      <c r="D2372" s="4" t="s">
        <v>16880</v>
      </c>
      <c r="E2372" s="4" t="s">
        <v>16881</v>
      </c>
      <c r="F2372" s="4">
        <v>2014</v>
      </c>
      <c r="G2372" s="4" t="s">
        <v>16882</v>
      </c>
      <c r="H2372" s="4">
        <v>39</v>
      </c>
      <c r="I2372" s="4">
        <v>5</v>
      </c>
      <c r="J2372" s="4" t="s">
        <v>19998</v>
      </c>
      <c r="K2372" s="4" t="s">
        <v>16073</v>
      </c>
      <c r="L2372" s="4" t="s">
        <v>19999</v>
      </c>
      <c r="M2372" s="4" t="s">
        <v>20000</v>
      </c>
      <c r="N2372" s="4" t="s">
        <v>20001</v>
      </c>
      <c r="O2372" s="4" t="s">
        <v>63</v>
      </c>
      <c r="P2372" s="4"/>
      <c r="Q2372" s="4" t="s">
        <v>63</v>
      </c>
      <c r="R2372" s="4" t="s">
        <v>63</v>
      </c>
      <c r="S2372" s="4" t="s">
        <v>63</v>
      </c>
      <c r="T2372" s="4" t="s">
        <v>63</v>
      </c>
      <c r="U2372" s="4"/>
      <c r="V2372" s="4"/>
      <c r="W2372" s="4"/>
      <c r="X2372" s="4" t="s">
        <v>63</v>
      </c>
      <c r="Y2372" s="4" t="s">
        <v>16888</v>
      </c>
      <c r="Z2372" s="4" t="s">
        <v>63</v>
      </c>
      <c r="AA2372" s="4" t="s">
        <v>63</v>
      </c>
      <c r="AB2372" s="4" t="s">
        <v>63</v>
      </c>
      <c r="AC2372" s="4" t="s">
        <v>67</v>
      </c>
      <c r="AD2372" s="4" t="s">
        <v>63</v>
      </c>
      <c r="AE2372" s="4" t="s">
        <v>63</v>
      </c>
      <c r="AF2372" s="4" t="s">
        <v>63</v>
      </c>
      <c r="AG2372" s="4" t="s">
        <v>63</v>
      </c>
      <c r="AH2372" s="4" t="s">
        <v>63</v>
      </c>
      <c r="AI2372" s="4" t="s">
        <v>20002</v>
      </c>
      <c r="AJ2372" s="4" t="s">
        <v>63</v>
      </c>
      <c r="AK2372" s="4" t="s">
        <v>63</v>
      </c>
      <c r="AL2372" s="4" t="s">
        <v>63</v>
      </c>
      <c r="AM2372" s="4" t="s">
        <v>19997</v>
      </c>
      <c r="AN2372" s="4" t="s">
        <v>63</v>
      </c>
      <c r="AO2372" s="4" t="s">
        <v>63</v>
      </c>
      <c r="AP2372" s="4" t="s">
        <v>63</v>
      </c>
      <c r="AQ2372" s="4" t="s">
        <v>63</v>
      </c>
      <c r="AR2372" s="4" t="s">
        <v>63</v>
      </c>
      <c r="AS2372" s="4" t="s">
        <v>63</v>
      </c>
      <c r="AT2372" s="4" t="s">
        <v>63</v>
      </c>
      <c r="AU2372" s="4" t="s">
        <v>63</v>
      </c>
      <c r="AV2372" s="4" t="s">
        <v>63</v>
      </c>
      <c r="AW2372" s="4" t="s">
        <v>63</v>
      </c>
      <c r="AX2372" s="4" t="s">
        <v>63</v>
      </c>
      <c r="AY2372" s="4" t="s">
        <v>63</v>
      </c>
      <c r="AZ2372" s="4" t="s">
        <v>63</v>
      </c>
      <c r="BA2372" s="4" t="s">
        <v>63</v>
      </c>
      <c r="BB2372" s="4" t="s">
        <v>63</v>
      </c>
      <c r="BC2372" s="4" t="s">
        <v>63</v>
      </c>
      <c r="BD2372" s="4" t="s">
        <v>63</v>
      </c>
      <c r="BE2372" s="4" t="s">
        <v>63</v>
      </c>
      <c r="BF2372" s="4" t="s">
        <v>63</v>
      </c>
    </row>
    <row r="2373" spans="1:58">
      <c r="A2373" s="4" t="s">
        <v>58</v>
      </c>
      <c r="B2373" s="4" t="s">
        <v>20003</v>
      </c>
      <c r="C2373" s="4" t="s">
        <v>20004</v>
      </c>
      <c r="D2373" s="4" t="s">
        <v>5446</v>
      </c>
      <c r="E2373" s="4" t="s">
        <v>5447</v>
      </c>
      <c r="F2373" s="4">
        <v>2012</v>
      </c>
      <c r="G2373" s="4" t="s">
        <v>16091</v>
      </c>
      <c r="H2373" s="4">
        <v>32</v>
      </c>
      <c r="I2373" s="4">
        <v>8</v>
      </c>
      <c r="J2373" s="4">
        <v>862</v>
      </c>
      <c r="K2373" s="4">
        <v>867</v>
      </c>
      <c r="L2373" s="4" t="s">
        <v>20005</v>
      </c>
      <c r="M2373" s="4" t="s">
        <v>20006</v>
      </c>
      <c r="N2373" s="4" t="s">
        <v>20007</v>
      </c>
      <c r="O2373" s="4" t="s">
        <v>63</v>
      </c>
      <c r="P2373" s="4"/>
      <c r="Q2373" s="4" t="s">
        <v>63</v>
      </c>
      <c r="R2373" s="4" t="s">
        <v>63</v>
      </c>
      <c r="S2373" s="4" t="s">
        <v>63</v>
      </c>
      <c r="T2373" s="4" t="s">
        <v>63</v>
      </c>
      <c r="U2373" s="4"/>
      <c r="V2373" s="4"/>
      <c r="W2373" s="4"/>
      <c r="X2373" s="4" t="s">
        <v>63</v>
      </c>
      <c r="Y2373" s="4" t="s">
        <v>20008</v>
      </c>
      <c r="Z2373" s="4" t="s">
        <v>63</v>
      </c>
      <c r="AA2373" s="4" t="s">
        <v>63</v>
      </c>
      <c r="AB2373" s="4" t="s">
        <v>63</v>
      </c>
      <c r="AC2373" s="4" t="s">
        <v>67</v>
      </c>
      <c r="AD2373" s="4" t="s">
        <v>63</v>
      </c>
      <c r="AE2373" s="4" t="s">
        <v>63</v>
      </c>
      <c r="AF2373" s="4" t="s">
        <v>63</v>
      </c>
      <c r="AG2373" s="4" t="s">
        <v>20009</v>
      </c>
      <c r="AH2373" s="4" t="s">
        <v>63</v>
      </c>
      <c r="AI2373" s="4" t="s">
        <v>20010</v>
      </c>
      <c r="AJ2373" s="4" t="s">
        <v>63</v>
      </c>
      <c r="AK2373" s="4" t="s">
        <v>63</v>
      </c>
      <c r="AL2373" s="4" t="s">
        <v>63</v>
      </c>
      <c r="AM2373" s="4" t="s">
        <v>20011</v>
      </c>
      <c r="AN2373" s="4" t="s">
        <v>63</v>
      </c>
      <c r="AO2373" s="4" t="s">
        <v>63</v>
      </c>
      <c r="AP2373" s="4" t="s">
        <v>63</v>
      </c>
      <c r="AQ2373" s="4" t="s">
        <v>63</v>
      </c>
      <c r="AR2373" s="4" t="s">
        <v>63</v>
      </c>
      <c r="AS2373" s="4" t="s">
        <v>63</v>
      </c>
      <c r="AT2373" s="4" t="s">
        <v>63</v>
      </c>
      <c r="AU2373" s="4" t="s">
        <v>63</v>
      </c>
      <c r="AV2373" s="4" t="s">
        <v>63</v>
      </c>
      <c r="AW2373" s="4" t="s">
        <v>63</v>
      </c>
      <c r="AX2373" s="4" t="s">
        <v>63</v>
      </c>
      <c r="AY2373" s="4" t="s">
        <v>63</v>
      </c>
      <c r="AZ2373" s="4" t="s">
        <v>63</v>
      </c>
      <c r="BA2373" s="4" t="s">
        <v>63</v>
      </c>
      <c r="BB2373" s="4" t="s">
        <v>63</v>
      </c>
      <c r="BC2373" s="4" t="s">
        <v>63</v>
      </c>
      <c r="BD2373" s="4" t="s">
        <v>63</v>
      </c>
      <c r="BE2373" s="4" t="s">
        <v>63</v>
      </c>
      <c r="BF2373" s="4" t="s">
        <v>63</v>
      </c>
    </row>
    <row r="2374" spans="1:58">
      <c r="A2374" s="4" t="s">
        <v>58</v>
      </c>
      <c r="B2374" s="4" t="s">
        <v>20012</v>
      </c>
      <c r="C2374" s="4" t="s">
        <v>20013</v>
      </c>
      <c r="D2374" s="4" t="s">
        <v>15421</v>
      </c>
      <c r="E2374" s="4" t="s">
        <v>63</v>
      </c>
      <c r="F2374" s="4">
        <v>2013</v>
      </c>
      <c r="G2374" s="4" t="s">
        <v>63</v>
      </c>
      <c r="H2374" s="4">
        <v>34</v>
      </c>
      <c r="I2374" s="4">
        <v>2</v>
      </c>
      <c r="J2374" s="4">
        <v>188</v>
      </c>
      <c r="K2374" s="4">
        <v>207</v>
      </c>
      <c r="L2374" s="4" t="s">
        <v>20014</v>
      </c>
      <c r="M2374" s="4" t="s">
        <v>20015</v>
      </c>
      <c r="N2374" s="4" t="s">
        <v>20016</v>
      </c>
      <c r="O2374" s="4" t="s">
        <v>63</v>
      </c>
      <c r="P2374" s="4"/>
      <c r="Q2374" s="4" t="s">
        <v>63</v>
      </c>
      <c r="R2374" s="4" t="s">
        <v>63</v>
      </c>
      <c r="S2374" s="4" t="s">
        <v>63</v>
      </c>
      <c r="T2374" s="4" t="s">
        <v>63</v>
      </c>
      <c r="U2374" s="4"/>
      <c r="V2374" s="4"/>
      <c r="W2374" s="4"/>
      <c r="X2374" s="4" t="s">
        <v>63</v>
      </c>
      <c r="Y2374" s="4" t="s">
        <v>15425</v>
      </c>
      <c r="Z2374" s="4" t="s">
        <v>63</v>
      </c>
      <c r="AA2374" s="4" t="s">
        <v>63</v>
      </c>
      <c r="AB2374" s="4" t="s">
        <v>63</v>
      </c>
      <c r="AC2374" s="4" t="s">
        <v>67</v>
      </c>
      <c r="AD2374" s="4" t="s">
        <v>63</v>
      </c>
      <c r="AE2374" s="4" t="s">
        <v>63</v>
      </c>
      <c r="AF2374" s="4" t="s">
        <v>63</v>
      </c>
      <c r="AG2374" s="4" t="s">
        <v>20017</v>
      </c>
      <c r="AH2374" s="4" t="s">
        <v>63</v>
      </c>
      <c r="AI2374" s="4" t="s">
        <v>20018</v>
      </c>
      <c r="AJ2374" s="4" t="s">
        <v>63</v>
      </c>
      <c r="AK2374" s="4" t="s">
        <v>63</v>
      </c>
      <c r="AL2374" s="4" t="s">
        <v>63</v>
      </c>
      <c r="AM2374" s="4" t="s">
        <v>20019</v>
      </c>
      <c r="AN2374" s="4" t="s">
        <v>63</v>
      </c>
      <c r="AO2374" s="4" t="s">
        <v>63</v>
      </c>
      <c r="AP2374" s="4" t="s">
        <v>63</v>
      </c>
      <c r="AQ2374" s="4" t="s">
        <v>63</v>
      </c>
      <c r="AR2374" s="4" t="s">
        <v>63</v>
      </c>
      <c r="AS2374" s="4" t="s">
        <v>63</v>
      </c>
      <c r="AT2374" s="4" t="s">
        <v>63</v>
      </c>
      <c r="AU2374" s="4" t="s">
        <v>63</v>
      </c>
      <c r="AV2374" s="4" t="s">
        <v>63</v>
      </c>
      <c r="AW2374" s="4" t="s">
        <v>63</v>
      </c>
      <c r="AX2374" s="4" t="s">
        <v>63</v>
      </c>
      <c r="AY2374" s="4" t="s">
        <v>63</v>
      </c>
      <c r="AZ2374" s="4" t="s">
        <v>63</v>
      </c>
      <c r="BA2374" s="4" t="s">
        <v>63</v>
      </c>
      <c r="BB2374" s="4" t="s">
        <v>63</v>
      </c>
      <c r="BC2374" s="4" t="s">
        <v>63</v>
      </c>
      <c r="BD2374" s="4" t="s">
        <v>63</v>
      </c>
      <c r="BE2374" s="4" t="s">
        <v>63</v>
      </c>
      <c r="BF2374" s="4" t="s">
        <v>63</v>
      </c>
    </row>
    <row r="2375" spans="1:58">
      <c r="A2375" s="4" t="s">
        <v>58</v>
      </c>
      <c r="B2375" s="4" t="s">
        <v>20020</v>
      </c>
      <c r="C2375" s="4" t="s">
        <v>20021</v>
      </c>
      <c r="D2375" s="4" t="s">
        <v>15713</v>
      </c>
      <c r="E2375" s="4" t="s">
        <v>15714</v>
      </c>
      <c r="F2375" s="4">
        <v>2018</v>
      </c>
      <c r="G2375" s="4">
        <v>4</v>
      </c>
      <c r="H2375" s="4">
        <v>23</v>
      </c>
      <c r="I2375" s="4">
        <v>3</v>
      </c>
      <c r="J2375" s="4">
        <v>262</v>
      </c>
      <c r="K2375" s="4">
        <v>267</v>
      </c>
      <c r="L2375" s="4" t="s">
        <v>20022</v>
      </c>
      <c r="M2375" s="4" t="s">
        <v>20023</v>
      </c>
      <c r="N2375" s="4" t="s">
        <v>20024</v>
      </c>
      <c r="O2375" s="4" t="s">
        <v>63</v>
      </c>
      <c r="P2375" s="4"/>
      <c r="Q2375" s="4" t="s">
        <v>63</v>
      </c>
      <c r="R2375" s="4" t="s">
        <v>63</v>
      </c>
      <c r="S2375" s="4" t="s">
        <v>63</v>
      </c>
      <c r="T2375" s="4" t="s">
        <v>63</v>
      </c>
      <c r="U2375" s="4"/>
      <c r="V2375" s="4"/>
      <c r="W2375" s="4"/>
      <c r="X2375" s="4" t="s">
        <v>63</v>
      </c>
      <c r="Y2375" s="4" t="s">
        <v>20025</v>
      </c>
      <c r="Z2375" s="4" t="s">
        <v>63</v>
      </c>
      <c r="AA2375" s="4" t="s">
        <v>63</v>
      </c>
      <c r="AB2375" s="4" t="s">
        <v>20026</v>
      </c>
      <c r="AC2375" s="4" t="s">
        <v>67</v>
      </c>
      <c r="AD2375" s="4" t="s">
        <v>63</v>
      </c>
      <c r="AE2375" s="4" t="s">
        <v>63</v>
      </c>
      <c r="AF2375" s="4" t="s">
        <v>63</v>
      </c>
      <c r="AG2375" s="4" t="s">
        <v>63</v>
      </c>
      <c r="AH2375" s="4" t="s">
        <v>63</v>
      </c>
      <c r="AI2375" s="4" t="s">
        <v>20027</v>
      </c>
      <c r="AJ2375" s="4" t="s">
        <v>63</v>
      </c>
      <c r="AK2375" s="4" t="s">
        <v>63</v>
      </c>
      <c r="AL2375" s="4" t="s">
        <v>63</v>
      </c>
      <c r="AM2375" s="4" t="s">
        <v>20021</v>
      </c>
      <c r="AN2375" s="4" t="s">
        <v>63</v>
      </c>
      <c r="AO2375" s="4" t="s">
        <v>63</v>
      </c>
      <c r="AP2375" s="4" t="s">
        <v>63</v>
      </c>
      <c r="AQ2375" s="4" t="s">
        <v>63</v>
      </c>
      <c r="AR2375" s="4" t="s">
        <v>63</v>
      </c>
      <c r="AS2375" s="4" t="s">
        <v>63</v>
      </c>
      <c r="AT2375" s="4" t="s">
        <v>63</v>
      </c>
      <c r="AU2375" s="4" t="s">
        <v>63</v>
      </c>
      <c r="AV2375" s="4" t="s">
        <v>63</v>
      </c>
      <c r="AW2375" s="4" t="s">
        <v>63</v>
      </c>
      <c r="AX2375" s="4" t="s">
        <v>63</v>
      </c>
      <c r="AY2375" s="4" t="s">
        <v>63</v>
      </c>
      <c r="AZ2375" s="4" t="s">
        <v>63</v>
      </c>
      <c r="BA2375" s="4" t="s">
        <v>63</v>
      </c>
      <c r="BB2375" s="4" t="s">
        <v>63</v>
      </c>
      <c r="BC2375" s="4" t="s">
        <v>63</v>
      </c>
      <c r="BD2375" s="4" t="s">
        <v>63</v>
      </c>
      <c r="BE2375" s="4" t="s">
        <v>63</v>
      </c>
      <c r="BF2375" s="4" t="s">
        <v>63</v>
      </c>
    </row>
    <row r="2376" spans="1:58">
      <c r="A2376" s="4" t="s">
        <v>58</v>
      </c>
      <c r="B2376" s="4" t="s">
        <v>20028</v>
      </c>
      <c r="C2376" s="4" t="s">
        <v>20029</v>
      </c>
      <c r="D2376" s="4" t="s">
        <v>11901</v>
      </c>
      <c r="E2376" s="4" t="s">
        <v>63</v>
      </c>
      <c r="F2376" s="4">
        <v>2016</v>
      </c>
      <c r="G2376" s="4">
        <v>1</v>
      </c>
      <c r="H2376" s="4">
        <v>58</v>
      </c>
      <c r="I2376" s="4">
        <v>5</v>
      </c>
      <c r="J2376" s="4" t="s">
        <v>20030</v>
      </c>
      <c r="K2376" s="4" t="s">
        <v>15614</v>
      </c>
      <c r="L2376" s="4" t="s">
        <v>20031</v>
      </c>
      <c r="M2376" s="4" t="s">
        <v>20032</v>
      </c>
      <c r="N2376" s="4" t="s">
        <v>20033</v>
      </c>
      <c r="O2376" s="4" t="s">
        <v>63</v>
      </c>
      <c r="P2376" s="4"/>
      <c r="Q2376" s="4" t="s">
        <v>63</v>
      </c>
      <c r="R2376" s="4" t="s">
        <v>63</v>
      </c>
      <c r="S2376" s="4" t="s">
        <v>63</v>
      </c>
      <c r="T2376" s="4" t="s">
        <v>63</v>
      </c>
      <c r="U2376" s="4"/>
      <c r="V2376" s="4"/>
      <c r="W2376" s="4"/>
      <c r="X2376" s="4" t="s">
        <v>63</v>
      </c>
      <c r="Y2376" s="4" t="s">
        <v>15618</v>
      </c>
      <c r="Z2376" s="4" t="s">
        <v>63</v>
      </c>
      <c r="AA2376" s="4" t="s">
        <v>63</v>
      </c>
      <c r="AB2376" s="4" t="s">
        <v>63</v>
      </c>
      <c r="AC2376" s="4" t="s">
        <v>67</v>
      </c>
      <c r="AD2376" s="4" t="s">
        <v>63</v>
      </c>
      <c r="AE2376" s="4" t="s">
        <v>63</v>
      </c>
      <c r="AF2376" s="4" t="s">
        <v>63</v>
      </c>
      <c r="AG2376" s="4" t="s">
        <v>63</v>
      </c>
      <c r="AH2376" s="4" t="s">
        <v>63</v>
      </c>
      <c r="AI2376" s="4" t="s">
        <v>63</v>
      </c>
      <c r="AJ2376" s="4" t="s">
        <v>63</v>
      </c>
      <c r="AK2376" s="4" t="s">
        <v>63</v>
      </c>
      <c r="AL2376" s="4" t="s">
        <v>63</v>
      </c>
      <c r="AM2376" s="4" t="s">
        <v>20029</v>
      </c>
      <c r="AN2376" s="4" t="s">
        <v>63</v>
      </c>
      <c r="AO2376" s="4" t="s">
        <v>63</v>
      </c>
      <c r="AP2376" s="4" t="s">
        <v>63</v>
      </c>
      <c r="AQ2376" s="4" t="s">
        <v>63</v>
      </c>
      <c r="AR2376" s="4" t="s">
        <v>63</v>
      </c>
      <c r="AS2376" s="4" t="s">
        <v>63</v>
      </c>
      <c r="AT2376" s="4" t="s">
        <v>63</v>
      </c>
      <c r="AU2376" s="4" t="s">
        <v>63</v>
      </c>
      <c r="AV2376" s="4" t="s">
        <v>63</v>
      </c>
      <c r="AW2376" s="4" t="s">
        <v>63</v>
      </c>
      <c r="AX2376" s="4" t="s">
        <v>63</v>
      </c>
      <c r="AY2376" s="4" t="s">
        <v>63</v>
      </c>
      <c r="AZ2376" s="4" t="s">
        <v>63</v>
      </c>
      <c r="BA2376" s="4" t="s">
        <v>63</v>
      </c>
      <c r="BB2376" s="4" t="s">
        <v>63</v>
      </c>
      <c r="BC2376" s="4" t="s">
        <v>63</v>
      </c>
      <c r="BD2376" s="4" t="s">
        <v>63</v>
      </c>
      <c r="BE2376" s="4" t="s">
        <v>63</v>
      </c>
      <c r="BF2376" s="4" t="s">
        <v>63</v>
      </c>
    </row>
    <row r="2377" spans="1:58">
      <c r="A2377" s="4" t="s">
        <v>58</v>
      </c>
      <c r="B2377" s="4" t="s">
        <v>20034</v>
      </c>
      <c r="C2377" s="4" t="s">
        <v>20035</v>
      </c>
      <c r="D2377" s="4" t="s">
        <v>5037</v>
      </c>
      <c r="E2377" s="4" t="s">
        <v>5038</v>
      </c>
      <c r="F2377" s="4">
        <v>2004</v>
      </c>
      <c r="G2377" s="4" t="s">
        <v>614</v>
      </c>
      <c r="H2377" s="4">
        <v>94</v>
      </c>
      <c r="I2377" s="4">
        <v>8</v>
      </c>
      <c r="J2377" s="4">
        <v>1300</v>
      </c>
      <c r="K2377" s="4">
        <v>1302</v>
      </c>
      <c r="L2377" s="4" t="s">
        <v>20036</v>
      </c>
      <c r="M2377" s="4" t="s">
        <v>63</v>
      </c>
      <c r="N2377" s="4" t="s">
        <v>20037</v>
      </c>
      <c r="O2377" s="4" t="s">
        <v>63</v>
      </c>
      <c r="P2377" s="4"/>
      <c r="Q2377" s="4" t="s">
        <v>63</v>
      </c>
      <c r="R2377" s="4" t="s">
        <v>63</v>
      </c>
      <c r="S2377" s="4" t="s">
        <v>63</v>
      </c>
      <c r="T2377" s="4" t="s">
        <v>63</v>
      </c>
      <c r="U2377" s="4"/>
      <c r="V2377" s="4"/>
      <c r="W2377" s="4"/>
      <c r="X2377" s="4" t="s">
        <v>63</v>
      </c>
      <c r="Y2377" s="4" t="s">
        <v>5042</v>
      </c>
      <c r="Z2377" s="4" t="s">
        <v>63</v>
      </c>
      <c r="AA2377" s="4" t="s">
        <v>63</v>
      </c>
      <c r="AB2377" s="4" t="s">
        <v>63</v>
      </c>
      <c r="AC2377" s="4" t="s">
        <v>67</v>
      </c>
      <c r="AD2377" s="4" t="s">
        <v>63</v>
      </c>
      <c r="AE2377" s="4" t="s">
        <v>63</v>
      </c>
      <c r="AF2377" s="4" t="s">
        <v>63</v>
      </c>
      <c r="AG2377" s="4" t="s">
        <v>20038</v>
      </c>
      <c r="AH2377" s="4" t="s">
        <v>63</v>
      </c>
      <c r="AI2377" s="4" t="s">
        <v>63</v>
      </c>
      <c r="AJ2377" s="4" t="s">
        <v>63</v>
      </c>
      <c r="AK2377" s="4" t="s">
        <v>63</v>
      </c>
      <c r="AL2377" s="4" t="s">
        <v>63</v>
      </c>
      <c r="AM2377" s="4" t="s">
        <v>20039</v>
      </c>
      <c r="AN2377" s="4" t="s">
        <v>63</v>
      </c>
      <c r="AO2377" s="4" t="s">
        <v>63</v>
      </c>
      <c r="AP2377" s="4" t="s">
        <v>63</v>
      </c>
      <c r="AQ2377" s="4" t="s">
        <v>63</v>
      </c>
      <c r="AR2377" s="4" t="s">
        <v>63</v>
      </c>
      <c r="AS2377" s="4" t="s">
        <v>63</v>
      </c>
      <c r="AT2377" s="4" t="s">
        <v>63</v>
      </c>
      <c r="AU2377" s="4" t="s">
        <v>63</v>
      </c>
      <c r="AV2377" s="4" t="s">
        <v>63</v>
      </c>
      <c r="AW2377" s="4" t="s">
        <v>63</v>
      </c>
      <c r="AX2377" s="4" t="s">
        <v>63</v>
      </c>
      <c r="AY2377" s="4" t="s">
        <v>63</v>
      </c>
      <c r="AZ2377" s="4" t="s">
        <v>63</v>
      </c>
      <c r="BA2377" s="4" t="s">
        <v>63</v>
      </c>
      <c r="BB2377" s="4" t="s">
        <v>63</v>
      </c>
      <c r="BC2377" s="4" t="s">
        <v>63</v>
      </c>
      <c r="BD2377" s="4" t="s">
        <v>63</v>
      </c>
      <c r="BE2377" s="4" t="s">
        <v>63</v>
      </c>
      <c r="BF2377" s="4" t="s">
        <v>63</v>
      </c>
    </row>
    <row r="2378" spans="1:58">
      <c r="A2378" s="4" t="s">
        <v>58</v>
      </c>
      <c r="B2378" s="4" t="s">
        <v>20040</v>
      </c>
      <c r="C2378" s="4" t="s">
        <v>20041</v>
      </c>
      <c r="D2378" s="4" t="s">
        <v>1406</v>
      </c>
      <c r="E2378" s="4" t="s">
        <v>1407</v>
      </c>
      <c r="F2378" s="4">
        <v>2004</v>
      </c>
      <c r="G2378" s="4" t="s">
        <v>181</v>
      </c>
      <c r="H2378" s="4">
        <v>104</v>
      </c>
      <c r="I2378" s="4">
        <v>9</v>
      </c>
      <c r="J2378" s="4">
        <v>368</v>
      </c>
      <c r="K2378" s="4" t="s">
        <v>63</v>
      </c>
      <c r="L2378" s="4" t="s">
        <v>20042</v>
      </c>
      <c r="M2378" s="4" t="s">
        <v>63</v>
      </c>
      <c r="N2378" s="4" t="s">
        <v>20043</v>
      </c>
      <c r="O2378" s="4" t="s">
        <v>63</v>
      </c>
      <c r="P2378" s="4"/>
      <c r="Q2378" s="4" t="s">
        <v>63</v>
      </c>
      <c r="R2378" s="4" t="s">
        <v>63</v>
      </c>
      <c r="S2378" s="4" t="s">
        <v>63</v>
      </c>
      <c r="T2378" s="4" t="s">
        <v>63</v>
      </c>
      <c r="U2378" s="4"/>
      <c r="V2378" s="4"/>
      <c r="W2378" s="4"/>
      <c r="X2378" s="4" t="s">
        <v>63</v>
      </c>
      <c r="Y2378" s="4" t="s">
        <v>1411</v>
      </c>
      <c r="Z2378" s="4" t="s">
        <v>63</v>
      </c>
      <c r="AA2378" s="4" t="s">
        <v>63</v>
      </c>
      <c r="AB2378" s="4" t="s">
        <v>20044</v>
      </c>
      <c r="AC2378" s="4" t="s">
        <v>67</v>
      </c>
      <c r="AD2378" s="4" t="s">
        <v>63</v>
      </c>
      <c r="AE2378" s="4" t="s">
        <v>63</v>
      </c>
      <c r="AF2378" s="4" t="s">
        <v>63</v>
      </c>
      <c r="AG2378" s="4" t="s">
        <v>63</v>
      </c>
      <c r="AH2378" s="4" t="s">
        <v>63</v>
      </c>
      <c r="AI2378" s="4" t="s">
        <v>63</v>
      </c>
      <c r="AJ2378" s="4" t="s">
        <v>63</v>
      </c>
      <c r="AK2378" s="4" t="s">
        <v>63</v>
      </c>
      <c r="AL2378" s="4" t="s">
        <v>63</v>
      </c>
      <c r="AM2378" s="4" t="s">
        <v>20041</v>
      </c>
      <c r="AN2378" s="4" t="s">
        <v>63</v>
      </c>
      <c r="AO2378" s="4" t="s">
        <v>63</v>
      </c>
      <c r="AP2378" s="4" t="s">
        <v>63</v>
      </c>
      <c r="AQ2378" s="4" t="s">
        <v>63</v>
      </c>
      <c r="AR2378" s="4" t="s">
        <v>63</v>
      </c>
      <c r="AS2378" s="4" t="s">
        <v>63</v>
      </c>
      <c r="AT2378" s="4" t="s">
        <v>63</v>
      </c>
      <c r="AU2378" s="4" t="s">
        <v>63</v>
      </c>
      <c r="AV2378" s="4" t="s">
        <v>63</v>
      </c>
      <c r="AW2378" s="4" t="s">
        <v>63</v>
      </c>
      <c r="AX2378" s="4" t="s">
        <v>63</v>
      </c>
      <c r="AY2378" s="4" t="s">
        <v>63</v>
      </c>
      <c r="AZ2378" s="4" t="s">
        <v>63</v>
      </c>
      <c r="BA2378" s="4" t="s">
        <v>63</v>
      </c>
      <c r="BB2378" s="4" t="s">
        <v>63</v>
      </c>
      <c r="BC2378" s="4" t="s">
        <v>63</v>
      </c>
      <c r="BD2378" s="4" t="s">
        <v>63</v>
      </c>
      <c r="BE2378" s="4" t="s">
        <v>63</v>
      </c>
      <c r="BF2378" s="4" t="s">
        <v>63</v>
      </c>
    </row>
    <row r="2379" spans="1:58">
      <c r="A2379" s="4" t="s">
        <v>58</v>
      </c>
      <c r="B2379" s="4" t="s">
        <v>20045</v>
      </c>
      <c r="C2379" s="4" t="s">
        <v>20046</v>
      </c>
      <c r="D2379" s="4" t="s">
        <v>16357</v>
      </c>
      <c r="E2379" s="4" t="s">
        <v>16358</v>
      </c>
      <c r="F2379" s="4">
        <v>2014</v>
      </c>
      <c r="G2379" s="4" t="s">
        <v>189</v>
      </c>
      <c r="H2379" s="4" t="s">
        <v>20047</v>
      </c>
      <c r="I2379" s="4" t="s">
        <v>63</v>
      </c>
      <c r="J2379" s="4">
        <v>4</v>
      </c>
      <c r="K2379" s="4" t="s">
        <v>63</v>
      </c>
      <c r="L2379" s="4" t="s">
        <v>20048</v>
      </c>
      <c r="M2379" s="4" t="s">
        <v>20049</v>
      </c>
      <c r="N2379" s="4" t="s">
        <v>20050</v>
      </c>
      <c r="O2379" s="4" t="s">
        <v>63</v>
      </c>
      <c r="P2379" s="4"/>
      <c r="Q2379" s="4" t="s">
        <v>63</v>
      </c>
      <c r="R2379" s="4" t="s">
        <v>63</v>
      </c>
      <c r="S2379" s="4" t="s">
        <v>63</v>
      </c>
      <c r="T2379" s="4" t="s">
        <v>63</v>
      </c>
      <c r="U2379" s="4"/>
      <c r="V2379" s="4"/>
      <c r="W2379" s="4"/>
      <c r="X2379" s="4" t="s">
        <v>63</v>
      </c>
      <c r="Y2379" s="5">
        <v>25658</v>
      </c>
      <c r="Z2379" s="4" t="s">
        <v>63</v>
      </c>
      <c r="AA2379" s="4" t="s">
        <v>63</v>
      </c>
      <c r="AB2379" s="4" t="s">
        <v>63</v>
      </c>
      <c r="AC2379" s="4" t="s">
        <v>67</v>
      </c>
      <c r="AD2379" s="4" t="s">
        <v>63</v>
      </c>
      <c r="AE2379" s="4" t="s">
        <v>63</v>
      </c>
      <c r="AF2379" s="4" t="s">
        <v>63</v>
      </c>
      <c r="AG2379" s="4" t="s">
        <v>63</v>
      </c>
      <c r="AH2379" s="4" t="s">
        <v>63</v>
      </c>
      <c r="AI2379" s="4" t="s">
        <v>20051</v>
      </c>
      <c r="AJ2379" s="4" t="s">
        <v>63</v>
      </c>
      <c r="AK2379" s="4" t="s">
        <v>63</v>
      </c>
      <c r="AL2379" s="4" t="s">
        <v>63</v>
      </c>
      <c r="AM2379" s="4" t="s">
        <v>20046</v>
      </c>
      <c r="AN2379" s="4" t="s">
        <v>63</v>
      </c>
      <c r="AO2379" s="4" t="s">
        <v>63</v>
      </c>
      <c r="AP2379" s="4" t="s">
        <v>63</v>
      </c>
      <c r="AQ2379" s="4" t="s">
        <v>63</v>
      </c>
      <c r="AR2379" s="4" t="s">
        <v>63</v>
      </c>
      <c r="AS2379" s="4" t="s">
        <v>63</v>
      </c>
      <c r="AT2379" s="4" t="s">
        <v>63</v>
      </c>
      <c r="AU2379" s="4" t="s">
        <v>63</v>
      </c>
      <c r="AV2379" s="4" t="s">
        <v>63</v>
      </c>
      <c r="AW2379" s="4" t="s">
        <v>63</v>
      </c>
      <c r="AX2379" s="4" t="s">
        <v>63</v>
      </c>
      <c r="AY2379" s="4" t="s">
        <v>63</v>
      </c>
      <c r="AZ2379" s="4" t="s">
        <v>63</v>
      </c>
      <c r="BA2379" s="4" t="s">
        <v>63</v>
      </c>
      <c r="BB2379" s="4" t="s">
        <v>63</v>
      </c>
      <c r="BC2379" s="4" t="s">
        <v>63</v>
      </c>
      <c r="BD2379" s="4" t="s">
        <v>63</v>
      </c>
      <c r="BE2379" s="4" t="s">
        <v>63</v>
      </c>
      <c r="BF2379" s="4" t="s">
        <v>63</v>
      </c>
    </row>
    <row r="2380" spans="1:58">
      <c r="A2380" s="4" t="s">
        <v>58</v>
      </c>
      <c r="B2380" s="4" t="s">
        <v>20052</v>
      </c>
      <c r="C2380" s="4" t="s">
        <v>20053</v>
      </c>
      <c r="D2380" s="4" t="s">
        <v>15421</v>
      </c>
      <c r="E2380" s="4" t="s">
        <v>63</v>
      </c>
      <c r="F2380" s="4">
        <v>2011</v>
      </c>
      <c r="G2380" s="4" t="s">
        <v>1670</v>
      </c>
      <c r="H2380" s="4">
        <v>32</v>
      </c>
      <c r="I2380" s="4">
        <v>3</v>
      </c>
      <c r="J2380" s="4">
        <v>165</v>
      </c>
      <c r="K2380" s="4">
        <v>167</v>
      </c>
      <c r="L2380" s="4" t="s">
        <v>20054</v>
      </c>
      <c r="M2380" s="4" t="s">
        <v>63</v>
      </c>
      <c r="N2380" s="4" t="s">
        <v>20055</v>
      </c>
      <c r="O2380" s="4" t="s">
        <v>63</v>
      </c>
      <c r="P2380" s="4"/>
      <c r="Q2380" s="4" t="s">
        <v>63</v>
      </c>
      <c r="R2380" s="4" t="s">
        <v>63</v>
      </c>
      <c r="S2380" s="4" t="s">
        <v>63</v>
      </c>
      <c r="T2380" s="4" t="s">
        <v>63</v>
      </c>
      <c r="U2380" s="4"/>
      <c r="V2380" s="4"/>
      <c r="W2380" s="4"/>
      <c r="X2380" s="4" t="s">
        <v>63</v>
      </c>
      <c r="Y2380" s="4" t="s">
        <v>15425</v>
      </c>
      <c r="Z2380" s="4" t="s">
        <v>63</v>
      </c>
      <c r="AA2380" s="4" t="s">
        <v>63</v>
      </c>
      <c r="AB2380" s="4" t="s">
        <v>63</v>
      </c>
      <c r="AC2380" s="4" t="s">
        <v>67</v>
      </c>
      <c r="AD2380" s="4" t="s">
        <v>63</v>
      </c>
      <c r="AE2380" s="4" t="s">
        <v>63</v>
      </c>
      <c r="AF2380" s="4" t="s">
        <v>63</v>
      </c>
      <c r="AG2380" s="4" t="s">
        <v>20056</v>
      </c>
      <c r="AH2380" s="4" t="s">
        <v>63</v>
      </c>
      <c r="AI2380" s="4" t="s">
        <v>20057</v>
      </c>
      <c r="AJ2380" s="4" t="s">
        <v>63</v>
      </c>
      <c r="AK2380" s="4" t="s">
        <v>63</v>
      </c>
      <c r="AL2380" s="4" t="s">
        <v>63</v>
      </c>
      <c r="AM2380" s="4" t="s">
        <v>20058</v>
      </c>
      <c r="AN2380" s="4" t="s">
        <v>63</v>
      </c>
      <c r="AO2380" s="4" t="s">
        <v>63</v>
      </c>
      <c r="AP2380" s="4" t="s">
        <v>63</v>
      </c>
      <c r="AQ2380" s="4" t="s">
        <v>63</v>
      </c>
      <c r="AR2380" s="4" t="s">
        <v>63</v>
      </c>
      <c r="AS2380" s="4" t="s">
        <v>63</v>
      </c>
      <c r="AT2380" s="4" t="s">
        <v>63</v>
      </c>
      <c r="AU2380" s="4" t="s">
        <v>63</v>
      </c>
      <c r="AV2380" s="4" t="s">
        <v>63</v>
      </c>
      <c r="AW2380" s="4" t="s">
        <v>63</v>
      </c>
      <c r="AX2380" s="4" t="s">
        <v>63</v>
      </c>
      <c r="AY2380" s="4" t="s">
        <v>63</v>
      </c>
      <c r="AZ2380" s="4" t="s">
        <v>63</v>
      </c>
      <c r="BA2380" s="4" t="s">
        <v>63</v>
      </c>
      <c r="BB2380" s="4" t="s">
        <v>63</v>
      </c>
      <c r="BC2380" s="4" t="s">
        <v>63</v>
      </c>
      <c r="BD2380" s="4" t="s">
        <v>63</v>
      </c>
      <c r="BE2380" s="4" t="s">
        <v>63</v>
      </c>
      <c r="BF2380" s="4" t="s">
        <v>63</v>
      </c>
    </row>
    <row r="2381" spans="1:58">
      <c r="A2381" s="4" t="s">
        <v>58</v>
      </c>
      <c r="B2381" s="4" t="s">
        <v>20059</v>
      </c>
      <c r="C2381" s="4" t="s">
        <v>20060</v>
      </c>
      <c r="D2381" s="4" t="s">
        <v>371</v>
      </c>
      <c r="E2381" s="4" t="s">
        <v>63</v>
      </c>
      <c r="F2381" s="4">
        <v>2017</v>
      </c>
      <c r="G2381" s="4">
        <v>1</v>
      </c>
      <c r="H2381" s="4">
        <v>32</v>
      </c>
      <c r="I2381" s="4">
        <v>2</v>
      </c>
      <c r="J2381" s="4" t="s">
        <v>20061</v>
      </c>
      <c r="K2381" s="4" t="s">
        <v>63</v>
      </c>
      <c r="L2381" s="4" t="s">
        <v>20062</v>
      </c>
      <c r="M2381" s="4" t="s">
        <v>20063</v>
      </c>
      <c r="N2381" s="4" t="s">
        <v>20064</v>
      </c>
      <c r="O2381" s="4" t="s">
        <v>63</v>
      </c>
      <c r="P2381" s="4"/>
      <c r="Q2381" s="4" t="s">
        <v>63</v>
      </c>
      <c r="R2381" s="4" t="s">
        <v>63</v>
      </c>
      <c r="S2381" s="4" t="s">
        <v>63</v>
      </c>
      <c r="T2381" s="4" t="s">
        <v>63</v>
      </c>
      <c r="U2381" s="4"/>
      <c r="V2381" s="4"/>
      <c r="W2381" s="4"/>
      <c r="X2381" s="4" t="s">
        <v>63</v>
      </c>
      <c r="Y2381" s="4" t="s">
        <v>375</v>
      </c>
      <c r="Z2381" s="4" t="s">
        <v>63</v>
      </c>
      <c r="AA2381" s="4" t="s">
        <v>63</v>
      </c>
      <c r="AB2381" s="4" t="s">
        <v>63</v>
      </c>
      <c r="AC2381" s="4" t="s">
        <v>67</v>
      </c>
      <c r="AD2381" s="4" t="s">
        <v>63</v>
      </c>
      <c r="AE2381" s="4" t="s">
        <v>63</v>
      </c>
      <c r="AF2381" s="4" t="s">
        <v>63</v>
      </c>
      <c r="AG2381" s="4" t="s">
        <v>63</v>
      </c>
      <c r="AH2381" s="4" t="s">
        <v>63</v>
      </c>
      <c r="AI2381" s="4" t="s">
        <v>63</v>
      </c>
      <c r="AJ2381" s="4" t="s">
        <v>63</v>
      </c>
      <c r="AK2381" s="4" t="s">
        <v>63</v>
      </c>
      <c r="AL2381" s="4" t="s">
        <v>63</v>
      </c>
      <c r="AM2381" s="4" t="s">
        <v>20060</v>
      </c>
      <c r="AN2381" s="4" t="s">
        <v>63</v>
      </c>
      <c r="AO2381" s="4" t="s">
        <v>63</v>
      </c>
      <c r="AP2381" s="4" t="s">
        <v>63</v>
      </c>
      <c r="AQ2381" s="4" t="s">
        <v>63</v>
      </c>
      <c r="AR2381" s="4" t="s">
        <v>63</v>
      </c>
      <c r="AS2381" s="4" t="s">
        <v>63</v>
      </c>
      <c r="AT2381" s="4" t="s">
        <v>63</v>
      </c>
      <c r="AU2381" s="4" t="s">
        <v>63</v>
      </c>
      <c r="AV2381" s="4" t="s">
        <v>63</v>
      </c>
      <c r="AW2381" s="4" t="s">
        <v>63</v>
      </c>
      <c r="AX2381" s="4" t="s">
        <v>63</v>
      </c>
      <c r="AY2381" s="4" t="s">
        <v>63</v>
      </c>
      <c r="AZ2381" s="4" t="s">
        <v>63</v>
      </c>
      <c r="BA2381" s="4" t="s">
        <v>63</v>
      </c>
      <c r="BB2381" s="4" t="s">
        <v>63</v>
      </c>
      <c r="BC2381" s="4" t="s">
        <v>63</v>
      </c>
      <c r="BD2381" s="4" t="s">
        <v>63</v>
      </c>
      <c r="BE2381" s="4" t="s">
        <v>63</v>
      </c>
      <c r="BF2381" s="4" t="s">
        <v>63</v>
      </c>
    </row>
    <row r="2382" spans="1:58">
      <c r="A2382" s="4" t="s">
        <v>58</v>
      </c>
      <c r="B2382" s="4" t="s">
        <v>20065</v>
      </c>
      <c r="C2382" s="4" t="s">
        <v>20066</v>
      </c>
      <c r="D2382" s="4" t="s">
        <v>3638</v>
      </c>
      <c r="E2382" s="4" t="s">
        <v>3639</v>
      </c>
      <c r="F2382" s="4">
        <v>2012</v>
      </c>
      <c r="G2382" s="4" t="s">
        <v>15165</v>
      </c>
      <c r="H2382" s="4" t="s">
        <v>20067</v>
      </c>
      <c r="I2382" s="4" t="s">
        <v>63</v>
      </c>
      <c r="J2382" s="4" t="s">
        <v>19444</v>
      </c>
      <c r="K2382" s="4" t="s">
        <v>20068</v>
      </c>
      <c r="L2382" s="4" t="s">
        <v>20069</v>
      </c>
      <c r="M2382" s="4" t="s">
        <v>20070</v>
      </c>
      <c r="N2382" s="4" t="s">
        <v>20071</v>
      </c>
      <c r="O2382" s="4" t="s">
        <v>63</v>
      </c>
      <c r="P2382" s="4"/>
      <c r="Q2382" s="4" t="s">
        <v>63</v>
      </c>
      <c r="R2382" s="4" t="s">
        <v>63</v>
      </c>
      <c r="S2382" s="4" t="s">
        <v>63</v>
      </c>
      <c r="T2382" s="4" t="s">
        <v>63</v>
      </c>
      <c r="U2382" s="4"/>
      <c r="V2382" s="4"/>
      <c r="W2382" s="4"/>
      <c r="X2382" s="4" t="s">
        <v>63</v>
      </c>
      <c r="Y2382" s="4" t="s">
        <v>3645</v>
      </c>
      <c r="Z2382" s="4" t="s">
        <v>63</v>
      </c>
      <c r="AA2382" s="4" t="s">
        <v>63</v>
      </c>
      <c r="AB2382" s="4" t="s">
        <v>63</v>
      </c>
      <c r="AC2382" s="4" t="s">
        <v>67</v>
      </c>
      <c r="AD2382" s="4" t="s">
        <v>63</v>
      </c>
      <c r="AE2382" s="4" t="s">
        <v>63</v>
      </c>
      <c r="AF2382" s="4" t="s">
        <v>63</v>
      </c>
      <c r="AG2382" s="4" t="s">
        <v>63</v>
      </c>
      <c r="AH2382" s="4" t="s">
        <v>63</v>
      </c>
      <c r="AI2382" s="4" t="s">
        <v>63</v>
      </c>
      <c r="AJ2382" s="4" t="s">
        <v>63</v>
      </c>
      <c r="AK2382" s="4" t="s">
        <v>63</v>
      </c>
      <c r="AL2382" s="4" t="s">
        <v>63</v>
      </c>
      <c r="AM2382" s="4" t="s">
        <v>20066</v>
      </c>
      <c r="AN2382" s="4" t="s">
        <v>63</v>
      </c>
      <c r="AO2382" s="4" t="s">
        <v>63</v>
      </c>
      <c r="AP2382" s="4" t="s">
        <v>63</v>
      </c>
      <c r="AQ2382" s="4" t="s">
        <v>63</v>
      </c>
      <c r="AR2382" s="4" t="s">
        <v>63</v>
      </c>
      <c r="AS2382" s="4" t="s">
        <v>63</v>
      </c>
      <c r="AT2382" s="4" t="s">
        <v>63</v>
      </c>
      <c r="AU2382" s="4" t="s">
        <v>63</v>
      </c>
      <c r="AV2382" s="4" t="s">
        <v>63</v>
      </c>
      <c r="AW2382" s="4" t="s">
        <v>63</v>
      </c>
      <c r="AX2382" s="4" t="s">
        <v>63</v>
      </c>
      <c r="AY2382" s="4" t="s">
        <v>63</v>
      </c>
      <c r="AZ2382" s="4" t="s">
        <v>63</v>
      </c>
      <c r="BA2382" s="4" t="s">
        <v>63</v>
      </c>
      <c r="BB2382" s="4" t="s">
        <v>63</v>
      </c>
      <c r="BC2382" s="4" t="s">
        <v>63</v>
      </c>
      <c r="BD2382" s="4" t="s">
        <v>63</v>
      </c>
      <c r="BE2382" s="4" t="s">
        <v>63</v>
      </c>
      <c r="BF2382" s="4" t="s">
        <v>63</v>
      </c>
    </row>
    <row r="2383" spans="1:58">
      <c r="A2383" s="4" t="s">
        <v>58</v>
      </c>
      <c r="B2383" s="4" t="s">
        <v>20072</v>
      </c>
      <c r="C2383" s="4" t="s">
        <v>20073</v>
      </c>
      <c r="D2383" s="4" t="s">
        <v>20074</v>
      </c>
      <c r="E2383" s="4" t="s">
        <v>63</v>
      </c>
      <c r="F2383" s="4">
        <v>2018</v>
      </c>
      <c r="G2383" s="4">
        <v>1</v>
      </c>
      <c r="H2383" s="4" t="s">
        <v>20075</v>
      </c>
      <c r="I2383" s="4" t="s">
        <v>63</v>
      </c>
      <c r="J2383" s="4" t="s">
        <v>20076</v>
      </c>
      <c r="K2383" s="4" t="s">
        <v>63</v>
      </c>
      <c r="L2383" s="4" t="s">
        <v>20077</v>
      </c>
      <c r="M2383" s="4" t="s">
        <v>20078</v>
      </c>
      <c r="N2383" s="4" t="s">
        <v>20079</v>
      </c>
      <c r="O2383" s="4" t="s">
        <v>63</v>
      </c>
      <c r="P2383" s="4"/>
      <c r="Q2383" s="4" t="s">
        <v>63</v>
      </c>
      <c r="R2383" s="4" t="s">
        <v>63</v>
      </c>
      <c r="S2383" s="4" t="s">
        <v>63</v>
      </c>
      <c r="T2383" s="4" t="s">
        <v>63</v>
      </c>
      <c r="U2383" s="4"/>
      <c r="V2383" s="4"/>
      <c r="W2383" s="4"/>
      <c r="X2383" s="4" t="s">
        <v>63</v>
      </c>
      <c r="Y2383" s="4" t="s">
        <v>20080</v>
      </c>
      <c r="Z2383" s="4" t="s">
        <v>63</v>
      </c>
      <c r="AA2383" s="4" t="s">
        <v>63</v>
      </c>
      <c r="AB2383" s="4" t="s">
        <v>63</v>
      </c>
      <c r="AC2383" s="4" t="s">
        <v>67</v>
      </c>
      <c r="AD2383" s="4" t="s">
        <v>63</v>
      </c>
      <c r="AE2383" s="4" t="s">
        <v>63</v>
      </c>
      <c r="AF2383" s="4" t="s">
        <v>63</v>
      </c>
      <c r="AG2383" s="4" t="s">
        <v>63</v>
      </c>
      <c r="AH2383" s="4" t="s">
        <v>63</v>
      </c>
      <c r="AI2383" s="4" t="s">
        <v>63</v>
      </c>
      <c r="AJ2383" s="4" t="s">
        <v>63</v>
      </c>
      <c r="AK2383" s="4" t="s">
        <v>63</v>
      </c>
      <c r="AL2383" s="4" t="s">
        <v>63</v>
      </c>
      <c r="AM2383" s="4" t="s">
        <v>20073</v>
      </c>
      <c r="AN2383" s="4" t="s">
        <v>63</v>
      </c>
      <c r="AO2383" s="4" t="s">
        <v>63</v>
      </c>
      <c r="AP2383" s="4" t="s">
        <v>63</v>
      </c>
      <c r="AQ2383" s="4" t="s">
        <v>63</v>
      </c>
      <c r="AR2383" s="4" t="s">
        <v>63</v>
      </c>
      <c r="AS2383" s="4" t="s">
        <v>63</v>
      </c>
      <c r="AT2383" s="4" t="s">
        <v>63</v>
      </c>
      <c r="AU2383" s="4" t="s">
        <v>63</v>
      </c>
      <c r="AV2383" s="4" t="s">
        <v>63</v>
      </c>
      <c r="AW2383" s="4" t="s">
        <v>63</v>
      </c>
      <c r="AX2383" s="4" t="s">
        <v>63</v>
      </c>
      <c r="AY2383" s="4" t="s">
        <v>63</v>
      </c>
      <c r="AZ2383" s="4" t="s">
        <v>63</v>
      </c>
      <c r="BA2383" s="4" t="s">
        <v>63</v>
      </c>
      <c r="BB2383" s="4" t="s">
        <v>63</v>
      </c>
      <c r="BC2383" s="4" t="s">
        <v>63</v>
      </c>
      <c r="BD2383" s="4" t="s">
        <v>63</v>
      </c>
      <c r="BE2383" s="4" t="s">
        <v>63</v>
      </c>
      <c r="BF2383" s="4" t="s">
        <v>63</v>
      </c>
    </row>
    <row r="2384" spans="1:58">
      <c r="A2384" s="4" t="s">
        <v>58</v>
      </c>
      <c r="B2384" s="4" t="s">
        <v>20081</v>
      </c>
      <c r="C2384" s="4" t="s">
        <v>20082</v>
      </c>
      <c r="D2384" s="4" t="s">
        <v>522</v>
      </c>
      <c r="E2384" s="4" t="s">
        <v>523</v>
      </c>
      <c r="F2384" s="4">
        <v>1987</v>
      </c>
      <c r="G2384" s="4" t="s">
        <v>63</v>
      </c>
      <c r="H2384" s="4">
        <v>34</v>
      </c>
      <c r="I2384" s="4">
        <v>2</v>
      </c>
      <c r="J2384" s="4">
        <v>461</v>
      </c>
      <c r="K2384" s="4">
        <v>480</v>
      </c>
      <c r="L2384" s="4" t="s">
        <v>20083</v>
      </c>
      <c r="M2384" s="4" t="s">
        <v>20084</v>
      </c>
      <c r="N2384" s="4" t="s">
        <v>20085</v>
      </c>
      <c r="O2384" s="4" t="s">
        <v>63</v>
      </c>
      <c r="P2384" s="4"/>
      <c r="Q2384" s="4" t="s">
        <v>63</v>
      </c>
      <c r="R2384" s="4" t="s">
        <v>63</v>
      </c>
      <c r="S2384" s="4" t="s">
        <v>63</v>
      </c>
      <c r="T2384" s="4" t="s">
        <v>63</v>
      </c>
      <c r="U2384" s="4"/>
      <c r="V2384" s="4"/>
      <c r="W2384" s="4"/>
      <c r="X2384" s="4" t="s">
        <v>63</v>
      </c>
      <c r="Y2384" s="4" t="s">
        <v>527</v>
      </c>
      <c r="Z2384" s="4" t="s">
        <v>63</v>
      </c>
      <c r="AA2384" s="4" t="s">
        <v>63</v>
      </c>
      <c r="AB2384" s="4">
        <v>1987123292</v>
      </c>
      <c r="AC2384" s="4" t="s">
        <v>67</v>
      </c>
      <c r="AD2384" s="4" t="s">
        <v>63</v>
      </c>
      <c r="AE2384" s="4" t="s">
        <v>63</v>
      </c>
      <c r="AF2384" s="4" t="s">
        <v>63</v>
      </c>
      <c r="AG2384" s="4" t="s">
        <v>20086</v>
      </c>
      <c r="AH2384" s="4" t="s">
        <v>63</v>
      </c>
      <c r="AI2384" s="4" t="s">
        <v>63</v>
      </c>
      <c r="AJ2384" s="4" t="s">
        <v>63</v>
      </c>
      <c r="AK2384" s="4" t="s">
        <v>63</v>
      </c>
      <c r="AL2384" s="4" t="s">
        <v>63</v>
      </c>
      <c r="AM2384" s="4" t="s">
        <v>20087</v>
      </c>
      <c r="AN2384" s="4" t="s">
        <v>63</v>
      </c>
      <c r="AO2384" s="4" t="s">
        <v>63</v>
      </c>
      <c r="AP2384" s="4" t="s">
        <v>63</v>
      </c>
      <c r="AQ2384" s="4" t="s">
        <v>63</v>
      </c>
      <c r="AR2384" s="4" t="s">
        <v>63</v>
      </c>
      <c r="AS2384" s="4" t="s">
        <v>63</v>
      </c>
      <c r="AT2384" s="4" t="s">
        <v>63</v>
      </c>
      <c r="AU2384" s="4" t="s">
        <v>63</v>
      </c>
      <c r="AV2384" s="4" t="s">
        <v>63</v>
      </c>
      <c r="AW2384" s="4" t="s">
        <v>63</v>
      </c>
      <c r="AX2384" s="4" t="s">
        <v>63</v>
      </c>
      <c r="AY2384" s="4" t="s">
        <v>63</v>
      </c>
      <c r="AZ2384" s="4" t="s">
        <v>63</v>
      </c>
      <c r="BA2384" s="4" t="s">
        <v>63</v>
      </c>
      <c r="BB2384" s="4" t="s">
        <v>63</v>
      </c>
      <c r="BC2384" s="4" t="s">
        <v>63</v>
      </c>
      <c r="BD2384" s="4" t="s">
        <v>63</v>
      </c>
      <c r="BE2384" s="4" t="s">
        <v>63</v>
      </c>
      <c r="BF2384" s="4" t="s">
        <v>63</v>
      </c>
    </row>
    <row r="2385" spans="1:58">
      <c r="A2385" s="4" t="s">
        <v>58</v>
      </c>
      <c r="B2385" s="4" t="s">
        <v>20088</v>
      </c>
      <c r="C2385" s="4" t="s">
        <v>20089</v>
      </c>
      <c r="D2385" s="4" t="s">
        <v>13447</v>
      </c>
      <c r="E2385" s="4" t="s">
        <v>63</v>
      </c>
      <c r="F2385" s="4">
        <v>1996</v>
      </c>
      <c r="G2385" s="4" t="s">
        <v>63</v>
      </c>
      <c r="H2385" s="4">
        <v>9</v>
      </c>
      <c r="I2385" s="4">
        <v>2</v>
      </c>
      <c r="J2385" s="4">
        <v>147</v>
      </c>
      <c r="K2385" s="4">
        <v>154</v>
      </c>
      <c r="L2385" s="4" t="s">
        <v>20090</v>
      </c>
      <c r="M2385" s="4" t="s">
        <v>20091</v>
      </c>
      <c r="N2385" s="4" t="s">
        <v>20092</v>
      </c>
      <c r="O2385" s="4" t="s">
        <v>63</v>
      </c>
      <c r="P2385" s="4"/>
      <c r="Q2385" s="4" t="s">
        <v>63</v>
      </c>
      <c r="R2385" s="4" t="s">
        <v>63</v>
      </c>
      <c r="S2385" s="4" t="s">
        <v>63</v>
      </c>
      <c r="T2385" s="4" t="s">
        <v>63</v>
      </c>
      <c r="U2385" s="4"/>
      <c r="V2385" s="4"/>
      <c r="W2385" s="4"/>
      <c r="X2385" s="4" t="s">
        <v>63</v>
      </c>
      <c r="Y2385" s="4" t="s">
        <v>16404</v>
      </c>
      <c r="Z2385" s="4" t="s">
        <v>63</v>
      </c>
      <c r="AA2385" s="4" t="s">
        <v>63</v>
      </c>
      <c r="AB2385" s="4" t="s">
        <v>20093</v>
      </c>
      <c r="AC2385" s="4" t="s">
        <v>67</v>
      </c>
      <c r="AD2385" s="4" t="s">
        <v>63</v>
      </c>
      <c r="AE2385" s="4" t="s">
        <v>63</v>
      </c>
      <c r="AF2385" s="4" t="s">
        <v>63</v>
      </c>
      <c r="AG2385" s="4" t="s">
        <v>63</v>
      </c>
      <c r="AH2385" s="4" t="s">
        <v>63</v>
      </c>
      <c r="AI2385" s="4" t="s">
        <v>63</v>
      </c>
      <c r="AJ2385" s="4" t="s">
        <v>63</v>
      </c>
      <c r="AK2385" s="4" t="s">
        <v>63</v>
      </c>
      <c r="AL2385" s="4" t="s">
        <v>63</v>
      </c>
      <c r="AM2385" s="4" t="s">
        <v>20089</v>
      </c>
      <c r="AN2385" s="4" t="s">
        <v>63</v>
      </c>
      <c r="AO2385" s="4" t="s">
        <v>63</v>
      </c>
      <c r="AP2385" s="4" t="s">
        <v>63</v>
      </c>
      <c r="AQ2385" s="4" t="s">
        <v>63</v>
      </c>
      <c r="AR2385" s="4" t="s">
        <v>63</v>
      </c>
      <c r="AS2385" s="4" t="s">
        <v>63</v>
      </c>
      <c r="AT2385" s="4" t="s">
        <v>63</v>
      </c>
      <c r="AU2385" s="4" t="s">
        <v>63</v>
      </c>
      <c r="AV2385" s="4" t="s">
        <v>63</v>
      </c>
      <c r="AW2385" s="4" t="s">
        <v>63</v>
      </c>
      <c r="AX2385" s="4" t="s">
        <v>63</v>
      </c>
      <c r="AY2385" s="4" t="s">
        <v>63</v>
      </c>
      <c r="AZ2385" s="4" t="s">
        <v>63</v>
      </c>
      <c r="BA2385" s="4" t="s">
        <v>63</v>
      </c>
      <c r="BB2385" s="4" t="s">
        <v>63</v>
      </c>
      <c r="BC2385" s="4" t="s">
        <v>63</v>
      </c>
      <c r="BD2385" s="4" t="s">
        <v>63</v>
      </c>
      <c r="BE2385" s="4" t="s">
        <v>63</v>
      </c>
      <c r="BF2385" s="4" t="s">
        <v>63</v>
      </c>
    </row>
    <row r="2386" spans="1:58">
      <c r="A2386" s="4" t="s">
        <v>58</v>
      </c>
      <c r="B2386" s="4" t="s">
        <v>20094</v>
      </c>
      <c r="C2386" s="4" t="s">
        <v>20095</v>
      </c>
      <c r="D2386" s="4" t="s">
        <v>15144</v>
      </c>
      <c r="E2386" s="4" t="s">
        <v>63</v>
      </c>
      <c r="F2386" s="4">
        <v>2013</v>
      </c>
      <c r="G2386" s="4" t="s">
        <v>63</v>
      </c>
      <c r="H2386" s="4">
        <v>7</v>
      </c>
      <c r="I2386" s="4">
        <v>2</v>
      </c>
      <c r="J2386" s="4">
        <v>83</v>
      </c>
      <c r="K2386" s="4">
        <v>90</v>
      </c>
      <c r="L2386" s="4" t="s">
        <v>20096</v>
      </c>
      <c r="M2386" s="4" t="s">
        <v>20097</v>
      </c>
      <c r="N2386" s="4" t="s">
        <v>20098</v>
      </c>
      <c r="O2386" s="4" t="s">
        <v>63</v>
      </c>
      <c r="P2386" s="4"/>
      <c r="Q2386" s="4" t="s">
        <v>63</v>
      </c>
      <c r="R2386" s="4" t="s">
        <v>63</v>
      </c>
      <c r="S2386" s="4" t="s">
        <v>63</v>
      </c>
      <c r="T2386" s="4" t="s">
        <v>63</v>
      </c>
      <c r="U2386" s="4"/>
      <c r="V2386" s="4"/>
      <c r="W2386" s="4"/>
      <c r="X2386" s="4" t="s">
        <v>63</v>
      </c>
      <c r="Y2386" s="4" t="s">
        <v>20099</v>
      </c>
      <c r="Z2386" s="4" t="s">
        <v>63</v>
      </c>
      <c r="AA2386" s="4" t="s">
        <v>63</v>
      </c>
      <c r="AB2386" s="4" t="s">
        <v>20100</v>
      </c>
      <c r="AC2386" s="4" t="s">
        <v>67</v>
      </c>
      <c r="AD2386" s="4" t="s">
        <v>63</v>
      </c>
      <c r="AE2386" s="4" t="s">
        <v>63</v>
      </c>
      <c r="AF2386" s="4" t="s">
        <v>63</v>
      </c>
      <c r="AG2386" s="4" t="s">
        <v>63</v>
      </c>
      <c r="AH2386" s="4" t="s">
        <v>63</v>
      </c>
      <c r="AI2386" s="4" t="s">
        <v>63</v>
      </c>
      <c r="AJ2386" s="4" t="s">
        <v>63</v>
      </c>
      <c r="AK2386" s="4" t="s">
        <v>63</v>
      </c>
      <c r="AL2386" s="4" t="s">
        <v>63</v>
      </c>
      <c r="AM2386" s="4" t="s">
        <v>20095</v>
      </c>
      <c r="AN2386" s="4" t="s">
        <v>63</v>
      </c>
      <c r="AO2386" s="4" t="s">
        <v>63</v>
      </c>
      <c r="AP2386" s="4" t="s">
        <v>63</v>
      </c>
      <c r="AQ2386" s="4" t="s">
        <v>63</v>
      </c>
      <c r="AR2386" s="4" t="s">
        <v>63</v>
      </c>
      <c r="AS2386" s="4" t="s">
        <v>63</v>
      </c>
      <c r="AT2386" s="4" t="s">
        <v>63</v>
      </c>
      <c r="AU2386" s="4" t="s">
        <v>63</v>
      </c>
      <c r="AV2386" s="4" t="s">
        <v>63</v>
      </c>
      <c r="AW2386" s="4" t="s">
        <v>63</v>
      </c>
      <c r="AX2386" s="4" t="s">
        <v>63</v>
      </c>
      <c r="AY2386" s="4" t="s">
        <v>63</v>
      </c>
      <c r="AZ2386" s="4" t="s">
        <v>63</v>
      </c>
      <c r="BA2386" s="4" t="s">
        <v>63</v>
      </c>
      <c r="BB2386" s="4" t="s">
        <v>63</v>
      </c>
      <c r="BC2386" s="4" t="s">
        <v>63</v>
      </c>
      <c r="BD2386" s="4" t="s">
        <v>63</v>
      </c>
      <c r="BE2386" s="4" t="s">
        <v>63</v>
      </c>
      <c r="BF2386" s="4" t="s">
        <v>63</v>
      </c>
    </row>
    <row r="2387" spans="1:58">
      <c r="A2387" s="4" t="s">
        <v>58</v>
      </c>
      <c r="B2387" s="4" t="s">
        <v>20101</v>
      </c>
      <c r="C2387" s="4" t="s">
        <v>20102</v>
      </c>
      <c r="D2387" s="4" t="s">
        <v>10483</v>
      </c>
      <c r="E2387" s="4" t="s">
        <v>63</v>
      </c>
      <c r="F2387" s="4">
        <v>2014</v>
      </c>
      <c r="G2387" s="4" t="s">
        <v>189</v>
      </c>
      <c r="H2387" s="4">
        <v>5</v>
      </c>
      <c r="I2387" s="4">
        <v>5</v>
      </c>
      <c r="J2387" s="4">
        <v>577</v>
      </c>
      <c r="K2387" s="4">
        <v>583</v>
      </c>
      <c r="L2387" s="4" t="s">
        <v>20103</v>
      </c>
      <c r="M2387" s="4" t="s">
        <v>20104</v>
      </c>
      <c r="N2387" s="4" t="s">
        <v>20105</v>
      </c>
      <c r="O2387" s="4" t="s">
        <v>63</v>
      </c>
      <c r="P2387" s="4"/>
      <c r="Q2387" s="4" t="s">
        <v>63</v>
      </c>
      <c r="R2387" s="4" t="s">
        <v>63</v>
      </c>
      <c r="S2387" s="4" t="s">
        <v>63</v>
      </c>
      <c r="T2387" s="4" t="s">
        <v>63</v>
      </c>
      <c r="U2387" s="4"/>
      <c r="V2387" s="4"/>
      <c r="W2387" s="4"/>
      <c r="X2387" s="4" t="s">
        <v>63</v>
      </c>
      <c r="Y2387" s="4" t="s">
        <v>20106</v>
      </c>
      <c r="Z2387" s="4" t="s">
        <v>63</v>
      </c>
      <c r="AA2387" s="4" t="s">
        <v>63</v>
      </c>
      <c r="AB2387" s="4" t="s">
        <v>20107</v>
      </c>
      <c r="AC2387" s="4" t="s">
        <v>67</v>
      </c>
      <c r="AD2387" s="4" t="s">
        <v>63</v>
      </c>
      <c r="AE2387" s="4" t="s">
        <v>63</v>
      </c>
      <c r="AF2387" s="4" t="s">
        <v>63</v>
      </c>
      <c r="AG2387" s="4" t="s">
        <v>63</v>
      </c>
      <c r="AH2387" s="4" t="s">
        <v>63</v>
      </c>
      <c r="AI2387" s="4" t="s">
        <v>63</v>
      </c>
      <c r="AJ2387" s="4" t="s">
        <v>63</v>
      </c>
      <c r="AK2387" s="4" t="s">
        <v>63</v>
      </c>
      <c r="AL2387" s="4" t="s">
        <v>63</v>
      </c>
      <c r="AM2387" s="4" t="s">
        <v>20102</v>
      </c>
      <c r="AN2387" s="4" t="s">
        <v>63</v>
      </c>
      <c r="AO2387" s="4" t="s">
        <v>63</v>
      </c>
      <c r="AP2387" s="4" t="s">
        <v>63</v>
      </c>
      <c r="AQ2387" s="4" t="s">
        <v>63</v>
      </c>
      <c r="AR2387" s="4" t="s">
        <v>63</v>
      </c>
      <c r="AS2387" s="4" t="s">
        <v>63</v>
      </c>
      <c r="AT2387" s="4" t="s">
        <v>63</v>
      </c>
      <c r="AU2387" s="4" t="s">
        <v>63</v>
      </c>
      <c r="AV2387" s="4" t="s">
        <v>63</v>
      </c>
      <c r="AW2387" s="4" t="s">
        <v>63</v>
      </c>
      <c r="AX2387" s="4" t="s">
        <v>63</v>
      </c>
      <c r="AY2387" s="4" t="s">
        <v>63</v>
      </c>
      <c r="AZ2387" s="4" t="s">
        <v>63</v>
      </c>
      <c r="BA2387" s="4" t="s">
        <v>63</v>
      </c>
      <c r="BB2387" s="4" t="s">
        <v>63</v>
      </c>
      <c r="BC2387" s="4" t="s">
        <v>63</v>
      </c>
      <c r="BD2387" s="4" t="s">
        <v>63</v>
      </c>
      <c r="BE2387" s="4" t="s">
        <v>63</v>
      </c>
      <c r="BF2387" s="4" t="s">
        <v>63</v>
      </c>
    </row>
    <row r="2388" spans="1:58">
      <c r="A2388" s="4" t="s">
        <v>58</v>
      </c>
      <c r="B2388" s="4" t="s">
        <v>20108</v>
      </c>
      <c r="C2388" s="4" t="s">
        <v>20109</v>
      </c>
      <c r="D2388" s="4" t="s">
        <v>18818</v>
      </c>
      <c r="E2388" s="4" t="s">
        <v>63</v>
      </c>
      <c r="F2388" s="4">
        <v>1983</v>
      </c>
      <c r="G2388" s="4" t="s">
        <v>63</v>
      </c>
      <c r="H2388" s="4" t="s">
        <v>20110</v>
      </c>
      <c r="I2388" s="4" t="s">
        <v>63</v>
      </c>
      <c r="J2388" s="4">
        <v>233</v>
      </c>
      <c r="K2388" s="4">
        <v>249</v>
      </c>
      <c r="L2388" s="4" t="s">
        <v>20111</v>
      </c>
      <c r="M2388" s="4" t="s">
        <v>20112</v>
      </c>
      <c r="N2388" s="4" t="s">
        <v>20113</v>
      </c>
      <c r="O2388" s="4" t="s">
        <v>63</v>
      </c>
      <c r="P2388" s="4"/>
      <c r="Q2388" s="4" t="s">
        <v>63</v>
      </c>
      <c r="R2388" s="4" t="s">
        <v>63</v>
      </c>
      <c r="S2388" s="4" t="s">
        <v>63</v>
      </c>
      <c r="T2388" s="4" t="s">
        <v>63</v>
      </c>
      <c r="U2388" s="4"/>
      <c r="V2388" s="4"/>
      <c r="W2388" s="4"/>
      <c r="X2388" s="4" t="s">
        <v>63</v>
      </c>
      <c r="Y2388" s="4" t="s">
        <v>14739</v>
      </c>
      <c r="Z2388" s="4" t="s">
        <v>63</v>
      </c>
      <c r="AA2388" s="4" t="s">
        <v>63</v>
      </c>
      <c r="AB2388" s="4">
        <v>1985220353</v>
      </c>
      <c r="AC2388" s="4" t="s">
        <v>67</v>
      </c>
      <c r="AD2388" s="4" t="s">
        <v>63</v>
      </c>
      <c r="AE2388" s="4" t="s">
        <v>63</v>
      </c>
      <c r="AF2388" s="4" t="s">
        <v>63</v>
      </c>
      <c r="AG2388" s="4" t="s">
        <v>20114</v>
      </c>
      <c r="AH2388" s="4" t="s">
        <v>63</v>
      </c>
      <c r="AI2388" s="4" t="s">
        <v>63</v>
      </c>
      <c r="AJ2388" s="4" t="s">
        <v>63</v>
      </c>
      <c r="AK2388" s="4" t="s">
        <v>63</v>
      </c>
      <c r="AL2388" s="4" t="s">
        <v>63</v>
      </c>
      <c r="AM2388" s="4" t="s">
        <v>20115</v>
      </c>
      <c r="AN2388" s="4" t="s">
        <v>63</v>
      </c>
      <c r="AO2388" s="4" t="s">
        <v>63</v>
      </c>
      <c r="AP2388" s="4" t="s">
        <v>63</v>
      </c>
      <c r="AQ2388" s="4" t="s">
        <v>63</v>
      </c>
      <c r="AR2388" s="4" t="s">
        <v>63</v>
      </c>
      <c r="AS2388" s="4" t="s">
        <v>63</v>
      </c>
      <c r="AT2388" s="4" t="s">
        <v>63</v>
      </c>
      <c r="AU2388" s="4" t="s">
        <v>63</v>
      </c>
      <c r="AV2388" s="4" t="s">
        <v>63</v>
      </c>
      <c r="AW2388" s="4" t="s">
        <v>63</v>
      </c>
      <c r="AX2388" s="4" t="s">
        <v>63</v>
      </c>
      <c r="AY2388" s="4" t="s">
        <v>63</v>
      </c>
      <c r="AZ2388" s="4" t="s">
        <v>63</v>
      </c>
      <c r="BA2388" s="4" t="s">
        <v>63</v>
      </c>
      <c r="BB2388" s="4" t="s">
        <v>63</v>
      </c>
      <c r="BC2388" s="4" t="s">
        <v>63</v>
      </c>
      <c r="BD2388" s="4" t="s">
        <v>63</v>
      </c>
      <c r="BE2388" s="4" t="s">
        <v>63</v>
      </c>
      <c r="BF2388" s="4" t="s">
        <v>63</v>
      </c>
    </row>
    <row r="2389" spans="1:58">
      <c r="A2389" s="4" t="s">
        <v>58</v>
      </c>
      <c r="B2389" s="4" t="s">
        <v>20116</v>
      </c>
      <c r="C2389" s="4" t="s">
        <v>20117</v>
      </c>
      <c r="D2389" s="4" t="s">
        <v>20118</v>
      </c>
      <c r="E2389" s="4" t="s">
        <v>63</v>
      </c>
      <c r="F2389" s="4">
        <v>2008</v>
      </c>
      <c r="G2389" s="4" t="s">
        <v>15389</v>
      </c>
      <c r="H2389" s="4">
        <v>36</v>
      </c>
      <c r="I2389" s="4">
        <v>2</v>
      </c>
      <c r="J2389" s="4">
        <v>149</v>
      </c>
      <c r="K2389" s="4">
        <v>162</v>
      </c>
      <c r="L2389" s="4" t="s">
        <v>20119</v>
      </c>
      <c r="M2389" s="4" t="s">
        <v>20120</v>
      </c>
      <c r="N2389" s="4" t="s">
        <v>20121</v>
      </c>
      <c r="O2389" s="4" t="s">
        <v>63</v>
      </c>
      <c r="P2389" s="4"/>
      <c r="Q2389" s="4" t="s">
        <v>63</v>
      </c>
      <c r="R2389" s="4" t="s">
        <v>63</v>
      </c>
      <c r="S2389" s="4" t="s">
        <v>63</v>
      </c>
      <c r="T2389" s="4" t="s">
        <v>63</v>
      </c>
      <c r="U2389" s="4"/>
      <c r="V2389" s="4"/>
      <c r="W2389" s="4"/>
      <c r="X2389" s="4" t="s">
        <v>63</v>
      </c>
      <c r="Y2389" s="4" t="s">
        <v>20122</v>
      </c>
      <c r="Z2389" s="4" t="s">
        <v>63</v>
      </c>
      <c r="AA2389" s="4" t="s">
        <v>63</v>
      </c>
      <c r="AB2389" s="4" t="s">
        <v>20123</v>
      </c>
      <c r="AC2389" s="4" t="s">
        <v>67</v>
      </c>
      <c r="AD2389" s="4" t="s">
        <v>63</v>
      </c>
      <c r="AE2389" s="4" t="s">
        <v>63</v>
      </c>
      <c r="AF2389" s="4" t="s">
        <v>63</v>
      </c>
      <c r="AG2389" s="4" t="s">
        <v>63</v>
      </c>
      <c r="AH2389" s="4" t="s">
        <v>63</v>
      </c>
      <c r="AI2389" s="4" t="s">
        <v>20124</v>
      </c>
      <c r="AJ2389" s="4" t="s">
        <v>63</v>
      </c>
      <c r="AK2389" s="4" t="s">
        <v>63</v>
      </c>
      <c r="AL2389" s="4" t="s">
        <v>63</v>
      </c>
      <c r="AM2389" s="4" t="s">
        <v>20117</v>
      </c>
      <c r="AN2389" s="4" t="s">
        <v>63</v>
      </c>
      <c r="AO2389" s="4" t="s">
        <v>63</v>
      </c>
      <c r="AP2389" s="4" t="s">
        <v>63</v>
      </c>
      <c r="AQ2389" s="4" t="s">
        <v>63</v>
      </c>
      <c r="AR2389" s="4" t="s">
        <v>63</v>
      </c>
      <c r="AS2389" s="4" t="s">
        <v>63</v>
      </c>
      <c r="AT2389" s="4" t="s">
        <v>63</v>
      </c>
      <c r="AU2389" s="4" t="s">
        <v>63</v>
      </c>
      <c r="AV2389" s="4" t="s">
        <v>63</v>
      </c>
      <c r="AW2389" s="4" t="s">
        <v>63</v>
      </c>
      <c r="AX2389" s="4" t="s">
        <v>63</v>
      </c>
      <c r="AY2389" s="4" t="s">
        <v>63</v>
      </c>
      <c r="AZ2389" s="4" t="s">
        <v>63</v>
      </c>
      <c r="BA2389" s="4" t="s">
        <v>63</v>
      </c>
      <c r="BB2389" s="4" t="s">
        <v>63</v>
      </c>
      <c r="BC2389" s="4" t="s">
        <v>63</v>
      </c>
      <c r="BD2389" s="4" t="s">
        <v>63</v>
      </c>
      <c r="BE2389" s="4" t="s">
        <v>63</v>
      </c>
      <c r="BF2389" s="4" t="s">
        <v>63</v>
      </c>
    </row>
    <row r="2390" spans="1:58">
      <c r="A2390" s="4" t="s">
        <v>58</v>
      </c>
      <c r="B2390" s="4" t="s">
        <v>20125</v>
      </c>
      <c r="C2390" s="4" t="s">
        <v>20126</v>
      </c>
      <c r="D2390" s="4" t="s">
        <v>11901</v>
      </c>
      <c r="E2390" s="4" t="s">
        <v>63</v>
      </c>
      <c r="F2390" s="4">
        <v>2016</v>
      </c>
      <c r="G2390" s="4">
        <v>1</v>
      </c>
      <c r="H2390" s="4">
        <v>58</v>
      </c>
      <c r="I2390" s="4">
        <v>5</v>
      </c>
      <c r="J2390" s="4" t="s">
        <v>20127</v>
      </c>
      <c r="K2390" s="4" t="s">
        <v>63</v>
      </c>
      <c r="L2390" s="4" t="s">
        <v>20128</v>
      </c>
      <c r="M2390" s="4" t="s">
        <v>20129</v>
      </c>
      <c r="N2390" s="4" t="s">
        <v>20130</v>
      </c>
      <c r="O2390" s="4" t="s">
        <v>63</v>
      </c>
      <c r="P2390" s="4"/>
      <c r="Q2390" s="4" t="s">
        <v>63</v>
      </c>
      <c r="R2390" s="4" t="s">
        <v>63</v>
      </c>
      <c r="S2390" s="4" t="s">
        <v>63</v>
      </c>
      <c r="T2390" s="4" t="s">
        <v>63</v>
      </c>
      <c r="U2390" s="4"/>
      <c r="V2390" s="4"/>
      <c r="W2390" s="4"/>
      <c r="X2390" s="4" t="s">
        <v>63</v>
      </c>
      <c r="Y2390" s="4" t="s">
        <v>15618</v>
      </c>
      <c r="Z2390" s="4" t="s">
        <v>63</v>
      </c>
      <c r="AA2390" s="4" t="s">
        <v>63</v>
      </c>
      <c r="AB2390" s="4" t="s">
        <v>63</v>
      </c>
      <c r="AC2390" s="4" t="s">
        <v>67</v>
      </c>
      <c r="AD2390" s="4" t="s">
        <v>63</v>
      </c>
      <c r="AE2390" s="4" t="s">
        <v>63</v>
      </c>
      <c r="AF2390" s="4" t="s">
        <v>63</v>
      </c>
      <c r="AG2390" s="4" t="s">
        <v>63</v>
      </c>
      <c r="AH2390" s="4" t="s">
        <v>63</v>
      </c>
      <c r="AI2390" s="4" t="s">
        <v>63</v>
      </c>
      <c r="AJ2390" s="4" t="s">
        <v>63</v>
      </c>
      <c r="AK2390" s="4" t="s">
        <v>63</v>
      </c>
      <c r="AL2390" s="4" t="s">
        <v>63</v>
      </c>
      <c r="AM2390" s="4" t="s">
        <v>20126</v>
      </c>
      <c r="AN2390" s="4" t="s">
        <v>63</v>
      </c>
      <c r="AO2390" s="4" t="s">
        <v>63</v>
      </c>
      <c r="AP2390" s="4" t="s">
        <v>63</v>
      </c>
      <c r="AQ2390" s="4" t="s">
        <v>63</v>
      </c>
      <c r="AR2390" s="4" t="s">
        <v>63</v>
      </c>
      <c r="AS2390" s="4" t="s">
        <v>63</v>
      </c>
      <c r="AT2390" s="4" t="s">
        <v>63</v>
      </c>
      <c r="AU2390" s="4" t="s">
        <v>63</v>
      </c>
      <c r="AV2390" s="4" t="s">
        <v>63</v>
      </c>
      <c r="AW2390" s="4" t="s">
        <v>63</v>
      </c>
      <c r="AX2390" s="4" t="s">
        <v>63</v>
      </c>
      <c r="AY2390" s="4" t="s">
        <v>63</v>
      </c>
      <c r="AZ2390" s="4" t="s">
        <v>63</v>
      </c>
      <c r="BA2390" s="4" t="s">
        <v>63</v>
      </c>
      <c r="BB2390" s="4" t="s">
        <v>63</v>
      </c>
      <c r="BC2390" s="4" t="s">
        <v>63</v>
      </c>
      <c r="BD2390" s="4" t="s">
        <v>63</v>
      </c>
      <c r="BE2390" s="4" t="s">
        <v>63</v>
      </c>
      <c r="BF2390" s="4" t="s">
        <v>63</v>
      </c>
    </row>
    <row r="2391" spans="1:58">
      <c r="A2391" s="4" t="s">
        <v>58</v>
      </c>
      <c r="B2391" s="4" t="s">
        <v>20131</v>
      </c>
      <c r="C2391" s="4" t="s">
        <v>20132</v>
      </c>
      <c r="D2391" s="4" t="s">
        <v>11901</v>
      </c>
      <c r="E2391" s="4" t="s">
        <v>63</v>
      </c>
      <c r="F2391" s="4">
        <v>2018</v>
      </c>
      <c r="G2391" s="4">
        <v>1</v>
      </c>
      <c r="H2391" s="4">
        <v>60</v>
      </c>
      <c r="I2391" s="4">
        <v>5</v>
      </c>
      <c r="J2391" s="4" t="s">
        <v>20133</v>
      </c>
      <c r="K2391" s="4" t="s">
        <v>63</v>
      </c>
      <c r="L2391" s="4" t="s">
        <v>20134</v>
      </c>
      <c r="M2391" s="4" t="s">
        <v>20135</v>
      </c>
      <c r="N2391" s="4" t="s">
        <v>20136</v>
      </c>
      <c r="O2391" s="4" t="s">
        <v>63</v>
      </c>
      <c r="P2391" s="4"/>
      <c r="Q2391" s="4" t="s">
        <v>63</v>
      </c>
      <c r="R2391" s="4" t="s">
        <v>63</v>
      </c>
      <c r="S2391" s="4" t="s">
        <v>63</v>
      </c>
      <c r="T2391" s="4" t="s">
        <v>63</v>
      </c>
      <c r="U2391" s="4"/>
      <c r="V2391" s="4"/>
      <c r="W2391" s="4"/>
      <c r="X2391" s="4" t="s">
        <v>63</v>
      </c>
      <c r="Y2391" s="4" t="s">
        <v>15618</v>
      </c>
      <c r="Z2391" s="4" t="s">
        <v>63</v>
      </c>
      <c r="AA2391" s="4" t="s">
        <v>63</v>
      </c>
      <c r="AB2391" s="4" t="s">
        <v>63</v>
      </c>
      <c r="AC2391" s="4" t="s">
        <v>67</v>
      </c>
      <c r="AD2391" s="4" t="s">
        <v>63</v>
      </c>
      <c r="AE2391" s="4" t="s">
        <v>63</v>
      </c>
      <c r="AF2391" s="4" t="s">
        <v>63</v>
      </c>
      <c r="AG2391" s="4" t="s">
        <v>63</v>
      </c>
      <c r="AH2391" s="4" t="s">
        <v>63</v>
      </c>
      <c r="AI2391" s="4" t="s">
        <v>63</v>
      </c>
      <c r="AJ2391" s="4" t="s">
        <v>63</v>
      </c>
      <c r="AK2391" s="4" t="s">
        <v>63</v>
      </c>
      <c r="AL2391" s="4" t="s">
        <v>63</v>
      </c>
      <c r="AM2391" s="4" t="s">
        <v>20132</v>
      </c>
      <c r="AN2391" s="4" t="s">
        <v>63</v>
      </c>
      <c r="AO2391" s="4" t="s">
        <v>63</v>
      </c>
      <c r="AP2391" s="4" t="s">
        <v>63</v>
      </c>
      <c r="AQ2391" s="4" t="s">
        <v>63</v>
      </c>
      <c r="AR2391" s="4" t="s">
        <v>63</v>
      </c>
      <c r="AS2391" s="4" t="s">
        <v>63</v>
      </c>
      <c r="AT2391" s="4" t="s">
        <v>63</v>
      </c>
      <c r="AU2391" s="4" t="s">
        <v>63</v>
      </c>
      <c r="AV2391" s="4" t="s">
        <v>63</v>
      </c>
      <c r="AW2391" s="4" t="s">
        <v>63</v>
      </c>
      <c r="AX2391" s="4" t="s">
        <v>63</v>
      </c>
      <c r="AY2391" s="4" t="s">
        <v>63</v>
      </c>
      <c r="AZ2391" s="4" t="s">
        <v>63</v>
      </c>
      <c r="BA2391" s="4" t="s">
        <v>63</v>
      </c>
      <c r="BB2391" s="4" t="s">
        <v>63</v>
      </c>
      <c r="BC2391" s="4" t="s">
        <v>63</v>
      </c>
      <c r="BD2391" s="4" t="s">
        <v>63</v>
      </c>
      <c r="BE2391" s="4" t="s">
        <v>63</v>
      </c>
      <c r="BF2391" s="4" t="s">
        <v>63</v>
      </c>
    </row>
    <row r="2392" spans="1:58">
      <c r="A2392" s="4" t="s">
        <v>58</v>
      </c>
      <c r="B2392" s="4" t="s">
        <v>20137</v>
      </c>
      <c r="C2392" s="4" t="s">
        <v>20138</v>
      </c>
      <c r="D2392" s="4" t="s">
        <v>20139</v>
      </c>
      <c r="E2392" s="4" t="s">
        <v>63</v>
      </c>
      <c r="F2392" s="4">
        <v>2014</v>
      </c>
      <c r="G2392" s="4" t="s">
        <v>63</v>
      </c>
      <c r="H2392" s="4" t="s">
        <v>20140</v>
      </c>
      <c r="I2392" s="4" t="s">
        <v>63</v>
      </c>
      <c r="J2392" s="4" t="s">
        <v>63</v>
      </c>
      <c r="K2392" s="4" t="s">
        <v>63</v>
      </c>
      <c r="L2392" s="4" t="s">
        <v>20141</v>
      </c>
      <c r="M2392" s="4" t="s">
        <v>20142</v>
      </c>
      <c r="N2392" s="4" t="s">
        <v>20143</v>
      </c>
      <c r="O2392" s="4" t="s">
        <v>63</v>
      </c>
      <c r="P2392" s="4"/>
      <c r="Q2392" s="4" t="s">
        <v>63</v>
      </c>
      <c r="R2392" s="4" t="s">
        <v>63</v>
      </c>
      <c r="S2392" s="4" t="s">
        <v>63</v>
      </c>
      <c r="T2392" s="4" t="s">
        <v>63</v>
      </c>
      <c r="U2392" s="4"/>
      <c r="V2392" s="4"/>
      <c r="W2392" s="4"/>
      <c r="X2392" s="4" t="s">
        <v>63</v>
      </c>
      <c r="Y2392" s="4" t="s">
        <v>20144</v>
      </c>
      <c r="Z2392" s="4" t="s">
        <v>63</v>
      </c>
      <c r="AA2392" s="4" t="s">
        <v>63</v>
      </c>
      <c r="AB2392" s="4">
        <v>2015812924</v>
      </c>
      <c r="AC2392" s="4" t="s">
        <v>67</v>
      </c>
      <c r="AD2392" s="4" t="s">
        <v>63</v>
      </c>
      <c r="AE2392" s="4" t="s">
        <v>63</v>
      </c>
      <c r="AF2392" s="4" t="s">
        <v>63</v>
      </c>
      <c r="AG2392" s="4" t="s">
        <v>20145</v>
      </c>
      <c r="AH2392" s="4" t="s">
        <v>63</v>
      </c>
      <c r="AI2392" s="4" t="s">
        <v>20146</v>
      </c>
      <c r="AJ2392" s="4" t="s">
        <v>63</v>
      </c>
      <c r="AK2392" s="4" t="s">
        <v>63</v>
      </c>
      <c r="AL2392" s="4" t="s">
        <v>63</v>
      </c>
      <c r="AM2392" s="4" t="s">
        <v>20147</v>
      </c>
      <c r="AN2392" s="4" t="s">
        <v>63</v>
      </c>
      <c r="AO2392" s="4" t="s">
        <v>63</v>
      </c>
      <c r="AP2392" s="4" t="s">
        <v>63</v>
      </c>
      <c r="AQ2392" s="4" t="s">
        <v>63</v>
      </c>
      <c r="AR2392" s="4" t="s">
        <v>63</v>
      </c>
      <c r="AS2392" s="4" t="s">
        <v>63</v>
      </c>
      <c r="AT2392" s="4" t="s">
        <v>63</v>
      </c>
      <c r="AU2392" s="4" t="s">
        <v>63</v>
      </c>
      <c r="AV2392" s="4" t="s">
        <v>63</v>
      </c>
      <c r="AW2392" s="4" t="s">
        <v>63</v>
      </c>
      <c r="AX2392" s="4" t="s">
        <v>63</v>
      </c>
      <c r="AY2392" s="4" t="s">
        <v>63</v>
      </c>
      <c r="AZ2392" s="4" t="s">
        <v>63</v>
      </c>
      <c r="BA2392" s="4" t="s">
        <v>63</v>
      </c>
      <c r="BB2392" s="4" t="s">
        <v>63</v>
      </c>
      <c r="BC2392" s="4" t="s">
        <v>63</v>
      </c>
      <c r="BD2392" s="4" t="s">
        <v>63</v>
      </c>
      <c r="BE2392" s="4" t="s">
        <v>63</v>
      </c>
      <c r="BF2392" s="4" t="s">
        <v>63</v>
      </c>
    </row>
    <row r="2393" spans="1:58">
      <c r="A2393" s="4" t="s">
        <v>58</v>
      </c>
      <c r="B2393" s="4" t="s">
        <v>20148</v>
      </c>
      <c r="C2393" s="4" t="s">
        <v>20149</v>
      </c>
      <c r="D2393" s="4" t="s">
        <v>20150</v>
      </c>
      <c r="E2393" s="4" t="s">
        <v>20151</v>
      </c>
      <c r="F2393" s="4">
        <v>2009</v>
      </c>
      <c r="G2393" s="4" t="s">
        <v>15472</v>
      </c>
      <c r="H2393" s="4">
        <v>28</v>
      </c>
      <c r="I2393" s="4">
        <v>5</v>
      </c>
      <c r="J2393" s="4">
        <v>498</v>
      </c>
      <c r="K2393" s="4">
        <v>506</v>
      </c>
      <c r="L2393" s="4" t="s">
        <v>20152</v>
      </c>
      <c r="M2393" s="4" t="s">
        <v>20153</v>
      </c>
      <c r="N2393" s="4" t="s">
        <v>20154</v>
      </c>
      <c r="O2393" s="4" t="s">
        <v>63</v>
      </c>
      <c r="P2393" s="4"/>
      <c r="Q2393" s="4" t="s">
        <v>63</v>
      </c>
      <c r="R2393" s="4" t="s">
        <v>63</v>
      </c>
      <c r="S2393" s="4" t="s">
        <v>63</v>
      </c>
      <c r="T2393" s="4" t="s">
        <v>63</v>
      </c>
      <c r="U2393" s="4"/>
      <c r="V2393" s="4"/>
      <c r="W2393" s="4"/>
      <c r="X2393" s="4" t="s">
        <v>63</v>
      </c>
      <c r="Y2393" s="4" t="s">
        <v>20155</v>
      </c>
      <c r="Z2393" s="4" t="s">
        <v>63</v>
      </c>
      <c r="AA2393" s="4" t="s">
        <v>63</v>
      </c>
      <c r="AB2393" s="4" t="s">
        <v>63</v>
      </c>
      <c r="AC2393" s="4" t="s">
        <v>67</v>
      </c>
      <c r="AD2393" s="4" t="s">
        <v>63</v>
      </c>
      <c r="AE2393" s="4" t="s">
        <v>63</v>
      </c>
      <c r="AF2393" s="4" t="s">
        <v>63</v>
      </c>
      <c r="AG2393" s="4" t="s">
        <v>20156</v>
      </c>
      <c r="AH2393" s="4" t="s">
        <v>63</v>
      </c>
      <c r="AI2393" s="4" t="s">
        <v>20157</v>
      </c>
      <c r="AJ2393" s="4" t="s">
        <v>63</v>
      </c>
      <c r="AK2393" s="4" t="s">
        <v>63</v>
      </c>
      <c r="AL2393" s="4" t="s">
        <v>63</v>
      </c>
      <c r="AM2393" s="4" t="s">
        <v>20158</v>
      </c>
      <c r="AN2393" s="4" t="s">
        <v>63</v>
      </c>
      <c r="AO2393" s="4" t="s">
        <v>63</v>
      </c>
      <c r="AP2393" s="4" t="s">
        <v>63</v>
      </c>
      <c r="AQ2393" s="4" t="s">
        <v>63</v>
      </c>
      <c r="AR2393" s="4" t="s">
        <v>63</v>
      </c>
      <c r="AS2393" s="4" t="s">
        <v>63</v>
      </c>
      <c r="AT2393" s="4" t="s">
        <v>63</v>
      </c>
      <c r="AU2393" s="4" t="s">
        <v>63</v>
      </c>
      <c r="AV2393" s="4" t="s">
        <v>63</v>
      </c>
      <c r="AW2393" s="4" t="s">
        <v>63</v>
      </c>
      <c r="AX2393" s="4" t="s">
        <v>63</v>
      </c>
      <c r="AY2393" s="4" t="s">
        <v>63</v>
      </c>
      <c r="AZ2393" s="4" t="s">
        <v>63</v>
      </c>
      <c r="BA2393" s="4" t="s">
        <v>63</v>
      </c>
      <c r="BB2393" s="4" t="s">
        <v>63</v>
      </c>
      <c r="BC2393" s="4" t="s">
        <v>63</v>
      </c>
      <c r="BD2393" s="4" t="s">
        <v>63</v>
      </c>
      <c r="BE2393" s="4" t="s">
        <v>63</v>
      </c>
      <c r="BF2393" s="4" t="s">
        <v>63</v>
      </c>
    </row>
    <row r="2394" spans="1:58">
      <c r="A2394" s="4" t="s">
        <v>58</v>
      </c>
      <c r="B2394" s="4" t="s">
        <v>20159</v>
      </c>
      <c r="C2394" s="4" t="s">
        <v>20160</v>
      </c>
      <c r="D2394" s="4" t="s">
        <v>16623</v>
      </c>
      <c r="E2394" s="4" t="s">
        <v>63</v>
      </c>
      <c r="F2394" s="4">
        <v>2014</v>
      </c>
      <c r="G2394" s="4">
        <v>3</v>
      </c>
      <c r="H2394" s="4">
        <v>7</v>
      </c>
      <c r="I2394" s="4">
        <v>2</v>
      </c>
      <c r="J2394" s="4">
        <v>125</v>
      </c>
      <c r="K2394" s="4">
        <v>133</v>
      </c>
      <c r="L2394" s="4" t="s">
        <v>20161</v>
      </c>
      <c r="M2394" s="4" t="s">
        <v>20162</v>
      </c>
      <c r="N2394" s="4" t="s">
        <v>20163</v>
      </c>
      <c r="O2394" s="4" t="s">
        <v>63</v>
      </c>
      <c r="P2394" s="4"/>
      <c r="Q2394" s="4" t="s">
        <v>63</v>
      </c>
      <c r="R2394" s="4" t="s">
        <v>63</v>
      </c>
      <c r="S2394" s="4" t="s">
        <v>63</v>
      </c>
      <c r="T2394" s="4" t="s">
        <v>63</v>
      </c>
      <c r="U2394" s="4"/>
      <c r="V2394" s="4"/>
      <c r="W2394" s="4"/>
      <c r="X2394" s="4" t="s">
        <v>63</v>
      </c>
      <c r="Y2394" s="4" t="s">
        <v>16627</v>
      </c>
      <c r="Z2394" s="4" t="s">
        <v>63</v>
      </c>
      <c r="AA2394" s="4" t="s">
        <v>63</v>
      </c>
      <c r="AB2394" s="4" t="s">
        <v>20164</v>
      </c>
      <c r="AC2394" s="4" t="s">
        <v>67</v>
      </c>
      <c r="AD2394" s="4" t="s">
        <v>63</v>
      </c>
      <c r="AE2394" s="4" t="s">
        <v>63</v>
      </c>
      <c r="AF2394" s="4" t="s">
        <v>63</v>
      </c>
      <c r="AG2394" s="4" t="s">
        <v>63</v>
      </c>
      <c r="AH2394" s="4" t="s">
        <v>63</v>
      </c>
      <c r="AI2394" s="4" t="s">
        <v>20165</v>
      </c>
      <c r="AJ2394" s="4" t="s">
        <v>63</v>
      </c>
      <c r="AK2394" s="4" t="s">
        <v>63</v>
      </c>
      <c r="AL2394" s="4" t="s">
        <v>63</v>
      </c>
      <c r="AM2394" s="4" t="s">
        <v>20160</v>
      </c>
      <c r="AN2394" s="4" t="s">
        <v>63</v>
      </c>
      <c r="AO2394" s="4" t="s">
        <v>63</v>
      </c>
      <c r="AP2394" s="4" t="s">
        <v>63</v>
      </c>
      <c r="AQ2394" s="4" t="s">
        <v>63</v>
      </c>
      <c r="AR2394" s="4" t="s">
        <v>63</v>
      </c>
      <c r="AS2394" s="4" t="s">
        <v>63</v>
      </c>
      <c r="AT2394" s="4" t="s">
        <v>63</v>
      </c>
      <c r="AU2394" s="4" t="s">
        <v>63</v>
      </c>
      <c r="AV2394" s="4" t="s">
        <v>63</v>
      </c>
      <c r="AW2394" s="4" t="s">
        <v>63</v>
      </c>
      <c r="AX2394" s="4" t="s">
        <v>63</v>
      </c>
      <c r="AY2394" s="4" t="s">
        <v>63</v>
      </c>
      <c r="AZ2394" s="4" t="s">
        <v>63</v>
      </c>
      <c r="BA2394" s="4" t="s">
        <v>63</v>
      </c>
      <c r="BB2394" s="4" t="s">
        <v>63</v>
      </c>
      <c r="BC2394" s="4" t="s">
        <v>63</v>
      </c>
      <c r="BD2394" s="4" t="s">
        <v>63</v>
      </c>
      <c r="BE2394" s="4" t="s">
        <v>63</v>
      </c>
      <c r="BF2394" s="4" t="s">
        <v>63</v>
      </c>
    </row>
    <row r="2395" spans="1:58">
      <c r="A2395" s="4" t="s">
        <v>58</v>
      </c>
      <c r="B2395" s="4" t="s">
        <v>20166</v>
      </c>
      <c r="C2395" s="4" t="s">
        <v>20167</v>
      </c>
      <c r="D2395" s="4" t="s">
        <v>20168</v>
      </c>
      <c r="E2395" s="4" t="s">
        <v>63</v>
      </c>
      <c r="F2395" s="4">
        <v>2014</v>
      </c>
      <c r="G2395" s="4">
        <v>1</v>
      </c>
      <c r="H2395" s="4">
        <v>174</v>
      </c>
      <c r="I2395" s="4">
        <v>12</v>
      </c>
      <c r="J2395" s="4">
        <v>1892</v>
      </c>
      <c r="K2395" s="4">
        <v>1893</v>
      </c>
      <c r="L2395" s="4" t="s">
        <v>20169</v>
      </c>
      <c r="M2395" s="4" t="s">
        <v>63</v>
      </c>
      <c r="N2395" s="4" t="s">
        <v>20170</v>
      </c>
      <c r="O2395" s="4" t="s">
        <v>63</v>
      </c>
      <c r="P2395" s="4"/>
      <c r="Q2395" s="4" t="s">
        <v>63</v>
      </c>
      <c r="R2395" s="4" t="s">
        <v>63</v>
      </c>
      <c r="S2395" s="4" t="s">
        <v>63</v>
      </c>
      <c r="T2395" s="4" t="s">
        <v>63</v>
      </c>
      <c r="U2395" s="4"/>
      <c r="V2395" s="4"/>
      <c r="W2395" s="4"/>
      <c r="X2395" s="4" t="s">
        <v>63</v>
      </c>
      <c r="Y2395" s="4" t="s">
        <v>20171</v>
      </c>
      <c r="Z2395" s="4" t="s">
        <v>63</v>
      </c>
      <c r="AA2395" s="4" t="s">
        <v>63</v>
      </c>
      <c r="AB2395" s="4">
        <v>2014618719</v>
      </c>
      <c r="AC2395" s="4" t="s">
        <v>67</v>
      </c>
      <c r="AD2395" s="4" t="s">
        <v>63</v>
      </c>
      <c r="AE2395" s="4" t="s">
        <v>63</v>
      </c>
      <c r="AF2395" s="4" t="s">
        <v>63</v>
      </c>
      <c r="AG2395" s="4" t="s">
        <v>20172</v>
      </c>
      <c r="AH2395" s="4" t="s">
        <v>63</v>
      </c>
      <c r="AI2395" s="4" t="s">
        <v>20173</v>
      </c>
      <c r="AJ2395" s="4" t="s">
        <v>63</v>
      </c>
      <c r="AK2395" s="4" t="s">
        <v>63</v>
      </c>
      <c r="AL2395" s="4" t="s">
        <v>63</v>
      </c>
      <c r="AM2395" s="4" t="s">
        <v>20174</v>
      </c>
      <c r="AN2395" s="4" t="s">
        <v>63</v>
      </c>
      <c r="AO2395" s="4" t="s">
        <v>63</v>
      </c>
      <c r="AP2395" s="4" t="s">
        <v>63</v>
      </c>
      <c r="AQ2395" s="4" t="s">
        <v>63</v>
      </c>
      <c r="AR2395" s="4" t="s">
        <v>63</v>
      </c>
      <c r="AS2395" s="4" t="s">
        <v>63</v>
      </c>
      <c r="AT2395" s="4" t="s">
        <v>63</v>
      </c>
      <c r="AU2395" s="4" t="s">
        <v>63</v>
      </c>
      <c r="AV2395" s="4" t="s">
        <v>63</v>
      </c>
      <c r="AW2395" s="4" t="s">
        <v>63</v>
      </c>
      <c r="AX2395" s="4" t="s">
        <v>63</v>
      </c>
      <c r="AY2395" s="4" t="s">
        <v>63</v>
      </c>
      <c r="AZ2395" s="4" t="s">
        <v>63</v>
      </c>
      <c r="BA2395" s="4" t="s">
        <v>63</v>
      </c>
      <c r="BB2395" s="4" t="s">
        <v>63</v>
      </c>
      <c r="BC2395" s="4" t="s">
        <v>63</v>
      </c>
      <c r="BD2395" s="4" t="s">
        <v>63</v>
      </c>
      <c r="BE2395" s="4" t="s">
        <v>63</v>
      </c>
      <c r="BF2395" s="4" t="s">
        <v>63</v>
      </c>
    </row>
    <row r="2396" spans="1:58">
      <c r="A2396" s="4" t="s">
        <v>58</v>
      </c>
      <c r="B2396" s="4" t="s">
        <v>20175</v>
      </c>
      <c r="C2396" s="4" t="s">
        <v>20176</v>
      </c>
      <c r="D2396" s="4" t="s">
        <v>15482</v>
      </c>
      <c r="E2396" s="4" t="s">
        <v>63</v>
      </c>
      <c r="F2396" s="4">
        <v>2009</v>
      </c>
      <c r="G2396" s="4" t="s">
        <v>15155</v>
      </c>
      <c r="H2396" s="4" t="s">
        <v>15483</v>
      </c>
      <c r="I2396" s="4" t="s">
        <v>63</v>
      </c>
      <c r="J2396" s="4" t="s">
        <v>20177</v>
      </c>
      <c r="K2396" s="4" t="s">
        <v>63</v>
      </c>
      <c r="L2396" s="4" t="s">
        <v>20178</v>
      </c>
      <c r="M2396" s="4" t="s">
        <v>20179</v>
      </c>
      <c r="N2396" s="4" t="s">
        <v>20180</v>
      </c>
      <c r="O2396" s="4" t="s">
        <v>63</v>
      </c>
      <c r="P2396" s="4"/>
      <c r="Q2396" s="4" t="s">
        <v>63</v>
      </c>
      <c r="R2396" s="4" t="s">
        <v>63</v>
      </c>
      <c r="S2396" s="4" t="s">
        <v>63</v>
      </c>
      <c r="T2396" s="4" t="s">
        <v>63</v>
      </c>
      <c r="U2396" s="4"/>
      <c r="V2396" s="4"/>
      <c r="W2396" s="4"/>
      <c r="X2396" s="4" t="s">
        <v>63</v>
      </c>
      <c r="Y2396" s="4" t="s">
        <v>4853</v>
      </c>
      <c r="Z2396" s="4" t="s">
        <v>63</v>
      </c>
      <c r="AA2396" s="4" t="s">
        <v>63</v>
      </c>
      <c r="AB2396" s="4" t="s">
        <v>63</v>
      </c>
      <c r="AC2396" s="4" t="s">
        <v>67</v>
      </c>
      <c r="AD2396" s="4" t="s">
        <v>63</v>
      </c>
      <c r="AE2396" s="4" t="s">
        <v>63</v>
      </c>
      <c r="AF2396" s="4" t="s">
        <v>63</v>
      </c>
      <c r="AG2396" s="4" t="s">
        <v>63</v>
      </c>
      <c r="AH2396" s="4" t="s">
        <v>63</v>
      </c>
      <c r="AI2396" s="4" t="s">
        <v>15488</v>
      </c>
      <c r="AJ2396" s="4" t="s">
        <v>63</v>
      </c>
      <c r="AK2396" s="4" t="s">
        <v>63</v>
      </c>
      <c r="AL2396" s="4" t="s">
        <v>63</v>
      </c>
      <c r="AM2396" s="4" t="s">
        <v>20176</v>
      </c>
      <c r="AN2396" s="4" t="s">
        <v>63</v>
      </c>
      <c r="AO2396" s="4" t="s">
        <v>63</v>
      </c>
      <c r="AP2396" s="4" t="s">
        <v>63</v>
      </c>
      <c r="AQ2396" s="4" t="s">
        <v>63</v>
      </c>
      <c r="AR2396" s="4" t="s">
        <v>63</v>
      </c>
      <c r="AS2396" s="4" t="s">
        <v>63</v>
      </c>
      <c r="AT2396" s="4" t="s">
        <v>63</v>
      </c>
      <c r="AU2396" s="4" t="s">
        <v>63</v>
      </c>
      <c r="AV2396" s="4" t="s">
        <v>63</v>
      </c>
      <c r="AW2396" s="4" t="s">
        <v>63</v>
      </c>
      <c r="AX2396" s="4" t="s">
        <v>63</v>
      </c>
      <c r="AY2396" s="4" t="s">
        <v>63</v>
      </c>
      <c r="AZ2396" s="4" t="s">
        <v>63</v>
      </c>
      <c r="BA2396" s="4" t="s">
        <v>63</v>
      </c>
      <c r="BB2396" s="4" t="s">
        <v>63</v>
      </c>
      <c r="BC2396" s="4" t="s">
        <v>63</v>
      </c>
      <c r="BD2396" s="4" t="s">
        <v>63</v>
      </c>
      <c r="BE2396" s="4" t="s">
        <v>63</v>
      </c>
      <c r="BF2396" s="4" t="s">
        <v>63</v>
      </c>
    </row>
    <row r="2397" spans="1:58">
      <c r="A2397" s="4" t="s">
        <v>58</v>
      </c>
      <c r="B2397" s="4" t="s">
        <v>20181</v>
      </c>
      <c r="C2397" s="4" t="s">
        <v>20182</v>
      </c>
      <c r="D2397" s="4" t="s">
        <v>20183</v>
      </c>
      <c r="E2397" s="4" t="s">
        <v>63</v>
      </c>
      <c r="F2397" s="4">
        <v>2010</v>
      </c>
      <c r="G2397" s="4">
        <v>30</v>
      </c>
      <c r="H2397" s="4">
        <v>107</v>
      </c>
      <c r="I2397" s="4">
        <v>30</v>
      </c>
      <c r="J2397" s="4">
        <v>537</v>
      </c>
      <c r="K2397" s="4">
        <v>540</v>
      </c>
      <c r="L2397" s="4" t="s">
        <v>20184</v>
      </c>
      <c r="M2397" s="4" t="s">
        <v>20185</v>
      </c>
      <c r="N2397" s="4" t="s">
        <v>20186</v>
      </c>
      <c r="O2397" s="4" t="s">
        <v>63</v>
      </c>
      <c r="P2397" s="4"/>
      <c r="Q2397" s="4" t="s">
        <v>63</v>
      </c>
      <c r="R2397" s="4" t="s">
        <v>63</v>
      </c>
      <c r="S2397" s="4" t="s">
        <v>63</v>
      </c>
      <c r="T2397" s="4" t="s">
        <v>63</v>
      </c>
      <c r="U2397" s="4"/>
      <c r="V2397" s="4"/>
      <c r="W2397" s="4"/>
      <c r="X2397" s="4" t="s">
        <v>63</v>
      </c>
      <c r="Y2397" s="4" t="s">
        <v>20187</v>
      </c>
      <c r="Z2397" s="4" t="s">
        <v>63</v>
      </c>
      <c r="AA2397" s="4" t="s">
        <v>63</v>
      </c>
      <c r="AB2397" s="4">
        <v>2010600906</v>
      </c>
      <c r="AC2397" s="4" t="s">
        <v>20188</v>
      </c>
      <c r="AD2397" s="4" t="s">
        <v>63</v>
      </c>
      <c r="AE2397" s="4" t="s">
        <v>63</v>
      </c>
      <c r="AF2397" s="4" t="s">
        <v>63</v>
      </c>
      <c r="AG2397" s="4" t="s">
        <v>20189</v>
      </c>
      <c r="AH2397" s="4" t="s">
        <v>63</v>
      </c>
      <c r="AI2397" s="4" t="s">
        <v>20190</v>
      </c>
      <c r="AJ2397" s="4" t="s">
        <v>63</v>
      </c>
      <c r="AK2397" s="4" t="s">
        <v>63</v>
      </c>
      <c r="AL2397" s="4" t="s">
        <v>63</v>
      </c>
      <c r="AM2397" s="4" t="s">
        <v>20191</v>
      </c>
      <c r="AN2397" s="4" t="s">
        <v>63</v>
      </c>
      <c r="AO2397" s="4" t="s">
        <v>63</v>
      </c>
      <c r="AP2397" s="4" t="s">
        <v>63</v>
      </c>
      <c r="AQ2397" s="4" t="s">
        <v>63</v>
      </c>
      <c r="AR2397" s="4" t="s">
        <v>63</v>
      </c>
      <c r="AS2397" s="4" t="s">
        <v>63</v>
      </c>
      <c r="AT2397" s="4" t="s">
        <v>63</v>
      </c>
      <c r="AU2397" s="4" t="s">
        <v>63</v>
      </c>
      <c r="AV2397" s="4" t="s">
        <v>63</v>
      </c>
      <c r="AW2397" s="4" t="s">
        <v>63</v>
      </c>
      <c r="AX2397" s="4" t="s">
        <v>63</v>
      </c>
      <c r="AY2397" s="4" t="s">
        <v>63</v>
      </c>
      <c r="AZ2397" s="4" t="s">
        <v>63</v>
      </c>
      <c r="BA2397" s="4" t="s">
        <v>63</v>
      </c>
      <c r="BB2397" s="4" t="s">
        <v>63</v>
      </c>
      <c r="BC2397" s="4" t="s">
        <v>63</v>
      </c>
      <c r="BD2397" s="4" t="s">
        <v>63</v>
      </c>
      <c r="BE2397" s="4" t="s">
        <v>63</v>
      </c>
      <c r="BF2397" s="4" t="s">
        <v>63</v>
      </c>
    </row>
    <row r="2398" spans="1:58">
      <c r="A2398" s="4" t="s">
        <v>58</v>
      </c>
      <c r="B2398" s="4" t="s">
        <v>20192</v>
      </c>
      <c r="C2398" s="4" t="s">
        <v>20193</v>
      </c>
      <c r="D2398" s="4" t="s">
        <v>11901</v>
      </c>
      <c r="E2398" s="4" t="s">
        <v>63</v>
      </c>
      <c r="F2398" s="4">
        <v>2015</v>
      </c>
      <c r="G2398" s="4" t="s">
        <v>15508</v>
      </c>
      <c r="H2398" s="4">
        <v>57</v>
      </c>
      <c r="I2398" s="4">
        <v>5</v>
      </c>
      <c r="J2398" s="4" t="s">
        <v>20194</v>
      </c>
      <c r="K2398" s="4" t="s">
        <v>63</v>
      </c>
      <c r="L2398" s="4" t="s">
        <v>20195</v>
      </c>
      <c r="M2398" s="4" t="s">
        <v>20196</v>
      </c>
      <c r="N2398" s="4" t="s">
        <v>20197</v>
      </c>
      <c r="O2398" s="4" t="s">
        <v>63</v>
      </c>
      <c r="P2398" s="4"/>
      <c r="Q2398" s="4" t="s">
        <v>63</v>
      </c>
      <c r="R2398" s="4" t="s">
        <v>63</v>
      </c>
      <c r="S2398" s="4" t="s">
        <v>63</v>
      </c>
      <c r="T2398" s="4" t="s">
        <v>63</v>
      </c>
      <c r="U2398" s="4"/>
      <c r="V2398" s="4"/>
      <c r="W2398" s="4"/>
      <c r="X2398" s="4" t="s">
        <v>63</v>
      </c>
      <c r="Y2398" s="4" t="s">
        <v>11904</v>
      </c>
      <c r="Z2398" s="4" t="s">
        <v>63</v>
      </c>
      <c r="AA2398" s="4" t="s">
        <v>63</v>
      </c>
      <c r="AB2398" s="4" t="s">
        <v>63</v>
      </c>
      <c r="AC2398" s="4" t="s">
        <v>67</v>
      </c>
      <c r="AD2398" s="4" t="s">
        <v>63</v>
      </c>
      <c r="AE2398" s="4" t="s">
        <v>63</v>
      </c>
      <c r="AF2398" s="4" t="s">
        <v>63</v>
      </c>
      <c r="AG2398" s="4" t="s">
        <v>63</v>
      </c>
      <c r="AH2398" s="4" t="s">
        <v>63</v>
      </c>
      <c r="AI2398" s="4" t="s">
        <v>63</v>
      </c>
      <c r="AJ2398" s="4" t="s">
        <v>63</v>
      </c>
      <c r="AK2398" s="4" t="s">
        <v>63</v>
      </c>
      <c r="AL2398" s="4" t="s">
        <v>63</v>
      </c>
      <c r="AM2398" s="4" t="s">
        <v>20193</v>
      </c>
      <c r="AN2398" s="4" t="s">
        <v>63</v>
      </c>
      <c r="AO2398" s="4" t="s">
        <v>63</v>
      </c>
      <c r="AP2398" s="4" t="s">
        <v>63</v>
      </c>
      <c r="AQ2398" s="4" t="s">
        <v>63</v>
      </c>
      <c r="AR2398" s="4" t="s">
        <v>63</v>
      </c>
      <c r="AS2398" s="4" t="s">
        <v>63</v>
      </c>
      <c r="AT2398" s="4" t="s">
        <v>63</v>
      </c>
      <c r="AU2398" s="4" t="s">
        <v>63</v>
      </c>
      <c r="AV2398" s="4" t="s">
        <v>63</v>
      </c>
      <c r="AW2398" s="4" t="s">
        <v>63</v>
      </c>
      <c r="AX2398" s="4" t="s">
        <v>63</v>
      </c>
      <c r="AY2398" s="4" t="s">
        <v>63</v>
      </c>
      <c r="AZ2398" s="4" t="s">
        <v>63</v>
      </c>
      <c r="BA2398" s="4" t="s">
        <v>63</v>
      </c>
      <c r="BB2398" s="4" t="s">
        <v>63</v>
      </c>
      <c r="BC2398" s="4" t="s">
        <v>63</v>
      </c>
      <c r="BD2398" s="4" t="s">
        <v>63</v>
      </c>
      <c r="BE2398" s="4" t="s">
        <v>63</v>
      </c>
      <c r="BF2398" s="4" t="s">
        <v>63</v>
      </c>
    </row>
    <row r="2399" spans="1:58">
      <c r="A2399" s="4" t="s">
        <v>58</v>
      </c>
      <c r="B2399" s="4" t="s">
        <v>20198</v>
      </c>
      <c r="C2399" s="4" t="s">
        <v>20199</v>
      </c>
      <c r="D2399" s="4" t="s">
        <v>16677</v>
      </c>
      <c r="E2399" s="4" t="s">
        <v>63</v>
      </c>
      <c r="F2399" s="4">
        <v>2000</v>
      </c>
      <c r="G2399" s="4" t="s">
        <v>63</v>
      </c>
      <c r="H2399" s="4">
        <v>18</v>
      </c>
      <c r="I2399" s="4">
        <v>3</v>
      </c>
      <c r="J2399" s="4">
        <v>83</v>
      </c>
      <c r="K2399" s="4">
        <v>98</v>
      </c>
      <c r="L2399" s="4" t="s">
        <v>20200</v>
      </c>
      <c r="M2399" s="4" t="s">
        <v>20201</v>
      </c>
      <c r="N2399" s="4" t="s">
        <v>20202</v>
      </c>
      <c r="O2399" s="4" t="s">
        <v>63</v>
      </c>
      <c r="P2399" s="4"/>
      <c r="Q2399" s="4" t="s">
        <v>63</v>
      </c>
      <c r="R2399" s="4" t="s">
        <v>63</v>
      </c>
      <c r="S2399" s="4" t="s">
        <v>63</v>
      </c>
      <c r="T2399" s="4" t="s">
        <v>63</v>
      </c>
      <c r="U2399" s="4"/>
      <c r="V2399" s="4"/>
      <c r="W2399" s="4"/>
      <c r="X2399" s="4" t="s">
        <v>63</v>
      </c>
      <c r="Y2399" s="4" t="s">
        <v>16681</v>
      </c>
      <c r="Z2399" s="4" t="s">
        <v>63</v>
      </c>
      <c r="AA2399" s="4" t="s">
        <v>63</v>
      </c>
      <c r="AB2399" s="4" t="s">
        <v>20203</v>
      </c>
      <c r="AC2399" s="4" t="s">
        <v>67</v>
      </c>
      <c r="AD2399" s="4" t="s">
        <v>63</v>
      </c>
      <c r="AE2399" s="4" t="s">
        <v>63</v>
      </c>
      <c r="AF2399" s="4" t="s">
        <v>63</v>
      </c>
      <c r="AG2399" s="4" t="s">
        <v>63</v>
      </c>
      <c r="AH2399" s="4" t="s">
        <v>63</v>
      </c>
      <c r="AI2399" s="4" t="s">
        <v>20204</v>
      </c>
      <c r="AJ2399" s="4" t="s">
        <v>63</v>
      </c>
      <c r="AK2399" s="4" t="s">
        <v>63</v>
      </c>
      <c r="AL2399" s="4" t="s">
        <v>63</v>
      </c>
      <c r="AM2399" s="4" t="s">
        <v>20199</v>
      </c>
      <c r="AN2399" s="4" t="s">
        <v>63</v>
      </c>
      <c r="AO2399" s="4" t="s">
        <v>63</v>
      </c>
      <c r="AP2399" s="4" t="s">
        <v>63</v>
      </c>
      <c r="AQ2399" s="4" t="s">
        <v>63</v>
      </c>
      <c r="AR2399" s="4" t="s">
        <v>63</v>
      </c>
      <c r="AS2399" s="4" t="s">
        <v>63</v>
      </c>
      <c r="AT2399" s="4" t="s">
        <v>63</v>
      </c>
      <c r="AU2399" s="4" t="s">
        <v>63</v>
      </c>
      <c r="AV2399" s="4" t="s">
        <v>63</v>
      </c>
      <c r="AW2399" s="4" t="s">
        <v>63</v>
      </c>
      <c r="AX2399" s="4" t="s">
        <v>63</v>
      </c>
      <c r="AY2399" s="4" t="s">
        <v>63</v>
      </c>
      <c r="AZ2399" s="4" t="s">
        <v>63</v>
      </c>
      <c r="BA2399" s="4" t="s">
        <v>63</v>
      </c>
      <c r="BB2399" s="4" t="s">
        <v>63</v>
      </c>
      <c r="BC2399" s="4" t="s">
        <v>63</v>
      </c>
      <c r="BD2399" s="4" t="s">
        <v>63</v>
      </c>
      <c r="BE2399" s="4" t="s">
        <v>63</v>
      </c>
      <c r="BF2399" s="4" t="s">
        <v>63</v>
      </c>
    </row>
    <row r="2400" spans="1:58">
      <c r="A2400" s="4" t="s">
        <v>58</v>
      </c>
      <c r="B2400" s="4" t="s">
        <v>20205</v>
      </c>
      <c r="C2400" s="4" t="s">
        <v>20206</v>
      </c>
      <c r="D2400" s="4" t="s">
        <v>20207</v>
      </c>
      <c r="E2400" s="4" t="s">
        <v>20208</v>
      </c>
      <c r="F2400" s="4">
        <v>1998</v>
      </c>
      <c r="G2400" s="4" t="s">
        <v>63</v>
      </c>
      <c r="H2400" s="4">
        <v>11</v>
      </c>
      <c r="I2400" s="4">
        <v>3</v>
      </c>
      <c r="J2400" s="4">
        <v>437</v>
      </c>
      <c r="K2400" s="4">
        <v>456</v>
      </c>
      <c r="L2400" s="4" t="s">
        <v>20209</v>
      </c>
      <c r="M2400" s="4" t="s">
        <v>20210</v>
      </c>
      <c r="N2400" s="4" t="s">
        <v>20211</v>
      </c>
      <c r="O2400" s="4" t="s">
        <v>63</v>
      </c>
      <c r="P2400" s="4"/>
      <c r="Q2400" s="4" t="s">
        <v>63</v>
      </c>
      <c r="R2400" s="4" t="s">
        <v>63</v>
      </c>
      <c r="S2400" s="4" t="s">
        <v>63</v>
      </c>
      <c r="T2400" s="4" t="s">
        <v>63</v>
      </c>
      <c r="U2400" s="4"/>
      <c r="V2400" s="4"/>
      <c r="W2400" s="4"/>
      <c r="X2400" s="4" t="s">
        <v>63</v>
      </c>
      <c r="Y2400" s="4" t="s">
        <v>20212</v>
      </c>
      <c r="Z2400" s="4" t="s">
        <v>63</v>
      </c>
      <c r="AA2400" s="4" t="s">
        <v>63</v>
      </c>
      <c r="AB2400" s="4">
        <v>1998256899</v>
      </c>
      <c r="AC2400" s="4" t="s">
        <v>67</v>
      </c>
      <c r="AD2400" s="4" t="s">
        <v>63</v>
      </c>
      <c r="AE2400" s="4" t="s">
        <v>63</v>
      </c>
      <c r="AF2400" s="4" t="s">
        <v>63</v>
      </c>
      <c r="AG2400" s="4" t="s">
        <v>20213</v>
      </c>
      <c r="AH2400" s="4" t="s">
        <v>63</v>
      </c>
      <c r="AI2400" s="4" t="s">
        <v>20214</v>
      </c>
      <c r="AJ2400" s="4" t="s">
        <v>63</v>
      </c>
      <c r="AK2400" s="4" t="s">
        <v>63</v>
      </c>
      <c r="AL2400" s="4" t="s">
        <v>63</v>
      </c>
      <c r="AM2400" s="4" t="s">
        <v>20215</v>
      </c>
      <c r="AN2400" s="4" t="s">
        <v>63</v>
      </c>
      <c r="AO2400" s="4" t="s">
        <v>63</v>
      </c>
      <c r="AP2400" s="4" t="s">
        <v>63</v>
      </c>
      <c r="AQ2400" s="4" t="s">
        <v>63</v>
      </c>
      <c r="AR2400" s="4" t="s">
        <v>63</v>
      </c>
      <c r="AS2400" s="4" t="s">
        <v>63</v>
      </c>
      <c r="AT2400" s="4" t="s">
        <v>63</v>
      </c>
      <c r="AU2400" s="4" t="s">
        <v>63</v>
      </c>
      <c r="AV2400" s="4" t="s">
        <v>63</v>
      </c>
      <c r="AW2400" s="4" t="s">
        <v>63</v>
      </c>
      <c r="AX2400" s="4" t="s">
        <v>63</v>
      </c>
      <c r="AY2400" s="4" t="s">
        <v>63</v>
      </c>
      <c r="AZ2400" s="4" t="s">
        <v>63</v>
      </c>
      <c r="BA2400" s="4" t="s">
        <v>63</v>
      </c>
      <c r="BB2400" s="4" t="s">
        <v>63</v>
      </c>
      <c r="BC2400" s="4" t="s">
        <v>63</v>
      </c>
      <c r="BD2400" s="4" t="s">
        <v>63</v>
      </c>
      <c r="BE2400" s="4" t="s">
        <v>63</v>
      </c>
      <c r="BF2400" s="4" t="s">
        <v>63</v>
      </c>
    </row>
    <row r="2401" spans="1:58">
      <c r="A2401" s="4" t="s">
        <v>58</v>
      </c>
      <c r="B2401" s="4" t="s">
        <v>20216</v>
      </c>
      <c r="C2401" s="4" t="s">
        <v>20217</v>
      </c>
      <c r="D2401" s="4" t="s">
        <v>19840</v>
      </c>
      <c r="E2401" s="4" t="s">
        <v>63</v>
      </c>
      <c r="F2401" s="4">
        <v>2009</v>
      </c>
      <c r="G2401" s="4" t="s">
        <v>15358</v>
      </c>
      <c r="H2401" s="4">
        <v>12</v>
      </c>
      <c r="I2401" s="4">
        <v>7</v>
      </c>
      <c r="J2401" s="4" t="s">
        <v>20218</v>
      </c>
      <c r="K2401" s="4" t="s">
        <v>20219</v>
      </c>
      <c r="L2401" s="4" t="s">
        <v>20220</v>
      </c>
      <c r="M2401" s="4" t="s">
        <v>20221</v>
      </c>
      <c r="N2401" s="4" t="s">
        <v>20222</v>
      </c>
      <c r="O2401" s="4" t="s">
        <v>63</v>
      </c>
      <c r="P2401" s="4"/>
      <c r="Q2401" s="4" t="s">
        <v>63</v>
      </c>
      <c r="R2401" s="4" t="s">
        <v>63</v>
      </c>
      <c r="S2401" s="4" t="s">
        <v>63</v>
      </c>
      <c r="T2401" s="4" t="s">
        <v>63</v>
      </c>
      <c r="U2401" s="4"/>
      <c r="V2401" s="4"/>
      <c r="W2401" s="4"/>
      <c r="X2401" s="4" t="s">
        <v>63</v>
      </c>
      <c r="Y2401" s="4" t="s">
        <v>19845</v>
      </c>
      <c r="Z2401" s="4" t="s">
        <v>63</v>
      </c>
      <c r="AA2401" s="4" t="s">
        <v>63</v>
      </c>
      <c r="AB2401" s="4" t="s">
        <v>63</v>
      </c>
      <c r="AC2401" s="4" t="s">
        <v>67</v>
      </c>
      <c r="AD2401" s="4" t="s">
        <v>63</v>
      </c>
      <c r="AE2401" s="4" t="s">
        <v>63</v>
      </c>
      <c r="AF2401" s="4" t="s">
        <v>63</v>
      </c>
      <c r="AG2401" s="4" t="s">
        <v>63</v>
      </c>
      <c r="AH2401" s="4" t="s">
        <v>63</v>
      </c>
      <c r="AI2401" s="4" t="s">
        <v>63</v>
      </c>
      <c r="AJ2401" s="4" t="s">
        <v>63</v>
      </c>
      <c r="AK2401" s="4" t="s">
        <v>63</v>
      </c>
      <c r="AL2401" s="4" t="s">
        <v>63</v>
      </c>
      <c r="AM2401" s="4" t="s">
        <v>20217</v>
      </c>
      <c r="AN2401" s="4" t="s">
        <v>63</v>
      </c>
      <c r="AO2401" s="4" t="s">
        <v>63</v>
      </c>
      <c r="AP2401" s="4" t="s">
        <v>63</v>
      </c>
      <c r="AQ2401" s="4" t="s">
        <v>63</v>
      </c>
      <c r="AR2401" s="4" t="s">
        <v>63</v>
      </c>
      <c r="AS2401" s="4" t="s">
        <v>63</v>
      </c>
      <c r="AT2401" s="4" t="s">
        <v>63</v>
      </c>
      <c r="AU2401" s="4" t="s">
        <v>63</v>
      </c>
      <c r="AV2401" s="4" t="s">
        <v>63</v>
      </c>
      <c r="AW2401" s="4" t="s">
        <v>63</v>
      </c>
      <c r="AX2401" s="4" t="s">
        <v>63</v>
      </c>
      <c r="AY2401" s="4" t="s">
        <v>63</v>
      </c>
      <c r="AZ2401" s="4" t="s">
        <v>63</v>
      </c>
      <c r="BA2401" s="4" t="s">
        <v>63</v>
      </c>
      <c r="BB2401" s="4" t="s">
        <v>63</v>
      </c>
      <c r="BC2401" s="4" t="s">
        <v>63</v>
      </c>
      <c r="BD2401" s="4" t="s">
        <v>63</v>
      </c>
      <c r="BE2401" s="4" t="s">
        <v>63</v>
      </c>
      <c r="BF2401" s="4" t="s">
        <v>63</v>
      </c>
    </row>
    <row r="2402" spans="1:58">
      <c r="A2402" s="4" t="s">
        <v>58</v>
      </c>
      <c r="B2402" s="4" t="s">
        <v>20223</v>
      </c>
      <c r="C2402" s="4" t="s">
        <v>20224</v>
      </c>
      <c r="D2402" s="4" t="s">
        <v>18499</v>
      </c>
      <c r="E2402" s="4" t="s">
        <v>63</v>
      </c>
      <c r="F2402" s="4">
        <v>2008</v>
      </c>
      <c r="G2402" s="4" t="s">
        <v>181</v>
      </c>
      <c r="H2402" s="4">
        <v>55</v>
      </c>
      <c r="I2402" s="4">
        <v>9</v>
      </c>
      <c r="J2402" s="4">
        <v>647</v>
      </c>
      <c r="K2402" s="4">
        <v>654</v>
      </c>
      <c r="L2402" s="4" t="s">
        <v>20225</v>
      </c>
      <c r="M2402" s="4" t="s">
        <v>20226</v>
      </c>
      <c r="N2402" s="4" t="s">
        <v>20227</v>
      </c>
      <c r="O2402" s="4" t="s">
        <v>63</v>
      </c>
      <c r="P2402" s="4"/>
      <c r="Q2402" s="4" t="s">
        <v>63</v>
      </c>
      <c r="R2402" s="4" t="s">
        <v>63</v>
      </c>
      <c r="S2402" s="4" t="s">
        <v>63</v>
      </c>
      <c r="T2402" s="4" t="s">
        <v>63</v>
      </c>
      <c r="U2402" s="4"/>
      <c r="V2402" s="4"/>
      <c r="W2402" s="4"/>
      <c r="X2402" s="4" t="s">
        <v>63</v>
      </c>
      <c r="Y2402" s="4" t="s">
        <v>4808</v>
      </c>
      <c r="Z2402" s="4" t="s">
        <v>63</v>
      </c>
      <c r="AA2402" s="4" t="s">
        <v>63</v>
      </c>
      <c r="AB2402" s="4" t="s">
        <v>63</v>
      </c>
      <c r="AC2402" s="4" t="s">
        <v>4810</v>
      </c>
      <c r="AD2402" s="4" t="s">
        <v>63</v>
      </c>
      <c r="AE2402" s="4" t="s">
        <v>63</v>
      </c>
      <c r="AF2402" s="4" t="s">
        <v>63</v>
      </c>
      <c r="AG2402" s="4" t="s">
        <v>20228</v>
      </c>
      <c r="AH2402" s="4" t="s">
        <v>63</v>
      </c>
      <c r="AI2402" s="4" t="s">
        <v>63</v>
      </c>
      <c r="AJ2402" s="4" t="s">
        <v>63</v>
      </c>
      <c r="AK2402" s="4" t="s">
        <v>63</v>
      </c>
      <c r="AL2402" s="4" t="s">
        <v>63</v>
      </c>
      <c r="AM2402" s="4" t="s">
        <v>20229</v>
      </c>
      <c r="AN2402" s="4" t="s">
        <v>63</v>
      </c>
      <c r="AO2402" s="4" t="s">
        <v>63</v>
      </c>
      <c r="AP2402" s="4" t="s">
        <v>63</v>
      </c>
      <c r="AQ2402" s="4" t="s">
        <v>63</v>
      </c>
      <c r="AR2402" s="4" t="s">
        <v>63</v>
      </c>
      <c r="AS2402" s="4" t="s">
        <v>63</v>
      </c>
      <c r="AT2402" s="4" t="s">
        <v>63</v>
      </c>
      <c r="AU2402" s="4" t="s">
        <v>63</v>
      </c>
      <c r="AV2402" s="4" t="s">
        <v>63</v>
      </c>
      <c r="AW2402" s="4" t="s">
        <v>63</v>
      </c>
      <c r="AX2402" s="4" t="s">
        <v>63</v>
      </c>
      <c r="AY2402" s="4" t="s">
        <v>63</v>
      </c>
      <c r="AZ2402" s="4" t="s">
        <v>63</v>
      </c>
      <c r="BA2402" s="4" t="s">
        <v>63</v>
      </c>
      <c r="BB2402" s="4" t="s">
        <v>63</v>
      </c>
      <c r="BC2402" s="4" t="s">
        <v>63</v>
      </c>
      <c r="BD2402" s="4" t="s">
        <v>63</v>
      </c>
      <c r="BE2402" s="4" t="s">
        <v>63</v>
      </c>
      <c r="BF2402" s="4" t="s">
        <v>63</v>
      </c>
    </row>
    <row r="2403" spans="1:58">
      <c r="A2403" s="4" t="s">
        <v>58</v>
      </c>
      <c r="B2403" s="4" t="s">
        <v>20230</v>
      </c>
      <c r="C2403" s="4" t="s">
        <v>20231</v>
      </c>
      <c r="D2403" s="4" t="s">
        <v>3984</v>
      </c>
      <c r="E2403" s="4" t="s">
        <v>63</v>
      </c>
      <c r="F2403" s="4">
        <v>2016</v>
      </c>
      <c r="G2403" s="4" t="s">
        <v>15165</v>
      </c>
      <c r="H2403" s="4">
        <v>17</v>
      </c>
      <c r="I2403" s="4">
        <v>4</v>
      </c>
      <c r="J2403" s="4" t="s">
        <v>20232</v>
      </c>
      <c r="K2403" s="4" t="s">
        <v>63</v>
      </c>
      <c r="L2403" s="4" t="s">
        <v>20233</v>
      </c>
      <c r="M2403" s="4" t="s">
        <v>20234</v>
      </c>
      <c r="N2403" s="4" t="s">
        <v>20235</v>
      </c>
      <c r="O2403" s="4" t="s">
        <v>63</v>
      </c>
      <c r="P2403" s="4"/>
      <c r="Q2403" s="4" t="s">
        <v>63</v>
      </c>
      <c r="R2403" s="4" t="s">
        <v>63</v>
      </c>
      <c r="S2403" s="4" t="s">
        <v>63</v>
      </c>
      <c r="T2403" s="4" t="s">
        <v>63</v>
      </c>
      <c r="U2403" s="4"/>
      <c r="V2403" s="4"/>
      <c r="W2403" s="4"/>
      <c r="X2403" s="4" t="s">
        <v>63</v>
      </c>
      <c r="Y2403" s="4" t="s">
        <v>5160</v>
      </c>
      <c r="Z2403" s="4" t="s">
        <v>63</v>
      </c>
      <c r="AA2403" s="4" t="s">
        <v>63</v>
      </c>
      <c r="AB2403" s="4" t="s">
        <v>63</v>
      </c>
      <c r="AC2403" s="4" t="s">
        <v>67</v>
      </c>
      <c r="AD2403" s="4" t="s">
        <v>63</v>
      </c>
      <c r="AE2403" s="4" t="s">
        <v>63</v>
      </c>
      <c r="AF2403" s="4" t="s">
        <v>63</v>
      </c>
      <c r="AG2403" s="4" t="s">
        <v>63</v>
      </c>
      <c r="AH2403" s="4" t="s">
        <v>63</v>
      </c>
      <c r="AI2403" s="4" t="s">
        <v>63</v>
      </c>
      <c r="AJ2403" s="4" t="s">
        <v>63</v>
      </c>
      <c r="AK2403" s="4" t="s">
        <v>63</v>
      </c>
      <c r="AL2403" s="4" t="s">
        <v>63</v>
      </c>
      <c r="AM2403" s="4" t="s">
        <v>20231</v>
      </c>
      <c r="AN2403" s="4" t="s">
        <v>63</v>
      </c>
      <c r="AO2403" s="4" t="s">
        <v>63</v>
      </c>
      <c r="AP2403" s="4" t="s">
        <v>63</v>
      </c>
      <c r="AQ2403" s="4" t="s">
        <v>63</v>
      </c>
      <c r="AR2403" s="4" t="s">
        <v>63</v>
      </c>
      <c r="AS2403" s="4" t="s">
        <v>63</v>
      </c>
      <c r="AT2403" s="4" t="s">
        <v>63</v>
      </c>
      <c r="AU2403" s="4" t="s">
        <v>63</v>
      </c>
      <c r="AV2403" s="4" t="s">
        <v>63</v>
      </c>
      <c r="AW2403" s="4" t="s">
        <v>63</v>
      </c>
      <c r="AX2403" s="4" t="s">
        <v>63</v>
      </c>
      <c r="AY2403" s="4" t="s">
        <v>63</v>
      </c>
      <c r="AZ2403" s="4" t="s">
        <v>63</v>
      </c>
      <c r="BA2403" s="4" t="s">
        <v>63</v>
      </c>
      <c r="BB2403" s="4" t="s">
        <v>63</v>
      </c>
      <c r="BC2403" s="4" t="s">
        <v>63</v>
      </c>
      <c r="BD2403" s="4" t="s">
        <v>63</v>
      </c>
      <c r="BE2403" s="4" t="s">
        <v>63</v>
      </c>
      <c r="BF2403" s="4" t="s">
        <v>63</v>
      </c>
    </row>
    <row r="2404" spans="1:58">
      <c r="A2404" s="4" t="s">
        <v>58</v>
      </c>
      <c r="B2404" s="4" t="s">
        <v>20236</v>
      </c>
      <c r="C2404" s="4" t="s">
        <v>20237</v>
      </c>
      <c r="D2404" s="4" t="s">
        <v>20238</v>
      </c>
      <c r="E2404" s="4" t="s">
        <v>20239</v>
      </c>
      <c r="F2404" s="4">
        <v>2001</v>
      </c>
      <c r="G2404" s="4" t="s">
        <v>63</v>
      </c>
      <c r="H2404" s="4">
        <v>35</v>
      </c>
      <c r="I2404" s="4">
        <v>2</v>
      </c>
      <c r="J2404" s="4">
        <v>312</v>
      </c>
      <c r="K2404" s="4">
        <v>313</v>
      </c>
      <c r="L2404" s="4" t="s">
        <v>20240</v>
      </c>
      <c r="M2404" s="4" t="s">
        <v>63</v>
      </c>
      <c r="N2404" s="4" t="s">
        <v>20241</v>
      </c>
      <c r="O2404" s="4" t="s">
        <v>63</v>
      </c>
      <c r="P2404" s="4"/>
      <c r="Q2404" s="4" t="s">
        <v>63</v>
      </c>
      <c r="R2404" s="4" t="s">
        <v>63</v>
      </c>
      <c r="S2404" s="4" t="s">
        <v>63</v>
      </c>
      <c r="T2404" s="4" t="s">
        <v>63</v>
      </c>
      <c r="U2404" s="4"/>
      <c r="V2404" s="4"/>
      <c r="W2404" s="4"/>
      <c r="X2404" s="4" t="s">
        <v>63</v>
      </c>
      <c r="Y2404" s="4" t="s">
        <v>20242</v>
      </c>
      <c r="Z2404" s="4" t="s">
        <v>63</v>
      </c>
      <c r="AA2404" s="4" t="s">
        <v>63</v>
      </c>
      <c r="AB2404" s="4">
        <v>2001309119</v>
      </c>
      <c r="AC2404" s="4" t="s">
        <v>67</v>
      </c>
      <c r="AD2404" s="4" t="s">
        <v>63</v>
      </c>
      <c r="AE2404" s="4" t="s">
        <v>63</v>
      </c>
      <c r="AF2404" s="4" t="s">
        <v>63</v>
      </c>
      <c r="AG2404" s="4" t="s">
        <v>20243</v>
      </c>
      <c r="AH2404" s="4" t="s">
        <v>63</v>
      </c>
      <c r="AI2404" s="4" t="s">
        <v>20244</v>
      </c>
      <c r="AJ2404" s="4" t="s">
        <v>63</v>
      </c>
      <c r="AK2404" s="4" t="s">
        <v>63</v>
      </c>
      <c r="AL2404" s="4" t="s">
        <v>63</v>
      </c>
      <c r="AM2404" s="4" t="s">
        <v>20245</v>
      </c>
      <c r="AN2404" s="4" t="s">
        <v>63</v>
      </c>
      <c r="AO2404" s="4" t="s">
        <v>63</v>
      </c>
      <c r="AP2404" s="4" t="s">
        <v>63</v>
      </c>
      <c r="AQ2404" s="4" t="s">
        <v>63</v>
      </c>
      <c r="AR2404" s="4" t="s">
        <v>63</v>
      </c>
      <c r="AS2404" s="4" t="s">
        <v>63</v>
      </c>
      <c r="AT2404" s="4" t="s">
        <v>63</v>
      </c>
      <c r="AU2404" s="4" t="s">
        <v>63</v>
      </c>
      <c r="AV2404" s="4" t="s">
        <v>63</v>
      </c>
      <c r="AW2404" s="4" t="s">
        <v>63</v>
      </c>
      <c r="AX2404" s="4" t="s">
        <v>63</v>
      </c>
      <c r="AY2404" s="4" t="s">
        <v>63</v>
      </c>
      <c r="AZ2404" s="4" t="s">
        <v>63</v>
      </c>
      <c r="BA2404" s="4" t="s">
        <v>63</v>
      </c>
      <c r="BB2404" s="4" t="s">
        <v>63</v>
      </c>
      <c r="BC2404" s="4" t="s">
        <v>63</v>
      </c>
      <c r="BD2404" s="4" t="s">
        <v>63</v>
      </c>
      <c r="BE2404" s="4" t="s">
        <v>63</v>
      </c>
      <c r="BF2404" s="4" t="s">
        <v>63</v>
      </c>
    </row>
    <row r="2405" spans="1:58">
      <c r="A2405" s="4" t="s">
        <v>58</v>
      </c>
      <c r="B2405" s="4" t="s">
        <v>20246</v>
      </c>
      <c r="C2405" s="4" t="s">
        <v>20247</v>
      </c>
      <c r="D2405" s="4" t="s">
        <v>16100</v>
      </c>
      <c r="E2405" s="4" t="s">
        <v>63</v>
      </c>
      <c r="F2405" s="4">
        <v>2011</v>
      </c>
      <c r="G2405" s="4" t="s">
        <v>63</v>
      </c>
      <c r="H2405" s="4">
        <v>46</v>
      </c>
      <c r="I2405" s="4">
        <v>2</v>
      </c>
      <c r="J2405" s="4">
        <v>156</v>
      </c>
      <c r="K2405" s="4">
        <v>160</v>
      </c>
      <c r="L2405" s="4" t="s">
        <v>20248</v>
      </c>
      <c r="M2405" s="4" t="s">
        <v>20249</v>
      </c>
      <c r="N2405" s="4" t="s">
        <v>20250</v>
      </c>
      <c r="O2405" s="4" t="s">
        <v>63</v>
      </c>
      <c r="P2405" s="4"/>
      <c r="Q2405" s="4" t="s">
        <v>63</v>
      </c>
      <c r="R2405" s="4" t="s">
        <v>63</v>
      </c>
      <c r="S2405" s="4" t="s">
        <v>63</v>
      </c>
      <c r="T2405" s="4" t="s">
        <v>63</v>
      </c>
      <c r="U2405" s="4"/>
      <c r="V2405" s="4"/>
      <c r="W2405" s="4"/>
      <c r="X2405" s="4" t="s">
        <v>63</v>
      </c>
      <c r="Y2405" s="4" t="s">
        <v>20251</v>
      </c>
      <c r="Z2405" s="4" t="s">
        <v>63</v>
      </c>
      <c r="AA2405" s="4" t="s">
        <v>63</v>
      </c>
      <c r="AB2405" s="4">
        <v>2011115433</v>
      </c>
      <c r="AC2405" s="4" t="s">
        <v>67</v>
      </c>
      <c r="AD2405" s="4" t="s">
        <v>63</v>
      </c>
      <c r="AE2405" s="4" t="s">
        <v>63</v>
      </c>
      <c r="AF2405" s="4" t="s">
        <v>63</v>
      </c>
      <c r="AG2405" s="4" t="s">
        <v>20252</v>
      </c>
      <c r="AH2405" s="4" t="s">
        <v>63</v>
      </c>
      <c r="AI2405" s="4" t="s">
        <v>20253</v>
      </c>
      <c r="AJ2405" s="4" t="s">
        <v>63</v>
      </c>
      <c r="AK2405" s="4" t="s">
        <v>63</v>
      </c>
      <c r="AL2405" s="4" t="s">
        <v>63</v>
      </c>
      <c r="AM2405" s="4" t="s">
        <v>20254</v>
      </c>
      <c r="AN2405" s="4" t="s">
        <v>63</v>
      </c>
      <c r="AO2405" s="4" t="s">
        <v>63</v>
      </c>
      <c r="AP2405" s="4" t="s">
        <v>63</v>
      </c>
      <c r="AQ2405" s="4" t="s">
        <v>63</v>
      </c>
      <c r="AR2405" s="4" t="s">
        <v>63</v>
      </c>
      <c r="AS2405" s="4" t="s">
        <v>63</v>
      </c>
      <c r="AT2405" s="4" t="s">
        <v>63</v>
      </c>
      <c r="AU2405" s="4" t="s">
        <v>63</v>
      </c>
      <c r="AV2405" s="4" t="s">
        <v>63</v>
      </c>
      <c r="AW2405" s="4" t="s">
        <v>63</v>
      </c>
      <c r="AX2405" s="4" t="s">
        <v>63</v>
      </c>
      <c r="AY2405" s="4" t="s">
        <v>63</v>
      </c>
      <c r="AZ2405" s="4" t="s">
        <v>63</v>
      </c>
      <c r="BA2405" s="4" t="s">
        <v>63</v>
      </c>
      <c r="BB2405" s="4" t="s">
        <v>63</v>
      </c>
      <c r="BC2405" s="4" t="s">
        <v>63</v>
      </c>
      <c r="BD2405" s="4" t="s">
        <v>63</v>
      </c>
      <c r="BE2405" s="4" t="s">
        <v>63</v>
      </c>
      <c r="BF2405" s="4" t="s">
        <v>63</v>
      </c>
    </row>
    <row r="2406" spans="1:58">
      <c r="A2406" s="4" t="s">
        <v>58</v>
      </c>
      <c r="B2406" s="4" t="s">
        <v>20255</v>
      </c>
      <c r="C2406" s="4" t="s">
        <v>20256</v>
      </c>
      <c r="D2406" s="4" t="s">
        <v>20257</v>
      </c>
      <c r="E2406" s="4" t="s">
        <v>63</v>
      </c>
      <c r="F2406" s="4">
        <v>1995</v>
      </c>
      <c r="G2406" s="4" t="s">
        <v>63</v>
      </c>
      <c r="H2406" s="4">
        <v>4</v>
      </c>
      <c r="I2406" s="4">
        <v>3</v>
      </c>
      <c r="J2406" s="4">
        <v>207</v>
      </c>
      <c r="K2406" s="4">
        <v>221</v>
      </c>
      <c r="L2406" s="4" t="s">
        <v>20258</v>
      </c>
      <c r="M2406" s="4" t="s">
        <v>20259</v>
      </c>
      <c r="N2406" s="4" t="s">
        <v>20260</v>
      </c>
      <c r="O2406" s="4" t="s">
        <v>63</v>
      </c>
      <c r="P2406" s="4"/>
      <c r="Q2406" s="4" t="s">
        <v>63</v>
      </c>
      <c r="R2406" s="4" t="s">
        <v>63</v>
      </c>
      <c r="S2406" s="4" t="s">
        <v>63</v>
      </c>
      <c r="T2406" s="4" t="s">
        <v>63</v>
      </c>
      <c r="U2406" s="4"/>
      <c r="V2406" s="4"/>
      <c r="W2406" s="4"/>
      <c r="X2406" s="4" t="s">
        <v>63</v>
      </c>
      <c r="Y2406" s="4" t="s">
        <v>20261</v>
      </c>
      <c r="Z2406" s="4" t="s">
        <v>63</v>
      </c>
      <c r="AA2406" s="4" t="s">
        <v>63</v>
      </c>
      <c r="AB2406" s="4" t="s">
        <v>20262</v>
      </c>
      <c r="AC2406" s="4" t="s">
        <v>67</v>
      </c>
      <c r="AD2406" s="4" t="s">
        <v>63</v>
      </c>
      <c r="AE2406" s="4" t="s">
        <v>63</v>
      </c>
      <c r="AF2406" s="4" t="s">
        <v>63</v>
      </c>
      <c r="AG2406" s="4" t="s">
        <v>63</v>
      </c>
      <c r="AH2406" s="4" t="s">
        <v>63</v>
      </c>
      <c r="AI2406" s="4" t="s">
        <v>63</v>
      </c>
      <c r="AJ2406" s="4" t="s">
        <v>63</v>
      </c>
      <c r="AK2406" s="4" t="s">
        <v>63</v>
      </c>
      <c r="AL2406" s="4" t="s">
        <v>63</v>
      </c>
      <c r="AM2406" s="4" t="s">
        <v>20256</v>
      </c>
      <c r="AN2406" s="4" t="s">
        <v>63</v>
      </c>
      <c r="AO2406" s="4" t="s">
        <v>63</v>
      </c>
      <c r="AP2406" s="4" t="s">
        <v>63</v>
      </c>
      <c r="AQ2406" s="4" t="s">
        <v>63</v>
      </c>
      <c r="AR2406" s="4" t="s">
        <v>63</v>
      </c>
      <c r="AS2406" s="4" t="s">
        <v>63</v>
      </c>
      <c r="AT2406" s="4" t="s">
        <v>63</v>
      </c>
      <c r="AU2406" s="4" t="s">
        <v>63</v>
      </c>
      <c r="AV2406" s="4" t="s">
        <v>63</v>
      </c>
      <c r="AW2406" s="4" t="s">
        <v>63</v>
      </c>
      <c r="AX2406" s="4" t="s">
        <v>63</v>
      </c>
      <c r="AY2406" s="4" t="s">
        <v>63</v>
      </c>
      <c r="AZ2406" s="4" t="s">
        <v>63</v>
      </c>
      <c r="BA2406" s="4" t="s">
        <v>63</v>
      </c>
      <c r="BB2406" s="4" t="s">
        <v>63</v>
      </c>
      <c r="BC2406" s="4" t="s">
        <v>63</v>
      </c>
      <c r="BD2406" s="4" t="s">
        <v>63</v>
      </c>
      <c r="BE2406" s="4" t="s">
        <v>63</v>
      </c>
      <c r="BF2406" s="4" t="s">
        <v>63</v>
      </c>
    </row>
    <row r="2407" spans="1:58">
      <c r="A2407" s="4" t="s">
        <v>58</v>
      </c>
      <c r="B2407" s="4" t="s">
        <v>20263</v>
      </c>
      <c r="C2407" s="4" t="s">
        <v>20264</v>
      </c>
      <c r="D2407" s="4" t="s">
        <v>6009</v>
      </c>
      <c r="E2407" s="4" t="s">
        <v>6010</v>
      </c>
      <c r="F2407" s="4">
        <v>2011</v>
      </c>
      <c r="G2407" s="4" t="s">
        <v>17066</v>
      </c>
      <c r="H2407" s="4">
        <v>19</v>
      </c>
      <c r="I2407" s="4" t="s">
        <v>63</v>
      </c>
      <c r="J2407" s="4">
        <v>722</v>
      </c>
      <c r="K2407" s="4">
        <v>729</v>
      </c>
      <c r="L2407" s="4" t="s">
        <v>20265</v>
      </c>
      <c r="M2407" s="4" t="s">
        <v>20266</v>
      </c>
      <c r="N2407" s="4" t="s">
        <v>20267</v>
      </c>
      <c r="O2407" s="4" t="s">
        <v>63</v>
      </c>
      <c r="P2407" s="4"/>
      <c r="Q2407" s="4" t="s">
        <v>63</v>
      </c>
      <c r="R2407" s="4" t="s">
        <v>63</v>
      </c>
      <c r="S2407" s="4" t="s">
        <v>63</v>
      </c>
      <c r="T2407" s="4" t="s">
        <v>63</v>
      </c>
      <c r="U2407" s="4"/>
      <c r="V2407" s="4"/>
      <c r="W2407" s="4"/>
      <c r="X2407" s="4" t="s">
        <v>63</v>
      </c>
      <c r="Y2407" s="4" t="s">
        <v>6015</v>
      </c>
      <c r="Z2407" s="4" t="s">
        <v>63</v>
      </c>
      <c r="AA2407" s="4" t="s">
        <v>63</v>
      </c>
      <c r="AB2407" s="4" t="s">
        <v>63</v>
      </c>
      <c r="AC2407" s="4" t="s">
        <v>20268</v>
      </c>
      <c r="AD2407" s="4" t="s">
        <v>63</v>
      </c>
      <c r="AE2407" s="4" t="s">
        <v>63</v>
      </c>
      <c r="AF2407" s="4" t="s">
        <v>63</v>
      </c>
      <c r="AG2407" s="4" t="s">
        <v>20269</v>
      </c>
      <c r="AH2407" s="4" t="s">
        <v>63</v>
      </c>
      <c r="AI2407" s="4" t="s">
        <v>20270</v>
      </c>
      <c r="AJ2407" s="4" t="s">
        <v>63</v>
      </c>
      <c r="AK2407" s="4" t="s">
        <v>63</v>
      </c>
      <c r="AL2407" s="4" t="s">
        <v>63</v>
      </c>
      <c r="AM2407" s="4" t="s">
        <v>20271</v>
      </c>
      <c r="AN2407" s="4" t="s">
        <v>63</v>
      </c>
      <c r="AO2407" s="4" t="s">
        <v>63</v>
      </c>
      <c r="AP2407" s="4" t="s">
        <v>63</v>
      </c>
      <c r="AQ2407" s="4" t="s">
        <v>63</v>
      </c>
      <c r="AR2407" s="4" t="s">
        <v>63</v>
      </c>
      <c r="AS2407" s="4" t="s">
        <v>63</v>
      </c>
      <c r="AT2407" s="4" t="s">
        <v>63</v>
      </c>
      <c r="AU2407" s="4" t="s">
        <v>63</v>
      </c>
      <c r="AV2407" s="4" t="s">
        <v>63</v>
      </c>
      <c r="AW2407" s="4" t="s">
        <v>63</v>
      </c>
      <c r="AX2407" s="4" t="s">
        <v>63</v>
      </c>
      <c r="AY2407" s="4" t="s">
        <v>63</v>
      </c>
      <c r="AZ2407" s="4" t="s">
        <v>63</v>
      </c>
      <c r="BA2407" s="4" t="s">
        <v>63</v>
      </c>
      <c r="BB2407" s="4" t="s">
        <v>63</v>
      </c>
      <c r="BC2407" s="4" t="s">
        <v>63</v>
      </c>
      <c r="BD2407" s="4" t="s">
        <v>63</v>
      </c>
      <c r="BE2407" s="4" t="s">
        <v>63</v>
      </c>
      <c r="BF2407" s="4" t="s">
        <v>63</v>
      </c>
    </row>
    <row r="2408" spans="1:58">
      <c r="A2408" s="4" t="s">
        <v>58</v>
      </c>
      <c r="B2408" s="4" t="s">
        <v>20272</v>
      </c>
      <c r="C2408" s="4" t="s">
        <v>20273</v>
      </c>
      <c r="D2408" s="4" t="s">
        <v>6854</v>
      </c>
      <c r="E2408" s="4" t="s">
        <v>63</v>
      </c>
      <c r="F2408" s="4">
        <v>2013</v>
      </c>
      <c r="G2408" s="6">
        <v>41882</v>
      </c>
      <c r="H2408" s="4" t="s">
        <v>15842</v>
      </c>
      <c r="I2408" s="4" t="s">
        <v>63</v>
      </c>
      <c r="J2408" s="4" t="s">
        <v>63</v>
      </c>
      <c r="K2408" s="4" t="s">
        <v>63</v>
      </c>
      <c r="L2408" s="4" t="s">
        <v>20274</v>
      </c>
      <c r="M2408" s="4" t="s">
        <v>20275</v>
      </c>
      <c r="N2408" s="4" t="s">
        <v>20276</v>
      </c>
      <c r="O2408" s="4" t="s">
        <v>63</v>
      </c>
      <c r="P2408" s="4"/>
      <c r="Q2408" s="4" t="s">
        <v>63</v>
      </c>
      <c r="R2408" s="4" t="s">
        <v>63</v>
      </c>
      <c r="S2408" s="4" t="s">
        <v>63</v>
      </c>
      <c r="T2408" s="4" t="s">
        <v>63</v>
      </c>
      <c r="U2408" s="4"/>
      <c r="V2408" s="4"/>
      <c r="W2408" s="4"/>
      <c r="X2408" s="4" t="s">
        <v>63</v>
      </c>
      <c r="Y2408" s="4" t="s">
        <v>15322</v>
      </c>
      <c r="Z2408" s="4" t="s">
        <v>63</v>
      </c>
      <c r="AA2408" s="4" t="s">
        <v>63</v>
      </c>
      <c r="AB2408" s="4" t="s">
        <v>63</v>
      </c>
      <c r="AC2408" s="4" t="s">
        <v>67</v>
      </c>
      <c r="AD2408" s="4" t="s">
        <v>63</v>
      </c>
      <c r="AE2408" s="4" t="s">
        <v>63</v>
      </c>
      <c r="AF2408" s="4" t="s">
        <v>63</v>
      </c>
      <c r="AG2408" s="4" t="s">
        <v>63</v>
      </c>
      <c r="AH2408" s="4" t="s">
        <v>63</v>
      </c>
      <c r="AI2408" s="4" t="s">
        <v>63</v>
      </c>
      <c r="AJ2408" s="4" t="s">
        <v>63</v>
      </c>
      <c r="AK2408" s="4" t="s">
        <v>63</v>
      </c>
      <c r="AL2408" s="4" t="s">
        <v>63</v>
      </c>
      <c r="AM2408" s="4" t="s">
        <v>20273</v>
      </c>
      <c r="AN2408" s="4" t="s">
        <v>63</v>
      </c>
      <c r="AO2408" s="4" t="s">
        <v>63</v>
      </c>
      <c r="AP2408" s="4" t="s">
        <v>63</v>
      </c>
      <c r="AQ2408" s="4" t="s">
        <v>63</v>
      </c>
      <c r="AR2408" s="4" t="s">
        <v>63</v>
      </c>
      <c r="AS2408" s="4" t="s">
        <v>63</v>
      </c>
      <c r="AT2408" s="4" t="s">
        <v>63</v>
      </c>
      <c r="AU2408" s="4" t="s">
        <v>63</v>
      </c>
      <c r="AV2408" s="4" t="s">
        <v>63</v>
      </c>
      <c r="AW2408" s="4" t="s">
        <v>63</v>
      </c>
      <c r="AX2408" s="4" t="s">
        <v>63</v>
      </c>
      <c r="AY2408" s="4" t="s">
        <v>63</v>
      </c>
      <c r="AZ2408" s="4" t="s">
        <v>63</v>
      </c>
      <c r="BA2408" s="4" t="s">
        <v>63</v>
      </c>
      <c r="BB2408" s="4" t="s">
        <v>63</v>
      </c>
      <c r="BC2408" s="4" t="s">
        <v>63</v>
      </c>
      <c r="BD2408" s="4" t="s">
        <v>63</v>
      </c>
      <c r="BE2408" s="4" t="s">
        <v>63</v>
      </c>
      <c r="BF2408" s="4" t="s">
        <v>63</v>
      </c>
    </row>
    <row r="2409" spans="1:58">
      <c r="A2409" s="4" t="s">
        <v>58</v>
      </c>
      <c r="B2409" s="4" t="s">
        <v>20277</v>
      </c>
      <c r="C2409" s="4" t="s">
        <v>20278</v>
      </c>
      <c r="D2409" s="4" t="s">
        <v>20279</v>
      </c>
      <c r="E2409" s="4" t="s">
        <v>63</v>
      </c>
      <c r="F2409" s="4">
        <v>2013</v>
      </c>
      <c r="G2409" s="4" t="s">
        <v>63</v>
      </c>
      <c r="H2409" s="4">
        <v>12</v>
      </c>
      <c r="I2409" s="4">
        <v>1</v>
      </c>
      <c r="J2409" s="4">
        <v>35</v>
      </c>
      <c r="K2409" s="4">
        <v>42</v>
      </c>
      <c r="L2409" s="4" t="s">
        <v>20280</v>
      </c>
      <c r="M2409" s="4" t="s">
        <v>20281</v>
      </c>
      <c r="N2409" s="4" t="s">
        <v>20282</v>
      </c>
      <c r="O2409" s="4" t="s">
        <v>63</v>
      </c>
      <c r="P2409" s="4"/>
      <c r="Q2409" s="4" t="s">
        <v>63</v>
      </c>
      <c r="R2409" s="4" t="s">
        <v>63</v>
      </c>
      <c r="S2409" s="4" t="s">
        <v>63</v>
      </c>
      <c r="T2409" s="4" t="s">
        <v>63</v>
      </c>
      <c r="U2409" s="4"/>
      <c r="V2409" s="4"/>
      <c r="W2409" s="4"/>
      <c r="X2409" s="4" t="s">
        <v>63</v>
      </c>
      <c r="Y2409" s="4" t="s">
        <v>20283</v>
      </c>
      <c r="Z2409" s="4" t="s">
        <v>63</v>
      </c>
      <c r="AA2409" s="4" t="s">
        <v>63</v>
      </c>
      <c r="AB2409" s="4" t="s">
        <v>20284</v>
      </c>
      <c r="AC2409" s="4" t="s">
        <v>15171</v>
      </c>
      <c r="AD2409" s="4" t="s">
        <v>63</v>
      </c>
      <c r="AE2409" s="4" t="s">
        <v>63</v>
      </c>
      <c r="AF2409" s="4" t="s">
        <v>63</v>
      </c>
      <c r="AG2409" s="4" t="s">
        <v>63</v>
      </c>
      <c r="AH2409" s="4" t="s">
        <v>63</v>
      </c>
      <c r="AI2409" s="4" t="s">
        <v>20285</v>
      </c>
      <c r="AJ2409" s="4" t="s">
        <v>63</v>
      </c>
      <c r="AK2409" s="4" t="s">
        <v>63</v>
      </c>
      <c r="AL2409" s="4" t="s">
        <v>63</v>
      </c>
      <c r="AM2409" s="4" t="s">
        <v>20278</v>
      </c>
      <c r="AN2409" s="4" t="s">
        <v>63</v>
      </c>
      <c r="AO2409" s="4" t="s">
        <v>63</v>
      </c>
      <c r="AP2409" s="4" t="s">
        <v>63</v>
      </c>
      <c r="AQ2409" s="4" t="s">
        <v>63</v>
      </c>
      <c r="AR2409" s="4" t="s">
        <v>63</v>
      </c>
      <c r="AS2409" s="4" t="s">
        <v>63</v>
      </c>
      <c r="AT2409" s="4" t="s">
        <v>63</v>
      </c>
      <c r="AU2409" s="4" t="s">
        <v>63</v>
      </c>
      <c r="AV2409" s="4" t="s">
        <v>63</v>
      </c>
      <c r="AW2409" s="4" t="s">
        <v>63</v>
      </c>
      <c r="AX2409" s="4" t="s">
        <v>63</v>
      </c>
      <c r="AY2409" s="4" t="s">
        <v>63</v>
      </c>
      <c r="AZ2409" s="4" t="s">
        <v>63</v>
      </c>
      <c r="BA2409" s="4" t="s">
        <v>63</v>
      </c>
      <c r="BB2409" s="4" t="s">
        <v>63</v>
      </c>
      <c r="BC2409" s="4" t="s">
        <v>63</v>
      </c>
      <c r="BD2409" s="4" t="s">
        <v>63</v>
      </c>
      <c r="BE2409" s="4" t="s">
        <v>63</v>
      </c>
      <c r="BF2409" s="4" t="s">
        <v>63</v>
      </c>
    </row>
    <row r="2410" spans="1:58">
      <c r="A2410" s="4" t="s">
        <v>58</v>
      </c>
      <c r="B2410" s="4" t="s">
        <v>20286</v>
      </c>
      <c r="C2410" s="4" t="s">
        <v>20287</v>
      </c>
      <c r="D2410" s="4" t="s">
        <v>20288</v>
      </c>
      <c r="E2410" s="4" t="s">
        <v>63</v>
      </c>
      <c r="F2410" s="4">
        <v>1989</v>
      </c>
      <c r="G2410" s="4" t="s">
        <v>274</v>
      </c>
      <c r="H2410" s="4">
        <v>184</v>
      </c>
      <c r="I2410" s="4">
        <v>5</v>
      </c>
      <c r="J2410" s="4">
        <v>260</v>
      </c>
      <c r="K2410" s="4">
        <v>264</v>
      </c>
      <c r="L2410" s="4" t="s">
        <v>20289</v>
      </c>
      <c r="M2410" s="4" t="s">
        <v>20290</v>
      </c>
      <c r="N2410" s="4" t="s">
        <v>20291</v>
      </c>
      <c r="O2410" s="4" t="s">
        <v>63</v>
      </c>
      <c r="P2410" s="4"/>
      <c r="Q2410" s="4" t="s">
        <v>63</v>
      </c>
      <c r="R2410" s="4" t="s">
        <v>63</v>
      </c>
      <c r="S2410" s="4" t="s">
        <v>63</v>
      </c>
      <c r="T2410" s="4" t="s">
        <v>63</v>
      </c>
      <c r="U2410" s="4"/>
      <c r="V2410" s="4"/>
      <c r="W2410" s="4"/>
      <c r="X2410" s="4" t="s">
        <v>63</v>
      </c>
      <c r="Y2410" s="4" t="s">
        <v>20292</v>
      </c>
      <c r="Z2410" s="4" t="s">
        <v>63</v>
      </c>
      <c r="AA2410" s="4" t="s">
        <v>63</v>
      </c>
      <c r="AB2410" s="4" t="s">
        <v>63</v>
      </c>
      <c r="AC2410" s="4" t="s">
        <v>913</v>
      </c>
      <c r="AD2410" s="4" t="s">
        <v>63</v>
      </c>
      <c r="AE2410" s="4" t="s">
        <v>63</v>
      </c>
      <c r="AF2410" s="4" t="s">
        <v>63</v>
      </c>
      <c r="AG2410" s="4" t="s">
        <v>20293</v>
      </c>
      <c r="AH2410" s="4" t="s">
        <v>63</v>
      </c>
      <c r="AI2410" s="4" t="s">
        <v>63</v>
      </c>
      <c r="AJ2410" s="4" t="s">
        <v>63</v>
      </c>
      <c r="AK2410" s="4" t="s">
        <v>63</v>
      </c>
      <c r="AL2410" s="4" t="s">
        <v>63</v>
      </c>
      <c r="AM2410" s="4" t="s">
        <v>20294</v>
      </c>
      <c r="AN2410" s="4" t="s">
        <v>63</v>
      </c>
      <c r="AO2410" s="4" t="s">
        <v>63</v>
      </c>
      <c r="AP2410" s="4" t="s">
        <v>63</v>
      </c>
      <c r="AQ2410" s="4" t="s">
        <v>63</v>
      </c>
      <c r="AR2410" s="4" t="s">
        <v>63</v>
      </c>
      <c r="AS2410" s="4" t="s">
        <v>63</v>
      </c>
      <c r="AT2410" s="4" t="s">
        <v>63</v>
      </c>
      <c r="AU2410" s="4" t="s">
        <v>63</v>
      </c>
      <c r="AV2410" s="4" t="s">
        <v>63</v>
      </c>
      <c r="AW2410" s="4" t="s">
        <v>63</v>
      </c>
      <c r="AX2410" s="4" t="s">
        <v>63</v>
      </c>
      <c r="AY2410" s="4" t="s">
        <v>63</v>
      </c>
      <c r="AZ2410" s="4" t="s">
        <v>63</v>
      </c>
      <c r="BA2410" s="4" t="s">
        <v>63</v>
      </c>
      <c r="BB2410" s="4" t="s">
        <v>63</v>
      </c>
      <c r="BC2410" s="4" t="s">
        <v>63</v>
      </c>
      <c r="BD2410" s="4" t="s">
        <v>63</v>
      </c>
      <c r="BE2410" s="4" t="s">
        <v>63</v>
      </c>
      <c r="BF2410" s="4" t="s">
        <v>63</v>
      </c>
    </row>
    <row r="2411" spans="1:58">
      <c r="A2411" s="4" t="s">
        <v>58</v>
      </c>
      <c r="B2411" s="4" t="s">
        <v>20295</v>
      </c>
      <c r="C2411" s="4" t="s">
        <v>20296</v>
      </c>
      <c r="D2411" s="4" t="s">
        <v>20297</v>
      </c>
      <c r="E2411" s="4" t="s">
        <v>63</v>
      </c>
      <c r="F2411" s="4">
        <v>1990</v>
      </c>
      <c r="G2411" s="4">
        <v>9</v>
      </c>
      <c r="H2411" s="4">
        <v>95</v>
      </c>
      <c r="I2411" s="4">
        <v>2</v>
      </c>
      <c r="J2411" s="4">
        <v>57</v>
      </c>
      <c r="K2411" s="4">
        <v>61</v>
      </c>
      <c r="L2411" s="4" t="s">
        <v>20298</v>
      </c>
      <c r="M2411" s="4" t="s">
        <v>20299</v>
      </c>
      <c r="N2411" s="4" t="s">
        <v>20300</v>
      </c>
      <c r="O2411" s="4" t="s">
        <v>63</v>
      </c>
      <c r="P2411" s="4"/>
      <c r="Q2411" s="4" t="s">
        <v>63</v>
      </c>
      <c r="R2411" s="4" t="s">
        <v>63</v>
      </c>
      <c r="S2411" s="4" t="s">
        <v>63</v>
      </c>
      <c r="T2411" s="4" t="s">
        <v>63</v>
      </c>
      <c r="U2411" s="4"/>
      <c r="V2411" s="4"/>
      <c r="W2411" s="4"/>
      <c r="X2411" s="4" t="s">
        <v>63</v>
      </c>
      <c r="Y2411" s="4" t="s">
        <v>8881</v>
      </c>
      <c r="Z2411" s="4" t="s">
        <v>63</v>
      </c>
      <c r="AA2411" s="4" t="s">
        <v>63</v>
      </c>
      <c r="AB2411" s="4" t="s">
        <v>63</v>
      </c>
      <c r="AC2411" s="4" t="s">
        <v>913</v>
      </c>
      <c r="AD2411" s="4" t="s">
        <v>63</v>
      </c>
      <c r="AE2411" s="4" t="s">
        <v>63</v>
      </c>
      <c r="AF2411" s="4" t="s">
        <v>63</v>
      </c>
      <c r="AG2411" s="4" t="s">
        <v>20301</v>
      </c>
      <c r="AH2411" s="4" t="s">
        <v>63</v>
      </c>
      <c r="AI2411" s="4" t="s">
        <v>63</v>
      </c>
      <c r="AJ2411" s="4" t="s">
        <v>63</v>
      </c>
      <c r="AK2411" s="4" t="s">
        <v>63</v>
      </c>
      <c r="AL2411" s="4" t="s">
        <v>63</v>
      </c>
      <c r="AM2411" s="4" t="s">
        <v>20302</v>
      </c>
      <c r="AN2411" s="4" t="s">
        <v>63</v>
      </c>
      <c r="AO2411" s="4" t="s">
        <v>63</v>
      </c>
      <c r="AP2411" s="4" t="s">
        <v>63</v>
      </c>
      <c r="AQ2411" s="4" t="s">
        <v>63</v>
      </c>
      <c r="AR2411" s="4" t="s">
        <v>63</v>
      </c>
      <c r="AS2411" s="4" t="s">
        <v>63</v>
      </c>
      <c r="AT2411" s="4" t="s">
        <v>63</v>
      </c>
      <c r="AU2411" s="4" t="s">
        <v>63</v>
      </c>
      <c r="AV2411" s="4" t="s">
        <v>63</v>
      </c>
      <c r="AW2411" s="4" t="s">
        <v>63</v>
      </c>
      <c r="AX2411" s="4" t="s">
        <v>63</v>
      </c>
      <c r="AY2411" s="4" t="s">
        <v>63</v>
      </c>
      <c r="AZ2411" s="4" t="s">
        <v>63</v>
      </c>
      <c r="BA2411" s="4" t="s">
        <v>63</v>
      </c>
      <c r="BB2411" s="4" t="s">
        <v>63</v>
      </c>
      <c r="BC2411" s="4" t="s">
        <v>63</v>
      </c>
      <c r="BD2411" s="4" t="s">
        <v>63</v>
      </c>
      <c r="BE2411" s="4" t="s">
        <v>63</v>
      </c>
      <c r="BF2411" s="4" t="s">
        <v>63</v>
      </c>
    </row>
    <row r="2412" spans="1:58">
      <c r="A2412" s="4" t="s">
        <v>58</v>
      </c>
      <c r="B2412" s="4" t="s">
        <v>20303</v>
      </c>
      <c r="C2412" s="4" t="s">
        <v>20304</v>
      </c>
      <c r="D2412" s="4" t="s">
        <v>2759</v>
      </c>
      <c r="E2412" s="4" t="s">
        <v>2760</v>
      </c>
      <c r="F2412" s="4">
        <v>1978</v>
      </c>
      <c r="G2412" s="4" t="s">
        <v>63</v>
      </c>
      <c r="H2412" s="4">
        <v>128</v>
      </c>
      <c r="I2412" s="4">
        <v>5</v>
      </c>
      <c r="J2412" s="4">
        <v>453</v>
      </c>
      <c r="K2412" s="4">
        <v>458</v>
      </c>
      <c r="L2412" s="4" t="s">
        <v>20305</v>
      </c>
      <c r="M2412" s="4" t="s">
        <v>20306</v>
      </c>
      <c r="N2412" s="4" t="s">
        <v>20307</v>
      </c>
      <c r="O2412" s="4" t="s">
        <v>63</v>
      </c>
      <c r="P2412" s="4"/>
      <c r="Q2412" s="4" t="s">
        <v>63</v>
      </c>
      <c r="R2412" s="4" t="s">
        <v>63</v>
      </c>
      <c r="S2412" s="4" t="s">
        <v>63</v>
      </c>
      <c r="T2412" s="4" t="s">
        <v>63</v>
      </c>
      <c r="U2412" s="4"/>
      <c r="V2412" s="4"/>
      <c r="W2412" s="4"/>
      <c r="X2412" s="4" t="s">
        <v>63</v>
      </c>
      <c r="Y2412" s="4" t="s">
        <v>2763</v>
      </c>
      <c r="Z2412" s="4" t="s">
        <v>63</v>
      </c>
      <c r="AA2412" s="4" t="s">
        <v>63</v>
      </c>
      <c r="AB2412" s="4">
        <v>1978363794</v>
      </c>
      <c r="AC2412" s="4" t="s">
        <v>67</v>
      </c>
      <c r="AD2412" s="4" t="s">
        <v>63</v>
      </c>
      <c r="AE2412" s="4" t="s">
        <v>63</v>
      </c>
      <c r="AF2412" s="4" t="s">
        <v>63</v>
      </c>
      <c r="AG2412" s="4" t="s">
        <v>20308</v>
      </c>
      <c r="AH2412" s="4" t="s">
        <v>63</v>
      </c>
      <c r="AI2412" s="4" t="s">
        <v>63</v>
      </c>
      <c r="AJ2412" s="4" t="s">
        <v>63</v>
      </c>
      <c r="AK2412" s="4" t="s">
        <v>63</v>
      </c>
      <c r="AL2412" s="4" t="s">
        <v>63</v>
      </c>
      <c r="AM2412" s="4" t="s">
        <v>20309</v>
      </c>
      <c r="AN2412" s="4" t="s">
        <v>63</v>
      </c>
      <c r="AO2412" s="4" t="s">
        <v>63</v>
      </c>
      <c r="AP2412" s="4" t="s">
        <v>63</v>
      </c>
      <c r="AQ2412" s="4" t="s">
        <v>63</v>
      </c>
      <c r="AR2412" s="4" t="s">
        <v>63</v>
      </c>
      <c r="AS2412" s="4" t="s">
        <v>63</v>
      </c>
      <c r="AT2412" s="4" t="s">
        <v>63</v>
      </c>
      <c r="AU2412" s="4" t="s">
        <v>63</v>
      </c>
      <c r="AV2412" s="4" t="s">
        <v>63</v>
      </c>
      <c r="AW2412" s="4" t="s">
        <v>63</v>
      </c>
      <c r="AX2412" s="4" t="s">
        <v>63</v>
      </c>
      <c r="AY2412" s="4" t="s">
        <v>63</v>
      </c>
      <c r="AZ2412" s="4" t="s">
        <v>63</v>
      </c>
      <c r="BA2412" s="4" t="s">
        <v>63</v>
      </c>
      <c r="BB2412" s="4" t="s">
        <v>63</v>
      </c>
      <c r="BC2412" s="4" t="s">
        <v>63</v>
      </c>
      <c r="BD2412" s="4" t="s">
        <v>63</v>
      </c>
      <c r="BE2412" s="4" t="s">
        <v>63</v>
      </c>
      <c r="BF2412" s="4" t="s">
        <v>63</v>
      </c>
    </row>
    <row r="2413" spans="1:58">
      <c r="A2413" s="4" t="s">
        <v>58</v>
      </c>
      <c r="B2413" s="4" t="s">
        <v>20310</v>
      </c>
      <c r="C2413" s="4" t="s">
        <v>20311</v>
      </c>
      <c r="D2413" s="4" t="s">
        <v>15482</v>
      </c>
      <c r="E2413" s="4" t="s">
        <v>63</v>
      </c>
      <c r="F2413" s="4">
        <v>2009</v>
      </c>
      <c r="G2413" s="4" t="s">
        <v>15155</v>
      </c>
      <c r="H2413" s="4" t="s">
        <v>15483</v>
      </c>
      <c r="I2413" s="4" t="s">
        <v>63</v>
      </c>
      <c r="J2413" s="4" t="s">
        <v>16006</v>
      </c>
      <c r="K2413" s="4" t="s">
        <v>63</v>
      </c>
      <c r="L2413" s="4" t="s">
        <v>20312</v>
      </c>
      <c r="M2413" s="4" t="s">
        <v>20313</v>
      </c>
      <c r="N2413" s="4" t="s">
        <v>20314</v>
      </c>
      <c r="O2413" s="4" t="s">
        <v>63</v>
      </c>
      <c r="P2413" s="4"/>
      <c r="Q2413" s="4" t="s">
        <v>63</v>
      </c>
      <c r="R2413" s="4" t="s">
        <v>63</v>
      </c>
      <c r="S2413" s="4" t="s">
        <v>63</v>
      </c>
      <c r="T2413" s="4" t="s">
        <v>63</v>
      </c>
      <c r="U2413" s="4"/>
      <c r="V2413" s="4"/>
      <c r="W2413" s="4"/>
      <c r="X2413" s="4" t="s">
        <v>63</v>
      </c>
      <c r="Y2413" s="4" t="s">
        <v>4853</v>
      </c>
      <c r="Z2413" s="4" t="s">
        <v>63</v>
      </c>
      <c r="AA2413" s="4" t="s">
        <v>63</v>
      </c>
      <c r="AB2413" s="4" t="s">
        <v>63</v>
      </c>
      <c r="AC2413" s="4" t="s">
        <v>67</v>
      </c>
      <c r="AD2413" s="4" t="s">
        <v>63</v>
      </c>
      <c r="AE2413" s="4" t="s">
        <v>63</v>
      </c>
      <c r="AF2413" s="4" t="s">
        <v>63</v>
      </c>
      <c r="AG2413" s="4" t="s">
        <v>63</v>
      </c>
      <c r="AH2413" s="4" t="s">
        <v>63</v>
      </c>
      <c r="AI2413" s="4" t="s">
        <v>15488</v>
      </c>
      <c r="AJ2413" s="4" t="s">
        <v>63</v>
      </c>
      <c r="AK2413" s="4" t="s">
        <v>63</v>
      </c>
      <c r="AL2413" s="4" t="s">
        <v>63</v>
      </c>
      <c r="AM2413" s="4" t="s">
        <v>20311</v>
      </c>
      <c r="AN2413" s="4" t="s">
        <v>63</v>
      </c>
      <c r="AO2413" s="4" t="s">
        <v>63</v>
      </c>
      <c r="AP2413" s="4" t="s">
        <v>63</v>
      </c>
      <c r="AQ2413" s="4" t="s">
        <v>63</v>
      </c>
      <c r="AR2413" s="4" t="s">
        <v>63</v>
      </c>
      <c r="AS2413" s="4" t="s">
        <v>63</v>
      </c>
      <c r="AT2413" s="4" t="s">
        <v>63</v>
      </c>
      <c r="AU2413" s="4" t="s">
        <v>63</v>
      </c>
      <c r="AV2413" s="4" t="s">
        <v>63</v>
      </c>
      <c r="AW2413" s="4" t="s">
        <v>63</v>
      </c>
      <c r="AX2413" s="4" t="s">
        <v>63</v>
      </c>
      <c r="AY2413" s="4" t="s">
        <v>63</v>
      </c>
      <c r="AZ2413" s="4" t="s">
        <v>63</v>
      </c>
      <c r="BA2413" s="4" t="s">
        <v>63</v>
      </c>
      <c r="BB2413" s="4" t="s">
        <v>63</v>
      </c>
      <c r="BC2413" s="4" t="s">
        <v>63</v>
      </c>
      <c r="BD2413" s="4" t="s">
        <v>63</v>
      </c>
      <c r="BE2413" s="4" t="s">
        <v>63</v>
      </c>
      <c r="BF2413" s="4" t="s">
        <v>63</v>
      </c>
    </row>
    <row r="2414" spans="1:58">
      <c r="A2414" s="4" t="s">
        <v>58</v>
      </c>
      <c r="B2414" s="4" t="s">
        <v>20315</v>
      </c>
      <c r="C2414" s="4" t="s">
        <v>20316</v>
      </c>
      <c r="D2414" s="4" t="s">
        <v>20317</v>
      </c>
      <c r="E2414" s="4" t="s">
        <v>14859</v>
      </c>
      <c r="F2414" s="4">
        <v>2011</v>
      </c>
      <c r="G2414" s="4" t="s">
        <v>274</v>
      </c>
      <c r="H2414" s="4">
        <v>72</v>
      </c>
      <c r="I2414" s="4">
        <v>3</v>
      </c>
      <c r="J2414" s="4" t="s">
        <v>4607</v>
      </c>
      <c r="K2414" s="4" t="s">
        <v>63</v>
      </c>
      <c r="L2414" s="4" t="s">
        <v>20318</v>
      </c>
      <c r="M2414" s="4" t="s">
        <v>20319</v>
      </c>
      <c r="N2414" s="4" t="s">
        <v>20320</v>
      </c>
      <c r="O2414" s="4" t="s">
        <v>63</v>
      </c>
      <c r="P2414" s="4"/>
      <c r="Q2414" s="4" t="s">
        <v>63</v>
      </c>
      <c r="R2414" s="4" t="s">
        <v>63</v>
      </c>
      <c r="S2414" s="4" t="s">
        <v>63</v>
      </c>
      <c r="T2414" s="4" t="s">
        <v>63</v>
      </c>
      <c r="U2414" s="4"/>
      <c r="V2414" s="4"/>
      <c r="W2414" s="4"/>
      <c r="X2414" s="4" t="s">
        <v>63</v>
      </c>
      <c r="Y2414" s="4" t="s">
        <v>20321</v>
      </c>
      <c r="Z2414" s="4" t="s">
        <v>63</v>
      </c>
      <c r="AA2414" s="4" t="s">
        <v>63</v>
      </c>
      <c r="AB2414" s="4" t="s">
        <v>63</v>
      </c>
      <c r="AC2414" s="4" t="s">
        <v>67</v>
      </c>
      <c r="AD2414" s="4" t="s">
        <v>63</v>
      </c>
      <c r="AE2414" s="4" t="s">
        <v>63</v>
      </c>
      <c r="AF2414" s="4" t="s">
        <v>63</v>
      </c>
      <c r="AG2414" s="4" t="s">
        <v>20322</v>
      </c>
      <c r="AH2414" s="4" t="s">
        <v>63</v>
      </c>
      <c r="AI2414" s="4" t="s">
        <v>20323</v>
      </c>
      <c r="AJ2414" s="4" t="s">
        <v>63</v>
      </c>
      <c r="AK2414" s="4" t="s">
        <v>63</v>
      </c>
      <c r="AL2414" s="4" t="s">
        <v>63</v>
      </c>
      <c r="AM2414" s="4" t="s">
        <v>20324</v>
      </c>
      <c r="AN2414" s="4" t="s">
        <v>63</v>
      </c>
      <c r="AO2414" s="4" t="s">
        <v>63</v>
      </c>
      <c r="AP2414" s="4" t="s">
        <v>63</v>
      </c>
      <c r="AQ2414" s="4" t="s">
        <v>63</v>
      </c>
      <c r="AR2414" s="4" t="s">
        <v>63</v>
      </c>
      <c r="AS2414" s="4" t="s">
        <v>63</v>
      </c>
      <c r="AT2414" s="4" t="s">
        <v>63</v>
      </c>
      <c r="AU2414" s="4" t="s">
        <v>63</v>
      </c>
      <c r="AV2414" s="4" t="s">
        <v>63</v>
      </c>
      <c r="AW2414" s="4" t="s">
        <v>63</v>
      </c>
      <c r="AX2414" s="4" t="s">
        <v>63</v>
      </c>
      <c r="AY2414" s="4" t="s">
        <v>63</v>
      </c>
      <c r="AZ2414" s="4" t="s">
        <v>63</v>
      </c>
      <c r="BA2414" s="4" t="s">
        <v>63</v>
      </c>
      <c r="BB2414" s="4" t="s">
        <v>63</v>
      </c>
      <c r="BC2414" s="4" t="s">
        <v>63</v>
      </c>
      <c r="BD2414" s="4" t="s">
        <v>63</v>
      </c>
      <c r="BE2414" s="4" t="s">
        <v>63</v>
      </c>
      <c r="BF2414" s="4" t="s">
        <v>63</v>
      </c>
    </row>
    <row r="2415" spans="1:58">
      <c r="A2415" s="4" t="s">
        <v>58</v>
      </c>
      <c r="B2415" s="4" t="s">
        <v>20325</v>
      </c>
      <c r="C2415" s="4" t="s">
        <v>20326</v>
      </c>
      <c r="D2415" s="4" t="s">
        <v>574</v>
      </c>
      <c r="E2415" s="4" t="s">
        <v>63</v>
      </c>
      <c r="F2415" s="4">
        <v>2017</v>
      </c>
      <c r="G2415" s="4">
        <v>1</v>
      </c>
      <c r="H2415" s="4" t="s">
        <v>20327</v>
      </c>
      <c r="I2415" s="4">
        <v>3</v>
      </c>
      <c r="J2415" s="4">
        <v>589</v>
      </c>
      <c r="K2415" s="4">
        <v>590</v>
      </c>
      <c r="L2415" s="4" t="s">
        <v>20328</v>
      </c>
      <c r="M2415" s="4" t="s">
        <v>20329</v>
      </c>
      <c r="N2415" s="4" t="s">
        <v>20330</v>
      </c>
      <c r="O2415" s="4" t="s">
        <v>63</v>
      </c>
      <c r="P2415" s="4"/>
      <c r="Q2415" s="4" t="s">
        <v>63</v>
      </c>
      <c r="R2415" s="4" t="s">
        <v>63</v>
      </c>
      <c r="S2415" s="4" t="s">
        <v>63</v>
      </c>
      <c r="T2415" s="4" t="s">
        <v>63</v>
      </c>
      <c r="U2415" s="4"/>
      <c r="V2415" s="4"/>
      <c r="W2415" s="4"/>
      <c r="X2415" s="4" t="s">
        <v>63</v>
      </c>
      <c r="Y2415" s="4" t="s">
        <v>578</v>
      </c>
      <c r="Z2415" s="4" t="s">
        <v>63</v>
      </c>
      <c r="AA2415" s="4" t="s">
        <v>63</v>
      </c>
      <c r="AB2415" s="4" t="s">
        <v>63</v>
      </c>
      <c r="AC2415" s="4" t="s">
        <v>67</v>
      </c>
      <c r="AD2415" s="4" t="s">
        <v>63</v>
      </c>
      <c r="AE2415" s="4" t="s">
        <v>63</v>
      </c>
      <c r="AF2415" s="4" t="s">
        <v>63</v>
      </c>
      <c r="AG2415" s="4" t="s">
        <v>63</v>
      </c>
      <c r="AH2415" s="4" t="s">
        <v>63</v>
      </c>
      <c r="AI2415" s="4" t="s">
        <v>20331</v>
      </c>
      <c r="AJ2415" s="4" t="s">
        <v>63</v>
      </c>
      <c r="AK2415" s="4" t="s">
        <v>63</v>
      </c>
      <c r="AL2415" s="4" t="s">
        <v>63</v>
      </c>
      <c r="AM2415" s="4" t="s">
        <v>20326</v>
      </c>
      <c r="AN2415" s="4" t="s">
        <v>63</v>
      </c>
      <c r="AO2415" s="4" t="s">
        <v>63</v>
      </c>
      <c r="AP2415" s="4" t="s">
        <v>63</v>
      </c>
      <c r="AQ2415" s="4" t="s">
        <v>63</v>
      </c>
      <c r="AR2415" s="4" t="s">
        <v>63</v>
      </c>
      <c r="AS2415" s="4" t="s">
        <v>63</v>
      </c>
      <c r="AT2415" s="4" t="s">
        <v>63</v>
      </c>
      <c r="AU2415" s="4" t="s">
        <v>63</v>
      </c>
      <c r="AV2415" s="4" t="s">
        <v>63</v>
      </c>
      <c r="AW2415" s="4" t="s">
        <v>63</v>
      </c>
      <c r="AX2415" s="4" t="s">
        <v>63</v>
      </c>
      <c r="AY2415" s="4" t="s">
        <v>63</v>
      </c>
      <c r="AZ2415" s="4" t="s">
        <v>63</v>
      </c>
      <c r="BA2415" s="4" t="s">
        <v>63</v>
      </c>
      <c r="BB2415" s="4" t="s">
        <v>63</v>
      </c>
      <c r="BC2415" s="4" t="s">
        <v>63</v>
      </c>
      <c r="BD2415" s="4" t="s">
        <v>63</v>
      </c>
      <c r="BE2415" s="4" t="s">
        <v>63</v>
      </c>
      <c r="BF2415" s="4" t="s">
        <v>63</v>
      </c>
    </row>
    <row r="2416" spans="1:58">
      <c r="A2416" s="4" t="s">
        <v>58</v>
      </c>
      <c r="B2416" s="4" t="s">
        <v>20332</v>
      </c>
      <c r="C2416" s="4" t="s">
        <v>20333</v>
      </c>
      <c r="D2416" s="4" t="s">
        <v>15263</v>
      </c>
      <c r="E2416" s="4" t="s">
        <v>15264</v>
      </c>
      <c r="F2416" s="4">
        <v>2015</v>
      </c>
      <c r="G2416" s="4">
        <v>1</v>
      </c>
      <c r="H2416" s="4">
        <v>146</v>
      </c>
      <c r="I2416" s="4" t="s">
        <v>63</v>
      </c>
      <c r="J2416" s="4" t="s">
        <v>20334</v>
      </c>
      <c r="K2416" s="4" t="s">
        <v>63</v>
      </c>
      <c r="L2416" s="4" t="s">
        <v>20335</v>
      </c>
      <c r="M2416" s="4" t="s">
        <v>20336</v>
      </c>
      <c r="N2416" s="4" t="s">
        <v>20337</v>
      </c>
      <c r="O2416" s="4" t="s">
        <v>63</v>
      </c>
      <c r="P2416" s="4"/>
      <c r="Q2416" s="4" t="s">
        <v>63</v>
      </c>
      <c r="R2416" s="4" t="s">
        <v>63</v>
      </c>
      <c r="S2416" s="4" t="s">
        <v>63</v>
      </c>
      <c r="T2416" s="4" t="s">
        <v>63</v>
      </c>
      <c r="U2416" s="4"/>
      <c r="V2416" s="4"/>
      <c r="W2416" s="4"/>
      <c r="X2416" s="4" t="s">
        <v>63</v>
      </c>
      <c r="Y2416" s="4" t="s">
        <v>4942</v>
      </c>
      <c r="Z2416" s="4" t="s">
        <v>63</v>
      </c>
      <c r="AA2416" s="4" t="s">
        <v>63</v>
      </c>
      <c r="AB2416" s="4" t="s">
        <v>63</v>
      </c>
      <c r="AC2416" s="4" t="s">
        <v>67</v>
      </c>
      <c r="AD2416" s="4" t="s">
        <v>63</v>
      </c>
      <c r="AE2416" s="4" t="s">
        <v>63</v>
      </c>
      <c r="AF2416" s="4" t="s">
        <v>63</v>
      </c>
      <c r="AG2416" s="4" t="s">
        <v>63</v>
      </c>
      <c r="AH2416" s="4" t="s">
        <v>63</v>
      </c>
      <c r="AI2416" s="4" t="s">
        <v>20338</v>
      </c>
      <c r="AJ2416" s="4" t="s">
        <v>63</v>
      </c>
      <c r="AK2416" s="4" t="s">
        <v>63</v>
      </c>
      <c r="AL2416" s="4" t="s">
        <v>63</v>
      </c>
      <c r="AM2416" s="4" t="s">
        <v>20333</v>
      </c>
      <c r="AN2416" s="4" t="s">
        <v>63</v>
      </c>
      <c r="AO2416" s="4" t="s">
        <v>63</v>
      </c>
      <c r="AP2416" s="4" t="s">
        <v>63</v>
      </c>
      <c r="AQ2416" s="4" t="s">
        <v>63</v>
      </c>
      <c r="AR2416" s="4" t="s">
        <v>63</v>
      </c>
      <c r="AS2416" s="4" t="s">
        <v>63</v>
      </c>
      <c r="AT2416" s="4" t="s">
        <v>63</v>
      </c>
      <c r="AU2416" s="4" t="s">
        <v>63</v>
      </c>
      <c r="AV2416" s="4" t="s">
        <v>63</v>
      </c>
      <c r="AW2416" s="4" t="s">
        <v>63</v>
      </c>
      <c r="AX2416" s="4" t="s">
        <v>63</v>
      </c>
      <c r="AY2416" s="4" t="s">
        <v>63</v>
      </c>
      <c r="AZ2416" s="4" t="s">
        <v>63</v>
      </c>
      <c r="BA2416" s="4" t="s">
        <v>63</v>
      </c>
      <c r="BB2416" s="4" t="s">
        <v>63</v>
      </c>
      <c r="BC2416" s="4" t="s">
        <v>63</v>
      </c>
      <c r="BD2416" s="4" t="s">
        <v>63</v>
      </c>
      <c r="BE2416" s="4" t="s">
        <v>63</v>
      </c>
      <c r="BF2416" s="4" t="s">
        <v>63</v>
      </c>
    </row>
    <row r="2417" spans="1:58">
      <c r="A2417" s="4" t="s">
        <v>58</v>
      </c>
      <c r="B2417" s="4" t="s">
        <v>20339</v>
      </c>
      <c r="C2417" s="4" t="s">
        <v>20340</v>
      </c>
      <c r="D2417" s="4" t="s">
        <v>20341</v>
      </c>
      <c r="E2417" s="4" t="s">
        <v>63</v>
      </c>
      <c r="F2417" s="4">
        <v>2016</v>
      </c>
      <c r="G2417" s="4" t="s">
        <v>63</v>
      </c>
      <c r="H2417" s="4" t="s">
        <v>20342</v>
      </c>
      <c r="I2417" s="4" t="s">
        <v>63</v>
      </c>
      <c r="J2417" s="4" t="s">
        <v>19443</v>
      </c>
      <c r="K2417" s="4" t="s">
        <v>63</v>
      </c>
      <c r="L2417" s="4" t="s">
        <v>20343</v>
      </c>
      <c r="M2417" s="4" t="s">
        <v>20344</v>
      </c>
      <c r="N2417" s="4" t="s">
        <v>20345</v>
      </c>
      <c r="O2417" s="4" t="s">
        <v>63</v>
      </c>
      <c r="P2417" s="4"/>
      <c r="Q2417" s="4" t="s">
        <v>63</v>
      </c>
      <c r="R2417" s="4" t="s">
        <v>63</v>
      </c>
      <c r="S2417" s="4" t="s">
        <v>63</v>
      </c>
      <c r="T2417" s="4" t="s">
        <v>63</v>
      </c>
      <c r="U2417" s="4"/>
      <c r="V2417" s="4"/>
      <c r="W2417" s="4"/>
      <c r="X2417" s="4" t="s">
        <v>63</v>
      </c>
      <c r="Y2417" s="4" t="s">
        <v>20346</v>
      </c>
      <c r="Z2417" s="4" t="s">
        <v>63</v>
      </c>
      <c r="AA2417" s="4" t="s">
        <v>63</v>
      </c>
      <c r="AB2417" s="4" t="s">
        <v>63</v>
      </c>
      <c r="AC2417" s="4" t="s">
        <v>67</v>
      </c>
      <c r="AD2417" s="4" t="s">
        <v>63</v>
      </c>
      <c r="AE2417" s="4" t="s">
        <v>63</v>
      </c>
      <c r="AF2417" s="4" t="s">
        <v>63</v>
      </c>
      <c r="AG2417" s="4" t="s">
        <v>63</v>
      </c>
      <c r="AH2417" s="4" t="s">
        <v>63</v>
      </c>
      <c r="AI2417" s="4" t="s">
        <v>20347</v>
      </c>
      <c r="AJ2417" s="4" t="s">
        <v>63</v>
      </c>
      <c r="AK2417" s="4" t="s">
        <v>63</v>
      </c>
      <c r="AL2417" s="4" t="s">
        <v>63</v>
      </c>
      <c r="AM2417" s="4" t="s">
        <v>20340</v>
      </c>
      <c r="AN2417" s="4" t="s">
        <v>63</v>
      </c>
      <c r="AO2417" s="4" t="s">
        <v>63</v>
      </c>
      <c r="AP2417" s="4" t="s">
        <v>63</v>
      </c>
      <c r="AQ2417" s="4" t="s">
        <v>63</v>
      </c>
      <c r="AR2417" s="4" t="s">
        <v>63</v>
      </c>
      <c r="AS2417" s="4" t="s">
        <v>63</v>
      </c>
      <c r="AT2417" s="4" t="s">
        <v>63</v>
      </c>
      <c r="AU2417" s="4" t="s">
        <v>63</v>
      </c>
      <c r="AV2417" s="4" t="s">
        <v>63</v>
      </c>
      <c r="AW2417" s="4" t="s">
        <v>63</v>
      </c>
      <c r="AX2417" s="4" t="s">
        <v>63</v>
      </c>
      <c r="AY2417" s="4" t="s">
        <v>63</v>
      </c>
      <c r="AZ2417" s="4" t="s">
        <v>63</v>
      </c>
      <c r="BA2417" s="4" t="s">
        <v>63</v>
      </c>
      <c r="BB2417" s="4" t="s">
        <v>63</v>
      </c>
      <c r="BC2417" s="4" t="s">
        <v>63</v>
      </c>
      <c r="BD2417" s="4" t="s">
        <v>63</v>
      </c>
      <c r="BE2417" s="4" t="s">
        <v>63</v>
      </c>
      <c r="BF2417" s="4" t="s">
        <v>63</v>
      </c>
    </row>
    <row r="2418" spans="1:58">
      <c r="A2418" s="4" t="s">
        <v>58</v>
      </c>
      <c r="B2418" s="4" t="s">
        <v>20348</v>
      </c>
      <c r="C2418" s="4" t="s">
        <v>20349</v>
      </c>
      <c r="D2418" s="4" t="s">
        <v>20350</v>
      </c>
      <c r="E2418" s="4" t="s">
        <v>63</v>
      </c>
      <c r="F2418" s="4">
        <v>1989</v>
      </c>
      <c r="G2418" s="4" t="s">
        <v>63</v>
      </c>
      <c r="H2418" s="4">
        <v>44</v>
      </c>
      <c r="I2418" s="4">
        <v>6</v>
      </c>
      <c r="J2418" s="4">
        <v>639</v>
      </c>
      <c r="K2418" s="4">
        <v>657</v>
      </c>
      <c r="L2418" s="4" t="s">
        <v>20351</v>
      </c>
      <c r="M2418" s="4" t="s">
        <v>63</v>
      </c>
      <c r="N2418" s="4" t="s">
        <v>20352</v>
      </c>
      <c r="O2418" s="4" t="s">
        <v>63</v>
      </c>
      <c r="P2418" s="4"/>
      <c r="Q2418" s="4" t="s">
        <v>63</v>
      </c>
      <c r="R2418" s="4" t="s">
        <v>63</v>
      </c>
      <c r="S2418" s="4" t="s">
        <v>63</v>
      </c>
      <c r="T2418" s="4" t="s">
        <v>63</v>
      </c>
      <c r="U2418" s="4"/>
      <c r="V2418" s="4"/>
      <c r="W2418" s="4"/>
      <c r="X2418" s="4" t="s">
        <v>63</v>
      </c>
      <c r="Y2418" s="4" t="s">
        <v>20353</v>
      </c>
      <c r="Z2418" s="4" t="s">
        <v>63</v>
      </c>
      <c r="AA2418" s="4" t="s">
        <v>63</v>
      </c>
      <c r="AB2418" s="4">
        <v>1990082801</v>
      </c>
      <c r="AC2418" s="4" t="s">
        <v>67</v>
      </c>
      <c r="AD2418" s="4" t="s">
        <v>63</v>
      </c>
      <c r="AE2418" s="4" t="s">
        <v>63</v>
      </c>
      <c r="AF2418" s="4" t="s">
        <v>63</v>
      </c>
      <c r="AG2418" s="4" t="s">
        <v>20354</v>
      </c>
      <c r="AH2418" s="4" t="s">
        <v>63</v>
      </c>
      <c r="AI2418" s="4" t="s">
        <v>63</v>
      </c>
      <c r="AJ2418" s="4" t="s">
        <v>63</v>
      </c>
      <c r="AK2418" s="4" t="s">
        <v>63</v>
      </c>
      <c r="AL2418" s="4" t="s">
        <v>63</v>
      </c>
      <c r="AM2418" s="4" t="s">
        <v>20355</v>
      </c>
      <c r="AN2418" s="4" t="s">
        <v>63</v>
      </c>
      <c r="AO2418" s="4" t="s">
        <v>63</v>
      </c>
      <c r="AP2418" s="4" t="s">
        <v>63</v>
      </c>
      <c r="AQ2418" s="4" t="s">
        <v>63</v>
      </c>
      <c r="AR2418" s="4" t="s">
        <v>63</v>
      </c>
      <c r="AS2418" s="4" t="s">
        <v>63</v>
      </c>
      <c r="AT2418" s="4" t="s">
        <v>63</v>
      </c>
      <c r="AU2418" s="4" t="s">
        <v>63</v>
      </c>
      <c r="AV2418" s="4" t="s">
        <v>63</v>
      </c>
      <c r="AW2418" s="4" t="s">
        <v>63</v>
      </c>
      <c r="AX2418" s="4" t="s">
        <v>63</v>
      </c>
      <c r="AY2418" s="4" t="s">
        <v>63</v>
      </c>
      <c r="AZ2418" s="4" t="s">
        <v>63</v>
      </c>
      <c r="BA2418" s="4" t="s">
        <v>63</v>
      </c>
      <c r="BB2418" s="4" t="s">
        <v>63</v>
      </c>
      <c r="BC2418" s="4" t="s">
        <v>63</v>
      </c>
      <c r="BD2418" s="4" t="s">
        <v>63</v>
      </c>
      <c r="BE2418" s="4" t="s">
        <v>63</v>
      </c>
      <c r="BF2418" s="4" t="s">
        <v>63</v>
      </c>
    </row>
    <row r="2419" spans="1:58">
      <c r="A2419" s="4" t="s">
        <v>58</v>
      </c>
      <c r="B2419" s="4" t="s">
        <v>20356</v>
      </c>
      <c r="C2419" s="4" t="s">
        <v>20357</v>
      </c>
      <c r="D2419" s="4" t="s">
        <v>1293</v>
      </c>
      <c r="E2419" s="4" t="s">
        <v>1294</v>
      </c>
      <c r="F2419" s="4">
        <v>2005</v>
      </c>
      <c r="G2419" s="4" t="s">
        <v>15665</v>
      </c>
      <c r="H2419" s="4">
        <v>37</v>
      </c>
      <c r="I2419" s="4">
        <v>2</v>
      </c>
      <c r="J2419" s="4">
        <v>105</v>
      </c>
      <c r="K2419" s="4">
        <v>111</v>
      </c>
      <c r="L2419" s="4" t="s">
        <v>20358</v>
      </c>
      <c r="M2419" s="4" t="s">
        <v>20359</v>
      </c>
      <c r="N2419" s="4" t="s">
        <v>20360</v>
      </c>
      <c r="O2419" s="4" t="s">
        <v>63</v>
      </c>
      <c r="P2419" s="4"/>
      <c r="Q2419" s="4" t="s">
        <v>63</v>
      </c>
      <c r="R2419" s="4" t="s">
        <v>63</v>
      </c>
      <c r="S2419" s="4" t="s">
        <v>63</v>
      </c>
      <c r="T2419" s="4" t="s">
        <v>63</v>
      </c>
      <c r="U2419" s="4"/>
      <c r="V2419" s="4"/>
      <c r="W2419" s="4"/>
      <c r="X2419" s="4" t="s">
        <v>63</v>
      </c>
      <c r="Y2419" s="4" t="s">
        <v>1297</v>
      </c>
      <c r="Z2419" s="4" t="s">
        <v>63</v>
      </c>
      <c r="AA2419" s="4" t="s">
        <v>63</v>
      </c>
      <c r="AB2419" s="4">
        <v>2005068838</v>
      </c>
      <c r="AC2419" s="4" t="s">
        <v>67</v>
      </c>
      <c r="AD2419" s="4" t="s">
        <v>63</v>
      </c>
      <c r="AE2419" s="4" t="s">
        <v>63</v>
      </c>
      <c r="AF2419" s="4" t="s">
        <v>63</v>
      </c>
      <c r="AG2419" s="4" t="s">
        <v>20361</v>
      </c>
      <c r="AH2419" s="4" t="s">
        <v>63</v>
      </c>
      <c r="AI2419" s="4" t="s">
        <v>63</v>
      </c>
      <c r="AJ2419" s="4" t="s">
        <v>63</v>
      </c>
      <c r="AK2419" s="4" t="s">
        <v>63</v>
      </c>
      <c r="AL2419" s="4" t="s">
        <v>63</v>
      </c>
      <c r="AM2419" s="4" t="s">
        <v>20362</v>
      </c>
      <c r="AN2419" s="4" t="s">
        <v>63</v>
      </c>
      <c r="AO2419" s="4" t="s">
        <v>63</v>
      </c>
      <c r="AP2419" s="4" t="s">
        <v>63</v>
      </c>
      <c r="AQ2419" s="4" t="s">
        <v>63</v>
      </c>
      <c r="AR2419" s="4" t="s">
        <v>63</v>
      </c>
      <c r="AS2419" s="4" t="s">
        <v>63</v>
      </c>
      <c r="AT2419" s="4" t="s">
        <v>63</v>
      </c>
      <c r="AU2419" s="4" t="s">
        <v>63</v>
      </c>
      <c r="AV2419" s="4" t="s">
        <v>63</v>
      </c>
      <c r="AW2419" s="4" t="s">
        <v>63</v>
      </c>
      <c r="AX2419" s="4" t="s">
        <v>63</v>
      </c>
      <c r="AY2419" s="4" t="s">
        <v>63</v>
      </c>
      <c r="AZ2419" s="4" t="s">
        <v>63</v>
      </c>
      <c r="BA2419" s="4" t="s">
        <v>63</v>
      </c>
      <c r="BB2419" s="4" t="s">
        <v>63</v>
      </c>
      <c r="BC2419" s="4" t="s">
        <v>63</v>
      </c>
      <c r="BD2419" s="4" t="s">
        <v>63</v>
      </c>
      <c r="BE2419" s="4" t="s">
        <v>63</v>
      </c>
      <c r="BF2419" s="4" t="s">
        <v>63</v>
      </c>
    </row>
    <row r="2420" spans="1:58">
      <c r="A2420" s="4" t="s">
        <v>58</v>
      </c>
      <c r="B2420" s="4" t="s">
        <v>20363</v>
      </c>
      <c r="C2420" s="4" t="s">
        <v>20364</v>
      </c>
      <c r="D2420" s="4" t="s">
        <v>20365</v>
      </c>
      <c r="E2420" s="4" t="s">
        <v>63</v>
      </c>
      <c r="F2420" s="4">
        <v>2009</v>
      </c>
      <c r="G2420" s="4" t="s">
        <v>189</v>
      </c>
      <c r="H2420" s="4">
        <v>51</v>
      </c>
      <c r="I2420" s="4">
        <v>3</v>
      </c>
      <c r="J2420" s="4">
        <v>33</v>
      </c>
      <c r="K2420" s="4">
        <v>34</v>
      </c>
      <c r="L2420" s="4" t="s">
        <v>20366</v>
      </c>
      <c r="M2420" s="4" t="s">
        <v>63</v>
      </c>
      <c r="N2420" s="4" t="s">
        <v>20367</v>
      </c>
      <c r="O2420" s="4" t="s">
        <v>63</v>
      </c>
      <c r="P2420" s="4"/>
      <c r="Q2420" s="4" t="s">
        <v>63</v>
      </c>
      <c r="R2420" s="4" t="s">
        <v>63</v>
      </c>
      <c r="S2420" s="4" t="s">
        <v>63</v>
      </c>
      <c r="T2420" s="4" t="s">
        <v>63</v>
      </c>
      <c r="U2420" s="4"/>
      <c r="V2420" s="4"/>
      <c r="W2420" s="4"/>
      <c r="X2420" s="4" t="s">
        <v>63</v>
      </c>
      <c r="Y2420" s="4" t="s">
        <v>20368</v>
      </c>
      <c r="Z2420" s="4" t="s">
        <v>63</v>
      </c>
      <c r="AA2420" s="4" t="s">
        <v>63</v>
      </c>
      <c r="AB2420" s="4" t="s">
        <v>63</v>
      </c>
      <c r="AC2420" s="4" t="s">
        <v>4810</v>
      </c>
      <c r="AD2420" s="4" t="s">
        <v>63</v>
      </c>
      <c r="AE2420" s="4" t="s">
        <v>63</v>
      </c>
      <c r="AF2420" s="4" t="s">
        <v>63</v>
      </c>
      <c r="AG2420" s="4" t="s">
        <v>20369</v>
      </c>
      <c r="AH2420" s="4" t="s">
        <v>63</v>
      </c>
      <c r="AI2420" s="4" t="s">
        <v>20370</v>
      </c>
      <c r="AJ2420" s="4" t="s">
        <v>63</v>
      </c>
      <c r="AK2420" s="4" t="s">
        <v>63</v>
      </c>
      <c r="AL2420" s="4" t="s">
        <v>63</v>
      </c>
      <c r="AM2420" s="4" t="s">
        <v>20371</v>
      </c>
      <c r="AN2420" s="4" t="s">
        <v>63</v>
      </c>
      <c r="AO2420" s="4" t="s">
        <v>63</v>
      </c>
      <c r="AP2420" s="4" t="s">
        <v>63</v>
      </c>
      <c r="AQ2420" s="4" t="s">
        <v>63</v>
      </c>
      <c r="AR2420" s="4" t="s">
        <v>63</v>
      </c>
      <c r="AS2420" s="4" t="s">
        <v>63</v>
      </c>
      <c r="AT2420" s="4" t="s">
        <v>63</v>
      </c>
      <c r="AU2420" s="4" t="s">
        <v>63</v>
      </c>
      <c r="AV2420" s="4" t="s">
        <v>63</v>
      </c>
      <c r="AW2420" s="4" t="s">
        <v>63</v>
      </c>
      <c r="AX2420" s="4" t="s">
        <v>63</v>
      </c>
      <c r="AY2420" s="4" t="s">
        <v>63</v>
      </c>
      <c r="AZ2420" s="4" t="s">
        <v>63</v>
      </c>
      <c r="BA2420" s="4" t="s">
        <v>63</v>
      </c>
      <c r="BB2420" s="4" t="s">
        <v>63</v>
      </c>
      <c r="BC2420" s="4" t="s">
        <v>63</v>
      </c>
      <c r="BD2420" s="4" t="s">
        <v>63</v>
      </c>
      <c r="BE2420" s="4" t="s">
        <v>63</v>
      </c>
      <c r="BF2420" s="4" t="s">
        <v>63</v>
      </c>
    </row>
    <row r="2421" spans="1:58">
      <c r="A2421" s="4" t="s">
        <v>58</v>
      </c>
      <c r="B2421" s="4" t="s">
        <v>20372</v>
      </c>
      <c r="C2421" s="4" t="s">
        <v>20373</v>
      </c>
      <c r="D2421" s="4" t="s">
        <v>2166</v>
      </c>
      <c r="E2421" s="4" t="s">
        <v>2167</v>
      </c>
      <c r="F2421" s="4">
        <v>1977</v>
      </c>
      <c r="G2421" s="4" t="s">
        <v>63</v>
      </c>
      <c r="H2421" s="4">
        <v>60</v>
      </c>
      <c r="I2421" s="4">
        <v>7</v>
      </c>
      <c r="J2421" s="4">
        <v>343</v>
      </c>
      <c r="K2421" s="4" t="s">
        <v>20374</v>
      </c>
      <c r="L2421" s="4" t="s">
        <v>20375</v>
      </c>
      <c r="M2421" s="4" t="s">
        <v>20376</v>
      </c>
      <c r="N2421" s="4" t="s">
        <v>20377</v>
      </c>
      <c r="O2421" s="4" t="s">
        <v>63</v>
      </c>
      <c r="P2421" s="4"/>
      <c r="Q2421" s="4" t="s">
        <v>63</v>
      </c>
      <c r="R2421" s="4" t="s">
        <v>63</v>
      </c>
      <c r="S2421" s="4" t="s">
        <v>63</v>
      </c>
      <c r="T2421" s="4" t="s">
        <v>63</v>
      </c>
      <c r="U2421" s="4"/>
      <c r="V2421" s="4"/>
      <c r="W2421" s="4"/>
      <c r="X2421" s="4" t="s">
        <v>63</v>
      </c>
      <c r="Y2421" s="4" t="s">
        <v>2170</v>
      </c>
      <c r="Z2421" s="4" t="s">
        <v>63</v>
      </c>
      <c r="AA2421" s="4" t="s">
        <v>63</v>
      </c>
      <c r="AB2421" s="4">
        <v>1978161244</v>
      </c>
      <c r="AC2421" s="4" t="s">
        <v>67</v>
      </c>
      <c r="AD2421" s="4" t="s">
        <v>63</v>
      </c>
      <c r="AE2421" s="4" t="s">
        <v>63</v>
      </c>
      <c r="AF2421" s="4" t="s">
        <v>63</v>
      </c>
      <c r="AG2421" s="4" t="s">
        <v>20378</v>
      </c>
      <c r="AH2421" s="4" t="s">
        <v>63</v>
      </c>
      <c r="AI2421" s="4" t="s">
        <v>63</v>
      </c>
      <c r="AJ2421" s="4" t="s">
        <v>63</v>
      </c>
      <c r="AK2421" s="4" t="s">
        <v>63</v>
      </c>
      <c r="AL2421" s="4" t="s">
        <v>63</v>
      </c>
      <c r="AM2421" s="4" t="s">
        <v>20379</v>
      </c>
      <c r="AN2421" s="4" t="s">
        <v>63</v>
      </c>
      <c r="AO2421" s="4" t="s">
        <v>63</v>
      </c>
      <c r="AP2421" s="4" t="s">
        <v>63</v>
      </c>
      <c r="AQ2421" s="4" t="s">
        <v>63</v>
      </c>
      <c r="AR2421" s="4" t="s">
        <v>63</v>
      </c>
      <c r="AS2421" s="4" t="s">
        <v>63</v>
      </c>
      <c r="AT2421" s="4" t="s">
        <v>63</v>
      </c>
      <c r="AU2421" s="4" t="s">
        <v>63</v>
      </c>
      <c r="AV2421" s="4" t="s">
        <v>63</v>
      </c>
      <c r="AW2421" s="4" t="s">
        <v>63</v>
      </c>
      <c r="AX2421" s="4" t="s">
        <v>63</v>
      </c>
      <c r="AY2421" s="4" t="s">
        <v>63</v>
      </c>
      <c r="AZ2421" s="4" t="s">
        <v>63</v>
      </c>
      <c r="BA2421" s="4" t="s">
        <v>63</v>
      </c>
      <c r="BB2421" s="4" t="s">
        <v>63</v>
      </c>
      <c r="BC2421" s="4" t="s">
        <v>63</v>
      </c>
      <c r="BD2421" s="4" t="s">
        <v>63</v>
      </c>
      <c r="BE2421" s="4" t="s">
        <v>63</v>
      </c>
      <c r="BF2421" s="4" t="s">
        <v>63</v>
      </c>
    </row>
    <row r="2422" spans="1:58">
      <c r="A2422" s="4" t="s">
        <v>58</v>
      </c>
      <c r="B2422" s="4" t="s">
        <v>20380</v>
      </c>
      <c r="C2422" s="4" t="s">
        <v>20381</v>
      </c>
      <c r="D2422" s="4" t="s">
        <v>371</v>
      </c>
      <c r="E2422" s="4" t="s">
        <v>63</v>
      </c>
      <c r="F2422" s="4">
        <v>2014</v>
      </c>
      <c r="G2422" s="4" t="s">
        <v>15165</v>
      </c>
      <c r="H2422" s="4" t="s">
        <v>15912</v>
      </c>
      <c r="I2422" s="4" t="s">
        <v>63</v>
      </c>
      <c r="J2422" s="4" t="s">
        <v>20382</v>
      </c>
      <c r="K2422" s="4" t="s">
        <v>63</v>
      </c>
      <c r="L2422" s="4" t="s">
        <v>20383</v>
      </c>
      <c r="M2422" s="4" t="s">
        <v>20384</v>
      </c>
      <c r="N2422" s="4" t="s">
        <v>20385</v>
      </c>
      <c r="O2422" s="4" t="s">
        <v>63</v>
      </c>
      <c r="P2422" s="4"/>
      <c r="Q2422" s="4" t="s">
        <v>63</v>
      </c>
      <c r="R2422" s="4" t="s">
        <v>63</v>
      </c>
      <c r="S2422" s="4" t="s">
        <v>63</v>
      </c>
      <c r="T2422" s="4" t="s">
        <v>63</v>
      </c>
      <c r="U2422" s="4"/>
      <c r="V2422" s="4"/>
      <c r="W2422" s="4"/>
      <c r="X2422" s="4" t="s">
        <v>63</v>
      </c>
      <c r="Y2422" s="4" t="s">
        <v>375</v>
      </c>
      <c r="Z2422" s="4" t="s">
        <v>63</v>
      </c>
      <c r="AA2422" s="4" t="s">
        <v>63</v>
      </c>
      <c r="AB2422" s="4" t="s">
        <v>63</v>
      </c>
      <c r="AC2422" s="4" t="s">
        <v>67</v>
      </c>
      <c r="AD2422" s="4" t="s">
        <v>63</v>
      </c>
      <c r="AE2422" s="4" t="s">
        <v>63</v>
      </c>
      <c r="AF2422" s="4" t="s">
        <v>63</v>
      </c>
      <c r="AG2422" s="4" t="s">
        <v>63</v>
      </c>
      <c r="AH2422" s="4" t="s">
        <v>63</v>
      </c>
      <c r="AI2422" s="4" t="s">
        <v>63</v>
      </c>
      <c r="AJ2422" s="4" t="s">
        <v>63</v>
      </c>
      <c r="AK2422" s="4" t="s">
        <v>63</v>
      </c>
      <c r="AL2422" s="4" t="s">
        <v>63</v>
      </c>
      <c r="AM2422" s="4" t="s">
        <v>20381</v>
      </c>
      <c r="AN2422" s="4" t="s">
        <v>63</v>
      </c>
      <c r="AO2422" s="4" t="s">
        <v>63</v>
      </c>
      <c r="AP2422" s="4" t="s">
        <v>63</v>
      </c>
      <c r="AQ2422" s="4" t="s">
        <v>63</v>
      </c>
      <c r="AR2422" s="4" t="s">
        <v>63</v>
      </c>
      <c r="AS2422" s="4" t="s">
        <v>63</v>
      </c>
      <c r="AT2422" s="4" t="s">
        <v>63</v>
      </c>
      <c r="AU2422" s="4" t="s">
        <v>63</v>
      </c>
      <c r="AV2422" s="4" t="s">
        <v>63</v>
      </c>
      <c r="AW2422" s="4" t="s">
        <v>63</v>
      </c>
      <c r="AX2422" s="4" t="s">
        <v>63</v>
      </c>
      <c r="AY2422" s="4" t="s">
        <v>63</v>
      </c>
      <c r="AZ2422" s="4" t="s">
        <v>63</v>
      </c>
      <c r="BA2422" s="4" t="s">
        <v>63</v>
      </c>
      <c r="BB2422" s="4" t="s">
        <v>63</v>
      </c>
      <c r="BC2422" s="4" t="s">
        <v>63</v>
      </c>
      <c r="BD2422" s="4" t="s">
        <v>63</v>
      </c>
      <c r="BE2422" s="4" t="s">
        <v>63</v>
      </c>
      <c r="BF2422" s="4" t="s">
        <v>63</v>
      </c>
    </row>
    <row r="2423" spans="1:58">
      <c r="A2423" s="4" t="s">
        <v>58</v>
      </c>
      <c r="B2423" s="4" t="s">
        <v>20386</v>
      </c>
      <c r="C2423" s="4" t="s">
        <v>20387</v>
      </c>
      <c r="D2423" s="4" t="s">
        <v>20388</v>
      </c>
      <c r="E2423" s="4" t="s">
        <v>20389</v>
      </c>
      <c r="F2423" s="4">
        <v>1991</v>
      </c>
      <c r="G2423" s="4" t="s">
        <v>63</v>
      </c>
      <c r="H2423" s="4">
        <v>6</v>
      </c>
      <c r="I2423" s="4">
        <v>1</v>
      </c>
      <c r="J2423" s="4">
        <v>121</v>
      </c>
      <c r="K2423" s="4">
        <v>124</v>
      </c>
      <c r="L2423" s="4" t="s">
        <v>20390</v>
      </c>
      <c r="M2423" s="4" t="s">
        <v>63</v>
      </c>
      <c r="N2423" s="4" t="s">
        <v>20391</v>
      </c>
      <c r="O2423" s="4" t="s">
        <v>63</v>
      </c>
      <c r="P2423" s="4"/>
      <c r="Q2423" s="4" t="s">
        <v>63</v>
      </c>
      <c r="R2423" s="4" t="s">
        <v>63</v>
      </c>
      <c r="S2423" s="4" t="s">
        <v>63</v>
      </c>
      <c r="T2423" s="4" t="s">
        <v>63</v>
      </c>
      <c r="U2423" s="4"/>
      <c r="V2423" s="4"/>
      <c r="W2423" s="4"/>
      <c r="X2423" s="4" t="s">
        <v>63</v>
      </c>
      <c r="Y2423" s="4" t="s">
        <v>20392</v>
      </c>
      <c r="Z2423" s="4" t="s">
        <v>63</v>
      </c>
      <c r="AA2423" s="4" t="s">
        <v>63</v>
      </c>
      <c r="AB2423" s="4">
        <v>1991117628</v>
      </c>
      <c r="AC2423" s="4" t="s">
        <v>67</v>
      </c>
      <c r="AD2423" s="4" t="s">
        <v>63</v>
      </c>
      <c r="AE2423" s="4" t="s">
        <v>63</v>
      </c>
      <c r="AF2423" s="4" t="s">
        <v>63</v>
      </c>
      <c r="AG2423" s="4" t="s">
        <v>20393</v>
      </c>
      <c r="AH2423" s="4" t="s">
        <v>63</v>
      </c>
      <c r="AI2423" s="4" t="s">
        <v>63</v>
      </c>
      <c r="AJ2423" s="4" t="s">
        <v>63</v>
      </c>
      <c r="AK2423" s="4" t="s">
        <v>63</v>
      </c>
      <c r="AL2423" s="4" t="s">
        <v>63</v>
      </c>
      <c r="AM2423" s="4" t="s">
        <v>20394</v>
      </c>
      <c r="AN2423" s="4" t="s">
        <v>63</v>
      </c>
      <c r="AO2423" s="4" t="s">
        <v>63</v>
      </c>
      <c r="AP2423" s="4" t="s">
        <v>63</v>
      </c>
      <c r="AQ2423" s="4" t="s">
        <v>63</v>
      </c>
      <c r="AR2423" s="4" t="s">
        <v>63</v>
      </c>
      <c r="AS2423" s="4" t="s">
        <v>63</v>
      </c>
      <c r="AT2423" s="4" t="s">
        <v>63</v>
      </c>
      <c r="AU2423" s="4" t="s">
        <v>63</v>
      </c>
      <c r="AV2423" s="4" t="s">
        <v>63</v>
      </c>
      <c r="AW2423" s="4" t="s">
        <v>63</v>
      </c>
      <c r="AX2423" s="4" t="s">
        <v>63</v>
      </c>
      <c r="AY2423" s="4" t="s">
        <v>63</v>
      </c>
      <c r="AZ2423" s="4" t="s">
        <v>63</v>
      </c>
      <c r="BA2423" s="4" t="s">
        <v>63</v>
      </c>
      <c r="BB2423" s="4" t="s">
        <v>63</v>
      </c>
      <c r="BC2423" s="4" t="s">
        <v>63</v>
      </c>
      <c r="BD2423" s="4" t="s">
        <v>63</v>
      </c>
      <c r="BE2423" s="4" t="s">
        <v>63</v>
      </c>
      <c r="BF2423" s="4" t="s">
        <v>63</v>
      </c>
    </row>
    <row r="2424" spans="1:58">
      <c r="A2424" s="4" t="s">
        <v>58</v>
      </c>
      <c r="B2424" s="4" t="s">
        <v>20395</v>
      </c>
      <c r="C2424" s="4" t="s">
        <v>20396</v>
      </c>
      <c r="D2424" s="4" t="s">
        <v>20397</v>
      </c>
      <c r="E2424" s="4" t="s">
        <v>63</v>
      </c>
      <c r="F2424" s="4">
        <v>2015</v>
      </c>
      <c r="G2424" s="4" t="s">
        <v>63</v>
      </c>
      <c r="H2424" s="4">
        <v>8</v>
      </c>
      <c r="I2424" s="4" t="s">
        <v>63</v>
      </c>
      <c r="J2424" s="4">
        <v>25</v>
      </c>
      <c r="K2424" s="4">
        <v>30</v>
      </c>
      <c r="L2424" s="4" t="s">
        <v>20398</v>
      </c>
      <c r="M2424" s="4" t="s">
        <v>20399</v>
      </c>
      <c r="N2424" s="4" t="s">
        <v>20400</v>
      </c>
      <c r="O2424" s="4" t="s">
        <v>63</v>
      </c>
      <c r="P2424" s="4"/>
      <c r="Q2424" s="4" t="s">
        <v>63</v>
      </c>
      <c r="R2424" s="4" t="s">
        <v>63</v>
      </c>
      <c r="S2424" s="4" t="s">
        <v>63</v>
      </c>
      <c r="T2424" s="4" t="s">
        <v>63</v>
      </c>
      <c r="U2424" s="4"/>
      <c r="V2424" s="4"/>
      <c r="W2424" s="4"/>
      <c r="X2424" s="4" t="s">
        <v>63</v>
      </c>
      <c r="Y2424" s="4" t="s">
        <v>20401</v>
      </c>
      <c r="Z2424" s="4" t="s">
        <v>63</v>
      </c>
      <c r="AA2424" s="4" t="s">
        <v>63</v>
      </c>
      <c r="AB2424" s="4" t="s">
        <v>20402</v>
      </c>
      <c r="AC2424" s="4" t="s">
        <v>67</v>
      </c>
      <c r="AD2424" s="4" t="s">
        <v>63</v>
      </c>
      <c r="AE2424" s="4" t="s">
        <v>63</v>
      </c>
      <c r="AF2424" s="4" t="s">
        <v>63</v>
      </c>
      <c r="AG2424" s="4" t="s">
        <v>63</v>
      </c>
      <c r="AH2424" s="4" t="s">
        <v>63</v>
      </c>
      <c r="AI2424" s="4" t="s">
        <v>20403</v>
      </c>
      <c r="AJ2424" s="4" t="s">
        <v>63</v>
      </c>
      <c r="AK2424" s="4" t="s">
        <v>63</v>
      </c>
      <c r="AL2424" s="4" t="s">
        <v>63</v>
      </c>
      <c r="AM2424" s="4" t="s">
        <v>20396</v>
      </c>
      <c r="AN2424" s="4" t="s">
        <v>63</v>
      </c>
      <c r="AO2424" s="4" t="s">
        <v>63</v>
      </c>
      <c r="AP2424" s="4" t="s">
        <v>63</v>
      </c>
      <c r="AQ2424" s="4" t="s">
        <v>63</v>
      </c>
      <c r="AR2424" s="4" t="s">
        <v>63</v>
      </c>
      <c r="AS2424" s="4" t="s">
        <v>63</v>
      </c>
      <c r="AT2424" s="4" t="s">
        <v>63</v>
      </c>
      <c r="AU2424" s="4" t="s">
        <v>63</v>
      </c>
      <c r="AV2424" s="4" t="s">
        <v>63</v>
      </c>
      <c r="AW2424" s="4" t="s">
        <v>63</v>
      </c>
      <c r="AX2424" s="4" t="s">
        <v>63</v>
      </c>
      <c r="AY2424" s="4" t="s">
        <v>63</v>
      </c>
      <c r="AZ2424" s="4" t="s">
        <v>63</v>
      </c>
      <c r="BA2424" s="4" t="s">
        <v>63</v>
      </c>
      <c r="BB2424" s="4" t="s">
        <v>63</v>
      </c>
      <c r="BC2424" s="4" t="s">
        <v>63</v>
      </c>
      <c r="BD2424" s="4" t="s">
        <v>63</v>
      </c>
      <c r="BE2424" s="4" t="s">
        <v>63</v>
      </c>
      <c r="BF2424" s="4" t="s">
        <v>63</v>
      </c>
    </row>
    <row r="2425" spans="1:58">
      <c r="A2425" s="4" t="s">
        <v>58</v>
      </c>
      <c r="B2425" s="4" t="s">
        <v>20404</v>
      </c>
      <c r="C2425" s="4" t="s">
        <v>20405</v>
      </c>
      <c r="D2425" s="4" t="s">
        <v>15263</v>
      </c>
      <c r="E2425" s="4" t="s">
        <v>15264</v>
      </c>
      <c r="F2425" s="4">
        <v>2017</v>
      </c>
      <c r="G2425" s="4">
        <v>1</v>
      </c>
      <c r="H2425" s="4">
        <v>171</v>
      </c>
      <c r="I2425" s="4" t="s">
        <v>63</v>
      </c>
      <c r="J2425" s="4" t="s">
        <v>20406</v>
      </c>
      <c r="K2425" s="4" t="s">
        <v>20407</v>
      </c>
      <c r="L2425" s="4" t="s">
        <v>20408</v>
      </c>
      <c r="M2425" s="4" t="s">
        <v>20409</v>
      </c>
      <c r="N2425" s="4" t="s">
        <v>20410</v>
      </c>
      <c r="O2425" s="4" t="s">
        <v>63</v>
      </c>
      <c r="P2425" s="4"/>
      <c r="Q2425" s="4" t="s">
        <v>63</v>
      </c>
      <c r="R2425" s="4" t="s">
        <v>63</v>
      </c>
      <c r="S2425" s="4" t="s">
        <v>63</v>
      </c>
      <c r="T2425" s="4" t="s">
        <v>63</v>
      </c>
      <c r="U2425" s="4"/>
      <c r="V2425" s="4"/>
      <c r="W2425" s="4"/>
      <c r="X2425" s="4" t="s">
        <v>63</v>
      </c>
      <c r="Y2425" s="4" t="s">
        <v>4942</v>
      </c>
      <c r="Z2425" s="4" t="s">
        <v>63</v>
      </c>
      <c r="AA2425" s="4" t="s">
        <v>63</v>
      </c>
      <c r="AB2425" s="4" t="s">
        <v>63</v>
      </c>
      <c r="AC2425" s="4" t="s">
        <v>67</v>
      </c>
      <c r="AD2425" s="4" t="s">
        <v>63</v>
      </c>
      <c r="AE2425" s="4" t="s">
        <v>63</v>
      </c>
      <c r="AF2425" s="4" t="s">
        <v>63</v>
      </c>
      <c r="AG2425" s="4" t="s">
        <v>63</v>
      </c>
      <c r="AH2425" s="4" t="s">
        <v>63</v>
      </c>
      <c r="AI2425" s="4" t="s">
        <v>20411</v>
      </c>
      <c r="AJ2425" s="4" t="s">
        <v>63</v>
      </c>
      <c r="AK2425" s="4" t="s">
        <v>63</v>
      </c>
      <c r="AL2425" s="4" t="s">
        <v>63</v>
      </c>
      <c r="AM2425" s="4" t="s">
        <v>20405</v>
      </c>
      <c r="AN2425" s="4" t="s">
        <v>63</v>
      </c>
      <c r="AO2425" s="4" t="s">
        <v>63</v>
      </c>
      <c r="AP2425" s="4" t="s">
        <v>63</v>
      </c>
      <c r="AQ2425" s="4" t="s">
        <v>63</v>
      </c>
      <c r="AR2425" s="4" t="s">
        <v>63</v>
      </c>
      <c r="AS2425" s="4" t="s">
        <v>63</v>
      </c>
      <c r="AT2425" s="4" t="s">
        <v>63</v>
      </c>
      <c r="AU2425" s="4" t="s">
        <v>63</v>
      </c>
      <c r="AV2425" s="4" t="s">
        <v>63</v>
      </c>
      <c r="AW2425" s="4" t="s">
        <v>63</v>
      </c>
      <c r="AX2425" s="4" t="s">
        <v>63</v>
      </c>
      <c r="AY2425" s="4" t="s">
        <v>63</v>
      </c>
      <c r="AZ2425" s="4" t="s">
        <v>63</v>
      </c>
      <c r="BA2425" s="4" t="s">
        <v>63</v>
      </c>
      <c r="BB2425" s="4" t="s">
        <v>63</v>
      </c>
      <c r="BC2425" s="4" t="s">
        <v>63</v>
      </c>
      <c r="BD2425" s="4" t="s">
        <v>63</v>
      </c>
      <c r="BE2425" s="4" t="s">
        <v>63</v>
      </c>
      <c r="BF2425" s="4" t="s">
        <v>63</v>
      </c>
    </row>
    <row r="2426" spans="1:58">
      <c r="A2426" s="4" t="s">
        <v>58</v>
      </c>
      <c r="B2426" s="4" t="s">
        <v>20412</v>
      </c>
      <c r="C2426" s="4" t="s">
        <v>20413</v>
      </c>
      <c r="D2426" s="4" t="s">
        <v>20414</v>
      </c>
      <c r="E2426" s="4" t="s">
        <v>63</v>
      </c>
      <c r="F2426" s="4">
        <v>2006</v>
      </c>
      <c r="G2426" s="4" t="s">
        <v>63</v>
      </c>
      <c r="H2426" s="4" t="s">
        <v>20415</v>
      </c>
      <c r="I2426" s="4" t="s">
        <v>63</v>
      </c>
      <c r="J2426" s="4" t="s">
        <v>63</v>
      </c>
      <c r="K2426" s="4" t="s">
        <v>63</v>
      </c>
      <c r="L2426" s="4" t="s">
        <v>20416</v>
      </c>
      <c r="M2426" s="4" t="s">
        <v>63</v>
      </c>
      <c r="N2426" s="4" t="s">
        <v>20417</v>
      </c>
      <c r="O2426" s="4" t="s">
        <v>63</v>
      </c>
      <c r="P2426" s="4"/>
      <c r="Q2426" s="4" t="s">
        <v>63</v>
      </c>
      <c r="R2426" s="4" t="s">
        <v>63</v>
      </c>
      <c r="S2426" s="4" t="s">
        <v>63</v>
      </c>
      <c r="T2426" s="4" t="s">
        <v>63</v>
      </c>
      <c r="U2426" s="4"/>
      <c r="V2426" s="4"/>
      <c r="W2426" s="4"/>
      <c r="X2426" s="4" t="s">
        <v>63</v>
      </c>
      <c r="Y2426" s="4" t="s">
        <v>10150</v>
      </c>
      <c r="Z2426" s="4" t="s">
        <v>63</v>
      </c>
      <c r="AA2426" s="4" t="s">
        <v>63</v>
      </c>
      <c r="AB2426" s="4" t="s">
        <v>20418</v>
      </c>
      <c r="AC2426" s="4" t="s">
        <v>67</v>
      </c>
      <c r="AD2426" s="4" t="s">
        <v>63</v>
      </c>
      <c r="AE2426" s="4" t="s">
        <v>63</v>
      </c>
      <c r="AF2426" s="4" t="s">
        <v>63</v>
      </c>
      <c r="AG2426" s="4" t="s">
        <v>63</v>
      </c>
      <c r="AH2426" s="4" t="s">
        <v>63</v>
      </c>
      <c r="AI2426" s="4" t="s">
        <v>63</v>
      </c>
      <c r="AJ2426" s="4" t="s">
        <v>63</v>
      </c>
      <c r="AK2426" s="4" t="s">
        <v>63</v>
      </c>
      <c r="AL2426" s="4" t="s">
        <v>63</v>
      </c>
      <c r="AM2426" s="4" t="s">
        <v>20413</v>
      </c>
      <c r="AN2426" s="4" t="s">
        <v>63</v>
      </c>
      <c r="AO2426" s="4" t="s">
        <v>63</v>
      </c>
      <c r="AP2426" s="4" t="s">
        <v>63</v>
      </c>
      <c r="AQ2426" s="4" t="s">
        <v>63</v>
      </c>
      <c r="AR2426" s="4" t="s">
        <v>63</v>
      </c>
      <c r="AS2426" s="4" t="s">
        <v>63</v>
      </c>
      <c r="AT2426" s="4" t="s">
        <v>63</v>
      </c>
      <c r="AU2426" s="4" t="s">
        <v>63</v>
      </c>
      <c r="AV2426" s="4" t="s">
        <v>63</v>
      </c>
      <c r="AW2426" s="4" t="s">
        <v>63</v>
      </c>
      <c r="AX2426" s="4" t="s">
        <v>63</v>
      </c>
      <c r="AY2426" s="4" t="s">
        <v>63</v>
      </c>
      <c r="AZ2426" s="4" t="s">
        <v>63</v>
      </c>
      <c r="BA2426" s="4" t="s">
        <v>63</v>
      </c>
      <c r="BB2426" s="4" t="s">
        <v>63</v>
      </c>
      <c r="BC2426" s="4" t="s">
        <v>63</v>
      </c>
      <c r="BD2426" s="4" t="s">
        <v>63</v>
      </c>
      <c r="BE2426" s="4" t="s">
        <v>63</v>
      </c>
      <c r="BF2426" s="4" t="s">
        <v>63</v>
      </c>
    </row>
    <row r="2427" spans="1:58">
      <c r="A2427" s="4" t="s">
        <v>58</v>
      </c>
      <c r="B2427" s="4" t="s">
        <v>20419</v>
      </c>
      <c r="C2427" s="4" t="s">
        <v>20420</v>
      </c>
      <c r="D2427" s="4" t="s">
        <v>3344</v>
      </c>
      <c r="E2427" s="4" t="s">
        <v>3344</v>
      </c>
      <c r="F2427" s="4">
        <v>2009</v>
      </c>
      <c r="G2427" s="4" t="s">
        <v>63</v>
      </c>
      <c r="H2427" s="4">
        <v>56</v>
      </c>
      <c r="I2427" s="4" t="s">
        <v>63</v>
      </c>
      <c r="J2427" s="4">
        <v>44</v>
      </c>
      <c r="K2427" s="4">
        <v>47</v>
      </c>
      <c r="L2427" s="4" t="s">
        <v>20421</v>
      </c>
      <c r="M2427" s="4" t="s">
        <v>20422</v>
      </c>
      <c r="N2427" s="4" t="s">
        <v>20423</v>
      </c>
      <c r="O2427" s="4" t="s">
        <v>63</v>
      </c>
      <c r="P2427" s="4"/>
      <c r="Q2427" s="4" t="s">
        <v>63</v>
      </c>
      <c r="R2427" s="4" t="s">
        <v>63</v>
      </c>
      <c r="S2427" s="4" t="s">
        <v>63</v>
      </c>
      <c r="T2427" s="4" t="s">
        <v>63</v>
      </c>
      <c r="U2427" s="4"/>
      <c r="V2427" s="4"/>
      <c r="W2427" s="4"/>
      <c r="X2427" s="4" t="s">
        <v>63</v>
      </c>
      <c r="Y2427" s="4" t="s">
        <v>20424</v>
      </c>
      <c r="Z2427" s="4" t="s">
        <v>63</v>
      </c>
      <c r="AA2427" s="4" t="s">
        <v>63</v>
      </c>
      <c r="AB2427" s="4">
        <v>2009000489</v>
      </c>
      <c r="AC2427" s="4" t="s">
        <v>67</v>
      </c>
      <c r="AD2427" s="4" t="s">
        <v>63</v>
      </c>
      <c r="AE2427" s="4" t="s">
        <v>63</v>
      </c>
      <c r="AF2427" s="4" t="s">
        <v>63</v>
      </c>
      <c r="AG2427" s="4" t="s">
        <v>20425</v>
      </c>
      <c r="AH2427" s="4" t="s">
        <v>63</v>
      </c>
      <c r="AI2427" s="4" t="s">
        <v>20426</v>
      </c>
      <c r="AJ2427" s="4" t="s">
        <v>63</v>
      </c>
      <c r="AK2427" s="4" t="s">
        <v>63</v>
      </c>
      <c r="AL2427" s="4" t="s">
        <v>63</v>
      </c>
      <c r="AM2427" s="4" t="s">
        <v>20427</v>
      </c>
      <c r="AN2427" s="4" t="s">
        <v>63</v>
      </c>
      <c r="AO2427" s="4" t="s">
        <v>63</v>
      </c>
      <c r="AP2427" s="4" t="s">
        <v>63</v>
      </c>
      <c r="AQ2427" s="4" t="s">
        <v>63</v>
      </c>
      <c r="AR2427" s="4" t="s">
        <v>63</v>
      </c>
      <c r="AS2427" s="4" t="s">
        <v>63</v>
      </c>
      <c r="AT2427" s="4" t="s">
        <v>63</v>
      </c>
      <c r="AU2427" s="4" t="s">
        <v>63</v>
      </c>
      <c r="AV2427" s="4" t="s">
        <v>63</v>
      </c>
      <c r="AW2427" s="4" t="s">
        <v>63</v>
      </c>
      <c r="AX2427" s="4" t="s">
        <v>63</v>
      </c>
      <c r="AY2427" s="4" t="s">
        <v>63</v>
      </c>
      <c r="AZ2427" s="4" t="s">
        <v>63</v>
      </c>
      <c r="BA2427" s="4" t="s">
        <v>63</v>
      </c>
      <c r="BB2427" s="4" t="s">
        <v>63</v>
      </c>
      <c r="BC2427" s="4" t="s">
        <v>63</v>
      </c>
      <c r="BD2427" s="4" t="s">
        <v>63</v>
      </c>
      <c r="BE2427" s="4" t="s">
        <v>63</v>
      </c>
      <c r="BF2427" s="4" t="s">
        <v>63</v>
      </c>
    </row>
    <row r="2428" spans="1:58">
      <c r="A2428" s="4" t="s">
        <v>58</v>
      </c>
      <c r="B2428" s="4" t="s">
        <v>20428</v>
      </c>
      <c r="C2428" s="4" t="s">
        <v>20429</v>
      </c>
      <c r="D2428" s="4" t="s">
        <v>15920</v>
      </c>
      <c r="E2428" s="4" t="s">
        <v>63</v>
      </c>
      <c r="F2428" s="4">
        <v>2003</v>
      </c>
      <c r="G2428" s="4" t="s">
        <v>15472</v>
      </c>
      <c r="H2428" s="4">
        <v>20</v>
      </c>
      <c r="I2428" s="4">
        <v>3</v>
      </c>
      <c r="J2428" s="4">
        <v>105</v>
      </c>
      <c r="K2428" s="4" t="s">
        <v>63</v>
      </c>
      <c r="L2428" s="4" t="s">
        <v>20430</v>
      </c>
      <c r="M2428" s="4" t="s">
        <v>63</v>
      </c>
      <c r="N2428" s="4" t="s">
        <v>20431</v>
      </c>
      <c r="O2428" s="4" t="s">
        <v>63</v>
      </c>
      <c r="P2428" s="4"/>
      <c r="Q2428" s="4" t="s">
        <v>63</v>
      </c>
      <c r="R2428" s="4" t="s">
        <v>63</v>
      </c>
      <c r="S2428" s="4" t="s">
        <v>63</v>
      </c>
      <c r="T2428" s="4" t="s">
        <v>63</v>
      </c>
      <c r="U2428" s="4"/>
      <c r="V2428" s="4"/>
      <c r="W2428" s="4"/>
      <c r="X2428" s="4" t="s">
        <v>63</v>
      </c>
      <c r="Y2428" s="4" t="s">
        <v>17890</v>
      </c>
      <c r="Z2428" s="4" t="s">
        <v>63</v>
      </c>
      <c r="AA2428" s="4" t="s">
        <v>63</v>
      </c>
      <c r="AB2428" s="4" t="s">
        <v>20432</v>
      </c>
      <c r="AC2428" s="4" t="s">
        <v>67</v>
      </c>
      <c r="AD2428" s="4" t="s">
        <v>63</v>
      </c>
      <c r="AE2428" s="4" t="s">
        <v>63</v>
      </c>
      <c r="AF2428" s="4" t="s">
        <v>63</v>
      </c>
      <c r="AG2428" s="4" t="s">
        <v>63</v>
      </c>
      <c r="AH2428" s="4" t="s">
        <v>63</v>
      </c>
      <c r="AI2428" s="4" t="s">
        <v>63</v>
      </c>
      <c r="AJ2428" s="4" t="s">
        <v>63</v>
      </c>
      <c r="AK2428" s="4" t="s">
        <v>63</v>
      </c>
      <c r="AL2428" s="4" t="s">
        <v>63</v>
      </c>
      <c r="AM2428" s="4" t="s">
        <v>20433</v>
      </c>
      <c r="AN2428" s="4" t="s">
        <v>63</v>
      </c>
      <c r="AO2428" s="4" t="s">
        <v>63</v>
      </c>
      <c r="AP2428" s="4" t="s">
        <v>63</v>
      </c>
      <c r="AQ2428" s="4" t="s">
        <v>63</v>
      </c>
      <c r="AR2428" s="4" t="s">
        <v>63</v>
      </c>
      <c r="AS2428" s="4" t="s">
        <v>63</v>
      </c>
      <c r="AT2428" s="4" t="s">
        <v>63</v>
      </c>
      <c r="AU2428" s="4" t="s">
        <v>63</v>
      </c>
      <c r="AV2428" s="4" t="s">
        <v>63</v>
      </c>
      <c r="AW2428" s="4" t="s">
        <v>63</v>
      </c>
      <c r="AX2428" s="4" t="s">
        <v>63</v>
      </c>
      <c r="AY2428" s="4" t="s">
        <v>63</v>
      </c>
      <c r="AZ2428" s="4" t="s">
        <v>63</v>
      </c>
      <c r="BA2428" s="4" t="s">
        <v>63</v>
      </c>
      <c r="BB2428" s="4" t="s">
        <v>63</v>
      </c>
      <c r="BC2428" s="4" t="s">
        <v>63</v>
      </c>
      <c r="BD2428" s="4" t="s">
        <v>63</v>
      </c>
      <c r="BE2428" s="4" t="s">
        <v>63</v>
      </c>
      <c r="BF2428" s="4" t="s">
        <v>63</v>
      </c>
    </row>
    <row r="2429" spans="1:58">
      <c r="A2429" s="4" t="s">
        <v>58</v>
      </c>
      <c r="B2429" s="4" t="s">
        <v>20434</v>
      </c>
      <c r="C2429" s="4" t="s">
        <v>20435</v>
      </c>
      <c r="D2429" s="4" t="s">
        <v>389</v>
      </c>
      <c r="E2429" s="4" t="s">
        <v>63</v>
      </c>
      <c r="F2429" s="4">
        <v>1997</v>
      </c>
      <c r="G2429" s="4" t="s">
        <v>274</v>
      </c>
      <c r="H2429" s="4">
        <v>18</v>
      </c>
      <c r="I2429" s="4">
        <v>1</v>
      </c>
      <c r="J2429" s="4">
        <v>33</v>
      </c>
      <c r="K2429" s="4">
        <v>40</v>
      </c>
      <c r="L2429" s="4" t="s">
        <v>20436</v>
      </c>
      <c r="M2429" s="4" t="s">
        <v>20437</v>
      </c>
      <c r="N2429" s="4" t="s">
        <v>20438</v>
      </c>
      <c r="O2429" s="4" t="s">
        <v>63</v>
      </c>
      <c r="P2429" s="4"/>
      <c r="Q2429" s="4" t="s">
        <v>63</v>
      </c>
      <c r="R2429" s="4" t="s">
        <v>63</v>
      </c>
      <c r="S2429" s="4" t="s">
        <v>63</v>
      </c>
      <c r="T2429" s="4" t="s">
        <v>63</v>
      </c>
      <c r="U2429" s="4"/>
      <c r="V2429" s="4"/>
      <c r="W2429" s="4"/>
      <c r="X2429" s="4" t="s">
        <v>63</v>
      </c>
      <c r="Y2429" s="4" t="s">
        <v>392</v>
      </c>
      <c r="Z2429" s="4" t="s">
        <v>63</v>
      </c>
      <c r="AA2429" s="4" t="s">
        <v>63</v>
      </c>
      <c r="AB2429" s="4" t="s">
        <v>20439</v>
      </c>
      <c r="AC2429" s="4" t="s">
        <v>67</v>
      </c>
      <c r="AD2429" s="4" t="s">
        <v>63</v>
      </c>
      <c r="AE2429" s="4" t="s">
        <v>63</v>
      </c>
      <c r="AF2429" s="4" t="s">
        <v>63</v>
      </c>
      <c r="AG2429" s="4" t="s">
        <v>63</v>
      </c>
      <c r="AH2429" s="4" t="s">
        <v>63</v>
      </c>
      <c r="AI2429" s="4" t="s">
        <v>63</v>
      </c>
      <c r="AJ2429" s="4" t="s">
        <v>63</v>
      </c>
      <c r="AK2429" s="4" t="s">
        <v>63</v>
      </c>
      <c r="AL2429" s="4" t="s">
        <v>63</v>
      </c>
      <c r="AM2429" s="4" t="s">
        <v>20435</v>
      </c>
      <c r="AN2429" s="4" t="s">
        <v>63</v>
      </c>
      <c r="AO2429" s="4" t="s">
        <v>63</v>
      </c>
      <c r="AP2429" s="4" t="s">
        <v>63</v>
      </c>
      <c r="AQ2429" s="4" t="s">
        <v>63</v>
      </c>
      <c r="AR2429" s="4" t="s">
        <v>63</v>
      </c>
      <c r="AS2429" s="4" t="s">
        <v>63</v>
      </c>
      <c r="AT2429" s="4" t="s">
        <v>63</v>
      </c>
      <c r="AU2429" s="4" t="s">
        <v>63</v>
      </c>
      <c r="AV2429" s="4" t="s">
        <v>63</v>
      </c>
      <c r="AW2429" s="4" t="s">
        <v>63</v>
      </c>
      <c r="AX2429" s="4" t="s">
        <v>63</v>
      </c>
      <c r="AY2429" s="4" t="s">
        <v>63</v>
      </c>
      <c r="AZ2429" s="4" t="s">
        <v>63</v>
      </c>
      <c r="BA2429" s="4" t="s">
        <v>63</v>
      </c>
      <c r="BB2429" s="4" t="s">
        <v>63</v>
      </c>
      <c r="BC2429" s="4" t="s">
        <v>63</v>
      </c>
      <c r="BD2429" s="4" t="s">
        <v>63</v>
      </c>
      <c r="BE2429" s="4" t="s">
        <v>63</v>
      </c>
      <c r="BF2429" s="4" t="s">
        <v>63</v>
      </c>
    </row>
    <row r="2430" spans="1:58">
      <c r="A2430" s="4" t="s">
        <v>58</v>
      </c>
      <c r="B2430" s="4" t="s">
        <v>20440</v>
      </c>
      <c r="C2430" s="4" t="s">
        <v>20441</v>
      </c>
      <c r="D2430" s="4" t="s">
        <v>20168</v>
      </c>
      <c r="E2430" s="4" t="s">
        <v>63</v>
      </c>
      <c r="F2430" s="4">
        <v>2014</v>
      </c>
      <c r="G2430" s="4">
        <v>1</v>
      </c>
      <c r="H2430" s="4">
        <v>174</v>
      </c>
      <c r="I2430" s="4">
        <v>11</v>
      </c>
      <c r="J2430" s="4">
        <v>1717</v>
      </c>
      <c r="K2430" s="4">
        <v>1718</v>
      </c>
      <c r="L2430" s="4" t="s">
        <v>20442</v>
      </c>
      <c r="M2430" s="4" t="s">
        <v>63</v>
      </c>
      <c r="N2430" s="4" t="s">
        <v>20443</v>
      </c>
      <c r="O2430" s="4" t="s">
        <v>63</v>
      </c>
      <c r="P2430" s="4"/>
      <c r="Q2430" s="4" t="s">
        <v>63</v>
      </c>
      <c r="R2430" s="4" t="s">
        <v>63</v>
      </c>
      <c r="S2430" s="4" t="s">
        <v>63</v>
      </c>
      <c r="T2430" s="4" t="s">
        <v>63</v>
      </c>
      <c r="U2430" s="4"/>
      <c r="V2430" s="4"/>
      <c r="W2430" s="4"/>
      <c r="X2430" s="4" t="s">
        <v>63</v>
      </c>
      <c r="Y2430" s="4" t="s">
        <v>20171</v>
      </c>
      <c r="Z2430" s="4" t="s">
        <v>63</v>
      </c>
      <c r="AA2430" s="4" t="s">
        <v>63</v>
      </c>
      <c r="AB2430" s="4">
        <v>2015022863</v>
      </c>
      <c r="AC2430" s="4" t="s">
        <v>67</v>
      </c>
      <c r="AD2430" s="4" t="s">
        <v>63</v>
      </c>
      <c r="AE2430" s="4" t="s">
        <v>63</v>
      </c>
      <c r="AF2430" s="4" t="s">
        <v>63</v>
      </c>
      <c r="AG2430" s="4" t="s">
        <v>20444</v>
      </c>
      <c r="AH2430" s="4" t="s">
        <v>63</v>
      </c>
      <c r="AI2430" s="4" t="s">
        <v>20445</v>
      </c>
      <c r="AJ2430" s="4" t="s">
        <v>63</v>
      </c>
      <c r="AK2430" s="4" t="s">
        <v>63</v>
      </c>
      <c r="AL2430" s="4" t="s">
        <v>63</v>
      </c>
      <c r="AM2430" s="4" t="s">
        <v>20446</v>
      </c>
      <c r="AN2430" s="4" t="s">
        <v>63</v>
      </c>
      <c r="AO2430" s="4" t="s">
        <v>63</v>
      </c>
      <c r="AP2430" s="4" t="s">
        <v>63</v>
      </c>
      <c r="AQ2430" s="4" t="s">
        <v>63</v>
      </c>
      <c r="AR2430" s="4" t="s">
        <v>63</v>
      </c>
      <c r="AS2430" s="4" t="s">
        <v>63</v>
      </c>
      <c r="AT2430" s="4" t="s">
        <v>63</v>
      </c>
      <c r="AU2430" s="4" t="s">
        <v>63</v>
      </c>
      <c r="AV2430" s="4" t="s">
        <v>63</v>
      </c>
      <c r="AW2430" s="4" t="s">
        <v>63</v>
      </c>
      <c r="AX2430" s="4" t="s">
        <v>63</v>
      </c>
      <c r="AY2430" s="4" t="s">
        <v>63</v>
      </c>
      <c r="AZ2430" s="4" t="s">
        <v>63</v>
      </c>
      <c r="BA2430" s="4" t="s">
        <v>63</v>
      </c>
      <c r="BB2430" s="4" t="s">
        <v>63</v>
      </c>
      <c r="BC2430" s="4" t="s">
        <v>63</v>
      </c>
      <c r="BD2430" s="4" t="s">
        <v>63</v>
      </c>
      <c r="BE2430" s="4" t="s">
        <v>63</v>
      </c>
      <c r="BF2430" s="4" t="s">
        <v>63</v>
      </c>
    </row>
    <row r="2431" spans="1:58">
      <c r="A2431" s="4" t="s">
        <v>58</v>
      </c>
      <c r="B2431" s="4" t="s">
        <v>20447</v>
      </c>
      <c r="C2431" s="4" t="s">
        <v>20448</v>
      </c>
      <c r="D2431" s="4" t="s">
        <v>15263</v>
      </c>
      <c r="E2431" s="4" t="s">
        <v>15264</v>
      </c>
      <c r="F2431" s="4">
        <v>2017</v>
      </c>
      <c r="G2431" s="4">
        <v>1</v>
      </c>
      <c r="H2431" s="4">
        <v>171</v>
      </c>
      <c r="I2431" s="4" t="s">
        <v>63</v>
      </c>
      <c r="J2431" s="4" t="s">
        <v>20407</v>
      </c>
      <c r="K2431" s="4" t="s">
        <v>63</v>
      </c>
      <c r="L2431" s="4" t="s">
        <v>20449</v>
      </c>
      <c r="M2431" s="4" t="s">
        <v>20450</v>
      </c>
      <c r="N2431" s="4" t="s">
        <v>20451</v>
      </c>
      <c r="O2431" s="4" t="s">
        <v>63</v>
      </c>
      <c r="P2431" s="4"/>
      <c r="Q2431" s="4" t="s">
        <v>63</v>
      </c>
      <c r="R2431" s="4" t="s">
        <v>63</v>
      </c>
      <c r="S2431" s="4" t="s">
        <v>63</v>
      </c>
      <c r="T2431" s="4" t="s">
        <v>63</v>
      </c>
      <c r="U2431" s="4"/>
      <c r="V2431" s="4"/>
      <c r="W2431" s="4"/>
      <c r="X2431" s="4" t="s">
        <v>63</v>
      </c>
      <c r="Y2431" s="4" t="s">
        <v>4942</v>
      </c>
      <c r="Z2431" s="4" t="s">
        <v>63</v>
      </c>
      <c r="AA2431" s="4" t="s">
        <v>63</v>
      </c>
      <c r="AB2431" s="4" t="s">
        <v>63</v>
      </c>
      <c r="AC2431" s="4" t="s">
        <v>67</v>
      </c>
      <c r="AD2431" s="4" t="s">
        <v>63</v>
      </c>
      <c r="AE2431" s="4" t="s">
        <v>63</v>
      </c>
      <c r="AF2431" s="4" t="s">
        <v>63</v>
      </c>
      <c r="AG2431" s="4" t="s">
        <v>63</v>
      </c>
      <c r="AH2431" s="4" t="s">
        <v>63</v>
      </c>
      <c r="AI2431" s="4" t="s">
        <v>20452</v>
      </c>
      <c r="AJ2431" s="4" t="s">
        <v>63</v>
      </c>
      <c r="AK2431" s="4" t="s">
        <v>63</v>
      </c>
      <c r="AL2431" s="4" t="s">
        <v>63</v>
      </c>
      <c r="AM2431" s="4" t="s">
        <v>20448</v>
      </c>
      <c r="AN2431" s="4" t="s">
        <v>63</v>
      </c>
      <c r="AO2431" s="4" t="s">
        <v>63</v>
      </c>
      <c r="AP2431" s="4" t="s">
        <v>63</v>
      </c>
      <c r="AQ2431" s="4" t="s">
        <v>63</v>
      </c>
      <c r="AR2431" s="4" t="s">
        <v>63</v>
      </c>
      <c r="AS2431" s="4" t="s">
        <v>63</v>
      </c>
      <c r="AT2431" s="4" t="s">
        <v>63</v>
      </c>
      <c r="AU2431" s="4" t="s">
        <v>63</v>
      </c>
      <c r="AV2431" s="4" t="s">
        <v>63</v>
      </c>
      <c r="AW2431" s="4" t="s">
        <v>63</v>
      </c>
      <c r="AX2431" s="4" t="s">
        <v>63</v>
      </c>
      <c r="AY2431" s="4" t="s">
        <v>63</v>
      </c>
      <c r="AZ2431" s="4" t="s">
        <v>63</v>
      </c>
      <c r="BA2431" s="4" t="s">
        <v>63</v>
      </c>
      <c r="BB2431" s="4" t="s">
        <v>63</v>
      </c>
      <c r="BC2431" s="4" t="s">
        <v>63</v>
      </c>
      <c r="BD2431" s="4" t="s">
        <v>63</v>
      </c>
      <c r="BE2431" s="4" t="s">
        <v>63</v>
      </c>
      <c r="BF2431" s="4" t="s">
        <v>63</v>
      </c>
    </row>
    <row r="2432" spans="1:58">
      <c r="A2432" s="4" t="s">
        <v>58</v>
      </c>
      <c r="B2432" s="4" t="s">
        <v>20453</v>
      </c>
      <c r="C2432" s="4" t="s">
        <v>20454</v>
      </c>
      <c r="D2432" s="4" t="s">
        <v>20455</v>
      </c>
      <c r="E2432" s="4" t="s">
        <v>20456</v>
      </c>
      <c r="F2432" s="4">
        <v>2011</v>
      </c>
      <c r="G2432" s="4" t="s">
        <v>63</v>
      </c>
      <c r="H2432" s="4">
        <v>26</v>
      </c>
      <c r="I2432" s="4">
        <v>1</v>
      </c>
      <c r="J2432" s="4" t="s">
        <v>20457</v>
      </c>
      <c r="K2432" s="4">
        <v>23</v>
      </c>
      <c r="L2432" s="4" t="s">
        <v>20458</v>
      </c>
      <c r="M2432" s="4" t="s">
        <v>20459</v>
      </c>
      <c r="N2432" s="4" t="s">
        <v>20460</v>
      </c>
      <c r="O2432" s="4" t="s">
        <v>63</v>
      </c>
      <c r="P2432" s="4"/>
      <c r="Q2432" s="4" t="s">
        <v>63</v>
      </c>
      <c r="R2432" s="4" t="s">
        <v>63</v>
      </c>
      <c r="S2432" s="4" t="s">
        <v>63</v>
      </c>
      <c r="T2432" s="4" t="s">
        <v>63</v>
      </c>
      <c r="U2432" s="4"/>
      <c r="V2432" s="4"/>
      <c r="W2432" s="4"/>
      <c r="X2432" s="4" t="s">
        <v>63</v>
      </c>
      <c r="Y2432" s="4" t="s">
        <v>8444</v>
      </c>
      <c r="Z2432" s="4" t="s">
        <v>63</v>
      </c>
      <c r="AA2432" s="4" t="s">
        <v>63</v>
      </c>
      <c r="AB2432" s="4" t="s">
        <v>63</v>
      </c>
      <c r="AC2432" s="4" t="s">
        <v>67</v>
      </c>
      <c r="AD2432" s="4" t="s">
        <v>63</v>
      </c>
      <c r="AE2432" s="4" t="s">
        <v>63</v>
      </c>
      <c r="AF2432" s="4" t="s">
        <v>63</v>
      </c>
      <c r="AG2432" s="4" t="s">
        <v>20461</v>
      </c>
      <c r="AH2432" s="4" t="s">
        <v>63</v>
      </c>
      <c r="AI2432" s="4" t="s">
        <v>63</v>
      </c>
      <c r="AJ2432" s="4" t="s">
        <v>63</v>
      </c>
      <c r="AK2432" s="4" t="s">
        <v>63</v>
      </c>
      <c r="AL2432" s="4" t="s">
        <v>63</v>
      </c>
      <c r="AM2432" s="4" t="s">
        <v>20462</v>
      </c>
      <c r="AN2432" s="4" t="s">
        <v>63</v>
      </c>
      <c r="AO2432" s="4" t="s">
        <v>63</v>
      </c>
      <c r="AP2432" s="4" t="s">
        <v>63</v>
      </c>
      <c r="AQ2432" s="4" t="s">
        <v>63</v>
      </c>
      <c r="AR2432" s="4" t="s">
        <v>63</v>
      </c>
      <c r="AS2432" s="4" t="s">
        <v>63</v>
      </c>
      <c r="AT2432" s="4" t="s">
        <v>63</v>
      </c>
      <c r="AU2432" s="4" t="s">
        <v>63</v>
      </c>
      <c r="AV2432" s="4" t="s">
        <v>63</v>
      </c>
      <c r="AW2432" s="4" t="s">
        <v>63</v>
      </c>
      <c r="AX2432" s="4" t="s">
        <v>63</v>
      </c>
      <c r="AY2432" s="4" t="s">
        <v>63</v>
      </c>
      <c r="AZ2432" s="4" t="s">
        <v>63</v>
      </c>
      <c r="BA2432" s="4" t="s">
        <v>63</v>
      </c>
      <c r="BB2432" s="4" t="s">
        <v>63</v>
      </c>
      <c r="BC2432" s="4" t="s">
        <v>63</v>
      </c>
      <c r="BD2432" s="4" t="s">
        <v>63</v>
      </c>
      <c r="BE2432" s="4" t="s">
        <v>63</v>
      </c>
      <c r="BF2432" s="4" t="s">
        <v>63</v>
      </c>
    </row>
    <row r="2433" spans="1:58">
      <c r="A2433" s="4" t="s">
        <v>58</v>
      </c>
      <c r="B2433" s="4" t="s">
        <v>20463</v>
      </c>
      <c r="C2433" s="4" t="s">
        <v>20464</v>
      </c>
      <c r="D2433" s="4" t="s">
        <v>19021</v>
      </c>
      <c r="E2433" s="4" t="s">
        <v>63</v>
      </c>
      <c r="F2433" s="4">
        <v>1998</v>
      </c>
      <c r="G2433" s="4" t="s">
        <v>63</v>
      </c>
      <c r="H2433" s="4">
        <v>33</v>
      </c>
      <c r="I2433" s="4">
        <v>12</v>
      </c>
      <c r="J2433" s="4">
        <v>2425</v>
      </c>
      <c r="K2433" s="4">
        <v>2440</v>
      </c>
      <c r="L2433" s="4" t="s">
        <v>20465</v>
      </c>
      <c r="M2433" s="4" t="s">
        <v>20466</v>
      </c>
      <c r="N2433" s="4" t="s">
        <v>20467</v>
      </c>
      <c r="O2433" s="4" t="s">
        <v>63</v>
      </c>
      <c r="P2433" s="4"/>
      <c r="Q2433" s="4" t="s">
        <v>63</v>
      </c>
      <c r="R2433" s="4" t="s">
        <v>63</v>
      </c>
      <c r="S2433" s="4" t="s">
        <v>63</v>
      </c>
      <c r="T2433" s="4" t="s">
        <v>63</v>
      </c>
      <c r="U2433" s="4"/>
      <c r="V2433" s="4"/>
      <c r="W2433" s="4"/>
      <c r="X2433" s="4" t="s">
        <v>63</v>
      </c>
      <c r="Y2433" s="4" t="s">
        <v>3682</v>
      </c>
      <c r="Z2433" s="4" t="s">
        <v>63</v>
      </c>
      <c r="AA2433" s="4" t="s">
        <v>63</v>
      </c>
      <c r="AB2433" s="4">
        <v>1998339066</v>
      </c>
      <c r="AC2433" s="4" t="s">
        <v>67</v>
      </c>
      <c r="AD2433" s="4" t="s">
        <v>63</v>
      </c>
      <c r="AE2433" s="4" t="s">
        <v>63</v>
      </c>
      <c r="AF2433" s="4" t="s">
        <v>63</v>
      </c>
      <c r="AG2433" s="4" t="s">
        <v>20468</v>
      </c>
      <c r="AH2433" s="4" t="s">
        <v>63</v>
      </c>
      <c r="AI2433" s="4" t="s">
        <v>63</v>
      </c>
      <c r="AJ2433" s="4" t="s">
        <v>63</v>
      </c>
      <c r="AK2433" s="4" t="s">
        <v>63</v>
      </c>
      <c r="AL2433" s="4" t="s">
        <v>63</v>
      </c>
      <c r="AM2433" s="4" t="s">
        <v>20469</v>
      </c>
      <c r="AN2433" s="4" t="s">
        <v>63</v>
      </c>
      <c r="AO2433" s="4" t="s">
        <v>63</v>
      </c>
      <c r="AP2433" s="4" t="s">
        <v>63</v>
      </c>
      <c r="AQ2433" s="4" t="s">
        <v>63</v>
      </c>
      <c r="AR2433" s="4" t="s">
        <v>63</v>
      </c>
      <c r="AS2433" s="4" t="s">
        <v>63</v>
      </c>
      <c r="AT2433" s="4" t="s">
        <v>63</v>
      </c>
      <c r="AU2433" s="4" t="s">
        <v>63</v>
      </c>
      <c r="AV2433" s="4" t="s">
        <v>63</v>
      </c>
      <c r="AW2433" s="4" t="s">
        <v>63</v>
      </c>
      <c r="AX2433" s="4" t="s">
        <v>63</v>
      </c>
      <c r="AY2433" s="4" t="s">
        <v>63</v>
      </c>
      <c r="AZ2433" s="4" t="s">
        <v>63</v>
      </c>
      <c r="BA2433" s="4" t="s">
        <v>63</v>
      </c>
      <c r="BB2433" s="4" t="s">
        <v>63</v>
      </c>
      <c r="BC2433" s="4" t="s">
        <v>63</v>
      </c>
      <c r="BD2433" s="4" t="s">
        <v>63</v>
      </c>
      <c r="BE2433" s="4" t="s">
        <v>63</v>
      </c>
      <c r="BF2433" s="4" t="s">
        <v>63</v>
      </c>
    </row>
    <row r="2434" spans="1:58">
      <c r="A2434" s="4" t="s">
        <v>58</v>
      </c>
      <c r="B2434" s="4" t="s">
        <v>20470</v>
      </c>
      <c r="C2434" s="4" t="s">
        <v>20471</v>
      </c>
      <c r="D2434" s="4" t="s">
        <v>15656</v>
      </c>
      <c r="E2434" s="4" t="s">
        <v>15656</v>
      </c>
      <c r="F2434" s="4">
        <v>2010</v>
      </c>
      <c r="G2434" s="4">
        <v>13</v>
      </c>
      <c r="H2434" s="4">
        <v>122</v>
      </c>
      <c r="I2434" s="4">
        <v>2</v>
      </c>
      <c r="J2434" s="4" t="s">
        <v>20472</v>
      </c>
      <c r="K2434" s="4" t="s">
        <v>63</v>
      </c>
      <c r="L2434" s="4" t="s">
        <v>20473</v>
      </c>
      <c r="M2434" s="4" t="s">
        <v>20474</v>
      </c>
      <c r="N2434" s="4" t="s">
        <v>20475</v>
      </c>
      <c r="O2434" s="4" t="s">
        <v>63</v>
      </c>
      <c r="P2434" s="4"/>
      <c r="Q2434" s="4" t="s">
        <v>63</v>
      </c>
      <c r="R2434" s="4" t="s">
        <v>63</v>
      </c>
      <c r="S2434" s="4" t="s">
        <v>63</v>
      </c>
      <c r="T2434" s="4" t="s">
        <v>63</v>
      </c>
      <c r="U2434" s="4"/>
      <c r="V2434" s="4"/>
      <c r="W2434" s="4"/>
      <c r="X2434" s="4" t="s">
        <v>63</v>
      </c>
      <c r="Y2434" s="5">
        <v>41903</v>
      </c>
      <c r="Z2434" s="4" t="s">
        <v>63</v>
      </c>
      <c r="AA2434" s="4" t="s">
        <v>63</v>
      </c>
      <c r="AB2434" s="4" t="s">
        <v>63</v>
      </c>
      <c r="AC2434" s="4" t="s">
        <v>67</v>
      </c>
      <c r="AD2434" s="4" t="s">
        <v>63</v>
      </c>
      <c r="AE2434" s="4" t="s">
        <v>63</v>
      </c>
      <c r="AF2434" s="4" t="s">
        <v>63</v>
      </c>
      <c r="AG2434" s="4" t="s">
        <v>63</v>
      </c>
      <c r="AH2434" s="4" t="s">
        <v>63</v>
      </c>
      <c r="AI2434" s="4" t="s">
        <v>20476</v>
      </c>
      <c r="AJ2434" s="4" t="s">
        <v>63</v>
      </c>
      <c r="AK2434" s="4" t="s">
        <v>63</v>
      </c>
      <c r="AL2434" s="4" t="s">
        <v>63</v>
      </c>
      <c r="AM2434" s="4" t="s">
        <v>20471</v>
      </c>
      <c r="AN2434" s="4" t="s">
        <v>63</v>
      </c>
      <c r="AO2434" s="4" t="s">
        <v>63</v>
      </c>
      <c r="AP2434" s="4" t="s">
        <v>63</v>
      </c>
      <c r="AQ2434" s="4" t="s">
        <v>63</v>
      </c>
      <c r="AR2434" s="4" t="s">
        <v>63</v>
      </c>
      <c r="AS2434" s="4" t="s">
        <v>63</v>
      </c>
      <c r="AT2434" s="4" t="s">
        <v>63</v>
      </c>
      <c r="AU2434" s="4" t="s">
        <v>63</v>
      </c>
      <c r="AV2434" s="4" t="s">
        <v>63</v>
      </c>
      <c r="AW2434" s="4" t="s">
        <v>63</v>
      </c>
      <c r="AX2434" s="4" t="s">
        <v>63</v>
      </c>
      <c r="AY2434" s="4" t="s">
        <v>63</v>
      </c>
      <c r="AZ2434" s="4" t="s">
        <v>63</v>
      </c>
      <c r="BA2434" s="4" t="s">
        <v>63</v>
      </c>
      <c r="BB2434" s="4" t="s">
        <v>63</v>
      </c>
      <c r="BC2434" s="4" t="s">
        <v>63</v>
      </c>
      <c r="BD2434" s="4" t="s">
        <v>63</v>
      </c>
      <c r="BE2434" s="4" t="s">
        <v>63</v>
      </c>
      <c r="BF2434" s="4" t="s">
        <v>63</v>
      </c>
    </row>
    <row r="2435" spans="1:58">
      <c r="A2435" s="4" t="s">
        <v>58</v>
      </c>
      <c r="B2435" s="4" t="s">
        <v>20477</v>
      </c>
      <c r="C2435" s="4" t="s">
        <v>20478</v>
      </c>
      <c r="D2435" s="4" t="s">
        <v>20479</v>
      </c>
      <c r="E2435" s="4" t="s">
        <v>63</v>
      </c>
      <c r="F2435" s="4">
        <v>2015</v>
      </c>
      <c r="G2435" s="4" t="s">
        <v>63</v>
      </c>
      <c r="H2435" s="4" t="s">
        <v>20480</v>
      </c>
      <c r="I2435" s="4" t="s">
        <v>63</v>
      </c>
      <c r="J2435" s="4" t="s">
        <v>63</v>
      </c>
      <c r="K2435" s="4" t="s">
        <v>63</v>
      </c>
      <c r="L2435" s="4" t="s">
        <v>20481</v>
      </c>
      <c r="M2435" s="4" t="s">
        <v>20482</v>
      </c>
      <c r="N2435" s="4" t="s">
        <v>20483</v>
      </c>
      <c r="O2435" s="4" t="s">
        <v>63</v>
      </c>
      <c r="P2435" s="4"/>
      <c r="Q2435" s="4" t="s">
        <v>63</v>
      </c>
      <c r="R2435" s="4" t="s">
        <v>63</v>
      </c>
      <c r="S2435" s="4" t="s">
        <v>63</v>
      </c>
      <c r="T2435" s="4" t="s">
        <v>63</v>
      </c>
      <c r="U2435" s="4"/>
      <c r="V2435" s="4"/>
      <c r="W2435" s="4"/>
      <c r="X2435" s="4" t="s">
        <v>63</v>
      </c>
      <c r="Y2435" s="4" t="s">
        <v>20484</v>
      </c>
      <c r="Z2435" s="4" t="s">
        <v>63</v>
      </c>
      <c r="AA2435" s="4" t="s">
        <v>63</v>
      </c>
      <c r="AB2435" s="4" t="s">
        <v>63</v>
      </c>
      <c r="AC2435" s="4" t="s">
        <v>67</v>
      </c>
      <c r="AD2435" s="4" t="s">
        <v>63</v>
      </c>
      <c r="AE2435" s="4" t="s">
        <v>63</v>
      </c>
      <c r="AF2435" s="4" t="s">
        <v>63</v>
      </c>
      <c r="AG2435" s="4" t="s">
        <v>63</v>
      </c>
      <c r="AH2435" s="4" t="s">
        <v>63</v>
      </c>
      <c r="AI2435" s="4" t="s">
        <v>63</v>
      </c>
      <c r="AJ2435" s="4" t="s">
        <v>63</v>
      </c>
      <c r="AK2435" s="4" t="s">
        <v>63</v>
      </c>
      <c r="AL2435" s="4" t="s">
        <v>63</v>
      </c>
      <c r="AM2435" s="4" t="s">
        <v>20478</v>
      </c>
      <c r="AN2435" s="4" t="s">
        <v>63</v>
      </c>
      <c r="AO2435" s="4" t="s">
        <v>63</v>
      </c>
      <c r="AP2435" s="4" t="s">
        <v>63</v>
      </c>
      <c r="AQ2435" s="4" t="s">
        <v>63</v>
      </c>
      <c r="AR2435" s="4" t="s">
        <v>63</v>
      </c>
      <c r="AS2435" s="4" t="s">
        <v>63</v>
      </c>
      <c r="AT2435" s="4" t="s">
        <v>63</v>
      </c>
      <c r="AU2435" s="4" t="s">
        <v>63</v>
      </c>
      <c r="AV2435" s="4" t="s">
        <v>63</v>
      </c>
      <c r="AW2435" s="4" t="s">
        <v>63</v>
      </c>
      <c r="AX2435" s="4" t="s">
        <v>63</v>
      </c>
      <c r="AY2435" s="4" t="s">
        <v>63</v>
      </c>
      <c r="AZ2435" s="4" t="s">
        <v>63</v>
      </c>
      <c r="BA2435" s="4" t="s">
        <v>63</v>
      </c>
      <c r="BB2435" s="4" t="s">
        <v>63</v>
      </c>
      <c r="BC2435" s="4" t="s">
        <v>63</v>
      </c>
      <c r="BD2435" s="4" t="s">
        <v>63</v>
      </c>
      <c r="BE2435" s="4" t="s">
        <v>63</v>
      </c>
      <c r="BF2435" s="4" t="s">
        <v>63</v>
      </c>
    </row>
    <row r="2436" spans="1:58">
      <c r="A2436" s="4" t="s">
        <v>58</v>
      </c>
      <c r="B2436" s="4" t="s">
        <v>20485</v>
      </c>
      <c r="C2436" s="4" t="s">
        <v>20486</v>
      </c>
      <c r="D2436" s="4" t="s">
        <v>20341</v>
      </c>
      <c r="E2436" s="4" t="s">
        <v>63</v>
      </c>
      <c r="F2436" s="4">
        <v>2017</v>
      </c>
      <c r="G2436" s="4" t="s">
        <v>63</v>
      </c>
      <c r="H2436" s="4" t="s">
        <v>20487</v>
      </c>
      <c r="I2436" s="4" t="s">
        <v>63</v>
      </c>
      <c r="J2436" s="4" t="s">
        <v>20488</v>
      </c>
      <c r="K2436" s="4" t="s">
        <v>63</v>
      </c>
      <c r="L2436" s="4" t="s">
        <v>20489</v>
      </c>
      <c r="M2436" s="4" t="s">
        <v>20490</v>
      </c>
      <c r="N2436" s="4" t="s">
        <v>20491</v>
      </c>
      <c r="O2436" s="4" t="s">
        <v>63</v>
      </c>
      <c r="P2436" s="4"/>
      <c r="Q2436" s="4" t="s">
        <v>63</v>
      </c>
      <c r="R2436" s="4" t="s">
        <v>63</v>
      </c>
      <c r="S2436" s="4" t="s">
        <v>63</v>
      </c>
      <c r="T2436" s="4" t="s">
        <v>63</v>
      </c>
      <c r="U2436" s="4"/>
      <c r="V2436" s="4"/>
      <c r="W2436" s="4"/>
      <c r="X2436" s="4" t="s">
        <v>63</v>
      </c>
      <c r="Y2436" s="4" t="s">
        <v>20346</v>
      </c>
      <c r="Z2436" s="4" t="s">
        <v>63</v>
      </c>
      <c r="AA2436" s="4" t="s">
        <v>63</v>
      </c>
      <c r="AB2436" s="4" t="s">
        <v>63</v>
      </c>
      <c r="AC2436" s="4" t="s">
        <v>67</v>
      </c>
      <c r="AD2436" s="4" t="s">
        <v>63</v>
      </c>
      <c r="AE2436" s="4" t="s">
        <v>63</v>
      </c>
      <c r="AF2436" s="4" t="s">
        <v>63</v>
      </c>
      <c r="AG2436" s="4" t="s">
        <v>63</v>
      </c>
      <c r="AH2436" s="4" t="s">
        <v>63</v>
      </c>
      <c r="AI2436" s="4" t="s">
        <v>20492</v>
      </c>
      <c r="AJ2436" s="4" t="s">
        <v>63</v>
      </c>
      <c r="AK2436" s="4" t="s">
        <v>63</v>
      </c>
      <c r="AL2436" s="4" t="s">
        <v>63</v>
      </c>
      <c r="AM2436" s="4" t="s">
        <v>20486</v>
      </c>
      <c r="AN2436" s="4" t="s">
        <v>63</v>
      </c>
      <c r="AO2436" s="4" t="s">
        <v>63</v>
      </c>
      <c r="AP2436" s="4" t="s">
        <v>63</v>
      </c>
      <c r="AQ2436" s="4" t="s">
        <v>63</v>
      </c>
      <c r="AR2436" s="4" t="s">
        <v>63</v>
      </c>
      <c r="AS2436" s="4" t="s">
        <v>63</v>
      </c>
      <c r="AT2436" s="4" t="s">
        <v>63</v>
      </c>
      <c r="AU2436" s="4" t="s">
        <v>63</v>
      </c>
      <c r="AV2436" s="4" t="s">
        <v>63</v>
      </c>
      <c r="AW2436" s="4" t="s">
        <v>63</v>
      </c>
      <c r="AX2436" s="4" t="s">
        <v>63</v>
      </c>
      <c r="AY2436" s="4" t="s">
        <v>63</v>
      </c>
      <c r="AZ2436" s="4" t="s">
        <v>63</v>
      </c>
      <c r="BA2436" s="4" t="s">
        <v>63</v>
      </c>
      <c r="BB2436" s="4" t="s">
        <v>63</v>
      </c>
      <c r="BC2436" s="4" t="s">
        <v>63</v>
      </c>
      <c r="BD2436" s="4" t="s">
        <v>63</v>
      </c>
      <c r="BE2436" s="4" t="s">
        <v>63</v>
      </c>
      <c r="BF2436" s="4" t="s">
        <v>63</v>
      </c>
    </row>
    <row r="2437" spans="1:58">
      <c r="A2437" s="4" t="s">
        <v>58</v>
      </c>
      <c r="B2437" s="4" t="s">
        <v>20493</v>
      </c>
      <c r="C2437" s="4" t="s">
        <v>20494</v>
      </c>
      <c r="D2437" s="4" t="s">
        <v>20495</v>
      </c>
      <c r="E2437" s="4" t="s">
        <v>63</v>
      </c>
      <c r="F2437" s="4">
        <v>2017</v>
      </c>
      <c r="G2437" s="4">
        <v>1</v>
      </c>
      <c r="H2437" s="4" t="s">
        <v>20496</v>
      </c>
      <c r="I2437" s="4" t="s">
        <v>63</v>
      </c>
      <c r="J2437" s="4" t="s">
        <v>15614</v>
      </c>
      <c r="K2437" s="4" t="s">
        <v>19005</v>
      </c>
      <c r="L2437" s="4" t="s">
        <v>20497</v>
      </c>
      <c r="M2437" s="4" t="s">
        <v>20498</v>
      </c>
      <c r="N2437" s="4" t="s">
        <v>20499</v>
      </c>
      <c r="O2437" s="4" t="s">
        <v>63</v>
      </c>
      <c r="P2437" s="4"/>
      <c r="Q2437" s="4" t="s">
        <v>63</v>
      </c>
      <c r="R2437" s="4" t="s">
        <v>63</v>
      </c>
      <c r="S2437" s="4" t="s">
        <v>63</v>
      </c>
      <c r="T2437" s="4" t="s">
        <v>63</v>
      </c>
      <c r="U2437" s="4"/>
      <c r="V2437" s="4"/>
      <c r="W2437" s="4"/>
      <c r="X2437" s="4" t="s">
        <v>63</v>
      </c>
      <c r="Y2437" s="4" t="s">
        <v>20500</v>
      </c>
      <c r="Z2437" s="4" t="s">
        <v>63</v>
      </c>
      <c r="AA2437" s="4" t="s">
        <v>63</v>
      </c>
      <c r="AB2437" s="4" t="s">
        <v>63</v>
      </c>
      <c r="AC2437" s="4" t="s">
        <v>67</v>
      </c>
      <c r="AD2437" s="4" t="s">
        <v>63</v>
      </c>
      <c r="AE2437" s="4" t="s">
        <v>63</v>
      </c>
      <c r="AF2437" s="4" t="s">
        <v>63</v>
      </c>
      <c r="AG2437" s="4" t="s">
        <v>63</v>
      </c>
      <c r="AH2437" s="4" t="s">
        <v>63</v>
      </c>
      <c r="AI2437" s="4" t="s">
        <v>63</v>
      </c>
      <c r="AJ2437" s="4" t="s">
        <v>63</v>
      </c>
      <c r="AK2437" s="4" t="s">
        <v>63</v>
      </c>
      <c r="AL2437" s="4" t="s">
        <v>63</v>
      </c>
      <c r="AM2437" s="4" t="s">
        <v>20494</v>
      </c>
      <c r="AN2437" s="4" t="s">
        <v>63</v>
      </c>
      <c r="AO2437" s="4" t="s">
        <v>63</v>
      </c>
      <c r="AP2437" s="4" t="s">
        <v>63</v>
      </c>
      <c r="AQ2437" s="4" t="s">
        <v>63</v>
      </c>
      <c r="AR2437" s="4" t="s">
        <v>63</v>
      </c>
      <c r="AS2437" s="4" t="s">
        <v>63</v>
      </c>
      <c r="AT2437" s="4" t="s">
        <v>63</v>
      </c>
      <c r="AU2437" s="4" t="s">
        <v>63</v>
      </c>
      <c r="AV2437" s="4" t="s">
        <v>63</v>
      </c>
      <c r="AW2437" s="4" t="s">
        <v>63</v>
      </c>
      <c r="AX2437" s="4" t="s">
        <v>63</v>
      </c>
      <c r="AY2437" s="4" t="s">
        <v>63</v>
      </c>
      <c r="AZ2437" s="4" t="s">
        <v>63</v>
      </c>
      <c r="BA2437" s="4" t="s">
        <v>63</v>
      </c>
      <c r="BB2437" s="4" t="s">
        <v>63</v>
      </c>
      <c r="BC2437" s="4" t="s">
        <v>63</v>
      </c>
      <c r="BD2437" s="4" t="s">
        <v>63</v>
      </c>
      <c r="BE2437" s="4" t="s">
        <v>63</v>
      </c>
      <c r="BF2437" s="4" t="s">
        <v>63</v>
      </c>
    </row>
    <row r="2438" spans="1:58">
      <c r="A2438" s="4" t="s">
        <v>58</v>
      </c>
      <c r="B2438" s="4" t="s">
        <v>20501</v>
      </c>
      <c r="C2438" s="4" t="s">
        <v>20502</v>
      </c>
      <c r="D2438" s="4" t="s">
        <v>15589</v>
      </c>
      <c r="E2438" s="4" t="s">
        <v>63</v>
      </c>
      <c r="F2438" s="4">
        <v>2016</v>
      </c>
      <c r="G2438" s="4" t="s">
        <v>15389</v>
      </c>
      <c r="H2438" s="4" t="s">
        <v>16595</v>
      </c>
      <c r="I2438" s="4" t="s">
        <v>63</v>
      </c>
      <c r="J2438" s="4" t="s">
        <v>20503</v>
      </c>
      <c r="K2438" s="4" t="s">
        <v>63</v>
      </c>
      <c r="L2438" s="4" t="s">
        <v>20504</v>
      </c>
      <c r="M2438" s="4" t="s">
        <v>20505</v>
      </c>
      <c r="N2438" s="4" t="s">
        <v>20506</v>
      </c>
      <c r="O2438" s="4" t="s">
        <v>63</v>
      </c>
      <c r="P2438" s="4"/>
      <c r="Q2438" s="4" t="s">
        <v>63</v>
      </c>
      <c r="R2438" s="4" t="s">
        <v>63</v>
      </c>
      <c r="S2438" s="4" t="s">
        <v>63</v>
      </c>
      <c r="T2438" s="4" t="s">
        <v>63</v>
      </c>
      <c r="U2438" s="4"/>
      <c r="V2438" s="4"/>
      <c r="W2438" s="4"/>
      <c r="X2438" s="4" t="s">
        <v>63</v>
      </c>
      <c r="Y2438" s="4" t="s">
        <v>16600</v>
      </c>
      <c r="Z2438" s="4" t="s">
        <v>63</v>
      </c>
      <c r="AA2438" s="4" t="s">
        <v>63</v>
      </c>
      <c r="AB2438" s="4" t="s">
        <v>63</v>
      </c>
      <c r="AC2438" s="4" t="s">
        <v>67</v>
      </c>
      <c r="AD2438" s="4" t="s">
        <v>63</v>
      </c>
      <c r="AE2438" s="4" t="s">
        <v>63</v>
      </c>
      <c r="AF2438" s="4" t="s">
        <v>63</v>
      </c>
      <c r="AG2438" s="4" t="s">
        <v>63</v>
      </c>
      <c r="AH2438" s="4" t="s">
        <v>63</v>
      </c>
      <c r="AI2438" s="4" t="s">
        <v>20507</v>
      </c>
      <c r="AJ2438" s="4" t="s">
        <v>63</v>
      </c>
      <c r="AK2438" s="4" t="s">
        <v>63</v>
      </c>
      <c r="AL2438" s="4" t="s">
        <v>63</v>
      </c>
      <c r="AM2438" s="4" t="s">
        <v>20502</v>
      </c>
      <c r="AN2438" s="4" t="s">
        <v>63</v>
      </c>
      <c r="AO2438" s="4" t="s">
        <v>63</v>
      </c>
      <c r="AP2438" s="4" t="s">
        <v>63</v>
      </c>
      <c r="AQ2438" s="4" t="s">
        <v>63</v>
      </c>
      <c r="AR2438" s="4" t="s">
        <v>63</v>
      </c>
      <c r="AS2438" s="4" t="s">
        <v>63</v>
      </c>
      <c r="AT2438" s="4" t="s">
        <v>63</v>
      </c>
      <c r="AU2438" s="4" t="s">
        <v>63</v>
      </c>
      <c r="AV2438" s="4" t="s">
        <v>63</v>
      </c>
      <c r="AW2438" s="4" t="s">
        <v>63</v>
      </c>
      <c r="AX2438" s="4" t="s">
        <v>63</v>
      </c>
      <c r="AY2438" s="4" t="s">
        <v>63</v>
      </c>
      <c r="AZ2438" s="4" t="s">
        <v>63</v>
      </c>
      <c r="BA2438" s="4" t="s">
        <v>63</v>
      </c>
      <c r="BB2438" s="4" t="s">
        <v>63</v>
      </c>
      <c r="BC2438" s="4" t="s">
        <v>63</v>
      </c>
      <c r="BD2438" s="4" t="s">
        <v>63</v>
      </c>
      <c r="BE2438" s="4" t="s">
        <v>63</v>
      </c>
      <c r="BF2438" s="4" t="s">
        <v>63</v>
      </c>
    </row>
    <row r="2439" spans="1:58">
      <c r="A2439" s="4" t="s">
        <v>58</v>
      </c>
      <c r="B2439" s="4" t="s">
        <v>20508</v>
      </c>
      <c r="C2439" s="4" t="s">
        <v>20509</v>
      </c>
      <c r="D2439" s="4" t="s">
        <v>15482</v>
      </c>
      <c r="E2439" s="4" t="s">
        <v>63</v>
      </c>
      <c r="F2439" s="4">
        <v>2013</v>
      </c>
      <c r="G2439" s="4" t="s">
        <v>15155</v>
      </c>
      <c r="H2439" s="4" t="s">
        <v>20510</v>
      </c>
      <c r="I2439" s="4" t="s">
        <v>63</v>
      </c>
      <c r="J2439" s="4" t="s">
        <v>20511</v>
      </c>
      <c r="K2439" s="4" t="s">
        <v>63</v>
      </c>
      <c r="L2439" s="4" t="s">
        <v>20512</v>
      </c>
      <c r="M2439" s="4" t="s">
        <v>20513</v>
      </c>
      <c r="N2439" s="4" t="s">
        <v>20514</v>
      </c>
      <c r="O2439" s="4" t="s">
        <v>63</v>
      </c>
      <c r="P2439" s="4"/>
      <c r="Q2439" s="4" t="s">
        <v>63</v>
      </c>
      <c r="R2439" s="4" t="s">
        <v>63</v>
      </c>
      <c r="S2439" s="4" t="s">
        <v>63</v>
      </c>
      <c r="T2439" s="4" t="s">
        <v>63</v>
      </c>
      <c r="U2439" s="4"/>
      <c r="V2439" s="4"/>
      <c r="W2439" s="4"/>
      <c r="X2439" s="4" t="s">
        <v>63</v>
      </c>
      <c r="Y2439" s="4" t="s">
        <v>4853</v>
      </c>
      <c r="Z2439" s="4" t="s">
        <v>63</v>
      </c>
      <c r="AA2439" s="4" t="s">
        <v>63</v>
      </c>
      <c r="AB2439" s="4" t="s">
        <v>63</v>
      </c>
      <c r="AC2439" s="4" t="s">
        <v>67</v>
      </c>
      <c r="AD2439" s="4" t="s">
        <v>63</v>
      </c>
      <c r="AE2439" s="4" t="s">
        <v>63</v>
      </c>
      <c r="AF2439" s="4" t="s">
        <v>63</v>
      </c>
      <c r="AG2439" s="4" t="s">
        <v>63</v>
      </c>
      <c r="AH2439" s="4" t="s">
        <v>63</v>
      </c>
      <c r="AI2439" s="4" t="s">
        <v>20515</v>
      </c>
      <c r="AJ2439" s="4" t="s">
        <v>63</v>
      </c>
      <c r="AK2439" s="4" t="s">
        <v>63</v>
      </c>
      <c r="AL2439" s="4" t="s">
        <v>63</v>
      </c>
      <c r="AM2439" s="4" t="s">
        <v>20509</v>
      </c>
      <c r="AN2439" s="4" t="s">
        <v>63</v>
      </c>
      <c r="AO2439" s="4" t="s">
        <v>63</v>
      </c>
      <c r="AP2439" s="4" t="s">
        <v>63</v>
      </c>
      <c r="AQ2439" s="4" t="s">
        <v>63</v>
      </c>
      <c r="AR2439" s="4" t="s">
        <v>63</v>
      </c>
      <c r="AS2439" s="4" t="s">
        <v>63</v>
      </c>
      <c r="AT2439" s="4" t="s">
        <v>63</v>
      </c>
      <c r="AU2439" s="4" t="s">
        <v>63</v>
      </c>
      <c r="AV2439" s="4" t="s">
        <v>63</v>
      </c>
      <c r="AW2439" s="4" t="s">
        <v>63</v>
      </c>
      <c r="AX2439" s="4" t="s">
        <v>63</v>
      </c>
      <c r="AY2439" s="4" t="s">
        <v>63</v>
      </c>
      <c r="AZ2439" s="4" t="s">
        <v>63</v>
      </c>
      <c r="BA2439" s="4" t="s">
        <v>63</v>
      </c>
      <c r="BB2439" s="4" t="s">
        <v>63</v>
      </c>
      <c r="BC2439" s="4" t="s">
        <v>63</v>
      </c>
      <c r="BD2439" s="4" t="s">
        <v>63</v>
      </c>
      <c r="BE2439" s="4" t="s">
        <v>63</v>
      </c>
      <c r="BF2439" s="4" t="s">
        <v>63</v>
      </c>
    </row>
    <row r="2440" spans="1:58">
      <c r="A2440" s="4" t="s">
        <v>58</v>
      </c>
      <c r="B2440" s="4" t="s">
        <v>20516</v>
      </c>
      <c r="C2440" s="4" t="s">
        <v>20517</v>
      </c>
      <c r="D2440" s="4" t="s">
        <v>15482</v>
      </c>
      <c r="E2440" s="4" t="s">
        <v>63</v>
      </c>
      <c r="F2440" s="4">
        <v>2014</v>
      </c>
      <c r="G2440" s="4" t="s">
        <v>15155</v>
      </c>
      <c r="H2440" s="4" t="s">
        <v>19626</v>
      </c>
      <c r="I2440" s="4" t="s">
        <v>63</v>
      </c>
      <c r="J2440" s="4" t="s">
        <v>20518</v>
      </c>
      <c r="K2440" s="4" t="s">
        <v>63</v>
      </c>
      <c r="L2440" s="4" t="s">
        <v>20519</v>
      </c>
      <c r="M2440" s="4" t="s">
        <v>20520</v>
      </c>
      <c r="N2440" s="4" t="s">
        <v>20521</v>
      </c>
      <c r="O2440" s="4" t="s">
        <v>63</v>
      </c>
      <c r="P2440" s="4"/>
      <c r="Q2440" s="4" t="s">
        <v>63</v>
      </c>
      <c r="R2440" s="4" t="s">
        <v>63</v>
      </c>
      <c r="S2440" s="4" t="s">
        <v>63</v>
      </c>
      <c r="T2440" s="4" t="s">
        <v>63</v>
      </c>
      <c r="U2440" s="4"/>
      <c r="V2440" s="4"/>
      <c r="W2440" s="4"/>
      <c r="X2440" s="4" t="s">
        <v>63</v>
      </c>
      <c r="Y2440" s="4" t="s">
        <v>4853</v>
      </c>
      <c r="Z2440" s="4" t="s">
        <v>63</v>
      </c>
      <c r="AA2440" s="4" t="s">
        <v>63</v>
      </c>
      <c r="AB2440" s="4" t="s">
        <v>63</v>
      </c>
      <c r="AC2440" s="4" t="s">
        <v>67</v>
      </c>
      <c r="AD2440" s="4" t="s">
        <v>63</v>
      </c>
      <c r="AE2440" s="4" t="s">
        <v>63</v>
      </c>
      <c r="AF2440" s="4" t="s">
        <v>63</v>
      </c>
      <c r="AG2440" s="4" t="s">
        <v>63</v>
      </c>
      <c r="AH2440" s="4" t="s">
        <v>63</v>
      </c>
      <c r="AI2440" s="4" t="s">
        <v>63</v>
      </c>
      <c r="AJ2440" s="4" t="s">
        <v>63</v>
      </c>
      <c r="AK2440" s="4" t="s">
        <v>63</v>
      </c>
      <c r="AL2440" s="4" t="s">
        <v>63</v>
      </c>
      <c r="AM2440" s="4" t="s">
        <v>20517</v>
      </c>
      <c r="AN2440" s="4" t="s">
        <v>63</v>
      </c>
      <c r="AO2440" s="4" t="s">
        <v>63</v>
      </c>
      <c r="AP2440" s="4" t="s">
        <v>63</v>
      </c>
      <c r="AQ2440" s="4" t="s">
        <v>63</v>
      </c>
      <c r="AR2440" s="4" t="s">
        <v>63</v>
      </c>
      <c r="AS2440" s="4" t="s">
        <v>63</v>
      </c>
      <c r="AT2440" s="4" t="s">
        <v>63</v>
      </c>
      <c r="AU2440" s="4" t="s">
        <v>63</v>
      </c>
      <c r="AV2440" s="4" t="s">
        <v>63</v>
      </c>
      <c r="AW2440" s="4" t="s">
        <v>63</v>
      </c>
      <c r="AX2440" s="4" t="s">
        <v>63</v>
      </c>
      <c r="AY2440" s="4" t="s">
        <v>63</v>
      </c>
      <c r="AZ2440" s="4" t="s">
        <v>63</v>
      </c>
      <c r="BA2440" s="4" t="s">
        <v>63</v>
      </c>
      <c r="BB2440" s="4" t="s">
        <v>63</v>
      </c>
      <c r="BC2440" s="4" t="s">
        <v>63</v>
      </c>
      <c r="BD2440" s="4" t="s">
        <v>63</v>
      </c>
      <c r="BE2440" s="4" t="s">
        <v>63</v>
      </c>
      <c r="BF2440" s="4" t="s">
        <v>63</v>
      </c>
    </row>
    <row r="2441" spans="1:58">
      <c r="A2441" s="4" t="s">
        <v>58</v>
      </c>
      <c r="B2441" s="4" t="s">
        <v>20522</v>
      </c>
      <c r="C2441" s="4" t="s">
        <v>20523</v>
      </c>
      <c r="D2441" s="4" t="s">
        <v>1332</v>
      </c>
      <c r="E2441" s="4" t="s">
        <v>63</v>
      </c>
      <c r="F2441" s="4">
        <v>2010</v>
      </c>
      <c r="G2441" s="4" t="s">
        <v>63</v>
      </c>
      <c r="H2441" s="4">
        <v>46</v>
      </c>
      <c r="I2441" s="4">
        <v>2</v>
      </c>
      <c r="J2441" s="4" t="s">
        <v>20524</v>
      </c>
      <c r="K2441" s="4" t="s">
        <v>63</v>
      </c>
      <c r="L2441" s="4" t="s">
        <v>20525</v>
      </c>
      <c r="M2441" s="4" t="s">
        <v>20526</v>
      </c>
      <c r="N2441" s="4" t="s">
        <v>20527</v>
      </c>
      <c r="O2441" s="4" t="s">
        <v>63</v>
      </c>
      <c r="P2441" s="4"/>
      <c r="Q2441" s="4" t="s">
        <v>63</v>
      </c>
      <c r="R2441" s="4" t="s">
        <v>63</v>
      </c>
      <c r="S2441" s="4" t="s">
        <v>63</v>
      </c>
      <c r="T2441" s="4" t="s">
        <v>63</v>
      </c>
      <c r="U2441" s="4"/>
      <c r="V2441" s="4"/>
      <c r="W2441" s="4"/>
      <c r="X2441" s="4" t="s">
        <v>63</v>
      </c>
      <c r="Y2441" s="4" t="s">
        <v>18160</v>
      </c>
      <c r="Z2441" s="4" t="s">
        <v>63</v>
      </c>
      <c r="AA2441" s="4" t="s">
        <v>63</v>
      </c>
      <c r="AB2441" s="4" t="s">
        <v>63</v>
      </c>
      <c r="AC2441" s="4" t="s">
        <v>67</v>
      </c>
      <c r="AD2441" s="4" t="s">
        <v>63</v>
      </c>
      <c r="AE2441" s="4" t="s">
        <v>63</v>
      </c>
      <c r="AF2441" s="4" t="s">
        <v>63</v>
      </c>
      <c r="AG2441" s="4" t="s">
        <v>63</v>
      </c>
      <c r="AH2441" s="4" t="s">
        <v>63</v>
      </c>
      <c r="AI2441" s="4" t="s">
        <v>20528</v>
      </c>
      <c r="AJ2441" s="4" t="s">
        <v>63</v>
      </c>
      <c r="AK2441" s="4" t="s">
        <v>63</v>
      </c>
      <c r="AL2441" s="4" t="s">
        <v>63</v>
      </c>
      <c r="AM2441" s="4" t="s">
        <v>20523</v>
      </c>
      <c r="AN2441" s="4" t="s">
        <v>63</v>
      </c>
      <c r="AO2441" s="4" t="s">
        <v>63</v>
      </c>
      <c r="AP2441" s="4" t="s">
        <v>63</v>
      </c>
      <c r="AQ2441" s="4" t="s">
        <v>63</v>
      </c>
      <c r="AR2441" s="4" t="s">
        <v>63</v>
      </c>
      <c r="AS2441" s="4" t="s">
        <v>63</v>
      </c>
      <c r="AT2441" s="4" t="s">
        <v>63</v>
      </c>
      <c r="AU2441" s="4" t="s">
        <v>63</v>
      </c>
      <c r="AV2441" s="4" t="s">
        <v>63</v>
      </c>
      <c r="AW2441" s="4" t="s">
        <v>63</v>
      </c>
      <c r="AX2441" s="4" t="s">
        <v>63</v>
      </c>
      <c r="AY2441" s="4" t="s">
        <v>63</v>
      </c>
      <c r="AZ2441" s="4" t="s">
        <v>63</v>
      </c>
      <c r="BA2441" s="4" t="s">
        <v>63</v>
      </c>
      <c r="BB2441" s="4" t="s">
        <v>63</v>
      </c>
      <c r="BC2441" s="4" t="s">
        <v>63</v>
      </c>
      <c r="BD2441" s="4" t="s">
        <v>63</v>
      </c>
      <c r="BE2441" s="4" t="s">
        <v>63</v>
      </c>
      <c r="BF2441" s="4" t="s">
        <v>63</v>
      </c>
    </row>
    <row r="2442" spans="1:58">
      <c r="A2442" s="4" t="s">
        <v>58</v>
      </c>
      <c r="B2442" s="4" t="s">
        <v>20529</v>
      </c>
      <c r="C2442" s="4" t="s">
        <v>20530</v>
      </c>
      <c r="D2442" s="4" t="s">
        <v>1332</v>
      </c>
      <c r="E2442" s="4" t="s">
        <v>63</v>
      </c>
      <c r="F2442" s="4">
        <v>2011</v>
      </c>
      <c r="G2442" s="4" t="s">
        <v>15665</v>
      </c>
      <c r="H2442" s="4">
        <v>48</v>
      </c>
      <c r="I2442" s="4">
        <v>2</v>
      </c>
      <c r="J2442" s="4" t="s">
        <v>16513</v>
      </c>
      <c r="K2442" s="4" t="s">
        <v>20531</v>
      </c>
      <c r="L2442" s="4" t="s">
        <v>20532</v>
      </c>
      <c r="M2442" s="4" t="s">
        <v>20533</v>
      </c>
      <c r="N2442" s="4" t="s">
        <v>20534</v>
      </c>
      <c r="O2442" s="4" t="s">
        <v>63</v>
      </c>
      <c r="P2442" s="4"/>
      <c r="Q2442" s="4" t="s">
        <v>63</v>
      </c>
      <c r="R2442" s="4" t="s">
        <v>63</v>
      </c>
      <c r="S2442" s="4" t="s">
        <v>63</v>
      </c>
      <c r="T2442" s="4" t="s">
        <v>63</v>
      </c>
      <c r="U2442" s="4"/>
      <c r="V2442" s="4"/>
      <c r="W2442" s="4"/>
      <c r="X2442" s="4" t="s">
        <v>63</v>
      </c>
      <c r="Y2442" s="4" t="s">
        <v>18160</v>
      </c>
      <c r="Z2442" s="4" t="s">
        <v>63</v>
      </c>
      <c r="AA2442" s="4" t="s">
        <v>63</v>
      </c>
      <c r="AB2442" s="4" t="s">
        <v>63</v>
      </c>
      <c r="AC2442" s="4" t="s">
        <v>67</v>
      </c>
      <c r="AD2442" s="4" t="s">
        <v>63</v>
      </c>
      <c r="AE2442" s="4" t="s">
        <v>63</v>
      </c>
      <c r="AF2442" s="4" t="s">
        <v>63</v>
      </c>
      <c r="AG2442" s="4" t="s">
        <v>63</v>
      </c>
      <c r="AH2442" s="4" t="s">
        <v>63</v>
      </c>
      <c r="AI2442" s="4" t="s">
        <v>20535</v>
      </c>
      <c r="AJ2442" s="4" t="s">
        <v>63</v>
      </c>
      <c r="AK2442" s="4" t="s">
        <v>63</v>
      </c>
      <c r="AL2442" s="4" t="s">
        <v>63</v>
      </c>
      <c r="AM2442" s="4" t="s">
        <v>20530</v>
      </c>
      <c r="AN2442" s="4" t="s">
        <v>63</v>
      </c>
      <c r="AO2442" s="4" t="s">
        <v>63</v>
      </c>
      <c r="AP2442" s="4" t="s">
        <v>63</v>
      </c>
      <c r="AQ2442" s="4" t="s">
        <v>63</v>
      </c>
      <c r="AR2442" s="4" t="s">
        <v>63</v>
      </c>
      <c r="AS2442" s="4" t="s">
        <v>63</v>
      </c>
      <c r="AT2442" s="4" t="s">
        <v>63</v>
      </c>
      <c r="AU2442" s="4" t="s">
        <v>63</v>
      </c>
      <c r="AV2442" s="4" t="s">
        <v>63</v>
      </c>
      <c r="AW2442" s="4" t="s">
        <v>63</v>
      </c>
      <c r="AX2442" s="4" t="s">
        <v>63</v>
      </c>
      <c r="AY2442" s="4" t="s">
        <v>63</v>
      </c>
      <c r="AZ2442" s="4" t="s">
        <v>63</v>
      </c>
      <c r="BA2442" s="4" t="s">
        <v>63</v>
      </c>
      <c r="BB2442" s="4" t="s">
        <v>63</v>
      </c>
      <c r="BC2442" s="4" t="s">
        <v>63</v>
      </c>
      <c r="BD2442" s="4" t="s">
        <v>63</v>
      </c>
      <c r="BE2442" s="4" t="s">
        <v>63</v>
      </c>
      <c r="BF2442" s="4" t="s">
        <v>63</v>
      </c>
    </row>
    <row r="2443" spans="1:58">
      <c r="A2443" s="4" t="s">
        <v>58</v>
      </c>
      <c r="B2443" s="4" t="s">
        <v>20536</v>
      </c>
      <c r="C2443" s="4" t="s">
        <v>20537</v>
      </c>
      <c r="D2443" s="4" t="s">
        <v>20538</v>
      </c>
      <c r="E2443" s="4" t="s">
        <v>63</v>
      </c>
      <c r="F2443" s="4">
        <v>2005</v>
      </c>
      <c r="G2443" s="4" t="s">
        <v>198</v>
      </c>
      <c r="H2443" s="4">
        <v>7</v>
      </c>
      <c r="I2443" s="4">
        <v>1</v>
      </c>
      <c r="J2443" s="4">
        <v>48</v>
      </c>
      <c r="K2443" s="4">
        <v>52</v>
      </c>
      <c r="L2443" s="4" t="s">
        <v>20539</v>
      </c>
      <c r="M2443" s="4" t="s">
        <v>20540</v>
      </c>
      <c r="N2443" s="4" t="s">
        <v>20541</v>
      </c>
      <c r="O2443" s="4" t="s">
        <v>63</v>
      </c>
      <c r="P2443" s="4"/>
      <c r="Q2443" s="4" t="s">
        <v>63</v>
      </c>
      <c r="R2443" s="4" t="s">
        <v>63</v>
      </c>
      <c r="S2443" s="4" t="s">
        <v>63</v>
      </c>
      <c r="T2443" s="4" t="s">
        <v>63</v>
      </c>
      <c r="U2443" s="4"/>
      <c r="V2443" s="4"/>
      <c r="W2443" s="4"/>
      <c r="X2443" s="4" t="s">
        <v>63</v>
      </c>
      <c r="Y2443" s="4" t="s">
        <v>20542</v>
      </c>
      <c r="Z2443" s="4" t="s">
        <v>63</v>
      </c>
      <c r="AA2443" s="4" t="s">
        <v>63</v>
      </c>
      <c r="AB2443" s="4" t="s">
        <v>20543</v>
      </c>
      <c r="AC2443" s="4" t="s">
        <v>67</v>
      </c>
      <c r="AD2443" s="4" t="s">
        <v>63</v>
      </c>
      <c r="AE2443" s="4" t="s">
        <v>63</v>
      </c>
      <c r="AF2443" s="4" t="s">
        <v>63</v>
      </c>
      <c r="AG2443" s="4" t="s">
        <v>63</v>
      </c>
      <c r="AH2443" s="4" t="s">
        <v>63</v>
      </c>
      <c r="AI2443" s="4" t="s">
        <v>63</v>
      </c>
      <c r="AJ2443" s="4" t="s">
        <v>63</v>
      </c>
      <c r="AK2443" s="4" t="s">
        <v>63</v>
      </c>
      <c r="AL2443" s="4" t="s">
        <v>63</v>
      </c>
      <c r="AM2443" s="4" t="s">
        <v>20537</v>
      </c>
      <c r="AN2443" s="4" t="s">
        <v>63</v>
      </c>
      <c r="AO2443" s="4" t="s">
        <v>63</v>
      </c>
      <c r="AP2443" s="4" t="s">
        <v>63</v>
      </c>
      <c r="AQ2443" s="4" t="s">
        <v>63</v>
      </c>
      <c r="AR2443" s="4" t="s">
        <v>63</v>
      </c>
      <c r="AS2443" s="4" t="s">
        <v>63</v>
      </c>
      <c r="AT2443" s="4" t="s">
        <v>63</v>
      </c>
      <c r="AU2443" s="4" t="s">
        <v>63</v>
      </c>
      <c r="AV2443" s="4" t="s">
        <v>63</v>
      </c>
      <c r="AW2443" s="4" t="s">
        <v>63</v>
      </c>
      <c r="AX2443" s="4" t="s">
        <v>63</v>
      </c>
      <c r="AY2443" s="4" t="s">
        <v>63</v>
      </c>
      <c r="AZ2443" s="4" t="s">
        <v>63</v>
      </c>
      <c r="BA2443" s="4" t="s">
        <v>63</v>
      </c>
      <c r="BB2443" s="4" t="s">
        <v>63</v>
      </c>
      <c r="BC2443" s="4" t="s">
        <v>63</v>
      </c>
      <c r="BD2443" s="4" t="s">
        <v>63</v>
      </c>
      <c r="BE2443" s="4" t="s">
        <v>63</v>
      </c>
      <c r="BF2443" s="4" t="s">
        <v>63</v>
      </c>
    </row>
    <row r="2444" spans="1:58">
      <c r="A2444" s="4" t="s">
        <v>58</v>
      </c>
      <c r="B2444" s="4" t="s">
        <v>20544</v>
      </c>
      <c r="C2444" s="4" t="s">
        <v>20545</v>
      </c>
      <c r="D2444" s="4" t="s">
        <v>20546</v>
      </c>
      <c r="E2444" s="4" t="s">
        <v>63</v>
      </c>
      <c r="F2444" s="4">
        <v>1960</v>
      </c>
      <c r="G2444" s="4" t="s">
        <v>63</v>
      </c>
      <c r="H2444" s="4" t="s">
        <v>20547</v>
      </c>
      <c r="I2444" s="4" t="s">
        <v>63</v>
      </c>
      <c r="J2444" s="4">
        <v>831</v>
      </c>
      <c r="K2444" s="4">
        <v>835</v>
      </c>
      <c r="L2444" s="4" t="s">
        <v>20548</v>
      </c>
      <c r="M2444" s="4" t="s">
        <v>20549</v>
      </c>
      <c r="N2444" s="4" t="s">
        <v>20550</v>
      </c>
      <c r="O2444" s="4" t="s">
        <v>63</v>
      </c>
      <c r="P2444" s="4"/>
      <c r="Q2444" s="4" t="s">
        <v>63</v>
      </c>
      <c r="R2444" s="4" t="s">
        <v>63</v>
      </c>
      <c r="S2444" s="4" t="s">
        <v>63</v>
      </c>
      <c r="T2444" s="4" t="s">
        <v>63</v>
      </c>
      <c r="U2444" s="4"/>
      <c r="V2444" s="4"/>
      <c r="W2444" s="4"/>
      <c r="X2444" s="4" t="s">
        <v>63</v>
      </c>
      <c r="Y2444" s="4" t="s">
        <v>7739</v>
      </c>
      <c r="Z2444" s="4" t="s">
        <v>63</v>
      </c>
      <c r="AA2444" s="4" t="s">
        <v>63</v>
      </c>
      <c r="AB2444" s="4" t="s">
        <v>63</v>
      </c>
      <c r="AC2444" s="4" t="s">
        <v>696</v>
      </c>
      <c r="AD2444" s="4" t="s">
        <v>63</v>
      </c>
      <c r="AE2444" s="4" t="s">
        <v>63</v>
      </c>
      <c r="AF2444" s="4" t="s">
        <v>63</v>
      </c>
      <c r="AG2444" s="4" t="s">
        <v>20551</v>
      </c>
      <c r="AH2444" s="4" t="s">
        <v>63</v>
      </c>
      <c r="AI2444" s="4" t="s">
        <v>63</v>
      </c>
      <c r="AJ2444" s="4" t="s">
        <v>63</v>
      </c>
      <c r="AK2444" s="4" t="s">
        <v>63</v>
      </c>
      <c r="AL2444" s="4" t="s">
        <v>63</v>
      </c>
      <c r="AM2444" s="4" t="s">
        <v>20552</v>
      </c>
      <c r="AN2444" s="4" t="s">
        <v>63</v>
      </c>
      <c r="AO2444" s="4" t="s">
        <v>63</v>
      </c>
      <c r="AP2444" s="4" t="s">
        <v>63</v>
      </c>
      <c r="AQ2444" s="4" t="s">
        <v>63</v>
      </c>
      <c r="AR2444" s="4" t="s">
        <v>63</v>
      </c>
      <c r="AS2444" s="4" t="s">
        <v>63</v>
      </c>
      <c r="AT2444" s="4" t="s">
        <v>63</v>
      </c>
      <c r="AU2444" s="4" t="s">
        <v>63</v>
      </c>
      <c r="AV2444" s="4" t="s">
        <v>63</v>
      </c>
      <c r="AW2444" s="4" t="s">
        <v>63</v>
      </c>
      <c r="AX2444" s="4" t="s">
        <v>63</v>
      </c>
      <c r="AY2444" s="4" t="s">
        <v>63</v>
      </c>
      <c r="AZ2444" s="4" t="s">
        <v>63</v>
      </c>
      <c r="BA2444" s="4" t="s">
        <v>63</v>
      </c>
      <c r="BB2444" s="4" t="s">
        <v>63</v>
      </c>
      <c r="BC2444" s="4" t="s">
        <v>63</v>
      </c>
      <c r="BD2444" s="4" t="s">
        <v>63</v>
      </c>
      <c r="BE2444" s="4" t="s">
        <v>63</v>
      </c>
      <c r="BF2444" s="4" t="s">
        <v>63</v>
      </c>
    </row>
    <row r="2445" spans="1:58">
      <c r="A2445" s="4" t="s">
        <v>58</v>
      </c>
      <c r="B2445" s="4" t="s">
        <v>20553</v>
      </c>
      <c r="C2445" s="4" t="s">
        <v>20554</v>
      </c>
      <c r="D2445" s="4" t="s">
        <v>20555</v>
      </c>
      <c r="E2445" s="4" t="s">
        <v>63</v>
      </c>
      <c r="F2445" s="4">
        <v>2004</v>
      </c>
      <c r="G2445" s="4" t="s">
        <v>63</v>
      </c>
      <c r="H2445" s="4" t="s">
        <v>20556</v>
      </c>
      <c r="I2445" s="4" t="s">
        <v>63</v>
      </c>
      <c r="J2445" s="4" t="s">
        <v>63</v>
      </c>
      <c r="K2445" s="4" t="s">
        <v>63</v>
      </c>
      <c r="L2445" s="4" t="s">
        <v>20557</v>
      </c>
      <c r="M2445" s="4" t="s">
        <v>20558</v>
      </c>
      <c r="N2445" s="4" t="s">
        <v>20559</v>
      </c>
      <c r="O2445" s="4" t="s">
        <v>63</v>
      </c>
      <c r="P2445" s="4"/>
      <c r="Q2445" s="4" t="s">
        <v>63</v>
      </c>
      <c r="R2445" s="4" t="s">
        <v>63</v>
      </c>
      <c r="S2445" s="4" t="s">
        <v>63</v>
      </c>
      <c r="T2445" s="4" t="s">
        <v>63</v>
      </c>
      <c r="U2445" s="4"/>
      <c r="V2445" s="4"/>
      <c r="W2445" s="4"/>
      <c r="X2445" s="4" t="s">
        <v>63</v>
      </c>
      <c r="Y2445" s="4" t="s">
        <v>20560</v>
      </c>
      <c r="Z2445" s="4" t="s">
        <v>63</v>
      </c>
      <c r="AA2445" s="4" t="s">
        <v>63</v>
      </c>
      <c r="AB2445" s="4" t="s">
        <v>20561</v>
      </c>
      <c r="AC2445" s="4" t="s">
        <v>67</v>
      </c>
      <c r="AD2445" s="4" t="s">
        <v>63</v>
      </c>
      <c r="AE2445" s="4" t="s">
        <v>63</v>
      </c>
      <c r="AF2445" s="4" t="s">
        <v>63</v>
      </c>
      <c r="AG2445" s="4" t="s">
        <v>63</v>
      </c>
      <c r="AH2445" s="4" t="s">
        <v>63</v>
      </c>
      <c r="AI2445" s="4" t="s">
        <v>63</v>
      </c>
      <c r="AJ2445" s="4" t="s">
        <v>63</v>
      </c>
      <c r="AK2445" s="4" t="s">
        <v>63</v>
      </c>
      <c r="AL2445" s="4" t="s">
        <v>63</v>
      </c>
      <c r="AM2445" s="4" t="s">
        <v>20554</v>
      </c>
      <c r="AN2445" s="4" t="s">
        <v>63</v>
      </c>
      <c r="AO2445" s="4" t="s">
        <v>63</v>
      </c>
      <c r="AP2445" s="4" t="s">
        <v>63</v>
      </c>
      <c r="AQ2445" s="4" t="s">
        <v>63</v>
      </c>
      <c r="AR2445" s="4" t="s">
        <v>63</v>
      </c>
      <c r="AS2445" s="4" t="s">
        <v>63</v>
      </c>
      <c r="AT2445" s="4" t="s">
        <v>63</v>
      </c>
      <c r="AU2445" s="4" t="s">
        <v>63</v>
      </c>
      <c r="AV2445" s="4" t="s">
        <v>63</v>
      </c>
      <c r="AW2445" s="4" t="s">
        <v>63</v>
      </c>
      <c r="AX2445" s="4" t="s">
        <v>63</v>
      </c>
      <c r="AY2445" s="4" t="s">
        <v>63</v>
      </c>
      <c r="AZ2445" s="4" t="s">
        <v>63</v>
      </c>
      <c r="BA2445" s="4" t="s">
        <v>63</v>
      </c>
      <c r="BB2445" s="4" t="s">
        <v>63</v>
      </c>
      <c r="BC2445" s="4" t="s">
        <v>63</v>
      </c>
      <c r="BD2445" s="4" t="s">
        <v>63</v>
      </c>
      <c r="BE2445" s="4" t="s">
        <v>63</v>
      </c>
      <c r="BF2445" s="4" t="s">
        <v>63</v>
      </c>
    </row>
    <row r="2446" spans="1:58">
      <c r="A2446" s="4" t="s">
        <v>58</v>
      </c>
      <c r="B2446" s="4" t="s">
        <v>20562</v>
      </c>
      <c r="C2446" s="4" t="s">
        <v>20563</v>
      </c>
      <c r="D2446" s="4" t="s">
        <v>371</v>
      </c>
      <c r="E2446" s="4" t="s">
        <v>63</v>
      </c>
      <c r="F2446" s="4">
        <v>2014</v>
      </c>
      <c r="G2446" s="4" t="s">
        <v>15165</v>
      </c>
      <c r="H2446" s="4" t="s">
        <v>15912</v>
      </c>
      <c r="I2446" s="4" t="s">
        <v>63</v>
      </c>
      <c r="J2446" s="4" t="s">
        <v>20564</v>
      </c>
      <c r="K2446" s="4" t="s">
        <v>20565</v>
      </c>
      <c r="L2446" s="4" t="s">
        <v>20566</v>
      </c>
      <c r="M2446" s="4" t="s">
        <v>20567</v>
      </c>
      <c r="N2446" s="4" t="s">
        <v>20568</v>
      </c>
      <c r="O2446" s="4" t="s">
        <v>63</v>
      </c>
      <c r="P2446" s="4"/>
      <c r="Q2446" s="4" t="s">
        <v>63</v>
      </c>
      <c r="R2446" s="4" t="s">
        <v>63</v>
      </c>
      <c r="S2446" s="4" t="s">
        <v>63</v>
      </c>
      <c r="T2446" s="4" t="s">
        <v>63</v>
      </c>
      <c r="U2446" s="4"/>
      <c r="V2446" s="4"/>
      <c r="W2446" s="4"/>
      <c r="X2446" s="4" t="s">
        <v>63</v>
      </c>
      <c r="Y2446" s="4" t="s">
        <v>375</v>
      </c>
      <c r="Z2446" s="4" t="s">
        <v>63</v>
      </c>
      <c r="AA2446" s="4" t="s">
        <v>63</v>
      </c>
      <c r="AB2446" s="4" t="s">
        <v>63</v>
      </c>
      <c r="AC2446" s="4" t="s">
        <v>67</v>
      </c>
      <c r="AD2446" s="4" t="s">
        <v>63</v>
      </c>
      <c r="AE2446" s="4" t="s">
        <v>63</v>
      </c>
      <c r="AF2446" s="4" t="s">
        <v>63</v>
      </c>
      <c r="AG2446" s="4" t="s">
        <v>63</v>
      </c>
      <c r="AH2446" s="4" t="s">
        <v>63</v>
      </c>
      <c r="AI2446" s="4" t="s">
        <v>63</v>
      </c>
      <c r="AJ2446" s="4" t="s">
        <v>63</v>
      </c>
      <c r="AK2446" s="4" t="s">
        <v>63</v>
      </c>
      <c r="AL2446" s="4" t="s">
        <v>63</v>
      </c>
      <c r="AM2446" s="4" t="s">
        <v>20563</v>
      </c>
      <c r="AN2446" s="4" t="s">
        <v>63</v>
      </c>
      <c r="AO2446" s="4" t="s">
        <v>63</v>
      </c>
      <c r="AP2446" s="4" t="s">
        <v>63</v>
      </c>
      <c r="AQ2446" s="4" t="s">
        <v>63</v>
      </c>
      <c r="AR2446" s="4" t="s">
        <v>63</v>
      </c>
      <c r="AS2446" s="4" t="s">
        <v>63</v>
      </c>
      <c r="AT2446" s="4" t="s">
        <v>63</v>
      </c>
      <c r="AU2446" s="4" t="s">
        <v>63</v>
      </c>
      <c r="AV2446" s="4" t="s">
        <v>63</v>
      </c>
      <c r="AW2446" s="4" t="s">
        <v>63</v>
      </c>
      <c r="AX2446" s="4" t="s">
        <v>63</v>
      </c>
      <c r="AY2446" s="4" t="s">
        <v>63</v>
      </c>
      <c r="AZ2446" s="4" t="s">
        <v>63</v>
      </c>
      <c r="BA2446" s="4" t="s">
        <v>63</v>
      </c>
      <c r="BB2446" s="4" t="s">
        <v>63</v>
      </c>
      <c r="BC2446" s="4" t="s">
        <v>63</v>
      </c>
      <c r="BD2446" s="4" t="s">
        <v>63</v>
      </c>
      <c r="BE2446" s="4" t="s">
        <v>63</v>
      </c>
      <c r="BF2446" s="4" t="s">
        <v>63</v>
      </c>
    </row>
    <row r="2447" spans="1:58">
      <c r="A2447" s="4" t="s">
        <v>58</v>
      </c>
      <c r="B2447" s="4" t="s">
        <v>20569</v>
      </c>
      <c r="C2447" s="4" t="s">
        <v>20570</v>
      </c>
      <c r="D2447" s="4" t="s">
        <v>6854</v>
      </c>
      <c r="E2447" s="4" t="s">
        <v>63</v>
      </c>
      <c r="F2447" s="4">
        <v>2013</v>
      </c>
      <c r="G2447" s="6">
        <v>41882</v>
      </c>
      <c r="H2447" s="4" t="s">
        <v>15842</v>
      </c>
      <c r="I2447" s="4" t="s">
        <v>63</v>
      </c>
      <c r="J2447" s="4" t="s">
        <v>63</v>
      </c>
      <c r="K2447" s="4" t="s">
        <v>63</v>
      </c>
      <c r="L2447" s="4" t="s">
        <v>20571</v>
      </c>
      <c r="M2447" s="4" t="s">
        <v>20572</v>
      </c>
      <c r="N2447" s="4" t="s">
        <v>20573</v>
      </c>
      <c r="O2447" s="4" t="s">
        <v>63</v>
      </c>
      <c r="P2447" s="4"/>
      <c r="Q2447" s="4" t="s">
        <v>63</v>
      </c>
      <c r="R2447" s="4" t="s">
        <v>63</v>
      </c>
      <c r="S2447" s="4" t="s">
        <v>63</v>
      </c>
      <c r="T2447" s="4" t="s">
        <v>63</v>
      </c>
      <c r="U2447" s="4"/>
      <c r="V2447" s="4"/>
      <c r="W2447" s="4"/>
      <c r="X2447" s="4" t="s">
        <v>63</v>
      </c>
      <c r="Y2447" s="4" t="s">
        <v>15322</v>
      </c>
      <c r="Z2447" s="4" t="s">
        <v>63</v>
      </c>
      <c r="AA2447" s="4" t="s">
        <v>63</v>
      </c>
      <c r="AB2447" s="4" t="s">
        <v>63</v>
      </c>
      <c r="AC2447" s="4" t="s">
        <v>67</v>
      </c>
      <c r="AD2447" s="4" t="s">
        <v>63</v>
      </c>
      <c r="AE2447" s="4" t="s">
        <v>63</v>
      </c>
      <c r="AF2447" s="4" t="s">
        <v>63</v>
      </c>
      <c r="AG2447" s="4" t="s">
        <v>63</v>
      </c>
      <c r="AH2447" s="4" t="s">
        <v>63</v>
      </c>
      <c r="AI2447" s="4" t="s">
        <v>63</v>
      </c>
      <c r="AJ2447" s="4" t="s">
        <v>63</v>
      </c>
      <c r="AK2447" s="4" t="s">
        <v>63</v>
      </c>
      <c r="AL2447" s="4" t="s">
        <v>63</v>
      </c>
      <c r="AM2447" s="4" t="s">
        <v>20570</v>
      </c>
      <c r="AN2447" s="4" t="s">
        <v>63</v>
      </c>
      <c r="AO2447" s="4" t="s">
        <v>63</v>
      </c>
      <c r="AP2447" s="4" t="s">
        <v>63</v>
      </c>
      <c r="AQ2447" s="4" t="s">
        <v>63</v>
      </c>
      <c r="AR2447" s="4" t="s">
        <v>63</v>
      </c>
      <c r="AS2447" s="4" t="s">
        <v>63</v>
      </c>
      <c r="AT2447" s="4" t="s">
        <v>63</v>
      </c>
      <c r="AU2447" s="4" t="s">
        <v>63</v>
      </c>
      <c r="AV2447" s="4" t="s">
        <v>63</v>
      </c>
      <c r="AW2447" s="4" t="s">
        <v>63</v>
      </c>
      <c r="AX2447" s="4" t="s">
        <v>63</v>
      </c>
      <c r="AY2447" s="4" t="s">
        <v>63</v>
      </c>
      <c r="AZ2447" s="4" t="s">
        <v>63</v>
      </c>
      <c r="BA2447" s="4" t="s">
        <v>63</v>
      </c>
      <c r="BB2447" s="4" t="s">
        <v>63</v>
      </c>
      <c r="BC2447" s="4" t="s">
        <v>63</v>
      </c>
      <c r="BD2447" s="4" t="s">
        <v>63</v>
      </c>
      <c r="BE2447" s="4" t="s">
        <v>63</v>
      </c>
      <c r="BF2447" s="4" t="s">
        <v>63</v>
      </c>
    </row>
    <row r="2448" spans="1:58">
      <c r="A2448" s="4" t="s">
        <v>58</v>
      </c>
      <c r="B2448" s="4" t="s">
        <v>20574</v>
      </c>
      <c r="C2448" s="4" t="s">
        <v>20575</v>
      </c>
      <c r="D2448" s="4" t="s">
        <v>20576</v>
      </c>
      <c r="E2448" s="4" t="s">
        <v>63</v>
      </c>
      <c r="F2448" s="4">
        <v>2015</v>
      </c>
      <c r="G2448" s="4">
        <v>8</v>
      </c>
      <c r="H2448" s="4">
        <v>12</v>
      </c>
      <c r="I2448" s="4">
        <v>7</v>
      </c>
      <c r="J2448" s="4">
        <v>7638</v>
      </c>
      <c r="K2448" s="4">
        <v>7646</v>
      </c>
      <c r="L2448" s="4" t="s">
        <v>20577</v>
      </c>
      <c r="M2448" s="4" t="s">
        <v>20578</v>
      </c>
      <c r="N2448" s="4" t="s">
        <v>20579</v>
      </c>
      <c r="O2448" s="4" t="s">
        <v>63</v>
      </c>
      <c r="P2448" s="4"/>
      <c r="Q2448" s="4" t="s">
        <v>63</v>
      </c>
      <c r="R2448" s="4" t="s">
        <v>63</v>
      </c>
      <c r="S2448" s="4" t="s">
        <v>63</v>
      </c>
      <c r="T2448" s="4" t="s">
        <v>63</v>
      </c>
      <c r="U2448" s="4"/>
      <c r="V2448" s="4"/>
      <c r="W2448" s="4"/>
      <c r="X2448" s="4" t="s">
        <v>63</v>
      </c>
      <c r="Y2448" s="4" t="s">
        <v>20580</v>
      </c>
      <c r="Z2448" s="4" t="s">
        <v>63</v>
      </c>
      <c r="AA2448" s="4" t="s">
        <v>63</v>
      </c>
      <c r="AB2448" s="4">
        <v>2015315248</v>
      </c>
      <c r="AC2448" s="4" t="s">
        <v>67</v>
      </c>
      <c r="AD2448" s="4" t="s">
        <v>63</v>
      </c>
      <c r="AE2448" s="4" t="s">
        <v>63</v>
      </c>
      <c r="AF2448" s="4" t="s">
        <v>63</v>
      </c>
      <c r="AG2448" s="4" t="s">
        <v>20581</v>
      </c>
      <c r="AH2448" s="4" t="s">
        <v>63</v>
      </c>
      <c r="AI2448" s="4" t="s">
        <v>20582</v>
      </c>
      <c r="AJ2448" s="4" t="s">
        <v>63</v>
      </c>
      <c r="AK2448" s="4" t="s">
        <v>63</v>
      </c>
      <c r="AL2448" s="4" t="s">
        <v>63</v>
      </c>
      <c r="AM2448" s="4" t="s">
        <v>20583</v>
      </c>
      <c r="AN2448" s="4" t="s">
        <v>63</v>
      </c>
      <c r="AO2448" s="4" t="s">
        <v>63</v>
      </c>
      <c r="AP2448" s="4" t="s">
        <v>63</v>
      </c>
      <c r="AQ2448" s="4" t="s">
        <v>63</v>
      </c>
      <c r="AR2448" s="4" t="s">
        <v>63</v>
      </c>
      <c r="AS2448" s="4" t="s">
        <v>63</v>
      </c>
      <c r="AT2448" s="4" t="s">
        <v>63</v>
      </c>
      <c r="AU2448" s="4" t="s">
        <v>63</v>
      </c>
      <c r="AV2448" s="4" t="s">
        <v>63</v>
      </c>
      <c r="AW2448" s="4" t="s">
        <v>63</v>
      </c>
      <c r="AX2448" s="4" t="s">
        <v>63</v>
      </c>
      <c r="AY2448" s="4" t="s">
        <v>63</v>
      </c>
      <c r="AZ2448" s="4" t="s">
        <v>63</v>
      </c>
      <c r="BA2448" s="4" t="s">
        <v>63</v>
      </c>
      <c r="BB2448" s="4" t="s">
        <v>63</v>
      </c>
      <c r="BC2448" s="4" t="s">
        <v>63</v>
      </c>
      <c r="BD2448" s="4" t="s">
        <v>63</v>
      </c>
      <c r="BE2448" s="4" t="s">
        <v>63</v>
      </c>
      <c r="BF2448" s="4" t="s">
        <v>63</v>
      </c>
    </row>
    <row r="2449" spans="1:58">
      <c r="A2449" s="4" t="s">
        <v>58</v>
      </c>
      <c r="B2449" s="4" t="s">
        <v>20584</v>
      </c>
      <c r="C2449" s="4" t="s">
        <v>20585</v>
      </c>
      <c r="D2449" s="4" t="s">
        <v>155</v>
      </c>
      <c r="E2449" s="4" t="s">
        <v>156</v>
      </c>
      <c r="F2449" s="4">
        <v>2011</v>
      </c>
      <c r="G2449" s="4" t="s">
        <v>15358</v>
      </c>
      <c r="H2449" s="4">
        <v>58</v>
      </c>
      <c r="I2449" s="4">
        <v>4</v>
      </c>
      <c r="J2449" s="4" t="s">
        <v>20586</v>
      </c>
      <c r="K2449" s="4" t="s">
        <v>18151</v>
      </c>
      <c r="L2449" s="4" t="s">
        <v>20587</v>
      </c>
      <c r="M2449" s="4" t="s">
        <v>20588</v>
      </c>
      <c r="N2449" s="4" t="s">
        <v>20589</v>
      </c>
      <c r="O2449" s="4" t="s">
        <v>63</v>
      </c>
      <c r="P2449" s="4"/>
      <c r="Q2449" s="4" t="s">
        <v>63</v>
      </c>
      <c r="R2449" s="4" t="s">
        <v>63</v>
      </c>
      <c r="S2449" s="4" t="s">
        <v>63</v>
      </c>
      <c r="T2449" s="4" t="s">
        <v>63</v>
      </c>
      <c r="U2449" s="4"/>
      <c r="V2449" s="4"/>
      <c r="W2449" s="4"/>
      <c r="X2449" s="4" t="s">
        <v>63</v>
      </c>
      <c r="Y2449" s="4" t="s">
        <v>160</v>
      </c>
      <c r="Z2449" s="4" t="s">
        <v>63</v>
      </c>
      <c r="AA2449" s="4" t="s">
        <v>63</v>
      </c>
      <c r="AB2449" s="4" t="s">
        <v>63</v>
      </c>
      <c r="AC2449" s="4" t="s">
        <v>67</v>
      </c>
      <c r="AD2449" s="4" t="s">
        <v>63</v>
      </c>
      <c r="AE2449" s="4" t="s">
        <v>63</v>
      </c>
      <c r="AF2449" s="4" t="s">
        <v>63</v>
      </c>
      <c r="AG2449" s="4" t="s">
        <v>63</v>
      </c>
      <c r="AH2449" s="4" t="s">
        <v>63</v>
      </c>
      <c r="AI2449" s="4" t="s">
        <v>20590</v>
      </c>
      <c r="AJ2449" s="4" t="s">
        <v>63</v>
      </c>
      <c r="AK2449" s="4" t="s">
        <v>63</v>
      </c>
      <c r="AL2449" s="4" t="s">
        <v>63</v>
      </c>
      <c r="AM2449" s="4" t="s">
        <v>20585</v>
      </c>
      <c r="AN2449" s="4" t="s">
        <v>63</v>
      </c>
      <c r="AO2449" s="4" t="s">
        <v>63</v>
      </c>
      <c r="AP2449" s="4" t="s">
        <v>63</v>
      </c>
      <c r="AQ2449" s="4" t="s">
        <v>63</v>
      </c>
      <c r="AR2449" s="4" t="s">
        <v>63</v>
      </c>
      <c r="AS2449" s="4" t="s">
        <v>63</v>
      </c>
      <c r="AT2449" s="4" t="s">
        <v>63</v>
      </c>
      <c r="AU2449" s="4" t="s">
        <v>63</v>
      </c>
      <c r="AV2449" s="4" t="s">
        <v>63</v>
      </c>
      <c r="AW2449" s="4" t="s">
        <v>63</v>
      </c>
      <c r="AX2449" s="4" t="s">
        <v>63</v>
      </c>
      <c r="AY2449" s="4" t="s">
        <v>63</v>
      </c>
      <c r="AZ2449" s="4" t="s">
        <v>63</v>
      </c>
      <c r="BA2449" s="4" t="s">
        <v>63</v>
      </c>
      <c r="BB2449" s="4" t="s">
        <v>63</v>
      </c>
      <c r="BC2449" s="4" t="s">
        <v>63</v>
      </c>
      <c r="BD2449" s="4" t="s">
        <v>63</v>
      </c>
      <c r="BE2449" s="4" t="s">
        <v>63</v>
      </c>
      <c r="BF2449" s="4" t="s">
        <v>63</v>
      </c>
    </row>
    <row r="2450" spans="1:58">
      <c r="A2450" s="4" t="s">
        <v>58</v>
      </c>
      <c r="B2450" s="4" t="s">
        <v>20591</v>
      </c>
      <c r="C2450" s="4" t="s">
        <v>20592</v>
      </c>
      <c r="D2450" s="4" t="s">
        <v>18207</v>
      </c>
      <c r="E2450" s="4" t="s">
        <v>63</v>
      </c>
      <c r="F2450" s="4">
        <v>2014</v>
      </c>
      <c r="G2450" s="4" t="s">
        <v>63</v>
      </c>
      <c r="H2450" s="4" t="s">
        <v>20593</v>
      </c>
      <c r="I2450" s="4" t="s">
        <v>63</v>
      </c>
      <c r="J2450" s="4" t="s">
        <v>63</v>
      </c>
      <c r="K2450" s="4" t="s">
        <v>63</v>
      </c>
      <c r="L2450" s="4" t="s">
        <v>20594</v>
      </c>
      <c r="M2450" s="4" t="s">
        <v>20595</v>
      </c>
      <c r="N2450" s="4" t="s">
        <v>20596</v>
      </c>
      <c r="O2450" s="4" t="s">
        <v>63</v>
      </c>
      <c r="P2450" s="4"/>
      <c r="Q2450" s="4" t="s">
        <v>63</v>
      </c>
      <c r="R2450" s="4" t="s">
        <v>63</v>
      </c>
      <c r="S2450" s="4" t="s">
        <v>63</v>
      </c>
      <c r="T2450" s="4" t="s">
        <v>63</v>
      </c>
      <c r="U2450" s="4"/>
      <c r="V2450" s="4"/>
      <c r="W2450" s="4"/>
      <c r="X2450" s="4" t="s">
        <v>63</v>
      </c>
      <c r="Y2450" s="4" t="s">
        <v>2050</v>
      </c>
      <c r="Z2450" s="4" t="s">
        <v>63</v>
      </c>
      <c r="AA2450" s="4" t="s">
        <v>63</v>
      </c>
      <c r="AB2450" s="4" t="s">
        <v>63</v>
      </c>
      <c r="AC2450" s="4" t="s">
        <v>67</v>
      </c>
      <c r="AD2450" s="4" t="s">
        <v>63</v>
      </c>
      <c r="AE2450" s="4" t="s">
        <v>63</v>
      </c>
      <c r="AF2450" s="4" t="s">
        <v>63</v>
      </c>
      <c r="AG2450" s="4" t="s">
        <v>63</v>
      </c>
      <c r="AH2450" s="4" t="s">
        <v>63</v>
      </c>
      <c r="AI2450" s="4" t="s">
        <v>63</v>
      </c>
      <c r="AJ2450" s="4" t="s">
        <v>63</v>
      </c>
      <c r="AK2450" s="4" t="s">
        <v>63</v>
      </c>
      <c r="AL2450" s="4" t="s">
        <v>63</v>
      </c>
      <c r="AM2450" s="4" t="s">
        <v>20592</v>
      </c>
      <c r="AN2450" s="4" t="s">
        <v>63</v>
      </c>
      <c r="AO2450" s="4" t="s">
        <v>63</v>
      </c>
      <c r="AP2450" s="4" t="s">
        <v>63</v>
      </c>
      <c r="AQ2450" s="4" t="s">
        <v>63</v>
      </c>
      <c r="AR2450" s="4" t="s">
        <v>63</v>
      </c>
      <c r="AS2450" s="4" t="s">
        <v>63</v>
      </c>
      <c r="AT2450" s="4" t="s">
        <v>63</v>
      </c>
      <c r="AU2450" s="4" t="s">
        <v>63</v>
      </c>
      <c r="AV2450" s="4" t="s">
        <v>63</v>
      </c>
      <c r="AW2450" s="4" t="s">
        <v>63</v>
      </c>
      <c r="AX2450" s="4" t="s">
        <v>63</v>
      </c>
      <c r="AY2450" s="4" t="s">
        <v>63</v>
      </c>
      <c r="AZ2450" s="4" t="s">
        <v>63</v>
      </c>
      <c r="BA2450" s="4" t="s">
        <v>63</v>
      </c>
      <c r="BB2450" s="4" t="s">
        <v>63</v>
      </c>
      <c r="BC2450" s="4" t="s">
        <v>63</v>
      </c>
      <c r="BD2450" s="4" t="s">
        <v>63</v>
      </c>
      <c r="BE2450" s="4" t="s">
        <v>63</v>
      </c>
      <c r="BF2450" s="4" t="s">
        <v>63</v>
      </c>
    </row>
    <row r="2451" spans="1:58">
      <c r="A2451" s="4" t="s">
        <v>58</v>
      </c>
      <c r="B2451" s="4" t="s">
        <v>20597</v>
      </c>
      <c r="C2451" s="4" t="s">
        <v>20598</v>
      </c>
      <c r="D2451" s="4" t="s">
        <v>11901</v>
      </c>
      <c r="E2451" s="4" t="s">
        <v>63</v>
      </c>
      <c r="F2451" s="4">
        <v>2016</v>
      </c>
      <c r="G2451" s="4">
        <v>1</v>
      </c>
      <c r="H2451" s="4">
        <v>58</v>
      </c>
      <c r="I2451" s="4">
        <v>5</v>
      </c>
      <c r="J2451" s="4" t="s">
        <v>20599</v>
      </c>
      <c r="K2451" s="4" t="s">
        <v>63</v>
      </c>
      <c r="L2451" s="4" t="s">
        <v>20600</v>
      </c>
      <c r="M2451" s="4" t="s">
        <v>20601</v>
      </c>
      <c r="N2451" s="4" t="s">
        <v>20602</v>
      </c>
      <c r="O2451" s="4" t="s">
        <v>63</v>
      </c>
      <c r="P2451" s="4"/>
      <c r="Q2451" s="4" t="s">
        <v>63</v>
      </c>
      <c r="R2451" s="4" t="s">
        <v>63</v>
      </c>
      <c r="S2451" s="4" t="s">
        <v>63</v>
      </c>
      <c r="T2451" s="4" t="s">
        <v>63</v>
      </c>
      <c r="U2451" s="4"/>
      <c r="V2451" s="4"/>
      <c r="W2451" s="4"/>
      <c r="X2451" s="4" t="s">
        <v>63</v>
      </c>
      <c r="Y2451" s="4" t="s">
        <v>15618</v>
      </c>
      <c r="Z2451" s="4" t="s">
        <v>63</v>
      </c>
      <c r="AA2451" s="4" t="s">
        <v>63</v>
      </c>
      <c r="AB2451" s="4" t="s">
        <v>63</v>
      </c>
      <c r="AC2451" s="4" t="s">
        <v>67</v>
      </c>
      <c r="AD2451" s="4" t="s">
        <v>63</v>
      </c>
      <c r="AE2451" s="4" t="s">
        <v>63</v>
      </c>
      <c r="AF2451" s="4" t="s">
        <v>63</v>
      </c>
      <c r="AG2451" s="4" t="s">
        <v>63</v>
      </c>
      <c r="AH2451" s="4" t="s">
        <v>63</v>
      </c>
      <c r="AI2451" s="4" t="s">
        <v>63</v>
      </c>
      <c r="AJ2451" s="4" t="s">
        <v>63</v>
      </c>
      <c r="AK2451" s="4" t="s">
        <v>63</v>
      </c>
      <c r="AL2451" s="4" t="s">
        <v>63</v>
      </c>
      <c r="AM2451" s="4" t="s">
        <v>20598</v>
      </c>
      <c r="AN2451" s="4" t="s">
        <v>63</v>
      </c>
      <c r="AO2451" s="4" t="s">
        <v>63</v>
      </c>
      <c r="AP2451" s="4" t="s">
        <v>63</v>
      </c>
      <c r="AQ2451" s="4" t="s">
        <v>63</v>
      </c>
      <c r="AR2451" s="4" t="s">
        <v>63</v>
      </c>
      <c r="AS2451" s="4" t="s">
        <v>63</v>
      </c>
      <c r="AT2451" s="4" t="s">
        <v>63</v>
      </c>
      <c r="AU2451" s="4" t="s">
        <v>63</v>
      </c>
      <c r="AV2451" s="4" t="s">
        <v>63</v>
      </c>
      <c r="AW2451" s="4" t="s">
        <v>63</v>
      </c>
      <c r="AX2451" s="4" t="s">
        <v>63</v>
      </c>
      <c r="AY2451" s="4" t="s">
        <v>63</v>
      </c>
      <c r="AZ2451" s="4" t="s">
        <v>63</v>
      </c>
      <c r="BA2451" s="4" t="s">
        <v>63</v>
      </c>
      <c r="BB2451" s="4" t="s">
        <v>63</v>
      </c>
      <c r="BC2451" s="4" t="s">
        <v>63</v>
      </c>
      <c r="BD2451" s="4" t="s">
        <v>63</v>
      </c>
      <c r="BE2451" s="4" t="s">
        <v>63</v>
      </c>
      <c r="BF2451" s="4" t="s">
        <v>63</v>
      </c>
    </row>
    <row r="2452" spans="1:58">
      <c r="A2452" s="4" t="s">
        <v>58</v>
      </c>
      <c r="B2452" s="4" t="s">
        <v>20603</v>
      </c>
      <c r="C2452" s="4" t="s">
        <v>20604</v>
      </c>
      <c r="D2452" s="4" t="s">
        <v>20605</v>
      </c>
      <c r="E2452" s="4" t="s">
        <v>20606</v>
      </c>
      <c r="F2452" s="4">
        <v>1969</v>
      </c>
      <c r="G2452" s="4">
        <v>1</v>
      </c>
      <c r="H2452" s="4">
        <v>10</v>
      </c>
      <c r="I2452" s="4">
        <v>3</v>
      </c>
      <c r="J2452" s="4">
        <v>417</v>
      </c>
      <c r="K2452" s="4">
        <v>418</v>
      </c>
      <c r="L2452" s="4" t="s">
        <v>20607</v>
      </c>
      <c r="M2452" s="4" t="s">
        <v>63</v>
      </c>
      <c r="N2452" s="4" t="s">
        <v>20608</v>
      </c>
      <c r="O2452" s="4" t="s">
        <v>63</v>
      </c>
      <c r="P2452" s="4"/>
      <c r="Q2452" s="4" t="s">
        <v>63</v>
      </c>
      <c r="R2452" s="4" t="s">
        <v>63</v>
      </c>
      <c r="S2452" s="4" t="s">
        <v>63</v>
      </c>
      <c r="T2452" s="4" t="s">
        <v>63</v>
      </c>
      <c r="U2452" s="4"/>
      <c r="V2452" s="4"/>
      <c r="W2452" s="4"/>
      <c r="X2452" s="4" t="s">
        <v>63</v>
      </c>
      <c r="Y2452" s="4" t="s">
        <v>20609</v>
      </c>
      <c r="Z2452" s="4" t="s">
        <v>63</v>
      </c>
      <c r="AA2452" s="4" t="s">
        <v>63</v>
      </c>
      <c r="AB2452" s="4" t="s">
        <v>20610</v>
      </c>
      <c r="AC2452" s="4" t="s">
        <v>67</v>
      </c>
      <c r="AD2452" s="4" t="s">
        <v>63</v>
      </c>
      <c r="AE2452" s="4" t="s">
        <v>63</v>
      </c>
      <c r="AF2452" s="4" t="s">
        <v>63</v>
      </c>
      <c r="AG2452" s="4" t="s">
        <v>63</v>
      </c>
      <c r="AH2452" s="4" t="s">
        <v>63</v>
      </c>
      <c r="AI2452" s="4" t="s">
        <v>20611</v>
      </c>
      <c r="AJ2452" s="4" t="s">
        <v>63</v>
      </c>
      <c r="AK2452" s="4" t="s">
        <v>63</v>
      </c>
      <c r="AL2452" s="4" t="s">
        <v>63</v>
      </c>
      <c r="AM2452" s="4" t="s">
        <v>20604</v>
      </c>
      <c r="AN2452" s="4" t="s">
        <v>63</v>
      </c>
      <c r="AO2452" s="4" t="s">
        <v>63</v>
      </c>
      <c r="AP2452" s="4" t="s">
        <v>63</v>
      </c>
      <c r="AQ2452" s="4" t="s">
        <v>63</v>
      </c>
      <c r="AR2452" s="4" t="s">
        <v>63</v>
      </c>
      <c r="AS2452" s="4" t="s">
        <v>63</v>
      </c>
      <c r="AT2452" s="4" t="s">
        <v>63</v>
      </c>
      <c r="AU2452" s="4" t="s">
        <v>63</v>
      </c>
      <c r="AV2452" s="4" t="s">
        <v>63</v>
      </c>
      <c r="AW2452" s="4" t="s">
        <v>63</v>
      </c>
      <c r="AX2452" s="4" t="s">
        <v>63</v>
      </c>
      <c r="AY2452" s="4" t="s">
        <v>63</v>
      </c>
      <c r="AZ2452" s="4" t="s">
        <v>63</v>
      </c>
      <c r="BA2452" s="4" t="s">
        <v>63</v>
      </c>
      <c r="BB2452" s="4" t="s">
        <v>63</v>
      </c>
      <c r="BC2452" s="4" t="s">
        <v>63</v>
      </c>
      <c r="BD2452" s="4" t="s">
        <v>63</v>
      </c>
      <c r="BE2452" s="4" t="s">
        <v>63</v>
      </c>
      <c r="BF2452" s="4" t="s">
        <v>63</v>
      </c>
    </row>
    <row r="2453" spans="1:58">
      <c r="A2453" s="4" t="s">
        <v>58</v>
      </c>
      <c r="B2453" s="4" t="s">
        <v>20612</v>
      </c>
      <c r="C2453" s="4" t="s">
        <v>20613</v>
      </c>
      <c r="D2453" s="4" t="s">
        <v>15421</v>
      </c>
      <c r="E2453" s="4" t="s">
        <v>63</v>
      </c>
      <c r="F2453" s="4">
        <v>2002</v>
      </c>
      <c r="G2453" s="4" t="s">
        <v>181</v>
      </c>
      <c r="H2453" s="4">
        <v>23</v>
      </c>
      <c r="I2453" s="4">
        <v>3</v>
      </c>
      <c r="J2453" s="4">
        <v>223</v>
      </c>
      <c r="K2453" s="4">
        <v>233</v>
      </c>
      <c r="L2453" s="4" t="s">
        <v>20614</v>
      </c>
      <c r="M2453" s="4" t="s">
        <v>63</v>
      </c>
      <c r="N2453" s="4" t="s">
        <v>20615</v>
      </c>
      <c r="O2453" s="4" t="s">
        <v>63</v>
      </c>
      <c r="P2453" s="4"/>
      <c r="Q2453" s="4" t="s">
        <v>63</v>
      </c>
      <c r="R2453" s="4" t="s">
        <v>63</v>
      </c>
      <c r="S2453" s="4" t="s">
        <v>63</v>
      </c>
      <c r="T2453" s="4" t="s">
        <v>63</v>
      </c>
      <c r="U2453" s="4"/>
      <c r="V2453" s="4"/>
      <c r="W2453" s="4"/>
      <c r="X2453" s="4" t="s">
        <v>63</v>
      </c>
      <c r="Y2453" s="4" t="s">
        <v>392</v>
      </c>
      <c r="Z2453" s="4" t="s">
        <v>63</v>
      </c>
      <c r="AA2453" s="4" t="s">
        <v>63</v>
      </c>
      <c r="AB2453" s="4" t="s">
        <v>63</v>
      </c>
      <c r="AC2453" s="4" t="s">
        <v>67</v>
      </c>
      <c r="AD2453" s="4" t="s">
        <v>63</v>
      </c>
      <c r="AE2453" s="4" t="s">
        <v>63</v>
      </c>
      <c r="AF2453" s="4" t="s">
        <v>63</v>
      </c>
      <c r="AG2453" s="4" t="s">
        <v>20616</v>
      </c>
      <c r="AH2453" s="4" t="s">
        <v>63</v>
      </c>
      <c r="AI2453" s="4" t="s">
        <v>63</v>
      </c>
      <c r="AJ2453" s="4" t="s">
        <v>63</v>
      </c>
      <c r="AK2453" s="4" t="s">
        <v>63</v>
      </c>
      <c r="AL2453" s="4" t="s">
        <v>63</v>
      </c>
      <c r="AM2453" s="4" t="s">
        <v>20617</v>
      </c>
      <c r="AN2453" s="4" t="s">
        <v>63</v>
      </c>
      <c r="AO2453" s="4" t="s">
        <v>63</v>
      </c>
      <c r="AP2453" s="4" t="s">
        <v>63</v>
      </c>
      <c r="AQ2453" s="4" t="s">
        <v>63</v>
      </c>
      <c r="AR2453" s="4" t="s">
        <v>63</v>
      </c>
      <c r="AS2453" s="4" t="s">
        <v>63</v>
      </c>
      <c r="AT2453" s="4" t="s">
        <v>63</v>
      </c>
      <c r="AU2453" s="4" t="s">
        <v>63</v>
      </c>
      <c r="AV2453" s="4" t="s">
        <v>63</v>
      </c>
      <c r="AW2453" s="4" t="s">
        <v>63</v>
      </c>
      <c r="AX2453" s="4" t="s">
        <v>63</v>
      </c>
      <c r="AY2453" s="4" t="s">
        <v>63</v>
      </c>
      <c r="AZ2453" s="4" t="s">
        <v>63</v>
      </c>
      <c r="BA2453" s="4" t="s">
        <v>63</v>
      </c>
      <c r="BB2453" s="4" t="s">
        <v>63</v>
      </c>
      <c r="BC2453" s="4" t="s">
        <v>63</v>
      </c>
      <c r="BD2453" s="4" t="s">
        <v>63</v>
      </c>
      <c r="BE2453" s="4" t="s">
        <v>63</v>
      </c>
      <c r="BF2453" s="4" t="s">
        <v>63</v>
      </c>
    </row>
    <row r="2454" spans="1:58">
      <c r="A2454" s="4" t="s">
        <v>58</v>
      </c>
      <c r="B2454" s="4" t="s">
        <v>20618</v>
      </c>
      <c r="C2454" s="4" t="s">
        <v>20619</v>
      </c>
      <c r="D2454" s="4" t="s">
        <v>18916</v>
      </c>
      <c r="E2454" s="4" t="s">
        <v>63</v>
      </c>
      <c r="F2454" s="4">
        <v>2003</v>
      </c>
      <c r="G2454" s="4" t="s">
        <v>15358</v>
      </c>
      <c r="H2454" s="4">
        <v>57</v>
      </c>
      <c r="I2454" s="4">
        <v>8</v>
      </c>
      <c r="J2454" s="4">
        <v>1505</v>
      </c>
      <c r="K2454" s="4">
        <v>1514</v>
      </c>
      <c r="L2454" s="4" t="s">
        <v>20620</v>
      </c>
      <c r="M2454" s="4" t="s">
        <v>20621</v>
      </c>
      <c r="N2454" s="4" t="s">
        <v>20622</v>
      </c>
      <c r="O2454" s="4" t="s">
        <v>63</v>
      </c>
      <c r="P2454" s="4"/>
      <c r="Q2454" s="4" t="s">
        <v>63</v>
      </c>
      <c r="R2454" s="4" t="s">
        <v>63</v>
      </c>
      <c r="S2454" s="4" t="s">
        <v>63</v>
      </c>
      <c r="T2454" s="4" t="s">
        <v>63</v>
      </c>
      <c r="U2454" s="4"/>
      <c r="V2454" s="4"/>
      <c r="W2454" s="4"/>
      <c r="X2454" s="4" t="s">
        <v>63</v>
      </c>
      <c r="Y2454" s="4" t="s">
        <v>5283</v>
      </c>
      <c r="Z2454" s="4" t="s">
        <v>63</v>
      </c>
      <c r="AA2454" s="4" t="s">
        <v>63</v>
      </c>
      <c r="AB2454" s="4">
        <v>2003323370</v>
      </c>
      <c r="AC2454" s="4" t="s">
        <v>67</v>
      </c>
      <c r="AD2454" s="4" t="s">
        <v>63</v>
      </c>
      <c r="AE2454" s="4" t="s">
        <v>63</v>
      </c>
      <c r="AF2454" s="4" t="s">
        <v>63</v>
      </c>
      <c r="AG2454" s="4" t="s">
        <v>20623</v>
      </c>
      <c r="AH2454" s="4" t="s">
        <v>63</v>
      </c>
      <c r="AI2454" s="4" t="s">
        <v>20624</v>
      </c>
      <c r="AJ2454" s="4" t="s">
        <v>63</v>
      </c>
      <c r="AK2454" s="4" t="s">
        <v>63</v>
      </c>
      <c r="AL2454" s="4" t="s">
        <v>63</v>
      </c>
      <c r="AM2454" s="4" t="s">
        <v>20625</v>
      </c>
      <c r="AN2454" s="4" t="s">
        <v>63</v>
      </c>
      <c r="AO2454" s="4" t="s">
        <v>63</v>
      </c>
      <c r="AP2454" s="4" t="s">
        <v>63</v>
      </c>
      <c r="AQ2454" s="4" t="s">
        <v>63</v>
      </c>
      <c r="AR2454" s="4" t="s">
        <v>63</v>
      </c>
      <c r="AS2454" s="4" t="s">
        <v>63</v>
      </c>
      <c r="AT2454" s="4" t="s">
        <v>63</v>
      </c>
      <c r="AU2454" s="4" t="s">
        <v>63</v>
      </c>
      <c r="AV2454" s="4" t="s">
        <v>63</v>
      </c>
      <c r="AW2454" s="4" t="s">
        <v>63</v>
      </c>
      <c r="AX2454" s="4" t="s">
        <v>63</v>
      </c>
      <c r="AY2454" s="4" t="s">
        <v>63</v>
      </c>
      <c r="AZ2454" s="4" t="s">
        <v>63</v>
      </c>
      <c r="BA2454" s="4" t="s">
        <v>63</v>
      </c>
      <c r="BB2454" s="4" t="s">
        <v>63</v>
      </c>
      <c r="BC2454" s="4" t="s">
        <v>63</v>
      </c>
      <c r="BD2454" s="4" t="s">
        <v>63</v>
      </c>
      <c r="BE2454" s="4" t="s">
        <v>63</v>
      </c>
      <c r="BF2454" s="4" t="s">
        <v>63</v>
      </c>
    </row>
    <row r="2455" spans="1:58">
      <c r="A2455" s="4" t="s">
        <v>58</v>
      </c>
      <c r="B2455" s="4" t="s">
        <v>20626</v>
      </c>
      <c r="C2455" s="4" t="s">
        <v>20627</v>
      </c>
      <c r="D2455" s="4" t="s">
        <v>16677</v>
      </c>
      <c r="E2455" s="4" t="s">
        <v>63</v>
      </c>
      <c r="F2455" s="4">
        <v>2010</v>
      </c>
      <c r="G2455" s="4" t="s">
        <v>15358</v>
      </c>
      <c r="H2455" s="4">
        <v>28</v>
      </c>
      <c r="I2455" s="4">
        <v>4</v>
      </c>
      <c r="J2455" s="4">
        <v>464</v>
      </c>
      <c r="K2455" s="4">
        <v>479</v>
      </c>
      <c r="L2455" s="4" t="s">
        <v>20628</v>
      </c>
      <c r="M2455" s="4" t="s">
        <v>20629</v>
      </c>
      <c r="N2455" s="4" t="s">
        <v>20630</v>
      </c>
      <c r="O2455" s="4" t="s">
        <v>63</v>
      </c>
      <c r="P2455" s="4"/>
      <c r="Q2455" s="4" t="s">
        <v>63</v>
      </c>
      <c r="R2455" s="4" t="s">
        <v>63</v>
      </c>
      <c r="S2455" s="4" t="s">
        <v>63</v>
      </c>
      <c r="T2455" s="4" t="s">
        <v>63</v>
      </c>
      <c r="U2455" s="4"/>
      <c r="V2455" s="4"/>
      <c r="W2455" s="4"/>
      <c r="X2455" s="4" t="s">
        <v>63</v>
      </c>
      <c r="Y2455" s="4" t="s">
        <v>17320</v>
      </c>
      <c r="Z2455" s="4" t="s">
        <v>63</v>
      </c>
      <c r="AA2455" s="4" t="s">
        <v>63</v>
      </c>
      <c r="AB2455" s="4" t="s">
        <v>20631</v>
      </c>
      <c r="AC2455" s="4" t="s">
        <v>67</v>
      </c>
      <c r="AD2455" s="4" t="s">
        <v>63</v>
      </c>
      <c r="AE2455" s="4" t="s">
        <v>63</v>
      </c>
      <c r="AF2455" s="4" t="s">
        <v>63</v>
      </c>
      <c r="AG2455" s="4" t="s">
        <v>63</v>
      </c>
      <c r="AH2455" s="4" t="s">
        <v>63</v>
      </c>
      <c r="AI2455" s="4" t="s">
        <v>20632</v>
      </c>
      <c r="AJ2455" s="4" t="s">
        <v>63</v>
      </c>
      <c r="AK2455" s="4" t="s">
        <v>63</v>
      </c>
      <c r="AL2455" s="4" t="s">
        <v>63</v>
      </c>
      <c r="AM2455" s="4" t="s">
        <v>20627</v>
      </c>
      <c r="AN2455" s="4" t="s">
        <v>63</v>
      </c>
      <c r="AO2455" s="4" t="s">
        <v>63</v>
      </c>
      <c r="AP2455" s="4" t="s">
        <v>63</v>
      </c>
      <c r="AQ2455" s="4" t="s">
        <v>63</v>
      </c>
      <c r="AR2455" s="4" t="s">
        <v>63</v>
      </c>
      <c r="AS2455" s="4" t="s">
        <v>63</v>
      </c>
      <c r="AT2455" s="4" t="s">
        <v>63</v>
      </c>
      <c r="AU2455" s="4" t="s">
        <v>63</v>
      </c>
      <c r="AV2455" s="4" t="s">
        <v>63</v>
      </c>
      <c r="AW2455" s="4" t="s">
        <v>63</v>
      </c>
      <c r="AX2455" s="4" t="s">
        <v>63</v>
      </c>
      <c r="AY2455" s="4" t="s">
        <v>63</v>
      </c>
      <c r="AZ2455" s="4" t="s">
        <v>63</v>
      </c>
      <c r="BA2455" s="4" t="s">
        <v>63</v>
      </c>
      <c r="BB2455" s="4" t="s">
        <v>63</v>
      </c>
      <c r="BC2455" s="4" t="s">
        <v>63</v>
      </c>
      <c r="BD2455" s="4" t="s">
        <v>63</v>
      </c>
      <c r="BE2455" s="4" t="s">
        <v>63</v>
      </c>
      <c r="BF2455" s="4" t="s">
        <v>63</v>
      </c>
    </row>
    <row r="2456" spans="1:58">
      <c r="A2456" s="4" t="s">
        <v>58</v>
      </c>
      <c r="B2456" s="4" t="s">
        <v>20633</v>
      </c>
      <c r="C2456" s="4" t="s">
        <v>20634</v>
      </c>
      <c r="D2456" s="4" t="s">
        <v>6854</v>
      </c>
      <c r="E2456" s="4" t="s">
        <v>63</v>
      </c>
      <c r="F2456" s="4">
        <v>2013</v>
      </c>
      <c r="G2456" s="6">
        <v>41882</v>
      </c>
      <c r="H2456" s="4" t="s">
        <v>15842</v>
      </c>
      <c r="I2456" s="4" t="s">
        <v>63</v>
      </c>
      <c r="J2456" s="4" t="s">
        <v>63</v>
      </c>
      <c r="K2456" s="4" t="s">
        <v>63</v>
      </c>
      <c r="L2456" s="4" t="s">
        <v>20635</v>
      </c>
      <c r="M2456" s="4" t="s">
        <v>20636</v>
      </c>
      <c r="N2456" s="4" t="s">
        <v>20637</v>
      </c>
      <c r="O2456" s="4" t="s">
        <v>63</v>
      </c>
      <c r="P2456" s="4"/>
      <c r="Q2456" s="4" t="s">
        <v>63</v>
      </c>
      <c r="R2456" s="4" t="s">
        <v>63</v>
      </c>
      <c r="S2456" s="4" t="s">
        <v>63</v>
      </c>
      <c r="T2456" s="4" t="s">
        <v>63</v>
      </c>
      <c r="U2456" s="4"/>
      <c r="V2456" s="4"/>
      <c r="W2456" s="4"/>
      <c r="X2456" s="4" t="s">
        <v>63</v>
      </c>
      <c r="Y2456" s="4" t="s">
        <v>15322</v>
      </c>
      <c r="Z2456" s="4" t="s">
        <v>63</v>
      </c>
      <c r="AA2456" s="4" t="s">
        <v>63</v>
      </c>
      <c r="AB2456" s="4" t="s">
        <v>63</v>
      </c>
      <c r="AC2456" s="4" t="s">
        <v>67</v>
      </c>
      <c r="AD2456" s="4" t="s">
        <v>63</v>
      </c>
      <c r="AE2456" s="4" t="s">
        <v>63</v>
      </c>
      <c r="AF2456" s="4" t="s">
        <v>63</v>
      </c>
      <c r="AG2456" s="4" t="s">
        <v>63</v>
      </c>
      <c r="AH2456" s="4" t="s">
        <v>63</v>
      </c>
      <c r="AI2456" s="4" t="s">
        <v>63</v>
      </c>
      <c r="AJ2456" s="4" t="s">
        <v>63</v>
      </c>
      <c r="AK2456" s="4" t="s">
        <v>63</v>
      </c>
      <c r="AL2456" s="4" t="s">
        <v>63</v>
      </c>
      <c r="AM2456" s="4" t="s">
        <v>20634</v>
      </c>
      <c r="AN2456" s="4" t="s">
        <v>63</v>
      </c>
      <c r="AO2456" s="4" t="s">
        <v>63</v>
      </c>
      <c r="AP2456" s="4" t="s">
        <v>63</v>
      </c>
      <c r="AQ2456" s="4" t="s">
        <v>63</v>
      </c>
      <c r="AR2456" s="4" t="s">
        <v>63</v>
      </c>
      <c r="AS2456" s="4" t="s">
        <v>63</v>
      </c>
      <c r="AT2456" s="4" t="s">
        <v>63</v>
      </c>
      <c r="AU2456" s="4" t="s">
        <v>63</v>
      </c>
      <c r="AV2456" s="4" t="s">
        <v>63</v>
      </c>
      <c r="AW2456" s="4" t="s">
        <v>63</v>
      </c>
      <c r="AX2456" s="4" t="s">
        <v>63</v>
      </c>
      <c r="AY2456" s="4" t="s">
        <v>63</v>
      </c>
      <c r="AZ2456" s="4" t="s">
        <v>63</v>
      </c>
      <c r="BA2456" s="4" t="s">
        <v>63</v>
      </c>
      <c r="BB2456" s="4" t="s">
        <v>63</v>
      </c>
      <c r="BC2456" s="4" t="s">
        <v>63</v>
      </c>
      <c r="BD2456" s="4" t="s">
        <v>63</v>
      </c>
      <c r="BE2456" s="4" t="s">
        <v>63</v>
      </c>
      <c r="BF2456" s="4" t="s">
        <v>63</v>
      </c>
    </row>
    <row r="2457" spans="1:58">
      <c r="A2457" s="4" t="s">
        <v>58</v>
      </c>
      <c r="B2457" s="4" t="s">
        <v>20638</v>
      </c>
      <c r="C2457" s="4" t="s">
        <v>20639</v>
      </c>
      <c r="D2457" s="4" t="s">
        <v>17392</v>
      </c>
      <c r="E2457" s="4" t="s">
        <v>63</v>
      </c>
      <c r="F2457" s="4">
        <v>2017</v>
      </c>
      <c r="G2457" s="4">
        <v>1</v>
      </c>
      <c r="H2457" s="4">
        <v>57</v>
      </c>
      <c r="I2457" s="4">
        <v>2</v>
      </c>
      <c r="J2457" s="4" t="s">
        <v>20640</v>
      </c>
      <c r="K2457" s="4" t="s">
        <v>20641</v>
      </c>
      <c r="L2457" s="4" t="s">
        <v>20642</v>
      </c>
      <c r="M2457" s="4" t="s">
        <v>20643</v>
      </c>
      <c r="N2457" s="4" t="s">
        <v>20644</v>
      </c>
      <c r="O2457" s="4" t="s">
        <v>63</v>
      </c>
      <c r="P2457" s="4"/>
      <c r="Q2457" s="4" t="s">
        <v>63</v>
      </c>
      <c r="R2457" s="4" t="s">
        <v>63</v>
      </c>
      <c r="S2457" s="4" t="s">
        <v>63</v>
      </c>
      <c r="T2457" s="4" t="s">
        <v>63</v>
      </c>
      <c r="U2457" s="4"/>
      <c r="V2457" s="4"/>
      <c r="W2457" s="4"/>
      <c r="X2457" s="4" t="s">
        <v>63</v>
      </c>
      <c r="Y2457" s="4" t="s">
        <v>20645</v>
      </c>
      <c r="Z2457" s="4" t="s">
        <v>63</v>
      </c>
      <c r="AA2457" s="4" t="s">
        <v>63</v>
      </c>
      <c r="AB2457" s="4">
        <v>20170813020</v>
      </c>
      <c r="AC2457" s="4" t="s">
        <v>67</v>
      </c>
      <c r="AD2457" s="4" t="s">
        <v>63</v>
      </c>
      <c r="AE2457" s="4" t="s">
        <v>63</v>
      </c>
      <c r="AF2457" s="4" t="s">
        <v>63</v>
      </c>
      <c r="AG2457" s="4" t="s">
        <v>20646</v>
      </c>
      <c r="AH2457" s="4" t="s">
        <v>63</v>
      </c>
      <c r="AI2457" s="4" t="s">
        <v>20647</v>
      </c>
      <c r="AJ2457" s="4" t="s">
        <v>63</v>
      </c>
      <c r="AK2457" s="4" t="s">
        <v>63</v>
      </c>
      <c r="AL2457" s="4" t="s">
        <v>63</v>
      </c>
      <c r="AM2457" s="4" t="s">
        <v>20648</v>
      </c>
      <c r="AN2457" s="4" t="s">
        <v>63</v>
      </c>
      <c r="AO2457" s="4" t="s">
        <v>63</v>
      </c>
      <c r="AP2457" s="4" t="s">
        <v>63</v>
      </c>
      <c r="AQ2457" s="4" t="s">
        <v>63</v>
      </c>
      <c r="AR2457" s="4" t="s">
        <v>63</v>
      </c>
      <c r="AS2457" s="4" t="s">
        <v>63</v>
      </c>
      <c r="AT2457" s="4" t="s">
        <v>63</v>
      </c>
      <c r="AU2457" s="4" t="s">
        <v>63</v>
      </c>
      <c r="AV2457" s="4" t="s">
        <v>63</v>
      </c>
      <c r="AW2457" s="4" t="s">
        <v>63</v>
      </c>
      <c r="AX2457" s="4" t="s">
        <v>63</v>
      </c>
      <c r="AY2457" s="4" t="s">
        <v>63</v>
      </c>
      <c r="AZ2457" s="4" t="s">
        <v>63</v>
      </c>
      <c r="BA2457" s="4" t="s">
        <v>63</v>
      </c>
      <c r="BB2457" s="4" t="s">
        <v>63</v>
      </c>
      <c r="BC2457" s="4" t="s">
        <v>63</v>
      </c>
      <c r="BD2457" s="4" t="s">
        <v>63</v>
      </c>
      <c r="BE2457" s="4" t="s">
        <v>63</v>
      </c>
      <c r="BF2457" s="4" t="s">
        <v>63</v>
      </c>
    </row>
    <row r="2458" spans="1:58">
      <c r="A2458" s="4" t="s">
        <v>58</v>
      </c>
      <c r="B2458" s="4" t="s">
        <v>20649</v>
      </c>
      <c r="C2458" s="4" t="s">
        <v>20650</v>
      </c>
      <c r="D2458" s="4" t="s">
        <v>20651</v>
      </c>
      <c r="E2458" s="4" t="s">
        <v>63</v>
      </c>
      <c r="F2458" s="4">
        <v>2012</v>
      </c>
      <c r="G2458" s="4" t="s">
        <v>20652</v>
      </c>
      <c r="H2458" s="4">
        <v>25</v>
      </c>
      <c r="I2458" s="4">
        <v>2</v>
      </c>
      <c r="J2458" s="4">
        <v>208</v>
      </c>
      <c r="K2458" s="4">
        <v>218</v>
      </c>
      <c r="L2458" s="4" t="s">
        <v>20653</v>
      </c>
      <c r="M2458" s="4" t="s">
        <v>20654</v>
      </c>
      <c r="N2458" s="4" t="s">
        <v>20655</v>
      </c>
      <c r="O2458" s="4" t="s">
        <v>63</v>
      </c>
      <c r="P2458" s="4"/>
      <c r="Q2458" s="4" t="s">
        <v>63</v>
      </c>
      <c r="R2458" s="4" t="s">
        <v>63</v>
      </c>
      <c r="S2458" s="4" t="s">
        <v>63</v>
      </c>
      <c r="T2458" s="4" t="s">
        <v>63</v>
      </c>
      <c r="U2458" s="4"/>
      <c r="V2458" s="4"/>
      <c r="W2458" s="4"/>
      <c r="X2458" s="4" t="s">
        <v>63</v>
      </c>
      <c r="Y2458" s="4" t="s">
        <v>20656</v>
      </c>
      <c r="Z2458" s="4" t="s">
        <v>63</v>
      </c>
      <c r="AA2458" s="4" t="s">
        <v>63</v>
      </c>
      <c r="AB2458" s="4" t="s">
        <v>20657</v>
      </c>
      <c r="AC2458" s="4" t="s">
        <v>67</v>
      </c>
      <c r="AD2458" s="4" t="s">
        <v>63</v>
      </c>
      <c r="AE2458" s="4" t="s">
        <v>63</v>
      </c>
      <c r="AF2458" s="4" t="s">
        <v>63</v>
      </c>
      <c r="AG2458" s="4" t="s">
        <v>63</v>
      </c>
      <c r="AH2458" s="4" t="s">
        <v>63</v>
      </c>
      <c r="AI2458" s="4" t="s">
        <v>63</v>
      </c>
      <c r="AJ2458" s="4" t="s">
        <v>63</v>
      </c>
      <c r="AK2458" s="4" t="s">
        <v>63</v>
      </c>
      <c r="AL2458" s="4" t="s">
        <v>63</v>
      </c>
      <c r="AM2458" s="4" t="s">
        <v>20650</v>
      </c>
      <c r="AN2458" s="4" t="s">
        <v>63</v>
      </c>
      <c r="AO2458" s="4" t="s">
        <v>63</v>
      </c>
      <c r="AP2458" s="4" t="s">
        <v>63</v>
      </c>
      <c r="AQ2458" s="4" t="s">
        <v>63</v>
      </c>
      <c r="AR2458" s="4" t="s">
        <v>63</v>
      </c>
      <c r="AS2458" s="4" t="s">
        <v>63</v>
      </c>
      <c r="AT2458" s="4" t="s">
        <v>63</v>
      </c>
      <c r="AU2458" s="4" t="s">
        <v>63</v>
      </c>
      <c r="AV2458" s="4" t="s">
        <v>63</v>
      </c>
      <c r="AW2458" s="4" t="s">
        <v>63</v>
      </c>
      <c r="AX2458" s="4" t="s">
        <v>63</v>
      </c>
      <c r="AY2458" s="4" t="s">
        <v>63</v>
      </c>
      <c r="AZ2458" s="4" t="s">
        <v>63</v>
      </c>
      <c r="BA2458" s="4" t="s">
        <v>63</v>
      </c>
      <c r="BB2458" s="4" t="s">
        <v>63</v>
      </c>
      <c r="BC2458" s="4" t="s">
        <v>63</v>
      </c>
      <c r="BD2458" s="4" t="s">
        <v>63</v>
      </c>
      <c r="BE2458" s="4" t="s">
        <v>63</v>
      </c>
      <c r="BF2458" s="4" t="s">
        <v>63</v>
      </c>
    </row>
    <row r="2459" spans="1:58">
      <c r="A2459" s="4" t="s">
        <v>58</v>
      </c>
      <c r="B2459" s="4" t="s">
        <v>20658</v>
      </c>
      <c r="C2459" s="4" t="s">
        <v>20659</v>
      </c>
      <c r="D2459" s="4" t="s">
        <v>13911</v>
      </c>
      <c r="E2459" s="4" t="s">
        <v>63</v>
      </c>
      <c r="F2459" s="4">
        <v>2014</v>
      </c>
      <c r="G2459" s="4" t="s">
        <v>63</v>
      </c>
      <c r="H2459" s="4" t="s">
        <v>20660</v>
      </c>
      <c r="I2459" s="4" t="s">
        <v>63</v>
      </c>
      <c r="J2459" s="4" t="s">
        <v>63</v>
      </c>
      <c r="K2459" s="4" t="s">
        <v>63</v>
      </c>
      <c r="L2459" s="4" t="s">
        <v>20661</v>
      </c>
      <c r="M2459" s="4" t="s">
        <v>20662</v>
      </c>
      <c r="N2459" s="4" t="s">
        <v>20663</v>
      </c>
      <c r="O2459" s="4" t="s">
        <v>63</v>
      </c>
      <c r="P2459" s="4"/>
      <c r="Q2459" s="4" t="s">
        <v>63</v>
      </c>
      <c r="R2459" s="4" t="s">
        <v>63</v>
      </c>
      <c r="S2459" s="4" t="s">
        <v>63</v>
      </c>
      <c r="T2459" s="4" t="s">
        <v>63</v>
      </c>
      <c r="U2459" s="4"/>
      <c r="V2459" s="4"/>
      <c r="W2459" s="4"/>
      <c r="X2459" s="4" t="s">
        <v>63</v>
      </c>
      <c r="Y2459" s="4" t="s">
        <v>20664</v>
      </c>
      <c r="Z2459" s="4" t="s">
        <v>63</v>
      </c>
      <c r="AA2459" s="4" t="s">
        <v>63</v>
      </c>
      <c r="AB2459" s="4" t="s">
        <v>63</v>
      </c>
      <c r="AC2459" s="4" t="s">
        <v>67</v>
      </c>
      <c r="AD2459" s="4" t="s">
        <v>63</v>
      </c>
      <c r="AE2459" s="4" t="s">
        <v>63</v>
      </c>
      <c r="AF2459" s="4" t="s">
        <v>63</v>
      </c>
      <c r="AG2459" s="4" t="s">
        <v>63</v>
      </c>
      <c r="AH2459" s="4" t="s">
        <v>63</v>
      </c>
      <c r="AI2459" s="4" t="s">
        <v>63</v>
      </c>
      <c r="AJ2459" s="4" t="s">
        <v>63</v>
      </c>
      <c r="AK2459" s="4" t="s">
        <v>63</v>
      </c>
      <c r="AL2459" s="4" t="s">
        <v>63</v>
      </c>
      <c r="AM2459" s="4" t="s">
        <v>20659</v>
      </c>
      <c r="AN2459" s="4" t="s">
        <v>63</v>
      </c>
      <c r="AO2459" s="4" t="s">
        <v>63</v>
      </c>
      <c r="AP2459" s="4" t="s">
        <v>63</v>
      </c>
      <c r="AQ2459" s="4" t="s">
        <v>63</v>
      </c>
      <c r="AR2459" s="4" t="s">
        <v>63</v>
      </c>
      <c r="AS2459" s="4" t="s">
        <v>63</v>
      </c>
      <c r="AT2459" s="4" t="s">
        <v>63</v>
      </c>
      <c r="AU2459" s="4" t="s">
        <v>63</v>
      </c>
      <c r="AV2459" s="4" t="s">
        <v>63</v>
      </c>
      <c r="AW2459" s="4" t="s">
        <v>63</v>
      </c>
      <c r="AX2459" s="4" t="s">
        <v>63</v>
      </c>
      <c r="AY2459" s="4" t="s">
        <v>63</v>
      </c>
      <c r="AZ2459" s="4" t="s">
        <v>63</v>
      </c>
      <c r="BA2459" s="4" t="s">
        <v>63</v>
      </c>
      <c r="BB2459" s="4" t="s">
        <v>63</v>
      </c>
      <c r="BC2459" s="4" t="s">
        <v>63</v>
      </c>
      <c r="BD2459" s="4" t="s">
        <v>63</v>
      </c>
      <c r="BE2459" s="4" t="s">
        <v>63</v>
      </c>
      <c r="BF2459" s="4" t="s">
        <v>63</v>
      </c>
    </row>
    <row r="2460" spans="1:58">
      <c r="A2460" s="4" t="s">
        <v>58</v>
      </c>
      <c r="B2460" s="4" t="s">
        <v>20665</v>
      </c>
      <c r="C2460" s="4" t="s">
        <v>20666</v>
      </c>
      <c r="D2460" s="4" t="s">
        <v>18831</v>
      </c>
      <c r="E2460" s="4" t="s">
        <v>63</v>
      </c>
      <c r="F2460" s="4">
        <v>2014</v>
      </c>
      <c r="G2460" s="4" t="s">
        <v>15358</v>
      </c>
      <c r="H2460" s="4" t="s">
        <v>19706</v>
      </c>
      <c r="I2460" s="4" t="s">
        <v>63</v>
      </c>
      <c r="J2460" s="4" t="s">
        <v>20667</v>
      </c>
      <c r="K2460" s="4" t="s">
        <v>63</v>
      </c>
      <c r="L2460" s="4" t="s">
        <v>20668</v>
      </c>
      <c r="M2460" s="4" t="s">
        <v>20669</v>
      </c>
      <c r="N2460" s="4" t="s">
        <v>20670</v>
      </c>
      <c r="O2460" s="4" t="s">
        <v>63</v>
      </c>
      <c r="P2460" s="4"/>
      <c r="Q2460" s="4" t="s">
        <v>63</v>
      </c>
      <c r="R2460" s="4" t="s">
        <v>63</v>
      </c>
      <c r="S2460" s="4" t="s">
        <v>63</v>
      </c>
      <c r="T2460" s="4" t="s">
        <v>63</v>
      </c>
      <c r="U2460" s="4"/>
      <c r="V2460" s="4"/>
      <c r="W2460" s="4"/>
      <c r="X2460" s="4" t="s">
        <v>63</v>
      </c>
      <c r="Y2460" s="4" t="s">
        <v>18838</v>
      </c>
      <c r="Z2460" s="4" t="s">
        <v>63</v>
      </c>
      <c r="AA2460" s="4" t="s">
        <v>63</v>
      </c>
      <c r="AB2460" s="4" t="s">
        <v>63</v>
      </c>
      <c r="AC2460" s="4" t="s">
        <v>67</v>
      </c>
      <c r="AD2460" s="4" t="s">
        <v>63</v>
      </c>
      <c r="AE2460" s="4" t="s">
        <v>63</v>
      </c>
      <c r="AF2460" s="4" t="s">
        <v>63</v>
      </c>
      <c r="AG2460" s="4" t="s">
        <v>63</v>
      </c>
      <c r="AH2460" s="4" t="s">
        <v>63</v>
      </c>
      <c r="AI2460" s="4" t="s">
        <v>63</v>
      </c>
      <c r="AJ2460" s="4" t="s">
        <v>63</v>
      </c>
      <c r="AK2460" s="4" t="s">
        <v>63</v>
      </c>
      <c r="AL2460" s="4" t="s">
        <v>63</v>
      </c>
      <c r="AM2460" s="4" t="s">
        <v>20666</v>
      </c>
      <c r="AN2460" s="4" t="s">
        <v>63</v>
      </c>
      <c r="AO2460" s="4" t="s">
        <v>63</v>
      </c>
      <c r="AP2460" s="4" t="s">
        <v>63</v>
      </c>
      <c r="AQ2460" s="4" t="s">
        <v>63</v>
      </c>
      <c r="AR2460" s="4" t="s">
        <v>63</v>
      </c>
      <c r="AS2460" s="4" t="s">
        <v>63</v>
      </c>
      <c r="AT2460" s="4" t="s">
        <v>63</v>
      </c>
      <c r="AU2460" s="4" t="s">
        <v>63</v>
      </c>
      <c r="AV2460" s="4" t="s">
        <v>63</v>
      </c>
      <c r="AW2460" s="4" t="s">
        <v>63</v>
      </c>
      <c r="AX2460" s="4" t="s">
        <v>63</v>
      </c>
      <c r="AY2460" s="4" t="s">
        <v>63</v>
      </c>
      <c r="AZ2460" s="4" t="s">
        <v>63</v>
      </c>
      <c r="BA2460" s="4" t="s">
        <v>63</v>
      </c>
      <c r="BB2460" s="4" t="s">
        <v>63</v>
      </c>
      <c r="BC2460" s="4" t="s">
        <v>63</v>
      </c>
      <c r="BD2460" s="4" t="s">
        <v>63</v>
      </c>
      <c r="BE2460" s="4" t="s">
        <v>63</v>
      </c>
      <c r="BF2460" s="4" t="s">
        <v>63</v>
      </c>
    </row>
    <row r="2461" spans="1:58">
      <c r="A2461" s="4" t="s">
        <v>58</v>
      </c>
      <c r="B2461" s="4" t="s">
        <v>20671</v>
      </c>
      <c r="C2461" s="4" t="s">
        <v>20672</v>
      </c>
      <c r="D2461" s="4" t="s">
        <v>2626</v>
      </c>
      <c r="E2461" s="4" t="s">
        <v>2627</v>
      </c>
      <c r="F2461" s="4">
        <v>2011</v>
      </c>
      <c r="G2461" s="4" t="s">
        <v>15155</v>
      </c>
      <c r="H2461" s="4">
        <v>70</v>
      </c>
      <c r="I2461" s="4">
        <v>6</v>
      </c>
      <c r="J2461" s="4">
        <v>608</v>
      </c>
      <c r="K2461" s="4">
        <v>609</v>
      </c>
      <c r="L2461" s="4" t="s">
        <v>20673</v>
      </c>
      <c r="M2461" s="4" t="s">
        <v>20674</v>
      </c>
      <c r="N2461" s="4" t="s">
        <v>20675</v>
      </c>
      <c r="O2461" s="4" t="s">
        <v>63</v>
      </c>
      <c r="P2461" s="4"/>
      <c r="Q2461" s="4" t="s">
        <v>63</v>
      </c>
      <c r="R2461" s="4" t="s">
        <v>63</v>
      </c>
      <c r="S2461" s="4" t="s">
        <v>63</v>
      </c>
      <c r="T2461" s="4" t="s">
        <v>63</v>
      </c>
      <c r="U2461" s="4"/>
      <c r="V2461" s="4"/>
      <c r="W2461" s="4"/>
      <c r="X2461" s="4" t="s">
        <v>63</v>
      </c>
      <c r="Y2461" s="4" t="s">
        <v>2631</v>
      </c>
      <c r="Z2461" s="4" t="s">
        <v>63</v>
      </c>
      <c r="AA2461" s="4" t="s">
        <v>63</v>
      </c>
      <c r="AB2461" s="4" t="s">
        <v>63</v>
      </c>
      <c r="AC2461" s="4" t="s">
        <v>67</v>
      </c>
      <c r="AD2461" s="4" t="s">
        <v>63</v>
      </c>
      <c r="AE2461" s="4" t="s">
        <v>63</v>
      </c>
      <c r="AF2461" s="4" t="s">
        <v>63</v>
      </c>
      <c r="AG2461" s="4" t="s">
        <v>63</v>
      </c>
      <c r="AH2461" s="4" t="s">
        <v>63</v>
      </c>
      <c r="AI2461" s="4" t="s">
        <v>20676</v>
      </c>
      <c r="AJ2461" s="4" t="s">
        <v>63</v>
      </c>
      <c r="AK2461" s="4" t="s">
        <v>63</v>
      </c>
      <c r="AL2461" s="4" t="s">
        <v>63</v>
      </c>
      <c r="AM2461" s="4" t="s">
        <v>20672</v>
      </c>
      <c r="AN2461" s="4" t="s">
        <v>63</v>
      </c>
      <c r="AO2461" s="4" t="s">
        <v>63</v>
      </c>
      <c r="AP2461" s="4" t="s">
        <v>63</v>
      </c>
      <c r="AQ2461" s="4" t="s">
        <v>63</v>
      </c>
      <c r="AR2461" s="4" t="s">
        <v>63</v>
      </c>
      <c r="AS2461" s="4" t="s">
        <v>63</v>
      </c>
      <c r="AT2461" s="4" t="s">
        <v>63</v>
      </c>
      <c r="AU2461" s="4" t="s">
        <v>63</v>
      </c>
      <c r="AV2461" s="4" t="s">
        <v>63</v>
      </c>
      <c r="AW2461" s="4" t="s">
        <v>63</v>
      </c>
      <c r="AX2461" s="4" t="s">
        <v>63</v>
      </c>
      <c r="AY2461" s="4" t="s">
        <v>63</v>
      </c>
      <c r="AZ2461" s="4" t="s">
        <v>63</v>
      </c>
      <c r="BA2461" s="4" t="s">
        <v>63</v>
      </c>
      <c r="BB2461" s="4" t="s">
        <v>63</v>
      </c>
      <c r="BC2461" s="4" t="s">
        <v>63</v>
      </c>
      <c r="BD2461" s="4" t="s">
        <v>63</v>
      </c>
      <c r="BE2461" s="4" t="s">
        <v>63</v>
      </c>
      <c r="BF2461" s="4" t="s">
        <v>63</v>
      </c>
    </row>
    <row r="2462" spans="1:58">
      <c r="A2462" s="4" t="s">
        <v>58</v>
      </c>
      <c r="B2462" s="4" t="s">
        <v>20677</v>
      </c>
      <c r="C2462" s="4" t="s">
        <v>20678</v>
      </c>
      <c r="D2462" s="4" t="s">
        <v>20679</v>
      </c>
      <c r="E2462" s="4" t="s">
        <v>63</v>
      </c>
      <c r="F2462" s="4">
        <v>2012</v>
      </c>
      <c r="G2462" s="4" t="s">
        <v>63</v>
      </c>
      <c r="H2462" s="4">
        <v>5</v>
      </c>
      <c r="I2462" s="4">
        <v>1</v>
      </c>
      <c r="J2462" s="4">
        <v>89</v>
      </c>
      <c r="K2462" s="4" t="s">
        <v>63</v>
      </c>
      <c r="L2462" s="4" t="s">
        <v>20680</v>
      </c>
      <c r="M2462" s="4" t="s">
        <v>20681</v>
      </c>
      <c r="N2462" s="4" t="s">
        <v>20682</v>
      </c>
      <c r="O2462" s="4" t="s">
        <v>63</v>
      </c>
      <c r="P2462" s="4"/>
      <c r="Q2462" s="4" t="s">
        <v>63</v>
      </c>
      <c r="R2462" s="4" t="s">
        <v>63</v>
      </c>
      <c r="S2462" s="4" t="s">
        <v>63</v>
      </c>
      <c r="T2462" s="4" t="s">
        <v>63</v>
      </c>
      <c r="U2462" s="4"/>
      <c r="V2462" s="4"/>
      <c r="W2462" s="4"/>
      <c r="X2462" s="4" t="s">
        <v>63</v>
      </c>
      <c r="Y2462" s="4" t="s">
        <v>20683</v>
      </c>
      <c r="Z2462" s="4" t="s">
        <v>63</v>
      </c>
      <c r="AA2462" s="4" t="s">
        <v>63</v>
      </c>
      <c r="AB2462" s="4" t="s">
        <v>63</v>
      </c>
      <c r="AC2462" s="4" t="s">
        <v>67</v>
      </c>
      <c r="AD2462" s="4" t="s">
        <v>63</v>
      </c>
      <c r="AE2462" s="4" t="s">
        <v>63</v>
      </c>
      <c r="AF2462" s="4" t="s">
        <v>63</v>
      </c>
      <c r="AG2462" s="4" t="s">
        <v>63</v>
      </c>
      <c r="AH2462" s="4" t="s">
        <v>63</v>
      </c>
      <c r="AI2462" s="4" t="s">
        <v>63</v>
      </c>
      <c r="AJ2462" s="4" t="s">
        <v>63</v>
      </c>
      <c r="AK2462" s="4" t="s">
        <v>63</v>
      </c>
      <c r="AL2462" s="4" t="s">
        <v>63</v>
      </c>
      <c r="AM2462" s="4" t="s">
        <v>20678</v>
      </c>
      <c r="AN2462" s="4" t="s">
        <v>63</v>
      </c>
      <c r="AO2462" s="4" t="s">
        <v>63</v>
      </c>
      <c r="AP2462" s="4" t="s">
        <v>63</v>
      </c>
      <c r="AQ2462" s="4" t="s">
        <v>63</v>
      </c>
      <c r="AR2462" s="4" t="s">
        <v>63</v>
      </c>
      <c r="AS2462" s="4" t="s">
        <v>63</v>
      </c>
      <c r="AT2462" s="4" t="s">
        <v>63</v>
      </c>
      <c r="AU2462" s="4" t="s">
        <v>63</v>
      </c>
      <c r="AV2462" s="4" t="s">
        <v>63</v>
      </c>
      <c r="AW2462" s="4" t="s">
        <v>63</v>
      </c>
      <c r="AX2462" s="4" t="s">
        <v>63</v>
      </c>
      <c r="AY2462" s="4" t="s">
        <v>63</v>
      </c>
      <c r="AZ2462" s="4" t="s">
        <v>63</v>
      </c>
      <c r="BA2462" s="4" t="s">
        <v>63</v>
      </c>
      <c r="BB2462" s="4" t="s">
        <v>63</v>
      </c>
      <c r="BC2462" s="4" t="s">
        <v>63</v>
      </c>
      <c r="BD2462" s="4" t="s">
        <v>63</v>
      </c>
      <c r="BE2462" s="4" t="s">
        <v>63</v>
      </c>
      <c r="BF2462" s="4" t="s">
        <v>63</v>
      </c>
    </row>
    <row r="2463" spans="1:58">
      <c r="A2463" s="4" t="s">
        <v>58</v>
      </c>
      <c r="B2463" s="4" t="s">
        <v>20684</v>
      </c>
      <c r="C2463" s="4" t="s">
        <v>20685</v>
      </c>
      <c r="D2463" s="4" t="s">
        <v>389</v>
      </c>
      <c r="E2463" s="4" t="s">
        <v>63</v>
      </c>
      <c r="F2463" s="4">
        <v>2009</v>
      </c>
      <c r="G2463" s="4" t="s">
        <v>15165</v>
      </c>
      <c r="H2463" s="4">
        <v>30</v>
      </c>
      <c r="I2463" s="4">
        <v>2</v>
      </c>
      <c r="J2463" s="4">
        <v>205</v>
      </c>
      <c r="K2463" s="4">
        <v>206</v>
      </c>
      <c r="L2463" s="4" t="s">
        <v>20686</v>
      </c>
      <c r="M2463" s="4" t="s">
        <v>20687</v>
      </c>
      <c r="N2463" s="4" t="s">
        <v>20688</v>
      </c>
      <c r="O2463" s="4" t="s">
        <v>63</v>
      </c>
      <c r="P2463" s="4"/>
      <c r="Q2463" s="4" t="s">
        <v>63</v>
      </c>
      <c r="R2463" s="4" t="s">
        <v>63</v>
      </c>
      <c r="S2463" s="4" t="s">
        <v>63</v>
      </c>
      <c r="T2463" s="4" t="s">
        <v>63</v>
      </c>
      <c r="U2463" s="4"/>
      <c r="V2463" s="4"/>
      <c r="W2463" s="4"/>
      <c r="X2463" s="4" t="s">
        <v>63</v>
      </c>
      <c r="Y2463" s="4" t="s">
        <v>392</v>
      </c>
      <c r="Z2463" s="4" t="s">
        <v>63</v>
      </c>
      <c r="AA2463" s="4" t="s">
        <v>63</v>
      </c>
      <c r="AB2463" s="4" t="s">
        <v>63</v>
      </c>
      <c r="AC2463" s="4" t="s">
        <v>67</v>
      </c>
      <c r="AD2463" s="4" t="s">
        <v>63</v>
      </c>
      <c r="AE2463" s="4" t="s">
        <v>63</v>
      </c>
      <c r="AF2463" s="4" t="s">
        <v>63</v>
      </c>
      <c r="AG2463" s="4" t="s">
        <v>63</v>
      </c>
      <c r="AH2463" s="4" t="s">
        <v>63</v>
      </c>
      <c r="AI2463" s="4" t="s">
        <v>16216</v>
      </c>
      <c r="AJ2463" s="4" t="s">
        <v>63</v>
      </c>
      <c r="AK2463" s="4" t="s">
        <v>63</v>
      </c>
      <c r="AL2463" s="4" t="s">
        <v>63</v>
      </c>
      <c r="AM2463" s="4" t="s">
        <v>20685</v>
      </c>
      <c r="AN2463" s="4" t="s">
        <v>63</v>
      </c>
      <c r="AO2463" s="4" t="s">
        <v>63</v>
      </c>
      <c r="AP2463" s="4" t="s">
        <v>63</v>
      </c>
      <c r="AQ2463" s="4" t="s">
        <v>63</v>
      </c>
      <c r="AR2463" s="4" t="s">
        <v>63</v>
      </c>
      <c r="AS2463" s="4" t="s">
        <v>63</v>
      </c>
      <c r="AT2463" s="4" t="s">
        <v>63</v>
      </c>
      <c r="AU2463" s="4" t="s">
        <v>63</v>
      </c>
      <c r="AV2463" s="4" t="s">
        <v>63</v>
      </c>
      <c r="AW2463" s="4" t="s">
        <v>63</v>
      </c>
      <c r="AX2463" s="4" t="s">
        <v>63</v>
      </c>
      <c r="AY2463" s="4" t="s">
        <v>63</v>
      </c>
      <c r="AZ2463" s="4" t="s">
        <v>63</v>
      </c>
      <c r="BA2463" s="4" t="s">
        <v>63</v>
      </c>
      <c r="BB2463" s="4" t="s">
        <v>63</v>
      </c>
      <c r="BC2463" s="4" t="s">
        <v>63</v>
      </c>
      <c r="BD2463" s="4" t="s">
        <v>63</v>
      </c>
      <c r="BE2463" s="4" t="s">
        <v>63</v>
      </c>
      <c r="BF2463" s="4" t="s">
        <v>63</v>
      </c>
    </row>
    <row r="2464" spans="1:58">
      <c r="A2464" s="4" t="s">
        <v>58</v>
      </c>
      <c r="B2464" s="4" t="s">
        <v>20689</v>
      </c>
      <c r="C2464" s="4" t="s">
        <v>20690</v>
      </c>
      <c r="D2464" s="4" t="s">
        <v>15713</v>
      </c>
      <c r="E2464" s="4" t="s">
        <v>15714</v>
      </c>
      <c r="F2464" s="4">
        <v>2018</v>
      </c>
      <c r="G2464" s="4">
        <v>2</v>
      </c>
      <c r="H2464" s="4">
        <v>23</v>
      </c>
      <c r="I2464" s="4">
        <v>1</v>
      </c>
      <c r="J2464" s="4">
        <v>20</v>
      </c>
      <c r="K2464" s="4">
        <v>28</v>
      </c>
      <c r="L2464" s="4" t="s">
        <v>20691</v>
      </c>
      <c r="M2464" s="4" t="s">
        <v>20692</v>
      </c>
      <c r="N2464" s="4" t="s">
        <v>20693</v>
      </c>
      <c r="O2464" s="4" t="s">
        <v>63</v>
      </c>
      <c r="P2464" s="4"/>
      <c r="Q2464" s="4" t="s">
        <v>63</v>
      </c>
      <c r="R2464" s="4" t="s">
        <v>63</v>
      </c>
      <c r="S2464" s="4" t="s">
        <v>63</v>
      </c>
      <c r="T2464" s="4" t="s">
        <v>63</v>
      </c>
      <c r="U2464" s="4"/>
      <c r="V2464" s="4"/>
      <c r="W2464" s="4"/>
      <c r="X2464" s="4" t="s">
        <v>63</v>
      </c>
      <c r="Y2464" s="4" t="s">
        <v>20025</v>
      </c>
      <c r="Z2464" s="4" t="s">
        <v>63</v>
      </c>
      <c r="AA2464" s="4" t="s">
        <v>63</v>
      </c>
      <c r="AB2464" s="4" t="s">
        <v>20694</v>
      </c>
      <c r="AC2464" s="4" t="s">
        <v>67</v>
      </c>
      <c r="AD2464" s="4" t="s">
        <v>63</v>
      </c>
      <c r="AE2464" s="4" t="s">
        <v>63</v>
      </c>
      <c r="AF2464" s="4" t="s">
        <v>63</v>
      </c>
      <c r="AG2464" s="4" t="s">
        <v>63</v>
      </c>
      <c r="AH2464" s="4" t="s">
        <v>63</v>
      </c>
      <c r="AI2464" s="4" t="s">
        <v>20695</v>
      </c>
      <c r="AJ2464" s="4" t="s">
        <v>63</v>
      </c>
      <c r="AK2464" s="4" t="s">
        <v>63</v>
      </c>
      <c r="AL2464" s="4" t="s">
        <v>63</v>
      </c>
      <c r="AM2464" s="4" t="s">
        <v>20690</v>
      </c>
      <c r="AN2464" s="4" t="s">
        <v>63</v>
      </c>
      <c r="AO2464" s="4" t="s">
        <v>63</v>
      </c>
      <c r="AP2464" s="4" t="s">
        <v>63</v>
      </c>
      <c r="AQ2464" s="4" t="s">
        <v>63</v>
      </c>
      <c r="AR2464" s="4" t="s">
        <v>63</v>
      </c>
      <c r="AS2464" s="4" t="s">
        <v>63</v>
      </c>
      <c r="AT2464" s="4" t="s">
        <v>63</v>
      </c>
      <c r="AU2464" s="4" t="s">
        <v>63</v>
      </c>
      <c r="AV2464" s="4" t="s">
        <v>63</v>
      </c>
      <c r="AW2464" s="4" t="s">
        <v>63</v>
      </c>
      <c r="AX2464" s="4" t="s">
        <v>63</v>
      </c>
      <c r="AY2464" s="4" t="s">
        <v>63</v>
      </c>
      <c r="AZ2464" s="4" t="s">
        <v>63</v>
      </c>
      <c r="BA2464" s="4" t="s">
        <v>63</v>
      </c>
      <c r="BB2464" s="4" t="s">
        <v>63</v>
      </c>
      <c r="BC2464" s="4" t="s">
        <v>63</v>
      </c>
      <c r="BD2464" s="4" t="s">
        <v>63</v>
      </c>
      <c r="BE2464" s="4" t="s">
        <v>63</v>
      </c>
      <c r="BF2464" s="4" t="s">
        <v>63</v>
      </c>
    </row>
    <row r="2465" spans="1:58">
      <c r="A2465" s="4" t="s">
        <v>58</v>
      </c>
      <c r="B2465" s="4" t="s">
        <v>20696</v>
      </c>
      <c r="C2465" s="4" t="s">
        <v>20697</v>
      </c>
      <c r="D2465" s="4" t="s">
        <v>790</v>
      </c>
      <c r="E2465" s="4" t="s">
        <v>791</v>
      </c>
      <c r="F2465" s="4">
        <v>2018</v>
      </c>
      <c r="G2465" s="4">
        <v>1</v>
      </c>
      <c r="H2465" s="4">
        <v>82</v>
      </c>
      <c r="I2465" s="4" t="s">
        <v>63</v>
      </c>
      <c r="J2465" s="4">
        <v>101</v>
      </c>
      <c r="K2465" s="4">
        <v>104</v>
      </c>
      <c r="L2465" s="4" t="s">
        <v>20698</v>
      </c>
      <c r="M2465" s="4" t="s">
        <v>20699</v>
      </c>
      <c r="N2465" s="4" t="s">
        <v>20700</v>
      </c>
      <c r="O2465" s="4" t="s">
        <v>63</v>
      </c>
      <c r="P2465" s="4"/>
      <c r="Q2465" s="4" t="s">
        <v>63</v>
      </c>
      <c r="R2465" s="4" t="s">
        <v>63</v>
      </c>
      <c r="S2465" s="4" t="s">
        <v>63</v>
      </c>
      <c r="T2465" s="4" t="s">
        <v>63</v>
      </c>
      <c r="U2465" s="4"/>
      <c r="V2465" s="4"/>
      <c r="W2465" s="4"/>
      <c r="X2465" s="4" t="s">
        <v>63</v>
      </c>
      <c r="Y2465" s="4" t="s">
        <v>20701</v>
      </c>
      <c r="Z2465" s="4" t="s">
        <v>63</v>
      </c>
      <c r="AA2465" s="4" t="s">
        <v>63</v>
      </c>
      <c r="AB2465" s="4" t="s">
        <v>20702</v>
      </c>
      <c r="AC2465" s="4" t="s">
        <v>67</v>
      </c>
      <c r="AD2465" s="4" t="s">
        <v>63</v>
      </c>
      <c r="AE2465" s="4" t="s">
        <v>63</v>
      </c>
      <c r="AF2465" s="4" t="s">
        <v>63</v>
      </c>
      <c r="AG2465" s="4" t="s">
        <v>63</v>
      </c>
      <c r="AH2465" s="4" t="s">
        <v>63</v>
      </c>
      <c r="AI2465" s="4" t="s">
        <v>20703</v>
      </c>
      <c r="AJ2465" s="4" t="s">
        <v>63</v>
      </c>
      <c r="AK2465" s="4" t="s">
        <v>63</v>
      </c>
      <c r="AL2465" s="4" t="s">
        <v>63</v>
      </c>
      <c r="AM2465" s="4" t="s">
        <v>20697</v>
      </c>
      <c r="AN2465" s="4" t="s">
        <v>63</v>
      </c>
      <c r="AO2465" s="4" t="s">
        <v>63</v>
      </c>
      <c r="AP2465" s="4" t="s">
        <v>63</v>
      </c>
      <c r="AQ2465" s="4" t="s">
        <v>63</v>
      </c>
      <c r="AR2465" s="4" t="s">
        <v>63</v>
      </c>
      <c r="AS2465" s="4" t="s">
        <v>63</v>
      </c>
      <c r="AT2465" s="4" t="s">
        <v>63</v>
      </c>
      <c r="AU2465" s="4" t="s">
        <v>63</v>
      </c>
      <c r="AV2465" s="4" t="s">
        <v>63</v>
      </c>
      <c r="AW2465" s="4" t="s">
        <v>63</v>
      </c>
      <c r="AX2465" s="4" t="s">
        <v>63</v>
      </c>
      <c r="AY2465" s="4" t="s">
        <v>63</v>
      </c>
      <c r="AZ2465" s="4" t="s">
        <v>63</v>
      </c>
      <c r="BA2465" s="4" t="s">
        <v>63</v>
      </c>
      <c r="BB2465" s="4" t="s">
        <v>63</v>
      </c>
      <c r="BC2465" s="4" t="s">
        <v>63</v>
      </c>
      <c r="BD2465" s="4" t="s">
        <v>63</v>
      </c>
      <c r="BE2465" s="4" t="s">
        <v>63</v>
      </c>
      <c r="BF2465" s="4" t="s">
        <v>63</v>
      </c>
    </row>
    <row r="2466" spans="1:58">
      <c r="A2466" s="4" t="s">
        <v>58</v>
      </c>
      <c r="B2466" s="4" t="s">
        <v>20704</v>
      </c>
      <c r="C2466" s="4" t="s">
        <v>20705</v>
      </c>
      <c r="D2466" s="4" t="s">
        <v>20706</v>
      </c>
      <c r="E2466" s="4" t="s">
        <v>63</v>
      </c>
      <c r="F2466" s="4">
        <v>2014</v>
      </c>
      <c r="G2466" s="4" t="s">
        <v>15165</v>
      </c>
      <c r="H2466" s="4">
        <v>5</v>
      </c>
      <c r="I2466" s="4">
        <v>2</v>
      </c>
      <c r="J2466" s="4">
        <v>123</v>
      </c>
      <c r="K2466" s="4">
        <v>129</v>
      </c>
      <c r="L2466" s="4" t="s">
        <v>20707</v>
      </c>
      <c r="M2466" s="4" t="s">
        <v>20708</v>
      </c>
      <c r="N2466" s="4" t="s">
        <v>20709</v>
      </c>
      <c r="O2466" s="4" t="s">
        <v>63</v>
      </c>
      <c r="P2466" s="4"/>
      <c r="Q2466" s="4" t="s">
        <v>63</v>
      </c>
      <c r="R2466" s="4" t="s">
        <v>63</v>
      </c>
      <c r="S2466" s="4" t="s">
        <v>63</v>
      </c>
      <c r="T2466" s="4" t="s">
        <v>63</v>
      </c>
      <c r="U2466" s="4"/>
      <c r="V2466" s="4"/>
      <c r="W2466" s="4"/>
      <c r="X2466" s="4" t="s">
        <v>63</v>
      </c>
      <c r="Y2466" s="4" t="s">
        <v>20710</v>
      </c>
      <c r="Z2466" s="4" t="s">
        <v>63</v>
      </c>
      <c r="AA2466" s="4" t="s">
        <v>63</v>
      </c>
      <c r="AB2466" s="4" t="s">
        <v>20711</v>
      </c>
      <c r="AC2466" s="4" t="s">
        <v>67</v>
      </c>
      <c r="AD2466" s="4" t="s">
        <v>63</v>
      </c>
      <c r="AE2466" s="4" t="s">
        <v>63</v>
      </c>
      <c r="AF2466" s="4" t="s">
        <v>63</v>
      </c>
      <c r="AG2466" s="4" t="s">
        <v>63</v>
      </c>
      <c r="AH2466" s="4" t="s">
        <v>63</v>
      </c>
      <c r="AI2466" s="4" t="s">
        <v>20712</v>
      </c>
      <c r="AJ2466" s="4" t="s">
        <v>63</v>
      </c>
      <c r="AK2466" s="4" t="s">
        <v>63</v>
      </c>
      <c r="AL2466" s="4" t="s">
        <v>63</v>
      </c>
      <c r="AM2466" s="4" t="s">
        <v>20705</v>
      </c>
      <c r="AN2466" s="4" t="s">
        <v>63</v>
      </c>
      <c r="AO2466" s="4" t="s">
        <v>63</v>
      </c>
      <c r="AP2466" s="4" t="s">
        <v>63</v>
      </c>
      <c r="AQ2466" s="4" t="s">
        <v>63</v>
      </c>
      <c r="AR2466" s="4" t="s">
        <v>63</v>
      </c>
      <c r="AS2466" s="4" t="s">
        <v>63</v>
      </c>
      <c r="AT2466" s="4" t="s">
        <v>63</v>
      </c>
      <c r="AU2466" s="4" t="s">
        <v>63</v>
      </c>
      <c r="AV2466" s="4" t="s">
        <v>63</v>
      </c>
      <c r="AW2466" s="4" t="s">
        <v>63</v>
      </c>
      <c r="AX2466" s="4" t="s">
        <v>63</v>
      </c>
      <c r="AY2466" s="4" t="s">
        <v>63</v>
      </c>
      <c r="AZ2466" s="4" t="s">
        <v>63</v>
      </c>
      <c r="BA2466" s="4" t="s">
        <v>63</v>
      </c>
      <c r="BB2466" s="4" t="s">
        <v>63</v>
      </c>
      <c r="BC2466" s="4" t="s">
        <v>63</v>
      </c>
      <c r="BD2466" s="4" t="s">
        <v>63</v>
      </c>
      <c r="BE2466" s="4" t="s">
        <v>63</v>
      </c>
      <c r="BF2466" s="4" t="s">
        <v>63</v>
      </c>
    </row>
    <row r="2467" spans="1:58">
      <c r="A2467" s="4" t="s">
        <v>58</v>
      </c>
      <c r="B2467" s="4" t="s">
        <v>20713</v>
      </c>
      <c r="C2467" s="4" t="s">
        <v>20714</v>
      </c>
      <c r="D2467" s="4" t="s">
        <v>15263</v>
      </c>
      <c r="E2467" s="4" t="s">
        <v>15264</v>
      </c>
      <c r="F2467" s="4">
        <v>2015</v>
      </c>
      <c r="G2467" s="4">
        <v>1</v>
      </c>
      <c r="H2467" s="4">
        <v>146</v>
      </c>
      <c r="I2467" s="4" t="s">
        <v>63</v>
      </c>
      <c r="J2467" s="4" t="s">
        <v>20715</v>
      </c>
      <c r="K2467" s="4" t="s">
        <v>20716</v>
      </c>
      <c r="L2467" s="4" t="s">
        <v>20717</v>
      </c>
      <c r="M2467" s="4" t="s">
        <v>20718</v>
      </c>
      <c r="N2467" s="4" t="s">
        <v>20719</v>
      </c>
      <c r="O2467" s="4" t="s">
        <v>63</v>
      </c>
      <c r="P2467" s="4"/>
      <c r="Q2467" s="4" t="s">
        <v>63</v>
      </c>
      <c r="R2467" s="4" t="s">
        <v>63</v>
      </c>
      <c r="S2467" s="4" t="s">
        <v>63</v>
      </c>
      <c r="T2467" s="4" t="s">
        <v>63</v>
      </c>
      <c r="U2467" s="4"/>
      <c r="V2467" s="4"/>
      <c r="W2467" s="4"/>
      <c r="X2467" s="4" t="s">
        <v>63</v>
      </c>
      <c r="Y2467" s="4" t="s">
        <v>4942</v>
      </c>
      <c r="Z2467" s="4" t="s">
        <v>63</v>
      </c>
      <c r="AA2467" s="4" t="s">
        <v>63</v>
      </c>
      <c r="AB2467" s="4" t="s">
        <v>63</v>
      </c>
      <c r="AC2467" s="4" t="s">
        <v>67</v>
      </c>
      <c r="AD2467" s="4" t="s">
        <v>63</v>
      </c>
      <c r="AE2467" s="4" t="s">
        <v>63</v>
      </c>
      <c r="AF2467" s="4" t="s">
        <v>63</v>
      </c>
      <c r="AG2467" s="4" t="s">
        <v>63</v>
      </c>
      <c r="AH2467" s="4" t="s">
        <v>63</v>
      </c>
      <c r="AI2467" s="4" t="s">
        <v>20720</v>
      </c>
      <c r="AJ2467" s="4" t="s">
        <v>63</v>
      </c>
      <c r="AK2467" s="4" t="s">
        <v>63</v>
      </c>
      <c r="AL2467" s="4" t="s">
        <v>63</v>
      </c>
      <c r="AM2467" s="4" t="s">
        <v>20714</v>
      </c>
      <c r="AN2467" s="4" t="s">
        <v>63</v>
      </c>
      <c r="AO2467" s="4" t="s">
        <v>63</v>
      </c>
      <c r="AP2467" s="4" t="s">
        <v>63</v>
      </c>
      <c r="AQ2467" s="4" t="s">
        <v>63</v>
      </c>
      <c r="AR2467" s="4" t="s">
        <v>63</v>
      </c>
      <c r="AS2467" s="4" t="s">
        <v>63</v>
      </c>
      <c r="AT2467" s="4" t="s">
        <v>63</v>
      </c>
      <c r="AU2467" s="4" t="s">
        <v>63</v>
      </c>
      <c r="AV2467" s="4" t="s">
        <v>63</v>
      </c>
      <c r="AW2467" s="4" t="s">
        <v>63</v>
      </c>
      <c r="AX2467" s="4" t="s">
        <v>63</v>
      </c>
      <c r="AY2467" s="4" t="s">
        <v>63</v>
      </c>
      <c r="AZ2467" s="4" t="s">
        <v>63</v>
      </c>
      <c r="BA2467" s="4" t="s">
        <v>63</v>
      </c>
      <c r="BB2467" s="4" t="s">
        <v>63</v>
      </c>
      <c r="BC2467" s="4" t="s">
        <v>63</v>
      </c>
      <c r="BD2467" s="4" t="s">
        <v>63</v>
      </c>
      <c r="BE2467" s="4" t="s">
        <v>63</v>
      </c>
      <c r="BF2467" s="4" t="s">
        <v>63</v>
      </c>
    </row>
    <row r="2468" spans="1:58">
      <c r="A2468" s="4" t="s">
        <v>58</v>
      </c>
      <c r="B2468" s="4" t="s">
        <v>20721</v>
      </c>
      <c r="C2468" s="4" t="s">
        <v>20722</v>
      </c>
      <c r="D2468" s="4" t="s">
        <v>20723</v>
      </c>
      <c r="E2468" s="4" t="s">
        <v>63</v>
      </c>
      <c r="F2468" s="4">
        <v>2007</v>
      </c>
      <c r="G2468" s="4" t="s">
        <v>63</v>
      </c>
      <c r="H2468" s="4">
        <v>3</v>
      </c>
      <c r="I2468" s="4">
        <v>6</v>
      </c>
      <c r="J2468" s="4">
        <v>711</v>
      </c>
      <c r="K2468" s="4">
        <v>721</v>
      </c>
      <c r="L2468" s="4" t="s">
        <v>20724</v>
      </c>
      <c r="M2468" s="4" t="s">
        <v>20725</v>
      </c>
      <c r="N2468" s="4" t="s">
        <v>20726</v>
      </c>
      <c r="O2468" s="4" t="s">
        <v>63</v>
      </c>
      <c r="P2468" s="4"/>
      <c r="Q2468" s="4" t="s">
        <v>63</v>
      </c>
      <c r="R2468" s="4" t="s">
        <v>63</v>
      </c>
      <c r="S2468" s="4" t="s">
        <v>63</v>
      </c>
      <c r="T2468" s="4" t="s">
        <v>63</v>
      </c>
      <c r="U2468" s="4"/>
      <c r="V2468" s="4"/>
      <c r="W2468" s="4"/>
      <c r="X2468" s="4" t="s">
        <v>63</v>
      </c>
      <c r="Y2468" s="4" t="s">
        <v>20727</v>
      </c>
      <c r="Z2468" s="4" t="s">
        <v>63</v>
      </c>
      <c r="AA2468" s="4" t="s">
        <v>63</v>
      </c>
      <c r="AB2468" s="4" t="s">
        <v>20728</v>
      </c>
      <c r="AC2468" s="4" t="s">
        <v>67</v>
      </c>
      <c r="AD2468" s="4" t="s">
        <v>63</v>
      </c>
      <c r="AE2468" s="4" t="s">
        <v>63</v>
      </c>
      <c r="AF2468" s="4" t="s">
        <v>63</v>
      </c>
      <c r="AG2468" s="4" t="s">
        <v>63</v>
      </c>
      <c r="AH2468" s="4" t="s">
        <v>63</v>
      </c>
      <c r="AI2468" s="4" t="s">
        <v>63</v>
      </c>
      <c r="AJ2468" s="4" t="s">
        <v>63</v>
      </c>
      <c r="AK2468" s="4" t="s">
        <v>63</v>
      </c>
      <c r="AL2468" s="4" t="s">
        <v>63</v>
      </c>
      <c r="AM2468" s="4" t="s">
        <v>20722</v>
      </c>
      <c r="AN2468" s="4" t="s">
        <v>63</v>
      </c>
      <c r="AO2468" s="4" t="s">
        <v>63</v>
      </c>
      <c r="AP2468" s="4" t="s">
        <v>63</v>
      </c>
      <c r="AQ2468" s="4" t="s">
        <v>63</v>
      </c>
      <c r="AR2468" s="4" t="s">
        <v>63</v>
      </c>
      <c r="AS2468" s="4" t="s">
        <v>63</v>
      </c>
      <c r="AT2468" s="4" t="s">
        <v>63</v>
      </c>
      <c r="AU2468" s="4" t="s">
        <v>63</v>
      </c>
      <c r="AV2468" s="4" t="s">
        <v>63</v>
      </c>
      <c r="AW2468" s="4" t="s">
        <v>63</v>
      </c>
      <c r="AX2468" s="4" t="s">
        <v>63</v>
      </c>
      <c r="AY2468" s="4" t="s">
        <v>63</v>
      </c>
      <c r="AZ2468" s="4" t="s">
        <v>63</v>
      </c>
      <c r="BA2468" s="4" t="s">
        <v>63</v>
      </c>
      <c r="BB2468" s="4" t="s">
        <v>63</v>
      </c>
      <c r="BC2468" s="4" t="s">
        <v>63</v>
      </c>
      <c r="BD2468" s="4" t="s">
        <v>63</v>
      </c>
      <c r="BE2468" s="4" t="s">
        <v>63</v>
      </c>
      <c r="BF2468" s="4" t="s">
        <v>63</v>
      </c>
    </row>
    <row r="2469" spans="1:58">
      <c r="A2469" s="4" t="s">
        <v>58</v>
      </c>
      <c r="B2469" s="4" t="s">
        <v>20729</v>
      </c>
      <c r="C2469" s="4" t="s">
        <v>20730</v>
      </c>
      <c r="D2469" s="4" t="s">
        <v>20731</v>
      </c>
      <c r="E2469" s="4" t="s">
        <v>63</v>
      </c>
      <c r="F2469" s="4">
        <v>2002</v>
      </c>
      <c r="G2469" s="4" t="s">
        <v>63</v>
      </c>
      <c r="H2469" s="4">
        <v>17</v>
      </c>
      <c r="I2469" s="4">
        <v>2</v>
      </c>
      <c r="J2469" s="4">
        <v>71</v>
      </c>
      <c r="K2469" s="4">
        <v>75</v>
      </c>
      <c r="L2469" s="4" t="s">
        <v>20732</v>
      </c>
      <c r="M2469" s="4" t="s">
        <v>20733</v>
      </c>
      <c r="N2469" s="4" t="s">
        <v>20734</v>
      </c>
      <c r="O2469" s="4" t="s">
        <v>63</v>
      </c>
      <c r="P2469" s="4"/>
      <c r="Q2469" s="4" t="s">
        <v>63</v>
      </c>
      <c r="R2469" s="4" t="s">
        <v>63</v>
      </c>
      <c r="S2469" s="4" t="s">
        <v>63</v>
      </c>
      <c r="T2469" s="4" t="s">
        <v>63</v>
      </c>
      <c r="U2469" s="4"/>
      <c r="V2469" s="4"/>
      <c r="W2469" s="4"/>
      <c r="X2469" s="4" t="s">
        <v>63</v>
      </c>
      <c r="Y2469" s="4" t="s">
        <v>20735</v>
      </c>
      <c r="Z2469" s="4" t="s">
        <v>63</v>
      </c>
      <c r="AA2469" s="4" t="s">
        <v>63</v>
      </c>
      <c r="AB2469" s="4" t="s">
        <v>20736</v>
      </c>
      <c r="AC2469" s="4" t="s">
        <v>67</v>
      </c>
      <c r="AD2469" s="4" t="s">
        <v>63</v>
      </c>
      <c r="AE2469" s="4" t="s">
        <v>63</v>
      </c>
      <c r="AF2469" s="4" t="s">
        <v>63</v>
      </c>
      <c r="AG2469" s="4" t="s">
        <v>63</v>
      </c>
      <c r="AH2469" s="4" t="s">
        <v>63</v>
      </c>
      <c r="AI2469" s="4" t="s">
        <v>63</v>
      </c>
      <c r="AJ2469" s="4" t="s">
        <v>63</v>
      </c>
      <c r="AK2469" s="4" t="s">
        <v>63</v>
      </c>
      <c r="AL2469" s="4" t="s">
        <v>63</v>
      </c>
      <c r="AM2469" s="4" t="s">
        <v>20730</v>
      </c>
      <c r="AN2469" s="4" t="s">
        <v>63</v>
      </c>
      <c r="AO2469" s="4" t="s">
        <v>63</v>
      </c>
      <c r="AP2469" s="4" t="s">
        <v>63</v>
      </c>
      <c r="AQ2469" s="4" t="s">
        <v>63</v>
      </c>
      <c r="AR2469" s="4" t="s">
        <v>63</v>
      </c>
      <c r="AS2469" s="4" t="s">
        <v>63</v>
      </c>
      <c r="AT2469" s="4" t="s">
        <v>63</v>
      </c>
      <c r="AU2469" s="4" t="s">
        <v>63</v>
      </c>
      <c r="AV2469" s="4" t="s">
        <v>63</v>
      </c>
      <c r="AW2469" s="4" t="s">
        <v>63</v>
      </c>
      <c r="AX2469" s="4" t="s">
        <v>63</v>
      </c>
      <c r="AY2469" s="4" t="s">
        <v>63</v>
      </c>
      <c r="AZ2469" s="4" t="s">
        <v>63</v>
      </c>
      <c r="BA2469" s="4" t="s">
        <v>63</v>
      </c>
      <c r="BB2469" s="4" t="s">
        <v>63</v>
      </c>
      <c r="BC2469" s="4" t="s">
        <v>63</v>
      </c>
      <c r="BD2469" s="4" t="s">
        <v>63</v>
      </c>
      <c r="BE2469" s="4" t="s">
        <v>63</v>
      </c>
      <c r="BF2469" s="4" t="s">
        <v>63</v>
      </c>
    </row>
    <row r="2470" spans="1:58">
      <c r="A2470" s="4" t="s">
        <v>58</v>
      </c>
      <c r="B2470" s="4" t="s">
        <v>20737</v>
      </c>
      <c r="C2470" s="4" t="s">
        <v>20738</v>
      </c>
      <c r="D2470" s="4" t="s">
        <v>20739</v>
      </c>
      <c r="E2470" s="4" t="s">
        <v>63</v>
      </c>
      <c r="F2470" s="4">
        <v>1996</v>
      </c>
      <c r="G2470" s="4" t="s">
        <v>63</v>
      </c>
      <c r="H2470" s="4">
        <v>56</v>
      </c>
      <c r="I2470" s="4">
        <v>5</v>
      </c>
      <c r="J2470" s="4">
        <v>195</v>
      </c>
      <c r="K2470" s="4">
        <v>201</v>
      </c>
      <c r="L2470" s="4" t="s">
        <v>20740</v>
      </c>
      <c r="M2470" s="4" t="s">
        <v>20741</v>
      </c>
      <c r="N2470" s="4" t="s">
        <v>20742</v>
      </c>
      <c r="O2470" s="4" t="s">
        <v>63</v>
      </c>
      <c r="P2470" s="4"/>
      <c r="Q2470" s="4" t="s">
        <v>63</v>
      </c>
      <c r="R2470" s="4" t="s">
        <v>63</v>
      </c>
      <c r="S2470" s="4" t="s">
        <v>63</v>
      </c>
      <c r="T2470" s="4" t="s">
        <v>63</v>
      </c>
      <c r="U2470" s="4"/>
      <c r="V2470" s="4"/>
      <c r="W2470" s="4"/>
      <c r="X2470" s="4" t="s">
        <v>63</v>
      </c>
      <c r="Y2470" s="4" t="s">
        <v>20743</v>
      </c>
      <c r="Z2470" s="4" t="s">
        <v>63</v>
      </c>
      <c r="AA2470" s="4" t="s">
        <v>63</v>
      </c>
      <c r="AB2470" s="4" t="s">
        <v>20744</v>
      </c>
      <c r="AC2470" s="4" t="s">
        <v>18094</v>
      </c>
      <c r="AD2470" s="4" t="s">
        <v>63</v>
      </c>
      <c r="AE2470" s="4" t="s">
        <v>63</v>
      </c>
      <c r="AF2470" s="4" t="s">
        <v>63</v>
      </c>
      <c r="AG2470" s="4" t="s">
        <v>63</v>
      </c>
      <c r="AH2470" s="4" t="s">
        <v>63</v>
      </c>
      <c r="AI2470" s="4" t="s">
        <v>63</v>
      </c>
      <c r="AJ2470" s="4" t="s">
        <v>63</v>
      </c>
      <c r="AK2470" s="4" t="s">
        <v>63</v>
      </c>
      <c r="AL2470" s="4" t="s">
        <v>63</v>
      </c>
      <c r="AM2470" s="4" t="s">
        <v>20745</v>
      </c>
      <c r="AN2470" s="4" t="s">
        <v>63</v>
      </c>
      <c r="AO2470" s="4" t="s">
        <v>63</v>
      </c>
      <c r="AP2470" s="4" t="s">
        <v>63</v>
      </c>
      <c r="AQ2470" s="4" t="s">
        <v>63</v>
      </c>
      <c r="AR2470" s="4" t="s">
        <v>63</v>
      </c>
      <c r="AS2470" s="4" t="s">
        <v>63</v>
      </c>
      <c r="AT2470" s="4" t="s">
        <v>63</v>
      </c>
      <c r="AU2470" s="4" t="s">
        <v>63</v>
      </c>
      <c r="AV2470" s="4" t="s">
        <v>63</v>
      </c>
      <c r="AW2470" s="4" t="s">
        <v>63</v>
      </c>
      <c r="AX2470" s="4" t="s">
        <v>63</v>
      </c>
      <c r="AY2470" s="4" t="s">
        <v>63</v>
      </c>
      <c r="AZ2470" s="4" t="s">
        <v>63</v>
      </c>
      <c r="BA2470" s="4" t="s">
        <v>63</v>
      </c>
      <c r="BB2470" s="4" t="s">
        <v>63</v>
      </c>
      <c r="BC2470" s="4" t="s">
        <v>63</v>
      </c>
      <c r="BD2470" s="4" t="s">
        <v>63</v>
      </c>
      <c r="BE2470" s="4" t="s">
        <v>63</v>
      </c>
      <c r="BF2470" s="4" t="s">
        <v>63</v>
      </c>
    </row>
    <row r="2471" spans="1:58">
      <c r="A2471" s="4" t="s">
        <v>58</v>
      </c>
      <c r="B2471" s="4" t="s">
        <v>20746</v>
      </c>
      <c r="C2471" s="4" t="s">
        <v>20747</v>
      </c>
      <c r="D2471" s="4" t="s">
        <v>20748</v>
      </c>
      <c r="E2471" s="4" t="s">
        <v>20749</v>
      </c>
      <c r="F2471" s="4">
        <v>2011</v>
      </c>
      <c r="G2471" s="4" t="s">
        <v>16182</v>
      </c>
      <c r="H2471" s="4">
        <v>25</v>
      </c>
      <c r="I2471" s="4">
        <v>4</v>
      </c>
      <c r="J2471" s="4">
        <v>316</v>
      </c>
      <c r="K2471" s="4">
        <v>327</v>
      </c>
      <c r="L2471" s="4" t="s">
        <v>20750</v>
      </c>
      <c r="M2471" s="4" t="s">
        <v>20751</v>
      </c>
      <c r="N2471" s="4" t="s">
        <v>20752</v>
      </c>
      <c r="O2471" s="4" t="s">
        <v>63</v>
      </c>
      <c r="P2471" s="4"/>
      <c r="Q2471" s="4" t="s">
        <v>63</v>
      </c>
      <c r="R2471" s="4" t="s">
        <v>63</v>
      </c>
      <c r="S2471" s="4" t="s">
        <v>63</v>
      </c>
      <c r="T2471" s="4" t="s">
        <v>63</v>
      </c>
      <c r="U2471" s="4"/>
      <c r="V2471" s="4"/>
      <c r="W2471" s="4"/>
      <c r="X2471" s="4" t="s">
        <v>63</v>
      </c>
      <c r="Y2471" s="4" t="s">
        <v>20753</v>
      </c>
      <c r="Z2471" s="4" t="s">
        <v>63</v>
      </c>
      <c r="AA2471" s="4" t="s">
        <v>63</v>
      </c>
      <c r="AB2471" s="4">
        <v>2011360810</v>
      </c>
      <c r="AC2471" s="4" t="s">
        <v>67</v>
      </c>
      <c r="AD2471" s="4" t="s">
        <v>63</v>
      </c>
      <c r="AE2471" s="4" t="s">
        <v>63</v>
      </c>
      <c r="AF2471" s="4" t="s">
        <v>63</v>
      </c>
      <c r="AG2471" s="4" t="s">
        <v>20754</v>
      </c>
      <c r="AH2471" s="4" t="s">
        <v>63</v>
      </c>
      <c r="AI2471" s="4" t="s">
        <v>20755</v>
      </c>
      <c r="AJ2471" s="4" t="s">
        <v>63</v>
      </c>
      <c r="AK2471" s="4" t="s">
        <v>63</v>
      </c>
      <c r="AL2471" s="4" t="s">
        <v>63</v>
      </c>
      <c r="AM2471" s="4" t="s">
        <v>20756</v>
      </c>
      <c r="AN2471" s="4" t="s">
        <v>63</v>
      </c>
      <c r="AO2471" s="4" t="s">
        <v>63</v>
      </c>
      <c r="AP2471" s="4" t="s">
        <v>63</v>
      </c>
      <c r="AQ2471" s="4" t="s">
        <v>63</v>
      </c>
      <c r="AR2471" s="4" t="s">
        <v>63</v>
      </c>
      <c r="AS2471" s="4" t="s">
        <v>63</v>
      </c>
      <c r="AT2471" s="4" t="s">
        <v>63</v>
      </c>
      <c r="AU2471" s="4" t="s">
        <v>63</v>
      </c>
      <c r="AV2471" s="4" t="s">
        <v>63</v>
      </c>
      <c r="AW2471" s="4" t="s">
        <v>63</v>
      </c>
      <c r="AX2471" s="4" t="s">
        <v>63</v>
      </c>
      <c r="AY2471" s="4" t="s">
        <v>63</v>
      </c>
      <c r="AZ2471" s="4" t="s">
        <v>63</v>
      </c>
      <c r="BA2471" s="4" t="s">
        <v>63</v>
      </c>
      <c r="BB2471" s="4" t="s">
        <v>63</v>
      </c>
      <c r="BC2471" s="4" t="s">
        <v>63</v>
      </c>
      <c r="BD2471" s="4" t="s">
        <v>63</v>
      </c>
      <c r="BE2471" s="4" t="s">
        <v>63</v>
      </c>
      <c r="BF2471" s="4" t="s">
        <v>63</v>
      </c>
    </row>
    <row r="2472" spans="1:58">
      <c r="A2472" s="4" t="s">
        <v>58</v>
      </c>
      <c r="B2472" s="4" t="s">
        <v>20757</v>
      </c>
      <c r="C2472" s="4" t="s">
        <v>20758</v>
      </c>
      <c r="D2472" s="4" t="s">
        <v>17517</v>
      </c>
      <c r="E2472" s="4" t="s">
        <v>17517</v>
      </c>
      <c r="F2472" s="4">
        <v>2017</v>
      </c>
      <c r="G2472" s="4">
        <v>1</v>
      </c>
      <c r="H2472" s="4" t="s">
        <v>20759</v>
      </c>
      <c r="I2472" s="4" t="s">
        <v>63</v>
      </c>
      <c r="J2472" s="4" t="s">
        <v>20760</v>
      </c>
      <c r="K2472" s="4" t="s">
        <v>20761</v>
      </c>
      <c r="L2472" s="4" t="s">
        <v>20762</v>
      </c>
      <c r="M2472" s="4" t="s">
        <v>20763</v>
      </c>
      <c r="N2472" s="4" t="s">
        <v>20764</v>
      </c>
      <c r="O2472" s="4" t="s">
        <v>63</v>
      </c>
      <c r="P2472" s="4"/>
      <c r="Q2472" s="4" t="s">
        <v>63</v>
      </c>
      <c r="R2472" s="4" t="s">
        <v>63</v>
      </c>
      <c r="S2472" s="4" t="s">
        <v>63</v>
      </c>
      <c r="T2472" s="4" t="s">
        <v>63</v>
      </c>
      <c r="U2472" s="4"/>
      <c r="V2472" s="4"/>
      <c r="W2472" s="4"/>
      <c r="X2472" s="4" t="s">
        <v>63</v>
      </c>
      <c r="Y2472" s="4" t="s">
        <v>20765</v>
      </c>
      <c r="Z2472" s="4" t="s">
        <v>63</v>
      </c>
      <c r="AA2472" s="4" t="s">
        <v>63</v>
      </c>
      <c r="AB2472" s="4" t="s">
        <v>63</v>
      </c>
      <c r="AC2472" s="4" t="s">
        <v>67</v>
      </c>
      <c r="AD2472" s="4" t="s">
        <v>63</v>
      </c>
      <c r="AE2472" s="4" t="s">
        <v>63</v>
      </c>
      <c r="AF2472" s="4" t="s">
        <v>63</v>
      </c>
      <c r="AG2472" s="4" t="s">
        <v>63</v>
      </c>
      <c r="AH2472" s="4" t="s">
        <v>63</v>
      </c>
      <c r="AI2472" s="4" t="s">
        <v>20766</v>
      </c>
      <c r="AJ2472" s="4" t="s">
        <v>63</v>
      </c>
      <c r="AK2472" s="4" t="s">
        <v>63</v>
      </c>
      <c r="AL2472" s="4" t="s">
        <v>63</v>
      </c>
      <c r="AM2472" s="4" t="s">
        <v>20758</v>
      </c>
      <c r="AN2472" s="4" t="s">
        <v>63</v>
      </c>
      <c r="AO2472" s="4" t="s">
        <v>63</v>
      </c>
      <c r="AP2472" s="4" t="s">
        <v>63</v>
      </c>
      <c r="AQ2472" s="4" t="s">
        <v>63</v>
      </c>
      <c r="AR2472" s="4" t="s">
        <v>63</v>
      </c>
      <c r="AS2472" s="4" t="s">
        <v>63</v>
      </c>
      <c r="AT2472" s="4" t="s">
        <v>63</v>
      </c>
      <c r="AU2472" s="4" t="s">
        <v>63</v>
      </c>
      <c r="AV2472" s="4" t="s">
        <v>63</v>
      </c>
      <c r="AW2472" s="4" t="s">
        <v>63</v>
      </c>
      <c r="AX2472" s="4" t="s">
        <v>63</v>
      </c>
      <c r="AY2472" s="4" t="s">
        <v>63</v>
      </c>
      <c r="AZ2472" s="4" t="s">
        <v>63</v>
      </c>
      <c r="BA2472" s="4" t="s">
        <v>63</v>
      </c>
      <c r="BB2472" s="4" t="s">
        <v>63</v>
      </c>
      <c r="BC2472" s="4" t="s">
        <v>63</v>
      </c>
      <c r="BD2472" s="4" t="s">
        <v>63</v>
      </c>
      <c r="BE2472" s="4" t="s">
        <v>63</v>
      </c>
      <c r="BF2472" s="4" t="s">
        <v>63</v>
      </c>
    </row>
    <row r="2473" spans="1:58">
      <c r="A2473" s="4" t="s">
        <v>58</v>
      </c>
      <c r="B2473" s="4" t="s">
        <v>20767</v>
      </c>
      <c r="C2473" s="4" t="s">
        <v>20768</v>
      </c>
      <c r="D2473" s="4" t="s">
        <v>20769</v>
      </c>
      <c r="E2473" s="4" t="s">
        <v>20769</v>
      </c>
      <c r="F2473" s="4">
        <v>2016</v>
      </c>
      <c r="G2473" s="4">
        <v>1</v>
      </c>
      <c r="H2473" s="4" t="s">
        <v>20770</v>
      </c>
      <c r="I2473" s="4">
        <v>1</v>
      </c>
      <c r="J2473" s="4">
        <v>35</v>
      </c>
      <c r="K2473" s="4">
        <v>44</v>
      </c>
      <c r="L2473" s="4" t="s">
        <v>20771</v>
      </c>
      <c r="M2473" s="4" t="s">
        <v>20772</v>
      </c>
      <c r="N2473" s="4" t="s">
        <v>20773</v>
      </c>
      <c r="O2473" s="4" t="s">
        <v>63</v>
      </c>
      <c r="P2473" s="4"/>
      <c r="Q2473" s="4" t="s">
        <v>63</v>
      </c>
      <c r="R2473" s="4" t="s">
        <v>63</v>
      </c>
      <c r="S2473" s="4" t="s">
        <v>63</v>
      </c>
      <c r="T2473" s="4" t="s">
        <v>63</v>
      </c>
      <c r="U2473" s="4"/>
      <c r="V2473" s="4"/>
      <c r="W2473" s="4"/>
      <c r="X2473" s="4" t="s">
        <v>63</v>
      </c>
      <c r="Y2473" s="4" t="s">
        <v>20774</v>
      </c>
      <c r="Z2473" s="4" t="s">
        <v>63</v>
      </c>
      <c r="AA2473" s="4" t="s">
        <v>63</v>
      </c>
      <c r="AB2473" s="4" t="s">
        <v>20775</v>
      </c>
      <c r="AC2473" s="4" t="s">
        <v>8663</v>
      </c>
      <c r="AD2473" s="4" t="s">
        <v>63</v>
      </c>
      <c r="AE2473" s="4" t="s">
        <v>63</v>
      </c>
      <c r="AF2473" s="4" t="s">
        <v>63</v>
      </c>
      <c r="AG2473" s="4" t="s">
        <v>63</v>
      </c>
      <c r="AH2473" s="4" t="s">
        <v>63</v>
      </c>
      <c r="AI2473" s="4" t="s">
        <v>63</v>
      </c>
      <c r="AJ2473" s="4" t="s">
        <v>63</v>
      </c>
      <c r="AK2473" s="4" t="s">
        <v>63</v>
      </c>
      <c r="AL2473" s="4" t="s">
        <v>63</v>
      </c>
      <c r="AM2473" s="4" t="s">
        <v>20768</v>
      </c>
      <c r="AN2473" s="4" t="s">
        <v>63</v>
      </c>
      <c r="AO2473" s="4" t="s">
        <v>63</v>
      </c>
      <c r="AP2473" s="4" t="s">
        <v>63</v>
      </c>
      <c r="AQ2473" s="4" t="s">
        <v>63</v>
      </c>
      <c r="AR2473" s="4" t="s">
        <v>63</v>
      </c>
      <c r="AS2473" s="4" t="s">
        <v>63</v>
      </c>
      <c r="AT2473" s="4" t="s">
        <v>63</v>
      </c>
      <c r="AU2473" s="4" t="s">
        <v>63</v>
      </c>
      <c r="AV2473" s="4" t="s">
        <v>63</v>
      </c>
      <c r="AW2473" s="4" t="s">
        <v>63</v>
      </c>
      <c r="AX2473" s="4" t="s">
        <v>63</v>
      </c>
      <c r="AY2473" s="4" t="s">
        <v>63</v>
      </c>
      <c r="AZ2473" s="4" t="s">
        <v>63</v>
      </c>
      <c r="BA2473" s="4" t="s">
        <v>63</v>
      </c>
      <c r="BB2473" s="4" t="s">
        <v>63</v>
      </c>
      <c r="BC2473" s="4" t="s">
        <v>63</v>
      </c>
      <c r="BD2473" s="4" t="s">
        <v>63</v>
      </c>
      <c r="BE2473" s="4" t="s">
        <v>63</v>
      </c>
      <c r="BF2473" s="4" t="s">
        <v>63</v>
      </c>
    </row>
    <row r="2474" spans="1:58">
      <c r="A2474" s="4" t="s">
        <v>58</v>
      </c>
      <c r="B2474" s="4" t="s">
        <v>20776</v>
      </c>
      <c r="C2474" s="4" t="s">
        <v>20777</v>
      </c>
      <c r="D2474" s="4" t="s">
        <v>20778</v>
      </c>
      <c r="E2474" s="4" t="s">
        <v>20778</v>
      </c>
      <c r="F2474" s="4">
        <v>1999</v>
      </c>
      <c r="G2474" s="4" t="s">
        <v>138</v>
      </c>
      <c r="H2474" s="4">
        <v>137</v>
      </c>
      <c r="I2474" s="4">
        <v>7</v>
      </c>
      <c r="J2474" s="4">
        <v>278</v>
      </c>
      <c r="K2474" s="4" t="s">
        <v>20779</v>
      </c>
      <c r="L2474" s="4" t="s">
        <v>20780</v>
      </c>
      <c r="M2474" s="4" t="s">
        <v>20781</v>
      </c>
      <c r="N2474" s="4" t="s">
        <v>20782</v>
      </c>
      <c r="O2474" s="4" t="s">
        <v>63</v>
      </c>
      <c r="P2474" s="4"/>
      <c r="Q2474" s="4" t="s">
        <v>63</v>
      </c>
      <c r="R2474" s="4" t="s">
        <v>63</v>
      </c>
      <c r="S2474" s="4" t="s">
        <v>63</v>
      </c>
      <c r="T2474" s="4" t="s">
        <v>63</v>
      </c>
      <c r="U2474" s="4"/>
      <c r="V2474" s="4"/>
      <c r="W2474" s="4"/>
      <c r="X2474" s="4" t="s">
        <v>63</v>
      </c>
      <c r="Y2474" s="4" t="s">
        <v>20783</v>
      </c>
      <c r="Z2474" s="4" t="s">
        <v>63</v>
      </c>
      <c r="AA2474" s="4" t="s">
        <v>63</v>
      </c>
      <c r="AB2474" s="4" t="s">
        <v>63</v>
      </c>
      <c r="AC2474" s="4" t="s">
        <v>20784</v>
      </c>
      <c r="AD2474" s="4" t="s">
        <v>63</v>
      </c>
      <c r="AE2474" s="4" t="s">
        <v>63</v>
      </c>
      <c r="AF2474" s="4" t="s">
        <v>63</v>
      </c>
      <c r="AG2474" s="4" t="s">
        <v>20785</v>
      </c>
      <c r="AH2474" s="4" t="s">
        <v>63</v>
      </c>
      <c r="AI2474" s="4" t="s">
        <v>63</v>
      </c>
      <c r="AJ2474" s="4" t="s">
        <v>63</v>
      </c>
      <c r="AK2474" s="4" t="s">
        <v>63</v>
      </c>
      <c r="AL2474" s="4" t="s">
        <v>63</v>
      </c>
      <c r="AM2474" s="4" t="s">
        <v>20786</v>
      </c>
      <c r="AN2474" s="4" t="s">
        <v>63</v>
      </c>
      <c r="AO2474" s="4" t="s">
        <v>63</v>
      </c>
      <c r="AP2474" s="4" t="s">
        <v>63</v>
      </c>
      <c r="AQ2474" s="4" t="s">
        <v>63</v>
      </c>
      <c r="AR2474" s="4" t="s">
        <v>63</v>
      </c>
      <c r="AS2474" s="4" t="s">
        <v>63</v>
      </c>
      <c r="AT2474" s="4" t="s">
        <v>63</v>
      </c>
      <c r="AU2474" s="4" t="s">
        <v>63</v>
      </c>
      <c r="AV2474" s="4" t="s">
        <v>63</v>
      </c>
      <c r="AW2474" s="4" t="s">
        <v>63</v>
      </c>
      <c r="AX2474" s="4" t="s">
        <v>63</v>
      </c>
      <c r="AY2474" s="4" t="s">
        <v>63</v>
      </c>
      <c r="AZ2474" s="4" t="s">
        <v>63</v>
      </c>
      <c r="BA2474" s="4" t="s">
        <v>63</v>
      </c>
      <c r="BB2474" s="4" t="s">
        <v>63</v>
      </c>
      <c r="BC2474" s="4" t="s">
        <v>63</v>
      </c>
      <c r="BD2474" s="4" t="s">
        <v>63</v>
      </c>
      <c r="BE2474" s="4" t="s">
        <v>63</v>
      </c>
      <c r="BF2474" s="4" t="s">
        <v>63</v>
      </c>
    </row>
    <row r="2475" spans="1:58">
      <c r="A2475" s="4" t="s">
        <v>58</v>
      </c>
      <c r="B2475" s="4" t="s">
        <v>20787</v>
      </c>
      <c r="C2475" s="4" t="s">
        <v>20788</v>
      </c>
      <c r="D2475" s="4" t="s">
        <v>19085</v>
      </c>
      <c r="E2475" s="4" t="s">
        <v>19086</v>
      </c>
      <c r="F2475" s="4">
        <v>2013</v>
      </c>
      <c r="G2475" s="6">
        <v>41743</v>
      </c>
      <c r="H2475" s="4" t="s">
        <v>20789</v>
      </c>
      <c r="I2475" s="4" t="s">
        <v>63</v>
      </c>
      <c r="J2475" s="4" t="s">
        <v>63</v>
      </c>
      <c r="K2475" s="4" t="s">
        <v>63</v>
      </c>
      <c r="L2475" s="4" t="s">
        <v>20790</v>
      </c>
      <c r="M2475" s="4" t="s">
        <v>20791</v>
      </c>
      <c r="N2475" s="4" t="s">
        <v>20792</v>
      </c>
      <c r="O2475" s="4" t="s">
        <v>63</v>
      </c>
      <c r="P2475" s="4"/>
      <c r="Q2475" s="4" t="s">
        <v>63</v>
      </c>
      <c r="R2475" s="4" t="s">
        <v>63</v>
      </c>
      <c r="S2475" s="4" t="s">
        <v>63</v>
      </c>
      <c r="T2475" s="4" t="s">
        <v>63</v>
      </c>
      <c r="U2475" s="4"/>
      <c r="V2475" s="4"/>
      <c r="W2475" s="4"/>
      <c r="X2475" s="4" t="s">
        <v>63</v>
      </c>
      <c r="Y2475" s="5">
        <v>25050</v>
      </c>
      <c r="Z2475" s="4" t="s">
        <v>63</v>
      </c>
      <c r="AA2475" s="4" t="s">
        <v>63</v>
      </c>
      <c r="AB2475" s="4" t="s">
        <v>63</v>
      </c>
      <c r="AC2475" s="4" t="s">
        <v>67</v>
      </c>
      <c r="AD2475" s="4" t="s">
        <v>63</v>
      </c>
      <c r="AE2475" s="4" t="s">
        <v>63</v>
      </c>
      <c r="AF2475" s="4" t="s">
        <v>63</v>
      </c>
      <c r="AG2475" s="4" t="s">
        <v>63</v>
      </c>
      <c r="AH2475" s="4" t="s">
        <v>63</v>
      </c>
      <c r="AI2475" s="4" t="s">
        <v>20793</v>
      </c>
      <c r="AJ2475" s="4" t="s">
        <v>63</v>
      </c>
      <c r="AK2475" s="4" t="s">
        <v>63</v>
      </c>
      <c r="AL2475" s="4" t="s">
        <v>63</v>
      </c>
      <c r="AM2475" s="4" t="s">
        <v>20788</v>
      </c>
      <c r="AN2475" s="4" t="s">
        <v>63</v>
      </c>
      <c r="AO2475" s="4" t="s">
        <v>63</v>
      </c>
      <c r="AP2475" s="4" t="s">
        <v>63</v>
      </c>
      <c r="AQ2475" s="4" t="s">
        <v>63</v>
      </c>
      <c r="AR2475" s="4" t="s">
        <v>63</v>
      </c>
      <c r="AS2475" s="4" t="s">
        <v>63</v>
      </c>
      <c r="AT2475" s="4" t="s">
        <v>63</v>
      </c>
      <c r="AU2475" s="4" t="s">
        <v>63</v>
      </c>
      <c r="AV2475" s="4" t="s">
        <v>63</v>
      </c>
      <c r="AW2475" s="4" t="s">
        <v>63</v>
      </c>
      <c r="AX2475" s="4" t="s">
        <v>63</v>
      </c>
      <c r="AY2475" s="4" t="s">
        <v>63</v>
      </c>
      <c r="AZ2475" s="4" t="s">
        <v>63</v>
      </c>
      <c r="BA2475" s="4" t="s">
        <v>63</v>
      </c>
      <c r="BB2475" s="4" t="s">
        <v>63</v>
      </c>
      <c r="BC2475" s="4" t="s">
        <v>63</v>
      </c>
      <c r="BD2475" s="4" t="s">
        <v>63</v>
      </c>
      <c r="BE2475" s="4" t="s">
        <v>63</v>
      </c>
      <c r="BF2475" s="4" t="s">
        <v>63</v>
      </c>
    </row>
    <row r="2476" spans="1:58">
      <c r="A2476" s="4" t="s">
        <v>58</v>
      </c>
      <c r="B2476" s="4" t="s">
        <v>20794</v>
      </c>
      <c r="C2476" s="4" t="s">
        <v>20795</v>
      </c>
      <c r="D2476" s="4" t="s">
        <v>574</v>
      </c>
      <c r="E2476" s="4" t="s">
        <v>63</v>
      </c>
      <c r="F2476" s="4">
        <v>2010</v>
      </c>
      <c r="G2476" s="4" t="s">
        <v>15665</v>
      </c>
      <c r="H2476" s="4">
        <v>11</v>
      </c>
      <c r="I2476" s="4">
        <v>2</v>
      </c>
      <c r="J2476" s="4">
        <v>330</v>
      </c>
      <c r="K2476" s="4" t="s">
        <v>63</v>
      </c>
      <c r="L2476" s="4" t="s">
        <v>20796</v>
      </c>
      <c r="M2476" s="4" t="s">
        <v>20797</v>
      </c>
      <c r="N2476" s="4" t="s">
        <v>20798</v>
      </c>
      <c r="O2476" s="4" t="s">
        <v>63</v>
      </c>
      <c r="P2476" s="4"/>
      <c r="Q2476" s="4" t="s">
        <v>63</v>
      </c>
      <c r="R2476" s="4" t="s">
        <v>63</v>
      </c>
      <c r="S2476" s="4" t="s">
        <v>63</v>
      </c>
      <c r="T2476" s="4" t="s">
        <v>63</v>
      </c>
      <c r="U2476" s="4"/>
      <c r="V2476" s="4"/>
      <c r="W2476" s="4"/>
      <c r="X2476" s="4" t="s">
        <v>63</v>
      </c>
      <c r="Y2476" s="4" t="s">
        <v>4483</v>
      </c>
      <c r="Z2476" s="4" t="s">
        <v>63</v>
      </c>
      <c r="AA2476" s="4" t="s">
        <v>63</v>
      </c>
      <c r="AB2476" s="4" t="s">
        <v>63</v>
      </c>
      <c r="AC2476" s="4" t="s">
        <v>67</v>
      </c>
      <c r="AD2476" s="4" t="s">
        <v>63</v>
      </c>
      <c r="AE2476" s="4" t="s">
        <v>63</v>
      </c>
      <c r="AF2476" s="4" t="s">
        <v>63</v>
      </c>
      <c r="AG2476" s="4" t="s">
        <v>63</v>
      </c>
      <c r="AH2476" s="4" t="s">
        <v>63</v>
      </c>
      <c r="AI2476" s="4" t="s">
        <v>16475</v>
      </c>
      <c r="AJ2476" s="4" t="s">
        <v>63</v>
      </c>
      <c r="AK2476" s="4" t="s">
        <v>63</v>
      </c>
      <c r="AL2476" s="4" t="s">
        <v>63</v>
      </c>
      <c r="AM2476" s="4" t="s">
        <v>20795</v>
      </c>
      <c r="AN2476" s="4" t="s">
        <v>63</v>
      </c>
      <c r="AO2476" s="4" t="s">
        <v>63</v>
      </c>
      <c r="AP2476" s="4" t="s">
        <v>63</v>
      </c>
      <c r="AQ2476" s="4" t="s">
        <v>63</v>
      </c>
      <c r="AR2476" s="4" t="s">
        <v>63</v>
      </c>
      <c r="AS2476" s="4" t="s">
        <v>63</v>
      </c>
      <c r="AT2476" s="4" t="s">
        <v>63</v>
      </c>
      <c r="AU2476" s="4" t="s">
        <v>63</v>
      </c>
      <c r="AV2476" s="4" t="s">
        <v>63</v>
      </c>
      <c r="AW2476" s="4" t="s">
        <v>63</v>
      </c>
      <c r="AX2476" s="4" t="s">
        <v>63</v>
      </c>
      <c r="AY2476" s="4" t="s">
        <v>63</v>
      </c>
      <c r="AZ2476" s="4" t="s">
        <v>63</v>
      </c>
      <c r="BA2476" s="4" t="s">
        <v>63</v>
      </c>
      <c r="BB2476" s="4" t="s">
        <v>63</v>
      </c>
      <c r="BC2476" s="4" t="s">
        <v>63</v>
      </c>
      <c r="BD2476" s="4" t="s">
        <v>63</v>
      </c>
      <c r="BE2476" s="4" t="s">
        <v>63</v>
      </c>
      <c r="BF2476" s="4" t="s">
        <v>63</v>
      </c>
    </row>
    <row r="2477" spans="1:58">
      <c r="A2477" s="4" t="s">
        <v>58</v>
      </c>
      <c r="B2477" s="4" t="s">
        <v>20799</v>
      </c>
      <c r="C2477" s="4" t="s">
        <v>20800</v>
      </c>
      <c r="D2477" s="4" t="s">
        <v>20801</v>
      </c>
      <c r="E2477" s="4" t="s">
        <v>20802</v>
      </c>
      <c r="F2477" s="4">
        <v>2008</v>
      </c>
      <c r="G2477" s="4" t="s">
        <v>63</v>
      </c>
      <c r="H2477" s="4">
        <v>57</v>
      </c>
      <c r="I2477" s="4">
        <v>3</v>
      </c>
      <c r="J2477" s="4">
        <v>188</v>
      </c>
      <c r="K2477" s="4">
        <v>195</v>
      </c>
      <c r="L2477" s="4" t="s">
        <v>20803</v>
      </c>
      <c r="M2477" s="4" t="s">
        <v>20804</v>
      </c>
      <c r="N2477" s="4" t="s">
        <v>20805</v>
      </c>
      <c r="O2477" s="4" t="s">
        <v>63</v>
      </c>
      <c r="P2477" s="4"/>
      <c r="Q2477" s="4" t="s">
        <v>63</v>
      </c>
      <c r="R2477" s="4" t="s">
        <v>63</v>
      </c>
      <c r="S2477" s="4" t="s">
        <v>63</v>
      </c>
      <c r="T2477" s="4" t="s">
        <v>63</v>
      </c>
      <c r="U2477" s="4"/>
      <c r="V2477" s="4"/>
      <c r="W2477" s="4"/>
      <c r="X2477" s="4" t="s">
        <v>63</v>
      </c>
      <c r="Y2477" s="4" t="s">
        <v>20806</v>
      </c>
      <c r="Z2477" s="4" t="s">
        <v>63</v>
      </c>
      <c r="AA2477" s="4" t="s">
        <v>63</v>
      </c>
      <c r="AB2477" s="4" t="s">
        <v>20807</v>
      </c>
      <c r="AC2477" s="4" t="s">
        <v>8663</v>
      </c>
      <c r="AD2477" s="4" t="s">
        <v>63</v>
      </c>
      <c r="AE2477" s="4" t="s">
        <v>63</v>
      </c>
      <c r="AF2477" s="4" t="s">
        <v>63</v>
      </c>
      <c r="AG2477" s="4" t="s">
        <v>63</v>
      </c>
      <c r="AH2477" s="4" t="s">
        <v>63</v>
      </c>
      <c r="AI2477" s="4" t="s">
        <v>20808</v>
      </c>
      <c r="AJ2477" s="4" t="s">
        <v>63</v>
      </c>
      <c r="AK2477" s="4" t="s">
        <v>63</v>
      </c>
      <c r="AL2477" s="4" t="s">
        <v>63</v>
      </c>
      <c r="AM2477" s="4" t="s">
        <v>20800</v>
      </c>
      <c r="AN2477" s="4" t="s">
        <v>63</v>
      </c>
      <c r="AO2477" s="4" t="s">
        <v>63</v>
      </c>
      <c r="AP2477" s="4" t="s">
        <v>63</v>
      </c>
      <c r="AQ2477" s="4" t="s">
        <v>63</v>
      </c>
      <c r="AR2477" s="4" t="s">
        <v>63</v>
      </c>
      <c r="AS2477" s="4" t="s">
        <v>63</v>
      </c>
      <c r="AT2477" s="4" t="s">
        <v>63</v>
      </c>
      <c r="AU2477" s="4" t="s">
        <v>63</v>
      </c>
      <c r="AV2477" s="4" t="s">
        <v>63</v>
      </c>
      <c r="AW2477" s="4" t="s">
        <v>63</v>
      </c>
      <c r="AX2477" s="4" t="s">
        <v>63</v>
      </c>
      <c r="AY2477" s="4" t="s">
        <v>63</v>
      </c>
      <c r="AZ2477" s="4" t="s">
        <v>63</v>
      </c>
      <c r="BA2477" s="4" t="s">
        <v>63</v>
      </c>
      <c r="BB2477" s="4" t="s">
        <v>63</v>
      </c>
      <c r="BC2477" s="4" t="s">
        <v>63</v>
      </c>
      <c r="BD2477" s="4" t="s">
        <v>63</v>
      </c>
      <c r="BE2477" s="4" t="s">
        <v>63</v>
      </c>
      <c r="BF2477" s="4" t="s">
        <v>63</v>
      </c>
    </row>
    <row r="2478" spans="1:58">
      <c r="A2478" s="4" t="s">
        <v>58</v>
      </c>
      <c r="B2478" s="4" t="s">
        <v>20809</v>
      </c>
      <c r="C2478" s="4" t="s">
        <v>20810</v>
      </c>
      <c r="D2478" s="4" t="s">
        <v>18479</v>
      </c>
      <c r="E2478" s="4" t="s">
        <v>63</v>
      </c>
      <c r="F2478" s="4">
        <v>2015</v>
      </c>
      <c r="G2478" s="4" t="s">
        <v>15155</v>
      </c>
      <c r="H2478" s="4">
        <v>24</v>
      </c>
      <c r="I2478" s="4">
        <v>1</v>
      </c>
      <c r="J2478" s="4" t="s">
        <v>20811</v>
      </c>
      <c r="K2478" s="4" t="s">
        <v>20812</v>
      </c>
      <c r="L2478" s="4" t="s">
        <v>20813</v>
      </c>
      <c r="M2478" s="4" t="s">
        <v>20814</v>
      </c>
      <c r="N2478" s="4" t="s">
        <v>20815</v>
      </c>
      <c r="O2478" s="4" t="s">
        <v>63</v>
      </c>
      <c r="P2478" s="4"/>
      <c r="Q2478" s="4" t="s">
        <v>63</v>
      </c>
      <c r="R2478" s="4" t="s">
        <v>63</v>
      </c>
      <c r="S2478" s="4" t="s">
        <v>63</v>
      </c>
      <c r="T2478" s="4" t="s">
        <v>63</v>
      </c>
      <c r="U2478" s="4"/>
      <c r="V2478" s="4"/>
      <c r="W2478" s="4"/>
      <c r="X2478" s="4" t="s">
        <v>63</v>
      </c>
      <c r="Y2478" s="4" t="s">
        <v>18485</v>
      </c>
      <c r="Z2478" s="4" t="s">
        <v>63</v>
      </c>
      <c r="AA2478" s="4" t="s">
        <v>63</v>
      </c>
      <c r="AB2478" s="4" t="s">
        <v>63</v>
      </c>
      <c r="AC2478" s="4" t="s">
        <v>67</v>
      </c>
      <c r="AD2478" s="4" t="s">
        <v>63</v>
      </c>
      <c r="AE2478" s="4" t="s">
        <v>63</v>
      </c>
      <c r="AF2478" s="4" t="s">
        <v>63</v>
      </c>
      <c r="AG2478" s="4" t="s">
        <v>63</v>
      </c>
      <c r="AH2478" s="4" t="s">
        <v>63</v>
      </c>
      <c r="AI2478" s="4" t="s">
        <v>18864</v>
      </c>
      <c r="AJ2478" s="4" t="s">
        <v>63</v>
      </c>
      <c r="AK2478" s="4" t="s">
        <v>63</v>
      </c>
      <c r="AL2478" s="4" t="s">
        <v>63</v>
      </c>
      <c r="AM2478" s="4" t="s">
        <v>20810</v>
      </c>
      <c r="AN2478" s="4" t="s">
        <v>63</v>
      </c>
      <c r="AO2478" s="4" t="s">
        <v>63</v>
      </c>
      <c r="AP2478" s="4" t="s">
        <v>63</v>
      </c>
      <c r="AQ2478" s="4" t="s">
        <v>63</v>
      </c>
      <c r="AR2478" s="4" t="s">
        <v>63</v>
      </c>
      <c r="AS2478" s="4" t="s">
        <v>63</v>
      </c>
      <c r="AT2478" s="4" t="s">
        <v>63</v>
      </c>
      <c r="AU2478" s="4" t="s">
        <v>63</v>
      </c>
      <c r="AV2478" s="4" t="s">
        <v>63</v>
      </c>
      <c r="AW2478" s="4" t="s">
        <v>63</v>
      </c>
      <c r="AX2478" s="4" t="s">
        <v>63</v>
      </c>
      <c r="AY2478" s="4" t="s">
        <v>63</v>
      </c>
      <c r="AZ2478" s="4" t="s">
        <v>63</v>
      </c>
      <c r="BA2478" s="4" t="s">
        <v>63</v>
      </c>
      <c r="BB2478" s="4" t="s">
        <v>63</v>
      </c>
      <c r="BC2478" s="4" t="s">
        <v>63</v>
      </c>
      <c r="BD2478" s="4" t="s">
        <v>63</v>
      </c>
      <c r="BE2478" s="4" t="s">
        <v>63</v>
      </c>
      <c r="BF2478" s="4" t="s">
        <v>63</v>
      </c>
    </row>
    <row r="2479" spans="1:58">
      <c r="A2479" s="4" t="s">
        <v>58</v>
      </c>
      <c r="B2479" s="4" t="s">
        <v>20816</v>
      </c>
      <c r="C2479" s="4" t="s">
        <v>20817</v>
      </c>
      <c r="D2479" s="4" t="s">
        <v>17392</v>
      </c>
      <c r="E2479" s="4" t="s">
        <v>63</v>
      </c>
      <c r="F2479" s="4">
        <v>2010</v>
      </c>
      <c r="G2479" s="4" t="s">
        <v>16633</v>
      </c>
      <c r="H2479" s="4">
        <v>50</v>
      </c>
      <c r="I2479" s="4">
        <v>2</v>
      </c>
      <c r="J2479" s="4">
        <v>225</v>
      </c>
      <c r="K2479" s="4" t="s">
        <v>63</v>
      </c>
      <c r="L2479" s="4" t="s">
        <v>20818</v>
      </c>
      <c r="M2479" s="4" t="s">
        <v>20819</v>
      </c>
      <c r="N2479" s="4" t="s">
        <v>20820</v>
      </c>
      <c r="O2479" s="4" t="s">
        <v>63</v>
      </c>
      <c r="P2479" s="4"/>
      <c r="Q2479" s="4" t="s">
        <v>63</v>
      </c>
      <c r="R2479" s="4" t="s">
        <v>63</v>
      </c>
      <c r="S2479" s="4" t="s">
        <v>63</v>
      </c>
      <c r="T2479" s="4" t="s">
        <v>63</v>
      </c>
      <c r="U2479" s="4"/>
      <c r="V2479" s="4"/>
      <c r="W2479" s="4"/>
      <c r="X2479" s="4" t="s">
        <v>63</v>
      </c>
      <c r="Y2479" s="4" t="s">
        <v>17397</v>
      </c>
      <c r="Z2479" s="4" t="s">
        <v>63</v>
      </c>
      <c r="AA2479" s="4" t="s">
        <v>63</v>
      </c>
      <c r="AB2479" s="4" t="s">
        <v>63</v>
      </c>
      <c r="AC2479" s="4" t="s">
        <v>67</v>
      </c>
      <c r="AD2479" s="4" t="s">
        <v>63</v>
      </c>
      <c r="AE2479" s="4" t="s">
        <v>63</v>
      </c>
      <c r="AF2479" s="4" t="s">
        <v>63</v>
      </c>
      <c r="AG2479" s="4" t="s">
        <v>63</v>
      </c>
      <c r="AH2479" s="4" t="s">
        <v>63</v>
      </c>
      <c r="AI2479" s="4" t="s">
        <v>20821</v>
      </c>
      <c r="AJ2479" s="4" t="s">
        <v>63</v>
      </c>
      <c r="AK2479" s="4" t="s">
        <v>63</v>
      </c>
      <c r="AL2479" s="4" t="s">
        <v>63</v>
      </c>
      <c r="AM2479" s="4" t="s">
        <v>20817</v>
      </c>
      <c r="AN2479" s="4" t="s">
        <v>63</v>
      </c>
      <c r="AO2479" s="4" t="s">
        <v>63</v>
      </c>
      <c r="AP2479" s="4" t="s">
        <v>63</v>
      </c>
      <c r="AQ2479" s="4" t="s">
        <v>63</v>
      </c>
      <c r="AR2479" s="4" t="s">
        <v>63</v>
      </c>
      <c r="AS2479" s="4" t="s">
        <v>63</v>
      </c>
      <c r="AT2479" s="4" t="s">
        <v>63</v>
      </c>
      <c r="AU2479" s="4" t="s">
        <v>63</v>
      </c>
      <c r="AV2479" s="4" t="s">
        <v>63</v>
      </c>
      <c r="AW2479" s="4" t="s">
        <v>63</v>
      </c>
      <c r="AX2479" s="4" t="s">
        <v>63</v>
      </c>
      <c r="AY2479" s="4" t="s">
        <v>63</v>
      </c>
      <c r="AZ2479" s="4" t="s">
        <v>63</v>
      </c>
      <c r="BA2479" s="4" t="s">
        <v>63</v>
      </c>
      <c r="BB2479" s="4" t="s">
        <v>63</v>
      </c>
      <c r="BC2479" s="4" t="s">
        <v>63</v>
      </c>
      <c r="BD2479" s="4" t="s">
        <v>63</v>
      </c>
      <c r="BE2479" s="4" t="s">
        <v>63</v>
      </c>
      <c r="BF2479" s="4" t="s">
        <v>63</v>
      </c>
    </row>
    <row r="2480" spans="1:58">
      <c r="A2480" s="4" t="s">
        <v>58</v>
      </c>
      <c r="B2480" s="4" t="s">
        <v>20822</v>
      </c>
      <c r="C2480" s="4" t="s">
        <v>20823</v>
      </c>
      <c r="D2480" s="4" t="s">
        <v>15763</v>
      </c>
      <c r="E2480" s="4" t="s">
        <v>63</v>
      </c>
      <c r="F2480" s="4">
        <v>2015</v>
      </c>
      <c r="G2480" s="4">
        <v>1</v>
      </c>
      <c r="H2480" s="4">
        <v>7</v>
      </c>
      <c r="I2480" s="4">
        <v>1</v>
      </c>
      <c r="J2480" s="4">
        <v>128</v>
      </c>
      <c r="K2480" s="4">
        <v>130</v>
      </c>
      <c r="L2480" s="4" t="s">
        <v>20824</v>
      </c>
      <c r="M2480" s="4" t="s">
        <v>63</v>
      </c>
      <c r="N2480" s="4" t="s">
        <v>20825</v>
      </c>
      <c r="O2480" s="4" t="s">
        <v>63</v>
      </c>
      <c r="P2480" s="4"/>
      <c r="Q2480" s="4" t="s">
        <v>63</v>
      </c>
      <c r="R2480" s="4" t="s">
        <v>63</v>
      </c>
      <c r="S2480" s="4" t="s">
        <v>63</v>
      </c>
      <c r="T2480" s="4" t="s">
        <v>63</v>
      </c>
      <c r="U2480" s="4"/>
      <c r="V2480" s="4"/>
      <c r="W2480" s="4"/>
      <c r="X2480" s="4" t="s">
        <v>63</v>
      </c>
      <c r="Y2480" s="4" t="s">
        <v>10956</v>
      </c>
      <c r="Z2480" s="4" t="s">
        <v>63</v>
      </c>
      <c r="AA2480" s="4" t="s">
        <v>63</v>
      </c>
      <c r="AB2480" s="4" t="s">
        <v>63</v>
      </c>
      <c r="AC2480" s="4" t="s">
        <v>67</v>
      </c>
      <c r="AD2480" s="4" t="s">
        <v>63</v>
      </c>
      <c r="AE2480" s="4" t="s">
        <v>63</v>
      </c>
      <c r="AF2480" s="4" t="s">
        <v>63</v>
      </c>
      <c r="AG2480" s="4" t="s">
        <v>20826</v>
      </c>
      <c r="AH2480" s="4" t="s">
        <v>63</v>
      </c>
      <c r="AI2480" s="4" t="s">
        <v>20827</v>
      </c>
      <c r="AJ2480" s="4" t="s">
        <v>63</v>
      </c>
      <c r="AK2480" s="4" t="s">
        <v>63</v>
      </c>
      <c r="AL2480" s="4" t="s">
        <v>63</v>
      </c>
      <c r="AM2480" s="4" t="s">
        <v>20828</v>
      </c>
      <c r="AN2480" s="4" t="s">
        <v>63</v>
      </c>
      <c r="AO2480" s="4" t="s">
        <v>63</v>
      </c>
      <c r="AP2480" s="4" t="s">
        <v>63</v>
      </c>
      <c r="AQ2480" s="4" t="s">
        <v>63</v>
      </c>
      <c r="AR2480" s="4" t="s">
        <v>63</v>
      </c>
      <c r="AS2480" s="4" t="s">
        <v>63</v>
      </c>
      <c r="AT2480" s="4" t="s">
        <v>63</v>
      </c>
      <c r="AU2480" s="4" t="s">
        <v>63</v>
      </c>
      <c r="AV2480" s="4" t="s">
        <v>63</v>
      </c>
      <c r="AW2480" s="4" t="s">
        <v>63</v>
      </c>
      <c r="AX2480" s="4" t="s">
        <v>63</v>
      </c>
      <c r="AY2480" s="4" t="s">
        <v>63</v>
      </c>
      <c r="AZ2480" s="4" t="s">
        <v>63</v>
      </c>
      <c r="BA2480" s="4" t="s">
        <v>63</v>
      </c>
      <c r="BB2480" s="4" t="s">
        <v>63</v>
      </c>
      <c r="BC2480" s="4" t="s">
        <v>63</v>
      </c>
      <c r="BD2480" s="4" t="s">
        <v>63</v>
      </c>
      <c r="BE2480" s="4" t="s">
        <v>63</v>
      </c>
      <c r="BF2480" s="4" t="s">
        <v>63</v>
      </c>
    </row>
    <row r="2481" spans="1:58">
      <c r="A2481" s="4" t="s">
        <v>58</v>
      </c>
      <c r="B2481" s="4" t="s">
        <v>20829</v>
      </c>
      <c r="C2481" s="4" t="s">
        <v>20830</v>
      </c>
      <c r="D2481" s="4" t="s">
        <v>1469</v>
      </c>
      <c r="E2481" s="4" t="s">
        <v>1470</v>
      </c>
      <c r="F2481" s="4">
        <v>2016</v>
      </c>
      <c r="G2481" s="4" t="s">
        <v>189</v>
      </c>
      <c r="H2481" s="4" t="s">
        <v>16988</v>
      </c>
      <c r="I2481" s="4" t="s">
        <v>63</v>
      </c>
      <c r="J2481" s="4" t="s">
        <v>20831</v>
      </c>
      <c r="K2481" s="4" t="s">
        <v>63</v>
      </c>
      <c r="L2481" s="4" t="s">
        <v>20832</v>
      </c>
      <c r="M2481" s="4" t="s">
        <v>20833</v>
      </c>
      <c r="N2481" s="4" t="s">
        <v>20834</v>
      </c>
      <c r="O2481" s="4" t="s">
        <v>63</v>
      </c>
      <c r="P2481" s="4"/>
      <c r="Q2481" s="4" t="s">
        <v>63</v>
      </c>
      <c r="R2481" s="4" t="s">
        <v>63</v>
      </c>
      <c r="S2481" s="4" t="s">
        <v>63</v>
      </c>
      <c r="T2481" s="4" t="s">
        <v>63</v>
      </c>
      <c r="U2481" s="4"/>
      <c r="V2481" s="4"/>
      <c r="W2481" s="4"/>
      <c r="X2481" s="4" t="s">
        <v>63</v>
      </c>
      <c r="Y2481" s="4" t="s">
        <v>1474</v>
      </c>
      <c r="Z2481" s="4" t="s">
        <v>63</v>
      </c>
      <c r="AA2481" s="4" t="s">
        <v>63</v>
      </c>
      <c r="AB2481" s="4" t="s">
        <v>63</v>
      </c>
      <c r="AC2481" s="4" t="s">
        <v>67</v>
      </c>
      <c r="AD2481" s="4" t="s">
        <v>63</v>
      </c>
      <c r="AE2481" s="4" t="s">
        <v>63</v>
      </c>
      <c r="AF2481" s="4" t="s">
        <v>63</v>
      </c>
      <c r="AG2481" s="4" t="s">
        <v>63</v>
      </c>
      <c r="AH2481" s="4" t="s">
        <v>63</v>
      </c>
      <c r="AI2481" s="4" t="s">
        <v>19341</v>
      </c>
      <c r="AJ2481" s="4" t="s">
        <v>63</v>
      </c>
      <c r="AK2481" s="4" t="s">
        <v>63</v>
      </c>
      <c r="AL2481" s="4" t="s">
        <v>63</v>
      </c>
      <c r="AM2481" s="4" t="s">
        <v>20830</v>
      </c>
      <c r="AN2481" s="4" t="s">
        <v>63</v>
      </c>
      <c r="AO2481" s="4" t="s">
        <v>63</v>
      </c>
      <c r="AP2481" s="4" t="s">
        <v>63</v>
      </c>
      <c r="AQ2481" s="4" t="s">
        <v>63</v>
      </c>
      <c r="AR2481" s="4" t="s">
        <v>63</v>
      </c>
      <c r="AS2481" s="4" t="s">
        <v>63</v>
      </c>
      <c r="AT2481" s="4" t="s">
        <v>63</v>
      </c>
      <c r="AU2481" s="4" t="s">
        <v>63</v>
      </c>
      <c r="AV2481" s="4" t="s">
        <v>63</v>
      </c>
      <c r="AW2481" s="4" t="s">
        <v>63</v>
      </c>
      <c r="AX2481" s="4" t="s">
        <v>63</v>
      </c>
      <c r="AY2481" s="4" t="s">
        <v>63</v>
      </c>
      <c r="AZ2481" s="4" t="s">
        <v>63</v>
      </c>
      <c r="BA2481" s="4" t="s">
        <v>63</v>
      </c>
      <c r="BB2481" s="4" t="s">
        <v>63</v>
      </c>
      <c r="BC2481" s="4" t="s">
        <v>63</v>
      </c>
      <c r="BD2481" s="4" t="s">
        <v>63</v>
      </c>
      <c r="BE2481" s="4" t="s">
        <v>63</v>
      </c>
      <c r="BF2481" s="4" t="s">
        <v>63</v>
      </c>
    </row>
    <row r="2482" spans="1:58">
      <c r="A2482" s="4" t="s">
        <v>58</v>
      </c>
      <c r="B2482" s="4" t="s">
        <v>20835</v>
      </c>
      <c r="C2482" s="4" t="s">
        <v>20836</v>
      </c>
      <c r="D2482" s="4" t="s">
        <v>17392</v>
      </c>
      <c r="E2482" s="4" t="s">
        <v>63</v>
      </c>
      <c r="F2482" s="4">
        <v>2011</v>
      </c>
      <c r="G2482" s="4" t="s">
        <v>16882</v>
      </c>
      <c r="H2482" s="4">
        <v>51</v>
      </c>
      <c r="I2482" s="4">
        <v>5</v>
      </c>
      <c r="J2482" s="4">
        <v>647</v>
      </c>
      <c r="K2482" s="4" t="s">
        <v>63</v>
      </c>
      <c r="L2482" s="4" t="s">
        <v>20837</v>
      </c>
      <c r="M2482" s="4" t="s">
        <v>20838</v>
      </c>
      <c r="N2482" s="4" t="s">
        <v>20839</v>
      </c>
      <c r="O2482" s="4" t="s">
        <v>63</v>
      </c>
      <c r="P2482" s="4"/>
      <c r="Q2482" s="4" t="s">
        <v>63</v>
      </c>
      <c r="R2482" s="4" t="s">
        <v>63</v>
      </c>
      <c r="S2482" s="4" t="s">
        <v>63</v>
      </c>
      <c r="T2482" s="4" t="s">
        <v>63</v>
      </c>
      <c r="U2482" s="4"/>
      <c r="V2482" s="4"/>
      <c r="W2482" s="4"/>
      <c r="X2482" s="4" t="s">
        <v>63</v>
      </c>
      <c r="Y2482" s="4" t="s">
        <v>17397</v>
      </c>
      <c r="Z2482" s="4" t="s">
        <v>63</v>
      </c>
      <c r="AA2482" s="4" t="s">
        <v>63</v>
      </c>
      <c r="AB2482" s="4" t="s">
        <v>63</v>
      </c>
      <c r="AC2482" s="4" t="s">
        <v>67</v>
      </c>
      <c r="AD2482" s="4" t="s">
        <v>63</v>
      </c>
      <c r="AE2482" s="4" t="s">
        <v>63</v>
      </c>
      <c r="AF2482" s="4" t="s">
        <v>63</v>
      </c>
      <c r="AG2482" s="4" t="s">
        <v>63</v>
      </c>
      <c r="AH2482" s="4" t="s">
        <v>63</v>
      </c>
      <c r="AI2482" s="4" t="s">
        <v>20840</v>
      </c>
      <c r="AJ2482" s="4" t="s">
        <v>63</v>
      </c>
      <c r="AK2482" s="4" t="s">
        <v>63</v>
      </c>
      <c r="AL2482" s="4" t="s">
        <v>63</v>
      </c>
      <c r="AM2482" s="4" t="s">
        <v>20836</v>
      </c>
      <c r="AN2482" s="4" t="s">
        <v>63</v>
      </c>
      <c r="AO2482" s="4" t="s">
        <v>63</v>
      </c>
      <c r="AP2482" s="4" t="s">
        <v>63</v>
      </c>
      <c r="AQ2482" s="4" t="s">
        <v>63</v>
      </c>
      <c r="AR2482" s="4" t="s">
        <v>63</v>
      </c>
      <c r="AS2482" s="4" t="s">
        <v>63</v>
      </c>
      <c r="AT2482" s="4" t="s">
        <v>63</v>
      </c>
      <c r="AU2482" s="4" t="s">
        <v>63</v>
      </c>
      <c r="AV2482" s="4" t="s">
        <v>63</v>
      </c>
      <c r="AW2482" s="4" t="s">
        <v>63</v>
      </c>
      <c r="AX2482" s="4" t="s">
        <v>63</v>
      </c>
      <c r="AY2482" s="4" t="s">
        <v>63</v>
      </c>
      <c r="AZ2482" s="4" t="s">
        <v>63</v>
      </c>
      <c r="BA2482" s="4" t="s">
        <v>63</v>
      </c>
      <c r="BB2482" s="4" t="s">
        <v>63</v>
      </c>
      <c r="BC2482" s="4" t="s">
        <v>63</v>
      </c>
      <c r="BD2482" s="4" t="s">
        <v>63</v>
      </c>
      <c r="BE2482" s="4" t="s">
        <v>63</v>
      </c>
      <c r="BF2482" s="4" t="s">
        <v>63</v>
      </c>
    </row>
    <row r="2483" spans="1:58">
      <c r="A2483" s="4" t="s">
        <v>58</v>
      </c>
      <c r="B2483" s="4" t="s">
        <v>20841</v>
      </c>
      <c r="C2483" s="4" t="s">
        <v>20842</v>
      </c>
      <c r="D2483" s="4" t="s">
        <v>18207</v>
      </c>
      <c r="E2483" s="4" t="s">
        <v>63</v>
      </c>
      <c r="F2483" s="4">
        <v>2010</v>
      </c>
      <c r="G2483" s="6">
        <v>41759</v>
      </c>
      <c r="H2483" s="4" t="s">
        <v>20843</v>
      </c>
      <c r="I2483" s="4" t="s">
        <v>63</v>
      </c>
      <c r="J2483" s="4" t="s">
        <v>63</v>
      </c>
      <c r="K2483" s="4" t="s">
        <v>63</v>
      </c>
      <c r="L2483" s="4" t="s">
        <v>20844</v>
      </c>
      <c r="M2483" s="4" t="s">
        <v>20845</v>
      </c>
      <c r="N2483" s="4" t="s">
        <v>20846</v>
      </c>
      <c r="O2483" s="4" t="s">
        <v>63</v>
      </c>
      <c r="P2483" s="4"/>
      <c r="Q2483" s="4" t="s">
        <v>63</v>
      </c>
      <c r="R2483" s="4" t="s">
        <v>63</v>
      </c>
      <c r="S2483" s="4" t="s">
        <v>63</v>
      </c>
      <c r="T2483" s="4" t="s">
        <v>63</v>
      </c>
      <c r="U2483" s="4"/>
      <c r="V2483" s="4"/>
      <c r="W2483" s="4"/>
      <c r="X2483" s="4" t="s">
        <v>63</v>
      </c>
      <c r="Y2483" s="4" t="s">
        <v>2050</v>
      </c>
      <c r="Z2483" s="4" t="s">
        <v>63</v>
      </c>
      <c r="AA2483" s="4" t="s">
        <v>63</v>
      </c>
      <c r="AB2483" s="4" t="s">
        <v>63</v>
      </c>
      <c r="AC2483" s="4" t="s">
        <v>67</v>
      </c>
      <c r="AD2483" s="4" t="s">
        <v>63</v>
      </c>
      <c r="AE2483" s="4" t="s">
        <v>63</v>
      </c>
      <c r="AF2483" s="4" t="s">
        <v>63</v>
      </c>
      <c r="AG2483" s="4" t="s">
        <v>63</v>
      </c>
      <c r="AH2483" s="4" t="s">
        <v>63</v>
      </c>
      <c r="AI2483" s="4" t="s">
        <v>63</v>
      </c>
      <c r="AJ2483" s="4" t="s">
        <v>63</v>
      </c>
      <c r="AK2483" s="4" t="s">
        <v>63</v>
      </c>
      <c r="AL2483" s="4" t="s">
        <v>63</v>
      </c>
      <c r="AM2483" s="4" t="s">
        <v>20842</v>
      </c>
      <c r="AN2483" s="4" t="s">
        <v>63</v>
      </c>
      <c r="AO2483" s="4" t="s">
        <v>63</v>
      </c>
      <c r="AP2483" s="4" t="s">
        <v>63</v>
      </c>
      <c r="AQ2483" s="4" t="s">
        <v>63</v>
      </c>
      <c r="AR2483" s="4" t="s">
        <v>63</v>
      </c>
      <c r="AS2483" s="4" t="s">
        <v>63</v>
      </c>
      <c r="AT2483" s="4" t="s">
        <v>63</v>
      </c>
      <c r="AU2483" s="4" t="s">
        <v>63</v>
      </c>
      <c r="AV2483" s="4" t="s">
        <v>63</v>
      </c>
      <c r="AW2483" s="4" t="s">
        <v>63</v>
      </c>
      <c r="AX2483" s="4" t="s">
        <v>63</v>
      </c>
      <c r="AY2483" s="4" t="s">
        <v>63</v>
      </c>
      <c r="AZ2483" s="4" t="s">
        <v>63</v>
      </c>
      <c r="BA2483" s="4" t="s">
        <v>63</v>
      </c>
      <c r="BB2483" s="4" t="s">
        <v>63</v>
      </c>
      <c r="BC2483" s="4" t="s">
        <v>63</v>
      </c>
      <c r="BD2483" s="4" t="s">
        <v>63</v>
      </c>
      <c r="BE2483" s="4" t="s">
        <v>63</v>
      </c>
      <c r="BF2483" s="4" t="s">
        <v>63</v>
      </c>
    </row>
    <row r="2484" spans="1:58">
      <c r="A2484" s="4" t="s">
        <v>58</v>
      </c>
      <c r="B2484" s="4" t="s">
        <v>20847</v>
      </c>
      <c r="C2484" s="4" t="s">
        <v>20848</v>
      </c>
      <c r="D2484" s="4" t="s">
        <v>574</v>
      </c>
      <c r="E2484" s="4" t="s">
        <v>63</v>
      </c>
      <c r="F2484" s="4">
        <v>2010</v>
      </c>
      <c r="G2484" s="4" t="s">
        <v>15665</v>
      </c>
      <c r="H2484" s="4">
        <v>11</v>
      </c>
      <c r="I2484" s="4">
        <v>2</v>
      </c>
      <c r="J2484" s="4">
        <v>330</v>
      </c>
      <c r="K2484" s="4">
        <v>331</v>
      </c>
      <c r="L2484" s="4" t="s">
        <v>20849</v>
      </c>
      <c r="M2484" s="4" t="s">
        <v>20850</v>
      </c>
      <c r="N2484" s="4" t="s">
        <v>20851</v>
      </c>
      <c r="O2484" s="4" t="s">
        <v>63</v>
      </c>
      <c r="P2484" s="4"/>
      <c r="Q2484" s="4" t="s">
        <v>63</v>
      </c>
      <c r="R2484" s="4" t="s">
        <v>63</v>
      </c>
      <c r="S2484" s="4" t="s">
        <v>63</v>
      </c>
      <c r="T2484" s="4" t="s">
        <v>63</v>
      </c>
      <c r="U2484" s="4"/>
      <c r="V2484" s="4"/>
      <c r="W2484" s="4"/>
      <c r="X2484" s="4" t="s">
        <v>63</v>
      </c>
      <c r="Y2484" s="4" t="s">
        <v>4483</v>
      </c>
      <c r="Z2484" s="4" t="s">
        <v>63</v>
      </c>
      <c r="AA2484" s="4" t="s">
        <v>63</v>
      </c>
      <c r="AB2484" s="4" t="s">
        <v>63</v>
      </c>
      <c r="AC2484" s="4" t="s">
        <v>67</v>
      </c>
      <c r="AD2484" s="4" t="s">
        <v>63</v>
      </c>
      <c r="AE2484" s="4" t="s">
        <v>63</v>
      </c>
      <c r="AF2484" s="4" t="s">
        <v>63</v>
      </c>
      <c r="AG2484" s="4" t="s">
        <v>63</v>
      </c>
      <c r="AH2484" s="4" t="s">
        <v>63</v>
      </c>
      <c r="AI2484" s="4" t="s">
        <v>16475</v>
      </c>
      <c r="AJ2484" s="4" t="s">
        <v>63</v>
      </c>
      <c r="AK2484" s="4" t="s">
        <v>63</v>
      </c>
      <c r="AL2484" s="4" t="s">
        <v>63</v>
      </c>
      <c r="AM2484" s="4" t="s">
        <v>20848</v>
      </c>
      <c r="AN2484" s="4" t="s">
        <v>63</v>
      </c>
      <c r="AO2484" s="4" t="s">
        <v>63</v>
      </c>
      <c r="AP2484" s="4" t="s">
        <v>63</v>
      </c>
      <c r="AQ2484" s="4" t="s">
        <v>63</v>
      </c>
      <c r="AR2484" s="4" t="s">
        <v>63</v>
      </c>
      <c r="AS2484" s="4" t="s">
        <v>63</v>
      </c>
      <c r="AT2484" s="4" t="s">
        <v>63</v>
      </c>
      <c r="AU2484" s="4" t="s">
        <v>63</v>
      </c>
      <c r="AV2484" s="4" t="s">
        <v>63</v>
      </c>
      <c r="AW2484" s="4" t="s">
        <v>63</v>
      </c>
      <c r="AX2484" s="4" t="s">
        <v>63</v>
      </c>
      <c r="AY2484" s="4" t="s">
        <v>63</v>
      </c>
      <c r="AZ2484" s="4" t="s">
        <v>63</v>
      </c>
      <c r="BA2484" s="4" t="s">
        <v>63</v>
      </c>
      <c r="BB2484" s="4" t="s">
        <v>63</v>
      </c>
      <c r="BC2484" s="4" t="s">
        <v>63</v>
      </c>
      <c r="BD2484" s="4" t="s">
        <v>63</v>
      </c>
      <c r="BE2484" s="4" t="s">
        <v>63</v>
      </c>
      <c r="BF2484" s="4" t="s">
        <v>63</v>
      </c>
    </row>
    <row r="2485" spans="1:58">
      <c r="A2485" s="4" t="s">
        <v>58</v>
      </c>
      <c r="B2485" s="4" t="s">
        <v>20852</v>
      </c>
      <c r="C2485" s="4" t="s">
        <v>20853</v>
      </c>
      <c r="D2485" s="4" t="s">
        <v>20854</v>
      </c>
      <c r="E2485" s="4" t="s">
        <v>63</v>
      </c>
      <c r="F2485" s="4">
        <v>2010</v>
      </c>
      <c r="G2485" s="4" t="s">
        <v>15508</v>
      </c>
      <c r="H2485" s="4" t="s">
        <v>20855</v>
      </c>
      <c r="I2485" s="4" t="s">
        <v>63</v>
      </c>
      <c r="J2485" s="4">
        <v>64</v>
      </c>
      <c r="K2485" s="4" t="s">
        <v>63</v>
      </c>
      <c r="L2485" s="4" t="s">
        <v>20856</v>
      </c>
      <c r="M2485" s="4" t="s">
        <v>20857</v>
      </c>
      <c r="N2485" s="4" t="s">
        <v>20858</v>
      </c>
      <c r="O2485" s="4" t="s">
        <v>63</v>
      </c>
      <c r="P2485" s="4"/>
      <c r="Q2485" s="4" t="s">
        <v>63</v>
      </c>
      <c r="R2485" s="4" t="s">
        <v>63</v>
      </c>
      <c r="S2485" s="4" t="s">
        <v>63</v>
      </c>
      <c r="T2485" s="4" t="s">
        <v>63</v>
      </c>
      <c r="U2485" s="4"/>
      <c r="V2485" s="4"/>
      <c r="W2485" s="4"/>
      <c r="X2485" s="4" t="s">
        <v>63</v>
      </c>
      <c r="Y2485" s="4" t="s">
        <v>20859</v>
      </c>
      <c r="Z2485" s="4" t="s">
        <v>63</v>
      </c>
      <c r="AA2485" s="4" t="s">
        <v>63</v>
      </c>
      <c r="AB2485" s="4" t="s">
        <v>63</v>
      </c>
      <c r="AC2485" s="4" t="s">
        <v>67</v>
      </c>
      <c r="AD2485" s="4" t="s">
        <v>63</v>
      </c>
      <c r="AE2485" s="4" t="s">
        <v>63</v>
      </c>
      <c r="AF2485" s="4" t="s">
        <v>63</v>
      </c>
      <c r="AG2485" s="4" t="s">
        <v>63</v>
      </c>
      <c r="AH2485" s="4" t="s">
        <v>63</v>
      </c>
      <c r="AI2485" s="4" t="s">
        <v>20860</v>
      </c>
      <c r="AJ2485" s="4" t="s">
        <v>63</v>
      </c>
      <c r="AK2485" s="4" t="s">
        <v>63</v>
      </c>
      <c r="AL2485" s="4" t="s">
        <v>63</v>
      </c>
      <c r="AM2485" s="4" t="s">
        <v>20853</v>
      </c>
      <c r="AN2485" s="4" t="s">
        <v>63</v>
      </c>
      <c r="AO2485" s="4" t="s">
        <v>63</v>
      </c>
      <c r="AP2485" s="4" t="s">
        <v>63</v>
      </c>
      <c r="AQ2485" s="4" t="s">
        <v>63</v>
      </c>
      <c r="AR2485" s="4" t="s">
        <v>63</v>
      </c>
      <c r="AS2485" s="4" t="s">
        <v>63</v>
      </c>
      <c r="AT2485" s="4" t="s">
        <v>63</v>
      </c>
      <c r="AU2485" s="4" t="s">
        <v>63</v>
      </c>
      <c r="AV2485" s="4" t="s">
        <v>63</v>
      </c>
      <c r="AW2485" s="4" t="s">
        <v>63</v>
      </c>
      <c r="AX2485" s="4" t="s">
        <v>63</v>
      </c>
      <c r="AY2485" s="4" t="s">
        <v>63</v>
      </c>
      <c r="AZ2485" s="4" t="s">
        <v>63</v>
      </c>
      <c r="BA2485" s="4" t="s">
        <v>63</v>
      </c>
      <c r="BB2485" s="4" t="s">
        <v>63</v>
      </c>
      <c r="BC2485" s="4" t="s">
        <v>63</v>
      </c>
      <c r="BD2485" s="4" t="s">
        <v>63</v>
      </c>
      <c r="BE2485" s="4" t="s">
        <v>63</v>
      </c>
      <c r="BF2485" s="4" t="s">
        <v>63</v>
      </c>
    </row>
    <row r="2486" spans="1:58">
      <c r="A2486" s="4" t="s">
        <v>58</v>
      </c>
      <c r="B2486" s="4" t="s">
        <v>20861</v>
      </c>
      <c r="C2486" s="4" t="s">
        <v>20862</v>
      </c>
      <c r="D2486" s="4" t="s">
        <v>20863</v>
      </c>
      <c r="E2486" s="4" t="s">
        <v>20864</v>
      </c>
      <c r="F2486" s="4">
        <v>2010</v>
      </c>
      <c r="G2486" s="4" t="s">
        <v>15300</v>
      </c>
      <c r="H2486" s="4">
        <v>115</v>
      </c>
      <c r="I2486" s="4">
        <v>3</v>
      </c>
      <c r="J2486" s="4">
        <v>210</v>
      </c>
      <c r="K2486" s="4">
        <v>216</v>
      </c>
      <c r="L2486" s="4" t="s">
        <v>20865</v>
      </c>
      <c r="M2486" s="4" t="s">
        <v>20866</v>
      </c>
      <c r="N2486" s="4" t="s">
        <v>20867</v>
      </c>
      <c r="O2486" s="4" t="s">
        <v>63</v>
      </c>
      <c r="P2486" s="4"/>
      <c r="Q2486" s="4" t="s">
        <v>63</v>
      </c>
      <c r="R2486" s="4" t="s">
        <v>63</v>
      </c>
      <c r="S2486" s="4" t="s">
        <v>63</v>
      </c>
      <c r="T2486" s="4" t="s">
        <v>63</v>
      </c>
      <c r="U2486" s="4"/>
      <c r="V2486" s="4"/>
      <c r="W2486" s="4"/>
      <c r="X2486" s="4" t="s">
        <v>63</v>
      </c>
      <c r="Y2486" s="4" t="s">
        <v>20868</v>
      </c>
      <c r="Z2486" s="4" t="s">
        <v>63</v>
      </c>
      <c r="AA2486" s="4" t="s">
        <v>63</v>
      </c>
      <c r="AB2486" s="4" t="s">
        <v>63</v>
      </c>
      <c r="AC2486" s="4" t="s">
        <v>67</v>
      </c>
      <c r="AD2486" s="4" t="s">
        <v>63</v>
      </c>
      <c r="AE2486" s="4" t="s">
        <v>63</v>
      </c>
      <c r="AF2486" s="4" t="s">
        <v>63</v>
      </c>
      <c r="AG2486" s="4" t="s">
        <v>20869</v>
      </c>
      <c r="AH2486" s="4" t="s">
        <v>63</v>
      </c>
      <c r="AI2486" s="4" t="s">
        <v>20870</v>
      </c>
      <c r="AJ2486" s="4" t="s">
        <v>63</v>
      </c>
      <c r="AK2486" s="4" t="s">
        <v>63</v>
      </c>
      <c r="AL2486" s="4" t="s">
        <v>63</v>
      </c>
      <c r="AM2486" s="4" t="s">
        <v>20871</v>
      </c>
      <c r="AN2486" s="4" t="s">
        <v>63</v>
      </c>
      <c r="AO2486" s="4" t="s">
        <v>63</v>
      </c>
      <c r="AP2486" s="4" t="s">
        <v>63</v>
      </c>
      <c r="AQ2486" s="4" t="s">
        <v>63</v>
      </c>
      <c r="AR2486" s="4" t="s">
        <v>63</v>
      </c>
      <c r="AS2486" s="4" t="s">
        <v>63</v>
      </c>
      <c r="AT2486" s="4" t="s">
        <v>63</v>
      </c>
      <c r="AU2486" s="4" t="s">
        <v>63</v>
      </c>
      <c r="AV2486" s="4" t="s">
        <v>63</v>
      </c>
      <c r="AW2486" s="4" t="s">
        <v>63</v>
      </c>
      <c r="AX2486" s="4" t="s">
        <v>63</v>
      </c>
      <c r="AY2486" s="4" t="s">
        <v>63</v>
      </c>
      <c r="AZ2486" s="4" t="s">
        <v>63</v>
      </c>
      <c r="BA2486" s="4" t="s">
        <v>63</v>
      </c>
      <c r="BB2486" s="4" t="s">
        <v>63</v>
      </c>
      <c r="BC2486" s="4" t="s">
        <v>63</v>
      </c>
      <c r="BD2486" s="4" t="s">
        <v>63</v>
      </c>
      <c r="BE2486" s="4" t="s">
        <v>63</v>
      </c>
      <c r="BF2486" s="4" t="s">
        <v>63</v>
      </c>
    </row>
    <row r="2487" spans="1:58">
      <c r="A2487" s="4" t="s">
        <v>58</v>
      </c>
      <c r="B2487" s="4" t="s">
        <v>20872</v>
      </c>
      <c r="C2487" s="4" t="s">
        <v>20873</v>
      </c>
      <c r="D2487" s="4" t="s">
        <v>15421</v>
      </c>
      <c r="E2487" s="4" t="s">
        <v>63</v>
      </c>
      <c r="F2487" s="4">
        <v>2012</v>
      </c>
      <c r="G2487" s="4" t="s">
        <v>63</v>
      </c>
      <c r="H2487" s="4">
        <v>33</v>
      </c>
      <c r="I2487" s="4">
        <v>2</v>
      </c>
      <c r="J2487" s="4">
        <v>189</v>
      </c>
      <c r="K2487" s="4">
        <v>190</v>
      </c>
      <c r="L2487" s="4" t="s">
        <v>20874</v>
      </c>
      <c r="M2487" s="4" t="s">
        <v>20875</v>
      </c>
      <c r="N2487" s="4" t="s">
        <v>20876</v>
      </c>
      <c r="O2487" s="4" t="s">
        <v>63</v>
      </c>
      <c r="P2487" s="4"/>
      <c r="Q2487" s="4" t="s">
        <v>63</v>
      </c>
      <c r="R2487" s="4" t="s">
        <v>63</v>
      </c>
      <c r="S2487" s="4" t="s">
        <v>63</v>
      </c>
      <c r="T2487" s="4" t="s">
        <v>63</v>
      </c>
      <c r="U2487" s="4"/>
      <c r="V2487" s="4"/>
      <c r="W2487" s="4"/>
      <c r="X2487" s="4" t="s">
        <v>63</v>
      </c>
      <c r="Y2487" s="4" t="s">
        <v>15425</v>
      </c>
      <c r="Z2487" s="4" t="s">
        <v>63</v>
      </c>
      <c r="AA2487" s="4" t="s">
        <v>63</v>
      </c>
      <c r="AB2487" s="4" t="s">
        <v>63</v>
      </c>
      <c r="AC2487" s="4" t="s">
        <v>67</v>
      </c>
      <c r="AD2487" s="4" t="s">
        <v>63</v>
      </c>
      <c r="AE2487" s="4" t="s">
        <v>63</v>
      </c>
      <c r="AF2487" s="4" t="s">
        <v>63</v>
      </c>
      <c r="AG2487" s="4" t="s">
        <v>20877</v>
      </c>
      <c r="AH2487" s="4" t="s">
        <v>63</v>
      </c>
      <c r="AI2487" s="4" t="s">
        <v>20878</v>
      </c>
      <c r="AJ2487" s="4" t="s">
        <v>63</v>
      </c>
      <c r="AK2487" s="4" t="s">
        <v>63</v>
      </c>
      <c r="AL2487" s="4" t="s">
        <v>63</v>
      </c>
      <c r="AM2487" s="4" t="s">
        <v>20879</v>
      </c>
      <c r="AN2487" s="4" t="s">
        <v>63</v>
      </c>
      <c r="AO2487" s="4" t="s">
        <v>63</v>
      </c>
      <c r="AP2487" s="4" t="s">
        <v>63</v>
      </c>
      <c r="AQ2487" s="4" t="s">
        <v>63</v>
      </c>
      <c r="AR2487" s="4" t="s">
        <v>63</v>
      </c>
      <c r="AS2487" s="4" t="s">
        <v>63</v>
      </c>
      <c r="AT2487" s="4" t="s">
        <v>63</v>
      </c>
      <c r="AU2487" s="4" t="s">
        <v>63</v>
      </c>
      <c r="AV2487" s="4" t="s">
        <v>63</v>
      </c>
      <c r="AW2487" s="4" t="s">
        <v>63</v>
      </c>
      <c r="AX2487" s="4" t="s">
        <v>63</v>
      </c>
      <c r="AY2487" s="4" t="s">
        <v>63</v>
      </c>
      <c r="AZ2487" s="4" t="s">
        <v>63</v>
      </c>
      <c r="BA2487" s="4" t="s">
        <v>63</v>
      </c>
      <c r="BB2487" s="4" t="s">
        <v>63</v>
      </c>
      <c r="BC2487" s="4" t="s">
        <v>63</v>
      </c>
      <c r="BD2487" s="4" t="s">
        <v>63</v>
      </c>
      <c r="BE2487" s="4" t="s">
        <v>63</v>
      </c>
      <c r="BF2487" s="4" t="s">
        <v>63</v>
      </c>
    </row>
    <row r="2488" spans="1:58">
      <c r="A2488" s="4" t="s">
        <v>58</v>
      </c>
      <c r="B2488" s="4" t="s">
        <v>20880</v>
      </c>
      <c r="C2488" s="4" t="s">
        <v>20881</v>
      </c>
      <c r="D2488" s="4" t="s">
        <v>20882</v>
      </c>
      <c r="E2488" s="4" t="s">
        <v>20883</v>
      </c>
      <c r="F2488" s="4">
        <v>2011</v>
      </c>
      <c r="G2488" s="4" t="s">
        <v>15254</v>
      </c>
      <c r="H2488" s="4">
        <v>34</v>
      </c>
      <c r="I2488" s="4">
        <v>12</v>
      </c>
      <c r="J2488" s="4">
        <v>738</v>
      </c>
      <c r="K2488" s="4">
        <v>743</v>
      </c>
      <c r="L2488" s="4" t="s">
        <v>20884</v>
      </c>
      <c r="M2488" s="4" t="s">
        <v>20885</v>
      </c>
      <c r="N2488" s="4" t="s">
        <v>20886</v>
      </c>
      <c r="O2488" s="4" t="s">
        <v>63</v>
      </c>
      <c r="P2488" s="4"/>
      <c r="Q2488" s="4" t="s">
        <v>63</v>
      </c>
      <c r="R2488" s="4" t="s">
        <v>63</v>
      </c>
      <c r="S2488" s="4" t="s">
        <v>63</v>
      </c>
      <c r="T2488" s="4" t="s">
        <v>63</v>
      </c>
      <c r="U2488" s="4"/>
      <c r="V2488" s="4"/>
      <c r="W2488" s="4"/>
      <c r="X2488" s="4" t="s">
        <v>63</v>
      </c>
      <c r="Y2488" s="4" t="s">
        <v>20887</v>
      </c>
      <c r="Z2488" s="4" t="s">
        <v>63</v>
      </c>
      <c r="AA2488" s="4" t="s">
        <v>63</v>
      </c>
      <c r="AB2488" s="4">
        <v>2011672582</v>
      </c>
      <c r="AC2488" s="4" t="s">
        <v>67</v>
      </c>
      <c r="AD2488" s="4" t="s">
        <v>63</v>
      </c>
      <c r="AE2488" s="4" t="s">
        <v>63</v>
      </c>
      <c r="AF2488" s="4" t="s">
        <v>63</v>
      </c>
      <c r="AG2488" s="4" t="s">
        <v>20888</v>
      </c>
      <c r="AH2488" s="4" t="s">
        <v>63</v>
      </c>
      <c r="AI2488" s="4" t="s">
        <v>20889</v>
      </c>
      <c r="AJ2488" s="4" t="s">
        <v>63</v>
      </c>
      <c r="AK2488" s="4" t="s">
        <v>63</v>
      </c>
      <c r="AL2488" s="4" t="s">
        <v>63</v>
      </c>
      <c r="AM2488" s="4" t="s">
        <v>20890</v>
      </c>
      <c r="AN2488" s="4" t="s">
        <v>63</v>
      </c>
      <c r="AO2488" s="4" t="s">
        <v>63</v>
      </c>
      <c r="AP2488" s="4" t="s">
        <v>63</v>
      </c>
      <c r="AQ2488" s="4" t="s">
        <v>63</v>
      </c>
      <c r="AR2488" s="4" t="s">
        <v>63</v>
      </c>
      <c r="AS2488" s="4" t="s">
        <v>63</v>
      </c>
      <c r="AT2488" s="4" t="s">
        <v>63</v>
      </c>
      <c r="AU2488" s="4" t="s">
        <v>63</v>
      </c>
      <c r="AV2488" s="4" t="s">
        <v>63</v>
      </c>
      <c r="AW2488" s="4" t="s">
        <v>63</v>
      </c>
      <c r="AX2488" s="4" t="s">
        <v>63</v>
      </c>
      <c r="AY2488" s="4" t="s">
        <v>63</v>
      </c>
      <c r="AZ2488" s="4" t="s">
        <v>63</v>
      </c>
      <c r="BA2488" s="4" t="s">
        <v>63</v>
      </c>
      <c r="BB2488" s="4" t="s">
        <v>63</v>
      </c>
      <c r="BC2488" s="4" t="s">
        <v>63</v>
      </c>
      <c r="BD2488" s="4" t="s">
        <v>63</v>
      </c>
      <c r="BE2488" s="4" t="s">
        <v>63</v>
      </c>
      <c r="BF2488" s="4" t="s">
        <v>63</v>
      </c>
    </row>
    <row r="2489" spans="1:58">
      <c r="A2489" s="4" t="s">
        <v>58</v>
      </c>
      <c r="B2489" s="4" t="s">
        <v>20891</v>
      </c>
      <c r="C2489" s="4" t="s">
        <v>20892</v>
      </c>
      <c r="D2489" s="4" t="s">
        <v>15834</v>
      </c>
      <c r="E2489" s="4" t="s">
        <v>15835</v>
      </c>
      <c r="F2489" s="4">
        <v>1978</v>
      </c>
      <c r="G2489" s="4" t="s">
        <v>63</v>
      </c>
      <c r="H2489" s="4">
        <v>128</v>
      </c>
      <c r="I2489" s="4">
        <v>1</v>
      </c>
      <c r="J2489" s="4">
        <v>1</v>
      </c>
      <c r="K2489" s="4">
        <v>9</v>
      </c>
      <c r="L2489" s="4" t="s">
        <v>20893</v>
      </c>
      <c r="M2489" s="4" t="s">
        <v>20894</v>
      </c>
      <c r="N2489" s="4" t="s">
        <v>20895</v>
      </c>
      <c r="O2489" s="4" t="s">
        <v>63</v>
      </c>
      <c r="P2489" s="4"/>
      <c r="Q2489" s="4" t="s">
        <v>63</v>
      </c>
      <c r="R2489" s="4" t="s">
        <v>63</v>
      </c>
      <c r="S2489" s="4" t="s">
        <v>63</v>
      </c>
      <c r="T2489" s="4" t="s">
        <v>63</v>
      </c>
      <c r="U2489" s="4"/>
      <c r="V2489" s="4"/>
      <c r="W2489" s="4"/>
      <c r="X2489" s="4" t="s">
        <v>63</v>
      </c>
      <c r="Y2489" s="4" t="s">
        <v>63</v>
      </c>
      <c r="Z2489" s="4" t="s">
        <v>63</v>
      </c>
      <c r="AA2489" s="4" t="s">
        <v>63</v>
      </c>
      <c r="AB2489" s="4" t="s">
        <v>20896</v>
      </c>
      <c r="AC2489" s="4" t="s">
        <v>4823</v>
      </c>
      <c r="AD2489" s="4" t="s">
        <v>63</v>
      </c>
      <c r="AE2489" s="4" t="s">
        <v>63</v>
      </c>
      <c r="AF2489" s="4" t="s">
        <v>63</v>
      </c>
      <c r="AG2489" s="4" t="s">
        <v>63</v>
      </c>
      <c r="AH2489" s="4" t="s">
        <v>63</v>
      </c>
      <c r="AI2489" s="4" t="s">
        <v>63</v>
      </c>
      <c r="AJ2489" s="4" t="s">
        <v>63</v>
      </c>
      <c r="AK2489" s="4" t="s">
        <v>63</v>
      </c>
      <c r="AL2489" s="4" t="s">
        <v>63</v>
      </c>
      <c r="AM2489" s="4" t="s">
        <v>20892</v>
      </c>
      <c r="AN2489" s="4" t="s">
        <v>63</v>
      </c>
      <c r="AO2489" s="4" t="s">
        <v>63</v>
      </c>
      <c r="AP2489" s="4" t="s">
        <v>63</v>
      </c>
      <c r="AQ2489" s="4" t="s">
        <v>63</v>
      </c>
      <c r="AR2489" s="4" t="s">
        <v>63</v>
      </c>
      <c r="AS2489" s="4" t="s">
        <v>63</v>
      </c>
      <c r="AT2489" s="4" t="s">
        <v>63</v>
      </c>
      <c r="AU2489" s="4" t="s">
        <v>63</v>
      </c>
      <c r="AV2489" s="4" t="s">
        <v>63</v>
      </c>
      <c r="AW2489" s="4" t="s">
        <v>63</v>
      </c>
      <c r="AX2489" s="4" t="s">
        <v>63</v>
      </c>
      <c r="AY2489" s="4" t="s">
        <v>63</v>
      </c>
      <c r="AZ2489" s="4" t="s">
        <v>63</v>
      </c>
      <c r="BA2489" s="4" t="s">
        <v>63</v>
      </c>
      <c r="BB2489" s="4" t="s">
        <v>63</v>
      </c>
      <c r="BC2489" s="4" t="s">
        <v>63</v>
      </c>
      <c r="BD2489" s="4" t="s">
        <v>63</v>
      </c>
      <c r="BE2489" s="4" t="s">
        <v>63</v>
      </c>
      <c r="BF2489" s="4" t="s">
        <v>63</v>
      </c>
    </row>
    <row r="2490" spans="1:58">
      <c r="A2490" s="4" t="s">
        <v>58</v>
      </c>
      <c r="B2490" s="4" t="s">
        <v>20897</v>
      </c>
      <c r="C2490" s="4" t="s">
        <v>20898</v>
      </c>
      <c r="D2490" s="4" t="s">
        <v>20899</v>
      </c>
      <c r="E2490" s="4" t="s">
        <v>63</v>
      </c>
      <c r="F2490" s="4">
        <v>1996</v>
      </c>
      <c r="G2490" s="4" t="s">
        <v>63</v>
      </c>
      <c r="H2490" s="4">
        <v>36</v>
      </c>
      <c r="I2490" s="4">
        <v>1</v>
      </c>
      <c r="J2490" s="4">
        <v>69</v>
      </c>
      <c r="K2490" s="4">
        <v>76</v>
      </c>
      <c r="L2490" s="4" t="s">
        <v>20900</v>
      </c>
      <c r="M2490" s="4" t="s">
        <v>20901</v>
      </c>
      <c r="N2490" s="4" t="s">
        <v>20902</v>
      </c>
      <c r="O2490" s="4" t="s">
        <v>63</v>
      </c>
      <c r="P2490" s="4"/>
      <c r="Q2490" s="4" t="s">
        <v>63</v>
      </c>
      <c r="R2490" s="4" t="s">
        <v>63</v>
      </c>
      <c r="S2490" s="4" t="s">
        <v>63</v>
      </c>
      <c r="T2490" s="4" t="s">
        <v>63</v>
      </c>
      <c r="U2490" s="4"/>
      <c r="V2490" s="4"/>
      <c r="W2490" s="4"/>
      <c r="X2490" s="4" t="s">
        <v>63</v>
      </c>
      <c r="Y2490" s="4" t="s">
        <v>20903</v>
      </c>
      <c r="Z2490" s="4" t="s">
        <v>63</v>
      </c>
      <c r="AA2490" s="4" t="s">
        <v>63</v>
      </c>
      <c r="AB2490" s="4">
        <v>1996338225</v>
      </c>
      <c r="AC2490" s="4" t="s">
        <v>67</v>
      </c>
      <c r="AD2490" s="4" t="s">
        <v>63</v>
      </c>
      <c r="AE2490" s="4" t="s">
        <v>63</v>
      </c>
      <c r="AF2490" s="4" t="s">
        <v>63</v>
      </c>
      <c r="AG2490" s="4" t="s">
        <v>20904</v>
      </c>
      <c r="AH2490" s="4" t="s">
        <v>63</v>
      </c>
      <c r="AI2490" s="4" t="s">
        <v>63</v>
      </c>
      <c r="AJ2490" s="4" t="s">
        <v>63</v>
      </c>
      <c r="AK2490" s="4" t="s">
        <v>63</v>
      </c>
      <c r="AL2490" s="4" t="s">
        <v>63</v>
      </c>
      <c r="AM2490" s="4" t="s">
        <v>20905</v>
      </c>
      <c r="AN2490" s="4" t="s">
        <v>63</v>
      </c>
      <c r="AO2490" s="4" t="s">
        <v>63</v>
      </c>
      <c r="AP2490" s="4" t="s">
        <v>63</v>
      </c>
      <c r="AQ2490" s="4" t="s">
        <v>63</v>
      </c>
      <c r="AR2490" s="4" t="s">
        <v>63</v>
      </c>
      <c r="AS2490" s="4" t="s">
        <v>63</v>
      </c>
      <c r="AT2490" s="4" t="s">
        <v>63</v>
      </c>
      <c r="AU2490" s="4" t="s">
        <v>63</v>
      </c>
      <c r="AV2490" s="4" t="s">
        <v>63</v>
      </c>
      <c r="AW2490" s="4" t="s">
        <v>63</v>
      </c>
      <c r="AX2490" s="4" t="s">
        <v>63</v>
      </c>
      <c r="AY2490" s="4" t="s">
        <v>63</v>
      </c>
      <c r="AZ2490" s="4" t="s">
        <v>63</v>
      </c>
      <c r="BA2490" s="4" t="s">
        <v>63</v>
      </c>
      <c r="BB2490" s="4" t="s">
        <v>63</v>
      </c>
      <c r="BC2490" s="4" t="s">
        <v>63</v>
      </c>
      <c r="BD2490" s="4" t="s">
        <v>63</v>
      </c>
      <c r="BE2490" s="4" t="s">
        <v>63</v>
      </c>
      <c r="BF2490" s="4" t="s">
        <v>63</v>
      </c>
    </row>
    <row r="2491" spans="1:58">
      <c r="A2491" s="4" t="s">
        <v>58</v>
      </c>
      <c r="B2491" s="4" t="s">
        <v>20906</v>
      </c>
      <c r="C2491" s="4" t="s">
        <v>20907</v>
      </c>
      <c r="D2491" s="4" t="s">
        <v>18853</v>
      </c>
      <c r="E2491" s="4" t="s">
        <v>63</v>
      </c>
      <c r="F2491" s="4">
        <v>1989</v>
      </c>
      <c r="G2491" s="4" t="s">
        <v>63</v>
      </c>
      <c r="H2491" s="4" t="s">
        <v>63</v>
      </c>
      <c r="I2491" s="4">
        <v>9</v>
      </c>
      <c r="J2491" s="4">
        <v>38</v>
      </c>
      <c r="K2491" s="4">
        <v>41</v>
      </c>
      <c r="L2491" s="4" t="s">
        <v>20908</v>
      </c>
      <c r="M2491" s="4" t="s">
        <v>63</v>
      </c>
      <c r="N2491" s="4" t="s">
        <v>20909</v>
      </c>
      <c r="O2491" s="4" t="s">
        <v>63</v>
      </c>
      <c r="P2491" s="4"/>
      <c r="Q2491" s="4" t="s">
        <v>63</v>
      </c>
      <c r="R2491" s="4" t="s">
        <v>63</v>
      </c>
      <c r="S2491" s="4" t="s">
        <v>63</v>
      </c>
      <c r="T2491" s="4" t="s">
        <v>63</v>
      </c>
      <c r="U2491" s="4"/>
      <c r="V2491" s="4"/>
      <c r="W2491" s="4"/>
      <c r="X2491" s="4" t="s">
        <v>63</v>
      </c>
      <c r="Y2491" s="4" t="s">
        <v>7319</v>
      </c>
      <c r="Z2491" s="4" t="s">
        <v>63</v>
      </c>
      <c r="AA2491" s="4" t="s">
        <v>63</v>
      </c>
      <c r="AB2491" s="4" t="s">
        <v>63</v>
      </c>
      <c r="AC2491" s="4" t="s">
        <v>5266</v>
      </c>
      <c r="AD2491" s="4" t="s">
        <v>63</v>
      </c>
      <c r="AE2491" s="4" t="s">
        <v>63</v>
      </c>
      <c r="AF2491" s="4" t="s">
        <v>63</v>
      </c>
      <c r="AG2491" s="4" t="s">
        <v>20910</v>
      </c>
      <c r="AH2491" s="4" t="s">
        <v>63</v>
      </c>
      <c r="AI2491" s="4" t="s">
        <v>63</v>
      </c>
      <c r="AJ2491" s="4" t="s">
        <v>63</v>
      </c>
      <c r="AK2491" s="4" t="s">
        <v>63</v>
      </c>
      <c r="AL2491" s="4" t="s">
        <v>63</v>
      </c>
      <c r="AM2491" s="4" t="s">
        <v>20911</v>
      </c>
      <c r="AN2491" s="4" t="s">
        <v>63</v>
      </c>
      <c r="AO2491" s="4" t="s">
        <v>63</v>
      </c>
      <c r="AP2491" s="4" t="s">
        <v>63</v>
      </c>
      <c r="AQ2491" s="4" t="s">
        <v>63</v>
      </c>
      <c r="AR2491" s="4" t="s">
        <v>63</v>
      </c>
      <c r="AS2491" s="4" t="s">
        <v>63</v>
      </c>
      <c r="AT2491" s="4" t="s">
        <v>63</v>
      </c>
      <c r="AU2491" s="4" t="s">
        <v>63</v>
      </c>
      <c r="AV2491" s="4" t="s">
        <v>63</v>
      </c>
      <c r="AW2491" s="4" t="s">
        <v>63</v>
      </c>
      <c r="AX2491" s="4" t="s">
        <v>63</v>
      </c>
      <c r="AY2491" s="4" t="s">
        <v>63</v>
      </c>
      <c r="AZ2491" s="4" t="s">
        <v>63</v>
      </c>
      <c r="BA2491" s="4" t="s">
        <v>63</v>
      </c>
      <c r="BB2491" s="4" t="s">
        <v>63</v>
      </c>
      <c r="BC2491" s="4" t="s">
        <v>63</v>
      </c>
      <c r="BD2491" s="4" t="s">
        <v>63</v>
      </c>
      <c r="BE2491" s="4" t="s">
        <v>63</v>
      </c>
      <c r="BF2491" s="4" t="s">
        <v>63</v>
      </c>
    </row>
    <row r="2492" spans="1:58">
      <c r="A2492" s="4" t="s">
        <v>58</v>
      </c>
      <c r="B2492" s="4" t="s">
        <v>20912</v>
      </c>
      <c r="C2492" s="4" t="s">
        <v>20913</v>
      </c>
      <c r="D2492" s="4" t="s">
        <v>17683</v>
      </c>
      <c r="E2492" s="4" t="s">
        <v>63</v>
      </c>
      <c r="F2492" s="4">
        <v>2007</v>
      </c>
      <c r="G2492" s="4" t="s">
        <v>16321</v>
      </c>
      <c r="H2492" s="4">
        <v>9</v>
      </c>
      <c r="I2492" s="4">
        <v>3</v>
      </c>
      <c r="J2492" s="4">
        <v>815</v>
      </c>
      <c r="K2492" s="4">
        <v>818</v>
      </c>
      <c r="L2492" s="4" t="s">
        <v>20914</v>
      </c>
      <c r="M2492" s="4" t="s">
        <v>20915</v>
      </c>
      <c r="N2492" s="4" t="s">
        <v>20916</v>
      </c>
      <c r="O2492" s="4" t="s">
        <v>63</v>
      </c>
      <c r="P2492" s="4"/>
      <c r="Q2492" s="4" t="s">
        <v>63</v>
      </c>
      <c r="R2492" s="4" t="s">
        <v>63</v>
      </c>
      <c r="S2492" s="4" t="s">
        <v>63</v>
      </c>
      <c r="T2492" s="4" t="s">
        <v>63</v>
      </c>
      <c r="U2492" s="4"/>
      <c r="V2492" s="4"/>
      <c r="W2492" s="4"/>
      <c r="X2492" s="4" t="s">
        <v>63</v>
      </c>
      <c r="Y2492" s="4" t="s">
        <v>17687</v>
      </c>
      <c r="Z2492" s="4" t="s">
        <v>63</v>
      </c>
      <c r="AA2492" s="4" t="s">
        <v>63</v>
      </c>
      <c r="AB2492" s="4" t="s">
        <v>20917</v>
      </c>
      <c r="AC2492" s="4" t="s">
        <v>696</v>
      </c>
      <c r="AD2492" s="4" t="s">
        <v>63</v>
      </c>
      <c r="AE2492" s="4" t="s">
        <v>63</v>
      </c>
      <c r="AF2492" s="4" t="s">
        <v>63</v>
      </c>
      <c r="AG2492" s="4" t="s">
        <v>63</v>
      </c>
      <c r="AH2492" s="4" t="s">
        <v>63</v>
      </c>
      <c r="AI2492" s="4" t="s">
        <v>63</v>
      </c>
      <c r="AJ2492" s="4" t="s">
        <v>63</v>
      </c>
      <c r="AK2492" s="4" t="s">
        <v>63</v>
      </c>
      <c r="AL2492" s="4" t="s">
        <v>63</v>
      </c>
      <c r="AM2492" s="4" t="s">
        <v>20913</v>
      </c>
      <c r="AN2492" s="4" t="s">
        <v>63</v>
      </c>
      <c r="AO2492" s="4" t="s">
        <v>63</v>
      </c>
      <c r="AP2492" s="4" t="s">
        <v>63</v>
      </c>
      <c r="AQ2492" s="4" t="s">
        <v>63</v>
      </c>
      <c r="AR2492" s="4" t="s">
        <v>63</v>
      </c>
      <c r="AS2492" s="4" t="s">
        <v>63</v>
      </c>
      <c r="AT2492" s="4" t="s">
        <v>63</v>
      </c>
      <c r="AU2492" s="4" t="s">
        <v>63</v>
      </c>
      <c r="AV2492" s="4" t="s">
        <v>63</v>
      </c>
      <c r="AW2492" s="4" t="s">
        <v>63</v>
      </c>
      <c r="AX2492" s="4" t="s">
        <v>63</v>
      </c>
      <c r="AY2492" s="4" t="s">
        <v>63</v>
      </c>
      <c r="AZ2492" s="4" t="s">
        <v>63</v>
      </c>
      <c r="BA2492" s="4" t="s">
        <v>63</v>
      </c>
      <c r="BB2492" s="4" t="s">
        <v>63</v>
      </c>
      <c r="BC2492" s="4" t="s">
        <v>63</v>
      </c>
      <c r="BD2492" s="4" t="s">
        <v>63</v>
      </c>
      <c r="BE2492" s="4" t="s">
        <v>63</v>
      </c>
      <c r="BF2492" s="4" t="s">
        <v>63</v>
      </c>
    </row>
    <row r="2493" spans="1:58">
      <c r="A2493" s="4" t="s">
        <v>58</v>
      </c>
      <c r="B2493" s="4" t="s">
        <v>20918</v>
      </c>
      <c r="C2493" s="4" t="s">
        <v>20919</v>
      </c>
      <c r="D2493" s="4" t="s">
        <v>20920</v>
      </c>
      <c r="E2493" s="4" t="s">
        <v>63</v>
      </c>
      <c r="F2493" s="4">
        <v>2009</v>
      </c>
      <c r="G2493" s="4" t="s">
        <v>189</v>
      </c>
      <c r="H2493" s="4">
        <v>23</v>
      </c>
      <c r="I2493" s="4">
        <v>3</v>
      </c>
      <c r="J2493" s="4">
        <v>189</v>
      </c>
      <c r="K2493" s="4">
        <v>193</v>
      </c>
      <c r="L2493" s="4" t="s">
        <v>20921</v>
      </c>
      <c r="M2493" s="4" t="s">
        <v>20922</v>
      </c>
      <c r="N2493" s="4" t="s">
        <v>20923</v>
      </c>
      <c r="O2493" s="4" t="s">
        <v>63</v>
      </c>
      <c r="P2493" s="4"/>
      <c r="Q2493" s="4" t="s">
        <v>63</v>
      </c>
      <c r="R2493" s="4" t="s">
        <v>63</v>
      </c>
      <c r="S2493" s="4" t="s">
        <v>63</v>
      </c>
      <c r="T2493" s="4" t="s">
        <v>63</v>
      </c>
      <c r="U2493" s="4"/>
      <c r="V2493" s="4"/>
      <c r="W2493" s="4"/>
      <c r="X2493" s="4" t="s">
        <v>63</v>
      </c>
      <c r="Y2493" s="4" t="s">
        <v>20924</v>
      </c>
      <c r="Z2493" s="4" t="s">
        <v>63</v>
      </c>
      <c r="AA2493" s="4" t="s">
        <v>63</v>
      </c>
      <c r="AB2493" s="4" t="s">
        <v>20925</v>
      </c>
      <c r="AC2493" s="4" t="s">
        <v>67</v>
      </c>
      <c r="AD2493" s="4" t="s">
        <v>63</v>
      </c>
      <c r="AE2493" s="4" t="s">
        <v>63</v>
      </c>
      <c r="AF2493" s="4" t="s">
        <v>63</v>
      </c>
      <c r="AG2493" s="4" t="s">
        <v>63</v>
      </c>
      <c r="AH2493" s="4" t="s">
        <v>63</v>
      </c>
      <c r="AI2493" s="4" t="s">
        <v>20926</v>
      </c>
      <c r="AJ2493" s="4" t="s">
        <v>63</v>
      </c>
      <c r="AK2493" s="4" t="s">
        <v>63</v>
      </c>
      <c r="AL2493" s="4" t="s">
        <v>63</v>
      </c>
      <c r="AM2493" s="4" t="s">
        <v>20919</v>
      </c>
      <c r="AN2493" s="4" t="s">
        <v>63</v>
      </c>
      <c r="AO2493" s="4" t="s">
        <v>63</v>
      </c>
      <c r="AP2493" s="4" t="s">
        <v>63</v>
      </c>
      <c r="AQ2493" s="4" t="s">
        <v>63</v>
      </c>
      <c r="AR2493" s="4" t="s">
        <v>63</v>
      </c>
      <c r="AS2493" s="4" t="s">
        <v>63</v>
      </c>
      <c r="AT2493" s="4" t="s">
        <v>63</v>
      </c>
      <c r="AU2493" s="4" t="s">
        <v>63</v>
      </c>
      <c r="AV2493" s="4" t="s">
        <v>63</v>
      </c>
      <c r="AW2493" s="4" t="s">
        <v>63</v>
      </c>
      <c r="AX2493" s="4" t="s">
        <v>63</v>
      </c>
      <c r="AY2493" s="4" t="s">
        <v>63</v>
      </c>
      <c r="AZ2493" s="4" t="s">
        <v>63</v>
      </c>
      <c r="BA2493" s="4" t="s">
        <v>63</v>
      </c>
      <c r="BB2493" s="4" t="s">
        <v>63</v>
      </c>
      <c r="BC2493" s="4" t="s">
        <v>63</v>
      </c>
      <c r="BD2493" s="4" t="s">
        <v>63</v>
      </c>
      <c r="BE2493" s="4" t="s">
        <v>63</v>
      </c>
      <c r="BF2493" s="4" t="s">
        <v>63</v>
      </c>
    </row>
    <row r="2494" spans="1:58">
      <c r="A2494" s="4" t="s">
        <v>58</v>
      </c>
      <c r="B2494" s="4" t="s">
        <v>20927</v>
      </c>
      <c r="C2494" s="4" t="s">
        <v>20928</v>
      </c>
      <c r="D2494" s="4" t="s">
        <v>16692</v>
      </c>
      <c r="E2494" s="4" t="s">
        <v>63</v>
      </c>
      <c r="F2494" s="4">
        <v>1994</v>
      </c>
      <c r="G2494" s="4" t="s">
        <v>63</v>
      </c>
      <c r="H2494" s="4">
        <v>64</v>
      </c>
      <c r="I2494" s="4">
        <v>1</v>
      </c>
      <c r="J2494" s="4">
        <v>38</v>
      </c>
      <c r="K2494" s="4">
        <v>42</v>
      </c>
      <c r="L2494" s="4" t="s">
        <v>20929</v>
      </c>
      <c r="M2494" s="4" t="s">
        <v>20930</v>
      </c>
      <c r="N2494" s="4" t="s">
        <v>20931</v>
      </c>
      <c r="O2494" s="4" t="s">
        <v>63</v>
      </c>
      <c r="P2494" s="4"/>
      <c r="Q2494" s="4" t="s">
        <v>63</v>
      </c>
      <c r="R2494" s="4" t="s">
        <v>63</v>
      </c>
      <c r="S2494" s="4" t="s">
        <v>63</v>
      </c>
      <c r="T2494" s="4" t="s">
        <v>63</v>
      </c>
      <c r="U2494" s="4"/>
      <c r="V2494" s="4"/>
      <c r="W2494" s="4"/>
      <c r="X2494" s="4" t="s">
        <v>63</v>
      </c>
      <c r="Y2494" s="4" t="s">
        <v>16696</v>
      </c>
      <c r="Z2494" s="4" t="s">
        <v>63</v>
      </c>
      <c r="AA2494" s="4" t="s">
        <v>63</v>
      </c>
      <c r="AB2494" s="4" t="s">
        <v>20932</v>
      </c>
      <c r="AC2494" s="4" t="s">
        <v>4823</v>
      </c>
      <c r="AD2494" s="4" t="s">
        <v>63</v>
      </c>
      <c r="AE2494" s="4" t="s">
        <v>63</v>
      </c>
      <c r="AF2494" s="4" t="s">
        <v>63</v>
      </c>
      <c r="AG2494" s="4" t="s">
        <v>63</v>
      </c>
      <c r="AH2494" s="4" t="s">
        <v>63</v>
      </c>
      <c r="AI2494" s="4" t="s">
        <v>63</v>
      </c>
      <c r="AJ2494" s="4" t="s">
        <v>63</v>
      </c>
      <c r="AK2494" s="4" t="s">
        <v>63</v>
      </c>
      <c r="AL2494" s="4" t="s">
        <v>63</v>
      </c>
      <c r="AM2494" s="4" t="s">
        <v>20933</v>
      </c>
      <c r="AN2494" s="4" t="s">
        <v>63</v>
      </c>
      <c r="AO2494" s="4" t="s">
        <v>63</v>
      </c>
      <c r="AP2494" s="4" t="s">
        <v>63</v>
      </c>
      <c r="AQ2494" s="4" t="s">
        <v>63</v>
      </c>
      <c r="AR2494" s="4" t="s">
        <v>63</v>
      </c>
      <c r="AS2494" s="4" t="s">
        <v>63</v>
      </c>
      <c r="AT2494" s="4" t="s">
        <v>63</v>
      </c>
      <c r="AU2494" s="4" t="s">
        <v>63</v>
      </c>
      <c r="AV2494" s="4" t="s">
        <v>63</v>
      </c>
      <c r="AW2494" s="4" t="s">
        <v>63</v>
      </c>
      <c r="AX2494" s="4" t="s">
        <v>63</v>
      </c>
      <c r="AY2494" s="4" t="s">
        <v>63</v>
      </c>
      <c r="AZ2494" s="4" t="s">
        <v>63</v>
      </c>
      <c r="BA2494" s="4" t="s">
        <v>63</v>
      </c>
      <c r="BB2494" s="4" t="s">
        <v>63</v>
      </c>
      <c r="BC2494" s="4" t="s">
        <v>63</v>
      </c>
      <c r="BD2494" s="4" t="s">
        <v>63</v>
      </c>
      <c r="BE2494" s="4" t="s">
        <v>63</v>
      </c>
      <c r="BF2494" s="4" t="s">
        <v>63</v>
      </c>
    </row>
    <row r="2495" spans="1:58">
      <c r="A2495" s="4" t="s">
        <v>58</v>
      </c>
      <c r="B2495" s="4" t="s">
        <v>20934</v>
      </c>
      <c r="C2495" s="4" t="s">
        <v>20935</v>
      </c>
      <c r="D2495" s="4" t="s">
        <v>15421</v>
      </c>
      <c r="E2495" s="4" t="s">
        <v>63</v>
      </c>
      <c r="F2495" s="4">
        <v>2010</v>
      </c>
      <c r="G2495" s="4" t="s">
        <v>198</v>
      </c>
      <c r="H2495" s="4">
        <v>31</v>
      </c>
      <c r="I2495" s="4">
        <v>1</v>
      </c>
      <c r="J2495" s="4">
        <v>8</v>
      </c>
      <c r="K2495" s="4">
        <v>11</v>
      </c>
      <c r="L2495" s="4" t="s">
        <v>20936</v>
      </c>
      <c r="M2495" s="4" t="s">
        <v>20937</v>
      </c>
      <c r="N2495" s="4" t="s">
        <v>20938</v>
      </c>
      <c r="O2495" s="4" t="s">
        <v>63</v>
      </c>
      <c r="P2495" s="4"/>
      <c r="Q2495" s="4" t="s">
        <v>63</v>
      </c>
      <c r="R2495" s="4" t="s">
        <v>63</v>
      </c>
      <c r="S2495" s="4" t="s">
        <v>63</v>
      </c>
      <c r="T2495" s="4" t="s">
        <v>63</v>
      </c>
      <c r="U2495" s="4"/>
      <c r="V2495" s="4"/>
      <c r="W2495" s="4"/>
      <c r="X2495" s="4" t="s">
        <v>63</v>
      </c>
      <c r="Y2495" s="4" t="s">
        <v>15425</v>
      </c>
      <c r="Z2495" s="4" t="s">
        <v>63</v>
      </c>
      <c r="AA2495" s="4" t="s">
        <v>63</v>
      </c>
      <c r="AB2495" s="4" t="s">
        <v>63</v>
      </c>
      <c r="AC2495" s="4" t="s">
        <v>67</v>
      </c>
      <c r="AD2495" s="4" t="s">
        <v>63</v>
      </c>
      <c r="AE2495" s="4" t="s">
        <v>63</v>
      </c>
      <c r="AF2495" s="4" t="s">
        <v>63</v>
      </c>
      <c r="AG2495" s="4" t="s">
        <v>20939</v>
      </c>
      <c r="AH2495" s="4" t="s">
        <v>63</v>
      </c>
      <c r="AI2495" s="4" t="s">
        <v>20940</v>
      </c>
      <c r="AJ2495" s="4" t="s">
        <v>63</v>
      </c>
      <c r="AK2495" s="4" t="s">
        <v>63</v>
      </c>
      <c r="AL2495" s="4" t="s">
        <v>63</v>
      </c>
      <c r="AM2495" s="4" t="s">
        <v>20941</v>
      </c>
      <c r="AN2495" s="4" t="s">
        <v>63</v>
      </c>
      <c r="AO2495" s="4" t="s">
        <v>63</v>
      </c>
      <c r="AP2495" s="4" t="s">
        <v>63</v>
      </c>
      <c r="AQ2495" s="4" t="s">
        <v>63</v>
      </c>
      <c r="AR2495" s="4" t="s">
        <v>63</v>
      </c>
      <c r="AS2495" s="4" t="s">
        <v>63</v>
      </c>
      <c r="AT2495" s="4" t="s">
        <v>63</v>
      </c>
      <c r="AU2495" s="4" t="s">
        <v>63</v>
      </c>
      <c r="AV2495" s="4" t="s">
        <v>63</v>
      </c>
      <c r="AW2495" s="4" t="s">
        <v>63</v>
      </c>
      <c r="AX2495" s="4" t="s">
        <v>63</v>
      </c>
      <c r="AY2495" s="4" t="s">
        <v>63</v>
      </c>
      <c r="AZ2495" s="4" t="s">
        <v>63</v>
      </c>
      <c r="BA2495" s="4" t="s">
        <v>63</v>
      </c>
      <c r="BB2495" s="4" t="s">
        <v>63</v>
      </c>
      <c r="BC2495" s="4" t="s">
        <v>63</v>
      </c>
      <c r="BD2495" s="4" t="s">
        <v>63</v>
      </c>
      <c r="BE2495" s="4" t="s">
        <v>63</v>
      </c>
      <c r="BF2495" s="4" t="s">
        <v>63</v>
      </c>
    </row>
    <row r="2496" spans="1:58">
      <c r="A2496" s="4" t="s">
        <v>58</v>
      </c>
      <c r="B2496" s="4" t="s">
        <v>20942</v>
      </c>
      <c r="C2496" s="4" t="s">
        <v>20943</v>
      </c>
      <c r="D2496" s="4" t="s">
        <v>1332</v>
      </c>
      <c r="E2496" s="4" t="s">
        <v>63</v>
      </c>
      <c r="F2496" s="4">
        <v>2016</v>
      </c>
      <c r="G2496" s="4" t="s">
        <v>15665</v>
      </c>
      <c r="H2496" s="4">
        <v>58</v>
      </c>
      <c r="I2496" s="4">
        <v>2</v>
      </c>
      <c r="J2496" s="4" t="s">
        <v>9630</v>
      </c>
      <c r="K2496" s="4" t="s">
        <v>20944</v>
      </c>
      <c r="L2496" s="4" t="s">
        <v>20945</v>
      </c>
      <c r="M2496" s="4" t="s">
        <v>20946</v>
      </c>
      <c r="N2496" s="4" t="s">
        <v>20947</v>
      </c>
      <c r="O2496" s="4" t="s">
        <v>63</v>
      </c>
      <c r="P2496" s="4"/>
      <c r="Q2496" s="4" t="s">
        <v>63</v>
      </c>
      <c r="R2496" s="4" t="s">
        <v>63</v>
      </c>
      <c r="S2496" s="4" t="s">
        <v>63</v>
      </c>
      <c r="T2496" s="4" t="s">
        <v>63</v>
      </c>
      <c r="U2496" s="4"/>
      <c r="V2496" s="4"/>
      <c r="W2496" s="4"/>
      <c r="X2496" s="4" t="s">
        <v>63</v>
      </c>
      <c r="Y2496" s="4" t="s">
        <v>1336</v>
      </c>
      <c r="Z2496" s="4" t="s">
        <v>63</v>
      </c>
      <c r="AA2496" s="4" t="s">
        <v>63</v>
      </c>
      <c r="AB2496" s="4" t="s">
        <v>63</v>
      </c>
      <c r="AC2496" s="4" t="s">
        <v>67</v>
      </c>
      <c r="AD2496" s="4" t="s">
        <v>63</v>
      </c>
      <c r="AE2496" s="4" t="s">
        <v>63</v>
      </c>
      <c r="AF2496" s="4" t="s">
        <v>63</v>
      </c>
      <c r="AG2496" s="4" t="s">
        <v>63</v>
      </c>
      <c r="AH2496" s="4" t="s">
        <v>63</v>
      </c>
      <c r="AI2496" s="4" t="s">
        <v>63</v>
      </c>
      <c r="AJ2496" s="4" t="s">
        <v>63</v>
      </c>
      <c r="AK2496" s="4" t="s">
        <v>63</v>
      </c>
      <c r="AL2496" s="4" t="s">
        <v>63</v>
      </c>
      <c r="AM2496" s="4" t="s">
        <v>20943</v>
      </c>
      <c r="AN2496" s="4" t="s">
        <v>63</v>
      </c>
      <c r="AO2496" s="4" t="s">
        <v>63</v>
      </c>
      <c r="AP2496" s="4" t="s">
        <v>63</v>
      </c>
      <c r="AQ2496" s="4" t="s">
        <v>63</v>
      </c>
      <c r="AR2496" s="4" t="s">
        <v>63</v>
      </c>
      <c r="AS2496" s="4" t="s">
        <v>63</v>
      </c>
      <c r="AT2496" s="4" t="s">
        <v>63</v>
      </c>
      <c r="AU2496" s="4" t="s">
        <v>63</v>
      </c>
      <c r="AV2496" s="4" t="s">
        <v>63</v>
      </c>
      <c r="AW2496" s="4" t="s">
        <v>63</v>
      </c>
      <c r="AX2496" s="4" t="s">
        <v>63</v>
      </c>
      <c r="AY2496" s="4" t="s">
        <v>63</v>
      </c>
      <c r="AZ2496" s="4" t="s">
        <v>63</v>
      </c>
      <c r="BA2496" s="4" t="s">
        <v>63</v>
      </c>
      <c r="BB2496" s="4" t="s">
        <v>63</v>
      </c>
      <c r="BC2496" s="4" t="s">
        <v>63</v>
      </c>
      <c r="BD2496" s="4" t="s">
        <v>63</v>
      </c>
      <c r="BE2496" s="4" t="s">
        <v>63</v>
      </c>
      <c r="BF2496" s="4" t="s">
        <v>63</v>
      </c>
    </row>
    <row r="2497" spans="1:58">
      <c r="A2497" s="4" t="s">
        <v>58</v>
      </c>
      <c r="B2497" s="4" t="s">
        <v>20948</v>
      </c>
      <c r="C2497" s="4" t="s">
        <v>20949</v>
      </c>
      <c r="D2497" s="4" t="s">
        <v>15713</v>
      </c>
      <c r="E2497" s="4" t="s">
        <v>15714</v>
      </c>
      <c r="F2497" s="4">
        <v>2015</v>
      </c>
      <c r="G2497" s="4">
        <v>1</v>
      </c>
      <c r="H2497" s="4">
        <v>20</v>
      </c>
      <c r="I2497" s="4">
        <v>1</v>
      </c>
      <c r="J2497" s="4">
        <v>56</v>
      </c>
      <c r="K2497" s="4">
        <v>60</v>
      </c>
      <c r="L2497" s="4" t="s">
        <v>20950</v>
      </c>
      <c r="M2497" s="4" t="s">
        <v>20951</v>
      </c>
      <c r="N2497" s="4" t="s">
        <v>20952</v>
      </c>
      <c r="O2497" s="4" t="s">
        <v>63</v>
      </c>
      <c r="P2497" s="4"/>
      <c r="Q2497" s="4" t="s">
        <v>63</v>
      </c>
      <c r="R2497" s="4" t="s">
        <v>63</v>
      </c>
      <c r="S2497" s="4" t="s">
        <v>63</v>
      </c>
      <c r="T2497" s="4" t="s">
        <v>63</v>
      </c>
      <c r="U2497" s="4"/>
      <c r="V2497" s="4"/>
      <c r="W2497" s="4"/>
      <c r="X2497" s="4" t="s">
        <v>63</v>
      </c>
      <c r="Y2497" s="4" t="s">
        <v>20025</v>
      </c>
      <c r="Z2497" s="4" t="s">
        <v>63</v>
      </c>
      <c r="AA2497" s="4" t="s">
        <v>63</v>
      </c>
      <c r="AB2497" s="4" t="s">
        <v>20953</v>
      </c>
      <c r="AC2497" s="4" t="s">
        <v>67</v>
      </c>
      <c r="AD2497" s="4" t="s">
        <v>63</v>
      </c>
      <c r="AE2497" s="4" t="s">
        <v>63</v>
      </c>
      <c r="AF2497" s="4" t="s">
        <v>63</v>
      </c>
      <c r="AG2497" s="4" t="s">
        <v>63</v>
      </c>
      <c r="AH2497" s="4" t="s">
        <v>63</v>
      </c>
      <c r="AI2497" s="4" t="s">
        <v>20954</v>
      </c>
      <c r="AJ2497" s="4" t="s">
        <v>63</v>
      </c>
      <c r="AK2497" s="4" t="s">
        <v>63</v>
      </c>
      <c r="AL2497" s="4" t="s">
        <v>63</v>
      </c>
      <c r="AM2497" s="4" t="s">
        <v>20949</v>
      </c>
      <c r="AN2497" s="4" t="s">
        <v>63</v>
      </c>
      <c r="AO2497" s="4" t="s">
        <v>63</v>
      </c>
      <c r="AP2497" s="4" t="s">
        <v>63</v>
      </c>
      <c r="AQ2497" s="4" t="s">
        <v>63</v>
      </c>
      <c r="AR2497" s="4" t="s">
        <v>63</v>
      </c>
      <c r="AS2497" s="4" t="s">
        <v>63</v>
      </c>
      <c r="AT2497" s="4" t="s">
        <v>63</v>
      </c>
      <c r="AU2497" s="4" t="s">
        <v>63</v>
      </c>
      <c r="AV2497" s="4" t="s">
        <v>63</v>
      </c>
      <c r="AW2497" s="4" t="s">
        <v>63</v>
      </c>
      <c r="AX2497" s="4" t="s">
        <v>63</v>
      </c>
      <c r="AY2497" s="4" t="s">
        <v>63</v>
      </c>
      <c r="AZ2497" s="4" t="s">
        <v>63</v>
      </c>
      <c r="BA2497" s="4" t="s">
        <v>63</v>
      </c>
      <c r="BB2497" s="4" t="s">
        <v>63</v>
      </c>
      <c r="BC2497" s="4" t="s">
        <v>63</v>
      </c>
      <c r="BD2497" s="4" t="s">
        <v>63</v>
      </c>
      <c r="BE2497" s="4" t="s">
        <v>63</v>
      </c>
      <c r="BF2497" s="4" t="s">
        <v>63</v>
      </c>
    </row>
    <row r="2498" spans="1:58">
      <c r="A2498" s="4" t="s">
        <v>58</v>
      </c>
      <c r="B2498" s="4" t="s">
        <v>20955</v>
      </c>
      <c r="C2498" s="4" t="s">
        <v>20956</v>
      </c>
      <c r="D2498" s="4" t="s">
        <v>20957</v>
      </c>
      <c r="E2498" s="4" t="s">
        <v>63</v>
      </c>
      <c r="F2498" s="4">
        <v>2010</v>
      </c>
      <c r="G2498" s="4" t="s">
        <v>15165</v>
      </c>
      <c r="H2498" s="4">
        <v>4</v>
      </c>
      <c r="I2498" s="4">
        <v>1</v>
      </c>
      <c r="J2498" s="4">
        <v>34</v>
      </c>
      <c r="K2498" s="4" t="s">
        <v>63</v>
      </c>
      <c r="L2498" s="4" t="s">
        <v>20958</v>
      </c>
      <c r="M2498" s="4" t="s">
        <v>20959</v>
      </c>
      <c r="N2498" s="4" t="s">
        <v>20960</v>
      </c>
      <c r="O2498" s="4" t="s">
        <v>63</v>
      </c>
      <c r="P2498" s="4"/>
      <c r="Q2498" s="4" t="s">
        <v>63</v>
      </c>
      <c r="R2498" s="4" t="s">
        <v>63</v>
      </c>
      <c r="S2498" s="4" t="s">
        <v>63</v>
      </c>
      <c r="T2498" s="4" t="s">
        <v>63</v>
      </c>
      <c r="U2498" s="4"/>
      <c r="V2498" s="4"/>
      <c r="W2498" s="4"/>
      <c r="X2498" s="4" t="s">
        <v>63</v>
      </c>
      <c r="Y2498" s="4" t="s">
        <v>20961</v>
      </c>
      <c r="Z2498" s="4" t="s">
        <v>63</v>
      </c>
      <c r="AA2498" s="4" t="s">
        <v>63</v>
      </c>
      <c r="AB2498" s="4" t="s">
        <v>63</v>
      </c>
      <c r="AC2498" s="4" t="s">
        <v>67</v>
      </c>
      <c r="AD2498" s="4" t="s">
        <v>63</v>
      </c>
      <c r="AE2498" s="4" t="s">
        <v>63</v>
      </c>
      <c r="AF2498" s="4" t="s">
        <v>63</v>
      </c>
      <c r="AG2498" s="4" t="s">
        <v>63</v>
      </c>
      <c r="AH2498" s="4" t="s">
        <v>63</v>
      </c>
      <c r="AI2498" s="4" t="s">
        <v>20962</v>
      </c>
      <c r="AJ2498" s="4" t="s">
        <v>63</v>
      </c>
      <c r="AK2498" s="4" t="s">
        <v>63</v>
      </c>
      <c r="AL2498" s="4" t="s">
        <v>63</v>
      </c>
      <c r="AM2498" s="4" t="s">
        <v>20956</v>
      </c>
      <c r="AN2498" s="4" t="s">
        <v>63</v>
      </c>
      <c r="AO2498" s="4" t="s">
        <v>63</v>
      </c>
      <c r="AP2498" s="4" t="s">
        <v>63</v>
      </c>
      <c r="AQ2498" s="4" t="s">
        <v>63</v>
      </c>
      <c r="AR2498" s="4" t="s">
        <v>63</v>
      </c>
      <c r="AS2498" s="4" t="s">
        <v>63</v>
      </c>
      <c r="AT2498" s="4" t="s">
        <v>63</v>
      </c>
      <c r="AU2498" s="4" t="s">
        <v>63</v>
      </c>
      <c r="AV2498" s="4" t="s">
        <v>63</v>
      </c>
      <c r="AW2498" s="4" t="s">
        <v>63</v>
      </c>
      <c r="AX2498" s="4" t="s">
        <v>63</v>
      </c>
      <c r="AY2498" s="4" t="s">
        <v>63</v>
      </c>
      <c r="AZ2498" s="4" t="s">
        <v>63</v>
      </c>
      <c r="BA2498" s="4" t="s">
        <v>63</v>
      </c>
      <c r="BB2498" s="4" t="s">
        <v>63</v>
      </c>
      <c r="BC2498" s="4" t="s">
        <v>63</v>
      </c>
      <c r="BD2498" s="4" t="s">
        <v>63</v>
      </c>
      <c r="BE2498" s="4" t="s">
        <v>63</v>
      </c>
      <c r="BF2498" s="4" t="s">
        <v>63</v>
      </c>
    </row>
    <row r="2499" spans="1:58">
      <c r="A2499" s="4" t="s">
        <v>58</v>
      </c>
      <c r="B2499" s="4" t="s">
        <v>20963</v>
      </c>
      <c r="C2499" s="4" t="s">
        <v>20964</v>
      </c>
      <c r="D2499" s="4" t="s">
        <v>6854</v>
      </c>
      <c r="E2499" s="4" t="s">
        <v>63</v>
      </c>
      <c r="F2499" s="4">
        <v>2014</v>
      </c>
      <c r="G2499" s="4" t="s">
        <v>63</v>
      </c>
      <c r="H2499" s="4" t="s">
        <v>20965</v>
      </c>
      <c r="I2499" s="4" t="s">
        <v>63</v>
      </c>
      <c r="J2499" s="4" t="s">
        <v>63</v>
      </c>
      <c r="K2499" s="4" t="s">
        <v>63</v>
      </c>
      <c r="L2499" s="4" t="s">
        <v>20966</v>
      </c>
      <c r="M2499" s="4" t="s">
        <v>20967</v>
      </c>
      <c r="N2499" s="4" t="s">
        <v>20968</v>
      </c>
      <c r="O2499" s="4" t="s">
        <v>63</v>
      </c>
      <c r="P2499" s="4"/>
      <c r="Q2499" s="4" t="s">
        <v>63</v>
      </c>
      <c r="R2499" s="4" t="s">
        <v>63</v>
      </c>
      <c r="S2499" s="4" t="s">
        <v>63</v>
      </c>
      <c r="T2499" s="4" t="s">
        <v>63</v>
      </c>
      <c r="U2499" s="4"/>
      <c r="V2499" s="4"/>
      <c r="W2499" s="4"/>
      <c r="X2499" s="4" t="s">
        <v>63</v>
      </c>
      <c r="Y2499" s="4" t="s">
        <v>15322</v>
      </c>
      <c r="Z2499" s="4" t="s">
        <v>63</v>
      </c>
      <c r="AA2499" s="4" t="s">
        <v>63</v>
      </c>
      <c r="AB2499" s="4" t="s">
        <v>63</v>
      </c>
      <c r="AC2499" s="4" t="s">
        <v>67</v>
      </c>
      <c r="AD2499" s="4" t="s">
        <v>63</v>
      </c>
      <c r="AE2499" s="4" t="s">
        <v>63</v>
      </c>
      <c r="AF2499" s="4" t="s">
        <v>63</v>
      </c>
      <c r="AG2499" s="4" t="s">
        <v>63</v>
      </c>
      <c r="AH2499" s="4" t="s">
        <v>63</v>
      </c>
      <c r="AI2499" s="4" t="s">
        <v>63</v>
      </c>
      <c r="AJ2499" s="4" t="s">
        <v>63</v>
      </c>
      <c r="AK2499" s="4" t="s">
        <v>63</v>
      </c>
      <c r="AL2499" s="4" t="s">
        <v>63</v>
      </c>
      <c r="AM2499" s="4" t="s">
        <v>20964</v>
      </c>
      <c r="AN2499" s="4" t="s">
        <v>63</v>
      </c>
      <c r="AO2499" s="4" t="s">
        <v>63</v>
      </c>
      <c r="AP2499" s="4" t="s">
        <v>63</v>
      </c>
      <c r="AQ2499" s="4" t="s">
        <v>63</v>
      </c>
      <c r="AR2499" s="4" t="s">
        <v>63</v>
      </c>
      <c r="AS2499" s="4" t="s">
        <v>63</v>
      </c>
      <c r="AT2499" s="4" t="s">
        <v>63</v>
      </c>
      <c r="AU2499" s="4" t="s">
        <v>63</v>
      </c>
      <c r="AV2499" s="4" t="s">
        <v>63</v>
      </c>
      <c r="AW2499" s="4" t="s">
        <v>63</v>
      </c>
      <c r="AX2499" s="4" t="s">
        <v>63</v>
      </c>
      <c r="AY2499" s="4" t="s">
        <v>63</v>
      </c>
      <c r="AZ2499" s="4" t="s">
        <v>63</v>
      </c>
      <c r="BA2499" s="4" t="s">
        <v>63</v>
      </c>
      <c r="BB2499" s="4" t="s">
        <v>63</v>
      </c>
      <c r="BC2499" s="4" t="s">
        <v>63</v>
      </c>
      <c r="BD2499" s="4" t="s">
        <v>63</v>
      </c>
      <c r="BE2499" s="4" t="s">
        <v>63</v>
      </c>
      <c r="BF2499" s="4" t="s">
        <v>63</v>
      </c>
    </row>
    <row r="2500" spans="1:58">
      <c r="A2500" s="4" t="s">
        <v>58</v>
      </c>
      <c r="B2500" s="4" t="s">
        <v>20969</v>
      </c>
      <c r="C2500" s="4" t="s">
        <v>20970</v>
      </c>
      <c r="D2500" s="4" t="s">
        <v>13410</v>
      </c>
      <c r="E2500" s="4" t="s">
        <v>13411</v>
      </c>
      <c r="F2500" s="4">
        <v>2005</v>
      </c>
      <c r="G2500" s="4" t="s">
        <v>20971</v>
      </c>
      <c r="H2500" s="4">
        <v>18</v>
      </c>
      <c r="I2500" s="4">
        <v>6</v>
      </c>
      <c r="J2500" s="4">
        <v>285</v>
      </c>
      <c r="K2500" s="4">
        <v>289</v>
      </c>
      <c r="L2500" s="4" t="s">
        <v>20972</v>
      </c>
      <c r="M2500" s="4" t="s">
        <v>20973</v>
      </c>
      <c r="N2500" s="4" t="s">
        <v>20974</v>
      </c>
      <c r="O2500" s="4" t="s">
        <v>63</v>
      </c>
      <c r="P2500" s="4"/>
      <c r="Q2500" s="4" t="s">
        <v>63</v>
      </c>
      <c r="R2500" s="4" t="s">
        <v>63</v>
      </c>
      <c r="S2500" s="4" t="s">
        <v>63</v>
      </c>
      <c r="T2500" s="4" t="s">
        <v>63</v>
      </c>
      <c r="U2500" s="4"/>
      <c r="V2500" s="4"/>
      <c r="W2500" s="4"/>
      <c r="X2500" s="4" t="s">
        <v>63</v>
      </c>
      <c r="Y2500" s="4" t="s">
        <v>13415</v>
      </c>
      <c r="Z2500" s="4" t="s">
        <v>63</v>
      </c>
      <c r="AA2500" s="4" t="s">
        <v>63</v>
      </c>
      <c r="AB2500" s="4">
        <v>2006078953</v>
      </c>
      <c r="AC2500" s="4" t="s">
        <v>67</v>
      </c>
      <c r="AD2500" s="4" t="s">
        <v>63</v>
      </c>
      <c r="AE2500" s="4" t="s">
        <v>63</v>
      </c>
      <c r="AF2500" s="4" t="s">
        <v>63</v>
      </c>
      <c r="AG2500" s="4" t="s">
        <v>20975</v>
      </c>
      <c r="AH2500" s="4" t="s">
        <v>63</v>
      </c>
      <c r="AI2500" s="4" t="s">
        <v>63</v>
      </c>
      <c r="AJ2500" s="4" t="s">
        <v>63</v>
      </c>
      <c r="AK2500" s="4" t="s">
        <v>63</v>
      </c>
      <c r="AL2500" s="4" t="s">
        <v>63</v>
      </c>
      <c r="AM2500" s="4" t="s">
        <v>20976</v>
      </c>
      <c r="AN2500" s="4" t="s">
        <v>63</v>
      </c>
      <c r="AO2500" s="4" t="s">
        <v>63</v>
      </c>
      <c r="AP2500" s="4" t="s">
        <v>63</v>
      </c>
      <c r="AQ2500" s="4" t="s">
        <v>63</v>
      </c>
      <c r="AR2500" s="4" t="s">
        <v>63</v>
      </c>
      <c r="AS2500" s="4" t="s">
        <v>63</v>
      </c>
      <c r="AT2500" s="4" t="s">
        <v>63</v>
      </c>
      <c r="AU2500" s="4" t="s">
        <v>63</v>
      </c>
      <c r="AV2500" s="4" t="s">
        <v>63</v>
      </c>
      <c r="AW2500" s="4" t="s">
        <v>63</v>
      </c>
      <c r="AX2500" s="4" t="s">
        <v>63</v>
      </c>
      <c r="AY2500" s="4" t="s">
        <v>63</v>
      </c>
      <c r="AZ2500" s="4" t="s">
        <v>63</v>
      </c>
      <c r="BA2500" s="4" t="s">
        <v>63</v>
      </c>
      <c r="BB2500" s="4" t="s">
        <v>63</v>
      </c>
      <c r="BC2500" s="4" t="s">
        <v>63</v>
      </c>
      <c r="BD2500" s="4" t="s">
        <v>63</v>
      </c>
      <c r="BE2500" s="4" t="s">
        <v>63</v>
      </c>
      <c r="BF2500" s="4" t="s">
        <v>63</v>
      </c>
    </row>
    <row r="2501" spans="1:58">
      <c r="A2501" s="4" t="s">
        <v>58</v>
      </c>
      <c r="B2501" s="4" t="s">
        <v>20977</v>
      </c>
      <c r="C2501" s="4" t="s">
        <v>20978</v>
      </c>
      <c r="D2501" s="4" t="s">
        <v>20979</v>
      </c>
      <c r="E2501" s="4" t="s">
        <v>63</v>
      </c>
      <c r="F2501" s="4">
        <v>1980</v>
      </c>
      <c r="G2501" s="4" t="s">
        <v>63</v>
      </c>
      <c r="H2501" s="4">
        <v>9</v>
      </c>
      <c r="I2501" s="4">
        <v>2</v>
      </c>
      <c r="J2501" s="4">
        <v>217</v>
      </c>
      <c r="K2501" s="4">
        <v>225</v>
      </c>
      <c r="L2501" s="4" t="s">
        <v>20980</v>
      </c>
      <c r="M2501" s="4" t="s">
        <v>20981</v>
      </c>
      <c r="N2501" s="4" t="s">
        <v>20982</v>
      </c>
      <c r="O2501" s="4" t="s">
        <v>63</v>
      </c>
      <c r="P2501" s="4"/>
      <c r="Q2501" s="4" t="s">
        <v>63</v>
      </c>
      <c r="R2501" s="4" t="s">
        <v>63</v>
      </c>
      <c r="S2501" s="4" t="s">
        <v>63</v>
      </c>
      <c r="T2501" s="4" t="s">
        <v>63</v>
      </c>
      <c r="U2501" s="4"/>
      <c r="V2501" s="4"/>
      <c r="W2501" s="4"/>
      <c r="X2501" s="4" t="s">
        <v>63</v>
      </c>
      <c r="Y2501" s="4" t="s">
        <v>20983</v>
      </c>
      <c r="Z2501" s="4" t="s">
        <v>63</v>
      </c>
      <c r="AA2501" s="4" t="s">
        <v>63</v>
      </c>
      <c r="AB2501" s="4" t="s">
        <v>20984</v>
      </c>
      <c r="AC2501" s="4" t="s">
        <v>67</v>
      </c>
      <c r="AD2501" s="4" t="s">
        <v>63</v>
      </c>
      <c r="AE2501" s="4" t="s">
        <v>63</v>
      </c>
      <c r="AF2501" s="4" t="s">
        <v>63</v>
      </c>
      <c r="AG2501" s="4" t="s">
        <v>63</v>
      </c>
      <c r="AH2501" s="4" t="s">
        <v>63</v>
      </c>
      <c r="AI2501" s="4" t="s">
        <v>63</v>
      </c>
      <c r="AJ2501" s="4" t="s">
        <v>63</v>
      </c>
      <c r="AK2501" s="4" t="s">
        <v>63</v>
      </c>
      <c r="AL2501" s="4" t="s">
        <v>63</v>
      </c>
      <c r="AM2501" s="4" t="s">
        <v>20978</v>
      </c>
      <c r="AN2501" s="4" t="s">
        <v>63</v>
      </c>
      <c r="AO2501" s="4" t="s">
        <v>63</v>
      </c>
      <c r="AP2501" s="4" t="s">
        <v>63</v>
      </c>
      <c r="AQ2501" s="4" t="s">
        <v>63</v>
      </c>
      <c r="AR2501" s="4" t="s">
        <v>63</v>
      </c>
      <c r="AS2501" s="4" t="s">
        <v>63</v>
      </c>
      <c r="AT2501" s="4" t="s">
        <v>63</v>
      </c>
      <c r="AU2501" s="4" t="s">
        <v>63</v>
      </c>
      <c r="AV2501" s="4" t="s">
        <v>63</v>
      </c>
      <c r="AW2501" s="4" t="s">
        <v>63</v>
      </c>
      <c r="AX2501" s="4" t="s">
        <v>63</v>
      </c>
      <c r="AY2501" s="4" t="s">
        <v>63</v>
      </c>
      <c r="AZ2501" s="4" t="s">
        <v>63</v>
      </c>
      <c r="BA2501" s="4" t="s">
        <v>63</v>
      </c>
      <c r="BB2501" s="4" t="s">
        <v>63</v>
      </c>
      <c r="BC2501" s="4" t="s">
        <v>63</v>
      </c>
      <c r="BD2501" s="4" t="s">
        <v>63</v>
      </c>
      <c r="BE2501" s="4" t="s">
        <v>63</v>
      </c>
      <c r="BF2501" s="4" t="s">
        <v>63</v>
      </c>
    </row>
    <row r="2502" spans="1:58">
      <c r="A2502" s="4" t="s">
        <v>58</v>
      </c>
      <c r="B2502" s="4" t="s">
        <v>20985</v>
      </c>
      <c r="C2502" s="4" t="s">
        <v>20986</v>
      </c>
      <c r="D2502" s="4" t="s">
        <v>20987</v>
      </c>
      <c r="E2502" s="4" t="s">
        <v>20988</v>
      </c>
      <c r="F2502" s="4">
        <v>2004</v>
      </c>
      <c r="G2502" s="4" t="s">
        <v>15665</v>
      </c>
      <c r="H2502" s="4">
        <v>369</v>
      </c>
      <c r="I2502" s="4">
        <v>2</v>
      </c>
      <c r="J2502" s="4">
        <v>184</v>
      </c>
      <c r="K2502" s="4">
        <v>191</v>
      </c>
      <c r="L2502" s="4" t="s">
        <v>20989</v>
      </c>
      <c r="M2502" s="4" t="s">
        <v>20990</v>
      </c>
      <c r="N2502" s="4" t="s">
        <v>20991</v>
      </c>
      <c r="O2502" s="4" t="s">
        <v>63</v>
      </c>
      <c r="P2502" s="4"/>
      <c r="Q2502" s="4" t="s">
        <v>63</v>
      </c>
      <c r="R2502" s="4" t="s">
        <v>63</v>
      </c>
      <c r="S2502" s="4" t="s">
        <v>63</v>
      </c>
      <c r="T2502" s="4" t="s">
        <v>63</v>
      </c>
      <c r="U2502" s="4"/>
      <c r="V2502" s="4"/>
      <c r="W2502" s="4"/>
      <c r="X2502" s="4" t="s">
        <v>63</v>
      </c>
      <c r="Y2502" s="4" t="s">
        <v>20992</v>
      </c>
      <c r="Z2502" s="4" t="s">
        <v>63</v>
      </c>
      <c r="AA2502" s="4" t="s">
        <v>63</v>
      </c>
      <c r="AB2502" s="4">
        <v>2004101322</v>
      </c>
      <c r="AC2502" s="4" t="s">
        <v>67</v>
      </c>
      <c r="AD2502" s="4" t="s">
        <v>63</v>
      </c>
      <c r="AE2502" s="4" t="s">
        <v>63</v>
      </c>
      <c r="AF2502" s="4" t="s">
        <v>63</v>
      </c>
      <c r="AG2502" s="4" t="s">
        <v>20993</v>
      </c>
      <c r="AH2502" s="4" t="s">
        <v>63</v>
      </c>
      <c r="AI2502" s="4" t="s">
        <v>20994</v>
      </c>
      <c r="AJ2502" s="4" t="s">
        <v>63</v>
      </c>
      <c r="AK2502" s="4" t="s">
        <v>63</v>
      </c>
      <c r="AL2502" s="4" t="s">
        <v>63</v>
      </c>
      <c r="AM2502" s="4" t="s">
        <v>20995</v>
      </c>
      <c r="AN2502" s="4" t="s">
        <v>63</v>
      </c>
      <c r="AO2502" s="4" t="s">
        <v>63</v>
      </c>
      <c r="AP2502" s="4" t="s">
        <v>63</v>
      </c>
      <c r="AQ2502" s="4" t="s">
        <v>63</v>
      </c>
      <c r="AR2502" s="4" t="s">
        <v>63</v>
      </c>
      <c r="AS2502" s="4" t="s">
        <v>63</v>
      </c>
      <c r="AT2502" s="4" t="s">
        <v>63</v>
      </c>
      <c r="AU2502" s="4" t="s">
        <v>63</v>
      </c>
      <c r="AV2502" s="4" t="s">
        <v>63</v>
      </c>
      <c r="AW2502" s="4" t="s">
        <v>63</v>
      </c>
      <c r="AX2502" s="4" t="s">
        <v>63</v>
      </c>
      <c r="AY2502" s="4" t="s">
        <v>63</v>
      </c>
      <c r="AZ2502" s="4" t="s">
        <v>63</v>
      </c>
      <c r="BA2502" s="4" t="s">
        <v>63</v>
      </c>
      <c r="BB2502" s="4" t="s">
        <v>63</v>
      </c>
      <c r="BC2502" s="4" t="s">
        <v>63</v>
      </c>
      <c r="BD2502" s="4" t="s">
        <v>63</v>
      </c>
      <c r="BE2502" s="4" t="s">
        <v>63</v>
      </c>
      <c r="BF2502" s="4" t="s">
        <v>63</v>
      </c>
    </row>
    <row r="2503" spans="1:58">
      <c r="A2503" s="4" t="s">
        <v>58</v>
      </c>
      <c r="B2503" s="4" t="s">
        <v>20996</v>
      </c>
      <c r="C2503" s="4" t="s">
        <v>20997</v>
      </c>
      <c r="D2503" s="4" t="s">
        <v>11901</v>
      </c>
      <c r="E2503" s="4" t="s">
        <v>63</v>
      </c>
      <c r="F2503" s="4">
        <v>2014</v>
      </c>
      <c r="G2503" s="4" t="s">
        <v>15508</v>
      </c>
      <c r="H2503" s="4" t="s">
        <v>15509</v>
      </c>
      <c r="I2503" s="4" t="s">
        <v>63</v>
      </c>
      <c r="J2503" s="4" t="s">
        <v>15202</v>
      </c>
      <c r="K2503" s="4" t="s">
        <v>17544</v>
      </c>
      <c r="L2503" s="4" t="s">
        <v>20998</v>
      </c>
      <c r="M2503" s="4" t="s">
        <v>20999</v>
      </c>
      <c r="N2503" s="4" t="s">
        <v>21000</v>
      </c>
      <c r="O2503" s="4" t="s">
        <v>63</v>
      </c>
      <c r="P2503" s="4"/>
      <c r="Q2503" s="4" t="s">
        <v>63</v>
      </c>
      <c r="R2503" s="4" t="s">
        <v>63</v>
      </c>
      <c r="S2503" s="4" t="s">
        <v>63</v>
      </c>
      <c r="T2503" s="4" t="s">
        <v>63</v>
      </c>
      <c r="U2503" s="4"/>
      <c r="V2503" s="4"/>
      <c r="W2503" s="4"/>
      <c r="X2503" s="4" t="s">
        <v>63</v>
      </c>
      <c r="Y2503" s="4" t="s">
        <v>11904</v>
      </c>
      <c r="Z2503" s="4" t="s">
        <v>63</v>
      </c>
      <c r="AA2503" s="4" t="s">
        <v>63</v>
      </c>
      <c r="AB2503" s="4" t="s">
        <v>63</v>
      </c>
      <c r="AC2503" s="4" t="s">
        <v>67</v>
      </c>
      <c r="AD2503" s="4" t="s">
        <v>63</v>
      </c>
      <c r="AE2503" s="4" t="s">
        <v>63</v>
      </c>
      <c r="AF2503" s="4" t="s">
        <v>63</v>
      </c>
      <c r="AG2503" s="4" t="s">
        <v>63</v>
      </c>
      <c r="AH2503" s="4" t="s">
        <v>63</v>
      </c>
      <c r="AI2503" s="4" t="s">
        <v>63</v>
      </c>
      <c r="AJ2503" s="4" t="s">
        <v>63</v>
      </c>
      <c r="AK2503" s="4" t="s">
        <v>63</v>
      </c>
      <c r="AL2503" s="4" t="s">
        <v>63</v>
      </c>
      <c r="AM2503" s="4" t="s">
        <v>20997</v>
      </c>
      <c r="AN2503" s="4" t="s">
        <v>63</v>
      </c>
      <c r="AO2503" s="4" t="s">
        <v>63</v>
      </c>
      <c r="AP2503" s="4" t="s">
        <v>63</v>
      </c>
      <c r="AQ2503" s="4" t="s">
        <v>63</v>
      </c>
      <c r="AR2503" s="4" t="s">
        <v>63</v>
      </c>
      <c r="AS2503" s="4" t="s">
        <v>63</v>
      </c>
      <c r="AT2503" s="4" t="s">
        <v>63</v>
      </c>
      <c r="AU2503" s="4" t="s">
        <v>63</v>
      </c>
      <c r="AV2503" s="4" t="s">
        <v>63</v>
      </c>
      <c r="AW2503" s="4" t="s">
        <v>63</v>
      </c>
      <c r="AX2503" s="4" t="s">
        <v>63</v>
      </c>
      <c r="AY2503" s="4" t="s">
        <v>63</v>
      </c>
      <c r="AZ2503" s="4" t="s">
        <v>63</v>
      </c>
      <c r="BA2503" s="4" t="s">
        <v>63</v>
      </c>
      <c r="BB2503" s="4" t="s">
        <v>63</v>
      </c>
      <c r="BC2503" s="4" t="s">
        <v>63</v>
      </c>
      <c r="BD2503" s="4" t="s">
        <v>63</v>
      </c>
      <c r="BE2503" s="4" t="s">
        <v>63</v>
      </c>
      <c r="BF2503" s="4" t="s">
        <v>63</v>
      </c>
    </row>
    <row r="2504" spans="1:58">
      <c r="A2504" s="4" t="s">
        <v>58</v>
      </c>
      <c r="B2504" s="4" t="s">
        <v>21001</v>
      </c>
      <c r="C2504" s="4" t="s">
        <v>21002</v>
      </c>
      <c r="D2504" s="4" t="s">
        <v>11901</v>
      </c>
      <c r="E2504" s="4" t="s">
        <v>63</v>
      </c>
      <c r="F2504" s="4">
        <v>2015</v>
      </c>
      <c r="G2504" s="4" t="s">
        <v>15508</v>
      </c>
      <c r="H2504" s="4">
        <v>57</v>
      </c>
      <c r="I2504" s="4">
        <v>5</v>
      </c>
      <c r="J2504" s="4" t="s">
        <v>4443</v>
      </c>
      <c r="K2504" s="4" t="s">
        <v>63</v>
      </c>
      <c r="L2504" s="4" t="s">
        <v>21003</v>
      </c>
      <c r="M2504" s="4" t="s">
        <v>21004</v>
      </c>
      <c r="N2504" s="4" t="s">
        <v>21005</v>
      </c>
      <c r="O2504" s="4" t="s">
        <v>63</v>
      </c>
      <c r="P2504" s="4"/>
      <c r="Q2504" s="4" t="s">
        <v>63</v>
      </c>
      <c r="R2504" s="4" t="s">
        <v>63</v>
      </c>
      <c r="S2504" s="4" t="s">
        <v>63</v>
      </c>
      <c r="T2504" s="4" t="s">
        <v>63</v>
      </c>
      <c r="U2504" s="4"/>
      <c r="V2504" s="4"/>
      <c r="W2504" s="4"/>
      <c r="X2504" s="4" t="s">
        <v>63</v>
      </c>
      <c r="Y2504" s="4" t="s">
        <v>11904</v>
      </c>
      <c r="Z2504" s="4" t="s">
        <v>63</v>
      </c>
      <c r="AA2504" s="4" t="s">
        <v>63</v>
      </c>
      <c r="AB2504" s="4" t="s">
        <v>63</v>
      </c>
      <c r="AC2504" s="4" t="s">
        <v>67</v>
      </c>
      <c r="AD2504" s="4" t="s">
        <v>63</v>
      </c>
      <c r="AE2504" s="4" t="s">
        <v>63</v>
      </c>
      <c r="AF2504" s="4" t="s">
        <v>63</v>
      </c>
      <c r="AG2504" s="4" t="s">
        <v>63</v>
      </c>
      <c r="AH2504" s="4" t="s">
        <v>63</v>
      </c>
      <c r="AI2504" s="4" t="s">
        <v>63</v>
      </c>
      <c r="AJ2504" s="4" t="s">
        <v>63</v>
      </c>
      <c r="AK2504" s="4" t="s">
        <v>63</v>
      </c>
      <c r="AL2504" s="4" t="s">
        <v>63</v>
      </c>
      <c r="AM2504" s="4" t="s">
        <v>21002</v>
      </c>
      <c r="AN2504" s="4" t="s">
        <v>63</v>
      </c>
      <c r="AO2504" s="4" t="s">
        <v>63</v>
      </c>
      <c r="AP2504" s="4" t="s">
        <v>63</v>
      </c>
      <c r="AQ2504" s="4" t="s">
        <v>63</v>
      </c>
      <c r="AR2504" s="4" t="s">
        <v>63</v>
      </c>
      <c r="AS2504" s="4" t="s">
        <v>63</v>
      </c>
      <c r="AT2504" s="4" t="s">
        <v>63</v>
      </c>
      <c r="AU2504" s="4" t="s">
        <v>63</v>
      </c>
      <c r="AV2504" s="4" t="s">
        <v>63</v>
      </c>
      <c r="AW2504" s="4" t="s">
        <v>63</v>
      </c>
      <c r="AX2504" s="4" t="s">
        <v>63</v>
      </c>
      <c r="AY2504" s="4" t="s">
        <v>63</v>
      </c>
      <c r="AZ2504" s="4" t="s">
        <v>63</v>
      </c>
      <c r="BA2504" s="4" t="s">
        <v>63</v>
      </c>
      <c r="BB2504" s="4" t="s">
        <v>63</v>
      </c>
      <c r="BC2504" s="4" t="s">
        <v>63</v>
      </c>
      <c r="BD2504" s="4" t="s">
        <v>63</v>
      </c>
      <c r="BE2504" s="4" t="s">
        <v>63</v>
      </c>
      <c r="BF2504" s="4" t="s">
        <v>63</v>
      </c>
    </row>
    <row r="2505" spans="1:58">
      <c r="A2505" s="4" t="s">
        <v>58</v>
      </c>
      <c r="B2505" s="4" t="s">
        <v>21006</v>
      </c>
      <c r="C2505" s="4" t="s">
        <v>21007</v>
      </c>
      <c r="D2505" s="4" t="s">
        <v>2353</v>
      </c>
      <c r="E2505" s="4" t="s">
        <v>2354</v>
      </c>
      <c r="F2505" s="4">
        <v>2013</v>
      </c>
      <c r="G2505" s="4" t="s">
        <v>15472</v>
      </c>
      <c r="H2505" s="4">
        <v>45</v>
      </c>
      <c r="I2505" s="4">
        <v>3</v>
      </c>
      <c r="J2505" s="4">
        <v>306</v>
      </c>
      <c r="K2505" s="4">
        <v>312</v>
      </c>
      <c r="L2505" s="4" t="s">
        <v>21008</v>
      </c>
      <c r="M2505" s="4" t="s">
        <v>21009</v>
      </c>
      <c r="N2505" s="4" t="s">
        <v>21010</v>
      </c>
      <c r="O2505" s="4" t="s">
        <v>63</v>
      </c>
      <c r="P2505" s="4"/>
      <c r="Q2505" s="4" t="s">
        <v>63</v>
      </c>
      <c r="R2505" s="4" t="s">
        <v>63</v>
      </c>
      <c r="S2505" s="4" t="s">
        <v>63</v>
      </c>
      <c r="T2505" s="4" t="s">
        <v>63</v>
      </c>
      <c r="U2505" s="4"/>
      <c r="V2505" s="4"/>
      <c r="W2505" s="4"/>
      <c r="X2505" s="4" t="s">
        <v>63</v>
      </c>
      <c r="Y2505" s="4" t="s">
        <v>21011</v>
      </c>
      <c r="Z2505" s="4" t="s">
        <v>63</v>
      </c>
      <c r="AA2505" s="4" t="s">
        <v>63</v>
      </c>
      <c r="AB2505" s="4">
        <v>2013453396</v>
      </c>
      <c r="AC2505" s="4" t="s">
        <v>67</v>
      </c>
      <c r="AD2505" s="4" t="s">
        <v>63</v>
      </c>
      <c r="AE2505" s="4" t="s">
        <v>63</v>
      </c>
      <c r="AF2505" s="4" t="s">
        <v>63</v>
      </c>
      <c r="AG2505" s="4" t="s">
        <v>21012</v>
      </c>
      <c r="AH2505" s="4" t="s">
        <v>63</v>
      </c>
      <c r="AI2505" s="4" t="s">
        <v>21013</v>
      </c>
      <c r="AJ2505" s="4" t="s">
        <v>63</v>
      </c>
      <c r="AK2505" s="4" t="s">
        <v>63</v>
      </c>
      <c r="AL2505" s="4" t="s">
        <v>63</v>
      </c>
      <c r="AM2505" s="4" t="s">
        <v>21014</v>
      </c>
      <c r="AN2505" s="4" t="s">
        <v>63</v>
      </c>
      <c r="AO2505" s="4" t="s">
        <v>63</v>
      </c>
      <c r="AP2505" s="4" t="s">
        <v>63</v>
      </c>
      <c r="AQ2505" s="4" t="s">
        <v>63</v>
      </c>
      <c r="AR2505" s="4" t="s">
        <v>63</v>
      </c>
      <c r="AS2505" s="4" t="s">
        <v>63</v>
      </c>
      <c r="AT2505" s="4" t="s">
        <v>63</v>
      </c>
      <c r="AU2505" s="4" t="s">
        <v>63</v>
      </c>
      <c r="AV2505" s="4" t="s">
        <v>63</v>
      </c>
      <c r="AW2505" s="4" t="s">
        <v>63</v>
      </c>
      <c r="AX2505" s="4" t="s">
        <v>63</v>
      </c>
      <c r="AY2505" s="4" t="s">
        <v>63</v>
      </c>
      <c r="AZ2505" s="4" t="s">
        <v>63</v>
      </c>
      <c r="BA2505" s="4" t="s">
        <v>63</v>
      </c>
      <c r="BB2505" s="4" t="s">
        <v>63</v>
      </c>
      <c r="BC2505" s="4" t="s">
        <v>63</v>
      </c>
      <c r="BD2505" s="4" t="s">
        <v>63</v>
      </c>
      <c r="BE2505" s="4" t="s">
        <v>63</v>
      </c>
      <c r="BF2505" s="4" t="s">
        <v>63</v>
      </c>
    </row>
    <row r="2506" spans="1:58">
      <c r="A2506" s="4" t="s">
        <v>58</v>
      </c>
      <c r="B2506" s="4" t="s">
        <v>21015</v>
      </c>
      <c r="C2506" s="4" t="s">
        <v>21016</v>
      </c>
      <c r="D2506" s="4" t="s">
        <v>15482</v>
      </c>
      <c r="E2506" s="4" t="s">
        <v>63</v>
      </c>
      <c r="F2506" s="4">
        <v>2012</v>
      </c>
      <c r="G2506" s="4" t="s">
        <v>15472</v>
      </c>
      <c r="H2506" s="4" t="s">
        <v>15500</v>
      </c>
      <c r="I2506" s="4" t="s">
        <v>63</v>
      </c>
      <c r="J2506" s="4" t="s">
        <v>21017</v>
      </c>
      <c r="K2506" s="4" t="s">
        <v>63</v>
      </c>
      <c r="L2506" s="4" t="s">
        <v>21018</v>
      </c>
      <c r="M2506" s="4" t="s">
        <v>21019</v>
      </c>
      <c r="N2506" s="4" t="s">
        <v>21020</v>
      </c>
      <c r="O2506" s="4" t="s">
        <v>63</v>
      </c>
      <c r="P2506" s="4"/>
      <c r="Q2506" s="4" t="s">
        <v>63</v>
      </c>
      <c r="R2506" s="4" t="s">
        <v>63</v>
      </c>
      <c r="S2506" s="4" t="s">
        <v>63</v>
      </c>
      <c r="T2506" s="4" t="s">
        <v>63</v>
      </c>
      <c r="U2506" s="4"/>
      <c r="V2506" s="4"/>
      <c r="W2506" s="4"/>
      <c r="X2506" s="4" t="s">
        <v>63</v>
      </c>
      <c r="Y2506" s="4" t="s">
        <v>4853</v>
      </c>
      <c r="Z2506" s="4" t="s">
        <v>63</v>
      </c>
      <c r="AA2506" s="4" t="s">
        <v>63</v>
      </c>
      <c r="AB2506" s="4" t="s">
        <v>63</v>
      </c>
      <c r="AC2506" s="4" t="s">
        <v>67</v>
      </c>
      <c r="AD2506" s="4" t="s">
        <v>63</v>
      </c>
      <c r="AE2506" s="4" t="s">
        <v>63</v>
      </c>
      <c r="AF2506" s="4" t="s">
        <v>63</v>
      </c>
      <c r="AG2506" s="4" t="s">
        <v>63</v>
      </c>
      <c r="AH2506" s="4" t="s">
        <v>63</v>
      </c>
      <c r="AI2506" s="4" t="s">
        <v>15505</v>
      </c>
      <c r="AJ2506" s="4" t="s">
        <v>63</v>
      </c>
      <c r="AK2506" s="4" t="s">
        <v>63</v>
      </c>
      <c r="AL2506" s="4" t="s">
        <v>63</v>
      </c>
      <c r="AM2506" s="4" t="s">
        <v>21016</v>
      </c>
      <c r="AN2506" s="4" t="s">
        <v>63</v>
      </c>
      <c r="AO2506" s="4" t="s">
        <v>63</v>
      </c>
      <c r="AP2506" s="4" t="s">
        <v>63</v>
      </c>
      <c r="AQ2506" s="4" t="s">
        <v>63</v>
      </c>
      <c r="AR2506" s="4" t="s">
        <v>63</v>
      </c>
      <c r="AS2506" s="4" t="s">
        <v>63</v>
      </c>
      <c r="AT2506" s="4" t="s">
        <v>63</v>
      </c>
      <c r="AU2506" s="4" t="s">
        <v>63</v>
      </c>
      <c r="AV2506" s="4" t="s">
        <v>63</v>
      </c>
      <c r="AW2506" s="4" t="s">
        <v>63</v>
      </c>
      <c r="AX2506" s="4" t="s">
        <v>63</v>
      </c>
      <c r="AY2506" s="4" t="s">
        <v>63</v>
      </c>
      <c r="AZ2506" s="4" t="s">
        <v>63</v>
      </c>
      <c r="BA2506" s="4" t="s">
        <v>63</v>
      </c>
      <c r="BB2506" s="4" t="s">
        <v>63</v>
      </c>
      <c r="BC2506" s="4" t="s">
        <v>63</v>
      </c>
      <c r="BD2506" s="4" t="s">
        <v>63</v>
      </c>
      <c r="BE2506" s="4" t="s">
        <v>63</v>
      </c>
      <c r="BF2506" s="4" t="s">
        <v>63</v>
      </c>
    </row>
    <row r="2507" spans="1:58">
      <c r="A2507" s="4" t="s">
        <v>58</v>
      </c>
      <c r="B2507" s="4" t="s">
        <v>21021</v>
      </c>
      <c r="C2507" s="4" t="s">
        <v>21022</v>
      </c>
      <c r="D2507" s="4" t="s">
        <v>21023</v>
      </c>
      <c r="E2507" s="4" t="s">
        <v>63</v>
      </c>
      <c r="F2507" s="4">
        <v>2012</v>
      </c>
      <c r="G2507" s="4" t="s">
        <v>63</v>
      </c>
      <c r="H2507" s="4">
        <v>21</v>
      </c>
      <c r="I2507" s="4">
        <v>7</v>
      </c>
      <c r="J2507" s="4">
        <v>915</v>
      </c>
      <c r="K2507" s="4">
        <v>922</v>
      </c>
      <c r="L2507" s="4" t="s">
        <v>21024</v>
      </c>
      <c r="M2507" s="4" t="s">
        <v>21025</v>
      </c>
      <c r="N2507" s="4" t="s">
        <v>21026</v>
      </c>
      <c r="O2507" s="4" t="s">
        <v>63</v>
      </c>
      <c r="P2507" s="4"/>
      <c r="Q2507" s="4" t="s">
        <v>63</v>
      </c>
      <c r="R2507" s="4" t="s">
        <v>63</v>
      </c>
      <c r="S2507" s="4" t="s">
        <v>63</v>
      </c>
      <c r="T2507" s="4" t="s">
        <v>63</v>
      </c>
      <c r="U2507" s="4"/>
      <c r="V2507" s="4"/>
      <c r="W2507" s="4"/>
      <c r="X2507" s="4" t="s">
        <v>63</v>
      </c>
      <c r="Y2507" s="4" t="s">
        <v>21027</v>
      </c>
      <c r="Z2507" s="4" t="s">
        <v>63</v>
      </c>
      <c r="AA2507" s="4" t="s">
        <v>63</v>
      </c>
      <c r="AB2507" s="4" t="s">
        <v>21028</v>
      </c>
      <c r="AC2507" s="4" t="s">
        <v>67</v>
      </c>
      <c r="AD2507" s="4" t="s">
        <v>63</v>
      </c>
      <c r="AE2507" s="4" t="s">
        <v>63</v>
      </c>
      <c r="AF2507" s="4" t="s">
        <v>63</v>
      </c>
      <c r="AG2507" s="4" t="s">
        <v>63</v>
      </c>
      <c r="AH2507" s="4" t="s">
        <v>63</v>
      </c>
      <c r="AI2507" s="4" t="s">
        <v>21029</v>
      </c>
      <c r="AJ2507" s="4" t="s">
        <v>63</v>
      </c>
      <c r="AK2507" s="4" t="s">
        <v>63</v>
      </c>
      <c r="AL2507" s="4" t="s">
        <v>63</v>
      </c>
      <c r="AM2507" s="4" t="s">
        <v>21022</v>
      </c>
      <c r="AN2507" s="4" t="s">
        <v>63</v>
      </c>
      <c r="AO2507" s="4" t="s">
        <v>63</v>
      </c>
      <c r="AP2507" s="4" t="s">
        <v>63</v>
      </c>
      <c r="AQ2507" s="4" t="s">
        <v>63</v>
      </c>
      <c r="AR2507" s="4" t="s">
        <v>63</v>
      </c>
      <c r="AS2507" s="4" t="s">
        <v>63</v>
      </c>
      <c r="AT2507" s="4" t="s">
        <v>63</v>
      </c>
      <c r="AU2507" s="4" t="s">
        <v>63</v>
      </c>
      <c r="AV2507" s="4" t="s">
        <v>63</v>
      </c>
      <c r="AW2507" s="4" t="s">
        <v>63</v>
      </c>
      <c r="AX2507" s="4" t="s">
        <v>63</v>
      </c>
      <c r="AY2507" s="4" t="s">
        <v>63</v>
      </c>
      <c r="AZ2507" s="4" t="s">
        <v>63</v>
      </c>
      <c r="BA2507" s="4" t="s">
        <v>63</v>
      </c>
      <c r="BB2507" s="4" t="s">
        <v>63</v>
      </c>
      <c r="BC2507" s="4" t="s">
        <v>63</v>
      </c>
      <c r="BD2507" s="4" t="s">
        <v>63</v>
      </c>
      <c r="BE2507" s="4" t="s">
        <v>63</v>
      </c>
      <c r="BF2507" s="4" t="s">
        <v>63</v>
      </c>
    </row>
    <row r="2508" spans="1:58">
      <c r="A2508" s="4" t="s">
        <v>58</v>
      </c>
      <c r="B2508" s="4" t="s">
        <v>21030</v>
      </c>
      <c r="C2508" s="4" t="s">
        <v>21031</v>
      </c>
      <c r="D2508" s="4" t="s">
        <v>18365</v>
      </c>
      <c r="E2508" s="4" t="s">
        <v>63</v>
      </c>
      <c r="F2508" s="4">
        <v>2009</v>
      </c>
      <c r="G2508" s="4" t="s">
        <v>63</v>
      </c>
      <c r="H2508" s="4">
        <v>11</v>
      </c>
      <c r="I2508" s="4">
        <v>1</v>
      </c>
      <c r="J2508" s="4">
        <v>92</v>
      </c>
      <c r="K2508" s="4">
        <v>98</v>
      </c>
      <c r="L2508" s="4" t="s">
        <v>21032</v>
      </c>
      <c r="M2508" s="4" t="s">
        <v>21033</v>
      </c>
      <c r="N2508" s="4" t="s">
        <v>21034</v>
      </c>
      <c r="O2508" s="4" t="s">
        <v>63</v>
      </c>
      <c r="P2508" s="4"/>
      <c r="Q2508" s="4" t="s">
        <v>63</v>
      </c>
      <c r="R2508" s="4" t="s">
        <v>63</v>
      </c>
      <c r="S2508" s="4" t="s">
        <v>63</v>
      </c>
      <c r="T2508" s="4" t="s">
        <v>63</v>
      </c>
      <c r="U2508" s="4"/>
      <c r="V2508" s="4"/>
      <c r="W2508" s="4"/>
      <c r="X2508" s="4" t="s">
        <v>63</v>
      </c>
      <c r="Y2508" s="4" t="s">
        <v>18369</v>
      </c>
      <c r="Z2508" s="4" t="s">
        <v>63</v>
      </c>
      <c r="AA2508" s="4" t="s">
        <v>63</v>
      </c>
      <c r="AB2508" s="4">
        <v>2009168953</v>
      </c>
      <c r="AC2508" s="4" t="s">
        <v>67</v>
      </c>
      <c r="AD2508" s="4" t="s">
        <v>63</v>
      </c>
      <c r="AE2508" s="4" t="s">
        <v>63</v>
      </c>
      <c r="AF2508" s="4" t="s">
        <v>63</v>
      </c>
      <c r="AG2508" s="4" t="s">
        <v>21035</v>
      </c>
      <c r="AH2508" s="4" t="s">
        <v>63</v>
      </c>
      <c r="AI2508" s="4" t="s">
        <v>21036</v>
      </c>
      <c r="AJ2508" s="4" t="s">
        <v>63</v>
      </c>
      <c r="AK2508" s="4" t="s">
        <v>63</v>
      </c>
      <c r="AL2508" s="4" t="s">
        <v>63</v>
      </c>
      <c r="AM2508" s="4" t="s">
        <v>21037</v>
      </c>
      <c r="AN2508" s="4" t="s">
        <v>63</v>
      </c>
      <c r="AO2508" s="4" t="s">
        <v>63</v>
      </c>
      <c r="AP2508" s="4" t="s">
        <v>63</v>
      </c>
      <c r="AQ2508" s="4" t="s">
        <v>63</v>
      </c>
      <c r="AR2508" s="4" t="s">
        <v>63</v>
      </c>
      <c r="AS2508" s="4" t="s">
        <v>63</v>
      </c>
      <c r="AT2508" s="4" t="s">
        <v>63</v>
      </c>
      <c r="AU2508" s="4" t="s">
        <v>63</v>
      </c>
      <c r="AV2508" s="4" t="s">
        <v>63</v>
      </c>
      <c r="AW2508" s="4" t="s">
        <v>63</v>
      </c>
      <c r="AX2508" s="4" t="s">
        <v>63</v>
      </c>
      <c r="AY2508" s="4" t="s">
        <v>63</v>
      </c>
      <c r="AZ2508" s="4" t="s">
        <v>63</v>
      </c>
      <c r="BA2508" s="4" t="s">
        <v>63</v>
      </c>
      <c r="BB2508" s="4" t="s">
        <v>63</v>
      </c>
      <c r="BC2508" s="4" t="s">
        <v>63</v>
      </c>
      <c r="BD2508" s="4" t="s">
        <v>63</v>
      </c>
      <c r="BE2508" s="4" t="s">
        <v>63</v>
      </c>
      <c r="BF2508" s="4" t="s">
        <v>63</v>
      </c>
    </row>
    <row r="2509" spans="1:58">
      <c r="A2509" s="4" t="s">
        <v>58</v>
      </c>
      <c r="B2509" s="4" t="s">
        <v>21038</v>
      </c>
      <c r="C2509" s="4" t="s">
        <v>21039</v>
      </c>
      <c r="D2509" s="4" t="s">
        <v>325</v>
      </c>
      <c r="E2509" s="4" t="s">
        <v>63</v>
      </c>
      <c r="F2509" s="4">
        <v>2007</v>
      </c>
      <c r="G2509" s="4" t="s">
        <v>16724</v>
      </c>
      <c r="H2509" s="4">
        <v>31</v>
      </c>
      <c r="I2509" s="4">
        <v>2</v>
      </c>
      <c r="J2509" s="4">
        <v>122</v>
      </c>
      <c r="K2509" s="4">
        <v>124</v>
      </c>
      <c r="L2509" s="4" t="s">
        <v>21040</v>
      </c>
      <c r="M2509" s="4" t="s">
        <v>63</v>
      </c>
      <c r="N2509" s="4" t="s">
        <v>21041</v>
      </c>
      <c r="O2509" s="4" t="s">
        <v>63</v>
      </c>
      <c r="P2509" s="4"/>
      <c r="Q2509" s="4" t="s">
        <v>63</v>
      </c>
      <c r="R2509" s="4" t="s">
        <v>63</v>
      </c>
      <c r="S2509" s="4" t="s">
        <v>63</v>
      </c>
      <c r="T2509" s="4" t="s">
        <v>63</v>
      </c>
      <c r="U2509" s="4"/>
      <c r="V2509" s="4"/>
      <c r="W2509" s="4"/>
      <c r="X2509" s="4" t="s">
        <v>63</v>
      </c>
      <c r="Y2509" s="4" t="s">
        <v>866</v>
      </c>
      <c r="Z2509" s="4" t="s">
        <v>63</v>
      </c>
      <c r="AA2509" s="4" t="s">
        <v>63</v>
      </c>
      <c r="AB2509" s="4">
        <v>2008473227</v>
      </c>
      <c r="AC2509" s="4" t="s">
        <v>67</v>
      </c>
      <c r="AD2509" s="4" t="s">
        <v>63</v>
      </c>
      <c r="AE2509" s="4" t="s">
        <v>63</v>
      </c>
      <c r="AF2509" s="4" t="s">
        <v>63</v>
      </c>
      <c r="AG2509" s="4" t="s">
        <v>21042</v>
      </c>
      <c r="AH2509" s="4" t="s">
        <v>63</v>
      </c>
      <c r="AI2509" s="4" t="s">
        <v>21043</v>
      </c>
      <c r="AJ2509" s="4" t="s">
        <v>63</v>
      </c>
      <c r="AK2509" s="4" t="s">
        <v>63</v>
      </c>
      <c r="AL2509" s="4" t="s">
        <v>63</v>
      </c>
      <c r="AM2509" s="4" t="s">
        <v>21044</v>
      </c>
      <c r="AN2509" s="4" t="s">
        <v>63</v>
      </c>
      <c r="AO2509" s="4" t="s">
        <v>63</v>
      </c>
      <c r="AP2509" s="4" t="s">
        <v>63</v>
      </c>
      <c r="AQ2509" s="4" t="s">
        <v>63</v>
      </c>
      <c r="AR2509" s="4" t="s">
        <v>63</v>
      </c>
      <c r="AS2509" s="4" t="s">
        <v>63</v>
      </c>
      <c r="AT2509" s="4" t="s">
        <v>63</v>
      </c>
      <c r="AU2509" s="4" t="s">
        <v>63</v>
      </c>
      <c r="AV2509" s="4" t="s">
        <v>63</v>
      </c>
      <c r="AW2509" s="4" t="s">
        <v>63</v>
      </c>
      <c r="AX2509" s="4" t="s">
        <v>63</v>
      </c>
      <c r="AY2509" s="4" t="s">
        <v>63</v>
      </c>
      <c r="AZ2509" s="4" t="s">
        <v>63</v>
      </c>
      <c r="BA2509" s="4" t="s">
        <v>63</v>
      </c>
      <c r="BB2509" s="4" t="s">
        <v>63</v>
      </c>
      <c r="BC2509" s="4" t="s">
        <v>63</v>
      </c>
      <c r="BD2509" s="4" t="s">
        <v>63</v>
      </c>
      <c r="BE2509" s="4" t="s">
        <v>63</v>
      </c>
      <c r="BF2509" s="4" t="s">
        <v>63</v>
      </c>
    </row>
    <row r="2510" spans="1:58">
      <c r="A2510" s="4" t="s">
        <v>58</v>
      </c>
      <c r="B2510" s="4" t="s">
        <v>21045</v>
      </c>
      <c r="C2510" s="4" t="s">
        <v>21046</v>
      </c>
      <c r="D2510" s="4" t="s">
        <v>13410</v>
      </c>
      <c r="E2510" s="4" t="s">
        <v>13411</v>
      </c>
      <c r="F2510" s="4">
        <v>2008</v>
      </c>
      <c r="G2510" s="4" t="s">
        <v>21047</v>
      </c>
      <c r="H2510" s="4">
        <v>21</v>
      </c>
      <c r="I2510" s="4">
        <v>5</v>
      </c>
      <c r="J2510" s="4">
        <v>261</v>
      </c>
      <c r="K2510" s="4" t="s">
        <v>63</v>
      </c>
      <c r="L2510" s="4" t="s">
        <v>21048</v>
      </c>
      <c r="M2510" s="4" t="s">
        <v>63</v>
      </c>
      <c r="N2510" s="4" t="s">
        <v>21049</v>
      </c>
      <c r="O2510" s="4" t="s">
        <v>63</v>
      </c>
      <c r="P2510" s="4"/>
      <c r="Q2510" s="4" t="s">
        <v>63</v>
      </c>
      <c r="R2510" s="4" t="s">
        <v>63</v>
      </c>
      <c r="S2510" s="4" t="s">
        <v>63</v>
      </c>
      <c r="T2510" s="4" t="s">
        <v>63</v>
      </c>
      <c r="U2510" s="4"/>
      <c r="V2510" s="4"/>
      <c r="W2510" s="4"/>
      <c r="X2510" s="4" t="s">
        <v>63</v>
      </c>
      <c r="Y2510" s="4" t="s">
        <v>13415</v>
      </c>
      <c r="Z2510" s="4" t="s">
        <v>63</v>
      </c>
      <c r="AA2510" s="4" t="s">
        <v>63</v>
      </c>
      <c r="AB2510" s="4">
        <v>2009092562</v>
      </c>
      <c r="AC2510" s="4" t="s">
        <v>67</v>
      </c>
      <c r="AD2510" s="4" t="s">
        <v>63</v>
      </c>
      <c r="AE2510" s="4" t="s">
        <v>63</v>
      </c>
      <c r="AF2510" s="4" t="s">
        <v>63</v>
      </c>
      <c r="AG2510" s="4" t="s">
        <v>21050</v>
      </c>
      <c r="AH2510" s="4" t="s">
        <v>63</v>
      </c>
      <c r="AI2510" s="4" t="s">
        <v>63</v>
      </c>
      <c r="AJ2510" s="4" t="s">
        <v>63</v>
      </c>
      <c r="AK2510" s="4" t="s">
        <v>63</v>
      </c>
      <c r="AL2510" s="4" t="s">
        <v>63</v>
      </c>
      <c r="AM2510" s="4" t="s">
        <v>21051</v>
      </c>
      <c r="AN2510" s="4" t="s">
        <v>63</v>
      </c>
      <c r="AO2510" s="4" t="s">
        <v>63</v>
      </c>
      <c r="AP2510" s="4" t="s">
        <v>63</v>
      </c>
      <c r="AQ2510" s="4" t="s">
        <v>63</v>
      </c>
      <c r="AR2510" s="4" t="s">
        <v>63</v>
      </c>
      <c r="AS2510" s="4" t="s">
        <v>63</v>
      </c>
      <c r="AT2510" s="4" t="s">
        <v>63</v>
      </c>
      <c r="AU2510" s="4" t="s">
        <v>63</v>
      </c>
      <c r="AV2510" s="4" t="s">
        <v>63</v>
      </c>
      <c r="AW2510" s="4" t="s">
        <v>63</v>
      </c>
      <c r="AX2510" s="4" t="s">
        <v>63</v>
      </c>
      <c r="AY2510" s="4" t="s">
        <v>63</v>
      </c>
      <c r="AZ2510" s="4" t="s">
        <v>63</v>
      </c>
      <c r="BA2510" s="4" t="s">
        <v>63</v>
      </c>
      <c r="BB2510" s="4" t="s">
        <v>63</v>
      </c>
      <c r="BC2510" s="4" t="s">
        <v>63</v>
      </c>
      <c r="BD2510" s="4" t="s">
        <v>63</v>
      </c>
      <c r="BE2510" s="4" t="s">
        <v>63</v>
      </c>
      <c r="BF2510" s="4" t="s">
        <v>63</v>
      </c>
    </row>
    <row r="2511" spans="1:58">
      <c r="A2511" s="4" t="s">
        <v>58</v>
      </c>
      <c r="B2511" s="4" t="s">
        <v>21052</v>
      </c>
      <c r="C2511" s="4" t="s">
        <v>21053</v>
      </c>
      <c r="D2511" s="4" t="s">
        <v>21054</v>
      </c>
      <c r="E2511" s="4" t="s">
        <v>63</v>
      </c>
      <c r="F2511" s="4">
        <v>2006</v>
      </c>
      <c r="G2511" s="4" t="s">
        <v>63</v>
      </c>
      <c r="H2511" s="4">
        <v>18</v>
      </c>
      <c r="I2511" s="4">
        <v>6</v>
      </c>
      <c r="J2511" s="4">
        <v>559</v>
      </c>
      <c r="K2511" s="4">
        <v>563</v>
      </c>
      <c r="L2511" s="4" t="s">
        <v>21055</v>
      </c>
      <c r="M2511" s="4" t="s">
        <v>21056</v>
      </c>
      <c r="N2511" s="4" t="s">
        <v>21057</v>
      </c>
      <c r="O2511" s="4" t="s">
        <v>63</v>
      </c>
      <c r="P2511" s="4"/>
      <c r="Q2511" s="4" t="s">
        <v>63</v>
      </c>
      <c r="R2511" s="4" t="s">
        <v>63</v>
      </c>
      <c r="S2511" s="4" t="s">
        <v>63</v>
      </c>
      <c r="T2511" s="4" t="s">
        <v>63</v>
      </c>
      <c r="U2511" s="4"/>
      <c r="V2511" s="4"/>
      <c r="W2511" s="4"/>
      <c r="X2511" s="4" t="s">
        <v>63</v>
      </c>
      <c r="Y2511" s="4" t="s">
        <v>21058</v>
      </c>
      <c r="Z2511" s="4" t="s">
        <v>63</v>
      </c>
      <c r="AA2511" s="4" t="s">
        <v>63</v>
      </c>
      <c r="AB2511" s="4" t="s">
        <v>63</v>
      </c>
      <c r="AC2511" s="4" t="s">
        <v>4823</v>
      </c>
      <c r="AD2511" s="4" t="s">
        <v>63</v>
      </c>
      <c r="AE2511" s="4" t="s">
        <v>63</v>
      </c>
      <c r="AF2511" s="4" t="s">
        <v>63</v>
      </c>
      <c r="AG2511" s="4" t="s">
        <v>21059</v>
      </c>
      <c r="AH2511" s="4" t="s">
        <v>63</v>
      </c>
      <c r="AI2511" s="4" t="s">
        <v>63</v>
      </c>
      <c r="AJ2511" s="4" t="s">
        <v>63</v>
      </c>
      <c r="AK2511" s="4" t="s">
        <v>63</v>
      </c>
      <c r="AL2511" s="4" t="s">
        <v>63</v>
      </c>
      <c r="AM2511" s="4" t="s">
        <v>21060</v>
      </c>
      <c r="AN2511" s="4" t="s">
        <v>63</v>
      </c>
      <c r="AO2511" s="4" t="s">
        <v>63</v>
      </c>
      <c r="AP2511" s="4" t="s">
        <v>63</v>
      </c>
      <c r="AQ2511" s="4" t="s">
        <v>63</v>
      </c>
      <c r="AR2511" s="4" t="s">
        <v>63</v>
      </c>
      <c r="AS2511" s="4" t="s">
        <v>63</v>
      </c>
      <c r="AT2511" s="4" t="s">
        <v>63</v>
      </c>
      <c r="AU2511" s="4" t="s">
        <v>63</v>
      </c>
      <c r="AV2511" s="4" t="s">
        <v>63</v>
      </c>
      <c r="AW2511" s="4" t="s">
        <v>63</v>
      </c>
      <c r="AX2511" s="4" t="s">
        <v>63</v>
      </c>
      <c r="AY2511" s="4" t="s">
        <v>63</v>
      </c>
      <c r="AZ2511" s="4" t="s">
        <v>63</v>
      </c>
      <c r="BA2511" s="4" t="s">
        <v>63</v>
      </c>
      <c r="BB2511" s="4" t="s">
        <v>63</v>
      </c>
      <c r="BC2511" s="4" t="s">
        <v>63</v>
      </c>
      <c r="BD2511" s="4" t="s">
        <v>63</v>
      </c>
      <c r="BE2511" s="4" t="s">
        <v>63</v>
      </c>
      <c r="BF2511" s="4" t="s">
        <v>63</v>
      </c>
    </row>
    <row r="2512" spans="1:58">
      <c r="A2512" s="4" t="s">
        <v>58</v>
      </c>
      <c r="B2512" s="4" t="s">
        <v>21061</v>
      </c>
      <c r="C2512" s="4" t="s">
        <v>21062</v>
      </c>
      <c r="D2512" s="4" t="s">
        <v>15672</v>
      </c>
      <c r="E2512" s="4" t="s">
        <v>15672</v>
      </c>
      <c r="F2512" s="4">
        <v>2010</v>
      </c>
      <c r="G2512" s="4" t="s">
        <v>189</v>
      </c>
      <c r="H2512" s="4">
        <v>138</v>
      </c>
      <c r="I2512" s="4">
        <v>5</v>
      </c>
      <c r="J2512" s="4" t="s">
        <v>13839</v>
      </c>
      <c r="K2512" s="4" t="s">
        <v>21063</v>
      </c>
      <c r="L2512" s="4" t="s">
        <v>21064</v>
      </c>
      <c r="M2512" s="4" t="s">
        <v>21065</v>
      </c>
      <c r="N2512" s="4" t="s">
        <v>21066</v>
      </c>
      <c r="O2512" s="4" t="s">
        <v>63</v>
      </c>
      <c r="P2512" s="4"/>
      <c r="Q2512" s="4" t="s">
        <v>63</v>
      </c>
      <c r="R2512" s="4" t="s">
        <v>63</v>
      </c>
      <c r="S2512" s="4" t="s">
        <v>63</v>
      </c>
      <c r="T2512" s="4" t="s">
        <v>63</v>
      </c>
      <c r="U2512" s="4"/>
      <c r="V2512" s="4"/>
      <c r="W2512" s="4"/>
      <c r="X2512" s="4" t="s">
        <v>63</v>
      </c>
      <c r="Y2512" s="4" t="s">
        <v>15677</v>
      </c>
      <c r="Z2512" s="4" t="s">
        <v>63</v>
      </c>
      <c r="AA2512" s="4" t="s">
        <v>63</v>
      </c>
      <c r="AB2512" s="4" t="s">
        <v>63</v>
      </c>
      <c r="AC2512" s="4" t="s">
        <v>67</v>
      </c>
      <c r="AD2512" s="4" t="s">
        <v>63</v>
      </c>
      <c r="AE2512" s="4" t="s">
        <v>63</v>
      </c>
      <c r="AF2512" s="4" t="s">
        <v>63</v>
      </c>
      <c r="AG2512" s="4" t="s">
        <v>63</v>
      </c>
      <c r="AH2512" s="4" t="s">
        <v>63</v>
      </c>
      <c r="AI2512" s="4" t="s">
        <v>63</v>
      </c>
      <c r="AJ2512" s="4" t="s">
        <v>63</v>
      </c>
      <c r="AK2512" s="4" t="s">
        <v>63</v>
      </c>
      <c r="AL2512" s="4" t="s">
        <v>63</v>
      </c>
      <c r="AM2512" s="4" t="s">
        <v>21062</v>
      </c>
      <c r="AN2512" s="4" t="s">
        <v>63</v>
      </c>
      <c r="AO2512" s="4" t="s">
        <v>63</v>
      </c>
      <c r="AP2512" s="4" t="s">
        <v>63</v>
      </c>
      <c r="AQ2512" s="4" t="s">
        <v>63</v>
      </c>
      <c r="AR2512" s="4" t="s">
        <v>63</v>
      </c>
      <c r="AS2512" s="4" t="s">
        <v>63</v>
      </c>
      <c r="AT2512" s="4" t="s">
        <v>63</v>
      </c>
      <c r="AU2512" s="4" t="s">
        <v>63</v>
      </c>
      <c r="AV2512" s="4" t="s">
        <v>63</v>
      </c>
      <c r="AW2512" s="4" t="s">
        <v>63</v>
      </c>
      <c r="AX2512" s="4" t="s">
        <v>63</v>
      </c>
      <c r="AY2512" s="4" t="s">
        <v>63</v>
      </c>
      <c r="AZ2512" s="4" t="s">
        <v>63</v>
      </c>
      <c r="BA2512" s="4" t="s">
        <v>63</v>
      </c>
      <c r="BB2512" s="4" t="s">
        <v>63</v>
      </c>
      <c r="BC2512" s="4" t="s">
        <v>63</v>
      </c>
      <c r="BD2512" s="4" t="s">
        <v>63</v>
      </c>
      <c r="BE2512" s="4" t="s">
        <v>63</v>
      </c>
      <c r="BF2512" s="4" t="s">
        <v>63</v>
      </c>
    </row>
    <row r="2513" spans="1:58">
      <c r="A2513" s="4" t="s">
        <v>58</v>
      </c>
      <c r="B2513" s="4" t="s">
        <v>21067</v>
      </c>
      <c r="C2513" s="4" t="s">
        <v>21068</v>
      </c>
      <c r="D2513" s="4" t="s">
        <v>21069</v>
      </c>
      <c r="E2513" s="4" t="s">
        <v>63</v>
      </c>
      <c r="F2513" s="4">
        <v>2015</v>
      </c>
      <c r="G2513" s="4" t="s">
        <v>63</v>
      </c>
      <c r="H2513" s="4" t="s">
        <v>21070</v>
      </c>
      <c r="I2513" s="4" t="s">
        <v>63</v>
      </c>
      <c r="J2513" s="4" t="s">
        <v>63</v>
      </c>
      <c r="K2513" s="4" t="s">
        <v>63</v>
      </c>
      <c r="L2513" s="4" t="s">
        <v>21071</v>
      </c>
      <c r="M2513" s="4" t="s">
        <v>21072</v>
      </c>
      <c r="N2513" s="4" t="s">
        <v>21073</v>
      </c>
      <c r="O2513" s="4" t="s">
        <v>63</v>
      </c>
      <c r="P2513" s="4"/>
      <c r="Q2513" s="4" t="s">
        <v>63</v>
      </c>
      <c r="R2513" s="4" t="s">
        <v>63</v>
      </c>
      <c r="S2513" s="4" t="s">
        <v>63</v>
      </c>
      <c r="T2513" s="4" t="s">
        <v>63</v>
      </c>
      <c r="U2513" s="4"/>
      <c r="V2513" s="4"/>
      <c r="W2513" s="4"/>
      <c r="X2513" s="4" t="s">
        <v>63</v>
      </c>
      <c r="Y2513" s="4" t="s">
        <v>21074</v>
      </c>
      <c r="Z2513" s="4" t="s">
        <v>63</v>
      </c>
      <c r="AA2513" s="4" t="s">
        <v>63</v>
      </c>
      <c r="AB2513" s="4" t="s">
        <v>63</v>
      </c>
      <c r="AC2513" s="4" t="s">
        <v>67</v>
      </c>
      <c r="AD2513" s="4" t="s">
        <v>63</v>
      </c>
      <c r="AE2513" s="4" t="s">
        <v>63</v>
      </c>
      <c r="AF2513" s="4" t="s">
        <v>63</v>
      </c>
      <c r="AG2513" s="4" t="s">
        <v>63</v>
      </c>
      <c r="AH2513" s="4" t="s">
        <v>63</v>
      </c>
      <c r="AI2513" s="4" t="s">
        <v>63</v>
      </c>
      <c r="AJ2513" s="4" t="s">
        <v>63</v>
      </c>
      <c r="AK2513" s="4" t="s">
        <v>63</v>
      </c>
      <c r="AL2513" s="4" t="s">
        <v>63</v>
      </c>
      <c r="AM2513" s="4" t="s">
        <v>21068</v>
      </c>
      <c r="AN2513" s="4" t="s">
        <v>63</v>
      </c>
      <c r="AO2513" s="4" t="s">
        <v>63</v>
      </c>
      <c r="AP2513" s="4" t="s">
        <v>63</v>
      </c>
      <c r="AQ2513" s="4" t="s">
        <v>63</v>
      </c>
      <c r="AR2513" s="4" t="s">
        <v>63</v>
      </c>
      <c r="AS2513" s="4" t="s">
        <v>63</v>
      </c>
      <c r="AT2513" s="4" t="s">
        <v>63</v>
      </c>
      <c r="AU2513" s="4" t="s">
        <v>63</v>
      </c>
      <c r="AV2513" s="4" t="s">
        <v>63</v>
      </c>
      <c r="AW2513" s="4" t="s">
        <v>63</v>
      </c>
      <c r="AX2513" s="4" t="s">
        <v>63</v>
      </c>
      <c r="AY2513" s="4" t="s">
        <v>63</v>
      </c>
      <c r="AZ2513" s="4" t="s">
        <v>63</v>
      </c>
      <c r="BA2513" s="4" t="s">
        <v>63</v>
      </c>
      <c r="BB2513" s="4" t="s">
        <v>63</v>
      </c>
      <c r="BC2513" s="4" t="s">
        <v>63</v>
      </c>
      <c r="BD2513" s="4" t="s">
        <v>63</v>
      </c>
      <c r="BE2513" s="4" t="s">
        <v>63</v>
      </c>
      <c r="BF2513" s="4" t="s">
        <v>63</v>
      </c>
    </row>
    <row r="2514" spans="1:58">
      <c r="A2514" s="4" t="s">
        <v>58</v>
      </c>
      <c r="B2514" s="4" t="s">
        <v>21075</v>
      </c>
      <c r="C2514" s="4" t="s">
        <v>21076</v>
      </c>
      <c r="D2514" s="4" t="s">
        <v>21069</v>
      </c>
      <c r="E2514" s="4" t="s">
        <v>63</v>
      </c>
      <c r="F2514" s="4">
        <v>2015</v>
      </c>
      <c r="G2514" s="4" t="s">
        <v>63</v>
      </c>
      <c r="H2514" s="4" t="s">
        <v>21070</v>
      </c>
      <c r="I2514" s="4" t="s">
        <v>63</v>
      </c>
      <c r="J2514" s="4" t="s">
        <v>63</v>
      </c>
      <c r="K2514" s="4" t="s">
        <v>63</v>
      </c>
      <c r="L2514" s="4" t="s">
        <v>21077</v>
      </c>
      <c r="M2514" s="4" t="s">
        <v>21078</v>
      </c>
      <c r="N2514" s="4" t="s">
        <v>21079</v>
      </c>
      <c r="O2514" s="4" t="s">
        <v>63</v>
      </c>
      <c r="P2514" s="4"/>
      <c r="Q2514" s="4" t="s">
        <v>63</v>
      </c>
      <c r="R2514" s="4" t="s">
        <v>63</v>
      </c>
      <c r="S2514" s="4" t="s">
        <v>63</v>
      </c>
      <c r="T2514" s="4" t="s">
        <v>63</v>
      </c>
      <c r="U2514" s="4"/>
      <c r="V2514" s="4"/>
      <c r="W2514" s="4"/>
      <c r="X2514" s="4" t="s">
        <v>63</v>
      </c>
      <c r="Y2514" s="4" t="s">
        <v>21074</v>
      </c>
      <c r="Z2514" s="4" t="s">
        <v>63</v>
      </c>
      <c r="AA2514" s="4" t="s">
        <v>63</v>
      </c>
      <c r="AB2514" s="4" t="s">
        <v>63</v>
      </c>
      <c r="AC2514" s="4" t="s">
        <v>67</v>
      </c>
      <c r="AD2514" s="4" t="s">
        <v>63</v>
      </c>
      <c r="AE2514" s="4" t="s">
        <v>63</v>
      </c>
      <c r="AF2514" s="4" t="s">
        <v>63</v>
      </c>
      <c r="AG2514" s="4" t="s">
        <v>63</v>
      </c>
      <c r="AH2514" s="4" t="s">
        <v>63</v>
      </c>
      <c r="AI2514" s="4" t="s">
        <v>63</v>
      </c>
      <c r="AJ2514" s="4" t="s">
        <v>63</v>
      </c>
      <c r="AK2514" s="4" t="s">
        <v>63</v>
      </c>
      <c r="AL2514" s="4" t="s">
        <v>63</v>
      </c>
      <c r="AM2514" s="4" t="s">
        <v>21076</v>
      </c>
      <c r="AN2514" s="4" t="s">
        <v>63</v>
      </c>
      <c r="AO2514" s="4" t="s">
        <v>63</v>
      </c>
      <c r="AP2514" s="4" t="s">
        <v>63</v>
      </c>
      <c r="AQ2514" s="4" t="s">
        <v>63</v>
      </c>
      <c r="AR2514" s="4" t="s">
        <v>63</v>
      </c>
      <c r="AS2514" s="4" t="s">
        <v>63</v>
      </c>
      <c r="AT2514" s="4" t="s">
        <v>63</v>
      </c>
      <c r="AU2514" s="4" t="s">
        <v>63</v>
      </c>
      <c r="AV2514" s="4" t="s">
        <v>63</v>
      </c>
      <c r="AW2514" s="4" t="s">
        <v>63</v>
      </c>
      <c r="AX2514" s="4" t="s">
        <v>63</v>
      </c>
      <c r="AY2514" s="4" t="s">
        <v>63</v>
      </c>
      <c r="AZ2514" s="4" t="s">
        <v>63</v>
      </c>
      <c r="BA2514" s="4" t="s">
        <v>63</v>
      </c>
      <c r="BB2514" s="4" t="s">
        <v>63</v>
      </c>
      <c r="BC2514" s="4" t="s">
        <v>63</v>
      </c>
      <c r="BD2514" s="4" t="s">
        <v>63</v>
      </c>
      <c r="BE2514" s="4" t="s">
        <v>63</v>
      </c>
      <c r="BF2514" s="4" t="s">
        <v>63</v>
      </c>
    </row>
    <row r="2515" spans="1:58">
      <c r="A2515" s="4" t="s">
        <v>58</v>
      </c>
      <c r="B2515" s="4" t="s">
        <v>21080</v>
      </c>
      <c r="C2515" s="4" t="s">
        <v>21081</v>
      </c>
      <c r="D2515" s="4" t="s">
        <v>1212</v>
      </c>
      <c r="E2515" s="4" t="s">
        <v>63</v>
      </c>
      <c r="F2515" s="4">
        <v>2015</v>
      </c>
      <c r="G2515" s="4">
        <v>1</v>
      </c>
      <c r="H2515" s="4">
        <v>9</v>
      </c>
      <c r="I2515" s="4">
        <v>6</v>
      </c>
      <c r="J2515" s="4">
        <v>447</v>
      </c>
      <c r="K2515" s="4">
        <v>453</v>
      </c>
      <c r="L2515" s="4" t="s">
        <v>21082</v>
      </c>
      <c r="M2515" s="4" t="s">
        <v>21083</v>
      </c>
      <c r="N2515" s="4" t="s">
        <v>21084</v>
      </c>
      <c r="O2515" s="4" t="s">
        <v>63</v>
      </c>
      <c r="P2515" s="4"/>
      <c r="Q2515" s="4" t="s">
        <v>63</v>
      </c>
      <c r="R2515" s="4" t="s">
        <v>63</v>
      </c>
      <c r="S2515" s="4" t="s">
        <v>63</v>
      </c>
      <c r="T2515" s="4" t="s">
        <v>63</v>
      </c>
      <c r="U2515" s="4"/>
      <c r="V2515" s="4"/>
      <c r="W2515" s="4"/>
      <c r="X2515" s="4" t="s">
        <v>63</v>
      </c>
      <c r="Y2515" s="4" t="s">
        <v>15084</v>
      </c>
      <c r="Z2515" s="4" t="s">
        <v>63</v>
      </c>
      <c r="AA2515" s="4" t="s">
        <v>63</v>
      </c>
      <c r="AB2515" s="4">
        <v>20160115375</v>
      </c>
      <c r="AC2515" s="4" t="s">
        <v>67</v>
      </c>
      <c r="AD2515" s="4" t="s">
        <v>63</v>
      </c>
      <c r="AE2515" s="4" t="s">
        <v>63</v>
      </c>
      <c r="AF2515" s="4" t="s">
        <v>63</v>
      </c>
      <c r="AG2515" s="4" t="s">
        <v>21085</v>
      </c>
      <c r="AH2515" s="4" t="s">
        <v>63</v>
      </c>
      <c r="AI2515" s="4" t="s">
        <v>21086</v>
      </c>
      <c r="AJ2515" s="4" t="s">
        <v>63</v>
      </c>
      <c r="AK2515" s="4" t="s">
        <v>63</v>
      </c>
      <c r="AL2515" s="4" t="s">
        <v>63</v>
      </c>
      <c r="AM2515" s="4" t="s">
        <v>21087</v>
      </c>
      <c r="AN2515" s="4" t="s">
        <v>63</v>
      </c>
      <c r="AO2515" s="4" t="s">
        <v>63</v>
      </c>
      <c r="AP2515" s="4" t="s">
        <v>63</v>
      </c>
      <c r="AQ2515" s="4" t="s">
        <v>63</v>
      </c>
      <c r="AR2515" s="4" t="s">
        <v>63</v>
      </c>
      <c r="AS2515" s="4" t="s">
        <v>63</v>
      </c>
      <c r="AT2515" s="4" t="s">
        <v>63</v>
      </c>
      <c r="AU2515" s="4" t="s">
        <v>63</v>
      </c>
      <c r="AV2515" s="4" t="s">
        <v>63</v>
      </c>
      <c r="AW2515" s="4" t="s">
        <v>63</v>
      </c>
      <c r="AX2515" s="4" t="s">
        <v>63</v>
      </c>
      <c r="AY2515" s="4" t="s">
        <v>63</v>
      </c>
      <c r="AZ2515" s="4" t="s">
        <v>63</v>
      </c>
      <c r="BA2515" s="4" t="s">
        <v>63</v>
      </c>
      <c r="BB2515" s="4" t="s">
        <v>63</v>
      </c>
      <c r="BC2515" s="4" t="s">
        <v>63</v>
      </c>
      <c r="BD2515" s="4" t="s">
        <v>63</v>
      </c>
      <c r="BE2515" s="4" t="s">
        <v>63</v>
      </c>
      <c r="BF2515" s="4" t="s">
        <v>63</v>
      </c>
    </row>
    <row r="2516" spans="1:58">
      <c r="A2516" s="4" t="s">
        <v>58</v>
      </c>
      <c r="B2516" s="4" t="s">
        <v>21088</v>
      </c>
      <c r="C2516" s="4" t="s">
        <v>21089</v>
      </c>
      <c r="D2516" s="4" t="s">
        <v>6854</v>
      </c>
      <c r="E2516" s="4" t="s">
        <v>63</v>
      </c>
      <c r="F2516" s="4">
        <v>2011</v>
      </c>
      <c r="G2516" s="6">
        <v>41882</v>
      </c>
      <c r="H2516" s="4" t="s">
        <v>15897</v>
      </c>
      <c r="I2516" s="4" t="s">
        <v>63</v>
      </c>
      <c r="J2516" s="4" t="s">
        <v>63</v>
      </c>
      <c r="K2516" s="4" t="s">
        <v>63</v>
      </c>
      <c r="L2516" s="4" t="s">
        <v>21090</v>
      </c>
      <c r="M2516" s="4" t="s">
        <v>21091</v>
      </c>
      <c r="N2516" s="4" t="s">
        <v>21092</v>
      </c>
      <c r="O2516" s="4" t="s">
        <v>63</v>
      </c>
      <c r="P2516" s="4"/>
      <c r="Q2516" s="4" t="s">
        <v>63</v>
      </c>
      <c r="R2516" s="4" t="s">
        <v>63</v>
      </c>
      <c r="S2516" s="4" t="s">
        <v>63</v>
      </c>
      <c r="T2516" s="4" t="s">
        <v>63</v>
      </c>
      <c r="U2516" s="4"/>
      <c r="V2516" s="4"/>
      <c r="W2516" s="4"/>
      <c r="X2516" s="4" t="s">
        <v>63</v>
      </c>
      <c r="Y2516" s="4" t="s">
        <v>15322</v>
      </c>
      <c r="Z2516" s="4" t="s">
        <v>63</v>
      </c>
      <c r="AA2516" s="4" t="s">
        <v>63</v>
      </c>
      <c r="AB2516" s="4" t="s">
        <v>63</v>
      </c>
      <c r="AC2516" s="4" t="s">
        <v>67</v>
      </c>
      <c r="AD2516" s="4" t="s">
        <v>63</v>
      </c>
      <c r="AE2516" s="4" t="s">
        <v>63</v>
      </c>
      <c r="AF2516" s="4" t="s">
        <v>63</v>
      </c>
      <c r="AG2516" s="4" t="s">
        <v>63</v>
      </c>
      <c r="AH2516" s="4" t="s">
        <v>63</v>
      </c>
      <c r="AI2516" s="4" t="s">
        <v>63</v>
      </c>
      <c r="AJ2516" s="4" t="s">
        <v>63</v>
      </c>
      <c r="AK2516" s="4" t="s">
        <v>63</v>
      </c>
      <c r="AL2516" s="4" t="s">
        <v>63</v>
      </c>
      <c r="AM2516" s="4" t="s">
        <v>21089</v>
      </c>
      <c r="AN2516" s="4" t="s">
        <v>63</v>
      </c>
      <c r="AO2516" s="4" t="s">
        <v>63</v>
      </c>
      <c r="AP2516" s="4" t="s">
        <v>63</v>
      </c>
      <c r="AQ2516" s="4" t="s">
        <v>63</v>
      </c>
      <c r="AR2516" s="4" t="s">
        <v>63</v>
      </c>
      <c r="AS2516" s="4" t="s">
        <v>63</v>
      </c>
      <c r="AT2516" s="4" t="s">
        <v>63</v>
      </c>
      <c r="AU2516" s="4" t="s">
        <v>63</v>
      </c>
      <c r="AV2516" s="4" t="s">
        <v>63</v>
      </c>
      <c r="AW2516" s="4" t="s">
        <v>63</v>
      </c>
      <c r="AX2516" s="4" t="s">
        <v>63</v>
      </c>
      <c r="AY2516" s="4" t="s">
        <v>63</v>
      </c>
      <c r="AZ2516" s="4" t="s">
        <v>63</v>
      </c>
      <c r="BA2516" s="4" t="s">
        <v>63</v>
      </c>
      <c r="BB2516" s="4" t="s">
        <v>63</v>
      </c>
      <c r="BC2516" s="4" t="s">
        <v>63</v>
      </c>
      <c r="BD2516" s="4" t="s">
        <v>63</v>
      </c>
      <c r="BE2516" s="4" t="s">
        <v>63</v>
      </c>
      <c r="BF2516" s="4" t="s">
        <v>63</v>
      </c>
    </row>
    <row r="2517" spans="1:58">
      <c r="A2517" s="4" t="s">
        <v>58</v>
      </c>
      <c r="B2517" s="4" t="s">
        <v>21093</v>
      </c>
      <c r="C2517" s="4" t="s">
        <v>21094</v>
      </c>
      <c r="D2517" s="4" t="s">
        <v>16357</v>
      </c>
      <c r="E2517" s="4" t="s">
        <v>16358</v>
      </c>
      <c r="F2517" s="4">
        <v>2015</v>
      </c>
      <c r="G2517" s="4" t="s">
        <v>189</v>
      </c>
      <c r="H2517" s="4" t="s">
        <v>16101</v>
      </c>
      <c r="I2517" s="4" t="s">
        <v>63</v>
      </c>
      <c r="J2517" s="4">
        <v>50</v>
      </c>
      <c r="K2517" s="4" t="s">
        <v>63</v>
      </c>
      <c r="L2517" s="4" t="s">
        <v>21095</v>
      </c>
      <c r="M2517" s="4" t="s">
        <v>21096</v>
      </c>
      <c r="N2517" s="4" t="s">
        <v>21097</v>
      </c>
      <c r="O2517" s="4" t="s">
        <v>63</v>
      </c>
      <c r="P2517" s="4"/>
      <c r="Q2517" s="4" t="s">
        <v>63</v>
      </c>
      <c r="R2517" s="4" t="s">
        <v>63</v>
      </c>
      <c r="S2517" s="4" t="s">
        <v>63</v>
      </c>
      <c r="T2517" s="4" t="s">
        <v>63</v>
      </c>
      <c r="U2517" s="4"/>
      <c r="V2517" s="4"/>
      <c r="W2517" s="4"/>
      <c r="X2517" s="4" t="s">
        <v>63</v>
      </c>
      <c r="Y2517" s="5">
        <v>25658</v>
      </c>
      <c r="Z2517" s="4" t="s">
        <v>63</v>
      </c>
      <c r="AA2517" s="4" t="s">
        <v>63</v>
      </c>
      <c r="AB2517" s="4" t="s">
        <v>63</v>
      </c>
      <c r="AC2517" s="4" t="s">
        <v>67</v>
      </c>
      <c r="AD2517" s="4" t="s">
        <v>63</v>
      </c>
      <c r="AE2517" s="4" t="s">
        <v>63</v>
      </c>
      <c r="AF2517" s="4" t="s">
        <v>63</v>
      </c>
      <c r="AG2517" s="4" t="s">
        <v>63</v>
      </c>
      <c r="AH2517" s="4" t="s">
        <v>63</v>
      </c>
      <c r="AI2517" s="4" t="s">
        <v>19985</v>
      </c>
      <c r="AJ2517" s="4" t="s">
        <v>63</v>
      </c>
      <c r="AK2517" s="4" t="s">
        <v>63</v>
      </c>
      <c r="AL2517" s="4" t="s">
        <v>63</v>
      </c>
      <c r="AM2517" s="4" t="s">
        <v>21094</v>
      </c>
      <c r="AN2517" s="4" t="s">
        <v>63</v>
      </c>
      <c r="AO2517" s="4" t="s">
        <v>63</v>
      </c>
      <c r="AP2517" s="4" t="s">
        <v>63</v>
      </c>
      <c r="AQ2517" s="4" t="s">
        <v>63</v>
      </c>
      <c r="AR2517" s="4" t="s">
        <v>63</v>
      </c>
      <c r="AS2517" s="4" t="s">
        <v>63</v>
      </c>
      <c r="AT2517" s="4" t="s">
        <v>63</v>
      </c>
      <c r="AU2517" s="4" t="s">
        <v>63</v>
      </c>
      <c r="AV2517" s="4" t="s">
        <v>63</v>
      </c>
      <c r="AW2517" s="4" t="s">
        <v>63</v>
      </c>
      <c r="AX2517" s="4" t="s">
        <v>63</v>
      </c>
      <c r="AY2517" s="4" t="s">
        <v>63</v>
      </c>
      <c r="AZ2517" s="4" t="s">
        <v>63</v>
      </c>
      <c r="BA2517" s="4" t="s">
        <v>63</v>
      </c>
      <c r="BB2517" s="4" t="s">
        <v>63</v>
      </c>
      <c r="BC2517" s="4" t="s">
        <v>63</v>
      </c>
      <c r="BD2517" s="4" t="s">
        <v>63</v>
      </c>
      <c r="BE2517" s="4" t="s">
        <v>63</v>
      </c>
      <c r="BF2517" s="4" t="s">
        <v>63</v>
      </c>
    </row>
    <row r="2518" spans="1:58">
      <c r="A2518" s="4" t="s">
        <v>58</v>
      </c>
      <c r="B2518" s="4" t="s">
        <v>21098</v>
      </c>
      <c r="C2518" s="4" t="s">
        <v>21099</v>
      </c>
      <c r="D2518" s="4" t="s">
        <v>16357</v>
      </c>
      <c r="E2518" s="4" t="s">
        <v>16358</v>
      </c>
      <c r="F2518" s="4">
        <v>2015</v>
      </c>
      <c r="G2518" s="4" t="s">
        <v>189</v>
      </c>
      <c r="H2518" s="4" t="s">
        <v>16101</v>
      </c>
      <c r="I2518" s="4" t="s">
        <v>63</v>
      </c>
      <c r="J2518" s="4">
        <v>49</v>
      </c>
      <c r="K2518" s="4" t="s">
        <v>63</v>
      </c>
      <c r="L2518" s="4" t="s">
        <v>21100</v>
      </c>
      <c r="M2518" s="4" t="s">
        <v>21101</v>
      </c>
      <c r="N2518" s="4" t="s">
        <v>21102</v>
      </c>
      <c r="O2518" s="4" t="s">
        <v>63</v>
      </c>
      <c r="P2518" s="4"/>
      <c r="Q2518" s="4" t="s">
        <v>63</v>
      </c>
      <c r="R2518" s="4" t="s">
        <v>63</v>
      </c>
      <c r="S2518" s="4" t="s">
        <v>63</v>
      </c>
      <c r="T2518" s="4" t="s">
        <v>63</v>
      </c>
      <c r="U2518" s="4"/>
      <c r="V2518" s="4"/>
      <c r="W2518" s="4"/>
      <c r="X2518" s="4" t="s">
        <v>63</v>
      </c>
      <c r="Y2518" s="5">
        <v>25658</v>
      </c>
      <c r="Z2518" s="4" t="s">
        <v>63</v>
      </c>
      <c r="AA2518" s="4" t="s">
        <v>63</v>
      </c>
      <c r="AB2518" s="4" t="s">
        <v>63</v>
      </c>
      <c r="AC2518" s="4" t="s">
        <v>67</v>
      </c>
      <c r="AD2518" s="4" t="s">
        <v>63</v>
      </c>
      <c r="AE2518" s="4" t="s">
        <v>63</v>
      </c>
      <c r="AF2518" s="4" t="s">
        <v>63</v>
      </c>
      <c r="AG2518" s="4" t="s">
        <v>63</v>
      </c>
      <c r="AH2518" s="4" t="s">
        <v>63</v>
      </c>
      <c r="AI2518" s="4" t="s">
        <v>19985</v>
      </c>
      <c r="AJ2518" s="4" t="s">
        <v>63</v>
      </c>
      <c r="AK2518" s="4" t="s">
        <v>63</v>
      </c>
      <c r="AL2518" s="4" t="s">
        <v>63</v>
      </c>
      <c r="AM2518" s="4" t="s">
        <v>21099</v>
      </c>
      <c r="AN2518" s="4" t="s">
        <v>63</v>
      </c>
      <c r="AO2518" s="4" t="s">
        <v>63</v>
      </c>
      <c r="AP2518" s="4" t="s">
        <v>63</v>
      </c>
      <c r="AQ2518" s="4" t="s">
        <v>63</v>
      </c>
      <c r="AR2518" s="4" t="s">
        <v>63</v>
      </c>
      <c r="AS2518" s="4" t="s">
        <v>63</v>
      </c>
      <c r="AT2518" s="4" t="s">
        <v>63</v>
      </c>
      <c r="AU2518" s="4" t="s">
        <v>63</v>
      </c>
      <c r="AV2518" s="4" t="s">
        <v>63</v>
      </c>
      <c r="AW2518" s="4" t="s">
        <v>63</v>
      </c>
      <c r="AX2518" s="4" t="s">
        <v>63</v>
      </c>
      <c r="AY2518" s="4" t="s">
        <v>63</v>
      </c>
      <c r="AZ2518" s="4" t="s">
        <v>63</v>
      </c>
      <c r="BA2518" s="4" t="s">
        <v>63</v>
      </c>
      <c r="BB2518" s="4" t="s">
        <v>63</v>
      </c>
      <c r="BC2518" s="4" t="s">
        <v>63</v>
      </c>
      <c r="BD2518" s="4" t="s">
        <v>63</v>
      </c>
      <c r="BE2518" s="4" t="s">
        <v>63</v>
      </c>
      <c r="BF2518" s="4" t="s">
        <v>63</v>
      </c>
    </row>
    <row r="2519" spans="1:58">
      <c r="A2519" s="4" t="s">
        <v>58</v>
      </c>
      <c r="B2519" s="4" t="s">
        <v>21103</v>
      </c>
      <c r="C2519" s="4" t="s">
        <v>21104</v>
      </c>
      <c r="D2519" s="4" t="s">
        <v>21105</v>
      </c>
      <c r="E2519" s="4" t="s">
        <v>63</v>
      </c>
      <c r="F2519" s="4">
        <v>2018</v>
      </c>
      <c r="G2519" s="4">
        <v>1</v>
      </c>
      <c r="H2519" s="4" t="s">
        <v>21106</v>
      </c>
      <c r="I2519" s="4" t="s">
        <v>63</v>
      </c>
      <c r="J2519" s="4" t="s">
        <v>4442</v>
      </c>
      <c r="K2519" s="4" t="s">
        <v>63</v>
      </c>
      <c r="L2519" s="4" t="s">
        <v>21107</v>
      </c>
      <c r="M2519" s="4" t="s">
        <v>21108</v>
      </c>
      <c r="N2519" s="4" t="s">
        <v>21109</v>
      </c>
      <c r="O2519" s="4" t="s">
        <v>63</v>
      </c>
      <c r="P2519" s="4"/>
      <c r="Q2519" s="4" t="s">
        <v>63</v>
      </c>
      <c r="R2519" s="4" t="s">
        <v>63</v>
      </c>
      <c r="S2519" s="4" t="s">
        <v>63</v>
      </c>
      <c r="T2519" s="4" t="s">
        <v>63</v>
      </c>
      <c r="U2519" s="4"/>
      <c r="V2519" s="4"/>
      <c r="W2519" s="4"/>
      <c r="X2519" s="4" t="s">
        <v>63</v>
      </c>
      <c r="Y2519" s="4" t="s">
        <v>21110</v>
      </c>
      <c r="Z2519" s="4" t="s">
        <v>63</v>
      </c>
      <c r="AA2519" s="4" t="s">
        <v>63</v>
      </c>
      <c r="AB2519" s="4" t="s">
        <v>63</v>
      </c>
      <c r="AC2519" s="4" t="s">
        <v>67</v>
      </c>
      <c r="AD2519" s="4" t="s">
        <v>63</v>
      </c>
      <c r="AE2519" s="4" t="s">
        <v>63</v>
      </c>
      <c r="AF2519" s="4" t="s">
        <v>63</v>
      </c>
      <c r="AG2519" s="4" t="s">
        <v>63</v>
      </c>
      <c r="AH2519" s="4" t="s">
        <v>63</v>
      </c>
      <c r="AI2519" s="4" t="s">
        <v>21111</v>
      </c>
      <c r="AJ2519" s="4" t="s">
        <v>63</v>
      </c>
      <c r="AK2519" s="4" t="s">
        <v>63</v>
      </c>
      <c r="AL2519" s="4" t="s">
        <v>63</v>
      </c>
      <c r="AM2519" s="4" t="s">
        <v>21104</v>
      </c>
      <c r="AN2519" s="4" t="s">
        <v>63</v>
      </c>
      <c r="AO2519" s="4" t="s">
        <v>63</v>
      </c>
      <c r="AP2519" s="4" t="s">
        <v>63</v>
      </c>
      <c r="AQ2519" s="4" t="s">
        <v>63</v>
      </c>
      <c r="AR2519" s="4" t="s">
        <v>63</v>
      </c>
      <c r="AS2519" s="4" t="s">
        <v>63</v>
      </c>
      <c r="AT2519" s="4" t="s">
        <v>63</v>
      </c>
      <c r="AU2519" s="4" t="s">
        <v>63</v>
      </c>
      <c r="AV2519" s="4" t="s">
        <v>63</v>
      </c>
      <c r="AW2519" s="4" t="s">
        <v>63</v>
      </c>
      <c r="AX2519" s="4" t="s">
        <v>63</v>
      </c>
      <c r="AY2519" s="4" t="s">
        <v>63</v>
      </c>
      <c r="AZ2519" s="4" t="s">
        <v>63</v>
      </c>
      <c r="BA2519" s="4" t="s">
        <v>63</v>
      </c>
      <c r="BB2519" s="4" t="s">
        <v>63</v>
      </c>
      <c r="BC2519" s="4" t="s">
        <v>63</v>
      </c>
      <c r="BD2519" s="4" t="s">
        <v>63</v>
      </c>
      <c r="BE2519" s="4" t="s">
        <v>63</v>
      </c>
      <c r="BF2519" s="4" t="s">
        <v>63</v>
      </c>
    </row>
    <row r="2520" spans="1:58">
      <c r="A2520" s="4" t="s">
        <v>58</v>
      </c>
      <c r="B2520" s="4" t="s">
        <v>21112</v>
      </c>
      <c r="C2520" s="4" t="s">
        <v>21113</v>
      </c>
      <c r="D2520" s="4" t="s">
        <v>6854</v>
      </c>
      <c r="E2520" s="4" t="s">
        <v>63</v>
      </c>
      <c r="F2520" s="4">
        <v>1995</v>
      </c>
      <c r="G2520" s="4" t="s">
        <v>63</v>
      </c>
      <c r="H2520" s="4">
        <v>8</v>
      </c>
      <c r="I2520" s="4">
        <v>10</v>
      </c>
      <c r="J2520" s="4">
        <v>1808</v>
      </c>
      <c r="K2520" s="4">
        <v>1811</v>
      </c>
      <c r="L2520" s="4" t="s">
        <v>21114</v>
      </c>
      <c r="M2520" s="4" t="s">
        <v>21115</v>
      </c>
      <c r="N2520" s="4" t="s">
        <v>21116</v>
      </c>
      <c r="O2520" s="4" t="s">
        <v>63</v>
      </c>
      <c r="P2520" s="4"/>
      <c r="Q2520" s="4" t="s">
        <v>63</v>
      </c>
      <c r="R2520" s="4" t="s">
        <v>63</v>
      </c>
      <c r="S2520" s="4" t="s">
        <v>63</v>
      </c>
      <c r="T2520" s="4" t="s">
        <v>63</v>
      </c>
      <c r="U2520" s="4"/>
      <c r="V2520" s="4"/>
      <c r="W2520" s="4"/>
      <c r="X2520" s="4" t="s">
        <v>63</v>
      </c>
      <c r="Y2520" s="4" t="s">
        <v>15322</v>
      </c>
      <c r="Z2520" s="4" t="s">
        <v>63</v>
      </c>
      <c r="AA2520" s="4" t="s">
        <v>63</v>
      </c>
      <c r="AB2520" s="4">
        <v>1995334258</v>
      </c>
      <c r="AC2520" s="4" t="s">
        <v>67</v>
      </c>
      <c r="AD2520" s="4" t="s">
        <v>63</v>
      </c>
      <c r="AE2520" s="4" t="s">
        <v>63</v>
      </c>
      <c r="AF2520" s="4" t="s">
        <v>63</v>
      </c>
      <c r="AG2520" s="4" t="s">
        <v>21117</v>
      </c>
      <c r="AH2520" s="4" t="s">
        <v>63</v>
      </c>
      <c r="AI2520" s="4" t="s">
        <v>21118</v>
      </c>
      <c r="AJ2520" s="4" t="s">
        <v>63</v>
      </c>
      <c r="AK2520" s="4" t="s">
        <v>63</v>
      </c>
      <c r="AL2520" s="4" t="s">
        <v>63</v>
      </c>
      <c r="AM2520" s="4" t="s">
        <v>21119</v>
      </c>
      <c r="AN2520" s="4" t="s">
        <v>63</v>
      </c>
      <c r="AO2520" s="4" t="s">
        <v>63</v>
      </c>
      <c r="AP2520" s="4" t="s">
        <v>63</v>
      </c>
      <c r="AQ2520" s="4" t="s">
        <v>63</v>
      </c>
      <c r="AR2520" s="4" t="s">
        <v>63</v>
      </c>
      <c r="AS2520" s="4" t="s">
        <v>63</v>
      </c>
      <c r="AT2520" s="4" t="s">
        <v>63</v>
      </c>
      <c r="AU2520" s="4" t="s">
        <v>63</v>
      </c>
      <c r="AV2520" s="4" t="s">
        <v>63</v>
      </c>
      <c r="AW2520" s="4" t="s">
        <v>63</v>
      </c>
      <c r="AX2520" s="4" t="s">
        <v>63</v>
      </c>
      <c r="AY2520" s="4" t="s">
        <v>63</v>
      </c>
      <c r="AZ2520" s="4" t="s">
        <v>63</v>
      </c>
      <c r="BA2520" s="4" t="s">
        <v>63</v>
      </c>
      <c r="BB2520" s="4" t="s">
        <v>63</v>
      </c>
      <c r="BC2520" s="4" t="s">
        <v>63</v>
      </c>
      <c r="BD2520" s="4" t="s">
        <v>63</v>
      </c>
      <c r="BE2520" s="4" t="s">
        <v>63</v>
      </c>
      <c r="BF2520" s="4" t="s">
        <v>63</v>
      </c>
    </row>
    <row r="2521" spans="1:58">
      <c r="A2521" s="4" t="s">
        <v>58</v>
      </c>
      <c r="B2521" s="4" t="s">
        <v>21120</v>
      </c>
      <c r="C2521" s="4" t="s">
        <v>21121</v>
      </c>
      <c r="D2521" s="4" t="s">
        <v>9058</v>
      </c>
      <c r="E2521" s="4" t="s">
        <v>63</v>
      </c>
      <c r="F2521" s="4">
        <v>2007</v>
      </c>
      <c r="G2521" s="4">
        <v>22</v>
      </c>
      <c r="H2521" s="4">
        <v>3</v>
      </c>
      <c r="I2521" s="4">
        <v>2</v>
      </c>
      <c r="J2521" s="4">
        <v>125</v>
      </c>
      <c r="K2521" s="4">
        <v>136</v>
      </c>
      <c r="L2521" s="4" t="s">
        <v>21122</v>
      </c>
      <c r="M2521" s="4" t="s">
        <v>21123</v>
      </c>
      <c r="N2521" s="4" t="s">
        <v>21124</v>
      </c>
      <c r="O2521" s="4" t="s">
        <v>63</v>
      </c>
      <c r="P2521" s="4"/>
      <c r="Q2521" s="4" t="s">
        <v>63</v>
      </c>
      <c r="R2521" s="4" t="s">
        <v>63</v>
      </c>
      <c r="S2521" s="4" t="s">
        <v>63</v>
      </c>
      <c r="T2521" s="4" t="s">
        <v>63</v>
      </c>
      <c r="U2521" s="4"/>
      <c r="V2521" s="4"/>
      <c r="W2521" s="4"/>
      <c r="X2521" s="4" t="s">
        <v>63</v>
      </c>
      <c r="Y2521" s="4" t="s">
        <v>21125</v>
      </c>
      <c r="Z2521" s="4" t="s">
        <v>63</v>
      </c>
      <c r="AA2521" s="4" t="s">
        <v>63</v>
      </c>
      <c r="AB2521" s="4" t="s">
        <v>21126</v>
      </c>
      <c r="AC2521" s="4" t="s">
        <v>67</v>
      </c>
      <c r="AD2521" s="4" t="s">
        <v>63</v>
      </c>
      <c r="AE2521" s="4" t="s">
        <v>63</v>
      </c>
      <c r="AF2521" s="4" t="s">
        <v>63</v>
      </c>
      <c r="AG2521" s="4" t="s">
        <v>63</v>
      </c>
      <c r="AH2521" s="4" t="s">
        <v>63</v>
      </c>
      <c r="AI2521" s="4" t="s">
        <v>21127</v>
      </c>
      <c r="AJ2521" s="4" t="s">
        <v>63</v>
      </c>
      <c r="AK2521" s="4" t="s">
        <v>63</v>
      </c>
      <c r="AL2521" s="4" t="s">
        <v>63</v>
      </c>
      <c r="AM2521" s="4" t="s">
        <v>21121</v>
      </c>
      <c r="AN2521" s="4" t="s">
        <v>63</v>
      </c>
      <c r="AO2521" s="4" t="s">
        <v>63</v>
      </c>
      <c r="AP2521" s="4" t="s">
        <v>63</v>
      </c>
      <c r="AQ2521" s="4" t="s">
        <v>63</v>
      </c>
      <c r="AR2521" s="4" t="s">
        <v>63</v>
      </c>
      <c r="AS2521" s="4" t="s">
        <v>63</v>
      </c>
      <c r="AT2521" s="4" t="s">
        <v>63</v>
      </c>
      <c r="AU2521" s="4" t="s">
        <v>63</v>
      </c>
      <c r="AV2521" s="4" t="s">
        <v>63</v>
      </c>
      <c r="AW2521" s="4" t="s">
        <v>63</v>
      </c>
      <c r="AX2521" s="4" t="s">
        <v>63</v>
      </c>
      <c r="AY2521" s="4" t="s">
        <v>63</v>
      </c>
      <c r="AZ2521" s="4" t="s">
        <v>63</v>
      </c>
      <c r="BA2521" s="4" t="s">
        <v>63</v>
      </c>
      <c r="BB2521" s="4" t="s">
        <v>63</v>
      </c>
      <c r="BC2521" s="4" t="s">
        <v>63</v>
      </c>
      <c r="BD2521" s="4" t="s">
        <v>63</v>
      </c>
      <c r="BE2521" s="4" t="s">
        <v>63</v>
      </c>
      <c r="BF2521" s="4" t="s">
        <v>63</v>
      </c>
    </row>
    <row r="2522" spans="1:58">
      <c r="A2522" s="4" t="s">
        <v>58</v>
      </c>
      <c r="B2522" s="4" t="s">
        <v>21128</v>
      </c>
      <c r="C2522" s="4" t="s">
        <v>21129</v>
      </c>
      <c r="D2522" s="4" t="s">
        <v>21130</v>
      </c>
      <c r="E2522" s="4" t="s">
        <v>21131</v>
      </c>
      <c r="F2522" s="4">
        <v>1992</v>
      </c>
      <c r="G2522" s="4" t="s">
        <v>63</v>
      </c>
      <c r="H2522" s="4">
        <v>28</v>
      </c>
      <c r="I2522" s="4">
        <v>1</v>
      </c>
      <c r="J2522" s="4">
        <v>109</v>
      </c>
      <c r="K2522" s="4">
        <v>113</v>
      </c>
      <c r="L2522" s="4" t="s">
        <v>21132</v>
      </c>
      <c r="M2522" s="4" t="s">
        <v>21133</v>
      </c>
      <c r="N2522" s="4" t="s">
        <v>21134</v>
      </c>
      <c r="O2522" s="4" t="s">
        <v>63</v>
      </c>
      <c r="P2522" s="4"/>
      <c r="Q2522" s="4" t="s">
        <v>63</v>
      </c>
      <c r="R2522" s="4" t="s">
        <v>63</v>
      </c>
      <c r="S2522" s="4" t="s">
        <v>63</v>
      </c>
      <c r="T2522" s="4" t="s">
        <v>63</v>
      </c>
      <c r="U2522" s="4"/>
      <c r="V2522" s="4"/>
      <c r="W2522" s="4"/>
      <c r="X2522" s="4" t="s">
        <v>63</v>
      </c>
      <c r="Y2522" s="4" t="s">
        <v>21135</v>
      </c>
      <c r="Z2522" s="4" t="s">
        <v>63</v>
      </c>
      <c r="AA2522" s="4" t="s">
        <v>63</v>
      </c>
      <c r="AB2522" s="4">
        <v>1992181743</v>
      </c>
      <c r="AC2522" s="4" t="s">
        <v>67</v>
      </c>
      <c r="AD2522" s="4" t="s">
        <v>63</v>
      </c>
      <c r="AE2522" s="4" t="s">
        <v>63</v>
      </c>
      <c r="AF2522" s="4" t="s">
        <v>63</v>
      </c>
      <c r="AG2522" s="4" t="s">
        <v>21136</v>
      </c>
      <c r="AH2522" s="4" t="s">
        <v>63</v>
      </c>
      <c r="AI2522" s="4" t="s">
        <v>63</v>
      </c>
      <c r="AJ2522" s="4" t="s">
        <v>63</v>
      </c>
      <c r="AK2522" s="4" t="s">
        <v>63</v>
      </c>
      <c r="AL2522" s="4" t="s">
        <v>63</v>
      </c>
      <c r="AM2522" s="4" t="s">
        <v>21137</v>
      </c>
      <c r="AN2522" s="4" t="s">
        <v>63</v>
      </c>
      <c r="AO2522" s="4" t="s">
        <v>63</v>
      </c>
      <c r="AP2522" s="4" t="s">
        <v>63</v>
      </c>
      <c r="AQ2522" s="4" t="s">
        <v>63</v>
      </c>
      <c r="AR2522" s="4" t="s">
        <v>63</v>
      </c>
      <c r="AS2522" s="4" t="s">
        <v>63</v>
      </c>
      <c r="AT2522" s="4" t="s">
        <v>63</v>
      </c>
      <c r="AU2522" s="4" t="s">
        <v>63</v>
      </c>
      <c r="AV2522" s="4" t="s">
        <v>63</v>
      </c>
      <c r="AW2522" s="4" t="s">
        <v>63</v>
      </c>
      <c r="AX2522" s="4" t="s">
        <v>63</v>
      </c>
      <c r="AY2522" s="4" t="s">
        <v>63</v>
      </c>
      <c r="AZ2522" s="4" t="s">
        <v>63</v>
      </c>
      <c r="BA2522" s="4" t="s">
        <v>63</v>
      </c>
      <c r="BB2522" s="4" t="s">
        <v>63</v>
      </c>
      <c r="BC2522" s="4" t="s">
        <v>63</v>
      </c>
      <c r="BD2522" s="4" t="s">
        <v>63</v>
      </c>
      <c r="BE2522" s="4" t="s">
        <v>63</v>
      </c>
      <c r="BF2522" s="4" t="s">
        <v>63</v>
      </c>
    </row>
    <row r="2523" spans="1:58">
      <c r="A2523" s="4" t="s">
        <v>58</v>
      </c>
      <c r="B2523" s="4" t="s">
        <v>21138</v>
      </c>
      <c r="C2523" s="4" t="s">
        <v>21139</v>
      </c>
      <c r="D2523" s="4" t="s">
        <v>1332</v>
      </c>
      <c r="E2523" s="4" t="s">
        <v>63</v>
      </c>
      <c r="F2523" s="4">
        <v>2018</v>
      </c>
      <c r="G2523" s="4">
        <v>1</v>
      </c>
      <c r="H2523" s="4">
        <v>62</v>
      </c>
      <c r="I2523" s="4">
        <v>2</v>
      </c>
      <c r="J2523" s="4" t="s">
        <v>16375</v>
      </c>
      <c r="K2523" s="4" t="s">
        <v>19250</v>
      </c>
      <c r="L2523" s="4" t="s">
        <v>21140</v>
      </c>
      <c r="M2523" s="4" t="s">
        <v>21141</v>
      </c>
      <c r="N2523" s="4" t="s">
        <v>21142</v>
      </c>
      <c r="O2523" s="4" t="s">
        <v>63</v>
      </c>
      <c r="P2523" s="4"/>
      <c r="Q2523" s="4" t="s">
        <v>63</v>
      </c>
      <c r="R2523" s="4" t="s">
        <v>63</v>
      </c>
      <c r="S2523" s="4" t="s">
        <v>63</v>
      </c>
      <c r="T2523" s="4" t="s">
        <v>63</v>
      </c>
      <c r="U2523" s="4"/>
      <c r="V2523" s="4"/>
      <c r="W2523" s="4"/>
      <c r="X2523" s="4" t="s">
        <v>63</v>
      </c>
      <c r="Y2523" s="4" t="s">
        <v>1336</v>
      </c>
      <c r="Z2523" s="4" t="s">
        <v>63</v>
      </c>
      <c r="AA2523" s="4" t="s">
        <v>63</v>
      </c>
      <c r="AB2523" s="4" t="s">
        <v>63</v>
      </c>
      <c r="AC2523" s="4" t="s">
        <v>67</v>
      </c>
      <c r="AD2523" s="4" t="s">
        <v>63</v>
      </c>
      <c r="AE2523" s="4" t="s">
        <v>63</v>
      </c>
      <c r="AF2523" s="4" t="s">
        <v>63</v>
      </c>
      <c r="AG2523" s="4" t="s">
        <v>63</v>
      </c>
      <c r="AH2523" s="4" t="s">
        <v>63</v>
      </c>
      <c r="AI2523" s="4" t="s">
        <v>63</v>
      </c>
      <c r="AJ2523" s="4" t="s">
        <v>63</v>
      </c>
      <c r="AK2523" s="4" t="s">
        <v>63</v>
      </c>
      <c r="AL2523" s="4" t="s">
        <v>63</v>
      </c>
      <c r="AM2523" s="4" t="s">
        <v>21139</v>
      </c>
      <c r="AN2523" s="4" t="s">
        <v>63</v>
      </c>
      <c r="AO2523" s="4" t="s">
        <v>63</v>
      </c>
      <c r="AP2523" s="4" t="s">
        <v>63</v>
      </c>
      <c r="AQ2523" s="4" t="s">
        <v>63</v>
      </c>
      <c r="AR2523" s="4" t="s">
        <v>63</v>
      </c>
      <c r="AS2523" s="4" t="s">
        <v>63</v>
      </c>
      <c r="AT2523" s="4" t="s">
        <v>63</v>
      </c>
      <c r="AU2523" s="4" t="s">
        <v>63</v>
      </c>
      <c r="AV2523" s="4" t="s">
        <v>63</v>
      </c>
      <c r="AW2523" s="4" t="s">
        <v>63</v>
      </c>
      <c r="AX2523" s="4" t="s">
        <v>63</v>
      </c>
      <c r="AY2523" s="4" t="s">
        <v>63</v>
      </c>
      <c r="AZ2523" s="4" t="s">
        <v>63</v>
      </c>
      <c r="BA2523" s="4" t="s">
        <v>63</v>
      </c>
      <c r="BB2523" s="4" t="s">
        <v>63</v>
      </c>
      <c r="BC2523" s="4" t="s">
        <v>63</v>
      </c>
      <c r="BD2523" s="4" t="s">
        <v>63</v>
      </c>
      <c r="BE2523" s="4" t="s">
        <v>63</v>
      </c>
      <c r="BF2523" s="4" t="s">
        <v>63</v>
      </c>
    </row>
    <row r="2524" spans="1:58">
      <c r="A2524" s="4" t="s">
        <v>58</v>
      </c>
      <c r="B2524" s="4" t="s">
        <v>21143</v>
      </c>
      <c r="C2524" s="4" t="s">
        <v>21144</v>
      </c>
      <c r="D2524" s="4" t="s">
        <v>11321</v>
      </c>
      <c r="E2524" s="4" t="s">
        <v>11321</v>
      </c>
      <c r="F2524" s="4">
        <v>2010</v>
      </c>
      <c r="G2524" s="4" t="s">
        <v>16091</v>
      </c>
      <c r="H2524" s="4" t="s">
        <v>21145</v>
      </c>
      <c r="I2524" s="4" t="s">
        <v>63</v>
      </c>
      <c r="J2524" s="4">
        <v>109</v>
      </c>
      <c r="K2524" s="4" t="s">
        <v>63</v>
      </c>
      <c r="L2524" s="4" t="s">
        <v>21146</v>
      </c>
      <c r="M2524" s="4" t="s">
        <v>21147</v>
      </c>
      <c r="N2524" s="4" t="s">
        <v>21148</v>
      </c>
      <c r="O2524" s="4" t="s">
        <v>63</v>
      </c>
      <c r="P2524" s="4"/>
      <c r="Q2524" s="4" t="s">
        <v>63</v>
      </c>
      <c r="R2524" s="4" t="s">
        <v>63</v>
      </c>
      <c r="S2524" s="4" t="s">
        <v>63</v>
      </c>
      <c r="T2524" s="4" t="s">
        <v>63</v>
      </c>
      <c r="U2524" s="4"/>
      <c r="V2524" s="4"/>
      <c r="W2524" s="4"/>
      <c r="X2524" s="4" t="s">
        <v>63</v>
      </c>
      <c r="Y2524" s="4" t="s">
        <v>11325</v>
      </c>
      <c r="Z2524" s="4" t="s">
        <v>63</v>
      </c>
      <c r="AA2524" s="4" t="s">
        <v>63</v>
      </c>
      <c r="AB2524" s="4" t="s">
        <v>63</v>
      </c>
      <c r="AC2524" s="4" t="s">
        <v>67</v>
      </c>
      <c r="AD2524" s="4" t="s">
        <v>63</v>
      </c>
      <c r="AE2524" s="4" t="s">
        <v>63</v>
      </c>
      <c r="AF2524" s="4" t="s">
        <v>63</v>
      </c>
      <c r="AG2524" s="4" t="s">
        <v>63</v>
      </c>
      <c r="AH2524" s="4" t="s">
        <v>63</v>
      </c>
      <c r="AI2524" s="4" t="s">
        <v>21149</v>
      </c>
      <c r="AJ2524" s="4" t="s">
        <v>63</v>
      </c>
      <c r="AK2524" s="4" t="s">
        <v>63</v>
      </c>
      <c r="AL2524" s="4" t="s">
        <v>63</v>
      </c>
      <c r="AM2524" s="4" t="s">
        <v>21144</v>
      </c>
      <c r="AN2524" s="4" t="s">
        <v>63</v>
      </c>
      <c r="AO2524" s="4" t="s">
        <v>63</v>
      </c>
      <c r="AP2524" s="4" t="s">
        <v>63</v>
      </c>
      <c r="AQ2524" s="4" t="s">
        <v>63</v>
      </c>
      <c r="AR2524" s="4" t="s">
        <v>63</v>
      </c>
      <c r="AS2524" s="4" t="s">
        <v>63</v>
      </c>
      <c r="AT2524" s="4" t="s">
        <v>63</v>
      </c>
      <c r="AU2524" s="4" t="s">
        <v>63</v>
      </c>
      <c r="AV2524" s="4" t="s">
        <v>63</v>
      </c>
      <c r="AW2524" s="4" t="s">
        <v>63</v>
      </c>
      <c r="AX2524" s="4" t="s">
        <v>63</v>
      </c>
      <c r="AY2524" s="4" t="s">
        <v>63</v>
      </c>
      <c r="AZ2524" s="4" t="s">
        <v>63</v>
      </c>
      <c r="BA2524" s="4" t="s">
        <v>63</v>
      </c>
      <c r="BB2524" s="4" t="s">
        <v>63</v>
      </c>
      <c r="BC2524" s="4" t="s">
        <v>63</v>
      </c>
      <c r="BD2524" s="4" t="s">
        <v>63</v>
      </c>
      <c r="BE2524" s="4" t="s">
        <v>63</v>
      </c>
      <c r="BF2524" s="4" t="s">
        <v>63</v>
      </c>
    </row>
    <row r="2525" spans="1:58">
      <c r="A2525" s="4" t="s">
        <v>58</v>
      </c>
      <c r="B2525" s="4" t="s">
        <v>21150</v>
      </c>
      <c r="C2525" s="4" t="s">
        <v>21151</v>
      </c>
      <c r="D2525" s="4" t="s">
        <v>290</v>
      </c>
      <c r="E2525" s="4" t="s">
        <v>291</v>
      </c>
      <c r="F2525" s="4">
        <v>1975</v>
      </c>
      <c r="G2525" s="4" t="s">
        <v>63</v>
      </c>
      <c r="H2525" s="4">
        <v>1</v>
      </c>
      <c r="I2525" s="4">
        <v>6</v>
      </c>
      <c r="J2525" s="4">
        <v>167</v>
      </c>
      <c r="K2525" s="4">
        <v>169</v>
      </c>
      <c r="L2525" s="4" t="s">
        <v>21152</v>
      </c>
      <c r="M2525" s="4" t="s">
        <v>21153</v>
      </c>
      <c r="N2525" s="4" t="s">
        <v>21154</v>
      </c>
      <c r="O2525" s="4" t="s">
        <v>63</v>
      </c>
      <c r="P2525" s="4"/>
      <c r="Q2525" s="4" t="s">
        <v>63</v>
      </c>
      <c r="R2525" s="4" t="s">
        <v>63</v>
      </c>
      <c r="S2525" s="4" t="s">
        <v>63</v>
      </c>
      <c r="T2525" s="4" t="s">
        <v>63</v>
      </c>
      <c r="U2525" s="4"/>
      <c r="V2525" s="4"/>
      <c r="W2525" s="4"/>
      <c r="X2525" s="4" t="s">
        <v>63</v>
      </c>
      <c r="Y2525" s="4" t="s">
        <v>294</v>
      </c>
      <c r="Z2525" s="4" t="s">
        <v>63</v>
      </c>
      <c r="AA2525" s="4" t="s">
        <v>63</v>
      </c>
      <c r="AB2525" s="4">
        <v>1976041570</v>
      </c>
      <c r="AC2525" s="4" t="s">
        <v>67</v>
      </c>
      <c r="AD2525" s="4" t="s">
        <v>63</v>
      </c>
      <c r="AE2525" s="4" t="s">
        <v>63</v>
      </c>
      <c r="AF2525" s="4" t="s">
        <v>63</v>
      </c>
      <c r="AG2525" s="4" t="s">
        <v>21155</v>
      </c>
      <c r="AH2525" s="4" t="s">
        <v>63</v>
      </c>
      <c r="AI2525" s="4" t="s">
        <v>63</v>
      </c>
      <c r="AJ2525" s="4" t="s">
        <v>63</v>
      </c>
      <c r="AK2525" s="4" t="s">
        <v>63</v>
      </c>
      <c r="AL2525" s="4" t="s">
        <v>63</v>
      </c>
      <c r="AM2525" s="4" t="s">
        <v>21156</v>
      </c>
      <c r="AN2525" s="4" t="s">
        <v>63</v>
      </c>
      <c r="AO2525" s="4" t="s">
        <v>63</v>
      </c>
      <c r="AP2525" s="4" t="s">
        <v>63</v>
      </c>
      <c r="AQ2525" s="4" t="s">
        <v>63</v>
      </c>
      <c r="AR2525" s="4" t="s">
        <v>63</v>
      </c>
      <c r="AS2525" s="4" t="s">
        <v>63</v>
      </c>
      <c r="AT2525" s="4" t="s">
        <v>63</v>
      </c>
      <c r="AU2525" s="4" t="s">
        <v>63</v>
      </c>
      <c r="AV2525" s="4" t="s">
        <v>63</v>
      </c>
      <c r="AW2525" s="4" t="s">
        <v>63</v>
      </c>
      <c r="AX2525" s="4" t="s">
        <v>63</v>
      </c>
      <c r="AY2525" s="4" t="s">
        <v>63</v>
      </c>
      <c r="AZ2525" s="4" t="s">
        <v>63</v>
      </c>
      <c r="BA2525" s="4" t="s">
        <v>63</v>
      </c>
      <c r="BB2525" s="4" t="s">
        <v>63</v>
      </c>
      <c r="BC2525" s="4" t="s">
        <v>63</v>
      </c>
      <c r="BD2525" s="4" t="s">
        <v>63</v>
      </c>
      <c r="BE2525" s="4" t="s">
        <v>63</v>
      </c>
      <c r="BF2525" s="4" t="s">
        <v>63</v>
      </c>
    </row>
    <row r="2526" spans="1:58">
      <c r="A2526" s="4" t="s">
        <v>58</v>
      </c>
      <c r="B2526" s="4" t="s">
        <v>21157</v>
      </c>
      <c r="C2526" s="4" t="s">
        <v>21158</v>
      </c>
      <c r="D2526" s="4" t="s">
        <v>21159</v>
      </c>
      <c r="E2526" s="4" t="s">
        <v>63</v>
      </c>
      <c r="F2526" s="4">
        <v>2016</v>
      </c>
      <c r="G2526" s="4" t="s">
        <v>63</v>
      </c>
      <c r="H2526" s="4">
        <v>10</v>
      </c>
      <c r="I2526" s="4">
        <v>4</v>
      </c>
      <c r="J2526" s="4">
        <v>291</v>
      </c>
      <c r="K2526" s="4">
        <v>295</v>
      </c>
      <c r="L2526" s="4" t="s">
        <v>21160</v>
      </c>
      <c r="M2526" s="4" t="s">
        <v>21161</v>
      </c>
      <c r="N2526" s="4" t="s">
        <v>21162</v>
      </c>
      <c r="O2526" s="4" t="s">
        <v>63</v>
      </c>
      <c r="P2526" s="4"/>
      <c r="Q2526" s="4" t="s">
        <v>63</v>
      </c>
      <c r="R2526" s="4" t="s">
        <v>63</v>
      </c>
      <c r="S2526" s="4" t="s">
        <v>63</v>
      </c>
      <c r="T2526" s="4" t="s">
        <v>63</v>
      </c>
      <c r="U2526" s="4"/>
      <c r="V2526" s="4"/>
      <c r="W2526" s="4"/>
      <c r="X2526" s="4" t="s">
        <v>63</v>
      </c>
      <c r="Y2526" s="4" t="s">
        <v>21163</v>
      </c>
      <c r="Z2526" s="4" t="s">
        <v>63</v>
      </c>
      <c r="AA2526" s="4" t="s">
        <v>63</v>
      </c>
      <c r="AB2526" s="4" t="s">
        <v>21164</v>
      </c>
      <c r="AC2526" s="4" t="s">
        <v>67</v>
      </c>
      <c r="AD2526" s="4" t="s">
        <v>63</v>
      </c>
      <c r="AE2526" s="4" t="s">
        <v>63</v>
      </c>
      <c r="AF2526" s="4" t="s">
        <v>63</v>
      </c>
      <c r="AG2526" s="4" t="s">
        <v>63</v>
      </c>
      <c r="AH2526" s="4" t="s">
        <v>63</v>
      </c>
      <c r="AI2526" s="4" t="s">
        <v>21165</v>
      </c>
      <c r="AJ2526" s="4" t="s">
        <v>63</v>
      </c>
      <c r="AK2526" s="4" t="s">
        <v>63</v>
      </c>
      <c r="AL2526" s="4" t="s">
        <v>63</v>
      </c>
      <c r="AM2526" s="4" t="s">
        <v>21158</v>
      </c>
      <c r="AN2526" s="4" t="s">
        <v>63</v>
      </c>
      <c r="AO2526" s="4" t="s">
        <v>63</v>
      </c>
      <c r="AP2526" s="4" t="s">
        <v>63</v>
      </c>
      <c r="AQ2526" s="4" t="s">
        <v>63</v>
      </c>
      <c r="AR2526" s="4" t="s">
        <v>63</v>
      </c>
      <c r="AS2526" s="4" t="s">
        <v>63</v>
      </c>
      <c r="AT2526" s="4" t="s">
        <v>63</v>
      </c>
      <c r="AU2526" s="4" t="s">
        <v>63</v>
      </c>
      <c r="AV2526" s="4" t="s">
        <v>63</v>
      </c>
      <c r="AW2526" s="4" t="s">
        <v>63</v>
      </c>
      <c r="AX2526" s="4" t="s">
        <v>63</v>
      </c>
      <c r="AY2526" s="4" t="s">
        <v>63</v>
      </c>
      <c r="AZ2526" s="4" t="s">
        <v>63</v>
      </c>
      <c r="BA2526" s="4" t="s">
        <v>63</v>
      </c>
      <c r="BB2526" s="4" t="s">
        <v>63</v>
      </c>
      <c r="BC2526" s="4" t="s">
        <v>63</v>
      </c>
      <c r="BD2526" s="4" t="s">
        <v>63</v>
      </c>
      <c r="BE2526" s="4" t="s">
        <v>63</v>
      </c>
      <c r="BF2526" s="4" t="s">
        <v>63</v>
      </c>
    </row>
    <row r="2527" spans="1:58">
      <c r="A2527" s="4" t="s">
        <v>58</v>
      </c>
      <c r="B2527" s="4" t="s">
        <v>21166</v>
      </c>
      <c r="C2527" s="4" t="s">
        <v>21167</v>
      </c>
      <c r="D2527" s="4" t="s">
        <v>16284</v>
      </c>
      <c r="E2527" s="4" t="s">
        <v>16285</v>
      </c>
      <c r="F2527" s="4">
        <v>2008</v>
      </c>
      <c r="G2527" s="4" t="s">
        <v>15389</v>
      </c>
      <c r="H2527" s="4">
        <v>25</v>
      </c>
      <c r="I2527" s="4">
        <v>3</v>
      </c>
      <c r="J2527" s="4">
        <v>313</v>
      </c>
      <c r="K2527" s="4">
        <v>318</v>
      </c>
      <c r="L2527" s="4" t="s">
        <v>21168</v>
      </c>
      <c r="M2527" s="4" t="s">
        <v>21169</v>
      </c>
      <c r="N2527" s="4" t="s">
        <v>21170</v>
      </c>
      <c r="O2527" s="4" t="s">
        <v>63</v>
      </c>
      <c r="P2527" s="4"/>
      <c r="Q2527" s="4" t="s">
        <v>63</v>
      </c>
      <c r="R2527" s="4" t="s">
        <v>63</v>
      </c>
      <c r="S2527" s="4" t="s">
        <v>63</v>
      </c>
      <c r="T2527" s="4" t="s">
        <v>63</v>
      </c>
      <c r="U2527" s="4"/>
      <c r="V2527" s="4"/>
      <c r="W2527" s="4"/>
      <c r="X2527" s="4" t="s">
        <v>63</v>
      </c>
      <c r="Y2527" s="4" t="s">
        <v>16289</v>
      </c>
      <c r="Z2527" s="4" t="s">
        <v>63</v>
      </c>
      <c r="AA2527" s="4" t="s">
        <v>63</v>
      </c>
      <c r="AB2527" s="4">
        <v>2008245616</v>
      </c>
      <c r="AC2527" s="4" t="s">
        <v>1371</v>
      </c>
      <c r="AD2527" s="4" t="s">
        <v>63</v>
      </c>
      <c r="AE2527" s="4" t="s">
        <v>63</v>
      </c>
      <c r="AF2527" s="4" t="s">
        <v>63</v>
      </c>
      <c r="AG2527" s="4" t="s">
        <v>21171</v>
      </c>
      <c r="AH2527" s="4" t="s">
        <v>63</v>
      </c>
      <c r="AI2527" s="4" t="s">
        <v>21172</v>
      </c>
      <c r="AJ2527" s="4" t="s">
        <v>63</v>
      </c>
      <c r="AK2527" s="4" t="s">
        <v>63</v>
      </c>
      <c r="AL2527" s="4" t="s">
        <v>63</v>
      </c>
      <c r="AM2527" s="4" t="s">
        <v>21173</v>
      </c>
      <c r="AN2527" s="4" t="s">
        <v>63</v>
      </c>
      <c r="AO2527" s="4" t="s">
        <v>63</v>
      </c>
      <c r="AP2527" s="4" t="s">
        <v>63</v>
      </c>
      <c r="AQ2527" s="4" t="s">
        <v>63</v>
      </c>
      <c r="AR2527" s="4" t="s">
        <v>63</v>
      </c>
      <c r="AS2527" s="4" t="s">
        <v>63</v>
      </c>
      <c r="AT2527" s="4" t="s">
        <v>63</v>
      </c>
      <c r="AU2527" s="4" t="s">
        <v>63</v>
      </c>
      <c r="AV2527" s="4" t="s">
        <v>63</v>
      </c>
      <c r="AW2527" s="4" t="s">
        <v>63</v>
      </c>
      <c r="AX2527" s="4" t="s">
        <v>63</v>
      </c>
      <c r="AY2527" s="4" t="s">
        <v>63</v>
      </c>
      <c r="AZ2527" s="4" t="s">
        <v>63</v>
      </c>
      <c r="BA2527" s="4" t="s">
        <v>63</v>
      </c>
      <c r="BB2527" s="4" t="s">
        <v>63</v>
      </c>
      <c r="BC2527" s="4" t="s">
        <v>63</v>
      </c>
      <c r="BD2527" s="4" t="s">
        <v>63</v>
      </c>
      <c r="BE2527" s="4" t="s">
        <v>63</v>
      </c>
      <c r="BF2527" s="4" t="s">
        <v>63</v>
      </c>
    </row>
    <row r="2528" spans="1:58">
      <c r="A2528" s="4" t="s">
        <v>58</v>
      </c>
      <c r="B2528" s="4" t="s">
        <v>21174</v>
      </c>
      <c r="C2528" s="4" t="s">
        <v>21175</v>
      </c>
      <c r="D2528" s="4" t="s">
        <v>763</v>
      </c>
      <c r="E2528" s="4" t="s">
        <v>63</v>
      </c>
      <c r="F2528" s="4">
        <v>1993</v>
      </c>
      <c r="G2528" s="4" t="s">
        <v>63</v>
      </c>
      <c r="H2528" s="4">
        <v>68</v>
      </c>
      <c r="I2528" s="4">
        <v>10</v>
      </c>
      <c r="J2528" s="4">
        <v>811</v>
      </c>
      <c r="K2528" s="4" t="s">
        <v>63</v>
      </c>
      <c r="L2528" s="4" t="s">
        <v>21176</v>
      </c>
      <c r="M2528" s="4" t="s">
        <v>63</v>
      </c>
      <c r="N2528" s="4" t="s">
        <v>21177</v>
      </c>
      <c r="O2528" s="4" t="s">
        <v>63</v>
      </c>
      <c r="P2528" s="4"/>
      <c r="Q2528" s="4" t="s">
        <v>63</v>
      </c>
      <c r="R2528" s="4" t="s">
        <v>63</v>
      </c>
      <c r="S2528" s="4" t="s">
        <v>63</v>
      </c>
      <c r="T2528" s="4" t="s">
        <v>63</v>
      </c>
      <c r="U2528" s="4"/>
      <c r="V2528" s="4"/>
      <c r="W2528" s="4"/>
      <c r="X2528" s="4" t="s">
        <v>63</v>
      </c>
      <c r="Y2528" s="4" t="s">
        <v>858</v>
      </c>
      <c r="Z2528" s="4" t="s">
        <v>63</v>
      </c>
      <c r="AA2528" s="4" t="s">
        <v>63</v>
      </c>
      <c r="AB2528" s="4">
        <v>1993313046</v>
      </c>
      <c r="AC2528" s="4" t="s">
        <v>67</v>
      </c>
      <c r="AD2528" s="4" t="s">
        <v>63</v>
      </c>
      <c r="AE2528" s="4" t="s">
        <v>63</v>
      </c>
      <c r="AF2528" s="4" t="s">
        <v>63</v>
      </c>
      <c r="AG2528" s="4" t="s">
        <v>21178</v>
      </c>
      <c r="AH2528" s="4" t="s">
        <v>63</v>
      </c>
      <c r="AI2528" s="4" t="s">
        <v>21179</v>
      </c>
      <c r="AJ2528" s="4" t="s">
        <v>63</v>
      </c>
      <c r="AK2528" s="4" t="s">
        <v>63</v>
      </c>
      <c r="AL2528" s="4" t="s">
        <v>63</v>
      </c>
      <c r="AM2528" s="4" t="s">
        <v>21180</v>
      </c>
      <c r="AN2528" s="4" t="s">
        <v>63</v>
      </c>
      <c r="AO2528" s="4" t="s">
        <v>63</v>
      </c>
      <c r="AP2528" s="4" t="s">
        <v>63</v>
      </c>
      <c r="AQ2528" s="4" t="s">
        <v>63</v>
      </c>
      <c r="AR2528" s="4" t="s">
        <v>63</v>
      </c>
      <c r="AS2528" s="4" t="s">
        <v>63</v>
      </c>
      <c r="AT2528" s="4" t="s">
        <v>63</v>
      </c>
      <c r="AU2528" s="4" t="s">
        <v>63</v>
      </c>
      <c r="AV2528" s="4" t="s">
        <v>63</v>
      </c>
      <c r="AW2528" s="4" t="s">
        <v>63</v>
      </c>
      <c r="AX2528" s="4" t="s">
        <v>63</v>
      </c>
      <c r="AY2528" s="4" t="s">
        <v>63</v>
      </c>
      <c r="AZ2528" s="4" t="s">
        <v>63</v>
      </c>
      <c r="BA2528" s="4" t="s">
        <v>63</v>
      </c>
      <c r="BB2528" s="4" t="s">
        <v>63</v>
      </c>
      <c r="BC2528" s="4" t="s">
        <v>63</v>
      </c>
      <c r="BD2528" s="4" t="s">
        <v>63</v>
      </c>
      <c r="BE2528" s="4" t="s">
        <v>63</v>
      </c>
      <c r="BF2528" s="4" t="s">
        <v>63</v>
      </c>
    </row>
    <row r="2529" spans="1:58">
      <c r="A2529" s="4" t="s">
        <v>58</v>
      </c>
      <c r="B2529" s="4" t="s">
        <v>21181</v>
      </c>
      <c r="C2529" s="4" t="s">
        <v>21182</v>
      </c>
      <c r="D2529" s="4" t="s">
        <v>14858</v>
      </c>
      <c r="E2529" s="4" t="s">
        <v>14859</v>
      </c>
      <c r="F2529" s="4">
        <v>2008</v>
      </c>
      <c r="G2529" s="4" t="s">
        <v>15155</v>
      </c>
      <c r="H2529" s="4">
        <v>69</v>
      </c>
      <c r="I2529" s="4">
        <v>6</v>
      </c>
      <c r="J2529" s="4">
        <v>981</v>
      </c>
      <c r="K2529" s="4">
        <v>990</v>
      </c>
      <c r="L2529" s="4" t="s">
        <v>21183</v>
      </c>
      <c r="M2529" s="4" t="s">
        <v>21184</v>
      </c>
      <c r="N2529" s="4" t="s">
        <v>21185</v>
      </c>
      <c r="O2529" s="4" t="s">
        <v>63</v>
      </c>
      <c r="P2529" s="4"/>
      <c r="Q2529" s="4" t="s">
        <v>63</v>
      </c>
      <c r="R2529" s="4" t="s">
        <v>63</v>
      </c>
      <c r="S2529" s="4" t="s">
        <v>63</v>
      </c>
      <c r="T2529" s="4" t="s">
        <v>63</v>
      </c>
      <c r="U2529" s="4"/>
      <c r="V2529" s="4"/>
      <c r="W2529" s="4"/>
      <c r="X2529" s="4" t="s">
        <v>63</v>
      </c>
      <c r="Y2529" s="4" t="s">
        <v>14864</v>
      </c>
      <c r="Z2529" s="4" t="s">
        <v>63</v>
      </c>
      <c r="AA2529" s="4" t="s">
        <v>63</v>
      </c>
      <c r="AB2529" s="4">
        <v>2008323741</v>
      </c>
      <c r="AC2529" s="4" t="s">
        <v>67</v>
      </c>
      <c r="AD2529" s="4" t="s">
        <v>63</v>
      </c>
      <c r="AE2529" s="4" t="s">
        <v>63</v>
      </c>
      <c r="AF2529" s="4" t="s">
        <v>63</v>
      </c>
      <c r="AG2529" s="4" t="s">
        <v>21186</v>
      </c>
      <c r="AH2529" s="4" t="s">
        <v>63</v>
      </c>
      <c r="AI2529" s="4" t="s">
        <v>63</v>
      </c>
      <c r="AJ2529" s="4" t="s">
        <v>63</v>
      </c>
      <c r="AK2529" s="4" t="s">
        <v>63</v>
      </c>
      <c r="AL2529" s="4" t="s">
        <v>63</v>
      </c>
      <c r="AM2529" s="4" t="s">
        <v>21187</v>
      </c>
      <c r="AN2529" s="4" t="s">
        <v>63</v>
      </c>
      <c r="AO2529" s="4" t="s">
        <v>63</v>
      </c>
      <c r="AP2529" s="4" t="s">
        <v>63</v>
      </c>
      <c r="AQ2529" s="4" t="s">
        <v>63</v>
      </c>
      <c r="AR2529" s="4" t="s">
        <v>63</v>
      </c>
      <c r="AS2529" s="4" t="s">
        <v>63</v>
      </c>
      <c r="AT2529" s="4" t="s">
        <v>63</v>
      </c>
      <c r="AU2529" s="4" t="s">
        <v>63</v>
      </c>
      <c r="AV2529" s="4" t="s">
        <v>63</v>
      </c>
      <c r="AW2529" s="4" t="s">
        <v>63</v>
      </c>
      <c r="AX2529" s="4" t="s">
        <v>63</v>
      </c>
      <c r="AY2529" s="4" t="s">
        <v>63</v>
      </c>
      <c r="AZ2529" s="4" t="s">
        <v>63</v>
      </c>
      <c r="BA2529" s="4" t="s">
        <v>63</v>
      </c>
      <c r="BB2529" s="4" t="s">
        <v>63</v>
      </c>
      <c r="BC2529" s="4" t="s">
        <v>63</v>
      </c>
      <c r="BD2529" s="4" t="s">
        <v>63</v>
      </c>
      <c r="BE2529" s="4" t="s">
        <v>63</v>
      </c>
      <c r="BF2529" s="4" t="s">
        <v>63</v>
      </c>
    </row>
    <row r="2530" spans="1:58">
      <c r="A2530" s="4" t="s">
        <v>58</v>
      </c>
      <c r="B2530" s="4" t="s">
        <v>21188</v>
      </c>
      <c r="C2530" s="4" t="s">
        <v>21189</v>
      </c>
      <c r="D2530" s="4" t="s">
        <v>18470</v>
      </c>
      <c r="E2530" s="4" t="s">
        <v>63</v>
      </c>
      <c r="F2530" s="4">
        <v>2016</v>
      </c>
      <c r="G2530" s="4">
        <v>1</v>
      </c>
      <c r="H2530" s="4">
        <v>24</v>
      </c>
      <c r="I2530" s="4">
        <v>2</v>
      </c>
      <c r="J2530" s="4">
        <v>134</v>
      </c>
      <c r="K2530" s="4">
        <v>138</v>
      </c>
      <c r="L2530" s="4" t="s">
        <v>21190</v>
      </c>
      <c r="M2530" s="4" t="s">
        <v>21191</v>
      </c>
      <c r="N2530" s="4" t="s">
        <v>21192</v>
      </c>
      <c r="O2530" s="4" t="s">
        <v>63</v>
      </c>
      <c r="P2530" s="4"/>
      <c r="Q2530" s="4" t="s">
        <v>63</v>
      </c>
      <c r="R2530" s="4" t="s">
        <v>63</v>
      </c>
      <c r="S2530" s="4" t="s">
        <v>63</v>
      </c>
      <c r="T2530" s="4" t="s">
        <v>63</v>
      </c>
      <c r="U2530" s="4"/>
      <c r="V2530" s="4"/>
      <c r="W2530" s="4"/>
      <c r="X2530" s="4" t="s">
        <v>63</v>
      </c>
      <c r="Y2530" s="4" t="s">
        <v>21193</v>
      </c>
      <c r="Z2530" s="4" t="s">
        <v>63</v>
      </c>
      <c r="AA2530" s="4" t="s">
        <v>63</v>
      </c>
      <c r="AB2530" s="4">
        <v>20151030292</v>
      </c>
      <c r="AC2530" s="4" t="s">
        <v>67</v>
      </c>
      <c r="AD2530" s="4" t="s">
        <v>63</v>
      </c>
      <c r="AE2530" s="4" t="s">
        <v>63</v>
      </c>
      <c r="AF2530" s="4" t="s">
        <v>63</v>
      </c>
      <c r="AG2530" s="4" t="s">
        <v>21194</v>
      </c>
      <c r="AH2530" s="4" t="s">
        <v>63</v>
      </c>
      <c r="AI2530" s="4" t="s">
        <v>21195</v>
      </c>
      <c r="AJ2530" s="4" t="s">
        <v>63</v>
      </c>
      <c r="AK2530" s="4" t="s">
        <v>63</v>
      </c>
      <c r="AL2530" s="4" t="s">
        <v>63</v>
      </c>
      <c r="AM2530" s="4" t="s">
        <v>21196</v>
      </c>
      <c r="AN2530" s="4" t="s">
        <v>63</v>
      </c>
      <c r="AO2530" s="4" t="s">
        <v>63</v>
      </c>
      <c r="AP2530" s="4" t="s">
        <v>63</v>
      </c>
      <c r="AQ2530" s="4" t="s">
        <v>63</v>
      </c>
      <c r="AR2530" s="4" t="s">
        <v>63</v>
      </c>
      <c r="AS2530" s="4" t="s">
        <v>63</v>
      </c>
      <c r="AT2530" s="4" t="s">
        <v>63</v>
      </c>
      <c r="AU2530" s="4" t="s">
        <v>63</v>
      </c>
      <c r="AV2530" s="4" t="s">
        <v>63</v>
      </c>
      <c r="AW2530" s="4" t="s">
        <v>63</v>
      </c>
      <c r="AX2530" s="4" t="s">
        <v>63</v>
      </c>
      <c r="AY2530" s="4" t="s">
        <v>63</v>
      </c>
      <c r="AZ2530" s="4" t="s">
        <v>63</v>
      </c>
      <c r="BA2530" s="4" t="s">
        <v>63</v>
      </c>
      <c r="BB2530" s="4" t="s">
        <v>63</v>
      </c>
      <c r="BC2530" s="4" t="s">
        <v>63</v>
      </c>
      <c r="BD2530" s="4" t="s">
        <v>63</v>
      </c>
      <c r="BE2530" s="4" t="s">
        <v>63</v>
      </c>
      <c r="BF2530" s="4" t="s">
        <v>63</v>
      </c>
    </row>
    <row r="2531" spans="1:58">
      <c r="A2531" s="4" t="s">
        <v>58</v>
      </c>
      <c r="B2531" s="4" t="s">
        <v>21197</v>
      </c>
      <c r="C2531" s="4" t="s">
        <v>21198</v>
      </c>
      <c r="D2531" s="4" t="s">
        <v>17159</v>
      </c>
      <c r="E2531" s="4" t="s">
        <v>63</v>
      </c>
      <c r="F2531" s="4">
        <v>2014</v>
      </c>
      <c r="G2531" s="4" t="s">
        <v>63</v>
      </c>
      <c r="H2531" s="4">
        <v>5</v>
      </c>
      <c r="I2531" s="4">
        <v>3</v>
      </c>
      <c r="J2531" s="4">
        <v>17</v>
      </c>
      <c r="K2531" s="4">
        <v>20</v>
      </c>
      <c r="L2531" s="4" t="s">
        <v>21199</v>
      </c>
      <c r="M2531" s="4" t="s">
        <v>21200</v>
      </c>
      <c r="N2531" s="4" t="s">
        <v>21201</v>
      </c>
      <c r="O2531" s="4" t="s">
        <v>63</v>
      </c>
      <c r="P2531" s="4"/>
      <c r="Q2531" s="4" t="s">
        <v>63</v>
      </c>
      <c r="R2531" s="4" t="s">
        <v>63</v>
      </c>
      <c r="S2531" s="4" t="s">
        <v>63</v>
      </c>
      <c r="T2531" s="4" t="s">
        <v>63</v>
      </c>
      <c r="U2531" s="4"/>
      <c r="V2531" s="4"/>
      <c r="W2531" s="4"/>
      <c r="X2531" s="4" t="s">
        <v>63</v>
      </c>
      <c r="Y2531" s="4" t="s">
        <v>17162</v>
      </c>
      <c r="Z2531" s="4" t="s">
        <v>63</v>
      </c>
      <c r="AA2531" s="4" t="s">
        <v>63</v>
      </c>
      <c r="AB2531" s="4" t="s">
        <v>21202</v>
      </c>
      <c r="AC2531" s="4" t="s">
        <v>67</v>
      </c>
      <c r="AD2531" s="4" t="s">
        <v>63</v>
      </c>
      <c r="AE2531" s="4" t="s">
        <v>63</v>
      </c>
      <c r="AF2531" s="4" t="s">
        <v>63</v>
      </c>
      <c r="AG2531" s="4" t="s">
        <v>63</v>
      </c>
      <c r="AH2531" s="4" t="s">
        <v>63</v>
      </c>
      <c r="AI2531" s="4" t="s">
        <v>63</v>
      </c>
      <c r="AJ2531" s="4" t="s">
        <v>63</v>
      </c>
      <c r="AK2531" s="4" t="s">
        <v>63</v>
      </c>
      <c r="AL2531" s="4" t="s">
        <v>63</v>
      </c>
      <c r="AM2531" s="4" t="s">
        <v>21198</v>
      </c>
      <c r="AN2531" s="4" t="s">
        <v>63</v>
      </c>
      <c r="AO2531" s="4" t="s">
        <v>63</v>
      </c>
      <c r="AP2531" s="4" t="s">
        <v>63</v>
      </c>
      <c r="AQ2531" s="4" t="s">
        <v>63</v>
      </c>
      <c r="AR2531" s="4" t="s">
        <v>63</v>
      </c>
      <c r="AS2531" s="4" t="s">
        <v>63</v>
      </c>
      <c r="AT2531" s="4" t="s">
        <v>63</v>
      </c>
      <c r="AU2531" s="4" t="s">
        <v>63</v>
      </c>
      <c r="AV2531" s="4" t="s">
        <v>63</v>
      </c>
      <c r="AW2531" s="4" t="s">
        <v>63</v>
      </c>
      <c r="AX2531" s="4" t="s">
        <v>63</v>
      </c>
      <c r="AY2531" s="4" t="s">
        <v>63</v>
      </c>
      <c r="AZ2531" s="4" t="s">
        <v>63</v>
      </c>
      <c r="BA2531" s="4" t="s">
        <v>63</v>
      </c>
      <c r="BB2531" s="4" t="s">
        <v>63</v>
      </c>
      <c r="BC2531" s="4" t="s">
        <v>63</v>
      </c>
      <c r="BD2531" s="4" t="s">
        <v>63</v>
      </c>
      <c r="BE2531" s="4" t="s">
        <v>63</v>
      </c>
      <c r="BF2531" s="4" t="s">
        <v>63</v>
      </c>
    </row>
    <row r="2532" spans="1:58">
      <c r="A2532" s="4" t="s">
        <v>58</v>
      </c>
      <c r="B2532" s="4" t="s">
        <v>21203</v>
      </c>
      <c r="C2532" s="4" t="s">
        <v>21204</v>
      </c>
      <c r="D2532" s="4" t="s">
        <v>15421</v>
      </c>
      <c r="E2532" s="4" t="s">
        <v>63</v>
      </c>
      <c r="F2532" s="4">
        <v>2011</v>
      </c>
      <c r="G2532" s="4" t="s">
        <v>138</v>
      </c>
      <c r="H2532" s="4">
        <v>32</v>
      </c>
      <c r="I2532" s="4">
        <v>4</v>
      </c>
      <c r="J2532" s="4">
        <v>180</v>
      </c>
      <c r="K2532" s="4">
        <v>190</v>
      </c>
      <c r="L2532" s="4" t="s">
        <v>21205</v>
      </c>
      <c r="M2532" s="4" t="s">
        <v>21206</v>
      </c>
      <c r="N2532" s="4" t="s">
        <v>21207</v>
      </c>
      <c r="O2532" s="4" t="s">
        <v>63</v>
      </c>
      <c r="P2532" s="4"/>
      <c r="Q2532" s="4" t="s">
        <v>63</v>
      </c>
      <c r="R2532" s="4" t="s">
        <v>63</v>
      </c>
      <c r="S2532" s="4" t="s">
        <v>63</v>
      </c>
      <c r="T2532" s="4" t="s">
        <v>63</v>
      </c>
      <c r="U2532" s="4"/>
      <c r="V2532" s="4"/>
      <c r="W2532" s="4"/>
      <c r="X2532" s="4" t="s">
        <v>63</v>
      </c>
      <c r="Y2532" s="4" t="s">
        <v>15425</v>
      </c>
      <c r="Z2532" s="4" t="s">
        <v>63</v>
      </c>
      <c r="AA2532" s="4" t="s">
        <v>63</v>
      </c>
      <c r="AB2532" s="4" t="s">
        <v>63</v>
      </c>
      <c r="AC2532" s="4" t="s">
        <v>67</v>
      </c>
      <c r="AD2532" s="4" t="s">
        <v>63</v>
      </c>
      <c r="AE2532" s="4" t="s">
        <v>63</v>
      </c>
      <c r="AF2532" s="4" t="s">
        <v>63</v>
      </c>
      <c r="AG2532" s="4" t="s">
        <v>21208</v>
      </c>
      <c r="AH2532" s="4" t="s">
        <v>63</v>
      </c>
      <c r="AI2532" s="4" t="s">
        <v>63</v>
      </c>
      <c r="AJ2532" s="4" t="s">
        <v>63</v>
      </c>
      <c r="AK2532" s="4" t="s">
        <v>63</v>
      </c>
      <c r="AL2532" s="4" t="s">
        <v>63</v>
      </c>
      <c r="AM2532" s="4" t="s">
        <v>21209</v>
      </c>
      <c r="AN2532" s="4" t="s">
        <v>63</v>
      </c>
      <c r="AO2532" s="4" t="s">
        <v>63</v>
      </c>
      <c r="AP2532" s="4" t="s">
        <v>63</v>
      </c>
      <c r="AQ2532" s="4" t="s">
        <v>63</v>
      </c>
      <c r="AR2532" s="4" t="s">
        <v>63</v>
      </c>
      <c r="AS2532" s="4" t="s">
        <v>63</v>
      </c>
      <c r="AT2532" s="4" t="s">
        <v>63</v>
      </c>
      <c r="AU2532" s="4" t="s">
        <v>63</v>
      </c>
      <c r="AV2532" s="4" t="s">
        <v>63</v>
      </c>
      <c r="AW2532" s="4" t="s">
        <v>63</v>
      </c>
      <c r="AX2532" s="4" t="s">
        <v>63</v>
      </c>
      <c r="AY2532" s="4" t="s">
        <v>63</v>
      </c>
      <c r="AZ2532" s="4" t="s">
        <v>63</v>
      </c>
      <c r="BA2532" s="4" t="s">
        <v>63</v>
      </c>
      <c r="BB2532" s="4" t="s">
        <v>63</v>
      </c>
      <c r="BC2532" s="4" t="s">
        <v>63</v>
      </c>
      <c r="BD2532" s="4" t="s">
        <v>63</v>
      </c>
      <c r="BE2532" s="4" t="s">
        <v>63</v>
      </c>
      <c r="BF2532" s="4" t="s">
        <v>63</v>
      </c>
    </row>
    <row r="2533" spans="1:58">
      <c r="A2533" s="4" t="s">
        <v>58</v>
      </c>
      <c r="B2533" s="4" t="s">
        <v>21210</v>
      </c>
      <c r="C2533" s="4" t="s">
        <v>21211</v>
      </c>
      <c r="D2533" s="4" t="s">
        <v>21212</v>
      </c>
      <c r="E2533" s="4" t="s">
        <v>63</v>
      </c>
      <c r="F2533" s="4">
        <v>2006</v>
      </c>
      <c r="G2533" s="4" t="s">
        <v>15254</v>
      </c>
      <c r="H2533" s="4">
        <v>9</v>
      </c>
      <c r="I2533" s="4">
        <v>6</v>
      </c>
      <c r="J2533" s="4">
        <v>508</v>
      </c>
      <c r="K2533" s="4">
        <v>519</v>
      </c>
      <c r="L2533" s="4" t="s">
        <v>21213</v>
      </c>
      <c r="M2533" s="4" t="s">
        <v>21214</v>
      </c>
      <c r="N2533" s="4" t="s">
        <v>21215</v>
      </c>
      <c r="O2533" s="4" t="s">
        <v>63</v>
      </c>
      <c r="P2533" s="4"/>
      <c r="Q2533" s="4" t="s">
        <v>63</v>
      </c>
      <c r="R2533" s="4" t="s">
        <v>63</v>
      </c>
      <c r="S2533" s="4" t="s">
        <v>63</v>
      </c>
      <c r="T2533" s="4" t="s">
        <v>63</v>
      </c>
      <c r="U2533" s="4"/>
      <c r="V2533" s="4"/>
      <c r="W2533" s="4"/>
      <c r="X2533" s="4" t="s">
        <v>63</v>
      </c>
      <c r="Y2533" s="4" t="s">
        <v>21216</v>
      </c>
      <c r="Z2533" s="4" t="s">
        <v>63</v>
      </c>
      <c r="AA2533" s="4" t="s">
        <v>63</v>
      </c>
      <c r="AB2533" s="4" t="s">
        <v>21217</v>
      </c>
      <c r="AC2533" s="4" t="s">
        <v>67</v>
      </c>
      <c r="AD2533" s="4" t="s">
        <v>63</v>
      </c>
      <c r="AE2533" s="4" t="s">
        <v>63</v>
      </c>
      <c r="AF2533" s="4" t="s">
        <v>63</v>
      </c>
      <c r="AG2533" s="4" t="s">
        <v>63</v>
      </c>
      <c r="AH2533" s="4" t="s">
        <v>63</v>
      </c>
      <c r="AI2533" s="4" t="s">
        <v>21218</v>
      </c>
      <c r="AJ2533" s="4" t="s">
        <v>63</v>
      </c>
      <c r="AK2533" s="4" t="s">
        <v>63</v>
      </c>
      <c r="AL2533" s="4" t="s">
        <v>63</v>
      </c>
      <c r="AM2533" s="4" t="s">
        <v>21211</v>
      </c>
      <c r="AN2533" s="4" t="s">
        <v>63</v>
      </c>
      <c r="AO2533" s="4" t="s">
        <v>63</v>
      </c>
      <c r="AP2533" s="4" t="s">
        <v>63</v>
      </c>
      <c r="AQ2533" s="4" t="s">
        <v>63</v>
      </c>
      <c r="AR2533" s="4" t="s">
        <v>63</v>
      </c>
      <c r="AS2533" s="4" t="s">
        <v>63</v>
      </c>
      <c r="AT2533" s="4" t="s">
        <v>63</v>
      </c>
      <c r="AU2533" s="4" t="s">
        <v>63</v>
      </c>
      <c r="AV2533" s="4" t="s">
        <v>63</v>
      </c>
      <c r="AW2533" s="4" t="s">
        <v>63</v>
      </c>
      <c r="AX2533" s="4" t="s">
        <v>63</v>
      </c>
      <c r="AY2533" s="4" t="s">
        <v>63</v>
      </c>
      <c r="AZ2533" s="4" t="s">
        <v>63</v>
      </c>
      <c r="BA2533" s="4" t="s">
        <v>63</v>
      </c>
      <c r="BB2533" s="4" t="s">
        <v>63</v>
      </c>
      <c r="BC2533" s="4" t="s">
        <v>63</v>
      </c>
      <c r="BD2533" s="4" t="s">
        <v>63</v>
      </c>
      <c r="BE2533" s="4" t="s">
        <v>63</v>
      </c>
      <c r="BF2533" s="4" t="s">
        <v>63</v>
      </c>
    </row>
    <row r="2534" spans="1:58">
      <c r="A2534" s="4" t="s">
        <v>58</v>
      </c>
      <c r="B2534" s="4" t="s">
        <v>21219</v>
      </c>
      <c r="C2534" s="4" t="s">
        <v>21220</v>
      </c>
      <c r="D2534" s="4" t="s">
        <v>1481</v>
      </c>
      <c r="E2534" s="4" t="s">
        <v>1481</v>
      </c>
      <c r="F2534" s="4">
        <v>2009</v>
      </c>
      <c r="G2534" s="4" t="s">
        <v>15665</v>
      </c>
      <c r="H2534" s="4">
        <v>104</v>
      </c>
      <c r="I2534" s="4">
        <v>2</v>
      </c>
      <c r="J2534" s="4">
        <v>288</v>
      </c>
      <c r="K2534" s="4">
        <v>296</v>
      </c>
      <c r="L2534" s="4" t="s">
        <v>21221</v>
      </c>
      <c r="M2534" s="4" t="s">
        <v>21222</v>
      </c>
      <c r="N2534" s="4" t="s">
        <v>21223</v>
      </c>
      <c r="O2534" s="4" t="s">
        <v>63</v>
      </c>
      <c r="P2534" s="4"/>
      <c r="Q2534" s="4" t="s">
        <v>63</v>
      </c>
      <c r="R2534" s="4" t="s">
        <v>63</v>
      </c>
      <c r="S2534" s="4" t="s">
        <v>63</v>
      </c>
      <c r="T2534" s="4" t="s">
        <v>63</v>
      </c>
      <c r="U2534" s="4"/>
      <c r="V2534" s="4"/>
      <c r="W2534" s="4"/>
      <c r="X2534" s="4" t="s">
        <v>63</v>
      </c>
      <c r="Y2534" s="4" t="s">
        <v>15061</v>
      </c>
      <c r="Z2534" s="4" t="s">
        <v>63</v>
      </c>
      <c r="AA2534" s="4" t="s">
        <v>63</v>
      </c>
      <c r="AB2534" s="4">
        <v>2009032342</v>
      </c>
      <c r="AC2534" s="4" t="s">
        <v>67</v>
      </c>
      <c r="AD2534" s="4" t="s">
        <v>63</v>
      </c>
      <c r="AE2534" s="4" t="s">
        <v>63</v>
      </c>
      <c r="AF2534" s="4" t="s">
        <v>63</v>
      </c>
      <c r="AG2534" s="4" t="s">
        <v>21224</v>
      </c>
      <c r="AH2534" s="4" t="s">
        <v>63</v>
      </c>
      <c r="AI2534" s="4" t="s">
        <v>21225</v>
      </c>
      <c r="AJ2534" s="4" t="s">
        <v>63</v>
      </c>
      <c r="AK2534" s="4" t="s">
        <v>63</v>
      </c>
      <c r="AL2534" s="4" t="s">
        <v>63</v>
      </c>
      <c r="AM2534" s="4" t="s">
        <v>21226</v>
      </c>
      <c r="AN2534" s="4" t="s">
        <v>63</v>
      </c>
      <c r="AO2534" s="4" t="s">
        <v>63</v>
      </c>
      <c r="AP2534" s="4" t="s">
        <v>63</v>
      </c>
      <c r="AQ2534" s="4" t="s">
        <v>63</v>
      </c>
      <c r="AR2534" s="4" t="s">
        <v>63</v>
      </c>
      <c r="AS2534" s="4" t="s">
        <v>63</v>
      </c>
      <c r="AT2534" s="4" t="s">
        <v>63</v>
      </c>
      <c r="AU2534" s="4" t="s">
        <v>63</v>
      </c>
      <c r="AV2534" s="4" t="s">
        <v>63</v>
      </c>
      <c r="AW2534" s="4" t="s">
        <v>63</v>
      </c>
      <c r="AX2534" s="4" t="s">
        <v>63</v>
      </c>
      <c r="AY2534" s="4" t="s">
        <v>63</v>
      </c>
      <c r="AZ2534" s="4" t="s">
        <v>63</v>
      </c>
      <c r="BA2534" s="4" t="s">
        <v>63</v>
      </c>
      <c r="BB2534" s="4" t="s">
        <v>63</v>
      </c>
      <c r="BC2534" s="4" t="s">
        <v>63</v>
      </c>
      <c r="BD2534" s="4" t="s">
        <v>63</v>
      </c>
      <c r="BE2534" s="4" t="s">
        <v>63</v>
      </c>
      <c r="BF2534" s="4" t="s">
        <v>63</v>
      </c>
    </row>
    <row r="2535" spans="1:58">
      <c r="A2535" s="4" t="s">
        <v>58</v>
      </c>
      <c r="B2535" s="4" t="s">
        <v>21227</v>
      </c>
      <c r="C2535" s="4" t="s">
        <v>21228</v>
      </c>
      <c r="D2535" s="4" t="s">
        <v>11321</v>
      </c>
      <c r="E2535" s="4" t="s">
        <v>11321</v>
      </c>
      <c r="F2535" s="4">
        <v>2011</v>
      </c>
      <c r="G2535" s="4" t="s">
        <v>16091</v>
      </c>
      <c r="H2535" s="4" t="s">
        <v>18523</v>
      </c>
      <c r="I2535" s="4" t="s">
        <v>63</v>
      </c>
      <c r="J2535" s="4">
        <v>48</v>
      </c>
      <c r="K2535" s="4" t="s">
        <v>63</v>
      </c>
      <c r="L2535" s="4" t="s">
        <v>21229</v>
      </c>
      <c r="M2535" s="4" t="s">
        <v>21230</v>
      </c>
      <c r="N2535" s="4" t="s">
        <v>21231</v>
      </c>
      <c r="O2535" s="4" t="s">
        <v>63</v>
      </c>
      <c r="P2535" s="4"/>
      <c r="Q2535" s="4" t="s">
        <v>63</v>
      </c>
      <c r="R2535" s="4" t="s">
        <v>63</v>
      </c>
      <c r="S2535" s="4" t="s">
        <v>63</v>
      </c>
      <c r="T2535" s="4" t="s">
        <v>63</v>
      </c>
      <c r="U2535" s="4"/>
      <c r="V2535" s="4"/>
      <c r="W2535" s="4"/>
      <c r="X2535" s="4" t="s">
        <v>63</v>
      </c>
      <c r="Y2535" s="4" t="s">
        <v>11325</v>
      </c>
      <c r="Z2535" s="4" t="s">
        <v>63</v>
      </c>
      <c r="AA2535" s="4" t="s">
        <v>63</v>
      </c>
      <c r="AB2535" s="4" t="s">
        <v>63</v>
      </c>
      <c r="AC2535" s="4" t="s">
        <v>67</v>
      </c>
      <c r="AD2535" s="4" t="s">
        <v>63</v>
      </c>
      <c r="AE2535" s="4" t="s">
        <v>63</v>
      </c>
      <c r="AF2535" s="4" t="s">
        <v>63</v>
      </c>
      <c r="AG2535" s="4" t="s">
        <v>63</v>
      </c>
      <c r="AH2535" s="4" t="s">
        <v>63</v>
      </c>
      <c r="AI2535" s="4" t="s">
        <v>18527</v>
      </c>
      <c r="AJ2535" s="4" t="s">
        <v>63</v>
      </c>
      <c r="AK2535" s="4" t="s">
        <v>63</v>
      </c>
      <c r="AL2535" s="4" t="s">
        <v>63</v>
      </c>
      <c r="AM2535" s="4" t="s">
        <v>21228</v>
      </c>
      <c r="AN2535" s="4" t="s">
        <v>63</v>
      </c>
      <c r="AO2535" s="4" t="s">
        <v>63</v>
      </c>
      <c r="AP2535" s="4" t="s">
        <v>63</v>
      </c>
      <c r="AQ2535" s="4" t="s">
        <v>63</v>
      </c>
      <c r="AR2535" s="4" t="s">
        <v>63</v>
      </c>
      <c r="AS2535" s="4" t="s">
        <v>63</v>
      </c>
      <c r="AT2535" s="4" t="s">
        <v>63</v>
      </c>
      <c r="AU2535" s="4" t="s">
        <v>63</v>
      </c>
      <c r="AV2535" s="4" t="s">
        <v>63</v>
      </c>
      <c r="AW2535" s="4" t="s">
        <v>63</v>
      </c>
      <c r="AX2535" s="4" t="s">
        <v>63</v>
      </c>
      <c r="AY2535" s="4" t="s">
        <v>63</v>
      </c>
      <c r="AZ2535" s="4" t="s">
        <v>63</v>
      </c>
      <c r="BA2535" s="4" t="s">
        <v>63</v>
      </c>
      <c r="BB2535" s="4" t="s">
        <v>63</v>
      </c>
      <c r="BC2535" s="4" t="s">
        <v>63</v>
      </c>
      <c r="BD2535" s="4" t="s">
        <v>63</v>
      </c>
      <c r="BE2535" s="4" t="s">
        <v>63</v>
      </c>
      <c r="BF2535" s="4" t="s">
        <v>63</v>
      </c>
    </row>
    <row r="2536" spans="1:58">
      <c r="A2536" s="4" t="s">
        <v>58</v>
      </c>
      <c r="B2536" s="4" t="s">
        <v>21232</v>
      </c>
      <c r="C2536" s="4" t="s">
        <v>21233</v>
      </c>
      <c r="D2536" s="4" t="s">
        <v>155</v>
      </c>
      <c r="E2536" s="4" t="s">
        <v>156</v>
      </c>
      <c r="F2536" s="4">
        <v>2012</v>
      </c>
      <c r="G2536" s="4" t="s">
        <v>15358</v>
      </c>
      <c r="H2536" s="4">
        <v>60</v>
      </c>
      <c r="I2536" s="4">
        <v>4</v>
      </c>
      <c r="J2536" s="4" t="s">
        <v>21234</v>
      </c>
      <c r="K2536" s="4" t="s">
        <v>63</v>
      </c>
      <c r="L2536" s="4" t="s">
        <v>21235</v>
      </c>
      <c r="M2536" s="4" t="s">
        <v>21236</v>
      </c>
      <c r="N2536" s="4" t="s">
        <v>21237</v>
      </c>
      <c r="O2536" s="4" t="s">
        <v>63</v>
      </c>
      <c r="P2536" s="4"/>
      <c r="Q2536" s="4" t="s">
        <v>63</v>
      </c>
      <c r="R2536" s="4" t="s">
        <v>63</v>
      </c>
      <c r="S2536" s="4" t="s">
        <v>63</v>
      </c>
      <c r="T2536" s="4" t="s">
        <v>63</v>
      </c>
      <c r="U2536" s="4"/>
      <c r="V2536" s="4"/>
      <c r="W2536" s="4"/>
      <c r="X2536" s="4" t="s">
        <v>63</v>
      </c>
      <c r="Y2536" s="4" t="s">
        <v>160</v>
      </c>
      <c r="Z2536" s="4" t="s">
        <v>63</v>
      </c>
      <c r="AA2536" s="4" t="s">
        <v>63</v>
      </c>
      <c r="AB2536" s="4" t="s">
        <v>63</v>
      </c>
      <c r="AC2536" s="4" t="s">
        <v>67</v>
      </c>
      <c r="AD2536" s="4" t="s">
        <v>63</v>
      </c>
      <c r="AE2536" s="4" t="s">
        <v>63</v>
      </c>
      <c r="AF2536" s="4" t="s">
        <v>63</v>
      </c>
      <c r="AG2536" s="4" t="s">
        <v>63</v>
      </c>
      <c r="AH2536" s="4" t="s">
        <v>63</v>
      </c>
      <c r="AI2536" s="4" t="s">
        <v>21238</v>
      </c>
      <c r="AJ2536" s="4" t="s">
        <v>63</v>
      </c>
      <c r="AK2536" s="4" t="s">
        <v>63</v>
      </c>
      <c r="AL2536" s="4" t="s">
        <v>63</v>
      </c>
      <c r="AM2536" s="4" t="s">
        <v>21233</v>
      </c>
      <c r="AN2536" s="4" t="s">
        <v>63</v>
      </c>
      <c r="AO2536" s="4" t="s">
        <v>63</v>
      </c>
      <c r="AP2536" s="4" t="s">
        <v>63</v>
      </c>
      <c r="AQ2536" s="4" t="s">
        <v>63</v>
      </c>
      <c r="AR2536" s="4" t="s">
        <v>63</v>
      </c>
      <c r="AS2536" s="4" t="s">
        <v>63</v>
      </c>
      <c r="AT2536" s="4" t="s">
        <v>63</v>
      </c>
      <c r="AU2536" s="4" t="s">
        <v>63</v>
      </c>
      <c r="AV2536" s="4" t="s">
        <v>63</v>
      </c>
      <c r="AW2536" s="4" t="s">
        <v>63</v>
      </c>
      <c r="AX2536" s="4" t="s">
        <v>63</v>
      </c>
      <c r="AY2536" s="4" t="s">
        <v>63</v>
      </c>
      <c r="AZ2536" s="4" t="s">
        <v>63</v>
      </c>
      <c r="BA2536" s="4" t="s">
        <v>63</v>
      </c>
      <c r="BB2536" s="4" t="s">
        <v>63</v>
      </c>
      <c r="BC2536" s="4" t="s">
        <v>63</v>
      </c>
      <c r="BD2536" s="4" t="s">
        <v>63</v>
      </c>
      <c r="BE2536" s="4" t="s">
        <v>63</v>
      </c>
      <c r="BF2536" s="4" t="s">
        <v>63</v>
      </c>
    </row>
    <row r="2537" spans="1:58">
      <c r="A2537" s="4" t="s">
        <v>58</v>
      </c>
      <c r="B2537" s="4" t="s">
        <v>21239</v>
      </c>
      <c r="C2537" s="4" t="s">
        <v>21240</v>
      </c>
      <c r="D2537" s="4" t="s">
        <v>15421</v>
      </c>
      <c r="E2537" s="4" t="s">
        <v>63</v>
      </c>
      <c r="F2537" s="4">
        <v>2002</v>
      </c>
      <c r="G2537" s="4" t="s">
        <v>181</v>
      </c>
      <c r="H2537" s="4">
        <v>23</v>
      </c>
      <c r="I2537" s="4">
        <v>3</v>
      </c>
      <c r="J2537" s="4">
        <v>305</v>
      </c>
      <c r="K2537" s="4">
        <v>317</v>
      </c>
      <c r="L2537" s="4" t="s">
        <v>21241</v>
      </c>
      <c r="M2537" s="4" t="s">
        <v>63</v>
      </c>
      <c r="N2537" s="4" t="s">
        <v>21242</v>
      </c>
      <c r="O2537" s="4" t="s">
        <v>63</v>
      </c>
      <c r="P2537" s="4"/>
      <c r="Q2537" s="4" t="s">
        <v>63</v>
      </c>
      <c r="R2537" s="4" t="s">
        <v>63</v>
      </c>
      <c r="S2537" s="4" t="s">
        <v>63</v>
      </c>
      <c r="T2537" s="4" t="s">
        <v>63</v>
      </c>
      <c r="U2537" s="4"/>
      <c r="V2537" s="4"/>
      <c r="W2537" s="4"/>
      <c r="X2537" s="4" t="s">
        <v>63</v>
      </c>
      <c r="Y2537" s="4" t="s">
        <v>392</v>
      </c>
      <c r="Z2537" s="4" t="s">
        <v>63</v>
      </c>
      <c r="AA2537" s="4" t="s">
        <v>63</v>
      </c>
      <c r="AB2537" s="4" t="s">
        <v>63</v>
      </c>
      <c r="AC2537" s="4" t="s">
        <v>67</v>
      </c>
      <c r="AD2537" s="4" t="s">
        <v>63</v>
      </c>
      <c r="AE2537" s="4" t="s">
        <v>63</v>
      </c>
      <c r="AF2537" s="4" t="s">
        <v>63</v>
      </c>
      <c r="AG2537" s="4" t="s">
        <v>21243</v>
      </c>
      <c r="AH2537" s="4" t="s">
        <v>63</v>
      </c>
      <c r="AI2537" s="4" t="s">
        <v>63</v>
      </c>
      <c r="AJ2537" s="4" t="s">
        <v>63</v>
      </c>
      <c r="AK2537" s="4" t="s">
        <v>63</v>
      </c>
      <c r="AL2537" s="4" t="s">
        <v>63</v>
      </c>
      <c r="AM2537" s="4" t="s">
        <v>21244</v>
      </c>
      <c r="AN2537" s="4" t="s">
        <v>63</v>
      </c>
      <c r="AO2537" s="4" t="s">
        <v>63</v>
      </c>
      <c r="AP2537" s="4" t="s">
        <v>63</v>
      </c>
      <c r="AQ2537" s="4" t="s">
        <v>63</v>
      </c>
      <c r="AR2537" s="4" t="s">
        <v>63</v>
      </c>
      <c r="AS2537" s="4" t="s">
        <v>63</v>
      </c>
      <c r="AT2537" s="4" t="s">
        <v>63</v>
      </c>
      <c r="AU2537" s="4" t="s">
        <v>63</v>
      </c>
      <c r="AV2537" s="4" t="s">
        <v>63</v>
      </c>
      <c r="AW2537" s="4" t="s">
        <v>63</v>
      </c>
      <c r="AX2537" s="4" t="s">
        <v>63</v>
      </c>
      <c r="AY2537" s="4" t="s">
        <v>63</v>
      </c>
      <c r="AZ2537" s="4" t="s">
        <v>63</v>
      </c>
      <c r="BA2537" s="4" t="s">
        <v>63</v>
      </c>
      <c r="BB2537" s="4" t="s">
        <v>63</v>
      </c>
      <c r="BC2537" s="4" t="s">
        <v>63</v>
      </c>
      <c r="BD2537" s="4" t="s">
        <v>63</v>
      </c>
      <c r="BE2537" s="4" t="s">
        <v>63</v>
      </c>
      <c r="BF2537" s="4" t="s">
        <v>63</v>
      </c>
    </row>
    <row r="2538" spans="1:58">
      <c r="A2538" s="4" t="s">
        <v>58</v>
      </c>
      <c r="B2538" s="4" t="s">
        <v>21245</v>
      </c>
      <c r="C2538" s="4" t="s">
        <v>21246</v>
      </c>
      <c r="D2538" s="4" t="s">
        <v>290</v>
      </c>
      <c r="E2538" s="4" t="s">
        <v>291</v>
      </c>
      <c r="F2538" s="4">
        <v>2017</v>
      </c>
      <c r="G2538" s="4" t="s">
        <v>63</v>
      </c>
      <c r="H2538" s="4">
        <v>206</v>
      </c>
      <c r="I2538" s="4">
        <v>11</v>
      </c>
      <c r="J2538" s="4">
        <v>484</v>
      </c>
      <c r="K2538" s="9">
        <v>4840</v>
      </c>
      <c r="L2538" s="4" t="s">
        <v>21247</v>
      </c>
      <c r="M2538" s="4" t="s">
        <v>63</v>
      </c>
      <c r="N2538" s="4" t="s">
        <v>21248</v>
      </c>
      <c r="O2538" s="4" t="s">
        <v>63</v>
      </c>
      <c r="P2538" s="4"/>
      <c r="Q2538" s="4" t="s">
        <v>63</v>
      </c>
      <c r="R2538" s="4" t="s">
        <v>63</v>
      </c>
      <c r="S2538" s="4" t="s">
        <v>63</v>
      </c>
      <c r="T2538" s="4" t="s">
        <v>63</v>
      </c>
      <c r="U2538" s="4"/>
      <c r="V2538" s="4"/>
      <c r="W2538" s="4"/>
      <c r="X2538" s="4" t="s">
        <v>63</v>
      </c>
      <c r="Y2538" s="4" t="s">
        <v>21249</v>
      </c>
      <c r="Z2538" s="4" t="s">
        <v>63</v>
      </c>
      <c r="AA2538" s="4" t="s">
        <v>63</v>
      </c>
      <c r="AB2538" s="4" t="s">
        <v>21250</v>
      </c>
      <c r="AC2538" s="4" t="s">
        <v>67</v>
      </c>
      <c r="AD2538" s="4" t="s">
        <v>63</v>
      </c>
      <c r="AE2538" s="4" t="s">
        <v>63</v>
      </c>
      <c r="AF2538" s="4" t="s">
        <v>63</v>
      </c>
      <c r="AG2538" s="4" t="s">
        <v>63</v>
      </c>
      <c r="AH2538" s="4" t="s">
        <v>63</v>
      </c>
      <c r="AI2538" s="4" t="s">
        <v>21251</v>
      </c>
      <c r="AJ2538" s="4" t="s">
        <v>63</v>
      </c>
      <c r="AK2538" s="4" t="s">
        <v>63</v>
      </c>
      <c r="AL2538" s="4" t="s">
        <v>63</v>
      </c>
      <c r="AM2538" s="4" t="s">
        <v>21246</v>
      </c>
      <c r="AN2538" s="4" t="s">
        <v>63</v>
      </c>
      <c r="AO2538" s="4" t="s">
        <v>63</v>
      </c>
      <c r="AP2538" s="4" t="s">
        <v>63</v>
      </c>
      <c r="AQ2538" s="4" t="s">
        <v>63</v>
      </c>
      <c r="AR2538" s="4" t="s">
        <v>63</v>
      </c>
      <c r="AS2538" s="4" t="s">
        <v>63</v>
      </c>
      <c r="AT2538" s="4" t="s">
        <v>63</v>
      </c>
      <c r="AU2538" s="4" t="s">
        <v>63</v>
      </c>
      <c r="AV2538" s="4" t="s">
        <v>63</v>
      </c>
      <c r="AW2538" s="4" t="s">
        <v>63</v>
      </c>
      <c r="AX2538" s="4" t="s">
        <v>63</v>
      </c>
      <c r="AY2538" s="4" t="s">
        <v>63</v>
      </c>
      <c r="AZ2538" s="4" t="s">
        <v>63</v>
      </c>
      <c r="BA2538" s="4" t="s">
        <v>63</v>
      </c>
      <c r="BB2538" s="4" t="s">
        <v>63</v>
      </c>
      <c r="BC2538" s="4" t="s">
        <v>63</v>
      </c>
      <c r="BD2538" s="4" t="s">
        <v>63</v>
      </c>
      <c r="BE2538" s="4" t="s">
        <v>63</v>
      </c>
      <c r="BF2538" s="4" t="s">
        <v>63</v>
      </c>
    </row>
    <row r="2539" spans="1:58">
      <c r="A2539" s="4" t="s">
        <v>58</v>
      </c>
      <c r="B2539" s="4" t="s">
        <v>21252</v>
      </c>
      <c r="C2539" s="4" t="s">
        <v>21253</v>
      </c>
      <c r="D2539" s="4" t="s">
        <v>2353</v>
      </c>
      <c r="E2539" s="4" t="s">
        <v>2354</v>
      </c>
      <c r="F2539" s="4">
        <v>1990</v>
      </c>
      <c r="G2539" s="4" t="s">
        <v>63</v>
      </c>
      <c r="H2539" s="4">
        <v>7</v>
      </c>
      <c r="I2539" s="4">
        <v>1</v>
      </c>
      <c r="J2539" s="4">
        <v>61</v>
      </c>
      <c r="K2539" s="4">
        <v>63</v>
      </c>
      <c r="L2539" s="4" t="s">
        <v>21254</v>
      </c>
      <c r="M2539" s="4" t="s">
        <v>63</v>
      </c>
      <c r="N2539" s="4" t="s">
        <v>21255</v>
      </c>
      <c r="O2539" s="4" t="s">
        <v>63</v>
      </c>
      <c r="P2539" s="4"/>
      <c r="Q2539" s="4" t="s">
        <v>63</v>
      </c>
      <c r="R2539" s="4" t="s">
        <v>63</v>
      </c>
      <c r="S2539" s="4" t="s">
        <v>63</v>
      </c>
      <c r="T2539" s="4" t="s">
        <v>63</v>
      </c>
      <c r="U2539" s="4"/>
      <c r="V2539" s="4"/>
      <c r="W2539" s="4"/>
      <c r="X2539" s="4" t="s">
        <v>63</v>
      </c>
      <c r="Y2539" s="4" t="s">
        <v>2358</v>
      </c>
      <c r="Z2539" s="4" t="s">
        <v>63</v>
      </c>
      <c r="AA2539" s="4" t="s">
        <v>63</v>
      </c>
      <c r="AB2539" s="4">
        <v>1990194926</v>
      </c>
      <c r="AC2539" s="4" t="s">
        <v>67</v>
      </c>
      <c r="AD2539" s="4" t="s">
        <v>63</v>
      </c>
      <c r="AE2539" s="4" t="s">
        <v>63</v>
      </c>
      <c r="AF2539" s="4" t="s">
        <v>63</v>
      </c>
      <c r="AG2539" s="4" t="s">
        <v>21256</v>
      </c>
      <c r="AH2539" s="4" t="s">
        <v>63</v>
      </c>
      <c r="AI2539" s="4" t="s">
        <v>21257</v>
      </c>
      <c r="AJ2539" s="4" t="s">
        <v>63</v>
      </c>
      <c r="AK2539" s="4" t="s">
        <v>63</v>
      </c>
      <c r="AL2539" s="4" t="s">
        <v>63</v>
      </c>
      <c r="AM2539" s="4" t="s">
        <v>21258</v>
      </c>
      <c r="AN2539" s="4" t="s">
        <v>63</v>
      </c>
      <c r="AO2539" s="4" t="s">
        <v>63</v>
      </c>
      <c r="AP2539" s="4" t="s">
        <v>63</v>
      </c>
      <c r="AQ2539" s="4" t="s">
        <v>63</v>
      </c>
      <c r="AR2539" s="4" t="s">
        <v>63</v>
      </c>
      <c r="AS2539" s="4" t="s">
        <v>63</v>
      </c>
      <c r="AT2539" s="4" t="s">
        <v>63</v>
      </c>
      <c r="AU2539" s="4" t="s">
        <v>63</v>
      </c>
      <c r="AV2539" s="4" t="s">
        <v>63</v>
      </c>
      <c r="AW2539" s="4" t="s">
        <v>63</v>
      </c>
      <c r="AX2539" s="4" t="s">
        <v>63</v>
      </c>
      <c r="AY2539" s="4" t="s">
        <v>63</v>
      </c>
      <c r="AZ2539" s="4" t="s">
        <v>63</v>
      </c>
      <c r="BA2539" s="4" t="s">
        <v>63</v>
      </c>
      <c r="BB2539" s="4" t="s">
        <v>63</v>
      </c>
      <c r="BC2539" s="4" t="s">
        <v>63</v>
      </c>
      <c r="BD2539" s="4" t="s">
        <v>63</v>
      </c>
      <c r="BE2539" s="4" t="s">
        <v>63</v>
      </c>
      <c r="BF2539" s="4" t="s">
        <v>63</v>
      </c>
    </row>
    <row r="2540" spans="1:58">
      <c r="A2540" s="4" t="s">
        <v>58</v>
      </c>
      <c r="B2540" s="4" t="s">
        <v>21259</v>
      </c>
      <c r="C2540" s="4" t="s">
        <v>21260</v>
      </c>
      <c r="D2540" s="4" t="s">
        <v>15263</v>
      </c>
      <c r="E2540" s="4" t="s">
        <v>15264</v>
      </c>
      <c r="F2540" s="4">
        <v>2009</v>
      </c>
      <c r="G2540" s="4">
        <v>1</v>
      </c>
      <c r="H2540" s="4">
        <v>100</v>
      </c>
      <c r="I2540" s="4">
        <v>1</v>
      </c>
      <c r="J2540" s="4">
        <v>71</v>
      </c>
      <c r="K2540" s="4">
        <v>82</v>
      </c>
      <c r="L2540" s="4" t="s">
        <v>21261</v>
      </c>
      <c r="M2540" s="4" t="s">
        <v>21262</v>
      </c>
      <c r="N2540" s="4" t="s">
        <v>21263</v>
      </c>
      <c r="O2540" s="4" t="s">
        <v>63</v>
      </c>
      <c r="P2540" s="4"/>
      <c r="Q2540" s="4" t="s">
        <v>63</v>
      </c>
      <c r="R2540" s="4" t="s">
        <v>63</v>
      </c>
      <c r="S2540" s="4" t="s">
        <v>63</v>
      </c>
      <c r="T2540" s="4" t="s">
        <v>63</v>
      </c>
      <c r="U2540" s="4"/>
      <c r="V2540" s="4"/>
      <c r="W2540" s="4"/>
      <c r="X2540" s="4" t="s">
        <v>63</v>
      </c>
      <c r="Y2540" s="4" t="s">
        <v>4942</v>
      </c>
      <c r="Z2540" s="4" t="s">
        <v>63</v>
      </c>
      <c r="AA2540" s="4" t="s">
        <v>63</v>
      </c>
      <c r="AB2540" s="4">
        <v>2008595127</v>
      </c>
      <c r="AC2540" s="4" t="s">
        <v>67</v>
      </c>
      <c r="AD2540" s="4" t="s">
        <v>63</v>
      </c>
      <c r="AE2540" s="4" t="s">
        <v>63</v>
      </c>
      <c r="AF2540" s="4" t="s">
        <v>63</v>
      </c>
      <c r="AG2540" s="4" t="s">
        <v>21264</v>
      </c>
      <c r="AH2540" s="4" t="s">
        <v>63</v>
      </c>
      <c r="AI2540" s="4" t="s">
        <v>21265</v>
      </c>
      <c r="AJ2540" s="4" t="s">
        <v>63</v>
      </c>
      <c r="AK2540" s="4" t="s">
        <v>63</v>
      </c>
      <c r="AL2540" s="4" t="s">
        <v>63</v>
      </c>
      <c r="AM2540" s="4" t="s">
        <v>21266</v>
      </c>
      <c r="AN2540" s="4" t="s">
        <v>63</v>
      </c>
      <c r="AO2540" s="4" t="s">
        <v>63</v>
      </c>
      <c r="AP2540" s="4" t="s">
        <v>63</v>
      </c>
      <c r="AQ2540" s="4" t="s">
        <v>63</v>
      </c>
      <c r="AR2540" s="4" t="s">
        <v>63</v>
      </c>
      <c r="AS2540" s="4" t="s">
        <v>63</v>
      </c>
      <c r="AT2540" s="4" t="s">
        <v>63</v>
      </c>
      <c r="AU2540" s="4" t="s">
        <v>63</v>
      </c>
      <c r="AV2540" s="4" t="s">
        <v>63</v>
      </c>
      <c r="AW2540" s="4" t="s">
        <v>63</v>
      </c>
      <c r="AX2540" s="4" t="s">
        <v>63</v>
      </c>
      <c r="AY2540" s="4" t="s">
        <v>63</v>
      </c>
      <c r="AZ2540" s="4" t="s">
        <v>63</v>
      </c>
      <c r="BA2540" s="4" t="s">
        <v>63</v>
      </c>
      <c r="BB2540" s="4" t="s">
        <v>63</v>
      </c>
      <c r="BC2540" s="4" t="s">
        <v>63</v>
      </c>
      <c r="BD2540" s="4" t="s">
        <v>63</v>
      </c>
      <c r="BE2540" s="4" t="s">
        <v>63</v>
      </c>
      <c r="BF2540" s="4" t="s">
        <v>63</v>
      </c>
    </row>
    <row r="2541" spans="1:58">
      <c r="A2541" s="4" t="s">
        <v>58</v>
      </c>
      <c r="B2541" s="4" t="s">
        <v>21267</v>
      </c>
      <c r="C2541" s="4" t="s">
        <v>21268</v>
      </c>
      <c r="D2541" s="4" t="s">
        <v>21269</v>
      </c>
      <c r="E2541" s="4" t="s">
        <v>63</v>
      </c>
      <c r="F2541" s="4">
        <v>1990</v>
      </c>
      <c r="G2541" s="4" t="s">
        <v>63</v>
      </c>
      <c r="H2541" s="4">
        <v>13</v>
      </c>
      <c r="I2541" s="4">
        <v>3</v>
      </c>
      <c r="J2541" s="4">
        <v>51</v>
      </c>
      <c r="K2541" s="4">
        <v>55</v>
      </c>
      <c r="L2541" s="4" t="s">
        <v>21270</v>
      </c>
      <c r="M2541" s="4" t="s">
        <v>63</v>
      </c>
      <c r="N2541" s="4" t="s">
        <v>21271</v>
      </c>
      <c r="O2541" s="4" t="s">
        <v>63</v>
      </c>
      <c r="P2541" s="4"/>
      <c r="Q2541" s="4" t="s">
        <v>63</v>
      </c>
      <c r="R2541" s="4" t="s">
        <v>63</v>
      </c>
      <c r="S2541" s="4" t="s">
        <v>63</v>
      </c>
      <c r="T2541" s="4" t="s">
        <v>63</v>
      </c>
      <c r="U2541" s="4"/>
      <c r="V2541" s="4"/>
      <c r="W2541" s="4"/>
      <c r="X2541" s="4" t="s">
        <v>63</v>
      </c>
      <c r="Y2541" s="4" t="s">
        <v>63</v>
      </c>
      <c r="Z2541" s="4" t="s">
        <v>63</v>
      </c>
      <c r="AA2541" s="4" t="s">
        <v>63</v>
      </c>
      <c r="AB2541" s="4" t="s">
        <v>21272</v>
      </c>
      <c r="AC2541" s="4" t="s">
        <v>102</v>
      </c>
      <c r="AD2541" s="4" t="s">
        <v>63</v>
      </c>
      <c r="AE2541" s="4" t="s">
        <v>63</v>
      </c>
      <c r="AF2541" s="4" t="s">
        <v>63</v>
      </c>
      <c r="AG2541" s="4" t="s">
        <v>63</v>
      </c>
      <c r="AH2541" s="4" t="s">
        <v>63</v>
      </c>
      <c r="AI2541" s="4" t="s">
        <v>63</v>
      </c>
      <c r="AJ2541" s="4" t="s">
        <v>63</v>
      </c>
      <c r="AK2541" s="4" t="s">
        <v>63</v>
      </c>
      <c r="AL2541" s="4" t="s">
        <v>63</v>
      </c>
      <c r="AM2541" s="4" t="s">
        <v>21268</v>
      </c>
      <c r="AN2541" s="4" t="s">
        <v>63</v>
      </c>
      <c r="AO2541" s="4" t="s">
        <v>63</v>
      </c>
      <c r="AP2541" s="4" t="s">
        <v>63</v>
      </c>
      <c r="AQ2541" s="4" t="s">
        <v>63</v>
      </c>
      <c r="AR2541" s="4" t="s">
        <v>63</v>
      </c>
      <c r="AS2541" s="4" t="s">
        <v>63</v>
      </c>
      <c r="AT2541" s="4" t="s">
        <v>63</v>
      </c>
      <c r="AU2541" s="4" t="s">
        <v>63</v>
      </c>
      <c r="AV2541" s="4" t="s">
        <v>63</v>
      </c>
      <c r="AW2541" s="4" t="s">
        <v>63</v>
      </c>
      <c r="AX2541" s="4" t="s">
        <v>63</v>
      </c>
      <c r="AY2541" s="4" t="s">
        <v>63</v>
      </c>
      <c r="AZ2541" s="4" t="s">
        <v>63</v>
      </c>
      <c r="BA2541" s="4" t="s">
        <v>63</v>
      </c>
      <c r="BB2541" s="4" t="s">
        <v>63</v>
      </c>
      <c r="BC2541" s="4" t="s">
        <v>63</v>
      </c>
      <c r="BD2541" s="4" t="s">
        <v>63</v>
      </c>
      <c r="BE2541" s="4" t="s">
        <v>63</v>
      </c>
      <c r="BF2541" s="4" t="s">
        <v>63</v>
      </c>
    </row>
    <row r="2542" spans="1:58">
      <c r="A2542" s="4" t="s">
        <v>58</v>
      </c>
      <c r="B2542" s="4" t="s">
        <v>21273</v>
      </c>
      <c r="C2542" s="4" t="s">
        <v>21274</v>
      </c>
      <c r="D2542" s="4" t="s">
        <v>21275</v>
      </c>
      <c r="E2542" s="4" t="s">
        <v>63</v>
      </c>
      <c r="F2542" s="4">
        <v>2017</v>
      </c>
      <c r="G2542" s="4">
        <v>1</v>
      </c>
      <c r="H2542" s="4">
        <v>88</v>
      </c>
      <c r="I2542" s="4">
        <v>8</v>
      </c>
      <c r="J2542" s="4" t="s">
        <v>21276</v>
      </c>
      <c r="K2542" s="4" t="s">
        <v>63</v>
      </c>
      <c r="L2542" s="4" t="s">
        <v>21277</v>
      </c>
      <c r="M2542" s="4" t="s">
        <v>21278</v>
      </c>
      <c r="N2542" s="4" t="s">
        <v>21279</v>
      </c>
      <c r="O2542" s="4" t="s">
        <v>63</v>
      </c>
      <c r="P2542" s="4"/>
      <c r="Q2542" s="4" t="s">
        <v>63</v>
      </c>
      <c r="R2542" s="4" t="s">
        <v>63</v>
      </c>
      <c r="S2542" s="4" t="s">
        <v>63</v>
      </c>
      <c r="T2542" s="4" t="s">
        <v>63</v>
      </c>
      <c r="U2542" s="4"/>
      <c r="V2542" s="4"/>
      <c r="W2542" s="4"/>
      <c r="X2542" s="4" t="s">
        <v>63</v>
      </c>
      <c r="Y2542" s="4" t="s">
        <v>21280</v>
      </c>
      <c r="Z2542" s="4" t="s">
        <v>63</v>
      </c>
      <c r="AA2542" s="4" t="s">
        <v>63</v>
      </c>
      <c r="AB2542" s="4" t="s">
        <v>63</v>
      </c>
      <c r="AC2542" s="4" t="s">
        <v>67</v>
      </c>
      <c r="AD2542" s="4" t="s">
        <v>63</v>
      </c>
      <c r="AE2542" s="4" t="s">
        <v>63</v>
      </c>
      <c r="AF2542" s="4" t="s">
        <v>63</v>
      </c>
      <c r="AG2542" s="4" t="s">
        <v>63</v>
      </c>
      <c r="AH2542" s="4" t="s">
        <v>63</v>
      </c>
      <c r="AI2542" s="4" t="s">
        <v>21281</v>
      </c>
      <c r="AJ2542" s="4" t="s">
        <v>63</v>
      </c>
      <c r="AK2542" s="4" t="s">
        <v>63</v>
      </c>
      <c r="AL2542" s="4" t="s">
        <v>63</v>
      </c>
      <c r="AM2542" s="4" t="s">
        <v>21274</v>
      </c>
      <c r="AN2542" s="4" t="s">
        <v>63</v>
      </c>
      <c r="AO2542" s="4" t="s">
        <v>63</v>
      </c>
      <c r="AP2542" s="4" t="s">
        <v>63</v>
      </c>
      <c r="AQ2542" s="4" t="s">
        <v>63</v>
      </c>
      <c r="AR2542" s="4" t="s">
        <v>63</v>
      </c>
      <c r="AS2542" s="4" t="s">
        <v>63</v>
      </c>
      <c r="AT2542" s="4" t="s">
        <v>63</v>
      </c>
      <c r="AU2542" s="4" t="s">
        <v>63</v>
      </c>
      <c r="AV2542" s="4" t="s">
        <v>63</v>
      </c>
      <c r="AW2542" s="4" t="s">
        <v>63</v>
      </c>
      <c r="AX2542" s="4" t="s">
        <v>63</v>
      </c>
      <c r="AY2542" s="4" t="s">
        <v>63</v>
      </c>
      <c r="AZ2542" s="4" t="s">
        <v>63</v>
      </c>
      <c r="BA2542" s="4" t="s">
        <v>63</v>
      </c>
      <c r="BB2542" s="4" t="s">
        <v>63</v>
      </c>
      <c r="BC2542" s="4" t="s">
        <v>63</v>
      </c>
      <c r="BD2542" s="4" t="s">
        <v>63</v>
      </c>
      <c r="BE2542" s="4" t="s">
        <v>63</v>
      </c>
      <c r="BF2542" s="4" t="s">
        <v>63</v>
      </c>
    </row>
    <row r="2543" spans="1:58">
      <c r="A2543" s="4" t="s">
        <v>58</v>
      </c>
      <c r="B2543" s="4" t="s">
        <v>21282</v>
      </c>
      <c r="C2543" s="4" t="s">
        <v>21283</v>
      </c>
      <c r="D2543" s="4" t="s">
        <v>21284</v>
      </c>
      <c r="E2543" s="4" t="s">
        <v>63</v>
      </c>
      <c r="F2543" s="4">
        <v>1991</v>
      </c>
      <c r="G2543" s="4" t="s">
        <v>63</v>
      </c>
      <c r="H2543" s="4">
        <v>8</v>
      </c>
      <c r="I2543" s="4">
        <v>1</v>
      </c>
      <c r="J2543" s="4">
        <v>27</v>
      </c>
      <c r="K2543" s="4">
        <v>32</v>
      </c>
      <c r="L2543" s="4" t="s">
        <v>21285</v>
      </c>
      <c r="M2543" s="4" t="s">
        <v>63</v>
      </c>
      <c r="N2543" s="4" t="s">
        <v>21286</v>
      </c>
      <c r="O2543" s="4" t="s">
        <v>63</v>
      </c>
      <c r="P2543" s="4"/>
      <c r="Q2543" s="4" t="s">
        <v>63</v>
      </c>
      <c r="R2543" s="4" t="s">
        <v>63</v>
      </c>
      <c r="S2543" s="4" t="s">
        <v>63</v>
      </c>
      <c r="T2543" s="4" t="s">
        <v>63</v>
      </c>
      <c r="U2543" s="4"/>
      <c r="V2543" s="4"/>
      <c r="W2543" s="4"/>
      <c r="X2543" s="4" t="s">
        <v>63</v>
      </c>
      <c r="Y2543" s="4" t="s">
        <v>21287</v>
      </c>
      <c r="Z2543" s="4" t="s">
        <v>63</v>
      </c>
      <c r="AA2543" s="4" t="s">
        <v>63</v>
      </c>
      <c r="AB2543" s="4">
        <v>1991097396</v>
      </c>
      <c r="AC2543" s="4" t="s">
        <v>67</v>
      </c>
      <c r="AD2543" s="4" t="s">
        <v>63</v>
      </c>
      <c r="AE2543" s="4" t="s">
        <v>63</v>
      </c>
      <c r="AF2543" s="4" t="s">
        <v>63</v>
      </c>
      <c r="AG2543" s="4" t="s">
        <v>21288</v>
      </c>
      <c r="AH2543" s="4" t="s">
        <v>63</v>
      </c>
      <c r="AI2543" s="4" t="s">
        <v>63</v>
      </c>
      <c r="AJ2543" s="4" t="s">
        <v>63</v>
      </c>
      <c r="AK2543" s="4" t="s">
        <v>63</v>
      </c>
      <c r="AL2543" s="4" t="s">
        <v>63</v>
      </c>
      <c r="AM2543" s="4" t="s">
        <v>21289</v>
      </c>
      <c r="AN2543" s="4" t="s">
        <v>63</v>
      </c>
      <c r="AO2543" s="4" t="s">
        <v>63</v>
      </c>
      <c r="AP2543" s="4" t="s">
        <v>63</v>
      </c>
      <c r="AQ2543" s="4" t="s">
        <v>63</v>
      </c>
      <c r="AR2543" s="4" t="s">
        <v>63</v>
      </c>
      <c r="AS2543" s="4" t="s">
        <v>63</v>
      </c>
      <c r="AT2543" s="4" t="s">
        <v>63</v>
      </c>
      <c r="AU2543" s="4" t="s">
        <v>63</v>
      </c>
      <c r="AV2543" s="4" t="s">
        <v>63</v>
      </c>
      <c r="AW2543" s="4" t="s">
        <v>63</v>
      </c>
      <c r="AX2543" s="4" t="s">
        <v>63</v>
      </c>
      <c r="AY2543" s="4" t="s">
        <v>63</v>
      </c>
      <c r="AZ2543" s="4" t="s">
        <v>63</v>
      </c>
      <c r="BA2543" s="4" t="s">
        <v>63</v>
      </c>
      <c r="BB2543" s="4" t="s">
        <v>63</v>
      </c>
      <c r="BC2543" s="4" t="s">
        <v>63</v>
      </c>
      <c r="BD2543" s="4" t="s">
        <v>63</v>
      </c>
      <c r="BE2543" s="4" t="s">
        <v>63</v>
      </c>
      <c r="BF2543" s="4" t="s">
        <v>63</v>
      </c>
    </row>
    <row r="2544" spans="1:58">
      <c r="A2544" s="4" t="s">
        <v>58</v>
      </c>
      <c r="B2544" s="4" t="s">
        <v>21290</v>
      </c>
      <c r="C2544" s="4" t="s">
        <v>21291</v>
      </c>
      <c r="D2544" s="4" t="s">
        <v>522</v>
      </c>
      <c r="E2544" s="4" t="s">
        <v>523</v>
      </c>
      <c r="F2544" s="4">
        <v>1987</v>
      </c>
      <c r="G2544" s="4" t="s">
        <v>63</v>
      </c>
      <c r="H2544" s="4">
        <v>34</v>
      </c>
      <c r="I2544" s="4">
        <v>2</v>
      </c>
      <c r="J2544" s="4">
        <v>289</v>
      </c>
      <c r="K2544" s="4">
        <v>303</v>
      </c>
      <c r="L2544" s="4" t="s">
        <v>21292</v>
      </c>
      <c r="M2544" s="4" t="s">
        <v>21293</v>
      </c>
      <c r="N2544" s="4" t="s">
        <v>21294</v>
      </c>
      <c r="O2544" s="4" t="s">
        <v>63</v>
      </c>
      <c r="P2544" s="4"/>
      <c r="Q2544" s="4" t="s">
        <v>63</v>
      </c>
      <c r="R2544" s="4" t="s">
        <v>63</v>
      </c>
      <c r="S2544" s="4" t="s">
        <v>63</v>
      </c>
      <c r="T2544" s="4" t="s">
        <v>63</v>
      </c>
      <c r="U2544" s="4"/>
      <c r="V2544" s="4"/>
      <c r="W2544" s="4"/>
      <c r="X2544" s="4" t="s">
        <v>63</v>
      </c>
      <c r="Y2544" s="4" t="s">
        <v>527</v>
      </c>
      <c r="Z2544" s="4" t="s">
        <v>63</v>
      </c>
      <c r="AA2544" s="4" t="s">
        <v>63</v>
      </c>
      <c r="AB2544" s="4">
        <v>1987151151</v>
      </c>
      <c r="AC2544" s="4" t="s">
        <v>67</v>
      </c>
      <c r="AD2544" s="4" t="s">
        <v>63</v>
      </c>
      <c r="AE2544" s="4" t="s">
        <v>63</v>
      </c>
      <c r="AF2544" s="4" t="s">
        <v>63</v>
      </c>
      <c r="AG2544" s="4" t="s">
        <v>21295</v>
      </c>
      <c r="AH2544" s="4" t="s">
        <v>63</v>
      </c>
      <c r="AI2544" s="4" t="s">
        <v>63</v>
      </c>
      <c r="AJ2544" s="4" t="s">
        <v>63</v>
      </c>
      <c r="AK2544" s="4" t="s">
        <v>63</v>
      </c>
      <c r="AL2544" s="4" t="s">
        <v>63</v>
      </c>
      <c r="AM2544" s="4" t="s">
        <v>21296</v>
      </c>
      <c r="AN2544" s="4" t="s">
        <v>63</v>
      </c>
      <c r="AO2544" s="4" t="s">
        <v>63</v>
      </c>
      <c r="AP2544" s="4" t="s">
        <v>63</v>
      </c>
      <c r="AQ2544" s="4" t="s">
        <v>63</v>
      </c>
      <c r="AR2544" s="4" t="s">
        <v>63</v>
      </c>
      <c r="AS2544" s="4" t="s">
        <v>63</v>
      </c>
      <c r="AT2544" s="4" t="s">
        <v>63</v>
      </c>
      <c r="AU2544" s="4" t="s">
        <v>63</v>
      </c>
      <c r="AV2544" s="4" t="s">
        <v>63</v>
      </c>
      <c r="AW2544" s="4" t="s">
        <v>63</v>
      </c>
      <c r="AX2544" s="4" t="s">
        <v>63</v>
      </c>
      <c r="AY2544" s="4" t="s">
        <v>63</v>
      </c>
      <c r="AZ2544" s="4" t="s">
        <v>63</v>
      </c>
      <c r="BA2544" s="4" t="s">
        <v>63</v>
      </c>
      <c r="BB2544" s="4" t="s">
        <v>63</v>
      </c>
      <c r="BC2544" s="4" t="s">
        <v>63</v>
      </c>
      <c r="BD2544" s="4" t="s">
        <v>63</v>
      </c>
      <c r="BE2544" s="4" t="s">
        <v>63</v>
      </c>
      <c r="BF2544" s="4" t="s">
        <v>63</v>
      </c>
    </row>
    <row r="2545" spans="1:58">
      <c r="A2545" s="4" t="s">
        <v>58</v>
      </c>
      <c r="B2545" s="4" t="s">
        <v>21297</v>
      </c>
      <c r="C2545" s="4" t="s">
        <v>21298</v>
      </c>
      <c r="D2545" s="4" t="s">
        <v>15421</v>
      </c>
      <c r="E2545" s="4" t="s">
        <v>63</v>
      </c>
      <c r="F2545" s="4">
        <v>2011</v>
      </c>
      <c r="G2545" s="4" t="s">
        <v>1670</v>
      </c>
      <c r="H2545" s="4">
        <v>32</v>
      </c>
      <c r="I2545" s="4">
        <v>3</v>
      </c>
      <c r="J2545" s="4">
        <v>159</v>
      </c>
      <c r="K2545" s="4">
        <v>164</v>
      </c>
      <c r="L2545" s="4" t="s">
        <v>21299</v>
      </c>
      <c r="M2545" s="4" t="s">
        <v>63</v>
      </c>
      <c r="N2545" s="4" t="s">
        <v>21300</v>
      </c>
      <c r="O2545" s="4" t="s">
        <v>63</v>
      </c>
      <c r="P2545" s="4"/>
      <c r="Q2545" s="4" t="s">
        <v>63</v>
      </c>
      <c r="R2545" s="4" t="s">
        <v>63</v>
      </c>
      <c r="S2545" s="4" t="s">
        <v>63</v>
      </c>
      <c r="T2545" s="4" t="s">
        <v>63</v>
      </c>
      <c r="U2545" s="4"/>
      <c r="V2545" s="4"/>
      <c r="W2545" s="4"/>
      <c r="X2545" s="4" t="s">
        <v>63</v>
      </c>
      <c r="Y2545" s="4" t="s">
        <v>15425</v>
      </c>
      <c r="Z2545" s="4" t="s">
        <v>63</v>
      </c>
      <c r="AA2545" s="4" t="s">
        <v>63</v>
      </c>
      <c r="AB2545" s="4" t="s">
        <v>63</v>
      </c>
      <c r="AC2545" s="4" t="s">
        <v>67</v>
      </c>
      <c r="AD2545" s="4" t="s">
        <v>63</v>
      </c>
      <c r="AE2545" s="4" t="s">
        <v>63</v>
      </c>
      <c r="AF2545" s="4" t="s">
        <v>63</v>
      </c>
      <c r="AG2545" s="4" t="s">
        <v>21301</v>
      </c>
      <c r="AH2545" s="4" t="s">
        <v>63</v>
      </c>
      <c r="AI2545" s="4" t="s">
        <v>21302</v>
      </c>
      <c r="AJ2545" s="4" t="s">
        <v>63</v>
      </c>
      <c r="AK2545" s="4" t="s">
        <v>63</v>
      </c>
      <c r="AL2545" s="4" t="s">
        <v>63</v>
      </c>
      <c r="AM2545" s="4" t="s">
        <v>21303</v>
      </c>
      <c r="AN2545" s="4" t="s">
        <v>63</v>
      </c>
      <c r="AO2545" s="4" t="s">
        <v>63</v>
      </c>
      <c r="AP2545" s="4" t="s">
        <v>63</v>
      </c>
      <c r="AQ2545" s="4" t="s">
        <v>63</v>
      </c>
      <c r="AR2545" s="4" t="s">
        <v>63</v>
      </c>
      <c r="AS2545" s="4" t="s">
        <v>63</v>
      </c>
      <c r="AT2545" s="4" t="s">
        <v>63</v>
      </c>
      <c r="AU2545" s="4" t="s">
        <v>63</v>
      </c>
      <c r="AV2545" s="4" t="s">
        <v>63</v>
      </c>
      <c r="AW2545" s="4" t="s">
        <v>63</v>
      </c>
      <c r="AX2545" s="4" t="s">
        <v>63</v>
      </c>
      <c r="AY2545" s="4" t="s">
        <v>63</v>
      </c>
      <c r="AZ2545" s="4" t="s">
        <v>63</v>
      </c>
      <c r="BA2545" s="4" t="s">
        <v>63</v>
      </c>
      <c r="BB2545" s="4" t="s">
        <v>63</v>
      </c>
      <c r="BC2545" s="4" t="s">
        <v>63</v>
      </c>
      <c r="BD2545" s="4" t="s">
        <v>63</v>
      </c>
      <c r="BE2545" s="4" t="s">
        <v>63</v>
      </c>
      <c r="BF2545" s="4" t="s">
        <v>63</v>
      </c>
    </row>
    <row r="2546" spans="1:58">
      <c r="A2546" s="4" t="s">
        <v>58</v>
      </c>
      <c r="B2546" s="4" t="s">
        <v>21304</v>
      </c>
      <c r="C2546" s="4" t="s">
        <v>21305</v>
      </c>
      <c r="D2546" s="4" t="s">
        <v>790</v>
      </c>
      <c r="E2546" s="4" t="s">
        <v>791</v>
      </c>
      <c r="F2546" s="4">
        <v>2004</v>
      </c>
      <c r="G2546" s="4" t="s">
        <v>189</v>
      </c>
      <c r="H2546" s="4">
        <v>29</v>
      </c>
      <c r="I2546" s="4">
        <v>3</v>
      </c>
      <c r="J2546" s="4">
        <v>537</v>
      </c>
      <c r="K2546" s="4">
        <v>553</v>
      </c>
      <c r="L2546" s="4" t="s">
        <v>21306</v>
      </c>
      <c r="M2546" s="4" t="s">
        <v>21307</v>
      </c>
      <c r="N2546" s="4" t="s">
        <v>21308</v>
      </c>
      <c r="O2546" s="4" t="s">
        <v>63</v>
      </c>
      <c r="P2546" s="4"/>
      <c r="Q2546" s="4" t="s">
        <v>63</v>
      </c>
      <c r="R2546" s="4" t="s">
        <v>63</v>
      </c>
      <c r="S2546" s="4" t="s">
        <v>63</v>
      </c>
      <c r="T2546" s="4" t="s">
        <v>63</v>
      </c>
      <c r="U2546" s="4"/>
      <c r="V2546" s="4"/>
      <c r="W2546" s="4"/>
      <c r="X2546" s="4" t="s">
        <v>63</v>
      </c>
      <c r="Y2546" s="4" t="s">
        <v>795</v>
      </c>
      <c r="Z2546" s="4" t="s">
        <v>63</v>
      </c>
      <c r="AA2546" s="4" t="s">
        <v>63</v>
      </c>
      <c r="AB2546" s="4">
        <v>2004145962</v>
      </c>
      <c r="AC2546" s="4" t="s">
        <v>67</v>
      </c>
      <c r="AD2546" s="4" t="s">
        <v>63</v>
      </c>
      <c r="AE2546" s="4" t="s">
        <v>63</v>
      </c>
      <c r="AF2546" s="4" t="s">
        <v>63</v>
      </c>
      <c r="AG2546" s="4" t="s">
        <v>21309</v>
      </c>
      <c r="AH2546" s="4" t="s">
        <v>63</v>
      </c>
      <c r="AI2546" s="4" t="s">
        <v>21310</v>
      </c>
      <c r="AJ2546" s="4" t="s">
        <v>63</v>
      </c>
      <c r="AK2546" s="4" t="s">
        <v>63</v>
      </c>
      <c r="AL2546" s="4" t="s">
        <v>63</v>
      </c>
      <c r="AM2546" s="4" t="s">
        <v>21311</v>
      </c>
      <c r="AN2546" s="4" t="s">
        <v>63</v>
      </c>
      <c r="AO2546" s="4" t="s">
        <v>63</v>
      </c>
      <c r="AP2546" s="4" t="s">
        <v>63</v>
      </c>
      <c r="AQ2546" s="4" t="s">
        <v>63</v>
      </c>
      <c r="AR2546" s="4" t="s">
        <v>63</v>
      </c>
      <c r="AS2546" s="4" t="s">
        <v>63</v>
      </c>
      <c r="AT2546" s="4" t="s">
        <v>63</v>
      </c>
      <c r="AU2546" s="4" t="s">
        <v>63</v>
      </c>
      <c r="AV2546" s="4" t="s">
        <v>63</v>
      </c>
      <c r="AW2546" s="4" t="s">
        <v>63</v>
      </c>
      <c r="AX2546" s="4" t="s">
        <v>63</v>
      </c>
      <c r="AY2546" s="4" t="s">
        <v>63</v>
      </c>
      <c r="AZ2546" s="4" t="s">
        <v>63</v>
      </c>
      <c r="BA2546" s="4" t="s">
        <v>63</v>
      </c>
      <c r="BB2546" s="4" t="s">
        <v>63</v>
      </c>
      <c r="BC2546" s="4" t="s">
        <v>63</v>
      </c>
      <c r="BD2546" s="4" t="s">
        <v>63</v>
      </c>
      <c r="BE2546" s="4" t="s">
        <v>63</v>
      </c>
      <c r="BF2546" s="4" t="s">
        <v>63</v>
      </c>
    </row>
    <row r="2547" spans="1:58">
      <c r="A2547" s="4" t="s">
        <v>58</v>
      </c>
      <c r="B2547" s="4" t="s">
        <v>21312</v>
      </c>
      <c r="C2547" s="4" t="s">
        <v>21313</v>
      </c>
      <c r="D2547" s="4" t="s">
        <v>15536</v>
      </c>
      <c r="E2547" s="4" t="s">
        <v>15537</v>
      </c>
      <c r="F2547" s="4">
        <v>2015</v>
      </c>
      <c r="G2547" s="4">
        <v>1</v>
      </c>
      <c r="H2547" s="4">
        <v>56</v>
      </c>
      <c r="I2547" s="4">
        <v>7</v>
      </c>
      <c r="J2547" s="4">
        <v>128</v>
      </c>
      <c r="K2547" s="4" t="s">
        <v>63</v>
      </c>
      <c r="L2547" s="4" t="s">
        <v>21314</v>
      </c>
      <c r="M2547" s="4" t="s">
        <v>21315</v>
      </c>
      <c r="N2547" s="4" t="s">
        <v>21316</v>
      </c>
      <c r="O2547" s="4" t="s">
        <v>63</v>
      </c>
      <c r="P2547" s="4"/>
      <c r="Q2547" s="4" t="s">
        <v>63</v>
      </c>
      <c r="R2547" s="4" t="s">
        <v>63</v>
      </c>
      <c r="S2547" s="4" t="s">
        <v>63</v>
      </c>
      <c r="T2547" s="4" t="s">
        <v>63</v>
      </c>
      <c r="U2547" s="4"/>
      <c r="V2547" s="4"/>
      <c r="W2547" s="4"/>
      <c r="X2547" s="4" t="s">
        <v>63</v>
      </c>
      <c r="Y2547" s="4" t="s">
        <v>15541</v>
      </c>
      <c r="Z2547" s="4" t="s">
        <v>63</v>
      </c>
      <c r="AA2547" s="4" t="s">
        <v>63</v>
      </c>
      <c r="AB2547" s="4" t="s">
        <v>63</v>
      </c>
      <c r="AC2547" s="4" t="s">
        <v>67</v>
      </c>
      <c r="AD2547" s="4" t="s">
        <v>63</v>
      </c>
      <c r="AE2547" s="4" t="s">
        <v>63</v>
      </c>
      <c r="AF2547" s="4" t="s">
        <v>63</v>
      </c>
      <c r="AG2547" s="4" t="s">
        <v>63</v>
      </c>
      <c r="AH2547" s="4" t="s">
        <v>63</v>
      </c>
      <c r="AI2547" s="4" t="s">
        <v>63</v>
      </c>
      <c r="AJ2547" s="4" t="s">
        <v>63</v>
      </c>
      <c r="AK2547" s="4" t="s">
        <v>63</v>
      </c>
      <c r="AL2547" s="4" t="s">
        <v>63</v>
      </c>
      <c r="AM2547" s="4" t="s">
        <v>21313</v>
      </c>
      <c r="AN2547" s="4" t="s">
        <v>63</v>
      </c>
      <c r="AO2547" s="4" t="s">
        <v>63</v>
      </c>
      <c r="AP2547" s="4" t="s">
        <v>63</v>
      </c>
      <c r="AQ2547" s="4" t="s">
        <v>63</v>
      </c>
      <c r="AR2547" s="4" t="s">
        <v>63</v>
      </c>
      <c r="AS2547" s="4" t="s">
        <v>63</v>
      </c>
      <c r="AT2547" s="4" t="s">
        <v>63</v>
      </c>
      <c r="AU2547" s="4" t="s">
        <v>63</v>
      </c>
      <c r="AV2547" s="4" t="s">
        <v>63</v>
      </c>
      <c r="AW2547" s="4" t="s">
        <v>63</v>
      </c>
      <c r="AX2547" s="4" t="s">
        <v>63</v>
      </c>
      <c r="AY2547" s="4" t="s">
        <v>63</v>
      </c>
      <c r="AZ2547" s="4" t="s">
        <v>63</v>
      </c>
      <c r="BA2547" s="4" t="s">
        <v>63</v>
      </c>
      <c r="BB2547" s="4" t="s">
        <v>63</v>
      </c>
      <c r="BC2547" s="4" t="s">
        <v>63</v>
      </c>
      <c r="BD2547" s="4" t="s">
        <v>63</v>
      </c>
      <c r="BE2547" s="4" t="s">
        <v>63</v>
      </c>
      <c r="BF2547" s="4" t="s">
        <v>63</v>
      </c>
    </row>
    <row r="2548" spans="1:58">
      <c r="A2548" s="4" t="s">
        <v>58</v>
      </c>
      <c r="B2548" s="4" t="s">
        <v>21317</v>
      </c>
      <c r="C2548" s="4" t="s">
        <v>21318</v>
      </c>
      <c r="D2548" s="4" t="s">
        <v>21319</v>
      </c>
      <c r="E2548" s="4" t="s">
        <v>21320</v>
      </c>
      <c r="F2548" s="4">
        <v>2004</v>
      </c>
      <c r="G2548" s="4" t="s">
        <v>138</v>
      </c>
      <c r="H2548" s="4">
        <v>52</v>
      </c>
      <c r="I2548" s="4">
        <v>5</v>
      </c>
      <c r="J2548" s="4">
        <v>253</v>
      </c>
      <c r="K2548" s="4">
        <v>258</v>
      </c>
      <c r="L2548" s="4" t="s">
        <v>21321</v>
      </c>
      <c r="M2548" s="4" t="s">
        <v>21322</v>
      </c>
      <c r="N2548" s="4" t="s">
        <v>21323</v>
      </c>
      <c r="O2548" s="4" t="s">
        <v>63</v>
      </c>
      <c r="P2548" s="4"/>
      <c r="Q2548" s="4" t="s">
        <v>63</v>
      </c>
      <c r="R2548" s="4" t="s">
        <v>63</v>
      </c>
      <c r="S2548" s="4" t="s">
        <v>63</v>
      </c>
      <c r="T2548" s="4" t="s">
        <v>63</v>
      </c>
      <c r="U2548" s="4"/>
      <c r="V2548" s="4"/>
      <c r="W2548" s="4"/>
      <c r="X2548" s="4" t="s">
        <v>63</v>
      </c>
      <c r="Y2548" s="4" t="s">
        <v>21324</v>
      </c>
      <c r="Z2548" s="4" t="s">
        <v>63</v>
      </c>
      <c r="AA2548" s="4" t="s">
        <v>63</v>
      </c>
      <c r="AB2548" s="4" t="s">
        <v>21325</v>
      </c>
      <c r="AC2548" s="4" t="s">
        <v>4823</v>
      </c>
      <c r="AD2548" s="4" t="s">
        <v>63</v>
      </c>
      <c r="AE2548" s="4" t="s">
        <v>63</v>
      </c>
      <c r="AF2548" s="4" t="s">
        <v>63</v>
      </c>
      <c r="AG2548" s="4" t="s">
        <v>63</v>
      </c>
      <c r="AH2548" s="4" t="s">
        <v>63</v>
      </c>
      <c r="AI2548" s="4" t="s">
        <v>63</v>
      </c>
      <c r="AJ2548" s="4" t="s">
        <v>63</v>
      </c>
      <c r="AK2548" s="4" t="s">
        <v>63</v>
      </c>
      <c r="AL2548" s="4" t="s">
        <v>63</v>
      </c>
      <c r="AM2548" s="4" t="s">
        <v>21318</v>
      </c>
      <c r="AN2548" s="4" t="s">
        <v>63</v>
      </c>
      <c r="AO2548" s="4" t="s">
        <v>63</v>
      </c>
      <c r="AP2548" s="4" t="s">
        <v>63</v>
      </c>
      <c r="AQ2548" s="4" t="s">
        <v>63</v>
      </c>
      <c r="AR2548" s="4" t="s">
        <v>63</v>
      </c>
      <c r="AS2548" s="4" t="s">
        <v>63</v>
      </c>
      <c r="AT2548" s="4" t="s">
        <v>63</v>
      </c>
      <c r="AU2548" s="4" t="s">
        <v>63</v>
      </c>
      <c r="AV2548" s="4" t="s">
        <v>63</v>
      </c>
      <c r="AW2548" s="4" t="s">
        <v>63</v>
      </c>
      <c r="AX2548" s="4" t="s">
        <v>63</v>
      </c>
      <c r="AY2548" s="4" t="s">
        <v>63</v>
      </c>
      <c r="AZ2548" s="4" t="s">
        <v>63</v>
      </c>
      <c r="BA2548" s="4" t="s">
        <v>63</v>
      </c>
      <c r="BB2548" s="4" t="s">
        <v>63</v>
      </c>
      <c r="BC2548" s="4" t="s">
        <v>63</v>
      </c>
      <c r="BD2548" s="4" t="s">
        <v>63</v>
      </c>
      <c r="BE2548" s="4" t="s">
        <v>63</v>
      </c>
      <c r="BF2548" s="4" t="s">
        <v>63</v>
      </c>
    </row>
    <row r="2549" spans="1:58">
      <c r="A2549" s="4" t="s">
        <v>58</v>
      </c>
      <c r="B2549" s="4" t="s">
        <v>21326</v>
      </c>
      <c r="C2549" s="4" t="s">
        <v>21327</v>
      </c>
      <c r="D2549" s="4" t="s">
        <v>371</v>
      </c>
      <c r="E2549" s="4" t="s">
        <v>63</v>
      </c>
      <c r="F2549" s="4">
        <v>2017</v>
      </c>
      <c r="G2549" s="4">
        <v>1</v>
      </c>
      <c r="H2549" s="4">
        <v>32</v>
      </c>
      <c r="I2549" s="4">
        <v>2</v>
      </c>
      <c r="J2549" s="4" t="s">
        <v>21328</v>
      </c>
      <c r="K2549" s="4" t="s">
        <v>63</v>
      </c>
      <c r="L2549" s="4" t="s">
        <v>21329</v>
      </c>
      <c r="M2549" s="4" t="s">
        <v>21330</v>
      </c>
      <c r="N2549" s="4" t="s">
        <v>21331</v>
      </c>
      <c r="O2549" s="4" t="s">
        <v>63</v>
      </c>
      <c r="P2549" s="4"/>
      <c r="Q2549" s="4" t="s">
        <v>63</v>
      </c>
      <c r="R2549" s="4" t="s">
        <v>63</v>
      </c>
      <c r="S2549" s="4" t="s">
        <v>63</v>
      </c>
      <c r="T2549" s="4" t="s">
        <v>63</v>
      </c>
      <c r="U2549" s="4"/>
      <c r="V2549" s="4"/>
      <c r="W2549" s="4"/>
      <c r="X2549" s="4" t="s">
        <v>63</v>
      </c>
      <c r="Y2549" s="4" t="s">
        <v>375</v>
      </c>
      <c r="Z2549" s="4" t="s">
        <v>63</v>
      </c>
      <c r="AA2549" s="4" t="s">
        <v>63</v>
      </c>
      <c r="AB2549" s="4" t="s">
        <v>63</v>
      </c>
      <c r="AC2549" s="4" t="s">
        <v>67</v>
      </c>
      <c r="AD2549" s="4" t="s">
        <v>63</v>
      </c>
      <c r="AE2549" s="4" t="s">
        <v>63</v>
      </c>
      <c r="AF2549" s="4" t="s">
        <v>63</v>
      </c>
      <c r="AG2549" s="4" t="s">
        <v>63</v>
      </c>
      <c r="AH2549" s="4" t="s">
        <v>63</v>
      </c>
      <c r="AI2549" s="4" t="s">
        <v>63</v>
      </c>
      <c r="AJ2549" s="4" t="s">
        <v>63</v>
      </c>
      <c r="AK2549" s="4" t="s">
        <v>63</v>
      </c>
      <c r="AL2549" s="4" t="s">
        <v>63</v>
      </c>
      <c r="AM2549" s="4" t="s">
        <v>21327</v>
      </c>
      <c r="AN2549" s="4" t="s">
        <v>63</v>
      </c>
      <c r="AO2549" s="4" t="s">
        <v>63</v>
      </c>
      <c r="AP2549" s="4" t="s">
        <v>63</v>
      </c>
      <c r="AQ2549" s="4" t="s">
        <v>63</v>
      </c>
      <c r="AR2549" s="4" t="s">
        <v>63</v>
      </c>
      <c r="AS2549" s="4" t="s">
        <v>63</v>
      </c>
      <c r="AT2549" s="4" t="s">
        <v>63</v>
      </c>
      <c r="AU2549" s="4" t="s">
        <v>63</v>
      </c>
      <c r="AV2549" s="4" t="s">
        <v>63</v>
      </c>
      <c r="AW2549" s="4" t="s">
        <v>63</v>
      </c>
      <c r="AX2549" s="4" t="s">
        <v>63</v>
      </c>
      <c r="AY2549" s="4" t="s">
        <v>63</v>
      </c>
      <c r="AZ2549" s="4" t="s">
        <v>63</v>
      </c>
      <c r="BA2549" s="4" t="s">
        <v>63</v>
      </c>
      <c r="BB2549" s="4" t="s">
        <v>63</v>
      </c>
      <c r="BC2549" s="4" t="s">
        <v>63</v>
      </c>
      <c r="BD2549" s="4" t="s">
        <v>63</v>
      </c>
      <c r="BE2549" s="4" t="s">
        <v>63</v>
      </c>
      <c r="BF2549" s="4" t="s">
        <v>63</v>
      </c>
    </row>
    <row r="2550" spans="1:58">
      <c r="A2550" s="4" t="s">
        <v>58</v>
      </c>
      <c r="B2550" s="4" t="s">
        <v>21332</v>
      </c>
      <c r="C2550" s="4" t="s">
        <v>21333</v>
      </c>
      <c r="D2550" s="4" t="s">
        <v>21334</v>
      </c>
      <c r="E2550" s="4" t="s">
        <v>21335</v>
      </c>
      <c r="F2550" s="4">
        <v>1997</v>
      </c>
      <c r="G2550" s="4" t="s">
        <v>21047</v>
      </c>
      <c r="H2550" s="4">
        <v>31</v>
      </c>
      <c r="I2550" s="4">
        <v>5</v>
      </c>
      <c r="J2550" s="4">
        <v>581</v>
      </c>
      <c r="K2550" s="4">
        <v>592</v>
      </c>
      <c r="L2550" s="4" t="s">
        <v>21336</v>
      </c>
      <c r="M2550" s="4" t="s">
        <v>21337</v>
      </c>
      <c r="N2550" s="4" t="s">
        <v>21338</v>
      </c>
      <c r="O2550" s="4" t="s">
        <v>63</v>
      </c>
      <c r="P2550" s="4"/>
      <c r="Q2550" s="4" t="s">
        <v>63</v>
      </c>
      <c r="R2550" s="4" t="s">
        <v>63</v>
      </c>
      <c r="S2550" s="4" t="s">
        <v>63</v>
      </c>
      <c r="T2550" s="4" t="s">
        <v>63</v>
      </c>
      <c r="U2550" s="4"/>
      <c r="V2550" s="4"/>
      <c r="W2550" s="4"/>
      <c r="X2550" s="4" t="s">
        <v>63</v>
      </c>
      <c r="Y2550" s="4" t="s">
        <v>21339</v>
      </c>
      <c r="Z2550" s="4" t="s">
        <v>63</v>
      </c>
      <c r="AA2550" s="4" t="s">
        <v>63</v>
      </c>
      <c r="AB2550" s="4">
        <v>1997317383</v>
      </c>
      <c r="AC2550" s="4" t="s">
        <v>67</v>
      </c>
      <c r="AD2550" s="4" t="s">
        <v>63</v>
      </c>
      <c r="AE2550" s="4" t="s">
        <v>63</v>
      </c>
      <c r="AF2550" s="4" t="s">
        <v>63</v>
      </c>
      <c r="AG2550" s="4" t="s">
        <v>21340</v>
      </c>
      <c r="AH2550" s="4" t="s">
        <v>63</v>
      </c>
      <c r="AI2550" s="4" t="s">
        <v>21341</v>
      </c>
      <c r="AJ2550" s="4" t="s">
        <v>63</v>
      </c>
      <c r="AK2550" s="4" t="s">
        <v>63</v>
      </c>
      <c r="AL2550" s="4" t="s">
        <v>63</v>
      </c>
      <c r="AM2550" s="4" t="s">
        <v>21342</v>
      </c>
      <c r="AN2550" s="4" t="s">
        <v>63</v>
      </c>
      <c r="AO2550" s="4" t="s">
        <v>63</v>
      </c>
      <c r="AP2550" s="4" t="s">
        <v>63</v>
      </c>
      <c r="AQ2550" s="4" t="s">
        <v>63</v>
      </c>
      <c r="AR2550" s="4" t="s">
        <v>63</v>
      </c>
      <c r="AS2550" s="4" t="s">
        <v>63</v>
      </c>
      <c r="AT2550" s="4" t="s">
        <v>63</v>
      </c>
      <c r="AU2550" s="4" t="s">
        <v>63</v>
      </c>
      <c r="AV2550" s="4" t="s">
        <v>63</v>
      </c>
      <c r="AW2550" s="4" t="s">
        <v>63</v>
      </c>
      <c r="AX2550" s="4" t="s">
        <v>63</v>
      </c>
      <c r="AY2550" s="4" t="s">
        <v>63</v>
      </c>
      <c r="AZ2550" s="4" t="s">
        <v>63</v>
      </c>
      <c r="BA2550" s="4" t="s">
        <v>63</v>
      </c>
      <c r="BB2550" s="4" t="s">
        <v>63</v>
      </c>
      <c r="BC2550" s="4" t="s">
        <v>63</v>
      </c>
      <c r="BD2550" s="4" t="s">
        <v>63</v>
      </c>
      <c r="BE2550" s="4" t="s">
        <v>63</v>
      </c>
      <c r="BF2550" s="4" t="s">
        <v>63</v>
      </c>
    </row>
    <row r="2551" spans="1:58">
      <c r="A2551" s="4" t="s">
        <v>58</v>
      </c>
      <c r="B2551" s="4" t="s">
        <v>21343</v>
      </c>
      <c r="C2551" s="4" t="s">
        <v>21344</v>
      </c>
      <c r="D2551" s="4" t="s">
        <v>790</v>
      </c>
      <c r="E2551" s="4" t="s">
        <v>791</v>
      </c>
      <c r="F2551" s="4">
        <v>2015</v>
      </c>
      <c r="G2551" s="4">
        <v>31</v>
      </c>
      <c r="H2551" s="4">
        <v>51</v>
      </c>
      <c r="I2551" s="4" t="s">
        <v>63</v>
      </c>
      <c r="J2551" s="4">
        <v>184</v>
      </c>
      <c r="K2551" s="4">
        <v>192</v>
      </c>
      <c r="L2551" s="4" t="s">
        <v>21345</v>
      </c>
      <c r="M2551" s="4" t="s">
        <v>21346</v>
      </c>
      <c r="N2551" s="4" t="s">
        <v>21347</v>
      </c>
      <c r="O2551" s="4" t="s">
        <v>63</v>
      </c>
      <c r="P2551" s="4"/>
      <c r="Q2551" s="4" t="s">
        <v>63</v>
      </c>
      <c r="R2551" s="4" t="s">
        <v>63</v>
      </c>
      <c r="S2551" s="4" t="s">
        <v>63</v>
      </c>
      <c r="T2551" s="4" t="s">
        <v>63</v>
      </c>
      <c r="U2551" s="4"/>
      <c r="V2551" s="4"/>
      <c r="W2551" s="4"/>
      <c r="X2551" s="4" t="s">
        <v>63</v>
      </c>
      <c r="Y2551" s="4" t="s">
        <v>20701</v>
      </c>
      <c r="Z2551" s="4" t="s">
        <v>63</v>
      </c>
      <c r="AA2551" s="4" t="s">
        <v>63</v>
      </c>
      <c r="AB2551" s="4">
        <v>2015307674</v>
      </c>
      <c r="AC2551" s="4" t="s">
        <v>67</v>
      </c>
      <c r="AD2551" s="4" t="s">
        <v>63</v>
      </c>
      <c r="AE2551" s="4" t="s">
        <v>63</v>
      </c>
      <c r="AF2551" s="4" t="s">
        <v>63</v>
      </c>
      <c r="AG2551" s="4" t="s">
        <v>21348</v>
      </c>
      <c r="AH2551" s="4" t="s">
        <v>63</v>
      </c>
      <c r="AI2551" s="4" t="s">
        <v>21349</v>
      </c>
      <c r="AJ2551" s="4" t="s">
        <v>63</v>
      </c>
      <c r="AK2551" s="4" t="s">
        <v>63</v>
      </c>
      <c r="AL2551" s="4" t="s">
        <v>63</v>
      </c>
      <c r="AM2551" s="4" t="s">
        <v>21350</v>
      </c>
      <c r="AN2551" s="4" t="s">
        <v>63</v>
      </c>
      <c r="AO2551" s="4" t="s">
        <v>63</v>
      </c>
      <c r="AP2551" s="4" t="s">
        <v>63</v>
      </c>
      <c r="AQ2551" s="4" t="s">
        <v>63</v>
      </c>
      <c r="AR2551" s="4" t="s">
        <v>63</v>
      </c>
      <c r="AS2551" s="4" t="s">
        <v>63</v>
      </c>
      <c r="AT2551" s="4" t="s">
        <v>63</v>
      </c>
      <c r="AU2551" s="4" t="s">
        <v>63</v>
      </c>
      <c r="AV2551" s="4" t="s">
        <v>63</v>
      </c>
      <c r="AW2551" s="4" t="s">
        <v>63</v>
      </c>
      <c r="AX2551" s="4" t="s">
        <v>63</v>
      </c>
      <c r="AY2551" s="4" t="s">
        <v>63</v>
      </c>
      <c r="AZ2551" s="4" t="s">
        <v>63</v>
      </c>
      <c r="BA2551" s="4" t="s">
        <v>63</v>
      </c>
      <c r="BB2551" s="4" t="s">
        <v>63</v>
      </c>
      <c r="BC2551" s="4" t="s">
        <v>63</v>
      </c>
      <c r="BD2551" s="4" t="s">
        <v>63</v>
      </c>
      <c r="BE2551" s="4" t="s">
        <v>63</v>
      </c>
      <c r="BF2551" s="4" t="s">
        <v>63</v>
      </c>
    </row>
    <row r="2552" spans="1:58">
      <c r="A2552" s="4" t="s">
        <v>58</v>
      </c>
      <c r="B2552" s="4" t="s">
        <v>21351</v>
      </c>
      <c r="C2552" s="4" t="s">
        <v>21352</v>
      </c>
      <c r="D2552" s="4" t="s">
        <v>21353</v>
      </c>
      <c r="E2552" s="4" t="s">
        <v>21354</v>
      </c>
      <c r="F2552" s="4">
        <v>2002</v>
      </c>
      <c r="G2552" s="4">
        <v>1</v>
      </c>
      <c r="H2552" s="4">
        <v>25</v>
      </c>
      <c r="I2552" s="4">
        <v>11</v>
      </c>
      <c r="J2552" s="4">
        <v>1061</v>
      </c>
      <c r="K2552" s="4">
        <v>1065</v>
      </c>
      <c r="L2552" s="4" t="s">
        <v>21355</v>
      </c>
      <c r="M2552" s="4" t="s">
        <v>21356</v>
      </c>
      <c r="N2552" s="4" t="s">
        <v>21357</v>
      </c>
      <c r="O2552" s="4" t="s">
        <v>63</v>
      </c>
      <c r="P2552" s="4"/>
      <c r="Q2552" s="4" t="s">
        <v>63</v>
      </c>
      <c r="R2552" s="4" t="s">
        <v>63</v>
      </c>
      <c r="S2552" s="4" t="s">
        <v>63</v>
      </c>
      <c r="T2552" s="4" t="s">
        <v>63</v>
      </c>
      <c r="U2552" s="4"/>
      <c r="V2552" s="4"/>
      <c r="W2552" s="4"/>
      <c r="X2552" s="4" t="s">
        <v>63</v>
      </c>
      <c r="Y2552" s="4" t="s">
        <v>21358</v>
      </c>
      <c r="Z2552" s="4" t="s">
        <v>63</v>
      </c>
      <c r="AA2552" s="4" t="s">
        <v>63</v>
      </c>
      <c r="AB2552" s="4">
        <v>2003013621</v>
      </c>
      <c r="AC2552" s="4" t="s">
        <v>67</v>
      </c>
      <c r="AD2552" s="4" t="s">
        <v>63</v>
      </c>
      <c r="AE2552" s="4" t="s">
        <v>63</v>
      </c>
      <c r="AF2552" s="4" t="s">
        <v>63</v>
      </c>
      <c r="AG2552" s="4" t="s">
        <v>21359</v>
      </c>
      <c r="AH2552" s="4" t="s">
        <v>63</v>
      </c>
      <c r="AI2552" s="4" t="s">
        <v>63</v>
      </c>
      <c r="AJ2552" s="4" t="s">
        <v>63</v>
      </c>
      <c r="AK2552" s="4" t="s">
        <v>63</v>
      </c>
      <c r="AL2552" s="4" t="s">
        <v>63</v>
      </c>
      <c r="AM2552" s="4" t="s">
        <v>21360</v>
      </c>
      <c r="AN2552" s="4" t="s">
        <v>63</v>
      </c>
      <c r="AO2552" s="4" t="s">
        <v>63</v>
      </c>
      <c r="AP2552" s="4" t="s">
        <v>63</v>
      </c>
      <c r="AQ2552" s="4" t="s">
        <v>63</v>
      </c>
      <c r="AR2552" s="4" t="s">
        <v>63</v>
      </c>
      <c r="AS2552" s="4" t="s">
        <v>63</v>
      </c>
      <c r="AT2552" s="4" t="s">
        <v>63</v>
      </c>
      <c r="AU2552" s="4" t="s">
        <v>63</v>
      </c>
      <c r="AV2552" s="4" t="s">
        <v>63</v>
      </c>
      <c r="AW2552" s="4" t="s">
        <v>63</v>
      </c>
      <c r="AX2552" s="4" t="s">
        <v>63</v>
      </c>
      <c r="AY2552" s="4" t="s">
        <v>63</v>
      </c>
      <c r="AZ2552" s="4" t="s">
        <v>63</v>
      </c>
      <c r="BA2552" s="4" t="s">
        <v>63</v>
      </c>
      <c r="BB2552" s="4" t="s">
        <v>63</v>
      </c>
      <c r="BC2552" s="4" t="s">
        <v>63</v>
      </c>
      <c r="BD2552" s="4" t="s">
        <v>63</v>
      </c>
      <c r="BE2552" s="4" t="s">
        <v>63</v>
      </c>
      <c r="BF2552" s="4" t="s">
        <v>63</v>
      </c>
    </row>
    <row r="2553" spans="1:58">
      <c r="A2553" s="4" t="s">
        <v>58</v>
      </c>
      <c r="B2553" s="4" t="s">
        <v>21361</v>
      </c>
      <c r="C2553" s="4" t="s">
        <v>21362</v>
      </c>
      <c r="D2553" s="4" t="s">
        <v>938</v>
      </c>
      <c r="E2553" s="4" t="s">
        <v>63</v>
      </c>
      <c r="F2553" s="4">
        <v>2011</v>
      </c>
      <c r="G2553" s="4" t="s">
        <v>15449</v>
      </c>
      <c r="H2553" s="4">
        <v>20</v>
      </c>
      <c r="I2553" s="4">
        <v>4</v>
      </c>
      <c r="J2553" s="4">
        <v>378</v>
      </c>
      <c r="K2553" s="4" t="s">
        <v>63</v>
      </c>
      <c r="L2553" s="4" t="s">
        <v>21363</v>
      </c>
      <c r="M2553" s="4" t="s">
        <v>21364</v>
      </c>
      <c r="N2553" s="4" t="s">
        <v>21365</v>
      </c>
      <c r="O2553" s="4" t="s">
        <v>63</v>
      </c>
      <c r="P2553" s="4"/>
      <c r="Q2553" s="4" t="s">
        <v>63</v>
      </c>
      <c r="R2553" s="4" t="s">
        <v>63</v>
      </c>
      <c r="S2553" s="4" t="s">
        <v>63</v>
      </c>
      <c r="T2553" s="4" t="s">
        <v>63</v>
      </c>
      <c r="U2553" s="4"/>
      <c r="V2553" s="4"/>
      <c r="W2553" s="4"/>
      <c r="X2553" s="4" t="s">
        <v>63</v>
      </c>
      <c r="Y2553" s="4" t="s">
        <v>2500</v>
      </c>
      <c r="Z2553" s="4" t="s">
        <v>63</v>
      </c>
      <c r="AA2553" s="4" t="s">
        <v>63</v>
      </c>
      <c r="AB2553" s="4" t="s">
        <v>63</v>
      </c>
      <c r="AC2553" s="4" t="s">
        <v>67</v>
      </c>
      <c r="AD2553" s="4" t="s">
        <v>63</v>
      </c>
      <c r="AE2553" s="4" t="s">
        <v>63</v>
      </c>
      <c r="AF2553" s="4" t="s">
        <v>63</v>
      </c>
      <c r="AG2553" s="4" t="s">
        <v>63</v>
      </c>
      <c r="AH2553" s="4" t="s">
        <v>63</v>
      </c>
      <c r="AI2553" s="4" t="s">
        <v>18449</v>
      </c>
      <c r="AJ2553" s="4" t="s">
        <v>63</v>
      </c>
      <c r="AK2553" s="4" t="s">
        <v>63</v>
      </c>
      <c r="AL2553" s="4" t="s">
        <v>63</v>
      </c>
      <c r="AM2553" s="4" t="s">
        <v>21362</v>
      </c>
      <c r="AN2553" s="4" t="s">
        <v>63</v>
      </c>
      <c r="AO2553" s="4" t="s">
        <v>63</v>
      </c>
      <c r="AP2553" s="4" t="s">
        <v>63</v>
      </c>
      <c r="AQ2553" s="4" t="s">
        <v>63</v>
      </c>
      <c r="AR2553" s="4" t="s">
        <v>63</v>
      </c>
      <c r="AS2553" s="4" t="s">
        <v>63</v>
      </c>
      <c r="AT2553" s="4" t="s">
        <v>63</v>
      </c>
      <c r="AU2553" s="4" t="s">
        <v>63</v>
      </c>
      <c r="AV2553" s="4" t="s">
        <v>63</v>
      </c>
      <c r="AW2553" s="4" t="s">
        <v>63</v>
      </c>
      <c r="AX2553" s="4" t="s">
        <v>63</v>
      </c>
      <c r="AY2553" s="4" t="s">
        <v>63</v>
      </c>
      <c r="AZ2553" s="4" t="s">
        <v>63</v>
      </c>
      <c r="BA2553" s="4" t="s">
        <v>63</v>
      </c>
      <c r="BB2553" s="4" t="s">
        <v>63</v>
      </c>
      <c r="BC2553" s="4" t="s">
        <v>63</v>
      </c>
      <c r="BD2553" s="4" t="s">
        <v>63</v>
      </c>
      <c r="BE2553" s="4" t="s">
        <v>63</v>
      </c>
      <c r="BF2553" s="4" t="s">
        <v>63</v>
      </c>
    </row>
    <row r="2554" spans="1:58">
      <c r="A2554" s="4" t="s">
        <v>58</v>
      </c>
      <c r="B2554" s="4" t="s">
        <v>21366</v>
      </c>
      <c r="C2554" s="4" t="s">
        <v>21367</v>
      </c>
      <c r="D2554" s="4" t="s">
        <v>3984</v>
      </c>
      <c r="E2554" s="4" t="s">
        <v>63</v>
      </c>
      <c r="F2554" s="4">
        <v>2010</v>
      </c>
      <c r="G2554" s="4" t="s">
        <v>15165</v>
      </c>
      <c r="H2554" s="4">
        <v>11</v>
      </c>
      <c r="I2554" s="4">
        <v>4</v>
      </c>
      <c r="J2554" s="4" t="s">
        <v>15757</v>
      </c>
      <c r="K2554" s="4" t="s">
        <v>63</v>
      </c>
      <c r="L2554" s="4" t="s">
        <v>21368</v>
      </c>
      <c r="M2554" s="4" t="s">
        <v>21369</v>
      </c>
      <c r="N2554" s="4" t="s">
        <v>21370</v>
      </c>
      <c r="O2554" s="4" t="s">
        <v>63</v>
      </c>
      <c r="P2554" s="4"/>
      <c r="Q2554" s="4" t="s">
        <v>63</v>
      </c>
      <c r="R2554" s="4" t="s">
        <v>63</v>
      </c>
      <c r="S2554" s="4" t="s">
        <v>63</v>
      </c>
      <c r="T2554" s="4" t="s">
        <v>63</v>
      </c>
      <c r="U2554" s="4"/>
      <c r="V2554" s="4"/>
      <c r="W2554" s="4"/>
      <c r="X2554" s="4" t="s">
        <v>63</v>
      </c>
      <c r="Y2554" s="4" t="s">
        <v>5160</v>
      </c>
      <c r="Z2554" s="4" t="s">
        <v>63</v>
      </c>
      <c r="AA2554" s="4" t="s">
        <v>63</v>
      </c>
      <c r="AB2554" s="4" t="s">
        <v>63</v>
      </c>
      <c r="AC2554" s="4" t="s">
        <v>67</v>
      </c>
      <c r="AD2554" s="4" t="s">
        <v>63</v>
      </c>
      <c r="AE2554" s="4" t="s">
        <v>63</v>
      </c>
      <c r="AF2554" s="4" t="s">
        <v>63</v>
      </c>
      <c r="AG2554" s="4" t="s">
        <v>63</v>
      </c>
      <c r="AH2554" s="4" t="s">
        <v>63</v>
      </c>
      <c r="AI2554" s="4" t="s">
        <v>21371</v>
      </c>
      <c r="AJ2554" s="4" t="s">
        <v>63</v>
      </c>
      <c r="AK2554" s="4" t="s">
        <v>63</v>
      </c>
      <c r="AL2554" s="4" t="s">
        <v>63</v>
      </c>
      <c r="AM2554" s="4" t="s">
        <v>21367</v>
      </c>
      <c r="AN2554" s="4" t="s">
        <v>63</v>
      </c>
      <c r="AO2554" s="4" t="s">
        <v>63</v>
      </c>
      <c r="AP2554" s="4" t="s">
        <v>63</v>
      </c>
      <c r="AQ2554" s="4" t="s">
        <v>63</v>
      </c>
      <c r="AR2554" s="4" t="s">
        <v>63</v>
      </c>
      <c r="AS2554" s="4" t="s">
        <v>63</v>
      </c>
      <c r="AT2554" s="4" t="s">
        <v>63</v>
      </c>
      <c r="AU2554" s="4" t="s">
        <v>63</v>
      </c>
      <c r="AV2554" s="4" t="s">
        <v>63</v>
      </c>
      <c r="AW2554" s="4" t="s">
        <v>63</v>
      </c>
      <c r="AX2554" s="4" t="s">
        <v>63</v>
      </c>
      <c r="AY2554" s="4" t="s">
        <v>63</v>
      </c>
      <c r="AZ2554" s="4" t="s">
        <v>63</v>
      </c>
      <c r="BA2554" s="4" t="s">
        <v>63</v>
      </c>
      <c r="BB2554" s="4" t="s">
        <v>63</v>
      </c>
      <c r="BC2554" s="4" t="s">
        <v>63</v>
      </c>
      <c r="BD2554" s="4" t="s">
        <v>63</v>
      </c>
      <c r="BE2554" s="4" t="s">
        <v>63</v>
      </c>
      <c r="BF2554" s="4" t="s">
        <v>63</v>
      </c>
    </row>
    <row r="2555" spans="1:58">
      <c r="A2555" s="4" t="s">
        <v>58</v>
      </c>
      <c r="B2555" s="4" t="s">
        <v>21372</v>
      </c>
      <c r="C2555" s="4" t="s">
        <v>21373</v>
      </c>
      <c r="D2555" s="4" t="s">
        <v>15421</v>
      </c>
      <c r="E2555" s="4" t="s">
        <v>63</v>
      </c>
      <c r="F2555" s="4">
        <v>2011</v>
      </c>
      <c r="G2555" s="4" t="s">
        <v>198</v>
      </c>
      <c r="H2555" s="4">
        <v>32</v>
      </c>
      <c r="I2555" s="4">
        <v>1</v>
      </c>
      <c r="J2555" s="4">
        <v>7</v>
      </c>
      <c r="K2555" s="4">
        <v>15</v>
      </c>
      <c r="L2555" s="4" t="s">
        <v>21374</v>
      </c>
      <c r="M2555" s="4" t="s">
        <v>21375</v>
      </c>
      <c r="N2555" s="4" t="s">
        <v>21376</v>
      </c>
      <c r="O2555" s="4" t="s">
        <v>63</v>
      </c>
      <c r="P2555" s="4"/>
      <c r="Q2555" s="4" t="s">
        <v>63</v>
      </c>
      <c r="R2555" s="4" t="s">
        <v>63</v>
      </c>
      <c r="S2555" s="4" t="s">
        <v>63</v>
      </c>
      <c r="T2555" s="4" t="s">
        <v>63</v>
      </c>
      <c r="U2555" s="4"/>
      <c r="V2555" s="4"/>
      <c r="W2555" s="4"/>
      <c r="X2555" s="4" t="s">
        <v>63</v>
      </c>
      <c r="Y2555" s="4" t="s">
        <v>15425</v>
      </c>
      <c r="Z2555" s="4" t="s">
        <v>63</v>
      </c>
      <c r="AA2555" s="4" t="s">
        <v>63</v>
      </c>
      <c r="AB2555" s="4" t="s">
        <v>63</v>
      </c>
      <c r="AC2555" s="4" t="s">
        <v>67</v>
      </c>
      <c r="AD2555" s="4" t="s">
        <v>63</v>
      </c>
      <c r="AE2555" s="4" t="s">
        <v>63</v>
      </c>
      <c r="AF2555" s="4" t="s">
        <v>63</v>
      </c>
      <c r="AG2555" s="4" t="s">
        <v>21377</v>
      </c>
      <c r="AH2555" s="4" t="s">
        <v>63</v>
      </c>
      <c r="AI2555" s="4" t="s">
        <v>21378</v>
      </c>
      <c r="AJ2555" s="4" t="s">
        <v>63</v>
      </c>
      <c r="AK2555" s="4" t="s">
        <v>63</v>
      </c>
      <c r="AL2555" s="4" t="s">
        <v>63</v>
      </c>
      <c r="AM2555" s="4" t="s">
        <v>21379</v>
      </c>
      <c r="AN2555" s="4" t="s">
        <v>63</v>
      </c>
      <c r="AO2555" s="4" t="s">
        <v>63</v>
      </c>
      <c r="AP2555" s="4" t="s">
        <v>63</v>
      </c>
      <c r="AQ2555" s="4" t="s">
        <v>63</v>
      </c>
      <c r="AR2555" s="4" t="s">
        <v>63</v>
      </c>
      <c r="AS2555" s="4" t="s">
        <v>63</v>
      </c>
      <c r="AT2555" s="4" t="s">
        <v>63</v>
      </c>
      <c r="AU2555" s="4" t="s">
        <v>63</v>
      </c>
      <c r="AV2555" s="4" t="s">
        <v>63</v>
      </c>
      <c r="AW2555" s="4" t="s">
        <v>63</v>
      </c>
      <c r="AX2555" s="4" t="s">
        <v>63</v>
      </c>
      <c r="AY2555" s="4" t="s">
        <v>63</v>
      </c>
      <c r="AZ2555" s="4" t="s">
        <v>63</v>
      </c>
      <c r="BA2555" s="4" t="s">
        <v>63</v>
      </c>
      <c r="BB2555" s="4" t="s">
        <v>63</v>
      </c>
      <c r="BC2555" s="4" t="s">
        <v>63</v>
      </c>
      <c r="BD2555" s="4" t="s">
        <v>63</v>
      </c>
      <c r="BE2555" s="4" t="s">
        <v>63</v>
      </c>
      <c r="BF2555" s="4" t="s">
        <v>63</v>
      </c>
    </row>
    <row r="2556" spans="1:58">
      <c r="A2556" s="4" t="s">
        <v>58</v>
      </c>
      <c r="B2556" s="4" t="s">
        <v>21380</v>
      </c>
      <c r="C2556" s="4" t="s">
        <v>21381</v>
      </c>
      <c r="D2556" s="4" t="s">
        <v>16632</v>
      </c>
      <c r="E2556" s="4" t="s">
        <v>63</v>
      </c>
      <c r="F2556" s="4">
        <v>2017</v>
      </c>
      <c r="G2556" s="4" t="s">
        <v>63</v>
      </c>
      <c r="H2556" s="4" t="s">
        <v>21382</v>
      </c>
      <c r="I2556" s="4" t="s">
        <v>63</v>
      </c>
      <c r="J2556" s="4" t="s">
        <v>63</v>
      </c>
      <c r="K2556" s="4" t="s">
        <v>63</v>
      </c>
      <c r="L2556" s="4" t="s">
        <v>21383</v>
      </c>
      <c r="M2556" s="4" t="s">
        <v>21384</v>
      </c>
      <c r="N2556" s="4" t="s">
        <v>21385</v>
      </c>
      <c r="O2556" s="4" t="s">
        <v>63</v>
      </c>
      <c r="P2556" s="4"/>
      <c r="Q2556" s="4" t="s">
        <v>63</v>
      </c>
      <c r="R2556" s="4" t="s">
        <v>63</v>
      </c>
      <c r="S2556" s="4" t="s">
        <v>63</v>
      </c>
      <c r="T2556" s="4" t="s">
        <v>63</v>
      </c>
      <c r="U2556" s="4"/>
      <c r="V2556" s="4"/>
      <c r="W2556" s="4"/>
      <c r="X2556" s="4" t="s">
        <v>63</v>
      </c>
      <c r="Y2556" s="4" t="s">
        <v>9691</v>
      </c>
      <c r="Z2556" s="4" t="s">
        <v>63</v>
      </c>
      <c r="AA2556" s="4" t="s">
        <v>63</v>
      </c>
      <c r="AB2556" s="4">
        <v>20170731849</v>
      </c>
      <c r="AC2556" s="4" t="s">
        <v>67</v>
      </c>
      <c r="AD2556" s="4" t="s">
        <v>63</v>
      </c>
      <c r="AE2556" s="4" t="s">
        <v>63</v>
      </c>
      <c r="AF2556" s="4" t="s">
        <v>63</v>
      </c>
      <c r="AG2556" s="4" t="s">
        <v>21386</v>
      </c>
      <c r="AH2556" s="4" t="s">
        <v>63</v>
      </c>
      <c r="AI2556" s="4" t="s">
        <v>21387</v>
      </c>
      <c r="AJ2556" s="4" t="s">
        <v>63</v>
      </c>
      <c r="AK2556" s="4" t="s">
        <v>63</v>
      </c>
      <c r="AL2556" s="4" t="s">
        <v>63</v>
      </c>
      <c r="AM2556" s="4" t="s">
        <v>21388</v>
      </c>
      <c r="AN2556" s="4" t="s">
        <v>63</v>
      </c>
      <c r="AO2556" s="4" t="s">
        <v>63</v>
      </c>
      <c r="AP2556" s="4" t="s">
        <v>63</v>
      </c>
      <c r="AQ2556" s="4" t="s">
        <v>63</v>
      </c>
      <c r="AR2556" s="4" t="s">
        <v>63</v>
      </c>
      <c r="AS2556" s="4" t="s">
        <v>63</v>
      </c>
      <c r="AT2556" s="4" t="s">
        <v>63</v>
      </c>
      <c r="AU2556" s="4" t="s">
        <v>63</v>
      </c>
      <c r="AV2556" s="4" t="s">
        <v>63</v>
      </c>
      <c r="AW2556" s="4" t="s">
        <v>63</v>
      </c>
      <c r="AX2556" s="4" t="s">
        <v>63</v>
      </c>
      <c r="AY2556" s="4" t="s">
        <v>63</v>
      </c>
      <c r="AZ2556" s="4" t="s">
        <v>63</v>
      </c>
      <c r="BA2556" s="4" t="s">
        <v>63</v>
      </c>
      <c r="BB2556" s="4" t="s">
        <v>63</v>
      </c>
      <c r="BC2556" s="4" t="s">
        <v>63</v>
      </c>
      <c r="BD2556" s="4" t="s">
        <v>63</v>
      </c>
      <c r="BE2556" s="4" t="s">
        <v>63</v>
      </c>
      <c r="BF2556" s="4" t="s">
        <v>63</v>
      </c>
    </row>
    <row r="2557" spans="1:58">
      <c r="A2557" s="4" t="s">
        <v>58</v>
      </c>
      <c r="B2557" s="4" t="s">
        <v>21389</v>
      </c>
      <c r="C2557" s="4" t="s">
        <v>21390</v>
      </c>
      <c r="D2557" s="4" t="s">
        <v>371</v>
      </c>
      <c r="E2557" s="4" t="s">
        <v>63</v>
      </c>
      <c r="F2557" s="4">
        <v>2017</v>
      </c>
      <c r="G2557" s="4">
        <v>1</v>
      </c>
      <c r="H2557" s="4">
        <v>32</v>
      </c>
      <c r="I2557" s="4">
        <v>2</v>
      </c>
      <c r="J2557" s="4" t="s">
        <v>21391</v>
      </c>
      <c r="K2557" s="4" t="s">
        <v>63</v>
      </c>
      <c r="L2557" s="4" t="s">
        <v>21392</v>
      </c>
      <c r="M2557" s="4" t="s">
        <v>21393</v>
      </c>
      <c r="N2557" s="4" t="s">
        <v>21394</v>
      </c>
      <c r="O2557" s="4" t="s">
        <v>63</v>
      </c>
      <c r="P2557" s="4"/>
      <c r="Q2557" s="4" t="s">
        <v>63</v>
      </c>
      <c r="R2557" s="4" t="s">
        <v>63</v>
      </c>
      <c r="S2557" s="4" t="s">
        <v>63</v>
      </c>
      <c r="T2557" s="4" t="s">
        <v>63</v>
      </c>
      <c r="U2557" s="4"/>
      <c r="V2557" s="4"/>
      <c r="W2557" s="4"/>
      <c r="X2557" s="4" t="s">
        <v>63</v>
      </c>
      <c r="Y2557" s="4" t="s">
        <v>375</v>
      </c>
      <c r="Z2557" s="4" t="s">
        <v>63</v>
      </c>
      <c r="AA2557" s="4" t="s">
        <v>63</v>
      </c>
      <c r="AB2557" s="4" t="s">
        <v>63</v>
      </c>
      <c r="AC2557" s="4" t="s">
        <v>67</v>
      </c>
      <c r="AD2557" s="4" t="s">
        <v>63</v>
      </c>
      <c r="AE2557" s="4" t="s">
        <v>63</v>
      </c>
      <c r="AF2557" s="4" t="s">
        <v>63</v>
      </c>
      <c r="AG2557" s="4" t="s">
        <v>63</v>
      </c>
      <c r="AH2557" s="4" t="s">
        <v>63</v>
      </c>
      <c r="AI2557" s="4" t="s">
        <v>63</v>
      </c>
      <c r="AJ2557" s="4" t="s">
        <v>63</v>
      </c>
      <c r="AK2557" s="4" t="s">
        <v>63</v>
      </c>
      <c r="AL2557" s="4" t="s">
        <v>63</v>
      </c>
      <c r="AM2557" s="4" t="s">
        <v>21390</v>
      </c>
      <c r="AN2557" s="4" t="s">
        <v>63</v>
      </c>
      <c r="AO2557" s="4" t="s">
        <v>63</v>
      </c>
      <c r="AP2557" s="4" t="s">
        <v>63</v>
      </c>
      <c r="AQ2557" s="4" t="s">
        <v>63</v>
      </c>
      <c r="AR2557" s="4" t="s">
        <v>63</v>
      </c>
      <c r="AS2557" s="4" t="s">
        <v>63</v>
      </c>
      <c r="AT2557" s="4" t="s">
        <v>63</v>
      </c>
      <c r="AU2557" s="4" t="s">
        <v>63</v>
      </c>
      <c r="AV2557" s="4" t="s">
        <v>63</v>
      </c>
      <c r="AW2557" s="4" t="s">
        <v>63</v>
      </c>
      <c r="AX2557" s="4" t="s">
        <v>63</v>
      </c>
      <c r="AY2557" s="4" t="s">
        <v>63</v>
      </c>
      <c r="AZ2557" s="4" t="s">
        <v>63</v>
      </c>
      <c r="BA2557" s="4" t="s">
        <v>63</v>
      </c>
      <c r="BB2557" s="4" t="s">
        <v>63</v>
      </c>
      <c r="BC2557" s="4" t="s">
        <v>63</v>
      </c>
      <c r="BD2557" s="4" t="s">
        <v>63</v>
      </c>
      <c r="BE2557" s="4" t="s">
        <v>63</v>
      </c>
      <c r="BF2557" s="4" t="s">
        <v>63</v>
      </c>
    </row>
    <row r="2558" spans="1:58">
      <c r="A2558" s="4" t="s">
        <v>58</v>
      </c>
      <c r="B2558" s="4" t="s">
        <v>21395</v>
      </c>
      <c r="C2558" s="4" t="s">
        <v>21396</v>
      </c>
      <c r="D2558" s="4" t="s">
        <v>21397</v>
      </c>
      <c r="E2558" s="4" t="s">
        <v>63</v>
      </c>
      <c r="F2558" s="4">
        <v>2013</v>
      </c>
      <c r="G2558" s="4" t="s">
        <v>15165</v>
      </c>
      <c r="H2558" s="4">
        <v>8</v>
      </c>
      <c r="I2558" s="4">
        <v>2</v>
      </c>
      <c r="J2558" s="4">
        <v>378</v>
      </c>
      <c r="K2558" s="4">
        <v>380</v>
      </c>
      <c r="L2558" s="4" t="s">
        <v>21398</v>
      </c>
      <c r="M2558" s="4" t="s">
        <v>21399</v>
      </c>
      <c r="N2558" s="4" t="s">
        <v>21400</v>
      </c>
      <c r="O2558" s="4" t="s">
        <v>63</v>
      </c>
      <c r="P2558" s="4"/>
      <c r="Q2558" s="4" t="s">
        <v>63</v>
      </c>
      <c r="R2558" s="4" t="s">
        <v>63</v>
      </c>
      <c r="S2558" s="4" t="s">
        <v>63</v>
      </c>
      <c r="T2558" s="4" t="s">
        <v>63</v>
      </c>
      <c r="U2558" s="4"/>
      <c r="V2558" s="4"/>
      <c r="W2558" s="4"/>
      <c r="X2558" s="4" t="s">
        <v>63</v>
      </c>
      <c r="Y2558" s="4" t="s">
        <v>21401</v>
      </c>
      <c r="Z2558" s="4" t="s">
        <v>63</v>
      </c>
      <c r="AA2558" s="4" t="s">
        <v>63</v>
      </c>
      <c r="AB2558" s="4" t="s">
        <v>63</v>
      </c>
      <c r="AC2558" s="4" t="s">
        <v>67</v>
      </c>
      <c r="AD2558" s="4" t="s">
        <v>63</v>
      </c>
      <c r="AE2558" s="4" t="s">
        <v>63</v>
      </c>
      <c r="AF2558" s="4" t="s">
        <v>63</v>
      </c>
      <c r="AG2558" s="4" t="s">
        <v>63</v>
      </c>
      <c r="AH2558" s="4" t="s">
        <v>63</v>
      </c>
      <c r="AI2558" s="4" t="s">
        <v>21402</v>
      </c>
      <c r="AJ2558" s="4" t="s">
        <v>63</v>
      </c>
      <c r="AK2558" s="4" t="s">
        <v>63</v>
      </c>
      <c r="AL2558" s="4" t="s">
        <v>63</v>
      </c>
      <c r="AM2558" s="4" t="s">
        <v>21396</v>
      </c>
      <c r="AN2558" s="4" t="s">
        <v>63</v>
      </c>
      <c r="AO2558" s="4" t="s">
        <v>63</v>
      </c>
      <c r="AP2558" s="4" t="s">
        <v>63</v>
      </c>
      <c r="AQ2558" s="4" t="s">
        <v>63</v>
      </c>
      <c r="AR2558" s="4" t="s">
        <v>63</v>
      </c>
      <c r="AS2558" s="4" t="s">
        <v>63</v>
      </c>
      <c r="AT2558" s="4" t="s">
        <v>63</v>
      </c>
      <c r="AU2558" s="4" t="s">
        <v>63</v>
      </c>
      <c r="AV2558" s="4" t="s">
        <v>63</v>
      </c>
      <c r="AW2558" s="4" t="s">
        <v>63</v>
      </c>
      <c r="AX2558" s="4" t="s">
        <v>63</v>
      </c>
      <c r="AY2558" s="4" t="s">
        <v>63</v>
      </c>
      <c r="AZ2558" s="4" t="s">
        <v>63</v>
      </c>
      <c r="BA2558" s="4" t="s">
        <v>63</v>
      </c>
      <c r="BB2558" s="4" t="s">
        <v>63</v>
      </c>
      <c r="BC2558" s="4" t="s">
        <v>63</v>
      </c>
      <c r="BD2558" s="4" t="s">
        <v>63</v>
      </c>
      <c r="BE2558" s="4" t="s">
        <v>63</v>
      </c>
      <c r="BF2558" s="4" t="s">
        <v>63</v>
      </c>
    </row>
    <row r="2559" spans="1:58">
      <c r="A2559" s="4" t="s">
        <v>58</v>
      </c>
      <c r="B2559" s="4" t="s">
        <v>21403</v>
      </c>
      <c r="C2559" s="4" t="s">
        <v>21404</v>
      </c>
      <c r="D2559" s="4" t="s">
        <v>21405</v>
      </c>
      <c r="E2559" s="4" t="s">
        <v>63</v>
      </c>
      <c r="F2559" s="4">
        <v>2014</v>
      </c>
      <c r="G2559" s="4" t="s">
        <v>15254</v>
      </c>
      <c r="H2559" s="4" t="s">
        <v>21406</v>
      </c>
      <c r="I2559" s="4" t="s">
        <v>63</v>
      </c>
      <c r="J2559" s="4">
        <v>243</v>
      </c>
      <c r="K2559" s="4" t="s">
        <v>63</v>
      </c>
      <c r="L2559" s="4" t="s">
        <v>21407</v>
      </c>
      <c r="M2559" s="4" t="s">
        <v>21408</v>
      </c>
      <c r="N2559" s="4" t="s">
        <v>21409</v>
      </c>
      <c r="O2559" s="4" t="s">
        <v>63</v>
      </c>
      <c r="P2559" s="4"/>
      <c r="Q2559" s="4" t="s">
        <v>63</v>
      </c>
      <c r="R2559" s="4" t="s">
        <v>63</v>
      </c>
      <c r="S2559" s="4" t="s">
        <v>63</v>
      </c>
      <c r="T2559" s="4" t="s">
        <v>63</v>
      </c>
      <c r="U2559" s="4"/>
      <c r="V2559" s="4"/>
      <c r="W2559" s="4"/>
      <c r="X2559" s="4" t="s">
        <v>63</v>
      </c>
      <c r="Y2559" s="4" t="s">
        <v>21410</v>
      </c>
      <c r="Z2559" s="4" t="s">
        <v>63</v>
      </c>
      <c r="AA2559" s="4" t="s">
        <v>63</v>
      </c>
      <c r="AB2559" s="4" t="s">
        <v>63</v>
      </c>
      <c r="AC2559" s="4" t="s">
        <v>67</v>
      </c>
      <c r="AD2559" s="4" t="s">
        <v>63</v>
      </c>
      <c r="AE2559" s="4" t="s">
        <v>63</v>
      </c>
      <c r="AF2559" s="4" t="s">
        <v>63</v>
      </c>
      <c r="AG2559" s="4" t="s">
        <v>63</v>
      </c>
      <c r="AH2559" s="4" t="s">
        <v>63</v>
      </c>
      <c r="AI2559" s="4" t="s">
        <v>21411</v>
      </c>
      <c r="AJ2559" s="4" t="s">
        <v>63</v>
      </c>
      <c r="AK2559" s="4" t="s">
        <v>63</v>
      </c>
      <c r="AL2559" s="4" t="s">
        <v>63</v>
      </c>
      <c r="AM2559" s="4" t="s">
        <v>21404</v>
      </c>
      <c r="AN2559" s="4" t="s">
        <v>63</v>
      </c>
      <c r="AO2559" s="4" t="s">
        <v>63</v>
      </c>
      <c r="AP2559" s="4" t="s">
        <v>63</v>
      </c>
      <c r="AQ2559" s="4" t="s">
        <v>63</v>
      </c>
      <c r="AR2559" s="4" t="s">
        <v>63</v>
      </c>
      <c r="AS2559" s="4" t="s">
        <v>63</v>
      </c>
      <c r="AT2559" s="4" t="s">
        <v>63</v>
      </c>
      <c r="AU2559" s="4" t="s">
        <v>63</v>
      </c>
      <c r="AV2559" s="4" t="s">
        <v>63</v>
      </c>
      <c r="AW2559" s="4" t="s">
        <v>63</v>
      </c>
      <c r="AX2559" s="4" t="s">
        <v>63</v>
      </c>
      <c r="AY2559" s="4" t="s">
        <v>63</v>
      </c>
      <c r="AZ2559" s="4" t="s">
        <v>63</v>
      </c>
      <c r="BA2559" s="4" t="s">
        <v>63</v>
      </c>
      <c r="BB2559" s="4" t="s">
        <v>63</v>
      </c>
      <c r="BC2559" s="4" t="s">
        <v>63</v>
      </c>
      <c r="BD2559" s="4" t="s">
        <v>63</v>
      </c>
      <c r="BE2559" s="4" t="s">
        <v>63</v>
      </c>
      <c r="BF2559" s="4" t="s">
        <v>63</v>
      </c>
    </row>
    <row r="2560" spans="1:58">
      <c r="A2560" s="4" t="s">
        <v>58</v>
      </c>
      <c r="B2560" s="4" t="s">
        <v>21412</v>
      </c>
      <c r="C2560" s="4" t="s">
        <v>21413</v>
      </c>
      <c r="D2560" s="4" t="s">
        <v>15482</v>
      </c>
      <c r="E2560" s="4" t="s">
        <v>63</v>
      </c>
      <c r="F2560" s="4">
        <v>2010</v>
      </c>
      <c r="G2560" s="4" t="s">
        <v>15300</v>
      </c>
      <c r="H2560" s="4" t="s">
        <v>19185</v>
      </c>
      <c r="I2560" s="4" t="s">
        <v>63</v>
      </c>
      <c r="J2560" s="4" t="s">
        <v>21414</v>
      </c>
      <c r="K2560" s="4" t="s">
        <v>63</v>
      </c>
      <c r="L2560" s="4" t="s">
        <v>21415</v>
      </c>
      <c r="M2560" s="4" t="s">
        <v>21416</v>
      </c>
      <c r="N2560" s="4" t="s">
        <v>21417</v>
      </c>
      <c r="O2560" s="4" t="s">
        <v>63</v>
      </c>
      <c r="P2560" s="4"/>
      <c r="Q2560" s="4" t="s">
        <v>63</v>
      </c>
      <c r="R2560" s="4" t="s">
        <v>63</v>
      </c>
      <c r="S2560" s="4" t="s">
        <v>63</v>
      </c>
      <c r="T2560" s="4" t="s">
        <v>63</v>
      </c>
      <c r="U2560" s="4"/>
      <c r="V2560" s="4"/>
      <c r="W2560" s="4"/>
      <c r="X2560" s="4" t="s">
        <v>63</v>
      </c>
      <c r="Y2560" s="4" t="s">
        <v>4853</v>
      </c>
      <c r="Z2560" s="4" t="s">
        <v>63</v>
      </c>
      <c r="AA2560" s="4" t="s">
        <v>63</v>
      </c>
      <c r="AB2560" s="4" t="s">
        <v>63</v>
      </c>
      <c r="AC2560" s="4" t="s">
        <v>67</v>
      </c>
      <c r="AD2560" s="4" t="s">
        <v>63</v>
      </c>
      <c r="AE2560" s="4" t="s">
        <v>63</v>
      </c>
      <c r="AF2560" s="4" t="s">
        <v>63</v>
      </c>
      <c r="AG2560" s="4" t="s">
        <v>63</v>
      </c>
      <c r="AH2560" s="4" t="s">
        <v>63</v>
      </c>
      <c r="AI2560" s="4" t="s">
        <v>19190</v>
      </c>
      <c r="AJ2560" s="4" t="s">
        <v>63</v>
      </c>
      <c r="AK2560" s="4" t="s">
        <v>63</v>
      </c>
      <c r="AL2560" s="4" t="s">
        <v>63</v>
      </c>
      <c r="AM2560" s="4" t="s">
        <v>21413</v>
      </c>
      <c r="AN2560" s="4" t="s">
        <v>63</v>
      </c>
      <c r="AO2560" s="4" t="s">
        <v>63</v>
      </c>
      <c r="AP2560" s="4" t="s">
        <v>63</v>
      </c>
      <c r="AQ2560" s="4" t="s">
        <v>63</v>
      </c>
      <c r="AR2560" s="4" t="s">
        <v>63</v>
      </c>
      <c r="AS2560" s="4" t="s">
        <v>63</v>
      </c>
      <c r="AT2560" s="4" t="s">
        <v>63</v>
      </c>
      <c r="AU2560" s="4" t="s">
        <v>63</v>
      </c>
      <c r="AV2560" s="4" t="s">
        <v>63</v>
      </c>
      <c r="AW2560" s="4" t="s">
        <v>63</v>
      </c>
      <c r="AX2560" s="4" t="s">
        <v>63</v>
      </c>
      <c r="AY2560" s="4" t="s">
        <v>63</v>
      </c>
      <c r="AZ2560" s="4" t="s">
        <v>63</v>
      </c>
      <c r="BA2560" s="4" t="s">
        <v>63</v>
      </c>
      <c r="BB2560" s="4" t="s">
        <v>63</v>
      </c>
      <c r="BC2560" s="4" t="s">
        <v>63</v>
      </c>
      <c r="BD2560" s="4" t="s">
        <v>63</v>
      </c>
      <c r="BE2560" s="4" t="s">
        <v>63</v>
      </c>
      <c r="BF2560" s="4" t="s">
        <v>63</v>
      </c>
    </row>
    <row r="2561" spans="1:58">
      <c r="A2561" s="4" t="s">
        <v>58</v>
      </c>
      <c r="B2561" s="4" t="s">
        <v>21418</v>
      </c>
      <c r="C2561" s="4" t="s">
        <v>21419</v>
      </c>
      <c r="D2561" s="4" t="s">
        <v>17122</v>
      </c>
      <c r="E2561" s="4" t="s">
        <v>17123</v>
      </c>
      <c r="F2561" s="4">
        <v>2007</v>
      </c>
      <c r="G2561" s="4" t="s">
        <v>16091</v>
      </c>
      <c r="H2561" s="4">
        <v>83</v>
      </c>
      <c r="I2561" s="4">
        <v>11</v>
      </c>
      <c r="J2561" s="4">
        <v>447</v>
      </c>
      <c r="K2561" s="4">
        <v>451</v>
      </c>
      <c r="L2561" s="4" t="s">
        <v>21420</v>
      </c>
      <c r="M2561" s="4" t="s">
        <v>21421</v>
      </c>
      <c r="N2561" s="4" t="s">
        <v>21422</v>
      </c>
      <c r="O2561" s="4" t="s">
        <v>63</v>
      </c>
      <c r="P2561" s="4"/>
      <c r="Q2561" s="4" t="s">
        <v>63</v>
      </c>
      <c r="R2561" s="4" t="s">
        <v>63</v>
      </c>
      <c r="S2561" s="4" t="s">
        <v>63</v>
      </c>
      <c r="T2561" s="4" t="s">
        <v>63</v>
      </c>
      <c r="U2561" s="4"/>
      <c r="V2561" s="4"/>
      <c r="W2561" s="4"/>
      <c r="X2561" s="4" t="s">
        <v>63</v>
      </c>
      <c r="Y2561" s="4" t="s">
        <v>17126</v>
      </c>
      <c r="Z2561" s="4" t="s">
        <v>63</v>
      </c>
      <c r="AA2561" s="4" t="s">
        <v>63</v>
      </c>
      <c r="AB2561" s="4" t="s">
        <v>21423</v>
      </c>
      <c r="AC2561" s="4" t="s">
        <v>102</v>
      </c>
      <c r="AD2561" s="4" t="s">
        <v>63</v>
      </c>
      <c r="AE2561" s="4" t="s">
        <v>63</v>
      </c>
      <c r="AF2561" s="4" t="s">
        <v>63</v>
      </c>
      <c r="AG2561" s="4" t="s">
        <v>63</v>
      </c>
      <c r="AH2561" s="4" t="s">
        <v>63</v>
      </c>
      <c r="AI2561" s="4" t="s">
        <v>21424</v>
      </c>
      <c r="AJ2561" s="4" t="s">
        <v>63</v>
      </c>
      <c r="AK2561" s="4" t="s">
        <v>63</v>
      </c>
      <c r="AL2561" s="4" t="s">
        <v>63</v>
      </c>
      <c r="AM2561" s="4" t="s">
        <v>17128</v>
      </c>
      <c r="AN2561" s="4" t="s">
        <v>63</v>
      </c>
      <c r="AO2561" s="4" t="s">
        <v>63</v>
      </c>
      <c r="AP2561" s="4" t="s">
        <v>63</v>
      </c>
      <c r="AQ2561" s="4" t="s">
        <v>63</v>
      </c>
      <c r="AR2561" s="4" t="s">
        <v>63</v>
      </c>
      <c r="AS2561" s="4" t="s">
        <v>63</v>
      </c>
      <c r="AT2561" s="4" t="s">
        <v>63</v>
      </c>
      <c r="AU2561" s="4" t="s">
        <v>63</v>
      </c>
      <c r="AV2561" s="4" t="s">
        <v>63</v>
      </c>
      <c r="AW2561" s="4" t="s">
        <v>63</v>
      </c>
      <c r="AX2561" s="4" t="s">
        <v>63</v>
      </c>
      <c r="AY2561" s="4" t="s">
        <v>63</v>
      </c>
      <c r="AZ2561" s="4" t="s">
        <v>63</v>
      </c>
      <c r="BA2561" s="4" t="s">
        <v>63</v>
      </c>
      <c r="BB2561" s="4" t="s">
        <v>63</v>
      </c>
      <c r="BC2561" s="4" t="s">
        <v>63</v>
      </c>
      <c r="BD2561" s="4" t="s">
        <v>63</v>
      </c>
      <c r="BE2561" s="4" t="s">
        <v>63</v>
      </c>
      <c r="BF2561" s="4" t="s">
        <v>63</v>
      </c>
    </row>
    <row r="2562" spans="1:58">
      <c r="A2562" s="4" t="s">
        <v>58</v>
      </c>
      <c r="B2562" s="4" t="s">
        <v>21425</v>
      </c>
      <c r="C2562" s="4" t="s">
        <v>21426</v>
      </c>
      <c r="D2562" s="4" t="s">
        <v>8390</v>
      </c>
      <c r="E2562" s="4" t="s">
        <v>63</v>
      </c>
      <c r="F2562" s="4">
        <v>2017</v>
      </c>
      <c r="G2562" s="4">
        <v>1</v>
      </c>
      <c r="H2562" s="4">
        <v>100</v>
      </c>
      <c r="I2562" s="4">
        <v>3</v>
      </c>
      <c r="J2562" s="4">
        <v>339</v>
      </c>
      <c r="K2562" s="4">
        <v>346</v>
      </c>
      <c r="L2562" s="4" t="s">
        <v>21427</v>
      </c>
      <c r="M2562" s="4" t="s">
        <v>21428</v>
      </c>
      <c r="N2562" s="4" t="s">
        <v>21429</v>
      </c>
      <c r="O2562" s="4" t="s">
        <v>63</v>
      </c>
      <c r="P2562" s="4"/>
      <c r="Q2562" s="4" t="s">
        <v>63</v>
      </c>
      <c r="R2562" s="4" t="s">
        <v>63</v>
      </c>
      <c r="S2562" s="4" t="s">
        <v>63</v>
      </c>
      <c r="T2562" s="4" t="s">
        <v>63</v>
      </c>
      <c r="U2562" s="4"/>
      <c r="V2562" s="4"/>
      <c r="W2562" s="4"/>
      <c r="X2562" s="4" t="s">
        <v>63</v>
      </c>
      <c r="Y2562" s="4" t="s">
        <v>8395</v>
      </c>
      <c r="Z2562" s="4" t="s">
        <v>63</v>
      </c>
      <c r="AA2562" s="4" t="s">
        <v>63</v>
      </c>
      <c r="AB2562" s="4" t="s">
        <v>21430</v>
      </c>
      <c r="AC2562" s="4" t="s">
        <v>67</v>
      </c>
      <c r="AD2562" s="4" t="s">
        <v>63</v>
      </c>
      <c r="AE2562" s="4" t="s">
        <v>63</v>
      </c>
      <c r="AF2562" s="4" t="s">
        <v>63</v>
      </c>
      <c r="AG2562" s="4" t="s">
        <v>63</v>
      </c>
      <c r="AH2562" s="4" t="s">
        <v>63</v>
      </c>
      <c r="AI2562" s="4" t="s">
        <v>63</v>
      </c>
      <c r="AJ2562" s="4" t="s">
        <v>63</v>
      </c>
      <c r="AK2562" s="4" t="s">
        <v>63</v>
      </c>
      <c r="AL2562" s="4" t="s">
        <v>63</v>
      </c>
      <c r="AM2562" s="4" t="s">
        <v>21426</v>
      </c>
      <c r="AN2562" s="4" t="s">
        <v>63</v>
      </c>
      <c r="AO2562" s="4" t="s">
        <v>63</v>
      </c>
      <c r="AP2562" s="4" t="s">
        <v>63</v>
      </c>
      <c r="AQ2562" s="4" t="s">
        <v>63</v>
      </c>
      <c r="AR2562" s="4" t="s">
        <v>63</v>
      </c>
      <c r="AS2562" s="4" t="s">
        <v>63</v>
      </c>
      <c r="AT2562" s="4" t="s">
        <v>63</v>
      </c>
      <c r="AU2562" s="4" t="s">
        <v>63</v>
      </c>
      <c r="AV2562" s="4" t="s">
        <v>63</v>
      </c>
      <c r="AW2562" s="4" t="s">
        <v>63</v>
      </c>
      <c r="AX2562" s="4" t="s">
        <v>63</v>
      </c>
      <c r="AY2562" s="4" t="s">
        <v>63</v>
      </c>
      <c r="AZ2562" s="4" t="s">
        <v>63</v>
      </c>
      <c r="BA2562" s="4" t="s">
        <v>63</v>
      </c>
      <c r="BB2562" s="4" t="s">
        <v>63</v>
      </c>
      <c r="BC2562" s="4" t="s">
        <v>63</v>
      </c>
      <c r="BD2562" s="4" t="s">
        <v>63</v>
      </c>
      <c r="BE2562" s="4" t="s">
        <v>63</v>
      </c>
      <c r="BF2562" s="4" t="s">
        <v>63</v>
      </c>
    </row>
    <row r="2563" spans="1:58">
      <c r="A2563" s="4" t="s">
        <v>58</v>
      </c>
      <c r="B2563" s="4" t="s">
        <v>21431</v>
      </c>
      <c r="C2563" s="4" t="s">
        <v>21432</v>
      </c>
      <c r="D2563" s="4" t="s">
        <v>2343</v>
      </c>
      <c r="E2563" s="4" t="s">
        <v>2344</v>
      </c>
      <c r="F2563" s="4">
        <v>1997</v>
      </c>
      <c r="G2563" s="4" t="s">
        <v>16091</v>
      </c>
      <c r="H2563" s="4">
        <v>45</v>
      </c>
      <c r="I2563" s="4">
        <v>5</v>
      </c>
      <c r="J2563" s="4">
        <v>410</v>
      </c>
      <c r="K2563" s="4">
        <v>417</v>
      </c>
      <c r="L2563" s="4" t="s">
        <v>21433</v>
      </c>
      <c r="M2563" s="4" t="s">
        <v>21434</v>
      </c>
      <c r="N2563" s="4" t="s">
        <v>21435</v>
      </c>
      <c r="O2563" s="4" t="s">
        <v>63</v>
      </c>
      <c r="P2563" s="4"/>
      <c r="Q2563" s="4" t="s">
        <v>63</v>
      </c>
      <c r="R2563" s="4" t="s">
        <v>63</v>
      </c>
      <c r="S2563" s="4" t="s">
        <v>63</v>
      </c>
      <c r="T2563" s="4" t="s">
        <v>63</v>
      </c>
      <c r="U2563" s="4"/>
      <c r="V2563" s="4"/>
      <c r="W2563" s="4"/>
      <c r="X2563" s="4" t="s">
        <v>63</v>
      </c>
      <c r="Y2563" s="4" t="s">
        <v>2347</v>
      </c>
      <c r="Z2563" s="4" t="s">
        <v>63</v>
      </c>
      <c r="AA2563" s="4" t="s">
        <v>63</v>
      </c>
      <c r="AB2563" s="4">
        <v>1997366125</v>
      </c>
      <c r="AC2563" s="4" t="s">
        <v>67</v>
      </c>
      <c r="AD2563" s="4" t="s">
        <v>63</v>
      </c>
      <c r="AE2563" s="4" t="s">
        <v>63</v>
      </c>
      <c r="AF2563" s="4" t="s">
        <v>63</v>
      </c>
      <c r="AG2563" s="4" t="s">
        <v>21436</v>
      </c>
      <c r="AH2563" s="4" t="s">
        <v>63</v>
      </c>
      <c r="AI2563" s="4" t="s">
        <v>63</v>
      </c>
      <c r="AJ2563" s="4" t="s">
        <v>63</v>
      </c>
      <c r="AK2563" s="4" t="s">
        <v>63</v>
      </c>
      <c r="AL2563" s="4" t="s">
        <v>63</v>
      </c>
      <c r="AM2563" s="4" t="s">
        <v>21437</v>
      </c>
      <c r="AN2563" s="4" t="s">
        <v>63</v>
      </c>
      <c r="AO2563" s="4" t="s">
        <v>63</v>
      </c>
      <c r="AP2563" s="4" t="s">
        <v>63</v>
      </c>
      <c r="AQ2563" s="4" t="s">
        <v>63</v>
      </c>
      <c r="AR2563" s="4" t="s">
        <v>63</v>
      </c>
      <c r="AS2563" s="4" t="s">
        <v>63</v>
      </c>
      <c r="AT2563" s="4" t="s">
        <v>63</v>
      </c>
      <c r="AU2563" s="4" t="s">
        <v>63</v>
      </c>
      <c r="AV2563" s="4" t="s">
        <v>63</v>
      </c>
      <c r="AW2563" s="4" t="s">
        <v>63</v>
      </c>
      <c r="AX2563" s="4" t="s">
        <v>63</v>
      </c>
      <c r="AY2563" s="4" t="s">
        <v>63</v>
      </c>
      <c r="AZ2563" s="4" t="s">
        <v>63</v>
      </c>
      <c r="BA2563" s="4" t="s">
        <v>63</v>
      </c>
      <c r="BB2563" s="4" t="s">
        <v>63</v>
      </c>
      <c r="BC2563" s="4" t="s">
        <v>63</v>
      </c>
      <c r="BD2563" s="4" t="s">
        <v>63</v>
      </c>
      <c r="BE2563" s="4" t="s">
        <v>63</v>
      </c>
      <c r="BF2563" s="4" t="s">
        <v>63</v>
      </c>
    </row>
    <row r="2564" spans="1:58">
      <c r="A2564" s="4" t="s">
        <v>58</v>
      </c>
      <c r="B2564" s="4" t="s">
        <v>21438</v>
      </c>
      <c r="C2564" s="4" t="s">
        <v>21439</v>
      </c>
      <c r="D2564" s="4" t="s">
        <v>15421</v>
      </c>
      <c r="E2564" s="4" t="s">
        <v>63</v>
      </c>
      <c r="F2564" s="4">
        <v>2012</v>
      </c>
      <c r="G2564" s="4" t="s">
        <v>63</v>
      </c>
      <c r="H2564" s="4">
        <v>33</v>
      </c>
      <c r="I2564" s="4">
        <v>3</v>
      </c>
      <c r="J2564" s="4">
        <v>251</v>
      </c>
      <c r="K2564" s="4">
        <v>260</v>
      </c>
      <c r="L2564" s="4" t="s">
        <v>21440</v>
      </c>
      <c r="M2564" s="4" t="s">
        <v>21441</v>
      </c>
      <c r="N2564" s="4" t="s">
        <v>21442</v>
      </c>
      <c r="O2564" s="4" t="s">
        <v>63</v>
      </c>
      <c r="P2564" s="4"/>
      <c r="Q2564" s="4" t="s">
        <v>63</v>
      </c>
      <c r="R2564" s="4" t="s">
        <v>63</v>
      </c>
      <c r="S2564" s="4" t="s">
        <v>63</v>
      </c>
      <c r="T2564" s="4" t="s">
        <v>63</v>
      </c>
      <c r="U2564" s="4"/>
      <c r="V2564" s="4"/>
      <c r="W2564" s="4"/>
      <c r="X2564" s="4" t="s">
        <v>63</v>
      </c>
      <c r="Y2564" s="4" t="s">
        <v>15425</v>
      </c>
      <c r="Z2564" s="4" t="s">
        <v>63</v>
      </c>
      <c r="AA2564" s="4" t="s">
        <v>63</v>
      </c>
      <c r="AB2564" s="4" t="s">
        <v>63</v>
      </c>
      <c r="AC2564" s="4" t="s">
        <v>67</v>
      </c>
      <c r="AD2564" s="4" t="s">
        <v>63</v>
      </c>
      <c r="AE2564" s="4" t="s">
        <v>63</v>
      </c>
      <c r="AF2564" s="4" t="s">
        <v>63</v>
      </c>
      <c r="AG2564" s="4" t="s">
        <v>21443</v>
      </c>
      <c r="AH2564" s="4" t="s">
        <v>63</v>
      </c>
      <c r="AI2564" s="4" t="s">
        <v>21444</v>
      </c>
      <c r="AJ2564" s="4" t="s">
        <v>63</v>
      </c>
      <c r="AK2564" s="4" t="s">
        <v>63</v>
      </c>
      <c r="AL2564" s="4" t="s">
        <v>63</v>
      </c>
      <c r="AM2564" s="4" t="s">
        <v>21445</v>
      </c>
      <c r="AN2564" s="4" t="s">
        <v>63</v>
      </c>
      <c r="AO2564" s="4" t="s">
        <v>63</v>
      </c>
      <c r="AP2564" s="4" t="s">
        <v>63</v>
      </c>
      <c r="AQ2564" s="4" t="s">
        <v>63</v>
      </c>
      <c r="AR2564" s="4" t="s">
        <v>63</v>
      </c>
      <c r="AS2564" s="4" t="s">
        <v>63</v>
      </c>
      <c r="AT2564" s="4" t="s">
        <v>63</v>
      </c>
      <c r="AU2564" s="4" t="s">
        <v>63</v>
      </c>
      <c r="AV2564" s="4" t="s">
        <v>63</v>
      </c>
      <c r="AW2564" s="4" t="s">
        <v>63</v>
      </c>
      <c r="AX2564" s="4" t="s">
        <v>63</v>
      </c>
      <c r="AY2564" s="4" t="s">
        <v>63</v>
      </c>
      <c r="AZ2564" s="4" t="s">
        <v>63</v>
      </c>
      <c r="BA2564" s="4" t="s">
        <v>63</v>
      </c>
      <c r="BB2564" s="4" t="s">
        <v>63</v>
      </c>
      <c r="BC2564" s="4" t="s">
        <v>63</v>
      </c>
      <c r="BD2564" s="4" t="s">
        <v>63</v>
      </c>
      <c r="BE2564" s="4" t="s">
        <v>63</v>
      </c>
      <c r="BF2564" s="4" t="s">
        <v>63</v>
      </c>
    </row>
    <row r="2565" spans="1:58">
      <c r="A2565" s="4" t="s">
        <v>58</v>
      </c>
      <c r="B2565" s="4" t="s">
        <v>21446</v>
      </c>
      <c r="C2565" s="4" t="s">
        <v>21447</v>
      </c>
      <c r="D2565" s="4" t="s">
        <v>11330</v>
      </c>
      <c r="E2565" s="4" t="s">
        <v>11330</v>
      </c>
      <c r="F2565" s="4">
        <v>2011</v>
      </c>
      <c r="G2565" s="4" t="s">
        <v>15254</v>
      </c>
      <c r="H2565" s="4" t="s">
        <v>21448</v>
      </c>
      <c r="I2565" s="4" t="s">
        <v>63</v>
      </c>
      <c r="J2565" s="4" t="s">
        <v>21449</v>
      </c>
      <c r="K2565" s="4" t="s">
        <v>63</v>
      </c>
      <c r="L2565" s="4" t="s">
        <v>21450</v>
      </c>
      <c r="M2565" s="4" t="s">
        <v>21451</v>
      </c>
      <c r="N2565" s="4" t="s">
        <v>21452</v>
      </c>
      <c r="O2565" s="4" t="s">
        <v>63</v>
      </c>
      <c r="P2565" s="4"/>
      <c r="Q2565" s="4" t="s">
        <v>63</v>
      </c>
      <c r="R2565" s="4" t="s">
        <v>63</v>
      </c>
      <c r="S2565" s="4" t="s">
        <v>63</v>
      </c>
      <c r="T2565" s="4" t="s">
        <v>63</v>
      </c>
      <c r="U2565" s="4"/>
      <c r="V2565" s="4"/>
      <c r="W2565" s="4"/>
      <c r="X2565" s="4" t="s">
        <v>63</v>
      </c>
      <c r="Y2565" s="4" t="s">
        <v>11333</v>
      </c>
      <c r="Z2565" s="4" t="s">
        <v>63</v>
      </c>
      <c r="AA2565" s="4" t="s">
        <v>63</v>
      </c>
      <c r="AB2565" s="4" t="s">
        <v>63</v>
      </c>
      <c r="AC2565" s="4" t="s">
        <v>67</v>
      </c>
      <c r="AD2565" s="4" t="s">
        <v>63</v>
      </c>
      <c r="AE2565" s="4" t="s">
        <v>63</v>
      </c>
      <c r="AF2565" s="4" t="s">
        <v>63</v>
      </c>
      <c r="AG2565" s="4" t="s">
        <v>63</v>
      </c>
      <c r="AH2565" s="4" t="s">
        <v>63</v>
      </c>
      <c r="AI2565" s="4" t="s">
        <v>21453</v>
      </c>
      <c r="AJ2565" s="4" t="s">
        <v>63</v>
      </c>
      <c r="AK2565" s="4" t="s">
        <v>63</v>
      </c>
      <c r="AL2565" s="4" t="s">
        <v>63</v>
      </c>
      <c r="AM2565" s="4" t="s">
        <v>21447</v>
      </c>
      <c r="AN2565" s="4" t="s">
        <v>63</v>
      </c>
      <c r="AO2565" s="4" t="s">
        <v>63</v>
      </c>
      <c r="AP2565" s="4" t="s">
        <v>63</v>
      </c>
      <c r="AQ2565" s="4" t="s">
        <v>63</v>
      </c>
      <c r="AR2565" s="4" t="s">
        <v>63</v>
      </c>
      <c r="AS2565" s="4" t="s">
        <v>63</v>
      </c>
      <c r="AT2565" s="4" t="s">
        <v>63</v>
      </c>
      <c r="AU2565" s="4" t="s">
        <v>63</v>
      </c>
      <c r="AV2565" s="4" t="s">
        <v>63</v>
      </c>
      <c r="AW2565" s="4" t="s">
        <v>63</v>
      </c>
      <c r="AX2565" s="4" t="s">
        <v>63</v>
      </c>
      <c r="AY2565" s="4" t="s">
        <v>63</v>
      </c>
      <c r="AZ2565" s="4" t="s">
        <v>63</v>
      </c>
      <c r="BA2565" s="4" t="s">
        <v>63</v>
      </c>
      <c r="BB2565" s="4" t="s">
        <v>63</v>
      </c>
      <c r="BC2565" s="4" t="s">
        <v>63</v>
      </c>
      <c r="BD2565" s="4" t="s">
        <v>63</v>
      </c>
      <c r="BE2565" s="4" t="s">
        <v>63</v>
      </c>
      <c r="BF2565" s="4" t="s">
        <v>63</v>
      </c>
    </row>
    <row r="2566" spans="1:58">
      <c r="A2566" s="4" t="s">
        <v>58</v>
      </c>
      <c r="B2566" s="4" t="s">
        <v>21454</v>
      </c>
      <c r="C2566" s="4" t="s">
        <v>21455</v>
      </c>
      <c r="D2566" s="4" t="s">
        <v>17231</v>
      </c>
      <c r="E2566" s="4" t="s">
        <v>63</v>
      </c>
      <c r="F2566" s="4">
        <v>2017</v>
      </c>
      <c r="G2566" s="4" t="s">
        <v>63</v>
      </c>
      <c r="H2566" s="4">
        <v>9</v>
      </c>
      <c r="I2566" s="4">
        <v>2</v>
      </c>
      <c r="J2566" s="4">
        <v>83</v>
      </c>
      <c r="K2566" s="4">
        <v>89</v>
      </c>
      <c r="L2566" s="4" t="s">
        <v>21456</v>
      </c>
      <c r="M2566" s="4" t="s">
        <v>21457</v>
      </c>
      <c r="N2566" s="4" t="s">
        <v>21458</v>
      </c>
      <c r="O2566" s="4" t="s">
        <v>63</v>
      </c>
      <c r="P2566" s="4"/>
      <c r="Q2566" s="4" t="s">
        <v>63</v>
      </c>
      <c r="R2566" s="4" t="s">
        <v>63</v>
      </c>
      <c r="S2566" s="4" t="s">
        <v>63</v>
      </c>
      <c r="T2566" s="4" t="s">
        <v>63</v>
      </c>
      <c r="U2566" s="4"/>
      <c r="V2566" s="4"/>
      <c r="W2566" s="4"/>
      <c r="X2566" s="4" t="s">
        <v>63</v>
      </c>
      <c r="Y2566" s="4" t="s">
        <v>17235</v>
      </c>
      <c r="Z2566" s="4" t="s">
        <v>63</v>
      </c>
      <c r="AA2566" s="4" t="s">
        <v>63</v>
      </c>
      <c r="AB2566" s="4" t="s">
        <v>21459</v>
      </c>
      <c r="AC2566" s="4" t="s">
        <v>444</v>
      </c>
      <c r="AD2566" s="4" t="s">
        <v>63</v>
      </c>
      <c r="AE2566" s="4" t="s">
        <v>63</v>
      </c>
      <c r="AF2566" s="4" t="s">
        <v>63</v>
      </c>
      <c r="AG2566" s="4" t="s">
        <v>63</v>
      </c>
      <c r="AH2566" s="4" t="s">
        <v>63</v>
      </c>
      <c r="AI2566" s="4" t="s">
        <v>21460</v>
      </c>
      <c r="AJ2566" s="4" t="s">
        <v>63</v>
      </c>
      <c r="AK2566" s="4" t="s">
        <v>63</v>
      </c>
      <c r="AL2566" s="4" t="s">
        <v>63</v>
      </c>
      <c r="AM2566" s="4" t="s">
        <v>21461</v>
      </c>
      <c r="AN2566" s="4" t="s">
        <v>63</v>
      </c>
      <c r="AO2566" s="4" t="s">
        <v>63</v>
      </c>
      <c r="AP2566" s="4" t="s">
        <v>63</v>
      </c>
      <c r="AQ2566" s="4" t="s">
        <v>63</v>
      </c>
      <c r="AR2566" s="4" t="s">
        <v>63</v>
      </c>
      <c r="AS2566" s="4" t="s">
        <v>63</v>
      </c>
      <c r="AT2566" s="4" t="s">
        <v>63</v>
      </c>
      <c r="AU2566" s="4" t="s">
        <v>63</v>
      </c>
      <c r="AV2566" s="4" t="s">
        <v>63</v>
      </c>
      <c r="AW2566" s="4" t="s">
        <v>63</v>
      </c>
      <c r="AX2566" s="4" t="s">
        <v>63</v>
      </c>
      <c r="AY2566" s="4" t="s">
        <v>63</v>
      </c>
      <c r="AZ2566" s="4" t="s">
        <v>63</v>
      </c>
      <c r="BA2566" s="4" t="s">
        <v>63</v>
      </c>
      <c r="BB2566" s="4" t="s">
        <v>63</v>
      </c>
      <c r="BC2566" s="4" t="s">
        <v>63</v>
      </c>
      <c r="BD2566" s="4" t="s">
        <v>63</v>
      </c>
      <c r="BE2566" s="4" t="s">
        <v>63</v>
      </c>
      <c r="BF2566" s="4" t="s">
        <v>63</v>
      </c>
    </row>
    <row r="2567" spans="1:58">
      <c r="A2567" s="4" t="s">
        <v>58</v>
      </c>
      <c r="B2567" s="4" t="s">
        <v>21462</v>
      </c>
      <c r="C2567" s="4" t="s">
        <v>21463</v>
      </c>
      <c r="D2567" s="4" t="s">
        <v>21464</v>
      </c>
      <c r="E2567" s="4" t="s">
        <v>18067</v>
      </c>
      <c r="F2567" s="4">
        <v>2009</v>
      </c>
      <c r="G2567" s="4" t="s">
        <v>15254</v>
      </c>
      <c r="H2567" s="4">
        <v>201</v>
      </c>
      <c r="I2567" s="4">
        <v>6</v>
      </c>
      <c r="J2567" s="4" t="s">
        <v>21465</v>
      </c>
      <c r="K2567" s="4" t="s">
        <v>63</v>
      </c>
      <c r="L2567" s="4" t="s">
        <v>21466</v>
      </c>
      <c r="M2567" s="4" t="s">
        <v>21467</v>
      </c>
      <c r="N2567" s="4" t="s">
        <v>21468</v>
      </c>
      <c r="O2567" s="4" t="s">
        <v>63</v>
      </c>
      <c r="P2567" s="4"/>
      <c r="Q2567" s="4" t="s">
        <v>63</v>
      </c>
      <c r="R2567" s="4" t="s">
        <v>63</v>
      </c>
      <c r="S2567" s="4" t="s">
        <v>63</v>
      </c>
      <c r="T2567" s="4" t="s">
        <v>63</v>
      </c>
      <c r="U2567" s="4"/>
      <c r="V2567" s="4"/>
      <c r="W2567" s="4"/>
      <c r="X2567" s="4" t="s">
        <v>63</v>
      </c>
      <c r="Y2567" s="5">
        <v>27060</v>
      </c>
      <c r="Z2567" s="4" t="s">
        <v>63</v>
      </c>
      <c r="AA2567" s="4" t="s">
        <v>63</v>
      </c>
      <c r="AB2567" s="4" t="s">
        <v>63</v>
      </c>
      <c r="AC2567" s="4" t="s">
        <v>67</v>
      </c>
      <c r="AD2567" s="4" t="s">
        <v>63</v>
      </c>
      <c r="AE2567" s="4" t="s">
        <v>63</v>
      </c>
      <c r="AF2567" s="4" t="s">
        <v>63</v>
      </c>
      <c r="AG2567" s="4" t="s">
        <v>63</v>
      </c>
      <c r="AH2567" s="4" t="s">
        <v>63</v>
      </c>
      <c r="AI2567" s="4" t="s">
        <v>21469</v>
      </c>
      <c r="AJ2567" s="4" t="s">
        <v>63</v>
      </c>
      <c r="AK2567" s="4" t="s">
        <v>63</v>
      </c>
      <c r="AL2567" s="4" t="s">
        <v>63</v>
      </c>
      <c r="AM2567" s="4" t="s">
        <v>21463</v>
      </c>
      <c r="AN2567" s="4" t="s">
        <v>63</v>
      </c>
      <c r="AO2567" s="4" t="s">
        <v>63</v>
      </c>
      <c r="AP2567" s="4" t="s">
        <v>63</v>
      </c>
      <c r="AQ2567" s="4" t="s">
        <v>63</v>
      </c>
      <c r="AR2567" s="4" t="s">
        <v>63</v>
      </c>
      <c r="AS2567" s="4" t="s">
        <v>63</v>
      </c>
      <c r="AT2567" s="4" t="s">
        <v>63</v>
      </c>
      <c r="AU2567" s="4" t="s">
        <v>63</v>
      </c>
      <c r="AV2567" s="4" t="s">
        <v>63</v>
      </c>
      <c r="AW2567" s="4" t="s">
        <v>63</v>
      </c>
      <c r="AX2567" s="4" t="s">
        <v>63</v>
      </c>
      <c r="AY2567" s="4" t="s">
        <v>63</v>
      </c>
      <c r="AZ2567" s="4" t="s">
        <v>63</v>
      </c>
      <c r="BA2567" s="4" t="s">
        <v>63</v>
      </c>
      <c r="BB2567" s="4" t="s">
        <v>63</v>
      </c>
      <c r="BC2567" s="4" t="s">
        <v>63</v>
      </c>
      <c r="BD2567" s="4" t="s">
        <v>63</v>
      </c>
      <c r="BE2567" s="4" t="s">
        <v>63</v>
      </c>
      <c r="BF2567" s="4" t="s">
        <v>63</v>
      </c>
    </row>
    <row r="2568" spans="1:58">
      <c r="A2568" s="4" t="s">
        <v>58</v>
      </c>
      <c r="B2568" s="4" t="s">
        <v>21470</v>
      </c>
      <c r="C2568" s="4" t="s">
        <v>21471</v>
      </c>
      <c r="D2568" s="4" t="s">
        <v>15224</v>
      </c>
      <c r="E2568" s="4" t="s">
        <v>15224</v>
      </c>
      <c r="F2568" s="4">
        <v>2010</v>
      </c>
      <c r="G2568" s="4" t="s">
        <v>15358</v>
      </c>
      <c r="H2568" s="7">
        <v>5.7527777777777773</v>
      </c>
      <c r="I2568" s="4" t="s">
        <v>63</v>
      </c>
      <c r="J2568" s="4" t="s">
        <v>63</v>
      </c>
      <c r="K2568" s="4" t="s">
        <v>63</v>
      </c>
      <c r="L2568" s="4" t="s">
        <v>21472</v>
      </c>
      <c r="M2568" s="4" t="s">
        <v>21473</v>
      </c>
      <c r="N2568" s="4" t="s">
        <v>21474</v>
      </c>
      <c r="O2568" s="4" t="s">
        <v>63</v>
      </c>
      <c r="P2568" s="4"/>
      <c r="Q2568" s="4" t="s">
        <v>63</v>
      </c>
      <c r="R2568" s="4" t="s">
        <v>63</v>
      </c>
      <c r="S2568" s="4" t="s">
        <v>63</v>
      </c>
      <c r="T2568" s="4" t="s">
        <v>63</v>
      </c>
      <c r="U2568" s="4"/>
      <c r="V2568" s="4"/>
      <c r="W2568" s="4"/>
      <c r="X2568" s="4" t="s">
        <v>63</v>
      </c>
      <c r="Y2568" s="5">
        <v>32477</v>
      </c>
      <c r="Z2568" s="4" t="s">
        <v>63</v>
      </c>
      <c r="AA2568" s="4" t="s">
        <v>63</v>
      </c>
      <c r="AB2568" s="4" t="s">
        <v>63</v>
      </c>
      <c r="AC2568" s="4" t="s">
        <v>67</v>
      </c>
      <c r="AD2568" s="4" t="s">
        <v>63</v>
      </c>
      <c r="AE2568" s="4" t="s">
        <v>63</v>
      </c>
      <c r="AF2568" s="4" t="s">
        <v>63</v>
      </c>
      <c r="AG2568" s="4" t="s">
        <v>63</v>
      </c>
      <c r="AH2568" s="4" t="s">
        <v>63</v>
      </c>
      <c r="AI2568" s="4" t="s">
        <v>21475</v>
      </c>
      <c r="AJ2568" s="4" t="s">
        <v>63</v>
      </c>
      <c r="AK2568" s="4" t="s">
        <v>63</v>
      </c>
      <c r="AL2568" s="4" t="s">
        <v>63</v>
      </c>
      <c r="AM2568" s="4" t="s">
        <v>21471</v>
      </c>
      <c r="AN2568" s="4" t="s">
        <v>63</v>
      </c>
      <c r="AO2568" s="4" t="s">
        <v>63</v>
      </c>
      <c r="AP2568" s="4" t="s">
        <v>63</v>
      </c>
      <c r="AQ2568" s="4" t="s">
        <v>63</v>
      </c>
      <c r="AR2568" s="4" t="s">
        <v>63</v>
      </c>
      <c r="AS2568" s="4" t="s">
        <v>63</v>
      </c>
      <c r="AT2568" s="4" t="s">
        <v>63</v>
      </c>
      <c r="AU2568" s="4" t="s">
        <v>63</v>
      </c>
      <c r="AV2568" s="4" t="s">
        <v>63</v>
      </c>
      <c r="AW2568" s="4" t="s">
        <v>63</v>
      </c>
      <c r="AX2568" s="4" t="s">
        <v>63</v>
      </c>
      <c r="AY2568" s="4" t="s">
        <v>63</v>
      </c>
      <c r="AZ2568" s="4" t="s">
        <v>63</v>
      </c>
      <c r="BA2568" s="4" t="s">
        <v>63</v>
      </c>
      <c r="BB2568" s="4" t="s">
        <v>63</v>
      </c>
      <c r="BC2568" s="4" t="s">
        <v>63</v>
      </c>
      <c r="BD2568" s="4" t="s">
        <v>63</v>
      </c>
      <c r="BE2568" s="4" t="s">
        <v>63</v>
      </c>
      <c r="BF2568" s="4" t="s">
        <v>63</v>
      </c>
    </row>
    <row r="2569" spans="1:58">
      <c r="A2569" s="4" t="s">
        <v>58</v>
      </c>
      <c r="B2569" s="4" t="s">
        <v>21476</v>
      </c>
      <c r="C2569" s="4" t="s">
        <v>21477</v>
      </c>
      <c r="D2569" s="4" t="s">
        <v>15421</v>
      </c>
      <c r="E2569" s="4" t="s">
        <v>63</v>
      </c>
      <c r="F2569" s="4">
        <v>2010</v>
      </c>
      <c r="G2569" s="4" t="s">
        <v>198</v>
      </c>
      <c r="H2569" s="4">
        <v>31</v>
      </c>
      <c r="I2569" s="4">
        <v>1</v>
      </c>
      <c r="J2569" s="4">
        <v>58</v>
      </c>
      <c r="K2569" s="4">
        <v>67</v>
      </c>
      <c r="L2569" s="4" t="s">
        <v>21478</v>
      </c>
      <c r="M2569" s="4" t="s">
        <v>21479</v>
      </c>
      <c r="N2569" s="4" t="s">
        <v>21480</v>
      </c>
      <c r="O2569" s="4" t="s">
        <v>63</v>
      </c>
      <c r="P2569" s="4"/>
      <c r="Q2569" s="4" t="s">
        <v>63</v>
      </c>
      <c r="R2569" s="4" t="s">
        <v>63</v>
      </c>
      <c r="S2569" s="4" t="s">
        <v>63</v>
      </c>
      <c r="T2569" s="4" t="s">
        <v>63</v>
      </c>
      <c r="U2569" s="4"/>
      <c r="V2569" s="4"/>
      <c r="W2569" s="4"/>
      <c r="X2569" s="4" t="s">
        <v>63</v>
      </c>
      <c r="Y2569" s="4" t="s">
        <v>15425</v>
      </c>
      <c r="Z2569" s="4" t="s">
        <v>63</v>
      </c>
      <c r="AA2569" s="4" t="s">
        <v>63</v>
      </c>
      <c r="AB2569" s="4" t="s">
        <v>63</v>
      </c>
      <c r="AC2569" s="4" t="s">
        <v>67</v>
      </c>
      <c r="AD2569" s="4" t="s">
        <v>63</v>
      </c>
      <c r="AE2569" s="4" t="s">
        <v>63</v>
      </c>
      <c r="AF2569" s="4" t="s">
        <v>63</v>
      </c>
      <c r="AG2569" s="4" t="s">
        <v>21481</v>
      </c>
      <c r="AH2569" s="4" t="s">
        <v>63</v>
      </c>
      <c r="AI2569" s="4" t="s">
        <v>21482</v>
      </c>
      <c r="AJ2569" s="4" t="s">
        <v>63</v>
      </c>
      <c r="AK2569" s="4" t="s">
        <v>63</v>
      </c>
      <c r="AL2569" s="4" t="s">
        <v>63</v>
      </c>
      <c r="AM2569" s="4" t="s">
        <v>21483</v>
      </c>
      <c r="AN2569" s="4" t="s">
        <v>63</v>
      </c>
      <c r="AO2569" s="4" t="s">
        <v>63</v>
      </c>
      <c r="AP2569" s="4" t="s">
        <v>63</v>
      </c>
      <c r="AQ2569" s="4" t="s">
        <v>63</v>
      </c>
      <c r="AR2569" s="4" t="s">
        <v>63</v>
      </c>
      <c r="AS2569" s="4" t="s">
        <v>63</v>
      </c>
      <c r="AT2569" s="4" t="s">
        <v>63</v>
      </c>
      <c r="AU2569" s="4" t="s">
        <v>63</v>
      </c>
      <c r="AV2569" s="4" t="s">
        <v>63</v>
      </c>
      <c r="AW2569" s="4" t="s">
        <v>63</v>
      </c>
      <c r="AX2569" s="4" t="s">
        <v>63</v>
      </c>
      <c r="AY2569" s="4" t="s">
        <v>63</v>
      </c>
      <c r="AZ2569" s="4" t="s">
        <v>63</v>
      </c>
      <c r="BA2569" s="4" t="s">
        <v>63</v>
      </c>
      <c r="BB2569" s="4" t="s">
        <v>63</v>
      </c>
      <c r="BC2569" s="4" t="s">
        <v>63</v>
      </c>
      <c r="BD2569" s="4" t="s">
        <v>63</v>
      </c>
      <c r="BE2569" s="4" t="s">
        <v>63</v>
      </c>
      <c r="BF2569" s="4" t="s">
        <v>63</v>
      </c>
    </row>
    <row r="2570" spans="1:58">
      <c r="A2570" s="4" t="s">
        <v>58</v>
      </c>
      <c r="B2570" s="4" t="s">
        <v>21484</v>
      </c>
      <c r="C2570" s="4" t="s">
        <v>21485</v>
      </c>
      <c r="D2570" s="4" t="s">
        <v>21486</v>
      </c>
      <c r="E2570" s="4" t="s">
        <v>63</v>
      </c>
      <c r="F2570" s="4">
        <v>2005</v>
      </c>
      <c r="G2570" s="4" t="s">
        <v>63</v>
      </c>
      <c r="H2570" s="4">
        <v>4</v>
      </c>
      <c r="I2570" s="4">
        <v>3</v>
      </c>
      <c r="J2570" s="4">
        <v>121</v>
      </c>
      <c r="K2570" s="4">
        <v>124</v>
      </c>
      <c r="L2570" s="4" t="s">
        <v>21487</v>
      </c>
      <c r="M2570" s="4" t="s">
        <v>21488</v>
      </c>
      <c r="N2570" s="4" t="s">
        <v>21489</v>
      </c>
      <c r="O2570" s="4" t="s">
        <v>63</v>
      </c>
      <c r="P2570" s="4"/>
      <c r="Q2570" s="4" t="s">
        <v>63</v>
      </c>
      <c r="R2570" s="4" t="s">
        <v>63</v>
      </c>
      <c r="S2570" s="4" t="s">
        <v>63</v>
      </c>
      <c r="T2570" s="4" t="s">
        <v>63</v>
      </c>
      <c r="U2570" s="4"/>
      <c r="V2570" s="4"/>
      <c r="W2570" s="4"/>
      <c r="X2570" s="4" t="s">
        <v>63</v>
      </c>
      <c r="Y2570" s="4" t="s">
        <v>21490</v>
      </c>
      <c r="Z2570" s="4" t="s">
        <v>63</v>
      </c>
      <c r="AA2570" s="4" t="s">
        <v>63</v>
      </c>
      <c r="AB2570" s="4" t="s">
        <v>21491</v>
      </c>
      <c r="AC2570" s="4" t="s">
        <v>67</v>
      </c>
      <c r="AD2570" s="4" t="s">
        <v>63</v>
      </c>
      <c r="AE2570" s="4" t="s">
        <v>63</v>
      </c>
      <c r="AF2570" s="4" t="s">
        <v>63</v>
      </c>
      <c r="AG2570" s="4" t="s">
        <v>63</v>
      </c>
      <c r="AH2570" s="4" t="s">
        <v>63</v>
      </c>
      <c r="AI2570" s="4" t="s">
        <v>21492</v>
      </c>
      <c r="AJ2570" s="4" t="s">
        <v>63</v>
      </c>
      <c r="AK2570" s="4" t="s">
        <v>63</v>
      </c>
      <c r="AL2570" s="4" t="s">
        <v>63</v>
      </c>
      <c r="AM2570" s="4" t="s">
        <v>21485</v>
      </c>
      <c r="AN2570" s="4" t="s">
        <v>63</v>
      </c>
      <c r="AO2570" s="4" t="s">
        <v>63</v>
      </c>
      <c r="AP2570" s="4" t="s">
        <v>63</v>
      </c>
      <c r="AQ2570" s="4" t="s">
        <v>63</v>
      </c>
      <c r="AR2570" s="4" t="s">
        <v>63</v>
      </c>
      <c r="AS2570" s="4" t="s">
        <v>63</v>
      </c>
      <c r="AT2570" s="4" t="s">
        <v>63</v>
      </c>
      <c r="AU2570" s="4" t="s">
        <v>63</v>
      </c>
      <c r="AV2570" s="4" t="s">
        <v>63</v>
      </c>
      <c r="AW2570" s="4" t="s">
        <v>63</v>
      </c>
      <c r="AX2570" s="4" t="s">
        <v>63</v>
      </c>
      <c r="AY2570" s="4" t="s">
        <v>63</v>
      </c>
      <c r="AZ2570" s="4" t="s">
        <v>63</v>
      </c>
      <c r="BA2570" s="4" t="s">
        <v>63</v>
      </c>
      <c r="BB2570" s="4" t="s">
        <v>63</v>
      </c>
      <c r="BC2570" s="4" t="s">
        <v>63</v>
      </c>
      <c r="BD2570" s="4" t="s">
        <v>63</v>
      </c>
      <c r="BE2570" s="4" t="s">
        <v>63</v>
      </c>
      <c r="BF2570" s="4" t="s">
        <v>63</v>
      </c>
    </row>
    <row r="2571" spans="1:58">
      <c r="A2571" s="4" t="s">
        <v>58</v>
      </c>
      <c r="B2571" s="4" t="s">
        <v>21493</v>
      </c>
      <c r="C2571" s="4" t="s">
        <v>21494</v>
      </c>
      <c r="D2571" s="4" t="s">
        <v>12969</v>
      </c>
      <c r="E2571" s="4" t="s">
        <v>12969</v>
      </c>
      <c r="F2571" s="4">
        <v>2017</v>
      </c>
      <c r="G2571" s="4">
        <v>1</v>
      </c>
      <c r="H2571" s="4">
        <v>106</v>
      </c>
      <c r="I2571" s="4">
        <v>11</v>
      </c>
      <c r="J2571" s="4">
        <v>603</v>
      </c>
      <c r="K2571" s="4">
        <v>604</v>
      </c>
      <c r="L2571" s="4" t="s">
        <v>21495</v>
      </c>
      <c r="M2571" s="4" t="s">
        <v>63</v>
      </c>
      <c r="N2571" s="4" t="s">
        <v>21496</v>
      </c>
      <c r="O2571" s="4" t="s">
        <v>63</v>
      </c>
      <c r="P2571" s="4"/>
      <c r="Q2571" s="4" t="s">
        <v>63</v>
      </c>
      <c r="R2571" s="4" t="s">
        <v>63</v>
      </c>
      <c r="S2571" s="4" t="s">
        <v>63</v>
      </c>
      <c r="T2571" s="4" t="s">
        <v>63</v>
      </c>
      <c r="U2571" s="4"/>
      <c r="V2571" s="4"/>
      <c r="W2571" s="4"/>
      <c r="X2571" s="4" t="s">
        <v>63</v>
      </c>
      <c r="Y2571" s="4" t="s">
        <v>21497</v>
      </c>
      <c r="Z2571" s="4" t="s">
        <v>63</v>
      </c>
      <c r="AA2571" s="4" t="s">
        <v>63</v>
      </c>
      <c r="AB2571" s="4" t="s">
        <v>21498</v>
      </c>
      <c r="AC2571" s="4" t="s">
        <v>15934</v>
      </c>
      <c r="AD2571" s="4" t="s">
        <v>63</v>
      </c>
      <c r="AE2571" s="4" t="s">
        <v>63</v>
      </c>
      <c r="AF2571" s="4" t="s">
        <v>63</v>
      </c>
      <c r="AG2571" s="4" t="s">
        <v>63</v>
      </c>
      <c r="AH2571" s="4" t="s">
        <v>63</v>
      </c>
      <c r="AI2571" s="4" t="s">
        <v>21499</v>
      </c>
      <c r="AJ2571" s="4" t="s">
        <v>63</v>
      </c>
      <c r="AK2571" s="4" t="s">
        <v>63</v>
      </c>
      <c r="AL2571" s="4" t="s">
        <v>63</v>
      </c>
      <c r="AM2571" s="4" t="s">
        <v>21500</v>
      </c>
      <c r="AN2571" s="4" t="s">
        <v>63</v>
      </c>
      <c r="AO2571" s="4" t="s">
        <v>63</v>
      </c>
      <c r="AP2571" s="4" t="s">
        <v>63</v>
      </c>
      <c r="AQ2571" s="4" t="s">
        <v>63</v>
      </c>
      <c r="AR2571" s="4" t="s">
        <v>63</v>
      </c>
      <c r="AS2571" s="4" t="s">
        <v>63</v>
      </c>
      <c r="AT2571" s="4" t="s">
        <v>63</v>
      </c>
      <c r="AU2571" s="4" t="s">
        <v>63</v>
      </c>
      <c r="AV2571" s="4" t="s">
        <v>63</v>
      </c>
      <c r="AW2571" s="4" t="s">
        <v>63</v>
      </c>
      <c r="AX2571" s="4" t="s">
        <v>63</v>
      </c>
      <c r="AY2571" s="4" t="s">
        <v>63</v>
      </c>
      <c r="AZ2571" s="4" t="s">
        <v>63</v>
      </c>
      <c r="BA2571" s="4" t="s">
        <v>63</v>
      </c>
      <c r="BB2571" s="4" t="s">
        <v>63</v>
      </c>
      <c r="BC2571" s="4" t="s">
        <v>63</v>
      </c>
      <c r="BD2571" s="4" t="s">
        <v>63</v>
      </c>
      <c r="BE2571" s="4" t="s">
        <v>63</v>
      </c>
      <c r="BF2571" s="4" t="s">
        <v>63</v>
      </c>
    </row>
    <row r="2572" spans="1:58">
      <c r="A2572" s="4" t="s">
        <v>58</v>
      </c>
      <c r="B2572" s="4" t="s">
        <v>21501</v>
      </c>
      <c r="C2572" s="4" t="s">
        <v>21502</v>
      </c>
      <c r="D2572" s="4" t="s">
        <v>18499</v>
      </c>
      <c r="E2572" s="4" t="s">
        <v>63</v>
      </c>
      <c r="F2572" s="4">
        <v>1993</v>
      </c>
      <c r="G2572" s="4" t="s">
        <v>138</v>
      </c>
      <c r="H2572" s="4">
        <v>40</v>
      </c>
      <c r="I2572" s="4">
        <v>10</v>
      </c>
      <c r="J2572" s="4">
        <v>981</v>
      </c>
      <c r="K2572" s="4">
        <v>984</v>
      </c>
      <c r="L2572" s="4" t="s">
        <v>21503</v>
      </c>
      <c r="M2572" s="4" t="s">
        <v>21504</v>
      </c>
      <c r="N2572" s="4" t="s">
        <v>21505</v>
      </c>
      <c r="O2572" s="4" t="s">
        <v>63</v>
      </c>
      <c r="P2572" s="4"/>
      <c r="Q2572" s="4" t="s">
        <v>63</v>
      </c>
      <c r="R2572" s="4" t="s">
        <v>63</v>
      </c>
      <c r="S2572" s="4" t="s">
        <v>63</v>
      </c>
      <c r="T2572" s="4" t="s">
        <v>63</v>
      </c>
      <c r="U2572" s="4"/>
      <c r="V2572" s="4"/>
      <c r="W2572" s="4"/>
      <c r="X2572" s="4" t="s">
        <v>63</v>
      </c>
      <c r="Y2572" s="4" t="s">
        <v>4808</v>
      </c>
      <c r="Z2572" s="4" t="s">
        <v>63</v>
      </c>
      <c r="AA2572" s="4" t="s">
        <v>63</v>
      </c>
      <c r="AB2572" s="4" t="s">
        <v>63</v>
      </c>
      <c r="AC2572" s="4" t="s">
        <v>4810</v>
      </c>
      <c r="AD2572" s="4" t="s">
        <v>63</v>
      </c>
      <c r="AE2572" s="4" t="s">
        <v>63</v>
      </c>
      <c r="AF2572" s="4" t="s">
        <v>63</v>
      </c>
      <c r="AG2572" s="4" t="s">
        <v>21506</v>
      </c>
      <c r="AH2572" s="4" t="s">
        <v>63</v>
      </c>
      <c r="AI2572" s="4" t="s">
        <v>63</v>
      </c>
      <c r="AJ2572" s="4" t="s">
        <v>63</v>
      </c>
      <c r="AK2572" s="4" t="s">
        <v>63</v>
      </c>
      <c r="AL2572" s="4" t="s">
        <v>63</v>
      </c>
      <c r="AM2572" s="4" t="s">
        <v>21507</v>
      </c>
      <c r="AN2572" s="4" t="s">
        <v>63</v>
      </c>
      <c r="AO2572" s="4" t="s">
        <v>63</v>
      </c>
      <c r="AP2572" s="4" t="s">
        <v>63</v>
      </c>
      <c r="AQ2572" s="4" t="s">
        <v>63</v>
      </c>
      <c r="AR2572" s="4" t="s">
        <v>63</v>
      </c>
      <c r="AS2572" s="4" t="s">
        <v>63</v>
      </c>
      <c r="AT2572" s="4" t="s">
        <v>63</v>
      </c>
      <c r="AU2572" s="4" t="s">
        <v>63</v>
      </c>
      <c r="AV2572" s="4" t="s">
        <v>63</v>
      </c>
      <c r="AW2572" s="4" t="s">
        <v>63</v>
      </c>
      <c r="AX2572" s="4" t="s">
        <v>63</v>
      </c>
      <c r="AY2572" s="4" t="s">
        <v>63</v>
      </c>
      <c r="AZ2572" s="4" t="s">
        <v>63</v>
      </c>
      <c r="BA2572" s="4" t="s">
        <v>63</v>
      </c>
      <c r="BB2572" s="4" t="s">
        <v>63</v>
      </c>
      <c r="BC2572" s="4" t="s">
        <v>63</v>
      </c>
      <c r="BD2572" s="4" t="s">
        <v>63</v>
      </c>
      <c r="BE2572" s="4" t="s">
        <v>63</v>
      </c>
      <c r="BF2572" s="4" t="s">
        <v>63</v>
      </c>
    </row>
    <row r="2573" spans="1:58">
      <c r="A2573" s="4" t="s">
        <v>58</v>
      </c>
      <c r="B2573" s="4" t="s">
        <v>21508</v>
      </c>
      <c r="C2573" s="4" t="s">
        <v>21509</v>
      </c>
      <c r="D2573" s="4" t="s">
        <v>16100</v>
      </c>
      <c r="E2573" s="4" t="s">
        <v>63</v>
      </c>
      <c r="F2573" s="4">
        <v>2014</v>
      </c>
      <c r="G2573" s="4">
        <v>1</v>
      </c>
      <c r="H2573" s="4" t="s">
        <v>16101</v>
      </c>
      <c r="I2573" s="4" t="s">
        <v>63</v>
      </c>
      <c r="J2573" s="4" t="s">
        <v>21510</v>
      </c>
      <c r="K2573" s="4" t="s">
        <v>63</v>
      </c>
      <c r="L2573" s="4" t="s">
        <v>21511</v>
      </c>
      <c r="M2573" s="4" t="s">
        <v>21512</v>
      </c>
      <c r="N2573" s="4" t="s">
        <v>21513</v>
      </c>
      <c r="O2573" s="4" t="s">
        <v>63</v>
      </c>
      <c r="P2573" s="4"/>
      <c r="Q2573" s="4" t="s">
        <v>63</v>
      </c>
      <c r="R2573" s="4" t="s">
        <v>63</v>
      </c>
      <c r="S2573" s="4" t="s">
        <v>63</v>
      </c>
      <c r="T2573" s="4" t="s">
        <v>63</v>
      </c>
      <c r="U2573" s="4"/>
      <c r="V2573" s="4"/>
      <c r="W2573" s="4"/>
      <c r="X2573" s="4" t="s">
        <v>63</v>
      </c>
      <c r="Y2573" s="4" t="s">
        <v>185</v>
      </c>
      <c r="Z2573" s="4" t="s">
        <v>63</v>
      </c>
      <c r="AA2573" s="4" t="s">
        <v>63</v>
      </c>
      <c r="AB2573" s="4" t="s">
        <v>63</v>
      </c>
      <c r="AC2573" s="4" t="s">
        <v>67</v>
      </c>
      <c r="AD2573" s="4" t="s">
        <v>63</v>
      </c>
      <c r="AE2573" s="4" t="s">
        <v>63</v>
      </c>
      <c r="AF2573" s="4" t="s">
        <v>63</v>
      </c>
      <c r="AG2573" s="4" t="s">
        <v>63</v>
      </c>
      <c r="AH2573" s="4" t="s">
        <v>63</v>
      </c>
      <c r="AI2573" s="4" t="s">
        <v>21514</v>
      </c>
      <c r="AJ2573" s="4" t="s">
        <v>63</v>
      </c>
      <c r="AK2573" s="4" t="s">
        <v>63</v>
      </c>
      <c r="AL2573" s="4" t="s">
        <v>63</v>
      </c>
      <c r="AM2573" s="4" t="s">
        <v>21509</v>
      </c>
      <c r="AN2573" s="4" t="s">
        <v>63</v>
      </c>
      <c r="AO2573" s="4" t="s">
        <v>63</v>
      </c>
      <c r="AP2573" s="4" t="s">
        <v>63</v>
      </c>
      <c r="AQ2573" s="4" t="s">
        <v>63</v>
      </c>
      <c r="AR2573" s="4" t="s">
        <v>63</v>
      </c>
      <c r="AS2573" s="4" t="s">
        <v>63</v>
      </c>
      <c r="AT2573" s="4" t="s">
        <v>63</v>
      </c>
      <c r="AU2573" s="4" t="s">
        <v>63</v>
      </c>
      <c r="AV2573" s="4" t="s">
        <v>63</v>
      </c>
      <c r="AW2573" s="4" t="s">
        <v>63</v>
      </c>
      <c r="AX2573" s="4" t="s">
        <v>63</v>
      </c>
      <c r="AY2573" s="4" t="s">
        <v>63</v>
      </c>
      <c r="AZ2573" s="4" t="s">
        <v>63</v>
      </c>
      <c r="BA2573" s="4" t="s">
        <v>63</v>
      </c>
      <c r="BB2573" s="4" t="s">
        <v>63</v>
      </c>
      <c r="BC2573" s="4" t="s">
        <v>63</v>
      </c>
      <c r="BD2573" s="4" t="s">
        <v>63</v>
      </c>
      <c r="BE2573" s="4" t="s">
        <v>63</v>
      </c>
      <c r="BF2573" s="4" t="s">
        <v>63</v>
      </c>
    </row>
    <row r="2574" spans="1:58">
      <c r="A2574" s="4" t="s">
        <v>58</v>
      </c>
      <c r="B2574" s="4" t="s">
        <v>21515</v>
      </c>
      <c r="C2574" s="4" t="s">
        <v>21516</v>
      </c>
      <c r="D2574" s="4" t="s">
        <v>21517</v>
      </c>
      <c r="E2574" s="4" t="s">
        <v>21518</v>
      </c>
      <c r="F2574" s="4">
        <v>1989</v>
      </c>
      <c r="G2574" s="4" t="s">
        <v>63</v>
      </c>
      <c r="H2574" s="4">
        <v>25</v>
      </c>
      <c r="I2574" s="4">
        <v>1</v>
      </c>
      <c r="J2574" s="4">
        <v>29</v>
      </c>
      <c r="K2574" s="4">
        <v>34</v>
      </c>
      <c r="L2574" s="4" t="s">
        <v>21519</v>
      </c>
      <c r="M2574" s="4" t="s">
        <v>21520</v>
      </c>
      <c r="N2574" s="4" t="s">
        <v>21521</v>
      </c>
      <c r="O2574" s="4" t="s">
        <v>63</v>
      </c>
      <c r="P2574" s="4"/>
      <c r="Q2574" s="4" t="s">
        <v>63</v>
      </c>
      <c r="R2574" s="4" t="s">
        <v>63</v>
      </c>
      <c r="S2574" s="4" t="s">
        <v>63</v>
      </c>
      <c r="T2574" s="4" t="s">
        <v>63</v>
      </c>
      <c r="U2574" s="4"/>
      <c r="V2574" s="4"/>
      <c r="W2574" s="4"/>
      <c r="X2574" s="4" t="s">
        <v>63</v>
      </c>
      <c r="Y2574" s="4" t="s">
        <v>21522</v>
      </c>
      <c r="Z2574" s="4" t="s">
        <v>63</v>
      </c>
      <c r="AA2574" s="4" t="s">
        <v>63</v>
      </c>
      <c r="AB2574" s="4" t="s">
        <v>21523</v>
      </c>
      <c r="AC2574" s="4" t="s">
        <v>67</v>
      </c>
      <c r="AD2574" s="4" t="s">
        <v>63</v>
      </c>
      <c r="AE2574" s="4" t="s">
        <v>63</v>
      </c>
      <c r="AF2574" s="4" t="s">
        <v>63</v>
      </c>
      <c r="AG2574" s="4" t="s">
        <v>63</v>
      </c>
      <c r="AH2574" s="4" t="s">
        <v>63</v>
      </c>
      <c r="AI2574" s="4" t="s">
        <v>63</v>
      </c>
      <c r="AJ2574" s="4" t="s">
        <v>63</v>
      </c>
      <c r="AK2574" s="4" t="s">
        <v>63</v>
      </c>
      <c r="AL2574" s="4" t="s">
        <v>63</v>
      </c>
      <c r="AM2574" s="4" t="s">
        <v>21516</v>
      </c>
      <c r="AN2574" s="4" t="s">
        <v>63</v>
      </c>
      <c r="AO2574" s="4" t="s">
        <v>63</v>
      </c>
      <c r="AP2574" s="4" t="s">
        <v>63</v>
      </c>
      <c r="AQ2574" s="4" t="s">
        <v>63</v>
      </c>
      <c r="AR2574" s="4" t="s">
        <v>63</v>
      </c>
      <c r="AS2574" s="4" t="s">
        <v>63</v>
      </c>
      <c r="AT2574" s="4" t="s">
        <v>63</v>
      </c>
      <c r="AU2574" s="4" t="s">
        <v>63</v>
      </c>
      <c r="AV2574" s="4" t="s">
        <v>63</v>
      </c>
      <c r="AW2574" s="4" t="s">
        <v>63</v>
      </c>
      <c r="AX2574" s="4" t="s">
        <v>63</v>
      </c>
      <c r="AY2574" s="4" t="s">
        <v>63</v>
      </c>
      <c r="AZ2574" s="4" t="s">
        <v>63</v>
      </c>
      <c r="BA2574" s="4" t="s">
        <v>63</v>
      </c>
      <c r="BB2574" s="4" t="s">
        <v>63</v>
      </c>
      <c r="BC2574" s="4" t="s">
        <v>63</v>
      </c>
      <c r="BD2574" s="4" t="s">
        <v>63</v>
      </c>
      <c r="BE2574" s="4" t="s">
        <v>63</v>
      </c>
      <c r="BF2574" s="4" t="s">
        <v>63</v>
      </c>
    </row>
    <row r="2575" spans="1:58">
      <c r="A2575" s="4" t="s">
        <v>58</v>
      </c>
      <c r="B2575" s="4" t="s">
        <v>21524</v>
      </c>
      <c r="C2575" s="4" t="s">
        <v>21525</v>
      </c>
      <c r="D2575" s="4" t="s">
        <v>15713</v>
      </c>
      <c r="E2575" s="4" t="s">
        <v>15714</v>
      </c>
      <c r="F2575" s="4">
        <v>2017</v>
      </c>
      <c r="G2575" s="4">
        <v>4</v>
      </c>
      <c r="H2575" s="4">
        <v>22</v>
      </c>
      <c r="I2575" s="4">
        <v>2</v>
      </c>
      <c r="J2575" s="4">
        <v>236</v>
      </c>
      <c r="K2575" s="4">
        <v>239</v>
      </c>
      <c r="L2575" s="4" t="s">
        <v>21526</v>
      </c>
      <c r="M2575" s="4" t="s">
        <v>21527</v>
      </c>
      <c r="N2575" s="4" t="s">
        <v>21528</v>
      </c>
      <c r="O2575" s="4" t="s">
        <v>63</v>
      </c>
      <c r="P2575" s="4"/>
      <c r="Q2575" s="4" t="s">
        <v>63</v>
      </c>
      <c r="R2575" s="4" t="s">
        <v>63</v>
      </c>
      <c r="S2575" s="4" t="s">
        <v>63</v>
      </c>
      <c r="T2575" s="4" t="s">
        <v>63</v>
      </c>
      <c r="U2575" s="4"/>
      <c r="V2575" s="4"/>
      <c r="W2575" s="4"/>
      <c r="X2575" s="4" t="s">
        <v>63</v>
      </c>
      <c r="Y2575" s="4" t="s">
        <v>20025</v>
      </c>
      <c r="Z2575" s="4" t="s">
        <v>63</v>
      </c>
      <c r="AA2575" s="4" t="s">
        <v>63</v>
      </c>
      <c r="AB2575" s="4" t="s">
        <v>21529</v>
      </c>
      <c r="AC2575" s="4" t="s">
        <v>67</v>
      </c>
      <c r="AD2575" s="4" t="s">
        <v>63</v>
      </c>
      <c r="AE2575" s="4" t="s">
        <v>63</v>
      </c>
      <c r="AF2575" s="4" t="s">
        <v>63</v>
      </c>
      <c r="AG2575" s="4" t="s">
        <v>63</v>
      </c>
      <c r="AH2575" s="4" t="s">
        <v>63</v>
      </c>
      <c r="AI2575" s="4" t="s">
        <v>21530</v>
      </c>
      <c r="AJ2575" s="4" t="s">
        <v>63</v>
      </c>
      <c r="AK2575" s="4" t="s">
        <v>63</v>
      </c>
      <c r="AL2575" s="4" t="s">
        <v>63</v>
      </c>
      <c r="AM2575" s="4" t="s">
        <v>21525</v>
      </c>
      <c r="AN2575" s="4" t="s">
        <v>63</v>
      </c>
      <c r="AO2575" s="4" t="s">
        <v>63</v>
      </c>
      <c r="AP2575" s="4" t="s">
        <v>63</v>
      </c>
      <c r="AQ2575" s="4" t="s">
        <v>63</v>
      </c>
      <c r="AR2575" s="4" t="s">
        <v>63</v>
      </c>
      <c r="AS2575" s="4" t="s">
        <v>63</v>
      </c>
      <c r="AT2575" s="4" t="s">
        <v>63</v>
      </c>
      <c r="AU2575" s="4" t="s">
        <v>63</v>
      </c>
      <c r="AV2575" s="4" t="s">
        <v>63</v>
      </c>
      <c r="AW2575" s="4" t="s">
        <v>63</v>
      </c>
      <c r="AX2575" s="4" t="s">
        <v>63</v>
      </c>
      <c r="AY2575" s="4" t="s">
        <v>63</v>
      </c>
      <c r="AZ2575" s="4" t="s">
        <v>63</v>
      </c>
      <c r="BA2575" s="4" t="s">
        <v>63</v>
      </c>
      <c r="BB2575" s="4" t="s">
        <v>63</v>
      </c>
      <c r="BC2575" s="4" t="s">
        <v>63</v>
      </c>
      <c r="BD2575" s="4" t="s">
        <v>63</v>
      </c>
      <c r="BE2575" s="4" t="s">
        <v>63</v>
      </c>
      <c r="BF2575" s="4" t="s">
        <v>63</v>
      </c>
    </row>
    <row r="2576" spans="1:58">
      <c r="A2576" s="4" t="s">
        <v>58</v>
      </c>
      <c r="B2576" s="4" t="s">
        <v>21531</v>
      </c>
      <c r="C2576" s="4" t="s">
        <v>21532</v>
      </c>
      <c r="D2576" s="4" t="s">
        <v>16357</v>
      </c>
      <c r="E2576" s="4" t="s">
        <v>16358</v>
      </c>
      <c r="F2576" s="4">
        <v>2013</v>
      </c>
      <c r="G2576" s="4" t="s">
        <v>189</v>
      </c>
      <c r="H2576" s="4" t="s">
        <v>21533</v>
      </c>
      <c r="I2576" s="4" t="s">
        <v>63</v>
      </c>
      <c r="J2576" s="4">
        <v>67</v>
      </c>
      <c r="K2576" s="4" t="s">
        <v>63</v>
      </c>
      <c r="L2576" s="4" t="s">
        <v>21534</v>
      </c>
      <c r="M2576" s="4" t="s">
        <v>21535</v>
      </c>
      <c r="N2576" s="4" t="s">
        <v>21536</v>
      </c>
      <c r="O2576" s="4" t="s">
        <v>63</v>
      </c>
      <c r="P2576" s="4"/>
      <c r="Q2576" s="4" t="s">
        <v>63</v>
      </c>
      <c r="R2576" s="4" t="s">
        <v>63</v>
      </c>
      <c r="S2576" s="4" t="s">
        <v>63</v>
      </c>
      <c r="T2576" s="4" t="s">
        <v>63</v>
      </c>
      <c r="U2576" s="4"/>
      <c r="V2576" s="4"/>
      <c r="W2576" s="4"/>
      <c r="X2576" s="4" t="s">
        <v>63</v>
      </c>
      <c r="Y2576" s="5">
        <v>25658</v>
      </c>
      <c r="Z2576" s="4" t="s">
        <v>63</v>
      </c>
      <c r="AA2576" s="4" t="s">
        <v>63</v>
      </c>
      <c r="AB2576" s="4" t="s">
        <v>63</v>
      </c>
      <c r="AC2576" s="4" t="s">
        <v>67</v>
      </c>
      <c r="AD2576" s="4" t="s">
        <v>63</v>
      </c>
      <c r="AE2576" s="4" t="s">
        <v>63</v>
      </c>
      <c r="AF2576" s="4" t="s">
        <v>63</v>
      </c>
      <c r="AG2576" s="4" t="s">
        <v>63</v>
      </c>
      <c r="AH2576" s="4" t="s">
        <v>63</v>
      </c>
      <c r="AI2576" s="4" t="s">
        <v>21537</v>
      </c>
      <c r="AJ2576" s="4" t="s">
        <v>63</v>
      </c>
      <c r="AK2576" s="4" t="s">
        <v>63</v>
      </c>
      <c r="AL2576" s="4" t="s">
        <v>63</v>
      </c>
      <c r="AM2576" s="4" t="s">
        <v>21532</v>
      </c>
      <c r="AN2576" s="4" t="s">
        <v>63</v>
      </c>
      <c r="AO2576" s="4" t="s">
        <v>63</v>
      </c>
      <c r="AP2576" s="4" t="s">
        <v>63</v>
      </c>
      <c r="AQ2576" s="4" t="s">
        <v>63</v>
      </c>
      <c r="AR2576" s="4" t="s">
        <v>63</v>
      </c>
      <c r="AS2576" s="4" t="s">
        <v>63</v>
      </c>
      <c r="AT2576" s="4" t="s">
        <v>63</v>
      </c>
      <c r="AU2576" s="4" t="s">
        <v>63</v>
      </c>
      <c r="AV2576" s="4" t="s">
        <v>63</v>
      </c>
      <c r="AW2576" s="4" t="s">
        <v>63</v>
      </c>
      <c r="AX2576" s="4" t="s">
        <v>63</v>
      </c>
      <c r="AY2576" s="4" t="s">
        <v>63</v>
      </c>
      <c r="AZ2576" s="4" t="s">
        <v>63</v>
      </c>
      <c r="BA2576" s="4" t="s">
        <v>63</v>
      </c>
      <c r="BB2576" s="4" t="s">
        <v>63</v>
      </c>
      <c r="BC2576" s="4" t="s">
        <v>63</v>
      </c>
      <c r="BD2576" s="4" t="s">
        <v>63</v>
      </c>
      <c r="BE2576" s="4" t="s">
        <v>63</v>
      </c>
      <c r="BF2576" s="4" t="s">
        <v>63</v>
      </c>
    </row>
    <row r="2577" spans="1:58">
      <c r="A2577" s="4" t="s">
        <v>58</v>
      </c>
      <c r="B2577" s="4" t="s">
        <v>21538</v>
      </c>
      <c r="C2577" s="4" t="s">
        <v>21539</v>
      </c>
      <c r="D2577" s="4" t="s">
        <v>137</v>
      </c>
      <c r="E2577" s="4" t="s">
        <v>63</v>
      </c>
      <c r="F2577" s="4">
        <v>2014</v>
      </c>
      <c r="G2577" s="4">
        <v>1</v>
      </c>
      <c r="H2577" s="4">
        <v>60</v>
      </c>
      <c r="I2577" s="4">
        <v>7</v>
      </c>
      <c r="J2577" s="4" t="s">
        <v>15591</v>
      </c>
      <c r="K2577" s="4" t="s">
        <v>63</v>
      </c>
      <c r="L2577" s="4" t="s">
        <v>21540</v>
      </c>
      <c r="M2577" s="4" t="s">
        <v>21541</v>
      </c>
      <c r="N2577" s="4" t="s">
        <v>21542</v>
      </c>
      <c r="O2577" s="4" t="s">
        <v>63</v>
      </c>
      <c r="P2577" s="4"/>
      <c r="Q2577" s="4" t="s">
        <v>63</v>
      </c>
      <c r="R2577" s="4" t="s">
        <v>63</v>
      </c>
      <c r="S2577" s="4" t="s">
        <v>63</v>
      </c>
      <c r="T2577" s="4" t="s">
        <v>63</v>
      </c>
      <c r="U2577" s="4"/>
      <c r="V2577" s="4"/>
      <c r="W2577" s="4"/>
      <c r="X2577" s="4" t="s">
        <v>63</v>
      </c>
      <c r="Y2577" s="4" t="s">
        <v>141</v>
      </c>
      <c r="Z2577" s="4" t="s">
        <v>63</v>
      </c>
      <c r="AA2577" s="4" t="s">
        <v>63</v>
      </c>
      <c r="AB2577" s="4" t="s">
        <v>63</v>
      </c>
      <c r="AC2577" s="4" t="s">
        <v>67</v>
      </c>
      <c r="AD2577" s="4" t="s">
        <v>63</v>
      </c>
      <c r="AE2577" s="4" t="s">
        <v>63</v>
      </c>
      <c r="AF2577" s="4" t="s">
        <v>63</v>
      </c>
      <c r="AG2577" s="4" t="s">
        <v>63</v>
      </c>
      <c r="AH2577" s="4" t="s">
        <v>63</v>
      </c>
      <c r="AI2577" s="4" t="s">
        <v>63</v>
      </c>
      <c r="AJ2577" s="4" t="s">
        <v>63</v>
      </c>
      <c r="AK2577" s="4" t="s">
        <v>63</v>
      </c>
      <c r="AL2577" s="4" t="s">
        <v>63</v>
      </c>
      <c r="AM2577" s="4" t="s">
        <v>21539</v>
      </c>
      <c r="AN2577" s="4" t="s">
        <v>63</v>
      </c>
      <c r="AO2577" s="4" t="s">
        <v>63</v>
      </c>
      <c r="AP2577" s="4" t="s">
        <v>63</v>
      </c>
      <c r="AQ2577" s="4" t="s">
        <v>63</v>
      </c>
      <c r="AR2577" s="4" t="s">
        <v>63</v>
      </c>
      <c r="AS2577" s="4" t="s">
        <v>63</v>
      </c>
      <c r="AT2577" s="4" t="s">
        <v>63</v>
      </c>
      <c r="AU2577" s="4" t="s">
        <v>63</v>
      </c>
      <c r="AV2577" s="4" t="s">
        <v>63</v>
      </c>
      <c r="AW2577" s="4" t="s">
        <v>63</v>
      </c>
      <c r="AX2577" s="4" t="s">
        <v>63</v>
      </c>
      <c r="AY2577" s="4" t="s">
        <v>63</v>
      </c>
      <c r="AZ2577" s="4" t="s">
        <v>63</v>
      </c>
      <c r="BA2577" s="4" t="s">
        <v>63</v>
      </c>
      <c r="BB2577" s="4" t="s">
        <v>63</v>
      </c>
      <c r="BC2577" s="4" t="s">
        <v>63</v>
      </c>
      <c r="BD2577" s="4" t="s">
        <v>63</v>
      </c>
      <c r="BE2577" s="4" t="s">
        <v>63</v>
      </c>
      <c r="BF2577" s="4" t="s">
        <v>63</v>
      </c>
    </row>
    <row r="2578" spans="1:58">
      <c r="A2578" s="4" t="s">
        <v>58</v>
      </c>
      <c r="B2578" s="4" t="s">
        <v>21543</v>
      </c>
      <c r="C2578" s="4" t="s">
        <v>21544</v>
      </c>
      <c r="D2578" s="4" t="s">
        <v>21545</v>
      </c>
      <c r="E2578" s="4" t="s">
        <v>63</v>
      </c>
      <c r="F2578" s="4">
        <v>2017</v>
      </c>
      <c r="G2578" s="4">
        <v>1</v>
      </c>
      <c r="H2578" s="4">
        <v>33</v>
      </c>
      <c r="I2578" s="4">
        <v>11</v>
      </c>
      <c r="J2578" s="4">
        <v>2015</v>
      </c>
      <c r="K2578" s="9">
        <v>2020000</v>
      </c>
      <c r="L2578" s="9" t="s">
        <v>21546</v>
      </c>
      <c r="M2578" s="9" t="s">
        <v>21547</v>
      </c>
      <c r="N2578" s="4" t="s">
        <v>21548</v>
      </c>
      <c r="O2578" s="4" t="s">
        <v>63</v>
      </c>
      <c r="P2578" s="4"/>
      <c r="Q2578" s="4" t="s">
        <v>63</v>
      </c>
      <c r="R2578" s="4" t="s">
        <v>63</v>
      </c>
      <c r="S2578" s="4" t="s">
        <v>63</v>
      </c>
      <c r="T2578" s="4" t="s">
        <v>63</v>
      </c>
      <c r="U2578" s="4"/>
      <c r="V2578" s="4"/>
      <c r="W2578" s="4"/>
      <c r="X2578" s="4" t="s">
        <v>63</v>
      </c>
      <c r="Y2578" s="4" t="s">
        <v>21549</v>
      </c>
      <c r="Z2578" s="4" t="s">
        <v>63</v>
      </c>
      <c r="AA2578" s="4" t="s">
        <v>63</v>
      </c>
      <c r="AB2578" s="4" t="s">
        <v>21550</v>
      </c>
      <c r="AC2578" s="4" t="s">
        <v>67</v>
      </c>
      <c r="AD2578" s="4" t="s">
        <v>63</v>
      </c>
      <c r="AE2578" s="4" t="s">
        <v>63</v>
      </c>
      <c r="AF2578" s="4" t="s">
        <v>63</v>
      </c>
      <c r="AG2578" s="4" t="s">
        <v>63</v>
      </c>
      <c r="AH2578" s="4" t="s">
        <v>63</v>
      </c>
      <c r="AI2578" s="4" t="s">
        <v>21551</v>
      </c>
      <c r="AJ2578" s="4" t="s">
        <v>63</v>
      </c>
      <c r="AK2578" s="4" t="s">
        <v>63</v>
      </c>
      <c r="AL2578" s="4" t="s">
        <v>63</v>
      </c>
      <c r="AM2578" s="4" t="s">
        <v>21544</v>
      </c>
      <c r="AN2578" s="4" t="s">
        <v>63</v>
      </c>
      <c r="AO2578" s="4" t="s">
        <v>63</v>
      </c>
      <c r="AP2578" s="4" t="s">
        <v>63</v>
      </c>
      <c r="AQ2578" s="4" t="s">
        <v>63</v>
      </c>
      <c r="AR2578" s="4" t="s">
        <v>63</v>
      </c>
      <c r="AS2578" s="4" t="s">
        <v>63</v>
      </c>
      <c r="AT2578" s="4" t="s">
        <v>63</v>
      </c>
      <c r="AU2578" s="4" t="s">
        <v>63</v>
      </c>
      <c r="AV2578" s="4" t="s">
        <v>63</v>
      </c>
      <c r="AW2578" s="4" t="s">
        <v>63</v>
      </c>
      <c r="AX2578" s="4" t="s">
        <v>63</v>
      </c>
      <c r="AY2578" s="4" t="s">
        <v>63</v>
      </c>
      <c r="AZ2578" s="4" t="s">
        <v>63</v>
      </c>
      <c r="BA2578" s="4" t="s">
        <v>63</v>
      </c>
      <c r="BB2578" s="4" t="s">
        <v>63</v>
      </c>
      <c r="BC2578" s="4" t="s">
        <v>63</v>
      </c>
      <c r="BD2578" s="4" t="s">
        <v>63</v>
      </c>
      <c r="BE2578" s="4" t="s">
        <v>63</v>
      </c>
      <c r="BF2578" s="4" t="s">
        <v>63</v>
      </c>
    </row>
    <row r="2579" spans="1:58">
      <c r="A2579" s="4" t="s">
        <v>58</v>
      </c>
      <c r="B2579" s="4" t="s">
        <v>21552</v>
      </c>
      <c r="C2579" s="4" t="s">
        <v>21553</v>
      </c>
      <c r="D2579" s="4" t="s">
        <v>10155</v>
      </c>
      <c r="E2579" s="4" t="s">
        <v>10156</v>
      </c>
      <c r="F2579" s="4">
        <v>2017</v>
      </c>
      <c r="G2579" s="4" t="s">
        <v>63</v>
      </c>
      <c r="H2579" s="4">
        <v>186</v>
      </c>
      <c r="I2579" s="4">
        <v>12</v>
      </c>
      <c r="J2579" s="4" t="s">
        <v>21554</v>
      </c>
      <c r="K2579" s="4" t="s">
        <v>63</v>
      </c>
      <c r="L2579" s="4" t="s">
        <v>21555</v>
      </c>
      <c r="M2579" s="4" t="s">
        <v>21556</v>
      </c>
      <c r="N2579" s="4" t="s">
        <v>21557</v>
      </c>
      <c r="O2579" s="4" t="s">
        <v>63</v>
      </c>
      <c r="P2579" s="4"/>
      <c r="Q2579" s="4" t="s">
        <v>63</v>
      </c>
      <c r="R2579" s="4" t="s">
        <v>63</v>
      </c>
      <c r="S2579" s="4" t="s">
        <v>63</v>
      </c>
      <c r="T2579" s="4" t="s">
        <v>63</v>
      </c>
      <c r="U2579" s="4"/>
      <c r="V2579" s="4"/>
      <c r="W2579" s="4"/>
      <c r="X2579" s="4" t="s">
        <v>63</v>
      </c>
      <c r="Y2579" s="4" t="s">
        <v>10160</v>
      </c>
      <c r="Z2579" s="4" t="s">
        <v>63</v>
      </c>
      <c r="AA2579" s="4" t="s">
        <v>63</v>
      </c>
      <c r="AB2579" s="4" t="s">
        <v>63</v>
      </c>
      <c r="AC2579" s="4" t="s">
        <v>67</v>
      </c>
      <c r="AD2579" s="4" t="s">
        <v>63</v>
      </c>
      <c r="AE2579" s="4" t="s">
        <v>63</v>
      </c>
      <c r="AF2579" s="4" t="s">
        <v>63</v>
      </c>
      <c r="AG2579" s="4" t="s">
        <v>63</v>
      </c>
      <c r="AH2579" s="4" t="s">
        <v>63</v>
      </c>
      <c r="AI2579" s="4" t="s">
        <v>21558</v>
      </c>
      <c r="AJ2579" s="4" t="s">
        <v>63</v>
      </c>
      <c r="AK2579" s="4" t="s">
        <v>63</v>
      </c>
      <c r="AL2579" s="4" t="s">
        <v>63</v>
      </c>
      <c r="AM2579" s="4" t="s">
        <v>21553</v>
      </c>
      <c r="AN2579" s="4" t="s">
        <v>63</v>
      </c>
      <c r="AO2579" s="4" t="s">
        <v>63</v>
      </c>
      <c r="AP2579" s="4" t="s">
        <v>63</v>
      </c>
      <c r="AQ2579" s="4" t="s">
        <v>63</v>
      </c>
      <c r="AR2579" s="4" t="s">
        <v>63</v>
      </c>
      <c r="AS2579" s="4" t="s">
        <v>63</v>
      </c>
      <c r="AT2579" s="4" t="s">
        <v>63</v>
      </c>
      <c r="AU2579" s="4" t="s">
        <v>63</v>
      </c>
      <c r="AV2579" s="4" t="s">
        <v>63</v>
      </c>
      <c r="AW2579" s="4" t="s">
        <v>63</v>
      </c>
      <c r="AX2579" s="4" t="s">
        <v>63</v>
      </c>
      <c r="AY2579" s="4" t="s">
        <v>63</v>
      </c>
      <c r="AZ2579" s="4" t="s">
        <v>63</v>
      </c>
      <c r="BA2579" s="4" t="s">
        <v>63</v>
      </c>
      <c r="BB2579" s="4" t="s">
        <v>63</v>
      </c>
      <c r="BC2579" s="4" t="s">
        <v>63</v>
      </c>
      <c r="BD2579" s="4" t="s">
        <v>63</v>
      </c>
      <c r="BE2579" s="4" t="s">
        <v>63</v>
      </c>
      <c r="BF2579" s="4" t="s">
        <v>63</v>
      </c>
    </row>
    <row r="2580" spans="1:58">
      <c r="A2580" s="4" t="s">
        <v>58</v>
      </c>
      <c r="B2580" s="4" t="s">
        <v>21559</v>
      </c>
      <c r="C2580" s="4" t="s">
        <v>21560</v>
      </c>
      <c r="D2580" s="4" t="s">
        <v>155</v>
      </c>
      <c r="E2580" s="4" t="s">
        <v>156</v>
      </c>
      <c r="F2580" s="4">
        <v>2012</v>
      </c>
      <c r="G2580" s="4" t="s">
        <v>16091</v>
      </c>
      <c r="H2580" s="4">
        <v>60</v>
      </c>
      <c r="I2580" s="4">
        <v>5</v>
      </c>
      <c r="J2580" s="4" t="s">
        <v>21561</v>
      </c>
      <c r="K2580" s="4" t="s">
        <v>63</v>
      </c>
      <c r="L2580" s="4" t="s">
        <v>21562</v>
      </c>
      <c r="M2580" s="4" t="s">
        <v>21563</v>
      </c>
      <c r="N2580" s="4" t="s">
        <v>21564</v>
      </c>
      <c r="O2580" s="4" t="s">
        <v>63</v>
      </c>
      <c r="P2580" s="4"/>
      <c r="Q2580" s="4" t="s">
        <v>63</v>
      </c>
      <c r="R2580" s="4" t="s">
        <v>63</v>
      </c>
      <c r="S2580" s="4" t="s">
        <v>63</v>
      </c>
      <c r="T2580" s="4" t="s">
        <v>63</v>
      </c>
      <c r="U2580" s="4"/>
      <c r="V2580" s="4"/>
      <c r="W2580" s="4"/>
      <c r="X2580" s="4" t="s">
        <v>63</v>
      </c>
      <c r="Y2580" s="4" t="s">
        <v>160</v>
      </c>
      <c r="Z2580" s="4" t="s">
        <v>63</v>
      </c>
      <c r="AA2580" s="4" t="s">
        <v>63</v>
      </c>
      <c r="AB2580" s="4" t="s">
        <v>63</v>
      </c>
      <c r="AC2580" s="4" t="s">
        <v>67</v>
      </c>
      <c r="AD2580" s="4" t="s">
        <v>63</v>
      </c>
      <c r="AE2580" s="4" t="s">
        <v>63</v>
      </c>
      <c r="AF2580" s="4" t="s">
        <v>63</v>
      </c>
      <c r="AG2580" s="4" t="s">
        <v>63</v>
      </c>
      <c r="AH2580" s="4" t="s">
        <v>63</v>
      </c>
      <c r="AI2580" s="4" t="s">
        <v>21565</v>
      </c>
      <c r="AJ2580" s="4" t="s">
        <v>63</v>
      </c>
      <c r="AK2580" s="4" t="s">
        <v>63</v>
      </c>
      <c r="AL2580" s="4" t="s">
        <v>63</v>
      </c>
      <c r="AM2580" s="4" t="s">
        <v>21560</v>
      </c>
      <c r="AN2580" s="4" t="s">
        <v>63</v>
      </c>
      <c r="AO2580" s="4" t="s">
        <v>63</v>
      </c>
      <c r="AP2580" s="4" t="s">
        <v>63</v>
      </c>
      <c r="AQ2580" s="4" t="s">
        <v>63</v>
      </c>
      <c r="AR2580" s="4" t="s">
        <v>63</v>
      </c>
      <c r="AS2580" s="4" t="s">
        <v>63</v>
      </c>
      <c r="AT2580" s="4" t="s">
        <v>63</v>
      </c>
      <c r="AU2580" s="4" t="s">
        <v>63</v>
      </c>
      <c r="AV2580" s="4" t="s">
        <v>63</v>
      </c>
      <c r="AW2580" s="4" t="s">
        <v>63</v>
      </c>
      <c r="AX2580" s="4" t="s">
        <v>63</v>
      </c>
      <c r="AY2580" s="4" t="s">
        <v>63</v>
      </c>
      <c r="AZ2580" s="4" t="s">
        <v>63</v>
      </c>
      <c r="BA2580" s="4" t="s">
        <v>63</v>
      </c>
      <c r="BB2580" s="4" t="s">
        <v>63</v>
      </c>
      <c r="BC2580" s="4" t="s">
        <v>63</v>
      </c>
      <c r="BD2580" s="4" t="s">
        <v>63</v>
      </c>
      <c r="BE2580" s="4" t="s">
        <v>63</v>
      </c>
      <c r="BF2580" s="4" t="s">
        <v>63</v>
      </c>
    </row>
    <row r="2581" spans="1:58">
      <c r="A2581" s="4" t="s">
        <v>58</v>
      </c>
      <c r="B2581" s="4" t="s">
        <v>21566</v>
      </c>
      <c r="C2581" s="4" t="s">
        <v>21567</v>
      </c>
      <c r="D2581" s="4" t="s">
        <v>20801</v>
      </c>
      <c r="E2581" s="4" t="s">
        <v>20802</v>
      </c>
      <c r="F2581" s="4">
        <v>2005</v>
      </c>
      <c r="G2581" s="4" t="s">
        <v>84</v>
      </c>
      <c r="H2581" s="4">
        <v>54</v>
      </c>
      <c r="I2581" s="4">
        <v>2</v>
      </c>
      <c r="J2581" s="4">
        <v>120</v>
      </c>
      <c r="K2581" s="4">
        <v>126</v>
      </c>
      <c r="L2581" s="4" t="s">
        <v>21568</v>
      </c>
      <c r="M2581" s="4" t="s">
        <v>21569</v>
      </c>
      <c r="N2581" s="4" t="s">
        <v>21570</v>
      </c>
      <c r="O2581" s="4" t="s">
        <v>63</v>
      </c>
      <c r="P2581" s="4"/>
      <c r="Q2581" s="4" t="s">
        <v>63</v>
      </c>
      <c r="R2581" s="4" t="s">
        <v>63</v>
      </c>
      <c r="S2581" s="4" t="s">
        <v>63</v>
      </c>
      <c r="T2581" s="4" t="s">
        <v>63</v>
      </c>
      <c r="U2581" s="4"/>
      <c r="V2581" s="4"/>
      <c r="W2581" s="4"/>
      <c r="X2581" s="4" t="s">
        <v>63</v>
      </c>
      <c r="Y2581" s="4" t="s">
        <v>21571</v>
      </c>
      <c r="Z2581" s="4" t="s">
        <v>63</v>
      </c>
      <c r="AA2581" s="4" t="s">
        <v>63</v>
      </c>
      <c r="AB2581" s="4" t="s">
        <v>21572</v>
      </c>
      <c r="AC2581" s="4" t="s">
        <v>8663</v>
      </c>
      <c r="AD2581" s="4" t="s">
        <v>63</v>
      </c>
      <c r="AE2581" s="4" t="s">
        <v>63</v>
      </c>
      <c r="AF2581" s="4" t="s">
        <v>63</v>
      </c>
      <c r="AG2581" s="4" t="s">
        <v>63</v>
      </c>
      <c r="AH2581" s="4" t="s">
        <v>63</v>
      </c>
      <c r="AI2581" s="4" t="s">
        <v>63</v>
      </c>
      <c r="AJ2581" s="4" t="s">
        <v>63</v>
      </c>
      <c r="AK2581" s="4" t="s">
        <v>63</v>
      </c>
      <c r="AL2581" s="4" t="s">
        <v>63</v>
      </c>
      <c r="AM2581" s="4" t="s">
        <v>21573</v>
      </c>
      <c r="AN2581" s="4" t="s">
        <v>63</v>
      </c>
      <c r="AO2581" s="4" t="s">
        <v>63</v>
      </c>
      <c r="AP2581" s="4" t="s">
        <v>63</v>
      </c>
      <c r="AQ2581" s="4" t="s">
        <v>63</v>
      </c>
      <c r="AR2581" s="4" t="s">
        <v>63</v>
      </c>
      <c r="AS2581" s="4" t="s">
        <v>63</v>
      </c>
      <c r="AT2581" s="4" t="s">
        <v>63</v>
      </c>
      <c r="AU2581" s="4" t="s">
        <v>63</v>
      </c>
      <c r="AV2581" s="4" t="s">
        <v>63</v>
      </c>
      <c r="AW2581" s="4" t="s">
        <v>63</v>
      </c>
      <c r="AX2581" s="4" t="s">
        <v>63</v>
      </c>
      <c r="AY2581" s="4" t="s">
        <v>63</v>
      </c>
      <c r="AZ2581" s="4" t="s">
        <v>63</v>
      </c>
      <c r="BA2581" s="4" t="s">
        <v>63</v>
      </c>
      <c r="BB2581" s="4" t="s">
        <v>63</v>
      </c>
      <c r="BC2581" s="4" t="s">
        <v>63</v>
      </c>
      <c r="BD2581" s="4" t="s">
        <v>63</v>
      </c>
      <c r="BE2581" s="4" t="s">
        <v>63</v>
      </c>
      <c r="BF2581" s="4" t="s">
        <v>63</v>
      </c>
    </row>
    <row r="2582" spans="1:58">
      <c r="A2582" s="4" t="s">
        <v>58</v>
      </c>
      <c r="B2582" s="4" t="s">
        <v>21574</v>
      </c>
      <c r="C2582" s="4" t="s">
        <v>21575</v>
      </c>
      <c r="D2582" s="4" t="s">
        <v>21576</v>
      </c>
      <c r="E2582" s="4" t="s">
        <v>63</v>
      </c>
      <c r="F2582" s="4">
        <v>2011</v>
      </c>
      <c r="G2582" s="4" t="s">
        <v>16182</v>
      </c>
      <c r="H2582" s="4" t="s">
        <v>21577</v>
      </c>
      <c r="I2582" s="4" t="s">
        <v>63</v>
      </c>
      <c r="J2582" s="4" t="s">
        <v>21578</v>
      </c>
      <c r="K2582" s="4" t="s">
        <v>63</v>
      </c>
      <c r="L2582" s="4" t="s">
        <v>21579</v>
      </c>
      <c r="M2582" s="4" t="s">
        <v>21580</v>
      </c>
      <c r="N2582" s="4" t="s">
        <v>21581</v>
      </c>
      <c r="O2582" s="4" t="s">
        <v>63</v>
      </c>
      <c r="P2582" s="4"/>
      <c r="Q2582" s="4" t="s">
        <v>63</v>
      </c>
      <c r="R2582" s="4" t="s">
        <v>63</v>
      </c>
      <c r="S2582" s="4" t="s">
        <v>63</v>
      </c>
      <c r="T2582" s="4" t="s">
        <v>63</v>
      </c>
      <c r="U2582" s="4"/>
      <c r="V2582" s="4"/>
      <c r="W2582" s="4"/>
      <c r="X2582" s="4" t="s">
        <v>63</v>
      </c>
      <c r="Y2582" s="4" t="s">
        <v>21582</v>
      </c>
      <c r="Z2582" s="4" t="s">
        <v>63</v>
      </c>
      <c r="AA2582" s="4" t="s">
        <v>63</v>
      </c>
      <c r="AB2582" s="4" t="s">
        <v>63</v>
      </c>
      <c r="AC2582" s="4" t="s">
        <v>67</v>
      </c>
      <c r="AD2582" s="4" t="s">
        <v>63</v>
      </c>
      <c r="AE2582" s="4" t="s">
        <v>63</v>
      </c>
      <c r="AF2582" s="4" t="s">
        <v>63</v>
      </c>
      <c r="AG2582" s="4" t="s">
        <v>63</v>
      </c>
      <c r="AH2582" s="4" t="s">
        <v>63</v>
      </c>
      <c r="AI2582" s="4" t="s">
        <v>21583</v>
      </c>
      <c r="AJ2582" s="4" t="s">
        <v>63</v>
      </c>
      <c r="AK2582" s="4" t="s">
        <v>63</v>
      </c>
      <c r="AL2582" s="4" t="s">
        <v>63</v>
      </c>
      <c r="AM2582" s="4" t="s">
        <v>21575</v>
      </c>
      <c r="AN2582" s="4" t="s">
        <v>63</v>
      </c>
      <c r="AO2582" s="4" t="s">
        <v>63</v>
      </c>
      <c r="AP2582" s="4" t="s">
        <v>63</v>
      </c>
      <c r="AQ2582" s="4" t="s">
        <v>63</v>
      </c>
      <c r="AR2582" s="4" t="s">
        <v>63</v>
      </c>
      <c r="AS2582" s="4" t="s">
        <v>63</v>
      </c>
      <c r="AT2582" s="4" t="s">
        <v>63</v>
      </c>
      <c r="AU2582" s="4" t="s">
        <v>63</v>
      </c>
      <c r="AV2582" s="4" t="s">
        <v>63</v>
      </c>
      <c r="AW2582" s="4" t="s">
        <v>63</v>
      </c>
      <c r="AX2582" s="4" t="s">
        <v>63</v>
      </c>
      <c r="AY2582" s="4" t="s">
        <v>63</v>
      </c>
      <c r="AZ2582" s="4" t="s">
        <v>63</v>
      </c>
      <c r="BA2582" s="4" t="s">
        <v>63</v>
      </c>
      <c r="BB2582" s="4" t="s">
        <v>63</v>
      </c>
      <c r="BC2582" s="4" t="s">
        <v>63</v>
      </c>
      <c r="BD2582" s="4" t="s">
        <v>63</v>
      </c>
      <c r="BE2582" s="4" t="s">
        <v>63</v>
      </c>
      <c r="BF2582" s="4" t="s">
        <v>63</v>
      </c>
    </row>
    <row r="2583" spans="1:58">
      <c r="A2583" s="4" t="s">
        <v>58</v>
      </c>
      <c r="B2583" s="4" t="s">
        <v>21584</v>
      </c>
      <c r="C2583" s="4" t="s">
        <v>21585</v>
      </c>
      <c r="D2583" s="4" t="s">
        <v>21586</v>
      </c>
      <c r="E2583" s="4" t="s">
        <v>21587</v>
      </c>
      <c r="F2583" s="4">
        <v>2014</v>
      </c>
      <c r="G2583" s="4" t="s">
        <v>15358</v>
      </c>
      <c r="H2583" s="4" t="s">
        <v>16988</v>
      </c>
      <c r="I2583" s="4" t="s">
        <v>63</v>
      </c>
      <c r="J2583" s="4">
        <v>102</v>
      </c>
      <c r="K2583" s="4" t="s">
        <v>63</v>
      </c>
      <c r="L2583" s="4" t="s">
        <v>21588</v>
      </c>
      <c r="M2583" s="4" t="s">
        <v>21589</v>
      </c>
      <c r="N2583" s="4" t="s">
        <v>21590</v>
      </c>
      <c r="O2583" s="4" t="s">
        <v>63</v>
      </c>
      <c r="P2583" s="4"/>
      <c r="Q2583" s="4" t="s">
        <v>63</v>
      </c>
      <c r="R2583" s="4" t="s">
        <v>63</v>
      </c>
      <c r="S2583" s="4" t="s">
        <v>63</v>
      </c>
      <c r="T2583" s="4" t="s">
        <v>63</v>
      </c>
      <c r="U2583" s="4"/>
      <c r="V2583" s="4"/>
      <c r="W2583" s="4"/>
      <c r="X2583" s="4" t="s">
        <v>63</v>
      </c>
      <c r="Y2583" s="4" t="s">
        <v>21591</v>
      </c>
      <c r="Z2583" s="4" t="s">
        <v>63</v>
      </c>
      <c r="AA2583" s="4" t="s">
        <v>63</v>
      </c>
      <c r="AB2583" s="4" t="s">
        <v>63</v>
      </c>
      <c r="AC2583" s="4" t="s">
        <v>67</v>
      </c>
      <c r="AD2583" s="4" t="s">
        <v>63</v>
      </c>
      <c r="AE2583" s="4" t="s">
        <v>63</v>
      </c>
      <c r="AF2583" s="4" t="s">
        <v>63</v>
      </c>
      <c r="AG2583" s="4" t="s">
        <v>63</v>
      </c>
      <c r="AH2583" s="4" t="s">
        <v>63</v>
      </c>
      <c r="AI2583" s="4" t="s">
        <v>21592</v>
      </c>
      <c r="AJ2583" s="4" t="s">
        <v>63</v>
      </c>
      <c r="AK2583" s="4" t="s">
        <v>63</v>
      </c>
      <c r="AL2583" s="4" t="s">
        <v>63</v>
      </c>
      <c r="AM2583" s="4" t="s">
        <v>21585</v>
      </c>
      <c r="AN2583" s="4" t="s">
        <v>63</v>
      </c>
      <c r="AO2583" s="4" t="s">
        <v>63</v>
      </c>
      <c r="AP2583" s="4" t="s">
        <v>63</v>
      </c>
      <c r="AQ2583" s="4" t="s">
        <v>63</v>
      </c>
      <c r="AR2583" s="4" t="s">
        <v>63</v>
      </c>
      <c r="AS2583" s="4" t="s">
        <v>63</v>
      </c>
      <c r="AT2583" s="4" t="s">
        <v>63</v>
      </c>
      <c r="AU2583" s="4" t="s">
        <v>63</v>
      </c>
      <c r="AV2583" s="4" t="s">
        <v>63</v>
      </c>
      <c r="AW2583" s="4" t="s">
        <v>63</v>
      </c>
      <c r="AX2583" s="4" t="s">
        <v>63</v>
      </c>
      <c r="AY2583" s="4" t="s">
        <v>63</v>
      </c>
      <c r="AZ2583" s="4" t="s">
        <v>63</v>
      </c>
      <c r="BA2583" s="4" t="s">
        <v>63</v>
      </c>
      <c r="BB2583" s="4" t="s">
        <v>63</v>
      </c>
      <c r="BC2583" s="4" t="s">
        <v>63</v>
      </c>
      <c r="BD2583" s="4" t="s">
        <v>63</v>
      </c>
      <c r="BE2583" s="4" t="s">
        <v>63</v>
      </c>
      <c r="BF2583" s="4" t="s">
        <v>63</v>
      </c>
    </row>
    <row r="2584" spans="1:58">
      <c r="A2584" s="4" t="s">
        <v>58</v>
      </c>
      <c r="B2584" s="4" t="s">
        <v>21593</v>
      </c>
      <c r="C2584" s="4" t="s">
        <v>21594</v>
      </c>
      <c r="D2584" s="4" t="s">
        <v>18652</v>
      </c>
      <c r="E2584" s="4" t="s">
        <v>18653</v>
      </c>
      <c r="F2584" s="4">
        <v>2013</v>
      </c>
      <c r="G2584" s="4" t="s">
        <v>15665</v>
      </c>
      <c r="H2584" s="4" t="s">
        <v>21595</v>
      </c>
      <c r="I2584" s="4" t="s">
        <v>63</v>
      </c>
      <c r="J2584" s="4">
        <v>49</v>
      </c>
      <c r="K2584" s="4" t="s">
        <v>63</v>
      </c>
      <c r="L2584" s="4" t="s">
        <v>21596</v>
      </c>
      <c r="M2584" s="4" t="s">
        <v>21597</v>
      </c>
      <c r="N2584" s="4" t="s">
        <v>21598</v>
      </c>
      <c r="O2584" s="4" t="s">
        <v>63</v>
      </c>
      <c r="P2584" s="4"/>
      <c r="Q2584" s="4" t="s">
        <v>63</v>
      </c>
      <c r="R2584" s="4" t="s">
        <v>63</v>
      </c>
      <c r="S2584" s="4" t="s">
        <v>63</v>
      </c>
      <c r="T2584" s="4" t="s">
        <v>63</v>
      </c>
      <c r="U2584" s="4"/>
      <c r="V2584" s="4"/>
      <c r="W2584" s="4"/>
      <c r="X2584" s="4" t="s">
        <v>63</v>
      </c>
      <c r="Y2584" s="4" t="s">
        <v>18658</v>
      </c>
      <c r="Z2584" s="4" t="s">
        <v>63</v>
      </c>
      <c r="AA2584" s="4" t="s">
        <v>63</v>
      </c>
      <c r="AB2584" s="4" t="s">
        <v>63</v>
      </c>
      <c r="AC2584" s="4" t="s">
        <v>67</v>
      </c>
      <c r="AD2584" s="4" t="s">
        <v>63</v>
      </c>
      <c r="AE2584" s="4" t="s">
        <v>63</v>
      </c>
      <c r="AF2584" s="4" t="s">
        <v>63</v>
      </c>
      <c r="AG2584" s="4" t="s">
        <v>63</v>
      </c>
      <c r="AH2584" s="4" t="s">
        <v>63</v>
      </c>
      <c r="AI2584" s="4" t="s">
        <v>21599</v>
      </c>
      <c r="AJ2584" s="4" t="s">
        <v>63</v>
      </c>
      <c r="AK2584" s="4" t="s">
        <v>63</v>
      </c>
      <c r="AL2584" s="4" t="s">
        <v>63</v>
      </c>
      <c r="AM2584" s="4" t="s">
        <v>21594</v>
      </c>
      <c r="AN2584" s="4" t="s">
        <v>63</v>
      </c>
      <c r="AO2584" s="4" t="s">
        <v>63</v>
      </c>
      <c r="AP2584" s="4" t="s">
        <v>63</v>
      </c>
      <c r="AQ2584" s="4" t="s">
        <v>63</v>
      </c>
      <c r="AR2584" s="4" t="s">
        <v>63</v>
      </c>
      <c r="AS2584" s="4" t="s">
        <v>63</v>
      </c>
      <c r="AT2584" s="4" t="s">
        <v>63</v>
      </c>
      <c r="AU2584" s="4" t="s">
        <v>63</v>
      </c>
      <c r="AV2584" s="4" t="s">
        <v>63</v>
      </c>
      <c r="AW2584" s="4" t="s">
        <v>63</v>
      </c>
      <c r="AX2584" s="4" t="s">
        <v>63</v>
      </c>
      <c r="AY2584" s="4" t="s">
        <v>63</v>
      </c>
      <c r="AZ2584" s="4" t="s">
        <v>63</v>
      </c>
      <c r="BA2584" s="4" t="s">
        <v>63</v>
      </c>
      <c r="BB2584" s="4" t="s">
        <v>63</v>
      </c>
      <c r="BC2584" s="4" t="s">
        <v>63</v>
      </c>
      <c r="BD2584" s="4" t="s">
        <v>63</v>
      </c>
      <c r="BE2584" s="4" t="s">
        <v>63</v>
      </c>
      <c r="BF2584" s="4" t="s">
        <v>63</v>
      </c>
    </row>
    <row r="2585" spans="1:58">
      <c r="A2585" s="4" t="s">
        <v>58</v>
      </c>
      <c r="B2585" s="4" t="s">
        <v>21600</v>
      </c>
      <c r="C2585" s="4" t="s">
        <v>21601</v>
      </c>
      <c r="D2585" s="4" t="s">
        <v>16623</v>
      </c>
      <c r="E2585" s="4" t="s">
        <v>63</v>
      </c>
      <c r="F2585" s="4">
        <v>2011</v>
      </c>
      <c r="G2585" s="4" t="s">
        <v>16091</v>
      </c>
      <c r="H2585" s="4">
        <v>4</v>
      </c>
      <c r="I2585" s="4">
        <v>4</v>
      </c>
      <c r="J2585" s="4">
        <v>327</v>
      </c>
      <c r="K2585" s="4">
        <v>339</v>
      </c>
      <c r="L2585" s="4" t="s">
        <v>21602</v>
      </c>
      <c r="M2585" s="4" t="s">
        <v>21603</v>
      </c>
      <c r="N2585" s="4" t="s">
        <v>21604</v>
      </c>
      <c r="O2585" s="4" t="s">
        <v>63</v>
      </c>
      <c r="P2585" s="4"/>
      <c r="Q2585" s="4" t="s">
        <v>63</v>
      </c>
      <c r="R2585" s="4" t="s">
        <v>63</v>
      </c>
      <c r="S2585" s="4" t="s">
        <v>63</v>
      </c>
      <c r="T2585" s="4" t="s">
        <v>63</v>
      </c>
      <c r="U2585" s="4"/>
      <c r="V2585" s="4"/>
      <c r="W2585" s="4"/>
      <c r="X2585" s="4" t="s">
        <v>63</v>
      </c>
      <c r="Y2585" s="4" t="s">
        <v>16627</v>
      </c>
      <c r="Z2585" s="4" t="s">
        <v>63</v>
      </c>
      <c r="AA2585" s="4" t="s">
        <v>63</v>
      </c>
      <c r="AB2585" s="4" t="s">
        <v>21605</v>
      </c>
      <c r="AC2585" s="4" t="s">
        <v>67</v>
      </c>
      <c r="AD2585" s="4" t="s">
        <v>63</v>
      </c>
      <c r="AE2585" s="4" t="s">
        <v>63</v>
      </c>
      <c r="AF2585" s="4" t="s">
        <v>63</v>
      </c>
      <c r="AG2585" s="4" t="s">
        <v>63</v>
      </c>
      <c r="AH2585" s="4" t="s">
        <v>63</v>
      </c>
      <c r="AI2585" s="4" t="s">
        <v>21606</v>
      </c>
      <c r="AJ2585" s="4" t="s">
        <v>63</v>
      </c>
      <c r="AK2585" s="4" t="s">
        <v>63</v>
      </c>
      <c r="AL2585" s="4" t="s">
        <v>63</v>
      </c>
      <c r="AM2585" s="4" t="s">
        <v>21601</v>
      </c>
      <c r="AN2585" s="4" t="s">
        <v>63</v>
      </c>
      <c r="AO2585" s="4" t="s">
        <v>63</v>
      </c>
      <c r="AP2585" s="4" t="s">
        <v>63</v>
      </c>
      <c r="AQ2585" s="4" t="s">
        <v>63</v>
      </c>
      <c r="AR2585" s="4" t="s">
        <v>63</v>
      </c>
      <c r="AS2585" s="4" t="s">
        <v>63</v>
      </c>
      <c r="AT2585" s="4" t="s">
        <v>63</v>
      </c>
      <c r="AU2585" s="4" t="s">
        <v>63</v>
      </c>
      <c r="AV2585" s="4" t="s">
        <v>63</v>
      </c>
      <c r="AW2585" s="4" t="s">
        <v>63</v>
      </c>
      <c r="AX2585" s="4" t="s">
        <v>63</v>
      </c>
      <c r="AY2585" s="4" t="s">
        <v>63</v>
      </c>
      <c r="AZ2585" s="4" t="s">
        <v>63</v>
      </c>
      <c r="BA2585" s="4" t="s">
        <v>63</v>
      </c>
      <c r="BB2585" s="4" t="s">
        <v>63</v>
      </c>
      <c r="BC2585" s="4" t="s">
        <v>63</v>
      </c>
      <c r="BD2585" s="4" t="s">
        <v>63</v>
      </c>
      <c r="BE2585" s="4" t="s">
        <v>63</v>
      </c>
      <c r="BF2585" s="4" t="s">
        <v>63</v>
      </c>
    </row>
    <row r="2586" spans="1:58">
      <c r="A2586" s="4" t="s">
        <v>58</v>
      </c>
      <c r="B2586" s="4" t="s">
        <v>21607</v>
      </c>
      <c r="C2586" s="4" t="s">
        <v>21608</v>
      </c>
      <c r="D2586" s="4" t="s">
        <v>21609</v>
      </c>
      <c r="E2586" s="4" t="s">
        <v>63</v>
      </c>
      <c r="F2586" s="4">
        <v>1976</v>
      </c>
      <c r="G2586" s="4" t="s">
        <v>63</v>
      </c>
      <c r="H2586" s="4">
        <v>6</v>
      </c>
      <c r="I2586" s="4">
        <v>1</v>
      </c>
      <c r="J2586" s="4">
        <v>16</v>
      </c>
      <c r="K2586" s="4">
        <v>21</v>
      </c>
      <c r="L2586" s="4" t="s">
        <v>21610</v>
      </c>
      <c r="M2586" s="4" t="s">
        <v>63</v>
      </c>
      <c r="N2586" s="4" t="s">
        <v>21611</v>
      </c>
      <c r="O2586" s="4" t="s">
        <v>63</v>
      </c>
      <c r="P2586" s="4"/>
      <c r="Q2586" s="4" t="s">
        <v>63</v>
      </c>
      <c r="R2586" s="4" t="s">
        <v>63</v>
      </c>
      <c r="S2586" s="4" t="s">
        <v>63</v>
      </c>
      <c r="T2586" s="4" t="s">
        <v>63</v>
      </c>
      <c r="U2586" s="4"/>
      <c r="V2586" s="4"/>
      <c r="W2586" s="4"/>
      <c r="X2586" s="4" t="s">
        <v>63</v>
      </c>
      <c r="Y2586" s="4" t="s">
        <v>63</v>
      </c>
      <c r="Z2586" s="4" t="s">
        <v>63</v>
      </c>
      <c r="AA2586" s="4" t="s">
        <v>63</v>
      </c>
      <c r="AB2586" s="4" t="s">
        <v>21612</v>
      </c>
      <c r="AC2586" s="4" t="s">
        <v>67</v>
      </c>
      <c r="AD2586" s="4" t="s">
        <v>63</v>
      </c>
      <c r="AE2586" s="4" t="s">
        <v>63</v>
      </c>
      <c r="AF2586" s="4" t="s">
        <v>63</v>
      </c>
      <c r="AG2586" s="4" t="s">
        <v>63</v>
      </c>
      <c r="AH2586" s="4" t="s">
        <v>63</v>
      </c>
      <c r="AI2586" s="4" t="s">
        <v>63</v>
      </c>
      <c r="AJ2586" s="4" t="s">
        <v>63</v>
      </c>
      <c r="AK2586" s="4" t="s">
        <v>63</v>
      </c>
      <c r="AL2586" s="4" t="s">
        <v>63</v>
      </c>
      <c r="AM2586" s="4" t="s">
        <v>21608</v>
      </c>
      <c r="AN2586" s="4" t="s">
        <v>63</v>
      </c>
      <c r="AO2586" s="4" t="s">
        <v>63</v>
      </c>
      <c r="AP2586" s="4" t="s">
        <v>63</v>
      </c>
      <c r="AQ2586" s="4" t="s">
        <v>63</v>
      </c>
      <c r="AR2586" s="4" t="s">
        <v>63</v>
      </c>
      <c r="AS2586" s="4" t="s">
        <v>63</v>
      </c>
      <c r="AT2586" s="4" t="s">
        <v>63</v>
      </c>
      <c r="AU2586" s="4" t="s">
        <v>63</v>
      </c>
      <c r="AV2586" s="4" t="s">
        <v>63</v>
      </c>
      <c r="AW2586" s="4" t="s">
        <v>63</v>
      </c>
      <c r="AX2586" s="4" t="s">
        <v>63</v>
      </c>
      <c r="AY2586" s="4" t="s">
        <v>63</v>
      </c>
      <c r="AZ2586" s="4" t="s">
        <v>63</v>
      </c>
      <c r="BA2586" s="4" t="s">
        <v>63</v>
      </c>
      <c r="BB2586" s="4" t="s">
        <v>63</v>
      </c>
      <c r="BC2586" s="4" t="s">
        <v>63</v>
      </c>
      <c r="BD2586" s="4" t="s">
        <v>63</v>
      </c>
      <c r="BE2586" s="4" t="s">
        <v>63</v>
      </c>
      <c r="BF2586" s="4" t="s">
        <v>63</v>
      </c>
    </row>
    <row r="2587" spans="1:58">
      <c r="A2587" s="4" t="s">
        <v>58</v>
      </c>
      <c r="B2587" s="4" t="s">
        <v>21613</v>
      </c>
      <c r="C2587" s="4" t="s">
        <v>21614</v>
      </c>
      <c r="D2587" s="4" t="s">
        <v>21615</v>
      </c>
      <c r="E2587" s="4" t="s">
        <v>63</v>
      </c>
      <c r="F2587" s="4">
        <v>2017</v>
      </c>
      <c r="G2587" s="4">
        <v>1</v>
      </c>
      <c r="H2587" s="4">
        <v>17</v>
      </c>
      <c r="I2587" s="4">
        <v>7</v>
      </c>
      <c r="J2587" s="4">
        <v>794</v>
      </c>
      <c r="K2587" s="4">
        <v>796</v>
      </c>
      <c r="L2587" s="4" t="s">
        <v>21616</v>
      </c>
      <c r="M2587" s="4" t="s">
        <v>63</v>
      </c>
      <c r="N2587" s="4" t="s">
        <v>21617</v>
      </c>
      <c r="O2587" s="4" t="s">
        <v>63</v>
      </c>
      <c r="P2587" s="4"/>
      <c r="Q2587" s="4" t="s">
        <v>63</v>
      </c>
      <c r="R2587" s="4" t="s">
        <v>63</v>
      </c>
      <c r="S2587" s="4" t="s">
        <v>63</v>
      </c>
      <c r="T2587" s="4" t="s">
        <v>63</v>
      </c>
      <c r="U2587" s="4"/>
      <c r="V2587" s="4"/>
      <c r="W2587" s="4"/>
      <c r="X2587" s="4" t="s">
        <v>63</v>
      </c>
      <c r="Y2587" s="4" t="s">
        <v>21618</v>
      </c>
      <c r="Z2587" s="4" t="s">
        <v>63</v>
      </c>
      <c r="AA2587" s="4" t="s">
        <v>63</v>
      </c>
      <c r="AB2587" s="4" t="s">
        <v>21619</v>
      </c>
      <c r="AC2587" s="4" t="s">
        <v>67</v>
      </c>
      <c r="AD2587" s="4" t="s">
        <v>63</v>
      </c>
      <c r="AE2587" s="4" t="s">
        <v>63</v>
      </c>
      <c r="AF2587" s="4" t="s">
        <v>63</v>
      </c>
      <c r="AG2587" s="4" t="s">
        <v>63</v>
      </c>
      <c r="AH2587" s="4" t="s">
        <v>63</v>
      </c>
      <c r="AI2587" s="4" t="s">
        <v>21620</v>
      </c>
      <c r="AJ2587" s="4" t="s">
        <v>63</v>
      </c>
      <c r="AK2587" s="4" t="s">
        <v>63</v>
      </c>
      <c r="AL2587" s="4" t="s">
        <v>63</v>
      </c>
      <c r="AM2587" s="4" t="s">
        <v>21614</v>
      </c>
      <c r="AN2587" s="4" t="s">
        <v>63</v>
      </c>
      <c r="AO2587" s="4" t="s">
        <v>63</v>
      </c>
      <c r="AP2587" s="4" t="s">
        <v>63</v>
      </c>
      <c r="AQ2587" s="4" t="s">
        <v>63</v>
      </c>
      <c r="AR2587" s="4" t="s">
        <v>63</v>
      </c>
      <c r="AS2587" s="4" t="s">
        <v>63</v>
      </c>
      <c r="AT2587" s="4" t="s">
        <v>63</v>
      </c>
      <c r="AU2587" s="4" t="s">
        <v>63</v>
      </c>
      <c r="AV2587" s="4" t="s">
        <v>63</v>
      </c>
      <c r="AW2587" s="4" t="s">
        <v>63</v>
      </c>
      <c r="AX2587" s="4" t="s">
        <v>63</v>
      </c>
      <c r="AY2587" s="4" t="s">
        <v>63</v>
      </c>
      <c r="AZ2587" s="4" t="s">
        <v>63</v>
      </c>
      <c r="BA2587" s="4" t="s">
        <v>63</v>
      </c>
      <c r="BB2587" s="4" t="s">
        <v>63</v>
      </c>
      <c r="BC2587" s="4" t="s">
        <v>63</v>
      </c>
      <c r="BD2587" s="4" t="s">
        <v>63</v>
      </c>
      <c r="BE2587" s="4" t="s">
        <v>63</v>
      </c>
      <c r="BF2587" s="4" t="s">
        <v>63</v>
      </c>
    </row>
    <row r="2588" spans="1:58">
      <c r="A2588" s="4" t="s">
        <v>58</v>
      </c>
      <c r="B2588" s="4" t="s">
        <v>21621</v>
      </c>
      <c r="C2588" s="4" t="s">
        <v>21622</v>
      </c>
      <c r="D2588" s="4" t="s">
        <v>17122</v>
      </c>
      <c r="E2588" s="4" t="s">
        <v>17123</v>
      </c>
      <c r="F2588" s="4">
        <v>1974</v>
      </c>
      <c r="G2588" s="4" t="s">
        <v>63</v>
      </c>
      <c r="H2588" s="4">
        <v>50</v>
      </c>
      <c r="I2588" s="4">
        <v>13</v>
      </c>
      <c r="J2588" s="4">
        <v>622</v>
      </c>
      <c r="K2588" s="4">
        <v>627</v>
      </c>
      <c r="L2588" s="4" t="s">
        <v>21623</v>
      </c>
      <c r="M2588" s="4" t="s">
        <v>63</v>
      </c>
      <c r="N2588" s="4" t="s">
        <v>21624</v>
      </c>
      <c r="O2588" s="4" t="s">
        <v>63</v>
      </c>
      <c r="P2588" s="4"/>
      <c r="Q2588" s="4" t="s">
        <v>63</v>
      </c>
      <c r="R2588" s="4" t="s">
        <v>63</v>
      </c>
      <c r="S2588" s="4" t="s">
        <v>63</v>
      </c>
      <c r="T2588" s="4" t="s">
        <v>63</v>
      </c>
      <c r="U2588" s="4"/>
      <c r="V2588" s="4"/>
      <c r="W2588" s="4"/>
      <c r="X2588" s="4" t="s">
        <v>63</v>
      </c>
      <c r="Y2588" s="4" t="s">
        <v>17126</v>
      </c>
      <c r="Z2588" s="4" t="s">
        <v>63</v>
      </c>
      <c r="AA2588" s="4" t="s">
        <v>63</v>
      </c>
      <c r="AB2588" s="4">
        <v>1975016168</v>
      </c>
      <c r="AC2588" s="4" t="s">
        <v>102</v>
      </c>
      <c r="AD2588" s="4" t="s">
        <v>63</v>
      </c>
      <c r="AE2588" s="4" t="s">
        <v>63</v>
      </c>
      <c r="AF2588" s="4" t="s">
        <v>63</v>
      </c>
      <c r="AG2588" s="4" t="s">
        <v>21625</v>
      </c>
      <c r="AH2588" s="4" t="s">
        <v>63</v>
      </c>
      <c r="AI2588" s="4" t="s">
        <v>63</v>
      </c>
      <c r="AJ2588" s="4" t="s">
        <v>63</v>
      </c>
      <c r="AK2588" s="4" t="s">
        <v>63</v>
      </c>
      <c r="AL2588" s="4" t="s">
        <v>63</v>
      </c>
      <c r="AM2588" s="4" t="s">
        <v>21626</v>
      </c>
      <c r="AN2588" s="4" t="s">
        <v>63</v>
      </c>
      <c r="AO2588" s="4" t="s">
        <v>63</v>
      </c>
      <c r="AP2588" s="4" t="s">
        <v>63</v>
      </c>
      <c r="AQ2588" s="4" t="s">
        <v>63</v>
      </c>
      <c r="AR2588" s="4" t="s">
        <v>63</v>
      </c>
      <c r="AS2588" s="4" t="s">
        <v>63</v>
      </c>
      <c r="AT2588" s="4" t="s">
        <v>63</v>
      </c>
      <c r="AU2588" s="4" t="s">
        <v>63</v>
      </c>
      <c r="AV2588" s="4" t="s">
        <v>63</v>
      </c>
      <c r="AW2588" s="4" t="s">
        <v>63</v>
      </c>
      <c r="AX2588" s="4" t="s">
        <v>63</v>
      </c>
      <c r="AY2588" s="4" t="s">
        <v>63</v>
      </c>
      <c r="AZ2588" s="4" t="s">
        <v>63</v>
      </c>
      <c r="BA2588" s="4" t="s">
        <v>63</v>
      </c>
      <c r="BB2588" s="4" t="s">
        <v>63</v>
      </c>
      <c r="BC2588" s="4" t="s">
        <v>63</v>
      </c>
      <c r="BD2588" s="4" t="s">
        <v>63</v>
      </c>
      <c r="BE2588" s="4" t="s">
        <v>63</v>
      </c>
      <c r="BF2588" s="4" t="s">
        <v>63</v>
      </c>
    </row>
    <row r="2589" spans="1:58">
      <c r="A2589" s="4" t="s">
        <v>58</v>
      </c>
      <c r="B2589" s="4" t="s">
        <v>21627</v>
      </c>
      <c r="C2589" s="4" t="s">
        <v>21628</v>
      </c>
      <c r="D2589" s="4" t="s">
        <v>938</v>
      </c>
      <c r="E2589" s="4" t="s">
        <v>63</v>
      </c>
      <c r="F2589" s="4">
        <v>1994</v>
      </c>
      <c r="G2589" s="4" t="s">
        <v>63</v>
      </c>
      <c r="H2589" s="4">
        <v>3</v>
      </c>
      <c r="I2589" s="4">
        <v>3</v>
      </c>
      <c r="J2589" s="4">
        <v>227</v>
      </c>
      <c r="K2589" s="4">
        <v>235</v>
      </c>
      <c r="L2589" s="4" t="s">
        <v>21629</v>
      </c>
      <c r="M2589" s="4" t="s">
        <v>21630</v>
      </c>
      <c r="N2589" s="4" t="s">
        <v>21631</v>
      </c>
      <c r="O2589" s="4" t="s">
        <v>63</v>
      </c>
      <c r="P2589" s="4"/>
      <c r="Q2589" s="4" t="s">
        <v>63</v>
      </c>
      <c r="R2589" s="4" t="s">
        <v>63</v>
      </c>
      <c r="S2589" s="4" t="s">
        <v>63</v>
      </c>
      <c r="T2589" s="4" t="s">
        <v>63</v>
      </c>
      <c r="U2589" s="4"/>
      <c r="V2589" s="4"/>
      <c r="W2589" s="4"/>
      <c r="X2589" s="4" t="s">
        <v>63</v>
      </c>
      <c r="Y2589" s="4" t="s">
        <v>2500</v>
      </c>
      <c r="Z2589" s="4" t="s">
        <v>63</v>
      </c>
      <c r="AA2589" s="4" t="s">
        <v>63</v>
      </c>
      <c r="AB2589" s="4" t="s">
        <v>21632</v>
      </c>
      <c r="AC2589" s="4" t="s">
        <v>67</v>
      </c>
      <c r="AD2589" s="4" t="s">
        <v>63</v>
      </c>
      <c r="AE2589" s="4" t="s">
        <v>63</v>
      </c>
      <c r="AF2589" s="4" t="s">
        <v>63</v>
      </c>
      <c r="AG2589" s="4" t="s">
        <v>63</v>
      </c>
      <c r="AH2589" s="4" t="s">
        <v>63</v>
      </c>
      <c r="AI2589" s="4" t="s">
        <v>63</v>
      </c>
      <c r="AJ2589" s="4" t="s">
        <v>63</v>
      </c>
      <c r="AK2589" s="4" t="s">
        <v>63</v>
      </c>
      <c r="AL2589" s="4" t="s">
        <v>63</v>
      </c>
      <c r="AM2589" s="4" t="s">
        <v>21628</v>
      </c>
      <c r="AN2589" s="4" t="s">
        <v>63</v>
      </c>
      <c r="AO2589" s="4" t="s">
        <v>63</v>
      </c>
      <c r="AP2589" s="4" t="s">
        <v>63</v>
      </c>
      <c r="AQ2589" s="4" t="s">
        <v>63</v>
      </c>
      <c r="AR2589" s="4" t="s">
        <v>63</v>
      </c>
      <c r="AS2589" s="4" t="s">
        <v>63</v>
      </c>
      <c r="AT2589" s="4" t="s">
        <v>63</v>
      </c>
      <c r="AU2589" s="4" t="s">
        <v>63</v>
      </c>
      <c r="AV2589" s="4" t="s">
        <v>63</v>
      </c>
      <c r="AW2589" s="4" t="s">
        <v>63</v>
      </c>
      <c r="AX2589" s="4" t="s">
        <v>63</v>
      </c>
      <c r="AY2589" s="4" t="s">
        <v>63</v>
      </c>
      <c r="AZ2589" s="4" t="s">
        <v>63</v>
      </c>
      <c r="BA2589" s="4" t="s">
        <v>63</v>
      </c>
      <c r="BB2589" s="4" t="s">
        <v>63</v>
      </c>
      <c r="BC2589" s="4" t="s">
        <v>63</v>
      </c>
      <c r="BD2589" s="4" t="s">
        <v>63</v>
      </c>
      <c r="BE2589" s="4" t="s">
        <v>63</v>
      </c>
      <c r="BF2589" s="4" t="s">
        <v>63</v>
      </c>
    </row>
    <row r="2590" spans="1:58">
      <c r="A2590" s="4" t="s">
        <v>58</v>
      </c>
      <c r="B2590" s="4" t="s">
        <v>21633</v>
      </c>
      <c r="C2590" s="4" t="s">
        <v>21634</v>
      </c>
      <c r="D2590" s="4" t="s">
        <v>763</v>
      </c>
      <c r="E2590" s="4" t="s">
        <v>63</v>
      </c>
      <c r="F2590" s="4">
        <v>1995</v>
      </c>
      <c r="G2590" s="4" t="s">
        <v>63</v>
      </c>
      <c r="H2590" s="4">
        <v>70</v>
      </c>
      <c r="I2590" s="4">
        <v>5</v>
      </c>
      <c r="J2590" s="4">
        <v>355</v>
      </c>
      <c r="K2590" s="4">
        <v>358</v>
      </c>
      <c r="L2590" s="4" t="s">
        <v>21635</v>
      </c>
      <c r="M2590" s="4" t="s">
        <v>21636</v>
      </c>
      <c r="N2590" s="4" t="s">
        <v>21637</v>
      </c>
      <c r="O2590" s="4" t="s">
        <v>63</v>
      </c>
      <c r="P2590" s="4"/>
      <c r="Q2590" s="4" t="s">
        <v>63</v>
      </c>
      <c r="R2590" s="4" t="s">
        <v>63</v>
      </c>
      <c r="S2590" s="4" t="s">
        <v>63</v>
      </c>
      <c r="T2590" s="4" t="s">
        <v>63</v>
      </c>
      <c r="U2590" s="4"/>
      <c r="V2590" s="4"/>
      <c r="W2590" s="4"/>
      <c r="X2590" s="4" t="s">
        <v>63</v>
      </c>
      <c r="Y2590" s="4" t="s">
        <v>858</v>
      </c>
      <c r="Z2590" s="4" t="s">
        <v>63</v>
      </c>
      <c r="AA2590" s="4" t="s">
        <v>63</v>
      </c>
      <c r="AB2590" s="4">
        <v>1995158764</v>
      </c>
      <c r="AC2590" s="4" t="s">
        <v>67</v>
      </c>
      <c r="AD2590" s="4" t="s">
        <v>63</v>
      </c>
      <c r="AE2590" s="4" t="s">
        <v>63</v>
      </c>
      <c r="AF2590" s="4" t="s">
        <v>63</v>
      </c>
      <c r="AG2590" s="4" t="s">
        <v>21638</v>
      </c>
      <c r="AH2590" s="4" t="s">
        <v>63</v>
      </c>
      <c r="AI2590" s="4" t="s">
        <v>63</v>
      </c>
      <c r="AJ2590" s="4" t="s">
        <v>63</v>
      </c>
      <c r="AK2590" s="4" t="s">
        <v>63</v>
      </c>
      <c r="AL2590" s="4" t="s">
        <v>63</v>
      </c>
      <c r="AM2590" s="4" t="s">
        <v>21639</v>
      </c>
      <c r="AN2590" s="4" t="s">
        <v>63</v>
      </c>
      <c r="AO2590" s="4" t="s">
        <v>63</v>
      </c>
      <c r="AP2590" s="4" t="s">
        <v>63</v>
      </c>
      <c r="AQ2590" s="4" t="s">
        <v>63</v>
      </c>
      <c r="AR2590" s="4" t="s">
        <v>63</v>
      </c>
      <c r="AS2590" s="4" t="s">
        <v>63</v>
      </c>
      <c r="AT2590" s="4" t="s">
        <v>63</v>
      </c>
      <c r="AU2590" s="4" t="s">
        <v>63</v>
      </c>
      <c r="AV2590" s="4" t="s">
        <v>63</v>
      </c>
      <c r="AW2590" s="4" t="s">
        <v>63</v>
      </c>
      <c r="AX2590" s="4" t="s">
        <v>63</v>
      </c>
      <c r="AY2590" s="4" t="s">
        <v>63</v>
      </c>
      <c r="AZ2590" s="4" t="s">
        <v>63</v>
      </c>
      <c r="BA2590" s="4" t="s">
        <v>63</v>
      </c>
      <c r="BB2590" s="4" t="s">
        <v>63</v>
      </c>
      <c r="BC2590" s="4" t="s">
        <v>63</v>
      </c>
      <c r="BD2590" s="4" t="s">
        <v>63</v>
      </c>
      <c r="BE2590" s="4" t="s">
        <v>63</v>
      </c>
      <c r="BF2590" s="4" t="s">
        <v>63</v>
      </c>
    </row>
    <row r="2591" spans="1:58">
      <c r="A2591" s="4" t="s">
        <v>58</v>
      </c>
      <c r="B2591" s="4" t="s">
        <v>21640</v>
      </c>
      <c r="C2591" s="4" t="s">
        <v>21641</v>
      </c>
      <c r="D2591" s="4" t="s">
        <v>18507</v>
      </c>
      <c r="E2591" s="4" t="s">
        <v>18508</v>
      </c>
      <c r="F2591" s="4">
        <v>2012</v>
      </c>
      <c r="G2591" s="4" t="s">
        <v>274</v>
      </c>
      <c r="H2591" s="4">
        <v>20</v>
      </c>
      <c r="I2591" s="4">
        <v>1</v>
      </c>
      <c r="J2591" s="4">
        <v>67</v>
      </c>
      <c r="K2591" s="4" t="s">
        <v>63</v>
      </c>
      <c r="L2591" s="4" t="s">
        <v>21642</v>
      </c>
      <c r="M2591" s="4" t="s">
        <v>63</v>
      </c>
      <c r="N2591" s="4" t="s">
        <v>21643</v>
      </c>
      <c r="O2591" s="4" t="s">
        <v>63</v>
      </c>
      <c r="P2591" s="4"/>
      <c r="Q2591" s="4" t="s">
        <v>63</v>
      </c>
      <c r="R2591" s="4" t="s">
        <v>63</v>
      </c>
      <c r="S2591" s="4" t="s">
        <v>63</v>
      </c>
      <c r="T2591" s="4" t="s">
        <v>63</v>
      </c>
      <c r="U2591" s="4"/>
      <c r="V2591" s="4"/>
      <c r="W2591" s="4"/>
      <c r="X2591" s="4" t="s">
        <v>63</v>
      </c>
      <c r="Y2591" s="4" t="s">
        <v>18512</v>
      </c>
      <c r="Z2591" s="4" t="s">
        <v>63</v>
      </c>
      <c r="AA2591" s="4" t="s">
        <v>63</v>
      </c>
      <c r="AB2591" s="4" t="s">
        <v>63</v>
      </c>
      <c r="AC2591" s="4" t="s">
        <v>67</v>
      </c>
      <c r="AD2591" s="4" t="s">
        <v>63</v>
      </c>
      <c r="AE2591" s="4" t="s">
        <v>63</v>
      </c>
      <c r="AF2591" s="4" t="s">
        <v>63</v>
      </c>
      <c r="AG2591" s="4" t="s">
        <v>21644</v>
      </c>
      <c r="AH2591" s="4" t="s">
        <v>63</v>
      </c>
      <c r="AI2591" s="4" t="s">
        <v>63</v>
      </c>
      <c r="AJ2591" s="4" t="s">
        <v>63</v>
      </c>
      <c r="AK2591" s="4" t="s">
        <v>63</v>
      </c>
      <c r="AL2591" s="4" t="s">
        <v>63</v>
      </c>
      <c r="AM2591" s="4" t="s">
        <v>21645</v>
      </c>
      <c r="AN2591" s="4" t="s">
        <v>63</v>
      </c>
      <c r="AO2591" s="4" t="s">
        <v>63</v>
      </c>
      <c r="AP2591" s="4" t="s">
        <v>63</v>
      </c>
      <c r="AQ2591" s="4" t="s">
        <v>63</v>
      </c>
      <c r="AR2591" s="4" t="s">
        <v>63</v>
      </c>
      <c r="AS2591" s="4" t="s">
        <v>63</v>
      </c>
      <c r="AT2591" s="4" t="s">
        <v>63</v>
      </c>
      <c r="AU2591" s="4" t="s">
        <v>63</v>
      </c>
      <c r="AV2591" s="4" t="s">
        <v>63</v>
      </c>
      <c r="AW2591" s="4" t="s">
        <v>63</v>
      </c>
      <c r="AX2591" s="4" t="s">
        <v>63</v>
      </c>
      <c r="AY2591" s="4" t="s">
        <v>63</v>
      </c>
      <c r="AZ2591" s="4" t="s">
        <v>63</v>
      </c>
      <c r="BA2591" s="4" t="s">
        <v>63</v>
      </c>
      <c r="BB2591" s="4" t="s">
        <v>63</v>
      </c>
      <c r="BC2591" s="4" t="s">
        <v>63</v>
      </c>
      <c r="BD2591" s="4" t="s">
        <v>63</v>
      </c>
      <c r="BE2591" s="4" t="s">
        <v>63</v>
      </c>
      <c r="BF2591" s="4" t="s">
        <v>63</v>
      </c>
    </row>
    <row r="2592" spans="1:58">
      <c r="A2592" s="4" t="s">
        <v>58</v>
      </c>
      <c r="B2592" s="4" t="s">
        <v>21646</v>
      </c>
      <c r="C2592" s="4" t="s">
        <v>21647</v>
      </c>
      <c r="D2592" s="4" t="s">
        <v>20605</v>
      </c>
      <c r="E2592" s="4" t="s">
        <v>20606</v>
      </c>
      <c r="F2592" s="4">
        <v>2011</v>
      </c>
      <c r="G2592" s="4">
        <v>1</v>
      </c>
      <c r="H2592" s="4">
        <v>89</v>
      </c>
      <c r="I2592" s="4">
        <v>3</v>
      </c>
      <c r="J2592" s="4">
        <v>345</v>
      </c>
      <c r="K2592" s="4">
        <v>347</v>
      </c>
      <c r="L2592" s="4" t="s">
        <v>21648</v>
      </c>
      <c r="M2592" s="4" t="s">
        <v>21649</v>
      </c>
      <c r="N2592" s="4" t="s">
        <v>21650</v>
      </c>
      <c r="O2592" s="4" t="s">
        <v>63</v>
      </c>
      <c r="P2592" s="4"/>
      <c r="Q2592" s="4" t="s">
        <v>63</v>
      </c>
      <c r="R2592" s="4" t="s">
        <v>63</v>
      </c>
      <c r="S2592" s="4" t="s">
        <v>63</v>
      </c>
      <c r="T2592" s="4" t="s">
        <v>63</v>
      </c>
      <c r="U2592" s="4"/>
      <c r="V2592" s="4"/>
      <c r="W2592" s="4"/>
      <c r="X2592" s="4" t="s">
        <v>63</v>
      </c>
      <c r="Y2592" s="4" t="s">
        <v>20609</v>
      </c>
      <c r="Z2592" s="4" t="s">
        <v>63</v>
      </c>
      <c r="AA2592" s="4" t="s">
        <v>63</v>
      </c>
      <c r="AB2592" s="4" t="s">
        <v>21651</v>
      </c>
      <c r="AC2592" s="4" t="s">
        <v>67</v>
      </c>
      <c r="AD2592" s="4" t="s">
        <v>63</v>
      </c>
      <c r="AE2592" s="4" t="s">
        <v>63</v>
      </c>
      <c r="AF2592" s="4" t="s">
        <v>63</v>
      </c>
      <c r="AG2592" s="4" t="s">
        <v>63</v>
      </c>
      <c r="AH2592" s="4" t="s">
        <v>63</v>
      </c>
      <c r="AI2592" s="4" t="s">
        <v>21652</v>
      </c>
      <c r="AJ2592" s="4" t="s">
        <v>63</v>
      </c>
      <c r="AK2592" s="4" t="s">
        <v>63</v>
      </c>
      <c r="AL2592" s="4" t="s">
        <v>63</v>
      </c>
      <c r="AM2592" s="4" t="s">
        <v>21647</v>
      </c>
      <c r="AN2592" s="4" t="s">
        <v>63</v>
      </c>
      <c r="AO2592" s="4" t="s">
        <v>63</v>
      </c>
      <c r="AP2592" s="4" t="s">
        <v>63</v>
      </c>
      <c r="AQ2592" s="4" t="s">
        <v>63</v>
      </c>
      <c r="AR2592" s="4" t="s">
        <v>63</v>
      </c>
      <c r="AS2592" s="4" t="s">
        <v>63</v>
      </c>
      <c r="AT2592" s="4" t="s">
        <v>63</v>
      </c>
      <c r="AU2592" s="4" t="s">
        <v>63</v>
      </c>
      <c r="AV2592" s="4" t="s">
        <v>63</v>
      </c>
      <c r="AW2592" s="4" t="s">
        <v>63</v>
      </c>
      <c r="AX2592" s="4" t="s">
        <v>63</v>
      </c>
      <c r="AY2592" s="4" t="s">
        <v>63</v>
      </c>
      <c r="AZ2592" s="4" t="s">
        <v>63</v>
      </c>
      <c r="BA2592" s="4" t="s">
        <v>63</v>
      </c>
      <c r="BB2592" s="4" t="s">
        <v>63</v>
      </c>
      <c r="BC2592" s="4" t="s">
        <v>63</v>
      </c>
      <c r="BD2592" s="4" t="s">
        <v>63</v>
      </c>
      <c r="BE2592" s="4" t="s">
        <v>63</v>
      </c>
      <c r="BF2592" s="4" t="s">
        <v>63</v>
      </c>
    </row>
    <row r="2593" spans="1:58">
      <c r="A2593" s="4" t="s">
        <v>58</v>
      </c>
      <c r="B2593" s="4" t="s">
        <v>21653</v>
      </c>
      <c r="C2593" s="4" t="s">
        <v>21654</v>
      </c>
      <c r="D2593" s="4" t="s">
        <v>21269</v>
      </c>
      <c r="E2593" s="4" t="s">
        <v>63</v>
      </c>
      <c r="F2593" s="4">
        <v>1999</v>
      </c>
      <c r="G2593" s="4" t="s">
        <v>63</v>
      </c>
      <c r="H2593" s="4">
        <v>22</v>
      </c>
      <c r="I2593" s="4">
        <v>2</v>
      </c>
      <c r="J2593" s="4">
        <v>43</v>
      </c>
      <c r="K2593" s="4">
        <v>49</v>
      </c>
      <c r="L2593" s="4" t="s">
        <v>21655</v>
      </c>
      <c r="M2593" s="4" t="s">
        <v>21656</v>
      </c>
      <c r="N2593" s="4" t="s">
        <v>21657</v>
      </c>
      <c r="O2593" s="4" t="s">
        <v>63</v>
      </c>
      <c r="P2593" s="4"/>
      <c r="Q2593" s="4" t="s">
        <v>63</v>
      </c>
      <c r="R2593" s="4" t="s">
        <v>63</v>
      </c>
      <c r="S2593" s="4" t="s">
        <v>63</v>
      </c>
      <c r="T2593" s="4" t="s">
        <v>63</v>
      </c>
      <c r="U2593" s="4"/>
      <c r="V2593" s="4"/>
      <c r="W2593" s="4"/>
      <c r="X2593" s="4" t="s">
        <v>63</v>
      </c>
      <c r="Y2593" s="4" t="s">
        <v>21658</v>
      </c>
      <c r="Z2593" s="4" t="s">
        <v>63</v>
      </c>
      <c r="AA2593" s="4" t="s">
        <v>63</v>
      </c>
      <c r="AB2593" s="4" t="s">
        <v>21659</v>
      </c>
      <c r="AC2593" s="4" t="s">
        <v>102</v>
      </c>
      <c r="AD2593" s="4" t="s">
        <v>63</v>
      </c>
      <c r="AE2593" s="4" t="s">
        <v>63</v>
      </c>
      <c r="AF2593" s="4" t="s">
        <v>63</v>
      </c>
      <c r="AG2593" s="4" t="s">
        <v>63</v>
      </c>
      <c r="AH2593" s="4" t="s">
        <v>63</v>
      </c>
      <c r="AI2593" s="4" t="s">
        <v>63</v>
      </c>
      <c r="AJ2593" s="4" t="s">
        <v>63</v>
      </c>
      <c r="AK2593" s="4" t="s">
        <v>63</v>
      </c>
      <c r="AL2593" s="4" t="s">
        <v>63</v>
      </c>
      <c r="AM2593" s="4" t="s">
        <v>21654</v>
      </c>
      <c r="AN2593" s="4" t="s">
        <v>63</v>
      </c>
      <c r="AO2593" s="4" t="s">
        <v>63</v>
      </c>
      <c r="AP2593" s="4" t="s">
        <v>63</v>
      </c>
      <c r="AQ2593" s="4" t="s">
        <v>63</v>
      </c>
      <c r="AR2593" s="4" t="s">
        <v>63</v>
      </c>
      <c r="AS2593" s="4" t="s">
        <v>63</v>
      </c>
      <c r="AT2593" s="4" t="s">
        <v>63</v>
      </c>
      <c r="AU2593" s="4" t="s">
        <v>63</v>
      </c>
      <c r="AV2593" s="4" t="s">
        <v>63</v>
      </c>
      <c r="AW2593" s="4" t="s">
        <v>63</v>
      </c>
      <c r="AX2593" s="4" t="s">
        <v>63</v>
      </c>
      <c r="AY2593" s="4" t="s">
        <v>63</v>
      </c>
      <c r="AZ2593" s="4" t="s">
        <v>63</v>
      </c>
      <c r="BA2593" s="4" t="s">
        <v>63</v>
      </c>
      <c r="BB2593" s="4" t="s">
        <v>63</v>
      </c>
      <c r="BC2593" s="4" t="s">
        <v>63</v>
      </c>
      <c r="BD2593" s="4" t="s">
        <v>63</v>
      </c>
      <c r="BE2593" s="4" t="s">
        <v>63</v>
      </c>
      <c r="BF2593" s="4" t="s">
        <v>63</v>
      </c>
    </row>
    <row r="2594" spans="1:58">
      <c r="A2594" s="4" t="s">
        <v>58</v>
      </c>
      <c r="B2594" s="4" t="s">
        <v>21660</v>
      </c>
      <c r="C2594" s="4" t="s">
        <v>21661</v>
      </c>
      <c r="D2594" s="4" t="s">
        <v>16677</v>
      </c>
      <c r="E2594" s="4" t="s">
        <v>63</v>
      </c>
      <c r="F2594" s="4">
        <v>2011</v>
      </c>
      <c r="G2594" s="4" t="s">
        <v>15165</v>
      </c>
      <c r="H2594" s="4">
        <v>29</v>
      </c>
      <c r="I2594" s="4">
        <v>2</v>
      </c>
      <c r="J2594" s="4">
        <v>158</v>
      </c>
      <c r="K2594" s="4">
        <v>169</v>
      </c>
      <c r="L2594" s="4" t="s">
        <v>21662</v>
      </c>
      <c r="M2594" s="4" t="s">
        <v>21663</v>
      </c>
      <c r="N2594" s="4" t="s">
        <v>21664</v>
      </c>
      <c r="O2594" s="4" t="s">
        <v>63</v>
      </c>
      <c r="P2594" s="4"/>
      <c r="Q2594" s="4" t="s">
        <v>63</v>
      </c>
      <c r="R2594" s="4" t="s">
        <v>63</v>
      </c>
      <c r="S2594" s="4" t="s">
        <v>63</v>
      </c>
      <c r="T2594" s="4" t="s">
        <v>63</v>
      </c>
      <c r="U2594" s="4"/>
      <c r="V2594" s="4"/>
      <c r="W2594" s="4"/>
      <c r="X2594" s="4" t="s">
        <v>63</v>
      </c>
      <c r="Y2594" s="4" t="s">
        <v>17320</v>
      </c>
      <c r="Z2594" s="4" t="s">
        <v>63</v>
      </c>
      <c r="AA2594" s="4" t="s">
        <v>63</v>
      </c>
      <c r="AB2594" s="4" t="s">
        <v>21665</v>
      </c>
      <c r="AC2594" s="4" t="s">
        <v>67</v>
      </c>
      <c r="AD2594" s="4" t="s">
        <v>63</v>
      </c>
      <c r="AE2594" s="4" t="s">
        <v>63</v>
      </c>
      <c r="AF2594" s="4" t="s">
        <v>63</v>
      </c>
      <c r="AG2594" s="4" t="s">
        <v>63</v>
      </c>
      <c r="AH2594" s="4" t="s">
        <v>63</v>
      </c>
      <c r="AI2594" s="4" t="s">
        <v>21666</v>
      </c>
      <c r="AJ2594" s="4" t="s">
        <v>63</v>
      </c>
      <c r="AK2594" s="4" t="s">
        <v>63</v>
      </c>
      <c r="AL2594" s="4" t="s">
        <v>63</v>
      </c>
      <c r="AM2594" s="4" t="s">
        <v>21661</v>
      </c>
      <c r="AN2594" s="4" t="s">
        <v>63</v>
      </c>
      <c r="AO2594" s="4" t="s">
        <v>63</v>
      </c>
      <c r="AP2594" s="4" t="s">
        <v>63</v>
      </c>
      <c r="AQ2594" s="4" t="s">
        <v>63</v>
      </c>
      <c r="AR2594" s="4" t="s">
        <v>63</v>
      </c>
      <c r="AS2594" s="4" t="s">
        <v>63</v>
      </c>
      <c r="AT2594" s="4" t="s">
        <v>63</v>
      </c>
      <c r="AU2594" s="4" t="s">
        <v>63</v>
      </c>
      <c r="AV2594" s="4" t="s">
        <v>63</v>
      </c>
      <c r="AW2594" s="4" t="s">
        <v>63</v>
      </c>
      <c r="AX2594" s="4" t="s">
        <v>63</v>
      </c>
      <c r="AY2594" s="4" t="s">
        <v>63</v>
      </c>
      <c r="AZ2594" s="4" t="s">
        <v>63</v>
      </c>
      <c r="BA2594" s="4" t="s">
        <v>63</v>
      </c>
      <c r="BB2594" s="4" t="s">
        <v>63</v>
      </c>
      <c r="BC2594" s="4" t="s">
        <v>63</v>
      </c>
      <c r="BD2594" s="4" t="s">
        <v>63</v>
      </c>
      <c r="BE2594" s="4" t="s">
        <v>63</v>
      </c>
      <c r="BF2594" s="4" t="s">
        <v>63</v>
      </c>
    </row>
    <row r="2595" spans="1:58">
      <c r="A2595" s="4" t="s">
        <v>58</v>
      </c>
      <c r="B2595" s="4" t="s">
        <v>21667</v>
      </c>
      <c r="C2595" s="4" t="s">
        <v>21668</v>
      </c>
      <c r="D2595" s="4" t="s">
        <v>1184</v>
      </c>
      <c r="E2595" s="4" t="s">
        <v>1185</v>
      </c>
      <c r="F2595" s="4">
        <v>1974</v>
      </c>
      <c r="G2595" s="4" t="s">
        <v>63</v>
      </c>
      <c r="H2595" s="4">
        <v>49</v>
      </c>
      <c r="I2595" s="4">
        <v>9</v>
      </c>
      <c r="J2595" s="4">
        <v>823</v>
      </c>
      <c r="K2595" s="4">
        <v>833</v>
      </c>
      <c r="L2595" s="4" t="s">
        <v>21669</v>
      </c>
      <c r="M2595" s="4" t="s">
        <v>21670</v>
      </c>
      <c r="N2595" s="4" t="s">
        <v>21671</v>
      </c>
      <c r="O2595" s="4" t="s">
        <v>63</v>
      </c>
      <c r="P2595" s="4"/>
      <c r="Q2595" s="4" t="s">
        <v>63</v>
      </c>
      <c r="R2595" s="4" t="s">
        <v>63</v>
      </c>
      <c r="S2595" s="4" t="s">
        <v>63</v>
      </c>
      <c r="T2595" s="4" t="s">
        <v>63</v>
      </c>
      <c r="U2595" s="4"/>
      <c r="V2595" s="4"/>
      <c r="W2595" s="4"/>
      <c r="X2595" s="4" t="s">
        <v>63</v>
      </c>
      <c r="Y2595" s="4" t="s">
        <v>1188</v>
      </c>
      <c r="Z2595" s="4" t="s">
        <v>63</v>
      </c>
      <c r="AA2595" s="4" t="s">
        <v>63</v>
      </c>
      <c r="AB2595" s="4">
        <v>1975109735</v>
      </c>
      <c r="AC2595" s="4" t="s">
        <v>67</v>
      </c>
      <c r="AD2595" s="4" t="s">
        <v>63</v>
      </c>
      <c r="AE2595" s="4" t="s">
        <v>63</v>
      </c>
      <c r="AF2595" s="4" t="s">
        <v>63</v>
      </c>
      <c r="AG2595" s="4" t="s">
        <v>21672</v>
      </c>
      <c r="AH2595" s="4" t="s">
        <v>63</v>
      </c>
      <c r="AI2595" s="4" t="s">
        <v>63</v>
      </c>
      <c r="AJ2595" s="4" t="s">
        <v>63</v>
      </c>
      <c r="AK2595" s="4" t="s">
        <v>63</v>
      </c>
      <c r="AL2595" s="4" t="s">
        <v>63</v>
      </c>
      <c r="AM2595" s="4" t="s">
        <v>21673</v>
      </c>
      <c r="AN2595" s="4" t="s">
        <v>63</v>
      </c>
      <c r="AO2595" s="4" t="s">
        <v>63</v>
      </c>
      <c r="AP2595" s="4" t="s">
        <v>63</v>
      </c>
      <c r="AQ2595" s="4" t="s">
        <v>63</v>
      </c>
      <c r="AR2595" s="4" t="s">
        <v>63</v>
      </c>
      <c r="AS2595" s="4" t="s">
        <v>63</v>
      </c>
      <c r="AT2595" s="4" t="s">
        <v>63</v>
      </c>
      <c r="AU2595" s="4" t="s">
        <v>63</v>
      </c>
      <c r="AV2595" s="4" t="s">
        <v>63</v>
      </c>
      <c r="AW2595" s="4" t="s">
        <v>63</v>
      </c>
      <c r="AX2595" s="4" t="s">
        <v>63</v>
      </c>
      <c r="AY2595" s="4" t="s">
        <v>63</v>
      </c>
      <c r="AZ2595" s="4" t="s">
        <v>63</v>
      </c>
      <c r="BA2595" s="4" t="s">
        <v>63</v>
      </c>
      <c r="BB2595" s="4" t="s">
        <v>63</v>
      </c>
      <c r="BC2595" s="4" t="s">
        <v>63</v>
      </c>
      <c r="BD2595" s="4" t="s">
        <v>63</v>
      </c>
      <c r="BE2595" s="4" t="s">
        <v>63</v>
      </c>
      <c r="BF2595" s="4" t="s">
        <v>63</v>
      </c>
    </row>
    <row r="2596" spans="1:58">
      <c r="A2596" s="4" t="s">
        <v>58</v>
      </c>
      <c r="B2596" s="4" t="s">
        <v>21674</v>
      </c>
      <c r="C2596" s="4" t="s">
        <v>21675</v>
      </c>
      <c r="D2596" s="4" t="s">
        <v>991</v>
      </c>
      <c r="E2596" s="4" t="s">
        <v>992</v>
      </c>
      <c r="F2596" s="4">
        <v>2010</v>
      </c>
      <c r="G2596" s="4" t="s">
        <v>15389</v>
      </c>
      <c r="H2596" s="4">
        <v>16</v>
      </c>
      <c r="I2596" s="4">
        <v>2</v>
      </c>
      <c r="J2596" s="4">
        <v>78</v>
      </c>
      <c r="K2596" s="4">
        <v>84</v>
      </c>
      <c r="L2596" s="4" t="s">
        <v>21676</v>
      </c>
      <c r="M2596" s="4" t="s">
        <v>21677</v>
      </c>
      <c r="N2596" s="4" t="s">
        <v>21678</v>
      </c>
      <c r="O2596" s="4" t="s">
        <v>63</v>
      </c>
      <c r="P2596" s="4"/>
      <c r="Q2596" s="4" t="s">
        <v>63</v>
      </c>
      <c r="R2596" s="4" t="s">
        <v>63</v>
      </c>
      <c r="S2596" s="4" t="s">
        <v>63</v>
      </c>
      <c r="T2596" s="4" t="s">
        <v>63</v>
      </c>
      <c r="U2596" s="4"/>
      <c r="V2596" s="4"/>
      <c r="W2596" s="4"/>
      <c r="X2596" s="4" t="s">
        <v>63</v>
      </c>
      <c r="Y2596" s="4" t="s">
        <v>21679</v>
      </c>
      <c r="Z2596" s="4" t="s">
        <v>63</v>
      </c>
      <c r="AA2596" s="4" t="s">
        <v>63</v>
      </c>
      <c r="AB2596" s="4">
        <v>2010198983</v>
      </c>
      <c r="AC2596" s="4" t="s">
        <v>67</v>
      </c>
      <c r="AD2596" s="4" t="s">
        <v>63</v>
      </c>
      <c r="AE2596" s="4" t="s">
        <v>63</v>
      </c>
      <c r="AF2596" s="4" t="s">
        <v>63</v>
      </c>
      <c r="AG2596" s="4" t="s">
        <v>21680</v>
      </c>
      <c r="AH2596" s="4" t="s">
        <v>63</v>
      </c>
      <c r="AI2596" s="4" t="s">
        <v>21681</v>
      </c>
      <c r="AJ2596" s="4" t="s">
        <v>63</v>
      </c>
      <c r="AK2596" s="4" t="s">
        <v>63</v>
      </c>
      <c r="AL2596" s="4" t="s">
        <v>63</v>
      </c>
      <c r="AM2596" s="4" t="s">
        <v>21682</v>
      </c>
      <c r="AN2596" s="4" t="s">
        <v>63</v>
      </c>
      <c r="AO2596" s="4" t="s">
        <v>63</v>
      </c>
      <c r="AP2596" s="4" t="s">
        <v>63</v>
      </c>
      <c r="AQ2596" s="4" t="s">
        <v>63</v>
      </c>
      <c r="AR2596" s="4" t="s">
        <v>63</v>
      </c>
      <c r="AS2596" s="4" t="s">
        <v>63</v>
      </c>
      <c r="AT2596" s="4" t="s">
        <v>63</v>
      </c>
      <c r="AU2596" s="4" t="s">
        <v>63</v>
      </c>
      <c r="AV2596" s="4" t="s">
        <v>63</v>
      </c>
      <c r="AW2596" s="4" t="s">
        <v>63</v>
      </c>
      <c r="AX2596" s="4" t="s">
        <v>63</v>
      </c>
      <c r="AY2596" s="4" t="s">
        <v>63</v>
      </c>
      <c r="AZ2596" s="4" t="s">
        <v>63</v>
      </c>
      <c r="BA2596" s="4" t="s">
        <v>63</v>
      </c>
      <c r="BB2596" s="4" t="s">
        <v>63</v>
      </c>
      <c r="BC2596" s="4" t="s">
        <v>63</v>
      </c>
      <c r="BD2596" s="4" t="s">
        <v>63</v>
      </c>
      <c r="BE2596" s="4" t="s">
        <v>63</v>
      </c>
      <c r="BF2596" s="4" t="s">
        <v>63</v>
      </c>
    </row>
    <row r="2597" spans="1:58">
      <c r="A2597" s="4" t="s">
        <v>58</v>
      </c>
      <c r="B2597" s="4" t="s">
        <v>21683</v>
      </c>
      <c r="C2597" s="4" t="s">
        <v>21684</v>
      </c>
      <c r="D2597" s="4" t="s">
        <v>21685</v>
      </c>
      <c r="E2597" s="4" t="s">
        <v>63</v>
      </c>
      <c r="F2597" s="4">
        <v>2015</v>
      </c>
      <c r="G2597" s="4" t="s">
        <v>63</v>
      </c>
      <c r="H2597" s="4">
        <v>51</v>
      </c>
      <c r="I2597" s="4">
        <v>4</v>
      </c>
      <c r="J2597" s="4">
        <v>86</v>
      </c>
      <c r="K2597" s="4">
        <v>88</v>
      </c>
      <c r="L2597" s="4" t="s">
        <v>21686</v>
      </c>
      <c r="M2597" s="4" t="s">
        <v>21687</v>
      </c>
      <c r="N2597" s="4" t="s">
        <v>21688</v>
      </c>
      <c r="O2597" s="4" t="s">
        <v>63</v>
      </c>
      <c r="P2597" s="4"/>
      <c r="Q2597" s="4" t="s">
        <v>63</v>
      </c>
      <c r="R2597" s="4" t="s">
        <v>63</v>
      </c>
      <c r="S2597" s="4" t="s">
        <v>63</v>
      </c>
      <c r="T2597" s="4" t="s">
        <v>63</v>
      </c>
      <c r="U2597" s="4"/>
      <c r="V2597" s="4"/>
      <c r="W2597" s="4"/>
      <c r="X2597" s="4" t="s">
        <v>63</v>
      </c>
      <c r="Y2597" s="4" t="s">
        <v>21689</v>
      </c>
      <c r="Z2597" s="4" t="s">
        <v>63</v>
      </c>
      <c r="AA2597" s="4" t="s">
        <v>63</v>
      </c>
      <c r="AB2597" s="4" t="s">
        <v>21690</v>
      </c>
      <c r="AC2597" s="4" t="s">
        <v>67</v>
      </c>
      <c r="AD2597" s="4" t="s">
        <v>63</v>
      </c>
      <c r="AE2597" s="4" t="s">
        <v>63</v>
      </c>
      <c r="AF2597" s="4" t="s">
        <v>63</v>
      </c>
      <c r="AG2597" s="4" t="s">
        <v>63</v>
      </c>
      <c r="AH2597" s="4" t="s">
        <v>63</v>
      </c>
      <c r="AI2597" s="4" t="s">
        <v>63</v>
      </c>
      <c r="AJ2597" s="4" t="s">
        <v>63</v>
      </c>
      <c r="AK2597" s="4" t="s">
        <v>63</v>
      </c>
      <c r="AL2597" s="4" t="s">
        <v>63</v>
      </c>
      <c r="AM2597" s="4" t="s">
        <v>21684</v>
      </c>
      <c r="AN2597" s="4" t="s">
        <v>63</v>
      </c>
      <c r="AO2597" s="4" t="s">
        <v>63</v>
      </c>
      <c r="AP2597" s="4" t="s">
        <v>63</v>
      </c>
      <c r="AQ2597" s="4" t="s">
        <v>63</v>
      </c>
      <c r="AR2597" s="4" t="s">
        <v>63</v>
      </c>
      <c r="AS2597" s="4" t="s">
        <v>63</v>
      </c>
      <c r="AT2597" s="4" t="s">
        <v>63</v>
      </c>
      <c r="AU2597" s="4" t="s">
        <v>63</v>
      </c>
      <c r="AV2597" s="4" t="s">
        <v>63</v>
      </c>
      <c r="AW2597" s="4" t="s">
        <v>63</v>
      </c>
      <c r="AX2597" s="4" t="s">
        <v>63</v>
      </c>
      <c r="AY2597" s="4" t="s">
        <v>63</v>
      </c>
      <c r="AZ2597" s="4" t="s">
        <v>63</v>
      </c>
      <c r="BA2597" s="4" t="s">
        <v>63</v>
      </c>
      <c r="BB2597" s="4" t="s">
        <v>63</v>
      </c>
      <c r="BC2597" s="4" t="s">
        <v>63</v>
      </c>
      <c r="BD2597" s="4" t="s">
        <v>63</v>
      </c>
      <c r="BE2597" s="4" t="s">
        <v>63</v>
      </c>
      <c r="BF2597" s="4" t="s">
        <v>63</v>
      </c>
    </row>
    <row r="2598" spans="1:58">
      <c r="A2598" s="4" t="s">
        <v>58</v>
      </c>
      <c r="B2598" s="4" t="s">
        <v>21691</v>
      </c>
      <c r="C2598" s="4" t="s">
        <v>21692</v>
      </c>
      <c r="D2598" s="4" t="s">
        <v>1829</v>
      </c>
      <c r="E2598" s="4" t="s">
        <v>1830</v>
      </c>
      <c r="F2598" s="4">
        <v>2000</v>
      </c>
      <c r="G2598" s="4" t="s">
        <v>15165</v>
      </c>
      <c r="H2598" s="4">
        <v>93</v>
      </c>
      <c r="I2598" s="4">
        <v>4</v>
      </c>
      <c r="J2598" s="4">
        <v>406</v>
      </c>
      <c r="K2598" s="4">
        <v>414</v>
      </c>
      <c r="L2598" s="4" t="s">
        <v>21693</v>
      </c>
      <c r="M2598" s="4" t="s">
        <v>21694</v>
      </c>
      <c r="N2598" s="4" t="s">
        <v>21695</v>
      </c>
      <c r="O2598" s="4" t="s">
        <v>63</v>
      </c>
      <c r="P2598" s="4"/>
      <c r="Q2598" s="4" t="s">
        <v>63</v>
      </c>
      <c r="R2598" s="4" t="s">
        <v>63</v>
      </c>
      <c r="S2598" s="4" t="s">
        <v>63</v>
      </c>
      <c r="T2598" s="4" t="s">
        <v>63</v>
      </c>
      <c r="U2598" s="4"/>
      <c r="V2598" s="4"/>
      <c r="W2598" s="4"/>
      <c r="X2598" s="4" t="s">
        <v>63</v>
      </c>
      <c r="Y2598" s="4" t="s">
        <v>1834</v>
      </c>
      <c r="Z2598" s="4" t="s">
        <v>63</v>
      </c>
      <c r="AA2598" s="4" t="s">
        <v>63</v>
      </c>
      <c r="AB2598" s="4">
        <v>2000158999</v>
      </c>
      <c r="AC2598" s="4" t="s">
        <v>67</v>
      </c>
      <c r="AD2598" s="4" t="s">
        <v>63</v>
      </c>
      <c r="AE2598" s="4" t="s">
        <v>63</v>
      </c>
      <c r="AF2598" s="4" t="s">
        <v>63</v>
      </c>
      <c r="AG2598" s="4" t="s">
        <v>21696</v>
      </c>
      <c r="AH2598" s="4" t="s">
        <v>63</v>
      </c>
      <c r="AI2598" s="4" t="s">
        <v>63</v>
      </c>
      <c r="AJ2598" s="4" t="s">
        <v>63</v>
      </c>
      <c r="AK2598" s="4" t="s">
        <v>63</v>
      </c>
      <c r="AL2598" s="4" t="s">
        <v>63</v>
      </c>
      <c r="AM2598" s="4" t="s">
        <v>21697</v>
      </c>
      <c r="AN2598" s="4" t="s">
        <v>63</v>
      </c>
      <c r="AO2598" s="4" t="s">
        <v>63</v>
      </c>
      <c r="AP2598" s="4" t="s">
        <v>63</v>
      </c>
      <c r="AQ2598" s="4" t="s">
        <v>63</v>
      </c>
      <c r="AR2598" s="4" t="s">
        <v>63</v>
      </c>
      <c r="AS2598" s="4" t="s">
        <v>63</v>
      </c>
      <c r="AT2598" s="4" t="s">
        <v>63</v>
      </c>
      <c r="AU2598" s="4" t="s">
        <v>63</v>
      </c>
      <c r="AV2598" s="4" t="s">
        <v>63</v>
      </c>
      <c r="AW2598" s="4" t="s">
        <v>63</v>
      </c>
      <c r="AX2598" s="4" t="s">
        <v>63</v>
      </c>
      <c r="AY2598" s="4" t="s">
        <v>63</v>
      </c>
      <c r="AZ2598" s="4" t="s">
        <v>63</v>
      </c>
      <c r="BA2598" s="4" t="s">
        <v>63</v>
      </c>
      <c r="BB2598" s="4" t="s">
        <v>63</v>
      </c>
      <c r="BC2598" s="4" t="s">
        <v>63</v>
      </c>
      <c r="BD2598" s="4" t="s">
        <v>63</v>
      </c>
      <c r="BE2598" s="4" t="s">
        <v>63</v>
      </c>
      <c r="BF2598" s="4" t="s">
        <v>63</v>
      </c>
    </row>
    <row r="2599" spans="1:58">
      <c r="A2599" s="4" t="s">
        <v>58</v>
      </c>
      <c r="B2599" s="4" t="s">
        <v>21698</v>
      </c>
      <c r="C2599" s="4" t="s">
        <v>21699</v>
      </c>
      <c r="D2599" s="4" t="s">
        <v>16219</v>
      </c>
      <c r="E2599" s="4" t="s">
        <v>63</v>
      </c>
      <c r="F2599" s="4">
        <v>1993</v>
      </c>
      <c r="G2599" s="4" t="s">
        <v>63</v>
      </c>
      <c r="H2599" s="4">
        <v>39</v>
      </c>
      <c r="I2599" s="4">
        <v>6</v>
      </c>
      <c r="J2599" s="4">
        <v>399</v>
      </c>
      <c r="K2599" s="4">
        <v>423</v>
      </c>
      <c r="L2599" s="4" t="s">
        <v>21700</v>
      </c>
      <c r="M2599" s="4" t="s">
        <v>21701</v>
      </c>
      <c r="N2599" s="4" t="s">
        <v>21702</v>
      </c>
      <c r="O2599" s="4" t="s">
        <v>63</v>
      </c>
      <c r="P2599" s="4"/>
      <c r="Q2599" s="4" t="s">
        <v>63</v>
      </c>
      <c r="R2599" s="4" t="s">
        <v>63</v>
      </c>
      <c r="S2599" s="4" t="s">
        <v>63</v>
      </c>
      <c r="T2599" s="4" t="s">
        <v>63</v>
      </c>
      <c r="U2599" s="4"/>
      <c r="V2599" s="4"/>
      <c r="W2599" s="4"/>
      <c r="X2599" s="4" t="s">
        <v>63</v>
      </c>
      <c r="Y2599" s="4" t="s">
        <v>16223</v>
      </c>
      <c r="Z2599" s="4" t="s">
        <v>63</v>
      </c>
      <c r="AA2599" s="4" t="s">
        <v>63</v>
      </c>
      <c r="AB2599" s="4" t="s">
        <v>21703</v>
      </c>
      <c r="AC2599" s="4" t="s">
        <v>102</v>
      </c>
      <c r="AD2599" s="4" t="s">
        <v>63</v>
      </c>
      <c r="AE2599" s="4" t="s">
        <v>63</v>
      </c>
      <c r="AF2599" s="4" t="s">
        <v>63</v>
      </c>
      <c r="AG2599" s="4" t="s">
        <v>63</v>
      </c>
      <c r="AH2599" s="4" t="s">
        <v>63</v>
      </c>
      <c r="AI2599" s="4" t="s">
        <v>63</v>
      </c>
      <c r="AJ2599" s="4" t="s">
        <v>63</v>
      </c>
      <c r="AK2599" s="4" t="s">
        <v>63</v>
      </c>
      <c r="AL2599" s="4" t="s">
        <v>63</v>
      </c>
      <c r="AM2599" s="4" t="s">
        <v>21704</v>
      </c>
      <c r="AN2599" s="4" t="s">
        <v>63</v>
      </c>
      <c r="AO2599" s="4" t="s">
        <v>63</v>
      </c>
      <c r="AP2599" s="4" t="s">
        <v>63</v>
      </c>
      <c r="AQ2599" s="4" t="s">
        <v>63</v>
      </c>
      <c r="AR2599" s="4" t="s">
        <v>63</v>
      </c>
      <c r="AS2599" s="4" t="s">
        <v>63</v>
      </c>
      <c r="AT2599" s="4" t="s">
        <v>63</v>
      </c>
      <c r="AU2599" s="4" t="s">
        <v>63</v>
      </c>
      <c r="AV2599" s="4" t="s">
        <v>63</v>
      </c>
      <c r="AW2599" s="4" t="s">
        <v>63</v>
      </c>
      <c r="AX2599" s="4" t="s">
        <v>63</v>
      </c>
      <c r="AY2599" s="4" t="s">
        <v>63</v>
      </c>
      <c r="AZ2599" s="4" t="s">
        <v>63</v>
      </c>
      <c r="BA2599" s="4" t="s">
        <v>63</v>
      </c>
      <c r="BB2599" s="4" t="s">
        <v>63</v>
      </c>
      <c r="BC2599" s="4" t="s">
        <v>63</v>
      </c>
      <c r="BD2599" s="4" t="s">
        <v>63</v>
      </c>
      <c r="BE2599" s="4" t="s">
        <v>63</v>
      </c>
      <c r="BF2599" s="4" t="s">
        <v>63</v>
      </c>
    </row>
    <row r="2600" spans="1:58">
      <c r="A2600" s="4" t="s">
        <v>58</v>
      </c>
      <c r="B2600" s="4" t="s">
        <v>21705</v>
      </c>
      <c r="C2600" s="4" t="s">
        <v>21706</v>
      </c>
      <c r="D2600" s="4" t="s">
        <v>21707</v>
      </c>
      <c r="E2600" s="4" t="s">
        <v>63</v>
      </c>
      <c r="F2600" s="4">
        <v>2015</v>
      </c>
      <c r="G2600" s="4" t="s">
        <v>15472</v>
      </c>
      <c r="H2600" s="4">
        <v>10</v>
      </c>
      <c r="I2600" s="4">
        <v>9</v>
      </c>
      <c r="J2600" s="4" t="s">
        <v>21708</v>
      </c>
      <c r="K2600" s="4" t="s">
        <v>63</v>
      </c>
      <c r="L2600" s="4" t="s">
        <v>21709</v>
      </c>
      <c r="M2600" s="4" t="s">
        <v>21710</v>
      </c>
      <c r="N2600" s="4" t="s">
        <v>21711</v>
      </c>
      <c r="O2600" s="4" t="s">
        <v>63</v>
      </c>
      <c r="P2600" s="4"/>
      <c r="Q2600" s="4" t="s">
        <v>63</v>
      </c>
      <c r="R2600" s="4" t="s">
        <v>63</v>
      </c>
      <c r="S2600" s="4" t="s">
        <v>63</v>
      </c>
      <c r="T2600" s="4" t="s">
        <v>63</v>
      </c>
      <c r="U2600" s="4"/>
      <c r="V2600" s="4"/>
      <c r="W2600" s="4"/>
      <c r="X2600" s="4" t="s">
        <v>63</v>
      </c>
      <c r="Y2600" s="4" t="s">
        <v>21712</v>
      </c>
      <c r="Z2600" s="4" t="s">
        <v>63</v>
      </c>
      <c r="AA2600" s="4" t="s">
        <v>63</v>
      </c>
      <c r="AB2600" s="4" t="s">
        <v>63</v>
      </c>
      <c r="AC2600" s="4" t="s">
        <v>67</v>
      </c>
      <c r="AD2600" s="4" t="s">
        <v>63</v>
      </c>
      <c r="AE2600" s="4" t="s">
        <v>63</v>
      </c>
      <c r="AF2600" s="4" t="s">
        <v>63</v>
      </c>
      <c r="AG2600" s="4" t="s">
        <v>63</v>
      </c>
      <c r="AH2600" s="4" t="s">
        <v>63</v>
      </c>
      <c r="AI2600" s="4" t="s">
        <v>63</v>
      </c>
      <c r="AJ2600" s="4" t="s">
        <v>63</v>
      </c>
      <c r="AK2600" s="4" t="s">
        <v>63</v>
      </c>
      <c r="AL2600" s="4" t="s">
        <v>63</v>
      </c>
      <c r="AM2600" s="4" t="s">
        <v>21706</v>
      </c>
      <c r="AN2600" s="4" t="s">
        <v>63</v>
      </c>
      <c r="AO2600" s="4" t="s">
        <v>63</v>
      </c>
      <c r="AP2600" s="4" t="s">
        <v>63</v>
      </c>
      <c r="AQ2600" s="4" t="s">
        <v>63</v>
      </c>
      <c r="AR2600" s="4" t="s">
        <v>63</v>
      </c>
      <c r="AS2600" s="4" t="s">
        <v>63</v>
      </c>
      <c r="AT2600" s="4" t="s">
        <v>63</v>
      </c>
      <c r="AU2600" s="4" t="s">
        <v>63</v>
      </c>
      <c r="AV2600" s="4" t="s">
        <v>63</v>
      </c>
      <c r="AW2600" s="4" t="s">
        <v>63</v>
      </c>
      <c r="AX2600" s="4" t="s">
        <v>63</v>
      </c>
      <c r="AY2600" s="4" t="s">
        <v>63</v>
      </c>
      <c r="AZ2600" s="4" t="s">
        <v>63</v>
      </c>
      <c r="BA2600" s="4" t="s">
        <v>63</v>
      </c>
      <c r="BB2600" s="4" t="s">
        <v>63</v>
      </c>
      <c r="BC2600" s="4" t="s">
        <v>63</v>
      </c>
      <c r="BD2600" s="4" t="s">
        <v>63</v>
      </c>
      <c r="BE2600" s="4" t="s">
        <v>63</v>
      </c>
      <c r="BF2600" s="4" t="s">
        <v>63</v>
      </c>
    </row>
    <row r="2601" spans="1:58">
      <c r="A2601" s="4" t="s">
        <v>58</v>
      </c>
      <c r="B2601" s="4" t="s">
        <v>21713</v>
      </c>
      <c r="C2601" s="4" t="s">
        <v>21714</v>
      </c>
      <c r="D2601" s="4" t="s">
        <v>21715</v>
      </c>
      <c r="E2601" s="4" t="s">
        <v>21715</v>
      </c>
      <c r="F2601" s="4">
        <v>2017</v>
      </c>
      <c r="G2601" s="4">
        <v>1</v>
      </c>
      <c r="H2601" s="4" t="s">
        <v>21716</v>
      </c>
      <c r="I2601" s="4" t="s">
        <v>63</v>
      </c>
      <c r="J2601" s="4" t="s">
        <v>21717</v>
      </c>
      <c r="K2601" s="4" t="s">
        <v>63</v>
      </c>
      <c r="L2601" s="4" t="s">
        <v>21718</v>
      </c>
      <c r="M2601" s="4" t="s">
        <v>21719</v>
      </c>
      <c r="N2601" s="4" t="s">
        <v>21720</v>
      </c>
      <c r="O2601" s="4" t="s">
        <v>63</v>
      </c>
      <c r="P2601" s="4"/>
      <c r="Q2601" s="4" t="s">
        <v>63</v>
      </c>
      <c r="R2601" s="4" t="s">
        <v>63</v>
      </c>
      <c r="S2601" s="4" t="s">
        <v>63</v>
      </c>
      <c r="T2601" s="4" t="s">
        <v>63</v>
      </c>
      <c r="U2601" s="4"/>
      <c r="V2601" s="4"/>
      <c r="W2601" s="4"/>
      <c r="X2601" s="4" t="s">
        <v>63</v>
      </c>
      <c r="Y2601" s="4" t="s">
        <v>21721</v>
      </c>
      <c r="Z2601" s="4" t="s">
        <v>63</v>
      </c>
      <c r="AA2601" s="4" t="s">
        <v>63</v>
      </c>
      <c r="AB2601" s="4" t="s">
        <v>63</v>
      </c>
      <c r="AC2601" s="4" t="s">
        <v>67</v>
      </c>
      <c r="AD2601" s="4" t="s">
        <v>63</v>
      </c>
      <c r="AE2601" s="4" t="s">
        <v>63</v>
      </c>
      <c r="AF2601" s="4" t="s">
        <v>63</v>
      </c>
      <c r="AG2601" s="4" t="s">
        <v>63</v>
      </c>
      <c r="AH2601" s="4" t="s">
        <v>63</v>
      </c>
      <c r="AI2601" s="4" t="s">
        <v>63</v>
      </c>
      <c r="AJ2601" s="4" t="s">
        <v>63</v>
      </c>
      <c r="AK2601" s="4" t="s">
        <v>63</v>
      </c>
      <c r="AL2601" s="4" t="s">
        <v>63</v>
      </c>
      <c r="AM2601" s="4" t="s">
        <v>21714</v>
      </c>
      <c r="AN2601" s="4" t="s">
        <v>63</v>
      </c>
      <c r="AO2601" s="4" t="s">
        <v>63</v>
      </c>
      <c r="AP2601" s="4" t="s">
        <v>63</v>
      </c>
      <c r="AQ2601" s="4" t="s">
        <v>63</v>
      </c>
      <c r="AR2601" s="4" t="s">
        <v>63</v>
      </c>
      <c r="AS2601" s="4" t="s">
        <v>63</v>
      </c>
      <c r="AT2601" s="4" t="s">
        <v>63</v>
      </c>
      <c r="AU2601" s="4" t="s">
        <v>63</v>
      </c>
      <c r="AV2601" s="4" t="s">
        <v>63</v>
      </c>
      <c r="AW2601" s="4" t="s">
        <v>63</v>
      </c>
      <c r="AX2601" s="4" t="s">
        <v>63</v>
      </c>
      <c r="AY2601" s="4" t="s">
        <v>63</v>
      </c>
      <c r="AZ2601" s="4" t="s">
        <v>63</v>
      </c>
      <c r="BA2601" s="4" t="s">
        <v>63</v>
      </c>
      <c r="BB2601" s="4" t="s">
        <v>63</v>
      </c>
      <c r="BC2601" s="4" t="s">
        <v>63</v>
      </c>
      <c r="BD2601" s="4" t="s">
        <v>63</v>
      </c>
      <c r="BE2601" s="4" t="s">
        <v>63</v>
      </c>
      <c r="BF2601" s="4" t="s">
        <v>63</v>
      </c>
    </row>
    <row r="2602" spans="1:58">
      <c r="A2602" s="4" t="s">
        <v>58</v>
      </c>
      <c r="B2602" s="4" t="s">
        <v>21722</v>
      </c>
      <c r="C2602" s="4" t="s">
        <v>21723</v>
      </c>
      <c r="D2602" s="4" t="s">
        <v>17683</v>
      </c>
      <c r="E2602" s="4" t="s">
        <v>63</v>
      </c>
      <c r="F2602" s="4">
        <v>2007</v>
      </c>
      <c r="G2602" s="4" t="s">
        <v>16321</v>
      </c>
      <c r="H2602" s="4">
        <v>9</v>
      </c>
      <c r="I2602" s="4">
        <v>3</v>
      </c>
      <c r="J2602" s="4">
        <v>605</v>
      </c>
      <c r="K2602" s="4">
        <v>609</v>
      </c>
      <c r="L2602" s="4" t="s">
        <v>21724</v>
      </c>
      <c r="M2602" s="4" t="s">
        <v>21725</v>
      </c>
      <c r="N2602" s="4" t="s">
        <v>21726</v>
      </c>
      <c r="O2602" s="4" t="s">
        <v>63</v>
      </c>
      <c r="P2602" s="4"/>
      <c r="Q2602" s="4" t="s">
        <v>63</v>
      </c>
      <c r="R2602" s="4" t="s">
        <v>63</v>
      </c>
      <c r="S2602" s="4" t="s">
        <v>63</v>
      </c>
      <c r="T2602" s="4" t="s">
        <v>63</v>
      </c>
      <c r="U2602" s="4"/>
      <c r="V2602" s="4"/>
      <c r="W2602" s="4"/>
      <c r="X2602" s="4" t="s">
        <v>63</v>
      </c>
      <c r="Y2602" s="4" t="s">
        <v>17687</v>
      </c>
      <c r="Z2602" s="4" t="s">
        <v>63</v>
      </c>
      <c r="AA2602" s="4" t="s">
        <v>63</v>
      </c>
      <c r="AB2602" s="4" t="s">
        <v>21727</v>
      </c>
      <c r="AC2602" s="4" t="s">
        <v>696</v>
      </c>
      <c r="AD2602" s="4" t="s">
        <v>63</v>
      </c>
      <c r="AE2602" s="4" t="s">
        <v>63</v>
      </c>
      <c r="AF2602" s="4" t="s">
        <v>63</v>
      </c>
      <c r="AG2602" s="4" t="s">
        <v>63</v>
      </c>
      <c r="AH2602" s="4" t="s">
        <v>63</v>
      </c>
      <c r="AI2602" s="4" t="s">
        <v>63</v>
      </c>
      <c r="AJ2602" s="4" t="s">
        <v>63</v>
      </c>
      <c r="AK2602" s="4" t="s">
        <v>63</v>
      </c>
      <c r="AL2602" s="4" t="s">
        <v>63</v>
      </c>
      <c r="AM2602" s="4" t="s">
        <v>21728</v>
      </c>
      <c r="AN2602" s="4" t="s">
        <v>63</v>
      </c>
      <c r="AO2602" s="4" t="s">
        <v>63</v>
      </c>
      <c r="AP2602" s="4" t="s">
        <v>63</v>
      </c>
      <c r="AQ2602" s="4" t="s">
        <v>63</v>
      </c>
      <c r="AR2602" s="4" t="s">
        <v>63</v>
      </c>
      <c r="AS2602" s="4" t="s">
        <v>63</v>
      </c>
      <c r="AT2602" s="4" t="s">
        <v>63</v>
      </c>
      <c r="AU2602" s="4" t="s">
        <v>63</v>
      </c>
      <c r="AV2602" s="4" t="s">
        <v>63</v>
      </c>
      <c r="AW2602" s="4" t="s">
        <v>63</v>
      </c>
      <c r="AX2602" s="4" t="s">
        <v>63</v>
      </c>
      <c r="AY2602" s="4" t="s">
        <v>63</v>
      </c>
      <c r="AZ2602" s="4" t="s">
        <v>63</v>
      </c>
      <c r="BA2602" s="4" t="s">
        <v>63</v>
      </c>
      <c r="BB2602" s="4" t="s">
        <v>63</v>
      </c>
      <c r="BC2602" s="4" t="s">
        <v>63</v>
      </c>
      <c r="BD2602" s="4" t="s">
        <v>63</v>
      </c>
      <c r="BE2602" s="4" t="s">
        <v>63</v>
      </c>
      <c r="BF2602" s="4" t="s">
        <v>63</v>
      </c>
    </row>
    <row r="2603" spans="1:58">
      <c r="A2603" s="4" t="s">
        <v>58</v>
      </c>
      <c r="B2603" s="4" t="s">
        <v>21729</v>
      </c>
      <c r="C2603" s="4" t="s">
        <v>21730</v>
      </c>
      <c r="D2603" s="4" t="s">
        <v>21731</v>
      </c>
      <c r="E2603" s="4" t="s">
        <v>63</v>
      </c>
      <c r="F2603" s="4">
        <v>1973</v>
      </c>
      <c r="G2603" s="4" t="s">
        <v>63</v>
      </c>
      <c r="H2603" s="4">
        <v>43</v>
      </c>
      <c r="I2603" s="4">
        <v>7</v>
      </c>
      <c r="J2603" s="4">
        <v>455</v>
      </c>
      <c r="K2603" s="4">
        <v>457</v>
      </c>
      <c r="L2603" s="4" t="s">
        <v>21732</v>
      </c>
      <c r="M2603" s="4" t="s">
        <v>63</v>
      </c>
      <c r="N2603" s="4" t="s">
        <v>21733</v>
      </c>
      <c r="O2603" s="4" t="s">
        <v>63</v>
      </c>
      <c r="P2603" s="4"/>
      <c r="Q2603" s="4" t="s">
        <v>63</v>
      </c>
      <c r="R2603" s="4" t="s">
        <v>63</v>
      </c>
      <c r="S2603" s="4" t="s">
        <v>63</v>
      </c>
      <c r="T2603" s="4" t="s">
        <v>63</v>
      </c>
      <c r="U2603" s="4"/>
      <c r="V2603" s="4"/>
      <c r="W2603" s="4"/>
      <c r="X2603" s="4" t="s">
        <v>63</v>
      </c>
      <c r="Y2603" s="4" t="s">
        <v>63</v>
      </c>
      <c r="Z2603" s="4" t="s">
        <v>63</v>
      </c>
      <c r="AA2603" s="4" t="s">
        <v>63</v>
      </c>
      <c r="AB2603" s="4">
        <v>1974099211</v>
      </c>
      <c r="AC2603" s="4" t="s">
        <v>67</v>
      </c>
      <c r="AD2603" s="4" t="s">
        <v>63</v>
      </c>
      <c r="AE2603" s="4" t="s">
        <v>63</v>
      </c>
      <c r="AF2603" s="4" t="s">
        <v>63</v>
      </c>
      <c r="AG2603" s="4" t="s">
        <v>21734</v>
      </c>
      <c r="AH2603" s="4" t="s">
        <v>63</v>
      </c>
      <c r="AI2603" s="4" t="s">
        <v>63</v>
      </c>
      <c r="AJ2603" s="4" t="s">
        <v>63</v>
      </c>
      <c r="AK2603" s="4" t="s">
        <v>63</v>
      </c>
      <c r="AL2603" s="4" t="s">
        <v>63</v>
      </c>
      <c r="AM2603" s="4" t="s">
        <v>21735</v>
      </c>
      <c r="AN2603" s="4" t="s">
        <v>63</v>
      </c>
      <c r="AO2603" s="4" t="s">
        <v>63</v>
      </c>
      <c r="AP2603" s="4" t="s">
        <v>63</v>
      </c>
      <c r="AQ2603" s="4" t="s">
        <v>63</v>
      </c>
      <c r="AR2603" s="4" t="s">
        <v>63</v>
      </c>
      <c r="AS2603" s="4" t="s">
        <v>63</v>
      </c>
      <c r="AT2603" s="4" t="s">
        <v>63</v>
      </c>
      <c r="AU2603" s="4" t="s">
        <v>63</v>
      </c>
      <c r="AV2603" s="4" t="s">
        <v>63</v>
      </c>
      <c r="AW2603" s="4" t="s">
        <v>63</v>
      </c>
      <c r="AX2603" s="4" t="s">
        <v>63</v>
      </c>
      <c r="AY2603" s="4" t="s">
        <v>63</v>
      </c>
      <c r="AZ2603" s="4" t="s">
        <v>63</v>
      </c>
      <c r="BA2603" s="4" t="s">
        <v>63</v>
      </c>
      <c r="BB2603" s="4" t="s">
        <v>63</v>
      </c>
      <c r="BC2603" s="4" t="s">
        <v>63</v>
      </c>
      <c r="BD2603" s="4" t="s">
        <v>63</v>
      </c>
      <c r="BE2603" s="4" t="s">
        <v>63</v>
      </c>
      <c r="BF2603" s="4" t="s">
        <v>63</v>
      </c>
    </row>
    <row r="2604" spans="1:58">
      <c r="A2604" s="4" t="s">
        <v>58</v>
      </c>
      <c r="B2604" s="4" t="s">
        <v>21736</v>
      </c>
      <c r="C2604" s="4" t="s">
        <v>21737</v>
      </c>
      <c r="D2604" s="4" t="s">
        <v>21738</v>
      </c>
      <c r="E2604" s="4" t="s">
        <v>21739</v>
      </c>
      <c r="F2604" s="4">
        <v>2010</v>
      </c>
      <c r="G2604" s="4">
        <v>13</v>
      </c>
      <c r="H2604" s="4" t="s">
        <v>21577</v>
      </c>
      <c r="I2604" s="4" t="s">
        <v>63</v>
      </c>
      <c r="J2604" s="4">
        <v>198</v>
      </c>
      <c r="K2604" s="4" t="s">
        <v>63</v>
      </c>
      <c r="L2604" s="4" t="s">
        <v>21740</v>
      </c>
      <c r="M2604" s="4" t="s">
        <v>21741</v>
      </c>
      <c r="N2604" s="4" t="s">
        <v>21742</v>
      </c>
      <c r="O2604" s="4" t="s">
        <v>63</v>
      </c>
      <c r="P2604" s="4"/>
      <c r="Q2604" s="4" t="s">
        <v>63</v>
      </c>
      <c r="R2604" s="4" t="s">
        <v>63</v>
      </c>
      <c r="S2604" s="4" t="s">
        <v>63</v>
      </c>
      <c r="T2604" s="4" t="s">
        <v>63</v>
      </c>
      <c r="U2604" s="4"/>
      <c r="V2604" s="4"/>
      <c r="W2604" s="4"/>
      <c r="X2604" s="4" t="s">
        <v>63</v>
      </c>
      <c r="Y2604" s="4" t="s">
        <v>21743</v>
      </c>
      <c r="Z2604" s="4" t="s">
        <v>63</v>
      </c>
      <c r="AA2604" s="4" t="s">
        <v>63</v>
      </c>
      <c r="AB2604" s="4" t="s">
        <v>63</v>
      </c>
      <c r="AC2604" s="4" t="s">
        <v>67</v>
      </c>
      <c r="AD2604" s="4" t="s">
        <v>63</v>
      </c>
      <c r="AE2604" s="4" t="s">
        <v>63</v>
      </c>
      <c r="AF2604" s="4" t="s">
        <v>63</v>
      </c>
      <c r="AG2604" s="4" t="s">
        <v>63</v>
      </c>
      <c r="AH2604" s="4" t="s">
        <v>63</v>
      </c>
      <c r="AI2604" s="4" t="s">
        <v>63</v>
      </c>
      <c r="AJ2604" s="4" t="s">
        <v>63</v>
      </c>
      <c r="AK2604" s="4" t="s">
        <v>63</v>
      </c>
      <c r="AL2604" s="4" t="s">
        <v>63</v>
      </c>
      <c r="AM2604" s="4" t="s">
        <v>21737</v>
      </c>
      <c r="AN2604" s="4" t="s">
        <v>63</v>
      </c>
      <c r="AO2604" s="4" t="s">
        <v>63</v>
      </c>
      <c r="AP2604" s="4" t="s">
        <v>63</v>
      </c>
      <c r="AQ2604" s="4" t="s">
        <v>63</v>
      </c>
      <c r="AR2604" s="4" t="s">
        <v>63</v>
      </c>
      <c r="AS2604" s="4" t="s">
        <v>63</v>
      </c>
      <c r="AT2604" s="4" t="s">
        <v>63</v>
      </c>
      <c r="AU2604" s="4" t="s">
        <v>63</v>
      </c>
      <c r="AV2604" s="4" t="s">
        <v>63</v>
      </c>
      <c r="AW2604" s="4" t="s">
        <v>63</v>
      </c>
      <c r="AX2604" s="4" t="s">
        <v>63</v>
      </c>
      <c r="AY2604" s="4" t="s">
        <v>63</v>
      </c>
      <c r="AZ2604" s="4" t="s">
        <v>63</v>
      </c>
      <c r="BA2604" s="4" t="s">
        <v>63</v>
      </c>
      <c r="BB2604" s="4" t="s">
        <v>63</v>
      </c>
      <c r="BC2604" s="4" t="s">
        <v>63</v>
      </c>
      <c r="BD2604" s="4" t="s">
        <v>63</v>
      </c>
      <c r="BE2604" s="4" t="s">
        <v>63</v>
      </c>
      <c r="BF2604" s="4" t="s">
        <v>63</v>
      </c>
    </row>
    <row r="2605" spans="1:58">
      <c r="A2605" s="4" t="s">
        <v>58</v>
      </c>
      <c r="B2605" s="4" t="s">
        <v>21744</v>
      </c>
      <c r="C2605" s="4" t="s">
        <v>21745</v>
      </c>
      <c r="D2605" s="4" t="s">
        <v>11901</v>
      </c>
      <c r="E2605" s="4" t="s">
        <v>63</v>
      </c>
      <c r="F2605" s="4">
        <v>2016</v>
      </c>
      <c r="G2605" s="4">
        <v>1</v>
      </c>
      <c r="H2605" s="4">
        <v>58</v>
      </c>
      <c r="I2605" s="4">
        <v>5</v>
      </c>
      <c r="J2605" s="4" t="s">
        <v>17701</v>
      </c>
      <c r="K2605" s="4" t="s">
        <v>63</v>
      </c>
      <c r="L2605" s="4" t="s">
        <v>21746</v>
      </c>
      <c r="M2605" s="4" t="s">
        <v>21747</v>
      </c>
      <c r="N2605" s="4" t="s">
        <v>21748</v>
      </c>
      <c r="O2605" s="4" t="s">
        <v>63</v>
      </c>
      <c r="P2605" s="4"/>
      <c r="Q2605" s="4" t="s">
        <v>63</v>
      </c>
      <c r="R2605" s="4" t="s">
        <v>63</v>
      </c>
      <c r="S2605" s="4" t="s">
        <v>63</v>
      </c>
      <c r="T2605" s="4" t="s">
        <v>63</v>
      </c>
      <c r="U2605" s="4"/>
      <c r="V2605" s="4"/>
      <c r="W2605" s="4"/>
      <c r="X2605" s="4" t="s">
        <v>63</v>
      </c>
      <c r="Y2605" s="4" t="s">
        <v>15618</v>
      </c>
      <c r="Z2605" s="4" t="s">
        <v>63</v>
      </c>
      <c r="AA2605" s="4" t="s">
        <v>63</v>
      </c>
      <c r="AB2605" s="4" t="s">
        <v>63</v>
      </c>
      <c r="AC2605" s="4" t="s">
        <v>67</v>
      </c>
      <c r="AD2605" s="4" t="s">
        <v>63</v>
      </c>
      <c r="AE2605" s="4" t="s">
        <v>63</v>
      </c>
      <c r="AF2605" s="4" t="s">
        <v>63</v>
      </c>
      <c r="AG2605" s="4" t="s">
        <v>63</v>
      </c>
      <c r="AH2605" s="4" t="s">
        <v>63</v>
      </c>
      <c r="AI2605" s="4" t="s">
        <v>63</v>
      </c>
      <c r="AJ2605" s="4" t="s">
        <v>63</v>
      </c>
      <c r="AK2605" s="4" t="s">
        <v>63</v>
      </c>
      <c r="AL2605" s="4" t="s">
        <v>63</v>
      </c>
      <c r="AM2605" s="4" t="s">
        <v>21745</v>
      </c>
      <c r="AN2605" s="4" t="s">
        <v>63</v>
      </c>
      <c r="AO2605" s="4" t="s">
        <v>63</v>
      </c>
      <c r="AP2605" s="4" t="s">
        <v>63</v>
      </c>
      <c r="AQ2605" s="4" t="s">
        <v>63</v>
      </c>
      <c r="AR2605" s="4" t="s">
        <v>63</v>
      </c>
      <c r="AS2605" s="4" t="s">
        <v>63</v>
      </c>
      <c r="AT2605" s="4" t="s">
        <v>63</v>
      </c>
      <c r="AU2605" s="4" t="s">
        <v>63</v>
      </c>
      <c r="AV2605" s="4" t="s">
        <v>63</v>
      </c>
      <c r="AW2605" s="4" t="s">
        <v>63</v>
      </c>
      <c r="AX2605" s="4" t="s">
        <v>63</v>
      </c>
      <c r="AY2605" s="4" t="s">
        <v>63</v>
      </c>
      <c r="AZ2605" s="4" t="s">
        <v>63</v>
      </c>
      <c r="BA2605" s="4" t="s">
        <v>63</v>
      </c>
      <c r="BB2605" s="4" t="s">
        <v>63</v>
      </c>
      <c r="BC2605" s="4" t="s">
        <v>63</v>
      </c>
      <c r="BD2605" s="4" t="s">
        <v>63</v>
      </c>
      <c r="BE2605" s="4" t="s">
        <v>63</v>
      </c>
      <c r="BF2605" s="4" t="s">
        <v>63</v>
      </c>
    </row>
    <row r="2606" spans="1:58">
      <c r="A2606" s="4" t="s">
        <v>58</v>
      </c>
      <c r="B2606" s="4" t="s">
        <v>21749</v>
      </c>
      <c r="C2606" s="4" t="s">
        <v>21750</v>
      </c>
      <c r="D2606" s="4" t="s">
        <v>21751</v>
      </c>
      <c r="E2606" s="4" t="s">
        <v>63</v>
      </c>
      <c r="F2606" s="4">
        <v>1998</v>
      </c>
      <c r="G2606" s="4" t="s">
        <v>189</v>
      </c>
      <c r="H2606" s="4">
        <v>73</v>
      </c>
      <c r="I2606" s="4">
        <v>5</v>
      </c>
      <c r="J2606" s="4">
        <v>449</v>
      </c>
      <c r="K2606" s="4">
        <v>450</v>
      </c>
      <c r="L2606" s="4" t="s">
        <v>21752</v>
      </c>
      <c r="M2606" s="4" t="s">
        <v>63</v>
      </c>
      <c r="N2606" s="4" t="s">
        <v>21753</v>
      </c>
      <c r="O2606" s="4" t="s">
        <v>63</v>
      </c>
      <c r="P2606" s="4"/>
      <c r="Q2606" s="4" t="s">
        <v>63</v>
      </c>
      <c r="R2606" s="4" t="s">
        <v>63</v>
      </c>
      <c r="S2606" s="4" t="s">
        <v>63</v>
      </c>
      <c r="T2606" s="4" t="s">
        <v>63</v>
      </c>
      <c r="U2606" s="4"/>
      <c r="V2606" s="4"/>
      <c r="W2606" s="4"/>
      <c r="X2606" s="4" t="s">
        <v>63</v>
      </c>
      <c r="Y2606" s="4" t="s">
        <v>858</v>
      </c>
      <c r="Z2606" s="4" t="s">
        <v>63</v>
      </c>
      <c r="AA2606" s="4" t="s">
        <v>63</v>
      </c>
      <c r="AB2606" s="4" t="s">
        <v>63</v>
      </c>
      <c r="AC2606" s="4" t="s">
        <v>67</v>
      </c>
      <c r="AD2606" s="4" t="s">
        <v>63</v>
      </c>
      <c r="AE2606" s="4" t="s">
        <v>63</v>
      </c>
      <c r="AF2606" s="4" t="s">
        <v>63</v>
      </c>
      <c r="AG2606" s="4" t="s">
        <v>21754</v>
      </c>
      <c r="AH2606" s="4" t="s">
        <v>63</v>
      </c>
      <c r="AI2606" s="4" t="s">
        <v>63</v>
      </c>
      <c r="AJ2606" s="4" t="s">
        <v>63</v>
      </c>
      <c r="AK2606" s="4" t="s">
        <v>63</v>
      </c>
      <c r="AL2606" s="4" t="s">
        <v>63</v>
      </c>
      <c r="AM2606" s="4" t="s">
        <v>21755</v>
      </c>
      <c r="AN2606" s="4" t="s">
        <v>63</v>
      </c>
      <c r="AO2606" s="4" t="s">
        <v>63</v>
      </c>
      <c r="AP2606" s="4" t="s">
        <v>63</v>
      </c>
      <c r="AQ2606" s="4" t="s">
        <v>63</v>
      </c>
      <c r="AR2606" s="4" t="s">
        <v>63</v>
      </c>
      <c r="AS2606" s="4" t="s">
        <v>63</v>
      </c>
      <c r="AT2606" s="4" t="s">
        <v>63</v>
      </c>
      <c r="AU2606" s="4" t="s">
        <v>63</v>
      </c>
      <c r="AV2606" s="4" t="s">
        <v>63</v>
      </c>
      <c r="AW2606" s="4" t="s">
        <v>63</v>
      </c>
      <c r="AX2606" s="4" t="s">
        <v>63</v>
      </c>
      <c r="AY2606" s="4" t="s">
        <v>63</v>
      </c>
      <c r="AZ2606" s="4" t="s">
        <v>63</v>
      </c>
      <c r="BA2606" s="4" t="s">
        <v>63</v>
      </c>
      <c r="BB2606" s="4" t="s">
        <v>63</v>
      </c>
      <c r="BC2606" s="4" t="s">
        <v>63</v>
      </c>
      <c r="BD2606" s="4" t="s">
        <v>63</v>
      </c>
      <c r="BE2606" s="4" t="s">
        <v>63</v>
      </c>
      <c r="BF2606" s="4" t="s">
        <v>63</v>
      </c>
    </row>
    <row r="2607" spans="1:58">
      <c r="A2607" s="4" t="s">
        <v>58</v>
      </c>
      <c r="B2607" s="4" t="s">
        <v>21756</v>
      </c>
      <c r="C2607" s="4" t="s">
        <v>21757</v>
      </c>
      <c r="D2607" s="4" t="s">
        <v>371</v>
      </c>
      <c r="E2607" s="4" t="s">
        <v>63</v>
      </c>
      <c r="F2607" s="4">
        <v>2017</v>
      </c>
      <c r="G2607" s="4">
        <v>1</v>
      </c>
      <c r="H2607" s="4">
        <v>32</v>
      </c>
      <c r="I2607" s="4">
        <v>2</v>
      </c>
      <c r="J2607" s="4" t="s">
        <v>21758</v>
      </c>
      <c r="K2607" s="4" t="s">
        <v>63</v>
      </c>
      <c r="L2607" s="4" t="s">
        <v>21759</v>
      </c>
      <c r="M2607" s="4" t="s">
        <v>21760</v>
      </c>
      <c r="N2607" s="4" t="s">
        <v>21761</v>
      </c>
      <c r="O2607" s="4" t="s">
        <v>63</v>
      </c>
      <c r="P2607" s="4"/>
      <c r="Q2607" s="4" t="s">
        <v>63</v>
      </c>
      <c r="R2607" s="4" t="s">
        <v>63</v>
      </c>
      <c r="S2607" s="4" t="s">
        <v>63</v>
      </c>
      <c r="T2607" s="4" t="s">
        <v>63</v>
      </c>
      <c r="U2607" s="4"/>
      <c r="V2607" s="4"/>
      <c r="W2607" s="4"/>
      <c r="X2607" s="4" t="s">
        <v>63</v>
      </c>
      <c r="Y2607" s="4" t="s">
        <v>375</v>
      </c>
      <c r="Z2607" s="4" t="s">
        <v>63</v>
      </c>
      <c r="AA2607" s="4" t="s">
        <v>63</v>
      </c>
      <c r="AB2607" s="4" t="s">
        <v>63</v>
      </c>
      <c r="AC2607" s="4" t="s">
        <v>67</v>
      </c>
      <c r="AD2607" s="4" t="s">
        <v>63</v>
      </c>
      <c r="AE2607" s="4" t="s">
        <v>63</v>
      </c>
      <c r="AF2607" s="4" t="s">
        <v>63</v>
      </c>
      <c r="AG2607" s="4" t="s">
        <v>63</v>
      </c>
      <c r="AH2607" s="4" t="s">
        <v>63</v>
      </c>
      <c r="AI2607" s="4" t="s">
        <v>63</v>
      </c>
      <c r="AJ2607" s="4" t="s">
        <v>63</v>
      </c>
      <c r="AK2607" s="4" t="s">
        <v>63</v>
      </c>
      <c r="AL2607" s="4" t="s">
        <v>63</v>
      </c>
      <c r="AM2607" s="4" t="s">
        <v>21757</v>
      </c>
      <c r="AN2607" s="4" t="s">
        <v>63</v>
      </c>
      <c r="AO2607" s="4" t="s">
        <v>63</v>
      </c>
      <c r="AP2607" s="4" t="s">
        <v>63</v>
      </c>
      <c r="AQ2607" s="4" t="s">
        <v>63</v>
      </c>
      <c r="AR2607" s="4" t="s">
        <v>63</v>
      </c>
      <c r="AS2607" s="4" t="s">
        <v>63</v>
      </c>
      <c r="AT2607" s="4" t="s">
        <v>63</v>
      </c>
      <c r="AU2607" s="4" t="s">
        <v>63</v>
      </c>
      <c r="AV2607" s="4" t="s">
        <v>63</v>
      </c>
      <c r="AW2607" s="4" t="s">
        <v>63</v>
      </c>
      <c r="AX2607" s="4" t="s">
        <v>63</v>
      </c>
      <c r="AY2607" s="4" t="s">
        <v>63</v>
      </c>
      <c r="AZ2607" s="4" t="s">
        <v>63</v>
      </c>
      <c r="BA2607" s="4" t="s">
        <v>63</v>
      </c>
      <c r="BB2607" s="4" t="s">
        <v>63</v>
      </c>
      <c r="BC2607" s="4" t="s">
        <v>63</v>
      </c>
      <c r="BD2607" s="4" t="s">
        <v>63</v>
      </c>
      <c r="BE2607" s="4" t="s">
        <v>63</v>
      </c>
      <c r="BF2607" s="4" t="s">
        <v>63</v>
      </c>
    </row>
    <row r="2608" spans="1:58">
      <c r="A2608" s="4" t="s">
        <v>58</v>
      </c>
      <c r="B2608" s="4" t="s">
        <v>21762</v>
      </c>
      <c r="C2608" s="4" t="s">
        <v>21763</v>
      </c>
      <c r="D2608" s="4" t="s">
        <v>371</v>
      </c>
      <c r="E2608" s="4" t="s">
        <v>63</v>
      </c>
      <c r="F2608" s="4">
        <v>2017</v>
      </c>
      <c r="G2608" s="4">
        <v>1</v>
      </c>
      <c r="H2608" s="4">
        <v>32</v>
      </c>
      <c r="I2608" s="4">
        <v>2</v>
      </c>
      <c r="J2608" s="4" t="s">
        <v>21764</v>
      </c>
      <c r="K2608" s="4" t="s">
        <v>21765</v>
      </c>
      <c r="L2608" s="4" t="s">
        <v>21766</v>
      </c>
      <c r="M2608" s="4" t="s">
        <v>21767</v>
      </c>
      <c r="N2608" s="4" t="s">
        <v>21768</v>
      </c>
      <c r="O2608" s="4" t="s">
        <v>63</v>
      </c>
      <c r="P2608" s="4"/>
      <c r="Q2608" s="4" t="s">
        <v>63</v>
      </c>
      <c r="R2608" s="4" t="s">
        <v>63</v>
      </c>
      <c r="S2608" s="4" t="s">
        <v>63</v>
      </c>
      <c r="T2608" s="4" t="s">
        <v>63</v>
      </c>
      <c r="U2608" s="4"/>
      <c r="V2608" s="4"/>
      <c r="W2608" s="4"/>
      <c r="X2608" s="4" t="s">
        <v>63</v>
      </c>
      <c r="Y2608" s="4" t="s">
        <v>375</v>
      </c>
      <c r="Z2608" s="4" t="s">
        <v>63</v>
      </c>
      <c r="AA2608" s="4" t="s">
        <v>63</v>
      </c>
      <c r="AB2608" s="4" t="s">
        <v>63</v>
      </c>
      <c r="AC2608" s="4" t="s">
        <v>67</v>
      </c>
      <c r="AD2608" s="4" t="s">
        <v>63</v>
      </c>
      <c r="AE2608" s="4" t="s">
        <v>63</v>
      </c>
      <c r="AF2608" s="4" t="s">
        <v>63</v>
      </c>
      <c r="AG2608" s="4" t="s">
        <v>63</v>
      </c>
      <c r="AH2608" s="4" t="s">
        <v>63</v>
      </c>
      <c r="AI2608" s="4" t="s">
        <v>63</v>
      </c>
      <c r="AJ2608" s="4" t="s">
        <v>63</v>
      </c>
      <c r="AK2608" s="4" t="s">
        <v>63</v>
      </c>
      <c r="AL2608" s="4" t="s">
        <v>63</v>
      </c>
      <c r="AM2608" s="4" t="s">
        <v>21763</v>
      </c>
      <c r="AN2608" s="4" t="s">
        <v>63</v>
      </c>
      <c r="AO2608" s="4" t="s">
        <v>63</v>
      </c>
      <c r="AP2608" s="4" t="s">
        <v>63</v>
      </c>
      <c r="AQ2608" s="4" t="s">
        <v>63</v>
      </c>
      <c r="AR2608" s="4" t="s">
        <v>63</v>
      </c>
      <c r="AS2608" s="4" t="s">
        <v>63</v>
      </c>
      <c r="AT2608" s="4" t="s">
        <v>63</v>
      </c>
      <c r="AU2608" s="4" t="s">
        <v>63</v>
      </c>
      <c r="AV2608" s="4" t="s">
        <v>63</v>
      </c>
      <c r="AW2608" s="4" t="s">
        <v>63</v>
      </c>
      <c r="AX2608" s="4" t="s">
        <v>63</v>
      </c>
      <c r="AY2608" s="4" t="s">
        <v>63</v>
      </c>
      <c r="AZ2608" s="4" t="s">
        <v>63</v>
      </c>
      <c r="BA2608" s="4" t="s">
        <v>63</v>
      </c>
      <c r="BB2608" s="4" t="s">
        <v>63</v>
      </c>
      <c r="BC2608" s="4" t="s">
        <v>63</v>
      </c>
      <c r="BD2608" s="4" t="s">
        <v>63</v>
      </c>
      <c r="BE2608" s="4" t="s">
        <v>63</v>
      </c>
      <c r="BF2608" s="4" t="s">
        <v>63</v>
      </c>
    </row>
    <row r="2609" spans="1:58">
      <c r="A2609" s="4" t="s">
        <v>58</v>
      </c>
      <c r="B2609" s="4" t="s">
        <v>21769</v>
      </c>
      <c r="C2609" s="4" t="s">
        <v>21770</v>
      </c>
      <c r="D2609" s="4" t="s">
        <v>21707</v>
      </c>
      <c r="E2609" s="4" t="s">
        <v>63</v>
      </c>
      <c r="F2609" s="4">
        <v>2014</v>
      </c>
      <c r="G2609" s="4" t="s">
        <v>15165</v>
      </c>
      <c r="H2609" s="4">
        <v>9</v>
      </c>
      <c r="I2609" s="4">
        <v>4</v>
      </c>
      <c r="J2609" s="4" t="s">
        <v>14754</v>
      </c>
      <c r="K2609" s="4" t="s">
        <v>63</v>
      </c>
      <c r="L2609" s="4" t="s">
        <v>21771</v>
      </c>
      <c r="M2609" s="4" t="s">
        <v>21772</v>
      </c>
      <c r="N2609" s="4" t="s">
        <v>21773</v>
      </c>
      <c r="O2609" s="4" t="s">
        <v>63</v>
      </c>
      <c r="P2609" s="4"/>
      <c r="Q2609" s="4" t="s">
        <v>63</v>
      </c>
      <c r="R2609" s="4" t="s">
        <v>63</v>
      </c>
      <c r="S2609" s="4" t="s">
        <v>63</v>
      </c>
      <c r="T2609" s="4" t="s">
        <v>63</v>
      </c>
      <c r="U2609" s="4"/>
      <c r="V2609" s="4"/>
      <c r="W2609" s="4"/>
      <c r="X2609" s="4" t="s">
        <v>63</v>
      </c>
      <c r="Y2609" s="4" t="s">
        <v>21712</v>
      </c>
      <c r="Z2609" s="4" t="s">
        <v>63</v>
      </c>
      <c r="AA2609" s="4" t="s">
        <v>63</v>
      </c>
      <c r="AB2609" s="4" t="s">
        <v>63</v>
      </c>
      <c r="AC2609" s="4" t="s">
        <v>67</v>
      </c>
      <c r="AD2609" s="4" t="s">
        <v>63</v>
      </c>
      <c r="AE2609" s="4" t="s">
        <v>63</v>
      </c>
      <c r="AF2609" s="4" t="s">
        <v>63</v>
      </c>
      <c r="AG2609" s="4" t="s">
        <v>63</v>
      </c>
      <c r="AH2609" s="4" t="s">
        <v>63</v>
      </c>
      <c r="AI2609" s="4" t="s">
        <v>21774</v>
      </c>
      <c r="AJ2609" s="4" t="s">
        <v>63</v>
      </c>
      <c r="AK2609" s="4" t="s">
        <v>63</v>
      </c>
      <c r="AL2609" s="4" t="s">
        <v>63</v>
      </c>
      <c r="AM2609" s="4" t="s">
        <v>21770</v>
      </c>
      <c r="AN2609" s="4" t="s">
        <v>63</v>
      </c>
      <c r="AO2609" s="4" t="s">
        <v>63</v>
      </c>
      <c r="AP2609" s="4" t="s">
        <v>63</v>
      </c>
      <c r="AQ2609" s="4" t="s">
        <v>63</v>
      </c>
      <c r="AR2609" s="4" t="s">
        <v>63</v>
      </c>
      <c r="AS2609" s="4" t="s">
        <v>63</v>
      </c>
      <c r="AT2609" s="4" t="s">
        <v>63</v>
      </c>
      <c r="AU2609" s="4" t="s">
        <v>63</v>
      </c>
      <c r="AV2609" s="4" t="s">
        <v>63</v>
      </c>
      <c r="AW2609" s="4" t="s">
        <v>63</v>
      </c>
      <c r="AX2609" s="4" t="s">
        <v>63</v>
      </c>
      <c r="AY2609" s="4" t="s">
        <v>63</v>
      </c>
      <c r="AZ2609" s="4" t="s">
        <v>63</v>
      </c>
      <c r="BA2609" s="4" t="s">
        <v>63</v>
      </c>
      <c r="BB2609" s="4" t="s">
        <v>63</v>
      </c>
      <c r="BC2609" s="4" t="s">
        <v>63</v>
      </c>
      <c r="BD2609" s="4" t="s">
        <v>63</v>
      </c>
      <c r="BE2609" s="4" t="s">
        <v>63</v>
      </c>
      <c r="BF2609" s="4" t="s">
        <v>63</v>
      </c>
    </row>
    <row r="2610" spans="1:58">
      <c r="A2610" s="4" t="s">
        <v>58</v>
      </c>
      <c r="B2610" s="4" t="s">
        <v>21775</v>
      </c>
      <c r="C2610" s="4" t="s">
        <v>21776</v>
      </c>
      <c r="D2610" s="4" t="s">
        <v>21777</v>
      </c>
      <c r="E2610" s="4" t="s">
        <v>63</v>
      </c>
      <c r="F2610" s="4">
        <v>2007</v>
      </c>
      <c r="G2610" s="4" t="s">
        <v>63</v>
      </c>
      <c r="H2610" s="4">
        <v>2</v>
      </c>
      <c r="I2610" s="4">
        <v>6</v>
      </c>
      <c r="J2610" s="4" t="s">
        <v>12337</v>
      </c>
      <c r="K2610" s="4" t="s">
        <v>63</v>
      </c>
      <c r="L2610" s="4" t="s">
        <v>21778</v>
      </c>
      <c r="M2610" s="4" t="s">
        <v>12339</v>
      </c>
      <c r="N2610" s="4" t="s">
        <v>21779</v>
      </c>
      <c r="O2610" s="4" t="s">
        <v>63</v>
      </c>
      <c r="P2610" s="4"/>
      <c r="Q2610" s="4" t="s">
        <v>63</v>
      </c>
      <c r="R2610" s="4" t="s">
        <v>63</v>
      </c>
      <c r="S2610" s="4" t="s">
        <v>63</v>
      </c>
      <c r="T2610" s="4" t="s">
        <v>63</v>
      </c>
      <c r="U2610" s="4"/>
      <c r="V2610" s="4"/>
      <c r="W2610" s="4"/>
      <c r="X2610" s="4" t="s">
        <v>63</v>
      </c>
      <c r="Y2610" s="4" t="s">
        <v>21780</v>
      </c>
      <c r="Z2610" s="4" t="s">
        <v>63</v>
      </c>
      <c r="AA2610" s="4" t="s">
        <v>63</v>
      </c>
      <c r="AB2610" s="4" t="s">
        <v>63</v>
      </c>
      <c r="AC2610" s="4" t="s">
        <v>67</v>
      </c>
      <c r="AD2610" s="4" t="s">
        <v>63</v>
      </c>
      <c r="AE2610" s="4" t="s">
        <v>63</v>
      </c>
      <c r="AF2610" s="4" t="s">
        <v>63</v>
      </c>
      <c r="AG2610" s="4" t="s">
        <v>21781</v>
      </c>
      <c r="AH2610" s="4" t="s">
        <v>63</v>
      </c>
      <c r="AI2610" s="4" t="s">
        <v>63</v>
      </c>
      <c r="AJ2610" s="4" t="s">
        <v>63</v>
      </c>
      <c r="AK2610" s="4" t="s">
        <v>63</v>
      </c>
      <c r="AL2610" s="4" t="s">
        <v>63</v>
      </c>
      <c r="AM2610" s="4" t="s">
        <v>12336</v>
      </c>
      <c r="AN2610" s="4" t="s">
        <v>63</v>
      </c>
      <c r="AO2610" s="4" t="s">
        <v>63</v>
      </c>
      <c r="AP2610" s="4" t="s">
        <v>63</v>
      </c>
      <c r="AQ2610" s="4" t="s">
        <v>63</v>
      </c>
      <c r="AR2610" s="4" t="s">
        <v>63</v>
      </c>
      <c r="AS2610" s="4" t="s">
        <v>63</v>
      </c>
      <c r="AT2610" s="4" t="s">
        <v>63</v>
      </c>
      <c r="AU2610" s="4" t="s">
        <v>63</v>
      </c>
      <c r="AV2610" s="4" t="s">
        <v>63</v>
      </c>
      <c r="AW2610" s="4" t="s">
        <v>63</v>
      </c>
      <c r="AX2610" s="4" t="s">
        <v>63</v>
      </c>
      <c r="AY2610" s="4" t="s">
        <v>63</v>
      </c>
      <c r="AZ2610" s="4" t="s">
        <v>63</v>
      </c>
      <c r="BA2610" s="4" t="s">
        <v>63</v>
      </c>
      <c r="BB2610" s="4" t="s">
        <v>63</v>
      </c>
      <c r="BC2610" s="4" t="s">
        <v>63</v>
      </c>
      <c r="BD2610" s="4" t="s">
        <v>63</v>
      </c>
      <c r="BE2610" s="4" t="s">
        <v>63</v>
      </c>
      <c r="BF2610" s="4" t="s">
        <v>63</v>
      </c>
    </row>
    <row r="2611" spans="1:58">
      <c r="A2611" s="4" t="s">
        <v>58</v>
      </c>
      <c r="B2611" s="4" t="s">
        <v>21782</v>
      </c>
      <c r="C2611" s="4" t="s">
        <v>21783</v>
      </c>
      <c r="D2611" s="4" t="s">
        <v>21784</v>
      </c>
      <c r="E2611" s="4" t="s">
        <v>63</v>
      </c>
      <c r="F2611" s="4">
        <v>2018</v>
      </c>
      <c r="G2611" s="4">
        <v>1</v>
      </c>
      <c r="H2611" s="4">
        <v>24</v>
      </c>
      <c r="I2611" s="4">
        <v>3</v>
      </c>
      <c r="J2611" s="4" t="s">
        <v>15828</v>
      </c>
      <c r="K2611" s="4" t="s">
        <v>63</v>
      </c>
      <c r="L2611" s="4" t="s">
        <v>21785</v>
      </c>
      <c r="M2611" s="4" t="s">
        <v>21786</v>
      </c>
      <c r="N2611" s="4" t="s">
        <v>21787</v>
      </c>
      <c r="O2611" s="4" t="s">
        <v>63</v>
      </c>
      <c r="P2611" s="4"/>
      <c r="Q2611" s="4" t="s">
        <v>63</v>
      </c>
      <c r="R2611" s="4" t="s">
        <v>63</v>
      </c>
      <c r="S2611" s="4" t="s">
        <v>63</v>
      </c>
      <c r="T2611" s="4" t="s">
        <v>63</v>
      </c>
      <c r="U2611" s="4"/>
      <c r="V2611" s="4"/>
      <c r="W2611" s="4"/>
      <c r="X2611" s="4" t="s">
        <v>63</v>
      </c>
      <c r="Y2611" s="4" t="s">
        <v>21788</v>
      </c>
      <c r="Z2611" s="4" t="s">
        <v>63</v>
      </c>
      <c r="AA2611" s="4" t="s">
        <v>63</v>
      </c>
      <c r="AB2611" s="4" t="s">
        <v>63</v>
      </c>
      <c r="AC2611" s="4" t="s">
        <v>67</v>
      </c>
      <c r="AD2611" s="4" t="s">
        <v>63</v>
      </c>
      <c r="AE2611" s="4" t="s">
        <v>63</v>
      </c>
      <c r="AF2611" s="4" t="s">
        <v>63</v>
      </c>
      <c r="AG2611" s="4" t="s">
        <v>63</v>
      </c>
      <c r="AH2611" s="4" t="s">
        <v>63</v>
      </c>
      <c r="AI2611" s="4" t="s">
        <v>63</v>
      </c>
      <c r="AJ2611" s="4" t="s">
        <v>63</v>
      </c>
      <c r="AK2611" s="4" t="s">
        <v>63</v>
      </c>
      <c r="AL2611" s="4" t="s">
        <v>63</v>
      </c>
      <c r="AM2611" s="4" t="s">
        <v>21783</v>
      </c>
      <c r="AN2611" s="4" t="s">
        <v>63</v>
      </c>
      <c r="AO2611" s="4" t="s">
        <v>63</v>
      </c>
      <c r="AP2611" s="4" t="s">
        <v>63</v>
      </c>
      <c r="AQ2611" s="4" t="s">
        <v>63</v>
      </c>
      <c r="AR2611" s="4" t="s">
        <v>63</v>
      </c>
      <c r="AS2611" s="4" t="s">
        <v>63</v>
      </c>
      <c r="AT2611" s="4" t="s">
        <v>63</v>
      </c>
      <c r="AU2611" s="4" t="s">
        <v>63</v>
      </c>
      <c r="AV2611" s="4" t="s">
        <v>63</v>
      </c>
      <c r="AW2611" s="4" t="s">
        <v>63</v>
      </c>
      <c r="AX2611" s="4" t="s">
        <v>63</v>
      </c>
      <c r="AY2611" s="4" t="s">
        <v>63</v>
      </c>
      <c r="AZ2611" s="4" t="s">
        <v>63</v>
      </c>
      <c r="BA2611" s="4" t="s">
        <v>63</v>
      </c>
      <c r="BB2611" s="4" t="s">
        <v>63</v>
      </c>
      <c r="BC2611" s="4" t="s">
        <v>63</v>
      </c>
      <c r="BD2611" s="4" t="s">
        <v>63</v>
      </c>
      <c r="BE2611" s="4" t="s">
        <v>63</v>
      </c>
      <c r="BF2611" s="4" t="s">
        <v>63</v>
      </c>
    </row>
    <row r="2612" spans="1:58">
      <c r="A2612" s="4" t="s">
        <v>58</v>
      </c>
      <c r="B2612" s="4" t="s">
        <v>21789</v>
      </c>
      <c r="C2612" s="4" t="s">
        <v>21790</v>
      </c>
      <c r="D2612" s="4" t="s">
        <v>18931</v>
      </c>
      <c r="E2612" s="4" t="s">
        <v>63</v>
      </c>
      <c r="F2612" s="4">
        <v>2002</v>
      </c>
      <c r="G2612" s="4">
        <v>1</v>
      </c>
      <c r="H2612" s="4">
        <v>156</v>
      </c>
      <c r="I2612" s="4">
        <v>9</v>
      </c>
      <c r="J2612" s="4">
        <v>944</v>
      </c>
      <c r="K2612" s="4">
        <v>945</v>
      </c>
      <c r="L2612" s="4" t="s">
        <v>21791</v>
      </c>
      <c r="M2612" s="4" t="s">
        <v>63</v>
      </c>
      <c r="N2612" s="4" t="s">
        <v>21792</v>
      </c>
      <c r="O2612" s="4" t="s">
        <v>63</v>
      </c>
      <c r="P2612" s="4"/>
      <c r="Q2612" s="4" t="s">
        <v>63</v>
      </c>
      <c r="R2612" s="4" t="s">
        <v>63</v>
      </c>
      <c r="S2612" s="4" t="s">
        <v>63</v>
      </c>
      <c r="T2612" s="4" t="s">
        <v>63</v>
      </c>
      <c r="U2612" s="4"/>
      <c r="V2612" s="4"/>
      <c r="W2612" s="4"/>
      <c r="X2612" s="4" t="s">
        <v>63</v>
      </c>
      <c r="Y2612" s="4" t="s">
        <v>7437</v>
      </c>
      <c r="Z2612" s="4" t="s">
        <v>63</v>
      </c>
      <c r="AA2612" s="4" t="s">
        <v>63</v>
      </c>
      <c r="AB2612" s="4">
        <v>2003123838</v>
      </c>
      <c r="AC2612" s="4" t="s">
        <v>67</v>
      </c>
      <c r="AD2612" s="4" t="s">
        <v>63</v>
      </c>
      <c r="AE2612" s="4" t="s">
        <v>63</v>
      </c>
      <c r="AF2612" s="4" t="s">
        <v>63</v>
      </c>
      <c r="AG2612" s="4" t="s">
        <v>21793</v>
      </c>
      <c r="AH2612" s="4" t="s">
        <v>63</v>
      </c>
      <c r="AI2612" s="4" t="s">
        <v>63</v>
      </c>
      <c r="AJ2612" s="4" t="s">
        <v>63</v>
      </c>
      <c r="AK2612" s="4" t="s">
        <v>63</v>
      </c>
      <c r="AL2612" s="4" t="s">
        <v>63</v>
      </c>
      <c r="AM2612" s="4" t="s">
        <v>21794</v>
      </c>
      <c r="AN2612" s="4" t="s">
        <v>63</v>
      </c>
      <c r="AO2612" s="4" t="s">
        <v>63</v>
      </c>
      <c r="AP2612" s="4" t="s">
        <v>63</v>
      </c>
      <c r="AQ2612" s="4" t="s">
        <v>63</v>
      </c>
      <c r="AR2612" s="4" t="s">
        <v>63</v>
      </c>
      <c r="AS2612" s="4" t="s">
        <v>63</v>
      </c>
      <c r="AT2612" s="4" t="s">
        <v>63</v>
      </c>
      <c r="AU2612" s="4" t="s">
        <v>63</v>
      </c>
      <c r="AV2612" s="4" t="s">
        <v>63</v>
      </c>
      <c r="AW2612" s="4" t="s">
        <v>63</v>
      </c>
      <c r="AX2612" s="4" t="s">
        <v>63</v>
      </c>
      <c r="AY2612" s="4" t="s">
        <v>63</v>
      </c>
      <c r="AZ2612" s="4" t="s">
        <v>63</v>
      </c>
      <c r="BA2612" s="4" t="s">
        <v>63</v>
      </c>
      <c r="BB2612" s="4" t="s">
        <v>63</v>
      </c>
      <c r="BC2612" s="4" t="s">
        <v>63</v>
      </c>
      <c r="BD2612" s="4" t="s">
        <v>63</v>
      </c>
      <c r="BE2612" s="4" t="s">
        <v>63</v>
      </c>
      <c r="BF2612" s="4" t="s">
        <v>63</v>
      </c>
    </row>
    <row r="2613" spans="1:58">
      <c r="A2613" s="4" t="s">
        <v>58</v>
      </c>
      <c r="B2613" s="4" t="s">
        <v>21795</v>
      </c>
      <c r="C2613" s="4" t="s">
        <v>21796</v>
      </c>
      <c r="D2613" s="4" t="s">
        <v>21797</v>
      </c>
      <c r="E2613" s="4" t="s">
        <v>63</v>
      </c>
      <c r="F2613" s="4">
        <v>2008</v>
      </c>
      <c r="G2613" s="4" t="s">
        <v>63</v>
      </c>
      <c r="H2613" s="4">
        <v>18</v>
      </c>
      <c r="I2613" s="4">
        <v>4</v>
      </c>
      <c r="J2613" s="4">
        <v>335</v>
      </c>
      <c r="K2613" s="4">
        <v>342</v>
      </c>
      <c r="L2613" s="4" t="s">
        <v>21798</v>
      </c>
      <c r="M2613" s="4" t="s">
        <v>21799</v>
      </c>
      <c r="N2613" s="4" t="s">
        <v>21800</v>
      </c>
      <c r="O2613" s="4" t="s">
        <v>63</v>
      </c>
      <c r="P2613" s="4"/>
      <c r="Q2613" s="4" t="s">
        <v>63</v>
      </c>
      <c r="R2613" s="4" t="s">
        <v>63</v>
      </c>
      <c r="S2613" s="4" t="s">
        <v>63</v>
      </c>
      <c r="T2613" s="4" t="s">
        <v>63</v>
      </c>
      <c r="U2613" s="4"/>
      <c r="V2613" s="4"/>
      <c r="W2613" s="4"/>
      <c r="X2613" s="4" t="s">
        <v>63</v>
      </c>
      <c r="Y2613" s="4" t="s">
        <v>21801</v>
      </c>
      <c r="Z2613" s="4" t="s">
        <v>63</v>
      </c>
      <c r="AA2613" s="4" t="s">
        <v>63</v>
      </c>
      <c r="AB2613" s="4" t="s">
        <v>21802</v>
      </c>
      <c r="AC2613" s="4" t="s">
        <v>67</v>
      </c>
      <c r="AD2613" s="4" t="s">
        <v>63</v>
      </c>
      <c r="AE2613" s="4" t="s">
        <v>63</v>
      </c>
      <c r="AF2613" s="4" t="s">
        <v>63</v>
      </c>
      <c r="AG2613" s="4" t="s">
        <v>63</v>
      </c>
      <c r="AH2613" s="4" t="s">
        <v>63</v>
      </c>
      <c r="AI2613" s="4" t="s">
        <v>63</v>
      </c>
      <c r="AJ2613" s="4" t="s">
        <v>63</v>
      </c>
      <c r="AK2613" s="4" t="s">
        <v>63</v>
      </c>
      <c r="AL2613" s="4" t="s">
        <v>63</v>
      </c>
      <c r="AM2613" s="4" t="s">
        <v>21796</v>
      </c>
      <c r="AN2613" s="4" t="s">
        <v>63</v>
      </c>
      <c r="AO2613" s="4" t="s">
        <v>63</v>
      </c>
      <c r="AP2613" s="4" t="s">
        <v>63</v>
      </c>
      <c r="AQ2613" s="4" t="s">
        <v>63</v>
      </c>
      <c r="AR2613" s="4" t="s">
        <v>63</v>
      </c>
      <c r="AS2613" s="4" t="s">
        <v>63</v>
      </c>
      <c r="AT2613" s="4" t="s">
        <v>63</v>
      </c>
      <c r="AU2613" s="4" t="s">
        <v>63</v>
      </c>
      <c r="AV2613" s="4" t="s">
        <v>63</v>
      </c>
      <c r="AW2613" s="4" t="s">
        <v>63</v>
      </c>
      <c r="AX2613" s="4" t="s">
        <v>63</v>
      </c>
      <c r="AY2613" s="4" t="s">
        <v>63</v>
      </c>
      <c r="AZ2613" s="4" t="s">
        <v>63</v>
      </c>
      <c r="BA2613" s="4" t="s">
        <v>63</v>
      </c>
      <c r="BB2613" s="4" t="s">
        <v>63</v>
      </c>
      <c r="BC2613" s="4" t="s">
        <v>63</v>
      </c>
      <c r="BD2613" s="4" t="s">
        <v>63</v>
      </c>
      <c r="BE2613" s="4" t="s">
        <v>63</v>
      </c>
      <c r="BF2613" s="4" t="s">
        <v>63</v>
      </c>
    </row>
    <row r="2614" spans="1:58">
      <c r="A2614" s="4" t="s">
        <v>58</v>
      </c>
      <c r="B2614" s="4" t="s">
        <v>21803</v>
      </c>
      <c r="C2614" s="4" t="s">
        <v>21804</v>
      </c>
      <c r="D2614" s="4" t="s">
        <v>1406</v>
      </c>
      <c r="E2614" s="4" t="s">
        <v>1407</v>
      </c>
      <c r="F2614" s="4">
        <v>2005</v>
      </c>
      <c r="G2614" s="4" t="s">
        <v>15665</v>
      </c>
      <c r="H2614" s="4">
        <v>105</v>
      </c>
      <c r="I2614" s="4">
        <v>2</v>
      </c>
      <c r="J2614" s="4">
        <v>52</v>
      </c>
      <c r="K2614" s="4">
        <v>53</v>
      </c>
      <c r="L2614" s="4" t="s">
        <v>21805</v>
      </c>
      <c r="M2614" s="4" t="s">
        <v>63</v>
      </c>
      <c r="N2614" s="4" t="s">
        <v>21806</v>
      </c>
      <c r="O2614" s="4" t="s">
        <v>63</v>
      </c>
      <c r="P2614" s="4"/>
      <c r="Q2614" s="4" t="s">
        <v>63</v>
      </c>
      <c r="R2614" s="4" t="s">
        <v>63</v>
      </c>
      <c r="S2614" s="4" t="s">
        <v>63</v>
      </c>
      <c r="T2614" s="4" t="s">
        <v>63</v>
      </c>
      <c r="U2614" s="4"/>
      <c r="V2614" s="4"/>
      <c r="W2614" s="4"/>
      <c r="X2614" s="4" t="s">
        <v>63</v>
      </c>
      <c r="Y2614" s="4" t="s">
        <v>1411</v>
      </c>
      <c r="Z2614" s="4" t="s">
        <v>63</v>
      </c>
      <c r="AA2614" s="4" t="s">
        <v>63</v>
      </c>
      <c r="AB2614" s="4">
        <v>2005128956</v>
      </c>
      <c r="AC2614" s="4" t="s">
        <v>67</v>
      </c>
      <c r="AD2614" s="4" t="s">
        <v>63</v>
      </c>
      <c r="AE2614" s="4" t="s">
        <v>63</v>
      </c>
      <c r="AF2614" s="4" t="s">
        <v>63</v>
      </c>
      <c r="AG2614" s="4" t="s">
        <v>21807</v>
      </c>
      <c r="AH2614" s="4" t="s">
        <v>63</v>
      </c>
      <c r="AI2614" s="4" t="s">
        <v>63</v>
      </c>
      <c r="AJ2614" s="4" t="s">
        <v>63</v>
      </c>
      <c r="AK2614" s="4" t="s">
        <v>63</v>
      </c>
      <c r="AL2614" s="4" t="s">
        <v>63</v>
      </c>
      <c r="AM2614" s="4" t="s">
        <v>21808</v>
      </c>
      <c r="AN2614" s="4" t="s">
        <v>63</v>
      </c>
      <c r="AO2614" s="4" t="s">
        <v>63</v>
      </c>
      <c r="AP2614" s="4" t="s">
        <v>63</v>
      </c>
      <c r="AQ2614" s="4" t="s">
        <v>63</v>
      </c>
      <c r="AR2614" s="4" t="s">
        <v>63</v>
      </c>
      <c r="AS2614" s="4" t="s">
        <v>63</v>
      </c>
      <c r="AT2614" s="4" t="s">
        <v>63</v>
      </c>
      <c r="AU2614" s="4" t="s">
        <v>63</v>
      </c>
      <c r="AV2614" s="4" t="s">
        <v>63</v>
      </c>
      <c r="AW2614" s="4" t="s">
        <v>63</v>
      </c>
      <c r="AX2614" s="4" t="s">
        <v>63</v>
      </c>
      <c r="AY2614" s="4" t="s">
        <v>63</v>
      </c>
      <c r="AZ2614" s="4" t="s">
        <v>63</v>
      </c>
      <c r="BA2614" s="4" t="s">
        <v>63</v>
      </c>
      <c r="BB2614" s="4" t="s">
        <v>63</v>
      </c>
      <c r="BC2614" s="4" t="s">
        <v>63</v>
      </c>
      <c r="BD2614" s="4" t="s">
        <v>63</v>
      </c>
      <c r="BE2614" s="4" t="s">
        <v>63</v>
      </c>
      <c r="BF2614" s="4" t="s">
        <v>63</v>
      </c>
    </row>
    <row r="2615" spans="1:58">
      <c r="A2615" s="4" t="s">
        <v>58</v>
      </c>
      <c r="B2615" s="4" t="s">
        <v>21809</v>
      </c>
      <c r="C2615" s="4" t="s">
        <v>21810</v>
      </c>
      <c r="D2615" s="4" t="s">
        <v>3724</v>
      </c>
      <c r="E2615" s="4" t="s">
        <v>3725</v>
      </c>
      <c r="F2615" s="4">
        <v>2009</v>
      </c>
      <c r="G2615" s="4" t="s">
        <v>15300</v>
      </c>
      <c r="H2615" s="4">
        <v>15</v>
      </c>
      <c r="I2615" s="4">
        <v>4</v>
      </c>
      <c r="J2615" s="4">
        <v>607</v>
      </c>
      <c r="K2615" s="4">
        <v>613</v>
      </c>
      <c r="L2615" s="4" t="s">
        <v>21811</v>
      </c>
      <c r="M2615" s="4" t="s">
        <v>21812</v>
      </c>
      <c r="N2615" s="4" t="s">
        <v>21813</v>
      </c>
      <c r="O2615" s="4" t="s">
        <v>63</v>
      </c>
      <c r="P2615" s="4"/>
      <c r="Q2615" s="4" t="s">
        <v>63</v>
      </c>
      <c r="R2615" s="4" t="s">
        <v>63</v>
      </c>
      <c r="S2615" s="4" t="s">
        <v>63</v>
      </c>
      <c r="T2615" s="4" t="s">
        <v>63</v>
      </c>
      <c r="U2615" s="4"/>
      <c r="V2615" s="4"/>
      <c r="W2615" s="4"/>
      <c r="X2615" s="4" t="s">
        <v>63</v>
      </c>
      <c r="Y2615" s="4" t="s">
        <v>21814</v>
      </c>
      <c r="Z2615" s="4" t="s">
        <v>63</v>
      </c>
      <c r="AA2615" s="4" t="s">
        <v>63</v>
      </c>
      <c r="AB2615" s="4">
        <v>2009416887</v>
      </c>
      <c r="AC2615" s="4" t="s">
        <v>67</v>
      </c>
      <c r="AD2615" s="4" t="s">
        <v>63</v>
      </c>
      <c r="AE2615" s="4" t="s">
        <v>63</v>
      </c>
      <c r="AF2615" s="4" t="s">
        <v>63</v>
      </c>
      <c r="AG2615" s="4" t="s">
        <v>21815</v>
      </c>
      <c r="AH2615" s="4" t="s">
        <v>63</v>
      </c>
      <c r="AI2615" s="4" t="s">
        <v>21816</v>
      </c>
      <c r="AJ2615" s="4" t="s">
        <v>63</v>
      </c>
      <c r="AK2615" s="4" t="s">
        <v>63</v>
      </c>
      <c r="AL2615" s="4" t="s">
        <v>63</v>
      </c>
      <c r="AM2615" s="4" t="s">
        <v>21817</v>
      </c>
      <c r="AN2615" s="4" t="s">
        <v>63</v>
      </c>
      <c r="AO2615" s="4" t="s">
        <v>63</v>
      </c>
      <c r="AP2615" s="4" t="s">
        <v>63</v>
      </c>
      <c r="AQ2615" s="4" t="s">
        <v>63</v>
      </c>
      <c r="AR2615" s="4" t="s">
        <v>63</v>
      </c>
      <c r="AS2615" s="4" t="s">
        <v>63</v>
      </c>
      <c r="AT2615" s="4" t="s">
        <v>63</v>
      </c>
      <c r="AU2615" s="4" t="s">
        <v>63</v>
      </c>
      <c r="AV2615" s="4" t="s">
        <v>63</v>
      </c>
      <c r="AW2615" s="4" t="s">
        <v>63</v>
      </c>
      <c r="AX2615" s="4" t="s">
        <v>63</v>
      </c>
      <c r="AY2615" s="4" t="s">
        <v>63</v>
      </c>
      <c r="AZ2615" s="4" t="s">
        <v>63</v>
      </c>
      <c r="BA2615" s="4" t="s">
        <v>63</v>
      </c>
      <c r="BB2615" s="4" t="s">
        <v>63</v>
      </c>
      <c r="BC2615" s="4" t="s">
        <v>63</v>
      </c>
      <c r="BD2615" s="4" t="s">
        <v>63</v>
      </c>
      <c r="BE2615" s="4" t="s">
        <v>63</v>
      </c>
      <c r="BF2615" s="4" t="s">
        <v>63</v>
      </c>
    </row>
    <row r="2616" spans="1:58">
      <c r="A2616" s="4" t="s">
        <v>58</v>
      </c>
      <c r="B2616" s="4" t="s">
        <v>21818</v>
      </c>
      <c r="C2616" s="4" t="s">
        <v>21819</v>
      </c>
      <c r="D2616" s="4" t="s">
        <v>5813</v>
      </c>
      <c r="E2616" s="4" t="s">
        <v>5814</v>
      </c>
      <c r="F2616" s="4">
        <v>2011</v>
      </c>
      <c r="G2616" s="4" t="s">
        <v>219</v>
      </c>
      <c r="H2616" s="4">
        <v>70</v>
      </c>
      <c r="I2616" s="4">
        <v>11</v>
      </c>
      <c r="J2616" s="4">
        <v>245</v>
      </c>
      <c r="K2616" s="4">
        <v>247</v>
      </c>
      <c r="L2616" s="4" t="s">
        <v>21820</v>
      </c>
      <c r="M2616" s="4" t="s">
        <v>21821</v>
      </c>
      <c r="N2616" s="4" t="s">
        <v>21822</v>
      </c>
      <c r="O2616" s="4" t="s">
        <v>63</v>
      </c>
      <c r="P2616" s="4"/>
      <c r="Q2616" s="4" t="s">
        <v>63</v>
      </c>
      <c r="R2616" s="4" t="s">
        <v>63</v>
      </c>
      <c r="S2616" s="4" t="s">
        <v>63</v>
      </c>
      <c r="T2616" s="4" t="s">
        <v>63</v>
      </c>
      <c r="U2616" s="4"/>
      <c r="V2616" s="4"/>
      <c r="W2616" s="4"/>
      <c r="X2616" s="4" t="s">
        <v>63</v>
      </c>
      <c r="Y2616" s="4" t="s">
        <v>5818</v>
      </c>
      <c r="Z2616" s="4" t="s">
        <v>63</v>
      </c>
      <c r="AA2616" s="4" t="s">
        <v>63</v>
      </c>
      <c r="AB2616" s="4" t="s">
        <v>63</v>
      </c>
      <c r="AC2616" s="4" t="s">
        <v>67</v>
      </c>
      <c r="AD2616" s="4" t="s">
        <v>63</v>
      </c>
      <c r="AE2616" s="4" t="s">
        <v>63</v>
      </c>
      <c r="AF2616" s="4" t="s">
        <v>63</v>
      </c>
      <c r="AG2616" s="4" t="s">
        <v>21823</v>
      </c>
      <c r="AH2616" s="4" t="s">
        <v>63</v>
      </c>
      <c r="AI2616" s="4" t="s">
        <v>63</v>
      </c>
      <c r="AJ2616" s="4" t="s">
        <v>63</v>
      </c>
      <c r="AK2616" s="4" t="s">
        <v>63</v>
      </c>
      <c r="AL2616" s="4" t="s">
        <v>63</v>
      </c>
      <c r="AM2616" s="4" t="s">
        <v>21824</v>
      </c>
      <c r="AN2616" s="4" t="s">
        <v>63</v>
      </c>
      <c r="AO2616" s="4" t="s">
        <v>63</v>
      </c>
      <c r="AP2616" s="4" t="s">
        <v>63</v>
      </c>
      <c r="AQ2616" s="4" t="s">
        <v>63</v>
      </c>
      <c r="AR2616" s="4" t="s">
        <v>63</v>
      </c>
      <c r="AS2616" s="4" t="s">
        <v>63</v>
      </c>
      <c r="AT2616" s="4" t="s">
        <v>63</v>
      </c>
      <c r="AU2616" s="4" t="s">
        <v>63</v>
      </c>
      <c r="AV2616" s="4" t="s">
        <v>63</v>
      </c>
      <c r="AW2616" s="4" t="s">
        <v>63</v>
      </c>
      <c r="AX2616" s="4" t="s">
        <v>63</v>
      </c>
      <c r="AY2616" s="4" t="s">
        <v>63</v>
      </c>
      <c r="AZ2616" s="4" t="s">
        <v>63</v>
      </c>
      <c r="BA2616" s="4" t="s">
        <v>63</v>
      </c>
      <c r="BB2616" s="4" t="s">
        <v>63</v>
      </c>
      <c r="BC2616" s="4" t="s">
        <v>63</v>
      </c>
      <c r="BD2616" s="4" t="s">
        <v>63</v>
      </c>
      <c r="BE2616" s="4" t="s">
        <v>63</v>
      </c>
      <c r="BF2616" s="4" t="s">
        <v>63</v>
      </c>
    </row>
    <row r="2617" spans="1:58">
      <c r="A2617" s="4" t="s">
        <v>58</v>
      </c>
      <c r="B2617" s="4" t="s">
        <v>21825</v>
      </c>
      <c r="C2617" s="4" t="s">
        <v>21826</v>
      </c>
      <c r="D2617" s="4" t="s">
        <v>21827</v>
      </c>
      <c r="E2617" s="4" t="s">
        <v>21828</v>
      </c>
      <c r="F2617" s="4">
        <v>1991</v>
      </c>
      <c r="G2617" s="4" t="s">
        <v>274</v>
      </c>
      <c r="H2617" s="4" t="s">
        <v>63</v>
      </c>
      <c r="I2617" s="4">
        <v>3</v>
      </c>
      <c r="J2617" s="4">
        <v>77</v>
      </c>
      <c r="K2617" s="4">
        <v>79</v>
      </c>
      <c r="L2617" s="4" t="s">
        <v>21829</v>
      </c>
      <c r="M2617" s="4" t="s">
        <v>63</v>
      </c>
      <c r="N2617" s="4" t="s">
        <v>21830</v>
      </c>
      <c r="O2617" s="4" t="s">
        <v>63</v>
      </c>
      <c r="P2617" s="4"/>
      <c r="Q2617" s="4" t="s">
        <v>63</v>
      </c>
      <c r="R2617" s="4" t="s">
        <v>63</v>
      </c>
      <c r="S2617" s="4" t="s">
        <v>63</v>
      </c>
      <c r="T2617" s="4" t="s">
        <v>63</v>
      </c>
      <c r="U2617" s="4"/>
      <c r="V2617" s="4"/>
      <c r="W2617" s="4"/>
      <c r="X2617" s="4" t="s">
        <v>63</v>
      </c>
      <c r="Y2617" s="4" t="s">
        <v>21831</v>
      </c>
      <c r="Z2617" s="4" t="s">
        <v>63</v>
      </c>
      <c r="AA2617" s="4" t="s">
        <v>63</v>
      </c>
      <c r="AB2617" s="4" t="s">
        <v>63</v>
      </c>
      <c r="AC2617" s="4" t="s">
        <v>5266</v>
      </c>
      <c r="AD2617" s="4" t="s">
        <v>63</v>
      </c>
      <c r="AE2617" s="4" t="s">
        <v>63</v>
      </c>
      <c r="AF2617" s="4" t="s">
        <v>63</v>
      </c>
      <c r="AG2617" s="4" t="s">
        <v>21832</v>
      </c>
      <c r="AH2617" s="4" t="s">
        <v>63</v>
      </c>
      <c r="AI2617" s="4" t="s">
        <v>63</v>
      </c>
      <c r="AJ2617" s="4" t="s">
        <v>63</v>
      </c>
      <c r="AK2617" s="4" t="s">
        <v>63</v>
      </c>
      <c r="AL2617" s="4" t="s">
        <v>63</v>
      </c>
      <c r="AM2617" s="4" t="s">
        <v>21833</v>
      </c>
      <c r="AN2617" s="4" t="s">
        <v>63</v>
      </c>
      <c r="AO2617" s="4" t="s">
        <v>63</v>
      </c>
      <c r="AP2617" s="4" t="s">
        <v>63</v>
      </c>
      <c r="AQ2617" s="4" t="s">
        <v>63</v>
      </c>
      <c r="AR2617" s="4" t="s">
        <v>63</v>
      </c>
      <c r="AS2617" s="4" t="s">
        <v>63</v>
      </c>
      <c r="AT2617" s="4" t="s">
        <v>63</v>
      </c>
      <c r="AU2617" s="4" t="s">
        <v>63</v>
      </c>
      <c r="AV2617" s="4" t="s">
        <v>63</v>
      </c>
      <c r="AW2617" s="4" t="s">
        <v>63</v>
      </c>
      <c r="AX2617" s="4" t="s">
        <v>63</v>
      </c>
      <c r="AY2617" s="4" t="s">
        <v>63</v>
      </c>
      <c r="AZ2617" s="4" t="s">
        <v>63</v>
      </c>
      <c r="BA2617" s="4" t="s">
        <v>63</v>
      </c>
      <c r="BB2617" s="4" t="s">
        <v>63</v>
      </c>
      <c r="BC2617" s="4" t="s">
        <v>63</v>
      </c>
      <c r="BD2617" s="4" t="s">
        <v>63</v>
      </c>
      <c r="BE2617" s="4" t="s">
        <v>63</v>
      </c>
      <c r="BF2617" s="4" t="s">
        <v>63</v>
      </c>
    </row>
    <row r="2618" spans="1:58">
      <c r="A2618" s="4" t="s">
        <v>58</v>
      </c>
      <c r="B2618" s="4" t="s">
        <v>21834</v>
      </c>
      <c r="C2618" s="4" t="s">
        <v>21835</v>
      </c>
      <c r="D2618" s="4" t="s">
        <v>19021</v>
      </c>
      <c r="E2618" s="4" t="s">
        <v>63</v>
      </c>
      <c r="F2618" s="4">
        <v>2001</v>
      </c>
      <c r="G2618" s="4" t="s">
        <v>63</v>
      </c>
      <c r="H2618" s="4">
        <v>36</v>
      </c>
      <c r="I2618" s="4">
        <v>14</v>
      </c>
      <c r="J2618" s="4">
        <v>2043</v>
      </c>
      <c r="K2618" s="4">
        <v>2063</v>
      </c>
      <c r="L2618" s="4" t="s">
        <v>21836</v>
      </c>
      <c r="M2618" s="4" t="s">
        <v>21837</v>
      </c>
      <c r="N2618" s="4" t="s">
        <v>21838</v>
      </c>
      <c r="O2618" s="4" t="s">
        <v>63</v>
      </c>
      <c r="P2618" s="4"/>
      <c r="Q2618" s="4" t="s">
        <v>63</v>
      </c>
      <c r="R2618" s="4" t="s">
        <v>63</v>
      </c>
      <c r="S2618" s="4" t="s">
        <v>63</v>
      </c>
      <c r="T2618" s="4" t="s">
        <v>63</v>
      </c>
      <c r="U2618" s="4"/>
      <c r="V2618" s="4"/>
      <c r="W2618" s="4"/>
      <c r="X2618" s="4" t="s">
        <v>63</v>
      </c>
      <c r="Y2618" s="4" t="s">
        <v>3682</v>
      </c>
      <c r="Z2618" s="4" t="s">
        <v>63</v>
      </c>
      <c r="AA2618" s="4" t="s">
        <v>63</v>
      </c>
      <c r="AB2618" s="4">
        <v>2002014399</v>
      </c>
      <c r="AC2618" s="4" t="s">
        <v>67</v>
      </c>
      <c r="AD2618" s="4" t="s">
        <v>63</v>
      </c>
      <c r="AE2618" s="4" t="s">
        <v>63</v>
      </c>
      <c r="AF2618" s="4" t="s">
        <v>63</v>
      </c>
      <c r="AG2618" s="4" t="s">
        <v>21839</v>
      </c>
      <c r="AH2618" s="4" t="s">
        <v>63</v>
      </c>
      <c r="AI2618" s="4" t="s">
        <v>21840</v>
      </c>
      <c r="AJ2618" s="4" t="s">
        <v>63</v>
      </c>
      <c r="AK2618" s="4" t="s">
        <v>63</v>
      </c>
      <c r="AL2618" s="4" t="s">
        <v>63</v>
      </c>
      <c r="AM2618" s="4" t="s">
        <v>21841</v>
      </c>
      <c r="AN2618" s="4" t="s">
        <v>63</v>
      </c>
      <c r="AO2618" s="4" t="s">
        <v>63</v>
      </c>
      <c r="AP2618" s="4" t="s">
        <v>63</v>
      </c>
      <c r="AQ2618" s="4" t="s">
        <v>63</v>
      </c>
      <c r="AR2618" s="4" t="s">
        <v>63</v>
      </c>
      <c r="AS2618" s="4" t="s">
        <v>63</v>
      </c>
      <c r="AT2618" s="4" t="s">
        <v>63</v>
      </c>
      <c r="AU2618" s="4" t="s">
        <v>63</v>
      </c>
      <c r="AV2618" s="4" t="s">
        <v>63</v>
      </c>
      <c r="AW2618" s="4" t="s">
        <v>63</v>
      </c>
      <c r="AX2618" s="4" t="s">
        <v>63</v>
      </c>
      <c r="AY2618" s="4" t="s">
        <v>63</v>
      </c>
      <c r="AZ2618" s="4" t="s">
        <v>63</v>
      </c>
      <c r="BA2618" s="4" t="s">
        <v>63</v>
      </c>
      <c r="BB2618" s="4" t="s">
        <v>63</v>
      </c>
      <c r="BC2618" s="4" t="s">
        <v>63</v>
      </c>
      <c r="BD2618" s="4" t="s">
        <v>63</v>
      </c>
      <c r="BE2618" s="4" t="s">
        <v>63</v>
      </c>
      <c r="BF2618" s="4" t="s">
        <v>63</v>
      </c>
    </row>
    <row r="2619" spans="1:58">
      <c r="A2619" s="4" t="s">
        <v>58</v>
      </c>
      <c r="B2619" s="4" t="s">
        <v>21842</v>
      </c>
      <c r="C2619" s="4" t="s">
        <v>21843</v>
      </c>
      <c r="D2619" s="4" t="s">
        <v>21844</v>
      </c>
      <c r="E2619" s="4" t="s">
        <v>63</v>
      </c>
      <c r="F2619" s="4">
        <v>2003</v>
      </c>
      <c r="G2619" s="4" t="s">
        <v>73</v>
      </c>
      <c r="H2619" s="4">
        <v>5</v>
      </c>
      <c r="I2619" s="4">
        <v>2</v>
      </c>
      <c r="J2619" s="4">
        <v>313</v>
      </c>
      <c r="K2619" s="4">
        <v>342</v>
      </c>
      <c r="L2619" s="4" t="s">
        <v>21845</v>
      </c>
      <c r="M2619" s="4" t="s">
        <v>21846</v>
      </c>
      <c r="N2619" s="4" t="s">
        <v>21847</v>
      </c>
      <c r="O2619" s="4" t="s">
        <v>63</v>
      </c>
      <c r="P2619" s="4"/>
      <c r="Q2619" s="4" t="s">
        <v>63</v>
      </c>
      <c r="R2619" s="4" t="s">
        <v>63</v>
      </c>
      <c r="S2619" s="4" t="s">
        <v>63</v>
      </c>
      <c r="T2619" s="4" t="s">
        <v>63</v>
      </c>
      <c r="U2619" s="4"/>
      <c r="V2619" s="4"/>
      <c r="W2619" s="4"/>
      <c r="X2619" s="4" t="s">
        <v>63</v>
      </c>
      <c r="Y2619" s="4" t="s">
        <v>21848</v>
      </c>
      <c r="Z2619" s="4" t="s">
        <v>63</v>
      </c>
      <c r="AA2619" s="4" t="s">
        <v>63</v>
      </c>
      <c r="AB2619" s="4" t="s">
        <v>21849</v>
      </c>
      <c r="AC2619" s="4" t="s">
        <v>67</v>
      </c>
      <c r="AD2619" s="4" t="s">
        <v>63</v>
      </c>
      <c r="AE2619" s="4" t="s">
        <v>63</v>
      </c>
      <c r="AF2619" s="4" t="s">
        <v>63</v>
      </c>
      <c r="AG2619" s="4" t="s">
        <v>63</v>
      </c>
      <c r="AH2619" s="4" t="s">
        <v>63</v>
      </c>
      <c r="AI2619" s="4" t="s">
        <v>63</v>
      </c>
      <c r="AJ2619" s="4" t="s">
        <v>63</v>
      </c>
      <c r="AK2619" s="4" t="s">
        <v>63</v>
      </c>
      <c r="AL2619" s="4" t="s">
        <v>63</v>
      </c>
      <c r="AM2619" s="4" t="s">
        <v>21843</v>
      </c>
      <c r="AN2619" s="4" t="s">
        <v>63</v>
      </c>
      <c r="AO2619" s="4" t="s">
        <v>63</v>
      </c>
      <c r="AP2619" s="4" t="s">
        <v>63</v>
      </c>
      <c r="AQ2619" s="4" t="s">
        <v>63</v>
      </c>
      <c r="AR2619" s="4" t="s">
        <v>63</v>
      </c>
      <c r="AS2619" s="4" t="s">
        <v>63</v>
      </c>
      <c r="AT2619" s="4" t="s">
        <v>63</v>
      </c>
      <c r="AU2619" s="4" t="s">
        <v>63</v>
      </c>
      <c r="AV2619" s="4" t="s">
        <v>63</v>
      </c>
      <c r="AW2619" s="4" t="s">
        <v>63</v>
      </c>
      <c r="AX2619" s="4" t="s">
        <v>63</v>
      </c>
      <c r="AY2619" s="4" t="s">
        <v>63</v>
      </c>
      <c r="AZ2619" s="4" t="s">
        <v>63</v>
      </c>
      <c r="BA2619" s="4" t="s">
        <v>63</v>
      </c>
      <c r="BB2619" s="4" t="s">
        <v>63</v>
      </c>
      <c r="BC2619" s="4" t="s">
        <v>63</v>
      </c>
      <c r="BD2619" s="4" t="s">
        <v>63</v>
      </c>
      <c r="BE2619" s="4" t="s">
        <v>63</v>
      </c>
      <c r="BF2619" s="4" t="s">
        <v>63</v>
      </c>
    </row>
    <row r="2620" spans="1:58">
      <c r="A2620" s="4" t="s">
        <v>58</v>
      </c>
      <c r="B2620" s="4" t="s">
        <v>21850</v>
      </c>
      <c r="C2620" s="4" t="s">
        <v>21851</v>
      </c>
      <c r="D2620" s="4" t="s">
        <v>4030</v>
      </c>
      <c r="E2620" s="4" t="s">
        <v>4031</v>
      </c>
      <c r="F2620" s="4">
        <v>1974</v>
      </c>
      <c r="G2620" s="4" t="s">
        <v>63</v>
      </c>
      <c r="H2620" s="4">
        <v>4</v>
      </c>
      <c r="I2620" s="4">
        <v>2</v>
      </c>
      <c r="J2620" s="4">
        <v>169</v>
      </c>
      <c r="K2620" s="4">
        <v>178</v>
      </c>
      <c r="L2620" s="4" t="s">
        <v>21852</v>
      </c>
      <c r="M2620" s="4" t="s">
        <v>21853</v>
      </c>
      <c r="N2620" s="4" t="s">
        <v>21854</v>
      </c>
      <c r="O2620" s="4" t="s">
        <v>63</v>
      </c>
      <c r="P2620" s="4"/>
      <c r="Q2620" s="4" t="s">
        <v>63</v>
      </c>
      <c r="R2620" s="4" t="s">
        <v>63</v>
      </c>
      <c r="S2620" s="4" t="s">
        <v>63</v>
      </c>
      <c r="T2620" s="4" t="s">
        <v>63</v>
      </c>
      <c r="U2620" s="4"/>
      <c r="V2620" s="4"/>
      <c r="W2620" s="4"/>
      <c r="X2620" s="4" t="s">
        <v>63</v>
      </c>
      <c r="Y2620" s="4" t="s">
        <v>4035</v>
      </c>
      <c r="Z2620" s="4" t="s">
        <v>63</v>
      </c>
      <c r="AA2620" s="4" t="s">
        <v>63</v>
      </c>
      <c r="AB2620" s="4" t="s">
        <v>21855</v>
      </c>
      <c r="AC2620" s="4" t="s">
        <v>67</v>
      </c>
      <c r="AD2620" s="4" t="s">
        <v>63</v>
      </c>
      <c r="AE2620" s="4" t="s">
        <v>63</v>
      </c>
      <c r="AF2620" s="4" t="s">
        <v>63</v>
      </c>
      <c r="AG2620" s="4" t="s">
        <v>63</v>
      </c>
      <c r="AH2620" s="4" t="s">
        <v>63</v>
      </c>
      <c r="AI2620" s="4" t="s">
        <v>63</v>
      </c>
      <c r="AJ2620" s="4" t="s">
        <v>63</v>
      </c>
      <c r="AK2620" s="4" t="s">
        <v>63</v>
      </c>
      <c r="AL2620" s="4" t="s">
        <v>63</v>
      </c>
      <c r="AM2620" s="4" t="s">
        <v>21851</v>
      </c>
      <c r="AN2620" s="4" t="s">
        <v>63</v>
      </c>
      <c r="AO2620" s="4" t="s">
        <v>63</v>
      </c>
      <c r="AP2620" s="4" t="s">
        <v>63</v>
      </c>
      <c r="AQ2620" s="4" t="s">
        <v>63</v>
      </c>
      <c r="AR2620" s="4" t="s">
        <v>63</v>
      </c>
      <c r="AS2620" s="4" t="s">
        <v>63</v>
      </c>
      <c r="AT2620" s="4" t="s">
        <v>63</v>
      </c>
      <c r="AU2620" s="4" t="s">
        <v>63</v>
      </c>
      <c r="AV2620" s="4" t="s">
        <v>63</v>
      </c>
      <c r="AW2620" s="4" t="s">
        <v>63</v>
      </c>
      <c r="AX2620" s="4" t="s">
        <v>63</v>
      </c>
      <c r="AY2620" s="4" t="s">
        <v>63</v>
      </c>
      <c r="AZ2620" s="4" t="s">
        <v>63</v>
      </c>
      <c r="BA2620" s="4" t="s">
        <v>63</v>
      </c>
      <c r="BB2620" s="4" t="s">
        <v>63</v>
      </c>
      <c r="BC2620" s="4" t="s">
        <v>63</v>
      </c>
      <c r="BD2620" s="4" t="s">
        <v>63</v>
      </c>
      <c r="BE2620" s="4" t="s">
        <v>63</v>
      </c>
      <c r="BF2620" s="4" t="s">
        <v>63</v>
      </c>
    </row>
    <row r="2621" spans="1:58">
      <c r="A2621" s="4" t="s">
        <v>58</v>
      </c>
      <c r="B2621" s="4" t="s">
        <v>21856</v>
      </c>
      <c r="C2621" s="4" t="s">
        <v>21857</v>
      </c>
      <c r="D2621" s="4" t="s">
        <v>21858</v>
      </c>
      <c r="E2621" s="4" t="s">
        <v>63</v>
      </c>
      <c r="F2621" s="4">
        <v>2011</v>
      </c>
      <c r="G2621" s="4" t="s">
        <v>63</v>
      </c>
      <c r="H2621" s="4">
        <v>10</v>
      </c>
      <c r="I2621" s="4">
        <v>4</v>
      </c>
      <c r="J2621" s="4">
        <v>280</v>
      </c>
      <c r="K2621" s="4">
        <v>283</v>
      </c>
      <c r="L2621" s="4" t="s">
        <v>21859</v>
      </c>
      <c r="M2621" s="4" t="s">
        <v>21860</v>
      </c>
      <c r="N2621" s="4" t="s">
        <v>21861</v>
      </c>
      <c r="O2621" s="4" t="s">
        <v>63</v>
      </c>
      <c r="P2621" s="4"/>
      <c r="Q2621" s="4" t="s">
        <v>63</v>
      </c>
      <c r="R2621" s="4" t="s">
        <v>63</v>
      </c>
      <c r="S2621" s="4" t="s">
        <v>63</v>
      </c>
      <c r="T2621" s="4" t="s">
        <v>63</v>
      </c>
      <c r="U2621" s="4"/>
      <c r="V2621" s="4"/>
      <c r="W2621" s="4"/>
      <c r="X2621" s="4" t="s">
        <v>63</v>
      </c>
      <c r="Y2621" s="4" t="s">
        <v>21862</v>
      </c>
      <c r="Z2621" s="4" t="s">
        <v>63</v>
      </c>
      <c r="AA2621" s="4" t="s">
        <v>63</v>
      </c>
      <c r="AB2621" s="4" t="s">
        <v>21863</v>
      </c>
      <c r="AC2621" s="4" t="s">
        <v>67</v>
      </c>
      <c r="AD2621" s="4" t="s">
        <v>63</v>
      </c>
      <c r="AE2621" s="4" t="s">
        <v>63</v>
      </c>
      <c r="AF2621" s="4" t="s">
        <v>63</v>
      </c>
      <c r="AG2621" s="4" t="s">
        <v>63</v>
      </c>
      <c r="AH2621" s="4" t="s">
        <v>63</v>
      </c>
      <c r="AI2621" s="4" t="s">
        <v>63</v>
      </c>
      <c r="AJ2621" s="4" t="s">
        <v>63</v>
      </c>
      <c r="AK2621" s="4" t="s">
        <v>63</v>
      </c>
      <c r="AL2621" s="4" t="s">
        <v>63</v>
      </c>
      <c r="AM2621" s="4" t="s">
        <v>21857</v>
      </c>
      <c r="AN2621" s="4" t="s">
        <v>63</v>
      </c>
      <c r="AO2621" s="4" t="s">
        <v>63</v>
      </c>
      <c r="AP2621" s="4" t="s">
        <v>63</v>
      </c>
      <c r="AQ2621" s="4" t="s">
        <v>63</v>
      </c>
      <c r="AR2621" s="4" t="s">
        <v>63</v>
      </c>
      <c r="AS2621" s="4" t="s">
        <v>63</v>
      </c>
      <c r="AT2621" s="4" t="s">
        <v>63</v>
      </c>
      <c r="AU2621" s="4" t="s">
        <v>63</v>
      </c>
      <c r="AV2621" s="4" t="s">
        <v>63</v>
      </c>
      <c r="AW2621" s="4" t="s">
        <v>63</v>
      </c>
      <c r="AX2621" s="4" t="s">
        <v>63</v>
      </c>
      <c r="AY2621" s="4" t="s">
        <v>63</v>
      </c>
      <c r="AZ2621" s="4" t="s">
        <v>63</v>
      </c>
      <c r="BA2621" s="4" t="s">
        <v>63</v>
      </c>
      <c r="BB2621" s="4" t="s">
        <v>63</v>
      </c>
      <c r="BC2621" s="4" t="s">
        <v>63</v>
      </c>
      <c r="BD2621" s="4" t="s">
        <v>63</v>
      </c>
      <c r="BE2621" s="4" t="s">
        <v>63</v>
      </c>
      <c r="BF2621" s="4" t="s">
        <v>63</v>
      </c>
    </row>
    <row r="2622" spans="1:58">
      <c r="A2622" s="4" t="s">
        <v>58</v>
      </c>
      <c r="B2622" s="4" t="s">
        <v>21864</v>
      </c>
      <c r="C2622" s="4" t="s">
        <v>21865</v>
      </c>
      <c r="D2622" s="4" t="s">
        <v>21866</v>
      </c>
      <c r="E2622" s="4" t="s">
        <v>2760</v>
      </c>
      <c r="F2622" s="4">
        <v>1988</v>
      </c>
      <c r="G2622" s="4" t="s">
        <v>189</v>
      </c>
      <c r="H2622" s="4">
        <v>148</v>
      </c>
      <c r="I2622" s="4">
        <v>5</v>
      </c>
      <c r="J2622" s="4">
        <v>593</v>
      </c>
      <c r="K2622" s="4">
        <v>595</v>
      </c>
      <c r="L2622" s="4" t="s">
        <v>21867</v>
      </c>
      <c r="M2622" s="4" t="s">
        <v>63</v>
      </c>
      <c r="N2622" s="4" t="s">
        <v>21868</v>
      </c>
      <c r="O2622" s="4" t="s">
        <v>63</v>
      </c>
      <c r="P2622" s="4"/>
      <c r="Q2622" s="4" t="s">
        <v>63</v>
      </c>
      <c r="R2622" s="4" t="s">
        <v>63</v>
      </c>
      <c r="S2622" s="4" t="s">
        <v>63</v>
      </c>
      <c r="T2622" s="4" t="s">
        <v>63</v>
      </c>
      <c r="U2622" s="4"/>
      <c r="V2622" s="4"/>
      <c r="W2622" s="4"/>
      <c r="X2622" s="4" t="s">
        <v>63</v>
      </c>
      <c r="Y2622" s="4" t="s">
        <v>2763</v>
      </c>
      <c r="Z2622" s="4" t="s">
        <v>63</v>
      </c>
      <c r="AA2622" s="4" t="s">
        <v>63</v>
      </c>
      <c r="AB2622" s="4" t="s">
        <v>63</v>
      </c>
      <c r="AC2622" s="4" t="s">
        <v>67</v>
      </c>
      <c r="AD2622" s="4" t="s">
        <v>63</v>
      </c>
      <c r="AE2622" s="4" t="s">
        <v>63</v>
      </c>
      <c r="AF2622" s="4" t="s">
        <v>63</v>
      </c>
      <c r="AG2622" s="4" t="s">
        <v>21869</v>
      </c>
      <c r="AH2622" s="4" t="s">
        <v>63</v>
      </c>
      <c r="AI2622" s="4" t="s">
        <v>63</v>
      </c>
      <c r="AJ2622" s="4" t="s">
        <v>63</v>
      </c>
      <c r="AK2622" s="4" t="s">
        <v>63</v>
      </c>
      <c r="AL2622" s="4" t="s">
        <v>63</v>
      </c>
      <c r="AM2622" s="4" t="s">
        <v>21870</v>
      </c>
      <c r="AN2622" s="4" t="s">
        <v>63</v>
      </c>
      <c r="AO2622" s="4" t="s">
        <v>63</v>
      </c>
      <c r="AP2622" s="4" t="s">
        <v>63</v>
      </c>
      <c r="AQ2622" s="4" t="s">
        <v>63</v>
      </c>
      <c r="AR2622" s="4" t="s">
        <v>63</v>
      </c>
      <c r="AS2622" s="4" t="s">
        <v>63</v>
      </c>
      <c r="AT2622" s="4" t="s">
        <v>63</v>
      </c>
      <c r="AU2622" s="4" t="s">
        <v>63</v>
      </c>
      <c r="AV2622" s="4" t="s">
        <v>63</v>
      </c>
      <c r="AW2622" s="4" t="s">
        <v>63</v>
      </c>
      <c r="AX2622" s="4" t="s">
        <v>63</v>
      </c>
      <c r="AY2622" s="4" t="s">
        <v>63</v>
      </c>
      <c r="AZ2622" s="4" t="s">
        <v>63</v>
      </c>
      <c r="BA2622" s="4" t="s">
        <v>63</v>
      </c>
      <c r="BB2622" s="4" t="s">
        <v>63</v>
      </c>
      <c r="BC2622" s="4" t="s">
        <v>63</v>
      </c>
      <c r="BD2622" s="4" t="s">
        <v>63</v>
      </c>
      <c r="BE2622" s="4" t="s">
        <v>63</v>
      </c>
      <c r="BF2622" s="4" t="s">
        <v>63</v>
      </c>
    </row>
    <row r="2623" spans="1:58">
      <c r="A2623" s="4" t="s">
        <v>58</v>
      </c>
      <c r="B2623" s="4" t="s">
        <v>21871</v>
      </c>
      <c r="C2623" s="4" t="s">
        <v>21872</v>
      </c>
      <c r="D2623" s="4" t="s">
        <v>21873</v>
      </c>
      <c r="E2623" s="4" t="s">
        <v>63</v>
      </c>
      <c r="F2623" s="4">
        <v>1992</v>
      </c>
      <c r="G2623" s="4" t="s">
        <v>63</v>
      </c>
      <c r="H2623" s="4">
        <v>60</v>
      </c>
      <c r="I2623" s="4">
        <v>1</v>
      </c>
      <c r="J2623" s="4">
        <v>46</v>
      </c>
      <c r="K2623" s="4">
        <v>50</v>
      </c>
      <c r="L2623" s="4" t="s">
        <v>21874</v>
      </c>
      <c r="M2623" s="4" t="s">
        <v>21875</v>
      </c>
      <c r="N2623" s="4" t="s">
        <v>21876</v>
      </c>
      <c r="O2623" s="4" t="s">
        <v>63</v>
      </c>
      <c r="P2623" s="4"/>
      <c r="Q2623" s="4" t="s">
        <v>63</v>
      </c>
      <c r="R2623" s="4" t="s">
        <v>63</v>
      </c>
      <c r="S2623" s="4" t="s">
        <v>63</v>
      </c>
      <c r="T2623" s="4" t="s">
        <v>63</v>
      </c>
      <c r="U2623" s="4"/>
      <c r="V2623" s="4"/>
      <c r="W2623" s="4"/>
      <c r="X2623" s="4" t="s">
        <v>63</v>
      </c>
      <c r="Y2623" s="4" t="s">
        <v>12534</v>
      </c>
      <c r="Z2623" s="4" t="s">
        <v>63</v>
      </c>
      <c r="AA2623" s="4" t="s">
        <v>63</v>
      </c>
      <c r="AB2623" s="4" t="s">
        <v>63</v>
      </c>
      <c r="AC2623" s="4" t="s">
        <v>696</v>
      </c>
      <c r="AD2623" s="4" t="s">
        <v>63</v>
      </c>
      <c r="AE2623" s="4" t="s">
        <v>63</v>
      </c>
      <c r="AF2623" s="4" t="s">
        <v>63</v>
      </c>
      <c r="AG2623" s="4" t="s">
        <v>21877</v>
      </c>
      <c r="AH2623" s="4" t="s">
        <v>63</v>
      </c>
      <c r="AI2623" s="4" t="s">
        <v>63</v>
      </c>
      <c r="AJ2623" s="4" t="s">
        <v>63</v>
      </c>
      <c r="AK2623" s="4" t="s">
        <v>63</v>
      </c>
      <c r="AL2623" s="4" t="s">
        <v>63</v>
      </c>
      <c r="AM2623" s="4" t="s">
        <v>21878</v>
      </c>
      <c r="AN2623" s="4" t="s">
        <v>63</v>
      </c>
      <c r="AO2623" s="4" t="s">
        <v>63</v>
      </c>
      <c r="AP2623" s="4" t="s">
        <v>63</v>
      </c>
      <c r="AQ2623" s="4" t="s">
        <v>63</v>
      </c>
      <c r="AR2623" s="4" t="s">
        <v>63</v>
      </c>
      <c r="AS2623" s="4" t="s">
        <v>63</v>
      </c>
      <c r="AT2623" s="4" t="s">
        <v>63</v>
      </c>
      <c r="AU2623" s="4" t="s">
        <v>63</v>
      </c>
      <c r="AV2623" s="4" t="s">
        <v>63</v>
      </c>
      <c r="AW2623" s="4" t="s">
        <v>63</v>
      </c>
      <c r="AX2623" s="4" t="s">
        <v>63</v>
      </c>
      <c r="AY2623" s="4" t="s">
        <v>63</v>
      </c>
      <c r="AZ2623" s="4" t="s">
        <v>63</v>
      </c>
      <c r="BA2623" s="4" t="s">
        <v>63</v>
      </c>
      <c r="BB2623" s="4" t="s">
        <v>63</v>
      </c>
      <c r="BC2623" s="4" t="s">
        <v>63</v>
      </c>
      <c r="BD2623" s="4" t="s">
        <v>63</v>
      </c>
      <c r="BE2623" s="4" t="s">
        <v>63</v>
      </c>
      <c r="BF2623" s="4" t="s">
        <v>63</v>
      </c>
    </row>
    <row r="2624" spans="1:58">
      <c r="A2624" s="4" t="s">
        <v>58</v>
      </c>
      <c r="B2624" s="4" t="s">
        <v>21879</v>
      </c>
      <c r="C2624" s="4" t="s">
        <v>21880</v>
      </c>
      <c r="D2624" s="4" t="s">
        <v>21881</v>
      </c>
      <c r="E2624" s="4" t="s">
        <v>63</v>
      </c>
      <c r="F2624" s="4">
        <v>2018</v>
      </c>
      <c r="G2624" s="4" t="s">
        <v>63</v>
      </c>
      <c r="H2624" s="4">
        <v>18</v>
      </c>
      <c r="I2624" s="4">
        <v>1</v>
      </c>
      <c r="J2624" s="4">
        <v>24</v>
      </c>
      <c r="K2624" s="4" t="s">
        <v>63</v>
      </c>
      <c r="L2624" s="4" t="s">
        <v>21882</v>
      </c>
      <c r="M2624" s="4" t="s">
        <v>21883</v>
      </c>
      <c r="N2624" s="4" t="s">
        <v>21884</v>
      </c>
      <c r="O2624" s="4" t="s">
        <v>63</v>
      </c>
      <c r="P2624" s="4"/>
      <c r="Q2624" s="4" t="s">
        <v>63</v>
      </c>
      <c r="R2624" s="4" t="s">
        <v>63</v>
      </c>
      <c r="S2624" s="4" t="s">
        <v>63</v>
      </c>
      <c r="T2624" s="4" t="s">
        <v>63</v>
      </c>
      <c r="U2624" s="4"/>
      <c r="V2624" s="4"/>
      <c r="W2624" s="4"/>
      <c r="X2624" s="4" t="s">
        <v>63</v>
      </c>
      <c r="Y2624" s="4" t="s">
        <v>21885</v>
      </c>
      <c r="Z2624" s="4" t="s">
        <v>63</v>
      </c>
      <c r="AA2624" s="4" t="s">
        <v>63</v>
      </c>
      <c r="AB2624" s="4" t="s">
        <v>63</v>
      </c>
      <c r="AC2624" s="4" t="s">
        <v>67</v>
      </c>
      <c r="AD2624" s="4" t="s">
        <v>63</v>
      </c>
      <c r="AE2624" s="4" t="s">
        <v>63</v>
      </c>
      <c r="AF2624" s="4" t="s">
        <v>63</v>
      </c>
      <c r="AG2624" s="4" t="s">
        <v>63</v>
      </c>
      <c r="AH2624" s="4" t="s">
        <v>63</v>
      </c>
      <c r="AI2624" s="4" t="s">
        <v>63</v>
      </c>
      <c r="AJ2624" s="4" t="s">
        <v>63</v>
      </c>
      <c r="AK2624" s="4" t="s">
        <v>63</v>
      </c>
      <c r="AL2624" s="4" t="s">
        <v>63</v>
      </c>
      <c r="AM2624" s="4" t="s">
        <v>21880</v>
      </c>
      <c r="AN2624" s="4" t="s">
        <v>63</v>
      </c>
      <c r="AO2624" s="4" t="s">
        <v>63</v>
      </c>
      <c r="AP2624" s="4" t="s">
        <v>63</v>
      </c>
      <c r="AQ2624" s="4" t="s">
        <v>63</v>
      </c>
      <c r="AR2624" s="4" t="s">
        <v>63</v>
      </c>
      <c r="AS2624" s="4" t="s">
        <v>63</v>
      </c>
      <c r="AT2624" s="4" t="s">
        <v>63</v>
      </c>
      <c r="AU2624" s="4" t="s">
        <v>63</v>
      </c>
      <c r="AV2624" s="4" t="s">
        <v>63</v>
      </c>
      <c r="AW2624" s="4" t="s">
        <v>63</v>
      </c>
      <c r="AX2624" s="4" t="s">
        <v>63</v>
      </c>
      <c r="AY2624" s="4" t="s">
        <v>63</v>
      </c>
      <c r="AZ2624" s="4" t="s">
        <v>63</v>
      </c>
      <c r="BA2624" s="4" t="s">
        <v>63</v>
      </c>
      <c r="BB2624" s="4" t="s">
        <v>63</v>
      </c>
      <c r="BC2624" s="4" t="s">
        <v>63</v>
      </c>
      <c r="BD2624" s="4" t="s">
        <v>63</v>
      </c>
      <c r="BE2624" s="4" t="s">
        <v>63</v>
      </c>
      <c r="BF2624" s="4" t="s">
        <v>63</v>
      </c>
    </row>
    <row r="2625" spans="1:58">
      <c r="A2625" s="4" t="s">
        <v>58</v>
      </c>
      <c r="B2625" s="4" t="s">
        <v>21886</v>
      </c>
      <c r="C2625" s="4" t="s">
        <v>21887</v>
      </c>
      <c r="D2625" s="4" t="s">
        <v>21888</v>
      </c>
      <c r="E2625" s="4" t="s">
        <v>63</v>
      </c>
      <c r="F2625" s="4">
        <v>2010</v>
      </c>
      <c r="G2625" s="4" t="s">
        <v>16182</v>
      </c>
      <c r="H2625" s="4">
        <v>32</v>
      </c>
      <c r="I2625" s="4">
        <v>5</v>
      </c>
      <c r="J2625" s="4">
        <v>420</v>
      </c>
      <c r="K2625" s="4">
        <v>421</v>
      </c>
      <c r="L2625" s="4" t="s">
        <v>21889</v>
      </c>
      <c r="M2625" s="4" t="s">
        <v>21890</v>
      </c>
      <c r="N2625" s="4" t="s">
        <v>21891</v>
      </c>
      <c r="O2625" s="4" t="s">
        <v>63</v>
      </c>
      <c r="P2625" s="4"/>
      <c r="Q2625" s="4" t="s">
        <v>63</v>
      </c>
      <c r="R2625" s="4" t="s">
        <v>63</v>
      </c>
      <c r="S2625" s="4" t="s">
        <v>63</v>
      </c>
      <c r="T2625" s="4" t="s">
        <v>63</v>
      </c>
      <c r="U2625" s="4"/>
      <c r="V2625" s="4"/>
      <c r="W2625" s="4"/>
      <c r="X2625" s="4" t="s">
        <v>63</v>
      </c>
      <c r="Y2625" s="4" t="s">
        <v>21892</v>
      </c>
      <c r="Z2625" s="4" t="s">
        <v>63</v>
      </c>
      <c r="AA2625" s="4" t="s">
        <v>63</v>
      </c>
      <c r="AB2625" s="4" t="s">
        <v>63</v>
      </c>
      <c r="AC2625" s="4" t="s">
        <v>67</v>
      </c>
      <c r="AD2625" s="4" t="s">
        <v>63</v>
      </c>
      <c r="AE2625" s="4" t="s">
        <v>63</v>
      </c>
      <c r="AF2625" s="4" t="s">
        <v>63</v>
      </c>
      <c r="AG2625" s="4" t="s">
        <v>63</v>
      </c>
      <c r="AH2625" s="4" t="s">
        <v>63</v>
      </c>
      <c r="AI2625" s="4" t="s">
        <v>21893</v>
      </c>
      <c r="AJ2625" s="4" t="s">
        <v>63</v>
      </c>
      <c r="AK2625" s="4" t="s">
        <v>63</v>
      </c>
      <c r="AL2625" s="4" t="s">
        <v>63</v>
      </c>
      <c r="AM2625" s="4" t="s">
        <v>21887</v>
      </c>
      <c r="AN2625" s="4" t="s">
        <v>63</v>
      </c>
      <c r="AO2625" s="4" t="s">
        <v>63</v>
      </c>
      <c r="AP2625" s="4" t="s">
        <v>63</v>
      </c>
      <c r="AQ2625" s="4" t="s">
        <v>63</v>
      </c>
      <c r="AR2625" s="4" t="s">
        <v>63</v>
      </c>
      <c r="AS2625" s="4" t="s">
        <v>63</v>
      </c>
      <c r="AT2625" s="4" t="s">
        <v>63</v>
      </c>
      <c r="AU2625" s="4" t="s">
        <v>63</v>
      </c>
      <c r="AV2625" s="4" t="s">
        <v>63</v>
      </c>
      <c r="AW2625" s="4" t="s">
        <v>63</v>
      </c>
      <c r="AX2625" s="4" t="s">
        <v>63</v>
      </c>
      <c r="AY2625" s="4" t="s">
        <v>63</v>
      </c>
      <c r="AZ2625" s="4" t="s">
        <v>63</v>
      </c>
      <c r="BA2625" s="4" t="s">
        <v>63</v>
      </c>
      <c r="BB2625" s="4" t="s">
        <v>63</v>
      </c>
      <c r="BC2625" s="4" t="s">
        <v>63</v>
      </c>
      <c r="BD2625" s="4" t="s">
        <v>63</v>
      </c>
      <c r="BE2625" s="4" t="s">
        <v>63</v>
      </c>
      <c r="BF2625" s="4" t="s">
        <v>63</v>
      </c>
    </row>
    <row r="2626" spans="1:58">
      <c r="A2626" s="4" t="s">
        <v>58</v>
      </c>
      <c r="B2626" s="4" t="s">
        <v>21894</v>
      </c>
      <c r="C2626" s="4" t="s">
        <v>21895</v>
      </c>
      <c r="D2626" s="4" t="s">
        <v>21896</v>
      </c>
      <c r="E2626" s="4" t="s">
        <v>63</v>
      </c>
      <c r="F2626" s="4">
        <v>2017</v>
      </c>
      <c r="G2626" s="4">
        <v>1</v>
      </c>
      <c r="H2626" s="4">
        <v>99</v>
      </c>
      <c r="I2626" s="4">
        <v>2</v>
      </c>
      <c r="J2626" s="4" t="s">
        <v>21897</v>
      </c>
      <c r="K2626" s="4" t="s">
        <v>63</v>
      </c>
      <c r="L2626" s="4" t="s">
        <v>21898</v>
      </c>
      <c r="M2626" s="4" t="s">
        <v>21899</v>
      </c>
      <c r="N2626" s="4" t="s">
        <v>21900</v>
      </c>
      <c r="O2626" s="4" t="s">
        <v>63</v>
      </c>
      <c r="P2626" s="4"/>
      <c r="Q2626" s="4" t="s">
        <v>63</v>
      </c>
      <c r="R2626" s="4" t="s">
        <v>63</v>
      </c>
      <c r="S2626" s="4" t="s">
        <v>63</v>
      </c>
      <c r="T2626" s="4" t="s">
        <v>63</v>
      </c>
      <c r="U2626" s="4"/>
      <c r="V2626" s="4"/>
      <c r="W2626" s="4"/>
      <c r="X2626" s="4" t="s">
        <v>63</v>
      </c>
      <c r="Y2626" s="4" t="s">
        <v>21901</v>
      </c>
      <c r="Z2626" s="4" t="s">
        <v>63</v>
      </c>
      <c r="AA2626" s="4" t="s">
        <v>63</v>
      </c>
      <c r="AB2626" s="4" t="s">
        <v>63</v>
      </c>
      <c r="AC2626" s="4" t="s">
        <v>67</v>
      </c>
      <c r="AD2626" s="4" t="s">
        <v>63</v>
      </c>
      <c r="AE2626" s="4" t="s">
        <v>63</v>
      </c>
      <c r="AF2626" s="4" t="s">
        <v>63</v>
      </c>
      <c r="AG2626" s="4" t="s">
        <v>63</v>
      </c>
      <c r="AH2626" s="4" t="s">
        <v>63</v>
      </c>
      <c r="AI2626" s="4" t="s">
        <v>21902</v>
      </c>
      <c r="AJ2626" s="4" t="s">
        <v>63</v>
      </c>
      <c r="AK2626" s="4" t="s">
        <v>63</v>
      </c>
      <c r="AL2626" s="4" t="s">
        <v>63</v>
      </c>
      <c r="AM2626" s="4" t="s">
        <v>21895</v>
      </c>
      <c r="AN2626" s="4" t="s">
        <v>63</v>
      </c>
      <c r="AO2626" s="4" t="s">
        <v>63</v>
      </c>
      <c r="AP2626" s="4" t="s">
        <v>63</v>
      </c>
      <c r="AQ2626" s="4" t="s">
        <v>63</v>
      </c>
      <c r="AR2626" s="4" t="s">
        <v>63</v>
      </c>
      <c r="AS2626" s="4" t="s">
        <v>63</v>
      </c>
      <c r="AT2626" s="4" t="s">
        <v>63</v>
      </c>
      <c r="AU2626" s="4" t="s">
        <v>63</v>
      </c>
      <c r="AV2626" s="4" t="s">
        <v>63</v>
      </c>
      <c r="AW2626" s="4" t="s">
        <v>63</v>
      </c>
      <c r="AX2626" s="4" t="s">
        <v>63</v>
      </c>
      <c r="AY2626" s="4" t="s">
        <v>63</v>
      </c>
      <c r="AZ2626" s="4" t="s">
        <v>63</v>
      </c>
      <c r="BA2626" s="4" t="s">
        <v>63</v>
      </c>
      <c r="BB2626" s="4" t="s">
        <v>63</v>
      </c>
      <c r="BC2626" s="4" t="s">
        <v>63</v>
      </c>
      <c r="BD2626" s="4" t="s">
        <v>63</v>
      </c>
      <c r="BE2626" s="4" t="s">
        <v>63</v>
      </c>
      <c r="BF2626" s="4" t="s">
        <v>63</v>
      </c>
    </row>
    <row r="2627" spans="1:58">
      <c r="A2627" s="4" t="s">
        <v>58</v>
      </c>
      <c r="B2627" s="4" t="s">
        <v>21903</v>
      </c>
      <c r="C2627" s="4" t="s">
        <v>21904</v>
      </c>
      <c r="D2627" s="4" t="s">
        <v>21905</v>
      </c>
      <c r="E2627" s="4" t="s">
        <v>63</v>
      </c>
      <c r="F2627" s="4">
        <v>2018</v>
      </c>
      <c r="G2627" s="4">
        <v>1</v>
      </c>
      <c r="H2627" s="4">
        <v>47</v>
      </c>
      <c r="I2627" s="4">
        <v>1</v>
      </c>
      <c r="J2627" s="4">
        <v>56</v>
      </c>
      <c r="K2627" s="4">
        <v>64</v>
      </c>
      <c r="L2627" s="4" t="s">
        <v>21906</v>
      </c>
      <c r="M2627" s="4" t="s">
        <v>63</v>
      </c>
      <c r="N2627" s="4" t="s">
        <v>21907</v>
      </c>
      <c r="O2627" s="4" t="s">
        <v>63</v>
      </c>
      <c r="P2627" s="4"/>
      <c r="Q2627" s="4" t="s">
        <v>63</v>
      </c>
      <c r="R2627" s="4" t="s">
        <v>63</v>
      </c>
      <c r="S2627" s="4" t="s">
        <v>63</v>
      </c>
      <c r="T2627" s="4" t="s">
        <v>63</v>
      </c>
      <c r="U2627" s="4"/>
      <c r="V2627" s="4"/>
      <c r="W2627" s="4"/>
      <c r="X2627" s="4" t="s">
        <v>63</v>
      </c>
      <c r="Y2627" s="4" t="s">
        <v>21908</v>
      </c>
      <c r="Z2627" s="4" t="s">
        <v>63</v>
      </c>
      <c r="AA2627" s="4" t="s">
        <v>63</v>
      </c>
      <c r="AB2627" s="4">
        <v>20170145961</v>
      </c>
      <c r="AC2627" s="4" t="s">
        <v>16907</v>
      </c>
      <c r="AD2627" s="4" t="s">
        <v>63</v>
      </c>
      <c r="AE2627" s="4" t="s">
        <v>63</v>
      </c>
      <c r="AF2627" s="4" t="s">
        <v>63</v>
      </c>
      <c r="AG2627" s="4" t="s">
        <v>21909</v>
      </c>
      <c r="AH2627" s="4" t="s">
        <v>63</v>
      </c>
      <c r="AI2627" s="4" t="s">
        <v>21910</v>
      </c>
      <c r="AJ2627" s="4" t="s">
        <v>63</v>
      </c>
      <c r="AK2627" s="4" t="s">
        <v>63</v>
      </c>
      <c r="AL2627" s="4" t="s">
        <v>63</v>
      </c>
      <c r="AM2627" s="4" t="s">
        <v>21911</v>
      </c>
      <c r="AN2627" s="4" t="s">
        <v>63</v>
      </c>
      <c r="AO2627" s="4" t="s">
        <v>63</v>
      </c>
      <c r="AP2627" s="4" t="s">
        <v>63</v>
      </c>
      <c r="AQ2627" s="4" t="s">
        <v>63</v>
      </c>
      <c r="AR2627" s="4" t="s">
        <v>63</v>
      </c>
      <c r="AS2627" s="4" t="s">
        <v>63</v>
      </c>
      <c r="AT2627" s="4" t="s">
        <v>63</v>
      </c>
      <c r="AU2627" s="4" t="s">
        <v>63</v>
      </c>
      <c r="AV2627" s="4" t="s">
        <v>63</v>
      </c>
      <c r="AW2627" s="4" t="s">
        <v>63</v>
      </c>
      <c r="AX2627" s="4" t="s">
        <v>63</v>
      </c>
      <c r="AY2627" s="4" t="s">
        <v>63</v>
      </c>
      <c r="AZ2627" s="4" t="s">
        <v>63</v>
      </c>
      <c r="BA2627" s="4" t="s">
        <v>63</v>
      </c>
      <c r="BB2627" s="4" t="s">
        <v>63</v>
      </c>
      <c r="BC2627" s="4" t="s">
        <v>63</v>
      </c>
      <c r="BD2627" s="4" t="s">
        <v>63</v>
      </c>
      <c r="BE2627" s="4" t="s">
        <v>63</v>
      </c>
      <c r="BF2627" s="4" t="s">
        <v>63</v>
      </c>
    </row>
    <row r="2628" spans="1:58">
      <c r="A2628" s="4" t="s">
        <v>58</v>
      </c>
      <c r="B2628" s="4" t="s">
        <v>21912</v>
      </c>
      <c r="C2628" s="4" t="s">
        <v>21913</v>
      </c>
      <c r="D2628" s="4" t="s">
        <v>14858</v>
      </c>
      <c r="E2628" s="4" t="s">
        <v>14859</v>
      </c>
      <c r="F2628" s="4">
        <v>2009</v>
      </c>
      <c r="G2628" s="4" t="s">
        <v>15358</v>
      </c>
      <c r="H2628" s="4">
        <v>70</v>
      </c>
      <c r="I2628" s="4">
        <v>10</v>
      </c>
      <c r="J2628" s="4">
        <v>1358</v>
      </c>
      <c r="K2628" s="4">
        <v>1364</v>
      </c>
      <c r="L2628" s="4" t="s">
        <v>21914</v>
      </c>
      <c r="M2628" s="4" t="s">
        <v>21915</v>
      </c>
      <c r="N2628" s="4" t="s">
        <v>21916</v>
      </c>
      <c r="O2628" s="4" t="s">
        <v>63</v>
      </c>
      <c r="P2628" s="4"/>
      <c r="Q2628" s="4" t="s">
        <v>63</v>
      </c>
      <c r="R2628" s="4" t="s">
        <v>63</v>
      </c>
      <c r="S2628" s="4" t="s">
        <v>63</v>
      </c>
      <c r="T2628" s="4" t="s">
        <v>63</v>
      </c>
      <c r="U2628" s="4"/>
      <c r="V2628" s="4"/>
      <c r="W2628" s="4"/>
      <c r="X2628" s="4" t="s">
        <v>63</v>
      </c>
      <c r="Y2628" s="4" t="s">
        <v>14864</v>
      </c>
      <c r="Z2628" s="4" t="s">
        <v>63</v>
      </c>
      <c r="AA2628" s="4" t="s">
        <v>63</v>
      </c>
      <c r="AB2628" s="4">
        <v>2010000692</v>
      </c>
      <c r="AC2628" s="4" t="s">
        <v>67</v>
      </c>
      <c r="AD2628" s="4" t="s">
        <v>63</v>
      </c>
      <c r="AE2628" s="4" t="s">
        <v>63</v>
      </c>
      <c r="AF2628" s="4" t="s">
        <v>63</v>
      </c>
      <c r="AG2628" s="4" t="s">
        <v>21917</v>
      </c>
      <c r="AH2628" s="4" t="s">
        <v>63</v>
      </c>
      <c r="AI2628" s="4" t="s">
        <v>21918</v>
      </c>
      <c r="AJ2628" s="4" t="s">
        <v>63</v>
      </c>
      <c r="AK2628" s="4" t="s">
        <v>63</v>
      </c>
      <c r="AL2628" s="4" t="s">
        <v>63</v>
      </c>
      <c r="AM2628" s="4" t="s">
        <v>21919</v>
      </c>
      <c r="AN2628" s="4" t="s">
        <v>63</v>
      </c>
      <c r="AO2628" s="4" t="s">
        <v>63</v>
      </c>
      <c r="AP2628" s="4" t="s">
        <v>63</v>
      </c>
      <c r="AQ2628" s="4" t="s">
        <v>63</v>
      </c>
      <c r="AR2628" s="4" t="s">
        <v>63</v>
      </c>
      <c r="AS2628" s="4" t="s">
        <v>63</v>
      </c>
      <c r="AT2628" s="4" t="s">
        <v>63</v>
      </c>
      <c r="AU2628" s="4" t="s">
        <v>63</v>
      </c>
      <c r="AV2628" s="4" t="s">
        <v>63</v>
      </c>
      <c r="AW2628" s="4" t="s">
        <v>63</v>
      </c>
      <c r="AX2628" s="4" t="s">
        <v>63</v>
      </c>
      <c r="AY2628" s="4" t="s">
        <v>63</v>
      </c>
      <c r="AZ2628" s="4" t="s">
        <v>63</v>
      </c>
      <c r="BA2628" s="4" t="s">
        <v>63</v>
      </c>
      <c r="BB2628" s="4" t="s">
        <v>63</v>
      </c>
      <c r="BC2628" s="4" t="s">
        <v>63</v>
      </c>
      <c r="BD2628" s="4" t="s">
        <v>63</v>
      </c>
      <c r="BE2628" s="4" t="s">
        <v>63</v>
      </c>
      <c r="BF2628" s="4" t="s">
        <v>63</v>
      </c>
    </row>
    <row r="2629" spans="1:58">
      <c r="A2629" s="4" t="s">
        <v>58</v>
      </c>
      <c r="B2629" s="4" t="s">
        <v>21920</v>
      </c>
      <c r="C2629" s="4" t="s">
        <v>21921</v>
      </c>
      <c r="D2629" s="4" t="s">
        <v>19856</v>
      </c>
      <c r="E2629" s="4" t="s">
        <v>63</v>
      </c>
      <c r="F2629" s="4">
        <v>2017</v>
      </c>
      <c r="G2629" s="4">
        <v>1</v>
      </c>
      <c r="H2629" s="4">
        <v>11</v>
      </c>
      <c r="I2629" s="4">
        <v>1</v>
      </c>
      <c r="J2629" s="4" t="s">
        <v>21922</v>
      </c>
      <c r="K2629" s="4" t="s">
        <v>63</v>
      </c>
      <c r="L2629" s="4" t="s">
        <v>21923</v>
      </c>
      <c r="M2629" s="4" t="s">
        <v>21924</v>
      </c>
      <c r="N2629" s="4" t="s">
        <v>21925</v>
      </c>
      <c r="O2629" s="4" t="s">
        <v>63</v>
      </c>
      <c r="P2629" s="4"/>
      <c r="Q2629" s="4" t="s">
        <v>63</v>
      </c>
      <c r="R2629" s="4" t="s">
        <v>63</v>
      </c>
      <c r="S2629" s="4" t="s">
        <v>63</v>
      </c>
      <c r="T2629" s="4" t="s">
        <v>63</v>
      </c>
      <c r="U2629" s="4"/>
      <c r="V2629" s="4"/>
      <c r="W2629" s="4"/>
      <c r="X2629" s="4" t="s">
        <v>63</v>
      </c>
      <c r="Y2629" s="4" t="s">
        <v>19860</v>
      </c>
      <c r="Z2629" s="4" t="s">
        <v>63</v>
      </c>
      <c r="AA2629" s="4" t="s">
        <v>63</v>
      </c>
      <c r="AB2629" s="4" t="s">
        <v>63</v>
      </c>
      <c r="AC2629" s="4" t="s">
        <v>67</v>
      </c>
      <c r="AD2629" s="4" t="s">
        <v>63</v>
      </c>
      <c r="AE2629" s="4" t="s">
        <v>63</v>
      </c>
      <c r="AF2629" s="4" t="s">
        <v>63</v>
      </c>
      <c r="AG2629" s="4" t="s">
        <v>63</v>
      </c>
      <c r="AH2629" s="4" t="s">
        <v>63</v>
      </c>
      <c r="AI2629" s="4" t="s">
        <v>21926</v>
      </c>
      <c r="AJ2629" s="4" t="s">
        <v>63</v>
      </c>
      <c r="AK2629" s="4" t="s">
        <v>63</v>
      </c>
      <c r="AL2629" s="4" t="s">
        <v>63</v>
      </c>
      <c r="AM2629" s="4" t="s">
        <v>21921</v>
      </c>
      <c r="AN2629" s="4" t="s">
        <v>63</v>
      </c>
      <c r="AO2629" s="4" t="s">
        <v>63</v>
      </c>
      <c r="AP2629" s="4" t="s">
        <v>63</v>
      </c>
      <c r="AQ2629" s="4" t="s">
        <v>63</v>
      </c>
      <c r="AR2629" s="4" t="s">
        <v>63</v>
      </c>
      <c r="AS2629" s="4" t="s">
        <v>63</v>
      </c>
      <c r="AT2629" s="4" t="s">
        <v>63</v>
      </c>
      <c r="AU2629" s="4" t="s">
        <v>63</v>
      </c>
      <c r="AV2629" s="4" t="s">
        <v>63</v>
      </c>
      <c r="AW2629" s="4" t="s">
        <v>63</v>
      </c>
      <c r="AX2629" s="4" t="s">
        <v>63</v>
      </c>
      <c r="AY2629" s="4" t="s">
        <v>63</v>
      </c>
      <c r="AZ2629" s="4" t="s">
        <v>63</v>
      </c>
      <c r="BA2629" s="4" t="s">
        <v>63</v>
      </c>
      <c r="BB2629" s="4" t="s">
        <v>63</v>
      </c>
      <c r="BC2629" s="4" t="s">
        <v>63</v>
      </c>
      <c r="BD2629" s="4" t="s">
        <v>63</v>
      </c>
      <c r="BE2629" s="4" t="s">
        <v>63</v>
      </c>
      <c r="BF2629" s="4" t="s">
        <v>63</v>
      </c>
    </row>
    <row r="2630" spans="1:58">
      <c r="A2630" s="4" t="s">
        <v>58</v>
      </c>
      <c r="B2630" s="4" t="s">
        <v>21927</v>
      </c>
      <c r="C2630" s="4" t="s">
        <v>21928</v>
      </c>
      <c r="D2630" s="4" t="s">
        <v>11901</v>
      </c>
      <c r="E2630" s="4" t="s">
        <v>63</v>
      </c>
      <c r="F2630" s="4">
        <v>2018</v>
      </c>
      <c r="G2630" s="4">
        <v>1</v>
      </c>
      <c r="H2630" s="4">
        <v>60</v>
      </c>
      <c r="I2630" s="4">
        <v>5</v>
      </c>
      <c r="J2630" s="4" t="s">
        <v>21929</v>
      </c>
      <c r="K2630" s="4" t="s">
        <v>63</v>
      </c>
      <c r="L2630" s="4" t="s">
        <v>21930</v>
      </c>
      <c r="M2630" s="4" t="s">
        <v>21931</v>
      </c>
      <c r="N2630" s="4" t="s">
        <v>21932</v>
      </c>
      <c r="O2630" s="4" t="s">
        <v>63</v>
      </c>
      <c r="P2630" s="4"/>
      <c r="Q2630" s="4" t="s">
        <v>63</v>
      </c>
      <c r="R2630" s="4" t="s">
        <v>63</v>
      </c>
      <c r="S2630" s="4" t="s">
        <v>63</v>
      </c>
      <c r="T2630" s="4" t="s">
        <v>63</v>
      </c>
      <c r="U2630" s="4"/>
      <c r="V2630" s="4"/>
      <c r="W2630" s="4"/>
      <c r="X2630" s="4" t="s">
        <v>63</v>
      </c>
      <c r="Y2630" s="4" t="s">
        <v>15618</v>
      </c>
      <c r="Z2630" s="4" t="s">
        <v>63</v>
      </c>
      <c r="AA2630" s="4" t="s">
        <v>63</v>
      </c>
      <c r="AB2630" s="4" t="s">
        <v>63</v>
      </c>
      <c r="AC2630" s="4" t="s">
        <v>67</v>
      </c>
      <c r="AD2630" s="4" t="s">
        <v>63</v>
      </c>
      <c r="AE2630" s="4" t="s">
        <v>63</v>
      </c>
      <c r="AF2630" s="4" t="s">
        <v>63</v>
      </c>
      <c r="AG2630" s="4" t="s">
        <v>63</v>
      </c>
      <c r="AH2630" s="4" t="s">
        <v>63</v>
      </c>
      <c r="AI2630" s="4" t="s">
        <v>63</v>
      </c>
      <c r="AJ2630" s="4" t="s">
        <v>63</v>
      </c>
      <c r="AK2630" s="4" t="s">
        <v>63</v>
      </c>
      <c r="AL2630" s="4" t="s">
        <v>63</v>
      </c>
      <c r="AM2630" s="4" t="s">
        <v>21928</v>
      </c>
      <c r="AN2630" s="4" t="s">
        <v>63</v>
      </c>
      <c r="AO2630" s="4" t="s">
        <v>63</v>
      </c>
      <c r="AP2630" s="4" t="s">
        <v>63</v>
      </c>
      <c r="AQ2630" s="4" t="s">
        <v>63</v>
      </c>
      <c r="AR2630" s="4" t="s">
        <v>63</v>
      </c>
      <c r="AS2630" s="4" t="s">
        <v>63</v>
      </c>
      <c r="AT2630" s="4" t="s">
        <v>63</v>
      </c>
      <c r="AU2630" s="4" t="s">
        <v>63</v>
      </c>
      <c r="AV2630" s="4" t="s">
        <v>63</v>
      </c>
      <c r="AW2630" s="4" t="s">
        <v>63</v>
      </c>
      <c r="AX2630" s="4" t="s">
        <v>63</v>
      </c>
      <c r="AY2630" s="4" t="s">
        <v>63</v>
      </c>
      <c r="AZ2630" s="4" t="s">
        <v>63</v>
      </c>
      <c r="BA2630" s="4" t="s">
        <v>63</v>
      </c>
      <c r="BB2630" s="4" t="s">
        <v>63</v>
      </c>
      <c r="BC2630" s="4" t="s">
        <v>63</v>
      </c>
      <c r="BD2630" s="4" t="s">
        <v>63</v>
      </c>
      <c r="BE2630" s="4" t="s">
        <v>63</v>
      </c>
      <c r="BF2630" s="4" t="s">
        <v>63</v>
      </c>
    </row>
    <row r="2631" spans="1:58">
      <c r="A2631" s="4" t="s">
        <v>58</v>
      </c>
      <c r="B2631" s="4" t="s">
        <v>21933</v>
      </c>
      <c r="C2631" s="4" t="s">
        <v>21934</v>
      </c>
      <c r="D2631" s="4" t="s">
        <v>15663</v>
      </c>
      <c r="E2631" s="4" t="s">
        <v>15664</v>
      </c>
      <c r="F2631" s="4">
        <v>2012</v>
      </c>
      <c r="G2631" s="4" t="s">
        <v>15665</v>
      </c>
      <c r="H2631" s="4">
        <v>43</v>
      </c>
      <c r="I2631" s="4">
        <v>2</v>
      </c>
      <c r="J2631" s="4">
        <v>315</v>
      </c>
      <c r="K2631" s="4">
        <v>316</v>
      </c>
      <c r="L2631" s="4" t="s">
        <v>21935</v>
      </c>
      <c r="M2631" s="4" t="s">
        <v>21936</v>
      </c>
      <c r="N2631" s="4" t="s">
        <v>21937</v>
      </c>
      <c r="O2631" s="4" t="s">
        <v>63</v>
      </c>
      <c r="P2631" s="4"/>
      <c r="Q2631" s="4" t="s">
        <v>63</v>
      </c>
      <c r="R2631" s="4" t="s">
        <v>63</v>
      </c>
      <c r="S2631" s="4" t="s">
        <v>63</v>
      </c>
      <c r="T2631" s="4" t="s">
        <v>63</v>
      </c>
      <c r="U2631" s="4"/>
      <c r="V2631" s="4"/>
      <c r="W2631" s="4"/>
      <c r="X2631" s="4" t="s">
        <v>63</v>
      </c>
      <c r="Y2631" s="4" t="s">
        <v>3022</v>
      </c>
      <c r="Z2631" s="4" t="s">
        <v>63</v>
      </c>
      <c r="AA2631" s="4" t="s">
        <v>63</v>
      </c>
      <c r="AB2631" s="4" t="s">
        <v>63</v>
      </c>
      <c r="AC2631" s="4" t="s">
        <v>67</v>
      </c>
      <c r="AD2631" s="4" t="s">
        <v>63</v>
      </c>
      <c r="AE2631" s="4" t="s">
        <v>63</v>
      </c>
      <c r="AF2631" s="4" t="s">
        <v>63</v>
      </c>
      <c r="AG2631" s="4" t="s">
        <v>63</v>
      </c>
      <c r="AH2631" s="4" t="s">
        <v>63</v>
      </c>
      <c r="AI2631" s="4" t="s">
        <v>21938</v>
      </c>
      <c r="AJ2631" s="4" t="s">
        <v>63</v>
      </c>
      <c r="AK2631" s="4" t="s">
        <v>63</v>
      </c>
      <c r="AL2631" s="4" t="s">
        <v>63</v>
      </c>
      <c r="AM2631" s="4" t="s">
        <v>21934</v>
      </c>
      <c r="AN2631" s="4" t="s">
        <v>63</v>
      </c>
      <c r="AO2631" s="4" t="s">
        <v>63</v>
      </c>
      <c r="AP2631" s="4" t="s">
        <v>63</v>
      </c>
      <c r="AQ2631" s="4" t="s">
        <v>63</v>
      </c>
      <c r="AR2631" s="4" t="s">
        <v>63</v>
      </c>
      <c r="AS2631" s="4" t="s">
        <v>63</v>
      </c>
      <c r="AT2631" s="4" t="s">
        <v>63</v>
      </c>
      <c r="AU2631" s="4" t="s">
        <v>63</v>
      </c>
      <c r="AV2631" s="4" t="s">
        <v>63</v>
      </c>
      <c r="AW2631" s="4" t="s">
        <v>63</v>
      </c>
      <c r="AX2631" s="4" t="s">
        <v>63</v>
      </c>
      <c r="AY2631" s="4" t="s">
        <v>63</v>
      </c>
      <c r="AZ2631" s="4" t="s">
        <v>63</v>
      </c>
      <c r="BA2631" s="4" t="s">
        <v>63</v>
      </c>
      <c r="BB2631" s="4" t="s">
        <v>63</v>
      </c>
      <c r="BC2631" s="4" t="s">
        <v>63</v>
      </c>
      <c r="BD2631" s="4" t="s">
        <v>63</v>
      </c>
      <c r="BE2631" s="4" t="s">
        <v>63</v>
      </c>
      <c r="BF2631" s="4" t="s">
        <v>63</v>
      </c>
    </row>
    <row r="2632" spans="1:58">
      <c r="A2632" s="4" t="s">
        <v>58</v>
      </c>
      <c r="B2632" s="4" t="s">
        <v>21939</v>
      </c>
      <c r="C2632" s="4" t="s">
        <v>21940</v>
      </c>
      <c r="D2632" s="4" t="s">
        <v>21941</v>
      </c>
      <c r="E2632" s="4" t="s">
        <v>63</v>
      </c>
      <c r="F2632" s="4">
        <v>2015</v>
      </c>
      <c r="G2632" s="4">
        <v>1</v>
      </c>
      <c r="H2632" s="4">
        <v>2</v>
      </c>
      <c r="I2632" s="4" t="s">
        <v>63</v>
      </c>
      <c r="J2632" s="4">
        <v>13</v>
      </c>
      <c r="K2632" s="4">
        <v>18</v>
      </c>
      <c r="L2632" s="4" t="s">
        <v>21942</v>
      </c>
      <c r="M2632" s="4" t="s">
        <v>21943</v>
      </c>
      <c r="N2632" s="4" t="s">
        <v>21944</v>
      </c>
      <c r="O2632" s="4" t="s">
        <v>63</v>
      </c>
      <c r="P2632" s="4"/>
      <c r="Q2632" s="4" t="s">
        <v>63</v>
      </c>
      <c r="R2632" s="4" t="s">
        <v>63</v>
      </c>
      <c r="S2632" s="4" t="s">
        <v>63</v>
      </c>
      <c r="T2632" s="4" t="s">
        <v>63</v>
      </c>
      <c r="U2632" s="4"/>
      <c r="V2632" s="4"/>
      <c r="W2632" s="4"/>
      <c r="X2632" s="4" t="s">
        <v>63</v>
      </c>
      <c r="Y2632" s="4" t="s">
        <v>21945</v>
      </c>
      <c r="Z2632" s="4" t="s">
        <v>63</v>
      </c>
      <c r="AA2632" s="4" t="s">
        <v>63</v>
      </c>
      <c r="AB2632" s="4" t="s">
        <v>21946</v>
      </c>
      <c r="AC2632" s="4" t="s">
        <v>67</v>
      </c>
      <c r="AD2632" s="4" t="s">
        <v>63</v>
      </c>
      <c r="AE2632" s="4" t="s">
        <v>63</v>
      </c>
      <c r="AF2632" s="4" t="s">
        <v>63</v>
      </c>
      <c r="AG2632" s="4" t="s">
        <v>63</v>
      </c>
      <c r="AH2632" s="4" t="s">
        <v>63</v>
      </c>
      <c r="AI2632" s="4" t="s">
        <v>21947</v>
      </c>
      <c r="AJ2632" s="4" t="s">
        <v>63</v>
      </c>
      <c r="AK2632" s="4" t="s">
        <v>63</v>
      </c>
      <c r="AL2632" s="4" t="s">
        <v>63</v>
      </c>
      <c r="AM2632" s="4" t="s">
        <v>21940</v>
      </c>
      <c r="AN2632" s="4" t="s">
        <v>63</v>
      </c>
      <c r="AO2632" s="4" t="s">
        <v>63</v>
      </c>
      <c r="AP2632" s="4" t="s">
        <v>63</v>
      </c>
      <c r="AQ2632" s="4" t="s">
        <v>63</v>
      </c>
      <c r="AR2632" s="4" t="s">
        <v>63</v>
      </c>
      <c r="AS2632" s="4" t="s">
        <v>63</v>
      </c>
      <c r="AT2632" s="4" t="s">
        <v>63</v>
      </c>
      <c r="AU2632" s="4" t="s">
        <v>63</v>
      </c>
      <c r="AV2632" s="4" t="s">
        <v>63</v>
      </c>
      <c r="AW2632" s="4" t="s">
        <v>63</v>
      </c>
      <c r="AX2632" s="4" t="s">
        <v>63</v>
      </c>
      <c r="AY2632" s="4" t="s">
        <v>63</v>
      </c>
      <c r="AZ2632" s="4" t="s">
        <v>63</v>
      </c>
      <c r="BA2632" s="4" t="s">
        <v>63</v>
      </c>
      <c r="BB2632" s="4" t="s">
        <v>63</v>
      </c>
      <c r="BC2632" s="4" t="s">
        <v>63</v>
      </c>
      <c r="BD2632" s="4" t="s">
        <v>63</v>
      </c>
      <c r="BE2632" s="4" t="s">
        <v>63</v>
      </c>
      <c r="BF2632" s="4" t="s">
        <v>63</v>
      </c>
    </row>
    <row r="2633" spans="1:58">
      <c r="A2633" s="4" t="s">
        <v>58</v>
      </c>
      <c r="B2633" s="4" t="s">
        <v>21948</v>
      </c>
      <c r="C2633" s="4" t="s">
        <v>21949</v>
      </c>
      <c r="D2633" s="4" t="s">
        <v>21950</v>
      </c>
      <c r="E2633" s="4" t="s">
        <v>63</v>
      </c>
      <c r="F2633" s="4">
        <v>2005</v>
      </c>
      <c r="G2633" s="4" t="s">
        <v>157</v>
      </c>
      <c r="H2633" s="4">
        <v>16</v>
      </c>
      <c r="I2633" s="4">
        <v>3</v>
      </c>
      <c r="J2633" s="4">
        <v>233</v>
      </c>
      <c r="K2633" s="4">
        <v>235</v>
      </c>
      <c r="L2633" s="4" t="s">
        <v>21951</v>
      </c>
      <c r="M2633" s="4" t="s">
        <v>63</v>
      </c>
      <c r="N2633" s="4" t="s">
        <v>21952</v>
      </c>
      <c r="O2633" s="4" t="s">
        <v>63</v>
      </c>
      <c r="P2633" s="4"/>
      <c r="Q2633" s="4" t="s">
        <v>63</v>
      </c>
      <c r="R2633" s="4" t="s">
        <v>63</v>
      </c>
      <c r="S2633" s="4" t="s">
        <v>63</v>
      </c>
      <c r="T2633" s="4" t="s">
        <v>63</v>
      </c>
      <c r="U2633" s="4"/>
      <c r="V2633" s="4"/>
      <c r="W2633" s="4"/>
      <c r="X2633" s="4" t="s">
        <v>63</v>
      </c>
      <c r="Y2633" s="4" t="s">
        <v>21953</v>
      </c>
      <c r="Z2633" s="4" t="s">
        <v>63</v>
      </c>
      <c r="AA2633" s="4" t="s">
        <v>63</v>
      </c>
      <c r="AB2633" s="4" t="s">
        <v>63</v>
      </c>
      <c r="AC2633" s="4" t="s">
        <v>67</v>
      </c>
      <c r="AD2633" s="4" t="s">
        <v>63</v>
      </c>
      <c r="AE2633" s="4" t="s">
        <v>63</v>
      </c>
      <c r="AF2633" s="4" t="s">
        <v>63</v>
      </c>
      <c r="AG2633" s="4" t="s">
        <v>21954</v>
      </c>
      <c r="AH2633" s="4" t="s">
        <v>63</v>
      </c>
      <c r="AI2633" s="4" t="s">
        <v>63</v>
      </c>
      <c r="AJ2633" s="4" t="s">
        <v>63</v>
      </c>
      <c r="AK2633" s="4" t="s">
        <v>63</v>
      </c>
      <c r="AL2633" s="4" t="s">
        <v>63</v>
      </c>
      <c r="AM2633" s="4" t="s">
        <v>21955</v>
      </c>
      <c r="AN2633" s="4" t="s">
        <v>63</v>
      </c>
      <c r="AO2633" s="4" t="s">
        <v>63</v>
      </c>
      <c r="AP2633" s="4" t="s">
        <v>63</v>
      </c>
      <c r="AQ2633" s="4" t="s">
        <v>63</v>
      </c>
      <c r="AR2633" s="4" t="s">
        <v>63</v>
      </c>
      <c r="AS2633" s="4" t="s">
        <v>63</v>
      </c>
      <c r="AT2633" s="4" t="s">
        <v>63</v>
      </c>
      <c r="AU2633" s="4" t="s">
        <v>63</v>
      </c>
      <c r="AV2633" s="4" t="s">
        <v>63</v>
      </c>
      <c r="AW2633" s="4" t="s">
        <v>63</v>
      </c>
      <c r="AX2633" s="4" t="s">
        <v>63</v>
      </c>
      <c r="AY2633" s="4" t="s">
        <v>63</v>
      </c>
      <c r="AZ2633" s="4" t="s">
        <v>63</v>
      </c>
      <c r="BA2633" s="4" t="s">
        <v>63</v>
      </c>
      <c r="BB2633" s="4" t="s">
        <v>63</v>
      </c>
      <c r="BC2633" s="4" t="s">
        <v>63</v>
      </c>
      <c r="BD2633" s="4" t="s">
        <v>63</v>
      </c>
      <c r="BE2633" s="4" t="s">
        <v>63</v>
      </c>
      <c r="BF2633" s="4" t="s">
        <v>63</v>
      </c>
    </row>
    <row r="2634" spans="1:58">
      <c r="A2634" s="4" t="s">
        <v>58</v>
      </c>
      <c r="B2634" s="4" t="s">
        <v>21956</v>
      </c>
      <c r="C2634" s="4" t="s">
        <v>21957</v>
      </c>
      <c r="D2634" s="4" t="s">
        <v>21958</v>
      </c>
      <c r="E2634" s="4" t="s">
        <v>21959</v>
      </c>
      <c r="F2634" s="4">
        <v>2005</v>
      </c>
      <c r="G2634" s="4" t="s">
        <v>15358</v>
      </c>
      <c r="H2634" s="4">
        <v>29</v>
      </c>
      <c r="I2634" s="4">
        <v>5</v>
      </c>
      <c r="J2634" s="4">
        <v>488</v>
      </c>
      <c r="K2634" s="4">
        <v>489</v>
      </c>
      <c r="L2634" s="4" t="s">
        <v>21960</v>
      </c>
      <c r="M2634" s="4" t="s">
        <v>63</v>
      </c>
      <c r="N2634" s="4" t="s">
        <v>21961</v>
      </c>
      <c r="O2634" s="4" t="s">
        <v>63</v>
      </c>
      <c r="P2634" s="4"/>
      <c r="Q2634" s="4" t="s">
        <v>63</v>
      </c>
      <c r="R2634" s="4" t="s">
        <v>63</v>
      </c>
      <c r="S2634" s="4" t="s">
        <v>63</v>
      </c>
      <c r="T2634" s="4" t="s">
        <v>63</v>
      </c>
      <c r="U2634" s="4"/>
      <c r="V2634" s="4"/>
      <c r="W2634" s="4"/>
      <c r="X2634" s="4" t="s">
        <v>63</v>
      </c>
      <c r="Y2634" s="4" t="s">
        <v>11376</v>
      </c>
      <c r="Z2634" s="4" t="s">
        <v>63</v>
      </c>
      <c r="AA2634" s="4" t="s">
        <v>63</v>
      </c>
      <c r="AB2634" s="4">
        <v>2005488034</v>
      </c>
      <c r="AC2634" s="4" t="s">
        <v>67</v>
      </c>
      <c r="AD2634" s="4" t="s">
        <v>63</v>
      </c>
      <c r="AE2634" s="4" t="s">
        <v>63</v>
      </c>
      <c r="AF2634" s="4" t="s">
        <v>63</v>
      </c>
      <c r="AG2634" s="4" t="s">
        <v>21962</v>
      </c>
      <c r="AH2634" s="4" t="s">
        <v>63</v>
      </c>
      <c r="AI2634" s="4" t="s">
        <v>63</v>
      </c>
      <c r="AJ2634" s="4" t="s">
        <v>63</v>
      </c>
      <c r="AK2634" s="4" t="s">
        <v>63</v>
      </c>
      <c r="AL2634" s="4" t="s">
        <v>63</v>
      </c>
      <c r="AM2634" s="4" t="s">
        <v>21963</v>
      </c>
      <c r="AN2634" s="4" t="s">
        <v>63</v>
      </c>
      <c r="AO2634" s="4" t="s">
        <v>63</v>
      </c>
      <c r="AP2634" s="4" t="s">
        <v>63</v>
      </c>
      <c r="AQ2634" s="4" t="s">
        <v>63</v>
      </c>
      <c r="AR2634" s="4" t="s">
        <v>63</v>
      </c>
      <c r="AS2634" s="4" t="s">
        <v>63</v>
      </c>
      <c r="AT2634" s="4" t="s">
        <v>63</v>
      </c>
      <c r="AU2634" s="4" t="s">
        <v>63</v>
      </c>
      <c r="AV2634" s="4" t="s">
        <v>63</v>
      </c>
      <c r="AW2634" s="4" t="s">
        <v>63</v>
      </c>
      <c r="AX2634" s="4" t="s">
        <v>63</v>
      </c>
      <c r="AY2634" s="4" t="s">
        <v>63</v>
      </c>
      <c r="AZ2634" s="4" t="s">
        <v>63</v>
      </c>
      <c r="BA2634" s="4" t="s">
        <v>63</v>
      </c>
      <c r="BB2634" s="4" t="s">
        <v>63</v>
      </c>
      <c r="BC2634" s="4" t="s">
        <v>63</v>
      </c>
      <c r="BD2634" s="4" t="s">
        <v>63</v>
      </c>
      <c r="BE2634" s="4" t="s">
        <v>63</v>
      </c>
      <c r="BF2634" s="4" t="s">
        <v>63</v>
      </c>
    </row>
    <row r="2635" spans="1:58">
      <c r="A2635" s="4" t="s">
        <v>58</v>
      </c>
      <c r="B2635" s="4" t="s">
        <v>21964</v>
      </c>
      <c r="C2635" s="4" t="s">
        <v>21965</v>
      </c>
      <c r="D2635" s="4" t="s">
        <v>371</v>
      </c>
      <c r="E2635" s="4" t="s">
        <v>63</v>
      </c>
      <c r="F2635" s="4">
        <v>2012</v>
      </c>
      <c r="G2635" s="4" t="s">
        <v>16182</v>
      </c>
      <c r="H2635" s="4" t="s">
        <v>16183</v>
      </c>
      <c r="I2635" s="4" t="s">
        <v>63</v>
      </c>
      <c r="J2635" s="4" t="s">
        <v>16184</v>
      </c>
      <c r="K2635" s="4" t="s">
        <v>6630</v>
      </c>
      <c r="L2635" s="4" t="s">
        <v>21966</v>
      </c>
      <c r="M2635" s="4" t="s">
        <v>21967</v>
      </c>
      <c r="N2635" s="4" t="s">
        <v>21968</v>
      </c>
      <c r="O2635" s="4" t="s">
        <v>63</v>
      </c>
      <c r="P2635" s="4"/>
      <c r="Q2635" s="4" t="s">
        <v>63</v>
      </c>
      <c r="R2635" s="4" t="s">
        <v>63</v>
      </c>
      <c r="S2635" s="4" t="s">
        <v>63</v>
      </c>
      <c r="T2635" s="4" t="s">
        <v>63</v>
      </c>
      <c r="U2635" s="4"/>
      <c r="V2635" s="4"/>
      <c r="W2635" s="4"/>
      <c r="X2635" s="4" t="s">
        <v>63</v>
      </c>
      <c r="Y2635" s="4" t="s">
        <v>375</v>
      </c>
      <c r="Z2635" s="4" t="s">
        <v>63</v>
      </c>
      <c r="AA2635" s="4" t="s">
        <v>63</v>
      </c>
      <c r="AB2635" s="4" t="s">
        <v>63</v>
      </c>
      <c r="AC2635" s="4" t="s">
        <v>67</v>
      </c>
      <c r="AD2635" s="4" t="s">
        <v>63</v>
      </c>
      <c r="AE2635" s="4" t="s">
        <v>63</v>
      </c>
      <c r="AF2635" s="4" t="s">
        <v>63</v>
      </c>
      <c r="AG2635" s="4" t="s">
        <v>63</v>
      </c>
      <c r="AH2635" s="4" t="s">
        <v>63</v>
      </c>
      <c r="AI2635" s="4" t="s">
        <v>63</v>
      </c>
      <c r="AJ2635" s="4" t="s">
        <v>63</v>
      </c>
      <c r="AK2635" s="4" t="s">
        <v>63</v>
      </c>
      <c r="AL2635" s="4" t="s">
        <v>63</v>
      </c>
      <c r="AM2635" s="4" t="s">
        <v>21965</v>
      </c>
      <c r="AN2635" s="4" t="s">
        <v>63</v>
      </c>
      <c r="AO2635" s="4" t="s">
        <v>63</v>
      </c>
      <c r="AP2635" s="4" t="s">
        <v>63</v>
      </c>
      <c r="AQ2635" s="4" t="s">
        <v>63</v>
      </c>
      <c r="AR2635" s="4" t="s">
        <v>63</v>
      </c>
      <c r="AS2635" s="4" t="s">
        <v>63</v>
      </c>
      <c r="AT2635" s="4" t="s">
        <v>63</v>
      </c>
      <c r="AU2635" s="4" t="s">
        <v>63</v>
      </c>
      <c r="AV2635" s="4" t="s">
        <v>63</v>
      </c>
      <c r="AW2635" s="4" t="s">
        <v>63</v>
      </c>
      <c r="AX2635" s="4" t="s">
        <v>63</v>
      </c>
      <c r="AY2635" s="4" t="s">
        <v>63</v>
      </c>
      <c r="AZ2635" s="4" t="s">
        <v>63</v>
      </c>
      <c r="BA2635" s="4" t="s">
        <v>63</v>
      </c>
      <c r="BB2635" s="4" t="s">
        <v>63</v>
      </c>
      <c r="BC2635" s="4" t="s">
        <v>63</v>
      </c>
      <c r="BD2635" s="4" t="s">
        <v>63</v>
      </c>
      <c r="BE2635" s="4" t="s">
        <v>63</v>
      </c>
      <c r="BF2635" s="4" t="s">
        <v>63</v>
      </c>
    </row>
    <row r="2636" spans="1:58">
      <c r="A2636" s="4" t="s">
        <v>58</v>
      </c>
      <c r="B2636" s="4" t="s">
        <v>21969</v>
      </c>
      <c r="C2636" s="4" t="s">
        <v>21970</v>
      </c>
      <c r="D2636" s="4" t="s">
        <v>389</v>
      </c>
      <c r="E2636" s="4" t="s">
        <v>63</v>
      </c>
      <c r="F2636" s="4">
        <v>1997</v>
      </c>
      <c r="G2636" s="4" t="s">
        <v>73</v>
      </c>
      <c r="H2636" s="4">
        <v>18</v>
      </c>
      <c r="I2636" s="4">
        <v>2</v>
      </c>
      <c r="J2636" s="4">
        <v>51</v>
      </c>
      <c r="K2636" s="4">
        <v>56</v>
      </c>
      <c r="L2636" s="4" t="s">
        <v>21971</v>
      </c>
      <c r="M2636" s="4" t="s">
        <v>21972</v>
      </c>
      <c r="N2636" s="4" t="s">
        <v>21973</v>
      </c>
      <c r="O2636" s="4" t="s">
        <v>63</v>
      </c>
      <c r="P2636" s="4"/>
      <c r="Q2636" s="4" t="s">
        <v>63</v>
      </c>
      <c r="R2636" s="4" t="s">
        <v>63</v>
      </c>
      <c r="S2636" s="4" t="s">
        <v>63</v>
      </c>
      <c r="T2636" s="4" t="s">
        <v>63</v>
      </c>
      <c r="U2636" s="4"/>
      <c r="V2636" s="4"/>
      <c r="W2636" s="4"/>
      <c r="X2636" s="4" t="s">
        <v>63</v>
      </c>
      <c r="Y2636" s="4" t="s">
        <v>392</v>
      </c>
      <c r="Z2636" s="4" t="s">
        <v>63</v>
      </c>
      <c r="AA2636" s="4" t="s">
        <v>63</v>
      </c>
      <c r="AB2636" s="4" t="s">
        <v>21974</v>
      </c>
      <c r="AC2636" s="4" t="s">
        <v>67</v>
      </c>
      <c r="AD2636" s="4" t="s">
        <v>63</v>
      </c>
      <c r="AE2636" s="4" t="s">
        <v>63</v>
      </c>
      <c r="AF2636" s="4" t="s">
        <v>63</v>
      </c>
      <c r="AG2636" s="4" t="s">
        <v>63</v>
      </c>
      <c r="AH2636" s="4" t="s">
        <v>63</v>
      </c>
      <c r="AI2636" s="4" t="s">
        <v>63</v>
      </c>
      <c r="AJ2636" s="4" t="s">
        <v>63</v>
      </c>
      <c r="AK2636" s="4" t="s">
        <v>63</v>
      </c>
      <c r="AL2636" s="4" t="s">
        <v>63</v>
      </c>
      <c r="AM2636" s="4" t="s">
        <v>21970</v>
      </c>
      <c r="AN2636" s="4" t="s">
        <v>63</v>
      </c>
      <c r="AO2636" s="4" t="s">
        <v>63</v>
      </c>
      <c r="AP2636" s="4" t="s">
        <v>63</v>
      </c>
      <c r="AQ2636" s="4" t="s">
        <v>63</v>
      </c>
      <c r="AR2636" s="4" t="s">
        <v>63</v>
      </c>
      <c r="AS2636" s="4" t="s">
        <v>63</v>
      </c>
      <c r="AT2636" s="4" t="s">
        <v>63</v>
      </c>
      <c r="AU2636" s="4" t="s">
        <v>63</v>
      </c>
      <c r="AV2636" s="4" t="s">
        <v>63</v>
      </c>
      <c r="AW2636" s="4" t="s">
        <v>63</v>
      </c>
      <c r="AX2636" s="4" t="s">
        <v>63</v>
      </c>
      <c r="AY2636" s="4" t="s">
        <v>63</v>
      </c>
      <c r="AZ2636" s="4" t="s">
        <v>63</v>
      </c>
      <c r="BA2636" s="4" t="s">
        <v>63</v>
      </c>
      <c r="BB2636" s="4" t="s">
        <v>63</v>
      </c>
      <c r="BC2636" s="4" t="s">
        <v>63</v>
      </c>
      <c r="BD2636" s="4" t="s">
        <v>63</v>
      </c>
      <c r="BE2636" s="4" t="s">
        <v>63</v>
      </c>
      <c r="BF2636" s="4" t="s">
        <v>63</v>
      </c>
    </row>
    <row r="2637" spans="1:58">
      <c r="A2637" s="4" t="s">
        <v>58</v>
      </c>
      <c r="B2637" s="4" t="s">
        <v>21975</v>
      </c>
      <c r="C2637" s="4" t="s">
        <v>21976</v>
      </c>
      <c r="D2637" s="4" t="s">
        <v>21977</v>
      </c>
      <c r="E2637" s="4" t="s">
        <v>63</v>
      </c>
      <c r="F2637" s="4">
        <v>2007</v>
      </c>
      <c r="G2637" s="4" t="s">
        <v>15389</v>
      </c>
      <c r="H2637" s="4">
        <v>14</v>
      </c>
      <c r="I2637" s="4">
        <v>1</v>
      </c>
      <c r="J2637" s="4">
        <v>1</v>
      </c>
      <c r="K2637" s="4">
        <v>5</v>
      </c>
      <c r="L2637" s="4" t="s">
        <v>21978</v>
      </c>
      <c r="M2637" s="4" t="s">
        <v>21979</v>
      </c>
      <c r="N2637" s="4" t="s">
        <v>21980</v>
      </c>
      <c r="O2637" s="4" t="s">
        <v>63</v>
      </c>
      <c r="P2637" s="4"/>
      <c r="Q2637" s="4" t="s">
        <v>63</v>
      </c>
      <c r="R2637" s="4" t="s">
        <v>63</v>
      </c>
      <c r="S2637" s="4" t="s">
        <v>63</v>
      </c>
      <c r="T2637" s="4" t="s">
        <v>63</v>
      </c>
      <c r="U2637" s="4"/>
      <c r="V2637" s="4"/>
      <c r="W2637" s="4"/>
      <c r="X2637" s="4" t="s">
        <v>63</v>
      </c>
      <c r="Y2637" s="4" t="s">
        <v>21981</v>
      </c>
      <c r="Z2637" s="4" t="s">
        <v>63</v>
      </c>
      <c r="AA2637" s="4" t="s">
        <v>63</v>
      </c>
      <c r="AB2637" s="4" t="s">
        <v>21982</v>
      </c>
      <c r="AC2637" s="4" t="s">
        <v>67</v>
      </c>
      <c r="AD2637" s="4" t="s">
        <v>63</v>
      </c>
      <c r="AE2637" s="4" t="s">
        <v>63</v>
      </c>
      <c r="AF2637" s="4" t="s">
        <v>63</v>
      </c>
      <c r="AG2637" s="4" t="s">
        <v>63</v>
      </c>
      <c r="AH2637" s="4" t="s">
        <v>63</v>
      </c>
      <c r="AI2637" s="4" t="s">
        <v>21983</v>
      </c>
      <c r="AJ2637" s="4" t="s">
        <v>63</v>
      </c>
      <c r="AK2637" s="4" t="s">
        <v>63</v>
      </c>
      <c r="AL2637" s="4" t="s">
        <v>63</v>
      </c>
      <c r="AM2637" s="4" t="s">
        <v>21976</v>
      </c>
      <c r="AN2637" s="4" t="s">
        <v>63</v>
      </c>
      <c r="AO2637" s="4" t="s">
        <v>63</v>
      </c>
      <c r="AP2637" s="4" t="s">
        <v>63</v>
      </c>
      <c r="AQ2637" s="4" t="s">
        <v>63</v>
      </c>
      <c r="AR2637" s="4" t="s">
        <v>63</v>
      </c>
      <c r="AS2637" s="4" t="s">
        <v>63</v>
      </c>
      <c r="AT2637" s="4" t="s">
        <v>63</v>
      </c>
      <c r="AU2637" s="4" t="s">
        <v>63</v>
      </c>
      <c r="AV2637" s="4" t="s">
        <v>63</v>
      </c>
      <c r="AW2637" s="4" t="s">
        <v>63</v>
      </c>
      <c r="AX2637" s="4" t="s">
        <v>63</v>
      </c>
      <c r="AY2637" s="4" t="s">
        <v>63</v>
      </c>
      <c r="AZ2637" s="4" t="s">
        <v>63</v>
      </c>
      <c r="BA2637" s="4" t="s">
        <v>63</v>
      </c>
      <c r="BB2637" s="4" t="s">
        <v>63</v>
      </c>
      <c r="BC2637" s="4" t="s">
        <v>63</v>
      </c>
      <c r="BD2637" s="4" t="s">
        <v>63</v>
      </c>
      <c r="BE2637" s="4" t="s">
        <v>63</v>
      </c>
      <c r="BF2637" s="4" t="s">
        <v>63</v>
      </c>
    </row>
    <row r="2638" spans="1:58">
      <c r="A2638" s="4" t="s">
        <v>58</v>
      </c>
      <c r="B2638" s="4" t="s">
        <v>21984</v>
      </c>
      <c r="C2638" s="4" t="s">
        <v>21985</v>
      </c>
      <c r="D2638" s="4" t="s">
        <v>17683</v>
      </c>
      <c r="E2638" s="4" t="s">
        <v>63</v>
      </c>
      <c r="F2638" s="4">
        <v>2010</v>
      </c>
      <c r="G2638" s="4" t="s">
        <v>21986</v>
      </c>
      <c r="H2638" s="4">
        <v>12</v>
      </c>
      <c r="I2638" s="4">
        <v>1</v>
      </c>
      <c r="J2638" s="4">
        <v>39</v>
      </c>
      <c r="K2638" s="4">
        <v>45</v>
      </c>
      <c r="L2638" s="4" t="s">
        <v>21987</v>
      </c>
      <c r="M2638" s="4" t="s">
        <v>21988</v>
      </c>
      <c r="N2638" s="4" t="s">
        <v>21989</v>
      </c>
      <c r="O2638" s="4" t="s">
        <v>63</v>
      </c>
      <c r="P2638" s="4"/>
      <c r="Q2638" s="4" t="s">
        <v>63</v>
      </c>
      <c r="R2638" s="4" t="s">
        <v>63</v>
      </c>
      <c r="S2638" s="4" t="s">
        <v>63</v>
      </c>
      <c r="T2638" s="4" t="s">
        <v>63</v>
      </c>
      <c r="U2638" s="4"/>
      <c r="V2638" s="4"/>
      <c r="W2638" s="4"/>
      <c r="X2638" s="4" t="s">
        <v>63</v>
      </c>
      <c r="Y2638" s="4" t="s">
        <v>17687</v>
      </c>
      <c r="Z2638" s="4" t="s">
        <v>63</v>
      </c>
      <c r="AA2638" s="4" t="s">
        <v>63</v>
      </c>
      <c r="AB2638" s="4" t="s">
        <v>21990</v>
      </c>
      <c r="AC2638" s="4" t="s">
        <v>696</v>
      </c>
      <c r="AD2638" s="4" t="s">
        <v>63</v>
      </c>
      <c r="AE2638" s="4" t="s">
        <v>63</v>
      </c>
      <c r="AF2638" s="4" t="s">
        <v>63</v>
      </c>
      <c r="AG2638" s="4" t="s">
        <v>63</v>
      </c>
      <c r="AH2638" s="4" t="s">
        <v>63</v>
      </c>
      <c r="AI2638" s="4" t="s">
        <v>63</v>
      </c>
      <c r="AJ2638" s="4" t="s">
        <v>63</v>
      </c>
      <c r="AK2638" s="4" t="s">
        <v>63</v>
      </c>
      <c r="AL2638" s="4" t="s">
        <v>63</v>
      </c>
      <c r="AM2638" s="4" t="s">
        <v>21991</v>
      </c>
      <c r="AN2638" s="4" t="s">
        <v>63</v>
      </c>
      <c r="AO2638" s="4" t="s">
        <v>63</v>
      </c>
      <c r="AP2638" s="4" t="s">
        <v>63</v>
      </c>
      <c r="AQ2638" s="4" t="s">
        <v>63</v>
      </c>
      <c r="AR2638" s="4" t="s">
        <v>63</v>
      </c>
      <c r="AS2638" s="4" t="s">
        <v>63</v>
      </c>
      <c r="AT2638" s="4" t="s">
        <v>63</v>
      </c>
      <c r="AU2638" s="4" t="s">
        <v>63</v>
      </c>
      <c r="AV2638" s="4" t="s">
        <v>63</v>
      </c>
      <c r="AW2638" s="4" t="s">
        <v>63</v>
      </c>
      <c r="AX2638" s="4" t="s">
        <v>63</v>
      </c>
      <c r="AY2638" s="4" t="s">
        <v>63</v>
      </c>
      <c r="AZ2638" s="4" t="s">
        <v>63</v>
      </c>
      <c r="BA2638" s="4" t="s">
        <v>63</v>
      </c>
      <c r="BB2638" s="4" t="s">
        <v>63</v>
      </c>
      <c r="BC2638" s="4" t="s">
        <v>63</v>
      </c>
      <c r="BD2638" s="4" t="s">
        <v>63</v>
      </c>
      <c r="BE2638" s="4" t="s">
        <v>63</v>
      </c>
      <c r="BF2638" s="4" t="s">
        <v>63</v>
      </c>
    </row>
    <row r="2639" spans="1:58">
      <c r="A2639" s="4" t="s">
        <v>58</v>
      </c>
      <c r="B2639" s="4" t="s">
        <v>21992</v>
      </c>
      <c r="C2639" s="4" t="s">
        <v>21993</v>
      </c>
      <c r="D2639" s="4" t="s">
        <v>21994</v>
      </c>
      <c r="E2639" s="4" t="s">
        <v>63</v>
      </c>
      <c r="F2639" s="4">
        <v>1972</v>
      </c>
      <c r="G2639" s="4" t="s">
        <v>63</v>
      </c>
      <c r="H2639" s="4">
        <v>7</v>
      </c>
      <c r="I2639" s="4">
        <v>11</v>
      </c>
      <c r="J2639" s="4">
        <v>314</v>
      </c>
      <c r="K2639" s="4">
        <v>317</v>
      </c>
      <c r="L2639" s="4" t="s">
        <v>21995</v>
      </c>
      <c r="M2639" s="4" t="s">
        <v>21996</v>
      </c>
      <c r="N2639" s="4" t="s">
        <v>21997</v>
      </c>
      <c r="O2639" s="4" t="s">
        <v>63</v>
      </c>
      <c r="P2639" s="4"/>
      <c r="Q2639" s="4" t="s">
        <v>63</v>
      </c>
      <c r="R2639" s="4" t="s">
        <v>63</v>
      </c>
      <c r="S2639" s="4" t="s">
        <v>63</v>
      </c>
      <c r="T2639" s="4" t="s">
        <v>63</v>
      </c>
      <c r="U2639" s="4"/>
      <c r="V2639" s="4"/>
      <c r="W2639" s="4"/>
      <c r="X2639" s="4" t="s">
        <v>63</v>
      </c>
      <c r="Y2639" s="4" t="s">
        <v>63</v>
      </c>
      <c r="Z2639" s="4" t="s">
        <v>63</v>
      </c>
      <c r="AA2639" s="4" t="s">
        <v>63</v>
      </c>
      <c r="AB2639" s="4" t="s">
        <v>21998</v>
      </c>
      <c r="AC2639" s="4" t="s">
        <v>102</v>
      </c>
      <c r="AD2639" s="4" t="s">
        <v>63</v>
      </c>
      <c r="AE2639" s="4" t="s">
        <v>63</v>
      </c>
      <c r="AF2639" s="4" t="s">
        <v>63</v>
      </c>
      <c r="AG2639" s="4" t="s">
        <v>63</v>
      </c>
      <c r="AH2639" s="4" t="s">
        <v>63</v>
      </c>
      <c r="AI2639" s="4" t="s">
        <v>63</v>
      </c>
      <c r="AJ2639" s="4" t="s">
        <v>63</v>
      </c>
      <c r="AK2639" s="4" t="s">
        <v>63</v>
      </c>
      <c r="AL2639" s="4" t="s">
        <v>63</v>
      </c>
      <c r="AM2639" s="4" t="s">
        <v>21993</v>
      </c>
      <c r="AN2639" s="4" t="s">
        <v>63</v>
      </c>
      <c r="AO2639" s="4" t="s">
        <v>63</v>
      </c>
      <c r="AP2639" s="4" t="s">
        <v>63</v>
      </c>
      <c r="AQ2639" s="4" t="s">
        <v>63</v>
      </c>
      <c r="AR2639" s="4" t="s">
        <v>63</v>
      </c>
      <c r="AS2639" s="4" t="s">
        <v>63</v>
      </c>
      <c r="AT2639" s="4" t="s">
        <v>63</v>
      </c>
      <c r="AU2639" s="4" t="s">
        <v>63</v>
      </c>
      <c r="AV2639" s="4" t="s">
        <v>63</v>
      </c>
      <c r="AW2639" s="4" t="s">
        <v>63</v>
      </c>
      <c r="AX2639" s="4" t="s">
        <v>63</v>
      </c>
      <c r="AY2639" s="4" t="s">
        <v>63</v>
      </c>
      <c r="AZ2639" s="4" t="s">
        <v>63</v>
      </c>
      <c r="BA2639" s="4" t="s">
        <v>63</v>
      </c>
      <c r="BB2639" s="4" t="s">
        <v>63</v>
      </c>
      <c r="BC2639" s="4" t="s">
        <v>63</v>
      </c>
      <c r="BD2639" s="4" t="s">
        <v>63</v>
      </c>
      <c r="BE2639" s="4" t="s">
        <v>63</v>
      </c>
      <c r="BF2639" s="4" t="s">
        <v>63</v>
      </c>
    </row>
    <row r="2640" spans="1:58">
      <c r="A2640" s="4" t="s">
        <v>58</v>
      </c>
      <c r="B2640" s="4" t="s">
        <v>21999</v>
      </c>
      <c r="C2640" s="4" t="s">
        <v>22000</v>
      </c>
      <c r="D2640" s="4" t="s">
        <v>19907</v>
      </c>
      <c r="E2640" s="4" t="s">
        <v>63</v>
      </c>
      <c r="F2640" s="4">
        <v>2010</v>
      </c>
      <c r="G2640" s="4" t="s">
        <v>63</v>
      </c>
      <c r="H2640" s="4">
        <v>14</v>
      </c>
      <c r="I2640" s="4">
        <v>4</v>
      </c>
      <c r="J2640" s="4">
        <v>343</v>
      </c>
      <c r="K2640" s="4">
        <v>345</v>
      </c>
      <c r="L2640" s="4" t="s">
        <v>22001</v>
      </c>
      <c r="M2640" s="4" t="s">
        <v>22002</v>
      </c>
      <c r="N2640" s="4" t="s">
        <v>22003</v>
      </c>
      <c r="O2640" s="4" t="s">
        <v>63</v>
      </c>
      <c r="P2640" s="4"/>
      <c r="Q2640" s="4" t="s">
        <v>63</v>
      </c>
      <c r="R2640" s="4" t="s">
        <v>63</v>
      </c>
      <c r="S2640" s="4" t="s">
        <v>63</v>
      </c>
      <c r="T2640" s="4" t="s">
        <v>63</v>
      </c>
      <c r="U2640" s="4"/>
      <c r="V2640" s="4"/>
      <c r="W2640" s="4"/>
      <c r="X2640" s="4" t="s">
        <v>63</v>
      </c>
      <c r="Y2640" s="4" t="s">
        <v>19911</v>
      </c>
      <c r="Z2640" s="4" t="s">
        <v>63</v>
      </c>
      <c r="AA2640" s="4" t="s">
        <v>63</v>
      </c>
      <c r="AB2640" s="4" t="s">
        <v>63</v>
      </c>
      <c r="AC2640" s="4" t="s">
        <v>67</v>
      </c>
      <c r="AD2640" s="4" t="s">
        <v>63</v>
      </c>
      <c r="AE2640" s="4" t="s">
        <v>63</v>
      </c>
      <c r="AF2640" s="4" t="s">
        <v>63</v>
      </c>
      <c r="AG2640" s="4" t="s">
        <v>63</v>
      </c>
      <c r="AH2640" s="4" t="s">
        <v>63</v>
      </c>
      <c r="AI2640" s="4" t="s">
        <v>19912</v>
      </c>
      <c r="AJ2640" s="4" t="s">
        <v>63</v>
      </c>
      <c r="AK2640" s="4" t="s">
        <v>63</v>
      </c>
      <c r="AL2640" s="4" t="s">
        <v>63</v>
      </c>
      <c r="AM2640" s="4" t="s">
        <v>22000</v>
      </c>
      <c r="AN2640" s="4" t="s">
        <v>63</v>
      </c>
      <c r="AO2640" s="4" t="s">
        <v>63</v>
      </c>
      <c r="AP2640" s="4" t="s">
        <v>63</v>
      </c>
      <c r="AQ2640" s="4" t="s">
        <v>63</v>
      </c>
      <c r="AR2640" s="4" t="s">
        <v>63</v>
      </c>
      <c r="AS2640" s="4" t="s">
        <v>63</v>
      </c>
      <c r="AT2640" s="4" t="s">
        <v>63</v>
      </c>
      <c r="AU2640" s="4" t="s">
        <v>63</v>
      </c>
      <c r="AV2640" s="4" t="s">
        <v>63</v>
      </c>
      <c r="AW2640" s="4" t="s">
        <v>63</v>
      </c>
      <c r="AX2640" s="4" t="s">
        <v>63</v>
      </c>
      <c r="AY2640" s="4" t="s">
        <v>63</v>
      </c>
      <c r="AZ2640" s="4" t="s">
        <v>63</v>
      </c>
      <c r="BA2640" s="4" t="s">
        <v>63</v>
      </c>
      <c r="BB2640" s="4" t="s">
        <v>63</v>
      </c>
      <c r="BC2640" s="4" t="s">
        <v>63</v>
      </c>
      <c r="BD2640" s="4" t="s">
        <v>63</v>
      </c>
      <c r="BE2640" s="4" t="s">
        <v>63</v>
      </c>
      <c r="BF2640" s="4" t="s">
        <v>63</v>
      </c>
    </row>
    <row r="2641" spans="1:58">
      <c r="A2641" s="4" t="s">
        <v>58</v>
      </c>
      <c r="B2641" s="4" t="s">
        <v>22004</v>
      </c>
      <c r="C2641" s="4" t="s">
        <v>22005</v>
      </c>
      <c r="D2641" s="4" t="s">
        <v>22006</v>
      </c>
      <c r="E2641" s="4" t="s">
        <v>63</v>
      </c>
      <c r="F2641" s="4">
        <v>2018</v>
      </c>
      <c r="G2641" s="4">
        <v>1</v>
      </c>
      <c r="H2641" s="4">
        <v>12</v>
      </c>
      <c r="I2641" s="4">
        <v>2</v>
      </c>
      <c r="J2641" s="4">
        <v>99</v>
      </c>
      <c r="K2641" s="4">
        <v>101</v>
      </c>
      <c r="L2641" s="4" t="s">
        <v>22007</v>
      </c>
      <c r="M2641" s="4" t="s">
        <v>22008</v>
      </c>
      <c r="N2641" s="4" t="s">
        <v>22009</v>
      </c>
      <c r="O2641" s="4" t="s">
        <v>63</v>
      </c>
      <c r="P2641" s="4"/>
      <c r="Q2641" s="4" t="s">
        <v>63</v>
      </c>
      <c r="R2641" s="4" t="s">
        <v>63</v>
      </c>
      <c r="S2641" s="4" t="s">
        <v>63</v>
      </c>
      <c r="T2641" s="4" t="s">
        <v>63</v>
      </c>
      <c r="U2641" s="4"/>
      <c r="V2641" s="4"/>
      <c r="W2641" s="4"/>
      <c r="X2641" s="4" t="s">
        <v>63</v>
      </c>
      <c r="Y2641" s="4" t="s">
        <v>22010</v>
      </c>
      <c r="Z2641" s="4" t="s">
        <v>63</v>
      </c>
      <c r="AA2641" s="4" t="s">
        <v>63</v>
      </c>
      <c r="AB2641" s="4" t="s">
        <v>22011</v>
      </c>
      <c r="AC2641" s="4" t="s">
        <v>67</v>
      </c>
      <c r="AD2641" s="4" t="s">
        <v>63</v>
      </c>
      <c r="AE2641" s="4" t="s">
        <v>63</v>
      </c>
      <c r="AF2641" s="4" t="s">
        <v>63</v>
      </c>
      <c r="AG2641" s="4" t="s">
        <v>63</v>
      </c>
      <c r="AH2641" s="4" t="s">
        <v>63</v>
      </c>
      <c r="AI2641" s="4" t="s">
        <v>22012</v>
      </c>
      <c r="AJ2641" s="4" t="s">
        <v>63</v>
      </c>
      <c r="AK2641" s="4" t="s">
        <v>63</v>
      </c>
      <c r="AL2641" s="4" t="s">
        <v>63</v>
      </c>
      <c r="AM2641" s="4" t="s">
        <v>22005</v>
      </c>
      <c r="AN2641" s="4" t="s">
        <v>63</v>
      </c>
      <c r="AO2641" s="4" t="s">
        <v>63</v>
      </c>
      <c r="AP2641" s="4" t="s">
        <v>63</v>
      </c>
      <c r="AQ2641" s="4" t="s">
        <v>63</v>
      </c>
      <c r="AR2641" s="4" t="s">
        <v>63</v>
      </c>
      <c r="AS2641" s="4" t="s">
        <v>63</v>
      </c>
      <c r="AT2641" s="4" t="s">
        <v>63</v>
      </c>
      <c r="AU2641" s="4" t="s">
        <v>63</v>
      </c>
      <c r="AV2641" s="4" t="s">
        <v>63</v>
      </c>
      <c r="AW2641" s="4" t="s">
        <v>63</v>
      </c>
      <c r="AX2641" s="4" t="s">
        <v>63</v>
      </c>
      <c r="AY2641" s="4" t="s">
        <v>63</v>
      </c>
      <c r="AZ2641" s="4" t="s">
        <v>63</v>
      </c>
      <c r="BA2641" s="4" t="s">
        <v>63</v>
      </c>
      <c r="BB2641" s="4" t="s">
        <v>63</v>
      </c>
      <c r="BC2641" s="4" t="s">
        <v>63</v>
      </c>
      <c r="BD2641" s="4" t="s">
        <v>63</v>
      </c>
      <c r="BE2641" s="4" t="s">
        <v>63</v>
      </c>
      <c r="BF2641" s="4" t="s">
        <v>63</v>
      </c>
    </row>
    <row r="2642" spans="1:58">
      <c r="A2642" s="4" t="s">
        <v>58</v>
      </c>
      <c r="B2642" s="4" t="s">
        <v>22013</v>
      </c>
      <c r="C2642" s="4" t="s">
        <v>22014</v>
      </c>
      <c r="D2642" s="4" t="s">
        <v>4030</v>
      </c>
      <c r="E2642" s="4" t="s">
        <v>4031</v>
      </c>
      <c r="F2642" s="4">
        <v>1977</v>
      </c>
      <c r="G2642" s="4" t="s">
        <v>63</v>
      </c>
      <c r="H2642" s="4">
        <v>7</v>
      </c>
      <c r="I2642" s="4">
        <v>1</v>
      </c>
      <c r="J2642" s="4">
        <v>81</v>
      </c>
      <c r="K2642" s="4">
        <v>98</v>
      </c>
      <c r="L2642" s="4" t="s">
        <v>22015</v>
      </c>
      <c r="M2642" s="4" t="s">
        <v>63</v>
      </c>
      <c r="N2642" s="4" t="s">
        <v>22016</v>
      </c>
      <c r="O2642" s="4" t="s">
        <v>63</v>
      </c>
      <c r="P2642" s="4"/>
      <c r="Q2642" s="4" t="s">
        <v>63</v>
      </c>
      <c r="R2642" s="4" t="s">
        <v>63</v>
      </c>
      <c r="S2642" s="4" t="s">
        <v>63</v>
      </c>
      <c r="T2642" s="4" t="s">
        <v>63</v>
      </c>
      <c r="U2642" s="4"/>
      <c r="V2642" s="4"/>
      <c r="W2642" s="4"/>
      <c r="X2642" s="4" t="s">
        <v>63</v>
      </c>
      <c r="Y2642" s="4" t="s">
        <v>4035</v>
      </c>
      <c r="Z2642" s="4" t="s">
        <v>63</v>
      </c>
      <c r="AA2642" s="4" t="s">
        <v>63</v>
      </c>
      <c r="AB2642" s="4" t="s">
        <v>22017</v>
      </c>
      <c r="AC2642" s="4" t="s">
        <v>67</v>
      </c>
      <c r="AD2642" s="4" t="s">
        <v>63</v>
      </c>
      <c r="AE2642" s="4" t="s">
        <v>63</v>
      </c>
      <c r="AF2642" s="4" t="s">
        <v>63</v>
      </c>
      <c r="AG2642" s="4" t="s">
        <v>63</v>
      </c>
      <c r="AH2642" s="4" t="s">
        <v>63</v>
      </c>
      <c r="AI2642" s="4" t="s">
        <v>63</v>
      </c>
      <c r="AJ2642" s="4" t="s">
        <v>63</v>
      </c>
      <c r="AK2642" s="4" t="s">
        <v>63</v>
      </c>
      <c r="AL2642" s="4" t="s">
        <v>63</v>
      </c>
      <c r="AM2642" s="4" t="s">
        <v>22014</v>
      </c>
      <c r="AN2642" s="4" t="s">
        <v>63</v>
      </c>
      <c r="AO2642" s="4" t="s">
        <v>63</v>
      </c>
      <c r="AP2642" s="4" t="s">
        <v>63</v>
      </c>
      <c r="AQ2642" s="4" t="s">
        <v>63</v>
      </c>
      <c r="AR2642" s="4" t="s">
        <v>63</v>
      </c>
      <c r="AS2642" s="4" t="s">
        <v>63</v>
      </c>
      <c r="AT2642" s="4" t="s">
        <v>63</v>
      </c>
      <c r="AU2642" s="4" t="s">
        <v>63</v>
      </c>
      <c r="AV2642" s="4" t="s">
        <v>63</v>
      </c>
      <c r="AW2642" s="4" t="s">
        <v>63</v>
      </c>
      <c r="AX2642" s="4" t="s">
        <v>63</v>
      </c>
      <c r="AY2642" s="4" t="s">
        <v>63</v>
      </c>
      <c r="AZ2642" s="4" t="s">
        <v>63</v>
      </c>
      <c r="BA2642" s="4" t="s">
        <v>63</v>
      </c>
      <c r="BB2642" s="4" t="s">
        <v>63</v>
      </c>
      <c r="BC2642" s="4" t="s">
        <v>63</v>
      </c>
      <c r="BD2642" s="4" t="s">
        <v>63</v>
      </c>
      <c r="BE2642" s="4" t="s">
        <v>63</v>
      </c>
      <c r="BF2642" s="4" t="s">
        <v>63</v>
      </c>
    </row>
    <row r="2643" spans="1:58">
      <c r="A2643" s="4" t="s">
        <v>58</v>
      </c>
      <c r="B2643" s="4" t="s">
        <v>22018</v>
      </c>
      <c r="C2643" s="4" t="s">
        <v>22019</v>
      </c>
      <c r="D2643" s="4" t="s">
        <v>22020</v>
      </c>
      <c r="E2643" s="4" t="s">
        <v>63</v>
      </c>
      <c r="F2643" s="4">
        <v>2005</v>
      </c>
      <c r="G2643" s="4" t="s">
        <v>138</v>
      </c>
      <c r="H2643" s="4">
        <v>9</v>
      </c>
      <c r="I2643" s="4">
        <v>4</v>
      </c>
      <c r="J2643" s="4">
        <v>228</v>
      </c>
      <c r="K2643" s="4">
        <v>234</v>
      </c>
      <c r="L2643" s="4" t="s">
        <v>22021</v>
      </c>
      <c r="M2643" s="4" t="s">
        <v>22022</v>
      </c>
      <c r="N2643" s="4" t="s">
        <v>22023</v>
      </c>
      <c r="O2643" s="4" t="s">
        <v>63</v>
      </c>
      <c r="P2643" s="4"/>
      <c r="Q2643" s="4" t="s">
        <v>63</v>
      </c>
      <c r="R2643" s="4" t="s">
        <v>63</v>
      </c>
      <c r="S2643" s="4" t="s">
        <v>63</v>
      </c>
      <c r="T2643" s="4" t="s">
        <v>63</v>
      </c>
      <c r="U2643" s="4"/>
      <c r="V2643" s="4"/>
      <c r="W2643" s="4"/>
      <c r="X2643" s="4" t="s">
        <v>63</v>
      </c>
      <c r="Y2643" s="4" t="s">
        <v>22024</v>
      </c>
      <c r="Z2643" s="4" t="s">
        <v>63</v>
      </c>
      <c r="AA2643" s="4" t="s">
        <v>63</v>
      </c>
      <c r="AB2643" s="4" t="s">
        <v>22025</v>
      </c>
      <c r="AC2643" s="4" t="s">
        <v>67</v>
      </c>
      <c r="AD2643" s="4" t="s">
        <v>63</v>
      </c>
      <c r="AE2643" s="4" t="s">
        <v>63</v>
      </c>
      <c r="AF2643" s="4" t="s">
        <v>63</v>
      </c>
      <c r="AG2643" s="4" t="s">
        <v>63</v>
      </c>
      <c r="AH2643" s="4" t="s">
        <v>63</v>
      </c>
      <c r="AI2643" s="4" t="s">
        <v>22026</v>
      </c>
      <c r="AJ2643" s="4" t="s">
        <v>63</v>
      </c>
      <c r="AK2643" s="4" t="s">
        <v>63</v>
      </c>
      <c r="AL2643" s="4" t="s">
        <v>63</v>
      </c>
      <c r="AM2643" s="4" t="s">
        <v>22019</v>
      </c>
      <c r="AN2643" s="4" t="s">
        <v>63</v>
      </c>
      <c r="AO2643" s="4" t="s">
        <v>63</v>
      </c>
      <c r="AP2643" s="4" t="s">
        <v>63</v>
      </c>
      <c r="AQ2643" s="4" t="s">
        <v>63</v>
      </c>
      <c r="AR2643" s="4" t="s">
        <v>63</v>
      </c>
      <c r="AS2643" s="4" t="s">
        <v>63</v>
      </c>
      <c r="AT2643" s="4" t="s">
        <v>63</v>
      </c>
      <c r="AU2643" s="4" t="s">
        <v>63</v>
      </c>
      <c r="AV2643" s="4" t="s">
        <v>63</v>
      </c>
      <c r="AW2643" s="4" t="s">
        <v>63</v>
      </c>
      <c r="AX2643" s="4" t="s">
        <v>63</v>
      </c>
      <c r="AY2643" s="4" t="s">
        <v>63</v>
      </c>
      <c r="AZ2643" s="4" t="s">
        <v>63</v>
      </c>
      <c r="BA2643" s="4" t="s">
        <v>63</v>
      </c>
      <c r="BB2643" s="4" t="s">
        <v>63</v>
      </c>
      <c r="BC2643" s="4" t="s">
        <v>63</v>
      </c>
      <c r="BD2643" s="4" t="s">
        <v>63</v>
      </c>
      <c r="BE2643" s="4" t="s">
        <v>63</v>
      </c>
      <c r="BF2643" s="4" t="s">
        <v>63</v>
      </c>
    </row>
    <row r="2644" spans="1:58">
      <c r="A2644" s="4" t="s">
        <v>58</v>
      </c>
      <c r="B2644" s="4" t="s">
        <v>22027</v>
      </c>
      <c r="C2644" s="4" t="s">
        <v>22028</v>
      </c>
      <c r="D2644" s="4" t="s">
        <v>22029</v>
      </c>
      <c r="E2644" s="4" t="s">
        <v>22030</v>
      </c>
      <c r="F2644" s="4">
        <v>2010</v>
      </c>
      <c r="G2644" s="4" t="s">
        <v>15165</v>
      </c>
      <c r="H2644" s="4" t="s">
        <v>22031</v>
      </c>
      <c r="I2644" s="4" t="s">
        <v>63</v>
      </c>
      <c r="J2644" s="4" t="s">
        <v>19444</v>
      </c>
      <c r="K2644" s="4" t="s">
        <v>63</v>
      </c>
      <c r="L2644" s="4" t="s">
        <v>22032</v>
      </c>
      <c r="M2644" s="4" t="s">
        <v>22033</v>
      </c>
      <c r="N2644" s="4" t="s">
        <v>22034</v>
      </c>
      <c r="O2644" s="4" t="s">
        <v>63</v>
      </c>
      <c r="P2644" s="4"/>
      <c r="Q2644" s="4" t="s">
        <v>63</v>
      </c>
      <c r="R2644" s="4" t="s">
        <v>63</v>
      </c>
      <c r="S2644" s="4" t="s">
        <v>63</v>
      </c>
      <c r="T2644" s="4" t="s">
        <v>63</v>
      </c>
      <c r="U2644" s="4"/>
      <c r="V2644" s="4"/>
      <c r="W2644" s="4"/>
      <c r="X2644" s="4" t="s">
        <v>63</v>
      </c>
      <c r="Y2644" s="4" t="s">
        <v>22035</v>
      </c>
      <c r="Z2644" s="4" t="s">
        <v>63</v>
      </c>
      <c r="AA2644" s="4" t="s">
        <v>63</v>
      </c>
      <c r="AB2644" s="4" t="s">
        <v>63</v>
      </c>
      <c r="AC2644" s="4" t="s">
        <v>67</v>
      </c>
      <c r="AD2644" s="4" t="s">
        <v>63</v>
      </c>
      <c r="AE2644" s="4" t="s">
        <v>63</v>
      </c>
      <c r="AF2644" s="4" t="s">
        <v>63</v>
      </c>
      <c r="AG2644" s="4" t="s">
        <v>63</v>
      </c>
      <c r="AH2644" s="4" t="s">
        <v>63</v>
      </c>
      <c r="AI2644" s="4" t="s">
        <v>22036</v>
      </c>
      <c r="AJ2644" s="4" t="s">
        <v>63</v>
      </c>
      <c r="AK2644" s="4" t="s">
        <v>63</v>
      </c>
      <c r="AL2644" s="4" t="s">
        <v>63</v>
      </c>
      <c r="AM2644" s="4" t="s">
        <v>22028</v>
      </c>
      <c r="AN2644" s="4" t="s">
        <v>63</v>
      </c>
      <c r="AO2644" s="4" t="s">
        <v>63</v>
      </c>
      <c r="AP2644" s="4" t="s">
        <v>63</v>
      </c>
      <c r="AQ2644" s="4" t="s">
        <v>63</v>
      </c>
      <c r="AR2644" s="4" t="s">
        <v>63</v>
      </c>
      <c r="AS2644" s="4" t="s">
        <v>63</v>
      </c>
      <c r="AT2644" s="4" t="s">
        <v>63</v>
      </c>
      <c r="AU2644" s="4" t="s">
        <v>63</v>
      </c>
      <c r="AV2644" s="4" t="s">
        <v>63</v>
      </c>
      <c r="AW2644" s="4" t="s">
        <v>63</v>
      </c>
      <c r="AX2644" s="4" t="s">
        <v>63</v>
      </c>
      <c r="AY2644" s="4" t="s">
        <v>63</v>
      </c>
      <c r="AZ2644" s="4" t="s">
        <v>63</v>
      </c>
      <c r="BA2644" s="4" t="s">
        <v>63</v>
      </c>
      <c r="BB2644" s="4" t="s">
        <v>63</v>
      </c>
      <c r="BC2644" s="4" t="s">
        <v>63</v>
      </c>
      <c r="BD2644" s="4" t="s">
        <v>63</v>
      </c>
      <c r="BE2644" s="4" t="s">
        <v>63</v>
      </c>
      <c r="BF2644" s="4" t="s">
        <v>63</v>
      </c>
    </row>
    <row r="2645" spans="1:58">
      <c r="A2645" s="4" t="s">
        <v>58</v>
      </c>
      <c r="B2645" s="4" t="s">
        <v>22037</v>
      </c>
      <c r="C2645" s="4" t="s">
        <v>22038</v>
      </c>
      <c r="D2645" s="4" t="s">
        <v>22039</v>
      </c>
      <c r="E2645" s="4" t="s">
        <v>63</v>
      </c>
      <c r="F2645" s="4">
        <v>2012</v>
      </c>
      <c r="G2645" s="4" t="s">
        <v>15165</v>
      </c>
      <c r="H2645" s="4">
        <v>19</v>
      </c>
      <c r="I2645" s="4">
        <v>2</v>
      </c>
      <c r="J2645" s="4">
        <v>220</v>
      </c>
      <c r="K2645" s="4">
        <v>221</v>
      </c>
      <c r="L2645" s="4" t="s">
        <v>22040</v>
      </c>
      <c r="M2645" s="4" t="s">
        <v>22041</v>
      </c>
      <c r="N2645" s="4" t="s">
        <v>22042</v>
      </c>
      <c r="O2645" s="4" t="s">
        <v>63</v>
      </c>
      <c r="P2645" s="4"/>
      <c r="Q2645" s="4" t="s">
        <v>63</v>
      </c>
      <c r="R2645" s="4" t="s">
        <v>63</v>
      </c>
      <c r="S2645" s="4" t="s">
        <v>63</v>
      </c>
      <c r="T2645" s="4" t="s">
        <v>63</v>
      </c>
      <c r="U2645" s="4"/>
      <c r="V2645" s="4"/>
      <c r="W2645" s="4"/>
      <c r="X2645" s="4" t="s">
        <v>63</v>
      </c>
      <c r="Y2645" s="4" t="s">
        <v>63</v>
      </c>
      <c r="Z2645" s="4" t="s">
        <v>63</v>
      </c>
      <c r="AA2645" s="4" t="s">
        <v>63</v>
      </c>
      <c r="AB2645" s="4" t="s">
        <v>63</v>
      </c>
      <c r="AC2645" s="4" t="s">
        <v>67</v>
      </c>
      <c r="AD2645" s="4" t="s">
        <v>63</v>
      </c>
      <c r="AE2645" s="4" t="s">
        <v>63</v>
      </c>
      <c r="AF2645" s="4" t="s">
        <v>63</v>
      </c>
      <c r="AG2645" s="4" t="s">
        <v>63</v>
      </c>
      <c r="AH2645" s="4" t="s">
        <v>63</v>
      </c>
      <c r="AI2645" s="4" t="s">
        <v>22043</v>
      </c>
      <c r="AJ2645" s="4" t="s">
        <v>63</v>
      </c>
      <c r="AK2645" s="4" t="s">
        <v>63</v>
      </c>
      <c r="AL2645" s="4" t="s">
        <v>63</v>
      </c>
      <c r="AM2645" s="4" t="s">
        <v>22038</v>
      </c>
      <c r="AN2645" s="4" t="s">
        <v>63</v>
      </c>
      <c r="AO2645" s="4" t="s">
        <v>63</v>
      </c>
      <c r="AP2645" s="4" t="s">
        <v>63</v>
      </c>
      <c r="AQ2645" s="4" t="s">
        <v>63</v>
      </c>
      <c r="AR2645" s="4" t="s">
        <v>63</v>
      </c>
      <c r="AS2645" s="4" t="s">
        <v>63</v>
      </c>
      <c r="AT2645" s="4" t="s">
        <v>63</v>
      </c>
      <c r="AU2645" s="4" t="s">
        <v>63</v>
      </c>
      <c r="AV2645" s="4" t="s">
        <v>63</v>
      </c>
      <c r="AW2645" s="4" t="s">
        <v>63</v>
      </c>
      <c r="AX2645" s="4" t="s">
        <v>63</v>
      </c>
      <c r="AY2645" s="4" t="s">
        <v>63</v>
      </c>
      <c r="AZ2645" s="4" t="s">
        <v>63</v>
      </c>
      <c r="BA2645" s="4" t="s">
        <v>63</v>
      </c>
      <c r="BB2645" s="4" t="s">
        <v>63</v>
      </c>
      <c r="BC2645" s="4" t="s">
        <v>63</v>
      </c>
      <c r="BD2645" s="4" t="s">
        <v>63</v>
      </c>
      <c r="BE2645" s="4" t="s">
        <v>63</v>
      </c>
      <c r="BF2645" s="4" t="s">
        <v>63</v>
      </c>
    </row>
    <row r="2646" spans="1:58">
      <c r="A2646" s="4" t="s">
        <v>58</v>
      </c>
      <c r="B2646" s="4" t="s">
        <v>22044</v>
      </c>
      <c r="C2646" s="4" t="s">
        <v>22045</v>
      </c>
      <c r="D2646" s="4" t="s">
        <v>3089</v>
      </c>
      <c r="E2646" s="4" t="s">
        <v>3090</v>
      </c>
      <c r="F2646" s="4">
        <v>2014</v>
      </c>
      <c r="G2646" s="4" t="s">
        <v>198</v>
      </c>
      <c r="H2646" s="4">
        <v>50</v>
      </c>
      <c r="I2646" s="4">
        <v>1</v>
      </c>
      <c r="J2646" s="4">
        <v>17</v>
      </c>
      <c r="K2646" s="4">
        <v>24</v>
      </c>
      <c r="L2646" s="4" t="s">
        <v>22046</v>
      </c>
      <c r="M2646" s="4" t="s">
        <v>22047</v>
      </c>
      <c r="N2646" s="4" t="s">
        <v>22048</v>
      </c>
      <c r="O2646" s="4" t="s">
        <v>63</v>
      </c>
      <c r="P2646" s="4"/>
      <c r="Q2646" s="4" t="s">
        <v>63</v>
      </c>
      <c r="R2646" s="4" t="s">
        <v>63</v>
      </c>
      <c r="S2646" s="4" t="s">
        <v>63</v>
      </c>
      <c r="T2646" s="4" t="s">
        <v>63</v>
      </c>
      <c r="U2646" s="4"/>
      <c r="V2646" s="4"/>
      <c r="W2646" s="4"/>
      <c r="X2646" s="4" t="s">
        <v>63</v>
      </c>
      <c r="Y2646" s="4" t="s">
        <v>22049</v>
      </c>
      <c r="Z2646" s="4" t="s">
        <v>63</v>
      </c>
      <c r="AA2646" s="4" t="s">
        <v>63</v>
      </c>
      <c r="AB2646" s="4" t="s">
        <v>63</v>
      </c>
      <c r="AC2646" s="4" t="s">
        <v>67</v>
      </c>
      <c r="AD2646" s="4" t="s">
        <v>63</v>
      </c>
      <c r="AE2646" s="4" t="s">
        <v>63</v>
      </c>
      <c r="AF2646" s="4" t="s">
        <v>63</v>
      </c>
      <c r="AG2646" s="4" t="s">
        <v>22050</v>
      </c>
      <c r="AH2646" s="4" t="s">
        <v>63</v>
      </c>
      <c r="AI2646" s="4" t="s">
        <v>22051</v>
      </c>
      <c r="AJ2646" s="4" t="s">
        <v>63</v>
      </c>
      <c r="AK2646" s="4" t="s">
        <v>63</v>
      </c>
      <c r="AL2646" s="4" t="s">
        <v>63</v>
      </c>
      <c r="AM2646" s="4" t="s">
        <v>22052</v>
      </c>
      <c r="AN2646" s="4" t="s">
        <v>63</v>
      </c>
      <c r="AO2646" s="4" t="s">
        <v>63</v>
      </c>
      <c r="AP2646" s="4" t="s">
        <v>63</v>
      </c>
      <c r="AQ2646" s="4" t="s">
        <v>63</v>
      </c>
      <c r="AR2646" s="4" t="s">
        <v>63</v>
      </c>
      <c r="AS2646" s="4" t="s">
        <v>63</v>
      </c>
      <c r="AT2646" s="4" t="s">
        <v>63</v>
      </c>
      <c r="AU2646" s="4" t="s">
        <v>63</v>
      </c>
      <c r="AV2646" s="4" t="s">
        <v>63</v>
      </c>
      <c r="AW2646" s="4" t="s">
        <v>63</v>
      </c>
      <c r="AX2646" s="4" t="s">
        <v>63</v>
      </c>
      <c r="AY2646" s="4" t="s">
        <v>63</v>
      </c>
      <c r="AZ2646" s="4" t="s">
        <v>63</v>
      </c>
      <c r="BA2646" s="4" t="s">
        <v>63</v>
      </c>
      <c r="BB2646" s="4" t="s">
        <v>63</v>
      </c>
      <c r="BC2646" s="4" t="s">
        <v>63</v>
      </c>
      <c r="BD2646" s="4" t="s">
        <v>63</v>
      </c>
      <c r="BE2646" s="4" t="s">
        <v>63</v>
      </c>
      <c r="BF2646" s="4" t="s">
        <v>63</v>
      </c>
    </row>
    <row r="2647" spans="1:58">
      <c r="A2647" s="4" t="s">
        <v>58</v>
      </c>
      <c r="B2647" s="4" t="s">
        <v>22053</v>
      </c>
      <c r="C2647" s="4" t="s">
        <v>22054</v>
      </c>
      <c r="D2647" s="4" t="s">
        <v>22055</v>
      </c>
      <c r="E2647" s="4" t="s">
        <v>63</v>
      </c>
      <c r="F2647" s="4">
        <v>2013</v>
      </c>
      <c r="G2647" s="4" t="s">
        <v>63</v>
      </c>
      <c r="H2647" s="4">
        <v>15</v>
      </c>
      <c r="I2647" s="4">
        <v>6</v>
      </c>
      <c r="J2647" s="4">
        <v>341</v>
      </c>
      <c r="K2647" s="4">
        <v>348</v>
      </c>
      <c r="L2647" s="4" t="s">
        <v>22056</v>
      </c>
      <c r="M2647" s="4" t="s">
        <v>22057</v>
      </c>
      <c r="N2647" s="4" t="s">
        <v>22058</v>
      </c>
      <c r="O2647" s="4" t="s">
        <v>63</v>
      </c>
      <c r="P2647" s="4"/>
      <c r="Q2647" s="4" t="s">
        <v>63</v>
      </c>
      <c r="R2647" s="4" t="s">
        <v>63</v>
      </c>
      <c r="S2647" s="4" t="s">
        <v>63</v>
      </c>
      <c r="T2647" s="4" t="s">
        <v>63</v>
      </c>
      <c r="U2647" s="4"/>
      <c r="V2647" s="4"/>
      <c r="W2647" s="4"/>
      <c r="X2647" s="4" t="s">
        <v>63</v>
      </c>
      <c r="Y2647" s="4" t="s">
        <v>22059</v>
      </c>
      <c r="Z2647" s="4" t="s">
        <v>63</v>
      </c>
      <c r="AA2647" s="4" t="s">
        <v>63</v>
      </c>
      <c r="AB2647" s="4" t="s">
        <v>22060</v>
      </c>
      <c r="AC2647" s="4" t="s">
        <v>102</v>
      </c>
      <c r="AD2647" s="4" t="s">
        <v>63</v>
      </c>
      <c r="AE2647" s="4" t="s">
        <v>63</v>
      </c>
      <c r="AF2647" s="4" t="s">
        <v>63</v>
      </c>
      <c r="AG2647" s="4" t="s">
        <v>63</v>
      </c>
      <c r="AH2647" s="4" t="s">
        <v>63</v>
      </c>
      <c r="AI2647" s="4" t="s">
        <v>63</v>
      </c>
      <c r="AJ2647" s="4" t="s">
        <v>63</v>
      </c>
      <c r="AK2647" s="4" t="s">
        <v>63</v>
      </c>
      <c r="AL2647" s="4" t="s">
        <v>63</v>
      </c>
      <c r="AM2647" s="4" t="s">
        <v>22054</v>
      </c>
      <c r="AN2647" s="4" t="s">
        <v>63</v>
      </c>
      <c r="AO2647" s="4" t="s">
        <v>63</v>
      </c>
      <c r="AP2647" s="4" t="s">
        <v>63</v>
      </c>
      <c r="AQ2647" s="4" t="s">
        <v>63</v>
      </c>
      <c r="AR2647" s="4" t="s">
        <v>63</v>
      </c>
      <c r="AS2647" s="4" t="s">
        <v>63</v>
      </c>
      <c r="AT2647" s="4" t="s">
        <v>63</v>
      </c>
      <c r="AU2647" s="4" t="s">
        <v>63</v>
      </c>
      <c r="AV2647" s="4" t="s">
        <v>63</v>
      </c>
      <c r="AW2647" s="4" t="s">
        <v>63</v>
      </c>
      <c r="AX2647" s="4" t="s">
        <v>63</v>
      </c>
      <c r="AY2647" s="4" t="s">
        <v>63</v>
      </c>
      <c r="AZ2647" s="4" t="s">
        <v>63</v>
      </c>
      <c r="BA2647" s="4" t="s">
        <v>63</v>
      </c>
      <c r="BB2647" s="4" t="s">
        <v>63</v>
      </c>
      <c r="BC2647" s="4" t="s">
        <v>63</v>
      </c>
      <c r="BD2647" s="4" t="s">
        <v>63</v>
      </c>
      <c r="BE2647" s="4" t="s">
        <v>63</v>
      </c>
      <c r="BF2647" s="4" t="s">
        <v>63</v>
      </c>
    </row>
    <row r="2648" spans="1:58">
      <c r="A2648" s="4" t="s">
        <v>58</v>
      </c>
      <c r="B2648" s="4" t="s">
        <v>22061</v>
      </c>
      <c r="C2648" s="4" t="s">
        <v>22062</v>
      </c>
      <c r="D2648" s="4" t="s">
        <v>16219</v>
      </c>
      <c r="E2648" s="4" t="s">
        <v>63</v>
      </c>
      <c r="F2648" s="4">
        <v>2006</v>
      </c>
      <c r="G2648" s="4" t="s">
        <v>138</v>
      </c>
      <c r="H2648" s="4">
        <v>52</v>
      </c>
      <c r="I2648" s="4">
        <v>5</v>
      </c>
      <c r="J2648" s="4">
        <v>327</v>
      </c>
      <c r="K2648" s="4">
        <v>333</v>
      </c>
      <c r="L2648" s="4" t="s">
        <v>22063</v>
      </c>
      <c r="M2648" s="4" t="s">
        <v>22064</v>
      </c>
      <c r="N2648" s="4" t="s">
        <v>22065</v>
      </c>
      <c r="O2648" s="4" t="s">
        <v>63</v>
      </c>
      <c r="P2648" s="4"/>
      <c r="Q2648" s="4" t="s">
        <v>63</v>
      </c>
      <c r="R2648" s="4" t="s">
        <v>63</v>
      </c>
      <c r="S2648" s="4" t="s">
        <v>63</v>
      </c>
      <c r="T2648" s="4" t="s">
        <v>63</v>
      </c>
      <c r="U2648" s="4"/>
      <c r="V2648" s="4"/>
      <c r="W2648" s="4"/>
      <c r="X2648" s="4" t="s">
        <v>63</v>
      </c>
      <c r="Y2648" s="4" t="s">
        <v>16223</v>
      </c>
      <c r="Z2648" s="4" t="s">
        <v>63</v>
      </c>
      <c r="AA2648" s="4" t="s">
        <v>63</v>
      </c>
      <c r="AB2648" s="4" t="s">
        <v>22066</v>
      </c>
      <c r="AC2648" s="4" t="s">
        <v>102</v>
      </c>
      <c r="AD2648" s="4" t="s">
        <v>63</v>
      </c>
      <c r="AE2648" s="4" t="s">
        <v>63</v>
      </c>
      <c r="AF2648" s="4" t="s">
        <v>63</v>
      </c>
      <c r="AG2648" s="4" t="s">
        <v>63</v>
      </c>
      <c r="AH2648" s="4" t="s">
        <v>63</v>
      </c>
      <c r="AI2648" s="4" t="s">
        <v>22067</v>
      </c>
      <c r="AJ2648" s="4" t="s">
        <v>63</v>
      </c>
      <c r="AK2648" s="4" t="s">
        <v>63</v>
      </c>
      <c r="AL2648" s="4" t="s">
        <v>63</v>
      </c>
      <c r="AM2648" s="4" t="s">
        <v>22062</v>
      </c>
      <c r="AN2648" s="4" t="s">
        <v>63</v>
      </c>
      <c r="AO2648" s="4" t="s">
        <v>63</v>
      </c>
      <c r="AP2648" s="4" t="s">
        <v>63</v>
      </c>
      <c r="AQ2648" s="4" t="s">
        <v>63</v>
      </c>
      <c r="AR2648" s="4" t="s">
        <v>63</v>
      </c>
      <c r="AS2648" s="4" t="s">
        <v>63</v>
      </c>
      <c r="AT2648" s="4" t="s">
        <v>63</v>
      </c>
      <c r="AU2648" s="4" t="s">
        <v>63</v>
      </c>
      <c r="AV2648" s="4" t="s">
        <v>63</v>
      </c>
      <c r="AW2648" s="4" t="s">
        <v>63</v>
      </c>
      <c r="AX2648" s="4" t="s">
        <v>63</v>
      </c>
      <c r="AY2648" s="4" t="s">
        <v>63</v>
      </c>
      <c r="AZ2648" s="4" t="s">
        <v>63</v>
      </c>
      <c r="BA2648" s="4" t="s">
        <v>63</v>
      </c>
      <c r="BB2648" s="4" t="s">
        <v>63</v>
      </c>
      <c r="BC2648" s="4" t="s">
        <v>63</v>
      </c>
      <c r="BD2648" s="4" t="s">
        <v>63</v>
      </c>
      <c r="BE2648" s="4" t="s">
        <v>63</v>
      </c>
      <c r="BF2648" s="4" t="s">
        <v>63</v>
      </c>
    </row>
    <row r="2649" spans="1:58">
      <c r="A2649" s="4" t="s">
        <v>58</v>
      </c>
      <c r="B2649" s="4" t="s">
        <v>22068</v>
      </c>
      <c r="C2649" s="4" t="s">
        <v>22069</v>
      </c>
      <c r="D2649" s="4" t="s">
        <v>16100</v>
      </c>
      <c r="E2649" s="4" t="s">
        <v>63</v>
      </c>
      <c r="F2649" s="4">
        <v>2015</v>
      </c>
      <c r="G2649" s="4">
        <v>1</v>
      </c>
      <c r="H2649" s="4" t="s">
        <v>16359</v>
      </c>
      <c r="I2649" s="4" t="s">
        <v>63</v>
      </c>
      <c r="J2649" s="4" t="s">
        <v>22070</v>
      </c>
      <c r="K2649" s="4" t="s">
        <v>63</v>
      </c>
      <c r="L2649" s="4" t="s">
        <v>22071</v>
      </c>
      <c r="M2649" s="4" t="s">
        <v>22072</v>
      </c>
      <c r="N2649" s="4" t="s">
        <v>22073</v>
      </c>
      <c r="O2649" s="4" t="s">
        <v>63</v>
      </c>
      <c r="P2649" s="4"/>
      <c r="Q2649" s="4" t="s">
        <v>63</v>
      </c>
      <c r="R2649" s="4" t="s">
        <v>63</v>
      </c>
      <c r="S2649" s="4" t="s">
        <v>63</v>
      </c>
      <c r="T2649" s="4" t="s">
        <v>63</v>
      </c>
      <c r="U2649" s="4"/>
      <c r="V2649" s="4"/>
      <c r="W2649" s="4"/>
      <c r="X2649" s="4" t="s">
        <v>63</v>
      </c>
      <c r="Y2649" s="4" t="s">
        <v>11717</v>
      </c>
      <c r="Z2649" s="4" t="s">
        <v>63</v>
      </c>
      <c r="AA2649" s="4" t="s">
        <v>63</v>
      </c>
      <c r="AB2649" s="4" t="s">
        <v>63</v>
      </c>
      <c r="AC2649" s="4" t="s">
        <v>67</v>
      </c>
      <c r="AD2649" s="4" t="s">
        <v>63</v>
      </c>
      <c r="AE2649" s="4" t="s">
        <v>63</v>
      </c>
      <c r="AF2649" s="4" t="s">
        <v>63</v>
      </c>
      <c r="AG2649" s="4" t="s">
        <v>63</v>
      </c>
      <c r="AH2649" s="4" t="s">
        <v>63</v>
      </c>
      <c r="AI2649" s="4" t="s">
        <v>22074</v>
      </c>
      <c r="AJ2649" s="4" t="s">
        <v>63</v>
      </c>
      <c r="AK2649" s="4" t="s">
        <v>63</v>
      </c>
      <c r="AL2649" s="4" t="s">
        <v>63</v>
      </c>
      <c r="AM2649" s="4" t="s">
        <v>22069</v>
      </c>
      <c r="AN2649" s="4" t="s">
        <v>63</v>
      </c>
      <c r="AO2649" s="4" t="s">
        <v>63</v>
      </c>
      <c r="AP2649" s="4" t="s">
        <v>63</v>
      </c>
      <c r="AQ2649" s="4" t="s">
        <v>63</v>
      </c>
      <c r="AR2649" s="4" t="s">
        <v>63</v>
      </c>
      <c r="AS2649" s="4" t="s">
        <v>63</v>
      </c>
      <c r="AT2649" s="4" t="s">
        <v>63</v>
      </c>
      <c r="AU2649" s="4" t="s">
        <v>63</v>
      </c>
      <c r="AV2649" s="4" t="s">
        <v>63</v>
      </c>
      <c r="AW2649" s="4" t="s">
        <v>63</v>
      </c>
      <c r="AX2649" s="4" t="s">
        <v>63</v>
      </c>
      <c r="AY2649" s="4" t="s">
        <v>63</v>
      </c>
      <c r="AZ2649" s="4" t="s">
        <v>63</v>
      </c>
      <c r="BA2649" s="4" t="s">
        <v>63</v>
      </c>
      <c r="BB2649" s="4" t="s">
        <v>63</v>
      </c>
      <c r="BC2649" s="4" t="s">
        <v>63</v>
      </c>
      <c r="BD2649" s="4" t="s">
        <v>63</v>
      </c>
      <c r="BE2649" s="4" t="s">
        <v>63</v>
      </c>
      <c r="BF2649" s="4" t="s">
        <v>63</v>
      </c>
    </row>
    <row r="2650" spans="1:58">
      <c r="A2650" s="4" t="s">
        <v>58</v>
      </c>
      <c r="B2650" s="4" t="s">
        <v>22075</v>
      </c>
      <c r="C2650" s="4" t="s">
        <v>22076</v>
      </c>
      <c r="D2650" s="4" t="s">
        <v>22077</v>
      </c>
      <c r="E2650" s="4" t="s">
        <v>63</v>
      </c>
      <c r="F2650" s="4">
        <v>2002</v>
      </c>
      <c r="G2650" s="4" t="s">
        <v>63</v>
      </c>
      <c r="H2650" s="4">
        <v>9</v>
      </c>
      <c r="I2650" s="4">
        <v>1</v>
      </c>
      <c r="J2650" s="4">
        <v>33</v>
      </c>
      <c r="K2650" s="4">
        <v>42</v>
      </c>
      <c r="L2650" s="4" t="s">
        <v>22078</v>
      </c>
      <c r="M2650" s="4" t="s">
        <v>22079</v>
      </c>
      <c r="N2650" s="4" t="s">
        <v>22080</v>
      </c>
      <c r="O2650" s="4" t="s">
        <v>63</v>
      </c>
      <c r="P2650" s="4"/>
      <c r="Q2650" s="4" t="s">
        <v>63</v>
      </c>
      <c r="R2650" s="4" t="s">
        <v>63</v>
      </c>
      <c r="S2650" s="4" t="s">
        <v>63</v>
      </c>
      <c r="T2650" s="4" t="s">
        <v>63</v>
      </c>
      <c r="U2650" s="4"/>
      <c r="V2650" s="4"/>
      <c r="W2650" s="4"/>
      <c r="X2650" s="4" t="s">
        <v>63</v>
      </c>
      <c r="Y2650" s="4" t="s">
        <v>22081</v>
      </c>
      <c r="Z2650" s="4" t="s">
        <v>63</v>
      </c>
      <c r="AA2650" s="4" t="s">
        <v>63</v>
      </c>
      <c r="AB2650" s="4" t="s">
        <v>22082</v>
      </c>
      <c r="AC2650" s="4" t="s">
        <v>67</v>
      </c>
      <c r="AD2650" s="4" t="s">
        <v>63</v>
      </c>
      <c r="AE2650" s="4" t="s">
        <v>63</v>
      </c>
      <c r="AF2650" s="4" t="s">
        <v>63</v>
      </c>
      <c r="AG2650" s="4" t="s">
        <v>63</v>
      </c>
      <c r="AH2650" s="4" t="s">
        <v>63</v>
      </c>
      <c r="AI2650" s="4" t="s">
        <v>22083</v>
      </c>
      <c r="AJ2650" s="4" t="s">
        <v>63</v>
      </c>
      <c r="AK2650" s="4" t="s">
        <v>63</v>
      </c>
      <c r="AL2650" s="4" t="s">
        <v>63</v>
      </c>
      <c r="AM2650" s="4" t="s">
        <v>22076</v>
      </c>
      <c r="AN2650" s="4" t="s">
        <v>63</v>
      </c>
      <c r="AO2650" s="4" t="s">
        <v>63</v>
      </c>
      <c r="AP2650" s="4" t="s">
        <v>63</v>
      </c>
      <c r="AQ2650" s="4" t="s">
        <v>63</v>
      </c>
      <c r="AR2650" s="4" t="s">
        <v>63</v>
      </c>
      <c r="AS2650" s="4" t="s">
        <v>63</v>
      </c>
      <c r="AT2650" s="4" t="s">
        <v>63</v>
      </c>
      <c r="AU2650" s="4" t="s">
        <v>63</v>
      </c>
      <c r="AV2650" s="4" t="s">
        <v>63</v>
      </c>
      <c r="AW2650" s="4" t="s">
        <v>63</v>
      </c>
      <c r="AX2650" s="4" t="s">
        <v>63</v>
      </c>
      <c r="AY2650" s="4" t="s">
        <v>63</v>
      </c>
      <c r="AZ2650" s="4" t="s">
        <v>63</v>
      </c>
      <c r="BA2650" s="4" t="s">
        <v>63</v>
      </c>
      <c r="BB2650" s="4" t="s">
        <v>63</v>
      </c>
      <c r="BC2650" s="4" t="s">
        <v>63</v>
      </c>
      <c r="BD2650" s="4" t="s">
        <v>63</v>
      </c>
      <c r="BE2650" s="4" t="s">
        <v>63</v>
      </c>
      <c r="BF2650" s="4" t="s">
        <v>63</v>
      </c>
    </row>
    <row r="2651" spans="1:58">
      <c r="A2651" s="4" t="s">
        <v>58</v>
      </c>
      <c r="B2651" s="4" t="s">
        <v>22084</v>
      </c>
      <c r="C2651" s="4" t="s">
        <v>22085</v>
      </c>
      <c r="D2651" s="4" t="s">
        <v>22086</v>
      </c>
      <c r="E2651" s="4" t="s">
        <v>63</v>
      </c>
      <c r="F2651" s="4">
        <v>1990</v>
      </c>
      <c r="G2651" s="4" t="s">
        <v>63</v>
      </c>
      <c r="H2651" s="4">
        <v>20</v>
      </c>
      <c r="I2651" s="4">
        <v>10</v>
      </c>
      <c r="J2651" s="4" t="s">
        <v>22087</v>
      </c>
      <c r="K2651" s="4" t="s">
        <v>63</v>
      </c>
      <c r="L2651" s="4" t="s">
        <v>22088</v>
      </c>
      <c r="M2651" s="4" t="s">
        <v>63</v>
      </c>
      <c r="N2651" s="4" t="s">
        <v>22089</v>
      </c>
      <c r="O2651" s="4" t="s">
        <v>63</v>
      </c>
      <c r="P2651" s="4"/>
      <c r="Q2651" s="4" t="s">
        <v>63</v>
      </c>
      <c r="R2651" s="4" t="s">
        <v>63</v>
      </c>
      <c r="S2651" s="4" t="s">
        <v>63</v>
      </c>
      <c r="T2651" s="4" t="s">
        <v>63</v>
      </c>
      <c r="U2651" s="4"/>
      <c r="V2651" s="4"/>
      <c r="W2651" s="4"/>
      <c r="X2651" s="4" t="s">
        <v>63</v>
      </c>
      <c r="Y2651" s="5">
        <v>32873</v>
      </c>
      <c r="Z2651" s="4" t="s">
        <v>63</v>
      </c>
      <c r="AA2651" s="4" t="s">
        <v>63</v>
      </c>
      <c r="AB2651" s="4" t="s">
        <v>22090</v>
      </c>
      <c r="AC2651" s="4" t="s">
        <v>67</v>
      </c>
      <c r="AD2651" s="4" t="s">
        <v>63</v>
      </c>
      <c r="AE2651" s="4" t="s">
        <v>63</v>
      </c>
      <c r="AF2651" s="4" t="s">
        <v>63</v>
      </c>
      <c r="AG2651" s="4" t="s">
        <v>63</v>
      </c>
      <c r="AH2651" s="4" t="s">
        <v>63</v>
      </c>
      <c r="AI2651" s="4" t="s">
        <v>63</v>
      </c>
      <c r="AJ2651" s="4" t="s">
        <v>63</v>
      </c>
      <c r="AK2651" s="4" t="s">
        <v>63</v>
      </c>
      <c r="AL2651" s="4" t="s">
        <v>63</v>
      </c>
      <c r="AM2651" s="4" t="s">
        <v>22085</v>
      </c>
      <c r="AN2651" s="4" t="s">
        <v>63</v>
      </c>
      <c r="AO2651" s="4" t="s">
        <v>63</v>
      </c>
      <c r="AP2651" s="4" t="s">
        <v>63</v>
      </c>
      <c r="AQ2651" s="4" t="s">
        <v>63</v>
      </c>
      <c r="AR2651" s="4" t="s">
        <v>63</v>
      </c>
      <c r="AS2651" s="4" t="s">
        <v>63</v>
      </c>
      <c r="AT2651" s="4" t="s">
        <v>63</v>
      </c>
      <c r="AU2651" s="4" t="s">
        <v>63</v>
      </c>
      <c r="AV2651" s="4" t="s">
        <v>63</v>
      </c>
      <c r="AW2651" s="4" t="s">
        <v>63</v>
      </c>
      <c r="AX2651" s="4" t="s">
        <v>63</v>
      </c>
      <c r="AY2651" s="4" t="s">
        <v>63</v>
      </c>
      <c r="AZ2651" s="4" t="s">
        <v>63</v>
      </c>
      <c r="BA2651" s="4" t="s">
        <v>63</v>
      </c>
      <c r="BB2651" s="4" t="s">
        <v>63</v>
      </c>
      <c r="BC2651" s="4" t="s">
        <v>63</v>
      </c>
      <c r="BD2651" s="4" t="s">
        <v>63</v>
      </c>
      <c r="BE2651" s="4" t="s">
        <v>63</v>
      </c>
      <c r="BF2651" s="4" t="s">
        <v>63</v>
      </c>
    </row>
    <row r="2652" spans="1:58">
      <c r="A2652" s="4" t="s">
        <v>58</v>
      </c>
      <c r="B2652" s="4" t="s">
        <v>22091</v>
      </c>
      <c r="C2652" s="4" t="s">
        <v>22092</v>
      </c>
      <c r="D2652" s="4" t="s">
        <v>137</v>
      </c>
      <c r="E2652" s="4" t="s">
        <v>63</v>
      </c>
      <c r="F2652" s="4">
        <v>2016</v>
      </c>
      <c r="G2652" s="4">
        <v>1</v>
      </c>
      <c r="H2652" s="4">
        <v>62</v>
      </c>
      <c r="I2652" s="4">
        <v>2</v>
      </c>
      <c r="J2652" s="4" t="s">
        <v>15332</v>
      </c>
      <c r="K2652" s="4" t="s">
        <v>63</v>
      </c>
      <c r="L2652" s="4" t="s">
        <v>22093</v>
      </c>
      <c r="M2652" s="4" t="s">
        <v>22094</v>
      </c>
      <c r="N2652" s="4" t="s">
        <v>22095</v>
      </c>
      <c r="O2652" s="4" t="s">
        <v>63</v>
      </c>
      <c r="P2652" s="4"/>
      <c r="Q2652" s="4" t="s">
        <v>63</v>
      </c>
      <c r="R2652" s="4" t="s">
        <v>63</v>
      </c>
      <c r="S2652" s="4" t="s">
        <v>63</v>
      </c>
      <c r="T2652" s="4" t="s">
        <v>63</v>
      </c>
      <c r="U2652" s="4"/>
      <c r="V2652" s="4"/>
      <c r="W2652" s="4"/>
      <c r="X2652" s="4" t="s">
        <v>63</v>
      </c>
      <c r="Y2652" s="4" t="s">
        <v>141</v>
      </c>
      <c r="Z2652" s="4" t="s">
        <v>63</v>
      </c>
      <c r="AA2652" s="4" t="s">
        <v>63</v>
      </c>
      <c r="AB2652" s="4" t="s">
        <v>63</v>
      </c>
      <c r="AC2652" s="4" t="s">
        <v>67</v>
      </c>
      <c r="AD2652" s="4" t="s">
        <v>63</v>
      </c>
      <c r="AE2652" s="4" t="s">
        <v>63</v>
      </c>
      <c r="AF2652" s="4" t="s">
        <v>63</v>
      </c>
      <c r="AG2652" s="4" t="s">
        <v>63</v>
      </c>
      <c r="AH2652" s="4" t="s">
        <v>63</v>
      </c>
      <c r="AI2652" s="4" t="s">
        <v>63</v>
      </c>
      <c r="AJ2652" s="4" t="s">
        <v>63</v>
      </c>
      <c r="AK2652" s="4" t="s">
        <v>63</v>
      </c>
      <c r="AL2652" s="4" t="s">
        <v>63</v>
      </c>
      <c r="AM2652" s="4" t="s">
        <v>22092</v>
      </c>
      <c r="AN2652" s="4" t="s">
        <v>63</v>
      </c>
      <c r="AO2652" s="4" t="s">
        <v>63</v>
      </c>
      <c r="AP2652" s="4" t="s">
        <v>63</v>
      </c>
      <c r="AQ2652" s="4" t="s">
        <v>63</v>
      </c>
      <c r="AR2652" s="4" t="s">
        <v>63</v>
      </c>
      <c r="AS2652" s="4" t="s">
        <v>63</v>
      </c>
      <c r="AT2652" s="4" t="s">
        <v>63</v>
      </c>
      <c r="AU2652" s="4" t="s">
        <v>63</v>
      </c>
      <c r="AV2652" s="4" t="s">
        <v>63</v>
      </c>
      <c r="AW2652" s="4" t="s">
        <v>63</v>
      </c>
      <c r="AX2652" s="4" t="s">
        <v>63</v>
      </c>
      <c r="AY2652" s="4" t="s">
        <v>63</v>
      </c>
      <c r="AZ2652" s="4" t="s">
        <v>63</v>
      </c>
      <c r="BA2652" s="4" t="s">
        <v>63</v>
      </c>
      <c r="BB2652" s="4" t="s">
        <v>63</v>
      </c>
      <c r="BC2652" s="4" t="s">
        <v>63</v>
      </c>
      <c r="BD2652" s="4" t="s">
        <v>63</v>
      </c>
      <c r="BE2652" s="4" t="s">
        <v>63</v>
      </c>
      <c r="BF2652" s="4" t="s">
        <v>63</v>
      </c>
    </row>
    <row r="2653" spans="1:58">
      <c r="A2653" s="4" t="s">
        <v>58</v>
      </c>
      <c r="B2653" s="4" t="s">
        <v>22096</v>
      </c>
      <c r="C2653" s="4" t="s">
        <v>22097</v>
      </c>
      <c r="D2653" s="4" t="s">
        <v>22098</v>
      </c>
      <c r="E2653" s="4" t="s">
        <v>63</v>
      </c>
      <c r="F2653" s="4">
        <v>1976</v>
      </c>
      <c r="G2653" s="4" t="s">
        <v>63</v>
      </c>
      <c r="H2653" s="4">
        <v>5</v>
      </c>
      <c r="I2653" s="4">
        <v>9</v>
      </c>
      <c r="J2653" s="4">
        <v>694</v>
      </c>
      <c r="K2653" s="4">
        <v>697</v>
      </c>
      <c r="L2653" s="4" t="s">
        <v>22099</v>
      </c>
      <c r="M2653" s="4" t="s">
        <v>22100</v>
      </c>
      <c r="N2653" s="4" t="s">
        <v>22101</v>
      </c>
      <c r="O2653" s="4" t="s">
        <v>63</v>
      </c>
      <c r="P2653" s="4"/>
      <c r="Q2653" s="4" t="s">
        <v>63</v>
      </c>
      <c r="R2653" s="4" t="s">
        <v>63</v>
      </c>
      <c r="S2653" s="4" t="s">
        <v>63</v>
      </c>
      <c r="T2653" s="4" t="s">
        <v>63</v>
      </c>
      <c r="U2653" s="4"/>
      <c r="V2653" s="4"/>
      <c r="W2653" s="4"/>
      <c r="X2653" s="4" t="s">
        <v>63</v>
      </c>
      <c r="Y2653" s="4" t="s">
        <v>63</v>
      </c>
      <c r="Z2653" s="4" t="s">
        <v>63</v>
      </c>
      <c r="AA2653" s="4" t="s">
        <v>63</v>
      </c>
      <c r="AB2653" s="4">
        <v>1977156102</v>
      </c>
      <c r="AC2653" s="4" t="s">
        <v>67</v>
      </c>
      <c r="AD2653" s="4" t="s">
        <v>63</v>
      </c>
      <c r="AE2653" s="4" t="s">
        <v>63</v>
      </c>
      <c r="AF2653" s="4" t="s">
        <v>63</v>
      </c>
      <c r="AG2653" s="4" t="s">
        <v>22102</v>
      </c>
      <c r="AH2653" s="4" t="s">
        <v>63</v>
      </c>
      <c r="AI2653" s="4" t="s">
        <v>63</v>
      </c>
      <c r="AJ2653" s="4" t="s">
        <v>63</v>
      </c>
      <c r="AK2653" s="4" t="s">
        <v>63</v>
      </c>
      <c r="AL2653" s="4" t="s">
        <v>63</v>
      </c>
      <c r="AM2653" s="4" t="s">
        <v>22103</v>
      </c>
      <c r="AN2653" s="4" t="s">
        <v>63</v>
      </c>
      <c r="AO2653" s="4" t="s">
        <v>63</v>
      </c>
      <c r="AP2653" s="4" t="s">
        <v>63</v>
      </c>
      <c r="AQ2653" s="4" t="s">
        <v>63</v>
      </c>
      <c r="AR2653" s="4" t="s">
        <v>63</v>
      </c>
      <c r="AS2653" s="4" t="s">
        <v>63</v>
      </c>
      <c r="AT2653" s="4" t="s">
        <v>63</v>
      </c>
      <c r="AU2653" s="4" t="s">
        <v>63</v>
      </c>
      <c r="AV2653" s="4" t="s">
        <v>63</v>
      </c>
      <c r="AW2653" s="4" t="s">
        <v>63</v>
      </c>
      <c r="AX2653" s="4" t="s">
        <v>63</v>
      </c>
      <c r="AY2653" s="4" t="s">
        <v>63</v>
      </c>
      <c r="AZ2653" s="4" t="s">
        <v>63</v>
      </c>
      <c r="BA2653" s="4" t="s">
        <v>63</v>
      </c>
      <c r="BB2653" s="4" t="s">
        <v>63</v>
      </c>
      <c r="BC2653" s="4" t="s">
        <v>63</v>
      </c>
      <c r="BD2653" s="4" t="s">
        <v>63</v>
      </c>
      <c r="BE2653" s="4" t="s">
        <v>63</v>
      </c>
      <c r="BF2653" s="4" t="s">
        <v>63</v>
      </c>
    </row>
    <row r="2654" spans="1:58">
      <c r="A2654" s="4" t="s">
        <v>58</v>
      </c>
      <c r="B2654" s="4" t="s">
        <v>22104</v>
      </c>
      <c r="C2654" s="4" t="s">
        <v>22105</v>
      </c>
      <c r="D2654" s="4" t="s">
        <v>22106</v>
      </c>
      <c r="E2654" s="4" t="s">
        <v>22106</v>
      </c>
      <c r="F2654" s="4">
        <v>2010</v>
      </c>
      <c r="G2654" s="4" t="s">
        <v>21986</v>
      </c>
      <c r="H2654" s="4">
        <v>30</v>
      </c>
      <c r="I2654" s="4">
        <v>1</v>
      </c>
      <c r="J2654" s="4">
        <v>63</v>
      </c>
      <c r="K2654" s="4">
        <v>70</v>
      </c>
      <c r="L2654" s="4" t="s">
        <v>22107</v>
      </c>
      <c r="M2654" s="4" t="s">
        <v>22108</v>
      </c>
      <c r="N2654" s="4" t="s">
        <v>22109</v>
      </c>
      <c r="O2654" s="4" t="s">
        <v>63</v>
      </c>
      <c r="P2654" s="4"/>
      <c r="Q2654" s="4" t="s">
        <v>63</v>
      </c>
      <c r="R2654" s="4" t="s">
        <v>63</v>
      </c>
      <c r="S2654" s="4" t="s">
        <v>63</v>
      </c>
      <c r="T2654" s="4" t="s">
        <v>63</v>
      </c>
      <c r="U2654" s="4"/>
      <c r="V2654" s="4"/>
      <c r="W2654" s="4"/>
      <c r="X2654" s="4" t="s">
        <v>63</v>
      </c>
      <c r="Y2654" s="4" t="s">
        <v>22110</v>
      </c>
      <c r="Z2654" s="4" t="s">
        <v>63</v>
      </c>
      <c r="AA2654" s="4" t="s">
        <v>63</v>
      </c>
      <c r="AB2654" s="4" t="s">
        <v>22111</v>
      </c>
      <c r="AC2654" s="4" t="s">
        <v>67</v>
      </c>
      <c r="AD2654" s="4" t="s">
        <v>63</v>
      </c>
      <c r="AE2654" s="4" t="s">
        <v>63</v>
      </c>
      <c r="AF2654" s="4" t="s">
        <v>63</v>
      </c>
      <c r="AG2654" s="4" t="s">
        <v>63</v>
      </c>
      <c r="AH2654" s="4" t="s">
        <v>63</v>
      </c>
      <c r="AI2654" s="4" t="s">
        <v>63</v>
      </c>
      <c r="AJ2654" s="4" t="s">
        <v>63</v>
      </c>
      <c r="AK2654" s="4" t="s">
        <v>63</v>
      </c>
      <c r="AL2654" s="4" t="s">
        <v>63</v>
      </c>
      <c r="AM2654" s="4" t="s">
        <v>22105</v>
      </c>
      <c r="AN2654" s="4" t="s">
        <v>63</v>
      </c>
      <c r="AO2654" s="4" t="s">
        <v>63</v>
      </c>
      <c r="AP2654" s="4" t="s">
        <v>63</v>
      </c>
      <c r="AQ2654" s="4" t="s">
        <v>63</v>
      </c>
      <c r="AR2654" s="4" t="s">
        <v>63</v>
      </c>
      <c r="AS2654" s="4" t="s">
        <v>63</v>
      </c>
      <c r="AT2654" s="4" t="s">
        <v>63</v>
      </c>
      <c r="AU2654" s="4" t="s">
        <v>63</v>
      </c>
      <c r="AV2654" s="4" t="s">
        <v>63</v>
      </c>
      <c r="AW2654" s="4" t="s">
        <v>63</v>
      </c>
      <c r="AX2654" s="4" t="s">
        <v>63</v>
      </c>
      <c r="AY2654" s="4" t="s">
        <v>63</v>
      </c>
      <c r="AZ2654" s="4" t="s">
        <v>63</v>
      </c>
      <c r="BA2654" s="4" t="s">
        <v>63</v>
      </c>
      <c r="BB2654" s="4" t="s">
        <v>63</v>
      </c>
      <c r="BC2654" s="4" t="s">
        <v>63</v>
      </c>
      <c r="BD2654" s="4" t="s">
        <v>63</v>
      </c>
      <c r="BE2654" s="4" t="s">
        <v>63</v>
      </c>
      <c r="BF2654" s="4" t="s">
        <v>63</v>
      </c>
    </row>
    <row r="2655" spans="1:58">
      <c r="A2655" s="4" t="s">
        <v>58</v>
      </c>
      <c r="B2655" s="4" t="s">
        <v>22112</v>
      </c>
      <c r="C2655" s="4" t="s">
        <v>22113</v>
      </c>
      <c r="D2655" s="4" t="s">
        <v>15482</v>
      </c>
      <c r="E2655" s="4" t="s">
        <v>63</v>
      </c>
      <c r="F2655" s="4">
        <v>2007</v>
      </c>
      <c r="G2655" s="4" t="s">
        <v>15389</v>
      </c>
      <c r="H2655" s="4">
        <v>31</v>
      </c>
      <c r="I2655" s="4">
        <v>3</v>
      </c>
      <c r="J2655" s="4">
        <v>458</v>
      </c>
      <c r="K2655" s="4">
        <v>466</v>
      </c>
      <c r="L2655" s="4" t="s">
        <v>22114</v>
      </c>
      <c r="M2655" s="4" t="s">
        <v>22115</v>
      </c>
      <c r="N2655" s="4" t="s">
        <v>22116</v>
      </c>
      <c r="O2655" s="4" t="s">
        <v>63</v>
      </c>
      <c r="P2655" s="4"/>
      <c r="Q2655" s="4" t="s">
        <v>63</v>
      </c>
      <c r="R2655" s="4" t="s">
        <v>63</v>
      </c>
      <c r="S2655" s="4" t="s">
        <v>63</v>
      </c>
      <c r="T2655" s="4" t="s">
        <v>63</v>
      </c>
      <c r="U2655" s="4"/>
      <c r="V2655" s="4"/>
      <c r="W2655" s="4"/>
      <c r="X2655" s="4" t="s">
        <v>63</v>
      </c>
      <c r="Y2655" s="4" t="s">
        <v>22117</v>
      </c>
      <c r="Z2655" s="4" t="s">
        <v>63</v>
      </c>
      <c r="AA2655" s="4" t="s">
        <v>63</v>
      </c>
      <c r="AB2655" s="4">
        <v>2007082956</v>
      </c>
      <c r="AC2655" s="4" t="s">
        <v>67</v>
      </c>
      <c r="AD2655" s="4" t="s">
        <v>63</v>
      </c>
      <c r="AE2655" s="4" t="s">
        <v>63</v>
      </c>
      <c r="AF2655" s="4" t="s">
        <v>63</v>
      </c>
      <c r="AG2655" s="4" t="s">
        <v>22118</v>
      </c>
      <c r="AH2655" s="4" t="s">
        <v>63</v>
      </c>
      <c r="AI2655" s="4" t="s">
        <v>22119</v>
      </c>
      <c r="AJ2655" s="4" t="s">
        <v>63</v>
      </c>
      <c r="AK2655" s="4" t="s">
        <v>63</v>
      </c>
      <c r="AL2655" s="4" t="s">
        <v>63</v>
      </c>
      <c r="AM2655" s="4" t="s">
        <v>22120</v>
      </c>
      <c r="AN2655" s="4" t="s">
        <v>63</v>
      </c>
      <c r="AO2655" s="4" t="s">
        <v>63</v>
      </c>
      <c r="AP2655" s="4" t="s">
        <v>63</v>
      </c>
      <c r="AQ2655" s="4" t="s">
        <v>63</v>
      </c>
      <c r="AR2655" s="4" t="s">
        <v>63</v>
      </c>
      <c r="AS2655" s="4" t="s">
        <v>63</v>
      </c>
      <c r="AT2655" s="4" t="s">
        <v>63</v>
      </c>
      <c r="AU2655" s="4" t="s">
        <v>63</v>
      </c>
      <c r="AV2655" s="4" t="s">
        <v>63</v>
      </c>
      <c r="AW2655" s="4" t="s">
        <v>63</v>
      </c>
      <c r="AX2655" s="4" t="s">
        <v>63</v>
      </c>
      <c r="AY2655" s="4" t="s">
        <v>63</v>
      </c>
      <c r="AZ2655" s="4" t="s">
        <v>63</v>
      </c>
      <c r="BA2655" s="4" t="s">
        <v>63</v>
      </c>
      <c r="BB2655" s="4" t="s">
        <v>63</v>
      </c>
      <c r="BC2655" s="4" t="s">
        <v>63</v>
      </c>
      <c r="BD2655" s="4" t="s">
        <v>63</v>
      </c>
      <c r="BE2655" s="4" t="s">
        <v>63</v>
      </c>
      <c r="BF2655" s="4" t="s">
        <v>63</v>
      </c>
    </row>
    <row r="2656" spans="1:58">
      <c r="A2656" s="4" t="s">
        <v>58</v>
      </c>
      <c r="B2656" s="4" t="s">
        <v>22121</v>
      </c>
      <c r="C2656" s="4" t="s">
        <v>22122</v>
      </c>
      <c r="D2656" s="4" t="s">
        <v>22123</v>
      </c>
      <c r="E2656" s="4" t="s">
        <v>501</v>
      </c>
      <c r="F2656" s="4">
        <v>2003</v>
      </c>
      <c r="G2656" s="4" t="s">
        <v>63</v>
      </c>
      <c r="H2656" s="4">
        <v>23</v>
      </c>
      <c r="I2656" s="4">
        <v>3</v>
      </c>
      <c r="J2656" s="4">
        <v>162</v>
      </c>
      <c r="K2656" s="4">
        <v>167</v>
      </c>
      <c r="L2656" s="4" t="s">
        <v>22124</v>
      </c>
      <c r="M2656" s="4" t="s">
        <v>22125</v>
      </c>
      <c r="N2656" s="4" t="s">
        <v>22126</v>
      </c>
      <c r="O2656" s="4" t="s">
        <v>63</v>
      </c>
      <c r="P2656" s="4"/>
      <c r="Q2656" s="4" t="s">
        <v>63</v>
      </c>
      <c r="R2656" s="4" t="s">
        <v>63</v>
      </c>
      <c r="S2656" s="4" t="s">
        <v>63</v>
      </c>
      <c r="T2656" s="4" t="s">
        <v>63</v>
      </c>
      <c r="U2656" s="4"/>
      <c r="V2656" s="4"/>
      <c r="W2656" s="4"/>
      <c r="X2656" s="4" t="s">
        <v>63</v>
      </c>
      <c r="Y2656" s="4" t="s">
        <v>9473</v>
      </c>
      <c r="Z2656" s="4" t="s">
        <v>63</v>
      </c>
      <c r="AA2656" s="4" t="s">
        <v>63</v>
      </c>
      <c r="AB2656" s="4" t="s">
        <v>63</v>
      </c>
      <c r="AC2656" s="4" t="s">
        <v>67</v>
      </c>
      <c r="AD2656" s="4" t="s">
        <v>63</v>
      </c>
      <c r="AE2656" s="4" t="s">
        <v>63</v>
      </c>
      <c r="AF2656" s="4" t="s">
        <v>63</v>
      </c>
      <c r="AG2656" s="4" t="s">
        <v>22127</v>
      </c>
      <c r="AH2656" s="4" t="s">
        <v>63</v>
      </c>
      <c r="AI2656" s="4" t="s">
        <v>63</v>
      </c>
      <c r="AJ2656" s="4" t="s">
        <v>63</v>
      </c>
      <c r="AK2656" s="4" t="s">
        <v>63</v>
      </c>
      <c r="AL2656" s="4" t="s">
        <v>63</v>
      </c>
      <c r="AM2656" s="4" t="s">
        <v>22128</v>
      </c>
      <c r="AN2656" s="4" t="s">
        <v>63</v>
      </c>
      <c r="AO2656" s="4" t="s">
        <v>63</v>
      </c>
      <c r="AP2656" s="4" t="s">
        <v>63</v>
      </c>
      <c r="AQ2656" s="4" t="s">
        <v>63</v>
      </c>
      <c r="AR2656" s="4" t="s">
        <v>63</v>
      </c>
      <c r="AS2656" s="4" t="s">
        <v>63</v>
      </c>
      <c r="AT2656" s="4" t="s">
        <v>63</v>
      </c>
      <c r="AU2656" s="4" t="s">
        <v>63</v>
      </c>
      <c r="AV2656" s="4" t="s">
        <v>63</v>
      </c>
      <c r="AW2656" s="4" t="s">
        <v>63</v>
      </c>
      <c r="AX2656" s="4" t="s">
        <v>63</v>
      </c>
      <c r="AY2656" s="4" t="s">
        <v>63</v>
      </c>
      <c r="AZ2656" s="4" t="s">
        <v>63</v>
      </c>
      <c r="BA2656" s="4" t="s">
        <v>63</v>
      </c>
      <c r="BB2656" s="4" t="s">
        <v>63</v>
      </c>
      <c r="BC2656" s="4" t="s">
        <v>63</v>
      </c>
      <c r="BD2656" s="4" t="s">
        <v>63</v>
      </c>
      <c r="BE2656" s="4" t="s">
        <v>63</v>
      </c>
      <c r="BF2656" s="4" t="s">
        <v>63</v>
      </c>
    </row>
    <row r="2657" spans="1:58">
      <c r="A2657" s="4" t="s">
        <v>58</v>
      </c>
      <c r="B2657" s="4" t="s">
        <v>22129</v>
      </c>
      <c r="C2657" s="4" t="s">
        <v>22130</v>
      </c>
      <c r="D2657" s="4" t="s">
        <v>1332</v>
      </c>
      <c r="E2657" s="4" t="s">
        <v>63</v>
      </c>
      <c r="F2657" s="4">
        <v>2016</v>
      </c>
      <c r="G2657" s="4" t="s">
        <v>15665</v>
      </c>
      <c r="H2657" s="4">
        <v>58</v>
      </c>
      <c r="I2657" s="4">
        <v>2</v>
      </c>
      <c r="J2657" s="4" t="s">
        <v>19444</v>
      </c>
      <c r="K2657" s="4" t="s">
        <v>20068</v>
      </c>
      <c r="L2657" s="4" t="s">
        <v>22131</v>
      </c>
      <c r="M2657" s="4" t="s">
        <v>22132</v>
      </c>
      <c r="N2657" s="4" t="s">
        <v>22133</v>
      </c>
      <c r="O2657" s="4" t="s">
        <v>63</v>
      </c>
      <c r="P2657" s="4"/>
      <c r="Q2657" s="4" t="s">
        <v>63</v>
      </c>
      <c r="R2657" s="4" t="s">
        <v>63</v>
      </c>
      <c r="S2657" s="4" t="s">
        <v>63</v>
      </c>
      <c r="T2657" s="4" t="s">
        <v>63</v>
      </c>
      <c r="U2657" s="4"/>
      <c r="V2657" s="4"/>
      <c r="W2657" s="4"/>
      <c r="X2657" s="4" t="s">
        <v>63</v>
      </c>
      <c r="Y2657" s="4" t="s">
        <v>1336</v>
      </c>
      <c r="Z2657" s="4" t="s">
        <v>63</v>
      </c>
      <c r="AA2657" s="4" t="s">
        <v>63</v>
      </c>
      <c r="AB2657" s="4" t="s">
        <v>63</v>
      </c>
      <c r="AC2657" s="4" t="s">
        <v>67</v>
      </c>
      <c r="AD2657" s="4" t="s">
        <v>63</v>
      </c>
      <c r="AE2657" s="4" t="s">
        <v>63</v>
      </c>
      <c r="AF2657" s="4" t="s">
        <v>63</v>
      </c>
      <c r="AG2657" s="4" t="s">
        <v>63</v>
      </c>
      <c r="AH2657" s="4" t="s">
        <v>63</v>
      </c>
      <c r="AI2657" s="4" t="s">
        <v>63</v>
      </c>
      <c r="AJ2657" s="4" t="s">
        <v>63</v>
      </c>
      <c r="AK2657" s="4" t="s">
        <v>63</v>
      </c>
      <c r="AL2657" s="4" t="s">
        <v>63</v>
      </c>
      <c r="AM2657" s="4" t="s">
        <v>22130</v>
      </c>
      <c r="AN2657" s="4" t="s">
        <v>63</v>
      </c>
      <c r="AO2657" s="4" t="s">
        <v>63</v>
      </c>
      <c r="AP2657" s="4" t="s">
        <v>63</v>
      </c>
      <c r="AQ2657" s="4" t="s">
        <v>63</v>
      </c>
      <c r="AR2657" s="4" t="s">
        <v>63</v>
      </c>
      <c r="AS2657" s="4" t="s">
        <v>63</v>
      </c>
      <c r="AT2657" s="4" t="s">
        <v>63</v>
      </c>
      <c r="AU2657" s="4" t="s">
        <v>63</v>
      </c>
      <c r="AV2657" s="4" t="s">
        <v>63</v>
      </c>
      <c r="AW2657" s="4" t="s">
        <v>63</v>
      </c>
      <c r="AX2657" s="4" t="s">
        <v>63</v>
      </c>
      <c r="AY2657" s="4" t="s">
        <v>63</v>
      </c>
      <c r="AZ2657" s="4" t="s">
        <v>63</v>
      </c>
      <c r="BA2657" s="4" t="s">
        <v>63</v>
      </c>
      <c r="BB2657" s="4" t="s">
        <v>63</v>
      </c>
      <c r="BC2657" s="4" t="s">
        <v>63</v>
      </c>
      <c r="BD2657" s="4" t="s">
        <v>63</v>
      </c>
      <c r="BE2657" s="4" t="s">
        <v>63</v>
      </c>
      <c r="BF2657" s="4" t="s">
        <v>63</v>
      </c>
    </row>
    <row r="2658" spans="1:58">
      <c r="A2658" s="4" t="s">
        <v>58</v>
      </c>
      <c r="B2658" s="4" t="s">
        <v>22134</v>
      </c>
      <c r="C2658" s="4" t="s">
        <v>22135</v>
      </c>
      <c r="D2658" s="4" t="s">
        <v>2353</v>
      </c>
      <c r="E2658" s="4" t="s">
        <v>2354</v>
      </c>
      <c r="F2658" s="4">
        <v>2013</v>
      </c>
      <c r="G2658" s="4" t="s">
        <v>16091</v>
      </c>
      <c r="H2658" s="4">
        <v>45</v>
      </c>
      <c r="I2658" s="4">
        <v>5</v>
      </c>
      <c r="J2658" s="4">
        <v>433</v>
      </c>
      <c r="K2658" s="4">
        <v>443</v>
      </c>
      <c r="L2658" s="4" t="s">
        <v>22136</v>
      </c>
      <c r="M2658" s="4" t="s">
        <v>22137</v>
      </c>
      <c r="N2658" s="4" t="s">
        <v>22138</v>
      </c>
      <c r="O2658" s="4" t="s">
        <v>63</v>
      </c>
      <c r="P2658" s="4"/>
      <c r="Q2658" s="4" t="s">
        <v>63</v>
      </c>
      <c r="R2658" s="4" t="s">
        <v>63</v>
      </c>
      <c r="S2658" s="4" t="s">
        <v>63</v>
      </c>
      <c r="T2658" s="4" t="s">
        <v>63</v>
      </c>
      <c r="U2658" s="4"/>
      <c r="V2658" s="4"/>
      <c r="W2658" s="4"/>
      <c r="X2658" s="4" t="s">
        <v>63</v>
      </c>
      <c r="Y2658" s="4" t="s">
        <v>21011</v>
      </c>
      <c r="Z2658" s="4" t="s">
        <v>63</v>
      </c>
      <c r="AA2658" s="4" t="s">
        <v>63</v>
      </c>
      <c r="AB2658" s="4">
        <v>2013572767</v>
      </c>
      <c r="AC2658" s="4" t="s">
        <v>67</v>
      </c>
      <c r="AD2658" s="4" t="s">
        <v>63</v>
      </c>
      <c r="AE2658" s="4" t="s">
        <v>63</v>
      </c>
      <c r="AF2658" s="4" t="s">
        <v>63</v>
      </c>
      <c r="AG2658" s="4" t="s">
        <v>22139</v>
      </c>
      <c r="AH2658" s="4" t="s">
        <v>63</v>
      </c>
      <c r="AI2658" s="4" t="s">
        <v>22140</v>
      </c>
      <c r="AJ2658" s="4" t="s">
        <v>63</v>
      </c>
      <c r="AK2658" s="4" t="s">
        <v>63</v>
      </c>
      <c r="AL2658" s="4" t="s">
        <v>63</v>
      </c>
      <c r="AM2658" s="4" t="s">
        <v>22141</v>
      </c>
      <c r="AN2658" s="4" t="s">
        <v>63</v>
      </c>
      <c r="AO2658" s="4" t="s">
        <v>63</v>
      </c>
      <c r="AP2658" s="4" t="s">
        <v>63</v>
      </c>
      <c r="AQ2658" s="4" t="s">
        <v>63</v>
      </c>
      <c r="AR2658" s="4" t="s">
        <v>63</v>
      </c>
      <c r="AS2658" s="4" t="s">
        <v>63</v>
      </c>
      <c r="AT2658" s="4" t="s">
        <v>63</v>
      </c>
      <c r="AU2658" s="4" t="s">
        <v>63</v>
      </c>
      <c r="AV2658" s="4" t="s">
        <v>63</v>
      </c>
      <c r="AW2658" s="4" t="s">
        <v>63</v>
      </c>
      <c r="AX2658" s="4" t="s">
        <v>63</v>
      </c>
      <c r="AY2658" s="4" t="s">
        <v>63</v>
      </c>
      <c r="AZ2658" s="4" t="s">
        <v>63</v>
      </c>
      <c r="BA2658" s="4" t="s">
        <v>63</v>
      </c>
      <c r="BB2658" s="4" t="s">
        <v>63</v>
      </c>
      <c r="BC2658" s="4" t="s">
        <v>63</v>
      </c>
      <c r="BD2658" s="4" t="s">
        <v>63</v>
      </c>
      <c r="BE2658" s="4" t="s">
        <v>63</v>
      </c>
      <c r="BF2658" s="4" t="s">
        <v>63</v>
      </c>
    </row>
    <row r="2659" spans="1:58">
      <c r="A2659" s="4" t="s">
        <v>58</v>
      </c>
      <c r="B2659" s="4" t="s">
        <v>22142</v>
      </c>
      <c r="C2659" s="4" t="s">
        <v>22143</v>
      </c>
      <c r="D2659" s="4" t="s">
        <v>22144</v>
      </c>
      <c r="E2659" s="4" t="s">
        <v>63</v>
      </c>
      <c r="F2659" s="4">
        <v>2011</v>
      </c>
      <c r="G2659" s="4" t="s">
        <v>63</v>
      </c>
      <c r="H2659" s="4">
        <v>98</v>
      </c>
      <c r="I2659" s="4">
        <v>4</v>
      </c>
      <c r="J2659" s="4">
        <v>305</v>
      </c>
      <c r="K2659" s="4">
        <v>311</v>
      </c>
      <c r="L2659" s="4" t="s">
        <v>22145</v>
      </c>
      <c r="M2659" s="4" t="s">
        <v>22146</v>
      </c>
      <c r="N2659" s="4" t="s">
        <v>22147</v>
      </c>
      <c r="O2659" s="4" t="s">
        <v>63</v>
      </c>
      <c r="P2659" s="4"/>
      <c r="Q2659" s="4" t="s">
        <v>63</v>
      </c>
      <c r="R2659" s="4" t="s">
        <v>63</v>
      </c>
      <c r="S2659" s="4" t="s">
        <v>63</v>
      </c>
      <c r="T2659" s="4" t="s">
        <v>63</v>
      </c>
      <c r="U2659" s="4"/>
      <c r="V2659" s="4"/>
      <c r="W2659" s="4"/>
      <c r="X2659" s="4" t="s">
        <v>63</v>
      </c>
      <c r="Y2659" s="4" t="s">
        <v>22148</v>
      </c>
      <c r="Z2659" s="4" t="s">
        <v>63</v>
      </c>
      <c r="AA2659" s="4" t="s">
        <v>63</v>
      </c>
      <c r="AB2659" s="4" t="s">
        <v>22149</v>
      </c>
      <c r="AC2659" s="4" t="s">
        <v>696</v>
      </c>
      <c r="AD2659" s="4" t="s">
        <v>63</v>
      </c>
      <c r="AE2659" s="4" t="s">
        <v>63</v>
      </c>
      <c r="AF2659" s="4" t="s">
        <v>63</v>
      </c>
      <c r="AG2659" s="4" t="s">
        <v>63</v>
      </c>
      <c r="AH2659" s="4" t="s">
        <v>63</v>
      </c>
      <c r="AI2659" s="4" t="s">
        <v>63</v>
      </c>
      <c r="AJ2659" s="4" t="s">
        <v>63</v>
      </c>
      <c r="AK2659" s="4" t="s">
        <v>63</v>
      </c>
      <c r="AL2659" s="4" t="s">
        <v>63</v>
      </c>
      <c r="AM2659" s="4" t="s">
        <v>22143</v>
      </c>
      <c r="AN2659" s="4" t="s">
        <v>63</v>
      </c>
      <c r="AO2659" s="4" t="s">
        <v>63</v>
      </c>
      <c r="AP2659" s="4" t="s">
        <v>63</v>
      </c>
      <c r="AQ2659" s="4" t="s">
        <v>63</v>
      </c>
      <c r="AR2659" s="4" t="s">
        <v>63</v>
      </c>
      <c r="AS2659" s="4" t="s">
        <v>63</v>
      </c>
      <c r="AT2659" s="4" t="s">
        <v>63</v>
      </c>
      <c r="AU2659" s="4" t="s">
        <v>63</v>
      </c>
      <c r="AV2659" s="4" t="s">
        <v>63</v>
      </c>
      <c r="AW2659" s="4" t="s">
        <v>63</v>
      </c>
      <c r="AX2659" s="4" t="s">
        <v>63</v>
      </c>
      <c r="AY2659" s="4" t="s">
        <v>63</v>
      </c>
      <c r="AZ2659" s="4" t="s">
        <v>63</v>
      </c>
      <c r="BA2659" s="4" t="s">
        <v>63</v>
      </c>
      <c r="BB2659" s="4" t="s">
        <v>63</v>
      </c>
      <c r="BC2659" s="4" t="s">
        <v>63</v>
      </c>
      <c r="BD2659" s="4" t="s">
        <v>63</v>
      </c>
      <c r="BE2659" s="4" t="s">
        <v>63</v>
      </c>
      <c r="BF2659" s="4" t="s">
        <v>63</v>
      </c>
    </row>
    <row r="2660" spans="1:58">
      <c r="A2660" s="4" t="s">
        <v>58</v>
      </c>
      <c r="B2660" s="4" t="s">
        <v>22150</v>
      </c>
      <c r="C2660" s="4" t="s">
        <v>22151</v>
      </c>
      <c r="D2660" s="4" t="s">
        <v>22152</v>
      </c>
      <c r="E2660" s="4" t="s">
        <v>22153</v>
      </c>
      <c r="F2660" s="4">
        <v>1957</v>
      </c>
      <c r="G2660" s="4" t="s">
        <v>63</v>
      </c>
      <c r="H2660" s="4">
        <v>11</v>
      </c>
      <c r="I2660" s="4">
        <v>3</v>
      </c>
      <c r="J2660" s="4">
        <v>188</v>
      </c>
      <c r="K2660" s="4">
        <v>192</v>
      </c>
      <c r="L2660" s="4" t="s">
        <v>22154</v>
      </c>
      <c r="M2660" s="4" t="s">
        <v>22155</v>
      </c>
      <c r="N2660" s="4" t="s">
        <v>22156</v>
      </c>
      <c r="O2660" s="4" t="s">
        <v>63</v>
      </c>
      <c r="P2660" s="4"/>
      <c r="Q2660" s="4" t="s">
        <v>63</v>
      </c>
      <c r="R2660" s="4" t="s">
        <v>63</v>
      </c>
      <c r="S2660" s="4" t="s">
        <v>63</v>
      </c>
      <c r="T2660" s="4" t="s">
        <v>63</v>
      </c>
      <c r="U2660" s="4"/>
      <c r="V2660" s="4"/>
      <c r="W2660" s="4"/>
      <c r="X2660" s="4" t="s">
        <v>63</v>
      </c>
      <c r="Y2660" s="4" t="s">
        <v>22157</v>
      </c>
      <c r="Z2660" s="4" t="s">
        <v>63</v>
      </c>
      <c r="AA2660" s="4" t="s">
        <v>63</v>
      </c>
      <c r="AB2660" s="4" t="s">
        <v>22158</v>
      </c>
      <c r="AC2660" s="4" t="s">
        <v>67</v>
      </c>
      <c r="AD2660" s="4" t="s">
        <v>63</v>
      </c>
      <c r="AE2660" s="4" t="s">
        <v>63</v>
      </c>
      <c r="AF2660" s="4" t="s">
        <v>63</v>
      </c>
      <c r="AG2660" s="4" t="s">
        <v>63</v>
      </c>
      <c r="AH2660" s="4" t="s">
        <v>63</v>
      </c>
      <c r="AI2660" s="4" t="s">
        <v>63</v>
      </c>
      <c r="AJ2660" s="4" t="s">
        <v>63</v>
      </c>
      <c r="AK2660" s="4" t="s">
        <v>63</v>
      </c>
      <c r="AL2660" s="4" t="s">
        <v>63</v>
      </c>
      <c r="AM2660" s="4" t="s">
        <v>22151</v>
      </c>
      <c r="AN2660" s="4" t="s">
        <v>63</v>
      </c>
      <c r="AO2660" s="4" t="s">
        <v>63</v>
      </c>
      <c r="AP2660" s="4" t="s">
        <v>63</v>
      </c>
      <c r="AQ2660" s="4" t="s">
        <v>63</v>
      </c>
      <c r="AR2660" s="4" t="s">
        <v>63</v>
      </c>
      <c r="AS2660" s="4" t="s">
        <v>63</v>
      </c>
      <c r="AT2660" s="4" t="s">
        <v>63</v>
      </c>
      <c r="AU2660" s="4" t="s">
        <v>63</v>
      </c>
      <c r="AV2660" s="4" t="s">
        <v>63</v>
      </c>
      <c r="AW2660" s="4" t="s">
        <v>63</v>
      </c>
      <c r="AX2660" s="4" t="s">
        <v>63</v>
      </c>
      <c r="AY2660" s="4" t="s">
        <v>63</v>
      </c>
      <c r="AZ2660" s="4" t="s">
        <v>63</v>
      </c>
      <c r="BA2660" s="4" t="s">
        <v>63</v>
      </c>
      <c r="BB2660" s="4" t="s">
        <v>63</v>
      </c>
      <c r="BC2660" s="4" t="s">
        <v>63</v>
      </c>
      <c r="BD2660" s="4" t="s">
        <v>63</v>
      </c>
      <c r="BE2660" s="4" t="s">
        <v>63</v>
      </c>
      <c r="BF2660" s="4" t="s">
        <v>63</v>
      </c>
    </row>
    <row r="2661" spans="1:58">
      <c r="A2661" s="4" t="s">
        <v>58</v>
      </c>
      <c r="B2661" s="4" t="s">
        <v>22159</v>
      </c>
      <c r="C2661" s="4" t="s">
        <v>22160</v>
      </c>
      <c r="D2661" s="4" t="s">
        <v>389</v>
      </c>
      <c r="E2661" s="4" t="s">
        <v>63</v>
      </c>
      <c r="F2661" s="4">
        <v>2009</v>
      </c>
      <c r="G2661" s="4" t="s">
        <v>15165</v>
      </c>
      <c r="H2661" s="4">
        <v>30</v>
      </c>
      <c r="I2661" s="4">
        <v>2</v>
      </c>
      <c r="J2661" s="4">
        <v>202</v>
      </c>
      <c r="K2661" s="4" t="s">
        <v>63</v>
      </c>
      <c r="L2661" s="4" t="s">
        <v>22161</v>
      </c>
      <c r="M2661" s="4" t="s">
        <v>22162</v>
      </c>
      <c r="N2661" s="4" t="s">
        <v>22163</v>
      </c>
      <c r="O2661" s="4" t="s">
        <v>63</v>
      </c>
      <c r="P2661" s="4"/>
      <c r="Q2661" s="4" t="s">
        <v>63</v>
      </c>
      <c r="R2661" s="4" t="s">
        <v>63</v>
      </c>
      <c r="S2661" s="4" t="s">
        <v>63</v>
      </c>
      <c r="T2661" s="4" t="s">
        <v>63</v>
      </c>
      <c r="U2661" s="4"/>
      <c r="V2661" s="4"/>
      <c r="W2661" s="4"/>
      <c r="X2661" s="4" t="s">
        <v>63</v>
      </c>
      <c r="Y2661" s="4" t="s">
        <v>392</v>
      </c>
      <c r="Z2661" s="4" t="s">
        <v>63</v>
      </c>
      <c r="AA2661" s="4" t="s">
        <v>63</v>
      </c>
      <c r="AB2661" s="4" t="s">
        <v>63</v>
      </c>
      <c r="AC2661" s="4" t="s">
        <v>67</v>
      </c>
      <c r="AD2661" s="4" t="s">
        <v>63</v>
      </c>
      <c r="AE2661" s="4" t="s">
        <v>63</v>
      </c>
      <c r="AF2661" s="4" t="s">
        <v>63</v>
      </c>
      <c r="AG2661" s="4" t="s">
        <v>63</v>
      </c>
      <c r="AH2661" s="4" t="s">
        <v>63</v>
      </c>
      <c r="AI2661" s="4" t="s">
        <v>16216</v>
      </c>
      <c r="AJ2661" s="4" t="s">
        <v>63</v>
      </c>
      <c r="AK2661" s="4" t="s">
        <v>63</v>
      </c>
      <c r="AL2661" s="4" t="s">
        <v>63</v>
      </c>
      <c r="AM2661" s="4" t="s">
        <v>22160</v>
      </c>
      <c r="AN2661" s="4" t="s">
        <v>63</v>
      </c>
      <c r="AO2661" s="4" t="s">
        <v>63</v>
      </c>
      <c r="AP2661" s="4" t="s">
        <v>63</v>
      </c>
      <c r="AQ2661" s="4" t="s">
        <v>63</v>
      </c>
      <c r="AR2661" s="4" t="s">
        <v>63</v>
      </c>
      <c r="AS2661" s="4" t="s">
        <v>63</v>
      </c>
      <c r="AT2661" s="4" t="s">
        <v>63</v>
      </c>
      <c r="AU2661" s="4" t="s">
        <v>63</v>
      </c>
      <c r="AV2661" s="4" t="s">
        <v>63</v>
      </c>
      <c r="AW2661" s="4" t="s">
        <v>63</v>
      </c>
      <c r="AX2661" s="4" t="s">
        <v>63</v>
      </c>
      <c r="AY2661" s="4" t="s">
        <v>63</v>
      </c>
      <c r="AZ2661" s="4" t="s">
        <v>63</v>
      </c>
      <c r="BA2661" s="4" t="s">
        <v>63</v>
      </c>
      <c r="BB2661" s="4" t="s">
        <v>63</v>
      </c>
      <c r="BC2661" s="4" t="s">
        <v>63</v>
      </c>
      <c r="BD2661" s="4" t="s">
        <v>63</v>
      </c>
      <c r="BE2661" s="4" t="s">
        <v>63</v>
      </c>
      <c r="BF2661" s="4" t="s">
        <v>63</v>
      </c>
    </row>
    <row r="2662" spans="1:58">
      <c r="A2662" s="4" t="s">
        <v>58</v>
      </c>
      <c r="B2662" s="4" t="s">
        <v>22164</v>
      </c>
      <c r="C2662" s="4" t="s">
        <v>22165</v>
      </c>
      <c r="D2662" s="4" t="s">
        <v>22166</v>
      </c>
      <c r="E2662" s="4" t="s">
        <v>22167</v>
      </c>
      <c r="F2662" s="4">
        <v>2012</v>
      </c>
      <c r="G2662" s="4" t="s">
        <v>15165</v>
      </c>
      <c r="H2662" s="4" t="s">
        <v>21533</v>
      </c>
      <c r="I2662" s="4" t="s">
        <v>63</v>
      </c>
      <c r="J2662" s="4" t="s">
        <v>22168</v>
      </c>
      <c r="K2662" s="4" t="s">
        <v>63</v>
      </c>
      <c r="L2662" s="4" t="s">
        <v>22169</v>
      </c>
      <c r="M2662" s="4" t="s">
        <v>22170</v>
      </c>
      <c r="N2662" s="4" t="s">
        <v>22171</v>
      </c>
      <c r="O2662" s="4" t="s">
        <v>63</v>
      </c>
      <c r="P2662" s="4"/>
      <c r="Q2662" s="4" t="s">
        <v>63</v>
      </c>
      <c r="R2662" s="4" t="s">
        <v>63</v>
      </c>
      <c r="S2662" s="4" t="s">
        <v>63</v>
      </c>
      <c r="T2662" s="4" t="s">
        <v>63</v>
      </c>
      <c r="U2662" s="4"/>
      <c r="V2662" s="4"/>
      <c r="W2662" s="4"/>
      <c r="X2662" s="4" t="s">
        <v>63</v>
      </c>
      <c r="Y2662" s="4" t="s">
        <v>22172</v>
      </c>
      <c r="Z2662" s="4" t="s">
        <v>63</v>
      </c>
      <c r="AA2662" s="4" t="s">
        <v>63</v>
      </c>
      <c r="AB2662" s="4" t="s">
        <v>63</v>
      </c>
      <c r="AC2662" s="4" t="s">
        <v>67</v>
      </c>
      <c r="AD2662" s="4" t="s">
        <v>63</v>
      </c>
      <c r="AE2662" s="4" t="s">
        <v>63</v>
      </c>
      <c r="AF2662" s="4" t="s">
        <v>63</v>
      </c>
      <c r="AG2662" s="4" t="s">
        <v>63</v>
      </c>
      <c r="AH2662" s="4" t="s">
        <v>63</v>
      </c>
      <c r="AI2662" s="4" t="s">
        <v>22173</v>
      </c>
      <c r="AJ2662" s="4" t="s">
        <v>63</v>
      </c>
      <c r="AK2662" s="4" t="s">
        <v>63</v>
      </c>
      <c r="AL2662" s="4" t="s">
        <v>63</v>
      </c>
      <c r="AM2662" s="4" t="s">
        <v>22165</v>
      </c>
      <c r="AN2662" s="4" t="s">
        <v>63</v>
      </c>
      <c r="AO2662" s="4" t="s">
        <v>63</v>
      </c>
      <c r="AP2662" s="4" t="s">
        <v>63</v>
      </c>
      <c r="AQ2662" s="4" t="s">
        <v>63</v>
      </c>
      <c r="AR2662" s="4" t="s">
        <v>63</v>
      </c>
      <c r="AS2662" s="4" t="s">
        <v>63</v>
      </c>
      <c r="AT2662" s="4" t="s">
        <v>63</v>
      </c>
      <c r="AU2662" s="4" t="s">
        <v>63</v>
      </c>
      <c r="AV2662" s="4" t="s">
        <v>63</v>
      </c>
      <c r="AW2662" s="4" t="s">
        <v>63</v>
      </c>
      <c r="AX2662" s="4" t="s">
        <v>63</v>
      </c>
      <c r="AY2662" s="4" t="s">
        <v>63</v>
      </c>
      <c r="AZ2662" s="4" t="s">
        <v>63</v>
      </c>
      <c r="BA2662" s="4" t="s">
        <v>63</v>
      </c>
      <c r="BB2662" s="4" t="s">
        <v>63</v>
      </c>
      <c r="BC2662" s="4" t="s">
        <v>63</v>
      </c>
      <c r="BD2662" s="4" t="s">
        <v>63</v>
      </c>
      <c r="BE2662" s="4" t="s">
        <v>63</v>
      </c>
      <c r="BF2662" s="4" t="s">
        <v>63</v>
      </c>
    </row>
    <row r="2663" spans="1:58">
      <c r="A2663" s="4" t="s">
        <v>58</v>
      </c>
      <c r="B2663" s="4" t="s">
        <v>22174</v>
      </c>
      <c r="C2663" s="4" t="s">
        <v>22175</v>
      </c>
      <c r="D2663" s="4" t="s">
        <v>2353</v>
      </c>
      <c r="E2663" s="4" t="s">
        <v>2354</v>
      </c>
      <c r="F2663" s="4">
        <v>2017</v>
      </c>
      <c r="G2663" s="4">
        <v>1</v>
      </c>
      <c r="H2663" s="4">
        <v>82</v>
      </c>
      <c r="I2663" s="4" t="s">
        <v>63</v>
      </c>
      <c r="J2663" s="4">
        <v>48</v>
      </c>
      <c r="K2663" s="4">
        <v>54</v>
      </c>
      <c r="L2663" s="4" t="s">
        <v>22176</v>
      </c>
      <c r="M2663" s="4" t="s">
        <v>22177</v>
      </c>
      <c r="N2663" s="4" t="s">
        <v>22178</v>
      </c>
      <c r="O2663" s="4" t="s">
        <v>63</v>
      </c>
      <c r="P2663" s="4"/>
      <c r="Q2663" s="4" t="s">
        <v>63</v>
      </c>
      <c r="R2663" s="4" t="s">
        <v>63</v>
      </c>
      <c r="S2663" s="4" t="s">
        <v>63</v>
      </c>
      <c r="T2663" s="4" t="s">
        <v>63</v>
      </c>
      <c r="U2663" s="4"/>
      <c r="V2663" s="4"/>
      <c r="W2663" s="4"/>
      <c r="X2663" s="4" t="s">
        <v>63</v>
      </c>
      <c r="Y2663" s="4" t="s">
        <v>16747</v>
      </c>
      <c r="Z2663" s="4" t="s">
        <v>63</v>
      </c>
      <c r="AA2663" s="4" t="s">
        <v>63</v>
      </c>
      <c r="AB2663" s="4" t="s">
        <v>22179</v>
      </c>
      <c r="AC2663" s="4" t="s">
        <v>67</v>
      </c>
      <c r="AD2663" s="4" t="s">
        <v>63</v>
      </c>
      <c r="AE2663" s="4" t="s">
        <v>63</v>
      </c>
      <c r="AF2663" s="4" t="s">
        <v>63</v>
      </c>
      <c r="AG2663" s="4" t="s">
        <v>63</v>
      </c>
      <c r="AH2663" s="4" t="s">
        <v>63</v>
      </c>
      <c r="AI2663" s="4" t="s">
        <v>22180</v>
      </c>
      <c r="AJ2663" s="4" t="s">
        <v>63</v>
      </c>
      <c r="AK2663" s="4" t="s">
        <v>63</v>
      </c>
      <c r="AL2663" s="4" t="s">
        <v>63</v>
      </c>
      <c r="AM2663" s="4" t="s">
        <v>22175</v>
      </c>
      <c r="AN2663" s="4" t="s">
        <v>63</v>
      </c>
      <c r="AO2663" s="4" t="s">
        <v>63</v>
      </c>
      <c r="AP2663" s="4" t="s">
        <v>63</v>
      </c>
      <c r="AQ2663" s="4" t="s">
        <v>63</v>
      </c>
      <c r="AR2663" s="4" t="s">
        <v>63</v>
      </c>
      <c r="AS2663" s="4" t="s">
        <v>63</v>
      </c>
      <c r="AT2663" s="4" t="s">
        <v>63</v>
      </c>
      <c r="AU2663" s="4" t="s">
        <v>63</v>
      </c>
      <c r="AV2663" s="4" t="s">
        <v>63</v>
      </c>
      <c r="AW2663" s="4" t="s">
        <v>63</v>
      </c>
      <c r="AX2663" s="4" t="s">
        <v>63</v>
      </c>
      <c r="AY2663" s="4" t="s">
        <v>63</v>
      </c>
      <c r="AZ2663" s="4" t="s">
        <v>63</v>
      </c>
      <c r="BA2663" s="4" t="s">
        <v>63</v>
      </c>
      <c r="BB2663" s="4" t="s">
        <v>63</v>
      </c>
      <c r="BC2663" s="4" t="s">
        <v>63</v>
      </c>
      <c r="BD2663" s="4" t="s">
        <v>63</v>
      </c>
      <c r="BE2663" s="4" t="s">
        <v>63</v>
      </c>
      <c r="BF2663" s="4" t="s">
        <v>63</v>
      </c>
    </row>
    <row r="2664" spans="1:58">
      <c r="A2664" s="4" t="s">
        <v>58</v>
      </c>
      <c r="B2664" s="4" t="s">
        <v>22181</v>
      </c>
      <c r="C2664" s="4" t="s">
        <v>22182</v>
      </c>
      <c r="D2664" s="4" t="s">
        <v>15421</v>
      </c>
      <c r="E2664" s="4" t="s">
        <v>63</v>
      </c>
      <c r="F2664" s="4">
        <v>2013</v>
      </c>
      <c r="G2664" s="4" t="s">
        <v>63</v>
      </c>
      <c r="H2664" s="4">
        <v>34</v>
      </c>
      <c r="I2664" s="4">
        <v>3</v>
      </c>
      <c r="J2664" s="4">
        <v>283</v>
      </c>
      <c r="K2664" s="4">
        <v>291</v>
      </c>
      <c r="L2664" s="4" t="s">
        <v>22183</v>
      </c>
      <c r="M2664" s="4" t="s">
        <v>22184</v>
      </c>
      <c r="N2664" s="4" t="s">
        <v>22185</v>
      </c>
      <c r="O2664" s="4" t="s">
        <v>63</v>
      </c>
      <c r="P2664" s="4"/>
      <c r="Q2664" s="4" t="s">
        <v>63</v>
      </c>
      <c r="R2664" s="4" t="s">
        <v>63</v>
      </c>
      <c r="S2664" s="4" t="s">
        <v>63</v>
      </c>
      <c r="T2664" s="4" t="s">
        <v>63</v>
      </c>
      <c r="U2664" s="4"/>
      <c r="V2664" s="4"/>
      <c r="W2664" s="4"/>
      <c r="X2664" s="4" t="s">
        <v>63</v>
      </c>
      <c r="Y2664" s="4" t="s">
        <v>15425</v>
      </c>
      <c r="Z2664" s="4" t="s">
        <v>63</v>
      </c>
      <c r="AA2664" s="4" t="s">
        <v>63</v>
      </c>
      <c r="AB2664" s="4" t="s">
        <v>63</v>
      </c>
      <c r="AC2664" s="4" t="s">
        <v>67</v>
      </c>
      <c r="AD2664" s="4" t="s">
        <v>63</v>
      </c>
      <c r="AE2664" s="4" t="s">
        <v>63</v>
      </c>
      <c r="AF2664" s="4" t="s">
        <v>63</v>
      </c>
      <c r="AG2664" s="4" t="s">
        <v>22186</v>
      </c>
      <c r="AH2664" s="4" t="s">
        <v>63</v>
      </c>
      <c r="AI2664" s="4" t="s">
        <v>63</v>
      </c>
      <c r="AJ2664" s="4" t="s">
        <v>63</v>
      </c>
      <c r="AK2664" s="4" t="s">
        <v>63</v>
      </c>
      <c r="AL2664" s="4" t="s">
        <v>63</v>
      </c>
      <c r="AM2664" s="4" t="s">
        <v>22187</v>
      </c>
      <c r="AN2664" s="4" t="s">
        <v>63</v>
      </c>
      <c r="AO2664" s="4" t="s">
        <v>63</v>
      </c>
      <c r="AP2664" s="4" t="s">
        <v>63</v>
      </c>
      <c r="AQ2664" s="4" t="s">
        <v>63</v>
      </c>
      <c r="AR2664" s="4" t="s">
        <v>63</v>
      </c>
      <c r="AS2664" s="4" t="s">
        <v>63</v>
      </c>
      <c r="AT2664" s="4" t="s">
        <v>63</v>
      </c>
      <c r="AU2664" s="4" t="s">
        <v>63</v>
      </c>
      <c r="AV2664" s="4" t="s">
        <v>63</v>
      </c>
      <c r="AW2664" s="4" t="s">
        <v>63</v>
      </c>
      <c r="AX2664" s="4" t="s">
        <v>63</v>
      </c>
      <c r="AY2664" s="4" t="s">
        <v>63</v>
      </c>
      <c r="AZ2664" s="4" t="s">
        <v>63</v>
      </c>
      <c r="BA2664" s="4" t="s">
        <v>63</v>
      </c>
      <c r="BB2664" s="4" t="s">
        <v>63</v>
      </c>
      <c r="BC2664" s="4" t="s">
        <v>63</v>
      </c>
      <c r="BD2664" s="4" t="s">
        <v>63</v>
      </c>
      <c r="BE2664" s="4" t="s">
        <v>63</v>
      </c>
      <c r="BF2664" s="4" t="s">
        <v>63</v>
      </c>
    </row>
    <row r="2665" spans="1:58">
      <c r="A2665" s="4" t="s">
        <v>58</v>
      </c>
      <c r="B2665" s="4" t="s">
        <v>22188</v>
      </c>
      <c r="C2665" s="4" t="s">
        <v>22189</v>
      </c>
      <c r="D2665" s="4" t="s">
        <v>18452</v>
      </c>
      <c r="E2665" s="4" t="s">
        <v>18453</v>
      </c>
      <c r="F2665" s="4">
        <v>2010</v>
      </c>
      <c r="G2665" s="4" t="s">
        <v>15508</v>
      </c>
      <c r="H2665" s="4">
        <v>58</v>
      </c>
      <c r="I2665" s="4">
        <v>1</v>
      </c>
      <c r="J2665" s="4">
        <v>175</v>
      </c>
      <c r="K2665" s="4" t="s">
        <v>63</v>
      </c>
      <c r="L2665" s="4" t="s">
        <v>22190</v>
      </c>
      <c r="M2665" s="4" t="s">
        <v>22191</v>
      </c>
      <c r="N2665" s="4" t="s">
        <v>22192</v>
      </c>
      <c r="O2665" s="4" t="s">
        <v>63</v>
      </c>
      <c r="P2665" s="4"/>
      <c r="Q2665" s="4" t="s">
        <v>63</v>
      </c>
      <c r="R2665" s="4" t="s">
        <v>63</v>
      </c>
      <c r="S2665" s="4" t="s">
        <v>63</v>
      </c>
      <c r="T2665" s="4" t="s">
        <v>63</v>
      </c>
      <c r="U2665" s="4"/>
      <c r="V2665" s="4"/>
      <c r="W2665" s="4"/>
      <c r="X2665" s="4" t="s">
        <v>63</v>
      </c>
      <c r="Y2665" s="4" t="s">
        <v>18457</v>
      </c>
      <c r="Z2665" s="4" t="s">
        <v>63</v>
      </c>
      <c r="AA2665" s="4" t="s">
        <v>63</v>
      </c>
      <c r="AB2665" s="4" t="s">
        <v>63</v>
      </c>
      <c r="AC2665" s="4" t="s">
        <v>67</v>
      </c>
      <c r="AD2665" s="4" t="s">
        <v>63</v>
      </c>
      <c r="AE2665" s="4" t="s">
        <v>63</v>
      </c>
      <c r="AF2665" s="4" t="s">
        <v>63</v>
      </c>
      <c r="AG2665" s="4" t="s">
        <v>63</v>
      </c>
      <c r="AH2665" s="4" t="s">
        <v>63</v>
      </c>
      <c r="AI2665" s="4" t="s">
        <v>22193</v>
      </c>
      <c r="AJ2665" s="4" t="s">
        <v>63</v>
      </c>
      <c r="AK2665" s="4" t="s">
        <v>63</v>
      </c>
      <c r="AL2665" s="4" t="s">
        <v>63</v>
      </c>
      <c r="AM2665" s="4" t="s">
        <v>22189</v>
      </c>
      <c r="AN2665" s="4" t="s">
        <v>63</v>
      </c>
      <c r="AO2665" s="4" t="s">
        <v>63</v>
      </c>
      <c r="AP2665" s="4" t="s">
        <v>63</v>
      </c>
      <c r="AQ2665" s="4" t="s">
        <v>63</v>
      </c>
      <c r="AR2665" s="4" t="s">
        <v>63</v>
      </c>
      <c r="AS2665" s="4" t="s">
        <v>63</v>
      </c>
      <c r="AT2665" s="4" t="s">
        <v>63</v>
      </c>
      <c r="AU2665" s="4" t="s">
        <v>63</v>
      </c>
      <c r="AV2665" s="4" t="s">
        <v>63</v>
      </c>
      <c r="AW2665" s="4" t="s">
        <v>63</v>
      </c>
      <c r="AX2665" s="4" t="s">
        <v>63</v>
      </c>
      <c r="AY2665" s="4" t="s">
        <v>63</v>
      </c>
      <c r="AZ2665" s="4" t="s">
        <v>63</v>
      </c>
      <c r="BA2665" s="4" t="s">
        <v>63</v>
      </c>
      <c r="BB2665" s="4" t="s">
        <v>63</v>
      </c>
      <c r="BC2665" s="4" t="s">
        <v>63</v>
      </c>
      <c r="BD2665" s="4" t="s">
        <v>63</v>
      </c>
      <c r="BE2665" s="4" t="s">
        <v>63</v>
      </c>
      <c r="BF2665" s="4" t="s">
        <v>63</v>
      </c>
    </row>
    <row r="2666" spans="1:58">
      <c r="A2666" s="4" t="s">
        <v>58</v>
      </c>
      <c r="B2666" s="4" t="s">
        <v>22194</v>
      </c>
      <c r="C2666" s="4" t="s">
        <v>22195</v>
      </c>
      <c r="D2666" s="4" t="s">
        <v>18831</v>
      </c>
      <c r="E2666" s="4" t="s">
        <v>63</v>
      </c>
      <c r="F2666" s="4">
        <v>2016</v>
      </c>
      <c r="G2666" s="4">
        <v>1</v>
      </c>
      <c r="H2666" s="4" t="s">
        <v>19666</v>
      </c>
      <c r="I2666" s="4" t="s">
        <v>63</v>
      </c>
      <c r="J2666" s="4" t="s">
        <v>22196</v>
      </c>
      <c r="K2666" s="4" t="s">
        <v>22197</v>
      </c>
      <c r="L2666" s="4" t="s">
        <v>22198</v>
      </c>
      <c r="M2666" s="4" t="s">
        <v>22199</v>
      </c>
      <c r="N2666" s="4" t="s">
        <v>22200</v>
      </c>
      <c r="O2666" s="4" t="s">
        <v>63</v>
      </c>
      <c r="P2666" s="4"/>
      <c r="Q2666" s="4" t="s">
        <v>63</v>
      </c>
      <c r="R2666" s="4" t="s">
        <v>63</v>
      </c>
      <c r="S2666" s="4" t="s">
        <v>63</v>
      </c>
      <c r="T2666" s="4" t="s">
        <v>63</v>
      </c>
      <c r="U2666" s="4"/>
      <c r="V2666" s="4"/>
      <c r="W2666" s="4"/>
      <c r="X2666" s="4" t="s">
        <v>63</v>
      </c>
      <c r="Y2666" s="4" t="s">
        <v>19670</v>
      </c>
      <c r="Z2666" s="4" t="s">
        <v>63</v>
      </c>
      <c r="AA2666" s="4" t="s">
        <v>63</v>
      </c>
      <c r="AB2666" s="4" t="s">
        <v>63</v>
      </c>
      <c r="AC2666" s="4" t="s">
        <v>67</v>
      </c>
      <c r="AD2666" s="4" t="s">
        <v>63</v>
      </c>
      <c r="AE2666" s="4" t="s">
        <v>63</v>
      </c>
      <c r="AF2666" s="4" t="s">
        <v>63</v>
      </c>
      <c r="AG2666" s="4" t="s">
        <v>63</v>
      </c>
      <c r="AH2666" s="4" t="s">
        <v>63</v>
      </c>
      <c r="AI2666" s="4" t="s">
        <v>63</v>
      </c>
      <c r="AJ2666" s="4" t="s">
        <v>63</v>
      </c>
      <c r="AK2666" s="4" t="s">
        <v>63</v>
      </c>
      <c r="AL2666" s="4" t="s">
        <v>63</v>
      </c>
      <c r="AM2666" s="4" t="s">
        <v>22195</v>
      </c>
      <c r="AN2666" s="4" t="s">
        <v>63</v>
      </c>
      <c r="AO2666" s="4" t="s">
        <v>63</v>
      </c>
      <c r="AP2666" s="4" t="s">
        <v>63</v>
      </c>
      <c r="AQ2666" s="4" t="s">
        <v>63</v>
      </c>
      <c r="AR2666" s="4" t="s">
        <v>63</v>
      </c>
      <c r="AS2666" s="4" t="s">
        <v>63</v>
      </c>
      <c r="AT2666" s="4" t="s">
        <v>63</v>
      </c>
      <c r="AU2666" s="4" t="s">
        <v>63</v>
      </c>
      <c r="AV2666" s="4" t="s">
        <v>63</v>
      </c>
      <c r="AW2666" s="4" t="s">
        <v>63</v>
      </c>
      <c r="AX2666" s="4" t="s">
        <v>63</v>
      </c>
      <c r="AY2666" s="4" t="s">
        <v>63</v>
      </c>
      <c r="AZ2666" s="4" t="s">
        <v>63</v>
      </c>
      <c r="BA2666" s="4" t="s">
        <v>63</v>
      </c>
      <c r="BB2666" s="4" t="s">
        <v>63</v>
      </c>
      <c r="BC2666" s="4" t="s">
        <v>63</v>
      </c>
      <c r="BD2666" s="4" t="s">
        <v>63</v>
      </c>
      <c r="BE2666" s="4" t="s">
        <v>63</v>
      </c>
      <c r="BF2666" s="4" t="s">
        <v>63</v>
      </c>
    </row>
    <row r="2667" spans="1:58">
      <c r="A2667" s="4" t="s">
        <v>58</v>
      </c>
      <c r="B2667" s="4" t="s">
        <v>22201</v>
      </c>
      <c r="C2667" s="4" t="s">
        <v>22202</v>
      </c>
      <c r="D2667" s="4" t="s">
        <v>22203</v>
      </c>
      <c r="E2667" s="4" t="s">
        <v>63</v>
      </c>
      <c r="F2667" s="4">
        <v>1987</v>
      </c>
      <c r="G2667" s="4" t="s">
        <v>63</v>
      </c>
      <c r="H2667" s="4">
        <v>20</v>
      </c>
      <c r="I2667" s="4" t="s">
        <v>63</v>
      </c>
      <c r="J2667" s="4">
        <v>30</v>
      </c>
      <c r="K2667" s="4">
        <v>36</v>
      </c>
      <c r="L2667" s="4" t="s">
        <v>22204</v>
      </c>
      <c r="M2667" s="4" t="s">
        <v>63</v>
      </c>
      <c r="N2667" s="4" t="s">
        <v>22205</v>
      </c>
      <c r="O2667" s="4" t="s">
        <v>63</v>
      </c>
      <c r="P2667" s="4"/>
      <c r="Q2667" s="4" t="s">
        <v>63</v>
      </c>
      <c r="R2667" s="4" t="s">
        <v>63</v>
      </c>
      <c r="S2667" s="4" t="s">
        <v>63</v>
      </c>
      <c r="T2667" s="4" t="s">
        <v>63</v>
      </c>
      <c r="U2667" s="4"/>
      <c r="V2667" s="4"/>
      <c r="W2667" s="4"/>
      <c r="X2667" s="4" t="s">
        <v>63</v>
      </c>
      <c r="Y2667" s="4" t="s">
        <v>22206</v>
      </c>
      <c r="Z2667" s="4" t="s">
        <v>63</v>
      </c>
      <c r="AA2667" s="4" t="s">
        <v>63</v>
      </c>
      <c r="AB2667" s="4" t="s">
        <v>22207</v>
      </c>
      <c r="AC2667" s="4" t="s">
        <v>15437</v>
      </c>
      <c r="AD2667" s="4" t="s">
        <v>63</v>
      </c>
      <c r="AE2667" s="4" t="s">
        <v>63</v>
      </c>
      <c r="AF2667" s="4" t="s">
        <v>63</v>
      </c>
      <c r="AG2667" s="4" t="s">
        <v>63</v>
      </c>
      <c r="AH2667" s="4" t="s">
        <v>63</v>
      </c>
      <c r="AI2667" s="4" t="s">
        <v>63</v>
      </c>
      <c r="AJ2667" s="4" t="s">
        <v>63</v>
      </c>
      <c r="AK2667" s="4" t="s">
        <v>63</v>
      </c>
      <c r="AL2667" s="4" t="s">
        <v>63</v>
      </c>
      <c r="AM2667" s="4" t="s">
        <v>22202</v>
      </c>
      <c r="AN2667" s="4" t="s">
        <v>63</v>
      </c>
      <c r="AO2667" s="4" t="s">
        <v>63</v>
      </c>
      <c r="AP2667" s="4" t="s">
        <v>63</v>
      </c>
      <c r="AQ2667" s="4" t="s">
        <v>63</v>
      </c>
      <c r="AR2667" s="4" t="s">
        <v>63</v>
      </c>
      <c r="AS2667" s="4" t="s">
        <v>63</v>
      </c>
      <c r="AT2667" s="4" t="s">
        <v>63</v>
      </c>
      <c r="AU2667" s="4" t="s">
        <v>63</v>
      </c>
      <c r="AV2667" s="4" t="s">
        <v>63</v>
      </c>
      <c r="AW2667" s="4" t="s">
        <v>63</v>
      </c>
      <c r="AX2667" s="4" t="s">
        <v>63</v>
      </c>
      <c r="AY2667" s="4" t="s">
        <v>63</v>
      </c>
      <c r="AZ2667" s="4" t="s">
        <v>63</v>
      </c>
      <c r="BA2667" s="4" t="s">
        <v>63</v>
      </c>
      <c r="BB2667" s="4" t="s">
        <v>63</v>
      </c>
      <c r="BC2667" s="4" t="s">
        <v>63</v>
      </c>
      <c r="BD2667" s="4" t="s">
        <v>63</v>
      </c>
      <c r="BE2667" s="4" t="s">
        <v>63</v>
      </c>
      <c r="BF2667" s="4" t="s">
        <v>63</v>
      </c>
    </row>
    <row r="2668" spans="1:58">
      <c r="A2668" s="4" t="s">
        <v>58</v>
      </c>
      <c r="B2668" s="4" t="s">
        <v>22208</v>
      </c>
      <c r="C2668" s="4" t="s">
        <v>22209</v>
      </c>
      <c r="D2668" s="4" t="s">
        <v>15421</v>
      </c>
      <c r="E2668" s="4" t="s">
        <v>63</v>
      </c>
      <c r="F2668" s="4">
        <v>2002</v>
      </c>
      <c r="G2668" s="4" t="s">
        <v>181</v>
      </c>
      <c r="H2668" s="4">
        <v>23</v>
      </c>
      <c r="I2668" s="4">
        <v>3</v>
      </c>
      <c r="J2668" s="4">
        <v>319</v>
      </c>
      <c r="K2668" s="4">
        <v>340</v>
      </c>
      <c r="L2668" s="4" t="s">
        <v>22210</v>
      </c>
      <c r="M2668" s="4" t="s">
        <v>63</v>
      </c>
      <c r="N2668" s="4" t="s">
        <v>22211</v>
      </c>
      <c r="O2668" s="4" t="s">
        <v>63</v>
      </c>
      <c r="P2668" s="4"/>
      <c r="Q2668" s="4" t="s">
        <v>63</v>
      </c>
      <c r="R2668" s="4" t="s">
        <v>63</v>
      </c>
      <c r="S2668" s="4" t="s">
        <v>63</v>
      </c>
      <c r="T2668" s="4" t="s">
        <v>63</v>
      </c>
      <c r="U2668" s="4"/>
      <c r="V2668" s="4"/>
      <c r="W2668" s="4"/>
      <c r="X2668" s="4" t="s">
        <v>63</v>
      </c>
      <c r="Y2668" s="4" t="s">
        <v>392</v>
      </c>
      <c r="Z2668" s="4" t="s">
        <v>63</v>
      </c>
      <c r="AA2668" s="4" t="s">
        <v>63</v>
      </c>
      <c r="AB2668" s="4" t="s">
        <v>63</v>
      </c>
      <c r="AC2668" s="4" t="s">
        <v>67</v>
      </c>
      <c r="AD2668" s="4" t="s">
        <v>63</v>
      </c>
      <c r="AE2668" s="4" t="s">
        <v>63</v>
      </c>
      <c r="AF2668" s="4" t="s">
        <v>63</v>
      </c>
      <c r="AG2668" s="4" t="s">
        <v>22212</v>
      </c>
      <c r="AH2668" s="4" t="s">
        <v>63</v>
      </c>
      <c r="AI2668" s="4" t="s">
        <v>63</v>
      </c>
      <c r="AJ2668" s="4" t="s">
        <v>63</v>
      </c>
      <c r="AK2668" s="4" t="s">
        <v>63</v>
      </c>
      <c r="AL2668" s="4" t="s">
        <v>63</v>
      </c>
      <c r="AM2668" s="4" t="s">
        <v>22213</v>
      </c>
      <c r="AN2668" s="4" t="s">
        <v>63</v>
      </c>
      <c r="AO2668" s="4" t="s">
        <v>63</v>
      </c>
      <c r="AP2668" s="4" t="s">
        <v>63</v>
      </c>
      <c r="AQ2668" s="4" t="s">
        <v>63</v>
      </c>
      <c r="AR2668" s="4" t="s">
        <v>63</v>
      </c>
      <c r="AS2668" s="4" t="s">
        <v>63</v>
      </c>
      <c r="AT2668" s="4" t="s">
        <v>63</v>
      </c>
      <c r="AU2668" s="4" t="s">
        <v>63</v>
      </c>
      <c r="AV2668" s="4" t="s">
        <v>63</v>
      </c>
      <c r="AW2668" s="4" t="s">
        <v>63</v>
      </c>
      <c r="AX2668" s="4" t="s">
        <v>63</v>
      </c>
      <c r="AY2668" s="4" t="s">
        <v>63</v>
      </c>
      <c r="AZ2668" s="4" t="s">
        <v>63</v>
      </c>
      <c r="BA2668" s="4" t="s">
        <v>63</v>
      </c>
      <c r="BB2668" s="4" t="s">
        <v>63</v>
      </c>
      <c r="BC2668" s="4" t="s">
        <v>63</v>
      </c>
      <c r="BD2668" s="4" t="s">
        <v>63</v>
      </c>
      <c r="BE2668" s="4" t="s">
        <v>63</v>
      </c>
      <c r="BF2668" s="4" t="s">
        <v>63</v>
      </c>
    </row>
    <row r="2669" spans="1:58">
      <c r="A2669" s="4" t="s">
        <v>58</v>
      </c>
      <c r="B2669" s="4" t="s">
        <v>22214</v>
      </c>
      <c r="C2669" s="4" t="s">
        <v>22215</v>
      </c>
      <c r="D2669" s="4" t="s">
        <v>18995</v>
      </c>
      <c r="E2669" s="4" t="s">
        <v>63</v>
      </c>
      <c r="F2669" s="4">
        <v>2015</v>
      </c>
      <c r="G2669" s="4" t="s">
        <v>16633</v>
      </c>
      <c r="H2669" s="4" t="s">
        <v>22216</v>
      </c>
      <c r="I2669" s="4" t="s">
        <v>63</v>
      </c>
      <c r="J2669" s="4" t="s">
        <v>22217</v>
      </c>
      <c r="K2669" s="4" t="s">
        <v>63</v>
      </c>
      <c r="L2669" s="4" t="s">
        <v>22218</v>
      </c>
      <c r="M2669" s="4" t="s">
        <v>22219</v>
      </c>
      <c r="N2669" s="4" t="s">
        <v>22220</v>
      </c>
      <c r="O2669" s="4" t="s">
        <v>63</v>
      </c>
      <c r="P2669" s="4"/>
      <c r="Q2669" s="4" t="s">
        <v>63</v>
      </c>
      <c r="R2669" s="4" t="s">
        <v>63</v>
      </c>
      <c r="S2669" s="4" t="s">
        <v>63</v>
      </c>
      <c r="T2669" s="4" t="s">
        <v>63</v>
      </c>
      <c r="U2669" s="4"/>
      <c r="V2669" s="4"/>
      <c r="W2669" s="4"/>
      <c r="X2669" s="4" t="s">
        <v>63</v>
      </c>
      <c r="Y2669" s="4" t="s">
        <v>19002</v>
      </c>
      <c r="Z2669" s="4" t="s">
        <v>63</v>
      </c>
      <c r="AA2669" s="4" t="s">
        <v>63</v>
      </c>
      <c r="AB2669" s="4" t="s">
        <v>63</v>
      </c>
      <c r="AC2669" s="4" t="s">
        <v>67</v>
      </c>
      <c r="AD2669" s="4" t="s">
        <v>63</v>
      </c>
      <c r="AE2669" s="4" t="s">
        <v>63</v>
      </c>
      <c r="AF2669" s="4" t="s">
        <v>63</v>
      </c>
      <c r="AG2669" s="4" t="s">
        <v>63</v>
      </c>
      <c r="AH2669" s="4" t="s">
        <v>63</v>
      </c>
      <c r="AI2669" s="4" t="s">
        <v>63</v>
      </c>
      <c r="AJ2669" s="4" t="s">
        <v>63</v>
      </c>
      <c r="AK2669" s="4" t="s">
        <v>63</v>
      </c>
      <c r="AL2669" s="4" t="s">
        <v>63</v>
      </c>
      <c r="AM2669" s="4" t="s">
        <v>22215</v>
      </c>
      <c r="AN2669" s="4" t="s">
        <v>63</v>
      </c>
      <c r="AO2669" s="4" t="s">
        <v>63</v>
      </c>
      <c r="AP2669" s="4" t="s">
        <v>63</v>
      </c>
      <c r="AQ2669" s="4" t="s">
        <v>63</v>
      </c>
      <c r="AR2669" s="4" t="s">
        <v>63</v>
      </c>
      <c r="AS2669" s="4" t="s">
        <v>63</v>
      </c>
      <c r="AT2669" s="4" t="s">
        <v>63</v>
      </c>
      <c r="AU2669" s="4" t="s">
        <v>63</v>
      </c>
      <c r="AV2669" s="4" t="s">
        <v>63</v>
      </c>
      <c r="AW2669" s="4" t="s">
        <v>63</v>
      </c>
      <c r="AX2669" s="4" t="s">
        <v>63</v>
      </c>
      <c r="AY2669" s="4" t="s">
        <v>63</v>
      </c>
      <c r="AZ2669" s="4" t="s">
        <v>63</v>
      </c>
      <c r="BA2669" s="4" t="s">
        <v>63</v>
      </c>
      <c r="BB2669" s="4" t="s">
        <v>63</v>
      </c>
      <c r="BC2669" s="4" t="s">
        <v>63</v>
      </c>
      <c r="BD2669" s="4" t="s">
        <v>63</v>
      </c>
      <c r="BE2669" s="4" t="s">
        <v>63</v>
      </c>
      <c r="BF2669" s="4" t="s">
        <v>63</v>
      </c>
    </row>
    <row r="2670" spans="1:58">
      <c r="A2670" s="4" t="s">
        <v>58</v>
      </c>
      <c r="B2670" s="4" t="s">
        <v>22221</v>
      </c>
      <c r="C2670" s="4" t="s">
        <v>22222</v>
      </c>
      <c r="D2670" s="4" t="s">
        <v>16089</v>
      </c>
      <c r="E2670" s="4" t="s">
        <v>16090</v>
      </c>
      <c r="F2670" s="4">
        <v>2002</v>
      </c>
      <c r="G2670" s="4" t="s">
        <v>189</v>
      </c>
      <c r="H2670" s="4">
        <v>29</v>
      </c>
      <c r="I2670" s="4">
        <v>4</v>
      </c>
      <c r="J2670" s="4">
        <v>325</v>
      </c>
      <c r="K2670" s="4">
        <v>333</v>
      </c>
      <c r="L2670" s="4" t="s">
        <v>22223</v>
      </c>
      <c r="M2670" s="4" t="s">
        <v>22224</v>
      </c>
      <c r="N2670" s="4" t="s">
        <v>22225</v>
      </c>
      <c r="O2670" s="4" t="s">
        <v>63</v>
      </c>
      <c r="P2670" s="4"/>
      <c r="Q2670" s="4" t="s">
        <v>63</v>
      </c>
      <c r="R2670" s="4" t="s">
        <v>63</v>
      </c>
      <c r="S2670" s="4" t="s">
        <v>63</v>
      </c>
      <c r="T2670" s="4" t="s">
        <v>63</v>
      </c>
      <c r="U2670" s="4"/>
      <c r="V2670" s="4"/>
      <c r="W2670" s="4"/>
      <c r="X2670" s="4" t="s">
        <v>63</v>
      </c>
      <c r="Y2670" s="4" t="s">
        <v>5929</v>
      </c>
      <c r="Z2670" s="4" t="s">
        <v>63</v>
      </c>
      <c r="AA2670" s="4" t="s">
        <v>63</v>
      </c>
      <c r="AB2670" s="4">
        <v>2002324670</v>
      </c>
      <c r="AC2670" s="4" t="s">
        <v>67</v>
      </c>
      <c r="AD2670" s="4" t="s">
        <v>63</v>
      </c>
      <c r="AE2670" s="4" t="s">
        <v>63</v>
      </c>
      <c r="AF2670" s="4" t="s">
        <v>63</v>
      </c>
      <c r="AG2670" s="4" t="s">
        <v>22226</v>
      </c>
      <c r="AH2670" s="4" t="s">
        <v>63</v>
      </c>
      <c r="AI2670" s="4" t="s">
        <v>22227</v>
      </c>
      <c r="AJ2670" s="4" t="s">
        <v>63</v>
      </c>
      <c r="AK2670" s="4" t="s">
        <v>63</v>
      </c>
      <c r="AL2670" s="4" t="s">
        <v>63</v>
      </c>
      <c r="AM2670" s="4" t="s">
        <v>22228</v>
      </c>
      <c r="AN2670" s="4" t="s">
        <v>63</v>
      </c>
      <c r="AO2670" s="4" t="s">
        <v>63</v>
      </c>
      <c r="AP2670" s="4" t="s">
        <v>63</v>
      </c>
      <c r="AQ2670" s="4" t="s">
        <v>63</v>
      </c>
      <c r="AR2670" s="4" t="s">
        <v>63</v>
      </c>
      <c r="AS2670" s="4" t="s">
        <v>63</v>
      </c>
      <c r="AT2670" s="4" t="s">
        <v>63</v>
      </c>
      <c r="AU2670" s="4" t="s">
        <v>63</v>
      </c>
      <c r="AV2670" s="4" t="s">
        <v>63</v>
      </c>
      <c r="AW2670" s="4" t="s">
        <v>63</v>
      </c>
      <c r="AX2670" s="4" t="s">
        <v>63</v>
      </c>
      <c r="AY2670" s="4" t="s">
        <v>63</v>
      </c>
      <c r="AZ2670" s="4" t="s">
        <v>63</v>
      </c>
      <c r="BA2670" s="4" t="s">
        <v>63</v>
      </c>
      <c r="BB2670" s="4" t="s">
        <v>63</v>
      </c>
      <c r="BC2670" s="4" t="s">
        <v>63</v>
      </c>
      <c r="BD2670" s="4" t="s">
        <v>63</v>
      </c>
      <c r="BE2670" s="4" t="s">
        <v>63</v>
      </c>
      <c r="BF2670" s="4" t="s">
        <v>63</v>
      </c>
    </row>
    <row r="2671" spans="1:58">
      <c r="A2671" s="4" t="s">
        <v>58</v>
      </c>
      <c r="B2671" s="4" t="s">
        <v>22229</v>
      </c>
      <c r="C2671" s="4" t="s">
        <v>22230</v>
      </c>
      <c r="D2671" s="4" t="s">
        <v>22231</v>
      </c>
      <c r="E2671" s="4" t="s">
        <v>22232</v>
      </c>
      <c r="F2671" s="4">
        <v>2013</v>
      </c>
      <c r="G2671" s="4" t="s">
        <v>16182</v>
      </c>
      <c r="H2671" s="4" t="s">
        <v>22233</v>
      </c>
      <c r="I2671" s="4" t="s">
        <v>63</v>
      </c>
      <c r="J2671" s="4" t="s">
        <v>16839</v>
      </c>
      <c r="K2671" s="4" t="s">
        <v>9587</v>
      </c>
      <c r="L2671" s="4" t="s">
        <v>22234</v>
      </c>
      <c r="M2671" s="4" t="s">
        <v>22235</v>
      </c>
      <c r="N2671" s="4" t="s">
        <v>22236</v>
      </c>
      <c r="O2671" s="4" t="s">
        <v>63</v>
      </c>
      <c r="P2671" s="4"/>
      <c r="Q2671" s="4" t="s">
        <v>63</v>
      </c>
      <c r="R2671" s="4" t="s">
        <v>63</v>
      </c>
      <c r="S2671" s="4" t="s">
        <v>63</v>
      </c>
      <c r="T2671" s="4" t="s">
        <v>63</v>
      </c>
      <c r="U2671" s="4"/>
      <c r="V2671" s="4"/>
      <c r="W2671" s="4"/>
      <c r="X2671" s="4" t="s">
        <v>63</v>
      </c>
      <c r="Y2671" s="4" t="s">
        <v>22237</v>
      </c>
      <c r="Z2671" s="4" t="s">
        <v>63</v>
      </c>
      <c r="AA2671" s="4" t="s">
        <v>63</v>
      </c>
      <c r="AB2671" s="4" t="s">
        <v>63</v>
      </c>
      <c r="AC2671" s="4" t="s">
        <v>67</v>
      </c>
      <c r="AD2671" s="4" t="s">
        <v>63</v>
      </c>
      <c r="AE2671" s="4" t="s">
        <v>63</v>
      </c>
      <c r="AF2671" s="4" t="s">
        <v>63</v>
      </c>
      <c r="AG2671" s="4" t="s">
        <v>63</v>
      </c>
      <c r="AH2671" s="4" t="s">
        <v>63</v>
      </c>
      <c r="AI2671" s="4" t="s">
        <v>22238</v>
      </c>
      <c r="AJ2671" s="4" t="s">
        <v>63</v>
      </c>
      <c r="AK2671" s="4" t="s">
        <v>63</v>
      </c>
      <c r="AL2671" s="4" t="s">
        <v>63</v>
      </c>
      <c r="AM2671" s="4" t="s">
        <v>22230</v>
      </c>
      <c r="AN2671" s="4" t="s">
        <v>63</v>
      </c>
      <c r="AO2671" s="4" t="s">
        <v>63</v>
      </c>
      <c r="AP2671" s="4" t="s">
        <v>63</v>
      </c>
      <c r="AQ2671" s="4" t="s">
        <v>63</v>
      </c>
      <c r="AR2671" s="4" t="s">
        <v>63</v>
      </c>
      <c r="AS2671" s="4" t="s">
        <v>63</v>
      </c>
      <c r="AT2671" s="4" t="s">
        <v>63</v>
      </c>
      <c r="AU2671" s="4" t="s">
        <v>63</v>
      </c>
      <c r="AV2671" s="4" t="s">
        <v>63</v>
      </c>
      <c r="AW2671" s="4" t="s">
        <v>63</v>
      </c>
      <c r="AX2671" s="4" t="s">
        <v>63</v>
      </c>
      <c r="AY2671" s="4" t="s">
        <v>63</v>
      </c>
      <c r="AZ2671" s="4" t="s">
        <v>63</v>
      </c>
      <c r="BA2671" s="4" t="s">
        <v>63</v>
      </c>
      <c r="BB2671" s="4" t="s">
        <v>63</v>
      </c>
      <c r="BC2671" s="4" t="s">
        <v>63</v>
      </c>
      <c r="BD2671" s="4" t="s">
        <v>63</v>
      </c>
      <c r="BE2671" s="4" t="s">
        <v>63</v>
      </c>
      <c r="BF2671" s="4" t="s">
        <v>63</v>
      </c>
    </row>
    <row r="2672" spans="1:58">
      <c r="A2672" s="4" t="s">
        <v>58</v>
      </c>
      <c r="B2672" s="4" t="s">
        <v>22239</v>
      </c>
      <c r="C2672" s="4" t="s">
        <v>22240</v>
      </c>
      <c r="D2672" s="4" t="s">
        <v>22241</v>
      </c>
      <c r="E2672" s="4" t="s">
        <v>63</v>
      </c>
      <c r="F2672" s="4">
        <v>2012</v>
      </c>
      <c r="G2672" s="4" t="s">
        <v>15358</v>
      </c>
      <c r="H2672" s="4" t="s">
        <v>17637</v>
      </c>
      <c r="I2672" s="4" t="s">
        <v>63</v>
      </c>
      <c r="J2672" s="4">
        <v>47</v>
      </c>
      <c r="K2672" s="4" t="s">
        <v>63</v>
      </c>
      <c r="L2672" s="4" t="s">
        <v>22242</v>
      </c>
      <c r="M2672" s="4" t="s">
        <v>22243</v>
      </c>
      <c r="N2672" s="4" t="s">
        <v>22244</v>
      </c>
      <c r="O2672" s="4" t="s">
        <v>63</v>
      </c>
      <c r="P2672" s="4"/>
      <c r="Q2672" s="4" t="s">
        <v>63</v>
      </c>
      <c r="R2672" s="4" t="s">
        <v>63</v>
      </c>
      <c r="S2672" s="4" t="s">
        <v>63</v>
      </c>
      <c r="T2672" s="4" t="s">
        <v>63</v>
      </c>
      <c r="U2672" s="4"/>
      <c r="V2672" s="4"/>
      <c r="W2672" s="4"/>
      <c r="X2672" s="4" t="s">
        <v>63</v>
      </c>
      <c r="Y2672" s="4" t="s">
        <v>22245</v>
      </c>
      <c r="Z2672" s="4" t="s">
        <v>63</v>
      </c>
      <c r="AA2672" s="4" t="s">
        <v>63</v>
      </c>
      <c r="AB2672" s="4" t="s">
        <v>63</v>
      </c>
      <c r="AC2672" s="4" t="s">
        <v>67</v>
      </c>
      <c r="AD2672" s="4" t="s">
        <v>63</v>
      </c>
      <c r="AE2672" s="4" t="s">
        <v>63</v>
      </c>
      <c r="AF2672" s="4" t="s">
        <v>63</v>
      </c>
      <c r="AG2672" s="4" t="s">
        <v>63</v>
      </c>
      <c r="AH2672" s="4" t="s">
        <v>63</v>
      </c>
      <c r="AI2672" s="4" t="s">
        <v>22246</v>
      </c>
      <c r="AJ2672" s="4" t="s">
        <v>63</v>
      </c>
      <c r="AK2672" s="4" t="s">
        <v>63</v>
      </c>
      <c r="AL2672" s="4" t="s">
        <v>63</v>
      </c>
      <c r="AM2672" s="4" t="s">
        <v>22240</v>
      </c>
      <c r="AN2672" s="4" t="s">
        <v>63</v>
      </c>
      <c r="AO2672" s="4" t="s">
        <v>63</v>
      </c>
      <c r="AP2672" s="4" t="s">
        <v>63</v>
      </c>
      <c r="AQ2672" s="4" t="s">
        <v>63</v>
      </c>
      <c r="AR2672" s="4" t="s">
        <v>63</v>
      </c>
      <c r="AS2672" s="4" t="s">
        <v>63</v>
      </c>
      <c r="AT2672" s="4" t="s">
        <v>63</v>
      </c>
      <c r="AU2672" s="4" t="s">
        <v>63</v>
      </c>
      <c r="AV2672" s="4" t="s">
        <v>63</v>
      </c>
      <c r="AW2672" s="4" t="s">
        <v>63</v>
      </c>
      <c r="AX2672" s="4" t="s">
        <v>63</v>
      </c>
      <c r="AY2672" s="4" t="s">
        <v>63</v>
      </c>
      <c r="AZ2672" s="4" t="s">
        <v>63</v>
      </c>
      <c r="BA2672" s="4" t="s">
        <v>63</v>
      </c>
      <c r="BB2672" s="4" t="s">
        <v>63</v>
      </c>
      <c r="BC2672" s="4" t="s">
        <v>63</v>
      </c>
      <c r="BD2672" s="4" t="s">
        <v>63</v>
      </c>
      <c r="BE2672" s="4" t="s">
        <v>63</v>
      </c>
      <c r="BF2672" s="4" t="s">
        <v>63</v>
      </c>
    </row>
    <row r="2673" spans="1:58">
      <c r="A2673" s="4" t="s">
        <v>58</v>
      </c>
      <c r="B2673" s="4" t="s">
        <v>22247</v>
      </c>
      <c r="C2673" s="4" t="s">
        <v>22248</v>
      </c>
      <c r="D2673" s="4" t="s">
        <v>11321</v>
      </c>
      <c r="E2673" s="4" t="s">
        <v>11321</v>
      </c>
      <c r="F2673" s="4">
        <v>2015</v>
      </c>
      <c r="G2673" s="4" t="s">
        <v>15254</v>
      </c>
      <c r="H2673" s="4" t="s">
        <v>19164</v>
      </c>
      <c r="I2673" s="4" t="s">
        <v>63</v>
      </c>
      <c r="J2673" s="4">
        <v>118</v>
      </c>
      <c r="K2673" s="4" t="s">
        <v>63</v>
      </c>
      <c r="L2673" s="4" t="s">
        <v>22249</v>
      </c>
      <c r="M2673" s="4" t="s">
        <v>22250</v>
      </c>
      <c r="N2673" s="4" t="s">
        <v>22251</v>
      </c>
      <c r="O2673" s="4" t="s">
        <v>63</v>
      </c>
      <c r="P2673" s="4"/>
      <c r="Q2673" s="4" t="s">
        <v>63</v>
      </c>
      <c r="R2673" s="4" t="s">
        <v>63</v>
      </c>
      <c r="S2673" s="4" t="s">
        <v>63</v>
      </c>
      <c r="T2673" s="4" t="s">
        <v>63</v>
      </c>
      <c r="U2673" s="4"/>
      <c r="V2673" s="4"/>
      <c r="W2673" s="4"/>
      <c r="X2673" s="4" t="s">
        <v>63</v>
      </c>
      <c r="Y2673" s="4" t="s">
        <v>11325</v>
      </c>
      <c r="Z2673" s="4" t="s">
        <v>63</v>
      </c>
      <c r="AA2673" s="4" t="s">
        <v>63</v>
      </c>
      <c r="AB2673" s="4" t="s">
        <v>63</v>
      </c>
      <c r="AC2673" s="4" t="s">
        <v>67</v>
      </c>
      <c r="AD2673" s="4" t="s">
        <v>63</v>
      </c>
      <c r="AE2673" s="4" t="s">
        <v>63</v>
      </c>
      <c r="AF2673" s="4" t="s">
        <v>63</v>
      </c>
      <c r="AG2673" s="4" t="s">
        <v>63</v>
      </c>
      <c r="AH2673" s="4" t="s">
        <v>63</v>
      </c>
      <c r="AI2673" s="4" t="s">
        <v>22252</v>
      </c>
      <c r="AJ2673" s="4" t="s">
        <v>63</v>
      </c>
      <c r="AK2673" s="4" t="s">
        <v>63</v>
      </c>
      <c r="AL2673" s="4" t="s">
        <v>63</v>
      </c>
      <c r="AM2673" s="4" t="s">
        <v>22248</v>
      </c>
      <c r="AN2673" s="4" t="s">
        <v>63</v>
      </c>
      <c r="AO2673" s="4" t="s">
        <v>63</v>
      </c>
      <c r="AP2673" s="4" t="s">
        <v>63</v>
      </c>
      <c r="AQ2673" s="4" t="s">
        <v>63</v>
      </c>
      <c r="AR2673" s="4" t="s">
        <v>63</v>
      </c>
      <c r="AS2673" s="4" t="s">
        <v>63</v>
      </c>
      <c r="AT2673" s="4" t="s">
        <v>63</v>
      </c>
      <c r="AU2673" s="4" t="s">
        <v>63</v>
      </c>
      <c r="AV2673" s="4" t="s">
        <v>63</v>
      </c>
      <c r="AW2673" s="4" t="s">
        <v>63</v>
      </c>
      <c r="AX2673" s="4" t="s">
        <v>63</v>
      </c>
      <c r="AY2673" s="4" t="s">
        <v>63</v>
      </c>
      <c r="AZ2673" s="4" t="s">
        <v>63</v>
      </c>
      <c r="BA2673" s="4" t="s">
        <v>63</v>
      </c>
      <c r="BB2673" s="4" t="s">
        <v>63</v>
      </c>
      <c r="BC2673" s="4" t="s">
        <v>63</v>
      </c>
      <c r="BD2673" s="4" t="s">
        <v>63</v>
      </c>
      <c r="BE2673" s="4" t="s">
        <v>63</v>
      </c>
      <c r="BF2673" s="4" t="s">
        <v>63</v>
      </c>
    </row>
    <row r="2674" spans="1:58">
      <c r="A2674" s="4" t="s">
        <v>58</v>
      </c>
      <c r="B2674" s="4" t="s">
        <v>22253</v>
      </c>
      <c r="C2674" s="4" t="s">
        <v>22254</v>
      </c>
      <c r="D2674" s="4" t="s">
        <v>22255</v>
      </c>
      <c r="E2674" s="4" t="s">
        <v>22256</v>
      </c>
      <c r="F2674" s="4">
        <v>2010</v>
      </c>
      <c r="G2674" s="4" t="s">
        <v>15358</v>
      </c>
      <c r="H2674" s="4" t="s">
        <v>22257</v>
      </c>
      <c r="I2674" s="4" t="s">
        <v>63</v>
      </c>
      <c r="J2674" s="4" t="s">
        <v>22258</v>
      </c>
      <c r="K2674" s="4" t="s">
        <v>63</v>
      </c>
      <c r="L2674" s="4" t="s">
        <v>22259</v>
      </c>
      <c r="M2674" s="4" t="s">
        <v>22260</v>
      </c>
      <c r="N2674" s="4" t="s">
        <v>22261</v>
      </c>
      <c r="O2674" s="4" t="s">
        <v>63</v>
      </c>
      <c r="P2674" s="4"/>
      <c r="Q2674" s="4" t="s">
        <v>63</v>
      </c>
      <c r="R2674" s="4" t="s">
        <v>63</v>
      </c>
      <c r="S2674" s="4" t="s">
        <v>63</v>
      </c>
      <c r="T2674" s="4" t="s">
        <v>63</v>
      </c>
      <c r="U2674" s="4"/>
      <c r="V2674" s="4"/>
      <c r="W2674" s="4"/>
      <c r="X2674" s="4" t="s">
        <v>63</v>
      </c>
      <c r="Y2674" s="4" t="s">
        <v>22262</v>
      </c>
      <c r="Z2674" s="4" t="s">
        <v>63</v>
      </c>
      <c r="AA2674" s="4" t="s">
        <v>63</v>
      </c>
      <c r="AB2674" s="4" t="s">
        <v>63</v>
      </c>
      <c r="AC2674" s="4" t="s">
        <v>67</v>
      </c>
      <c r="AD2674" s="4" t="s">
        <v>63</v>
      </c>
      <c r="AE2674" s="4" t="s">
        <v>63</v>
      </c>
      <c r="AF2674" s="4" t="s">
        <v>63</v>
      </c>
      <c r="AG2674" s="4" t="s">
        <v>63</v>
      </c>
      <c r="AH2674" s="4" t="s">
        <v>63</v>
      </c>
      <c r="AI2674" s="4" t="s">
        <v>22263</v>
      </c>
      <c r="AJ2674" s="4" t="s">
        <v>63</v>
      </c>
      <c r="AK2674" s="4" t="s">
        <v>63</v>
      </c>
      <c r="AL2674" s="4" t="s">
        <v>63</v>
      </c>
      <c r="AM2674" s="4" t="s">
        <v>22254</v>
      </c>
      <c r="AN2674" s="4" t="s">
        <v>63</v>
      </c>
      <c r="AO2674" s="4" t="s">
        <v>63</v>
      </c>
      <c r="AP2674" s="4" t="s">
        <v>63</v>
      </c>
      <c r="AQ2674" s="4" t="s">
        <v>63</v>
      </c>
      <c r="AR2674" s="4" t="s">
        <v>63</v>
      </c>
      <c r="AS2674" s="4" t="s">
        <v>63</v>
      </c>
      <c r="AT2674" s="4" t="s">
        <v>63</v>
      </c>
      <c r="AU2674" s="4" t="s">
        <v>63</v>
      </c>
      <c r="AV2674" s="4" t="s">
        <v>63</v>
      </c>
      <c r="AW2674" s="4" t="s">
        <v>63</v>
      </c>
      <c r="AX2674" s="4" t="s">
        <v>63</v>
      </c>
      <c r="AY2674" s="4" t="s">
        <v>63</v>
      </c>
      <c r="AZ2674" s="4" t="s">
        <v>63</v>
      </c>
      <c r="BA2674" s="4" t="s">
        <v>63</v>
      </c>
      <c r="BB2674" s="4" t="s">
        <v>63</v>
      </c>
      <c r="BC2674" s="4" t="s">
        <v>63</v>
      </c>
      <c r="BD2674" s="4" t="s">
        <v>63</v>
      </c>
      <c r="BE2674" s="4" t="s">
        <v>63</v>
      </c>
      <c r="BF2674" s="4" t="s">
        <v>63</v>
      </c>
    </row>
    <row r="2675" spans="1:58">
      <c r="A2675" s="4" t="s">
        <v>58</v>
      </c>
      <c r="B2675" s="4" t="s">
        <v>22264</v>
      </c>
      <c r="C2675" s="4" t="s">
        <v>22265</v>
      </c>
      <c r="D2675" s="4" t="s">
        <v>371</v>
      </c>
      <c r="E2675" s="4" t="s">
        <v>63</v>
      </c>
      <c r="F2675" s="4">
        <v>2014</v>
      </c>
      <c r="G2675" s="4" t="s">
        <v>15165</v>
      </c>
      <c r="H2675" s="4" t="s">
        <v>15912</v>
      </c>
      <c r="I2675" s="4" t="s">
        <v>63</v>
      </c>
      <c r="J2675" s="4" t="s">
        <v>22266</v>
      </c>
      <c r="K2675" s="4" t="s">
        <v>63</v>
      </c>
      <c r="L2675" s="4" t="s">
        <v>22267</v>
      </c>
      <c r="M2675" s="4" t="s">
        <v>22268</v>
      </c>
      <c r="N2675" s="4" t="s">
        <v>22269</v>
      </c>
      <c r="O2675" s="4" t="s">
        <v>63</v>
      </c>
      <c r="P2675" s="4"/>
      <c r="Q2675" s="4" t="s">
        <v>63</v>
      </c>
      <c r="R2675" s="4" t="s">
        <v>63</v>
      </c>
      <c r="S2675" s="4" t="s">
        <v>63</v>
      </c>
      <c r="T2675" s="4" t="s">
        <v>63</v>
      </c>
      <c r="U2675" s="4"/>
      <c r="V2675" s="4"/>
      <c r="W2675" s="4"/>
      <c r="X2675" s="4" t="s">
        <v>63</v>
      </c>
      <c r="Y2675" s="4" t="s">
        <v>375</v>
      </c>
      <c r="Z2675" s="4" t="s">
        <v>63</v>
      </c>
      <c r="AA2675" s="4" t="s">
        <v>63</v>
      </c>
      <c r="AB2675" s="4" t="s">
        <v>63</v>
      </c>
      <c r="AC2675" s="4" t="s">
        <v>67</v>
      </c>
      <c r="AD2675" s="4" t="s">
        <v>63</v>
      </c>
      <c r="AE2675" s="4" t="s">
        <v>63</v>
      </c>
      <c r="AF2675" s="4" t="s">
        <v>63</v>
      </c>
      <c r="AG2675" s="4" t="s">
        <v>63</v>
      </c>
      <c r="AH2675" s="4" t="s">
        <v>63</v>
      </c>
      <c r="AI2675" s="4" t="s">
        <v>63</v>
      </c>
      <c r="AJ2675" s="4" t="s">
        <v>63</v>
      </c>
      <c r="AK2675" s="4" t="s">
        <v>63</v>
      </c>
      <c r="AL2675" s="4" t="s">
        <v>63</v>
      </c>
      <c r="AM2675" s="4" t="s">
        <v>22265</v>
      </c>
      <c r="AN2675" s="4" t="s">
        <v>63</v>
      </c>
      <c r="AO2675" s="4" t="s">
        <v>63</v>
      </c>
      <c r="AP2675" s="4" t="s">
        <v>63</v>
      </c>
      <c r="AQ2675" s="4" t="s">
        <v>63</v>
      </c>
      <c r="AR2675" s="4" t="s">
        <v>63</v>
      </c>
      <c r="AS2675" s="4" t="s">
        <v>63</v>
      </c>
      <c r="AT2675" s="4" t="s">
        <v>63</v>
      </c>
      <c r="AU2675" s="4" t="s">
        <v>63</v>
      </c>
      <c r="AV2675" s="4" t="s">
        <v>63</v>
      </c>
      <c r="AW2675" s="4" t="s">
        <v>63</v>
      </c>
      <c r="AX2675" s="4" t="s">
        <v>63</v>
      </c>
      <c r="AY2675" s="4" t="s">
        <v>63</v>
      </c>
      <c r="AZ2675" s="4" t="s">
        <v>63</v>
      </c>
      <c r="BA2675" s="4" t="s">
        <v>63</v>
      </c>
      <c r="BB2675" s="4" t="s">
        <v>63</v>
      </c>
      <c r="BC2675" s="4" t="s">
        <v>63</v>
      </c>
      <c r="BD2675" s="4" t="s">
        <v>63</v>
      </c>
      <c r="BE2675" s="4" t="s">
        <v>63</v>
      </c>
      <c r="BF2675" s="4" t="s">
        <v>63</v>
      </c>
    </row>
    <row r="2676" spans="1:58">
      <c r="A2676" s="4" t="s">
        <v>58</v>
      </c>
      <c r="B2676" s="4" t="s">
        <v>22270</v>
      </c>
      <c r="C2676" s="4" t="s">
        <v>22271</v>
      </c>
      <c r="D2676" s="4" t="s">
        <v>15589</v>
      </c>
      <c r="E2676" s="4" t="s">
        <v>63</v>
      </c>
      <c r="F2676" s="4">
        <v>2009</v>
      </c>
      <c r="G2676" s="4" t="s">
        <v>63</v>
      </c>
      <c r="H2676" s="4" t="s">
        <v>15590</v>
      </c>
      <c r="I2676" s="4" t="s">
        <v>63</v>
      </c>
      <c r="J2676" s="4" t="s">
        <v>19543</v>
      </c>
      <c r="K2676" s="4" t="s">
        <v>63</v>
      </c>
      <c r="L2676" s="4" t="s">
        <v>22272</v>
      </c>
      <c r="M2676" s="4" t="s">
        <v>22273</v>
      </c>
      <c r="N2676" s="4" t="s">
        <v>22274</v>
      </c>
      <c r="O2676" s="4" t="s">
        <v>63</v>
      </c>
      <c r="P2676" s="4"/>
      <c r="Q2676" s="4" t="s">
        <v>63</v>
      </c>
      <c r="R2676" s="4" t="s">
        <v>63</v>
      </c>
      <c r="S2676" s="4" t="s">
        <v>63</v>
      </c>
      <c r="T2676" s="4" t="s">
        <v>63</v>
      </c>
      <c r="U2676" s="4"/>
      <c r="V2676" s="4"/>
      <c r="W2676" s="4"/>
      <c r="X2676" s="4" t="s">
        <v>63</v>
      </c>
      <c r="Y2676" s="4" t="s">
        <v>3365</v>
      </c>
      <c r="Z2676" s="4" t="s">
        <v>63</v>
      </c>
      <c r="AA2676" s="4" t="s">
        <v>63</v>
      </c>
      <c r="AB2676" s="4" t="s">
        <v>63</v>
      </c>
      <c r="AC2676" s="4" t="s">
        <v>67</v>
      </c>
      <c r="AD2676" s="4" t="s">
        <v>63</v>
      </c>
      <c r="AE2676" s="4" t="s">
        <v>63</v>
      </c>
      <c r="AF2676" s="4" t="s">
        <v>63</v>
      </c>
      <c r="AG2676" s="4" t="s">
        <v>63</v>
      </c>
      <c r="AH2676" s="4" t="s">
        <v>63</v>
      </c>
      <c r="AI2676" s="4" t="s">
        <v>63</v>
      </c>
      <c r="AJ2676" s="4" t="s">
        <v>63</v>
      </c>
      <c r="AK2676" s="4" t="s">
        <v>63</v>
      </c>
      <c r="AL2676" s="4" t="s">
        <v>63</v>
      </c>
      <c r="AM2676" s="4" t="s">
        <v>22271</v>
      </c>
      <c r="AN2676" s="4" t="s">
        <v>63</v>
      </c>
      <c r="AO2676" s="4" t="s">
        <v>63</v>
      </c>
      <c r="AP2676" s="4" t="s">
        <v>63</v>
      </c>
      <c r="AQ2676" s="4" t="s">
        <v>63</v>
      </c>
      <c r="AR2676" s="4" t="s">
        <v>63</v>
      </c>
      <c r="AS2676" s="4" t="s">
        <v>63</v>
      </c>
      <c r="AT2676" s="4" t="s">
        <v>63</v>
      </c>
      <c r="AU2676" s="4" t="s">
        <v>63</v>
      </c>
      <c r="AV2676" s="4" t="s">
        <v>63</v>
      </c>
      <c r="AW2676" s="4" t="s">
        <v>63</v>
      </c>
      <c r="AX2676" s="4" t="s">
        <v>63</v>
      </c>
      <c r="AY2676" s="4" t="s">
        <v>63</v>
      </c>
      <c r="AZ2676" s="4" t="s">
        <v>63</v>
      </c>
      <c r="BA2676" s="4" t="s">
        <v>63</v>
      </c>
      <c r="BB2676" s="4" t="s">
        <v>63</v>
      </c>
      <c r="BC2676" s="4" t="s">
        <v>63</v>
      </c>
      <c r="BD2676" s="4" t="s">
        <v>63</v>
      </c>
      <c r="BE2676" s="4" t="s">
        <v>63</v>
      </c>
      <c r="BF2676" s="4" t="s">
        <v>63</v>
      </c>
    </row>
    <row r="2677" spans="1:58">
      <c r="A2677" s="4" t="s">
        <v>58</v>
      </c>
      <c r="B2677" s="4" t="s">
        <v>22270</v>
      </c>
      <c r="C2677" s="4" t="s">
        <v>22271</v>
      </c>
      <c r="D2677" s="4" t="s">
        <v>15589</v>
      </c>
      <c r="E2677" s="4" t="s">
        <v>63</v>
      </c>
      <c r="F2677" s="4">
        <v>2009</v>
      </c>
      <c r="G2677" s="4" t="s">
        <v>63</v>
      </c>
      <c r="H2677" s="4" t="s">
        <v>15590</v>
      </c>
      <c r="I2677" s="4" t="s">
        <v>63</v>
      </c>
      <c r="J2677" s="4" t="s">
        <v>22275</v>
      </c>
      <c r="K2677" s="4" t="s">
        <v>63</v>
      </c>
      <c r="L2677" s="4" t="s">
        <v>22272</v>
      </c>
      <c r="M2677" s="4" t="s">
        <v>22273</v>
      </c>
      <c r="N2677" s="4" t="s">
        <v>22276</v>
      </c>
      <c r="O2677" s="4" t="s">
        <v>63</v>
      </c>
      <c r="P2677" s="4"/>
      <c r="Q2677" s="4" t="s">
        <v>63</v>
      </c>
      <c r="R2677" s="4" t="s">
        <v>63</v>
      </c>
      <c r="S2677" s="4" t="s">
        <v>63</v>
      </c>
      <c r="T2677" s="4" t="s">
        <v>63</v>
      </c>
      <c r="U2677" s="4"/>
      <c r="V2677" s="4"/>
      <c r="W2677" s="4"/>
      <c r="X2677" s="4" t="s">
        <v>63</v>
      </c>
      <c r="Y2677" s="4" t="s">
        <v>3365</v>
      </c>
      <c r="Z2677" s="4" t="s">
        <v>63</v>
      </c>
      <c r="AA2677" s="4" t="s">
        <v>63</v>
      </c>
      <c r="AB2677" s="4" t="s">
        <v>63</v>
      </c>
      <c r="AC2677" s="4" t="s">
        <v>67</v>
      </c>
      <c r="AD2677" s="4" t="s">
        <v>63</v>
      </c>
      <c r="AE2677" s="4" t="s">
        <v>63</v>
      </c>
      <c r="AF2677" s="4" t="s">
        <v>63</v>
      </c>
      <c r="AG2677" s="4" t="s">
        <v>63</v>
      </c>
      <c r="AH2677" s="4" t="s">
        <v>63</v>
      </c>
      <c r="AI2677" s="4" t="s">
        <v>63</v>
      </c>
      <c r="AJ2677" s="4" t="s">
        <v>63</v>
      </c>
      <c r="AK2677" s="4" t="s">
        <v>63</v>
      </c>
      <c r="AL2677" s="4" t="s">
        <v>63</v>
      </c>
      <c r="AM2677" s="4" t="s">
        <v>22271</v>
      </c>
      <c r="AN2677" s="4" t="s">
        <v>63</v>
      </c>
      <c r="AO2677" s="4" t="s">
        <v>63</v>
      </c>
      <c r="AP2677" s="4" t="s">
        <v>63</v>
      </c>
      <c r="AQ2677" s="4" t="s">
        <v>63</v>
      </c>
      <c r="AR2677" s="4" t="s">
        <v>63</v>
      </c>
      <c r="AS2677" s="4" t="s">
        <v>63</v>
      </c>
      <c r="AT2677" s="4" t="s">
        <v>63</v>
      </c>
      <c r="AU2677" s="4" t="s">
        <v>63</v>
      </c>
      <c r="AV2677" s="4" t="s">
        <v>63</v>
      </c>
      <c r="AW2677" s="4" t="s">
        <v>63</v>
      </c>
      <c r="AX2677" s="4" t="s">
        <v>63</v>
      </c>
      <c r="AY2677" s="4" t="s">
        <v>63</v>
      </c>
      <c r="AZ2677" s="4" t="s">
        <v>63</v>
      </c>
      <c r="BA2677" s="4" t="s">
        <v>63</v>
      </c>
      <c r="BB2677" s="4" t="s">
        <v>63</v>
      </c>
      <c r="BC2677" s="4" t="s">
        <v>63</v>
      </c>
      <c r="BD2677" s="4" t="s">
        <v>63</v>
      </c>
      <c r="BE2677" s="4" t="s">
        <v>63</v>
      </c>
      <c r="BF2677" s="4" t="s">
        <v>63</v>
      </c>
    </row>
    <row r="2678" spans="1:58">
      <c r="A2678" s="4" t="s">
        <v>58</v>
      </c>
      <c r="B2678" s="4" t="s">
        <v>22277</v>
      </c>
      <c r="C2678" s="4" t="s">
        <v>22278</v>
      </c>
      <c r="D2678" s="4" t="s">
        <v>371</v>
      </c>
      <c r="E2678" s="4" t="s">
        <v>63</v>
      </c>
      <c r="F2678" s="4">
        <v>2006</v>
      </c>
      <c r="G2678" s="4" t="s">
        <v>15165</v>
      </c>
      <c r="H2678" s="4">
        <v>21</v>
      </c>
      <c r="I2678" s="4">
        <v>4</v>
      </c>
      <c r="J2678" s="4">
        <v>360</v>
      </c>
      <c r="K2678" s="4">
        <v>362</v>
      </c>
      <c r="L2678" s="4" t="s">
        <v>22279</v>
      </c>
      <c r="M2678" s="4" t="s">
        <v>22280</v>
      </c>
      <c r="N2678" s="4" t="s">
        <v>22281</v>
      </c>
      <c r="O2678" s="4" t="s">
        <v>63</v>
      </c>
      <c r="P2678" s="4"/>
      <c r="Q2678" s="4" t="s">
        <v>63</v>
      </c>
      <c r="R2678" s="4" t="s">
        <v>63</v>
      </c>
      <c r="S2678" s="4" t="s">
        <v>63</v>
      </c>
      <c r="T2678" s="4" t="s">
        <v>63</v>
      </c>
      <c r="U2678" s="4"/>
      <c r="V2678" s="4"/>
      <c r="W2678" s="4"/>
      <c r="X2678" s="4" t="s">
        <v>63</v>
      </c>
      <c r="Y2678" s="4" t="s">
        <v>22282</v>
      </c>
      <c r="Z2678" s="4" t="s">
        <v>63</v>
      </c>
      <c r="AA2678" s="4" t="s">
        <v>63</v>
      </c>
      <c r="AB2678" s="4">
        <v>2006209584</v>
      </c>
      <c r="AC2678" s="4" t="s">
        <v>67</v>
      </c>
      <c r="AD2678" s="4" t="s">
        <v>63</v>
      </c>
      <c r="AE2678" s="4" t="s">
        <v>63</v>
      </c>
      <c r="AF2678" s="4" t="s">
        <v>63</v>
      </c>
      <c r="AG2678" s="4" t="s">
        <v>22283</v>
      </c>
      <c r="AH2678" s="4" t="s">
        <v>63</v>
      </c>
      <c r="AI2678" s="4" t="s">
        <v>22284</v>
      </c>
      <c r="AJ2678" s="4" t="s">
        <v>63</v>
      </c>
      <c r="AK2678" s="4" t="s">
        <v>63</v>
      </c>
      <c r="AL2678" s="4" t="s">
        <v>63</v>
      </c>
      <c r="AM2678" s="4" t="s">
        <v>22285</v>
      </c>
      <c r="AN2678" s="4" t="s">
        <v>63</v>
      </c>
      <c r="AO2678" s="4" t="s">
        <v>63</v>
      </c>
      <c r="AP2678" s="4" t="s">
        <v>63</v>
      </c>
      <c r="AQ2678" s="4" t="s">
        <v>63</v>
      </c>
      <c r="AR2678" s="4" t="s">
        <v>63</v>
      </c>
      <c r="AS2678" s="4" t="s">
        <v>63</v>
      </c>
      <c r="AT2678" s="4" t="s">
        <v>63</v>
      </c>
      <c r="AU2678" s="4" t="s">
        <v>63</v>
      </c>
      <c r="AV2678" s="4" t="s">
        <v>63</v>
      </c>
      <c r="AW2678" s="4" t="s">
        <v>63</v>
      </c>
      <c r="AX2678" s="4" t="s">
        <v>63</v>
      </c>
      <c r="AY2678" s="4" t="s">
        <v>63</v>
      </c>
      <c r="AZ2678" s="4" t="s">
        <v>63</v>
      </c>
      <c r="BA2678" s="4" t="s">
        <v>63</v>
      </c>
      <c r="BB2678" s="4" t="s">
        <v>63</v>
      </c>
      <c r="BC2678" s="4" t="s">
        <v>63</v>
      </c>
      <c r="BD2678" s="4" t="s">
        <v>63</v>
      </c>
      <c r="BE2678" s="4" t="s">
        <v>63</v>
      </c>
      <c r="BF2678" s="4" t="s">
        <v>63</v>
      </c>
    </row>
    <row r="2679" spans="1:58">
      <c r="A2679" s="4" t="s">
        <v>58</v>
      </c>
      <c r="B2679" s="4" t="s">
        <v>22286</v>
      </c>
      <c r="C2679" s="4" t="s">
        <v>22287</v>
      </c>
      <c r="D2679" s="4" t="s">
        <v>3984</v>
      </c>
      <c r="E2679" s="4" t="s">
        <v>63</v>
      </c>
      <c r="F2679" s="4">
        <v>2014</v>
      </c>
      <c r="G2679" s="4" t="s">
        <v>15165</v>
      </c>
      <c r="H2679" s="4">
        <v>15</v>
      </c>
      <c r="I2679" s="4">
        <v>4</v>
      </c>
      <c r="J2679" s="4" t="s">
        <v>22288</v>
      </c>
      <c r="K2679" s="4" t="s">
        <v>63</v>
      </c>
      <c r="L2679" s="4" t="s">
        <v>22289</v>
      </c>
      <c r="M2679" s="4" t="s">
        <v>22290</v>
      </c>
      <c r="N2679" s="4" t="s">
        <v>22291</v>
      </c>
      <c r="O2679" s="4" t="s">
        <v>63</v>
      </c>
      <c r="P2679" s="4"/>
      <c r="Q2679" s="4" t="s">
        <v>63</v>
      </c>
      <c r="R2679" s="4" t="s">
        <v>63</v>
      </c>
      <c r="S2679" s="4" t="s">
        <v>63</v>
      </c>
      <c r="T2679" s="4" t="s">
        <v>63</v>
      </c>
      <c r="U2679" s="4"/>
      <c r="V2679" s="4"/>
      <c r="W2679" s="4"/>
      <c r="X2679" s="4" t="s">
        <v>63</v>
      </c>
      <c r="Y2679" s="4" t="s">
        <v>5160</v>
      </c>
      <c r="Z2679" s="4" t="s">
        <v>63</v>
      </c>
      <c r="AA2679" s="4" t="s">
        <v>63</v>
      </c>
      <c r="AB2679" s="4" t="s">
        <v>63</v>
      </c>
      <c r="AC2679" s="4" t="s">
        <v>67</v>
      </c>
      <c r="AD2679" s="4" t="s">
        <v>63</v>
      </c>
      <c r="AE2679" s="4" t="s">
        <v>63</v>
      </c>
      <c r="AF2679" s="4" t="s">
        <v>63</v>
      </c>
      <c r="AG2679" s="4" t="s">
        <v>63</v>
      </c>
      <c r="AH2679" s="4" t="s">
        <v>63</v>
      </c>
      <c r="AI2679" s="4" t="s">
        <v>22292</v>
      </c>
      <c r="AJ2679" s="4" t="s">
        <v>63</v>
      </c>
      <c r="AK2679" s="4" t="s">
        <v>63</v>
      </c>
      <c r="AL2679" s="4" t="s">
        <v>63</v>
      </c>
      <c r="AM2679" s="4" t="s">
        <v>22287</v>
      </c>
      <c r="AN2679" s="4" t="s">
        <v>63</v>
      </c>
      <c r="AO2679" s="4" t="s">
        <v>63</v>
      </c>
      <c r="AP2679" s="4" t="s">
        <v>63</v>
      </c>
      <c r="AQ2679" s="4" t="s">
        <v>63</v>
      </c>
      <c r="AR2679" s="4" t="s">
        <v>63</v>
      </c>
      <c r="AS2679" s="4" t="s">
        <v>63</v>
      </c>
      <c r="AT2679" s="4" t="s">
        <v>63</v>
      </c>
      <c r="AU2679" s="4" t="s">
        <v>63</v>
      </c>
      <c r="AV2679" s="4" t="s">
        <v>63</v>
      </c>
      <c r="AW2679" s="4" t="s">
        <v>63</v>
      </c>
      <c r="AX2679" s="4" t="s">
        <v>63</v>
      </c>
      <c r="AY2679" s="4" t="s">
        <v>63</v>
      </c>
      <c r="AZ2679" s="4" t="s">
        <v>63</v>
      </c>
      <c r="BA2679" s="4" t="s">
        <v>63</v>
      </c>
      <c r="BB2679" s="4" t="s">
        <v>63</v>
      </c>
      <c r="BC2679" s="4" t="s">
        <v>63</v>
      </c>
      <c r="BD2679" s="4" t="s">
        <v>63</v>
      </c>
      <c r="BE2679" s="4" t="s">
        <v>63</v>
      </c>
      <c r="BF2679" s="4" t="s">
        <v>63</v>
      </c>
    </row>
    <row r="2680" spans="1:58">
      <c r="A2680" s="4" t="s">
        <v>58</v>
      </c>
      <c r="B2680" s="4" t="s">
        <v>22293</v>
      </c>
      <c r="C2680" s="4" t="s">
        <v>22294</v>
      </c>
      <c r="D2680" s="4" t="s">
        <v>11901</v>
      </c>
      <c r="E2680" s="4" t="s">
        <v>63</v>
      </c>
      <c r="F2680" s="4">
        <v>2018</v>
      </c>
      <c r="G2680" s="4">
        <v>1</v>
      </c>
      <c r="H2680" s="4">
        <v>60</v>
      </c>
      <c r="I2680" s="4">
        <v>5</v>
      </c>
      <c r="J2680" s="4" t="s">
        <v>9631</v>
      </c>
      <c r="K2680" s="4" t="s">
        <v>63</v>
      </c>
      <c r="L2680" s="4" t="s">
        <v>22295</v>
      </c>
      <c r="M2680" s="4" t="s">
        <v>22296</v>
      </c>
      <c r="N2680" s="4" t="s">
        <v>22297</v>
      </c>
      <c r="O2680" s="4" t="s">
        <v>63</v>
      </c>
      <c r="P2680" s="4"/>
      <c r="Q2680" s="4" t="s">
        <v>63</v>
      </c>
      <c r="R2680" s="4" t="s">
        <v>63</v>
      </c>
      <c r="S2680" s="4" t="s">
        <v>63</v>
      </c>
      <c r="T2680" s="4" t="s">
        <v>63</v>
      </c>
      <c r="U2680" s="4"/>
      <c r="V2680" s="4"/>
      <c r="W2680" s="4"/>
      <c r="X2680" s="4" t="s">
        <v>63</v>
      </c>
      <c r="Y2680" s="4" t="s">
        <v>15618</v>
      </c>
      <c r="Z2680" s="4" t="s">
        <v>63</v>
      </c>
      <c r="AA2680" s="4" t="s">
        <v>63</v>
      </c>
      <c r="AB2680" s="4" t="s">
        <v>63</v>
      </c>
      <c r="AC2680" s="4" t="s">
        <v>67</v>
      </c>
      <c r="AD2680" s="4" t="s">
        <v>63</v>
      </c>
      <c r="AE2680" s="4" t="s">
        <v>63</v>
      </c>
      <c r="AF2680" s="4" t="s">
        <v>63</v>
      </c>
      <c r="AG2680" s="4" t="s">
        <v>63</v>
      </c>
      <c r="AH2680" s="4" t="s">
        <v>63</v>
      </c>
      <c r="AI2680" s="4" t="s">
        <v>63</v>
      </c>
      <c r="AJ2680" s="4" t="s">
        <v>63</v>
      </c>
      <c r="AK2680" s="4" t="s">
        <v>63</v>
      </c>
      <c r="AL2680" s="4" t="s">
        <v>63</v>
      </c>
      <c r="AM2680" s="4" t="s">
        <v>22294</v>
      </c>
      <c r="AN2680" s="4" t="s">
        <v>63</v>
      </c>
      <c r="AO2680" s="4" t="s">
        <v>63</v>
      </c>
      <c r="AP2680" s="4" t="s">
        <v>63</v>
      </c>
      <c r="AQ2680" s="4" t="s">
        <v>63</v>
      </c>
      <c r="AR2680" s="4" t="s">
        <v>63</v>
      </c>
      <c r="AS2680" s="4" t="s">
        <v>63</v>
      </c>
      <c r="AT2680" s="4" t="s">
        <v>63</v>
      </c>
      <c r="AU2680" s="4" t="s">
        <v>63</v>
      </c>
      <c r="AV2680" s="4" t="s">
        <v>63</v>
      </c>
      <c r="AW2680" s="4" t="s">
        <v>63</v>
      </c>
      <c r="AX2680" s="4" t="s">
        <v>63</v>
      </c>
      <c r="AY2680" s="4" t="s">
        <v>63</v>
      </c>
      <c r="AZ2680" s="4" t="s">
        <v>63</v>
      </c>
      <c r="BA2680" s="4" t="s">
        <v>63</v>
      </c>
      <c r="BB2680" s="4" t="s">
        <v>63</v>
      </c>
      <c r="BC2680" s="4" t="s">
        <v>63</v>
      </c>
      <c r="BD2680" s="4" t="s">
        <v>63</v>
      </c>
      <c r="BE2680" s="4" t="s">
        <v>63</v>
      </c>
      <c r="BF2680" s="4" t="s">
        <v>63</v>
      </c>
    </row>
    <row r="2681" spans="1:58">
      <c r="A2681" s="4" t="s">
        <v>58</v>
      </c>
      <c r="B2681" s="4" t="s">
        <v>22298</v>
      </c>
      <c r="C2681" s="4" t="s">
        <v>22299</v>
      </c>
      <c r="D2681" s="4" t="s">
        <v>938</v>
      </c>
      <c r="E2681" s="4" t="s">
        <v>63</v>
      </c>
      <c r="F2681" s="4">
        <v>2011</v>
      </c>
      <c r="G2681" s="4" t="s">
        <v>15449</v>
      </c>
      <c r="H2681" s="4">
        <v>20</v>
      </c>
      <c r="I2681" s="4">
        <v>4</v>
      </c>
      <c r="J2681" s="4">
        <v>387</v>
      </c>
      <c r="K2681" s="4">
        <v>388</v>
      </c>
      <c r="L2681" s="4" t="s">
        <v>22300</v>
      </c>
      <c r="M2681" s="4" t="s">
        <v>22301</v>
      </c>
      <c r="N2681" s="4" t="s">
        <v>22302</v>
      </c>
      <c r="O2681" s="4" t="s">
        <v>63</v>
      </c>
      <c r="P2681" s="4"/>
      <c r="Q2681" s="4" t="s">
        <v>63</v>
      </c>
      <c r="R2681" s="4" t="s">
        <v>63</v>
      </c>
      <c r="S2681" s="4" t="s">
        <v>63</v>
      </c>
      <c r="T2681" s="4" t="s">
        <v>63</v>
      </c>
      <c r="U2681" s="4"/>
      <c r="V2681" s="4"/>
      <c r="W2681" s="4"/>
      <c r="X2681" s="4" t="s">
        <v>63</v>
      </c>
      <c r="Y2681" s="4" t="s">
        <v>2500</v>
      </c>
      <c r="Z2681" s="4" t="s">
        <v>63</v>
      </c>
      <c r="AA2681" s="4" t="s">
        <v>63</v>
      </c>
      <c r="AB2681" s="4" t="s">
        <v>63</v>
      </c>
      <c r="AC2681" s="4" t="s">
        <v>67</v>
      </c>
      <c r="AD2681" s="4" t="s">
        <v>63</v>
      </c>
      <c r="AE2681" s="4" t="s">
        <v>63</v>
      </c>
      <c r="AF2681" s="4" t="s">
        <v>63</v>
      </c>
      <c r="AG2681" s="4" t="s">
        <v>63</v>
      </c>
      <c r="AH2681" s="4" t="s">
        <v>63</v>
      </c>
      <c r="AI2681" s="4" t="s">
        <v>18449</v>
      </c>
      <c r="AJ2681" s="4" t="s">
        <v>63</v>
      </c>
      <c r="AK2681" s="4" t="s">
        <v>63</v>
      </c>
      <c r="AL2681" s="4" t="s">
        <v>63</v>
      </c>
      <c r="AM2681" s="4" t="s">
        <v>22299</v>
      </c>
      <c r="AN2681" s="4" t="s">
        <v>63</v>
      </c>
      <c r="AO2681" s="4" t="s">
        <v>63</v>
      </c>
      <c r="AP2681" s="4" t="s">
        <v>63</v>
      </c>
      <c r="AQ2681" s="4" t="s">
        <v>63</v>
      </c>
      <c r="AR2681" s="4" t="s">
        <v>63</v>
      </c>
      <c r="AS2681" s="4" t="s">
        <v>63</v>
      </c>
      <c r="AT2681" s="4" t="s">
        <v>63</v>
      </c>
      <c r="AU2681" s="4" t="s">
        <v>63</v>
      </c>
      <c r="AV2681" s="4" t="s">
        <v>63</v>
      </c>
      <c r="AW2681" s="4" t="s">
        <v>63</v>
      </c>
      <c r="AX2681" s="4" t="s">
        <v>63</v>
      </c>
      <c r="AY2681" s="4" t="s">
        <v>63</v>
      </c>
      <c r="AZ2681" s="4" t="s">
        <v>63</v>
      </c>
      <c r="BA2681" s="4" t="s">
        <v>63</v>
      </c>
      <c r="BB2681" s="4" t="s">
        <v>63</v>
      </c>
      <c r="BC2681" s="4" t="s">
        <v>63</v>
      </c>
      <c r="BD2681" s="4" t="s">
        <v>63</v>
      </c>
      <c r="BE2681" s="4" t="s">
        <v>63</v>
      </c>
      <c r="BF2681" s="4" t="s">
        <v>63</v>
      </c>
    </row>
    <row r="2682" spans="1:58">
      <c r="A2682" s="4" t="s">
        <v>58</v>
      </c>
      <c r="B2682" s="4" t="s">
        <v>22303</v>
      </c>
      <c r="C2682" s="4" t="s">
        <v>22304</v>
      </c>
      <c r="D2682" s="4" t="s">
        <v>22305</v>
      </c>
      <c r="E2682" s="4" t="s">
        <v>22306</v>
      </c>
      <c r="F2682" s="4">
        <v>2010</v>
      </c>
      <c r="G2682" s="4">
        <v>1</v>
      </c>
      <c r="H2682" s="4">
        <v>24</v>
      </c>
      <c r="I2682" s="4">
        <v>12</v>
      </c>
      <c r="J2682" s="4">
        <v>753</v>
      </c>
      <c r="K2682" s="4">
        <v>762</v>
      </c>
      <c r="L2682" s="4" t="s">
        <v>22307</v>
      </c>
      <c r="M2682" s="4" t="s">
        <v>22308</v>
      </c>
      <c r="N2682" s="4" t="s">
        <v>22309</v>
      </c>
      <c r="O2682" s="4" t="s">
        <v>63</v>
      </c>
      <c r="P2682" s="4"/>
      <c r="Q2682" s="4" t="s">
        <v>63</v>
      </c>
      <c r="R2682" s="4" t="s">
        <v>63</v>
      </c>
      <c r="S2682" s="4" t="s">
        <v>63</v>
      </c>
      <c r="T2682" s="4" t="s">
        <v>63</v>
      </c>
      <c r="U2682" s="4"/>
      <c r="V2682" s="4"/>
      <c r="W2682" s="4"/>
      <c r="X2682" s="4" t="s">
        <v>63</v>
      </c>
      <c r="Y2682" s="4" t="s">
        <v>22310</v>
      </c>
      <c r="Z2682" s="4" t="s">
        <v>63</v>
      </c>
      <c r="AA2682" s="4" t="s">
        <v>63</v>
      </c>
      <c r="AB2682" s="4">
        <v>2010683932</v>
      </c>
      <c r="AC2682" s="4" t="s">
        <v>67</v>
      </c>
      <c r="AD2682" s="4" t="s">
        <v>63</v>
      </c>
      <c r="AE2682" s="4" t="s">
        <v>63</v>
      </c>
      <c r="AF2682" s="4" t="s">
        <v>63</v>
      </c>
      <c r="AG2682" s="4" t="s">
        <v>22311</v>
      </c>
      <c r="AH2682" s="4" t="s">
        <v>63</v>
      </c>
      <c r="AI2682" s="4" t="s">
        <v>22312</v>
      </c>
      <c r="AJ2682" s="4" t="s">
        <v>63</v>
      </c>
      <c r="AK2682" s="4" t="s">
        <v>63</v>
      </c>
      <c r="AL2682" s="4" t="s">
        <v>63</v>
      </c>
      <c r="AM2682" s="4" t="s">
        <v>22313</v>
      </c>
      <c r="AN2682" s="4" t="s">
        <v>63</v>
      </c>
      <c r="AO2682" s="4" t="s">
        <v>63</v>
      </c>
      <c r="AP2682" s="4" t="s">
        <v>63</v>
      </c>
      <c r="AQ2682" s="4" t="s">
        <v>63</v>
      </c>
      <c r="AR2682" s="4" t="s">
        <v>63</v>
      </c>
      <c r="AS2682" s="4" t="s">
        <v>63</v>
      </c>
      <c r="AT2682" s="4" t="s">
        <v>63</v>
      </c>
      <c r="AU2682" s="4" t="s">
        <v>63</v>
      </c>
      <c r="AV2682" s="4" t="s">
        <v>63</v>
      </c>
      <c r="AW2682" s="4" t="s">
        <v>63</v>
      </c>
      <c r="AX2682" s="4" t="s">
        <v>63</v>
      </c>
      <c r="AY2682" s="4" t="s">
        <v>63</v>
      </c>
      <c r="AZ2682" s="4" t="s">
        <v>63</v>
      </c>
      <c r="BA2682" s="4" t="s">
        <v>63</v>
      </c>
      <c r="BB2682" s="4" t="s">
        <v>63</v>
      </c>
      <c r="BC2682" s="4" t="s">
        <v>63</v>
      </c>
      <c r="BD2682" s="4" t="s">
        <v>63</v>
      </c>
      <c r="BE2682" s="4" t="s">
        <v>63</v>
      </c>
      <c r="BF2682" s="4" t="s">
        <v>63</v>
      </c>
    </row>
    <row r="2683" spans="1:58">
      <c r="A2683" s="4" t="s">
        <v>58</v>
      </c>
      <c r="B2683" s="4" t="s">
        <v>22314</v>
      </c>
      <c r="C2683" s="4" t="s">
        <v>22315</v>
      </c>
      <c r="D2683" s="4" t="s">
        <v>15421</v>
      </c>
      <c r="E2683" s="4" t="s">
        <v>63</v>
      </c>
      <c r="F2683" s="4">
        <v>2012</v>
      </c>
      <c r="G2683" s="4" t="s">
        <v>63</v>
      </c>
      <c r="H2683" s="4">
        <v>33</v>
      </c>
      <c r="I2683" s="4">
        <v>2</v>
      </c>
      <c r="J2683" s="4">
        <v>182</v>
      </c>
      <c r="K2683" s="4">
        <v>185</v>
      </c>
      <c r="L2683" s="4" t="s">
        <v>22316</v>
      </c>
      <c r="M2683" s="4" t="s">
        <v>22317</v>
      </c>
      <c r="N2683" s="4" t="s">
        <v>22318</v>
      </c>
      <c r="O2683" s="4" t="s">
        <v>63</v>
      </c>
      <c r="P2683" s="4"/>
      <c r="Q2683" s="4" t="s">
        <v>63</v>
      </c>
      <c r="R2683" s="4" t="s">
        <v>63</v>
      </c>
      <c r="S2683" s="4" t="s">
        <v>63</v>
      </c>
      <c r="T2683" s="4" t="s">
        <v>63</v>
      </c>
      <c r="U2683" s="4"/>
      <c r="V2683" s="4"/>
      <c r="W2683" s="4"/>
      <c r="X2683" s="4" t="s">
        <v>63</v>
      </c>
      <c r="Y2683" s="4" t="s">
        <v>15425</v>
      </c>
      <c r="Z2683" s="4" t="s">
        <v>63</v>
      </c>
      <c r="AA2683" s="4" t="s">
        <v>63</v>
      </c>
      <c r="AB2683" s="4" t="s">
        <v>63</v>
      </c>
      <c r="AC2683" s="4" t="s">
        <v>67</v>
      </c>
      <c r="AD2683" s="4" t="s">
        <v>63</v>
      </c>
      <c r="AE2683" s="4" t="s">
        <v>63</v>
      </c>
      <c r="AF2683" s="4" t="s">
        <v>63</v>
      </c>
      <c r="AG2683" s="4" t="s">
        <v>22319</v>
      </c>
      <c r="AH2683" s="4" t="s">
        <v>63</v>
      </c>
      <c r="AI2683" s="4" t="s">
        <v>22320</v>
      </c>
      <c r="AJ2683" s="4" t="s">
        <v>63</v>
      </c>
      <c r="AK2683" s="4" t="s">
        <v>63</v>
      </c>
      <c r="AL2683" s="4" t="s">
        <v>63</v>
      </c>
      <c r="AM2683" s="4" t="s">
        <v>22321</v>
      </c>
      <c r="AN2683" s="4" t="s">
        <v>63</v>
      </c>
      <c r="AO2683" s="4" t="s">
        <v>63</v>
      </c>
      <c r="AP2683" s="4" t="s">
        <v>63</v>
      </c>
      <c r="AQ2683" s="4" t="s">
        <v>63</v>
      </c>
      <c r="AR2683" s="4" t="s">
        <v>63</v>
      </c>
      <c r="AS2683" s="4" t="s">
        <v>63</v>
      </c>
      <c r="AT2683" s="4" t="s">
        <v>63</v>
      </c>
      <c r="AU2683" s="4" t="s">
        <v>63</v>
      </c>
      <c r="AV2683" s="4" t="s">
        <v>63</v>
      </c>
      <c r="AW2683" s="4" t="s">
        <v>63</v>
      </c>
      <c r="AX2683" s="4" t="s">
        <v>63</v>
      </c>
      <c r="AY2683" s="4" t="s">
        <v>63</v>
      </c>
      <c r="AZ2683" s="4" t="s">
        <v>63</v>
      </c>
      <c r="BA2683" s="4" t="s">
        <v>63</v>
      </c>
      <c r="BB2683" s="4" t="s">
        <v>63</v>
      </c>
      <c r="BC2683" s="4" t="s">
        <v>63</v>
      </c>
      <c r="BD2683" s="4" t="s">
        <v>63</v>
      </c>
      <c r="BE2683" s="4" t="s">
        <v>63</v>
      </c>
      <c r="BF2683" s="4" t="s">
        <v>63</v>
      </c>
    </row>
    <row r="2684" spans="1:58">
      <c r="A2684" s="4" t="s">
        <v>58</v>
      </c>
      <c r="B2684" s="4" t="s">
        <v>22322</v>
      </c>
      <c r="C2684" s="4" t="s">
        <v>22323</v>
      </c>
      <c r="D2684" s="4" t="s">
        <v>21486</v>
      </c>
      <c r="E2684" s="4" t="s">
        <v>63</v>
      </c>
      <c r="F2684" s="4">
        <v>2017</v>
      </c>
      <c r="G2684" s="4" t="s">
        <v>63</v>
      </c>
      <c r="H2684" s="4">
        <v>16</v>
      </c>
      <c r="I2684" s="4">
        <v>4</v>
      </c>
      <c r="J2684" s="4">
        <v>155</v>
      </c>
      <c r="K2684" s="4">
        <v>163</v>
      </c>
      <c r="L2684" s="4" t="s">
        <v>22324</v>
      </c>
      <c r="M2684" s="4" t="s">
        <v>22325</v>
      </c>
      <c r="N2684" s="4" t="s">
        <v>22326</v>
      </c>
      <c r="O2684" s="4" t="s">
        <v>63</v>
      </c>
      <c r="P2684" s="4"/>
      <c r="Q2684" s="4" t="s">
        <v>63</v>
      </c>
      <c r="R2684" s="4" t="s">
        <v>63</v>
      </c>
      <c r="S2684" s="4" t="s">
        <v>63</v>
      </c>
      <c r="T2684" s="4" t="s">
        <v>63</v>
      </c>
      <c r="U2684" s="4"/>
      <c r="V2684" s="4"/>
      <c r="W2684" s="4"/>
      <c r="X2684" s="4" t="s">
        <v>63</v>
      </c>
      <c r="Y2684" s="4" t="s">
        <v>21490</v>
      </c>
      <c r="Z2684" s="4" t="s">
        <v>63</v>
      </c>
      <c r="AA2684" s="4" t="s">
        <v>63</v>
      </c>
      <c r="AB2684" s="4" t="s">
        <v>22327</v>
      </c>
      <c r="AC2684" s="4" t="s">
        <v>67</v>
      </c>
      <c r="AD2684" s="4" t="s">
        <v>63</v>
      </c>
      <c r="AE2684" s="4" t="s">
        <v>63</v>
      </c>
      <c r="AF2684" s="4" t="s">
        <v>63</v>
      </c>
      <c r="AG2684" s="4" t="s">
        <v>63</v>
      </c>
      <c r="AH2684" s="4" t="s">
        <v>63</v>
      </c>
      <c r="AI2684" s="4" t="s">
        <v>22328</v>
      </c>
      <c r="AJ2684" s="4" t="s">
        <v>63</v>
      </c>
      <c r="AK2684" s="4" t="s">
        <v>63</v>
      </c>
      <c r="AL2684" s="4" t="s">
        <v>63</v>
      </c>
      <c r="AM2684" s="4" t="s">
        <v>22323</v>
      </c>
      <c r="AN2684" s="4" t="s">
        <v>63</v>
      </c>
      <c r="AO2684" s="4" t="s">
        <v>63</v>
      </c>
      <c r="AP2684" s="4" t="s">
        <v>63</v>
      </c>
      <c r="AQ2684" s="4" t="s">
        <v>63</v>
      </c>
      <c r="AR2684" s="4" t="s">
        <v>63</v>
      </c>
      <c r="AS2684" s="4" t="s">
        <v>63</v>
      </c>
      <c r="AT2684" s="4" t="s">
        <v>63</v>
      </c>
      <c r="AU2684" s="4" t="s">
        <v>63</v>
      </c>
      <c r="AV2684" s="4" t="s">
        <v>63</v>
      </c>
      <c r="AW2684" s="4" t="s">
        <v>63</v>
      </c>
      <c r="AX2684" s="4" t="s">
        <v>63</v>
      </c>
      <c r="AY2684" s="4" t="s">
        <v>63</v>
      </c>
      <c r="AZ2684" s="4" t="s">
        <v>63</v>
      </c>
      <c r="BA2684" s="4" t="s">
        <v>63</v>
      </c>
      <c r="BB2684" s="4" t="s">
        <v>63</v>
      </c>
      <c r="BC2684" s="4" t="s">
        <v>63</v>
      </c>
      <c r="BD2684" s="4" t="s">
        <v>63</v>
      </c>
      <c r="BE2684" s="4" t="s">
        <v>63</v>
      </c>
      <c r="BF2684" s="4" t="s">
        <v>63</v>
      </c>
    </row>
    <row r="2685" spans="1:58">
      <c r="A2685" s="4" t="s">
        <v>58</v>
      </c>
      <c r="B2685" s="4" t="s">
        <v>22329</v>
      </c>
      <c r="C2685" s="4" t="s">
        <v>22330</v>
      </c>
      <c r="D2685" s="4" t="s">
        <v>6824</v>
      </c>
      <c r="E2685" s="4" t="s">
        <v>6825</v>
      </c>
      <c r="F2685" s="4">
        <v>2013</v>
      </c>
      <c r="G2685" s="4" t="s">
        <v>189</v>
      </c>
      <c r="H2685" s="4" t="s">
        <v>6629</v>
      </c>
      <c r="I2685" s="4" t="s">
        <v>63</v>
      </c>
      <c r="J2685" s="4" t="s">
        <v>22331</v>
      </c>
      <c r="K2685" s="4">
        <v>48</v>
      </c>
      <c r="L2685" s="4" t="s">
        <v>22332</v>
      </c>
      <c r="M2685" s="4" t="s">
        <v>22333</v>
      </c>
      <c r="N2685" s="4" t="s">
        <v>22334</v>
      </c>
      <c r="O2685" s="4" t="s">
        <v>63</v>
      </c>
      <c r="P2685" s="4"/>
      <c r="Q2685" s="4" t="s">
        <v>63</v>
      </c>
      <c r="R2685" s="4" t="s">
        <v>63</v>
      </c>
      <c r="S2685" s="4" t="s">
        <v>63</v>
      </c>
      <c r="T2685" s="4" t="s">
        <v>63</v>
      </c>
      <c r="U2685" s="4"/>
      <c r="V2685" s="4"/>
      <c r="W2685" s="4"/>
      <c r="X2685" s="4" t="s">
        <v>63</v>
      </c>
      <c r="Y2685" s="4" t="s">
        <v>22335</v>
      </c>
      <c r="Z2685" s="4" t="s">
        <v>63</v>
      </c>
      <c r="AA2685" s="4" t="s">
        <v>63</v>
      </c>
      <c r="AB2685" s="4" t="s">
        <v>63</v>
      </c>
      <c r="AC2685" s="4" t="s">
        <v>67</v>
      </c>
      <c r="AD2685" s="4" t="s">
        <v>63</v>
      </c>
      <c r="AE2685" s="4" t="s">
        <v>63</v>
      </c>
      <c r="AF2685" s="4" t="s">
        <v>63</v>
      </c>
      <c r="AG2685" s="4" t="s">
        <v>22336</v>
      </c>
      <c r="AH2685" s="4" t="s">
        <v>63</v>
      </c>
      <c r="AI2685" s="4" t="s">
        <v>63</v>
      </c>
      <c r="AJ2685" s="4" t="s">
        <v>63</v>
      </c>
      <c r="AK2685" s="4" t="s">
        <v>63</v>
      </c>
      <c r="AL2685" s="4" t="s">
        <v>63</v>
      </c>
      <c r="AM2685" s="4" t="s">
        <v>22337</v>
      </c>
      <c r="AN2685" s="4" t="s">
        <v>63</v>
      </c>
      <c r="AO2685" s="4" t="s">
        <v>63</v>
      </c>
      <c r="AP2685" s="4" t="s">
        <v>63</v>
      </c>
      <c r="AQ2685" s="4" t="s">
        <v>63</v>
      </c>
      <c r="AR2685" s="4" t="s">
        <v>63</v>
      </c>
      <c r="AS2685" s="4" t="s">
        <v>63</v>
      </c>
      <c r="AT2685" s="4" t="s">
        <v>63</v>
      </c>
      <c r="AU2685" s="4" t="s">
        <v>63</v>
      </c>
      <c r="AV2685" s="4" t="s">
        <v>63</v>
      </c>
      <c r="AW2685" s="4" t="s">
        <v>63</v>
      </c>
      <c r="AX2685" s="4" t="s">
        <v>63</v>
      </c>
      <c r="AY2685" s="4" t="s">
        <v>63</v>
      </c>
      <c r="AZ2685" s="4" t="s">
        <v>63</v>
      </c>
      <c r="BA2685" s="4" t="s">
        <v>63</v>
      </c>
      <c r="BB2685" s="4" t="s">
        <v>63</v>
      </c>
      <c r="BC2685" s="4" t="s">
        <v>63</v>
      </c>
      <c r="BD2685" s="4" t="s">
        <v>63</v>
      </c>
      <c r="BE2685" s="4" t="s">
        <v>63</v>
      </c>
      <c r="BF2685" s="4" t="s">
        <v>63</v>
      </c>
    </row>
    <row r="2686" spans="1:58">
      <c r="A2686" s="4" t="s">
        <v>58</v>
      </c>
      <c r="B2686" s="4" t="s">
        <v>22338</v>
      </c>
      <c r="C2686" s="4" t="s">
        <v>22339</v>
      </c>
      <c r="D2686" s="4" t="s">
        <v>1212</v>
      </c>
      <c r="E2686" s="4" t="s">
        <v>63</v>
      </c>
      <c r="F2686" s="4">
        <v>2013</v>
      </c>
      <c r="G2686" s="4" t="s">
        <v>15449</v>
      </c>
      <c r="H2686" s="4">
        <v>7</v>
      </c>
      <c r="I2686" s="4">
        <v>4</v>
      </c>
      <c r="J2686" s="4" t="s">
        <v>22340</v>
      </c>
      <c r="K2686" s="4" t="s">
        <v>63</v>
      </c>
      <c r="L2686" s="4" t="s">
        <v>22341</v>
      </c>
      <c r="M2686" s="4" t="s">
        <v>22342</v>
      </c>
      <c r="N2686" s="4" t="s">
        <v>22343</v>
      </c>
      <c r="O2686" s="4" t="s">
        <v>63</v>
      </c>
      <c r="P2686" s="4"/>
      <c r="Q2686" s="4" t="s">
        <v>63</v>
      </c>
      <c r="R2686" s="4" t="s">
        <v>63</v>
      </c>
      <c r="S2686" s="4" t="s">
        <v>63</v>
      </c>
      <c r="T2686" s="4" t="s">
        <v>63</v>
      </c>
      <c r="U2686" s="4"/>
      <c r="V2686" s="4"/>
      <c r="W2686" s="4"/>
      <c r="X2686" s="4" t="s">
        <v>63</v>
      </c>
      <c r="Y2686" s="4" t="s">
        <v>1216</v>
      </c>
      <c r="Z2686" s="4" t="s">
        <v>63</v>
      </c>
      <c r="AA2686" s="4" t="s">
        <v>63</v>
      </c>
      <c r="AB2686" s="4" t="s">
        <v>63</v>
      </c>
      <c r="AC2686" s="4" t="s">
        <v>67</v>
      </c>
      <c r="AD2686" s="4" t="s">
        <v>63</v>
      </c>
      <c r="AE2686" s="4" t="s">
        <v>63</v>
      </c>
      <c r="AF2686" s="4" t="s">
        <v>63</v>
      </c>
      <c r="AG2686" s="4" t="s">
        <v>63</v>
      </c>
      <c r="AH2686" s="4" t="s">
        <v>63</v>
      </c>
      <c r="AI2686" s="4" t="s">
        <v>63</v>
      </c>
      <c r="AJ2686" s="4" t="s">
        <v>63</v>
      </c>
      <c r="AK2686" s="4" t="s">
        <v>63</v>
      </c>
      <c r="AL2686" s="4" t="s">
        <v>63</v>
      </c>
      <c r="AM2686" s="4" t="s">
        <v>22339</v>
      </c>
      <c r="AN2686" s="4" t="s">
        <v>63</v>
      </c>
      <c r="AO2686" s="4" t="s">
        <v>63</v>
      </c>
      <c r="AP2686" s="4" t="s">
        <v>63</v>
      </c>
      <c r="AQ2686" s="4" t="s">
        <v>63</v>
      </c>
      <c r="AR2686" s="4" t="s">
        <v>63</v>
      </c>
      <c r="AS2686" s="4" t="s">
        <v>63</v>
      </c>
      <c r="AT2686" s="4" t="s">
        <v>63</v>
      </c>
      <c r="AU2686" s="4" t="s">
        <v>63</v>
      </c>
      <c r="AV2686" s="4" t="s">
        <v>63</v>
      </c>
      <c r="AW2686" s="4" t="s">
        <v>63</v>
      </c>
      <c r="AX2686" s="4" t="s">
        <v>63</v>
      </c>
      <c r="AY2686" s="4" t="s">
        <v>63</v>
      </c>
      <c r="AZ2686" s="4" t="s">
        <v>63</v>
      </c>
      <c r="BA2686" s="4" t="s">
        <v>63</v>
      </c>
      <c r="BB2686" s="4" t="s">
        <v>63</v>
      </c>
      <c r="BC2686" s="4" t="s">
        <v>63</v>
      </c>
      <c r="BD2686" s="4" t="s">
        <v>63</v>
      </c>
      <c r="BE2686" s="4" t="s">
        <v>63</v>
      </c>
      <c r="BF2686" s="4" t="s">
        <v>63</v>
      </c>
    </row>
    <row r="2687" spans="1:58">
      <c r="A2687" s="4" t="s">
        <v>58</v>
      </c>
      <c r="B2687" s="4" t="s">
        <v>22344</v>
      </c>
      <c r="C2687" s="4" t="s">
        <v>22345</v>
      </c>
      <c r="D2687" s="4" t="s">
        <v>3984</v>
      </c>
      <c r="E2687" s="4" t="s">
        <v>63</v>
      </c>
      <c r="F2687" s="4">
        <v>2009</v>
      </c>
      <c r="G2687" s="4" t="s">
        <v>15165</v>
      </c>
      <c r="H2687" s="4">
        <v>10</v>
      </c>
      <c r="I2687" s="4">
        <v>4</v>
      </c>
      <c r="J2687" s="4" t="s">
        <v>17115</v>
      </c>
      <c r="K2687" s="4" t="s">
        <v>63</v>
      </c>
      <c r="L2687" s="4" t="s">
        <v>22346</v>
      </c>
      <c r="M2687" s="4" t="s">
        <v>22347</v>
      </c>
      <c r="N2687" s="4" t="s">
        <v>22348</v>
      </c>
      <c r="O2687" s="4" t="s">
        <v>63</v>
      </c>
      <c r="P2687" s="4"/>
      <c r="Q2687" s="4" t="s">
        <v>63</v>
      </c>
      <c r="R2687" s="4" t="s">
        <v>63</v>
      </c>
      <c r="S2687" s="4" t="s">
        <v>63</v>
      </c>
      <c r="T2687" s="4" t="s">
        <v>63</v>
      </c>
      <c r="U2687" s="4"/>
      <c r="V2687" s="4"/>
      <c r="W2687" s="4"/>
      <c r="X2687" s="4" t="s">
        <v>63</v>
      </c>
      <c r="Y2687" s="4" t="s">
        <v>5160</v>
      </c>
      <c r="Z2687" s="4" t="s">
        <v>63</v>
      </c>
      <c r="AA2687" s="4" t="s">
        <v>63</v>
      </c>
      <c r="AB2687" s="4" t="s">
        <v>63</v>
      </c>
      <c r="AC2687" s="4" t="s">
        <v>67</v>
      </c>
      <c r="AD2687" s="4" t="s">
        <v>63</v>
      </c>
      <c r="AE2687" s="4" t="s">
        <v>63</v>
      </c>
      <c r="AF2687" s="4" t="s">
        <v>63</v>
      </c>
      <c r="AG2687" s="4" t="s">
        <v>63</v>
      </c>
      <c r="AH2687" s="4" t="s">
        <v>63</v>
      </c>
      <c r="AI2687" s="4" t="s">
        <v>22349</v>
      </c>
      <c r="AJ2687" s="4" t="s">
        <v>63</v>
      </c>
      <c r="AK2687" s="4" t="s">
        <v>63</v>
      </c>
      <c r="AL2687" s="4" t="s">
        <v>63</v>
      </c>
      <c r="AM2687" s="4" t="s">
        <v>22345</v>
      </c>
      <c r="AN2687" s="4" t="s">
        <v>63</v>
      </c>
      <c r="AO2687" s="4" t="s">
        <v>63</v>
      </c>
      <c r="AP2687" s="4" t="s">
        <v>63</v>
      </c>
      <c r="AQ2687" s="4" t="s">
        <v>63</v>
      </c>
      <c r="AR2687" s="4" t="s">
        <v>63</v>
      </c>
      <c r="AS2687" s="4" t="s">
        <v>63</v>
      </c>
      <c r="AT2687" s="4" t="s">
        <v>63</v>
      </c>
      <c r="AU2687" s="4" t="s">
        <v>63</v>
      </c>
      <c r="AV2687" s="4" t="s">
        <v>63</v>
      </c>
      <c r="AW2687" s="4" t="s">
        <v>63</v>
      </c>
      <c r="AX2687" s="4" t="s">
        <v>63</v>
      </c>
      <c r="AY2687" s="4" t="s">
        <v>63</v>
      </c>
      <c r="AZ2687" s="4" t="s">
        <v>63</v>
      </c>
      <c r="BA2687" s="4" t="s">
        <v>63</v>
      </c>
      <c r="BB2687" s="4" t="s">
        <v>63</v>
      </c>
      <c r="BC2687" s="4" t="s">
        <v>63</v>
      </c>
      <c r="BD2687" s="4" t="s">
        <v>63</v>
      </c>
      <c r="BE2687" s="4" t="s">
        <v>63</v>
      </c>
      <c r="BF2687" s="4" t="s">
        <v>63</v>
      </c>
    </row>
    <row r="2688" spans="1:58">
      <c r="A2688" s="4" t="s">
        <v>58</v>
      </c>
      <c r="B2688" s="4" t="s">
        <v>22350</v>
      </c>
      <c r="C2688" s="4" t="s">
        <v>22351</v>
      </c>
      <c r="D2688" s="4" t="s">
        <v>938</v>
      </c>
      <c r="E2688" s="4" t="s">
        <v>63</v>
      </c>
      <c r="F2688" s="4">
        <v>2009</v>
      </c>
      <c r="G2688" s="4" t="s">
        <v>16182</v>
      </c>
      <c r="H2688" s="4">
        <v>18</v>
      </c>
      <c r="I2688" s="4">
        <v>4</v>
      </c>
      <c r="J2688" s="4">
        <v>323</v>
      </c>
      <c r="K2688" s="4" t="s">
        <v>63</v>
      </c>
      <c r="L2688" s="4" t="s">
        <v>22352</v>
      </c>
      <c r="M2688" s="4" t="s">
        <v>22353</v>
      </c>
      <c r="N2688" s="4" t="s">
        <v>22354</v>
      </c>
      <c r="O2688" s="4" t="s">
        <v>63</v>
      </c>
      <c r="P2688" s="4"/>
      <c r="Q2688" s="4" t="s">
        <v>63</v>
      </c>
      <c r="R2688" s="4" t="s">
        <v>63</v>
      </c>
      <c r="S2688" s="4" t="s">
        <v>63</v>
      </c>
      <c r="T2688" s="4" t="s">
        <v>63</v>
      </c>
      <c r="U2688" s="4"/>
      <c r="V2688" s="4"/>
      <c r="W2688" s="4"/>
      <c r="X2688" s="4" t="s">
        <v>63</v>
      </c>
      <c r="Y2688" s="4" t="s">
        <v>2500</v>
      </c>
      <c r="Z2688" s="4" t="s">
        <v>63</v>
      </c>
      <c r="AA2688" s="4" t="s">
        <v>63</v>
      </c>
      <c r="AB2688" s="4" t="s">
        <v>63</v>
      </c>
      <c r="AC2688" s="4" t="s">
        <v>67</v>
      </c>
      <c r="AD2688" s="4" t="s">
        <v>63</v>
      </c>
      <c r="AE2688" s="4" t="s">
        <v>63</v>
      </c>
      <c r="AF2688" s="4" t="s">
        <v>63</v>
      </c>
      <c r="AG2688" s="4" t="s">
        <v>63</v>
      </c>
      <c r="AH2688" s="4" t="s">
        <v>63</v>
      </c>
      <c r="AI2688" s="4" t="s">
        <v>17560</v>
      </c>
      <c r="AJ2688" s="4" t="s">
        <v>63</v>
      </c>
      <c r="AK2688" s="4" t="s">
        <v>63</v>
      </c>
      <c r="AL2688" s="4" t="s">
        <v>63</v>
      </c>
      <c r="AM2688" s="4" t="s">
        <v>22351</v>
      </c>
      <c r="AN2688" s="4" t="s">
        <v>63</v>
      </c>
      <c r="AO2688" s="4" t="s">
        <v>63</v>
      </c>
      <c r="AP2688" s="4" t="s">
        <v>63</v>
      </c>
      <c r="AQ2688" s="4" t="s">
        <v>63</v>
      </c>
      <c r="AR2688" s="4" t="s">
        <v>63</v>
      </c>
      <c r="AS2688" s="4" t="s">
        <v>63</v>
      </c>
      <c r="AT2688" s="4" t="s">
        <v>63</v>
      </c>
      <c r="AU2688" s="4" t="s">
        <v>63</v>
      </c>
      <c r="AV2688" s="4" t="s">
        <v>63</v>
      </c>
      <c r="AW2688" s="4" t="s">
        <v>63</v>
      </c>
      <c r="AX2688" s="4" t="s">
        <v>63</v>
      </c>
      <c r="AY2688" s="4" t="s">
        <v>63</v>
      </c>
      <c r="AZ2688" s="4" t="s">
        <v>63</v>
      </c>
      <c r="BA2688" s="4" t="s">
        <v>63</v>
      </c>
      <c r="BB2688" s="4" t="s">
        <v>63</v>
      </c>
      <c r="BC2688" s="4" t="s">
        <v>63</v>
      </c>
      <c r="BD2688" s="4" t="s">
        <v>63</v>
      </c>
      <c r="BE2688" s="4" t="s">
        <v>63</v>
      </c>
      <c r="BF2688" s="4" t="s">
        <v>63</v>
      </c>
    </row>
    <row r="2689" spans="1:58">
      <c r="A2689" s="4" t="s">
        <v>58</v>
      </c>
      <c r="B2689" s="4" t="s">
        <v>22355</v>
      </c>
      <c r="C2689" s="4" t="s">
        <v>22356</v>
      </c>
      <c r="D2689" s="4" t="s">
        <v>574</v>
      </c>
      <c r="E2689" s="4" t="s">
        <v>63</v>
      </c>
      <c r="F2689" s="4">
        <v>2009</v>
      </c>
      <c r="G2689" s="4" t="s">
        <v>15526</v>
      </c>
      <c r="H2689" s="4">
        <v>10</v>
      </c>
      <c r="I2689" s="4">
        <v>1</v>
      </c>
      <c r="J2689" s="4">
        <v>269</v>
      </c>
      <c r="K2689" s="4" t="s">
        <v>63</v>
      </c>
      <c r="L2689" s="4" t="s">
        <v>22357</v>
      </c>
      <c r="M2689" s="4" t="s">
        <v>22358</v>
      </c>
      <c r="N2689" s="4" t="s">
        <v>22359</v>
      </c>
      <c r="O2689" s="4" t="s">
        <v>63</v>
      </c>
      <c r="P2689" s="4"/>
      <c r="Q2689" s="4" t="s">
        <v>63</v>
      </c>
      <c r="R2689" s="4" t="s">
        <v>63</v>
      </c>
      <c r="S2689" s="4" t="s">
        <v>63</v>
      </c>
      <c r="T2689" s="4" t="s">
        <v>63</v>
      </c>
      <c r="U2689" s="4"/>
      <c r="V2689" s="4"/>
      <c r="W2689" s="4"/>
      <c r="X2689" s="4" t="s">
        <v>63</v>
      </c>
      <c r="Y2689" s="4" t="s">
        <v>4483</v>
      </c>
      <c r="Z2689" s="4" t="s">
        <v>63</v>
      </c>
      <c r="AA2689" s="4" t="s">
        <v>63</v>
      </c>
      <c r="AB2689" s="4" t="s">
        <v>63</v>
      </c>
      <c r="AC2689" s="4" t="s">
        <v>67</v>
      </c>
      <c r="AD2689" s="4" t="s">
        <v>63</v>
      </c>
      <c r="AE2689" s="4" t="s">
        <v>63</v>
      </c>
      <c r="AF2689" s="4" t="s">
        <v>63</v>
      </c>
      <c r="AG2689" s="4" t="s">
        <v>63</v>
      </c>
      <c r="AH2689" s="4" t="s">
        <v>63</v>
      </c>
      <c r="AI2689" s="4" t="s">
        <v>18621</v>
      </c>
      <c r="AJ2689" s="4" t="s">
        <v>63</v>
      </c>
      <c r="AK2689" s="4" t="s">
        <v>63</v>
      </c>
      <c r="AL2689" s="4" t="s">
        <v>63</v>
      </c>
      <c r="AM2689" s="4" t="s">
        <v>22356</v>
      </c>
      <c r="AN2689" s="4" t="s">
        <v>63</v>
      </c>
      <c r="AO2689" s="4" t="s">
        <v>63</v>
      </c>
      <c r="AP2689" s="4" t="s">
        <v>63</v>
      </c>
      <c r="AQ2689" s="4" t="s">
        <v>63</v>
      </c>
      <c r="AR2689" s="4" t="s">
        <v>63</v>
      </c>
      <c r="AS2689" s="4" t="s">
        <v>63</v>
      </c>
      <c r="AT2689" s="4" t="s">
        <v>63</v>
      </c>
      <c r="AU2689" s="4" t="s">
        <v>63</v>
      </c>
      <c r="AV2689" s="4" t="s">
        <v>63</v>
      </c>
      <c r="AW2689" s="4" t="s">
        <v>63</v>
      </c>
      <c r="AX2689" s="4" t="s">
        <v>63</v>
      </c>
      <c r="AY2689" s="4" t="s">
        <v>63</v>
      </c>
      <c r="AZ2689" s="4" t="s">
        <v>63</v>
      </c>
      <c r="BA2689" s="4" t="s">
        <v>63</v>
      </c>
      <c r="BB2689" s="4" t="s">
        <v>63</v>
      </c>
      <c r="BC2689" s="4" t="s">
        <v>63</v>
      </c>
      <c r="BD2689" s="4" t="s">
        <v>63</v>
      </c>
      <c r="BE2689" s="4" t="s">
        <v>63</v>
      </c>
      <c r="BF2689" s="4" t="s">
        <v>63</v>
      </c>
    </row>
    <row r="2690" spans="1:58">
      <c r="A2690" s="4" t="s">
        <v>58</v>
      </c>
      <c r="B2690" s="4" t="s">
        <v>22360</v>
      </c>
      <c r="C2690" s="4" t="s">
        <v>22361</v>
      </c>
      <c r="D2690" s="4" t="s">
        <v>574</v>
      </c>
      <c r="E2690" s="4" t="s">
        <v>63</v>
      </c>
      <c r="F2690" s="4">
        <v>2010</v>
      </c>
      <c r="G2690" s="4" t="s">
        <v>15665</v>
      </c>
      <c r="H2690" s="4">
        <v>11</v>
      </c>
      <c r="I2690" s="4">
        <v>2</v>
      </c>
      <c r="J2690" s="4">
        <v>332</v>
      </c>
      <c r="K2690" s="4">
        <v>333</v>
      </c>
      <c r="L2690" s="4" t="s">
        <v>22362</v>
      </c>
      <c r="M2690" s="4" t="s">
        <v>22363</v>
      </c>
      <c r="N2690" s="4" t="s">
        <v>22364</v>
      </c>
      <c r="O2690" s="4" t="s">
        <v>63</v>
      </c>
      <c r="P2690" s="4"/>
      <c r="Q2690" s="4" t="s">
        <v>63</v>
      </c>
      <c r="R2690" s="4" t="s">
        <v>63</v>
      </c>
      <c r="S2690" s="4" t="s">
        <v>63</v>
      </c>
      <c r="T2690" s="4" t="s">
        <v>63</v>
      </c>
      <c r="U2690" s="4"/>
      <c r="V2690" s="4"/>
      <c r="W2690" s="4"/>
      <c r="X2690" s="4" t="s">
        <v>63</v>
      </c>
      <c r="Y2690" s="4" t="s">
        <v>4483</v>
      </c>
      <c r="Z2690" s="4" t="s">
        <v>63</v>
      </c>
      <c r="AA2690" s="4" t="s">
        <v>63</v>
      </c>
      <c r="AB2690" s="4" t="s">
        <v>63</v>
      </c>
      <c r="AC2690" s="4" t="s">
        <v>67</v>
      </c>
      <c r="AD2690" s="4" t="s">
        <v>63</v>
      </c>
      <c r="AE2690" s="4" t="s">
        <v>63</v>
      </c>
      <c r="AF2690" s="4" t="s">
        <v>63</v>
      </c>
      <c r="AG2690" s="4" t="s">
        <v>63</v>
      </c>
      <c r="AH2690" s="4" t="s">
        <v>63</v>
      </c>
      <c r="AI2690" s="4" t="s">
        <v>16475</v>
      </c>
      <c r="AJ2690" s="4" t="s">
        <v>63</v>
      </c>
      <c r="AK2690" s="4" t="s">
        <v>63</v>
      </c>
      <c r="AL2690" s="4" t="s">
        <v>63</v>
      </c>
      <c r="AM2690" s="4" t="s">
        <v>22361</v>
      </c>
      <c r="AN2690" s="4" t="s">
        <v>63</v>
      </c>
      <c r="AO2690" s="4" t="s">
        <v>63</v>
      </c>
      <c r="AP2690" s="4" t="s">
        <v>63</v>
      </c>
      <c r="AQ2690" s="4" t="s">
        <v>63</v>
      </c>
      <c r="AR2690" s="4" t="s">
        <v>63</v>
      </c>
      <c r="AS2690" s="4" t="s">
        <v>63</v>
      </c>
      <c r="AT2690" s="4" t="s">
        <v>63</v>
      </c>
      <c r="AU2690" s="4" t="s">
        <v>63</v>
      </c>
      <c r="AV2690" s="4" t="s">
        <v>63</v>
      </c>
      <c r="AW2690" s="4" t="s">
        <v>63</v>
      </c>
      <c r="AX2690" s="4" t="s">
        <v>63</v>
      </c>
      <c r="AY2690" s="4" t="s">
        <v>63</v>
      </c>
      <c r="AZ2690" s="4" t="s">
        <v>63</v>
      </c>
      <c r="BA2690" s="4" t="s">
        <v>63</v>
      </c>
      <c r="BB2690" s="4" t="s">
        <v>63</v>
      </c>
      <c r="BC2690" s="4" t="s">
        <v>63</v>
      </c>
      <c r="BD2690" s="4" t="s">
        <v>63</v>
      </c>
      <c r="BE2690" s="4" t="s">
        <v>63</v>
      </c>
      <c r="BF2690" s="4" t="s">
        <v>63</v>
      </c>
    </row>
    <row r="2691" spans="1:58">
      <c r="A2691" s="4" t="s">
        <v>58</v>
      </c>
      <c r="B2691" s="4" t="s">
        <v>22365</v>
      </c>
      <c r="C2691" s="4" t="s">
        <v>22366</v>
      </c>
      <c r="D2691" s="4" t="s">
        <v>17894</v>
      </c>
      <c r="E2691" s="4" t="s">
        <v>17895</v>
      </c>
      <c r="F2691" s="4">
        <v>2017</v>
      </c>
      <c r="G2691" s="4">
        <v>1</v>
      </c>
      <c r="H2691" s="4">
        <v>56</v>
      </c>
      <c r="I2691" s="4">
        <v>10</v>
      </c>
      <c r="J2691" s="4" t="s">
        <v>22367</v>
      </c>
      <c r="K2691" s="4" t="s">
        <v>63</v>
      </c>
      <c r="L2691" s="4" t="s">
        <v>22368</v>
      </c>
      <c r="M2691" s="4" t="s">
        <v>22369</v>
      </c>
      <c r="N2691" s="4" t="s">
        <v>22370</v>
      </c>
      <c r="O2691" s="4" t="s">
        <v>63</v>
      </c>
      <c r="P2691" s="4"/>
      <c r="Q2691" s="4" t="s">
        <v>63</v>
      </c>
      <c r="R2691" s="4" t="s">
        <v>63</v>
      </c>
      <c r="S2691" s="4" t="s">
        <v>63</v>
      </c>
      <c r="T2691" s="4" t="s">
        <v>63</v>
      </c>
      <c r="U2691" s="4"/>
      <c r="V2691" s="4"/>
      <c r="W2691" s="4"/>
      <c r="X2691" s="4" t="s">
        <v>63</v>
      </c>
      <c r="Y2691" s="4" t="s">
        <v>17899</v>
      </c>
      <c r="Z2691" s="4" t="s">
        <v>63</v>
      </c>
      <c r="AA2691" s="4" t="s">
        <v>63</v>
      </c>
      <c r="AB2691" s="4" t="s">
        <v>63</v>
      </c>
      <c r="AC2691" s="4" t="s">
        <v>67</v>
      </c>
      <c r="AD2691" s="4" t="s">
        <v>63</v>
      </c>
      <c r="AE2691" s="4" t="s">
        <v>63</v>
      </c>
      <c r="AF2691" s="4" t="s">
        <v>63</v>
      </c>
      <c r="AG2691" s="4" t="s">
        <v>63</v>
      </c>
      <c r="AH2691" s="4" t="s">
        <v>63</v>
      </c>
      <c r="AI2691" s="4" t="s">
        <v>22371</v>
      </c>
      <c r="AJ2691" s="4" t="s">
        <v>63</v>
      </c>
      <c r="AK2691" s="4" t="s">
        <v>63</v>
      </c>
      <c r="AL2691" s="4" t="s">
        <v>63</v>
      </c>
      <c r="AM2691" s="4" t="s">
        <v>22366</v>
      </c>
      <c r="AN2691" s="4" t="s">
        <v>63</v>
      </c>
      <c r="AO2691" s="4" t="s">
        <v>63</v>
      </c>
      <c r="AP2691" s="4" t="s">
        <v>63</v>
      </c>
      <c r="AQ2691" s="4" t="s">
        <v>63</v>
      </c>
      <c r="AR2691" s="4" t="s">
        <v>63</v>
      </c>
      <c r="AS2691" s="4" t="s">
        <v>63</v>
      </c>
      <c r="AT2691" s="4" t="s">
        <v>63</v>
      </c>
      <c r="AU2691" s="4" t="s">
        <v>63</v>
      </c>
      <c r="AV2691" s="4" t="s">
        <v>63</v>
      </c>
      <c r="AW2691" s="4" t="s">
        <v>63</v>
      </c>
      <c r="AX2691" s="4" t="s">
        <v>63</v>
      </c>
      <c r="AY2691" s="4" t="s">
        <v>63</v>
      </c>
      <c r="AZ2691" s="4" t="s">
        <v>63</v>
      </c>
      <c r="BA2691" s="4" t="s">
        <v>63</v>
      </c>
      <c r="BB2691" s="4" t="s">
        <v>63</v>
      </c>
      <c r="BC2691" s="4" t="s">
        <v>63</v>
      </c>
      <c r="BD2691" s="4" t="s">
        <v>63</v>
      </c>
      <c r="BE2691" s="4" t="s">
        <v>63</v>
      </c>
      <c r="BF2691" s="4" t="s">
        <v>63</v>
      </c>
    </row>
    <row r="2692" spans="1:58">
      <c r="A2692" s="4" t="s">
        <v>58</v>
      </c>
      <c r="B2692" s="4" t="s">
        <v>22372</v>
      </c>
      <c r="C2692" s="4" t="s">
        <v>22373</v>
      </c>
      <c r="D2692" s="4" t="s">
        <v>371</v>
      </c>
      <c r="E2692" s="4" t="s">
        <v>63</v>
      </c>
      <c r="F2692" s="4">
        <v>2016</v>
      </c>
      <c r="G2692" s="4" t="s">
        <v>189</v>
      </c>
      <c r="H2692" s="4">
        <v>31</v>
      </c>
      <c r="I2692" s="4">
        <v>2</v>
      </c>
      <c r="J2692" s="4" t="s">
        <v>22374</v>
      </c>
      <c r="K2692" s="4" t="s">
        <v>63</v>
      </c>
      <c r="L2692" s="4" t="s">
        <v>22375</v>
      </c>
      <c r="M2692" s="4" t="s">
        <v>22376</v>
      </c>
      <c r="N2692" s="4" t="s">
        <v>22377</v>
      </c>
      <c r="O2692" s="4" t="s">
        <v>63</v>
      </c>
      <c r="P2692" s="4"/>
      <c r="Q2692" s="4" t="s">
        <v>63</v>
      </c>
      <c r="R2692" s="4" t="s">
        <v>63</v>
      </c>
      <c r="S2692" s="4" t="s">
        <v>63</v>
      </c>
      <c r="T2692" s="4" t="s">
        <v>63</v>
      </c>
      <c r="U2692" s="4"/>
      <c r="V2692" s="4"/>
      <c r="W2692" s="4"/>
      <c r="X2692" s="4" t="s">
        <v>63</v>
      </c>
      <c r="Y2692" s="4" t="s">
        <v>547</v>
      </c>
      <c r="Z2692" s="4" t="s">
        <v>63</v>
      </c>
      <c r="AA2692" s="4" t="s">
        <v>63</v>
      </c>
      <c r="AB2692" s="4" t="s">
        <v>63</v>
      </c>
      <c r="AC2692" s="4" t="s">
        <v>67</v>
      </c>
      <c r="AD2692" s="4" t="s">
        <v>63</v>
      </c>
      <c r="AE2692" s="4" t="s">
        <v>63</v>
      </c>
      <c r="AF2692" s="4" t="s">
        <v>63</v>
      </c>
      <c r="AG2692" s="4" t="s">
        <v>63</v>
      </c>
      <c r="AH2692" s="4" t="s">
        <v>63</v>
      </c>
      <c r="AI2692" s="4" t="s">
        <v>63</v>
      </c>
      <c r="AJ2692" s="4" t="s">
        <v>63</v>
      </c>
      <c r="AK2692" s="4" t="s">
        <v>63</v>
      </c>
      <c r="AL2692" s="4" t="s">
        <v>63</v>
      </c>
      <c r="AM2692" s="4" t="s">
        <v>22373</v>
      </c>
      <c r="AN2692" s="4" t="s">
        <v>63</v>
      </c>
      <c r="AO2692" s="4" t="s">
        <v>63</v>
      </c>
      <c r="AP2692" s="4" t="s">
        <v>63</v>
      </c>
      <c r="AQ2692" s="4" t="s">
        <v>63</v>
      </c>
      <c r="AR2692" s="4" t="s">
        <v>63</v>
      </c>
      <c r="AS2692" s="4" t="s">
        <v>63</v>
      </c>
      <c r="AT2692" s="4" t="s">
        <v>63</v>
      </c>
      <c r="AU2692" s="4" t="s">
        <v>63</v>
      </c>
      <c r="AV2692" s="4" t="s">
        <v>63</v>
      </c>
      <c r="AW2692" s="4" t="s">
        <v>63</v>
      </c>
      <c r="AX2692" s="4" t="s">
        <v>63</v>
      </c>
      <c r="AY2692" s="4" t="s">
        <v>63</v>
      </c>
      <c r="AZ2692" s="4" t="s">
        <v>63</v>
      </c>
      <c r="BA2692" s="4" t="s">
        <v>63</v>
      </c>
      <c r="BB2692" s="4" t="s">
        <v>63</v>
      </c>
      <c r="BC2692" s="4" t="s">
        <v>63</v>
      </c>
      <c r="BD2692" s="4" t="s">
        <v>63</v>
      </c>
      <c r="BE2692" s="4" t="s">
        <v>63</v>
      </c>
      <c r="BF2692" s="4" t="s">
        <v>63</v>
      </c>
    </row>
    <row r="2693" spans="1:58">
      <c r="A2693" s="4" t="s">
        <v>58</v>
      </c>
      <c r="B2693" s="4" t="s">
        <v>22378</v>
      </c>
      <c r="C2693" s="4" t="s">
        <v>22379</v>
      </c>
      <c r="D2693" s="4" t="s">
        <v>18008</v>
      </c>
      <c r="E2693" s="4" t="s">
        <v>18009</v>
      </c>
      <c r="F2693" s="4">
        <v>1992</v>
      </c>
      <c r="G2693" s="4" t="s">
        <v>63</v>
      </c>
      <c r="H2693" s="4">
        <v>147</v>
      </c>
      <c r="I2693" s="4">
        <v>1</v>
      </c>
      <c r="J2693" s="4">
        <v>16</v>
      </c>
      <c r="K2693" s="4">
        <v>19</v>
      </c>
      <c r="L2693" s="4" t="s">
        <v>22380</v>
      </c>
      <c r="M2693" s="4" t="s">
        <v>63</v>
      </c>
      <c r="N2693" s="4" t="s">
        <v>22381</v>
      </c>
      <c r="O2693" s="4" t="s">
        <v>63</v>
      </c>
      <c r="P2693" s="4"/>
      <c r="Q2693" s="4" t="s">
        <v>63</v>
      </c>
      <c r="R2693" s="4" t="s">
        <v>63</v>
      </c>
      <c r="S2693" s="4" t="s">
        <v>63</v>
      </c>
      <c r="T2693" s="4" t="s">
        <v>63</v>
      </c>
      <c r="U2693" s="4"/>
      <c r="V2693" s="4"/>
      <c r="W2693" s="4"/>
      <c r="X2693" s="4" t="s">
        <v>63</v>
      </c>
      <c r="Y2693" s="4" t="s">
        <v>22382</v>
      </c>
      <c r="Z2693" s="4" t="s">
        <v>63</v>
      </c>
      <c r="AA2693" s="4" t="s">
        <v>63</v>
      </c>
      <c r="AB2693" s="4">
        <v>1992247340</v>
      </c>
      <c r="AC2693" s="4" t="s">
        <v>67</v>
      </c>
      <c r="AD2693" s="4" t="s">
        <v>63</v>
      </c>
      <c r="AE2693" s="4" t="s">
        <v>63</v>
      </c>
      <c r="AF2693" s="4" t="s">
        <v>63</v>
      </c>
      <c r="AG2693" s="4" t="s">
        <v>22383</v>
      </c>
      <c r="AH2693" s="4" t="s">
        <v>63</v>
      </c>
      <c r="AI2693" s="4" t="s">
        <v>63</v>
      </c>
      <c r="AJ2693" s="4" t="s">
        <v>63</v>
      </c>
      <c r="AK2693" s="4" t="s">
        <v>63</v>
      </c>
      <c r="AL2693" s="4" t="s">
        <v>63</v>
      </c>
      <c r="AM2693" s="4" t="s">
        <v>22384</v>
      </c>
      <c r="AN2693" s="4" t="s">
        <v>63</v>
      </c>
      <c r="AO2693" s="4" t="s">
        <v>63</v>
      </c>
      <c r="AP2693" s="4" t="s">
        <v>63</v>
      </c>
      <c r="AQ2693" s="4" t="s">
        <v>63</v>
      </c>
      <c r="AR2693" s="4" t="s">
        <v>63</v>
      </c>
      <c r="AS2693" s="4" t="s">
        <v>63</v>
      </c>
      <c r="AT2693" s="4" t="s">
        <v>63</v>
      </c>
      <c r="AU2693" s="4" t="s">
        <v>63</v>
      </c>
      <c r="AV2693" s="4" t="s">
        <v>63</v>
      </c>
      <c r="AW2693" s="4" t="s">
        <v>63</v>
      </c>
      <c r="AX2693" s="4" t="s">
        <v>63</v>
      </c>
      <c r="AY2693" s="4" t="s">
        <v>63</v>
      </c>
      <c r="AZ2693" s="4" t="s">
        <v>63</v>
      </c>
      <c r="BA2693" s="4" t="s">
        <v>63</v>
      </c>
      <c r="BB2693" s="4" t="s">
        <v>63</v>
      </c>
      <c r="BC2693" s="4" t="s">
        <v>63</v>
      </c>
      <c r="BD2693" s="4" t="s">
        <v>63</v>
      </c>
      <c r="BE2693" s="4" t="s">
        <v>63</v>
      </c>
      <c r="BF2693" s="4" t="s">
        <v>63</v>
      </c>
    </row>
    <row r="2694" spans="1:58">
      <c r="A2694" s="4" t="s">
        <v>58</v>
      </c>
      <c r="B2694" s="4" t="s">
        <v>22385</v>
      </c>
      <c r="C2694" s="4" t="s">
        <v>22386</v>
      </c>
      <c r="D2694" s="4" t="s">
        <v>22387</v>
      </c>
      <c r="E2694" s="4" t="s">
        <v>63</v>
      </c>
      <c r="F2694" s="4">
        <v>2012</v>
      </c>
      <c r="G2694" s="4" t="s">
        <v>16091</v>
      </c>
      <c r="H2694" s="4">
        <v>27</v>
      </c>
      <c r="I2694" s="4">
        <v>5</v>
      </c>
      <c r="J2694" s="4">
        <v>274</v>
      </c>
      <c r="K2694" s="4">
        <v>282</v>
      </c>
      <c r="L2694" s="4" t="s">
        <v>22388</v>
      </c>
      <c r="M2694" s="4" t="s">
        <v>22389</v>
      </c>
      <c r="N2694" s="4" t="s">
        <v>22390</v>
      </c>
      <c r="O2694" s="4" t="s">
        <v>63</v>
      </c>
      <c r="P2694" s="4"/>
      <c r="Q2694" s="4" t="s">
        <v>63</v>
      </c>
      <c r="R2694" s="4" t="s">
        <v>63</v>
      </c>
      <c r="S2694" s="4" t="s">
        <v>63</v>
      </c>
      <c r="T2694" s="4" t="s">
        <v>63</v>
      </c>
      <c r="U2694" s="4"/>
      <c r="V2694" s="4"/>
      <c r="W2694" s="4"/>
      <c r="X2694" s="4" t="s">
        <v>63</v>
      </c>
      <c r="Y2694" s="4" t="s">
        <v>22391</v>
      </c>
      <c r="Z2694" s="4" t="s">
        <v>63</v>
      </c>
      <c r="AA2694" s="4" t="s">
        <v>63</v>
      </c>
      <c r="AB2694" s="4" t="s">
        <v>22392</v>
      </c>
      <c r="AC2694" s="4" t="s">
        <v>1371</v>
      </c>
      <c r="AD2694" s="4" t="s">
        <v>63</v>
      </c>
      <c r="AE2694" s="4" t="s">
        <v>63</v>
      </c>
      <c r="AF2694" s="4" t="s">
        <v>63</v>
      </c>
      <c r="AG2694" s="4" t="s">
        <v>63</v>
      </c>
      <c r="AH2694" s="4" t="s">
        <v>63</v>
      </c>
      <c r="AI2694" s="4" t="s">
        <v>22393</v>
      </c>
      <c r="AJ2694" s="4" t="s">
        <v>63</v>
      </c>
      <c r="AK2694" s="4" t="s">
        <v>63</v>
      </c>
      <c r="AL2694" s="4" t="s">
        <v>63</v>
      </c>
      <c r="AM2694" s="4" t="s">
        <v>22386</v>
      </c>
      <c r="AN2694" s="4" t="s">
        <v>63</v>
      </c>
      <c r="AO2694" s="4" t="s">
        <v>63</v>
      </c>
      <c r="AP2694" s="4" t="s">
        <v>63</v>
      </c>
      <c r="AQ2694" s="4" t="s">
        <v>63</v>
      </c>
      <c r="AR2694" s="4" t="s">
        <v>63</v>
      </c>
      <c r="AS2694" s="4" t="s">
        <v>63</v>
      </c>
      <c r="AT2694" s="4" t="s">
        <v>63</v>
      </c>
      <c r="AU2694" s="4" t="s">
        <v>63</v>
      </c>
      <c r="AV2694" s="4" t="s">
        <v>63</v>
      </c>
      <c r="AW2694" s="4" t="s">
        <v>63</v>
      </c>
      <c r="AX2694" s="4" t="s">
        <v>63</v>
      </c>
      <c r="AY2694" s="4" t="s">
        <v>63</v>
      </c>
      <c r="AZ2694" s="4" t="s">
        <v>63</v>
      </c>
      <c r="BA2694" s="4" t="s">
        <v>63</v>
      </c>
      <c r="BB2694" s="4" t="s">
        <v>63</v>
      </c>
      <c r="BC2694" s="4" t="s">
        <v>63</v>
      </c>
      <c r="BD2694" s="4" t="s">
        <v>63</v>
      </c>
      <c r="BE2694" s="4" t="s">
        <v>63</v>
      </c>
      <c r="BF2694" s="4" t="s">
        <v>63</v>
      </c>
    </row>
    <row r="2695" spans="1:58">
      <c r="A2695" s="4" t="s">
        <v>58</v>
      </c>
      <c r="B2695" s="4" t="s">
        <v>22394</v>
      </c>
      <c r="C2695" s="4" t="s">
        <v>22395</v>
      </c>
      <c r="D2695" s="4" t="s">
        <v>17937</v>
      </c>
      <c r="E2695" s="4" t="s">
        <v>63</v>
      </c>
      <c r="F2695" s="4">
        <v>2014</v>
      </c>
      <c r="G2695" s="4" t="s">
        <v>63</v>
      </c>
      <c r="H2695" s="4">
        <v>20</v>
      </c>
      <c r="I2695" s="4">
        <v>3</v>
      </c>
      <c r="J2695" s="4">
        <v>126</v>
      </c>
      <c r="K2695" s="4">
        <v>127</v>
      </c>
      <c r="L2695" s="4" t="s">
        <v>22396</v>
      </c>
      <c r="M2695" s="4" t="s">
        <v>22397</v>
      </c>
      <c r="N2695" s="4" t="s">
        <v>22398</v>
      </c>
      <c r="O2695" s="4" t="s">
        <v>63</v>
      </c>
      <c r="P2695" s="4"/>
      <c r="Q2695" s="4" t="s">
        <v>63</v>
      </c>
      <c r="R2695" s="4" t="s">
        <v>63</v>
      </c>
      <c r="S2695" s="4" t="s">
        <v>63</v>
      </c>
      <c r="T2695" s="4" t="s">
        <v>63</v>
      </c>
      <c r="U2695" s="4"/>
      <c r="V2695" s="4"/>
      <c r="W2695" s="4"/>
      <c r="X2695" s="4" t="s">
        <v>63</v>
      </c>
      <c r="Y2695" s="4" t="s">
        <v>17941</v>
      </c>
      <c r="Z2695" s="4" t="s">
        <v>63</v>
      </c>
      <c r="AA2695" s="4" t="s">
        <v>63</v>
      </c>
      <c r="AB2695" s="4" t="s">
        <v>63</v>
      </c>
      <c r="AC2695" s="4" t="s">
        <v>67</v>
      </c>
      <c r="AD2695" s="4" t="s">
        <v>63</v>
      </c>
      <c r="AE2695" s="4" t="s">
        <v>63</v>
      </c>
      <c r="AF2695" s="4" t="s">
        <v>63</v>
      </c>
      <c r="AG2695" s="4" t="s">
        <v>63</v>
      </c>
      <c r="AH2695" s="4" t="s">
        <v>63</v>
      </c>
      <c r="AI2695" s="4" t="s">
        <v>17942</v>
      </c>
      <c r="AJ2695" s="4" t="s">
        <v>63</v>
      </c>
      <c r="AK2695" s="4" t="s">
        <v>63</v>
      </c>
      <c r="AL2695" s="4" t="s">
        <v>63</v>
      </c>
      <c r="AM2695" s="4" t="s">
        <v>22395</v>
      </c>
      <c r="AN2695" s="4" t="s">
        <v>63</v>
      </c>
      <c r="AO2695" s="4" t="s">
        <v>63</v>
      </c>
      <c r="AP2695" s="4" t="s">
        <v>63</v>
      </c>
      <c r="AQ2695" s="4" t="s">
        <v>63</v>
      </c>
      <c r="AR2695" s="4" t="s">
        <v>63</v>
      </c>
      <c r="AS2695" s="4" t="s">
        <v>63</v>
      </c>
      <c r="AT2695" s="4" t="s">
        <v>63</v>
      </c>
      <c r="AU2695" s="4" t="s">
        <v>63</v>
      </c>
      <c r="AV2695" s="4" t="s">
        <v>63</v>
      </c>
      <c r="AW2695" s="4" t="s">
        <v>63</v>
      </c>
      <c r="AX2695" s="4" t="s">
        <v>63</v>
      </c>
      <c r="AY2695" s="4" t="s">
        <v>63</v>
      </c>
      <c r="AZ2695" s="4" t="s">
        <v>63</v>
      </c>
      <c r="BA2695" s="4" t="s">
        <v>63</v>
      </c>
      <c r="BB2695" s="4" t="s">
        <v>63</v>
      </c>
      <c r="BC2695" s="4" t="s">
        <v>63</v>
      </c>
      <c r="BD2695" s="4" t="s">
        <v>63</v>
      </c>
      <c r="BE2695" s="4" t="s">
        <v>63</v>
      </c>
      <c r="BF2695" s="4" t="s">
        <v>63</v>
      </c>
    </row>
    <row r="2696" spans="1:58">
      <c r="A2696" s="4" t="s">
        <v>58</v>
      </c>
      <c r="B2696" s="4" t="s">
        <v>22399</v>
      </c>
      <c r="C2696" s="4" t="s">
        <v>22400</v>
      </c>
      <c r="D2696" s="4" t="s">
        <v>1212</v>
      </c>
      <c r="E2696" s="4" t="s">
        <v>63</v>
      </c>
      <c r="F2696" s="4">
        <v>2014</v>
      </c>
      <c r="G2696" s="4" t="s">
        <v>15526</v>
      </c>
      <c r="H2696" s="4">
        <v>8</v>
      </c>
      <c r="I2696" s="4">
        <v>1</v>
      </c>
      <c r="J2696" s="4">
        <v>6</v>
      </c>
      <c r="K2696" s="4">
        <v>13</v>
      </c>
      <c r="L2696" s="4" t="s">
        <v>22401</v>
      </c>
      <c r="M2696" s="4" t="s">
        <v>22402</v>
      </c>
      <c r="N2696" s="4" t="s">
        <v>22403</v>
      </c>
      <c r="O2696" s="4" t="s">
        <v>63</v>
      </c>
      <c r="P2696" s="4"/>
      <c r="Q2696" s="4" t="s">
        <v>63</v>
      </c>
      <c r="R2696" s="4" t="s">
        <v>63</v>
      </c>
      <c r="S2696" s="4" t="s">
        <v>63</v>
      </c>
      <c r="T2696" s="4" t="s">
        <v>63</v>
      </c>
      <c r="U2696" s="4"/>
      <c r="V2696" s="4"/>
      <c r="W2696" s="4"/>
      <c r="X2696" s="4" t="s">
        <v>63</v>
      </c>
      <c r="Y2696" s="4" t="s">
        <v>15084</v>
      </c>
      <c r="Z2696" s="4" t="s">
        <v>63</v>
      </c>
      <c r="AA2696" s="4" t="s">
        <v>63</v>
      </c>
      <c r="AB2696" s="4">
        <v>2014245102</v>
      </c>
      <c r="AC2696" s="4" t="s">
        <v>67</v>
      </c>
      <c r="AD2696" s="4" t="s">
        <v>63</v>
      </c>
      <c r="AE2696" s="4" t="s">
        <v>63</v>
      </c>
      <c r="AF2696" s="4" t="s">
        <v>63</v>
      </c>
      <c r="AG2696" s="4" t="s">
        <v>22404</v>
      </c>
      <c r="AH2696" s="4" t="s">
        <v>63</v>
      </c>
      <c r="AI2696" s="4" t="s">
        <v>22405</v>
      </c>
      <c r="AJ2696" s="4" t="s">
        <v>63</v>
      </c>
      <c r="AK2696" s="4" t="s">
        <v>63</v>
      </c>
      <c r="AL2696" s="4" t="s">
        <v>63</v>
      </c>
      <c r="AM2696" s="4" t="s">
        <v>22406</v>
      </c>
      <c r="AN2696" s="4" t="s">
        <v>63</v>
      </c>
      <c r="AO2696" s="4" t="s">
        <v>63</v>
      </c>
      <c r="AP2696" s="4" t="s">
        <v>63</v>
      </c>
      <c r="AQ2696" s="4" t="s">
        <v>63</v>
      </c>
      <c r="AR2696" s="4" t="s">
        <v>63</v>
      </c>
      <c r="AS2696" s="4" t="s">
        <v>63</v>
      </c>
      <c r="AT2696" s="4" t="s">
        <v>63</v>
      </c>
      <c r="AU2696" s="4" t="s">
        <v>63</v>
      </c>
      <c r="AV2696" s="4" t="s">
        <v>63</v>
      </c>
      <c r="AW2696" s="4" t="s">
        <v>63</v>
      </c>
      <c r="AX2696" s="4" t="s">
        <v>63</v>
      </c>
      <c r="AY2696" s="4" t="s">
        <v>63</v>
      </c>
      <c r="AZ2696" s="4" t="s">
        <v>63</v>
      </c>
      <c r="BA2696" s="4" t="s">
        <v>63</v>
      </c>
      <c r="BB2696" s="4" t="s">
        <v>63</v>
      </c>
      <c r="BC2696" s="4" t="s">
        <v>63</v>
      </c>
      <c r="BD2696" s="4" t="s">
        <v>63</v>
      </c>
      <c r="BE2696" s="4" t="s">
        <v>63</v>
      </c>
      <c r="BF2696" s="4" t="s">
        <v>63</v>
      </c>
    </row>
    <row r="2697" spans="1:58">
      <c r="A2697" s="4" t="s">
        <v>58</v>
      </c>
      <c r="B2697" s="4" t="s">
        <v>22407</v>
      </c>
      <c r="C2697" s="4" t="s">
        <v>22408</v>
      </c>
      <c r="D2697" s="4" t="s">
        <v>371</v>
      </c>
      <c r="E2697" s="4" t="s">
        <v>63</v>
      </c>
      <c r="F2697" s="4">
        <v>2014</v>
      </c>
      <c r="G2697" s="4" t="s">
        <v>15165</v>
      </c>
      <c r="H2697" s="4" t="s">
        <v>15912</v>
      </c>
      <c r="I2697" s="4" t="s">
        <v>63</v>
      </c>
      <c r="J2697" s="4" t="s">
        <v>3641</v>
      </c>
      <c r="K2697" s="4" t="s">
        <v>63</v>
      </c>
      <c r="L2697" s="4" t="s">
        <v>22409</v>
      </c>
      <c r="M2697" s="4" t="s">
        <v>22410</v>
      </c>
      <c r="N2697" s="4" t="s">
        <v>22411</v>
      </c>
      <c r="O2697" s="4" t="s">
        <v>63</v>
      </c>
      <c r="P2697" s="4"/>
      <c r="Q2697" s="4" t="s">
        <v>63</v>
      </c>
      <c r="R2697" s="4" t="s">
        <v>63</v>
      </c>
      <c r="S2697" s="4" t="s">
        <v>63</v>
      </c>
      <c r="T2697" s="4" t="s">
        <v>63</v>
      </c>
      <c r="U2697" s="4"/>
      <c r="V2697" s="4"/>
      <c r="W2697" s="4"/>
      <c r="X2697" s="4" t="s">
        <v>63</v>
      </c>
      <c r="Y2697" s="4" t="s">
        <v>375</v>
      </c>
      <c r="Z2697" s="4" t="s">
        <v>63</v>
      </c>
      <c r="AA2697" s="4" t="s">
        <v>63</v>
      </c>
      <c r="AB2697" s="4" t="s">
        <v>63</v>
      </c>
      <c r="AC2697" s="4" t="s">
        <v>67</v>
      </c>
      <c r="AD2697" s="4" t="s">
        <v>63</v>
      </c>
      <c r="AE2697" s="4" t="s">
        <v>63</v>
      </c>
      <c r="AF2697" s="4" t="s">
        <v>63</v>
      </c>
      <c r="AG2697" s="4" t="s">
        <v>63</v>
      </c>
      <c r="AH2697" s="4" t="s">
        <v>63</v>
      </c>
      <c r="AI2697" s="4" t="s">
        <v>63</v>
      </c>
      <c r="AJ2697" s="4" t="s">
        <v>63</v>
      </c>
      <c r="AK2697" s="4" t="s">
        <v>63</v>
      </c>
      <c r="AL2697" s="4" t="s">
        <v>63</v>
      </c>
      <c r="AM2697" s="4" t="s">
        <v>22408</v>
      </c>
      <c r="AN2697" s="4" t="s">
        <v>63</v>
      </c>
      <c r="AO2697" s="4" t="s">
        <v>63</v>
      </c>
      <c r="AP2697" s="4" t="s">
        <v>63</v>
      </c>
      <c r="AQ2697" s="4" t="s">
        <v>63</v>
      </c>
      <c r="AR2697" s="4" t="s">
        <v>63</v>
      </c>
      <c r="AS2697" s="4" t="s">
        <v>63</v>
      </c>
      <c r="AT2697" s="4" t="s">
        <v>63</v>
      </c>
      <c r="AU2697" s="4" t="s">
        <v>63</v>
      </c>
      <c r="AV2697" s="4" t="s">
        <v>63</v>
      </c>
      <c r="AW2697" s="4" t="s">
        <v>63</v>
      </c>
      <c r="AX2697" s="4" t="s">
        <v>63</v>
      </c>
      <c r="AY2697" s="4" t="s">
        <v>63</v>
      </c>
      <c r="AZ2697" s="4" t="s">
        <v>63</v>
      </c>
      <c r="BA2697" s="4" t="s">
        <v>63</v>
      </c>
      <c r="BB2697" s="4" t="s">
        <v>63</v>
      </c>
      <c r="BC2697" s="4" t="s">
        <v>63</v>
      </c>
      <c r="BD2697" s="4" t="s">
        <v>63</v>
      </c>
      <c r="BE2697" s="4" t="s">
        <v>63</v>
      </c>
      <c r="BF2697" s="4" t="s">
        <v>63</v>
      </c>
    </row>
    <row r="2698" spans="1:58">
      <c r="A2698" s="4" t="s">
        <v>58</v>
      </c>
      <c r="B2698" s="4" t="s">
        <v>22412</v>
      </c>
      <c r="C2698" s="4" t="s">
        <v>22413</v>
      </c>
      <c r="D2698" s="4" t="s">
        <v>17097</v>
      </c>
      <c r="E2698" s="4" t="s">
        <v>17098</v>
      </c>
      <c r="F2698" s="4">
        <v>1992</v>
      </c>
      <c r="G2698" s="4" t="s">
        <v>63</v>
      </c>
      <c r="H2698" s="4">
        <v>21</v>
      </c>
      <c r="I2698" s="4">
        <v>2</v>
      </c>
      <c r="J2698" s="4">
        <v>298</v>
      </c>
      <c r="K2698" s="4">
        <v>304</v>
      </c>
      <c r="L2698" s="4" t="s">
        <v>22414</v>
      </c>
      <c r="M2698" s="4" t="s">
        <v>22415</v>
      </c>
      <c r="N2698" s="4" t="s">
        <v>22416</v>
      </c>
      <c r="O2698" s="4" t="s">
        <v>63</v>
      </c>
      <c r="P2698" s="4"/>
      <c r="Q2698" s="4" t="s">
        <v>63</v>
      </c>
      <c r="R2698" s="4" t="s">
        <v>63</v>
      </c>
      <c r="S2698" s="4" t="s">
        <v>63</v>
      </c>
      <c r="T2698" s="4" t="s">
        <v>63</v>
      </c>
      <c r="U2698" s="4"/>
      <c r="V2698" s="4"/>
      <c r="W2698" s="4"/>
      <c r="X2698" s="4" t="s">
        <v>63</v>
      </c>
      <c r="Y2698" s="4" t="s">
        <v>22417</v>
      </c>
      <c r="Z2698" s="4" t="s">
        <v>63</v>
      </c>
      <c r="AA2698" s="4" t="s">
        <v>63</v>
      </c>
      <c r="AB2698" s="4">
        <v>1992134269</v>
      </c>
      <c r="AC2698" s="4" t="s">
        <v>67</v>
      </c>
      <c r="AD2698" s="4" t="s">
        <v>63</v>
      </c>
      <c r="AE2698" s="4" t="s">
        <v>63</v>
      </c>
      <c r="AF2698" s="4" t="s">
        <v>63</v>
      </c>
      <c r="AG2698" s="4" t="s">
        <v>22418</v>
      </c>
      <c r="AH2698" s="4" t="s">
        <v>63</v>
      </c>
      <c r="AI2698" s="4" t="s">
        <v>63</v>
      </c>
      <c r="AJ2698" s="4" t="s">
        <v>63</v>
      </c>
      <c r="AK2698" s="4" t="s">
        <v>63</v>
      </c>
      <c r="AL2698" s="4" t="s">
        <v>63</v>
      </c>
      <c r="AM2698" s="4" t="s">
        <v>22419</v>
      </c>
      <c r="AN2698" s="4" t="s">
        <v>63</v>
      </c>
      <c r="AO2698" s="4" t="s">
        <v>63</v>
      </c>
      <c r="AP2698" s="4" t="s">
        <v>63</v>
      </c>
      <c r="AQ2698" s="4" t="s">
        <v>63</v>
      </c>
      <c r="AR2698" s="4" t="s">
        <v>63</v>
      </c>
      <c r="AS2698" s="4" t="s">
        <v>63</v>
      </c>
      <c r="AT2698" s="4" t="s">
        <v>63</v>
      </c>
      <c r="AU2698" s="4" t="s">
        <v>63</v>
      </c>
      <c r="AV2698" s="4" t="s">
        <v>63</v>
      </c>
      <c r="AW2698" s="4" t="s">
        <v>63</v>
      </c>
      <c r="AX2698" s="4" t="s">
        <v>63</v>
      </c>
      <c r="AY2698" s="4" t="s">
        <v>63</v>
      </c>
      <c r="AZ2698" s="4" t="s">
        <v>63</v>
      </c>
      <c r="BA2698" s="4" t="s">
        <v>63</v>
      </c>
      <c r="BB2698" s="4" t="s">
        <v>63</v>
      </c>
      <c r="BC2698" s="4" t="s">
        <v>63</v>
      </c>
      <c r="BD2698" s="4" t="s">
        <v>63</v>
      </c>
      <c r="BE2698" s="4" t="s">
        <v>63</v>
      </c>
      <c r="BF2698" s="4" t="s">
        <v>63</v>
      </c>
    </row>
    <row r="2699" spans="1:58">
      <c r="A2699" s="4" t="s">
        <v>58</v>
      </c>
      <c r="B2699" s="4" t="s">
        <v>22420</v>
      </c>
      <c r="C2699" s="4" t="s">
        <v>22421</v>
      </c>
      <c r="D2699" s="4" t="s">
        <v>371</v>
      </c>
      <c r="E2699" s="4" t="s">
        <v>63</v>
      </c>
      <c r="F2699" s="4">
        <v>2010</v>
      </c>
      <c r="G2699" s="4" t="s">
        <v>15155</v>
      </c>
      <c r="H2699" s="4" t="s">
        <v>15381</v>
      </c>
      <c r="I2699" s="4" t="s">
        <v>63</v>
      </c>
      <c r="J2699" s="4" t="s">
        <v>22422</v>
      </c>
      <c r="K2699" s="4" t="s">
        <v>63</v>
      </c>
      <c r="L2699" s="4" t="s">
        <v>22423</v>
      </c>
      <c r="M2699" s="4" t="s">
        <v>22424</v>
      </c>
      <c r="N2699" s="4" t="s">
        <v>22425</v>
      </c>
      <c r="O2699" s="4" t="s">
        <v>63</v>
      </c>
      <c r="P2699" s="4"/>
      <c r="Q2699" s="4" t="s">
        <v>63</v>
      </c>
      <c r="R2699" s="4" t="s">
        <v>63</v>
      </c>
      <c r="S2699" s="4" t="s">
        <v>63</v>
      </c>
      <c r="T2699" s="4" t="s">
        <v>63</v>
      </c>
      <c r="U2699" s="4"/>
      <c r="V2699" s="4"/>
      <c r="W2699" s="4"/>
      <c r="X2699" s="4" t="s">
        <v>63</v>
      </c>
      <c r="Y2699" s="4" t="s">
        <v>375</v>
      </c>
      <c r="Z2699" s="4" t="s">
        <v>63</v>
      </c>
      <c r="AA2699" s="4" t="s">
        <v>63</v>
      </c>
      <c r="AB2699" s="4" t="s">
        <v>63</v>
      </c>
      <c r="AC2699" s="4" t="s">
        <v>67</v>
      </c>
      <c r="AD2699" s="4" t="s">
        <v>63</v>
      </c>
      <c r="AE2699" s="4" t="s">
        <v>63</v>
      </c>
      <c r="AF2699" s="4" t="s">
        <v>63</v>
      </c>
      <c r="AG2699" s="4" t="s">
        <v>63</v>
      </c>
      <c r="AH2699" s="4" t="s">
        <v>63</v>
      </c>
      <c r="AI2699" s="4" t="s">
        <v>15386</v>
      </c>
      <c r="AJ2699" s="4" t="s">
        <v>63</v>
      </c>
      <c r="AK2699" s="4" t="s">
        <v>63</v>
      </c>
      <c r="AL2699" s="4" t="s">
        <v>63</v>
      </c>
      <c r="AM2699" s="4" t="s">
        <v>22421</v>
      </c>
      <c r="AN2699" s="4" t="s">
        <v>63</v>
      </c>
      <c r="AO2699" s="4" t="s">
        <v>63</v>
      </c>
      <c r="AP2699" s="4" t="s">
        <v>63</v>
      </c>
      <c r="AQ2699" s="4" t="s">
        <v>63</v>
      </c>
      <c r="AR2699" s="4" t="s">
        <v>63</v>
      </c>
      <c r="AS2699" s="4" t="s">
        <v>63</v>
      </c>
      <c r="AT2699" s="4" t="s">
        <v>63</v>
      </c>
      <c r="AU2699" s="4" t="s">
        <v>63</v>
      </c>
      <c r="AV2699" s="4" t="s">
        <v>63</v>
      </c>
      <c r="AW2699" s="4" t="s">
        <v>63</v>
      </c>
      <c r="AX2699" s="4" t="s">
        <v>63</v>
      </c>
      <c r="AY2699" s="4" t="s">
        <v>63</v>
      </c>
      <c r="AZ2699" s="4" t="s">
        <v>63</v>
      </c>
      <c r="BA2699" s="4" t="s">
        <v>63</v>
      </c>
      <c r="BB2699" s="4" t="s">
        <v>63</v>
      </c>
      <c r="BC2699" s="4" t="s">
        <v>63</v>
      </c>
      <c r="BD2699" s="4" t="s">
        <v>63</v>
      </c>
      <c r="BE2699" s="4" t="s">
        <v>63</v>
      </c>
      <c r="BF2699" s="4" t="s">
        <v>63</v>
      </c>
    </row>
    <row r="2700" spans="1:58">
      <c r="A2700" s="4" t="s">
        <v>58</v>
      </c>
      <c r="B2700" s="4" t="s">
        <v>22426</v>
      </c>
      <c r="C2700" s="4" t="s">
        <v>22427</v>
      </c>
      <c r="D2700" s="4" t="s">
        <v>371</v>
      </c>
      <c r="E2700" s="4" t="s">
        <v>63</v>
      </c>
      <c r="F2700" s="4">
        <v>2015</v>
      </c>
      <c r="G2700" s="4" t="s">
        <v>15165</v>
      </c>
      <c r="H2700" s="4" t="s">
        <v>15869</v>
      </c>
      <c r="I2700" s="4" t="s">
        <v>63</v>
      </c>
      <c r="J2700" s="4" t="s">
        <v>22428</v>
      </c>
      <c r="K2700" s="4" t="s">
        <v>63</v>
      </c>
      <c r="L2700" s="4" t="s">
        <v>22429</v>
      </c>
      <c r="M2700" s="4" t="s">
        <v>22430</v>
      </c>
      <c r="N2700" s="4" t="s">
        <v>22431</v>
      </c>
      <c r="O2700" s="4" t="s">
        <v>63</v>
      </c>
      <c r="P2700" s="4"/>
      <c r="Q2700" s="4" t="s">
        <v>63</v>
      </c>
      <c r="R2700" s="4" t="s">
        <v>63</v>
      </c>
      <c r="S2700" s="4" t="s">
        <v>63</v>
      </c>
      <c r="T2700" s="4" t="s">
        <v>63</v>
      </c>
      <c r="U2700" s="4"/>
      <c r="V2700" s="4"/>
      <c r="W2700" s="4"/>
      <c r="X2700" s="4" t="s">
        <v>63</v>
      </c>
      <c r="Y2700" s="4" t="s">
        <v>375</v>
      </c>
      <c r="Z2700" s="4" t="s">
        <v>63</v>
      </c>
      <c r="AA2700" s="4" t="s">
        <v>63</v>
      </c>
      <c r="AB2700" s="4" t="s">
        <v>63</v>
      </c>
      <c r="AC2700" s="4" t="s">
        <v>67</v>
      </c>
      <c r="AD2700" s="4" t="s">
        <v>63</v>
      </c>
      <c r="AE2700" s="4" t="s">
        <v>63</v>
      </c>
      <c r="AF2700" s="4" t="s">
        <v>63</v>
      </c>
      <c r="AG2700" s="4" t="s">
        <v>63</v>
      </c>
      <c r="AH2700" s="4" t="s">
        <v>63</v>
      </c>
      <c r="AI2700" s="4" t="s">
        <v>63</v>
      </c>
      <c r="AJ2700" s="4" t="s">
        <v>63</v>
      </c>
      <c r="AK2700" s="4" t="s">
        <v>63</v>
      </c>
      <c r="AL2700" s="4" t="s">
        <v>63</v>
      </c>
      <c r="AM2700" s="4" t="s">
        <v>22427</v>
      </c>
      <c r="AN2700" s="4" t="s">
        <v>63</v>
      </c>
      <c r="AO2700" s="4" t="s">
        <v>63</v>
      </c>
      <c r="AP2700" s="4" t="s">
        <v>63</v>
      </c>
      <c r="AQ2700" s="4" t="s">
        <v>63</v>
      </c>
      <c r="AR2700" s="4" t="s">
        <v>63</v>
      </c>
      <c r="AS2700" s="4" t="s">
        <v>63</v>
      </c>
      <c r="AT2700" s="4" t="s">
        <v>63</v>
      </c>
      <c r="AU2700" s="4" t="s">
        <v>63</v>
      </c>
      <c r="AV2700" s="4" t="s">
        <v>63</v>
      </c>
      <c r="AW2700" s="4" t="s">
        <v>63</v>
      </c>
      <c r="AX2700" s="4" t="s">
        <v>63</v>
      </c>
      <c r="AY2700" s="4" t="s">
        <v>63</v>
      </c>
      <c r="AZ2700" s="4" t="s">
        <v>63</v>
      </c>
      <c r="BA2700" s="4" t="s">
        <v>63</v>
      </c>
      <c r="BB2700" s="4" t="s">
        <v>63</v>
      </c>
      <c r="BC2700" s="4" t="s">
        <v>63</v>
      </c>
      <c r="BD2700" s="4" t="s">
        <v>63</v>
      </c>
      <c r="BE2700" s="4" t="s">
        <v>63</v>
      </c>
      <c r="BF2700" s="4" t="s">
        <v>63</v>
      </c>
    </row>
    <row r="2701" spans="1:58">
      <c r="A2701" s="4" t="s">
        <v>58</v>
      </c>
      <c r="B2701" s="4" t="s">
        <v>22432</v>
      </c>
      <c r="C2701" s="4" t="s">
        <v>22433</v>
      </c>
      <c r="D2701" s="4" t="s">
        <v>22434</v>
      </c>
      <c r="E2701" s="4" t="s">
        <v>63</v>
      </c>
      <c r="F2701" s="4">
        <v>2010</v>
      </c>
      <c r="G2701" s="4" t="s">
        <v>16182</v>
      </c>
      <c r="H2701" s="4" t="s">
        <v>22435</v>
      </c>
      <c r="I2701" s="4" t="s">
        <v>63</v>
      </c>
      <c r="J2701" s="4">
        <v>219</v>
      </c>
      <c r="K2701" s="4" t="s">
        <v>63</v>
      </c>
      <c r="L2701" s="4" t="s">
        <v>22436</v>
      </c>
      <c r="M2701" s="4" t="s">
        <v>22437</v>
      </c>
      <c r="N2701" s="4" t="s">
        <v>22438</v>
      </c>
      <c r="O2701" s="4" t="s">
        <v>63</v>
      </c>
      <c r="P2701" s="4"/>
      <c r="Q2701" s="4" t="s">
        <v>63</v>
      </c>
      <c r="R2701" s="4" t="s">
        <v>63</v>
      </c>
      <c r="S2701" s="4" t="s">
        <v>63</v>
      </c>
      <c r="T2701" s="4" t="s">
        <v>63</v>
      </c>
      <c r="U2701" s="4"/>
      <c r="V2701" s="4"/>
      <c r="W2701" s="4"/>
      <c r="X2701" s="4" t="s">
        <v>63</v>
      </c>
      <c r="Y2701" s="4" t="s">
        <v>22439</v>
      </c>
      <c r="Z2701" s="4" t="s">
        <v>63</v>
      </c>
      <c r="AA2701" s="4" t="s">
        <v>63</v>
      </c>
      <c r="AB2701" s="4" t="s">
        <v>63</v>
      </c>
      <c r="AC2701" s="4" t="s">
        <v>67</v>
      </c>
      <c r="AD2701" s="4" t="s">
        <v>63</v>
      </c>
      <c r="AE2701" s="4" t="s">
        <v>63</v>
      </c>
      <c r="AF2701" s="4" t="s">
        <v>63</v>
      </c>
      <c r="AG2701" s="4" t="s">
        <v>63</v>
      </c>
      <c r="AH2701" s="4" t="s">
        <v>63</v>
      </c>
      <c r="AI2701" s="4" t="s">
        <v>22440</v>
      </c>
      <c r="AJ2701" s="4" t="s">
        <v>63</v>
      </c>
      <c r="AK2701" s="4" t="s">
        <v>63</v>
      </c>
      <c r="AL2701" s="4" t="s">
        <v>63</v>
      </c>
      <c r="AM2701" s="4" t="s">
        <v>22441</v>
      </c>
      <c r="AN2701" s="4" t="s">
        <v>63</v>
      </c>
      <c r="AO2701" s="4" t="s">
        <v>63</v>
      </c>
      <c r="AP2701" s="4" t="s">
        <v>63</v>
      </c>
      <c r="AQ2701" s="4" t="s">
        <v>63</v>
      </c>
      <c r="AR2701" s="4" t="s">
        <v>63</v>
      </c>
      <c r="AS2701" s="4" t="s">
        <v>63</v>
      </c>
      <c r="AT2701" s="4" t="s">
        <v>63</v>
      </c>
      <c r="AU2701" s="4" t="s">
        <v>63</v>
      </c>
      <c r="AV2701" s="4" t="s">
        <v>63</v>
      </c>
      <c r="AW2701" s="4" t="s">
        <v>63</v>
      </c>
      <c r="AX2701" s="4" t="s">
        <v>63</v>
      </c>
      <c r="AY2701" s="4" t="s">
        <v>63</v>
      </c>
      <c r="AZ2701" s="4" t="s">
        <v>63</v>
      </c>
      <c r="BA2701" s="4" t="s">
        <v>63</v>
      </c>
      <c r="BB2701" s="4" t="s">
        <v>63</v>
      </c>
      <c r="BC2701" s="4" t="s">
        <v>63</v>
      </c>
      <c r="BD2701" s="4" t="s">
        <v>63</v>
      </c>
      <c r="BE2701" s="4" t="s">
        <v>63</v>
      </c>
      <c r="BF2701" s="4" t="s">
        <v>63</v>
      </c>
    </row>
    <row r="2702" spans="1:58">
      <c r="A2702" s="4" t="s">
        <v>58</v>
      </c>
      <c r="B2702" s="4" t="s">
        <v>22442</v>
      </c>
      <c r="C2702" s="4" t="s">
        <v>22443</v>
      </c>
      <c r="D2702" s="4" t="s">
        <v>4030</v>
      </c>
      <c r="E2702" s="4" t="s">
        <v>4031</v>
      </c>
      <c r="F2702" s="4">
        <v>1976</v>
      </c>
      <c r="G2702" s="4" t="s">
        <v>63</v>
      </c>
      <c r="H2702" s="4">
        <v>6</v>
      </c>
      <c r="I2702" s="4">
        <v>2</v>
      </c>
      <c r="J2702" s="4">
        <v>153</v>
      </c>
      <c r="K2702" s="4">
        <v>164</v>
      </c>
      <c r="L2702" s="4" t="s">
        <v>22444</v>
      </c>
      <c r="M2702" s="4" t="s">
        <v>22445</v>
      </c>
      <c r="N2702" s="4" t="s">
        <v>22446</v>
      </c>
      <c r="O2702" s="4" t="s">
        <v>63</v>
      </c>
      <c r="P2702" s="4"/>
      <c r="Q2702" s="4" t="s">
        <v>63</v>
      </c>
      <c r="R2702" s="4" t="s">
        <v>63</v>
      </c>
      <c r="S2702" s="4" t="s">
        <v>63</v>
      </c>
      <c r="T2702" s="4" t="s">
        <v>63</v>
      </c>
      <c r="U2702" s="4"/>
      <c r="V2702" s="4"/>
      <c r="W2702" s="4"/>
      <c r="X2702" s="4" t="s">
        <v>63</v>
      </c>
      <c r="Y2702" s="4" t="s">
        <v>4035</v>
      </c>
      <c r="Z2702" s="4" t="s">
        <v>63</v>
      </c>
      <c r="AA2702" s="4" t="s">
        <v>63</v>
      </c>
      <c r="AB2702" s="4" t="s">
        <v>22447</v>
      </c>
      <c r="AC2702" s="4" t="s">
        <v>67</v>
      </c>
      <c r="AD2702" s="4" t="s">
        <v>63</v>
      </c>
      <c r="AE2702" s="4" t="s">
        <v>63</v>
      </c>
      <c r="AF2702" s="4" t="s">
        <v>63</v>
      </c>
      <c r="AG2702" s="4" t="s">
        <v>63</v>
      </c>
      <c r="AH2702" s="4" t="s">
        <v>63</v>
      </c>
      <c r="AI2702" s="4" t="s">
        <v>63</v>
      </c>
      <c r="AJ2702" s="4" t="s">
        <v>63</v>
      </c>
      <c r="AK2702" s="4" t="s">
        <v>63</v>
      </c>
      <c r="AL2702" s="4" t="s">
        <v>63</v>
      </c>
      <c r="AM2702" s="4" t="s">
        <v>22443</v>
      </c>
      <c r="AN2702" s="4" t="s">
        <v>63</v>
      </c>
      <c r="AO2702" s="4" t="s">
        <v>63</v>
      </c>
      <c r="AP2702" s="4" t="s">
        <v>63</v>
      </c>
      <c r="AQ2702" s="4" t="s">
        <v>63</v>
      </c>
      <c r="AR2702" s="4" t="s">
        <v>63</v>
      </c>
      <c r="AS2702" s="4" t="s">
        <v>63</v>
      </c>
      <c r="AT2702" s="4" t="s">
        <v>63</v>
      </c>
      <c r="AU2702" s="4" t="s">
        <v>63</v>
      </c>
      <c r="AV2702" s="4" t="s">
        <v>63</v>
      </c>
      <c r="AW2702" s="4" t="s">
        <v>63</v>
      </c>
      <c r="AX2702" s="4" t="s">
        <v>63</v>
      </c>
      <c r="AY2702" s="4" t="s">
        <v>63</v>
      </c>
      <c r="AZ2702" s="4" t="s">
        <v>63</v>
      </c>
      <c r="BA2702" s="4" t="s">
        <v>63</v>
      </c>
      <c r="BB2702" s="4" t="s">
        <v>63</v>
      </c>
      <c r="BC2702" s="4" t="s">
        <v>63</v>
      </c>
      <c r="BD2702" s="4" t="s">
        <v>63</v>
      </c>
      <c r="BE2702" s="4" t="s">
        <v>63</v>
      </c>
      <c r="BF2702" s="4" t="s">
        <v>63</v>
      </c>
    </row>
    <row r="2703" spans="1:58">
      <c r="A2703" s="4" t="s">
        <v>58</v>
      </c>
      <c r="B2703" s="4" t="s">
        <v>22448</v>
      </c>
      <c r="C2703" s="4" t="s">
        <v>22449</v>
      </c>
      <c r="D2703" s="4" t="s">
        <v>22450</v>
      </c>
      <c r="E2703" s="4" t="s">
        <v>63</v>
      </c>
      <c r="F2703" s="4">
        <v>2013</v>
      </c>
      <c r="G2703" s="6">
        <v>41690</v>
      </c>
      <c r="H2703" s="4" t="s">
        <v>22451</v>
      </c>
      <c r="I2703" s="4" t="s">
        <v>63</v>
      </c>
      <c r="J2703" s="4" t="s">
        <v>63</v>
      </c>
      <c r="K2703" s="4" t="s">
        <v>63</v>
      </c>
      <c r="L2703" s="4" t="s">
        <v>22452</v>
      </c>
      <c r="M2703" s="4" t="s">
        <v>22453</v>
      </c>
      <c r="N2703" s="4" t="s">
        <v>22454</v>
      </c>
      <c r="O2703" s="4" t="s">
        <v>63</v>
      </c>
      <c r="P2703" s="4"/>
      <c r="Q2703" s="4" t="s">
        <v>63</v>
      </c>
      <c r="R2703" s="4" t="s">
        <v>63</v>
      </c>
      <c r="S2703" s="4" t="s">
        <v>63</v>
      </c>
      <c r="T2703" s="4" t="s">
        <v>63</v>
      </c>
      <c r="U2703" s="4"/>
      <c r="V2703" s="4"/>
      <c r="W2703" s="4"/>
      <c r="X2703" s="4" t="s">
        <v>63</v>
      </c>
      <c r="Y2703" s="4" t="s">
        <v>22455</v>
      </c>
      <c r="Z2703" s="4" t="s">
        <v>63</v>
      </c>
      <c r="AA2703" s="4" t="s">
        <v>63</v>
      </c>
      <c r="AB2703" s="4" t="s">
        <v>63</v>
      </c>
      <c r="AC2703" s="4" t="s">
        <v>67</v>
      </c>
      <c r="AD2703" s="4" t="s">
        <v>63</v>
      </c>
      <c r="AE2703" s="4" t="s">
        <v>63</v>
      </c>
      <c r="AF2703" s="4" t="s">
        <v>63</v>
      </c>
      <c r="AG2703" s="4" t="s">
        <v>63</v>
      </c>
      <c r="AH2703" s="4" t="s">
        <v>63</v>
      </c>
      <c r="AI2703" s="4" t="s">
        <v>63</v>
      </c>
      <c r="AJ2703" s="4" t="s">
        <v>63</v>
      </c>
      <c r="AK2703" s="4" t="s">
        <v>63</v>
      </c>
      <c r="AL2703" s="4" t="s">
        <v>63</v>
      </c>
      <c r="AM2703" s="4" t="s">
        <v>22449</v>
      </c>
      <c r="AN2703" s="4" t="s">
        <v>63</v>
      </c>
      <c r="AO2703" s="4" t="s">
        <v>63</v>
      </c>
      <c r="AP2703" s="4" t="s">
        <v>63</v>
      </c>
      <c r="AQ2703" s="4" t="s">
        <v>63</v>
      </c>
      <c r="AR2703" s="4" t="s">
        <v>63</v>
      </c>
      <c r="AS2703" s="4" t="s">
        <v>63</v>
      </c>
      <c r="AT2703" s="4" t="s">
        <v>63</v>
      </c>
      <c r="AU2703" s="4" t="s">
        <v>63</v>
      </c>
      <c r="AV2703" s="4" t="s">
        <v>63</v>
      </c>
      <c r="AW2703" s="4" t="s">
        <v>63</v>
      </c>
      <c r="AX2703" s="4" t="s">
        <v>63</v>
      </c>
      <c r="AY2703" s="4" t="s">
        <v>63</v>
      </c>
      <c r="AZ2703" s="4" t="s">
        <v>63</v>
      </c>
      <c r="BA2703" s="4" t="s">
        <v>63</v>
      </c>
      <c r="BB2703" s="4" t="s">
        <v>63</v>
      </c>
      <c r="BC2703" s="4" t="s">
        <v>63</v>
      </c>
      <c r="BD2703" s="4" t="s">
        <v>63</v>
      </c>
      <c r="BE2703" s="4" t="s">
        <v>63</v>
      </c>
      <c r="BF2703" s="4" t="s">
        <v>63</v>
      </c>
    </row>
    <row r="2704" spans="1:58">
      <c r="A2704" s="4" t="s">
        <v>58</v>
      </c>
      <c r="B2704" s="4" t="s">
        <v>22456</v>
      </c>
      <c r="C2704" s="4" t="s">
        <v>22457</v>
      </c>
      <c r="D2704" s="4" t="s">
        <v>20801</v>
      </c>
      <c r="E2704" s="4" t="s">
        <v>20802</v>
      </c>
      <c r="F2704" s="4">
        <v>2008</v>
      </c>
      <c r="G2704" s="4" t="s">
        <v>63</v>
      </c>
      <c r="H2704" s="4">
        <v>57</v>
      </c>
      <c r="I2704" s="4">
        <v>3</v>
      </c>
      <c r="J2704" s="4">
        <v>184</v>
      </c>
      <c r="K2704" s="4">
        <v>187</v>
      </c>
      <c r="L2704" s="4" t="s">
        <v>22458</v>
      </c>
      <c r="M2704" s="4" t="s">
        <v>22459</v>
      </c>
      <c r="N2704" s="4" t="s">
        <v>22460</v>
      </c>
      <c r="O2704" s="4" t="s">
        <v>63</v>
      </c>
      <c r="P2704" s="4"/>
      <c r="Q2704" s="4" t="s">
        <v>63</v>
      </c>
      <c r="R2704" s="4" t="s">
        <v>63</v>
      </c>
      <c r="S2704" s="4" t="s">
        <v>63</v>
      </c>
      <c r="T2704" s="4" t="s">
        <v>63</v>
      </c>
      <c r="U2704" s="4"/>
      <c r="V2704" s="4"/>
      <c r="W2704" s="4"/>
      <c r="X2704" s="4" t="s">
        <v>63</v>
      </c>
      <c r="Y2704" s="4" t="s">
        <v>20806</v>
      </c>
      <c r="Z2704" s="4" t="s">
        <v>63</v>
      </c>
      <c r="AA2704" s="4" t="s">
        <v>63</v>
      </c>
      <c r="AB2704" s="4" t="s">
        <v>22461</v>
      </c>
      <c r="AC2704" s="4" t="s">
        <v>8663</v>
      </c>
      <c r="AD2704" s="4" t="s">
        <v>63</v>
      </c>
      <c r="AE2704" s="4" t="s">
        <v>63</v>
      </c>
      <c r="AF2704" s="4" t="s">
        <v>63</v>
      </c>
      <c r="AG2704" s="4" t="s">
        <v>63</v>
      </c>
      <c r="AH2704" s="4" t="s">
        <v>63</v>
      </c>
      <c r="AI2704" s="4" t="s">
        <v>22462</v>
      </c>
      <c r="AJ2704" s="4" t="s">
        <v>63</v>
      </c>
      <c r="AK2704" s="4" t="s">
        <v>63</v>
      </c>
      <c r="AL2704" s="4" t="s">
        <v>63</v>
      </c>
      <c r="AM2704" s="4" t="s">
        <v>22457</v>
      </c>
      <c r="AN2704" s="4" t="s">
        <v>63</v>
      </c>
      <c r="AO2704" s="4" t="s">
        <v>63</v>
      </c>
      <c r="AP2704" s="4" t="s">
        <v>63</v>
      </c>
      <c r="AQ2704" s="4" t="s">
        <v>63</v>
      </c>
      <c r="AR2704" s="4" t="s">
        <v>63</v>
      </c>
      <c r="AS2704" s="4" t="s">
        <v>63</v>
      </c>
      <c r="AT2704" s="4" t="s">
        <v>63</v>
      </c>
      <c r="AU2704" s="4" t="s">
        <v>63</v>
      </c>
      <c r="AV2704" s="4" t="s">
        <v>63</v>
      </c>
      <c r="AW2704" s="4" t="s">
        <v>63</v>
      </c>
      <c r="AX2704" s="4" t="s">
        <v>63</v>
      </c>
      <c r="AY2704" s="4" t="s">
        <v>63</v>
      </c>
      <c r="AZ2704" s="4" t="s">
        <v>63</v>
      </c>
      <c r="BA2704" s="4" t="s">
        <v>63</v>
      </c>
      <c r="BB2704" s="4" t="s">
        <v>63</v>
      </c>
      <c r="BC2704" s="4" t="s">
        <v>63</v>
      </c>
      <c r="BD2704" s="4" t="s">
        <v>63</v>
      </c>
      <c r="BE2704" s="4" t="s">
        <v>63</v>
      </c>
      <c r="BF2704" s="4" t="s">
        <v>63</v>
      </c>
    </row>
    <row r="2705" spans="1:58">
      <c r="A2705" s="4" t="s">
        <v>58</v>
      </c>
      <c r="B2705" s="4" t="s">
        <v>22463</v>
      </c>
      <c r="C2705" s="4" t="s">
        <v>22464</v>
      </c>
      <c r="D2705" s="4" t="s">
        <v>2166</v>
      </c>
      <c r="E2705" s="4" t="s">
        <v>2167</v>
      </c>
      <c r="F2705" s="4">
        <v>1975</v>
      </c>
      <c r="G2705" s="4" t="s">
        <v>63</v>
      </c>
      <c r="H2705" s="4">
        <v>58</v>
      </c>
      <c r="I2705" s="4">
        <v>9</v>
      </c>
      <c r="J2705" s="4">
        <v>389</v>
      </c>
      <c r="K2705" s="4" t="s">
        <v>22465</v>
      </c>
      <c r="L2705" s="4" t="s">
        <v>22466</v>
      </c>
      <c r="M2705" s="4" t="s">
        <v>63</v>
      </c>
      <c r="N2705" s="4" t="s">
        <v>22467</v>
      </c>
      <c r="O2705" s="4" t="s">
        <v>63</v>
      </c>
      <c r="P2705" s="4"/>
      <c r="Q2705" s="4" t="s">
        <v>63</v>
      </c>
      <c r="R2705" s="4" t="s">
        <v>63</v>
      </c>
      <c r="S2705" s="4" t="s">
        <v>63</v>
      </c>
      <c r="T2705" s="4" t="s">
        <v>63</v>
      </c>
      <c r="U2705" s="4"/>
      <c r="V2705" s="4"/>
      <c r="W2705" s="4"/>
      <c r="X2705" s="4" t="s">
        <v>63</v>
      </c>
      <c r="Y2705" s="4" t="s">
        <v>2170</v>
      </c>
      <c r="Z2705" s="4" t="s">
        <v>63</v>
      </c>
      <c r="AA2705" s="4" t="s">
        <v>63</v>
      </c>
      <c r="AB2705" s="4" t="s">
        <v>22468</v>
      </c>
      <c r="AC2705" s="4" t="s">
        <v>67</v>
      </c>
      <c r="AD2705" s="4" t="s">
        <v>63</v>
      </c>
      <c r="AE2705" s="4" t="s">
        <v>63</v>
      </c>
      <c r="AF2705" s="4" t="s">
        <v>63</v>
      </c>
      <c r="AG2705" s="4" t="s">
        <v>63</v>
      </c>
      <c r="AH2705" s="4" t="s">
        <v>63</v>
      </c>
      <c r="AI2705" s="4" t="s">
        <v>63</v>
      </c>
      <c r="AJ2705" s="4" t="s">
        <v>63</v>
      </c>
      <c r="AK2705" s="4" t="s">
        <v>63</v>
      </c>
      <c r="AL2705" s="4" t="s">
        <v>63</v>
      </c>
      <c r="AM2705" s="4" t="s">
        <v>22464</v>
      </c>
      <c r="AN2705" s="4" t="s">
        <v>63</v>
      </c>
      <c r="AO2705" s="4" t="s">
        <v>63</v>
      </c>
      <c r="AP2705" s="4" t="s">
        <v>63</v>
      </c>
      <c r="AQ2705" s="4" t="s">
        <v>63</v>
      </c>
      <c r="AR2705" s="4" t="s">
        <v>63</v>
      </c>
      <c r="AS2705" s="4" t="s">
        <v>63</v>
      </c>
      <c r="AT2705" s="4" t="s">
        <v>63</v>
      </c>
      <c r="AU2705" s="4" t="s">
        <v>63</v>
      </c>
      <c r="AV2705" s="4" t="s">
        <v>63</v>
      </c>
      <c r="AW2705" s="4" t="s">
        <v>63</v>
      </c>
      <c r="AX2705" s="4" t="s">
        <v>63</v>
      </c>
      <c r="AY2705" s="4" t="s">
        <v>63</v>
      </c>
      <c r="AZ2705" s="4" t="s">
        <v>63</v>
      </c>
      <c r="BA2705" s="4" t="s">
        <v>63</v>
      </c>
      <c r="BB2705" s="4" t="s">
        <v>63</v>
      </c>
      <c r="BC2705" s="4" t="s">
        <v>63</v>
      </c>
      <c r="BD2705" s="4" t="s">
        <v>63</v>
      </c>
      <c r="BE2705" s="4" t="s">
        <v>63</v>
      </c>
      <c r="BF2705" s="4" t="s">
        <v>63</v>
      </c>
    </row>
    <row r="2706" spans="1:58">
      <c r="A2706" s="4" t="s">
        <v>58</v>
      </c>
      <c r="B2706" s="4" t="s">
        <v>22469</v>
      </c>
      <c r="C2706" s="4" t="s">
        <v>22470</v>
      </c>
      <c r="D2706" s="4" t="s">
        <v>371</v>
      </c>
      <c r="E2706" s="4" t="s">
        <v>63</v>
      </c>
      <c r="F2706" s="4">
        <v>2013</v>
      </c>
      <c r="G2706" s="4" t="s">
        <v>15155</v>
      </c>
      <c r="H2706" s="4" t="s">
        <v>15690</v>
      </c>
      <c r="I2706" s="4" t="s">
        <v>63</v>
      </c>
      <c r="J2706" s="4" t="s">
        <v>22471</v>
      </c>
      <c r="K2706" s="4" t="s">
        <v>21554</v>
      </c>
      <c r="L2706" s="4" t="s">
        <v>22472</v>
      </c>
      <c r="M2706" s="4" t="s">
        <v>22473</v>
      </c>
      <c r="N2706" s="4" t="s">
        <v>22474</v>
      </c>
      <c r="O2706" s="4" t="s">
        <v>63</v>
      </c>
      <c r="P2706" s="4"/>
      <c r="Q2706" s="4" t="s">
        <v>63</v>
      </c>
      <c r="R2706" s="4" t="s">
        <v>63</v>
      </c>
      <c r="S2706" s="4" t="s">
        <v>63</v>
      </c>
      <c r="T2706" s="4" t="s">
        <v>63</v>
      </c>
      <c r="U2706" s="4"/>
      <c r="V2706" s="4"/>
      <c r="W2706" s="4"/>
      <c r="X2706" s="4" t="s">
        <v>63</v>
      </c>
      <c r="Y2706" s="4" t="s">
        <v>375</v>
      </c>
      <c r="Z2706" s="4" t="s">
        <v>63</v>
      </c>
      <c r="AA2706" s="4" t="s">
        <v>63</v>
      </c>
      <c r="AB2706" s="4" t="s">
        <v>63</v>
      </c>
      <c r="AC2706" s="4" t="s">
        <v>67</v>
      </c>
      <c r="AD2706" s="4" t="s">
        <v>63</v>
      </c>
      <c r="AE2706" s="4" t="s">
        <v>63</v>
      </c>
      <c r="AF2706" s="4" t="s">
        <v>63</v>
      </c>
      <c r="AG2706" s="4" t="s">
        <v>63</v>
      </c>
      <c r="AH2706" s="4" t="s">
        <v>63</v>
      </c>
      <c r="AI2706" s="4" t="s">
        <v>63</v>
      </c>
      <c r="AJ2706" s="4" t="s">
        <v>63</v>
      </c>
      <c r="AK2706" s="4" t="s">
        <v>63</v>
      </c>
      <c r="AL2706" s="4" t="s">
        <v>63</v>
      </c>
      <c r="AM2706" s="4" t="s">
        <v>22470</v>
      </c>
      <c r="AN2706" s="4" t="s">
        <v>63</v>
      </c>
      <c r="AO2706" s="4" t="s">
        <v>63</v>
      </c>
      <c r="AP2706" s="4" t="s">
        <v>63</v>
      </c>
      <c r="AQ2706" s="4" t="s">
        <v>63</v>
      </c>
      <c r="AR2706" s="4" t="s">
        <v>63</v>
      </c>
      <c r="AS2706" s="4" t="s">
        <v>63</v>
      </c>
      <c r="AT2706" s="4" t="s">
        <v>63</v>
      </c>
      <c r="AU2706" s="4" t="s">
        <v>63</v>
      </c>
      <c r="AV2706" s="4" t="s">
        <v>63</v>
      </c>
      <c r="AW2706" s="4" t="s">
        <v>63</v>
      </c>
      <c r="AX2706" s="4" t="s">
        <v>63</v>
      </c>
      <c r="AY2706" s="4" t="s">
        <v>63</v>
      </c>
      <c r="AZ2706" s="4" t="s">
        <v>63</v>
      </c>
      <c r="BA2706" s="4" t="s">
        <v>63</v>
      </c>
      <c r="BB2706" s="4" t="s">
        <v>63</v>
      </c>
      <c r="BC2706" s="4" t="s">
        <v>63</v>
      </c>
      <c r="BD2706" s="4" t="s">
        <v>63</v>
      </c>
      <c r="BE2706" s="4" t="s">
        <v>63</v>
      </c>
      <c r="BF2706" s="4" t="s">
        <v>63</v>
      </c>
    </row>
    <row r="2707" spans="1:58">
      <c r="A2707" s="4" t="s">
        <v>58</v>
      </c>
      <c r="B2707" s="4" t="s">
        <v>22475</v>
      </c>
      <c r="C2707" s="4" t="s">
        <v>22476</v>
      </c>
      <c r="D2707" s="4" t="s">
        <v>12353</v>
      </c>
      <c r="E2707" s="4" t="s">
        <v>63</v>
      </c>
      <c r="F2707" s="4">
        <v>2012</v>
      </c>
      <c r="G2707" s="4">
        <v>1</v>
      </c>
      <c r="H2707" s="4">
        <v>21</v>
      </c>
      <c r="I2707" s="4">
        <v>10</v>
      </c>
      <c r="J2707" s="4">
        <v>1014</v>
      </c>
      <c r="K2707" s="4">
        <v>1017</v>
      </c>
      <c r="L2707" s="4" t="s">
        <v>22477</v>
      </c>
      <c r="M2707" s="4" t="s">
        <v>22478</v>
      </c>
      <c r="N2707" s="4" t="s">
        <v>22479</v>
      </c>
      <c r="O2707" s="4" t="s">
        <v>63</v>
      </c>
      <c r="P2707" s="4"/>
      <c r="Q2707" s="4" t="s">
        <v>63</v>
      </c>
      <c r="R2707" s="4" t="s">
        <v>63</v>
      </c>
      <c r="S2707" s="4" t="s">
        <v>63</v>
      </c>
      <c r="T2707" s="4" t="s">
        <v>63</v>
      </c>
      <c r="U2707" s="4"/>
      <c r="V2707" s="4"/>
      <c r="W2707" s="4"/>
      <c r="X2707" s="4" t="s">
        <v>63</v>
      </c>
      <c r="Y2707" s="4" t="s">
        <v>22480</v>
      </c>
      <c r="Z2707" s="4" t="s">
        <v>63</v>
      </c>
      <c r="AA2707" s="4" t="s">
        <v>63</v>
      </c>
      <c r="AB2707" s="4">
        <v>2012592032</v>
      </c>
      <c r="AC2707" s="4" t="s">
        <v>67</v>
      </c>
      <c r="AD2707" s="4" t="s">
        <v>63</v>
      </c>
      <c r="AE2707" s="4" t="s">
        <v>63</v>
      </c>
      <c r="AF2707" s="4" t="s">
        <v>63</v>
      </c>
      <c r="AG2707" s="4" t="s">
        <v>22481</v>
      </c>
      <c r="AH2707" s="4" t="s">
        <v>63</v>
      </c>
      <c r="AI2707" s="4" t="s">
        <v>22482</v>
      </c>
      <c r="AJ2707" s="4" t="s">
        <v>63</v>
      </c>
      <c r="AK2707" s="4" t="s">
        <v>63</v>
      </c>
      <c r="AL2707" s="4" t="s">
        <v>63</v>
      </c>
      <c r="AM2707" s="4" t="s">
        <v>22483</v>
      </c>
      <c r="AN2707" s="4" t="s">
        <v>63</v>
      </c>
      <c r="AO2707" s="4" t="s">
        <v>63</v>
      </c>
      <c r="AP2707" s="4" t="s">
        <v>63</v>
      </c>
      <c r="AQ2707" s="4" t="s">
        <v>63</v>
      </c>
      <c r="AR2707" s="4" t="s">
        <v>63</v>
      </c>
      <c r="AS2707" s="4" t="s">
        <v>63</v>
      </c>
      <c r="AT2707" s="4" t="s">
        <v>63</v>
      </c>
      <c r="AU2707" s="4" t="s">
        <v>63</v>
      </c>
      <c r="AV2707" s="4" t="s">
        <v>63</v>
      </c>
      <c r="AW2707" s="4" t="s">
        <v>63</v>
      </c>
      <c r="AX2707" s="4" t="s">
        <v>63</v>
      </c>
      <c r="AY2707" s="4" t="s">
        <v>63</v>
      </c>
      <c r="AZ2707" s="4" t="s">
        <v>63</v>
      </c>
      <c r="BA2707" s="4" t="s">
        <v>63</v>
      </c>
      <c r="BB2707" s="4" t="s">
        <v>63</v>
      </c>
      <c r="BC2707" s="4" t="s">
        <v>63</v>
      </c>
      <c r="BD2707" s="4" t="s">
        <v>63</v>
      </c>
      <c r="BE2707" s="4" t="s">
        <v>63</v>
      </c>
      <c r="BF2707" s="4" t="s">
        <v>63</v>
      </c>
    </row>
    <row r="2708" spans="1:58">
      <c r="A2708" s="4" t="s">
        <v>58</v>
      </c>
      <c r="B2708" s="4" t="s">
        <v>22484</v>
      </c>
      <c r="C2708" s="4" t="s">
        <v>22485</v>
      </c>
      <c r="D2708" s="4" t="s">
        <v>4030</v>
      </c>
      <c r="E2708" s="4" t="s">
        <v>4031</v>
      </c>
      <c r="F2708" s="4">
        <v>1981</v>
      </c>
      <c r="G2708" s="4" t="s">
        <v>63</v>
      </c>
      <c r="H2708" s="4">
        <v>11</v>
      </c>
      <c r="I2708" s="4">
        <v>2</v>
      </c>
      <c r="J2708" s="4">
        <v>179</v>
      </c>
      <c r="K2708" s="4">
        <v>184</v>
      </c>
      <c r="L2708" s="4" t="s">
        <v>22486</v>
      </c>
      <c r="M2708" s="4" t="s">
        <v>22487</v>
      </c>
      <c r="N2708" s="4" t="s">
        <v>22488</v>
      </c>
      <c r="O2708" s="4" t="s">
        <v>63</v>
      </c>
      <c r="P2708" s="4"/>
      <c r="Q2708" s="4" t="s">
        <v>63</v>
      </c>
      <c r="R2708" s="4" t="s">
        <v>63</v>
      </c>
      <c r="S2708" s="4" t="s">
        <v>63</v>
      </c>
      <c r="T2708" s="4" t="s">
        <v>63</v>
      </c>
      <c r="U2708" s="4"/>
      <c r="V2708" s="4"/>
      <c r="W2708" s="4"/>
      <c r="X2708" s="4" t="s">
        <v>63</v>
      </c>
      <c r="Y2708" s="4" t="s">
        <v>4035</v>
      </c>
      <c r="Z2708" s="4" t="s">
        <v>63</v>
      </c>
      <c r="AA2708" s="4" t="s">
        <v>63</v>
      </c>
      <c r="AB2708" s="4" t="s">
        <v>22489</v>
      </c>
      <c r="AC2708" s="4" t="s">
        <v>67</v>
      </c>
      <c r="AD2708" s="4" t="s">
        <v>63</v>
      </c>
      <c r="AE2708" s="4" t="s">
        <v>63</v>
      </c>
      <c r="AF2708" s="4" t="s">
        <v>63</v>
      </c>
      <c r="AG2708" s="4" t="s">
        <v>63</v>
      </c>
      <c r="AH2708" s="4" t="s">
        <v>63</v>
      </c>
      <c r="AI2708" s="4" t="s">
        <v>63</v>
      </c>
      <c r="AJ2708" s="4" t="s">
        <v>63</v>
      </c>
      <c r="AK2708" s="4" t="s">
        <v>63</v>
      </c>
      <c r="AL2708" s="4" t="s">
        <v>63</v>
      </c>
      <c r="AM2708" s="4" t="s">
        <v>22485</v>
      </c>
      <c r="AN2708" s="4" t="s">
        <v>63</v>
      </c>
      <c r="AO2708" s="4" t="s">
        <v>63</v>
      </c>
      <c r="AP2708" s="4" t="s">
        <v>63</v>
      </c>
      <c r="AQ2708" s="4" t="s">
        <v>63</v>
      </c>
      <c r="AR2708" s="4" t="s">
        <v>63</v>
      </c>
      <c r="AS2708" s="4" t="s">
        <v>63</v>
      </c>
      <c r="AT2708" s="4" t="s">
        <v>63</v>
      </c>
      <c r="AU2708" s="4" t="s">
        <v>63</v>
      </c>
      <c r="AV2708" s="4" t="s">
        <v>63</v>
      </c>
      <c r="AW2708" s="4" t="s">
        <v>63</v>
      </c>
      <c r="AX2708" s="4" t="s">
        <v>63</v>
      </c>
      <c r="AY2708" s="4" t="s">
        <v>63</v>
      </c>
      <c r="AZ2708" s="4" t="s">
        <v>63</v>
      </c>
      <c r="BA2708" s="4" t="s">
        <v>63</v>
      </c>
      <c r="BB2708" s="4" t="s">
        <v>63</v>
      </c>
      <c r="BC2708" s="4" t="s">
        <v>63</v>
      </c>
      <c r="BD2708" s="4" t="s">
        <v>63</v>
      </c>
      <c r="BE2708" s="4" t="s">
        <v>63</v>
      </c>
      <c r="BF2708" s="4" t="s">
        <v>63</v>
      </c>
    </row>
    <row r="2709" spans="1:58">
      <c r="A2709" s="4" t="s">
        <v>58</v>
      </c>
      <c r="B2709" s="4" t="s">
        <v>22490</v>
      </c>
      <c r="C2709" s="4" t="s">
        <v>22491</v>
      </c>
      <c r="D2709" s="4" t="s">
        <v>371</v>
      </c>
      <c r="E2709" s="4" t="s">
        <v>63</v>
      </c>
      <c r="F2709" s="4">
        <v>2011</v>
      </c>
      <c r="G2709" s="4" t="s">
        <v>189</v>
      </c>
      <c r="H2709" s="4" t="s">
        <v>17819</v>
      </c>
      <c r="I2709" s="4" t="s">
        <v>63</v>
      </c>
      <c r="J2709" s="4" t="s">
        <v>22492</v>
      </c>
      <c r="K2709" s="4" t="s">
        <v>63</v>
      </c>
      <c r="L2709" s="4" t="s">
        <v>22493</v>
      </c>
      <c r="M2709" s="4" t="s">
        <v>22494</v>
      </c>
      <c r="N2709" s="4" t="s">
        <v>22495</v>
      </c>
      <c r="O2709" s="4" t="s">
        <v>63</v>
      </c>
      <c r="P2709" s="4"/>
      <c r="Q2709" s="4" t="s">
        <v>63</v>
      </c>
      <c r="R2709" s="4" t="s">
        <v>63</v>
      </c>
      <c r="S2709" s="4" t="s">
        <v>63</v>
      </c>
      <c r="T2709" s="4" t="s">
        <v>63</v>
      </c>
      <c r="U2709" s="4"/>
      <c r="V2709" s="4"/>
      <c r="W2709" s="4"/>
      <c r="X2709" s="4" t="s">
        <v>63</v>
      </c>
      <c r="Y2709" s="4" t="s">
        <v>375</v>
      </c>
      <c r="Z2709" s="4" t="s">
        <v>63</v>
      </c>
      <c r="AA2709" s="4" t="s">
        <v>63</v>
      </c>
      <c r="AB2709" s="4" t="s">
        <v>63</v>
      </c>
      <c r="AC2709" s="4" t="s">
        <v>67</v>
      </c>
      <c r="AD2709" s="4" t="s">
        <v>63</v>
      </c>
      <c r="AE2709" s="4" t="s">
        <v>63</v>
      </c>
      <c r="AF2709" s="4" t="s">
        <v>63</v>
      </c>
      <c r="AG2709" s="4" t="s">
        <v>63</v>
      </c>
      <c r="AH2709" s="4" t="s">
        <v>63</v>
      </c>
      <c r="AI2709" s="4" t="s">
        <v>17824</v>
      </c>
      <c r="AJ2709" s="4" t="s">
        <v>63</v>
      </c>
      <c r="AK2709" s="4" t="s">
        <v>63</v>
      </c>
      <c r="AL2709" s="4" t="s">
        <v>63</v>
      </c>
      <c r="AM2709" s="4" t="s">
        <v>22491</v>
      </c>
      <c r="AN2709" s="4" t="s">
        <v>63</v>
      </c>
      <c r="AO2709" s="4" t="s">
        <v>63</v>
      </c>
      <c r="AP2709" s="4" t="s">
        <v>63</v>
      </c>
      <c r="AQ2709" s="4" t="s">
        <v>63</v>
      </c>
      <c r="AR2709" s="4" t="s">
        <v>63</v>
      </c>
      <c r="AS2709" s="4" t="s">
        <v>63</v>
      </c>
      <c r="AT2709" s="4" t="s">
        <v>63</v>
      </c>
      <c r="AU2709" s="4" t="s">
        <v>63</v>
      </c>
      <c r="AV2709" s="4" t="s">
        <v>63</v>
      </c>
      <c r="AW2709" s="4" t="s">
        <v>63</v>
      </c>
      <c r="AX2709" s="4" t="s">
        <v>63</v>
      </c>
      <c r="AY2709" s="4" t="s">
        <v>63</v>
      </c>
      <c r="AZ2709" s="4" t="s">
        <v>63</v>
      </c>
      <c r="BA2709" s="4" t="s">
        <v>63</v>
      </c>
      <c r="BB2709" s="4" t="s">
        <v>63</v>
      </c>
      <c r="BC2709" s="4" t="s">
        <v>63</v>
      </c>
      <c r="BD2709" s="4" t="s">
        <v>63</v>
      </c>
      <c r="BE2709" s="4" t="s">
        <v>63</v>
      </c>
      <c r="BF2709" s="4" t="s">
        <v>63</v>
      </c>
    </row>
    <row r="2710" spans="1:58">
      <c r="A2710" s="4" t="s">
        <v>58</v>
      </c>
      <c r="B2710" s="4" t="s">
        <v>22496</v>
      </c>
      <c r="C2710" s="4" t="s">
        <v>22497</v>
      </c>
      <c r="D2710" s="4" t="s">
        <v>22498</v>
      </c>
      <c r="E2710" s="4" t="s">
        <v>63</v>
      </c>
      <c r="F2710" s="4">
        <v>1972</v>
      </c>
      <c r="G2710" s="4" t="s">
        <v>63</v>
      </c>
      <c r="H2710" s="4">
        <v>20</v>
      </c>
      <c r="I2710" s="4">
        <v>5</v>
      </c>
      <c r="J2710" s="4">
        <v>24</v>
      </c>
      <c r="K2710" s="4">
        <v>28</v>
      </c>
      <c r="L2710" s="4" t="s">
        <v>22499</v>
      </c>
      <c r="M2710" s="4" t="s">
        <v>22500</v>
      </c>
      <c r="N2710" s="4" t="s">
        <v>22501</v>
      </c>
      <c r="O2710" s="4" t="s">
        <v>63</v>
      </c>
      <c r="P2710" s="4"/>
      <c r="Q2710" s="4" t="s">
        <v>63</v>
      </c>
      <c r="R2710" s="4" t="s">
        <v>63</v>
      </c>
      <c r="S2710" s="4" t="s">
        <v>63</v>
      </c>
      <c r="T2710" s="4" t="s">
        <v>63</v>
      </c>
      <c r="U2710" s="4"/>
      <c r="V2710" s="4"/>
      <c r="W2710" s="4"/>
      <c r="X2710" s="4" t="s">
        <v>63</v>
      </c>
      <c r="Y2710" s="4" t="s">
        <v>63</v>
      </c>
      <c r="Z2710" s="4" t="s">
        <v>63</v>
      </c>
      <c r="AA2710" s="4" t="s">
        <v>63</v>
      </c>
      <c r="AB2710" s="4" t="s">
        <v>22502</v>
      </c>
      <c r="AC2710" s="4" t="s">
        <v>67</v>
      </c>
      <c r="AD2710" s="4" t="s">
        <v>63</v>
      </c>
      <c r="AE2710" s="4" t="s">
        <v>63</v>
      </c>
      <c r="AF2710" s="4" t="s">
        <v>63</v>
      </c>
      <c r="AG2710" s="4" t="s">
        <v>63</v>
      </c>
      <c r="AH2710" s="4" t="s">
        <v>63</v>
      </c>
      <c r="AI2710" s="4" t="s">
        <v>63</v>
      </c>
      <c r="AJ2710" s="4" t="s">
        <v>63</v>
      </c>
      <c r="AK2710" s="4" t="s">
        <v>63</v>
      </c>
      <c r="AL2710" s="4" t="s">
        <v>63</v>
      </c>
      <c r="AM2710" s="4" t="s">
        <v>22497</v>
      </c>
      <c r="AN2710" s="4" t="s">
        <v>63</v>
      </c>
      <c r="AO2710" s="4" t="s">
        <v>63</v>
      </c>
      <c r="AP2710" s="4" t="s">
        <v>63</v>
      </c>
      <c r="AQ2710" s="4" t="s">
        <v>63</v>
      </c>
      <c r="AR2710" s="4" t="s">
        <v>63</v>
      </c>
      <c r="AS2710" s="4" t="s">
        <v>63</v>
      </c>
      <c r="AT2710" s="4" t="s">
        <v>63</v>
      </c>
      <c r="AU2710" s="4" t="s">
        <v>63</v>
      </c>
      <c r="AV2710" s="4" t="s">
        <v>63</v>
      </c>
      <c r="AW2710" s="4" t="s">
        <v>63</v>
      </c>
      <c r="AX2710" s="4" t="s">
        <v>63</v>
      </c>
      <c r="AY2710" s="4" t="s">
        <v>63</v>
      </c>
      <c r="AZ2710" s="4" t="s">
        <v>63</v>
      </c>
      <c r="BA2710" s="4" t="s">
        <v>63</v>
      </c>
      <c r="BB2710" s="4" t="s">
        <v>63</v>
      </c>
      <c r="BC2710" s="4" t="s">
        <v>63</v>
      </c>
      <c r="BD2710" s="4" t="s">
        <v>63</v>
      </c>
      <c r="BE2710" s="4" t="s">
        <v>63</v>
      </c>
      <c r="BF2710" s="4" t="s">
        <v>63</v>
      </c>
    </row>
    <row r="2711" spans="1:58">
      <c r="A2711" s="4" t="s">
        <v>58</v>
      </c>
      <c r="B2711" s="4" t="s">
        <v>22503</v>
      </c>
      <c r="C2711" s="4" t="s">
        <v>22504</v>
      </c>
      <c r="D2711" s="4" t="s">
        <v>22505</v>
      </c>
      <c r="E2711" s="4" t="s">
        <v>22506</v>
      </c>
      <c r="F2711" s="4">
        <v>1975</v>
      </c>
      <c r="G2711" s="4" t="s">
        <v>63</v>
      </c>
      <c r="H2711" s="4">
        <v>20</v>
      </c>
      <c r="I2711" s="4">
        <v>5</v>
      </c>
      <c r="J2711" s="4">
        <v>351</v>
      </c>
      <c r="K2711" s="4">
        <v>357</v>
      </c>
      <c r="L2711" s="4" t="s">
        <v>22507</v>
      </c>
      <c r="M2711" s="4" t="s">
        <v>22508</v>
      </c>
      <c r="N2711" s="4" t="s">
        <v>22509</v>
      </c>
      <c r="O2711" s="4" t="s">
        <v>63</v>
      </c>
      <c r="P2711" s="4"/>
      <c r="Q2711" s="4" t="s">
        <v>63</v>
      </c>
      <c r="R2711" s="4" t="s">
        <v>63</v>
      </c>
      <c r="S2711" s="4" t="s">
        <v>63</v>
      </c>
      <c r="T2711" s="4" t="s">
        <v>63</v>
      </c>
      <c r="U2711" s="4"/>
      <c r="V2711" s="4"/>
      <c r="W2711" s="4"/>
      <c r="X2711" s="4" t="s">
        <v>63</v>
      </c>
      <c r="Y2711" s="4" t="s">
        <v>63</v>
      </c>
      <c r="Z2711" s="4" t="s">
        <v>63</v>
      </c>
      <c r="AA2711" s="4" t="s">
        <v>63</v>
      </c>
      <c r="AB2711" s="4">
        <v>1976150262</v>
      </c>
      <c r="AC2711" s="4" t="s">
        <v>67</v>
      </c>
      <c r="AD2711" s="4" t="s">
        <v>63</v>
      </c>
      <c r="AE2711" s="4" t="s">
        <v>63</v>
      </c>
      <c r="AF2711" s="4" t="s">
        <v>63</v>
      </c>
      <c r="AG2711" s="4" t="s">
        <v>22510</v>
      </c>
      <c r="AH2711" s="4" t="s">
        <v>63</v>
      </c>
      <c r="AI2711" s="4" t="s">
        <v>63</v>
      </c>
      <c r="AJ2711" s="4" t="s">
        <v>63</v>
      </c>
      <c r="AK2711" s="4" t="s">
        <v>63</v>
      </c>
      <c r="AL2711" s="4" t="s">
        <v>63</v>
      </c>
      <c r="AM2711" s="4" t="s">
        <v>22511</v>
      </c>
      <c r="AN2711" s="4" t="s">
        <v>63</v>
      </c>
      <c r="AO2711" s="4" t="s">
        <v>63</v>
      </c>
      <c r="AP2711" s="4" t="s">
        <v>63</v>
      </c>
      <c r="AQ2711" s="4" t="s">
        <v>63</v>
      </c>
      <c r="AR2711" s="4" t="s">
        <v>63</v>
      </c>
      <c r="AS2711" s="4" t="s">
        <v>63</v>
      </c>
      <c r="AT2711" s="4" t="s">
        <v>63</v>
      </c>
      <c r="AU2711" s="4" t="s">
        <v>63</v>
      </c>
      <c r="AV2711" s="4" t="s">
        <v>63</v>
      </c>
      <c r="AW2711" s="4" t="s">
        <v>63</v>
      </c>
      <c r="AX2711" s="4" t="s">
        <v>63</v>
      </c>
      <c r="AY2711" s="4" t="s">
        <v>63</v>
      </c>
      <c r="AZ2711" s="4" t="s">
        <v>63</v>
      </c>
      <c r="BA2711" s="4" t="s">
        <v>63</v>
      </c>
      <c r="BB2711" s="4" t="s">
        <v>63</v>
      </c>
      <c r="BC2711" s="4" t="s">
        <v>63</v>
      </c>
      <c r="BD2711" s="4" t="s">
        <v>63</v>
      </c>
      <c r="BE2711" s="4" t="s">
        <v>63</v>
      </c>
      <c r="BF2711" s="4" t="s">
        <v>63</v>
      </c>
    </row>
    <row r="2712" spans="1:58">
      <c r="A2712" s="4" t="s">
        <v>58</v>
      </c>
      <c r="B2712" s="4" t="s">
        <v>22512</v>
      </c>
      <c r="C2712" s="4" t="s">
        <v>22513</v>
      </c>
      <c r="D2712" s="4" t="s">
        <v>11901</v>
      </c>
      <c r="E2712" s="4" t="s">
        <v>63</v>
      </c>
      <c r="F2712" s="4">
        <v>2014</v>
      </c>
      <c r="G2712" s="4" t="s">
        <v>15508</v>
      </c>
      <c r="H2712" s="4" t="s">
        <v>15509</v>
      </c>
      <c r="I2712" s="4" t="s">
        <v>63</v>
      </c>
      <c r="J2712" s="4" t="s">
        <v>22514</v>
      </c>
      <c r="K2712" s="4" t="s">
        <v>63</v>
      </c>
      <c r="L2712" s="4" t="s">
        <v>22515</v>
      </c>
      <c r="M2712" s="4" t="s">
        <v>22516</v>
      </c>
      <c r="N2712" s="4" t="s">
        <v>22517</v>
      </c>
      <c r="O2712" s="4" t="s">
        <v>63</v>
      </c>
      <c r="P2712" s="4"/>
      <c r="Q2712" s="4" t="s">
        <v>63</v>
      </c>
      <c r="R2712" s="4" t="s">
        <v>63</v>
      </c>
      <c r="S2712" s="4" t="s">
        <v>63</v>
      </c>
      <c r="T2712" s="4" t="s">
        <v>63</v>
      </c>
      <c r="U2712" s="4"/>
      <c r="V2712" s="4"/>
      <c r="W2712" s="4"/>
      <c r="X2712" s="4" t="s">
        <v>63</v>
      </c>
      <c r="Y2712" s="4" t="s">
        <v>11904</v>
      </c>
      <c r="Z2712" s="4" t="s">
        <v>63</v>
      </c>
      <c r="AA2712" s="4" t="s">
        <v>63</v>
      </c>
      <c r="AB2712" s="4" t="s">
        <v>63</v>
      </c>
      <c r="AC2712" s="4" t="s">
        <v>67</v>
      </c>
      <c r="AD2712" s="4" t="s">
        <v>63</v>
      </c>
      <c r="AE2712" s="4" t="s">
        <v>63</v>
      </c>
      <c r="AF2712" s="4" t="s">
        <v>63</v>
      </c>
      <c r="AG2712" s="4" t="s">
        <v>63</v>
      </c>
      <c r="AH2712" s="4" t="s">
        <v>63</v>
      </c>
      <c r="AI2712" s="4" t="s">
        <v>63</v>
      </c>
      <c r="AJ2712" s="4" t="s">
        <v>63</v>
      </c>
      <c r="AK2712" s="4" t="s">
        <v>63</v>
      </c>
      <c r="AL2712" s="4" t="s">
        <v>63</v>
      </c>
      <c r="AM2712" s="4" t="s">
        <v>22513</v>
      </c>
      <c r="AN2712" s="4" t="s">
        <v>63</v>
      </c>
      <c r="AO2712" s="4" t="s">
        <v>63</v>
      </c>
      <c r="AP2712" s="4" t="s">
        <v>63</v>
      </c>
      <c r="AQ2712" s="4" t="s">
        <v>63</v>
      </c>
      <c r="AR2712" s="4" t="s">
        <v>63</v>
      </c>
      <c r="AS2712" s="4" t="s">
        <v>63</v>
      </c>
      <c r="AT2712" s="4" t="s">
        <v>63</v>
      </c>
      <c r="AU2712" s="4" t="s">
        <v>63</v>
      </c>
      <c r="AV2712" s="4" t="s">
        <v>63</v>
      </c>
      <c r="AW2712" s="4" t="s">
        <v>63</v>
      </c>
      <c r="AX2712" s="4" t="s">
        <v>63</v>
      </c>
      <c r="AY2712" s="4" t="s">
        <v>63</v>
      </c>
      <c r="AZ2712" s="4" t="s">
        <v>63</v>
      </c>
      <c r="BA2712" s="4" t="s">
        <v>63</v>
      </c>
      <c r="BB2712" s="4" t="s">
        <v>63</v>
      </c>
      <c r="BC2712" s="4" t="s">
        <v>63</v>
      </c>
      <c r="BD2712" s="4" t="s">
        <v>63</v>
      </c>
      <c r="BE2712" s="4" t="s">
        <v>63</v>
      </c>
      <c r="BF2712" s="4" t="s">
        <v>63</v>
      </c>
    </row>
    <row r="2713" spans="1:58">
      <c r="A2713" s="4" t="s">
        <v>58</v>
      </c>
      <c r="B2713" s="4" t="s">
        <v>22518</v>
      </c>
      <c r="C2713" s="4" t="s">
        <v>22519</v>
      </c>
      <c r="D2713" s="4" t="s">
        <v>371</v>
      </c>
      <c r="E2713" s="4" t="s">
        <v>63</v>
      </c>
      <c r="F2713" s="4">
        <v>2011</v>
      </c>
      <c r="G2713" s="4" t="s">
        <v>189</v>
      </c>
      <c r="H2713" s="4" t="s">
        <v>17819</v>
      </c>
      <c r="I2713" s="4" t="s">
        <v>63</v>
      </c>
      <c r="J2713" s="4" t="s">
        <v>22520</v>
      </c>
      <c r="K2713" s="4" t="s">
        <v>22492</v>
      </c>
      <c r="L2713" s="4" t="s">
        <v>22521</v>
      </c>
      <c r="M2713" s="4" t="s">
        <v>22522</v>
      </c>
      <c r="N2713" s="4" t="s">
        <v>22523</v>
      </c>
      <c r="O2713" s="4" t="s">
        <v>63</v>
      </c>
      <c r="P2713" s="4"/>
      <c r="Q2713" s="4" t="s">
        <v>63</v>
      </c>
      <c r="R2713" s="4" t="s">
        <v>63</v>
      </c>
      <c r="S2713" s="4" t="s">
        <v>63</v>
      </c>
      <c r="T2713" s="4" t="s">
        <v>63</v>
      </c>
      <c r="U2713" s="4"/>
      <c r="V2713" s="4"/>
      <c r="W2713" s="4"/>
      <c r="X2713" s="4" t="s">
        <v>63</v>
      </c>
      <c r="Y2713" s="4" t="s">
        <v>375</v>
      </c>
      <c r="Z2713" s="4" t="s">
        <v>63</v>
      </c>
      <c r="AA2713" s="4" t="s">
        <v>63</v>
      </c>
      <c r="AB2713" s="4" t="s">
        <v>63</v>
      </c>
      <c r="AC2713" s="4" t="s">
        <v>67</v>
      </c>
      <c r="AD2713" s="4" t="s">
        <v>63</v>
      </c>
      <c r="AE2713" s="4" t="s">
        <v>63</v>
      </c>
      <c r="AF2713" s="4" t="s">
        <v>63</v>
      </c>
      <c r="AG2713" s="4" t="s">
        <v>63</v>
      </c>
      <c r="AH2713" s="4" t="s">
        <v>63</v>
      </c>
      <c r="AI2713" s="4" t="s">
        <v>17824</v>
      </c>
      <c r="AJ2713" s="4" t="s">
        <v>63</v>
      </c>
      <c r="AK2713" s="4" t="s">
        <v>63</v>
      </c>
      <c r="AL2713" s="4" t="s">
        <v>63</v>
      </c>
      <c r="AM2713" s="4" t="s">
        <v>22519</v>
      </c>
      <c r="AN2713" s="4" t="s">
        <v>63</v>
      </c>
      <c r="AO2713" s="4" t="s">
        <v>63</v>
      </c>
      <c r="AP2713" s="4" t="s">
        <v>63</v>
      </c>
      <c r="AQ2713" s="4" t="s">
        <v>63</v>
      </c>
      <c r="AR2713" s="4" t="s">
        <v>63</v>
      </c>
      <c r="AS2713" s="4" t="s">
        <v>63</v>
      </c>
      <c r="AT2713" s="4" t="s">
        <v>63</v>
      </c>
      <c r="AU2713" s="4" t="s">
        <v>63</v>
      </c>
      <c r="AV2713" s="4" t="s">
        <v>63</v>
      </c>
      <c r="AW2713" s="4" t="s">
        <v>63</v>
      </c>
      <c r="AX2713" s="4" t="s">
        <v>63</v>
      </c>
      <c r="AY2713" s="4" t="s">
        <v>63</v>
      </c>
      <c r="AZ2713" s="4" t="s">
        <v>63</v>
      </c>
      <c r="BA2713" s="4" t="s">
        <v>63</v>
      </c>
      <c r="BB2713" s="4" t="s">
        <v>63</v>
      </c>
      <c r="BC2713" s="4" t="s">
        <v>63</v>
      </c>
      <c r="BD2713" s="4" t="s">
        <v>63</v>
      </c>
      <c r="BE2713" s="4" t="s">
        <v>63</v>
      </c>
      <c r="BF2713" s="4" t="s">
        <v>63</v>
      </c>
    </row>
    <row r="2714" spans="1:58">
      <c r="A2714" s="4" t="s">
        <v>58</v>
      </c>
      <c r="B2714" s="4" t="s">
        <v>22524</v>
      </c>
      <c r="C2714" s="4" t="s">
        <v>22525</v>
      </c>
      <c r="D2714" s="4" t="s">
        <v>20341</v>
      </c>
      <c r="E2714" s="4" t="s">
        <v>63</v>
      </c>
      <c r="F2714" s="4">
        <v>2014</v>
      </c>
      <c r="G2714" s="4" t="s">
        <v>189</v>
      </c>
      <c r="H2714" s="4" t="s">
        <v>22526</v>
      </c>
      <c r="I2714" s="4" t="s">
        <v>63</v>
      </c>
      <c r="J2714" s="4" t="s">
        <v>18880</v>
      </c>
      <c r="K2714" s="4" t="s">
        <v>18881</v>
      </c>
      <c r="L2714" s="4" t="s">
        <v>22527</v>
      </c>
      <c r="M2714" s="4" t="s">
        <v>22528</v>
      </c>
      <c r="N2714" s="4" t="s">
        <v>22529</v>
      </c>
      <c r="O2714" s="4" t="s">
        <v>63</v>
      </c>
      <c r="P2714" s="4"/>
      <c r="Q2714" s="4" t="s">
        <v>63</v>
      </c>
      <c r="R2714" s="4" t="s">
        <v>63</v>
      </c>
      <c r="S2714" s="4" t="s">
        <v>63</v>
      </c>
      <c r="T2714" s="4" t="s">
        <v>63</v>
      </c>
      <c r="U2714" s="4"/>
      <c r="V2714" s="4"/>
      <c r="W2714" s="4"/>
      <c r="X2714" s="4" t="s">
        <v>63</v>
      </c>
      <c r="Y2714" s="4" t="s">
        <v>22530</v>
      </c>
      <c r="Z2714" s="4" t="s">
        <v>63</v>
      </c>
      <c r="AA2714" s="4" t="s">
        <v>63</v>
      </c>
      <c r="AB2714" s="4" t="s">
        <v>63</v>
      </c>
      <c r="AC2714" s="4" t="s">
        <v>67</v>
      </c>
      <c r="AD2714" s="4" t="s">
        <v>63</v>
      </c>
      <c r="AE2714" s="4" t="s">
        <v>63</v>
      </c>
      <c r="AF2714" s="4" t="s">
        <v>63</v>
      </c>
      <c r="AG2714" s="4" t="s">
        <v>63</v>
      </c>
      <c r="AH2714" s="4" t="s">
        <v>63</v>
      </c>
      <c r="AI2714" s="4" t="s">
        <v>22531</v>
      </c>
      <c r="AJ2714" s="4" t="s">
        <v>63</v>
      </c>
      <c r="AK2714" s="4" t="s">
        <v>63</v>
      </c>
      <c r="AL2714" s="4" t="s">
        <v>63</v>
      </c>
      <c r="AM2714" s="4" t="s">
        <v>22525</v>
      </c>
      <c r="AN2714" s="4" t="s">
        <v>63</v>
      </c>
      <c r="AO2714" s="4" t="s">
        <v>63</v>
      </c>
      <c r="AP2714" s="4" t="s">
        <v>63</v>
      </c>
      <c r="AQ2714" s="4" t="s">
        <v>63</v>
      </c>
      <c r="AR2714" s="4" t="s">
        <v>63</v>
      </c>
      <c r="AS2714" s="4" t="s">
        <v>63</v>
      </c>
      <c r="AT2714" s="4" t="s">
        <v>63</v>
      </c>
      <c r="AU2714" s="4" t="s">
        <v>63</v>
      </c>
      <c r="AV2714" s="4" t="s">
        <v>63</v>
      </c>
      <c r="AW2714" s="4" t="s">
        <v>63</v>
      </c>
      <c r="AX2714" s="4" t="s">
        <v>63</v>
      </c>
      <c r="AY2714" s="4" t="s">
        <v>63</v>
      </c>
      <c r="AZ2714" s="4" t="s">
        <v>63</v>
      </c>
      <c r="BA2714" s="4" t="s">
        <v>63</v>
      </c>
      <c r="BB2714" s="4" t="s">
        <v>63</v>
      </c>
      <c r="BC2714" s="4" t="s">
        <v>63</v>
      </c>
      <c r="BD2714" s="4" t="s">
        <v>63</v>
      </c>
      <c r="BE2714" s="4" t="s">
        <v>63</v>
      </c>
      <c r="BF2714" s="4" t="s">
        <v>63</v>
      </c>
    </row>
    <row r="2715" spans="1:58">
      <c r="A2715" s="4" t="s">
        <v>58</v>
      </c>
      <c r="B2715" s="4" t="s">
        <v>22532</v>
      </c>
      <c r="C2715" s="4" t="s">
        <v>22533</v>
      </c>
      <c r="D2715" s="4" t="s">
        <v>1481</v>
      </c>
      <c r="E2715" s="4" t="s">
        <v>1481</v>
      </c>
      <c r="F2715" s="4">
        <v>2008</v>
      </c>
      <c r="G2715" s="4" t="s">
        <v>15665</v>
      </c>
      <c r="H2715" s="4">
        <v>103</v>
      </c>
      <c r="I2715" s="4">
        <v>2</v>
      </c>
      <c r="J2715" s="4">
        <v>216</v>
      </c>
      <c r="K2715" s="4">
        <v>217</v>
      </c>
      <c r="L2715" s="4" t="s">
        <v>22534</v>
      </c>
      <c r="M2715" s="4" t="s">
        <v>63</v>
      </c>
      <c r="N2715" s="4" t="s">
        <v>22535</v>
      </c>
      <c r="O2715" s="4" t="s">
        <v>63</v>
      </c>
      <c r="P2715" s="4"/>
      <c r="Q2715" s="4" t="s">
        <v>63</v>
      </c>
      <c r="R2715" s="4" t="s">
        <v>63</v>
      </c>
      <c r="S2715" s="4" t="s">
        <v>63</v>
      </c>
      <c r="T2715" s="4" t="s">
        <v>63</v>
      </c>
      <c r="U2715" s="4"/>
      <c r="V2715" s="4"/>
      <c r="W2715" s="4"/>
      <c r="X2715" s="4" t="s">
        <v>63</v>
      </c>
      <c r="Y2715" s="4" t="s">
        <v>15061</v>
      </c>
      <c r="Z2715" s="4" t="s">
        <v>63</v>
      </c>
      <c r="AA2715" s="4" t="s">
        <v>63</v>
      </c>
      <c r="AB2715" s="4">
        <v>2008024596</v>
      </c>
      <c r="AC2715" s="4" t="s">
        <v>67</v>
      </c>
      <c r="AD2715" s="4" t="s">
        <v>63</v>
      </c>
      <c r="AE2715" s="4" t="s">
        <v>63</v>
      </c>
      <c r="AF2715" s="4" t="s">
        <v>63</v>
      </c>
      <c r="AG2715" s="4" t="s">
        <v>22536</v>
      </c>
      <c r="AH2715" s="4" t="s">
        <v>63</v>
      </c>
      <c r="AI2715" s="4" t="s">
        <v>22537</v>
      </c>
      <c r="AJ2715" s="4" t="s">
        <v>63</v>
      </c>
      <c r="AK2715" s="4" t="s">
        <v>63</v>
      </c>
      <c r="AL2715" s="4" t="s">
        <v>63</v>
      </c>
      <c r="AM2715" s="4" t="s">
        <v>22538</v>
      </c>
      <c r="AN2715" s="4" t="s">
        <v>63</v>
      </c>
      <c r="AO2715" s="4" t="s">
        <v>63</v>
      </c>
      <c r="AP2715" s="4" t="s">
        <v>63</v>
      </c>
      <c r="AQ2715" s="4" t="s">
        <v>63</v>
      </c>
      <c r="AR2715" s="4" t="s">
        <v>63</v>
      </c>
      <c r="AS2715" s="4" t="s">
        <v>63</v>
      </c>
      <c r="AT2715" s="4" t="s">
        <v>63</v>
      </c>
      <c r="AU2715" s="4" t="s">
        <v>63</v>
      </c>
      <c r="AV2715" s="4" t="s">
        <v>63</v>
      </c>
      <c r="AW2715" s="4" t="s">
        <v>63</v>
      </c>
      <c r="AX2715" s="4" t="s">
        <v>63</v>
      </c>
      <c r="AY2715" s="4" t="s">
        <v>63</v>
      </c>
      <c r="AZ2715" s="4" t="s">
        <v>63</v>
      </c>
      <c r="BA2715" s="4" t="s">
        <v>63</v>
      </c>
      <c r="BB2715" s="4" t="s">
        <v>63</v>
      </c>
      <c r="BC2715" s="4" t="s">
        <v>63</v>
      </c>
      <c r="BD2715" s="4" t="s">
        <v>63</v>
      </c>
      <c r="BE2715" s="4" t="s">
        <v>63</v>
      </c>
      <c r="BF2715" s="4" t="s">
        <v>63</v>
      </c>
    </row>
    <row r="2716" spans="1:58">
      <c r="A2716" s="4" t="s">
        <v>58</v>
      </c>
      <c r="B2716" s="4" t="s">
        <v>22539</v>
      </c>
      <c r="C2716" s="4" t="s">
        <v>22540</v>
      </c>
      <c r="D2716" s="4" t="s">
        <v>15421</v>
      </c>
      <c r="E2716" s="4" t="s">
        <v>63</v>
      </c>
      <c r="F2716" s="4">
        <v>2012</v>
      </c>
      <c r="G2716" s="4" t="s">
        <v>63</v>
      </c>
      <c r="H2716" s="4">
        <v>33</v>
      </c>
      <c r="I2716" s="4">
        <v>2</v>
      </c>
      <c r="J2716" s="4">
        <v>92</v>
      </c>
      <c r="K2716" s="4">
        <v>98</v>
      </c>
      <c r="L2716" s="4" t="s">
        <v>22541</v>
      </c>
      <c r="M2716" s="4" t="s">
        <v>22542</v>
      </c>
      <c r="N2716" s="4" t="s">
        <v>22543</v>
      </c>
      <c r="O2716" s="4" t="s">
        <v>63</v>
      </c>
      <c r="P2716" s="4"/>
      <c r="Q2716" s="4" t="s">
        <v>63</v>
      </c>
      <c r="R2716" s="4" t="s">
        <v>63</v>
      </c>
      <c r="S2716" s="4" t="s">
        <v>63</v>
      </c>
      <c r="T2716" s="4" t="s">
        <v>63</v>
      </c>
      <c r="U2716" s="4"/>
      <c r="V2716" s="4"/>
      <c r="W2716" s="4"/>
      <c r="X2716" s="4" t="s">
        <v>63</v>
      </c>
      <c r="Y2716" s="4" t="s">
        <v>15425</v>
      </c>
      <c r="Z2716" s="4" t="s">
        <v>63</v>
      </c>
      <c r="AA2716" s="4" t="s">
        <v>63</v>
      </c>
      <c r="AB2716" s="4" t="s">
        <v>63</v>
      </c>
      <c r="AC2716" s="4" t="s">
        <v>67</v>
      </c>
      <c r="AD2716" s="4" t="s">
        <v>63</v>
      </c>
      <c r="AE2716" s="4" t="s">
        <v>63</v>
      </c>
      <c r="AF2716" s="4" t="s">
        <v>63</v>
      </c>
      <c r="AG2716" s="4" t="s">
        <v>22544</v>
      </c>
      <c r="AH2716" s="4" t="s">
        <v>63</v>
      </c>
      <c r="AI2716" s="4" t="s">
        <v>22545</v>
      </c>
      <c r="AJ2716" s="4" t="s">
        <v>63</v>
      </c>
      <c r="AK2716" s="4" t="s">
        <v>63</v>
      </c>
      <c r="AL2716" s="4" t="s">
        <v>63</v>
      </c>
      <c r="AM2716" s="4" t="s">
        <v>22546</v>
      </c>
      <c r="AN2716" s="4" t="s">
        <v>63</v>
      </c>
      <c r="AO2716" s="4" t="s">
        <v>63</v>
      </c>
      <c r="AP2716" s="4" t="s">
        <v>63</v>
      </c>
      <c r="AQ2716" s="4" t="s">
        <v>63</v>
      </c>
      <c r="AR2716" s="4" t="s">
        <v>63</v>
      </c>
      <c r="AS2716" s="4" t="s">
        <v>63</v>
      </c>
      <c r="AT2716" s="4" t="s">
        <v>63</v>
      </c>
      <c r="AU2716" s="4" t="s">
        <v>63</v>
      </c>
      <c r="AV2716" s="4" t="s">
        <v>63</v>
      </c>
      <c r="AW2716" s="4" t="s">
        <v>63</v>
      </c>
      <c r="AX2716" s="4" t="s">
        <v>63</v>
      </c>
      <c r="AY2716" s="4" t="s">
        <v>63</v>
      </c>
      <c r="AZ2716" s="4" t="s">
        <v>63</v>
      </c>
      <c r="BA2716" s="4" t="s">
        <v>63</v>
      </c>
      <c r="BB2716" s="4" t="s">
        <v>63</v>
      </c>
      <c r="BC2716" s="4" t="s">
        <v>63</v>
      </c>
      <c r="BD2716" s="4" t="s">
        <v>63</v>
      </c>
      <c r="BE2716" s="4" t="s">
        <v>63</v>
      </c>
      <c r="BF2716" s="4" t="s">
        <v>63</v>
      </c>
    </row>
    <row r="2717" spans="1:58">
      <c r="A2717" s="4" t="s">
        <v>58</v>
      </c>
      <c r="B2717" s="4" t="s">
        <v>22547</v>
      </c>
      <c r="C2717" s="4" t="s">
        <v>22548</v>
      </c>
      <c r="D2717" s="4" t="s">
        <v>22549</v>
      </c>
      <c r="E2717" s="4" t="s">
        <v>63</v>
      </c>
      <c r="F2717" s="4">
        <v>1997</v>
      </c>
      <c r="G2717" s="4" t="s">
        <v>16091</v>
      </c>
      <c r="H2717" s="4">
        <v>42</v>
      </c>
      <c r="I2717" s="4">
        <v>9</v>
      </c>
      <c r="J2717" s="4">
        <v>950</v>
      </c>
      <c r="K2717" s="4">
        <v>954</v>
      </c>
      <c r="L2717" s="4" t="s">
        <v>22550</v>
      </c>
      <c r="M2717" s="4" t="s">
        <v>22551</v>
      </c>
      <c r="N2717" s="4" t="s">
        <v>22552</v>
      </c>
      <c r="O2717" s="4" t="s">
        <v>63</v>
      </c>
      <c r="P2717" s="4"/>
      <c r="Q2717" s="4" t="s">
        <v>63</v>
      </c>
      <c r="R2717" s="4" t="s">
        <v>63</v>
      </c>
      <c r="S2717" s="4" t="s">
        <v>63</v>
      </c>
      <c r="T2717" s="4" t="s">
        <v>63</v>
      </c>
      <c r="U2717" s="4"/>
      <c r="V2717" s="4"/>
      <c r="W2717" s="4"/>
      <c r="X2717" s="4" t="s">
        <v>63</v>
      </c>
      <c r="Y2717" s="4" t="s">
        <v>22553</v>
      </c>
      <c r="Z2717" s="4" t="s">
        <v>63</v>
      </c>
      <c r="AA2717" s="4" t="s">
        <v>63</v>
      </c>
      <c r="AB2717" s="4">
        <v>1998028478</v>
      </c>
      <c r="AC2717" s="4" t="s">
        <v>67</v>
      </c>
      <c r="AD2717" s="4" t="s">
        <v>63</v>
      </c>
      <c r="AE2717" s="4" t="s">
        <v>63</v>
      </c>
      <c r="AF2717" s="4" t="s">
        <v>63</v>
      </c>
      <c r="AG2717" s="4" t="s">
        <v>22554</v>
      </c>
      <c r="AH2717" s="4" t="s">
        <v>63</v>
      </c>
      <c r="AI2717" s="4" t="s">
        <v>63</v>
      </c>
      <c r="AJ2717" s="4" t="s">
        <v>63</v>
      </c>
      <c r="AK2717" s="4" t="s">
        <v>63</v>
      </c>
      <c r="AL2717" s="4" t="s">
        <v>63</v>
      </c>
      <c r="AM2717" s="4" t="s">
        <v>22555</v>
      </c>
      <c r="AN2717" s="4" t="s">
        <v>63</v>
      </c>
      <c r="AO2717" s="4" t="s">
        <v>63</v>
      </c>
      <c r="AP2717" s="4" t="s">
        <v>63</v>
      </c>
      <c r="AQ2717" s="4" t="s">
        <v>63</v>
      </c>
      <c r="AR2717" s="4" t="s">
        <v>63</v>
      </c>
      <c r="AS2717" s="4" t="s">
        <v>63</v>
      </c>
      <c r="AT2717" s="4" t="s">
        <v>63</v>
      </c>
      <c r="AU2717" s="4" t="s">
        <v>63</v>
      </c>
      <c r="AV2717" s="4" t="s">
        <v>63</v>
      </c>
      <c r="AW2717" s="4" t="s">
        <v>63</v>
      </c>
      <c r="AX2717" s="4" t="s">
        <v>63</v>
      </c>
      <c r="AY2717" s="4" t="s">
        <v>63</v>
      </c>
      <c r="AZ2717" s="4" t="s">
        <v>63</v>
      </c>
      <c r="BA2717" s="4" t="s">
        <v>63</v>
      </c>
      <c r="BB2717" s="4" t="s">
        <v>63</v>
      </c>
      <c r="BC2717" s="4" t="s">
        <v>63</v>
      </c>
      <c r="BD2717" s="4" t="s">
        <v>63</v>
      </c>
      <c r="BE2717" s="4" t="s">
        <v>63</v>
      </c>
      <c r="BF2717" s="4" t="s">
        <v>63</v>
      </c>
    </row>
    <row r="2718" spans="1:58">
      <c r="A2718" s="4" t="s">
        <v>58</v>
      </c>
      <c r="B2718" s="4" t="s">
        <v>22556</v>
      </c>
      <c r="C2718" s="4" t="s">
        <v>22557</v>
      </c>
      <c r="D2718" s="4" t="s">
        <v>13017</v>
      </c>
      <c r="E2718" s="4" t="s">
        <v>13017</v>
      </c>
      <c r="F2718" s="4" t="s">
        <v>63</v>
      </c>
      <c r="G2718" s="4" t="s">
        <v>63</v>
      </c>
      <c r="H2718" s="4" t="s">
        <v>22558</v>
      </c>
      <c r="I2718" s="4">
        <v>8</v>
      </c>
      <c r="J2718" s="4">
        <v>492</v>
      </c>
      <c r="K2718" s="4">
        <v>495</v>
      </c>
      <c r="L2718" s="4" t="s">
        <v>22559</v>
      </c>
      <c r="M2718" s="4" t="s">
        <v>22560</v>
      </c>
      <c r="N2718" s="4" t="s">
        <v>22561</v>
      </c>
      <c r="O2718" s="4" t="s">
        <v>63</v>
      </c>
      <c r="P2718" s="4"/>
      <c r="Q2718" s="4" t="s">
        <v>63</v>
      </c>
      <c r="R2718" s="4" t="s">
        <v>63</v>
      </c>
      <c r="S2718" s="4" t="s">
        <v>63</v>
      </c>
      <c r="T2718" s="4" t="s">
        <v>63</v>
      </c>
      <c r="U2718" s="4"/>
      <c r="V2718" s="4"/>
      <c r="W2718" s="4"/>
      <c r="X2718" s="4" t="s">
        <v>63</v>
      </c>
      <c r="Y2718" s="4" t="s">
        <v>22562</v>
      </c>
      <c r="Z2718" s="4" t="s">
        <v>63</v>
      </c>
      <c r="AA2718" s="4" t="s">
        <v>63</v>
      </c>
      <c r="AB2718" s="4" t="s">
        <v>63</v>
      </c>
      <c r="AC2718" s="4" t="s">
        <v>102</v>
      </c>
      <c r="AD2718" s="4" t="s">
        <v>63</v>
      </c>
      <c r="AE2718" s="4" t="s">
        <v>63</v>
      </c>
      <c r="AF2718" s="4" t="s">
        <v>63</v>
      </c>
      <c r="AG2718" s="4" t="s">
        <v>22563</v>
      </c>
      <c r="AH2718" s="4" t="s">
        <v>63</v>
      </c>
      <c r="AI2718" s="4" t="s">
        <v>63</v>
      </c>
      <c r="AJ2718" s="4" t="s">
        <v>63</v>
      </c>
      <c r="AK2718" s="4" t="s">
        <v>63</v>
      </c>
      <c r="AL2718" s="4" t="s">
        <v>63</v>
      </c>
      <c r="AM2718" s="4" t="s">
        <v>22564</v>
      </c>
      <c r="AN2718" s="4" t="s">
        <v>63</v>
      </c>
      <c r="AO2718" s="4" t="s">
        <v>63</v>
      </c>
      <c r="AP2718" s="4" t="s">
        <v>63</v>
      </c>
      <c r="AQ2718" s="4" t="s">
        <v>63</v>
      </c>
      <c r="AR2718" s="4" t="s">
        <v>63</v>
      </c>
      <c r="AS2718" s="4" t="s">
        <v>63</v>
      </c>
      <c r="AT2718" s="4" t="s">
        <v>63</v>
      </c>
      <c r="AU2718" s="4" t="s">
        <v>63</v>
      </c>
      <c r="AV2718" s="4" t="s">
        <v>63</v>
      </c>
      <c r="AW2718" s="4" t="s">
        <v>63</v>
      </c>
      <c r="AX2718" s="4" t="s">
        <v>63</v>
      </c>
      <c r="AY2718" s="4" t="s">
        <v>63</v>
      </c>
      <c r="AZ2718" s="4" t="s">
        <v>63</v>
      </c>
      <c r="BA2718" s="4" t="s">
        <v>63</v>
      </c>
      <c r="BB2718" s="4" t="s">
        <v>63</v>
      </c>
      <c r="BC2718" s="4" t="s">
        <v>63</v>
      </c>
      <c r="BD2718" s="4" t="s">
        <v>63</v>
      </c>
      <c r="BE2718" s="4" t="s">
        <v>63</v>
      </c>
      <c r="BF2718" s="4" t="s">
        <v>63</v>
      </c>
    </row>
    <row r="2719" spans="1:58">
      <c r="A2719" s="4" t="s">
        <v>58</v>
      </c>
      <c r="B2719" s="4" t="s">
        <v>22565</v>
      </c>
      <c r="C2719" s="4" t="s">
        <v>22566</v>
      </c>
      <c r="D2719" s="4" t="s">
        <v>4245</v>
      </c>
      <c r="E2719" s="4" t="s">
        <v>4246</v>
      </c>
      <c r="F2719" s="4">
        <v>2005</v>
      </c>
      <c r="G2719" s="4">
        <v>3</v>
      </c>
      <c r="H2719" s="4">
        <v>125</v>
      </c>
      <c r="I2719" s="4">
        <v>3</v>
      </c>
      <c r="J2719" s="4">
        <v>276</v>
      </c>
      <c r="K2719" s="4">
        <v>277</v>
      </c>
      <c r="L2719" s="4" t="s">
        <v>22567</v>
      </c>
      <c r="M2719" s="4" t="s">
        <v>22568</v>
      </c>
      <c r="N2719" s="4" t="s">
        <v>22569</v>
      </c>
      <c r="O2719" s="4" t="s">
        <v>63</v>
      </c>
      <c r="P2719" s="4"/>
      <c r="Q2719" s="4" t="s">
        <v>63</v>
      </c>
      <c r="R2719" s="4" t="s">
        <v>63</v>
      </c>
      <c r="S2719" s="4" t="s">
        <v>63</v>
      </c>
      <c r="T2719" s="4" t="s">
        <v>63</v>
      </c>
      <c r="U2719" s="4"/>
      <c r="V2719" s="4"/>
      <c r="W2719" s="4"/>
      <c r="X2719" s="4" t="s">
        <v>63</v>
      </c>
      <c r="Y2719" s="4" t="s">
        <v>4250</v>
      </c>
      <c r="Z2719" s="4" t="s">
        <v>63</v>
      </c>
      <c r="AA2719" s="4" t="s">
        <v>63</v>
      </c>
      <c r="AB2719" s="4">
        <v>2005188637</v>
      </c>
      <c r="AC2719" s="4" t="s">
        <v>4252</v>
      </c>
      <c r="AD2719" s="4" t="s">
        <v>63</v>
      </c>
      <c r="AE2719" s="4" t="s">
        <v>63</v>
      </c>
      <c r="AF2719" s="4" t="s">
        <v>63</v>
      </c>
      <c r="AG2719" s="4" t="s">
        <v>22570</v>
      </c>
      <c r="AH2719" s="4" t="s">
        <v>63</v>
      </c>
      <c r="AI2719" s="4" t="s">
        <v>63</v>
      </c>
      <c r="AJ2719" s="4" t="s">
        <v>63</v>
      </c>
      <c r="AK2719" s="4" t="s">
        <v>63</v>
      </c>
      <c r="AL2719" s="4" t="s">
        <v>63</v>
      </c>
      <c r="AM2719" s="4" t="s">
        <v>22571</v>
      </c>
      <c r="AN2719" s="4" t="s">
        <v>63</v>
      </c>
      <c r="AO2719" s="4" t="s">
        <v>63</v>
      </c>
      <c r="AP2719" s="4" t="s">
        <v>63</v>
      </c>
      <c r="AQ2719" s="4" t="s">
        <v>63</v>
      </c>
      <c r="AR2719" s="4" t="s">
        <v>63</v>
      </c>
      <c r="AS2719" s="4" t="s">
        <v>63</v>
      </c>
      <c r="AT2719" s="4" t="s">
        <v>63</v>
      </c>
      <c r="AU2719" s="4" t="s">
        <v>63</v>
      </c>
      <c r="AV2719" s="4" t="s">
        <v>63</v>
      </c>
      <c r="AW2719" s="4" t="s">
        <v>63</v>
      </c>
      <c r="AX2719" s="4" t="s">
        <v>63</v>
      </c>
      <c r="AY2719" s="4" t="s">
        <v>63</v>
      </c>
      <c r="AZ2719" s="4" t="s">
        <v>63</v>
      </c>
      <c r="BA2719" s="4" t="s">
        <v>63</v>
      </c>
      <c r="BB2719" s="4" t="s">
        <v>63</v>
      </c>
      <c r="BC2719" s="4" t="s">
        <v>63</v>
      </c>
      <c r="BD2719" s="4" t="s">
        <v>63</v>
      </c>
      <c r="BE2719" s="4" t="s">
        <v>63</v>
      </c>
      <c r="BF2719" s="4" t="s">
        <v>63</v>
      </c>
    </row>
    <row r="2720" spans="1:58">
      <c r="A2720" s="4" t="s">
        <v>58</v>
      </c>
      <c r="B2720" s="4" t="s">
        <v>22572</v>
      </c>
      <c r="C2720" s="4" t="s">
        <v>22573</v>
      </c>
      <c r="D2720" s="4" t="s">
        <v>6854</v>
      </c>
      <c r="E2720" s="4" t="s">
        <v>63</v>
      </c>
      <c r="F2720" s="4">
        <v>2013</v>
      </c>
      <c r="G2720" s="6">
        <v>41882</v>
      </c>
      <c r="H2720" s="4" t="s">
        <v>15842</v>
      </c>
      <c r="I2720" s="4" t="s">
        <v>63</v>
      </c>
      <c r="J2720" s="4" t="s">
        <v>63</v>
      </c>
      <c r="K2720" s="4" t="s">
        <v>63</v>
      </c>
      <c r="L2720" s="4" t="s">
        <v>22574</v>
      </c>
      <c r="M2720" s="4" t="s">
        <v>22575</v>
      </c>
      <c r="N2720" s="4" t="s">
        <v>22576</v>
      </c>
      <c r="O2720" s="4" t="s">
        <v>63</v>
      </c>
      <c r="P2720" s="4"/>
      <c r="Q2720" s="4" t="s">
        <v>63</v>
      </c>
      <c r="R2720" s="4" t="s">
        <v>63</v>
      </c>
      <c r="S2720" s="4" t="s">
        <v>63</v>
      </c>
      <c r="T2720" s="4" t="s">
        <v>63</v>
      </c>
      <c r="U2720" s="4"/>
      <c r="V2720" s="4"/>
      <c r="W2720" s="4"/>
      <c r="X2720" s="4" t="s">
        <v>63</v>
      </c>
      <c r="Y2720" s="4" t="s">
        <v>15322</v>
      </c>
      <c r="Z2720" s="4" t="s">
        <v>63</v>
      </c>
      <c r="AA2720" s="4" t="s">
        <v>63</v>
      </c>
      <c r="AB2720" s="4" t="s">
        <v>63</v>
      </c>
      <c r="AC2720" s="4" t="s">
        <v>67</v>
      </c>
      <c r="AD2720" s="4" t="s">
        <v>63</v>
      </c>
      <c r="AE2720" s="4" t="s">
        <v>63</v>
      </c>
      <c r="AF2720" s="4" t="s">
        <v>63</v>
      </c>
      <c r="AG2720" s="4" t="s">
        <v>63</v>
      </c>
      <c r="AH2720" s="4" t="s">
        <v>63</v>
      </c>
      <c r="AI2720" s="4" t="s">
        <v>63</v>
      </c>
      <c r="AJ2720" s="4" t="s">
        <v>63</v>
      </c>
      <c r="AK2720" s="4" t="s">
        <v>63</v>
      </c>
      <c r="AL2720" s="4" t="s">
        <v>63</v>
      </c>
      <c r="AM2720" s="4" t="s">
        <v>22573</v>
      </c>
      <c r="AN2720" s="4" t="s">
        <v>63</v>
      </c>
      <c r="AO2720" s="4" t="s">
        <v>63</v>
      </c>
      <c r="AP2720" s="4" t="s">
        <v>63</v>
      </c>
      <c r="AQ2720" s="4" t="s">
        <v>63</v>
      </c>
      <c r="AR2720" s="4" t="s">
        <v>63</v>
      </c>
      <c r="AS2720" s="4" t="s">
        <v>63</v>
      </c>
      <c r="AT2720" s="4" t="s">
        <v>63</v>
      </c>
      <c r="AU2720" s="4" t="s">
        <v>63</v>
      </c>
      <c r="AV2720" s="4" t="s">
        <v>63</v>
      </c>
      <c r="AW2720" s="4" t="s">
        <v>63</v>
      </c>
      <c r="AX2720" s="4" t="s">
        <v>63</v>
      </c>
      <c r="AY2720" s="4" t="s">
        <v>63</v>
      </c>
      <c r="AZ2720" s="4" t="s">
        <v>63</v>
      </c>
      <c r="BA2720" s="4" t="s">
        <v>63</v>
      </c>
      <c r="BB2720" s="4" t="s">
        <v>63</v>
      </c>
      <c r="BC2720" s="4" t="s">
        <v>63</v>
      </c>
      <c r="BD2720" s="4" t="s">
        <v>63</v>
      </c>
      <c r="BE2720" s="4" t="s">
        <v>63</v>
      </c>
      <c r="BF2720" s="4" t="s">
        <v>63</v>
      </c>
    </row>
    <row r="2721" spans="1:58">
      <c r="A2721" s="4" t="s">
        <v>58</v>
      </c>
      <c r="B2721" s="4" t="s">
        <v>22577</v>
      </c>
      <c r="C2721" s="4" t="s">
        <v>22578</v>
      </c>
      <c r="D2721" s="4" t="s">
        <v>16219</v>
      </c>
      <c r="E2721" s="4" t="s">
        <v>63</v>
      </c>
      <c r="F2721" s="4">
        <v>1993</v>
      </c>
      <c r="G2721" s="4" t="s">
        <v>63</v>
      </c>
      <c r="H2721" s="4">
        <v>39</v>
      </c>
      <c r="I2721" s="4">
        <v>2</v>
      </c>
      <c r="J2721" s="4">
        <v>132</v>
      </c>
      <c r="K2721" s="4">
        <v>135</v>
      </c>
      <c r="L2721" s="4" t="s">
        <v>22579</v>
      </c>
      <c r="M2721" s="4" t="s">
        <v>63</v>
      </c>
      <c r="N2721" s="4" t="s">
        <v>22580</v>
      </c>
      <c r="O2721" s="4" t="s">
        <v>63</v>
      </c>
      <c r="P2721" s="4"/>
      <c r="Q2721" s="4" t="s">
        <v>63</v>
      </c>
      <c r="R2721" s="4" t="s">
        <v>63</v>
      </c>
      <c r="S2721" s="4" t="s">
        <v>63</v>
      </c>
      <c r="T2721" s="4" t="s">
        <v>63</v>
      </c>
      <c r="U2721" s="4"/>
      <c r="V2721" s="4"/>
      <c r="W2721" s="4"/>
      <c r="X2721" s="4" t="s">
        <v>63</v>
      </c>
      <c r="Y2721" s="4" t="s">
        <v>16223</v>
      </c>
      <c r="Z2721" s="4" t="s">
        <v>63</v>
      </c>
      <c r="AA2721" s="4" t="s">
        <v>63</v>
      </c>
      <c r="AB2721" s="4" t="s">
        <v>22581</v>
      </c>
      <c r="AC2721" s="4" t="s">
        <v>102</v>
      </c>
      <c r="AD2721" s="4" t="s">
        <v>63</v>
      </c>
      <c r="AE2721" s="4" t="s">
        <v>63</v>
      </c>
      <c r="AF2721" s="4" t="s">
        <v>63</v>
      </c>
      <c r="AG2721" s="4" t="s">
        <v>63</v>
      </c>
      <c r="AH2721" s="4" t="s">
        <v>63</v>
      </c>
      <c r="AI2721" s="4" t="s">
        <v>63</v>
      </c>
      <c r="AJ2721" s="4" t="s">
        <v>63</v>
      </c>
      <c r="AK2721" s="4" t="s">
        <v>63</v>
      </c>
      <c r="AL2721" s="4" t="s">
        <v>63</v>
      </c>
      <c r="AM2721" s="4" t="s">
        <v>22578</v>
      </c>
      <c r="AN2721" s="4" t="s">
        <v>63</v>
      </c>
      <c r="AO2721" s="4" t="s">
        <v>63</v>
      </c>
      <c r="AP2721" s="4" t="s">
        <v>63</v>
      </c>
      <c r="AQ2721" s="4" t="s">
        <v>63</v>
      </c>
      <c r="AR2721" s="4" t="s">
        <v>63</v>
      </c>
      <c r="AS2721" s="4" t="s">
        <v>63</v>
      </c>
      <c r="AT2721" s="4" t="s">
        <v>63</v>
      </c>
      <c r="AU2721" s="4" t="s">
        <v>63</v>
      </c>
      <c r="AV2721" s="4" t="s">
        <v>63</v>
      </c>
      <c r="AW2721" s="4" t="s">
        <v>63</v>
      </c>
      <c r="AX2721" s="4" t="s">
        <v>63</v>
      </c>
      <c r="AY2721" s="4" t="s">
        <v>63</v>
      </c>
      <c r="AZ2721" s="4" t="s">
        <v>63</v>
      </c>
      <c r="BA2721" s="4" t="s">
        <v>63</v>
      </c>
      <c r="BB2721" s="4" t="s">
        <v>63</v>
      </c>
      <c r="BC2721" s="4" t="s">
        <v>63</v>
      </c>
      <c r="BD2721" s="4" t="s">
        <v>63</v>
      </c>
      <c r="BE2721" s="4" t="s">
        <v>63</v>
      </c>
      <c r="BF2721" s="4" t="s">
        <v>63</v>
      </c>
    </row>
    <row r="2722" spans="1:58">
      <c r="A2722" s="4" t="s">
        <v>58</v>
      </c>
      <c r="B2722" s="4" t="s">
        <v>22582</v>
      </c>
      <c r="C2722" s="4" t="s">
        <v>22583</v>
      </c>
      <c r="D2722" s="4" t="s">
        <v>22584</v>
      </c>
      <c r="E2722" s="4" t="s">
        <v>63</v>
      </c>
      <c r="F2722" s="4">
        <v>1975</v>
      </c>
      <c r="G2722" s="4" t="s">
        <v>63</v>
      </c>
      <c r="H2722" s="4">
        <v>8</v>
      </c>
      <c r="I2722" s="4">
        <v>4</v>
      </c>
      <c r="J2722" s="4">
        <v>273</v>
      </c>
      <c r="K2722" s="4">
        <v>279</v>
      </c>
      <c r="L2722" s="4" t="s">
        <v>22585</v>
      </c>
      <c r="M2722" s="4" t="s">
        <v>22586</v>
      </c>
      <c r="N2722" s="4" t="s">
        <v>22587</v>
      </c>
      <c r="O2722" s="4" t="s">
        <v>63</v>
      </c>
      <c r="P2722" s="4"/>
      <c r="Q2722" s="4" t="s">
        <v>63</v>
      </c>
      <c r="R2722" s="4" t="s">
        <v>63</v>
      </c>
      <c r="S2722" s="4" t="s">
        <v>63</v>
      </c>
      <c r="T2722" s="4" t="s">
        <v>63</v>
      </c>
      <c r="U2722" s="4"/>
      <c r="V2722" s="4"/>
      <c r="W2722" s="4"/>
      <c r="X2722" s="4" t="s">
        <v>63</v>
      </c>
      <c r="Y2722" s="4" t="s">
        <v>22588</v>
      </c>
      <c r="Z2722" s="4" t="s">
        <v>63</v>
      </c>
      <c r="AA2722" s="4" t="s">
        <v>63</v>
      </c>
      <c r="AB2722" s="4" t="s">
        <v>22589</v>
      </c>
      <c r="AC2722" s="4" t="s">
        <v>1371</v>
      </c>
      <c r="AD2722" s="4" t="s">
        <v>63</v>
      </c>
      <c r="AE2722" s="4" t="s">
        <v>63</v>
      </c>
      <c r="AF2722" s="4" t="s">
        <v>63</v>
      </c>
      <c r="AG2722" s="4" t="s">
        <v>63</v>
      </c>
      <c r="AH2722" s="4" t="s">
        <v>63</v>
      </c>
      <c r="AI2722" s="4" t="s">
        <v>63</v>
      </c>
      <c r="AJ2722" s="4" t="s">
        <v>63</v>
      </c>
      <c r="AK2722" s="4" t="s">
        <v>63</v>
      </c>
      <c r="AL2722" s="4" t="s">
        <v>63</v>
      </c>
      <c r="AM2722" s="4" t="s">
        <v>22583</v>
      </c>
      <c r="AN2722" s="4" t="s">
        <v>63</v>
      </c>
      <c r="AO2722" s="4" t="s">
        <v>63</v>
      </c>
      <c r="AP2722" s="4" t="s">
        <v>63</v>
      </c>
      <c r="AQ2722" s="4" t="s">
        <v>63</v>
      </c>
      <c r="AR2722" s="4" t="s">
        <v>63</v>
      </c>
      <c r="AS2722" s="4" t="s">
        <v>63</v>
      </c>
      <c r="AT2722" s="4" t="s">
        <v>63</v>
      </c>
      <c r="AU2722" s="4" t="s">
        <v>63</v>
      </c>
      <c r="AV2722" s="4" t="s">
        <v>63</v>
      </c>
      <c r="AW2722" s="4" t="s">
        <v>63</v>
      </c>
      <c r="AX2722" s="4" t="s">
        <v>63</v>
      </c>
      <c r="AY2722" s="4" t="s">
        <v>63</v>
      </c>
      <c r="AZ2722" s="4" t="s">
        <v>63</v>
      </c>
      <c r="BA2722" s="4" t="s">
        <v>63</v>
      </c>
      <c r="BB2722" s="4" t="s">
        <v>63</v>
      </c>
      <c r="BC2722" s="4" t="s">
        <v>63</v>
      </c>
      <c r="BD2722" s="4" t="s">
        <v>63</v>
      </c>
      <c r="BE2722" s="4" t="s">
        <v>63</v>
      </c>
      <c r="BF2722" s="4" t="s">
        <v>63</v>
      </c>
    </row>
    <row r="2723" spans="1:58">
      <c r="A2723" s="4" t="s">
        <v>58</v>
      </c>
      <c r="B2723" s="4" t="s">
        <v>22590</v>
      </c>
      <c r="C2723" s="4" t="s">
        <v>22591</v>
      </c>
      <c r="D2723" s="4" t="s">
        <v>22592</v>
      </c>
      <c r="E2723" s="4" t="s">
        <v>63</v>
      </c>
      <c r="F2723" s="4">
        <v>2009</v>
      </c>
      <c r="G2723" s="4" t="s">
        <v>63</v>
      </c>
      <c r="H2723" s="4">
        <v>65</v>
      </c>
      <c r="I2723" s="4">
        <v>19</v>
      </c>
      <c r="J2723" s="4">
        <v>875</v>
      </c>
      <c r="K2723" s="4">
        <v>879</v>
      </c>
      <c r="L2723" s="4" t="s">
        <v>22593</v>
      </c>
      <c r="M2723" s="4" t="s">
        <v>22594</v>
      </c>
      <c r="N2723" s="4" t="s">
        <v>22595</v>
      </c>
      <c r="O2723" s="4" t="s">
        <v>63</v>
      </c>
      <c r="P2723" s="4"/>
      <c r="Q2723" s="4" t="s">
        <v>63</v>
      </c>
      <c r="R2723" s="4" t="s">
        <v>63</v>
      </c>
      <c r="S2723" s="4" t="s">
        <v>63</v>
      </c>
      <c r="T2723" s="4" t="s">
        <v>63</v>
      </c>
      <c r="U2723" s="4"/>
      <c r="V2723" s="4"/>
      <c r="W2723" s="4"/>
      <c r="X2723" s="4" t="s">
        <v>63</v>
      </c>
      <c r="Y2723" s="4" t="s">
        <v>22596</v>
      </c>
      <c r="Z2723" s="4" t="s">
        <v>63</v>
      </c>
      <c r="AA2723" s="4" t="s">
        <v>63</v>
      </c>
      <c r="AB2723" s="4" t="s">
        <v>22597</v>
      </c>
      <c r="AC2723" s="4" t="s">
        <v>3475</v>
      </c>
      <c r="AD2723" s="4" t="s">
        <v>63</v>
      </c>
      <c r="AE2723" s="4" t="s">
        <v>63</v>
      </c>
      <c r="AF2723" s="4" t="s">
        <v>63</v>
      </c>
      <c r="AG2723" s="4" t="s">
        <v>63</v>
      </c>
      <c r="AH2723" s="4" t="s">
        <v>63</v>
      </c>
      <c r="AI2723" s="4" t="s">
        <v>22598</v>
      </c>
      <c r="AJ2723" s="4" t="s">
        <v>63</v>
      </c>
      <c r="AK2723" s="4" t="s">
        <v>63</v>
      </c>
      <c r="AL2723" s="4" t="s">
        <v>63</v>
      </c>
      <c r="AM2723" s="4" t="s">
        <v>22591</v>
      </c>
      <c r="AN2723" s="4" t="s">
        <v>63</v>
      </c>
      <c r="AO2723" s="4" t="s">
        <v>63</v>
      </c>
      <c r="AP2723" s="4" t="s">
        <v>63</v>
      </c>
      <c r="AQ2723" s="4" t="s">
        <v>63</v>
      </c>
      <c r="AR2723" s="4" t="s">
        <v>63</v>
      </c>
      <c r="AS2723" s="4" t="s">
        <v>63</v>
      </c>
      <c r="AT2723" s="4" t="s">
        <v>63</v>
      </c>
      <c r="AU2723" s="4" t="s">
        <v>63</v>
      </c>
      <c r="AV2723" s="4" t="s">
        <v>63</v>
      </c>
      <c r="AW2723" s="4" t="s">
        <v>63</v>
      </c>
      <c r="AX2723" s="4" t="s">
        <v>63</v>
      </c>
      <c r="AY2723" s="4" t="s">
        <v>63</v>
      </c>
      <c r="AZ2723" s="4" t="s">
        <v>63</v>
      </c>
      <c r="BA2723" s="4" t="s">
        <v>63</v>
      </c>
      <c r="BB2723" s="4" t="s">
        <v>63</v>
      </c>
      <c r="BC2723" s="4" t="s">
        <v>63</v>
      </c>
      <c r="BD2723" s="4" t="s">
        <v>63</v>
      </c>
      <c r="BE2723" s="4" t="s">
        <v>63</v>
      </c>
      <c r="BF2723" s="4" t="s">
        <v>63</v>
      </c>
    </row>
    <row r="2724" spans="1:58">
      <c r="A2724" s="4" t="s">
        <v>58</v>
      </c>
      <c r="B2724" s="4" t="s">
        <v>22599</v>
      </c>
      <c r="C2724" s="4" t="s">
        <v>22600</v>
      </c>
      <c r="D2724" s="4" t="s">
        <v>16880</v>
      </c>
      <c r="E2724" s="4" t="s">
        <v>16881</v>
      </c>
      <c r="F2724" s="4">
        <v>2015</v>
      </c>
      <c r="G2724" s="4" t="s">
        <v>16882</v>
      </c>
      <c r="H2724" s="4">
        <v>40</v>
      </c>
      <c r="I2724" s="4">
        <v>5</v>
      </c>
      <c r="J2724" s="4" t="s">
        <v>22601</v>
      </c>
      <c r="K2724" s="4" t="s">
        <v>63</v>
      </c>
      <c r="L2724" s="4" t="s">
        <v>22602</v>
      </c>
      <c r="M2724" s="4" t="s">
        <v>22603</v>
      </c>
      <c r="N2724" s="4" t="s">
        <v>22604</v>
      </c>
      <c r="O2724" s="4" t="s">
        <v>63</v>
      </c>
      <c r="P2724" s="4"/>
      <c r="Q2724" s="4" t="s">
        <v>63</v>
      </c>
      <c r="R2724" s="4" t="s">
        <v>63</v>
      </c>
      <c r="S2724" s="4" t="s">
        <v>63</v>
      </c>
      <c r="T2724" s="4" t="s">
        <v>63</v>
      </c>
      <c r="U2724" s="4"/>
      <c r="V2724" s="4"/>
      <c r="W2724" s="4"/>
      <c r="X2724" s="4" t="s">
        <v>63</v>
      </c>
      <c r="Y2724" s="4" t="s">
        <v>16888</v>
      </c>
      <c r="Z2724" s="4" t="s">
        <v>63</v>
      </c>
      <c r="AA2724" s="4" t="s">
        <v>63</v>
      </c>
      <c r="AB2724" s="4" t="s">
        <v>63</v>
      </c>
      <c r="AC2724" s="4" t="s">
        <v>67</v>
      </c>
      <c r="AD2724" s="4" t="s">
        <v>63</v>
      </c>
      <c r="AE2724" s="4" t="s">
        <v>63</v>
      </c>
      <c r="AF2724" s="4" t="s">
        <v>63</v>
      </c>
      <c r="AG2724" s="4" t="s">
        <v>63</v>
      </c>
      <c r="AH2724" s="4" t="s">
        <v>63</v>
      </c>
      <c r="AI2724" s="4" t="s">
        <v>16889</v>
      </c>
      <c r="AJ2724" s="4" t="s">
        <v>63</v>
      </c>
      <c r="AK2724" s="4" t="s">
        <v>63</v>
      </c>
      <c r="AL2724" s="4" t="s">
        <v>63</v>
      </c>
      <c r="AM2724" s="4" t="s">
        <v>22600</v>
      </c>
      <c r="AN2724" s="4" t="s">
        <v>63</v>
      </c>
      <c r="AO2724" s="4" t="s">
        <v>63</v>
      </c>
      <c r="AP2724" s="4" t="s">
        <v>63</v>
      </c>
      <c r="AQ2724" s="4" t="s">
        <v>63</v>
      </c>
      <c r="AR2724" s="4" t="s">
        <v>63</v>
      </c>
      <c r="AS2724" s="4" t="s">
        <v>63</v>
      </c>
      <c r="AT2724" s="4" t="s">
        <v>63</v>
      </c>
      <c r="AU2724" s="4" t="s">
        <v>63</v>
      </c>
      <c r="AV2724" s="4" t="s">
        <v>63</v>
      </c>
      <c r="AW2724" s="4" t="s">
        <v>63</v>
      </c>
      <c r="AX2724" s="4" t="s">
        <v>63</v>
      </c>
      <c r="AY2724" s="4" t="s">
        <v>63</v>
      </c>
      <c r="AZ2724" s="4" t="s">
        <v>63</v>
      </c>
      <c r="BA2724" s="4" t="s">
        <v>63</v>
      </c>
      <c r="BB2724" s="4" t="s">
        <v>63</v>
      </c>
      <c r="BC2724" s="4" t="s">
        <v>63</v>
      </c>
      <c r="BD2724" s="4" t="s">
        <v>63</v>
      </c>
      <c r="BE2724" s="4" t="s">
        <v>63</v>
      </c>
      <c r="BF2724" s="4" t="s">
        <v>63</v>
      </c>
    </row>
    <row r="2725" spans="1:58">
      <c r="A2725" s="4" t="s">
        <v>58</v>
      </c>
      <c r="B2725" s="4" t="s">
        <v>22605</v>
      </c>
      <c r="C2725" s="4" t="s">
        <v>22606</v>
      </c>
      <c r="D2725" s="4" t="s">
        <v>16614</v>
      </c>
      <c r="E2725" s="4" t="s">
        <v>16615</v>
      </c>
      <c r="F2725" s="4">
        <v>1997</v>
      </c>
      <c r="G2725" s="4" t="s">
        <v>63</v>
      </c>
      <c r="H2725" s="4">
        <v>2</v>
      </c>
      <c r="I2725" s="4">
        <v>3</v>
      </c>
      <c r="J2725" s="4">
        <v>150</v>
      </c>
      <c r="K2725" s="4">
        <v>157</v>
      </c>
      <c r="L2725" s="4" t="s">
        <v>22607</v>
      </c>
      <c r="M2725" s="4" t="s">
        <v>22608</v>
      </c>
      <c r="N2725" s="4" t="s">
        <v>22609</v>
      </c>
      <c r="O2725" s="4" t="s">
        <v>63</v>
      </c>
      <c r="P2725" s="4"/>
      <c r="Q2725" s="4" t="s">
        <v>63</v>
      </c>
      <c r="R2725" s="4" t="s">
        <v>63</v>
      </c>
      <c r="S2725" s="4" t="s">
        <v>63</v>
      </c>
      <c r="T2725" s="4" t="s">
        <v>63</v>
      </c>
      <c r="U2725" s="4"/>
      <c r="V2725" s="4"/>
      <c r="W2725" s="4"/>
      <c r="X2725" s="4" t="s">
        <v>63</v>
      </c>
      <c r="Y2725" s="4" t="s">
        <v>16619</v>
      </c>
      <c r="Z2725" s="4" t="s">
        <v>63</v>
      </c>
      <c r="AA2725" s="4" t="s">
        <v>63</v>
      </c>
      <c r="AB2725" s="4" t="s">
        <v>22610</v>
      </c>
      <c r="AC2725" s="4" t="s">
        <v>67</v>
      </c>
      <c r="AD2725" s="4" t="s">
        <v>63</v>
      </c>
      <c r="AE2725" s="4" t="s">
        <v>63</v>
      </c>
      <c r="AF2725" s="4" t="s">
        <v>63</v>
      </c>
      <c r="AG2725" s="4" t="s">
        <v>63</v>
      </c>
      <c r="AH2725" s="4" t="s">
        <v>63</v>
      </c>
      <c r="AI2725" s="4" t="s">
        <v>63</v>
      </c>
      <c r="AJ2725" s="4" t="s">
        <v>63</v>
      </c>
      <c r="AK2725" s="4" t="s">
        <v>63</v>
      </c>
      <c r="AL2725" s="4" t="s">
        <v>63</v>
      </c>
      <c r="AM2725" s="4" t="s">
        <v>22606</v>
      </c>
      <c r="AN2725" s="4" t="s">
        <v>63</v>
      </c>
      <c r="AO2725" s="4" t="s">
        <v>63</v>
      </c>
      <c r="AP2725" s="4" t="s">
        <v>63</v>
      </c>
      <c r="AQ2725" s="4" t="s">
        <v>63</v>
      </c>
      <c r="AR2725" s="4" t="s">
        <v>63</v>
      </c>
      <c r="AS2725" s="4" t="s">
        <v>63</v>
      </c>
      <c r="AT2725" s="4" t="s">
        <v>63</v>
      </c>
      <c r="AU2725" s="4" t="s">
        <v>63</v>
      </c>
      <c r="AV2725" s="4" t="s">
        <v>63</v>
      </c>
      <c r="AW2725" s="4" t="s">
        <v>63</v>
      </c>
      <c r="AX2725" s="4" t="s">
        <v>63</v>
      </c>
      <c r="AY2725" s="4" t="s">
        <v>63</v>
      </c>
      <c r="AZ2725" s="4" t="s">
        <v>63</v>
      </c>
      <c r="BA2725" s="4" t="s">
        <v>63</v>
      </c>
      <c r="BB2725" s="4" t="s">
        <v>63</v>
      </c>
      <c r="BC2725" s="4" t="s">
        <v>63</v>
      </c>
      <c r="BD2725" s="4" t="s">
        <v>63</v>
      </c>
      <c r="BE2725" s="4" t="s">
        <v>63</v>
      </c>
      <c r="BF2725" s="4" t="s">
        <v>63</v>
      </c>
    </row>
    <row r="2726" spans="1:58">
      <c r="A2726" s="4" t="s">
        <v>58</v>
      </c>
      <c r="B2726" s="4" t="s">
        <v>22611</v>
      </c>
      <c r="C2726" s="4" t="s">
        <v>22612</v>
      </c>
      <c r="D2726" s="4" t="s">
        <v>16614</v>
      </c>
      <c r="E2726" s="4" t="s">
        <v>16615</v>
      </c>
      <c r="F2726" s="4">
        <v>1997</v>
      </c>
      <c r="G2726" s="4" t="s">
        <v>63</v>
      </c>
      <c r="H2726" s="4">
        <v>2</v>
      </c>
      <c r="I2726" s="4">
        <v>4</v>
      </c>
      <c r="J2726" s="4">
        <v>184</v>
      </c>
      <c r="K2726" s="4">
        <v>190</v>
      </c>
      <c r="L2726" s="4" t="s">
        <v>22613</v>
      </c>
      <c r="M2726" s="4" t="s">
        <v>22614</v>
      </c>
      <c r="N2726" s="4" t="s">
        <v>22615</v>
      </c>
      <c r="O2726" s="4" t="s">
        <v>63</v>
      </c>
      <c r="P2726" s="4"/>
      <c r="Q2726" s="4" t="s">
        <v>63</v>
      </c>
      <c r="R2726" s="4" t="s">
        <v>63</v>
      </c>
      <c r="S2726" s="4" t="s">
        <v>63</v>
      </c>
      <c r="T2726" s="4" t="s">
        <v>63</v>
      </c>
      <c r="U2726" s="4"/>
      <c r="V2726" s="4"/>
      <c r="W2726" s="4"/>
      <c r="X2726" s="4" t="s">
        <v>63</v>
      </c>
      <c r="Y2726" s="4" t="s">
        <v>16619</v>
      </c>
      <c r="Z2726" s="4" t="s">
        <v>63</v>
      </c>
      <c r="AA2726" s="4" t="s">
        <v>63</v>
      </c>
      <c r="AB2726" s="4" t="s">
        <v>22616</v>
      </c>
      <c r="AC2726" s="4" t="s">
        <v>67</v>
      </c>
      <c r="AD2726" s="4" t="s">
        <v>63</v>
      </c>
      <c r="AE2726" s="4" t="s">
        <v>63</v>
      </c>
      <c r="AF2726" s="4" t="s">
        <v>63</v>
      </c>
      <c r="AG2726" s="4" t="s">
        <v>63</v>
      </c>
      <c r="AH2726" s="4" t="s">
        <v>63</v>
      </c>
      <c r="AI2726" s="4" t="s">
        <v>63</v>
      </c>
      <c r="AJ2726" s="4" t="s">
        <v>63</v>
      </c>
      <c r="AK2726" s="4" t="s">
        <v>63</v>
      </c>
      <c r="AL2726" s="4" t="s">
        <v>63</v>
      </c>
      <c r="AM2726" s="4" t="s">
        <v>22612</v>
      </c>
      <c r="AN2726" s="4" t="s">
        <v>63</v>
      </c>
      <c r="AO2726" s="4" t="s">
        <v>63</v>
      </c>
      <c r="AP2726" s="4" t="s">
        <v>63</v>
      </c>
      <c r="AQ2726" s="4" t="s">
        <v>63</v>
      </c>
      <c r="AR2726" s="4" t="s">
        <v>63</v>
      </c>
      <c r="AS2726" s="4" t="s">
        <v>63</v>
      </c>
      <c r="AT2726" s="4" t="s">
        <v>63</v>
      </c>
      <c r="AU2726" s="4" t="s">
        <v>63</v>
      </c>
      <c r="AV2726" s="4" t="s">
        <v>63</v>
      </c>
      <c r="AW2726" s="4" t="s">
        <v>63</v>
      </c>
      <c r="AX2726" s="4" t="s">
        <v>63</v>
      </c>
      <c r="AY2726" s="4" t="s">
        <v>63</v>
      </c>
      <c r="AZ2726" s="4" t="s">
        <v>63</v>
      </c>
      <c r="BA2726" s="4" t="s">
        <v>63</v>
      </c>
      <c r="BB2726" s="4" t="s">
        <v>63</v>
      </c>
      <c r="BC2726" s="4" t="s">
        <v>63</v>
      </c>
      <c r="BD2726" s="4" t="s">
        <v>63</v>
      </c>
      <c r="BE2726" s="4" t="s">
        <v>63</v>
      </c>
      <c r="BF2726" s="4" t="s">
        <v>63</v>
      </c>
    </row>
    <row r="2727" spans="1:58">
      <c r="A2727" s="4" t="s">
        <v>58</v>
      </c>
      <c r="B2727" s="4" t="s">
        <v>22617</v>
      </c>
      <c r="C2727" s="4" t="s">
        <v>22618</v>
      </c>
      <c r="D2727" s="4" t="s">
        <v>3984</v>
      </c>
      <c r="E2727" s="4" t="s">
        <v>63</v>
      </c>
      <c r="F2727" s="4">
        <v>2014</v>
      </c>
      <c r="G2727" s="4" t="s">
        <v>15165</v>
      </c>
      <c r="H2727" s="4">
        <v>15</v>
      </c>
      <c r="I2727" s="4">
        <v>4</v>
      </c>
      <c r="J2727" s="4" t="s">
        <v>14754</v>
      </c>
      <c r="K2727" s="4" t="s">
        <v>63</v>
      </c>
      <c r="L2727" s="4" t="s">
        <v>22619</v>
      </c>
      <c r="M2727" s="4" t="s">
        <v>22620</v>
      </c>
      <c r="N2727" s="4" t="s">
        <v>22621</v>
      </c>
      <c r="O2727" s="4" t="s">
        <v>63</v>
      </c>
      <c r="P2727" s="4"/>
      <c r="Q2727" s="4" t="s">
        <v>63</v>
      </c>
      <c r="R2727" s="4" t="s">
        <v>63</v>
      </c>
      <c r="S2727" s="4" t="s">
        <v>63</v>
      </c>
      <c r="T2727" s="4" t="s">
        <v>63</v>
      </c>
      <c r="U2727" s="4"/>
      <c r="V2727" s="4"/>
      <c r="W2727" s="4"/>
      <c r="X2727" s="4" t="s">
        <v>63</v>
      </c>
      <c r="Y2727" s="4" t="s">
        <v>5160</v>
      </c>
      <c r="Z2727" s="4" t="s">
        <v>63</v>
      </c>
      <c r="AA2727" s="4" t="s">
        <v>63</v>
      </c>
      <c r="AB2727" s="4" t="s">
        <v>63</v>
      </c>
      <c r="AC2727" s="4" t="s">
        <v>67</v>
      </c>
      <c r="AD2727" s="4" t="s">
        <v>63</v>
      </c>
      <c r="AE2727" s="4" t="s">
        <v>63</v>
      </c>
      <c r="AF2727" s="4" t="s">
        <v>63</v>
      </c>
      <c r="AG2727" s="4" t="s">
        <v>63</v>
      </c>
      <c r="AH2727" s="4" t="s">
        <v>63</v>
      </c>
      <c r="AI2727" s="4" t="s">
        <v>22622</v>
      </c>
      <c r="AJ2727" s="4" t="s">
        <v>63</v>
      </c>
      <c r="AK2727" s="4" t="s">
        <v>63</v>
      </c>
      <c r="AL2727" s="4" t="s">
        <v>63</v>
      </c>
      <c r="AM2727" s="4" t="s">
        <v>22618</v>
      </c>
      <c r="AN2727" s="4" t="s">
        <v>63</v>
      </c>
      <c r="AO2727" s="4" t="s">
        <v>63</v>
      </c>
      <c r="AP2727" s="4" t="s">
        <v>63</v>
      </c>
      <c r="AQ2727" s="4" t="s">
        <v>63</v>
      </c>
      <c r="AR2727" s="4" t="s">
        <v>63</v>
      </c>
      <c r="AS2727" s="4" t="s">
        <v>63</v>
      </c>
      <c r="AT2727" s="4" t="s">
        <v>63</v>
      </c>
      <c r="AU2727" s="4" t="s">
        <v>63</v>
      </c>
      <c r="AV2727" s="4" t="s">
        <v>63</v>
      </c>
      <c r="AW2727" s="4" t="s">
        <v>63</v>
      </c>
      <c r="AX2727" s="4" t="s">
        <v>63</v>
      </c>
      <c r="AY2727" s="4" t="s">
        <v>63</v>
      </c>
      <c r="AZ2727" s="4" t="s">
        <v>63</v>
      </c>
      <c r="BA2727" s="4" t="s">
        <v>63</v>
      </c>
      <c r="BB2727" s="4" t="s">
        <v>63</v>
      </c>
      <c r="BC2727" s="4" t="s">
        <v>63</v>
      </c>
      <c r="BD2727" s="4" t="s">
        <v>63</v>
      </c>
      <c r="BE2727" s="4" t="s">
        <v>63</v>
      </c>
      <c r="BF2727" s="4" t="s">
        <v>63</v>
      </c>
    </row>
    <row r="2728" spans="1:58">
      <c r="A2728" s="4" t="s">
        <v>58</v>
      </c>
      <c r="B2728" s="4" t="s">
        <v>22623</v>
      </c>
      <c r="C2728" s="4" t="s">
        <v>22624</v>
      </c>
      <c r="D2728" s="4" t="s">
        <v>11901</v>
      </c>
      <c r="E2728" s="4" t="s">
        <v>63</v>
      </c>
      <c r="F2728" s="4">
        <v>1979</v>
      </c>
      <c r="G2728" s="4" t="s">
        <v>63</v>
      </c>
      <c r="H2728" s="4">
        <v>21</v>
      </c>
      <c r="I2728" s="4">
        <v>3</v>
      </c>
      <c r="J2728" s="4">
        <v>228</v>
      </c>
      <c r="K2728" s="4">
        <v>234</v>
      </c>
      <c r="L2728" s="4" t="s">
        <v>22625</v>
      </c>
      <c r="M2728" s="4" t="s">
        <v>63</v>
      </c>
      <c r="N2728" s="4" t="s">
        <v>22626</v>
      </c>
      <c r="O2728" s="4" t="s">
        <v>63</v>
      </c>
      <c r="P2728" s="4"/>
      <c r="Q2728" s="4" t="s">
        <v>63</v>
      </c>
      <c r="R2728" s="4" t="s">
        <v>63</v>
      </c>
      <c r="S2728" s="4" t="s">
        <v>63</v>
      </c>
      <c r="T2728" s="4" t="s">
        <v>63</v>
      </c>
      <c r="U2728" s="4"/>
      <c r="V2728" s="4"/>
      <c r="W2728" s="4"/>
      <c r="X2728" s="4" t="s">
        <v>63</v>
      </c>
      <c r="Y2728" s="4" t="s">
        <v>63</v>
      </c>
      <c r="Z2728" s="4" t="s">
        <v>63</v>
      </c>
      <c r="AA2728" s="4" t="s">
        <v>63</v>
      </c>
      <c r="AB2728" s="4" t="s">
        <v>22627</v>
      </c>
      <c r="AC2728" s="4" t="s">
        <v>67</v>
      </c>
      <c r="AD2728" s="4" t="s">
        <v>63</v>
      </c>
      <c r="AE2728" s="4" t="s">
        <v>63</v>
      </c>
      <c r="AF2728" s="4" t="s">
        <v>63</v>
      </c>
      <c r="AG2728" s="4" t="s">
        <v>63</v>
      </c>
      <c r="AH2728" s="4" t="s">
        <v>63</v>
      </c>
      <c r="AI2728" s="4" t="s">
        <v>63</v>
      </c>
      <c r="AJ2728" s="4" t="s">
        <v>63</v>
      </c>
      <c r="AK2728" s="4" t="s">
        <v>63</v>
      </c>
      <c r="AL2728" s="4" t="s">
        <v>63</v>
      </c>
      <c r="AM2728" s="4" t="s">
        <v>22624</v>
      </c>
      <c r="AN2728" s="4" t="s">
        <v>63</v>
      </c>
      <c r="AO2728" s="4" t="s">
        <v>63</v>
      </c>
      <c r="AP2728" s="4" t="s">
        <v>63</v>
      </c>
      <c r="AQ2728" s="4" t="s">
        <v>63</v>
      </c>
      <c r="AR2728" s="4" t="s">
        <v>63</v>
      </c>
      <c r="AS2728" s="4" t="s">
        <v>63</v>
      </c>
      <c r="AT2728" s="4" t="s">
        <v>63</v>
      </c>
      <c r="AU2728" s="4" t="s">
        <v>63</v>
      </c>
      <c r="AV2728" s="4" t="s">
        <v>63</v>
      </c>
      <c r="AW2728" s="4" t="s">
        <v>63</v>
      </c>
      <c r="AX2728" s="4" t="s">
        <v>63</v>
      </c>
      <c r="AY2728" s="4" t="s">
        <v>63</v>
      </c>
      <c r="AZ2728" s="4" t="s">
        <v>63</v>
      </c>
      <c r="BA2728" s="4" t="s">
        <v>63</v>
      </c>
      <c r="BB2728" s="4" t="s">
        <v>63</v>
      </c>
      <c r="BC2728" s="4" t="s">
        <v>63</v>
      </c>
      <c r="BD2728" s="4" t="s">
        <v>63</v>
      </c>
      <c r="BE2728" s="4" t="s">
        <v>63</v>
      </c>
      <c r="BF2728" s="4" t="s">
        <v>63</v>
      </c>
    </row>
    <row r="2729" spans="1:58">
      <c r="A2729" s="4" t="s">
        <v>58</v>
      </c>
      <c r="B2729" s="4" t="s">
        <v>22628</v>
      </c>
      <c r="C2729" s="4" t="s">
        <v>22629</v>
      </c>
      <c r="D2729" s="4" t="s">
        <v>15421</v>
      </c>
      <c r="E2729" s="4" t="s">
        <v>63</v>
      </c>
      <c r="F2729" s="4">
        <v>2002</v>
      </c>
      <c r="G2729" s="4" t="s">
        <v>181</v>
      </c>
      <c r="H2729" s="4">
        <v>23</v>
      </c>
      <c r="I2729" s="4">
        <v>3</v>
      </c>
      <c r="J2729" s="4">
        <v>235</v>
      </c>
      <c r="K2729" s="4">
        <v>246</v>
      </c>
      <c r="L2729" s="4" t="s">
        <v>22630</v>
      </c>
      <c r="M2729" s="4" t="s">
        <v>63</v>
      </c>
      <c r="N2729" s="4" t="s">
        <v>22631</v>
      </c>
      <c r="O2729" s="4" t="s">
        <v>63</v>
      </c>
      <c r="P2729" s="4"/>
      <c r="Q2729" s="4" t="s">
        <v>63</v>
      </c>
      <c r="R2729" s="4" t="s">
        <v>63</v>
      </c>
      <c r="S2729" s="4" t="s">
        <v>63</v>
      </c>
      <c r="T2729" s="4" t="s">
        <v>63</v>
      </c>
      <c r="U2729" s="4"/>
      <c r="V2729" s="4"/>
      <c r="W2729" s="4"/>
      <c r="X2729" s="4" t="s">
        <v>63</v>
      </c>
      <c r="Y2729" s="4" t="s">
        <v>392</v>
      </c>
      <c r="Z2729" s="4" t="s">
        <v>63</v>
      </c>
      <c r="AA2729" s="4" t="s">
        <v>63</v>
      </c>
      <c r="AB2729" s="4" t="s">
        <v>63</v>
      </c>
      <c r="AC2729" s="4" t="s">
        <v>67</v>
      </c>
      <c r="AD2729" s="4" t="s">
        <v>63</v>
      </c>
      <c r="AE2729" s="4" t="s">
        <v>63</v>
      </c>
      <c r="AF2729" s="4" t="s">
        <v>63</v>
      </c>
      <c r="AG2729" s="4" t="s">
        <v>22632</v>
      </c>
      <c r="AH2729" s="4" t="s">
        <v>63</v>
      </c>
      <c r="AI2729" s="4" t="s">
        <v>63</v>
      </c>
      <c r="AJ2729" s="4" t="s">
        <v>63</v>
      </c>
      <c r="AK2729" s="4" t="s">
        <v>63</v>
      </c>
      <c r="AL2729" s="4" t="s">
        <v>63</v>
      </c>
      <c r="AM2729" s="4" t="s">
        <v>22633</v>
      </c>
      <c r="AN2729" s="4" t="s">
        <v>63</v>
      </c>
      <c r="AO2729" s="4" t="s">
        <v>63</v>
      </c>
      <c r="AP2729" s="4" t="s">
        <v>63</v>
      </c>
      <c r="AQ2729" s="4" t="s">
        <v>63</v>
      </c>
      <c r="AR2729" s="4" t="s">
        <v>63</v>
      </c>
      <c r="AS2729" s="4" t="s">
        <v>63</v>
      </c>
      <c r="AT2729" s="4" t="s">
        <v>63</v>
      </c>
      <c r="AU2729" s="4" t="s">
        <v>63</v>
      </c>
      <c r="AV2729" s="4" t="s">
        <v>63</v>
      </c>
      <c r="AW2729" s="4" t="s">
        <v>63</v>
      </c>
      <c r="AX2729" s="4" t="s">
        <v>63</v>
      </c>
      <c r="AY2729" s="4" t="s">
        <v>63</v>
      </c>
      <c r="AZ2729" s="4" t="s">
        <v>63</v>
      </c>
      <c r="BA2729" s="4" t="s">
        <v>63</v>
      </c>
      <c r="BB2729" s="4" t="s">
        <v>63</v>
      </c>
      <c r="BC2729" s="4" t="s">
        <v>63</v>
      </c>
      <c r="BD2729" s="4" t="s">
        <v>63</v>
      </c>
      <c r="BE2729" s="4" t="s">
        <v>63</v>
      </c>
      <c r="BF2729" s="4" t="s">
        <v>63</v>
      </c>
    </row>
    <row r="2730" spans="1:58">
      <c r="A2730" s="4" t="s">
        <v>58</v>
      </c>
      <c r="B2730" s="4" t="s">
        <v>22634</v>
      </c>
      <c r="C2730" s="4" t="s">
        <v>22635</v>
      </c>
      <c r="D2730" s="4" t="s">
        <v>13447</v>
      </c>
      <c r="E2730" s="4" t="s">
        <v>63</v>
      </c>
      <c r="F2730" s="4">
        <v>2016</v>
      </c>
      <c r="G2730" s="4">
        <v>1</v>
      </c>
      <c r="H2730" s="4">
        <v>29</v>
      </c>
      <c r="I2730" s="4">
        <v>3</v>
      </c>
      <c r="J2730" s="4">
        <v>283</v>
      </c>
      <c r="K2730" s="4">
        <v>284</v>
      </c>
      <c r="L2730" s="4" t="s">
        <v>22636</v>
      </c>
      <c r="M2730" s="4" t="s">
        <v>22637</v>
      </c>
      <c r="N2730" s="4" t="s">
        <v>22638</v>
      </c>
      <c r="O2730" s="4" t="s">
        <v>63</v>
      </c>
      <c r="P2730" s="4"/>
      <c r="Q2730" s="4" t="s">
        <v>63</v>
      </c>
      <c r="R2730" s="4" t="s">
        <v>63</v>
      </c>
      <c r="S2730" s="4" t="s">
        <v>63</v>
      </c>
      <c r="T2730" s="4" t="s">
        <v>63</v>
      </c>
      <c r="U2730" s="4"/>
      <c r="V2730" s="4"/>
      <c r="W2730" s="4"/>
      <c r="X2730" s="4" t="s">
        <v>63</v>
      </c>
      <c r="Y2730" s="4" t="s">
        <v>13450</v>
      </c>
      <c r="Z2730" s="4" t="s">
        <v>63</v>
      </c>
      <c r="AA2730" s="4" t="s">
        <v>63</v>
      </c>
      <c r="AB2730" s="4" t="s">
        <v>63</v>
      </c>
      <c r="AC2730" s="4" t="s">
        <v>67</v>
      </c>
      <c r="AD2730" s="4" t="s">
        <v>63</v>
      </c>
      <c r="AE2730" s="4" t="s">
        <v>63</v>
      </c>
      <c r="AF2730" s="4" t="s">
        <v>63</v>
      </c>
      <c r="AG2730" s="4" t="s">
        <v>63</v>
      </c>
      <c r="AH2730" s="4" t="s">
        <v>63</v>
      </c>
      <c r="AI2730" s="4" t="s">
        <v>18319</v>
      </c>
      <c r="AJ2730" s="4" t="s">
        <v>63</v>
      </c>
      <c r="AK2730" s="4" t="s">
        <v>63</v>
      </c>
      <c r="AL2730" s="4" t="s">
        <v>63</v>
      </c>
      <c r="AM2730" s="4" t="s">
        <v>22635</v>
      </c>
      <c r="AN2730" s="4" t="s">
        <v>63</v>
      </c>
      <c r="AO2730" s="4" t="s">
        <v>63</v>
      </c>
      <c r="AP2730" s="4" t="s">
        <v>63</v>
      </c>
      <c r="AQ2730" s="4" t="s">
        <v>63</v>
      </c>
      <c r="AR2730" s="4" t="s">
        <v>63</v>
      </c>
      <c r="AS2730" s="4" t="s">
        <v>63</v>
      </c>
      <c r="AT2730" s="4" t="s">
        <v>63</v>
      </c>
      <c r="AU2730" s="4" t="s">
        <v>63</v>
      </c>
      <c r="AV2730" s="4" t="s">
        <v>63</v>
      </c>
      <c r="AW2730" s="4" t="s">
        <v>63</v>
      </c>
      <c r="AX2730" s="4" t="s">
        <v>63</v>
      </c>
      <c r="AY2730" s="4" t="s">
        <v>63</v>
      </c>
      <c r="AZ2730" s="4" t="s">
        <v>63</v>
      </c>
      <c r="BA2730" s="4" t="s">
        <v>63</v>
      </c>
      <c r="BB2730" s="4" t="s">
        <v>63</v>
      </c>
      <c r="BC2730" s="4" t="s">
        <v>63</v>
      </c>
      <c r="BD2730" s="4" t="s">
        <v>63</v>
      </c>
      <c r="BE2730" s="4" t="s">
        <v>63</v>
      </c>
      <c r="BF2730" s="4" t="s">
        <v>63</v>
      </c>
    </row>
    <row r="2731" spans="1:58">
      <c r="A2731" s="4" t="s">
        <v>58</v>
      </c>
      <c r="B2731" s="4" t="s">
        <v>22639</v>
      </c>
      <c r="C2731" s="4" t="s">
        <v>22640</v>
      </c>
      <c r="D2731" s="4" t="s">
        <v>18719</v>
      </c>
      <c r="E2731" s="4" t="s">
        <v>18720</v>
      </c>
      <c r="F2731" s="4">
        <v>2012</v>
      </c>
      <c r="G2731" s="4" t="s">
        <v>15358</v>
      </c>
      <c r="H2731" s="4" t="s">
        <v>22641</v>
      </c>
      <c r="I2731" s="4" t="s">
        <v>63</v>
      </c>
      <c r="J2731" s="4" t="s">
        <v>22642</v>
      </c>
      <c r="K2731" s="4" t="s">
        <v>63</v>
      </c>
      <c r="L2731" s="4" t="s">
        <v>22643</v>
      </c>
      <c r="M2731" s="4" t="s">
        <v>22644</v>
      </c>
      <c r="N2731" s="4" t="s">
        <v>22645</v>
      </c>
      <c r="O2731" s="4" t="s">
        <v>63</v>
      </c>
      <c r="P2731" s="4"/>
      <c r="Q2731" s="4" t="s">
        <v>63</v>
      </c>
      <c r="R2731" s="4" t="s">
        <v>63</v>
      </c>
      <c r="S2731" s="4" t="s">
        <v>63</v>
      </c>
      <c r="T2731" s="4" t="s">
        <v>63</v>
      </c>
      <c r="U2731" s="4"/>
      <c r="V2731" s="4"/>
      <c r="W2731" s="4"/>
      <c r="X2731" s="4" t="s">
        <v>63</v>
      </c>
      <c r="Y2731" s="5">
        <v>31867</v>
      </c>
      <c r="Z2731" s="4" t="s">
        <v>63</v>
      </c>
      <c r="AA2731" s="4" t="s">
        <v>63</v>
      </c>
      <c r="AB2731" s="4" t="s">
        <v>63</v>
      </c>
      <c r="AC2731" s="4" t="s">
        <v>67</v>
      </c>
      <c r="AD2731" s="4" t="s">
        <v>63</v>
      </c>
      <c r="AE2731" s="4" t="s">
        <v>63</v>
      </c>
      <c r="AF2731" s="4" t="s">
        <v>63</v>
      </c>
      <c r="AG2731" s="4" t="s">
        <v>63</v>
      </c>
      <c r="AH2731" s="4" t="s">
        <v>63</v>
      </c>
      <c r="AI2731" s="4" t="s">
        <v>22646</v>
      </c>
      <c r="AJ2731" s="4" t="s">
        <v>63</v>
      </c>
      <c r="AK2731" s="4" t="s">
        <v>63</v>
      </c>
      <c r="AL2731" s="4" t="s">
        <v>63</v>
      </c>
      <c r="AM2731" s="4" t="s">
        <v>22640</v>
      </c>
      <c r="AN2731" s="4" t="s">
        <v>63</v>
      </c>
      <c r="AO2731" s="4" t="s">
        <v>63</v>
      </c>
      <c r="AP2731" s="4" t="s">
        <v>63</v>
      </c>
      <c r="AQ2731" s="4" t="s">
        <v>63</v>
      </c>
      <c r="AR2731" s="4" t="s">
        <v>63</v>
      </c>
      <c r="AS2731" s="4" t="s">
        <v>63</v>
      </c>
      <c r="AT2731" s="4" t="s">
        <v>63</v>
      </c>
      <c r="AU2731" s="4" t="s">
        <v>63</v>
      </c>
      <c r="AV2731" s="4" t="s">
        <v>63</v>
      </c>
      <c r="AW2731" s="4" t="s">
        <v>63</v>
      </c>
      <c r="AX2731" s="4" t="s">
        <v>63</v>
      </c>
      <c r="AY2731" s="4" t="s">
        <v>63</v>
      </c>
      <c r="AZ2731" s="4" t="s">
        <v>63</v>
      </c>
      <c r="BA2731" s="4" t="s">
        <v>63</v>
      </c>
      <c r="BB2731" s="4" t="s">
        <v>63</v>
      </c>
      <c r="BC2731" s="4" t="s">
        <v>63</v>
      </c>
      <c r="BD2731" s="4" t="s">
        <v>63</v>
      </c>
      <c r="BE2731" s="4" t="s">
        <v>63</v>
      </c>
      <c r="BF2731" s="4" t="s">
        <v>63</v>
      </c>
    </row>
    <row r="2732" spans="1:58">
      <c r="A2732" s="4" t="s">
        <v>58</v>
      </c>
      <c r="B2732" s="4" t="s">
        <v>22647</v>
      </c>
      <c r="C2732" s="4" t="s">
        <v>22648</v>
      </c>
      <c r="D2732" s="4" t="s">
        <v>1065</v>
      </c>
      <c r="E2732" s="4" t="s">
        <v>63</v>
      </c>
      <c r="F2732" s="4">
        <v>2009</v>
      </c>
      <c r="G2732" s="4" t="s">
        <v>63</v>
      </c>
      <c r="H2732" s="4" t="s">
        <v>22649</v>
      </c>
      <c r="I2732" s="4" t="s">
        <v>63</v>
      </c>
      <c r="J2732" s="4" t="s">
        <v>63</v>
      </c>
      <c r="K2732" s="4" t="s">
        <v>63</v>
      </c>
      <c r="L2732" s="4" t="s">
        <v>22650</v>
      </c>
      <c r="M2732" s="4" t="s">
        <v>22651</v>
      </c>
      <c r="N2732" s="4" t="s">
        <v>22652</v>
      </c>
      <c r="O2732" s="4" t="s">
        <v>63</v>
      </c>
      <c r="P2732" s="4"/>
      <c r="Q2732" s="4" t="s">
        <v>63</v>
      </c>
      <c r="R2732" s="4" t="s">
        <v>63</v>
      </c>
      <c r="S2732" s="4" t="s">
        <v>63</v>
      </c>
      <c r="T2732" s="4" t="s">
        <v>63</v>
      </c>
      <c r="U2732" s="4"/>
      <c r="V2732" s="4"/>
      <c r="W2732" s="4"/>
      <c r="X2732" s="4" t="s">
        <v>63</v>
      </c>
      <c r="Y2732" s="4" t="s">
        <v>22653</v>
      </c>
      <c r="Z2732" s="4" t="s">
        <v>63</v>
      </c>
      <c r="AA2732" s="4" t="s">
        <v>63</v>
      </c>
      <c r="AB2732" s="4">
        <v>2009574366</v>
      </c>
      <c r="AC2732" s="4" t="s">
        <v>67</v>
      </c>
      <c r="AD2732" s="4" t="s">
        <v>63</v>
      </c>
      <c r="AE2732" s="4" t="s">
        <v>63</v>
      </c>
      <c r="AF2732" s="4" t="s">
        <v>63</v>
      </c>
      <c r="AG2732" s="4" t="s">
        <v>22654</v>
      </c>
      <c r="AH2732" s="4" t="s">
        <v>63</v>
      </c>
      <c r="AI2732" s="4" t="s">
        <v>22655</v>
      </c>
      <c r="AJ2732" s="4" t="s">
        <v>63</v>
      </c>
      <c r="AK2732" s="4" t="s">
        <v>63</v>
      </c>
      <c r="AL2732" s="4" t="s">
        <v>63</v>
      </c>
      <c r="AM2732" s="4" t="s">
        <v>22656</v>
      </c>
      <c r="AN2732" s="4" t="s">
        <v>63</v>
      </c>
      <c r="AO2732" s="4" t="s">
        <v>63</v>
      </c>
      <c r="AP2732" s="4" t="s">
        <v>63</v>
      </c>
      <c r="AQ2732" s="4" t="s">
        <v>63</v>
      </c>
      <c r="AR2732" s="4" t="s">
        <v>63</v>
      </c>
      <c r="AS2732" s="4" t="s">
        <v>63</v>
      </c>
      <c r="AT2732" s="4" t="s">
        <v>63</v>
      </c>
      <c r="AU2732" s="4" t="s">
        <v>63</v>
      </c>
      <c r="AV2732" s="4" t="s">
        <v>63</v>
      </c>
      <c r="AW2732" s="4" t="s">
        <v>63</v>
      </c>
      <c r="AX2732" s="4" t="s">
        <v>63</v>
      </c>
      <c r="AY2732" s="4" t="s">
        <v>63</v>
      </c>
      <c r="AZ2732" s="4" t="s">
        <v>63</v>
      </c>
      <c r="BA2732" s="4" t="s">
        <v>63</v>
      </c>
      <c r="BB2732" s="4" t="s">
        <v>63</v>
      </c>
      <c r="BC2732" s="4" t="s">
        <v>63</v>
      </c>
      <c r="BD2732" s="4" t="s">
        <v>63</v>
      </c>
      <c r="BE2732" s="4" t="s">
        <v>63</v>
      </c>
      <c r="BF2732" s="4" t="s">
        <v>63</v>
      </c>
    </row>
    <row r="2733" spans="1:58">
      <c r="A2733" s="4" t="s">
        <v>58</v>
      </c>
      <c r="B2733" s="4" t="s">
        <v>22657</v>
      </c>
      <c r="C2733" s="4" t="s">
        <v>22658</v>
      </c>
      <c r="D2733" s="4" t="s">
        <v>371</v>
      </c>
      <c r="E2733" s="4" t="s">
        <v>63</v>
      </c>
      <c r="F2733" s="4">
        <v>2017</v>
      </c>
      <c r="G2733" s="4">
        <v>1</v>
      </c>
      <c r="H2733" s="4">
        <v>32</v>
      </c>
      <c r="I2733" s="4">
        <v>3</v>
      </c>
      <c r="J2733" s="4">
        <v>296</v>
      </c>
      <c r="K2733" s="4">
        <v>303</v>
      </c>
      <c r="L2733" s="4" t="s">
        <v>22659</v>
      </c>
      <c r="M2733" s="4" t="s">
        <v>22660</v>
      </c>
      <c r="N2733" s="4" t="s">
        <v>22661</v>
      </c>
      <c r="O2733" s="4" t="s">
        <v>63</v>
      </c>
      <c r="P2733" s="4"/>
      <c r="Q2733" s="4" t="s">
        <v>63</v>
      </c>
      <c r="R2733" s="4" t="s">
        <v>63</v>
      </c>
      <c r="S2733" s="4" t="s">
        <v>63</v>
      </c>
      <c r="T2733" s="4" t="s">
        <v>63</v>
      </c>
      <c r="U2733" s="4"/>
      <c r="V2733" s="4"/>
      <c r="W2733" s="4"/>
      <c r="X2733" s="4" t="s">
        <v>63</v>
      </c>
      <c r="Y2733" s="4" t="s">
        <v>22662</v>
      </c>
      <c r="Z2733" s="4" t="s">
        <v>63</v>
      </c>
      <c r="AA2733" s="4" t="s">
        <v>63</v>
      </c>
      <c r="AB2733" s="4">
        <v>20160911164</v>
      </c>
      <c r="AC2733" s="4" t="s">
        <v>67</v>
      </c>
      <c r="AD2733" s="4" t="s">
        <v>63</v>
      </c>
      <c r="AE2733" s="4" t="s">
        <v>63</v>
      </c>
      <c r="AF2733" s="4" t="s">
        <v>63</v>
      </c>
      <c r="AG2733" s="4" t="s">
        <v>22663</v>
      </c>
      <c r="AH2733" s="4" t="s">
        <v>63</v>
      </c>
      <c r="AI2733" s="4" t="s">
        <v>22664</v>
      </c>
      <c r="AJ2733" s="4" t="s">
        <v>63</v>
      </c>
      <c r="AK2733" s="4" t="s">
        <v>63</v>
      </c>
      <c r="AL2733" s="4" t="s">
        <v>63</v>
      </c>
      <c r="AM2733" s="4" t="s">
        <v>22665</v>
      </c>
      <c r="AN2733" s="4" t="s">
        <v>63</v>
      </c>
      <c r="AO2733" s="4" t="s">
        <v>63</v>
      </c>
      <c r="AP2733" s="4" t="s">
        <v>63</v>
      </c>
      <c r="AQ2733" s="4" t="s">
        <v>63</v>
      </c>
      <c r="AR2733" s="4" t="s">
        <v>63</v>
      </c>
      <c r="AS2733" s="4" t="s">
        <v>63</v>
      </c>
      <c r="AT2733" s="4" t="s">
        <v>63</v>
      </c>
      <c r="AU2733" s="4" t="s">
        <v>63</v>
      </c>
      <c r="AV2733" s="4" t="s">
        <v>63</v>
      </c>
      <c r="AW2733" s="4" t="s">
        <v>63</v>
      </c>
      <c r="AX2733" s="4" t="s">
        <v>63</v>
      </c>
      <c r="AY2733" s="4" t="s">
        <v>63</v>
      </c>
      <c r="AZ2733" s="4" t="s">
        <v>63</v>
      </c>
      <c r="BA2733" s="4" t="s">
        <v>63</v>
      </c>
      <c r="BB2733" s="4" t="s">
        <v>63</v>
      </c>
      <c r="BC2733" s="4" t="s">
        <v>63</v>
      </c>
      <c r="BD2733" s="4" t="s">
        <v>63</v>
      </c>
      <c r="BE2733" s="4" t="s">
        <v>63</v>
      </c>
      <c r="BF2733" s="4" t="s">
        <v>63</v>
      </c>
    </row>
    <row r="2734" spans="1:58">
      <c r="A2734" s="4" t="s">
        <v>58</v>
      </c>
      <c r="B2734" s="4" t="s">
        <v>22666</v>
      </c>
      <c r="C2734" s="4" t="s">
        <v>22667</v>
      </c>
      <c r="D2734" s="4" t="s">
        <v>371</v>
      </c>
      <c r="E2734" s="4" t="s">
        <v>63</v>
      </c>
      <c r="F2734" s="4">
        <v>2016</v>
      </c>
      <c r="G2734" s="4" t="s">
        <v>189</v>
      </c>
      <c r="H2734" s="4">
        <v>31</v>
      </c>
      <c r="I2734" s="4">
        <v>2</v>
      </c>
      <c r="J2734" s="4" t="s">
        <v>22668</v>
      </c>
      <c r="K2734" s="4" t="s">
        <v>22669</v>
      </c>
      <c r="L2734" s="4" t="s">
        <v>22670</v>
      </c>
      <c r="M2734" s="4" t="s">
        <v>22671</v>
      </c>
      <c r="N2734" s="4" t="s">
        <v>22672</v>
      </c>
      <c r="O2734" s="4" t="s">
        <v>63</v>
      </c>
      <c r="P2734" s="4"/>
      <c r="Q2734" s="4" t="s">
        <v>63</v>
      </c>
      <c r="R2734" s="4" t="s">
        <v>63</v>
      </c>
      <c r="S2734" s="4" t="s">
        <v>63</v>
      </c>
      <c r="T2734" s="4" t="s">
        <v>63</v>
      </c>
      <c r="U2734" s="4"/>
      <c r="V2734" s="4"/>
      <c r="W2734" s="4"/>
      <c r="X2734" s="4" t="s">
        <v>63</v>
      </c>
      <c r="Y2734" s="4" t="s">
        <v>547</v>
      </c>
      <c r="Z2734" s="4" t="s">
        <v>63</v>
      </c>
      <c r="AA2734" s="4" t="s">
        <v>63</v>
      </c>
      <c r="AB2734" s="4" t="s">
        <v>63</v>
      </c>
      <c r="AC2734" s="4" t="s">
        <v>67</v>
      </c>
      <c r="AD2734" s="4" t="s">
        <v>63</v>
      </c>
      <c r="AE2734" s="4" t="s">
        <v>63</v>
      </c>
      <c r="AF2734" s="4" t="s">
        <v>63</v>
      </c>
      <c r="AG2734" s="4" t="s">
        <v>63</v>
      </c>
      <c r="AH2734" s="4" t="s">
        <v>63</v>
      </c>
      <c r="AI2734" s="4" t="s">
        <v>63</v>
      </c>
      <c r="AJ2734" s="4" t="s">
        <v>63</v>
      </c>
      <c r="AK2734" s="4" t="s">
        <v>63</v>
      </c>
      <c r="AL2734" s="4" t="s">
        <v>63</v>
      </c>
      <c r="AM2734" s="4" t="s">
        <v>22667</v>
      </c>
      <c r="AN2734" s="4" t="s">
        <v>63</v>
      </c>
      <c r="AO2734" s="4" t="s">
        <v>63</v>
      </c>
      <c r="AP2734" s="4" t="s">
        <v>63</v>
      </c>
      <c r="AQ2734" s="4" t="s">
        <v>63</v>
      </c>
      <c r="AR2734" s="4" t="s">
        <v>63</v>
      </c>
      <c r="AS2734" s="4" t="s">
        <v>63</v>
      </c>
      <c r="AT2734" s="4" t="s">
        <v>63</v>
      </c>
      <c r="AU2734" s="4" t="s">
        <v>63</v>
      </c>
      <c r="AV2734" s="4" t="s">
        <v>63</v>
      </c>
      <c r="AW2734" s="4" t="s">
        <v>63</v>
      </c>
      <c r="AX2734" s="4" t="s">
        <v>63</v>
      </c>
      <c r="AY2734" s="4" t="s">
        <v>63</v>
      </c>
      <c r="AZ2734" s="4" t="s">
        <v>63</v>
      </c>
      <c r="BA2734" s="4" t="s">
        <v>63</v>
      </c>
      <c r="BB2734" s="4" t="s">
        <v>63</v>
      </c>
      <c r="BC2734" s="4" t="s">
        <v>63</v>
      </c>
      <c r="BD2734" s="4" t="s">
        <v>63</v>
      </c>
      <c r="BE2734" s="4" t="s">
        <v>63</v>
      </c>
      <c r="BF2734" s="4" t="s">
        <v>63</v>
      </c>
    </row>
    <row r="2735" spans="1:58">
      <c r="A2735" s="4" t="s">
        <v>58</v>
      </c>
      <c r="B2735" s="4" t="s">
        <v>22673</v>
      </c>
      <c r="C2735" s="4" t="s">
        <v>22674</v>
      </c>
      <c r="D2735" s="4" t="s">
        <v>763</v>
      </c>
      <c r="E2735" s="4" t="s">
        <v>63</v>
      </c>
      <c r="F2735" s="4">
        <v>2009</v>
      </c>
      <c r="G2735" s="4" t="s">
        <v>15300</v>
      </c>
      <c r="H2735" s="4">
        <v>84</v>
      </c>
      <c r="I2735" s="4">
        <v>8</v>
      </c>
      <c r="J2735" s="4">
        <v>1118</v>
      </c>
      <c r="K2735" s="4">
        <v>1126</v>
      </c>
      <c r="L2735" s="4" t="s">
        <v>22675</v>
      </c>
      <c r="M2735" s="4" t="s">
        <v>22676</v>
      </c>
      <c r="N2735" s="4" t="s">
        <v>22677</v>
      </c>
      <c r="O2735" s="4" t="s">
        <v>63</v>
      </c>
      <c r="P2735" s="4"/>
      <c r="Q2735" s="4" t="s">
        <v>63</v>
      </c>
      <c r="R2735" s="4" t="s">
        <v>63</v>
      </c>
      <c r="S2735" s="4" t="s">
        <v>63</v>
      </c>
      <c r="T2735" s="4" t="s">
        <v>63</v>
      </c>
      <c r="U2735" s="4"/>
      <c r="V2735" s="4"/>
      <c r="W2735" s="4"/>
      <c r="X2735" s="4" t="s">
        <v>63</v>
      </c>
      <c r="Y2735" s="4" t="s">
        <v>858</v>
      </c>
      <c r="Z2735" s="4" t="s">
        <v>63</v>
      </c>
      <c r="AA2735" s="4" t="s">
        <v>63</v>
      </c>
      <c r="AB2735" s="4">
        <v>2009441126</v>
      </c>
      <c r="AC2735" s="4" t="s">
        <v>67</v>
      </c>
      <c r="AD2735" s="4" t="s">
        <v>63</v>
      </c>
      <c r="AE2735" s="4" t="s">
        <v>63</v>
      </c>
      <c r="AF2735" s="4" t="s">
        <v>63</v>
      </c>
      <c r="AG2735" s="4" t="s">
        <v>22678</v>
      </c>
      <c r="AH2735" s="4" t="s">
        <v>63</v>
      </c>
      <c r="AI2735" s="4" t="s">
        <v>22679</v>
      </c>
      <c r="AJ2735" s="4" t="s">
        <v>63</v>
      </c>
      <c r="AK2735" s="4" t="s">
        <v>63</v>
      </c>
      <c r="AL2735" s="4" t="s">
        <v>63</v>
      </c>
      <c r="AM2735" s="4" t="s">
        <v>22680</v>
      </c>
      <c r="AN2735" s="4" t="s">
        <v>63</v>
      </c>
      <c r="AO2735" s="4" t="s">
        <v>63</v>
      </c>
      <c r="AP2735" s="4" t="s">
        <v>63</v>
      </c>
      <c r="AQ2735" s="4" t="s">
        <v>63</v>
      </c>
      <c r="AR2735" s="4" t="s">
        <v>63</v>
      </c>
      <c r="AS2735" s="4" t="s">
        <v>63</v>
      </c>
      <c r="AT2735" s="4" t="s">
        <v>63</v>
      </c>
      <c r="AU2735" s="4" t="s">
        <v>63</v>
      </c>
      <c r="AV2735" s="4" t="s">
        <v>63</v>
      </c>
      <c r="AW2735" s="4" t="s">
        <v>63</v>
      </c>
      <c r="AX2735" s="4" t="s">
        <v>63</v>
      </c>
      <c r="AY2735" s="4" t="s">
        <v>63</v>
      </c>
      <c r="AZ2735" s="4" t="s">
        <v>63</v>
      </c>
      <c r="BA2735" s="4" t="s">
        <v>63</v>
      </c>
      <c r="BB2735" s="4" t="s">
        <v>63</v>
      </c>
      <c r="BC2735" s="4" t="s">
        <v>63</v>
      </c>
      <c r="BD2735" s="4" t="s">
        <v>63</v>
      </c>
      <c r="BE2735" s="4" t="s">
        <v>63</v>
      </c>
      <c r="BF2735" s="4" t="s">
        <v>63</v>
      </c>
    </row>
    <row r="2736" spans="1:58">
      <c r="A2736" s="4" t="s">
        <v>58</v>
      </c>
      <c r="B2736" s="4" t="s">
        <v>22681</v>
      </c>
      <c r="C2736" s="4" t="s">
        <v>22682</v>
      </c>
      <c r="D2736" s="4" t="s">
        <v>13911</v>
      </c>
      <c r="E2736" s="4" t="s">
        <v>63</v>
      </c>
      <c r="F2736" s="4">
        <v>2014</v>
      </c>
      <c r="G2736" s="4" t="s">
        <v>63</v>
      </c>
      <c r="H2736" s="4" t="s">
        <v>20660</v>
      </c>
      <c r="I2736" s="4" t="s">
        <v>63</v>
      </c>
      <c r="J2736" s="4" t="s">
        <v>63</v>
      </c>
      <c r="K2736" s="4" t="s">
        <v>63</v>
      </c>
      <c r="L2736" s="4" t="s">
        <v>22683</v>
      </c>
      <c r="M2736" s="4" t="s">
        <v>22684</v>
      </c>
      <c r="N2736" s="4" t="s">
        <v>22685</v>
      </c>
      <c r="O2736" s="4" t="s">
        <v>63</v>
      </c>
      <c r="P2736" s="4"/>
      <c r="Q2736" s="4" t="s">
        <v>63</v>
      </c>
      <c r="R2736" s="4" t="s">
        <v>63</v>
      </c>
      <c r="S2736" s="4" t="s">
        <v>63</v>
      </c>
      <c r="T2736" s="4" t="s">
        <v>63</v>
      </c>
      <c r="U2736" s="4"/>
      <c r="V2736" s="4"/>
      <c r="W2736" s="4"/>
      <c r="X2736" s="4" t="s">
        <v>63</v>
      </c>
      <c r="Y2736" s="4" t="s">
        <v>20664</v>
      </c>
      <c r="Z2736" s="4" t="s">
        <v>63</v>
      </c>
      <c r="AA2736" s="4" t="s">
        <v>63</v>
      </c>
      <c r="AB2736" s="4" t="s">
        <v>63</v>
      </c>
      <c r="AC2736" s="4" t="s">
        <v>67</v>
      </c>
      <c r="AD2736" s="4" t="s">
        <v>63</v>
      </c>
      <c r="AE2736" s="4" t="s">
        <v>63</v>
      </c>
      <c r="AF2736" s="4" t="s">
        <v>63</v>
      </c>
      <c r="AG2736" s="4" t="s">
        <v>63</v>
      </c>
      <c r="AH2736" s="4" t="s">
        <v>63</v>
      </c>
      <c r="AI2736" s="4" t="s">
        <v>63</v>
      </c>
      <c r="AJ2736" s="4" t="s">
        <v>63</v>
      </c>
      <c r="AK2736" s="4" t="s">
        <v>63</v>
      </c>
      <c r="AL2736" s="4" t="s">
        <v>63</v>
      </c>
      <c r="AM2736" s="4" t="s">
        <v>22682</v>
      </c>
      <c r="AN2736" s="4" t="s">
        <v>63</v>
      </c>
      <c r="AO2736" s="4" t="s">
        <v>63</v>
      </c>
      <c r="AP2736" s="4" t="s">
        <v>63</v>
      </c>
      <c r="AQ2736" s="4" t="s">
        <v>63</v>
      </c>
      <c r="AR2736" s="4" t="s">
        <v>63</v>
      </c>
      <c r="AS2736" s="4" t="s">
        <v>63</v>
      </c>
      <c r="AT2736" s="4" t="s">
        <v>63</v>
      </c>
      <c r="AU2736" s="4" t="s">
        <v>63</v>
      </c>
      <c r="AV2736" s="4" t="s">
        <v>63</v>
      </c>
      <c r="AW2736" s="4" t="s">
        <v>63</v>
      </c>
      <c r="AX2736" s="4" t="s">
        <v>63</v>
      </c>
      <c r="AY2736" s="4" t="s">
        <v>63</v>
      </c>
      <c r="AZ2736" s="4" t="s">
        <v>63</v>
      </c>
      <c r="BA2736" s="4" t="s">
        <v>63</v>
      </c>
      <c r="BB2736" s="4" t="s">
        <v>63</v>
      </c>
      <c r="BC2736" s="4" t="s">
        <v>63</v>
      </c>
      <c r="BD2736" s="4" t="s">
        <v>63</v>
      </c>
      <c r="BE2736" s="4" t="s">
        <v>63</v>
      </c>
      <c r="BF2736" s="4" t="s">
        <v>63</v>
      </c>
    </row>
    <row r="2737" spans="1:58">
      <c r="A2737" s="4" t="s">
        <v>58</v>
      </c>
      <c r="B2737" s="4" t="s">
        <v>22686</v>
      </c>
      <c r="C2737" s="4" t="s">
        <v>22687</v>
      </c>
      <c r="D2737" s="4" t="s">
        <v>6854</v>
      </c>
      <c r="E2737" s="4" t="s">
        <v>63</v>
      </c>
      <c r="F2737" s="4">
        <v>2011</v>
      </c>
      <c r="G2737" s="6">
        <v>41882</v>
      </c>
      <c r="H2737" s="4" t="s">
        <v>15897</v>
      </c>
      <c r="I2737" s="4" t="s">
        <v>63</v>
      </c>
      <c r="J2737" s="4" t="s">
        <v>63</v>
      </c>
      <c r="K2737" s="4" t="s">
        <v>63</v>
      </c>
      <c r="L2737" s="4" t="s">
        <v>22688</v>
      </c>
      <c r="M2737" s="4" t="s">
        <v>22689</v>
      </c>
      <c r="N2737" s="4" t="s">
        <v>22690</v>
      </c>
      <c r="O2737" s="4" t="s">
        <v>63</v>
      </c>
      <c r="P2737" s="4"/>
      <c r="Q2737" s="4" t="s">
        <v>63</v>
      </c>
      <c r="R2737" s="4" t="s">
        <v>63</v>
      </c>
      <c r="S2737" s="4" t="s">
        <v>63</v>
      </c>
      <c r="T2737" s="4" t="s">
        <v>63</v>
      </c>
      <c r="U2737" s="4"/>
      <c r="V2737" s="4"/>
      <c r="W2737" s="4"/>
      <c r="X2737" s="4" t="s">
        <v>63</v>
      </c>
      <c r="Y2737" s="4" t="s">
        <v>15322</v>
      </c>
      <c r="Z2737" s="4" t="s">
        <v>63</v>
      </c>
      <c r="AA2737" s="4" t="s">
        <v>63</v>
      </c>
      <c r="AB2737" s="4" t="s">
        <v>63</v>
      </c>
      <c r="AC2737" s="4" t="s">
        <v>67</v>
      </c>
      <c r="AD2737" s="4" t="s">
        <v>63</v>
      </c>
      <c r="AE2737" s="4" t="s">
        <v>63</v>
      </c>
      <c r="AF2737" s="4" t="s">
        <v>63</v>
      </c>
      <c r="AG2737" s="4" t="s">
        <v>63</v>
      </c>
      <c r="AH2737" s="4" t="s">
        <v>63</v>
      </c>
      <c r="AI2737" s="4" t="s">
        <v>63</v>
      </c>
      <c r="AJ2737" s="4" t="s">
        <v>63</v>
      </c>
      <c r="AK2737" s="4" t="s">
        <v>63</v>
      </c>
      <c r="AL2737" s="4" t="s">
        <v>63</v>
      </c>
      <c r="AM2737" s="4" t="s">
        <v>22687</v>
      </c>
      <c r="AN2737" s="4" t="s">
        <v>63</v>
      </c>
      <c r="AO2737" s="4" t="s">
        <v>63</v>
      </c>
      <c r="AP2737" s="4" t="s">
        <v>63</v>
      </c>
      <c r="AQ2737" s="4" t="s">
        <v>63</v>
      </c>
      <c r="AR2737" s="4" t="s">
        <v>63</v>
      </c>
      <c r="AS2737" s="4" t="s">
        <v>63</v>
      </c>
      <c r="AT2737" s="4" t="s">
        <v>63</v>
      </c>
      <c r="AU2737" s="4" t="s">
        <v>63</v>
      </c>
      <c r="AV2737" s="4" t="s">
        <v>63</v>
      </c>
      <c r="AW2737" s="4" t="s">
        <v>63</v>
      </c>
      <c r="AX2737" s="4" t="s">
        <v>63</v>
      </c>
      <c r="AY2737" s="4" t="s">
        <v>63</v>
      </c>
      <c r="AZ2737" s="4" t="s">
        <v>63</v>
      </c>
      <c r="BA2737" s="4" t="s">
        <v>63</v>
      </c>
      <c r="BB2737" s="4" t="s">
        <v>63</v>
      </c>
      <c r="BC2737" s="4" t="s">
        <v>63</v>
      </c>
      <c r="BD2737" s="4" t="s">
        <v>63</v>
      </c>
      <c r="BE2737" s="4" t="s">
        <v>63</v>
      </c>
      <c r="BF2737" s="4" t="s">
        <v>63</v>
      </c>
    </row>
    <row r="2738" spans="1:58">
      <c r="A2738" s="4" t="s">
        <v>58</v>
      </c>
      <c r="B2738" s="4" t="s">
        <v>22691</v>
      </c>
      <c r="C2738" s="4" t="s">
        <v>22692</v>
      </c>
      <c r="D2738" s="4" t="s">
        <v>10652</v>
      </c>
      <c r="E2738" s="4" t="s">
        <v>10653</v>
      </c>
      <c r="F2738" s="4">
        <v>2010</v>
      </c>
      <c r="G2738" s="4" t="s">
        <v>15997</v>
      </c>
      <c r="H2738" s="4">
        <v>32</v>
      </c>
      <c r="I2738" s="4">
        <v>6</v>
      </c>
      <c r="J2738" s="4">
        <v>623</v>
      </c>
      <c r="K2738" s="4">
        <v>630</v>
      </c>
      <c r="L2738" s="4" t="s">
        <v>22693</v>
      </c>
      <c r="M2738" s="4" t="s">
        <v>22694</v>
      </c>
      <c r="N2738" s="4" t="s">
        <v>22695</v>
      </c>
      <c r="O2738" s="4" t="s">
        <v>63</v>
      </c>
      <c r="P2738" s="4"/>
      <c r="Q2738" s="4" t="s">
        <v>63</v>
      </c>
      <c r="R2738" s="4" t="s">
        <v>63</v>
      </c>
      <c r="S2738" s="4" t="s">
        <v>63</v>
      </c>
      <c r="T2738" s="4" t="s">
        <v>63</v>
      </c>
      <c r="U2738" s="4"/>
      <c r="V2738" s="4"/>
      <c r="W2738" s="4"/>
      <c r="X2738" s="4" t="s">
        <v>63</v>
      </c>
      <c r="Y2738" s="4" t="s">
        <v>10657</v>
      </c>
      <c r="Z2738" s="4" t="s">
        <v>63</v>
      </c>
      <c r="AA2738" s="4" t="s">
        <v>63</v>
      </c>
      <c r="AB2738" s="4">
        <v>2010655337</v>
      </c>
      <c r="AC2738" s="4" t="s">
        <v>67</v>
      </c>
      <c r="AD2738" s="4" t="s">
        <v>63</v>
      </c>
      <c r="AE2738" s="4" t="s">
        <v>63</v>
      </c>
      <c r="AF2738" s="4" t="s">
        <v>63</v>
      </c>
      <c r="AG2738" s="4" t="s">
        <v>22696</v>
      </c>
      <c r="AH2738" s="4" t="s">
        <v>63</v>
      </c>
      <c r="AI2738" s="4" t="s">
        <v>22697</v>
      </c>
      <c r="AJ2738" s="4" t="s">
        <v>63</v>
      </c>
      <c r="AK2738" s="4" t="s">
        <v>63</v>
      </c>
      <c r="AL2738" s="4" t="s">
        <v>63</v>
      </c>
      <c r="AM2738" s="4" t="s">
        <v>22698</v>
      </c>
      <c r="AN2738" s="4" t="s">
        <v>63</v>
      </c>
      <c r="AO2738" s="4" t="s">
        <v>63</v>
      </c>
      <c r="AP2738" s="4" t="s">
        <v>63</v>
      </c>
      <c r="AQ2738" s="4" t="s">
        <v>63</v>
      </c>
      <c r="AR2738" s="4" t="s">
        <v>63</v>
      </c>
      <c r="AS2738" s="4" t="s">
        <v>63</v>
      </c>
      <c r="AT2738" s="4" t="s">
        <v>63</v>
      </c>
      <c r="AU2738" s="4" t="s">
        <v>63</v>
      </c>
      <c r="AV2738" s="4" t="s">
        <v>63</v>
      </c>
      <c r="AW2738" s="4" t="s">
        <v>63</v>
      </c>
      <c r="AX2738" s="4" t="s">
        <v>63</v>
      </c>
      <c r="AY2738" s="4" t="s">
        <v>63</v>
      </c>
      <c r="AZ2738" s="4" t="s">
        <v>63</v>
      </c>
      <c r="BA2738" s="4" t="s">
        <v>63</v>
      </c>
      <c r="BB2738" s="4" t="s">
        <v>63</v>
      </c>
      <c r="BC2738" s="4" t="s">
        <v>63</v>
      </c>
      <c r="BD2738" s="4" t="s">
        <v>63</v>
      </c>
      <c r="BE2738" s="4" t="s">
        <v>63</v>
      </c>
      <c r="BF2738" s="4" t="s">
        <v>63</v>
      </c>
    </row>
    <row r="2739" spans="1:58">
      <c r="A2739" s="4" t="s">
        <v>58</v>
      </c>
      <c r="B2739" s="4" t="s">
        <v>22699</v>
      </c>
      <c r="C2739" s="4" t="s">
        <v>22700</v>
      </c>
      <c r="D2739" s="4" t="s">
        <v>22701</v>
      </c>
      <c r="E2739" s="4" t="s">
        <v>63</v>
      </c>
      <c r="F2739" s="4">
        <v>2005</v>
      </c>
      <c r="G2739" s="4" t="s">
        <v>15175</v>
      </c>
      <c r="H2739" s="4">
        <v>33</v>
      </c>
      <c r="I2739" s="4">
        <v>4</v>
      </c>
      <c r="J2739" s="4">
        <v>55</v>
      </c>
      <c r="K2739" s="4">
        <v>58</v>
      </c>
      <c r="L2739" s="4" t="s">
        <v>22702</v>
      </c>
      <c r="M2739" s="4" t="s">
        <v>63</v>
      </c>
      <c r="N2739" s="4" t="s">
        <v>22703</v>
      </c>
      <c r="O2739" s="4" t="s">
        <v>63</v>
      </c>
      <c r="P2739" s="4"/>
      <c r="Q2739" s="4" t="s">
        <v>63</v>
      </c>
      <c r="R2739" s="4" t="s">
        <v>63</v>
      </c>
      <c r="S2739" s="4" t="s">
        <v>63</v>
      </c>
      <c r="T2739" s="4" t="s">
        <v>63</v>
      </c>
      <c r="U2739" s="4"/>
      <c r="V2739" s="4"/>
      <c r="W2739" s="4"/>
      <c r="X2739" s="4" t="s">
        <v>63</v>
      </c>
      <c r="Y2739" s="4" t="s">
        <v>12016</v>
      </c>
      <c r="Z2739" s="4" t="s">
        <v>63</v>
      </c>
      <c r="AA2739" s="4" t="s">
        <v>63</v>
      </c>
      <c r="AB2739" s="4" t="s">
        <v>63</v>
      </c>
      <c r="AC2739" s="4" t="s">
        <v>67</v>
      </c>
      <c r="AD2739" s="4" t="s">
        <v>63</v>
      </c>
      <c r="AE2739" s="4" t="s">
        <v>63</v>
      </c>
      <c r="AF2739" s="4" t="s">
        <v>63</v>
      </c>
      <c r="AG2739" s="4" t="s">
        <v>22704</v>
      </c>
      <c r="AH2739" s="4" t="s">
        <v>63</v>
      </c>
      <c r="AI2739" s="4" t="s">
        <v>63</v>
      </c>
      <c r="AJ2739" s="4" t="s">
        <v>63</v>
      </c>
      <c r="AK2739" s="4" t="s">
        <v>63</v>
      </c>
      <c r="AL2739" s="4" t="s">
        <v>63</v>
      </c>
      <c r="AM2739" s="4" t="s">
        <v>22705</v>
      </c>
      <c r="AN2739" s="4" t="s">
        <v>63</v>
      </c>
      <c r="AO2739" s="4" t="s">
        <v>63</v>
      </c>
      <c r="AP2739" s="4" t="s">
        <v>63</v>
      </c>
      <c r="AQ2739" s="4" t="s">
        <v>63</v>
      </c>
      <c r="AR2739" s="4" t="s">
        <v>63</v>
      </c>
      <c r="AS2739" s="4" t="s">
        <v>63</v>
      </c>
      <c r="AT2739" s="4" t="s">
        <v>63</v>
      </c>
      <c r="AU2739" s="4" t="s">
        <v>63</v>
      </c>
      <c r="AV2739" s="4" t="s">
        <v>63</v>
      </c>
      <c r="AW2739" s="4" t="s">
        <v>63</v>
      </c>
      <c r="AX2739" s="4" t="s">
        <v>63</v>
      </c>
      <c r="AY2739" s="4" t="s">
        <v>63</v>
      </c>
      <c r="AZ2739" s="4" t="s">
        <v>63</v>
      </c>
      <c r="BA2739" s="4" t="s">
        <v>63</v>
      </c>
      <c r="BB2739" s="4" t="s">
        <v>63</v>
      </c>
      <c r="BC2739" s="4" t="s">
        <v>63</v>
      </c>
      <c r="BD2739" s="4" t="s">
        <v>63</v>
      </c>
      <c r="BE2739" s="4" t="s">
        <v>63</v>
      </c>
      <c r="BF2739" s="4" t="s">
        <v>63</v>
      </c>
    </row>
    <row r="2740" spans="1:58">
      <c r="A2740" s="4" t="s">
        <v>58</v>
      </c>
      <c r="B2740" s="4" t="s">
        <v>22706</v>
      </c>
      <c r="C2740" s="4" t="s">
        <v>22707</v>
      </c>
      <c r="D2740" s="4" t="s">
        <v>19301</v>
      </c>
      <c r="E2740" s="4" t="s">
        <v>19302</v>
      </c>
      <c r="F2740" s="4">
        <v>2012</v>
      </c>
      <c r="G2740" s="4" t="s">
        <v>15358</v>
      </c>
      <c r="H2740" s="4">
        <v>89</v>
      </c>
      <c r="I2740" s="4">
        <v>1</v>
      </c>
      <c r="J2740" s="4">
        <v>51</v>
      </c>
      <c r="K2740" s="4">
        <v>56</v>
      </c>
      <c r="L2740" s="4" t="s">
        <v>22708</v>
      </c>
      <c r="M2740" s="4" t="s">
        <v>22709</v>
      </c>
      <c r="N2740" s="4" t="s">
        <v>22710</v>
      </c>
      <c r="O2740" s="4" t="s">
        <v>63</v>
      </c>
      <c r="P2740" s="4"/>
      <c r="Q2740" s="4" t="s">
        <v>63</v>
      </c>
      <c r="R2740" s="4" t="s">
        <v>63</v>
      </c>
      <c r="S2740" s="4" t="s">
        <v>63</v>
      </c>
      <c r="T2740" s="4" t="s">
        <v>63</v>
      </c>
      <c r="U2740" s="4"/>
      <c r="V2740" s="4"/>
      <c r="W2740" s="4"/>
      <c r="X2740" s="4" t="s">
        <v>63</v>
      </c>
      <c r="Y2740" s="4" t="s">
        <v>22711</v>
      </c>
      <c r="Z2740" s="4" t="s">
        <v>63</v>
      </c>
      <c r="AA2740" s="4" t="s">
        <v>63</v>
      </c>
      <c r="AB2740" s="4">
        <v>2012565605</v>
      </c>
      <c r="AC2740" s="4" t="s">
        <v>67</v>
      </c>
      <c r="AD2740" s="4" t="s">
        <v>63</v>
      </c>
      <c r="AE2740" s="4" t="s">
        <v>63</v>
      </c>
      <c r="AF2740" s="4" t="s">
        <v>63</v>
      </c>
      <c r="AG2740" s="4" t="s">
        <v>22712</v>
      </c>
      <c r="AH2740" s="4" t="s">
        <v>63</v>
      </c>
      <c r="AI2740" s="4" t="s">
        <v>22713</v>
      </c>
      <c r="AJ2740" s="4" t="s">
        <v>63</v>
      </c>
      <c r="AK2740" s="4" t="s">
        <v>63</v>
      </c>
      <c r="AL2740" s="4" t="s">
        <v>63</v>
      </c>
      <c r="AM2740" s="4" t="s">
        <v>22714</v>
      </c>
      <c r="AN2740" s="4" t="s">
        <v>63</v>
      </c>
      <c r="AO2740" s="4" t="s">
        <v>63</v>
      </c>
      <c r="AP2740" s="4" t="s">
        <v>63</v>
      </c>
      <c r="AQ2740" s="4" t="s">
        <v>63</v>
      </c>
      <c r="AR2740" s="4" t="s">
        <v>63</v>
      </c>
      <c r="AS2740" s="4" t="s">
        <v>63</v>
      </c>
      <c r="AT2740" s="4" t="s">
        <v>63</v>
      </c>
      <c r="AU2740" s="4" t="s">
        <v>63</v>
      </c>
      <c r="AV2740" s="4" t="s">
        <v>63</v>
      </c>
      <c r="AW2740" s="4" t="s">
        <v>63</v>
      </c>
      <c r="AX2740" s="4" t="s">
        <v>63</v>
      </c>
      <c r="AY2740" s="4" t="s">
        <v>63</v>
      </c>
      <c r="AZ2740" s="4" t="s">
        <v>63</v>
      </c>
      <c r="BA2740" s="4" t="s">
        <v>63</v>
      </c>
      <c r="BB2740" s="4" t="s">
        <v>63</v>
      </c>
      <c r="BC2740" s="4" t="s">
        <v>63</v>
      </c>
      <c r="BD2740" s="4" t="s">
        <v>63</v>
      </c>
      <c r="BE2740" s="4" t="s">
        <v>63</v>
      </c>
      <c r="BF2740" s="4" t="s">
        <v>63</v>
      </c>
    </row>
    <row r="2741" spans="1:58">
      <c r="A2741" s="4" t="s">
        <v>58</v>
      </c>
      <c r="B2741" s="4" t="s">
        <v>22715</v>
      </c>
      <c r="C2741" s="4" t="s">
        <v>22716</v>
      </c>
      <c r="D2741" s="4" t="s">
        <v>22717</v>
      </c>
      <c r="E2741" s="4" t="s">
        <v>63</v>
      </c>
      <c r="F2741" s="4">
        <v>2017</v>
      </c>
      <c r="G2741" s="4">
        <v>1</v>
      </c>
      <c r="H2741" s="4">
        <v>9</v>
      </c>
      <c r="I2741" s="4" t="s">
        <v>63</v>
      </c>
      <c r="J2741" s="4">
        <v>657</v>
      </c>
      <c r="K2741" s="4">
        <v>666</v>
      </c>
      <c r="L2741" s="4" t="s">
        <v>22718</v>
      </c>
      <c r="M2741" s="4" t="s">
        <v>22719</v>
      </c>
      <c r="N2741" s="4" t="s">
        <v>22720</v>
      </c>
      <c r="O2741" s="4" t="s">
        <v>63</v>
      </c>
      <c r="P2741" s="4"/>
      <c r="Q2741" s="4" t="s">
        <v>63</v>
      </c>
      <c r="R2741" s="4" t="s">
        <v>63</v>
      </c>
      <c r="S2741" s="4" t="s">
        <v>63</v>
      </c>
      <c r="T2741" s="4" t="s">
        <v>63</v>
      </c>
      <c r="U2741" s="4"/>
      <c r="V2741" s="4"/>
      <c r="W2741" s="4"/>
      <c r="X2741" s="4" t="s">
        <v>63</v>
      </c>
      <c r="Y2741" s="4" t="s">
        <v>22721</v>
      </c>
      <c r="Z2741" s="4" t="s">
        <v>63</v>
      </c>
      <c r="AA2741" s="4" t="s">
        <v>63</v>
      </c>
      <c r="AB2741" s="4" t="s">
        <v>22722</v>
      </c>
      <c r="AC2741" s="4" t="s">
        <v>67</v>
      </c>
      <c r="AD2741" s="4" t="s">
        <v>63</v>
      </c>
      <c r="AE2741" s="4" t="s">
        <v>63</v>
      </c>
      <c r="AF2741" s="4" t="s">
        <v>63</v>
      </c>
      <c r="AG2741" s="4" t="s">
        <v>63</v>
      </c>
      <c r="AH2741" s="4" t="s">
        <v>63</v>
      </c>
      <c r="AI2741" s="4" t="s">
        <v>22723</v>
      </c>
      <c r="AJ2741" s="4" t="s">
        <v>63</v>
      </c>
      <c r="AK2741" s="4" t="s">
        <v>63</v>
      </c>
      <c r="AL2741" s="4" t="s">
        <v>63</v>
      </c>
      <c r="AM2741" s="4" t="s">
        <v>22716</v>
      </c>
      <c r="AN2741" s="4" t="s">
        <v>63</v>
      </c>
      <c r="AO2741" s="4" t="s">
        <v>63</v>
      </c>
      <c r="AP2741" s="4" t="s">
        <v>63</v>
      </c>
      <c r="AQ2741" s="4" t="s">
        <v>63</v>
      </c>
      <c r="AR2741" s="4" t="s">
        <v>63</v>
      </c>
      <c r="AS2741" s="4" t="s">
        <v>63</v>
      </c>
      <c r="AT2741" s="4" t="s">
        <v>63</v>
      </c>
      <c r="AU2741" s="4" t="s">
        <v>63</v>
      </c>
      <c r="AV2741" s="4" t="s">
        <v>63</v>
      </c>
      <c r="AW2741" s="4" t="s">
        <v>63</v>
      </c>
      <c r="AX2741" s="4" t="s">
        <v>63</v>
      </c>
      <c r="AY2741" s="4" t="s">
        <v>63</v>
      </c>
      <c r="AZ2741" s="4" t="s">
        <v>63</v>
      </c>
      <c r="BA2741" s="4" t="s">
        <v>63</v>
      </c>
      <c r="BB2741" s="4" t="s">
        <v>63</v>
      </c>
      <c r="BC2741" s="4" t="s">
        <v>63</v>
      </c>
      <c r="BD2741" s="4" t="s">
        <v>63</v>
      </c>
      <c r="BE2741" s="4" t="s">
        <v>63</v>
      </c>
      <c r="BF2741" s="4" t="s">
        <v>63</v>
      </c>
    </row>
    <row r="2742" spans="1:58">
      <c r="A2742" s="4" t="s">
        <v>58</v>
      </c>
      <c r="B2742" s="4" t="s">
        <v>22724</v>
      </c>
      <c r="C2742" s="4" t="s">
        <v>22725</v>
      </c>
      <c r="D2742" s="4" t="s">
        <v>2014</v>
      </c>
      <c r="E2742" s="4" t="s">
        <v>63</v>
      </c>
      <c r="F2742" s="4">
        <v>2017</v>
      </c>
      <c r="G2742" s="4" t="s">
        <v>63</v>
      </c>
      <c r="H2742" s="4" t="s">
        <v>22726</v>
      </c>
      <c r="I2742" s="4" t="s">
        <v>63</v>
      </c>
      <c r="J2742" s="4" t="s">
        <v>63</v>
      </c>
      <c r="K2742" s="4" t="s">
        <v>63</v>
      </c>
      <c r="L2742" s="4" t="s">
        <v>22727</v>
      </c>
      <c r="M2742" s="4" t="s">
        <v>22728</v>
      </c>
      <c r="N2742" s="4" t="s">
        <v>22729</v>
      </c>
      <c r="O2742" s="4" t="s">
        <v>63</v>
      </c>
      <c r="P2742" s="4"/>
      <c r="Q2742" s="4" t="s">
        <v>63</v>
      </c>
      <c r="R2742" s="4" t="s">
        <v>63</v>
      </c>
      <c r="S2742" s="4" t="s">
        <v>63</v>
      </c>
      <c r="T2742" s="4" t="s">
        <v>63</v>
      </c>
      <c r="U2742" s="4"/>
      <c r="V2742" s="4"/>
      <c r="W2742" s="4"/>
      <c r="X2742" s="4" t="s">
        <v>63</v>
      </c>
      <c r="Y2742" s="4" t="s">
        <v>22730</v>
      </c>
      <c r="Z2742" s="4" t="s">
        <v>63</v>
      </c>
      <c r="AA2742" s="4" t="s">
        <v>63</v>
      </c>
      <c r="AB2742" s="4">
        <v>20170843844</v>
      </c>
      <c r="AC2742" s="4" t="s">
        <v>67</v>
      </c>
      <c r="AD2742" s="4" t="s">
        <v>63</v>
      </c>
      <c r="AE2742" s="4" t="s">
        <v>63</v>
      </c>
      <c r="AF2742" s="4" t="s">
        <v>63</v>
      </c>
      <c r="AG2742" s="4" t="s">
        <v>22731</v>
      </c>
      <c r="AH2742" s="4" t="s">
        <v>63</v>
      </c>
      <c r="AI2742" s="4" t="s">
        <v>22732</v>
      </c>
      <c r="AJ2742" s="4" t="s">
        <v>63</v>
      </c>
      <c r="AK2742" s="4" t="s">
        <v>63</v>
      </c>
      <c r="AL2742" s="4" t="s">
        <v>63</v>
      </c>
      <c r="AM2742" s="4" t="s">
        <v>22733</v>
      </c>
      <c r="AN2742" s="4" t="s">
        <v>63</v>
      </c>
      <c r="AO2742" s="4" t="s">
        <v>63</v>
      </c>
      <c r="AP2742" s="4" t="s">
        <v>63</v>
      </c>
      <c r="AQ2742" s="4" t="s">
        <v>63</v>
      </c>
      <c r="AR2742" s="4" t="s">
        <v>63</v>
      </c>
      <c r="AS2742" s="4" t="s">
        <v>63</v>
      </c>
      <c r="AT2742" s="4" t="s">
        <v>63</v>
      </c>
      <c r="AU2742" s="4" t="s">
        <v>63</v>
      </c>
      <c r="AV2742" s="4" t="s">
        <v>63</v>
      </c>
      <c r="AW2742" s="4" t="s">
        <v>63</v>
      </c>
      <c r="AX2742" s="4" t="s">
        <v>63</v>
      </c>
      <c r="AY2742" s="4" t="s">
        <v>63</v>
      </c>
      <c r="AZ2742" s="4" t="s">
        <v>63</v>
      </c>
      <c r="BA2742" s="4" t="s">
        <v>63</v>
      </c>
      <c r="BB2742" s="4" t="s">
        <v>63</v>
      </c>
      <c r="BC2742" s="4" t="s">
        <v>63</v>
      </c>
      <c r="BD2742" s="4" t="s">
        <v>63</v>
      </c>
      <c r="BE2742" s="4" t="s">
        <v>63</v>
      </c>
      <c r="BF2742" s="4" t="s">
        <v>63</v>
      </c>
    </row>
    <row r="2743" spans="1:58">
      <c r="A2743" s="4" t="s">
        <v>58</v>
      </c>
      <c r="B2743" s="4" t="s">
        <v>22734</v>
      </c>
      <c r="C2743" s="4" t="s">
        <v>22735</v>
      </c>
      <c r="D2743" s="4" t="s">
        <v>13447</v>
      </c>
      <c r="E2743" s="4" t="s">
        <v>63</v>
      </c>
      <c r="F2743" s="4">
        <v>2016</v>
      </c>
      <c r="G2743" s="4">
        <v>1</v>
      </c>
      <c r="H2743" s="4">
        <v>29</v>
      </c>
      <c r="I2743" s="4">
        <v>3</v>
      </c>
      <c r="J2743" s="4">
        <v>299</v>
      </c>
      <c r="K2743" s="4" t="s">
        <v>63</v>
      </c>
      <c r="L2743" s="4" t="s">
        <v>22736</v>
      </c>
      <c r="M2743" s="4" t="s">
        <v>22737</v>
      </c>
      <c r="N2743" s="4" t="s">
        <v>22738</v>
      </c>
      <c r="O2743" s="4" t="s">
        <v>63</v>
      </c>
      <c r="P2743" s="4"/>
      <c r="Q2743" s="4" t="s">
        <v>63</v>
      </c>
      <c r="R2743" s="4" t="s">
        <v>63</v>
      </c>
      <c r="S2743" s="4" t="s">
        <v>63</v>
      </c>
      <c r="T2743" s="4" t="s">
        <v>63</v>
      </c>
      <c r="U2743" s="4"/>
      <c r="V2743" s="4"/>
      <c r="W2743" s="4"/>
      <c r="X2743" s="4" t="s">
        <v>63</v>
      </c>
      <c r="Y2743" s="4" t="s">
        <v>13450</v>
      </c>
      <c r="Z2743" s="4" t="s">
        <v>63</v>
      </c>
      <c r="AA2743" s="4" t="s">
        <v>63</v>
      </c>
      <c r="AB2743" s="4" t="s">
        <v>63</v>
      </c>
      <c r="AC2743" s="4" t="s">
        <v>67</v>
      </c>
      <c r="AD2743" s="4" t="s">
        <v>63</v>
      </c>
      <c r="AE2743" s="4" t="s">
        <v>63</v>
      </c>
      <c r="AF2743" s="4" t="s">
        <v>63</v>
      </c>
      <c r="AG2743" s="4" t="s">
        <v>63</v>
      </c>
      <c r="AH2743" s="4" t="s">
        <v>63</v>
      </c>
      <c r="AI2743" s="4" t="s">
        <v>18319</v>
      </c>
      <c r="AJ2743" s="4" t="s">
        <v>63</v>
      </c>
      <c r="AK2743" s="4" t="s">
        <v>63</v>
      </c>
      <c r="AL2743" s="4" t="s">
        <v>63</v>
      </c>
      <c r="AM2743" s="4" t="s">
        <v>22735</v>
      </c>
      <c r="AN2743" s="4" t="s">
        <v>63</v>
      </c>
      <c r="AO2743" s="4" t="s">
        <v>63</v>
      </c>
      <c r="AP2743" s="4" t="s">
        <v>63</v>
      </c>
      <c r="AQ2743" s="4" t="s">
        <v>63</v>
      </c>
      <c r="AR2743" s="4" t="s">
        <v>63</v>
      </c>
      <c r="AS2743" s="4" t="s">
        <v>63</v>
      </c>
      <c r="AT2743" s="4" t="s">
        <v>63</v>
      </c>
      <c r="AU2743" s="4" t="s">
        <v>63</v>
      </c>
      <c r="AV2743" s="4" t="s">
        <v>63</v>
      </c>
      <c r="AW2743" s="4" t="s">
        <v>63</v>
      </c>
      <c r="AX2743" s="4" t="s">
        <v>63</v>
      </c>
      <c r="AY2743" s="4" t="s">
        <v>63</v>
      </c>
      <c r="AZ2743" s="4" t="s">
        <v>63</v>
      </c>
      <c r="BA2743" s="4" t="s">
        <v>63</v>
      </c>
      <c r="BB2743" s="4" t="s">
        <v>63</v>
      </c>
      <c r="BC2743" s="4" t="s">
        <v>63</v>
      </c>
      <c r="BD2743" s="4" t="s">
        <v>63</v>
      </c>
      <c r="BE2743" s="4" t="s">
        <v>63</v>
      </c>
      <c r="BF2743" s="4" t="s">
        <v>63</v>
      </c>
    </row>
    <row r="2744" spans="1:58">
      <c r="A2744" s="4" t="s">
        <v>58</v>
      </c>
      <c r="B2744" s="4" t="s">
        <v>22739</v>
      </c>
      <c r="C2744" s="4" t="s">
        <v>22740</v>
      </c>
      <c r="D2744" s="4" t="s">
        <v>22741</v>
      </c>
      <c r="E2744" s="4" t="s">
        <v>63</v>
      </c>
      <c r="F2744" s="4">
        <v>2017</v>
      </c>
      <c r="G2744" s="4">
        <v>1</v>
      </c>
      <c r="H2744" s="4">
        <v>10</v>
      </c>
      <c r="I2744" s="4">
        <v>1</v>
      </c>
      <c r="J2744" s="4">
        <v>55</v>
      </c>
      <c r="K2744" s="4">
        <v>67</v>
      </c>
      <c r="L2744" s="4" t="s">
        <v>22742</v>
      </c>
      <c r="M2744" s="4" t="s">
        <v>22743</v>
      </c>
      <c r="N2744" s="4" t="s">
        <v>22744</v>
      </c>
      <c r="O2744" s="4" t="s">
        <v>63</v>
      </c>
      <c r="P2744" s="4"/>
      <c r="Q2744" s="4" t="s">
        <v>63</v>
      </c>
      <c r="R2744" s="4" t="s">
        <v>63</v>
      </c>
      <c r="S2744" s="4" t="s">
        <v>63</v>
      </c>
      <c r="T2744" s="4" t="s">
        <v>63</v>
      </c>
      <c r="U2744" s="4"/>
      <c r="V2744" s="4"/>
      <c r="W2744" s="4"/>
      <c r="X2744" s="4" t="s">
        <v>63</v>
      </c>
      <c r="Y2744" s="4" t="s">
        <v>22745</v>
      </c>
      <c r="Z2744" s="4" t="s">
        <v>63</v>
      </c>
      <c r="AA2744" s="4" t="s">
        <v>63</v>
      </c>
      <c r="AB2744" s="4" t="s">
        <v>22746</v>
      </c>
      <c r="AC2744" s="4" t="s">
        <v>67</v>
      </c>
      <c r="AD2744" s="4" t="s">
        <v>63</v>
      </c>
      <c r="AE2744" s="4" t="s">
        <v>63</v>
      </c>
      <c r="AF2744" s="4" t="s">
        <v>63</v>
      </c>
      <c r="AG2744" s="4" t="s">
        <v>63</v>
      </c>
      <c r="AH2744" s="4" t="s">
        <v>63</v>
      </c>
      <c r="AI2744" s="4" t="s">
        <v>22747</v>
      </c>
      <c r="AJ2744" s="4" t="s">
        <v>63</v>
      </c>
      <c r="AK2744" s="4" t="s">
        <v>63</v>
      </c>
      <c r="AL2744" s="4" t="s">
        <v>63</v>
      </c>
      <c r="AM2744" s="4" t="s">
        <v>22740</v>
      </c>
      <c r="AN2744" s="4" t="s">
        <v>63</v>
      </c>
      <c r="AO2744" s="4" t="s">
        <v>63</v>
      </c>
      <c r="AP2744" s="4" t="s">
        <v>63</v>
      </c>
      <c r="AQ2744" s="4" t="s">
        <v>63</v>
      </c>
      <c r="AR2744" s="4" t="s">
        <v>63</v>
      </c>
      <c r="AS2744" s="4" t="s">
        <v>63</v>
      </c>
      <c r="AT2744" s="4" t="s">
        <v>63</v>
      </c>
      <c r="AU2744" s="4" t="s">
        <v>63</v>
      </c>
      <c r="AV2744" s="4" t="s">
        <v>63</v>
      </c>
      <c r="AW2744" s="4" t="s">
        <v>63</v>
      </c>
      <c r="AX2744" s="4" t="s">
        <v>63</v>
      </c>
      <c r="AY2744" s="4" t="s">
        <v>63</v>
      </c>
      <c r="AZ2744" s="4" t="s">
        <v>63</v>
      </c>
      <c r="BA2744" s="4" t="s">
        <v>63</v>
      </c>
      <c r="BB2744" s="4" t="s">
        <v>63</v>
      </c>
      <c r="BC2744" s="4" t="s">
        <v>63</v>
      </c>
      <c r="BD2744" s="4" t="s">
        <v>63</v>
      </c>
      <c r="BE2744" s="4" t="s">
        <v>63</v>
      </c>
      <c r="BF2744" s="4" t="s">
        <v>63</v>
      </c>
    </row>
    <row r="2745" spans="1:58">
      <c r="A2745" s="4" t="s">
        <v>58</v>
      </c>
      <c r="B2745" s="4" t="s">
        <v>22748</v>
      </c>
      <c r="C2745" s="4" t="s">
        <v>22749</v>
      </c>
      <c r="D2745" s="4" t="s">
        <v>371</v>
      </c>
      <c r="E2745" s="4" t="s">
        <v>63</v>
      </c>
      <c r="F2745" s="4">
        <v>2014</v>
      </c>
      <c r="G2745" s="4" t="s">
        <v>15165</v>
      </c>
      <c r="H2745" s="4" t="s">
        <v>15912</v>
      </c>
      <c r="I2745" s="4" t="s">
        <v>63</v>
      </c>
      <c r="J2745" s="4" t="s">
        <v>22750</v>
      </c>
      <c r="K2745" s="4" t="s">
        <v>63</v>
      </c>
      <c r="L2745" s="4" t="s">
        <v>22751</v>
      </c>
      <c r="M2745" s="4" t="s">
        <v>22752</v>
      </c>
      <c r="N2745" s="4" t="s">
        <v>22753</v>
      </c>
      <c r="O2745" s="4" t="s">
        <v>63</v>
      </c>
      <c r="P2745" s="4"/>
      <c r="Q2745" s="4" t="s">
        <v>63</v>
      </c>
      <c r="R2745" s="4" t="s">
        <v>63</v>
      </c>
      <c r="S2745" s="4" t="s">
        <v>63</v>
      </c>
      <c r="T2745" s="4" t="s">
        <v>63</v>
      </c>
      <c r="U2745" s="4"/>
      <c r="V2745" s="4"/>
      <c r="W2745" s="4"/>
      <c r="X2745" s="4" t="s">
        <v>63</v>
      </c>
      <c r="Y2745" s="4" t="s">
        <v>375</v>
      </c>
      <c r="Z2745" s="4" t="s">
        <v>63</v>
      </c>
      <c r="AA2745" s="4" t="s">
        <v>63</v>
      </c>
      <c r="AB2745" s="4" t="s">
        <v>63</v>
      </c>
      <c r="AC2745" s="4" t="s">
        <v>67</v>
      </c>
      <c r="AD2745" s="4" t="s">
        <v>63</v>
      </c>
      <c r="AE2745" s="4" t="s">
        <v>63</v>
      </c>
      <c r="AF2745" s="4" t="s">
        <v>63</v>
      </c>
      <c r="AG2745" s="4" t="s">
        <v>63</v>
      </c>
      <c r="AH2745" s="4" t="s">
        <v>63</v>
      </c>
      <c r="AI2745" s="4" t="s">
        <v>63</v>
      </c>
      <c r="AJ2745" s="4" t="s">
        <v>63</v>
      </c>
      <c r="AK2745" s="4" t="s">
        <v>63</v>
      </c>
      <c r="AL2745" s="4" t="s">
        <v>63</v>
      </c>
      <c r="AM2745" s="4" t="s">
        <v>22749</v>
      </c>
      <c r="AN2745" s="4" t="s">
        <v>63</v>
      </c>
      <c r="AO2745" s="4" t="s">
        <v>63</v>
      </c>
      <c r="AP2745" s="4" t="s">
        <v>63</v>
      </c>
      <c r="AQ2745" s="4" t="s">
        <v>63</v>
      </c>
      <c r="AR2745" s="4" t="s">
        <v>63</v>
      </c>
      <c r="AS2745" s="4" t="s">
        <v>63</v>
      </c>
      <c r="AT2745" s="4" t="s">
        <v>63</v>
      </c>
      <c r="AU2745" s="4" t="s">
        <v>63</v>
      </c>
      <c r="AV2745" s="4" t="s">
        <v>63</v>
      </c>
      <c r="AW2745" s="4" t="s">
        <v>63</v>
      </c>
      <c r="AX2745" s="4" t="s">
        <v>63</v>
      </c>
      <c r="AY2745" s="4" t="s">
        <v>63</v>
      </c>
      <c r="AZ2745" s="4" t="s">
        <v>63</v>
      </c>
      <c r="BA2745" s="4" t="s">
        <v>63</v>
      </c>
      <c r="BB2745" s="4" t="s">
        <v>63</v>
      </c>
      <c r="BC2745" s="4" t="s">
        <v>63</v>
      </c>
      <c r="BD2745" s="4" t="s">
        <v>63</v>
      </c>
      <c r="BE2745" s="4" t="s">
        <v>63</v>
      </c>
      <c r="BF2745" s="4" t="s">
        <v>63</v>
      </c>
    </row>
    <row r="2746" spans="1:58">
      <c r="A2746" s="4" t="s">
        <v>58</v>
      </c>
      <c r="B2746" s="4" t="s">
        <v>22754</v>
      </c>
      <c r="C2746" s="4" t="s">
        <v>22755</v>
      </c>
      <c r="D2746" s="4" t="s">
        <v>22756</v>
      </c>
      <c r="E2746" s="4" t="s">
        <v>63</v>
      </c>
      <c r="F2746" s="4">
        <v>2016</v>
      </c>
      <c r="G2746" s="4">
        <v>1</v>
      </c>
      <c r="H2746" s="4">
        <v>23</v>
      </c>
      <c r="I2746" s="4">
        <v>2</v>
      </c>
      <c r="J2746" s="4">
        <v>79</v>
      </c>
      <c r="K2746" s="4">
        <v>86</v>
      </c>
      <c r="L2746" s="4" t="s">
        <v>22757</v>
      </c>
      <c r="M2746" s="4" t="s">
        <v>22758</v>
      </c>
      <c r="N2746" s="4" t="s">
        <v>22759</v>
      </c>
      <c r="O2746" s="4" t="s">
        <v>63</v>
      </c>
      <c r="P2746" s="4"/>
      <c r="Q2746" s="4" t="s">
        <v>63</v>
      </c>
      <c r="R2746" s="4" t="s">
        <v>63</v>
      </c>
      <c r="S2746" s="4" t="s">
        <v>63</v>
      </c>
      <c r="T2746" s="4" t="s">
        <v>63</v>
      </c>
      <c r="U2746" s="4"/>
      <c r="V2746" s="4"/>
      <c r="W2746" s="4"/>
      <c r="X2746" s="4" t="s">
        <v>63</v>
      </c>
      <c r="Y2746" s="4" t="s">
        <v>22760</v>
      </c>
      <c r="Z2746" s="4" t="s">
        <v>63</v>
      </c>
      <c r="AA2746" s="4" t="s">
        <v>63</v>
      </c>
      <c r="AB2746" s="4" t="s">
        <v>22761</v>
      </c>
      <c r="AC2746" s="4" t="s">
        <v>67</v>
      </c>
      <c r="AD2746" s="4" t="s">
        <v>63</v>
      </c>
      <c r="AE2746" s="4" t="s">
        <v>63</v>
      </c>
      <c r="AF2746" s="4" t="s">
        <v>63</v>
      </c>
      <c r="AG2746" s="4" t="s">
        <v>63</v>
      </c>
      <c r="AH2746" s="4" t="s">
        <v>63</v>
      </c>
      <c r="AI2746" s="4" t="s">
        <v>63</v>
      </c>
      <c r="AJ2746" s="4" t="s">
        <v>63</v>
      </c>
      <c r="AK2746" s="4" t="s">
        <v>63</v>
      </c>
      <c r="AL2746" s="4" t="s">
        <v>63</v>
      </c>
      <c r="AM2746" s="4" t="s">
        <v>22755</v>
      </c>
      <c r="AN2746" s="4" t="s">
        <v>63</v>
      </c>
      <c r="AO2746" s="4" t="s">
        <v>63</v>
      </c>
      <c r="AP2746" s="4" t="s">
        <v>63</v>
      </c>
      <c r="AQ2746" s="4" t="s">
        <v>63</v>
      </c>
      <c r="AR2746" s="4" t="s">
        <v>63</v>
      </c>
      <c r="AS2746" s="4" t="s">
        <v>63</v>
      </c>
      <c r="AT2746" s="4" t="s">
        <v>63</v>
      </c>
      <c r="AU2746" s="4" t="s">
        <v>63</v>
      </c>
      <c r="AV2746" s="4" t="s">
        <v>63</v>
      </c>
      <c r="AW2746" s="4" t="s">
        <v>63</v>
      </c>
      <c r="AX2746" s="4" t="s">
        <v>63</v>
      </c>
      <c r="AY2746" s="4" t="s">
        <v>63</v>
      </c>
      <c r="AZ2746" s="4" t="s">
        <v>63</v>
      </c>
      <c r="BA2746" s="4" t="s">
        <v>63</v>
      </c>
      <c r="BB2746" s="4" t="s">
        <v>63</v>
      </c>
      <c r="BC2746" s="4" t="s">
        <v>63</v>
      </c>
      <c r="BD2746" s="4" t="s">
        <v>63</v>
      </c>
      <c r="BE2746" s="4" t="s">
        <v>63</v>
      </c>
      <c r="BF2746" s="4" t="s">
        <v>63</v>
      </c>
    </row>
    <row r="2747" spans="1:58">
      <c r="A2747" s="4" t="s">
        <v>58</v>
      </c>
      <c r="B2747" s="4" t="s">
        <v>22762</v>
      </c>
      <c r="C2747" s="4" t="s">
        <v>22763</v>
      </c>
      <c r="D2747" s="4" t="s">
        <v>2353</v>
      </c>
      <c r="E2747" s="4" t="s">
        <v>2354</v>
      </c>
      <c r="F2747" s="4">
        <v>2005</v>
      </c>
      <c r="G2747" s="4" t="s">
        <v>15254</v>
      </c>
      <c r="H2747" s="4">
        <v>29</v>
      </c>
      <c r="I2747" s="4">
        <v>4</v>
      </c>
      <c r="J2747" s="4">
        <v>283</v>
      </c>
      <c r="K2747" s="4">
        <v>293</v>
      </c>
      <c r="L2747" s="4" t="s">
        <v>22764</v>
      </c>
      <c r="M2747" s="4" t="s">
        <v>22765</v>
      </c>
      <c r="N2747" s="4" t="s">
        <v>22766</v>
      </c>
      <c r="O2747" s="4" t="s">
        <v>63</v>
      </c>
      <c r="P2747" s="4"/>
      <c r="Q2747" s="4" t="s">
        <v>63</v>
      </c>
      <c r="R2747" s="4" t="s">
        <v>63</v>
      </c>
      <c r="S2747" s="4" t="s">
        <v>63</v>
      </c>
      <c r="T2747" s="4" t="s">
        <v>63</v>
      </c>
      <c r="U2747" s="4"/>
      <c r="V2747" s="4"/>
      <c r="W2747" s="4"/>
      <c r="X2747" s="4" t="s">
        <v>63</v>
      </c>
      <c r="Y2747" s="4" t="s">
        <v>2358</v>
      </c>
      <c r="Z2747" s="4" t="s">
        <v>63</v>
      </c>
      <c r="AA2747" s="4" t="s">
        <v>63</v>
      </c>
      <c r="AB2747" s="4">
        <v>2005543536</v>
      </c>
      <c r="AC2747" s="4" t="s">
        <v>67</v>
      </c>
      <c r="AD2747" s="4" t="s">
        <v>63</v>
      </c>
      <c r="AE2747" s="4" t="s">
        <v>63</v>
      </c>
      <c r="AF2747" s="4" t="s">
        <v>63</v>
      </c>
      <c r="AG2747" s="4" t="s">
        <v>22767</v>
      </c>
      <c r="AH2747" s="4" t="s">
        <v>63</v>
      </c>
      <c r="AI2747" s="4" t="s">
        <v>22768</v>
      </c>
      <c r="AJ2747" s="4" t="s">
        <v>63</v>
      </c>
      <c r="AK2747" s="4" t="s">
        <v>63</v>
      </c>
      <c r="AL2747" s="4" t="s">
        <v>63</v>
      </c>
      <c r="AM2747" s="4" t="s">
        <v>22769</v>
      </c>
      <c r="AN2747" s="4" t="s">
        <v>63</v>
      </c>
      <c r="AO2747" s="4" t="s">
        <v>63</v>
      </c>
      <c r="AP2747" s="4" t="s">
        <v>63</v>
      </c>
      <c r="AQ2747" s="4" t="s">
        <v>63</v>
      </c>
      <c r="AR2747" s="4" t="s">
        <v>63</v>
      </c>
      <c r="AS2747" s="4" t="s">
        <v>63</v>
      </c>
      <c r="AT2747" s="4" t="s">
        <v>63</v>
      </c>
      <c r="AU2747" s="4" t="s">
        <v>63</v>
      </c>
      <c r="AV2747" s="4" t="s">
        <v>63</v>
      </c>
      <c r="AW2747" s="4" t="s">
        <v>63</v>
      </c>
      <c r="AX2747" s="4" t="s">
        <v>63</v>
      </c>
      <c r="AY2747" s="4" t="s">
        <v>63</v>
      </c>
      <c r="AZ2747" s="4" t="s">
        <v>63</v>
      </c>
      <c r="BA2747" s="4" t="s">
        <v>63</v>
      </c>
      <c r="BB2747" s="4" t="s">
        <v>63</v>
      </c>
      <c r="BC2747" s="4" t="s">
        <v>63</v>
      </c>
      <c r="BD2747" s="4" t="s">
        <v>63</v>
      </c>
      <c r="BE2747" s="4" t="s">
        <v>63</v>
      </c>
      <c r="BF2747" s="4" t="s">
        <v>63</v>
      </c>
    </row>
    <row r="2748" spans="1:58">
      <c r="A2748" s="4" t="s">
        <v>58</v>
      </c>
      <c r="B2748" s="4" t="s">
        <v>22770</v>
      </c>
      <c r="C2748" s="4" t="s">
        <v>22771</v>
      </c>
      <c r="D2748" s="4" t="s">
        <v>15482</v>
      </c>
      <c r="E2748" s="4" t="s">
        <v>63</v>
      </c>
      <c r="F2748" s="4">
        <v>2010</v>
      </c>
      <c r="G2748" s="4" t="s">
        <v>15155</v>
      </c>
      <c r="H2748" s="4">
        <v>34</v>
      </c>
      <c r="I2748" s="4">
        <v>6</v>
      </c>
      <c r="J2748" s="4" t="s">
        <v>22772</v>
      </c>
      <c r="K2748" s="4" t="s">
        <v>63</v>
      </c>
      <c r="L2748" s="4" t="s">
        <v>22773</v>
      </c>
      <c r="M2748" s="4" t="s">
        <v>22774</v>
      </c>
      <c r="N2748" s="4" t="s">
        <v>22775</v>
      </c>
      <c r="O2748" s="4" t="s">
        <v>63</v>
      </c>
      <c r="P2748" s="4"/>
      <c r="Q2748" s="4" t="s">
        <v>63</v>
      </c>
      <c r="R2748" s="4" t="s">
        <v>63</v>
      </c>
      <c r="S2748" s="4" t="s">
        <v>63</v>
      </c>
      <c r="T2748" s="4" t="s">
        <v>63</v>
      </c>
      <c r="U2748" s="4"/>
      <c r="V2748" s="4"/>
      <c r="W2748" s="4"/>
      <c r="X2748" s="4" t="s">
        <v>63</v>
      </c>
      <c r="Y2748" s="4" t="s">
        <v>4853</v>
      </c>
      <c r="Z2748" s="4" t="s">
        <v>63</v>
      </c>
      <c r="AA2748" s="4" t="s">
        <v>63</v>
      </c>
      <c r="AB2748" s="4" t="s">
        <v>63</v>
      </c>
      <c r="AC2748" s="4" t="s">
        <v>67</v>
      </c>
      <c r="AD2748" s="4" t="s">
        <v>63</v>
      </c>
      <c r="AE2748" s="4" t="s">
        <v>63</v>
      </c>
      <c r="AF2748" s="4" t="s">
        <v>63</v>
      </c>
      <c r="AG2748" s="4" t="s">
        <v>63</v>
      </c>
      <c r="AH2748" s="4" t="s">
        <v>63</v>
      </c>
      <c r="AI2748" s="4" t="s">
        <v>22776</v>
      </c>
      <c r="AJ2748" s="4" t="s">
        <v>63</v>
      </c>
      <c r="AK2748" s="4" t="s">
        <v>63</v>
      </c>
      <c r="AL2748" s="4" t="s">
        <v>63</v>
      </c>
      <c r="AM2748" s="4" t="s">
        <v>22771</v>
      </c>
      <c r="AN2748" s="4" t="s">
        <v>63</v>
      </c>
      <c r="AO2748" s="4" t="s">
        <v>63</v>
      </c>
      <c r="AP2748" s="4" t="s">
        <v>63</v>
      </c>
      <c r="AQ2748" s="4" t="s">
        <v>63</v>
      </c>
      <c r="AR2748" s="4" t="s">
        <v>63</v>
      </c>
      <c r="AS2748" s="4" t="s">
        <v>63</v>
      </c>
      <c r="AT2748" s="4" t="s">
        <v>63</v>
      </c>
      <c r="AU2748" s="4" t="s">
        <v>63</v>
      </c>
      <c r="AV2748" s="4" t="s">
        <v>63</v>
      </c>
      <c r="AW2748" s="4" t="s">
        <v>63</v>
      </c>
      <c r="AX2748" s="4" t="s">
        <v>63</v>
      </c>
      <c r="AY2748" s="4" t="s">
        <v>63</v>
      </c>
      <c r="AZ2748" s="4" t="s">
        <v>63</v>
      </c>
      <c r="BA2748" s="4" t="s">
        <v>63</v>
      </c>
      <c r="BB2748" s="4" t="s">
        <v>63</v>
      </c>
      <c r="BC2748" s="4" t="s">
        <v>63</v>
      </c>
      <c r="BD2748" s="4" t="s">
        <v>63</v>
      </c>
      <c r="BE2748" s="4" t="s">
        <v>63</v>
      </c>
      <c r="BF2748" s="4" t="s">
        <v>63</v>
      </c>
    </row>
    <row r="2749" spans="1:58">
      <c r="A2749" s="4" t="s">
        <v>58</v>
      </c>
      <c r="B2749" s="4" t="s">
        <v>22777</v>
      </c>
      <c r="C2749" s="4" t="s">
        <v>22778</v>
      </c>
      <c r="D2749" s="4" t="s">
        <v>371</v>
      </c>
      <c r="E2749" s="4" t="s">
        <v>63</v>
      </c>
      <c r="F2749" s="4">
        <v>2012</v>
      </c>
      <c r="G2749" s="4" t="s">
        <v>16182</v>
      </c>
      <c r="H2749" s="4" t="s">
        <v>16183</v>
      </c>
      <c r="I2749" s="4" t="s">
        <v>63</v>
      </c>
      <c r="J2749" s="4" t="s">
        <v>22779</v>
      </c>
      <c r="K2749" s="4" t="s">
        <v>63</v>
      </c>
      <c r="L2749" s="4" t="s">
        <v>22780</v>
      </c>
      <c r="M2749" s="4" t="s">
        <v>22781</v>
      </c>
      <c r="N2749" s="4" t="s">
        <v>22782</v>
      </c>
      <c r="O2749" s="4" t="s">
        <v>63</v>
      </c>
      <c r="P2749" s="4"/>
      <c r="Q2749" s="4" t="s">
        <v>63</v>
      </c>
      <c r="R2749" s="4" t="s">
        <v>63</v>
      </c>
      <c r="S2749" s="4" t="s">
        <v>63</v>
      </c>
      <c r="T2749" s="4" t="s">
        <v>63</v>
      </c>
      <c r="U2749" s="4"/>
      <c r="V2749" s="4"/>
      <c r="W2749" s="4"/>
      <c r="X2749" s="4" t="s">
        <v>63</v>
      </c>
      <c r="Y2749" s="4" t="s">
        <v>375</v>
      </c>
      <c r="Z2749" s="4" t="s">
        <v>63</v>
      </c>
      <c r="AA2749" s="4" t="s">
        <v>63</v>
      </c>
      <c r="AB2749" s="4" t="s">
        <v>63</v>
      </c>
      <c r="AC2749" s="4" t="s">
        <v>67</v>
      </c>
      <c r="AD2749" s="4" t="s">
        <v>63</v>
      </c>
      <c r="AE2749" s="4" t="s">
        <v>63</v>
      </c>
      <c r="AF2749" s="4" t="s">
        <v>63</v>
      </c>
      <c r="AG2749" s="4" t="s">
        <v>63</v>
      </c>
      <c r="AH2749" s="4" t="s">
        <v>63</v>
      </c>
      <c r="AI2749" s="4" t="s">
        <v>63</v>
      </c>
      <c r="AJ2749" s="4" t="s">
        <v>63</v>
      </c>
      <c r="AK2749" s="4" t="s">
        <v>63</v>
      </c>
      <c r="AL2749" s="4" t="s">
        <v>63</v>
      </c>
      <c r="AM2749" s="4" t="s">
        <v>22778</v>
      </c>
      <c r="AN2749" s="4" t="s">
        <v>63</v>
      </c>
      <c r="AO2749" s="4" t="s">
        <v>63</v>
      </c>
      <c r="AP2749" s="4" t="s">
        <v>63</v>
      </c>
      <c r="AQ2749" s="4" t="s">
        <v>63</v>
      </c>
      <c r="AR2749" s="4" t="s">
        <v>63</v>
      </c>
      <c r="AS2749" s="4" t="s">
        <v>63</v>
      </c>
      <c r="AT2749" s="4" t="s">
        <v>63</v>
      </c>
      <c r="AU2749" s="4" t="s">
        <v>63</v>
      </c>
      <c r="AV2749" s="4" t="s">
        <v>63</v>
      </c>
      <c r="AW2749" s="4" t="s">
        <v>63</v>
      </c>
      <c r="AX2749" s="4" t="s">
        <v>63</v>
      </c>
      <c r="AY2749" s="4" t="s">
        <v>63</v>
      </c>
      <c r="AZ2749" s="4" t="s">
        <v>63</v>
      </c>
      <c r="BA2749" s="4" t="s">
        <v>63</v>
      </c>
      <c r="BB2749" s="4" t="s">
        <v>63</v>
      </c>
      <c r="BC2749" s="4" t="s">
        <v>63</v>
      </c>
      <c r="BD2749" s="4" t="s">
        <v>63</v>
      </c>
      <c r="BE2749" s="4" t="s">
        <v>63</v>
      </c>
      <c r="BF2749" s="4" t="s">
        <v>63</v>
      </c>
    </row>
    <row r="2750" spans="1:58">
      <c r="A2750" s="4" t="s">
        <v>58</v>
      </c>
      <c r="B2750" s="4" t="s">
        <v>22783</v>
      </c>
      <c r="C2750" s="4" t="s">
        <v>22784</v>
      </c>
      <c r="D2750" s="4" t="s">
        <v>16357</v>
      </c>
      <c r="E2750" s="4" t="s">
        <v>16358</v>
      </c>
      <c r="F2750" s="4">
        <v>2016</v>
      </c>
      <c r="G2750" s="4">
        <v>1</v>
      </c>
      <c r="H2750" s="4" t="s">
        <v>16359</v>
      </c>
      <c r="I2750" s="4" t="s">
        <v>63</v>
      </c>
      <c r="J2750" s="4">
        <v>48</v>
      </c>
      <c r="K2750" s="4">
        <v>49</v>
      </c>
      <c r="L2750" s="4" t="s">
        <v>22785</v>
      </c>
      <c r="M2750" s="4" t="s">
        <v>22786</v>
      </c>
      <c r="N2750" s="4" t="s">
        <v>22787</v>
      </c>
      <c r="O2750" s="4" t="s">
        <v>63</v>
      </c>
      <c r="P2750" s="4"/>
      <c r="Q2750" s="4" t="s">
        <v>63</v>
      </c>
      <c r="R2750" s="4" t="s">
        <v>63</v>
      </c>
      <c r="S2750" s="4" t="s">
        <v>63</v>
      </c>
      <c r="T2750" s="4" t="s">
        <v>63</v>
      </c>
      <c r="U2750" s="4"/>
      <c r="V2750" s="4"/>
      <c r="W2750" s="4"/>
      <c r="X2750" s="4" t="s">
        <v>63</v>
      </c>
      <c r="Y2750" s="4" t="s">
        <v>16363</v>
      </c>
      <c r="Z2750" s="4" t="s">
        <v>63</v>
      </c>
      <c r="AA2750" s="4" t="s">
        <v>63</v>
      </c>
      <c r="AB2750" s="4" t="s">
        <v>63</v>
      </c>
      <c r="AC2750" s="4" t="s">
        <v>67</v>
      </c>
      <c r="AD2750" s="4" t="s">
        <v>63</v>
      </c>
      <c r="AE2750" s="4" t="s">
        <v>63</v>
      </c>
      <c r="AF2750" s="4" t="s">
        <v>63</v>
      </c>
      <c r="AG2750" s="4" t="s">
        <v>63</v>
      </c>
      <c r="AH2750" s="4" t="s">
        <v>63</v>
      </c>
      <c r="AI2750" s="4" t="s">
        <v>16364</v>
      </c>
      <c r="AJ2750" s="4" t="s">
        <v>63</v>
      </c>
      <c r="AK2750" s="4" t="s">
        <v>63</v>
      </c>
      <c r="AL2750" s="4" t="s">
        <v>63</v>
      </c>
      <c r="AM2750" s="4" t="s">
        <v>22784</v>
      </c>
      <c r="AN2750" s="4" t="s">
        <v>63</v>
      </c>
      <c r="AO2750" s="4" t="s">
        <v>63</v>
      </c>
      <c r="AP2750" s="4" t="s">
        <v>63</v>
      </c>
      <c r="AQ2750" s="4" t="s">
        <v>63</v>
      </c>
      <c r="AR2750" s="4" t="s">
        <v>63</v>
      </c>
      <c r="AS2750" s="4" t="s">
        <v>63</v>
      </c>
      <c r="AT2750" s="4" t="s">
        <v>63</v>
      </c>
      <c r="AU2750" s="4" t="s">
        <v>63</v>
      </c>
      <c r="AV2750" s="4" t="s">
        <v>63</v>
      </c>
      <c r="AW2750" s="4" t="s">
        <v>63</v>
      </c>
      <c r="AX2750" s="4" t="s">
        <v>63</v>
      </c>
      <c r="AY2750" s="4" t="s">
        <v>63</v>
      </c>
      <c r="AZ2750" s="4" t="s">
        <v>63</v>
      </c>
      <c r="BA2750" s="4" t="s">
        <v>63</v>
      </c>
      <c r="BB2750" s="4" t="s">
        <v>63</v>
      </c>
      <c r="BC2750" s="4" t="s">
        <v>63</v>
      </c>
      <c r="BD2750" s="4" t="s">
        <v>63</v>
      </c>
      <c r="BE2750" s="4" t="s">
        <v>63</v>
      </c>
      <c r="BF2750" s="4" t="s">
        <v>63</v>
      </c>
    </row>
    <row r="2751" spans="1:58">
      <c r="A2751" s="4" t="s">
        <v>58</v>
      </c>
      <c r="B2751" s="4" t="s">
        <v>22788</v>
      </c>
      <c r="C2751" s="4" t="s">
        <v>22789</v>
      </c>
      <c r="D2751" s="4" t="s">
        <v>4117</v>
      </c>
      <c r="E2751" s="4" t="s">
        <v>4117</v>
      </c>
      <c r="F2751" s="4">
        <v>1975</v>
      </c>
      <c r="G2751" s="4" t="s">
        <v>63</v>
      </c>
      <c r="H2751" s="4">
        <v>36</v>
      </c>
      <c r="I2751" s="4">
        <v>3</v>
      </c>
      <c r="J2751" s="4">
        <v>406</v>
      </c>
      <c r="K2751" s="4">
        <v>415</v>
      </c>
      <c r="L2751" s="4" t="s">
        <v>22790</v>
      </c>
      <c r="M2751" s="4" t="s">
        <v>63</v>
      </c>
      <c r="N2751" s="4" t="s">
        <v>22791</v>
      </c>
      <c r="O2751" s="4" t="s">
        <v>63</v>
      </c>
      <c r="P2751" s="4"/>
      <c r="Q2751" s="4" t="s">
        <v>63</v>
      </c>
      <c r="R2751" s="4" t="s">
        <v>63</v>
      </c>
      <c r="S2751" s="4" t="s">
        <v>63</v>
      </c>
      <c r="T2751" s="4" t="s">
        <v>63</v>
      </c>
      <c r="U2751" s="4"/>
      <c r="V2751" s="4"/>
      <c r="W2751" s="4"/>
      <c r="X2751" s="4" t="s">
        <v>63</v>
      </c>
      <c r="Y2751" s="4" t="s">
        <v>63</v>
      </c>
      <c r="Z2751" s="4" t="s">
        <v>63</v>
      </c>
      <c r="AA2751" s="4" t="s">
        <v>63</v>
      </c>
      <c r="AB2751" s="4">
        <v>1976089763</v>
      </c>
      <c r="AC2751" s="4" t="s">
        <v>67</v>
      </c>
      <c r="AD2751" s="4" t="s">
        <v>63</v>
      </c>
      <c r="AE2751" s="4" t="s">
        <v>63</v>
      </c>
      <c r="AF2751" s="4" t="s">
        <v>63</v>
      </c>
      <c r="AG2751" s="4" t="s">
        <v>22792</v>
      </c>
      <c r="AH2751" s="4" t="s">
        <v>63</v>
      </c>
      <c r="AI2751" s="4" t="s">
        <v>63</v>
      </c>
      <c r="AJ2751" s="4" t="s">
        <v>63</v>
      </c>
      <c r="AK2751" s="4" t="s">
        <v>63</v>
      </c>
      <c r="AL2751" s="4" t="s">
        <v>63</v>
      </c>
      <c r="AM2751" s="4" t="s">
        <v>22793</v>
      </c>
      <c r="AN2751" s="4" t="s">
        <v>63</v>
      </c>
      <c r="AO2751" s="4" t="s">
        <v>63</v>
      </c>
      <c r="AP2751" s="4" t="s">
        <v>63</v>
      </c>
      <c r="AQ2751" s="4" t="s">
        <v>63</v>
      </c>
      <c r="AR2751" s="4" t="s">
        <v>63</v>
      </c>
      <c r="AS2751" s="4" t="s">
        <v>63</v>
      </c>
      <c r="AT2751" s="4" t="s">
        <v>63</v>
      </c>
      <c r="AU2751" s="4" t="s">
        <v>63</v>
      </c>
      <c r="AV2751" s="4" t="s">
        <v>63</v>
      </c>
      <c r="AW2751" s="4" t="s">
        <v>63</v>
      </c>
      <c r="AX2751" s="4" t="s">
        <v>63</v>
      </c>
      <c r="AY2751" s="4" t="s">
        <v>63</v>
      </c>
      <c r="AZ2751" s="4" t="s">
        <v>63</v>
      </c>
      <c r="BA2751" s="4" t="s">
        <v>63</v>
      </c>
      <c r="BB2751" s="4" t="s">
        <v>63</v>
      </c>
      <c r="BC2751" s="4" t="s">
        <v>63</v>
      </c>
      <c r="BD2751" s="4" t="s">
        <v>63</v>
      </c>
      <c r="BE2751" s="4" t="s">
        <v>63</v>
      </c>
      <c r="BF2751" s="4" t="s">
        <v>63</v>
      </c>
    </row>
    <row r="2752" spans="1:58">
      <c r="A2752" s="4" t="s">
        <v>58</v>
      </c>
      <c r="B2752" s="4" t="s">
        <v>22794</v>
      </c>
      <c r="C2752" s="4" t="s">
        <v>22795</v>
      </c>
      <c r="D2752" s="4" t="s">
        <v>16465</v>
      </c>
      <c r="E2752" s="4" t="s">
        <v>63</v>
      </c>
      <c r="F2752" s="4">
        <v>1964</v>
      </c>
      <c r="G2752" s="4">
        <v>8</v>
      </c>
      <c r="H2752" s="4">
        <v>188</v>
      </c>
      <c r="I2752" s="4" t="s">
        <v>63</v>
      </c>
      <c r="J2752" s="4">
        <v>872</v>
      </c>
      <c r="K2752" s="4">
        <v>874</v>
      </c>
      <c r="L2752" s="4" t="s">
        <v>22796</v>
      </c>
      <c r="M2752" s="4" t="s">
        <v>63</v>
      </c>
      <c r="N2752" s="4" t="s">
        <v>22797</v>
      </c>
      <c r="O2752" s="4" t="s">
        <v>63</v>
      </c>
      <c r="P2752" s="4"/>
      <c r="Q2752" s="4" t="s">
        <v>63</v>
      </c>
      <c r="R2752" s="4" t="s">
        <v>63</v>
      </c>
      <c r="S2752" s="4" t="s">
        <v>63</v>
      </c>
      <c r="T2752" s="4" t="s">
        <v>63</v>
      </c>
      <c r="U2752" s="4"/>
      <c r="V2752" s="4"/>
      <c r="W2752" s="4"/>
      <c r="X2752" s="4" t="s">
        <v>63</v>
      </c>
      <c r="Y2752" s="4" t="s">
        <v>208</v>
      </c>
      <c r="Z2752" s="4" t="s">
        <v>63</v>
      </c>
      <c r="AA2752" s="4" t="s">
        <v>63</v>
      </c>
      <c r="AB2752" s="4" t="s">
        <v>63</v>
      </c>
      <c r="AC2752" s="4" t="s">
        <v>67</v>
      </c>
      <c r="AD2752" s="4" t="s">
        <v>63</v>
      </c>
      <c r="AE2752" s="4" t="s">
        <v>63</v>
      </c>
      <c r="AF2752" s="4" t="s">
        <v>63</v>
      </c>
      <c r="AG2752" s="4" t="s">
        <v>22798</v>
      </c>
      <c r="AH2752" s="4" t="s">
        <v>63</v>
      </c>
      <c r="AI2752" s="4" t="s">
        <v>63</v>
      </c>
      <c r="AJ2752" s="4" t="s">
        <v>63</v>
      </c>
      <c r="AK2752" s="4" t="s">
        <v>63</v>
      </c>
      <c r="AL2752" s="4" t="s">
        <v>63</v>
      </c>
      <c r="AM2752" s="4" t="s">
        <v>22799</v>
      </c>
      <c r="AN2752" s="4" t="s">
        <v>63</v>
      </c>
      <c r="AO2752" s="4" t="s">
        <v>63</v>
      </c>
      <c r="AP2752" s="4" t="s">
        <v>63</v>
      </c>
      <c r="AQ2752" s="4" t="s">
        <v>63</v>
      </c>
      <c r="AR2752" s="4" t="s">
        <v>63</v>
      </c>
      <c r="AS2752" s="4" t="s">
        <v>63</v>
      </c>
      <c r="AT2752" s="4" t="s">
        <v>63</v>
      </c>
      <c r="AU2752" s="4" t="s">
        <v>63</v>
      </c>
      <c r="AV2752" s="4" t="s">
        <v>63</v>
      </c>
      <c r="AW2752" s="4" t="s">
        <v>63</v>
      </c>
      <c r="AX2752" s="4" t="s">
        <v>63</v>
      </c>
      <c r="AY2752" s="4" t="s">
        <v>63</v>
      </c>
      <c r="AZ2752" s="4" t="s">
        <v>63</v>
      </c>
      <c r="BA2752" s="4" t="s">
        <v>63</v>
      </c>
      <c r="BB2752" s="4" t="s">
        <v>63</v>
      </c>
      <c r="BC2752" s="4" t="s">
        <v>63</v>
      </c>
      <c r="BD2752" s="4" t="s">
        <v>63</v>
      </c>
      <c r="BE2752" s="4" t="s">
        <v>63</v>
      </c>
      <c r="BF2752" s="4" t="s">
        <v>63</v>
      </c>
    </row>
    <row r="2753" spans="1:58">
      <c r="A2753" s="4" t="s">
        <v>58</v>
      </c>
      <c r="B2753" s="4" t="s">
        <v>22800</v>
      </c>
      <c r="C2753" s="4" t="s">
        <v>22801</v>
      </c>
      <c r="D2753" s="4" t="s">
        <v>18452</v>
      </c>
      <c r="E2753" s="4" t="s">
        <v>18453</v>
      </c>
      <c r="F2753" s="4">
        <v>2016</v>
      </c>
      <c r="G2753" s="4">
        <v>1</v>
      </c>
      <c r="H2753" s="4">
        <v>64</v>
      </c>
      <c r="I2753" s="4">
        <v>1</v>
      </c>
      <c r="J2753" s="4">
        <v>303</v>
      </c>
      <c r="K2753" s="4" t="s">
        <v>63</v>
      </c>
      <c r="L2753" s="4" t="s">
        <v>22802</v>
      </c>
      <c r="M2753" s="4" t="s">
        <v>22803</v>
      </c>
      <c r="N2753" s="4" t="s">
        <v>22804</v>
      </c>
      <c r="O2753" s="4" t="s">
        <v>63</v>
      </c>
      <c r="P2753" s="4"/>
      <c r="Q2753" s="4" t="s">
        <v>63</v>
      </c>
      <c r="R2753" s="4" t="s">
        <v>63</v>
      </c>
      <c r="S2753" s="4" t="s">
        <v>63</v>
      </c>
      <c r="T2753" s="4" t="s">
        <v>63</v>
      </c>
      <c r="U2753" s="4"/>
      <c r="V2753" s="4"/>
      <c r="W2753" s="4"/>
      <c r="X2753" s="4" t="s">
        <v>63</v>
      </c>
      <c r="Y2753" s="4" t="s">
        <v>22805</v>
      </c>
      <c r="Z2753" s="4" t="s">
        <v>63</v>
      </c>
      <c r="AA2753" s="4" t="s">
        <v>63</v>
      </c>
      <c r="AB2753" s="4" t="s">
        <v>63</v>
      </c>
      <c r="AC2753" s="4" t="s">
        <v>67</v>
      </c>
      <c r="AD2753" s="4" t="s">
        <v>63</v>
      </c>
      <c r="AE2753" s="4" t="s">
        <v>63</v>
      </c>
      <c r="AF2753" s="4" t="s">
        <v>63</v>
      </c>
      <c r="AG2753" s="4" t="s">
        <v>63</v>
      </c>
      <c r="AH2753" s="4" t="s">
        <v>63</v>
      </c>
      <c r="AI2753" s="4" t="s">
        <v>22806</v>
      </c>
      <c r="AJ2753" s="4" t="s">
        <v>63</v>
      </c>
      <c r="AK2753" s="4" t="s">
        <v>63</v>
      </c>
      <c r="AL2753" s="4" t="s">
        <v>63</v>
      </c>
      <c r="AM2753" s="4" t="s">
        <v>22801</v>
      </c>
      <c r="AN2753" s="4" t="s">
        <v>63</v>
      </c>
      <c r="AO2753" s="4" t="s">
        <v>63</v>
      </c>
      <c r="AP2753" s="4" t="s">
        <v>63</v>
      </c>
      <c r="AQ2753" s="4" t="s">
        <v>63</v>
      </c>
      <c r="AR2753" s="4" t="s">
        <v>63</v>
      </c>
      <c r="AS2753" s="4" t="s">
        <v>63</v>
      </c>
      <c r="AT2753" s="4" t="s">
        <v>63</v>
      </c>
      <c r="AU2753" s="4" t="s">
        <v>63</v>
      </c>
      <c r="AV2753" s="4" t="s">
        <v>63</v>
      </c>
      <c r="AW2753" s="4" t="s">
        <v>63</v>
      </c>
      <c r="AX2753" s="4" t="s">
        <v>63</v>
      </c>
      <c r="AY2753" s="4" t="s">
        <v>63</v>
      </c>
      <c r="AZ2753" s="4" t="s">
        <v>63</v>
      </c>
      <c r="BA2753" s="4" t="s">
        <v>63</v>
      </c>
      <c r="BB2753" s="4" t="s">
        <v>63</v>
      </c>
      <c r="BC2753" s="4" t="s">
        <v>63</v>
      </c>
      <c r="BD2753" s="4" t="s">
        <v>63</v>
      </c>
      <c r="BE2753" s="4" t="s">
        <v>63</v>
      </c>
      <c r="BF2753" s="4" t="s">
        <v>63</v>
      </c>
    </row>
    <row r="2754" spans="1:58">
      <c r="A2754" s="4" t="s">
        <v>58</v>
      </c>
      <c r="B2754" s="4" t="s">
        <v>22807</v>
      </c>
      <c r="C2754" s="4" t="s">
        <v>22808</v>
      </c>
      <c r="D2754" s="4" t="s">
        <v>4116</v>
      </c>
      <c r="E2754" s="4" t="s">
        <v>4117</v>
      </c>
      <c r="F2754" s="4">
        <v>1982</v>
      </c>
      <c r="G2754" s="4" t="s">
        <v>63</v>
      </c>
      <c r="H2754" s="4">
        <v>43</v>
      </c>
      <c r="I2754" s="4">
        <v>9</v>
      </c>
      <c r="J2754" s="4">
        <v>939</v>
      </c>
      <c r="K2754" s="4">
        <v>955</v>
      </c>
      <c r="L2754" s="4" t="s">
        <v>22809</v>
      </c>
      <c r="M2754" s="4" t="s">
        <v>22810</v>
      </c>
      <c r="N2754" s="4" t="s">
        <v>22811</v>
      </c>
      <c r="O2754" s="4" t="s">
        <v>63</v>
      </c>
      <c r="P2754" s="4"/>
      <c r="Q2754" s="4" t="s">
        <v>63</v>
      </c>
      <c r="R2754" s="4" t="s">
        <v>63</v>
      </c>
      <c r="S2754" s="4" t="s">
        <v>63</v>
      </c>
      <c r="T2754" s="4" t="s">
        <v>63</v>
      </c>
      <c r="U2754" s="4"/>
      <c r="V2754" s="4"/>
      <c r="W2754" s="4"/>
      <c r="X2754" s="4" t="s">
        <v>63</v>
      </c>
      <c r="Y2754" s="4" t="s">
        <v>4121</v>
      </c>
      <c r="Z2754" s="4" t="s">
        <v>63</v>
      </c>
      <c r="AA2754" s="4" t="s">
        <v>63</v>
      </c>
      <c r="AB2754" s="4">
        <v>1983116779</v>
      </c>
      <c r="AC2754" s="4" t="s">
        <v>67</v>
      </c>
      <c r="AD2754" s="4" t="s">
        <v>63</v>
      </c>
      <c r="AE2754" s="4" t="s">
        <v>63</v>
      </c>
      <c r="AF2754" s="4" t="s">
        <v>63</v>
      </c>
      <c r="AG2754" s="4" t="s">
        <v>22812</v>
      </c>
      <c r="AH2754" s="4" t="s">
        <v>63</v>
      </c>
      <c r="AI2754" s="4" t="s">
        <v>63</v>
      </c>
      <c r="AJ2754" s="4" t="s">
        <v>63</v>
      </c>
      <c r="AK2754" s="4" t="s">
        <v>63</v>
      </c>
      <c r="AL2754" s="4" t="s">
        <v>63</v>
      </c>
      <c r="AM2754" s="4" t="s">
        <v>22813</v>
      </c>
      <c r="AN2754" s="4" t="s">
        <v>63</v>
      </c>
      <c r="AO2754" s="4" t="s">
        <v>63</v>
      </c>
      <c r="AP2754" s="4" t="s">
        <v>63</v>
      </c>
      <c r="AQ2754" s="4" t="s">
        <v>63</v>
      </c>
      <c r="AR2754" s="4" t="s">
        <v>63</v>
      </c>
      <c r="AS2754" s="4" t="s">
        <v>63</v>
      </c>
      <c r="AT2754" s="4" t="s">
        <v>63</v>
      </c>
      <c r="AU2754" s="4" t="s">
        <v>63</v>
      </c>
      <c r="AV2754" s="4" t="s">
        <v>63</v>
      </c>
      <c r="AW2754" s="4" t="s">
        <v>63</v>
      </c>
      <c r="AX2754" s="4" t="s">
        <v>63</v>
      </c>
      <c r="AY2754" s="4" t="s">
        <v>63</v>
      </c>
      <c r="AZ2754" s="4" t="s">
        <v>63</v>
      </c>
      <c r="BA2754" s="4" t="s">
        <v>63</v>
      </c>
      <c r="BB2754" s="4" t="s">
        <v>63</v>
      </c>
      <c r="BC2754" s="4" t="s">
        <v>63</v>
      </c>
      <c r="BD2754" s="4" t="s">
        <v>63</v>
      </c>
      <c r="BE2754" s="4" t="s">
        <v>63</v>
      </c>
      <c r="BF2754" s="4" t="s">
        <v>63</v>
      </c>
    </row>
    <row r="2755" spans="1:58">
      <c r="A2755" s="4" t="s">
        <v>58</v>
      </c>
      <c r="B2755" s="4" t="s">
        <v>22814</v>
      </c>
      <c r="C2755" s="4" t="s">
        <v>22815</v>
      </c>
      <c r="D2755" s="4" t="s">
        <v>371</v>
      </c>
      <c r="E2755" s="4" t="s">
        <v>63</v>
      </c>
      <c r="F2755" s="4">
        <v>2015</v>
      </c>
      <c r="G2755" s="4">
        <v>1</v>
      </c>
      <c r="H2755" s="4">
        <v>30</v>
      </c>
      <c r="I2755" s="4">
        <v>3</v>
      </c>
      <c r="J2755" s="4">
        <v>365</v>
      </c>
      <c r="K2755" s="4">
        <v>370</v>
      </c>
      <c r="L2755" s="4" t="s">
        <v>22816</v>
      </c>
      <c r="M2755" s="4" t="s">
        <v>22817</v>
      </c>
      <c r="N2755" s="4" t="s">
        <v>22818</v>
      </c>
      <c r="O2755" s="4" t="s">
        <v>63</v>
      </c>
      <c r="P2755" s="4"/>
      <c r="Q2755" s="4" t="s">
        <v>63</v>
      </c>
      <c r="R2755" s="4" t="s">
        <v>63</v>
      </c>
      <c r="S2755" s="4" t="s">
        <v>63</v>
      </c>
      <c r="T2755" s="4" t="s">
        <v>63</v>
      </c>
      <c r="U2755" s="4"/>
      <c r="V2755" s="4"/>
      <c r="W2755" s="4"/>
      <c r="X2755" s="4" t="s">
        <v>63</v>
      </c>
      <c r="Y2755" s="4" t="s">
        <v>22662</v>
      </c>
      <c r="Z2755" s="4" t="s">
        <v>63</v>
      </c>
      <c r="AA2755" s="4" t="s">
        <v>63</v>
      </c>
      <c r="AB2755" s="4">
        <v>2014745966</v>
      </c>
      <c r="AC2755" s="4" t="s">
        <v>67</v>
      </c>
      <c r="AD2755" s="4" t="s">
        <v>63</v>
      </c>
      <c r="AE2755" s="4" t="s">
        <v>63</v>
      </c>
      <c r="AF2755" s="4" t="s">
        <v>63</v>
      </c>
      <c r="AG2755" s="4" t="s">
        <v>22819</v>
      </c>
      <c r="AH2755" s="4" t="s">
        <v>63</v>
      </c>
      <c r="AI2755" s="4" t="s">
        <v>22820</v>
      </c>
      <c r="AJ2755" s="4" t="s">
        <v>63</v>
      </c>
      <c r="AK2755" s="4" t="s">
        <v>63</v>
      </c>
      <c r="AL2755" s="4" t="s">
        <v>63</v>
      </c>
      <c r="AM2755" s="4" t="s">
        <v>22821</v>
      </c>
      <c r="AN2755" s="4" t="s">
        <v>63</v>
      </c>
      <c r="AO2755" s="4" t="s">
        <v>63</v>
      </c>
      <c r="AP2755" s="4" t="s">
        <v>63</v>
      </c>
      <c r="AQ2755" s="4" t="s">
        <v>63</v>
      </c>
      <c r="AR2755" s="4" t="s">
        <v>63</v>
      </c>
      <c r="AS2755" s="4" t="s">
        <v>63</v>
      </c>
      <c r="AT2755" s="4" t="s">
        <v>63</v>
      </c>
      <c r="AU2755" s="4" t="s">
        <v>63</v>
      </c>
      <c r="AV2755" s="4" t="s">
        <v>63</v>
      </c>
      <c r="AW2755" s="4" t="s">
        <v>63</v>
      </c>
      <c r="AX2755" s="4" t="s">
        <v>63</v>
      </c>
      <c r="AY2755" s="4" t="s">
        <v>63</v>
      </c>
      <c r="AZ2755" s="4" t="s">
        <v>63</v>
      </c>
      <c r="BA2755" s="4" t="s">
        <v>63</v>
      </c>
      <c r="BB2755" s="4" t="s">
        <v>63</v>
      </c>
      <c r="BC2755" s="4" t="s">
        <v>63</v>
      </c>
      <c r="BD2755" s="4" t="s">
        <v>63</v>
      </c>
      <c r="BE2755" s="4" t="s">
        <v>63</v>
      </c>
      <c r="BF2755" s="4" t="s">
        <v>63</v>
      </c>
    </row>
    <row r="2756" spans="1:58">
      <c r="A2756" s="4" t="s">
        <v>58</v>
      </c>
      <c r="B2756" s="4" t="s">
        <v>22822</v>
      </c>
      <c r="C2756" s="4" t="s">
        <v>22823</v>
      </c>
      <c r="D2756" s="4" t="s">
        <v>15482</v>
      </c>
      <c r="E2756" s="4" t="s">
        <v>63</v>
      </c>
      <c r="F2756" s="4">
        <v>1982</v>
      </c>
      <c r="G2756" s="4" t="s">
        <v>63</v>
      </c>
      <c r="H2756" s="4">
        <v>6</v>
      </c>
      <c r="I2756" s="4">
        <v>2</v>
      </c>
      <c r="J2756" s="4">
        <v>230</v>
      </c>
      <c r="K2756" s="4">
        <v>233</v>
      </c>
      <c r="L2756" s="4" t="s">
        <v>22824</v>
      </c>
      <c r="M2756" s="4" t="s">
        <v>22825</v>
      </c>
      <c r="N2756" s="4" t="s">
        <v>22826</v>
      </c>
      <c r="O2756" s="4" t="s">
        <v>63</v>
      </c>
      <c r="P2756" s="4"/>
      <c r="Q2756" s="4" t="s">
        <v>63</v>
      </c>
      <c r="R2756" s="4" t="s">
        <v>63</v>
      </c>
      <c r="S2756" s="4" t="s">
        <v>63</v>
      </c>
      <c r="T2756" s="4" t="s">
        <v>63</v>
      </c>
      <c r="U2756" s="4"/>
      <c r="V2756" s="4"/>
      <c r="W2756" s="4"/>
      <c r="X2756" s="4" t="s">
        <v>63</v>
      </c>
      <c r="Y2756" s="4" t="s">
        <v>4853</v>
      </c>
      <c r="Z2756" s="4" t="s">
        <v>63</v>
      </c>
      <c r="AA2756" s="4" t="s">
        <v>63</v>
      </c>
      <c r="AB2756" s="4">
        <v>1982147169</v>
      </c>
      <c r="AC2756" s="4" t="s">
        <v>67</v>
      </c>
      <c r="AD2756" s="4" t="s">
        <v>63</v>
      </c>
      <c r="AE2756" s="4" t="s">
        <v>63</v>
      </c>
      <c r="AF2756" s="4" t="s">
        <v>63</v>
      </c>
      <c r="AG2756" s="4" t="s">
        <v>22827</v>
      </c>
      <c r="AH2756" s="4" t="s">
        <v>63</v>
      </c>
      <c r="AI2756" s="4" t="s">
        <v>63</v>
      </c>
      <c r="AJ2756" s="4" t="s">
        <v>63</v>
      </c>
      <c r="AK2756" s="4" t="s">
        <v>63</v>
      </c>
      <c r="AL2756" s="4" t="s">
        <v>63</v>
      </c>
      <c r="AM2756" s="4" t="s">
        <v>22828</v>
      </c>
      <c r="AN2756" s="4" t="s">
        <v>63</v>
      </c>
      <c r="AO2756" s="4" t="s">
        <v>63</v>
      </c>
      <c r="AP2756" s="4" t="s">
        <v>63</v>
      </c>
      <c r="AQ2756" s="4" t="s">
        <v>63</v>
      </c>
      <c r="AR2756" s="4" t="s">
        <v>63</v>
      </c>
      <c r="AS2756" s="4" t="s">
        <v>63</v>
      </c>
      <c r="AT2756" s="4" t="s">
        <v>63</v>
      </c>
      <c r="AU2756" s="4" t="s">
        <v>63</v>
      </c>
      <c r="AV2756" s="4" t="s">
        <v>63</v>
      </c>
      <c r="AW2756" s="4" t="s">
        <v>63</v>
      </c>
      <c r="AX2756" s="4" t="s">
        <v>63</v>
      </c>
      <c r="AY2756" s="4" t="s">
        <v>63</v>
      </c>
      <c r="AZ2756" s="4" t="s">
        <v>63</v>
      </c>
      <c r="BA2756" s="4" t="s">
        <v>63</v>
      </c>
      <c r="BB2756" s="4" t="s">
        <v>63</v>
      </c>
      <c r="BC2756" s="4" t="s">
        <v>63</v>
      </c>
      <c r="BD2756" s="4" t="s">
        <v>63</v>
      </c>
      <c r="BE2756" s="4" t="s">
        <v>63</v>
      </c>
      <c r="BF2756" s="4" t="s">
        <v>63</v>
      </c>
    </row>
    <row r="2757" spans="1:58">
      <c r="A2757" s="4" t="s">
        <v>58</v>
      </c>
      <c r="B2757" s="4" t="s">
        <v>22829</v>
      </c>
      <c r="C2757" s="4" t="s">
        <v>22830</v>
      </c>
      <c r="D2757" s="4" t="s">
        <v>2353</v>
      </c>
      <c r="E2757" s="4" t="s">
        <v>2354</v>
      </c>
      <c r="F2757" s="4">
        <v>2009</v>
      </c>
      <c r="G2757" s="4" t="s">
        <v>15358</v>
      </c>
      <c r="H2757" s="4">
        <v>37</v>
      </c>
      <c r="I2757" s="4">
        <v>3</v>
      </c>
      <c r="J2757" s="4">
        <v>219</v>
      </c>
      <c r="K2757" s="4">
        <v>227</v>
      </c>
      <c r="L2757" s="4" t="s">
        <v>22831</v>
      </c>
      <c r="M2757" s="4" t="s">
        <v>22832</v>
      </c>
      <c r="N2757" s="4" t="s">
        <v>22833</v>
      </c>
      <c r="O2757" s="4" t="s">
        <v>63</v>
      </c>
      <c r="P2757" s="4"/>
      <c r="Q2757" s="4" t="s">
        <v>63</v>
      </c>
      <c r="R2757" s="4" t="s">
        <v>63</v>
      </c>
      <c r="S2757" s="4" t="s">
        <v>63</v>
      </c>
      <c r="T2757" s="4" t="s">
        <v>63</v>
      </c>
      <c r="U2757" s="4"/>
      <c r="V2757" s="4"/>
      <c r="W2757" s="4"/>
      <c r="X2757" s="4" t="s">
        <v>63</v>
      </c>
      <c r="Y2757" s="4" t="s">
        <v>2358</v>
      </c>
      <c r="Z2757" s="4" t="s">
        <v>63</v>
      </c>
      <c r="AA2757" s="4" t="s">
        <v>63</v>
      </c>
      <c r="AB2757" s="4">
        <v>2009458108</v>
      </c>
      <c r="AC2757" s="4" t="s">
        <v>67</v>
      </c>
      <c r="AD2757" s="4" t="s">
        <v>63</v>
      </c>
      <c r="AE2757" s="4" t="s">
        <v>63</v>
      </c>
      <c r="AF2757" s="4" t="s">
        <v>63</v>
      </c>
      <c r="AG2757" s="4" t="s">
        <v>22834</v>
      </c>
      <c r="AH2757" s="4" t="s">
        <v>63</v>
      </c>
      <c r="AI2757" s="4" t="s">
        <v>22835</v>
      </c>
      <c r="AJ2757" s="4" t="s">
        <v>63</v>
      </c>
      <c r="AK2757" s="4" t="s">
        <v>63</v>
      </c>
      <c r="AL2757" s="4" t="s">
        <v>63</v>
      </c>
      <c r="AM2757" s="4" t="s">
        <v>22836</v>
      </c>
      <c r="AN2757" s="4" t="s">
        <v>63</v>
      </c>
      <c r="AO2757" s="4" t="s">
        <v>63</v>
      </c>
      <c r="AP2757" s="4" t="s">
        <v>63</v>
      </c>
      <c r="AQ2757" s="4" t="s">
        <v>63</v>
      </c>
      <c r="AR2757" s="4" t="s">
        <v>63</v>
      </c>
      <c r="AS2757" s="4" t="s">
        <v>63</v>
      </c>
      <c r="AT2757" s="4" t="s">
        <v>63</v>
      </c>
      <c r="AU2757" s="4" t="s">
        <v>63</v>
      </c>
      <c r="AV2757" s="4" t="s">
        <v>63</v>
      </c>
      <c r="AW2757" s="4" t="s">
        <v>63</v>
      </c>
      <c r="AX2757" s="4" t="s">
        <v>63</v>
      </c>
      <c r="AY2757" s="4" t="s">
        <v>63</v>
      </c>
      <c r="AZ2757" s="4" t="s">
        <v>63</v>
      </c>
      <c r="BA2757" s="4" t="s">
        <v>63</v>
      </c>
      <c r="BB2757" s="4" t="s">
        <v>63</v>
      </c>
      <c r="BC2757" s="4" t="s">
        <v>63</v>
      </c>
      <c r="BD2757" s="4" t="s">
        <v>63</v>
      </c>
      <c r="BE2757" s="4" t="s">
        <v>63</v>
      </c>
      <c r="BF2757" s="4" t="s">
        <v>63</v>
      </c>
    </row>
    <row r="2758" spans="1:58">
      <c r="A2758" s="4" t="s">
        <v>58</v>
      </c>
      <c r="B2758" s="4" t="s">
        <v>22837</v>
      </c>
      <c r="C2758" s="4" t="s">
        <v>22838</v>
      </c>
      <c r="D2758" s="4" t="s">
        <v>22839</v>
      </c>
      <c r="E2758" s="4" t="s">
        <v>22840</v>
      </c>
      <c r="F2758" s="4">
        <v>2018</v>
      </c>
      <c r="G2758" s="4">
        <v>1</v>
      </c>
      <c r="H2758" s="4">
        <v>83</v>
      </c>
      <c r="I2758" s="4">
        <v>1</v>
      </c>
      <c r="J2758" s="4">
        <v>23</v>
      </c>
      <c r="K2758" s="4">
        <v>30</v>
      </c>
      <c r="L2758" s="4" t="s">
        <v>22841</v>
      </c>
      <c r="M2758" s="4" t="s">
        <v>22842</v>
      </c>
      <c r="N2758" s="4" t="s">
        <v>22843</v>
      </c>
      <c r="O2758" s="4" t="s">
        <v>63</v>
      </c>
      <c r="P2758" s="4"/>
      <c r="Q2758" s="4" t="s">
        <v>63</v>
      </c>
      <c r="R2758" s="4" t="s">
        <v>63</v>
      </c>
      <c r="S2758" s="4" t="s">
        <v>63</v>
      </c>
      <c r="T2758" s="4" t="s">
        <v>63</v>
      </c>
      <c r="U2758" s="4"/>
      <c r="V2758" s="4"/>
      <c r="W2758" s="4"/>
      <c r="X2758" s="4" t="s">
        <v>63</v>
      </c>
      <c r="Y2758" s="4" t="s">
        <v>22844</v>
      </c>
      <c r="Z2758" s="4" t="s">
        <v>63</v>
      </c>
      <c r="AA2758" s="4" t="s">
        <v>63</v>
      </c>
      <c r="AB2758" s="4" t="s">
        <v>22845</v>
      </c>
      <c r="AC2758" s="4" t="s">
        <v>67</v>
      </c>
      <c r="AD2758" s="4" t="s">
        <v>63</v>
      </c>
      <c r="AE2758" s="4" t="s">
        <v>63</v>
      </c>
      <c r="AF2758" s="4" t="s">
        <v>63</v>
      </c>
      <c r="AG2758" s="4" t="s">
        <v>63</v>
      </c>
      <c r="AH2758" s="4" t="s">
        <v>63</v>
      </c>
      <c r="AI2758" s="4" t="s">
        <v>22846</v>
      </c>
      <c r="AJ2758" s="4" t="s">
        <v>63</v>
      </c>
      <c r="AK2758" s="4" t="s">
        <v>63</v>
      </c>
      <c r="AL2758" s="4" t="s">
        <v>63</v>
      </c>
      <c r="AM2758" s="4" t="s">
        <v>22838</v>
      </c>
      <c r="AN2758" s="4" t="s">
        <v>63</v>
      </c>
      <c r="AO2758" s="4" t="s">
        <v>63</v>
      </c>
      <c r="AP2758" s="4" t="s">
        <v>63</v>
      </c>
      <c r="AQ2758" s="4" t="s">
        <v>63</v>
      </c>
      <c r="AR2758" s="4" t="s">
        <v>63</v>
      </c>
      <c r="AS2758" s="4" t="s">
        <v>63</v>
      </c>
      <c r="AT2758" s="4" t="s">
        <v>63</v>
      </c>
      <c r="AU2758" s="4" t="s">
        <v>63</v>
      </c>
      <c r="AV2758" s="4" t="s">
        <v>63</v>
      </c>
      <c r="AW2758" s="4" t="s">
        <v>63</v>
      </c>
      <c r="AX2758" s="4" t="s">
        <v>63</v>
      </c>
      <c r="AY2758" s="4" t="s">
        <v>63</v>
      </c>
      <c r="AZ2758" s="4" t="s">
        <v>63</v>
      </c>
      <c r="BA2758" s="4" t="s">
        <v>63</v>
      </c>
      <c r="BB2758" s="4" t="s">
        <v>63</v>
      </c>
      <c r="BC2758" s="4" t="s">
        <v>63</v>
      </c>
      <c r="BD2758" s="4" t="s">
        <v>63</v>
      </c>
      <c r="BE2758" s="4" t="s">
        <v>63</v>
      </c>
      <c r="BF2758" s="4" t="s">
        <v>63</v>
      </c>
    </row>
    <row r="2759" spans="1:58">
      <c r="A2759" s="4" t="s">
        <v>58</v>
      </c>
      <c r="B2759" s="4" t="s">
        <v>22847</v>
      </c>
      <c r="C2759" s="4" t="s">
        <v>22848</v>
      </c>
      <c r="D2759" s="4" t="s">
        <v>22849</v>
      </c>
      <c r="E2759" s="4" t="s">
        <v>63</v>
      </c>
      <c r="F2759" s="4">
        <v>2010</v>
      </c>
      <c r="G2759" s="4" t="s">
        <v>15155</v>
      </c>
      <c r="H2759" s="4">
        <v>2</v>
      </c>
      <c r="I2759" s="4">
        <v>6</v>
      </c>
      <c r="J2759" s="4">
        <v>183</v>
      </c>
      <c r="K2759" s="4">
        <v>197</v>
      </c>
      <c r="L2759" s="4" t="s">
        <v>22850</v>
      </c>
      <c r="M2759" s="4" t="s">
        <v>22851</v>
      </c>
      <c r="N2759" s="4" t="s">
        <v>22852</v>
      </c>
      <c r="O2759" s="4" t="s">
        <v>63</v>
      </c>
      <c r="P2759" s="4"/>
      <c r="Q2759" s="4" t="s">
        <v>63</v>
      </c>
      <c r="R2759" s="4" t="s">
        <v>63</v>
      </c>
      <c r="S2759" s="4" t="s">
        <v>63</v>
      </c>
      <c r="T2759" s="4" t="s">
        <v>63</v>
      </c>
      <c r="U2759" s="4"/>
      <c r="V2759" s="4"/>
      <c r="W2759" s="4"/>
      <c r="X2759" s="4" t="s">
        <v>63</v>
      </c>
      <c r="Y2759" s="4" t="s">
        <v>22853</v>
      </c>
      <c r="Z2759" s="4" t="s">
        <v>63</v>
      </c>
      <c r="AA2759" s="4" t="s">
        <v>63</v>
      </c>
      <c r="AB2759" s="4" t="s">
        <v>22854</v>
      </c>
      <c r="AC2759" s="4" t="s">
        <v>67</v>
      </c>
      <c r="AD2759" s="4" t="s">
        <v>63</v>
      </c>
      <c r="AE2759" s="4" t="s">
        <v>63</v>
      </c>
      <c r="AF2759" s="4" t="s">
        <v>63</v>
      </c>
      <c r="AG2759" s="4" t="s">
        <v>63</v>
      </c>
      <c r="AH2759" s="4" t="s">
        <v>63</v>
      </c>
      <c r="AI2759" s="4" t="s">
        <v>63</v>
      </c>
      <c r="AJ2759" s="4" t="s">
        <v>63</v>
      </c>
      <c r="AK2759" s="4" t="s">
        <v>63</v>
      </c>
      <c r="AL2759" s="4" t="s">
        <v>63</v>
      </c>
      <c r="AM2759" s="4" t="s">
        <v>22848</v>
      </c>
      <c r="AN2759" s="4" t="s">
        <v>63</v>
      </c>
      <c r="AO2759" s="4" t="s">
        <v>63</v>
      </c>
      <c r="AP2759" s="4" t="s">
        <v>63</v>
      </c>
      <c r="AQ2759" s="4" t="s">
        <v>63</v>
      </c>
      <c r="AR2759" s="4" t="s">
        <v>63</v>
      </c>
      <c r="AS2759" s="4" t="s">
        <v>63</v>
      </c>
      <c r="AT2759" s="4" t="s">
        <v>63</v>
      </c>
      <c r="AU2759" s="4" t="s">
        <v>63</v>
      </c>
      <c r="AV2759" s="4" t="s">
        <v>63</v>
      </c>
      <c r="AW2759" s="4" t="s">
        <v>63</v>
      </c>
      <c r="AX2759" s="4" t="s">
        <v>63</v>
      </c>
      <c r="AY2759" s="4" t="s">
        <v>63</v>
      </c>
      <c r="AZ2759" s="4" t="s">
        <v>63</v>
      </c>
      <c r="BA2759" s="4" t="s">
        <v>63</v>
      </c>
      <c r="BB2759" s="4" t="s">
        <v>63</v>
      </c>
      <c r="BC2759" s="4" t="s">
        <v>63</v>
      </c>
      <c r="BD2759" s="4" t="s">
        <v>63</v>
      </c>
      <c r="BE2759" s="4" t="s">
        <v>63</v>
      </c>
      <c r="BF2759" s="4" t="s">
        <v>63</v>
      </c>
    </row>
    <row r="2760" spans="1:58">
      <c r="A2760" s="4" t="s">
        <v>58</v>
      </c>
      <c r="B2760" s="4" t="s">
        <v>22855</v>
      </c>
      <c r="C2760" s="4" t="s">
        <v>22856</v>
      </c>
      <c r="D2760" s="4" t="s">
        <v>16100</v>
      </c>
      <c r="E2760" s="4" t="s">
        <v>63</v>
      </c>
      <c r="F2760" s="4">
        <v>2014</v>
      </c>
      <c r="G2760" s="4">
        <v>1</v>
      </c>
      <c r="H2760" s="4" t="s">
        <v>16101</v>
      </c>
      <c r="I2760" s="4" t="s">
        <v>63</v>
      </c>
      <c r="J2760" s="4" t="s">
        <v>16228</v>
      </c>
      <c r="K2760" s="4" t="s">
        <v>63</v>
      </c>
      <c r="L2760" s="4" t="s">
        <v>22857</v>
      </c>
      <c r="M2760" s="4" t="s">
        <v>22858</v>
      </c>
      <c r="N2760" s="4" t="s">
        <v>22859</v>
      </c>
      <c r="O2760" s="4" t="s">
        <v>63</v>
      </c>
      <c r="P2760" s="4"/>
      <c r="Q2760" s="4" t="s">
        <v>63</v>
      </c>
      <c r="R2760" s="4" t="s">
        <v>63</v>
      </c>
      <c r="S2760" s="4" t="s">
        <v>63</v>
      </c>
      <c r="T2760" s="4" t="s">
        <v>63</v>
      </c>
      <c r="U2760" s="4"/>
      <c r="V2760" s="4"/>
      <c r="W2760" s="4"/>
      <c r="X2760" s="4" t="s">
        <v>63</v>
      </c>
      <c r="Y2760" s="4" t="s">
        <v>185</v>
      </c>
      <c r="Z2760" s="4" t="s">
        <v>63</v>
      </c>
      <c r="AA2760" s="4" t="s">
        <v>63</v>
      </c>
      <c r="AB2760" s="4" t="s">
        <v>63</v>
      </c>
      <c r="AC2760" s="4" t="s">
        <v>67</v>
      </c>
      <c r="AD2760" s="4" t="s">
        <v>63</v>
      </c>
      <c r="AE2760" s="4" t="s">
        <v>63</v>
      </c>
      <c r="AF2760" s="4" t="s">
        <v>63</v>
      </c>
      <c r="AG2760" s="4" t="s">
        <v>63</v>
      </c>
      <c r="AH2760" s="4" t="s">
        <v>63</v>
      </c>
      <c r="AI2760" s="4" t="s">
        <v>22860</v>
      </c>
      <c r="AJ2760" s="4" t="s">
        <v>63</v>
      </c>
      <c r="AK2760" s="4" t="s">
        <v>63</v>
      </c>
      <c r="AL2760" s="4" t="s">
        <v>63</v>
      </c>
      <c r="AM2760" s="4" t="s">
        <v>22856</v>
      </c>
      <c r="AN2760" s="4" t="s">
        <v>63</v>
      </c>
      <c r="AO2760" s="4" t="s">
        <v>63</v>
      </c>
      <c r="AP2760" s="4" t="s">
        <v>63</v>
      </c>
      <c r="AQ2760" s="4" t="s">
        <v>63</v>
      </c>
      <c r="AR2760" s="4" t="s">
        <v>63</v>
      </c>
      <c r="AS2760" s="4" t="s">
        <v>63</v>
      </c>
      <c r="AT2760" s="4" t="s">
        <v>63</v>
      </c>
      <c r="AU2760" s="4" t="s">
        <v>63</v>
      </c>
      <c r="AV2760" s="4" t="s">
        <v>63</v>
      </c>
      <c r="AW2760" s="4" t="s">
        <v>63</v>
      </c>
      <c r="AX2760" s="4" t="s">
        <v>63</v>
      </c>
      <c r="AY2760" s="4" t="s">
        <v>63</v>
      </c>
      <c r="AZ2760" s="4" t="s">
        <v>63</v>
      </c>
      <c r="BA2760" s="4" t="s">
        <v>63</v>
      </c>
      <c r="BB2760" s="4" t="s">
        <v>63</v>
      </c>
      <c r="BC2760" s="4" t="s">
        <v>63</v>
      </c>
      <c r="BD2760" s="4" t="s">
        <v>63</v>
      </c>
      <c r="BE2760" s="4" t="s">
        <v>63</v>
      </c>
      <c r="BF2760" s="4" t="s">
        <v>63</v>
      </c>
    </row>
    <row r="2761" spans="1:58">
      <c r="A2761" s="4" t="s">
        <v>58</v>
      </c>
      <c r="B2761" s="4" t="s">
        <v>22861</v>
      </c>
      <c r="C2761" s="4" t="s">
        <v>22862</v>
      </c>
      <c r="D2761" s="4" t="s">
        <v>16152</v>
      </c>
      <c r="E2761" s="4" t="s">
        <v>63</v>
      </c>
      <c r="F2761" s="4">
        <v>2016</v>
      </c>
      <c r="G2761" s="4">
        <v>1</v>
      </c>
      <c r="H2761" s="4">
        <v>18</v>
      </c>
      <c r="I2761" s="4">
        <v>3</v>
      </c>
      <c r="J2761" s="4">
        <v>44</v>
      </c>
      <c r="K2761" s="4" t="s">
        <v>63</v>
      </c>
      <c r="L2761" s="4" t="s">
        <v>22863</v>
      </c>
      <c r="M2761" s="4" t="s">
        <v>22864</v>
      </c>
      <c r="N2761" s="4" t="s">
        <v>22865</v>
      </c>
      <c r="O2761" s="4" t="s">
        <v>63</v>
      </c>
      <c r="P2761" s="4"/>
      <c r="Q2761" s="4" t="s">
        <v>63</v>
      </c>
      <c r="R2761" s="4" t="s">
        <v>63</v>
      </c>
      <c r="S2761" s="4" t="s">
        <v>63</v>
      </c>
      <c r="T2761" s="4" t="s">
        <v>63</v>
      </c>
      <c r="U2761" s="4"/>
      <c r="V2761" s="4"/>
      <c r="W2761" s="4"/>
      <c r="X2761" s="4" t="s">
        <v>63</v>
      </c>
      <c r="Y2761" s="4" t="s">
        <v>16156</v>
      </c>
      <c r="Z2761" s="4" t="s">
        <v>63</v>
      </c>
      <c r="AA2761" s="4" t="s">
        <v>63</v>
      </c>
      <c r="AB2761" s="4" t="s">
        <v>63</v>
      </c>
      <c r="AC2761" s="4" t="s">
        <v>67</v>
      </c>
      <c r="AD2761" s="4" t="s">
        <v>63</v>
      </c>
      <c r="AE2761" s="4" t="s">
        <v>63</v>
      </c>
      <c r="AF2761" s="4" t="s">
        <v>63</v>
      </c>
      <c r="AG2761" s="4" t="s">
        <v>63</v>
      </c>
      <c r="AH2761" s="4" t="s">
        <v>63</v>
      </c>
      <c r="AI2761" s="4" t="s">
        <v>63</v>
      </c>
      <c r="AJ2761" s="4" t="s">
        <v>63</v>
      </c>
      <c r="AK2761" s="4" t="s">
        <v>63</v>
      </c>
      <c r="AL2761" s="4" t="s">
        <v>63</v>
      </c>
      <c r="AM2761" s="4" t="s">
        <v>22862</v>
      </c>
      <c r="AN2761" s="4" t="s">
        <v>63</v>
      </c>
      <c r="AO2761" s="4" t="s">
        <v>63</v>
      </c>
      <c r="AP2761" s="4" t="s">
        <v>63</v>
      </c>
      <c r="AQ2761" s="4" t="s">
        <v>63</v>
      </c>
      <c r="AR2761" s="4" t="s">
        <v>63</v>
      </c>
      <c r="AS2761" s="4" t="s">
        <v>63</v>
      </c>
      <c r="AT2761" s="4" t="s">
        <v>63</v>
      </c>
      <c r="AU2761" s="4" t="s">
        <v>63</v>
      </c>
      <c r="AV2761" s="4" t="s">
        <v>63</v>
      </c>
      <c r="AW2761" s="4" t="s">
        <v>63</v>
      </c>
      <c r="AX2761" s="4" t="s">
        <v>63</v>
      </c>
      <c r="AY2761" s="4" t="s">
        <v>63</v>
      </c>
      <c r="AZ2761" s="4" t="s">
        <v>63</v>
      </c>
      <c r="BA2761" s="4" t="s">
        <v>63</v>
      </c>
      <c r="BB2761" s="4" t="s">
        <v>63</v>
      </c>
      <c r="BC2761" s="4" t="s">
        <v>63</v>
      </c>
      <c r="BD2761" s="4" t="s">
        <v>63</v>
      </c>
      <c r="BE2761" s="4" t="s">
        <v>63</v>
      </c>
      <c r="BF2761" s="4" t="s">
        <v>63</v>
      </c>
    </row>
    <row r="2762" spans="1:58">
      <c r="A2762" s="4" t="s">
        <v>58</v>
      </c>
      <c r="B2762" s="4" t="s">
        <v>22866</v>
      </c>
      <c r="C2762" s="4" t="s">
        <v>22867</v>
      </c>
      <c r="D2762" s="4" t="s">
        <v>325</v>
      </c>
      <c r="E2762" s="4" t="s">
        <v>63</v>
      </c>
      <c r="F2762" s="4">
        <v>2003</v>
      </c>
      <c r="G2762" s="4" t="s">
        <v>15175</v>
      </c>
      <c r="H2762" s="4">
        <v>27</v>
      </c>
      <c r="I2762" s="4">
        <v>4</v>
      </c>
      <c r="J2762" s="4">
        <v>289</v>
      </c>
      <c r="K2762" s="4" t="s">
        <v>63</v>
      </c>
      <c r="L2762" s="4" t="s">
        <v>22868</v>
      </c>
      <c r="M2762" s="4" t="s">
        <v>63</v>
      </c>
      <c r="N2762" s="4" t="s">
        <v>22869</v>
      </c>
      <c r="O2762" s="4" t="s">
        <v>63</v>
      </c>
      <c r="P2762" s="4"/>
      <c r="Q2762" s="4" t="s">
        <v>63</v>
      </c>
      <c r="R2762" s="4" t="s">
        <v>63</v>
      </c>
      <c r="S2762" s="4" t="s">
        <v>63</v>
      </c>
      <c r="T2762" s="4" t="s">
        <v>63</v>
      </c>
      <c r="U2762" s="4"/>
      <c r="V2762" s="4"/>
      <c r="W2762" s="4"/>
      <c r="X2762" s="4" t="s">
        <v>63</v>
      </c>
      <c r="Y2762" s="4" t="s">
        <v>866</v>
      </c>
      <c r="Z2762" s="4" t="s">
        <v>63</v>
      </c>
      <c r="AA2762" s="4" t="s">
        <v>63</v>
      </c>
      <c r="AB2762" s="4">
        <v>2004064223</v>
      </c>
      <c r="AC2762" s="4" t="s">
        <v>67</v>
      </c>
      <c r="AD2762" s="4" t="s">
        <v>63</v>
      </c>
      <c r="AE2762" s="4" t="s">
        <v>63</v>
      </c>
      <c r="AF2762" s="4" t="s">
        <v>63</v>
      </c>
      <c r="AG2762" s="4" t="s">
        <v>22870</v>
      </c>
      <c r="AH2762" s="4" t="s">
        <v>63</v>
      </c>
      <c r="AI2762" s="4" t="s">
        <v>22871</v>
      </c>
      <c r="AJ2762" s="4" t="s">
        <v>63</v>
      </c>
      <c r="AK2762" s="4" t="s">
        <v>63</v>
      </c>
      <c r="AL2762" s="4" t="s">
        <v>63</v>
      </c>
      <c r="AM2762" s="4" t="s">
        <v>22872</v>
      </c>
      <c r="AN2762" s="4" t="s">
        <v>63</v>
      </c>
      <c r="AO2762" s="4" t="s">
        <v>63</v>
      </c>
      <c r="AP2762" s="4" t="s">
        <v>63</v>
      </c>
      <c r="AQ2762" s="4" t="s">
        <v>63</v>
      </c>
      <c r="AR2762" s="4" t="s">
        <v>63</v>
      </c>
      <c r="AS2762" s="4" t="s">
        <v>63</v>
      </c>
      <c r="AT2762" s="4" t="s">
        <v>63</v>
      </c>
      <c r="AU2762" s="4" t="s">
        <v>63</v>
      </c>
      <c r="AV2762" s="4" t="s">
        <v>63</v>
      </c>
      <c r="AW2762" s="4" t="s">
        <v>63</v>
      </c>
      <c r="AX2762" s="4" t="s">
        <v>63</v>
      </c>
      <c r="AY2762" s="4" t="s">
        <v>63</v>
      </c>
      <c r="AZ2762" s="4" t="s">
        <v>63</v>
      </c>
      <c r="BA2762" s="4" t="s">
        <v>63</v>
      </c>
      <c r="BB2762" s="4" t="s">
        <v>63</v>
      </c>
      <c r="BC2762" s="4" t="s">
        <v>63</v>
      </c>
      <c r="BD2762" s="4" t="s">
        <v>63</v>
      </c>
      <c r="BE2762" s="4" t="s">
        <v>63</v>
      </c>
      <c r="BF2762" s="4" t="s">
        <v>63</v>
      </c>
    </row>
    <row r="2763" spans="1:58">
      <c r="A2763" s="4" t="s">
        <v>58</v>
      </c>
      <c r="B2763" s="4" t="s">
        <v>22873</v>
      </c>
      <c r="C2763" s="4" t="s">
        <v>22874</v>
      </c>
      <c r="D2763" s="4" t="s">
        <v>1668</v>
      </c>
      <c r="E2763" s="4" t="s">
        <v>1669</v>
      </c>
      <c r="F2763" s="4">
        <v>1999</v>
      </c>
      <c r="G2763" s="4" t="s">
        <v>1670</v>
      </c>
      <c r="H2763" s="4">
        <v>21</v>
      </c>
      <c r="I2763" s="4">
        <v>4</v>
      </c>
      <c r="J2763" s="4">
        <v>405</v>
      </c>
      <c r="K2763" s="4">
        <v>408</v>
      </c>
      <c r="L2763" s="4" t="s">
        <v>22875</v>
      </c>
      <c r="M2763" s="4" t="s">
        <v>22876</v>
      </c>
      <c r="N2763" s="4" t="s">
        <v>22877</v>
      </c>
      <c r="O2763" s="4" t="s">
        <v>63</v>
      </c>
      <c r="P2763" s="4"/>
      <c r="Q2763" s="4" t="s">
        <v>63</v>
      </c>
      <c r="R2763" s="4" t="s">
        <v>63</v>
      </c>
      <c r="S2763" s="4" t="s">
        <v>63</v>
      </c>
      <c r="T2763" s="4" t="s">
        <v>63</v>
      </c>
      <c r="U2763" s="4"/>
      <c r="V2763" s="4"/>
      <c r="W2763" s="4"/>
      <c r="X2763" s="4" t="s">
        <v>63</v>
      </c>
      <c r="Y2763" s="4" t="s">
        <v>2884</v>
      </c>
      <c r="Z2763" s="4" t="s">
        <v>63</v>
      </c>
      <c r="AA2763" s="4" t="s">
        <v>63</v>
      </c>
      <c r="AB2763" s="4" t="s">
        <v>22878</v>
      </c>
      <c r="AC2763" s="4" t="s">
        <v>67</v>
      </c>
      <c r="AD2763" s="4" t="s">
        <v>63</v>
      </c>
      <c r="AE2763" s="4" t="s">
        <v>63</v>
      </c>
      <c r="AF2763" s="4" t="s">
        <v>63</v>
      </c>
      <c r="AG2763" s="4" t="s">
        <v>63</v>
      </c>
      <c r="AH2763" s="4" t="s">
        <v>63</v>
      </c>
      <c r="AI2763" s="4" t="s">
        <v>22879</v>
      </c>
      <c r="AJ2763" s="4" t="s">
        <v>63</v>
      </c>
      <c r="AK2763" s="4" t="s">
        <v>63</v>
      </c>
      <c r="AL2763" s="4" t="s">
        <v>63</v>
      </c>
      <c r="AM2763" s="4" t="s">
        <v>22874</v>
      </c>
      <c r="AN2763" s="4" t="s">
        <v>63</v>
      </c>
      <c r="AO2763" s="4" t="s">
        <v>63</v>
      </c>
      <c r="AP2763" s="4" t="s">
        <v>63</v>
      </c>
      <c r="AQ2763" s="4" t="s">
        <v>63</v>
      </c>
      <c r="AR2763" s="4" t="s">
        <v>63</v>
      </c>
      <c r="AS2763" s="4" t="s">
        <v>63</v>
      </c>
      <c r="AT2763" s="4" t="s">
        <v>63</v>
      </c>
      <c r="AU2763" s="4" t="s">
        <v>63</v>
      </c>
      <c r="AV2763" s="4" t="s">
        <v>63</v>
      </c>
      <c r="AW2763" s="4" t="s">
        <v>63</v>
      </c>
      <c r="AX2763" s="4" t="s">
        <v>63</v>
      </c>
      <c r="AY2763" s="4" t="s">
        <v>63</v>
      </c>
      <c r="AZ2763" s="4" t="s">
        <v>63</v>
      </c>
      <c r="BA2763" s="4" t="s">
        <v>63</v>
      </c>
      <c r="BB2763" s="4" t="s">
        <v>63</v>
      </c>
      <c r="BC2763" s="4" t="s">
        <v>63</v>
      </c>
      <c r="BD2763" s="4" t="s">
        <v>63</v>
      </c>
      <c r="BE2763" s="4" t="s">
        <v>63</v>
      </c>
      <c r="BF2763" s="4" t="s">
        <v>63</v>
      </c>
    </row>
    <row r="2764" spans="1:58">
      <c r="A2764" s="4" t="s">
        <v>58</v>
      </c>
      <c r="B2764" s="4" t="s">
        <v>22880</v>
      </c>
      <c r="C2764" s="4" t="s">
        <v>22881</v>
      </c>
      <c r="D2764" s="4" t="s">
        <v>1993</v>
      </c>
      <c r="E2764" s="4" t="s">
        <v>1994</v>
      </c>
      <c r="F2764" s="4">
        <v>1984</v>
      </c>
      <c r="G2764" s="4" t="s">
        <v>181</v>
      </c>
      <c r="H2764" s="4">
        <v>67</v>
      </c>
      <c r="I2764" s="4">
        <v>9</v>
      </c>
      <c r="J2764" s="4">
        <v>519</v>
      </c>
      <c r="K2764" s="4">
        <v>520</v>
      </c>
      <c r="L2764" s="4" t="s">
        <v>22882</v>
      </c>
      <c r="M2764" s="4" t="s">
        <v>63</v>
      </c>
      <c r="N2764" s="4" t="s">
        <v>22883</v>
      </c>
      <c r="O2764" s="4" t="s">
        <v>63</v>
      </c>
      <c r="P2764" s="4"/>
      <c r="Q2764" s="4" t="s">
        <v>63</v>
      </c>
      <c r="R2764" s="4" t="s">
        <v>63</v>
      </c>
      <c r="S2764" s="4" t="s">
        <v>63</v>
      </c>
      <c r="T2764" s="4" t="s">
        <v>63</v>
      </c>
      <c r="U2764" s="4"/>
      <c r="V2764" s="4"/>
      <c r="W2764" s="4"/>
      <c r="X2764" s="4" t="s">
        <v>63</v>
      </c>
      <c r="Y2764" s="4" t="s">
        <v>1997</v>
      </c>
      <c r="Z2764" s="4" t="s">
        <v>63</v>
      </c>
      <c r="AA2764" s="4" t="s">
        <v>63</v>
      </c>
      <c r="AB2764" s="4" t="s">
        <v>63</v>
      </c>
      <c r="AC2764" s="4" t="s">
        <v>67</v>
      </c>
      <c r="AD2764" s="4" t="s">
        <v>63</v>
      </c>
      <c r="AE2764" s="4" t="s">
        <v>63</v>
      </c>
      <c r="AF2764" s="4" t="s">
        <v>63</v>
      </c>
      <c r="AG2764" s="4" t="s">
        <v>22884</v>
      </c>
      <c r="AH2764" s="4" t="s">
        <v>63</v>
      </c>
      <c r="AI2764" s="4" t="s">
        <v>63</v>
      </c>
      <c r="AJ2764" s="4" t="s">
        <v>63</v>
      </c>
      <c r="AK2764" s="4" t="s">
        <v>63</v>
      </c>
      <c r="AL2764" s="4" t="s">
        <v>63</v>
      </c>
      <c r="AM2764" s="4" t="s">
        <v>22885</v>
      </c>
      <c r="AN2764" s="4" t="s">
        <v>63</v>
      </c>
      <c r="AO2764" s="4" t="s">
        <v>63</v>
      </c>
      <c r="AP2764" s="4" t="s">
        <v>63</v>
      </c>
      <c r="AQ2764" s="4" t="s">
        <v>63</v>
      </c>
      <c r="AR2764" s="4" t="s">
        <v>63</v>
      </c>
      <c r="AS2764" s="4" t="s">
        <v>63</v>
      </c>
      <c r="AT2764" s="4" t="s">
        <v>63</v>
      </c>
      <c r="AU2764" s="4" t="s">
        <v>63</v>
      </c>
      <c r="AV2764" s="4" t="s">
        <v>63</v>
      </c>
      <c r="AW2764" s="4" t="s">
        <v>63</v>
      </c>
      <c r="AX2764" s="4" t="s">
        <v>63</v>
      </c>
      <c r="AY2764" s="4" t="s">
        <v>63</v>
      </c>
      <c r="AZ2764" s="4" t="s">
        <v>63</v>
      </c>
      <c r="BA2764" s="4" t="s">
        <v>63</v>
      </c>
      <c r="BB2764" s="4" t="s">
        <v>63</v>
      </c>
      <c r="BC2764" s="4" t="s">
        <v>63</v>
      </c>
      <c r="BD2764" s="4" t="s">
        <v>63</v>
      </c>
      <c r="BE2764" s="4" t="s">
        <v>63</v>
      </c>
      <c r="BF2764" s="4" t="s">
        <v>63</v>
      </c>
    </row>
    <row r="2765" spans="1:58">
      <c r="A2765" s="4" t="s">
        <v>58</v>
      </c>
      <c r="B2765" s="4" t="s">
        <v>22886</v>
      </c>
      <c r="C2765" s="4" t="s">
        <v>22887</v>
      </c>
      <c r="D2765" s="4" t="s">
        <v>389</v>
      </c>
      <c r="E2765" s="4" t="s">
        <v>63</v>
      </c>
      <c r="F2765" s="4">
        <v>1997</v>
      </c>
      <c r="G2765" s="4" t="s">
        <v>274</v>
      </c>
      <c r="H2765" s="4">
        <v>18</v>
      </c>
      <c r="I2765" s="4">
        <v>1</v>
      </c>
      <c r="J2765" s="4">
        <v>13</v>
      </c>
      <c r="K2765" s="4">
        <v>25</v>
      </c>
      <c r="L2765" s="4" t="s">
        <v>22888</v>
      </c>
      <c r="M2765" s="4" t="s">
        <v>22889</v>
      </c>
      <c r="N2765" s="4" t="s">
        <v>22890</v>
      </c>
      <c r="O2765" s="4" t="s">
        <v>63</v>
      </c>
      <c r="P2765" s="4"/>
      <c r="Q2765" s="4" t="s">
        <v>63</v>
      </c>
      <c r="R2765" s="4" t="s">
        <v>63</v>
      </c>
      <c r="S2765" s="4" t="s">
        <v>63</v>
      </c>
      <c r="T2765" s="4" t="s">
        <v>63</v>
      </c>
      <c r="U2765" s="4"/>
      <c r="V2765" s="4"/>
      <c r="W2765" s="4"/>
      <c r="X2765" s="4" t="s">
        <v>63</v>
      </c>
      <c r="Y2765" s="4" t="s">
        <v>392</v>
      </c>
      <c r="Z2765" s="4" t="s">
        <v>63</v>
      </c>
      <c r="AA2765" s="4" t="s">
        <v>63</v>
      </c>
      <c r="AB2765" s="4" t="s">
        <v>22891</v>
      </c>
      <c r="AC2765" s="4" t="s">
        <v>67</v>
      </c>
      <c r="AD2765" s="4" t="s">
        <v>63</v>
      </c>
      <c r="AE2765" s="4" t="s">
        <v>63</v>
      </c>
      <c r="AF2765" s="4" t="s">
        <v>63</v>
      </c>
      <c r="AG2765" s="4" t="s">
        <v>63</v>
      </c>
      <c r="AH2765" s="4" t="s">
        <v>63</v>
      </c>
      <c r="AI2765" s="4" t="s">
        <v>63</v>
      </c>
      <c r="AJ2765" s="4" t="s">
        <v>63</v>
      </c>
      <c r="AK2765" s="4" t="s">
        <v>63</v>
      </c>
      <c r="AL2765" s="4" t="s">
        <v>63</v>
      </c>
      <c r="AM2765" s="4" t="s">
        <v>22887</v>
      </c>
      <c r="AN2765" s="4" t="s">
        <v>63</v>
      </c>
      <c r="AO2765" s="4" t="s">
        <v>63</v>
      </c>
      <c r="AP2765" s="4" t="s">
        <v>63</v>
      </c>
      <c r="AQ2765" s="4" t="s">
        <v>63</v>
      </c>
      <c r="AR2765" s="4" t="s">
        <v>63</v>
      </c>
      <c r="AS2765" s="4" t="s">
        <v>63</v>
      </c>
      <c r="AT2765" s="4" t="s">
        <v>63</v>
      </c>
      <c r="AU2765" s="4" t="s">
        <v>63</v>
      </c>
      <c r="AV2765" s="4" t="s">
        <v>63</v>
      </c>
      <c r="AW2765" s="4" t="s">
        <v>63</v>
      </c>
      <c r="AX2765" s="4" t="s">
        <v>63</v>
      </c>
      <c r="AY2765" s="4" t="s">
        <v>63</v>
      </c>
      <c r="AZ2765" s="4" t="s">
        <v>63</v>
      </c>
      <c r="BA2765" s="4" t="s">
        <v>63</v>
      </c>
      <c r="BB2765" s="4" t="s">
        <v>63</v>
      </c>
      <c r="BC2765" s="4" t="s">
        <v>63</v>
      </c>
      <c r="BD2765" s="4" t="s">
        <v>63</v>
      </c>
      <c r="BE2765" s="4" t="s">
        <v>63</v>
      </c>
      <c r="BF2765" s="4" t="s">
        <v>63</v>
      </c>
    </row>
    <row r="2766" spans="1:58">
      <c r="A2766" s="4" t="s">
        <v>58</v>
      </c>
      <c r="B2766" s="4" t="s">
        <v>22892</v>
      </c>
      <c r="C2766" s="4" t="s">
        <v>22893</v>
      </c>
      <c r="D2766" s="4" t="s">
        <v>6306</v>
      </c>
      <c r="E2766" s="4" t="s">
        <v>63</v>
      </c>
      <c r="F2766" s="4">
        <v>2007</v>
      </c>
      <c r="G2766" s="4" t="s">
        <v>15175</v>
      </c>
      <c r="H2766" s="4">
        <v>22</v>
      </c>
      <c r="I2766" s="4">
        <v>4</v>
      </c>
      <c r="J2766" s="4">
        <v>254</v>
      </c>
      <c r="K2766" s="4">
        <v>258</v>
      </c>
      <c r="L2766" s="4" t="s">
        <v>22894</v>
      </c>
      <c r="M2766" s="4" t="s">
        <v>22895</v>
      </c>
      <c r="N2766" s="4" t="s">
        <v>22896</v>
      </c>
      <c r="O2766" s="4" t="s">
        <v>63</v>
      </c>
      <c r="P2766" s="4"/>
      <c r="Q2766" s="4" t="s">
        <v>63</v>
      </c>
      <c r="R2766" s="4" t="s">
        <v>63</v>
      </c>
      <c r="S2766" s="4" t="s">
        <v>63</v>
      </c>
      <c r="T2766" s="4" t="s">
        <v>63</v>
      </c>
      <c r="U2766" s="4"/>
      <c r="V2766" s="4"/>
      <c r="W2766" s="4"/>
      <c r="X2766" s="4" t="s">
        <v>63</v>
      </c>
      <c r="Y2766" s="4" t="s">
        <v>6336</v>
      </c>
      <c r="Z2766" s="4" t="s">
        <v>63</v>
      </c>
      <c r="AA2766" s="4" t="s">
        <v>63</v>
      </c>
      <c r="AB2766" s="4">
        <v>2008033401</v>
      </c>
      <c r="AC2766" s="4" t="s">
        <v>67</v>
      </c>
      <c r="AD2766" s="4" t="s">
        <v>63</v>
      </c>
      <c r="AE2766" s="4" t="s">
        <v>63</v>
      </c>
      <c r="AF2766" s="4" t="s">
        <v>63</v>
      </c>
      <c r="AG2766" s="4" t="s">
        <v>22897</v>
      </c>
      <c r="AH2766" s="4" t="s">
        <v>63</v>
      </c>
      <c r="AI2766" s="4" t="s">
        <v>63</v>
      </c>
      <c r="AJ2766" s="4" t="s">
        <v>63</v>
      </c>
      <c r="AK2766" s="4" t="s">
        <v>63</v>
      </c>
      <c r="AL2766" s="4" t="s">
        <v>63</v>
      </c>
      <c r="AM2766" s="4" t="s">
        <v>22898</v>
      </c>
      <c r="AN2766" s="4" t="s">
        <v>63</v>
      </c>
      <c r="AO2766" s="4" t="s">
        <v>63</v>
      </c>
      <c r="AP2766" s="4" t="s">
        <v>63</v>
      </c>
      <c r="AQ2766" s="4" t="s">
        <v>63</v>
      </c>
      <c r="AR2766" s="4" t="s">
        <v>63</v>
      </c>
      <c r="AS2766" s="4" t="s">
        <v>63</v>
      </c>
      <c r="AT2766" s="4" t="s">
        <v>63</v>
      </c>
      <c r="AU2766" s="4" t="s">
        <v>63</v>
      </c>
      <c r="AV2766" s="4" t="s">
        <v>63</v>
      </c>
      <c r="AW2766" s="4" t="s">
        <v>63</v>
      </c>
      <c r="AX2766" s="4" t="s">
        <v>63</v>
      </c>
      <c r="AY2766" s="4" t="s">
        <v>63</v>
      </c>
      <c r="AZ2766" s="4" t="s">
        <v>63</v>
      </c>
      <c r="BA2766" s="4" t="s">
        <v>63</v>
      </c>
      <c r="BB2766" s="4" t="s">
        <v>63</v>
      </c>
      <c r="BC2766" s="4" t="s">
        <v>63</v>
      </c>
      <c r="BD2766" s="4" t="s">
        <v>63</v>
      </c>
      <c r="BE2766" s="4" t="s">
        <v>63</v>
      </c>
      <c r="BF2766" s="4" t="s">
        <v>63</v>
      </c>
    </row>
    <row r="2767" spans="1:58">
      <c r="A2767" s="4" t="s">
        <v>58</v>
      </c>
      <c r="B2767" s="4" t="s">
        <v>22899</v>
      </c>
      <c r="C2767" s="4" t="s">
        <v>22900</v>
      </c>
      <c r="D2767" s="4" t="s">
        <v>15515</v>
      </c>
      <c r="E2767" s="4" t="s">
        <v>15516</v>
      </c>
      <c r="F2767" s="4">
        <v>1998</v>
      </c>
      <c r="G2767" s="4">
        <v>1</v>
      </c>
      <c r="H2767" s="4">
        <v>279</v>
      </c>
      <c r="I2767" s="4">
        <v>13</v>
      </c>
      <c r="J2767" s="4">
        <v>988</v>
      </c>
      <c r="K2767" s="4" t="s">
        <v>63</v>
      </c>
      <c r="L2767" s="4" t="s">
        <v>22901</v>
      </c>
      <c r="M2767" s="4" t="s">
        <v>63</v>
      </c>
      <c r="N2767" s="4" t="s">
        <v>22902</v>
      </c>
      <c r="O2767" s="4" t="s">
        <v>63</v>
      </c>
      <c r="P2767" s="4"/>
      <c r="Q2767" s="4" t="s">
        <v>63</v>
      </c>
      <c r="R2767" s="4" t="s">
        <v>63</v>
      </c>
      <c r="S2767" s="4" t="s">
        <v>63</v>
      </c>
      <c r="T2767" s="4" t="s">
        <v>63</v>
      </c>
      <c r="U2767" s="4"/>
      <c r="V2767" s="4"/>
      <c r="W2767" s="4"/>
      <c r="X2767" s="4" t="s">
        <v>63</v>
      </c>
      <c r="Y2767" s="4" t="s">
        <v>208</v>
      </c>
      <c r="Z2767" s="4" t="s">
        <v>63</v>
      </c>
      <c r="AA2767" s="4" t="s">
        <v>63</v>
      </c>
      <c r="AB2767" s="4" t="s">
        <v>22903</v>
      </c>
      <c r="AC2767" s="4" t="s">
        <v>67</v>
      </c>
      <c r="AD2767" s="4" t="s">
        <v>63</v>
      </c>
      <c r="AE2767" s="4" t="s">
        <v>63</v>
      </c>
      <c r="AF2767" s="4" t="s">
        <v>63</v>
      </c>
      <c r="AG2767" s="4" t="s">
        <v>63</v>
      </c>
      <c r="AH2767" s="4" t="s">
        <v>63</v>
      </c>
      <c r="AI2767" s="4" t="s">
        <v>63</v>
      </c>
      <c r="AJ2767" s="4" t="s">
        <v>63</v>
      </c>
      <c r="AK2767" s="4" t="s">
        <v>63</v>
      </c>
      <c r="AL2767" s="4" t="s">
        <v>63</v>
      </c>
      <c r="AM2767" s="4" t="s">
        <v>22900</v>
      </c>
      <c r="AN2767" s="4" t="s">
        <v>63</v>
      </c>
      <c r="AO2767" s="4" t="s">
        <v>63</v>
      </c>
      <c r="AP2767" s="4" t="s">
        <v>63</v>
      </c>
      <c r="AQ2767" s="4" t="s">
        <v>63</v>
      </c>
      <c r="AR2767" s="4" t="s">
        <v>63</v>
      </c>
      <c r="AS2767" s="4" t="s">
        <v>63</v>
      </c>
      <c r="AT2767" s="4" t="s">
        <v>63</v>
      </c>
      <c r="AU2767" s="4" t="s">
        <v>63</v>
      </c>
      <c r="AV2767" s="4" t="s">
        <v>63</v>
      </c>
      <c r="AW2767" s="4" t="s">
        <v>63</v>
      </c>
      <c r="AX2767" s="4" t="s">
        <v>63</v>
      </c>
      <c r="AY2767" s="4" t="s">
        <v>63</v>
      </c>
      <c r="AZ2767" s="4" t="s">
        <v>63</v>
      </c>
      <c r="BA2767" s="4" t="s">
        <v>63</v>
      </c>
      <c r="BB2767" s="4" t="s">
        <v>63</v>
      </c>
      <c r="BC2767" s="4" t="s">
        <v>63</v>
      </c>
      <c r="BD2767" s="4" t="s">
        <v>63</v>
      </c>
      <c r="BE2767" s="4" t="s">
        <v>63</v>
      </c>
      <c r="BF2767" s="4" t="s">
        <v>63</v>
      </c>
    </row>
    <row r="2768" spans="1:58">
      <c r="A2768" s="4" t="s">
        <v>58</v>
      </c>
      <c r="B2768" s="4" t="s">
        <v>22904</v>
      </c>
      <c r="C2768" s="4" t="s">
        <v>22905</v>
      </c>
      <c r="D2768" s="4" t="s">
        <v>15713</v>
      </c>
      <c r="E2768" s="4" t="s">
        <v>15714</v>
      </c>
      <c r="F2768" s="4">
        <v>2004</v>
      </c>
      <c r="G2768" s="4" t="s">
        <v>73</v>
      </c>
      <c r="H2768" s="4">
        <v>9</v>
      </c>
      <c r="I2768" s="4">
        <v>3</v>
      </c>
      <c r="J2768" s="4">
        <v>172</v>
      </c>
      <c r="K2768" s="4">
        <v>175</v>
      </c>
      <c r="L2768" s="4" t="s">
        <v>22906</v>
      </c>
      <c r="M2768" s="4" t="s">
        <v>22907</v>
      </c>
      <c r="N2768" s="4" t="s">
        <v>22908</v>
      </c>
      <c r="O2768" s="4" t="s">
        <v>63</v>
      </c>
      <c r="P2768" s="4"/>
      <c r="Q2768" s="4" t="s">
        <v>63</v>
      </c>
      <c r="R2768" s="4" t="s">
        <v>63</v>
      </c>
      <c r="S2768" s="4" t="s">
        <v>63</v>
      </c>
      <c r="T2768" s="4" t="s">
        <v>63</v>
      </c>
      <c r="U2768" s="4"/>
      <c r="V2768" s="4"/>
      <c r="W2768" s="4"/>
      <c r="X2768" s="4" t="s">
        <v>63</v>
      </c>
      <c r="Y2768" s="4" t="s">
        <v>15718</v>
      </c>
      <c r="Z2768" s="4" t="s">
        <v>63</v>
      </c>
      <c r="AA2768" s="4" t="s">
        <v>63</v>
      </c>
      <c r="AB2768" s="4" t="s">
        <v>22909</v>
      </c>
      <c r="AC2768" s="4" t="s">
        <v>67</v>
      </c>
      <c r="AD2768" s="4" t="s">
        <v>63</v>
      </c>
      <c r="AE2768" s="4" t="s">
        <v>63</v>
      </c>
      <c r="AF2768" s="4" t="s">
        <v>63</v>
      </c>
      <c r="AG2768" s="4" t="s">
        <v>63</v>
      </c>
      <c r="AH2768" s="4" t="s">
        <v>63</v>
      </c>
      <c r="AI2768" s="4" t="s">
        <v>22910</v>
      </c>
      <c r="AJ2768" s="4" t="s">
        <v>63</v>
      </c>
      <c r="AK2768" s="4" t="s">
        <v>63</v>
      </c>
      <c r="AL2768" s="4" t="s">
        <v>63</v>
      </c>
      <c r="AM2768" s="4" t="s">
        <v>22905</v>
      </c>
      <c r="AN2768" s="4" t="s">
        <v>63</v>
      </c>
      <c r="AO2768" s="4" t="s">
        <v>63</v>
      </c>
      <c r="AP2768" s="4" t="s">
        <v>63</v>
      </c>
      <c r="AQ2768" s="4" t="s">
        <v>63</v>
      </c>
      <c r="AR2768" s="4" t="s">
        <v>63</v>
      </c>
      <c r="AS2768" s="4" t="s">
        <v>63</v>
      </c>
      <c r="AT2768" s="4" t="s">
        <v>63</v>
      </c>
      <c r="AU2768" s="4" t="s">
        <v>63</v>
      </c>
      <c r="AV2768" s="4" t="s">
        <v>63</v>
      </c>
      <c r="AW2768" s="4" t="s">
        <v>63</v>
      </c>
      <c r="AX2768" s="4" t="s">
        <v>63</v>
      </c>
      <c r="AY2768" s="4" t="s">
        <v>63</v>
      </c>
      <c r="AZ2768" s="4" t="s">
        <v>63</v>
      </c>
      <c r="BA2768" s="4" t="s">
        <v>63</v>
      </c>
      <c r="BB2768" s="4" t="s">
        <v>63</v>
      </c>
      <c r="BC2768" s="4" t="s">
        <v>63</v>
      </c>
      <c r="BD2768" s="4" t="s">
        <v>63</v>
      </c>
      <c r="BE2768" s="4" t="s">
        <v>63</v>
      </c>
      <c r="BF2768" s="4" t="s">
        <v>63</v>
      </c>
    </row>
    <row r="2769" spans="1:58">
      <c r="A2769" s="4" t="s">
        <v>58</v>
      </c>
      <c r="B2769" s="4" t="s">
        <v>22911</v>
      </c>
      <c r="C2769" s="4" t="s">
        <v>22912</v>
      </c>
      <c r="D2769" s="4" t="s">
        <v>13967</v>
      </c>
      <c r="E2769" s="4" t="s">
        <v>13968</v>
      </c>
      <c r="F2769" s="4">
        <v>1976</v>
      </c>
      <c r="G2769" s="4" t="s">
        <v>63</v>
      </c>
      <c r="H2769" s="4">
        <v>21</v>
      </c>
      <c r="I2769" s="4">
        <v>5</v>
      </c>
      <c r="J2769" s="4">
        <v>227</v>
      </c>
      <c r="K2769" s="4">
        <v>228</v>
      </c>
      <c r="L2769" s="4" t="s">
        <v>22913</v>
      </c>
      <c r="M2769" s="4" t="s">
        <v>22914</v>
      </c>
      <c r="N2769" s="4" t="s">
        <v>22915</v>
      </c>
      <c r="O2769" s="4" t="s">
        <v>63</v>
      </c>
      <c r="P2769" s="4"/>
      <c r="Q2769" s="4" t="s">
        <v>63</v>
      </c>
      <c r="R2769" s="4" t="s">
        <v>63</v>
      </c>
      <c r="S2769" s="4" t="s">
        <v>63</v>
      </c>
      <c r="T2769" s="4" t="s">
        <v>63</v>
      </c>
      <c r="U2769" s="4"/>
      <c r="V2769" s="4"/>
      <c r="W2769" s="4"/>
      <c r="X2769" s="4" t="s">
        <v>63</v>
      </c>
      <c r="Y2769" s="4" t="s">
        <v>13972</v>
      </c>
      <c r="Z2769" s="4" t="s">
        <v>63</v>
      </c>
      <c r="AA2769" s="4" t="s">
        <v>63</v>
      </c>
      <c r="AB2769" s="4">
        <v>1977188923</v>
      </c>
      <c r="AC2769" s="4" t="s">
        <v>102</v>
      </c>
      <c r="AD2769" s="4" t="s">
        <v>63</v>
      </c>
      <c r="AE2769" s="4" t="s">
        <v>63</v>
      </c>
      <c r="AF2769" s="4" t="s">
        <v>63</v>
      </c>
      <c r="AG2769" s="4" t="s">
        <v>22916</v>
      </c>
      <c r="AH2769" s="4" t="s">
        <v>63</v>
      </c>
      <c r="AI2769" s="4" t="s">
        <v>63</v>
      </c>
      <c r="AJ2769" s="4" t="s">
        <v>63</v>
      </c>
      <c r="AK2769" s="4" t="s">
        <v>63</v>
      </c>
      <c r="AL2769" s="4" t="s">
        <v>63</v>
      </c>
      <c r="AM2769" s="4" t="s">
        <v>22917</v>
      </c>
      <c r="AN2769" s="4" t="s">
        <v>63</v>
      </c>
      <c r="AO2769" s="4" t="s">
        <v>63</v>
      </c>
      <c r="AP2769" s="4" t="s">
        <v>63</v>
      </c>
      <c r="AQ2769" s="4" t="s">
        <v>63</v>
      </c>
      <c r="AR2769" s="4" t="s">
        <v>63</v>
      </c>
      <c r="AS2769" s="4" t="s">
        <v>63</v>
      </c>
      <c r="AT2769" s="4" t="s">
        <v>63</v>
      </c>
      <c r="AU2769" s="4" t="s">
        <v>63</v>
      </c>
      <c r="AV2769" s="4" t="s">
        <v>63</v>
      </c>
      <c r="AW2769" s="4" t="s">
        <v>63</v>
      </c>
      <c r="AX2769" s="4" t="s">
        <v>63</v>
      </c>
      <c r="AY2769" s="4" t="s">
        <v>63</v>
      </c>
      <c r="AZ2769" s="4" t="s">
        <v>63</v>
      </c>
      <c r="BA2769" s="4" t="s">
        <v>63</v>
      </c>
      <c r="BB2769" s="4" t="s">
        <v>63</v>
      </c>
      <c r="BC2769" s="4" t="s">
        <v>63</v>
      </c>
      <c r="BD2769" s="4" t="s">
        <v>63</v>
      </c>
      <c r="BE2769" s="4" t="s">
        <v>63</v>
      </c>
      <c r="BF2769" s="4" t="s">
        <v>63</v>
      </c>
    </row>
    <row r="2770" spans="1:58">
      <c r="A2770" s="4" t="s">
        <v>58</v>
      </c>
      <c r="B2770" s="4" t="s">
        <v>22918</v>
      </c>
      <c r="C2770" s="4" t="s">
        <v>22919</v>
      </c>
      <c r="D2770" s="4" t="s">
        <v>11330</v>
      </c>
      <c r="E2770" s="4" t="s">
        <v>11330</v>
      </c>
      <c r="F2770" s="4">
        <v>2015</v>
      </c>
      <c r="G2770" s="4" t="s">
        <v>15254</v>
      </c>
      <c r="H2770" s="4" t="s">
        <v>22920</v>
      </c>
      <c r="I2770" s="4" t="s">
        <v>63</v>
      </c>
      <c r="J2770" s="4" t="s">
        <v>22921</v>
      </c>
      <c r="K2770" s="4" t="s">
        <v>22922</v>
      </c>
      <c r="L2770" s="4" t="s">
        <v>22923</v>
      </c>
      <c r="M2770" s="4" t="s">
        <v>22924</v>
      </c>
      <c r="N2770" s="4" t="s">
        <v>22925</v>
      </c>
      <c r="O2770" s="4" t="s">
        <v>63</v>
      </c>
      <c r="P2770" s="4"/>
      <c r="Q2770" s="4" t="s">
        <v>63</v>
      </c>
      <c r="R2770" s="4" t="s">
        <v>63</v>
      </c>
      <c r="S2770" s="4" t="s">
        <v>63</v>
      </c>
      <c r="T2770" s="4" t="s">
        <v>63</v>
      </c>
      <c r="U2770" s="4"/>
      <c r="V2770" s="4"/>
      <c r="W2770" s="4"/>
      <c r="X2770" s="4" t="s">
        <v>63</v>
      </c>
      <c r="Y2770" s="4" t="s">
        <v>11333</v>
      </c>
      <c r="Z2770" s="4" t="s">
        <v>63</v>
      </c>
      <c r="AA2770" s="4" t="s">
        <v>63</v>
      </c>
      <c r="AB2770" s="4" t="s">
        <v>63</v>
      </c>
      <c r="AC2770" s="4" t="s">
        <v>67</v>
      </c>
      <c r="AD2770" s="4" t="s">
        <v>63</v>
      </c>
      <c r="AE2770" s="4" t="s">
        <v>63</v>
      </c>
      <c r="AF2770" s="4" t="s">
        <v>63</v>
      </c>
      <c r="AG2770" s="4" t="s">
        <v>63</v>
      </c>
      <c r="AH2770" s="4" t="s">
        <v>63</v>
      </c>
      <c r="AI2770" s="4" t="s">
        <v>22926</v>
      </c>
      <c r="AJ2770" s="4" t="s">
        <v>63</v>
      </c>
      <c r="AK2770" s="4" t="s">
        <v>63</v>
      </c>
      <c r="AL2770" s="4" t="s">
        <v>63</v>
      </c>
      <c r="AM2770" s="4" t="s">
        <v>22919</v>
      </c>
      <c r="AN2770" s="4" t="s">
        <v>63</v>
      </c>
      <c r="AO2770" s="4" t="s">
        <v>63</v>
      </c>
      <c r="AP2770" s="4" t="s">
        <v>63</v>
      </c>
      <c r="AQ2770" s="4" t="s">
        <v>63</v>
      </c>
      <c r="AR2770" s="4" t="s">
        <v>63</v>
      </c>
      <c r="AS2770" s="4" t="s">
        <v>63</v>
      </c>
      <c r="AT2770" s="4" t="s">
        <v>63</v>
      </c>
      <c r="AU2770" s="4" t="s">
        <v>63</v>
      </c>
      <c r="AV2770" s="4" t="s">
        <v>63</v>
      </c>
      <c r="AW2770" s="4" t="s">
        <v>63</v>
      </c>
      <c r="AX2770" s="4" t="s">
        <v>63</v>
      </c>
      <c r="AY2770" s="4" t="s">
        <v>63</v>
      </c>
      <c r="AZ2770" s="4" t="s">
        <v>63</v>
      </c>
      <c r="BA2770" s="4" t="s">
        <v>63</v>
      </c>
      <c r="BB2770" s="4" t="s">
        <v>63</v>
      </c>
      <c r="BC2770" s="4" t="s">
        <v>63</v>
      </c>
      <c r="BD2770" s="4" t="s">
        <v>63</v>
      </c>
      <c r="BE2770" s="4" t="s">
        <v>63</v>
      </c>
      <c r="BF2770" s="4" t="s">
        <v>63</v>
      </c>
    </row>
    <row r="2771" spans="1:58">
      <c r="A2771" s="4" t="s">
        <v>58</v>
      </c>
      <c r="B2771" s="4" t="s">
        <v>22927</v>
      </c>
      <c r="C2771" s="4" t="s">
        <v>22928</v>
      </c>
      <c r="D2771" s="4" t="s">
        <v>938</v>
      </c>
      <c r="E2771" s="4" t="s">
        <v>63</v>
      </c>
      <c r="F2771" s="4">
        <v>1995</v>
      </c>
      <c r="G2771" s="4" t="s">
        <v>63</v>
      </c>
      <c r="H2771" s="4">
        <v>4</v>
      </c>
      <c r="I2771" s="4">
        <v>4</v>
      </c>
      <c r="J2771" s="4">
        <v>339</v>
      </c>
      <c r="K2771" s="4">
        <v>350</v>
      </c>
      <c r="L2771" s="4" t="s">
        <v>22929</v>
      </c>
      <c r="M2771" s="4" t="s">
        <v>22930</v>
      </c>
      <c r="N2771" s="4" t="s">
        <v>22931</v>
      </c>
      <c r="O2771" s="4" t="s">
        <v>63</v>
      </c>
      <c r="P2771" s="4"/>
      <c r="Q2771" s="4" t="s">
        <v>63</v>
      </c>
      <c r="R2771" s="4" t="s">
        <v>63</v>
      </c>
      <c r="S2771" s="4" t="s">
        <v>63</v>
      </c>
      <c r="T2771" s="4" t="s">
        <v>63</v>
      </c>
      <c r="U2771" s="4"/>
      <c r="V2771" s="4"/>
      <c r="W2771" s="4"/>
      <c r="X2771" s="4" t="s">
        <v>63</v>
      </c>
      <c r="Y2771" s="4" t="s">
        <v>2500</v>
      </c>
      <c r="Z2771" s="4" t="s">
        <v>63</v>
      </c>
      <c r="AA2771" s="4" t="s">
        <v>63</v>
      </c>
      <c r="AB2771" s="4" t="s">
        <v>22932</v>
      </c>
      <c r="AC2771" s="4" t="s">
        <v>67</v>
      </c>
      <c r="AD2771" s="4" t="s">
        <v>63</v>
      </c>
      <c r="AE2771" s="4" t="s">
        <v>63</v>
      </c>
      <c r="AF2771" s="4" t="s">
        <v>63</v>
      </c>
      <c r="AG2771" s="4" t="s">
        <v>63</v>
      </c>
      <c r="AH2771" s="4" t="s">
        <v>63</v>
      </c>
      <c r="AI2771" s="4" t="s">
        <v>63</v>
      </c>
      <c r="AJ2771" s="4" t="s">
        <v>63</v>
      </c>
      <c r="AK2771" s="4" t="s">
        <v>63</v>
      </c>
      <c r="AL2771" s="4" t="s">
        <v>63</v>
      </c>
      <c r="AM2771" s="4" t="s">
        <v>22928</v>
      </c>
      <c r="AN2771" s="4" t="s">
        <v>63</v>
      </c>
      <c r="AO2771" s="4" t="s">
        <v>63</v>
      </c>
      <c r="AP2771" s="4" t="s">
        <v>63</v>
      </c>
      <c r="AQ2771" s="4" t="s">
        <v>63</v>
      </c>
      <c r="AR2771" s="4" t="s">
        <v>63</v>
      </c>
      <c r="AS2771" s="4" t="s">
        <v>63</v>
      </c>
      <c r="AT2771" s="4" t="s">
        <v>63</v>
      </c>
      <c r="AU2771" s="4" t="s">
        <v>63</v>
      </c>
      <c r="AV2771" s="4" t="s">
        <v>63</v>
      </c>
      <c r="AW2771" s="4" t="s">
        <v>63</v>
      </c>
      <c r="AX2771" s="4" t="s">
        <v>63</v>
      </c>
      <c r="AY2771" s="4" t="s">
        <v>63</v>
      </c>
      <c r="AZ2771" s="4" t="s">
        <v>63</v>
      </c>
      <c r="BA2771" s="4" t="s">
        <v>63</v>
      </c>
      <c r="BB2771" s="4" t="s">
        <v>63</v>
      </c>
      <c r="BC2771" s="4" t="s">
        <v>63</v>
      </c>
      <c r="BD2771" s="4" t="s">
        <v>63</v>
      </c>
      <c r="BE2771" s="4" t="s">
        <v>63</v>
      </c>
      <c r="BF2771" s="4" t="s">
        <v>63</v>
      </c>
    </row>
    <row r="2772" spans="1:58">
      <c r="A2772" s="4" t="s">
        <v>58</v>
      </c>
      <c r="B2772" s="4" t="s">
        <v>22933</v>
      </c>
      <c r="C2772" s="4" t="s">
        <v>22934</v>
      </c>
      <c r="D2772" s="4" t="s">
        <v>371</v>
      </c>
      <c r="E2772" s="4" t="s">
        <v>63</v>
      </c>
      <c r="F2772" s="4">
        <v>2018</v>
      </c>
      <c r="G2772" s="4">
        <v>1</v>
      </c>
      <c r="H2772" s="4">
        <v>33</v>
      </c>
      <c r="I2772" s="4">
        <v>3</v>
      </c>
      <c r="J2772" s="4">
        <v>258</v>
      </c>
      <c r="K2772" s="4">
        <v>267</v>
      </c>
      <c r="L2772" s="4" t="s">
        <v>22935</v>
      </c>
      <c r="M2772" s="4" t="s">
        <v>22936</v>
      </c>
      <c r="N2772" s="4" t="s">
        <v>22937</v>
      </c>
      <c r="O2772" s="4" t="s">
        <v>63</v>
      </c>
      <c r="P2772" s="4"/>
      <c r="Q2772" s="4" t="s">
        <v>63</v>
      </c>
      <c r="R2772" s="4" t="s">
        <v>63</v>
      </c>
      <c r="S2772" s="4" t="s">
        <v>63</v>
      </c>
      <c r="T2772" s="4" t="s">
        <v>63</v>
      </c>
      <c r="U2772" s="4"/>
      <c r="V2772" s="4"/>
      <c r="W2772" s="4"/>
      <c r="X2772" s="4" t="s">
        <v>63</v>
      </c>
      <c r="Y2772" s="4" t="s">
        <v>22662</v>
      </c>
      <c r="Z2772" s="4" t="s">
        <v>63</v>
      </c>
      <c r="AA2772" s="4" t="s">
        <v>63</v>
      </c>
      <c r="AB2772" s="4" t="s">
        <v>22938</v>
      </c>
      <c r="AC2772" s="4" t="s">
        <v>67</v>
      </c>
      <c r="AD2772" s="4" t="s">
        <v>63</v>
      </c>
      <c r="AE2772" s="4" t="s">
        <v>63</v>
      </c>
      <c r="AF2772" s="4" t="s">
        <v>63</v>
      </c>
      <c r="AG2772" s="4" t="s">
        <v>63</v>
      </c>
      <c r="AH2772" s="4" t="s">
        <v>63</v>
      </c>
      <c r="AI2772" s="4" t="s">
        <v>22939</v>
      </c>
      <c r="AJ2772" s="4" t="s">
        <v>63</v>
      </c>
      <c r="AK2772" s="4" t="s">
        <v>63</v>
      </c>
      <c r="AL2772" s="4" t="s">
        <v>63</v>
      </c>
      <c r="AM2772" s="4" t="s">
        <v>22934</v>
      </c>
      <c r="AN2772" s="4" t="s">
        <v>63</v>
      </c>
      <c r="AO2772" s="4" t="s">
        <v>63</v>
      </c>
      <c r="AP2772" s="4" t="s">
        <v>63</v>
      </c>
      <c r="AQ2772" s="4" t="s">
        <v>63</v>
      </c>
      <c r="AR2772" s="4" t="s">
        <v>63</v>
      </c>
      <c r="AS2772" s="4" t="s">
        <v>63</v>
      </c>
      <c r="AT2772" s="4" t="s">
        <v>63</v>
      </c>
      <c r="AU2772" s="4" t="s">
        <v>63</v>
      </c>
      <c r="AV2772" s="4" t="s">
        <v>63</v>
      </c>
      <c r="AW2772" s="4" t="s">
        <v>63</v>
      </c>
      <c r="AX2772" s="4" t="s">
        <v>63</v>
      </c>
      <c r="AY2772" s="4" t="s">
        <v>63</v>
      </c>
      <c r="AZ2772" s="4" t="s">
        <v>63</v>
      </c>
      <c r="BA2772" s="4" t="s">
        <v>63</v>
      </c>
      <c r="BB2772" s="4" t="s">
        <v>63</v>
      </c>
      <c r="BC2772" s="4" t="s">
        <v>63</v>
      </c>
      <c r="BD2772" s="4" t="s">
        <v>63</v>
      </c>
      <c r="BE2772" s="4" t="s">
        <v>63</v>
      </c>
      <c r="BF2772" s="4" t="s">
        <v>63</v>
      </c>
    </row>
    <row r="2773" spans="1:58">
      <c r="A2773" s="4" t="s">
        <v>58</v>
      </c>
      <c r="B2773" s="4" t="s">
        <v>22940</v>
      </c>
      <c r="C2773" s="4" t="s">
        <v>22941</v>
      </c>
      <c r="D2773" s="4" t="s">
        <v>15482</v>
      </c>
      <c r="E2773" s="4" t="s">
        <v>63</v>
      </c>
      <c r="F2773" s="4">
        <v>2015</v>
      </c>
      <c r="G2773" s="4" t="s">
        <v>15155</v>
      </c>
      <c r="H2773" s="4" t="s">
        <v>22942</v>
      </c>
      <c r="I2773" s="4" t="s">
        <v>63</v>
      </c>
      <c r="J2773" s="4" t="s">
        <v>22943</v>
      </c>
      <c r="K2773" s="4" t="s">
        <v>63</v>
      </c>
      <c r="L2773" s="4" t="s">
        <v>22944</v>
      </c>
      <c r="M2773" s="4" t="s">
        <v>22945</v>
      </c>
      <c r="N2773" s="4" t="s">
        <v>22946</v>
      </c>
      <c r="O2773" s="4" t="s">
        <v>63</v>
      </c>
      <c r="P2773" s="4"/>
      <c r="Q2773" s="4" t="s">
        <v>63</v>
      </c>
      <c r="R2773" s="4" t="s">
        <v>63</v>
      </c>
      <c r="S2773" s="4" t="s">
        <v>63</v>
      </c>
      <c r="T2773" s="4" t="s">
        <v>63</v>
      </c>
      <c r="U2773" s="4"/>
      <c r="V2773" s="4"/>
      <c r="W2773" s="4"/>
      <c r="X2773" s="4" t="s">
        <v>63</v>
      </c>
      <c r="Y2773" s="4" t="s">
        <v>4853</v>
      </c>
      <c r="Z2773" s="4" t="s">
        <v>63</v>
      </c>
      <c r="AA2773" s="4" t="s">
        <v>63</v>
      </c>
      <c r="AB2773" s="4" t="s">
        <v>63</v>
      </c>
      <c r="AC2773" s="4" t="s">
        <v>67</v>
      </c>
      <c r="AD2773" s="4" t="s">
        <v>63</v>
      </c>
      <c r="AE2773" s="4" t="s">
        <v>63</v>
      </c>
      <c r="AF2773" s="4" t="s">
        <v>63</v>
      </c>
      <c r="AG2773" s="4" t="s">
        <v>63</v>
      </c>
      <c r="AH2773" s="4" t="s">
        <v>63</v>
      </c>
      <c r="AI2773" s="4" t="s">
        <v>22947</v>
      </c>
      <c r="AJ2773" s="4" t="s">
        <v>63</v>
      </c>
      <c r="AK2773" s="4" t="s">
        <v>63</v>
      </c>
      <c r="AL2773" s="4" t="s">
        <v>63</v>
      </c>
      <c r="AM2773" s="4" t="s">
        <v>22941</v>
      </c>
      <c r="AN2773" s="4" t="s">
        <v>63</v>
      </c>
      <c r="AO2773" s="4" t="s">
        <v>63</v>
      </c>
      <c r="AP2773" s="4" t="s">
        <v>63</v>
      </c>
      <c r="AQ2773" s="4" t="s">
        <v>63</v>
      </c>
      <c r="AR2773" s="4" t="s">
        <v>63</v>
      </c>
      <c r="AS2773" s="4" t="s">
        <v>63</v>
      </c>
      <c r="AT2773" s="4" t="s">
        <v>63</v>
      </c>
      <c r="AU2773" s="4" t="s">
        <v>63</v>
      </c>
      <c r="AV2773" s="4" t="s">
        <v>63</v>
      </c>
      <c r="AW2773" s="4" t="s">
        <v>63</v>
      </c>
      <c r="AX2773" s="4" t="s">
        <v>63</v>
      </c>
      <c r="AY2773" s="4" t="s">
        <v>63</v>
      </c>
      <c r="AZ2773" s="4" t="s">
        <v>63</v>
      </c>
      <c r="BA2773" s="4" t="s">
        <v>63</v>
      </c>
      <c r="BB2773" s="4" t="s">
        <v>63</v>
      </c>
      <c r="BC2773" s="4" t="s">
        <v>63</v>
      </c>
      <c r="BD2773" s="4" t="s">
        <v>63</v>
      </c>
      <c r="BE2773" s="4" t="s">
        <v>63</v>
      </c>
      <c r="BF2773" s="4" t="s">
        <v>63</v>
      </c>
    </row>
    <row r="2774" spans="1:58">
      <c r="A2774" s="4" t="s">
        <v>58</v>
      </c>
      <c r="B2774" s="4" t="s">
        <v>22948</v>
      </c>
      <c r="C2774" s="4" t="s">
        <v>22949</v>
      </c>
      <c r="D2774" s="4" t="s">
        <v>2593</v>
      </c>
      <c r="E2774" s="4" t="s">
        <v>63</v>
      </c>
      <c r="F2774" s="4">
        <v>2015</v>
      </c>
      <c r="G2774" s="4">
        <v>1</v>
      </c>
      <c r="H2774" s="4">
        <v>66</v>
      </c>
      <c r="I2774" s="4">
        <v>1</v>
      </c>
      <c r="J2774" s="4">
        <v>21</v>
      </c>
      <c r="K2774" s="4">
        <v>26</v>
      </c>
      <c r="L2774" s="4" t="s">
        <v>22950</v>
      </c>
      <c r="M2774" s="4" t="s">
        <v>22951</v>
      </c>
      <c r="N2774" s="4" t="s">
        <v>22952</v>
      </c>
      <c r="O2774" s="4" t="s">
        <v>63</v>
      </c>
      <c r="P2774" s="4"/>
      <c r="Q2774" s="4" t="s">
        <v>63</v>
      </c>
      <c r="R2774" s="4" t="s">
        <v>63</v>
      </c>
      <c r="S2774" s="4" t="s">
        <v>63</v>
      </c>
      <c r="T2774" s="4" t="s">
        <v>63</v>
      </c>
      <c r="U2774" s="4"/>
      <c r="V2774" s="4"/>
      <c r="W2774" s="4"/>
      <c r="X2774" s="4" t="s">
        <v>63</v>
      </c>
      <c r="Y2774" s="4" t="s">
        <v>22953</v>
      </c>
      <c r="Z2774" s="4" t="s">
        <v>63</v>
      </c>
      <c r="AA2774" s="4" t="s">
        <v>63</v>
      </c>
      <c r="AB2774" s="4">
        <v>2015084897</v>
      </c>
      <c r="AC2774" s="4" t="s">
        <v>67</v>
      </c>
      <c r="AD2774" s="4" t="s">
        <v>63</v>
      </c>
      <c r="AE2774" s="4" t="s">
        <v>63</v>
      </c>
      <c r="AF2774" s="4" t="s">
        <v>63</v>
      </c>
      <c r="AG2774" s="4" t="s">
        <v>22954</v>
      </c>
      <c r="AH2774" s="4" t="s">
        <v>63</v>
      </c>
      <c r="AI2774" s="4" t="s">
        <v>22955</v>
      </c>
      <c r="AJ2774" s="4" t="s">
        <v>63</v>
      </c>
      <c r="AK2774" s="4" t="s">
        <v>63</v>
      </c>
      <c r="AL2774" s="4" t="s">
        <v>63</v>
      </c>
      <c r="AM2774" s="4" t="s">
        <v>22956</v>
      </c>
      <c r="AN2774" s="4" t="s">
        <v>63</v>
      </c>
      <c r="AO2774" s="4" t="s">
        <v>63</v>
      </c>
      <c r="AP2774" s="4" t="s">
        <v>63</v>
      </c>
      <c r="AQ2774" s="4" t="s">
        <v>63</v>
      </c>
      <c r="AR2774" s="4" t="s">
        <v>63</v>
      </c>
      <c r="AS2774" s="4" t="s">
        <v>63</v>
      </c>
      <c r="AT2774" s="4" t="s">
        <v>63</v>
      </c>
      <c r="AU2774" s="4" t="s">
        <v>63</v>
      </c>
      <c r="AV2774" s="4" t="s">
        <v>63</v>
      </c>
      <c r="AW2774" s="4" t="s">
        <v>63</v>
      </c>
      <c r="AX2774" s="4" t="s">
        <v>63</v>
      </c>
      <c r="AY2774" s="4" t="s">
        <v>63</v>
      </c>
      <c r="AZ2774" s="4" t="s">
        <v>63</v>
      </c>
      <c r="BA2774" s="4" t="s">
        <v>63</v>
      </c>
      <c r="BB2774" s="4" t="s">
        <v>63</v>
      </c>
      <c r="BC2774" s="4" t="s">
        <v>63</v>
      </c>
      <c r="BD2774" s="4" t="s">
        <v>63</v>
      </c>
      <c r="BE2774" s="4" t="s">
        <v>63</v>
      </c>
      <c r="BF2774" s="4" t="s">
        <v>63</v>
      </c>
    </row>
    <row r="2775" spans="1:58">
      <c r="A2775" s="4" t="s">
        <v>58</v>
      </c>
      <c r="B2775" s="4" t="s">
        <v>22957</v>
      </c>
      <c r="C2775" s="4" t="s">
        <v>22958</v>
      </c>
      <c r="D2775" s="4" t="s">
        <v>2166</v>
      </c>
      <c r="E2775" s="4" t="s">
        <v>2167</v>
      </c>
      <c r="F2775" s="4">
        <v>1975</v>
      </c>
      <c r="G2775" s="4" t="s">
        <v>63</v>
      </c>
      <c r="H2775" s="4">
        <v>58</v>
      </c>
      <c r="I2775" s="4">
        <v>9</v>
      </c>
      <c r="J2775" s="4">
        <v>393</v>
      </c>
      <c r="K2775" s="4" t="s">
        <v>22959</v>
      </c>
      <c r="L2775" s="4" t="s">
        <v>22960</v>
      </c>
      <c r="M2775" s="4" t="s">
        <v>63</v>
      </c>
      <c r="N2775" s="4" t="s">
        <v>22961</v>
      </c>
      <c r="O2775" s="4" t="s">
        <v>63</v>
      </c>
      <c r="P2775" s="4"/>
      <c r="Q2775" s="4" t="s">
        <v>63</v>
      </c>
      <c r="R2775" s="4" t="s">
        <v>63</v>
      </c>
      <c r="S2775" s="4" t="s">
        <v>63</v>
      </c>
      <c r="T2775" s="4" t="s">
        <v>63</v>
      </c>
      <c r="U2775" s="4"/>
      <c r="V2775" s="4"/>
      <c r="W2775" s="4"/>
      <c r="X2775" s="4" t="s">
        <v>63</v>
      </c>
      <c r="Y2775" s="4" t="s">
        <v>2170</v>
      </c>
      <c r="Z2775" s="4" t="s">
        <v>63</v>
      </c>
      <c r="AA2775" s="4" t="s">
        <v>63</v>
      </c>
      <c r="AB2775" s="4" t="s">
        <v>22962</v>
      </c>
      <c r="AC2775" s="4" t="s">
        <v>67</v>
      </c>
      <c r="AD2775" s="4" t="s">
        <v>63</v>
      </c>
      <c r="AE2775" s="4" t="s">
        <v>63</v>
      </c>
      <c r="AF2775" s="4" t="s">
        <v>63</v>
      </c>
      <c r="AG2775" s="4" t="s">
        <v>63</v>
      </c>
      <c r="AH2775" s="4" t="s">
        <v>63</v>
      </c>
      <c r="AI2775" s="4" t="s">
        <v>63</v>
      </c>
      <c r="AJ2775" s="4" t="s">
        <v>63</v>
      </c>
      <c r="AK2775" s="4" t="s">
        <v>63</v>
      </c>
      <c r="AL2775" s="4" t="s">
        <v>63</v>
      </c>
      <c r="AM2775" s="4" t="s">
        <v>22958</v>
      </c>
      <c r="AN2775" s="4" t="s">
        <v>63</v>
      </c>
      <c r="AO2775" s="4" t="s">
        <v>63</v>
      </c>
      <c r="AP2775" s="4" t="s">
        <v>63</v>
      </c>
      <c r="AQ2775" s="4" t="s">
        <v>63</v>
      </c>
      <c r="AR2775" s="4" t="s">
        <v>63</v>
      </c>
      <c r="AS2775" s="4" t="s">
        <v>63</v>
      </c>
      <c r="AT2775" s="4" t="s">
        <v>63</v>
      </c>
      <c r="AU2775" s="4" t="s">
        <v>63</v>
      </c>
      <c r="AV2775" s="4" t="s">
        <v>63</v>
      </c>
      <c r="AW2775" s="4" t="s">
        <v>63</v>
      </c>
      <c r="AX2775" s="4" t="s">
        <v>63</v>
      </c>
      <c r="AY2775" s="4" t="s">
        <v>63</v>
      </c>
      <c r="AZ2775" s="4" t="s">
        <v>63</v>
      </c>
      <c r="BA2775" s="4" t="s">
        <v>63</v>
      </c>
      <c r="BB2775" s="4" t="s">
        <v>63</v>
      </c>
      <c r="BC2775" s="4" t="s">
        <v>63</v>
      </c>
      <c r="BD2775" s="4" t="s">
        <v>63</v>
      </c>
      <c r="BE2775" s="4" t="s">
        <v>63</v>
      </c>
      <c r="BF2775" s="4" t="s">
        <v>63</v>
      </c>
    </row>
    <row r="2776" spans="1:58">
      <c r="A2776" s="4" t="s">
        <v>58</v>
      </c>
      <c r="B2776" s="4" t="s">
        <v>22963</v>
      </c>
      <c r="C2776" s="4" t="s">
        <v>22964</v>
      </c>
      <c r="D2776" s="4" t="s">
        <v>22965</v>
      </c>
      <c r="E2776" s="4" t="s">
        <v>63</v>
      </c>
      <c r="F2776" s="4">
        <v>2017</v>
      </c>
      <c r="G2776" s="4" t="s">
        <v>63</v>
      </c>
      <c r="H2776" s="4" t="s">
        <v>22966</v>
      </c>
      <c r="I2776" s="4" t="s">
        <v>63</v>
      </c>
      <c r="J2776" s="4" t="s">
        <v>63</v>
      </c>
      <c r="K2776" s="4" t="s">
        <v>63</v>
      </c>
      <c r="L2776" s="4" t="s">
        <v>22967</v>
      </c>
      <c r="M2776" s="4" t="s">
        <v>22968</v>
      </c>
      <c r="N2776" s="4" t="s">
        <v>22969</v>
      </c>
      <c r="O2776" s="4" t="s">
        <v>63</v>
      </c>
      <c r="P2776" s="4"/>
      <c r="Q2776" s="4" t="s">
        <v>63</v>
      </c>
      <c r="R2776" s="4" t="s">
        <v>63</v>
      </c>
      <c r="S2776" s="4" t="s">
        <v>63</v>
      </c>
      <c r="T2776" s="4" t="s">
        <v>63</v>
      </c>
      <c r="U2776" s="4"/>
      <c r="V2776" s="4"/>
      <c r="W2776" s="4"/>
      <c r="X2776" s="4" t="s">
        <v>63</v>
      </c>
      <c r="Y2776" s="4" t="s">
        <v>22970</v>
      </c>
      <c r="Z2776" s="4" t="s">
        <v>63</v>
      </c>
      <c r="AA2776" s="4" t="s">
        <v>63</v>
      </c>
      <c r="AB2776" s="4" t="s">
        <v>63</v>
      </c>
      <c r="AC2776" s="4" t="s">
        <v>67</v>
      </c>
      <c r="AD2776" s="4" t="s">
        <v>63</v>
      </c>
      <c r="AE2776" s="4" t="s">
        <v>63</v>
      </c>
      <c r="AF2776" s="4" t="s">
        <v>63</v>
      </c>
      <c r="AG2776" s="4" t="s">
        <v>63</v>
      </c>
      <c r="AH2776" s="4" t="s">
        <v>63</v>
      </c>
      <c r="AI2776" s="4" t="s">
        <v>22971</v>
      </c>
      <c r="AJ2776" s="4" t="s">
        <v>63</v>
      </c>
      <c r="AK2776" s="4" t="s">
        <v>63</v>
      </c>
      <c r="AL2776" s="4" t="s">
        <v>63</v>
      </c>
      <c r="AM2776" s="4" t="s">
        <v>22964</v>
      </c>
      <c r="AN2776" s="4" t="s">
        <v>63</v>
      </c>
      <c r="AO2776" s="4" t="s">
        <v>63</v>
      </c>
      <c r="AP2776" s="4" t="s">
        <v>63</v>
      </c>
      <c r="AQ2776" s="4" t="s">
        <v>63</v>
      </c>
      <c r="AR2776" s="4" t="s">
        <v>63</v>
      </c>
      <c r="AS2776" s="4" t="s">
        <v>63</v>
      </c>
      <c r="AT2776" s="4" t="s">
        <v>63</v>
      </c>
      <c r="AU2776" s="4" t="s">
        <v>63</v>
      </c>
      <c r="AV2776" s="4" t="s">
        <v>63</v>
      </c>
      <c r="AW2776" s="4" t="s">
        <v>63</v>
      </c>
      <c r="AX2776" s="4" t="s">
        <v>63</v>
      </c>
      <c r="AY2776" s="4" t="s">
        <v>63</v>
      </c>
      <c r="AZ2776" s="4" t="s">
        <v>63</v>
      </c>
      <c r="BA2776" s="4" t="s">
        <v>63</v>
      </c>
      <c r="BB2776" s="4" t="s">
        <v>63</v>
      </c>
      <c r="BC2776" s="4" t="s">
        <v>63</v>
      </c>
      <c r="BD2776" s="4" t="s">
        <v>63</v>
      </c>
      <c r="BE2776" s="4" t="s">
        <v>63</v>
      </c>
      <c r="BF2776" s="4" t="s">
        <v>63</v>
      </c>
    </row>
    <row r="2777" spans="1:58">
      <c r="A2777" s="4" t="s">
        <v>58</v>
      </c>
      <c r="B2777" s="4" t="s">
        <v>22972</v>
      </c>
      <c r="C2777" s="4" t="s">
        <v>22973</v>
      </c>
      <c r="D2777" s="4" t="s">
        <v>13447</v>
      </c>
      <c r="E2777" s="4" t="s">
        <v>63</v>
      </c>
      <c r="F2777" s="4">
        <v>2013</v>
      </c>
      <c r="G2777" s="4" t="s">
        <v>15155</v>
      </c>
      <c r="H2777" s="4">
        <v>26</v>
      </c>
      <c r="I2777" s="4">
        <v>3</v>
      </c>
      <c r="J2777" s="4">
        <v>301</v>
      </c>
      <c r="K2777" s="4" t="s">
        <v>63</v>
      </c>
      <c r="L2777" s="4" t="s">
        <v>22974</v>
      </c>
      <c r="M2777" s="4" t="s">
        <v>22975</v>
      </c>
      <c r="N2777" s="4" t="s">
        <v>22976</v>
      </c>
      <c r="O2777" s="4" t="s">
        <v>63</v>
      </c>
      <c r="P2777" s="4"/>
      <c r="Q2777" s="4" t="s">
        <v>63</v>
      </c>
      <c r="R2777" s="4" t="s">
        <v>63</v>
      </c>
      <c r="S2777" s="4" t="s">
        <v>63</v>
      </c>
      <c r="T2777" s="4" t="s">
        <v>63</v>
      </c>
      <c r="U2777" s="4"/>
      <c r="V2777" s="4"/>
      <c r="W2777" s="4"/>
      <c r="X2777" s="4" t="s">
        <v>63</v>
      </c>
      <c r="Y2777" s="4" t="s">
        <v>16404</v>
      </c>
      <c r="Z2777" s="4" t="s">
        <v>63</v>
      </c>
      <c r="AA2777" s="4" t="s">
        <v>63</v>
      </c>
      <c r="AB2777" s="4" t="s">
        <v>63</v>
      </c>
      <c r="AC2777" s="4" t="s">
        <v>67</v>
      </c>
      <c r="AD2777" s="4" t="s">
        <v>63</v>
      </c>
      <c r="AE2777" s="4" t="s">
        <v>63</v>
      </c>
      <c r="AF2777" s="4" t="s">
        <v>63</v>
      </c>
      <c r="AG2777" s="4" t="s">
        <v>63</v>
      </c>
      <c r="AH2777" s="4" t="s">
        <v>63</v>
      </c>
      <c r="AI2777" s="4" t="s">
        <v>22977</v>
      </c>
      <c r="AJ2777" s="4" t="s">
        <v>63</v>
      </c>
      <c r="AK2777" s="4" t="s">
        <v>63</v>
      </c>
      <c r="AL2777" s="4" t="s">
        <v>63</v>
      </c>
      <c r="AM2777" s="4" t="s">
        <v>22973</v>
      </c>
      <c r="AN2777" s="4" t="s">
        <v>63</v>
      </c>
      <c r="AO2777" s="4" t="s">
        <v>63</v>
      </c>
      <c r="AP2777" s="4" t="s">
        <v>63</v>
      </c>
      <c r="AQ2777" s="4" t="s">
        <v>63</v>
      </c>
      <c r="AR2777" s="4" t="s">
        <v>63</v>
      </c>
      <c r="AS2777" s="4" t="s">
        <v>63</v>
      </c>
      <c r="AT2777" s="4" t="s">
        <v>63</v>
      </c>
      <c r="AU2777" s="4" t="s">
        <v>63</v>
      </c>
      <c r="AV2777" s="4" t="s">
        <v>63</v>
      </c>
      <c r="AW2777" s="4" t="s">
        <v>63</v>
      </c>
      <c r="AX2777" s="4" t="s">
        <v>63</v>
      </c>
      <c r="AY2777" s="4" t="s">
        <v>63</v>
      </c>
      <c r="AZ2777" s="4" t="s">
        <v>63</v>
      </c>
      <c r="BA2777" s="4" t="s">
        <v>63</v>
      </c>
      <c r="BB2777" s="4" t="s">
        <v>63</v>
      </c>
      <c r="BC2777" s="4" t="s">
        <v>63</v>
      </c>
      <c r="BD2777" s="4" t="s">
        <v>63</v>
      </c>
      <c r="BE2777" s="4" t="s">
        <v>63</v>
      </c>
      <c r="BF2777" s="4" t="s">
        <v>63</v>
      </c>
    </row>
    <row r="2778" spans="1:58">
      <c r="A2778" s="4" t="s">
        <v>58</v>
      </c>
      <c r="B2778" s="4" t="s">
        <v>22978</v>
      </c>
      <c r="C2778" s="4" t="s">
        <v>22979</v>
      </c>
      <c r="D2778" s="4" t="s">
        <v>243</v>
      </c>
      <c r="E2778" s="4" t="s">
        <v>243</v>
      </c>
      <c r="F2778" s="4">
        <v>2004</v>
      </c>
      <c r="G2778" s="4">
        <v>29</v>
      </c>
      <c r="H2778" s="4">
        <v>363</v>
      </c>
      <c r="I2778" s="4">
        <v>9423</v>
      </c>
      <c r="J2778" s="4">
        <v>1836</v>
      </c>
      <c r="K2778" s="4" t="s">
        <v>63</v>
      </c>
      <c r="L2778" s="4" t="s">
        <v>22980</v>
      </c>
      <c r="M2778" s="4" t="s">
        <v>63</v>
      </c>
      <c r="N2778" s="4" t="s">
        <v>22981</v>
      </c>
      <c r="O2778" s="4" t="s">
        <v>63</v>
      </c>
      <c r="P2778" s="4"/>
      <c r="Q2778" s="4" t="s">
        <v>63</v>
      </c>
      <c r="R2778" s="4" t="s">
        <v>63</v>
      </c>
      <c r="S2778" s="4" t="s">
        <v>63</v>
      </c>
      <c r="T2778" s="4" t="s">
        <v>63</v>
      </c>
      <c r="U2778" s="4"/>
      <c r="V2778" s="4"/>
      <c r="W2778" s="4"/>
      <c r="X2778" s="4" t="s">
        <v>63</v>
      </c>
      <c r="Y2778" s="4" t="s">
        <v>16425</v>
      </c>
      <c r="Z2778" s="4" t="s">
        <v>63</v>
      </c>
      <c r="AA2778" s="4" t="s">
        <v>63</v>
      </c>
      <c r="AB2778" s="4" t="s">
        <v>63</v>
      </c>
      <c r="AC2778" s="4" t="s">
        <v>67</v>
      </c>
      <c r="AD2778" s="4" t="s">
        <v>63</v>
      </c>
      <c r="AE2778" s="4" t="s">
        <v>63</v>
      </c>
      <c r="AF2778" s="4" t="s">
        <v>63</v>
      </c>
      <c r="AG2778" s="4" t="s">
        <v>22982</v>
      </c>
      <c r="AH2778" s="4" t="s">
        <v>63</v>
      </c>
      <c r="AI2778" s="4" t="s">
        <v>63</v>
      </c>
      <c r="AJ2778" s="4" t="s">
        <v>63</v>
      </c>
      <c r="AK2778" s="4" t="s">
        <v>63</v>
      </c>
      <c r="AL2778" s="4" t="s">
        <v>63</v>
      </c>
      <c r="AM2778" s="4" t="s">
        <v>22983</v>
      </c>
      <c r="AN2778" s="4" t="s">
        <v>63</v>
      </c>
      <c r="AO2778" s="4" t="s">
        <v>63</v>
      </c>
      <c r="AP2778" s="4" t="s">
        <v>63</v>
      </c>
      <c r="AQ2778" s="4" t="s">
        <v>63</v>
      </c>
      <c r="AR2778" s="4" t="s">
        <v>63</v>
      </c>
      <c r="AS2778" s="4" t="s">
        <v>63</v>
      </c>
      <c r="AT2778" s="4" t="s">
        <v>63</v>
      </c>
      <c r="AU2778" s="4" t="s">
        <v>63</v>
      </c>
      <c r="AV2778" s="4" t="s">
        <v>63</v>
      </c>
      <c r="AW2778" s="4" t="s">
        <v>63</v>
      </c>
      <c r="AX2778" s="4" t="s">
        <v>63</v>
      </c>
      <c r="AY2778" s="4" t="s">
        <v>63</v>
      </c>
      <c r="AZ2778" s="4" t="s">
        <v>63</v>
      </c>
      <c r="BA2778" s="4" t="s">
        <v>63</v>
      </c>
      <c r="BB2778" s="4" t="s">
        <v>63</v>
      </c>
      <c r="BC2778" s="4" t="s">
        <v>63</v>
      </c>
      <c r="BD2778" s="4" t="s">
        <v>63</v>
      </c>
      <c r="BE2778" s="4" t="s">
        <v>63</v>
      </c>
      <c r="BF2778" s="4" t="s">
        <v>63</v>
      </c>
    </row>
    <row r="2779" spans="1:58">
      <c r="A2779" s="4" t="s">
        <v>58</v>
      </c>
      <c r="B2779" s="4" t="s">
        <v>22984</v>
      </c>
      <c r="C2779" s="4" t="s">
        <v>22985</v>
      </c>
      <c r="D2779" s="4" t="s">
        <v>371</v>
      </c>
      <c r="E2779" s="4" t="s">
        <v>63</v>
      </c>
      <c r="F2779" s="4">
        <v>2011</v>
      </c>
      <c r="G2779" s="4" t="s">
        <v>189</v>
      </c>
      <c r="H2779" s="4" t="s">
        <v>17819</v>
      </c>
      <c r="I2779" s="4" t="s">
        <v>63</v>
      </c>
      <c r="J2779" s="4" t="s">
        <v>22986</v>
      </c>
      <c r="K2779" s="4" t="s">
        <v>63</v>
      </c>
      <c r="L2779" s="4" t="s">
        <v>22987</v>
      </c>
      <c r="M2779" s="4" t="s">
        <v>22988</v>
      </c>
      <c r="N2779" s="4" t="s">
        <v>22989</v>
      </c>
      <c r="O2779" s="4" t="s">
        <v>63</v>
      </c>
      <c r="P2779" s="4"/>
      <c r="Q2779" s="4" t="s">
        <v>63</v>
      </c>
      <c r="R2779" s="4" t="s">
        <v>63</v>
      </c>
      <c r="S2779" s="4" t="s">
        <v>63</v>
      </c>
      <c r="T2779" s="4" t="s">
        <v>63</v>
      </c>
      <c r="U2779" s="4"/>
      <c r="V2779" s="4"/>
      <c r="W2779" s="4"/>
      <c r="X2779" s="4" t="s">
        <v>63</v>
      </c>
      <c r="Y2779" s="4" t="s">
        <v>375</v>
      </c>
      <c r="Z2779" s="4" t="s">
        <v>63</v>
      </c>
      <c r="AA2779" s="4" t="s">
        <v>63</v>
      </c>
      <c r="AB2779" s="4" t="s">
        <v>63</v>
      </c>
      <c r="AC2779" s="4" t="s">
        <v>67</v>
      </c>
      <c r="AD2779" s="4" t="s">
        <v>63</v>
      </c>
      <c r="AE2779" s="4" t="s">
        <v>63</v>
      </c>
      <c r="AF2779" s="4" t="s">
        <v>63</v>
      </c>
      <c r="AG2779" s="4" t="s">
        <v>63</v>
      </c>
      <c r="AH2779" s="4" t="s">
        <v>63</v>
      </c>
      <c r="AI2779" s="4" t="s">
        <v>17824</v>
      </c>
      <c r="AJ2779" s="4" t="s">
        <v>63</v>
      </c>
      <c r="AK2779" s="4" t="s">
        <v>63</v>
      </c>
      <c r="AL2779" s="4" t="s">
        <v>63</v>
      </c>
      <c r="AM2779" s="4" t="s">
        <v>22985</v>
      </c>
      <c r="AN2779" s="4" t="s">
        <v>63</v>
      </c>
      <c r="AO2779" s="4" t="s">
        <v>63</v>
      </c>
      <c r="AP2779" s="4" t="s">
        <v>63</v>
      </c>
      <c r="AQ2779" s="4" t="s">
        <v>63</v>
      </c>
      <c r="AR2779" s="4" t="s">
        <v>63</v>
      </c>
      <c r="AS2779" s="4" t="s">
        <v>63</v>
      </c>
      <c r="AT2779" s="4" t="s">
        <v>63</v>
      </c>
      <c r="AU2779" s="4" t="s">
        <v>63</v>
      </c>
      <c r="AV2779" s="4" t="s">
        <v>63</v>
      </c>
      <c r="AW2779" s="4" t="s">
        <v>63</v>
      </c>
      <c r="AX2779" s="4" t="s">
        <v>63</v>
      </c>
      <c r="AY2779" s="4" t="s">
        <v>63</v>
      </c>
      <c r="AZ2779" s="4" t="s">
        <v>63</v>
      </c>
      <c r="BA2779" s="4" t="s">
        <v>63</v>
      </c>
      <c r="BB2779" s="4" t="s">
        <v>63</v>
      </c>
      <c r="BC2779" s="4" t="s">
        <v>63</v>
      </c>
      <c r="BD2779" s="4" t="s">
        <v>63</v>
      </c>
      <c r="BE2779" s="4" t="s">
        <v>63</v>
      </c>
      <c r="BF2779" s="4" t="s">
        <v>63</v>
      </c>
    </row>
    <row r="2780" spans="1:58">
      <c r="A2780" s="4" t="s">
        <v>58</v>
      </c>
      <c r="B2780" s="4" t="s">
        <v>22990</v>
      </c>
      <c r="C2780" s="4" t="s">
        <v>22991</v>
      </c>
      <c r="D2780" s="4" t="s">
        <v>16545</v>
      </c>
      <c r="E2780" s="4" t="s">
        <v>63</v>
      </c>
      <c r="F2780" s="4">
        <v>2016</v>
      </c>
      <c r="G2780" s="4">
        <v>1</v>
      </c>
      <c r="H2780" s="4">
        <v>7</v>
      </c>
      <c r="I2780" s="4">
        <v>1</v>
      </c>
      <c r="J2780" s="4">
        <v>18</v>
      </c>
      <c r="K2780" s="4">
        <v>21</v>
      </c>
      <c r="L2780" s="4" t="s">
        <v>22992</v>
      </c>
      <c r="M2780" s="4" t="s">
        <v>22993</v>
      </c>
      <c r="N2780" s="4" t="s">
        <v>22994</v>
      </c>
      <c r="O2780" s="4" t="s">
        <v>63</v>
      </c>
      <c r="P2780" s="4"/>
      <c r="Q2780" s="4" t="s">
        <v>63</v>
      </c>
      <c r="R2780" s="4" t="s">
        <v>63</v>
      </c>
      <c r="S2780" s="4" t="s">
        <v>63</v>
      </c>
      <c r="T2780" s="4" t="s">
        <v>63</v>
      </c>
      <c r="U2780" s="4"/>
      <c r="V2780" s="4"/>
      <c r="W2780" s="4"/>
      <c r="X2780" s="4" t="s">
        <v>63</v>
      </c>
      <c r="Y2780" s="4" t="s">
        <v>16549</v>
      </c>
      <c r="Z2780" s="4" t="s">
        <v>63</v>
      </c>
      <c r="AA2780" s="4" t="s">
        <v>63</v>
      </c>
      <c r="AB2780" s="4" t="s">
        <v>22995</v>
      </c>
      <c r="AC2780" s="4" t="s">
        <v>67</v>
      </c>
      <c r="AD2780" s="4" t="s">
        <v>63</v>
      </c>
      <c r="AE2780" s="4" t="s">
        <v>63</v>
      </c>
      <c r="AF2780" s="4" t="s">
        <v>63</v>
      </c>
      <c r="AG2780" s="4" t="s">
        <v>63</v>
      </c>
      <c r="AH2780" s="4" t="s">
        <v>63</v>
      </c>
      <c r="AI2780" s="4" t="s">
        <v>63</v>
      </c>
      <c r="AJ2780" s="4" t="s">
        <v>63</v>
      </c>
      <c r="AK2780" s="4" t="s">
        <v>63</v>
      </c>
      <c r="AL2780" s="4" t="s">
        <v>63</v>
      </c>
      <c r="AM2780" s="4" t="s">
        <v>22991</v>
      </c>
      <c r="AN2780" s="4" t="s">
        <v>63</v>
      </c>
      <c r="AO2780" s="4" t="s">
        <v>63</v>
      </c>
      <c r="AP2780" s="4" t="s">
        <v>63</v>
      </c>
      <c r="AQ2780" s="4" t="s">
        <v>63</v>
      </c>
      <c r="AR2780" s="4" t="s">
        <v>63</v>
      </c>
      <c r="AS2780" s="4" t="s">
        <v>63</v>
      </c>
      <c r="AT2780" s="4" t="s">
        <v>63</v>
      </c>
      <c r="AU2780" s="4" t="s">
        <v>63</v>
      </c>
      <c r="AV2780" s="4" t="s">
        <v>63</v>
      </c>
      <c r="AW2780" s="4" t="s">
        <v>63</v>
      </c>
      <c r="AX2780" s="4" t="s">
        <v>63</v>
      </c>
      <c r="AY2780" s="4" t="s">
        <v>63</v>
      </c>
      <c r="AZ2780" s="4" t="s">
        <v>63</v>
      </c>
      <c r="BA2780" s="4" t="s">
        <v>63</v>
      </c>
      <c r="BB2780" s="4" t="s">
        <v>63</v>
      </c>
      <c r="BC2780" s="4" t="s">
        <v>63</v>
      </c>
      <c r="BD2780" s="4" t="s">
        <v>63</v>
      </c>
      <c r="BE2780" s="4" t="s">
        <v>63</v>
      </c>
      <c r="BF2780" s="4" t="s">
        <v>63</v>
      </c>
    </row>
    <row r="2781" spans="1:58">
      <c r="A2781" s="4" t="s">
        <v>58</v>
      </c>
      <c r="B2781" s="4" t="s">
        <v>22996</v>
      </c>
      <c r="C2781" s="4" t="s">
        <v>22997</v>
      </c>
      <c r="D2781" s="4" t="s">
        <v>18452</v>
      </c>
      <c r="E2781" s="4" t="s">
        <v>18453</v>
      </c>
      <c r="F2781" s="4">
        <v>2011</v>
      </c>
      <c r="G2781" s="4" t="s">
        <v>15508</v>
      </c>
      <c r="H2781" s="4">
        <v>59</v>
      </c>
      <c r="I2781" s="4">
        <v>1</v>
      </c>
      <c r="J2781" s="4">
        <v>210</v>
      </c>
      <c r="K2781" s="4" t="s">
        <v>63</v>
      </c>
      <c r="L2781" s="4" t="s">
        <v>22998</v>
      </c>
      <c r="M2781" s="4" t="s">
        <v>22999</v>
      </c>
      <c r="N2781" s="4" t="s">
        <v>23000</v>
      </c>
      <c r="O2781" s="4" t="s">
        <v>63</v>
      </c>
      <c r="P2781" s="4"/>
      <c r="Q2781" s="4" t="s">
        <v>63</v>
      </c>
      <c r="R2781" s="4" t="s">
        <v>63</v>
      </c>
      <c r="S2781" s="4" t="s">
        <v>63</v>
      </c>
      <c r="T2781" s="4" t="s">
        <v>63</v>
      </c>
      <c r="U2781" s="4"/>
      <c r="V2781" s="4"/>
      <c r="W2781" s="4"/>
      <c r="X2781" s="4" t="s">
        <v>63</v>
      </c>
      <c r="Y2781" s="4" t="s">
        <v>18457</v>
      </c>
      <c r="Z2781" s="4" t="s">
        <v>63</v>
      </c>
      <c r="AA2781" s="4" t="s">
        <v>63</v>
      </c>
      <c r="AB2781" s="4" t="s">
        <v>63</v>
      </c>
      <c r="AC2781" s="4" t="s">
        <v>67</v>
      </c>
      <c r="AD2781" s="4" t="s">
        <v>63</v>
      </c>
      <c r="AE2781" s="4" t="s">
        <v>63</v>
      </c>
      <c r="AF2781" s="4" t="s">
        <v>63</v>
      </c>
      <c r="AG2781" s="4" t="s">
        <v>63</v>
      </c>
      <c r="AH2781" s="4" t="s">
        <v>63</v>
      </c>
      <c r="AI2781" s="4" t="s">
        <v>23001</v>
      </c>
      <c r="AJ2781" s="4" t="s">
        <v>63</v>
      </c>
      <c r="AK2781" s="4" t="s">
        <v>63</v>
      </c>
      <c r="AL2781" s="4" t="s">
        <v>63</v>
      </c>
      <c r="AM2781" s="4" t="s">
        <v>22997</v>
      </c>
      <c r="AN2781" s="4" t="s">
        <v>63</v>
      </c>
      <c r="AO2781" s="4" t="s">
        <v>63</v>
      </c>
      <c r="AP2781" s="4" t="s">
        <v>63</v>
      </c>
      <c r="AQ2781" s="4" t="s">
        <v>63</v>
      </c>
      <c r="AR2781" s="4" t="s">
        <v>63</v>
      </c>
      <c r="AS2781" s="4" t="s">
        <v>63</v>
      </c>
      <c r="AT2781" s="4" t="s">
        <v>63</v>
      </c>
      <c r="AU2781" s="4" t="s">
        <v>63</v>
      </c>
      <c r="AV2781" s="4" t="s">
        <v>63</v>
      </c>
      <c r="AW2781" s="4" t="s">
        <v>63</v>
      </c>
      <c r="AX2781" s="4" t="s">
        <v>63</v>
      </c>
      <c r="AY2781" s="4" t="s">
        <v>63</v>
      </c>
      <c r="AZ2781" s="4" t="s">
        <v>63</v>
      </c>
      <c r="BA2781" s="4" t="s">
        <v>63</v>
      </c>
      <c r="BB2781" s="4" t="s">
        <v>63</v>
      </c>
      <c r="BC2781" s="4" t="s">
        <v>63</v>
      </c>
      <c r="BD2781" s="4" t="s">
        <v>63</v>
      </c>
      <c r="BE2781" s="4" t="s">
        <v>63</v>
      </c>
      <c r="BF2781" s="4" t="s">
        <v>63</v>
      </c>
    </row>
    <row r="2782" spans="1:58">
      <c r="A2782" s="4" t="s">
        <v>58</v>
      </c>
      <c r="B2782" s="4" t="s">
        <v>23002</v>
      </c>
      <c r="C2782" s="4" t="s">
        <v>23003</v>
      </c>
      <c r="D2782" s="4" t="s">
        <v>21586</v>
      </c>
      <c r="E2782" s="4" t="s">
        <v>21587</v>
      </c>
      <c r="F2782" s="4">
        <v>2014</v>
      </c>
      <c r="G2782" s="4" t="s">
        <v>15358</v>
      </c>
      <c r="H2782" s="4" t="s">
        <v>16988</v>
      </c>
      <c r="I2782" s="4" t="s">
        <v>63</v>
      </c>
      <c r="J2782" s="4">
        <v>151</v>
      </c>
      <c r="K2782" s="4">
        <v>152</v>
      </c>
      <c r="L2782" s="4" t="s">
        <v>23004</v>
      </c>
      <c r="M2782" s="4" t="s">
        <v>23005</v>
      </c>
      <c r="N2782" s="4" t="s">
        <v>23006</v>
      </c>
      <c r="O2782" s="4" t="s">
        <v>63</v>
      </c>
      <c r="P2782" s="4"/>
      <c r="Q2782" s="4" t="s">
        <v>63</v>
      </c>
      <c r="R2782" s="4" t="s">
        <v>63</v>
      </c>
      <c r="S2782" s="4" t="s">
        <v>63</v>
      </c>
      <c r="T2782" s="4" t="s">
        <v>63</v>
      </c>
      <c r="U2782" s="4"/>
      <c r="V2782" s="4"/>
      <c r="W2782" s="4"/>
      <c r="X2782" s="4" t="s">
        <v>63</v>
      </c>
      <c r="Y2782" s="4" t="s">
        <v>21591</v>
      </c>
      <c r="Z2782" s="4" t="s">
        <v>63</v>
      </c>
      <c r="AA2782" s="4" t="s">
        <v>63</v>
      </c>
      <c r="AB2782" s="4" t="s">
        <v>63</v>
      </c>
      <c r="AC2782" s="4" t="s">
        <v>67</v>
      </c>
      <c r="AD2782" s="4" t="s">
        <v>63</v>
      </c>
      <c r="AE2782" s="4" t="s">
        <v>63</v>
      </c>
      <c r="AF2782" s="4" t="s">
        <v>63</v>
      </c>
      <c r="AG2782" s="4" t="s">
        <v>63</v>
      </c>
      <c r="AH2782" s="4" t="s">
        <v>63</v>
      </c>
      <c r="AI2782" s="4" t="s">
        <v>21592</v>
      </c>
      <c r="AJ2782" s="4" t="s">
        <v>63</v>
      </c>
      <c r="AK2782" s="4" t="s">
        <v>63</v>
      </c>
      <c r="AL2782" s="4" t="s">
        <v>63</v>
      </c>
      <c r="AM2782" s="4" t="s">
        <v>23003</v>
      </c>
      <c r="AN2782" s="4" t="s">
        <v>63</v>
      </c>
      <c r="AO2782" s="4" t="s">
        <v>63</v>
      </c>
      <c r="AP2782" s="4" t="s">
        <v>63</v>
      </c>
      <c r="AQ2782" s="4" t="s">
        <v>63</v>
      </c>
      <c r="AR2782" s="4" t="s">
        <v>63</v>
      </c>
      <c r="AS2782" s="4" t="s">
        <v>63</v>
      </c>
      <c r="AT2782" s="4" t="s">
        <v>63</v>
      </c>
      <c r="AU2782" s="4" t="s">
        <v>63</v>
      </c>
      <c r="AV2782" s="4" t="s">
        <v>63</v>
      </c>
      <c r="AW2782" s="4" t="s">
        <v>63</v>
      </c>
      <c r="AX2782" s="4" t="s">
        <v>63</v>
      </c>
      <c r="AY2782" s="4" t="s">
        <v>63</v>
      </c>
      <c r="AZ2782" s="4" t="s">
        <v>63</v>
      </c>
      <c r="BA2782" s="4" t="s">
        <v>63</v>
      </c>
      <c r="BB2782" s="4" t="s">
        <v>63</v>
      </c>
      <c r="BC2782" s="4" t="s">
        <v>63</v>
      </c>
      <c r="BD2782" s="4" t="s">
        <v>63</v>
      </c>
      <c r="BE2782" s="4" t="s">
        <v>63</v>
      </c>
      <c r="BF2782" s="4" t="s">
        <v>63</v>
      </c>
    </row>
    <row r="2783" spans="1:58">
      <c r="A2783" s="4" t="s">
        <v>58</v>
      </c>
      <c r="B2783" s="4" t="s">
        <v>23007</v>
      </c>
      <c r="C2783" s="4" t="s">
        <v>23008</v>
      </c>
      <c r="D2783" s="4" t="s">
        <v>15298</v>
      </c>
      <c r="E2783" s="4" t="s">
        <v>15299</v>
      </c>
      <c r="F2783" s="4">
        <v>2014</v>
      </c>
      <c r="G2783" s="4" t="s">
        <v>15155</v>
      </c>
      <c r="H2783" s="4">
        <v>89</v>
      </c>
      <c r="I2783" s="4">
        <v>6</v>
      </c>
      <c r="J2783" s="4" t="s">
        <v>23009</v>
      </c>
      <c r="K2783" s="4" t="s">
        <v>63</v>
      </c>
      <c r="L2783" s="4" t="s">
        <v>23010</v>
      </c>
      <c r="M2783" s="4" t="s">
        <v>23011</v>
      </c>
      <c r="N2783" s="4" t="s">
        <v>23012</v>
      </c>
      <c r="O2783" s="4" t="s">
        <v>63</v>
      </c>
      <c r="P2783" s="4"/>
      <c r="Q2783" s="4" t="s">
        <v>63</v>
      </c>
      <c r="R2783" s="4" t="s">
        <v>63</v>
      </c>
      <c r="S2783" s="4" t="s">
        <v>63</v>
      </c>
      <c r="T2783" s="4" t="s">
        <v>63</v>
      </c>
      <c r="U2783" s="4"/>
      <c r="V2783" s="4"/>
      <c r="W2783" s="4"/>
      <c r="X2783" s="4" t="s">
        <v>63</v>
      </c>
      <c r="Y2783" s="4" t="s">
        <v>15305</v>
      </c>
      <c r="Z2783" s="4" t="s">
        <v>63</v>
      </c>
      <c r="AA2783" s="4" t="s">
        <v>63</v>
      </c>
      <c r="AB2783" s="4" t="s">
        <v>63</v>
      </c>
      <c r="AC2783" s="4" t="s">
        <v>67</v>
      </c>
      <c r="AD2783" s="4" t="s">
        <v>63</v>
      </c>
      <c r="AE2783" s="4" t="s">
        <v>63</v>
      </c>
      <c r="AF2783" s="4" t="s">
        <v>63</v>
      </c>
      <c r="AG2783" s="4" t="s">
        <v>63</v>
      </c>
      <c r="AH2783" s="4" t="s">
        <v>63</v>
      </c>
      <c r="AI2783" s="4" t="s">
        <v>23013</v>
      </c>
      <c r="AJ2783" s="4" t="s">
        <v>63</v>
      </c>
      <c r="AK2783" s="4" t="s">
        <v>63</v>
      </c>
      <c r="AL2783" s="4" t="s">
        <v>63</v>
      </c>
      <c r="AM2783" s="4" t="s">
        <v>23008</v>
      </c>
      <c r="AN2783" s="4" t="s">
        <v>63</v>
      </c>
      <c r="AO2783" s="4" t="s">
        <v>63</v>
      </c>
      <c r="AP2783" s="4" t="s">
        <v>63</v>
      </c>
      <c r="AQ2783" s="4" t="s">
        <v>63</v>
      </c>
      <c r="AR2783" s="4" t="s">
        <v>63</v>
      </c>
      <c r="AS2783" s="4" t="s">
        <v>63</v>
      </c>
      <c r="AT2783" s="4" t="s">
        <v>63</v>
      </c>
      <c r="AU2783" s="4" t="s">
        <v>63</v>
      </c>
      <c r="AV2783" s="4" t="s">
        <v>63</v>
      </c>
      <c r="AW2783" s="4" t="s">
        <v>63</v>
      </c>
      <c r="AX2783" s="4" t="s">
        <v>63</v>
      </c>
      <c r="AY2783" s="4" t="s">
        <v>63</v>
      </c>
      <c r="AZ2783" s="4" t="s">
        <v>63</v>
      </c>
      <c r="BA2783" s="4" t="s">
        <v>63</v>
      </c>
      <c r="BB2783" s="4" t="s">
        <v>63</v>
      </c>
      <c r="BC2783" s="4" t="s">
        <v>63</v>
      </c>
      <c r="BD2783" s="4" t="s">
        <v>63</v>
      </c>
      <c r="BE2783" s="4" t="s">
        <v>63</v>
      </c>
      <c r="BF2783" s="4" t="s">
        <v>63</v>
      </c>
    </row>
    <row r="2784" spans="1:58">
      <c r="A2784" s="4" t="s">
        <v>58</v>
      </c>
      <c r="B2784" s="4" t="s">
        <v>23014</v>
      </c>
      <c r="C2784" s="4" t="s">
        <v>23015</v>
      </c>
      <c r="D2784" s="4" t="s">
        <v>22055</v>
      </c>
      <c r="E2784" s="4" t="s">
        <v>63</v>
      </c>
      <c r="F2784" s="4">
        <v>2011</v>
      </c>
      <c r="G2784" s="4" t="s">
        <v>63</v>
      </c>
      <c r="H2784" s="4">
        <v>13</v>
      </c>
      <c r="I2784" s="4">
        <v>5</v>
      </c>
      <c r="J2784" s="4">
        <v>213</v>
      </c>
      <c r="K2784" s="4">
        <v>226</v>
      </c>
      <c r="L2784" s="4" t="s">
        <v>23016</v>
      </c>
      <c r="M2784" s="4" t="s">
        <v>23017</v>
      </c>
      <c r="N2784" s="4" t="s">
        <v>23018</v>
      </c>
      <c r="O2784" s="4" t="s">
        <v>63</v>
      </c>
      <c r="P2784" s="4"/>
      <c r="Q2784" s="4" t="s">
        <v>63</v>
      </c>
      <c r="R2784" s="4" t="s">
        <v>63</v>
      </c>
      <c r="S2784" s="4" t="s">
        <v>63</v>
      </c>
      <c r="T2784" s="4" t="s">
        <v>63</v>
      </c>
      <c r="U2784" s="4"/>
      <c r="V2784" s="4"/>
      <c r="W2784" s="4"/>
      <c r="X2784" s="4" t="s">
        <v>63</v>
      </c>
      <c r="Y2784" s="4" t="s">
        <v>22059</v>
      </c>
      <c r="Z2784" s="4" t="s">
        <v>63</v>
      </c>
      <c r="AA2784" s="4" t="s">
        <v>63</v>
      </c>
      <c r="AB2784" s="4" t="s">
        <v>23019</v>
      </c>
      <c r="AC2784" s="4" t="s">
        <v>102</v>
      </c>
      <c r="AD2784" s="4" t="s">
        <v>63</v>
      </c>
      <c r="AE2784" s="4" t="s">
        <v>63</v>
      </c>
      <c r="AF2784" s="4" t="s">
        <v>63</v>
      </c>
      <c r="AG2784" s="4" t="s">
        <v>63</v>
      </c>
      <c r="AH2784" s="4" t="s">
        <v>63</v>
      </c>
      <c r="AI2784" s="4" t="s">
        <v>63</v>
      </c>
      <c r="AJ2784" s="4" t="s">
        <v>63</v>
      </c>
      <c r="AK2784" s="4" t="s">
        <v>63</v>
      </c>
      <c r="AL2784" s="4" t="s">
        <v>63</v>
      </c>
      <c r="AM2784" s="4" t="s">
        <v>23015</v>
      </c>
      <c r="AN2784" s="4" t="s">
        <v>63</v>
      </c>
      <c r="AO2784" s="4" t="s">
        <v>63</v>
      </c>
      <c r="AP2784" s="4" t="s">
        <v>63</v>
      </c>
      <c r="AQ2784" s="4" t="s">
        <v>63</v>
      </c>
      <c r="AR2784" s="4" t="s">
        <v>63</v>
      </c>
      <c r="AS2784" s="4" t="s">
        <v>63</v>
      </c>
      <c r="AT2784" s="4" t="s">
        <v>63</v>
      </c>
      <c r="AU2784" s="4" t="s">
        <v>63</v>
      </c>
      <c r="AV2784" s="4" t="s">
        <v>63</v>
      </c>
      <c r="AW2784" s="4" t="s">
        <v>63</v>
      </c>
      <c r="AX2784" s="4" t="s">
        <v>63</v>
      </c>
      <c r="AY2784" s="4" t="s">
        <v>63</v>
      </c>
      <c r="AZ2784" s="4" t="s">
        <v>63</v>
      </c>
      <c r="BA2784" s="4" t="s">
        <v>63</v>
      </c>
      <c r="BB2784" s="4" t="s">
        <v>63</v>
      </c>
      <c r="BC2784" s="4" t="s">
        <v>63</v>
      </c>
      <c r="BD2784" s="4" t="s">
        <v>63</v>
      </c>
      <c r="BE2784" s="4" t="s">
        <v>63</v>
      </c>
      <c r="BF2784" s="4" t="s">
        <v>63</v>
      </c>
    </row>
    <row r="2785" spans="1:58">
      <c r="A2785" s="4" t="s">
        <v>58</v>
      </c>
      <c r="B2785" s="4" t="s">
        <v>23020</v>
      </c>
      <c r="C2785" s="4" t="s">
        <v>23021</v>
      </c>
      <c r="D2785" s="4" t="s">
        <v>15876</v>
      </c>
      <c r="E2785" s="4" t="s">
        <v>63</v>
      </c>
      <c r="F2785" s="4">
        <v>2008</v>
      </c>
      <c r="G2785" s="4" t="s">
        <v>63</v>
      </c>
      <c r="H2785" s="4">
        <v>65</v>
      </c>
      <c r="I2785" s="4">
        <v>10</v>
      </c>
      <c r="J2785" s="4">
        <v>585</v>
      </c>
      <c r="K2785" s="4">
        <v>587</v>
      </c>
      <c r="L2785" s="4" t="s">
        <v>23022</v>
      </c>
      <c r="M2785" s="4" t="s">
        <v>23023</v>
      </c>
      <c r="N2785" s="4" t="s">
        <v>23024</v>
      </c>
      <c r="O2785" s="4" t="s">
        <v>63</v>
      </c>
      <c r="P2785" s="4"/>
      <c r="Q2785" s="4" t="s">
        <v>63</v>
      </c>
      <c r="R2785" s="4" t="s">
        <v>63</v>
      </c>
      <c r="S2785" s="4" t="s">
        <v>63</v>
      </c>
      <c r="T2785" s="4" t="s">
        <v>63</v>
      </c>
      <c r="U2785" s="4"/>
      <c r="V2785" s="4"/>
      <c r="W2785" s="4"/>
      <c r="X2785" s="4" t="s">
        <v>63</v>
      </c>
      <c r="Y2785" s="4" t="s">
        <v>694</v>
      </c>
      <c r="Z2785" s="4" t="s">
        <v>63</v>
      </c>
      <c r="AA2785" s="4" t="s">
        <v>63</v>
      </c>
      <c r="AB2785" s="4" t="s">
        <v>63</v>
      </c>
      <c r="AC2785" s="4" t="s">
        <v>696</v>
      </c>
      <c r="AD2785" s="4" t="s">
        <v>63</v>
      </c>
      <c r="AE2785" s="4" t="s">
        <v>63</v>
      </c>
      <c r="AF2785" s="4" t="s">
        <v>63</v>
      </c>
      <c r="AG2785" s="4" t="s">
        <v>23025</v>
      </c>
      <c r="AH2785" s="4" t="s">
        <v>63</v>
      </c>
      <c r="AI2785" s="4" t="s">
        <v>63</v>
      </c>
      <c r="AJ2785" s="4" t="s">
        <v>63</v>
      </c>
      <c r="AK2785" s="4" t="s">
        <v>63</v>
      </c>
      <c r="AL2785" s="4" t="s">
        <v>63</v>
      </c>
      <c r="AM2785" s="4" t="s">
        <v>23026</v>
      </c>
      <c r="AN2785" s="4" t="s">
        <v>63</v>
      </c>
      <c r="AO2785" s="4" t="s">
        <v>63</v>
      </c>
      <c r="AP2785" s="4" t="s">
        <v>63</v>
      </c>
      <c r="AQ2785" s="4" t="s">
        <v>63</v>
      </c>
      <c r="AR2785" s="4" t="s">
        <v>63</v>
      </c>
      <c r="AS2785" s="4" t="s">
        <v>63</v>
      </c>
      <c r="AT2785" s="4" t="s">
        <v>63</v>
      </c>
      <c r="AU2785" s="4" t="s">
        <v>63</v>
      </c>
      <c r="AV2785" s="4" t="s">
        <v>63</v>
      </c>
      <c r="AW2785" s="4" t="s">
        <v>63</v>
      </c>
      <c r="AX2785" s="4" t="s">
        <v>63</v>
      </c>
      <c r="AY2785" s="4" t="s">
        <v>63</v>
      </c>
      <c r="AZ2785" s="4" t="s">
        <v>63</v>
      </c>
      <c r="BA2785" s="4" t="s">
        <v>63</v>
      </c>
      <c r="BB2785" s="4" t="s">
        <v>63</v>
      </c>
      <c r="BC2785" s="4" t="s">
        <v>63</v>
      </c>
      <c r="BD2785" s="4" t="s">
        <v>63</v>
      </c>
      <c r="BE2785" s="4" t="s">
        <v>63</v>
      </c>
      <c r="BF2785" s="4" t="s">
        <v>63</v>
      </c>
    </row>
    <row r="2786" spans="1:58">
      <c r="A2786" s="4" t="s">
        <v>58</v>
      </c>
      <c r="B2786" s="4" t="s">
        <v>23027</v>
      </c>
      <c r="C2786" s="4" t="s">
        <v>23028</v>
      </c>
      <c r="D2786" s="4" t="s">
        <v>15876</v>
      </c>
      <c r="E2786" s="4" t="s">
        <v>63</v>
      </c>
      <c r="F2786" s="4">
        <v>2009</v>
      </c>
      <c r="G2786" s="4" t="s">
        <v>63</v>
      </c>
      <c r="H2786" s="4">
        <v>66</v>
      </c>
      <c r="I2786" s="4">
        <v>10</v>
      </c>
      <c r="J2786" s="4">
        <v>813</v>
      </c>
      <c r="K2786" s="4">
        <v>815</v>
      </c>
      <c r="L2786" s="4" t="s">
        <v>23029</v>
      </c>
      <c r="M2786" s="4" t="s">
        <v>23030</v>
      </c>
      <c r="N2786" s="4" t="s">
        <v>23031</v>
      </c>
      <c r="O2786" s="4" t="s">
        <v>63</v>
      </c>
      <c r="P2786" s="4"/>
      <c r="Q2786" s="4" t="s">
        <v>63</v>
      </c>
      <c r="R2786" s="4" t="s">
        <v>63</v>
      </c>
      <c r="S2786" s="4" t="s">
        <v>63</v>
      </c>
      <c r="T2786" s="4" t="s">
        <v>63</v>
      </c>
      <c r="U2786" s="4"/>
      <c r="V2786" s="4"/>
      <c r="W2786" s="4"/>
      <c r="X2786" s="4" t="s">
        <v>63</v>
      </c>
      <c r="Y2786" s="4" t="s">
        <v>694</v>
      </c>
      <c r="Z2786" s="4" t="s">
        <v>63</v>
      </c>
      <c r="AA2786" s="4" t="s">
        <v>63</v>
      </c>
      <c r="AB2786" s="4" t="s">
        <v>63</v>
      </c>
      <c r="AC2786" s="4" t="s">
        <v>696</v>
      </c>
      <c r="AD2786" s="4" t="s">
        <v>63</v>
      </c>
      <c r="AE2786" s="4" t="s">
        <v>63</v>
      </c>
      <c r="AF2786" s="4" t="s">
        <v>63</v>
      </c>
      <c r="AG2786" s="4" t="s">
        <v>23032</v>
      </c>
      <c r="AH2786" s="4" t="s">
        <v>63</v>
      </c>
      <c r="AI2786" s="4" t="s">
        <v>63</v>
      </c>
      <c r="AJ2786" s="4" t="s">
        <v>63</v>
      </c>
      <c r="AK2786" s="4" t="s">
        <v>63</v>
      </c>
      <c r="AL2786" s="4" t="s">
        <v>63</v>
      </c>
      <c r="AM2786" s="4" t="s">
        <v>23033</v>
      </c>
      <c r="AN2786" s="4" t="s">
        <v>63</v>
      </c>
      <c r="AO2786" s="4" t="s">
        <v>63</v>
      </c>
      <c r="AP2786" s="4" t="s">
        <v>63</v>
      </c>
      <c r="AQ2786" s="4" t="s">
        <v>63</v>
      </c>
      <c r="AR2786" s="4" t="s">
        <v>63</v>
      </c>
      <c r="AS2786" s="4" t="s">
        <v>63</v>
      </c>
      <c r="AT2786" s="4" t="s">
        <v>63</v>
      </c>
      <c r="AU2786" s="4" t="s">
        <v>63</v>
      </c>
      <c r="AV2786" s="4" t="s">
        <v>63</v>
      </c>
      <c r="AW2786" s="4" t="s">
        <v>63</v>
      </c>
      <c r="AX2786" s="4" t="s">
        <v>63</v>
      </c>
      <c r="AY2786" s="4" t="s">
        <v>63</v>
      </c>
      <c r="AZ2786" s="4" t="s">
        <v>63</v>
      </c>
      <c r="BA2786" s="4" t="s">
        <v>63</v>
      </c>
      <c r="BB2786" s="4" t="s">
        <v>63</v>
      </c>
      <c r="BC2786" s="4" t="s">
        <v>63</v>
      </c>
      <c r="BD2786" s="4" t="s">
        <v>63</v>
      </c>
      <c r="BE2786" s="4" t="s">
        <v>63</v>
      </c>
      <c r="BF2786" s="4" t="s">
        <v>63</v>
      </c>
    </row>
    <row r="2787" spans="1:58">
      <c r="A2787" s="4" t="s">
        <v>58</v>
      </c>
      <c r="B2787" s="4" t="s">
        <v>23034</v>
      </c>
      <c r="C2787" s="4" t="s">
        <v>23035</v>
      </c>
      <c r="D2787" s="4" t="s">
        <v>15876</v>
      </c>
      <c r="E2787" s="4" t="s">
        <v>63</v>
      </c>
      <c r="F2787" s="4">
        <v>2009</v>
      </c>
      <c r="G2787" s="4" t="s">
        <v>63</v>
      </c>
      <c r="H2787" s="4">
        <v>66</v>
      </c>
      <c r="I2787" s="4">
        <v>10</v>
      </c>
      <c r="J2787" s="4">
        <v>702</v>
      </c>
      <c r="K2787" s="4">
        <v>704</v>
      </c>
      <c r="L2787" s="4" t="s">
        <v>23036</v>
      </c>
      <c r="M2787" s="4" t="s">
        <v>23037</v>
      </c>
      <c r="N2787" s="4" t="s">
        <v>23038</v>
      </c>
      <c r="O2787" s="4" t="s">
        <v>63</v>
      </c>
      <c r="P2787" s="4"/>
      <c r="Q2787" s="4" t="s">
        <v>63</v>
      </c>
      <c r="R2787" s="4" t="s">
        <v>63</v>
      </c>
      <c r="S2787" s="4" t="s">
        <v>63</v>
      </c>
      <c r="T2787" s="4" t="s">
        <v>63</v>
      </c>
      <c r="U2787" s="4"/>
      <c r="V2787" s="4"/>
      <c r="W2787" s="4"/>
      <c r="X2787" s="4" t="s">
        <v>63</v>
      </c>
      <c r="Y2787" s="4" t="s">
        <v>694</v>
      </c>
      <c r="Z2787" s="4" t="s">
        <v>63</v>
      </c>
      <c r="AA2787" s="4" t="s">
        <v>63</v>
      </c>
      <c r="AB2787" s="4" t="s">
        <v>63</v>
      </c>
      <c r="AC2787" s="4" t="s">
        <v>696</v>
      </c>
      <c r="AD2787" s="4" t="s">
        <v>63</v>
      </c>
      <c r="AE2787" s="4" t="s">
        <v>63</v>
      </c>
      <c r="AF2787" s="4" t="s">
        <v>63</v>
      </c>
      <c r="AG2787" s="4" t="s">
        <v>23039</v>
      </c>
      <c r="AH2787" s="4" t="s">
        <v>63</v>
      </c>
      <c r="AI2787" s="4" t="s">
        <v>63</v>
      </c>
      <c r="AJ2787" s="4" t="s">
        <v>63</v>
      </c>
      <c r="AK2787" s="4" t="s">
        <v>63</v>
      </c>
      <c r="AL2787" s="4" t="s">
        <v>63</v>
      </c>
      <c r="AM2787" s="4" t="s">
        <v>23040</v>
      </c>
      <c r="AN2787" s="4" t="s">
        <v>63</v>
      </c>
      <c r="AO2787" s="4" t="s">
        <v>63</v>
      </c>
      <c r="AP2787" s="4" t="s">
        <v>63</v>
      </c>
      <c r="AQ2787" s="4" t="s">
        <v>63</v>
      </c>
      <c r="AR2787" s="4" t="s">
        <v>63</v>
      </c>
      <c r="AS2787" s="4" t="s">
        <v>63</v>
      </c>
      <c r="AT2787" s="4" t="s">
        <v>63</v>
      </c>
      <c r="AU2787" s="4" t="s">
        <v>63</v>
      </c>
      <c r="AV2787" s="4" t="s">
        <v>63</v>
      </c>
      <c r="AW2787" s="4" t="s">
        <v>63</v>
      </c>
      <c r="AX2787" s="4" t="s">
        <v>63</v>
      </c>
      <c r="AY2787" s="4" t="s">
        <v>63</v>
      </c>
      <c r="AZ2787" s="4" t="s">
        <v>63</v>
      </c>
      <c r="BA2787" s="4" t="s">
        <v>63</v>
      </c>
      <c r="BB2787" s="4" t="s">
        <v>63</v>
      </c>
      <c r="BC2787" s="4" t="s">
        <v>63</v>
      </c>
      <c r="BD2787" s="4" t="s">
        <v>63</v>
      </c>
      <c r="BE2787" s="4" t="s">
        <v>63</v>
      </c>
      <c r="BF2787" s="4" t="s">
        <v>63</v>
      </c>
    </row>
    <row r="2788" spans="1:58">
      <c r="A2788" s="4" t="s">
        <v>58</v>
      </c>
      <c r="B2788" s="4" t="s">
        <v>23041</v>
      </c>
      <c r="C2788" s="4" t="s">
        <v>23042</v>
      </c>
      <c r="D2788" s="4" t="s">
        <v>17683</v>
      </c>
      <c r="E2788" s="4" t="s">
        <v>63</v>
      </c>
      <c r="F2788" s="4">
        <v>2007</v>
      </c>
      <c r="G2788" s="4" t="s">
        <v>16321</v>
      </c>
      <c r="H2788" s="4">
        <v>9</v>
      </c>
      <c r="I2788" s="4">
        <v>3</v>
      </c>
      <c r="J2788" s="4">
        <v>639</v>
      </c>
      <c r="K2788" s="4">
        <v>643</v>
      </c>
      <c r="L2788" s="4" t="s">
        <v>23043</v>
      </c>
      <c r="M2788" s="4" t="s">
        <v>23044</v>
      </c>
      <c r="N2788" s="4" t="s">
        <v>23045</v>
      </c>
      <c r="O2788" s="4" t="s">
        <v>63</v>
      </c>
      <c r="P2788" s="4"/>
      <c r="Q2788" s="4" t="s">
        <v>63</v>
      </c>
      <c r="R2788" s="4" t="s">
        <v>63</v>
      </c>
      <c r="S2788" s="4" t="s">
        <v>63</v>
      </c>
      <c r="T2788" s="4" t="s">
        <v>63</v>
      </c>
      <c r="U2788" s="4"/>
      <c r="V2788" s="4"/>
      <c r="W2788" s="4"/>
      <c r="X2788" s="4" t="s">
        <v>63</v>
      </c>
      <c r="Y2788" s="4" t="s">
        <v>17687</v>
      </c>
      <c r="Z2788" s="4" t="s">
        <v>63</v>
      </c>
      <c r="AA2788" s="4" t="s">
        <v>63</v>
      </c>
      <c r="AB2788" s="4" t="s">
        <v>23046</v>
      </c>
      <c r="AC2788" s="4" t="s">
        <v>696</v>
      </c>
      <c r="AD2788" s="4" t="s">
        <v>63</v>
      </c>
      <c r="AE2788" s="4" t="s">
        <v>63</v>
      </c>
      <c r="AF2788" s="4" t="s">
        <v>63</v>
      </c>
      <c r="AG2788" s="4" t="s">
        <v>63</v>
      </c>
      <c r="AH2788" s="4" t="s">
        <v>63</v>
      </c>
      <c r="AI2788" s="4" t="s">
        <v>63</v>
      </c>
      <c r="AJ2788" s="4" t="s">
        <v>63</v>
      </c>
      <c r="AK2788" s="4" t="s">
        <v>63</v>
      </c>
      <c r="AL2788" s="4" t="s">
        <v>63</v>
      </c>
      <c r="AM2788" s="4" t="s">
        <v>23047</v>
      </c>
      <c r="AN2788" s="4" t="s">
        <v>63</v>
      </c>
      <c r="AO2788" s="4" t="s">
        <v>63</v>
      </c>
      <c r="AP2788" s="4" t="s">
        <v>63</v>
      </c>
      <c r="AQ2788" s="4" t="s">
        <v>63</v>
      </c>
      <c r="AR2788" s="4" t="s">
        <v>63</v>
      </c>
      <c r="AS2788" s="4" t="s">
        <v>63</v>
      </c>
      <c r="AT2788" s="4" t="s">
        <v>63</v>
      </c>
      <c r="AU2788" s="4" t="s">
        <v>63</v>
      </c>
      <c r="AV2788" s="4" t="s">
        <v>63</v>
      </c>
      <c r="AW2788" s="4" t="s">
        <v>63</v>
      </c>
      <c r="AX2788" s="4" t="s">
        <v>63</v>
      </c>
      <c r="AY2788" s="4" t="s">
        <v>63</v>
      </c>
      <c r="AZ2788" s="4" t="s">
        <v>63</v>
      </c>
      <c r="BA2788" s="4" t="s">
        <v>63</v>
      </c>
      <c r="BB2788" s="4" t="s">
        <v>63</v>
      </c>
      <c r="BC2788" s="4" t="s">
        <v>63</v>
      </c>
      <c r="BD2788" s="4" t="s">
        <v>63</v>
      </c>
      <c r="BE2788" s="4" t="s">
        <v>63</v>
      </c>
      <c r="BF2788" s="4" t="s">
        <v>63</v>
      </c>
    </row>
    <row r="2789" spans="1:58">
      <c r="A2789" s="4" t="s">
        <v>58</v>
      </c>
      <c r="B2789" s="4" t="s">
        <v>23048</v>
      </c>
      <c r="C2789" s="4" t="s">
        <v>23049</v>
      </c>
      <c r="D2789" s="4" t="s">
        <v>1481</v>
      </c>
      <c r="E2789" s="4" t="s">
        <v>1481</v>
      </c>
      <c r="F2789" s="4">
        <v>2005</v>
      </c>
      <c r="G2789" s="4" t="s">
        <v>15254</v>
      </c>
      <c r="H2789" s="4">
        <v>100</v>
      </c>
      <c r="I2789" s="4">
        <v>12</v>
      </c>
      <c r="J2789" s="4">
        <v>1779</v>
      </c>
      <c r="K2789" s="4">
        <v>1789</v>
      </c>
      <c r="L2789" s="4" t="s">
        <v>23050</v>
      </c>
      <c r="M2789" s="4" t="s">
        <v>23051</v>
      </c>
      <c r="N2789" s="4" t="s">
        <v>23052</v>
      </c>
      <c r="O2789" s="4" t="s">
        <v>63</v>
      </c>
      <c r="P2789" s="4"/>
      <c r="Q2789" s="4" t="s">
        <v>63</v>
      </c>
      <c r="R2789" s="4" t="s">
        <v>63</v>
      </c>
      <c r="S2789" s="4" t="s">
        <v>63</v>
      </c>
      <c r="T2789" s="4" t="s">
        <v>63</v>
      </c>
      <c r="U2789" s="4"/>
      <c r="V2789" s="4"/>
      <c r="W2789" s="4"/>
      <c r="X2789" s="4" t="s">
        <v>63</v>
      </c>
      <c r="Y2789" s="4" t="s">
        <v>2426</v>
      </c>
      <c r="Z2789" s="4" t="s">
        <v>63</v>
      </c>
      <c r="AA2789" s="4" t="s">
        <v>63</v>
      </c>
      <c r="AB2789" s="4">
        <v>2005566614</v>
      </c>
      <c r="AC2789" s="4" t="s">
        <v>67</v>
      </c>
      <c r="AD2789" s="4" t="s">
        <v>63</v>
      </c>
      <c r="AE2789" s="4" t="s">
        <v>63</v>
      </c>
      <c r="AF2789" s="4" t="s">
        <v>63</v>
      </c>
      <c r="AG2789" s="4" t="s">
        <v>23053</v>
      </c>
      <c r="AH2789" s="4" t="s">
        <v>63</v>
      </c>
      <c r="AI2789" s="4" t="s">
        <v>23054</v>
      </c>
      <c r="AJ2789" s="4" t="s">
        <v>63</v>
      </c>
      <c r="AK2789" s="4" t="s">
        <v>63</v>
      </c>
      <c r="AL2789" s="4" t="s">
        <v>63</v>
      </c>
      <c r="AM2789" s="4" t="s">
        <v>23055</v>
      </c>
      <c r="AN2789" s="4" t="s">
        <v>63</v>
      </c>
      <c r="AO2789" s="4" t="s">
        <v>63</v>
      </c>
      <c r="AP2789" s="4" t="s">
        <v>63</v>
      </c>
      <c r="AQ2789" s="4" t="s">
        <v>63</v>
      </c>
      <c r="AR2789" s="4" t="s">
        <v>63</v>
      </c>
      <c r="AS2789" s="4" t="s">
        <v>63</v>
      </c>
      <c r="AT2789" s="4" t="s">
        <v>63</v>
      </c>
      <c r="AU2789" s="4" t="s">
        <v>63</v>
      </c>
      <c r="AV2789" s="4" t="s">
        <v>63</v>
      </c>
      <c r="AW2789" s="4" t="s">
        <v>63</v>
      </c>
      <c r="AX2789" s="4" t="s">
        <v>63</v>
      </c>
      <c r="AY2789" s="4" t="s">
        <v>63</v>
      </c>
      <c r="AZ2789" s="4" t="s">
        <v>63</v>
      </c>
      <c r="BA2789" s="4" t="s">
        <v>63</v>
      </c>
      <c r="BB2789" s="4" t="s">
        <v>63</v>
      </c>
      <c r="BC2789" s="4" t="s">
        <v>63</v>
      </c>
      <c r="BD2789" s="4" t="s">
        <v>63</v>
      </c>
      <c r="BE2789" s="4" t="s">
        <v>63</v>
      </c>
      <c r="BF2789" s="4" t="s">
        <v>63</v>
      </c>
    </row>
    <row r="2790" spans="1:58">
      <c r="A2790" s="4" t="s">
        <v>58</v>
      </c>
      <c r="B2790" s="4" t="s">
        <v>23056</v>
      </c>
      <c r="C2790" s="4" t="s">
        <v>23057</v>
      </c>
      <c r="D2790" s="4" t="s">
        <v>23058</v>
      </c>
      <c r="E2790" s="4" t="s">
        <v>23059</v>
      </c>
      <c r="F2790" s="4">
        <v>1978</v>
      </c>
      <c r="G2790" s="4" t="s">
        <v>63</v>
      </c>
      <c r="H2790" s="4">
        <v>13</v>
      </c>
      <c r="I2790" s="4">
        <v>1</v>
      </c>
      <c r="J2790" s="4">
        <v>42</v>
      </c>
      <c r="K2790" s="4">
        <v>54</v>
      </c>
      <c r="L2790" s="4" t="s">
        <v>23060</v>
      </c>
      <c r="M2790" s="4" t="s">
        <v>63</v>
      </c>
      <c r="N2790" s="4" t="s">
        <v>23061</v>
      </c>
      <c r="O2790" s="4" t="s">
        <v>63</v>
      </c>
      <c r="P2790" s="4"/>
      <c r="Q2790" s="4" t="s">
        <v>63</v>
      </c>
      <c r="R2790" s="4" t="s">
        <v>63</v>
      </c>
      <c r="S2790" s="4" t="s">
        <v>63</v>
      </c>
      <c r="T2790" s="4" t="s">
        <v>63</v>
      </c>
      <c r="U2790" s="4"/>
      <c r="V2790" s="4"/>
      <c r="W2790" s="4"/>
      <c r="X2790" s="4" t="s">
        <v>63</v>
      </c>
      <c r="Y2790" s="4" t="s">
        <v>23062</v>
      </c>
      <c r="Z2790" s="4" t="s">
        <v>63</v>
      </c>
      <c r="AA2790" s="4" t="s">
        <v>63</v>
      </c>
      <c r="AB2790" s="4">
        <v>1978340839</v>
      </c>
      <c r="AC2790" s="4" t="s">
        <v>67</v>
      </c>
      <c r="AD2790" s="4" t="s">
        <v>63</v>
      </c>
      <c r="AE2790" s="4" t="s">
        <v>63</v>
      </c>
      <c r="AF2790" s="4" t="s">
        <v>63</v>
      </c>
      <c r="AG2790" s="4" t="s">
        <v>23063</v>
      </c>
      <c r="AH2790" s="4" t="s">
        <v>63</v>
      </c>
      <c r="AI2790" s="4" t="s">
        <v>63</v>
      </c>
      <c r="AJ2790" s="4" t="s">
        <v>63</v>
      </c>
      <c r="AK2790" s="4" t="s">
        <v>63</v>
      </c>
      <c r="AL2790" s="4" t="s">
        <v>63</v>
      </c>
      <c r="AM2790" s="4" t="s">
        <v>23064</v>
      </c>
      <c r="AN2790" s="4" t="s">
        <v>63</v>
      </c>
      <c r="AO2790" s="4" t="s">
        <v>63</v>
      </c>
      <c r="AP2790" s="4" t="s">
        <v>63</v>
      </c>
      <c r="AQ2790" s="4" t="s">
        <v>63</v>
      </c>
      <c r="AR2790" s="4" t="s">
        <v>63</v>
      </c>
      <c r="AS2790" s="4" t="s">
        <v>63</v>
      </c>
      <c r="AT2790" s="4" t="s">
        <v>63</v>
      </c>
      <c r="AU2790" s="4" t="s">
        <v>63</v>
      </c>
      <c r="AV2790" s="4" t="s">
        <v>63</v>
      </c>
      <c r="AW2790" s="4" t="s">
        <v>63</v>
      </c>
      <c r="AX2790" s="4" t="s">
        <v>63</v>
      </c>
      <c r="AY2790" s="4" t="s">
        <v>63</v>
      </c>
      <c r="AZ2790" s="4" t="s">
        <v>63</v>
      </c>
      <c r="BA2790" s="4" t="s">
        <v>63</v>
      </c>
      <c r="BB2790" s="4" t="s">
        <v>63</v>
      </c>
      <c r="BC2790" s="4" t="s">
        <v>63</v>
      </c>
      <c r="BD2790" s="4" t="s">
        <v>63</v>
      </c>
      <c r="BE2790" s="4" t="s">
        <v>63</v>
      </c>
      <c r="BF2790" s="4" t="s">
        <v>63</v>
      </c>
    </row>
    <row r="2791" spans="1:58">
      <c r="A2791" s="4" t="s">
        <v>58</v>
      </c>
      <c r="B2791" s="4" t="s">
        <v>23065</v>
      </c>
      <c r="C2791" s="4" t="s">
        <v>23066</v>
      </c>
      <c r="D2791" s="4" t="s">
        <v>371</v>
      </c>
      <c r="E2791" s="4" t="s">
        <v>63</v>
      </c>
      <c r="F2791" s="4">
        <v>2011</v>
      </c>
      <c r="G2791" s="4" t="s">
        <v>189</v>
      </c>
      <c r="H2791" s="4" t="s">
        <v>17819</v>
      </c>
      <c r="I2791" s="4" t="s">
        <v>63</v>
      </c>
      <c r="J2791" s="4" t="s">
        <v>23067</v>
      </c>
      <c r="K2791" s="4" t="s">
        <v>23068</v>
      </c>
      <c r="L2791" s="4" t="s">
        <v>23069</v>
      </c>
      <c r="M2791" s="4" t="s">
        <v>23070</v>
      </c>
      <c r="N2791" s="4" t="s">
        <v>23071</v>
      </c>
      <c r="O2791" s="4" t="s">
        <v>63</v>
      </c>
      <c r="P2791" s="4"/>
      <c r="Q2791" s="4" t="s">
        <v>63</v>
      </c>
      <c r="R2791" s="4" t="s">
        <v>63</v>
      </c>
      <c r="S2791" s="4" t="s">
        <v>63</v>
      </c>
      <c r="T2791" s="4" t="s">
        <v>63</v>
      </c>
      <c r="U2791" s="4"/>
      <c r="V2791" s="4"/>
      <c r="W2791" s="4"/>
      <c r="X2791" s="4" t="s">
        <v>63</v>
      </c>
      <c r="Y2791" s="4" t="s">
        <v>375</v>
      </c>
      <c r="Z2791" s="4" t="s">
        <v>63</v>
      </c>
      <c r="AA2791" s="4" t="s">
        <v>63</v>
      </c>
      <c r="AB2791" s="4" t="s">
        <v>63</v>
      </c>
      <c r="AC2791" s="4" t="s">
        <v>67</v>
      </c>
      <c r="AD2791" s="4" t="s">
        <v>63</v>
      </c>
      <c r="AE2791" s="4" t="s">
        <v>63</v>
      </c>
      <c r="AF2791" s="4" t="s">
        <v>63</v>
      </c>
      <c r="AG2791" s="4" t="s">
        <v>63</v>
      </c>
      <c r="AH2791" s="4" t="s">
        <v>63</v>
      </c>
      <c r="AI2791" s="4" t="s">
        <v>17824</v>
      </c>
      <c r="AJ2791" s="4" t="s">
        <v>63</v>
      </c>
      <c r="AK2791" s="4" t="s">
        <v>63</v>
      </c>
      <c r="AL2791" s="4" t="s">
        <v>63</v>
      </c>
      <c r="AM2791" s="4" t="s">
        <v>23066</v>
      </c>
      <c r="AN2791" s="4" t="s">
        <v>63</v>
      </c>
      <c r="AO2791" s="4" t="s">
        <v>63</v>
      </c>
      <c r="AP2791" s="4" t="s">
        <v>63</v>
      </c>
      <c r="AQ2791" s="4" t="s">
        <v>63</v>
      </c>
      <c r="AR2791" s="4" t="s">
        <v>63</v>
      </c>
      <c r="AS2791" s="4" t="s">
        <v>63</v>
      </c>
      <c r="AT2791" s="4" t="s">
        <v>63</v>
      </c>
      <c r="AU2791" s="4" t="s">
        <v>63</v>
      </c>
      <c r="AV2791" s="4" t="s">
        <v>63</v>
      </c>
      <c r="AW2791" s="4" t="s">
        <v>63</v>
      </c>
      <c r="AX2791" s="4" t="s">
        <v>63</v>
      </c>
      <c r="AY2791" s="4" t="s">
        <v>63</v>
      </c>
      <c r="AZ2791" s="4" t="s">
        <v>63</v>
      </c>
      <c r="BA2791" s="4" t="s">
        <v>63</v>
      </c>
      <c r="BB2791" s="4" t="s">
        <v>63</v>
      </c>
      <c r="BC2791" s="4" t="s">
        <v>63</v>
      </c>
      <c r="BD2791" s="4" t="s">
        <v>63</v>
      </c>
      <c r="BE2791" s="4" t="s">
        <v>63</v>
      </c>
      <c r="BF2791" s="4" t="s">
        <v>63</v>
      </c>
    </row>
    <row r="2792" spans="1:58">
      <c r="A2792" s="4" t="s">
        <v>58</v>
      </c>
      <c r="B2792" s="4" t="s">
        <v>23072</v>
      </c>
      <c r="C2792" s="4" t="s">
        <v>23073</v>
      </c>
      <c r="D2792" s="4" t="s">
        <v>3071</v>
      </c>
      <c r="E2792" s="4" t="s">
        <v>3072</v>
      </c>
      <c r="F2792" s="4">
        <v>1949</v>
      </c>
      <c r="G2792" s="4" t="s">
        <v>63</v>
      </c>
      <c r="H2792" s="4">
        <v>46</v>
      </c>
      <c r="I2792" s="4">
        <v>2</v>
      </c>
      <c r="J2792" s="4">
        <v>66</v>
      </c>
      <c r="K2792" s="4">
        <v>78</v>
      </c>
      <c r="L2792" s="4" t="s">
        <v>23074</v>
      </c>
      <c r="M2792" s="4" t="s">
        <v>23075</v>
      </c>
      <c r="N2792" s="4" t="s">
        <v>23076</v>
      </c>
      <c r="O2792" s="4" t="s">
        <v>63</v>
      </c>
      <c r="P2792" s="4"/>
      <c r="Q2792" s="4" t="s">
        <v>63</v>
      </c>
      <c r="R2792" s="4" t="s">
        <v>63</v>
      </c>
      <c r="S2792" s="4" t="s">
        <v>63</v>
      </c>
      <c r="T2792" s="4" t="s">
        <v>63</v>
      </c>
      <c r="U2792" s="4"/>
      <c r="V2792" s="4"/>
      <c r="W2792" s="4"/>
      <c r="X2792" s="4" t="s">
        <v>63</v>
      </c>
      <c r="Y2792" s="4" t="s">
        <v>3075</v>
      </c>
      <c r="Z2792" s="4" t="s">
        <v>63</v>
      </c>
      <c r="AA2792" s="4" t="s">
        <v>63</v>
      </c>
      <c r="AB2792" s="4" t="s">
        <v>23077</v>
      </c>
      <c r="AC2792" s="4" t="s">
        <v>67</v>
      </c>
      <c r="AD2792" s="4" t="s">
        <v>63</v>
      </c>
      <c r="AE2792" s="4" t="s">
        <v>63</v>
      </c>
      <c r="AF2792" s="4" t="s">
        <v>63</v>
      </c>
      <c r="AG2792" s="4" t="s">
        <v>63</v>
      </c>
      <c r="AH2792" s="4" t="s">
        <v>63</v>
      </c>
      <c r="AI2792" s="4" t="s">
        <v>63</v>
      </c>
      <c r="AJ2792" s="4" t="s">
        <v>63</v>
      </c>
      <c r="AK2792" s="4" t="s">
        <v>63</v>
      </c>
      <c r="AL2792" s="4" t="s">
        <v>63</v>
      </c>
      <c r="AM2792" s="4" t="s">
        <v>23073</v>
      </c>
      <c r="AN2792" s="4" t="s">
        <v>63</v>
      </c>
      <c r="AO2792" s="4" t="s">
        <v>63</v>
      </c>
      <c r="AP2792" s="4" t="s">
        <v>63</v>
      </c>
      <c r="AQ2792" s="4" t="s">
        <v>63</v>
      </c>
      <c r="AR2792" s="4" t="s">
        <v>63</v>
      </c>
      <c r="AS2792" s="4" t="s">
        <v>63</v>
      </c>
      <c r="AT2792" s="4" t="s">
        <v>63</v>
      </c>
      <c r="AU2792" s="4" t="s">
        <v>63</v>
      </c>
      <c r="AV2792" s="4" t="s">
        <v>63</v>
      </c>
      <c r="AW2792" s="4" t="s">
        <v>63</v>
      </c>
      <c r="AX2792" s="4" t="s">
        <v>63</v>
      </c>
      <c r="AY2792" s="4" t="s">
        <v>63</v>
      </c>
      <c r="AZ2792" s="4" t="s">
        <v>63</v>
      </c>
      <c r="BA2792" s="4" t="s">
        <v>63</v>
      </c>
      <c r="BB2792" s="4" t="s">
        <v>63</v>
      </c>
      <c r="BC2792" s="4" t="s">
        <v>63</v>
      </c>
      <c r="BD2792" s="4" t="s">
        <v>63</v>
      </c>
      <c r="BE2792" s="4" t="s">
        <v>63</v>
      </c>
      <c r="BF2792" s="4" t="s">
        <v>63</v>
      </c>
    </row>
    <row r="2793" spans="1:58">
      <c r="A2793" s="4" t="s">
        <v>58</v>
      </c>
      <c r="B2793" s="4" t="s">
        <v>23078</v>
      </c>
      <c r="C2793" s="4" t="s">
        <v>23079</v>
      </c>
      <c r="D2793" s="4" t="s">
        <v>155</v>
      </c>
      <c r="E2793" s="4" t="s">
        <v>156</v>
      </c>
      <c r="F2793" s="4">
        <v>2012</v>
      </c>
      <c r="G2793" s="4" t="s">
        <v>15300</v>
      </c>
      <c r="H2793" s="4">
        <v>60</v>
      </c>
      <c r="I2793" s="4">
        <v>2</v>
      </c>
      <c r="J2793" s="4">
        <v>172</v>
      </c>
      <c r="K2793" s="9">
        <v>18000000</v>
      </c>
      <c r="L2793" s="9" t="s">
        <v>23080</v>
      </c>
      <c r="M2793" s="9" t="s">
        <v>23081</v>
      </c>
      <c r="N2793" s="4" t="s">
        <v>23082</v>
      </c>
      <c r="O2793" s="4" t="s">
        <v>63</v>
      </c>
      <c r="P2793" s="4"/>
      <c r="Q2793" s="4" t="s">
        <v>63</v>
      </c>
      <c r="R2793" s="4" t="s">
        <v>63</v>
      </c>
      <c r="S2793" s="4" t="s">
        <v>63</v>
      </c>
      <c r="T2793" s="4" t="s">
        <v>63</v>
      </c>
      <c r="U2793" s="4"/>
      <c r="V2793" s="4"/>
      <c r="W2793" s="4"/>
      <c r="X2793" s="4" t="s">
        <v>63</v>
      </c>
      <c r="Y2793" s="4" t="s">
        <v>23083</v>
      </c>
      <c r="Z2793" s="4" t="s">
        <v>63</v>
      </c>
      <c r="AA2793" s="4" t="s">
        <v>63</v>
      </c>
      <c r="AB2793" s="4">
        <v>2012437678</v>
      </c>
      <c r="AC2793" s="4" t="s">
        <v>67</v>
      </c>
      <c r="AD2793" s="4" t="s">
        <v>63</v>
      </c>
      <c r="AE2793" s="4" t="s">
        <v>63</v>
      </c>
      <c r="AF2793" s="4" t="s">
        <v>63</v>
      </c>
      <c r="AG2793" s="4" t="s">
        <v>23084</v>
      </c>
      <c r="AH2793" s="4" t="s">
        <v>63</v>
      </c>
      <c r="AI2793" s="4" t="s">
        <v>23085</v>
      </c>
      <c r="AJ2793" s="4" t="s">
        <v>63</v>
      </c>
      <c r="AK2793" s="4" t="s">
        <v>63</v>
      </c>
      <c r="AL2793" s="4" t="s">
        <v>63</v>
      </c>
      <c r="AM2793" s="4" t="s">
        <v>23086</v>
      </c>
      <c r="AN2793" s="4" t="s">
        <v>63</v>
      </c>
      <c r="AO2793" s="4" t="s">
        <v>63</v>
      </c>
      <c r="AP2793" s="4" t="s">
        <v>63</v>
      </c>
      <c r="AQ2793" s="4" t="s">
        <v>63</v>
      </c>
      <c r="AR2793" s="4" t="s">
        <v>63</v>
      </c>
      <c r="AS2793" s="4" t="s">
        <v>63</v>
      </c>
      <c r="AT2793" s="4" t="s">
        <v>63</v>
      </c>
      <c r="AU2793" s="4" t="s">
        <v>63</v>
      </c>
      <c r="AV2793" s="4" t="s">
        <v>63</v>
      </c>
      <c r="AW2793" s="4" t="s">
        <v>63</v>
      </c>
      <c r="AX2793" s="4" t="s">
        <v>63</v>
      </c>
      <c r="AY2793" s="4" t="s">
        <v>63</v>
      </c>
      <c r="AZ2793" s="4" t="s">
        <v>63</v>
      </c>
      <c r="BA2793" s="4" t="s">
        <v>63</v>
      </c>
      <c r="BB2793" s="4" t="s">
        <v>63</v>
      </c>
      <c r="BC2793" s="4" t="s">
        <v>63</v>
      </c>
      <c r="BD2793" s="4" t="s">
        <v>63</v>
      </c>
      <c r="BE2793" s="4" t="s">
        <v>63</v>
      </c>
      <c r="BF2793" s="4" t="s">
        <v>63</v>
      </c>
    </row>
    <row r="2794" spans="1:58">
      <c r="A2794" s="4" t="s">
        <v>58</v>
      </c>
      <c r="B2794" s="4" t="s">
        <v>23087</v>
      </c>
      <c r="C2794" s="4" t="s">
        <v>23088</v>
      </c>
      <c r="D2794" s="4" t="s">
        <v>1406</v>
      </c>
      <c r="E2794" s="4" t="s">
        <v>1407</v>
      </c>
      <c r="F2794" s="4">
        <v>2006</v>
      </c>
      <c r="G2794" s="4" t="s">
        <v>63</v>
      </c>
      <c r="H2794" s="4">
        <v>106</v>
      </c>
      <c r="I2794" s="4">
        <v>7</v>
      </c>
      <c r="J2794" s="4">
        <v>426</v>
      </c>
      <c r="K2794" s="4" t="s">
        <v>63</v>
      </c>
      <c r="L2794" s="4" t="s">
        <v>23089</v>
      </c>
      <c r="M2794" s="4" t="s">
        <v>63</v>
      </c>
      <c r="N2794" s="4" t="s">
        <v>23090</v>
      </c>
      <c r="O2794" s="4" t="s">
        <v>63</v>
      </c>
      <c r="P2794" s="4"/>
      <c r="Q2794" s="4" t="s">
        <v>63</v>
      </c>
      <c r="R2794" s="4" t="s">
        <v>63</v>
      </c>
      <c r="S2794" s="4" t="s">
        <v>63</v>
      </c>
      <c r="T2794" s="4" t="s">
        <v>63</v>
      </c>
      <c r="U2794" s="4"/>
      <c r="V2794" s="4"/>
      <c r="W2794" s="4"/>
      <c r="X2794" s="4" t="s">
        <v>63</v>
      </c>
      <c r="Y2794" s="4" t="s">
        <v>23091</v>
      </c>
      <c r="Z2794" s="4" t="s">
        <v>63</v>
      </c>
      <c r="AA2794" s="4" t="s">
        <v>63</v>
      </c>
      <c r="AB2794" s="4" t="s">
        <v>23092</v>
      </c>
      <c r="AC2794" s="4" t="s">
        <v>67</v>
      </c>
      <c r="AD2794" s="4" t="s">
        <v>63</v>
      </c>
      <c r="AE2794" s="4" t="s">
        <v>63</v>
      </c>
      <c r="AF2794" s="4" t="s">
        <v>63</v>
      </c>
      <c r="AG2794" s="4" t="s">
        <v>63</v>
      </c>
      <c r="AH2794" s="4" t="s">
        <v>63</v>
      </c>
      <c r="AI2794" s="4" t="s">
        <v>63</v>
      </c>
      <c r="AJ2794" s="4" t="s">
        <v>63</v>
      </c>
      <c r="AK2794" s="4" t="s">
        <v>63</v>
      </c>
      <c r="AL2794" s="4" t="s">
        <v>63</v>
      </c>
      <c r="AM2794" s="4" t="s">
        <v>23093</v>
      </c>
      <c r="AN2794" s="4" t="s">
        <v>63</v>
      </c>
      <c r="AO2794" s="4" t="s">
        <v>63</v>
      </c>
      <c r="AP2794" s="4" t="s">
        <v>63</v>
      </c>
      <c r="AQ2794" s="4" t="s">
        <v>63</v>
      </c>
      <c r="AR2794" s="4" t="s">
        <v>63</v>
      </c>
      <c r="AS2794" s="4" t="s">
        <v>63</v>
      </c>
      <c r="AT2794" s="4" t="s">
        <v>63</v>
      </c>
      <c r="AU2794" s="4" t="s">
        <v>63</v>
      </c>
      <c r="AV2794" s="4" t="s">
        <v>63</v>
      </c>
      <c r="AW2794" s="4" t="s">
        <v>63</v>
      </c>
      <c r="AX2794" s="4" t="s">
        <v>63</v>
      </c>
      <c r="AY2794" s="4" t="s">
        <v>63</v>
      </c>
      <c r="AZ2794" s="4" t="s">
        <v>63</v>
      </c>
      <c r="BA2794" s="4" t="s">
        <v>63</v>
      </c>
      <c r="BB2794" s="4" t="s">
        <v>63</v>
      </c>
      <c r="BC2794" s="4" t="s">
        <v>63</v>
      </c>
      <c r="BD2794" s="4" t="s">
        <v>63</v>
      </c>
      <c r="BE2794" s="4" t="s">
        <v>63</v>
      </c>
      <c r="BF2794" s="4" t="s">
        <v>63</v>
      </c>
    </row>
    <row r="2795" spans="1:58">
      <c r="A2795" s="4" t="s">
        <v>58</v>
      </c>
      <c r="B2795" s="4" t="s">
        <v>23094</v>
      </c>
      <c r="C2795" s="4" t="s">
        <v>23095</v>
      </c>
      <c r="D2795" s="4" t="s">
        <v>23096</v>
      </c>
      <c r="E2795" s="4" t="s">
        <v>63</v>
      </c>
      <c r="F2795" s="4">
        <v>1989</v>
      </c>
      <c r="G2795" s="4" t="s">
        <v>63</v>
      </c>
      <c r="H2795" s="4" t="s">
        <v>23097</v>
      </c>
      <c r="I2795" s="4" t="s">
        <v>63</v>
      </c>
      <c r="J2795" s="4" t="s">
        <v>63</v>
      </c>
      <c r="K2795" s="4" t="s">
        <v>63</v>
      </c>
      <c r="L2795" s="4" t="s">
        <v>23098</v>
      </c>
      <c r="M2795" s="4" t="s">
        <v>63</v>
      </c>
      <c r="N2795" s="4" t="s">
        <v>23099</v>
      </c>
      <c r="O2795" s="4" t="s">
        <v>63</v>
      </c>
      <c r="P2795" s="4"/>
      <c r="Q2795" s="4" t="s">
        <v>63</v>
      </c>
      <c r="R2795" s="4" t="s">
        <v>63</v>
      </c>
      <c r="S2795" s="4" t="s">
        <v>63</v>
      </c>
      <c r="T2795" s="4" t="s">
        <v>63</v>
      </c>
      <c r="U2795" s="4"/>
      <c r="V2795" s="4"/>
      <c r="W2795" s="4"/>
      <c r="X2795" s="4" t="s">
        <v>63</v>
      </c>
      <c r="Y2795" s="4" t="s">
        <v>63</v>
      </c>
      <c r="Z2795" s="4" t="s">
        <v>63</v>
      </c>
      <c r="AA2795" s="4" t="s">
        <v>63</v>
      </c>
      <c r="AB2795" s="4" t="s">
        <v>23100</v>
      </c>
      <c r="AC2795" s="4" t="s">
        <v>67</v>
      </c>
      <c r="AD2795" s="4" t="s">
        <v>63</v>
      </c>
      <c r="AE2795" s="4" t="s">
        <v>63</v>
      </c>
      <c r="AF2795" s="4" t="s">
        <v>63</v>
      </c>
      <c r="AG2795" s="4" t="s">
        <v>63</v>
      </c>
      <c r="AH2795" s="4" t="s">
        <v>63</v>
      </c>
      <c r="AI2795" s="4" t="s">
        <v>63</v>
      </c>
      <c r="AJ2795" s="4" t="s">
        <v>63</v>
      </c>
      <c r="AK2795" s="4" t="s">
        <v>63</v>
      </c>
      <c r="AL2795" s="4" t="s">
        <v>63</v>
      </c>
      <c r="AM2795" s="4" t="s">
        <v>23095</v>
      </c>
      <c r="AN2795" s="4" t="s">
        <v>63</v>
      </c>
      <c r="AO2795" s="4" t="s">
        <v>63</v>
      </c>
      <c r="AP2795" s="4" t="s">
        <v>63</v>
      </c>
      <c r="AQ2795" s="4" t="s">
        <v>63</v>
      </c>
      <c r="AR2795" s="4" t="s">
        <v>63</v>
      </c>
      <c r="AS2795" s="4" t="s">
        <v>63</v>
      </c>
      <c r="AT2795" s="4" t="s">
        <v>63</v>
      </c>
      <c r="AU2795" s="4" t="s">
        <v>63</v>
      </c>
      <c r="AV2795" s="4" t="s">
        <v>63</v>
      </c>
      <c r="AW2795" s="4" t="s">
        <v>63</v>
      </c>
      <c r="AX2795" s="4" t="s">
        <v>63</v>
      </c>
      <c r="AY2795" s="4" t="s">
        <v>63</v>
      </c>
      <c r="AZ2795" s="4" t="s">
        <v>63</v>
      </c>
      <c r="BA2795" s="4" t="s">
        <v>63</v>
      </c>
      <c r="BB2795" s="4" t="s">
        <v>63</v>
      </c>
      <c r="BC2795" s="4" t="s">
        <v>63</v>
      </c>
      <c r="BD2795" s="4" t="s">
        <v>63</v>
      </c>
      <c r="BE2795" s="4" t="s">
        <v>63</v>
      </c>
      <c r="BF2795" s="4" t="s">
        <v>63</v>
      </c>
    </row>
    <row r="2796" spans="1:58">
      <c r="A2796" s="4" t="s">
        <v>58</v>
      </c>
      <c r="B2796" s="4" t="s">
        <v>23101</v>
      </c>
      <c r="C2796" s="4" t="s">
        <v>23102</v>
      </c>
      <c r="D2796" s="4" t="s">
        <v>23103</v>
      </c>
      <c r="E2796" s="4" t="s">
        <v>63</v>
      </c>
      <c r="F2796" s="4">
        <v>2014</v>
      </c>
      <c r="G2796" s="4" t="s">
        <v>63</v>
      </c>
      <c r="H2796" s="4">
        <v>15</v>
      </c>
      <c r="I2796" s="4">
        <v>14</v>
      </c>
      <c r="J2796" s="4">
        <v>5611</v>
      </c>
      <c r="K2796" s="4">
        <v>5615</v>
      </c>
      <c r="L2796" s="4" t="s">
        <v>23104</v>
      </c>
      <c r="M2796" s="4" t="s">
        <v>23105</v>
      </c>
      <c r="N2796" s="4" t="s">
        <v>23106</v>
      </c>
      <c r="O2796" s="4" t="s">
        <v>63</v>
      </c>
      <c r="P2796" s="4"/>
      <c r="Q2796" s="4" t="s">
        <v>63</v>
      </c>
      <c r="R2796" s="4" t="s">
        <v>63</v>
      </c>
      <c r="S2796" s="4" t="s">
        <v>63</v>
      </c>
      <c r="T2796" s="4" t="s">
        <v>63</v>
      </c>
      <c r="U2796" s="4"/>
      <c r="V2796" s="4"/>
      <c r="W2796" s="4"/>
      <c r="X2796" s="4" t="s">
        <v>63</v>
      </c>
      <c r="Y2796" s="4" t="s">
        <v>23107</v>
      </c>
      <c r="Z2796" s="4" t="s">
        <v>63</v>
      </c>
      <c r="AA2796" s="4" t="s">
        <v>63</v>
      </c>
      <c r="AB2796" s="4" t="s">
        <v>63</v>
      </c>
      <c r="AC2796" s="4" t="s">
        <v>67</v>
      </c>
      <c r="AD2796" s="4" t="s">
        <v>63</v>
      </c>
      <c r="AE2796" s="4" t="s">
        <v>63</v>
      </c>
      <c r="AF2796" s="4" t="s">
        <v>63</v>
      </c>
      <c r="AG2796" s="4" t="s">
        <v>23108</v>
      </c>
      <c r="AH2796" s="4" t="s">
        <v>63</v>
      </c>
      <c r="AI2796" s="4" t="s">
        <v>63</v>
      </c>
      <c r="AJ2796" s="4" t="s">
        <v>63</v>
      </c>
      <c r="AK2796" s="4" t="s">
        <v>63</v>
      </c>
      <c r="AL2796" s="4" t="s">
        <v>63</v>
      </c>
      <c r="AM2796" s="4" t="s">
        <v>23109</v>
      </c>
      <c r="AN2796" s="4" t="s">
        <v>63</v>
      </c>
      <c r="AO2796" s="4" t="s">
        <v>63</v>
      </c>
      <c r="AP2796" s="4" t="s">
        <v>63</v>
      </c>
      <c r="AQ2796" s="4" t="s">
        <v>63</v>
      </c>
      <c r="AR2796" s="4" t="s">
        <v>63</v>
      </c>
      <c r="AS2796" s="4" t="s">
        <v>63</v>
      </c>
      <c r="AT2796" s="4" t="s">
        <v>63</v>
      </c>
      <c r="AU2796" s="4" t="s">
        <v>63</v>
      </c>
      <c r="AV2796" s="4" t="s">
        <v>63</v>
      </c>
      <c r="AW2796" s="4" t="s">
        <v>63</v>
      </c>
      <c r="AX2796" s="4" t="s">
        <v>63</v>
      </c>
      <c r="AY2796" s="4" t="s">
        <v>63</v>
      </c>
      <c r="AZ2796" s="4" t="s">
        <v>63</v>
      </c>
      <c r="BA2796" s="4" t="s">
        <v>63</v>
      </c>
      <c r="BB2796" s="4" t="s">
        <v>63</v>
      </c>
      <c r="BC2796" s="4" t="s">
        <v>63</v>
      </c>
      <c r="BD2796" s="4" t="s">
        <v>63</v>
      </c>
      <c r="BE2796" s="4" t="s">
        <v>63</v>
      </c>
      <c r="BF2796" s="4" t="s">
        <v>63</v>
      </c>
    </row>
    <row r="2797" spans="1:58">
      <c r="A2797" s="4" t="s">
        <v>58</v>
      </c>
      <c r="B2797" s="4" t="s">
        <v>23110</v>
      </c>
      <c r="C2797" s="4" t="s">
        <v>23111</v>
      </c>
      <c r="D2797" s="4" t="s">
        <v>23112</v>
      </c>
      <c r="E2797" s="4" t="s">
        <v>63</v>
      </c>
      <c r="F2797" s="4">
        <v>2017</v>
      </c>
      <c r="G2797" s="4" t="s">
        <v>63</v>
      </c>
      <c r="H2797" s="4" t="s">
        <v>23113</v>
      </c>
      <c r="I2797" s="4">
        <v>1</v>
      </c>
      <c r="J2797" s="4">
        <v>59</v>
      </c>
      <c r="K2797" s="4">
        <v>66</v>
      </c>
      <c r="L2797" s="4" t="s">
        <v>23114</v>
      </c>
      <c r="M2797" s="4" t="s">
        <v>23115</v>
      </c>
      <c r="N2797" s="4" t="s">
        <v>23116</v>
      </c>
      <c r="O2797" s="4" t="s">
        <v>63</v>
      </c>
      <c r="P2797" s="4"/>
      <c r="Q2797" s="4" t="s">
        <v>63</v>
      </c>
      <c r="R2797" s="4" t="s">
        <v>63</v>
      </c>
      <c r="S2797" s="4" t="s">
        <v>63</v>
      </c>
      <c r="T2797" s="4" t="s">
        <v>63</v>
      </c>
      <c r="U2797" s="4"/>
      <c r="V2797" s="4"/>
      <c r="W2797" s="4"/>
      <c r="X2797" s="4" t="s">
        <v>63</v>
      </c>
      <c r="Y2797" s="4" t="s">
        <v>23117</v>
      </c>
      <c r="Z2797" s="4" t="s">
        <v>63</v>
      </c>
      <c r="AA2797" s="4" t="s">
        <v>63</v>
      </c>
      <c r="AB2797" s="4" t="s">
        <v>23118</v>
      </c>
      <c r="AC2797" s="4" t="s">
        <v>67</v>
      </c>
      <c r="AD2797" s="4" t="s">
        <v>63</v>
      </c>
      <c r="AE2797" s="4" t="s">
        <v>63</v>
      </c>
      <c r="AF2797" s="4" t="s">
        <v>63</v>
      </c>
      <c r="AG2797" s="4" t="s">
        <v>63</v>
      </c>
      <c r="AH2797" s="4" t="s">
        <v>63</v>
      </c>
      <c r="AI2797" s="4" t="s">
        <v>23119</v>
      </c>
      <c r="AJ2797" s="4" t="s">
        <v>63</v>
      </c>
      <c r="AK2797" s="4" t="s">
        <v>63</v>
      </c>
      <c r="AL2797" s="4" t="s">
        <v>63</v>
      </c>
      <c r="AM2797" s="4" t="s">
        <v>23111</v>
      </c>
      <c r="AN2797" s="4" t="s">
        <v>63</v>
      </c>
      <c r="AO2797" s="4" t="s">
        <v>63</v>
      </c>
      <c r="AP2797" s="4" t="s">
        <v>63</v>
      </c>
      <c r="AQ2797" s="4" t="s">
        <v>63</v>
      </c>
      <c r="AR2797" s="4" t="s">
        <v>63</v>
      </c>
      <c r="AS2797" s="4" t="s">
        <v>63</v>
      </c>
      <c r="AT2797" s="4" t="s">
        <v>63</v>
      </c>
      <c r="AU2797" s="4" t="s">
        <v>63</v>
      </c>
      <c r="AV2797" s="4" t="s">
        <v>63</v>
      </c>
      <c r="AW2797" s="4" t="s">
        <v>63</v>
      </c>
      <c r="AX2797" s="4" t="s">
        <v>63</v>
      </c>
      <c r="AY2797" s="4" t="s">
        <v>63</v>
      </c>
      <c r="AZ2797" s="4" t="s">
        <v>63</v>
      </c>
      <c r="BA2797" s="4" t="s">
        <v>63</v>
      </c>
      <c r="BB2797" s="4" t="s">
        <v>63</v>
      </c>
      <c r="BC2797" s="4" t="s">
        <v>63</v>
      </c>
      <c r="BD2797" s="4" t="s">
        <v>63</v>
      </c>
      <c r="BE2797" s="4" t="s">
        <v>63</v>
      </c>
      <c r="BF2797" s="4" t="s">
        <v>63</v>
      </c>
    </row>
    <row r="2798" spans="1:58">
      <c r="A2798" s="4" t="s">
        <v>58</v>
      </c>
      <c r="B2798" s="4" t="s">
        <v>23120</v>
      </c>
      <c r="C2798" s="4" t="s">
        <v>23121</v>
      </c>
      <c r="D2798" s="4" t="s">
        <v>6824</v>
      </c>
      <c r="E2798" s="4" t="s">
        <v>6825</v>
      </c>
      <c r="F2798" s="4">
        <v>2009</v>
      </c>
      <c r="G2798" s="4" t="s">
        <v>15358</v>
      </c>
      <c r="H2798" s="4">
        <v>18</v>
      </c>
      <c r="I2798" s="4">
        <v>5</v>
      </c>
      <c r="J2798" s="4">
        <v>422</v>
      </c>
      <c r="K2798" s="4">
        <v>424</v>
      </c>
      <c r="L2798" s="4" t="s">
        <v>23122</v>
      </c>
      <c r="M2798" s="4" t="s">
        <v>63</v>
      </c>
      <c r="N2798" s="4" t="s">
        <v>23123</v>
      </c>
      <c r="O2798" s="4" t="s">
        <v>63</v>
      </c>
      <c r="P2798" s="4"/>
      <c r="Q2798" s="4" t="s">
        <v>63</v>
      </c>
      <c r="R2798" s="4" t="s">
        <v>63</v>
      </c>
      <c r="S2798" s="4" t="s">
        <v>63</v>
      </c>
      <c r="T2798" s="4" t="s">
        <v>63</v>
      </c>
      <c r="U2798" s="4"/>
      <c r="V2798" s="4"/>
      <c r="W2798" s="4"/>
      <c r="X2798" s="4" t="s">
        <v>63</v>
      </c>
      <c r="Y2798" s="4" t="s">
        <v>23124</v>
      </c>
      <c r="Z2798" s="4" t="s">
        <v>63</v>
      </c>
      <c r="AA2798" s="4" t="s">
        <v>63</v>
      </c>
      <c r="AB2798" s="4" t="s">
        <v>63</v>
      </c>
      <c r="AC2798" s="4" t="s">
        <v>67</v>
      </c>
      <c r="AD2798" s="4" t="s">
        <v>63</v>
      </c>
      <c r="AE2798" s="4" t="s">
        <v>63</v>
      </c>
      <c r="AF2798" s="4" t="s">
        <v>63</v>
      </c>
      <c r="AG2798" s="4" t="s">
        <v>23125</v>
      </c>
      <c r="AH2798" s="4" t="s">
        <v>63</v>
      </c>
      <c r="AI2798" s="4" t="s">
        <v>23126</v>
      </c>
      <c r="AJ2798" s="4" t="s">
        <v>63</v>
      </c>
      <c r="AK2798" s="4" t="s">
        <v>63</v>
      </c>
      <c r="AL2798" s="4" t="s">
        <v>63</v>
      </c>
      <c r="AM2798" s="4" t="s">
        <v>23127</v>
      </c>
      <c r="AN2798" s="4" t="s">
        <v>63</v>
      </c>
      <c r="AO2798" s="4" t="s">
        <v>63</v>
      </c>
      <c r="AP2798" s="4" t="s">
        <v>63</v>
      </c>
      <c r="AQ2798" s="4" t="s">
        <v>63</v>
      </c>
      <c r="AR2798" s="4" t="s">
        <v>63</v>
      </c>
      <c r="AS2798" s="4" t="s">
        <v>63</v>
      </c>
      <c r="AT2798" s="4" t="s">
        <v>63</v>
      </c>
      <c r="AU2798" s="4" t="s">
        <v>63</v>
      </c>
      <c r="AV2798" s="4" t="s">
        <v>63</v>
      </c>
      <c r="AW2798" s="4" t="s">
        <v>63</v>
      </c>
      <c r="AX2798" s="4" t="s">
        <v>63</v>
      </c>
      <c r="AY2798" s="4" t="s">
        <v>63</v>
      </c>
      <c r="AZ2798" s="4" t="s">
        <v>63</v>
      </c>
      <c r="BA2798" s="4" t="s">
        <v>63</v>
      </c>
      <c r="BB2798" s="4" t="s">
        <v>63</v>
      </c>
      <c r="BC2798" s="4" t="s">
        <v>63</v>
      </c>
      <c r="BD2798" s="4" t="s">
        <v>63</v>
      </c>
      <c r="BE2798" s="4" t="s">
        <v>63</v>
      </c>
      <c r="BF2798" s="4" t="s">
        <v>63</v>
      </c>
    </row>
    <row r="2799" spans="1:58">
      <c r="A2799" s="4" t="s">
        <v>58</v>
      </c>
      <c r="B2799" s="4" t="s">
        <v>23128</v>
      </c>
      <c r="C2799" s="4" t="s">
        <v>23129</v>
      </c>
      <c r="D2799" s="4" t="s">
        <v>16512</v>
      </c>
      <c r="E2799" s="4" t="s">
        <v>63</v>
      </c>
      <c r="F2799" s="4">
        <v>2015</v>
      </c>
      <c r="G2799" s="4" t="s">
        <v>15358</v>
      </c>
      <c r="H2799" s="4">
        <v>44</v>
      </c>
      <c r="I2799" s="4">
        <v>10</v>
      </c>
      <c r="J2799" s="4" t="s">
        <v>23130</v>
      </c>
      <c r="K2799" s="4" t="s">
        <v>63</v>
      </c>
      <c r="L2799" s="4" t="s">
        <v>23131</v>
      </c>
      <c r="M2799" s="4" t="s">
        <v>23132</v>
      </c>
      <c r="N2799" s="4" t="s">
        <v>23133</v>
      </c>
      <c r="O2799" s="4" t="s">
        <v>63</v>
      </c>
      <c r="P2799" s="4"/>
      <c r="Q2799" s="4" t="s">
        <v>63</v>
      </c>
      <c r="R2799" s="4" t="s">
        <v>63</v>
      </c>
      <c r="S2799" s="4" t="s">
        <v>63</v>
      </c>
      <c r="T2799" s="4" t="s">
        <v>63</v>
      </c>
      <c r="U2799" s="4"/>
      <c r="V2799" s="4"/>
      <c r="W2799" s="4"/>
      <c r="X2799" s="4" t="s">
        <v>63</v>
      </c>
      <c r="Y2799" s="4" t="s">
        <v>16517</v>
      </c>
      <c r="Z2799" s="4" t="s">
        <v>63</v>
      </c>
      <c r="AA2799" s="4" t="s">
        <v>63</v>
      </c>
      <c r="AB2799" s="4" t="s">
        <v>63</v>
      </c>
      <c r="AC2799" s="4" t="s">
        <v>67</v>
      </c>
      <c r="AD2799" s="4" t="s">
        <v>63</v>
      </c>
      <c r="AE2799" s="4" t="s">
        <v>63</v>
      </c>
      <c r="AF2799" s="4" t="s">
        <v>63</v>
      </c>
      <c r="AG2799" s="4" t="s">
        <v>63</v>
      </c>
      <c r="AH2799" s="4" t="s">
        <v>63</v>
      </c>
      <c r="AI2799" s="4" t="s">
        <v>63</v>
      </c>
      <c r="AJ2799" s="4" t="s">
        <v>63</v>
      </c>
      <c r="AK2799" s="4" t="s">
        <v>63</v>
      </c>
      <c r="AL2799" s="4" t="s">
        <v>63</v>
      </c>
      <c r="AM2799" s="4" t="s">
        <v>23129</v>
      </c>
      <c r="AN2799" s="4" t="s">
        <v>63</v>
      </c>
      <c r="AO2799" s="4" t="s">
        <v>63</v>
      </c>
      <c r="AP2799" s="4" t="s">
        <v>63</v>
      </c>
      <c r="AQ2799" s="4" t="s">
        <v>63</v>
      </c>
      <c r="AR2799" s="4" t="s">
        <v>63</v>
      </c>
      <c r="AS2799" s="4" t="s">
        <v>63</v>
      </c>
      <c r="AT2799" s="4" t="s">
        <v>63</v>
      </c>
      <c r="AU2799" s="4" t="s">
        <v>63</v>
      </c>
      <c r="AV2799" s="4" t="s">
        <v>63</v>
      </c>
      <c r="AW2799" s="4" t="s">
        <v>63</v>
      </c>
      <c r="AX2799" s="4" t="s">
        <v>63</v>
      </c>
      <c r="AY2799" s="4" t="s">
        <v>63</v>
      </c>
      <c r="AZ2799" s="4" t="s">
        <v>63</v>
      </c>
      <c r="BA2799" s="4" t="s">
        <v>63</v>
      </c>
      <c r="BB2799" s="4" t="s">
        <v>63</v>
      </c>
      <c r="BC2799" s="4" t="s">
        <v>63</v>
      </c>
      <c r="BD2799" s="4" t="s">
        <v>63</v>
      </c>
      <c r="BE2799" s="4" t="s">
        <v>63</v>
      </c>
      <c r="BF2799" s="4" t="s">
        <v>63</v>
      </c>
    </row>
    <row r="2800" spans="1:58">
      <c r="A2800" s="4" t="s">
        <v>58</v>
      </c>
      <c r="B2800" s="4" t="s">
        <v>23134</v>
      </c>
      <c r="C2800" s="4" t="s">
        <v>23135</v>
      </c>
      <c r="D2800" s="4" t="s">
        <v>371</v>
      </c>
      <c r="E2800" s="4" t="s">
        <v>63</v>
      </c>
      <c r="F2800" s="4">
        <v>2017</v>
      </c>
      <c r="G2800" s="4">
        <v>1</v>
      </c>
      <c r="H2800" s="4">
        <v>32</v>
      </c>
      <c r="I2800" s="4">
        <v>2</v>
      </c>
      <c r="J2800" s="4" t="s">
        <v>23136</v>
      </c>
      <c r="K2800" s="4" t="s">
        <v>23137</v>
      </c>
      <c r="L2800" s="4" t="s">
        <v>23138</v>
      </c>
      <c r="M2800" s="4" t="s">
        <v>23139</v>
      </c>
      <c r="N2800" s="4" t="s">
        <v>23140</v>
      </c>
      <c r="O2800" s="4" t="s">
        <v>63</v>
      </c>
      <c r="P2800" s="4"/>
      <c r="Q2800" s="4" t="s">
        <v>63</v>
      </c>
      <c r="R2800" s="4" t="s">
        <v>63</v>
      </c>
      <c r="S2800" s="4" t="s">
        <v>63</v>
      </c>
      <c r="T2800" s="4" t="s">
        <v>63</v>
      </c>
      <c r="U2800" s="4"/>
      <c r="V2800" s="4"/>
      <c r="W2800" s="4"/>
      <c r="X2800" s="4" t="s">
        <v>63</v>
      </c>
      <c r="Y2800" s="4" t="s">
        <v>375</v>
      </c>
      <c r="Z2800" s="4" t="s">
        <v>63</v>
      </c>
      <c r="AA2800" s="4" t="s">
        <v>63</v>
      </c>
      <c r="AB2800" s="4" t="s">
        <v>63</v>
      </c>
      <c r="AC2800" s="4" t="s">
        <v>67</v>
      </c>
      <c r="AD2800" s="4" t="s">
        <v>63</v>
      </c>
      <c r="AE2800" s="4" t="s">
        <v>63</v>
      </c>
      <c r="AF2800" s="4" t="s">
        <v>63</v>
      </c>
      <c r="AG2800" s="4" t="s">
        <v>63</v>
      </c>
      <c r="AH2800" s="4" t="s">
        <v>63</v>
      </c>
      <c r="AI2800" s="4" t="s">
        <v>63</v>
      </c>
      <c r="AJ2800" s="4" t="s">
        <v>63</v>
      </c>
      <c r="AK2800" s="4" t="s">
        <v>63</v>
      </c>
      <c r="AL2800" s="4" t="s">
        <v>63</v>
      </c>
      <c r="AM2800" s="4" t="s">
        <v>23135</v>
      </c>
      <c r="AN2800" s="4" t="s">
        <v>63</v>
      </c>
      <c r="AO2800" s="4" t="s">
        <v>63</v>
      </c>
      <c r="AP2800" s="4" t="s">
        <v>63</v>
      </c>
      <c r="AQ2800" s="4" t="s">
        <v>63</v>
      </c>
      <c r="AR2800" s="4" t="s">
        <v>63</v>
      </c>
      <c r="AS2800" s="4" t="s">
        <v>63</v>
      </c>
      <c r="AT2800" s="4" t="s">
        <v>63</v>
      </c>
      <c r="AU2800" s="4" t="s">
        <v>63</v>
      </c>
      <c r="AV2800" s="4" t="s">
        <v>63</v>
      </c>
      <c r="AW2800" s="4" t="s">
        <v>63</v>
      </c>
      <c r="AX2800" s="4" t="s">
        <v>63</v>
      </c>
      <c r="AY2800" s="4" t="s">
        <v>63</v>
      </c>
      <c r="AZ2800" s="4" t="s">
        <v>63</v>
      </c>
      <c r="BA2800" s="4" t="s">
        <v>63</v>
      </c>
      <c r="BB2800" s="4" t="s">
        <v>63</v>
      </c>
      <c r="BC2800" s="4" t="s">
        <v>63</v>
      </c>
      <c r="BD2800" s="4" t="s">
        <v>63</v>
      </c>
      <c r="BE2800" s="4" t="s">
        <v>63</v>
      </c>
      <c r="BF2800" s="4" t="s">
        <v>63</v>
      </c>
    </row>
    <row r="2801" spans="1:58">
      <c r="A2801" s="4" t="s">
        <v>58</v>
      </c>
      <c r="B2801" s="4" t="s">
        <v>23141</v>
      </c>
      <c r="C2801" s="4" t="s">
        <v>23142</v>
      </c>
      <c r="D2801" s="4" t="s">
        <v>15589</v>
      </c>
      <c r="E2801" s="4" t="s">
        <v>63</v>
      </c>
      <c r="F2801" s="4">
        <v>2011</v>
      </c>
      <c r="G2801" s="4" t="s">
        <v>15389</v>
      </c>
      <c r="H2801" s="4" t="s">
        <v>23143</v>
      </c>
      <c r="I2801" s="4" t="s">
        <v>63</v>
      </c>
      <c r="J2801" s="4" t="s">
        <v>63</v>
      </c>
      <c r="K2801" s="4" t="s">
        <v>63</v>
      </c>
      <c r="L2801" s="4" t="s">
        <v>23144</v>
      </c>
      <c r="M2801" s="4" t="s">
        <v>23145</v>
      </c>
      <c r="N2801" s="4" t="s">
        <v>23146</v>
      </c>
      <c r="O2801" s="4" t="s">
        <v>63</v>
      </c>
      <c r="P2801" s="4"/>
      <c r="Q2801" s="4" t="s">
        <v>63</v>
      </c>
      <c r="R2801" s="4" t="s">
        <v>63</v>
      </c>
      <c r="S2801" s="4" t="s">
        <v>63</v>
      </c>
      <c r="T2801" s="4" t="s">
        <v>63</v>
      </c>
      <c r="U2801" s="4"/>
      <c r="V2801" s="4"/>
      <c r="W2801" s="4"/>
      <c r="X2801" s="4" t="s">
        <v>63</v>
      </c>
      <c r="Y2801" s="4" t="s">
        <v>3365</v>
      </c>
      <c r="Z2801" s="4" t="s">
        <v>63</v>
      </c>
      <c r="AA2801" s="4" t="s">
        <v>63</v>
      </c>
      <c r="AB2801" s="4" t="s">
        <v>63</v>
      </c>
      <c r="AC2801" s="4" t="s">
        <v>67</v>
      </c>
      <c r="AD2801" s="4" t="s">
        <v>63</v>
      </c>
      <c r="AE2801" s="4" t="s">
        <v>63</v>
      </c>
      <c r="AF2801" s="4" t="s">
        <v>63</v>
      </c>
      <c r="AG2801" s="4" t="s">
        <v>63</v>
      </c>
      <c r="AH2801" s="4" t="s">
        <v>63</v>
      </c>
      <c r="AI2801" s="4" t="s">
        <v>23147</v>
      </c>
      <c r="AJ2801" s="4" t="s">
        <v>63</v>
      </c>
      <c r="AK2801" s="4" t="s">
        <v>63</v>
      </c>
      <c r="AL2801" s="4" t="s">
        <v>63</v>
      </c>
      <c r="AM2801" s="4" t="s">
        <v>23142</v>
      </c>
      <c r="AN2801" s="4" t="s">
        <v>63</v>
      </c>
      <c r="AO2801" s="4" t="s">
        <v>63</v>
      </c>
      <c r="AP2801" s="4" t="s">
        <v>63</v>
      </c>
      <c r="AQ2801" s="4" t="s">
        <v>63</v>
      </c>
      <c r="AR2801" s="4" t="s">
        <v>63</v>
      </c>
      <c r="AS2801" s="4" t="s">
        <v>63</v>
      </c>
      <c r="AT2801" s="4" t="s">
        <v>63</v>
      </c>
      <c r="AU2801" s="4" t="s">
        <v>63</v>
      </c>
      <c r="AV2801" s="4" t="s">
        <v>63</v>
      </c>
      <c r="AW2801" s="4" t="s">
        <v>63</v>
      </c>
      <c r="AX2801" s="4" t="s">
        <v>63</v>
      </c>
      <c r="AY2801" s="4" t="s">
        <v>63</v>
      </c>
      <c r="AZ2801" s="4" t="s">
        <v>63</v>
      </c>
      <c r="BA2801" s="4" t="s">
        <v>63</v>
      </c>
      <c r="BB2801" s="4" t="s">
        <v>63</v>
      </c>
      <c r="BC2801" s="4" t="s">
        <v>63</v>
      </c>
      <c r="BD2801" s="4" t="s">
        <v>63</v>
      </c>
      <c r="BE2801" s="4" t="s">
        <v>63</v>
      </c>
      <c r="BF2801" s="4" t="s">
        <v>63</v>
      </c>
    </row>
    <row r="2802" spans="1:58">
      <c r="A2802" s="4" t="s">
        <v>58</v>
      </c>
      <c r="B2802" s="4" t="s">
        <v>23148</v>
      </c>
      <c r="C2802" s="4" t="s">
        <v>23149</v>
      </c>
      <c r="D2802" s="4" t="s">
        <v>18365</v>
      </c>
      <c r="E2802" s="4" t="s">
        <v>63</v>
      </c>
      <c r="F2802" s="4">
        <v>2018</v>
      </c>
      <c r="G2802" s="4">
        <v>2</v>
      </c>
      <c r="H2802" s="4">
        <v>20</v>
      </c>
      <c r="I2802" s="4">
        <v>5</v>
      </c>
      <c r="J2802" s="4">
        <v>531</v>
      </c>
      <c r="K2802" s="4">
        <v>542</v>
      </c>
      <c r="L2802" s="4" t="s">
        <v>23150</v>
      </c>
      <c r="M2802" s="4" t="s">
        <v>23151</v>
      </c>
      <c r="N2802" s="4" t="s">
        <v>23152</v>
      </c>
      <c r="O2802" s="4" t="s">
        <v>63</v>
      </c>
      <c r="P2802" s="4"/>
      <c r="Q2802" s="4" t="s">
        <v>63</v>
      </c>
      <c r="R2802" s="4" t="s">
        <v>63</v>
      </c>
      <c r="S2802" s="4" t="s">
        <v>63</v>
      </c>
      <c r="T2802" s="4" t="s">
        <v>63</v>
      </c>
      <c r="U2802" s="4"/>
      <c r="V2802" s="4"/>
      <c r="W2802" s="4"/>
      <c r="X2802" s="4" t="s">
        <v>63</v>
      </c>
      <c r="Y2802" s="4" t="s">
        <v>18378</v>
      </c>
      <c r="Z2802" s="4" t="s">
        <v>63</v>
      </c>
      <c r="AA2802" s="4" t="s">
        <v>63</v>
      </c>
      <c r="AB2802" s="4" t="s">
        <v>23153</v>
      </c>
      <c r="AC2802" s="4" t="s">
        <v>67</v>
      </c>
      <c r="AD2802" s="4" t="s">
        <v>63</v>
      </c>
      <c r="AE2802" s="4" t="s">
        <v>63</v>
      </c>
      <c r="AF2802" s="4" t="s">
        <v>63</v>
      </c>
      <c r="AG2802" s="4" t="s">
        <v>63</v>
      </c>
      <c r="AH2802" s="4" t="s">
        <v>63</v>
      </c>
      <c r="AI2802" s="4" t="s">
        <v>23154</v>
      </c>
      <c r="AJ2802" s="4" t="s">
        <v>63</v>
      </c>
      <c r="AK2802" s="4" t="s">
        <v>63</v>
      </c>
      <c r="AL2802" s="4" t="s">
        <v>63</v>
      </c>
      <c r="AM2802" s="4" t="s">
        <v>23149</v>
      </c>
      <c r="AN2802" s="4" t="s">
        <v>63</v>
      </c>
      <c r="AO2802" s="4" t="s">
        <v>63</v>
      </c>
      <c r="AP2802" s="4" t="s">
        <v>63</v>
      </c>
      <c r="AQ2802" s="4" t="s">
        <v>63</v>
      </c>
      <c r="AR2802" s="4" t="s">
        <v>63</v>
      </c>
      <c r="AS2802" s="4" t="s">
        <v>63</v>
      </c>
      <c r="AT2802" s="4" t="s">
        <v>63</v>
      </c>
      <c r="AU2802" s="4" t="s">
        <v>63</v>
      </c>
      <c r="AV2802" s="4" t="s">
        <v>63</v>
      </c>
      <c r="AW2802" s="4" t="s">
        <v>63</v>
      </c>
      <c r="AX2802" s="4" t="s">
        <v>63</v>
      </c>
      <c r="AY2802" s="4" t="s">
        <v>63</v>
      </c>
      <c r="AZ2802" s="4" t="s">
        <v>63</v>
      </c>
      <c r="BA2802" s="4" t="s">
        <v>63</v>
      </c>
      <c r="BB2802" s="4" t="s">
        <v>63</v>
      </c>
      <c r="BC2802" s="4" t="s">
        <v>63</v>
      </c>
      <c r="BD2802" s="4" t="s">
        <v>63</v>
      </c>
      <c r="BE2802" s="4" t="s">
        <v>63</v>
      </c>
      <c r="BF2802" s="4" t="s">
        <v>63</v>
      </c>
    </row>
    <row r="2803" spans="1:58">
      <c r="A2803" s="4" t="s">
        <v>58</v>
      </c>
      <c r="B2803" s="4" t="s">
        <v>23155</v>
      </c>
      <c r="C2803" s="4" t="s">
        <v>23156</v>
      </c>
      <c r="D2803" s="4" t="s">
        <v>13269</v>
      </c>
      <c r="E2803" s="4" t="s">
        <v>13270</v>
      </c>
      <c r="F2803" s="4">
        <v>2017</v>
      </c>
      <c r="G2803" s="4" t="s">
        <v>63</v>
      </c>
      <c r="H2803" s="4">
        <v>20</v>
      </c>
      <c r="I2803" s="4">
        <v>4</v>
      </c>
      <c r="J2803" s="4" t="s">
        <v>23157</v>
      </c>
      <c r="K2803" s="4" t="s">
        <v>63</v>
      </c>
      <c r="L2803" s="4" t="s">
        <v>23158</v>
      </c>
      <c r="M2803" s="4" t="s">
        <v>23159</v>
      </c>
      <c r="N2803" s="4" t="s">
        <v>23160</v>
      </c>
      <c r="O2803" s="4" t="s">
        <v>63</v>
      </c>
      <c r="P2803" s="4"/>
      <c r="Q2803" s="4" t="s">
        <v>63</v>
      </c>
      <c r="R2803" s="4" t="s">
        <v>63</v>
      </c>
      <c r="S2803" s="4" t="s">
        <v>63</v>
      </c>
      <c r="T2803" s="4" t="s">
        <v>63</v>
      </c>
      <c r="U2803" s="4"/>
      <c r="V2803" s="4"/>
      <c r="W2803" s="4"/>
      <c r="X2803" s="4" t="s">
        <v>63</v>
      </c>
      <c r="Y2803" s="4" t="s">
        <v>13274</v>
      </c>
      <c r="Z2803" s="4" t="s">
        <v>63</v>
      </c>
      <c r="AA2803" s="4" t="s">
        <v>63</v>
      </c>
      <c r="AB2803" s="4" t="s">
        <v>63</v>
      </c>
      <c r="AC2803" s="4" t="s">
        <v>67</v>
      </c>
      <c r="AD2803" s="4" t="s">
        <v>63</v>
      </c>
      <c r="AE2803" s="4" t="s">
        <v>63</v>
      </c>
      <c r="AF2803" s="4" t="s">
        <v>63</v>
      </c>
      <c r="AG2803" s="4" t="s">
        <v>63</v>
      </c>
      <c r="AH2803" s="4" t="s">
        <v>63</v>
      </c>
      <c r="AI2803" s="4" t="s">
        <v>23161</v>
      </c>
      <c r="AJ2803" s="4" t="s">
        <v>63</v>
      </c>
      <c r="AK2803" s="4" t="s">
        <v>63</v>
      </c>
      <c r="AL2803" s="4" t="s">
        <v>63</v>
      </c>
      <c r="AM2803" s="4" t="s">
        <v>23156</v>
      </c>
      <c r="AN2803" s="4" t="s">
        <v>63</v>
      </c>
      <c r="AO2803" s="4" t="s">
        <v>63</v>
      </c>
      <c r="AP2803" s="4" t="s">
        <v>63</v>
      </c>
      <c r="AQ2803" s="4" t="s">
        <v>63</v>
      </c>
      <c r="AR2803" s="4" t="s">
        <v>63</v>
      </c>
      <c r="AS2803" s="4" t="s">
        <v>63</v>
      </c>
      <c r="AT2803" s="4" t="s">
        <v>63</v>
      </c>
      <c r="AU2803" s="4" t="s">
        <v>63</v>
      </c>
      <c r="AV2803" s="4" t="s">
        <v>63</v>
      </c>
      <c r="AW2803" s="4" t="s">
        <v>63</v>
      </c>
      <c r="AX2803" s="4" t="s">
        <v>63</v>
      </c>
      <c r="AY2803" s="4" t="s">
        <v>63</v>
      </c>
      <c r="AZ2803" s="4" t="s">
        <v>63</v>
      </c>
      <c r="BA2803" s="4" t="s">
        <v>63</v>
      </c>
      <c r="BB2803" s="4" t="s">
        <v>63</v>
      </c>
      <c r="BC2803" s="4" t="s">
        <v>63</v>
      </c>
      <c r="BD2803" s="4" t="s">
        <v>63</v>
      </c>
      <c r="BE2803" s="4" t="s">
        <v>63</v>
      </c>
      <c r="BF2803" s="4" t="s">
        <v>63</v>
      </c>
    </row>
    <row r="2804" spans="1:58">
      <c r="A2804" s="4" t="s">
        <v>58</v>
      </c>
      <c r="B2804" s="4" t="s">
        <v>23162</v>
      </c>
      <c r="C2804" s="4" t="s">
        <v>23163</v>
      </c>
      <c r="D2804" s="4" t="s">
        <v>15713</v>
      </c>
      <c r="E2804" s="4" t="s">
        <v>15714</v>
      </c>
      <c r="F2804" s="4">
        <v>2017</v>
      </c>
      <c r="G2804" s="4">
        <v>2</v>
      </c>
      <c r="H2804" s="4">
        <v>22</v>
      </c>
      <c r="I2804" s="4">
        <v>6</v>
      </c>
      <c r="J2804" s="4">
        <v>592</v>
      </c>
      <c r="K2804" s="4">
        <v>596</v>
      </c>
      <c r="L2804" s="4" t="s">
        <v>23164</v>
      </c>
      <c r="M2804" s="4" t="s">
        <v>23165</v>
      </c>
      <c r="N2804" s="4" t="s">
        <v>23166</v>
      </c>
      <c r="O2804" s="4" t="s">
        <v>63</v>
      </c>
      <c r="P2804" s="4"/>
      <c r="Q2804" s="4" t="s">
        <v>63</v>
      </c>
      <c r="R2804" s="4" t="s">
        <v>63</v>
      </c>
      <c r="S2804" s="4" t="s">
        <v>63</v>
      </c>
      <c r="T2804" s="4" t="s">
        <v>63</v>
      </c>
      <c r="U2804" s="4"/>
      <c r="V2804" s="4"/>
      <c r="W2804" s="4"/>
      <c r="X2804" s="4" t="s">
        <v>63</v>
      </c>
      <c r="Y2804" s="4" t="s">
        <v>20025</v>
      </c>
      <c r="Z2804" s="4" t="s">
        <v>63</v>
      </c>
      <c r="AA2804" s="4" t="s">
        <v>63</v>
      </c>
      <c r="AB2804" s="4" t="s">
        <v>23167</v>
      </c>
      <c r="AC2804" s="4" t="s">
        <v>67</v>
      </c>
      <c r="AD2804" s="4" t="s">
        <v>63</v>
      </c>
      <c r="AE2804" s="4" t="s">
        <v>63</v>
      </c>
      <c r="AF2804" s="4" t="s">
        <v>63</v>
      </c>
      <c r="AG2804" s="4" t="s">
        <v>63</v>
      </c>
      <c r="AH2804" s="4" t="s">
        <v>63</v>
      </c>
      <c r="AI2804" s="4" t="s">
        <v>23168</v>
      </c>
      <c r="AJ2804" s="4" t="s">
        <v>63</v>
      </c>
      <c r="AK2804" s="4" t="s">
        <v>63</v>
      </c>
      <c r="AL2804" s="4" t="s">
        <v>63</v>
      </c>
      <c r="AM2804" s="4" t="s">
        <v>23163</v>
      </c>
      <c r="AN2804" s="4" t="s">
        <v>63</v>
      </c>
      <c r="AO2804" s="4" t="s">
        <v>63</v>
      </c>
      <c r="AP2804" s="4" t="s">
        <v>63</v>
      </c>
      <c r="AQ2804" s="4" t="s">
        <v>63</v>
      </c>
      <c r="AR2804" s="4" t="s">
        <v>63</v>
      </c>
      <c r="AS2804" s="4" t="s">
        <v>63</v>
      </c>
      <c r="AT2804" s="4" t="s">
        <v>63</v>
      </c>
      <c r="AU2804" s="4" t="s">
        <v>63</v>
      </c>
      <c r="AV2804" s="4" t="s">
        <v>63</v>
      </c>
      <c r="AW2804" s="4" t="s">
        <v>63</v>
      </c>
      <c r="AX2804" s="4" t="s">
        <v>63</v>
      </c>
      <c r="AY2804" s="4" t="s">
        <v>63</v>
      </c>
      <c r="AZ2804" s="4" t="s">
        <v>63</v>
      </c>
      <c r="BA2804" s="4" t="s">
        <v>63</v>
      </c>
      <c r="BB2804" s="4" t="s">
        <v>63</v>
      </c>
      <c r="BC2804" s="4" t="s">
        <v>63</v>
      </c>
      <c r="BD2804" s="4" t="s">
        <v>63</v>
      </c>
      <c r="BE2804" s="4" t="s">
        <v>63</v>
      </c>
      <c r="BF2804" s="4" t="s">
        <v>63</v>
      </c>
    </row>
    <row r="2805" spans="1:58">
      <c r="A2805" s="4" t="s">
        <v>58</v>
      </c>
      <c r="B2805" s="4" t="s">
        <v>23169</v>
      </c>
      <c r="C2805" s="4" t="s">
        <v>23170</v>
      </c>
      <c r="D2805" s="4" t="s">
        <v>15482</v>
      </c>
      <c r="E2805" s="4" t="s">
        <v>63</v>
      </c>
      <c r="F2805" s="4">
        <v>2015</v>
      </c>
      <c r="G2805" s="4" t="s">
        <v>15155</v>
      </c>
      <c r="H2805" s="4" t="s">
        <v>22942</v>
      </c>
      <c r="I2805" s="4" t="s">
        <v>63</v>
      </c>
      <c r="J2805" s="4" t="s">
        <v>23171</v>
      </c>
      <c r="K2805" s="4" t="s">
        <v>63</v>
      </c>
      <c r="L2805" s="4" t="s">
        <v>23172</v>
      </c>
      <c r="M2805" s="4" t="s">
        <v>23173</v>
      </c>
      <c r="N2805" s="4" t="s">
        <v>23174</v>
      </c>
      <c r="O2805" s="4" t="s">
        <v>63</v>
      </c>
      <c r="P2805" s="4"/>
      <c r="Q2805" s="4" t="s">
        <v>63</v>
      </c>
      <c r="R2805" s="4" t="s">
        <v>63</v>
      </c>
      <c r="S2805" s="4" t="s">
        <v>63</v>
      </c>
      <c r="T2805" s="4" t="s">
        <v>63</v>
      </c>
      <c r="U2805" s="4"/>
      <c r="V2805" s="4"/>
      <c r="W2805" s="4"/>
      <c r="X2805" s="4" t="s">
        <v>63</v>
      </c>
      <c r="Y2805" s="4" t="s">
        <v>4853</v>
      </c>
      <c r="Z2805" s="4" t="s">
        <v>63</v>
      </c>
      <c r="AA2805" s="4" t="s">
        <v>63</v>
      </c>
      <c r="AB2805" s="4" t="s">
        <v>63</v>
      </c>
      <c r="AC2805" s="4" t="s">
        <v>67</v>
      </c>
      <c r="AD2805" s="4" t="s">
        <v>63</v>
      </c>
      <c r="AE2805" s="4" t="s">
        <v>63</v>
      </c>
      <c r="AF2805" s="4" t="s">
        <v>63</v>
      </c>
      <c r="AG2805" s="4" t="s">
        <v>63</v>
      </c>
      <c r="AH2805" s="4" t="s">
        <v>63</v>
      </c>
      <c r="AI2805" s="4" t="s">
        <v>22947</v>
      </c>
      <c r="AJ2805" s="4" t="s">
        <v>63</v>
      </c>
      <c r="AK2805" s="4" t="s">
        <v>63</v>
      </c>
      <c r="AL2805" s="4" t="s">
        <v>63</v>
      </c>
      <c r="AM2805" s="4" t="s">
        <v>23170</v>
      </c>
      <c r="AN2805" s="4" t="s">
        <v>63</v>
      </c>
      <c r="AO2805" s="4" t="s">
        <v>63</v>
      </c>
      <c r="AP2805" s="4" t="s">
        <v>63</v>
      </c>
      <c r="AQ2805" s="4" t="s">
        <v>63</v>
      </c>
      <c r="AR2805" s="4" t="s">
        <v>63</v>
      </c>
      <c r="AS2805" s="4" t="s">
        <v>63</v>
      </c>
      <c r="AT2805" s="4" t="s">
        <v>63</v>
      </c>
      <c r="AU2805" s="4" t="s">
        <v>63</v>
      </c>
      <c r="AV2805" s="4" t="s">
        <v>63</v>
      </c>
      <c r="AW2805" s="4" t="s">
        <v>63</v>
      </c>
      <c r="AX2805" s="4" t="s">
        <v>63</v>
      </c>
      <c r="AY2805" s="4" t="s">
        <v>63</v>
      </c>
      <c r="AZ2805" s="4" t="s">
        <v>63</v>
      </c>
      <c r="BA2805" s="4" t="s">
        <v>63</v>
      </c>
      <c r="BB2805" s="4" t="s">
        <v>63</v>
      </c>
      <c r="BC2805" s="4" t="s">
        <v>63</v>
      </c>
      <c r="BD2805" s="4" t="s">
        <v>63</v>
      </c>
      <c r="BE2805" s="4" t="s">
        <v>63</v>
      </c>
      <c r="BF2805" s="4" t="s">
        <v>63</v>
      </c>
    </row>
    <row r="2806" spans="1:58">
      <c r="A2806" s="4" t="s">
        <v>58</v>
      </c>
      <c r="B2806" s="4" t="s">
        <v>23175</v>
      </c>
      <c r="C2806" s="4" t="s">
        <v>23176</v>
      </c>
      <c r="D2806" s="4" t="s">
        <v>15482</v>
      </c>
      <c r="E2806" s="4" t="s">
        <v>63</v>
      </c>
      <c r="F2806" s="4">
        <v>2016</v>
      </c>
      <c r="G2806" s="4" t="s">
        <v>15155</v>
      </c>
      <c r="H2806" s="4" t="s">
        <v>19541</v>
      </c>
      <c r="I2806" s="4" t="s">
        <v>63</v>
      </c>
      <c r="J2806" s="4" t="s">
        <v>23177</v>
      </c>
      <c r="K2806" s="4" t="s">
        <v>63</v>
      </c>
      <c r="L2806" s="4" t="s">
        <v>23178</v>
      </c>
      <c r="M2806" s="4" t="s">
        <v>23179</v>
      </c>
      <c r="N2806" s="4" t="s">
        <v>23180</v>
      </c>
      <c r="O2806" s="4" t="s">
        <v>63</v>
      </c>
      <c r="P2806" s="4"/>
      <c r="Q2806" s="4" t="s">
        <v>63</v>
      </c>
      <c r="R2806" s="4" t="s">
        <v>63</v>
      </c>
      <c r="S2806" s="4" t="s">
        <v>63</v>
      </c>
      <c r="T2806" s="4" t="s">
        <v>63</v>
      </c>
      <c r="U2806" s="4"/>
      <c r="V2806" s="4"/>
      <c r="W2806" s="4"/>
      <c r="X2806" s="4" t="s">
        <v>63</v>
      </c>
      <c r="Y2806" s="4" t="s">
        <v>16851</v>
      </c>
      <c r="Z2806" s="4" t="s">
        <v>63</v>
      </c>
      <c r="AA2806" s="4" t="s">
        <v>63</v>
      </c>
      <c r="AB2806" s="4" t="s">
        <v>63</v>
      </c>
      <c r="AC2806" s="4" t="s">
        <v>67</v>
      </c>
      <c r="AD2806" s="4" t="s">
        <v>63</v>
      </c>
      <c r="AE2806" s="4" t="s">
        <v>63</v>
      </c>
      <c r="AF2806" s="4" t="s">
        <v>63</v>
      </c>
      <c r="AG2806" s="4" t="s">
        <v>63</v>
      </c>
      <c r="AH2806" s="4" t="s">
        <v>63</v>
      </c>
      <c r="AI2806" s="4" t="s">
        <v>23181</v>
      </c>
      <c r="AJ2806" s="4" t="s">
        <v>63</v>
      </c>
      <c r="AK2806" s="4" t="s">
        <v>63</v>
      </c>
      <c r="AL2806" s="4" t="s">
        <v>63</v>
      </c>
      <c r="AM2806" s="4" t="s">
        <v>23176</v>
      </c>
      <c r="AN2806" s="4" t="s">
        <v>63</v>
      </c>
      <c r="AO2806" s="4" t="s">
        <v>63</v>
      </c>
      <c r="AP2806" s="4" t="s">
        <v>63</v>
      </c>
      <c r="AQ2806" s="4" t="s">
        <v>63</v>
      </c>
      <c r="AR2806" s="4" t="s">
        <v>63</v>
      </c>
      <c r="AS2806" s="4" t="s">
        <v>63</v>
      </c>
      <c r="AT2806" s="4" t="s">
        <v>63</v>
      </c>
      <c r="AU2806" s="4" t="s">
        <v>63</v>
      </c>
      <c r="AV2806" s="4" t="s">
        <v>63</v>
      </c>
      <c r="AW2806" s="4" t="s">
        <v>63</v>
      </c>
      <c r="AX2806" s="4" t="s">
        <v>63</v>
      </c>
      <c r="AY2806" s="4" t="s">
        <v>63</v>
      </c>
      <c r="AZ2806" s="4" t="s">
        <v>63</v>
      </c>
      <c r="BA2806" s="4" t="s">
        <v>63</v>
      </c>
      <c r="BB2806" s="4" t="s">
        <v>63</v>
      </c>
      <c r="BC2806" s="4" t="s">
        <v>63</v>
      </c>
      <c r="BD2806" s="4" t="s">
        <v>63</v>
      </c>
      <c r="BE2806" s="4" t="s">
        <v>63</v>
      </c>
      <c r="BF2806" s="4" t="s">
        <v>63</v>
      </c>
    </row>
    <row r="2807" spans="1:58">
      <c r="A2807" s="4" t="s">
        <v>58</v>
      </c>
      <c r="B2807" s="4" t="s">
        <v>23182</v>
      </c>
      <c r="C2807" s="4" t="s">
        <v>23183</v>
      </c>
      <c r="D2807" s="4" t="s">
        <v>4567</v>
      </c>
      <c r="E2807" s="4" t="s">
        <v>4568</v>
      </c>
      <c r="F2807" s="4">
        <v>2006</v>
      </c>
      <c r="G2807" s="4" t="s">
        <v>15165</v>
      </c>
      <c r="H2807" s="4">
        <v>42</v>
      </c>
      <c r="I2807" s="4">
        <v>4</v>
      </c>
      <c r="J2807" s="4">
        <v>286</v>
      </c>
      <c r="K2807" s="4">
        <v>290</v>
      </c>
      <c r="L2807" s="4" t="s">
        <v>23184</v>
      </c>
      <c r="M2807" s="4" t="s">
        <v>23185</v>
      </c>
      <c r="N2807" s="4" t="s">
        <v>23186</v>
      </c>
      <c r="O2807" s="4" t="s">
        <v>63</v>
      </c>
      <c r="P2807" s="4"/>
      <c r="Q2807" s="4" t="s">
        <v>63</v>
      </c>
      <c r="R2807" s="4" t="s">
        <v>63</v>
      </c>
      <c r="S2807" s="4" t="s">
        <v>63</v>
      </c>
      <c r="T2807" s="4" t="s">
        <v>63</v>
      </c>
      <c r="U2807" s="4"/>
      <c r="V2807" s="4"/>
      <c r="W2807" s="4"/>
      <c r="X2807" s="4" t="s">
        <v>63</v>
      </c>
      <c r="Y2807" s="4" t="s">
        <v>5761</v>
      </c>
      <c r="Z2807" s="4" t="s">
        <v>63</v>
      </c>
      <c r="AA2807" s="4" t="s">
        <v>63</v>
      </c>
      <c r="AB2807" s="4">
        <v>2006190115</v>
      </c>
      <c r="AC2807" s="4" t="s">
        <v>67</v>
      </c>
      <c r="AD2807" s="4" t="s">
        <v>63</v>
      </c>
      <c r="AE2807" s="4" t="s">
        <v>63</v>
      </c>
      <c r="AF2807" s="4" t="s">
        <v>63</v>
      </c>
      <c r="AG2807" s="4" t="s">
        <v>23187</v>
      </c>
      <c r="AH2807" s="4" t="s">
        <v>63</v>
      </c>
      <c r="AI2807" s="4" t="s">
        <v>23188</v>
      </c>
      <c r="AJ2807" s="4" t="s">
        <v>63</v>
      </c>
      <c r="AK2807" s="4" t="s">
        <v>63</v>
      </c>
      <c r="AL2807" s="4" t="s">
        <v>63</v>
      </c>
      <c r="AM2807" s="4" t="s">
        <v>23189</v>
      </c>
      <c r="AN2807" s="4" t="s">
        <v>63</v>
      </c>
      <c r="AO2807" s="4" t="s">
        <v>63</v>
      </c>
      <c r="AP2807" s="4" t="s">
        <v>63</v>
      </c>
      <c r="AQ2807" s="4" t="s">
        <v>63</v>
      </c>
      <c r="AR2807" s="4" t="s">
        <v>63</v>
      </c>
      <c r="AS2807" s="4" t="s">
        <v>63</v>
      </c>
      <c r="AT2807" s="4" t="s">
        <v>63</v>
      </c>
      <c r="AU2807" s="4" t="s">
        <v>63</v>
      </c>
      <c r="AV2807" s="4" t="s">
        <v>63</v>
      </c>
      <c r="AW2807" s="4" t="s">
        <v>63</v>
      </c>
      <c r="AX2807" s="4" t="s">
        <v>63</v>
      </c>
      <c r="AY2807" s="4" t="s">
        <v>63</v>
      </c>
      <c r="AZ2807" s="4" t="s">
        <v>63</v>
      </c>
      <c r="BA2807" s="4" t="s">
        <v>63</v>
      </c>
      <c r="BB2807" s="4" t="s">
        <v>63</v>
      </c>
      <c r="BC2807" s="4" t="s">
        <v>63</v>
      </c>
      <c r="BD2807" s="4" t="s">
        <v>63</v>
      </c>
      <c r="BE2807" s="4" t="s">
        <v>63</v>
      </c>
      <c r="BF2807" s="4" t="s">
        <v>63</v>
      </c>
    </row>
    <row r="2808" spans="1:58">
      <c r="A2808" s="4" t="s">
        <v>58</v>
      </c>
      <c r="B2808" s="4" t="s">
        <v>23190</v>
      </c>
      <c r="C2808" s="4" t="s">
        <v>23191</v>
      </c>
      <c r="D2808" s="4" t="s">
        <v>6854</v>
      </c>
      <c r="E2808" s="4" t="s">
        <v>63</v>
      </c>
      <c r="F2808" s="4">
        <v>2012</v>
      </c>
      <c r="G2808" s="6">
        <v>41882</v>
      </c>
      <c r="H2808" s="4" t="s">
        <v>16970</v>
      </c>
      <c r="I2808" s="4" t="s">
        <v>63</v>
      </c>
      <c r="J2808" s="4" t="s">
        <v>63</v>
      </c>
      <c r="K2808" s="4" t="s">
        <v>63</v>
      </c>
      <c r="L2808" s="4" t="s">
        <v>23192</v>
      </c>
      <c r="M2808" s="4" t="s">
        <v>23193</v>
      </c>
      <c r="N2808" s="4" t="s">
        <v>23194</v>
      </c>
      <c r="O2808" s="4" t="s">
        <v>63</v>
      </c>
      <c r="P2808" s="4"/>
      <c r="Q2808" s="4" t="s">
        <v>63</v>
      </c>
      <c r="R2808" s="4" t="s">
        <v>63</v>
      </c>
      <c r="S2808" s="4" t="s">
        <v>63</v>
      </c>
      <c r="T2808" s="4" t="s">
        <v>63</v>
      </c>
      <c r="U2808" s="4"/>
      <c r="V2808" s="4"/>
      <c r="W2808" s="4"/>
      <c r="X2808" s="4" t="s">
        <v>63</v>
      </c>
      <c r="Y2808" s="4" t="s">
        <v>15322</v>
      </c>
      <c r="Z2808" s="4" t="s">
        <v>63</v>
      </c>
      <c r="AA2808" s="4" t="s">
        <v>63</v>
      </c>
      <c r="AB2808" s="4" t="s">
        <v>63</v>
      </c>
      <c r="AC2808" s="4" t="s">
        <v>67</v>
      </c>
      <c r="AD2808" s="4" t="s">
        <v>63</v>
      </c>
      <c r="AE2808" s="4" t="s">
        <v>63</v>
      </c>
      <c r="AF2808" s="4" t="s">
        <v>63</v>
      </c>
      <c r="AG2808" s="4" t="s">
        <v>63</v>
      </c>
      <c r="AH2808" s="4" t="s">
        <v>63</v>
      </c>
      <c r="AI2808" s="4" t="s">
        <v>63</v>
      </c>
      <c r="AJ2808" s="4" t="s">
        <v>63</v>
      </c>
      <c r="AK2808" s="4" t="s">
        <v>63</v>
      </c>
      <c r="AL2808" s="4" t="s">
        <v>63</v>
      </c>
      <c r="AM2808" s="4" t="s">
        <v>23191</v>
      </c>
      <c r="AN2808" s="4" t="s">
        <v>63</v>
      </c>
      <c r="AO2808" s="4" t="s">
        <v>63</v>
      </c>
      <c r="AP2808" s="4" t="s">
        <v>63</v>
      </c>
      <c r="AQ2808" s="4" t="s">
        <v>63</v>
      </c>
      <c r="AR2808" s="4" t="s">
        <v>63</v>
      </c>
      <c r="AS2808" s="4" t="s">
        <v>63</v>
      </c>
      <c r="AT2808" s="4" t="s">
        <v>63</v>
      </c>
      <c r="AU2808" s="4" t="s">
        <v>63</v>
      </c>
      <c r="AV2808" s="4" t="s">
        <v>63</v>
      </c>
      <c r="AW2808" s="4" t="s">
        <v>63</v>
      </c>
      <c r="AX2808" s="4" t="s">
        <v>63</v>
      </c>
      <c r="AY2808" s="4" t="s">
        <v>63</v>
      </c>
      <c r="AZ2808" s="4" t="s">
        <v>63</v>
      </c>
      <c r="BA2808" s="4" t="s">
        <v>63</v>
      </c>
      <c r="BB2808" s="4" t="s">
        <v>63</v>
      </c>
      <c r="BC2808" s="4" t="s">
        <v>63</v>
      </c>
      <c r="BD2808" s="4" t="s">
        <v>63</v>
      </c>
      <c r="BE2808" s="4" t="s">
        <v>63</v>
      </c>
      <c r="BF2808" s="4" t="s">
        <v>63</v>
      </c>
    </row>
    <row r="2809" spans="1:58">
      <c r="A2809" s="4" t="s">
        <v>58</v>
      </c>
      <c r="B2809" s="4" t="s">
        <v>23195</v>
      </c>
      <c r="C2809" s="4" t="s">
        <v>23196</v>
      </c>
      <c r="D2809" s="4" t="s">
        <v>18365</v>
      </c>
      <c r="E2809" s="4" t="s">
        <v>63</v>
      </c>
      <c r="F2809" s="4">
        <v>2013</v>
      </c>
      <c r="G2809" s="4" t="s">
        <v>15665</v>
      </c>
      <c r="H2809" s="4">
        <v>15</v>
      </c>
      <c r="I2809" s="4">
        <v>2</v>
      </c>
      <c r="J2809" s="4">
        <v>482</v>
      </c>
      <c r="K2809" s="4">
        <v>491</v>
      </c>
      <c r="L2809" s="4" t="s">
        <v>23197</v>
      </c>
      <c r="M2809" s="4" t="s">
        <v>23198</v>
      </c>
      <c r="N2809" s="4" t="s">
        <v>23199</v>
      </c>
      <c r="O2809" s="4" t="s">
        <v>63</v>
      </c>
      <c r="P2809" s="4"/>
      <c r="Q2809" s="4" t="s">
        <v>63</v>
      </c>
      <c r="R2809" s="4" t="s">
        <v>63</v>
      </c>
      <c r="S2809" s="4" t="s">
        <v>63</v>
      </c>
      <c r="T2809" s="4" t="s">
        <v>63</v>
      </c>
      <c r="U2809" s="4"/>
      <c r="V2809" s="4"/>
      <c r="W2809" s="4"/>
      <c r="X2809" s="4" t="s">
        <v>63</v>
      </c>
      <c r="Y2809" s="4" t="s">
        <v>18369</v>
      </c>
      <c r="Z2809" s="4" t="s">
        <v>63</v>
      </c>
      <c r="AA2809" s="4" t="s">
        <v>63</v>
      </c>
      <c r="AB2809" s="4">
        <v>2013064619</v>
      </c>
      <c r="AC2809" s="4" t="s">
        <v>67</v>
      </c>
      <c r="AD2809" s="4" t="s">
        <v>63</v>
      </c>
      <c r="AE2809" s="4" t="s">
        <v>63</v>
      </c>
      <c r="AF2809" s="4" t="s">
        <v>63</v>
      </c>
      <c r="AG2809" s="4" t="s">
        <v>23200</v>
      </c>
      <c r="AH2809" s="4" t="s">
        <v>63</v>
      </c>
      <c r="AI2809" s="4" t="s">
        <v>23201</v>
      </c>
      <c r="AJ2809" s="4" t="s">
        <v>63</v>
      </c>
      <c r="AK2809" s="4" t="s">
        <v>63</v>
      </c>
      <c r="AL2809" s="4" t="s">
        <v>63</v>
      </c>
      <c r="AM2809" s="4" t="s">
        <v>23202</v>
      </c>
      <c r="AN2809" s="4" t="s">
        <v>63</v>
      </c>
      <c r="AO2809" s="4" t="s">
        <v>63</v>
      </c>
      <c r="AP2809" s="4" t="s">
        <v>63</v>
      </c>
      <c r="AQ2809" s="4" t="s">
        <v>63</v>
      </c>
      <c r="AR2809" s="4" t="s">
        <v>63</v>
      </c>
      <c r="AS2809" s="4" t="s">
        <v>63</v>
      </c>
      <c r="AT2809" s="4" t="s">
        <v>63</v>
      </c>
      <c r="AU2809" s="4" t="s">
        <v>63</v>
      </c>
      <c r="AV2809" s="4" t="s">
        <v>63</v>
      </c>
      <c r="AW2809" s="4" t="s">
        <v>63</v>
      </c>
      <c r="AX2809" s="4" t="s">
        <v>63</v>
      </c>
      <c r="AY2809" s="4" t="s">
        <v>63</v>
      </c>
      <c r="AZ2809" s="4" t="s">
        <v>63</v>
      </c>
      <c r="BA2809" s="4" t="s">
        <v>63</v>
      </c>
      <c r="BB2809" s="4" t="s">
        <v>63</v>
      </c>
      <c r="BC2809" s="4" t="s">
        <v>63</v>
      </c>
      <c r="BD2809" s="4" t="s">
        <v>63</v>
      </c>
      <c r="BE2809" s="4" t="s">
        <v>63</v>
      </c>
      <c r="BF2809" s="4" t="s">
        <v>63</v>
      </c>
    </row>
    <row r="2810" spans="1:58">
      <c r="A2810" s="4" t="s">
        <v>58</v>
      </c>
      <c r="B2810" s="4" t="s">
        <v>23203</v>
      </c>
      <c r="C2810" s="4" t="s">
        <v>23204</v>
      </c>
      <c r="D2810" s="4" t="s">
        <v>15421</v>
      </c>
      <c r="E2810" s="4" t="s">
        <v>63</v>
      </c>
      <c r="F2810" s="4">
        <v>2010</v>
      </c>
      <c r="G2810" s="4" t="s">
        <v>84</v>
      </c>
      <c r="H2810" s="4">
        <v>31</v>
      </c>
      <c r="I2810" s="4">
        <v>2</v>
      </c>
      <c r="J2810" s="4">
        <v>77</v>
      </c>
      <c r="K2810" s="4">
        <v>78</v>
      </c>
      <c r="L2810" s="4" t="s">
        <v>23205</v>
      </c>
      <c r="M2810" s="4" t="s">
        <v>63</v>
      </c>
      <c r="N2810" s="4" t="s">
        <v>23206</v>
      </c>
      <c r="O2810" s="4" t="s">
        <v>63</v>
      </c>
      <c r="P2810" s="4"/>
      <c r="Q2810" s="4" t="s">
        <v>63</v>
      </c>
      <c r="R2810" s="4" t="s">
        <v>63</v>
      </c>
      <c r="S2810" s="4" t="s">
        <v>63</v>
      </c>
      <c r="T2810" s="4" t="s">
        <v>63</v>
      </c>
      <c r="U2810" s="4"/>
      <c r="V2810" s="4"/>
      <c r="W2810" s="4"/>
      <c r="X2810" s="4" t="s">
        <v>63</v>
      </c>
      <c r="Y2810" s="4" t="s">
        <v>15425</v>
      </c>
      <c r="Z2810" s="4" t="s">
        <v>63</v>
      </c>
      <c r="AA2810" s="4" t="s">
        <v>63</v>
      </c>
      <c r="AB2810" s="4" t="s">
        <v>63</v>
      </c>
      <c r="AC2810" s="4" t="s">
        <v>67</v>
      </c>
      <c r="AD2810" s="4" t="s">
        <v>63</v>
      </c>
      <c r="AE2810" s="4" t="s">
        <v>63</v>
      </c>
      <c r="AF2810" s="4" t="s">
        <v>63</v>
      </c>
      <c r="AG2810" s="4" t="s">
        <v>23207</v>
      </c>
      <c r="AH2810" s="4" t="s">
        <v>63</v>
      </c>
      <c r="AI2810" s="4" t="s">
        <v>23208</v>
      </c>
      <c r="AJ2810" s="4" t="s">
        <v>63</v>
      </c>
      <c r="AK2810" s="4" t="s">
        <v>63</v>
      </c>
      <c r="AL2810" s="4" t="s">
        <v>63</v>
      </c>
      <c r="AM2810" s="4" t="s">
        <v>23209</v>
      </c>
      <c r="AN2810" s="4" t="s">
        <v>63</v>
      </c>
      <c r="AO2810" s="4" t="s">
        <v>63</v>
      </c>
      <c r="AP2810" s="4" t="s">
        <v>63</v>
      </c>
      <c r="AQ2810" s="4" t="s">
        <v>63</v>
      </c>
      <c r="AR2810" s="4" t="s">
        <v>63</v>
      </c>
      <c r="AS2810" s="4" t="s">
        <v>63</v>
      </c>
      <c r="AT2810" s="4" t="s">
        <v>63</v>
      </c>
      <c r="AU2810" s="4" t="s">
        <v>63</v>
      </c>
      <c r="AV2810" s="4" t="s">
        <v>63</v>
      </c>
      <c r="AW2810" s="4" t="s">
        <v>63</v>
      </c>
      <c r="AX2810" s="4" t="s">
        <v>63</v>
      </c>
      <c r="AY2810" s="4" t="s">
        <v>63</v>
      </c>
      <c r="AZ2810" s="4" t="s">
        <v>63</v>
      </c>
      <c r="BA2810" s="4" t="s">
        <v>63</v>
      </c>
      <c r="BB2810" s="4" t="s">
        <v>63</v>
      </c>
      <c r="BC2810" s="4" t="s">
        <v>63</v>
      </c>
      <c r="BD2810" s="4" t="s">
        <v>63</v>
      </c>
      <c r="BE2810" s="4" t="s">
        <v>63</v>
      </c>
      <c r="BF2810" s="4" t="s">
        <v>63</v>
      </c>
    </row>
    <row r="2811" spans="1:58">
      <c r="A2811" s="4" t="s">
        <v>58</v>
      </c>
      <c r="B2811" s="4" t="s">
        <v>23210</v>
      </c>
      <c r="C2811" s="4" t="s">
        <v>23211</v>
      </c>
      <c r="D2811" s="4" t="s">
        <v>22241</v>
      </c>
      <c r="E2811" s="4" t="s">
        <v>63</v>
      </c>
      <c r="F2811" s="4">
        <v>2012</v>
      </c>
      <c r="G2811" s="4" t="s">
        <v>15358</v>
      </c>
      <c r="H2811" s="4" t="s">
        <v>17637</v>
      </c>
      <c r="I2811" s="4" t="s">
        <v>63</v>
      </c>
      <c r="J2811" s="4">
        <v>89</v>
      </c>
      <c r="K2811" s="4">
        <v>90</v>
      </c>
      <c r="L2811" s="4" t="s">
        <v>23212</v>
      </c>
      <c r="M2811" s="4" t="s">
        <v>23213</v>
      </c>
      <c r="N2811" s="4" t="s">
        <v>23214</v>
      </c>
      <c r="O2811" s="4" t="s">
        <v>63</v>
      </c>
      <c r="P2811" s="4"/>
      <c r="Q2811" s="4" t="s">
        <v>63</v>
      </c>
      <c r="R2811" s="4" t="s">
        <v>63</v>
      </c>
      <c r="S2811" s="4" t="s">
        <v>63</v>
      </c>
      <c r="T2811" s="4" t="s">
        <v>63</v>
      </c>
      <c r="U2811" s="4"/>
      <c r="V2811" s="4"/>
      <c r="W2811" s="4"/>
      <c r="X2811" s="4" t="s">
        <v>63</v>
      </c>
      <c r="Y2811" s="4" t="s">
        <v>22245</v>
      </c>
      <c r="Z2811" s="4" t="s">
        <v>63</v>
      </c>
      <c r="AA2811" s="4" t="s">
        <v>63</v>
      </c>
      <c r="AB2811" s="4" t="s">
        <v>63</v>
      </c>
      <c r="AC2811" s="4" t="s">
        <v>67</v>
      </c>
      <c r="AD2811" s="4" t="s">
        <v>63</v>
      </c>
      <c r="AE2811" s="4" t="s">
        <v>63</v>
      </c>
      <c r="AF2811" s="4" t="s">
        <v>63</v>
      </c>
      <c r="AG2811" s="4" t="s">
        <v>63</v>
      </c>
      <c r="AH2811" s="4" t="s">
        <v>63</v>
      </c>
      <c r="AI2811" s="4" t="s">
        <v>23215</v>
      </c>
      <c r="AJ2811" s="4" t="s">
        <v>63</v>
      </c>
      <c r="AK2811" s="4" t="s">
        <v>63</v>
      </c>
      <c r="AL2811" s="4" t="s">
        <v>63</v>
      </c>
      <c r="AM2811" s="4" t="s">
        <v>23211</v>
      </c>
      <c r="AN2811" s="4" t="s">
        <v>63</v>
      </c>
      <c r="AO2811" s="4" t="s">
        <v>63</v>
      </c>
      <c r="AP2811" s="4" t="s">
        <v>63</v>
      </c>
      <c r="AQ2811" s="4" t="s">
        <v>63</v>
      </c>
      <c r="AR2811" s="4" t="s">
        <v>63</v>
      </c>
      <c r="AS2811" s="4" t="s">
        <v>63</v>
      </c>
      <c r="AT2811" s="4" t="s">
        <v>63</v>
      </c>
      <c r="AU2811" s="4" t="s">
        <v>63</v>
      </c>
      <c r="AV2811" s="4" t="s">
        <v>63</v>
      </c>
      <c r="AW2811" s="4" t="s">
        <v>63</v>
      </c>
      <c r="AX2811" s="4" t="s">
        <v>63</v>
      </c>
      <c r="AY2811" s="4" t="s">
        <v>63</v>
      </c>
      <c r="AZ2811" s="4" t="s">
        <v>63</v>
      </c>
      <c r="BA2811" s="4" t="s">
        <v>63</v>
      </c>
      <c r="BB2811" s="4" t="s">
        <v>63</v>
      </c>
      <c r="BC2811" s="4" t="s">
        <v>63</v>
      </c>
      <c r="BD2811" s="4" t="s">
        <v>63</v>
      </c>
      <c r="BE2811" s="4" t="s">
        <v>63</v>
      </c>
      <c r="BF2811" s="4" t="s">
        <v>63</v>
      </c>
    </row>
    <row r="2812" spans="1:58">
      <c r="A2812" s="4" t="s">
        <v>58</v>
      </c>
      <c r="B2812" s="4" t="s">
        <v>23216</v>
      </c>
      <c r="C2812" s="4" t="s">
        <v>23217</v>
      </c>
      <c r="D2812" s="4" t="s">
        <v>17344</v>
      </c>
      <c r="E2812" s="4" t="s">
        <v>63</v>
      </c>
      <c r="F2812" s="4">
        <v>2016</v>
      </c>
      <c r="G2812" s="4" t="s">
        <v>63</v>
      </c>
      <c r="H2812" s="4" t="s">
        <v>23218</v>
      </c>
      <c r="I2812" s="4" t="s">
        <v>63</v>
      </c>
      <c r="J2812" s="4" t="s">
        <v>63</v>
      </c>
      <c r="K2812" s="4" t="s">
        <v>63</v>
      </c>
      <c r="L2812" s="4" t="s">
        <v>23219</v>
      </c>
      <c r="M2812" s="4" t="s">
        <v>23220</v>
      </c>
      <c r="N2812" s="4" t="s">
        <v>23221</v>
      </c>
      <c r="O2812" s="4" t="s">
        <v>63</v>
      </c>
      <c r="P2812" s="4"/>
      <c r="Q2812" s="4" t="s">
        <v>63</v>
      </c>
      <c r="R2812" s="4" t="s">
        <v>63</v>
      </c>
      <c r="S2812" s="4" t="s">
        <v>63</v>
      </c>
      <c r="T2812" s="4" t="s">
        <v>63</v>
      </c>
      <c r="U2812" s="4"/>
      <c r="V2812" s="4"/>
      <c r="W2812" s="4"/>
      <c r="X2812" s="4" t="s">
        <v>63</v>
      </c>
      <c r="Y2812" s="4" t="s">
        <v>17349</v>
      </c>
      <c r="Z2812" s="4" t="s">
        <v>63</v>
      </c>
      <c r="AA2812" s="4" t="s">
        <v>63</v>
      </c>
      <c r="AB2812" s="4" t="s">
        <v>23222</v>
      </c>
      <c r="AC2812" s="4" t="s">
        <v>67</v>
      </c>
      <c r="AD2812" s="4" t="s">
        <v>63</v>
      </c>
      <c r="AE2812" s="4" t="s">
        <v>63</v>
      </c>
      <c r="AF2812" s="4" t="s">
        <v>63</v>
      </c>
      <c r="AG2812" s="4" t="s">
        <v>63</v>
      </c>
      <c r="AH2812" s="4" t="s">
        <v>63</v>
      </c>
      <c r="AI2812" s="4" t="s">
        <v>23223</v>
      </c>
      <c r="AJ2812" s="4" t="s">
        <v>63</v>
      </c>
      <c r="AK2812" s="4" t="s">
        <v>63</v>
      </c>
      <c r="AL2812" s="4" t="s">
        <v>63</v>
      </c>
      <c r="AM2812" s="4" t="s">
        <v>23217</v>
      </c>
      <c r="AN2812" s="4" t="s">
        <v>63</v>
      </c>
      <c r="AO2812" s="4" t="s">
        <v>63</v>
      </c>
      <c r="AP2812" s="4" t="s">
        <v>63</v>
      </c>
      <c r="AQ2812" s="4" t="s">
        <v>63</v>
      </c>
      <c r="AR2812" s="4" t="s">
        <v>63</v>
      </c>
      <c r="AS2812" s="4" t="s">
        <v>63</v>
      </c>
      <c r="AT2812" s="4" t="s">
        <v>63</v>
      </c>
      <c r="AU2812" s="4" t="s">
        <v>63</v>
      </c>
      <c r="AV2812" s="4" t="s">
        <v>63</v>
      </c>
      <c r="AW2812" s="4" t="s">
        <v>63</v>
      </c>
      <c r="AX2812" s="4" t="s">
        <v>63</v>
      </c>
      <c r="AY2812" s="4" t="s">
        <v>63</v>
      </c>
      <c r="AZ2812" s="4" t="s">
        <v>63</v>
      </c>
      <c r="BA2812" s="4" t="s">
        <v>63</v>
      </c>
      <c r="BB2812" s="4" t="s">
        <v>63</v>
      </c>
      <c r="BC2812" s="4" t="s">
        <v>63</v>
      </c>
      <c r="BD2812" s="4" t="s">
        <v>63</v>
      </c>
      <c r="BE2812" s="4" t="s">
        <v>63</v>
      </c>
      <c r="BF2812" s="4" t="s">
        <v>63</v>
      </c>
    </row>
    <row r="2813" spans="1:58">
      <c r="A2813" s="4" t="s">
        <v>58</v>
      </c>
      <c r="B2813" s="4" t="s">
        <v>23224</v>
      </c>
      <c r="C2813" s="4" t="s">
        <v>23225</v>
      </c>
      <c r="D2813" s="4" t="s">
        <v>23226</v>
      </c>
      <c r="E2813" s="4" t="s">
        <v>63</v>
      </c>
      <c r="F2813" s="4">
        <v>2012</v>
      </c>
      <c r="G2813" s="4" t="s">
        <v>15165</v>
      </c>
      <c r="H2813" s="4">
        <v>2</v>
      </c>
      <c r="I2813" s="4">
        <v>2</v>
      </c>
      <c r="J2813" s="4">
        <v>155</v>
      </c>
      <c r="K2813" s="4">
        <v>161</v>
      </c>
      <c r="L2813" s="4" t="s">
        <v>23227</v>
      </c>
      <c r="M2813" s="4" t="s">
        <v>23228</v>
      </c>
      <c r="N2813" s="4" t="s">
        <v>23229</v>
      </c>
      <c r="O2813" s="4" t="s">
        <v>63</v>
      </c>
      <c r="P2813" s="4"/>
      <c r="Q2813" s="4" t="s">
        <v>63</v>
      </c>
      <c r="R2813" s="4" t="s">
        <v>63</v>
      </c>
      <c r="S2813" s="4" t="s">
        <v>63</v>
      </c>
      <c r="T2813" s="4" t="s">
        <v>63</v>
      </c>
      <c r="U2813" s="4"/>
      <c r="V2813" s="4"/>
      <c r="W2813" s="4"/>
      <c r="X2813" s="4" t="s">
        <v>63</v>
      </c>
      <c r="Y2813" s="4" t="s">
        <v>23230</v>
      </c>
      <c r="Z2813" s="4" t="s">
        <v>63</v>
      </c>
      <c r="AA2813" s="4" t="s">
        <v>63</v>
      </c>
      <c r="AB2813" s="4" t="s">
        <v>23231</v>
      </c>
      <c r="AC2813" s="4" t="s">
        <v>67</v>
      </c>
      <c r="AD2813" s="4" t="s">
        <v>63</v>
      </c>
      <c r="AE2813" s="4" t="s">
        <v>63</v>
      </c>
      <c r="AF2813" s="4" t="s">
        <v>63</v>
      </c>
      <c r="AG2813" s="4" t="s">
        <v>63</v>
      </c>
      <c r="AH2813" s="4" t="s">
        <v>63</v>
      </c>
      <c r="AI2813" s="4" t="s">
        <v>23232</v>
      </c>
      <c r="AJ2813" s="4" t="s">
        <v>63</v>
      </c>
      <c r="AK2813" s="4" t="s">
        <v>63</v>
      </c>
      <c r="AL2813" s="4" t="s">
        <v>63</v>
      </c>
      <c r="AM2813" s="4" t="s">
        <v>23225</v>
      </c>
      <c r="AN2813" s="4" t="s">
        <v>63</v>
      </c>
      <c r="AO2813" s="4" t="s">
        <v>63</v>
      </c>
      <c r="AP2813" s="4" t="s">
        <v>63</v>
      </c>
      <c r="AQ2813" s="4" t="s">
        <v>63</v>
      </c>
      <c r="AR2813" s="4" t="s">
        <v>63</v>
      </c>
      <c r="AS2813" s="4" t="s">
        <v>63</v>
      </c>
      <c r="AT2813" s="4" t="s">
        <v>63</v>
      </c>
      <c r="AU2813" s="4" t="s">
        <v>63</v>
      </c>
      <c r="AV2813" s="4" t="s">
        <v>63</v>
      </c>
      <c r="AW2813" s="4" t="s">
        <v>63</v>
      </c>
      <c r="AX2813" s="4" t="s">
        <v>63</v>
      </c>
      <c r="AY2813" s="4" t="s">
        <v>63</v>
      </c>
      <c r="AZ2813" s="4" t="s">
        <v>63</v>
      </c>
      <c r="BA2813" s="4" t="s">
        <v>63</v>
      </c>
      <c r="BB2813" s="4" t="s">
        <v>63</v>
      </c>
      <c r="BC2813" s="4" t="s">
        <v>63</v>
      </c>
      <c r="BD2813" s="4" t="s">
        <v>63</v>
      </c>
      <c r="BE2813" s="4" t="s">
        <v>63</v>
      </c>
      <c r="BF2813" s="4" t="s">
        <v>63</v>
      </c>
    </row>
    <row r="2814" spans="1:58">
      <c r="A2814" s="4" t="s">
        <v>58</v>
      </c>
      <c r="B2814" s="4" t="s">
        <v>23233</v>
      </c>
      <c r="C2814" s="4" t="s">
        <v>23234</v>
      </c>
      <c r="D2814" s="4" t="s">
        <v>22255</v>
      </c>
      <c r="E2814" s="4" t="s">
        <v>22256</v>
      </c>
      <c r="F2814" s="4">
        <v>2013</v>
      </c>
      <c r="G2814" s="4" t="s">
        <v>15358</v>
      </c>
      <c r="H2814" s="4" t="s">
        <v>23235</v>
      </c>
      <c r="I2814" s="4" t="s">
        <v>63</v>
      </c>
      <c r="J2814" s="4">
        <v>856</v>
      </c>
      <c r="K2814" s="4" t="s">
        <v>63</v>
      </c>
      <c r="L2814" s="4" t="s">
        <v>23236</v>
      </c>
      <c r="M2814" s="4" t="s">
        <v>23237</v>
      </c>
      <c r="N2814" s="4" t="s">
        <v>23238</v>
      </c>
      <c r="O2814" s="4" t="s">
        <v>63</v>
      </c>
      <c r="P2814" s="4"/>
      <c r="Q2814" s="4" t="s">
        <v>63</v>
      </c>
      <c r="R2814" s="4" t="s">
        <v>63</v>
      </c>
      <c r="S2814" s="4" t="s">
        <v>63</v>
      </c>
      <c r="T2814" s="4" t="s">
        <v>63</v>
      </c>
      <c r="U2814" s="4"/>
      <c r="V2814" s="4"/>
      <c r="W2814" s="4"/>
      <c r="X2814" s="4" t="s">
        <v>63</v>
      </c>
      <c r="Y2814" s="4" t="s">
        <v>22262</v>
      </c>
      <c r="Z2814" s="4" t="s">
        <v>63</v>
      </c>
      <c r="AA2814" s="4" t="s">
        <v>63</v>
      </c>
      <c r="AB2814" s="4" t="s">
        <v>63</v>
      </c>
      <c r="AC2814" s="4" t="s">
        <v>67</v>
      </c>
      <c r="AD2814" s="4" t="s">
        <v>63</v>
      </c>
      <c r="AE2814" s="4" t="s">
        <v>63</v>
      </c>
      <c r="AF2814" s="4" t="s">
        <v>63</v>
      </c>
      <c r="AG2814" s="4" t="s">
        <v>63</v>
      </c>
      <c r="AH2814" s="4" t="s">
        <v>63</v>
      </c>
      <c r="AI2814" s="4" t="s">
        <v>23239</v>
      </c>
      <c r="AJ2814" s="4" t="s">
        <v>63</v>
      </c>
      <c r="AK2814" s="4" t="s">
        <v>63</v>
      </c>
      <c r="AL2814" s="4" t="s">
        <v>63</v>
      </c>
      <c r="AM2814" s="4" t="s">
        <v>23234</v>
      </c>
      <c r="AN2814" s="4" t="s">
        <v>63</v>
      </c>
      <c r="AO2814" s="4" t="s">
        <v>63</v>
      </c>
      <c r="AP2814" s="4" t="s">
        <v>63</v>
      </c>
      <c r="AQ2814" s="4" t="s">
        <v>63</v>
      </c>
      <c r="AR2814" s="4" t="s">
        <v>63</v>
      </c>
      <c r="AS2814" s="4" t="s">
        <v>63</v>
      </c>
      <c r="AT2814" s="4" t="s">
        <v>63</v>
      </c>
      <c r="AU2814" s="4" t="s">
        <v>63</v>
      </c>
      <c r="AV2814" s="4" t="s">
        <v>63</v>
      </c>
      <c r="AW2814" s="4" t="s">
        <v>63</v>
      </c>
      <c r="AX2814" s="4" t="s">
        <v>63</v>
      </c>
      <c r="AY2814" s="4" t="s">
        <v>63</v>
      </c>
      <c r="AZ2814" s="4" t="s">
        <v>63</v>
      </c>
      <c r="BA2814" s="4" t="s">
        <v>63</v>
      </c>
      <c r="BB2814" s="4" t="s">
        <v>63</v>
      </c>
      <c r="BC2814" s="4" t="s">
        <v>63</v>
      </c>
      <c r="BD2814" s="4" t="s">
        <v>63</v>
      </c>
      <c r="BE2814" s="4" t="s">
        <v>63</v>
      </c>
      <c r="BF2814" s="4" t="s">
        <v>63</v>
      </c>
    </row>
    <row r="2815" spans="1:58">
      <c r="A2815" s="4" t="s">
        <v>58</v>
      </c>
      <c r="B2815" s="4" t="s">
        <v>23240</v>
      </c>
      <c r="C2815" s="4" t="s">
        <v>23241</v>
      </c>
      <c r="D2815" s="4" t="s">
        <v>23242</v>
      </c>
      <c r="E2815" s="4" t="s">
        <v>63</v>
      </c>
      <c r="F2815" s="4">
        <v>2011</v>
      </c>
      <c r="G2815" s="4" t="s">
        <v>63</v>
      </c>
      <c r="H2815" s="4">
        <v>12</v>
      </c>
      <c r="I2815" s="4">
        <v>4</v>
      </c>
      <c r="J2815" s="4">
        <v>253</v>
      </c>
      <c r="K2815" s="4">
        <v>257</v>
      </c>
      <c r="L2815" s="4" t="s">
        <v>23243</v>
      </c>
      <c r="M2815" s="4" t="s">
        <v>23244</v>
      </c>
      <c r="N2815" s="4" t="s">
        <v>23245</v>
      </c>
      <c r="O2815" s="4" t="s">
        <v>63</v>
      </c>
      <c r="P2815" s="4"/>
      <c r="Q2815" s="4" t="s">
        <v>63</v>
      </c>
      <c r="R2815" s="4" t="s">
        <v>63</v>
      </c>
      <c r="S2815" s="4" t="s">
        <v>63</v>
      </c>
      <c r="T2815" s="4" t="s">
        <v>63</v>
      </c>
      <c r="U2815" s="4"/>
      <c r="V2815" s="4"/>
      <c r="W2815" s="4"/>
      <c r="X2815" s="4" t="s">
        <v>63</v>
      </c>
      <c r="Y2815" s="4" t="s">
        <v>23246</v>
      </c>
      <c r="Z2815" s="4" t="s">
        <v>63</v>
      </c>
      <c r="AA2815" s="4" t="s">
        <v>63</v>
      </c>
      <c r="AB2815" s="4" t="s">
        <v>23247</v>
      </c>
      <c r="AC2815" s="4" t="s">
        <v>15171</v>
      </c>
      <c r="AD2815" s="4" t="s">
        <v>63</v>
      </c>
      <c r="AE2815" s="4" t="s">
        <v>63</v>
      </c>
      <c r="AF2815" s="4" t="s">
        <v>63</v>
      </c>
      <c r="AG2815" s="4" t="s">
        <v>63</v>
      </c>
      <c r="AH2815" s="4" t="s">
        <v>63</v>
      </c>
      <c r="AI2815" s="4" t="s">
        <v>63</v>
      </c>
      <c r="AJ2815" s="4" t="s">
        <v>63</v>
      </c>
      <c r="AK2815" s="4" t="s">
        <v>63</v>
      </c>
      <c r="AL2815" s="4" t="s">
        <v>63</v>
      </c>
      <c r="AM2815" s="4" t="s">
        <v>23248</v>
      </c>
      <c r="AN2815" s="4" t="s">
        <v>63</v>
      </c>
      <c r="AO2815" s="4" t="s">
        <v>63</v>
      </c>
      <c r="AP2815" s="4" t="s">
        <v>63</v>
      </c>
      <c r="AQ2815" s="4" t="s">
        <v>63</v>
      </c>
      <c r="AR2815" s="4" t="s">
        <v>63</v>
      </c>
      <c r="AS2815" s="4" t="s">
        <v>63</v>
      </c>
      <c r="AT2815" s="4" t="s">
        <v>63</v>
      </c>
      <c r="AU2815" s="4" t="s">
        <v>63</v>
      </c>
      <c r="AV2815" s="4" t="s">
        <v>63</v>
      </c>
      <c r="AW2815" s="4" t="s">
        <v>63</v>
      </c>
      <c r="AX2815" s="4" t="s">
        <v>63</v>
      </c>
      <c r="AY2815" s="4" t="s">
        <v>63</v>
      </c>
      <c r="AZ2815" s="4" t="s">
        <v>63</v>
      </c>
      <c r="BA2815" s="4" t="s">
        <v>63</v>
      </c>
      <c r="BB2815" s="4" t="s">
        <v>63</v>
      </c>
      <c r="BC2815" s="4" t="s">
        <v>63</v>
      </c>
      <c r="BD2815" s="4" t="s">
        <v>63</v>
      </c>
      <c r="BE2815" s="4" t="s">
        <v>63</v>
      </c>
      <c r="BF2815" s="4" t="s">
        <v>63</v>
      </c>
    </row>
    <row r="2816" spans="1:58">
      <c r="A2816" s="4" t="s">
        <v>58</v>
      </c>
      <c r="B2816" s="4" t="s">
        <v>23249</v>
      </c>
      <c r="C2816" s="4" t="s">
        <v>23250</v>
      </c>
      <c r="D2816" s="4" t="s">
        <v>17338</v>
      </c>
      <c r="E2816" s="4" t="s">
        <v>63</v>
      </c>
      <c r="F2816" s="4">
        <v>1975</v>
      </c>
      <c r="G2816" s="4" t="s">
        <v>63</v>
      </c>
      <c r="H2816" s="4">
        <v>28</v>
      </c>
      <c r="I2816" s="4">
        <v>13</v>
      </c>
      <c r="J2816" s="4">
        <v>933</v>
      </c>
      <c r="K2816" s="4">
        <v>935</v>
      </c>
      <c r="L2816" s="4" t="s">
        <v>17339</v>
      </c>
      <c r="M2816" s="4" t="s">
        <v>63</v>
      </c>
      <c r="N2816" s="4" t="s">
        <v>23251</v>
      </c>
      <c r="O2816" s="4" t="s">
        <v>63</v>
      </c>
      <c r="P2816" s="4"/>
      <c r="Q2816" s="4" t="s">
        <v>63</v>
      </c>
      <c r="R2816" s="4" t="s">
        <v>63</v>
      </c>
      <c r="S2816" s="4" t="s">
        <v>63</v>
      </c>
      <c r="T2816" s="4" t="s">
        <v>63</v>
      </c>
      <c r="U2816" s="4"/>
      <c r="V2816" s="4"/>
      <c r="W2816" s="4"/>
      <c r="X2816" s="4" t="s">
        <v>63</v>
      </c>
      <c r="Y2816" s="4" t="s">
        <v>63</v>
      </c>
      <c r="Z2816" s="4" t="s">
        <v>63</v>
      </c>
      <c r="AA2816" s="4" t="s">
        <v>63</v>
      </c>
      <c r="AB2816" s="4" t="s">
        <v>23252</v>
      </c>
      <c r="AC2816" s="4" t="s">
        <v>1371</v>
      </c>
      <c r="AD2816" s="4" t="s">
        <v>63</v>
      </c>
      <c r="AE2816" s="4" t="s">
        <v>63</v>
      </c>
      <c r="AF2816" s="4" t="s">
        <v>63</v>
      </c>
      <c r="AG2816" s="4" t="s">
        <v>63</v>
      </c>
      <c r="AH2816" s="4" t="s">
        <v>63</v>
      </c>
      <c r="AI2816" s="4" t="s">
        <v>63</v>
      </c>
      <c r="AJ2816" s="4" t="s">
        <v>63</v>
      </c>
      <c r="AK2816" s="4" t="s">
        <v>63</v>
      </c>
      <c r="AL2816" s="4" t="s">
        <v>63</v>
      </c>
      <c r="AM2816" s="4" t="s">
        <v>23250</v>
      </c>
      <c r="AN2816" s="4" t="s">
        <v>63</v>
      </c>
      <c r="AO2816" s="4" t="s">
        <v>63</v>
      </c>
      <c r="AP2816" s="4" t="s">
        <v>63</v>
      </c>
      <c r="AQ2816" s="4" t="s">
        <v>63</v>
      </c>
      <c r="AR2816" s="4" t="s">
        <v>63</v>
      </c>
      <c r="AS2816" s="4" t="s">
        <v>63</v>
      </c>
      <c r="AT2816" s="4" t="s">
        <v>63</v>
      </c>
      <c r="AU2816" s="4" t="s">
        <v>63</v>
      </c>
      <c r="AV2816" s="4" t="s">
        <v>63</v>
      </c>
      <c r="AW2816" s="4" t="s">
        <v>63</v>
      </c>
      <c r="AX2816" s="4" t="s">
        <v>63</v>
      </c>
      <c r="AY2816" s="4" t="s">
        <v>63</v>
      </c>
      <c r="AZ2816" s="4" t="s">
        <v>63</v>
      </c>
      <c r="BA2816" s="4" t="s">
        <v>63</v>
      </c>
      <c r="BB2816" s="4" t="s">
        <v>63</v>
      </c>
      <c r="BC2816" s="4" t="s">
        <v>63</v>
      </c>
      <c r="BD2816" s="4" t="s">
        <v>63</v>
      </c>
      <c r="BE2816" s="4" t="s">
        <v>63</v>
      </c>
      <c r="BF2816" s="4" t="s">
        <v>63</v>
      </c>
    </row>
    <row r="2817" spans="1:58">
      <c r="A2817" s="4" t="s">
        <v>58</v>
      </c>
      <c r="B2817" s="4" t="s">
        <v>23253</v>
      </c>
      <c r="C2817" s="4" t="s">
        <v>23254</v>
      </c>
      <c r="D2817" s="4" t="s">
        <v>2353</v>
      </c>
      <c r="E2817" s="4" t="s">
        <v>2354</v>
      </c>
      <c r="F2817" s="4">
        <v>2016</v>
      </c>
      <c r="G2817" s="4">
        <v>1</v>
      </c>
      <c r="H2817" s="4">
        <v>70</v>
      </c>
      <c r="I2817" s="4" t="s">
        <v>63</v>
      </c>
      <c r="J2817" s="4">
        <v>44</v>
      </c>
      <c r="K2817" s="4">
        <v>49</v>
      </c>
      <c r="L2817" s="4" t="s">
        <v>23255</v>
      </c>
      <c r="M2817" s="4" t="s">
        <v>23256</v>
      </c>
      <c r="N2817" s="4" t="s">
        <v>23257</v>
      </c>
      <c r="O2817" s="4" t="s">
        <v>63</v>
      </c>
      <c r="P2817" s="4"/>
      <c r="Q2817" s="4" t="s">
        <v>63</v>
      </c>
      <c r="R2817" s="4" t="s">
        <v>63</v>
      </c>
      <c r="S2817" s="4" t="s">
        <v>63</v>
      </c>
      <c r="T2817" s="4" t="s">
        <v>63</v>
      </c>
      <c r="U2817" s="4"/>
      <c r="V2817" s="4"/>
      <c r="W2817" s="4"/>
      <c r="X2817" s="4" t="s">
        <v>63</v>
      </c>
      <c r="Y2817" s="4" t="s">
        <v>16747</v>
      </c>
      <c r="Z2817" s="4" t="s">
        <v>63</v>
      </c>
      <c r="AA2817" s="4" t="s">
        <v>63</v>
      </c>
      <c r="AB2817" s="4">
        <v>20160622656</v>
      </c>
      <c r="AC2817" s="4" t="s">
        <v>67</v>
      </c>
      <c r="AD2817" s="4" t="s">
        <v>63</v>
      </c>
      <c r="AE2817" s="4" t="s">
        <v>63</v>
      </c>
      <c r="AF2817" s="4" t="s">
        <v>63</v>
      </c>
      <c r="AG2817" s="4" t="s">
        <v>23258</v>
      </c>
      <c r="AH2817" s="4" t="s">
        <v>63</v>
      </c>
      <c r="AI2817" s="4" t="s">
        <v>23259</v>
      </c>
      <c r="AJ2817" s="4" t="s">
        <v>63</v>
      </c>
      <c r="AK2817" s="4" t="s">
        <v>63</v>
      </c>
      <c r="AL2817" s="4" t="s">
        <v>63</v>
      </c>
      <c r="AM2817" s="4" t="s">
        <v>23260</v>
      </c>
      <c r="AN2817" s="4" t="s">
        <v>63</v>
      </c>
      <c r="AO2817" s="4" t="s">
        <v>63</v>
      </c>
      <c r="AP2817" s="4" t="s">
        <v>63</v>
      </c>
      <c r="AQ2817" s="4" t="s">
        <v>63</v>
      </c>
      <c r="AR2817" s="4" t="s">
        <v>63</v>
      </c>
      <c r="AS2817" s="4" t="s">
        <v>63</v>
      </c>
      <c r="AT2817" s="4" t="s">
        <v>63</v>
      </c>
      <c r="AU2817" s="4" t="s">
        <v>63</v>
      </c>
      <c r="AV2817" s="4" t="s">
        <v>63</v>
      </c>
      <c r="AW2817" s="4" t="s">
        <v>63</v>
      </c>
      <c r="AX2817" s="4" t="s">
        <v>63</v>
      </c>
      <c r="AY2817" s="4" t="s">
        <v>63</v>
      </c>
      <c r="AZ2817" s="4" t="s">
        <v>63</v>
      </c>
      <c r="BA2817" s="4" t="s">
        <v>63</v>
      </c>
      <c r="BB2817" s="4" t="s">
        <v>63</v>
      </c>
      <c r="BC2817" s="4" t="s">
        <v>63</v>
      </c>
      <c r="BD2817" s="4" t="s">
        <v>63</v>
      </c>
      <c r="BE2817" s="4" t="s">
        <v>63</v>
      </c>
      <c r="BF2817" s="4" t="s">
        <v>63</v>
      </c>
    </row>
    <row r="2818" spans="1:58">
      <c r="A2818" s="4" t="s">
        <v>58</v>
      </c>
      <c r="B2818" s="4" t="s">
        <v>23261</v>
      </c>
      <c r="C2818" s="4" t="s">
        <v>23262</v>
      </c>
      <c r="D2818" s="4" t="s">
        <v>23263</v>
      </c>
      <c r="E2818" s="4" t="s">
        <v>63</v>
      </c>
      <c r="F2818" s="4">
        <v>2005</v>
      </c>
      <c r="G2818" s="4" t="s">
        <v>63</v>
      </c>
      <c r="H2818" s="4">
        <v>12</v>
      </c>
      <c r="I2818" s="4">
        <v>3</v>
      </c>
      <c r="J2818" s="4">
        <v>312</v>
      </c>
      <c r="K2818" s="4">
        <v>318</v>
      </c>
      <c r="L2818" s="4" t="s">
        <v>23264</v>
      </c>
      <c r="M2818" s="4" t="s">
        <v>23265</v>
      </c>
      <c r="N2818" s="4" t="s">
        <v>23266</v>
      </c>
      <c r="O2818" s="4" t="s">
        <v>63</v>
      </c>
      <c r="P2818" s="4"/>
      <c r="Q2818" s="4" t="s">
        <v>63</v>
      </c>
      <c r="R2818" s="4" t="s">
        <v>63</v>
      </c>
      <c r="S2818" s="4" t="s">
        <v>63</v>
      </c>
      <c r="T2818" s="4" t="s">
        <v>63</v>
      </c>
      <c r="U2818" s="4"/>
      <c r="V2818" s="4"/>
      <c r="W2818" s="4"/>
      <c r="X2818" s="4" t="s">
        <v>63</v>
      </c>
      <c r="Y2818" s="4" t="s">
        <v>15051</v>
      </c>
      <c r="Z2818" s="4" t="s">
        <v>63</v>
      </c>
      <c r="AA2818" s="4" t="s">
        <v>63</v>
      </c>
      <c r="AB2818" s="4" t="s">
        <v>23267</v>
      </c>
      <c r="AC2818" s="4" t="s">
        <v>67</v>
      </c>
      <c r="AD2818" s="4" t="s">
        <v>63</v>
      </c>
      <c r="AE2818" s="4" t="s">
        <v>63</v>
      </c>
      <c r="AF2818" s="4" t="s">
        <v>63</v>
      </c>
      <c r="AG2818" s="4" t="s">
        <v>63</v>
      </c>
      <c r="AH2818" s="4" t="s">
        <v>63</v>
      </c>
      <c r="AI2818" s="4" t="s">
        <v>23268</v>
      </c>
      <c r="AJ2818" s="4" t="s">
        <v>63</v>
      </c>
      <c r="AK2818" s="4" t="s">
        <v>63</v>
      </c>
      <c r="AL2818" s="4" t="s">
        <v>63</v>
      </c>
      <c r="AM2818" s="4" t="s">
        <v>23262</v>
      </c>
      <c r="AN2818" s="4" t="s">
        <v>63</v>
      </c>
      <c r="AO2818" s="4" t="s">
        <v>63</v>
      </c>
      <c r="AP2818" s="4" t="s">
        <v>63</v>
      </c>
      <c r="AQ2818" s="4" t="s">
        <v>63</v>
      </c>
      <c r="AR2818" s="4" t="s">
        <v>63</v>
      </c>
      <c r="AS2818" s="4" t="s">
        <v>63</v>
      </c>
      <c r="AT2818" s="4" t="s">
        <v>63</v>
      </c>
      <c r="AU2818" s="4" t="s">
        <v>63</v>
      </c>
      <c r="AV2818" s="4" t="s">
        <v>63</v>
      </c>
      <c r="AW2818" s="4" t="s">
        <v>63</v>
      </c>
      <c r="AX2818" s="4" t="s">
        <v>63</v>
      </c>
      <c r="AY2818" s="4" t="s">
        <v>63</v>
      </c>
      <c r="AZ2818" s="4" t="s">
        <v>63</v>
      </c>
      <c r="BA2818" s="4" t="s">
        <v>63</v>
      </c>
      <c r="BB2818" s="4" t="s">
        <v>63</v>
      </c>
      <c r="BC2818" s="4" t="s">
        <v>63</v>
      </c>
      <c r="BD2818" s="4" t="s">
        <v>63</v>
      </c>
      <c r="BE2818" s="4" t="s">
        <v>63</v>
      </c>
      <c r="BF2818" s="4" t="s">
        <v>63</v>
      </c>
    </row>
    <row r="2819" spans="1:58">
      <c r="A2819" s="4" t="s">
        <v>58</v>
      </c>
      <c r="B2819" s="4"/>
      <c r="C2819" s="4" t="s">
        <v>11112</v>
      </c>
      <c r="D2819" s="4" t="s">
        <v>23269</v>
      </c>
      <c r="E2819" s="4" t="s">
        <v>63</v>
      </c>
      <c r="F2819" s="4">
        <v>2005</v>
      </c>
      <c r="G2819" s="4" t="s">
        <v>189</v>
      </c>
      <c r="H2819" s="4">
        <v>73</v>
      </c>
      <c r="I2819" s="4">
        <v>5</v>
      </c>
      <c r="J2819" s="4">
        <v>346</v>
      </c>
      <c r="K2819" s="4">
        <v>346</v>
      </c>
      <c r="L2819" s="4" t="s">
        <v>63</v>
      </c>
      <c r="M2819" s="4" t="s">
        <v>63</v>
      </c>
      <c r="N2819" s="4" t="s">
        <v>23270</v>
      </c>
      <c r="O2819" s="4" t="s">
        <v>63</v>
      </c>
      <c r="P2819" s="4"/>
      <c r="Q2819" s="4" t="s">
        <v>63</v>
      </c>
      <c r="R2819" s="4" t="s">
        <v>63</v>
      </c>
      <c r="S2819" s="4" t="s">
        <v>63</v>
      </c>
      <c r="T2819" s="4" t="s">
        <v>63</v>
      </c>
      <c r="U2819" s="4"/>
      <c r="V2819" s="4"/>
      <c r="W2819" s="4"/>
      <c r="X2819" s="4" t="s">
        <v>63</v>
      </c>
      <c r="Y2819" s="4" t="s">
        <v>23271</v>
      </c>
      <c r="Z2819" s="4" t="s">
        <v>63</v>
      </c>
      <c r="AA2819" s="4" t="s">
        <v>63</v>
      </c>
      <c r="AB2819" s="4" t="s">
        <v>23272</v>
      </c>
      <c r="AC2819" s="4" t="s">
        <v>67</v>
      </c>
      <c r="AD2819" s="4" t="s">
        <v>63</v>
      </c>
      <c r="AE2819" s="4" t="s">
        <v>63</v>
      </c>
      <c r="AF2819" s="4" t="s">
        <v>63</v>
      </c>
      <c r="AG2819" s="4" t="s">
        <v>63</v>
      </c>
      <c r="AH2819" s="4" t="s">
        <v>63</v>
      </c>
      <c r="AI2819" s="4" t="s">
        <v>63</v>
      </c>
      <c r="AJ2819" s="4" t="s">
        <v>63</v>
      </c>
      <c r="AK2819" s="4" t="s">
        <v>63</v>
      </c>
      <c r="AL2819" s="4" t="s">
        <v>63</v>
      </c>
      <c r="AM2819" s="4" t="s">
        <v>11112</v>
      </c>
      <c r="AN2819" s="4" t="s">
        <v>63</v>
      </c>
      <c r="AO2819" s="4" t="s">
        <v>63</v>
      </c>
      <c r="AP2819" s="4" t="s">
        <v>63</v>
      </c>
      <c r="AQ2819" s="4" t="s">
        <v>63</v>
      </c>
      <c r="AR2819" s="4" t="s">
        <v>63</v>
      </c>
      <c r="AS2819" s="4" t="s">
        <v>63</v>
      </c>
      <c r="AT2819" s="4" t="s">
        <v>63</v>
      </c>
      <c r="AU2819" s="4" t="s">
        <v>63</v>
      </c>
      <c r="AV2819" s="4" t="s">
        <v>63</v>
      </c>
      <c r="AW2819" s="4" t="s">
        <v>63</v>
      </c>
      <c r="AX2819" s="4" t="s">
        <v>63</v>
      </c>
      <c r="AY2819" s="4" t="s">
        <v>63</v>
      </c>
      <c r="AZ2819" s="4" t="s">
        <v>63</v>
      </c>
      <c r="BA2819" s="4" t="s">
        <v>63</v>
      </c>
      <c r="BB2819" s="4" t="s">
        <v>63</v>
      </c>
      <c r="BC2819" s="4" t="s">
        <v>63</v>
      </c>
      <c r="BD2819" s="4" t="s">
        <v>63</v>
      </c>
      <c r="BE2819" s="4" t="s">
        <v>63</v>
      </c>
      <c r="BF2819" s="4" t="s">
        <v>63</v>
      </c>
    </row>
    <row r="2820" spans="1:58">
      <c r="A2820" s="4" t="s">
        <v>58</v>
      </c>
      <c r="B2820" s="4"/>
      <c r="C2820" s="4" t="s">
        <v>23273</v>
      </c>
      <c r="D2820" s="4" t="s">
        <v>250</v>
      </c>
      <c r="E2820" s="4" t="s">
        <v>251</v>
      </c>
      <c r="F2820" s="4">
        <v>1997</v>
      </c>
      <c r="G2820" s="4" t="s">
        <v>198</v>
      </c>
      <c r="H2820" s="4">
        <v>156</v>
      </c>
      <c r="I2820" s="4">
        <v>1</v>
      </c>
      <c r="J2820" s="4">
        <v>13</v>
      </c>
      <c r="K2820" s="4">
        <v>13</v>
      </c>
      <c r="L2820" s="4" t="s">
        <v>63</v>
      </c>
      <c r="M2820" s="4" t="s">
        <v>63</v>
      </c>
      <c r="N2820" s="4" t="s">
        <v>23274</v>
      </c>
      <c r="O2820" s="4" t="s">
        <v>63</v>
      </c>
      <c r="P2820" s="4"/>
      <c r="Q2820" s="4" t="s">
        <v>63</v>
      </c>
      <c r="R2820" s="4" t="s">
        <v>63</v>
      </c>
      <c r="S2820" s="4" t="s">
        <v>63</v>
      </c>
      <c r="T2820" s="4" t="s">
        <v>63</v>
      </c>
      <c r="U2820" s="4"/>
      <c r="V2820" s="4"/>
      <c r="W2820" s="4"/>
      <c r="X2820" s="4" t="s">
        <v>63</v>
      </c>
      <c r="Y2820" s="4" t="s">
        <v>215</v>
      </c>
      <c r="Z2820" s="4" t="s">
        <v>63</v>
      </c>
      <c r="AA2820" s="4" t="s">
        <v>63</v>
      </c>
      <c r="AB2820" s="4" t="s">
        <v>23275</v>
      </c>
      <c r="AC2820" s="4" t="s">
        <v>67</v>
      </c>
      <c r="AD2820" s="4" t="s">
        <v>63</v>
      </c>
      <c r="AE2820" s="4" t="s">
        <v>63</v>
      </c>
      <c r="AF2820" s="4" t="s">
        <v>63</v>
      </c>
      <c r="AG2820" s="4" t="s">
        <v>63</v>
      </c>
      <c r="AH2820" s="4" t="s">
        <v>63</v>
      </c>
      <c r="AI2820" s="4" t="s">
        <v>63</v>
      </c>
      <c r="AJ2820" s="4" t="s">
        <v>63</v>
      </c>
      <c r="AK2820" s="4" t="s">
        <v>63</v>
      </c>
      <c r="AL2820" s="4" t="s">
        <v>63</v>
      </c>
      <c r="AM2820" s="4" t="s">
        <v>23273</v>
      </c>
      <c r="AN2820" s="4" t="s">
        <v>63</v>
      </c>
      <c r="AO2820" s="4" t="s">
        <v>63</v>
      </c>
      <c r="AP2820" s="4" t="s">
        <v>63</v>
      </c>
      <c r="AQ2820" s="4" t="s">
        <v>63</v>
      </c>
      <c r="AR2820" s="4" t="s">
        <v>63</v>
      </c>
      <c r="AS2820" s="4" t="s">
        <v>63</v>
      </c>
      <c r="AT2820" s="4" t="s">
        <v>63</v>
      </c>
      <c r="AU2820" s="4" t="s">
        <v>63</v>
      </c>
      <c r="AV2820" s="4" t="s">
        <v>63</v>
      </c>
      <c r="AW2820" s="4" t="s">
        <v>63</v>
      </c>
      <c r="AX2820" s="4" t="s">
        <v>63</v>
      </c>
      <c r="AY2820" s="4" t="s">
        <v>63</v>
      </c>
      <c r="AZ2820" s="4" t="s">
        <v>63</v>
      </c>
      <c r="BA2820" s="4" t="s">
        <v>63</v>
      </c>
      <c r="BB2820" s="4" t="s">
        <v>63</v>
      </c>
      <c r="BC2820" s="4" t="s">
        <v>63</v>
      </c>
      <c r="BD2820" s="4" t="s">
        <v>63</v>
      </c>
      <c r="BE2820" s="4" t="s">
        <v>63</v>
      </c>
      <c r="BF2820" s="4" t="s">
        <v>63</v>
      </c>
    </row>
    <row r="2821" spans="1:58">
      <c r="A2821" s="4" t="s">
        <v>58</v>
      </c>
      <c r="B2821" s="4"/>
      <c r="C2821" s="4" t="s">
        <v>23276</v>
      </c>
      <c r="D2821" s="4" t="s">
        <v>15515</v>
      </c>
      <c r="E2821" s="4" t="s">
        <v>15516</v>
      </c>
      <c r="F2821" s="4">
        <v>1972</v>
      </c>
      <c r="G2821" s="4" t="s">
        <v>63</v>
      </c>
      <c r="H2821" s="4">
        <v>219</v>
      </c>
      <c r="I2821" s="4">
        <v>13</v>
      </c>
      <c r="J2821" s="4">
        <v>1746</v>
      </c>
      <c r="K2821" s="4" t="s">
        <v>23277</v>
      </c>
      <c r="L2821" s="4" t="s">
        <v>63</v>
      </c>
      <c r="M2821" s="4" t="s">
        <v>63</v>
      </c>
      <c r="N2821" s="4" t="s">
        <v>23278</v>
      </c>
      <c r="O2821" s="4" t="s">
        <v>63</v>
      </c>
      <c r="P2821" s="4"/>
      <c r="Q2821" s="4" t="s">
        <v>63</v>
      </c>
      <c r="R2821" s="4" t="s">
        <v>63</v>
      </c>
      <c r="S2821" s="4" t="s">
        <v>63</v>
      </c>
      <c r="T2821" s="4" t="s">
        <v>63</v>
      </c>
      <c r="U2821" s="4"/>
      <c r="V2821" s="4"/>
      <c r="W2821" s="4"/>
      <c r="X2821" s="4" t="s">
        <v>63</v>
      </c>
      <c r="Y2821" s="4" t="s">
        <v>63</v>
      </c>
      <c r="Z2821" s="4" t="s">
        <v>63</v>
      </c>
      <c r="AA2821" s="4" t="s">
        <v>63</v>
      </c>
      <c r="AB2821" s="4" t="s">
        <v>23279</v>
      </c>
      <c r="AC2821" s="4" t="s">
        <v>67</v>
      </c>
      <c r="AD2821" s="4" t="s">
        <v>63</v>
      </c>
      <c r="AE2821" s="4" t="s">
        <v>63</v>
      </c>
      <c r="AF2821" s="4" t="s">
        <v>63</v>
      </c>
      <c r="AG2821" s="4" t="s">
        <v>63</v>
      </c>
      <c r="AH2821" s="4" t="s">
        <v>63</v>
      </c>
      <c r="AI2821" s="4" t="s">
        <v>63</v>
      </c>
      <c r="AJ2821" s="4" t="s">
        <v>63</v>
      </c>
      <c r="AK2821" s="4" t="s">
        <v>63</v>
      </c>
      <c r="AL2821" s="4" t="s">
        <v>63</v>
      </c>
      <c r="AM2821" s="4" t="s">
        <v>23276</v>
      </c>
      <c r="AN2821" s="4" t="s">
        <v>63</v>
      </c>
      <c r="AO2821" s="4" t="s">
        <v>63</v>
      </c>
      <c r="AP2821" s="4" t="s">
        <v>63</v>
      </c>
      <c r="AQ2821" s="4" t="s">
        <v>63</v>
      </c>
      <c r="AR2821" s="4" t="s">
        <v>63</v>
      </c>
      <c r="AS2821" s="4" t="s">
        <v>63</v>
      </c>
      <c r="AT2821" s="4" t="s">
        <v>63</v>
      </c>
      <c r="AU2821" s="4" t="s">
        <v>63</v>
      </c>
      <c r="AV2821" s="4" t="s">
        <v>63</v>
      </c>
      <c r="AW2821" s="4" t="s">
        <v>63</v>
      </c>
      <c r="AX2821" s="4" t="s">
        <v>63</v>
      </c>
      <c r="AY2821" s="4" t="s">
        <v>63</v>
      </c>
      <c r="AZ2821" s="4" t="s">
        <v>63</v>
      </c>
      <c r="BA2821" s="4" t="s">
        <v>63</v>
      </c>
      <c r="BB2821" s="4" t="s">
        <v>63</v>
      </c>
      <c r="BC2821" s="4" t="s">
        <v>63</v>
      </c>
      <c r="BD2821" s="4" t="s">
        <v>63</v>
      </c>
      <c r="BE2821" s="4" t="s">
        <v>63</v>
      </c>
      <c r="BF2821" s="4" t="s">
        <v>63</v>
      </c>
    </row>
    <row r="2822" spans="1:58">
      <c r="A2822" s="4" t="s">
        <v>58</v>
      </c>
      <c r="B2822" s="4" t="s">
        <v>23280</v>
      </c>
      <c r="C2822" s="4" t="s">
        <v>23281</v>
      </c>
      <c r="D2822" s="4" t="s">
        <v>111</v>
      </c>
      <c r="E2822" s="4" t="s">
        <v>112</v>
      </c>
      <c r="F2822" s="4">
        <v>1992</v>
      </c>
      <c r="G2822" s="4" t="s">
        <v>326</v>
      </c>
      <c r="H2822" s="4">
        <v>116</v>
      </c>
      <c r="I2822" s="4">
        <v>3</v>
      </c>
      <c r="J2822" s="4">
        <v>245</v>
      </c>
      <c r="K2822" s="4">
        <v>254</v>
      </c>
      <c r="L2822" s="4" t="s">
        <v>23282</v>
      </c>
      <c r="M2822" s="4" t="s">
        <v>23283</v>
      </c>
      <c r="N2822" s="4" t="s">
        <v>23284</v>
      </c>
      <c r="O2822" s="4" t="s">
        <v>63</v>
      </c>
      <c r="P2822" s="4"/>
      <c r="Q2822" s="4" t="s">
        <v>63</v>
      </c>
      <c r="R2822" s="4" t="s">
        <v>63</v>
      </c>
      <c r="S2822" s="4" t="s">
        <v>63</v>
      </c>
      <c r="T2822" s="4" t="s">
        <v>63</v>
      </c>
      <c r="U2822" s="4"/>
      <c r="V2822" s="4"/>
      <c r="W2822" s="4"/>
      <c r="X2822" s="4" t="s">
        <v>63</v>
      </c>
      <c r="Y2822" s="5">
        <v>41716</v>
      </c>
      <c r="Z2822" s="4" t="s">
        <v>63</v>
      </c>
      <c r="AA2822" s="4" t="s">
        <v>23285</v>
      </c>
      <c r="AB2822" s="4" t="s">
        <v>23286</v>
      </c>
      <c r="AC2822" s="4" t="s">
        <v>67</v>
      </c>
      <c r="AD2822" s="4" t="s">
        <v>63</v>
      </c>
      <c r="AE2822" s="4" t="s">
        <v>63</v>
      </c>
      <c r="AF2822" s="4" t="s">
        <v>63</v>
      </c>
      <c r="AG2822" s="4" t="s">
        <v>63</v>
      </c>
      <c r="AH2822" s="4" t="s">
        <v>63</v>
      </c>
      <c r="AI2822" s="4" t="s">
        <v>23287</v>
      </c>
      <c r="AJ2822" s="4" t="s">
        <v>63</v>
      </c>
      <c r="AK2822" s="4" t="s">
        <v>63</v>
      </c>
      <c r="AL2822" s="4" t="s">
        <v>63</v>
      </c>
      <c r="AM2822" s="4" t="s">
        <v>23281</v>
      </c>
      <c r="AN2822" s="4" t="s">
        <v>63</v>
      </c>
      <c r="AO2822" s="4" t="s">
        <v>63</v>
      </c>
      <c r="AP2822" s="4" t="s">
        <v>63</v>
      </c>
      <c r="AQ2822" s="4" t="s">
        <v>63</v>
      </c>
      <c r="AR2822" s="4" t="s">
        <v>63</v>
      </c>
      <c r="AS2822" s="4" t="s">
        <v>63</v>
      </c>
      <c r="AT2822" s="4" t="s">
        <v>63</v>
      </c>
      <c r="AU2822" s="4" t="s">
        <v>63</v>
      </c>
      <c r="AV2822" s="4" t="s">
        <v>63</v>
      </c>
      <c r="AW2822" s="4" t="s">
        <v>63</v>
      </c>
      <c r="AX2822" s="4" t="s">
        <v>63</v>
      </c>
      <c r="AY2822" s="4" t="s">
        <v>63</v>
      </c>
      <c r="AZ2822" s="4" t="s">
        <v>63</v>
      </c>
      <c r="BA2822" s="4" t="s">
        <v>63</v>
      </c>
      <c r="BB2822" s="4" t="s">
        <v>63</v>
      </c>
      <c r="BC2822" s="4" t="s">
        <v>63</v>
      </c>
      <c r="BD2822" s="4" t="s">
        <v>63</v>
      </c>
      <c r="BE2822" s="4" t="s">
        <v>63</v>
      </c>
      <c r="BF2822" s="4" t="s">
        <v>63</v>
      </c>
    </row>
    <row r="2823" spans="1:58">
      <c r="A2823" s="4" t="s">
        <v>58</v>
      </c>
      <c r="B2823" s="4" t="s">
        <v>23288</v>
      </c>
      <c r="C2823" s="4" t="s">
        <v>23289</v>
      </c>
      <c r="D2823" s="4" t="s">
        <v>10155</v>
      </c>
      <c r="E2823" s="4" t="s">
        <v>10156</v>
      </c>
      <c r="F2823" s="4">
        <v>2014</v>
      </c>
      <c r="G2823" s="4" t="s">
        <v>1670</v>
      </c>
      <c r="H2823" s="4">
        <v>183</v>
      </c>
      <c r="I2823" s="4" t="s">
        <v>63</v>
      </c>
      <c r="J2823" s="4" t="s">
        <v>23290</v>
      </c>
      <c r="K2823" s="4" t="s">
        <v>23291</v>
      </c>
      <c r="L2823" s="4" t="s">
        <v>63</v>
      </c>
      <c r="M2823" s="4" t="s">
        <v>63</v>
      </c>
      <c r="N2823" s="4" t="s">
        <v>23292</v>
      </c>
      <c r="O2823" s="4" t="s">
        <v>63</v>
      </c>
      <c r="P2823" s="4"/>
      <c r="Q2823" s="4" t="s">
        <v>63</v>
      </c>
      <c r="R2823" s="4" t="s">
        <v>63</v>
      </c>
      <c r="S2823" s="4" t="s">
        <v>63</v>
      </c>
      <c r="T2823" s="4" t="s">
        <v>63</v>
      </c>
      <c r="U2823" s="4"/>
      <c r="V2823" s="4"/>
      <c r="W2823" s="4"/>
      <c r="X2823" s="4" t="s">
        <v>63</v>
      </c>
      <c r="Y2823" s="4" t="s">
        <v>16833</v>
      </c>
      <c r="Z2823" s="4" t="s">
        <v>63</v>
      </c>
      <c r="AA2823" s="4" t="s">
        <v>23293</v>
      </c>
      <c r="AB2823" s="4" t="s">
        <v>23294</v>
      </c>
      <c r="AC2823" s="4" t="s">
        <v>67</v>
      </c>
      <c r="AD2823" s="4" t="s">
        <v>63</v>
      </c>
      <c r="AE2823" s="4" t="s">
        <v>63</v>
      </c>
      <c r="AF2823" s="4" t="s">
        <v>63</v>
      </c>
      <c r="AG2823" s="4" t="s">
        <v>63</v>
      </c>
      <c r="AH2823" s="4" t="s">
        <v>63</v>
      </c>
      <c r="AI2823" s="4" t="s">
        <v>63</v>
      </c>
      <c r="AJ2823" s="4" t="s">
        <v>63</v>
      </c>
      <c r="AK2823" s="4" t="s">
        <v>63</v>
      </c>
      <c r="AL2823" s="4" t="s">
        <v>63</v>
      </c>
      <c r="AM2823" s="4" t="s">
        <v>23289</v>
      </c>
      <c r="AN2823" s="4" t="s">
        <v>63</v>
      </c>
      <c r="AO2823" s="4" t="s">
        <v>63</v>
      </c>
      <c r="AP2823" s="4" t="s">
        <v>63</v>
      </c>
      <c r="AQ2823" s="4" t="s">
        <v>63</v>
      </c>
      <c r="AR2823" s="4" t="s">
        <v>63</v>
      </c>
      <c r="AS2823" s="4" t="s">
        <v>63</v>
      </c>
      <c r="AT2823" s="4" t="s">
        <v>63</v>
      </c>
      <c r="AU2823" s="4" t="s">
        <v>63</v>
      </c>
      <c r="AV2823" s="4" t="s">
        <v>63</v>
      </c>
      <c r="AW2823" s="4" t="s">
        <v>63</v>
      </c>
      <c r="AX2823" s="4" t="s">
        <v>63</v>
      </c>
      <c r="AY2823" s="4" t="s">
        <v>63</v>
      </c>
      <c r="AZ2823" s="4" t="s">
        <v>63</v>
      </c>
      <c r="BA2823" s="4" t="s">
        <v>63</v>
      </c>
      <c r="BB2823" s="4" t="s">
        <v>63</v>
      </c>
      <c r="BC2823" s="4" t="s">
        <v>63</v>
      </c>
      <c r="BD2823" s="4" t="s">
        <v>63</v>
      </c>
      <c r="BE2823" s="4" t="s">
        <v>63</v>
      </c>
      <c r="BF2823" s="4" t="s">
        <v>63</v>
      </c>
    </row>
    <row r="2824" spans="1:58">
      <c r="A2824" s="4" t="s">
        <v>2702</v>
      </c>
      <c r="B2824" s="4" t="s">
        <v>23295</v>
      </c>
      <c r="C2824" s="4" t="s">
        <v>23296</v>
      </c>
      <c r="D2824" s="4" t="s">
        <v>11901</v>
      </c>
      <c r="E2824" s="4" t="s">
        <v>63</v>
      </c>
      <c r="F2824" s="4">
        <v>2017</v>
      </c>
      <c r="G2824" s="4" t="s">
        <v>198</v>
      </c>
      <c r="H2824" s="4">
        <v>59</v>
      </c>
      <c r="I2824" s="4">
        <v>6</v>
      </c>
      <c r="J2824" s="4" t="s">
        <v>23297</v>
      </c>
      <c r="K2824" s="4" t="s">
        <v>23297</v>
      </c>
      <c r="L2824" s="4" t="s">
        <v>23298</v>
      </c>
      <c r="M2824" s="4" t="s">
        <v>63</v>
      </c>
      <c r="N2824" s="4" t="s">
        <v>23299</v>
      </c>
      <c r="O2824" s="4" t="s">
        <v>63</v>
      </c>
      <c r="P2824" s="4"/>
      <c r="Q2824" s="4" t="s">
        <v>63</v>
      </c>
      <c r="R2824" s="4" t="s">
        <v>63</v>
      </c>
      <c r="S2824" s="4" t="s">
        <v>63</v>
      </c>
      <c r="T2824" s="4" t="s">
        <v>63</v>
      </c>
      <c r="U2824" s="4"/>
      <c r="V2824" s="4"/>
      <c r="W2824" s="4"/>
      <c r="X2824" s="4" t="s">
        <v>63</v>
      </c>
      <c r="Y2824" s="4" t="s">
        <v>11904</v>
      </c>
      <c r="Z2824" s="4" t="s">
        <v>63</v>
      </c>
      <c r="AA2824" s="4" t="s">
        <v>23300</v>
      </c>
      <c r="AB2824" s="4" t="s">
        <v>23301</v>
      </c>
      <c r="AC2824" s="4" t="s">
        <v>67</v>
      </c>
      <c r="AD2824" s="4" t="s">
        <v>63</v>
      </c>
      <c r="AE2824" s="4" t="s">
        <v>63</v>
      </c>
      <c r="AF2824" s="4" t="s">
        <v>63</v>
      </c>
      <c r="AG2824" s="4" t="s">
        <v>63</v>
      </c>
      <c r="AH2824" s="4" t="s">
        <v>63</v>
      </c>
      <c r="AI2824" s="4" t="s">
        <v>63</v>
      </c>
      <c r="AJ2824" s="4" t="s">
        <v>63</v>
      </c>
      <c r="AK2824" s="4" t="s">
        <v>63</v>
      </c>
      <c r="AL2824" s="4" t="s">
        <v>63</v>
      </c>
      <c r="AM2824" s="4" t="s">
        <v>23296</v>
      </c>
      <c r="AN2824" s="4" t="s">
        <v>63</v>
      </c>
      <c r="AO2824" s="4" t="s">
        <v>63</v>
      </c>
      <c r="AP2824" s="4" t="s">
        <v>63</v>
      </c>
      <c r="AQ2824" s="4" t="s">
        <v>63</v>
      </c>
      <c r="AR2824" s="4" t="s">
        <v>63</v>
      </c>
      <c r="AS2824" s="4" t="s">
        <v>63</v>
      </c>
      <c r="AT2824" s="4" t="s">
        <v>63</v>
      </c>
      <c r="AU2824" s="4" t="s">
        <v>63</v>
      </c>
      <c r="AV2824" s="4" t="s">
        <v>63</v>
      </c>
      <c r="AW2824" s="4" t="s">
        <v>63</v>
      </c>
      <c r="AX2824" s="4" t="s">
        <v>63</v>
      </c>
      <c r="AY2824" s="4" t="s">
        <v>63</v>
      </c>
      <c r="AZ2824" s="4" t="s">
        <v>63</v>
      </c>
      <c r="BA2824" s="4" t="s">
        <v>63</v>
      </c>
      <c r="BB2824" s="4" t="s">
        <v>63</v>
      </c>
      <c r="BC2824" s="4" t="s">
        <v>63</v>
      </c>
      <c r="BD2824" s="4" t="s">
        <v>63</v>
      </c>
      <c r="BE2824" s="4" t="s">
        <v>63</v>
      </c>
      <c r="BF2824" s="4" t="s">
        <v>63</v>
      </c>
    </row>
    <row r="2825" spans="1:58">
      <c r="A2825" s="4" t="s">
        <v>58</v>
      </c>
      <c r="B2825" s="4" t="s">
        <v>23302</v>
      </c>
      <c r="C2825" s="4" t="s">
        <v>23303</v>
      </c>
      <c r="D2825" s="4" t="s">
        <v>23304</v>
      </c>
      <c r="E2825" s="4" t="s">
        <v>63</v>
      </c>
      <c r="F2825" s="4">
        <v>2010</v>
      </c>
      <c r="G2825" s="4" t="s">
        <v>63</v>
      </c>
      <c r="H2825" s="4">
        <v>17</v>
      </c>
      <c r="I2825" s="4">
        <v>5</v>
      </c>
      <c r="J2825" s="4">
        <v>587</v>
      </c>
      <c r="K2825" s="4">
        <v>602</v>
      </c>
      <c r="L2825" s="4" t="s">
        <v>23305</v>
      </c>
      <c r="M2825" s="4" t="s">
        <v>23306</v>
      </c>
      <c r="N2825" s="4" t="s">
        <v>23307</v>
      </c>
      <c r="O2825" s="4" t="s">
        <v>63</v>
      </c>
      <c r="P2825" s="4"/>
      <c r="Q2825" s="4" t="s">
        <v>63</v>
      </c>
      <c r="R2825" s="4" t="s">
        <v>63</v>
      </c>
      <c r="S2825" s="4" t="s">
        <v>63</v>
      </c>
      <c r="T2825" s="4" t="s">
        <v>63</v>
      </c>
      <c r="U2825" s="4"/>
      <c r="V2825" s="4"/>
      <c r="W2825" s="4"/>
      <c r="X2825" s="4" t="s">
        <v>63</v>
      </c>
      <c r="Y2825" s="4" t="s">
        <v>23308</v>
      </c>
      <c r="Z2825" s="4" t="s">
        <v>63</v>
      </c>
      <c r="AA2825" s="4" t="s">
        <v>23309</v>
      </c>
      <c r="AB2825" s="4" t="s">
        <v>23310</v>
      </c>
      <c r="AC2825" s="4" t="s">
        <v>67</v>
      </c>
      <c r="AD2825" s="4" t="s">
        <v>63</v>
      </c>
      <c r="AE2825" s="4" t="s">
        <v>63</v>
      </c>
      <c r="AF2825" s="4" t="s">
        <v>63</v>
      </c>
      <c r="AG2825" s="4" t="s">
        <v>63</v>
      </c>
      <c r="AH2825" s="4" t="s">
        <v>63</v>
      </c>
      <c r="AI2825" s="4" t="s">
        <v>23311</v>
      </c>
      <c r="AJ2825" s="4" t="s">
        <v>63</v>
      </c>
      <c r="AK2825" s="4" t="s">
        <v>63</v>
      </c>
      <c r="AL2825" s="4" t="s">
        <v>63</v>
      </c>
      <c r="AM2825" s="4" t="s">
        <v>23303</v>
      </c>
      <c r="AN2825" s="4" t="s">
        <v>63</v>
      </c>
      <c r="AO2825" s="4" t="s">
        <v>63</v>
      </c>
      <c r="AP2825" s="4" t="s">
        <v>63</v>
      </c>
      <c r="AQ2825" s="4" t="s">
        <v>63</v>
      </c>
      <c r="AR2825" s="4" t="s">
        <v>63</v>
      </c>
      <c r="AS2825" s="4" t="s">
        <v>63</v>
      </c>
      <c r="AT2825" s="4" t="s">
        <v>63</v>
      </c>
      <c r="AU2825" s="4" t="s">
        <v>63</v>
      </c>
      <c r="AV2825" s="4" t="s">
        <v>63</v>
      </c>
      <c r="AW2825" s="4" t="s">
        <v>63</v>
      </c>
      <c r="AX2825" s="4" t="s">
        <v>63</v>
      </c>
      <c r="AY2825" s="4" t="s">
        <v>63</v>
      </c>
      <c r="AZ2825" s="4" t="s">
        <v>63</v>
      </c>
      <c r="BA2825" s="4" t="s">
        <v>63</v>
      </c>
      <c r="BB2825" s="4" t="s">
        <v>63</v>
      </c>
      <c r="BC2825" s="4" t="s">
        <v>63</v>
      </c>
      <c r="BD2825" s="4" t="s">
        <v>63</v>
      </c>
      <c r="BE2825" s="4" t="s">
        <v>63</v>
      </c>
      <c r="BF2825" s="4" t="s">
        <v>63</v>
      </c>
    </row>
    <row r="2826" spans="1:58">
      <c r="A2826" s="4" t="s">
        <v>58</v>
      </c>
      <c r="B2826" s="4" t="s">
        <v>23312</v>
      </c>
      <c r="C2826" s="4" t="s">
        <v>23313</v>
      </c>
      <c r="D2826" s="4" t="s">
        <v>19896</v>
      </c>
      <c r="E2826" s="4" t="s">
        <v>19897</v>
      </c>
      <c r="F2826" s="4">
        <v>2001</v>
      </c>
      <c r="G2826" s="4" t="s">
        <v>157</v>
      </c>
      <c r="H2826" s="4">
        <v>189</v>
      </c>
      <c r="I2826" s="4">
        <v>12</v>
      </c>
      <c r="J2826" s="4">
        <v>860</v>
      </c>
      <c r="K2826" s="4">
        <v>861</v>
      </c>
      <c r="L2826" s="4" t="s">
        <v>63</v>
      </c>
      <c r="M2826" s="4" t="s">
        <v>63</v>
      </c>
      <c r="N2826" s="4" t="s">
        <v>23314</v>
      </c>
      <c r="O2826" s="4" t="s">
        <v>63</v>
      </c>
      <c r="P2826" s="4"/>
      <c r="Q2826" s="4" t="s">
        <v>63</v>
      </c>
      <c r="R2826" s="4" t="s">
        <v>63</v>
      </c>
      <c r="S2826" s="4" t="s">
        <v>63</v>
      </c>
      <c r="T2826" s="4" t="s">
        <v>63</v>
      </c>
      <c r="U2826" s="4"/>
      <c r="V2826" s="4"/>
      <c r="W2826" s="4"/>
      <c r="X2826" s="4" t="s">
        <v>63</v>
      </c>
      <c r="Y2826" s="4" t="s">
        <v>11316</v>
      </c>
      <c r="Z2826" s="4" t="s">
        <v>63</v>
      </c>
      <c r="AA2826" s="4" t="s">
        <v>23315</v>
      </c>
      <c r="AB2826" s="4" t="s">
        <v>23316</v>
      </c>
      <c r="AC2826" s="4" t="s">
        <v>67</v>
      </c>
      <c r="AD2826" s="4" t="s">
        <v>63</v>
      </c>
      <c r="AE2826" s="4" t="s">
        <v>63</v>
      </c>
      <c r="AF2826" s="4" t="s">
        <v>63</v>
      </c>
      <c r="AG2826" s="4" t="s">
        <v>63</v>
      </c>
      <c r="AH2826" s="4" t="s">
        <v>63</v>
      </c>
      <c r="AI2826" s="4" t="s">
        <v>23317</v>
      </c>
      <c r="AJ2826" s="4" t="s">
        <v>63</v>
      </c>
      <c r="AK2826" s="4" t="s">
        <v>63</v>
      </c>
      <c r="AL2826" s="4" t="s">
        <v>63</v>
      </c>
      <c r="AM2826" s="4" t="s">
        <v>23313</v>
      </c>
      <c r="AN2826" s="4" t="s">
        <v>63</v>
      </c>
      <c r="AO2826" s="4" t="s">
        <v>63</v>
      </c>
      <c r="AP2826" s="4" t="s">
        <v>63</v>
      </c>
      <c r="AQ2826" s="4" t="s">
        <v>63</v>
      </c>
      <c r="AR2826" s="4" t="s">
        <v>63</v>
      </c>
      <c r="AS2826" s="4" t="s">
        <v>63</v>
      </c>
      <c r="AT2826" s="4" t="s">
        <v>63</v>
      </c>
      <c r="AU2826" s="4" t="s">
        <v>63</v>
      </c>
      <c r="AV2826" s="4" t="s">
        <v>63</v>
      </c>
      <c r="AW2826" s="4" t="s">
        <v>63</v>
      </c>
      <c r="AX2826" s="4" t="s">
        <v>63</v>
      </c>
      <c r="AY2826" s="4" t="s">
        <v>63</v>
      </c>
      <c r="AZ2826" s="4" t="s">
        <v>63</v>
      </c>
      <c r="BA2826" s="4" t="s">
        <v>63</v>
      </c>
      <c r="BB2826" s="4" t="s">
        <v>63</v>
      </c>
      <c r="BC2826" s="4" t="s">
        <v>63</v>
      </c>
      <c r="BD2826" s="4" t="s">
        <v>63</v>
      </c>
      <c r="BE2826" s="4" t="s">
        <v>63</v>
      </c>
      <c r="BF2826" s="4" t="s">
        <v>63</v>
      </c>
    </row>
    <row r="2827" spans="1:58">
      <c r="A2827" s="4" t="s">
        <v>58</v>
      </c>
      <c r="B2827" s="4" t="s">
        <v>23318</v>
      </c>
      <c r="C2827" s="4" t="s">
        <v>23319</v>
      </c>
      <c r="D2827" s="4" t="s">
        <v>23320</v>
      </c>
      <c r="E2827" s="4" t="s">
        <v>23321</v>
      </c>
      <c r="F2827" s="4">
        <v>2006</v>
      </c>
      <c r="G2827" s="4" t="s">
        <v>84</v>
      </c>
      <c r="H2827" s="4">
        <v>15</v>
      </c>
      <c r="I2827" s="4">
        <v>4</v>
      </c>
      <c r="J2827" s="4">
        <v>379</v>
      </c>
      <c r="K2827" s="4">
        <v>386</v>
      </c>
      <c r="L2827" s="4" t="s">
        <v>23322</v>
      </c>
      <c r="M2827" s="4" t="s">
        <v>23323</v>
      </c>
      <c r="N2827" s="4" t="s">
        <v>23324</v>
      </c>
      <c r="O2827" s="4" t="s">
        <v>63</v>
      </c>
      <c r="P2827" s="4"/>
      <c r="Q2827" s="4" t="s">
        <v>63</v>
      </c>
      <c r="R2827" s="4" t="s">
        <v>63</v>
      </c>
      <c r="S2827" s="4" t="s">
        <v>63</v>
      </c>
      <c r="T2827" s="4" t="s">
        <v>63</v>
      </c>
      <c r="U2827" s="4"/>
      <c r="V2827" s="4"/>
      <c r="W2827" s="4"/>
      <c r="X2827" s="4" t="s">
        <v>63</v>
      </c>
      <c r="Y2827" s="4" t="s">
        <v>23325</v>
      </c>
      <c r="Z2827" s="4" t="s">
        <v>63</v>
      </c>
      <c r="AA2827" s="4" t="s">
        <v>23326</v>
      </c>
      <c r="AB2827" s="4" t="s">
        <v>23327</v>
      </c>
      <c r="AC2827" s="4" t="s">
        <v>67</v>
      </c>
      <c r="AD2827" s="4" t="s">
        <v>63</v>
      </c>
      <c r="AE2827" s="4" t="s">
        <v>63</v>
      </c>
      <c r="AF2827" s="4" t="s">
        <v>63</v>
      </c>
      <c r="AG2827" s="4" t="s">
        <v>63</v>
      </c>
      <c r="AH2827" s="4" t="s">
        <v>63</v>
      </c>
      <c r="AI2827" s="4" t="s">
        <v>23328</v>
      </c>
      <c r="AJ2827" s="4" t="s">
        <v>63</v>
      </c>
      <c r="AK2827" s="4" t="s">
        <v>63</v>
      </c>
      <c r="AL2827" s="4" t="s">
        <v>63</v>
      </c>
      <c r="AM2827" s="4" t="s">
        <v>23319</v>
      </c>
      <c r="AN2827" s="4" t="s">
        <v>63</v>
      </c>
      <c r="AO2827" s="4" t="s">
        <v>63</v>
      </c>
      <c r="AP2827" s="4" t="s">
        <v>63</v>
      </c>
      <c r="AQ2827" s="4" t="s">
        <v>63</v>
      </c>
      <c r="AR2827" s="4" t="s">
        <v>63</v>
      </c>
      <c r="AS2827" s="4" t="s">
        <v>63</v>
      </c>
      <c r="AT2827" s="4" t="s">
        <v>63</v>
      </c>
      <c r="AU2827" s="4" t="s">
        <v>63</v>
      </c>
      <c r="AV2827" s="4" t="s">
        <v>63</v>
      </c>
      <c r="AW2827" s="4" t="s">
        <v>63</v>
      </c>
      <c r="AX2827" s="4" t="s">
        <v>63</v>
      </c>
      <c r="AY2827" s="4" t="s">
        <v>63</v>
      </c>
      <c r="AZ2827" s="4" t="s">
        <v>63</v>
      </c>
      <c r="BA2827" s="4" t="s">
        <v>63</v>
      </c>
      <c r="BB2827" s="4" t="s">
        <v>63</v>
      </c>
      <c r="BC2827" s="4" t="s">
        <v>63</v>
      </c>
      <c r="BD2827" s="4" t="s">
        <v>63</v>
      </c>
      <c r="BE2827" s="4" t="s">
        <v>63</v>
      </c>
      <c r="BF2827" s="4" t="s">
        <v>63</v>
      </c>
    </row>
    <row r="2828" spans="1:58">
      <c r="A2828" s="4" t="s">
        <v>58</v>
      </c>
      <c r="B2828" s="4" t="s">
        <v>23329</v>
      </c>
      <c r="C2828" s="4" t="s">
        <v>23330</v>
      </c>
      <c r="D2828" s="4" t="s">
        <v>13767</v>
      </c>
      <c r="E2828" s="4" t="s">
        <v>13768</v>
      </c>
      <c r="F2828" s="4">
        <v>2017</v>
      </c>
      <c r="G2828" s="4" t="s">
        <v>219</v>
      </c>
      <c r="H2828" s="4">
        <v>27</v>
      </c>
      <c r="I2828" s="4" t="s">
        <v>63</v>
      </c>
      <c r="J2828" s="4" t="s">
        <v>63</v>
      </c>
      <c r="K2828" s="4" t="s">
        <v>63</v>
      </c>
      <c r="L2828" s="4" t="s">
        <v>63</v>
      </c>
      <c r="M2828" s="4" t="s">
        <v>63</v>
      </c>
      <c r="N2828" s="4" t="s">
        <v>23331</v>
      </c>
      <c r="O2828" s="4" t="s">
        <v>63</v>
      </c>
      <c r="P2828" s="4"/>
      <c r="Q2828" s="4" t="s">
        <v>63</v>
      </c>
      <c r="R2828" s="4" t="s">
        <v>63</v>
      </c>
      <c r="S2828" s="4" t="s">
        <v>63</v>
      </c>
      <c r="T2828" s="4" t="s">
        <v>63</v>
      </c>
      <c r="U2828" s="4"/>
      <c r="V2828" s="4"/>
      <c r="W2828" s="4"/>
      <c r="X2828" s="4" t="s">
        <v>63</v>
      </c>
      <c r="Y2828" s="4" t="s">
        <v>13772</v>
      </c>
      <c r="Z2828" s="4" t="s">
        <v>63</v>
      </c>
      <c r="AA2828" s="4" t="s">
        <v>23332</v>
      </c>
      <c r="AB2828" s="4" t="s">
        <v>23333</v>
      </c>
      <c r="AC2828" s="4" t="s">
        <v>67</v>
      </c>
      <c r="AD2828" s="4" t="s">
        <v>63</v>
      </c>
      <c r="AE2828" s="4" t="s">
        <v>63</v>
      </c>
      <c r="AF2828" s="4" t="s">
        <v>63</v>
      </c>
      <c r="AG2828" s="4" t="s">
        <v>63</v>
      </c>
      <c r="AH2828" s="4" t="s">
        <v>63</v>
      </c>
      <c r="AI2828" s="4" t="s">
        <v>63</v>
      </c>
      <c r="AJ2828" s="4" t="s">
        <v>63</v>
      </c>
      <c r="AK2828" s="4" t="s">
        <v>63</v>
      </c>
      <c r="AL2828" s="4" t="s">
        <v>63</v>
      </c>
      <c r="AM2828" s="4" t="s">
        <v>23330</v>
      </c>
      <c r="AN2828" s="4" t="s">
        <v>63</v>
      </c>
      <c r="AO2828" s="4" t="s">
        <v>63</v>
      </c>
      <c r="AP2828" s="4" t="s">
        <v>63</v>
      </c>
      <c r="AQ2828" s="4" t="s">
        <v>63</v>
      </c>
      <c r="AR2828" s="4" t="s">
        <v>63</v>
      </c>
      <c r="AS2828" s="4" t="s">
        <v>63</v>
      </c>
      <c r="AT2828" s="4" t="s">
        <v>63</v>
      </c>
      <c r="AU2828" s="4" t="s">
        <v>63</v>
      </c>
      <c r="AV2828" s="4" t="s">
        <v>63</v>
      </c>
      <c r="AW2828" s="4" t="s">
        <v>63</v>
      </c>
      <c r="AX2828" s="4" t="s">
        <v>63</v>
      </c>
      <c r="AY2828" s="4" t="s">
        <v>63</v>
      </c>
      <c r="AZ2828" s="4" t="s">
        <v>63</v>
      </c>
      <c r="BA2828" s="4" t="s">
        <v>63</v>
      </c>
      <c r="BB2828" s="4" t="s">
        <v>63</v>
      </c>
      <c r="BC2828" s="4" t="s">
        <v>63</v>
      </c>
      <c r="BD2828" s="4" t="s">
        <v>63</v>
      </c>
      <c r="BE2828" s="4" t="s">
        <v>63</v>
      </c>
      <c r="BF2828" s="4" t="s">
        <v>63</v>
      </c>
    </row>
    <row r="2829" spans="1:58">
      <c r="A2829" s="4" t="s">
        <v>58</v>
      </c>
      <c r="B2829" s="4" t="s">
        <v>23334</v>
      </c>
      <c r="C2829" s="4" t="s">
        <v>23335</v>
      </c>
      <c r="D2829" s="4" t="s">
        <v>15263</v>
      </c>
      <c r="E2829" s="4" t="s">
        <v>15264</v>
      </c>
      <c r="F2829" s="4">
        <v>2003</v>
      </c>
      <c r="G2829" s="4" t="s">
        <v>219</v>
      </c>
      <c r="H2829" s="4">
        <v>72</v>
      </c>
      <c r="I2829" s="4">
        <v>2</v>
      </c>
      <c r="J2829" s="4">
        <v>117</v>
      </c>
      <c r="K2829" s="4">
        <v>121</v>
      </c>
      <c r="L2829" s="4" t="s">
        <v>23336</v>
      </c>
      <c r="M2829" s="4" t="s">
        <v>23337</v>
      </c>
      <c r="N2829" s="4" t="s">
        <v>23338</v>
      </c>
      <c r="O2829" s="4" t="s">
        <v>63</v>
      </c>
      <c r="P2829" s="4"/>
      <c r="Q2829" s="4" t="s">
        <v>63</v>
      </c>
      <c r="R2829" s="4" t="s">
        <v>63</v>
      </c>
      <c r="S2829" s="4" t="s">
        <v>63</v>
      </c>
      <c r="T2829" s="4" t="s">
        <v>63</v>
      </c>
      <c r="U2829" s="4"/>
      <c r="V2829" s="4"/>
      <c r="W2829" s="4"/>
      <c r="X2829" s="4" t="s">
        <v>63</v>
      </c>
      <c r="Y2829" s="4" t="s">
        <v>4942</v>
      </c>
      <c r="Z2829" s="4" t="s">
        <v>63</v>
      </c>
      <c r="AA2829" s="4" t="s">
        <v>23339</v>
      </c>
      <c r="AB2829" s="4" t="s">
        <v>23340</v>
      </c>
      <c r="AC2829" s="4" t="s">
        <v>67</v>
      </c>
      <c r="AD2829" s="4" t="s">
        <v>63</v>
      </c>
      <c r="AE2829" s="4" t="s">
        <v>63</v>
      </c>
      <c r="AF2829" s="4" t="s">
        <v>63</v>
      </c>
      <c r="AG2829" s="4" t="s">
        <v>63</v>
      </c>
      <c r="AH2829" s="4" t="s">
        <v>63</v>
      </c>
      <c r="AI2829" s="4" t="s">
        <v>23341</v>
      </c>
      <c r="AJ2829" s="4" t="s">
        <v>63</v>
      </c>
      <c r="AK2829" s="4" t="s">
        <v>63</v>
      </c>
      <c r="AL2829" s="4" t="s">
        <v>63</v>
      </c>
      <c r="AM2829" s="4" t="s">
        <v>23335</v>
      </c>
      <c r="AN2829" s="4" t="s">
        <v>63</v>
      </c>
      <c r="AO2829" s="4" t="s">
        <v>63</v>
      </c>
      <c r="AP2829" s="4" t="s">
        <v>63</v>
      </c>
      <c r="AQ2829" s="4" t="s">
        <v>63</v>
      </c>
      <c r="AR2829" s="4" t="s">
        <v>63</v>
      </c>
      <c r="AS2829" s="4" t="s">
        <v>63</v>
      </c>
      <c r="AT2829" s="4" t="s">
        <v>63</v>
      </c>
      <c r="AU2829" s="4" t="s">
        <v>63</v>
      </c>
      <c r="AV2829" s="4" t="s">
        <v>63</v>
      </c>
      <c r="AW2829" s="4" t="s">
        <v>63</v>
      </c>
      <c r="AX2829" s="4" t="s">
        <v>63</v>
      </c>
      <c r="AY2829" s="4" t="s">
        <v>63</v>
      </c>
      <c r="AZ2829" s="4" t="s">
        <v>63</v>
      </c>
      <c r="BA2829" s="4" t="s">
        <v>63</v>
      </c>
      <c r="BB2829" s="4" t="s">
        <v>63</v>
      </c>
      <c r="BC2829" s="4" t="s">
        <v>63</v>
      </c>
      <c r="BD2829" s="4" t="s">
        <v>63</v>
      </c>
      <c r="BE2829" s="4" t="s">
        <v>63</v>
      </c>
      <c r="BF2829" s="4" t="s">
        <v>63</v>
      </c>
    </row>
    <row r="2830" spans="1:58">
      <c r="A2830" s="4" t="s">
        <v>58</v>
      </c>
      <c r="B2830" s="4" t="s">
        <v>23342</v>
      </c>
      <c r="C2830" s="4" t="s">
        <v>23343</v>
      </c>
      <c r="D2830" s="4" t="s">
        <v>11901</v>
      </c>
      <c r="E2830" s="4" t="s">
        <v>63</v>
      </c>
      <c r="F2830" s="4">
        <v>2014</v>
      </c>
      <c r="G2830" s="4" t="s">
        <v>198</v>
      </c>
      <c r="H2830" s="4">
        <v>56</v>
      </c>
      <c r="I2830" s="4">
        <v>5</v>
      </c>
      <c r="J2830" s="4" t="s">
        <v>23344</v>
      </c>
      <c r="K2830" s="4" t="s">
        <v>23344</v>
      </c>
      <c r="L2830" s="4" t="s">
        <v>63</v>
      </c>
      <c r="M2830" s="4" t="s">
        <v>63</v>
      </c>
      <c r="N2830" s="4" t="s">
        <v>23345</v>
      </c>
      <c r="O2830" s="4" t="s">
        <v>63</v>
      </c>
      <c r="P2830" s="4"/>
      <c r="Q2830" s="4" t="s">
        <v>63</v>
      </c>
      <c r="R2830" s="4" t="s">
        <v>63</v>
      </c>
      <c r="S2830" s="4" t="s">
        <v>63</v>
      </c>
      <c r="T2830" s="4" t="s">
        <v>63</v>
      </c>
      <c r="U2830" s="4"/>
      <c r="V2830" s="4"/>
      <c r="W2830" s="4"/>
      <c r="X2830" s="4" t="s">
        <v>63</v>
      </c>
      <c r="Y2830" s="4" t="s">
        <v>11904</v>
      </c>
      <c r="Z2830" s="4" t="s">
        <v>63</v>
      </c>
      <c r="AA2830" s="4" t="s">
        <v>63</v>
      </c>
      <c r="AB2830" s="4" t="s">
        <v>23346</v>
      </c>
      <c r="AC2830" s="4" t="s">
        <v>67</v>
      </c>
      <c r="AD2830" s="4" t="s">
        <v>63</v>
      </c>
      <c r="AE2830" s="4" t="s">
        <v>63</v>
      </c>
      <c r="AF2830" s="4" t="s">
        <v>63</v>
      </c>
      <c r="AG2830" s="4" t="s">
        <v>63</v>
      </c>
      <c r="AH2830" s="4" t="s">
        <v>63</v>
      </c>
      <c r="AI2830" s="4" t="s">
        <v>63</v>
      </c>
      <c r="AJ2830" s="4" t="s">
        <v>63</v>
      </c>
      <c r="AK2830" s="4" t="s">
        <v>63</v>
      </c>
      <c r="AL2830" s="4" t="s">
        <v>63</v>
      </c>
      <c r="AM2830" s="4" t="s">
        <v>23343</v>
      </c>
      <c r="AN2830" s="4" t="s">
        <v>63</v>
      </c>
      <c r="AO2830" s="4" t="s">
        <v>63</v>
      </c>
      <c r="AP2830" s="4" t="s">
        <v>63</v>
      </c>
      <c r="AQ2830" s="4" t="s">
        <v>63</v>
      </c>
      <c r="AR2830" s="4" t="s">
        <v>63</v>
      </c>
      <c r="AS2830" s="4" t="s">
        <v>63</v>
      </c>
      <c r="AT2830" s="4" t="s">
        <v>63</v>
      </c>
      <c r="AU2830" s="4" t="s">
        <v>63</v>
      </c>
      <c r="AV2830" s="4" t="s">
        <v>63</v>
      </c>
      <c r="AW2830" s="4" t="s">
        <v>63</v>
      </c>
      <c r="AX2830" s="4" t="s">
        <v>63</v>
      </c>
      <c r="AY2830" s="4" t="s">
        <v>63</v>
      </c>
      <c r="AZ2830" s="4" t="s">
        <v>63</v>
      </c>
      <c r="BA2830" s="4" t="s">
        <v>63</v>
      </c>
      <c r="BB2830" s="4" t="s">
        <v>63</v>
      </c>
      <c r="BC2830" s="4" t="s">
        <v>63</v>
      </c>
      <c r="BD2830" s="4" t="s">
        <v>63</v>
      </c>
      <c r="BE2830" s="4" t="s">
        <v>63</v>
      </c>
      <c r="BF2830" s="4" t="s">
        <v>63</v>
      </c>
    </row>
    <row r="2831" spans="1:58">
      <c r="A2831" s="4" t="s">
        <v>58</v>
      </c>
      <c r="B2831" s="4" t="s">
        <v>23347</v>
      </c>
      <c r="C2831" s="4" t="s">
        <v>23348</v>
      </c>
      <c r="D2831" s="4" t="s">
        <v>371</v>
      </c>
      <c r="E2831" s="4" t="s">
        <v>63</v>
      </c>
      <c r="F2831" s="4">
        <v>2004</v>
      </c>
      <c r="G2831" s="4" t="s">
        <v>84</v>
      </c>
      <c r="H2831" s="4">
        <v>19</v>
      </c>
      <c r="I2831" s="4" t="s">
        <v>63</v>
      </c>
      <c r="J2831" s="4">
        <v>93</v>
      </c>
      <c r="K2831" s="4">
        <v>93</v>
      </c>
      <c r="L2831" s="4" t="s">
        <v>63</v>
      </c>
      <c r="M2831" s="4" t="s">
        <v>63</v>
      </c>
      <c r="N2831" s="4" t="s">
        <v>23349</v>
      </c>
      <c r="O2831" s="4" t="s">
        <v>63</v>
      </c>
      <c r="P2831" s="4"/>
      <c r="Q2831" s="4" t="s">
        <v>63</v>
      </c>
      <c r="R2831" s="4" t="s">
        <v>63</v>
      </c>
      <c r="S2831" s="4" t="s">
        <v>63</v>
      </c>
      <c r="T2831" s="4" t="s">
        <v>63</v>
      </c>
      <c r="U2831" s="4"/>
      <c r="V2831" s="4"/>
      <c r="W2831" s="4"/>
      <c r="X2831" s="4" t="s">
        <v>63</v>
      </c>
      <c r="Y2831" s="4" t="s">
        <v>375</v>
      </c>
      <c r="Z2831" s="4" t="s">
        <v>63</v>
      </c>
      <c r="AA2831" s="4" t="s">
        <v>23350</v>
      </c>
      <c r="AB2831" s="4" t="s">
        <v>23351</v>
      </c>
      <c r="AC2831" s="4" t="s">
        <v>67</v>
      </c>
      <c r="AD2831" s="4" t="s">
        <v>63</v>
      </c>
      <c r="AE2831" s="4" t="s">
        <v>63</v>
      </c>
      <c r="AF2831" s="4" t="s">
        <v>63</v>
      </c>
      <c r="AG2831" s="4" t="s">
        <v>63</v>
      </c>
      <c r="AH2831" s="4" t="s">
        <v>63</v>
      </c>
      <c r="AI2831" s="4" t="s">
        <v>63</v>
      </c>
      <c r="AJ2831" s="4" t="s">
        <v>63</v>
      </c>
      <c r="AK2831" s="4" t="s">
        <v>63</v>
      </c>
      <c r="AL2831" s="4" t="s">
        <v>63</v>
      </c>
      <c r="AM2831" s="4" t="s">
        <v>23348</v>
      </c>
      <c r="AN2831" s="4" t="s">
        <v>63</v>
      </c>
      <c r="AO2831" s="4" t="s">
        <v>63</v>
      </c>
      <c r="AP2831" s="4" t="s">
        <v>63</v>
      </c>
      <c r="AQ2831" s="4" t="s">
        <v>63</v>
      </c>
      <c r="AR2831" s="4" t="s">
        <v>63</v>
      </c>
      <c r="AS2831" s="4" t="s">
        <v>63</v>
      </c>
      <c r="AT2831" s="4" t="s">
        <v>63</v>
      </c>
      <c r="AU2831" s="4" t="s">
        <v>63</v>
      </c>
      <c r="AV2831" s="4" t="s">
        <v>63</v>
      </c>
      <c r="AW2831" s="4" t="s">
        <v>63</v>
      </c>
      <c r="AX2831" s="4" t="s">
        <v>63</v>
      </c>
      <c r="AY2831" s="4" t="s">
        <v>63</v>
      </c>
      <c r="AZ2831" s="4" t="s">
        <v>63</v>
      </c>
      <c r="BA2831" s="4" t="s">
        <v>63</v>
      </c>
      <c r="BB2831" s="4" t="s">
        <v>63</v>
      </c>
      <c r="BC2831" s="4" t="s">
        <v>63</v>
      </c>
      <c r="BD2831" s="4" t="s">
        <v>63</v>
      </c>
      <c r="BE2831" s="4" t="s">
        <v>63</v>
      </c>
      <c r="BF2831" s="4" t="s">
        <v>63</v>
      </c>
    </row>
    <row r="2832" spans="1:58">
      <c r="A2832" s="4" t="s">
        <v>58</v>
      </c>
      <c r="B2832" s="4" t="s">
        <v>23352</v>
      </c>
      <c r="C2832" s="4" t="s">
        <v>23353</v>
      </c>
      <c r="D2832" s="4" t="s">
        <v>371</v>
      </c>
      <c r="E2832" s="4" t="s">
        <v>63</v>
      </c>
      <c r="F2832" s="4">
        <v>2009</v>
      </c>
      <c r="G2832" s="4" t="s">
        <v>84</v>
      </c>
      <c r="H2832" s="4">
        <v>24</v>
      </c>
      <c r="I2832" s="4" t="s">
        <v>63</v>
      </c>
      <c r="J2832" s="4">
        <v>31</v>
      </c>
      <c r="K2832" s="4">
        <v>31</v>
      </c>
      <c r="L2832" s="4" t="s">
        <v>63</v>
      </c>
      <c r="M2832" s="4" t="s">
        <v>63</v>
      </c>
      <c r="N2832" s="4" t="s">
        <v>23354</v>
      </c>
      <c r="O2832" s="4" t="s">
        <v>63</v>
      </c>
      <c r="P2832" s="4"/>
      <c r="Q2832" s="4" t="s">
        <v>63</v>
      </c>
      <c r="R2832" s="4" t="s">
        <v>63</v>
      </c>
      <c r="S2832" s="4" t="s">
        <v>63</v>
      </c>
      <c r="T2832" s="4" t="s">
        <v>63</v>
      </c>
      <c r="U2832" s="4"/>
      <c r="V2832" s="4"/>
      <c r="W2832" s="4"/>
      <c r="X2832" s="4" t="s">
        <v>63</v>
      </c>
      <c r="Y2832" s="4" t="s">
        <v>375</v>
      </c>
      <c r="Z2832" s="4" t="s">
        <v>63</v>
      </c>
      <c r="AA2832" s="4" t="s">
        <v>23355</v>
      </c>
      <c r="AB2832" s="4" t="s">
        <v>23356</v>
      </c>
      <c r="AC2832" s="4" t="s">
        <v>67</v>
      </c>
      <c r="AD2832" s="4" t="s">
        <v>63</v>
      </c>
      <c r="AE2832" s="4" t="s">
        <v>63</v>
      </c>
      <c r="AF2832" s="4" t="s">
        <v>63</v>
      </c>
      <c r="AG2832" s="4" t="s">
        <v>63</v>
      </c>
      <c r="AH2832" s="4" t="s">
        <v>63</v>
      </c>
      <c r="AI2832" s="4" t="s">
        <v>63</v>
      </c>
      <c r="AJ2832" s="4" t="s">
        <v>63</v>
      </c>
      <c r="AK2832" s="4" t="s">
        <v>63</v>
      </c>
      <c r="AL2832" s="4" t="s">
        <v>63</v>
      </c>
      <c r="AM2832" s="4" t="s">
        <v>23353</v>
      </c>
      <c r="AN2832" s="4" t="s">
        <v>63</v>
      </c>
      <c r="AO2832" s="4" t="s">
        <v>63</v>
      </c>
      <c r="AP2832" s="4" t="s">
        <v>63</v>
      </c>
      <c r="AQ2832" s="4" t="s">
        <v>63</v>
      </c>
      <c r="AR2832" s="4" t="s">
        <v>63</v>
      </c>
      <c r="AS2832" s="4" t="s">
        <v>63</v>
      </c>
      <c r="AT2832" s="4" t="s">
        <v>63</v>
      </c>
      <c r="AU2832" s="4" t="s">
        <v>63</v>
      </c>
      <c r="AV2832" s="4" t="s">
        <v>63</v>
      </c>
      <c r="AW2832" s="4" t="s">
        <v>63</v>
      </c>
      <c r="AX2832" s="4" t="s">
        <v>63</v>
      </c>
      <c r="AY2832" s="4" t="s">
        <v>63</v>
      </c>
      <c r="AZ2832" s="4" t="s">
        <v>63</v>
      </c>
      <c r="BA2832" s="4" t="s">
        <v>63</v>
      </c>
      <c r="BB2832" s="4" t="s">
        <v>63</v>
      </c>
      <c r="BC2832" s="4" t="s">
        <v>63</v>
      </c>
      <c r="BD2832" s="4" t="s">
        <v>63</v>
      </c>
      <c r="BE2832" s="4" t="s">
        <v>63</v>
      </c>
      <c r="BF2832" s="4" t="s">
        <v>63</v>
      </c>
    </row>
    <row r="2833" spans="1:58">
      <c r="A2833" s="4" t="s">
        <v>58</v>
      </c>
      <c r="B2833" s="4" t="s">
        <v>23357</v>
      </c>
      <c r="C2833" s="4" t="s">
        <v>23358</v>
      </c>
      <c r="D2833" s="4" t="s">
        <v>389</v>
      </c>
      <c r="E2833" s="4" t="s">
        <v>63</v>
      </c>
      <c r="F2833" s="4">
        <v>2011</v>
      </c>
      <c r="G2833" s="4" t="s">
        <v>63</v>
      </c>
      <c r="H2833" s="4">
        <v>32</v>
      </c>
      <c r="I2833" s="4">
        <v>1</v>
      </c>
      <c r="J2833" s="4">
        <v>53</v>
      </c>
      <c r="K2833" s="4">
        <v>53</v>
      </c>
      <c r="L2833" s="4" t="s">
        <v>63</v>
      </c>
      <c r="M2833" s="4" t="s">
        <v>63</v>
      </c>
      <c r="N2833" s="4" t="s">
        <v>23359</v>
      </c>
      <c r="O2833" s="4" t="s">
        <v>63</v>
      </c>
      <c r="P2833" s="4"/>
      <c r="Q2833" s="4" t="s">
        <v>63</v>
      </c>
      <c r="R2833" s="4" t="s">
        <v>63</v>
      </c>
      <c r="S2833" s="4" t="s">
        <v>63</v>
      </c>
      <c r="T2833" s="4" t="s">
        <v>63</v>
      </c>
      <c r="U2833" s="4"/>
      <c r="V2833" s="4"/>
      <c r="W2833" s="4"/>
      <c r="X2833" s="4" t="s">
        <v>63</v>
      </c>
      <c r="Y2833" s="4" t="s">
        <v>392</v>
      </c>
      <c r="Z2833" s="4" t="s">
        <v>63</v>
      </c>
      <c r="AA2833" s="4" t="s">
        <v>23360</v>
      </c>
      <c r="AB2833" s="4" t="s">
        <v>23361</v>
      </c>
      <c r="AC2833" s="4" t="s">
        <v>67</v>
      </c>
      <c r="AD2833" s="4" t="s">
        <v>63</v>
      </c>
      <c r="AE2833" s="4" t="s">
        <v>63</v>
      </c>
      <c r="AF2833" s="4" t="s">
        <v>63</v>
      </c>
      <c r="AG2833" s="4" t="s">
        <v>63</v>
      </c>
      <c r="AH2833" s="4" t="s">
        <v>63</v>
      </c>
      <c r="AI2833" s="4" t="s">
        <v>63</v>
      </c>
      <c r="AJ2833" s="4" t="s">
        <v>63</v>
      </c>
      <c r="AK2833" s="4" t="s">
        <v>63</v>
      </c>
      <c r="AL2833" s="4" t="s">
        <v>63</v>
      </c>
      <c r="AM2833" s="4" t="s">
        <v>23358</v>
      </c>
      <c r="AN2833" s="4" t="s">
        <v>63</v>
      </c>
      <c r="AO2833" s="4" t="s">
        <v>63</v>
      </c>
      <c r="AP2833" s="4" t="s">
        <v>63</v>
      </c>
      <c r="AQ2833" s="4" t="s">
        <v>63</v>
      </c>
      <c r="AR2833" s="4" t="s">
        <v>63</v>
      </c>
      <c r="AS2833" s="4" t="s">
        <v>63</v>
      </c>
      <c r="AT2833" s="4" t="s">
        <v>63</v>
      </c>
      <c r="AU2833" s="4" t="s">
        <v>63</v>
      </c>
      <c r="AV2833" s="4" t="s">
        <v>63</v>
      </c>
      <c r="AW2833" s="4" t="s">
        <v>63</v>
      </c>
      <c r="AX2833" s="4" t="s">
        <v>63</v>
      </c>
      <c r="AY2833" s="4" t="s">
        <v>63</v>
      </c>
      <c r="AZ2833" s="4" t="s">
        <v>63</v>
      </c>
      <c r="BA2833" s="4" t="s">
        <v>63</v>
      </c>
      <c r="BB2833" s="4" t="s">
        <v>63</v>
      </c>
      <c r="BC2833" s="4" t="s">
        <v>63</v>
      </c>
      <c r="BD2833" s="4" t="s">
        <v>63</v>
      </c>
      <c r="BE2833" s="4" t="s">
        <v>63</v>
      </c>
      <c r="BF2833" s="4" t="s">
        <v>63</v>
      </c>
    </row>
    <row r="2834" spans="1:58">
      <c r="A2834" s="4" t="s">
        <v>58</v>
      </c>
      <c r="B2834" s="4" t="s">
        <v>23362</v>
      </c>
      <c r="C2834" s="4" t="s">
        <v>23363</v>
      </c>
      <c r="D2834" s="4" t="s">
        <v>23364</v>
      </c>
      <c r="E2834" s="4" t="s">
        <v>63</v>
      </c>
      <c r="F2834" s="4">
        <v>2010</v>
      </c>
      <c r="G2834" s="4" t="s">
        <v>198</v>
      </c>
      <c r="H2834" s="4">
        <v>5</v>
      </c>
      <c r="I2834" s="4" t="s">
        <v>63</v>
      </c>
      <c r="J2834" s="4" t="s">
        <v>63</v>
      </c>
      <c r="K2834" s="4" t="s">
        <v>63</v>
      </c>
      <c r="L2834" s="4" t="s">
        <v>23365</v>
      </c>
      <c r="M2834" s="4" t="s">
        <v>23366</v>
      </c>
      <c r="N2834" s="4" t="s">
        <v>23367</v>
      </c>
      <c r="O2834" s="4" t="s">
        <v>63</v>
      </c>
      <c r="P2834" s="4"/>
      <c r="Q2834" s="4" t="s">
        <v>63</v>
      </c>
      <c r="R2834" s="4" t="s">
        <v>63</v>
      </c>
      <c r="S2834" s="4" t="s">
        <v>63</v>
      </c>
      <c r="T2834" s="4" t="s">
        <v>63</v>
      </c>
      <c r="U2834" s="4"/>
      <c r="V2834" s="4"/>
      <c r="W2834" s="4"/>
      <c r="X2834" s="4" t="s">
        <v>63</v>
      </c>
      <c r="Y2834" s="4" t="s">
        <v>6753</v>
      </c>
      <c r="Z2834" s="4" t="s">
        <v>63</v>
      </c>
      <c r="AA2834" s="4" t="s">
        <v>23368</v>
      </c>
      <c r="AB2834" s="4" t="s">
        <v>23369</v>
      </c>
      <c r="AC2834" s="4" t="s">
        <v>67</v>
      </c>
      <c r="AD2834" s="4" t="s">
        <v>63</v>
      </c>
      <c r="AE2834" s="4" t="s">
        <v>63</v>
      </c>
      <c r="AF2834" s="4" t="s">
        <v>63</v>
      </c>
      <c r="AG2834" s="4" t="s">
        <v>63</v>
      </c>
      <c r="AH2834" s="4" t="s">
        <v>63</v>
      </c>
      <c r="AI2834" s="4" t="s">
        <v>23370</v>
      </c>
      <c r="AJ2834" s="4" t="s">
        <v>63</v>
      </c>
      <c r="AK2834" s="4" t="s">
        <v>63</v>
      </c>
      <c r="AL2834" s="4" t="s">
        <v>63</v>
      </c>
      <c r="AM2834" s="4" t="s">
        <v>23363</v>
      </c>
      <c r="AN2834" s="4" t="s">
        <v>63</v>
      </c>
      <c r="AO2834" s="4" t="s">
        <v>63</v>
      </c>
      <c r="AP2834" s="4" t="s">
        <v>63</v>
      </c>
      <c r="AQ2834" s="4" t="s">
        <v>63</v>
      </c>
      <c r="AR2834" s="4" t="s">
        <v>63</v>
      </c>
      <c r="AS2834" s="4" t="s">
        <v>63</v>
      </c>
      <c r="AT2834" s="4" t="s">
        <v>63</v>
      </c>
      <c r="AU2834" s="4" t="s">
        <v>63</v>
      </c>
      <c r="AV2834" s="4" t="s">
        <v>63</v>
      </c>
      <c r="AW2834" s="4" t="s">
        <v>63</v>
      </c>
      <c r="AX2834" s="4" t="s">
        <v>63</v>
      </c>
      <c r="AY2834" s="4" t="s">
        <v>63</v>
      </c>
      <c r="AZ2834" s="4" t="s">
        <v>63</v>
      </c>
      <c r="BA2834" s="4" t="s">
        <v>63</v>
      </c>
      <c r="BB2834" s="4" t="s">
        <v>63</v>
      </c>
      <c r="BC2834" s="4" t="s">
        <v>63</v>
      </c>
      <c r="BD2834" s="4" t="s">
        <v>63</v>
      </c>
      <c r="BE2834" s="4" t="s">
        <v>63</v>
      </c>
      <c r="BF2834" s="4" t="s">
        <v>63</v>
      </c>
    </row>
    <row r="2835" spans="1:58">
      <c r="A2835" s="4" t="s">
        <v>58</v>
      </c>
      <c r="B2835" s="4" t="s">
        <v>23371</v>
      </c>
      <c r="C2835" s="4" t="s">
        <v>23372</v>
      </c>
      <c r="D2835" s="4" t="s">
        <v>18140</v>
      </c>
      <c r="E2835" s="4" t="s">
        <v>18141</v>
      </c>
      <c r="F2835" s="4">
        <v>1996</v>
      </c>
      <c r="G2835" s="4" t="s">
        <v>1717</v>
      </c>
      <c r="H2835" s="4">
        <v>17</v>
      </c>
      <c r="I2835" s="4">
        <v>6</v>
      </c>
      <c r="J2835" s="4">
        <v>699</v>
      </c>
      <c r="K2835" s="4">
        <v>703</v>
      </c>
      <c r="L2835" s="4" t="s">
        <v>23373</v>
      </c>
      <c r="M2835" s="4" t="s">
        <v>23374</v>
      </c>
      <c r="N2835" s="4" t="s">
        <v>23375</v>
      </c>
      <c r="O2835" s="4" t="s">
        <v>63</v>
      </c>
      <c r="P2835" s="4"/>
      <c r="Q2835" s="4" t="s">
        <v>63</v>
      </c>
      <c r="R2835" s="4" t="s">
        <v>63</v>
      </c>
      <c r="S2835" s="4" t="s">
        <v>63</v>
      </c>
      <c r="T2835" s="4" t="s">
        <v>63</v>
      </c>
      <c r="U2835" s="4"/>
      <c r="V2835" s="4"/>
      <c r="W2835" s="4"/>
      <c r="X2835" s="4" t="s">
        <v>63</v>
      </c>
      <c r="Y2835" s="4" t="s">
        <v>18145</v>
      </c>
      <c r="Z2835" s="4" t="s">
        <v>63</v>
      </c>
      <c r="AA2835" s="4" t="s">
        <v>23376</v>
      </c>
      <c r="AB2835" s="4" t="s">
        <v>23377</v>
      </c>
      <c r="AC2835" s="4" t="s">
        <v>67</v>
      </c>
      <c r="AD2835" s="4" t="s">
        <v>63</v>
      </c>
      <c r="AE2835" s="4" t="s">
        <v>63</v>
      </c>
      <c r="AF2835" s="4" t="s">
        <v>63</v>
      </c>
      <c r="AG2835" s="4" t="s">
        <v>63</v>
      </c>
      <c r="AH2835" s="4" t="s">
        <v>63</v>
      </c>
      <c r="AI2835" s="4" t="s">
        <v>63</v>
      </c>
      <c r="AJ2835" s="4" t="s">
        <v>63</v>
      </c>
      <c r="AK2835" s="4" t="s">
        <v>63</v>
      </c>
      <c r="AL2835" s="4" t="s">
        <v>63</v>
      </c>
      <c r="AM2835" s="4" t="s">
        <v>23372</v>
      </c>
      <c r="AN2835" s="4" t="s">
        <v>63</v>
      </c>
      <c r="AO2835" s="4" t="s">
        <v>63</v>
      </c>
      <c r="AP2835" s="4" t="s">
        <v>63</v>
      </c>
      <c r="AQ2835" s="4" t="s">
        <v>63</v>
      </c>
      <c r="AR2835" s="4" t="s">
        <v>63</v>
      </c>
      <c r="AS2835" s="4" t="s">
        <v>63</v>
      </c>
      <c r="AT2835" s="4" t="s">
        <v>63</v>
      </c>
      <c r="AU2835" s="4" t="s">
        <v>63</v>
      </c>
      <c r="AV2835" s="4" t="s">
        <v>63</v>
      </c>
      <c r="AW2835" s="4" t="s">
        <v>63</v>
      </c>
      <c r="AX2835" s="4" t="s">
        <v>63</v>
      </c>
      <c r="AY2835" s="4" t="s">
        <v>63</v>
      </c>
      <c r="AZ2835" s="4" t="s">
        <v>63</v>
      </c>
      <c r="BA2835" s="4" t="s">
        <v>63</v>
      </c>
      <c r="BB2835" s="4" t="s">
        <v>63</v>
      </c>
      <c r="BC2835" s="4" t="s">
        <v>63</v>
      </c>
      <c r="BD2835" s="4" t="s">
        <v>63</v>
      </c>
      <c r="BE2835" s="4" t="s">
        <v>63</v>
      </c>
      <c r="BF2835" s="4" t="s">
        <v>63</v>
      </c>
    </row>
    <row r="2836" spans="1:58">
      <c r="A2836" s="4" t="s">
        <v>58</v>
      </c>
      <c r="B2836" s="4" t="s">
        <v>23378</v>
      </c>
      <c r="C2836" s="4" t="s">
        <v>23379</v>
      </c>
      <c r="D2836" s="4" t="s">
        <v>23380</v>
      </c>
      <c r="E2836" s="4" t="s">
        <v>23381</v>
      </c>
      <c r="F2836" s="4">
        <v>2017</v>
      </c>
      <c r="G2836" s="4" t="s">
        <v>63</v>
      </c>
      <c r="H2836" s="4">
        <v>26</v>
      </c>
      <c r="I2836" s="4">
        <v>2</v>
      </c>
      <c r="J2836" s="4">
        <v>152</v>
      </c>
      <c r="K2836" s="4">
        <v>161</v>
      </c>
      <c r="L2836" s="4" t="s">
        <v>23382</v>
      </c>
      <c r="M2836" s="4" t="s">
        <v>23383</v>
      </c>
      <c r="N2836" s="4" t="s">
        <v>23384</v>
      </c>
      <c r="O2836" s="4" t="s">
        <v>63</v>
      </c>
      <c r="P2836" s="4"/>
      <c r="Q2836" s="4" t="s">
        <v>63</v>
      </c>
      <c r="R2836" s="4" t="s">
        <v>63</v>
      </c>
      <c r="S2836" s="4" t="s">
        <v>63</v>
      </c>
      <c r="T2836" s="4" t="s">
        <v>63</v>
      </c>
      <c r="U2836" s="4"/>
      <c r="V2836" s="4"/>
      <c r="W2836" s="4"/>
      <c r="X2836" s="4" t="s">
        <v>63</v>
      </c>
      <c r="Y2836" s="4" t="s">
        <v>23385</v>
      </c>
      <c r="Z2836" s="4" t="s">
        <v>63</v>
      </c>
      <c r="AA2836" s="4" t="s">
        <v>23386</v>
      </c>
      <c r="AB2836" s="4" t="s">
        <v>23387</v>
      </c>
      <c r="AC2836" s="4" t="s">
        <v>67</v>
      </c>
      <c r="AD2836" s="4" t="s">
        <v>63</v>
      </c>
      <c r="AE2836" s="4" t="s">
        <v>63</v>
      </c>
      <c r="AF2836" s="4" t="s">
        <v>63</v>
      </c>
      <c r="AG2836" s="4" t="s">
        <v>63</v>
      </c>
      <c r="AH2836" s="4" t="s">
        <v>63</v>
      </c>
      <c r="AI2836" s="4" t="s">
        <v>23388</v>
      </c>
      <c r="AJ2836" s="4" t="s">
        <v>63</v>
      </c>
      <c r="AK2836" s="4" t="s">
        <v>63</v>
      </c>
      <c r="AL2836" s="4" t="s">
        <v>63</v>
      </c>
      <c r="AM2836" s="4" t="s">
        <v>23379</v>
      </c>
      <c r="AN2836" s="4" t="s">
        <v>63</v>
      </c>
      <c r="AO2836" s="4" t="s">
        <v>63</v>
      </c>
      <c r="AP2836" s="4" t="s">
        <v>63</v>
      </c>
      <c r="AQ2836" s="4" t="s">
        <v>63</v>
      </c>
      <c r="AR2836" s="4" t="s">
        <v>63</v>
      </c>
      <c r="AS2836" s="4" t="s">
        <v>63</v>
      </c>
      <c r="AT2836" s="4" t="s">
        <v>63</v>
      </c>
      <c r="AU2836" s="4" t="s">
        <v>63</v>
      </c>
      <c r="AV2836" s="4" t="s">
        <v>63</v>
      </c>
      <c r="AW2836" s="4" t="s">
        <v>63</v>
      </c>
      <c r="AX2836" s="4" t="s">
        <v>63</v>
      </c>
      <c r="AY2836" s="4" t="s">
        <v>63</v>
      </c>
      <c r="AZ2836" s="4" t="s">
        <v>63</v>
      </c>
      <c r="BA2836" s="4" t="s">
        <v>63</v>
      </c>
      <c r="BB2836" s="4" t="s">
        <v>63</v>
      </c>
      <c r="BC2836" s="4" t="s">
        <v>63</v>
      </c>
      <c r="BD2836" s="4" t="s">
        <v>63</v>
      </c>
      <c r="BE2836" s="4" t="s">
        <v>63</v>
      </c>
      <c r="BF2836" s="4" t="s">
        <v>63</v>
      </c>
    </row>
    <row r="2837" spans="1:58">
      <c r="A2837" s="4" t="s">
        <v>58</v>
      </c>
      <c r="B2837" s="4" t="s">
        <v>23389</v>
      </c>
      <c r="C2837" s="4" t="s">
        <v>23390</v>
      </c>
      <c r="D2837" s="4" t="s">
        <v>3071</v>
      </c>
      <c r="E2837" s="4" t="s">
        <v>3072</v>
      </c>
      <c r="F2837" s="4">
        <v>1990</v>
      </c>
      <c r="G2837" s="4" t="s">
        <v>219</v>
      </c>
      <c r="H2837" s="4">
        <v>85</v>
      </c>
      <c r="I2837" s="4">
        <v>11</v>
      </c>
      <c r="J2837" s="4">
        <v>1512</v>
      </c>
      <c r="K2837" s="4">
        <v>1513</v>
      </c>
      <c r="L2837" s="4" t="s">
        <v>63</v>
      </c>
      <c r="M2837" s="4" t="s">
        <v>63</v>
      </c>
      <c r="N2837" s="4" t="s">
        <v>23391</v>
      </c>
      <c r="O2837" s="4" t="s">
        <v>63</v>
      </c>
      <c r="P2837" s="4"/>
      <c r="Q2837" s="4" t="s">
        <v>63</v>
      </c>
      <c r="R2837" s="4" t="s">
        <v>63</v>
      </c>
      <c r="S2837" s="4" t="s">
        <v>63</v>
      </c>
      <c r="T2837" s="4" t="s">
        <v>63</v>
      </c>
      <c r="U2837" s="4"/>
      <c r="V2837" s="4"/>
      <c r="W2837" s="4"/>
      <c r="X2837" s="4" t="s">
        <v>63</v>
      </c>
      <c r="Y2837" s="4" t="s">
        <v>3075</v>
      </c>
      <c r="Z2837" s="4" t="s">
        <v>63</v>
      </c>
      <c r="AA2837" s="4" t="s">
        <v>23392</v>
      </c>
      <c r="AB2837" s="4" t="s">
        <v>23393</v>
      </c>
      <c r="AC2837" s="4" t="s">
        <v>67</v>
      </c>
      <c r="AD2837" s="4" t="s">
        <v>63</v>
      </c>
      <c r="AE2837" s="4" t="s">
        <v>63</v>
      </c>
      <c r="AF2837" s="4" t="s">
        <v>63</v>
      </c>
      <c r="AG2837" s="4" t="s">
        <v>63</v>
      </c>
      <c r="AH2837" s="4" t="s">
        <v>63</v>
      </c>
      <c r="AI2837" s="4" t="s">
        <v>63</v>
      </c>
      <c r="AJ2837" s="4" t="s">
        <v>63</v>
      </c>
      <c r="AK2837" s="4" t="s">
        <v>63</v>
      </c>
      <c r="AL2837" s="4" t="s">
        <v>63</v>
      </c>
      <c r="AM2837" s="4" t="s">
        <v>23390</v>
      </c>
      <c r="AN2837" s="4" t="s">
        <v>63</v>
      </c>
      <c r="AO2837" s="4" t="s">
        <v>63</v>
      </c>
      <c r="AP2837" s="4" t="s">
        <v>63</v>
      </c>
      <c r="AQ2837" s="4" t="s">
        <v>63</v>
      </c>
      <c r="AR2837" s="4" t="s">
        <v>63</v>
      </c>
      <c r="AS2837" s="4" t="s">
        <v>63</v>
      </c>
      <c r="AT2837" s="4" t="s">
        <v>63</v>
      </c>
      <c r="AU2837" s="4" t="s">
        <v>63</v>
      </c>
      <c r="AV2837" s="4" t="s">
        <v>63</v>
      </c>
      <c r="AW2837" s="4" t="s">
        <v>63</v>
      </c>
      <c r="AX2837" s="4" t="s">
        <v>63</v>
      </c>
      <c r="AY2837" s="4" t="s">
        <v>63</v>
      </c>
      <c r="AZ2837" s="4" t="s">
        <v>63</v>
      </c>
      <c r="BA2837" s="4" t="s">
        <v>63</v>
      </c>
      <c r="BB2837" s="4" t="s">
        <v>63</v>
      </c>
      <c r="BC2837" s="4" t="s">
        <v>63</v>
      </c>
      <c r="BD2837" s="4" t="s">
        <v>63</v>
      </c>
      <c r="BE2837" s="4" t="s">
        <v>63</v>
      </c>
      <c r="BF2837" s="4" t="s">
        <v>63</v>
      </c>
    </row>
    <row r="2838" spans="1:58">
      <c r="A2838" s="4" t="s">
        <v>58</v>
      </c>
      <c r="B2838" s="4" t="s">
        <v>23394</v>
      </c>
      <c r="C2838" s="4" t="s">
        <v>23395</v>
      </c>
      <c r="D2838" s="4" t="s">
        <v>23396</v>
      </c>
      <c r="E2838" s="4" t="s">
        <v>23397</v>
      </c>
      <c r="F2838" s="4">
        <v>2006</v>
      </c>
      <c r="G2838" s="4" t="s">
        <v>138</v>
      </c>
      <c r="H2838" s="4">
        <v>84</v>
      </c>
      <c r="I2838" s="4">
        <v>10</v>
      </c>
      <c r="J2838" s="4">
        <v>835</v>
      </c>
      <c r="K2838" s="4">
        <v>839</v>
      </c>
      <c r="L2838" s="4" t="s">
        <v>23398</v>
      </c>
      <c r="M2838" s="4" t="s">
        <v>23399</v>
      </c>
      <c r="N2838" s="4" t="s">
        <v>23400</v>
      </c>
      <c r="O2838" s="4" t="s">
        <v>63</v>
      </c>
      <c r="P2838" s="4"/>
      <c r="Q2838" s="4" t="s">
        <v>63</v>
      </c>
      <c r="R2838" s="4" t="s">
        <v>63</v>
      </c>
      <c r="S2838" s="4" t="s">
        <v>63</v>
      </c>
      <c r="T2838" s="4" t="s">
        <v>63</v>
      </c>
      <c r="U2838" s="4"/>
      <c r="V2838" s="4"/>
      <c r="W2838" s="4"/>
      <c r="X2838" s="4" t="s">
        <v>63</v>
      </c>
      <c r="Y2838" s="4" t="s">
        <v>23401</v>
      </c>
      <c r="Z2838" s="4" t="s">
        <v>63</v>
      </c>
      <c r="AA2838" s="4" t="s">
        <v>23402</v>
      </c>
      <c r="AB2838" s="4" t="s">
        <v>23403</v>
      </c>
      <c r="AC2838" s="4" t="s">
        <v>67</v>
      </c>
      <c r="AD2838" s="4" t="s">
        <v>63</v>
      </c>
      <c r="AE2838" s="4" t="s">
        <v>63</v>
      </c>
      <c r="AF2838" s="4" t="s">
        <v>63</v>
      </c>
      <c r="AG2838" s="4" t="s">
        <v>63</v>
      </c>
      <c r="AH2838" s="4" t="s">
        <v>63</v>
      </c>
      <c r="AI2838" s="4" t="s">
        <v>23404</v>
      </c>
      <c r="AJ2838" s="4" t="s">
        <v>63</v>
      </c>
      <c r="AK2838" s="4" t="s">
        <v>63</v>
      </c>
      <c r="AL2838" s="4" t="s">
        <v>63</v>
      </c>
      <c r="AM2838" s="4" t="s">
        <v>23395</v>
      </c>
      <c r="AN2838" s="4" t="s">
        <v>63</v>
      </c>
      <c r="AO2838" s="4" t="s">
        <v>63</v>
      </c>
      <c r="AP2838" s="4" t="s">
        <v>63</v>
      </c>
      <c r="AQ2838" s="4" t="s">
        <v>63</v>
      </c>
      <c r="AR2838" s="4" t="s">
        <v>63</v>
      </c>
      <c r="AS2838" s="4" t="s">
        <v>63</v>
      </c>
      <c r="AT2838" s="4" t="s">
        <v>63</v>
      </c>
      <c r="AU2838" s="4" t="s">
        <v>63</v>
      </c>
      <c r="AV2838" s="4" t="s">
        <v>63</v>
      </c>
      <c r="AW2838" s="4" t="s">
        <v>63</v>
      </c>
      <c r="AX2838" s="4" t="s">
        <v>63</v>
      </c>
      <c r="AY2838" s="4" t="s">
        <v>63</v>
      </c>
      <c r="AZ2838" s="4" t="s">
        <v>63</v>
      </c>
      <c r="BA2838" s="4" t="s">
        <v>63</v>
      </c>
      <c r="BB2838" s="4" t="s">
        <v>63</v>
      </c>
      <c r="BC2838" s="4" t="s">
        <v>63</v>
      </c>
      <c r="BD2838" s="4" t="s">
        <v>63</v>
      </c>
      <c r="BE2838" s="4" t="s">
        <v>63</v>
      </c>
      <c r="BF2838" s="4" t="s">
        <v>63</v>
      </c>
    </row>
    <row r="2839" spans="1:58">
      <c r="A2839" s="4" t="s">
        <v>58</v>
      </c>
      <c r="B2839" s="4" t="s">
        <v>23405</v>
      </c>
      <c r="C2839" s="4" t="s">
        <v>23406</v>
      </c>
      <c r="D2839" s="4" t="s">
        <v>11901</v>
      </c>
      <c r="E2839" s="4" t="s">
        <v>63</v>
      </c>
      <c r="F2839" s="4">
        <v>2017</v>
      </c>
      <c r="G2839" s="4" t="s">
        <v>198</v>
      </c>
      <c r="H2839" s="4">
        <v>59</v>
      </c>
      <c r="I2839" s="4">
        <v>6</v>
      </c>
      <c r="J2839" s="4" t="s">
        <v>23407</v>
      </c>
      <c r="K2839" s="4" t="s">
        <v>23407</v>
      </c>
      <c r="L2839" s="4" t="s">
        <v>23408</v>
      </c>
      <c r="M2839" s="4" t="s">
        <v>63</v>
      </c>
      <c r="N2839" s="4" t="s">
        <v>23409</v>
      </c>
      <c r="O2839" s="4" t="s">
        <v>63</v>
      </c>
      <c r="P2839" s="4"/>
      <c r="Q2839" s="4" t="s">
        <v>63</v>
      </c>
      <c r="R2839" s="4" t="s">
        <v>63</v>
      </c>
      <c r="S2839" s="4" t="s">
        <v>63</v>
      </c>
      <c r="T2839" s="4" t="s">
        <v>63</v>
      </c>
      <c r="U2839" s="4"/>
      <c r="V2839" s="4"/>
      <c r="W2839" s="4"/>
      <c r="X2839" s="4" t="s">
        <v>63</v>
      </c>
      <c r="Y2839" s="4" t="s">
        <v>11904</v>
      </c>
      <c r="Z2839" s="4" t="s">
        <v>63</v>
      </c>
      <c r="AA2839" s="4" t="s">
        <v>23410</v>
      </c>
      <c r="AB2839" s="4" t="s">
        <v>23411</v>
      </c>
      <c r="AC2839" s="4" t="s">
        <v>67</v>
      </c>
      <c r="AD2839" s="4" t="s">
        <v>63</v>
      </c>
      <c r="AE2839" s="4" t="s">
        <v>63</v>
      </c>
      <c r="AF2839" s="4" t="s">
        <v>63</v>
      </c>
      <c r="AG2839" s="4" t="s">
        <v>63</v>
      </c>
      <c r="AH2839" s="4" t="s">
        <v>63</v>
      </c>
      <c r="AI2839" s="4" t="s">
        <v>63</v>
      </c>
      <c r="AJ2839" s="4" t="s">
        <v>63</v>
      </c>
      <c r="AK2839" s="4" t="s">
        <v>63</v>
      </c>
      <c r="AL2839" s="4" t="s">
        <v>63</v>
      </c>
      <c r="AM2839" s="4" t="s">
        <v>23406</v>
      </c>
      <c r="AN2839" s="4" t="s">
        <v>63</v>
      </c>
      <c r="AO2839" s="4" t="s">
        <v>63</v>
      </c>
      <c r="AP2839" s="4" t="s">
        <v>63</v>
      </c>
      <c r="AQ2839" s="4" t="s">
        <v>63</v>
      </c>
      <c r="AR2839" s="4" t="s">
        <v>63</v>
      </c>
      <c r="AS2839" s="4" t="s">
        <v>63</v>
      </c>
      <c r="AT2839" s="4" t="s">
        <v>63</v>
      </c>
      <c r="AU2839" s="4" t="s">
        <v>63</v>
      </c>
      <c r="AV2839" s="4" t="s">
        <v>63</v>
      </c>
      <c r="AW2839" s="4" t="s">
        <v>63</v>
      </c>
      <c r="AX2839" s="4" t="s">
        <v>63</v>
      </c>
      <c r="AY2839" s="4" t="s">
        <v>63</v>
      </c>
      <c r="AZ2839" s="4" t="s">
        <v>63</v>
      </c>
      <c r="BA2839" s="4" t="s">
        <v>63</v>
      </c>
      <c r="BB2839" s="4" t="s">
        <v>63</v>
      </c>
      <c r="BC2839" s="4" t="s">
        <v>63</v>
      </c>
      <c r="BD2839" s="4" t="s">
        <v>63</v>
      </c>
      <c r="BE2839" s="4" t="s">
        <v>63</v>
      </c>
      <c r="BF2839" s="4" t="s">
        <v>63</v>
      </c>
    </row>
    <row r="2840" spans="1:58">
      <c r="A2840" s="4" t="s">
        <v>58</v>
      </c>
      <c r="B2840" s="4" t="s">
        <v>23412</v>
      </c>
      <c r="C2840" s="4" t="s">
        <v>23413</v>
      </c>
      <c r="D2840" s="4" t="s">
        <v>398</v>
      </c>
      <c r="E2840" s="4" t="s">
        <v>398</v>
      </c>
      <c r="F2840" s="4">
        <v>1996</v>
      </c>
      <c r="G2840" s="4" t="s">
        <v>274</v>
      </c>
      <c r="H2840" s="4">
        <v>97</v>
      </c>
      <c r="I2840" s="4">
        <v>3</v>
      </c>
      <c r="J2840" s="4">
        <v>318</v>
      </c>
      <c r="K2840" s="4">
        <v>330</v>
      </c>
      <c r="L2840" s="4" t="s">
        <v>23414</v>
      </c>
      <c r="M2840" s="4" t="s">
        <v>23415</v>
      </c>
      <c r="N2840" s="4" t="s">
        <v>23416</v>
      </c>
      <c r="O2840" s="4" t="s">
        <v>63</v>
      </c>
      <c r="P2840" s="4"/>
      <c r="Q2840" s="4" t="s">
        <v>63</v>
      </c>
      <c r="R2840" s="4" t="s">
        <v>63</v>
      </c>
      <c r="S2840" s="4" t="s">
        <v>63</v>
      </c>
      <c r="T2840" s="4" t="s">
        <v>63</v>
      </c>
      <c r="U2840" s="4"/>
      <c r="V2840" s="4"/>
      <c r="W2840" s="4"/>
      <c r="X2840" s="4" t="s">
        <v>63</v>
      </c>
      <c r="Y2840" s="4" t="s">
        <v>402</v>
      </c>
      <c r="Z2840" s="4" t="s">
        <v>63</v>
      </c>
      <c r="AA2840" s="4" t="s">
        <v>23417</v>
      </c>
      <c r="AB2840" s="4" t="s">
        <v>23418</v>
      </c>
      <c r="AC2840" s="4" t="s">
        <v>67</v>
      </c>
      <c r="AD2840" s="4" t="s">
        <v>63</v>
      </c>
      <c r="AE2840" s="4" t="s">
        <v>63</v>
      </c>
      <c r="AF2840" s="4" t="s">
        <v>63</v>
      </c>
      <c r="AG2840" s="4" t="s">
        <v>63</v>
      </c>
      <c r="AH2840" s="4" t="s">
        <v>63</v>
      </c>
      <c r="AI2840" s="4" t="s">
        <v>63</v>
      </c>
      <c r="AJ2840" s="4" t="s">
        <v>63</v>
      </c>
      <c r="AK2840" s="4" t="s">
        <v>63</v>
      </c>
      <c r="AL2840" s="4" t="s">
        <v>63</v>
      </c>
      <c r="AM2840" s="4" t="s">
        <v>23413</v>
      </c>
      <c r="AN2840" s="4" t="s">
        <v>63</v>
      </c>
      <c r="AO2840" s="4" t="s">
        <v>63</v>
      </c>
      <c r="AP2840" s="4" t="s">
        <v>63</v>
      </c>
      <c r="AQ2840" s="4" t="s">
        <v>63</v>
      </c>
      <c r="AR2840" s="4" t="s">
        <v>63</v>
      </c>
      <c r="AS2840" s="4" t="s">
        <v>63</v>
      </c>
      <c r="AT2840" s="4" t="s">
        <v>63</v>
      </c>
      <c r="AU2840" s="4" t="s">
        <v>63</v>
      </c>
      <c r="AV2840" s="4" t="s">
        <v>63</v>
      </c>
      <c r="AW2840" s="4" t="s">
        <v>63</v>
      </c>
      <c r="AX2840" s="4" t="s">
        <v>63</v>
      </c>
      <c r="AY2840" s="4" t="s">
        <v>63</v>
      </c>
      <c r="AZ2840" s="4" t="s">
        <v>63</v>
      </c>
      <c r="BA2840" s="4" t="s">
        <v>63</v>
      </c>
      <c r="BB2840" s="4" t="s">
        <v>63</v>
      </c>
      <c r="BC2840" s="4" t="s">
        <v>63</v>
      </c>
      <c r="BD2840" s="4" t="s">
        <v>63</v>
      </c>
      <c r="BE2840" s="4" t="s">
        <v>63</v>
      </c>
      <c r="BF2840" s="4" t="s">
        <v>63</v>
      </c>
    </row>
    <row r="2841" spans="1:58">
      <c r="A2841" s="4" t="s">
        <v>58</v>
      </c>
      <c r="B2841" s="4" t="s">
        <v>23419</v>
      </c>
      <c r="C2841" s="4" t="s">
        <v>23420</v>
      </c>
      <c r="D2841" s="4" t="s">
        <v>23421</v>
      </c>
      <c r="E2841" s="4" t="s">
        <v>63</v>
      </c>
      <c r="F2841" s="4">
        <v>2016</v>
      </c>
      <c r="G2841" s="4" t="s">
        <v>189</v>
      </c>
      <c r="H2841" s="4">
        <v>5</v>
      </c>
      <c r="I2841" s="4">
        <v>2</v>
      </c>
      <c r="J2841" s="4" t="s">
        <v>63</v>
      </c>
      <c r="K2841" s="4" t="s">
        <v>63</v>
      </c>
      <c r="L2841" s="4" t="s">
        <v>23422</v>
      </c>
      <c r="M2841" s="4" t="s">
        <v>23423</v>
      </c>
      <c r="N2841" s="4" t="s">
        <v>23424</v>
      </c>
      <c r="O2841" s="4" t="s">
        <v>63</v>
      </c>
      <c r="P2841" s="4"/>
      <c r="Q2841" s="4" t="s">
        <v>63</v>
      </c>
      <c r="R2841" s="4" t="s">
        <v>63</v>
      </c>
      <c r="S2841" s="4" t="s">
        <v>63</v>
      </c>
      <c r="T2841" s="4" t="s">
        <v>63</v>
      </c>
      <c r="U2841" s="4"/>
      <c r="V2841" s="4"/>
      <c r="W2841" s="4"/>
      <c r="X2841" s="4" t="s">
        <v>63</v>
      </c>
      <c r="Y2841" s="4" t="s">
        <v>23425</v>
      </c>
      <c r="Z2841" s="4" t="s">
        <v>63</v>
      </c>
      <c r="AA2841" s="4" t="s">
        <v>23426</v>
      </c>
      <c r="AB2841" s="4" t="s">
        <v>23427</v>
      </c>
      <c r="AC2841" s="4" t="s">
        <v>67</v>
      </c>
      <c r="AD2841" s="4" t="s">
        <v>63</v>
      </c>
      <c r="AE2841" s="4" t="s">
        <v>63</v>
      </c>
      <c r="AF2841" s="4" t="s">
        <v>63</v>
      </c>
      <c r="AG2841" s="4" t="s">
        <v>63</v>
      </c>
      <c r="AH2841" s="4" t="s">
        <v>63</v>
      </c>
      <c r="AI2841" s="4" t="s">
        <v>63</v>
      </c>
      <c r="AJ2841" s="4" t="s">
        <v>63</v>
      </c>
      <c r="AK2841" s="4" t="s">
        <v>63</v>
      </c>
      <c r="AL2841" s="4" t="s">
        <v>63</v>
      </c>
      <c r="AM2841" s="4" t="s">
        <v>23420</v>
      </c>
      <c r="AN2841" s="4" t="s">
        <v>63</v>
      </c>
      <c r="AO2841" s="4" t="s">
        <v>63</v>
      </c>
      <c r="AP2841" s="4" t="s">
        <v>63</v>
      </c>
      <c r="AQ2841" s="4" t="s">
        <v>63</v>
      </c>
      <c r="AR2841" s="4" t="s">
        <v>63</v>
      </c>
      <c r="AS2841" s="4" t="s">
        <v>63</v>
      </c>
      <c r="AT2841" s="4" t="s">
        <v>63</v>
      </c>
      <c r="AU2841" s="4" t="s">
        <v>63</v>
      </c>
      <c r="AV2841" s="4" t="s">
        <v>63</v>
      </c>
      <c r="AW2841" s="4" t="s">
        <v>63</v>
      </c>
      <c r="AX2841" s="4" t="s">
        <v>63</v>
      </c>
      <c r="AY2841" s="4" t="s">
        <v>63</v>
      </c>
      <c r="AZ2841" s="4" t="s">
        <v>63</v>
      </c>
      <c r="BA2841" s="4" t="s">
        <v>63</v>
      </c>
      <c r="BB2841" s="4" t="s">
        <v>63</v>
      </c>
      <c r="BC2841" s="4" t="s">
        <v>63</v>
      </c>
      <c r="BD2841" s="4" t="s">
        <v>63</v>
      </c>
      <c r="BE2841" s="4" t="s">
        <v>63</v>
      </c>
      <c r="BF2841" s="4" t="s">
        <v>63</v>
      </c>
    </row>
    <row r="2842" spans="1:58">
      <c r="A2842" s="4" t="s">
        <v>58</v>
      </c>
      <c r="B2842" s="4" t="s">
        <v>23428</v>
      </c>
      <c r="C2842" s="4" t="s">
        <v>23429</v>
      </c>
      <c r="D2842" s="4" t="s">
        <v>3912</v>
      </c>
      <c r="E2842" s="4" t="s">
        <v>3913</v>
      </c>
      <c r="F2842" s="4">
        <v>2014</v>
      </c>
      <c r="G2842" s="4" t="s">
        <v>63</v>
      </c>
      <c r="H2842" s="4">
        <v>78</v>
      </c>
      <c r="I2842" s="4">
        <v>1</v>
      </c>
      <c r="J2842" s="4" t="s">
        <v>63</v>
      </c>
      <c r="K2842" s="4" t="s">
        <v>63</v>
      </c>
      <c r="L2842" s="4" t="s">
        <v>23430</v>
      </c>
      <c r="M2842" s="4" t="s">
        <v>23431</v>
      </c>
      <c r="N2842" s="4" t="s">
        <v>23432</v>
      </c>
      <c r="O2842" s="4" t="s">
        <v>63</v>
      </c>
      <c r="P2842" s="4"/>
      <c r="Q2842" s="4" t="s">
        <v>63</v>
      </c>
      <c r="R2842" s="4" t="s">
        <v>63</v>
      </c>
      <c r="S2842" s="4" t="s">
        <v>63</v>
      </c>
      <c r="T2842" s="4" t="s">
        <v>63</v>
      </c>
      <c r="U2842" s="4"/>
      <c r="V2842" s="4"/>
      <c r="W2842" s="4"/>
      <c r="X2842" s="4" t="s">
        <v>63</v>
      </c>
      <c r="Y2842" s="5">
        <v>20120</v>
      </c>
      <c r="Z2842" s="4" t="s">
        <v>63</v>
      </c>
      <c r="AA2842" s="4" t="s">
        <v>23433</v>
      </c>
      <c r="AB2842" s="4" t="s">
        <v>23434</v>
      </c>
      <c r="AC2842" s="4" t="s">
        <v>67</v>
      </c>
      <c r="AD2842" s="4" t="s">
        <v>63</v>
      </c>
      <c r="AE2842" s="4" t="s">
        <v>63</v>
      </c>
      <c r="AF2842" s="4" t="s">
        <v>63</v>
      </c>
      <c r="AG2842" s="4" t="s">
        <v>63</v>
      </c>
      <c r="AH2842" s="4" t="s">
        <v>63</v>
      </c>
      <c r="AI2842" s="4" t="s">
        <v>23435</v>
      </c>
      <c r="AJ2842" s="4" t="s">
        <v>63</v>
      </c>
      <c r="AK2842" s="4" t="s">
        <v>63</v>
      </c>
      <c r="AL2842" s="4" t="s">
        <v>63</v>
      </c>
      <c r="AM2842" s="4" t="s">
        <v>23429</v>
      </c>
      <c r="AN2842" s="4" t="s">
        <v>63</v>
      </c>
      <c r="AO2842" s="4" t="s">
        <v>63</v>
      </c>
      <c r="AP2842" s="4" t="s">
        <v>63</v>
      </c>
      <c r="AQ2842" s="4" t="s">
        <v>63</v>
      </c>
      <c r="AR2842" s="4" t="s">
        <v>63</v>
      </c>
      <c r="AS2842" s="4" t="s">
        <v>63</v>
      </c>
      <c r="AT2842" s="4" t="s">
        <v>63</v>
      </c>
      <c r="AU2842" s="4" t="s">
        <v>63</v>
      </c>
      <c r="AV2842" s="4" t="s">
        <v>63</v>
      </c>
      <c r="AW2842" s="4" t="s">
        <v>63</v>
      </c>
      <c r="AX2842" s="4" t="s">
        <v>63</v>
      </c>
      <c r="AY2842" s="4" t="s">
        <v>63</v>
      </c>
      <c r="AZ2842" s="4" t="s">
        <v>63</v>
      </c>
      <c r="BA2842" s="4" t="s">
        <v>63</v>
      </c>
      <c r="BB2842" s="4" t="s">
        <v>63</v>
      </c>
      <c r="BC2842" s="4" t="s">
        <v>63</v>
      </c>
      <c r="BD2842" s="4" t="s">
        <v>63</v>
      </c>
      <c r="BE2842" s="4" t="s">
        <v>63</v>
      </c>
      <c r="BF2842" s="4" t="s">
        <v>63</v>
      </c>
    </row>
    <row r="2843" spans="1:58">
      <c r="A2843" s="4" t="s">
        <v>58</v>
      </c>
      <c r="B2843" s="4" t="s">
        <v>23436</v>
      </c>
      <c r="C2843" s="4" t="s">
        <v>23437</v>
      </c>
      <c r="D2843" s="4" t="s">
        <v>8829</v>
      </c>
      <c r="E2843" s="4" t="s">
        <v>8830</v>
      </c>
      <c r="F2843" s="4">
        <v>2016</v>
      </c>
      <c r="G2843" s="4" t="s">
        <v>198</v>
      </c>
      <c r="H2843" s="4">
        <v>143</v>
      </c>
      <c r="I2843" s="4" t="s">
        <v>63</v>
      </c>
      <c r="J2843" s="4">
        <v>101</v>
      </c>
      <c r="K2843" s="4">
        <v>103</v>
      </c>
      <c r="L2843" s="4" t="s">
        <v>23438</v>
      </c>
      <c r="M2843" s="4" t="s">
        <v>23439</v>
      </c>
      <c r="N2843" s="4" t="s">
        <v>23440</v>
      </c>
      <c r="O2843" s="4" t="s">
        <v>63</v>
      </c>
      <c r="P2843" s="4"/>
      <c r="Q2843" s="4" t="s">
        <v>63</v>
      </c>
      <c r="R2843" s="4" t="s">
        <v>63</v>
      </c>
      <c r="S2843" s="4" t="s">
        <v>63</v>
      </c>
      <c r="T2843" s="4" t="s">
        <v>63</v>
      </c>
      <c r="U2843" s="4"/>
      <c r="V2843" s="4"/>
      <c r="W2843" s="4"/>
      <c r="X2843" s="4" t="s">
        <v>63</v>
      </c>
      <c r="Y2843" s="4" t="s">
        <v>8834</v>
      </c>
      <c r="Z2843" s="4" t="s">
        <v>63</v>
      </c>
      <c r="AA2843" s="4" t="s">
        <v>23441</v>
      </c>
      <c r="AB2843" s="4" t="s">
        <v>23442</v>
      </c>
      <c r="AC2843" s="4" t="s">
        <v>67</v>
      </c>
      <c r="AD2843" s="4" t="s">
        <v>63</v>
      </c>
      <c r="AE2843" s="4" t="s">
        <v>63</v>
      </c>
      <c r="AF2843" s="4" t="s">
        <v>63</v>
      </c>
      <c r="AG2843" s="4" t="s">
        <v>63</v>
      </c>
      <c r="AH2843" s="4" t="s">
        <v>63</v>
      </c>
      <c r="AI2843" s="4" t="s">
        <v>23443</v>
      </c>
      <c r="AJ2843" s="4" t="s">
        <v>63</v>
      </c>
      <c r="AK2843" s="4" t="s">
        <v>63</v>
      </c>
      <c r="AL2843" s="4" t="s">
        <v>63</v>
      </c>
      <c r="AM2843" s="4" t="s">
        <v>23437</v>
      </c>
      <c r="AN2843" s="4" t="s">
        <v>63</v>
      </c>
      <c r="AO2843" s="4" t="s">
        <v>63</v>
      </c>
      <c r="AP2843" s="4" t="s">
        <v>63</v>
      </c>
      <c r="AQ2843" s="4" t="s">
        <v>63</v>
      </c>
      <c r="AR2843" s="4" t="s">
        <v>63</v>
      </c>
      <c r="AS2843" s="4" t="s">
        <v>63</v>
      </c>
      <c r="AT2843" s="4" t="s">
        <v>63</v>
      </c>
      <c r="AU2843" s="4" t="s">
        <v>63</v>
      </c>
      <c r="AV2843" s="4" t="s">
        <v>63</v>
      </c>
      <c r="AW2843" s="4" t="s">
        <v>63</v>
      </c>
      <c r="AX2843" s="4" t="s">
        <v>63</v>
      </c>
      <c r="AY2843" s="4" t="s">
        <v>63</v>
      </c>
      <c r="AZ2843" s="4" t="s">
        <v>63</v>
      </c>
      <c r="BA2843" s="4" t="s">
        <v>63</v>
      </c>
      <c r="BB2843" s="4" t="s">
        <v>63</v>
      </c>
      <c r="BC2843" s="4" t="s">
        <v>63</v>
      </c>
      <c r="BD2843" s="4" t="s">
        <v>63</v>
      </c>
      <c r="BE2843" s="4" t="s">
        <v>63</v>
      </c>
      <c r="BF2843" s="4" t="s">
        <v>63</v>
      </c>
    </row>
    <row r="2844" spans="1:58">
      <c r="A2844" s="4" t="s">
        <v>58</v>
      </c>
      <c r="B2844" s="4" t="s">
        <v>23444</v>
      </c>
      <c r="C2844" s="4" t="s">
        <v>23445</v>
      </c>
      <c r="D2844" s="4" t="s">
        <v>11901</v>
      </c>
      <c r="E2844" s="4" t="s">
        <v>63</v>
      </c>
      <c r="F2844" s="4">
        <v>2013</v>
      </c>
      <c r="G2844" s="4" t="s">
        <v>198</v>
      </c>
      <c r="H2844" s="4">
        <v>55</v>
      </c>
      <c r="I2844" s="4">
        <v>5</v>
      </c>
      <c r="J2844" s="4" t="s">
        <v>23344</v>
      </c>
      <c r="K2844" s="4" t="s">
        <v>18164</v>
      </c>
      <c r="L2844" s="4" t="s">
        <v>63</v>
      </c>
      <c r="M2844" s="4" t="s">
        <v>63</v>
      </c>
      <c r="N2844" s="4" t="s">
        <v>23446</v>
      </c>
      <c r="O2844" s="4" t="s">
        <v>63</v>
      </c>
      <c r="P2844" s="4"/>
      <c r="Q2844" s="4" t="s">
        <v>63</v>
      </c>
      <c r="R2844" s="4" t="s">
        <v>63</v>
      </c>
      <c r="S2844" s="4" t="s">
        <v>63</v>
      </c>
      <c r="T2844" s="4" t="s">
        <v>63</v>
      </c>
      <c r="U2844" s="4"/>
      <c r="V2844" s="4"/>
      <c r="W2844" s="4"/>
      <c r="X2844" s="4" t="s">
        <v>63</v>
      </c>
      <c r="Y2844" s="4" t="s">
        <v>11904</v>
      </c>
      <c r="Z2844" s="4" t="s">
        <v>63</v>
      </c>
      <c r="AA2844" s="4" t="s">
        <v>23447</v>
      </c>
      <c r="AB2844" s="4" t="s">
        <v>23448</v>
      </c>
      <c r="AC2844" s="4" t="s">
        <v>67</v>
      </c>
      <c r="AD2844" s="4" t="s">
        <v>63</v>
      </c>
      <c r="AE2844" s="4" t="s">
        <v>63</v>
      </c>
      <c r="AF2844" s="4" t="s">
        <v>63</v>
      </c>
      <c r="AG2844" s="4" t="s">
        <v>63</v>
      </c>
      <c r="AH2844" s="4" t="s">
        <v>63</v>
      </c>
      <c r="AI2844" s="4" t="s">
        <v>63</v>
      </c>
      <c r="AJ2844" s="4" t="s">
        <v>63</v>
      </c>
      <c r="AK2844" s="4" t="s">
        <v>63</v>
      </c>
      <c r="AL2844" s="4" t="s">
        <v>63</v>
      </c>
      <c r="AM2844" s="4" t="s">
        <v>23445</v>
      </c>
      <c r="AN2844" s="4" t="s">
        <v>63</v>
      </c>
      <c r="AO2844" s="4" t="s">
        <v>63</v>
      </c>
      <c r="AP2844" s="4" t="s">
        <v>63</v>
      </c>
      <c r="AQ2844" s="4" t="s">
        <v>63</v>
      </c>
      <c r="AR2844" s="4" t="s">
        <v>63</v>
      </c>
      <c r="AS2844" s="4" t="s">
        <v>63</v>
      </c>
      <c r="AT2844" s="4" t="s">
        <v>63</v>
      </c>
      <c r="AU2844" s="4" t="s">
        <v>63</v>
      </c>
      <c r="AV2844" s="4" t="s">
        <v>63</v>
      </c>
      <c r="AW2844" s="4" t="s">
        <v>63</v>
      </c>
      <c r="AX2844" s="4" t="s">
        <v>63</v>
      </c>
      <c r="AY2844" s="4" t="s">
        <v>63</v>
      </c>
      <c r="AZ2844" s="4" t="s">
        <v>63</v>
      </c>
      <c r="BA2844" s="4" t="s">
        <v>63</v>
      </c>
      <c r="BB2844" s="4" t="s">
        <v>63</v>
      </c>
      <c r="BC2844" s="4" t="s">
        <v>63</v>
      </c>
      <c r="BD2844" s="4" t="s">
        <v>63</v>
      </c>
      <c r="BE2844" s="4" t="s">
        <v>63</v>
      </c>
      <c r="BF2844" s="4" t="s">
        <v>63</v>
      </c>
    </row>
    <row r="2845" spans="1:58">
      <c r="A2845" s="4" t="s">
        <v>58</v>
      </c>
      <c r="B2845" s="4" t="s">
        <v>23449</v>
      </c>
      <c r="C2845" s="4" t="s">
        <v>23450</v>
      </c>
      <c r="D2845" s="4" t="s">
        <v>23451</v>
      </c>
      <c r="E2845" s="4" t="s">
        <v>63</v>
      </c>
      <c r="F2845" s="4">
        <v>2012</v>
      </c>
      <c r="G2845" s="4" t="s">
        <v>1737</v>
      </c>
      <c r="H2845" s="4">
        <v>28</v>
      </c>
      <c r="I2845" s="4">
        <v>4</v>
      </c>
      <c r="J2845" s="4">
        <v>670</v>
      </c>
      <c r="K2845" s="4">
        <v>674</v>
      </c>
      <c r="L2845" s="4" t="s">
        <v>23452</v>
      </c>
      <c r="M2845" s="4" t="s">
        <v>23453</v>
      </c>
      <c r="N2845" s="4" t="s">
        <v>23454</v>
      </c>
      <c r="O2845" s="4" t="s">
        <v>63</v>
      </c>
      <c r="P2845" s="4"/>
      <c r="Q2845" s="4" t="s">
        <v>63</v>
      </c>
      <c r="R2845" s="4" t="s">
        <v>63</v>
      </c>
      <c r="S2845" s="4" t="s">
        <v>63</v>
      </c>
      <c r="T2845" s="4" t="s">
        <v>63</v>
      </c>
      <c r="U2845" s="4"/>
      <c r="V2845" s="4"/>
      <c r="W2845" s="4"/>
      <c r="X2845" s="4" t="s">
        <v>63</v>
      </c>
      <c r="Y2845" s="4" t="s">
        <v>23455</v>
      </c>
      <c r="Z2845" s="4" t="s">
        <v>63</v>
      </c>
      <c r="AA2845" s="4" t="s">
        <v>23456</v>
      </c>
      <c r="AB2845" s="4" t="s">
        <v>23457</v>
      </c>
      <c r="AC2845" s="4" t="s">
        <v>67</v>
      </c>
      <c r="AD2845" s="4" t="s">
        <v>63</v>
      </c>
      <c r="AE2845" s="4" t="s">
        <v>63</v>
      </c>
      <c r="AF2845" s="4" t="s">
        <v>63</v>
      </c>
      <c r="AG2845" s="4" t="s">
        <v>63</v>
      </c>
      <c r="AH2845" s="4" t="s">
        <v>63</v>
      </c>
      <c r="AI2845" s="4" t="s">
        <v>63</v>
      </c>
      <c r="AJ2845" s="4" t="s">
        <v>63</v>
      </c>
      <c r="AK2845" s="4" t="s">
        <v>63</v>
      </c>
      <c r="AL2845" s="4" t="s">
        <v>63</v>
      </c>
      <c r="AM2845" s="4" t="s">
        <v>23450</v>
      </c>
      <c r="AN2845" s="4" t="s">
        <v>63</v>
      </c>
      <c r="AO2845" s="4" t="s">
        <v>63</v>
      </c>
      <c r="AP2845" s="4" t="s">
        <v>63</v>
      </c>
      <c r="AQ2845" s="4" t="s">
        <v>63</v>
      </c>
      <c r="AR2845" s="4" t="s">
        <v>63</v>
      </c>
      <c r="AS2845" s="4" t="s">
        <v>63</v>
      </c>
      <c r="AT2845" s="4" t="s">
        <v>63</v>
      </c>
      <c r="AU2845" s="4" t="s">
        <v>63</v>
      </c>
      <c r="AV2845" s="4" t="s">
        <v>63</v>
      </c>
      <c r="AW2845" s="4" t="s">
        <v>63</v>
      </c>
      <c r="AX2845" s="4" t="s">
        <v>63</v>
      </c>
      <c r="AY2845" s="4" t="s">
        <v>63</v>
      </c>
      <c r="AZ2845" s="4" t="s">
        <v>63</v>
      </c>
      <c r="BA2845" s="4" t="s">
        <v>63</v>
      </c>
      <c r="BB2845" s="4" t="s">
        <v>63</v>
      </c>
      <c r="BC2845" s="4" t="s">
        <v>63</v>
      </c>
      <c r="BD2845" s="4" t="s">
        <v>63</v>
      </c>
      <c r="BE2845" s="4" t="s">
        <v>63</v>
      </c>
      <c r="BF2845" s="4" t="s">
        <v>63</v>
      </c>
    </row>
    <row r="2846" spans="1:58">
      <c r="A2846" s="4" t="s">
        <v>58</v>
      </c>
      <c r="B2846" s="4" t="s">
        <v>23449</v>
      </c>
      <c r="C2846" s="4" t="s">
        <v>23458</v>
      </c>
      <c r="D2846" s="4" t="s">
        <v>23459</v>
      </c>
      <c r="E2846" s="4" t="s">
        <v>63</v>
      </c>
      <c r="F2846" s="4">
        <v>2012</v>
      </c>
      <c r="G2846" s="4" t="s">
        <v>1670</v>
      </c>
      <c r="H2846" s="4">
        <v>17</v>
      </c>
      <c r="I2846" s="4">
        <v>3</v>
      </c>
      <c r="J2846" s="4">
        <v>241</v>
      </c>
      <c r="K2846" s="4">
        <v>247</v>
      </c>
      <c r="L2846" s="4" t="s">
        <v>23460</v>
      </c>
      <c r="M2846" s="4" t="s">
        <v>23461</v>
      </c>
      <c r="N2846" s="4" t="s">
        <v>23462</v>
      </c>
      <c r="O2846" s="4" t="s">
        <v>63</v>
      </c>
      <c r="P2846" s="4"/>
      <c r="Q2846" s="4" t="s">
        <v>63</v>
      </c>
      <c r="R2846" s="4" t="s">
        <v>63</v>
      </c>
      <c r="S2846" s="4" t="s">
        <v>63</v>
      </c>
      <c r="T2846" s="4" t="s">
        <v>63</v>
      </c>
      <c r="U2846" s="4"/>
      <c r="V2846" s="4"/>
      <c r="W2846" s="4"/>
      <c r="X2846" s="4" t="s">
        <v>63</v>
      </c>
      <c r="Y2846" s="4" t="s">
        <v>23463</v>
      </c>
      <c r="Z2846" s="4" t="s">
        <v>63</v>
      </c>
      <c r="AA2846" s="4" t="s">
        <v>23456</v>
      </c>
      <c r="AB2846" s="4" t="s">
        <v>23464</v>
      </c>
      <c r="AC2846" s="4" t="s">
        <v>67</v>
      </c>
      <c r="AD2846" s="4" t="s">
        <v>63</v>
      </c>
      <c r="AE2846" s="4" t="s">
        <v>63</v>
      </c>
      <c r="AF2846" s="4" t="s">
        <v>63</v>
      </c>
      <c r="AG2846" s="4" t="s">
        <v>63</v>
      </c>
      <c r="AH2846" s="4" t="s">
        <v>63</v>
      </c>
      <c r="AI2846" s="4" t="s">
        <v>63</v>
      </c>
      <c r="AJ2846" s="4" t="s">
        <v>63</v>
      </c>
      <c r="AK2846" s="4" t="s">
        <v>63</v>
      </c>
      <c r="AL2846" s="4" t="s">
        <v>63</v>
      </c>
      <c r="AM2846" s="4" t="s">
        <v>23458</v>
      </c>
      <c r="AN2846" s="4" t="s">
        <v>63</v>
      </c>
      <c r="AO2846" s="4" t="s">
        <v>63</v>
      </c>
      <c r="AP2846" s="4" t="s">
        <v>63</v>
      </c>
      <c r="AQ2846" s="4" t="s">
        <v>63</v>
      </c>
      <c r="AR2846" s="4" t="s">
        <v>63</v>
      </c>
      <c r="AS2846" s="4" t="s">
        <v>63</v>
      </c>
      <c r="AT2846" s="4" t="s">
        <v>63</v>
      </c>
      <c r="AU2846" s="4" t="s">
        <v>63</v>
      </c>
      <c r="AV2846" s="4" t="s">
        <v>63</v>
      </c>
      <c r="AW2846" s="4" t="s">
        <v>63</v>
      </c>
      <c r="AX2846" s="4" t="s">
        <v>63</v>
      </c>
      <c r="AY2846" s="4" t="s">
        <v>63</v>
      </c>
      <c r="AZ2846" s="4" t="s">
        <v>63</v>
      </c>
      <c r="BA2846" s="4" t="s">
        <v>63</v>
      </c>
      <c r="BB2846" s="4" t="s">
        <v>63</v>
      </c>
      <c r="BC2846" s="4" t="s">
        <v>63</v>
      </c>
      <c r="BD2846" s="4" t="s">
        <v>63</v>
      </c>
      <c r="BE2846" s="4" t="s">
        <v>63</v>
      </c>
      <c r="BF2846" s="4" t="s">
        <v>63</v>
      </c>
    </row>
    <row r="2847" spans="1:58">
      <c r="A2847" s="4" t="s">
        <v>58</v>
      </c>
      <c r="B2847" s="4" t="s">
        <v>23465</v>
      </c>
      <c r="C2847" s="4" t="s">
        <v>23466</v>
      </c>
      <c r="D2847" s="4" t="s">
        <v>17097</v>
      </c>
      <c r="E2847" s="4" t="s">
        <v>17098</v>
      </c>
      <c r="F2847" s="4">
        <v>2015</v>
      </c>
      <c r="G2847" s="4" t="s">
        <v>63</v>
      </c>
      <c r="H2847" s="4">
        <v>44</v>
      </c>
      <c r="I2847" s="4" t="s">
        <v>63</v>
      </c>
      <c r="J2847" s="4">
        <v>233</v>
      </c>
      <c r="K2847" s="4">
        <v>233</v>
      </c>
      <c r="L2847" s="4" t="s">
        <v>63</v>
      </c>
      <c r="M2847" s="4" t="s">
        <v>63</v>
      </c>
      <c r="N2847" s="4" t="s">
        <v>23467</v>
      </c>
      <c r="O2847" s="4" t="s">
        <v>63</v>
      </c>
      <c r="P2847" s="4"/>
      <c r="Q2847" s="4" t="s">
        <v>63</v>
      </c>
      <c r="R2847" s="4" t="s">
        <v>63</v>
      </c>
      <c r="S2847" s="4" t="s">
        <v>63</v>
      </c>
      <c r="T2847" s="4" t="s">
        <v>63</v>
      </c>
      <c r="U2847" s="4"/>
      <c r="V2847" s="4"/>
      <c r="W2847" s="4"/>
      <c r="X2847" s="4" t="s">
        <v>63</v>
      </c>
      <c r="Y2847" s="4" t="s">
        <v>22417</v>
      </c>
      <c r="Z2847" s="4" t="s">
        <v>63</v>
      </c>
      <c r="AA2847" s="4" t="s">
        <v>23468</v>
      </c>
      <c r="AB2847" s="4" t="s">
        <v>23469</v>
      </c>
      <c r="AC2847" s="4" t="s">
        <v>67</v>
      </c>
      <c r="AD2847" s="4" t="s">
        <v>63</v>
      </c>
      <c r="AE2847" s="4" t="s">
        <v>63</v>
      </c>
      <c r="AF2847" s="4" t="s">
        <v>63</v>
      </c>
      <c r="AG2847" s="4" t="s">
        <v>63</v>
      </c>
      <c r="AH2847" s="4" t="s">
        <v>63</v>
      </c>
      <c r="AI2847" s="4" t="s">
        <v>63</v>
      </c>
      <c r="AJ2847" s="4" t="s">
        <v>63</v>
      </c>
      <c r="AK2847" s="4" t="s">
        <v>63</v>
      </c>
      <c r="AL2847" s="4" t="s">
        <v>63</v>
      </c>
      <c r="AM2847" s="4" t="s">
        <v>23466</v>
      </c>
      <c r="AN2847" s="4" t="s">
        <v>63</v>
      </c>
      <c r="AO2847" s="4" t="s">
        <v>63</v>
      </c>
      <c r="AP2847" s="4" t="s">
        <v>63</v>
      </c>
      <c r="AQ2847" s="4" t="s">
        <v>63</v>
      </c>
      <c r="AR2847" s="4" t="s">
        <v>63</v>
      </c>
      <c r="AS2847" s="4" t="s">
        <v>63</v>
      </c>
      <c r="AT2847" s="4" t="s">
        <v>63</v>
      </c>
      <c r="AU2847" s="4" t="s">
        <v>63</v>
      </c>
      <c r="AV2847" s="4" t="s">
        <v>63</v>
      </c>
      <c r="AW2847" s="4" t="s">
        <v>63</v>
      </c>
      <c r="AX2847" s="4" t="s">
        <v>63</v>
      </c>
      <c r="AY2847" s="4" t="s">
        <v>63</v>
      </c>
      <c r="AZ2847" s="4" t="s">
        <v>63</v>
      </c>
      <c r="BA2847" s="4" t="s">
        <v>63</v>
      </c>
      <c r="BB2847" s="4" t="s">
        <v>63</v>
      </c>
      <c r="BC2847" s="4" t="s">
        <v>63</v>
      </c>
      <c r="BD2847" s="4" t="s">
        <v>63</v>
      </c>
      <c r="BE2847" s="4" t="s">
        <v>63</v>
      </c>
      <c r="BF2847" s="4" t="s">
        <v>63</v>
      </c>
    </row>
    <row r="2848" spans="1:58">
      <c r="A2848" s="4" t="s">
        <v>58</v>
      </c>
      <c r="B2848" s="4" t="s">
        <v>23470</v>
      </c>
      <c r="C2848" s="4" t="s">
        <v>23471</v>
      </c>
      <c r="D2848" s="4" t="s">
        <v>1481</v>
      </c>
      <c r="E2848" s="4" t="s">
        <v>1481</v>
      </c>
      <c r="F2848" s="4">
        <v>2016</v>
      </c>
      <c r="G2848" s="4" t="s">
        <v>614</v>
      </c>
      <c r="H2848" s="4">
        <v>111</v>
      </c>
      <c r="I2848" s="4">
        <v>8</v>
      </c>
      <c r="J2848" s="4">
        <v>1498</v>
      </c>
      <c r="K2848" s="4">
        <v>1499</v>
      </c>
      <c r="L2848" s="4" t="s">
        <v>23472</v>
      </c>
      <c r="M2848" s="4" t="s">
        <v>63</v>
      </c>
      <c r="N2848" s="4" t="s">
        <v>23473</v>
      </c>
      <c r="O2848" s="4" t="s">
        <v>63</v>
      </c>
      <c r="P2848" s="4"/>
      <c r="Q2848" s="4" t="s">
        <v>63</v>
      </c>
      <c r="R2848" s="4" t="s">
        <v>63</v>
      </c>
      <c r="S2848" s="4" t="s">
        <v>63</v>
      </c>
      <c r="T2848" s="4" t="s">
        <v>63</v>
      </c>
      <c r="U2848" s="4"/>
      <c r="V2848" s="4"/>
      <c r="W2848" s="4"/>
      <c r="X2848" s="4" t="s">
        <v>63</v>
      </c>
      <c r="Y2848" s="4" t="s">
        <v>2426</v>
      </c>
      <c r="Z2848" s="4" t="s">
        <v>63</v>
      </c>
      <c r="AA2848" s="4" t="s">
        <v>23474</v>
      </c>
      <c r="AB2848" s="4" t="s">
        <v>23475</v>
      </c>
      <c r="AC2848" s="4" t="s">
        <v>67</v>
      </c>
      <c r="AD2848" s="4" t="s">
        <v>63</v>
      </c>
      <c r="AE2848" s="4" t="s">
        <v>63</v>
      </c>
      <c r="AF2848" s="4" t="s">
        <v>63</v>
      </c>
      <c r="AG2848" s="4" t="s">
        <v>63</v>
      </c>
      <c r="AH2848" s="4" t="s">
        <v>63</v>
      </c>
      <c r="AI2848" s="4" t="s">
        <v>23476</v>
      </c>
      <c r="AJ2848" s="4" t="s">
        <v>63</v>
      </c>
      <c r="AK2848" s="4" t="s">
        <v>63</v>
      </c>
      <c r="AL2848" s="4" t="s">
        <v>63</v>
      </c>
      <c r="AM2848" s="4" t="s">
        <v>23471</v>
      </c>
      <c r="AN2848" s="4" t="s">
        <v>63</v>
      </c>
      <c r="AO2848" s="4" t="s">
        <v>63</v>
      </c>
      <c r="AP2848" s="4" t="s">
        <v>63</v>
      </c>
      <c r="AQ2848" s="4" t="s">
        <v>63</v>
      </c>
      <c r="AR2848" s="4" t="s">
        <v>63</v>
      </c>
      <c r="AS2848" s="4" t="s">
        <v>63</v>
      </c>
      <c r="AT2848" s="4" t="s">
        <v>63</v>
      </c>
      <c r="AU2848" s="4" t="s">
        <v>63</v>
      </c>
      <c r="AV2848" s="4" t="s">
        <v>63</v>
      </c>
      <c r="AW2848" s="4" t="s">
        <v>63</v>
      </c>
      <c r="AX2848" s="4" t="s">
        <v>63</v>
      </c>
      <c r="AY2848" s="4" t="s">
        <v>63</v>
      </c>
      <c r="AZ2848" s="4" t="s">
        <v>63</v>
      </c>
      <c r="BA2848" s="4" t="s">
        <v>63</v>
      </c>
      <c r="BB2848" s="4" t="s">
        <v>63</v>
      </c>
      <c r="BC2848" s="4" t="s">
        <v>63</v>
      </c>
      <c r="BD2848" s="4" t="s">
        <v>63</v>
      </c>
      <c r="BE2848" s="4" t="s">
        <v>63</v>
      </c>
      <c r="BF2848" s="4" t="s">
        <v>63</v>
      </c>
    </row>
    <row r="2849" spans="1:58">
      <c r="A2849" s="4" t="s">
        <v>58</v>
      </c>
      <c r="B2849" s="4" t="s">
        <v>23477</v>
      </c>
      <c r="C2849" s="4" t="s">
        <v>23478</v>
      </c>
      <c r="D2849" s="4" t="s">
        <v>371</v>
      </c>
      <c r="E2849" s="4" t="s">
        <v>63</v>
      </c>
      <c r="F2849" s="4">
        <v>2018</v>
      </c>
      <c r="G2849" s="4" t="s">
        <v>274</v>
      </c>
      <c r="H2849" s="4">
        <v>33</v>
      </c>
      <c r="I2849" s="4">
        <v>3</v>
      </c>
      <c r="J2849" s="4">
        <v>249</v>
      </c>
      <c r="K2849" s="4">
        <v>250</v>
      </c>
      <c r="L2849" s="4" t="s">
        <v>23479</v>
      </c>
      <c r="M2849" s="4" t="s">
        <v>63</v>
      </c>
      <c r="N2849" s="4" t="s">
        <v>23480</v>
      </c>
      <c r="O2849" s="4" t="s">
        <v>63</v>
      </c>
      <c r="P2849" s="4"/>
      <c r="Q2849" s="4" t="s">
        <v>63</v>
      </c>
      <c r="R2849" s="4" t="s">
        <v>63</v>
      </c>
      <c r="S2849" s="4" t="s">
        <v>63</v>
      </c>
      <c r="T2849" s="4" t="s">
        <v>63</v>
      </c>
      <c r="U2849" s="4"/>
      <c r="V2849" s="4"/>
      <c r="W2849" s="4"/>
      <c r="X2849" s="4" t="s">
        <v>63</v>
      </c>
      <c r="Y2849" s="4" t="s">
        <v>375</v>
      </c>
      <c r="Z2849" s="4" t="s">
        <v>63</v>
      </c>
      <c r="AA2849" s="4" t="s">
        <v>23481</v>
      </c>
      <c r="AB2849" s="4" t="s">
        <v>23482</v>
      </c>
      <c r="AC2849" s="4" t="s">
        <v>67</v>
      </c>
      <c r="AD2849" s="4" t="s">
        <v>63</v>
      </c>
      <c r="AE2849" s="4" t="s">
        <v>63</v>
      </c>
      <c r="AF2849" s="4" t="s">
        <v>63</v>
      </c>
      <c r="AG2849" s="4" t="s">
        <v>63</v>
      </c>
      <c r="AH2849" s="4" t="s">
        <v>63</v>
      </c>
      <c r="AI2849" s="4" t="s">
        <v>23483</v>
      </c>
      <c r="AJ2849" s="4" t="s">
        <v>63</v>
      </c>
      <c r="AK2849" s="4" t="s">
        <v>63</v>
      </c>
      <c r="AL2849" s="4" t="s">
        <v>63</v>
      </c>
      <c r="AM2849" s="4" t="s">
        <v>23478</v>
      </c>
      <c r="AN2849" s="4" t="s">
        <v>63</v>
      </c>
      <c r="AO2849" s="4" t="s">
        <v>63</v>
      </c>
      <c r="AP2849" s="4" t="s">
        <v>63</v>
      </c>
      <c r="AQ2849" s="4" t="s">
        <v>63</v>
      </c>
      <c r="AR2849" s="4" t="s">
        <v>63</v>
      </c>
      <c r="AS2849" s="4" t="s">
        <v>63</v>
      </c>
      <c r="AT2849" s="4" t="s">
        <v>63</v>
      </c>
      <c r="AU2849" s="4" t="s">
        <v>63</v>
      </c>
      <c r="AV2849" s="4" t="s">
        <v>63</v>
      </c>
      <c r="AW2849" s="4" t="s">
        <v>63</v>
      </c>
      <c r="AX2849" s="4" t="s">
        <v>63</v>
      </c>
      <c r="AY2849" s="4" t="s">
        <v>63</v>
      </c>
      <c r="AZ2849" s="4" t="s">
        <v>63</v>
      </c>
      <c r="BA2849" s="4" t="s">
        <v>63</v>
      </c>
      <c r="BB2849" s="4" t="s">
        <v>63</v>
      </c>
      <c r="BC2849" s="4" t="s">
        <v>63</v>
      </c>
      <c r="BD2849" s="4" t="s">
        <v>63</v>
      </c>
      <c r="BE2849" s="4" t="s">
        <v>63</v>
      </c>
      <c r="BF2849" s="4" t="s">
        <v>63</v>
      </c>
    </row>
    <row r="2850" spans="1:58">
      <c r="A2850" s="4" t="s">
        <v>58</v>
      </c>
      <c r="B2850" s="4" t="s">
        <v>23484</v>
      </c>
      <c r="C2850" s="4" t="s">
        <v>23485</v>
      </c>
      <c r="D2850" s="4" t="s">
        <v>23486</v>
      </c>
      <c r="E2850" s="4" t="s">
        <v>63</v>
      </c>
      <c r="F2850" s="4">
        <v>1991</v>
      </c>
      <c r="G2850" s="4" t="s">
        <v>84</v>
      </c>
      <c r="H2850" s="4">
        <v>265</v>
      </c>
      <c r="I2850" s="4">
        <v>16</v>
      </c>
      <c r="J2850" s="4">
        <v>2074</v>
      </c>
      <c r="K2850" s="4">
        <v>2078</v>
      </c>
      <c r="L2850" s="4" t="s">
        <v>23487</v>
      </c>
      <c r="M2850" s="4" t="s">
        <v>23488</v>
      </c>
      <c r="N2850" s="4" t="s">
        <v>23489</v>
      </c>
      <c r="O2850" s="4" t="s">
        <v>63</v>
      </c>
      <c r="P2850" s="4"/>
      <c r="Q2850" s="4" t="s">
        <v>63</v>
      </c>
      <c r="R2850" s="4" t="s">
        <v>63</v>
      </c>
      <c r="S2850" s="4" t="s">
        <v>63</v>
      </c>
      <c r="T2850" s="4" t="s">
        <v>63</v>
      </c>
      <c r="U2850" s="4"/>
      <c r="V2850" s="4"/>
      <c r="W2850" s="4"/>
      <c r="X2850" s="4" t="s">
        <v>63</v>
      </c>
      <c r="Y2850" s="4" t="s">
        <v>208</v>
      </c>
      <c r="Z2850" s="4" t="s">
        <v>63</v>
      </c>
      <c r="AA2850" s="4" t="s">
        <v>23490</v>
      </c>
      <c r="AB2850" s="4" t="s">
        <v>23491</v>
      </c>
      <c r="AC2850" s="4" t="s">
        <v>67</v>
      </c>
      <c r="AD2850" s="4" t="s">
        <v>63</v>
      </c>
      <c r="AE2850" s="4" t="s">
        <v>63</v>
      </c>
      <c r="AF2850" s="4" t="s">
        <v>63</v>
      </c>
      <c r="AG2850" s="4" t="s">
        <v>63</v>
      </c>
      <c r="AH2850" s="4" t="s">
        <v>63</v>
      </c>
      <c r="AI2850" s="4" t="s">
        <v>23492</v>
      </c>
      <c r="AJ2850" s="4" t="s">
        <v>63</v>
      </c>
      <c r="AK2850" s="4" t="s">
        <v>63</v>
      </c>
      <c r="AL2850" s="4" t="s">
        <v>63</v>
      </c>
      <c r="AM2850" s="4" t="s">
        <v>23485</v>
      </c>
      <c r="AN2850" s="4" t="s">
        <v>63</v>
      </c>
      <c r="AO2850" s="4" t="s">
        <v>63</v>
      </c>
      <c r="AP2850" s="4" t="s">
        <v>63</v>
      </c>
      <c r="AQ2850" s="4" t="s">
        <v>63</v>
      </c>
      <c r="AR2850" s="4" t="s">
        <v>63</v>
      </c>
      <c r="AS2850" s="4" t="s">
        <v>63</v>
      </c>
      <c r="AT2850" s="4" t="s">
        <v>63</v>
      </c>
      <c r="AU2850" s="4" t="s">
        <v>63</v>
      </c>
      <c r="AV2850" s="4" t="s">
        <v>63</v>
      </c>
      <c r="AW2850" s="4" t="s">
        <v>63</v>
      </c>
      <c r="AX2850" s="4" t="s">
        <v>63</v>
      </c>
      <c r="AY2850" s="4" t="s">
        <v>63</v>
      </c>
      <c r="AZ2850" s="4" t="s">
        <v>63</v>
      </c>
      <c r="BA2850" s="4" t="s">
        <v>63</v>
      </c>
      <c r="BB2850" s="4" t="s">
        <v>63</v>
      </c>
      <c r="BC2850" s="4" t="s">
        <v>63</v>
      </c>
      <c r="BD2850" s="4" t="s">
        <v>63</v>
      </c>
      <c r="BE2850" s="4" t="s">
        <v>63</v>
      </c>
      <c r="BF2850" s="4" t="s">
        <v>63</v>
      </c>
    </row>
    <row r="2851" spans="1:58">
      <c r="A2851" s="4" t="s">
        <v>58</v>
      </c>
      <c r="B2851" s="4" t="s">
        <v>23493</v>
      </c>
      <c r="C2851" s="4" t="s">
        <v>23494</v>
      </c>
      <c r="D2851" s="4" t="s">
        <v>11901</v>
      </c>
      <c r="E2851" s="4" t="s">
        <v>63</v>
      </c>
      <c r="F2851" s="4">
        <v>2017</v>
      </c>
      <c r="G2851" s="4" t="s">
        <v>198</v>
      </c>
      <c r="H2851" s="4">
        <v>59</v>
      </c>
      <c r="I2851" s="4">
        <v>6</v>
      </c>
      <c r="J2851" s="4" t="s">
        <v>23495</v>
      </c>
      <c r="K2851" s="4" t="s">
        <v>23495</v>
      </c>
      <c r="L2851" s="4" t="s">
        <v>23496</v>
      </c>
      <c r="M2851" s="4" t="s">
        <v>63</v>
      </c>
      <c r="N2851" s="4" t="s">
        <v>23497</v>
      </c>
      <c r="O2851" s="4" t="s">
        <v>63</v>
      </c>
      <c r="P2851" s="4"/>
      <c r="Q2851" s="4" t="s">
        <v>63</v>
      </c>
      <c r="R2851" s="4" t="s">
        <v>63</v>
      </c>
      <c r="S2851" s="4" t="s">
        <v>63</v>
      </c>
      <c r="T2851" s="4" t="s">
        <v>63</v>
      </c>
      <c r="U2851" s="4"/>
      <c r="V2851" s="4"/>
      <c r="W2851" s="4"/>
      <c r="X2851" s="4" t="s">
        <v>63</v>
      </c>
      <c r="Y2851" s="4" t="s">
        <v>11904</v>
      </c>
      <c r="Z2851" s="4" t="s">
        <v>63</v>
      </c>
      <c r="AA2851" s="4" t="s">
        <v>23498</v>
      </c>
      <c r="AB2851" s="4" t="s">
        <v>23499</v>
      </c>
      <c r="AC2851" s="4" t="s">
        <v>67</v>
      </c>
      <c r="AD2851" s="4" t="s">
        <v>63</v>
      </c>
      <c r="AE2851" s="4" t="s">
        <v>63</v>
      </c>
      <c r="AF2851" s="4" t="s">
        <v>63</v>
      </c>
      <c r="AG2851" s="4" t="s">
        <v>63</v>
      </c>
      <c r="AH2851" s="4" t="s">
        <v>63</v>
      </c>
      <c r="AI2851" s="4" t="s">
        <v>63</v>
      </c>
      <c r="AJ2851" s="4" t="s">
        <v>63</v>
      </c>
      <c r="AK2851" s="4" t="s">
        <v>63</v>
      </c>
      <c r="AL2851" s="4" t="s">
        <v>63</v>
      </c>
      <c r="AM2851" s="4" t="s">
        <v>23494</v>
      </c>
      <c r="AN2851" s="4" t="s">
        <v>63</v>
      </c>
      <c r="AO2851" s="4" t="s">
        <v>63</v>
      </c>
      <c r="AP2851" s="4" t="s">
        <v>63</v>
      </c>
      <c r="AQ2851" s="4" t="s">
        <v>63</v>
      </c>
      <c r="AR2851" s="4" t="s">
        <v>63</v>
      </c>
      <c r="AS2851" s="4" t="s">
        <v>63</v>
      </c>
      <c r="AT2851" s="4" t="s">
        <v>63</v>
      </c>
      <c r="AU2851" s="4" t="s">
        <v>63</v>
      </c>
      <c r="AV2851" s="4" t="s">
        <v>63</v>
      </c>
      <c r="AW2851" s="4" t="s">
        <v>63</v>
      </c>
      <c r="AX2851" s="4" t="s">
        <v>63</v>
      </c>
      <c r="AY2851" s="4" t="s">
        <v>63</v>
      </c>
      <c r="AZ2851" s="4" t="s">
        <v>63</v>
      </c>
      <c r="BA2851" s="4" t="s">
        <v>63</v>
      </c>
      <c r="BB2851" s="4" t="s">
        <v>63</v>
      </c>
      <c r="BC2851" s="4" t="s">
        <v>63</v>
      </c>
      <c r="BD2851" s="4" t="s">
        <v>63</v>
      </c>
      <c r="BE2851" s="4" t="s">
        <v>63</v>
      </c>
      <c r="BF2851" s="4" t="s">
        <v>63</v>
      </c>
    </row>
    <row r="2852" spans="1:58">
      <c r="A2852" s="4" t="s">
        <v>58</v>
      </c>
      <c r="B2852" s="4" t="s">
        <v>23500</v>
      </c>
      <c r="C2852" s="4" t="s">
        <v>23501</v>
      </c>
      <c r="D2852" s="4" t="s">
        <v>15263</v>
      </c>
      <c r="E2852" s="4" t="s">
        <v>15264</v>
      </c>
      <c r="F2852" s="4">
        <v>1994</v>
      </c>
      <c r="G2852" s="4" t="s">
        <v>198</v>
      </c>
      <c r="H2852" s="4">
        <v>34</v>
      </c>
      <c r="I2852" s="4">
        <v>2</v>
      </c>
      <c r="J2852" s="4">
        <v>121</v>
      </c>
      <c r="K2852" s="4">
        <v>127</v>
      </c>
      <c r="L2852" s="4" t="s">
        <v>23502</v>
      </c>
      <c r="M2852" s="4" t="s">
        <v>23503</v>
      </c>
      <c r="N2852" s="4" t="s">
        <v>23504</v>
      </c>
      <c r="O2852" s="4" t="s">
        <v>63</v>
      </c>
      <c r="P2852" s="4"/>
      <c r="Q2852" s="4" t="s">
        <v>63</v>
      </c>
      <c r="R2852" s="4" t="s">
        <v>63</v>
      </c>
      <c r="S2852" s="4" t="s">
        <v>63</v>
      </c>
      <c r="T2852" s="4" t="s">
        <v>63</v>
      </c>
      <c r="U2852" s="4"/>
      <c r="V2852" s="4"/>
      <c r="W2852" s="4"/>
      <c r="X2852" s="4" t="s">
        <v>63</v>
      </c>
      <c r="Y2852" s="4" t="s">
        <v>4942</v>
      </c>
      <c r="Z2852" s="4" t="s">
        <v>63</v>
      </c>
      <c r="AA2852" s="4" t="s">
        <v>23505</v>
      </c>
      <c r="AB2852" s="4" t="s">
        <v>23506</v>
      </c>
      <c r="AC2852" s="4" t="s">
        <v>67</v>
      </c>
      <c r="AD2852" s="4" t="s">
        <v>63</v>
      </c>
      <c r="AE2852" s="4" t="s">
        <v>63</v>
      </c>
      <c r="AF2852" s="4" t="s">
        <v>63</v>
      </c>
      <c r="AG2852" s="4" t="s">
        <v>63</v>
      </c>
      <c r="AH2852" s="4" t="s">
        <v>63</v>
      </c>
      <c r="AI2852" s="4" t="s">
        <v>23507</v>
      </c>
      <c r="AJ2852" s="4" t="s">
        <v>63</v>
      </c>
      <c r="AK2852" s="4" t="s">
        <v>63</v>
      </c>
      <c r="AL2852" s="4" t="s">
        <v>63</v>
      </c>
      <c r="AM2852" s="4" t="s">
        <v>23501</v>
      </c>
      <c r="AN2852" s="4" t="s">
        <v>63</v>
      </c>
      <c r="AO2852" s="4" t="s">
        <v>63</v>
      </c>
      <c r="AP2852" s="4" t="s">
        <v>63</v>
      </c>
      <c r="AQ2852" s="4" t="s">
        <v>63</v>
      </c>
      <c r="AR2852" s="4" t="s">
        <v>63</v>
      </c>
      <c r="AS2852" s="4" t="s">
        <v>63</v>
      </c>
      <c r="AT2852" s="4" t="s">
        <v>63</v>
      </c>
      <c r="AU2852" s="4" t="s">
        <v>63</v>
      </c>
      <c r="AV2852" s="4" t="s">
        <v>63</v>
      </c>
      <c r="AW2852" s="4" t="s">
        <v>63</v>
      </c>
      <c r="AX2852" s="4" t="s">
        <v>63</v>
      </c>
      <c r="AY2852" s="4" t="s">
        <v>63</v>
      </c>
      <c r="AZ2852" s="4" t="s">
        <v>63</v>
      </c>
      <c r="BA2852" s="4" t="s">
        <v>63</v>
      </c>
      <c r="BB2852" s="4" t="s">
        <v>63</v>
      </c>
      <c r="BC2852" s="4" t="s">
        <v>63</v>
      </c>
      <c r="BD2852" s="4" t="s">
        <v>63</v>
      </c>
      <c r="BE2852" s="4" t="s">
        <v>63</v>
      </c>
      <c r="BF2852" s="4" t="s">
        <v>63</v>
      </c>
    </row>
    <row r="2853" spans="1:58">
      <c r="A2853" s="4" t="s">
        <v>58</v>
      </c>
      <c r="B2853" s="4" t="s">
        <v>23508</v>
      </c>
      <c r="C2853" s="4" t="s">
        <v>23509</v>
      </c>
      <c r="D2853" s="4" t="s">
        <v>371</v>
      </c>
      <c r="E2853" s="4" t="s">
        <v>63</v>
      </c>
      <c r="F2853" s="4">
        <v>2003</v>
      </c>
      <c r="G2853" s="4" t="s">
        <v>84</v>
      </c>
      <c r="H2853" s="4">
        <v>18</v>
      </c>
      <c r="I2853" s="4" t="s">
        <v>63</v>
      </c>
      <c r="J2853" s="4">
        <v>235</v>
      </c>
      <c r="K2853" s="4">
        <v>235</v>
      </c>
      <c r="L2853" s="4" t="s">
        <v>63</v>
      </c>
      <c r="M2853" s="4" t="s">
        <v>63</v>
      </c>
      <c r="N2853" s="4" t="s">
        <v>23510</v>
      </c>
      <c r="O2853" s="4" t="s">
        <v>63</v>
      </c>
      <c r="P2853" s="4"/>
      <c r="Q2853" s="4" t="s">
        <v>63</v>
      </c>
      <c r="R2853" s="4" t="s">
        <v>63</v>
      </c>
      <c r="S2853" s="4" t="s">
        <v>63</v>
      </c>
      <c r="T2853" s="4" t="s">
        <v>63</v>
      </c>
      <c r="U2853" s="4"/>
      <c r="V2853" s="4"/>
      <c r="W2853" s="4"/>
      <c r="X2853" s="4" t="s">
        <v>63</v>
      </c>
      <c r="Y2853" s="4" t="s">
        <v>375</v>
      </c>
      <c r="Z2853" s="4" t="s">
        <v>63</v>
      </c>
      <c r="AA2853" s="4" t="s">
        <v>23511</v>
      </c>
      <c r="AB2853" s="4" t="s">
        <v>23512</v>
      </c>
      <c r="AC2853" s="4" t="s">
        <v>67</v>
      </c>
      <c r="AD2853" s="4" t="s">
        <v>63</v>
      </c>
      <c r="AE2853" s="4" t="s">
        <v>63</v>
      </c>
      <c r="AF2853" s="4" t="s">
        <v>63</v>
      </c>
      <c r="AG2853" s="4" t="s">
        <v>63</v>
      </c>
      <c r="AH2853" s="4" t="s">
        <v>63</v>
      </c>
      <c r="AI2853" s="4" t="s">
        <v>63</v>
      </c>
      <c r="AJ2853" s="4" t="s">
        <v>63</v>
      </c>
      <c r="AK2853" s="4" t="s">
        <v>63</v>
      </c>
      <c r="AL2853" s="4" t="s">
        <v>63</v>
      </c>
      <c r="AM2853" s="4" t="s">
        <v>23509</v>
      </c>
      <c r="AN2853" s="4" t="s">
        <v>63</v>
      </c>
      <c r="AO2853" s="4" t="s">
        <v>63</v>
      </c>
      <c r="AP2853" s="4" t="s">
        <v>63</v>
      </c>
      <c r="AQ2853" s="4" t="s">
        <v>63</v>
      </c>
      <c r="AR2853" s="4" t="s">
        <v>63</v>
      </c>
      <c r="AS2853" s="4" t="s">
        <v>63</v>
      </c>
      <c r="AT2853" s="4" t="s">
        <v>63</v>
      </c>
      <c r="AU2853" s="4" t="s">
        <v>63</v>
      </c>
      <c r="AV2853" s="4" t="s">
        <v>63</v>
      </c>
      <c r="AW2853" s="4" t="s">
        <v>63</v>
      </c>
      <c r="AX2853" s="4" t="s">
        <v>63</v>
      </c>
      <c r="AY2853" s="4" t="s">
        <v>63</v>
      </c>
      <c r="AZ2853" s="4" t="s">
        <v>63</v>
      </c>
      <c r="BA2853" s="4" t="s">
        <v>63</v>
      </c>
      <c r="BB2853" s="4" t="s">
        <v>63</v>
      </c>
      <c r="BC2853" s="4" t="s">
        <v>63</v>
      </c>
      <c r="BD2853" s="4" t="s">
        <v>63</v>
      </c>
      <c r="BE2853" s="4" t="s">
        <v>63</v>
      </c>
      <c r="BF2853" s="4" t="s">
        <v>63</v>
      </c>
    </row>
    <row r="2854" spans="1:58">
      <c r="A2854" s="4" t="s">
        <v>58</v>
      </c>
      <c r="B2854" s="4" t="s">
        <v>23513</v>
      </c>
      <c r="C2854" s="4" t="s">
        <v>23514</v>
      </c>
      <c r="D2854" s="4" t="s">
        <v>3576</v>
      </c>
      <c r="E2854" s="4" t="s">
        <v>63</v>
      </c>
      <c r="F2854" s="4">
        <v>2014</v>
      </c>
      <c r="G2854" s="4" t="s">
        <v>157</v>
      </c>
      <c r="H2854" s="4">
        <v>28</v>
      </c>
      <c r="I2854" s="4">
        <v>4</v>
      </c>
      <c r="J2854" s="4">
        <v>980</v>
      </c>
      <c r="K2854" s="4">
        <v>989</v>
      </c>
      <c r="L2854" s="4" t="s">
        <v>23515</v>
      </c>
      <c r="M2854" s="4" t="s">
        <v>23516</v>
      </c>
      <c r="N2854" s="4" t="s">
        <v>23517</v>
      </c>
      <c r="O2854" s="4" t="s">
        <v>63</v>
      </c>
      <c r="P2854" s="4"/>
      <c r="Q2854" s="4" t="s">
        <v>63</v>
      </c>
      <c r="R2854" s="4" t="s">
        <v>63</v>
      </c>
      <c r="S2854" s="4" t="s">
        <v>63</v>
      </c>
      <c r="T2854" s="4" t="s">
        <v>63</v>
      </c>
      <c r="U2854" s="4"/>
      <c r="V2854" s="4"/>
      <c r="W2854" s="4"/>
      <c r="X2854" s="4" t="s">
        <v>63</v>
      </c>
      <c r="Y2854" s="4" t="s">
        <v>23518</v>
      </c>
      <c r="Z2854" s="4" t="s">
        <v>63</v>
      </c>
      <c r="AA2854" s="4" t="s">
        <v>23519</v>
      </c>
      <c r="AB2854" s="4" t="s">
        <v>23520</v>
      </c>
      <c r="AC2854" s="4" t="s">
        <v>67</v>
      </c>
      <c r="AD2854" s="4" t="s">
        <v>63</v>
      </c>
      <c r="AE2854" s="4" t="s">
        <v>63</v>
      </c>
      <c r="AF2854" s="4" t="s">
        <v>63</v>
      </c>
      <c r="AG2854" s="4" t="s">
        <v>63</v>
      </c>
      <c r="AH2854" s="4" t="s">
        <v>63</v>
      </c>
      <c r="AI2854" s="4" t="s">
        <v>23521</v>
      </c>
      <c r="AJ2854" s="4" t="s">
        <v>63</v>
      </c>
      <c r="AK2854" s="4" t="s">
        <v>63</v>
      </c>
      <c r="AL2854" s="4" t="s">
        <v>63</v>
      </c>
      <c r="AM2854" s="4" t="s">
        <v>23514</v>
      </c>
      <c r="AN2854" s="4" t="s">
        <v>63</v>
      </c>
      <c r="AO2854" s="4" t="s">
        <v>63</v>
      </c>
      <c r="AP2854" s="4" t="s">
        <v>63</v>
      </c>
      <c r="AQ2854" s="4" t="s">
        <v>63</v>
      </c>
      <c r="AR2854" s="4" t="s">
        <v>63</v>
      </c>
      <c r="AS2854" s="4" t="s">
        <v>63</v>
      </c>
      <c r="AT2854" s="4" t="s">
        <v>63</v>
      </c>
      <c r="AU2854" s="4" t="s">
        <v>63</v>
      </c>
      <c r="AV2854" s="4" t="s">
        <v>63</v>
      </c>
      <c r="AW2854" s="4" t="s">
        <v>63</v>
      </c>
      <c r="AX2854" s="4" t="s">
        <v>63</v>
      </c>
      <c r="AY2854" s="4" t="s">
        <v>63</v>
      </c>
      <c r="AZ2854" s="4" t="s">
        <v>63</v>
      </c>
      <c r="BA2854" s="4" t="s">
        <v>63</v>
      </c>
      <c r="BB2854" s="4" t="s">
        <v>63</v>
      </c>
      <c r="BC2854" s="4" t="s">
        <v>63</v>
      </c>
      <c r="BD2854" s="4" t="s">
        <v>63</v>
      </c>
      <c r="BE2854" s="4" t="s">
        <v>63</v>
      </c>
      <c r="BF2854" s="4" t="s">
        <v>63</v>
      </c>
    </row>
    <row r="2855" spans="1:58">
      <c r="A2855" s="4" t="s">
        <v>58</v>
      </c>
      <c r="B2855" s="4" t="s">
        <v>23522</v>
      </c>
      <c r="C2855" s="4" t="s">
        <v>23523</v>
      </c>
      <c r="D2855" s="4" t="s">
        <v>23304</v>
      </c>
      <c r="E2855" s="4" t="s">
        <v>63</v>
      </c>
      <c r="F2855" s="4">
        <v>2015</v>
      </c>
      <c r="G2855" s="4" t="s">
        <v>219</v>
      </c>
      <c r="H2855" s="4">
        <v>22</v>
      </c>
      <c r="I2855" s="4">
        <v>6</v>
      </c>
      <c r="J2855" s="4">
        <v>457</v>
      </c>
      <c r="K2855" s="4">
        <v>462</v>
      </c>
      <c r="L2855" s="4" t="s">
        <v>23524</v>
      </c>
      <c r="M2855" s="4" t="s">
        <v>23525</v>
      </c>
      <c r="N2855" s="4" t="s">
        <v>23526</v>
      </c>
      <c r="O2855" s="4" t="s">
        <v>63</v>
      </c>
      <c r="P2855" s="4"/>
      <c r="Q2855" s="4" t="s">
        <v>63</v>
      </c>
      <c r="R2855" s="4" t="s">
        <v>63</v>
      </c>
      <c r="S2855" s="4" t="s">
        <v>63</v>
      </c>
      <c r="T2855" s="4" t="s">
        <v>63</v>
      </c>
      <c r="U2855" s="4"/>
      <c r="V2855" s="4"/>
      <c r="W2855" s="4"/>
      <c r="X2855" s="4" t="s">
        <v>63</v>
      </c>
      <c r="Y2855" s="4" t="s">
        <v>23308</v>
      </c>
      <c r="Z2855" s="4" t="s">
        <v>63</v>
      </c>
      <c r="AA2855" s="4" t="s">
        <v>23527</v>
      </c>
      <c r="AB2855" s="4" t="s">
        <v>23528</v>
      </c>
      <c r="AC2855" s="4" t="s">
        <v>67</v>
      </c>
      <c r="AD2855" s="4" t="s">
        <v>63</v>
      </c>
      <c r="AE2855" s="4" t="s">
        <v>63</v>
      </c>
      <c r="AF2855" s="4" t="s">
        <v>63</v>
      </c>
      <c r="AG2855" s="4" t="s">
        <v>63</v>
      </c>
      <c r="AH2855" s="4" t="s">
        <v>63</v>
      </c>
      <c r="AI2855" s="4" t="s">
        <v>23529</v>
      </c>
      <c r="AJ2855" s="4" t="s">
        <v>63</v>
      </c>
      <c r="AK2855" s="4" t="s">
        <v>63</v>
      </c>
      <c r="AL2855" s="4" t="s">
        <v>63</v>
      </c>
      <c r="AM2855" s="4" t="s">
        <v>23523</v>
      </c>
      <c r="AN2855" s="4" t="s">
        <v>63</v>
      </c>
      <c r="AO2855" s="4" t="s">
        <v>63</v>
      </c>
      <c r="AP2855" s="4" t="s">
        <v>63</v>
      </c>
      <c r="AQ2855" s="4" t="s">
        <v>63</v>
      </c>
      <c r="AR2855" s="4" t="s">
        <v>63</v>
      </c>
      <c r="AS2855" s="4" t="s">
        <v>63</v>
      </c>
      <c r="AT2855" s="4" t="s">
        <v>63</v>
      </c>
      <c r="AU2855" s="4" t="s">
        <v>63</v>
      </c>
      <c r="AV2855" s="4" t="s">
        <v>63</v>
      </c>
      <c r="AW2855" s="4" t="s">
        <v>63</v>
      </c>
      <c r="AX2855" s="4" t="s">
        <v>63</v>
      </c>
      <c r="AY2855" s="4" t="s">
        <v>63</v>
      </c>
      <c r="AZ2855" s="4" t="s">
        <v>63</v>
      </c>
      <c r="BA2855" s="4" t="s">
        <v>63</v>
      </c>
      <c r="BB2855" s="4" t="s">
        <v>63</v>
      </c>
      <c r="BC2855" s="4" t="s">
        <v>63</v>
      </c>
      <c r="BD2855" s="4" t="s">
        <v>63</v>
      </c>
      <c r="BE2855" s="4" t="s">
        <v>63</v>
      </c>
      <c r="BF2855" s="4" t="s">
        <v>63</v>
      </c>
    </row>
    <row r="2856" spans="1:58">
      <c r="A2856" s="4" t="s">
        <v>58</v>
      </c>
      <c r="B2856" s="4" t="s">
        <v>23530</v>
      </c>
      <c r="C2856" s="4" t="s">
        <v>23531</v>
      </c>
      <c r="D2856" s="4" t="s">
        <v>23532</v>
      </c>
      <c r="E2856" s="4" t="s">
        <v>63</v>
      </c>
      <c r="F2856" s="4">
        <v>2015</v>
      </c>
      <c r="G2856" s="4" t="s">
        <v>63</v>
      </c>
      <c r="H2856" s="4">
        <v>16</v>
      </c>
      <c r="I2856" s="4">
        <v>4</v>
      </c>
      <c r="J2856" s="4">
        <v>3</v>
      </c>
      <c r="K2856" s="4">
        <v>14</v>
      </c>
      <c r="L2856" s="4" t="s">
        <v>23533</v>
      </c>
      <c r="M2856" s="4" t="s">
        <v>23534</v>
      </c>
      <c r="N2856" s="4" t="s">
        <v>23535</v>
      </c>
      <c r="O2856" s="4" t="s">
        <v>63</v>
      </c>
      <c r="P2856" s="4"/>
      <c r="Q2856" s="4" t="s">
        <v>63</v>
      </c>
      <c r="R2856" s="4" t="s">
        <v>63</v>
      </c>
      <c r="S2856" s="4" t="s">
        <v>63</v>
      </c>
      <c r="T2856" s="4" t="s">
        <v>63</v>
      </c>
      <c r="U2856" s="4"/>
      <c r="V2856" s="4"/>
      <c r="W2856" s="4"/>
      <c r="X2856" s="4" t="s">
        <v>63</v>
      </c>
      <c r="Y2856" s="4" t="s">
        <v>23536</v>
      </c>
      <c r="Z2856" s="4" t="s">
        <v>63</v>
      </c>
      <c r="AA2856" s="4" t="s">
        <v>23537</v>
      </c>
      <c r="AB2856" s="4" t="s">
        <v>23538</v>
      </c>
      <c r="AC2856" s="4" t="s">
        <v>67</v>
      </c>
      <c r="AD2856" s="4" t="s">
        <v>63</v>
      </c>
      <c r="AE2856" s="4" t="s">
        <v>63</v>
      </c>
      <c r="AF2856" s="4" t="s">
        <v>63</v>
      </c>
      <c r="AG2856" s="4" t="s">
        <v>63</v>
      </c>
      <c r="AH2856" s="4" t="s">
        <v>63</v>
      </c>
      <c r="AI2856" s="4" t="s">
        <v>23539</v>
      </c>
      <c r="AJ2856" s="4" t="s">
        <v>63</v>
      </c>
      <c r="AK2856" s="4" t="s">
        <v>63</v>
      </c>
      <c r="AL2856" s="4" t="s">
        <v>63</v>
      </c>
      <c r="AM2856" s="4" t="s">
        <v>23531</v>
      </c>
      <c r="AN2856" s="4" t="s">
        <v>63</v>
      </c>
      <c r="AO2856" s="4" t="s">
        <v>63</v>
      </c>
      <c r="AP2856" s="4" t="s">
        <v>63</v>
      </c>
      <c r="AQ2856" s="4" t="s">
        <v>63</v>
      </c>
      <c r="AR2856" s="4" t="s">
        <v>63</v>
      </c>
      <c r="AS2856" s="4" t="s">
        <v>63</v>
      </c>
      <c r="AT2856" s="4" t="s">
        <v>63</v>
      </c>
      <c r="AU2856" s="4" t="s">
        <v>63</v>
      </c>
      <c r="AV2856" s="4" t="s">
        <v>63</v>
      </c>
      <c r="AW2856" s="4" t="s">
        <v>63</v>
      </c>
      <c r="AX2856" s="4" t="s">
        <v>63</v>
      </c>
      <c r="AY2856" s="4" t="s">
        <v>63</v>
      </c>
      <c r="AZ2856" s="4" t="s">
        <v>63</v>
      </c>
      <c r="BA2856" s="4" t="s">
        <v>63</v>
      </c>
      <c r="BB2856" s="4" t="s">
        <v>63</v>
      </c>
      <c r="BC2856" s="4" t="s">
        <v>63</v>
      </c>
      <c r="BD2856" s="4" t="s">
        <v>63</v>
      </c>
      <c r="BE2856" s="4" t="s">
        <v>63</v>
      </c>
      <c r="BF2856" s="4" t="s">
        <v>63</v>
      </c>
    </row>
    <row r="2857" spans="1:58">
      <c r="A2857" s="4" t="s">
        <v>58</v>
      </c>
      <c r="B2857" s="4" t="s">
        <v>23540</v>
      </c>
      <c r="C2857" s="4" t="s">
        <v>23541</v>
      </c>
      <c r="D2857" s="4" t="s">
        <v>23542</v>
      </c>
      <c r="E2857" s="4" t="s">
        <v>23543</v>
      </c>
      <c r="F2857" s="4">
        <v>2015</v>
      </c>
      <c r="G2857" s="4" t="s">
        <v>614</v>
      </c>
      <c r="H2857" s="4">
        <v>37</v>
      </c>
      <c r="I2857" s="4">
        <v>8</v>
      </c>
      <c r="J2857" s="4" t="s">
        <v>23544</v>
      </c>
      <c r="K2857" s="4" t="s">
        <v>23544</v>
      </c>
      <c r="L2857" s="4" t="s">
        <v>63</v>
      </c>
      <c r="M2857" s="4" t="s">
        <v>63</v>
      </c>
      <c r="N2857" s="4" t="s">
        <v>23545</v>
      </c>
      <c r="O2857" s="4" t="s">
        <v>63</v>
      </c>
      <c r="P2857" s="4"/>
      <c r="Q2857" s="4" t="s">
        <v>63</v>
      </c>
      <c r="R2857" s="4" t="s">
        <v>63</v>
      </c>
      <c r="S2857" s="4" t="s">
        <v>63</v>
      </c>
      <c r="T2857" s="4" t="s">
        <v>63</v>
      </c>
      <c r="U2857" s="4"/>
      <c r="V2857" s="4"/>
      <c r="W2857" s="4"/>
      <c r="X2857" s="4" t="s">
        <v>63</v>
      </c>
      <c r="Y2857" s="4" t="s">
        <v>23546</v>
      </c>
      <c r="Z2857" s="4" t="s">
        <v>63</v>
      </c>
      <c r="AA2857" s="4" t="s">
        <v>23547</v>
      </c>
      <c r="AB2857" s="4" t="s">
        <v>23548</v>
      </c>
      <c r="AC2857" s="4" t="s">
        <v>67</v>
      </c>
      <c r="AD2857" s="4" t="s">
        <v>63</v>
      </c>
      <c r="AE2857" s="4" t="s">
        <v>63</v>
      </c>
      <c r="AF2857" s="4" t="s">
        <v>63</v>
      </c>
      <c r="AG2857" s="4" t="s">
        <v>63</v>
      </c>
      <c r="AH2857" s="4" t="s">
        <v>63</v>
      </c>
      <c r="AI2857" s="4" t="s">
        <v>23549</v>
      </c>
      <c r="AJ2857" s="4" t="s">
        <v>63</v>
      </c>
      <c r="AK2857" s="4" t="s">
        <v>63</v>
      </c>
      <c r="AL2857" s="4" t="s">
        <v>63</v>
      </c>
      <c r="AM2857" s="4" t="s">
        <v>23541</v>
      </c>
      <c r="AN2857" s="4" t="s">
        <v>63</v>
      </c>
      <c r="AO2857" s="4" t="s">
        <v>63</v>
      </c>
      <c r="AP2857" s="4" t="s">
        <v>63</v>
      </c>
      <c r="AQ2857" s="4" t="s">
        <v>63</v>
      </c>
      <c r="AR2857" s="4" t="s">
        <v>63</v>
      </c>
      <c r="AS2857" s="4" t="s">
        <v>63</v>
      </c>
      <c r="AT2857" s="4" t="s">
        <v>63</v>
      </c>
      <c r="AU2857" s="4" t="s">
        <v>63</v>
      </c>
      <c r="AV2857" s="4" t="s">
        <v>63</v>
      </c>
      <c r="AW2857" s="4" t="s">
        <v>63</v>
      </c>
      <c r="AX2857" s="4" t="s">
        <v>63</v>
      </c>
      <c r="AY2857" s="4" t="s">
        <v>63</v>
      </c>
      <c r="AZ2857" s="4" t="s">
        <v>63</v>
      </c>
      <c r="BA2857" s="4" t="s">
        <v>63</v>
      </c>
      <c r="BB2857" s="4" t="s">
        <v>63</v>
      </c>
      <c r="BC2857" s="4" t="s">
        <v>63</v>
      </c>
      <c r="BD2857" s="4" t="s">
        <v>63</v>
      </c>
      <c r="BE2857" s="4" t="s">
        <v>63</v>
      </c>
      <c r="BF2857" s="4" t="s">
        <v>63</v>
      </c>
    </row>
    <row r="2858" spans="1:58">
      <c r="A2858" s="4" t="s">
        <v>58</v>
      </c>
      <c r="B2858" s="4" t="s">
        <v>23550</v>
      </c>
      <c r="C2858" s="4" t="s">
        <v>23551</v>
      </c>
      <c r="D2858" s="4" t="s">
        <v>325</v>
      </c>
      <c r="E2858" s="4" t="s">
        <v>63</v>
      </c>
      <c r="F2858" s="4">
        <v>2014</v>
      </c>
      <c r="G2858" s="4" t="s">
        <v>326</v>
      </c>
      <c r="H2858" s="4">
        <v>38</v>
      </c>
      <c r="I2858" s="4">
        <v>1</v>
      </c>
      <c r="J2858" s="4">
        <v>11</v>
      </c>
      <c r="K2858" s="4">
        <v>14</v>
      </c>
      <c r="L2858" s="4" t="s">
        <v>23552</v>
      </c>
      <c r="M2858" s="4" t="s">
        <v>23553</v>
      </c>
      <c r="N2858" s="4" t="s">
        <v>23554</v>
      </c>
      <c r="O2858" s="4" t="s">
        <v>63</v>
      </c>
      <c r="P2858" s="4"/>
      <c r="Q2858" s="4" t="s">
        <v>63</v>
      </c>
      <c r="R2858" s="4" t="s">
        <v>63</v>
      </c>
      <c r="S2858" s="4" t="s">
        <v>63</v>
      </c>
      <c r="T2858" s="4" t="s">
        <v>63</v>
      </c>
      <c r="U2858" s="4"/>
      <c r="V2858" s="4"/>
      <c r="W2858" s="4"/>
      <c r="X2858" s="4" t="s">
        <v>63</v>
      </c>
      <c r="Y2858" s="4" t="s">
        <v>866</v>
      </c>
      <c r="Z2858" s="4" t="s">
        <v>63</v>
      </c>
      <c r="AA2858" s="4" t="s">
        <v>23555</v>
      </c>
      <c r="AB2858" s="4" t="s">
        <v>23556</v>
      </c>
      <c r="AC2858" s="4" t="s">
        <v>67</v>
      </c>
      <c r="AD2858" s="4" t="s">
        <v>63</v>
      </c>
      <c r="AE2858" s="4" t="s">
        <v>63</v>
      </c>
      <c r="AF2858" s="4" t="s">
        <v>63</v>
      </c>
      <c r="AG2858" s="4" t="s">
        <v>63</v>
      </c>
      <c r="AH2858" s="4" t="s">
        <v>63</v>
      </c>
      <c r="AI2858" s="4" t="s">
        <v>23557</v>
      </c>
      <c r="AJ2858" s="4" t="s">
        <v>63</v>
      </c>
      <c r="AK2858" s="4" t="s">
        <v>63</v>
      </c>
      <c r="AL2858" s="4" t="s">
        <v>63</v>
      </c>
      <c r="AM2858" s="4" t="s">
        <v>23551</v>
      </c>
      <c r="AN2858" s="4" t="s">
        <v>63</v>
      </c>
      <c r="AO2858" s="4" t="s">
        <v>63</v>
      </c>
      <c r="AP2858" s="4" t="s">
        <v>63</v>
      </c>
      <c r="AQ2858" s="4" t="s">
        <v>63</v>
      </c>
      <c r="AR2858" s="4" t="s">
        <v>63</v>
      </c>
      <c r="AS2858" s="4" t="s">
        <v>63</v>
      </c>
      <c r="AT2858" s="4" t="s">
        <v>63</v>
      </c>
      <c r="AU2858" s="4" t="s">
        <v>63</v>
      </c>
      <c r="AV2858" s="4" t="s">
        <v>63</v>
      </c>
      <c r="AW2858" s="4" t="s">
        <v>63</v>
      </c>
      <c r="AX2858" s="4" t="s">
        <v>63</v>
      </c>
      <c r="AY2858" s="4" t="s">
        <v>63</v>
      </c>
      <c r="AZ2858" s="4" t="s">
        <v>63</v>
      </c>
      <c r="BA2858" s="4" t="s">
        <v>63</v>
      </c>
      <c r="BB2858" s="4" t="s">
        <v>63</v>
      </c>
      <c r="BC2858" s="4" t="s">
        <v>63</v>
      </c>
      <c r="BD2858" s="4" t="s">
        <v>63</v>
      </c>
      <c r="BE2858" s="4" t="s">
        <v>63</v>
      </c>
      <c r="BF2858" s="4" t="s">
        <v>63</v>
      </c>
    </row>
    <row r="2859" spans="1:58">
      <c r="A2859" s="4" t="s">
        <v>58</v>
      </c>
      <c r="B2859" s="4" t="s">
        <v>23558</v>
      </c>
      <c r="C2859" s="4" t="s">
        <v>23559</v>
      </c>
      <c r="D2859" s="4" t="s">
        <v>23560</v>
      </c>
      <c r="E2859" s="4" t="s">
        <v>23561</v>
      </c>
      <c r="F2859" s="4">
        <v>2018</v>
      </c>
      <c r="G2859" s="4" t="s">
        <v>63</v>
      </c>
      <c r="H2859" s="4">
        <v>30</v>
      </c>
      <c r="I2859" s="4">
        <v>1</v>
      </c>
      <c r="J2859" s="4">
        <v>5</v>
      </c>
      <c r="K2859" s="4">
        <v>14</v>
      </c>
      <c r="L2859" s="4" t="s">
        <v>23562</v>
      </c>
      <c r="M2859" s="4" t="s">
        <v>23563</v>
      </c>
      <c r="N2859" s="4" t="s">
        <v>23564</v>
      </c>
      <c r="O2859" s="4" t="s">
        <v>63</v>
      </c>
      <c r="P2859" s="4"/>
      <c r="Q2859" s="4" t="s">
        <v>63</v>
      </c>
      <c r="R2859" s="4" t="s">
        <v>63</v>
      </c>
      <c r="S2859" s="4" t="s">
        <v>63</v>
      </c>
      <c r="T2859" s="4" t="s">
        <v>63</v>
      </c>
      <c r="U2859" s="4"/>
      <c r="V2859" s="4"/>
      <c r="W2859" s="4"/>
      <c r="X2859" s="4" t="s">
        <v>63</v>
      </c>
      <c r="Y2859" s="4" t="s">
        <v>932</v>
      </c>
      <c r="Z2859" s="4" t="s">
        <v>63</v>
      </c>
      <c r="AA2859" s="4" t="s">
        <v>23565</v>
      </c>
      <c r="AB2859" s="4" t="s">
        <v>23566</v>
      </c>
      <c r="AC2859" s="4" t="s">
        <v>67</v>
      </c>
      <c r="AD2859" s="4" t="s">
        <v>63</v>
      </c>
      <c r="AE2859" s="4" t="s">
        <v>63</v>
      </c>
      <c r="AF2859" s="4" t="s">
        <v>63</v>
      </c>
      <c r="AG2859" s="4" t="s">
        <v>63</v>
      </c>
      <c r="AH2859" s="4" t="s">
        <v>63</v>
      </c>
      <c r="AI2859" s="4" t="s">
        <v>23567</v>
      </c>
      <c r="AJ2859" s="4" t="s">
        <v>63</v>
      </c>
      <c r="AK2859" s="4" t="s">
        <v>63</v>
      </c>
      <c r="AL2859" s="4" t="s">
        <v>63</v>
      </c>
      <c r="AM2859" s="4" t="s">
        <v>23559</v>
      </c>
      <c r="AN2859" s="4" t="s">
        <v>63</v>
      </c>
      <c r="AO2859" s="4" t="s">
        <v>63</v>
      </c>
      <c r="AP2859" s="4" t="s">
        <v>63</v>
      </c>
      <c r="AQ2859" s="4" t="s">
        <v>63</v>
      </c>
      <c r="AR2859" s="4" t="s">
        <v>63</v>
      </c>
      <c r="AS2859" s="4" t="s">
        <v>63</v>
      </c>
      <c r="AT2859" s="4" t="s">
        <v>63</v>
      </c>
      <c r="AU2859" s="4" t="s">
        <v>63</v>
      </c>
      <c r="AV2859" s="4" t="s">
        <v>63</v>
      </c>
      <c r="AW2859" s="4" t="s">
        <v>63</v>
      </c>
      <c r="AX2859" s="4" t="s">
        <v>63</v>
      </c>
      <c r="AY2859" s="4" t="s">
        <v>63</v>
      </c>
      <c r="AZ2859" s="4" t="s">
        <v>63</v>
      </c>
      <c r="BA2859" s="4" t="s">
        <v>63</v>
      </c>
      <c r="BB2859" s="4" t="s">
        <v>63</v>
      </c>
      <c r="BC2859" s="4" t="s">
        <v>63</v>
      </c>
      <c r="BD2859" s="4" t="s">
        <v>63</v>
      </c>
      <c r="BE2859" s="4" t="s">
        <v>63</v>
      </c>
      <c r="BF2859" s="4" t="s">
        <v>63</v>
      </c>
    </row>
    <row r="2860" spans="1:58">
      <c r="A2860" s="4" t="s">
        <v>58</v>
      </c>
      <c r="B2860" s="4" t="s">
        <v>23568</v>
      </c>
      <c r="C2860" s="4" t="s">
        <v>23569</v>
      </c>
      <c r="D2860" s="4" t="s">
        <v>23570</v>
      </c>
      <c r="E2860" s="4" t="s">
        <v>63</v>
      </c>
      <c r="F2860" s="4">
        <v>2017</v>
      </c>
      <c r="G2860" s="4" t="s">
        <v>219</v>
      </c>
      <c r="H2860" s="4">
        <v>18</v>
      </c>
      <c r="I2860" s="4">
        <v>4</v>
      </c>
      <c r="J2860" s="4">
        <v>206</v>
      </c>
      <c r="K2860" s="4">
        <v>211</v>
      </c>
      <c r="L2860" s="4" t="s">
        <v>23571</v>
      </c>
      <c r="M2860" s="4" t="s">
        <v>23572</v>
      </c>
      <c r="N2860" s="4" t="s">
        <v>23573</v>
      </c>
      <c r="O2860" s="4" t="s">
        <v>63</v>
      </c>
      <c r="P2860" s="4"/>
      <c r="Q2860" s="4" t="s">
        <v>63</v>
      </c>
      <c r="R2860" s="4" t="s">
        <v>63</v>
      </c>
      <c r="S2860" s="4" t="s">
        <v>63</v>
      </c>
      <c r="T2860" s="4" t="s">
        <v>63</v>
      </c>
      <c r="U2860" s="4"/>
      <c r="V2860" s="4"/>
      <c r="W2860" s="4"/>
      <c r="X2860" s="4" t="s">
        <v>63</v>
      </c>
      <c r="Y2860" s="4" t="s">
        <v>23574</v>
      </c>
      <c r="Z2860" s="4" t="s">
        <v>63</v>
      </c>
      <c r="AA2860" s="4" t="s">
        <v>23575</v>
      </c>
      <c r="AB2860" s="4" t="s">
        <v>23576</v>
      </c>
      <c r="AC2860" s="4" t="s">
        <v>102</v>
      </c>
      <c r="AD2860" s="4" t="s">
        <v>63</v>
      </c>
      <c r="AE2860" s="4" t="s">
        <v>63</v>
      </c>
      <c r="AF2860" s="4" t="s">
        <v>63</v>
      </c>
      <c r="AG2860" s="4" t="s">
        <v>63</v>
      </c>
      <c r="AH2860" s="4" t="s">
        <v>63</v>
      </c>
      <c r="AI2860" s="4" t="s">
        <v>23577</v>
      </c>
      <c r="AJ2860" s="4" t="s">
        <v>63</v>
      </c>
      <c r="AK2860" s="4" t="s">
        <v>63</v>
      </c>
      <c r="AL2860" s="4" t="s">
        <v>63</v>
      </c>
      <c r="AM2860" s="4" t="s">
        <v>23569</v>
      </c>
      <c r="AN2860" s="4" t="s">
        <v>63</v>
      </c>
      <c r="AO2860" s="4" t="s">
        <v>63</v>
      </c>
      <c r="AP2860" s="4" t="s">
        <v>63</v>
      </c>
      <c r="AQ2860" s="4" t="s">
        <v>63</v>
      </c>
      <c r="AR2860" s="4" t="s">
        <v>63</v>
      </c>
      <c r="AS2860" s="4" t="s">
        <v>63</v>
      </c>
      <c r="AT2860" s="4" t="s">
        <v>63</v>
      </c>
      <c r="AU2860" s="4" t="s">
        <v>63</v>
      </c>
      <c r="AV2860" s="4" t="s">
        <v>63</v>
      </c>
      <c r="AW2860" s="4" t="s">
        <v>63</v>
      </c>
      <c r="AX2860" s="4" t="s">
        <v>63</v>
      </c>
      <c r="AY2860" s="4" t="s">
        <v>63</v>
      </c>
      <c r="AZ2860" s="4" t="s">
        <v>63</v>
      </c>
      <c r="BA2860" s="4" t="s">
        <v>63</v>
      </c>
      <c r="BB2860" s="4" t="s">
        <v>63</v>
      </c>
      <c r="BC2860" s="4" t="s">
        <v>63</v>
      </c>
      <c r="BD2860" s="4" t="s">
        <v>63</v>
      </c>
      <c r="BE2860" s="4" t="s">
        <v>63</v>
      </c>
      <c r="BF2860" s="4" t="s">
        <v>63</v>
      </c>
    </row>
    <row r="2861" spans="1:58">
      <c r="A2861" s="4" t="s">
        <v>58</v>
      </c>
      <c r="B2861" s="4" t="s">
        <v>23578</v>
      </c>
      <c r="C2861" s="4" t="s">
        <v>23579</v>
      </c>
      <c r="D2861" s="4" t="s">
        <v>3746</v>
      </c>
      <c r="E2861" s="4" t="s">
        <v>3747</v>
      </c>
      <c r="F2861" s="4">
        <v>2018</v>
      </c>
      <c r="G2861" s="4" t="s">
        <v>274</v>
      </c>
      <c r="H2861" s="4">
        <v>94</v>
      </c>
      <c r="I2861" s="4">
        <v>1109</v>
      </c>
      <c r="J2861" s="4">
        <v>131</v>
      </c>
      <c r="K2861" s="4">
        <v>136</v>
      </c>
      <c r="L2861" s="4" t="s">
        <v>23580</v>
      </c>
      <c r="M2861" s="4" t="s">
        <v>23581</v>
      </c>
      <c r="N2861" s="4" t="s">
        <v>23582</v>
      </c>
      <c r="O2861" s="4" t="s">
        <v>63</v>
      </c>
      <c r="P2861" s="4"/>
      <c r="Q2861" s="4" t="s">
        <v>63</v>
      </c>
      <c r="R2861" s="4" t="s">
        <v>63</v>
      </c>
      <c r="S2861" s="4" t="s">
        <v>63</v>
      </c>
      <c r="T2861" s="4" t="s">
        <v>63</v>
      </c>
      <c r="U2861" s="4"/>
      <c r="V2861" s="4"/>
      <c r="W2861" s="4"/>
      <c r="X2861" s="4" t="s">
        <v>63</v>
      </c>
      <c r="Y2861" s="4" t="s">
        <v>3753</v>
      </c>
      <c r="Z2861" s="4" t="s">
        <v>63</v>
      </c>
      <c r="AA2861" s="4" t="s">
        <v>23583</v>
      </c>
      <c r="AB2861" s="4" t="s">
        <v>23584</v>
      </c>
      <c r="AC2861" s="4" t="s">
        <v>67</v>
      </c>
      <c r="AD2861" s="4" t="s">
        <v>63</v>
      </c>
      <c r="AE2861" s="4" t="s">
        <v>63</v>
      </c>
      <c r="AF2861" s="4" t="s">
        <v>63</v>
      </c>
      <c r="AG2861" s="4" t="s">
        <v>63</v>
      </c>
      <c r="AH2861" s="4" t="s">
        <v>63</v>
      </c>
      <c r="AI2861" s="4" t="s">
        <v>23585</v>
      </c>
      <c r="AJ2861" s="4" t="s">
        <v>63</v>
      </c>
      <c r="AK2861" s="4" t="s">
        <v>63</v>
      </c>
      <c r="AL2861" s="4" t="s">
        <v>63</v>
      </c>
      <c r="AM2861" s="4" t="s">
        <v>23579</v>
      </c>
      <c r="AN2861" s="4" t="s">
        <v>63</v>
      </c>
      <c r="AO2861" s="4" t="s">
        <v>63</v>
      </c>
      <c r="AP2861" s="4" t="s">
        <v>63</v>
      </c>
      <c r="AQ2861" s="4" t="s">
        <v>63</v>
      </c>
      <c r="AR2861" s="4" t="s">
        <v>63</v>
      </c>
      <c r="AS2861" s="4" t="s">
        <v>63</v>
      </c>
      <c r="AT2861" s="4" t="s">
        <v>63</v>
      </c>
      <c r="AU2861" s="4" t="s">
        <v>63</v>
      </c>
      <c r="AV2861" s="4" t="s">
        <v>63</v>
      </c>
      <c r="AW2861" s="4" t="s">
        <v>63</v>
      </c>
      <c r="AX2861" s="4" t="s">
        <v>63</v>
      </c>
      <c r="AY2861" s="4" t="s">
        <v>63</v>
      </c>
      <c r="AZ2861" s="4" t="s">
        <v>63</v>
      </c>
      <c r="BA2861" s="4" t="s">
        <v>63</v>
      </c>
      <c r="BB2861" s="4" t="s">
        <v>63</v>
      </c>
      <c r="BC2861" s="4" t="s">
        <v>63</v>
      </c>
      <c r="BD2861" s="4" t="s">
        <v>63</v>
      </c>
      <c r="BE2861" s="4" t="s">
        <v>63</v>
      </c>
      <c r="BF2861" s="4" t="s">
        <v>63</v>
      </c>
    </row>
    <row r="2862" spans="1:58">
      <c r="A2862" s="4" t="s">
        <v>58</v>
      </c>
      <c r="B2862" s="4" t="s">
        <v>23586</v>
      </c>
      <c r="C2862" s="4" t="s">
        <v>23587</v>
      </c>
      <c r="D2862" s="4" t="s">
        <v>4116</v>
      </c>
      <c r="E2862" s="4" t="s">
        <v>4117</v>
      </c>
      <c r="F2862" s="4">
        <v>1976</v>
      </c>
      <c r="G2862" s="4" t="s">
        <v>63</v>
      </c>
      <c r="H2862" s="4">
        <v>37</v>
      </c>
      <c r="I2862" s="4">
        <v>6</v>
      </c>
      <c r="J2862" s="4">
        <v>823</v>
      </c>
      <c r="K2862" s="4">
        <v>823</v>
      </c>
      <c r="L2862" s="4" t="s">
        <v>63</v>
      </c>
      <c r="M2862" s="4" t="s">
        <v>63</v>
      </c>
      <c r="N2862" s="4" t="s">
        <v>23588</v>
      </c>
      <c r="O2862" s="4" t="s">
        <v>63</v>
      </c>
      <c r="P2862" s="4"/>
      <c r="Q2862" s="4" t="s">
        <v>63</v>
      </c>
      <c r="R2862" s="4" t="s">
        <v>63</v>
      </c>
      <c r="S2862" s="4" t="s">
        <v>63</v>
      </c>
      <c r="T2862" s="4" t="s">
        <v>63</v>
      </c>
      <c r="U2862" s="4"/>
      <c r="V2862" s="4"/>
      <c r="W2862" s="4"/>
      <c r="X2862" s="4" t="s">
        <v>63</v>
      </c>
      <c r="Y2862" s="4" t="s">
        <v>4121</v>
      </c>
      <c r="Z2862" s="4" t="s">
        <v>63</v>
      </c>
      <c r="AA2862" s="4" t="s">
        <v>63</v>
      </c>
      <c r="AB2862" s="4" t="s">
        <v>23589</v>
      </c>
      <c r="AC2862" s="4" t="s">
        <v>67</v>
      </c>
      <c r="AD2862" s="4" t="s">
        <v>63</v>
      </c>
      <c r="AE2862" s="4" t="s">
        <v>63</v>
      </c>
      <c r="AF2862" s="4" t="s">
        <v>63</v>
      </c>
      <c r="AG2862" s="4" t="s">
        <v>63</v>
      </c>
      <c r="AH2862" s="4" t="s">
        <v>63</v>
      </c>
      <c r="AI2862" s="4" t="s">
        <v>63</v>
      </c>
      <c r="AJ2862" s="4" t="s">
        <v>63</v>
      </c>
      <c r="AK2862" s="4" t="s">
        <v>63</v>
      </c>
      <c r="AL2862" s="4" t="s">
        <v>63</v>
      </c>
      <c r="AM2862" s="4" t="s">
        <v>23587</v>
      </c>
      <c r="AN2862" s="4" t="s">
        <v>63</v>
      </c>
      <c r="AO2862" s="4" t="s">
        <v>63</v>
      </c>
      <c r="AP2862" s="4" t="s">
        <v>63</v>
      </c>
      <c r="AQ2862" s="4" t="s">
        <v>63</v>
      </c>
      <c r="AR2862" s="4" t="s">
        <v>63</v>
      </c>
      <c r="AS2862" s="4" t="s">
        <v>63</v>
      </c>
      <c r="AT2862" s="4" t="s">
        <v>63</v>
      </c>
      <c r="AU2862" s="4" t="s">
        <v>63</v>
      </c>
      <c r="AV2862" s="4" t="s">
        <v>63</v>
      </c>
      <c r="AW2862" s="4" t="s">
        <v>63</v>
      </c>
      <c r="AX2862" s="4" t="s">
        <v>63</v>
      </c>
      <c r="AY2862" s="4" t="s">
        <v>63</v>
      </c>
      <c r="AZ2862" s="4" t="s">
        <v>63</v>
      </c>
      <c r="BA2862" s="4" t="s">
        <v>63</v>
      </c>
      <c r="BB2862" s="4" t="s">
        <v>63</v>
      </c>
      <c r="BC2862" s="4" t="s">
        <v>63</v>
      </c>
      <c r="BD2862" s="4" t="s">
        <v>63</v>
      </c>
      <c r="BE2862" s="4" t="s">
        <v>63</v>
      </c>
      <c r="BF2862" s="4" t="s">
        <v>63</v>
      </c>
    </row>
    <row r="2863" spans="1:58">
      <c r="A2863" s="4" t="s">
        <v>58</v>
      </c>
      <c r="B2863" s="4" t="s">
        <v>23590</v>
      </c>
      <c r="C2863" s="4" t="s">
        <v>23591</v>
      </c>
      <c r="D2863" s="4" t="s">
        <v>23592</v>
      </c>
      <c r="E2863" s="4" t="s">
        <v>63</v>
      </c>
      <c r="F2863" s="4">
        <v>2017</v>
      </c>
      <c r="G2863" s="4" t="s">
        <v>274</v>
      </c>
      <c r="H2863" s="4">
        <v>12</v>
      </c>
      <c r="I2863" s="4">
        <v>3</v>
      </c>
      <c r="J2863" s="4" t="s">
        <v>63</v>
      </c>
      <c r="K2863" s="4" t="s">
        <v>63</v>
      </c>
      <c r="L2863" s="4" t="s">
        <v>23593</v>
      </c>
      <c r="M2863" s="4" t="s">
        <v>23594</v>
      </c>
      <c r="N2863" s="4" t="s">
        <v>23595</v>
      </c>
      <c r="O2863" s="4" t="s">
        <v>63</v>
      </c>
      <c r="P2863" s="4"/>
      <c r="Q2863" s="4" t="s">
        <v>63</v>
      </c>
      <c r="R2863" s="4" t="s">
        <v>63</v>
      </c>
      <c r="S2863" s="4" t="s">
        <v>63</v>
      </c>
      <c r="T2863" s="4" t="s">
        <v>63</v>
      </c>
      <c r="U2863" s="4"/>
      <c r="V2863" s="4"/>
      <c r="W2863" s="4"/>
      <c r="X2863" s="4" t="s">
        <v>63</v>
      </c>
      <c r="Y2863" s="4" t="s">
        <v>975</v>
      </c>
      <c r="Z2863" s="4" t="s">
        <v>63</v>
      </c>
      <c r="AA2863" s="4" t="s">
        <v>23596</v>
      </c>
      <c r="AB2863" s="4" t="s">
        <v>23597</v>
      </c>
      <c r="AC2863" s="4" t="s">
        <v>67</v>
      </c>
      <c r="AD2863" s="4" t="s">
        <v>63</v>
      </c>
      <c r="AE2863" s="4" t="s">
        <v>63</v>
      </c>
      <c r="AF2863" s="4" t="s">
        <v>63</v>
      </c>
      <c r="AG2863" s="4" t="s">
        <v>63</v>
      </c>
      <c r="AH2863" s="4" t="s">
        <v>63</v>
      </c>
      <c r="AI2863" s="4" t="s">
        <v>23598</v>
      </c>
      <c r="AJ2863" s="4" t="s">
        <v>63</v>
      </c>
      <c r="AK2863" s="4" t="s">
        <v>63</v>
      </c>
      <c r="AL2863" s="4" t="s">
        <v>63</v>
      </c>
      <c r="AM2863" s="4" t="s">
        <v>23591</v>
      </c>
      <c r="AN2863" s="4" t="s">
        <v>63</v>
      </c>
      <c r="AO2863" s="4" t="s">
        <v>63</v>
      </c>
      <c r="AP2863" s="4" t="s">
        <v>63</v>
      </c>
      <c r="AQ2863" s="4" t="s">
        <v>63</v>
      </c>
      <c r="AR2863" s="4" t="s">
        <v>63</v>
      </c>
      <c r="AS2863" s="4" t="s">
        <v>63</v>
      </c>
      <c r="AT2863" s="4" t="s">
        <v>63</v>
      </c>
      <c r="AU2863" s="4" t="s">
        <v>63</v>
      </c>
      <c r="AV2863" s="4" t="s">
        <v>63</v>
      </c>
      <c r="AW2863" s="4" t="s">
        <v>63</v>
      </c>
      <c r="AX2863" s="4" t="s">
        <v>63</v>
      </c>
      <c r="AY2863" s="4" t="s">
        <v>63</v>
      </c>
      <c r="AZ2863" s="4" t="s">
        <v>63</v>
      </c>
      <c r="BA2863" s="4" t="s">
        <v>63</v>
      </c>
      <c r="BB2863" s="4" t="s">
        <v>63</v>
      </c>
      <c r="BC2863" s="4" t="s">
        <v>63</v>
      </c>
      <c r="BD2863" s="4" t="s">
        <v>63</v>
      </c>
      <c r="BE2863" s="4" t="s">
        <v>63</v>
      </c>
      <c r="BF2863" s="4" t="s">
        <v>63</v>
      </c>
    </row>
    <row r="2864" spans="1:58">
      <c r="A2864" s="4" t="s">
        <v>58</v>
      </c>
      <c r="B2864" s="4" t="s">
        <v>23599</v>
      </c>
      <c r="C2864" s="4" t="s">
        <v>23600</v>
      </c>
      <c r="D2864" s="4" t="s">
        <v>23601</v>
      </c>
      <c r="E2864" s="4" t="s">
        <v>23602</v>
      </c>
      <c r="F2864" s="4">
        <v>1997</v>
      </c>
      <c r="G2864" s="4" t="s">
        <v>1717</v>
      </c>
      <c r="H2864" s="4">
        <v>59</v>
      </c>
      <c r="I2864" s="4">
        <v>6</v>
      </c>
      <c r="J2864" s="4">
        <v>605</v>
      </c>
      <c r="K2864" s="4">
        <v>614</v>
      </c>
      <c r="L2864" s="4" t="s">
        <v>23603</v>
      </c>
      <c r="M2864" s="4" t="s">
        <v>23604</v>
      </c>
      <c r="N2864" s="4" t="s">
        <v>23605</v>
      </c>
      <c r="O2864" s="4" t="s">
        <v>63</v>
      </c>
      <c r="P2864" s="4"/>
      <c r="Q2864" s="4" t="s">
        <v>63</v>
      </c>
      <c r="R2864" s="4" t="s">
        <v>63</v>
      </c>
      <c r="S2864" s="4" t="s">
        <v>63</v>
      </c>
      <c r="T2864" s="4" t="s">
        <v>63</v>
      </c>
      <c r="U2864" s="4"/>
      <c r="V2864" s="4"/>
      <c r="W2864" s="4"/>
      <c r="X2864" s="4" t="s">
        <v>63</v>
      </c>
      <c r="Y2864" s="4" t="s">
        <v>23606</v>
      </c>
      <c r="Z2864" s="4" t="s">
        <v>63</v>
      </c>
      <c r="AA2864" s="4" t="s">
        <v>23607</v>
      </c>
      <c r="AB2864" s="4" t="s">
        <v>23608</v>
      </c>
      <c r="AC2864" s="4" t="s">
        <v>67</v>
      </c>
      <c r="AD2864" s="4" t="s">
        <v>63</v>
      </c>
      <c r="AE2864" s="4" t="s">
        <v>63</v>
      </c>
      <c r="AF2864" s="4" t="s">
        <v>63</v>
      </c>
      <c r="AG2864" s="4" t="s">
        <v>63</v>
      </c>
      <c r="AH2864" s="4" t="s">
        <v>63</v>
      </c>
      <c r="AI2864" s="4" t="s">
        <v>23609</v>
      </c>
      <c r="AJ2864" s="4" t="s">
        <v>63</v>
      </c>
      <c r="AK2864" s="4" t="s">
        <v>63</v>
      </c>
      <c r="AL2864" s="4" t="s">
        <v>63</v>
      </c>
      <c r="AM2864" s="4" t="s">
        <v>23600</v>
      </c>
      <c r="AN2864" s="4" t="s">
        <v>63</v>
      </c>
      <c r="AO2864" s="4" t="s">
        <v>63</v>
      </c>
      <c r="AP2864" s="4" t="s">
        <v>63</v>
      </c>
      <c r="AQ2864" s="4" t="s">
        <v>63</v>
      </c>
      <c r="AR2864" s="4" t="s">
        <v>63</v>
      </c>
      <c r="AS2864" s="4" t="s">
        <v>63</v>
      </c>
      <c r="AT2864" s="4" t="s">
        <v>63</v>
      </c>
      <c r="AU2864" s="4" t="s">
        <v>63</v>
      </c>
      <c r="AV2864" s="4" t="s">
        <v>63</v>
      </c>
      <c r="AW2864" s="4" t="s">
        <v>63</v>
      </c>
      <c r="AX2864" s="4" t="s">
        <v>63</v>
      </c>
      <c r="AY2864" s="4" t="s">
        <v>63</v>
      </c>
      <c r="AZ2864" s="4" t="s">
        <v>63</v>
      </c>
      <c r="BA2864" s="4" t="s">
        <v>63</v>
      </c>
      <c r="BB2864" s="4" t="s">
        <v>63</v>
      </c>
      <c r="BC2864" s="4" t="s">
        <v>63</v>
      </c>
      <c r="BD2864" s="4" t="s">
        <v>63</v>
      </c>
      <c r="BE2864" s="4" t="s">
        <v>63</v>
      </c>
      <c r="BF2864" s="4" t="s">
        <v>63</v>
      </c>
    </row>
    <row r="2865" spans="1:58">
      <c r="A2865" s="4" t="s">
        <v>58</v>
      </c>
      <c r="B2865" s="4" t="s">
        <v>23610</v>
      </c>
      <c r="C2865" s="4" t="s">
        <v>23611</v>
      </c>
      <c r="D2865" s="4" t="s">
        <v>13225</v>
      </c>
      <c r="E2865" s="4" t="s">
        <v>13225</v>
      </c>
      <c r="F2865" s="4">
        <v>2000</v>
      </c>
      <c r="G2865" s="4" t="s">
        <v>147</v>
      </c>
      <c r="H2865" s="4">
        <v>41</v>
      </c>
      <c r="I2865" s="4">
        <v>2</v>
      </c>
      <c r="J2865" s="4">
        <v>183</v>
      </c>
      <c r="K2865" s="4">
        <v>184</v>
      </c>
      <c r="L2865" s="4" t="s">
        <v>63</v>
      </c>
      <c r="M2865" s="4" t="s">
        <v>63</v>
      </c>
      <c r="N2865" s="4" t="s">
        <v>23612</v>
      </c>
      <c r="O2865" s="4" t="s">
        <v>63</v>
      </c>
      <c r="P2865" s="4"/>
      <c r="Q2865" s="4" t="s">
        <v>63</v>
      </c>
      <c r="R2865" s="4" t="s">
        <v>63</v>
      </c>
      <c r="S2865" s="4" t="s">
        <v>63</v>
      </c>
      <c r="T2865" s="4" t="s">
        <v>63</v>
      </c>
      <c r="U2865" s="4"/>
      <c r="V2865" s="4"/>
      <c r="W2865" s="4"/>
      <c r="X2865" s="4" t="s">
        <v>63</v>
      </c>
      <c r="Y2865" s="4" t="s">
        <v>23613</v>
      </c>
      <c r="Z2865" s="4" t="s">
        <v>63</v>
      </c>
      <c r="AA2865" s="4" t="s">
        <v>63</v>
      </c>
      <c r="AB2865" s="4" t="s">
        <v>23614</v>
      </c>
      <c r="AC2865" s="4" t="s">
        <v>67</v>
      </c>
      <c r="AD2865" s="4" t="s">
        <v>63</v>
      </c>
      <c r="AE2865" s="4" t="s">
        <v>63</v>
      </c>
      <c r="AF2865" s="4" t="s">
        <v>63</v>
      </c>
      <c r="AG2865" s="4" t="s">
        <v>63</v>
      </c>
      <c r="AH2865" s="4" t="s">
        <v>63</v>
      </c>
      <c r="AI2865" s="4" t="s">
        <v>63</v>
      </c>
      <c r="AJ2865" s="4" t="s">
        <v>63</v>
      </c>
      <c r="AK2865" s="4" t="s">
        <v>63</v>
      </c>
      <c r="AL2865" s="4" t="s">
        <v>63</v>
      </c>
      <c r="AM2865" s="4" t="s">
        <v>23611</v>
      </c>
      <c r="AN2865" s="4" t="s">
        <v>63</v>
      </c>
      <c r="AO2865" s="4" t="s">
        <v>63</v>
      </c>
      <c r="AP2865" s="4" t="s">
        <v>63</v>
      </c>
      <c r="AQ2865" s="4" t="s">
        <v>63</v>
      </c>
      <c r="AR2865" s="4" t="s">
        <v>63</v>
      </c>
      <c r="AS2865" s="4" t="s">
        <v>63</v>
      </c>
      <c r="AT2865" s="4" t="s">
        <v>63</v>
      </c>
      <c r="AU2865" s="4" t="s">
        <v>63</v>
      </c>
      <c r="AV2865" s="4" t="s">
        <v>63</v>
      </c>
      <c r="AW2865" s="4" t="s">
        <v>63</v>
      </c>
      <c r="AX2865" s="4" t="s">
        <v>63</v>
      </c>
      <c r="AY2865" s="4" t="s">
        <v>63</v>
      </c>
      <c r="AZ2865" s="4" t="s">
        <v>63</v>
      </c>
      <c r="BA2865" s="4" t="s">
        <v>63</v>
      </c>
      <c r="BB2865" s="4" t="s">
        <v>63</v>
      </c>
      <c r="BC2865" s="4" t="s">
        <v>63</v>
      </c>
      <c r="BD2865" s="4" t="s">
        <v>63</v>
      </c>
      <c r="BE2865" s="4" t="s">
        <v>63</v>
      </c>
      <c r="BF2865" s="4" t="s">
        <v>63</v>
      </c>
    </row>
    <row r="2866" spans="1:58">
      <c r="A2866" s="4" t="s">
        <v>58</v>
      </c>
      <c r="B2866" s="4" t="s">
        <v>23615</v>
      </c>
      <c r="C2866" s="4" t="s">
        <v>23616</v>
      </c>
      <c r="D2866" s="4" t="s">
        <v>13017</v>
      </c>
      <c r="E2866" s="4" t="s">
        <v>13017</v>
      </c>
      <c r="F2866" s="4">
        <v>2003</v>
      </c>
      <c r="G2866" s="4" t="s">
        <v>11650</v>
      </c>
      <c r="H2866" s="4">
        <v>65</v>
      </c>
      <c r="I2866" s="6">
        <v>41859</v>
      </c>
      <c r="J2866" s="4" t="s">
        <v>23617</v>
      </c>
      <c r="K2866" s="4" t="s">
        <v>23617</v>
      </c>
      <c r="L2866" s="4" t="s">
        <v>63</v>
      </c>
      <c r="M2866" s="4" t="s">
        <v>63</v>
      </c>
      <c r="N2866" s="4" t="s">
        <v>23618</v>
      </c>
      <c r="O2866" s="4" t="s">
        <v>63</v>
      </c>
      <c r="P2866" s="4"/>
      <c r="Q2866" s="4" t="s">
        <v>63</v>
      </c>
      <c r="R2866" s="4" t="s">
        <v>63</v>
      </c>
      <c r="S2866" s="4" t="s">
        <v>63</v>
      </c>
      <c r="T2866" s="4" t="s">
        <v>63</v>
      </c>
      <c r="U2866" s="4"/>
      <c r="V2866" s="4"/>
      <c r="W2866" s="4"/>
      <c r="X2866" s="4" t="s">
        <v>63</v>
      </c>
      <c r="Y2866" s="4" t="s">
        <v>23619</v>
      </c>
      <c r="Z2866" s="4" t="s">
        <v>63</v>
      </c>
      <c r="AA2866" s="4" t="s">
        <v>23620</v>
      </c>
      <c r="AB2866" s="4" t="s">
        <v>23621</v>
      </c>
      <c r="AC2866" s="4" t="s">
        <v>102</v>
      </c>
      <c r="AD2866" s="4" t="s">
        <v>63</v>
      </c>
      <c r="AE2866" s="4" t="s">
        <v>63</v>
      </c>
      <c r="AF2866" s="4" t="s">
        <v>63</v>
      </c>
      <c r="AG2866" s="4" t="s">
        <v>63</v>
      </c>
      <c r="AH2866" s="4" t="s">
        <v>63</v>
      </c>
      <c r="AI2866" s="4" t="s">
        <v>63</v>
      </c>
      <c r="AJ2866" s="4" t="s">
        <v>63</v>
      </c>
      <c r="AK2866" s="4" t="s">
        <v>63</v>
      </c>
      <c r="AL2866" s="4" t="s">
        <v>63</v>
      </c>
      <c r="AM2866" s="4" t="s">
        <v>23616</v>
      </c>
      <c r="AN2866" s="4" t="s">
        <v>63</v>
      </c>
      <c r="AO2866" s="4" t="s">
        <v>63</v>
      </c>
      <c r="AP2866" s="4" t="s">
        <v>63</v>
      </c>
      <c r="AQ2866" s="4" t="s">
        <v>63</v>
      </c>
      <c r="AR2866" s="4" t="s">
        <v>63</v>
      </c>
      <c r="AS2866" s="4" t="s">
        <v>63</v>
      </c>
      <c r="AT2866" s="4" t="s">
        <v>63</v>
      </c>
      <c r="AU2866" s="4" t="s">
        <v>63</v>
      </c>
      <c r="AV2866" s="4" t="s">
        <v>63</v>
      </c>
      <c r="AW2866" s="4" t="s">
        <v>63</v>
      </c>
      <c r="AX2866" s="4" t="s">
        <v>63</v>
      </c>
      <c r="AY2866" s="4" t="s">
        <v>63</v>
      </c>
      <c r="AZ2866" s="4" t="s">
        <v>63</v>
      </c>
      <c r="BA2866" s="4" t="s">
        <v>63</v>
      </c>
      <c r="BB2866" s="4" t="s">
        <v>63</v>
      </c>
      <c r="BC2866" s="4" t="s">
        <v>63</v>
      </c>
      <c r="BD2866" s="4" t="s">
        <v>63</v>
      </c>
      <c r="BE2866" s="4" t="s">
        <v>63</v>
      </c>
      <c r="BF2866" s="4" t="s">
        <v>63</v>
      </c>
    </row>
    <row r="2867" spans="1:58">
      <c r="A2867" s="4" t="s">
        <v>58</v>
      </c>
      <c r="B2867" s="4" t="s">
        <v>23622</v>
      </c>
      <c r="C2867" s="4" t="s">
        <v>23623</v>
      </c>
      <c r="D2867" s="4" t="s">
        <v>763</v>
      </c>
      <c r="E2867" s="4" t="s">
        <v>63</v>
      </c>
      <c r="F2867" s="4">
        <v>1992</v>
      </c>
      <c r="G2867" s="4" t="s">
        <v>157</v>
      </c>
      <c r="H2867" s="4">
        <v>67</v>
      </c>
      <c r="I2867" s="4">
        <v>12</v>
      </c>
      <c r="J2867" s="4">
        <v>866</v>
      </c>
      <c r="K2867" s="4">
        <v>866</v>
      </c>
      <c r="L2867" s="4" t="s">
        <v>63</v>
      </c>
      <c r="M2867" s="4" t="s">
        <v>63</v>
      </c>
      <c r="N2867" s="4" t="s">
        <v>23624</v>
      </c>
      <c r="O2867" s="4" t="s">
        <v>63</v>
      </c>
      <c r="P2867" s="4"/>
      <c r="Q2867" s="4" t="s">
        <v>63</v>
      </c>
      <c r="R2867" s="4" t="s">
        <v>63</v>
      </c>
      <c r="S2867" s="4" t="s">
        <v>63</v>
      </c>
      <c r="T2867" s="4" t="s">
        <v>63</v>
      </c>
      <c r="U2867" s="4"/>
      <c r="V2867" s="4"/>
      <c r="W2867" s="4"/>
      <c r="X2867" s="4" t="s">
        <v>63</v>
      </c>
      <c r="Y2867" s="4" t="s">
        <v>858</v>
      </c>
      <c r="Z2867" s="4" t="s">
        <v>63</v>
      </c>
      <c r="AA2867" s="4" t="s">
        <v>23625</v>
      </c>
      <c r="AB2867" s="4" t="s">
        <v>23626</v>
      </c>
      <c r="AC2867" s="4" t="s">
        <v>67</v>
      </c>
      <c r="AD2867" s="4" t="s">
        <v>63</v>
      </c>
      <c r="AE2867" s="4" t="s">
        <v>63</v>
      </c>
      <c r="AF2867" s="4" t="s">
        <v>63</v>
      </c>
      <c r="AG2867" s="4" t="s">
        <v>63</v>
      </c>
      <c r="AH2867" s="4" t="s">
        <v>63</v>
      </c>
      <c r="AI2867" s="4" t="s">
        <v>23627</v>
      </c>
      <c r="AJ2867" s="4" t="s">
        <v>63</v>
      </c>
      <c r="AK2867" s="4" t="s">
        <v>63</v>
      </c>
      <c r="AL2867" s="4" t="s">
        <v>63</v>
      </c>
      <c r="AM2867" s="4" t="s">
        <v>23623</v>
      </c>
      <c r="AN2867" s="4" t="s">
        <v>63</v>
      </c>
      <c r="AO2867" s="4" t="s">
        <v>63</v>
      </c>
      <c r="AP2867" s="4" t="s">
        <v>63</v>
      </c>
      <c r="AQ2867" s="4" t="s">
        <v>63</v>
      </c>
      <c r="AR2867" s="4" t="s">
        <v>63</v>
      </c>
      <c r="AS2867" s="4" t="s">
        <v>63</v>
      </c>
      <c r="AT2867" s="4" t="s">
        <v>63</v>
      </c>
      <c r="AU2867" s="4" t="s">
        <v>63</v>
      </c>
      <c r="AV2867" s="4" t="s">
        <v>63</v>
      </c>
      <c r="AW2867" s="4" t="s">
        <v>63</v>
      </c>
      <c r="AX2867" s="4" t="s">
        <v>63</v>
      </c>
      <c r="AY2867" s="4" t="s">
        <v>63</v>
      </c>
      <c r="AZ2867" s="4" t="s">
        <v>63</v>
      </c>
      <c r="BA2867" s="4" t="s">
        <v>63</v>
      </c>
      <c r="BB2867" s="4" t="s">
        <v>63</v>
      </c>
      <c r="BC2867" s="4" t="s">
        <v>63</v>
      </c>
      <c r="BD2867" s="4" t="s">
        <v>63</v>
      </c>
      <c r="BE2867" s="4" t="s">
        <v>63</v>
      </c>
      <c r="BF2867" s="4" t="s">
        <v>63</v>
      </c>
    </row>
    <row r="2868" spans="1:58">
      <c r="A2868" s="4" t="s">
        <v>58</v>
      </c>
      <c r="B2868" s="4" t="s">
        <v>23628</v>
      </c>
      <c r="C2868" s="4" t="s">
        <v>23629</v>
      </c>
      <c r="D2868" s="4" t="s">
        <v>389</v>
      </c>
      <c r="E2868" s="4" t="s">
        <v>63</v>
      </c>
      <c r="F2868" s="4">
        <v>2009</v>
      </c>
      <c r="G2868" s="4" t="s">
        <v>63</v>
      </c>
      <c r="H2868" s="4">
        <v>30</v>
      </c>
      <c r="I2868" s="4">
        <v>2</v>
      </c>
      <c r="J2868" s="4">
        <v>212</v>
      </c>
      <c r="K2868" s="4">
        <v>212</v>
      </c>
      <c r="L2868" s="4" t="s">
        <v>63</v>
      </c>
      <c r="M2868" s="4" t="s">
        <v>63</v>
      </c>
      <c r="N2868" s="4" t="s">
        <v>23630</v>
      </c>
      <c r="O2868" s="4" t="s">
        <v>63</v>
      </c>
      <c r="P2868" s="4"/>
      <c r="Q2868" s="4" t="s">
        <v>63</v>
      </c>
      <c r="R2868" s="4" t="s">
        <v>63</v>
      </c>
      <c r="S2868" s="4" t="s">
        <v>63</v>
      </c>
      <c r="T2868" s="4" t="s">
        <v>63</v>
      </c>
      <c r="U2868" s="4"/>
      <c r="V2868" s="4"/>
      <c r="W2868" s="4"/>
      <c r="X2868" s="4" t="s">
        <v>63</v>
      </c>
      <c r="Y2868" s="4" t="s">
        <v>392</v>
      </c>
      <c r="Z2868" s="4" t="s">
        <v>63</v>
      </c>
      <c r="AA2868" s="4" t="s">
        <v>23631</v>
      </c>
      <c r="AB2868" s="4" t="s">
        <v>23632</v>
      </c>
      <c r="AC2868" s="4" t="s">
        <v>67</v>
      </c>
      <c r="AD2868" s="4" t="s">
        <v>63</v>
      </c>
      <c r="AE2868" s="4" t="s">
        <v>63</v>
      </c>
      <c r="AF2868" s="4" t="s">
        <v>63</v>
      </c>
      <c r="AG2868" s="4" t="s">
        <v>63</v>
      </c>
      <c r="AH2868" s="4" t="s">
        <v>63</v>
      </c>
      <c r="AI2868" s="4" t="s">
        <v>63</v>
      </c>
      <c r="AJ2868" s="4" t="s">
        <v>63</v>
      </c>
      <c r="AK2868" s="4" t="s">
        <v>63</v>
      </c>
      <c r="AL2868" s="4" t="s">
        <v>63</v>
      </c>
      <c r="AM2868" s="4" t="s">
        <v>23629</v>
      </c>
      <c r="AN2868" s="4" t="s">
        <v>63</v>
      </c>
      <c r="AO2868" s="4" t="s">
        <v>63</v>
      </c>
      <c r="AP2868" s="4" t="s">
        <v>63</v>
      </c>
      <c r="AQ2868" s="4" t="s">
        <v>63</v>
      </c>
      <c r="AR2868" s="4" t="s">
        <v>63</v>
      </c>
      <c r="AS2868" s="4" t="s">
        <v>63</v>
      </c>
      <c r="AT2868" s="4" t="s">
        <v>63</v>
      </c>
      <c r="AU2868" s="4" t="s">
        <v>63</v>
      </c>
      <c r="AV2868" s="4" t="s">
        <v>63</v>
      </c>
      <c r="AW2868" s="4" t="s">
        <v>63</v>
      </c>
      <c r="AX2868" s="4" t="s">
        <v>63</v>
      </c>
      <c r="AY2868" s="4" t="s">
        <v>63</v>
      </c>
      <c r="AZ2868" s="4" t="s">
        <v>63</v>
      </c>
      <c r="BA2868" s="4" t="s">
        <v>63</v>
      </c>
      <c r="BB2868" s="4" t="s">
        <v>63</v>
      </c>
      <c r="BC2868" s="4" t="s">
        <v>63</v>
      </c>
      <c r="BD2868" s="4" t="s">
        <v>63</v>
      </c>
      <c r="BE2868" s="4" t="s">
        <v>63</v>
      </c>
      <c r="BF2868" s="4" t="s">
        <v>63</v>
      </c>
    </row>
    <row r="2869" spans="1:58">
      <c r="A2869" s="4" t="s">
        <v>58</v>
      </c>
      <c r="B2869" s="4" t="s">
        <v>23633</v>
      </c>
      <c r="C2869" s="4" t="s">
        <v>23634</v>
      </c>
      <c r="D2869" s="4" t="s">
        <v>1668</v>
      </c>
      <c r="E2869" s="4" t="s">
        <v>1669</v>
      </c>
      <c r="F2869" s="4">
        <v>2013</v>
      </c>
      <c r="G2869" s="4" t="s">
        <v>63</v>
      </c>
      <c r="H2869" s="4">
        <v>35</v>
      </c>
      <c r="I2869" s="4">
        <v>1</v>
      </c>
      <c r="J2869" s="4">
        <v>53</v>
      </c>
      <c r="K2869" s="4">
        <v>57</v>
      </c>
      <c r="L2869" s="4" t="s">
        <v>23635</v>
      </c>
      <c r="M2869" s="4" t="s">
        <v>23636</v>
      </c>
      <c r="N2869" s="4" t="s">
        <v>23637</v>
      </c>
      <c r="O2869" s="4" t="s">
        <v>63</v>
      </c>
      <c r="P2869" s="4"/>
      <c r="Q2869" s="4" t="s">
        <v>63</v>
      </c>
      <c r="R2869" s="4" t="s">
        <v>63</v>
      </c>
      <c r="S2869" s="4" t="s">
        <v>63</v>
      </c>
      <c r="T2869" s="4" t="s">
        <v>63</v>
      </c>
      <c r="U2869" s="4"/>
      <c r="V2869" s="4"/>
      <c r="W2869" s="4"/>
      <c r="X2869" s="4" t="s">
        <v>63</v>
      </c>
      <c r="Y2869" s="4" t="s">
        <v>2884</v>
      </c>
      <c r="Z2869" s="4" t="s">
        <v>63</v>
      </c>
      <c r="AA2869" s="4" t="s">
        <v>23638</v>
      </c>
      <c r="AB2869" s="4" t="s">
        <v>23639</v>
      </c>
      <c r="AC2869" s="4" t="s">
        <v>67</v>
      </c>
      <c r="AD2869" s="4" t="s">
        <v>63</v>
      </c>
      <c r="AE2869" s="4" t="s">
        <v>63</v>
      </c>
      <c r="AF2869" s="4" t="s">
        <v>63</v>
      </c>
      <c r="AG2869" s="4" t="s">
        <v>63</v>
      </c>
      <c r="AH2869" s="4" t="s">
        <v>63</v>
      </c>
      <c r="AI2869" s="4" t="s">
        <v>23640</v>
      </c>
      <c r="AJ2869" s="4" t="s">
        <v>63</v>
      </c>
      <c r="AK2869" s="4" t="s">
        <v>63</v>
      </c>
      <c r="AL2869" s="4" t="s">
        <v>63</v>
      </c>
      <c r="AM2869" s="4" t="s">
        <v>23634</v>
      </c>
      <c r="AN2869" s="4" t="s">
        <v>63</v>
      </c>
      <c r="AO2869" s="4" t="s">
        <v>63</v>
      </c>
      <c r="AP2869" s="4" t="s">
        <v>63</v>
      </c>
      <c r="AQ2869" s="4" t="s">
        <v>63</v>
      </c>
      <c r="AR2869" s="4" t="s">
        <v>63</v>
      </c>
      <c r="AS2869" s="4" t="s">
        <v>63</v>
      </c>
      <c r="AT2869" s="4" t="s">
        <v>63</v>
      </c>
      <c r="AU2869" s="4" t="s">
        <v>63</v>
      </c>
      <c r="AV2869" s="4" t="s">
        <v>63</v>
      </c>
      <c r="AW2869" s="4" t="s">
        <v>63</v>
      </c>
      <c r="AX2869" s="4" t="s">
        <v>63</v>
      </c>
      <c r="AY2869" s="4" t="s">
        <v>63</v>
      </c>
      <c r="AZ2869" s="4" t="s">
        <v>63</v>
      </c>
      <c r="BA2869" s="4" t="s">
        <v>63</v>
      </c>
      <c r="BB2869" s="4" t="s">
        <v>63</v>
      </c>
      <c r="BC2869" s="4" t="s">
        <v>63</v>
      </c>
      <c r="BD2869" s="4" t="s">
        <v>63</v>
      </c>
      <c r="BE2869" s="4" t="s">
        <v>63</v>
      </c>
      <c r="BF2869" s="4" t="s">
        <v>63</v>
      </c>
    </row>
    <row r="2870" spans="1:58">
      <c r="A2870" s="4" t="s">
        <v>58</v>
      </c>
      <c r="B2870" s="4" t="s">
        <v>23641</v>
      </c>
      <c r="C2870" s="4" t="s">
        <v>23642</v>
      </c>
      <c r="D2870" s="4" t="s">
        <v>389</v>
      </c>
      <c r="E2870" s="4" t="s">
        <v>63</v>
      </c>
      <c r="F2870" s="4">
        <v>2012</v>
      </c>
      <c r="G2870" s="4" t="s">
        <v>63</v>
      </c>
      <c r="H2870" s="4">
        <v>33</v>
      </c>
      <c r="I2870" s="4">
        <v>2</v>
      </c>
      <c r="J2870" s="4">
        <v>216</v>
      </c>
      <c r="K2870" s="4">
        <v>216</v>
      </c>
      <c r="L2870" s="4" t="s">
        <v>63</v>
      </c>
      <c r="M2870" s="4" t="s">
        <v>63</v>
      </c>
      <c r="N2870" s="4" t="s">
        <v>23643</v>
      </c>
      <c r="O2870" s="4" t="s">
        <v>63</v>
      </c>
      <c r="P2870" s="4"/>
      <c r="Q2870" s="4" t="s">
        <v>63</v>
      </c>
      <c r="R2870" s="4" t="s">
        <v>63</v>
      </c>
      <c r="S2870" s="4" t="s">
        <v>63</v>
      </c>
      <c r="T2870" s="4" t="s">
        <v>63</v>
      </c>
      <c r="U2870" s="4"/>
      <c r="V2870" s="4"/>
      <c r="W2870" s="4"/>
      <c r="X2870" s="4" t="s">
        <v>63</v>
      </c>
      <c r="Y2870" s="4" t="s">
        <v>392</v>
      </c>
      <c r="Z2870" s="4" t="s">
        <v>63</v>
      </c>
      <c r="AA2870" s="4" t="s">
        <v>63</v>
      </c>
      <c r="AB2870" s="4" t="s">
        <v>23644</v>
      </c>
      <c r="AC2870" s="4" t="s">
        <v>67</v>
      </c>
      <c r="AD2870" s="4" t="s">
        <v>63</v>
      </c>
      <c r="AE2870" s="4" t="s">
        <v>63</v>
      </c>
      <c r="AF2870" s="4" t="s">
        <v>63</v>
      </c>
      <c r="AG2870" s="4" t="s">
        <v>63</v>
      </c>
      <c r="AH2870" s="4" t="s">
        <v>63</v>
      </c>
      <c r="AI2870" s="4" t="s">
        <v>63</v>
      </c>
      <c r="AJ2870" s="4" t="s">
        <v>63</v>
      </c>
      <c r="AK2870" s="4" t="s">
        <v>63</v>
      </c>
      <c r="AL2870" s="4" t="s">
        <v>63</v>
      </c>
      <c r="AM2870" s="4" t="s">
        <v>23642</v>
      </c>
      <c r="AN2870" s="4" t="s">
        <v>63</v>
      </c>
      <c r="AO2870" s="4" t="s">
        <v>63</v>
      </c>
      <c r="AP2870" s="4" t="s">
        <v>63</v>
      </c>
      <c r="AQ2870" s="4" t="s">
        <v>63</v>
      </c>
      <c r="AR2870" s="4" t="s">
        <v>63</v>
      </c>
      <c r="AS2870" s="4" t="s">
        <v>63</v>
      </c>
      <c r="AT2870" s="4" t="s">
        <v>63</v>
      </c>
      <c r="AU2870" s="4" t="s">
        <v>63</v>
      </c>
      <c r="AV2870" s="4" t="s">
        <v>63</v>
      </c>
      <c r="AW2870" s="4" t="s">
        <v>63</v>
      </c>
      <c r="AX2870" s="4" t="s">
        <v>63</v>
      </c>
      <c r="AY2870" s="4" t="s">
        <v>63</v>
      </c>
      <c r="AZ2870" s="4" t="s">
        <v>63</v>
      </c>
      <c r="BA2870" s="4" t="s">
        <v>63</v>
      </c>
      <c r="BB2870" s="4" t="s">
        <v>63</v>
      </c>
      <c r="BC2870" s="4" t="s">
        <v>63</v>
      </c>
      <c r="BD2870" s="4" t="s">
        <v>63</v>
      </c>
      <c r="BE2870" s="4" t="s">
        <v>63</v>
      </c>
      <c r="BF2870" s="4" t="s">
        <v>63</v>
      </c>
    </row>
    <row r="2871" spans="1:58">
      <c r="A2871" s="4" t="s">
        <v>58</v>
      </c>
      <c r="B2871" s="4" t="s">
        <v>23645</v>
      </c>
      <c r="C2871" s="4" t="s">
        <v>23646</v>
      </c>
      <c r="D2871" s="4" t="s">
        <v>8829</v>
      </c>
      <c r="E2871" s="4" t="s">
        <v>8830</v>
      </c>
      <c r="F2871" s="4">
        <v>1980</v>
      </c>
      <c r="G2871" s="4" t="s">
        <v>63</v>
      </c>
      <c r="H2871" s="4">
        <v>71</v>
      </c>
      <c r="I2871" s="4" t="s">
        <v>63</v>
      </c>
      <c r="J2871" s="4">
        <v>465</v>
      </c>
      <c r="K2871" s="4">
        <v>467</v>
      </c>
      <c r="L2871" s="4" t="s">
        <v>63</v>
      </c>
      <c r="M2871" s="4" t="s">
        <v>63</v>
      </c>
      <c r="N2871" s="4" t="s">
        <v>23647</v>
      </c>
      <c r="O2871" s="4" t="s">
        <v>63</v>
      </c>
      <c r="P2871" s="4"/>
      <c r="Q2871" s="4" t="s">
        <v>63</v>
      </c>
      <c r="R2871" s="4" t="s">
        <v>63</v>
      </c>
      <c r="S2871" s="4" t="s">
        <v>63</v>
      </c>
      <c r="T2871" s="4" t="s">
        <v>63</v>
      </c>
      <c r="U2871" s="4"/>
      <c r="V2871" s="4"/>
      <c r="W2871" s="4"/>
      <c r="X2871" s="4" t="s">
        <v>63</v>
      </c>
      <c r="Y2871" s="4" t="s">
        <v>8834</v>
      </c>
      <c r="Z2871" s="4" t="s">
        <v>63</v>
      </c>
      <c r="AA2871" s="4" t="s">
        <v>23648</v>
      </c>
      <c r="AB2871" s="4" t="s">
        <v>23649</v>
      </c>
      <c r="AC2871" s="4" t="s">
        <v>67</v>
      </c>
      <c r="AD2871" s="4" t="s">
        <v>63</v>
      </c>
      <c r="AE2871" s="4" t="s">
        <v>63</v>
      </c>
      <c r="AF2871" s="4" t="s">
        <v>63</v>
      </c>
      <c r="AG2871" s="4" t="s">
        <v>63</v>
      </c>
      <c r="AH2871" s="4" t="s">
        <v>63</v>
      </c>
      <c r="AI2871" s="4" t="s">
        <v>63</v>
      </c>
      <c r="AJ2871" s="4" t="s">
        <v>63</v>
      </c>
      <c r="AK2871" s="4" t="s">
        <v>63</v>
      </c>
      <c r="AL2871" s="4" t="s">
        <v>63</v>
      </c>
      <c r="AM2871" s="4" t="s">
        <v>23646</v>
      </c>
      <c r="AN2871" s="4" t="s">
        <v>63</v>
      </c>
      <c r="AO2871" s="4" t="s">
        <v>63</v>
      </c>
      <c r="AP2871" s="4" t="s">
        <v>63</v>
      </c>
      <c r="AQ2871" s="4" t="s">
        <v>63</v>
      </c>
      <c r="AR2871" s="4" t="s">
        <v>63</v>
      </c>
      <c r="AS2871" s="4" t="s">
        <v>63</v>
      </c>
      <c r="AT2871" s="4" t="s">
        <v>63</v>
      </c>
      <c r="AU2871" s="4" t="s">
        <v>63</v>
      </c>
      <c r="AV2871" s="4" t="s">
        <v>63</v>
      </c>
      <c r="AW2871" s="4" t="s">
        <v>63</v>
      </c>
      <c r="AX2871" s="4" t="s">
        <v>63</v>
      </c>
      <c r="AY2871" s="4" t="s">
        <v>63</v>
      </c>
      <c r="AZ2871" s="4" t="s">
        <v>63</v>
      </c>
      <c r="BA2871" s="4" t="s">
        <v>63</v>
      </c>
      <c r="BB2871" s="4" t="s">
        <v>63</v>
      </c>
      <c r="BC2871" s="4" t="s">
        <v>63</v>
      </c>
      <c r="BD2871" s="4" t="s">
        <v>63</v>
      </c>
      <c r="BE2871" s="4" t="s">
        <v>63</v>
      </c>
      <c r="BF2871" s="4" t="s">
        <v>63</v>
      </c>
    </row>
    <row r="2872" spans="1:58">
      <c r="A2872" s="4" t="s">
        <v>58</v>
      </c>
      <c r="B2872" s="4" t="s">
        <v>2644</v>
      </c>
      <c r="C2872" s="4" t="s">
        <v>23650</v>
      </c>
      <c r="D2872" s="4" t="s">
        <v>2646</v>
      </c>
      <c r="E2872" s="4" t="s">
        <v>2647</v>
      </c>
      <c r="F2872" s="4">
        <v>1992</v>
      </c>
      <c r="G2872" s="4" t="s">
        <v>157</v>
      </c>
      <c r="H2872" s="4">
        <v>85</v>
      </c>
      <c r="I2872" s="4">
        <v>12</v>
      </c>
      <c r="J2872" s="4">
        <v>774</v>
      </c>
      <c r="K2872" s="4">
        <v>774</v>
      </c>
      <c r="L2872" s="4" t="s">
        <v>63</v>
      </c>
      <c r="M2872" s="4" t="s">
        <v>63</v>
      </c>
      <c r="N2872" s="4" t="s">
        <v>23651</v>
      </c>
      <c r="O2872" s="4" t="s">
        <v>63</v>
      </c>
      <c r="P2872" s="4"/>
      <c r="Q2872" s="4" t="s">
        <v>63</v>
      </c>
      <c r="R2872" s="4" t="s">
        <v>63</v>
      </c>
      <c r="S2872" s="4" t="s">
        <v>63</v>
      </c>
      <c r="T2872" s="4" t="s">
        <v>63</v>
      </c>
      <c r="U2872" s="4"/>
      <c r="V2872" s="4"/>
      <c r="W2872" s="4"/>
      <c r="X2872" s="4" t="s">
        <v>63</v>
      </c>
      <c r="Y2872" s="4" t="s">
        <v>2649</v>
      </c>
      <c r="Z2872" s="4" t="s">
        <v>63</v>
      </c>
      <c r="AA2872" s="4" t="s">
        <v>23652</v>
      </c>
      <c r="AB2872" s="4" t="s">
        <v>23653</v>
      </c>
      <c r="AC2872" s="4" t="s">
        <v>67</v>
      </c>
      <c r="AD2872" s="4" t="s">
        <v>63</v>
      </c>
      <c r="AE2872" s="4" t="s">
        <v>63</v>
      </c>
      <c r="AF2872" s="4" t="s">
        <v>63</v>
      </c>
      <c r="AG2872" s="4" t="s">
        <v>63</v>
      </c>
      <c r="AH2872" s="4" t="s">
        <v>63</v>
      </c>
      <c r="AI2872" s="4" t="s">
        <v>63</v>
      </c>
      <c r="AJ2872" s="4" t="s">
        <v>63</v>
      </c>
      <c r="AK2872" s="4" t="s">
        <v>63</v>
      </c>
      <c r="AL2872" s="4" t="s">
        <v>63</v>
      </c>
      <c r="AM2872" s="4" t="s">
        <v>23650</v>
      </c>
      <c r="AN2872" s="4" t="s">
        <v>63</v>
      </c>
      <c r="AO2872" s="4" t="s">
        <v>63</v>
      </c>
      <c r="AP2872" s="4" t="s">
        <v>63</v>
      </c>
      <c r="AQ2872" s="4" t="s">
        <v>63</v>
      </c>
      <c r="AR2872" s="4" t="s">
        <v>63</v>
      </c>
      <c r="AS2872" s="4" t="s">
        <v>63</v>
      </c>
      <c r="AT2872" s="4" t="s">
        <v>63</v>
      </c>
      <c r="AU2872" s="4" t="s">
        <v>63</v>
      </c>
      <c r="AV2872" s="4" t="s">
        <v>63</v>
      </c>
      <c r="AW2872" s="4" t="s">
        <v>63</v>
      </c>
      <c r="AX2872" s="4" t="s">
        <v>63</v>
      </c>
      <c r="AY2872" s="4" t="s">
        <v>63</v>
      </c>
      <c r="AZ2872" s="4" t="s">
        <v>63</v>
      </c>
      <c r="BA2872" s="4" t="s">
        <v>63</v>
      </c>
      <c r="BB2872" s="4" t="s">
        <v>63</v>
      </c>
      <c r="BC2872" s="4" t="s">
        <v>63</v>
      </c>
      <c r="BD2872" s="4" t="s">
        <v>63</v>
      </c>
      <c r="BE2872" s="4" t="s">
        <v>63</v>
      </c>
      <c r="BF2872" s="4" t="s">
        <v>63</v>
      </c>
    </row>
    <row r="2873" spans="1:58">
      <c r="A2873" s="4" t="s">
        <v>58</v>
      </c>
      <c r="B2873" s="4" t="s">
        <v>23654</v>
      </c>
      <c r="C2873" s="4" t="s">
        <v>23655</v>
      </c>
      <c r="D2873" s="4" t="s">
        <v>23656</v>
      </c>
      <c r="E2873" s="4" t="s">
        <v>23657</v>
      </c>
      <c r="F2873" s="4">
        <v>2017</v>
      </c>
      <c r="G2873" s="4" t="s">
        <v>138</v>
      </c>
      <c r="H2873" s="4">
        <v>17</v>
      </c>
      <c r="I2873" s="4" t="s">
        <v>63</v>
      </c>
      <c r="J2873" s="4" t="s">
        <v>63</v>
      </c>
      <c r="K2873" s="4" t="s">
        <v>63</v>
      </c>
      <c r="L2873" s="4" t="s">
        <v>23658</v>
      </c>
      <c r="M2873" s="4" t="s">
        <v>23659</v>
      </c>
      <c r="N2873" s="4" t="s">
        <v>23660</v>
      </c>
      <c r="O2873" s="4" t="s">
        <v>63</v>
      </c>
      <c r="P2873" s="4"/>
      <c r="Q2873" s="4" t="s">
        <v>63</v>
      </c>
      <c r="R2873" s="4" t="s">
        <v>63</v>
      </c>
      <c r="S2873" s="4" t="s">
        <v>63</v>
      </c>
      <c r="T2873" s="4" t="s">
        <v>63</v>
      </c>
      <c r="U2873" s="4"/>
      <c r="V2873" s="4"/>
      <c r="W2873" s="4"/>
      <c r="X2873" s="4" t="s">
        <v>63</v>
      </c>
      <c r="Y2873" s="4" t="s">
        <v>23661</v>
      </c>
      <c r="Z2873" s="4" t="s">
        <v>63</v>
      </c>
      <c r="AA2873" s="4" t="s">
        <v>23662</v>
      </c>
      <c r="AB2873" s="4" t="s">
        <v>23663</v>
      </c>
      <c r="AC2873" s="4" t="s">
        <v>67</v>
      </c>
      <c r="AD2873" s="4" t="s">
        <v>63</v>
      </c>
      <c r="AE2873" s="4" t="s">
        <v>63</v>
      </c>
      <c r="AF2873" s="4" t="s">
        <v>63</v>
      </c>
      <c r="AG2873" s="4" t="s">
        <v>63</v>
      </c>
      <c r="AH2873" s="4" t="s">
        <v>63</v>
      </c>
      <c r="AI2873" s="4" t="s">
        <v>23664</v>
      </c>
      <c r="AJ2873" s="4" t="s">
        <v>63</v>
      </c>
      <c r="AK2873" s="4" t="s">
        <v>63</v>
      </c>
      <c r="AL2873" s="4" t="s">
        <v>63</v>
      </c>
      <c r="AM2873" s="4" t="s">
        <v>23655</v>
      </c>
      <c r="AN2873" s="4" t="s">
        <v>63</v>
      </c>
      <c r="AO2873" s="4" t="s">
        <v>63</v>
      </c>
      <c r="AP2873" s="4" t="s">
        <v>63</v>
      </c>
      <c r="AQ2873" s="4" t="s">
        <v>63</v>
      </c>
      <c r="AR2873" s="4" t="s">
        <v>63</v>
      </c>
      <c r="AS2873" s="4" t="s">
        <v>63</v>
      </c>
      <c r="AT2873" s="4" t="s">
        <v>63</v>
      </c>
      <c r="AU2873" s="4" t="s">
        <v>63</v>
      </c>
      <c r="AV2873" s="4" t="s">
        <v>63</v>
      </c>
      <c r="AW2873" s="4" t="s">
        <v>63</v>
      </c>
      <c r="AX2873" s="4" t="s">
        <v>63</v>
      </c>
      <c r="AY2873" s="4" t="s">
        <v>63</v>
      </c>
      <c r="AZ2873" s="4" t="s">
        <v>63</v>
      </c>
      <c r="BA2873" s="4" t="s">
        <v>63</v>
      </c>
      <c r="BB2873" s="4" t="s">
        <v>63</v>
      </c>
      <c r="BC2873" s="4" t="s">
        <v>63</v>
      </c>
      <c r="BD2873" s="4" t="s">
        <v>63</v>
      </c>
      <c r="BE2873" s="4" t="s">
        <v>63</v>
      </c>
      <c r="BF2873" s="4" t="s">
        <v>63</v>
      </c>
    </row>
    <row r="2874" spans="1:58">
      <c r="A2874" s="4" t="s">
        <v>58</v>
      </c>
      <c r="B2874" s="4" t="s">
        <v>23665</v>
      </c>
      <c r="C2874" s="4" t="s">
        <v>23666</v>
      </c>
      <c r="D2874" s="4" t="s">
        <v>23592</v>
      </c>
      <c r="E2874" s="4" t="s">
        <v>63</v>
      </c>
      <c r="F2874" s="4">
        <v>2015</v>
      </c>
      <c r="G2874" s="4" t="s">
        <v>138</v>
      </c>
      <c r="H2874" s="4">
        <v>10</v>
      </c>
      <c r="I2874" s="4">
        <v>10</v>
      </c>
      <c r="J2874" s="4" t="s">
        <v>63</v>
      </c>
      <c r="K2874" s="4" t="s">
        <v>63</v>
      </c>
      <c r="L2874" s="4" t="s">
        <v>23667</v>
      </c>
      <c r="M2874" s="4" t="s">
        <v>23668</v>
      </c>
      <c r="N2874" s="4" t="s">
        <v>23669</v>
      </c>
      <c r="O2874" s="4" t="s">
        <v>63</v>
      </c>
      <c r="P2874" s="4"/>
      <c r="Q2874" s="4" t="s">
        <v>63</v>
      </c>
      <c r="R2874" s="4" t="s">
        <v>63</v>
      </c>
      <c r="S2874" s="4" t="s">
        <v>63</v>
      </c>
      <c r="T2874" s="4" t="s">
        <v>63</v>
      </c>
      <c r="U2874" s="4"/>
      <c r="V2874" s="4"/>
      <c r="W2874" s="4"/>
      <c r="X2874" s="4" t="s">
        <v>63</v>
      </c>
      <c r="Y2874" s="4" t="s">
        <v>975</v>
      </c>
      <c r="Z2874" s="4" t="s">
        <v>63</v>
      </c>
      <c r="AA2874" s="4" t="s">
        <v>23670</v>
      </c>
      <c r="AB2874" s="4" t="s">
        <v>23671</v>
      </c>
      <c r="AC2874" s="4" t="s">
        <v>67</v>
      </c>
      <c r="AD2874" s="4" t="s">
        <v>63</v>
      </c>
      <c r="AE2874" s="4" t="s">
        <v>63</v>
      </c>
      <c r="AF2874" s="4" t="s">
        <v>63</v>
      </c>
      <c r="AG2874" s="4" t="s">
        <v>63</v>
      </c>
      <c r="AH2874" s="4" t="s">
        <v>63</v>
      </c>
      <c r="AI2874" s="4" t="s">
        <v>23672</v>
      </c>
      <c r="AJ2874" s="4" t="s">
        <v>63</v>
      </c>
      <c r="AK2874" s="4" t="s">
        <v>63</v>
      </c>
      <c r="AL2874" s="4" t="s">
        <v>63</v>
      </c>
      <c r="AM2874" s="4" t="s">
        <v>23666</v>
      </c>
      <c r="AN2874" s="4" t="s">
        <v>63</v>
      </c>
      <c r="AO2874" s="4" t="s">
        <v>63</v>
      </c>
      <c r="AP2874" s="4" t="s">
        <v>63</v>
      </c>
      <c r="AQ2874" s="4" t="s">
        <v>63</v>
      </c>
      <c r="AR2874" s="4" t="s">
        <v>63</v>
      </c>
      <c r="AS2874" s="4" t="s">
        <v>63</v>
      </c>
      <c r="AT2874" s="4" t="s">
        <v>63</v>
      </c>
      <c r="AU2874" s="4" t="s">
        <v>63</v>
      </c>
      <c r="AV2874" s="4" t="s">
        <v>63</v>
      </c>
      <c r="AW2874" s="4" t="s">
        <v>63</v>
      </c>
      <c r="AX2874" s="4" t="s">
        <v>63</v>
      </c>
      <c r="AY2874" s="4" t="s">
        <v>63</v>
      </c>
      <c r="AZ2874" s="4" t="s">
        <v>63</v>
      </c>
      <c r="BA2874" s="4" t="s">
        <v>63</v>
      </c>
      <c r="BB2874" s="4" t="s">
        <v>63</v>
      </c>
      <c r="BC2874" s="4" t="s">
        <v>63</v>
      </c>
      <c r="BD2874" s="4" t="s">
        <v>63</v>
      </c>
      <c r="BE2874" s="4" t="s">
        <v>63</v>
      </c>
      <c r="BF2874" s="4" t="s">
        <v>63</v>
      </c>
    </row>
    <row r="2875" spans="1:58">
      <c r="A2875" s="4" t="s">
        <v>58</v>
      </c>
      <c r="B2875" s="4" t="s">
        <v>23673</v>
      </c>
      <c r="C2875" s="4" t="s">
        <v>23674</v>
      </c>
      <c r="D2875" s="4" t="s">
        <v>325</v>
      </c>
      <c r="E2875" s="4" t="s">
        <v>63</v>
      </c>
      <c r="F2875" s="4">
        <v>2013</v>
      </c>
      <c r="G2875" s="4" t="s">
        <v>1114</v>
      </c>
      <c r="H2875" s="4">
        <v>37</v>
      </c>
      <c r="I2875" s="4">
        <v>3</v>
      </c>
      <c r="J2875" s="4">
        <v>191</v>
      </c>
      <c r="K2875" s="4">
        <v>195</v>
      </c>
      <c r="L2875" s="4" t="s">
        <v>23675</v>
      </c>
      <c r="M2875" s="4" t="s">
        <v>23676</v>
      </c>
      <c r="N2875" s="4" t="s">
        <v>23677</v>
      </c>
      <c r="O2875" s="4" t="s">
        <v>63</v>
      </c>
      <c r="P2875" s="4"/>
      <c r="Q2875" s="4" t="s">
        <v>63</v>
      </c>
      <c r="R2875" s="4" t="s">
        <v>63</v>
      </c>
      <c r="S2875" s="4" t="s">
        <v>63</v>
      </c>
      <c r="T2875" s="4" t="s">
        <v>63</v>
      </c>
      <c r="U2875" s="4"/>
      <c r="V2875" s="4"/>
      <c r="W2875" s="4"/>
      <c r="X2875" s="4" t="s">
        <v>63</v>
      </c>
      <c r="Y2875" s="4" t="s">
        <v>866</v>
      </c>
      <c r="Z2875" s="4" t="s">
        <v>63</v>
      </c>
      <c r="AA2875" s="4" t="s">
        <v>23678</v>
      </c>
      <c r="AB2875" s="4" t="s">
        <v>23679</v>
      </c>
      <c r="AC2875" s="4" t="s">
        <v>67</v>
      </c>
      <c r="AD2875" s="4" t="s">
        <v>63</v>
      </c>
      <c r="AE2875" s="4" t="s">
        <v>63</v>
      </c>
      <c r="AF2875" s="4" t="s">
        <v>63</v>
      </c>
      <c r="AG2875" s="4" t="s">
        <v>63</v>
      </c>
      <c r="AH2875" s="4" t="s">
        <v>63</v>
      </c>
      <c r="AI2875" s="4" t="s">
        <v>23680</v>
      </c>
      <c r="AJ2875" s="4" t="s">
        <v>63</v>
      </c>
      <c r="AK2875" s="4" t="s">
        <v>63</v>
      </c>
      <c r="AL2875" s="4" t="s">
        <v>63</v>
      </c>
      <c r="AM2875" s="4" t="s">
        <v>23674</v>
      </c>
      <c r="AN2875" s="4" t="s">
        <v>63</v>
      </c>
      <c r="AO2875" s="4" t="s">
        <v>63</v>
      </c>
      <c r="AP2875" s="4" t="s">
        <v>63</v>
      </c>
      <c r="AQ2875" s="4" t="s">
        <v>63</v>
      </c>
      <c r="AR2875" s="4" t="s">
        <v>63</v>
      </c>
      <c r="AS2875" s="4" t="s">
        <v>63</v>
      </c>
      <c r="AT2875" s="4" t="s">
        <v>63</v>
      </c>
      <c r="AU2875" s="4" t="s">
        <v>63</v>
      </c>
      <c r="AV2875" s="4" t="s">
        <v>63</v>
      </c>
      <c r="AW2875" s="4" t="s">
        <v>63</v>
      </c>
      <c r="AX2875" s="4" t="s">
        <v>63</v>
      </c>
      <c r="AY2875" s="4" t="s">
        <v>63</v>
      </c>
      <c r="AZ2875" s="4" t="s">
        <v>63</v>
      </c>
      <c r="BA2875" s="4" t="s">
        <v>63</v>
      </c>
      <c r="BB2875" s="4" t="s">
        <v>63</v>
      </c>
      <c r="BC2875" s="4" t="s">
        <v>63</v>
      </c>
      <c r="BD2875" s="4" t="s">
        <v>63</v>
      </c>
      <c r="BE2875" s="4" t="s">
        <v>63</v>
      </c>
      <c r="BF2875" s="4" t="s">
        <v>63</v>
      </c>
    </row>
    <row r="2876" spans="1:58">
      <c r="A2876" s="4" t="s">
        <v>58</v>
      </c>
      <c r="B2876" s="4" t="s">
        <v>23681</v>
      </c>
      <c r="C2876" s="4" t="s">
        <v>23682</v>
      </c>
      <c r="D2876" s="4" t="s">
        <v>763</v>
      </c>
      <c r="E2876" s="4" t="s">
        <v>63</v>
      </c>
      <c r="F2876" s="4">
        <v>2002</v>
      </c>
      <c r="G2876" s="4" t="s">
        <v>274</v>
      </c>
      <c r="H2876" s="4">
        <v>77</v>
      </c>
      <c r="I2876" s="4">
        <v>3</v>
      </c>
      <c r="J2876" s="4">
        <v>257</v>
      </c>
      <c r="K2876" s="4">
        <v>262</v>
      </c>
      <c r="L2876" s="4" t="s">
        <v>23683</v>
      </c>
      <c r="M2876" s="4" t="s">
        <v>23684</v>
      </c>
      <c r="N2876" s="4" t="s">
        <v>23685</v>
      </c>
      <c r="O2876" s="4" t="s">
        <v>63</v>
      </c>
      <c r="P2876" s="4"/>
      <c r="Q2876" s="4" t="s">
        <v>63</v>
      </c>
      <c r="R2876" s="4" t="s">
        <v>63</v>
      </c>
      <c r="S2876" s="4" t="s">
        <v>63</v>
      </c>
      <c r="T2876" s="4" t="s">
        <v>63</v>
      </c>
      <c r="U2876" s="4"/>
      <c r="V2876" s="4"/>
      <c r="W2876" s="4"/>
      <c r="X2876" s="4" t="s">
        <v>63</v>
      </c>
      <c r="Y2876" s="4" t="s">
        <v>858</v>
      </c>
      <c r="Z2876" s="4" t="s">
        <v>63</v>
      </c>
      <c r="AA2876" s="4" t="s">
        <v>23686</v>
      </c>
      <c r="AB2876" s="4" t="s">
        <v>23687</v>
      </c>
      <c r="AC2876" s="4" t="s">
        <v>67</v>
      </c>
      <c r="AD2876" s="4" t="s">
        <v>63</v>
      </c>
      <c r="AE2876" s="4" t="s">
        <v>63</v>
      </c>
      <c r="AF2876" s="4" t="s">
        <v>63</v>
      </c>
      <c r="AG2876" s="4" t="s">
        <v>63</v>
      </c>
      <c r="AH2876" s="4" t="s">
        <v>63</v>
      </c>
      <c r="AI2876" s="4" t="s">
        <v>23688</v>
      </c>
      <c r="AJ2876" s="4" t="s">
        <v>63</v>
      </c>
      <c r="AK2876" s="4" t="s">
        <v>63</v>
      </c>
      <c r="AL2876" s="4" t="s">
        <v>63</v>
      </c>
      <c r="AM2876" s="4" t="s">
        <v>23682</v>
      </c>
      <c r="AN2876" s="4" t="s">
        <v>63</v>
      </c>
      <c r="AO2876" s="4" t="s">
        <v>63</v>
      </c>
      <c r="AP2876" s="4" t="s">
        <v>63</v>
      </c>
      <c r="AQ2876" s="4" t="s">
        <v>63</v>
      </c>
      <c r="AR2876" s="4" t="s">
        <v>63</v>
      </c>
      <c r="AS2876" s="4" t="s">
        <v>63</v>
      </c>
      <c r="AT2876" s="4" t="s">
        <v>63</v>
      </c>
      <c r="AU2876" s="4" t="s">
        <v>63</v>
      </c>
      <c r="AV2876" s="4" t="s">
        <v>63</v>
      </c>
      <c r="AW2876" s="4" t="s">
        <v>63</v>
      </c>
      <c r="AX2876" s="4" t="s">
        <v>63</v>
      </c>
      <c r="AY2876" s="4" t="s">
        <v>63</v>
      </c>
      <c r="AZ2876" s="4" t="s">
        <v>63</v>
      </c>
      <c r="BA2876" s="4" t="s">
        <v>63</v>
      </c>
      <c r="BB2876" s="4" t="s">
        <v>63</v>
      </c>
      <c r="BC2876" s="4" t="s">
        <v>63</v>
      </c>
      <c r="BD2876" s="4" t="s">
        <v>63</v>
      </c>
      <c r="BE2876" s="4" t="s">
        <v>63</v>
      </c>
      <c r="BF2876" s="4" t="s">
        <v>63</v>
      </c>
    </row>
    <row r="2877" spans="1:58">
      <c r="A2877" s="4" t="s">
        <v>58</v>
      </c>
      <c r="B2877" s="4" t="s">
        <v>3042</v>
      </c>
      <c r="C2877" s="4" t="s">
        <v>23689</v>
      </c>
      <c r="D2877" s="4" t="s">
        <v>1184</v>
      </c>
      <c r="E2877" s="4" t="s">
        <v>1185</v>
      </c>
      <c r="F2877" s="4">
        <v>1982</v>
      </c>
      <c r="G2877" s="4" t="s">
        <v>63</v>
      </c>
      <c r="H2877" s="4">
        <v>57</v>
      </c>
      <c r="I2877" s="4">
        <v>5</v>
      </c>
      <c r="J2877" s="4">
        <v>409</v>
      </c>
      <c r="K2877" s="4">
        <v>411</v>
      </c>
      <c r="L2877" s="4" t="s">
        <v>63</v>
      </c>
      <c r="M2877" s="4" t="s">
        <v>63</v>
      </c>
      <c r="N2877" s="4" t="s">
        <v>23690</v>
      </c>
      <c r="O2877" s="4" t="s">
        <v>63</v>
      </c>
      <c r="P2877" s="4"/>
      <c r="Q2877" s="4" t="s">
        <v>63</v>
      </c>
      <c r="R2877" s="4" t="s">
        <v>63</v>
      </c>
      <c r="S2877" s="4" t="s">
        <v>63</v>
      </c>
      <c r="T2877" s="4" t="s">
        <v>63</v>
      </c>
      <c r="U2877" s="4"/>
      <c r="V2877" s="4"/>
      <c r="W2877" s="4"/>
      <c r="X2877" s="4" t="s">
        <v>63</v>
      </c>
      <c r="Y2877" s="4" t="s">
        <v>1188</v>
      </c>
      <c r="Z2877" s="4" t="s">
        <v>63</v>
      </c>
      <c r="AA2877" s="4" t="s">
        <v>23691</v>
      </c>
      <c r="AB2877" s="4" t="s">
        <v>23692</v>
      </c>
      <c r="AC2877" s="4" t="s">
        <v>67</v>
      </c>
      <c r="AD2877" s="4" t="s">
        <v>63</v>
      </c>
      <c r="AE2877" s="4" t="s">
        <v>63</v>
      </c>
      <c r="AF2877" s="4" t="s">
        <v>63</v>
      </c>
      <c r="AG2877" s="4" t="s">
        <v>63</v>
      </c>
      <c r="AH2877" s="4" t="s">
        <v>63</v>
      </c>
      <c r="AI2877" s="4" t="s">
        <v>63</v>
      </c>
      <c r="AJ2877" s="4" t="s">
        <v>63</v>
      </c>
      <c r="AK2877" s="4" t="s">
        <v>63</v>
      </c>
      <c r="AL2877" s="4" t="s">
        <v>63</v>
      </c>
      <c r="AM2877" s="4" t="s">
        <v>23689</v>
      </c>
      <c r="AN2877" s="4" t="s">
        <v>63</v>
      </c>
      <c r="AO2877" s="4" t="s">
        <v>63</v>
      </c>
      <c r="AP2877" s="4" t="s">
        <v>63</v>
      </c>
      <c r="AQ2877" s="4" t="s">
        <v>63</v>
      </c>
      <c r="AR2877" s="4" t="s">
        <v>63</v>
      </c>
      <c r="AS2877" s="4" t="s">
        <v>63</v>
      </c>
      <c r="AT2877" s="4" t="s">
        <v>63</v>
      </c>
      <c r="AU2877" s="4" t="s">
        <v>63</v>
      </c>
      <c r="AV2877" s="4" t="s">
        <v>63</v>
      </c>
      <c r="AW2877" s="4" t="s">
        <v>63</v>
      </c>
      <c r="AX2877" s="4" t="s">
        <v>63</v>
      </c>
      <c r="AY2877" s="4" t="s">
        <v>63</v>
      </c>
      <c r="AZ2877" s="4" t="s">
        <v>63</v>
      </c>
      <c r="BA2877" s="4" t="s">
        <v>63</v>
      </c>
      <c r="BB2877" s="4" t="s">
        <v>63</v>
      </c>
      <c r="BC2877" s="4" t="s">
        <v>63</v>
      </c>
      <c r="BD2877" s="4" t="s">
        <v>63</v>
      </c>
      <c r="BE2877" s="4" t="s">
        <v>63</v>
      </c>
      <c r="BF2877" s="4" t="s">
        <v>63</v>
      </c>
    </row>
    <row r="2878" spans="1:58">
      <c r="A2878" s="4" t="s">
        <v>58</v>
      </c>
      <c r="B2878" s="4" t="s">
        <v>3042</v>
      </c>
      <c r="C2878" s="4" t="s">
        <v>23693</v>
      </c>
      <c r="D2878" s="4" t="s">
        <v>2343</v>
      </c>
      <c r="E2878" s="4" t="s">
        <v>2344</v>
      </c>
      <c r="F2878" s="4">
        <v>1982</v>
      </c>
      <c r="G2878" s="4" t="s">
        <v>63</v>
      </c>
      <c r="H2878" s="4">
        <v>15</v>
      </c>
      <c r="I2878" s="4">
        <v>1</v>
      </c>
      <c r="J2878" s="4">
        <v>189</v>
      </c>
      <c r="K2878" s="4">
        <v>190</v>
      </c>
      <c r="L2878" s="4" t="s">
        <v>63</v>
      </c>
      <c r="M2878" s="4" t="s">
        <v>63</v>
      </c>
      <c r="N2878" s="4" t="s">
        <v>23694</v>
      </c>
      <c r="O2878" s="4" t="s">
        <v>63</v>
      </c>
      <c r="P2878" s="4"/>
      <c r="Q2878" s="4" t="s">
        <v>63</v>
      </c>
      <c r="R2878" s="4" t="s">
        <v>63</v>
      </c>
      <c r="S2878" s="4" t="s">
        <v>63</v>
      </c>
      <c r="T2878" s="4" t="s">
        <v>63</v>
      </c>
      <c r="U2878" s="4"/>
      <c r="V2878" s="4"/>
      <c r="W2878" s="4"/>
      <c r="X2878" s="4" t="s">
        <v>63</v>
      </c>
      <c r="Y2878" s="4" t="s">
        <v>2347</v>
      </c>
      <c r="Z2878" s="4" t="s">
        <v>63</v>
      </c>
      <c r="AA2878" s="4" t="s">
        <v>23695</v>
      </c>
      <c r="AB2878" s="4" t="s">
        <v>23696</v>
      </c>
      <c r="AC2878" s="4" t="s">
        <v>67</v>
      </c>
      <c r="AD2878" s="4" t="s">
        <v>63</v>
      </c>
      <c r="AE2878" s="4" t="s">
        <v>63</v>
      </c>
      <c r="AF2878" s="4" t="s">
        <v>63</v>
      </c>
      <c r="AG2878" s="4" t="s">
        <v>63</v>
      </c>
      <c r="AH2878" s="4" t="s">
        <v>63</v>
      </c>
      <c r="AI2878" s="4" t="s">
        <v>63</v>
      </c>
      <c r="AJ2878" s="4" t="s">
        <v>63</v>
      </c>
      <c r="AK2878" s="4" t="s">
        <v>63</v>
      </c>
      <c r="AL2878" s="4" t="s">
        <v>63</v>
      </c>
      <c r="AM2878" s="4" t="s">
        <v>23693</v>
      </c>
      <c r="AN2878" s="4" t="s">
        <v>63</v>
      </c>
      <c r="AO2878" s="4" t="s">
        <v>63</v>
      </c>
      <c r="AP2878" s="4" t="s">
        <v>63</v>
      </c>
      <c r="AQ2878" s="4" t="s">
        <v>63</v>
      </c>
      <c r="AR2878" s="4" t="s">
        <v>63</v>
      </c>
      <c r="AS2878" s="4" t="s">
        <v>63</v>
      </c>
      <c r="AT2878" s="4" t="s">
        <v>63</v>
      </c>
      <c r="AU2878" s="4" t="s">
        <v>63</v>
      </c>
      <c r="AV2878" s="4" t="s">
        <v>63</v>
      </c>
      <c r="AW2878" s="4" t="s">
        <v>63</v>
      </c>
      <c r="AX2878" s="4" t="s">
        <v>63</v>
      </c>
      <c r="AY2878" s="4" t="s">
        <v>63</v>
      </c>
      <c r="AZ2878" s="4" t="s">
        <v>63</v>
      </c>
      <c r="BA2878" s="4" t="s">
        <v>63</v>
      </c>
      <c r="BB2878" s="4" t="s">
        <v>63</v>
      </c>
      <c r="BC2878" s="4" t="s">
        <v>63</v>
      </c>
      <c r="BD2878" s="4" t="s">
        <v>63</v>
      </c>
      <c r="BE2878" s="4" t="s">
        <v>63</v>
      </c>
      <c r="BF2878" s="4" t="s">
        <v>63</v>
      </c>
    </row>
    <row r="2879" spans="1:58">
      <c r="A2879" s="4" t="s">
        <v>58</v>
      </c>
      <c r="B2879" s="4" t="s">
        <v>23697</v>
      </c>
      <c r="C2879" s="4" t="s">
        <v>23698</v>
      </c>
      <c r="D2879" s="4" t="s">
        <v>790</v>
      </c>
      <c r="E2879" s="4" t="s">
        <v>791</v>
      </c>
      <c r="F2879" s="4">
        <v>2013</v>
      </c>
      <c r="G2879" s="4" t="s">
        <v>219</v>
      </c>
      <c r="H2879" s="4">
        <v>38</v>
      </c>
      <c r="I2879" s="4">
        <v>11</v>
      </c>
      <c r="J2879" s="4">
        <v>2768</v>
      </c>
      <c r="K2879" s="4">
        <v>2771</v>
      </c>
      <c r="L2879" s="4" t="s">
        <v>23699</v>
      </c>
      <c r="M2879" s="4" t="s">
        <v>23700</v>
      </c>
      <c r="N2879" s="4" t="s">
        <v>23701</v>
      </c>
      <c r="O2879" s="4" t="s">
        <v>63</v>
      </c>
      <c r="P2879" s="4"/>
      <c r="Q2879" s="4" t="s">
        <v>63</v>
      </c>
      <c r="R2879" s="4" t="s">
        <v>63</v>
      </c>
      <c r="S2879" s="4" t="s">
        <v>63</v>
      </c>
      <c r="T2879" s="4" t="s">
        <v>63</v>
      </c>
      <c r="U2879" s="4"/>
      <c r="V2879" s="4"/>
      <c r="W2879" s="4"/>
      <c r="X2879" s="4" t="s">
        <v>63</v>
      </c>
      <c r="Y2879" s="4" t="s">
        <v>795</v>
      </c>
      <c r="Z2879" s="4" t="s">
        <v>63</v>
      </c>
      <c r="AA2879" s="4" t="s">
        <v>23702</v>
      </c>
      <c r="AB2879" s="4" t="s">
        <v>23703</v>
      </c>
      <c r="AC2879" s="4" t="s">
        <v>67</v>
      </c>
      <c r="AD2879" s="4" t="s">
        <v>63</v>
      </c>
      <c r="AE2879" s="4" t="s">
        <v>63</v>
      </c>
      <c r="AF2879" s="4" t="s">
        <v>63</v>
      </c>
      <c r="AG2879" s="4" t="s">
        <v>63</v>
      </c>
      <c r="AH2879" s="4" t="s">
        <v>63</v>
      </c>
      <c r="AI2879" s="4" t="s">
        <v>23704</v>
      </c>
      <c r="AJ2879" s="4" t="s">
        <v>63</v>
      </c>
      <c r="AK2879" s="4" t="s">
        <v>63</v>
      </c>
      <c r="AL2879" s="4" t="s">
        <v>63</v>
      </c>
      <c r="AM2879" s="4" t="s">
        <v>23698</v>
      </c>
      <c r="AN2879" s="4" t="s">
        <v>63</v>
      </c>
      <c r="AO2879" s="4" t="s">
        <v>63</v>
      </c>
      <c r="AP2879" s="4" t="s">
        <v>63</v>
      </c>
      <c r="AQ2879" s="4" t="s">
        <v>63</v>
      </c>
      <c r="AR2879" s="4" t="s">
        <v>63</v>
      </c>
      <c r="AS2879" s="4" t="s">
        <v>63</v>
      </c>
      <c r="AT2879" s="4" t="s">
        <v>63</v>
      </c>
      <c r="AU2879" s="4" t="s">
        <v>63</v>
      </c>
      <c r="AV2879" s="4" t="s">
        <v>63</v>
      </c>
      <c r="AW2879" s="4" t="s">
        <v>63</v>
      </c>
      <c r="AX2879" s="4" t="s">
        <v>63</v>
      </c>
      <c r="AY2879" s="4" t="s">
        <v>63</v>
      </c>
      <c r="AZ2879" s="4" t="s">
        <v>63</v>
      </c>
      <c r="BA2879" s="4" t="s">
        <v>63</v>
      </c>
      <c r="BB2879" s="4" t="s">
        <v>63</v>
      </c>
      <c r="BC2879" s="4" t="s">
        <v>63</v>
      </c>
      <c r="BD2879" s="4" t="s">
        <v>63</v>
      </c>
      <c r="BE2879" s="4" t="s">
        <v>63</v>
      </c>
      <c r="BF2879" s="4" t="s">
        <v>63</v>
      </c>
    </row>
    <row r="2880" spans="1:58">
      <c r="A2880" s="4" t="s">
        <v>58</v>
      </c>
      <c r="B2880" s="4" t="s">
        <v>23705</v>
      </c>
      <c r="C2880" s="4" t="s">
        <v>23706</v>
      </c>
      <c r="D2880" s="4" t="s">
        <v>23304</v>
      </c>
      <c r="E2880" s="4" t="s">
        <v>63</v>
      </c>
      <c r="F2880" s="4">
        <v>2004</v>
      </c>
      <c r="G2880" s="4" t="s">
        <v>157</v>
      </c>
      <c r="H2880" s="4">
        <v>11</v>
      </c>
      <c r="I2880" s="4">
        <v>6</v>
      </c>
      <c r="J2880" s="4">
        <v>483</v>
      </c>
      <c r="K2880" s="4">
        <v>503</v>
      </c>
      <c r="L2880" s="4" t="s">
        <v>23707</v>
      </c>
      <c r="M2880" s="4" t="s">
        <v>23708</v>
      </c>
      <c r="N2880" s="4" t="s">
        <v>23709</v>
      </c>
      <c r="O2880" s="4" t="s">
        <v>63</v>
      </c>
      <c r="P2880" s="4"/>
      <c r="Q2880" s="4" t="s">
        <v>63</v>
      </c>
      <c r="R2880" s="4" t="s">
        <v>63</v>
      </c>
      <c r="S2880" s="4" t="s">
        <v>63</v>
      </c>
      <c r="T2880" s="4" t="s">
        <v>63</v>
      </c>
      <c r="U2880" s="4"/>
      <c r="V2880" s="4"/>
      <c r="W2880" s="4"/>
      <c r="X2880" s="4" t="s">
        <v>63</v>
      </c>
      <c r="Y2880" s="4" t="s">
        <v>23308</v>
      </c>
      <c r="Z2880" s="4" t="s">
        <v>63</v>
      </c>
      <c r="AA2880" s="4" t="s">
        <v>23710</v>
      </c>
      <c r="AB2880" s="4" t="s">
        <v>23711</v>
      </c>
      <c r="AC2880" s="4" t="s">
        <v>67</v>
      </c>
      <c r="AD2880" s="4" t="s">
        <v>63</v>
      </c>
      <c r="AE2880" s="4" t="s">
        <v>63</v>
      </c>
      <c r="AF2880" s="4" t="s">
        <v>63</v>
      </c>
      <c r="AG2880" s="4" t="s">
        <v>63</v>
      </c>
      <c r="AH2880" s="4" t="s">
        <v>63</v>
      </c>
      <c r="AI2880" s="4" t="s">
        <v>23712</v>
      </c>
      <c r="AJ2880" s="4" t="s">
        <v>63</v>
      </c>
      <c r="AK2880" s="4" t="s">
        <v>63</v>
      </c>
      <c r="AL2880" s="4" t="s">
        <v>63</v>
      </c>
      <c r="AM2880" s="4" t="s">
        <v>23706</v>
      </c>
      <c r="AN2880" s="4" t="s">
        <v>63</v>
      </c>
      <c r="AO2880" s="4" t="s">
        <v>63</v>
      </c>
      <c r="AP2880" s="4" t="s">
        <v>63</v>
      </c>
      <c r="AQ2880" s="4" t="s">
        <v>63</v>
      </c>
      <c r="AR2880" s="4" t="s">
        <v>63</v>
      </c>
      <c r="AS2880" s="4" t="s">
        <v>63</v>
      </c>
      <c r="AT2880" s="4" t="s">
        <v>63</v>
      </c>
      <c r="AU2880" s="4" t="s">
        <v>63</v>
      </c>
      <c r="AV2880" s="4" t="s">
        <v>63</v>
      </c>
      <c r="AW2880" s="4" t="s">
        <v>63</v>
      </c>
      <c r="AX2880" s="4" t="s">
        <v>63</v>
      </c>
      <c r="AY2880" s="4" t="s">
        <v>63</v>
      </c>
      <c r="AZ2880" s="4" t="s">
        <v>63</v>
      </c>
      <c r="BA2880" s="4" t="s">
        <v>63</v>
      </c>
      <c r="BB2880" s="4" t="s">
        <v>63</v>
      </c>
      <c r="BC2880" s="4" t="s">
        <v>63</v>
      </c>
      <c r="BD2880" s="4" t="s">
        <v>63</v>
      </c>
      <c r="BE2880" s="4" t="s">
        <v>63</v>
      </c>
      <c r="BF2880" s="4" t="s">
        <v>63</v>
      </c>
    </row>
    <row r="2881" spans="1:58">
      <c r="A2881" s="4" t="s">
        <v>58</v>
      </c>
      <c r="B2881" s="4" t="s">
        <v>23713</v>
      </c>
      <c r="C2881" s="4" t="s">
        <v>23714</v>
      </c>
      <c r="D2881" s="4" t="s">
        <v>23715</v>
      </c>
      <c r="E2881" s="4" t="s">
        <v>63</v>
      </c>
      <c r="F2881" s="4">
        <v>2013</v>
      </c>
      <c r="G2881" s="4" t="s">
        <v>84</v>
      </c>
      <c r="H2881" s="4">
        <v>11</v>
      </c>
      <c r="I2881" s="4">
        <v>2</v>
      </c>
      <c r="J2881" s="4">
        <v>269</v>
      </c>
      <c r="K2881" s="4">
        <v>280</v>
      </c>
      <c r="L2881" s="4" t="s">
        <v>23716</v>
      </c>
      <c r="M2881" s="4" t="s">
        <v>23717</v>
      </c>
      <c r="N2881" s="4" t="s">
        <v>23718</v>
      </c>
      <c r="O2881" s="4" t="s">
        <v>63</v>
      </c>
      <c r="P2881" s="4"/>
      <c r="Q2881" s="4" t="s">
        <v>63</v>
      </c>
      <c r="R2881" s="4" t="s">
        <v>63</v>
      </c>
      <c r="S2881" s="4" t="s">
        <v>63</v>
      </c>
      <c r="T2881" s="4" t="s">
        <v>63</v>
      </c>
      <c r="U2881" s="4"/>
      <c r="V2881" s="4"/>
      <c r="W2881" s="4"/>
      <c r="X2881" s="4" t="s">
        <v>63</v>
      </c>
      <c r="Y2881" s="4" t="s">
        <v>23719</v>
      </c>
      <c r="Z2881" s="4" t="s">
        <v>63</v>
      </c>
      <c r="AA2881" s="4" t="s">
        <v>23720</v>
      </c>
      <c r="AB2881" s="4" t="s">
        <v>23721</v>
      </c>
      <c r="AC2881" s="4" t="s">
        <v>67</v>
      </c>
      <c r="AD2881" s="4" t="s">
        <v>63</v>
      </c>
      <c r="AE2881" s="4" t="s">
        <v>63</v>
      </c>
      <c r="AF2881" s="4" t="s">
        <v>63</v>
      </c>
      <c r="AG2881" s="4" t="s">
        <v>63</v>
      </c>
      <c r="AH2881" s="4" t="s">
        <v>63</v>
      </c>
      <c r="AI2881" s="4" t="s">
        <v>23722</v>
      </c>
      <c r="AJ2881" s="4" t="s">
        <v>63</v>
      </c>
      <c r="AK2881" s="4" t="s">
        <v>63</v>
      </c>
      <c r="AL2881" s="4" t="s">
        <v>63</v>
      </c>
      <c r="AM2881" s="4" t="s">
        <v>23714</v>
      </c>
      <c r="AN2881" s="4" t="s">
        <v>63</v>
      </c>
      <c r="AO2881" s="4" t="s">
        <v>63</v>
      </c>
      <c r="AP2881" s="4" t="s">
        <v>63</v>
      </c>
      <c r="AQ2881" s="4" t="s">
        <v>63</v>
      </c>
      <c r="AR2881" s="4" t="s">
        <v>63</v>
      </c>
      <c r="AS2881" s="4" t="s">
        <v>63</v>
      </c>
      <c r="AT2881" s="4" t="s">
        <v>63</v>
      </c>
      <c r="AU2881" s="4" t="s">
        <v>63</v>
      </c>
      <c r="AV2881" s="4" t="s">
        <v>63</v>
      </c>
      <c r="AW2881" s="4" t="s">
        <v>63</v>
      </c>
      <c r="AX2881" s="4" t="s">
        <v>63</v>
      </c>
      <c r="AY2881" s="4" t="s">
        <v>63</v>
      </c>
      <c r="AZ2881" s="4" t="s">
        <v>63</v>
      </c>
      <c r="BA2881" s="4" t="s">
        <v>63</v>
      </c>
      <c r="BB2881" s="4" t="s">
        <v>63</v>
      </c>
      <c r="BC2881" s="4" t="s">
        <v>63</v>
      </c>
      <c r="BD2881" s="4" t="s">
        <v>63</v>
      </c>
      <c r="BE2881" s="4" t="s">
        <v>63</v>
      </c>
      <c r="BF2881" s="4" t="s">
        <v>63</v>
      </c>
    </row>
    <row r="2882" spans="1:58">
      <c r="A2882" s="4" t="s">
        <v>58</v>
      </c>
      <c r="B2882" s="4" t="s">
        <v>23723</v>
      </c>
      <c r="C2882" s="4" t="s">
        <v>23724</v>
      </c>
      <c r="D2882" s="4" t="s">
        <v>11901</v>
      </c>
      <c r="E2882" s="4" t="s">
        <v>63</v>
      </c>
      <c r="F2882" s="4">
        <v>2015</v>
      </c>
      <c r="G2882" s="4" t="s">
        <v>198</v>
      </c>
      <c r="H2882" s="4">
        <v>57</v>
      </c>
      <c r="I2882" s="4">
        <v>5</v>
      </c>
      <c r="J2882" s="4" t="s">
        <v>19005</v>
      </c>
      <c r="K2882" s="4" t="s">
        <v>19005</v>
      </c>
      <c r="L2882" s="4" t="s">
        <v>23725</v>
      </c>
      <c r="M2882" s="4" t="s">
        <v>63</v>
      </c>
      <c r="N2882" s="4" t="s">
        <v>23726</v>
      </c>
      <c r="O2882" s="4" t="s">
        <v>63</v>
      </c>
      <c r="P2882" s="4"/>
      <c r="Q2882" s="4" t="s">
        <v>63</v>
      </c>
      <c r="R2882" s="4" t="s">
        <v>63</v>
      </c>
      <c r="S2882" s="4" t="s">
        <v>63</v>
      </c>
      <c r="T2882" s="4" t="s">
        <v>63</v>
      </c>
      <c r="U2882" s="4"/>
      <c r="V2882" s="4"/>
      <c r="W2882" s="4"/>
      <c r="X2882" s="4" t="s">
        <v>63</v>
      </c>
      <c r="Y2882" s="4" t="s">
        <v>11904</v>
      </c>
      <c r="Z2882" s="4" t="s">
        <v>63</v>
      </c>
      <c r="AA2882" s="4" t="s">
        <v>23727</v>
      </c>
      <c r="AB2882" s="4" t="s">
        <v>23728</v>
      </c>
      <c r="AC2882" s="4" t="s">
        <v>67</v>
      </c>
      <c r="AD2882" s="4" t="s">
        <v>63</v>
      </c>
      <c r="AE2882" s="4" t="s">
        <v>63</v>
      </c>
      <c r="AF2882" s="4" t="s">
        <v>63</v>
      </c>
      <c r="AG2882" s="4" t="s">
        <v>63</v>
      </c>
      <c r="AH2882" s="4" t="s">
        <v>63</v>
      </c>
      <c r="AI2882" s="4" t="s">
        <v>63</v>
      </c>
      <c r="AJ2882" s="4" t="s">
        <v>63</v>
      </c>
      <c r="AK2882" s="4" t="s">
        <v>63</v>
      </c>
      <c r="AL2882" s="4" t="s">
        <v>63</v>
      </c>
      <c r="AM2882" s="4" t="s">
        <v>23724</v>
      </c>
      <c r="AN2882" s="4" t="s">
        <v>63</v>
      </c>
      <c r="AO2882" s="4" t="s">
        <v>63</v>
      </c>
      <c r="AP2882" s="4" t="s">
        <v>63</v>
      </c>
      <c r="AQ2882" s="4" t="s">
        <v>63</v>
      </c>
      <c r="AR2882" s="4" t="s">
        <v>63</v>
      </c>
      <c r="AS2882" s="4" t="s">
        <v>63</v>
      </c>
      <c r="AT2882" s="4" t="s">
        <v>63</v>
      </c>
      <c r="AU2882" s="4" t="s">
        <v>63</v>
      </c>
      <c r="AV2882" s="4" t="s">
        <v>63</v>
      </c>
      <c r="AW2882" s="4" t="s">
        <v>63</v>
      </c>
      <c r="AX2882" s="4" t="s">
        <v>63</v>
      </c>
      <c r="AY2882" s="4" t="s">
        <v>63</v>
      </c>
      <c r="AZ2882" s="4" t="s">
        <v>63</v>
      </c>
      <c r="BA2882" s="4" t="s">
        <v>63</v>
      </c>
      <c r="BB2882" s="4" t="s">
        <v>63</v>
      </c>
      <c r="BC2882" s="4" t="s">
        <v>63</v>
      </c>
      <c r="BD2882" s="4" t="s">
        <v>63</v>
      </c>
      <c r="BE2882" s="4" t="s">
        <v>63</v>
      </c>
      <c r="BF2882" s="4" t="s">
        <v>63</v>
      </c>
    </row>
    <row r="2883" spans="1:58">
      <c r="A2883" s="4" t="s">
        <v>58</v>
      </c>
      <c r="B2883" s="4" t="s">
        <v>23729</v>
      </c>
      <c r="C2883" s="4" t="s">
        <v>23730</v>
      </c>
      <c r="D2883" s="4" t="s">
        <v>18941</v>
      </c>
      <c r="E2883" s="4" t="s">
        <v>18942</v>
      </c>
      <c r="F2883" s="4">
        <v>2007</v>
      </c>
      <c r="G2883" s="4" t="s">
        <v>181</v>
      </c>
      <c r="H2883" s="4">
        <v>45</v>
      </c>
      <c r="I2883" s="4">
        <v>6</v>
      </c>
      <c r="J2883" s="4">
        <v>609</v>
      </c>
      <c r="K2883" s="4">
        <v>609</v>
      </c>
      <c r="L2883" s="4" t="s">
        <v>63</v>
      </c>
      <c r="M2883" s="4" t="s">
        <v>63</v>
      </c>
      <c r="N2883" s="4" t="s">
        <v>23731</v>
      </c>
      <c r="O2883" s="4" t="s">
        <v>63</v>
      </c>
      <c r="P2883" s="4"/>
      <c r="Q2883" s="4" t="s">
        <v>63</v>
      </c>
      <c r="R2883" s="4" t="s">
        <v>63</v>
      </c>
      <c r="S2883" s="4" t="s">
        <v>63</v>
      </c>
      <c r="T2883" s="4" t="s">
        <v>63</v>
      </c>
      <c r="U2883" s="4"/>
      <c r="V2883" s="4"/>
      <c r="W2883" s="4"/>
      <c r="X2883" s="4" t="s">
        <v>63</v>
      </c>
      <c r="Y2883" s="4" t="s">
        <v>23732</v>
      </c>
      <c r="Z2883" s="4" t="s">
        <v>63</v>
      </c>
      <c r="AA2883" s="4" t="s">
        <v>23733</v>
      </c>
      <c r="AB2883" s="4" t="s">
        <v>23734</v>
      </c>
      <c r="AC2883" s="4" t="s">
        <v>67</v>
      </c>
      <c r="AD2883" s="4" t="s">
        <v>63</v>
      </c>
      <c r="AE2883" s="4" t="s">
        <v>63</v>
      </c>
      <c r="AF2883" s="4" t="s">
        <v>63</v>
      </c>
      <c r="AG2883" s="4" t="s">
        <v>63</v>
      </c>
      <c r="AH2883" s="4" t="s">
        <v>63</v>
      </c>
      <c r="AI2883" s="4" t="s">
        <v>63</v>
      </c>
      <c r="AJ2883" s="4" t="s">
        <v>63</v>
      </c>
      <c r="AK2883" s="4" t="s">
        <v>63</v>
      </c>
      <c r="AL2883" s="4" t="s">
        <v>63</v>
      </c>
      <c r="AM2883" s="4" t="s">
        <v>23730</v>
      </c>
      <c r="AN2883" s="4" t="s">
        <v>63</v>
      </c>
      <c r="AO2883" s="4" t="s">
        <v>63</v>
      </c>
      <c r="AP2883" s="4" t="s">
        <v>63</v>
      </c>
      <c r="AQ2883" s="4" t="s">
        <v>63</v>
      </c>
      <c r="AR2883" s="4" t="s">
        <v>63</v>
      </c>
      <c r="AS2883" s="4" t="s">
        <v>63</v>
      </c>
      <c r="AT2883" s="4" t="s">
        <v>63</v>
      </c>
      <c r="AU2883" s="4" t="s">
        <v>63</v>
      </c>
      <c r="AV2883" s="4" t="s">
        <v>63</v>
      </c>
      <c r="AW2883" s="4" t="s">
        <v>63</v>
      </c>
      <c r="AX2883" s="4" t="s">
        <v>63</v>
      </c>
      <c r="AY2883" s="4" t="s">
        <v>63</v>
      </c>
      <c r="AZ2883" s="4" t="s">
        <v>63</v>
      </c>
      <c r="BA2883" s="4" t="s">
        <v>63</v>
      </c>
      <c r="BB2883" s="4" t="s">
        <v>63</v>
      </c>
      <c r="BC2883" s="4" t="s">
        <v>63</v>
      </c>
      <c r="BD2883" s="4" t="s">
        <v>63</v>
      </c>
      <c r="BE2883" s="4" t="s">
        <v>63</v>
      </c>
      <c r="BF2883" s="4" t="s">
        <v>63</v>
      </c>
    </row>
    <row r="2884" spans="1:58">
      <c r="A2884" s="4" t="s">
        <v>58</v>
      </c>
      <c r="B2884" s="4" t="s">
        <v>23735</v>
      </c>
      <c r="C2884" s="4" t="s">
        <v>23736</v>
      </c>
      <c r="D2884" s="4" t="s">
        <v>23737</v>
      </c>
      <c r="E2884" s="4" t="s">
        <v>63</v>
      </c>
      <c r="F2884" s="4">
        <v>2008</v>
      </c>
      <c r="G2884" s="4" t="s">
        <v>63</v>
      </c>
      <c r="H2884" s="4">
        <v>35</v>
      </c>
      <c r="I2884" s="4" t="s">
        <v>63</v>
      </c>
      <c r="J2884" s="4">
        <v>8</v>
      </c>
      <c r="K2884" s="4">
        <v>12</v>
      </c>
      <c r="L2884" s="4" t="s">
        <v>23738</v>
      </c>
      <c r="M2884" s="4" t="s">
        <v>23739</v>
      </c>
      <c r="N2884" s="4" t="s">
        <v>23740</v>
      </c>
      <c r="O2884" s="4" t="s">
        <v>63</v>
      </c>
      <c r="P2884" s="4"/>
      <c r="Q2884" s="4" t="s">
        <v>63</v>
      </c>
      <c r="R2884" s="4" t="s">
        <v>63</v>
      </c>
      <c r="S2884" s="4" t="s">
        <v>63</v>
      </c>
      <c r="T2884" s="4" t="s">
        <v>63</v>
      </c>
      <c r="U2884" s="4"/>
      <c r="V2884" s="4"/>
      <c r="W2884" s="4"/>
      <c r="X2884" s="4" t="s">
        <v>63</v>
      </c>
      <c r="Y2884" s="4" t="s">
        <v>23741</v>
      </c>
      <c r="Z2884" s="4" t="s">
        <v>63</v>
      </c>
      <c r="AA2884" s="4" t="s">
        <v>23742</v>
      </c>
      <c r="AB2884" s="4" t="s">
        <v>23743</v>
      </c>
      <c r="AC2884" s="4" t="s">
        <v>8663</v>
      </c>
      <c r="AD2884" s="4" t="s">
        <v>63</v>
      </c>
      <c r="AE2884" s="4" t="s">
        <v>63</v>
      </c>
      <c r="AF2884" s="4" t="s">
        <v>63</v>
      </c>
      <c r="AG2884" s="4" t="s">
        <v>63</v>
      </c>
      <c r="AH2884" s="4" t="s">
        <v>63</v>
      </c>
      <c r="AI2884" s="4" t="s">
        <v>63</v>
      </c>
      <c r="AJ2884" s="4" t="s">
        <v>63</v>
      </c>
      <c r="AK2884" s="4" t="s">
        <v>63</v>
      </c>
      <c r="AL2884" s="4" t="s">
        <v>63</v>
      </c>
      <c r="AM2884" s="4" t="s">
        <v>23736</v>
      </c>
      <c r="AN2884" s="4" t="s">
        <v>63</v>
      </c>
      <c r="AO2884" s="4" t="s">
        <v>63</v>
      </c>
      <c r="AP2884" s="4" t="s">
        <v>63</v>
      </c>
      <c r="AQ2884" s="4" t="s">
        <v>63</v>
      </c>
      <c r="AR2884" s="4" t="s">
        <v>63</v>
      </c>
      <c r="AS2884" s="4" t="s">
        <v>63</v>
      </c>
      <c r="AT2884" s="4" t="s">
        <v>63</v>
      </c>
      <c r="AU2884" s="4" t="s">
        <v>63</v>
      </c>
      <c r="AV2884" s="4" t="s">
        <v>63</v>
      </c>
      <c r="AW2884" s="4" t="s">
        <v>63</v>
      </c>
      <c r="AX2884" s="4" t="s">
        <v>63</v>
      </c>
      <c r="AY2884" s="4" t="s">
        <v>63</v>
      </c>
      <c r="AZ2884" s="4" t="s">
        <v>63</v>
      </c>
      <c r="BA2884" s="4" t="s">
        <v>63</v>
      </c>
      <c r="BB2884" s="4" t="s">
        <v>63</v>
      </c>
      <c r="BC2884" s="4" t="s">
        <v>63</v>
      </c>
      <c r="BD2884" s="4" t="s">
        <v>63</v>
      </c>
      <c r="BE2884" s="4" t="s">
        <v>63</v>
      </c>
      <c r="BF2884" s="4" t="s">
        <v>63</v>
      </c>
    </row>
    <row r="2885" spans="1:58">
      <c r="A2885" s="4" t="s">
        <v>58</v>
      </c>
      <c r="B2885" s="4" t="s">
        <v>23744</v>
      </c>
      <c r="C2885" s="4" t="s">
        <v>23745</v>
      </c>
      <c r="D2885" s="4" t="s">
        <v>23746</v>
      </c>
      <c r="E2885" s="4" t="s">
        <v>63</v>
      </c>
      <c r="F2885" s="4">
        <v>2015</v>
      </c>
      <c r="G2885" s="4" t="s">
        <v>1085</v>
      </c>
      <c r="H2885" s="4">
        <v>6</v>
      </c>
      <c r="I2885" s="4">
        <v>5</v>
      </c>
      <c r="J2885" s="4">
        <v>720</v>
      </c>
      <c r="K2885" s="4">
        <v>723</v>
      </c>
      <c r="L2885" s="4" t="s">
        <v>23747</v>
      </c>
      <c r="M2885" s="4" t="s">
        <v>23748</v>
      </c>
      <c r="N2885" s="4" t="s">
        <v>23749</v>
      </c>
      <c r="O2885" s="4" t="s">
        <v>63</v>
      </c>
      <c r="P2885" s="4"/>
      <c r="Q2885" s="4" t="s">
        <v>63</v>
      </c>
      <c r="R2885" s="4" t="s">
        <v>63</v>
      </c>
      <c r="S2885" s="4" t="s">
        <v>63</v>
      </c>
      <c r="T2885" s="4" t="s">
        <v>63</v>
      </c>
      <c r="U2885" s="4"/>
      <c r="V2885" s="4"/>
      <c r="W2885" s="4"/>
      <c r="X2885" s="4" t="s">
        <v>63</v>
      </c>
      <c r="Y2885" s="4" t="s">
        <v>23750</v>
      </c>
      <c r="Z2885" s="4" t="s">
        <v>63</v>
      </c>
      <c r="AA2885" s="4" t="s">
        <v>23751</v>
      </c>
      <c r="AB2885" s="4" t="s">
        <v>23752</v>
      </c>
      <c r="AC2885" s="4" t="s">
        <v>67</v>
      </c>
      <c r="AD2885" s="4" t="s">
        <v>63</v>
      </c>
      <c r="AE2885" s="4" t="s">
        <v>63</v>
      </c>
      <c r="AF2885" s="4" t="s">
        <v>63</v>
      </c>
      <c r="AG2885" s="4" t="s">
        <v>63</v>
      </c>
      <c r="AH2885" s="4" t="s">
        <v>63</v>
      </c>
      <c r="AI2885" s="4" t="s">
        <v>63</v>
      </c>
      <c r="AJ2885" s="4" t="s">
        <v>63</v>
      </c>
      <c r="AK2885" s="4" t="s">
        <v>63</v>
      </c>
      <c r="AL2885" s="4" t="s">
        <v>63</v>
      </c>
      <c r="AM2885" s="4" t="s">
        <v>23745</v>
      </c>
      <c r="AN2885" s="4" t="s">
        <v>63</v>
      </c>
      <c r="AO2885" s="4" t="s">
        <v>63</v>
      </c>
      <c r="AP2885" s="4" t="s">
        <v>63</v>
      </c>
      <c r="AQ2885" s="4" t="s">
        <v>63</v>
      </c>
      <c r="AR2885" s="4" t="s">
        <v>63</v>
      </c>
      <c r="AS2885" s="4" t="s">
        <v>63</v>
      </c>
      <c r="AT2885" s="4" t="s">
        <v>63</v>
      </c>
      <c r="AU2885" s="4" t="s">
        <v>63</v>
      </c>
      <c r="AV2885" s="4" t="s">
        <v>63</v>
      </c>
      <c r="AW2885" s="4" t="s">
        <v>63</v>
      </c>
      <c r="AX2885" s="4" t="s">
        <v>63</v>
      </c>
      <c r="AY2885" s="4" t="s">
        <v>63</v>
      </c>
      <c r="AZ2885" s="4" t="s">
        <v>63</v>
      </c>
      <c r="BA2885" s="4" t="s">
        <v>63</v>
      </c>
      <c r="BB2885" s="4" t="s">
        <v>63</v>
      </c>
      <c r="BC2885" s="4" t="s">
        <v>63</v>
      </c>
      <c r="BD2885" s="4" t="s">
        <v>63</v>
      </c>
      <c r="BE2885" s="4" t="s">
        <v>63</v>
      </c>
      <c r="BF2885" s="4" t="s">
        <v>63</v>
      </c>
    </row>
    <row r="2886" spans="1:58">
      <c r="A2886" s="4" t="s">
        <v>58</v>
      </c>
      <c r="B2886" s="4" t="s">
        <v>23753</v>
      </c>
      <c r="C2886" s="4" t="s">
        <v>23754</v>
      </c>
      <c r="D2886" s="4" t="s">
        <v>5278</v>
      </c>
      <c r="E2886" s="4" t="s">
        <v>5279</v>
      </c>
      <c r="F2886" s="4">
        <v>2002</v>
      </c>
      <c r="G2886" s="4" t="s">
        <v>219</v>
      </c>
      <c r="H2886" s="4">
        <v>55</v>
      </c>
      <c r="I2886" s="4">
        <v>9</v>
      </c>
      <c r="J2886" s="4">
        <v>1589</v>
      </c>
      <c r="K2886" s="4">
        <v>1602</v>
      </c>
      <c r="L2886" s="4" t="s">
        <v>23755</v>
      </c>
      <c r="M2886" s="4" t="s">
        <v>23756</v>
      </c>
      <c r="N2886" s="4" t="s">
        <v>23757</v>
      </c>
      <c r="O2886" s="4" t="s">
        <v>63</v>
      </c>
      <c r="P2886" s="4"/>
      <c r="Q2886" s="4" t="s">
        <v>63</v>
      </c>
      <c r="R2886" s="4" t="s">
        <v>63</v>
      </c>
      <c r="S2886" s="4" t="s">
        <v>63</v>
      </c>
      <c r="T2886" s="4" t="s">
        <v>63</v>
      </c>
      <c r="U2886" s="4"/>
      <c r="V2886" s="4"/>
      <c r="W2886" s="4"/>
      <c r="X2886" s="4" t="s">
        <v>63</v>
      </c>
      <c r="Y2886" s="4" t="s">
        <v>5283</v>
      </c>
      <c r="Z2886" s="4" t="s">
        <v>63</v>
      </c>
      <c r="AA2886" s="4" t="s">
        <v>23758</v>
      </c>
      <c r="AB2886" s="4" t="s">
        <v>23759</v>
      </c>
      <c r="AC2886" s="4" t="s">
        <v>67</v>
      </c>
      <c r="AD2886" s="4" t="s">
        <v>63</v>
      </c>
      <c r="AE2886" s="4" t="s">
        <v>63</v>
      </c>
      <c r="AF2886" s="4" t="s">
        <v>63</v>
      </c>
      <c r="AG2886" s="4" t="s">
        <v>63</v>
      </c>
      <c r="AH2886" s="4" t="s">
        <v>63</v>
      </c>
      <c r="AI2886" s="4" t="s">
        <v>23760</v>
      </c>
      <c r="AJ2886" s="4" t="s">
        <v>63</v>
      </c>
      <c r="AK2886" s="4" t="s">
        <v>63</v>
      </c>
      <c r="AL2886" s="4" t="s">
        <v>63</v>
      </c>
      <c r="AM2886" s="4" t="s">
        <v>23754</v>
      </c>
      <c r="AN2886" s="4" t="s">
        <v>63</v>
      </c>
      <c r="AO2886" s="4" t="s">
        <v>63</v>
      </c>
      <c r="AP2886" s="4" t="s">
        <v>63</v>
      </c>
      <c r="AQ2886" s="4" t="s">
        <v>63</v>
      </c>
      <c r="AR2886" s="4" t="s">
        <v>63</v>
      </c>
      <c r="AS2886" s="4" t="s">
        <v>63</v>
      </c>
      <c r="AT2886" s="4" t="s">
        <v>63</v>
      </c>
      <c r="AU2886" s="4" t="s">
        <v>63</v>
      </c>
      <c r="AV2886" s="4" t="s">
        <v>63</v>
      </c>
      <c r="AW2886" s="4" t="s">
        <v>63</v>
      </c>
      <c r="AX2886" s="4" t="s">
        <v>63</v>
      </c>
      <c r="AY2886" s="4" t="s">
        <v>63</v>
      </c>
      <c r="AZ2886" s="4" t="s">
        <v>63</v>
      </c>
      <c r="BA2886" s="4" t="s">
        <v>63</v>
      </c>
      <c r="BB2886" s="4" t="s">
        <v>63</v>
      </c>
      <c r="BC2886" s="4" t="s">
        <v>63</v>
      </c>
      <c r="BD2886" s="4" t="s">
        <v>63</v>
      </c>
      <c r="BE2886" s="4" t="s">
        <v>63</v>
      </c>
      <c r="BF2886" s="4" t="s">
        <v>63</v>
      </c>
    </row>
    <row r="2887" spans="1:58">
      <c r="A2887" s="4" t="s">
        <v>58</v>
      </c>
      <c r="B2887" s="4" t="s">
        <v>23761</v>
      </c>
      <c r="C2887" s="4" t="s">
        <v>23762</v>
      </c>
      <c r="D2887" s="4" t="s">
        <v>20150</v>
      </c>
      <c r="E2887" s="4" t="s">
        <v>20151</v>
      </c>
      <c r="F2887" s="4">
        <v>2009</v>
      </c>
      <c r="G2887" s="4" t="s">
        <v>219</v>
      </c>
      <c r="H2887" s="4">
        <v>28</v>
      </c>
      <c r="I2887" s="4" t="s">
        <v>63</v>
      </c>
      <c r="J2887" s="4" t="s">
        <v>23763</v>
      </c>
      <c r="K2887" s="4" t="s">
        <v>23763</v>
      </c>
      <c r="L2887" s="4" t="s">
        <v>63</v>
      </c>
      <c r="M2887" s="4" t="s">
        <v>63</v>
      </c>
      <c r="N2887" s="4" t="s">
        <v>23764</v>
      </c>
      <c r="O2887" s="4" t="s">
        <v>63</v>
      </c>
      <c r="P2887" s="4"/>
      <c r="Q2887" s="4" t="s">
        <v>63</v>
      </c>
      <c r="R2887" s="4" t="s">
        <v>63</v>
      </c>
      <c r="S2887" s="4" t="s">
        <v>63</v>
      </c>
      <c r="T2887" s="4" t="s">
        <v>63</v>
      </c>
      <c r="U2887" s="4"/>
      <c r="V2887" s="4"/>
      <c r="W2887" s="4"/>
      <c r="X2887" s="4" t="s">
        <v>63</v>
      </c>
      <c r="Y2887" s="4" t="s">
        <v>644</v>
      </c>
      <c r="Z2887" s="4" t="s">
        <v>63</v>
      </c>
      <c r="AA2887" s="4" t="s">
        <v>23765</v>
      </c>
      <c r="AB2887" s="4" t="s">
        <v>23766</v>
      </c>
      <c r="AC2887" s="4" t="s">
        <v>67</v>
      </c>
      <c r="AD2887" s="4" t="s">
        <v>63</v>
      </c>
      <c r="AE2887" s="4" t="s">
        <v>63</v>
      </c>
      <c r="AF2887" s="4" t="s">
        <v>63</v>
      </c>
      <c r="AG2887" s="4" t="s">
        <v>63</v>
      </c>
      <c r="AH2887" s="4" t="s">
        <v>63</v>
      </c>
      <c r="AI2887" s="4" t="s">
        <v>63</v>
      </c>
      <c r="AJ2887" s="4" t="s">
        <v>63</v>
      </c>
      <c r="AK2887" s="4" t="s">
        <v>63</v>
      </c>
      <c r="AL2887" s="4" t="s">
        <v>63</v>
      </c>
      <c r="AM2887" s="4" t="s">
        <v>23762</v>
      </c>
      <c r="AN2887" s="4" t="s">
        <v>63</v>
      </c>
      <c r="AO2887" s="4" t="s">
        <v>63</v>
      </c>
      <c r="AP2887" s="4" t="s">
        <v>63</v>
      </c>
      <c r="AQ2887" s="4" t="s">
        <v>63</v>
      </c>
      <c r="AR2887" s="4" t="s">
        <v>63</v>
      </c>
      <c r="AS2887" s="4" t="s">
        <v>63</v>
      </c>
      <c r="AT2887" s="4" t="s">
        <v>63</v>
      </c>
      <c r="AU2887" s="4" t="s">
        <v>63</v>
      </c>
      <c r="AV2887" s="4" t="s">
        <v>63</v>
      </c>
      <c r="AW2887" s="4" t="s">
        <v>63</v>
      </c>
      <c r="AX2887" s="4" t="s">
        <v>63</v>
      </c>
      <c r="AY2887" s="4" t="s">
        <v>63</v>
      </c>
      <c r="AZ2887" s="4" t="s">
        <v>63</v>
      </c>
      <c r="BA2887" s="4" t="s">
        <v>63</v>
      </c>
      <c r="BB2887" s="4" t="s">
        <v>63</v>
      </c>
      <c r="BC2887" s="4" t="s">
        <v>63</v>
      </c>
      <c r="BD2887" s="4" t="s">
        <v>63</v>
      </c>
      <c r="BE2887" s="4" t="s">
        <v>63</v>
      </c>
      <c r="BF2887" s="4" t="s">
        <v>63</v>
      </c>
    </row>
    <row r="2888" spans="1:58">
      <c r="A2888" s="4" t="s">
        <v>58</v>
      </c>
      <c r="B2888" s="4" t="s">
        <v>23767</v>
      </c>
      <c r="C2888" s="4" t="s">
        <v>23768</v>
      </c>
      <c r="D2888" s="4" t="s">
        <v>23769</v>
      </c>
      <c r="E2888" s="4" t="s">
        <v>63</v>
      </c>
      <c r="F2888" s="4">
        <v>1994</v>
      </c>
      <c r="G2888" s="4" t="s">
        <v>63</v>
      </c>
      <c r="H2888" s="4">
        <v>18</v>
      </c>
      <c r="I2888" s="4">
        <v>2</v>
      </c>
      <c r="J2888" s="4">
        <v>146</v>
      </c>
      <c r="K2888" s="4">
        <v>153</v>
      </c>
      <c r="L2888" s="4" t="s">
        <v>63</v>
      </c>
      <c r="M2888" s="4" t="s">
        <v>23770</v>
      </c>
      <c r="N2888" s="4" t="s">
        <v>23771</v>
      </c>
      <c r="O2888" s="4" t="s">
        <v>63</v>
      </c>
      <c r="P2888" s="4"/>
      <c r="Q2888" s="4" t="s">
        <v>63</v>
      </c>
      <c r="R2888" s="4" t="s">
        <v>63</v>
      </c>
      <c r="S2888" s="4" t="s">
        <v>63</v>
      </c>
      <c r="T2888" s="4" t="s">
        <v>63</v>
      </c>
      <c r="U2888" s="4"/>
      <c r="V2888" s="4"/>
      <c r="W2888" s="4"/>
      <c r="X2888" s="4" t="s">
        <v>63</v>
      </c>
      <c r="Y2888" s="4" t="s">
        <v>23772</v>
      </c>
      <c r="Z2888" s="4" t="s">
        <v>63</v>
      </c>
      <c r="AA2888" s="4" t="s">
        <v>23773</v>
      </c>
      <c r="AB2888" s="4" t="s">
        <v>23774</v>
      </c>
      <c r="AC2888" s="4" t="s">
        <v>67</v>
      </c>
      <c r="AD2888" s="4" t="s">
        <v>63</v>
      </c>
      <c r="AE2888" s="4" t="s">
        <v>63</v>
      </c>
      <c r="AF2888" s="4" t="s">
        <v>63</v>
      </c>
      <c r="AG2888" s="4" t="s">
        <v>63</v>
      </c>
      <c r="AH2888" s="4" t="s">
        <v>63</v>
      </c>
      <c r="AI2888" s="4" t="s">
        <v>63</v>
      </c>
      <c r="AJ2888" s="4" t="s">
        <v>63</v>
      </c>
      <c r="AK2888" s="4" t="s">
        <v>63</v>
      </c>
      <c r="AL2888" s="4" t="s">
        <v>63</v>
      </c>
      <c r="AM2888" s="4" t="s">
        <v>23768</v>
      </c>
      <c r="AN2888" s="4" t="s">
        <v>63</v>
      </c>
      <c r="AO2888" s="4" t="s">
        <v>63</v>
      </c>
      <c r="AP2888" s="4" t="s">
        <v>63</v>
      </c>
      <c r="AQ2888" s="4" t="s">
        <v>63</v>
      </c>
      <c r="AR2888" s="4" t="s">
        <v>63</v>
      </c>
      <c r="AS2888" s="4" t="s">
        <v>63</v>
      </c>
      <c r="AT2888" s="4" t="s">
        <v>63</v>
      </c>
      <c r="AU2888" s="4" t="s">
        <v>63</v>
      </c>
      <c r="AV2888" s="4" t="s">
        <v>63</v>
      </c>
      <c r="AW2888" s="4" t="s">
        <v>63</v>
      </c>
      <c r="AX2888" s="4" t="s">
        <v>63</v>
      </c>
      <c r="AY2888" s="4" t="s">
        <v>63</v>
      </c>
      <c r="AZ2888" s="4" t="s">
        <v>63</v>
      </c>
      <c r="BA2888" s="4" t="s">
        <v>63</v>
      </c>
      <c r="BB2888" s="4" t="s">
        <v>63</v>
      </c>
      <c r="BC2888" s="4" t="s">
        <v>63</v>
      </c>
      <c r="BD2888" s="4" t="s">
        <v>63</v>
      </c>
      <c r="BE2888" s="4" t="s">
        <v>63</v>
      </c>
      <c r="BF2888" s="4" t="s">
        <v>63</v>
      </c>
    </row>
    <row r="2889" spans="1:58">
      <c r="A2889" s="4" t="s">
        <v>58</v>
      </c>
      <c r="B2889" s="4" t="s">
        <v>23775</v>
      </c>
      <c r="C2889" s="4" t="s">
        <v>23776</v>
      </c>
      <c r="D2889" s="4" t="s">
        <v>18410</v>
      </c>
      <c r="E2889" s="4" t="s">
        <v>18411</v>
      </c>
      <c r="F2889" s="4">
        <v>2003</v>
      </c>
      <c r="G2889" s="4" t="s">
        <v>181</v>
      </c>
      <c r="H2889" s="4">
        <v>61</v>
      </c>
      <c r="I2889" s="4">
        <v>2451</v>
      </c>
      <c r="J2889" s="4">
        <v>1793</v>
      </c>
      <c r="K2889" s="4" t="s">
        <v>23777</v>
      </c>
      <c r="L2889" s="4" t="s">
        <v>23778</v>
      </c>
      <c r="M2889" s="4" t="s">
        <v>23779</v>
      </c>
      <c r="N2889" s="4" t="s">
        <v>23780</v>
      </c>
      <c r="O2889" s="4" t="s">
        <v>63</v>
      </c>
      <c r="P2889" s="4"/>
      <c r="Q2889" s="4" t="s">
        <v>63</v>
      </c>
      <c r="R2889" s="4" t="s">
        <v>63</v>
      </c>
      <c r="S2889" s="4" t="s">
        <v>63</v>
      </c>
      <c r="T2889" s="4" t="s">
        <v>63</v>
      </c>
      <c r="U2889" s="4"/>
      <c r="V2889" s="4"/>
      <c r="W2889" s="4"/>
      <c r="X2889" s="4" t="s">
        <v>63</v>
      </c>
      <c r="Y2889" s="4" t="s">
        <v>18415</v>
      </c>
      <c r="Z2889" s="4" t="s">
        <v>63</v>
      </c>
      <c r="AA2889" s="4" t="s">
        <v>23781</v>
      </c>
      <c r="AB2889" s="4" t="s">
        <v>23782</v>
      </c>
      <c r="AC2889" s="4" t="s">
        <v>1371</v>
      </c>
      <c r="AD2889" s="4" t="s">
        <v>63</v>
      </c>
      <c r="AE2889" s="4" t="s">
        <v>63</v>
      </c>
      <c r="AF2889" s="4" t="s">
        <v>63</v>
      </c>
      <c r="AG2889" s="4" t="s">
        <v>63</v>
      </c>
      <c r="AH2889" s="4" t="s">
        <v>63</v>
      </c>
      <c r="AI2889" s="4" t="s">
        <v>63</v>
      </c>
      <c r="AJ2889" s="4" t="s">
        <v>63</v>
      </c>
      <c r="AK2889" s="4" t="s">
        <v>63</v>
      </c>
      <c r="AL2889" s="4" t="s">
        <v>63</v>
      </c>
      <c r="AM2889" s="4" t="s">
        <v>23776</v>
      </c>
      <c r="AN2889" s="4" t="s">
        <v>63</v>
      </c>
      <c r="AO2889" s="4" t="s">
        <v>63</v>
      </c>
      <c r="AP2889" s="4" t="s">
        <v>63</v>
      </c>
      <c r="AQ2889" s="4" t="s">
        <v>63</v>
      </c>
      <c r="AR2889" s="4" t="s">
        <v>63</v>
      </c>
      <c r="AS2889" s="4" t="s">
        <v>63</v>
      </c>
      <c r="AT2889" s="4" t="s">
        <v>63</v>
      </c>
      <c r="AU2889" s="4" t="s">
        <v>63</v>
      </c>
      <c r="AV2889" s="4" t="s">
        <v>63</v>
      </c>
      <c r="AW2889" s="4" t="s">
        <v>63</v>
      </c>
      <c r="AX2889" s="4" t="s">
        <v>63</v>
      </c>
      <c r="AY2889" s="4" t="s">
        <v>63</v>
      </c>
      <c r="AZ2889" s="4" t="s">
        <v>63</v>
      </c>
      <c r="BA2889" s="4" t="s">
        <v>63</v>
      </c>
      <c r="BB2889" s="4" t="s">
        <v>63</v>
      </c>
      <c r="BC2889" s="4" t="s">
        <v>63</v>
      </c>
      <c r="BD2889" s="4" t="s">
        <v>63</v>
      </c>
      <c r="BE2889" s="4" t="s">
        <v>63</v>
      </c>
      <c r="BF2889" s="4" t="s">
        <v>63</v>
      </c>
    </row>
    <row r="2890" spans="1:58">
      <c r="A2890" s="4" t="s">
        <v>58</v>
      </c>
      <c r="B2890" s="4" t="s">
        <v>23783</v>
      </c>
      <c r="C2890" s="4" t="s">
        <v>23784</v>
      </c>
      <c r="D2890" s="4" t="s">
        <v>23785</v>
      </c>
      <c r="E2890" s="4" t="s">
        <v>63</v>
      </c>
      <c r="F2890" s="4">
        <v>2017</v>
      </c>
      <c r="G2890" s="4" t="s">
        <v>63</v>
      </c>
      <c r="H2890" s="4">
        <v>7</v>
      </c>
      <c r="I2890" s="4">
        <v>2</v>
      </c>
      <c r="J2890" s="4">
        <v>59</v>
      </c>
      <c r="K2890" s="4">
        <v>64</v>
      </c>
      <c r="L2890" s="4" t="s">
        <v>23786</v>
      </c>
      <c r="M2890" s="4" t="s">
        <v>23787</v>
      </c>
      <c r="N2890" s="4" t="s">
        <v>23788</v>
      </c>
      <c r="O2890" s="4" t="s">
        <v>63</v>
      </c>
      <c r="P2890" s="4"/>
      <c r="Q2890" s="4" t="s">
        <v>63</v>
      </c>
      <c r="R2890" s="4" t="s">
        <v>63</v>
      </c>
      <c r="S2890" s="4" t="s">
        <v>63</v>
      </c>
      <c r="T2890" s="4" t="s">
        <v>63</v>
      </c>
      <c r="U2890" s="4"/>
      <c r="V2890" s="4"/>
      <c r="W2890" s="4"/>
      <c r="X2890" s="4" t="s">
        <v>63</v>
      </c>
      <c r="Y2890" s="4" t="s">
        <v>23789</v>
      </c>
      <c r="Z2890" s="4" t="s">
        <v>63</v>
      </c>
      <c r="AA2890" s="4" t="s">
        <v>23790</v>
      </c>
      <c r="AB2890" s="4" t="s">
        <v>23791</v>
      </c>
      <c r="AC2890" s="4" t="s">
        <v>67</v>
      </c>
      <c r="AD2890" s="4" t="s">
        <v>63</v>
      </c>
      <c r="AE2890" s="4" t="s">
        <v>63</v>
      </c>
      <c r="AF2890" s="4" t="s">
        <v>63</v>
      </c>
      <c r="AG2890" s="4" t="s">
        <v>63</v>
      </c>
      <c r="AH2890" s="4" t="s">
        <v>63</v>
      </c>
      <c r="AI2890" s="4" t="s">
        <v>63</v>
      </c>
      <c r="AJ2890" s="4" t="s">
        <v>63</v>
      </c>
      <c r="AK2890" s="4" t="s">
        <v>63</v>
      </c>
      <c r="AL2890" s="4" t="s">
        <v>63</v>
      </c>
      <c r="AM2890" s="4" t="s">
        <v>23784</v>
      </c>
      <c r="AN2890" s="4" t="s">
        <v>63</v>
      </c>
      <c r="AO2890" s="4" t="s">
        <v>63</v>
      </c>
      <c r="AP2890" s="4" t="s">
        <v>63</v>
      </c>
      <c r="AQ2890" s="4" t="s">
        <v>63</v>
      </c>
      <c r="AR2890" s="4" t="s">
        <v>63</v>
      </c>
      <c r="AS2890" s="4" t="s">
        <v>63</v>
      </c>
      <c r="AT2890" s="4" t="s">
        <v>63</v>
      </c>
      <c r="AU2890" s="4" t="s">
        <v>63</v>
      </c>
      <c r="AV2890" s="4" t="s">
        <v>63</v>
      </c>
      <c r="AW2890" s="4" t="s">
        <v>63</v>
      </c>
      <c r="AX2890" s="4" t="s">
        <v>63</v>
      </c>
      <c r="AY2890" s="4" t="s">
        <v>63</v>
      </c>
      <c r="AZ2890" s="4" t="s">
        <v>63</v>
      </c>
      <c r="BA2890" s="4" t="s">
        <v>63</v>
      </c>
      <c r="BB2890" s="4" t="s">
        <v>63</v>
      </c>
      <c r="BC2890" s="4" t="s">
        <v>63</v>
      </c>
      <c r="BD2890" s="4" t="s">
        <v>63</v>
      </c>
      <c r="BE2890" s="4" t="s">
        <v>63</v>
      </c>
      <c r="BF2890" s="4" t="s">
        <v>63</v>
      </c>
    </row>
    <row r="2891" spans="1:58">
      <c r="A2891" s="4" t="s">
        <v>58</v>
      </c>
      <c r="B2891" s="4" t="s">
        <v>23792</v>
      </c>
      <c r="C2891" s="4" t="s">
        <v>23793</v>
      </c>
      <c r="D2891" s="4" t="s">
        <v>11901</v>
      </c>
      <c r="E2891" s="4" t="s">
        <v>63</v>
      </c>
      <c r="F2891" s="4">
        <v>2016</v>
      </c>
      <c r="G2891" s="4" t="s">
        <v>198</v>
      </c>
      <c r="H2891" s="4">
        <v>58</v>
      </c>
      <c r="I2891" s="4">
        <v>5</v>
      </c>
      <c r="J2891" s="4" t="s">
        <v>20127</v>
      </c>
      <c r="K2891" s="4" t="s">
        <v>13839</v>
      </c>
      <c r="L2891" s="4" t="s">
        <v>23794</v>
      </c>
      <c r="M2891" s="4" t="s">
        <v>63</v>
      </c>
      <c r="N2891" s="4" t="s">
        <v>23795</v>
      </c>
      <c r="O2891" s="4" t="s">
        <v>63</v>
      </c>
      <c r="P2891" s="4"/>
      <c r="Q2891" s="4" t="s">
        <v>63</v>
      </c>
      <c r="R2891" s="4" t="s">
        <v>63</v>
      </c>
      <c r="S2891" s="4" t="s">
        <v>63</v>
      </c>
      <c r="T2891" s="4" t="s">
        <v>63</v>
      </c>
      <c r="U2891" s="4"/>
      <c r="V2891" s="4"/>
      <c r="W2891" s="4"/>
      <c r="X2891" s="4" t="s">
        <v>63</v>
      </c>
      <c r="Y2891" s="4" t="s">
        <v>11904</v>
      </c>
      <c r="Z2891" s="4" t="s">
        <v>63</v>
      </c>
      <c r="AA2891" s="4" t="s">
        <v>23796</v>
      </c>
      <c r="AB2891" s="4" t="s">
        <v>23797</v>
      </c>
      <c r="AC2891" s="4" t="s">
        <v>67</v>
      </c>
      <c r="AD2891" s="4" t="s">
        <v>63</v>
      </c>
      <c r="AE2891" s="4" t="s">
        <v>63</v>
      </c>
      <c r="AF2891" s="4" t="s">
        <v>63</v>
      </c>
      <c r="AG2891" s="4" t="s">
        <v>63</v>
      </c>
      <c r="AH2891" s="4" t="s">
        <v>63</v>
      </c>
      <c r="AI2891" s="4" t="s">
        <v>63</v>
      </c>
      <c r="AJ2891" s="4" t="s">
        <v>63</v>
      </c>
      <c r="AK2891" s="4" t="s">
        <v>63</v>
      </c>
      <c r="AL2891" s="4" t="s">
        <v>63</v>
      </c>
      <c r="AM2891" s="4" t="s">
        <v>23793</v>
      </c>
      <c r="AN2891" s="4" t="s">
        <v>63</v>
      </c>
      <c r="AO2891" s="4" t="s">
        <v>63</v>
      </c>
      <c r="AP2891" s="4" t="s">
        <v>63</v>
      </c>
      <c r="AQ2891" s="4" t="s">
        <v>63</v>
      </c>
      <c r="AR2891" s="4" t="s">
        <v>63</v>
      </c>
      <c r="AS2891" s="4" t="s">
        <v>63</v>
      </c>
      <c r="AT2891" s="4" t="s">
        <v>63</v>
      </c>
      <c r="AU2891" s="4" t="s">
        <v>63</v>
      </c>
      <c r="AV2891" s="4" t="s">
        <v>63</v>
      </c>
      <c r="AW2891" s="4" t="s">
        <v>63</v>
      </c>
      <c r="AX2891" s="4" t="s">
        <v>63</v>
      </c>
      <c r="AY2891" s="4" t="s">
        <v>63</v>
      </c>
      <c r="AZ2891" s="4" t="s">
        <v>63</v>
      </c>
      <c r="BA2891" s="4" t="s">
        <v>63</v>
      </c>
      <c r="BB2891" s="4" t="s">
        <v>63</v>
      </c>
      <c r="BC2891" s="4" t="s">
        <v>63</v>
      </c>
      <c r="BD2891" s="4" t="s">
        <v>63</v>
      </c>
      <c r="BE2891" s="4" t="s">
        <v>63</v>
      </c>
      <c r="BF2891" s="4" t="s">
        <v>63</v>
      </c>
    </row>
    <row r="2892" spans="1:58">
      <c r="A2892" s="4" t="s">
        <v>58</v>
      </c>
      <c r="B2892" s="4" t="s">
        <v>23798</v>
      </c>
      <c r="C2892" s="4" t="s">
        <v>23799</v>
      </c>
      <c r="D2892" s="4" t="s">
        <v>23800</v>
      </c>
      <c r="E2892" s="4" t="s">
        <v>63</v>
      </c>
      <c r="F2892" s="4">
        <v>2008</v>
      </c>
      <c r="G2892" s="4" t="s">
        <v>138</v>
      </c>
      <c r="H2892" s="4">
        <v>40</v>
      </c>
      <c r="I2892" s="4" t="s">
        <v>63</v>
      </c>
      <c r="J2892" s="4">
        <v>48</v>
      </c>
      <c r="K2892" s="4">
        <v>48</v>
      </c>
      <c r="L2892" s="4" t="s">
        <v>63</v>
      </c>
      <c r="M2892" s="4" t="s">
        <v>63</v>
      </c>
      <c r="N2892" s="4" t="s">
        <v>23801</v>
      </c>
      <c r="O2892" s="4" t="s">
        <v>63</v>
      </c>
      <c r="P2892" s="4"/>
      <c r="Q2892" s="4" t="s">
        <v>63</v>
      </c>
      <c r="R2892" s="4" t="s">
        <v>63</v>
      </c>
      <c r="S2892" s="4" t="s">
        <v>63</v>
      </c>
      <c r="T2892" s="4" t="s">
        <v>63</v>
      </c>
      <c r="U2892" s="4"/>
      <c r="V2892" s="4"/>
      <c r="W2892" s="4"/>
      <c r="X2892" s="4" t="s">
        <v>63</v>
      </c>
      <c r="Y2892" s="4" t="s">
        <v>23802</v>
      </c>
      <c r="Z2892" s="4" t="s">
        <v>63</v>
      </c>
      <c r="AA2892" s="4" t="s">
        <v>23803</v>
      </c>
      <c r="AB2892" s="4" t="s">
        <v>23804</v>
      </c>
      <c r="AC2892" s="4" t="s">
        <v>67</v>
      </c>
      <c r="AD2892" s="4" t="s">
        <v>63</v>
      </c>
      <c r="AE2892" s="4" t="s">
        <v>63</v>
      </c>
      <c r="AF2892" s="4" t="s">
        <v>63</v>
      </c>
      <c r="AG2892" s="4" t="s">
        <v>63</v>
      </c>
      <c r="AH2892" s="4" t="s">
        <v>63</v>
      </c>
      <c r="AI2892" s="4" t="s">
        <v>63</v>
      </c>
      <c r="AJ2892" s="4" t="s">
        <v>63</v>
      </c>
      <c r="AK2892" s="4" t="s">
        <v>63</v>
      </c>
      <c r="AL2892" s="4" t="s">
        <v>63</v>
      </c>
      <c r="AM2892" s="4" t="s">
        <v>23799</v>
      </c>
      <c r="AN2892" s="4" t="s">
        <v>63</v>
      </c>
      <c r="AO2892" s="4" t="s">
        <v>63</v>
      </c>
      <c r="AP2892" s="4" t="s">
        <v>63</v>
      </c>
      <c r="AQ2892" s="4" t="s">
        <v>63</v>
      </c>
      <c r="AR2892" s="4" t="s">
        <v>63</v>
      </c>
      <c r="AS2892" s="4" t="s">
        <v>63</v>
      </c>
      <c r="AT2892" s="4" t="s">
        <v>63</v>
      </c>
      <c r="AU2892" s="4" t="s">
        <v>63</v>
      </c>
      <c r="AV2892" s="4" t="s">
        <v>63</v>
      </c>
      <c r="AW2892" s="4" t="s">
        <v>63</v>
      </c>
      <c r="AX2892" s="4" t="s">
        <v>63</v>
      </c>
      <c r="AY2892" s="4" t="s">
        <v>63</v>
      </c>
      <c r="AZ2892" s="4" t="s">
        <v>63</v>
      </c>
      <c r="BA2892" s="4" t="s">
        <v>63</v>
      </c>
      <c r="BB2892" s="4" t="s">
        <v>63</v>
      </c>
      <c r="BC2892" s="4" t="s">
        <v>63</v>
      </c>
      <c r="BD2892" s="4" t="s">
        <v>63</v>
      </c>
      <c r="BE2892" s="4" t="s">
        <v>63</v>
      </c>
      <c r="BF2892" s="4" t="s">
        <v>63</v>
      </c>
    </row>
    <row r="2893" spans="1:58">
      <c r="A2893" s="4" t="s">
        <v>58</v>
      </c>
      <c r="B2893" s="4" t="s">
        <v>23805</v>
      </c>
      <c r="C2893" s="4" t="s">
        <v>23806</v>
      </c>
      <c r="D2893" s="4" t="s">
        <v>763</v>
      </c>
      <c r="E2893" s="4" t="s">
        <v>63</v>
      </c>
      <c r="F2893" s="4">
        <v>2015</v>
      </c>
      <c r="G2893" s="4" t="s">
        <v>84</v>
      </c>
      <c r="H2893" s="4">
        <v>90</v>
      </c>
      <c r="I2893" s="4">
        <v>4</v>
      </c>
      <c r="J2893" s="4">
        <v>485</v>
      </c>
      <c r="K2893" s="4">
        <v>493</v>
      </c>
      <c r="L2893" s="4" t="s">
        <v>23807</v>
      </c>
      <c r="M2893" s="4" t="s">
        <v>23808</v>
      </c>
      <c r="N2893" s="4" t="s">
        <v>23809</v>
      </c>
      <c r="O2893" s="4" t="s">
        <v>63</v>
      </c>
      <c r="P2893" s="4"/>
      <c r="Q2893" s="4" t="s">
        <v>63</v>
      </c>
      <c r="R2893" s="4" t="s">
        <v>63</v>
      </c>
      <c r="S2893" s="4" t="s">
        <v>63</v>
      </c>
      <c r="T2893" s="4" t="s">
        <v>63</v>
      </c>
      <c r="U2893" s="4"/>
      <c r="V2893" s="4"/>
      <c r="W2893" s="4"/>
      <c r="X2893" s="4" t="s">
        <v>63</v>
      </c>
      <c r="Y2893" s="4" t="s">
        <v>858</v>
      </c>
      <c r="Z2893" s="4" t="s">
        <v>63</v>
      </c>
      <c r="AA2893" s="4" t="s">
        <v>23810</v>
      </c>
      <c r="AB2893" s="4" t="s">
        <v>23811</v>
      </c>
      <c r="AC2893" s="4" t="s">
        <v>67</v>
      </c>
      <c r="AD2893" s="4" t="s">
        <v>63</v>
      </c>
      <c r="AE2893" s="4" t="s">
        <v>63</v>
      </c>
      <c r="AF2893" s="4" t="s">
        <v>63</v>
      </c>
      <c r="AG2893" s="4" t="s">
        <v>63</v>
      </c>
      <c r="AH2893" s="4" t="s">
        <v>63</v>
      </c>
      <c r="AI2893" s="4" t="s">
        <v>23812</v>
      </c>
      <c r="AJ2893" s="4" t="s">
        <v>63</v>
      </c>
      <c r="AK2893" s="4" t="s">
        <v>63</v>
      </c>
      <c r="AL2893" s="4" t="s">
        <v>63</v>
      </c>
      <c r="AM2893" s="4" t="s">
        <v>23806</v>
      </c>
      <c r="AN2893" s="4" t="s">
        <v>63</v>
      </c>
      <c r="AO2893" s="4" t="s">
        <v>63</v>
      </c>
      <c r="AP2893" s="4" t="s">
        <v>63</v>
      </c>
      <c r="AQ2893" s="4" t="s">
        <v>63</v>
      </c>
      <c r="AR2893" s="4" t="s">
        <v>63</v>
      </c>
      <c r="AS2893" s="4" t="s">
        <v>63</v>
      </c>
      <c r="AT2893" s="4" t="s">
        <v>63</v>
      </c>
      <c r="AU2893" s="4" t="s">
        <v>63</v>
      </c>
      <c r="AV2893" s="4" t="s">
        <v>63</v>
      </c>
      <c r="AW2893" s="4" t="s">
        <v>63</v>
      </c>
      <c r="AX2893" s="4" t="s">
        <v>63</v>
      </c>
      <c r="AY2893" s="4" t="s">
        <v>63</v>
      </c>
      <c r="AZ2893" s="4" t="s">
        <v>63</v>
      </c>
      <c r="BA2893" s="4" t="s">
        <v>63</v>
      </c>
      <c r="BB2893" s="4" t="s">
        <v>63</v>
      </c>
      <c r="BC2893" s="4" t="s">
        <v>63</v>
      </c>
      <c r="BD2893" s="4" t="s">
        <v>63</v>
      </c>
      <c r="BE2893" s="4" t="s">
        <v>63</v>
      </c>
      <c r="BF2893" s="4" t="s">
        <v>63</v>
      </c>
    </row>
    <row r="2894" spans="1:58">
      <c r="A2894" s="4" t="s">
        <v>58</v>
      </c>
      <c r="B2894" s="4" t="s">
        <v>23813</v>
      </c>
      <c r="C2894" s="4" t="s">
        <v>23814</v>
      </c>
      <c r="D2894" s="4" t="s">
        <v>938</v>
      </c>
      <c r="E2894" s="4" t="s">
        <v>63</v>
      </c>
      <c r="F2894" s="4">
        <v>2015</v>
      </c>
      <c r="G2894" s="4" t="s">
        <v>198</v>
      </c>
      <c r="H2894" s="4">
        <v>24</v>
      </c>
      <c r="I2894" s="4">
        <v>1</v>
      </c>
      <c r="J2894" s="4">
        <v>71</v>
      </c>
      <c r="K2894" s="4">
        <v>71</v>
      </c>
      <c r="L2894" s="4" t="s">
        <v>63</v>
      </c>
      <c r="M2894" s="4" t="s">
        <v>63</v>
      </c>
      <c r="N2894" s="4" t="s">
        <v>23815</v>
      </c>
      <c r="O2894" s="4" t="s">
        <v>63</v>
      </c>
      <c r="P2894" s="4"/>
      <c r="Q2894" s="4" t="s">
        <v>63</v>
      </c>
      <c r="R2894" s="4" t="s">
        <v>63</v>
      </c>
      <c r="S2894" s="4" t="s">
        <v>63</v>
      </c>
      <c r="T2894" s="4" t="s">
        <v>63</v>
      </c>
      <c r="U2894" s="4"/>
      <c r="V2894" s="4"/>
      <c r="W2894" s="4"/>
      <c r="X2894" s="4" t="s">
        <v>63</v>
      </c>
      <c r="Y2894" s="4" t="s">
        <v>2500</v>
      </c>
      <c r="Z2894" s="4" t="s">
        <v>63</v>
      </c>
      <c r="AA2894" s="4" t="s">
        <v>23816</v>
      </c>
      <c r="AB2894" s="4" t="s">
        <v>23817</v>
      </c>
      <c r="AC2894" s="4" t="s">
        <v>67</v>
      </c>
      <c r="AD2894" s="4" t="s">
        <v>63</v>
      </c>
      <c r="AE2894" s="4" t="s">
        <v>63</v>
      </c>
      <c r="AF2894" s="4" t="s">
        <v>63</v>
      </c>
      <c r="AG2894" s="4" t="s">
        <v>63</v>
      </c>
      <c r="AH2894" s="4" t="s">
        <v>63</v>
      </c>
      <c r="AI2894" s="4" t="s">
        <v>63</v>
      </c>
      <c r="AJ2894" s="4" t="s">
        <v>63</v>
      </c>
      <c r="AK2894" s="4" t="s">
        <v>63</v>
      </c>
      <c r="AL2894" s="4" t="s">
        <v>63</v>
      </c>
      <c r="AM2894" s="4" t="s">
        <v>23814</v>
      </c>
      <c r="AN2894" s="4" t="s">
        <v>63</v>
      </c>
      <c r="AO2894" s="4" t="s">
        <v>63</v>
      </c>
      <c r="AP2894" s="4" t="s">
        <v>63</v>
      </c>
      <c r="AQ2894" s="4" t="s">
        <v>63</v>
      </c>
      <c r="AR2894" s="4" t="s">
        <v>63</v>
      </c>
      <c r="AS2894" s="4" t="s">
        <v>63</v>
      </c>
      <c r="AT2894" s="4" t="s">
        <v>63</v>
      </c>
      <c r="AU2894" s="4" t="s">
        <v>63</v>
      </c>
      <c r="AV2894" s="4" t="s">
        <v>63</v>
      </c>
      <c r="AW2894" s="4" t="s">
        <v>63</v>
      </c>
      <c r="AX2894" s="4" t="s">
        <v>63</v>
      </c>
      <c r="AY2894" s="4" t="s">
        <v>63</v>
      </c>
      <c r="AZ2894" s="4" t="s">
        <v>63</v>
      </c>
      <c r="BA2894" s="4" t="s">
        <v>63</v>
      </c>
      <c r="BB2894" s="4" t="s">
        <v>63</v>
      </c>
      <c r="BC2894" s="4" t="s">
        <v>63</v>
      </c>
      <c r="BD2894" s="4" t="s">
        <v>63</v>
      </c>
      <c r="BE2894" s="4" t="s">
        <v>63</v>
      </c>
      <c r="BF2894" s="4" t="s">
        <v>63</v>
      </c>
    </row>
    <row r="2895" spans="1:58">
      <c r="A2895" s="4" t="s">
        <v>58</v>
      </c>
      <c r="B2895" s="4" t="s">
        <v>3888</v>
      </c>
      <c r="C2895" s="4" t="s">
        <v>23818</v>
      </c>
      <c r="D2895" s="4" t="s">
        <v>3890</v>
      </c>
      <c r="E2895" s="4" t="s">
        <v>3891</v>
      </c>
      <c r="F2895" s="4">
        <v>1974</v>
      </c>
      <c r="G2895" s="4" t="s">
        <v>63</v>
      </c>
      <c r="H2895" s="4">
        <v>9</v>
      </c>
      <c r="I2895" s="4">
        <v>1</v>
      </c>
      <c r="J2895" s="4">
        <v>81</v>
      </c>
      <c r="K2895" s="4">
        <v>99</v>
      </c>
      <c r="L2895" s="4" t="s">
        <v>63</v>
      </c>
      <c r="M2895" s="4" t="s">
        <v>63</v>
      </c>
      <c r="N2895" s="4" t="s">
        <v>23819</v>
      </c>
      <c r="O2895" s="4" t="s">
        <v>63</v>
      </c>
      <c r="P2895" s="4"/>
      <c r="Q2895" s="4" t="s">
        <v>63</v>
      </c>
      <c r="R2895" s="4" t="s">
        <v>63</v>
      </c>
      <c r="S2895" s="4" t="s">
        <v>63</v>
      </c>
      <c r="T2895" s="4" t="s">
        <v>63</v>
      </c>
      <c r="U2895" s="4"/>
      <c r="V2895" s="4"/>
      <c r="W2895" s="4"/>
      <c r="X2895" s="4" t="s">
        <v>63</v>
      </c>
      <c r="Y2895" s="4" t="s">
        <v>3894</v>
      </c>
      <c r="Z2895" s="4" t="s">
        <v>63</v>
      </c>
      <c r="AA2895" s="4" t="s">
        <v>23820</v>
      </c>
      <c r="AB2895" s="4" t="s">
        <v>23821</v>
      </c>
      <c r="AC2895" s="4" t="s">
        <v>67</v>
      </c>
      <c r="AD2895" s="4" t="s">
        <v>63</v>
      </c>
      <c r="AE2895" s="4" t="s">
        <v>63</v>
      </c>
      <c r="AF2895" s="4" t="s">
        <v>63</v>
      </c>
      <c r="AG2895" s="4" t="s">
        <v>63</v>
      </c>
      <c r="AH2895" s="4" t="s">
        <v>63</v>
      </c>
      <c r="AI2895" s="4" t="s">
        <v>23822</v>
      </c>
      <c r="AJ2895" s="4" t="s">
        <v>63</v>
      </c>
      <c r="AK2895" s="4" t="s">
        <v>63</v>
      </c>
      <c r="AL2895" s="4" t="s">
        <v>63</v>
      </c>
      <c r="AM2895" s="4" t="s">
        <v>23818</v>
      </c>
      <c r="AN2895" s="4" t="s">
        <v>63</v>
      </c>
      <c r="AO2895" s="4" t="s">
        <v>63</v>
      </c>
      <c r="AP2895" s="4" t="s">
        <v>63</v>
      </c>
      <c r="AQ2895" s="4" t="s">
        <v>63</v>
      </c>
      <c r="AR2895" s="4" t="s">
        <v>63</v>
      </c>
      <c r="AS2895" s="4" t="s">
        <v>63</v>
      </c>
      <c r="AT2895" s="4" t="s">
        <v>63</v>
      </c>
      <c r="AU2895" s="4" t="s">
        <v>63</v>
      </c>
      <c r="AV2895" s="4" t="s">
        <v>63</v>
      </c>
      <c r="AW2895" s="4" t="s">
        <v>63</v>
      </c>
      <c r="AX2895" s="4" t="s">
        <v>63</v>
      </c>
      <c r="AY2895" s="4" t="s">
        <v>63</v>
      </c>
      <c r="AZ2895" s="4" t="s">
        <v>63</v>
      </c>
      <c r="BA2895" s="4" t="s">
        <v>63</v>
      </c>
      <c r="BB2895" s="4" t="s">
        <v>63</v>
      </c>
      <c r="BC2895" s="4" t="s">
        <v>63</v>
      </c>
      <c r="BD2895" s="4" t="s">
        <v>63</v>
      </c>
      <c r="BE2895" s="4" t="s">
        <v>63</v>
      </c>
      <c r="BF2895" s="4" t="s">
        <v>63</v>
      </c>
    </row>
    <row r="2896" spans="1:58">
      <c r="A2896" s="4" t="s">
        <v>58</v>
      </c>
      <c r="B2896" s="4" t="s">
        <v>23823</v>
      </c>
      <c r="C2896" s="4" t="s">
        <v>23824</v>
      </c>
      <c r="D2896" s="4" t="s">
        <v>23825</v>
      </c>
      <c r="E2896" s="4" t="s">
        <v>63</v>
      </c>
      <c r="F2896" s="4">
        <v>2016</v>
      </c>
      <c r="G2896" s="4" t="s">
        <v>157</v>
      </c>
      <c r="H2896" s="4">
        <v>15</v>
      </c>
      <c r="I2896" s="4">
        <v>4</v>
      </c>
      <c r="J2896" s="4">
        <v>165</v>
      </c>
      <c r="K2896" s="4">
        <v>174</v>
      </c>
      <c r="L2896" s="4" t="s">
        <v>23826</v>
      </c>
      <c r="M2896" s="4" t="s">
        <v>23827</v>
      </c>
      <c r="N2896" s="4" t="s">
        <v>23828</v>
      </c>
      <c r="O2896" s="4" t="s">
        <v>63</v>
      </c>
      <c r="P2896" s="4"/>
      <c r="Q2896" s="4" t="s">
        <v>63</v>
      </c>
      <c r="R2896" s="4" t="s">
        <v>63</v>
      </c>
      <c r="S2896" s="4" t="s">
        <v>63</v>
      </c>
      <c r="T2896" s="4" t="s">
        <v>63</v>
      </c>
      <c r="U2896" s="4"/>
      <c r="V2896" s="4"/>
      <c r="W2896" s="4"/>
      <c r="X2896" s="4" t="s">
        <v>63</v>
      </c>
      <c r="Y2896" s="4" t="s">
        <v>21490</v>
      </c>
      <c r="Z2896" s="4" t="s">
        <v>63</v>
      </c>
      <c r="AA2896" s="4" t="s">
        <v>23829</v>
      </c>
      <c r="AB2896" s="4" t="s">
        <v>23830</v>
      </c>
      <c r="AC2896" s="4" t="s">
        <v>67</v>
      </c>
      <c r="AD2896" s="4" t="s">
        <v>63</v>
      </c>
      <c r="AE2896" s="4" t="s">
        <v>63</v>
      </c>
      <c r="AF2896" s="4" t="s">
        <v>63</v>
      </c>
      <c r="AG2896" s="4" t="s">
        <v>63</v>
      </c>
      <c r="AH2896" s="4" t="s">
        <v>63</v>
      </c>
      <c r="AI2896" s="4" t="s">
        <v>23831</v>
      </c>
      <c r="AJ2896" s="4" t="s">
        <v>63</v>
      </c>
      <c r="AK2896" s="4" t="s">
        <v>63</v>
      </c>
      <c r="AL2896" s="4" t="s">
        <v>63</v>
      </c>
      <c r="AM2896" s="4" t="s">
        <v>23824</v>
      </c>
      <c r="AN2896" s="4" t="s">
        <v>63</v>
      </c>
      <c r="AO2896" s="4" t="s">
        <v>63</v>
      </c>
      <c r="AP2896" s="4" t="s">
        <v>63</v>
      </c>
      <c r="AQ2896" s="4" t="s">
        <v>63</v>
      </c>
      <c r="AR2896" s="4" t="s">
        <v>63</v>
      </c>
      <c r="AS2896" s="4" t="s">
        <v>63</v>
      </c>
      <c r="AT2896" s="4" t="s">
        <v>63</v>
      </c>
      <c r="AU2896" s="4" t="s">
        <v>63</v>
      </c>
      <c r="AV2896" s="4" t="s">
        <v>63</v>
      </c>
      <c r="AW2896" s="4" t="s">
        <v>63</v>
      </c>
      <c r="AX2896" s="4" t="s">
        <v>63</v>
      </c>
      <c r="AY2896" s="4" t="s">
        <v>63</v>
      </c>
      <c r="AZ2896" s="4" t="s">
        <v>63</v>
      </c>
      <c r="BA2896" s="4" t="s">
        <v>63</v>
      </c>
      <c r="BB2896" s="4" t="s">
        <v>63</v>
      </c>
      <c r="BC2896" s="4" t="s">
        <v>63</v>
      </c>
      <c r="BD2896" s="4" t="s">
        <v>63</v>
      </c>
      <c r="BE2896" s="4" t="s">
        <v>63</v>
      </c>
      <c r="BF2896" s="4" t="s">
        <v>63</v>
      </c>
    </row>
    <row r="2897" spans="1:58">
      <c r="A2897" s="4" t="s">
        <v>58</v>
      </c>
      <c r="B2897" s="4" t="s">
        <v>23832</v>
      </c>
      <c r="C2897" s="4" t="s">
        <v>23833</v>
      </c>
      <c r="D2897" s="4" t="s">
        <v>3817</v>
      </c>
      <c r="E2897" s="4" t="s">
        <v>3817</v>
      </c>
      <c r="F2897" s="4">
        <v>1988</v>
      </c>
      <c r="G2897" s="4" t="s">
        <v>147</v>
      </c>
      <c r="H2897" s="4">
        <v>5</v>
      </c>
      <c r="I2897" s="4">
        <v>2</v>
      </c>
      <c r="J2897" s="4">
        <v>181</v>
      </c>
      <c r="K2897" s="4">
        <v>181</v>
      </c>
      <c r="L2897" s="4" t="s">
        <v>63</v>
      </c>
      <c r="M2897" s="4" t="s">
        <v>63</v>
      </c>
      <c r="N2897" s="4" t="s">
        <v>23834</v>
      </c>
      <c r="O2897" s="4" t="s">
        <v>63</v>
      </c>
      <c r="P2897" s="4"/>
      <c r="Q2897" s="4" t="s">
        <v>63</v>
      </c>
      <c r="R2897" s="4" t="s">
        <v>63</v>
      </c>
      <c r="S2897" s="4" t="s">
        <v>63</v>
      </c>
      <c r="T2897" s="4" t="s">
        <v>63</v>
      </c>
      <c r="U2897" s="4"/>
      <c r="V2897" s="4"/>
      <c r="W2897" s="4"/>
      <c r="X2897" s="4" t="s">
        <v>63</v>
      </c>
      <c r="Y2897" s="4" t="s">
        <v>3821</v>
      </c>
      <c r="Z2897" s="4" t="s">
        <v>63</v>
      </c>
      <c r="AA2897" s="4" t="s">
        <v>23835</v>
      </c>
      <c r="AB2897" s="4" t="s">
        <v>23836</v>
      </c>
      <c r="AC2897" s="4" t="s">
        <v>67</v>
      </c>
      <c r="AD2897" s="4" t="s">
        <v>63</v>
      </c>
      <c r="AE2897" s="4" t="s">
        <v>63</v>
      </c>
      <c r="AF2897" s="4" t="s">
        <v>63</v>
      </c>
      <c r="AG2897" s="4" t="s">
        <v>63</v>
      </c>
      <c r="AH2897" s="4" t="s">
        <v>63</v>
      </c>
      <c r="AI2897" s="4" t="s">
        <v>23837</v>
      </c>
      <c r="AJ2897" s="4" t="s">
        <v>63</v>
      </c>
      <c r="AK2897" s="4" t="s">
        <v>63</v>
      </c>
      <c r="AL2897" s="4" t="s">
        <v>63</v>
      </c>
      <c r="AM2897" s="4" t="s">
        <v>23833</v>
      </c>
      <c r="AN2897" s="4" t="s">
        <v>63</v>
      </c>
      <c r="AO2897" s="4" t="s">
        <v>63</v>
      </c>
      <c r="AP2897" s="4" t="s">
        <v>63</v>
      </c>
      <c r="AQ2897" s="4" t="s">
        <v>63</v>
      </c>
      <c r="AR2897" s="4" t="s">
        <v>63</v>
      </c>
      <c r="AS2897" s="4" t="s">
        <v>63</v>
      </c>
      <c r="AT2897" s="4" t="s">
        <v>63</v>
      </c>
      <c r="AU2897" s="4" t="s">
        <v>63</v>
      </c>
      <c r="AV2897" s="4" t="s">
        <v>63</v>
      </c>
      <c r="AW2897" s="4" t="s">
        <v>63</v>
      </c>
      <c r="AX2897" s="4" t="s">
        <v>63</v>
      </c>
      <c r="AY2897" s="4" t="s">
        <v>63</v>
      </c>
      <c r="AZ2897" s="4" t="s">
        <v>63</v>
      </c>
      <c r="BA2897" s="4" t="s">
        <v>63</v>
      </c>
      <c r="BB2897" s="4" t="s">
        <v>63</v>
      </c>
      <c r="BC2897" s="4" t="s">
        <v>63</v>
      </c>
      <c r="BD2897" s="4" t="s">
        <v>63</v>
      </c>
      <c r="BE2897" s="4" t="s">
        <v>63</v>
      </c>
      <c r="BF2897" s="4" t="s">
        <v>63</v>
      </c>
    </row>
    <row r="2898" spans="1:58">
      <c r="A2898" s="4" t="s">
        <v>58</v>
      </c>
      <c r="B2898" s="4" t="s">
        <v>23838</v>
      </c>
      <c r="C2898" s="4" t="s">
        <v>23839</v>
      </c>
      <c r="D2898" s="4" t="s">
        <v>23840</v>
      </c>
      <c r="E2898" s="4" t="s">
        <v>63</v>
      </c>
      <c r="F2898" s="4">
        <v>2018</v>
      </c>
      <c r="G2898" s="4" t="s">
        <v>63</v>
      </c>
      <c r="H2898" s="4">
        <v>9</v>
      </c>
      <c r="I2898" s="4">
        <v>1</v>
      </c>
      <c r="J2898" s="4">
        <v>87</v>
      </c>
      <c r="K2898" s="4">
        <v>91</v>
      </c>
      <c r="L2898" s="4" t="s">
        <v>23841</v>
      </c>
      <c r="M2898" s="4" t="s">
        <v>23842</v>
      </c>
      <c r="N2898" s="4" t="s">
        <v>23843</v>
      </c>
      <c r="O2898" s="4" t="s">
        <v>63</v>
      </c>
      <c r="P2898" s="4"/>
      <c r="Q2898" s="4" t="s">
        <v>63</v>
      </c>
      <c r="R2898" s="4" t="s">
        <v>63</v>
      </c>
      <c r="S2898" s="4" t="s">
        <v>63</v>
      </c>
      <c r="T2898" s="4" t="s">
        <v>63</v>
      </c>
      <c r="U2898" s="4"/>
      <c r="V2898" s="4"/>
      <c r="W2898" s="4"/>
      <c r="X2898" s="4" t="s">
        <v>63</v>
      </c>
      <c r="Y2898" s="4" t="s">
        <v>23844</v>
      </c>
      <c r="Z2898" s="4" t="s">
        <v>63</v>
      </c>
      <c r="AA2898" s="4" t="s">
        <v>23845</v>
      </c>
      <c r="AB2898" s="4" t="s">
        <v>23846</v>
      </c>
      <c r="AC2898" s="4" t="s">
        <v>67</v>
      </c>
      <c r="AD2898" s="4" t="s">
        <v>63</v>
      </c>
      <c r="AE2898" s="4" t="s">
        <v>63</v>
      </c>
      <c r="AF2898" s="4" t="s">
        <v>63</v>
      </c>
      <c r="AG2898" s="4" t="s">
        <v>63</v>
      </c>
      <c r="AH2898" s="4" t="s">
        <v>63</v>
      </c>
      <c r="AI2898" s="4" t="s">
        <v>23847</v>
      </c>
      <c r="AJ2898" s="4" t="s">
        <v>63</v>
      </c>
      <c r="AK2898" s="4" t="s">
        <v>63</v>
      </c>
      <c r="AL2898" s="4" t="s">
        <v>63</v>
      </c>
      <c r="AM2898" s="4" t="s">
        <v>23839</v>
      </c>
      <c r="AN2898" s="4" t="s">
        <v>63</v>
      </c>
      <c r="AO2898" s="4" t="s">
        <v>63</v>
      </c>
      <c r="AP2898" s="4" t="s">
        <v>63</v>
      </c>
      <c r="AQ2898" s="4" t="s">
        <v>63</v>
      </c>
      <c r="AR2898" s="4" t="s">
        <v>63</v>
      </c>
      <c r="AS2898" s="4" t="s">
        <v>63</v>
      </c>
      <c r="AT2898" s="4" t="s">
        <v>63</v>
      </c>
      <c r="AU2898" s="4" t="s">
        <v>63</v>
      </c>
      <c r="AV2898" s="4" t="s">
        <v>63</v>
      </c>
      <c r="AW2898" s="4" t="s">
        <v>63</v>
      </c>
      <c r="AX2898" s="4" t="s">
        <v>63</v>
      </c>
      <c r="AY2898" s="4" t="s">
        <v>63</v>
      </c>
      <c r="AZ2898" s="4" t="s">
        <v>63</v>
      </c>
      <c r="BA2898" s="4" t="s">
        <v>63</v>
      </c>
      <c r="BB2898" s="4" t="s">
        <v>63</v>
      </c>
      <c r="BC2898" s="4" t="s">
        <v>63</v>
      </c>
      <c r="BD2898" s="4" t="s">
        <v>63</v>
      </c>
      <c r="BE2898" s="4" t="s">
        <v>63</v>
      </c>
      <c r="BF2898" s="4" t="s">
        <v>63</v>
      </c>
    </row>
    <row r="2899" spans="1:58">
      <c r="A2899" s="4" t="s">
        <v>58</v>
      </c>
      <c r="B2899" s="4" t="s">
        <v>23848</v>
      </c>
      <c r="C2899" s="4" t="s">
        <v>23849</v>
      </c>
      <c r="D2899" s="4" t="s">
        <v>23850</v>
      </c>
      <c r="E2899" s="4" t="s">
        <v>63</v>
      </c>
      <c r="F2899" s="4">
        <v>2016</v>
      </c>
      <c r="G2899" s="4" t="s">
        <v>63</v>
      </c>
      <c r="H2899" s="4">
        <v>7</v>
      </c>
      <c r="I2899" s="4" t="s">
        <v>63</v>
      </c>
      <c r="J2899" s="4">
        <v>472</v>
      </c>
      <c r="K2899" s="4">
        <v>476</v>
      </c>
      <c r="L2899" s="4" t="s">
        <v>23851</v>
      </c>
      <c r="M2899" s="4" t="s">
        <v>23852</v>
      </c>
      <c r="N2899" s="4" t="s">
        <v>23853</v>
      </c>
      <c r="O2899" s="4" t="s">
        <v>63</v>
      </c>
      <c r="P2899" s="4"/>
      <c r="Q2899" s="4" t="s">
        <v>63</v>
      </c>
      <c r="R2899" s="4" t="s">
        <v>63</v>
      </c>
      <c r="S2899" s="4" t="s">
        <v>63</v>
      </c>
      <c r="T2899" s="4" t="s">
        <v>63</v>
      </c>
      <c r="U2899" s="4"/>
      <c r="V2899" s="4"/>
      <c r="W2899" s="4"/>
      <c r="X2899" s="4" t="s">
        <v>63</v>
      </c>
      <c r="Y2899" s="4" t="s">
        <v>23854</v>
      </c>
      <c r="Z2899" s="4" t="s">
        <v>63</v>
      </c>
      <c r="AA2899" s="4" t="s">
        <v>23855</v>
      </c>
      <c r="AB2899" s="4" t="s">
        <v>23856</v>
      </c>
      <c r="AC2899" s="4" t="s">
        <v>67</v>
      </c>
      <c r="AD2899" s="4" t="s">
        <v>63</v>
      </c>
      <c r="AE2899" s="4" t="s">
        <v>63</v>
      </c>
      <c r="AF2899" s="4" t="s">
        <v>63</v>
      </c>
      <c r="AG2899" s="4" t="s">
        <v>63</v>
      </c>
      <c r="AH2899" s="4" t="s">
        <v>63</v>
      </c>
      <c r="AI2899" s="4" t="s">
        <v>63</v>
      </c>
      <c r="AJ2899" s="4" t="s">
        <v>63</v>
      </c>
      <c r="AK2899" s="4" t="s">
        <v>63</v>
      </c>
      <c r="AL2899" s="4" t="s">
        <v>63</v>
      </c>
      <c r="AM2899" s="4" t="s">
        <v>23849</v>
      </c>
      <c r="AN2899" s="4" t="s">
        <v>63</v>
      </c>
      <c r="AO2899" s="4" t="s">
        <v>63</v>
      </c>
      <c r="AP2899" s="4" t="s">
        <v>63</v>
      </c>
      <c r="AQ2899" s="4" t="s">
        <v>63</v>
      </c>
      <c r="AR2899" s="4" t="s">
        <v>63</v>
      </c>
      <c r="AS2899" s="4" t="s">
        <v>63</v>
      </c>
      <c r="AT2899" s="4" t="s">
        <v>63</v>
      </c>
      <c r="AU2899" s="4" t="s">
        <v>63</v>
      </c>
      <c r="AV2899" s="4" t="s">
        <v>63</v>
      </c>
      <c r="AW2899" s="4" t="s">
        <v>63</v>
      </c>
      <c r="AX2899" s="4" t="s">
        <v>63</v>
      </c>
      <c r="AY2899" s="4" t="s">
        <v>63</v>
      </c>
      <c r="AZ2899" s="4" t="s">
        <v>63</v>
      </c>
      <c r="BA2899" s="4" t="s">
        <v>63</v>
      </c>
      <c r="BB2899" s="4" t="s">
        <v>63</v>
      </c>
      <c r="BC2899" s="4" t="s">
        <v>63</v>
      </c>
      <c r="BD2899" s="4" t="s">
        <v>63</v>
      </c>
      <c r="BE2899" s="4" t="s">
        <v>63</v>
      </c>
      <c r="BF2899" s="4" t="s">
        <v>63</v>
      </c>
    </row>
    <row r="2900" spans="1:58">
      <c r="A2900" s="4" t="s">
        <v>58</v>
      </c>
      <c r="B2900" s="4" t="s">
        <v>23857</v>
      </c>
      <c r="C2900" s="4" t="s">
        <v>23858</v>
      </c>
      <c r="D2900" s="4" t="s">
        <v>938</v>
      </c>
      <c r="E2900" s="4" t="s">
        <v>63</v>
      </c>
      <c r="F2900" s="4">
        <v>2017</v>
      </c>
      <c r="G2900" s="4" t="s">
        <v>84</v>
      </c>
      <c r="H2900" s="4">
        <v>26</v>
      </c>
      <c r="I2900" s="4">
        <v>3</v>
      </c>
      <c r="J2900" s="4">
        <v>279</v>
      </c>
      <c r="K2900" s="4">
        <v>280</v>
      </c>
      <c r="L2900" s="4" t="s">
        <v>63</v>
      </c>
      <c r="M2900" s="4" t="s">
        <v>63</v>
      </c>
      <c r="N2900" s="4" t="s">
        <v>23859</v>
      </c>
      <c r="O2900" s="4" t="s">
        <v>63</v>
      </c>
      <c r="P2900" s="4"/>
      <c r="Q2900" s="4" t="s">
        <v>63</v>
      </c>
      <c r="R2900" s="4" t="s">
        <v>63</v>
      </c>
      <c r="S2900" s="4" t="s">
        <v>63</v>
      </c>
      <c r="T2900" s="4" t="s">
        <v>63</v>
      </c>
      <c r="U2900" s="4"/>
      <c r="V2900" s="4"/>
      <c r="W2900" s="4"/>
      <c r="X2900" s="4" t="s">
        <v>63</v>
      </c>
      <c r="Y2900" s="4" t="s">
        <v>2500</v>
      </c>
      <c r="Z2900" s="4" t="s">
        <v>63</v>
      </c>
      <c r="AA2900" s="4" t="s">
        <v>23860</v>
      </c>
      <c r="AB2900" s="4" t="s">
        <v>23861</v>
      </c>
      <c r="AC2900" s="4" t="s">
        <v>67</v>
      </c>
      <c r="AD2900" s="4" t="s">
        <v>63</v>
      </c>
      <c r="AE2900" s="4" t="s">
        <v>63</v>
      </c>
      <c r="AF2900" s="4" t="s">
        <v>63</v>
      </c>
      <c r="AG2900" s="4" t="s">
        <v>63</v>
      </c>
      <c r="AH2900" s="4" t="s">
        <v>63</v>
      </c>
      <c r="AI2900" s="4" t="s">
        <v>63</v>
      </c>
      <c r="AJ2900" s="4" t="s">
        <v>63</v>
      </c>
      <c r="AK2900" s="4" t="s">
        <v>63</v>
      </c>
      <c r="AL2900" s="4" t="s">
        <v>63</v>
      </c>
      <c r="AM2900" s="4" t="s">
        <v>23858</v>
      </c>
      <c r="AN2900" s="4" t="s">
        <v>63</v>
      </c>
      <c r="AO2900" s="4" t="s">
        <v>63</v>
      </c>
      <c r="AP2900" s="4" t="s">
        <v>63</v>
      </c>
      <c r="AQ2900" s="4" t="s">
        <v>63</v>
      </c>
      <c r="AR2900" s="4" t="s">
        <v>63</v>
      </c>
      <c r="AS2900" s="4" t="s">
        <v>63</v>
      </c>
      <c r="AT2900" s="4" t="s">
        <v>63</v>
      </c>
      <c r="AU2900" s="4" t="s">
        <v>63</v>
      </c>
      <c r="AV2900" s="4" t="s">
        <v>63</v>
      </c>
      <c r="AW2900" s="4" t="s">
        <v>63</v>
      </c>
      <c r="AX2900" s="4" t="s">
        <v>63</v>
      </c>
      <c r="AY2900" s="4" t="s">
        <v>63</v>
      </c>
      <c r="AZ2900" s="4" t="s">
        <v>63</v>
      </c>
      <c r="BA2900" s="4" t="s">
        <v>63</v>
      </c>
      <c r="BB2900" s="4" t="s">
        <v>63</v>
      </c>
      <c r="BC2900" s="4" t="s">
        <v>63</v>
      </c>
      <c r="BD2900" s="4" t="s">
        <v>63</v>
      </c>
      <c r="BE2900" s="4" t="s">
        <v>63</v>
      </c>
      <c r="BF2900" s="4" t="s">
        <v>63</v>
      </c>
    </row>
    <row r="2901" spans="1:58">
      <c r="A2901" s="4" t="s">
        <v>58</v>
      </c>
      <c r="B2901" s="4" t="s">
        <v>4283</v>
      </c>
      <c r="C2901" s="4" t="s">
        <v>23650</v>
      </c>
      <c r="D2901" s="4" t="s">
        <v>2646</v>
      </c>
      <c r="E2901" s="4" t="s">
        <v>2647</v>
      </c>
      <c r="F2901" s="4">
        <v>1992</v>
      </c>
      <c r="G2901" s="4" t="s">
        <v>614</v>
      </c>
      <c r="H2901" s="4">
        <v>85</v>
      </c>
      <c r="I2901" s="4">
        <v>8</v>
      </c>
      <c r="J2901" s="4">
        <v>435</v>
      </c>
      <c r="K2901" s="4">
        <v>436</v>
      </c>
      <c r="L2901" s="4" t="s">
        <v>23862</v>
      </c>
      <c r="M2901" s="4" t="s">
        <v>63</v>
      </c>
      <c r="N2901" s="4" t="s">
        <v>23863</v>
      </c>
      <c r="O2901" s="4" t="s">
        <v>63</v>
      </c>
      <c r="P2901" s="4"/>
      <c r="Q2901" s="4" t="s">
        <v>63</v>
      </c>
      <c r="R2901" s="4" t="s">
        <v>63</v>
      </c>
      <c r="S2901" s="4" t="s">
        <v>63</v>
      </c>
      <c r="T2901" s="4" t="s">
        <v>63</v>
      </c>
      <c r="U2901" s="4"/>
      <c r="V2901" s="4"/>
      <c r="W2901" s="4"/>
      <c r="X2901" s="4" t="s">
        <v>63</v>
      </c>
      <c r="Y2901" s="4" t="s">
        <v>2649</v>
      </c>
      <c r="Z2901" s="4" t="s">
        <v>63</v>
      </c>
      <c r="AA2901" s="4" t="s">
        <v>23864</v>
      </c>
      <c r="AB2901" s="4" t="s">
        <v>23865</v>
      </c>
      <c r="AC2901" s="4" t="s">
        <v>67</v>
      </c>
      <c r="AD2901" s="4" t="s">
        <v>63</v>
      </c>
      <c r="AE2901" s="4" t="s">
        <v>63</v>
      </c>
      <c r="AF2901" s="4" t="s">
        <v>63</v>
      </c>
      <c r="AG2901" s="4" t="s">
        <v>63</v>
      </c>
      <c r="AH2901" s="4" t="s">
        <v>63</v>
      </c>
      <c r="AI2901" s="4" t="s">
        <v>63</v>
      </c>
      <c r="AJ2901" s="4" t="s">
        <v>63</v>
      </c>
      <c r="AK2901" s="4" t="s">
        <v>63</v>
      </c>
      <c r="AL2901" s="4" t="s">
        <v>63</v>
      </c>
      <c r="AM2901" s="4" t="s">
        <v>23650</v>
      </c>
      <c r="AN2901" s="4" t="s">
        <v>63</v>
      </c>
      <c r="AO2901" s="4" t="s">
        <v>63</v>
      </c>
      <c r="AP2901" s="4" t="s">
        <v>63</v>
      </c>
      <c r="AQ2901" s="4" t="s">
        <v>63</v>
      </c>
      <c r="AR2901" s="4" t="s">
        <v>63</v>
      </c>
      <c r="AS2901" s="4" t="s">
        <v>63</v>
      </c>
      <c r="AT2901" s="4" t="s">
        <v>63</v>
      </c>
      <c r="AU2901" s="4" t="s">
        <v>63</v>
      </c>
      <c r="AV2901" s="4" t="s">
        <v>63</v>
      </c>
      <c r="AW2901" s="4" t="s">
        <v>63</v>
      </c>
      <c r="AX2901" s="4" t="s">
        <v>63</v>
      </c>
      <c r="AY2901" s="4" t="s">
        <v>63</v>
      </c>
      <c r="AZ2901" s="4" t="s">
        <v>63</v>
      </c>
      <c r="BA2901" s="4" t="s">
        <v>63</v>
      </c>
      <c r="BB2901" s="4" t="s">
        <v>63</v>
      </c>
      <c r="BC2901" s="4" t="s">
        <v>63</v>
      </c>
      <c r="BD2901" s="4" t="s">
        <v>63</v>
      </c>
      <c r="BE2901" s="4" t="s">
        <v>63</v>
      </c>
      <c r="BF2901" s="4" t="s">
        <v>63</v>
      </c>
    </row>
    <row r="2902" spans="1:58">
      <c r="A2902" s="4" t="s">
        <v>58</v>
      </c>
      <c r="B2902" s="4" t="s">
        <v>4309</v>
      </c>
      <c r="C2902" s="4" t="s">
        <v>23866</v>
      </c>
      <c r="D2902" s="4" t="s">
        <v>3142</v>
      </c>
      <c r="E2902" s="4" t="s">
        <v>3143</v>
      </c>
      <c r="F2902" s="4">
        <v>1991</v>
      </c>
      <c r="G2902" s="4" t="s">
        <v>274</v>
      </c>
      <c r="H2902" s="4">
        <v>151</v>
      </c>
      <c r="I2902" s="4">
        <v>3</v>
      </c>
      <c r="J2902" s="4">
        <v>561</v>
      </c>
      <c r="K2902" s="4">
        <v>564</v>
      </c>
      <c r="L2902" s="4" t="s">
        <v>23867</v>
      </c>
      <c r="M2902" s="4" t="s">
        <v>4312</v>
      </c>
      <c r="N2902" s="4" t="s">
        <v>23868</v>
      </c>
      <c r="O2902" s="4" t="s">
        <v>63</v>
      </c>
      <c r="P2902" s="4"/>
      <c r="Q2902" s="4" t="s">
        <v>63</v>
      </c>
      <c r="R2902" s="4" t="s">
        <v>63</v>
      </c>
      <c r="S2902" s="4" t="s">
        <v>63</v>
      </c>
      <c r="T2902" s="4" t="s">
        <v>63</v>
      </c>
      <c r="U2902" s="4"/>
      <c r="V2902" s="4"/>
      <c r="W2902" s="4"/>
      <c r="X2902" s="4" t="s">
        <v>63</v>
      </c>
      <c r="Y2902" s="5">
        <v>41723</v>
      </c>
      <c r="Z2902" s="4" t="s">
        <v>63</v>
      </c>
      <c r="AA2902" s="4" t="s">
        <v>23869</v>
      </c>
      <c r="AB2902" s="4" t="s">
        <v>23870</v>
      </c>
      <c r="AC2902" s="4" t="s">
        <v>67</v>
      </c>
      <c r="AD2902" s="4" t="s">
        <v>63</v>
      </c>
      <c r="AE2902" s="4" t="s">
        <v>63</v>
      </c>
      <c r="AF2902" s="4" t="s">
        <v>63</v>
      </c>
      <c r="AG2902" s="4" t="s">
        <v>63</v>
      </c>
      <c r="AH2902" s="4" t="s">
        <v>63</v>
      </c>
      <c r="AI2902" s="4" t="s">
        <v>23871</v>
      </c>
      <c r="AJ2902" s="4" t="s">
        <v>63</v>
      </c>
      <c r="AK2902" s="4" t="s">
        <v>63</v>
      </c>
      <c r="AL2902" s="4" t="s">
        <v>63</v>
      </c>
      <c r="AM2902" s="4" t="s">
        <v>23866</v>
      </c>
      <c r="AN2902" s="4" t="s">
        <v>63</v>
      </c>
      <c r="AO2902" s="4" t="s">
        <v>63</v>
      </c>
      <c r="AP2902" s="4" t="s">
        <v>63</v>
      </c>
      <c r="AQ2902" s="4" t="s">
        <v>63</v>
      </c>
      <c r="AR2902" s="4" t="s">
        <v>63</v>
      </c>
      <c r="AS2902" s="4" t="s">
        <v>63</v>
      </c>
      <c r="AT2902" s="4" t="s">
        <v>63</v>
      </c>
      <c r="AU2902" s="4" t="s">
        <v>63</v>
      </c>
      <c r="AV2902" s="4" t="s">
        <v>63</v>
      </c>
      <c r="AW2902" s="4" t="s">
        <v>63</v>
      </c>
      <c r="AX2902" s="4" t="s">
        <v>63</v>
      </c>
      <c r="AY2902" s="4" t="s">
        <v>63</v>
      </c>
      <c r="AZ2902" s="4" t="s">
        <v>63</v>
      </c>
      <c r="BA2902" s="4" t="s">
        <v>63</v>
      </c>
      <c r="BB2902" s="4" t="s">
        <v>63</v>
      </c>
      <c r="BC2902" s="4" t="s">
        <v>63</v>
      </c>
      <c r="BD2902" s="4" t="s">
        <v>63</v>
      </c>
      <c r="BE2902" s="4" t="s">
        <v>63</v>
      </c>
      <c r="BF2902" s="4" t="s">
        <v>63</v>
      </c>
    </row>
    <row r="2903" spans="1:58">
      <c r="A2903" s="4" t="s">
        <v>58</v>
      </c>
      <c r="B2903" s="4" t="s">
        <v>23872</v>
      </c>
      <c r="C2903" s="4" t="s">
        <v>23873</v>
      </c>
      <c r="D2903" s="4" t="s">
        <v>15263</v>
      </c>
      <c r="E2903" s="4" t="s">
        <v>15264</v>
      </c>
      <c r="F2903" s="4">
        <v>2015</v>
      </c>
      <c r="G2903" s="4" t="s">
        <v>84</v>
      </c>
      <c r="H2903" s="4">
        <v>149</v>
      </c>
      <c r="I2903" s="4" t="s">
        <v>63</v>
      </c>
      <c r="J2903" s="4">
        <v>31</v>
      </c>
      <c r="K2903" s="4">
        <v>39</v>
      </c>
      <c r="L2903" s="4" t="s">
        <v>23874</v>
      </c>
      <c r="M2903" s="4" t="s">
        <v>23875</v>
      </c>
      <c r="N2903" s="4" t="s">
        <v>23876</v>
      </c>
      <c r="O2903" s="4" t="s">
        <v>63</v>
      </c>
      <c r="P2903" s="4"/>
      <c r="Q2903" s="4" t="s">
        <v>63</v>
      </c>
      <c r="R2903" s="4" t="s">
        <v>63</v>
      </c>
      <c r="S2903" s="4" t="s">
        <v>63</v>
      </c>
      <c r="T2903" s="4" t="s">
        <v>63</v>
      </c>
      <c r="U2903" s="4"/>
      <c r="V2903" s="4"/>
      <c r="W2903" s="4"/>
      <c r="X2903" s="4" t="s">
        <v>63</v>
      </c>
      <c r="Y2903" s="4" t="s">
        <v>4942</v>
      </c>
      <c r="Z2903" s="4" t="s">
        <v>63</v>
      </c>
      <c r="AA2903" s="4" t="s">
        <v>23877</v>
      </c>
      <c r="AB2903" s="4" t="s">
        <v>23878</v>
      </c>
      <c r="AC2903" s="4" t="s">
        <v>67</v>
      </c>
      <c r="AD2903" s="4" t="s">
        <v>63</v>
      </c>
      <c r="AE2903" s="4" t="s">
        <v>63</v>
      </c>
      <c r="AF2903" s="4" t="s">
        <v>63</v>
      </c>
      <c r="AG2903" s="4" t="s">
        <v>63</v>
      </c>
      <c r="AH2903" s="4" t="s">
        <v>63</v>
      </c>
      <c r="AI2903" s="4" t="s">
        <v>23879</v>
      </c>
      <c r="AJ2903" s="4" t="s">
        <v>63</v>
      </c>
      <c r="AK2903" s="4" t="s">
        <v>63</v>
      </c>
      <c r="AL2903" s="4" t="s">
        <v>63</v>
      </c>
      <c r="AM2903" s="4" t="s">
        <v>23873</v>
      </c>
      <c r="AN2903" s="4" t="s">
        <v>63</v>
      </c>
      <c r="AO2903" s="4" t="s">
        <v>63</v>
      </c>
      <c r="AP2903" s="4" t="s">
        <v>63</v>
      </c>
      <c r="AQ2903" s="4" t="s">
        <v>63</v>
      </c>
      <c r="AR2903" s="4" t="s">
        <v>63</v>
      </c>
      <c r="AS2903" s="4" t="s">
        <v>63</v>
      </c>
      <c r="AT2903" s="4" t="s">
        <v>63</v>
      </c>
      <c r="AU2903" s="4" t="s">
        <v>63</v>
      </c>
      <c r="AV2903" s="4" t="s">
        <v>63</v>
      </c>
      <c r="AW2903" s="4" t="s">
        <v>63</v>
      </c>
      <c r="AX2903" s="4" t="s">
        <v>63</v>
      </c>
      <c r="AY2903" s="4" t="s">
        <v>63</v>
      </c>
      <c r="AZ2903" s="4" t="s">
        <v>63</v>
      </c>
      <c r="BA2903" s="4" t="s">
        <v>63</v>
      </c>
      <c r="BB2903" s="4" t="s">
        <v>63</v>
      </c>
      <c r="BC2903" s="4" t="s">
        <v>63</v>
      </c>
      <c r="BD2903" s="4" t="s">
        <v>63</v>
      </c>
      <c r="BE2903" s="4" t="s">
        <v>63</v>
      </c>
      <c r="BF2903" s="4" t="s">
        <v>63</v>
      </c>
    </row>
    <row r="2904" spans="1:58">
      <c r="A2904" s="4" t="s">
        <v>58</v>
      </c>
      <c r="B2904" s="4" t="s">
        <v>23880</v>
      </c>
      <c r="C2904" s="4" t="s">
        <v>23881</v>
      </c>
      <c r="D2904" s="4" t="s">
        <v>23486</v>
      </c>
      <c r="E2904" s="4" t="s">
        <v>63</v>
      </c>
      <c r="F2904" s="4">
        <v>2000</v>
      </c>
      <c r="G2904" s="4" t="s">
        <v>274</v>
      </c>
      <c r="H2904" s="4">
        <v>283</v>
      </c>
      <c r="I2904" s="4">
        <v>11</v>
      </c>
      <c r="J2904" s="4">
        <v>1427</v>
      </c>
      <c r="K2904" s="4">
        <v>1427</v>
      </c>
      <c r="L2904" s="4" t="s">
        <v>23882</v>
      </c>
      <c r="M2904" s="4" t="s">
        <v>63</v>
      </c>
      <c r="N2904" s="4" t="s">
        <v>23883</v>
      </c>
      <c r="O2904" s="4" t="s">
        <v>63</v>
      </c>
      <c r="P2904" s="4"/>
      <c r="Q2904" s="4" t="s">
        <v>63</v>
      </c>
      <c r="R2904" s="4" t="s">
        <v>63</v>
      </c>
      <c r="S2904" s="4" t="s">
        <v>63</v>
      </c>
      <c r="T2904" s="4" t="s">
        <v>63</v>
      </c>
      <c r="U2904" s="4"/>
      <c r="V2904" s="4"/>
      <c r="W2904" s="4"/>
      <c r="X2904" s="4" t="s">
        <v>63</v>
      </c>
      <c r="Y2904" s="4" t="s">
        <v>208</v>
      </c>
      <c r="Z2904" s="4" t="s">
        <v>63</v>
      </c>
      <c r="AA2904" s="4" t="s">
        <v>23884</v>
      </c>
      <c r="AB2904" s="4" t="s">
        <v>23885</v>
      </c>
      <c r="AC2904" s="4" t="s">
        <v>67</v>
      </c>
      <c r="AD2904" s="4" t="s">
        <v>63</v>
      </c>
      <c r="AE2904" s="4" t="s">
        <v>63</v>
      </c>
      <c r="AF2904" s="4" t="s">
        <v>63</v>
      </c>
      <c r="AG2904" s="4" t="s">
        <v>63</v>
      </c>
      <c r="AH2904" s="4" t="s">
        <v>63</v>
      </c>
      <c r="AI2904" s="4" t="s">
        <v>63</v>
      </c>
      <c r="AJ2904" s="4" t="s">
        <v>63</v>
      </c>
      <c r="AK2904" s="4" t="s">
        <v>63</v>
      </c>
      <c r="AL2904" s="4" t="s">
        <v>63</v>
      </c>
      <c r="AM2904" s="4" t="s">
        <v>23881</v>
      </c>
      <c r="AN2904" s="4" t="s">
        <v>63</v>
      </c>
      <c r="AO2904" s="4" t="s">
        <v>63</v>
      </c>
      <c r="AP2904" s="4" t="s">
        <v>63</v>
      </c>
      <c r="AQ2904" s="4" t="s">
        <v>63</v>
      </c>
      <c r="AR2904" s="4" t="s">
        <v>63</v>
      </c>
      <c r="AS2904" s="4" t="s">
        <v>63</v>
      </c>
      <c r="AT2904" s="4" t="s">
        <v>63</v>
      </c>
      <c r="AU2904" s="4" t="s">
        <v>63</v>
      </c>
      <c r="AV2904" s="4" t="s">
        <v>63</v>
      </c>
      <c r="AW2904" s="4" t="s">
        <v>63</v>
      </c>
      <c r="AX2904" s="4" t="s">
        <v>63</v>
      </c>
      <c r="AY2904" s="4" t="s">
        <v>63</v>
      </c>
      <c r="AZ2904" s="4" t="s">
        <v>63</v>
      </c>
      <c r="BA2904" s="4" t="s">
        <v>63</v>
      </c>
      <c r="BB2904" s="4" t="s">
        <v>63</v>
      </c>
      <c r="BC2904" s="4" t="s">
        <v>63</v>
      </c>
      <c r="BD2904" s="4" t="s">
        <v>63</v>
      </c>
      <c r="BE2904" s="4" t="s">
        <v>63</v>
      </c>
      <c r="BF2904" s="4" t="s">
        <v>63</v>
      </c>
    </row>
    <row r="2905" spans="1:58">
      <c r="A2905" s="4" t="s">
        <v>58</v>
      </c>
      <c r="B2905" s="4" t="s">
        <v>23886</v>
      </c>
      <c r="C2905" s="4" t="s">
        <v>23887</v>
      </c>
      <c r="D2905" s="4" t="s">
        <v>4116</v>
      </c>
      <c r="E2905" s="4" t="s">
        <v>4117</v>
      </c>
      <c r="F2905" s="4">
        <v>1983</v>
      </c>
      <c r="G2905" s="4" t="s">
        <v>63</v>
      </c>
      <c r="H2905" s="4">
        <v>44</v>
      </c>
      <c r="I2905" s="4">
        <v>6</v>
      </c>
      <c r="J2905" s="4">
        <v>1083</v>
      </c>
      <c r="K2905" s="4">
        <v>1087</v>
      </c>
      <c r="L2905" s="4" t="s">
        <v>63</v>
      </c>
      <c r="M2905" s="4" t="s">
        <v>63</v>
      </c>
      <c r="N2905" s="4" t="s">
        <v>23888</v>
      </c>
      <c r="O2905" s="4" t="s">
        <v>63</v>
      </c>
      <c r="P2905" s="4"/>
      <c r="Q2905" s="4" t="s">
        <v>63</v>
      </c>
      <c r="R2905" s="4" t="s">
        <v>63</v>
      </c>
      <c r="S2905" s="4" t="s">
        <v>63</v>
      </c>
      <c r="T2905" s="4" t="s">
        <v>63</v>
      </c>
      <c r="U2905" s="4"/>
      <c r="V2905" s="4"/>
      <c r="W2905" s="4"/>
      <c r="X2905" s="4" t="s">
        <v>63</v>
      </c>
      <c r="Y2905" s="4" t="s">
        <v>4121</v>
      </c>
      <c r="Z2905" s="4" t="s">
        <v>63</v>
      </c>
      <c r="AA2905" s="4" t="s">
        <v>23889</v>
      </c>
      <c r="AB2905" s="4" t="s">
        <v>23890</v>
      </c>
      <c r="AC2905" s="4" t="s">
        <v>67</v>
      </c>
      <c r="AD2905" s="4" t="s">
        <v>63</v>
      </c>
      <c r="AE2905" s="4" t="s">
        <v>63</v>
      </c>
      <c r="AF2905" s="4" t="s">
        <v>63</v>
      </c>
      <c r="AG2905" s="4" t="s">
        <v>63</v>
      </c>
      <c r="AH2905" s="4" t="s">
        <v>63</v>
      </c>
      <c r="AI2905" s="4" t="s">
        <v>23891</v>
      </c>
      <c r="AJ2905" s="4" t="s">
        <v>63</v>
      </c>
      <c r="AK2905" s="4" t="s">
        <v>63</v>
      </c>
      <c r="AL2905" s="4" t="s">
        <v>63</v>
      </c>
      <c r="AM2905" s="4" t="s">
        <v>23887</v>
      </c>
      <c r="AN2905" s="4" t="s">
        <v>63</v>
      </c>
      <c r="AO2905" s="4" t="s">
        <v>63</v>
      </c>
      <c r="AP2905" s="4" t="s">
        <v>63</v>
      </c>
      <c r="AQ2905" s="4" t="s">
        <v>63</v>
      </c>
      <c r="AR2905" s="4" t="s">
        <v>63</v>
      </c>
      <c r="AS2905" s="4" t="s">
        <v>63</v>
      </c>
      <c r="AT2905" s="4" t="s">
        <v>63</v>
      </c>
      <c r="AU2905" s="4" t="s">
        <v>63</v>
      </c>
      <c r="AV2905" s="4" t="s">
        <v>63</v>
      </c>
      <c r="AW2905" s="4" t="s">
        <v>63</v>
      </c>
      <c r="AX2905" s="4" t="s">
        <v>63</v>
      </c>
      <c r="AY2905" s="4" t="s">
        <v>63</v>
      </c>
      <c r="AZ2905" s="4" t="s">
        <v>63</v>
      </c>
      <c r="BA2905" s="4" t="s">
        <v>63</v>
      </c>
      <c r="BB2905" s="4" t="s">
        <v>63</v>
      </c>
      <c r="BC2905" s="4" t="s">
        <v>63</v>
      </c>
      <c r="BD2905" s="4" t="s">
        <v>63</v>
      </c>
      <c r="BE2905" s="4" t="s">
        <v>63</v>
      </c>
      <c r="BF2905" s="4" t="s">
        <v>63</v>
      </c>
    </row>
    <row r="2906" spans="1:58">
      <c r="A2906" s="4" t="s">
        <v>58</v>
      </c>
      <c r="B2906" s="4" t="s">
        <v>4524</v>
      </c>
      <c r="C2906" s="4" t="s">
        <v>23892</v>
      </c>
      <c r="D2906" s="4" t="s">
        <v>763</v>
      </c>
      <c r="E2906" s="4" t="s">
        <v>63</v>
      </c>
      <c r="F2906" s="4">
        <v>1994</v>
      </c>
      <c r="G2906" s="4" t="s">
        <v>189</v>
      </c>
      <c r="H2906" s="4">
        <v>69</v>
      </c>
      <c r="I2906" s="4">
        <v>5</v>
      </c>
      <c r="J2906" s="4">
        <v>362</v>
      </c>
      <c r="K2906" s="4">
        <v>369</v>
      </c>
      <c r="L2906" s="4" t="s">
        <v>23893</v>
      </c>
      <c r="M2906" s="4" t="s">
        <v>23894</v>
      </c>
      <c r="N2906" s="4" t="s">
        <v>23895</v>
      </c>
      <c r="O2906" s="4" t="s">
        <v>63</v>
      </c>
      <c r="P2906" s="4"/>
      <c r="Q2906" s="4" t="s">
        <v>63</v>
      </c>
      <c r="R2906" s="4" t="s">
        <v>63</v>
      </c>
      <c r="S2906" s="4" t="s">
        <v>63</v>
      </c>
      <c r="T2906" s="4" t="s">
        <v>63</v>
      </c>
      <c r="U2906" s="4"/>
      <c r="V2906" s="4"/>
      <c r="W2906" s="4"/>
      <c r="X2906" s="4" t="s">
        <v>63</v>
      </c>
      <c r="Y2906" s="4" t="s">
        <v>858</v>
      </c>
      <c r="Z2906" s="4" t="s">
        <v>63</v>
      </c>
      <c r="AA2906" s="4" t="s">
        <v>23896</v>
      </c>
      <c r="AB2906" s="4" t="s">
        <v>23897</v>
      </c>
      <c r="AC2906" s="4" t="s">
        <v>67</v>
      </c>
      <c r="AD2906" s="4" t="s">
        <v>63</v>
      </c>
      <c r="AE2906" s="4" t="s">
        <v>63</v>
      </c>
      <c r="AF2906" s="4" t="s">
        <v>63</v>
      </c>
      <c r="AG2906" s="4" t="s">
        <v>63</v>
      </c>
      <c r="AH2906" s="4" t="s">
        <v>63</v>
      </c>
      <c r="AI2906" s="4" t="s">
        <v>23898</v>
      </c>
      <c r="AJ2906" s="4" t="s">
        <v>63</v>
      </c>
      <c r="AK2906" s="4" t="s">
        <v>63</v>
      </c>
      <c r="AL2906" s="4" t="s">
        <v>63</v>
      </c>
      <c r="AM2906" s="4" t="s">
        <v>23892</v>
      </c>
      <c r="AN2906" s="4" t="s">
        <v>63</v>
      </c>
      <c r="AO2906" s="4" t="s">
        <v>63</v>
      </c>
      <c r="AP2906" s="4" t="s">
        <v>63</v>
      </c>
      <c r="AQ2906" s="4" t="s">
        <v>63</v>
      </c>
      <c r="AR2906" s="4" t="s">
        <v>63</v>
      </c>
      <c r="AS2906" s="4" t="s">
        <v>63</v>
      </c>
      <c r="AT2906" s="4" t="s">
        <v>63</v>
      </c>
      <c r="AU2906" s="4" t="s">
        <v>63</v>
      </c>
      <c r="AV2906" s="4" t="s">
        <v>63</v>
      </c>
      <c r="AW2906" s="4" t="s">
        <v>63</v>
      </c>
      <c r="AX2906" s="4" t="s">
        <v>63</v>
      </c>
      <c r="AY2906" s="4" t="s">
        <v>63</v>
      </c>
      <c r="AZ2906" s="4" t="s">
        <v>63</v>
      </c>
      <c r="BA2906" s="4" t="s">
        <v>63</v>
      </c>
      <c r="BB2906" s="4" t="s">
        <v>63</v>
      </c>
      <c r="BC2906" s="4" t="s">
        <v>63</v>
      </c>
      <c r="BD2906" s="4" t="s">
        <v>63</v>
      </c>
      <c r="BE2906" s="4" t="s">
        <v>63</v>
      </c>
      <c r="BF2906" s="4" t="s">
        <v>63</v>
      </c>
    </row>
    <row r="2907" spans="1:58">
      <c r="A2907" s="4" t="s">
        <v>58</v>
      </c>
      <c r="B2907" s="4" t="s">
        <v>23899</v>
      </c>
      <c r="C2907" s="4" t="s">
        <v>23900</v>
      </c>
      <c r="D2907" s="4" t="s">
        <v>15589</v>
      </c>
      <c r="E2907" s="4" t="s">
        <v>63</v>
      </c>
      <c r="F2907" s="4">
        <v>2013</v>
      </c>
      <c r="G2907" s="4" t="s">
        <v>63</v>
      </c>
      <c r="H2907" s="4">
        <v>28</v>
      </c>
      <c r="I2907" s="4" t="s">
        <v>63</v>
      </c>
      <c r="J2907" s="4" t="s">
        <v>63</v>
      </c>
      <c r="K2907" s="4" t="s">
        <v>63</v>
      </c>
      <c r="L2907" s="4" t="s">
        <v>63</v>
      </c>
      <c r="M2907" s="4" t="s">
        <v>63</v>
      </c>
      <c r="N2907" s="4" t="s">
        <v>23901</v>
      </c>
      <c r="O2907" s="4" t="s">
        <v>63</v>
      </c>
      <c r="P2907" s="4"/>
      <c r="Q2907" s="4" t="s">
        <v>63</v>
      </c>
      <c r="R2907" s="4" t="s">
        <v>63</v>
      </c>
      <c r="S2907" s="4" t="s">
        <v>63</v>
      </c>
      <c r="T2907" s="4" t="s">
        <v>63</v>
      </c>
      <c r="U2907" s="4"/>
      <c r="V2907" s="4"/>
      <c r="W2907" s="4"/>
      <c r="X2907" s="4" t="s">
        <v>63</v>
      </c>
      <c r="Y2907" s="4" t="s">
        <v>3365</v>
      </c>
      <c r="Z2907" s="4" t="s">
        <v>63</v>
      </c>
      <c r="AA2907" s="4" t="s">
        <v>63</v>
      </c>
      <c r="AB2907" s="4" t="s">
        <v>23902</v>
      </c>
      <c r="AC2907" s="4" t="s">
        <v>67</v>
      </c>
      <c r="AD2907" s="4" t="s">
        <v>63</v>
      </c>
      <c r="AE2907" s="4" t="s">
        <v>63</v>
      </c>
      <c r="AF2907" s="4" t="s">
        <v>63</v>
      </c>
      <c r="AG2907" s="4" t="s">
        <v>63</v>
      </c>
      <c r="AH2907" s="4" t="s">
        <v>63</v>
      </c>
      <c r="AI2907" s="4" t="s">
        <v>23903</v>
      </c>
      <c r="AJ2907" s="4" t="s">
        <v>63</v>
      </c>
      <c r="AK2907" s="4" t="s">
        <v>63</v>
      </c>
      <c r="AL2907" s="4" t="s">
        <v>63</v>
      </c>
      <c r="AM2907" s="4" t="s">
        <v>23900</v>
      </c>
      <c r="AN2907" s="4" t="s">
        <v>63</v>
      </c>
      <c r="AO2907" s="4" t="s">
        <v>63</v>
      </c>
      <c r="AP2907" s="4" t="s">
        <v>63</v>
      </c>
      <c r="AQ2907" s="4" t="s">
        <v>63</v>
      </c>
      <c r="AR2907" s="4" t="s">
        <v>63</v>
      </c>
      <c r="AS2907" s="4" t="s">
        <v>63</v>
      </c>
      <c r="AT2907" s="4" t="s">
        <v>63</v>
      </c>
      <c r="AU2907" s="4" t="s">
        <v>63</v>
      </c>
      <c r="AV2907" s="4" t="s">
        <v>63</v>
      </c>
      <c r="AW2907" s="4" t="s">
        <v>63</v>
      </c>
      <c r="AX2907" s="4" t="s">
        <v>63</v>
      </c>
      <c r="AY2907" s="4" t="s">
        <v>63</v>
      </c>
      <c r="AZ2907" s="4" t="s">
        <v>63</v>
      </c>
      <c r="BA2907" s="4" t="s">
        <v>63</v>
      </c>
      <c r="BB2907" s="4" t="s">
        <v>63</v>
      </c>
      <c r="BC2907" s="4" t="s">
        <v>63</v>
      </c>
      <c r="BD2907" s="4" t="s">
        <v>63</v>
      </c>
      <c r="BE2907" s="4" t="s">
        <v>63</v>
      </c>
      <c r="BF2907" s="4" t="s">
        <v>63</v>
      </c>
    </row>
    <row r="2908" spans="1:58">
      <c r="A2908" s="4" t="s">
        <v>58</v>
      </c>
      <c r="B2908" s="4" t="s">
        <v>23904</v>
      </c>
      <c r="C2908" s="4" t="s">
        <v>23905</v>
      </c>
      <c r="D2908" s="4" t="s">
        <v>938</v>
      </c>
      <c r="E2908" s="4" t="s">
        <v>63</v>
      </c>
      <c r="F2908" s="4">
        <v>2006</v>
      </c>
      <c r="G2908" s="4" t="s">
        <v>908</v>
      </c>
      <c r="H2908" s="4">
        <v>15</v>
      </c>
      <c r="I2908" s="4">
        <v>4</v>
      </c>
      <c r="J2908" s="4">
        <v>317</v>
      </c>
      <c r="K2908" s="4">
        <v>317</v>
      </c>
      <c r="L2908" s="4" t="s">
        <v>63</v>
      </c>
      <c r="M2908" s="4" t="s">
        <v>63</v>
      </c>
      <c r="N2908" s="4" t="s">
        <v>23906</v>
      </c>
      <c r="O2908" s="4" t="s">
        <v>63</v>
      </c>
      <c r="P2908" s="4"/>
      <c r="Q2908" s="4" t="s">
        <v>63</v>
      </c>
      <c r="R2908" s="4" t="s">
        <v>63</v>
      </c>
      <c r="S2908" s="4" t="s">
        <v>63</v>
      </c>
      <c r="T2908" s="4" t="s">
        <v>63</v>
      </c>
      <c r="U2908" s="4"/>
      <c r="V2908" s="4"/>
      <c r="W2908" s="4"/>
      <c r="X2908" s="4" t="s">
        <v>63</v>
      </c>
      <c r="Y2908" s="4" t="s">
        <v>2500</v>
      </c>
      <c r="Z2908" s="4" t="s">
        <v>63</v>
      </c>
      <c r="AA2908" s="4" t="s">
        <v>23907</v>
      </c>
      <c r="AB2908" s="4" t="s">
        <v>23908</v>
      </c>
      <c r="AC2908" s="4" t="s">
        <v>67</v>
      </c>
      <c r="AD2908" s="4" t="s">
        <v>63</v>
      </c>
      <c r="AE2908" s="4" t="s">
        <v>63</v>
      </c>
      <c r="AF2908" s="4" t="s">
        <v>63</v>
      </c>
      <c r="AG2908" s="4" t="s">
        <v>63</v>
      </c>
      <c r="AH2908" s="4" t="s">
        <v>63</v>
      </c>
      <c r="AI2908" s="4" t="s">
        <v>63</v>
      </c>
      <c r="AJ2908" s="4" t="s">
        <v>63</v>
      </c>
      <c r="AK2908" s="4" t="s">
        <v>63</v>
      </c>
      <c r="AL2908" s="4" t="s">
        <v>63</v>
      </c>
      <c r="AM2908" s="4" t="s">
        <v>23905</v>
      </c>
      <c r="AN2908" s="4" t="s">
        <v>63</v>
      </c>
      <c r="AO2908" s="4" t="s">
        <v>63</v>
      </c>
      <c r="AP2908" s="4" t="s">
        <v>63</v>
      </c>
      <c r="AQ2908" s="4" t="s">
        <v>63</v>
      </c>
      <c r="AR2908" s="4" t="s">
        <v>63</v>
      </c>
      <c r="AS2908" s="4" t="s">
        <v>63</v>
      </c>
      <c r="AT2908" s="4" t="s">
        <v>63</v>
      </c>
      <c r="AU2908" s="4" t="s">
        <v>63</v>
      </c>
      <c r="AV2908" s="4" t="s">
        <v>63</v>
      </c>
      <c r="AW2908" s="4" t="s">
        <v>63</v>
      </c>
      <c r="AX2908" s="4" t="s">
        <v>63</v>
      </c>
      <c r="AY2908" s="4" t="s">
        <v>63</v>
      </c>
      <c r="AZ2908" s="4" t="s">
        <v>63</v>
      </c>
      <c r="BA2908" s="4" t="s">
        <v>63</v>
      </c>
      <c r="BB2908" s="4" t="s">
        <v>63</v>
      </c>
      <c r="BC2908" s="4" t="s">
        <v>63</v>
      </c>
      <c r="BD2908" s="4" t="s">
        <v>63</v>
      </c>
      <c r="BE2908" s="4" t="s">
        <v>63</v>
      </c>
      <c r="BF2908" s="4" t="s">
        <v>63</v>
      </c>
    </row>
    <row r="2909" spans="1:58">
      <c r="A2909" s="4" t="s">
        <v>58</v>
      </c>
      <c r="B2909" s="4" t="s">
        <v>23909</v>
      </c>
      <c r="C2909" s="4" t="s">
        <v>23910</v>
      </c>
      <c r="D2909" s="4" t="s">
        <v>790</v>
      </c>
      <c r="E2909" s="4" t="s">
        <v>791</v>
      </c>
      <c r="F2909" s="4">
        <v>2008</v>
      </c>
      <c r="G2909" s="4" t="s">
        <v>1670</v>
      </c>
      <c r="H2909" s="4">
        <v>33</v>
      </c>
      <c r="I2909" s="4">
        <v>7</v>
      </c>
      <c r="J2909" s="4">
        <v>934</v>
      </c>
      <c r="K2909" s="4">
        <v>941</v>
      </c>
      <c r="L2909" s="4" t="s">
        <v>23911</v>
      </c>
      <c r="M2909" s="4" t="s">
        <v>23912</v>
      </c>
      <c r="N2909" s="4" t="s">
        <v>23913</v>
      </c>
      <c r="O2909" s="4" t="s">
        <v>63</v>
      </c>
      <c r="P2909" s="4"/>
      <c r="Q2909" s="4" t="s">
        <v>63</v>
      </c>
      <c r="R2909" s="4" t="s">
        <v>63</v>
      </c>
      <c r="S2909" s="4" t="s">
        <v>63</v>
      </c>
      <c r="T2909" s="4" t="s">
        <v>63</v>
      </c>
      <c r="U2909" s="4"/>
      <c r="V2909" s="4"/>
      <c r="W2909" s="4"/>
      <c r="X2909" s="4" t="s">
        <v>63</v>
      </c>
      <c r="Y2909" s="4" t="s">
        <v>795</v>
      </c>
      <c r="Z2909" s="4" t="s">
        <v>63</v>
      </c>
      <c r="AA2909" s="4" t="s">
        <v>23914</v>
      </c>
      <c r="AB2909" s="4" t="s">
        <v>23915</v>
      </c>
      <c r="AC2909" s="4" t="s">
        <v>67</v>
      </c>
      <c r="AD2909" s="4" t="s">
        <v>63</v>
      </c>
      <c r="AE2909" s="4" t="s">
        <v>63</v>
      </c>
      <c r="AF2909" s="4" t="s">
        <v>63</v>
      </c>
      <c r="AG2909" s="4" t="s">
        <v>63</v>
      </c>
      <c r="AH2909" s="4" t="s">
        <v>63</v>
      </c>
      <c r="AI2909" s="4" t="s">
        <v>23916</v>
      </c>
      <c r="AJ2909" s="4" t="s">
        <v>63</v>
      </c>
      <c r="AK2909" s="4" t="s">
        <v>63</v>
      </c>
      <c r="AL2909" s="4" t="s">
        <v>63</v>
      </c>
      <c r="AM2909" s="4" t="s">
        <v>23910</v>
      </c>
      <c r="AN2909" s="4" t="s">
        <v>63</v>
      </c>
      <c r="AO2909" s="4" t="s">
        <v>63</v>
      </c>
      <c r="AP2909" s="4" t="s">
        <v>63</v>
      </c>
      <c r="AQ2909" s="4" t="s">
        <v>63</v>
      </c>
      <c r="AR2909" s="4" t="s">
        <v>63</v>
      </c>
      <c r="AS2909" s="4" t="s">
        <v>63</v>
      </c>
      <c r="AT2909" s="4" t="s">
        <v>63</v>
      </c>
      <c r="AU2909" s="4" t="s">
        <v>63</v>
      </c>
      <c r="AV2909" s="4" t="s">
        <v>63</v>
      </c>
      <c r="AW2909" s="4" t="s">
        <v>63</v>
      </c>
      <c r="AX2909" s="4" t="s">
        <v>63</v>
      </c>
      <c r="AY2909" s="4" t="s">
        <v>63</v>
      </c>
      <c r="AZ2909" s="4" t="s">
        <v>63</v>
      </c>
      <c r="BA2909" s="4" t="s">
        <v>63</v>
      </c>
      <c r="BB2909" s="4" t="s">
        <v>63</v>
      </c>
      <c r="BC2909" s="4" t="s">
        <v>63</v>
      </c>
      <c r="BD2909" s="4" t="s">
        <v>63</v>
      </c>
      <c r="BE2909" s="4" t="s">
        <v>63</v>
      </c>
      <c r="BF2909" s="4" t="s">
        <v>63</v>
      </c>
    </row>
    <row r="2910" spans="1:58">
      <c r="A2910" s="4" t="s">
        <v>58</v>
      </c>
      <c r="B2910" s="4" t="s">
        <v>23917</v>
      </c>
      <c r="C2910" s="4" t="s">
        <v>23918</v>
      </c>
      <c r="D2910" s="4" t="s">
        <v>20150</v>
      </c>
      <c r="E2910" s="4" t="s">
        <v>20151</v>
      </c>
      <c r="F2910" s="4">
        <v>2014</v>
      </c>
      <c r="G2910" s="4" t="s">
        <v>219</v>
      </c>
      <c r="H2910" s="4">
        <v>33</v>
      </c>
      <c r="I2910" s="4" t="s">
        <v>63</v>
      </c>
      <c r="J2910" s="4">
        <v>27</v>
      </c>
      <c r="K2910" s="4">
        <v>27</v>
      </c>
      <c r="L2910" s="4" t="s">
        <v>63</v>
      </c>
      <c r="M2910" s="4" t="s">
        <v>63</v>
      </c>
      <c r="N2910" s="4" t="s">
        <v>23919</v>
      </c>
      <c r="O2910" s="4" t="s">
        <v>63</v>
      </c>
      <c r="P2910" s="4"/>
      <c r="Q2910" s="4" t="s">
        <v>63</v>
      </c>
      <c r="R2910" s="4" t="s">
        <v>63</v>
      </c>
      <c r="S2910" s="4" t="s">
        <v>63</v>
      </c>
      <c r="T2910" s="4" t="s">
        <v>63</v>
      </c>
      <c r="U2910" s="4"/>
      <c r="V2910" s="4"/>
      <c r="W2910" s="4"/>
      <c r="X2910" s="4" t="s">
        <v>63</v>
      </c>
      <c r="Y2910" s="4" t="s">
        <v>644</v>
      </c>
      <c r="Z2910" s="4" t="s">
        <v>63</v>
      </c>
      <c r="AA2910" s="4" t="s">
        <v>23920</v>
      </c>
      <c r="AB2910" s="4" t="s">
        <v>23921</v>
      </c>
      <c r="AC2910" s="4" t="s">
        <v>67</v>
      </c>
      <c r="AD2910" s="4" t="s">
        <v>63</v>
      </c>
      <c r="AE2910" s="4" t="s">
        <v>63</v>
      </c>
      <c r="AF2910" s="4" t="s">
        <v>63</v>
      </c>
      <c r="AG2910" s="4" t="s">
        <v>63</v>
      </c>
      <c r="AH2910" s="4" t="s">
        <v>63</v>
      </c>
      <c r="AI2910" s="4" t="s">
        <v>63</v>
      </c>
      <c r="AJ2910" s="4" t="s">
        <v>63</v>
      </c>
      <c r="AK2910" s="4" t="s">
        <v>63</v>
      </c>
      <c r="AL2910" s="4" t="s">
        <v>63</v>
      </c>
      <c r="AM2910" s="4" t="s">
        <v>23918</v>
      </c>
      <c r="AN2910" s="4" t="s">
        <v>63</v>
      </c>
      <c r="AO2910" s="4" t="s">
        <v>63</v>
      </c>
      <c r="AP2910" s="4" t="s">
        <v>63</v>
      </c>
      <c r="AQ2910" s="4" t="s">
        <v>63</v>
      </c>
      <c r="AR2910" s="4" t="s">
        <v>63</v>
      </c>
      <c r="AS2910" s="4" t="s">
        <v>63</v>
      </c>
      <c r="AT2910" s="4" t="s">
        <v>63</v>
      </c>
      <c r="AU2910" s="4" t="s">
        <v>63</v>
      </c>
      <c r="AV2910" s="4" t="s">
        <v>63</v>
      </c>
      <c r="AW2910" s="4" t="s">
        <v>63</v>
      </c>
      <c r="AX2910" s="4" t="s">
        <v>63</v>
      </c>
      <c r="AY2910" s="4" t="s">
        <v>63</v>
      </c>
      <c r="AZ2910" s="4" t="s">
        <v>63</v>
      </c>
      <c r="BA2910" s="4" t="s">
        <v>63</v>
      </c>
      <c r="BB2910" s="4" t="s">
        <v>63</v>
      </c>
      <c r="BC2910" s="4" t="s">
        <v>63</v>
      </c>
      <c r="BD2910" s="4" t="s">
        <v>63</v>
      </c>
      <c r="BE2910" s="4" t="s">
        <v>63</v>
      </c>
      <c r="BF2910" s="4" t="s">
        <v>63</v>
      </c>
    </row>
    <row r="2911" spans="1:58">
      <c r="A2911" s="4" t="s">
        <v>58</v>
      </c>
      <c r="B2911" s="4" t="s">
        <v>23922</v>
      </c>
      <c r="C2911" s="4" t="s">
        <v>23923</v>
      </c>
      <c r="D2911" s="4" t="s">
        <v>23924</v>
      </c>
      <c r="E2911" s="4" t="s">
        <v>23925</v>
      </c>
      <c r="F2911" s="4">
        <v>1990</v>
      </c>
      <c r="G2911" s="4" t="s">
        <v>23926</v>
      </c>
      <c r="H2911" s="4">
        <v>35</v>
      </c>
      <c r="I2911" s="4">
        <v>3</v>
      </c>
      <c r="J2911" s="4">
        <v>54</v>
      </c>
      <c r="K2911" s="4">
        <v>65</v>
      </c>
      <c r="L2911" s="4" t="s">
        <v>63</v>
      </c>
      <c r="M2911" s="4" t="s">
        <v>63</v>
      </c>
      <c r="N2911" s="4" t="s">
        <v>23927</v>
      </c>
      <c r="O2911" s="4" t="s">
        <v>63</v>
      </c>
      <c r="P2911" s="4"/>
      <c r="Q2911" s="4" t="s">
        <v>63</v>
      </c>
      <c r="R2911" s="4" t="s">
        <v>63</v>
      </c>
      <c r="S2911" s="4" t="s">
        <v>63</v>
      </c>
      <c r="T2911" s="4" t="s">
        <v>63</v>
      </c>
      <c r="U2911" s="4"/>
      <c r="V2911" s="4"/>
      <c r="W2911" s="4"/>
      <c r="X2911" s="4" t="s">
        <v>63</v>
      </c>
      <c r="Y2911" s="4" t="s">
        <v>23928</v>
      </c>
      <c r="Z2911" s="4" t="s">
        <v>63</v>
      </c>
      <c r="AA2911" s="4" t="s">
        <v>23929</v>
      </c>
      <c r="AB2911" s="4" t="s">
        <v>23930</v>
      </c>
      <c r="AC2911" s="4" t="s">
        <v>67</v>
      </c>
      <c r="AD2911" s="4" t="s">
        <v>63</v>
      </c>
      <c r="AE2911" s="4" t="s">
        <v>63</v>
      </c>
      <c r="AF2911" s="4" t="s">
        <v>63</v>
      </c>
      <c r="AG2911" s="4" t="s">
        <v>63</v>
      </c>
      <c r="AH2911" s="4" t="s">
        <v>63</v>
      </c>
      <c r="AI2911" s="4" t="s">
        <v>63</v>
      </c>
      <c r="AJ2911" s="4" t="s">
        <v>63</v>
      </c>
      <c r="AK2911" s="4" t="s">
        <v>63</v>
      </c>
      <c r="AL2911" s="4" t="s">
        <v>63</v>
      </c>
      <c r="AM2911" s="4" t="s">
        <v>23923</v>
      </c>
      <c r="AN2911" s="4" t="s">
        <v>63</v>
      </c>
      <c r="AO2911" s="4" t="s">
        <v>63</v>
      </c>
      <c r="AP2911" s="4" t="s">
        <v>63</v>
      </c>
      <c r="AQ2911" s="4" t="s">
        <v>63</v>
      </c>
      <c r="AR2911" s="4" t="s">
        <v>63</v>
      </c>
      <c r="AS2911" s="4" t="s">
        <v>63</v>
      </c>
      <c r="AT2911" s="4" t="s">
        <v>63</v>
      </c>
      <c r="AU2911" s="4" t="s">
        <v>63</v>
      </c>
      <c r="AV2911" s="4" t="s">
        <v>63</v>
      </c>
      <c r="AW2911" s="4" t="s">
        <v>63</v>
      </c>
      <c r="AX2911" s="4" t="s">
        <v>63</v>
      </c>
      <c r="AY2911" s="4" t="s">
        <v>63</v>
      </c>
      <c r="AZ2911" s="4" t="s">
        <v>63</v>
      </c>
      <c r="BA2911" s="4" t="s">
        <v>63</v>
      </c>
      <c r="BB2911" s="4" t="s">
        <v>63</v>
      </c>
      <c r="BC2911" s="4" t="s">
        <v>63</v>
      </c>
      <c r="BD2911" s="4" t="s">
        <v>63</v>
      </c>
      <c r="BE2911" s="4" t="s">
        <v>63</v>
      </c>
      <c r="BF2911" s="4" t="s">
        <v>63</v>
      </c>
    </row>
    <row r="2912" spans="1:58">
      <c r="A2912" s="4" t="s">
        <v>58</v>
      </c>
      <c r="B2912" s="4" t="s">
        <v>23931</v>
      </c>
      <c r="C2912" s="4" t="s">
        <v>23932</v>
      </c>
      <c r="D2912" s="4" t="s">
        <v>4030</v>
      </c>
      <c r="E2912" s="4" t="s">
        <v>4031</v>
      </c>
      <c r="F2912" s="4">
        <v>1988</v>
      </c>
      <c r="G2912" s="4" t="s">
        <v>63</v>
      </c>
      <c r="H2912" s="4">
        <v>18</v>
      </c>
      <c r="I2912" s="4">
        <v>2</v>
      </c>
      <c r="J2912" s="4">
        <v>97</v>
      </c>
      <c r="K2912" s="4">
        <v>108</v>
      </c>
      <c r="L2912" s="4" t="s">
        <v>63</v>
      </c>
      <c r="M2912" s="4" t="s">
        <v>63</v>
      </c>
      <c r="N2912" s="4" t="s">
        <v>23933</v>
      </c>
      <c r="O2912" s="4" t="s">
        <v>63</v>
      </c>
      <c r="P2912" s="4"/>
      <c r="Q2912" s="4" t="s">
        <v>63</v>
      </c>
      <c r="R2912" s="4" t="s">
        <v>63</v>
      </c>
      <c r="S2912" s="4" t="s">
        <v>63</v>
      </c>
      <c r="T2912" s="4" t="s">
        <v>63</v>
      </c>
      <c r="U2912" s="4"/>
      <c r="V2912" s="4"/>
      <c r="W2912" s="4"/>
      <c r="X2912" s="4" t="s">
        <v>63</v>
      </c>
      <c r="Y2912" s="4" t="s">
        <v>4035</v>
      </c>
      <c r="Z2912" s="4" t="s">
        <v>63</v>
      </c>
      <c r="AA2912" s="4" t="s">
        <v>23934</v>
      </c>
      <c r="AB2912" s="4" t="s">
        <v>23935</v>
      </c>
      <c r="AC2912" s="4" t="s">
        <v>67</v>
      </c>
      <c r="AD2912" s="4" t="s">
        <v>63</v>
      </c>
      <c r="AE2912" s="4" t="s">
        <v>63</v>
      </c>
      <c r="AF2912" s="4" t="s">
        <v>63</v>
      </c>
      <c r="AG2912" s="4" t="s">
        <v>63</v>
      </c>
      <c r="AH2912" s="4" t="s">
        <v>63</v>
      </c>
      <c r="AI2912" s="4" t="s">
        <v>23936</v>
      </c>
      <c r="AJ2912" s="4" t="s">
        <v>63</v>
      </c>
      <c r="AK2912" s="4" t="s">
        <v>63</v>
      </c>
      <c r="AL2912" s="4" t="s">
        <v>63</v>
      </c>
      <c r="AM2912" s="4" t="s">
        <v>23932</v>
      </c>
      <c r="AN2912" s="4" t="s">
        <v>63</v>
      </c>
      <c r="AO2912" s="4" t="s">
        <v>63</v>
      </c>
      <c r="AP2912" s="4" t="s">
        <v>63</v>
      </c>
      <c r="AQ2912" s="4" t="s">
        <v>63</v>
      </c>
      <c r="AR2912" s="4" t="s">
        <v>63</v>
      </c>
      <c r="AS2912" s="4" t="s">
        <v>63</v>
      </c>
      <c r="AT2912" s="4" t="s">
        <v>63</v>
      </c>
      <c r="AU2912" s="4" t="s">
        <v>63</v>
      </c>
      <c r="AV2912" s="4" t="s">
        <v>63</v>
      </c>
      <c r="AW2912" s="4" t="s">
        <v>63</v>
      </c>
      <c r="AX2912" s="4" t="s">
        <v>63</v>
      </c>
      <c r="AY2912" s="4" t="s">
        <v>63</v>
      </c>
      <c r="AZ2912" s="4" t="s">
        <v>63</v>
      </c>
      <c r="BA2912" s="4" t="s">
        <v>63</v>
      </c>
      <c r="BB2912" s="4" t="s">
        <v>63</v>
      </c>
      <c r="BC2912" s="4" t="s">
        <v>63</v>
      </c>
      <c r="BD2912" s="4" t="s">
        <v>63</v>
      </c>
      <c r="BE2912" s="4" t="s">
        <v>63</v>
      </c>
      <c r="BF2912" s="4" t="s">
        <v>63</v>
      </c>
    </row>
    <row r="2913" spans="1:58">
      <c r="A2913" s="4" t="s">
        <v>58</v>
      </c>
      <c r="B2913" s="4" t="s">
        <v>4894</v>
      </c>
      <c r="C2913" s="4" t="s">
        <v>23937</v>
      </c>
      <c r="D2913" s="4" t="s">
        <v>19568</v>
      </c>
      <c r="E2913" s="4" t="s">
        <v>19569</v>
      </c>
      <c r="F2913" s="4">
        <v>1991</v>
      </c>
      <c r="G2913" s="4" t="s">
        <v>63</v>
      </c>
      <c r="H2913" s="4">
        <v>17</v>
      </c>
      <c r="I2913" s="4">
        <v>1</v>
      </c>
      <c r="J2913" s="4">
        <v>1</v>
      </c>
      <c r="K2913" s="4">
        <v>12</v>
      </c>
      <c r="L2913" s="4" t="s">
        <v>23938</v>
      </c>
      <c r="M2913" s="4" t="s">
        <v>63</v>
      </c>
      <c r="N2913" s="4" t="s">
        <v>23939</v>
      </c>
      <c r="O2913" s="4" t="s">
        <v>63</v>
      </c>
      <c r="P2913" s="4"/>
      <c r="Q2913" s="4" t="s">
        <v>63</v>
      </c>
      <c r="R2913" s="4" t="s">
        <v>63</v>
      </c>
      <c r="S2913" s="4" t="s">
        <v>63</v>
      </c>
      <c r="T2913" s="4" t="s">
        <v>63</v>
      </c>
      <c r="U2913" s="4"/>
      <c r="V2913" s="4"/>
      <c r="W2913" s="4"/>
      <c r="X2913" s="4" t="s">
        <v>63</v>
      </c>
      <c r="Y2913" s="4" t="s">
        <v>1683</v>
      </c>
      <c r="Z2913" s="4" t="s">
        <v>63</v>
      </c>
      <c r="AA2913" s="4" t="s">
        <v>23940</v>
      </c>
      <c r="AB2913" s="4" t="s">
        <v>23941</v>
      </c>
      <c r="AC2913" s="4" t="s">
        <v>67</v>
      </c>
      <c r="AD2913" s="4" t="s">
        <v>63</v>
      </c>
      <c r="AE2913" s="4" t="s">
        <v>63</v>
      </c>
      <c r="AF2913" s="4" t="s">
        <v>63</v>
      </c>
      <c r="AG2913" s="4" t="s">
        <v>63</v>
      </c>
      <c r="AH2913" s="4" t="s">
        <v>63</v>
      </c>
      <c r="AI2913" s="4" t="s">
        <v>23942</v>
      </c>
      <c r="AJ2913" s="4" t="s">
        <v>63</v>
      </c>
      <c r="AK2913" s="4" t="s">
        <v>63</v>
      </c>
      <c r="AL2913" s="4" t="s">
        <v>63</v>
      </c>
      <c r="AM2913" s="4" t="s">
        <v>23937</v>
      </c>
      <c r="AN2913" s="4" t="s">
        <v>63</v>
      </c>
      <c r="AO2913" s="4" t="s">
        <v>63</v>
      </c>
      <c r="AP2913" s="4" t="s">
        <v>63</v>
      </c>
      <c r="AQ2913" s="4" t="s">
        <v>63</v>
      </c>
      <c r="AR2913" s="4" t="s">
        <v>63</v>
      </c>
      <c r="AS2913" s="4" t="s">
        <v>63</v>
      </c>
      <c r="AT2913" s="4" t="s">
        <v>63</v>
      </c>
      <c r="AU2913" s="4" t="s">
        <v>63</v>
      </c>
      <c r="AV2913" s="4" t="s">
        <v>63</v>
      </c>
      <c r="AW2913" s="4" t="s">
        <v>63</v>
      </c>
      <c r="AX2913" s="4" t="s">
        <v>63</v>
      </c>
      <c r="AY2913" s="4" t="s">
        <v>63</v>
      </c>
      <c r="AZ2913" s="4" t="s">
        <v>63</v>
      </c>
      <c r="BA2913" s="4" t="s">
        <v>63</v>
      </c>
      <c r="BB2913" s="4" t="s">
        <v>63</v>
      </c>
      <c r="BC2913" s="4" t="s">
        <v>63</v>
      </c>
      <c r="BD2913" s="4" t="s">
        <v>63</v>
      </c>
      <c r="BE2913" s="4" t="s">
        <v>63</v>
      </c>
      <c r="BF2913" s="4" t="s">
        <v>63</v>
      </c>
    </row>
    <row r="2914" spans="1:58">
      <c r="A2914" s="4" t="s">
        <v>58</v>
      </c>
      <c r="B2914" s="4" t="s">
        <v>23943</v>
      </c>
      <c r="C2914" s="4" t="s">
        <v>23944</v>
      </c>
      <c r="D2914" s="4" t="s">
        <v>23945</v>
      </c>
      <c r="E2914" s="4" t="s">
        <v>63</v>
      </c>
      <c r="F2914" s="4">
        <v>2017</v>
      </c>
      <c r="G2914" s="4" t="s">
        <v>138</v>
      </c>
      <c r="H2914" s="4">
        <v>11</v>
      </c>
      <c r="I2914" s="4">
        <v>10</v>
      </c>
      <c r="J2914" s="4" t="s">
        <v>23946</v>
      </c>
      <c r="K2914" s="4" t="s">
        <v>23947</v>
      </c>
      <c r="L2914" s="4" t="s">
        <v>23948</v>
      </c>
      <c r="M2914" s="4" t="s">
        <v>23949</v>
      </c>
      <c r="N2914" s="4" t="s">
        <v>23950</v>
      </c>
      <c r="O2914" s="4" t="s">
        <v>63</v>
      </c>
      <c r="P2914" s="4"/>
      <c r="Q2914" s="4" t="s">
        <v>63</v>
      </c>
      <c r="R2914" s="4" t="s">
        <v>63</v>
      </c>
      <c r="S2914" s="4" t="s">
        <v>63</v>
      </c>
      <c r="T2914" s="4" t="s">
        <v>63</v>
      </c>
      <c r="U2914" s="4"/>
      <c r="V2914" s="4"/>
      <c r="W2914" s="4"/>
      <c r="X2914" s="4" t="s">
        <v>63</v>
      </c>
      <c r="Y2914" s="4" t="s">
        <v>23951</v>
      </c>
      <c r="Z2914" s="4" t="s">
        <v>63</v>
      </c>
      <c r="AA2914" s="4" t="s">
        <v>23952</v>
      </c>
      <c r="AB2914" s="4" t="s">
        <v>23953</v>
      </c>
      <c r="AC2914" s="4" t="s">
        <v>67</v>
      </c>
      <c r="AD2914" s="4" t="s">
        <v>63</v>
      </c>
      <c r="AE2914" s="4" t="s">
        <v>63</v>
      </c>
      <c r="AF2914" s="4" t="s">
        <v>63</v>
      </c>
      <c r="AG2914" s="4" t="s">
        <v>63</v>
      </c>
      <c r="AH2914" s="4" t="s">
        <v>63</v>
      </c>
      <c r="AI2914" s="4" t="s">
        <v>23954</v>
      </c>
      <c r="AJ2914" s="4" t="s">
        <v>63</v>
      </c>
      <c r="AK2914" s="4" t="s">
        <v>63</v>
      </c>
      <c r="AL2914" s="4" t="s">
        <v>63</v>
      </c>
      <c r="AM2914" s="4" t="s">
        <v>23944</v>
      </c>
      <c r="AN2914" s="4" t="s">
        <v>63</v>
      </c>
      <c r="AO2914" s="4" t="s">
        <v>63</v>
      </c>
      <c r="AP2914" s="4" t="s">
        <v>63</v>
      </c>
      <c r="AQ2914" s="4" t="s">
        <v>63</v>
      </c>
      <c r="AR2914" s="4" t="s">
        <v>63</v>
      </c>
      <c r="AS2914" s="4" t="s">
        <v>63</v>
      </c>
      <c r="AT2914" s="4" t="s">
        <v>63</v>
      </c>
      <c r="AU2914" s="4" t="s">
        <v>63</v>
      </c>
      <c r="AV2914" s="4" t="s">
        <v>63</v>
      </c>
      <c r="AW2914" s="4" t="s">
        <v>63</v>
      </c>
      <c r="AX2914" s="4" t="s">
        <v>63</v>
      </c>
      <c r="AY2914" s="4" t="s">
        <v>63</v>
      </c>
      <c r="AZ2914" s="4" t="s">
        <v>63</v>
      </c>
      <c r="BA2914" s="4" t="s">
        <v>63</v>
      </c>
      <c r="BB2914" s="4" t="s">
        <v>63</v>
      </c>
      <c r="BC2914" s="4" t="s">
        <v>63</v>
      </c>
      <c r="BD2914" s="4" t="s">
        <v>63</v>
      </c>
      <c r="BE2914" s="4" t="s">
        <v>63</v>
      </c>
      <c r="BF2914" s="4" t="s">
        <v>63</v>
      </c>
    </row>
    <row r="2915" spans="1:58">
      <c r="A2915" s="4" t="s">
        <v>58</v>
      </c>
      <c r="B2915" s="4" t="s">
        <v>23955</v>
      </c>
      <c r="C2915" s="4" t="s">
        <v>23956</v>
      </c>
      <c r="D2915" s="4" t="s">
        <v>21738</v>
      </c>
      <c r="E2915" s="4" t="s">
        <v>21739</v>
      </c>
      <c r="F2915" s="4">
        <v>2009</v>
      </c>
      <c r="G2915" s="4" t="s">
        <v>157</v>
      </c>
      <c r="H2915" s="4">
        <v>14</v>
      </c>
      <c r="I2915" s="4" t="s">
        <v>63</v>
      </c>
      <c r="J2915" s="4">
        <v>86</v>
      </c>
      <c r="K2915" s="4">
        <v>89</v>
      </c>
      <c r="L2915" s="4" t="s">
        <v>23957</v>
      </c>
      <c r="M2915" s="4" t="s">
        <v>23958</v>
      </c>
      <c r="N2915" s="4" t="s">
        <v>23959</v>
      </c>
      <c r="O2915" s="4" t="s">
        <v>63</v>
      </c>
      <c r="P2915" s="4"/>
      <c r="Q2915" s="4" t="s">
        <v>63</v>
      </c>
      <c r="R2915" s="4" t="s">
        <v>63</v>
      </c>
      <c r="S2915" s="4" t="s">
        <v>63</v>
      </c>
      <c r="T2915" s="4" t="s">
        <v>63</v>
      </c>
      <c r="U2915" s="4"/>
      <c r="V2915" s="4"/>
      <c r="W2915" s="4"/>
      <c r="X2915" s="4" t="s">
        <v>63</v>
      </c>
      <c r="Y2915" s="4" t="s">
        <v>21743</v>
      </c>
      <c r="Z2915" s="4" t="s">
        <v>63</v>
      </c>
      <c r="AA2915" s="4" t="s">
        <v>23960</v>
      </c>
      <c r="AB2915" s="4" t="s">
        <v>23961</v>
      </c>
      <c r="AC2915" s="4" t="s">
        <v>67</v>
      </c>
      <c r="AD2915" s="4" t="s">
        <v>63</v>
      </c>
      <c r="AE2915" s="4" t="s">
        <v>63</v>
      </c>
      <c r="AF2915" s="4" t="s">
        <v>63</v>
      </c>
      <c r="AG2915" s="4" t="s">
        <v>63</v>
      </c>
      <c r="AH2915" s="4" t="s">
        <v>63</v>
      </c>
      <c r="AI2915" s="4" t="s">
        <v>63</v>
      </c>
      <c r="AJ2915" s="4" t="s">
        <v>63</v>
      </c>
      <c r="AK2915" s="4" t="s">
        <v>63</v>
      </c>
      <c r="AL2915" s="4" t="s">
        <v>63</v>
      </c>
      <c r="AM2915" s="4" t="s">
        <v>23956</v>
      </c>
      <c r="AN2915" s="4" t="s">
        <v>63</v>
      </c>
      <c r="AO2915" s="4" t="s">
        <v>63</v>
      </c>
      <c r="AP2915" s="4" t="s">
        <v>63</v>
      </c>
      <c r="AQ2915" s="4" t="s">
        <v>63</v>
      </c>
      <c r="AR2915" s="4" t="s">
        <v>63</v>
      </c>
      <c r="AS2915" s="4" t="s">
        <v>63</v>
      </c>
      <c r="AT2915" s="4" t="s">
        <v>63</v>
      </c>
      <c r="AU2915" s="4" t="s">
        <v>63</v>
      </c>
      <c r="AV2915" s="4" t="s">
        <v>63</v>
      </c>
      <c r="AW2915" s="4" t="s">
        <v>63</v>
      </c>
      <c r="AX2915" s="4" t="s">
        <v>63</v>
      </c>
      <c r="AY2915" s="4" t="s">
        <v>63</v>
      </c>
      <c r="AZ2915" s="4" t="s">
        <v>63</v>
      </c>
      <c r="BA2915" s="4" t="s">
        <v>63</v>
      </c>
      <c r="BB2915" s="4" t="s">
        <v>63</v>
      </c>
      <c r="BC2915" s="4" t="s">
        <v>63</v>
      </c>
      <c r="BD2915" s="4" t="s">
        <v>63</v>
      </c>
      <c r="BE2915" s="4" t="s">
        <v>63</v>
      </c>
      <c r="BF2915" s="4" t="s">
        <v>63</v>
      </c>
    </row>
    <row r="2916" spans="1:58">
      <c r="A2916" s="4" t="s">
        <v>58</v>
      </c>
      <c r="B2916" s="4" t="s">
        <v>23962</v>
      </c>
      <c r="C2916" s="4" t="s">
        <v>23963</v>
      </c>
      <c r="D2916" s="4" t="s">
        <v>23964</v>
      </c>
      <c r="E2916" s="4" t="s">
        <v>63</v>
      </c>
      <c r="F2916" s="4">
        <v>2016</v>
      </c>
      <c r="G2916" s="4" t="s">
        <v>614</v>
      </c>
      <c r="H2916" s="4">
        <v>22</v>
      </c>
      <c r="I2916" s="4" t="s">
        <v>63</v>
      </c>
      <c r="J2916" s="4">
        <v>105</v>
      </c>
      <c r="K2916" s="4">
        <v>110</v>
      </c>
      <c r="L2916" s="4" t="s">
        <v>23965</v>
      </c>
      <c r="M2916" s="4" t="s">
        <v>23966</v>
      </c>
      <c r="N2916" s="4" t="s">
        <v>23967</v>
      </c>
      <c r="O2916" s="4" t="s">
        <v>63</v>
      </c>
      <c r="P2916" s="4"/>
      <c r="Q2916" s="4" t="s">
        <v>63</v>
      </c>
      <c r="R2916" s="4" t="s">
        <v>63</v>
      </c>
      <c r="S2916" s="4" t="s">
        <v>63</v>
      </c>
      <c r="T2916" s="4" t="s">
        <v>63</v>
      </c>
      <c r="U2916" s="4"/>
      <c r="V2916" s="4"/>
      <c r="W2916" s="4"/>
      <c r="X2916" s="4" t="s">
        <v>63</v>
      </c>
      <c r="Y2916" s="4" t="s">
        <v>23968</v>
      </c>
      <c r="Z2916" s="4" t="s">
        <v>63</v>
      </c>
      <c r="AA2916" s="4" t="s">
        <v>23969</v>
      </c>
      <c r="AB2916" s="4" t="s">
        <v>23970</v>
      </c>
      <c r="AC2916" s="4" t="s">
        <v>67</v>
      </c>
      <c r="AD2916" s="4" t="s">
        <v>63</v>
      </c>
      <c r="AE2916" s="4" t="s">
        <v>63</v>
      </c>
      <c r="AF2916" s="4" t="s">
        <v>63</v>
      </c>
      <c r="AG2916" s="4" t="s">
        <v>63</v>
      </c>
      <c r="AH2916" s="4" t="s">
        <v>63</v>
      </c>
      <c r="AI2916" s="4" t="s">
        <v>23971</v>
      </c>
      <c r="AJ2916" s="4" t="s">
        <v>63</v>
      </c>
      <c r="AK2916" s="4" t="s">
        <v>63</v>
      </c>
      <c r="AL2916" s="4" t="s">
        <v>63</v>
      </c>
      <c r="AM2916" s="4" t="s">
        <v>23963</v>
      </c>
      <c r="AN2916" s="4" t="s">
        <v>63</v>
      </c>
      <c r="AO2916" s="4" t="s">
        <v>63</v>
      </c>
      <c r="AP2916" s="4" t="s">
        <v>63</v>
      </c>
      <c r="AQ2916" s="4" t="s">
        <v>63</v>
      </c>
      <c r="AR2916" s="4" t="s">
        <v>63</v>
      </c>
      <c r="AS2916" s="4" t="s">
        <v>63</v>
      </c>
      <c r="AT2916" s="4" t="s">
        <v>63</v>
      </c>
      <c r="AU2916" s="4" t="s">
        <v>63</v>
      </c>
      <c r="AV2916" s="4" t="s">
        <v>63</v>
      </c>
      <c r="AW2916" s="4" t="s">
        <v>63</v>
      </c>
      <c r="AX2916" s="4" t="s">
        <v>63</v>
      </c>
      <c r="AY2916" s="4" t="s">
        <v>63</v>
      </c>
      <c r="AZ2916" s="4" t="s">
        <v>63</v>
      </c>
      <c r="BA2916" s="4" t="s">
        <v>63</v>
      </c>
      <c r="BB2916" s="4" t="s">
        <v>63</v>
      </c>
      <c r="BC2916" s="4" t="s">
        <v>63</v>
      </c>
      <c r="BD2916" s="4" t="s">
        <v>63</v>
      </c>
      <c r="BE2916" s="4" t="s">
        <v>63</v>
      </c>
      <c r="BF2916" s="4" t="s">
        <v>63</v>
      </c>
    </row>
    <row r="2917" spans="1:58">
      <c r="A2917" s="4" t="s">
        <v>58</v>
      </c>
      <c r="B2917" s="4" t="s">
        <v>23972</v>
      </c>
      <c r="C2917" s="4" t="s">
        <v>23973</v>
      </c>
      <c r="D2917" s="4" t="s">
        <v>23974</v>
      </c>
      <c r="E2917" s="4" t="s">
        <v>63</v>
      </c>
      <c r="F2917" s="4">
        <v>2015</v>
      </c>
      <c r="G2917" s="4" t="s">
        <v>326</v>
      </c>
      <c r="H2917" s="4">
        <v>63</v>
      </c>
      <c r="I2917" s="4">
        <v>2</v>
      </c>
      <c r="J2917" s="4">
        <v>54</v>
      </c>
      <c r="K2917" s="4">
        <v>63</v>
      </c>
      <c r="L2917" s="4" t="s">
        <v>23975</v>
      </c>
      <c r="M2917" s="4" t="s">
        <v>23976</v>
      </c>
      <c r="N2917" s="4" t="s">
        <v>23977</v>
      </c>
      <c r="O2917" s="4" t="s">
        <v>63</v>
      </c>
      <c r="P2917" s="4"/>
      <c r="Q2917" s="4" t="s">
        <v>63</v>
      </c>
      <c r="R2917" s="4" t="s">
        <v>63</v>
      </c>
      <c r="S2917" s="4" t="s">
        <v>63</v>
      </c>
      <c r="T2917" s="4" t="s">
        <v>63</v>
      </c>
      <c r="U2917" s="4"/>
      <c r="V2917" s="4"/>
      <c r="W2917" s="4"/>
      <c r="X2917" s="4" t="s">
        <v>63</v>
      </c>
      <c r="Y2917" s="4" t="s">
        <v>23978</v>
      </c>
      <c r="Z2917" s="4" t="s">
        <v>63</v>
      </c>
      <c r="AA2917" s="4" t="s">
        <v>23979</v>
      </c>
      <c r="AB2917" s="4" t="s">
        <v>23980</v>
      </c>
      <c r="AC2917" s="4" t="s">
        <v>67</v>
      </c>
      <c r="AD2917" s="4" t="s">
        <v>63</v>
      </c>
      <c r="AE2917" s="4" t="s">
        <v>63</v>
      </c>
      <c r="AF2917" s="4" t="s">
        <v>63</v>
      </c>
      <c r="AG2917" s="4" t="s">
        <v>63</v>
      </c>
      <c r="AH2917" s="4" t="s">
        <v>63</v>
      </c>
      <c r="AI2917" s="4" t="s">
        <v>23981</v>
      </c>
      <c r="AJ2917" s="4" t="s">
        <v>63</v>
      </c>
      <c r="AK2917" s="4" t="s">
        <v>63</v>
      </c>
      <c r="AL2917" s="4" t="s">
        <v>63</v>
      </c>
      <c r="AM2917" s="4" t="s">
        <v>23973</v>
      </c>
      <c r="AN2917" s="4" t="s">
        <v>63</v>
      </c>
      <c r="AO2917" s="4" t="s">
        <v>63</v>
      </c>
      <c r="AP2917" s="4" t="s">
        <v>63</v>
      </c>
      <c r="AQ2917" s="4" t="s">
        <v>63</v>
      </c>
      <c r="AR2917" s="4" t="s">
        <v>63</v>
      </c>
      <c r="AS2917" s="4" t="s">
        <v>63</v>
      </c>
      <c r="AT2917" s="4" t="s">
        <v>63</v>
      </c>
      <c r="AU2917" s="4" t="s">
        <v>63</v>
      </c>
      <c r="AV2917" s="4" t="s">
        <v>63</v>
      </c>
      <c r="AW2917" s="4" t="s">
        <v>63</v>
      </c>
      <c r="AX2917" s="4" t="s">
        <v>63</v>
      </c>
      <c r="AY2917" s="4" t="s">
        <v>63</v>
      </c>
      <c r="AZ2917" s="4" t="s">
        <v>63</v>
      </c>
      <c r="BA2917" s="4" t="s">
        <v>63</v>
      </c>
      <c r="BB2917" s="4" t="s">
        <v>63</v>
      </c>
      <c r="BC2917" s="4" t="s">
        <v>63</v>
      </c>
      <c r="BD2917" s="4" t="s">
        <v>63</v>
      </c>
      <c r="BE2917" s="4" t="s">
        <v>63</v>
      </c>
      <c r="BF2917" s="4" t="s">
        <v>63</v>
      </c>
    </row>
    <row r="2918" spans="1:58">
      <c r="A2918" s="4" t="s">
        <v>58</v>
      </c>
      <c r="B2918" s="4" t="s">
        <v>23982</v>
      </c>
      <c r="C2918" s="4" t="s">
        <v>23983</v>
      </c>
      <c r="D2918" s="4" t="s">
        <v>23984</v>
      </c>
      <c r="E2918" s="4" t="s">
        <v>63</v>
      </c>
      <c r="F2918" s="4">
        <v>1978</v>
      </c>
      <c r="G2918" s="4" t="s">
        <v>63</v>
      </c>
      <c r="H2918" s="4">
        <v>2</v>
      </c>
      <c r="I2918" s="4">
        <v>2</v>
      </c>
      <c r="J2918" s="4">
        <v>202</v>
      </c>
      <c r="K2918" s="4">
        <v>202</v>
      </c>
      <c r="L2918" s="4" t="s">
        <v>63</v>
      </c>
      <c r="M2918" s="4" t="s">
        <v>63</v>
      </c>
      <c r="N2918" s="4" t="s">
        <v>23985</v>
      </c>
      <c r="O2918" s="4" t="s">
        <v>63</v>
      </c>
      <c r="P2918" s="4"/>
      <c r="Q2918" s="4" t="s">
        <v>63</v>
      </c>
      <c r="R2918" s="4" t="s">
        <v>63</v>
      </c>
      <c r="S2918" s="4" t="s">
        <v>63</v>
      </c>
      <c r="T2918" s="4" t="s">
        <v>63</v>
      </c>
      <c r="U2918" s="4"/>
      <c r="V2918" s="4"/>
      <c r="W2918" s="4"/>
      <c r="X2918" s="4" t="s">
        <v>63</v>
      </c>
      <c r="Y2918" s="4" t="s">
        <v>4853</v>
      </c>
      <c r="Z2918" s="4" t="s">
        <v>63</v>
      </c>
      <c r="AA2918" s="4" t="s">
        <v>23986</v>
      </c>
      <c r="AB2918" s="4" t="s">
        <v>23987</v>
      </c>
      <c r="AC2918" s="4" t="s">
        <v>67</v>
      </c>
      <c r="AD2918" s="4" t="s">
        <v>63</v>
      </c>
      <c r="AE2918" s="4" t="s">
        <v>63</v>
      </c>
      <c r="AF2918" s="4" t="s">
        <v>63</v>
      </c>
      <c r="AG2918" s="4" t="s">
        <v>63</v>
      </c>
      <c r="AH2918" s="4" t="s">
        <v>63</v>
      </c>
      <c r="AI2918" s="4" t="s">
        <v>63</v>
      </c>
      <c r="AJ2918" s="4" t="s">
        <v>63</v>
      </c>
      <c r="AK2918" s="4" t="s">
        <v>63</v>
      </c>
      <c r="AL2918" s="4" t="s">
        <v>63</v>
      </c>
      <c r="AM2918" s="4" t="s">
        <v>23983</v>
      </c>
      <c r="AN2918" s="4" t="s">
        <v>63</v>
      </c>
      <c r="AO2918" s="4" t="s">
        <v>63</v>
      </c>
      <c r="AP2918" s="4" t="s">
        <v>63</v>
      </c>
      <c r="AQ2918" s="4" t="s">
        <v>63</v>
      </c>
      <c r="AR2918" s="4" t="s">
        <v>63</v>
      </c>
      <c r="AS2918" s="4" t="s">
        <v>63</v>
      </c>
      <c r="AT2918" s="4" t="s">
        <v>63</v>
      </c>
      <c r="AU2918" s="4" t="s">
        <v>63</v>
      </c>
      <c r="AV2918" s="4" t="s">
        <v>63</v>
      </c>
      <c r="AW2918" s="4" t="s">
        <v>63</v>
      </c>
      <c r="AX2918" s="4" t="s">
        <v>63</v>
      </c>
      <c r="AY2918" s="4" t="s">
        <v>63</v>
      </c>
      <c r="AZ2918" s="4" t="s">
        <v>63</v>
      </c>
      <c r="BA2918" s="4" t="s">
        <v>63</v>
      </c>
      <c r="BB2918" s="4" t="s">
        <v>63</v>
      </c>
      <c r="BC2918" s="4" t="s">
        <v>63</v>
      </c>
      <c r="BD2918" s="4" t="s">
        <v>63</v>
      </c>
      <c r="BE2918" s="4" t="s">
        <v>63</v>
      </c>
      <c r="BF2918" s="4" t="s">
        <v>63</v>
      </c>
    </row>
    <row r="2919" spans="1:58">
      <c r="A2919" s="4" t="s">
        <v>58</v>
      </c>
      <c r="B2919" s="4" t="s">
        <v>23988</v>
      </c>
      <c r="C2919" s="4" t="s">
        <v>23989</v>
      </c>
      <c r="D2919" s="4" t="s">
        <v>250</v>
      </c>
      <c r="E2919" s="4" t="s">
        <v>251</v>
      </c>
      <c r="F2919" s="4">
        <v>1966</v>
      </c>
      <c r="G2919" s="4" t="s">
        <v>63</v>
      </c>
      <c r="H2919" s="4">
        <v>95</v>
      </c>
      <c r="I2919" s="4">
        <v>22</v>
      </c>
      <c r="J2919" s="4">
        <v>1158</v>
      </c>
      <c r="K2919" s="4" t="s">
        <v>23277</v>
      </c>
      <c r="L2919" s="4" t="s">
        <v>63</v>
      </c>
      <c r="M2919" s="4" t="s">
        <v>63</v>
      </c>
      <c r="N2919" s="4" t="s">
        <v>23990</v>
      </c>
      <c r="O2919" s="4" t="s">
        <v>63</v>
      </c>
      <c r="P2919" s="4"/>
      <c r="Q2919" s="4" t="s">
        <v>63</v>
      </c>
      <c r="R2919" s="4" t="s">
        <v>63</v>
      </c>
      <c r="S2919" s="4" t="s">
        <v>63</v>
      </c>
      <c r="T2919" s="4" t="s">
        <v>63</v>
      </c>
      <c r="U2919" s="4"/>
      <c r="V2919" s="4"/>
      <c r="W2919" s="4"/>
      <c r="X2919" s="4" t="s">
        <v>63</v>
      </c>
      <c r="Y2919" s="4" t="s">
        <v>215</v>
      </c>
      <c r="Z2919" s="4" t="s">
        <v>63</v>
      </c>
      <c r="AA2919" s="4" t="s">
        <v>63</v>
      </c>
      <c r="AB2919" s="4" t="s">
        <v>23991</v>
      </c>
      <c r="AC2919" s="4" t="s">
        <v>67</v>
      </c>
      <c r="AD2919" s="4" t="s">
        <v>63</v>
      </c>
      <c r="AE2919" s="4" t="s">
        <v>63</v>
      </c>
      <c r="AF2919" s="4" t="s">
        <v>63</v>
      </c>
      <c r="AG2919" s="4" t="s">
        <v>63</v>
      </c>
      <c r="AH2919" s="4" t="s">
        <v>63</v>
      </c>
      <c r="AI2919" s="4" t="s">
        <v>63</v>
      </c>
      <c r="AJ2919" s="4" t="s">
        <v>63</v>
      </c>
      <c r="AK2919" s="4" t="s">
        <v>63</v>
      </c>
      <c r="AL2919" s="4" t="s">
        <v>63</v>
      </c>
      <c r="AM2919" s="4" t="s">
        <v>23989</v>
      </c>
      <c r="AN2919" s="4" t="s">
        <v>63</v>
      </c>
      <c r="AO2919" s="4" t="s">
        <v>63</v>
      </c>
      <c r="AP2919" s="4" t="s">
        <v>63</v>
      </c>
      <c r="AQ2919" s="4" t="s">
        <v>63</v>
      </c>
      <c r="AR2919" s="4" t="s">
        <v>63</v>
      </c>
      <c r="AS2919" s="4" t="s">
        <v>63</v>
      </c>
      <c r="AT2919" s="4" t="s">
        <v>63</v>
      </c>
      <c r="AU2919" s="4" t="s">
        <v>63</v>
      </c>
      <c r="AV2919" s="4" t="s">
        <v>63</v>
      </c>
      <c r="AW2919" s="4" t="s">
        <v>63</v>
      </c>
      <c r="AX2919" s="4" t="s">
        <v>63</v>
      </c>
      <c r="AY2919" s="4" t="s">
        <v>63</v>
      </c>
      <c r="AZ2919" s="4" t="s">
        <v>63</v>
      </c>
      <c r="BA2919" s="4" t="s">
        <v>63</v>
      </c>
      <c r="BB2919" s="4" t="s">
        <v>63</v>
      </c>
      <c r="BC2919" s="4" t="s">
        <v>63</v>
      </c>
      <c r="BD2919" s="4" t="s">
        <v>63</v>
      </c>
      <c r="BE2919" s="4" t="s">
        <v>63</v>
      </c>
      <c r="BF2919" s="4" t="s">
        <v>63</v>
      </c>
    </row>
    <row r="2920" spans="1:58">
      <c r="A2920" s="4" t="s">
        <v>23992</v>
      </c>
      <c r="B2920" s="4" t="s">
        <v>23993</v>
      </c>
      <c r="C2920" s="4" t="s">
        <v>23994</v>
      </c>
      <c r="D2920" s="4" t="s">
        <v>23995</v>
      </c>
      <c r="E2920" s="4" t="s">
        <v>63</v>
      </c>
      <c r="F2920" s="4">
        <v>1992</v>
      </c>
      <c r="G2920" s="4" t="s">
        <v>63</v>
      </c>
      <c r="H2920" s="4" t="s">
        <v>63</v>
      </c>
      <c r="I2920" s="4" t="s">
        <v>63</v>
      </c>
      <c r="J2920" s="4">
        <v>697</v>
      </c>
      <c r="K2920" s="4">
        <v>699</v>
      </c>
      <c r="L2920" s="4" t="s">
        <v>63</v>
      </c>
      <c r="M2920" s="4" t="s">
        <v>63</v>
      </c>
      <c r="N2920" s="4" t="s">
        <v>23996</v>
      </c>
      <c r="O2920" s="4" t="s">
        <v>63</v>
      </c>
      <c r="P2920" s="4"/>
      <c r="Q2920" s="4" t="s">
        <v>63</v>
      </c>
      <c r="R2920" s="4" t="s">
        <v>63</v>
      </c>
      <c r="S2920" s="4" t="s">
        <v>23997</v>
      </c>
      <c r="T2920" s="4" t="s">
        <v>23998</v>
      </c>
      <c r="U2920" s="4"/>
      <c r="V2920" s="4"/>
      <c r="W2920" s="4"/>
      <c r="X2920" s="4" t="s">
        <v>63</v>
      </c>
      <c r="Y2920" s="4" t="s">
        <v>63</v>
      </c>
      <c r="Z2920" s="4" t="s">
        <v>63</v>
      </c>
      <c r="AA2920" s="4" t="s">
        <v>23999</v>
      </c>
      <c r="AB2920" s="4" t="s">
        <v>24000</v>
      </c>
      <c r="AC2920" s="4" t="s">
        <v>67</v>
      </c>
      <c r="AD2920" s="4" t="s">
        <v>63</v>
      </c>
      <c r="AE2920" s="4" t="s">
        <v>63</v>
      </c>
      <c r="AF2920" s="4" t="s">
        <v>63</v>
      </c>
      <c r="AG2920" s="4" t="s">
        <v>63</v>
      </c>
      <c r="AH2920" s="4" t="s">
        <v>63</v>
      </c>
      <c r="AI2920" s="4" t="s">
        <v>63</v>
      </c>
      <c r="AJ2920" s="4" t="s">
        <v>63</v>
      </c>
      <c r="AK2920" s="4" t="s">
        <v>63</v>
      </c>
      <c r="AL2920" s="4" t="s">
        <v>63</v>
      </c>
      <c r="AM2920" s="4" t="s">
        <v>23994</v>
      </c>
      <c r="AN2920" s="4" t="s">
        <v>63</v>
      </c>
      <c r="AO2920" s="4" t="s">
        <v>63</v>
      </c>
      <c r="AP2920" s="4" t="s">
        <v>63</v>
      </c>
      <c r="AQ2920" s="4" t="s">
        <v>63</v>
      </c>
      <c r="AR2920" s="4" t="s">
        <v>63</v>
      </c>
      <c r="AS2920" s="4" t="s">
        <v>63</v>
      </c>
      <c r="AT2920" s="4" t="s">
        <v>63</v>
      </c>
      <c r="AU2920" s="4" t="s">
        <v>63</v>
      </c>
      <c r="AV2920" s="4" t="s">
        <v>63</v>
      </c>
      <c r="AW2920" s="4" t="s">
        <v>63</v>
      </c>
      <c r="AX2920" s="4" t="s">
        <v>63</v>
      </c>
      <c r="AY2920" s="4" t="s">
        <v>63</v>
      </c>
      <c r="AZ2920" s="4" t="s">
        <v>63</v>
      </c>
      <c r="BA2920" s="4" t="s">
        <v>63</v>
      </c>
      <c r="BB2920" s="4" t="s">
        <v>63</v>
      </c>
      <c r="BC2920" s="4" t="s">
        <v>63</v>
      </c>
      <c r="BD2920" s="4" t="s">
        <v>63</v>
      </c>
      <c r="BE2920" s="4" t="s">
        <v>63</v>
      </c>
      <c r="BF2920" s="4" t="s">
        <v>63</v>
      </c>
    </row>
    <row r="2921" spans="1:58">
      <c r="A2921" s="4" t="s">
        <v>58</v>
      </c>
      <c r="B2921" s="4" t="s">
        <v>24001</v>
      </c>
      <c r="C2921" s="4" t="s">
        <v>24002</v>
      </c>
      <c r="D2921" s="4" t="s">
        <v>24003</v>
      </c>
      <c r="E2921" s="4" t="s">
        <v>63</v>
      </c>
      <c r="F2921" s="4">
        <v>2015</v>
      </c>
      <c r="G2921" s="4" t="s">
        <v>63</v>
      </c>
      <c r="H2921" s="4">
        <v>4</v>
      </c>
      <c r="I2921" s="4">
        <v>1</v>
      </c>
      <c r="J2921" s="4" t="s">
        <v>63</v>
      </c>
      <c r="K2921" s="4" t="s">
        <v>63</v>
      </c>
      <c r="L2921" s="4" t="s">
        <v>24004</v>
      </c>
      <c r="M2921" s="4" t="s">
        <v>24005</v>
      </c>
      <c r="N2921" s="4" t="s">
        <v>24006</v>
      </c>
      <c r="O2921" s="4" t="s">
        <v>63</v>
      </c>
      <c r="P2921" s="4"/>
      <c r="Q2921" s="4" t="s">
        <v>63</v>
      </c>
      <c r="R2921" s="4" t="s">
        <v>63</v>
      </c>
      <c r="S2921" s="4" t="s">
        <v>63</v>
      </c>
      <c r="T2921" s="4" t="s">
        <v>63</v>
      </c>
      <c r="U2921" s="4"/>
      <c r="V2921" s="4"/>
      <c r="W2921" s="4"/>
      <c r="X2921" s="4" t="s">
        <v>63</v>
      </c>
      <c r="Y2921" s="4" t="s">
        <v>24007</v>
      </c>
      <c r="Z2921" s="4" t="s">
        <v>63</v>
      </c>
      <c r="AA2921" s="4" t="s">
        <v>24008</v>
      </c>
      <c r="AB2921" s="4" t="s">
        <v>24009</v>
      </c>
      <c r="AC2921" s="4" t="s">
        <v>67</v>
      </c>
      <c r="AD2921" s="4" t="s">
        <v>63</v>
      </c>
      <c r="AE2921" s="4" t="s">
        <v>63</v>
      </c>
      <c r="AF2921" s="4" t="s">
        <v>63</v>
      </c>
      <c r="AG2921" s="4" t="s">
        <v>63</v>
      </c>
      <c r="AH2921" s="4" t="s">
        <v>63</v>
      </c>
      <c r="AI2921" s="4" t="s">
        <v>24010</v>
      </c>
      <c r="AJ2921" s="4" t="s">
        <v>63</v>
      </c>
      <c r="AK2921" s="4" t="s">
        <v>63</v>
      </c>
      <c r="AL2921" s="4" t="s">
        <v>63</v>
      </c>
      <c r="AM2921" s="4" t="s">
        <v>24002</v>
      </c>
      <c r="AN2921" s="4" t="s">
        <v>63</v>
      </c>
      <c r="AO2921" s="4" t="s">
        <v>63</v>
      </c>
      <c r="AP2921" s="4" t="s">
        <v>63</v>
      </c>
      <c r="AQ2921" s="4" t="s">
        <v>63</v>
      </c>
      <c r="AR2921" s="4" t="s">
        <v>63</v>
      </c>
      <c r="AS2921" s="4" t="s">
        <v>63</v>
      </c>
      <c r="AT2921" s="4" t="s">
        <v>63</v>
      </c>
      <c r="AU2921" s="4" t="s">
        <v>63</v>
      </c>
      <c r="AV2921" s="4" t="s">
        <v>63</v>
      </c>
      <c r="AW2921" s="4" t="s">
        <v>63</v>
      </c>
      <c r="AX2921" s="4" t="s">
        <v>63</v>
      </c>
      <c r="AY2921" s="4" t="s">
        <v>63</v>
      </c>
      <c r="AZ2921" s="4" t="s">
        <v>63</v>
      </c>
      <c r="BA2921" s="4" t="s">
        <v>63</v>
      </c>
      <c r="BB2921" s="4" t="s">
        <v>63</v>
      </c>
      <c r="BC2921" s="4" t="s">
        <v>63</v>
      </c>
      <c r="BD2921" s="4" t="s">
        <v>63</v>
      </c>
      <c r="BE2921" s="4" t="s">
        <v>63</v>
      </c>
      <c r="BF2921" s="4" t="s">
        <v>63</v>
      </c>
    </row>
    <row r="2922" spans="1:58">
      <c r="A2922" s="4" t="s">
        <v>58</v>
      </c>
      <c r="B2922" s="4" t="s">
        <v>24011</v>
      </c>
      <c r="C2922" s="4" t="s">
        <v>24012</v>
      </c>
      <c r="D2922" s="4" t="s">
        <v>24013</v>
      </c>
      <c r="E2922" s="4" t="s">
        <v>63</v>
      </c>
      <c r="F2922" s="4">
        <v>1994</v>
      </c>
      <c r="G2922" s="4" t="s">
        <v>614</v>
      </c>
      <c r="H2922" s="4">
        <v>24</v>
      </c>
      <c r="I2922" s="4">
        <v>8</v>
      </c>
      <c r="J2922" s="4">
        <v>432</v>
      </c>
      <c r="K2922" s="4">
        <v>439</v>
      </c>
      <c r="L2922" s="4" t="s">
        <v>23479</v>
      </c>
      <c r="M2922" s="4" t="s">
        <v>63</v>
      </c>
      <c r="N2922" s="4" t="s">
        <v>24014</v>
      </c>
      <c r="O2922" s="4" t="s">
        <v>63</v>
      </c>
      <c r="P2922" s="4"/>
      <c r="Q2922" s="4" t="s">
        <v>63</v>
      </c>
      <c r="R2922" s="4" t="s">
        <v>63</v>
      </c>
      <c r="S2922" s="4" t="s">
        <v>63</v>
      </c>
      <c r="T2922" s="4" t="s">
        <v>63</v>
      </c>
      <c r="U2922" s="4"/>
      <c r="V2922" s="4"/>
      <c r="W2922" s="4"/>
      <c r="X2922" s="4" t="s">
        <v>63</v>
      </c>
      <c r="Y2922" s="4" t="s">
        <v>24015</v>
      </c>
      <c r="Z2922" s="4" t="s">
        <v>63</v>
      </c>
      <c r="AA2922" s="4" t="s">
        <v>24016</v>
      </c>
      <c r="AB2922" s="4" t="s">
        <v>24017</v>
      </c>
      <c r="AC2922" s="4" t="s">
        <v>67</v>
      </c>
      <c r="AD2922" s="4" t="s">
        <v>63</v>
      </c>
      <c r="AE2922" s="4" t="s">
        <v>63</v>
      </c>
      <c r="AF2922" s="4" t="s">
        <v>63</v>
      </c>
      <c r="AG2922" s="4" t="s">
        <v>63</v>
      </c>
      <c r="AH2922" s="4" t="s">
        <v>63</v>
      </c>
      <c r="AI2922" s="4" t="s">
        <v>24018</v>
      </c>
      <c r="AJ2922" s="4" t="s">
        <v>63</v>
      </c>
      <c r="AK2922" s="4" t="s">
        <v>63</v>
      </c>
      <c r="AL2922" s="4" t="s">
        <v>63</v>
      </c>
      <c r="AM2922" s="4" t="s">
        <v>24012</v>
      </c>
      <c r="AN2922" s="4" t="s">
        <v>63</v>
      </c>
      <c r="AO2922" s="4" t="s">
        <v>63</v>
      </c>
      <c r="AP2922" s="4" t="s">
        <v>63</v>
      </c>
      <c r="AQ2922" s="4" t="s">
        <v>63</v>
      </c>
      <c r="AR2922" s="4" t="s">
        <v>63</v>
      </c>
      <c r="AS2922" s="4" t="s">
        <v>63</v>
      </c>
      <c r="AT2922" s="4" t="s">
        <v>63</v>
      </c>
      <c r="AU2922" s="4" t="s">
        <v>63</v>
      </c>
      <c r="AV2922" s="4" t="s">
        <v>63</v>
      </c>
      <c r="AW2922" s="4" t="s">
        <v>63</v>
      </c>
      <c r="AX2922" s="4" t="s">
        <v>63</v>
      </c>
      <c r="AY2922" s="4" t="s">
        <v>63</v>
      </c>
      <c r="AZ2922" s="4" t="s">
        <v>63</v>
      </c>
      <c r="BA2922" s="4" t="s">
        <v>63</v>
      </c>
      <c r="BB2922" s="4" t="s">
        <v>63</v>
      </c>
      <c r="BC2922" s="4" t="s">
        <v>63</v>
      </c>
      <c r="BD2922" s="4" t="s">
        <v>63</v>
      </c>
      <c r="BE2922" s="4" t="s">
        <v>63</v>
      </c>
      <c r="BF2922" s="4" t="s">
        <v>63</v>
      </c>
    </row>
    <row r="2923" spans="1:58">
      <c r="A2923" s="4" t="s">
        <v>58</v>
      </c>
      <c r="B2923" s="4" t="s">
        <v>24019</v>
      </c>
      <c r="C2923" s="4" t="s">
        <v>24020</v>
      </c>
      <c r="D2923" s="4" t="s">
        <v>16152</v>
      </c>
      <c r="E2923" s="4" t="s">
        <v>63</v>
      </c>
      <c r="F2923" s="4">
        <v>2016</v>
      </c>
      <c r="G2923" s="4" t="s">
        <v>73</v>
      </c>
      <c r="H2923" s="4">
        <v>18</v>
      </c>
      <c r="I2923" s="4">
        <v>3</v>
      </c>
      <c r="J2923" s="4">
        <v>24</v>
      </c>
      <c r="K2923" s="4">
        <v>24</v>
      </c>
      <c r="L2923" s="4" t="s">
        <v>63</v>
      </c>
      <c r="M2923" s="4" t="s">
        <v>63</v>
      </c>
      <c r="N2923" s="4" t="s">
        <v>24021</v>
      </c>
      <c r="O2923" s="4" t="s">
        <v>63</v>
      </c>
      <c r="P2923" s="4"/>
      <c r="Q2923" s="4" t="s">
        <v>63</v>
      </c>
      <c r="R2923" s="4" t="s">
        <v>63</v>
      </c>
      <c r="S2923" s="4" t="s">
        <v>63</v>
      </c>
      <c r="T2923" s="4" t="s">
        <v>63</v>
      </c>
      <c r="U2923" s="4"/>
      <c r="V2923" s="4"/>
      <c r="W2923" s="4"/>
      <c r="X2923" s="4" t="s">
        <v>63</v>
      </c>
      <c r="Y2923" s="4" t="s">
        <v>16156</v>
      </c>
      <c r="Z2923" s="4" t="s">
        <v>63</v>
      </c>
      <c r="AA2923" s="4" t="s">
        <v>24022</v>
      </c>
      <c r="AB2923" s="4" t="s">
        <v>24023</v>
      </c>
      <c r="AC2923" s="4" t="s">
        <v>67</v>
      </c>
      <c r="AD2923" s="4" t="s">
        <v>63</v>
      </c>
      <c r="AE2923" s="4" t="s">
        <v>63</v>
      </c>
      <c r="AF2923" s="4" t="s">
        <v>63</v>
      </c>
      <c r="AG2923" s="4" t="s">
        <v>63</v>
      </c>
      <c r="AH2923" s="4" t="s">
        <v>63</v>
      </c>
      <c r="AI2923" s="4" t="s">
        <v>63</v>
      </c>
      <c r="AJ2923" s="4" t="s">
        <v>63</v>
      </c>
      <c r="AK2923" s="4" t="s">
        <v>63</v>
      </c>
      <c r="AL2923" s="4" t="s">
        <v>63</v>
      </c>
      <c r="AM2923" s="4" t="s">
        <v>24020</v>
      </c>
      <c r="AN2923" s="4" t="s">
        <v>63</v>
      </c>
      <c r="AO2923" s="4" t="s">
        <v>63</v>
      </c>
      <c r="AP2923" s="4" t="s">
        <v>63</v>
      </c>
      <c r="AQ2923" s="4" t="s">
        <v>63</v>
      </c>
      <c r="AR2923" s="4" t="s">
        <v>63</v>
      </c>
      <c r="AS2923" s="4" t="s">
        <v>63</v>
      </c>
      <c r="AT2923" s="4" t="s">
        <v>63</v>
      </c>
      <c r="AU2923" s="4" t="s">
        <v>63</v>
      </c>
      <c r="AV2923" s="4" t="s">
        <v>63</v>
      </c>
      <c r="AW2923" s="4" t="s">
        <v>63</v>
      </c>
      <c r="AX2923" s="4" t="s">
        <v>63</v>
      </c>
      <c r="AY2923" s="4" t="s">
        <v>63</v>
      </c>
      <c r="AZ2923" s="4" t="s">
        <v>63</v>
      </c>
      <c r="BA2923" s="4" t="s">
        <v>63</v>
      </c>
      <c r="BB2923" s="4" t="s">
        <v>63</v>
      </c>
      <c r="BC2923" s="4" t="s">
        <v>63</v>
      </c>
      <c r="BD2923" s="4" t="s">
        <v>63</v>
      </c>
      <c r="BE2923" s="4" t="s">
        <v>63</v>
      </c>
      <c r="BF2923" s="4" t="s">
        <v>63</v>
      </c>
    </row>
    <row r="2924" spans="1:58">
      <c r="A2924" s="4" t="s">
        <v>58</v>
      </c>
      <c r="B2924" s="4" t="s">
        <v>24024</v>
      </c>
      <c r="C2924" s="4" t="s">
        <v>24025</v>
      </c>
      <c r="D2924" s="4" t="s">
        <v>8829</v>
      </c>
      <c r="E2924" s="4" t="s">
        <v>8830</v>
      </c>
      <c r="F2924" s="4">
        <v>2008</v>
      </c>
      <c r="G2924" s="4" t="s">
        <v>73</v>
      </c>
      <c r="H2924" s="4">
        <v>127</v>
      </c>
      <c r="I2924" s="4">
        <v>6</v>
      </c>
      <c r="J2924" s="4">
        <v>652</v>
      </c>
      <c r="K2924" s="4">
        <v>652</v>
      </c>
      <c r="L2924" s="4" t="s">
        <v>63</v>
      </c>
      <c r="M2924" s="4" t="s">
        <v>63</v>
      </c>
      <c r="N2924" s="4" t="s">
        <v>24026</v>
      </c>
      <c r="O2924" s="4" t="s">
        <v>63</v>
      </c>
      <c r="P2924" s="4"/>
      <c r="Q2924" s="4" t="s">
        <v>63</v>
      </c>
      <c r="R2924" s="4" t="s">
        <v>63</v>
      </c>
      <c r="S2924" s="4" t="s">
        <v>63</v>
      </c>
      <c r="T2924" s="4" t="s">
        <v>63</v>
      </c>
      <c r="U2924" s="4"/>
      <c r="V2924" s="4"/>
      <c r="W2924" s="4"/>
      <c r="X2924" s="4" t="s">
        <v>63</v>
      </c>
      <c r="Y2924" s="4" t="s">
        <v>8834</v>
      </c>
      <c r="Z2924" s="4" t="s">
        <v>63</v>
      </c>
      <c r="AA2924" s="4" t="s">
        <v>24027</v>
      </c>
      <c r="AB2924" s="4" t="s">
        <v>24028</v>
      </c>
      <c r="AC2924" s="4" t="s">
        <v>67</v>
      </c>
      <c r="AD2924" s="4" t="s">
        <v>63</v>
      </c>
      <c r="AE2924" s="4" t="s">
        <v>63</v>
      </c>
      <c r="AF2924" s="4" t="s">
        <v>63</v>
      </c>
      <c r="AG2924" s="4" t="s">
        <v>63</v>
      </c>
      <c r="AH2924" s="4" t="s">
        <v>63</v>
      </c>
      <c r="AI2924" s="4" t="s">
        <v>63</v>
      </c>
      <c r="AJ2924" s="4" t="s">
        <v>63</v>
      </c>
      <c r="AK2924" s="4" t="s">
        <v>63</v>
      </c>
      <c r="AL2924" s="4" t="s">
        <v>63</v>
      </c>
      <c r="AM2924" s="4" t="s">
        <v>24025</v>
      </c>
      <c r="AN2924" s="4" t="s">
        <v>63</v>
      </c>
      <c r="AO2924" s="4" t="s">
        <v>63</v>
      </c>
      <c r="AP2924" s="4" t="s">
        <v>63</v>
      </c>
      <c r="AQ2924" s="4" t="s">
        <v>63</v>
      </c>
      <c r="AR2924" s="4" t="s">
        <v>63</v>
      </c>
      <c r="AS2924" s="4" t="s">
        <v>63</v>
      </c>
      <c r="AT2924" s="4" t="s">
        <v>63</v>
      </c>
      <c r="AU2924" s="4" t="s">
        <v>63</v>
      </c>
      <c r="AV2924" s="4" t="s">
        <v>63</v>
      </c>
      <c r="AW2924" s="4" t="s">
        <v>63</v>
      </c>
      <c r="AX2924" s="4" t="s">
        <v>63</v>
      </c>
      <c r="AY2924" s="4" t="s">
        <v>63</v>
      </c>
      <c r="AZ2924" s="4" t="s">
        <v>63</v>
      </c>
      <c r="BA2924" s="4" t="s">
        <v>63</v>
      </c>
      <c r="BB2924" s="4" t="s">
        <v>63</v>
      </c>
      <c r="BC2924" s="4" t="s">
        <v>63</v>
      </c>
      <c r="BD2924" s="4" t="s">
        <v>63</v>
      </c>
      <c r="BE2924" s="4" t="s">
        <v>63</v>
      </c>
      <c r="BF2924" s="4" t="s">
        <v>63</v>
      </c>
    </row>
    <row r="2925" spans="1:58">
      <c r="A2925" s="4" t="s">
        <v>58</v>
      </c>
      <c r="B2925" s="4" t="s">
        <v>24029</v>
      </c>
      <c r="C2925" s="4" t="s">
        <v>24030</v>
      </c>
      <c r="D2925" s="4" t="s">
        <v>389</v>
      </c>
      <c r="E2925" s="4" t="s">
        <v>63</v>
      </c>
      <c r="F2925" s="4">
        <v>2015</v>
      </c>
      <c r="G2925" s="4" t="s">
        <v>84</v>
      </c>
      <c r="H2925" s="4">
        <v>36</v>
      </c>
      <c r="I2925" s="4">
        <v>2</v>
      </c>
      <c r="J2925" s="4">
        <v>129</v>
      </c>
      <c r="K2925" s="4">
        <v>130</v>
      </c>
      <c r="L2925" s="4" t="s">
        <v>24031</v>
      </c>
      <c r="M2925" s="4" t="s">
        <v>63</v>
      </c>
      <c r="N2925" s="4" t="s">
        <v>24032</v>
      </c>
      <c r="O2925" s="4" t="s">
        <v>63</v>
      </c>
      <c r="P2925" s="4"/>
      <c r="Q2925" s="4" t="s">
        <v>63</v>
      </c>
      <c r="R2925" s="4" t="s">
        <v>63</v>
      </c>
      <c r="S2925" s="4" t="s">
        <v>63</v>
      </c>
      <c r="T2925" s="4" t="s">
        <v>63</v>
      </c>
      <c r="U2925" s="4"/>
      <c r="V2925" s="4"/>
      <c r="W2925" s="4"/>
      <c r="X2925" s="4" t="s">
        <v>63</v>
      </c>
      <c r="Y2925" s="4" t="s">
        <v>392</v>
      </c>
      <c r="Z2925" s="4" t="s">
        <v>63</v>
      </c>
      <c r="AA2925" s="4" t="s">
        <v>24033</v>
      </c>
      <c r="AB2925" s="4" t="s">
        <v>24034</v>
      </c>
      <c r="AC2925" s="4" t="s">
        <v>67</v>
      </c>
      <c r="AD2925" s="4" t="s">
        <v>63</v>
      </c>
      <c r="AE2925" s="4" t="s">
        <v>63</v>
      </c>
      <c r="AF2925" s="4" t="s">
        <v>63</v>
      </c>
      <c r="AG2925" s="4" t="s">
        <v>63</v>
      </c>
      <c r="AH2925" s="4" t="s">
        <v>63</v>
      </c>
      <c r="AI2925" s="4" t="s">
        <v>24035</v>
      </c>
      <c r="AJ2925" s="4" t="s">
        <v>63</v>
      </c>
      <c r="AK2925" s="4" t="s">
        <v>63</v>
      </c>
      <c r="AL2925" s="4" t="s">
        <v>63</v>
      </c>
      <c r="AM2925" s="4" t="s">
        <v>24030</v>
      </c>
      <c r="AN2925" s="4" t="s">
        <v>63</v>
      </c>
      <c r="AO2925" s="4" t="s">
        <v>63</v>
      </c>
      <c r="AP2925" s="4" t="s">
        <v>63</v>
      </c>
      <c r="AQ2925" s="4" t="s">
        <v>63</v>
      </c>
      <c r="AR2925" s="4" t="s">
        <v>63</v>
      </c>
      <c r="AS2925" s="4" t="s">
        <v>63</v>
      </c>
      <c r="AT2925" s="4" t="s">
        <v>63</v>
      </c>
      <c r="AU2925" s="4" t="s">
        <v>63</v>
      </c>
      <c r="AV2925" s="4" t="s">
        <v>63</v>
      </c>
      <c r="AW2925" s="4" t="s">
        <v>63</v>
      </c>
      <c r="AX2925" s="4" t="s">
        <v>63</v>
      </c>
      <c r="AY2925" s="4" t="s">
        <v>63</v>
      </c>
      <c r="AZ2925" s="4" t="s">
        <v>63</v>
      </c>
      <c r="BA2925" s="4" t="s">
        <v>63</v>
      </c>
      <c r="BB2925" s="4" t="s">
        <v>63</v>
      </c>
      <c r="BC2925" s="4" t="s">
        <v>63</v>
      </c>
      <c r="BD2925" s="4" t="s">
        <v>63</v>
      </c>
      <c r="BE2925" s="4" t="s">
        <v>63</v>
      </c>
      <c r="BF2925" s="4" t="s">
        <v>63</v>
      </c>
    </row>
    <row r="2926" spans="1:58">
      <c r="A2926" s="4" t="s">
        <v>58</v>
      </c>
      <c r="B2926" s="4" t="s">
        <v>24036</v>
      </c>
      <c r="C2926" s="4" t="s">
        <v>24037</v>
      </c>
      <c r="D2926" s="4" t="s">
        <v>24038</v>
      </c>
      <c r="E2926" s="4" t="s">
        <v>63</v>
      </c>
      <c r="F2926" s="4">
        <v>2015</v>
      </c>
      <c r="G2926" s="4" t="s">
        <v>274</v>
      </c>
      <c r="H2926" s="4">
        <v>27</v>
      </c>
      <c r="I2926" s="4">
        <v>2</v>
      </c>
      <c r="J2926" s="4" t="s">
        <v>24039</v>
      </c>
      <c r="K2926" s="4" t="s">
        <v>24040</v>
      </c>
      <c r="L2926" s="4" t="s">
        <v>24041</v>
      </c>
      <c r="M2926" s="4" t="s">
        <v>24042</v>
      </c>
      <c r="N2926" s="4" t="s">
        <v>24043</v>
      </c>
      <c r="O2926" s="4" t="s">
        <v>63</v>
      </c>
      <c r="P2926" s="4"/>
      <c r="Q2926" s="4" t="s">
        <v>63</v>
      </c>
      <c r="R2926" s="4" t="s">
        <v>63</v>
      </c>
      <c r="S2926" s="4" t="s">
        <v>63</v>
      </c>
      <c r="T2926" s="4" t="s">
        <v>63</v>
      </c>
      <c r="U2926" s="4"/>
      <c r="V2926" s="4"/>
      <c r="W2926" s="4"/>
      <c r="X2926" s="4" t="s">
        <v>63</v>
      </c>
      <c r="Y2926" s="4" t="s">
        <v>24044</v>
      </c>
      <c r="Z2926" s="4" t="s">
        <v>63</v>
      </c>
      <c r="AA2926" s="4" t="s">
        <v>24045</v>
      </c>
      <c r="AB2926" s="4" t="s">
        <v>24046</v>
      </c>
      <c r="AC2926" s="4" t="s">
        <v>67</v>
      </c>
      <c r="AD2926" s="4" t="s">
        <v>63</v>
      </c>
      <c r="AE2926" s="4" t="s">
        <v>63</v>
      </c>
      <c r="AF2926" s="4" t="s">
        <v>63</v>
      </c>
      <c r="AG2926" s="4" t="s">
        <v>63</v>
      </c>
      <c r="AH2926" s="4" t="s">
        <v>63</v>
      </c>
      <c r="AI2926" s="4" t="s">
        <v>24047</v>
      </c>
      <c r="AJ2926" s="4" t="s">
        <v>63</v>
      </c>
      <c r="AK2926" s="4" t="s">
        <v>63</v>
      </c>
      <c r="AL2926" s="4" t="s">
        <v>63</v>
      </c>
      <c r="AM2926" s="4" t="s">
        <v>24037</v>
      </c>
      <c r="AN2926" s="4" t="s">
        <v>63</v>
      </c>
      <c r="AO2926" s="4" t="s">
        <v>63</v>
      </c>
      <c r="AP2926" s="4" t="s">
        <v>63</v>
      </c>
      <c r="AQ2926" s="4" t="s">
        <v>63</v>
      </c>
      <c r="AR2926" s="4" t="s">
        <v>63</v>
      </c>
      <c r="AS2926" s="4" t="s">
        <v>63</v>
      </c>
      <c r="AT2926" s="4" t="s">
        <v>63</v>
      </c>
      <c r="AU2926" s="4" t="s">
        <v>63</v>
      </c>
      <c r="AV2926" s="4" t="s">
        <v>63</v>
      </c>
      <c r="AW2926" s="4" t="s">
        <v>63</v>
      </c>
      <c r="AX2926" s="4" t="s">
        <v>63</v>
      </c>
      <c r="AY2926" s="4" t="s">
        <v>63</v>
      </c>
      <c r="AZ2926" s="4" t="s">
        <v>63</v>
      </c>
      <c r="BA2926" s="4" t="s">
        <v>63</v>
      </c>
      <c r="BB2926" s="4" t="s">
        <v>63</v>
      </c>
      <c r="BC2926" s="4" t="s">
        <v>63</v>
      </c>
      <c r="BD2926" s="4" t="s">
        <v>63</v>
      </c>
      <c r="BE2926" s="4" t="s">
        <v>63</v>
      </c>
      <c r="BF2926" s="4" t="s">
        <v>63</v>
      </c>
    </row>
    <row r="2927" spans="1:58">
      <c r="A2927" s="4" t="s">
        <v>58</v>
      </c>
      <c r="B2927" s="4" t="s">
        <v>5652</v>
      </c>
      <c r="C2927" s="4" t="s">
        <v>24048</v>
      </c>
      <c r="D2927" s="4" t="s">
        <v>90</v>
      </c>
      <c r="E2927" s="4" t="s">
        <v>63</v>
      </c>
      <c r="F2927" s="4">
        <v>2004</v>
      </c>
      <c r="G2927" s="4" t="s">
        <v>63</v>
      </c>
      <c r="H2927" s="4">
        <v>23</v>
      </c>
      <c r="I2927" s="4">
        <v>2</v>
      </c>
      <c r="J2927" s="4">
        <v>137</v>
      </c>
      <c r="K2927" s="4">
        <v>137</v>
      </c>
      <c r="L2927" s="4" t="s">
        <v>63</v>
      </c>
      <c r="M2927" s="4" t="s">
        <v>63</v>
      </c>
      <c r="N2927" s="4" t="s">
        <v>24049</v>
      </c>
      <c r="O2927" s="4" t="s">
        <v>63</v>
      </c>
      <c r="P2927" s="4"/>
      <c r="Q2927" s="4" t="s">
        <v>63</v>
      </c>
      <c r="R2927" s="4" t="s">
        <v>63</v>
      </c>
      <c r="S2927" s="4" t="s">
        <v>63</v>
      </c>
      <c r="T2927" s="4" t="s">
        <v>63</v>
      </c>
      <c r="U2927" s="4"/>
      <c r="V2927" s="4"/>
      <c r="W2927" s="4"/>
      <c r="X2927" s="4" t="s">
        <v>63</v>
      </c>
      <c r="Y2927" s="4" t="s">
        <v>93</v>
      </c>
      <c r="Z2927" s="4" t="s">
        <v>63</v>
      </c>
      <c r="AA2927" s="4" t="s">
        <v>24050</v>
      </c>
      <c r="AB2927" s="4" t="s">
        <v>24051</v>
      </c>
      <c r="AC2927" s="4" t="s">
        <v>67</v>
      </c>
      <c r="AD2927" s="4" t="s">
        <v>63</v>
      </c>
      <c r="AE2927" s="4" t="s">
        <v>63</v>
      </c>
      <c r="AF2927" s="4" t="s">
        <v>63</v>
      </c>
      <c r="AG2927" s="4" t="s">
        <v>63</v>
      </c>
      <c r="AH2927" s="4" t="s">
        <v>63</v>
      </c>
      <c r="AI2927" s="4" t="s">
        <v>63</v>
      </c>
      <c r="AJ2927" s="4" t="s">
        <v>63</v>
      </c>
      <c r="AK2927" s="4" t="s">
        <v>63</v>
      </c>
      <c r="AL2927" s="4" t="s">
        <v>63</v>
      </c>
      <c r="AM2927" s="4" t="s">
        <v>24048</v>
      </c>
      <c r="AN2927" s="4" t="s">
        <v>63</v>
      </c>
      <c r="AO2927" s="4" t="s">
        <v>63</v>
      </c>
      <c r="AP2927" s="4" t="s">
        <v>63</v>
      </c>
      <c r="AQ2927" s="4" t="s">
        <v>63</v>
      </c>
      <c r="AR2927" s="4" t="s">
        <v>63</v>
      </c>
      <c r="AS2927" s="4" t="s">
        <v>63</v>
      </c>
      <c r="AT2927" s="4" t="s">
        <v>63</v>
      </c>
      <c r="AU2927" s="4" t="s">
        <v>63</v>
      </c>
      <c r="AV2927" s="4" t="s">
        <v>63</v>
      </c>
      <c r="AW2927" s="4" t="s">
        <v>63</v>
      </c>
      <c r="AX2927" s="4" t="s">
        <v>63</v>
      </c>
      <c r="AY2927" s="4" t="s">
        <v>63</v>
      </c>
      <c r="AZ2927" s="4" t="s">
        <v>63</v>
      </c>
      <c r="BA2927" s="4" t="s">
        <v>63</v>
      </c>
      <c r="BB2927" s="4" t="s">
        <v>63</v>
      </c>
      <c r="BC2927" s="4" t="s">
        <v>63</v>
      </c>
      <c r="BD2927" s="4" t="s">
        <v>63</v>
      </c>
      <c r="BE2927" s="4" t="s">
        <v>63</v>
      </c>
      <c r="BF2927" s="4" t="s">
        <v>63</v>
      </c>
    </row>
    <row r="2928" spans="1:58">
      <c r="A2928" s="4" t="s">
        <v>58</v>
      </c>
      <c r="B2928" s="4" t="s">
        <v>24052</v>
      </c>
      <c r="C2928" s="4" t="s">
        <v>24053</v>
      </c>
      <c r="D2928" s="4" t="s">
        <v>24054</v>
      </c>
      <c r="E2928" s="4" t="s">
        <v>63</v>
      </c>
      <c r="F2928" s="4">
        <v>1999</v>
      </c>
      <c r="G2928" s="4" t="s">
        <v>157</v>
      </c>
      <c r="H2928" s="4">
        <v>75</v>
      </c>
      <c r="I2928" s="4" t="s">
        <v>24055</v>
      </c>
      <c r="J2928" s="4">
        <v>1451</v>
      </c>
      <c r="K2928" s="4">
        <v>1452</v>
      </c>
      <c r="L2928" s="4" t="s">
        <v>63</v>
      </c>
      <c r="M2928" s="4" t="s">
        <v>63</v>
      </c>
      <c r="N2928" s="4" t="s">
        <v>24056</v>
      </c>
      <c r="O2928" s="4" t="s">
        <v>63</v>
      </c>
      <c r="P2928" s="4"/>
      <c r="Q2928" s="4" t="s">
        <v>63</v>
      </c>
      <c r="R2928" s="4" t="s">
        <v>63</v>
      </c>
      <c r="S2928" s="4" t="s">
        <v>63</v>
      </c>
      <c r="T2928" s="4" t="s">
        <v>63</v>
      </c>
      <c r="U2928" s="4"/>
      <c r="V2928" s="4"/>
      <c r="W2928" s="4"/>
      <c r="X2928" s="4" t="s">
        <v>63</v>
      </c>
      <c r="Y2928" s="4" t="s">
        <v>24057</v>
      </c>
      <c r="Z2928" s="4" t="s">
        <v>63</v>
      </c>
      <c r="AA2928" s="4" t="s">
        <v>24058</v>
      </c>
      <c r="AB2928" s="4" t="s">
        <v>24059</v>
      </c>
      <c r="AC2928" s="4" t="s">
        <v>1371</v>
      </c>
      <c r="AD2928" s="4" t="s">
        <v>63</v>
      </c>
      <c r="AE2928" s="4" t="s">
        <v>63</v>
      </c>
      <c r="AF2928" s="4" t="s">
        <v>63</v>
      </c>
      <c r="AG2928" s="4" t="s">
        <v>63</v>
      </c>
      <c r="AH2928" s="4" t="s">
        <v>63</v>
      </c>
      <c r="AI2928" s="4" t="s">
        <v>63</v>
      </c>
      <c r="AJ2928" s="4" t="s">
        <v>63</v>
      </c>
      <c r="AK2928" s="4" t="s">
        <v>63</v>
      </c>
      <c r="AL2928" s="4" t="s">
        <v>63</v>
      </c>
      <c r="AM2928" s="4" t="s">
        <v>24053</v>
      </c>
      <c r="AN2928" s="4" t="s">
        <v>63</v>
      </c>
      <c r="AO2928" s="4" t="s">
        <v>63</v>
      </c>
      <c r="AP2928" s="4" t="s">
        <v>63</v>
      </c>
      <c r="AQ2928" s="4" t="s">
        <v>63</v>
      </c>
      <c r="AR2928" s="4" t="s">
        <v>63</v>
      </c>
      <c r="AS2928" s="4" t="s">
        <v>63</v>
      </c>
      <c r="AT2928" s="4" t="s">
        <v>63</v>
      </c>
      <c r="AU2928" s="4" t="s">
        <v>63</v>
      </c>
      <c r="AV2928" s="4" t="s">
        <v>63</v>
      </c>
      <c r="AW2928" s="4" t="s">
        <v>63</v>
      </c>
      <c r="AX2928" s="4" t="s">
        <v>63</v>
      </c>
      <c r="AY2928" s="4" t="s">
        <v>63</v>
      </c>
      <c r="AZ2928" s="4" t="s">
        <v>63</v>
      </c>
      <c r="BA2928" s="4" t="s">
        <v>63</v>
      </c>
      <c r="BB2928" s="4" t="s">
        <v>63</v>
      </c>
      <c r="BC2928" s="4" t="s">
        <v>63</v>
      </c>
      <c r="BD2928" s="4" t="s">
        <v>63</v>
      </c>
      <c r="BE2928" s="4" t="s">
        <v>63</v>
      </c>
      <c r="BF2928" s="4" t="s">
        <v>63</v>
      </c>
    </row>
    <row r="2929" spans="1:58">
      <c r="A2929" s="4" t="s">
        <v>58</v>
      </c>
      <c r="B2929" s="4" t="s">
        <v>24060</v>
      </c>
      <c r="C2929" s="4" t="s">
        <v>24061</v>
      </c>
      <c r="D2929" s="4" t="s">
        <v>4116</v>
      </c>
      <c r="E2929" s="4" t="s">
        <v>4117</v>
      </c>
      <c r="F2929" s="4">
        <v>2001</v>
      </c>
      <c r="G2929" s="4" t="s">
        <v>189</v>
      </c>
      <c r="H2929" s="4">
        <v>62</v>
      </c>
      <c r="I2929" s="4">
        <v>3</v>
      </c>
      <c r="J2929" s="4">
        <v>306</v>
      </c>
      <c r="K2929" s="4">
        <v>312</v>
      </c>
      <c r="L2929" s="4" t="s">
        <v>24062</v>
      </c>
      <c r="M2929" s="4" t="s">
        <v>24063</v>
      </c>
      <c r="N2929" s="4" t="s">
        <v>24064</v>
      </c>
      <c r="O2929" s="4" t="s">
        <v>63</v>
      </c>
      <c r="P2929" s="4"/>
      <c r="Q2929" s="4" t="s">
        <v>63</v>
      </c>
      <c r="R2929" s="4" t="s">
        <v>63</v>
      </c>
      <c r="S2929" s="4" t="s">
        <v>63</v>
      </c>
      <c r="T2929" s="4" t="s">
        <v>63</v>
      </c>
      <c r="U2929" s="4"/>
      <c r="V2929" s="4"/>
      <c r="W2929" s="4"/>
      <c r="X2929" s="4" t="s">
        <v>63</v>
      </c>
      <c r="Y2929" s="4" t="s">
        <v>4121</v>
      </c>
      <c r="Z2929" s="4" t="s">
        <v>63</v>
      </c>
      <c r="AA2929" s="4" t="s">
        <v>24065</v>
      </c>
      <c r="AB2929" s="4" t="s">
        <v>24066</v>
      </c>
      <c r="AC2929" s="4" t="s">
        <v>67</v>
      </c>
      <c r="AD2929" s="4" t="s">
        <v>63</v>
      </c>
      <c r="AE2929" s="4" t="s">
        <v>63</v>
      </c>
      <c r="AF2929" s="4" t="s">
        <v>63</v>
      </c>
      <c r="AG2929" s="4" t="s">
        <v>63</v>
      </c>
      <c r="AH2929" s="4" t="s">
        <v>63</v>
      </c>
      <c r="AI2929" s="4" t="s">
        <v>24067</v>
      </c>
      <c r="AJ2929" s="4" t="s">
        <v>63</v>
      </c>
      <c r="AK2929" s="4" t="s">
        <v>63</v>
      </c>
      <c r="AL2929" s="4" t="s">
        <v>63</v>
      </c>
      <c r="AM2929" s="4" t="s">
        <v>24061</v>
      </c>
      <c r="AN2929" s="4" t="s">
        <v>63</v>
      </c>
      <c r="AO2929" s="4" t="s">
        <v>63</v>
      </c>
      <c r="AP2929" s="4" t="s">
        <v>63</v>
      </c>
      <c r="AQ2929" s="4" t="s">
        <v>63</v>
      </c>
      <c r="AR2929" s="4" t="s">
        <v>63</v>
      </c>
      <c r="AS2929" s="4" t="s">
        <v>63</v>
      </c>
      <c r="AT2929" s="4" t="s">
        <v>63</v>
      </c>
      <c r="AU2929" s="4" t="s">
        <v>63</v>
      </c>
      <c r="AV2929" s="4" t="s">
        <v>63</v>
      </c>
      <c r="AW2929" s="4" t="s">
        <v>63</v>
      </c>
      <c r="AX2929" s="4" t="s">
        <v>63</v>
      </c>
      <c r="AY2929" s="4" t="s">
        <v>63</v>
      </c>
      <c r="AZ2929" s="4" t="s">
        <v>63</v>
      </c>
      <c r="BA2929" s="4" t="s">
        <v>63</v>
      </c>
      <c r="BB2929" s="4" t="s">
        <v>63</v>
      </c>
      <c r="BC2929" s="4" t="s">
        <v>63</v>
      </c>
      <c r="BD2929" s="4" t="s">
        <v>63</v>
      </c>
      <c r="BE2929" s="4" t="s">
        <v>63</v>
      </c>
      <c r="BF2929" s="4" t="s">
        <v>63</v>
      </c>
    </row>
    <row r="2930" spans="1:58">
      <c r="A2930" s="4" t="s">
        <v>58</v>
      </c>
      <c r="B2930" s="4" t="s">
        <v>24068</v>
      </c>
      <c r="C2930" s="4" t="s">
        <v>24069</v>
      </c>
      <c r="D2930" s="4" t="s">
        <v>4116</v>
      </c>
      <c r="E2930" s="4" t="s">
        <v>4117</v>
      </c>
      <c r="F2930" s="4">
        <v>2002</v>
      </c>
      <c r="G2930" s="4" t="s">
        <v>189</v>
      </c>
      <c r="H2930" s="4">
        <v>63</v>
      </c>
      <c r="I2930" s="4">
        <v>3</v>
      </c>
      <c r="J2930" s="4">
        <v>271</v>
      </c>
      <c r="K2930" s="4">
        <v>279</v>
      </c>
      <c r="L2930" s="4" t="s">
        <v>24070</v>
      </c>
      <c r="M2930" s="4" t="s">
        <v>24071</v>
      </c>
      <c r="N2930" s="4" t="s">
        <v>24072</v>
      </c>
      <c r="O2930" s="4" t="s">
        <v>63</v>
      </c>
      <c r="P2930" s="4"/>
      <c r="Q2930" s="4" t="s">
        <v>63</v>
      </c>
      <c r="R2930" s="4" t="s">
        <v>63</v>
      </c>
      <c r="S2930" s="4" t="s">
        <v>63</v>
      </c>
      <c r="T2930" s="4" t="s">
        <v>63</v>
      </c>
      <c r="U2930" s="4"/>
      <c r="V2930" s="4"/>
      <c r="W2930" s="4"/>
      <c r="X2930" s="4" t="s">
        <v>63</v>
      </c>
      <c r="Y2930" s="4" t="s">
        <v>4121</v>
      </c>
      <c r="Z2930" s="4" t="s">
        <v>63</v>
      </c>
      <c r="AA2930" s="4" t="s">
        <v>24065</v>
      </c>
      <c r="AB2930" s="4" t="s">
        <v>24073</v>
      </c>
      <c r="AC2930" s="4" t="s">
        <v>67</v>
      </c>
      <c r="AD2930" s="4" t="s">
        <v>63</v>
      </c>
      <c r="AE2930" s="4" t="s">
        <v>63</v>
      </c>
      <c r="AF2930" s="4" t="s">
        <v>63</v>
      </c>
      <c r="AG2930" s="4" t="s">
        <v>63</v>
      </c>
      <c r="AH2930" s="4" t="s">
        <v>63</v>
      </c>
      <c r="AI2930" s="4" t="s">
        <v>24074</v>
      </c>
      <c r="AJ2930" s="4" t="s">
        <v>63</v>
      </c>
      <c r="AK2930" s="4" t="s">
        <v>63</v>
      </c>
      <c r="AL2930" s="4" t="s">
        <v>63</v>
      </c>
      <c r="AM2930" s="4" t="s">
        <v>24069</v>
      </c>
      <c r="AN2930" s="4" t="s">
        <v>63</v>
      </c>
      <c r="AO2930" s="4" t="s">
        <v>63</v>
      </c>
      <c r="AP2930" s="4" t="s">
        <v>63</v>
      </c>
      <c r="AQ2930" s="4" t="s">
        <v>63</v>
      </c>
      <c r="AR2930" s="4" t="s">
        <v>63</v>
      </c>
      <c r="AS2930" s="4" t="s">
        <v>63</v>
      </c>
      <c r="AT2930" s="4" t="s">
        <v>63</v>
      </c>
      <c r="AU2930" s="4" t="s">
        <v>63</v>
      </c>
      <c r="AV2930" s="4" t="s">
        <v>63</v>
      </c>
      <c r="AW2930" s="4" t="s">
        <v>63</v>
      </c>
      <c r="AX2930" s="4" t="s">
        <v>63</v>
      </c>
      <c r="AY2930" s="4" t="s">
        <v>63</v>
      </c>
      <c r="AZ2930" s="4" t="s">
        <v>63</v>
      </c>
      <c r="BA2930" s="4" t="s">
        <v>63</v>
      </c>
      <c r="BB2930" s="4" t="s">
        <v>63</v>
      </c>
      <c r="BC2930" s="4" t="s">
        <v>63</v>
      </c>
      <c r="BD2930" s="4" t="s">
        <v>63</v>
      </c>
      <c r="BE2930" s="4" t="s">
        <v>63</v>
      </c>
      <c r="BF2930" s="4" t="s">
        <v>63</v>
      </c>
    </row>
    <row r="2931" spans="1:58">
      <c r="A2931" s="4" t="s">
        <v>58</v>
      </c>
      <c r="B2931" s="4" t="s">
        <v>24075</v>
      </c>
      <c r="C2931" s="4" t="s">
        <v>24076</v>
      </c>
      <c r="D2931" s="4" t="s">
        <v>3071</v>
      </c>
      <c r="E2931" s="4" t="s">
        <v>3072</v>
      </c>
      <c r="F2931" s="4">
        <v>1988</v>
      </c>
      <c r="G2931" s="4" t="s">
        <v>157</v>
      </c>
      <c r="H2931" s="4">
        <v>83</v>
      </c>
      <c r="I2931" s="4">
        <v>12</v>
      </c>
      <c r="J2931" s="4">
        <v>1474</v>
      </c>
      <c r="K2931" s="4">
        <v>1475</v>
      </c>
      <c r="L2931" s="4" t="s">
        <v>63</v>
      </c>
      <c r="M2931" s="4" t="s">
        <v>63</v>
      </c>
      <c r="N2931" s="4" t="s">
        <v>24077</v>
      </c>
      <c r="O2931" s="4" t="s">
        <v>63</v>
      </c>
      <c r="P2931" s="4"/>
      <c r="Q2931" s="4" t="s">
        <v>63</v>
      </c>
      <c r="R2931" s="4" t="s">
        <v>63</v>
      </c>
      <c r="S2931" s="4" t="s">
        <v>63</v>
      </c>
      <c r="T2931" s="4" t="s">
        <v>63</v>
      </c>
      <c r="U2931" s="4"/>
      <c r="V2931" s="4"/>
      <c r="W2931" s="4"/>
      <c r="X2931" s="4" t="s">
        <v>63</v>
      </c>
      <c r="Y2931" s="4" t="s">
        <v>3075</v>
      </c>
      <c r="Z2931" s="4" t="s">
        <v>63</v>
      </c>
      <c r="AA2931" s="4" t="s">
        <v>24078</v>
      </c>
      <c r="AB2931" s="4" t="s">
        <v>24079</v>
      </c>
      <c r="AC2931" s="4" t="s">
        <v>67</v>
      </c>
      <c r="AD2931" s="4" t="s">
        <v>63</v>
      </c>
      <c r="AE2931" s="4" t="s">
        <v>63</v>
      </c>
      <c r="AF2931" s="4" t="s">
        <v>63</v>
      </c>
      <c r="AG2931" s="4" t="s">
        <v>63</v>
      </c>
      <c r="AH2931" s="4" t="s">
        <v>63</v>
      </c>
      <c r="AI2931" s="4" t="s">
        <v>63</v>
      </c>
      <c r="AJ2931" s="4" t="s">
        <v>63</v>
      </c>
      <c r="AK2931" s="4" t="s">
        <v>63</v>
      </c>
      <c r="AL2931" s="4" t="s">
        <v>63</v>
      </c>
      <c r="AM2931" s="4" t="s">
        <v>24076</v>
      </c>
      <c r="AN2931" s="4" t="s">
        <v>63</v>
      </c>
      <c r="AO2931" s="4" t="s">
        <v>63</v>
      </c>
      <c r="AP2931" s="4" t="s">
        <v>63</v>
      </c>
      <c r="AQ2931" s="4" t="s">
        <v>63</v>
      </c>
      <c r="AR2931" s="4" t="s">
        <v>63</v>
      </c>
      <c r="AS2931" s="4" t="s">
        <v>63</v>
      </c>
      <c r="AT2931" s="4" t="s">
        <v>63</v>
      </c>
      <c r="AU2931" s="4" t="s">
        <v>63</v>
      </c>
      <c r="AV2931" s="4" t="s">
        <v>63</v>
      </c>
      <c r="AW2931" s="4" t="s">
        <v>63</v>
      </c>
      <c r="AX2931" s="4" t="s">
        <v>63</v>
      </c>
      <c r="AY2931" s="4" t="s">
        <v>63</v>
      </c>
      <c r="AZ2931" s="4" t="s">
        <v>63</v>
      </c>
      <c r="BA2931" s="4" t="s">
        <v>63</v>
      </c>
      <c r="BB2931" s="4" t="s">
        <v>63</v>
      </c>
      <c r="BC2931" s="4" t="s">
        <v>63</v>
      </c>
      <c r="BD2931" s="4" t="s">
        <v>63</v>
      </c>
      <c r="BE2931" s="4" t="s">
        <v>63</v>
      </c>
      <c r="BF2931" s="4" t="s">
        <v>63</v>
      </c>
    </row>
    <row r="2932" spans="1:58">
      <c r="A2932" s="4" t="s">
        <v>58</v>
      </c>
      <c r="B2932" s="4" t="s">
        <v>24080</v>
      </c>
      <c r="C2932" s="4" t="s">
        <v>24081</v>
      </c>
      <c r="D2932" s="4" t="s">
        <v>389</v>
      </c>
      <c r="E2932" s="4" t="s">
        <v>63</v>
      </c>
      <c r="F2932" s="4">
        <v>2011</v>
      </c>
      <c r="G2932" s="4" t="s">
        <v>63</v>
      </c>
      <c r="H2932" s="4">
        <v>32</v>
      </c>
      <c r="I2932" s="4">
        <v>4</v>
      </c>
      <c r="J2932" s="4">
        <v>238</v>
      </c>
      <c r="K2932" s="4">
        <v>241</v>
      </c>
      <c r="L2932" s="4" t="s">
        <v>24082</v>
      </c>
      <c r="M2932" s="4" t="s">
        <v>24083</v>
      </c>
      <c r="N2932" s="4" t="s">
        <v>24084</v>
      </c>
      <c r="O2932" s="4" t="s">
        <v>63</v>
      </c>
      <c r="P2932" s="4"/>
      <c r="Q2932" s="4" t="s">
        <v>63</v>
      </c>
      <c r="R2932" s="4" t="s">
        <v>63</v>
      </c>
      <c r="S2932" s="4" t="s">
        <v>63</v>
      </c>
      <c r="T2932" s="4" t="s">
        <v>63</v>
      </c>
      <c r="U2932" s="4"/>
      <c r="V2932" s="4"/>
      <c r="W2932" s="4"/>
      <c r="X2932" s="4" t="s">
        <v>63</v>
      </c>
      <c r="Y2932" s="4" t="s">
        <v>392</v>
      </c>
      <c r="Z2932" s="4" t="s">
        <v>63</v>
      </c>
      <c r="AA2932" s="4" t="s">
        <v>24085</v>
      </c>
      <c r="AB2932" s="4" t="s">
        <v>24086</v>
      </c>
      <c r="AC2932" s="4" t="s">
        <v>67</v>
      </c>
      <c r="AD2932" s="4" t="s">
        <v>63</v>
      </c>
      <c r="AE2932" s="4" t="s">
        <v>63</v>
      </c>
      <c r="AF2932" s="4" t="s">
        <v>63</v>
      </c>
      <c r="AG2932" s="4" t="s">
        <v>63</v>
      </c>
      <c r="AH2932" s="4" t="s">
        <v>63</v>
      </c>
      <c r="AI2932" s="4" t="s">
        <v>24087</v>
      </c>
      <c r="AJ2932" s="4" t="s">
        <v>63</v>
      </c>
      <c r="AK2932" s="4" t="s">
        <v>63</v>
      </c>
      <c r="AL2932" s="4" t="s">
        <v>63</v>
      </c>
      <c r="AM2932" s="4" t="s">
        <v>24081</v>
      </c>
      <c r="AN2932" s="4" t="s">
        <v>63</v>
      </c>
      <c r="AO2932" s="4" t="s">
        <v>63</v>
      </c>
      <c r="AP2932" s="4" t="s">
        <v>63</v>
      </c>
      <c r="AQ2932" s="4" t="s">
        <v>63</v>
      </c>
      <c r="AR2932" s="4" t="s">
        <v>63</v>
      </c>
      <c r="AS2932" s="4" t="s">
        <v>63</v>
      </c>
      <c r="AT2932" s="4" t="s">
        <v>63</v>
      </c>
      <c r="AU2932" s="4" t="s">
        <v>63</v>
      </c>
      <c r="AV2932" s="4" t="s">
        <v>63</v>
      </c>
      <c r="AW2932" s="4" t="s">
        <v>63</v>
      </c>
      <c r="AX2932" s="4" t="s">
        <v>63</v>
      </c>
      <c r="AY2932" s="4" t="s">
        <v>63</v>
      </c>
      <c r="AZ2932" s="4" t="s">
        <v>63</v>
      </c>
      <c r="BA2932" s="4" t="s">
        <v>63</v>
      </c>
      <c r="BB2932" s="4" t="s">
        <v>63</v>
      </c>
      <c r="BC2932" s="4" t="s">
        <v>63</v>
      </c>
      <c r="BD2932" s="4" t="s">
        <v>63</v>
      </c>
      <c r="BE2932" s="4" t="s">
        <v>63</v>
      </c>
      <c r="BF2932" s="4" t="s">
        <v>63</v>
      </c>
    </row>
    <row r="2933" spans="1:58">
      <c r="A2933" s="4" t="s">
        <v>58</v>
      </c>
      <c r="B2933" s="4" t="s">
        <v>24088</v>
      </c>
      <c r="C2933" s="4" t="s">
        <v>24089</v>
      </c>
      <c r="D2933" s="4" t="s">
        <v>23984</v>
      </c>
      <c r="E2933" s="4" t="s">
        <v>63</v>
      </c>
      <c r="F2933" s="4">
        <v>2006</v>
      </c>
      <c r="G2933" s="4" t="s">
        <v>73</v>
      </c>
      <c r="H2933" s="4">
        <v>30</v>
      </c>
      <c r="I2933" s="4">
        <v>6</v>
      </c>
      <c r="J2933" s="4" t="s">
        <v>23171</v>
      </c>
      <c r="K2933" s="4" t="s">
        <v>23171</v>
      </c>
      <c r="L2933" s="4" t="s">
        <v>63</v>
      </c>
      <c r="M2933" s="4" t="s">
        <v>63</v>
      </c>
      <c r="N2933" s="4" t="s">
        <v>24090</v>
      </c>
      <c r="O2933" s="4" t="s">
        <v>63</v>
      </c>
      <c r="P2933" s="4"/>
      <c r="Q2933" s="4" t="s">
        <v>63</v>
      </c>
      <c r="R2933" s="4" t="s">
        <v>63</v>
      </c>
      <c r="S2933" s="4" t="s">
        <v>63</v>
      </c>
      <c r="T2933" s="4" t="s">
        <v>63</v>
      </c>
      <c r="U2933" s="4"/>
      <c r="V2933" s="4"/>
      <c r="W2933" s="4"/>
      <c r="X2933" s="4" t="s">
        <v>63</v>
      </c>
      <c r="Y2933" s="4" t="s">
        <v>4853</v>
      </c>
      <c r="Z2933" s="4" t="s">
        <v>63</v>
      </c>
      <c r="AA2933" s="4" t="s">
        <v>24091</v>
      </c>
      <c r="AB2933" s="4" t="s">
        <v>24092</v>
      </c>
      <c r="AC2933" s="4" t="s">
        <v>67</v>
      </c>
      <c r="AD2933" s="4" t="s">
        <v>63</v>
      </c>
      <c r="AE2933" s="4" t="s">
        <v>63</v>
      </c>
      <c r="AF2933" s="4" t="s">
        <v>63</v>
      </c>
      <c r="AG2933" s="4" t="s">
        <v>63</v>
      </c>
      <c r="AH2933" s="4" t="s">
        <v>63</v>
      </c>
      <c r="AI2933" s="4" t="s">
        <v>63</v>
      </c>
      <c r="AJ2933" s="4" t="s">
        <v>63</v>
      </c>
      <c r="AK2933" s="4" t="s">
        <v>63</v>
      </c>
      <c r="AL2933" s="4" t="s">
        <v>63</v>
      </c>
      <c r="AM2933" s="4" t="s">
        <v>24089</v>
      </c>
      <c r="AN2933" s="4" t="s">
        <v>63</v>
      </c>
      <c r="AO2933" s="4" t="s">
        <v>63</v>
      </c>
      <c r="AP2933" s="4" t="s">
        <v>63</v>
      </c>
      <c r="AQ2933" s="4" t="s">
        <v>63</v>
      </c>
      <c r="AR2933" s="4" t="s">
        <v>63</v>
      </c>
      <c r="AS2933" s="4" t="s">
        <v>63</v>
      </c>
      <c r="AT2933" s="4" t="s">
        <v>63</v>
      </c>
      <c r="AU2933" s="4" t="s">
        <v>63</v>
      </c>
      <c r="AV2933" s="4" t="s">
        <v>63</v>
      </c>
      <c r="AW2933" s="4" t="s">
        <v>63</v>
      </c>
      <c r="AX2933" s="4" t="s">
        <v>63</v>
      </c>
      <c r="AY2933" s="4" t="s">
        <v>63</v>
      </c>
      <c r="AZ2933" s="4" t="s">
        <v>63</v>
      </c>
      <c r="BA2933" s="4" t="s">
        <v>63</v>
      </c>
      <c r="BB2933" s="4" t="s">
        <v>63</v>
      </c>
      <c r="BC2933" s="4" t="s">
        <v>63</v>
      </c>
      <c r="BD2933" s="4" t="s">
        <v>63</v>
      </c>
      <c r="BE2933" s="4" t="s">
        <v>63</v>
      </c>
      <c r="BF2933" s="4" t="s">
        <v>63</v>
      </c>
    </row>
    <row r="2934" spans="1:58">
      <c r="A2934" s="4" t="s">
        <v>58</v>
      </c>
      <c r="B2934" s="4" t="s">
        <v>24093</v>
      </c>
      <c r="C2934" s="4" t="s">
        <v>24094</v>
      </c>
      <c r="D2934" s="4" t="s">
        <v>24095</v>
      </c>
      <c r="E2934" s="4" t="s">
        <v>63</v>
      </c>
      <c r="F2934" s="4">
        <v>2017</v>
      </c>
      <c r="G2934" s="4" t="s">
        <v>157</v>
      </c>
      <c r="H2934" s="4">
        <v>41</v>
      </c>
      <c r="I2934" s="4">
        <v>4</v>
      </c>
      <c r="J2934" s="4">
        <v>480</v>
      </c>
      <c r="K2934" s="4">
        <v>498</v>
      </c>
      <c r="L2934" s="4" t="s">
        <v>24096</v>
      </c>
      <c r="M2934" s="4" t="s">
        <v>24097</v>
      </c>
      <c r="N2934" s="4" t="s">
        <v>24098</v>
      </c>
      <c r="O2934" s="4" t="s">
        <v>63</v>
      </c>
      <c r="P2934" s="4"/>
      <c r="Q2934" s="4" t="s">
        <v>63</v>
      </c>
      <c r="R2934" s="4" t="s">
        <v>63</v>
      </c>
      <c r="S2934" s="4" t="s">
        <v>63</v>
      </c>
      <c r="T2934" s="4" t="s">
        <v>63</v>
      </c>
      <c r="U2934" s="4"/>
      <c r="V2934" s="4"/>
      <c r="W2934" s="4"/>
      <c r="X2934" s="4" t="s">
        <v>63</v>
      </c>
      <c r="Y2934" s="4" t="s">
        <v>24099</v>
      </c>
      <c r="Z2934" s="4" t="s">
        <v>63</v>
      </c>
      <c r="AA2934" s="4" t="s">
        <v>24100</v>
      </c>
      <c r="AB2934" s="4" t="s">
        <v>24101</v>
      </c>
      <c r="AC2934" s="4" t="s">
        <v>67</v>
      </c>
      <c r="AD2934" s="4" t="s">
        <v>63</v>
      </c>
      <c r="AE2934" s="4" t="s">
        <v>63</v>
      </c>
      <c r="AF2934" s="4" t="s">
        <v>63</v>
      </c>
      <c r="AG2934" s="4" t="s">
        <v>63</v>
      </c>
      <c r="AH2934" s="4" t="s">
        <v>63</v>
      </c>
      <c r="AI2934" s="4" t="s">
        <v>24102</v>
      </c>
      <c r="AJ2934" s="4" t="s">
        <v>63</v>
      </c>
      <c r="AK2934" s="4" t="s">
        <v>63</v>
      </c>
      <c r="AL2934" s="4" t="s">
        <v>63</v>
      </c>
      <c r="AM2934" s="4" t="s">
        <v>24094</v>
      </c>
      <c r="AN2934" s="4" t="s">
        <v>63</v>
      </c>
      <c r="AO2934" s="4" t="s">
        <v>63</v>
      </c>
      <c r="AP2934" s="4" t="s">
        <v>63</v>
      </c>
      <c r="AQ2934" s="4" t="s">
        <v>63</v>
      </c>
      <c r="AR2934" s="4" t="s">
        <v>63</v>
      </c>
      <c r="AS2934" s="4" t="s">
        <v>63</v>
      </c>
      <c r="AT2934" s="4" t="s">
        <v>63</v>
      </c>
      <c r="AU2934" s="4" t="s">
        <v>63</v>
      </c>
      <c r="AV2934" s="4" t="s">
        <v>63</v>
      </c>
      <c r="AW2934" s="4" t="s">
        <v>63</v>
      </c>
      <c r="AX2934" s="4" t="s">
        <v>63</v>
      </c>
      <c r="AY2934" s="4" t="s">
        <v>63</v>
      </c>
      <c r="AZ2934" s="4" t="s">
        <v>63</v>
      </c>
      <c r="BA2934" s="4" t="s">
        <v>63</v>
      </c>
      <c r="BB2934" s="4" t="s">
        <v>63</v>
      </c>
      <c r="BC2934" s="4" t="s">
        <v>63</v>
      </c>
      <c r="BD2934" s="4" t="s">
        <v>63</v>
      </c>
      <c r="BE2934" s="4" t="s">
        <v>63</v>
      </c>
      <c r="BF2934" s="4" t="s">
        <v>63</v>
      </c>
    </row>
    <row r="2935" spans="1:58">
      <c r="A2935" s="4" t="s">
        <v>58</v>
      </c>
      <c r="B2935" s="4" t="s">
        <v>6266</v>
      </c>
      <c r="C2935" s="4" t="s">
        <v>24103</v>
      </c>
      <c r="D2935" s="4" t="s">
        <v>5166</v>
      </c>
      <c r="E2935" s="4" t="s">
        <v>5167</v>
      </c>
      <c r="F2935" s="4">
        <v>1991</v>
      </c>
      <c r="G2935" s="4" t="s">
        <v>219</v>
      </c>
      <c r="H2935" s="4">
        <v>91</v>
      </c>
      <c r="I2935" s="4">
        <v>11</v>
      </c>
      <c r="J2935" s="4" t="s">
        <v>22288</v>
      </c>
      <c r="K2935" s="4" t="s">
        <v>19444</v>
      </c>
      <c r="L2935" s="4" t="s">
        <v>24104</v>
      </c>
      <c r="M2935" s="4" t="s">
        <v>63</v>
      </c>
      <c r="N2935" s="4" t="s">
        <v>24105</v>
      </c>
      <c r="O2935" s="4" t="s">
        <v>63</v>
      </c>
      <c r="P2935" s="4"/>
      <c r="Q2935" s="4" t="s">
        <v>63</v>
      </c>
      <c r="R2935" s="4" t="s">
        <v>63</v>
      </c>
      <c r="S2935" s="4" t="s">
        <v>63</v>
      </c>
      <c r="T2935" s="4" t="s">
        <v>63</v>
      </c>
      <c r="U2935" s="4"/>
      <c r="V2935" s="4"/>
      <c r="W2935" s="4"/>
      <c r="X2935" s="4" t="s">
        <v>63</v>
      </c>
      <c r="Y2935" s="4" t="s">
        <v>5170</v>
      </c>
      <c r="Z2935" s="4" t="s">
        <v>63</v>
      </c>
      <c r="AA2935" s="4" t="s">
        <v>24106</v>
      </c>
      <c r="AB2935" s="4" t="s">
        <v>24107</v>
      </c>
      <c r="AC2935" s="4" t="s">
        <v>67</v>
      </c>
      <c r="AD2935" s="4" t="s">
        <v>63</v>
      </c>
      <c r="AE2935" s="4" t="s">
        <v>63</v>
      </c>
      <c r="AF2935" s="4" t="s">
        <v>63</v>
      </c>
      <c r="AG2935" s="4" t="s">
        <v>63</v>
      </c>
      <c r="AH2935" s="4" t="s">
        <v>63</v>
      </c>
      <c r="AI2935" s="4" t="s">
        <v>63</v>
      </c>
      <c r="AJ2935" s="4" t="s">
        <v>63</v>
      </c>
      <c r="AK2935" s="4" t="s">
        <v>63</v>
      </c>
      <c r="AL2935" s="4" t="s">
        <v>63</v>
      </c>
      <c r="AM2935" s="4" t="s">
        <v>24103</v>
      </c>
      <c r="AN2935" s="4" t="s">
        <v>63</v>
      </c>
      <c r="AO2935" s="4" t="s">
        <v>63</v>
      </c>
      <c r="AP2935" s="4" t="s">
        <v>63</v>
      </c>
      <c r="AQ2935" s="4" t="s">
        <v>63</v>
      </c>
      <c r="AR2935" s="4" t="s">
        <v>63</v>
      </c>
      <c r="AS2935" s="4" t="s">
        <v>63</v>
      </c>
      <c r="AT2935" s="4" t="s">
        <v>63</v>
      </c>
      <c r="AU2935" s="4" t="s">
        <v>63</v>
      </c>
      <c r="AV2935" s="4" t="s">
        <v>63</v>
      </c>
      <c r="AW2935" s="4" t="s">
        <v>63</v>
      </c>
      <c r="AX2935" s="4" t="s">
        <v>63</v>
      </c>
      <c r="AY2935" s="4" t="s">
        <v>63</v>
      </c>
      <c r="AZ2935" s="4" t="s">
        <v>63</v>
      </c>
      <c r="BA2935" s="4" t="s">
        <v>63</v>
      </c>
      <c r="BB2935" s="4" t="s">
        <v>63</v>
      </c>
      <c r="BC2935" s="4" t="s">
        <v>63</v>
      </c>
      <c r="BD2935" s="4" t="s">
        <v>63</v>
      </c>
      <c r="BE2935" s="4" t="s">
        <v>63</v>
      </c>
      <c r="BF2935" s="4" t="s">
        <v>63</v>
      </c>
    </row>
    <row r="2936" spans="1:58">
      <c r="A2936" s="4" t="s">
        <v>58</v>
      </c>
      <c r="B2936" s="4" t="s">
        <v>24108</v>
      </c>
      <c r="C2936" s="4" t="s">
        <v>24109</v>
      </c>
      <c r="D2936" s="4" t="s">
        <v>371</v>
      </c>
      <c r="E2936" s="4" t="s">
        <v>63</v>
      </c>
      <c r="F2936" s="4">
        <v>2004</v>
      </c>
      <c r="G2936" s="4" t="s">
        <v>84</v>
      </c>
      <c r="H2936" s="4">
        <v>19</v>
      </c>
      <c r="I2936" s="4" t="s">
        <v>63</v>
      </c>
      <c r="J2936" s="4">
        <v>94</v>
      </c>
      <c r="K2936" s="4">
        <v>95</v>
      </c>
      <c r="L2936" s="4" t="s">
        <v>63</v>
      </c>
      <c r="M2936" s="4" t="s">
        <v>63</v>
      </c>
      <c r="N2936" s="4" t="s">
        <v>24110</v>
      </c>
      <c r="O2936" s="4" t="s">
        <v>63</v>
      </c>
      <c r="P2936" s="4"/>
      <c r="Q2936" s="4" t="s">
        <v>63</v>
      </c>
      <c r="R2936" s="4" t="s">
        <v>63</v>
      </c>
      <c r="S2936" s="4" t="s">
        <v>63</v>
      </c>
      <c r="T2936" s="4" t="s">
        <v>63</v>
      </c>
      <c r="U2936" s="4"/>
      <c r="V2936" s="4"/>
      <c r="W2936" s="4"/>
      <c r="X2936" s="4" t="s">
        <v>63</v>
      </c>
      <c r="Y2936" s="4" t="s">
        <v>375</v>
      </c>
      <c r="Z2936" s="4" t="s">
        <v>63</v>
      </c>
      <c r="AA2936" s="4" t="s">
        <v>24111</v>
      </c>
      <c r="AB2936" s="4" t="s">
        <v>24112</v>
      </c>
      <c r="AC2936" s="4" t="s">
        <v>67</v>
      </c>
      <c r="AD2936" s="4" t="s">
        <v>63</v>
      </c>
      <c r="AE2936" s="4" t="s">
        <v>63</v>
      </c>
      <c r="AF2936" s="4" t="s">
        <v>63</v>
      </c>
      <c r="AG2936" s="4" t="s">
        <v>63</v>
      </c>
      <c r="AH2936" s="4" t="s">
        <v>63</v>
      </c>
      <c r="AI2936" s="4" t="s">
        <v>63</v>
      </c>
      <c r="AJ2936" s="4" t="s">
        <v>63</v>
      </c>
      <c r="AK2936" s="4" t="s">
        <v>63</v>
      </c>
      <c r="AL2936" s="4" t="s">
        <v>63</v>
      </c>
      <c r="AM2936" s="4" t="s">
        <v>24109</v>
      </c>
      <c r="AN2936" s="4" t="s">
        <v>63</v>
      </c>
      <c r="AO2936" s="4" t="s">
        <v>63</v>
      </c>
      <c r="AP2936" s="4" t="s">
        <v>63</v>
      </c>
      <c r="AQ2936" s="4" t="s">
        <v>63</v>
      </c>
      <c r="AR2936" s="4" t="s">
        <v>63</v>
      </c>
      <c r="AS2936" s="4" t="s">
        <v>63</v>
      </c>
      <c r="AT2936" s="4" t="s">
        <v>63</v>
      </c>
      <c r="AU2936" s="4" t="s">
        <v>63</v>
      </c>
      <c r="AV2936" s="4" t="s">
        <v>63</v>
      </c>
      <c r="AW2936" s="4" t="s">
        <v>63</v>
      </c>
      <c r="AX2936" s="4" t="s">
        <v>63</v>
      </c>
      <c r="AY2936" s="4" t="s">
        <v>63</v>
      </c>
      <c r="AZ2936" s="4" t="s">
        <v>63</v>
      </c>
      <c r="BA2936" s="4" t="s">
        <v>63</v>
      </c>
      <c r="BB2936" s="4" t="s">
        <v>63</v>
      </c>
      <c r="BC2936" s="4" t="s">
        <v>63</v>
      </c>
      <c r="BD2936" s="4" t="s">
        <v>63</v>
      </c>
      <c r="BE2936" s="4" t="s">
        <v>63</v>
      </c>
      <c r="BF2936" s="4" t="s">
        <v>63</v>
      </c>
    </row>
    <row r="2937" spans="1:58">
      <c r="A2937" s="4" t="s">
        <v>58</v>
      </c>
      <c r="B2937" s="4" t="s">
        <v>24113</v>
      </c>
      <c r="C2937" s="4" t="s">
        <v>24114</v>
      </c>
      <c r="D2937" s="4" t="s">
        <v>15589</v>
      </c>
      <c r="E2937" s="4" t="s">
        <v>63</v>
      </c>
      <c r="F2937" s="4">
        <v>2014</v>
      </c>
      <c r="G2937" s="4" t="s">
        <v>63</v>
      </c>
      <c r="H2937" s="4">
        <v>29</v>
      </c>
      <c r="I2937" s="4" t="s">
        <v>63</v>
      </c>
      <c r="J2937" s="4" t="s">
        <v>63</v>
      </c>
      <c r="K2937" s="4" t="s">
        <v>63</v>
      </c>
      <c r="L2937" s="4" t="s">
        <v>24115</v>
      </c>
      <c r="M2937" s="4" t="s">
        <v>63</v>
      </c>
      <c r="N2937" s="4" t="s">
        <v>24116</v>
      </c>
      <c r="O2937" s="4" t="s">
        <v>63</v>
      </c>
      <c r="P2937" s="4"/>
      <c r="Q2937" s="4" t="s">
        <v>63</v>
      </c>
      <c r="R2937" s="4" t="s">
        <v>63</v>
      </c>
      <c r="S2937" s="4" t="s">
        <v>63</v>
      </c>
      <c r="T2937" s="4" t="s">
        <v>63</v>
      </c>
      <c r="U2937" s="4"/>
      <c r="V2937" s="4"/>
      <c r="W2937" s="4"/>
      <c r="X2937" s="4" t="s">
        <v>63</v>
      </c>
      <c r="Y2937" s="4" t="s">
        <v>3365</v>
      </c>
      <c r="Z2937" s="4" t="s">
        <v>63</v>
      </c>
      <c r="AA2937" s="4" t="s">
        <v>24117</v>
      </c>
      <c r="AB2937" s="4" t="s">
        <v>24118</v>
      </c>
      <c r="AC2937" s="4" t="s">
        <v>67</v>
      </c>
      <c r="AD2937" s="4" t="s">
        <v>63</v>
      </c>
      <c r="AE2937" s="4" t="s">
        <v>63</v>
      </c>
      <c r="AF2937" s="4" t="s">
        <v>63</v>
      </c>
      <c r="AG2937" s="4" t="s">
        <v>63</v>
      </c>
      <c r="AH2937" s="4" t="s">
        <v>63</v>
      </c>
      <c r="AI2937" s="4" t="s">
        <v>63</v>
      </c>
      <c r="AJ2937" s="4" t="s">
        <v>63</v>
      </c>
      <c r="AK2937" s="4" t="s">
        <v>63</v>
      </c>
      <c r="AL2937" s="4" t="s">
        <v>63</v>
      </c>
      <c r="AM2937" s="4" t="s">
        <v>24114</v>
      </c>
      <c r="AN2937" s="4" t="s">
        <v>63</v>
      </c>
      <c r="AO2937" s="4" t="s">
        <v>63</v>
      </c>
      <c r="AP2937" s="4" t="s">
        <v>63</v>
      </c>
      <c r="AQ2937" s="4" t="s">
        <v>63</v>
      </c>
      <c r="AR2937" s="4" t="s">
        <v>63</v>
      </c>
      <c r="AS2937" s="4" t="s">
        <v>63</v>
      </c>
      <c r="AT2937" s="4" t="s">
        <v>63</v>
      </c>
      <c r="AU2937" s="4" t="s">
        <v>63</v>
      </c>
      <c r="AV2937" s="4" t="s">
        <v>63</v>
      </c>
      <c r="AW2937" s="4" t="s">
        <v>63</v>
      </c>
      <c r="AX2937" s="4" t="s">
        <v>63</v>
      </c>
      <c r="AY2937" s="4" t="s">
        <v>63</v>
      </c>
      <c r="AZ2937" s="4" t="s">
        <v>63</v>
      </c>
      <c r="BA2937" s="4" t="s">
        <v>63</v>
      </c>
      <c r="BB2937" s="4" t="s">
        <v>63</v>
      </c>
      <c r="BC2937" s="4" t="s">
        <v>63</v>
      </c>
      <c r="BD2937" s="4" t="s">
        <v>63</v>
      </c>
      <c r="BE2937" s="4" t="s">
        <v>63</v>
      </c>
      <c r="BF2937" s="4" t="s">
        <v>63</v>
      </c>
    </row>
    <row r="2938" spans="1:58">
      <c r="A2938" s="4" t="s">
        <v>58</v>
      </c>
      <c r="B2938" s="4" t="s">
        <v>6515</v>
      </c>
      <c r="C2938" s="4" t="s">
        <v>24119</v>
      </c>
      <c r="D2938" s="4" t="s">
        <v>603</v>
      </c>
      <c r="E2938" s="4" t="s">
        <v>604</v>
      </c>
      <c r="F2938" s="4">
        <v>1988</v>
      </c>
      <c r="G2938" s="4" t="s">
        <v>198</v>
      </c>
      <c r="H2938" s="4">
        <v>80</v>
      </c>
      <c r="I2938" s="4">
        <v>1</v>
      </c>
      <c r="J2938" s="4">
        <v>81</v>
      </c>
      <c r="K2938" s="4">
        <v>85</v>
      </c>
      <c r="L2938" s="4" t="s">
        <v>63</v>
      </c>
      <c r="M2938" s="4" t="s">
        <v>63</v>
      </c>
      <c r="N2938" s="4" t="s">
        <v>24120</v>
      </c>
      <c r="O2938" s="4" t="s">
        <v>63</v>
      </c>
      <c r="P2938" s="4"/>
      <c r="Q2938" s="4" t="s">
        <v>63</v>
      </c>
      <c r="R2938" s="4" t="s">
        <v>63</v>
      </c>
      <c r="S2938" s="4" t="s">
        <v>63</v>
      </c>
      <c r="T2938" s="4" t="s">
        <v>63</v>
      </c>
      <c r="U2938" s="4"/>
      <c r="V2938" s="4"/>
      <c r="W2938" s="4"/>
      <c r="X2938" s="4" t="s">
        <v>63</v>
      </c>
      <c r="Y2938" s="4" t="s">
        <v>608</v>
      </c>
      <c r="Z2938" s="4" t="s">
        <v>63</v>
      </c>
      <c r="AA2938" s="4" t="s">
        <v>24121</v>
      </c>
      <c r="AB2938" s="4" t="s">
        <v>24122</v>
      </c>
      <c r="AC2938" s="4" t="s">
        <v>67</v>
      </c>
      <c r="AD2938" s="4" t="s">
        <v>63</v>
      </c>
      <c r="AE2938" s="4" t="s">
        <v>63</v>
      </c>
      <c r="AF2938" s="4" t="s">
        <v>63</v>
      </c>
      <c r="AG2938" s="4" t="s">
        <v>63</v>
      </c>
      <c r="AH2938" s="4" t="s">
        <v>63</v>
      </c>
      <c r="AI2938" s="4" t="s">
        <v>63</v>
      </c>
      <c r="AJ2938" s="4" t="s">
        <v>63</v>
      </c>
      <c r="AK2938" s="4" t="s">
        <v>63</v>
      </c>
      <c r="AL2938" s="4" t="s">
        <v>63</v>
      </c>
      <c r="AM2938" s="4" t="s">
        <v>24119</v>
      </c>
      <c r="AN2938" s="4" t="s">
        <v>63</v>
      </c>
      <c r="AO2938" s="4" t="s">
        <v>63</v>
      </c>
      <c r="AP2938" s="4" t="s">
        <v>63</v>
      </c>
      <c r="AQ2938" s="4" t="s">
        <v>63</v>
      </c>
      <c r="AR2938" s="4" t="s">
        <v>63</v>
      </c>
      <c r="AS2938" s="4" t="s">
        <v>63</v>
      </c>
      <c r="AT2938" s="4" t="s">
        <v>63</v>
      </c>
      <c r="AU2938" s="4" t="s">
        <v>63</v>
      </c>
      <c r="AV2938" s="4" t="s">
        <v>63</v>
      </c>
      <c r="AW2938" s="4" t="s">
        <v>63</v>
      </c>
      <c r="AX2938" s="4" t="s">
        <v>63</v>
      </c>
      <c r="AY2938" s="4" t="s">
        <v>63</v>
      </c>
      <c r="AZ2938" s="4" t="s">
        <v>63</v>
      </c>
      <c r="BA2938" s="4" t="s">
        <v>63</v>
      </c>
      <c r="BB2938" s="4" t="s">
        <v>63</v>
      </c>
      <c r="BC2938" s="4" t="s">
        <v>63</v>
      </c>
      <c r="BD2938" s="4" t="s">
        <v>63</v>
      </c>
      <c r="BE2938" s="4" t="s">
        <v>63</v>
      </c>
      <c r="BF2938" s="4" t="s">
        <v>63</v>
      </c>
    </row>
    <row r="2939" spans="1:58">
      <c r="A2939" s="4" t="s">
        <v>58</v>
      </c>
      <c r="B2939" s="4" t="s">
        <v>24123</v>
      </c>
      <c r="C2939" s="4" t="s">
        <v>24124</v>
      </c>
      <c r="D2939" s="4" t="s">
        <v>164</v>
      </c>
      <c r="E2939" s="4" t="s">
        <v>165</v>
      </c>
      <c r="F2939" s="4">
        <v>1965</v>
      </c>
      <c r="G2939" s="4" t="s">
        <v>63</v>
      </c>
      <c r="H2939" s="4">
        <v>122</v>
      </c>
      <c r="I2939" s="4">
        <v>4</v>
      </c>
      <c r="J2939" s="4">
        <v>478</v>
      </c>
      <c r="K2939" s="4">
        <v>479</v>
      </c>
      <c r="L2939" s="4" t="s">
        <v>63</v>
      </c>
      <c r="M2939" s="4" t="s">
        <v>63</v>
      </c>
      <c r="N2939" s="4" t="s">
        <v>24125</v>
      </c>
      <c r="O2939" s="4" t="s">
        <v>63</v>
      </c>
      <c r="P2939" s="4"/>
      <c r="Q2939" s="4" t="s">
        <v>63</v>
      </c>
      <c r="R2939" s="4" t="s">
        <v>63</v>
      </c>
      <c r="S2939" s="4" t="s">
        <v>63</v>
      </c>
      <c r="T2939" s="4" t="s">
        <v>63</v>
      </c>
      <c r="U2939" s="4"/>
      <c r="V2939" s="4"/>
      <c r="W2939" s="4"/>
      <c r="X2939" s="4" t="s">
        <v>63</v>
      </c>
      <c r="Y2939" s="4" t="s">
        <v>169</v>
      </c>
      <c r="Z2939" s="4" t="s">
        <v>63</v>
      </c>
      <c r="AA2939" s="4" t="s">
        <v>63</v>
      </c>
      <c r="AB2939" s="4" t="s">
        <v>24126</v>
      </c>
      <c r="AC2939" s="4" t="s">
        <v>67</v>
      </c>
      <c r="AD2939" s="4" t="s">
        <v>63</v>
      </c>
      <c r="AE2939" s="4" t="s">
        <v>63</v>
      </c>
      <c r="AF2939" s="4" t="s">
        <v>63</v>
      </c>
      <c r="AG2939" s="4" t="s">
        <v>63</v>
      </c>
      <c r="AH2939" s="4" t="s">
        <v>63</v>
      </c>
      <c r="AI2939" s="4" t="s">
        <v>63</v>
      </c>
      <c r="AJ2939" s="4" t="s">
        <v>63</v>
      </c>
      <c r="AK2939" s="4" t="s">
        <v>63</v>
      </c>
      <c r="AL2939" s="4" t="s">
        <v>63</v>
      </c>
      <c r="AM2939" s="4" t="s">
        <v>24124</v>
      </c>
      <c r="AN2939" s="4" t="s">
        <v>63</v>
      </c>
      <c r="AO2939" s="4" t="s">
        <v>63</v>
      </c>
      <c r="AP2939" s="4" t="s">
        <v>63</v>
      </c>
      <c r="AQ2939" s="4" t="s">
        <v>63</v>
      </c>
      <c r="AR2939" s="4" t="s">
        <v>63</v>
      </c>
      <c r="AS2939" s="4" t="s">
        <v>63</v>
      </c>
      <c r="AT2939" s="4" t="s">
        <v>63</v>
      </c>
      <c r="AU2939" s="4" t="s">
        <v>63</v>
      </c>
      <c r="AV2939" s="4" t="s">
        <v>63</v>
      </c>
      <c r="AW2939" s="4" t="s">
        <v>63</v>
      </c>
      <c r="AX2939" s="4" t="s">
        <v>63</v>
      </c>
      <c r="AY2939" s="4" t="s">
        <v>63</v>
      </c>
      <c r="AZ2939" s="4" t="s">
        <v>63</v>
      </c>
      <c r="BA2939" s="4" t="s">
        <v>63</v>
      </c>
      <c r="BB2939" s="4" t="s">
        <v>63</v>
      </c>
      <c r="BC2939" s="4" t="s">
        <v>63</v>
      </c>
      <c r="BD2939" s="4" t="s">
        <v>63</v>
      </c>
      <c r="BE2939" s="4" t="s">
        <v>63</v>
      </c>
      <c r="BF2939" s="4" t="s">
        <v>63</v>
      </c>
    </row>
    <row r="2940" spans="1:58">
      <c r="A2940" s="4" t="s">
        <v>58</v>
      </c>
      <c r="B2940" s="4" t="s">
        <v>24127</v>
      </c>
      <c r="C2940" s="4" t="s">
        <v>24128</v>
      </c>
      <c r="D2940" s="4" t="s">
        <v>2353</v>
      </c>
      <c r="E2940" s="4" t="s">
        <v>2354</v>
      </c>
      <c r="F2940" s="4">
        <v>1987</v>
      </c>
      <c r="G2940" s="4" t="s">
        <v>63</v>
      </c>
      <c r="H2940" s="4">
        <v>4</v>
      </c>
      <c r="I2940" s="6">
        <v>41701</v>
      </c>
      <c r="J2940" s="4">
        <v>145</v>
      </c>
      <c r="K2940" s="4">
        <v>145</v>
      </c>
      <c r="L2940" s="4" t="s">
        <v>63</v>
      </c>
      <c r="M2940" s="4" t="s">
        <v>63</v>
      </c>
      <c r="N2940" s="4" t="s">
        <v>24129</v>
      </c>
      <c r="O2940" s="4" t="s">
        <v>63</v>
      </c>
      <c r="P2940" s="4"/>
      <c r="Q2940" s="4" t="s">
        <v>63</v>
      </c>
      <c r="R2940" s="4" t="s">
        <v>63</v>
      </c>
      <c r="S2940" s="4" t="s">
        <v>63</v>
      </c>
      <c r="T2940" s="4" t="s">
        <v>63</v>
      </c>
      <c r="U2940" s="4"/>
      <c r="V2940" s="4"/>
      <c r="W2940" s="4"/>
      <c r="X2940" s="4" t="s">
        <v>63</v>
      </c>
      <c r="Y2940" s="4" t="s">
        <v>2358</v>
      </c>
      <c r="Z2940" s="4" t="s">
        <v>63</v>
      </c>
      <c r="AA2940" s="4" t="s">
        <v>63</v>
      </c>
      <c r="AB2940" s="4" t="s">
        <v>24130</v>
      </c>
      <c r="AC2940" s="4" t="s">
        <v>67</v>
      </c>
      <c r="AD2940" s="4" t="s">
        <v>63</v>
      </c>
      <c r="AE2940" s="4" t="s">
        <v>63</v>
      </c>
      <c r="AF2940" s="4" t="s">
        <v>63</v>
      </c>
      <c r="AG2940" s="4" t="s">
        <v>63</v>
      </c>
      <c r="AH2940" s="4" t="s">
        <v>63</v>
      </c>
      <c r="AI2940" s="4" t="s">
        <v>63</v>
      </c>
      <c r="AJ2940" s="4" t="s">
        <v>63</v>
      </c>
      <c r="AK2940" s="4" t="s">
        <v>63</v>
      </c>
      <c r="AL2940" s="4" t="s">
        <v>63</v>
      </c>
      <c r="AM2940" s="4" t="s">
        <v>24128</v>
      </c>
      <c r="AN2940" s="4" t="s">
        <v>63</v>
      </c>
      <c r="AO2940" s="4" t="s">
        <v>63</v>
      </c>
      <c r="AP2940" s="4" t="s">
        <v>63</v>
      </c>
      <c r="AQ2940" s="4" t="s">
        <v>63</v>
      </c>
      <c r="AR2940" s="4" t="s">
        <v>63</v>
      </c>
      <c r="AS2940" s="4" t="s">
        <v>63</v>
      </c>
      <c r="AT2940" s="4" t="s">
        <v>63</v>
      </c>
      <c r="AU2940" s="4" t="s">
        <v>63</v>
      </c>
      <c r="AV2940" s="4" t="s">
        <v>63</v>
      </c>
      <c r="AW2940" s="4" t="s">
        <v>63</v>
      </c>
      <c r="AX2940" s="4" t="s">
        <v>63</v>
      </c>
      <c r="AY2940" s="4" t="s">
        <v>63</v>
      </c>
      <c r="AZ2940" s="4" t="s">
        <v>63</v>
      </c>
      <c r="BA2940" s="4" t="s">
        <v>63</v>
      </c>
      <c r="BB2940" s="4" t="s">
        <v>63</v>
      </c>
      <c r="BC2940" s="4" t="s">
        <v>63</v>
      </c>
      <c r="BD2940" s="4" t="s">
        <v>63</v>
      </c>
      <c r="BE2940" s="4" t="s">
        <v>63</v>
      </c>
      <c r="BF2940" s="4" t="s">
        <v>63</v>
      </c>
    </row>
    <row r="2941" spans="1:58">
      <c r="A2941" s="4" t="s">
        <v>58</v>
      </c>
      <c r="B2941" s="4" t="s">
        <v>24131</v>
      </c>
      <c r="C2941" s="4" t="s">
        <v>24132</v>
      </c>
      <c r="D2941" s="4" t="s">
        <v>9863</v>
      </c>
      <c r="E2941" s="4" t="s">
        <v>9864</v>
      </c>
      <c r="F2941" s="4">
        <v>1997</v>
      </c>
      <c r="G2941" s="4" t="s">
        <v>1670</v>
      </c>
      <c r="H2941" s="4">
        <v>111</v>
      </c>
      <c r="I2941" s="4">
        <v>4</v>
      </c>
      <c r="J2941" s="4">
        <v>225</v>
      </c>
      <c r="K2941" s="4">
        <v>229</v>
      </c>
      <c r="L2941" s="4" t="s">
        <v>24133</v>
      </c>
      <c r="M2941" s="4" t="s">
        <v>24134</v>
      </c>
      <c r="N2941" s="4" t="s">
        <v>24135</v>
      </c>
      <c r="O2941" s="4" t="s">
        <v>63</v>
      </c>
      <c r="P2941" s="4"/>
      <c r="Q2941" s="4" t="s">
        <v>63</v>
      </c>
      <c r="R2941" s="4" t="s">
        <v>63</v>
      </c>
      <c r="S2941" s="4" t="s">
        <v>63</v>
      </c>
      <c r="T2941" s="4" t="s">
        <v>63</v>
      </c>
      <c r="U2941" s="4"/>
      <c r="V2941" s="4"/>
      <c r="W2941" s="4"/>
      <c r="X2941" s="4" t="s">
        <v>63</v>
      </c>
      <c r="Y2941" s="4" t="s">
        <v>9868</v>
      </c>
      <c r="Z2941" s="4" t="s">
        <v>63</v>
      </c>
      <c r="AA2941" s="4" t="s">
        <v>24136</v>
      </c>
      <c r="AB2941" s="4" t="s">
        <v>24137</v>
      </c>
      <c r="AC2941" s="4" t="s">
        <v>67</v>
      </c>
      <c r="AD2941" s="4" t="s">
        <v>63</v>
      </c>
      <c r="AE2941" s="4" t="s">
        <v>63</v>
      </c>
      <c r="AF2941" s="4" t="s">
        <v>63</v>
      </c>
      <c r="AG2941" s="4" t="s">
        <v>63</v>
      </c>
      <c r="AH2941" s="4" t="s">
        <v>63</v>
      </c>
      <c r="AI2941" s="4" t="s">
        <v>63</v>
      </c>
      <c r="AJ2941" s="4" t="s">
        <v>63</v>
      </c>
      <c r="AK2941" s="4" t="s">
        <v>63</v>
      </c>
      <c r="AL2941" s="4" t="s">
        <v>63</v>
      </c>
      <c r="AM2941" s="4" t="s">
        <v>24132</v>
      </c>
      <c r="AN2941" s="4" t="s">
        <v>63</v>
      </c>
      <c r="AO2941" s="4" t="s">
        <v>63</v>
      </c>
      <c r="AP2941" s="4" t="s">
        <v>63</v>
      </c>
      <c r="AQ2941" s="4" t="s">
        <v>63</v>
      </c>
      <c r="AR2941" s="4" t="s">
        <v>63</v>
      </c>
      <c r="AS2941" s="4" t="s">
        <v>63</v>
      </c>
      <c r="AT2941" s="4" t="s">
        <v>63</v>
      </c>
      <c r="AU2941" s="4" t="s">
        <v>63</v>
      </c>
      <c r="AV2941" s="4" t="s">
        <v>63</v>
      </c>
      <c r="AW2941" s="4" t="s">
        <v>63</v>
      </c>
      <c r="AX2941" s="4" t="s">
        <v>63</v>
      </c>
      <c r="AY2941" s="4" t="s">
        <v>63</v>
      </c>
      <c r="AZ2941" s="4" t="s">
        <v>63</v>
      </c>
      <c r="BA2941" s="4" t="s">
        <v>63</v>
      </c>
      <c r="BB2941" s="4" t="s">
        <v>63</v>
      </c>
      <c r="BC2941" s="4" t="s">
        <v>63</v>
      </c>
      <c r="BD2941" s="4" t="s">
        <v>63</v>
      </c>
      <c r="BE2941" s="4" t="s">
        <v>63</v>
      </c>
      <c r="BF2941" s="4" t="s">
        <v>63</v>
      </c>
    </row>
    <row r="2942" spans="1:58">
      <c r="A2942" s="4" t="s">
        <v>58</v>
      </c>
      <c r="B2942" s="4" t="s">
        <v>24138</v>
      </c>
      <c r="C2942" s="4" t="s">
        <v>24139</v>
      </c>
      <c r="D2942" s="4" t="s">
        <v>763</v>
      </c>
      <c r="E2942" s="4" t="s">
        <v>63</v>
      </c>
      <c r="F2942" s="4">
        <v>2016</v>
      </c>
      <c r="G2942" s="4" t="s">
        <v>181</v>
      </c>
      <c r="H2942" s="4">
        <v>91</v>
      </c>
      <c r="I2942" s="4">
        <v>9</v>
      </c>
      <c r="J2942" s="4">
        <v>1251</v>
      </c>
      <c r="K2942" s="4">
        <v>1256</v>
      </c>
      <c r="L2942" s="4" t="s">
        <v>24140</v>
      </c>
      <c r="M2942" s="4" t="s">
        <v>24141</v>
      </c>
      <c r="N2942" s="4" t="s">
        <v>24142</v>
      </c>
      <c r="O2942" s="4" t="s">
        <v>63</v>
      </c>
      <c r="P2942" s="4"/>
      <c r="Q2942" s="4" t="s">
        <v>63</v>
      </c>
      <c r="R2942" s="4" t="s">
        <v>63</v>
      </c>
      <c r="S2942" s="4" t="s">
        <v>63</v>
      </c>
      <c r="T2942" s="4" t="s">
        <v>63</v>
      </c>
      <c r="U2942" s="4"/>
      <c r="V2942" s="4"/>
      <c r="W2942" s="4"/>
      <c r="X2942" s="4" t="s">
        <v>63</v>
      </c>
      <c r="Y2942" s="4" t="s">
        <v>858</v>
      </c>
      <c r="Z2942" s="4" t="s">
        <v>63</v>
      </c>
      <c r="AA2942" s="4" t="s">
        <v>24143</v>
      </c>
      <c r="AB2942" s="4" t="s">
        <v>24144</v>
      </c>
      <c r="AC2942" s="4" t="s">
        <v>67</v>
      </c>
      <c r="AD2942" s="4" t="s">
        <v>63</v>
      </c>
      <c r="AE2942" s="4" t="s">
        <v>63</v>
      </c>
      <c r="AF2942" s="4" t="s">
        <v>63</v>
      </c>
      <c r="AG2942" s="4" t="s">
        <v>63</v>
      </c>
      <c r="AH2942" s="4" t="s">
        <v>63</v>
      </c>
      <c r="AI2942" s="4" t="s">
        <v>24145</v>
      </c>
      <c r="AJ2942" s="4" t="s">
        <v>63</v>
      </c>
      <c r="AK2942" s="4" t="s">
        <v>63</v>
      </c>
      <c r="AL2942" s="4" t="s">
        <v>63</v>
      </c>
      <c r="AM2942" s="4" t="s">
        <v>24139</v>
      </c>
      <c r="AN2942" s="4" t="s">
        <v>63</v>
      </c>
      <c r="AO2942" s="4" t="s">
        <v>63</v>
      </c>
      <c r="AP2942" s="4" t="s">
        <v>63</v>
      </c>
      <c r="AQ2942" s="4" t="s">
        <v>63</v>
      </c>
      <c r="AR2942" s="4" t="s">
        <v>63</v>
      </c>
      <c r="AS2942" s="4" t="s">
        <v>63</v>
      </c>
      <c r="AT2942" s="4" t="s">
        <v>63</v>
      </c>
      <c r="AU2942" s="4" t="s">
        <v>63</v>
      </c>
      <c r="AV2942" s="4" t="s">
        <v>63</v>
      </c>
      <c r="AW2942" s="4" t="s">
        <v>63</v>
      </c>
      <c r="AX2942" s="4" t="s">
        <v>63</v>
      </c>
      <c r="AY2942" s="4" t="s">
        <v>63</v>
      </c>
      <c r="AZ2942" s="4" t="s">
        <v>63</v>
      </c>
      <c r="BA2942" s="4" t="s">
        <v>63</v>
      </c>
      <c r="BB2942" s="4" t="s">
        <v>63</v>
      </c>
      <c r="BC2942" s="4" t="s">
        <v>63</v>
      </c>
      <c r="BD2942" s="4" t="s">
        <v>63</v>
      </c>
      <c r="BE2942" s="4" t="s">
        <v>63</v>
      </c>
      <c r="BF2942" s="4" t="s">
        <v>63</v>
      </c>
    </row>
    <row r="2943" spans="1:58">
      <c r="A2943" s="4" t="s">
        <v>58</v>
      </c>
      <c r="B2943" s="4" t="s">
        <v>24146</v>
      </c>
      <c r="C2943" s="4" t="s">
        <v>24147</v>
      </c>
      <c r="D2943" s="4" t="s">
        <v>3253</v>
      </c>
      <c r="E2943" s="4" t="s">
        <v>63</v>
      </c>
      <c r="F2943" s="4">
        <v>2012</v>
      </c>
      <c r="G2943" s="4" t="s">
        <v>274</v>
      </c>
      <c r="H2943" s="4">
        <v>9</v>
      </c>
      <c r="I2943" s="4" t="s">
        <v>63</v>
      </c>
      <c r="J2943" s="4" t="s">
        <v>63</v>
      </c>
      <c r="K2943" s="4" t="s">
        <v>63</v>
      </c>
      <c r="L2943" s="4" t="s">
        <v>24148</v>
      </c>
      <c r="M2943" s="4" t="s">
        <v>24149</v>
      </c>
      <c r="N2943" s="4" t="s">
        <v>24150</v>
      </c>
      <c r="O2943" s="4" t="s">
        <v>63</v>
      </c>
      <c r="P2943" s="4"/>
      <c r="Q2943" s="4" t="s">
        <v>63</v>
      </c>
      <c r="R2943" s="4" t="s">
        <v>63</v>
      </c>
      <c r="S2943" s="4" t="s">
        <v>63</v>
      </c>
      <c r="T2943" s="4" t="s">
        <v>63</v>
      </c>
      <c r="U2943" s="4"/>
      <c r="V2943" s="4"/>
      <c r="W2943" s="4"/>
      <c r="X2943" s="4" t="s">
        <v>63</v>
      </c>
      <c r="Y2943" s="4" t="s">
        <v>3257</v>
      </c>
      <c r="Z2943" s="4" t="s">
        <v>63</v>
      </c>
      <c r="AA2943" s="4" t="s">
        <v>24151</v>
      </c>
      <c r="AB2943" s="4" t="s">
        <v>24152</v>
      </c>
      <c r="AC2943" s="4" t="s">
        <v>67</v>
      </c>
      <c r="AD2943" s="4" t="s">
        <v>63</v>
      </c>
      <c r="AE2943" s="4" t="s">
        <v>63</v>
      </c>
      <c r="AF2943" s="4" t="s">
        <v>63</v>
      </c>
      <c r="AG2943" s="4" t="s">
        <v>63</v>
      </c>
      <c r="AH2943" s="4" t="s">
        <v>63</v>
      </c>
      <c r="AI2943" s="4" t="s">
        <v>24153</v>
      </c>
      <c r="AJ2943" s="4" t="s">
        <v>63</v>
      </c>
      <c r="AK2943" s="4" t="s">
        <v>63</v>
      </c>
      <c r="AL2943" s="4" t="s">
        <v>63</v>
      </c>
      <c r="AM2943" s="4" t="s">
        <v>24147</v>
      </c>
      <c r="AN2943" s="4" t="s">
        <v>63</v>
      </c>
      <c r="AO2943" s="4" t="s">
        <v>63</v>
      </c>
      <c r="AP2943" s="4" t="s">
        <v>63</v>
      </c>
      <c r="AQ2943" s="4" t="s">
        <v>63</v>
      </c>
      <c r="AR2943" s="4" t="s">
        <v>63</v>
      </c>
      <c r="AS2943" s="4" t="s">
        <v>63</v>
      </c>
      <c r="AT2943" s="4" t="s">
        <v>63</v>
      </c>
      <c r="AU2943" s="4" t="s">
        <v>63</v>
      </c>
      <c r="AV2943" s="4" t="s">
        <v>63</v>
      </c>
      <c r="AW2943" s="4" t="s">
        <v>63</v>
      </c>
      <c r="AX2943" s="4" t="s">
        <v>63</v>
      </c>
      <c r="AY2943" s="4" t="s">
        <v>63</v>
      </c>
      <c r="AZ2943" s="4" t="s">
        <v>63</v>
      </c>
      <c r="BA2943" s="4" t="s">
        <v>63</v>
      </c>
      <c r="BB2943" s="4" t="s">
        <v>63</v>
      </c>
      <c r="BC2943" s="4" t="s">
        <v>63</v>
      </c>
      <c r="BD2943" s="4" t="s">
        <v>63</v>
      </c>
      <c r="BE2943" s="4" t="s">
        <v>63</v>
      </c>
      <c r="BF2943" s="4" t="s">
        <v>63</v>
      </c>
    </row>
    <row r="2944" spans="1:58">
      <c r="A2944" s="4" t="s">
        <v>58</v>
      </c>
      <c r="B2944" s="4" t="s">
        <v>24154</v>
      </c>
      <c r="C2944" s="4" t="s">
        <v>24155</v>
      </c>
      <c r="D2944" s="4" t="s">
        <v>24156</v>
      </c>
      <c r="E2944" s="4" t="s">
        <v>63</v>
      </c>
      <c r="F2944" s="4">
        <v>2012</v>
      </c>
      <c r="G2944" s="4" t="s">
        <v>63</v>
      </c>
      <c r="H2944" s="4">
        <v>19</v>
      </c>
      <c r="I2944" s="4">
        <v>3</v>
      </c>
      <c r="J2944" s="4">
        <v>345</v>
      </c>
      <c r="K2944" s="4">
        <v>349</v>
      </c>
      <c r="L2944" s="4" t="s">
        <v>24157</v>
      </c>
      <c r="M2944" s="4" t="s">
        <v>24158</v>
      </c>
      <c r="N2944" s="4" t="s">
        <v>24159</v>
      </c>
      <c r="O2944" s="4" t="s">
        <v>63</v>
      </c>
      <c r="P2944" s="4"/>
      <c r="Q2944" s="4" t="s">
        <v>63</v>
      </c>
      <c r="R2944" s="4" t="s">
        <v>63</v>
      </c>
      <c r="S2944" s="4" t="s">
        <v>63</v>
      </c>
      <c r="T2944" s="4" t="s">
        <v>63</v>
      </c>
      <c r="U2944" s="4"/>
      <c r="V2944" s="4"/>
      <c r="W2944" s="4"/>
      <c r="X2944" s="4" t="s">
        <v>63</v>
      </c>
      <c r="Y2944" s="4" t="s">
        <v>24160</v>
      </c>
      <c r="Z2944" s="4" t="s">
        <v>63</v>
      </c>
      <c r="AA2944" s="4" t="s">
        <v>24161</v>
      </c>
      <c r="AB2944" s="4" t="s">
        <v>24162</v>
      </c>
      <c r="AC2944" s="4" t="s">
        <v>67</v>
      </c>
      <c r="AD2944" s="4" t="s">
        <v>63</v>
      </c>
      <c r="AE2944" s="4" t="s">
        <v>63</v>
      </c>
      <c r="AF2944" s="4" t="s">
        <v>63</v>
      </c>
      <c r="AG2944" s="4" t="s">
        <v>63</v>
      </c>
      <c r="AH2944" s="4" t="s">
        <v>63</v>
      </c>
      <c r="AI2944" s="4" t="s">
        <v>63</v>
      </c>
      <c r="AJ2944" s="4" t="s">
        <v>63</v>
      </c>
      <c r="AK2944" s="4" t="s">
        <v>63</v>
      </c>
      <c r="AL2944" s="4" t="s">
        <v>63</v>
      </c>
      <c r="AM2944" s="4" t="s">
        <v>24155</v>
      </c>
      <c r="AN2944" s="4" t="s">
        <v>63</v>
      </c>
      <c r="AO2944" s="4" t="s">
        <v>63</v>
      </c>
      <c r="AP2944" s="4" t="s">
        <v>63</v>
      </c>
      <c r="AQ2944" s="4" t="s">
        <v>63</v>
      </c>
      <c r="AR2944" s="4" t="s">
        <v>63</v>
      </c>
      <c r="AS2944" s="4" t="s">
        <v>63</v>
      </c>
      <c r="AT2944" s="4" t="s">
        <v>63</v>
      </c>
      <c r="AU2944" s="4" t="s">
        <v>63</v>
      </c>
      <c r="AV2944" s="4" t="s">
        <v>63</v>
      </c>
      <c r="AW2944" s="4" t="s">
        <v>63</v>
      </c>
      <c r="AX2944" s="4" t="s">
        <v>63</v>
      </c>
      <c r="AY2944" s="4" t="s">
        <v>63</v>
      </c>
      <c r="AZ2944" s="4" t="s">
        <v>63</v>
      </c>
      <c r="BA2944" s="4" t="s">
        <v>63</v>
      </c>
      <c r="BB2944" s="4" t="s">
        <v>63</v>
      </c>
      <c r="BC2944" s="4" t="s">
        <v>63</v>
      </c>
      <c r="BD2944" s="4" t="s">
        <v>63</v>
      </c>
      <c r="BE2944" s="4" t="s">
        <v>63</v>
      </c>
      <c r="BF2944" s="4" t="s">
        <v>63</v>
      </c>
    </row>
    <row r="2945" spans="1:58">
      <c r="A2945" s="4" t="s">
        <v>58</v>
      </c>
      <c r="B2945" s="4" t="s">
        <v>24163</v>
      </c>
      <c r="C2945" s="4" t="s">
        <v>24164</v>
      </c>
      <c r="D2945" s="4" t="s">
        <v>15263</v>
      </c>
      <c r="E2945" s="4" t="s">
        <v>15264</v>
      </c>
      <c r="F2945" s="4">
        <v>1985</v>
      </c>
      <c r="G2945" s="4" t="s">
        <v>63</v>
      </c>
      <c r="H2945" s="4">
        <v>15</v>
      </c>
      <c r="I2945" s="4">
        <v>4</v>
      </c>
      <c r="J2945" s="4">
        <v>323</v>
      </c>
      <c r="K2945" s="4">
        <v>334</v>
      </c>
      <c r="L2945" s="4" t="s">
        <v>63</v>
      </c>
      <c r="M2945" s="4" t="s">
        <v>63</v>
      </c>
      <c r="N2945" s="4" t="s">
        <v>24165</v>
      </c>
      <c r="O2945" s="4" t="s">
        <v>63</v>
      </c>
      <c r="P2945" s="4"/>
      <c r="Q2945" s="4" t="s">
        <v>63</v>
      </c>
      <c r="R2945" s="4" t="s">
        <v>63</v>
      </c>
      <c r="S2945" s="4" t="s">
        <v>63</v>
      </c>
      <c r="T2945" s="4" t="s">
        <v>63</v>
      </c>
      <c r="U2945" s="4"/>
      <c r="V2945" s="4"/>
      <c r="W2945" s="4"/>
      <c r="X2945" s="4" t="s">
        <v>63</v>
      </c>
      <c r="Y2945" s="4" t="s">
        <v>4942</v>
      </c>
      <c r="Z2945" s="4" t="s">
        <v>63</v>
      </c>
      <c r="AA2945" s="4" t="s">
        <v>24166</v>
      </c>
      <c r="AB2945" s="4" t="s">
        <v>24167</v>
      </c>
      <c r="AC2945" s="4" t="s">
        <v>67</v>
      </c>
      <c r="AD2945" s="4" t="s">
        <v>63</v>
      </c>
      <c r="AE2945" s="4" t="s">
        <v>63</v>
      </c>
      <c r="AF2945" s="4" t="s">
        <v>63</v>
      </c>
      <c r="AG2945" s="4" t="s">
        <v>63</v>
      </c>
      <c r="AH2945" s="4" t="s">
        <v>63</v>
      </c>
      <c r="AI2945" s="4" t="s">
        <v>24168</v>
      </c>
      <c r="AJ2945" s="4" t="s">
        <v>63</v>
      </c>
      <c r="AK2945" s="4" t="s">
        <v>63</v>
      </c>
      <c r="AL2945" s="4" t="s">
        <v>63</v>
      </c>
      <c r="AM2945" s="4" t="s">
        <v>24164</v>
      </c>
      <c r="AN2945" s="4" t="s">
        <v>63</v>
      </c>
      <c r="AO2945" s="4" t="s">
        <v>63</v>
      </c>
      <c r="AP2945" s="4" t="s">
        <v>63</v>
      </c>
      <c r="AQ2945" s="4" t="s">
        <v>63</v>
      </c>
      <c r="AR2945" s="4" t="s">
        <v>63</v>
      </c>
      <c r="AS2945" s="4" t="s">
        <v>63</v>
      </c>
      <c r="AT2945" s="4" t="s">
        <v>63</v>
      </c>
      <c r="AU2945" s="4" t="s">
        <v>63</v>
      </c>
      <c r="AV2945" s="4" t="s">
        <v>63</v>
      </c>
      <c r="AW2945" s="4" t="s">
        <v>63</v>
      </c>
      <c r="AX2945" s="4" t="s">
        <v>63</v>
      </c>
      <c r="AY2945" s="4" t="s">
        <v>63</v>
      </c>
      <c r="AZ2945" s="4" t="s">
        <v>63</v>
      </c>
      <c r="BA2945" s="4" t="s">
        <v>63</v>
      </c>
      <c r="BB2945" s="4" t="s">
        <v>63</v>
      </c>
      <c r="BC2945" s="4" t="s">
        <v>63</v>
      </c>
      <c r="BD2945" s="4" t="s">
        <v>63</v>
      </c>
      <c r="BE2945" s="4" t="s">
        <v>63</v>
      </c>
      <c r="BF2945" s="4" t="s">
        <v>63</v>
      </c>
    </row>
    <row r="2946" spans="1:58">
      <c r="A2946" s="4" t="s">
        <v>58</v>
      </c>
      <c r="B2946" s="4" t="s">
        <v>24169</v>
      </c>
      <c r="C2946" s="4" t="s">
        <v>24170</v>
      </c>
      <c r="D2946" s="4" t="s">
        <v>23924</v>
      </c>
      <c r="E2946" s="4" t="s">
        <v>23925</v>
      </c>
      <c r="F2946" s="4">
        <v>1986</v>
      </c>
      <c r="G2946" s="4" t="s">
        <v>24171</v>
      </c>
      <c r="H2946" s="4">
        <v>31</v>
      </c>
      <c r="I2946" s="4">
        <v>2</v>
      </c>
      <c r="J2946" s="4">
        <v>52</v>
      </c>
      <c r="K2946" s="4">
        <v>59</v>
      </c>
      <c r="L2946" s="4" t="s">
        <v>63</v>
      </c>
      <c r="M2946" s="4" t="s">
        <v>63</v>
      </c>
      <c r="N2946" s="4" t="s">
        <v>24172</v>
      </c>
      <c r="O2946" s="4" t="s">
        <v>63</v>
      </c>
      <c r="P2946" s="4"/>
      <c r="Q2946" s="4" t="s">
        <v>63</v>
      </c>
      <c r="R2946" s="4" t="s">
        <v>63</v>
      </c>
      <c r="S2946" s="4" t="s">
        <v>63</v>
      </c>
      <c r="T2946" s="4" t="s">
        <v>63</v>
      </c>
      <c r="U2946" s="4"/>
      <c r="V2946" s="4"/>
      <c r="W2946" s="4"/>
      <c r="X2946" s="4" t="s">
        <v>63</v>
      </c>
      <c r="Y2946" s="4" t="s">
        <v>23928</v>
      </c>
      <c r="Z2946" s="4" t="s">
        <v>63</v>
      </c>
      <c r="AA2946" s="4" t="s">
        <v>24173</v>
      </c>
      <c r="AB2946" s="4" t="s">
        <v>24174</v>
      </c>
      <c r="AC2946" s="4" t="s">
        <v>67</v>
      </c>
      <c r="AD2946" s="4" t="s">
        <v>63</v>
      </c>
      <c r="AE2946" s="4" t="s">
        <v>63</v>
      </c>
      <c r="AF2946" s="4" t="s">
        <v>63</v>
      </c>
      <c r="AG2946" s="4" t="s">
        <v>63</v>
      </c>
      <c r="AH2946" s="4" t="s">
        <v>63</v>
      </c>
      <c r="AI2946" s="4" t="s">
        <v>63</v>
      </c>
      <c r="AJ2946" s="4" t="s">
        <v>63</v>
      </c>
      <c r="AK2946" s="4" t="s">
        <v>63</v>
      </c>
      <c r="AL2946" s="4" t="s">
        <v>63</v>
      </c>
      <c r="AM2946" s="4" t="s">
        <v>24170</v>
      </c>
      <c r="AN2946" s="4" t="s">
        <v>63</v>
      </c>
      <c r="AO2946" s="4" t="s">
        <v>63</v>
      </c>
      <c r="AP2946" s="4" t="s">
        <v>63</v>
      </c>
      <c r="AQ2946" s="4" t="s">
        <v>63</v>
      </c>
      <c r="AR2946" s="4" t="s">
        <v>63</v>
      </c>
      <c r="AS2946" s="4" t="s">
        <v>63</v>
      </c>
      <c r="AT2946" s="4" t="s">
        <v>63</v>
      </c>
      <c r="AU2946" s="4" t="s">
        <v>63</v>
      </c>
      <c r="AV2946" s="4" t="s">
        <v>63</v>
      </c>
      <c r="AW2946" s="4" t="s">
        <v>63</v>
      </c>
      <c r="AX2946" s="4" t="s">
        <v>63</v>
      </c>
      <c r="AY2946" s="4" t="s">
        <v>63</v>
      </c>
      <c r="AZ2946" s="4" t="s">
        <v>63</v>
      </c>
      <c r="BA2946" s="4" t="s">
        <v>63</v>
      </c>
      <c r="BB2946" s="4" t="s">
        <v>63</v>
      </c>
      <c r="BC2946" s="4" t="s">
        <v>63</v>
      </c>
      <c r="BD2946" s="4" t="s">
        <v>63</v>
      </c>
      <c r="BE2946" s="4" t="s">
        <v>63</v>
      </c>
      <c r="BF2946" s="4" t="s">
        <v>63</v>
      </c>
    </row>
    <row r="2947" spans="1:58">
      <c r="A2947" s="4" t="s">
        <v>58</v>
      </c>
      <c r="B2947" s="4" t="s">
        <v>6777</v>
      </c>
      <c r="C2947" s="4" t="s">
        <v>24175</v>
      </c>
      <c r="D2947" s="4" t="s">
        <v>250</v>
      </c>
      <c r="E2947" s="4" t="s">
        <v>251</v>
      </c>
      <c r="F2947" s="4">
        <v>1993</v>
      </c>
      <c r="G2947" s="4" t="s">
        <v>1670</v>
      </c>
      <c r="H2947" s="4">
        <v>149</v>
      </c>
      <c r="I2947" s="4">
        <v>1</v>
      </c>
      <c r="J2947" s="4">
        <v>80</v>
      </c>
      <c r="K2947" s="4">
        <v>81</v>
      </c>
      <c r="L2947" s="4" t="s">
        <v>63</v>
      </c>
      <c r="M2947" s="4" t="s">
        <v>63</v>
      </c>
      <c r="N2947" s="4" t="s">
        <v>24176</v>
      </c>
      <c r="O2947" s="4" t="s">
        <v>63</v>
      </c>
      <c r="P2947" s="4"/>
      <c r="Q2947" s="4" t="s">
        <v>63</v>
      </c>
      <c r="R2947" s="4" t="s">
        <v>63</v>
      </c>
      <c r="S2947" s="4" t="s">
        <v>63</v>
      </c>
      <c r="T2947" s="4" t="s">
        <v>63</v>
      </c>
      <c r="U2947" s="4"/>
      <c r="V2947" s="4"/>
      <c r="W2947" s="4"/>
      <c r="X2947" s="4" t="s">
        <v>63</v>
      </c>
      <c r="Y2947" s="4" t="s">
        <v>215</v>
      </c>
      <c r="Z2947" s="4" t="s">
        <v>63</v>
      </c>
      <c r="AA2947" s="4" t="s">
        <v>63</v>
      </c>
      <c r="AB2947" s="4" t="s">
        <v>24177</v>
      </c>
      <c r="AC2947" s="4" t="s">
        <v>67</v>
      </c>
      <c r="AD2947" s="4" t="s">
        <v>63</v>
      </c>
      <c r="AE2947" s="4" t="s">
        <v>63</v>
      </c>
      <c r="AF2947" s="4" t="s">
        <v>63</v>
      </c>
      <c r="AG2947" s="4" t="s">
        <v>63</v>
      </c>
      <c r="AH2947" s="4" t="s">
        <v>63</v>
      </c>
      <c r="AI2947" s="4" t="s">
        <v>63</v>
      </c>
      <c r="AJ2947" s="4" t="s">
        <v>63</v>
      </c>
      <c r="AK2947" s="4" t="s">
        <v>63</v>
      </c>
      <c r="AL2947" s="4" t="s">
        <v>63</v>
      </c>
      <c r="AM2947" s="4" t="s">
        <v>24175</v>
      </c>
      <c r="AN2947" s="4" t="s">
        <v>63</v>
      </c>
      <c r="AO2947" s="4" t="s">
        <v>63</v>
      </c>
      <c r="AP2947" s="4" t="s">
        <v>63</v>
      </c>
      <c r="AQ2947" s="4" t="s">
        <v>63</v>
      </c>
      <c r="AR2947" s="4" t="s">
        <v>63</v>
      </c>
      <c r="AS2947" s="4" t="s">
        <v>63</v>
      </c>
      <c r="AT2947" s="4" t="s">
        <v>63</v>
      </c>
      <c r="AU2947" s="4" t="s">
        <v>63</v>
      </c>
      <c r="AV2947" s="4" t="s">
        <v>63</v>
      </c>
      <c r="AW2947" s="4" t="s">
        <v>63</v>
      </c>
      <c r="AX2947" s="4" t="s">
        <v>63</v>
      </c>
      <c r="AY2947" s="4" t="s">
        <v>63</v>
      </c>
      <c r="AZ2947" s="4" t="s">
        <v>63</v>
      </c>
      <c r="BA2947" s="4" t="s">
        <v>63</v>
      </c>
      <c r="BB2947" s="4" t="s">
        <v>63</v>
      </c>
      <c r="BC2947" s="4" t="s">
        <v>63</v>
      </c>
      <c r="BD2947" s="4" t="s">
        <v>63</v>
      </c>
      <c r="BE2947" s="4" t="s">
        <v>63</v>
      </c>
      <c r="BF2947" s="4" t="s">
        <v>63</v>
      </c>
    </row>
    <row r="2948" spans="1:58">
      <c r="A2948" s="4" t="s">
        <v>58</v>
      </c>
      <c r="B2948" s="4" t="s">
        <v>24178</v>
      </c>
      <c r="C2948" s="4" t="s">
        <v>24179</v>
      </c>
      <c r="D2948" s="4" t="s">
        <v>23570</v>
      </c>
      <c r="E2948" s="4" t="s">
        <v>63</v>
      </c>
      <c r="F2948" s="4">
        <v>2015</v>
      </c>
      <c r="G2948" s="4" t="s">
        <v>614</v>
      </c>
      <c r="H2948" s="4">
        <v>16</v>
      </c>
      <c r="I2948" s="4">
        <v>3</v>
      </c>
      <c r="J2948" s="4">
        <v>145</v>
      </c>
      <c r="K2948" s="4">
        <v>145</v>
      </c>
      <c r="L2948" s="4" t="s">
        <v>63</v>
      </c>
      <c r="M2948" s="4" t="s">
        <v>63</v>
      </c>
      <c r="N2948" s="4" t="s">
        <v>24180</v>
      </c>
      <c r="O2948" s="4" t="s">
        <v>63</v>
      </c>
      <c r="P2948" s="4"/>
      <c r="Q2948" s="4" t="s">
        <v>63</v>
      </c>
      <c r="R2948" s="4" t="s">
        <v>63</v>
      </c>
      <c r="S2948" s="4" t="s">
        <v>63</v>
      </c>
      <c r="T2948" s="4" t="s">
        <v>63</v>
      </c>
      <c r="U2948" s="4"/>
      <c r="V2948" s="4"/>
      <c r="W2948" s="4"/>
      <c r="X2948" s="4" t="s">
        <v>63</v>
      </c>
      <c r="Y2948" s="4" t="s">
        <v>23574</v>
      </c>
      <c r="Z2948" s="4" t="s">
        <v>63</v>
      </c>
      <c r="AA2948" s="4" t="s">
        <v>63</v>
      </c>
      <c r="AB2948" s="4" t="s">
        <v>24181</v>
      </c>
      <c r="AC2948" s="4" t="s">
        <v>102</v>
      </c>
      <c r="AD2948" s="4" t="s">
        <v>63</v>
      </c>
      <c r="AE2948" s="4" t="s">
        <v>63</v>
      </c>
      <c r="AF2948" s="4" t="s">
        <v>63</v>
      </c>
      <c r="AG2948" s="4" t="s">
        <v>63</v>
      </c>
      <c r="AH2948" s="4" t="s">
        <v>63</v>
      </c>
      <c r="AI2948" s="4" t="s">
        <v>63</v>
      </c>
      <c r="AJ2948" s="4" t="s">
        <v>63</v>
      </c>
      <c r="AK2948" s="4" t="s">
        <v>63</v>
      </c>
      <c r="AL2948" s="4" t="s">
        <v>63</v>
      </c>
      <c r="AM2948" s="4" t="s">
        <v>24179</v>
      </c>
      <c r="AN2948" s="4" t="s">
        <v>63</v>
      </c>
      <c r="AO2948" s="4" t="s">
        <v>63</v>
      </c>
      <c r="AP2948" s="4" t="s">
        <v>63</v>
      </c>
      <c r="AQ2948" s="4" t="s">
        <v>63</v>
      </c>
      <c r="AR2948" s="4" t="s">
        <v>63</v>
      </c>
      <c r="AS2948" s="4" t="s">
        <v>63</v>
      </c>
      <c r="AT2948" s="4" t="s">
        <v>63</v>
      </c>
      <c r="AU2948" s="4" t="s">
        <v>63</v>
      </c>
      <c r="AV2948" s="4" t="s">
        <v>63</v>
      </c>
      <c r="AW2948" s="4" t="s">
        <v>63</v>
      </c>
      <c r="AX2948" s="4" t="s">
        <v>63</v>
      </c>
      <c r="AY2948" s="4" t="s">
        <v>63</v>
      </c>
      <c r="AZ2948" s="4" t="s">
        <v>63</v>
      </c>
      <c r="BA2948" s="4" t="s">
        <v>63</v>
      </c>
      <c r="BB2948" s="4" t="s">
        <v>63</v>
      </c>
      <c r="BC2948" s="4" t="s">
        <v>63</v>
      </c>
      <c r="BD2948" s="4" t="s">
        <v>63</v>
      </c>
      <c r="BE2948" s="4" t="s">
        <v>63</v>
      </c>
      <c r="BF2948" s="4" t="s">
        <v>63</v>
      </c>
    </row>
    <row r="2949" spans="1:58">
      <c r="A2949" s="4" t="s">
        <v>58</v>
      </c>
      <c r="B2949" s="4" t="s">
        <v>7159</v>
      </c>
      <c r="C2949" s="4" t="s">
        <v>24182</v>
      </c>
      <c r="D2949" s="4" t="s">
        <v>23984</v>
      </c>
      <c r="E2949" s="4" t="s">
        <v>63</v>
      </c>
      <c r="F2949" s="4">
        <v>1979</v>
      </c>
      <c r="G2949" s="4" t="s">
        <v>63</v>
      </c>
      <c r="H2949" s="4">
        <v>3</v>
      </c>
      <c r="I2949" s="4">
        <v>2</v>
      </c>
      <c r="J2949" s="4">
        <v>182</v>
      </c>
      <c r="K2949" s="4">
        <v>182</v>
      </c>
      <c r="L2949" s="4" t="s">
        <v>63</v>
      </c>
      <c r="M2949" s="4" t="s">
        <v>63</v>
      </c>
      <c r="N2949" s="4" t="s">
        <v>24183</v>
      </c>
      <c r="O2949" s="4" t="s">
        <v>63</v>
      </c>
      <c r="P2949" s="4"/>
      <c r="Q2949" s="4" t="s">
        <v>63</v>
      </c>
      <c r="R2949" s="4" t="s">
        <v>63</v>
      </c>
      <c r="S2949" s="4" t="s">
        <v>63</v>
      </c>
      <c r="T2949" s="4" t="s">
        <v>63</v>
      </c>
      <c r="U2949" s="4"/>
      <c r="V2949" s="4"/>
      <c r="W2949" s="4"/>
      <c r="X2949" s="4" t="s">
        <v>63</v>
      </c>
      <c r="Y2949" s="4" t="s">
        <v>4853</v>
      </c>
      <c r="Z2949" s="4" t="s">
        <v>63</v>
      </c>
      <c r="AA2949" s="4" t="s">
        <v>63</v>
      </c>
      <c r="AB2949" s="4" t="s">
        <v>24184</v>
      </c>
      <c r="AC2949" s="4" t="s">
        <v>67</v>
      </c>
      <c r="AD2949" s="4" t="s">
        <v>63</v>
      </c>
      <c r="AE2949" s="4" t="s">
        <v>63</v>
      </c>
      <c r="AF2949" s="4" t="s">
        <v>63</v>
      </c>
      <c r="AG2949" s="4" t="s">
        <v>63</v>
      </c>
      <c r="AH2949" s="4" t="s">
        <v>63</v>
      </c>
      <c r="AI2949" s="4" t="s">
        <v>63</v>
      </c>
      <c r="AJ2949" s="4" t="s">
        <v>63</v>
      </c>
      <c r="AK2949" s="4" t="s">
        <v>63</v>
      </c>
      <c r="AL2949" s="4" t="s">
        <v>63</v>
      </c>
      <c r="AM2949" s="4" t="s">
        <v>24182</v>
      </c>
      <c r="AN2949" s="4" t="s">
        <v>63</v>
      </c>
      <c r="AO2949" s="4" t="s">
        <v>63</v>
      </c>
      <c r="AP2949" s="4" t="s">
        <v>63</v>
      </c>
      <c r="AQ2949" s="4" t="s">
        <v>63</v>
      </c>
      <c r="AR2949" s="4" t="s">
        <v>63</v>
      </c>
      <c r="AS2949" s="4" t="s">
        <v>63</v>
      </c>
      <c r="AT2949" s="4" t="s">
        <v>63</v>
      </c>
      <c r="AU2949" s="4" t="s">
        <v>63</v>
      </c>
      <c r="AV2949" s="4" t="s">
        <v>63</v>
      </c>
      <c r="AW2949" s="4" t="s">
        <v>63</v>
      </c>
      <c r="AX2949" s="4" t="s">
        <v>63</v>
      </c>
      <c r="AY2949" s="4" t="s">
        <v>63</v>
      </c>
      <c r="AZ2949" s="4" t="s">
        <v>63</v>
      </c>
      <c r="BA2949" s="4" t="s">
        <v>63</v>
      </c>
      <c r="BB2949" s="4" t="s">
        <v>63</v>
      </c>
      <c r="BC2949" s="4" t="s">
        <v>63</v>
      </c>
      <c r="BD2949" s="4" t="s">
        <v>63</v>
      </c>
      <c r="BE2949" s="4" t="s">
        <v>63</v>
      </c>
      <c r="BF2949" s="4" t="s">
        <v>63</v>
      </c>
    </row>
    <row r="2950" spans="1:58">
      <c r="A2950" s="4" t="s">
        <v>58</v>
      </c>
      <c r="B2950" s="4" t="s">
        <v>24185</v>
      </c>
      <c r="C2950" s="4" t="s">
        <v>24186</v>
      </c>
      <c r="D2950" s="4" t="s">
        <v>23451</v>
      </c>
      <c r="E2950" s="4" t="s">
        <v>63</v>
      </c>
      <c r="F2950" s="4">
        <v>2017</v>
      </c>
      <c r="G2950" s="4" t="s">
        <v>623</v>
      </c>
      <c r="H2950" s="4">
        <v>33</v>
      </c>
      <c r="I2950" s="4">
        <v>1</v>
      </c>
      <c r="J2950" s="4">
        <v>191</v>
      </c>
      <c r="K2950" s="4">
        <v>194</v>
      </c>
      <c r="L2950" s="4" t="s">
        <v>24187</v>
      </c>
      <c r="M2950" s="4" t="s">
        <v>24188</v>
      </c>
      <c r="N2950" s="4" t="s">
        <v>24189</v>
      </c>
      <c r="O2950" s="4" t="s">
        <v>63</v>
      </c>
      <c r="P2950" s="4"/>
      <c r="Q2950" s="4" t="s">
        <v>63</v>
      </c>
      <c r="R2950" s="4" t="s">
        <v>63</v>
      </c>
      <c r="S2950" s="4" t="s">
        <v>63</v>
      </c>
      <c r="T2950" s="4" t="s">
        <v>63</v>
      </c>
      <c r="U2950" s="4"/>
      <c r="V2950" s="4"/>
      <c r="W2950" s="4"/>
      <c r="X2950" s="4" t="s">
        <v>63</v>
      </c>
      <c r="Y2950" s="4" t="s">
        <v>23455</v>
      </c>
      <c r="Z2950" s="4" t="s">
        <v>63</v>
      </c>
      <c r="AA2950" s="4" t="s">
        <v>24190</v>
      </c>
      <c r="AB2950" s="4" t="s">
        <v>24191</v>
      </c>
      <c r="AC2950" s="4" t="s">
        <v>67</v>
      </c>
      <c r="AD2950" s="4" t="s">
        <v>63</v>
      </c>
      <c r="AE2950" s="4" t="s">
        <v>63</v>
      </c>
      <c r="AF2950" s="4" t="s">
        <v>63</v>
      </c>
      <c r="AG2950" s="4" t="s">
        <v>63</v>
      </c>
      <c r="AH2950" s="4" t="s">
        <v>63</v>
      </c>
      <c r="AI2950" s="4" t="s">
        <v>24192</v>
      </c>
      <c r="AJ2950" s="4" t="s">
        <v>63</v>
      </c>
      <c r="AK2950" s="4" t="s">
        <v>63</v>
      </c>
      <c r="AL2950" s="4" t="s">
        <v>63</v>
      </c>
      <c r="AM2950" s="4" t="s">
        <v>24186</v>
      </c>
      <c r="AN2950" s="4" t="s">
        <v>63</v>
      </c>
      <c r="AO2950" s="4" t="s">
        <v>63</v>
      </c>
      <c r="AP2950" s="4" t="s">
        <v>63</v>
      </c>
      <c r="AQ2950" s="4" t="s">
        <v>63</v>
      </c>
      <c r="AR2950" s="4" t="s">
        <v>63</v>
      </c>
      <c r="AS2950" s="4" t="s">
        <v>63</v>
      </c>
      <c r="AT2950" s="4" t="s">
        <v>63</v>
      </c>
      <c r="AU2950" s="4" t="s">
        <v>63</v>
      </c>
      <c r="AV2950" s="4" t="s">
        <v>63</v>
      </c>
      <c r="AW2950" s="4" t="s">
        <v>63</v>
      </c>
      <c r="AX2950" s="4" t="s">
        <v>63</v>
      </c>
      <c r="AY2950" s="4" t="s">
        <v>63</v>
      </c>
      <c r="AZ2950" s="4" t="s">
        <v>63</v>
      </c>
      <c r="BA2950" s="4" t="s">
        <v>63</v>
      </c>
      <c r="BB2950" s="4" t="s">
        <v>63</v>
      </c>
      <c r="BC2950" s="4" t="s">
        <v>63</v>
      </c>
      <c r="BD2950" s="4" t="s">
        <v>63</v>
      </c>
      <c r="BE2950" s="4" t="s">
        <v>63</v>
      </c>
      <c r="BF2950" s="4" t="s">
        <v>63</v>
      </c>
    </row>
    <row r="2951" spans="1:58">
      <c r="A2951" s="4" t="s">
        <v>58</v>
      </c>
      <c r="B2951" s="4" t="s">
        <v>24193</v>
      </c>
      <c r="C2951" s="4" t="s">
        <v>24194</v>
      </c>
      <c r="D2951" s="4" t="s">
        <v>24195</v>
      </c>
      <c r="E2951" s="4" t="s">
        <v>63</v>
      </c>
      <c r="F2951" s="4">
        <v>2010</v>
      </c>
      <c r="G2951" s="4" t="s">
        <v>982</v>
      </c>
      <c r="H2951" s="4">
        <v>49</v>
      </c>
      <c r="I2951" s="4">
        <v>4</v>
      </c>
      <c r="J2951" s="4">
        <v>267</v>
      </c>
      <c r="K2951" s="4">
        <v>272</v>
      </c>
      <c r="L2951" s="4" t="s">
        <v>24196</v>
      </c>
      <c r="M2951" s="4" t="s">
        <v>24197</v>
      </c>
      <c r="N2951" s="4" t="s">
        <v>24198</v>
      </c>
      <c r="O2951" s="4" t="s">
        <v>63</v>
      </c>
      <c r="P2951" s="4"/>
      <c r="Q2951" s="4" t="s">
        <v>63</v>
      </c>
      <c r="R2951" s="4" t="s">
        <v>63</v>
      </c>
      <c r="S2951" s="4" t="s">
        <v>63</v>
      </c>
      <c r="T2951" s="4" t="s">
        <v>63</v>
      </c>
      <c r="U2951" s="4"/>
      <c r="V2951" s="4"/>
      <c r="W2951" s="4"/>
      <c r="X2951" s="4" t="s">
        <v>63</v>
      </c>
      <c r="Y2951" s="4" t="s">
        <v>12479</v>
      </c>
      <c r="Z2951" s="4" t="s">
        <v>63</v>
      </c>
      <c r="AA2951" s="4" t="s">
        <v>24199</v>
      </c>
      <c r="AB2951" s="4" t="s">
        <v>24200</v>
      </c>
      <c r="AC2951" s="4" t="s">
        <v>67</v>
      </c>
      <c r="AD2951" s="4" t="s">
        <v>63</v>
      </c>
      <c r="AE2951" s="4" t="s">
        <v>63</v>
      </c>
      <c r="AF2951" s="4" t="s">
        <v>63</v>
      </c>
      <c r="AG2951" s="4" t="s">
        <v>63</v>
      </c>
      <c r="AH2951" s="4" t="s">
        <v>63</v>
      </c>
      <c r="AI2951" s="4" t="s">
        <v>63</v>
      </c>
      <c r="AJ2951" s="4" t="s">
        <v>63</v>
      </c>
      <c r="AK2951" s="4" t="s">
        <v>63</v>
      </c>
      <c r="AL2951" s="4" t="s">
        <v>63</v>
      </c>
      <c r="AM2951" s="4" t="s">
        <v>24194</v>
      </c>
      <c r="AN2951" s="4" t="s">
        <v>63</v>
      </c>
      <c r="AO2951" s="4" t="s">
        <v>63</v>
      </c>
      <c r="AP2951" s="4" t="s">
        <v>63</v>
      </c>
      <c r="AQ2951" s="4" t="s">
        <v>63</v>
      </c>
      <c r="AR2951" s="4" t="s">
        <v>63</v>
      </c>
      <c r="AS2951" s="4" t="s">
        <v>63</v>
      </c>
      <c r="AT2951" s="4" t="s">
        <v>63</v>
      </c>
      <c r="AU2951" s="4" t="s">
        <v>63</v>
      </c>
      <c r="AV2951" s="4" t="s">
        <v>63</v>
      </c>
      <c r="AW2951" s="4" t="s">
        <v>63</v>
      </c>
      <c r="AX2951" s="4" t="s">
        <v>63</v>
      </c>
      <c r="AY2951" s="4" t="s">
        <v>63</v>
      </c>
      <c r="AZ2951" s="4" t="s">
        <v>63</v>
      </c>
      <c r="BA2951" s="4" t="s">
        <v>63</v>
      </c>
      <c r="BB2951" s="4" t="s">
        <v>63</v>
      </c>
      <c r="BC2951" s="4" t="s">
        <v>63</v>
      </c>
      <c r="BD2951" s="4" t="s">
        <v>63</v>
      </c>
      <c r="BE2951" s="4" t="s">
        <v>63</v>
      </c>
      <c r="BF2951" s="4" t="s">
        <v>63</v>
      </c>
    </row>
    <row r="2952" spans="1:58">
      <c r="A2952" s="4" t="s">
        <v>58</v>
      </c>
      <c r="B2952" s="4" t="s">
        <v>24201</v>
      </c>
      <c r="C2952" s="4" t="s">
        <v>24202</v>
      </c>
      <c r="D2952" s="4" t="s">
        <v>938</v>
      </c>
      <c r="E2952" s="4" t="s">
        <v>63</v>
      </c>
      <c r="F2952" s="4">
        <v>2017</v>
      </c>
      <c r="G2952" s="4" t="s">
        <v>84</v>
      </c>
      <c r="H2952" s="4">
        <v>26</v>
      </c>
      <c r="I2952" s="4">
        <v>3</v>
      </c>
      <c r="J2952" s="4">
        <v>272</v>
      </c>
      <c r="K2952" s="4">
        <v>273</v>
      </c>
      <c r="L2952" s="4" t="s">
        <v>63</v>
      </c>
      <c r="M2952" s="4" t="s">
        <v>63</v>
      </c>
      <c r="N2952" s="4" t="s">
        <v>24203</v>
      </c>
      <c r="O2952" s="4" t="s">
        <v>63</v>
      </c>
      <c r="P2952" s="4"/>
      <c r="Q2952" s="4" t="s">
        <v>63</v>
      </c>
      <c r="R2952" s="4" t="s">
        <v>63</v>
      </c>
      <c r="S2952" s="4" t="s">
        <v>63</v>
      </c>
      <c r="T2952" s="4" t="s">
        <v>63</v>
      </c>
      <c r="U2952" s="4"/>
      <c r="V2952" s="4"/>
      <c r="W2952" s="4"/>
      <c r="X2952" s="4" t="s">
        <v>63</v>
      </c>
      <c r="Y2952" s="4" t="s">
        <v>2500</v>
      </c>
      <c r="Z2952" s="4" t="s">
        <v>63</v>
      </c>
      <c r="AA2952" s="4" t="s">
        <v>24204</v>
      </c>
      <c r="AB2952" s="4" t="s">
        <v>24205</v>
      </c>
      <c r="AC2952" s="4" t="s">
        <v>67</v>
      </c>
      <c r="AD2952" s="4" t="s">
        <v>63</v>
      </c>
      <c r="AE2952" s="4" t="s">
        <v>63</v>
      </c>
      <c r="AF2952" s="4" t="s">
        <v>63</v>
      </c>
      <c r="AG2952" s="4" t="s">
        <v>63</v>
      </c>
      <c r="AH2952" s="4" t="s">
        <v>63</v>
      </c>
      <c r="AI2952" s="4" t="s">
        <v>63</v>
      </c>
      <c r="AJ2952" s="4" t="s">
        <v>63</v>
      </c>
      <c r="AK2952" s="4" t="s">
        <v>63</v>
      </c>
      <c r="AL2952" s="4" t="s">
        <v>63</v>
      </c>
      <c r="AM2952" s="4" t="s">
        <v>24202</v>
      </c>
      <c r="AN2952" s="4" t="s">
        <v>63</v>
      </c>
      <c r="AO2952" s="4" t="s">
        <v>63</v>
      </c>
      <c r="AP2952" s="4" t="s">
        <v>63</v>
      </c>
      <c r="AQ2952" s="4" t="s">
        <v>63</v>
      </c>
      <c r="AR2952" s="4" t="s">
        <v>63</v>
      </c>
      <c r="AS2952" s="4" t="s">
        <v>63</v>
      </c>
      <c r="AT2952" s="4" t="s">
        <v>63</v>
      </c>
      <c r="AU2952" s="4" t="s">
        <v>63</v>
      </c>
      <c r="AV2952" s="4" t="s">
        <v>63</v>
      </c>
      <c r="AW2952" s="4" t="s">
        <v>63</v>
      </c>
      <c r="AX2952" s="4" t="s">
        <v>63</v>
      </c>
      <c r="AY2952" s="4" t="s">
        <v>63</v>
      </c>
      <c r="AZ2952" s="4" t="s">
        <v>63</v>
      </c>
      <c r="BA2952" s="4" t="s">
        <v>63</v>
      </c>
      <c r="BB2952" s="4" t="s">
        <v>63</v>
      </c>
      <c r="BC2952" s="4" t="s">
        <v>63</v>
      </c>
      <c r="BD2952" s="4" t="s">
        <v>63</v>
      </c>
      <c r="BE2952" s="4" t="s">
        <v>63</v>
      </c>
      <c r="BF2952" s="4" t="s">
        <v>63</v>
      </c>
    </row>
    <row r="2953" spans="1:58">
      <c r="A2953" s="4" t="s">
        <v>58</v>
      </c>
      <c r="B2953" s="4" t="s">
        <v>24206</v>
      </c>
      <c r="C2953" s="4" t="s">
        <v>24207</v>
      </c>
      <c r="D2953" s="4" t="s">
        <v>389</v>
      </c>
      <c r="E2953" s="4" t="s">
        <v>63</v>
      </c>
      <c r="F2953" s="4">
        <v>2009</v>
      </c>
      <c r="G2953" s="4" t="s">
        <v>63</v>
      </c>
      <c r="H2953" s="4">
        <v>30</v>
      </c>
      <c r="I2953" s="4">
        <v>1</v>
      </c>
      <c r="J2953" s="4">
        <v>103</v>
      </c>
      <c r="K2953" s="4">
        <v>103</v>
      </c>
      <c r="L2953" s="4" t="s">
        <v>63</v>
      </c>
      <c r="M2953" s="4" t="s">
        <v>63</v>
      </c>
      <c r="N2953" s="4" t="s">
        <v>24208</v>
      </c>
      <c r="O2953" s="4" t="s">
        <v>63</v>
      </c>
      <c r="P2953" s="4"/>
      <c r="Q2953" s="4" t="s">
        <v>63</v>
      </c>
      <c r="R2953" s="4" t="s">
        <v>63</v>
      </c>
      <c r="S2953" s="4" t="s">
        <v>63</v>
      </c>
      <c r="T2953" s="4" t="s">
        <v>63</v>
      </c>
      <c r="U2953" s="4"/>
      <c r="V2953" s="4"/>
      <c r="W2953" s="4"/>
      <c r="X2953" s="4" t="s">
        <v>63</v>
      </c>
      <c r="Y2953" s="4" t="s">
        <v>392</v>
      </c>
      <c r="Z2953" s="4" t="s">
        <v>63</v>
      </c>
      <c r="AA2953" s="4" t="s">
        <v>24209</v>
      </c>
      <c r="AB2953" s="4" t="s">
        <v>24210</v>
      </c>
      <c r="AC2953" s="4" t="s">
        <v>67</v>
      </c>
      <c r="AD2953" s="4" t="s">
        <v>63</v>
      </c>
      <c r="AE2953" s="4" t="s">
        <v>63</v>
      </c>
      <c r="AF2953" s="4" t="s">
        <v>63</v>
      </c>
      <c r="AG2953" s="4" t="s">
        <v>63</v>
      </c>
      <c r="AH2953" s="4" t="s">
        <v>63</v>
      </c>
      <c r="AI2953" s="4" t="s">
        <v>63</v>
      </c>
      <c r="AJ2953" s="4" t="s">
        <v>63</v>
      </c>
      <c r="AK2953" s="4" t="s">
        <v>63</v>
      </c>
      <c r="AL2953" s="4" t="s">
        <v>63</v>
      </c>
      <c r="AM2953" s="4" t="s">
        <v>24207</v>
      </c>
      <c r="AN2953" s="4" t="s">
        <v>63</v>
      </c>
      <c r="AO2953" s="4" t="s">
        <v>63</v>
      </c>
      <c r="AP2953" s="4" t="s">
        <v>63</v>
      </c>
      <c r="AQ2953" s="4" t="s">
        <v>63</v>
      </c>
      <c r="AR2953" s="4" t="s">
        <v>63</v>
      </c>
      <c r="AS2953" s="4" t="s">
        <v>63</v>
      </c>
      <c r="AT2953" s="4" t="s">
        <v>63</v>
      </c>
      <c r="AU2953" s="4" t="s">
        <v>63</v>
      </c>
      <c r="AV2953" s="4" t="s">
        <v>63</v>
      </c>
      <c r="AW2953" s="4" t="s">
        <v>63</v>
      </c>
      <c r="AX2953" s="4" t="s">
        <v>63</v>
      </c>
      <c r="AY2953" s="4" t="s">
        <v>63</v>
      </c>
      <c r="AZ2953" s="4" t="s">
        <v>63</v>
      </c>
      <c r="BA2953" s="4" t="s">
        <v>63</v>
      </c>
      <c r="BB2953" s="4" t="s">
        <v>63</v>
      </c>
      <c r="BC2953" s="4" t="s">
        <v>63</v>
      </c>
      <c r="BD2953" s="4" t="s">
        <v>63</v>
      </c>
      <c r="BE2953" s="4" t="s">
        <v>63</v>
      </c>
      <c r="BF2953" s="4" t="s">
        <v>63</v>
      </c>
    </row>
    <row r="2954" spans="1:58">
      <c r="A2954" s="4" t="s">
        <v>58</v>
      </c>
      <c r="B2954" s="4" t="s">
        <v>24211</v>
      </c>
      <c r="C2954" s="4" t="s">
        <v>24212</v>
      </c>
      <c r="D2954" s="4" t="s">
        <v>1332</v>
      </c>
      <c r="E2954" s="4" t="s">
        <v>63</v>
      </c>
      <c r="F2954" s="4">
        <v>2001</v>
      </c>
      <c r="G2954" s="4" t="s">
        <v>614</v>
      </c>
      <c r="H2954" s="4">
        <v>29</v>
      </c>
      <c r="I2954" s="4">
        <v>2</v>
      </c>
      <c r="J2954" s="4">
        <v>125</v>
      </c>
      <c r="K2954" s="4">
        <v>130</v>
      </c>
      <c r="L2954" s="4" t="s">
        <v>24213</v>
      </c>
      <c r="M2954" s="4" t="s">
        <v>24214</v>
      </c>
      <c r="N2954" s="4" t="s">
        <v>24215</v>
      </c>
      <c r="O2954" s="4" t="s">
        <v>63</v>
      </c>
      <c r="P2954" s="4"/>
      <c r="Q2954" s="4" t="s">
        <v>63</v>
      </c>
      <c r="R2954" s="4" t="s">
        <v>63</v>
      </c>
      <c r="S2954" s="4" t="s">
        <v>63</v>
      </c>
      <c r="T2954" s="4" t="s">
        <v>63</v>
      </c>
      <c r="U2954" s="4"/>
      <c r="V2954" s="4"/>
      <c r="W2954" s="4"/>
      <c r="X2954" s="4" t="s">
        <v>63</v>
      </c>
      <c r="Y2954" s="4" t="s">
        <v>18160</v>
      </c>
      <c r="Z2954" s="4" t="s">
        <v>63</v>
      </c>
      <c r="AA2954" s="4" t="s">
        <v>24216</v>
      </c>
      <c r="AB2954" s="4" t="s">
        <v>24217</v>
      </c>
      <c r="AC2954" s="4" t="s">
        <v>67</v>
      </c>
      <c r="AD2954" s="4" t="s">
        <v>63</v>
      </c>
      <c r="AE2954" s="4" t="s">
        <v>63</v>
      </c>
      <c r="AF2954" s="4" t="s">
        <v>63</v>
      </c>
      <c r="AG2954" s="4" t="s">
        <v>63</v>
      </c>
      <c r="AH2954" s="4" t="s">
        <v>63</v>
      </c>
      <c r="AI2954" s="4" t="s">
        <v>24218</v>
      </c>
      <c r="AJ2954" s="4" t="s">
        <v>63</v>
      </c>
      <c r="AK2954" s="4" t="s">
        <v>63</v>
      </c>
      <c r="AL2954" s="4" t="s">
        <v>63</v>
      </c>
      <c r="AM2954" s="4" t="s">
        <v>24212</v>
      </c>
      <c r="AN2954" s="4" t="s">
        <v>63</v>
      </c>
      <c r="AO2954" s="4" t="s">
        <v>63</v>
      </c>
      <c r="AP2954" s="4" t="s">
        <v>63</v>
      </c>
      <c r="AQ2954" s="4" t="s">
        <v>63</v>
      </c>
      <c r="AR2954" s="4" t="s">
        <v>63</v>
      </c>
      <c r="AS2954" s="4" t="s">
        <v>63</v>
      </c>
      <c r="AT2954" s="4" t="s">
        <v>63</v>
      </c>
      <c r="AU2954" s="4" t="s">
        <v>63</v>
      </c>
      <c r="AV2954" s="4" t="s">
        <v>63</v>
      </c>
      <c r="AW2954" s="4" t="s">
        <v>63</v>
      </c>
      <c r="AX2954" s="4" t="s">
        <v>63</v>
      </c>
      <c r="AY2954" s="4" t="s">
        <v>63</v>
      </c>
      <c r="AZ2954" s="4" t="s">
        <v>63</v>
      </c>
      <c r="BA2954" s="4" t="s">
        <v>63</v>
      </c>
      <c r="BB2954" s="4" t="s">
        <v>63</v>
      </c>
      <c r="BC2954" s="4" t="s">
        <v>63</v>
      </c>
      <c r="BD2954" s="4" t="s">
        <v>63</v>
      </c>
      <c r="BE2954" s="4" t="s">
        <v>63</v>
      </c>
      <c r="BF2954" s="4" t="s">
        <v>63</v>
      </c>
    </row>
    <row r="2955" spans="1:58">
      <c r="A2955" s="4" t="s">
        <v>58</v>
      </c>
      <c r="B2955" s="4" t="s">
        <v>24219</v>
      </c>
      <c r="C2955" s="4" t="s">
        <v>24220</v>
      </c>
      <c r="D2955" s="4" t="s">
        <v>3890</v>
      </c>
      <c r="E2955" s="4" t="s">
        <v>3891</v>
      </c>
      <c r="F2955" s="4">
        <v>1980</v>
      </c>
      <c r="G2955" s="4" t="s">
        <v>63</v>
      </c>
      <c r="H2955" s="4">
        <v>15</v>
      </c>
      <c r="I2955" s="4">
        <v>2</v>
      </c>
      <c r="J2955" s="4">
        <v>269</v>
      </c>
      <c r="K2955" s="4">
        <v>275</v>
      </c>
      <c r="L2955" s="4" t="s">
        <v>63</v>
      </c>
      <c r="M2955" s="4" t="s">
        <v>63</v>
      </c>
      <c r="N2955" s="4" t="s">
        <v>24221</v>
      </c>
      <c r="O2955" s="4" t="s">
        <v>63</v>
      </c>
      <c r="P2955" s="4"/>
      <c r="Q2955" s="4" t="s">
        <v>63</v>
      </c>
      <c r="R2955" s="4" t="s">
        <v>63</v>
      </c>
      <c r="S2955" s="4" t="s">
        <v>63</v>
      </c>
      <c r="T2955" s="4" t="s">
        <v>63</v>
      </c>
      <c r="U2955" s="4"/>
      <c r="V2955" s="4"/>
      <c r="W2955" s="4"/>
      <c r="X2955" s="4" t="s">
        <v>63</v>
      </c>
      <c r="Y2955" s="4" t="s">
        <v>3894</v>
      </c>
      <c r="Z2955" s="4" t="s">
        <v>63</v>
      </c>
      <c r="AA2955" s="4" t="s">
        <v>24222</v>
      </c>
      <c r="AB2955" s="4" t="s">
        <v>24223</v>
      </c>
      <c r="AC2955" s="4" t="s">
        <v>67</v>
      </c>
      <c r="AD2955" s="4" t="s">
        <v>63</v>
      </c>
      <c r="AE2955" s="4" t="s">
        <v>63</v>
      </c>
      <c r="AF2955" s="4" t="s">
        <v>63</v>
      </c>
      <c r="AG2955" s="4" t="s">
        <v>63</v>
      </c>
      <c r="AH2955" s="4" t="s">
        <v>63</v>
      </c>
      <c r="AI2955" s="4" t="s">
        <v>24224</v>
      </c>
      <c r="AJ2955" s="4" t="s">
        <v>63</v>
      </c>
      <c r="AK2955" s="4" t="s">
        <v>63</v>
      </c>
      <c r="AL2955" s="4" t="s">
        <v>63</v>
      </c>
      <c r="AM2955" s="4" t="s">
        <v>24220</v>
      </c>
      <c r="AN2955" s="4" t="s">
        <v>63</v>
      </c>
      <c r="AO2955" s="4" t="s">
        <v>63</v>
      </c>
      <c r="AP2955" s="4" t="s">
        <v>63</v>
      </c>
      <c r="AQ2955" s="4" t="s">
        <v>63</v>
      </c>
      <c r="AR2955" s="4" t="s">
        <v>63</v>
      </c>
      <c r="AS2955" s="4" t="s">
        <v>63</v>
      </c>
      <c r="AT2955" s="4" t="s">
        <v>63</v>
      </c>
      <c r="AU2955" s="4" t="s">
        <v>63</v>
      </c>
      <c r="AV2955" s="4" t="s">
        <v>63</v>
      </c>
      <c r="AW2955" s="4" t="s">
        <v>63</v>
      </c>
      <c r="AX2955" s="4" t="s">
        <v>63</v>
      </c>
      <c r="AY2955" s="4" t="s">
        <v>63</v>
      </c>
      <c r="AZ2955" s="4" t="s">
        <v>63</v>
      </c>
      <c r="BA2955" s="4" t="s">
        <v>63</v>
      </c>
      <c r="BB2955" s="4" t="s">
        <v>63</v>
      </c>
      <c r="BC2955" s="4" t="s">
        <v>63</v>
      </c>
      <c r="BD2955" s="4" t="s">
        <v>63</v>
      </c>
      <c r="BE2955" s="4" t="s">
        <v>63</v>
      </c>
      <c r="BF2955" s="4" t="s">
        <v>63</v>
      </c>
    </row>
    <row r="2956" spans="1:58">
      <c r="A2956" s="4" t="s">
        <v>58</v>
      </c>
      <c r="B2956" s="4" t="s">
        <v>24225</v>
      </c>
      <c r="C2956" s="4" t="s">
        <v>24226</v>
      </c>
      <c r="D2956" s="4" t="s">
        <v>24227</v>
      </c>
      <c r="E2956" s="4" t="s">
        <v>63</v>
      </c>
      <c r="F2956" s="4">
        <v>2011</v>
      </c>
      <c r="G2956" s="4" t="s">
        <v>219</v>
      </c>
      <c r="H2956" s="4">
        <v>29</v>
      </c>
      <c r="I2956" s="4">
        <v>11</v>
      </c>
      <c r="J2956" s="4">
        <v>657</v>
      </c>
      <c r="K2956" s="4">
        <v>661</v>
      </c>
      <c r="L2956" s="4" t="s">
        <v>24228</v>
      </c>
      <c r="M2956" s="4" t="s">
        <v>24229</v>
      </c>
      <c r="N2956" s="4" t="s">
        <v>24230</v>
      </c>
      <c r="O2956" s="4" t="s">
        <v>63</v>
      </c>
      <c r="P2956" s="4"/>
      <c r="Q2956" s="4" t="s">
        <v>63</v>
      </c>
      <c r="R2956" s="4" t="s">
        <v>63</v>
      </c>
      <c r="S2956" s="4" t="s">
        <v>63</v>
      </c>
      <c r="T2956" s="4" t="s">
        <v>63</v>
      </c>
      <c r="U2956" s="4"/>
      <c r="V2956" s="4"/>
      <c r="W2956" s="4"/>
      <c r="X2956" s="4" t="s">
        <v>63</v>
      </c>
      <c r="Y2956" s="4" t="s">
        <v>24231</v>
      </c>
      <c r="Z2956" s="4" t="s">
        <v>63</v>
      </c>
      <c r="AA2956" s="4" t="s">
        <v>24232</v>
      </c>
      <c r="AB2956" s="4" t="s">
        <v>24233</v>
      </c>
      <c r="AC2956" s="4" t="s">
        <v>67</v>
      </c>
      <c r="AD2956" s="4" t="s">
        <v>63</v>
      </c>
      <c r="AE2956" s="4" t="s">
        <v>63</v>
      </c>
      <c r="AF2956" s="4" t="s">
        <v>63</v>
      </c>
      <c r="AG2956" s="4" t="s">
        <v>63</v>
      </c>
      <c r="AH2956" s="4" t="s">
        <v>63</v>
      </c>
      <c r="AI2956" s="4" t="s">
        <v>24234</v>
      </c>
      <c r="AJ2956" s="4" t="s">
        <v>63</v>
      </c>
      <c r="AK2956" s="4" t="s">
        <v>63</v>
      </c>
      <c r="AL2956" s="4" t="s">
        <v>63</v>
      </c>
      <c r="AM2956" s="4" t="s">
        <v>24226</v>
      </c>
      <c r="AN2956" s="4" t="s">
        <v>63</v>
      </c>
      <c r="AO2956" s="4" t="s">
        <v>63</v>
      </c>
      <c r="AP2956" s="4" t="s">
        <v>63</v>
      </c>
      <c r="AQ2956" s="4" t="s">
        <v>63</v>
      </c>
      <c r="AR2956" s="4" t="s">
        <v>63</v>
      </c>
      <c r="AS2956" s="4" t="s">
        <v>63</v>
      </c>
      <c r="AT2956" s="4" t="s">
        <v>63</v>
      </c>
      <c r="AU2956" s="4" t="s">
        <v>63</v>
      </c>
      <c r="AV2956" s="4" t="s">
        <v>63</v>
      </c>
      <c r="AW2956" s="4" t="s">
        <v>63</v>
      </c>
      <c r="AX2956" s="4" t="s">
        <v>63</v>
      </c>
      <c r="AY2956" s="4" t="s">
        <v>63</v>
      </c>
      <c r="AZ2956" s="4" t="s">
        <v>63</v>
      </c>
      <c r="BA2956" s="4" t="s">
        <v>63</v>
      </c>
      <c r="BB2956" s="4" t="s">
        <v>63</v>
      </c>
      <c r="BC2956" s="4" t="s">
        <v>63</v>
      </c>
      <c r="BD2956" s="4" t="s">
        <v>63</v>
      </c>
      <c r="BE2956" s="4" t="s">
        <v>63</v>
      </c>
      <c r="BF2956" s="4" t="s">
        <v>63</v>
      </c>
    </row>
    <row r="2957" spans="1:58">
      <c r="A2957" s="4" t="s">
        <v>58</v>
      </c>
      <c r="B2957" s="4" t="s">
        <v>24235</v>
      </c>
      <c r="C2957" s="4" t="s">
        <v>24236</v>
      </c>
      <c r="D2957" s="4" t="s">
        <v>991</v>
      </c>
      <c r="E2957" s="4" t="s">
        <v>992</v>
      </c>
      <c r="F2957" s="4">
        <v>2013</v>
      </c>
      <c r="G2957" s="4" t="s">
        <v>63</v>
      </c>
      <c r="H2957" s="4">
        <v>19</v>
      </c>
      <c r="I2957" s="4">
        <v>5</v>
      </c>
      <c r="J2957" s="4">
        <v>245</v>
      </c>
      <c r="K2957" s="4">
        <v>251</v>
      </c>
      <c r="L2957" s="4" t="s">
        <v>24237</v>
      </c>
      <c r="M2957" s="4" t="s">
        <v>24238</v>
      </c>
      <c r="N2957" s="4" t="s">
        <v>24239</v>
      </c>
      <c r="O2957" s="4" t="s">
        <v>63</v>
      </c>
      <c r="P2957" s="4"/>
      <c r="Q2957" s="4" t="s">
        <v>63</v>
      </c>
      <c r="R2957" s="4" t="s">
        <v>63</v>
      </c>
      <c r="S2957" s="4" t="s">
        <v>63</v>
      </c>
      <c r="T2957" s="4" t="s">
        <v>63</v>
      </c>
      <c r="U2957" s="4"/>
      <c r="V2957" s="4"/>
      <c r="W2957" s="4"/>
      <c r="X2957" s="4" t="s">
        <v>63</v>
      </c>
      <c r="Y2957" s="4" t="s">
        <v>21679</v>
      </c>
      <c r="Z2957" s="4" t="s">
        <v>63</v>
      </c>
      <c r="AA2957" s="4" t="s">
        <v>24240</v>
      </c>
      <c r="AB2957" s="4" t="s">
        <v>24241</v>
      </c>
      <c r="AC2957" s="4" t="s">
        <v>67</v>
      </c>
      <c r="AD2957" s="4" t="s">
        <v>63</v>
      </c>
      <c r="AE2957" s="4" t="s">
        <v>63</v>
      </c>
      <c r="AF2957" s="4" t="s">
        <v>63</v>
      </c>
      <c r="AG2957" s="4" t="s">
        <v>63</v>
      </c>
      <c r="AH2957" s="4" t="s">
        <v>63</v>
      </c>
      <c r="AI2957" s="4" t="s">
        <v>24242</v>
      </c>
      <c r="AJ2957" s="4" t="s">
        <v>63</v>
      </c>
      <c r="AK2957" s="4" t="s">
        <v>63</v>
      </c>
      <c r="AL2957" s="4" t="s">
        <v>63</v>
      </c>
      <c r="AM2957" s="4" t="s">
        <v>24236</v>
      </c>
      <c r="AN2957" s="4" t="s">
        <v>63</v>
      </c>
      <c r="AO2957" s="4" t="s">
        <v>63</v>
      </c>
      <c r="AP2957" s="4" t="s">
        <v>63</v>
      </c>
      <c r="AQ2957" s="4" t="s">
        <v>63</v>
      </c>
      <c r="AR2957" s="4" t="s">
        <v>63</v>
      </c>
      <c r="AS2957" s="4" t="s">
        <v>63</v>
      </c>
      <c r="AT2957" s="4" t="s">
        <v>63</v>
      </c>
      <c r="AU2957" s="4" t="s">
        <v>63</v>
      </c>
      <c r="AV2957" s="4" t="s">
        <v>63</v>
      </c>
      <c r="AW2957" s="4" t="s">
        <v>63</v>
      </c>
      <c r="AX2957" s="4" t="s">
        <v>63</v>
      </c>
      <c r="AY2957" s="4" t="s">
        <v>63</v>
      </c>
      <c r="AZ2957" s="4" t="s">
        <v>63</v>
      </c>
      <c r="BA2957" s="4" t="s">
        <v>63</v>
      </c>
      <c r="BB2957" s="4" t="s">
        <v>63</v>
      </c>
      <c r="BC2957" s="4" t="s">
        <v>63</v>
      </c>
      <c r="BD2957" s="4" t="s">
        <v>63</v>
      </c>
      <c r="BE2957" s="4" t="s">
        <v>63</v>
      </c>
      <c r="BF2957" s="4" t="s">
        <v>63</v>
      </c>
    </row>
    <row r="2958" spans="1:58">
      <c r="A2958" s="4" t="s">
        <v>58</v>
      </c>
      <c r="B2958" s="4" t="s">
        <v>24243</v>
      </c>
      <c r="C2958" s="4" t="s">
        <v>24244</v>
      </c>
      <c r="D2958" s="4" t="s">
        <v>24245</v>
      </c>
      <c r="E2958" s="4" t="s">
        <v>63</v>
      </c>
      <c r="F2958" s="4">
        <v>1980</v>
      </c>
      <c r="G2958" s="4" t="s">
        <v>63</v>
      </c>
      <c r="H2958" s="4">
        <v>15</v>
      </c>
      <c r="I2958" s="4">
        <v>2</v>
      </c>
      <c r="J2958" s="4">
        <v>156</v>
      </c>
      <c r="K2958" s="4">
        <v>159</v>
      </c>
      <c r="L2958" s="4" t="s">
        <v>63</v>
      </c>
      <c r="M2958" s="4" t="s">
        <v>63</v>
      </c>
      <c r="N2958" s="4" t="s">
        <v>24246</v>
      </c>
      <c r="O2958" s="4" t="s">
        <v>63</v>
      </c>
      <c r="P2958" s="4"/>
      <c r="Q2958" s="4" t="s">
        <v>63</v>
      </c>
      <c r="R2958" s="4" t="s">
        <v>63</v>
      </c>
      <c r="S2958" s="4" t="s">
        <v>63</v>
      </c>
      <c r="T2958" s="4" t="s">
        <v>63</v>
      </c>
      <c r="U2958" s="4"/>
      <c r="V2958" s="4"/>
      <c r="W2958" s="4"/>
      <c r="X2958" s="4" t="s">
        <v>63</v>
      </c>
      <c r="Y2958" s="4" t="s">
        <v>24247</v>
      </c>
      <c r="Z2958" s="4" t="s">
        <v>63</v>
      </c>
      <c r="AA2958" s="4" t="s">
        <v>24248</v>
      </c>
      <c r="AB2958" s="4" t="s">
        <v>24249</v>
      </c>
      <c r="AC2958" s="4" t="s">
        <v>67</v>
      </c>
      <c r="AD2958" s="4" t="s">
        <v>63</v>
      </c>
      <c r="AE2958" s="4" t="s">
        <v>63</v>
      </c>
      <c r="AF2958" s="4" t="s">
        <v>63</v>
      </c>
      <c r="AG2958" s="4" t="s">
        <v>63</v>
      </c>
      <c r="AH2958" s="4" t="s">
        <v>63</v>
      </c>
      <c r="AI2958" s="4" t="s">
        <v>24250</v>
      </c>
      <c r="AJ2958" s="4" t="s">
        <v>63</v>
      </c>
      <c r="AK2958" s="4" t="s">
        <v>63</v>
      </c>
      <c r="AL2958" s="4" t="s">
        <v>63</v>
      </c>
      <c r="AM2958" s="4" t="s">
        <v>24244</v>
      </c>
      <c r="AN2958" s="4" t="s">
        <v>63</v>
      </c>
      <c r="AO2958" s="4" t="s">
        <v>63</v>
      </c>
      <c r="AP2958" s="4" t="s">
        <v>63</v>
      </c>
      <c r="AQ2958" s="4" t="s">
        <v>63</v>
      </c>
      <c r="AR2958" s="4" t="s">
        <v>63</v>
      </c>
      <c r="AS2958" s="4" t="s">
        <v>63</v>
      </c>
      <c r="AT2958" s="4" t="s">
        <v>63</v>
      </c>
      <c r="AU2958" s="4" t="s">
        <v>63</v>
      </c>
      <c r="AV2958" s="4" t="s">
        <v>63</v>
      </c>
      <c r="AW2958" s="4" t="s">
        <v>63</v>
      </c>
      <c r="AX2958" s="4" t="s">
        <v>63</v>
      </c>
      <c r="AY2958" s="4" t="s">
        <v>63</v>
      </c>
      <c r="AZ2958" s="4" t="s">
        <v>63</v>
      </c>
      <c r="BA2958" s="4" t="s">
        <v>63</v>
      </c>
      <c r="BB2958" s="4" t="s">
        <v>63</v>
      </c>
      <c r="BC2958" s="4" t="s">
        <v>63</v>
      </c>
      <c r="BD2958" s="4" t="s">
        <v>63</v>
      </c>
      <c r="BE2958" s="4" t="s">
        <v>63</v>
      </c>
      <c r="BF2958" s="4" t="s">
        <v>63</v>
      </c>
    </row>
    <row r="2959" spans="1:58">
      <c r="A2959" s="4" t="s">
        <v>58</v>
      </c>
      <c r="B2959" s="4" t="s">
        <v>24251</v>
      </c>
      <c r="C2959" s="4" t="s">
        <v>24252</v>
      </c>
      <c r="D2959" s="4" t="s">
        <v>15589</v>
      </c>
      <c r="E2959" s="4" t="s">
        <v>63</v>
      </c>
      <c r="F2959" s="4">
        <v>2017</v>
      </c>
      <c r="G2959" s="4" t="s">
        <v>84</v>
      </c>
      <c r="H2959" s="4">
        <v>41</v>
      </c>
      <c r="I2959" s="4" t="s">
        <v>63</v>
      </c>
      <c r="J2959" s="4" t="s">
        <v>24253</v>
      </c>
      <c r="K2959" s="4" t="s">
        <v>24253</v>
      </c>
      <c r="L2959" s="4" t="s">
        <v>63</v>
      </c>
      <c r="M2959" s="4" t="s">
        <v>63</v>
      </c>
      <c r="N2959" s="4" t="s">
        <v>24254</v>
      </c>
      <c r="O2959" s="4" t="s">
        <v>63</v>
      </c>
      <c r="P2959" s="4"/>
      <c r="Q2959" s="4" t="s">
        <v>63</v>
      </c>
      <c r="R2959" s="4" t="s">
        <v>63</v>
      </c>
      <c r="S2959" s="4" t="s">
        <v>63</v>
      </c>
      <c r="T2959" s="4" t="s">
        <v>63</v>
      </c>
      <c r="U2959" s="4"/>
      <c r="V2959" s="4"/>
      <c r="W2959" s="4"/>
      <c r="X2959" s="4" t="s">
        <v>63</v>
      </c>
      <c r="Y2959" s="4" t="s">
        <v>3365</v>
      </c>
      <c r="Z2959" s="4" t="s">
        <v>63</v>
      </c>
      <c r="AA2959" s="4" t="s">
        <v>24255</v>
      </c>
      <c r="AB2959" s="4" t="s">
        <v>24256</v>
      </c>
      <c r="AC2959" s="4" t="s">
        <v>67</v>
      </c>
      <c r="AD2959" s="4" t="s">
        <v>63</v>
      </c>
      <c r="AE2959" s="4" t="s">
        <v>63</v>
      </c>
      <c r="AF2959" s="4" t="s">
        <v>63</v>
      </c>
      <c r="AG2959" s="4" t="s">
        <v>63</v>
      </c>
      <c r="AH2959" s="4" t="s">
        <v>63</v>
      </c>
      <c r="AI2959" s="4" t="s">
        <v>24257</v>
      </c>
      <c r="AJ2959" s="4" t="s">
        <v>63</v>
      </c>
      <c r="AK2959" s="4" t="s">
        <v>63</v>
      </c>
      <c r="AL2959" s="4" t="s">
        <v>63</v>
      </c>
      <c r="AM2959" s="4" t="s">
        <v>24252</v>
      </c>
      <c r="AN2959" s="4" t="s">
        <v>63</v>
      </c>
      <c r="AO2959" s="4" t="s">
        <v>63</v>
      </c>
      <c r="AP2959" s="4" t="s">
        <v>63</v>
      </c>
      <c r="AQ2959" s="4" t="s">
        <v>63</v>
      </c>
      <c r="AR2959" s="4" t="s">
        <v>63</v>
      </c>
      <c r="AS2959" s="4" t="s">
        <v>63</v>
      </c>
      <c r="AT2959" s="4" t="s">
        <v>63</v>
      </c>
      <c r="AU2959" s="4" t="s">
        <v>63</v>
      </c>
      <c r="AV2959" s="4" t="s">
        <v>63</v>
      </c>
      <c r="AW2959" s="4" t="s">
        <v>63</v>
      </c>
      <c r="AX2959" s="4" t="s">
        <v>63</v>
      </c>
      <c r="AY2959" s="4" t="s">
        <v>63</v>
      </c>
      <c r="AZ2959" s="4" t="s">
        <v>63</v>
      </c>
      <c r="BA2959" s="4" t="s">
        <v>63</v>
      </c>
      <c r="BB2959" s="4" t="s">
        <v>63</v>
      </c>
      <c r="BC2959" s="4" t="s">
        <v>63</v>
      </c>
      <c r="BD2959" s="4" t="s">
        <v>63</v>
      </c>
      <c r="BE2959" s="4" t="s">
        <v>63</v>
      </c>
      <c r="BF2959" s="4" t="s">
        <v>63</v>
      </c>
    </row>
    <row r="2960" spans="1:58">
      <c r="A2960" s="4" t="s">
        <v>58</v>
      </c>
      <c r="B2960" s="4" t="s">
        <v>24258</v>
      </c>
      <c r="C2960" s="4" t="s">
        <v>24259</v>
      </c>
      <c r="D2960" s="4" t="s">
        <v>24260</v>
      </c>
      <c r="E2960" s="4" t="s">
        <v>63</v>
      </c>
      <c r="F2960" s="4">
        <v>2017</v>
      </c>
      <c r="G2960" s="4" t="s">
        <v>157</v>
      </c>
      <c r="H2960" s="4">
        <v>17</v>
      </c>
      <c r="I2960" s="4" t="s">
        <v>63</v>
      </c>
      <c r="J2960" s="4" t="s">
        <v>63</v>
      </c>
      <c r="K2960" s="4" t="s">
        <v>63</v>
      </c>
      <c r="L2960" s="4" t="s">
        <v>24261</v>
      </c>
      <c r="M2960" s="4" t="s">
        <v>24262</v>
      </c>
      <c r="N2960" s="4" t="s">
        <v>24263</v>
      </c>
      <c r="O2960" s="4" t="s">
        <v>63</v>
      </c>
      <c r="P2960" s="4"/>
      <c r="Q2960" s="4" t="s">
        <v>63</v>
      </c>
      <c r="R2960" s="4" t="s">
        <v>63</v>
      </c>
      <c r="S2960" s="4" t="s">
        <v>63</v>
      </c>
      <c r="T2960" s="4" t="s">
        <v>63</v>
      </c>
      <c r="U2960" s="4"/>
      <c r="V2960" s="4"/>
      <c r="W2960" s="4"/>
      <c r="X2960" s="4" t="s">
        <v>63</v>
      </c>
      <c r="Y2960" s="4" t="s">
        <v>567</v>
      </c>
      <c r="Z2960" s="4" t="s">
        <v>63</v>
      </c>
      <c r="AA2960" s="4" t="s">
        <v>24264</v>
      </c>
      <c r="AB2960" s="4" t="s">
        <v>24265</v>
      </c>
      <c r="AC2960" s="4" t="s">
        <v>67</v>
      </c>
      <c r="AD2960" s="4" t="s">
        <v>63</v>
      </c>
      <c r="AE2960" s="4" t="s">
        <v>63</v>
      </c>
      <c r="AF2960" s="4" t="s">
        <v>63</v>
      </c>
      <c r="AG2960" s="4" t="s">
        <v>63</v>
      </c>
      <c r="AH2960" s="4" t="s">
        <v>63</v>
      </c>
      <c r="AI2960" s="4" t="s">
        <v>24266</v>
      </c>
      <c r="AJ2960" s="4" t="s">
        <v>63</v>
      </c>
      <c r="AK2960" s="4" t="s">
        <v>63</v>
      </c>
      <c r="AL2960" s="4" t="s">
        <v>63</v>
      </c>
      <c r="AM2960" s="4" t="s">
        <v>24259</v>
      </c>
      <c r="AN2960" s="4" t="s">
        <v>63</v>
      </c>
      <c r="AO2960" s="4" t="s">
        <v>63</v>
      </c>
      <c r="AP2960" s="4" t="s">
        <v>63</v>
      </c>
      <c r="AQ2960" s="4" t="s">
        <v>63</v>
      </c>
      <c r="AR2960" s="4" t="s">
        <v>63</v>
      </c>
      <c r="AS2960" s="4" t="s">
        <v>63</v>
      </c>
      <c r="AT2960" s="4" t="s">
        <v>63</v>
      </c>
      <c r="AU2960" s="4" t="s">
        <v>63</v>
      </c>
      <c r="AV2960" s="4" t="s">
        <v>63</v>
      </c>
      <c r="AW2960" s="4" t="s">
        <v>63</v>
      </c>
      <c r="AX2960" s="4" t="s">
        <v>63</v>
      </c>
      <c r="AY2960" s="4" t="s">
        <v>63</v>
      </c>
      <c r="AZ2960" s="4" t="s">
        <v>63</v>
      </c>
      <c r="BA2960" s="4" t="s">
        <v>63</v>
      </c>
      <c r="BB2960" s="4" t="s">
        <v>63</v>
      </c>
      <c r="BC2960" s="4" t="s">
        <v>63</v>
      </c>
      <c r="BD2960" s="4" t="s">
        <v>63</v>
      </c>
      <c r="BE2960" s="4" t="s">
        <v>63</v>
      </c>
      <c r="BF2960" s="4" t="s">
        <v>63</v>
      </c>
    </row>
    <row r="2961" spans="1:58">
      <c r="A2961" s="4" t="s">
        <v>58</v>
      </c>
      <c r="B2961" s="4" t="s">
        <v>24267</v>
      </c>
      <c r="C2961" s="4" t="s">
        <v>24268</v>
      </c>
      <c r="D2961" s="4" t="s">
        <v>23746</v>
      </c>
      <c r="E2961" s="4" t="s">
        <v>63</v>
      </c>
      <c r="F2961" s="4">
        <v>2016</v>
      </c>
      <c r="G2961" s="4" t="s">
        <v>1717</v>
      </c>
      <c r="H2961" s="4">
        <v>7</v>
      </c>
      <c r="I2961" s="4">
        <v>6</v>
      </c>
      <c r="J2961" s="4">
        <v>1196</v>
      </c>
      <c r="K2961" s="4">
        <v>1200</v>
      </c>
      <c r="L2961" s="4" t="s">
        <v>24269</v>
      </c>
      <c r="M2961" s="4" t="s">
        <v>24270</v>
      </c>
      <c r="N2961" s="4" t="s">
        <v>24271</v>
      </c>
      <c r="O2961" s="4" t="s">
        <v>63</v>
      </c>
      <c r="P2961" s="4"/>
      <c r="Q2961" s="4" t="s">
        <v>63</v>
      </c>
      <c r="R2961" s="4" t="s">
        <v>63</v>
      </c>
      <c r="S2961" s="4" t="s">
        <v>63</v>
      </c>
      <c r="T2961" s="4" t="s">
        <v>63</v>
      </c>
      <c r="U2961" s="4"/>
      <c r="V2961" s="4"/>
      <c r="W2961" s="4"/>
      <c r="X2961" s="4" t="s">
        <v>63</v>
      </c>
      <c r="Y2961" s="4" t="s">
        <v>23750</v>
      </c>
      <c r="Z2961" s="4" t="s">
        <v>63</v>
      </c>
      <c r="AA2961" s="4" t="s">
        <v>24272</v>
      </c>
      <c r="AB2961" s="4" t="s">
        <v>24273</v>
      </c>
      <c r="AC2961" s="4" t="s">
        <v>67</v>
      </c>
      <c r="AD2961" s="4" t="s">
        <v>63</v>
      </c>
      <c r="AE2961" s="4" t="s">
        <v>63</v>
      </c>
      <c r="AF2961" s="4" t="s">
        <v>63</v>
      </c>
      <c r="AG2961" s="4" t="s">
        <v>63</v>
      </c>
      <c r="AH2961" s="4" t="s">
        <v>63</v>
      </c>
      <c r="AI2961" s="4" t="s">
        <v>63</v>
      </c>
      <c r="AJ2961" s="4" t="s">
        <v>63</v>
      </c>
      <c r="AK2961" s="4" t="s">
        <v>63</v>
      </c>
      <c r="AL2961" s="4" t="s">
        <v>63</v>
      </c>
      <c r="AM2961" s="4" t="s">
        <v>24268</v>
      </c>
      <c r="AN2961" s="4" t="s">
        <v>63</v>
      </c>
      <c r="AO2961" s="4" t="s">
        <v>63</v>
      </c>
      <c r="AP2961" s="4" t="s">
        <v>63</v>
      </c>
      <c r="AQ2961" s="4" t="s">
        <v>63</v>
      </c>
      <c r="AR2961" s="4" t="s">
        <v>63</v>
      </c>
      <c r="AS2961" s="4" t="s">
        <v>63</v>
      </c>
      <c r="AT2961" s="4" t="s">
        <v>63</v>
      </c>
      <c r="AU2961" s="4" t="s">
        <v>63</v>
      </c>
      <c r="AV2961" s="4" t="s">
        <v>63</v>
      </c>
      <c r="AW2961" s="4" t="s">
        <v>63</v>
      </c>
      <c r="AX2961" s="4" t="s">
        <v>63</v>
      </c>
      <c r="AY2961" s="4" t="s">
        <v>63</v>
      </c>
      <c r="AZ2961" s="4" t="s">
        <v>63</v>
      </c>
      <c r="BA2961" s="4" t="s">
        <v>63</v>
      </c>
      <c r="BB2961" s="4" t="s">
        <v>63</v>
      </c>
      <c r="BC2961" s="4" t="s">
        <v>63</v>
      </c>
      <c r="BD2961" s="4" t="s">
        <v>63</v>
      </c>
      <c r="BE2961" s="4" t="s">
        <v>63</v>
      </c>
      <c r="BF2961" s="4" t="s">
        <v>63</v>
      </c>
    </row>
    <row r="2962" spans="1:58">
      <c r="A2962" s="4" t="s">
        <v>58</v>
      </c>
      <c r="B2962" s="4" t="s">
        <v>24274</v>
      </c>
      <c r="C2962" s="4" t="s">
        <v>24275</v>
      </c>
      <c r="D2962" s="4" t="s">
        <v>11901</v>
      </c>
      <c r="E2962" s="4" t="s">
        <v>63</v>
      </c>
      <c r="F2962" s="4">
        <v>2015</v>
      </c>
      <c r="G2962" s="4" t="s">
        <v>198</v>
      </c>
      <c r="H2962" s="4">
        <v>57</v>
      </c>
      <c r="I2962" s="4">
        <v>5</v>
      </c>
      <c r="J2962" s="4" t="s">
        <v>24276</v>
      </c>
      <c r="K2962" s="4" t="s">
        <v>24276</v>
      </c>
      <c r="L2962" s="4" t="s">
        <v>24277</v>
      </c>
      <c r="M2962" s="4" t="s">
        <v>63</v>
      </c>
      <c r="N2962" s="4" t="s">
        <v>24278</v>
      </c>
      <c r="O2962" s="4" t="s">
        <v>63</v>
      </c>
      <c r="P2962" s="4"/>
      <c r="Q2962" s="4" t="s">
        <v>63</v>
      </c>
      <c r="R2962" s="4" t="s">
        <v>63</v>
      </c>
      <c r="S2962" s="4" t="s">
        <v>63</v>
      </c>
      <c r="T2962" s="4" t="s">
        <v>63</v>
      </c>
      <c r="U2962" s="4"/>
      <c r="V2962" s="4"/>
      <c r="W2962" s="4"/>
      <c r="X2962" s="4" t="s">
        <v>63</v>
      </c>
      <c r="Y2962" s="4" t="s">
        <v>11904</v>
      </c>
      <c r="Z2962" s="4" t="s">
        <v>63</v>
      </c>
      <c r="AA2962" s="4" t="s">
        <v>24279</v>
      </c>
      <c r="AB2962" s="4" t="s">
        <v>24280</v>
      </c>
      <c r="AC2962" s="4" t="s">
        <v>67</v>
      </c>
      <c r="AD2962" s="4" t="s">
        <v>63</v>
      </c>
      <c r="AE2962" s="4" t="s">
        <v>63</v>
      </c>
      <c r="AF2962" s="4" t="s">
        <v>63</v>
      </c>
      <c r="AG2962" s="4" t="s">
        <v>63</v>
      </c>
      <c r="AH2962" s="4" t="s">
        <v>63</v>
      </c>
      <c r="AI2962" s="4" t="s">
        <v>63</v>
      </c>
      <c r="AJ2962" s="4" t="s">
        <v>63</v>
      </c>
      <c r="AK2962" s="4" t="s">
        <v>63</v>
      </c>
      <c r="AL2962" s="4" t="s">
        <v>63</v>
      </c>
      <c r="AM2962" s="4" t="s">
        <v>24275</v>
      </c>
      <c r="AN2962" s="4" t="s">
        <v>63</v>
      </c>
      <c r="AO2962" s="4" t="s">
        <v>63</v>
      </c>
      <c r="AP2962" s="4" t="s">
        <v>63</v>
      </c>
      <c r="AQ2962" s="4" t="s">
        <v>63</v>
      </c>
      <c r="AR2962" s="4" t="s">
        <v>63</v>
      </c>
      <c r="AS2962" s="4" t="s">
        <v>63</v>
      </c>
      <c r="AT2962" s="4" t="s">
        <v>63</v>
      </c>
      <c r="AU2962" s="4" t="s">
        <v>63</v>
      </c>
      <c r="AV2962" s="4" t="s">
        <v>63</v>
      </c>
      <c r="AW2962" s="4" t="s">
        <v>63</v>
      </c>
      <c r="AX2962" s="4" t="s">
        <v>63</v>
      </c>
      <c r="AY2962" s="4" t="s">
        <v>63</v>
      </c>
      <c r="AZ2962" s="4" t="s">
        <v>63</v>
      </c>
      <c r="BA2962" s="4" t="s">
        <v>63</v>
      </c>
      <c r="BB2962" s="4" t="s">
        <v>63</v>
      </c>
      <c r="BC2962" s="4" t="s">
        <v>63</v>
      </c>
      <c r="BD2962" s="4" t="s">
        <v>63</v>
      </c>
      <c r="BE2962" s="4" t="s">
        <v>63</v>
      </c>
      <c r="BF2962" s="4" t="s">
        <v>63</v>
      </c>
    </row>
    <row r="2963" spans="1:58">
      <c r="A2963" s="4" t="s">
        <v>58</v>
      </c>
      <c r="B2963" s="4" t="s">
        <v>24281</v>
      </c>
      <c r="C2963" s="4" t="s">
        <v>24282</v>
      </c>
      <c r="D2963" s="4" t="s">
        <v>11901</v>
      </c>
      <c r="E2963" s="4" t="s">
        <v>63</v>
      </c>
      <c r="F2963" s="4">
        <v>2018</v>
      </c>
      <c r="G2963" s="4" t="s">
        <v>326</v>
      </c>
      <c r="H2963" s="4">
        <v>60</v>
      </c>
      <c r="I2963" s="4">
        <v>5</v>
      </c>
      <c r="J2963" s="4">
        <v>147</v>
      </c>
      <c r="K2963" s="4">
        <v>147</v>
      </c>
      <c r="L2963" s="4" t="s">
        <v>24283</v>
      </c>
      <c r="M2963" s="4" t="s">
        <v>63</v>
      </c>
      <c r="N2963" s="4" t="s">
        <v>24284</v>
      </c>
      <c r="O2963" s="4" t="s">
        <v>63</v>
      </c>
      <c r="P2963" s="4"/>
      <c r="Q2963" s="4" t="s">
        <v>63</v>
      </c>
      <c r="R2963" s="4" t="s">
        <v>63</v>
      </c>
      <c r="S2963" s="4" t="s">
        <v>63</v>
      </c>
      <c r="T2963" s="4" t="s">
        <v>63</v>
      </c>
      <c r="U2963" s="4"/>
      <c r="V2963" s="4"/>
      <c r="W2963" s="4"/>
      <c r="X2963" s="4" t="s">
        <v>63</v>
      </c>
      <c r="Y2963" s="4" t="s">
        <v>11904</v>
      </c>
      <c r="Z2963" s="4" t="s">
        <v>63</v>
      </c>
      <c r="AA2963" s="4" t="s">
        <v>24285</v>
      </c>
      <c r="AB2963" s="4" t="s">
        <v>24286</v>
      </c>
      <c r="AC2963" s="4" t="s">
        <v>67</v>
      </c>
      <c r="AD2963" s="4" t="s">
        <v>63</v>
      </c>
      <c r="AE2963" s="4" t="s">
        <v>63</v>
      </c>
      <c r="AF2963" s="4" t="s">
        <v>63</v>
      </c>
      <c r="AG2963" s="4" t="s">
        <v>63</v>
      </c>
      <c r="AH2963" s="4" t="s">
        <v>63</v>
      </c>
      <c r="AI2963" s="4" t="s">
        <v>63</v>
      </c>
      <c r="AJ2963" s="4" t="s">
        <v>63</v>
      </c>
      <c r="AK2963" s="4" t="s">
        <v>63</v>
      </c>
      <c r="AL2963" s="4" t="s">
        <v>63</v>
      </c>
      <c r="AM2963" s="4" t="s">
        <v>24282</v>
      </c>
      <c r="AN2963" s="4" t="s">
        <v>63</v>
      </c>
      <c r="AO2963" s="4" t="s">
        <v>63</v>
      </c>
      <c r="AP2963" s="4" t="s">
        <v>63</v>
      </c>
      <c r="AQ2963" s="4" t="s">
        <v>63</v>
      </c>
      <c r="AR2963" s="4" t="s">
        <v>63</v>
      </c>
      <c r="AS2963" s="4" t="s">
        <v>63</v>
      </c>
      <c r="AT2963" s="4" t="s">
        <v>63</v>
      </c>
      <c r="AU2963" s="4" t="s">
        <v>63</v>
      </c>
      <c r="AV2963" s="4" t="s">
        <v>63</v>
      </c>
      <c r="AW2963" s="4" t="s">
        <v>63</v>
      </c>
      <c r="AX2963" s="4" t="s">
        <v>63</v>
      </c>
      <c r="AY2963" s="4" t="s">
        <v>63</v>
      </c>
      <c r="AZ2963" s="4" t="s">
        <v>63</v>
      </c>
      <c r="BA2963" s="4" t="s">
        <v>63</v>
      </c>
      <c r="BB2963" s="4" t="s">
        <v>63</v>
      </c>
      <c r="BC2963" s="4" t="s">
        <v>63</v>
      </c>
      <c r="BD2963" s="4" t="s">
        <v>63</v>
      </c>
      <c r="BE2963" s="4" t="s">
        <v>63</v>
      </c>
      <c r="BF2963" s="4" t="s">
        <v>63</v>
      </c>
    </row>
    <row r="2964" spans="1:58">
      <c r="A2964" s="4" t="s">
        <v>58</v>
      </c>
      <c r="B2964" s="4" t="s">
        <v>24287</v>
      </c>
      <c r="C2964" s="4" t="s">
        <v>24288</v>
      </c>
      <c r="D2964" s="4" t="s">
        <v>938</v>
      </c>
      <c r="E2964" s="4" t="s">
        <v>63</v>
      </c>
      <c r="F2964" s="4">
        <v>2017</v>
      </c>
      <c r="G2964" s="4" t="s">
        <v>84</v>
      </c>
      <c r="H2964" s="4">
        <v>26</v>
      </c>
      <c r="I2964" s="4">
        <v>3</v>
      </c>
      <c r="J2964" s="4">
        <v>280</v>
      </c>
      <c r="K2964" s="4">
        <v>281</v>
      </c>
      <c r="L2964" s="4" t="s">
        <v>63</v>
      </c>
      <c r="M2964" s="4" t="s">
        <v>63</v>
      </c>
      <c r="N2964" s="4" t="s">
        <v>24289</v>
      </c>
      <c r="O2964" s="4" t="s">
        <v>63</v>
      </c>
      <c r="P2964" s="4"/>
      <c r="Q2964" s="4" t="s">
        <v>63</v>
      </c>
      <c r="R2964" s="4" t="s">
        <v>63</v>
      </c>
      <c r="S2964" s="4" t="s">
        <v>63</v>
      </c>
      <c r="T2964" s="4" t="s">
        <v>63</v>
      </c>
      <c r="U2964" s="4"/>
      <c r="V2964" s="4"/>
      <c r="W2964" s="4"/>
      <c r="X2964" s="4" t="s">
        <v>63</v>
      </c>
      <c r="Y2964" s="4" t="s">
        <v>2500</v>
      </c>
      <c r="Z2964" s="4" t="s">
        <v>63</v>
      </c>
      <c r="AA2964" s="4" t="s">
        <v>24290</v>
      </c>
      <c r="AB2964" s="4" t="s">
        <v>24291</v>
      </c>
      <c r="AC2964" s="4" t="s">
        <v>67</v>
      </c>
      <c r="AD2964" s="4" t="s">
        <v>63</v>
      </c>
      <c r="AE2964" s="4" t="s">
        <v>63</v>
      </c>
      <c r="AF2964" s="4" t="s">
        <v>63</v>
      </c>
      <c r="AG2964" s="4" t="s">
        <v>63</v>
      </c>
      <c r="AH2964" s="4" t="s">
        <v>63</v>
      </c>
      <c r="AI2964" s="4" t="s">
        <v>63</v>
      </c>
      <c r="AJ2964" s="4" t="s">
        <v>63</v>
      </c>
      <c r="AK2964" s="4" t="s">
        <v>63</v>
      </c>
      <c r="AL2964" s="4" t="s">
        <v>63</v>
      </c>
      <c r="AM2964" s="4" t="s">
        <v>24288</v>
      </c>
      <c r="AN2964" s="4" t="s">
        <v>63</v>
      </c>
      <c r="AO2964" s="4" t="s">
        <v>63</v>
      </c>
      <c r="AP2964" s="4" t="s">
        <v>63</v>
      </c>
      <c r="AQ2964" s="4" t="s">
        <v>63</v>
      </c>
      <c r="AR2964" s="4" t="s">
        <v>63</v>
      </c>
      <c r="AS2964" s="4" t="s">
        <v>63</v>
      </c>
      <c r="AT2964" s="4" t="s">
        <v>63</v>
      </c>
      <c r="AU2964" s="4" t="s">
        <v>63</v>
      </c>
      <c r="AV2964" s="4" t="s">
        <v>63</v>
      </c>
      <c r="AW2964" s="4" t="s">
        <v>63</v>
      </c>
      <c r="AX2964" s="4" t="s">
        <v>63</v>
      </c>
      <c r="AY2964" s="4" t="s">
        <v>63</v>
      </c>
      <c r="AZ2964" s="4" t="s">
        <v>63</v>
      </c>
      <c r="BA2964" s="4" t="s">
        <v>63</v>
      </c>
      <c r="BB2964" s="4" t="s">
        <v>63</v>
      </c>
      <c r="BC2964" s="4" t="s">
        <v>63</v>
      </c>
      <c r="BD2964" s="4" t="s">
        <v>63</v>
      </c>
      <c r="BE2964" s="4" t="s">
        <v>63</v>
      </c>
      <c r="BF2964" s="4" t="s">
        <v>63</v>
      </c>
    </row>
    <row r="2965" spans="1:58">
      <c r="A2965" s="4" t="s">
        <v>58</v>
      </c>
      <c r="B2965" s="4" t="s">
        <v>24292</v>
      </c>
      <c r="C2965" s="4" t="s">
        <v>24293</v>
      </c>
      <c r="D2965" s="4" t="s">
        <v>5371</v>
      </c>
      <c r="E2965" s="4" t="s">
        <v>5372</v>
      </c>
      <c r="F2965" s="4">
        <v>2000</v>
      </c>
      <c r="G2965" s="4" t="s">
        <v>63</v>
      </c>
      <c r="H2965" s="4">
        <v>11</v>
      </c>
      <c r="I2965" s="4">
        <v>1</v>
      </c>
      <c r="J2965" s="4">
        <v>53</v>
      </c>
      <c r="K2965" s="4">
        <v>68</v>
      </c>
      <c r="L2965" s="4" t="s">
        <v>24294</v>
      </c>
      <c r="M2965" s="4" t="s">
        <v>24295</v>
      </c>
      <c r="N2965" s="4" t="s">
        <v>24296</v>
      </c>
      <c r="O2965" s="4" t="s">
        <v>63</v>
      </c>
      <c r="P2965" s="4"/>
      <c r="Q2965" s="4" t="s">
        <v>63</v>
      </c>
      <c r="R2965" s="4" t="s">
        <v>63</v>
      </c>
      <c r="S2965" s="4" t="s">
        <v>63</v>
      </c>
      <c r="T2965" s="4" t="s">
        <v>63</v>
      </c>
      <c r="U2965" s="4"/>
      <c r="V2965" s="4"/>
      <c r="W2965" s="4"/>
      <c r="X2965" s="4" t="s">
        <v>63</v>
      </c>
      <c r="Y2965" s="4" t="s">
        <v>5376</v>
      </c>
      <c r="Z2965" s="4" t="s">
        <v>63</v>
      </c>
      <c r="AA2965" s="4" t="s">
        <v>24297</v>
      </c>
      <c r="AB2965" s="4" t="s">
        <v>24298</v>
      </c>
      <c r="AC2965" s="4" t="s">
        <v>67</v>
      </c>
      <c r="AD2965" s="4" t="s">
        <v>63</v>
      </c>
      <c r="AE2965" s="4" t="s">
        <v>63</v>
      </c>
      <c r="AF2965" s="4" t="s">
        <v>63</v>
      </c>
      <c r="AG2965" s="4" t="s">
        <v>63</v>
      </c>
      <c r="AH2965" s="4" t="s">
        <v>63</v>
      </c>
      <c r="AI2965" s="4" t="s">
        <v>24299</v>
      </c>
      <c r="AJ2965" s="4" t="s">
        <v>63</v>
      </c>
      <c r="AK2965" s="4" t="s">
        <v>63</v>
      </c>
      <c r="AL2965" s="4" t="s">
        <v>63</v>
      </c>
      <c r="AM2965" s="4" t="s">
        <v>24293</v>
      </c>
      <c r="AN2965" s="4" t="s">
        <v>63</v>
      </c>
      <c r="AO2965" s="4" t="s">
        <v>63</v>
      </c>
      <c r="AP2965" s="4" t="s">
        <v>63</v>
      </c>
      <c r="AQ2965" s="4" t="s">
        <v>63</v>
      </c>
      <c r="AR2965" s="4" t="s">
        <v>63</v>
      </c>
      <c r="AS2965" s="4" t="s">
        <v>63</v>
      </c>
      <c r="AT2965" s="4" t="s">
        <v>63</v>
      </c>
      <c r="AU2965" s="4" t="s">
        <v>63</v>
      </c>
      <c r="AV2965" s="4" t="s">
        <v>63</v>
      </c>
      <c r="AW2965" s="4" t="s">
        <v>63</v>
      </c>
      <c r="AX2965" s="4" t="s">
        <v>63</v>
      </c>
      <c r="AY2965" s="4" t="s">
        <v>63</v>
      </c>
      <c r="AZ2965" s="4" t="s">
        <v>63</v>
      </c>
      <c r="BA2965" s="4" t="s">
        <v>63</v>
      </c>
      <c r="BB2965" s="4" t="s">
        <v>63</v>
      </c>
      <c r="BC2965" s="4" t="s">
        <v>63</v>
      </c>
      <c r="BD2965" s="4" t="s">
        <v>63</v>
      </c>
      <c r="BE2965" s="4" t="s">
        <v>63</v>
      </c>
      <c r="BF2965" s="4" t="s">
        <v>63</v>
      </c>
    </row>
    <row r="2966" spans="1:58">
      <c r="A2966" s="4" t="s">
        <v>58</v>
      </c>
      <c r="B2966" s="4" t="s">
        <v>24300</v>
      </c>
      <c r="C2966" s="4" t="s">
        <v>24301</v>
      </c>
      <c r="D2966" s="4" t="s">
        <v>24302</v>
      </c>
      <c r="E2966" s="4" t="s">
        <v>63</v>
      </c>
      <c r="F2966" s="4">
        <v>2007</v>
      </c>
      <c r="G2966" s="4" t="s">
        <v>63</v>
      </c>
      <c r="H2966" s="4">
        <v>12</v>
      </c>
      <c r="I2966" s="4">
        <v>1</v>
      </c>
      <c r="J2966" s="4">
        <v>33</v>
      </c>
      <c r="K2966" s="4">
        <v>41</v>
      </c>
      <c r="L2966" s="4" t="s">
        <v>24303</v>
      </c>
      <c r="M2966" s="4" t="s">
        <v>24304</v>
      </c>
      <c r="N2966" s="4" t="s">
        <v>24305</v>
      </c>
      <c r="O2966" s="4" t="s">
        <v>63</v>
      </c>
      <c r="P2966" s="4"/>
      <c r="Q2966" s="4" t="s">
        <v>63</v>
      </c>
      <c r="R2966" s="4" t="s">
        <v>63</v>
      </c>
      <c r="S2966" s="4" t="s">
        <v>63</v>
      </c>
      <c r="T2966" s="4" t="s">
        <v>63</v>
      </c>
      <c r="U2966" s="4"/>
      <c r="V2966" s="4"/>
      <c r="W2966" s="4"/>
      <c r="X2966" s="4" t="s">
        <v>63</v>
      </c>
      <c r="Y2966" s="4" t="s">
        <v>24306</v>
      </c>
      <c r="Z2966" s="4" t="s">
        <v>63</v>
      </c>
      <c r="AA2966" s="4" t="s">
        <v>24307</v>
      </c>
      <c r="AB2966" s="4" t="s">
        <v>24308</v>
      </c>
      <c r="AC2966" s="4" t="s">
        <v>67</v>
      </c>
      <c r="AD2966" s="4" t="s">
        <v>63</v>
      </c>
      <c r="AE2966" s="4" t="s">
        <v>63</v>
      </c>
      <c r="AF2966" s="4" t="s">
        <v>63</v>
      </c>
      <c r="AG2966" s="4" t="s">
        <v>63</v>
      </c>
      <c r="AH2966" s="4" t="s">
        <v>63</v>
      </c>
      <c r="AI2966" s="4" t="s">
        <v>24309</v>
      </c>
      <c r="AJ2966" s="4" t="s">
        <v>63</v>
      </c>
      <c r="AK2966" s="4" t="s">
        <v>63</v>
      </c>
      <c r="AL2966" s="4" t="s">
        <v>63</v>
      </c>
      <c r="AM2966" s="4" t="s">
        <v>24301</v>
      </c>
      <c r="AN2966" s="4" t="s">
        <v>63</v>
      </c>
      <c r="AO2966" s="4" t="s">
        <v>63</v>
      </c>
      <c r="AP2966" s="4" t="s">
        <v>63</v>
      </c>
      <c r="AQ2966" s="4" t="s">
        <v>63</v>
      </c>
      <c r="AR2966" s="4" t="s">
        <v>63</v>
      </c>
      <c r="AS2966" s="4" t="s">
        <v>63</v>
      </c>
      <c r="AT2966" s="4" t="s">
        <v>63</v>
      </c>
      <c r="AU2966" s="4" t="s">
        <v>63</v>
      </c>
      <c r="AV2966" s="4" t="s">
        <v>63</v>
      </c>
      <c r="AW2966" s="4" t="s">
        <v>63</v>
      </c>
      <c r="AX2966" s="4" t="s">
        <v>63</v>
      </c>
      <c r="AY2966" s="4" t="s">
        <v>63</v>
      </c>
      <c r="AZ2966" s="4" t="s">
        <v>63</v>
      </c>
      <c r="BA2966" s="4" t="s">
        <v>63</v>
      </c>
      <c r="BB2966" s="4" t="s">
        <v>63</v>
      </c>
      <c r="BC2966" s="4" t="s">
        <v>63</v>
      </c>
      <c r="BD2966" s="4" t="s">
        <v>63</v>
      </c>
      <c r="BE2966" s="4" t="s">
        <v>63</v>
      </c>
      <c r="BF2966" s="4" t="s">
        <v>63</v>
      </c>
    </row>
    <row r="2967" spans="1:58">
      <c r="A2967" s="4" t="s">
        <v>58</v>
      </c>
      <c r="B2967" s="4" t="s">
        <v>24310</v>
      </c>
      <c r="C2967" s="4" t="s">
        <v>24311</v>
      </c>
      <c r="D2967" s="4" t="s">
        <v>24312</v>
      </c>
      <c r="E2967" s="4" t="s">
        <v>63</v>
      </c>
      <c r="F2967" s="4">
        <v>1978</v>
      </c>
      <c r="G2967" s="4" t="s">
        <v>63</v>
      </c>
      <c r="H2967" s="4" t="s">
        <v>63</v>
      </c>
      <c r="I2967" s="4">
        <v>11</v>
      </c>
      <c r="J2967" s="4">
        <v>144</v>
      </c>
      <c r="K2967" s="4">
        <v>147</v>
      </c>
      <c r="L2967" s="4" t="s">
        <v>63</v>
      </c>
      <c r="M2967" s="4" t="s">
        <v>63</v>
      </c>
      <c r="N2967" s="4" t="s">
        <v>24313</v>
      </c>
      <c r="O2967" s="4" t="s">
        <v>63</v>
      </c>
      <c r="P2967" s="4"/>
      <c r="Q2967" s="4" t="s">
        <v>63</v>
      </c>
      <c r="R2967" s="4" t="s">
        <v>63</v>
      </c>
      <c r="S2967" s="4" t="s">
        <v>63</v>
      </c>
      <c r="T2967" s="4" t="s">
        <v>63</v>
      </c>
      <c r="U2967" s="4"/>
      <c r="V2967" s="4"/>
      <c r="W2967" s="4"/>
      <c r="X2967" s="4" t="s">
        <v>63</v>
      </c>
      <c r="Y2967" s="4" t="s">
        <v>24314</v>
      </c>
      <c r="Z2967" s="4" t="s">
        <v>63</v>
      </c>
      <c r="AA2967" s="4" t="s">
        <v>24315</v>
      </c>
      <c r="AB2967" s="4" t="s">
        <v>24316</v>
      </c>
      <c r="AC2967" s="4" t="s">
        <v>5266</v>
      </c>
      <c r="AD2967" s="4" t="s">
        <v>63</v>
      </c>
      <c r="AE2967" s="4" t="s">
        <v>63</v>
      </c>
      <c r="AF2967" s="4" t="s">
        <v>63</v>
      </c>
      <c r="AG2967" s="4" t="s">
        <v>63</v>
      </c>
      <c r="AH2967" s="4" t="s">
        <v>63</v>
      </c>
      <c r="AI2967" s="4" t="s">
        <v>63</v>
      </c>
      <c r="AJ2967" s="4" t="s">
        <v>63</v>
      </c>
      <c r="AK2967" s="4" t="s">
        <v>63</v>
      </c>
      <c r="AL2967" s="4" t="s">
        <v>63</v>
      </c>
      <c r="AM2967" s="4" t="s">
        <v>24311</v>
      </c>
      <c r="AN2967" s="4" t="s">
        <v>63</v>
      </c>
      <c r="AO2967" s="4" t="s">
        <v>63</v>
      </c>
      <c r="AP2967" s="4" t="s">
        <v>63</v>
      </c>
      <c r="AQ2967" s="4" t="s">
        <v>63</v>
      </c>
      <c r="AR2967" s="4" t="s">
        <v>63</v>
      </c>
      <c r="AS2967" s="4" t="s">
        <v>63</v>
      </c>
      <c r="AT2967" s="4" t="s">
        <v>63</v>
      </c>
      <c r="AU2967" s="4" t="s">
        <v>63</v>
      </c>
      <c r="AV2967" s="4" t="s">
        <v>63</v>
      </c>
      <c r="AW2967" s="4" t="s">
        <v>63</v>
      </c>
      <c r="AX2967" s="4" t="s">
        <v>63</v>
      </c>
      <c r="AY2967" s="4" t="s">
        <v>63</v>
      </c>
      <c r="AZ2967" s="4" t="s">
        <v>63</v>
      </c>
      <c r="BA2967" s="4" t="s">
        <v>63</v>
      </c>
      <c r="BB2967" s="4" t="s">
        <v>63</v>
      </c>
      <c r="BC2967" s="4" t="s">
        <v>63</v>
      </c>
      <c r="BD2967" s="4" t="s">
        <v>63</v>
      </c>
      <c r="BE2967" s="4" t="s">
        <v>63</v>
      </c>
      <c r="BF2967" s="4" t="s">
        <v>63</v>
      </c>
    </row>
    <row r="2968" spans="1:58">
      <c r="A2968" s="4" t="s">
        <v>58</v>
      </c>
      <c r="B2968" s="4" t="s">
        <v>24317</v>
      </c>
      <c r="C2968" s="4" t="s">
        <v>24318</v>
      </c>
      <c r="D2968" s="4" t="s">
        <v>24319</v>
      </c>
      <c r="E2968" s="4" t="s">
        <v>63</v>
      </c>
      <c r="F2968" s="4">
        <v>2016</v>
      </c>
      <c r="G2968" s="4" t="s">
        <v>24320</v>
      </c>
      <c r="H2968" s="4">
        <v>69</v>
      </c>
      <c r="I2968" s="4">
        <v>3</v>
      </c>
      <c r="J2968" s="4">
        <v>865</v>
      </c>
      <c r="K2968" s="4">
        <v>898</v>
      </c>
      <c r="L2968" s="4" t="s">
        <v>24321</v>
      </c>
      <c r="M2968" s="4" t="s">
        <v>24322</v>
      </c>
      <c r="N2968" s="4" t="s">
        <v>24323</v>
      </c>
      <c r="O2968" s="4" t="s">
        <v>63</v>
      </c>
      <c r="P2968" s="4"/>
      <c r="Q2968" s="4" t="s">
        <v>63</v>
      </c>
      <c r="R2968" s="4" t="s">
        <v>63</v>
      </c>
      <c r="S2968" s="4" t="s">
        <v>63</v>
      </c>
      <c r="T2968" s="4" t="s">
        <v>63</v>
      </c>
      <c r="U2968" s="4"/>
      <c r="V2968" s="4"/>
      <c r="W2968" s="4"/>
      <c r="X2968" s="4" t="s">
        <v>63</v>
      </c>
      <c r="Y2968" s="4" t="s">
        <v>24324</v>
      </c>
      <c r="Z2968" s="4" t="s">
        <v>63</v>
      </c>
      <c r="AA2968" s="4" t="s">
        <v>24325</v>
      </c>
      <c r="AB2968" s="4" t="s">
        <v>24326</v>
      </c>
      <c r="AC2968" s="4" t="s">
        <v>67</v>
      </c>
      <c r="AD2968" s="4" t="s">
        <v>63</v>
      </c>
      <c r="AE2968" s="4" t="s">
        <v>63</v>
      </c>
      <c r="AF2968" s="4" t="s">
        <v>63</v>
      </c>
      <c r="AG2968" s="4" t="s">
        <v>63</v>
      </c>
      <c r="AH2968" s="4" t="s">
        <v>63</v>
      </c>
      <c r="AI2968" s="4" t="s">
        <v>63</v>
      </c>
      <c r="AJ2968" s="4" t="s">
        <v>63</v>
      </c>
      <c r="AK2968" s="4" t="s">
        <v>63</v>
      </c>
      <c r="AL2968" s="4" t="s">
        <v>63</v>
      </c>
      <c r="AM2968" s="4" t="s">
        <v>24318</v>
      </c>
      <c r="AN2968" s="4" t="s">
        <v>63</v>
      </c>
      <c r="AO2968" s="4" t="s">
        <v>63</v>
      </c>
      <c r="AP2968" s="4" t="s">
        <v>63</v>
      </c>
      <c r="AQ2968" s="4" t="s">
        <v>63</v>
      </c>
      <c r="AR2968" s="4" t="s">
        <v>63</v>
      </c>
      <c r="AS2968" s="4" t="s">
        <v>63</v>
      </c>
      <c r="AT2968" s="4" t="s">
        <v>63</v>
      </c>
      <c r="AU2968" s="4" t="s">
        <v>63</v>
      </c>
      <c r="AV2968" s="4" t="s">
        <v>63</v>
      </c>
      <c r="AW2968" s="4" t="s">
        <v>63</v>
      </c>
      <c r="AX2968" s="4" t="s">
        <v>63</v>
      </c>
      <c r="AY2968" s="4" t="s">
        <v>63</v>
      </c>
      <c r="AZ2968" s="4" t="s">
        <v>63</v>
      </c>
      <c r="BA2968" s="4" t="s">
        <v>63</v>
      </c>
      <c r="BB2968" s="4" t="s">
        <v>63</v>
      </c>
      <c r="BC2968" s="4" t="s">
        <v>63</v>
      </c>
      <c r="BD2968" s="4" t="s">
        <v>63</v>
      </c>
      <c r="BE2968" s="4" t="s">
        <v>63</v>
      </c>
      <c r="BF2968" s="4" t="s">
        <v>63</v>
      </c>
    </row>
    <row r="2969" spans="1:58">
      <c r="A2969" s="4" t="s">
        <v>58</v>
      </c>
      <c r="B2969" s="4" t="s">
        <v>24327</v>
      </c>
      <c r="C2969" s="4" t="s">
        <v>24328</v>
      </c>
      <c r="D2969" s="4" t="s">
        <v>23304</v>
      </c>
      <c r="E2969" s="4" t="s">
        <v>63</v>
      </c>
      <c r="F2969" s="4">
        <v>2016</v>
      </c>
      <c r="G2969" s="4" t="s">
        <v>157</v>
      </c>
      <c r="H2969" s="4">
        <v>23</v>
      </c>
      <c r="I2969" s="4">
        <v>6</v>
      </c>
      <c r="J2969" s="4">
        <v>484</v>
      </c>
      <c r="K2969" s="4">
        <v>491</v>
      </c>
      <c r="L2969" s="4" t="s">
        <v>24329</v>
      </c>
      <c r="M2969" s="4" t="s">
        <v>24330</v>
      </c>
      <c r="N2969" s="4" t="s">
        <v>24331</v>
      </c>
      <c r="O2969" s="4" t="s">
        <v>63</v>
      </c>
      <c r="P2969" s="4"/>
      <c r="Q2969" s="4" t="s">
        <v>63</v>
      </c>
      <c r="R2969" s="4" t="s">
        <v>63</v>
      </c>
      <c r="S2969" s="4" t="s">
        <v>63</v>
      </c>
      <c r="T2969" s="4" t="s">
        <v>63</v>
      </c>
      <c r="U2969" s="4"/>
      <c r="V2969" s="4"/>
      <c r="W2969" s="4"/>
      <c r="X2969" s="4" t="s">
        <v>63</v>
      </c>
      <c r="Y2969" s="4" t="s">
        <v>23308</v>
      </c>
      <c r="Z2969" s="4" t="s">
        <v>63</v>
      </c>
      <c r="AA2969" s="4" t="s">
        <v>24332</v>
      </c>
      <c r="AB2969" s="4" t="s">
        <v>24333</v>
      </c>
      <c r="AC2969" s="4" t="s">
        <v>67</v>
      </c>
      <c r="AD2969" s="4" t="s">
        <v>63</v>
      </c>
      <c r="AE2969" s="4" t="s">
        <v>63</v>
      </c>
      <c r="AF2969" s="4" t="s">
        <v>63</v>
      </c>
      <c r="AG2969" s="4" t="s">
        <v>63</v>
      </c>
      <c r="AH2969" s="4" t="s">
        <v>63</v>
      </c>
      <c r="AI2969" s="4" t="s">
        <v>24334</v>
      </c>
      <c r="AJ2969" s="4" t="s">
        <v>63</v>
      </c>
      <c r="AK2969" s="4" t="s">
        <v>63</v>
      </c>
      <c r="AL2969" s="4" t="s">
        <v>63</v>
      </c>
      <c r="AM2969" s="4" t="s">
        <v>24328</v>
      </c>
      <c r="AN2969" s="4" t="s">
        <v>63</v>
      </c>
      <c r="AO2969" s="4" t="s">
        <v>63</v>
      </c>
      <c r="AP2969" s="4" t="s">
        <v>63</v>
      </c>
      <c r="AQ2969" s="4" t="s">
        <v>63</v>
      </c>
      <c r="AR2969" s="4" t="s">
        <v>63</v>
      </c>
      <c r="AS2969" s="4" t="s">
        <v>63</v>
      </c>
      <c r="AT2969" s="4" t="s">
        <v>63</v>
      </c>
      <c r="AU2969" s="4" t="s">
        <v>63</v>
      </c>
      <c r="AV2969" s="4" t="s">
        <v>63</v>
      </c>
      <c r="AW2969" s="4" t="s">
        <v>63</v>
      </c>
      <c r="AX2969" s="4" t="s">
        <v>63</v>
      </c>
      <c r="AY2969" s="4" t="s">
        <v>63</v>
      </c>
      <c r="AZ2969" s="4" t="s">
        <v>63</v>
      </c>
      <c r="BA2969" s="4" t="s">
        <v>63</v>
      </c>
      <c r="BB2969" s="4" t="s">
        <v>63</v>
      </c>
      <c r="BC2969" s="4" t="s">
        <v>63</v>
      </c>
      <c r="BD2969" s="4" t="s">
        <v>63</v>
      </c>
      <c r="BE2969" s="4" t="s">
        <v>63</v>
      </c>
      <c r="BF2969" s="4" t="s">
        <v>63</v>
      </c>
    </row>
    <row r="2970" spans="1:58">
      <c r="A2970" s="4" t="s">
        <v>58</v>
      </c>
      <c r="B2970" s="4" t="s">
        <v>8346</v>
      </c>
      <c r="C2970" s="4" t="s">
        <v>24335</v>
      </c>
      <c r="D2970" s="4" t="s">
        <v>250</v>
      </c>
      <c r="E2970" s="4" t="s">
        <v>251</v>
      </c>
      <c r="F2970" s="4">
        <v>1990</v>
      </c>
      <c r="G2970" s="4" t="s">
        <v>219</v>
      </c>
      <c r="H2970" s="4">
        <v>143</v>
      </c>
      <c r="I2970" s="4">
        <v>10</v>
      </c>
      <c r="J2970" s="4">
        <v>1091</v>
      </c>
      <c r="K2970" s="4">
        <v>1096</v>
      </c>
      <c r="L2970" s="4" t="s">
        <v>63</v>
      </c>
      <c r="M2970" s="4" t="s">
        <v>63</v>
      </c>
      <c r="N2970" s="4" t="s">
        <v>24336</v>
      </c>
      <c r="O2970" s="4" t="s">
        <v>63</v>
      </c>
      <c r="P2970" s="4"/>
      <c r="Q2970" s="4" t="s">
        <v>63</v>
      </c>
      <c r="R2970" s="4" t="s">
        <v>63</v>
      </c>
      <c r="S2970" s="4" t="s">
        <v>63</v>
      </c>
      <c r="T2970" s="4" t="s">
        <v>63</v>
      </c>
      <c r="U2970" s="4"/>
      <c r="V2970" s="4"/>
      <c r="W2970" s="4"/>
      <c r="X2970" s="4" t="s">
        <v>63</v>
      </c>
      <c r="Y2970" s="4" t="s">
        <v>215</v>
      </c>
      <c r="Z2970" s="4" t="s">
        <v>63</v>
      </c>
      <c r="AA2970" s="4" t="s">
        <v>24337</v>
      </c>
      <c r="AB2970" s="4" t="s">
        <v>24338</v>
      </c>
      <c r="AC2970" s="4" t="s">
        <v>67</v>
      </c>
      <c r="AD2970" s="4" t="s">
        <v>63</v>
      </c>
      <c r="AE2970" s="4" t="s">
        <v>63</v>
      </c>
      <c r="AF2970" s="4" t="s">
        <v>63</v>
      </c>
      <c r="AG2970" s="4" t="s">
        <v>63</v>
      </c>
      <c r="AH2970" s="4" t="s">
        <v>63</v>
      </c>
      <c r="AI2970" s="4" t="s">
        <v>63</v>
      </c>
      <c r="AJ2970" s="4" t="s">
        <v>63</v>
      </c>
      <c r="AK2970" s="4" t="s">
        <v>63</v>
      </c>
      <c r="AL2970" s="4" t="s">
        <v>63</v>
      </c>
      <c r="AM2970" s="4" t="s">
        <v>24335</v>
      </c>
      <c r="AN2970" s="4" t="s">
        <v>63</v>
      </c>
      <c r="AO2970" s="4" t="s">
        <v>63</v>
      </c>
      <c r="AP2970" s="4" t="s">
        <v>63</v>
      </c>
      <c r="AQ2970" s="4" t="s">
        <v>63</v>
      </c>
      <c r="AR2970" s="4" t="s">
        <v>63</v>
      </c>
      <c r="AS2970" s="4" t="s">
        <v>63</v>
      </c>
      <c r="AT2970" s="4" t="s">
        <v>63</v>
      </c>
      <c r="AU2970" s="4" t="s">
        <v>63</v>
      </c>
      <c r="AV2970" s="4" t="s">
        <v>63</v>
      </c>
      <c r="AW2970" s="4" t="s">
        <v>63</v>
      </c>
      <c r="AX2970" s="4" t="s">
        <v>63</v>
      </c>
      <c r="AY2970" s="4" t="s">
        <v>63</v>
      </c>
      <c r="AZ2970" s="4" t="s">
        <v>63</v>
      </c>
      <c r="BA2970" s="4" t="s">
        <v>63</v>
      </c>
      <c r="BB2970" s="4" t="s">
        <v>63</v>
      </c>
      <c r="BC2970" s="4" t="s">
        <v>63</v>
      </c>
      <c r="BD2970" s="4" t="s">
        <v>63</v>
      </c>
      <c r="BE2970" s="4" t="s">
        <v>63</v>
      </c>
      <c r="BF2970" s="4" t="s">
        <v>63</v>
      </c>
    </row>
    <row r="2971" spans="1:58">
      <c r="A2971" s="4" t="s">
        <v>58</v>
      </c>
      <c r="B2971" s="4" t="s">
        <v>8380</v>
      </c>
      <c r="C2971" s="4" t="s">
        <v>24339</v>
      </c>
      <c r="D2971" s="4" t="s">
        <v>763</v>
      </c>
      <c r="E2971" s="4" t="s">
        <v>63</v>
      </c>
      <c r="F2971" s="4">
        <v>1991</v>
      </c>
      <c r="G2971" s="4" t="s">
        <v>138</v>
      </c>
      <c r="H2971" s="4">
        <v>66</v>
      </c>
      <c r="I2971" s="4">
        <v>10</v>
      </c>
      <c r="J2971" s="4">
        <v>618</v>
      </c>
      <c r="K2971" s="4">
        <v>619</v>
      </c>
      <c r="L2971" s="4" t="s">
        <v>23282</v>
      </c>
      <c r="M2971" s="4" t="s">
        <v>24340</v>
      </c>
      <c r="N2971" s="4" t="s">
        <v>24341</v>
      </c>
      <c r="O2971" s="4" t="s">
        <v>63</v>
      </c>
      <c r="P2971" s="4"/>
      <c r="Q2971" s="4" t="s">
        <v>63</v>
      </c>
      <c r="R2971" s="4" t="s">
        <v>63</v>
      </c>
      <c r="S2971" s="4" t="s">
        <v>63</v>
      </c>
      <c r="T2971" s="4" t="s">
        <v>63</v>
      </c>
      <c r="U2971" s="4"/>
      <c r="V2971" s="4"/>
      <c r="W2971" s="4"/>
      <c r="X2971" s="4" t="s">
        <v>63</v>
      </c>
      <c r="Y2971" s="4" t="s">
        <v>858</v>
      </c>
      <c r="Z2971" s="4" t="s">
        <v>63</v>
      </c>
      <c r="AA2971" s="4" t="s">
        <v>24342</v>
      </c>
      <c r="AB2971" s="4" t="s">
        <v>24343</v>
      </c>
      <c r="AC2971" s="4" t="s">
        <v>67</v>
      </c>
      <c r="AD2971" s="4" t="s">
        <v>63</v>
      </c>
      <c r="AE2971" s="4" t="s">
        <v>63</v>
      </c>
      <c r="AF2971" s="4" t="s">
        <v>63</v>
      </c>
      <c r="AG2971" s="4" t="s">
        <v>63</v>
      </c>
      <c r="AH2971" s="4" t="s">
        <v>63</v>
      </c>
      <c r="AI2971" s="4" t="s">
        <v>24344</v>
      </c>
      <c r="AJ2971" s="4" t="s">
        <v>63</v>
      </c>
      <c r="AK2971" s="4" t="s">
        <v>63</v>
      </c>
      <c r="AL2971" s="4" t="s">
        <v>63</v>
      </c>
      <c r="AM2971" s="4" t="s">
        <v>24339</v>
      </c>
      <c r="AN2971" s="4" t="s">
        <v>63</v>
      </c>
      <c r="AO2971" s="4" t="s">
        <v>63</v>
      </c>
      <c r="AP2971" s="4" t="s">
        <v>63</v>
      </c>
      <c r="AQ2971" s="4" t="s">
        <v>63</v>
      </c>
      <c r="AR2971" s="4" t="s">
        <v>63</v>
      </c>
      <c r="AS2971" s="4" t="s">
        <v>63</v>
      </c>
      <c r="AT2971" s="4" t="s">
        <v>63</v>
      </c>
      <c r="AU2971" s="4" t="s">
        <v>63</v>
      </c>
      <c r="AV2971" s="4" t="s">
        <v>63</v>
      </c>
      <c r="AW2971" s="4" t="s">
        <v>63</v>
      </c>
      <c r="AX2971" s="4" t="s">
        <v>63</v>
      </c>
      <c r="AY2971" s="4" t="s">
        <v>63</v>
      </c>
      <c r="AZ2971" s="4" t="s">
        <v>63</v>
      </c>
      <c r="BA2971" s="4" t="s">
        <v>63</v>
      </c>
      <c r="BB2971" s="4" t="s">
        <v>63</v>
      </c>
      <c r="BC2971" s="4" t="s">
        <v>63</v>
      </c>
      <c r="BD2971" s="4" t="s">
        <v>63</v>
      </c>
      <c r="BE2971" s="4" t="s">
        <v>63</v>
      </c>
      <c r="BF2971" s="4" t="s">
        <v>63</v>
      </c>
    </row>
    <row r="2972" spans="1:58">
      <c r="A2972" s="4" t="s">
        <v>58</v>
      </c>
      <c r="B2972" s="4" t="s">
        <v>24345</v>
      </c>
      <c r="C2972" s="4" t="s">
        <v>24346</v>
      </c>
      <c r="D2972" s="4" t="s">
        <v>24347</v>
      </c>
      <c r="E2972" s="4" t="s">
        <v>63</v>
      </c>
      <c r="F2972" s="4">
        <v>2018</v>
      </c>
      <c r="G2972" s="4" t="s">
        <v>274</v>
      </c>
      <c r="H2972" s="4">
        <v>164</v>
      </c>
      <c r="I2972" s="4" t="s">
        <v>63</v>
      </c>
      <c r="J2972" s="4">
        <v>43</v>
      </c>
      <c r="K2972" s="4">
        <v>45</v>
      </c>
      <c r="L2972" s="4" t="s">
        <v>24348</v>
      </c>
      <c r="M2972" s="4" t="s">
        <v>24349</v>
      </c>
      <c r="N2972" s="4" t="s">
        <v>24350</v>
      </c>
      <c r="O2972" s="4" t="s">
        <v>63</v>
      </c>
      <c r="P2972" s="4"/>
      <c r="Q2972" s="4" t="s">
        <v>63</v>
      </c>
      <c r="R2972" s="4" t="s">
        <v>63</v>
      </c>
      <c r="S2972" s="4" t="s">
        <v>63</v>
      </c>
      <c r="T2972" s="4" t="s">
        <v>63</v>
      </c>
      <c r="U2972" s="4"/>
      <c r="V2972" s="4"/>
      <c r="W2972" s="4"/>
      <c r="X2972" s="4" t="s">
        <v>63</v>
      </c>
      <c r="Y2972" s="4" t="s">
        <v>24351</v>
      </c>
      <c r="Z2972" s="4" t="s">
        <v>63</v>
      </c>
      <c r="AA2972" s="4" t="s">
        <v>24352</v>
      </c>
      <c r="AB2972" s="4" t="s">
        <v>24353</v>
      </c>
      <c r="AC2972" s="4" t="s">
        <v>67</v>
      </c>
      <c r="AD2972" s="4" t="s">
        <v>63</v>
      </c>
      <c r="AE2972" s="4" t="s">
        <v>63</v>
      </c>
      <c r="AF2972" s="4" t="s">
        <v>63</v>
      </c>
      <c r="AG2972" s="4" t="s">
        <v>63</v>
      </c>
      <c r="AH2972" s="4" t="s">
        <v>63</v>
      </c>
      <c r="AI2972" s="4" t="s">
        <v>24354</v>
      </c>
      <c r="AJ2972" s="4" t="s">
        <v>63</v>
      </c>
      <c r="AK2972" s="4" t="s">
        <v>63</v>
      </c>
      <c r="AL2972" s="4" t="s">
        <v>63</v>
      </c>
      <c r="AM2972" s="4" t="s">
        <v>24346</v>
      </c>
      <c r="AN2972" s="4" t="s">
        <v>63</v>
      </c>
      <c r="AO2972" s="4" t="s">
        <v>63</v>
      </c>
      <c r="AP2972" s="4" t="s">
        <v>63</v>
      </c>
      <c r="AQ2972" s="4" t="s">
        <v>63</v>
      </c>
      <c r="AR2972" s="4" t="s">
        <v>63</v>
      </c>
      <c r="AS2972" s="4" t="s">
        <v>63</v>
      </c>
      <c r="AT2972" s="4" t="s">
        <v>63</v>
      </c>
      <c r="AU2972" s="4" t="s">
        <v>63</v>
      </c>
      <c r="AV2972" s="4" t="s">
        <v>63</v>
      </c>
      <c r="AW2972" s="4" t="s">
        <v>63</v>
      </c>
      <c r="AX2972" s="4" t="s">
        <v>63</v>
      </c>
      <c r="AY2972" s="4" t="s">
        <v>63</v>
      </c>
      <c r="AZ2972" s="4" t="s">
        <v>63</v>
      </c>
      <c r="BA2972" s="4" t="s">
        <v>63</v>
      </c>
      <c r="BB2972" s="4" t="s">
        <v>63</v>
      </c>
      <c r="BC2972" s="4" t="s">
        <v>63</v>
      </c>
      <c r="BD2972" s="4" t="s">
        <v>63</v>
      </c>
      <c r="BE2972" s="4" t="s">
        <v>63</v>
      </c>
      <c r="BF2972" s="4" t="s">
        <v>63</v>
      </c>
    </row>
    <row r="2973" spans="1:58">
      <c r="A2973" s="4" t="s">
        <v>58</v>
      </c>
      <c r="B2973" s="4" t="s">
        <v>24355</v>
      </c>
      <c r="C2973" s="4" t="s">
        <v>24356</v>
      </c>
      <c r="D2973" s="4" t="s">
        <v>24357</v>
      </c>
      <c r="E2973" s="4" t="s">
        <v>24358</v>
      </c>
      <c r="F2973" s="4">
        <v>2009</v>
      </c>
      <c r="G2973" s="4" t="s">
        <v>274</v>
      </c>
      <c r="H2973" s="4">
        <v>65</v>
      </c>
      <c r="I2973" s="4">
        <v>3</v>
      </c>
      <c r="J2973" s="4">
        <v>231</v>
      </c>
      <c r="K2973" s="4">
        <v>237</v>
      </c>
      <c r="L2973" s="4" t="s">
        <v>24359</v>
      </c>
      <c r="M2973" s="4" t="s">
        <v>24360</v>
      </c>
      <c r="N2973" s="4" t="s">
        <v>24361</v>
      </c>
      <c r="O2973" s="4" t="s">
        <v>63</v>
      </c>
      <c r="P2973" s="4"/>
      <c r="Q2973" s="4" t="s">
        <v>63</v>
      </c>
      <c r="R2973" s="4" t="s">
        <v>63</v>
      </c>
      <c r="S2973" s="4" t="s">
        <v>63</v>
      </c>
      <c r="T2973" s="4" t="s">
        <v>63</v>
      </c>
      <c r="U2973" s="4"/>
      <c r="V2973" s="4"/>
      <c r="W2973" s="4"/>
      <c r="X2973" s="4" t="s">
        <v>63</v>
      </c>
      <c r="Y2973" s="4" t="s">
        <v>24362</v>
      </c>
      <c r="Z2973" s="4" t="s">
        <v>63</v>
      </c>
      <c r="AA2973" s="4" t="s">
        <v>24363</v>
      </c>
      <c r="AB2973" s="4" t="s">
        <v>24364</v>
      </c>
      <c r="AC2973" s="4" t="s">
        <v>67</v>
      </c>
      <c r="AD2973" s="4" t="s">
        <v>63</v>
      </c>
      <c r="AE2973" s="4" t="s">
        <v>63</v>
      </c>
      <c r="AF2973" s="4" t="s">
        <v>63</v>
      </c>
      <c r="AG2973" s="4" t="s">
        <v>63</v>
      </c>
      <c r="AH2973" s="4" t="s">
        <v>63</v>
      </c>
      <c r="AI2973" s="4" t="s">
        <v>24365</v>
      </c>
      <c r="AJ2973" s="4" t="s">
        <v>63</v>
      </c>
      <c r="AK2973" s="4" t="s">
        <v>63</v>
      </c>
      <c r="AL2973" s="4" t="s">
        <v>63</v>
      </c>
      <c r="AM2973" s="4" t="s">
        <v>24356</v>
      </c>
      <c r="AN2973" s="4" t="s">
        <v>63</v>
      </c>
      <c r="AO2973" s="4" t="s">
        <v>63</v>
      </c>
      <c r="AP2973" s="4" t="s">
        <v>63</v>
      </c>
      <c r="AQ2973" s="4" t="s">
        <v>63</v>
      </c>
      <c r="AR2973" s="4" t="s">
        <v>63</v>
      </c>
      <c r="AS2973" s="4" t="s">
        <v>63</v>
      </c>
      <c r="AT2973" s="4" t="s">
        <v>63</v>
      </c>
      <c r="AU2973" s="4" t="s">
        <v>63</v>
      </c>
      <c r="AV2973" s="4" t="s">
        <v>63</v>
      </c>
      <c r="AW2973" s="4" t="s">
        <v>63</v>
      </c>
      <c r="AX2973" s="4" t="s">
        <v>63</v>
      </c>
      <c r="AY2973" s="4" t="s">
        <v>63</v>
      </c>
      <c r="AZ2973" s="4" t="s">
        <v>63</v>
      </c>
      <c r="BA2973" s="4" t="s">
        <v>63</v>
      </c>
      <c r="BB2973" s="4" t="s">
        <v>63</v>
      </c>
      <c r="BC2973" s="4" t="s">
        <v>63</v>
      </c>
      <c r="BD2973" s="4" t="s">
        <v>63</v>
      </c>
      <c r="BE2973" s="4" t="s">
        <v>63</v>
      </c>
      <c r="BF2973" s="4" t="s">
        <v>63</v>
      </c>
    </row>
    <row r="2974" spans="1:58">
      <c r="A2974" s="4" t="s">
        <v>58</v>
      </c>
      <c r="B2974" s="4" t="s">
        <v>24366</v>
      </c>
      <c r="C2974" s="4" t="s">
        <v>24367</v>
      </c>
      <c r="D2974" s="4" t="s">
        <v>20150</v>
      </c>
      <c r="E2974" s="4" t="s">
        <v>20151</v>
      </c>
      <c r="F2974" s="4">
        <v>2011</v>
      </c>
      <c r="G2974" s="4" t="s">
        <v>219</v>
      </c>
      <c r="H2974" s="4">
        <v>30</v>
      </c>
      <c r="I2974" s="4" t="s">
        <v>63</v>
      </c>
      <c r="J2974" s="4">
        <v>55</v>
      </c>
      <c r="K2974" s="4">
        <v>56</v>
      </c>
      <c r="L2974" s="4" t="s">
        <v>63</v>
      </c>
      <c r="M2974" s="4" t="s">
        <v>63</v>
      </c>
      <c r="N2974" s="4" t="s">
        <v>24368</v>
      </c>
      <c r="O2974" s="4" t="s">
        <v>63</v>
      </c>
      <c r="P2974" s="4"/>
      <c r="Q2974" s="4" t="s">
        <v>63</v>
      </c>
      <c r="R2974" s="4" t="s">
        <v>63</v>
      </c>
      <c r="S2974" s="4" t="s">
        <v>63</v>
      </c>
      <c r="T2974" s="4" t="s">
        <v>63</v>
      </c>
      <c r="U2974" s="4"/>
      <c r="V2974" s="4"/>
      <c r="W2974" s="4"/>
      <c r="X2974" s="4" t="s">
        <v>63</v>
      </c>
      <c r="Y2974" s="4" t="s">
        <v>644</v>
      </c>
      <c r="Z2974" s="4" t="s">
        <v>63</v>
      </c>
      <c r="AA2974" s="4" t="s">
        <v>24369</v>
      </c>
      <c r="AB2974" s="4" t="s">
        <v>24370</v>
      </c>
      <c r="AC2974" s="4" t="s">
        <v>67</v>
      </c>
      <c r="AD2974" s="4" t="s">
        <v>63</v>
      </c>
      <c r="AE2974" s="4" t="s">
        <v>63</v>
      </c>
      <c r="AF2974" s="4" t="s">
        <v>63</v>
      </c>
      <c r="AG2974" s="4" t="s">
        <v>63</v>
      </c>
      <c r="AH2974" s="4" t="s">
        <v>63</v>
      </c>
      <c r="AI2974" s="4" t="s">
        <v>63</v>
      </c>
      <c r="AJ2974" s="4" t="s">
        <v>63</v>
      </c>
      <c r="AK2974" s="4" t="s">
        <v>63</v>
      </c>
      <c r="AL2974" s="4" t="s">
        <v>63</v>
      </c>
      <c r="AM2974" s="4" t="s">
        <v>24367</v>
      </c>
      <c r="AN2974" s="4" t="s">
        <v>63</v>
      </c>
      <c r="AO2974" s="4" t="s">
        <v>63</v>
      </c>
      <c r="AP2974" s="4" t="s">
        <v>63</v>
      </c>
      <c r="AQ2974" s="4" t="s">
        <v>63</v>
      </c>
      <c r="AR2974" s="4" t="s">
        <v>63</v>
      </c>
      <c r="AS2974" s="4" t="s">
        <v>63</v>
      </c>
      <c r="AT2974" s="4" t="s">
        <v>63</v>
      </c>
      <c r="AU2974" s="4" t="s">
        <v>63</v>
      </c>
      <c r="AV2974" s="4" t="s">
        <v>63</v>
      </c>
      <c r="AW2974" s="4" t="s">
        <v>63</v>
      </c>
      <c r="AX2974" s="4" t="s">
        <v>63</v>
      </c>
      <c r="AY2974" s="4" t="s">
        <v>63</v>
      </c>
      <c r="AZ2974" s="4" t="s">
        <v>63</v>
      </c>
      <c r="BA2974" s="4" t="s">
        <v>63</v>
      </c>
      <c r="BB2974" s="4" t="s">
        <v>63</v>
      </c>
      <c r="BC2974" s="4" t="s">
        <v>63</v>
      </c>
      <c r="BD2974" s="4" t="s">
        <v>63</v>
      </c>
      <c r="BE2974" s="4" t="s">
        <v>63</v>
      </c>
      <c r="BF2974" s="4" t="s">
        <v>63</v>
      </c>
    </row>
    <row r="2975" spans="1:58">
      <c r="A2975" s="4" t="s">
        <v>58</v>
      </c>
      <c r="B2975" s="4" t="s">
        <v>24371</v>
      </c>
      <c r="C2975" s="4" t="s">
        <v>24372</v>
      </c>
      <c r="D2975" s="4" t="s">
        <v>164</v>
      </c>
      <c r="E2975" s="4" t="s">
        <v>165</v>
      </c>
      <c r="F2975" s="4">
        <v>1986</v>
      </c>
      <c r="G2975" s="4" t="s">
        <v>326</v>
      </c>
      <c r="H2975" s="4">
        <v>143</v>
      </c>
      <c r="I2975" s="4">
        <v>2</v>
      </c>
      <c r="J2975" s="4">
        <v>187</v>
      </c>
      <c r="K2975" s="4">
        <v>191</v>
      </c>
      <c r="L2975" s="4" t="s">
        <v>63</v>
      </c>
      <c r="M2975" s="4" t="s">
        <v>63</v>
      </c>
      <c r="N2975" s="4" t="s">
        <v>24373</v>
      </c>
      <c r="O2975" s="4" t="s">
        <v>63</v>
      </c>
      <c r="P2975" s="4"/>
      <c r="Q2975" s="4" t="s">
        <v>63</v>
      </c>
      <c r="R2975" s="4" t="s">
        <v>63</v>
      </c>
      <c r="S2975" s="4" t="s">
        <v>63</v>
      </c>
      <c r="T2975" s="4" t="s">
        <v>63</v>
      </c>
      <c r="U2975" s="4"/>
      <c r="V2975" s="4"/>
      <c r="W2975" s="4"/>
      <c r="X2975" s="4" t="s">
        <v>63</v>
      </c>
      <c r="Y2975" s="4" t="s">
        <v>169</v>
      </c>
      <c r="Z2975" s="4" t="s">
        <v>63</v>
      </c>
      <c r="AA2975" s="4" t="s">
        <v>24374</v>
      </c>
      <c r="AB2975" s="4" t="s">
        <v>24375</v>
      </c>
      <c r="AC2975" s="4" t="s">
        <v>67</v>
      </c>
      <c r="AD2975" s="4" t="s">
        <v>63</v>
      </c>
      <c r="AE2975" s="4" t="s">
        <v>63</v>
      </c>
      <c r="AF2975" s="4" t="s">
        <v>63</v>
      </c>
      <c r="AG2975" s="4" t="s">
        <v>63</v>
      </c>
      <c r="AH2975" s="4" t="s">
        <v>63</v>
      </c>
      <c r="AI2975" s="4" t="s">
        <v>63</v>
      </c>
      <c r="AJ2975" s="4" t="s">
        <v>63</v>
      </c>
      <c r="AK2975" s="4" t="s">
        <v>63</v>
      </c>
      <c r="AL2975" s="4" t="s">
        <v>63</v>
      </c>
      <c r="AM2975" s="4" t="s">
        <v>24372</v>
      </c>
      <c r="AN2975" s="4" t="s">
        <v>63</v>
      </c>
      <c r="AO2975" s="4" t="s">
        <v>63</v>
      </c>
      <c r="AP2975" s="4" t="s">
        <v>63</v>
      </c>
      <c r="AQ2975" s="4" t="s">
        <v>63</v>
      </c>
      <c r="AR2975" s="4" t="s">
        <v>63</v>
      </c>
      <c r="AS2975" s="4" t="s">
        <v>63</v>
      </c>
      <c r="AT2975" s="4" t="s">
        <v>63</v>
      </c>
      <c r="AU2975" s="4" t="s">
        <v>63</v>
      </c>
      <c r="AV2975" s="4" t="s">
        <v>63</v>
      </c>
      <c r="AW2975" s="4" t="s">
        <v>63</v>
      </c>
      <c r="AX2975" s="4" t="s">
        <v>63</v>
      </c>
      <c r="AY2975" s="4" t="s">
        <v>63</v>
      </c>
      <c r="AZ2975" s="4" t="s">
        <v>63</v>
      </c>
      <c r="BA2975" s="4" t="s">
        <v>63</v>
      </c>
      <c r="BB2975" s="4" t="s">
        <v>63</v>
      </c>
      <c r="BC2975" s="4" t="s">
        <v>63</v>
      </c>
      <c r="BD2975" s="4" t="s">
        <v>63</v>
      </c>
      <c r="BE2975" s="4" t="s">
        <v>63</v>
      </c>
      <c r="BF2975" s="4" t="s">
        <v>63</v>
      </c>
    </row>
    <row r="2976" spans="1:58">
      <c r="A2976" s="4" t="s">
        <v>58</v>
      </c>
      <c r="B2976" s="4" t="s">
        <v>24376</v>
      </c>
      <c r="C2976" s="4" t="s">
        <v>24377</v>
      </c>
      <c r="D2976" s="4" t="s">
        <v>24378</v>
      </c>
      <c r="E2976" s="4" t="s">
        <v>63</v>
      </c>
      <c r="F2976" s="4">
        <v>2007</v>
      </c>
      <c r="G2976" s="4" t="s">
        <v>73</v>
      </c>
      <c r="H2976" s="4">
        <v>6</v>
      </c>
      <c r="I2976" s="4">
        <v>2</v>
      </c>
      <c r="J2976" s="4">
        <v>48</v>
      </c>
      <c r="K2976" s="4">
        <v>50</v>
      </c>
      <c r="L2976" s="4" t="s">
        <v>24379</v>
      </c>
      <c r="M2976" s="4" t="s">
        <v>24380</v>
      </c>
      <c r="N2976" s="4" t="s">
        <v>24381</v>
      </c>
      <c r="O2976" s="4" t="s">
        <v>63</v>
      </c>
      <c r="P2976" s="4"/>
      <c r="Q2976" s="4" t="s">
        <v>63</v>
      </c>
      <c r="R2976" s="4" t="s">
        <v>63</v>
      </c>
      <c r="S2976" s="4" t="s">
        <v>63</v>
      </c>
      <c r="T2976" s="4" t="s">
        <v>63</v>
      </c>
      <c r="U2976" s="4"/>
      <c r="V2976" s="4"/>
      <c r="W2976" s="4"/>
      <c r="X2976" s="4" t="s">
        <v>63</v>
      </c>
      <c r="Y2976" s="4" t="s">
        <v>24382</v>
      </c>
      <c r="Z2976" s="4" t="s">
        <v>63</v>
      </c>
      <c r="AA2976" s="4" t="s">
        <v>24383</v>
      </c>
      <c r="AB2976" s="4" t="s">
        <v>24384</v>
      </c>
      <c r="AC2976" s="4" t="s">
        <v>67</v>
      </c>
      <c r="AD2976" s="4" t="s">
        <v>63</v>
      </c>
      <c r="AE2976" s="4" t="s">
        <v>63</v>
      </c>
      <c r="AF2976" s="4" t="s">
        <v>63</v>
      </c>
      <c r="AG2976" s="4" t="s">
        <v>63</v>
      </c>
      <c r="AH2976" s="4" t="s">
        <v>63</v>
      </c>
      <c r="AI2976" s="4" t="s">
        <v>63</v>
      </c>
      <c r="AJ2976" s="4" t="s">
        <v>63</v>
      </c>
      <c r="AK2976" s="4" t="s">
        <v>63</v>
      </c>
      <c r="AL2976" s="4" t="s">
        <v>63</v>
      </c>
      <c r="AM2976" s="4" t="s">
        <v>24377</v>
      </c>
      <c r="AN2976" s="4" t="s">
        <v>63</v>
      </c>
      <c r="AO2976" s="4" t="s">
        <v>63</v>
      </c>
      <c r="AP2976" s="4" t="s">
        <v>63</v>
      </c>
      <c r="AQ2976" s="4" t="s">
        <v>63</v>
      </c>
      <c r="AR2976" s="4" t="s">
        <v>63</v>
      </c>
      <c r="AS2976" s="4" t="s">
        <v>63</v>
      </c>
      <c r="AT2976" s="4" t="s">
        <v>63</v>
      </c>
      <c r="AU2976" s="4" t="s">
        <v>63</v>
      </c>
      <c r="AV2976" s="4" t="s">
        <v>63</v>
      </c>
      <c r="AW2976" s="4" t="s">
        <v>63</v>
      </c>
      <c r="AX2976" s="4" t="s">
        <v>63</v>
      </c>
      <c r="AY2976" s="4" t="s">
        <v>63</v>
      </c>
      <c r="AZ2976" s="4" t="s">
        <v>63</v>
      </c>
      <c r="BA2976" s="4" t="s">
        <v>63</v>
      </c>
      <c r="BB2976" s="4" t="s">
        <v>63</v>
      </c>
      <c r="BC2976" s="4" t="s">
        <v>63</v>
      </c>
      <c r="BD2976" s="4" t="s">
        <v>63</v>
      </c>
      <c r="BE2976" s="4" t="s">
        <v>63</v>
      </c>
      <c r="BF2976" s="4" t="s">
        <v>63</v>
      </c>
    </row>
    <row r="2977" spans="1:58">
      <c r="A2977" s="4" t="s">
        <v>58</v>
      </c>
      <c r="B2977" s="4" t="s">
        <v>24385</v>
      </c>
      <c r="C2977" s="4" t="s">
        <v>24386</v>
      </c>
      <c r="D2977" s="4" t="s">
        <v>24387</v>
      </c>
      <c r="E2977" s="4" t="s">
        <v>63</v>
      </c>
      <c r="F2977" s="4">
        <v>2008</v>
      </c>
      <c r="G2977" s="4" t="s">
        <v>63</v>
      </c>
      <c r="H2977" s="4">
        <v>109</v>
      </c>
      <c r="I2977" s="4">
        <v>12</v>
      </c>
      <c r="J2977" s="4">
        <v>568</v>
      </c>
      <c r="K2977" s="4">
        <v>572</v>
      </c>
      <c r="L2977" s="4" t="s">
        <v>24388</v>
      </c>
      <c r="M2977" s="4" t="s">
        <v>24389</v>
      </c>
      <c r="N2977" s="4" t="s">
        <v>24390</v>
      </c>
      <c r="O2977" s="4" t="s">
        <v>63</v>
      </c>
      <c r="P2977" s="4"/>
      <c r="Q2977" s="4" t="s">
        <v>63</v>
      </c>
      <c r="R2977" s="4" t="s">
        <v>63</v>
      </c>
      <c r="S2977" s="4" t="s">
        <v>63</v>
      </c>
      <c r="T2977" s="4" t="s">
        <v>63</v>
      </c>
      <c r="U2977" s="4"/>
      <c r="V2977" s="4"/>
      <c r="W2977" s="4"/>
      <c r="X2977" s="4" t="s">
        <v>63</v>
      </c>
      <c r="Y2977" s="5">
        <v>16223</v>
      </c>
      <c r="Z2977" s="4" t="s">
        <v>63</v>
      </c>
      <c r="AA2977" s="4" t="s">
        <v>24391</v>
      </c>
      <c r="AB2977" s="4" t="s">
        <v>24392</v>
      </c>
      <c r="AC2977" s="4" t="s">
        <v>67</v>
      </c>
      <c r="AD2977" s="4" t="s">
        <v>63</v>
      </c>
      <c r="AE2977" s="4" t="s">
        <v>63</v>
      </c>
      <c r="AF2977" s="4" t="s">
        <v>63</v>
      </c>
      <c r="AG2977" s="4" t="s">
        <v>63</v>
      </c>
      <c r="AH2977" s="4" t="s">
        <v>63</v>
      </c>
      <c r="AI2977" s="4" t="s">
        <v>63</v>
      </c>
      <c r="AJ2977" s="4" t="s">
        <v>63</v>
      </c>
      <c r="AK2977" s="4" t="s">
        <v>63</v>
      </c>
      <c r="AL2977" s="4" t="s">
        <v>63</v>
      </c>
      <c r="AM2977" s="4" t="s">
        <v>24386</v>
      </c>
      <c r="AN2977" s="4" t="s">
        <v>63</v>
      </c>
      <c r="AO2977" s="4" t="s">
        <v>63</v>
      </c>
      <c r="AP2977" s="4" t="s">
        <v>63</v>
      </c>
      <c r="AQ2977" s="4" t="s">
        <v>63</v>
      </c>
      <c r="AR2977" s="4" t="s">
        <v>63</v>
      </c>
      <c r="AS2977" s="4" t="s">
        <v>63</v>
      </c>
      <c r="AT2977" s="4" t="s">
        <v>63</v>
      </c>
      <c r="AU2977" s="4" t="s">
        <v>63</v>
      </c>
      <c r="AV2977" s="4" t="s">
        <v>63</v>
      </c>
      <c r="AW2977" s="4" t="s">
        <v>63</v>
      </c>
      <c r="AX2977" s="4" t="s">
        <v>63</v>
      </c>
      <c r="AY2977" s="4" t="s">
        <v>63</v>
      </c>
      <c r="AZ2977" s="4" t="s">
        <v>63</v>
      </c>
      <c r="BA2977" s="4" t="s">
        <v>63</v>
      </c>
      <c r="BB2977" s="4" t="s">
        <v>63</v>
      </c>
      <c r="BC2977" s="4" t="s">
        <v>63</v>
      </c>
      <c r="BD2977" s="4" t="s">
        <v>63</v>
      </c>
      <c r="BE2977" s="4" t="s">
        <v>63</v>
      </c>
      <c r="BF2977" s="4" t="s">
        <v>63</v>
      </c>
    </row>
    <row r="2978" spans="1:58">
      <c r="A2978" s="4" t="s">
        <v>58</v>
      </c>
      <c r="B2978" s="4" t="s">
        <v>24393</v>
      </c>
      <c r="C2978" s="4" t="s">
        <v>24394</v>
      </c>
      <c r="D2978" s="4" t="s">
        <v>4047</v>
      </c>
      <c r="E2978" s="4" t="s">
        <v>63</v>
      </c>
      <c r="F2978" s="4">
        <v>2014</v>
      </c>
      <c r="G2978" s="4" t="s">
        <v>138</v>
      </c>
      <c r="H2978" s="4">
        <v>43</v>
      </c>
      <c r="I2978" s="4">
        <v>10</v>
      </c>
      <c r="J2978" s="4">
        <v>1451</v>
      </c>
      <c r="K2978" s="4">
        <v>1453</v>
      </c>
      <c r="L2978" s="4" t="s">
        <v>24395</v>
      </c>
      <c r="M2978" s="4" t="s">
        <v>63</v>
      </c>
      <c r="N2978" s="4" t="s">
        <v>24396</v>
      </c>
      <c r="O2978" s="4" t="s">
        <v>63</v>
      </c>
      <c r="P2978" s="4"/>
      <c r="Q2978" s="4" t="s">
        <v>63</v>
      </c>
      <c r="R2978" s="4" t="s">
        <v>63</v>
      </c>
      <c r="S2978" s="4" t="s">
        <v>63</v>
      </c>
      <c r="T2978" s="4" t="s">
        <v>63</v>
      </c>
      <c r="U2978" s="4"/>
      <c r="V2978" s="4"/>
      <c r="W2978" s="4"/>
      <c r="X2978" s="4" t="s">
        <v>63</v>
      </c>
      <c r="Y2978" s="4" t="s">
        <v>4050</v>
      </c>
      <c r="Z2978" s="4" t="s">
        <v>63</v>
      </c>
      <c r="AA2978" s="4" t="s">
        <v>24397</v>
      </c>
      <c r="AB2978" s="4" t="s">
        <v>24398</v>
      </c>
      <c r="AC2978" s="4" t="s">
        <v>67</v>
      </c>
      <c r="AD2978" s="4" t="s">
        <v>63</v>
      </c>
      <c r="AE2978" s="4" t="s">
        <v>63</v>
      </c>
      <c r="AF2978" s="4" t="s">
        <v>63</v>
      </c>
      <c r="AG2978" s="4" t="s">
        <v>63</v>
      </c>
      <c r="AH2978" s="4" t="s">
        <v>63</v>
      </c>
      <c r="AI2978" s="4" t="s">
        <v>63</v>
      </c>
      <c r="AJ2978" s="4" t="s">
        <v>63</v>
      </c>
      <c r="AK2978" s="4" t="s">
        <v>63</v>
      </c>
      <c r="AL2978" s="4" t="s">
        <v>63</v>
      </c>
      <c r="AM2978" s="4" t="s">
        <v>24394</v>
      </c>
      <c r="AN2978" s="4" t="s">
        <v>63</v>
      </c>
      <c r="AO2978" s="4" t="s">
        <v>63</v>
      </c>
      <c r="AP2978" s="4" t="s">
        <v>63</v>
      </c>
      <c r="AQ2978" s="4" t="s">
        <v>63</v>
      </c>
      <c r="AR2978" s="4" t="s">
        <v>63</v>
      </c>
      <c r="AS2978" s="4" t="s">
        <v>63</v>
      </c>
      <c r="AT2978" s="4" t="s">
        <v>63</v>
      </c>
      <c r="AU2978" s="4" t="s">
        <v>63</v>
      </c>
      <c r="AV2978" s="4" t="s">
        <v>63</v>
      </c>
      <c r="AW2978" s="4" t="s">
        <v>63</v>
      </c>
      <c r="AX2978" s="4" t="s">
        <v>63</v>
      </c>
      <c r="AY2978" s="4" t="s">
        <v>63</v>
      </c>
      <c r="AZ2978" s="4" t="s">
        <v>63</v>
      </c>
      <c r="BA2978" s="4" t="s">
        <v>63</v>
      </c>
      <c r="BB2978" s="4" t="s">
        <v>63</v>
      </c>
      <c r="BC2978" s="4" t="s">
        <v>63</v>
      </c>
      <c r="BD2978" s="4" t="s">
        <v>63</v>
      </c>
      <c r="BE2978" s="4" t="s">
        <v>63</v>
      </c>
      <c r="BF2978" s="4" t="s">
        <v>63</v>
      </c>
    </row>
    <row r="2979" spans="1:58">
      <c r="A2979" s="4" t="s">
        <v>58</v>
      </c>
      <c r="B2979" s="4" t="s">
        <v>24399</v>
      </c>
      <c r="C2979" s="4" t="s">
        <v>24400</v>
      </c>
      <c r="D2979" s="4" t="s">
        <v>24401</v>
      </c>
      <c r="E2979" s="4" t="s">
        <v>24402</v>
      </c>
      <c r="F2979" s="4">
        <v>2017</v>
      </c>
      <c r="G2979" s="4" t="s">
        <v>84</v>
      </c>
      <c r="H2979" s="4">
        <v>32</v>
      </c>
      <c r="I2979" s="4">
        <v>2</v>
      </c>
      <c r="J2979" s="4">
        <v>148</v>
      </c>
      <c r="K2979" s="4">
        <v>155</v>
      </c>
      <c r="L2979" s="4" t="s">
        <v>24403</v>
      </c>
      <c r="M2979" s="4" t="s">
        <v>24404</v>
      </c>
      <c r="N2979" s="4" t="s">
        <v>24405</v>
      </c>
      <c r="O2979" s="4" t="s">
        <v>63</v>
      </c>
      <c r="P2979" s="4"/>
      <c r="Q2979" s="4" t="s">
        <v>63</v>
      </c>
      <c r="R2979" s="4" t="s">
        <v>63</v>
      </c>
      <c r="S2979" s="4" t="s">
        <v>63</v>
      </c>
      <c r="T2979" s="4" t="s">
        <v>63</v>
      </c>
      <c r="U2979" s="4"/>
      <c r="V2979" s="4"/>
      <c r="W2979" s="4"/>
      <c r="X2979" s="4" t="s">
        <v>63</v>
      </c>
      <c r="Y2979" s="4" t="s">
        <v>24406</v>
      </c>
      <c r="Z2979" s="4" t="s">
        <v>63</v>
      </c>
      <c r="AA2979" s="4" t="s">
        <v>24407</v>
      </c>
      <c r="AB2979" s="4" t="s">
        <v>24408</v>
      </c>
      <c r="AC2979" s="4" t="s">
        <v>67</v>
      </c>
      <c r="AD2979" s="4" t="s">
        <v>63</v>
      </c>
      <c r="AE2979" s="4" t="s">
        <v>63</v>
      </c>
      <c r="AF2979" s="4" t="s">
        <v>63</v>
      </c>
      <c r="AG2979" s="4" t="s">
        <v>63</v>
      </c>
      <c r="AH2979" s="4" t="s">
        <v>63</v>
      </c>
      <c r="AI2979" s="4" t="s">
        <v>24409</v>
      </c>
      <c r="AJ2979" s="4" t="s">
        <v>63</v>
      </c>
      <c r="AK2979" s="4" t="s">
        <v>63</v>
      </c>
      <c r="AL2979" s="4" t="s">
        <v>63</v>
      </c>
      <c r="AM2979" s="4" t="s">
        <v>24400</v>
      </c>
      <c r="AN2979" s="4" t="s">
        <v>63</v>
      </c>
      <c r="AO2979" s="4" t="s">
        <v>63</v>
      </c>
      <c r="AP2979" s="4" t="s">
        <v>63</v>
      </c>
      <c r="AQ2979" s="4" t="s">
        <v>63</v>
      </c>
      <c r="AR2979" s="4" t="s">
        <v>63</v>
      </c>
      <c r="AS2979" s="4" t="s">
        <v>63</v>
      </c>
      <c r="AT2979" s="4" t="s">
        <v>63</v>
      </c>
      <c r="AU2979" s="4" t="s">
        <v>63</v>
      </c>
      <c r="AV2979" s="4" t="s">
        <v>63</v>
      </c>
      <c r="AW2979" s="4" t="s">
        <v>63</v>
      </c>
      <c r="AX2979" s="4" t="s">
        <v>63</v>
      </c>
      <c r="AY2979" s="4" t="s">
        <v>63</v>
      </c>
      <c r="AZ2979" s="4" t="s">
        <v>63</v>
      </c>
      <c r="BA2979" s="4" t="s">
        <v>63</v>
      </c>
      <c r="BB2979" s="4" t="s">
        <v>63</v>
      </c>
      <c r="BC2979" s="4" t="s">
        <v>63</v>
      </c>
      <c r="BD2979" s="4" t="s">
        <v>63</v>
      </c>
      <c r="BE2979" s="4" t="s">
        <v>63</v>
      </c>
      <c r="BF2979" s="4" t="s">
        <v>63</v>
      </c>
    </row>
    <row r="2980" spans="1:58">
      <c r="A2980" s="4" t="s">
        <v>58</v>
      </c>
      <c r="B2980" s="4" t="s">
        <v>24410</v>
      </c>
      <c r="C2980" s="4" t="s">
        <v>24411</v>
      </c>
      <c r="D2980" s="4" t="s">
        <v>16152</v>
      </c>
      <c r="E2980" s="4" t="s">
        <v>63</v>
      </c>
      <c r="F2980" s="4">
        <v>2011</v>
      </c>
      <c r="G2980" s="4" t="s">
        <v>73</v>
      </c>
      <c r="H2980" s="4">
        <v>13</v>
      </c>
      <c r="I2980" s="4">
        <v>2</v>
      </c>
      <c r="J2980" s="4">
        <v>5</v>
      </c>
      <c r="K2980" s="4">
        <v>40</v>
      </c>
      <c r="L2980" s="4" t="s">
        <v>24412</v>
      </c>
      <c r="M2980" s="4" t="s">
        <v>24413</v>
      </c>
      <c r="N2980" s="4" t="s">
        <v>24414</v>
      </c>
      <c r="O2980" s="4" t="s">
        <v>63</v>
      </c>
      <c r="P2980" s="4"/>
      <c r="Q2980" s="4" t="s">
        <v>63</v>
      </c>
      <c r="R2980" s="4" t="s">
        <v>63</v>
      </c>
      <c r="S2980" s="4" t="s">
        <v>63</v>
      </c>
      <c r="T2980" s="4" t="s">
        <v>63</v>
      </c>
      <c r="U2980" s="4"/>
      <c r="V2980" s="4"/>
      <c r="W2980" s="4"/>
      <c r="X2980" s="4" t="s">
        <v>63</v>
      </c>
      <c r="Y2980" s="4" t="s">
        <v>16156</v>
      </c>
      <c r="Z2980" s="4" t="s">
        <v>63</v>
      </c>
      <c r="AA2980" s="4" t="s">
        <v>24415</v>
      </c>
      <c r="AB2980" s="4" t="s">
        <v>24416</v>
      </c>
      <c r="AC2980" s="4" t="s">
        <v>67</v>
      </c>
      <c r="AD2980" s="4" t="s">
        <v>63</v>
      </c>
      <c r="AE2980" s="4" t="s">
        <v>63</v>
      </c>
      <c r="AF2980" s="4" t="s">
        <v>63</v>
      </c>
      <c r="AG2980" s="4" t="s">
        <v>63</v>
      </c>
      <c r="AH2980" s="4" t="s">
        <v>63</v>
      </c>
      <c r="AI2980" s="4" t="s">
        <v>63</v>
      </c>
      <c r="AJ2980" s="4" t="s">
        <v>63</v>
      </c>
      <c r="AK2980" s="4" t="s">
        <v>63</v>
      </c>
      <c r="AL2980" s="4" t="s">
        <v>63</v>
      </c>
      <c r="AM2980" s="4" t="s">
        <v>24411</v>
      </c>
      <c r="AN2980" s="4" t="s">
        <v>63</v>
      </c>
      <c r="AO2980" s="4" t="s">
        <v>63</v>
      </c>
      <c r="AP2980" s="4" t="s">
        <v>63</v>
      </c>
      <c r="AQ2980" s="4" t="s">
        <v>63</v>
      </c>
      <c r="AR2980" s="4" t="s">
        <v>63</v>
      </c>
      <c r="AS2980" s="4" t="s">
        <v>63</v>
      </c>
      <c r="AT2980" s="4" t="s">
        <v>63</v>
      </c>
      <c r="AU2980" s="4" t="s">
        <v>63</v>
      </c>
      <c r="AV2980" s="4" t="s">
        <v>63</v>
      </c>
      <c r="AW2980" s="4" t="s">
        <v>63</v>
      </c>
      <c r="AX2980" s="4" t="s">
        <v>63</v>
      </c>
      <c r="AY2980" s="4" t="s">
        <v>63</v>
      </c>
      <c r="AZ2980" s="4" t="s">
        <v>63</v>
      </c>
      <c r="BA2980" s="4" t="s">
        <v>63</v>
      </c>
      <c r="BB2980" s="4" t="s">
        <v>63</v>
      </c>
      <c r="BC2980" s="4" t="s">
        <v>63</v>
      </c>
      <c r="BD2980" s="4" t="s">
        <v>63</v>
      </c>
      <c r="BE2980" s="4" t="s">
        <v>63</v>
      </c>
      <c r="BF2980" s="4" t="s">
        <v>63</v>
      </c>
    </row>
    <row r="2981" spans="1:58">
      <c r="A2981" s="4" t="s">
        <v>58</v>
      </c>
      <c r="B2981" s="4" t="s">
        <v>24417</v>
      </c>
      <c r="C2981" s="4" t="s">
        <v>24418</v>
      </c>
      <c r="D2981" s="4" t="s">
        <v>15589</v>
      </c>
      <c r="E2981" s="4" t="s">
        <v>63</v>
      </c>
      <c r="F2981" s="4">
        <v>2014</v>
      </c>
      <c r="G2981" s="4" t="s">
        <v>63</v>
      </c>
      <c r="H2981" s="4">
        <v>29</v>
      </c>
      <c r="I2981" s="4" t="s">
        <v>63</v>
      </c>
      <c r="J2981" s="4" t="s">
        <v>63</v>
      </c>
      <c r="K2981" s="4" t="s">
        <v>63</v>
      </c>
      <c r="L2981" s="4" t="s">
        <v>63</v>
      </c>
      <c r="M2981" s="4" t="s">
        <v>63</v>
      </c>
      <c r="N2981" s="4" t="s">
        <v>24419</v>
      </c>
      <c r="O2981" s="4" t="s">
        <v>63</v>
      </c>
      <c r="P2981" s="4"/>
      <c r="Q2981" s="4" t="s">
        <v>63</v>
      </c>
      <c r="R2981" s="4" t="s">
        <v>63</v>
      </c>
      <c r="S2981" s="4" t="s">
        <v>63</v>
      </c>
      <c r="T2981" s="4" t="s">
        <v>63</v>
      </c>
      <c r="U2981" s="4"/>
      <c r="V2981" s="4"/>
      <c r="W2981" s="4"/>
      <c r="X2981" s="4" t="s">
        <v>63</v>
      </c>
      <c r="Y2981" s="4" t="s">
        <v>3365</v>
      </c>
      <c r="Z2981" s="4" t="s">
        <v>63</v>
      </c>
      <c r="AA2981" s="4" t="s">
        <v>24420</v>
      </c>
      <c r="AB2981" s="4" t="s">
        <v>24421</v>
      </c>
      <c r="AC2981" s="4" t="s">
        <v>67</v>
      </c>
      <c r="AD2981" s="4" t="s">
        <v>63</v>
      </c>
      <c r="AE2981" s="4" t="s">
        <v>63</v>
      </c>
      <c r="AF2981" s="4" t="s">
        <v>63</v>
      </c>
      <c r="AG2981" s="4" t="s">
        <v>63</v>
      </c>
      <c r="AH2981" s="4" t="s">
        <v>63</v>
      </c>
      <c r="AI2981" s="4" t="s">
        <v>63</v>
      </c>
      <c r="AJ2981" s="4" t="s">
        <v>63</v>
      </c>
      <c r="AK2981" s="4" t="s">
        <v>63</v>
      </c>
      <c r="AL2981" s="4" t="s">
        <v>63</v>
      </c>
      <c r="AM2981" s="4" t="s">
        <v>24418</v>
      </c>
      <c r="AN2981" s="4" t="s">
        <v>63</v>
      </c>
      <c r="AO2981" s="4" t="s">
        <v>63</v>
      </c>
      <c r="AP2981" s="4" t="s">
        <v>63</v>
      </c>
      <c r="AQ2981" s="4" t="s">
        <v>63</v>
      </c>
      <c r="AR2981" s="4" t="s">
        <v>63</v>
      </c>
      <c r="AS2981" s="4" t="s">
        <v>63</v>
      </c>
      <c r="AT2981" s="4" t="s">
        <v>63</v>
      </c>
      <c r="AU2981" s="4" t="s">
        <v>63</v>
      </c>
      <c r="AV2981" s="4" t="s">
        <v>63</v>
      </c>
      <c r="AW2981" s="4" t="s">
        <v>63</v>
      </c>
      <c r="AX2981" s="4" t="s">
        <v>63</v>
      </c>
      <c r="AY2981" s="4" t="s">
        <v>63</v>
      </c>
      <c r="AZ2981" s="4" t="s">
        <v>63</v>
      </c>
      <c r="BA2981" s="4" t="s">
        <v>63</v>
      </c>
      <c r="BB2981" s="4" t="s">
        <v>63</v>
      </c>
      <c r="BC2981" s="4" t="s">
        <v>63</v>
      </c>
      <c r="BD2981" s="4" t="s">
        <v>63</v>
      </c>
      <c r="BE2981" s="4" t="s">
        <v>63</v>
      </c>
      <c r="BF2981" s="4" t="s">
        <v>63</v>
      </c>
    </row>
    <row r="2982" spans="1:58">
      <c r="A2982" s="4" t="s">
        <v>58</v>
      </c>
      <c r="B2982" s="4" t="s">
        <v>24422</v>
      </c>
      <c r="C2982" s="4" t="s">
        <v>24423</v>
      </c>
      <c r="D2982" s="4" t="s">
        <v>5037</v>
      </c>
      <c r="E2982" s="4" t="s">
        <v>5038</v>
      </c>
      <c r="F2982" s="4">
        <v>1991</v>
      </c>
      <c r="G2982" s="4" t="s">
        <v>326</v>
      </c>
      <c r="H2982" s="4">
        <v>81</v>
      </c>
      <c r="I2982" s="4">
        <v>2</v>
      </c>
      <c r="J2982" s="4">
        <v>177</v>
      </c>
      <c r="K2982" s="4">
        <v>182</v>
      </c>
      <c r="L2982" s="4" t="s">
        <v>24424</v>
      </c>
      <c r="M2982" s="4" t="s">
        <v>24425</v>
      </c>
      <c r="N2982" s="4" t="s">
        <v>24426</v>
      </c>
      <c r="O2982" s="4" t="s">
        <v>63</v>
      </c>
      <c r="P2982" s="4"/>
      <c r="Q2982" s="4" t="s">
        <v>63</v>
      </c>
      <c r="R2982" s="4" t="s">
        <v>63</v>
      </c>
      <c r="S2982" s="4" t="s">
        <v>63</v>
      </c>
      <c r="T2982" s="4" t="s">
        <v>63</v>
      </c>
      <c r="U2982" s="4"/>
      <c r="V2982" s="4"/>
      <c r="W2982" s="4"/>
      <c r="X2982" s="4" t="s">
        <v>63</v>
      </c>
      <c r="Y2982" s="4" t="s">
        <v>5042</v>
      </c>
      <c r="Z2982" s="4" t="s">
        <v>63</v>
      </c>
      <c r="AA2982" s="4" t="s">
        <v>24427</v>
      </c>
      <c r="AB2982" s="4" t="s">
        <v>24428</v>
      </c>
      <c r="AC2982" s="4" t="s">
        <v>67</v>
      </c>
      <c r="AD2982" s="4" t="s">
        <v>63</v>
      </c>
      <c r="AE2982" s="4" t="s">
        <v>63</v>
      </c>
      <c r="AF2982" s="4" t="s">
        <v>63</v>
      </c>
      <c r="AG2982" s="4" t="s">
        <v>63</v>
      </c>
      <c r="AH2982" s="4" t="s">
        <v>63</v>
      </c>
      <c r="AI2982" s="4" t="s">
        <v>24429</v>
      </c>
      <c r="AJ2982" s="4" t="s">
        <v>63</v>
      </c>
      <c r="AK2982" s="4" t="s">
        <v>63</v>
      </c>
      <c r="AL2982" s="4" t="s">
        <v>63</v>
      </c>
      <c r="AM2982" s="4" t="s">
        <v>24423</v>
      </c>
      <c r="AN2982" s="4" t="s">
        <v>63</v>
      </c>
      <c r="AO2982" s="4" t="s">
        <v>63</v>
      </c>
      <c r="AP2982" s="4" t="s">
        <v>63</v>
      </c>
      <c r="AQ2982" s="4" t="s">
        <v>63</v>
      </c>
      <c r="AR2982" s="4" t="s">
        <v>63</v>
      </c>
      <c r="AS2982" s="4" t="s">
        <v>63</v>
      </c>
      <c r="AT2982" s="4" t="s">
        <v>63</v>
      </c>
      <c r="AU2982" s="4" t="s">
        <v>63</v>
      </c>
      <c r="AV2982" s="4" t="s">
        <v>63</v>
      </c>
      <c r="AW2982" s="4" t="s">
        <v>63</v>
      </c>
      <c r="AX2982" s="4" t="s">
        <v>63</v>
      </c>
      <c r="AY2982" s="4" t="s">
        <v>63</v>
      </c>
      <c r="AZ2982" s="4" t="s">
        <v>63</v>
      </c>
      <c r="BA2982" s="4" t="s">
        <v>63</v>
      </c>
      <c r="BB2982" s="4" t="s">
        <v>63</v>
      </c>
      <c r="BC2982" s="4" t="s">
        <v>63</v>
      </c>
      <c r="BD2982" s="4" t="s">
        <v>63</v>
      </c>
      <c r="BE2982" s="4" t="s">
        <v>63</v>
      </c>
      <c r="BF2982" s="4" t="s">
        <v>63</v>
      </c>
    </row>
    <row r="2983" spans="1:58">
      <c r="A2983" s="4" t="s">
        <v>58</v>
      </c>
      <c r="B2983" s="4" t="s">
        <v>24430</v>
      </c>
      <c r="C2983" s="4" t="s">
        <v>9165</v>
      </c>
      <c r="D2983" s="4" t="s">
        <v>155</v>
      </c>
      <c r="E2983" s="4" t="s">
        <v>156</v>
      </c>
      <c r="F2983" s="4">
        <v>2006</v>
      </c>
      <c r="G2983" s="4" t="s">
        <v>138</v>
      </c>
      <c r="H2983" s="4">
        <v>48</v>
      </c>
      <c r="I2983" s="4">
        <v>4</v>
      </c>
      <c r="J2983" s="4" t="s">
        <v>19250</v>
      </c>
      <c r="K2983" s="4" t="s">
        <v>19250</v>
      </c>
      <c r="L2983" s="4" t="s">
        <v>63</v>
      </c>
      <c r="M2983" s="4" t="s">
        <v>63</v>
      </c>
      <c r="N2983" s="4" t="s">
        <v>24431</v>
      </c>
      <c r="O2983" s="4" t="s">
        <v>63</v>
      </c>
      <c r="P2983" s="4"/>
      <c r="Q2983" s="4" t="s">
        <v>63</v>
      </c>
      <c r="R2983" s="4" t="s">
        <v>63</v>
      </c>
      <c r="S2983" s="4" t="s">
        <v>63</v>
      </c>
      <c r="T2983" s="4" t="s">
        <v>63</v>
      </c>
      <c r="U2983" s="4"/>
      <c r="V2983" s="4"/>
      <c r="W2983" s="4"/>
      <c r="X2983" s="4" t="s">
        <v>63</v>
      </c>
      <c r="Y2983" s="4" t="s">
        <v>160</v>
      </c>
      <c r="Z2983" s="4" t="s">
        <v>63</v>
      </c>
      <c r="AA2983" s="4" t="s">
        <v>24432</v>
      </c>
      <c r="AB2983" s="4" t="s">
        <v>24433</v>
      </c>
      <c r="AC2983" s="4" t="s">
        <v>67</v>
      </c>
      <c r="AD2983" s="4" t="s">
        <v>63</v>
      </c>
      <c r="AE2983" s="4" t="s">
        <v>63</v>
      </c>
      <c r="AF2983" s="4" t="s">
        <v>63</v>
      </c>
      <c r="AG2983" s="4" t="s">
        <v>63</v>
      </c>
      <c r="AH2983" s="4" t="s">
        <v>63</v>
      </c>
      <c r="AI2983" s="4" t="s">
        <v>63</v>
      </c>
      <c r="AJ2983" s="4" t="s">
        <v>63</v>
      </c>
      <c r="AK2983" s="4" t="s">
        <v>63</v>
      </c>
      <c r="AL2983" s="4" t="s">
        <v>63</v>
      </c>
      <c r="AM2983" s="4" t="s">
        <v>9165</v>
      </c>
      <c r="AN2983" s="4" t="s">
        <v>63</v>
      </c>
      <c r="AO2983" s="4" t="s">
        <v>63</v>
      </c>
      <c r="AP2983" s="4" t="s">
        <v>63</v>
      </c>
      <c r="AQ2983" s="4" t="s">
        <v>63</v>
      </c>
      <c r="AR2983" s="4" t="s">
        <v>63</v>
      </c>
      <c r="AS2983" s="4" t="s">
        <v>63</v>
      </c>
      <c r="AT2983" s="4" t="s">
        <v>63</v>
      </c>
      <c r="AU2983" s="4" t="s">
        <v>63</v>
      </c>
      <c r="AV2983" s="4" t="s">
        <v>63</v>
      </c>
      <c r="AW2983" s="4" t="s">
        <v>63</v>
      </c>
      <c r="AX2983" s="4" t="s">
        <v>63</v>
      </c>
      <c r="AY2983" s="4" t="s">
        <v>63</v>
      </c>
      <c r="AZ2983" s="4" t="s">
        <v>63</v>
      </c>
      <c r="BA2983" s="4" t="s">
        <v>63</v>
      </c>
      <c r="BB2983" s="4" t="s">
        <v>63</v>
      </c>
      <c r="BC2983" s="4" t="s">
        <v>63</v>
      </c>
      <c r="BD2983" s="4" t="s">
        <v>63</v>
      </c>
      <c r="BE2983" s="4" t="s">
        <v>63</v>
      </c>
      <c r="BF2983" s="4" t="s">
        <v>63</v>
      </c>
    </row>
    <row r="2984" spans="1:58">
      <c r="A2984" s="4" t="s">
        <v>58</v>
      </c>
      <c r="B2984" s="4" t="s">
        <v>24434</v>
      </c>
      <c r="C2984" s="4" t="s">
        <v>24435</v>
      </c>
      <c r="D2984" s="4" t="s">
        <v>7433</v>
      </c>
      <c r="E2984" s="4" t="s">
        <v>7434</v>
      </c>
      <c r="F2984" s="4">
        <v>2008</v>
      </c>
      <c r="G2984" s="4" t="s">
        <v>274</v>
      </c>
      <c r="H2984" s="4">
        <v>162</v>
      </c>
      <c r="I2984" s="4">
        <v>3</v>
      </c>
      <c r="J2984" s="4">
        <v>225</v>
      </c>
      <c r="K2984" s="4">
        <v>231</v>
      </c>
      <c r="L2984" s="4" t="s">
        <v>24436</v>
      </c>
      <c r="M2984" s="4" t="s">
        <v>24437</v>
      </c>
      <c r="N2984" s="4" t="s">
        <v>24438</v>
      </c>
      <c r="O2984" s="4" t="s">
        <v>63</v>
      </c>
      <c r="P2984" s="4"/>
      <c r="Q2984" s="4" t="s">
        <v>63</v>
      </c>
      <c r="R2984" s="4" t="s">
        <v>63</v>
      </c>
      <c r="S2984" s="4" t="s">
        <v>63</v>
      </c>
      <c r="T2984" s="4" t="s">
        <v>63</v>
      </c>
      <c r="U2984" s="4"/>
      <c r="V2984" s="4"/>
      <c r="W2984" s="4"/>
      <c r="X2984" s="4" t="s">
        <v>63</v>
      </c>
      <c r="Y2984" s="4" t="s">
        <v>7437</v>
      </c>
      <c r="Z2984" s="4" t="s">
        <v>63</v>
      </c>
      <c r="AA2984" s="4" t="s">
        <v>24439</v>
      </c>
      <c r="AB2984" s="4" t="s">
        <v>24440</v>
      </c>
      <c r="AC2984" s="4" t="s">
        <v>67</v>
      </c>
      <c r="AD2984" s="4" t="s">
        <v>63</v>
      </c>
      <c r="AE2984" s="4" t="s">
        <v>63</v>
      </c>
      <c r="AF2984" s="4" t="s">
        <v>63</v>
      </c>
      <c r="AG2984" s="4" t="s">
        <v>63</v>
      </c>
      <c r="AH2984" s="4" t="s">
        <v>63</v>
      </c>
      <c r="AI2984" s="4" t="s">
        <v>24441</v>
      </c>
      <c r="AJ2984" s="4" t="s">
        <v>63</v>
      </c>
      <c r="AK2984" s="4" t="s">
        <v>63</v>
      </c>
      <c r="AL2984" s="4" t="s">
        <v>63</v>
      </c>
      <c r="AM2984" s="4" t="s">
        <v>24435</v>
      </c>
      <c r="AN2984" s="4" t="s">
        <v>63</v>
      </c>
      <c r="AO2984" s="4" t="s">
        <v>63</v>
      </c>
      <c r="AP2984" s="4" t="s">
        <v>63</v>
      </c>
      <c r="AQ2984" s="4" t="s">
        <v>63</v>
      </c>
      <c r="AR2984" s="4" t="s">
        <v>63</v>
      </c>
      <c r="AS2984" s="4" t="s">
        <v>63</v>
      </c>
      <c r="AT2984" s="4" t="s">
        <v>63</v>
      </c>
      <c r="AU2984" s="4" t="s">
        <v>63</v>
      </c>
      <c r="AV2984" s="4" t="s">
        <v>63</v>
      </c>
      <c r="AW2984" s="4" t="s">
        <v>63</v>
      </c>
      <c r="AX2984" s="4" t="s">
        <v>63</v>
      </c>
      <c r="AY2984" s="4" t="s">
        <v>63</v>
      </c>
      <c r="AZ2984" s="4" t="s">
        <v>63</v>
      </c>
      <c r="BA2984" s="4" t="s">
        <v>63</v>
      </c>
      <c r="BB2984" s="4" t="s">
        <v>63</v>
      </c>
      <c r="BC2984" s="4" t="s">
        <v>63</v>
      </c>
      <c r="BD2984" s="4" t="s">
        <v>63</v>
      </c>
      <c r="BE2984" s="4" t="s">
        <v>63</v>
      </c>
      <c r="BF2984" s="4" t="s">
        <v>63</v>
      </c>
    </row>
    <row r="2985" spans="1:58">
      <c r="A2985" s="4" t="s">
        <v>58</v>
      </c>
      <c r="B2985" s="4" t="s">
        <v>24442</v>
      </c>
      <c r="C2985" s="4" t="s">
        <v>24443</v>
      </c>
      <c r="D2985" s="4" t="s">
        <v>2353</v>
      </c>
      <c r="E2985" s="4" t="s">
        <v>2354</v>
      </c>
      <c r="F2985" s="4">
        <v>2007</v>
      </c>
      <c r="G2985" s="4" t="s">
        <v>274</v>
      </c>
      <c r="H2985" s="4">
        <v>32</v>
      </c>
      <c r="I2985" s="4">
        <v>2</v>
      </c>
      <c r="J2985" s="4">
        <v>111</v>
      </c>
      <c r="K2985" s="4">
        <v>112</v>
      </c>
      <c r="L2985" s="4" t="s">
        <v>63</v>
      </c>
      <c r="M2985" s="4" t="s">
        <v>63</v>
      </c>
      <c r="N2985" s="4" t="s">
        <v>24444</v>
      </c>
      <c r="O2985" s="4" t="s">
        <v>63</v>
      </c>
      <c r="P2985" s="4"/>
      <c r="Q2985" s="4" t="s">
        <v>63</v>
      </c>
      <c r="R2985" s="4" t="s">
        <v>63</v>
      </c>
      <c r="S2985" s="4" t="s">
        <v>63</v>
      </c>
      <c r="T2985" s="4" t="s">
        <v>63</v>
      </c>
      <c r="U2985" s="4"/>
      <c r="V2985" s="4"/>
      <c r="W2985" s="4"/>
      <c r="X2985" s="4" t="s">
        <v>63</v>
      </c>
      <c r="Y2985" s="4" t="s">
        <v>2358</v>
      </c>
      <c r="Z2985" s="4" t="s">
        <v>63</v>
      </c>
      <c r="AA2985" s="4" t="s">
        <v>24445</v>
      </c>
      <c r="AB2985" s="4" t="s">
        <v>24446</v>
      </c>
      <c r="AC2985" s="4" t="s">
        <v>67</v>
      </c>
      <c r="AD2985" s="4" t="s">
        <v>63</v>
      </c>
      <c r="AE2985" s="4" t="s">
        <v>63</v>
      </c>
      <c r="AF2985" s="4" t="s">
        <v>63</v>
      </c>
      <c r="AG2985" s="4" t="s">
        <v>63</v>
      </c>
      <c r="AH2985" s="4" t="s">
        <v>63</v>
      </c>
      <c r="AI2985" s="4" t="s">
        <v>24447</v>
      </c>
      <c r="AJ2985" s="4" t="s">
        <v>63</v>
      </c>
      <c r="AK2985" s="4" t="s">
        <v>63</v>
      </c>
      <c r="AL2985" s="4" t="s">
        <v>63</v>
      </c>
      <c r="AM2985" s="4" t="s">
        <v>24443</v>
      </c>
      <c r="AN2985" s="4" t="s">
        <v>63</v>
      </c>
      <c r="AO2985" s="4" t="s">
        <v>63</v>
      </c>
      <c r="AP2985" s="4" t="s">
        <v>63</v>
      </c>
      <c r="AQ2985" s="4" t="s">
        <v>63</v>
      </c>
      <c r="AR2985" s="4" t="s">
        <v>63</v>
      </c>
      <c r="AS2985" s="4" t="s">
        <v>63</v>
      </c>
      <c r="AT2985" s="4" t="s">
        <v>63</v>
      </c>
      <c r="AU2985" s="4" t="s">
        <v>63</v>
      </c>
      <c r="AV2985" s="4" t="s">
        <v>63</v>
      </c>
      <c r="AW2985" s="4" t="s">
        <v>63</v>
      </c>
      <c r="AX2985" s="4" t="s">
        <v>63</v>
      </c>
      <c r="AY2985" s="4" t="s">
        <v>63</v>
      </c>
      <c r="AZ2985" s="4" t="s">
        <v>63</v>
      </c>
      <c r="BA2985" s="4" t="s">
        <v>63</v>
      </c>
      <c r="BB2985" s="4" t="s">
        <v>63</v>
      </c>
      <c r="BC2985" s="4" t="s">
        <v>63</v>
      </c>
      <c r="BD2985" s="4" t="s">
        <v>63</v>
      </c>
      <c r="BE2985" s="4" t="s">
        <v>63</v>
      </c>
      <c r="BF2985" s="4" t="s">
        <v>63</v>
      </c>
    </row>
    <row r="2986" spans="1:58">
      <c r="A2986" s="4" t="s">
        <v>58</v>
      </c>
      <c r="B2986" s="4" t="s">
        <v>24448</v>
      </c>
      <c r="C2986" s="4" t="s">
        <v>24449</v>
      </c>
      <c r="D2986" s="4" t="s">
        <v>24450</v>
      </c>
      <c r="E2986" s="4" t="s">
        <v>63</v>
      </c>
      <c r="F2986" s="4">
        <v>2015</v>
      </c>
      <c r="G2986" s="4" t="s">
        <v>73</v>
      </c>
      <c r="H2986" s="4">
        <v>6</v>
      </c>
      <c r="I2986" s="4">
        <v>2</v>
      </c>
      <c r="J2986" s="4">
        <v>614</v>
      </c>
      <c r="K2986" s="4">
        <v>625</v>
      </c>
      <c r="L2986" s="4" t="s">
        <v>24451</v>
      </c>
      <c r="M2986" s="4" t="s">
        <v>24452</v>
      </c>
      <c r="N2986" s="4" t="s">
        <v>24453</v>
      </c>
      <c r="O2986" s="4" t="s">
        <v>63</v>
      </c>
      <c r="P2986" s="4"/>
      <c r="Q2986" s="4" t="s">
        <v>63</v>
      </c>
      <c r="R2986" s="4" t="s">
        <v>63</v>
      </c>
      <c r="S2986" s="4" t="s">
        <v>63</v>
      </c>
      <c r="T2986" s="4" t="s">
        <v>63</v>
      </c>
      <c r="U2986" s="4"/>
      <c r="V2986" s="4"/>
      <c r="W2986" s="4"/>
      <c r="X2986" s="4" t="s">
        <v>63</v>
      </c>
      <c r="Y2986" s="4" t="s">
        <v>24454</v>
      </c>
      <c r="Z2986" s="4" t="s">
        <v>63</v>
      </c>
      <c r="AA2986" s="4" t="s">
        <v>24455</v>
      </c>
      <c r="AB2986" s="4" t="s">
        <v>24456</v>
      </c>
      <c r="AC2986" s="4" t="s">
        <v>67</v>
      </c>
      <c r="AD2986" s="4" t="s">
        <v>63</v>
      </c>
      <c r="AE2986" s="4" t="s">
        <v>63</v>
      </c>
      <c r="AF2986" s="4" t="s">
        <v>63</v>
      </c>
      <c r="AG2986" s="4" t="s">
        <v>63</v>
      </c>
      <c r="AH2986" s="4" t="s">
        <v>63</v>
      </c>
      <c r="AI2986" s="4" t="s">
        <v>24457</v>
      </c>
      <c r="AJ2986" s="4" t="s">
        <v>63</v>
      </c>
      <c r="AK2986" s="4" t="s">
        <v>63</v>
      </c>
      <c r="AL2986" s="4" t="s">
        <v>63</v>
      </c>
      <c r="AM2986" s="4" t="s">
        <v>24449</v>
      </c>
      <c r="AN2986" s="4" t="s">
        <v>63</v>
      </c>
      <c r="AO2986" s="4" t="s">
        <v>63</v>
      </c>
      <c r="AP2986" s="4" t="s">
        <v>63</v>
      </c>
      <c r="AQ2986" s="4" t="s">
        <v>63</v>
      </c>
      <c r="AR2986" s="4" t="s">
        <v>63</v>
      </c>
      <c r="AS2986" s="4" t="s">
        <v>63</v>
      </c>
      <c r="AT2986" s="4" t="s">
        <v>63</v>
      </c>
      <c r="AU2986" s="4" t="s">
        <v>63</v>
      </c>
      <c r="AV2986" s="4" t="s">
        <v>63</v>
      </c>
      <c r="AW2986" s="4" t="s">
        <v>63</v>
      </c>
      <c r="AX2986" s="4" t="s">
        <v>63</v>
      </c>
      <c r="AY2986" s="4" t="s">
        <v>63</v>
      </c>
      <c r="AZ2986" s="4" t="s">
        <v>63</v>
      </c>
      <c r="BA2986" s="4" t="s">
        <v>63</v>
      </c>
      <c r="BB2986" s="4" t="s">
        <v>63</v>
      </c>
      <c r="BC2986" s="4" t="s">
        <v>63</v>
      </c>
      <c r="BD2986" s="4" t="s">
        <v>63</v>
      </c>
      <c r="BE2986" s="4" t="s">
        <v>63</v>
      </c>
      <c r="BF2986" s="4" t="s">
        <v>63</v>
      </c>
    </row>
    <row r="2987" spans="1:58">
      <c r="A2987" s="4" t="s">
        <v>58</v>
      </c>
      <c r="B2987" s="4" t="s">
        <v>24458</v>
      </c>
      <c r="C2987" s="4" t="s">
        <v>24459</v>
      </c>
      <c r="D2987" s="4" t="s">
        <v>389</v>
      </c>
      <c r="E2987" s="4" t="s">
        <v>63</v>
      </c>
      <c r="F2987" s="4">
        <v>2017</v>
      </c>
      <c r="G2987" s="4" t="s">
        <v>63</v>
      </c>
      <c r="H2987" s="4">
        <v>38</v>
      </c>
      <c r="I2987" s="4">
        <v>4</v>
      </c>
      <c r="J2987" s="4">
        <v>401</v>
      </c>
      <c r="K2987" s="4">
        <v>406</v>
      </c>
      <c r="L2987" s="4" t="s">
        <v>24460</v>
      </c>
      <c r="M2987" s="4" t="s">
        <v>24461</v>
      </c>
      <c r="N2987" s="4" t="s">
        <v>24462</v>
      </c>
      <c r="O2987" s="4" t="s">
        <v>63</v>
      </c>
      <c r="P2987" s="4"/>
      <c r="Q2987" s="4" t="s">
        <v>63</v>
      </c>
      <c r="R2987" s="4" t="s">
        <v>63</v>
      </c>
      <c r="S2987" s="4" t="s">
        <v>63</v>
      </c>
      <c r="T2987" s="4" t="s">
        <v>63</v>
      </c>
      <c r="U2987" s="4"/>
      <c r="V2987" s="4"/>
      <c r="W2987" s="4"/>
      <c r="X2987" s="4" t="s">
        <v>63</v>
      </c>
      <c r="Y2987" s="4" t="s">
        <v>392</v>
      </c>
      <c r="Z2987" s="4" t="s">
        <v>63</v>
      </c>
      <c r="AA2987" s="4" t="s">
        <v>24463</v>
      </c>
      <c r="AB2987" s="4" t="s">
        <v>24464</v>
      </c>
      <c r="AC2987" s="4" t="s">
        <v>67</v>
      </c>
      <c r="AD2987" s="4" t="s">
        <v>63</v>
      </c>
      <c r="AE2987" s="4" t="s">
        <v>63</v>
      </c>
      <c r="AF2987" s="4" t="s">
        <v>63</v>
      </c>
      <c r="AG2987" s="4" t="s">
        <v>63</v>
      </c>
      <c r="AH2987" s="4" t="s">
        <v>63</v>
      </c>
      <c r="AI2987" s="4" t="s">
        <v>24465</v>
      </c>
      <c r="AJ2987" s="4" t="s">
        <v>63</v>
      </c>
      <c r="AK2987" s="4" t="s">
        <v>63</v>
      </c>
      <c r="AL2987" s="4" t="s">
        <v>63</v>
      </c>
      <c r="AM2987" s="4" t="s">
        <v>24459</v>
      </c>
      <c r="AN2987" s="4" t="s">
        <v>63</v>
      </c>
      <c r="AO2987" s="4" t="s">
        <v>63</v>
      </c>
      <c r="AP2987" s="4" t="s">
        <v>63</v>
      </c>
      <c r="AQ2987" s="4" t="s">
        <v>63</v>
      </c>
      <c r="AR2987" s="4" t="s">
        <v>63</v>
      </c>
      <c r="AS2987" s="4" t="s">
        <v>63</v>
      </c>
      <c r="AT2987" s="4" t="s">
        <v>63</v>
      </c>
      <c r="AU2987" s="4" t="s">
        <v>63</v>
      </c>
      <c r="AV2987" s="4" t="s">
        <v>63</v>
      </c>
      <c r="AW2987" s="4" t="s">
        <v>63</v>
      </c>
      <c r="AX2987" s="4" t="s">
        <v>63</v>
      </c>
      <c r="AY2987" s="4" t="s">
        <v>63</v>
      </c>
      <c r="AZ2987" s="4" t="s">
        <v>63</v>
      </c>
      <c r="BA2987" s="4" t="s">
        <v>63</v>
      </c>
      <c r="BB2987" s="4" t="s">
        <v>63</v>
      </c>
      <c r="BC2987" s="4" t="s">
        <v>63</v>
      </c>
      <c r="BD2987" s="4" t="s">
        <v>63</v>
      </c>
      <c r="BE2987" s="4" t="s">
        <v>63</v>
      </c>
      <c r="BF2987" s="4" t="s">
        <v>63</v>
      </c>
    </row>
    <row r="2988" spans="1:58">
      <c r="A2988" s="4" t="s">
        <v>58</v>
      </c>
      <c r="B2988" s="4" t="s">
        <v>24466</v>
      </c>
      <c r="C2988" s="4" t="s">
        <v>24467</v>
      </c>
      <c r="D2988" s="4" t="s">
        <v>389</v>
      </c>
      <c r="E2988" s="4" t="s">
        <v>63</v>
      </c>
      <c r="F2988" s="4">
        <v>2012</v>
      </c>
      <c r="G2988" s="4" t="s">
        <v>63</v>
      </c>
      <c r="H2988" s="4">
        <v>33</v>
      </c>
      <c r="I2988" s="4">
        <v>2</v>
      </c>
      <c r="J2988" s="4">
        <v>202</v>
      </c>
      <c r="K2988" s="4">
        <v>202</v>
      </c>
      <c r="L2988" s="4" t="s">
        <v>63</v>
      </c>
      <c r="M2988" s="4" t="s">
        <v>63</v>
      </c>
      <c r="N2988" s="4" t="s">
        <v>24468</v>
      </c>
      <c r="O2988" s="4" t="s">
        <v>63</v>
      </c>
      <c r="P2988" s="4"/>
      <c r="Q2988" s="4" t="s">
        <v>63</v>
      </c>
      <c r="R2988" s="4" t="s">
        <v>63</v>
      </c>
      <c r="S2988" s="4" t="s">
        <v>63</v>
      </c>
      <c r="T2988" s="4" t="s">
        <v>63</v>
      </c>
      <c r="U2988" s="4"/>
      <c r="V2988" s="4"/>
      <c r="W2988" s="4"/>
      <c r="X2988" s="4" t="s">
        <v>63</v>
      </c>
      <c r="Y2988" s="4" t="s">
        <v>392</v>
      </c>
      <c r="Z2988" s="4" t="s">
        <v>63</v>
      </c>
      <c r="AA2988" s="4" t="s">
        <v>24469</v>
      </c>
      <c r="AB2988" s="4" t="s">
        <v>24470</v>
      </c>
      <c r="AC2988" s="4" t="s">
        <v>67</v>
      </c>
      <c r="AD2988" s="4" t="s">
        <v>63</v>
      </c>
      <c r="AE2988" s="4" t="s">
        <v>63</v>
      </c>
      <c r="AF2988" s="4" t="s">
        <v>63</v>
      </c>
      <c r="AG2988" s="4" t="s">
        <v>63</v>
      </c>
      <c r="AH2988" s="4" t="s">
        <v>63</v>
      </c>
      <c r="AI2988" s="4" t="s">
        <v>63</v>
      </c>
      <c r="AJ2988" s="4" t="s">
        <v>63</v>
      </c>
      <c r="AK2988" s="4" t="s">
        <v>63</v>
      </c>
      <c r="AL2988" s="4" t="s">
        <v>63</v>
      </c>
      <c r="AM2988" s="4" t="s">
        <v>24467</v>
      </c>
      <c r="AN2988" s="4" t="s">
        <v>63</v>
      </c>
      <c r="AO2988" s="4" t="s">
        <v>63</v>
      </c>
      <c r="AP2988" s="4" t="s">
        <v>63</v>
      </c>
      <c r="AQ2988" s="4" t="s">
        <v>63</v>
      </c>
      <c r="AR2988" s="4" t="s">
        <v>63</v>
      </c>
      <c r="AS2988" s="4" t="s">
        <v>63</v>
      </c>
      <c r="AT2988" s="4" t="s">
        <v>63</v>
      </c>
      <c r="AU2988" s="4" t="s">
        <v>63</v>
      </c>
      <c r="AV2988" s="4" t="s">
        <v>63</v>
      </c>
      <c r="AW2988" s="4" t="s">
        <v>63</v>
      </c>
      <c r="AX2988" s="4" t="s">
        <v>63</v>
      </c>
      <c r="AY2988" s="4" t="s">
        <v>63</v>
      </c>
      <c r="AZ2988" s="4" t="s">
        <v>63</v>
      </c>
      <c r="BA2988" s="4" t="s">
        <v>63</v>
      </c>
      <c r="BB2988" s="4" t="s">
        <v>63</v>
      </c>
      <c r="BC2988" s="4" t="s">
        <v>63</v>
      </c>
      <c r="BD2988" s="4" t="s">
        <v>63</v>
      </c>
      <c r="BE2988" s="4" t="s">
        <v>63</v>
      </c>
      <c r="BF2988" s="4" t="s">
        <v>63</v>
      </c>
    </row>
    <row r="2989" spans="1:58">
      <c r="A2989" s="4" t="s">
        <v>58</v>
      </c>
      <c r="B2989" s="4" t="s">
        <v>24471</v>
      </c>
      <c r="C2989" s="4" t="s">
        <v>24472</v>
      </c>
      <c r="D2989" s="4" t="s">
        <v>389</v>
      </c>
      <c r="E2989" s="4" t="s">
        <v>63</v>
      </c>
      <c r="F2989" s="4">
        <v>2011</v>
      </c>
      <c r="G2989" s="4" t="s">
        <v>63</v>
      </c>
      <c r="H2989" s="4">
        <v>32</v>
      </c>
      <c r="I2989" s="4">
        <v>1</v>
      </c>
      <c r="J2989" s="4">
        <v>60</v>
      </c>
      <c r="K2989" s="4">
        <v>61</v>
      </c>
      <c r="L2989" s="4" t="s">
        <v>63</v>
      </c>
      <c r="M2989" s="4" t="s">
        <v>63</v>
      </c>
      <c r="N2989" s="4" t="s">
        <v>24473</v>
      </c>
      <c r="O2989" s="4" t="s">
        <v>63</v>
      </c>
      <c r="P2989" s="4"/>
      <c r="Q2989" s="4" t="s">
        <v>63</v>
      </c>
      <c r="R2989" s="4" t="s">
        <v>63</v>
      </c>
      <c r="S2989" s="4" t="s">
        <v>63</v>
      </c>
      <c r="T2989" s="4" t="s">
        <v>63</v>
      </c>
      <c r="U2989" s="4"/>
      <c r="V2989" s="4"/>
      <c r="W2989" s="4"/>
      <c r="X2989" s="4" t="s">
        <v>63</v>
      </c>
      <c r="Y2989" s="4" t="s">
        <v>392</v>
      </c>
      <c r="Z2989" s="4" t="s">
        <v>63</v>
      </c>
      <c r="AA2989" s="4" t="s">
        <v>63</v>
      </c>
      <c r="AB2989" s="4" t="s">
        <v>24474</v>
      </c>
      <c r="AC2989" s="4" t="s">
        <v>67</v>
      </c>
      <c r="AD2989" s="4" t="s">
        <v>63</v>
      </c>
      <c r="AE2989" s="4" t="s">
        <v>63</v>
      </c>
      <c r="AF2989" s="4" t="s">
        <v>63</v>
      </c>
      <c r="AG2989" s="4" t="s">
        <v>63</v>
      </c>
      <c r="AH2989" s="4" t="s">
        <v>63</v>
      </c>
      <c r="AI2989" s="4" t="s">
        <v>63</v>
      </c>
      <c r="AJ2989" s="4" t="s">
        <v>63</v>
      </c>
      <c r="AK2989" s="4" t="s">
        <v>63</v>
      </c>
      <c r="AL2989" s="4" t="s">
        <v>63</v>
      </c>
      <c r="AM2989" s="4" t="s">
        <v>24472</v>
      </c>
      <c r="AN2989" s="4" t="s">
        <v>63</v>
      </c>
      <c r="AO2989" s="4" t="s">
        <v>63</v>
      </c>
      <c r="AP2989" s="4" t="s">
        <v>63</v>
      </c>
      <c r="AQ2989" s="4" t="s">
        <v>63</v>
      </c>
      <c r="AR2989" s="4" t="s">
        <v>63</v>
      </c>
      <c r="AS2989" s="4" t="s">
        <v>63</v>
      </c>
      <c r="AT2989" s="4" t="s">
        <v>63</v>
      </c>
      <c r="AU2989" s="4" t="s">
        <v>63</v>
      </c>
      <c r="AV2989" s="4" t="s">
        <v>63</v>
      </c>
      <c r="AW2989" s="4" t="s">
        <v>63</v>
      </c>
      <c r="AX2989" s="4" t="s">
        <v>63</v>
      </c>
      <c r="AY2989" s="4" t="s">
        <v>63</v>
      </c>
      <c r="AZ2989" s="4" t="s">
        <v>63</v>
      </c>
      <c r="BA2989" s="4" t="s">
        <v>63</v>
      </c>
      <c r="BB2989" s="4" t="s">
        <v>63</v>
      </c>
      <c r="BC2989" s="4" t="s">
        <v>63</v>
      </c>
      <c r="BD2989" s="4" t="s">
        <v>63</v>
      </c>
      <c r="BE2989" s="4" t="s">
        <v>63</v>
      </c>
      <c r="BF2989" s="4" t="s">
        <v>63</v>
      </c>
    </row>
    <row r="2990" spans="1:58">
      <c r="A2990" s="4" t="s">
        <v>58</v>
      </c>
      <c r="B2990" s="4" t="s">
        <v>24475</v>
      </c>
      <c r="C2990" s="4" t="s">
        <v>24476</v>
      </c>
      <c r="D2990" s="4" t="s">
        <v>24013</v>
      </c>
      <c r="E2990" s="4" t="s">
        <v>63</v>
      </c>
      <c r="F2990" s="4">
        <v>2001</v>
      </c>
      <c r="G2990" s="4" t="s">
        <v>219</v>
      </c>
      <c r="H2990" s="4">
        <v>31</v>
      </c>
      <c r="I2990" s="4">
        <v>11</v>
      </c>
      <c r="J2990" s="4">
        <v>649</v>
      </c>
      <c r="K2990" s="4">
        <v>656</v>
      </c>
      <c r="L2990" s="4" t="s">
        <v>24477</v>
      </c>
      <c r="M2990" s="4" t="s">
        <v>63</v>
      </c>
      <c r="N2990" s="4" t="s">
        <v>24478</v>
      </c>
      <c r="O2990" s="4" t="s">
        <v>63</v>
      </c>
      <c r="P2990" s="4"/>
      <c r="Q2990" s="4" t="s">
        <v>63</v>
      </c>
      <c r="R2990" s="4" t="s">
        <v>63</v>
      </c>
      <c r="S2990" s="4" t="s">
        <v>63</v>
      </c>
      <c r="T2990" s="4" t="s">
        <v>63</v>
      </c>
      <c r="U2990" s="4"/>
      <c r="V2990" s="4"/>
      <c r="W2990" s="4"/>
      <c r="X2990" s="4" t="s">
        <v>63</v>
      </c>
      <c r="Y2990" s="4" t="s">
        <v>24015</v>
      </c>
      <c r="Z2990" s="4" t="s">
        <v>63</v>
      </c>
      <c r="AA2990" s="4" t="s">
        <v>24479</v>
      </c>
      <c r="AB2990" s="4" t="s">
        <v>24480</v>
      </c>
      <c r="AC2990" s="4" t="s">
        <v>67</v>
      </c>
      <c r="AD2990" s="4" t="s">
        <v>63</v>
      </c>
      <c r="AE2990" s="4" t="s">
        <v>63</v>
      </c>
      <c r="AF2990" s="4" t="s">
        <v>63</v>
      </c>
      <c r="AG2990" s="4" t="s">
        <v>63</v>
      </c>
      <c r="AH2990" s="4" t="s">
        <v>63</v>
      </c>
      <c r="AI2990" s="4" t="s">
        <v>24481</v>
      </c>
      <c r="AJ2990" s="4" t="s">
        <v>63</v>
      </c>
      <c r="AK2990" s="4" t="s">
        <v>63</v>
      </c>
      <c r="AL2990" s="4" t="s">
        <v>63</v>
      </c>
      <c r="AM2990" s="4" t="s">
        <v>24476</v>
      </c>
      <c r="AN2990" s="4" t="s">
        <v>63</v>
      </c>
      <c r="AO2990" s="4" t="s">
        <v>63</v>
      </c>
      <c r="AP2990" s="4" t="s">
        <v>63</v>
      </c>
      <c r="AQ2990" s="4" t="s">
        <v>63</v>
      </c>
      <c r="AR2990" s="4" t="s">
        <v>63</v>
      </c>
      <c r="AS2990" s="4" t="s">
        <v>63</v>
      </c>
      <c r="AT2990" s="4" t="s">
        <v>63</v>
      </c>
      <c r="AU2990" s="4" t="s">
        <v>63</v>
      </c>
      <c r="AV2990" s="4" t="s">
        <v>63</v>
      </c>
      <c r="AW2990" s="4" t="s">
        <v>63</v>
      </c>
      <c r="AX2990" s="4" t="s">
        <v>63</v>
      </c>
      <c r="AY2990" s="4" t="s">
        <v>63</v>
      </c>
      <c r="AZ2990" s="4" t="s">
        <v>63</v>
      </c>
      <c r="BA2990" s="4" t="s">
        <v>63</v>
      </c>
      <c r="BB2990" s="4" t="s">
        <v>63</v>
      </c>
      <c r="BC2990" s="4" t="s">
        <v>63</v>
      </c>
      <c r="BD2990" s="4" t="s">
        <v>63</v>
      </c>
      <c r="BE2990" s="4" t="s">
        <v>63</v>
      </c>
      <c r="BF2990" s="4" t="s">
        <v>63</v>
      </c>
    </row>
    <row r="2991" spans="1:58">
      <c r="A2991" s="4" t="s">
        <v>58</v>
      </c>
      <c r="B2991" s="4" t="s">
        <v>24482</v>
      </c>
      <c r="C2991" s="4" t="s">
        <v>24483</v>
      </c>
      <c r="D2991" s="4" t="s">
        <v>1728</v>
      </c>
      <c r="E2991" s="4" t="s">
        <v>1729</v>
      </c>
      <c r="F2991" s="4">
        <v>1997</v>
      </c>
      <c r="G2991" s="4" t="s">
        <v>1737</v>
      </c>
      <c r="H2991" s="4">
        <v>29</v>
      </c>
      <c r="I2991" s="4">
        <v>3</v>
      </c>
      <c r="J2991" s="4">
        <v>231</v>
      </c>
      <c r="K2991" s="4">
        <v>232</v>
      </c>
      <c r="L2991" s="4" t="s">
        <v>63</v>
      </c>
      <c r="M2991" s="4" t="s">
        <v>63</v>
      </c>
      <c r="N2991" s="4" t="s">
        <v>24484</v>
      </c>
      <c r="O2991" s="4" t="s">
        <v>63</v>
      </c>
      <c r="P2991" s="4"/>
      <c r="Q2991" s="4" t="s">
        <v>63</v>
      </c>
      <c r="R2991" s="4" t="s">
        <v>63</v>
      </c>
      <c r="S2991" s="4" t="s">
        <v>63</v>
      </c>
      <c r="T2991" s="4" t="s">
        <v>63</v>
      </c>
      <c r="U2991" s="4"/>
      <c r="V2991" s="4"/>
      <c r="W2991" s="4"/>
      <c r="X2991" s="4" t="s">
        <v>63</v>
      </c>
      <c r="Y2991" s="4" t="s">
        <v>1733</v>
      </c>
      <c r="Z2991" s="4" t="s">
        <v>63</v>
      </c>
      <c r="AA2991" s="4" t="s">
        <v>24485</v>
      </c>
      <c r="AB2991" s="4" t="s">
        <v>24486</v>
      </c>
      <c r="AC2991" s="4" t="s">
        <v>67</v>
      </c>
      <c r="AD2991" s="4" t="s">
        <v>63</v>
      </c>
      <c r="AE2991" s="4" t="s">
        <v>63</v>
      </c>
      <c r="AF2991" s="4" t="s">
        <v>63</v>
      </c>
      <c r="AG2991" s="4" t="s">
        <v>63</v>
      </c>
      <c r="AH2991" s="4" t="s">
        <v>63</v>
      </c>
      <c r="AI2991" s="4" t="s">
        <v>63</v>
      </c>
      <c r="AJ2991" s="4" t="s">
        <v>63</v>
      </c>
      <c r="AK2991" s="4" t="s">
        <v>63</v>
      </c>
      <c r="AL2991" s="4" t="s">
        <v>63</v>
      </c>
      <c r="AM2991" s="4" t="s">
        <v>24483</v>
      </c>
      <c r="AN2991" s="4" t="s">
        <v>63</v>
      </c>
      <c r="AO2991" s="4" t="s">
        <v>63</v>
      </c>
      <c r="AP2991" s="4" t="s">
        <v>63</v>
      </c>
      <c r="AQ2991" s="4" t="s">
        <v>63</v>
      </c>
      <c r="AR2991" s="4" t="s">
        <v>63</v>
      </c>
      <c r="AS2991" s="4" t="s">
        <v>63</v>
      </c>
      <c r="AT2991" s="4" t="s">
        <v>63</v>
      </c>
      <c r="AU2991" s="4" t="s">
        <v>63</v>
      </c>
      <c r="AV2991" s="4" t="s">
        <v>63</v>
      </c>
      <c r="AW2991" s="4" t="s">
        <v>63</v>
      </c>
      <c r="AX2991" s="4" t="s">
        <v>63</v>
      </c>
      <c r="AY2991" s="4" t="s">
        <v>63</v>
      </c>
      <c r="AZ2991" s="4" t="s">
        <v>63</v>
      </c>
      <c r="BA2991" s="4" t="s">
        <v>63</v>
      </c>
      <c r="BB2991" s="4" t="s">
        <v>63</v>
      </c>
      <c r="BC2991" s="4" t="s">
        <v>63</v>
      </c>
      <c r="BD2991" s="4" t="s">
        <v>63</v>
      </c>
      <c r="BE2991" s="4" t="s">
        <v>63</v>
      </c>
      <c r="BF2991" s="4" t="s">
        <v>63</v>
      </c>
    </row>
    <row r="2992" spans="1:58">
      <c r="A2992" s="4" t="s">
        <v>58</v>
      </c>
      <c r="B2992" s="4" t="s">
        <v>24487</v>
      </c>
      <c r="C2992" s="4" t="s">
        <v>24488</v>
      </c>
      <c r="D2992" s="4" t="s">
        <v>11901</v>
      </c>
      <c r="E2992" s="4" t="s">
        <v>63</v>
      </c>
      <c r="F2992" s="4">
        <v>2016</v>
      </c>
      <c r="G2992" s="4" t="s">
        <v>198</v>
      </c>
      <c r="H2992" s="4">
        <v>58</v>
      </c>
      <c r="I2992" s="4">
        <v>5</v>
      </c>
      <c r="J2992" s="4" t="s">
        <v>19834</v>
      </c>
      <c r="K2992" s="4" t="s">
        <v>19834</v>
      </c>
      <c r="L2992" s="4" t="s">
        <v>24489</v>
      </c>
      <c r="M2992" s="4" t="s">
        <v>63</v>
      </c>
      <c r="N2992" s="4" t="s">
        <v>24490</v>
      </c>
      <c r="O2992" s="4" t="s">
        <v>63</v>
      </c>
      <c r="P2992" s="4"/>
      <c r="Q2992" s="4" t="s">
        <v>63</v>
      </c>
      <c r="R2992" s="4" t="s">
        <v>63</v>
      </c>
      <c r="S2992" s="4" t="s">
        <v>63</v>
      </c>
      <c r="T2992" s="4" t="s">
        <v>63</v>
      </c>
      <c r="U2992" s="4"/>
      <c r="V2992" s="4"/>
      <c r="W2992" s="4"/>
      <c r="X2992" s="4" t="s">
        <v>63</v>
      </c>
      <c r="Y2992" s="4" t="s">
        <v>11904</v>
      </c>
      <c r="Z2992" s="4" t="s">
        <v>63</v>
      </c>
      <c r="AA2992" s="4" t="s">
        <v>24491</v>
      </c>
      <c r="AB2992" s="4" t="s">
        <v>24492</v>
      </c>
      <c r="AC2992" s="4" t="s">
        <v>67</v>
      </c>
      <c r="AD2992" s="4" t="s">
        <v>63</v>
      </c>
      <c r="AE2992" s="4" t="s">
        <v>63</v>
      </c>
      <c r="AF2992" s="4" t="s">
        <v>63</v>
      </c>
      <c r="AG2992" s="4" t="s">
        <v>63</v>
      </c>
      <c r="AH2992" s="4" t="s">
        <v>63</v>
      </c>
      <c r="AI2992" s="4" t="s">
        <v>63</v>
      </c>
      <c r="AJ2992" s="4" t="s">
        <v>63</v>
      </c>
      <c r="AK2992" s="4" t="s">
        <v>63</v>
      </c>
      <c r="AL2992" s="4" t="s">
        <v>63</v>
      </c>
      <c r="AM2992" s="4" t="s">
        <v>24488</v>
      </c>
      <c r="AN2992" s="4" t="s">
        <v>63</v>
      </c>
      <c r="AO2992" s="4" t="s">
        <v>63</v>
      </c>
      <c r="AP2992" s="4" t="s">
        <v>63</v>
      </c>
      <c r="AQ2992" s="4" t="s">
        <v>63</v>
      </c>
      <c r="AR2992" s="4" t="s">
        <v>63</v>
      </c>
      <c r="AS2992" s="4" t="s">
        <v>63</v>
      </c>
      <c r="AT2992" s="4" t="s">
        <v>63</v>
      </c>
      <c r="AU2992" s="4" t="s">
        <v>63</v>
      </c>
      <c r="AV2992" s="4" t="s">
        <v>63</v>
      </c>
      <c r="AW2992" s="4" t="s">
        <v>63</v>
      </c>
      <c r="AX2992" s="4" t="s">
        <v>63</v>
      </c>
      <c r="AY2992" s="4" t="s">
        <v>63</v>
      </c>
      <c r="AZ2992" s="4" t="s">
        <v>63</v>
      </c>
      <c r="BA2992" s="4" t="s">
        <v>63</v>
      </c>
      <c r="BB2992" s="4" t="s">
        <v>63</v>
      </c>
      <c r="BC2992" s="4" t="s">
        <v>63</v>
      </c>
      <c r="BD2992" s="4" t="s">
        <v>63</v>
      </c>
      <c r="BE2992" s="4" t="s">
        <v>63</v>
      </c>
      <c r="BF2992" s="4" t="s">
        <v>63</v>
      </c>
    </row>
    <row r="2993" spans="1:58">
      <c r="A2993" s="4" t="s">
        <v>58</v>
      </c>
      <c r="B2993" s="4" t="s">
        <v>24493</v>
      </c>
      <c r="C2993" s="4" t="s">
        <v>24494</v>
      </c>
      <c r="D2993" s="4" t="s">
        <v>18410</v>
      </c>
      <c r="E2993" s="4" t="s">
        <v>18411</v>
      </c>
      <c r="F2993" s="4">
        <v>2003</v>
      </c>
      <c r="G2993" s="4" t="s">
        <v>1670</v>
      </c>
      <c r="H2993" s="4">
        <v>61</v>
      </c>
      <c r="I2993" s="4">
        <v>2445</v>
      </c>
      <c r="J2993" s="4">
        <v>1439</v>
      </c>
      <c r="K2993" s="4">
        <v>1443</v>
      </c>
      <c r="L2993" s="4" t="s">
        <v>24495</v>
      </c>
      <c r="M2993" s="4" t="s">
        <v>24496</v>
      </c>
      <c r="N2993" s="4" t="s">
        <v>24497</v>
      </c>
      <c r="O2993" s="4" t="s">
        <v>63</v>
      </c>
      <c r="P2993" s="4"/>
      <c r="Q2993" s="4" t="s">
        <v>63</v>
      </c>
      <c r="R2993" s="4" t="s">
        <v>63</v>
      </c>
      <c r="S2993" s="4" t="s">
        <v>63</v>
      </c>
      <c r="T2993" s="4" t="s">
        <v>63</v>
      </c>
      <c r="U2993" s="4"/>
      <c r="V2993" s="4"/>
      <c r="W2993" s="4"/>
      <c r="X2993" s="4" t="s">
        <v>63</v>
      </c>
      <c r="Y2993" s="4" t="s">
        <v>18415</v>
      </c>
      <c r="Z2993" s="4" t="s">
        <v>63</v>
      </c>
      <c r="AA2993" s="4" t="s">
        <v>24498</v>
      </c>
      <c r="AB2993" s="4" t="s">
        <v>24499</v>
      </c>
      <c r="AC2993" s="4" t="s">
        <v>1371</v>
      </c>
      <c r="AD2993" s="4" t="s">
        <v>63</v>
      </c>
      <c r="AE2993" s="4" t="s">
        <v>63</v>
      </c>
      <c r="AF2993" s="4" t="s">
        <v>63</v>
      </c>
      <c r="AG2993" s="4" t="s">
        <v>63</v>
      </c>
      <c r="AH2993" s="4" t="s">
        <v>63</v>
      </c>
      <c r="AI2993" s="4" t="s">
        <v>63</v>
      </c>
      <c r="AJ2993" s="4" t="s">
        <v>63</v>
      </c>
      <c r="AK2993" s="4" t="s">
        <v>63</v>
      </c>
      <c r="AL2993" s="4" t="s">
        <v>63</v>
      </c>
      <c r="AM2993" s="4" t="s">
        <v>24494</v>
      </c>
      <c r="AN2993" s="4" t="s">
        <v>63</v>
      </c>
      <c r="AO2993" s="4" t="s">
        <v>63</v>
      </c>
      <c r="AP2993" s="4" t="s">
        <v>63</v>
      </c>
      <c r="AQ2993" s="4" t="s">
        <v>63</v>
      </c>
      <c r="AR2993" s="4" t="s">
        <v>63</v>
      </c>
      <c r="AS2993" s="4" t="s">
        <v>63</v>
      </c>
      <c r="AT2993" s="4" t="s">
        <v>63</v>
      </c>
      <c r="AU2993" s="4" t="s">
        <v>63</v>
      </c>
      <c r="AV2993" s="4" t="s">
        <v>63</v>
      </c>
      <c r="AW2993" s="4" t="s">
        <v>63</v>
      </c>
      <c r="AX2993" s="4" t="s">
        <v>63</v>
      </c>
      <c r="AY2993" s="4" t="s">
        <v>63</v>
      </c>
      <c r="AZ2993" s="4" t="s">
        <v>63</v>
      </c>
      <c r="BA2993" s="4" t="s">
        <v>63</v>
      </c>
      <c r="BB2993" s="4" t="s">
        <v>63</v>
      </c>
      <c r="BC2993" s="4" t="s">
        <v>63</v>
      </c>
      <c r="BD2993" s="4" t="s">
        <v>63</v>
      </c>
      <c r="BE2993" s="4" t="s">
        <v>63</v>
      </c>
      <c r="BF2993" s="4" t="s">
        <v>63</v>
      </c>
    </row>
    <row r="2994" spans="1:58">
      <c r="A2994" s="4" t="s">
        <v>58</v>
      </c>
      <c r="B2994" s="4" t="s">
        <v>24500</v>
      </c>
      <c r="C2994" s="4" t="s">
        <v>24501</v>
      </c>
      <c r="D2994" s="4" t="s">
        <v>389</v>
      </c>
      <c r="E2994" s="4" t="s">
        <v>63</v>
      </c>
      <c r="F2994" s="4">
        <v>2014</v>
      </c>
      <c r="G2994" s="4" t="s">
        <v>63</v>
      </c>
      <c r="H2994" s="4">
        <v>35</v>
      </c>
      <c r="I2994" s="4">
        <v>2</v>
      </c>
      <c r="J2994" s="4">
        <v>211</v>
      </c>
      <c r="K2994" s="4">
        <v>211</v>
      </c>
      <c r="L2994" s="4" t="s">
        <v>63</v>
      </c>
      <c r="M2994" s="4" t="s">
        <v>63</v>
      </c>
      <c r="N2994" s="4" t="s">
        <v>24502</v>
      </c>
      <c r="O2994" s="4" t="s">
        <v>63</v>
      </c>
      <c r="P2994" s="4"/>
      <c r="Q2994" s="4" t="s">
        <v>63</v>
      </c>
      <c r="R2994" s="4" t="s">
        <v>63</v>
      </c>
      <c r="S2994" s="4" t="s">
        <v>63</v>
      </c>
      <c r="T2994" s="4" t="s">
        <v>63</v>
      </c>
      <c r="U2994" s="4"/>
      <c r="V2994" s="4"/>
      <c r="W2994" s="4"/>
      <c r="X2994" s="4" t="s">
        <v>63</v>
      </c>
      <c r="Y2994" s="4" t="s">
        <v>392</v>
      </c>
      <c r="Z2994" s="4" t="s">
        <v>63</v>
      </c>
      <c r="AA2994" s="4" t="s">
        <v>24503</v>
      </c>
      <c r="AB2994" s="4" t="s">
        <v>24504</v>
      </c>
      <c r="AC2994" s="4" t="s">
        <v>67</v>
      </c>
      <c r="AD2994" s="4" t="s">
        <v>63</v>
      </c>
      <c r="AE2994" s="4" t="s">
        <v>63</v>
      </c>
      <c r="AF2994" s="4" t="s">
        <v>63</v>
      </c>
      <c r="AG2994" s="4" t="s">
        <v>63</v>
      </c>
      <c r="AH2994" s="4" t="s">
        <v>63</v>
      </c>
      <c r="AI2994" s="4" t="s">
        <v>63</v>
      </c>
      <c r="AJ2994" s="4" t="s">
        <v>63</v>
      </c>
      <c r="AK2994" s="4" t="s">
        <v>63</v>
      </c>
      <c r="AL2994" s="4" t="s">
        <v>63</v>
      </c>
      <c r="AM2994" s="4" t="s">
        <v>24501</v>
      </c>
      <c r="AN2994" s="4" t="s">
        <v>63</v>
      </c>
      <c r="AO2994" s="4" t="s">
        <v>63</v>
      </c>
      <c r="AP2994" s="4" t="s">
        <v>63</v>
      </c>
      <c r="AQ2994" s="4" t="s">
        <v>63</v>
      </c>
      <c r="AR2994" s="4" t="s">
        <v>63</v>
      </c>
      <c r="AS2994" s="4" t="s">
        <v>63</v>
      </c>
      <c r="AT2994" s="4" t="s">
        <v>63</v>
      </c>
      <c r="AU2994" s="4" t="s">
        <v>63</v>
      </c>
      <c r="AV2994" s="4" t="s">
        <v>63</v>
      </c>
      <c r="AW2994" s="4" t="s">
        <v>63</v>
      </c>
      <c r="AX2994" s="4" t="s">
        <v>63</v>
      </c>
      <c r="AY2994" s="4" t="s">
        <v>63</v>
      </c>
      <c r="AZ2994" s="4" t="s">
        <v>63</v>
      </c>
      <c r="BA2994" s="4" t="s">
        <v>63</v>
      </c>
      <c r="BB2994" s="4" t="s">
        <v>63</v>
      </c>
      <c r="BC2994" s="4" t="s">
        <v>63</v>
      </c>
      <c r="BD2994" s="4" t="s">
        <v>63</v>
      </c>
      <c r="BE2994" s="4" t="s">
        <v>63</v>
      </c>
      <c r="BF2994" s="4" t="s">
        <v>63</v>
      </c>
    </row>
    <row r="2995" spans="1:58">
      <c r="A2995" s="4" t="s">
        <v>58</v>
      </c>
      <c r="B2995" s="4" t="s">
        <v>24505</v>
      </c>
      <c r="C2995" s="4" t="s">
        <v>24506</v>
      </c>
      <c r="D2995" s="4" t="s">
        <v>17937</v>
      </c>
      <c r="E2995" s="4" t="s">
        <v>63</v>
      </c>
      <c r="F2995" s="4">
        <v>2013</v>
      </c>
      <c r="G2995" s="4" t="s">
        <v>73</v>
      </c>
      <c r="H2995" s="4">
        <v>19</v>
      </c>
      <c r="I2995" s="4">
        <v>2</v>
      </c>
      <c r="J2995" s="4">
        <v>41</v>
      </c>
      <c r="K2995" s="4">
        <v>50</v>
      </c>
      <c r="L2995" s="4" t="s">
        <v>24507</v>
      </c>
      <c r="M2995" s="4" t="s">
        <v>24508</v>
      </c>
      <c r="N2995" s="4" t="s">
        <v>24509</v>
      </c>
      <c r="O2995" s="4" t="s">
        <v>63</v>
      </c>
      <c r="P2995" s="4"/>
      <c r="Q2995" s="4" t="s">
        <v>63</v>
      </c>
      <c r="R2995" s="4" t="s">
        <v>63</v>
      </c>
      <c r="S2995" s="4" t="s">
        <v>63</v>
      </c>
      <c r="T2995" s="4" t="s">
        <v>63</v>
      </c>
      <c r="U2995" s="4"/>
      <c r="V2995" s="4"/>
      <c r="W2995" s="4"/>
      <c r="X2995" s="4" t="s">
        <v>63</v>
      </c>
      <c r="Y2995" s="4" t="s">
        <v>17941</v>
      </c>
      <c r="Z2995" s="4" t="s">
        <v>63</v>
      </c>
      <c r="AA2995" s="4" t="s">
        <v>24510</v>
      </c>
      <c r="AB2995" s="4" t="s">
        <v>24511</v>
      </c>
      <c r="AC2995" s="4" t="s">
        <v>67</v>
      </c>
      <c r="AD2995" s="4" t="s">
        <v>63</v>
      </c>
      <c r="AE2995" s="4" t="s">
        <v>63</v>
      </c>
      <c r="AF2995" s="4" t="s">
        <v>63</v>
      </c>
      <c r="AG2995" s="4" t="s">
        <v>63</v>
      </c>
      <c r="AH2995" s="4" t="s">
        <v>63</v>
      </c>
      <c r="AI2995" s="4" t="s">
        <v>24512</v>
      </c>
      <c r="AJ2995" s="4" t="s">
        <v>63</v>
      </c>
      <c r="AK2995" s="4" t="s">
        <v>63</v>
      </c>
      <c r="AL2995" s="4" t="s">
        <v>63</v>
      </c>
      <c r="AM2995" s="4" t="s">
        <v>24506</v>
      </c>
      <c r="AN2995" s="4" t="s">
        <v>63</v>
      </c>
      <c r="AO2995" s="4" t="s">
        <v>63</v>
      </c>
      <c r="AP2995" s="4" t="s">
        <v>63</v>
      </c>
      <c r="AQ2995" s="4" t="s">
        <v>63</v>
      </c>
      <c r="AR2995" s="4" t="s">
        <v>63</v>
      </c>
      <c r="AS2995" s="4" t="s">
        <v>63</v>
      </c>
      <c r="AT2995" s="4" t="s">
        <v>63</v>
      </c>
      <c r="AU2995" s="4" t="s">
        <v>63</v>
      </c>
      <c r="AV2995" s="4" t="s">
        <v>63</v>
      </c>
      <c r="AW2995" s="4" t="s">
        <v>63</v>
      </c>
      <c r="AX2995" s="4" t="s">
        <v>63</v>
      </c>
      <c r="AY2995" s="4" t="s">
        <v>63</v>
      </c>
      <c r="AZ2995" s="4" t="s">
        <v>63</v>
      </c>
      <c r="BA2995" s="4" t="s">
        <v>63</v>
      </c>
      <c r="BB2995" s="4" t="s">
        <v>63</v>
      </c>
      <c r="BC2995" s="4" t="s">
        <v>63</v>
      </c>
      <c r="BD2995" s="4" t="s">
        <v>63</v>
      </c>
      <c r="BE2995" s="4" t="s">
        <v>63</v>
      </c>
      <c r="BF2995" s="4" t="s">
        <v>63</v>
      </c>
    </row>
    <row r="2996" spans="1:58">
      <c r="A2996" s="4" t="s">
        <v>58</v>
      </c>
      <c r="B2996" s="4" t="s">
        <v>24513</v>
      </c>
      <c r="C2996" s="4" t="s">
        <v>24514</v>
      </c>
      <c r="D2996" s="4" t="s">
        <v>24515</v>
      </c>
      <c r="E2996" s="4" t="s">
        <v>63</v>
      </c>
      <c r="F2996" s="4">
        <v>2009</v>
      </c>
      <c r="G2996" s="4" t="s">
        <v>274</v>
      </c>
      <c r="H2996" s="4">
        <v>16</v>
      </c>
      <c r="I2996" s="4">
        <v>1</v>
      </c>
      <c r="J2996" s="4">
        <v>77</v>
      </c>
      <c r="K2996" s="4">
        <v>86</v>
      </c>
      <c r="L2996" s="4" t="s">
        <v>24516</v>
      </c>
      <c r="M2996" s="4" t="s">
        <v>24517</v>
      </c>
      <c r="N2996" s="4" t="s">
        <v>24518</v>
      </c>
      <c r="O2996" s="4" t="s">
        <v>63</v>
      </c>
      <c r="P2996" s="4"/>
      <c r="Q2996" s="4" t="s">
        <v>63</v>
      </c>
      <c r="R2996" s="4" t="s">
        <v>63</v>
      </c>
      <c r="S2996" s="4" t="s">
        <v>63</v>
      </c>
      <c r="T2996" s="4" t="s">
        <v>63</v>
      </c>
      <c r="U2996" s="4"/>
      <c r="V2996" s="4"/>
      <c r="W2996" s="4"/>
      <c r="X2996" s="4" t="s">
        <v>63</v>
      </c>
      <c r="Y2996" s="4" t="s">
        <v>24519</v>
      </c>
      <c r="Z2996" s="4" t="s">
        <v>63</v>
      </c>
      <c r="AA2996" s="4" t="s">
        <v>24520</v>
      </c>
      <c r="AB2996" s="4" t="s">
        <v>24521</v>
      </c>
      <c r="AC2996" s="4" t="s">
        <v>67</v>
      </c>
      <c r="AD2996" s="4" t="s">
        <v>63</v>
      </c>
      <c r="AE2996" s="4" t="s">
        <v>63</v>
      </c>
      <c r="AF2996" s="4" t="s">
        <v>63</v>
      </c>
      <c r="AG2996" s="4" t="s">
        <v>63</v>
      </c>
      <c r="AH2996" s="4" t="s">
        <v>63</v>
      </c>
      <c r="AI2996" s="4" t="s">
        <v>24522</v>
      </c>
      <c r="AJ2996" s="4" t="s">
        <v>63</v>
      </c>
      <c r="AK2996" s="4" t="s">
        <v>63</v>
      </c>
      <c r="AL2996" s="4" t="s">
        <v>63</v>
      </c>
      <c r="AM2996" s="4" t="s">
        <v>24514</v>
      </c>
      <c r="AN2996" s="4" t="s">
        <v>63</v>
      </c>
      <c r="AO2996" s="4" t="s">
        <v>63</v>
      </c>
      <c r="AP2996" s="4" t="s">
        <v>63</v>
      </c>
      <c r="AQ2996" s="4" t="s">
        <v>63</v>
      </c>
      <c r="AR2996" s="4" t="s">
        <v>63</v>
      </c>
      <c r="AS2996" s="4" t="s">
        <v>63</v>
      </c>
      <c r="AT2996" s="4" t="s">
        <v>63</v>
      </c>
      <c r="AU2996" s="4" t="s">
        <v>63</v>
      </c>
      <c r="AV2996" s="4" t="s">
        <v>63</v>
      </c>
      <c r="AW2996" s="4" t="s">
        <v>63</v>
      </c>
      <c r="AX2996" s="4" t="s">
        <v>63</v>
      </c>
      <c r="AY2996" s="4" t="s">
        <v>63</v>
      </c>
      <c r="AZ2996" s="4" t="s">
        <v>63</v>
      </c>
      <c r="BA2996" s="4" t="s">
        <v>63</v>
      </c>
      <c r="BB2996" s="4" t="s">
        <v>63</v>
      </c>
      <c r="BC2996" s="4" t="s">
        <v>63</v>
      </c>
      <c r="BD2996" s="4" t="s">
        <v>63</v>
      </c>
      <c r="BE2996" s="4" t="s">
        <v>63</v>
      </c>
      <c r="BF2996" s="4" t="s">
        <v>63</v>
      </c>
    </row>
    <row r="2997" spans="1:58">
      <c r="A2997" s="4" t="s">
        <v>58</v>
      </c>
      <c r="B2997" s="4" t="s">
        <v>24523</v>
      </c>
      <c r="C2997" s="4" t="s">
        <v>24524</v>
      </c>
      <c r="D2997" s="4" t="s">
        <v>11901</v>
      </c>
      <c r="E2997" s="4" t="s">
        <v>63</v>
      </c>
      <c r="F2997" s="4">
        <v>2018</v>
      </c>
      <c r="G2997" s="4" t="s">
        <v>326</v>
      </c>
      <c r="H2997" s="4">
        <v>60</v>
      </c>
      <c r="I2997" s="4">
        <v>5</v>
      </c>
      <c r="J2997" s="4">
        <v>79</v>
      </c>
      <c r="K2997" s="4">
        <v>79</v>
      </c>
      <c r="L2997" s="4" t="s">
        <v>63</v>
      </c>
      <c r="M2997" s="4" t="s">
        <v>63</v>
      </c>
      <c r="N2997" s="4" t="s">
        <v>24525</v>
      </c>
      <c r="O2997" s="4" t="s">
        <v>63</v>
      </c>
      <c r="P2997" s="4"/>
      <c r="Q2997" s="4" t="s">
        <v>63</v>
      </c>
      <c r="R2997" s="4" t="s">
        <v>63</v>
      </c>
      <c r="S2997" s="4" t="s">
        <v>63</v>
      </c>
      <c r="T2997" s="4" t="s">
        <v>63</v>
      </c>
      <c r="U2997" s="4"/>
      <c r="V2997" s="4"/>
      <c r="W2997" s="4"/>
      <c r="X2997" s="4" t="s">
        <v>63</v>
      </c>
      <c r="Y2997" s="4" t="s">
        <v>11904</v>
      </c>
      <c r="Z2997" s="4" t="s">
        <v>63</v>
      </c>
      <c r="AA2997" s="4" t="s">
        <v>24526</v>
      </c>
      <c r="AB2997" s="4" t="s">
        <v>24527</v>
      </c>
      <c r="AC2997" s="4" t="s">
        <v>67</v>
      </c>
      <c r="AD2997" s="4" t="s">
        <v>63</v>
      </c>
      <c r="AE2997" s="4" t="s">
        <v>63</v>
      </c>
      <c r="AF2997" s="4" t="s">
        <v>63</v>
      </c>
      <c r="AG2997" s="4" t="s">
        <v>63</v>
      </c>
      <c r="AH2997" s="4" t="s">
        <v>63</v>
      </c>
      <c r="AI2997" s="4" t="s">
        <v>63</v>
      </c>
      <c r="AJ2997" s="4" t="s">
        <v>63</v>
      </c>
      <c r="AK2997" s="4" t="s">
        <v>63</v>
      </c>
      <c r="AL2997" s="4" t="s">
        <v>63</v>
      </c>
      <c r="AM2997" s="4" t="s">
        <v>24524</v>
      </c>
      <c r="AN2997" s="4" t="s">
        <v>63</v>
      </c>
      <c r="AO2997" s="4" t="s">
        <v>63</v>
      </c>
      <c r="AP2997" s="4" t="s">
        <v>63</v>
      </c>
      <c r="AQ2997" s="4" t="s">
        <v>63</v>
      </c>
      <c r="AR2997" s="4" t="s">
        <v>63</v>
      </c>
      <c r="AS2997" s="4" t="s">
        <v>63</v>
      </c>
      <c r="AT2997" s="4" t="s">
        <v>63</v>
      </c>
      <c r="AU2997" s="4" t="s">
        <v>63</v>
      </c>
      <c r="AV2997" s="4" t="s">
        <v>63</v>
      </c>
      <c r="AW2997" s="4" t="s">
        <v>63</v>
      </c>
      <c r="AX2997" s="4" t="s">
        <v>63</v>
      </c>
      <c r="AY2997" s="4" t="s">
        <v>63</v>
      </c>
      <c r="AZ2997" s="4" t="s">
        <v>63</v>
      </c>
      <c r="BA2997" s="4" t="s">
        <v>63</v>
      </c>
      <c r="BB2997" s="4" t="s">
        <v>63</v>
      </c>
      <c r="BC2997" s="4" t="s">
        <v>63</v>
      </c>
      <c r="BD2997" s="4" t="s">
        <v>63</v>
      </c>
      <c r="BE2997" s="4" t="s">
        <v>63</v>
      </c>
      <c r="BF2997" s="4" t="s">
        <v>63</v>
      </c>
    </row>
    <row r="2998" spans="1:58">
      <c r="A2998" s="4" t="s">
        <v>58</v>
      </c>
      <c r="B2998" s="4" t="s">
        <v>24528</v>
      </c>
      <c r="C2998" s="4" t="s">
        <v>24529</v>
      </c>
      <c r="D2998" s="4" t="s">
        <v>11901</v>
      </c>
      <c r="E2998" s="4" t="s">
        <v>63</v>
      </c>
      <c r="F2998" s="4">
        <v>2016</v>
      </c>
      <c r="G2998" s="4" t="s">
        <v>198</v>
      </c>
      <c r="H2998" s="4">
        <v>58</v>
      </c>
      <c r="I2998" s="4">
        <v>5</v>
      </c>
      <c r="J2998" s="4" t="s">
        <v>24530</v>
      </c>
      <c r="K2998" s="4" t="s">
        <v>24530</v>
      </c>
      <c r="L2998" s="4" t="s">
        <v>24531</v>
      </c>
      <c r="M2998" s="4" t="s">
        <v>63</v>
      </c>
      <c r="N2998" s="4" t="s">
        <v>24532</v>
      </c>
      <c r="O2998" s="4" t="s">
        <v>63</v>
      </c>
      <c r="P2998" s="4"/>
      <c r="Q2998" s="4" t="s">
        <v>63</v>
      </c>
      <c r="R2998" s="4" t="s">
        <v>63</v>
      </c>
      <c r="S2998" s="4" t="s">
        <v>63</v>
      </c>
      <c r="T2998" s="4" t="s">
        <v>63</v>
      </c>
      <c r="U2998" s="4"/>
      <c r="V2998" s="4"/>
      <c r="W2998" s="4"/>
      <c r="X2998" s="4" t="s">
        <v>63</v>
      </c>
      <c r="Y2998" s="4" t="s">
        <v>11904</v>
      </c>
      <c r="Z2998" s="4" t="s">
        <v>63</v>
      </c>
      <c r="AA2998" s="4" t="s">
        <v>63</v>
      </c>
      <c r="AB2998" s="4" t="s">
        <v>24533</v>
      </c>
      <c r="AC2998" s="4" t="s">
        <v>67</v>
      </c>
      <c r="AD2998" s="4" t="s">
        <v>63</v>
      </c>
      <c r="AE2998" s="4" t="s">
        <v>63</v>
      </c>
      <c r="AF2998" s="4" t="s">
        <v>63</v>
      </c>
      <c r="AG2998" s="4" t="s">
        <v>63</v>
      </c>
      <c r="AH2998" s="4" t="s">
        <v>63</v>
      </c>
      <c r="AI2998" s="4" t="s">
        <v>63</v>
      </c>
      <c r="AJ2998" s="4" t="s">
        <v>63</v>
      </c>
      <c r="AK2998" s="4" t="s">
        <v>63</v>
      </c>
      <c r="AL2998" s="4" t="s">
        <v>63</v>
      </c>
      <c r="AM2998" s="4" t="s">
        <v>24529</v>
      </c>
      <c r="AN2998" s="4" t="s">
        <v>63</v>
      </c>
      <c r="AO2998" s="4" t="s">
        <v>63</v>
      </c>
      <c r="AP2998" s="4" t="s">
        <v>63</v>
      </c>
      <c r="AQ2998" s="4" t="s">
        <v>63</v>
      </c>
      <c r="AR2998" s="4" t="s">
        <v>63</v>
      </c>
      <c r="AS2998" s="4" t="s">
        <v>63</v>
      </c>
      <c r="AT2998" s="4" t="s">
        <v>63</v>
      </c>
      <c r="AU2998" s="4" t="s">
        <v>63</v>
      </c>
      <c r="AV2998" s="4" t="s">
        <v>63</v>
      </c>
      <c r="AW2998" s="4" t="s">
        <v>63</v>
      </c>
      <c r="AX2998" s="4" t="s">
        <v>63</v>
      </c>
      <c r="AY2998" s="4" t="s">
        <v>63</v>
      </c>
      <c r="AZ2998" s="4" t="s">
        <v>63</v>
      </c>
      <c r="BA2998" s="4" t="s">
        <v>63</v>
      </c>
      <c r="BB2998" s="4" t="s">
        <v>63</v>
      </c>
      <c r="BC2998" s="4" t="s">
        <v>63</v>
      </c>
      <c r="BD2998" s="4" t="s">
        <v>63</v>
      </c>
      <c r="BE2998" s="4" t="s">
        <v>63</v>
      </c>
      <c r="BF2998" s="4" t="s">
        <v>63</v>
      </c>
    </row>
    <row r="2999" spans="1:58">
      <c r="A2999" s="4" t="s">
        <v>58</v>
      </c>
      <c r="B2999" s="4" t="s">
        <v>24534</v>
      </c>
      <c r="C2999" s="4" t="s">
        <v>24535</v>
      </c>
      <c r="D2999" s="4" t="s">
        <v>24536</v>
      </c>
      <c r="E2999" s="4" t="s">
        <v>63</v>
      </c>
      <c r="F2999" s="4">
        <v>2012</v>
      </c>
      <c r="G2999" s="4" t="s">
        <v>63</v>
      </c>
      <c r="H2999" s="4">
        <v>9</v>
      </c>
      <c r="I2999" s="4">
        <v>3</v>
      </c>
      <c r="J2999" s="4">
        <v>1195</v>
      </c>
      <c r="K2999" s="4">
        <v>1198</v>
      </c>
      <c r="L2999" s="4" t="s">
        <v>24537</v>
      </c>
      <c r="M2999" s="4" t="s">
        <v>24538</v>
      </c>
      <c r="N2999" s="4" t="s">
        <v>24539</v>
      </c>
      <c r="O2999" s="4" t="s">
        <v>63</v>
      </c>
      <c r="P2999" s="4"/>
      <c r="Q2999" s="4" t="s">
        <v>63</v>
      </c>
      <c r="R2999" s="4" t="s">
        <v>63</v>
      </c>
      <c r="S2999" s="4" t="s">
        <v>63</v>
      </c>
      <c r="T2999" s="4" t="s">
        <v>63</v>
      </c>
      <c r="U2999" s="4"/>
      <c r="V2999" s="4"/>
      <c r="W2999" s="4"/>
      <c r="X2999" s="4" t="s">
        <v>63</v>
      </c>
      <c r="Y2999" s="4" t="s">
        <v>24540</v>
      </c>
      <c r="Z2999" s="4" t="s">
        <v>63</v>
      </c>
      <c r="AA2999" s="4" t="s">
        <v>24541</v>
      </c>
      <c r="AB2999" s="4" t="s">
        <v>24542</v>
      </c>
      <c r="AC2999" s="4" t="s">
        <v>67</v>
      </c>
      <c r="AD2999" s="4" t="s">
        <v>63</v>
      </c>
      <c r="AE2999" s="4" t="s">
        <v>63</v>
      </c>
      <c r="AF2999" s="4" t="s">
        <v>63</v>
      </c>
      <c r="AG2999" s="4" t="s">
        <v>63</v>
      </c>
      <c r="AH2999" s="4" t="s">
        <v>63</v>
      </c>
      <c r="AI2999" s="4" t="s">
        <v>63</v>
      </c>
      <c r="AJ2999" s="4" t="s">
        <v>63</v>
      </c>
      <c r="AK2999" s="4" t="s">
        <v>63</v>
      </c>
      <c r="AL2999" s="4" t="s">
        <v>63</v>
      </c>
      <c r="AM2999" s="4" t="s">
        <v>24535</v>
      </c>
      <c r="AN2999" s="4" t="s">
        <v>63</v>
      </c>
      <c r="AO2999" s="4" t="s">
        <v>63</v>
      </c>
      <c r="AP2999" s="4" t="s">
        <v>63</v>
      </c>
      <c r="AQ2999" s="4" t="s">
        <v>63</v>
      </c>
      <c r="AR2999" s="4" t="s">
        <v>63</v>
      </c>
      <c r="AS2999" s="4" t="s">
        <v>63</v>
      </c>
      <c r="AT2999" s="4" t="s">
        <v>63</v>
      </c>
      <c r="AU2999" s="4" t="s">
        <v>63</v>
      </c>
      <c r="AV2999" s="4" t="s">
        <v>63</v>
      </c>
      <c r="AW2999" s="4" t="s">
        <v>63</v>
      </c>
      <c r="AX2999" s="4" t="s">
        <v>63</v>
      </c>
      <c r="AY2999" s="4" t="s">
        <v>63</v>
      </c>
      <c r="AZ2999" s="4" t="s">
        <v>63</v>
      </c>
      <c r="BA2999" s="4" t="s">
        <v>63</v>
      </c>
      <c r="BB2999" s="4" t="s">
        <v>63</v>
      </c>
      <c r="BC2999" s="4" t="s">
        <v>63</v>
      </c>
      <c r="BD2999" s="4" t="s">
        <v>63</v>
      </c>
      <c r="BE2999" s="4" t="s">
        <v>63</v>
      </c>
      <c r="BF2999" s="4" t="s">
        <v>63</v>
      </c>
    </row>
    <row r="3000" spans="1:58">
      <c r="A3000" s="4" t="s">
        <v>58</v>
      </c>
      <c r="B3000" s="4" t="s">
        <v>24543</v>
      </c>
      <c r="C3000" s="4" t="s">
        <v>24544</v>
      </c>
      <c r="D3000" s="4" t="s">
        <v>24545</v>
      </c>
      <c r="E3000" s="4" t="s">
        <v>63</v>
      </c>
      <c r="F3000" s="4">
        <v>2008</v>
      </c>
      <c r="G3000" s="4" t="s">
        <v>1670</v>
      </c>
      <c r="H3000" s="4">
        <v>14</v>
      </c>
      <c r="I3000" s="4">
        <v>7</v>
      </c>
      <c r="J3000" s="4" t="s">
        <v>24546</v>
      </c>
      <c r="K3000" s="4" t="s">
        <v>24547</v>
      </c>
      <c r="L3000" s="4" t="s">
        <v>24548</v>
      </c>
      <c r="M3000" s="4" t="s">
        <v>24549</v>
      </c>
      <c r="N3000" s="4" t="s">
        <v>24550</v>
      </c>
      <c r="O3000" s="4" t="s">
        <v>63</v>
      </c>
      <c r="P3000" s="4"/>
      <c r="Q3000" s="4" t="s">
        <v>63</v>
      </c>
      <c r="R3000" s="4" t="s">
        <v>63</v>
      </c>
      <c r="S3000" s="4" t="s">
        <v>63</v>
      </c>
      <c r="T3000" s="4" t="s">
        <v>63</v>
      </c>
      <c r="U3000" s="4"/>
      <c r="V3000" s="4"/>
      <c r="W3000" s="4"/>
      <c r="X3000" s="4" t="s">
        <v>63</v>
      </c>
      <c r="Y3000" s="4" t="s">
        <v>24551</v>
      </c>
      <c r="Z3000" s="4" t="s">
        <v>63</v>
      </c>
      <c r="AA3000" s="4" t="s">
        <v>24552</v>
      </c>
      <c r="AB3000" s="4" t="s">
        <v>24553</v>
      </c>
      <c r="AC3000" s="4" t="s">
        <v>67</v>
      </c>
      <c r="AD3000" s="4" t="s">
        <v>63</v>
      </c>
      <c r="AE3000" s="4" t="s">
        <v>63</v>
      </c>
      <c r="AF3000" s="4" t="s">
        <v>63</v>
      </c>
      <c r="AG3000" s="4" t="s">
        <v>63</v>
      </c>
      <c r="AH3000" s="4" t="s">
        <v>63</v>
      </c>
      <c r="AI3000" s="4" t="s">
        <v>63</v>
      </c>
      <c r="AJ3000" s="4" t="s">
        <v>63</v>
      </c>
      <c r="AK3000" s="4" t="s">
        <v>63</v>
      </c>
      <c r="AL3000" s="4" t="s">
        <v>63</v>
      </c>
      <c r="AM3000" s="4" t="s">
        <v>24544</v>
      </c>
      <c r="AN3000" s="4" t="s">
        <v>63</v>
      </c>
      <c r="AO3000" s="4" t="s">
        <v>63</v>
      </c>
      <c r="AP3000" s="4" t="s">
        <v>63</v>
      </c>
      <c r="AQ3000" s="4" t="s">
        <v>63</v>
      </c>
      <c r="AR3000" s="4" t="s">
        <v>63</v>
      </c>
      <c r="AS3000" s="4" t="s">
        <v>63</v>
      </c>
      <c r="AT3000" s="4" t="s">
        <v>63</v>
      </c>
      <c r="AU3000" s="4" t="s">
        <v>63</v>
      </c>
      <c r="AV3000" s="4" t="s">
        <v>63</v>
      </c>
      <c r="AW3000" s="4" t="s">
        <v>63</v>
      </c>
      <c r="AX3000" s="4" t="s">
        <v>63</v>
      </c>
      <c r="AY3000" s="4" t="s">
        <v>63</v>
      </c>
      <c r="AZ3000" s="4" t="s">
        <v>63</v>
      </c>
      <c r="BA3000" s="4" t="s">
        <v>63</v>
      </c>
      <c r="BB3000" s="4" t="s">
        <v>63</v>
      </c>
      <c r="BC3000" s="4" t="s">
        <v>63</v>
      </c>
      <c r="BD3000" s="4" t="s">
        <v>63</v>
      </c>
      <c r="BE3000" s="4" t="s">
        <v>63</v>
      </c>
      <c r="BF3000" s="4" t="s">
        <v>63</v>
      </c>
    </row>
    <row r="3001" spans="1:58">
      <c r="A3001" s="4" t="s">
        <v>58</v>
      </c>
      <c r="B3001" s="4" t="s">
        <v>24554</v>
      </c>
      <c r="C3001" s="4" t="s">
        <v>24555</v>
      </c>
      <c r="D3001" s="4" t="s">
        <v>24556</v>
      </c>
      <c r="E3001" s="4" t="s">
        <v>24557</v>
      </c>
      <c r="F3001" s="4">
        <v>2014</v>
      </c>
      <c r="G3001" s="4" t="s">
        <v>73</v>
      </c>
      <c r="H3001" s="4">
        <v>44</v>
      </c>
      <c r="I3001" s="4">
        <v>6</v>
      </c>
      <c r="J3001" s="4">
        <v>339</v>
      </c>
      <c r="K3001" s="4">
        <v>346</v>
      </c>
      <c r="L3001" s="4" t="s">
        <v>24558</v>
      </c>
      <c r="M3001" s="4" t="s">
        <v>24559</v>
      </c>
      <c r="N3001" s="4" t="s">
        <v>24560</v>
      </c>
      <c r="O3001" s="4" t="s">
        <v>63</v>
      </c>
      <c r="P3001" s="4"/>
      <c r="Q3001" s="4" t="s">
        <v>63</v>
      </c>
      <c r="R3001" s="4" t="s">
        <v>63</v>
      </c>
      <c r="S3001" s="4" t="s">
        <v>63</v>
      </c>
      <c r="T3001" s="4" t="s">
        <v>63</v>
      </c>
      <c r="U3001" s="4"/>
      <c r="V3001" s="4"/>
      <c r="W3001" s="4"/>
      <c r="X3001" s="4" t="s">
        <v>63</v>
      </c>
      <c r="Y3001" s="4" t="s">
        <v>24561</v>
      </c>
      <c r="Z3001" s="4" t="s">
        <v>63</v>
      </c>
      <c r="AA3001" s="4" t="s">
        <v>24562</v>
      </c>
      <c r="AB3001" s="4" t="s">
        <v>24563</v>
      </c>
      <c r="AC3001" s="4" t="s">
        <v>67</v>
      </c>
      <c r="AD3001" s="4" t="s">
        <v>63</v>
      </c>
      <c r="AE3001" s="4" t="s">
        <v>63</v>
      </c>
      <c r="AF3001" s="4" t="s">
        <v>63</v>
      </c>
      <c r="AG3001" s="4" t="s">
        <v>63</v>
      </c>
      <c r="AH3001" s="4" t="s">
        <v>63</v>
      </c>
      <c r="AI3001" s="4" t="s">
        <v>24564</v>
      </c>
      <c r="AJ3001" s="4" t="s">
        <v>63</v>
      </c>
      <c r="AK3001" s="4" t="s">
        <v>63</v>
      </c>
      <c r="AL3001" s="4" t="s">
        <v>63</v>
      </c>
      <c r="AM3001" s="4" t="s">
        <v>24555</v>
      </c>
      <c r="AN3001" s="4" t="s">
        <v>63</v>
      </c>
      <c r="AO3001" s="4" t="s">
        <v>63</v>
      </c>
      <c r="AP3001" s="4" t="s">
        <v>63</v>
      </c>
      <c r="AQ3001" s="4" t="s">
        <v>63</v>
      </c>
      <c r="AR3001" s="4" t="s">
        <v>63</v>
      </c>
      <c r="AS3001" s="4" t="s">
        <v>63</v>
      </c>
      <c r="AT3001" s="4" t="s">
        <v>63</v>
      </c>
      <c r="AU3001" s="4" t="s">
        <v>63</v>
      </c>
      <c r="AV3001" s="4" t="s">
        <v>63</v>
      </c>
      <c r="AW3001" s="4" t="s">
        <v>63</v>
      </c>
      <c r="AX3001" s="4" t="s">
        <v>63</v>
      </c>
      <c r="AY3001" s="4" t="s">
        <v>63</v>
      </c>
      <c r="AZ3001" s="4" t="s">
        <v>63</v>
      </c>
      <c r="BA3001" s="4" t="s">
        <v>63</v>
      </c>
      <c r="BB3001" s="4" t="s">
        <v>63</v>
      </c>
      <c r="BC3001" s="4" t="s">
        <v>63</v>
      </c>
      <c r="BD3001" s="4" t="s">
        <v>63</v>
      </c>
      <c r="BE3001" s="4" t="s">
        <v>63</v>
      </c>
      <c r="BF3001" s="4" t="s">
        <v>63</v>
      </c>
    </row>
    <row r="3002" spans="1:58">
      <c r="A3002" s="4" t="s">
        <v>58</v>
      </c>
      <c r="B3002" s="4" t="s">
        <v>10066</v>
      </c>
      <c r="C3002" s="4" t="s">
        <v>24565</v>
      </c>
      <c r="D3002" s="4" t="s">
        <v>371</v>
      </c>
      <c r="E3002" s="4" t="s">
        <v>63</v>
      </c>
      <c r="F3002" s="4">
        <v>2006</v>
      </c>
      <c r="G3002" s="4" t="s">
        <v>84</v>
      </c>
      <c r="H3002" s="4">
        <v>21</v>
      </c>
      <c r="I3002" s="4" t="s">
        <v>63</v>
      </c>
      <c r="J3002" s="4">
        <v>172</v>
      </c>
      <c r="K3002" s="4">
        <v>172</v>
      </c>
      <c r="L3002" s="4" t="s">
        <v>63</v>
      </c>
      <c r="M3002" s="4" t="s">
        <v>63</v>
      </c>
      <c r="N3002" s="4" t="s">
        <v>24566</v>
      </c>
      <c r="O3002" s="4" t="s">
        <v>63</v>
      </c>
      <c r="P3002" s="4"/>
      <c r="Q3002" s="4" t="s">
        <v>63</v>
      </c>
      <c r="R3002" s="4" t="s">
        <v>63</v>
      </c>
      <c r="S3002" s="4" t="s">
        <v>63</v>
      </c>
      <c r="T3002" s="4" t="s">
        <v>63</v>
      </c>
      <c r="U3002" s="4"/>
      <c r="V3002" s="4"/>
      <c r="W3002" s="4"/>
      <c r="X3002" s="4" t="s">
        <v>63</v>
      </c>
      <c r="Y3002" s="4" t="s">
        <v>375</v>
      </c>
      <c r="Z3002" s="4" t="s">
        <v>63</v>
      </c>
      <c r="AA3002" s="4" t="s">
        <v>24567</v>
      </c>
      <c r="AB3002" s="4" t="s">
        <v>24568</v>
      </c>
      <c r="AC3002" s="4" t="s">
        <v>67</v>
      </c>
      <c r="AD3002" s="4" t="s">
        <v>63</v>
      </c>
      <c r="AE3002" s="4" t="s">
        <v>63</v>
      </c>
      <c r="AF3002" s="4" t="s">
        <v>63</v>
      </c>
      <c r="AG3002" s="4" t="s">
        <v>63</v>
      </c>
      <c r="AH3002" s="4" t="s">
        <v>63</v>
      </c>
      <c r="AI3002" s="4" t="s">
        <v>63</v>
      </c>
      <c r="AJ3002" s="4" t="s">
        <v>63</v>
      </c>
      <c r="AK3002" s="4" t="s">
        <v>63</v>
      </c>
      <c r="AL3002" s="4" t="s">
        <v>63</v>
      </c>
      <c r="AM3002" s="4" t="s">
        <v>24565</v>
      </c>
      <c r="AN3002" s="4" t="s">
        <v>63</v>
      </c>
      <c r="AO3002" s="4" t="s">
        <v>63</v>
      </c>
      <c r="AP3002" s="4" t="s">
        <v>63</v>
      </c>
      <c r="AQ3002" s="4" t="s">
        <v>63</v>
      </c>
      <c r="AR3002" s="4" t="s">
        <v>63</v>
      </c>
      <c r="AS3002" s="4" t="s">
        <v>63</v>
      </c>
      <c r="AT3002" s="4" t="s">
        <v>63</v>
      </c>
      <c r="AU3002" s="4" t="s">
        <v>63</v>
      </c>
      <c r="AV3002" s="4" t="s">
        <v>63</v>
      </c>
      <c r="AW3002" s="4" t="s">
        <v>63</v>
      </c>
      <c r="AX3002" s="4" t="s">
        <v>63</v>
      </c>
      <c r="AY3002" s="4" t="s">
        <v>63</v>
      </c>
      <c r="AZ3002" s="4" t="s">
        <v>63</v>
      </c>
      <c r="BA3002" s="4" t="s">
        <v>63</v>
      </c>
      <c r="BB3002" s="4" t="s">
        <v>63</v>
      </c>
      <c r="BC3002" s="4" t="s">
        <v>63</v>
      </c>
      <c r="BD3002" s="4" t="s">
        <v>63</v>
      </c>
      <c r="BE3002" s="4" t="s">
        <v>63</v>
      </c>
      <c r="BF3002" s="4" t="s">
        <v>63</v>
      </c>
    </row>
    <row r="3003" spans="1:58">
      <c r="A3003" s="4" t="s">
        <v>58</v>
      </c>
      <c r="B3003" s="4" t="s">
        <v>24569</v>
      </c>
      <c r="C3003" s="4" t="s">
        <v>24570</v>
      </c>
      <c r="D3003" s="4" t="s">
        <v>24571</v>
      </c>
      <c r="E3003" s="4" t="s">
        <v>63</v>
      </c>
      <c r="F3003" s="4">
        <v>2015</v>
      </c>
      <c r="G3003" s="4" t="s">
        <v>157</v>
      </c>
      <c r="H3003" s="4">
        <v>10</v>
      </c>
      <c r="I3003" s="4">
        <v>2</v>
      </c>
      <c r="J3003" s="4">
        <v>162</v>
      </c>
      <c r="K3003" s="4">
        <v>167</v>
      </c>
      <c r="L3003" s="4" t="s">
        <v>63</v>
      </c>
      <c r="M3003" s="4" t="s">
        <v>24572</v>
      </c>
      <c r="N3003" s="4" t="s">
        <v>24573</v>
      </c>
      <c r="O3003" s="4" t="s">
        <v>63</v>
      </c>
      <c r="P3003" s="4"/>
      <c r="Q3003" s="4" t="s">
        <v>63</v>
      </c>
      <c r="R3003" s="4" t="s">
        <v>63</v>
      </c>
      <c r="S3003" s="4" t="s">
        <v>63</v>
      </c>
      <c r="T3003" s="4" t="s">
        <v>63</v>
      </c>
      <c r="U3003" s="4"/>
      <c r="V3003" s="4"/>
      <c r="W3003" s="4"/>
      <c r="X3003" s="4" t="s">
        <v>63</v>
      </c>
      <c r="Y3003" s="4" t="s">
        <v>24574</v>
      </c>
      <c r="Z3003" s="4" t="s">
        <v>63</v>
      </c>
      <c r="AA3003" s="4" t="s">
        <v>24575</v>
      </c>
      <c r="AB3003" s="4" t="s">
        <v>24576</v>
      </c>
      <c r="AC3003" s="4" t="s">
        <v>67</v>
      </c>
      <c r="AD3003" s="4" t="s">
        <v>63</v>
      </c>
      <c r="AE3003" s="4" t="s">
        <v>63</v>
      </c>
      <c r="AF3003" s="4" t="s">
        <v>63</v>
      </c>
      <c r="AG3003" s="4" t="s">
        <v>63</v>
      </c>
      <c r="AH3003" s="4" t="s">
        <v>63</v>
      </c>
      <c r="AI3003" s="4" t="s">
        <v>24577</v>
      </c>
      <c r="AJ3003" s="4" t="s">
        <v>63</v>
      </c>
      <c r="AK3003" s="4" t="s">
        <v>63</v>
      </c>
      <c r="AL3003" s="4" t="s">
        <v>63</v>
      </c>
      <c r="AM3003" s="4" t="s">
        <v>24570</v>
      </c>
      <c r="AN3003" s="4" t="s">
        <v>63</v>
      </c>
      <c r="AO3003" s="4" t="s">
        <v>63</v>
      </c>
      <c r="AP3003" s="4" t="s">
        <v>63</v>
      </c>
      <c r="AQ3003" s="4" t="s">
        <v>63</v>
      </c>
      <c r="AR3003" s="4" t="s">
        <v>63</v>
      </c>
      <c r="AS3003" s="4" t="s">
        <v>63</v>
      </c>
      <c r="AT3003" s="4" t="s">
        <v>63</v>
      </c>
      <c r="AU3003" s="4" t="s">
        <v>63</v>
      </c>
      <c r="AV3003" s="4" t="s">
        <v>63</v>
      </c>
      <c r="AW3003" s="4" t="s">
        <v>63</v>
      </c>
      <c r="AX3003" s="4" t="s">
        <v>63</v>
      </c>
      <c r="AY3003" s="4" t="s">
        <v>63</v>
      </c>
      <c r="AZ3003" s="4" t="s">
        <v>63</v>
      </c>
      <c r="BA3003" s="4" t="s">
        <v>63</v>
      </c>
      <c r="BB3003" s="4" t="s">
        <v>63</v>
      </c>
      <c r="BC3003" s="4" t="s">
        <v>63</v>
      </c>
      <c r="BD3003" s="4" t="s">
        <v>63</v>
      </c>
      <c r="BE3003" s="4" t="s">
        <v>63</v>
      </c>
      <c r="BF3003" s="4" t="s">
        <v>63</v>
      </c>
    </row>
    <row r="3004" spans="1:58">
      <c r="A3004" s="4" t="s">
        <v>58</v>
      </c>
      <c r="B3004" s="4" t="s">
        <v>24578</v>
      </c>
      <c r="C3004" s="4" t="s">
        <v>24579</v>
      </c>
      <c r="D3004" s="4" t="s">
        <v>23924</v>
      </c>
      <c r="E3004" s="4" t="s">
        <v>23925</v>
      </c>
      <c r="F3004" s="4">
        <v>1999</v>
      </c>
      <c r="G3004" s="4" t="s">
        <v>24320</v>
      </c>
      <c r="H3004" s="4">
        <v>45</v>
      </c>
      <c r="I3004" s="4">
        <v>1</v>
      </c>
      <c r="J3004" s="4">
        <v>13</v>
      </c>
      <c r="K3004" s="4">
        <v>31</v>
      </c>
      <c r="L3004" s="4" t="s">
        <v>24580</v>
      </c>
      <c r="M3004" s="4" t="s">
        <v>24581</v>
      </c>
      <c r="N3004" s="4" t="s">
        <v>24582</v>
      </c>
      <c r="O3004" s="4" t="s">
        <v>63</v>
      </c>
      <c r="P3004" s="4"/>
      <c r="Q3004" s="4" t="s">
        <v>63</v>
      </c>
      <c r="R3004" s="4" t="s">
        <v>63</v>
      </c>
      <c r="S3004" s="4" t="s">
        <v>63</v>
      </c>
      <c r="T3004" s="4" t="s">
        <v>63</v>
      </c>
      <c r="U3004" s="4"/>
      <c r="V3004" s="4"/>
      <c r="W3004" s="4"/>
      <c r="X3004" s="4" t="s">
        <v>63</v>
      </c>
      <c r="Y3004" s="4" t="s">
        <v>23928</v>
      </c>
      <c r="Z3004" s="4" t="s">
        <v>63</v>
      </c>
      <c r="AA3004" s="4" t="s">
        <v>24583</v>
      </c>
      <c r="AB3004" s="4" t="s">
        <v>24584</v>
      </c>
      <c r="AC3004" s="4" t="s">
        <v>67</v>
      </c>
      <c r="AD3004" s="4" t="s">
        <v>63</v>
      </c>
      <c r="AE3004" s="4" t="s">
        <v>63</v>
      </c>
      <c r="AF3004" s="4" t="s">
        <v>63</v>
      </c>
      <c r="AG3004" s="4" t="s">
        <v>63</v>
      </c>
      <c r="AH3004" s="4" t="s">
        <v>63</v>
      </c>
      <c r="AI3004" s="4" t="s">
        <v>63</v>
      </c>
      <c r="AJ3004" s="4" t="s">
        <v>63</v>
      </c>
      <c r="AK3004" s="4" t="s">
        <v>63</v>
      </c>
      <c r="AL3004" s="4" t="s">
        <v>63</v>
      </c>
      <c r="AM3004" s="4" t="s">
        <v>24579</v>
      </c>
      <c r="AN3004" s="4" t="s">
        <v>63</v>
      </c>
      <c r="AO3004" s="4" t="s">
        <v>63</v>
      </c>
      <c r="AP3004" s="4" t="s">
        <v>63</v>
      </c>
      <c r="AQ3004" s="4" t="s">
        <v>63</v>
      </c>
      <c r="AR3004" s="4" t="s">
        <v>63</v>
      </c>
      <c r="AS3004" s="4" t="s">
        <v>63</v>
      </c>
      <c r="AT3004" s="4" t="s">
        <v>63</v>
      </c>
      <c r="AU3004" s="4" t="s">
        <v>63</v>
      </c>
      <c r="AV3004" s="4" t="s">
        <v>63</v>
      </c>
      <c r="AW3004" s="4" t="s">
        <v>63</v>
      </c>
      <c r="AX3004" s="4" t="s">
        <v>63</v>
      </c>
      <c r="AY3004" s="4" t="s">
        <v>63</v>
      </c>
      <c r="AZ3004" s="4" t="s">
        <v>63</v>
      </c>
      <c r="BA3004" s="4" t="s">
        <v>63</v>
      </c>
      <c r="BB3004" s="4" t="s">
        <v>63</v>
      </c>
      <c r="BC3004" s="4" t="s">
        <v>63</v>
      </c>
      <c r="BD3004" s="4" t="s">
        <v>63</v>
      </c>
      <c r="BE3004" s="4" t="s">
        <v>63</v>
      </c>
      <c r="BF3004" s="4" t="s">
        <v>63</v>
      </c>
    </row>
    <row r="3005" spans="1:58">
      <c r="A3005" s="4" t="s">
        <v>58</v>
      </c>
      <c r="B3005" s="4" t="s">
        <v>24585</v>
      </c>
      <c r="C3005" s="4" t="s">
        <v>24586</v>
      </c>
      <c r="D3005" s="4" t="s">
        <v>24587</v>
      </c>
      <c r="E3005" s="4" t="s">
        <v>24588</v>
      </c>
      <c r="F3005" s="4">
        <v>2011</v>
      </c>
      <c r="G3005" s="4" t="s">
        <v>614</v>
      </c>
      <c r="H3005" s="4">
        <v>33</v>
      </c>
      <c r="I3005" s="4">
        <v>4</v>
      </c>
      <c r="J3005" s="4">
        <v>497</v>
      </c>
      <c r="K3005" s="4">
        <v>497</v>
      </c>
      <c r="L3005" s="4" t="s">
        <v>24589</v>
      </c>
      <c r="M3005" s="4" t="s">
        <v>63</v>
      </c>
      <c r="N3005" s="4" t="s">
        <v>24590</v>
      </c>
      <c r="O3005" s="4" t="s">
        <v>63</v>
      </c>
      <c r="P3005" s="4"/>
      <c r="Q3005" s="4" t="s">
        <v>63</v>
      </c>
      <c r="R3005" s="4" t="s">
        <v>63</v>
      </c>
      <c r="S3005" s="4" t="s">
        <v>63</v>
      </c>
      <c r="T3005" s="4" t="s">
        <v>63</v>
      </c>
      <c r="U3005" s="4"/>
      <c r="V3005" s="4"/>
      <c r="W3005" s="4"/>
      <c r="X3005" s="4" t="s">
        <v>63</v>
      </c>
      <c r="Y3005" s="4" t="s">
        <v>24591</v>
      </c>
      <c r="Z3005" s="4" t="s">
        <v>63</v>
      </c>
      <c r="AA3005" s="4" t="s">
        <v>24592</v>
      </c>
      <c r="AB3005" s="4" t="s">
        <v>24593</v>
      </c>
      <c r="AC3005" s="4" t="s">
        <v>67</v>
      </c>
      <c r="AD3005" s="4" t="s">
        <v>63</v>
      </c>
      <c r="AE3005" s="4" t="s">
        <v>63</v>
      </c>
      <c r="AF3005" s="4" t="s">
        <v>63</v>
      </c>
      <c r="AG3005" s="4" t="s">
        <v>63</v>
      </c>
      <c r="AH3005" s="4" t="s">
        <v>63</v>
      </c>
      <c r="AI3005" s="4" t="s">
        <v>63</v>
      </c>
      <c r="AJ3005" s="4" t="s">
        <v>63</v>
      </c>
      <c r="AK3005" s="4" t="s">
        <v>63</v>
      </c>
      <c r="AL3005" s="4" t="s">
        <v>63</v>
      </c>
      <c r="AM3005" s="4" t="s">
        <v>24586</v>
      </c>
      <c r="AN3005" s="4" t="s">
        <v>63</v>
      </c>
      <c r="AO3005" s="4" t="s">
        <v>63</v>
      </c>
      <c r="AP3005" s="4" t="s">
        <v>63</v>
      </c>
      <c r="AQ3005" s="4" t="s">
        <v>63</v>
      </c>
      <c r="AR3005" s="4" t="s">
        <v>63</v>
      </c>
      <c r="AS3005" s="4" t="s">
        <v>63</v>
      </c>
      <c r="AT3005" s="4" t="s">
        <v>63</v>
      </c>
      <c r="AU3005" s="4" t="s">
        <v>63</v>
      </c>
      <c r="AV3005" s="4" t="s">
        <v>63</v>
      </c>
      <c r="AW3005" s="4" t="s">
        <v>63</v>
      </c>
      <c r="AX3005" s="4" t="s">
        <v>63</v>
      </c>
      <c r="AY3005" s="4" t="s">
        <v>63</v>
      </c>
      <c r="AZ3005" s="4" t="s">
        <v>63</v>
      </c>
      <c r="BA3005" s="4" t="s">
        <v>63</v>
      </c>
      <c r="BB3005" s="4" t="s">
        <v>63</v>
      </c>
      <c r="BC3005" s="4" t="s">
        <v>63</v>
      </c>
      <c r="BD3005" s="4" t="s">
        <v>63</v>
      </c>
      <c r="BE3005" s="4" t="s">
        <v>63</v>
      </c>
      <c r="BF3005" s="4" t="s">
        <v>63</v>
      </c>
    </row>
    <row r="3006" spans="1:58">
      <c r="A3006" s="4" t="s">
        <v>58</v>
      </c>
      <c r="B3006" s="4" t="s">
        <v>24594</v>
      </c>
      <c r="C3006" s="4" t="s">
        <v>24595</v>
      </c>
      <c r="D3006" s="4" t="s">
        <v>24596</v>
      </c>
      <c r="E3006" s="4" t="s">
        <v>63</v>
      </c>
      <c r="F3006" s="4">
        <v>2014</v>
      </c>
      <c r="G3006" s="4" t="s">
        <v>138</v>
      </c>
      <c r="H3006" s="4">
        <v>27</v>
      </c>
      <c r="I3006" s="4" t="s">
        <v>63</v>
      </c>
      <c r="J3006" s="4">
        <v>65</v>
      </c>
      <c r="K3006" s="4">
        <v>68</v>
      </c>
      <c r="L3006" s="4" t="s">
        <v>24597</v>
      </c>
      <c r="M3006" s="4" t="s">
        <v>24598</v>
      </c>
      <c r="N3006" s="4" t="s">
        <v>24599</v>
      </c>
      <c r="O3006" s="4" t="s">
        <v>63</v>
      </c>
      <c r="P3006" s="4"/>
      <c r="Q3006" s="4" t="s">
        <v>63</v>
      </c>
      <c r="R3006" s="4" t="s">
        <v>63</v>
      </c>
      <c r="S3006" s="4" t="s">
        <v>63</v>
      </c>
      <c r="T3006" s="4" t="s">
        <v>63</v>
      </c>
      <c r="U3006" s="4"/>
      <c r="V3006" s="4"/>
      <c r="W3006" s="4"/>
      <c r="X3006" s="4" t="s">
        <v>63</v>
      </c>
      <c r="Y3006" s="4" t="s">
        <v>24600</v>
      </c>
      <c r="Z3006" s="4" t="s">
        <v>63</v>
      </c>
      <c r="AA3006" s="4" t="s">
        <v>24601</v>
      </c>
      <c r="AB3006" s="4" t="s">
        <v>24602</v>
      </c>
      <c r="AC3006" s="4" t="s">
        <v>67</v>
      </c>
      <c r="AD3006" s="4" t="s">
        <v>63</v>
      </c>
      <c r="AE3006" s="4" t="s">
        <v>63</v>
      </c>
      <c r="AF3006" s="4" t="s">
        <v>63</v>
      </c>
      <c r="AG3006" s="4" t="s">
        <v>63</v>
      </c>
      <c r="AH3006" s="4" t="s">
        <v>63</v>
      </c>
      <c r="AI3006" s="4" t="s">
        <v>24603</v>
      </c>
      <c r="AJ3006" s="4" t="s">
        <v>63</v>
      </c>
      <c r="AK3006" s="4" t="s">
        <v>63</v>
      </c>
      <c r="AL3006" s="4" t="s">
        <v>63</v>
      </c>
      <c r="AM3006" s="4" t="s">
        <v>24595</v>
      </c>
      <c r="AN3006" s="4" t="s">
        <v>63</v>
      </c>
      <c r="AO3006" s="4" t="s">
        <v>63</v>
      </c>
      <c r="AP3006" s="4" t="s">
        <v>63</v>
      </c>
      <c r="AQ3006" s="4" t="s">
        <v>63</v>
      </c>
      <c r="AR3006" s="4" t="s">
        <v>63</v>
      </c>
      <c r="AS3006" s="4" t="s">
        <v>63</v>
      </c>
      <c r="AT3006" s="4" t="s">
        <v>63</v>
      </c>
      <c r="AU3006" s="4" t="s">
        <v>63</v>
      </c>
      <c r="AV3006" s="4" t="s">
        <v>63</v>
      </c>
      <c r="AW3006" s="4" t="s">
        <v>63</v>
      </c>
      <c r="AX3006" s="4" t="s">
        <v>63</v>
      </c>
      <c r="AY3006" s="4" t="s">
        <v>63</v>
      </c>
      <c r="AZ3006" s="4" t="s">
        <v>63</v>
      </c>
      <c r="BA3006" s="4" t="s">
        <v>63</v>
      </c>
      <c r="BB3006" s="4" t="s">
        <v>63</v>
      </c>
      <c r="BC3006" s="4" t="s">
        <v>63</v>
      </c>
      <c r="BD3006" s="4" t="s">
        <v>63</v>
      </c>
      <c r="BE3006" s="4" t="s">
        <v>63</v>
      </c>
      <c r="BF3006" s="4" t="s">
        <v>63</v>
      </c>
    </row>
    <row r="3007" spans="1:58">
      <c r="A3007" s="4" t="s">
        <v>58</v>
      </c>
      <c r="B3007" s="4" t="s">
        <v>24604</v>
      </c>
      <c r="C3007" s="4" t="s">
        <v>24605</v>
      </c>
      <c r="D3007" s="4" t="s">
        <v>389</v>
      </c>
      <c r="E3007" s="4" t="s">
        <v>63</v>
      </c>
      <c r="F3007" s="4">
        <v>2012</v>
      </c>
      <c r="G3007" s="4" t="s">
        <v>63</v>
      </c>
      <c r="H3007" s="4">
        <v>33</v>
      </c>
      <c r="I3007" s="4">
        <v>2</v>
      </c>
      <c r="J3007" s="4">
        <v>223</v>
      </c>
      <c r="K3007" s="4">
        <v>223</v>
      </c>
      <c r="L3007" s="4" t="s">
        <v>63</v>
      </c>
      <c r="M3007" s="4" t="s">
        <v>63</v>
      </c>
      <c r="N3007" s="4" t="s">
        <v>24606</v>
      </c>
      <c r="O3007" s="4" t="s">
        <v>63</v>
      </c>
      <c r="P3007" s="4"/>
      <c r="Q3007" s="4" t="s">
        <v>63</v>
      </c>
      <c r="R3007" s="4" t="s">
        <v>63</v>
      </c>
      <c r="S3007" s="4" t="s">
        <v>63</v>
      </c>
      <c r="T3007" s="4" t="s">
        <v>63</v>
      </c>
      <c r="U3007" s="4"/>
      <c r="V3007" s="4"/>
      <c r="W3007" s="4"/>
      <c r="X3007" s="4" t="s">
        <v>63</v>
      </c>
      <c r="Y3007" s="4" t="s">
        <v>392</v>
      </c>
      <c r="Z3007" s="4" t="s">
        <v>63</v>
      </c>
      <c r="AA3007" s="4" t="s">
        <v>24607</v>
      </c>
      <c r="AB3007" s="4" t="s">
        <v>24608</v>
      </c>
      <c r="AC3007" s="4" t="s">
        <v>67</v>
      </c>
      <c r="AD3007" s="4" t="s">
        <v>63</v>
      </c>
      <c r="AE3007" s="4" t="s">
        <v>63</v>
      </c>
      <c r="AF3007" s="4" t="s">
        <v>63</v>
      </c>
      <c r="AG3007" s="4" t="s">
        <v>63</v>
      </c>
      <c r="AH3007" s="4" t="s">
        <v>63</v>
      </c>
      <c r="AI3007" s="4" t="s">
        <v>63</v>
      </c>
      <c r="AJ3007" s="4" t="s">
        <v>63</v>
      </c>
      <c r="AK3007" s="4" t="s">
        <v>63</v>
      </c>
      <c r="AL3007" s="4" t="s">
        <v>63</v>
      </c>
      <c r="AM3007" s="4" t="s">
        <v>24605</v>
      </c>
      <c r="AN3007" s="4" t="s">
        <v>63</v>
      </c>
      <c r="AO3007" s="4" t="s">
        <v>63</v>
      </c>
      <c r="AP3007" s="4" t="s">
        <v>63</v>
      </c>
      <c r="AQ3007" s="4" t="s">
        <v>63</v>
      </c>
      <c r="AR3007" s="4" t="s">
        <v>63</v>
      </c>
      <c r="AS3007" s="4" t="s">
        <v>63</v>
      </c>
      <c r="AT3007" s="4" t="s">
        <v>63</v>
      </c>
      <c r="AU3007" s="4" t="s">
        <v>63</v>
      </c>
      <c r="AV3007" s="4" t="s">
        <v>63</v>
      </c>
      <c r="AW3007" s="4" t="s">
        <v>63</v>
      </c>
      <c r="AX3007" s="4" t="s">
        <v>63</v>
      </c>
      <c r="AY3007" s="4" t="s">
        <v>63</v>
      </c>
      <c r="AZ3007" s="4" t="s">
        <v>63</v>
      </c>
      <c r="BA3007" s="4" t="s">
        <v>63</v>
      </c>
      <c r="BB3007" s="4" t="s">
        <v>63</v>
      </c>
      <c r="BC3007" s="4" t="s">
        <v>63</v>
      </c>
      <c r="BD3007" s="4" t="s">
        <v>63</v>
      </c>
      <c r="BE3007" s="4" t="s">
        <v>63</v>
      </c>
      <c r="BF3007" s="4" t="s">
        <v>63</v>
      </c>
    </row>
    <row r="3008" spans="1:58">
      <c r="A3008" s="4" t="s">
        <v>58</v>
      </c>
      <c r="B3008" s="4" t="s">
        <v>24609</v>
      </c>
      <c r="C3008" s="4" t="s">
        <v>24610</v>
      </c>
      <c r="D3008" s="4" t="s">
        <v>90</v>
      </c>
      <c r="E3008" s="4" t="s">
        <v>63</v>
      </c>
      <c r="F3008" s="4">
        <v>2005</v>
      </c>
      <c r="G3008" s="4" t="s">
        <v>63</v>
      </c>
      <c r="H3008" s="4">
        <v>24</v>
      </c>
      <c r="I3008" s="4">
        <v>2</v>
      </c>
      <c r="J3008" s="4">
        <v>130</v>
      </c>
      <c r="K3008" s="4">
        <v>130</v>
      </c>
      <c r="L3008" s="4" t="s">
        <v>63</v>
      </c>
      <c r="M3008" s="4" t="s">
        <v>63</v>
      </c>
      <c r="N3008" s="4" t="s">
        <v>24611</v>
      </c>
      <c r="O3008" s="4" t="s">
        <v>63</v>
      </c>
      <c r="P3008" s="4"/>
      <c r="Q3008" s="4" t="s">
        <v>63</v>
      </c>
      <c r="R3008" s="4" t="s">
        <v>63</v>
      </c>
      <c r="S3008" s="4" t="s">
        <v>63</v>
      </c>
      <c r="T3008" s="4" t="s">
        <v>63</v>
      </c>
      <c r="U3008" s="4"/>
      <c r="V3008" s="4"/>
      <c r="W3008" s="4"/>
      <c r="X3008" s="4" t="s">
        <v>63</v>
      </c>
      <c r="Y3008" s="4" t="s">
        <v>93</v>
      </c>
      <c r="Z3008" s="4" t="s">
        <v>63</v>
      </c>
      <c r="AA3008" s="4" t="s">
        <v>24612</v>
      </c>
      <c r="AB3008" s="4" t="s">
        <v>24613</v>
      </c>
      <c r="AC3008" s="4" t="s">
        <v>67</v>
      </c>
      <c r="AD3008" s="4" t="s">
        <v>63</v>
      </c>
      <c r="AE3008" s="4" t="s">
        <v>63</v>
      </c>
      <c r="AF3008" s="4" t="s">
        <v>63</v>
      </c>
      <c r="AG3008" s="4" t="s">
        <v>63</v>
      </c>
      <c r="AH3008" s="4" t="s">
        <v>63</v>
      </c>
      <c r="AI3008" s="4" t="s">
        <v>63</v>
      </c>
      <c r="AJ3008" s="4" t="s">
        <v>63</v>
      </c>
      <c r="AK3008" s="4" t="s">
        <v>63</v>
      </c>
      <c r="AL3008" s="4" t="s">
        <v>63</v>
      </c>
      <c r="AM3008" s="4" t="s">
        <v>24610</v>
      </c>
      <c r="AN3008" s="4" t="s">
        <v>63</v>
      </c>
      <c r="AO3008" s="4" t="s">
        <v>63</v>
      </c>
      <c r="AP3008" s="4" t="s">
        <v>63</v>
      </c>
      <c r="AQ3008" s="4" t="s">
        <v>63</v>
      </c>
      <c r="AR3008" s="4" t="s">
        <v>63</v>
      </c>
      <c r="AS3008" s="4" t="s">
        <v>63</v>
      </c>
      <c r="AT3008" s="4" t="s">
        <v>63</v>
      </c>
      <c r="AU3008" s="4" t="s">
        <v>63</v>
      </c>
      <c r="AV3008" s="4" t="s">
        <v>63</v>
      </c>
      <c r="AW3008" s="4" t="s">
        <v>63</v>
      </c>
      <c r="AX3008" s="4" t="s">
        <v>63</v>
      </c>
      <c r="AY3008" s="4" t="s">
        <v>63</v>
      </c>
      <c r="AZ3008" s="4" t="s">
        <v>63</v>
      </c>
      <c r="BA3008" s="4" t="s">
        <v>63</v>
      </c>
      <c r="BB3008" s="4" t="s">
        <v>63</v>
      </c>
      <c r="BC3008" s="4" t="s">
        <v>63</v>
      </c>
      <c r="BD3008" s="4" t="s">
        <v>63</v>
      </c>
      <c r="BE3008" s="4" t="s">
        <v>63</v>
      </c>
      <c r="BF3008" s="4" t="s">
        <v>63</v>
      </c>
    </row>
    <row r="3009" spans="1:58">
      <c r="A3009" s="4" t="s">
        <v>58</v>
      </c>
      <c r="B3009" s="4" t="s">
        <v>24614</v>
      </c>
      <c r="C3009" s="4" t="s">
        <v>24615</v>
      </c>
      <c r="D3009" s="4" t="s">
        <v>389</v>
      </c>
      <c r="E3009" s="4" t="s">
        <v>63</v>
      </c>
      <c r="F3009" s="4">
        <v>2009</v>
      </c>
      <c r="G3009" s="4" t="s">
        <v>63</v>
      </c>
      <c r="H3009" s="4">
        <v>30</v>
      </c>
      <c r="I3009" s="4">
        <v>1</v>
      </c>
      <c r="J3009" s="4">
        <v>93</v>
      </c>
      <c r="K3009" s="4">
        <v>93</v>
      </c>
      <c r="L3009" s="4" t="s">
        <v>63</v>
      </c>
      <c r="M3009" s="4" t="s">
        <v>63</v>
      </c>
      <c r="N3009" s="4" t="s">
        <v>24616</v>
      </c>
      <c r="O3009" s="4" t="s">
        <v>63</v>
      </c>
      <c r="P3009" s="4"/>
      <c r="Q3009" s="4" t="s">
        <v>63</v>
      </c>
      <c r="R3009" s="4" t="s">
        <v>63</v>
      </c>
      <c r="S3009" s="4" t="s">
        <v>63</v>
      </c>
      <c r="T3009" s="4" t="s">
        <v>63</v>
      </c>
      <c r="U3009" s="4"/>
      <c r="V3009" s="4"/>
      <c r="W3009" s="4"/>
      <c r="X3009" s="4" t="s">
        <v>63</v>
      </c>
      <c r="Y3009" s="4" t="s">
        <v>392</v>
      </c>
      <c r="Z3009" s="4" t="s">
        <v>63</v>
      </c>
      <c r="AA3009" s="4" t="s">
        <v>24617</v>
      </c>
      <c r="AB3009" s="4" t="s">
        <v>24618</v>
      </c>
      <c r="AC3009" s="4" t="s">
        <v>67</v>
      </c>
      <c r="AD3009" s="4" t="s">
        <v>63</v>
      </c>
      <c r="AE3009" s="4" t="s">
        <v>63</v>
      </c>
      <c r="AF3009" s="4" t="s">
        <v>63</v>
      </c>
      <c r="AG3009" s="4" t="s">
        <v>63</v>
      </c>
      <c r="AH3009" s="4" t="s">
        <v>63</v>
      </c>
      <c r="AI3009" s="4" t="s">
        <v>63</v>
      </c>
      <c r="AJ3009" s="4" t="s">
        <v>63</v>
      </c>
      <c r="AK3009" s="4" t="s">
        <v>63</v>
      </c>
      <c r="AL3009" s="4" t="s">
        <v>63</v>
      </c>
      <c r="AM3009" s="4" t="s">
        <v>24615</v>
      </c>
      <c r="AN3009" s="4" t="s">
        <v>63</v>
      </c>
      <c r="AO3009" s="4" t="s">
        <v>63</v>
      </c>
      <c r="AP3009" s="4" t="s">
        <v>63</v>
      </c>
      <c r="AQ3009" s="4" t="s">
        <v>63</v>
      </c>
      <c r="AR3009" s="4" t="s">
        <v>63</v>
      </c>
      <c r="AS3009" s="4" t="s">
        <v>63</v>
      </c>
      <c r="AT3009" s="4" t="s">
        <v>63</v>
      </c>
      <c r="AU3009" s="4" t="s">
        <v>63</v>
      </c>
      <c r="AV3009" s="4" t="s">
        <v>63</v>
      </c>
      <c r="AW3009" s="4" t="s">
        <v>63</v>
      </c>
      <c r="AX3009" s="4" t="s">
        <v>63</v>
      </c>
      <c r="AY3009" s="4" t="s">
        <v>63</v>
      </c>
      <c r="AZ3009" s="4" t="s">
        <v>63</v>
      </c>
      <c r="BA3009" s="4" t="s">
        <v>63</v>
      </c>
      <c r="BB3009" s="4" t="s">
        <v>63</v>
      </c>
      <c r="BC3009" s="4" t="s">
        <v>63</v>
      </c>
      <c r="BD3009" s="4" t="s">
        <v>63</v>
      </c>
      <c r="BE3009" s="4" t="s">
        <v>63</v>
      </c>
      <c r="BF3009" s="4" t="s">
        <v>63</v>
      </c>
    </row>
    <row r="3010" spans="1:58">
      <c r="A3010" s="4" t="s">
        <v>58</v>
      </c>
      <c r="B3010" s="4" t="s">
        <v>24619</v>
      </c>
      <c r="C3010" s="4" t="s">
        <v>24620</v>
      </c>
      <c r="D3010" s="4" t="s">
        <v>11901</v>
      </c>
      <c r="E3010" s="4" t="s">
        <v>63</v>
      </c>
      <c r="F3010" s="4">
        <v>2018</v>
      </c>
      <c r="G3010" s="4" t="s">
        <v>326</v>
      </c>
      <c r="H3010" s="4">
        <v>60</v>
      </c>
      <c r="I3010" s="4">
        <v>5</v>
      </c>
      <c r="J3010" s="4">
        <v>66</v>
      </c>
      <c r="K3010" s="4">
        <v>66</v>
      </c>
      <c r="L3010" s="4" t="s">
        <v>24621</v>
      </c>
      <c r="M3010" s="4" t="s">
        <v>63</v>
      </c>
      <c r="N3010" s="4" t="s">
        <v>24622</v>
      </c>
      <c r="O3010" s="4" t="s">
        <v>63</v>
      </c>
      <c r="P3010" s="4"/>
      <c r="Q3010" s="4" t="s">
        <v>63</v>
      </c>
      <c r="R3010" s="4" t="s">
        <v>63</v>
      </c>
      <c r="S3010" s="4" t="s">
        <v>63</v>
      </c>
      <c r="T3010" s="4" t="s">
        <v>63</v>
      </c>
      <c r="U3010" s="4"/>
      <c r="V3010" s="4"/>
      <c r="W3010" s="4"/>
      <c r="X3010" s="4" t="s">
        <v>63</v>
      </c>
      <c r="Y3010" s="4" t="s">
        <v>11904</v>
      </c>
      <c r="Z3010" s="4" t="s">
        <v>63</v>
      </c>
      <c r="AA3010" s="4" t="s">
        <v>24623</v>
      </c>
      <c r="AB3010" s="4" t="s">
        <v>24624</v>
      </c>
      <c r="AC3010" s="4" t="s">
        <v>67</v>
      </c>
      <c r="AD3010" s="4" t="s">
        <v>63</v>
      </c>
      <c r="AE3010" s="4" t="s">
        <v>63</v>
      </c>
      <c r="AF3010" s="4" t="s">
        <v>63</v>
      </c>
      <c r="AG3010" s="4" t="s">
        <v>63</v>
      </c>
      <c r="AH3010" s="4" t="s">
        <v>63</v>
      </c>
      <c r="AI3010" s="4" t="s">
        <v>63</v>
      </c>
      <c r="AJ3010" s="4" t="s">
        <v>63</v>
      </c>
      <c r="AK3010" s="4" t="s">
        <v>63</v>
      </c>
      <c r="AL3010" s="4" t="s">
        <v>63</v>
      </c>
      <c r="AM3010" s="4" t="s">
        <v>24620</v>
      </c>
      <c r="AN3010" s="4" t="s">
        <v>63</v>
      </c>
      <c r="AO3010" s="4" t="s">
        <v>63</v>
      </c>
      <c r="AP3010" s="4" t="s">
        <v>63</v>
      </c>
      <c r="AQ3010" s="4" t="s">
        <v>63</v>
      </c>
      <c r="AR3010" s="4" t="s">
        <v>63</v>
      </c>
      <c r="AS3010" s="4" t="s">
        <v>63</v>
      </c>
      <c r="AT3010" s="4" t="s">
        <v>63</v>
      </c>
      <c r="AU3010" s="4" t="s">
        <v>63</v>
      </c>
      <c r="AV3010" s="4" t="s">
        <v>63</v>
      </c>
      <c r="AW3010" s="4" t="s">
        <v>63</v>
      </c>
      <c r="AX3010" s="4" t="s">
        <v>63</v>
      </c>
      <c r="AY3010" s="4" t="s">
        <v>63</v>
      </c>
      <c r="AZ3010" s="4" t="s">
        <v>63</v>
      </c>
      <c r="BA3010" s="4" t="s">
        <v>63</v>
      </c>
      <c r="BB3010" s="4" t="s">
        <v>63</v>
      </c>
      <c r="BC3010" s="4" t="s">
        <v>63</v>
      </c>
      <c r="BD3010" s="4" t="s">
        <v>63</v>
      </c>
      <c r="BE3010" s="4" t="s">
        <v>63</v>
      </c>
      <c r="BF3010" s="4" t="s">
        <v>63</v>
      </c>
    </row>
    <row r="3011" spans="1:58">
      <c r="A3011" s="4" t="s">
        <v>58</v>
      </c>
      <c r="B3011" s="4" t="s">
        <v>24625</v>
      </c>
      <c r="C3011" s="4" t="s">
        <v>24626</v>
      </c>
      <c r="D3011" s="4" t="s">
        <v>23542</v>
      </c>
      <c r="E3011" s="4" t="s">
        <v>23543</v>
      </c>
      <c r="F3011" s="4">
        <v>2015</v>
      </c>
      <c r="G3011" s="4" t="s">
        <v>614</v>
      </c>
      <c r="H3011" s="4">
        <v>37</v>
      </c>
      <c r="I3011" s="4">
        <v>8</v>
      </c>
      <c r="J3011" s="4" t="s">
        <v>24627</v>
      </c>
      <c r="K3011" s="4" t="s">
        <v>24627</v>
      </c>
      <c r="L3011" s="4" t="s">
        <v>63</v>
      </c>
      <c r="M3011" s="4" t="s">
        <v>63</v>
      </c>
      <c r="N3011" s="4" t="s">
        <v>24628</v>
      </c>
      <c r="O3011" s="4" t="s">
        <v>63</v>
      </c>
      <c r="P3011" s="4"/>
      <c r="Q3011" s="4" t="s">
        <v>63</v>
      </c>
      <c r="R3011" s="4" t="s">
        <v>63</v>
      </c>
      <c r="S3011" s="4" t="s">
        <v>63</v>
      </c>
      <c r="T3011" s="4" t="s">
        <v>63</v>
      </c>
      <c r="U3011" s="4"/>
      <c r="V3011" s="4"/>
      <c r="W3011" s="4"/>
      <c r="X3011" s="4" t="s">
        <v>63</v>
      </c>
      <c r="Y3011" s="4" t="s">
        <v>23546</v>
      </c>
      <c r="Z3011" s="4" t="s">
        <v>63</v>
      </c>
      <c r="AA3011" s="4" t="s">
        <v>24629</v>
      </c>
      <c r="AB3011" s="4" t="s">
        <v>24630</v>
      </c>
      <c r="AC3011" s="4" t="s">
        <v>67</v>
      </c>
      <c r="AD3011" s="4" t="s">
        <v>63</v>
      </c>
      <c r="AE3011" s="4" t="s">
        <v>63</v>
      </c>
      <c r="AF3011" s="4" t="s">
        <v>63</v>
      </c>
      <c r="AG3011" s="4" t="s">
        <v>63</v>
      </c>
      <c r="AH3011" s="4" t="s">
        <v>63</v>
      </c>
      <c r="AI3011" s="4" t="s">
        <v>24631</v>
      </c>
      <c r="AJ3011" s="4" t="s">
        <v>63</v>
      </c>
      <c r="AK3011" s="4" t="s">
        <v>63</v>
      </c>
      <c r="AL3011" s="4" t="s">
        <v>63</v>
      </c>
      <c r="AM3011" s="4" t="s">
        <v>24626</v>
      </c>
      <c r="AN3011" s="4" t="s">
        <v>63</v>
      </c>
      <c r="AO3011" s="4" t="s">
        <v>63</v>
      </c>
      <c r="AP3011" s="4" t="s">
        <v>63</v>
      </c>
      <c r="AQ3011" s="4" t="s">
        <v>63</v>
      </c>
      <c r="AR3011" s="4" t="s">
        <v>63</v>
      </c>
      <c r="AS3011" s="4" t="s">
        <v>63</v>
      </c>
      <c r="AT3011" s="4" t="s">
        <v>63</v>
      </c>
      <c r="AU3011" s="4" t="s">
        <v>63</v>
      </c>
      <c r="AV3011" s="4" t="s">
        <v>63</v>
      </c>
      <c r="AW3011" s="4" t="s">
        <v>63</v>
      </c>
      <c r="AX3011" s="4" t="s">
        <v>63</v>
      </c>
      <c r="AY3011" s="4" t="s">
        <v>63</v>
      </c>
      <c r="AZ3011" s="4" t="s">
        <v>63</v>
      </c>
      <c r="BA3011" s="4" t="s">
        <v>63</v>
      </c>
      <c r="BB3011" s="4" t="s">
        <v>63</v>
      </c>
      <c r="BC3011" s="4" t="s">
        <v>63</v>
      </c>
      <c r="BD3011" s="4" t="s">
        <v>63</v>
      </c>
      <c r="BE3011" s="4" t="s">
        <v>63</v>
      </c>
      <c r="BF3011" s="4" t="s">
        <v>63</v>
      </c>
    </row>
    <row r="3012" spans="1:58">
      <c r="A3012" s="4" t="s">
        <v>58</v>
      </c>
      <c r="B3012" s="4" t="s">
        <v>24632</v>
      </c>
      <c r="C3012" s="4" t="s">
        <v>24633</v>
      </c>
      <c r="D3012" s="4" t="s">
        <v>371</v>
      </c>
      <c r="E3012" s="4" t="s">
        <v>63</v>
      </c>
      <c r="F3012" s="4">
        <v>2007</v>
      </c>
      <c r="G3012" s="4" t="s">
        <v>84</v>
      </c>
      <c r="H3012" s="4">
        <v>22</v>
      </c>
      <c r="I3012" s="4" t="s">
        <v>63</v>
      </c>
      <c r="J3012" s="4">
        <v>187</v>
      </c>
      <c r="K3012" s="4">
        <v>187</v>
      </c>
      <c r="L3012" s="4" t="s">
        <v>63</v>
      </c>
      <c r="M3012" s="4" t="s">
        <v>63</v>
      </c>
      <c r="N3012" s="4" t="s">
        <v>24634</v>
      </c>
      <c r="O3012" s="4" t="s">
        <v>63</v>
      </c>
      <c r="P3012" s="4"/>
      <c r="Q3012" s="4" t="s">
        <v>63</v>
      </c>
      <c r="R3012" s="4" t="s">
        <v>63</v>
      </c>
      <c r="S3012" s="4" t="s">
        <v>63</v>
      </c>
      <c r="T3012" s="4" t="s">
        <v>63</v>
      </c>
      <c r="U3012" s="4"/>
      <c r="V3012" s="4"/>
      <c r="W3012" s="4"/>
      <c r="X3012" s="4" t="s">
        <v>63</v>
      </c>
      <c r="Y3012" s="4" t="s">
        <v>375</v>
      </c>
      <c r="Z3012" s="4" t="s">
        <v>63</v>
      </c>
      <c r="AA3012" s="4" t="s">
        <v>24635</v>
      </c>
      <c r="AB3012" s="4" t="s">
        <v>24636</v>
      </c>
      <c r="AC3012" s="4" t="s">
        <v>67</v>
      </c>
      <c r="AD3012" s="4" t="s">
        <v>63</v>
      </c>
      <c r="AE3012" s="4" t="s">
        <v>63</v>
      </c>
      <c r="AF3012" s="4" t="s">
        <v>63</v>
      </c>
      <c r="AG3012" s="4" t="s">
        <v>63</v>
      </c>
      <c r="AH3012" s="4" t="s">
        <v>63</v>
      </c>
      <c r="AI3012" s="4" t="s">
        <v>63</v>
      </c>
      <c r="AJ3012" s="4" t="s">
        <v>63</v>
      </c>
      <c r="AK3012" s="4" t="s">
        <v>63</v>
      </c>
      <c r="AL3012" s="4" t="s">
        <v>63</v>
      </c>
      <c r="AM3012" s="4" t="s">
        <v>24633</v>
      </c>
      <c r="AN3012" s="4" t="s">
        <v>63</v>
      </c>
      <c r="AO3012" s="4" t="s">
        <v>63</v>
      </c>
      <c r="AP3012" s="4" t="s">
        <v>63</v>
      </c>
      <c r="AQ3012" s="4" t="s">
        <v>63</v>
      </c>
      <c r="AR3012" s="4" t="s">
        <v>63</v>
      </c>
      <c r="AS3012" s="4" t="s">
        <v>63</v>
      </c>
      <c r="AT3012" s="4" t="s">
        <v>63</v>
      </c>
      <c r="AU3012" s="4" t="s">
        <v>63</v>
      </c>
      <c r="AV3012" s="4" t="s">
        <v>63</v>
      </c>
      <c r="AW3012" s="4" t="s">
        <v>63</v>
      </c>
      <c r="AX3012" s="4" t="s">
        <v>63</v>
      </c>
      <c r="AY3012" s="4" t="s">
        <v>63</v>
      </c>
      <c r="AZ3012" s="4" t="s">
        <v>63</v>
      </c>
      <c r="BA3012" s="4" t="s">
        <v>63</v>
      </c>
      <c r="BB3012" s="4" t="s">
        <v>63</v>
      </c>
      <c r="BC3012" s="4" t="s">
        <v>63</v>
      </c>
      <c r="BD3012" s="4" t="s">
        <v>63</v>
      </c>
      <c r="BE3012" s="4" t="s">
        <v>63</v>
      </c>
      <c r="BF3012" s="4" t="s">
        <v>63</v>
      </c>
    </row>
    <row r="3013" spans="1:58">
      <c r="A3013" s="4" t="s">
        <v>58</v>
      </c>
      <c r="B3013" s="4" t="s">
        <v>10439</v>
      </c>
      <c r="C3013" s="4" t="s">
        <v>24637</v>
      </c>
      <c r="D3013" s="4" t="s">
        <v>389</v>
      </c>
      <c r="E3013" s="4" t="s">
        <v>63</v>
      </c>
      <c r="F3013" s="4">
        <v>2009</v>
      </c>
      <c r="G3013" s="4" t="s">
        <v>63</v>
      </c>
      <c r="H3013" s="4">
        <v>30</v>
      </c>
      <c r="I3013" s="4">
        <v>1</v>
      </c>
      <c r="J3013" s="4">
        <v>96</v>
      </c>
      <c r="K3013" s="4">
        <v>96</v>
      </c>
      <c r="L3013" s="4" t="s">
        <v>63</v>
      </c>
      <c r="M3013" s="4" t="s">
        <v>63</v>
      </c>
      <c r="N3013" s="4" t="s">
        <v>24638</v>
      </c>
      <c r="O3013" s="4" t="s">
        <v>63</v>
      </c>
      <c r="P3013" s="4"/>
      <c r="Q3013" s="4" t="s">
        <v>63</v>
      </c>
      <c r="R3013" s="4" t="s">
        <v>63</v>
      </c>
      <c r="S3013" s="4" t="s">
        <v>63</v>
      </c>
      <c r="T3013" s="4" t="s">
        <v>63</v>
      </c>
      <c r="U3013" s="4"/>
      <c r="V3013" s="4"/>
      <c r="W3013" s="4"/>
      <c r="X3013" s="4" t="s">
        <v>63</v>
      </c>
      <c r="Y3013" s="4" t="s">
        <v>392</v>
      </c>
      <c r="Z3013" s="4" t="s">
        <v>63</v>
      </c>
      <c r="AA3013" s="4" t="s">
        <v>24639</v>
      </c>
      <c r="AB3013" s="4" t="s">
        <v>24640</v>
      </c>
      <c r="AC3013" s="4" t="s">
        <v>67</v>
      </c>
      <c r="AD3013" s="4" t="s">
        <v>63</v>
      </c>
      <c r="AE3013" s="4" t="s">
        <v>63</v>
      </c>
      <c r="AF3013" s="4" t="s">
        <v>63</v>
      </c>
      <c r="AG3013" s="4" t="s">
        <v>63</v>
      </c>
      <c r="AH3013" s="4" t="s">
        <v>63</v>
      </c>
      <c r="AI3013" s="4" t="s">
        <v>63</v>
      </c>
      <c r="AJ3013" s="4" t="s">
        <v>63</v>
      </c>
      <c r="AK3013" s="4" t="s">
        <v>63</v>
      </c>
      <c r="AL3013" s="4" t="s">
        <v>63</v>
      </c>
      <c r="AM3013" s="4" t="s">
        <v>24637</v>
      </c>
      <c r="AN3013" s="4" t="s">
        <v>63</v>
      </c>
      <c r="AO3013" s="4" t="s">
        <v>63</v>
      </c>
      <c r="AP3013" s="4" t="s">
        <v>63</v>
      </c>
      <c r="AQ3013" s="4" t="s">
        <v>63</v>
      </c>
      <c r="AR3013" s="4" t="s">
        <v>63</v>
      </c>
      <c r="AS3013" s="4" t="s">
        <v>63</v>
      </c>
      <c r="AT3013" s="4" t="s">
        <v>63</v>
      </c>
      <c r="AU3013" s="4" t="s">
        <v>63</v>
      </c>
      <c r="AV3013" s="4" t="s">
        <v>63</v>
      </c>
      <c r="AW3013" s="4" t="s">
        <v>63</v>
      </c>
      <c r="AX3013" s="4" t="s">
        <v>63</v>
      </c>
      <c r="AY3013" s="4" t="s">
        <v>63</v>
      </c>
      <c r="AZ3013" s="4" t="s">
        <v>63</v>
      </c>
      <c r="BA3013" s="4" t="s">
        <v>63</v>
      </c>
      <c r="BB3013" s="4" t="s">
        <v>63</v>
      </c>
      <c r="BC3013" s="4" t="s">
        <v>63</v>
      </c>
      <c r="BD3013" s="4" t="s">
        <v>63</v>
      </c>
      <c r="BE3013" s="4" t="s">
        <v>63</v>
      </c>
      <c r="BF3013" s="4" t="s">
        <v>63</v>
      </c>
    </row>
    <row r="3014" spans="1:58">
      <c r="A3014" s="4" t="s">
        <v>58</v>
      </c>
      <c r="B3014" s="4" t="s">
        <v>10439</v>
      </c>
      <c r="C3014" s="4" t="s">
        <v>24641</v>
      </c>
      <c r="D3014" s="4" t="s">
        <v>371</v>
      </c>
      <c r="E3014" s="4" t="s">
        <v>63</v>
      </c>
      <c r="F3014" s="4">
        <v>2008</v>
      </c>
      <c r="G3014" s="4" t="s">
        <v>274</v>
      </c>
      <c r="H3014" s="4">
        <v>23</v>
      </c>
      <c r="I3014" s="4" t="s">
        <v>63</v>
      </c>
      <c r="J3014" s="4">
        <v>209</v>
      </c>
      <c r="K3014" s="4">
        <v>209</v>
      </c>
      <c r="L3014" s="4" t="s">
        <v>63</v>
      </c>
      <c r="M3014" s="4" t="s">
        <v>63</v>
      </c>
      <c r="N3014" s="4" t="s">
        <v>24642</v>
      </c>
      <c r="O3014" s="4" t="s">
        <v>63</v>
      </c>
      <c r="P3014" s="4"/>
      <c r="Q3014" s="4" t="s">
        <v>63</v>
      </c>
      <c r="R3014" s="4" t="s">
        <v>63</v>
      </c>
      <c r="S3014" s="4" t="s">
        <v>63</v>
      </c>
      <c r="T3014" s="4" t="s">
        <v>63</v>
      </c>
      <c r="U3014" s="4"/>
      <c r="V3014" s="4"/>
      <c r="W3014" s="4"/>
      <c r="X3014" s="4" t="s">
        <v>63</v>
      </c>
      <c r="Y3014" s="4" t="s">
        <v>375</v>
      </c>
      <c r="Z3014" s="4" t="s">
        <v>63</v>
      </c>
      <c r="AA3014" s="4" t="s">
        <v>24643</v>
      </c>
      <c r="AB3014" s="4" t="s">
        <v>24644</v>
      </c>
      <c r="AC3014" s="4" t="s">
        <v>67</v>
      </c>
      <c r="AD3014" s="4" t="s">
        <v>63</v>
      </c>
      <c r="AE3014" s="4" t="s">
        <v>63</v>
      </c>
      <c r="AF3014" s="4" t="s">
        <v>63</v>
      </c>
      <c r="AG3014" s="4" t="s">
        <v>63</v>
      </c>
      <c r="AH3014" s="4" t="s">
        <v>63</v>
      </c>
      <c r="AI3014" s="4" t="s">
        <v>63</v>
      </c>
      <c r="AJ3014" s="4" t="s">
        <v>63</v>
      </c>
      <c r="AK3014" s="4" t="s">
        <v>63</v>
      </c>
      <c r="AL3014" s="4" t="s">
        <v>63</v>
      </c>
      <c r="AM3014" s="4" t="s">
        <v>24641</v>
      </c>
      <c r="AN3014" s="4" t="s">
        <v>63</v>
      </c>
      <c r="AO3014" s="4" t="s">
        <v>63</v>
      </c>
      <c r="AP3014" s="4" t="s">
        <v>63</v>
      </c>
      <c r="AQ3014" s="4" t="s">
        <v>63</v>
      </c>
      <c r="AR3014" s="4" t="s">
        <v>63</v>
      </c>
      <c r="AS3014" s="4" t="s">
        <v>63</v>
      </c>
      <c r="AT3014" s="4" t="s">
        <v>63</v>
      </c>
      <c r="AU3014" s="4" t="s">
        <v>63</v>
      </c>
      <c r="AV3014" s="4" t="s">
        <v>63</v>
      </c>
      <c r="AW3014" s="4" t="s">
        <v>63</v>
      </c>
      <c r="AX3014" s="4" t="s">
        <v>63</v>
      </c>
      <c r="AY3014" s="4" t="s">
        <v>63</v>
      </c>
      <c r="AZ3014" s="4" t="s">
        <v>63</v>
      </c>
      <c r="BA3014" s="4" t="s">
        <v>63</v>
      </c>
      <c r="BB3014" s="4" t="s">
        <v>63</v>
      </c>
      <c r="BC3014" s="4" t="s">
        <v>63</v>
      </c>
      <c r="BD3014" s="4" t="s">
        <v>63</v>
      </c>
      <c r="BE3014" s="4" t="s">
        <v>63</v>
      </c>
      <c r="BF3014" s="4" t="s">
        <v>63</v>
      </c>
    </row>
    <row r="3015" spans="1:58">
      <c r="A3015" s="4" t="s">
        <v>58</v>
      </c>
      <c r="B3015" s="4" t="s">
        <v>24645</v>
      </c>
      <c r="C3015" s="4" t="s">
        <v>24646</v>
      </c>
      <c r="D3015" s="4" t="s">
        <v>20150</v>
      </c>
      <c r="E3015" s="4" t="s">
        <v>20151</v>
      </c>
      <c r="F3015" s="4">
        <v>2010</v>
      </c>
      <c r="G3015" s="4" t="s">
        <v>219</v>
      </c>
      <c r="H3015" s="4">
        <v>29</v>
      </c>
      <c r="I3015" s="4" t="s">
        <v>63</v>
      </c>
      <c r="J3015" s="4">
        <v>57</v>
      </c>
      <c r="K3015" s="4">
        <v>57</v>
      </c>
      <c r="L3015" s="4" t="s">
        <v>63</v>
      </c>
      <c r="M3015" s="4" t="s">
        <v>63</v>
      </c>
      <c r="N3015" s="4" t="s">
        <v>24647</v>
      </c>
      <c r="O3015" s="4" t="s">
        <v>63</v>
      </c>
      <c r="P3015" s="4"/>
      <c r="Q3015" s="4" t="s">
        <v>63</v>
      </c>
      <c r="R3015" s="4" t="s">
        <v>63</v>
      </c>
      <c r="S3015" s="4" t="s">
        <v>63</v>
      </c>
      <c r="T3015" s="4" t="s">
        <v>63</v>
      </c>
      <c r="U3015" s="4"/>
      <c r="V3015" s="4"/>
      <c r="W3015" s="4"/>
      <c r="X3015" s="4" t="s">
        <v>63</v>
      </c>
      <c r="Y3015" s="4" t="s">
        <v>644</v>
      </c>
      <c r="Z3015" s="4" t="s">
        <v>63</v>
      </c>
      <c r="AA3015" s="4" t="s">
        <v>24648</v>
      </c>
      <c r="AB3015" s="4" t="s">
        <v>24649</v>
      </c>
      <c r="AC3015" s="4" t="s">
        <v>67</v>
      </c>
      <c r="AD3015" s="4" t="s">
        <v>63</v>
      </c>
      <c r="AE3015" s="4" t="s">
        <v>63</v>
      </c>
      <c r="AF3015" s="4" t="s">
        <v>63</v>
      </c>
      <c r="AG3015" s="4" t="s">
        <v>63</v>
      </c>
      <c r="AH3015" s="4" t="s">
        <v>63</v>
      </c>
      <c r="AI3015" s="4" t="s">
        <v>63</v>
      </c>
      <c r="AJ3015" s="4" t="s">
        <v>63</v>
      </c>
      <c r="AK3015" s="4" t="s">
        <v>63</v>
      </c>
      <c r="AL3015" s="4" t="s">
        <v>63</v>
      </c>
      <c r="AM3015" s="4" t="s">
        <v>24646</v>
      </c>
      <c r="AN3015" s="4" t="s">
        <v>63</v>
      </c>
      <c r="AO3015" s="4" t="s">
        <v>63</v>
      </c>
      <c r="AP3015" s="4" t="s">
        <v>63</v>
      </c>
      <c r="AQ3015" s="4" t="s">
        <v>63</v>
      </c>
      <c r="AR3015" s="4" t="s">
        <v>63</v>
      </c>
      <c r="AS3015" s="4" t="s">
        <v>63</v>
      </c>
      <c r="AT3015" s="4" t="s">
        <v>63</v>
      </c>
      <c r="AU3015" s="4" t="s">
        <v>63</v>
      </c>
      <c r="AV3015" s="4" t="s">
        <v>63</v>
      </c>
      <c r="AW3015" s="4" t="s">
        <v>63</v>
      </c>
      <c r="AX3015" s="4" t="s">
        <v>63</v>
      </c>
      <c r="AY3015" s="4" t="s">
        <v>63</v>
      </c>
      <c r="AZ3015" s="4" t="s">
        <v>63</v>
      </c>
      <c r="BA3015" s="4" t="s">
        <v>63</v>
      </c>
      <c r="BB3015" s="4" t="s">
        <v>63</v>
      </c>
      <c r="BC3015" s="4" t="s">
        <v>63</v>
      </c>
      <c r="BD3015" s="4" t="s">
        <v>63</v>
      </c>
      <c r="BE3015" s="4" t="s">
        <v>63</v>
      </c>
      <c r="BF3015" s="4" t="s">
        <v>63</v>
      </c>
    </row>
    <row r="3016" spans="1:58">
      <c r="A3016" s="4" t="s">
        <v>58</v>
      </c>
      <c r="B3016" s="4" t="s">
        <v>24650</v>
      </c>
      <c r="C3016" s="4" t="s">
        <v>24651</v>
      </c>
      <c r="D3016" s="4" t="s">
        <v>11901</v>
      </c>
      <c r="E3016" s="4" t="s">
        <v>63</v>
      </c>
      <c r="F3016" s="4">
        <v>2018</v>
      </c>
      <c r="G3016" s="4" t="s">
        <v>326</v>
      </c>
      <c r="H3016" s="4">
        <v>60</v>
      </c>
      <c r="I3016" s="4">
        <v>5</v>
      </c>
      <c r="J3016" s="4">
        <v>68</v>
      </c>
      <c r="K3016" s="4">
        <v>68</v>
      </c>
      <c r="L3016" s="4" t="s">
        <v>24652</v>
      </c>
      <c r="M3016" s="4" t="s">
        <v>63</v>
      </c>
      <c r="N3016" s="4" t="s">
        <v>24653</v>
      </c>
      <c r="O3016" s="4" t="s">
        <v>63</v>
      </c>
      <c r="P3016" s="4"/>
      <c r="Q3016" s="4" t="s">
        <v>63</v>
      </c>
      <c r="R3016" s="4" t="s">
        <v>63</v>
      </c>
      <c r="S3016" s="4" t="s">
        <v>63</v>
      </c>
      <c r="T3016" s="4" t="s">
        <v>63</v>
      </c>
      <c r="U3016" s="4"/>
      <c r="V3016" s="4"/>
      <c r="W3016" s="4"/>
      <c r="X3016" s="4" t="s">
        <v>63</v>
      </c>
      <c r="Y3016" s="4" t="s">
        <v>11904</v>
      </c>
      <c r="Z3016" s="4" t="s">
        <v>63</v>
      </c>
      <c r="AA3016" s="4" t="s">
        <v>24654</v>
      </c>
      <c r="AB3016" s="4" t="s">
        <v>24655</v>
      </c>
      <c r="AC3016" s="4" t="s">
        <v>67</v>
      </c>
      <c r="AD3016" s="4" t="s">
        <v>63</v>
      </c>
      <c r="AE3016" s="4" t="s">
        <v>63</v>
      </c>
      <c r="AF3016" s="4" t="s">
        <v>63</v>
      </c>
      <c r="AG3016" s="4" t="s">
        <v>63</v>
      </c>
      <c r="AH3016" s="4" t="s">
        <v>63</v>
      </c>
      <c r="AI3016" s="4" t="s">
        <v>63</v>
      </c>
      <c r="AJ3016" s="4" t="s">
        <v>63</v>
      </c>
      <c r="AK3016" s="4" t="s">
        <v>63</v>
      </c>
      <c r="AL3016" s="4" t="s">
        <v>63</v>
      </c>
      <c r="AM3016" s="4" t="s">
        <v>24651</v>
      </c>
      <c r="AN3016" s="4" t="s">
        <v>63</v>
      </c>
      <c r="AO3016" s="4" t="s">
        <v>63</v>
      </c>
      <c r="AP3016" s="4" t="s">
        <v>63</v>
      </c>
      <c r="AQ3016" s="4" t="s">
        <v>63</v>
      </c>
      <c r="AR3016" s="4" t="s">
        <v>63</v>
      </c>
      <c r="AS3016" s="4" t="s">
        <v>63</v>
      </c>
      <c r="AT3016" s="4" t="s">
        <v>63</v>
      </c>
      <c r="AU3016" s="4" t="s">
        <v>63</v>
      </c>
      <c r="AV3016" s="4" t="s">
        <v>63</v>
      </c>
      <c r="AW3016" s="4" t="s">
        <v>63</v>
      </c>
      <c r="AX3016" s="4" t="s">
        <v>63</v>
      </c>
      <c r="AY3016" s="4" t="s">
        <v>63</v>
      </c>
      <c r="AZ3016" s="4" t="s">
        <v>63</v>
      </c>
      <c r="BA3016" s="4" t="s">
        <v>63</v>
      </c>
      <c r="BB3016" s="4" t="s">
        <v>63</v>
      </c>
      <c r="BC3016" s="4" t="s">
        <v>63</v>
      </c>
      <c r="BD3016" s="4" t="s">
        <v>63</v>
      </c>
      <c r="BE3016" s="4" t="s">
        <v>63</v>
      </c>
      <c r="BF3016" s="4" t="s">
        <v>63</v>
      </c>
    </row>
    <row r="3017" spans="1:58">
      <c r="A3017" s="4" t="s">
        <v>58</v>
      </c>
      <c r="B3017" s="4" t="s">
        <v>24656</v>
      </c>
      <c r="C3017" s="4" t="s">
        <v>24657</v>
      </c>
      <c r="D3017" s="4" t="s">
        <v>24658</v>
      </c>
      <c r="E3017" s="4" t="s">
        <v>24659</v>
      </c>
      <c r="F3017" s="4">
        <v>2012</v>
      </c>
      <c r="G3017" s="4" t="s">
        <v>198</v>
      </c>
      <c r="H3017" s="4">
        <v>47</v>
      </c>
      <c r="I3017" s="4">
        <v>1</v>
      </c>
      <c r="J3017" s="4">
        <v>29</v>
      </c>
      <c r="K3017" s="4">
        <v>42</v>
      </c>
      <c r="L3017" s="4" t="s">
        <v>24660</v>
      </c>
      <c r="M3017" s="4" t="s">
        <v>24661</v>
      </c>
      <c r="N3017" s="4" t="s">
        <v>24662</v>
      </c>
      <c r="O3017" s="4" t="s">
        <v>63</v>
      </c>
      <c r="P3017" s="4"/>
      <c r="Q3017" s="4" t="s">
        <v>63</v>
      </c>
      <c r="R3017" s="4" t="s">
        <v>63</v>
      </c>
      <c r="S3017" s="4" t="s">
        <v>63</v>
      </c>
      <c r="T3017" s="4" t="s">
        <v>63</v>
      </c>
      <c r="U3017" s="4"/>
      <c r="V3017" s="4"/>
      <c r="W3017" s="4"/>
      <c r="X3017" s="4" t="s">
        <v>63</v>
      </c>
      <c r="Y3017" s="4" t="s">
        <v>432</v>
      </c>
      <c r="Z3017" s="4" t="s">
        <v>63</v>
      </c>
      <c r="AA3017" s="4" t="s">
        <v>24663</v>
      </c>
      <c r="AB3017" s="4" t="s">
        <v>24664</v>
      </c>
      <c r="AC3017" s="4" t="s">
        <v>67</v>
      </c>
      <c r="AD3017" s="4" t="s">
        <v>63</v>
      </c>
      <c r="AE3017" s="4" t="s">
        <v>63</v>
      </c>
      <c r="AF3017" s="4" t="s">
        <v>63</v>
      </c>
      <c r="AG3017" s="4" t="s">
        <v>63</v>
      </c>
      <c r="AH3017" s="4" t="s">
        <v>63</v>
      </c>
      <c r="AI3017" s="4" t="s">
        <v>24665</v>
      </c>
      <c r="AJ3017" s="4" t="s">
        <v>63</v>
      </c>
      <c r="AK3017" s="4" t="s">
        <v>63</v>
      </c>
      <c r="AL3017" s="4" t="s">
        <v>63</v>
      </c>
      <c r="AM3017" s="4" t="s">
        <v>24657</v>
      </c>
      <c r="AN3017" s="4" t="s">
        <v>63</v>
      </c>
      <c r="AO3017" s="4" t="s">
        <v>63</v>
      </c>
      <c r="AP3017" s="4" t="s">
        <v>63</v>
      </c>
      <c r="AQ3017" s="4" t="s">
        <v>63</v>
      </c>
      <c r="AR3017" s="4" t="s">
        <v>63</v>
      </c>
      <c r="AS3017" s="4" t="s">
        <v>63</v>
      </c>
      <c r="AT3017" s="4" t="s">
        <v>63</v>
      </c>
      <c r="AU3017" s="4" t="s">
        <v>63</v>
      </c>
      <c r="AV3017" s="4" t="s">
        <v>63</v>
      </c>
      <c r="AW3017" s="4" t="s">
        <v>63</v>
      </c>
      <c r="AX3017" s="4" t="s">
        <v>63</v>
      </c>
      <c r="AY3017" s="4" t="s">
        <v>63</v>
      </c>
      <c r="AZ3017" s="4" t="s">
        <v>63</v>
      </c>
      <c r="BA3017" s="4" t="s">
        <v>63</v>
      </c>
      <c r="BB3017" s="4" t="s">
        <v>63</v>
      </c>
      <c r="BC3017" s="4" t="s">
        <v>63</v>
      </c>
      <c r="BD3017" s="4" t="s">
        <v>63</v>
      </c>
      <c r="BE3017" s="4" t="s">
        <v>63</v>
      </c>
      <c r="BF3017" s="4" t="s">
        <v>63</v>
      </c>
    </row>
    <row r="3018" spans="1:58">
      <c r="A3018" s="4" t="s">
        <v>58</v>
      </c>
      <c r="B3018" s="4" t="s">
        <v>24666</v>
      </c>
      <c r="C3018" s="4" t="s">
        <v>24667</v>
      </c>
      <c r="D3018" s="4" t="s">
        <v>20150</v>
      </c>
      <c r="E3018" s="4" t="s">
        <v>20151</v>
      </c>
      <c r="F3018" s="4">
        <v>2010</v>
      </c>
      <c r="G3018" s="4" t="s">
        <v>274</v>
      </c>
      <c r="H3018" s="4">
        <v>29</v>
      </c>
      <c r="I3018" s="4">
        <v>2</v>
      </c>
      <c r="J3018" s="4">
        <v>219</v>
      </c>
      <c r="K3018" s="4">
        <v>226</v>
      </c>
      <c r="L3018" s="4" t="s">
        <v>24668</v>
      </c>
      <c r="M3018" s="4" t="s">
        <v>24669</v>
      </c>
      <c r="N3018" s="4" t="s">
        <v>24670</v>
      </c>
      <c r="O3018" s="4" t="s">
        <v>63</v>
      </c>
      <c r="P3018" s="4"/>
      <c r="Q3018" s="4" t="s">
        <v>63</v>
      </c>
      <c r="R3018" s="4" t="s">
        <v>63</v>
      </c>
      <c r="S3018" s="4" t="s">
        <v>63</v>
      </c>
      <c r="T3018" s="4" t="s">
        <v>63</v>
      </c>
      <c r="U3018" s="4"/>
      <c r="V3018" s="4"/>
      <c r="W3018" s="4"/>
      <c r="X3018" s="4" t="s">
        <v>63</v>
      </c>
      <c r="Y3018" s="4" t="s">
        <v>644</v>
      </c>
      <c r="Z3018" s="4" t="s">
        <v>63</v>
      </c>
      <c r="AA3018" s="4" t="s">
        <v>24671</v>
      </c>
      <c r="AB3018" s="4" t="s">
        <v>24672</v>
      </c>
      <c r="AC3018" s="4" t="s">
        <v>67</v>
      </c>
      <c r="AD3018" s="4" t="s">
        <v>63</v>
      </c>
      <c r="AE3018" s="4" t="s">
        <v>63</v>
      </c>
      <c r="AF3018" s="4" t="s">
        <v>63</v>
      </c>
      <c r="AG3018" s="4" t="s">
        <v>63</v>
      </c>
      <c r="AH3018" s="4" t="s">
        <v>63</v>
      </c>
      <c r="AI3018" s="4" t="s">
        <v>24673</v>
      </c>
      <c r="AJ3018" s="4" t="s">
        <v>63</v>
      </c>
      <c r="AK3018" s="4" t="s">
        <v>63</v>
      </c>
      <c r="AL3018" s="4" t="s">
        <v>63</v>
      </c>
      <c r="AM3018" s="4" t="s">
        <v>24667</v>
      </c>
      <c r="AN3018" s="4" t="s">
        <v>63</v>
      </c>
      <c r="AO3018" s="4" t="s">
        <v>63</v>
      </c>
      <c r="AP3018" s="4" t="s">
        <v>63</v>
      </c>
      <c r="AQ3018" s="4" t="s">
        <v>63</v>
      </c>
      <c r="AR3018" s="4" t="s">
        <v>63</v>
      </c>
      <c r="AS3018" s="4" t="s">
        <v>63</v>
      </c>
      <c r="AT3018" s="4" t="s">
        <v>63</v>
      </c>
      <c r="AU3018" s="4" t="s">
        <v>63</v>
      </c>
      <c r="AV3018" s="4" t="s">
        <v>63</v>
      </c>
      <c r="AW3018" s="4" t="s">
        <v>63</v>
      </c>
      <c r="AX3018" s="4" t="s">
        <v>63</v>
      </c>
      <c r="AY3018" s="4" t="s">
        <v>63</v>
      </c>
      <c r="AZ3018" s="4" t="s">
        <v>63</v>
      </c>
      <c r="BA3018" s="4" t="s">
        <v>63</v>
      </c>
      <c r="BB3018" s="4" t="s">
        <v>63</v>
      </c>
      <c r="BC3018" s="4" t="s">
        <v>63</v>
      </c>
      <c r="BD3018" s="4" t="s">
        <v>63</v>
      </c>
      <c r="BE3018" s="4" t="s">
        <v>63</v>
      </c>
      <c r="BF3018" s="4" t="s">
        <v>63</v>
      </c>
    </row>
    <row r="3019" spans="1:58">
      <c r="A3019" s="4" t="s">
        <v>58</v>
      </c>
      <c r="B3019" s="4" t="s">
        <v>24674</v>
      </c>
      <c r="C3019" s="4" t="s">
        <v>24675</v>
      </c>
      <c r="D3019" s="4" t="s">
        <v>389</v>
      </c>
      <c r="E3019" s="4" t="s">
        <v>63</v>
      </c>
      <c r="F3019" s="4">
        <v>2009</v>
      </c>
      <c r="G3019" s="4" t="s">
        <v>63</v>
      </c>
      <c r="H3019" s="4">
        <v>30</v>
      </c>
      <c r="I3019" s="4">
        <v>1</v>
      </c>
      <c r="J3019" s="4">
        <v>96</v>
      </c>
      <c r="K3019" s="4">
        <v>97</v>
      </c>
      <c r="L3019" s="4" t="s">
        <v>63</v>
      </c>
      <c r="M3019" s="4" t="s">
        <v>63</v>
      </c>
      <c r="N3019" s="4" t="s">
        <v>24676</v>
      </c>
      <c r="O3019" s="4" t="s">
        <v>63</v>
      </c>
      <c r="P3019" s="4"/>
      <c r="Q3019" s="4" t="s">
        <v>63</v>
      </c>
      <c r="R3019" s="4" t="s">
        <v>63</v>
      </c>
      <c r="S3019" s="4" t="s">
        <v>63</v>
      </c>
      <c r="T3019" s="4" t="s">
        <v>63</v>
      </c>
      <c r="U3019" s="4"/>
      <c r="V3019" s="4"/>
      <c r="W3019" s="4"/>
      <c r="X3019" s="4" t="s">
        <v>63</v>
      </c>
      <c r="Y3019" s="4" t="s">
        <v>392</v>
      </c>
      <c r="Z3019" s="4" t="s">
        <v>63</v>
      </c>
      <c r="AA3019" s="4" t="s">
        <v>24677</v>
      </c>
      <c r="AB3019" s="4" t="s">
        <v>24678</v>
      </c>
      <c r="AC3019" s="4" t="s">
        <v>67</v>
      </c>
      <c r="AD3019" s="4" t="s">
        <v>63</v>
      </c>
      <c r="AE3019" s="4" t="s">
        <v>63</v>
      </c>
      <c r="AF3019" s="4" t="s">
        <v>63</v>
      </c>
      <c r="AG3019" s="4" t="s">
        <v>63</v>
      </c>
      <c r="AH3019" s="4" t="s">
        <v>63</v>
      </c>
      <c r="AI3019" s="4" t="s">
        <v>63</v>
      </c>
      <c r="AJ3019" s="4" t="s">
        <v>63</v>
      </c>
      <c r="AK3019" s="4" t="s">
        <v>63</v>
      </c>
      <c r="AL3019" s="4" t="s">
        <v>63</v>
      </c>
      <c r="AM3019" s="4" t="s">
        <v>24675</v>
      </c>
      <c r="AN3019" s="4" t="s">
        <v>63</v>
      </c>
      <c r="AO3019" s="4" t="s">
        <v>63</v>
      </c>
      <c r="AP3019" s="4" t="s">
        <v>63</v>
      </c>
      <c r="AQ3019" s="4" t="s">
        <v>63</v>
      </c>
      <c r="AR3019" s="4" t="s">
        <v>63</v>
      </c>
      <c r="AS3019" s="4" t="s">
        <v>63</v>
      </c>
      <c r="AT3019" s="4" t="s">
        <v>63</v>
      </c>
      <c r="AU3019" s="4" t="s">
        <v>63</v>
      </c>
      <c r="AV3019" s="4" t="s">
        <v>63</v>
      </c>
      <c r="AW3019" s="4" t="s">
        <v>63</v>
      </c>
      <c r="AX3019" s="4" t="s">
        <v>63</v>
      </c>
      <c r="AY3019" s="4" t="s">
        <v>63</v>
      </c>
      <c r="AZ3019" s="4" t="s">
        <v>63</v>
      </c>
      <c r="BA3019" s="4" t="s">
        <v>63</v>
      </c>
      <c r="BB3019" s="4" t="s">
        <v>63</v>
      </c>
      <c r="BC3019" s="4" t="s">
        <v>63</v>
      </c>
      <c r="BD3019" s="4" t="s">
        <v>63</v>
      </c>
      <c r="BE3019" s="4" t="s">
        <v>63</v>
      </c>
      <c r="BF3019" s="4" t="s">
        <v>63</v>
      </c>
    </row>
    <row r="3020" spans="1:58">
      <c r="A3020" s="4" t="s">
        <v>23992</v>
      </c>
      <c r="B3020" s="4" t="s">
        <v>24679</v>
      </c>
      <c r="C3020" s="4" t="s">
        <v>24680</v>
      </c>
      <c r="D3020" s="4" t="s">
        <v>24681</v>
      </c>
      <c r="E3020" s="4" t="s">
        <v>63</v>
      </c>
      <c r="F3020" s="4">
        <v>2011</v>
      </c>
      <c r="G3020" s="4" t="s">
        <v>63</v>
      </c>
      <c r="H3020" s="4">
        <v>15</v>
      </c>
      <c r="I3020" s="4" t="s">
        <v>63</v>
      </c>
      <c r="J3020" s="4" t="s">
        <v>63</v>
      </c>
      <c r="K3020" s="4" t="s">
        <v>63</v>
      </c>
      <c r="L3020" s="4" t="s">
        <v>24682</v>
      </c>
      <c r="M3020" s="4" t="s">
        <v>24683</v>
      </c>
      <c r="N3020" s="4" t="s">
        <v>24684</v>
      </c>
      <c r="O3020" s="4" t="s">
        <v>63</v>
      </c>
      <c r="P3020" s="4"/>
      <c r="Q3020" s="4" t="s">
        <v>63</v>
      </c>
      <c r="R3020" s="4" t="s">
        <v>63</v>
      </c>
      <c r="S3020" s="4" t="s">
        <v>24685</v>
      </c>
      <c r="T3020" s="4" t="s">
        <v>24686</v>
      </c>
      <c r="U3020" s="4"/>
      <c r="V3020" s="4"/>
      <c r="W3020" s="4"/>
      <c r="X3020" s="4" t="s">
        <v>24687</v>
      </c>
      <c r="Y3020" s="4" t="s">
        <v>24688</v>
      </c>
      <c r="Z3020" s="4" t="s">
        <v>63</v>
      </c>
      <c r="AA3020" s="4" t="s">
        <v>24689</v>
      </c>
      <c r="AB3020" s="4" t="s">
        <v>24690</v>
      </c>
      <c r="AC3020" s="4" t="s">
        <v>67</v>
      </c>
      <c r="AD3020" s="4" t="s">
        <v>63</v>
      </c>
      <c r="AE3020" s="4" t="s">
        <v>63</v>
      </c>
      <c r="AF3020" s="4" t="s">
        <v>63</v>
      </c>
      <c r="AG3020" s="4" t="s">
        <v>63</v>
      </c>
      <c r="AH3020" s="4" t="s">
        <v>63</v>
      </c>
      <c r="AI3020" s="4" t="s">
        <v>63</v>
      </c>
      <c r="AJ3020" s="4" t="s">
        <v>63</v>
      </c>
      <c r="AK3020" s="4" t="s">
        <v>63</v>
      </c>
      <c r="AL3020" s="4" t="s">
        <v>63</v>
      </c>
      <c r="AM3020" s="4" t="s">
        <v>24680</v>
      </c>
      <c r="AN3020" s="4" t="s">
        <v>63</v>
      </c>
      <c r="AO3020" s="4" t="s">
        <v>63</v>
      </c>
      <c r="AP3020" s="4" t="s">
        <v>63</v>
      </c>
      <c r="AQ3020" s="4" t="s">
        <v>63</v>
      </c>
      <c r="AR3020" s="4" t="s">
        <v>63</v>
      </c>
      <c r="AS3020" s="4" t="s">
        <v>63</v>
      </c>
      <c r="AT3020" s="4" t="s">
        <v>63</v>
      </c>
      <c r="AU3020" s="4" t="s">
        <v>63</v>
      </c>
      <c r="AV3020" s="4" t="s">
        <v>63</v>
      </c>
      <c r="AW3020" s="4" t="s">
        <v>63</v>
      </c>
      <c r="AX3020" s="4" t="s">
        <v>63</v>
      </c>
      <c r="AY3020" s="4" t="s">
        <v>63</v>
      </c>
      <c r="AZ3020" s="4" t="s">
        <v>63</v>
      </c>
      <c r="BA3020" s="4" t="s">
        <v>63</v>
      </c>
      <c r="BB3020" s="4" t="s">
        <v>63</v>
      </c>
      <c r="BC3020" s="4" t="s">
        <v>63</v>
      </c>
      <c r="BD3020" s="4" t="s">
        <v>63</v>
      </c>
      <c r="BE3020" s="4" t="s">
        <v>63</v>
      </c>
      <c r="BF3020" s="4" t="s">
        <v>63</v>
      </c>
    </row>
    <row r="3021" spans="1:58">
      <c r="A3021" s="4" t="s">
        <v>58</v>
      </c>
      <c r="B3021" s="4" t="s">
        <v>10827</v>
      </c>
      <c r="C3021" s="4" t="s">
        <v>24691</v>
      </c>
      <c r="D3021" s="4" t="s">
        <v>1184</v>
      </c>
      <c r="E3021" s="4" t="s">
        <v>1185</v>
      </c>
      <c r="F3021" s="4">
        <v>1978</v>
      </c>
      <c r="G3021" s="4" t="s">
        <v>63</v>
      </c>
      <c r="H3021" s="4">
        <v>53</v>
      </c>
      <c r="I3021" s="4">
        <v>10</v>
      </c>
      <c r="J3021" s="4">
        <v>816</v>
      </c>
      <c r="K3021" s="4">
        <v>824</v>
      </c>
      <c r="L3021" s="4" t="s">
        <v>63</v>
      </c>
      <c r="M3021" s="4" t="s">
        <v>63</v>
      </c>
      <c r="N3021" s="4" t="s">
        <v>24692</v>
      </c>
      <c r="O3021" s="4" t="s">
        <v>63</v>
      </c>
      <c r="P3021" s="4"/>
      <c r="Q3021" s="4" t="s">
        <v>63</v>
      </c>
      <c r="R3021" s="4" t="s">
        <v>63</v>
      </c>
      <c r="S3021" s="4" t="s">
        <v>63</v>
      </c>
      <c r="T3021" s="4" t="s">
        <v>63</v>
      </c>
      <c r="U3021" s="4"/>
      <c r="V3021" s="4"/>
      <c r="W3021" s="4"/>
      <c r="X3021" s="4" t="s">
        <v>63</v>
      </c>
      <c r="Y3021" s="4" t="s">
        <v>1188</v>
      </c>
      <c r="Z3021" s="4" t="s">
        <v>63</v>
      </c>
      <c r="AA3021" s="4" t="s">
        <v>24693</v>
      </c>
      <c r="AB3021" s="4" t="s">
        <v>24694</v>
      </c>
      <c r="AC3021" s="4" t="s">
        <v>67</v>
      </c>
      <c r="AD3021" s="4" t="s">
        <v>63</v>
      </c>
      <c r="AE3021" s="4" t="s">
        <v>63</v>
      </c>
      <c r="AF3021" s="4" t="s">
        <v>63</v>
      </c>
      <c r="AG3021" s="4" t="s">
        <v>63</v>
      </c>
      <c r="AH3021" s="4" t="s">
        <v>63</v>
      </c>
      <c r="AI3021" s="4" t="s">
        <v>63</v>
      </c>
      <c r="AJ3021" s="4" t="s">
        <v>63</v>
      </c>
      <c r="AK3021" s="4" t="s">
        <v>63</v>
      </c>
      <c r="AL3021" s="4" t="s">
        <v>63</v>
      </c>
      <c r="AM3021" s="4" t="s">
        <v>24691</v>
      </c>
      <c r="AN3021" s="4" t="s">
        <v>63</v>
      </c>
      <c r="AO3021" s="4" t="s">
        <v>63</v>
      </c>
      <c r="AP3021" s="4" t="s">
        <v>63</v>
      </c>
      <c r="AQ3021" s="4" t="s">
        <v>63</v>
      </c>
      <c r="AR3021" s="4" t="s">
        <v>63</v>
      </c>
      <c r="AS3021" s="4" t="s">
        <v>63</v>
      </c>
      <c r="AT3021" s="4" t="s">
        <v>63</v>
      </c>
      <c r="AU3021" s="4" t="s">
        <v>63</v>
      </c>
      <c r="AV3021" s="4" t="s">
        <v>63</v>
      </c>
      <c r="AW3021" s="4" t="s">
        <v>63</v>
      </c>
      <c r="AX3021" s="4" t="s">
        <v>63</v>
      </c>
      <c r="AY3021" s="4" t="s">
        <v>63</v>
      </c>
      <c r="AZ3021" s="4" t="s">
        <v>63</v>
      </c>
      <c r="BA3021" s="4" t="s">
        <v>63</v>
      </c>
      <c r="BB3021" s="4" t="s">
        <v>63</v>
      </c>
      <c r="BC3021" s="4" t="s">
        <v>63</v>
      </c>
      <c r="BD3021" s="4" t="s">
        <v>63</v>
      </c>
      <c r="BE3021" s="4" t="s">
        <v>63</v>
      </c>
      <c r="BF3021" s="4" t="s">
        <v>63</v>
      </c>
    </row>
    <row r="3022" spans="1:58">
      <c r="A3022" s="4" t="s">
        <v>58</v>
      </c>
      <c r="B3022" s="4" t="s">
        <v>24695</v>
      </c>
      <c r="C3022" s="4" t="s">
        <v>24696</v>
      </c>
      <c r="D3022" s="4" t="s">
        <v>389</v>
      </c>
      <c r="E3022" s="4" t="s">
        <v>63</v>
      </c>
      <c r="F3022" s="4">
        <v>2014</v>
      </c>
      <c r="G3022" s="4" t="s">
        <v>63</v>
      </c>
      <c r="H3022" s="4">
        <v>35</v>
      </c>
      <c r="I3022" s="4">
        <v>2</v>
      </c>
      <c r="J3022" s="4">
        <v>210</v>
      </c>
      <c r="K3022" s="4">
        <v>210</v>
      </c>
      <c r="L3022" s="4" t="s">
        <v>63</v>
      </c>
      <c r="M3022" s="4" t="s">
        <v>63</v>
      </c>
      <c r="N3022" s="4" t="s">
        <v>24697</v>
      </c>
      <c r="O3022" s="4" t="s">
        <v>63</v>
      </c>
      <c r="P3022" s="4"/>
      <c r="Q3022" s="4" t="s">
        <v>63</v>
      </c>
      <c r="R3022" s="4" t="s">
        <v>63</v>
      </c>
      <c r="S3022" s="4" t="s">
        <v>63</v>
      </c>
      <c r="T3022" s="4" t="s">
        <v>63</v>
      </c>
      <c r="U3022" s="4"/>
      <c r="V3022" s="4"/>
      <c r="W3022" s="4"/>
      <c r="X3022" s="4" t="s">
        <v>63</v>
      </c>
      <c r="Y3022" s="4" t="s">
        <v>392</v>
      </c>
      <c r="Z3022" s="4" t="s">
        <v>63</v>
      </c>
      <c r="AA3022" s="4" t="s">
        <v>24698</v>
      </c>
      <c r="AB3022" s="4" t="s">
        <v>24699</v>
      </c>
      <c r="AC3022" s="4" t="s">
        <v>67</v>
      </c>
      <c r="AD3022" s="4" t="s">
        <v>63</v>
      </c>
      <c r="AE3022" s="4" t="s">
        <v>63</v>
      </c>
      <c r="AF3022" s="4" t="s">
        <v>63</v>
      </c>
      <c r="AG3022" s="4" t="s">
        <v>63</v>
      </c>
      <c r="AH3022" s="4" t="s">
        <v>63</v>
      </c>
      <c r="AI3022" s="4" t="s">
        <v>63</v>
      </c>
      <c r="AJ3022" s="4" t="s">
        <v>63</v>
      </c>
      <c r="AK3022" s="4" t="s">
        <v>63</v>
      </c>
      <c r="AL3022" s="4" t="s">
        <v>63</v>
      </c>
      <c r="AM3022" s="4" t="s">
        <v>24696</v>
      </c>
      <c r="AN3022" s="4" t="s">
        <v>63</v>
      </c>
      <c r="AO3022" s="4" t="s">
        <v>63</v>
      </c>
      <c r="AP3022" s="4" t="s">
        <v>63</v>
      </c>
      <c r="AQ3022" s="4" t="s">
        <v>63</v>
      </c>
      <c r="AR3022" s="4" t="s">
        <v>63</v>
      </c>
      <c r="AS3022" s="4" t="s">
        <v>63</v>
      </c>
      <c r="AT3022" s="4" t="s">
        <v>63</v>
      </c>
      <c r="AU3022" s="4" t="s">
        <v>63</v>
      </c>
      <c r="AV3022" s="4" t="s">
        <v>63</v>
      </c>
      <c r="AW3022" s="4" t="s">
        <v>63</v>
      </c>
      <c r="AX3022" s="4" t="s">
        <v>63</v>
      </c>
      <c r="AY3022" s="4" t="s">
        <v>63</v>
      </c>
      <c r="AZ3022" s="4" t="s">
        <v>63</v>
      </c>
      <c r="BA3022" s="4" t="s">
        <v>63</v>
      </c>
      <c r="BB3022" s="4" t="s">
        <v>63</v>
      </c>
      <c r="BC3022" s="4" t="s">
        <v>63</v>
      </c>
      <c r="BD3022" s="4" t="s">
        <v>63</v>
      </c>
      <c r="BE3022" s="4" t="s">
        <v>63</v>
      </c>
      <c r="BF3022" s="4" t="s">
        <v>63</v>
      </c>
    </row>
    <row r="3023" spans="1:58">
      <c r="A3023" s="4" t="s">
        <v>58</v>
      </c>
      <c r="B3023" s="4" t="s">
        <v>24700</v>
      </c>
      <c r="C3023" s="4" t="s">
        <v>24701</v>
      </c>
      <c r="D3023" s="4" t="s">
        <v>13410</v>
      </c>
      <c r="E3023" s="4" t="s">
        <v>13411</v>
      </c>
      <c r="F3023" s="4">
        <v>2008</v>
      </c>
      <c r="G3023" s="4" t="s">
        <v>147</v>
      </c>
      <c r="H3023" s="4">
        <v>21</v>
      </c>
      <c r="I3023" s="4">
        <v>2</v>
      </c>
      <c r="J3023" s="4">
        <v>75</v>
      </c>
      <c r="K3023" s="4">
        <v>78</v>
      </c>
      <c r="L3023" s="4" t="s">
        <v>24702</v>
      </c>
      <c r="M3023" s="4" t="s">
        <v>24703</v>
      </c>
      <c r="N3023" s="4" t="s">
        <v>24704</v>
      </c>
      <c r="O3023" s="4" t="s">
        <v>63</v>
      </c>
      <c r="P3023" s="4"/>
      <c r="Q3023" s="4" t="s">
        <v>63</v>
      </c>
      <c r="R3023" s="4" t="s">
        <v>63</v>
      </c>
      <c r="S3023" s="4" t="s">
        <v>63</v>
      </c>
      <c r="T3023" s="4" t="s">
        <v>63</v>
      </c>
      <c r="U3023" s="4"/>
      <c r="V3023" s="4"/>
      <c r="W3023" s="4"/>
      <c r="X3023" s="4" t="s">
        <v>63</v>
      </c>
      <c r="Y3023" s="4" t="s">
        <v>13415</v>
      </c>
      <c r="Z3023" s="4" t="s">
        <v>63</v>
      </c>
      <c r="AA3023" s="4" t="s">
        <v>24705</v>
      </c>
      <c r="AB3023" s="4" t="s">
        <v>24706</v>
      </c>
      <c r="AC3023" s="4" t="s">
        <v>67</v>
      </c>
      <c r="AD3023" s="4" t="s">
        <v>63</v>
      </c>
      <c r="AE3023" s="4" t="s">
        <v>63</v>
      </c>
      <c r="AF3023" s="4" t="s">
        <v>63</v>
      </c>
      <c r="AG3023" s="4" t="s">
        <v>63</v>
      </c>
      <c r="AH3023" s="4" t="s">
        <v>63</v>
      </c>
      <c r="AI3023" s="4" t="s">
        <v>63</v>
      </c>
      <c r="AJ3023" s="4" t="s">
        <v>63</v>
      </c>
      <c r="AK3023" s="4" t="s">
        <v>63</v>
      </c>
      <c r="AL3023" s="4" t="s">
        <v>63</v>
      </c>
      <c r="AM3023" s="4" t="s">
        <v>24701</v>
      </c>
      <c r="AN3023" s="4" t="s">
        <v>63</v>
      </c>
      <c r="AO3023" s="4" t="s">
        <v>63</v>
      </c>
      <c r="AP3023" s="4" t="s">
        <v>63</v>
      </c>
      <c r="AQ3023" s="4" t="s">
        <v>63</v>
      </c>
      <c r="AR3023" s="4" t="s">
        <v>63</v>
      </c>
      <c r="AS3023" s="4" t="s">
        <v>63</v>
      </c>
      <c r="AT3023" s="4" t="s">
        <v>63</v>
      </c>
      <c r="AU3023" s="4" t="s">
        <v>63</v>
      </c>
      <c r="AV3023" s="4" t="s">
        <v>63</v>
      </c>
      <c r="AW3023" s="4" t="s">
        <v>63</v>
      </c>
      <c r="AX3023" s="4" t="s">
        <v>63</v>
      </c>
      <c r="AY3023" s="4" t="s">
        <v>63</v>
      </c>
      <c r="AZ3023" s="4" t="s">
        <v>63</v>
      </c>
      <c r="BA3023" s="4" t="s">
        <v>63</v>
      </c>
      <c r="BB3023" s="4" t="s">
        <v>63</v>
      </c>
      <c r="BC3023" s="4" t="s">
        <v>63</v>
      </c>
      <c r="BD3023" s="4" t="s">
        <v>63</v>
      </c>
      <c r="BE3023" s="4" t="s">
        <v>63</v>
      </c>
      <c r="BF3023" s="4" t="s">
        <v>63</v>
      </c>
    </row>
    <row r="3024" spans="1:58">
      <c r="A3024" s="4" t="s">
        <v>58</v>
      </c>
      <c r="B3024" s="4" t="s">
        <v>24707</v>
      </c>
      <c r="C3024" s="4" t="s">
        <v>24708</v>
      </c>
      <c r="D3024" s="4" t="s">
        <v>371</v>
      </c>
      <c r="E3024" s="4" t="s">
        <v>63</v>
      </c>
      <c r="F3024" s="4">
        <v>2010</v>
      </c>
      <c r="G3024" s="4" t="s">
        <v>73</v>
      </c>
      <c r="H3024" s="4">
        <v>25</v>
      </c>
      <c r="I3024" s="4" t="s">
        <v>63</v>
      </c>
      <c r="J3024" s="4">
        <v>362</v>
      </c>
      <c r="K3024" s="4">
        <v>363</v>
      </c>
      <c r="L3024" s="4" t="s">
        <v>63</v>
      </c>
      <c r="M3024" s="4" t="s">
        <v>63</v>
      </c>
      <c r="N3024" s="4" t="s">
        <v>24709</v>
      </c>
      <c r="O3024" s="4" t="s">
        <v>63</v>
      </c>
      <c r="P3024" s="4"/>
      <c r="Q3024" s="4" t="s">
        <v>63</v>
      </c>
      <c r="R3024" s="4" t="s">
        <v>63</v>
      </c>
      <c r="S3024" s="4" t="s">
        <v>63</v>
      </c>
      <c r="T3024" s="4" t="s">
        <v>63</v>
      </c>
      <c r="U3024" s="4"/>
      <c r="V3024" s="4"/>
      <c r="W3024" s="4"/>
      <c r="X3024" s="4" t="s">
        <v>63</v>
      </c>
      <c r="Y3024" s="4" t="s">
        <v>375</v>
      </c>
      <c r="Z3024" s="4" t="s">
        <v>63</v>
      </c>
      <c r="AA3024" s="4" t="s">
        <v>24710</v>
      </c>
      <c r="AB3024" s="4" t="s">
        <v>24711</v>
      </c>
      <c r="AC3024" s="4" t="s">
        <v>67</v>
      </c>
      <c r="AD3024" s="4" t="s">
        <v>63</v>
      </c>
      <c r="AE3024" s="4" t="s">
        <v>63</v>
      </c>
      <c r="AF3024" s="4" t="s">
        <v>63</v>
      </c>
      <c r="AG3024" s="4" t="s">
        <v>63</v>
      </c>
      <c r="AH3024" s="4" t="s">
        <v>63</v>
      </c>
      <c r="AI3024" s="4" t="s">
        <v>63</v>
      </c>
      <c r="AJ3024" s="4" t="s">
        <v>63</v>
      </c>
      <c r="AK3024" s="4" t="s">
        <v>63</v>
      </c>
      <c r="AL3024" s="4" t="s">
        <v>63</v>
      </c>
      <c r="AM3024" s="4" t="s">
        <v>24708</v>
      </c>
      <c r="AN3024" s="4" t="s">
        <v>63</v>
      </c>
      <c r="AO3024" s="4" t="s">
        <v>63</v>
      </c>
      <c r="AP3024" s="4" t="s">
        <v>63</v>
      </c>
      <c r="AQ3024" s="4" t="s">
        <v>63</v>
      </c>
      <c r="AR3024" s="4" t="s">
        <v>63</v>
      </c>
      <c r="AS3024" s="4" t="s">
        <v>63</v>
      </c>
      <c r="AT3024" s="4" t="s">
        <v>63</v>
      </c>
      <c r="AU3024" s="4" t="s">
        <v>63</v>
      </c>
      <c r="AV3024" s="4" t="s">
        <v>63</v>
      </c>
      <c r="AW3024" s="4" t="s">
        <v>63</v>
      </c>
      <c r="AX3024" s="4" t="s">
        <v>63</v>
      </c>
      <c r="AY3024" s="4" t="s">
        <v>63</v>
      </c>
      <c r="AZ3024" s="4" t="s">
        <v>63</v>
      </c>
      <c r="BA3024" s="4" t="s">
        <v>63</v>
      </c>
      <c r="BB3024" s="4" t="s">
        <v>63</v>
      </c>
      <c r="BC3024" s="4" t="s">
        <v>63</v>
      </c>
      <c r="BD3024" s="4" t="s">
        <v>63</v>
      </c>
      <c r="BE3024" s="4" t="s">
        <v>63</v>
      </c>
      <c r="BF3024" s="4" t="s">
        <v>63</v>
      </c>
    </row>
    <row r="3025" spans="1:58">
      <c r="A3025" s="4" t="s">
        <v>58</v>
      </c>
      <c r="B3025" s="4" t="s">
        <v>24712</v>
      </c>
      <c r="C3025" s="4" t="s">
        <v>24713</v>
      </c>
      <c r="D3025" s="4" t="s">
        <v>371</v>
      </c>
      <c r="E3025" s="4" t="s">
        <v>63</v>
      </c>
      <c r="F3025" s="4">
        <v>2003</v>
      </c>
      <c r="G3025" s="4" t="s">
        <v>84</v>
      </c>
      <c r="H3025" s="4">
        <v>18</v>
      </c>
      <c r="I3025" s="4" t="s">
        <v>63</v>
      </c>
      <c r="J3025" s="4">
        <v>120</v>
      </c>
      <c r="K3025" s="4">
        <v>120</v>
      </c>
      <c r="L3025" s="4" t="s">
        <v>63</v>
      </c>
      <c r="M3025" s="4" t="s">
        <v>63</v>
      </c>
      <c r="N3025" s="4" t="s">
        <v>24714</v>
      </c>
      <c r="O3025" s="4" t="s">
        <v>63</v>
      </c>
      <c r="P3025" s="4"/>
      <c r="Q3025" s="4" t="s">
        <v>63</v>
      </c>
      <c r="R3025" s="4" t="s">
        <v>63</v>
      </c>
      <c r="S3025" s="4" t="s">
        <v>63</v>
      </c>
      <c r="T3025" s="4" t="s">
        <v>63</v>
      </c>
      <c r="U3025" s="4"/>
      <c r="V3025" s="4"/>
      <c r="W3025" s="4"/>
      <c r="X3025" s="4" t="s">
        <v>63</v>
      </c>
      <c r="Y3025" s="4" t="s">
        <v>375</v>
      </c>
      <c r="Z3025" s="4" t="s">
        <v>63</v>
      </c>
      <c r="AA3025" s="4" t="s">
        <v>24715</v>
      </c>
      <c r="AB3025" s="4" t="s">
        <v>24716</v>
      </c>
      <c r="AC3025" s="4" t="s">
        <v>67</v>
      </c>
      <c r="AD3025" s="4" t="s">
        <v>63</v>
      </c>
      <c r="AE3025" s="4" t="s">
        <v>63</v>
      </c>
      <c r="AF3025" s="4" t="s">
        <v>63</v>
      </c>
      <c r="AG3025" s="4" t="s">
        <v>63</v>
      </c>
      <c r="AH3025" s="4" t="s">
        <v>63</v>
      </c>
      <c r="AI3025" s="4" t="s">
        <v>63</v>
      </c>
      <c r="AJ3025" s="4" t="s">
        <v>63</v>
      </c>
      <c r="AK3025" s="4" t="s">
        <v>63</v>
      </c>
      <c r="AL3025" s="4" t="s">
        <v>63</v>
      </c>
      <c r="AM3025" s="4" t="s">
        <v>24713</v>
      </c>
      <c r="AN3025" s="4" t="s">
        <v>63</v>
      </c>
      <c r="AO3025" s="4" t="s">
        <v>63</v>
      </c>
      <c r="AP3025" s="4" t="s">
        <v>63</v>
      </c>
      <c r="AQ3025" s="4" t="s">
        <v>63</v>
      </c>
      <c r="AR3025" s="4" t="s">
        <v>63</v>
      </c>
      <c r="AS3025" s="4" t="s">
        <v>63</v>
      </c>
      <c r="AT3025" s="4" t="s">
        <v>63</v>
      </c>
      <c r="AU3025" s="4" t="s">
        <v>63</v>
      </c>
      <c r="AV3025" s="4" t="s">
        <v>63</v>
      </c>
      <c r="AW3025" s="4" t="s">
        <v>63</v>
      </c>
      <c r="AX3025" s="4" t="s">
        <v>63</v>
      </c>
      <c r="AY3025" s="4" t="s">
        <v>63</v>
      </c>
      <c r="AZ3025" s="4" t="s">
        <v>63</v>
      </c>
      <c r="BA3025" s="4" t="s">
        <v>63</v>
      </c>
      <c r="BB3025" s="4" t="s">
        <v>63</v>
      </c>
      <c r="BC3025" s="4" t="s">
        <v>63</v>
      </c>
      <c r="BD3025" s="4" t="s">
        <v>63</v>
      </c>
      <c r="BE3025" s="4" t="s">
        <v>63</v>
      </c>
      <c r="BF3025" s="4" t="s">
        <v>63</v>
      </c>
    </row>
    <row r="3026" spans="1:58">
      <c r="A3026" s="4" t="s">
        <v>58</v>
      </c>
      <c r="B3026" s="4" t="s">
        <v>24717</v>
      </c>
      <c r="C3026" s="4" t="s">
        <v>24718</v>
      </c>
      <c r="D3026" s="4" t="s">
        <v>371</v>
      </c>
      <c r="E3026" s="4" t="s">
        <v>63</v>
      </c>
      <c r="F3026" s="4">
        <v>2008</v>
      </c>
      <c r="G3026" s="4" t="s">
        <v>274</v>
      </c>
      <c r="H3026" s="4">
        <v>23</v>
      </c>
      <c r="I3026" s="4" t="s">
        <v>63</v>
      </c>
      <c r="J3026" s="4">
        <v>215</v>
      </c>
      <c r="K3026" s="4">
        <v>215</v>
      </c>
      <c r="L3026" s="4" t="s">
        <v>63</v>
      </c>
      <c r="M3026" s="4" t="s">
        <v>63</v>
      </c>
      <c r="N3026" s="4" t="s">
        <v>24719</v>
      </c>
      <c r="O3026" s="4" t="s">
        <v>63</v>
      </c>
      <c r="P3026" s="4"/>
      <c r="Q3026" s="4" t="s">
        <v>63</v>
      </c>
      <c r="R3026" s="4" t="s">
        <v>63</v>
      </c>
      <c r="S3026" s="4" t="s">
        <v>63</v>
      </c>
      <c r="T3026" s="4" t="s">
        <v>63</v>
      </c>
      <c r="U3026" s="4"/>
      <c r="V3026" s="4"/>
      <c r="W3026" s="4"/>
      <c r="X3026" s="4" t="s">
        <v>63</v>
      </c>
      <c r="Y3026" s="4" t="s">
        <v>375</v>
      </c>
      <c r="Z3026" s="4" t="s">
        <v>63</v>
      </c>
      <c r="AA3026" s="4" t="s">
        <v>24720</v>
      </c>
      <c r="AB3026" s="4" t="s">
        <v>24721</v>
      </c>
      <c r="AC3026" s="4" t="s">
        <v>67</v>
      </c>
      <c r="AD3026" s="4" t="s">
        <v>63</v>
      </c>
      <c r="AE3026" s="4" t="s">
        <v>63</v>
      </c>
      <c r="AF3026" s="4" t="s">
        <v>63</v>
      </c>
      <c r="AG3026" s="4" t="s">
        <v>63</v>
      </c>
      <c r="AH3026" s="4" t="s">
        <v>63</v>
      </c>
      <c r="AI3026" s="4" t="s">
        <v>63</v>
      </c>
      <c r="AJ3026" s="4" t="s">
        <v>63</v>
      </c>
      <c r="AK3026" s="4" t="s">
        <v>63</v>
      </c>
      <c r="AL3026" s="4" t="s">
        <v>63</v>
      </c>
      <c r="AM3026" s="4" t="s">
        <v>24718</v>
      </c>
      <c r="AN3026" s="4" t="s">
        <v>63</v>
      </c>
      <c r="AO3026" s="4" t="s">
        <v>63</v>
      </c>
      <c r="AP3026" s="4" t="s">
        <v>63</v>
      </c>
      <c r="AQ3026" s="4" t="s">
        <v>63</v>
      </c>
      <c r="AR3026" s="4" t="s">
        <v>63</v>
      </c>
      <c r="AS3026" s="4" t="s">
        <v>63</v>
      </c>
      <c r="AT3026" s="4" t="s">
        <v>63</v>
      </c>
      <c r="AU3026" s="4" t="s">
        <v>63</v>
      </c>
      <c r="AV3026" s="4" t="s">
        <v>63</v>
      </c>
      <c r="AW3026" s="4" t="s">
        <v>63</v>
      </c>
      <c r="AX3026" s="4" t="s">
        <v>63</v>
      </c>
      <c r="AY3026" s="4" t="s">
        <v>63</v>
      </c>
      <c r="AZ3026" s="4" t="s">
        <v>63</v>
      </c>
      <c r="BA3026" s="4" t="s">
        <v>63</v>
      </c>
      <c r="BB3026" s="4" t="s">
        <v>63</v>
      </c>
      <c r="BC3026" s="4" t="s">
        <v>63</v>
      </c>
      <c r="BD3026" s="4" t="s">
        <v>63</v>
      </c>
      <c r="BE3026" s="4" t="s">
        <v>63</v>
      </c>
      <c r="BF3026" s="4" t="s">
        <v>63</v>
      </c>
    </row>
    <row r="3027" spans="1:58">
      <c r="A3027" s="4" t="s">
        <v>58</v>
      </c>
      <c r="B3027" s="4" t="s">
        <v>24722</v>
      </c>
      <c r="C3027" s="4" t="s">
        <v>24723</v>
      </c>
      <c r="D3027" s="4" t="s">
        <v>11901</v>
      </c>
      <c r="E3027" s="4" t="s">
        <v>63</v>
      </c>
      <c r="F3027" s="4">
        <v>2017</v>
      </c>
      <c r="G3027" s="4" t="s">
        <v>198</v>
      </c>
      <c r="H3027" s="4">
        <v>59</v>
      </c>
      <c r="I3027" s="4">
        <v>6</v>
      </c>
      <c r="J3027" s="4" t="s">
        <v>18973</v>
      </c>
      <c r="K3027" s="4" t="s">
        <v>18973</v>
      </c>
      <c r="L3027" s="4" t="s">
        <v>24724</v>
      </c>
      <c r="M3027" s="4" t="s">
        <v>63</v>
      </c>
      <c r="N3027" s="4" t="s">
        <v>24725</v>
      </c>
      <c r="O3027" s="4" t="s">
        <v>63</v>
      </c>
      <c r="P3027" s="4"/>
      <c r="Q3027" s="4" t="s">
        <v>63</v>
      </c>
      <c r="R3027" s="4" t="s">
        <v>63</v>
      </c>
      <c r="S3027" s="4" t="s">
        <v>63</v>
      </c>
      <c r="T3027" s="4" t="s">
        <v>63</v>
      </c>
      <c r="U3027" s="4"/>
      <c r="V3027" s="4"/>
      <c r="W3027" s="4"/>
      <c r="X3027" s="4" t="s">
        <v>63</v>
      </c>
      <c r="Y3027" s="4" t="s">
        <v>11904</v>
      </c>
      <c r="Z3027" s="4" t="s">
        <v>63</v>
      </c>
      <c r="AA3027" s="4" t="s">
        <v>24726</v>
      </c>
      <c r="AB3027" s="4" t="s">
        <v>24727</v>
      </c>
      <c r="AC3027" s="4" t="s">
        <v>67</v>
      </c>
      <c r="AD3027" s="4" t="s">
        <v>63</v>
      </c>
      <c r="AE3027" s="4" t="s">
        <v>63</v>
      </c>
      <c r="AF3027" s="4" t="s">
        <v>63</v>
      </c>
      <c r="AG3027" s="4" t="s">
        <v>63</v>
      </c>
      <c r="AH3027" s="4" t="s">
        <v>63</v>
      </c>
      <c r="AI3027" s="4" t="s">
        <v>63</v>
      </c>
      <c r="AJ3027" s="4" t="s">
        <v>63</v>
      </c>
      <c r="AK3027" s="4" t="s">
        <v>63</v>
      </c>
      <c r="AL3027" s="4" t="s">
        <v>63</v>
      </c>
      <c r="AM3027" s="4" t="s">
        <v>24723</v>
      </c>
      <c r="AN3027" s="4" t="s">
        <v>63</v>
      </c>
      <c r="AO3027" s="4" t="s">
        <v>63</v>
      </c>
      <c r="AP3027" s="4" t="s">
        <v>63</v>
      </c>
      <c r="AQ3027" s="4" t="s">
        <v>63</v>
      </c>
      <c r="AR3027" s="4" t="s">
        <v>63</v>
      </c>
      <c r="AS3027" s="4" t="s">
        <v>63</v>
      </c>
      <c r="AT3027" s="4" t="s">
        <v>63</v>
      </c>
      <c r="AU3027" s="4" t="s">
        <v>63</v>
      </c>
      <c r="AV3027" s="4" t="s">
        <v>63</v>
      </c>
      <c r="AW3027" s="4" t="s">
        <v>63</v>
      </c>
      <c r="AX3027" s="4" t="s">
        <v>63</v>
      </c>
      <c r="AY3027" s="4" t="s">
        <v>63</v>
      </c>
      <c r="AZ3027" s="4" t="s">
        <v>63</v>
      </c>
      <c r="BA3027" s="4" t="s">
        <v>63</v>
      </c>
      <c r="BB3027" s="4" t="s">
        <v>63</v>
      </c>
      <c r="BC3027" s="4" t="s">
        <v>63</v>
      </c>
      <c r="BD3027" s="4" t="s">
        <v>63</v>
      </c>
      <c r="BE3027" s="4" t="s">
        <v>63</v>
      </c>
      <c r="BF3027" s="4" t="s">
        <v>63</v>
      </c>
    </row>
    <row r="3028" spans="1:58">
      <c r="A3028" s="4" t="s">
        <v>58</v>
      </c>
      <c r="B3028" s="4" t="s">
        <v>24728</v>
      </c>
      <c r="C3028" s="4" t="s">
        <v>24729</v>
      </c>
      <c r="D3028" s="4" t="s">
        <v>23269</v>
      </c>
      <c r="E3028" s="4" t="s">
        <v>63</v>
      </c>
      <c r="F3028" s="4">
        <v>2006</v>
      </c>
      <c r="G3028" s="4" t="s">
        <v>189</v>
      </c>
      <c r="H3028" s="4">
        <v>76</v>
      </c>
      <c r="I3028" s="4">
        <v>5</v>
      </c>
      <c r="J3028" s="4">
        <v>379</v>
      </c>
      <c r="K3028" s="4">
        <v>379</v>
      </c>
      <c r="L3028" s="4" t="s">
        <v>63</v>
      </c>
      <c r="M3028" s="4" t="s">
        <v>63</v>
      </c>
      <c r="N3028" s="4" t="s">
        <v>24730</v>
      </c>
      <c r="O3028" s="4" t="s">
        <v>63</v>
      </c>
      <c r="P3028" s="4"/>
      <c r="Q3028" s="4" t="s">
        <v>63</v>
      </c>
      <c r="R3028" s="4" t="s">
        <v>63</v>
      </c>
      <c r="S3028" s="4" t="s">
        <v>63</v>
      </c>
      <c r="T3028" s="4" t="s">
        <v>63</v>
      </c>
      <c r="U3028" s="4"/>
      <c r="V3028" s="4"/>
      <c r="W3028" s="4"/>
      <c r="X3028" s="4" t="s">
        <v>63</v>
      </c>
      <c r="Y3028" s="4" t="s">
        <v>23271</v>
      </c>
      <c r="Z3028" s="4" t="s">
        <v>63</v>
      </c>
      <c r="AA3028" s="4" t="s">
        <v>24731</v>
      </c>
      <c r="AB3028" s="4" t="s">
        <v>24732</v>
      </c>
      <c r="AC3028" s="4" t="s">
        <v>67</v>
      </c>
      <c r="AD3028" s="4" t="s">
        <v>63</v>
      </c>
      <c r="AE3028" s="4" t="s">
        <v>63</v>
      </c>
      <c r="AF3028" s="4" t="s">
        <v>63</v>
      </c>
      <c r="AG3028" s="4" t="s">
        <v>63</v>
      </c>
      <c r="AH3028" s="4" t="s">
        <v>63</v>
      </c>
      <c r="AI3028" s="4" t="s">
        <v>63</v>
      </c>
      <c r="AJ3028" s="4" t="s">
        <v>63</v>
      </c>
      <c r="AK3028" s="4" t="s">
        <v>63</v>
      </c>
      <c r="AL3028" s="4" t="s">
        <v>63</v>
      </c>
      <c r="AM3028" s="4" t="s">
        <v>24729</v>
      </c>
      <c r="AN3028" s="4" t="s">
        <v>63</v>
      </c>
      <c r="AO3028" s="4" t="s">
        <v>63</v>
      </c>
      <c r="AP3028" s="4" t="s">
        <v>63</v>
      </c>
      <c r="AQ3028" s="4" t="s">
        <v>63</v>
      </c>
      <c r="AR3028" s="4" t="s">
        <v>63</v>
      </c>
      <c r="AS3028" s="4" t="s">
        <v>63</v>
      </c>
      <c r="AT3028" s="4" t="s">
        <v>63</v>
      </c>
      <c r="AU3028" s="4" t="s">
        <v>63</v>
      </c>
      <c r="AV3028" s="4" t="s">
        <v>63</v>
      </c>
      <c r="AW3028" s="4" t="s">
        <v>63</v>
      </c>
      <c r="AX3028" s="4" t="s">
        <v>63</v>
      </c>
      <c r="AY3028" s="4" t="s">
        <v>63</v>
      </c>
      <c r="AZ3028" s="4" t="s">
        <v>63</v>
      </c>
      <c r="BA3028" s="4" t="s">
        <v>63</v>
      </c>
      <c r="BB3028" s="4" t="s">
        <v>63</v>
      </c>
      <c r="BC3028" s="4" t="s">
        <v>63</v>
      </c>
      <c r="BD3028" s="4" t="s">
        <v>63</v>
      </c>
      <c r="BE3028" s="4" t="s">
        <v>63</v>
      </c>
      <c r="BF3028" s="4" t="s">
        <v>63</v>
      </c>
    </row>
    <row r="3029" spans="1:58">
      <c r="A3029" s="4" t="s">
        <v>58</v>
      </c>
      <c r="B3029" s="4" t="s">
        <v>24733</v>
      </c>
      <c r="C3029" s="4" t="s">
        <v>24734</v>
      </c>
      <c r="D3029" s="4" t="s">
        <v>3253</v>
      </c>
      <c r="E3029" s="4" t="s">
        <v>63</v>
      </c>
      <c r="F3029" s="4">
        <v>2009</v>
      </c>
      <c r="G3029" s="4" t="s">
        <v>614</v>
      </c>
      <c r="H3029" s="4">
        <v>6</v>
      </c>
      <c r="I3029" s="4" t="s">
        <v>63</v>
      </c>
      <c r="J3029" s="4" t="s">
        <v>63</v>
      </c>
      <c r="K3029" s="4" t="s">
        <v>63</v>
      </c>
      <c r="L3029" s="4" t="s">
        <v>24735</v>
      </c>
      <c r="M3029" s="4" t="s">
        <v>24736</v>
      </c>
      <c r="N3029" s="4" t="s">
        <v>24737</v>
      </c>
      <c r="O3029" s="4" t="s">
        <v>63</v>
      </c>
      <c r="P3029" s="4"/>
      <c r="Q3029" s="4" t="s">
        <v>63</v>
      </c>
      <c r="R3029" s="4" t="s">
        <v>63</v>
      </c>
      <c r="S3029" s="4" t="s">
        <v>63</v>
      </c>
      <c r="T3029" s="4" t="s">
        <v>63</v>
      </c>
      <c r="U3029" s="4"/>
      <c r="V3029" s="4"/>
      <c r="W3029" s="4"/>
      <c r="X3029" s="4" t="s">
        <v>63</v>
      </c>
      <c r="Y3029" s="4" t="s">
        <v>3257</v>
      </c>
      <c r="Z3029" s="4" t="s">
        <v>63</v>
      </c>
      <c r="AA3029" s="4" t="s">
        <v>24738</v>
      </c>
      <c r="AB3029" s="4" t="s">
        <v>24739</v>
      </c>
      <c r="AC3029" s="4" t="s">
        <v>67</v>
      </c>
      <c r="AD3029" s="4" t="s">
        <v>63</v>
      </c>
      <c r="AE3029" s="4" t="s">
        <v>63</v>
      </c>
      <c r="AF3029" s="4" t="s">
        <v>63</v>
      </c>
      <c r="AG3029" s="4" t="s">
        <v>63</v>
      </c>
      <c r="AH3029" s="4" t="s">
        <v>63</v>
      </c>
      <c r="AI3029" s="4" t="s">
        <v>24740</v>
      </c>
      <c r="AJ3029" s="4" t="s">
        <v>63</v>
      </c>
      <c r="AK3029" s="4" t="s">
        <v>63</v>
      </c>
      <c r="AL3029" s="4" t="s">
        <v>63</v>
      </c>
      <c r="AM3029" s="4" t="s">
        <v>24734</v>
      </c>
      <c r="AN3029" s="4" t="s">
        <v>63</v>
      </c>
      <c r="AO3029" s="4" t="s">
        <v>63</v>
      </c>
      <c r="AP3029" s="4" t="s">
        <v>63</v>
      </c>
      <c r="AQ3029" s="4" t="s">
        <v>63</v>
      </c>
      <c r="AR3029" s="4" t="s">
        <v>63</v>
      </c>
      <c r="AS3029" s="4" t="s">
        <v>63</v>
      </c>
      <c r="AT3029" s="4" t="s">
        <v>63</v>
      </c>
      <c r="AU3029" s="4" t="s">
        <v>63</v>
      </c>
      <c r="AV3029" s="4" t="s">
        <v>63</v>
      </c>
      <c r="AW3029" s="4" t="s">
        <v>63</v>
      </c>
      <c r="AX3029" s="4" t="s">
        <v>63</v>
      </c>
      <c r="AY3029" s="4" t="s">
        <v>63</v>
      </c>
      <c r="AZ3029" s="4" t="s">
        <v>63</v>
      </c>
      <c r="BA3029" s="4" t="s">
        <v>63</v>
      </c>
      <c r="BB3029" s="4" t="s">
        <v>63</v>
      </c>
      <c r="BC3029" s="4" t="s">
        <v>63</v>
      </c>
      <c r="BD3029" s="4" t="s">
        <v>63</v>
      </c>
      <c r="BE3029" s="4" t="s">
        <v>63</v>
      </c>
      <c r="BF3029" s="4" t="s">
        <v>63</v>
      </c>
    </row>
    <row r="3030" spans="1:58">
      <c r="A3030" s="4" t="s">
        <v>58</v>
      </c>
      <c r="B3030" s="4" t="s">
        <v>24741</v>
      </c>
      <c r="C3030" s="4" t="s">
        <v>24742</v>
      </c>
      <c r="D3030" s="4" t="s">
        <v>21130</v>
      </c>
      <c r="E3030" s="4" t="s">
        <v>21131</v>
      </c>
      <c r="F3030" s="4">
        <v>1992</v>
      </c>
      <c r="G3030" s="4" t="s">
        <v>63</v>
      </c>
      <c r="H3030" s="4">
        <v>28</v>
      </c>
      <c r="I3030" s="4">
        <v>1</v>
      </c>
      <c r="J3030" s="4">
        <v>109</v>
      </c>
      <c r="K3030" s="4">
        <v>113</v>
      </c>
      <c r="L3030" s="4" t="s">
        <v>24743</v>
      </c>
      <c r="M3030" s="4" t="s">
        <v>24744</v>
      </c>
      <c r="N3030" s="4" t="s">
        <v>24745</v>
      </c>
      <c r="O3030" s="4" t="s">
        <v>63</v>
      </c>
      <c r="P3030" s="4"/>
      <c r="Q3030" s="4" t="s">
        <v>63</v>
      </c>
      <c r="R3030" s="4" t="s">
        <v>63</v>
      </c>
      <c r="S3030" s="4" t="s">
        <v>63</v>
      </c>
      <c r="T3030" s="4" t="s">
        <v>63</v>
      </c>
      <c r="U3030" s="4"/>
      <c r="V3030" s="4"/>
      <c r="W3030" s="4"/>
      <c r="X3030" s="4" t="s">
        <v>63</v>
      </c>
      <c r="Y3030" s="4" t="s">
        <v>21135</v>
      </c>
      <c r="Z3030" s="4" t="s">
        <v>63</v>
      </c>
      <c r="AA3030" s="4" t="s">
        <v>24746</v>
      </c>
      <c r="AB3030" s="4" t="s">
        <v>24747</v>
      </c>
      <c r="AC3030" s="4" t="s">
        <v>67</v>
      </c>
      <c r="AD3030" s="4" t="s">
        <v>63</v>
      </c>
      <c r="AE3030" s="4" t="s">
        <v>63</v>
      </c>
      <c r="AF3030" s="4" t="s">
        <v>63</v>
      </c>
      <c r="AG3030" s="4" t="s">
        <v>63</v>
      </c>
      <c r="AH3030" s="4" t="s">
        <v>63</v>
      </c>
      <c r="AI3030" s="4" t="s">
        <v>63</v>
      </c>
      <c r="AJ3030" s="4" t="s">
        <v>63</v>
      </c>
      <c r="AK3030" s="4" t="s">
        <v>63</v>
      </c>
      <c r="AL3030" s="4" t="s">
        <v>63</v>
      </c>
      <c r="AM3030" s="4" t="s">
        <v>24742</v>
      </c>
      <c r="AN3030" s="4" t="s">
        <v>63</v>
      </c>
      <c r="AO3030" s="4" t="s">
        <v>63</v>
      </c>
      <c r="AP3030" s="4" t="s">
        <v>63</v>
      </c>
      <c r="AQ3030" s="4" t="s">
        <v>63</v>
      </c>
      <c r="AR3030" s="4" t="s">
        <v>63</v>
      </c>
      <c r="AS3030" s="4" t="s">
        <v>63</v>
      </c>
      <c r="AT3030" s="4" t="s">
        <v>63</v>
      </c>
      <c r="AU3030" s="4" t="s">
        <v>63</v>
      </c>
      <c r="AV3030" s="4" t="s">
        <v>63</v>
      </c>
      <c r="AW3030" s="4" t="s">
        <v>63</v>
      </c>
      <c r="AX3030" s="4" t="s">
        <v>63</v>
      </c>
      <c r="AY3030" s="4" t="s">
        <v>63</v>
      </c>
      <c r="AZ3030" s="4" t="s">
        <v>63</v>
      </c>
      <c r="BA3030" s="4" t="s">
        <v>63</v>
      </c>
      <c r="BB3030" s="4" t="s">
        <v>63</v>
      </c>
      <c r="BC3030" s="4" t="s">
        <v>63</v>
      </c>
      <c r="BD3030" s="4" t="s">
        <v>63</v>
      </c>
      <c r="BE3030" s="4" t="s">
        <v>63</v>
      </c>
      <c r="BF3030" s="4" t="s">
        <v>63</v>
      </c>
    </row>
    <row r="3031" spans="1:58">
      <c r="A3031" s="4" t="s">
        <v>58</v>
      </c>
      <c r="B3031" s="4" t="s">
        <v>24748</v>
      </c>
      <c r="C3031" s="4" t="s">
        <v>24749</v>
      </c>
      <c r="D3031" s="4" t="s">
        <v>15263</v>
      </c>
      <c r="E3031" s="4" t="s">
        <v>15264</v>
      </c>
      <c r="F3031" s="4">
        <v>1986</v>
      </c>
      <c r="G3031" s="4" t="s">
        <v>219</v>
      </c>
      <c r="H3031" s="4">
        <v>18</v>
      </c>
      <c r="I3031" s="4">
        <v>3</v>
      </c>
      <c r="J3031" s="4">
        <v>311</v>
      </c>
      <c r="K3031" s="4">
        <v>318</v>
      </c>
      <c r="L3031" s="4" t="s">
        <v>63</v>
      </c>
      <c r="M3031" s="4" t="s">
        <v>63</v>
      </c>
      <c r="N3031" s="4" t="s">
        <v>24750</v>
      </c>
      <c r="O3031" s="4" t="s">
        <v>63</v>
      </c>
      <c r="P3031" s="4"/>
      <c r="Q3031" s="4" t="s">
        <v>63</v>
      </c>
      <c r="R3031" s="4" t="s">
        <v>63</v>
      </c>
      <c r="S3031" s="4" t="s">
        <v>63</v>
      </c>
      <c r="T3031" s="4" t="s">
        <v>63</v>
      </c>
      <c r="U3031" s="4"/>
      <c r="V3031" s="4"/>
      <c r="W3031" s="4"/>
      <c r="X3031" s="4" t="s">
        <v>63</v>
      </c>
      <c r="Y3031" s="4" t="s">
        <v>4942</v>
      </c>
      <c r="Z3031" s="4" t="s">
        <v>63</v>
      </c>
      <c r="AA3031" s="4" t="s">
        <v>24751</v>
      </c>
      <c r="AB3031" s="4" t="s">
        <v>24752</v>
      </c>
      <c r="AC3031" s="4" t="s">
        <v>67</v>
      </c>
      <c r="AD3031" s="4" t="s">
        <v>63</v>
      </c>
      <c r="AE3031" s="4" t="s">
        <v>63</v>
      </c>
      <c r="AF3031" s="4" t="s">
        <v>63</v>
      </c>
      <c r="AG3031" s="4" t="s">
        <v>63</v>
      </c>
      <c r="AH3031" s="4" t="s">
        <v>63</v>
      </c>
      <c r="AI3031" s="4" t="s">
        <v>24753</v>
      </c>
      <c r="AJ3031" s="4" t="s">
        <v>63</v>
      </c>
      <c r="AK3031" s="4" t="s">
        <v>63</v>
      </c>
      <c r="AL3031" s="4" t="s">
        <v>63</v>
      </c>
      <c r="AM3031" s="4" t="s">
        <v>24749</v>
      </c>
      <c r="AN3031" s="4" t="s">
        <v>63</v>
      </c>
      <c r="AO3031" s="4" t="s">
        <v>63</v>
      </c>
      <c r="AP3031" s="4" t="s">
        <v>63</v>
      </c>
      <c r="AQ3031" s="4" t="s">
        <v>63</v>
      </c>
      <c r="AR3031" s="4" t="s">
        <v>63</v>
      </c>
      <c r="AS3031" s="4" t="s">
        <v>63</v>
      </c>
      <c r="AT3031" s="4" t="s">
        <v>63</v>
      </c>
      <c r="AU3031" s="4" t="s">
        <v>63</v>
      </c>
      <c r="AV3031" s="4" t="s">
        <v>63</v>
      </c>
      <c r="AW3031" s="4" t="s">
        <v>63</v>
      </c>
      <c r="AX3031" s="4" t="s">
        <v>63</v>
      </c>
      <c r="AY3031" s="4" t="s">
        <v>63</v>
      </c>
      <c r="AZ3031" s="4" t="s">
        <v>63</v>
      </c>
      <c r="BA3031" s="4" t="s">
        <v>63</v>
      </c>
      <c r="BB3031" s="4" t="s">
        <v>63</v>
      </c>
      <c r="BC3031" s="4" t="s">
        <v>63</v>
      </c>
      <c r="BD3031" s="4" t="s">
        <v>63</v>
      </c>
      <c r="BE3031" s="4" t="s">
        <v>63</v>
      </c>
      <c r="BF3031" s="4" t="s">
        <v>63</v>
      </c>
    </row>
    <row r="3032" spans="1:58">
      <c r="A3032" s="4" t="s">
        <v>58</v>
      </c>
      <c r="B3032" s="4" t="s">
        <v>24754</v>
      </c>
      <c r="C3032" s="4" t="s">
        <v>24755</v>
      </c>
      <c r="D3032" s="4" t="s">
        <v>24756</v>
      </c>
      <c r="E3032" s="4" t="s">
        <v>24757</v>
      </c>
      <c r="F3032" s="4">
        <v>2015</v>
      </c>
      <c r="G3032" s="4" t="s">
        <v>1114</v>
      </c>
      <c r="H3032" s="4">
        <v>43</v>
      </c>
      <c r="I3032" s="4">
        <v>3</v>
      </c>
      <c r="J3032" s="4">
        <v>109</v>
      </c>
      <c r="K3032" s="4">
        <v>121</v>
      </c>
      <c r="L3032" s="4" t="s">
        <v>24758</v>
      </c>
      <c r="M3032" s="4" t="s">
        <v>24759</v>
      </c>
      <c r="N3032" s="4" t="s">
        <v>24760</v>
      </c>
      <c r="O3032" s="4" t="s">
        <v>63</v>
      </c>
      <c r="P3032" s="4"/>
      <c r="Q3032" s="4" t="s">
        <v>63</v>
      </c>
      <c r="R3032" s="4" t="s">
        <v>63</v>
      </c>
      <c r="S3032" s="4" t="s">
        <v>63</v>
      </c>
      <c r="T3032" s="4" t="s">
        <v>63</v>
      </c>
      <c r="U3032" s="4"/>
      <c r="V3032" s="4"/>
      <c r="W3032" s="4"/>
      <c r="X3032" s="4" t="s">
        <v>63</v>
      </c>
      <c r="Y3032" s="4" t="s">
        <v>24761</v>
      </c>
      <c r="Z3032" s="4" t="s">
        <v>63</v>
      </c>
      <c r="AA3032" s="4" t="s">
        <v>24762</v>
      </c>
      <c r="AB3032" s="4" t="s">
        <v>24763</v>
      </c>
      <c r="AC3032" s="4" t="s">
        <v>67</v>
      </c>
      <c r="AD3032" s="4" t="s">
        <v>63</v>
      </c>
      <c r="AE3032" s="4" t="s">
        <v>63</v>
      </c>
      <c r="AF3032" s="4" t="s">
        <v>63</v>
      </c>
      <c r="AG3032" s="4" t="s">
        <v>63</v>
      </c>
      <c r="AH3032" s="4" t="s">
        <v>63</v>
      </c>
      <c r="AI3032" s="4" t="s">
        <v>63</v>
      </c>
      <c r="AJ3032" s="4" t="s">
        <v>63</v>
      </c>
      <c r="AK3032" s="4" t="s">
        <v>63</v>
      </c>
      <c r="AL3032" s="4" t="s">
        <v>63</v>
      </c>
      <c r="AM3032" s="4" t="s">
        <v>24755</v>
      </c>
      <c r="AN3032" s="4" t="s">
        <v>63</v>
      </c>
      <c r="AO3032" s="4" t="s">
        <v>63</v>
      </c>
      <c r="AP3032" s="4" t="s">
        <v>63</v>
      </c>
      <c r="AQ3032" s="4" t="s">
        <v>63</v>
      </c>
      <c r="AR3032" s="4" t="s">
        <v>63</v>
      </c>
      <c r="AS3032" s="4" t="s">
        <v>63</v>
      </c>
      <c r="AT3032" s="4" t="s">
        <v>63</v>
      </c>
      <c r="AU3032" s="4" t="s">
        <v>63</v>
      </c>
      <c r="AV3032" s="4" t="s">
        <v>63</v>
      </c>
      <c r="AW3032" s="4" t="s">
        <v>63</v>
      </c>
      <c r="AX3032" s="4" t="s">
        <v>63</v>
      </c>
      <c r="AY3032" s="4" t="s">
        <v>63</v>
      </c>
      <c r="AZ3032" s="4" t="s">
        <v>63</v>
      </c>
      <c r="BA3032" s="4" t="s">
        <v>63</v>
      </c>
      <c r="BB3032" s="4" t="s">
        <v>63</v>
      </c>
      <c r="BC3032" s="4" t="s">
        <v>63</v>
      </c>
      <c r="BD3032" s="4" t="s">
        <v>63</v>
      </c>
      <c r="BE3032" s="4" t="s">
        <v>63</v>
      </c>
      <c r="BF3032" s="4" t="s">
        <v>63</v>
      </c>
    </row>
    <row r="3033" spans="1:58">
      <c r="A3033" s="4" t="s">
        <v>58</v>
      </c>
      <c r="B3033" s="4" t="s">
        <v>24764</v>
      </c>
      <c r="C3033" s="4" t="s">
        <v>24765</v>
      </c>
      <c r="D3033" s="4" t="s">
        <v>15589</v>
      </c>
      <c r="E3033" s="4" t="s">
        <v>63</v>
      </c>
      <c r="F3033" s="4">
        <v>2014</v>
      </c>
      <c r="G3033" s="4" t="s">
        <v>63</v>
      </c>
      <c r="H3033" s="4">
        <v>29</v>
      </c>
      <c r="I3033" s="4" t="s">
        <v>63</v>
      </c>
      <c r="J3033" s="4" t="s">
        <v>63</v>
      </c>
      <c r="K3033" s="4" t="s">
        <v>63</v>
      </c>
      <c r="L3033" s="4" t="s">
        <v>63</v>
      </c>
      <c r="M3033" s="4" t="s">
        <v>63</v>
      </c>
      <c r="N3033" s="4" t="s">
        <v>24766</v>
      </c>
      <c r="O3033" s="4" t="s">
        <v>63</v>
      </c>
      <c r="P3033" s="4"/>
      <c r="Q3033" s="4" t="s">
        <v>63</v>
      </c>
      <c r="R3033" s="4" t="s">
        <v>63</v>
      </c>
      <c r="S3033" s="4" t="s">
        <v>63</v>
      </c>
      <c r="T3033" s="4" t="s">
        <v>63</v>
      </c>
      <c r="U3033" s="4"/>
      <c r="V3033" s="4"/>
      <c r="W3033" s="4"/>
      <c r="X3033" s="4" t="s">
        <v>63</v>
      </c>
      <c r="Y3033" s="4" t="s">
        <v>3365</v>
      </c>
      <c r="Z3033" s="4" t="s">
        <v>63</v>
      </c>
      <c r="AA3033" s="4" t="s">
        <v>24767</v>
      </c>
      <c r="AB3033" s="4" t="s">
        <v>24768</v>
      </c>
      <c r="AC3033" s="4" t="s">
        <v>67</v>
      </c>
      <c r="AD3033" s="4" t="s">
        <v>63</v>
      </c>
      <c r="AE3033" s="4" t="s">
        <v>63</v>
      </c>
      <c r="AF3033" s="4" t="s">
        <v>63</v>
      </c>
      <c r="AG3033" s="4" t="s">
        <v>63</v>
      </c>
      <c r="AH3033" s="4" t="s">
        <v>63</v>
      </c>
      <c r="AI3033" s="4" t="s">
        <v>63</v>
      </c>
      <c r="AJ3033" s="4" t="s">
        <v>63</v>
      </c>
      <c r="AK3033" s="4" t="s">
        <v>63</v>
      </c>
      <c r="AL3033" s="4" t="s">
        <v>63</v>
      </c>
      <c r="AM3033" s="4" t="s">
        <v>24765</v>
      </c>
      <c r="AN3033" s="4" t="s">
        <v>63</v>
      </c>
      <c r="AO3033" s="4" t="s">
        <v>63</v>
      </c>
      <c r="AP3033" s="4" t="s">
        <v>63</v>
      </c>
      <c r="AQ3033" s="4" t="s">
        <v>63</v>
      </c>
      <c r="AR3033" s="4" t="s">
        <v>63</v>
      </c>
      <c r="AS3033" s="4" t="s">
        <v>63</v>
      </c>
      <c r="AT3033" s="4" t="s">
        <v>63</v>
      </c>
      <c r="AU3033" s="4" t="s">
        <v>63</v>
      </c>
      <c r="AV3033" s="4" t="s">
        <v>63</v>
      </c>
      <c r="AW3033" s="4" t="s">
        <v>63</v>
      </c>
      <c r="AX3033" s="4" t="s">
        <v>63</v>
      </c>
      <c r="AY3033" s="4" t="s">
        <v>63</v>
      </c>
      <c r="AZ3033" s="4" t="s">
        <v>63</v>
      </c>
      <c r="BA3033" s="4" t="s">
        <v>63</v>
      </c>
      <c r="BB3033" s="4" t="s">
        <v>63</v>
      </c>
      <c r="BC3033" s="4" t="s">
        <v>63</v>
      </c>
      <c r="BD3033" s="4" t="s">
        <v>63</v>
      </c>
      <c r="BE3033" s="4" t="s">
        <v>63</v>
      </c>
      <c r="BF3033" s="4" t="s">
        <v>63</v>
      </c>
    </row>
    <row r="3034" spans="1:58">
      <c r="A3034" s="4" t="s">
        <v>58</v>
      </c>
      <c r="B3034" s="4" t="s">
        <v>24769</v>
      </c>
      <c r="C3034" s="4" t="s">
        <v>24770</v>
      </c>
      <c r="D3034" s="4" t="s">
        <v>1184</v>
      </c>
      <c r="E3034" s="4" t="s">
        <v>1185</v>
      </c>
      <c r="F3034" s="4">
        <v>1988</v>
      </c>
      <c r="G3034" s="4" t="s">
        <v>138</v>
      </c>
      <c r="H3034" s="4">
        <v>63</v>
      </c>
      <c r="I3034" s="4">
        <v>10</v>
      </c>
      <c r="J3034" s="4">
        <v>759</v>
      </c>
      <c r="K3034" s="4">
        <v>761</v>
      </c>
      <c r="L3034" s="4" t="s">
        <v>63</v>
      </c>
      <c r="M3034" s="4" t="s">
        <v>63</v>
      </c>
      <c r="N3034" s="4" t="s">
        <v>24771</v>
      </c>
      <c r="O3034" s="4" t="s">
        <v>63</v>
      </c>
      <c r="P3034" s="4"/>
      <c r="Q3034" s="4" t="s">
        <v>63</v>
      </c>
      <c r="R3034" s="4" t="s">
        <v>63</v>
      </c>
      <c r="S3034" s="4" t="s">
        <v>63</v>
      </c>
      <c r="T3034" s="4" t="s">
        <v>63</v>
      </c>
      <c r="U3034" s="4"/>
      <c r="V3034" s="4"/>
      <c r="W3034" s="4"/>
      <c r="X3034" s="4" t="s">
        <v>63</v>
      </c>
      <c r="Y3034" s="4" t="s">
        <v>1188</v>
      </c>
      <c r="Z3034" s="4" t="s">
        <v>63</v>
      </c>
      <c r="AA3034" s="4" t="s">
        <v>24772</v>
      </c>
      <c r="AB3034" s="4" t="s">
        <v>24773</v>
      </c>
      <c r="AC3034" s="4" t="s">
        <v>67</v>
      </c>
      <c r="AD3034" s="4" t="s">
        <v>63</v>
      </c>
      <c r="AE3034" s="4" t="s">
        <v>63</v>
      </c>
      <c r="AF3034" s="4" t="s">
        <v>63</v>
      </c>
      <c r="AG3034" s="4" t="s">
        <v>63</v>
      </c>
      <c r="AH3034" s="4" t="s">
        <v>63</v>
      </c>
      <c r="AI3034" s="4" t="s">
        <v>63</v>
      </c>
      <c r="AJ3034" s="4" t="s">
        <v>63</v>
      </c>
      <c r="AK3034" s="4" t="s">
        <v>63</v>
      </c>
      <c r="AL3034" s="4" t="s">
        <v>63</v>
      </c>
      <c r="AM3034" s="4" t="s">
        <v>24770</v>
      </c>
      <c r="AN3034" s="4" t="s">
        <v>63</v>
      </c>
      <c r="AO3034" s="4" t="s">
        <v>63</v>
      </c>
      <c r="AP3034" s="4" t="s">
        <v>63</v>
      </c>
      <c r="AQ3034" s="4" t="s">
        <v>63</v>
      </c>
      <c r="AR3034" s="4" t="s">
        <v>63</v>
      </c>
      <c r="AS3034" s="4" t="s">
        <v>63</v>
      </c>
      <c r="AT3034" s="4" t="s">
        <v>63</v>
      </c>
      <c r="AU3034" s="4" t="s">
        <v>63</v>
      </c>
      <c r="AV3034" s="4" t="s">
        <v>63</v>
      </c>
      <c r="AW3034" s="4" t="s">
        <v>63</v>
      </c>
      <c r="AX3034" s="4" t="s">
        <v>63</v>
      </c>
      <c r="AY3034" s="4" t="s">
        <v>63</v>
      </c>
      <c r="AZ3034" s="4" t="s">
        <v>63</v>
      </c>
      <c r="BA3034" s="4" t="s">
        <v>63</v>
      </c>
      <c r="BB3034" s="4" t="s">
        <v>63</v>
      </c>
      <c r="BC3034" s="4" t="s">
        <v>63</v>
      </c>
      <c r="BD3034" s="4" t="s">
        <v>63</v>
      </c>
      <c r="BE3034" s="4" t="s">
        <v>63</v>
      </c>
      <c r="BF3034" s="4" t="s">
        <v>63</v>
      </c>
    </row>
    <row r="3035" spans="1:58">
      <c r="A3035" s="4" t="s">
        <v>58</v>
      </c>
      <c r="B3035" s="4" t="s">
        <v>24774</v>
      </c>
      <c r="C3035" s="4" t="s">
        <v>24775</v>
      </c>
      <c r="D3035" s="4" t="s">
        <v>371</v>
      </c>
      <c r="E3035" s="4" t="s">
        <v>63</v>
      </c>
      <c r="F3035" s="4">
        <v>2016</v>
      </c>
      <c r="G3035" s="4" t="s">
        <v>189</v>
      </c>
      <c r="H3035" s="4">
        <v>31</v>
      </c>
      <c r="I3035" s="4" t="s">
        <v>63</v>
      </c>
      <c r="J3035" s="4" t="s">
        <v>24776</v>
      </c>
      <c r="K3035" s="4" t="s">
        <v>22668</v>
      </c>
      <c r="L3035" s="4" t="s">
        <v>63</v>
      </c>
      <c r="M3035" s="4" t="s">
        <v>63</v>
      </c>
      <c r="N3035" s="4" t="s">
        <v>24777</v>
      </c>
      <c r="O3035" s="4" t="s">
        <v>63</v>
      </c>
      <c r="P3035" s="4"/>
      <c r="Q3035" s="4" t="s">
        <v>63</v>
      </c>
      <c r="R3035" s="4" t="s">
        <v>63</v>
      </c>
      <c r="S3035" s="4" t="s">
        <v>63</v>
      </c>
      <c r="T3035" s="4" t="s">
        <v>63</v>
      </c>
      <c r="U3035" s="4"/>
      <c r="V3035" s="4"/>
      <c r="W3035" s="4"/>
      <c r="X3035" s="4" t="s">
        <v>63</v>
      </c>
      <c r="Y3035" s="4" t="s">
        <v>375</v>
      </c>
      <c r="Z3035" s="4" t="s">
        <v>63</v>
      </c>
      <c r="AA3035" s="4" t="s">
        <v>24778</v>
      </c>
      <c r="AB3035" s="4" t="s">
        <v>24779</v>
      </c>
      <c r="AC3035" s="4" t="s">
        <v>67</v>
      </c>
      <c r="AD3035" s="4" t="s">
        <v>63</v>
      </c>
      <c r="AE3035" s="4" t="s">
        <v>63</v>
      </c>
      <c r="AF3035" s="4" t="s">
        <v>63</v>
      </c>
      <c r="AG3035" s="4" t="s">
        <v>63</v>
      </c>
      <c r="AH3035" s="4" t="s">
        <v>63</v>
      </c>
      <c r="AI3035" s="4" t="s">
        <v>63</v>
      </c>
      <c r="AJ3035" s="4" t="s">
        <v>63</v>
      </c>
      <c r="AK3035" s="4" t="s">
        <v>63</v>
      </c>
      <c r="AL3035" s="4" t="s">
        <v>63</v>
      </c>
      <c r="AM3035" s="4" t="s">
        <v>24775</v>
      </c>
      <c r="AN3035" s="4" t="s">
        <v>63</v>
      </c>
      <c r="AO3035" s="4" t="s">
        <v>63</v>
      </c>
      <c r="AP3035" s="4" t="s">
        <v>63</v>
      </c>
      <c r="AQ3035" s="4" t="s">
        <v>63</v>
      </c>
      <c r="AR3035" s="4" t="s">
        <v>63</v>
      </c>
      <c r="AS3035" s="4" t="s">
        <v>63</v>
      </c>
      <c r="AT3035" s="4" t="s">
        <v>63</v>
      </c>
      <c r="AU3035" s="4" t="s">
        <v>63</v>
      </c>
      <c r="AV3035" s="4" t="s">
        <v>63</v>
      </c>
      <c r="AW3035" s="4" t="s">
        <v>63</v>
      </c>
      <c r="AX3035" s="4" t="s">
        <v>63</v>
      </c>
      <c r="AY3035" s="4" t="s">
        <v>63</v>
      </c>
      <c r="AZ3035" s="4" t="s">
        <v>63</v>
      </c>
      <c r="BA3035" s="4" t="s">
        <v>63</v>
      </c>
      <c r="BB3035" s="4" t="s">
        <v>63</v>
      </c>
      <c r="BC3035" s="4" t="s">
        <v>63</v>
      </c>
      <c r="BD3035" s="4" t="s">
        <v>63</v>
      </c>
      <c r="BE3035" s="4" t="s">
        <v>63</v>
      </c>
      <c r="BF3035" s="4" t="s">
        <v>63</v>
      </c>
    </row>
    <row r="3036" spans="1:58">
      <c r="A3036" s="4" t="s">
        <v>58</v>
      </c>
      <c r="B3036" s="4" t="s">
        <v>24780</v>
      </c>
      <c r="C3036" s="4" t="s">
        <v>24781</v>
      </c>
      <c r="D3036" s="4" t="s">
        <v>24782</v>
      </c>
      <c r="E3036" s="4" t="s">
        <v>63</v>
      </c>
      <c r="F3036" s="4">
        <v>2018</v>
      </c>
      <c r="G3036" s="4" t="s">
        <v>63</v>
      </c>
      <c r="H3036" s="4">
        <v>8</v>
      </c>
      <c r="I3036" s="4">
        <v>1</v>
      </c>
      <c r="J3036" s="4">
        <v>2597</v>
      </c>
      <c r="K3036" s="4">
        <v>2601</v>
      </c>
      <c r="L3036" s="4" t="s">
        <v>24783</v>
      </c>
      <c r="M3036" s="4" t="s">
        <v>24784</v>
      </c>
      <c r="N3036" s="4" t="s">
        <v>24785</v>
      </c>
      <c r="O3036" s="4" t="s">
        <v>63</v>
      </c>
      <c r="P3036" s="4"/>
      <c r="Q3036" s="4" t="s">
        <v>63</v>
      </c>
      <c r="R3036" s="4" t="s">
        <v>63</v>
      </c>
      <c r="S3036" s="4" t="s">
        <v>63</v>
      </c>
      <c r="T3036" s="4" t="s">
        <v>63</v>
      </c>
      <c r="U3036" s="4"/>
      <c r="V3036" s="4"/>
      <c r="W3036" s="4"/>
      <c r="X3036" s="4" t="s">
        <v>63</v>
      </c>
      <c r="Y3036" s="4" t="s">
        <v>24786</v>
      </c>
      <c r="Z3036" s="4" t="s">
        <v>63</v>
      </c>
      <c r="AA3036" s="4" t="s">
        <v>24787</v>
      </c>
      <c r="AB3036" s="4" t="s">
        <v>24788</v>
      </c>
      <c r="AC3036" s="4" t="s">
        <v>67</v>
      </c>
      <c r="AD3036" s="4" t="s">
        <v>63</v>
      </c>
      <c r="AE3036" s="4" t="s">
        <v>63</v>
      </c>
      <c r="AF3036" s="4" t="s">
        <v>63</v>
      </c>
      <c r="AG3036" s="4" t="s">
        <v>63</v>
      </c>
      <c r="AH3036" s="4" t="s">
        <v>63</v>
      </c>
      <c r="AI3036" s="4" t="s">
        <v>24789</v>
      </c>
      <c r="AJ3036" s="4" t="s">
        <v>63</v>
      </c>
      <c r="AK3036" s="4" t="s">
        <v>63</v>
      </c>
      <c r="AL3036" s="4" t="s">
        <v>63</v>
      </c>
      <c r="AM3036" s="4" t="s">
        <v>24781</v>
      </c>
      <c r="AN3036" s="4" t="s">
        <v>63</v>
      </c>
      <c r="AO3036" s="4" t="s">
        <v>63</v>
      </c>
      <c r="AP3036" s="4" t="s">
        <v>63</v>
      </c>
      <c r="AQ3036" s="4" t="s">
        <v>63</v>
      </c>
      <c r="AR3036" s="4" t="s">
        <v>63</v>
      </c>
      <c r="AS3036" s="4" t="s">
        <v>63</v>
      </c>
      <c r="AT3036" s="4" t="s">
        <v>63</v>
      </c>
      <c r="AU3036" s="4" t="s">
        <v>63</v>
      </c>
      <c r="AV3036" s="4" t="s">
        <v>63</v>
      </c>
      <c r="AW3036" s="4" t="s">
        <v>63</v>
      </c>
      <c r="AX3036" s="4" t="s">
        <v>63</v>
      </c>
      <c r="AY3036" s="4" t="s">
        <v>63</v>
      </c>
      <c r="AZ3036" s="4" t="s">
        <v>63</v>
      </c>
      <c r="BA3036" s="4" t="s">
        <v>63</v>
      </c>
      <c r="BB3036" s="4" t="s">
        <v>63</v>
      </c>
      <c r="BC3036" s="4" t="s">
        <v>63</v>
      </c>
      <c r="BD3036" s="4" t="s">
        <v>63</v>
      </c>
      <c r="BE3036" s="4" t="s">
        <v>63</v>
      </c>
      <c r="BF3036" s="4" t="s">
        <v>63</v>
      </c>
    </row>
    <row r="3037" spans="1:58">
      <c r="A3037" s="4" t="s">
        <v>58</v>
      </c>
      <c r="B3037" s="4" t="s">
        <v>24790</v>
      </c>
      <c r="C3037" s="4" t="s">
        <v>24791</v>
      </c>
      <c r="D3037" s="4" t="s">
        <v>938</v>
      </c>
      <c r="E3037" s="4" t="s">
        <v>63</v>
      </c>
      <c r="F3037" s="4">
        <v>2015</v>
      </c>
      <c r="G3037" s="4" t="s">
        <v>198</v>
      </c>
      <c r="H3037" s="4">
        <v>24</v>
      </c>
      <c r="I3037" s="4">
        <v>1</v>
      </c>
      <c r="J3037" s="4">
        <v>66</v>
      </c>
      <c r="K3037" s="4">
        <v>66</v>
      </c>
      <c r="L3037" s="4" t="s">
        <v>63</v>
      </c>
      <c r="M3037" s="4" t="s">
        <v>63</v>
      </c>
      <c r="N3037" s="4" t="s">
        <v>24792</v>
      </c>
      <c r="O3037" s="4" t="s">
        <v>63</v>
      </c>
      <c r="P3037" s="4"/>
      <c r="Q3037" s="4" t="s">
        <v>63</v>
      </c>
      <c r="R3037" s="4" t="s">
        <v>63</v>
      </c>
      <c r="S3037" s="4" t="s">
        <v>63</v>
      </c>
      <c r="T3037" s="4" t="s">
        <v>63</v>
      </c>
      <c r="U3037" s="4"/>
      <c r="V3037" s="4"/>
      <c r="W3037" s="4"/>
      <c r="X3037" s="4" t="s">
        <v>63</v>
      </c>
      <c r="Y3037" s="4" t="s">
        <v>2500</v>
      </c>
      <c r="Z3037" s="4" t="s">
        <v>63</v>
      </c>
      <c r="AA3037" s="4" t="s">
        <v>24793</v>
      </c>
      <c r="AB3037" s="4" t="s">
        <v>24794</v>
      </c>
      <c r="AC3037" s="4" t="s">
        <v>67</v>
      </c>
      <c r="AD3037" s="4" t="s">
        <v>63</v>
      </c>
      <c r="AE3037" s="4" t="s">
        <v>63</v>
      </c>
      <c r="AF3037" s="4" t="s">
        <v>63</v>
      </c>
      <c r="AG3037" s="4" t="s">
        <v>63</v>
      </c>
      <c r="AH3037" s="4" t="s">
        <v>63</v>
      </c>
      <c r="AI3037" s="4" t="s">
        <v>63</v>
      </c>
      <c r="AJ3037" s="4" t="s">
        <v>63</v>
      </c>
      <c r="AK3037" s="4" t="s">
        <v>63</v>
      </c>
      <c r="AL3037" s="4" t="s">
        <v>63</v>
      </c>
      <c r="AM3037" s="4" t="s">
        <v>24791</v>
      </c>
      <c r="AN3037" s="4" t="s">
        <v>63</v>
      </c>
      <c r="AO3037" s="4" t="s">
        <v>63</v>
      </c>
      <c r="AP3037" s="4" t="s">
        <v>63</v>
      </c>
      <c r="AQ3037" s="4" t="s">
        <v>63</v>
      </c>
      <c r="AR3037" s="4" t="s">
        <v>63</v>
      </c>
      <c r="AS3037" s="4" t="s">
        <v>63</v>
      </c>
      <c r="AT3037" s="4" t="s">
        <v>63</v>
      </c>
      <c r="AU3037" s="4" t="s">
        <v>63</v>
      </c>
      <c r="AV3037" s="4" t="s">
        <v>63</v>
      </c>
      <c r="AW3037" s="4" t="s">
        <v>63</v>
      </c>
      <c r="AX3037" s="4" t="s">
        <v>63</v>
      </c>
      <c r="AY3037" s="4" t="s">
        <v>63</v>
      </c>
      <c r="AZ3037" s="4" t="s">
        <v>63</v>
      </c>
      <c r="BA3037" s="4" t="s">
        <v>63</v>
      </c>
      <c r="BB3037" s="4" t="s">
        <v>63</v>
      </c>
      <c r="BC3037" s="4" t="s">
        <v>63</v>
      </c>
      <c r="BD3037" s="4" t="s">
        <v>63</v>
      </c>
      <c r="BE3037" s="4" t="s">
        <v>63</v>
      </c>
      <c r="BF3037" s="4" t="s">
        <v>63</v>
      </c>
    </row>
    <row r="3038" spans="1:58">
      <c r="A3038" s="4" t="s">
        <v>58</v>
      </c>
      <c r="B3038" s="4" t="s">
        <v>24795</v>
      </c>
      <c r="C3038" s="4" t="s">
        <v>24796</v>
      </c>
      <c r="D3038" s="4" t="s">
        <v>24797</v>
      </c>
      <c r="E3038" s="4" t="s">
        <v>63</v>
      </c>
      <c r="F3038" s="4">
        <v>2017</v>
      </c>
      <c r="G3038" s="4" t="s">
        <v>1737</v>
      </c>
      <c r="H3038" s="4">
        <v>29</v>
      </c>
      <c r="I3038" s="4">
        <v>3</v>
      </c>
      <c r="J3038" s="4">
        <v>287</v>
      </c>
      <c r="K3038" s="4">
        <v>291</v>
      </c>
      <c r="L3038" s="4" t="s">
        <v>24798</v>
      </c>
      <c r="M3038" s="4" t="s">
        <v>24799</v>
      </c>
      <c r="N3038" s="4" t="s">
        <v>24800</v>
      </c>
      <c r="O3038" s="4" t="s">
        <v>63</v>
      </c>
      <c r="P3038" s="4"/>
      <c r="Q3038" s="4" t="s">
        <v>63</v>
      </c>
      <c r="R3038" s="4" t="s">
        <v>63</v>
      </c>
      <c r="S3038" s="4" t="s">
        <v>63</v>
      </c>
      <c r="T3038" s="4" t="s">
        <v>63</v>
      </c>
      <c r="U3038" s="4"/>
      <c r="V3038" s="4"/>
      <c r="W3038" s="4"/>
      <c r="X3038" s="4" t="s">
        <v>63</v>
      </c>
      <c r="Y3038" s="4" t="s">
        <v>24801</v>
      </c>
      <c r="Z3038" s="4" t="s">
        <v>63</v>
      </c>
      <c r="AA3038" s="4" t="s">
        <v>24802</v>
      </c>
      <c r="AB3038" s="4" t="s">
        <v>24803</v>
      </c>
      <c r="AC3038" s="4" t="s">
        <v>67</v>
      </c>
      <c r="AD3038" s="4" t="s">
        <v>63</v>
      </c>
      <c r="AE3038" s="4" t="s">
        <v>63</v>
      </c>
      <c r="AF3038" s="4" t="s">
        <v>63</v>
      </c>
      <c r="AG3038" s="4" t="s">
        <v>63</v>
      </c>
      <c r="AH3038" s="4" t="s">
        <v>63</v>
      </c>
      <c r="AI3038" s="4" t="s">
        <v>63</v>
      </c>
      <c r="AJ3038" s="4" t="s">
        <v>63</v>
      </c>
      <c r="AK3038" s="4" t="s">
        <v>63</v>
      </c>
      <c r="AL3038" s="4" t="s">
        <v>63</v>
      </c>
      <c r="AM3038" s="4" t="s">
        <v>24796</v>
      </c>
      <c r="AN3038" s="4" t="s">
        <v>63</v>
      </c>
      <c r="AO3038" s="4" t="s">
        <v>63</v>
      </c>
      <c r="AP3038" s="4" t="s">
        <v>63</v>
      </c>
      <c r="AQ3038" s="4" t="s">
        <v>63</v>
      </c>
      <c r="AR3038" s="4" t="s">
        <v>63</v>
      </c>
      <c r="AS3038" s="4" t="s">
        <v>63</v>
      </c>
      <c r="AT3038" s="4" t="s">
        <v>63</v>
      </c>
      <c r="AU3038" s="4" t="s">
        <v>63</v>
      </c>
      <c r="AV3038" s="4" t="s">
        <v>63</v>
      </c>
      <c r="AW3038" s="4" t="s">
        <v>63</v>
      </c>
      <c r="AX3038" s="4" t="s">
        <v>63</v>
      </c>
      <c r="AY3038" s="4" t="s">
        <v>63</v>
      </c>
      <c r="AZ3038" s="4" t="s">
        <v>63</v>
      </c>
      <c r="BA3038" s="4" t="s">
        <v>63</v>
      </c>
      <c r="BB3038" s="4" t="s">
        <v>63</v>
      </c>
      <c r="BC3038" s="4" t="s">
        <v>63</v>
      </c>
      <c r="BD3038" s="4" t="s">
        <v>63</v>
      </c>
      <c r="BE3038" s="4" t="s">
        <v>63</v>
      </c>
      <c r="BF3038" s="4" t="s">
        <v>63</v>
      </c>
    </row>
    <row r="3039" spans="1:58">
      <c r="A3039" s="4" t="s">
        <v>58</v>
      </c>
      <c r="B3039" s="4" t="s">
        <v>24804</v>
      </c>
      <c r="C3039" s="4" t="s">
        <v>24805</v>
      </c>
      <c r="D3039" s="4" t="s">
        <v>389</v>
      </c>
      <c r="E3039" s="4" t="s">
        <v>63</v>
      </c>
      <c r="F3039" s="4">
        <v>2009</v>
      </c>
      <c r="G3039" s="4" t="s">
        <v>63</v>
      </c>
      <c r="H3039" s="4">
        <v>30</v>
      </c>
      <c r="I3039" s="4">
        <v>2</v>
      </c>
      <c r="J3039" s="4">
        <v>201</v>
      </c>
      <c r="K3039" s="4">
        <v>202</v>
      </c>
      <c r="L3039" s="4" t="s">
        <v>63</v>
      </c>
      <c r="M3039" s="4" t="s">
        <v>63</v>
      </c>
      <c r="N3039" s="4" t="s">
        <v>24806</v>
      </c>
      <c r="O3039" s="4" t="s">
        <v>63</v>
      </c>
      <c r="P3039" s="4"/>
      <c r="Q3039" s="4" t="s">
        <v>63</v>
      </c>
      <c r="R3039" s="4" t="s">
        <v>63</v>
      </c>
      <c r="S3039" s="4" t="s">
        <v>63</v>
      </c>
      <c r="T3039" s="4" t="s">
        <v>63</v>
      </c>
      <c r="U3039" s="4"/>
      <c r="V3039" s="4"/>
      <c r="W3039" s="4"/>
      <c r="X3039" s="4" t="s">
        <v>63</v>
      </c>
      <c r="Y3039" s="4" t="s">
        <v>392</v>
      </c>
      <c r="Z3039" s="4" t="s">
        <v>63</v>
      </c>
      <c r="AA3039" s="4" t="s">
        <v>24807</v>
      </c>
      <c r="AB3039" s="4" t="s">
        <v>24808</v>
      </c>
      <c r="AC3039" s="4" t="s">
        <v>67</v>
      </c>
      <c r="AD3039" s="4" t="s">
        <v>63</v>
      </c>
      <c r="AE3039" s="4" t="s">
        <v>63</v>
      </c>
      <c r="AF3039" s="4" t="s">
        <v>63</v>
      </c>
      <c r="AG3039" s="4" t="s">
        <v>63</v>
      </c>
      <c r="AH3039" s="4" t="s">
        <v>63</v>
      </c>
      <c r="AI3039" s="4" t="s">
        <v>63</v>
      </c>
      <c r="AJ3039" s="4" t="s">
        <v>63</v>
      </c>
      <c r="AK3039" s="4" t="s">
        <v>63</v>
      </c>
      <c r="AL3039" s="4" t="s">
        <v>63</v>
      </c>
      <c r="AM3039" s="4" t="s">
        <v>24805</v>
      </c>
      <c r="AN3039" s="4" t="s">
        <v>63</v>
      </c>
      <c r="AO3039" s="4" t="s">
        <v>63</v>
      </c>
      <c r="AP3039" s="4" t="s">
        <v>63</v>
      </c>
      <c r="AQ3039" s="4" t="s">
        <v>63</v>
      </c>
      <c r="AR3039" s="4" t="s">
        <v>63</v>
      </c>
      <c r="AS3039" s="4" t="s">
        <v>63</v>
      </c>
      <c r="AT3039" s="4" t="s">
        <v>63</v>
      </c>
      <c r="AU3039" s="4" t="s">
        <v>63</v>
      </c>
      <c r="AV3039" s="4" t="s">
        <v>63</v>
      </c>
      <c r="AW3039" s="4" t="s">
        <v>63</v>
      </c>
      <c r="AX3039" s="4" t="s">
        <v>63</v>
      </c>
      <c r="AY3039" s="4" t="s">
        <v>63</v>
      </c>
      <c r="AZ3039" s="4" t="s">
        <v>63</v>
      </c>
      <c r="BA3039" s="4" t="s">
        <v>63</v>
      </c>
      <c r="BB3039" s="4" t="s">
        <v>63</v>
      </c>
      <c r="BC3039" s="4" t="s">
        <v>63</v>
      </c>
      <c r="BD3039" s="4" t="s">
        <v>63</v>
      </c>
      <c r="BE3039" s="4" t="s">
        <v>63</v>
      </c>
      <c r="BF3039" s="4" t="s">
        <v>63</v>
      </c>
    </row>
    <row r="3040" spans="1:58">
      <c r="A3040" s="4" t="s">
        <v>58</v>
      </c>
      <c r="B3040" s="4" t="s">
        <v>24809</v>
      </c>
      <c r="C3040" s="4" t="s">
        <v>24810</v>
      </c>
      <c r="D3040" s="4" t="s">
        <v>24811</v>
      </c>
      <c r="E3040" s="4" t="s">
        <v>63</v>
      </c>
      <c r="F3040" s="4">
        <v>1987</v>
      </c>
      <c r="G3040" s="4" t="s">
        <v>63</v>
      </c>
      <c r="H3040" s="4">
        <v>10</v>
      </c>
      <c r="I3040" s="4">
        <v>4</v>
      </c>
      <c r="J3040" s="4" t="s">
        <v>24812</v>
      </c>
      <c r="K3040" s="4" t="s">
        <v>24812</v>
      </c>
      <c r="L3040" s="4" t="s">
        <v>63</v>
      </c>
      <c r="M3040" s="4" t="s">
        <v>63</v>
      </c>
      <c r="N3040" s="4" t="s">
        <v>24813</v>
      </c>
      <c r="O3040" s="4" t="s">
        <v>63</v>
      </c>
      <c r="P3040" s="4"/>
      <c r="Q3040" s="4" t="s">
        <v>63</v>
      </c>
      <c r="R3040" s="4" t="s">
        <v>63</v>
      </c>
      <c r="S3040" s="4" t="s">
        <v>63</v>
      </c>
      <c r="T3040" s="4" t="s">
        <v>63</v>
      </c>
      <c r="U3040" s="4"/>
      <c r="V3040" s="4"/>
      <c r="W3040" s="4"/>
      <c r="X3040" s="4" t="s">
        <v>63</v>
      </c>
      <c r="Y3040" s="4" t="s">
        <v>1591</v>
      </c>
      <c r="Z3040" s="4" t="s">
        <v>63</v>
      </c>
      <c r="AA3040" s="4" t="s">
        <v>24814</v>
      </c>
      <c r="AB3040" s="4" t="s">
        <v>24815</v>
      </c>
      <c r="AC3040" s="4" t="s">
        <v>67</v>
      </c>
      <c r="AD3040" s="4" t="s">
        <v>63</v>
      </c>
      <c r="AE3040" s="4" t="s">
        <v>63</v>
      </c>
      <c r="AF3040" s="4" t="s">
        <v>63</v>
      </c>
      <c r="AG3040" s="4" t="s">
        <v>63</v>
      </c>
      <c r="AH3040" s="4" t="s">
        <v>63</v>
      </c>
      <c r="AI3040" s="4" t="s">
        <v>63</v>
      </c>
      <c r="AJ3040" s="4" t="s">
        <v>63</v>
      </c>
      <c r="AK3040" s="4" t="s">
        <v>63</v>
      </c>
      <c r="AL3040" s="4" t="s">
        <v>63</v>
      </c>
      <c r="AM3040" s="4" t="s">
        <v>24810</v>
      </c>
      <c r="AN3040" s="4" t="s">
        <v>63</v>
      </c>
      <c r="AO3040" s="4" t="s">
        <v>63</v>
      </c>
      <c r="AP3040" s="4" t="s">
        <v>63</v>
      </c>
      <c r="AQ3040" s="4" t="s">
        <v>63</v>
      </c>
      <c r="AR3040" s="4" t="s">
        <v>63</v>
      </c>
      <c r="AS3040" s="4" t="s">
        <v>63</v>
      </c>
      <c r="AT3040" s="4" t="s">
        <v>63</v>
      </c>
      <c r="AU3040" s="4" t="s">
        <v>63</v>
      </c>
      <c r="AV3040" s="4" t="s">
        <v>63</v>
      </c>
      <c r="AW3040" s="4" t="s">
        <v>63</v>
      </c>
      <c r="AX3040" s="4" t="s">
        <v>63</v>
      </c>
      <c r="AY3040" s="4" t="s">
        <v>63</v>
      </c>
      <c r="AZ3040" s="4" t="s">
        <v>63</v>
      </c>
      <c r="BA3040" s="4" t="s">
        <v>63</v>
      </c>
      <c r="BB3040" s="4" t="s">
        <v>63</v>
      </c>
      <c r="BC3040" s="4" t="s">
        <v>63</v>
      </c>
      <c r="BD3040" s="4" t="s">
        <v>63</v>
      </c>
      <c r="BE3040" s="4" t="s">
        <v>63</v>
      </c>
      <c r="BF3040" s="4" t="s">
        <v>63</v>
      </c>
    </row>
    <row r="3041" spans="1:58">
      <c r="A3041" s="4" t="s">
        <v>58</v>
      </c>
      <c r="B3041" s="4" t="s">
        <v>24816</v>
      </c>
      <c r="C3041" s="4" t="s">
        <v>24817</v>
      </c>
      <c r="D3041" s="4" t="s">
        <v>16135</v>
      </c>
      <c r="E3041" s="4" t="s">
        <v>16136</v>
      </c>
      <c r="F3041" s="4">
        <v>2009</v>
      </c>
      <c r="G3041" s="4" t="s">
        <v>24171</v>
      </c>
      <c r="H3041" s="4">
        <v>39</v>
      </c>
      <c r="I3041" s="4">
        <v>1</v>
      </c>
      <c r="J3041" s="4">
        <v>21</v>
      </c>
      <c r="K3041" s="4">
        <v>28</v>
      </c>
      <c r="L3041" s="4" t="s">
        <v>63</v>
      </c>
      <c r="M3041" s="4" t="s">
        <v>24818</v>
      </c>
      <c r="N3041" s="4" t="s">
        <v>24819</v>
      </c>
      <c r="O3041" s="4" t="s">
        <v>63</v>
      </c>
      <c r="P3041" s="4"/>
      <c r="Q3041" s="4" t="s">
        <v>63</v>
      </c>
      <c r="R3041" s="4" t="s">
        <v>63</v>
      </c>
      <c r="S3041" s="4" t="s">
        <v>63</v>
      </c>
      <c r="T3041" s="4" t="s">
        <v>63</v>
      </c>
      <c r="U3041" s="4"/>
      <c r="V3041" s="4"/>
      <c r="W3041" s="4"/>
      <c r="X3041" s="4" t="s">
        <v>63</v>
      </c>
      <c r="Y3041" s="4" t="s">
        <v>16140</v>
      </c>
      <c r="Z3041" s="4" t="s">
        <v>63</v>
      </c>
      <c r="AA3041" s="4" t="s">
        <v>24820</v>
      </c>
      <c r="AB3041" s="4" t="s">
        <v>24821</v>
      </c>
      <c r="AC3041" s="4" t="s">
        <v>67</v>
      </c>
      <c r="AD3041" s="4" t="s">
        <v>63</v>
      </c>
      <c r="AE3041" s="4" t="s">
        <v>63</v>
      </c>
      <c r="AF3041" s="4" t="s">
        <v>63</v>
      </c>
      <c r="AG3041" s="4" t="s">
        <v>63</v>
      </c>
      <c r="AH3041" s="4" t="s">
        <v>63</v>
      </c>
      <c r="AI3041" s="4" t="s">
        <v>24822</v>
      </c>
      <c r="AJ3041" s="4" t="s">
        <v>63</v>
      </c>
      <c r="AK3041" s="4" t="s">
        <v>63</v>
      </c>
      <c r="AL3041" s="4" t="s">
        <v>63</v>
      </c>
      <c r="AM3041" s="4" t="s">
        <v>24817</v>
      </c>
      <c r="AN3041" s="4" t="s">
        <v>63</v>
      </c>
      <c r="AO3041" s="4" t="s">
        <v>63</v>
      </c>
      <c r="AP3041" s="4" t="s">
        <v>63</v>
      </c>
      <c r="AQ3041" s="4" t="s">
        <v>63</v>
      </c>
      <c r="AR3041" s="4" t="s">
        <v>63</v>
      </c>
      <c r="AS3041" s="4" t="s">
        <v>63</v>
      </c>
      <c r="AT3041" s="4" t="s">
        <v>63</v>
      </c>
      <c r="AU3041" s="4" t="s">
        <v>63</v>
      </c>
      <c r="AV3041" s="4" t="s">
        <v>63</v>
      </c>
      <c r="AW3041" s="4" t="s">
        <v>63</v>
      </c>
      <c r="AX3041" s="4" t="s">
        <v>63</v>
      </c>
      <c r="AY3041" s="4" t="s">
        <v>63</v>
      </c>
      <c r="AZ3041" s="4" t="s">
        <v>63</v>
      </c>
      <c r="BA3041" s="4" t="s">
        <v>63</v>
      </c>
      <c r="BB3041" s="4" t="s">
        <v>63</v>
      </c>
      <c r="BC3041" s="4" t="s">
        <v>63</v>
      </c>
      <c r="BD3041" s="4" t="s">
        <v>63</v>
      </c>
      <c r="BE3041" s="4" t="s">
        <v>63</v>
      </c>
      <c r="BF3041" s="4" t="s">
        <v>63</v>
      </c>
    </row>
    <row r="3042" spans="1:58">
      <c r="A3042" s="4" t="s">
        <v>58</v>
      </c>
      <c r="B3042" s="4" t="s">
        <v>12011</v>
      </c>
      <c r="C3042" s="4" t="s">
        <v>24823</v>
      </c>
      <c r="D3042" s="4" t="s">
        <v>24824</v>
      </c>
      <c r="E3042" s="4" t="s">
        <v>63</v>
      </c>
      <c r="F3042" s="4">
        <v>1994</v>
      </c>
      <c r="G3042" s="4" t="s">
        <v>24320</v>
      </c>
      <c r="H3042" s="4">
        <v>22</v>
      </c>
      <c r="I3042" s="4">
        <v>3</v>
      </c>
      <c r="J3042" s="4">
        <v>252</v>
      </c>
      <c r="K3042" s="4">
        <v>256</v>
      </c>
      <c r="L3042" s="4" t="s">
        <v>63</v>
      </c>
      <c r="M3042" s="4" t="s">
        <v>63</v>
      </c>
      <c r="N3042" s="4" t="s">
        <v>24825</v>
      </c>
      <c r="O3042" s="4" t="s">
        <v>63</v>
      </c>
      <c r="P3042" s="4"/>
      <c r="Q3042" s="4" t="s">
        <v>63</v>
      </c>
      <c r="R3042" s="4" t="s">
        <v>63</v>
      </c>
      <c r="S3042" s="4" t="s">
        <v>63</v>
      </c>
      <c r="T3042" s="4" t="s">
        <v>63</v>
      </c>
      <c r="U3042" s="4"/>
      <c r="V3042" s="4"/>
      <c r="W3042" s="4"/>
      <c r="X3042" s="4" t="s">
        <v>63</v>
      </c>
      <c r="Y3042" s="4" t="s">
        <v>24826</v>
      </c>
      <c r="Z3042" s="4" t="s">
        <v>63</v>
      </c>
      <c r="AA3042" s="4" t="s">
        <v>24827</v>
      </c>
      <c r="AB3042" s="4" t="s">
        <v>24828</v>
      </c>
      <c r="AC3042" s="4" t="s">
        <v>67</v>
      </c>
      <c r="AD3042" s="4" t="s">
        <v>63</v>
      </c>
      <c r="AE3042" s="4" t="s">
        <v>63</v>
      </c>
      <c r="AF3042" s="4" t="s">
        <v>63</v>
      </c>
      <c r="AG3042" s="4" t="s">
        <v>63</v>
      </c>
      <c r="AH3042" s="4" t="s">
        <v>63</v>
      </c>
      <c r="AI3042" s="4" t="s">
        <v>24829</v>
      </c>
      <c r="AJ3042" s="4" t="s">
        <v>63</v>
      </c>
      <c r="AK3042" s="4" t="s">
        <v>63</v>
      </c>
      <c r="AL3042" s="4" t="s">
        <v>63</v>
      </c>
      <c r="AM3042" s="4" t="s">
        <v>24823</v>
      </c>
      <c r="AN3042" s="4" t="s">
        <v>63</v>
      </c>
      <c r="AO3042" s="4" t="s">
        <v>63</v>
      </c>
      <c r="AP3042" s="4" t="s">
        <v>63</v>
      </c>
      <c r="AQ3042" s="4" t="s">
        <v>63</v>
      </c>
      <c r="AR3042" s="4" t="s">
        <v>63</v>
      </c>
      <c r="AS3042" s="4" t="s">
        <v>63</v>
      </c>
      <c r="AT3042" s="4" t="s">
        <v>63</v>
      </c>
      <c r="AU3042" s="4" t="s">
        <v>63</v>
      </c>
      <c r="AV3042" s="4" t="s">
        <v>63</v>
      </c>
      <c r="AW3042" s="4" t="s">
        <v>63</v>
      </c>
      <c r="AX3042" s="4" t="s">
        <v>63</v>
      </c>
      <c r="AY3042" s="4" t="s">
        <v>63</v>
      </c>
      <c r="AZ3042" s="4" t="s">
        <v>63</v>
      </c>
      <c r="BA3042" s="4" t="s">
        <v>63</v>
      </c>
      <c r="BB3042" s="4" t="s">
        <v>63</v>
      </c>
      <c r="BC3042" s="4" t="s">
        <v>63</v>
      </c>
      <c r="BD3042" s="4" t="s">
        <v>63</v>
      </c>
      <c r="BE3042" s="4" t="s">
        <v>63</v>
      </c>
      <c r="BF3042" s="4" t="s">
        <v>63</v>
      </c>
    </row>
    <row r="3043" spans="1:58">
      <c r="A3043" s="4" t="s">
        <v>58</v>
      </c>
      <c r="B3043" s="4" t="s">
        <v>24830</v>
      </c>
      <c r="C3043" s="4" t="s">
        <v>24831</v>
      </c>
      <c r="D3043" s="4" t="s">
        <v>24832</v>
      </c>
      <c r="E3043" s="4" t="s">
        <v>63</v>
      </c>
      <c r="F3043" s="4">
        <v>2017</v>
      </c>
      <c r="G3043" s="4" t="s">
        <v>219</v>
      </c>
      <c r="H3043" s="4">
        <v>63</v>
      </c>
      <c r="I3043" s="4">
        <v>5</v>
      </c>
      <c r="J3043" s="4">
        <v>261</v>
      </c>
      <c r="K3043" s="4">
        <v>268</v>
      </c>
      <c r="L3043" s="4" t="s">
        <v>24833</v>
      </c>
      <c r="M3043" s="4" t="s">
        <v>24834</v>
      </c>
      <c r="N3043" s="4" t="s">
        <v>24835</v>
      </c>
      <c r="O3043" s="4" t="s">
        <v>63</v>
      </c>
      <c r="P3043" s="4"/>
      <c r="Q3043" s="4" t="s">
        <v>63</v>
      </c>
      <c r="R3043" s="4" t="s">
        <v>63</v>
      </c>
      <c r="S3043" s="4" t="s">
        <v>63</v>
      </c>
      <c r="T3043" s="4" t="s">
        <v>63</v>
      </c>
      <c r="U3043" s="4"/>
      <c r="V3043" s="4"/>
      <c r="W3043" s="4"/>
      <c r="X3043" s="4" t="s">
        <v>63</v>
      </c>
      <c r="Y3043" s="4" t="s">
        <v>16223</v>
      </c>
      <c r="Z3043" s="4" t="s">
        <v>63</v>
      </c>
      <c r="AA3043" s="4" t="s">
        <v>24836</v>
      </c>
      <c r="AB3043" s="4" t="s">
        <v>24837</v>
      </c>
      <c r="AC3043" s="4" t="s">
        <v>102</v>
      </c>
      <c r="AD3043" s="4" t="s">
        <v>63</v>
      </c>
      <c r="AE3043" s="4" t="s">
        <v>63</v>
      </c>
      <c r="AF3043" s="4" t="s">
        <v>63</v>
      </c>
      <c r="AG3043" s="4" t="s">
        <v>63</v>
      </c>
      <c r="AH3043" s="4" t="s">
        <v>63</v>
      </c>
      <c r="AI3043" s="4" t="s">
        <v>24838</v>
      </c>
      <c r="AJ3043" s="4" t="s">
        <v>63</v>
      </c>
      <c r="AK3043" s="4" t="s">
        <v>63</v>
      </c>
      <c r="AL3043" s="4" t="s">
        <v>63</v>
      </c>
      <c r="AM3043" s="4" t="s">
        <v>24831</v>
      </c>
      <c r="AN3043" s="4" t="s">
        <v>63</v>
      </c>
      <c r="AO3043" s="4" t="s">
        <v>63</v>
      </c>
      <c r="AP3043" s="4" t="s">
        <v>63</v>
      </c>
      <c r="AQ3043" s="4" t="s">
        <v>63</v>
      </c>
      <c r="AR3043" s="4" t="s">
        <v>63</v>
      </c>
      <c r="AS3043" s="4" t="s">
        <v>63</v>
      </c>
      <c r="AT3043" s="4" t="s">
        <v>63</v>
      </c>
      <c r="AU3043" s="4" t="s">
        <v>63</v>
      </c>
      <c r="AV3043" s="4" t="s">
        <v>63</v>
      </c>
      <c r="AW3043" s="4" t="s">
        <v>63</v>
      </c>
      <c r="AX3043" s="4" t="s">
        <v>63</v>
      </c>
      <c r="AY3043" s="4" t="s">
        <v>63</v>
      </c>
      <c r="AZ3043" s="4" t="s">
        <v>63</v>
      </c>
      <c r="BA3043" s="4" t="s">
        <v>63</v>
      </c>
      <c r="BB3043" s="4" t="s">
        <v>63</v>
      </c>
      <c r="BC3043" s="4" t="s">
        <v>63</v>
      </c>
      <c r="BD3043" s="4" t="s">
        <v>63</v>
      </c>
      <c r="BE3043" s="4" t="s">
        <v>63</v>
      </c>
      <c r="BF3043" s="4" t="s">
        <v>63</v>
      </c>
    </row>
    <row r="3044" spans="1:58">
      <c r="A3044" s="4" t="s">
        <v>58</v>
      </c>
      <c r="B3044" s="4" t="s">
        <v>12126</v>
      </c>
      <c r="C3044" s="4" t="s">
        <v>24839</v>
      </c>
      <c r="D3044" s="4" t="s">
        <v>349</v>
      </c>
      <c r="E3044" s="4" t="s">
        <v>350</v>
      </c>
      <c r="F3044" s="4">
        <v>1992</v>
      </c>
      <c r="G3044" s="4" t="s">
        <v>908</v>
      </c>
      <c r="H3044" s="4">
        <v>8</v>
      </c>
      <c r="I3044" s="4">
        <v>4</v>
      </c>
      <c r="J3044" s="4">
        <v>241</v>
      </c>
      <c r="K3044" s="4">
        <v>248</v>
      </c>
      <c r="L3044" s="4" t="s">
        <v>63</v>
      </c>
      <c r="M3044" s="4" t="s">
        <v>12129</v>
      </c>
      <c r="N3044" s="4" t="s">
        <v>24840</v>
      </c>
      <c r="O3044" s="4" t="s">
        <v>63</v>
      </c>
      <c r="P3044" s="4"/>
      <c r="Q3044" s="4" t="s">
        <v>63</v>
      </c>
      <c r="R3044" s="4" t="s">
        <v>63</v>
      </c>
      <c r="S3044" s="4" t="s">
        <v>63</v>
      </c>
      <c r="T3044" s="4" t="s">
        <v>63</v>
      </c>
      <c r="U3044" s="4"/>
      <c r="V3044" s="4"/>
      <c r="W3044" s="4"/>
      <c r="X3044" s="4" t="s">
        <v>63</v>
      </c>
      <c r="Y3044" s="4" t="s">
        <v>354</v>
      </c>
      <c r="Z3044" s="4" t="s">
        <v>63</v>
      </c>
      <c r="AA3044" s="4" t="s">
        <v>24841</v>
      </c>
      <c r="AB3044" s="4" t="s">
        <v>24842</v>
      </c>
      <c r="AC3044" s="4" t="s">
        <v>67</v>
      </c>
      <c r="AD3044" s="4" t="s">
        <v>63</v>
      </c>
      <c r="AE3044" s="4" t="s">
        <v>63</v>
      </c>
      <c r="AF3044" s="4" t="s">
        <v>63</v>
      </c>
      <c r="AG3044" s="4" t="s">
        <v>63</v>
      </c>
      <c r="AH3044" s="4" t="s">
        <v>63</v>
      </c>
      <c r="AI3044" s="4" t="s">
        <v>63</v>
      </c>
      <c r="AJ3044" s="4" t="s">
        <v>63</v>
      </c>
      <c r="AK3044" s="4" t="s">
        <v>63</v>
      </c>
      <c r="AL3044" s="4" t="s">
        <v>63</v>
      </c>
      <c r="AM3044" s="4" t="s">
        <v>24839</v>
      </c>
      <c r="AN3044" s="4" t="s">
        <v>63</v>
      </c>
      <c r="AO3044" s="4" t="s">
        <v>63</v>
      </c>
      <c r="AP3044" s="4" t="s">
        <v>63</v>
      </c>
      <c r="AQ3044" s="4" t="s">
        <v>63</v>
      </c>
      <c r="AR3044" s="4" t="s">
        <v>63</v>
      </c>
      <c r="AS3044" s="4" t="s">
        <v>63</v>
      </c>
      <c r="AT3044" s="4" t="s">
        <v>63</v>
      </c>
      <c r="AU3044" s="4" t="s">
        <v>63</v>
      </c>
      <c r="AV3044" s="4" t="s">
        <v>63</v>
      </c>
      <c r="AW3044" s="4" t="s">
        <v>63</v>
      </c>
      <c r="AX3044" s="4" t="s">
        <v>63</v>
      </c>
      <c r="AY3044" s="4" t="s">
        <v>63</v>
      </c>
      <c r="AZ3044" s="4" t="s">
        <v>63</v>
      </c>
      <c r="BA3044" s="4" t="s">
        <v>63</v>
      </c>
      <c r="BB3044" s="4" t="s">
        <v>63</v>
      </c>
      <c r="BC3044" s="4" t="s">
        <v>63</v>
      </c>
      <c r="BD3044" s="4" t="s">
        <v>63</v>
      </c>
      <c r="BE3044" s="4" t="s">
        <v>63</v>
      </c>
      <c r="BF3044" s="4" t="s">
        <v>63</v>
      </c>
    </row>
    <row r="3045" spans="1:58">
      <c r="A3045" s="4" t="s">
        <v>58</v>
      </c>
      <c r="B3045" s="4" t="s">
        <v>24843</v>
      </c>
      <c r="C3045" s="4" t="s">
        <v>24844</v>
      </c>
      <c r="D3045" s="4" t="s">
        <v>13410</v>
      </c>
      <c r="E3045" s="4" t="s">
        <v>13411</v>
      </c>
      <c r="F3045" s="4">
        <v>2008</v>
      </c>
      <c r="G3045" s="4" t="s">
        <v>147</v>
      </c>
      <c r="H3045" s="4">
        <v>21</v>
      </c>
      <c r="I3045" s="4">
        <v>2</v>
      </c>
      <c r="J3045" s="4">
        <v>57</v>
      </c>
      <c r="K3045" s="4">
        <v>59</v>
      </c>
      <c r="L3045" s="4" t="s">
        <v>63</v>
      </c>
      <c r="M3045" s="4" t="s">
        <v>63</v>
      </c>
      <c r="N3045" s="4" t="s">
        <v>24845</v>
      </c>
      <c r="O3045" s="4" t="s">
        <v>63</v>
      </c>
      <c r="P3045" s="4"/>
      <c r="Q3045" s="4" t="s">
        <v>63</v>
      </c>
      <c r="R3045" s="4" t="s">
        <v>63</v>
      </c>
      <c r="S3045" s="4" t="s">
        <v>63</v>
      </c>
      <c r="T3045" s="4" t="s">
        <v>63</v>
      </c>
      <c r="U3045" s="4"/>
      <c r="V3045" s="4"/>
      <c r="W3045" s="4"/>
      <c r="X3045" s="4" t="s">
        <v>63</v>
      </c>
      <c r="Y3045" s="4" t="s">
        <v>13415</v>
      </c>
      <c r="Z3045" s="4" t="s">
        <v>63</v>
      </c>
      <c r="AA3045" s="4" t="s">
        <v>24846</v>
      </c>
      <c r="AB3045" s="4" t="s">
        <v>24847</v>
      </c>
      <c r="AC3045" s="4" t="s">
        <v>67</v>
      </c>
      <c r="AD3045" s="4" t="s">
        <v>63</v>
      </c>
      <c r="AE3045" s="4" t="s">
        <v>63</v>
      </c>
      <c r="AF3045" s="4" t="s">
        <v>63</v>
      </c>
      <c r="AG3045" s="4" t="s">
        <v>63</v>
      </c>
      <c r="AH3045" s="4" t="s">
        <v>63</v>
      </c>
      <c r="AI3045" s="4" t="s">
        <v>63</v>
      </c>
      <c r="AJ3045" s="4" t="s">
        <v>63</v>
      </c>
      <c r="AK3045" s="4" t="s">
        <v>63</v>
      </c>
      <c r="AL3045" s="4" t="s">
        <v>63</v>
      </c>
      <c r="AM3045" s="4" t="s">
        <v>24844</v>
      </c>
      <c r="AN3045" s="4" t="s">
        <v>63</v>
      </c>
      <c r="AO3045" s="4" t="s">
        <v>63</v>
      </c>
      <c r="AP3045" s="4" t="s">
        <v>63</v>
      </c>
      <c r="AQ3045" s="4" t="s">
        <v>63</v>
      </c>
      <c r="AR3045" s="4" t="s">
        <v>63</v>
      </c>
      <c r="AS3045" s="4" t="s">
        <v>63</v>
      </c>
      <c r="AT3045" s="4" t="s">
        <v>63</v>
      </c>
      <c r="AU3045" s="4" t="s">
        <v>63</v>
      </c>
      <c r="AV3045" s="4" t="s">
        <v>63</v>
      </c>
      <c r="AW3045" s="4" t="s">
        <v>63</v>
      </c>
      <c r="AX3045" s="4" t="s">
        <v>63</v>
      </c>
      <c r="AY3045" s="4" t="s">
        <v>63</v>
      </c>
      <c r="AZ3045" s="4" t="s">
        <v>63</v>
      </c>
      <c r="BA3045" s="4" t="s">
        <v>63</v>
      </c>
      <c r="BB3045" s="4" t="s">
        <v>63</v>
      </c>
      <c r="BC3045" s="4" t="s">
        <v>63</v>
      </c>
      <c r="BD3045" s="4" t="s">
        <v>63</v>
      </c>
      <c r="BE3045" s="4" t="s">
        <v>63</v>
      </c>
      <c r="BF3045" s="4" t="s">
        <v>63</v>
      </c>
    </row>
    <row r="3046" spans="1:58">
      <c r="A3046" s="4" t="s">
        <v>58</v>
      </c>
      <c r="B3046" s="4" t="s">
        <v>24848</v>
      </c>
      <c r="C3046" s="4" t="s">
        <v>24849</v>
      </c>
      <c r="D3046" s="4" t="s">
        <v>389</v>
      </c>
      <c r="E3046" s="4" t="s">
        <v>63</v>
      </c>
      <c r="F3046" s="4">
        <v>2009</v>
      </c>
      <c r="G3046" s="4" t="s">
        <v>63</v>
      </c>
      <c r="H3046" s="4">
        <v>30</v>
      </c>
      <c r="I3046" s="4">
        <v>2</v>
      </c>
      <c r="J3046" s="4">
        <v>141</v>
      </c>
      <c r="K3046" s="4">
        <v>149</v>
      </c>
      <c r="L3046" s="4" t="s">
        <v>24850</v>
      </c>
      <c r="M3046" s="4" t="s">
        <v>24851</v>
      </c>
      <c r="N3046" s="4" t="s">
        <v>24852</v>
      </c>
      <c r="O3046" s="4" t="s">
        <v>63</v>
      </c>
      <c r="P3046" s="4"/>
      <c r="Q3046" s="4" t="s">
        <v>63</v>
      </c>
      <c r="R3046" s="4" t="s">
        <v>63</v>
      </c>
      <c r="S3046" s="4" t="s">
        <v>63</v>
      </c>
      <c r="T3046" s="4" t="s">
        <v>63</v>
      </c>
      <c r="U3046" s="4"/>
      <c r="V3046" s="4"/>
      <c r="W3046" s="4"/>
      <c r="X3046" s="4" t="s">
        <v>63</v>
      </c>
      <c r="Y3046" s="4" t="s">
        <v>392</v>
      </c>
      <c r="Z3046" s="4" t="s">
        <v>63</v>
      </c>
      <c r="AA3046" s="4" t="s">
        <v>24853</v>
      </c>
      <c r="AB3046" s="4" t="s">
        <v>24854</v>
      </c>
      <c r="AC3046" s="4" t="s">
        <v>67</v>
      </c>
      <c r="AD3046" s="4" t="s">
        <v>63</v>
      </c>
      <c r="AE3046" s="4" t="s">
        <v>63</v>
      </c>
      <c r="AF3046" s="4" t="s">
        <v>63</v>
      </c>
      <c r="AG3046" s="4" t="s">
        <v>63</v>
      </c>
      <c r="AH3046" s="4" t="s">
        <v>63</v>
      </c>
      <c r="AI3046" s="4" t="s">
        <v>24855</v>
      </c>
      <c r="AJ3046" s="4" t="s">
        <v>63</v>
      </c>
      <c r="AK3046" s="4" t="s">
        <v>63</v>
      </c>
      <c r="AL3046" s="4" t="s">
        <v>63</v>
      </c>
      <c r="AM3046" s="4" t="s">
        <v>24849</v>
      </c>
      <c r="AN3046" s="4" t="s">
        <v>63</v>
      </c>
      <c r="AO3046" s="4" t="s">
        <v>63</v>
      </c>
      <c r="AP3046" s="4" t="s">
        <v>63</v>
      </c>
      <c r="AQ3046" s="4" t="s">
        <v>63</v>
      </c>
      <c r="AR3046" s="4" t="s">
        <v>63</v>
      </c>
      <c r="AS3046" s="4" t="s">
        <v>63</v>
      </c>
      <c r="AT3046" s="4" t="s">
        <v>63</v>
      </c>
      <c r="AU3046" s="4" t="s">
        <v>63</v>
      </c>
      <c r="AV3046" s="4" t="s">
        <v>63</v>
      </c>
      <c r="AW3046" s="4" t="s">
        <v>63</v>
      </c>
      <c r="AX3046" s="4" t="s">
        <v>63</v>
      </c>
      <c r="AY3046" s="4" t="s">
        <v>63</v>
      </c>
      <c r="AZ3046" s="4" t="s">
        <v>63</v>
      </c>
      <c r="BA3046" s="4" t="s">
        <v>63</v>
      </c>
      <c r="BB3046" s="4" t="s">
        <v>63</v>
      </c>
      <c r="BC3046" s="4" t="s">
        <v>63</v>
      </c>
      <c r="BD3046" s="4" t="s">
        <v>63</v>
      </c>
      <c r="BE3046" s="4" t="s">
        <v>63</v>
      </c>
      <c r="BF3046" s="4" t="s">
        <v>63</v>
      </c>
    </row>
    <row r="3047" spans="1:58">
      <c r="A3047" s="4" t="s">
        <v>58</v>
      </c>
      <c r="B3047" s="4" t="s">
        <v>24856</v>
      </c>
      <c r="C3047" s="4" t="s">
        <v>24857</v>
      </c>
      <c r="D3047" s="4" t="s">
        <v>24858</v>
      </c>
      <c r="E3047" s="4" t="s">
        <v>63</v>
      </c>
      <c r="F3047" s="4">
        <v>2017</v>
      </c>
      <c r="G3047" s="4" t="s">
        <v>63</v>
      </c>
      <c r="H3047" s="4" t="s">
        <v>63</v>
      </c>
      <c r="I3047" s="4">
        <v>1</v>
      </c>
      <c r="J3047" s="4">
        <v>2835</v>
      </c>
      <c r="K3047" s="4">
        <v>2839</v>
      </c>
      <c r="L3047" s="4" t="s">
        <v>24859</v>
      </c>
      <c r="M3047" s="4" t="s">
        <v>24860</v>
      </c>
      <c r="N3047" s="4" t="s">
        <v>24861</v>
      </c>
      <c r="O3047" s="4" t="s">
        <v>63</v>
      </c>
      <c r="P3047" s="4"/>
      <c r="Q3047" s="4" t="s">
        <v>63</v>
      </c>
      <c r="R3047" s="4" t="s">
        <v>63</v>
      </c>
      <c r="S3047" s="4" t="s">
        <v>63</v>
      </c>
      <c r="T3047" s="4" t="s">
        <v>63</v>
      </c>
      <c r="U3047" s="4"/>
      <c r="V3047" s="4"/>
      <c r="W3047" s="4"/>
      <c r="X3047" s="4" t="s">
        <v>63</v>
      </c>
      <c r="Y3047" s="4" t="s">
        <v>24862</v>
      </c>
      <c r="Z3047" s="4" t="s">
        <v>63</v>
      </c>
      <c r="AA3047" s="4" t="s">
        <v>24863</v>
      </c>
      <c r="AB3047" s="4" t="s">
        <v>24864</v>
      </c>
      <c r="AC3047" s="4" t="s">
        <v>67</v>
      </c>
      <c r="AD3047" s="4" t="s">
        <v>63</v>
      </c>
      <c r="AE3047" s="4" t="s">
        <v>63</v>
      </c>
      <c r="AF3047" s="4" t="s">
        <v>63</v>
      </c>
      <c r="AG3047" s="4" t="s">
        <v>63</v>
      </c>
      <c r="AH3047" s="4" t="s">
        <v>63</v>
      </c>
      <c r="AI3047" s="4" t="s">
        <v>63</v>
      </c>
      <c r="AJ3047" s="4" t="s">
        <v>63</v>
      </c>
      <c r="AK3047" s="4" t="s">
        <v>63</v>
      </c>
      <c r="AL3047" s="4" t="s">
        <v>63</v>
      </c>
      <c r="AM3047" s="4" t="s">
        <v>24857</v>
      </c>
      <c r="AN3047" s="4" t="s">
        <v>63</v>
      </c>
      <c r="AO3047" s="4" t="s">
        <v>63</v>
      </c>
      <c r="AP3047" s="4" t="s">
        <v>63</v>
      </c>
      <c r="AQ3047" s="4" t="s">
        <v>63</v>
      </c>
      <c r="AR3047" s="4" t="s">
        <v>63</v>
      </c>
      <c r="AS3047" s="4" t="s">
        <v>63</v>
      </c>
      <c r="AT3047" s="4" t="s">
        <v>63</v>
      </c>
      <c r="AU3047" s="4" t="s">
        <v>63</v>
      </c>
      <c r="AV3047" s="4" t="s">
        <v>63</v>
      </c>
      <c r="AW3047" s="4" t="s">
        <v>63</v>
      </c>
      <c r="AX3047" s="4" t="s">
        <v>63</v>
      </c>
      <c r="AY3047" s="4" t="s">
        <v>63</v>
      </c>
      <c r="AZ3047" s="4" t="s">
        <v>63</v>
      </c>
      <c r="BA3047" s="4" t="s">
        <v>63</v>
      </c>
      <c r="BB3047" s="4" t="s">
        <v>63</v>
      </c>
      <c r="BC3047" s="4" t="s">
        <v>63</v>
      </c>
      <c r="BD3047" s="4" t="s">
        <v>63</v>
      </c>
      <c r="BE3047" s="4" t="s">
        <v>63</v>
      </c>
      <c r="BF3047" s="4" t="s">
        <v>63</v>
      </c>
    </row>
    <row r="3048" spans="1:58">
      <c r="A3048" s="4" t="s">
        <v>58</v>
      </c>
      <c r="B3048" s="4" t="s">
        <v>12490</v>
      </c>
      <c r="C3048" s="4" t="s">
        <v>24865</v>
      </c>
      <c r="D3048" s="4" t="s">
        <v>1184</v>
      </c>
      <c r="E3048" s="4" t="s">
        <v>1185</v>
      </c>
      <c r="F3048" s="4">
        <v>1983</v>
      </c>
      <c r="G3048" s="4" t="s">
        <v>63</v>
      </c>
      <c r="H3048" s="4">
        <v>58</v>
      </c>
      <c r="I3048" s="4">
        <v>4</v>
      </c>
      <c r="J3048" s="4">
        <v>322</v>
      </c>
      <c r="K3048" s="4">
        <v>327</v>
      </c>
      <c r="L3048" s="4" t="s">
        <v>63</v>
      </c>
      <c r="M3048" s="4" t="s">
        <v>63</v>
      </c>
      <c r="N3048" s="4" t="s">
        <v>24866</v>
      </c>
      <c r="O3048" s="4" t="s">
        <v>63</v>
      </c>
      <c r="P3048" s="4"/>
      <c r="Q3048" s="4" t="s">
        <v>63</v>
      </c>
      <c r="R3048" s="4" t="s">
        <v>63</v>
      </c>
      <c r="S3048" s="4" t="s">
        <v>63</v>
      </c>
      <c r="T3048" s="4" t="s">
        <v>63</v>
      </c>
      <c r="U3048" s="4"/>
      <c r="V3048" s="4"/>
      <c r="W3048" s="4"/>
      <c r="X3048" s="4" t="s">
        <v>63</v>
      </c>
      <c r="Y3048" s="4" t="s">
        <v>1188</v>
      </c>
      <c r="Z3048" s="4" t="s">
        <v>63</v>
      </c>
      <c r="AA3048" s="4" t="s">
        <v>24867</v>
      </c>
      <c r="AB3048" s="4" t="s">
        <v>24868</v>
      </c>
      <c r="AC3048" s="4" t="s">
        <v>67</v>
      </c>
      <c r="AD3048" s="4" t="s">
        <v>63</v>
      </c>
      <c r="AE3048" s="4" t="s">
        <v>63</v>
      </c>
      <c r="AF3048" s="4" t="s">
        <v>63</v>
      </c>
      <c r="AG3048" s="4" t="s">
        <v>63</v>
      </c>
      <c r="AH3048" s="4" t="s">
        <v>63</v>
      </c>
      <c r="AI3048" s="4" t="s">
        <v>63</v>
      </c>
      <c r="AJ3048" s="4" t="s">
        <v>63</v>
      </c>
      <c r="AK3048" s="4" t="s">
        <v>63</v>
      </c>
      <c r="AL3048" s="4" t="s">
        <v>63</v>
      </c>
      <c r="AM3048" s="4" t="s">
        <v>24865</v>
      </c>
      <c r="AN3048" s="4" t="s">
        <v>63</v>
      </c>
      <c r="AO3048" s="4" t="s">
        <v>63</v>
      </c>
      <c r="AP3048" s="4" t="s">
        <v>63</v>
      </c>
      <c r="AQ3048" s="4" t="s">
        <v>63</v>
      </c>
      <c r="AR3048" s="4" t="s">
        <v>63</v>
      </c>
      <c r="AS3048" s="4" t="s">
        <v>63</v>
      </c>
      <c r="AT3048" s="4" t="s">
        <v>63</v>
      </c>
      <c r="AU3048" s="4" t="s">
        <v>63</v>
      </c>
      <c r="AV3048" s="4" t="s">
        <v>63</v>
      </c>
      <c r="AW3048" s="4" t="s">
        <v>63</v>
      </c>
      <c r="AX3048" s="4" t="s">
        <v>63</v>
      </c>
      <c r="AY3048" s="4" t="s">
        <v>63</v>
      </c>
      <c r="AZ3048" s="4" t="s">
        <v>63</v>
      </c>
      <c r="BA3048" s="4" t="s">
        <v>63</v>
      </c>
      <c r="BB3048" s="4" t="s">
        <v>63</v>
      </c>
      <c r="BC3048" s="4" t="s">
        <v>63</v>
      </c>
      <c r="BD3048" s="4" t="s">
        <v>63</v>
      </c>
      <c r="BE3048" s="4" t="s">
        <v>63</v>
      </c>
      <c r="BF3048" s="4" t="s">
        <v>63</v>
      </c>
    </row>
    <row r="3049" spans="1:58">
      <c r="A3049" s="4" t="s">
        <v>58</v>
      </c>
      <c r="B3049" s="4" t="s">
        <v>24869</v>
      </c>
      <c r="C3049" s="4" t="s">
        <v>24870</v>
      </c>
      <c r="D3049" s="4" t="s">
        <v>23964</v>
      </c>
      <c r="E3049" s="4" t="s">
        <v>63</v>
      </c>
      <c r="F3049" s="4">
        <v>2018</v>
      </c>
      <c r="G3049" s="4" t="s">
        <v>198</v>
      </c>
      <c r="H3049" s="4">
        <v>31</v>
      </c>
      <c r="I3049" s="4" t="s">
        <v>63</v>
      </c>
      <c r="J3049" s="4">
        <v>2</v>
      </c>
      <c r="K3049" s="4">
        <v>7</v>
      </c>
      <c r="L3049" s="4" t="s">
        <v>24871</v>
      </c>
      <c r="M3049" s="4" t="s">
        <v>24872</v>
      </c>
      <c r="N3049" s="4" t="s">
        <v>24873</v>
      </c>
      <c r="O3049" s="4" t="s">
        <v>63</v>
      </c>
      <c r="P3049" s="4"/>
      <c r="Q3049" s="4" t="s">
        <v>63</v>
      </c>
      <c r="R3049" s="4" t="s">
        <v>63</v>
      </c>
      <c r="S3049" s="4" t="s">
        <v>63</v>
      </c>
      <c r="T3049" s="4" t="s">
        <v>63</v>
      </c>
      <c r="U3049" s="4"/>
      <c r="V3049" s="4"/>
      <c r="W3049" s="4"/>
      <c r="X3049" s="4" t="s">
        <v>63</v>
      </c>
      <c r="Y3049" s="4" t="s">
        <v>23968</v>
      </c>
      <c r="Z3049" s="4" t="s">
        <v>63</v>
      </c>
      <c r="AA3049" s="4" t="s">
        <v>24874</v>
      </c>
      <c r="AB3049" s="4" t="s">
        <v>24875</v>
      </c>
      <c r="AC3049" s="4" t="s">
        <v>67</v>
      </c>
      <c r="AD3049" s="4" t="s">
        <v>63</v>
      </c>
      <c r="AE3049" s="4" t="s">
        <v>63</v>
      </c>
      <c r="AF3049" s="4" t="s">
        <v>63</v>
      </c>
      <c r="AG3049" s="4" t="s">
        <v>63</v>
      </c>
      <c r="AH3049" s="4" t="s">
        <v>63</v>
      </c>
      <c r="AI3049" s="4" t="s">
        <v>24876</v>
      </c>
      <c r="AJ3049" s="4" t="s">
        <v>63</v>
      </c>
      <c r="AK3049" s="4" t="s">
        <v>63</v>
      </c>
      <c r="AL3049" s="4" t="s">
        <v>63</v>
      </c>
      <c r="AM3049" s="4" t="s">
        <v>24870</v>
      </c>
      <c r="AN3049" s="4" t="s">
        <v>63</v>
      </c>
      <c r="AO3049" s="4" t="s">
        <v>63</v>
      </c>
      <c r="AP3049" s="4" t="s">
        <v>63</v>
      </c>
      <c r="AQ3049" s="4" t="s">
        <v>63</v>
      </c>
      <c r="AR3049" s="4" t="s">
        <v>63</v>
      </c>
      <c r="AS3049" s="4" t="s">
        <v>63</v>
      </c>
      <c r="AT3049" s="4" t="s">
        <v>63</v>
      </c>
      <c r="AU3049" s="4" t="s">
        <v>63</v>
      </c>
      <c r="AV3049" s="4" t="s">
        <v>63</v>
      </c>
      <c r="AW3049" s="4" t="s">
        <v>63</v>
      </c>
      <c r="AX3049" s="4" t="s">
        <v>63</v>
      </c>
      <c r="AY3049" s="4" t="s">
        <v>63</v>
      </c>
      <c r="AZ3049" s="4" t="s">
        <v>63</v>
      </c>
      <c r="BA3049" s="4" t="s">
        <v>63</v>
      </c>
      <c r="BB3049" s="4" t="s">
        <v>63</v>
      </c>
      <c r="BC3049" s="4" t="s">
        <v>63</v>
      </c>
      <c r="BD3049" s="4" t="s">
        <v>63</v>
      </c>
      <c r="BE3049" s="4" t="s">
        <v>63</v>
      </c>
      <c r="BF3049" s="4" t="s">
        <v>63</v>
      </c>
    </row>
    <row r="3050" spans="1:58">
      <c r="A3050" s="4" t="s">
        <v>58</v>
      </c>
      <c r="B3050" s="4" t="s">
        <v>24877</v>
      </c>
      <c r="C3050" s="4" t="s">
        <v>24878</v>
      </c>
      <c r="D3050" s="4" t="s">
        <v>11901</v>
      </c>
      <c r="E3050" s="4" t="s">
        <v>63</v>
      </c>
      <c r="F3050" s="4">
        <v>2017</v>
      </c>
      <c r="G3050" s="4" t="s">
        <v>198</v>
      </c>
      <c r="H3050" s="4">
        <v>59</v>
      </c>
      <c r="I3050" s="4">
        <v>6</v>
      </c>
      <c r="J3050" s="4" t="s">
        <v>24879</v>
      </c>
      <c r="K3050" s="4" t="s">
        <v>24879</v>
      </c>
      <c r="L3050" s="4" t="s">
        <v>24880</v>
      </c>
      <c r="M3050" s="4" t="s">
        <v>63</v>
      </c>
      <c r="N3050" s="4" t="s">
        <v>24881</v>
      </c>
      <c r="O3050" s="4" t="s">
        <v>63</v>
      </c>
      <c r="P3050" s="4"/>
      <c r="Q3050" s="4" t="s">
        <v>63</v>
      </c>
      <c r="R3050" s="4" t="s">
        <v>63</v>
      </c>
      <c r="S3050" s="4" t="s">
        <v>63</v>
      </c>
      <c r="T3050" s="4" t="s">
        <v>63</v>
      </c>
      <c r="U3050" s="4"/>
      <c r="V3050" s="4"/>
      <c r="W3050" s="4"/>
      <c r="X3050" s="4" t="s">
        <v>63</v>
      </c>
      <c r="Y3050" s="4" t="s">
        <v>11904</v>
      </c>
      <c r="Z3050" s="4" t="s">
        <v>63</v>
      </c>
      <c r="AA3050" s="4" t="s">
        <v>24882</v>
      </c>
      <c r="AB3050" s="4" t="s">
        <v>24883</v>
      </c>
      <c r="AC3050" s="4" t="s">
        <v>67</v>
      </c>
      <c r="AD3050" s="4" t="s">
        <v>63</v>
      </c>
      <c r="AE3050" s="4" t="s">
        <v>63</v>
      </c>
      <c r="AF3050" s="4" t="s">
        <v>63</v>
      </c>
      <c r="AG3050" s="4" t="s">
        <v>63</v>
      </c>
      <c r="AH3050" s="4" t="s">
        <v>63</v>
      </c>
      <c r="AI3050" s="4" t="s">
        <v>63</v>
      </c>
      <c r="AJ3050" s="4" t="s">
        <v>63</v>
      </c>
      <c r="AK3050" s="4" t="s">
        <v>63</v>
      </c>
      <c r="AL3050" s="4" t="s">
        <v>63</v>
      </c>
      <c r="AM3050" s="4" t="s">
        <v>24878</v>
      </c>
      <c r="AN3050" s="4" t="s">
        <v>63</v>
      </c>
      <c r="AO3050" s="4" t="s">
        <v>63</v>
      </c>
      <c r="AP3050" s="4" t="s">
        <v>63</v>
      </c>
      <c r="AQ3050" s="4" t="s">
        <v>63</v>
      </c>
      <c r="AR3050" s="4" t="s">
        <v>63</v>
      </c>
      <c r="AS3050" s="4" t="s">
        <v>63</v>
      </c>
      <c r="AT3050" s="4" t="s">
        <v>63</v>
      </c>
      <c r="AU3050" s="4" t="s">
        <v>63</v>
      </c>
      <c r="AV3050" s="4" t="s">
        <v>63</v>
      </c>
      <c r="AW3050" s="4" t="s">
        <v>63</v>
      </c>
      <c r="AX3050" s="4" t="s">
        <v>63</v>
      </c>
      <c r="AY3050" s="4" t="s">
        <v>63</v>
      </c>
      <c r="AZ3050" s="4" t="s">
        <v>63</v>
      </c>
      <c r="BA3050" s="4" t="s">
        <v>63</v>
      </c>
      <c r="BB3050" s="4" t="s">
        <v>63</v>
      </c>
      <c r="BC3050" s="4" t="s">
        <v>63</v>
      </c>
      <c r="BD3050" s="4" t="s">
        <v>63</v>
      </c>
      <c r="BE3050" s="4" t="s">
        <v>63</v>
      </c>
      <c r="BF3050" s="4" t="s">
        <v>63</v>
      </c>
    </row>
    <row r="3051" spans="1:58">
      <c r="A3051" s="4" t="s">
        <v>58</v>
      </c>
      <c r="B3051" s="4" t="s">
        <v>24884</v>
      </c>
      <c r="C3051" s="4" t="s">
        <v>24885</v>
      </c>
      <c r="D3051" s="4" t="s">
        <v>24886</v>
      </c>
      <c r="E3051" s="4" t="s">
        <v>63</v>
      </c>
      <c r="F3051" s="4">
        <v>2016</v>
      </c>
      <c r="G3051" s="4" t="s">
        <v>338</v>
      </c>
      <c r="H3051" s="4">
        <v>5</v>
      </c>
      <c r="I3051" s="4">
        <v>2</v>
      </c>
      <c r="J3051" s="4">
        <v>5</v>
      </c>
      <c r="K3051" s="4">
        <v>7</v>
      </c>
      <c r="L3051" s="4" t="s">
        <v>24887</v>
      </c>
      <c r="M3051" s="4" t="s">
        <v>24888</v>
      </c>
      <c r="N3051" s="4" t="s">
        <v>24889</v>
      </c>
      <c r="O3051" s="4" t="s">
        <v>63</v>
      </c>
      <c r="P3051" s="4"/>
      <c r="Q3051" s="4" t="s">
        <v>63</v>
      </c>
      <c r="R3051" s="4" t="s">
        <v>63</v>
      </c>
      <c r="S3051" s="4" t="s">
        <v>63</v>
      </c>
      <c r="T3051" s="4" t="s">
        <v>63</v>
      </c>
      <c r="U3051" s="4"/>
      <c r="V3051" s="4"/>
      <c r="W3051" s="4"/>
      <c r="X3051" s="4" t="s">
        <v>63</v>
      </c>
      <c r="Y3051" s="4" t="s">
        <v>24890</v>
      </c>
      <c r="Z3051" s="4" t="s">
        <v>63</v>
      </c>
      <c r="AA3051" s="4" t="s">
        <v>24891</v>
      </c>
      <c r="AB3051" s="4" t="s">
        <v>24892</v>
      </c>
      <c r="AC3051" s="4" t="s">
        <v>67</v>
      </c>
      <c r="AD3051" s="4" t="s">
        <v>63</v>
      </c>
      <c r="AE3051" s="4" t="s">
        <v>63</v>
      </c>
      <c r="AF3051" s="4" t="s">
        <v>63</v>
      </c>
      <c r="AG3051" s="4" t="s">
        <v>63</v>
      </c>
      <c r="AH3051" s="4" t="s">
        <v>63</v>
      </c>
      <c r="AI3051" s="4" t="s">
        <v>63</v>
      </c>
      <c r="AJ3051" s="4" t="s">
        <v>63</v>
      </c>
      <c r="AK3051" s="4" t="s">
        <v>63</v>
      </c>
      <c r="AL3051" s="4" t="s">
        <v>63</v>
      </c>
      <c r="AM3051" s="4" t="s">
        <v>24885</v>
      </c>
      <c r="AN3051" s="4" t="s">
        <v>63</v>
      </c>
      <c r="AO3051" s="4" t="s">
        <v>63</v>
      </c>
      <c r="AP3051" s="4" t="s">
        <v>63</v>
      </c>
      <c r="AQ3051" s="4" t="s">
        <v>63</v>
      </c>
      <c r="AR3051" s="4" t="s">
        <v>63</v>
      </c>
      <c r="AS3051" s="4" t="s">
        <v>63</v>
      </c>
      <c r="AT3051" s="4" t="s">
        <v>63</v>
      </c>
      <c r="AU3051" s="4" t="s">
        <v>63</v>
      </c>
      <c r="AV3051" s="4" t="s">
        <v>63</v>
      </c>
      <c r="AW3051" s="4" t="s">
        <v>63</v>
      </c>
      <c r="AX3051" s="4" t="s">
        <v>63</v>
      </c>
      <c r="AY3051" s="4" t="s">
        <v>63</v>
      </c>
      <c r="AZ3051" s="4" t="s">
        <v>63</v>
      </c>
      <c r="BA3051" s="4" t="s">
        <v>63</v>
      </c>
      <c r="BB3051" s="4" t="s">
        <v>63</v>
      </c>
      <c r="BC3051" s="4" t="s">
        <v>63</v>
      </c>
      <c r="BD3051" s="4" t="s">
        <v>63</v>
      </c>
      <c r="BE3051" s="4" t="s">
        <v>63</v>
      </c>
      <c r="BF3051" s="4" t="s">
        <v>63</v>
      </c>
    </row>
    <row r="3052" spans="1:58">
      <c r="A3052" s="4" t="s">
        <v>58</v>
      </c>
      <c r="B3052" s="4" t="s">
        <v>24893</v>
      </c>
      <c r="C3052" s="4" t="s">
        <v>24894</v>
      </c>
      <c r="D3052" s="4" t="s">
        <v>17937</v>
      </c>
      <c r="E3052" s="4" t="s">
        <v>63</v>
      </c>
      <c r="F3052" s="4">
        <v>2009</v>
      </c>
      <c r="G3052" s="4" t="s">
        <v>274</v>
      </c>
      <c r="H3052" s="4">
        <v>15</v>
      </c>
      <c r="I3052" s="4">
        <v>1</v>
      </c>
      <c r="J3052" s="4">
        <v>13</v>
      </c>
      <c r="K3052" s="4">
        <v>18</v>
      </c>
      <c r="L3052" s="4" t="s">
        <v>24895</v>
      </c>
      <c r="M3052" s="4" t="s">
        <v>24896</v>
      </c>
      <c r="N3052" s="4" t="s">
        <v>24897</v>
      </c>
      <c r="O3052" s="4" t="s">
        <v>63</v>
      </c>
      <c r="P3052" s="4"/>
      <c r="Q3052" s="4" t="s">
        <v>63</v>
      </c>
      <c r="R3052" s="4" t="s">
        <v>63</v>
      </c>
      <c r="S3052" s="4" t="s">
        <v>63</v>
      </c>
      <c r="T3052" s="4" t="s">
        <v>63</v>
      </c>
      <c r="U3052" s="4"/>
      <c r="V3052" s="4"/>
      <c r="W3052" s="4"/>
      <c r="X3052" s="4" t="s">
        <v>63</v>
      </c>
      <c r="Y3052" s="4" t="s">
        <v>17941</v>
      </c>
      <c r="Z3052" s="4" t="s">
        <v>63</v>
      </c>
      <c r="AA3052" s="4" t="s">
        <v>24898</v>
      </c>
      <c r="AB3052" s="4" t="s">
        <v>24899</v>
      </c>
      <c r="AC3052" s="4" t="s">
        <v>67</v>
      </c>
      <c r="AD3052" s="4" t="s">
        <v>63</v>
      </c>
      <c r="AE3052" s="4" t="s">
        <v>63</v>
      </c>
      <c r="AF3052" s="4" t="s">
        <v>63</v>
      </c>
      <c r="AG3052" s="4" t="s">
        <v>63</v>
      </c>
      <c r="AH3052" s="4" t="s">
        <v>63</v>
      </c>
      <c r="AI3052" s="4" t="s">
        <v>63</v>
      </c>
      <c r="AJ3052" s="4" t="s">
        <v>63</v>
      </c>
      <c r="AK3052" s="4" t="s">
        <v>63</v>
      </c>
      <c r="AL3052" s="4" t="s">
        <v>63</v>
      </c>
      <c r="AM3052" s="4" t="s">
        <v>24894</v>
      </c>
      <c r="AN3052" s="4" t="s">
        <v>63</v>
      </c>
      <c r="AO3052" s="4" t="s">
        <v>63</v>
      </c>
      <c r="AP3052" s="4" t="s">
        <v>63</v>
      </c>
      <c r="AQ3052" s="4" t="s">
        <v>63</v>
      </c>
      <c r="AR3052" s="4" t="s">
        <v>63</v>
      </c>
      <c r="AS3052" s="4" t="s">
        <v>63</v>
      </c>
      <c r="AT3052" s="4" t="s">
        <v>63</v>
      </c>
      <c r="AU3052" s="4" t="s">
        <v>63</v>
      </c>
      <c r="AV3052" s="4" t="s">
        <v>63</v>
      </c>
      <c r="AW3052" s="4" t="s">
        <v>63</v>
      </c>
      <c r="AX3052" s="4" t="s">
        <v>63</v>
      </c>
      <c r="AY3052" s="4" t="s">
        <v>63</v>
      </c>
      <c r="AZ3052" s="4" t="s">
        <v>63</v>
      </c>
      <c r="BA3052" s="4" t="s">
        <v>63</v>
      </c>
      <c r="BB3052" s="4" t="s">
        <v>63</v>
      </c>
      <c r="BC3052" s="4" t="s">
        <v>63</v>
      </c>
      <c r="BD3052" s="4" t="s">
        <v>63</v>
      </c>
      <c r="BE3052" s="4" t="s">
        <v>63</v>
      </c>
      <c r="BF3052" s="4" t="s">
        <v>63</v>
      </c>
    </row>
    <row r="3053" spans="1:58">
      <c r="A3053" s="4" t="s">
        <v>58</v>
      </c>
      <c r="B3053" s="4" t="s">
        <v>24900</v>
      </c>
      <c r="C3053" s="4" t="s">
        <v>24901</v>
      </c>
      <c r="D3053" s="4" t="s">
        <v>15144</v>
      </c>
      <c r="E3053" s="4" t="s">
        <v>63</v>
      </c>
      <c r="F3053" s="4">
        <v>2016</v>
      </c>
      <c r="G3053" s="4" t="s">
        <v>157</v>
      </c>
      <c r="H3053" s="4">
        <v>10</v>
      </c>
      <c r="I3053" s="4">
        <v>4</v>
      </c>
      <c r="J3053" s="4" t="s">
        <v>63</v>
      </c>
      <c r="K3053" s="4" t="s">
        <v>63</v>
      </c>
      <c r="L3053" s="4" t="s">
        <v>24902</v>
      </c>
      <c r="M3053" s="4" t="s">
        <v>24903</v>
      </c>
      <c r="N3053" s="4" t="s">
        <v>24904</v>
      </c>
      <c r="O3053" s="4" t="s">
        <v>63</v>
      </c>
      <c r="P3053" s="4"/>
      <c r="Q3053" s="4" t="s">
        <v>63</v>
      </c>
      <c r="R3053" s="4" t="s">
        <v>63</v>
      </c>
      <c r="S3053" s="4" t="s">
        <v>63</v>
      </c>
      <c r="T3053" s="4" t="s">
        <v>63</v>
      </c>
      <c r="U3053" s="4"/>
      <c r="V3053" s="4"/>
      <c r="W3053" s="4"/>
      <c r="X3053" s="4" t="s">
        <v>63</v>
      </c>
      <c r="Y3053" s="4" t="s">
        <v>24905</v>
      </c>
      <c r="Z3053" s="4" t="s">
        <v>63</v>
      </c>
      <c r="AA3053" s="4" t="s">
        <v>24906</v>
      </c>
      <c r="AB3053" s="4" t="s">
        <v>24907</v>
      </c>
      <c r="AC3053" s="4" t="s">
        <v>67</v>
      </c>
      <c r="AD3053" s="4" t="s">
        <v>63</v>
      </c>
      <c r="AE3053" s="4" t="s">
        <v>63</v>
      </c>
      <c r="AF3053" s="4" t="s">
        <v>63</v>
      </c>
      <c r="AG3053" s="4" t="s">
        <v>63</v>
      </c>
      <c r="AH3053" s="4" t="s">
        <v>63</v>
      </c>
      <c r="AI3053" s="4" t="s">
        <v>24908</v>
      </c>
      <c r="AJ3053" s="4" t="s">
        <v>63</v>
      </c>
      <c r="AK3053" s="4" t="s">
        <v>63</v>
      </c>
      <c r="AL3053" s="4" t="s">
        <v>63</v>
      </c>
      <c r="AM3053" s="4" t="s">
        <v>24901</v>
      </c>
      <c r="AN3053" s="4" t="s">
        <v>63</v>
      </c>
      <c r="AO3053" s="4" t="s">
        <v>63</v>
      </c>
      <c r="AP3053" s="4" t="s">
        <v>63</v>
      </c>
      <c r="AQ3053" s="4" t="s">
        <v>63</v>
      </c>
      <c r="AR3053" s="4" t="s">
        <v>63</v>
      </c>
      <c r="AS3053" s="4" t="s">
        <v>63</v>
      </c>
      <c r="AT3053" s="4" t="s">
        <v>63</v>
      </c>
      <c r="AU3053" s="4" t="s">
        <v>63</v>
      </c>
      <c r="AV3053" s="4" t="s">
        <v>63</v>
      </c>
      <c r="AW3053" s="4" t="s">
        <v>63</v>
      </c>
      <c r="AX3053" s="4" t="s">
        <v>63</v>
      </c>
      <c r="AY3053" s="4" t="s">
        <v>63</v>
      </c>
      <c r="AZ3053" s="4" t="s">
        <v>63</v>
      </c>
      <c r="BA3053" s="4" t="s">
        <v>63</v>
      </c>
      <c r="BB3053" s="4" t="s">
        <v>63</v>
      </c>
      <c r="BC3053" s="4" t="s">
        <v>63</v>
      </c>
      <c r="BD3053" s="4" t="s">
        <v>63</v>
      </c>
      <c r="BE3053" s="4" t="s">
        <v>63</v>
      </c>
      <c r="BF3053" s="4" t="s">
        <v>63</v>
      </c>
    </row>
    <row r="3054" spans="1:58">
      <c r="A3054" s="4" t="s">
        <v>58</v>
      </c>
      <c r="B3054" s="4" t="s">
        <v>12712</v>
      </c>
      <c r="C3054" s="4" t="s">
        <v>24909</v>
      </c>
      <c r="D3054" s="4" t="s">
        <v>1184</v>
      </c>
      <c r="E3054" s="4" t="s">
        <v>1185</v>
      </c>
      <c r="F3054" s="4">
        <v>1978</v>
      </c>
      <c r="G3054" s="4" t="s">
        <v>63</v>
      </c>
      <c r="H3054" s="4">
        <v>53</v>
      </c>
      <c r="I3054" s="4">
        <v>7</v>
      </c>
      <c r="J3054" s="4">
        <v>604</v>
      </c>
      <c r="K3054" s="4">
        <v>605</v>
      </c>
      <c r="L3054" s="4" t="s">
        <v>63</v>
      </c>
      <c r="M3054" s="4" t="s">
        <v>63</v>
      </c>
      <c r="N3054" s="4" t="s">
        <v>24910</v>
      </c>
      <c r="O3054" s="4" t="s">
        <v>63</v>
      </c>
      <c r="P3054" s="4"/>
      <c r="Q3054" s="4" t="s">
        <v>63</v>
      </c>
      <c r="R3054" s="4" t="s">
        <v>63</v>
      </c>
      <c r="S3054" s="4" t="s">
        <v>63</v>
      </c>
      <c r="T3054" s="4" t="s">
        <v>63</v>
      </c>
      <c r="U3054" s="4"/>
      <c r="V3054" s="4"/>
      <c r="W3054" s="4"/>
      <c r="X3054" s="4" t="s">
        <v>63</v>
      </c>
      <c r="Y3054" s="4" t="s">
        <v>1188</v>
      </c>
      <c r="Z3054" s="4" t="s">
        <v>63</v>
      </c>
      <c r="AA3054" s="4" t="s">
        <v>24911</v>
      </c>
      <c r="AB3054" s="4" t="s">
        <v>24912</v>
      </c>
      <c r="AC3054" s="4" t="s">
        <v>67</v>
      </c>
      <c r="AD3054" s="4" t="s">
        <v>63</v>
      </c>
      <c r="AE3054" s="4" t="s">
        <v>63</v>
      </c>
      <c r="AF3054" s="4" t="s">
        <v>63</v>
      </c>
      <c r="AG3054" s="4" t="s">
        <v>63</v>
      </c>
      <c r="AH3054" s="4" t="s">
        <v>63</v>
      </c>
      <c r="AI3054" s="4" t="s">
        <v>63</v>
      </c>
      <c r="AJ3054" s="4" t="s">
        <v>63</v>
      </c>
      <c r="AK3054" s="4" t="s">
        <v>63</v>
      </c>
      <c r="AL3054" s="4" t="s">
        <v>63</v>
      </c>
      <c r="AM3054" s="4" t="s">
        <v>24909</v>
      </c>
      <c r="AN3054" s="4" t="s">
        <v>63</v>
      </c>
      <c r="AO3054" s="4" t="s">
        <v>63</v>
      </c>
      <c r="AP3054" s="4" t="s">
        <v>63</v>
      </c>
      <c r="AQ3054" s="4" t="s">
        <v>63</v>
      </c>
      <c r="AR3054" s="4" t="s">
        <v>63</v>
      </c>
      <c r="AS3054" s="4" t="s">
        <v>63</v>
      </c>
      <c r="AT3054" s="4" t="s">
        <v>63</v>
      </c>
      <c r="AU3054" s="4" t="s">
        <v>63</v>
      </c>
      <c r="AV3054" s="4" t="s">
        <v>63</v>
      </c>
      <c r="AW3054" s="4" t="s">
        <v>63</v>
      </c>
      <c r="AX3054" s="4" t="s">
        <v>63</v>
      </c>
      <c r="AY3054" s="4" t="s">
        <v>63</v>
      </c>
      <c r="AZ3054" s="4" t="s">
        <v>63</v>
      </c>
      <c r="BA3054" s="4" t="s">
        <v>63</v>
      </c>
      <c r="BB3054" s="4" t="s">
        <v>63</v>
      </c>
      <c r="BC3054" s="4" t="s">
        <v>63</v>
      </c>
      <c r="BD3054" s="4" t="s">
        <v>63</v>
      </c>
      <c r="BE3054" s="4" t="s">
        <v>63</v>
      </c>
      <c r="BF3054" s="4" t="s">
        <v>63</v>
      </c>
    </row>
    <row r="3055" spans="1:58">
      <c r="A3055" s="4" t="s">
        <v>58</v>
      </c>
      <c r="B3055" s="4" t="s">
        <v>24913</v>
      </c>
      <c r="C3055" s="4" t="s">
        <v>24914</v>
      </c>
      <c r="D3055" s="4" t="s">
        <v>24915</v>
      </c>
      <c r="E3055" s="4" t="s">
        <v>63</v>
      </c>
      <c r="F3055" s="4">
        <v>1981</v>
      </c>
      <c r="G3055" s="4" t="s">
        <v>63</v>
      </c>
      <c r="H3055" s="4">
        <v>5</v>
      </c>
      <c r="I3055" s="4">
        <v>2</v>
      </c>
      <c r="J3055" s="4">
        <v>107</v>
      </c>
      <c r="K3055" s="4">
        <v>121</v>
      </c>
      <c r="L3055" s="4" t="s">
        <v>63</v>
      </c>
      <c r="M3055" s="4" t="s">
        <v>63</v>
      </c>
      <c r="N3055" s="4" t="s">
        <v>24916</v>
      </c>
      <c r="O3055" s="4" t="s">
        <v>63</v>
      </c>
      <c r="P3055" s="4"/>
      <c r="Q3055" s="4" t="s">
        <v>63</v>
      </c>
      <c r="R3055" s="4" t="s">
        <v>63</v>
      </c>
      <c r="S3055" s="4" t="s">
        <v>63</v>
      </c>
      <c r="T3055" s="4" t="s">
        <v>63</v>
      </c>
      <c r="U3055" s="4"/>
      <c r="V3055" s="4"/>
      <c r="W3055" s="4"/>
      <c r="X3055" s="4" t="s">
        <v>63</v>
      </c>
      <c r="Y3055" s="4" t="s">
        <v>24917</v>
      </c>
      <c r="Z3055" s="4" t="s">
        <v>63</v>
      </c>
      <c r="AA3055" s="4" t="s">
        <v>24918</v>
      </c>
      <c r="AB3055" s="4" t="s">
        <v>24919</v>
      </c>
      <c r="AC3055" s="4" t="s">
        <v>67</v>
      </c>
      <c r="AD3055" s="4" t="s">
        <v>63</v>
      </c>
      <c r="AE3055" s="4" t="s">
        <v>63</v>
      </c>
      <c r="AF3055" s="4" t="s">
        <v>63</v>
      </c>
      <c r="AG3055" s="4" t="s">
        <v>63</v>
      </c>
      <c r="AH3055" s="4" t="s">
        <v>63</v>
      </c>
      <c r="AI3055" s="4" t="s">
        <v>63</v>
      </c>
      <c r="AJ3055" s="4" t="s">
        <v>63</v>
      </c>
      <c r="AK3055" s="4" t="s">
        <v>63</v>
      </c>
      <c r="AL3055" s="4" t="s">
        <v>63</v>
      </c>
      <c r="AM3055" s="4" t="s">
        <v>24914</v>
      </c>
      <c r="AN3055" s="4" t="s">
        <v>63</v>
      </c>
      <c r="AO3055" s="4" t="s">
        <v>63</v>
      </c>
      <c r="AP3055" s="4" t="s">
        <v>63</v>
      </c>
      <c r="AQ3055" s="4" t="s">
        <v>63</v>
      </c>
      <c r="AR3055" s="4" t="s">
        <v>63</v>
      </c>
      <c r="AS3055" s="4" t="s">
        <v>63</v>
      </c>
      <c r="AT3055" s="4" t="s">
        <v>63</v>
      </c>
      <c r="AU3055" s="4" t="s">
        <v>63</v>
      </c>
      <c r="AV3055" s="4" t="s">
        <v>63</v>
      </c>
      <c r="AW3055" s="4" t="s">
        <v>63</v>
      </c>
      <c r="AX3055" s="4" t="s">
        <v>63</v>
      </c>
      <c r="AY3055" s="4" t="s">
        <v>63</v>
      </c>
      <c r="AZ3055" s="4" t="s">
        <v>63</v>
      </c>
      <c r="BA3055" s="4" t="s">
        <v>63</v>
      </c>
      <c r="BB3055" s="4" t="s">
        <v>63</v>
      </c>
      <c r="BC3055" s="4" t="s">
        <v>63</v>
      </c>
      <c r="BD3055" s="4" t="s">
        <v>63</v>
      </c>
      <c r="BE3055" s="4" t="s">
        <v>63</v>
      </c>
      <c r="BF3055" s="4" t="s">
        <v>63</v>
      </c>
    </row>
    <row r="3056" spans="1:58">
      <c r="A3056" s="4" t="s">
        <v>58</v>
      </c>
      <c r="B3056" s="4" t="s">
        <v>24920</v>
      </c>
      <c r="C3056" s="4" t="s">
        <v>24921</v>
      </c>
      <c r="D3056" s="4" t="s">
        <v>24922</v>
      </c>
      <c r="E3056" s="4" t="s">
        <v>24923</v>
      </c>
      <c r="F3056" s="4">
        <v>1989</v>
      </c>
      <c r="G3056" s="4" t="s">
        <v>198</v>
      </c>
      <c r="H3056" s="4">
        <v>37</v>
      </c>
      <c r="I3056" s="4">
        <v>1</v>
      </c>
      <c r="J3056" s="4" t="s">
        <v>24924</v>
      </c>
      <c r="K3056" s="4" t="s">
        <v>24924</v>
      </c>
      <c r="L3056" s="4" t="s">
        <v>63</v>
      </c>
      <c r="M3056" s="4" t="s">
        <v>63</v>
      </c>
      <c r="N3056" s="4" t="s">
        <v>24925</v>
      </c>
      <c r="O3056" s="4" t="s">
        <v>63</v>
      </c>
      <c r="P3056" s="4"/>
      <c r="Q3056" s="4" t="s">
        <v>63</v>
      </c>
      <c r="R3056" s="4" t="s">
        <v>63</v>
      </c>
      <c r="S3056" s="4" t="s">
        <v>63</v>
      </c>
      <c r="T3056" s="4" t="s">
        <v>63</v>
      </c>
      <c r="U3056" s="4"/>
      <c r="V3056" s="4"/>
      <c r="W3056" s="4"/>
      <c r="X3056" s="4" t="s">
        <v>63</v>
      </c>
      <c r="Y3056" s="5">
        <v>27637</v>
      </c>
      <c r="Z3056" s="4" t="s">
        <v>63</v>
      </c>
      <c r="AA3056" s="4" t="s">
        <v>24926</v>
      </c>
      <c r="AB3056" s="4" t="s">
        <v>24927</v>
      </c>
      <c r="AC3056" s="4" t="s">
        <v>67</v>
      </c>
      <c r="AD3056" s="4" t="s">
        <v>63</v>
      </c>
      <c r="AE3056" s="4" t="s">
        <v>63</v>
      </c>
      <c r="AF3056" s="4" t="s">
        <v>63</v>
      </c>
      <c r="AG3056" s="4" t="s">
        <v>63</v>
      </c>
      <c r="AH3056" s="4" t="s">
        <v>63</v>
      </c>
      <c r="AI3056" s="4" t="s">
        <v>63</v>
      </c>
      <c r="AJ3056" s="4" t="s">
        <v>63</v>
      </c>
      <c r="AK3056" s="4" t="s">
        <v>63</v>
      </c>
      <c r="AL3056" s="4" t="s">
        <v>63</v>
      </c>
      <c r="AM3056" s="4" t="s">
        <v>24921</v>
      </c>
      <c r="AN3056" s="4" t="s">
        <v>63</v>
      </c>
      <c r="AO3056" s="4" t="s">
        <v>63</v>
      </c>
      <c r="AP3056" s="4" t="s">
        <v>63</v>
      </c>
      <c r="AQ3056" s="4" t="s">
        <v>63</v>
      </c>
      <c r="AR3056" s="4" t="s">
        <v>63</v>
      </c>
      <c r="AS3056" s="4" t="s">
        <v>63</v>
      </c>
      <c r="AT3056" s="4" t="s">
        <v>63</v>
      </c>
      <c r="AU3056" s="4" t="s">
        <v>63</v>
      </c>
      <c r="AV3056" s="4" t="s">
        <v>63</v>
      </c>
      <c r="AW3056" s="4" t="s">
        <v>63</v>
      </c>
      <c r="AX3056" s="4" t="s">
        <v>63</v>
      </c>
      <c r="AY3056" s="4" t="s">
        <v>63</v>
      </c>
      <c r="AZ3056" s="4" t="s">
        <v>63</v>
      </c>
      <c r="BA3056" s="4" t="s">
        <v>63</v>
      </c>
      <c r="BB3056" s="4" t="s">
        <v>63</v>
      </c>
      <c r="BC3056" s="4" t="s">
        <v>63</v>
      </c>
      <c r="BD3056" s="4" t="s">
        <v>63</v>
      </c>
      <c r="BE3056" s="4" t="s">
        <v>63</v>
      </c>
      <c r="BF3056" s="4" t="s">
        <v>63</v>
      </c>
    </row>
    <row r="3057" spans="1:58">
      <c r="A3057" s="4" t="s">
        <v>58</v>
      </c>
      <c r="B3057" s="4" t="s">
        <v>24928</v>
      </c>
      <c r="C3057" s="4" t="s">
        <v>24929</v>
      </c>
      <c r="D3057" s="4" t="s">
        <v>389</v>
      </c>
      <c r="E3057" s="4" t="s">
        <v>63</v>
      </c>
      <c r="F3057" s="4">
        <v>2012</v>
      </c>
      <c r="G3057" s="4" t="s">
        <v>63</v>
      </c>
      <c r="H3057" s="4">
        <v>33</v>
      </c>
      <c r="I3057" s="4">
        <v>2</v>
      </c>
      <c r="J3057" s="4">
        <v>212</v>
      </c>
      <c r="K3057" s="4">
        <v>212</v>
      </c>
      <c r="L3057" s="4" t="s">
        <v>63</v>
      </c>
      <c r="M3057" s="4" t="s">
        <v>63</v>
      </c>
      <c r="N3057" s="4" t="s">
        <v>24930</v>
      </c>
      <c r="O3057" s="4" t="s">
        <v>63</v>
      </c>
      <c r="P3057" s="4"/>
      <c r="Q3057" s="4" t="s">
        <v>63</v>
      </c>
      <c r="R3057" s="4" t="s">
        <v>63</v>
      </c>
      <c r="S3057" s="4" t="s">
        <v>63</v>
      </c>
      <c r="T3057" s="4" t="s">
        <v>63</v>
      </c>
      <c r="U3057" s="4"/>
      <c r="V3057" s="4"/>
      <c r="W3057" s="4"/>
      <c r="X3057" s="4" t="s">
        <v>63</v>
      </c>
      <c r="Y3057" s="4" t="s">
        <v>392</v>
      </c>
      <c r="Z3057" s="4" t="s">
        <v>63</v>
      </c>
      <c r="AA3057" s="4" t="s">
        <v>24931</v>
      </c>
      <c r="AB3057" s="4" t="s">
        <v>24932</v>
      </c>
      <c r="AC3057" s="4" t="s">
        <v>67</v>
      </c>
      <c r="AD3057" s="4" t="s">
        <v>63</v>
      </c>
      <c r="AE3057" s="4" t="s">
        <v>63</v>
      </c>
      <c r="AF3057" s="4" t="s">
        <v>63</v>
      </c>
      <c r="AG3057" s="4" t="s">
        <v>63</v>
      </c>
      <c r="AH3057" s="4" t="s">
        <v>63</v>
      </c>
      <c r="AI3057" s="4" t="s">
        <v>63</v>
      </c>
      <c r="AJ3057" s="4" t="s">
        <v>63</v>
      </c>
      <c r="AK3057" s="4" t="s">
        <v>63</v>
      </c>
      <c r="AL3057" s="4" t="s">
        <v>63</v>
      </c>
      <c r="AM3057" s="4" t="s">
        <v>24929</v>
      </c>
      <c r="AN3057" s="4" t="s">
        <v>63</v>
      </c>
      <c r="AO3057" s="4" t="s">
        <v>63</v>
      </c>
      <c r="AP3057" s="4" t="s">
        <v>63</v>
      </c>
      <c r="AQ3057" s="4" t="s">
        <v>63</v>
      </c>
      <c r="AR3057" s="4" t="s">
        <v>63</v>
      </c>
      <c r="AS3057" s="4" t="s">
        <v>63</v>
      </c>
      <c r="AT3057" s="4" t="s">
        <v>63</v>
      </c>
      <c r="AU3057" s="4" t="s">
        <v>63</v>
      </c>
      <c r="AV3057" s="4" t="s">
        <v>63</v>
      </c>
      <c r="AW3057" s="4" t="s">
        <v>63</v>
      </c>
      <c r="AX3057" s="4" t="s">
        <v>63</v>
      </c>
      <c r="AY3057" s="4" t="s">
        <v>63</v>
      </c>
      <c r="AZ3057" s="4" t="s">
        <v>63</v>
      </c>
      <c r="BA3057" s="4" t="s">
        <v>63</v>
      </c>
      <c r="BB3057" s="4" t="s">
        <v>63</v>
      </c>
      <c r="BC3057" s="4" t="s">
        <v>63</v>
      </c>
      <c r="BD3057" s="4" t="s">
        <v>63</v>
      </c>
      <c r="BE3057" s="4" t="s">
        <v>63</v>
      </c>
      <c r="BF3057" s="4" t="s">
        <v>63</v>
      </c>
    </row>
    <row r="3058" spans="1:58">
      <c r="A3058" s="4" t="s">
        <v>58</v>
      </c>
      <c r="B3058" s="4" t="s">
        <v>24933</v>
      </c>
      <c r="C3058" s="4" t="s">
        <v>22160</v>
      </c>
      <c r="D3058" s="4" t="s">
        <v>371</v>
      </c>
      <c r="E3058" s="4" t="s">
        <v>63</v>
      </c>
      <c r="F3058" s="4">
        <v>2008</v>
      </c>
      <c r="G3058" s="4" t="s">
        <v>274</v>
      </c>
      <c r="H3058" s="4">
        <v>23</v>
      </c>
      <c r="I3058" s="4" t="s">
        <v>63</v>
      </c>
      <c r="J3058" s="4">
        <v>200</v>
      </c>
      <c r="K3058" s="4">
        <v>201</v>
      </c>
      <c r="L3058" s="4" t="s">
        <v>63</v>
      </c>
      <c r="M3058" s="4" t="s">
        <v>63</v>
      </c>
      <c r="N3058" s="4" t="s">
        <v>24934</v>
      </c>
      <c r="O3058" s="4" t="s">
        <v>63</v>
      </c>
      <c r="P3058" s="4"/>
      <c r="Q3058" s="4" t="s">
        <v>63</v>
      </c>
      <c r="R3058" s="4" t="s">
        <v>63</v>
      </c>
      <c r="S3058" s="4" t="s">
        <v>63</v>
      </c>
      <c r="T3058" s="4" t="s">
        <v>63</v>
      </c>
      <c r="U3058" s="4"/>
      <c r="V3058" s="4"/>
      <c r="W3058" s="4"/>
      <c r="X3058" s="4" t="s">
        <v>63</v>
      </c>
      <c r="Y3058" s="4" t="s">
        <v>375</v>
      </c>
      <c r="Z3058" s="4" t="s">
        <v>63</v>
      </c>
      <c r="AA3058" s="4" t="s">
        <v>24935</v>
      </c>
      <c r="AB3058" s="4" t="s">
        <v>24936</v>
      </c>
      <c r="AC3058" s="4" t="s">
        <v>67</v>
      </c>
      <c r="AD3058" s="4" t="s">
        <v>63</v>
      </c>
      <c r="AE3058" s="4" t="s">
        <v>63</v>
      </c>
      <c r="AF3058" s="4" t="s">
        <v>63</v>
      </c>
      <c r="AG3058" s="4" t="s">
        <v>63</v>
      </c>
      <c r="AH3058" s="4" t="s">
        <v>63</v>
      </c>
      <c r="AI3058" s="4" t="s">
        <v>63</v>
      </c>
      <c r="AJ3058" s="4" t="s">
        <v>63</v>
      </c>
      <c r="AK3058" s="4" t="s">
        <v>63</v>
      </c>
      <c r="AL3058" s="4" t="s">
        <v>63</v>
      </c>
      <c r="AM3058" s="4" t="s">
        <v>22160</v>
      </c>
      <c r="AN3058" s="4" t="s">
        <v>63</v>
      </c>
      <c r="AO3058" s="4" t="s">
        <v>63</v>
      </c>
      <c r="AP3058" s="4" t="s">
        <v>63</v>
      </c>
      <c r="AQ3058" s="4" t="s">
        <v>63</v>
      </c>
      <c r="AR3058" s="4" t="s">
        <v>63</v>
      </c>
      <c r="AS3058" s="4" t="s">
        <v>63</v>
      </c>
      <c r="AT3058" s="4" t="s">
        <v>63</v>
      </c>
      <c r="AU3058" s="4" t="s">
        <v>63</v>
      </c>
      <c r="AV3058" s="4" t="s">
        <v>63</v>
      </c>
      <c r="AW3058" s="4" t="s">
        <v>63</v>
      </c>
      <c r="AX3058" s="4" t="s">
        <v>63</v>
      </c>
      <c r="AY3058" s="4" t="s">
        <v>63</v>
      </c>
      <c r="AZ3058" s="4" t="s">
        <v>63</v>
      </c>
      <c r="BA3058" s="4" t="s">
        <v>63</v>
      </c>
      <c r="BB3058" s="4" t="s">
        <v>63</v>
      </c>
      <c r="BC3058" s="4" t="s">
        <v>63</v>
      </c>
      <c r="BD3058" s="4" t="s">
        <v>63</v>
      </c>
      <c r="BE3058" s="4" t="s">
        <v>63</v>
      </c>
      <c r="BF3058" s="4" t="s">
        <v>63</v>
      </c>
    </row>
    <row r="3059" spans="1:58">
      <c r="A3059" s="4" t="s">
        <v>58</v>
      </c>
      <c r="B3059" s="4" t="s">
        <v>24937</v>
      </c>
      <c r="C3059" s="4" t="s">
        <v>24938</v>
      </c>
      <c r="D3059" s="4" t="s">
        <v>24939</v>
      </c>
      <c r="E3059" s="4" t="s">
        <v>24939</v>
      </c>
      <c r="F3059" s="4">
        <v>1999</v>
      </c>
      <c r="G3059" s="4" t="s">
        <v>73</v>
      </c>
      <c r="H3059" s="4">
        <v>40</v>
      </c>
      <c r="I3059" s="4">
        <v>6</v>
      </c>
      <c r="J3059" s="4">
        <v>686</v>
      </c>
      <c r="K3059" s="4">
        <v>691</v>
      </c>
      <c r="L3059" s="4" t="s">
        <v>63</v>
      </c>
      <c r="M3059" s="4" t="s">
        <v>63</v>
      </c>
      <c r="N3059" s="4" t="s">
        <v>24940</v>
      </c>
      <c r="O3059" s="4" t="s">
        <v>63</v>
      </c>
      <c r="P3059" s="4"/>
      <c r="Q3059" s="4" t="s">
        <v>63</v>
      </c>
      <c r="R3059" s="4" t="s">
        <v>63</v>
      </c>
      <c r="S3059" s="4" t="s">
        <v>63</v>
      </c>
      <c r="T3059" s="4" t="s">
        <v>63</v>
      </c>
      <c r="U3059" s="4"/>
      <c r="V3059" s="4"/>
      <c r="W3059" s="4"/>
      <c r="X3059" s="4" t="s">
        <v>63</v>
      </c>
      <c r="Y3059" s="4" t="s">
        <v>24941</v>
      </c>
      <c r="Z3059" s="4" t="s">
        <v>63</v>
      </c>
      <c r="AA3059" s="4" t="s">
        <v>24942</v>
      </c>
      <c r="AB3059" s="4" t="s">
        <v>24943</v>
      </c>
      <c r="AC3059" s="4" t="s">
        <v>102</v>
      </c>
      <c r="AD3059" s="4" t="s">
        <v>63</v>
      </c>
      <c r="AE3059" s="4" t="s">
        <v>63</v>
      </c>
      <c r="AF3059" s="4" t="s">
        <v>63</v>
      </c>
      <c r="AG3059" s="4" t="s">
        <v>63</v>
      </c>
      <c r="AH3059" s="4" t="s">
        <v>63</v>
      </c>
      <c r="AI3059" s="4" t="s">
        <v>24944</v>
      </c>
      <c r="AJ3059" s="4" t="s">
        <v>63</v>
      </c>
      <c r="AK3059" s="4" t="s">
        <v>63</v>
      </c>
      <c r="AL3059" s="4" t="s">
        <v>63</v>
      </c>
      <c r="AM3059" s="4" t="s">
        <v>24938</v>
      </c>
      <c r="AN3059" s="4" t="s">
        <v>63</v>
      </c>
      <c r="AO3059" s="4" t="s">
        <v>63</v>
      </c>
      <c r="AP3059" s="4" t="s">
        <v>63</v>
      </c>
      <c r="AQ3059" s="4" t="s">
        <v>63</v>
      </c>
      <c r="AR3059" s="4" t="s">
        <v>63</v>
      </c>
      <c r="AS3059" s="4" t="s">
        <v>63</v>
      </c>
      <c r="AT3059" s="4" t="s">
        <v>63</v>
      </c>
      <c r="AU3059" s="4" t="s">
        <v>63</v>
      </c>
      <c r="AV3059" s="4" t="s">
        <v>63</v>
      </c>
      <c r="AW3059" s="4" t="s">
        <v>63</v>
      </c>
      <c r="AX3059" s="4" t="s">
        <v>63</v>
      </c>
      <c r="AY3059" s="4" t="s">
        <v>63</v>
      </c>
      <c r="AZ3059" s="4" t="s">
        <v>63</v>
      </c>
      <c r="BA3059" s="4" t="s">
        <v>63</v>
      </c>
      <c r="BB3059" s="4" t="s">
        <v>63</v>
      </c>
      <c r="BC3059" s="4" t="s">
        <v>63</v>
      </c>
      <c r="BD3059" s="4" t="s">
        <v>63</v>
      </c>
      <c r="BE3059" s="4" t="s">
        <v>63</v>
      </c>
      <c r="BF3059" s="4" t="s">
        <v>63</v>
      </c>
    </row>
    <row r="3060" spans="1:58">
      <c r="A3060" s="4" t="s">
        <v>23992</v>
      </c>
      <c r="B3060" s="4" t="s">
        <v>24945</v>
      </c>
      <c r="C3060" s="4" t="s">
        <v>24946</v>
      </c>
      <c r="D3060" s="4" t="s">
        <v>24947</v>
      </c>
      <c r="E3060" s="4" t="s">
        <v>63</v>
      </c>
      <c r="F3060" s="4">
        <v>1997</v>
      </c>
      <c r="G3060" s="4" t="s">
        <v>63</v>
      </c>
      <c r="H3060" s="4" t="s">
        <v>63</v>
      </c>
      <c r="I3060" s="4" t="s">
        <v>63</v>
      </c>
      <c r="J3060" s="4">
        <v>722</v>
      </c>
      <c r="K3060" s="4">
        <v>724</v>
      </c>
      <c r="L3060" s="4" t="s">
        <v>63</v>
      </c>
      <c r="M3060" s="4" t="s">
        <v>24948</v>
      </c>
      <c r="N3060" s="4" t="s">
        <v>24949</v>
      </c>
      <c r="O3060" s="4" t="s">
        <v>63</v>
      </c>
      <c r="P3060" s="4"/>
      <c r="Q3060" s="4" t="s">
        <v>63</v>
      </c>
      <c r="R3060" s="4" t="s">
        <v>63</v>
      </c>
      <c r="S3060" s="4" t="s">
        <v>24950</v>
      </c>
      <c r="T3060" s="4" t="s">
        <v>24951</v>
      </c>
      <c r="U3060" s="4"/>
      <c r="V3060" s="4"/>
      <c r="W3060" s="4"/>
      <c r="X3060" s="4" t="s">
        <v>63</v>
      </c>
      <c r="Y3060" s="4" t="s">
        <v>24952</v>
      </c>
      <c r="Z3060" s="4" t="s">
        <v>63</v>
      </c>
      <c r="AA3060" s="4" t="s">
        <v>24953</v>
      </c>
      <c r="AB3060" s="4" t="s">
        <v>24954</v>
      </c>
      <c r="AC3060" s="4" t="s">
        <v>67</v>
      </c>
      <c r="AD3060" s="4" t="s">
        <v>63</v>
      </c>
      <c r="AE3060" s="4" t="s">
        <v>63</v>
      </c>
      <c r="AF3060" s="4" t="s">
        <v>63</v>
      </c>
      <c r="AG3060" s="4" t="s">
        <v>63</v>
      </c>
      <c r="AH3060" s="4" t="s">
        <v>63</v>
      </c>
      <c r="AI3060" s="4" t="s">
        <v>63</v>
      </c>
      <c r="AJ3060" s="4" t="s">
        <v>63</v>
      </c>
      <c r="AK3060" s="4" t="s">
        <v>63</v>
      </c>
      <c r="AL3060" s="4" t="s">
        <v>63</v>
      </c>
      <c r="AM3060" s="4" t="s">
        <v>24946</v>
      </c>
      <c r="AN3060" s="4" t="s">
        <v>63</v>
      </c>
      <c r="AO3060" s="4" t="s">
        <v>63</v>
      </c>
      <c r="AP3060" s="4" t="s">
        <v>63</v>
      </c>
      <c r="AQ3060" s="4" t="s">
        <v>63</v>
      </c>
      <c r="AR3060" s="4" t="s">
        <v>63</v>
      </c>
      <c r="AS3060" s="4" t="s">
        <v>63</v>
      </c>
      <c r="AT3060" s="4" t="s">
        <v>63</v>
      </c>
      <c r="AU3060" s="4" t="s">
        <v>63</v>
      </c>
      <c r="AV3060" s="4" t="s">
        <v>63</v>
      </c>
      <c r="AW3060" s="4" t="s">
        <v>63</v>
      </c>
      <c r="AX3060" s="4" t="s">
        <v>63</v>
      </c>
      <c r="AY3060" s="4" t="s">
        <v>63</v>
      </c>
      <c r="AZ3060" s="4" t="s">
        <v>63</v>
      </c>
      <c r="BA3060" s="4" t="s">
        <v>63</v>
      </c>
      <c r="BB3060" s="4" t="s">
        <v>63</v>
      </c>
      <c r="BC3060" s="4" t="s">
        <v>63</v>
      </c>
      <c r="BD3060" s="4" t="s">
        <v>63</v>
      </c>
      <c r="BE3060" s="4" t="s">
        <v>63</v>
      </c>
      <c r="BF3060" s="4" t="s">
        <v>63</v>
      </c>
    </row>
    <row r="3061" spans="1:58">
      <c r="A3061" s="4" t="s">
        <v>58</v>
      </c>
      <c r="B3061" s="4" t="s">
        <v>24955</v>
      </c>
      <c r="C3061" s="4" t="s">
        <v>24956</v>
      </c>
      <c r="D3061" s="4" t="s">
        <v>23924</v>
      </c>
      <c r="E3061" s="4" t="s">
        <v>23925</v>
      </c>
      <c r="F3061" s="4">
        <v>1992</v>
      </c>
      <c r="G3061" s="4" t="s">
        <v>24320</v>
      </c>
      <c r="H3061" s="4">
        <v>38</v>
      </c>
      <c r="I3061" s="4">
        <v>1</v>
      </c>
      <c r="J3061" s="4">
        <v>98</v>
      </c>
      <c r="K3061" s="4">
        <v>105</v>
      </c>
      <c r="L3061" s="4" t="s">
        <v>24957</v>
      </c>
      <c r="M3061" s="4" t="s">
        <v>24958</v>
      </c>
      <c r="N3061" s="4" t="s">
        <v>24959</v>
      </c>
      <c r="O3061" s="4" t="s">
        <v>63</v>
      </c>
      <c r="P3061" s="4"/>
      <c r="Q3061" s="4" t="s">
        <v>63</v>
      </c>
      <c r="R3061" s="4" t="s">
        <v>63</v>
      </c>
      <c r="S3061" s="4" t="s">
        <v>63</v>
      </c>
      <c r="T3061" s="4" t="s">
        <v>63</v>
      </c>
      <c r="U3061" s="4"/>
      <c r="V3061" s="4"/>
      <c r="W3061" s="4"/>
      <c r="X3061" s="4" t="s">
        <v>63</v>
      </c>
      <c r="Y3061" s="4" t="s">
        <v>23928</v>
      </c>
      <c r="Z3061" s="4" t="s">
        <v>63</v>
      </c>
      <c r="AA3061" s="4" t="s">
        <v>24960</v>
      </c>
      <c r="AB3061" s="4" t="s">
        <v>24961</v>
      </c>
      <c r="AC3061" s="4" t="s">
        <v>67</v>
      </c>
      <c r="AD3061" s="4" t="s">
        <v>63</v>
      </c>
      <c r="AE3061" s="4" t="s">
        <v>63</v>
      </c>
      <c r="AF3061" s="4" t="s">
        <v>63</v>
      </c>
      <c r="AG3061" s="4" t="s">
        <v>63</v>
      </c>
      <c r="AH3061" s="4" t="s">
        <v>63</v>
      </c>
      <c r="AI3061" s="4" t="s">
        <v>63</v>
      </c>
      <c r="AJ3061" s="4" t="s">
        <v>63</v>
      </c>
      <c r="AK3061" s="4" t="s">
        <v>63</v>
      </c>
      <c r="AL3061" s="4" t="s">
        <v>63</v>
      </c>
      <c r="AM3061" s="4" t="s">
        <v>24956</v>
      </c>
      <c r="AN3061" s="4" t="s">
        <v>63</v>
      </c>
      <c r="AO3061" s="4" t="s">
        <v>63</v>
      </c>
      <c r="AP3061" s="4" t="s">
        <v>63</v>
      </c>
      <c r="AQ3061" s="4" t="s">
        <v>63</v>
      </c>
      <c r="AR3061" s="4" t="s">
        <v>63</v>
      </c>
      <c r="AS3061" s="4" t="s">
        <v>63</v>
      </c>
      <c r="AT3061" s="4" t="s">
        <v>63</v>
      </c>
      <c r="AU3061" s="4" t="s">
        <v>63</v>
      </c>
      <c r="AV3061" s="4" t="s">
        <v>63</v>
      </c>
      <c r="AW3061" s="4" t="s">
        <v>63</v>
      </c>
      <c r="AX3061" s="4" t="s">
        <v>63</v>
      </c>
      <c r="AY3061" s="4" t="s">
        <v>63</v>
      </c>
      <c r="AZ3061" s="4" t="s">
        <v>63</v>
      </c>
      <c r="BA3061" s="4" t="s">
        <v>63</v>
      </c>
      <c r="BB3061" s="4" t="s">
        <v>63</v>
      </c>
      <c r="BC3061" s="4" t="s">
        <v>63</v>
      </c>
      <c r="BD3061" s="4" t="s">
        <v>63</v>
      </c>
      <c r="BE3061" s="4" t="s">
        <v>63</v>
      </c>
      <c r="BF3061" s="4" t="s">
        <v>63</v>
      </c>
    </row>
    <row r="3062" spans="1:58">
      <c r="A3062" s="4" t="s">
        <v>58</v>
      </c>
      <c r="B3062" s="4" t="s">
        <v>24962</v>
      </c>
      <c r="C3062" s="4" t="s">
        <v>24963</v>
      </c>
      <c r="D3062" s="4" t="s">
        <v>325</v>
      </c>
      <c r="E3062" s="4" t="s">
        <v>63</v>
      </c>
      <c r="F3062" s="4">
        <v>2018</v>
      </c>
      <c r="G3062" s="4" t="s">
        <v>84</v>
      </c>
      <c r="H3062" s="4">
        <v>42</v>
      </c>
      <c r="I3062" s="4">
        <v>2</v>
      </c>
      <c r="J3062" s="4">
        <v>288</v>
      </c>
      <c r="K3062" s="4">
        <v>296</v>
      </c>
      <c r="L3062" s="4" t="s">
        <v>24964</v>
      </c>
      <c r="M3062" s="4" t="s">
        <v>24965</v>
      </c>
      <c r="N3062" s="4" t="s">
        <v>24966</v>
      </c>
      <c r="O3062" s="4" t="s">
        <v>63</v>
      </c>
      <c r="P3062" s="4"/>
      <c r="Q3062" s="4" t="s">
        <v>63</v>
      </c>
      <c r="R3062" s="4" t="s">
        <v>63</v>
      </c>
      <c r="S3062" s="4" t="s">
        <v>63</v>
      </c>
      <c r="T3062" s="4" t="s">
        <v>63</v>
      </c>
      <c r="U3062" s="4"/>
      <c r="V3062" s="4"/>
      <c r="W3062" s="4"/>
      <c r="X3062" s="4" t="s">
        <v>63</v>
      </c>
      <c r="Y3062" s="4" t="s">
        <v>866</v>
      </c>
      <c r="Z3062" s="4" t="s">
        <v>63</v>
      </c>
      <c r="AA3062" s="4" t="s">
        <v>24967</v>
      </c>
      <c r="AB3062" s="4" t="s">
        <v>24968</v>
      </c>
      <c r="AC3062" s="4" t="s">
        <v>67</v>
      </c>
      <c r="AD3062" s="4" t="s">
        <v>63</v>
      </c>
      <c r="AE3062" s="4" t="s">
        <v>63</v>
      </c>
      <c r="AF3062" s="4" t="s">
        <v>63</v>
      </c>
      <c r="AG3062" s="4" t="s">
        <v>63</v>
      </c>
      <c r="AH3062" s="4" t="s">
        <v>63</v>
      </c>
      <c r="AI3062" s="4" t="s">
        <v>24969</v>
      </c>
      <c r="AJ3062" s="4" t="s">
        <v>63</v>
      </c>
      <c r="AK3062" s="4" t="s">
        <v>63</v>
      </c>
      <c r="AL3062" s="4" t="s">
        <v>63</v>
      </c>
      <c r="AM3062" s="4" t="s">
        <v>24963</v>
      </c>
      <c r="AN3062" s="4" t="s">
        <v>63</v>
      </c>
      <c r="AO3062" s="4" t="s">
        <v>63</v>
      </c>
      <c r="AP3062" s="4" t="s">
        <v>63</v>
      </c>
      <c r="AQ3062" s="4" t="s">
        <v>63</v>
      </c>
      <c r="AR3062" s="4" t="s">
        <v>63</v>
      </c>
      <c r="AS3062" s="4" t="s">
        <v>63</v>
      </c>
      <c r="AT3062" s="4" t="s">
        <v>63</v>
      </c>
      <c r="AU3062" s="4" t="s">
        <v>63</v>
      </c>
      <c r="AV3062" s="4" t="s">
        <v>63</v>
      </c>
      <c r="AW3062" s="4" t="s">
        <v>63</v>
      </c>
      <c r="AX3062" s="4" t="s">
        <v>63</v>
      </c>
      <c r="AY3062" s="4" t="s">
        <v>63</v>
      </c>
      <c r="AZ3062" s="4" t="s">
        <v>63</v>
      </c>
      <c r="BA3062" s="4" t="s">
        <v>63</v>
      </c>
      <c r="BB3062" s="4" t="s">
        <v>63</v>
      </c>
      <c r="BC3062" s="4" t="s">
        <v>63</v>
      </c>
      <c r="BD3062" s="4" t="s">
        <v>63</v>
      </c>
      <c r="BE3062" s="4" t="s">
        <v>63</v>
      </c>
      <c r="BF3062" s="4" t="s">
        <v>63</v>
      </c>
    </row>
    <row r="3063" spans="1:58">
      <c r="A3063" s="4" t="s">
        <v>58</v>
      </c>
      <c r="B3063" s="4" t="s">
        <v>24970</v>
      </c>
      <c r="C3063" s="4" t="s">
        <v>24971</v>
      </c>
      <c r="D3063" s="4" t="s">
        <v>90</v>
      </c>
      <c r="E3063" s="4" t="s">
        <v>63</v>
      </c>
      <c r="F3063" s="4">
        <v>2003</v>
      </c>
      <c r="G3063" s="4" t="s">
        <v>63</v>
      </c>
      <c r="H3063" s="4">
        <v>22</v>
      </c>
      <c r="I3063" s="4">
        <v>2</v>
      </c>
      <c r="J3063" s="4">
        <v>113</v>
      </c>
      <c r="K3063" s="4">
        <v>113</v>
      </c>
      <c r="L3063" s="4" t="s">
        <v>63</v>
      </c>
      <c r="M3063" s="4" t="s">
        <v>63</v>
      </c>
      <c r="N3063" s="4" t="s">
        <v>24972</v>
      </c>
      <c r="O3063" s="4" t="s">
        <v>63</v>
      </c>
      <c r="P3063" s="4"/>
      <c r="Q3063" s="4" t="s">
        <v>63</v>
      </c>
      <c r="R3063" s="4" t="s">
        <v>63</v>
      </c>
      <c r="S3063" s="4" t="s">
        <v>63</v>
      </c>
      <c r="T3063" s="4" t="s">
        <v>63</v>
      </c>
      <c r="U3063" s="4"/>
      <c r="V3063" s="4"/>
      <c r="W3063" s="4"/>
      <c r="X3063" s="4" t="s">
        <v>63</v>
      </c>
      <c r="Y3063" s="4" t="s">
        <v>93</v>
      </c>
      <c r="Z3063" s="4" t="s">
        <v>63</v>
      </c>
      <c r="AA3063" s="4" t="s">
        <v>24973</v>
      </c>
      <c r="AB3063" s="4" t="s">
        <v>24974</v>
      </c>
      <c r="AC3063" s="4" t="s">
        <v>67</v>
      </c>
      <c r="AD3063" s="4" t="s">
        <v>63</v>
      </c>
      <c r="AE3063" s="4" t="s">
        <v>63</v>
      </c>
      <c r="AF3063" s="4" t="s">
        <v>63</v>
      </c>
      <c r="AG3063" s="4" t="s">
        <v>63</v>
      </c>
      <c r="AH3063" s="4" t="s">
        <v>63</v>
      </c>
      <c r="AI3063" s="4" t="s">
        <v>63</v>
      </c>
      <c r="AJ3063" s="4" t="s">
        <v>63</v>
      </c>
      <c r="AK3063" s="4" t="s">
        <v>63</v>
      </c>
      <c r="AL3063" s="4" t="s">
        <v>63</v>
      </c>
      <c r="AM3063" s="4" t="s">
        <v>24971</v>
      </c>
      <c r="AN3063" s="4" t="s">
        <v>63</v>
      </c>
      <c r="AO3063" s="4" t="s">
        <v>63</v>
      </c>
      <c r="AP3063" s="4" t="s">
        <v>63</v>
      </c>
      <c r="AQ3063" s="4" t="s">
        <v>63</v>
      </c>
      <c r="AR3063" s="4" t="s">
        <v>63</v>
      </c>
      <c r="AS3063" s="4" t="s">
        <v>63</v>
      </c>
      <c r="AT3063" s="4" t="s">
        <v>63</v>
      </c>
      <c r="AU3063" s="4" t="s">
        <v>63</v>
      </c>
      <c r="AV3063" s="4" t="s">
        <v>63</v>
      </c>
      <c r="AW3063" s="4" t="s">
        <v>63</v>
      </c>
      <c r="AX3063" s="4" t="s">
        <v>63</v>
      </c>
      <c r="AY3063" s="4" t="s">
        <v>63</v>
      </c>
      <c r="AZ3063" s="4" t="s">
        <v>63</v>
      </c>
      <c r="BA3063" s="4" t="s">
        <v>63</v>
      </c>
      <c r="BB3063" s="4" t="s">
        <v>63</v>
      </c>
      <c r="BC3063" s="4" t="s">
        <v>63</v>
      </c>
      <c r="BD3063" s="4" t="s">
        <v>63</v>
      </c>
      <c r="BE3063" s="4" t="s">
        <v>63</v>
      </c>
      <c r="BF3063" s="4" t="s">
        <v>63</v>
      </c>
    </row>
    <row r="3064" spans="1:58">
      <c r="A3064" s="4" t="s">
        <v>58</v>
      </c>
      <c r="B3064" s="4" t="s">
        <v>24975</v>
      </c>
      <c r="C3064" s="4" t="s">
        <v>24976</v>
      </c>
      <c r="D3064" s="4" t="s">
        <v>389</v>
      </c>
      <c r="E3064" s="4" t="s">
        <v>63</v>
      </c>
      <c r="F3064" s="4">
        <v>2011</v>
      </c>
      <c r="G3064" s="4" t="s">
        <v>63</v>
      </c>
      <c r="H3064" s="4">
        <v>32</v>
      </c>
      <c r="I3064" s="4">
        <v>1</v>
      </c>
      <c r="J3064" s="4">
        <v>61</v>
      </c>
      <c r="K3064" s="4">
        <v>61</v>
      </c>
      <c r="L3064" s="4" t="s">
        <v>63</v>
      </c>
      <c r="M3064" s="4" t="s">
        <v>63</v>
      </c>
      <c r="N3064" s="4" t="s">
        <v>24977</v>
      </c>
      <c r="O3064" s="4" t="s">
        <v>63</v>
      </c>
      <c r="P3064" s="4"/>
      <c r="Q3064" s="4" t="s">
        <v>63</v>
      </c>
      <c r="R3064" s="4" t="s">
        <v>63</v>
      </c>
      <c r="S3064" s="4" t="s">
        <v>63</v>
      </c>
      <c r="T3064" s="4" t="s">
        <v>63</v>
      </c>
      <c r="U3064" s="4"/>
      <c r="V3064" s="4"/>
      <c r="W3064" s="4"/>
      <c r="X3064" s="4" t="s">
        <v>63</v>
      </c>
      <c r="Y3064" s="4" t="s">
        <v>392</v>
      </c>
      <c r="Z3064" s="4" t="s">
        <v>63</v>
      </c>
      <c r="AA3064" s="4" t="s">
        <v>63</v>
      </c>
      <c r="AB3064" s="4" t="s">
        <v>24978</v>
      </c>
      <c r="AC3064" s="4" t="s">
        <v>67</v>
      </c>
      <c r="AD3064" s="4" t="s">
        <v>63</v>
      </c>
      <c r="AE3064" s="4" t="s">
        <v>63</v>
      </c>
      <c r="AF3064" s="4" t="s">
        <v>63</v>
      </c>
      <c r="AG3064" s="4" t="s">
        <v>63</v>
      </c>
      <c r="AH3064" s="4" t="s">
        <v>63</v>
      </c>
      <c r="AI3064" s="4" t="s">
        <v>63</v>
      </c>
      <c r="AJ3064" s="4" t="s">
        <v>63</v>
      </c>
      <c r="AK3064" s="4" t="s">
        <v>63</v>
      </c>
      <c r="AL3064" s="4" t="s">
        <v>63</v>
      </c>
      <c r="AM3064" s="4" t="s">
        <v>24976</v>
      </c>
      <c r="AN3064" s="4" t="s">
        <v>63</v>
      </c>
      <c r="AO3064" s="4" t="s">
        <v>63</v>
      </c>
      <c r="AP3064" s="4" t="s">
        <v>63</v>
      </c>
      <c r="AQ3064" s="4" t="s">
        <v>63</v>
      </c>
      <c r="AR3064" s="4" t="s">
        <v>63</v>
      </c>
      <c r="AS3064" s="4" t="s">
        <v>63</v>
      </c>
      <c r="AT3064" s="4" t="s">
        <v>63</v>
      </c>
      <c r="AU3064" s="4" t="s">
        <v>63</v>
      </c>
      <c r="AV3064" s="4" t="s">
        <v>63</v>
      </c>
      <c r="AW3064" s="4" t="s">
        <v>63</v>
      </c>
      <c r="AX3064" s="4" t="s">
        <v>63</v>
      </c>
      <c r="AY3064" s="4" t="s">
        <v>63</v>
      </c>
      <c r="AZ3064" s="4" t="s">
        <v>63</v>
      </c>
      <c r="BA3064" s="4" t="s">
        <v>63</v>
      </c>
      <c r="BB3064" s="4" t="s">
        <v>63</v>
      </c>
      <c r="BC3064" s="4" t="s">
        <v>63</v>
      </c>
      <c r="BD3064" s="4" t="s">
        <v>63</v>
      </c>
      <c r="BE3064" s="4" t="s">
        <v>63</v>
      </c>
      <c r="BF3064" s="4" t="s">
        <v>63</v>
      </c>
    </row>
    <row r="3065" spans="1:58">
      <c r="A3065" s="4" t="s">
        <v>58</v>
      </c>
      <c r="B3065" s="4" t="s">
        <v>24979</v>
      </c>
      <c r="C3065" s="4" t="s">
        <v>24980</v>
      </c>
      <c r="D3065" s="4" t="s">
        <v>389</v>
      </c>
      <c r="E3065" s="4" t="s">
        <v>63</v>
      </c>
      <c r="F3065" s="4">
        <v>2009</v>
      </c>
      <c r="G3065" s="4" t="s">
        <v>63</v>
      </c>
      <c r="H3065" s="4">
        <v>30</v>
      </c>
      <c r="I3065" s="4">
        <v>1</v>
      </c>
      <c r="J3065" s="4">
        <v>94</v>
      </c>
      <c r="K3065" s="4">
        <v>94</v>
      </c>
      <c r="L3065" s="4" t="s">
        <v>63</v>
      </c>
      <c r="M3065" s="4" t="s">
        <v>63</v>
      </c>
      <c r="N3065" s="4" t="s">
        <v>24981</v>
      </c>
      <c r="O3065" s="4" t="s">
        <v>63</v>
      </c>
      <c r="P3065" s="4"/>
      <c r="Q3065" s="4" t="s">
        <v>63</v>
      </c>
      <c r="R3065" s="4" t="s">
        <v>63</v>
      </c>
      <c r="S3065" s="4" t="s">
        <v>63</v>
      </c>
      <c r="T3065" s="4" t="s">
        <v>63</v>
      </c>
      <c r="U3065" s="4"/>
      <c r="V3065" s="4"/>
      <c r="W3065" s="4"/>
      <c r="X3065" s="4" t="s">
        <v>63</v>
      </c>
      <c r="Y3065" s="4" t="s">
        <v>392</v>
      </c>
      <c r="Z3065" s="4" t="s">
        <v>63</v>
      </c>
      <c r="AA3065" s="4" t="s">
        <v>63</v>
      </c>
      <c r="AB3065" s="4" t="s">
        <v>24982</v>
      </c>
      <c r="AC3065" s="4" t="s">
        <v>67</v>
      </c>
      <c r="AD3065" s="4" t="s">
        <v>63</v>
      </c>
      <c r="AE3065" s="4" t="s">
        <v>63</v>
      </c>
      <c r="AF3065" s="4" t="s">
        <v>63</v>
      </c>
      <c r="AG3065" s="4" t="s">
        <v>63</v>
      </c>
      <c r="AH3065" s="4" t="s">
        <v>63</v>
      </c>
      <c r="AI3065" s="4" t="s">
        <v>63</v>
      </c>
      <c r="AJ3065" s="4" t="s">
        <v>63</v>
      </c>
      <c r="AK3065" s="4" t="s">
        <v>63</v>
      </c>
      <c r="AL3065" s="4" t="s">
        <v>63</v>
      </c>
      <c r="AM3065" s="4" t="s">
        <v>24980</v>
      </c>
      <c r="AN3065" s="4" t="s">
        <v>63</v>
      </c>
      <c r="AO3065" s="4" t="s">
        <v>63</v>
      </c>
      <c r="AP3065" s="4" t="s">
        <v>63</v>
      </c>
      <c r="AQ3065" s="4" t="s">
        <v>63</v>
      </c>
      <c r="AR3065" s="4" t="s">
        <v>63</v>
      </c>
      <c r="AS3065" s="4" t="s">
        <v>63</v>
      </c>
      <c r="AT3065" s="4" t="s">
        <v>63</v>
      </c>
      <c r="AU3065" s="4" t="s">
        <v>63</v>
      </c>
      <c r="AV3065" s="4" t="s">
        <v>63</v>
      </c>
      <c r="AW3065" s="4" t="s">
        <v>63</v>
      </c>
      <c r="AX3065" s="4" t="s">
        <v>63</v>
      </c>
      <c r="AY3065" s="4" t="s">
        <v>63</v>
      </c>
      <c r="AZ3065" s="4" t="s">
        <v>63</v>
      </c>
      <c r="BA3065" s="4" t="s">
        <v>63</v>
      </c>
      <c r="BB3065" s="4" t="s">
        <v>63</v>
      </c>
      <c r="BC3065" s="4" t="s">
        <v>63</v>
      </c>
      <c r="BD3065" s="4" t="s">
        <v>63</v>
      </c>
      <c r="BE3065" s="4" t="s">
        <v>63</v>
      </c>
      <c r="BF3065" s="4" t="s">
        <v>63</v>
      </c>
    </row>
    <row r="3066" spans="1:58">
      <c r="A3066" s="4" t="s">
        <v>58</v>
      </c>
      <c r="B3066" s="4" t="s">
        <v>24983</v>
      </c>
      <c r="C3066" s="4" t="s">
        <v>24984</v>
      </c>
      <c r="D3066" s="4" t="s">
        <v>371</v>
      </c>
      <c r="E3066" s="4" t="s">
        <v>63</v>
      </c>
      <c r="F3066" s="4">
        <v>2010</v>
      </c>
      <c r="G3066" s="4" t="s">
        <v>73</v>
      </c>
      <c r="H3066" s="4">
        <v>25</v>
      </c>
      <c r="I3066" s="4" t="s">
        <v>63</v>
      </c>
      <c r="J3066" s="4">
        <v>437</v>
      </c>
      <c r="K3066" s="4">
        <v>437</v>
      </c>
      <c r="L3066" s="4" t="s">
        <v>63</v>
      </c>
      <c r="M3066" s="4" t="s">
        <v>63</v>
      </c>
      <c r="N3066" s="4" t="s">
        <v>24985</v>
      </c>
      <c r="O3066" s="4" t="s">
        <v>63</v>
      </c>
      <c r="P3066" s="4"/>
      <c r="Q3066" s="4" t="s">
        <v>63</v>
      </c>
      <c r="R3066" s="4" t="s">
        <v>63</v>
      </c>
      <c r="S3066" s="4" t="s">
        <v>63</v>
      </c>
      <c r="T3066" s="4" t="s">
        <v>63</v>
      </c>
      <c r="U3066" s="4"/>
      <c r="V3066" s="4"/>
      <c r="W3066" s="4"/>
      <c r="X3066" s="4" t="s">
        <v>63</v>
      </c>
      <c r="Y3066" s="4" t="s">
        <v>375</v>
      </c>
      <c r="Z3066" s="4" t="s">
        <v>63</v>
      </c>
      <c r="AA3066" s="4" t="s">
        <v>24986</v>
      </c>
      <c r="AB3066" s="4" t="s">
        <v>24987</v>
      </c>
      <c r="AC3066" s="4" t="s">
        <v>67</v>
      </c>
      <c r="AD3066" s="4" t="s">
        <v>63</v>
      </c>
      <c r="AE3066" s="4" t="s">
        <v>63</v>
      </c>
      <c r="AF3066" s="4" t="s">
        <v>63</v>
      </c>
      <c r="AG3066" s="4" t="s">
        <v>63</v>
      </c>
      <c r="AH3066" s="4" t="s">
        <v>63</v>
      </c>
      <c r="AI3066" s="4" t="s">
        <v>63</v>
      </c>
      <c r="AJ3066" s="4" t="s">
        <v>63</v>
      </c>
      <c r="AK3066" s="4" t="s">
        <v>63</v>
      </c>
      <c r="AL3066" s="4" t="s">
        <v>63</v>
      </c>
      <c r="AM3066" s="4" t="s">
        <v>24984</v>
      </c>
      <c r="AN3066" s="4" t="s">
        <v>63</v>
      </c>
      <c r="AO3066" s="4" t="s">
        <v>63</v>
      </c>
      <c r="AP3066" s="4" t="s">
        <v>63</v>
      </c>
      <c r="AQ3066" s="4" t="s">
        <v>63</v>
      </c>
      <c r="AR3066" s="4" t="s">
        <v>63</v>
      </c>
      <c r="AS3066" s="4" t="s">
        <v>63</v>
      </c>
      <c r="AT3066" s="4" t="s">
        <v>63</v>
      </c>
      <c r="AU3066" s="4" t="s">
        <v>63</v>
      </c>
      <c r="AV3066" s="4" t="s">
        <v>63</v>
      </c>
      <c r="AW3066" s="4" t="s">
        <v>63</v>
      </c>
      <c r="AX3066" s="4" t="s">
        <v>63</v>
      </c>
      <c r="AY3066" s="4" t="s">
        <v>63</v>
      </c>
      <c r="AZ3066" s="4" t="s">
        <v>63</v>
      </c>
      <c r="BA3066" s="4" t="s">
        <v>63</v>
      </c>
      <c r="BB3066" s="4" t="s">
        <v>63</v>
      </c>
      <c r="BC3066" s="4" t="s">
        <v>63</v>
      </c>
      <c r="BD3066" s="4" t="s">
        <v>63</v>
      </c>
      <c r="BE3066" s="4" t="s">
        <v>63</v>
      </c>
      <c r="BF3066" s="4" t="s">
        <v>63</v>
      </c>
    </row>
    <row r="3067" spans="1:58">
      <c r="A3067" s="4" t="s">
        <v>58</v>
      </c>
      <c r="B3067" s="4" t="s">
        <v>24988</v>
      </c>
      <c r="C3067" s="4" t="s">
        <v>24989</v>
      </c>
      <c r="D3067" s="4" t="s">
        <v>371</v>
      </c>
      <c r="E3067" s="4" t="s">
        <v>63</v>
      </c>
      <c r="F3067" s="4">
        <v>2016</v>
      </c>
      <c r="G3067" s="4" t="s">
        <v>189</v>
      </c>
      <c r="H3067" s="4">
        <v>31</v>
      </c>
      <c r="I3067" s="4" t="s">
        <v>63</v>
      </c>
      <c r="J3067" s="4" t="s">
        <v>24990</v>
      </c>
      <c r="K3067" s="4" t="s">
        <v>24991</v>
      </c>
      <c r="L3067" s="4" t="s">
        <v>63</v>
      </c>
      <c r="M3067" s="4" t="s">
        <v>63</v>
      </c>
      <c r="N3067" s="4" t="s">
        <v>24992</v>
      </c>
      <c r="O3067" s="4" t="s">
        <v>63</v>
      </c>
      <c r="P3067" s="4"/>
      <c r="Q3067" s="4" t="s">
        <v>63</v>
      </c>
      <c r="R3067" s="4" t="s">
        <v>63</v>
      </c>
      <c r="S3067" s="4" t="s">
        <v>63</v>
      </c>
      <c r="T3067" s="4" t="s">
        <v>63</v>
      </c>
      <c r="U3067" s="4"/>
      <c r="V3067" s="4"/>
      <c r="W3067" s="4"/>
      <c r="X3067" s="4" t="s">
        <v>63</v>
      </c>
      <c r="Y3067" s="4" t="s">
        <v>375</v>
      </c>
      <c r="Z3067" s="4" t="s">
        <v>63</v>
      </c>
      <c r="AA3067" s="4" t="s">
        <v>24993</v>
      </c>
      <c r="AB3067" s="4" t="s">
        <v>24994</v>
      </c>
      <c r="AC3067" s="4" t="s">
        <v>67</v>
      </c>
      <c r="AD3067" s="4" t="s">
        <v>63</v>
      </c>
      <c r="AE3067" s="4" t="s">
        <v>63</v>
      </c>
      <c r="AF3067" s="4" t="s">
        <v>63</v>
      </c>
      <c r="AG3067" s="4" t="s">
        <v>63</v>
      </c>
      <c r="AH3067" s="4" t="s">
        <v>63</v>
      </c>
      <c r="AI3067" s="4" t="s">
        <v>63</v>
      </c>
      <c r="AJ3067" s="4" t="s">
        <v>63</v>
      </c>
      <c r="AK3067" s="4" t="s">
        <v>63</v>
      </c>
      <c r="AL3067" s="4" t="s">
        <v>63</v>
      </c>
      <c r="AM3067" s="4" t="s">
        <v>24989</v>
      </c>
      <c r="AN3067" s="4" t="s">
        <v>63</v>
      </c>
      <c r="AO3067" s="4" t="s">
        <v>63</v>
      </c>
      <c r="AP3067" s="4" t="s">
        <v>63</v>
      </c>
      <c r="AQ3067" s="4" t="s">
        <v>63</v>
      </c>
      <c r="AR3067" s="4" t="s">
        <v>63</v>
      </c>
      <c r="AS3067" s="4" t="s">
        <v>63</v>
      </c>
      <c r="AT3067" s="4" t="s">
        <v>63</v>
      </c>
      <c r="AU3067" s="4" t="s">
        <v>63</v>
      </c>
      <c r="AV3067" s="4" t="s">
        <v>63</v>
      </c>
      <c r="AW3067" s="4" t="s">
        <v>63</v>
      </c>
      <c r="AX3067" s="4" t="s">
        <v>63</v>
      </c>
      <c r="AY3067" s="4" t="s">
        <v>63</v>
      </c>
      <c r="AZ3067" s="4" t="s">
        <v>63</v>
      </c>
      <c r="BA3067" s="4" t="s">
        <v>63</v>
      </c>
      <c r="BB3067" s="4" t="s">
        <v>63</v>
      </c>
      <c r="BC3067" s="4" t="s">
        <v>63</v>
      </c>
      <c r="BD3067" s="4" t="s">
        <v>63</v>
      </c>
      <c r="BE3067" s="4" t="s">
        <v>63</v>
      </c>
      <c r="BF3067" s="4" t="s">
        <v>63</v>
      </c>
    </row>
    <row r="3068" spans="1:58">
      <c r="A3068" s="4" t="s">
        <v>58</v>
      </c>
      <c r="B3068" s="4" t="s">
        <v>24995</v>
      </c>
      <c r="C3068" s="4" t="s">
        <v>24996</v>
      </c>
      <c r="D3068" s="4" t="s">
        <v>1184</v>
      </c>
      <c r="E3068" s="4" t="s">
        <v>1185</v>
      </c>
      <c r="F3068" s="4">
        <v>1953</v>
      </c>
      <c r="G3068" s="4" t="s">
        <v>181</v>
      </c>
      <c r="H3068" s="4">
        <v>28</v>
      </c>
      <c r="I3068" s="4">
        <v>9</v>
      </c>
      <c r="J3068" s="4">
        <v>77</v>
      </c>
      <c r="K3068" s="4">
        <v>77</v>
      </c>
      <c r="L3068" s="4" t="s">
        <v>63</v>
      </c>
      <c r="M3068" s="4" t="s">
        <v>63</v>
      </c>
      <c r="N3068" s="4" t="s">
        <v>24997</v>
      </c>
      <c r="O3068" s="4" t="s">
        <v>63</v>
      </c>
      <c r="P3068" s="4"/>
      <c r="Q3068" s="4" t="s">
        <v>63</v>
      </c>
      <c r="R3068" s="4" t="s">
        <v>63</v>
      </c>
      <c r="S3068" s="4" t="s">
        <v>63</v>
      </c>
      <c r="T3068" s="4" t="s">
        <v>63</v>
      </c>
      <c r="U3068" s="4"/>
      <c r="V3068" s="4"/>
      <c r="W3068" s="4"/>
      <c r="X3068" s="4" t="s">
        <v>63</v>
      </c>
      <c r="Y3068" s="4" t="s">
        <v>1188</v>
      </c>
      <c r="Z3068" s="4" t="s">
        <v>63</v>
      </c>
      <c r="AA3068" s="4" t="s">
        <v>63</v>
      </c>
      <c r="AB3068" s="4" t="s">
        <v>24998</v>
      </c>
      <c r="AC3068" s="4" t="s">
        <v>67</v>
      </c>
      <c r="AD3068" s="4" t="s">
        <v>63</v>
      </c>
      <c r="AE3068" s="4" t="s">
        <v>63</v>
      </c>
      <c r="AF3068" s="4" t="s">
        <v>63</v>
      </c>
      <c r="AG3068" s="4" t="s">
        <v>63</v>
      </c>
      <c r="AH3068" s="4" t="s">
        <v>63</v>
      </c>
      <c r="AI3068" s="4" t="s">
        <v>63</v>
      </c>
      <c r="AJ3068" s="4" t="s">
        <v>63</v>
      </c>
      <c r="AK3068" s="4" t="s">
        <v>63</v>
      </c>
      <c r="AL3068" s="4" t="s">
        <v>63</v>
      </c>
      <c r="AM3068" s="4" t="s">
        <v>24996</v>
      </c>
      <c r="AN3068" s="4" t="s">
        <v>63</v>
      </c>
      <c r="AO3068" s="4" t="s">
        <v>63</v>
      </c>
      <c r="AP3068" s="4" t="s">
        <v>63</v>
      </c>
      <c r="AQ3068" s="4" t="s">
        <v>63</v>
      </c>
      <c r="AR3068" s="4" t="s">
        <v>63</v>
      </c>
      <c r="AS3068" s="4" t="s">
        <v>63</v>
      </c>
      <c r="AT3068" s="4" t="s">
        <v>63</v>
      </c>
      <c r="AU3068" s="4" t="s">
        <v>63</v>
      </c>
      <c r="AV3068" s="4" t="s">
        <v>63</v>
      </c>
      <c r="AW3068" s="4" t="s">
        <v>63</v>
      </c>
      <c r="AX3068" s="4" t="s">
        <v>63</v>
      </c>
      <c r="AY3068" s="4" t="s">
        <v>63</v>
      </c>
      <c r="AZ3068" s="4" t="s">
        <v>63</v>
      </c>
      <c r="BA3068" s="4" t="s">
        <v>63</v>
      </c>
      <c r="BB3068" s="4" t="s">
        <v>63</v>
      </c>
      <c r="BC3068" s="4" t="s">
        <v>63</v>
      </c>
      <c r="BD3068" s="4" t="s">
        <v>63</v>
      </c>
      <c r="BE3068" s="4" t="s">
        <v>63</v>
      </c>
      <c r="BF3068" s="4" t="s">
        <v>63</v>
      </c>
    </row>
    <row r="3069" spans="1:58">
      <c r="A3069" s="4" t="s">
        <v>58</v>
      </c>
      <c r="B3069" s="4" t="s">
        <v>24999</v>
      </c>
      <c r="C3069" s="4" t="s">
        <v>25000</v>
      </c>
      <c r="D3069" s="4" t="s">
        <v>603</v>
      </c>
      <c r="E3069" s="4" t="s">
        <v>604</v>
      </c>
      <c r="F3069" s="4">
        <v>2005</v>
      </c>
      <c r="G3069" s="4" t="s">
        <v>181</v>
      </c>
      <c r="H3069" s="4">
        <v>97</v>
      </c>
      <c r="I3069" s="4">
        <v>9</v>
      </c>
      <c r="J3069" s="4">
        <v>1312</v>
      </c>
      <c r="K3069" s="4">
        <v>1312</v>
      </c>
      <c r="L3069" s="4" t="s">
        <v>63</v>
      </c>
      <c r="M3069" s="4" t="s">
        <v>63</v>
      </c>
      <c r="N3069" s="4" t="s">
        <v>25001</v>
      </c>
      <c r="O3069" s="4" t="s">
        <v>63</v>
      </c>
      <c r="P3069" s="4"/>
      <c r="Q3069" s="4" t="s">
        <v>63</v>
      </c>
      <c r="R3069" s="4" t="s">
        <v>63</v>
      </c>
      <c r="S3069" s="4" t="s">
        <v>63</v>
      </c>
      <c r="T3069" s="4" t="s">
        <v>63</v>
      </c>
      <c r="U3069" s="4"/>
      <c r="V3069" s="4"/>
      <c r="W3069" s="4"/>
      <c r="X3069" s="4" t="s">
        <v>63</v>
      </c>
      <c r="Y3069" s="4" t="s">
        <v>608</v>
      </c>
      <c r="Z3069" s="4" t="s">
        <v>63</v>
      </c>
      <c r="AA3069" s="4" t="s">
        <v>63</v>
      </c>
      <c r="AB3069" s="4" t="s">
        <v>25002</v>
      </c>
      <c r="AC3069" s="4" t="s">
        <v>67</v>
      </c>
      <c r="AD3069" s="4" t="s">
        <v>63</v>
      </c>
      <c r="AE3069" s="4" t="s">
        <v>63</v>
      </c>
      <c r="AF3069" s="4" t="s">
        <v>63</v>
      </c>
      <c r="AG3069" s="4" t="s">
        <v>63</v>
      </c>
      <c r="AH3069" s="4" t="s">
        <v>63</v>
      </c>
      <c r="AI3069" s="4" t="s">
        <v>63</v>
      </c>
      <c r="AJ3069" s="4" t="s">
        <v>63</v>
      </c>
      <c r="AK3069" s="4" t="s">
        <v>63</v>
      </c>
      <c r="AL3069" s="4" t="s">
        <v>63</v>
      </c>
      <c r="AM3069" s="4" t="s">
        <v>25000</v>
      </c>
      <c r="AN3069" s="4" t="s">
        <v>63</v>
      </c>
      <c r="AO3069" s="4" t="s">
        <v>63</v>
      </c>
      <c r="AP3069" s="4" t="s">
        <v>63</v>
      </c>
      <c r="AQ3069" s="4" t="s">
        <v>63</v>
      </c>
      <c r="AR3069" s="4" t="s">
        <v>63</v>
      </c>
      <c r="AS3069" s="4" t="s">
        <v>63</v>
      </c>
      <c r="AT3069" s="4" t="s">
        <v>63</v>
      </c>
      <c r="AU3069" s="4" t="s">
        <v>63</v>
      </c>
      <c r="AV3069" s="4" t="s">
        <v>63</v>
      </c>
      <c r="AW3069" s="4" t="s">
        <v>63</v>
      </c>
      <c r="AX3069" s="4" t="s">
        <v>63</v>
      </c>
      <c r="AY3069" s="4" t="s">
        <v>63</v>
      </c>
      <c r="AZ3069" s="4" t="s">
        <v>63</v>
      </c>
      <c r="BA3069" s="4" t="s">
        <v>63</v>
      </c>
      <c r="BB3069" s="4" t="s">
        <v>63</v>
      </c>
      <c r="BC3069" s="4" t="s">
        <v>63</v>
      </c>
      <c r="BD3069" s="4" t="s">
        <v>63</v>
      </c>
      <c r="BE3069" s="4" t="s">
        <v>63</v>
      </c>
      <c r="BF3069" s="4" t="s">
        <v>63</v>
      </c>
    </row>
    <row r="3070" spans="1:58">
      <c r="A3070" s="4" t="s">
        <v>58</v>
      </c>
      <c r="B3070" s="4" t="s">
        <v>24999</v>
      </c>
      <c r="C3070" s="4" t="s">
        <v>25003</v>
      </c>
      <c r="D3070" s="4" t="s">
        <v>603</v>
      </c>
      <c r="E3070" s="4" t="s">
        <v>604</v>
      </c>
      <c r="F3070" s="4">
        <v>2005</v>
      </c>
      <c r="G3070" s="4" t="s">
        <v>181</v>
      </c>
      <c r="H3070" s="4">
        <v>97</v>
      </c>
      <c r="I3070" s="4">
        <v>9</v>
      </c>
      <c r="J3070" s="4">
        <v>1312</v>
      </c>
      <c r="K3070" s="4">
        <v>1312</v>
      </c>
      <c r="L3070" s="4" t="s">
        <v>63</v>
      </c>
      <c r="M3070" s="4" t="s">
        <v>63</v>
      </c>
      <c r="N3070" s="4" t="s">
        <v>25004</v>
      </c>
      <c r="O3070" s="4" t="s">
        <v>63</v>
      </c>
      <c r="P3070" s="4"/>
      <c r="Q3070" s="4" t="s">
        <v>63</v>
      </c>
      <c r="R3070" s="4" t="s">
        <v>63</v>
      </c>
      <c r="S3070" s="4" t="s">
        <v>63</v>
      </c>
      <c r="T3070" s="4" t="s">
        <v>63</v>
      </c>
      <c r="U3070" s="4"/>
      <c r="V3070" s="4"/>
      <c r="W3070" s="4"/>
      <c r="X3070" s="4" t="s">
        <v>63</v>
      </c>
      <c r="Y3070" s="4" t="s">
        <v>608</v>
      </c>
      <c r="Z3070" s="4" t="s">
        <v>63</v>
      </c>
      <c r="AA3070" s="4" t="s">
        <v>63</v>
      </c>
      <c r="AB3070" s="4" t="s">
        <v>25005</v>
      </c>
      <c r="AC3070" s="4" t="s">
        <v>67</v>
      </c>
      <c r="AD3070" s="4" t="s">
        <v>63</v>
      </c>
      <c r="AE3070" s="4" t="s">
        <v>63</v>
      </c>
      <c r="AF3070" s="4" t="s">
        <v>63</v>
      </c>
      <c r="AG3070" s="4" t="s">
        <v>63</v>
      </c>
      <c r="AH3070" s="4" t="s">
        <v>63</v>
      </c>
      <c r="AI3070" s="4" t="s">
        <v>63</v>
      </c>
      <c r="AJ3070" s="4" t="s">
        <v>63</v>
      </c>
      <c r="AK3070" s="4" t="s">
        <v>63</v>
      </c>
      <c r="AL3070" s="4" t="s">
        <v>63</v>
      </c>
      <c r="AM3070" s="4" t="s">
        <v>25003</v>
      </c>
      <c r="AN3070" s="4" t="s">
        <v>63</v>
      </c>
      <c r="AO3070" s="4" t="s">
        <v>63</v>
      </c>
      <c r="AP3070" s="4" t="s">
        <v>63</v>
      </c>
      <c r="AQ3070" s="4" t="s">
        <v>63</v>
      </c>
      <c r="AR3070" s="4" t="s">
        <v>63</v>
      </c>
      <c r="AS3070" s="4" t="s">
        <v>63</v>
      </c>
      <c r="AT3070" s="4" t="s">
        <v>63</v>
      </c>
      <c r="AU3070" s="4" t="s">
        <v>63</v>
      </c>
      <c r="AV3070" s="4" t="s">
        <v>63</v>
      </c>
      <c r="AW3070" s="4" t="s">
        <v>63</v>
      </c>
      <c r="AX3070" s="4" t="s">
        <v>63</v>
      </c>
      <c r="AY3070" s="4" t="s">
        <v>63</v>
      </c>
      <c r="AZ3070" s="4" t="s">
        <v>63</v>
      </c>
      <c r="BA3070" s="4" t="s">
        <v>63</v>
      </c>
      <c r="BB3070" s="4" t="s">
        <v>63</v>
      </c>
      <c r="BC3070" s="4" t="s">
        <v>63</v>
      </c>
      <c r="BD3070" s="4" t="s">
        <v>63</v>
      </c>
      <c r="BE3070" s="4" t="s">
        <v>63</v>
      </c>
      <c r="BF3070" s="4" t="s">
        <v>63</v>
      </c>
    </row>
    <row r="3071" spans="1:58">
      <c r="A3071" s="4" t="s">
        <v>58</v>
      </c>
      <c r="B3071" s="4" t="s">
        <v>25006</v>
      </c>
      <c r="C3071" s="4" t="s">
        <v>25007</v>
      </c>
      <c r="D3071" s="4" t="s">
        <v>11901</v>
      </c>
      <c r="E3071" s="4" t="s">
        <v>63</v>
      </c>
      <c r="F3071" s="4">
        <v>2016</v>
      </c>
      <c r="G3071" s="4" t="s">
        <v>198</v>
      </c>
      <c r="H3071" s="4">
        <v>58</v>
      </c>
      <c r="I3071" s="4">
        <v>5</v>
      </c>
      <c r="J3071" s="4" t="s">
        <v>25008</v>
      </c>
      <c r="K3071" s="4" t="s">
        <v>25008</v>
      </c>
      <c r="L3071" s="4" t="s">
        <v>25009</v>
      </c>
      <c r="M3071" s="4" t="s">
        <v>63</v>
      </c>
      <c r="N3071" s="4" t="s">
        <v>25010</v>
      </c>
      <c r="O3071" s="4" t="s">
        <v>63</v>
      </c>
      <c r="P3071" s="4"/>
      <c r="Q3071" s="4" t="s">
        <v>63</v>
      </c>
      <c r="R3071" s="4" t="s">
        <v>63</v>
      </c>
      <c r="S3071" s="4" t="s">
        <v>63</v>
      </c>
      <c r="T3071" s="4" t="s">
        <v>63</v>
      </c>
      <c r="U3071" s="4"/>
      <c r="V3071" s="4"/>
      <c r="W3071" s="4"/>
      <c r="X3071" s="4" t="s">
        <v>63</v>
      </c>
      <c r="Y3071" s="4" t="s">
        <v>11904</v>
      </c>
      <c r="Z3071" s="4" t="s">
        <v>63</v>
      </c>
      <c r="AA3071" s="4" t="s">
        <v>25011</v>
      </c>
      <c r="AB3071" s="4" t="s">
        <v>25012</v>
      </c>
      <c r="AC3071" s="4" t="s">
        <v>67</v>
      </c>
      <c r="AD3071" s="4" t="s">
        <v>63</v>
      </c>
      <c r="AE3071" s="4" t="s">
        <v>63</v>
      </c>
      <c r="AF3071" s="4" t="s">
        <v>63</v>
      </c>
      <c r="AG3071" s="4" t="s">
        <v>63</v>
      </c>
      <c r="AH3071" s="4" t="s">
        <v>63</v>
      </c>
      <c r="AI3071" s="4" t="s">
        <v>63</v>
      </c>
      <c r="AJ3071" s="4" t="s">
        <v>63</v>
      </c>
      <c r="AK3071" s="4" t="s">
        <v>63</v>
      </c>
      <c r="AL3071" s="4" t="s">
        <v>63</v>
      </c>
      <c r="AM3071" s="4" t="s">
        <v>25007</v>
      </c>
      <c r="AN3071" s="4" t="s">
        <v>63</v>
      </c>
      <c r="AO3071" s="4" t="s">
        <v>63</v>
      </c>
      <c r="AP3071" s="4" t="s">
        <v>63</v>
      </c>
      <c r="AQ3071" s="4" t="s">
        <v>63</v>
      </c>
      <c r="AR3071" s="4" t="s">
        <v>63</v>
      </c>
      <c r="AS3071" s="4" t="s">
        <v>63</v>
      </c>
      <c r="AT3071" s="4" t="s">
        <v>63</v>
      </c>
      <c r="AU3071" s="4" t="s">
        <v>63</v>
      </c>
      <c r="AV3071" s="4" t="s">
        <v>63</v>
      </c>
      <c r="AW3071" s="4" t="s">
        <v>63</v>
      </c>
      <c r="AX3071" s="4" t="s">
        <v>63</v>
      </c>
      <c r="AY3071" s="4" t="s">
        <v>63</v>
      </c>
      <c r="AZ3071" s="4" t="s">
        <v>63</v>
      </c>
      <c r="BA3071" s="4" t="s">
        <v>63</v>
      </c>
      <c r="BB3071" s="4" t="s">
        <v>63</v>
      </c>
      <c r="BC3071" s="4" t="s">
        <v>63</v>
      </c>
      <c r="BD3071" s="4" t="s">
        <v>63</v>
      </c>
      <c r="BE3071" s="4" t="s">
        <v>63</v>
      </c>
      <c r="BF3071" s="4" t="s">
        <v>63</v>
      </c>
    </row>
    <row r="3072" spans="1:58">
      <c r="A3072" s="4" t="s">
        <v>58</v>
      </c>
      <c r="B3072" s="4" t="s">
        <v>25013</v>
      </c>
      <c r="C3072" s="4" t="s">
        <v>25014</v>
      </c>
      <c r="D3072" s="4" t="s">
        <v>325</v>
      </c>
      <c r="E3072" s="4" t="s">
        <v>63</v>
      </c>
      <c r="F3072" s="4">
        <v>2015</v>
      </c>
      <c r="G3072" s="4" t="s">
        <v>73</v>
      </c>
      <c r="H3072" s="4">
        <v>39</v>
      </c>
      <c r="I3072" s="4">
        <v>3</v>
      </c>
      <c r="J3072" s="4">
        <v>300</v>
      </c>
      <c r="K3072" s="4">
        <v>304</v>
      </c>
      <c r="L3072" s="4" t="s">
        <v>25015</v>
      </c>
      <c r="M3072" s="4" t="s">
        <v>25016</v>
      </c>
      <c r="N3072" s="4" t="s">
        <v>25017</v>
      </c>
      <c r="O3072" s="4" t="s">
        <v>63</v>
      </c>
      <c r="P3072" s="4"/>
      <c r="Q3072" s="4" t="s">
        <v>63</v>
      </c>
      <c r="R3072" s="4" t="s">
        <v>63</v>
      </c>
      <c r="S3072" s="4" t="s">
        <v>63</v>
      </c>
      <c r="T3072" s="4" t="s">
        <v>63</v>
      </c>
      <c r="U3072" s="4"/>
      <c r="V3072" s="4"/>
      <c r="W3072" s="4"/>
      <c r="X3072" s="4" t="s">
        <v>63</v>
      </c>
      <c r="Y3072" s="4" t="s">
        <v>866</v>
      </c>
      <c r="Z3072" s="4" t="s">
        <v>63</v>
      </c>
      <c r="AA3072" s="4" t="s">
        <v>25018</v>
      </c>
      <c r="AB3072" s="4" t="s">
        <v>25019</v>
      </c>
      <c r="AC3072" s="4" t="s">
        <v>67</v>
      </c>
      <c r="AD3072" s="4" t="s">
        <v>63</v>
      </c>
      <c r="AE3072" s="4" t="s">
        <v>63</v>
      </c>
      <c r="AF3072" s="4" t="s">
        <v>63</v>
      </c>
      <c r="AG3072" s="4" t="s">
        <v>63</v>
      </c>
      <c r="AH3072" s="4" t="s">
        <v>63</v>
      </c>
      <c r="AI3072" s="4" t="s">
        <v>25020</v>
      </c>
      <c r="AJ3072" s="4" t="s">
        <v>63</v>
      </c>
      <c r="AK3072" s="4" t="s">
        <v>63</v>
      </c>
      <c r="AL3072" s="4" t="s">
        <v>63</v>
      </c>
      <c r="AM3072" s="4" t="s">
        <v>25014</v>
      </c>
      <c r="AN3072" s="4" t="s">
        <v>63</v>
      </c>
      <c r="AO3072" s="4" t="s">
        <v>63</v>
      </c>
      <c r="AP3072" s="4" t="s">
        <v>63</v>
      </c>
      <c r="AQ3072" s="4" t="s">
        <v>63</v>
      </c>
      <c r="AR3072" s="4" t="s">
        <v>63</v>
      </c>
      <c r="AS3072" s="4" t="s">
        <v>63</v>
      </c>
      <c r="AT3072" s="4" t="s">
        <v>63</v>
      </c>
      <c r="AU3072" s="4" t="s">
        <v>63</v>
      </c>
      <c r="AV3072" s="4" t="s">
        <v>63</v>
      </c>
      <c r="AW3072" s="4" t="s">
        <v>63</v>
      </c>
      <c r="AX3072" s="4" t="s">
        <v>63</v>
      </c>
      <c r="AY3072" s="4" t="s">
        <v>63</v>
      </c>
      <c r="AZ3072" s="4" t="s">
        <v>63</v>
      </c>
      <c r="BA3072" s="4" t="s">
        <v>63</v>
      </c>
      <c r="BB3072" s="4" t="s">
        <v>63</v>
      </c>
      <c r="BC3072" s="4" t="s">
        <v>63</v>
      </c>
      <c r="BD3072" s="4" t="s">
        <v>63</v>
      </c>
      <c r="BE3072" s="4" t="s">
        <v>63</v>
      </c>
      <c r="BF3072" s="4" t="s">
        <v>63</v>
      </c>
    </row>
    <row r="3073" spans="1:58">
      <c r="A3073" s="4" t="s">
        <v>58</v>
      </c>
      <c r="B3073" s="4" t="s">
        <v>25021</v>
      </c>
      <c r="C3073" s="4" t="s">
        <v>25022</v>
      </c>
      <c r="D3073" s="4" t="s">
        <v>938</v>
      </c>
      <c r="E3073" s="4" t="s">
        <v>63</v>
      </c>
      <c r="F3073" s="4">
        <v>2015</v>
      </c>
      <c r="G3073" s="4" t="s">
        <v>198</v>
      </c>
      <c r="H3073" s="4">
        <v>24</v>
      </c>
      <c r="I3073" s="4">
        <v>1</v>
      </c>
      <c r="J3073" s="4">
        <v>83</v>
      </c>
      <c r="K3073" s="4">
        <v>83</v>
      </c>
      <c r="L3073" s="4" t="s">
        <v>63</v>
      </c>
      <c r="M3073" s="4" t="s">
        <v>63</v>
      </c>
      <c r="N3073" s="4" t="s">
        <v>25023</v>
      </c>
      <c r="O3073" s="4" t="s">
        <v>63</v>
      </c>
      <c r="P3073" s="4"/>
      <c r="Q3073" s="4" t="s">
        <v>63</v>
      </c>
      <c r="R3073" s="4" t="s">
        <v>63</v>
      </c>
      <c r="S3073" s="4" t="s">
        <v>63</v>
      </c>
      <c r="T3073" s="4" t="s">
        <v>63</v>
      </c>
      <c r="U3073" s="4"/>
      <c r="V3073" s="4"/>
      <c r="W3073" s="4"/>
      <c r="X3073" s="4" t="s">
        <v>63</v>
      </c>
      <c r="Y3073" s="4" t="s">
        <v>2500</v>
      </c>
      <c r="Z3073" s="4" t="s">
        <v>63</v>
      </c>
      <c r="AA3073" s="4" t="s">
        <v>25024</v>
      </c>
      <c r="AB3073" s="4" t="s">
        <v>25025</v>
      </c>
      <c r="AC3073" s="4" t="s">
        <v>67</v>
      </c>
      <c r="AD3073" s="4" t="s">
        <v>63</v>
      </c>
      <c r="AE3073" s="4" t="s">
        <v>63</v>
      </c>
      <c r="AF3073" s="4" t="s">
        <v>63</v>
      </c>
      <c r="AG3073" s="4" t="s">
        <v>63</v>
      </c>
      <c r="AH3073" s="4" t="s">
        <v>63</v>
      </c>
      <c r="AI3073" s="4" t="s">
        <v>63</v>
      </c>
      <c r="AJ3073" s="4" t="s">
        <v>63</v>
      </c>
      <c r="AK3073" s="4" t="s">
        <v>63</v>
      </c>
      <c r="AL3073" s="4" t="s">
        <v>63</v>
      </c>
      <c r="AM3073" s="4" t="s">
        <v>25022</v>
      </c>
      <c r="AN3073" s="4" t="s">
        <v>63</v>
      </c>
      <c r="AO3073" s="4" t="s">
        <v>63</v>
      </c>
      <c r="AP3073" s="4" t="s">
        <v>63</v>
      </c>
      <c r="AQ3073" s="4" t="s">
        <v>63</v>
      </c>
      <c r="AR3073" s="4" t="s">
        <v>63</v>
      </c>
      <c r="AS3073" s="4" t="s">
        <v>63</v>
      </c>
      <c r="AT3073" s="4" t="s">
        <v>63</v>
      </c>
      <c r="AU3073" s="4" t="s">
        <v>63</v>
      </c>
      <c r="AV3073" s="4" t="s">
        <v>63</v>
      </c>
      <c r="AW3073" s="4" t="s">
        <v>63</v>
      </c>
      <c r="AX3073" s="4" t="s">
        <v>63</v>
      </c>
      <c r="AY3073" s="4" t="s">
        <v>63</v>
      </c>
      <c r="AZ3073" s="4" t="s">
        <v>63</v>
      </c>
      <c r="BA3073" s="4" t="s">
        <v>63</v>
      </c>
      <c r="BB3073" s="4" t="s">
        <v>63</v>
      </c>
      <c r="BC3073" s="4" t="s">
        <v>63</v>
      </c>
      <c r="BD3073" s="4" t="s">
        <v>63</v>
      </c>
      <c r="BE3073" s="4" t="s">
        <v>63</v>
      </c>
      <c r="BF3073" s="4" t="s">
        <v>63</v>
      </c>
    </row>
    <row r="3074" spans="1:58">
      <c r="A3074" s="4" t="s">
        <v>58</v>
      </c>
      <c r="B3074" s="4" t="s">
        <v>25026</v>
      </c>
      <c r="C3074" s="4" t="s">
        <v>25027</v>
      </c>
      <c r="D3074" s="4" t="s">
        <v>18831</v>
      </c>
      <c r="E3074" s="4" t="s">
        <v>63</v>
      </c>
      <c r="F3074" s="4">
        <v>2012</v>
      </c>
      <c r="G3074" s="4" t="s">
        <v>138</v>
      </c>
      <c r="H3074" s="4">
        <v>22</v>
      </c>
      <c r="I3074" s="4" t="s">
        <v>63</v>
      </c>
      <c r="J3074" s="4" t="s">
        <v>22266</v>
      </c>
      <c r="K3074" s="4" t="s">
        <v>25028</v>
      </c>
      <c r="L3074" s="4" t="s">
        <v>63</v>
      </c>
      <c r="M3074" s="4" t="s">
        <v>63</v>
      </c>
      <c r="N3074" s="4" t="s">
        <v>25029</v>
      </c>
      <c r="O3074" s="4" t="s">
        <v>63</v>
      </c>
      <c r="P3074" s="4"/>
      <c r="Q3074" s="4" t="s">
        <v>63</v>
      </c>
      <c r="R3074" s="4" t="s">
        <v>63</v>
      </c>
      <c r="S3074" s="4" t="s">
        <v>63</v>
      </c>
      <c r="T3074" s="4" t="s">
        <v>63</v>
      </c>
      <c r="U3074" s="4"/>
      <c r="V3074" s="4"/>
      <c r="W3074" s="4"/>
      <c r="X3074" s="4" t="s">
        <v>63</v>
      </c>
      <c r="Y3074" s="4" t="s">
        <v>18838</v>
      </c>
      <c r="Z3074" s="4" t="s">
        <v>63</v>
      </c>
      <c r="AA3074" s="4" t="s">
        <v>25030</v>
      </c>
      <c r="AB3074" s="4" t="s">
        <v>25031</v>
      </c>
      <c r="AC3074" s="4" t="s">
        <v>67</v>
      </c>
      <c r="AD3074" s="4" t="s">
        <v>63</v>
      </c>
      <c r="AE3074" s="4" t="s">
        <v>63</v>
      </c>
      <c r="AF3074" s="4" t="s">
        <v>63</v>
      </c>
      <c r="AG3074" s="4" t="s">
        <v>63</v>
      </c>
      <c r="AH3074" s="4" t="s">
        <v>63</v>
      </c>
      <c r="AI3074" s="4" t="s">
        <v>25032</v>
      </c>
      <c r="AJ3074" s="4" t="s">
        <v>63</v>
      </c>
      <c r="AK3074" s="4" t="s">
        <v>63</v>
      </c>
      <c r="AL3074" s="4" t="s">
        <v>63</v>
      </c>
      <c r="AM3074" s="4" t="s">
        <v>25027</v>
      </c>
      <c r="AN3074" s="4" t="s">
        <v>63</v>
      </c>
      <c r="AO3074" s="4" t="s">
        <v>63</v>
      </c>
      <c r="AP3074" s="4" t="s">
        <v>63</v>
      </c>
      <c r="AQ3074" s="4" t="s">
        <v>63</v>
      </c>
      <c r="AR3074" s="4" t="s">
        <v>63</v>
      </c>
      <c r="AS3074" s="4" t="s">
        <v>63</v>
      </c>
      <c r="AT3074" s="4" t="s">
        <v>63</v>
      </c>
      <c r="AU3074" s="4" t="s">
        <v>63</v>
      </c>
      <c r="AV3074" s="4" t="s">
        <v>63</v>
      </c>
      <c r="AW3074" s="4" t="s">
        <v>63</v>
      </c>
      <c r="AX3074" s="4" t="s">
        <v>63</v>
      </c>
      <c r="AY3074" s="4" t="s">
        <v>63</v>
      </c>
      <c r="AZ3074" s="4" t="s">
        <v>63</v>
      </c>
      <c r="BA3074" s="4" t="s">
        <v>63</v>
      </c>
      <c r="BB3074" s="4" t="s">
        <v>63</v>
      </c>
      <c r="BC3074" s="4" t="s">
        <v>63</v>
      </c>
      <c r="BD3074" s="4" t="s">
        <v>63</v>
      </c>
      <c r="BE3074" s="4" t="s">
        <v>63</v>
      </c>
      <c r="BF3074" s="4" t="s">
        <v>63</v>
      </c>
    </row>
    <row r="3075" spans="1:58">
      <c r="A3075" s="4" t="s">
        <v>58</v>
      </c>
      <c r="B3075" s="4" t="s">
        <v>25033</v>
      </c>
      <c r="C3075" s="4" t="s">
        <v>25034</v>
      </c>
      <c r="D3075" s="4" t="s">
        <v>19240</v>
      </c>
      <c r="E3075" s="4" t="s">
        <v>19240</v>
      </c>
      <c r="F3075" s="4">
        <v>2014</v>
      </c>
      <c r="G3075" s="4" t="s">
        <v>1085</v>
      </c>
      <c r="H3075" s="4">
        <v>26</v>
      </c>
      <c r="I3075" s="4">
        <v>5</v>
      </c>
      <c r="J3075" s="4">
        <v>613</v>
      </c>
      <c r="K3075" s="4">
        <v>620</v>
      </c>
      <c r="L3075" s="4" t="s">
        <v>25035</v>
      </c>
      <c r="M3075" s="4" t="s">
        <v>25036</v>
      </c>
      <c r="N3075" s="4" t="s">
        <v>25037</v>
      </c>
      <c r="O3075" s="4" t="s">
        <v>63</v>
      </c>
      <c r="P3075" s="4"/>
      <c r="Q3075" s="4" t="s">
        <v>63</v>
      </c>
      <c r="R3075" s="4" t="s">
        <v>63</v>
      </c>
      <c r="S3075" s="4" t="s">
        <v>63</v>
      </c>
      <c r="T3075" s="4" t="s">
        <v>63</v>
      </c>
      <c r="U3075" s="4"/>
      <c r="V3075" s="4"/>
      <c r="W3075" s="4"/>
      <c r="X3075" s="4" t="s">
        <v>63</v>
      </c>
      <c r="Y3075" s="4" t="s">
        <v>1636</v>
      </c>
      <c r="Z3075" s="4" t="s">
        <v>63</v>
      </c>
      <c r="AA3075" s="4" t="s">
        <v>25038</v>
      </c>
      <c r="AB3075" s="4" t="s">
        <v>25039</v>
      </c>
      <c r="AC3075" s="4" t="s">
        <v>1371</v>
      </c>
      <c r="AD3075" s="4" t="s">
        <v>63</v>
      </c>
      <c r="AE3075" s="4" t="s">
        <v>63</v>
      </c>
      <c r="AF3075" s="4" t="s">
        <v>63</v>
      </c>
      <c r="AG3075" s="4" t="s">
        <v>63</v>
      </c>
      <c r="AH3075" s="4" t="s">
        <v>63</v>
      </c>
      <c r="AI3075" s="4" t="s">
        <v>25040</v>
      </c>
      <c r="AJ3075" s="4" t="s">
        <v>63</v>
      </c>
      <c r="AK3075" s="4" t="s">
        <v>63</v>
      </c>
      <c r="AL3075" s="4" t="s">
        <v>63</v>
      </c>
      <c r="AM3075" s="4" t="s">
        <v>25034</v>
      </c>
      <c r="AN3075" s="4" t="s">
        <v>63</v>
      </c>
      <c r="AO3075" s="4" t="s">
        <v>63</v>
      </c>
      <c r="AP3075" s="4" t="s">
        <v>63</v>
      </c>
      <c r="AQ3075" s="4" t="s">
        <v>63</v>
      </c>
      <c r="AR3075" s="4" t="s">
        <v>63</v>
      </c>
      <c r="AS3075" s="4" t="s">
        <v>63</v>
      </c>
      <c r="AT3075" s="4" t="s">
        <v>63</v>
      </c>
      <c r="AU3075" s="4" t="s">
        <v>63</v>
      </c>
      <c r="AV3075" s="4" t="s">
        <v>63</v>
      </c>
      <c r="AW3075" s="4" t="s">
        <v>63</v>
      </c>
      <c r="AX3075" s="4" t="s">
        <v>63</v>
      </c>
      <c r="AY3075" s="4" t="s">
        <v>63</v>
      </c>
      <c r="AZ3075" s="4" t="s">
        <v>63</v>
      </c>
      <c r="BA3075" s="4" t="s">
        <v>63</v>
      </c>
      <c r="BB3075" s="4" t="s">
        <v>63</v>
      </c>
      <c r="BC3075" s="4" t="s">
        <v>63</v>
      </c>
      <c r="BD3075" s="4" t="s">
        <v>63</v>
      </c>
      <c r="BE3075" s="4" t="s">
        <v>63</v>
      </c>
      <c r="BF3075" s="4" t="s">
        <v>63</v>
      </c>
    </row>
    <row r="3076" spans="1:58">
      <c r="A3076" s="4" t="s">
        <v>58</v>
      </c>
      <c r="B3076" s="4" t="s">
        <v>25041</v>
      </c>
      <c r="C3076" s="4" t="s">
        <v>8424</v>
      </c>
      <c r="D3076" s="4" t="s">
        <v>371</v>
      </c>
      <c r="E3076" s="4" t="s">
        <v>63</v>
      </c>
      <c r="F3076" s="4">
        <v>2005</v>
      </c>
      <c r="G3076" s="4" t="s">
        <v>84</v>
      </c>
      <c r="H3076" s="4">
        <v>20</v>
      </c>
      <c r="I3076" s="4" t="s">
        <v>63</v>
      </c>
      <c r="J3076" s="4">
        <v>178</v>
      </c>
      <c r="K3076" s="4">
        <v>178</v>
      </c>
      <c r="L3076" s="4" t="s">
        <v>63</v>
      </c>
      <c r="M3076" s="4" t="s">
        <v>63</v>
      </c>
      <c r="N3076" s="4" t="s">
        <v>25042</v>
      </c>
      <c r="O3076" s="4" t="s">
        <v>63</v>
      </c>
      <c r="P3076" s="4"/>
      <c r="Q3076" s="4" t="s">
        <v>63</v>
      </c>
      <c r="R3076" s="4" t="s">
        <v>63</v>
      </c>
      <c r="S3076" s="4" t="s">
        <v>63</v>
      </c>
      <c r="T3076" s="4" t="s">
        <v>63</v>
      </c>
      <c r="U3076" s="4"/>
      <c r="V3076" s="4"/>
      <c r="W3076" s="4"/>
      <c r="X3076" s="4" t="s">
        <v>63</v>
      </c>
      <c r="Y3076" s="4" t="s">
        <v>375</v>
      </c>
      <c r="Z3076" s="4" t="s">
        <v>63</v>
      </c>
      <c r="AA3076" s="4" t="s">
        <v>25043</v>
      </c>
      <c r="AB3076" s="4" t="s">
        <v>25044</v>
      </c>
      <c r="AC3076" s="4" t="s">
        <v>67</v>
      </c>
      <c r="AD3076" s="4" t="s">
        <v>63</v>
      </c>
      <c r="AE3076" s="4" t="s">
        <v>63</v>
      </c>
      <c r="AF3076" s="4" t="s">
        <v>63</v>
      </c>
      <c r="AG3076" s="4" t="s">
        <v>63</v>
      </c>
      <c r="AH3076" s="4" t="s">
        <v>63</v>
      </c>
      <c r="AI3076" s="4" t="s">
        <v>63</v>
      </c>
      <c r="AJ3076" s="4" t="s">
        <v>63</v>
      </c>
      <c r="AK3076" s="4" t="s">
        <v>63</v>
      </c>
      <c r="AL3076" s="4" t="s">
        <v>63</v>
      </c>
      <c r="AM3076" s="4" t="s">
        <v>8424</v>
      </c>
      <c r="AN3076" s="4" t="s">
        <v>63</v>
      </c>
      <c r="AO3076" s="4" t="s">
        <v>63</v>
      </c>
      <c r="AP3076" s="4" t="s">
        <v>63</v>
      </c>
      <c r="AQ3076" s="4" t="s">
        <v>63</v>
      </c>
      <c r="AR3076" s="4" t="s">
        <v>63</v>
      </c>
      <c r="AS3076" s="4" t="s">
        <v>63</v>
      </c>
      <c r="AT3076" s="4" t="s">
        <v>63</v>
      </c>
      <c r="AU3076" s="4" t="s">
        <v>63</v>
      </c>
      <c r="AV3076" s="4" t="s">
        <v>63</v>
      </c>
      <c r="AW3076" s="4" t="s">
        <v>63</v>
      </c>
      <c r="AX3076" s="4" t="s">
        <v>63</v>
      </c>
      <c r="AY3076" s="4" t="s">
        <v>63</v>
      </c>
      <c r="AZ3076" s="4" t="s">
        <v>63</v>
      </c>
      <c r="BA3076" s="4" t="s">
        <v>63</v>
      </c>
      <c r="BB3076" s="4" t="s">
        <v>63</v>
      </c>
      <c r="BC3076" s="4" t="s">
        <v>63</v>
      </c>
      <c r="BD3076" s="4" t="s">
        <v>63</v>
      </c>
      <c r="BE3076" s="4" t="s">
        <v>63</v>
      </c>
      <c r="BF3076" s="4" t="s">
        <v>63</v>
      </c>
    </row>
    <row r="3077" spans="1:58">
      <c r="A3077" s="4" t="s">
        <v>58</v>
      </c>
      <c r="B3077" s="4" t="s">
        <v>25045</v>
      </c>
      <c r="C3077" s="4" t="s">
        <v>25046</v>
      </c>
      <c r="D3077" s="4" t="s">
        <v>18941</v>
      </c>
      <c r="E3077" s="4" t="s">
        <v>18942</v>
      </c>
      <c r="F3077" s="4">
        <v>2016</v>
      </c>
      <c r="G3077" s="4" t="s">
        <v>63</v>
      </c>
      <c r="H3077" s="4">
        <v>54</v>
      </c>
      <c r="I3077" s="4">
        <v>4</v>
      </c>
      <c r="J3077" s="4">
        <v>403</v>
      </c>
      <c r="K3077" s="4">
        <v>403</v>
      </c>
      <c r="L3077" s="4" t="s">
        <v>25047</v>
      </c>
      <c r="M3077" s="4" t="s">
        <v>63</v>
      </c>
      <c r="N3077" s="4" t="s">
        <v>25048</v>
      </c>
      <c r="O3077" s="4" t="s">
        <v>63</v>
      </c>
      <c r="P3077" s="4"/>
      <c r="Q3077" s="4" t="s">
        <v>63</v>
      </c>
      <c r="R3077" s="4" t="s">
        <v>63</v>
      </c>
      <c r="S3077" s="4" t="s">
        <v>63</v>
      </c>
      <c r="T3077" s="4" t="s">
        <v>63</v>
      </c>
      <c r="U3077" s="4"/>
      <c r="V3077" s="4"/>
      <c r="W3077" s="4"/>
      <c r="X3077" s="4" t="s">
        <v>63</v>
      </c>
      <c r="Y3077" s="4" t="s">
        <v>19500</v>
      </c>
      <c r="Z3077" s="4" t="s">
        <v>63</v>
      </c>
      <c r="AA3077" s="4" t="s">
        <v>25049</v>
      </c>
      <c r="AB3077" s="4" t="s">
        <v>25050</v>
      </c>
      <c r="AC3077" s="4" t="s">
        <v>67</v>
      </c>
      <c r="AD3077" s="4" t="s">
        <v>63</v>
      </c>
      <c r="AE3077" s="4" t="s">
        <v>63</v>
      </c>
      <c r="AF3077" s="4" t="s">
        <v>63</v>
      </c>
      <c r="AG3077" s="4" t="s">
        <v>63</v>
      </c>
      <c r="AH3077" s="4" t="s">
        <v>63</v>
      </c>
      <c r="AI3077" s="4" t="s">
        <v>63</v>
      </c>
      <c r="AJ3077" s="4" t="s">
        <v>63</v>
      </c>
      <c r="AK3077" s="4" t="s">
        <v>63</v>
      </c>
      <c r="AL3077" s="4" t="s">
        <v>63</v>
      </c>
      <c r="AM3077" s="4" t="s">
        <v>25046</v>
      </c>
      <c r="AN3077" s="4" t="s">
        <v>63</v>
      </c>
      <c r="AO3077" s="4" t="s">
        <v>63</v>
      </c>
      <c r="AP3077" s="4" t="s">
        <v>63</v>
      </c>
      <c r="AQ3077" s="4" t="s">
        <v>63</v>
      </c>
      <c r="AR3077" s="4" t="s">
        <v>63</v>
      </c>
      <c r="AS3077" s="4" t="s">
        <v>63</v>
      </c>
      <c r="AT3077" s="4" t="s">
        <v>63</v>
      </c>
      <c r="AU3077" s="4" t="s">
        <v>63</v>
      </c>
      <c r="AV3077" s="4" t="s">
        <v>63</v>
      </c>
      <c r="AW3077" s="4" t="s">
        <v>63</v>
      </c>
      <c r="AX3077" s="4" t="s">
        <v>63</v>
      </c>
      <c r="AY3077" s="4" t="s">
        <v>63</v>
      </c>
      <c r="AZ3077" s="4" t="s">
        <v>63</v>
      </c>
      <c r="BA3077" s="4" t="s">
        <v>63</v>
      </c>
      <c r="BB3077" s="4" t="s">
        <v>63</v>
      </c>
      <c r="BC3077" s="4" t="s">
        <v>63</v>
      </c>
      <c r="BD3077" s="4" t="s">
        <v>63</v>
      </c>
      <c r="BE3077" s="4" t="s">
        <v>63</v>
      </c>
      <c r="BF3077" s="4" t="s">
        <v>63</v>
      </c>
    </row>
    <row r="3078" spans="1:58">
      <c r="A3078" s="4" t="s">
        <v>58</v>
      </c>
      <c r="B3078" s="4" t="s">
        <v>25051</v>
      </c>
      <c r="C3078" s="4" t="s">
        <v>25052</v>
      </c>
      <c r="D3078" s="4" t="s">
        <v>22741</v>
      </c>
      <c r="E3078" s="4" t="s">
        <v>63</v>
      </c>
      <c r="F3078" s="4">
        <v>2017</v>
      </c>
      <c r="G3078" s="4" t="s">
        <v>84</v>
      </c>
      <c r="H3078" s="4">
        <v>10</v>
      </c>
      <c r="I3078" s="4">
        <v>1</v>
      </c>
      <c r="J3078" s="4">
        <v>39</v>
      </c>
      <c r="K3078" s="4">
        <v>53</v>
      </c>
      <c r="L3078" s="4" t="s">
        <v>25053</v>
      </c>
      <c r="M3078" s="4" t="s">
        <v>25054</v>
      </c>
      <c r="N3078" s="4" t="s">
        <v>25055</v>
      </c>
      <c r="O3078" s="4" t="s">
        <v>63</v>
      </c>
      <c r="P3078" s="4"/>
      <c r="Q3078" s="4" t="s">
        <v>63</v>
      </c>
      <c r="R3078" s="4" t="s">
        <v>63</v>
      </c>
      <c r="S3078" s="4" t="s">
        <v>63</v>
      </c>
      <c r="T3078" s="4" t="s">
        <v>63</v>
      </c>
      <c r="U3078" s="4"/>
      <c r="V3078" s="4"/>
      <c r="W3078" s="4"/>
      <c r="X3078" s="4" t="s">
        <v>63</v>
      </c>
      <c r="Y3078" s="4" t="s">
        <v>25056</v>
      </c>
      <c r="Z3078" s="4" t="s">
        <v>63</v>
      </c>
      <c r="AA3078" s="4" t="s">
        <v>25057</v>
      </c>
      <c r="AB3078" s="4" t="s">
        <v>25058</v>
      </c>
      <c r="AC3078" s="4" t="s">
        <v>67</v>
      </c>
      <c r="AD3078" s="4" t="s">
        <v>63</v>
      </c>
      <c r="AE3078" s="4" t="s">
        <v>63</v>
      </c>
      <c r="AF3078" s="4" t="s">
        <v>63</v>
      </c>
      <c r="AG3078" s="4" t="s">
        <v>63</v>
      </c>
      <c r="AH3078" s="4" t="s">
        <v>63</v>
      </c>
      <c r="AI3078" s="4" t="s">
        <v>25059</v>
      </c>
      <c r="AJ3078" s="4" t="s">
        <v>63</v>
      </c>
      <c r="AK3078" s="4" t="s">
        <v>63</v>
      </c>
      <c r="AL3078" s="4" t="s">
        <v>63</v>
      </c>
      <c r="AM3078" s="4" t="s">
        <v>25052</v>
      </c>
      <c r="AN3078" s="4" t="s">
        <v>63</v>
      </c>
      <c r="AO3078" s="4" t="s">
        <v>63</v>
      </c>
      <c r="AP3078" s="4" t="s">
        <v>63</v>
      </c>
      <c r="AQ3078" s="4" t="s">
        <v>63</v>
      </c>
      <c r="AR3078" s="4" t="s">
        <v>63</v>
      </c>
      <c r="AS3078" s="4" t="s">
        <v>63</v>
      </c>
      <c r="AT3078" s="4" t="s">
        <v>63</v>
      </c>
      <c r="AU3078" s="4" t="s">
        <v>63</v>
      </c>
      <c r="AV3078" s="4" t="s">
        <v>63</v>
      </c>
      <c r="AW3078" s="4" t="s">
        <v>63</v>
      </c>
      <c r="AX3078" s="4" t="s">
        <v>63</v>
      </c>
      <c r="AY3078" s="4" t="s">
        <v>63</v>
      </c>
      <c r="AZ3078" s="4" t="s">
        <v>63</v>
      </c>
      <c r="BA3078" s="4" t="s">
        <v>63</v>
      </c>
      <c r="BB3078" s="4" t="s">
        <v>63</v>
      </c>
      <c r="BC3078" s="4" t="s">
        <v>63</v>
      </c>
      <c r="BD3078" s="4" t="s">
        <v>63</v>
      </c>
      <c r="BE3078" s="4" t="s">
        <v>63</v>
      </c>
      <c r="BF3078" s="4" t="s">
        <v>63</v>
      </c>
    </row>
    <row r="3079" spans="1:58">
      <c r="A3079" s="4" t="s">
        <v>58</v>
      </c>
      <c r="B3079" s="4" t="s">
        <v>25060</v>
      </c>
      <c r="C3079" s="4" t="s">
        <v>25061</v>
      </c>
      <c r="D3079" s="4" t="s">
        <v>371</v>
      </c>
      <c r="E3079" s="4" t="s">
        <v>63</v>
      </c>
      <c r="F3079" s="4">
        <v>2013</v>
      </c>
      <c r="G3079" s="4" t="s">
        <v>73</v>
      </c>
      <c r="H3079" s="4">
        <v>28</v>
      </c>
      <c r="I3079" s="4" t="s">
        <v>63</v>
      </c>
      <c r="J3079" s="4" t="s">
        <v>17967</v>
      </c>
      <c r="K3079" s="4" t="s">
        <v>17701</v>
      </c>
      <c r="L3079" s="4" t="s">
        <v>63</v>
      </c>
      <c r="M3079" s="4" t="s">
        <v>63</v>
      </c>
      <c r="N3079" s="4" t="s">
        <v>25062</v>
      </c>
      <c r="O3079" s="4" t="s">
        <v>63</v>
      </c>
      <c r="P3079" s="4"/>
      <c r="Q3079" s="4" t="s">
        <v>63</v>
      </c>
      <c r="R3079" s="4" t="s">
        <v>63</v>
      </c>
      <c r="S3079" s="4" t="s">
        <v>63</v>
      </c>
      <c r="T3079" s="4" t="s">
        <v>63</v>
      </c>
      <c r="U3079" s="4"/>
      <c r="V3079" s="4"/>
      <c r="W3079" s="4"/>
      <c r="X3079" s="4" t="s">
        <v>63</v>
      </c>
      <c r="Y3079" s="4" t="s">
        <v>375</v>
      </c>
      <c r="Z3079" s="4" t="s">
        <v>63</v>
      </c>
      <c r="AA3079" s="4" t="s">
        <v>25063</v>
      </c>
      <c r="AB3079" s="4" t="s">
        <v>25064</v>
      </c>
      <c r="AC3079" s="4" t="s">
        <v>67</v>
      </c>
      <c r="AD3079" s="4" t="s">
        <v>63</v>
      </c>
      <c r="AE3079" s="4" t="s">
        <v>63</v>
      </c>
      <c r="AF3079" s="4" t="s">
        <v>63</v>
      </c>
      <c r="AG3079" s="4" t="s">
        <v>63</v>
      </c>
      <c r="AH3079" s="4" t="s">
        <v>63</v>
      </c>
      <c r="AI3079" s="4" t="s">
        <v>63</v>
      </c>
      <c r="AJ3079" s="4" t="s">
        <v>63</v>
      </c>
      <c r="AK3079" s="4" t="s">
        <v>63</v>
      </c>
      <c r="AL3079" s="4" t="s">
        <v>63</v>
      </c>
      <c r="AM3079" s="4" t="s">
        <v>25061</v>
      </c>
      <c r="AN3079" s="4" t="s">
        <v>63</v>
      </c>
      <c r="AO3079" s="4" t="s">
        <v>63</v>
      </c>
      <c r="AP3079" s="4" t="s">
        <v>63</v>
      </c>
      <c r="AQ3079" s="4" t="s">
        <v>63</v>
      </c>
      <c r="AR3079" s="4" t="s">
        <v>63</v>
      </c>
      <c r="AS3079" s="4" t="s">
        <v>63</v>
      </c>
      <c r="AT3079" s="4" t="s">
        <v>63</v>
      </c>
      <c r="AU3079" s="4" t="s">
        <v>63</v>
      </c>
      <c r="AV3079" s="4" t="s">
        <v>63</v>
      </c>
      <c r="AW3079" s="4" t="s">
        <v>63</v>
      </c>
      <c r="AX3079" s="4" t="s">
        <v>63</v>
      </c>
      <c r="AY3079" s="4" t="s">
        <v>63</v>
      </c>
      <c r="AZ3079" s="4" t="s">
        <v>63</v>
      </c>
      <c r="BA3079" s="4" t="s">
        <v>63</v>
      </c>
      <c r="BB3079" s="4" t="s">
        <v>63</v>
      </c>
      <c r="BC3079" s="4" t="s">
        <v>63</v>
      </c>
      <c r="BD3079" s="4" t="s">
        <v>63</v>
      </c>
      <c r="BE3079" s="4" t="s">
        <v>63</v>
      </c>
      <c r="BF3079" s="4" t="s">
        <v>63</v>
      </c>
    </row>
    <row r="3080" spans="1:58">
      <c r="A3080" s="4" t="s">
        <v>58</v>
      </c>
      <c r="B3080" s="4" t="s">
        <v>14190</v>
      </c>
      <c r="C3080" s="4" t="s">
        <v>25065</v>
      </c>
      <c r="D3080" s="4" t="s">
        <v>3071</v>
      </c>
      <c r="E3080" s="4" t="s">
        <v>3072</v>
      </c>
      <c r="F3080" s="4">
        <v>1990</v>
      </c>
      <c r="G3080" s="4" t="s">
        <v>219</v>
      </c>
      <c r="H3080" s="4">
        <v>85</v>
      </c>
      <c r="I3080" s="4">
        <v>11</v>
      </c>
      <c r="J3080" s="4">
        <v>1451</v>
      </c>
      <c r="K3080" s="4">
        <v>1455</v>
      </c>
      <c r="L3080" s="4" t="s">
        <v>63</v>
      </c>
      <c r="M3080" s="4" t="s">
        <v>63</v>
      </c>
      <c r="N3080" s="4" t="s">
        <v>25066</v>
      </c>
      <c r="O3080" s="4" t="s">
        <v>63</v>
      </c>
      <c r="P3080" s="4"/>
      <c r="Q3080" s="4" t="s">
        <v>63</v>
      </c>
      <c r="R3080" s="4" t="s">
        <v>63</v>
      </c>
      <c r="S3080" s="4" t="s">
        <v>63</v>
      </c>
      <c r="T3080" s="4" t="s">
        <v>63</v>
      </c>
      <c r="U3080" s="4"/>
      <c r="V3080" s="4"/>
      <c r="W3080" s="4"/>
      <c r="X3080" s="4" t="s">
        <v>63</v>
      </c>
      <c r="Y3080" s="4" t="s">
        <v>3075</v>
      </c>
      <c r="Z3080" s="4" t="s">
        <v>63</v>
      </c>
      <c r="AA3080" s="4" t="s">
        <v>25067</v>
      </c>
      <c r="AB3080" s="4" t="s">
        <v>25068</v>
      </c>
      <c r="AC3080" s="4" t="s">
        <v>67</v>
      </c>
      <c r="AD3080" s="4" t="s">
        <v>63</v>
      </c>
      <c r="AE3080" s="4" t="s">
        <v>63</v>
      </c>
      <c r="AF3080" s="4" t="s">
        <v>63</v>
      </c>
      <c r="AG3080" s="4" t="s">
        <v>63</v>
      </c>
      <c r="AH3080" s="4" t="s">
        <v>63</v>
      </c>
      <c r="AI3080" s="4" t="s">
        <v>63</v>
      </c>
      <c r="AJ3080" s="4" t="s">
        <v>63</v>
      </c>
      <c r="AK3080" s="4" t="s">
        <v>63</v>
      </c>
      <c r="AL3080" s="4" t="s">
        <v>63</v>
      </c>
      <c r="AM3080" s="4" t="s">
        <v>25065</v>
      </c>
      <c r="AN3080" s="4" t="s">
        <v>63</v>
      </c>
      <c r="AO3080" s="4" t="s">
        <v>63</v>
      </c>
      <c r="AP3080" s="4" t="s">
        <v>63</v>
      </c>
      <c r="AQ3080" s="4" t="s">
        <v>63</v>
      </c>
      <c r="AR3080" s="4" t="s">
        <v>63</v>
      </c>
      <c r="AS3080" s="4" t="s">
        <v>63</v>
      </c>
      <c r="AT3080" s="4" t="s">
        <v>63</v>
      </c>
      <c r="AU3080" s="4" t="s">
        <v>63</v>
      </c>
      <c r="AV3080" s="4" t="s">
        <v>63</v>
      </c>
      <c r="AW3080" s="4" t="s">
        <v>63</v>
      </c>
      <c r="AX3080" s="4" t="s">
        <v>63</v>
      </c>
      <c r="AY3080" s="4" t="s">
        <v>63</v>
      </c>
      <c r="AZ3080" s="4" t="s">
        <v>63</v>
      </c>
      <c r="BA3080" s="4" t="s">
        <v>63</v>
      </c>
      <c r="BB3080" s="4" t="s">
        <v>63</v>
      </c>
      <c r="BC3080" s="4" t="s">
        <v>63</v>
      </c>
      <c r="BD3080" s="4" t="s">
        <v>63</v>
      </c>
      <c r="BE3080" s="4" t="s">
        <v>63</v>
      </c>
      <c r="BF3080" s="4" t="s">
        <v>63</v>
      </c>
    </row>
    <row r="3081" spans="1:58">
      <c r="A3081" s="4" t="s">
        <v>58</v>
      </c>
      <c r="B3081" s="4" t="s">
        <v>25069</v>
      </c>
      <c r="C3081" s="4" t="s">
        <v>25070</v>
      </c>
      <c r="D3081" s="4" t="s">
        <v>389</v>
      </c>
      <c r="E3081" s="4" t="s">
        <v>63</v>
      </c>
      <c r="F3081" s="4">
        <v>2008</v>
      </c>
      <c r="G3081" s="4" t="s">
        <v>63</v>
      </c>
      <c r="H3081" s="4">
        <v>29</v>
      </c>
      <c r="I3081" s="4">
        <v>4</v>
      </c>
      <c r="J3081" s="4">
        <v>61</v>
      </c>
      <c r="K3081" s="4">
        <v>64</v>
      </c>
      <c r="L3081" s="4" t="s">
        <v>25071</v>
      </c>
      <c r="M3081" s="4" t="s">
        <v>25072</v>
      </c>
      <c r="N3081" s="4" t="s">
        <v>25073</v>
      </c>
      <c r="O3081" s="4" t="s">
        <v>63</v>
      </c>
      <c r="P3081" s="4"/>
      <c r="Q3081" s="4" t="s">
        <v>63</v>
      </c>
      <c r="R3081" s="4" t="s">
        <v>63</v>
      </c>
      <c r="S3081" s="4" t="s">
        <v>63</v>
      </c>
      <c r="T3081" s="4" t="s">
        <v>63</v>
      </c>
      <c r="U3081" s="4"/>
      <c r="V3081" s="4"/>
      <c r="W3081" s="4"/>
      <c r="X3081" s="4" t="s">
        <v>63</v>
      </c>
      <c r="Y3081" s="4" t="s">
        <v>392</v>
      </c>
      <c r="Z3081" s="4" t="s">
        <v>63</v>
      </c>
      <c r="AA3081" s="4" t="s">
        <v>25074</v>
      </c>
      <c r="AB3081" s="4" t="s">
        <v>25075</v>
      </c>
      <c r="AC3081" s="4" t="s">
        <v>67</v>
      </c>
      <c r="AD3081" s="4" t="s">
        <v>63</v>
      </c>
      <c r="AE3081" s="4" t="s">
        <v>63</v>
      </c>
      <c r="AF3081" s="4" t="s">
        <v>63</v>
      </c>
      <c r="AG3081" s="4" t="s">
        <v>63</v>
      </c>
      <c r="AH3081" s="4" t="s">
        <v>63</v>
      </c>
      <c r="AI3081" s="4" t="s">
        <v>25076</v>
      </c>
      <c r="AJ3081" s="4" t="s">
        <v>63</v>
      </c>
      <c r="AK3081" s="4" t="s">
        <v>63</v>
      </c>
      <c r="AL3081" s="4" t="s">
        <v>63</v>
      </c>
      <c r="AM3081" s="4" t="s">
        <v>25070</v>
      </c>
      <c r="AN3081" s="4" t="s">
        <v>63</v>
      </c>
      <c r="AO3081" s="4" t="s">
        <v>63</v>
      </c>
      <c r="AP3081" s="4" t="s">
        <v>63</v>
      </c>
      <c r="AQ3081" s="4" t="s">
        <v>63</v>
      </c>
      <c r="AR3081" s="4" t="s">
        <v>63</v>
      </c>
      <c r="AS3081" s="4" t="s">
        <v>63</v>
      </c>
      <c r="AT3081" s="4" t="s">
        <v>63</v>
      </c>
      <c r="AU3081" s="4" t="s">
        <v>63</v>
      </c>
      <c r="AV3081" s="4" t="s">
        <v>63</v>
      </c>
      <c r="AW3081" s="4" t="s">
        <v>63</v>
      </c>
      <c r="AX3081" s="4" t="s">
        <v>63</v>
      </c>
      <c r="AY3081" s="4" t="s">
        <v>63</v>
      </c>
      <c r="AZ3081" s="4" t="s">
        <v>63</v>
      </c>
      <c r="BA3081" s="4" t="s">
        <v>63</v>
      </c>
      <c r="BB3081" s="4" t="s">
        <v>63</v>
      </c>
      <c r="BC3081" s="4" t="s">
        <v>63</v>
      </c>
      <c r="BD3081" s="4" t="s">
        <v>63</v>
      </c>
      <c r="BE3081" s="4" t="s">
        <v>63</v>
      </c>
      <c r="BF3081" s="4" t="s">
        <v>63</v>
      </c>
    </row>
    <row r="3082" spans="1:58">
      <c r="A3082" s="4" t="s">
        <v>58</v>
      </c>
      <c r="B3082" s="4" t="s">
        <v>25077</v>
      </c>
      <c r="C3082" s="4" t="s">
        <v>25078</v>
      </c>
      <c r="D3082" s="4" t="s">
        <v>8886</v>
      </c>
      <c r="E3082" s="4" t="s">
        <v>8887</v>
      </c>
      <c r="F3082" s="4">
        <v>2018</v>
      </c>
      <c r="G3082" s="4" t="s">
        <v>274</v>
      </c>
      <c r="H3082" s="4">
        <v>89</v>
      </c>
      <c r="I3082" s="4">
        <v>1</v>
      </c>
      <c r="J3082" s="4">
        <v>235</v>
      </c>
      <c r="K3082" s="4">
        <v>247</v>
      </c>
      <c r="L3082" s="4" t="s">
        <v>25079</v>
      </c>
      <c r="M3082" s="4" t="s">
        <v>25080</v>
      </c>
      <c r="N3082" s="4" t="s">
        <v>25081</v>
      </c>
      <c r="O3082" s="4" t="s">
        <v>63</v>
      </c>
      <c r="P3082" s="4"/>
      <c r="Q3082" s="4" t="s">
        <v>63</v>
      </c>
      <c r="R3082" s="4" t="s">
        <v>63</v>
      </c>
      <c r="S3082" s="4" t="s">
        <v>63</v>
      </c>
      <c r="T3082" s="4" t="s">
        <v>63</v>
      </c>
      <c r="U3082" s="4"/>
      <c r="V3082" s="4"/>
      <c r="W3082" s="4"/>
      <c r="X3082" s="4" t="s">
        <v>63</v>
      </c>
      <c r="Y3082" s="4" t="s">
        <v>8891</v>
      </c>
      <c r="Z3082" s="4" t="s">
        <v>63</v>
      </c>
      <c r="AA3082" s="4" t="s">
        <v>25082</v>
      </c>
      <c r="AB3082" s="4" t="s">
        <v>25083</v>
      </c>
      <c r="AC3082" s="4" t="s">
        <v>67</v>
      </c>
      <c r="AD3082" s="4" t="s">
        <v>63</v>
      </c>
      <c r="AE3082" s="4" t="s">
        <v>63</v>
      </c>
      <c r="AF3082" s="4" t="s">
        <v>63</v>
      </c>
      <c r="AG3082" s="4" t="s">
        <v>63</v>
      </c>
      <c r="AH3082" s="4" t="s">
        <v>63</v>
      </c>
      <c r="AI3082" s="4" t="s">
        <v>25084</v>
      </c>
      <c r="AJ3082" s="4" t="s">
        <v>63</v>
      </c>
      <c r="AK3082" s="4" t="s">
        <v>63</v>
      </c>
      <c r="AL3082" s="4" t="s">
        <v>63</v>
      </c>
      <c r="AM3082" s="4" t="s">
        <v>25078</v>
      </c>
      <c r="AN3082" s="4" t="s">
        <v>63</v>
      </c>
      <c r="AO3082" s="4" t="s">
        <v>63</v>
      </c>
      <c r="AP3082" s="4" t="s">
        <v>63</v>
      </c>
      <c r="AQ3082" s="4" t="s">
        <v>63</v>
      </c>
      <c r="AR3082" s="4" t="s">
        <v>63</v>
      </c>
      <c r="AS3082" s="4" t="s">
        <v>63</v>
      </c>
      <c r="AT3082" s="4" t="s">
        <v>63</v>
      </c>
      <c r="AU3082" s="4" t="s">
        <v>63</v>
      </c>
      <c r="AV3082" s="4" t="s">
        <v>63</v>
      </c>
      <c r="AW3082" s="4" t="s">
        <v>63</v>
      </c>
      <c r="AX3082" s="4" t="s">
        <v>63</v>
      </c>
      <c r="AY3082" s="4" t="s">
        <v>63</v>
      </c>
      <c r="AZ3082" s="4" t="s">
        <v>63</v>
      </c>
      <c r="BA3082" s="4" t="s">
        <v>63</v>
      </c>
      <c r="BB3082" s="4" t="s">
        <v>63</v>
      </c>
      <c r="BC3082" s="4" t="s">
        <v>63</v>
      </c>
      <c r="BD3082" s="4" t="s">
        <v>63</v>
      </c>
      <c r="BE3082" s="4" t="s">
        <v>63</v>
      </c>
      <c r="BF3082" s="4" t="s">
        <v>63</v>
      </c>
    </row>
    <row r="3083" spans="1:58">
      <c r="A3083" s="4" t="s">
        <v>58</v>
      </c>
      <c r="B3083" s="4" t="s">
        <v>25085</v>
      </c>
      <c r="C3083" s="4" t="s">
        <v>25086</v>
      </c>
      <c r="D3083" s="4" t="s">
        <v>9863</v>
      </c>
      <c r="E3083" s="4" t="s">
        <v>9864</v>
      </c>
      <c r="F3083" s="4">
        <v>2016</v>
      </c>
      <c r="G3083" s="4" t="s">
        <v>274</v>
      </c>
      <c r="H3083" s="4">
        <v>132</v>
      </c>
      <c r="I3083" s="4" t="s">
        <v>63</v>
      </c>
      <c r="J3083" s="4">
        <v>92</v>
      </c>
      <c r="K3083" s="4">
        <v>100</v>
      </c>
      <c r="L3083" s="4" t="s">
        <v>25087</v>
      </c>
      <c r="M3083" s="4" t="s">
        <v>25088</v>
      </c>
      <c r="N3083" s="4" t="s">
        <v>25089</v>
      </c>
      <c r="O3083" s="4" t="s">
        <v>63</v>
      </c>
      <c r="P3083" s="4"/>
      <c r="Q3083" s="4" t="s">
        <v>63</v>
      </c>
      <c r="R3083" s="4" t="s">
        <v>63</v>
      </c>
      <c r="S3083" s="4" t="s">
        <v>63</v>
      </c>
      <c r="T3083" s="4" t="s">
        <v>63</v>
      </c>
      <c r="U3083" s="4"/>
      <c r="V3083" s="4"/>
      <c r="W3083" s="4"/>
      <c r="X3083" s="4" t="s">
        <v>63</v>
      </c>
      <c r="Y3083" s="4" t="s">
        <v>9868</v>
      </c>
      <c r="Z3083" s="4" t="s">
        <v>63</v>
      </c>
      <c r="AA3083" s="4" t="s">
        <v>25090</v>
      </c>
      <c r="AB3083" s="4" t="s">
        <v>25091</v>
      </c>
      <c r="AC3083" s="4" t="s">
        <v>67</v>
      </c>
      <c r="AD3083" s="4" t="s">
        <v>63</v>
      </c>
      <c r="AE3083" s="4" t="s">
        <v>63</v>
      </c>
      <c r="AF3083" s="4" t="s">
        <v>63</v>
      </c>
      <c r="AG3083" s="4" t="s">
        <v>63</v>
      </c>
      <c r="AH3083" s="4" t="s">
        <v>63</v>
      </c>
      <c r="AI3083" s="4" t="s">
        <v>25092</v>
      </c>
      <c r="AJ3083" s="4" t="s">
        <v>63</v>
      </c>
      <c r="AK3083" s="4" t="s">
        <v>63</v>
      </c>
      <c r="AL3083" s="4" t="s">
        <v>63</v>
      </c>
      <c r="AM3083" s="4" t="s">
        <v>25086</v>
      </c>
      <c r="AN3083" s="4" t="s">
        <v>63</v>
      </c>
      <c r="AO3083" s="4" t="s">
        <v>63</v>
      </c>
      <c r="AP3083" s="4" t="s">
        <v>63</v>
      </c>
      <c r="AQ3083" s="4" t="s">
        <v>63</v>
      </c>
      <c r="AR3083" s="4" t="s">
        <v>63</v>
      </c>
      <c r="AS3083" s="4" t="s">
        <v>63</v>
      </c>
      <c r="AT3083" s="4" t="s">
        <v>63</v>
      </c>
      <c r="AU3083" s="4" t="s">
        <v>63</v>
      </c>
      <c r="AV3083" s="4" t="s">
        <v>63</v>
      </c>
      <c r="AW3083" s="4" t="s">
        <v>63</v>
      </c>
      <c r="AX3083" s="4" t="s">
        <v>63</v>
      </c>
      <c r="AY3083" s="4" t="s">
        <v>63</v>
      </c>
      <c r="AZ3083" s="4" t="s">
        <v>63</v>
      </c>
      <c r="BA3083" s="4" t="s">
        <v>63</v>
      </c>
      <c r="BB3083" s="4" t="s">
        <v>63</v>
      </c>
      <c r="BC3083" s="4" t="s">
        <v>63</v>
      </c>
      <c r="BD3083" s="4" t="s">
        <v>63</v>
      </c>
      <c r="BE3083" s="4" t="s">
        <v>63</v>
      </c>
      <c r="BF3083" s="4" t="s">
        <v>63</v>
      </c>
    </row>
    <row r="3084" spans="1:58">
      <c r="A3084" s="4" t="s">
        <v>58</v>
      </c>
      <c r="B3084" s="4" t="s">
        <v>25093</v>
      </c>
      <c r="C3084" s="4" t="s">
        <v>25094</v>
      </c>
      <c r="D3084" s="4" t="s">
        <v>1793</v>
      </c>
      <c r="E3084" s="4" t="s">
        <v>63</v>
      </c>
      <c r="F3084" s="4">
        <v>2013</v>
      </c>
      <c r="G3084" s="4" t="s">
        <v>138</v>
      </c>
      <c r="H3084" s="4">
        <v>21</v>
      </c>
      <c r="I3084" s="4">
        <v>5</v>
      </c>
      <c r="J3084" s="4">
        <v>481</v>
      </c>
      <c r="K3084" s="4">
        <v>485</v>
      </c>
      <c r="L3084" s="4" t="s">
        <v>25095</v>
      </c>
      <c r="M3084" s="4" t="s">
        <v>25096</v>
      </c>
      <c r="N3084" s="4" t="s">
        <v>25097</v>
      </c>
      <c r="O3084" s="4" t="s">
        <v>63</v>
      </c>
      <c r="P3084" s="4"/>
      <c r="Q3084" s="4" t="s">
        <v>63</v>
      </c>
      <c r="R3084" s="4" t="s">
        <v>63</v>
      </c>
      <c r="S3084" s="4" t="s">
        <v>63</v>
      </c>
      <c r="T3084" s="4" t="s">
        <v>63</v>
      </c>
      <c r="U3084" s="4"/>
      <c r="V3084" s="4"/>
      <c r="W3084" s="4"/>
      <c r="X3084" s="4" t="s">
        <v>63</v>
      </c>
      <c r="Y3084" s="4" t="s">
        <v>25098</v>
      </c>
      <c r="Z3084" s="4" t="s">
        <v>63</v>
      </c>
      <c r="AA3084" s="4" t="s">
        <v>25099</v>
      </c>
      <c r="AB3084" s="4" t="s">
        <v>25100</v>
      </c>
      <c r="AC3084" s="4" t="s">
        <v>67</v>
      </c>
      <c r="AD3084" s="4" t="s">
        <v>63</v>
      </c>
      <c r="AE3084" s="4" t="s">
        <v>63</v>
      </c>
      <c r="AF3084" s="4" t="s">
        <v>63</v>
      </c>
      <c r="AG3084" s="4" t="s">
        <v>63</v>
      </c>
      <c r="AH3084" s="4" t="s">
        <v>63</v>
      </c>
      <c r="AI3084" s="4" t="s">
        <v>25101</v>
      </c>
      <c r="AJ3084" s="4" t="s">
        <v>63</v>
      </c>
      <c r="AK3084" s="4" t="s">
        <v>63</v>
      </c>
      <c r="AL3084" s="4" t="s">
        <v>63</v>
      </c>
      <c r="AM3084" s="4" t="s">
        <v>25094</v>
      </c>
      <c r="AN3084" s="4" t="s">
        <v>63</v>
      </c>
      <c r="AO3084" s="4" t="s">
        <v>63</v>
      </c>
      <c r="AP3084" s="4" t="s">
        <v>63</v>
      </c>
      <c r="AQ3084" s="4" t="s">
        <v>63</v>
      </c>
      <c r="AR3084" s="4" t="s">
        <v>63</v>
      </c>
      <c r="AS3084" s="4" t="s">
        <v>63</v>
      </c>
      <c r="AT3084" s="4" t="s">
        <v>63</v>
      </c>
      <c r="AU3084" s="4" t="s">
        <v>63</v>
      </c>
      <c r="AV3084" s="4" t="s">
        <v>63</v>
      </c>
      <c r="AW3084" s="4" t="s">
        <v>63</v>
      </c>
      <c r="AX3084" s="4" t="s">
        <v>63</v>
      </c>
      <c r="AY3084" s="4" t="s">
        <v>63</v>
      </c>
      <c r="AZ3084" s="4" t="s">
        <v>63</v>
      </c>
      <c r="BA3084" s="4" t="s">
        <v>63</v>
      </c>
      <c r="BB3084" s="4" t="s">
        <v>63</v>
      </c>
      <c r="BC3084" s="4" t="s">
        <v>63</v>
      </c>
      <c r="BD3084" s="4" t="s">
        <v>63</v>
      </c>
      <c r="BE3084" s="4" t="s">
        <v>63</v>
      </c>
      <c r="BF3084" s="4" t="s">
        <v>63</v>
      </c>
    </row>
    <row r="3085" spans="1:58">
      <c r="A3085" s="4" t="s">
        <v>58</v>
      </c>
      <c r="B3085" s="4" t="s">
        <v>25102</v>
      </c>
      <c r="C3085" s="4" t="s">
        <v>25103</v>
      </c>
      <c r="D3085" s="4" t="s">
        <v>389</v>
      </c>
      <c r="E3085" s="4" t="s">
        <v>63</v>
      </c>
      <c r="F3085" s="4">
        <v>2009</v>
      </c>
      <c r="G3085" s="4" t="s">
        <v>63</v>
      </c>
      <c r="H3085" s="4">
        <v>30</v>
      </c>
      <c r="I3085" s="4">
        <v>1</v>
      </c>
      <c r="J3085" s="4">
        <v>93</v>
      </c>
      <c r="K3085" s="4">
        <v>94</v>
      </c>
      <c r="L3085" s="4" t="s">
        <v>63</v>
      </c>
      <c r="M3085" s="4" t="s">
        <v>63</v>
      </c>
      <c r="N3085" s="4" t="s">
        <v>25104</v>
      </c>
      <c r="O3085" s="4" t="s">
        <v>63</v>
      </c>
      <c r="P3085" s="4"/>
      <c r="Q3085" s="4" t="s">
        <v>63</v>
      </c>
      <c r="R3085" s="4" t="s">
        <v>63</v>
      </c>
      <c r="S3085" s="4" t="s">
        <v>63</v>
      </c>
      <c r="T3085" s="4" t="s">
        <v>63</v>
      </c>
      <c r="U3085" s="4"/>
      <c r="V3085" s="4"/>
      <c r="W3085" s="4"/>
      <c r="X3085" s="4" t="s">
        <v>63</v>
      </c>
      <c r="Y3085" s="4" t="s">
        <v>392</v>
      </c>
      <c r="Z3085" s="4" t="s">
        <v>63</v>
      </c>
      <c r="AA3085" s="4" t="s">
        <v>63</v>
      </c>
      <c r="AB3085" s="4" t="s">
        <v>25105</v>
      </c>
      <c r="AC3085" s="4" t="s">
        <v>67</v>
      </c>
      <c r="AD3085" s="4" t="s">
        <v>63</v>
      </c>
      <c r="AE3085" s="4" t="s">
        <v>63</v>
      </c>
      <c r="AF3085" s="4" t="s">
        <v>63</v>
      </c>
      <c r="AG3085" s="4" t="s">
        <v>63</v>
      </c>
      <c r="AH3085" s="4" t="s">
        <v>63</v>
      </c>
      <c r="AI3085" s="4" t="s">
        <v>63</v>
      </c>
      <c r="AJ3085" s="4" t="s">
        <v>63</v>
      </c>
      <c r="AK3085" s="4" t="s">
        <v>63</v>
      </c>
      <c r="AL3085" s="4" t="s">
        <v>63</v>
      </c>
      <c r="AM3085" s="4" t="s">
        <v>25103</v>
      </c>
      <c r="AN3085" s="4" t="s">
        <v>63</v>
      </c>
      <c r="AO3085" s="4" t="s">
        <v>63</v>
      </c>
      <c r="AP3085" s="4" t="s">
        <v>63</v>
      </c>
      <c r="AQ3085" s="4" t="s">
        <v>63</v>
      </c>
      <c r="AR3085" s="4" t="s">
        <v>63</v>
      </c>
      <c r="AS3085" s="4" t="s">
        <v>63</v>
      </c>
      <c r="AT3085" s="4" t="s">
        <v>63</v>
      </c>
      <c r="AU3085" s="4" t="s">
        <v>63</v>
      </c>
      <c r="AV3085" s="4" t="s">
        <v>63</v>
      </c>
      <c r="AW3085" s="4" t="s">
        <v>63</v>
      </c>
      <c r="AX3085" s="4" t="s">
        <v>63</v>
      </c>
      <c r="AY3085" s="4" t="s">
        <v>63</v>
      </c>
      <c r="AZ3085" s="4" t="s">
        <v>63</v>
      </c>
      <c r="BA3085" s="4" t="s">
        <v>63</v>
      </c>
      <c r="BB3085" s="4" t="s">
        <v>63</v>
      </c>
      <c r="BC3085" s="4" t="s">
        <v>63</v>
      </c>
      <c r="BD3085" s="4" t="s">
        <v>63</v>
      </c>
      <c r="BE3085" s="4" t="s">
        <v>63</v>
      </c>
      <c r="BF3085" s="4" t="s">
        <v>63</v>
      </c>
    </row>
    <row r="3086" spans="1:58">
      <c r="A3086" s="4" t="s">
        <v>58</v>
      </c>
      <c r="B3086" s="4" t="s">
        <v>25106</v>
      </c>
      <c r="C3086" s="4" t="s">
        <v>25107</v>
      </c>
      <c r="D3086" s="4" t="s">
        <v>371</v>
      </c>
      <c r="E3086" s="4" t="s">
        <v>63</v>
      </c>
      <c r="F3086" s="4">
        <v>2004</v>
      </c>
      <c r="G3086" s="4" t="s">
        <v>84</v>
      </c>
      <c r="H3086" s="4">
        <v>19</v>
      </c>
      <c r="I3086" s="4" t="s">
        <v>63</v>
      </c>
      <c r="J3086" s="4">
        <v>95</v>
      </c>
      <c r="K3086" s="4">
        <v>96</v>
      </c>
      <c r="L3086" s="4" t="s">
        <v>63</v>
      </c>
      <c r="M3086" s="4" t="s">
        <v>63</v>
      </c>
      <c r="N3086" s="4" t="s">
        <v>25108</v>
      </c>
      <c r="O3086" s="4" t="s">
        <v>63</v>
      </c>
      <c r="P3086" s="4"/>
      <c r="Q3086" s="4" t="s">
        <v>63</v>
      </c>
      <c r="R3086" s="4" t="s">
        <v>63</v>
      </c>
      <c r="S3086" s="4" t="s">
        <v>63</v>
      </c>
      <c r="T3086" s="4" t="s">
        <v>63</v>
      </c>
      <c r="U3086" s="4"/>
      <c r="V3086" s="4"/>
      <c r="W3086" s="4"/>
      <c r="X3086" s="4" t="s">
        <v>63</v>
      </c>
      <c r="Y3086" s="4" t="s">
        <v>375</v>
      </c>
      <c r="Z3086" s="4" t="s">
        <v>63</v>
      </c>
      <c r="AA3086" s="4" t="s">
        <v>25109</v>
      </c>
      <c r="AB3086" s="4" t="s">
        <v>25110</v>
      </c>
      <c r="AC3086" s="4" t="s">
        <v>67</v>
      </c>
      <c r="AD3086" s="4" t="s">
        <v>63</v>
      </c>
      <c r="AE3086" s="4" t="s">
        <v>63</v>
      </c>
      <c r="AF3086" s="4" t="s">
        <v>63</v>
      </c>
      <c r="AG3086" s="4" t="s">
        <v>63</v>
      </c>
      <c r="AH3086" s="4" t="s">
        <v>63</v>
      </c>
      <c r="AI3086" s="4" t="s">
        <v>63</v>
      </c>
      <c r="AJ3086" s="4" t="s">
        <v>63</v>
      </c>
      <c r="AK3086" s="4" t="s">
        <v>63</v>
      </c>
      <c r="AL3086" s="4" t="s">
        <v>63</v>
      </c>
      <c r="AM3086" s="4" t="s">
        <v>25107</v>
      </c>
      <c r="AN3086" s="4" t="s">
        <v>63</v>
      </c>
      <c r="AO3086" s="4" t="s">
        <v>63</v>
      </c>
      <c r="AP3086" s="4" t="s">
        <v>63</v>
      </c>
      <c r="AQ3086" s="4" t="s">
        <v>63</v>
      </c>
      <c r="AR3086" s="4" t="s">
        <v>63</v>
      </c>
      <c r="AS3086" s="4" t="s">
        <v>63</v>
      </c>
      <c r="AT3086" s="4" t="s">
        <v>63</v>
      </c>
      <c r="AU3086" s="4" t="s">
        <v>63</v>
      </c>
      <c r="AV3086" s="4" t="s">
        <v>63</v>
      </c>
      <c r="AW3086" s="4" t="s">
        <v>63</v>
      </c>
      <c r="AX3086" s="4" t="s">
        <v>63</v>
      </c>
      <c r="AY3086" s="4" t="s">
        <v>63</v>
      </c>
      <c r="AZ3086" s="4" t="s">
        <v>63</v>
      </c>
      <c r="BA3086" s="4" t="s">
        <v>63</v>
      </c>
      <c r="BB3086" s="4" t="s">
        <v>63</v>
      </c>
      <c r="BC3086" s="4" t="s">
        <v>63</v>
      </c>
      <c r="BD3086" s="4" t="s">
        <v>63</v>
      </c>
      <c r="BE3086" s="4" t="s">
        <v>63</v>
      </c>
      <c r="BF3086" s="4" t="s">
        <v>63</v>
      </c>
    </row>
    <row r="3087" spans="1:58">
      <c r="A3087" s="4" t="s">
        <v>58</v>
      </c>
      <c r="B3087" s="4" t="s">
        <v>25111</v>
      </c>
      <c r="C3087" s="4" t="s">
        <v>25112</v>
      </c>
      <c r="D3087" s="4" t="s">
        <v>389</v>
      </c>
      <c r="E3087" s="4" t="s">
        <v>63</v>
      </c>
      <c r="F3087" s="4">
        <v>2011</v>
      </c>
      <c r="G3087" s="4" t="s">
        <v>63</v>
      </c>
      <c r="H3087" s="4">
        <v>32</v>
      </c>
      <c r="I3087" s="4">
        <v>1</v>
      </c>
      <c r="J3087" s="4">
        <v>54</v>
      </c>
      <c r="K3087" s="4">
        <v>55</v>
      </c>
      <c r="L3087" s="4" t="s">
        <v>63</v>
      </c>
      <c r="M3087" s="4" t="s">
        <v>63</v>
      </c>
      <c r="N3087" s="4" t="s">
        <v>25113</v>
      </c>
      <c r="O3087" s="4" t="s">
        <v>63</v>
      </c>
      <c r="P3087" s="4"/>
      <c r="Q3087" s="4" t="s">
        <v>63</v>
      </c>
      <c r="R3087" s="4" t="s">
        <v>63</v>
      </c>
      <c r="S3087" s="4" t="s">
        <v>63</v>
      </c>
      <c r="T3087" s="4" t="s">
        <v>63</v>
      </c>
      <c r="U3087" s="4"/>
      <c r="V3087" s="4"/>
      <c r="W3087" s="4"/>
      <c r="X3087" s="4" t="s">
        <v>63</v>
      </c>
      <c r="Y3087" s="4" t="s">
        <v>392</v>
      </c>
      <c r="Z3087" s="4" t="s">
        <v>63</v>
      </c>
      <c r="AA3087" s="4" t="s">
        <v>25114</v>
      </c>
      <c r="AB3087" s="4" t="s">
        <v>25115</v>
      </c>
      <c r="AC3087" s="4" t="s">
        <v>67</v>
      </c>
      <c r="AD3087" s="4" t="s">
        <v>63</v>
      </c>
      <c r="AE3087" s="4" t="s">
        <v>63</v>
      </c>
      <c r="AF3087" s="4" t="s">
        <v>63</v>
      </c>
      <c r="AG3087" s="4" t="s">
        <v>63</v>
      </c>
      <c r="AH3087" s="4" t="s">
        <v>63</v>
      </c>
      <c r="AI3087" s="4" t="s">
        <v>63</v>
      </c>
      <c r="AJ3087" s="4" t="s">
        <v>63</v>
      </c>
      <c r="AK3087" s="4" t="s">
        <v>63</v>
      </c>
      <c r="AL3087" s="4" t="s">
        <v>63</v>
      </c>
      <c r="AM3087" s="4" t="s">
        <v>25112</v>
      </c>
      <c r="AN3087" s="4" t="s">
        <v>63</v>
      </c>
      <c r="AO3087" s="4" t="s">
        <v>63</v>
      </c>
      <c r="AP3087" s="4" t="s">
        <v>63</v>
      </c>
      <c r="AQ3087" s="4" t="s">
        <v>63</v>
      </c>
      <c r="AR3087" s="4" t="s">
        <v>63</v>
      </c>
      <c r="AS3087" s="4" t="s">
        <v>63</v>
      </c>
      <c r="AT3087" s="4" t="s">
        <v>63</v>
      </c>
      <c r="AU3087" s="4" t="s">
        <v>63</v>
      </c>
      <c r="AV3087" s="4" t="s">
        <v>63</v>
      </c>
      <c r="AW3087" s="4" t="s">
        <v>63</v>
      </c>
      <c r="AX3087" s="4" t="s">
        <v>63</v>
      </c>
      <c r="AY3087" s="4" t="s">
        <v>63</v>
      </c>
      <c r="AZ3087" s="4" t="s">
        <v>63</v>
      </c>
      <c r="BA3087" s="4" t="s">
        <v>63</v>
      </c>
      <c r="BB3087" s="4" t="s">
        <v>63</v>
      </c>
      <c r="BC3087" s="4" t="s">
        <v>63</v>
      </c>
      <c r="BD3087" s="4" t="s">
        <v>63</v>
      </c>
      <c r="BE3087" s="4" t="s">
        <v>63</v>
      </c>
      <c r="BF3087" s="4" t="s">
        <v>63</v>
      </c>
    </row>
    <row r="3088" spans="1:58">
      <c r="A3088" s="4" t="s">
        <v>58</v>
      </c>
      <c r="B3088" s="4" t="s">
        <v>25116</v>
      </c>
      <c r="C3088" s="4" t="s">
        <v>25117</v>
      </c>
      <c r="D3088" s="4" t="s">
        <v>15713</v>
      </c>
      <c r="E3088" s="4" t="s">
        <v>15714</v>
      </c>
      <c r="F3088" s="4">
        <v>2016</v>
      </c>
      <c r="G3088" s="4" t="s">
        <v>157</v>
      </c>
      <c r="H3088" s="4">
        <v>21</v>
      </c>
      <c r="I3088" s="4">
        <v>6</v>
      </c>
      <c r="J3088" s="4">
        <v>598</v>
      </c>
      <c r="K3088" s="4">
        <v>600</v>
      </c>
      <c r="L3088" s="4" t="s">
        <v>25118</v>
      </c>
      <c r="M3088" s="4" t="s">
        <v>25119</v>
      </c>
      <c r="N3088" s="4" t="s">
        <v>25120</v>
      </c>
      <c r="O3088" s="4" t="s">
        <v>63</v>
      </c>
      <c r="P3088" s="4"/>
      <c r="Q3088" s="4" t="s">
        <v>63</v>
      </c>
      <c r="R3088" s="4" t="s">
        <v>63</v>
      </c>
      <c r="S3088" s="4" t="s">
        <v>63</v>
      </c>
      <c r="T3088" s="4" t="s">
        <v>63</v>
      </c>
      <c r="U3088" s="4"/>
      <c r="V3088" s="4"/>
      <c r="W3088" s="4"/>
      <c r="X3088" s="4" t="s">
        <v>63</v>
      </c>
      <c r="Y3088" s="4" t="s">
        <v>15718</v>
      </c>
      <c r="Z3088" s="4" t="s">
        <v>63</v>
      </c>
      <c r="AA3088" s="4" t="s">
        <v>25121</v>
      </c>
      <c r="AB3088" s="4" t="s">
        <v>25122</v>
      </c>
      <c r="AC3088" s="4" t="s">
        <v>67</v>
      </c>
      <c r="AD3088" s="4" t="s">
        <v>63</v>
      </c>
      <c r="AE3088" s="4" t="s">
        <v>63</v>
      </c>
      <c r="AF3088" s="4" t="s">
        <v>63</v>
      </c>
      <c r="AG3088" s="4" t="s">
        <v>63</v>
      </c>
      <c r="AH3088" s="4" t="s">
        <v>63</v>
      </c>
      <c r="AI3088" s="4" t="s">
        <v>25123</v>
      </c>
      <c r="AJ3088" s="4" t="s">
        <v>63</v>
      </c>
      <c r="AK3088" s="4" t="s">
        <v>63</v>
      </c>
      <c r="AL3088" s="4" t="s">
        <v>63</v>
      </c>
      <c r="AM3088" s="4" t="s">
        <v>25117</v>
      </c>
      <c r="AN3088" s="4" t="s">
        <v>63</v>
      </c>
      <c r="AO3088" s="4" t="s">
        <v>63</v>
      </c>
      <c r="AP3088" s="4" t="s">
        <v>63</v>
      </c>
      <c r="AQ3088" s="4" t="s">
        <v>63</v>
      </c>
      <c r="AR3088" s="4" t="s">
        <v>63</v>
      </c>
      <c r="AS3088" s="4" t="s">
        <v>63</v>
      </c>
      <c r="AT3088" s="4" t="s">
        <v>63</v>
      </c>
      <c r="AU3088" s="4" t="s">
        <v>63</v>
      </c>
      <c r="AV3088" s="4" t="s">
        <v>63</v>
      </c>
      <c r="AW3088" s="4" t="s">
        <v>63</v>
      </c>
      <c r="AX3088" s="4" t="s">
        <v>63</v>
      </c>
      <c r="AY3088" s="4" t="s">
        <v>63</v>
      </c>
      <c r="AZ3088" s="4" t="s">
        <v>63</v>
      </c>
      <c r="BA3088" s="4" t="s">
        <v>63</v>
      </c>
      <c r="BB3088" s="4" t="s">
        <v>63</v>
      </c>
      <c r="BC3088" s="4" t="s">
        <v>63</v>
      </c>
      <c r="BD3088" s="4" t="s">
        <v>63</v>
      </c>
      <c r="BE3088" s="4" t="s">
        <v>63</v>
      </c>
      <c r="BF3088" s="4" t="s">
        <v>63</v>
      </c>
    </row>
    <row r="3089" spans="1:58">
      <c r="A3089" s="4" t="s">
        <v>58</v>
      </c>
      <c r="B3089" s="4" t="s">
        <v>25124</v>
      </c>
      <c r="C3089" s="4" t="s">
        <v>25125</v>
      </c>
      <c r="D3089" s="4" t="s">
        <v>25126</v>
      </c>
      <c r="E3089" s="4" t="s">
        <v>63</v>
      </c>
      <c r="F3089" s="4">
        <v>2008</v>
      </c>
      <c r="G3089" s="4" t="s">
        <v>138</v>
      </c>
      <c r="H3089" s="4">
        <v>21</v>
      </c>
      <c r="I3089" s="4">
        <v>5</v>
      </c>
      <c r="J3089" s="4">
        <v>411</v>
      </c>
      <c r="K3089" s="4">
        <v>419</v>
      </c>
      <c r="L3089" s="4" t="s">
        <v>25127</v>
      </c>
      <c r="M3089" s="4" t="s">
        <v>25128</v>
      </c>
      <c r="N3089" s="4" t="s">
        <v>25129</v>
      </c>
      <c r="O3089" s="4" t="s">
        <v>63</v>
      </c>
      <c r="P3089" s="4"/>
      <c r="Q3089" s="4" t="s">
        <v>63</v>
      </c>
      <c r="R3089" s="4" t="s">
        <v>63</v>
      </c>
      <c r="S3089" s="4" t="s">
        <v>63</v>
      </c>
      <c r="T3089" s="4" t="s">
        <v>63</v>
      </c>
      <c r="U3089" s="4"/>
      <c r="V3089" s="4"/>
      <c r="W3089" s="4"/>
      <c r="X3089" s="4" t="s">
        <v>63</v>
      </c>
      <c r="Y3089" s="4" t="s">
        <v>25130</v>
      </c>
      <c r="Z3089" s="4" t="s">
        <v>63</v>
      </c>
      <c r="AA3089" s="4" t="s">
        <v>25131</v>
      </c>
      <c r="AB3089" s="4" t="s">
        <v>25132</v>
      </c>
      <c r="AC3089" s="4" t="s">
        <v>67</v>
      </c>
      <c r="AD3089" s="4" t="s">
        <v>63</v>
      </c>
      <c r="AE3089" s="4" t="s">
        <v>63</v>
      </c>
      <c r="AF3089" s="4" t="s">
        <v>63</v>
      </c>
      <c r="AG3089" s="4" t="s">
        <v>63</v>
      </c>
      <c r="AH3089" s="4" t="s">
        <v>63</v>
      </c>
      <c r="AI3089" s="4" t="s">
        <v>25133</v>
      </c>
      <c r="AJ3089" s="4" t="s">
        <v>63</v>
      </c>
      <c r="AK3089" s="4" t="s">
        <v>63</v>
      </c>
      <c r="AL3089" s="4" t="s">
        <v>63</v>
      </c>
      <c r="AM3089" s="4" t="s">
        <v>25125</v>
      </c>
      <c r="AN3089" s="4" t="s">
        <v>63</v>
      </c>
      <c r="AO3089" s="4" t="s">
        <v>63</v>
      </c>
      <c r="AP3089" s="4" t="s">
        <v>63</v>
      </c>
      <c r="AQ3089" s="4" t="s">
        <v>63</v>
      </c>
      <c r="AR3089" s="4" t="s">
        <v>63</v>
      </c>
      <c r="AS3089" s="4" t="s">
        <v>63</v>
      </c>
      <c r="AT3089" s="4" t="s">
        <v>63</v>
      </c>
      <c r="AU3089" s="4" t="s">
        <v>63</v>
      </c>
      <c r="AV3089" s="4" t="s">
        <v>63</v>
      </c>
      <c r="AW3089" s="4" t="s">
        <v>63</v>
      </c>
      <c r="AX3089" s="4" t="s">
        <v>63</v>
      </c>
      <c r="AY3089" s="4" t="s">
        <v>63</v>
      </c>
      <c r="AZ3089" s="4" t="s">
        <v>63</v>
      </c>
      <c r="BA3089" s="4" t="s">
        <v>63</v>
      </c>
      <c r="BB3089" s="4" t="s">
        <v>63</v>
      </c>
      <c r="BC3089" s="4" t="s">
        <v>63</v>
      </c>
      <c r="BD3089" s="4" t="s">
        <v>63</v>
      </c>
      <c r="BE3089" s="4" t="s">
        <v>63</v>
      </c>
      <c r="BF3089" s="4" t="s">
        <v>63</v>
      </c>
    </row>
    <row r="3090" spans="1:58">
      <c r="A3090" s="4" t="s">
        <v>58</v>
      </c>
      <c r="B3090" s="4" t="s">
        <v>25134</v>
      </c>
      <c r="C3090" s="4" t="s">
        <v>25135</v>
      </c>
      <c r="D3090" s="4" t="s">
        <v>24915</v>
      </c>
      <c r="E3090" s="4" t="s">
        <v>63</v>
      </c>
      <c r="F3090" s="4">
        <v>1985</v>
      </c>
      <c r="G3090" s="4" t="s">
        <v>24320</v>
      </c>
      <c r="H3090" s="4">
        <v>9</v>
      </c>
      <c r="I3090" s="4">
        <v>3</v>
      </c>
      <c r="J3090" s="4">
        <v>174</v>
      </c>
      <c r="K3090" s="4">
        <v>180</v>
      </c>
      <c r="L3090" s="4" t="s">
        <v>63</v>
      </c>
      <c r="M3090" s="4" t="s">
        <v>63</v>
      </c>
      <c r="N3090" s="4" t="s">
        <v>25136</v>
      </c>
      <c r="O3090" s="4" t="s">
        <v>63</v>
      </c>
      <c r="P3090" s="4"/>
      <c r="Q3090" s="4" t="s">
        <v>63</v>
      </c>
      <c r="R3090" s="4" t="s">
        <v>63</v>
      </c>
      <c r="S3090" s="4" t="s">
        <v>63</v>
      </c>
      <c r="T3090" s="4" t="s">
        <v>63</v>
      </c>
      <c r="U3090" s="4"/>
      <c r="V3090" s="4"/>
      <c r="W3090" s="4"/>
      <c r="X3090" s="4" t="s">
        <v>63</v>
      </c>
      <c r="Y3090" s="4" t="s">
        <v>24917</v>
      </c>
      <c r="Z3090" s="4" t="s">
        <v>63</v>
      </c>
      <c r="AA3090" s="4" t="s">
        <v>25137</v>
      </c>
      <c r="AB3090" s="4" t="s">
        <v>25138</v>
      </c>
      <c r="AC3090" s="4" t="s">
        <v>67</v>
      </c>
      <c r="AD3090" s="4" t="s">
        <v>63</v>
      </c>
      <c r="AE3090" s="4" t="s">
        <v>63</v>
      </c>
      <c r="AF3090" s="4" t="s">
        <v>63</v>
      </c>
      <c r="AG3090" s="4" t="s">
        <v>63</v>
      </c>
      <c r="AH3090" s="4" t="s">
        <v>63</v>
      </c>
      <c r="AI3090" s="4" t="s">
        <v>63</v>
      </c>
      <c r="AJ3090" s="4" t="s">
        <v>63</v>
      </c>
      <c r="AK3090" s="4" t="s">
        <v>63</v>
      </c>
      <c r="AL3090" s="4" t="s">
        <v>63</v>
      </c>
      <c r="AM3090" s="4" t="s">
        <v>25135</v>
      </c>
      <c r="AN3090" s="4" t="s">
        <v>63</v>
      </c>
      <c r="AO3090" s="4" t="s">
        <v>63</v>
      </c>
      <c r="AP3090" s="4" t="s">
        <v>63</v>
      </c>
      <c r="AQ3090" s="4" t="s">
        <v>63</v>
      </c>
      <c r="AR3090" s="4" t="s">
        <v>63</v>
      </c>
      <c r="AS3090" s="4" t="s">
        <v>63</v>
      </c>
      <c r="AT3090" s="4" t="s">
        <v>63</v>
      </c>
      <c r="AU3090" s="4" t="s">
        <v>63</v>
      </c>
      <c r="AV3090" s="4" t="s">
        <v>63</v>
      </c>
      <c r="AW3090" s="4" t="s">
        <v>63</v>
      </c>
      <c r="AX3090" s="4" t="s">
        <v>63</v>
      </c>
      <c r="AY3090" s="4" t="s">
        <v>63</v>
      </c>
      <c r="AZ3090" s="4" t="s">
        <v>63</v>
      </c>
      <c r="BA3090" s="4" t="s">
        <v>63</v>
      </c>
      <c r="BB3090" s="4" t="s">
        <v>63</v>
      </c>
      <c r="BC3090" s="4" t="s">
        <v>63</v>
      </c>
      <c r="BD3090" s="4" t="s">
        <v>63</v>
      </c>
      <c r="BE3090" s="4" t="s">
        <v>63</v>
      </c>
      <c r="BF3090" s="4" t="s">
        <v>63</v>
      </c>
    </row>
    <row r="3091" spans="1:58">
      <c r="A3091" s="4" t="s">
        <v>58</v>
      </c>
      <c r="B3091" s="4" t="s">
        <v>25139</v>
      </c>
      <c r="C3091" s="4" t="s">
        <v>25140</v>
      </c>
      <c r="D3091" s="4" t="s">
        <v>23560</v>
      </c>
      <c r="E3091" s="4" t="s">
        <v>23561</v>
      </c>
      <c r="F3091" s="4">
        <v>2016</v>
      </c>
      <c r="G3091" s="4" t="s">
        <v>63</v>
      </c>
      <c r="H3091" s="4">
        <v>28</v>
      </c>
      <c r="I3091" s="4">
        <v>3</v>
      </c>
      <c r="J3091" s="4">
        <v>252</v>
      </c>
      <c r="K3091" s="4">
        <v>259</v>
      </c>
      <c r="L3091" s="4" t="s">
        <v>25141</v>
      </c>
      <c r="M3091" s="4" t="s">
        <v>25142</v>
      </c>
      <c r="N3091" s="4" t="s">
        <v>25143</v>
      </c>
      <c r="O3091" s="4" t="s">
        <v>63</v>
      </c>
      <c r="P3091" s="4"/>
      <c r="Q3091" s="4" t="s">
        <v>63</v>
      </c>
      <c r="R3091" s="4" t="s">
        <v>63</v>
      </c>
      <c r="S3091" s="4" t="s">
        <v>63</v>
      </c>
      <c r="T3091" s="4" t="s">
        <v>63</v>
      </c>
      <c r="U3091" s="4"/>
      <c r="V3091" s="4"/>
      <c r="W3091" s="4"/>
      <c r="X3091" s="4" t="s">
        <v>63</v>
      </c>
      <c r="Y3091" s="4" t="s">
        <v>932</v>
      </c>
      <c r="Z3091" s="4" t="s">
        <v>63</v>
      </c>
      <c r="AA3091" s="4" t="s">
        <v>25144</v>
      </c>
      <c r="AB3091" s="4" t="s">
        <v>25145</v>
      </c>
      <c r="AC3091" s="4" t="s">
        <v>67</v>
      </c>
      <c r="AD3091" s="4" t="s">
        <v>63</v>
      </c>
      <c r="AE3091" s="4" t="s">
        <v>63</v>
      </c>
      <c r="AF3091" s="4" t="s">
        <v>63</v>
      </c>
      <c r="AG3091" s="4" t="s">
        <v>63</v>
      </c>
      <c r="AH3091" s="4" t="s">
        <v>63</v>
      </c>
      <c r="AI3091" s="4" t="s">
        <v>25146</v>
      </c>
      <c r="AJ3091" s="4" t="s">
        <v>63</v>
      </c>
      <c r="AK3091" s="4" t="s">
        <v>63</v>
      </c>
      <c r="AL3091" s="4" t="s">
        <v>63</v>
      </c>
      <c r="AM3091" s="4" t="s">
        <v>25140</v>
      </c>
      <c r="AN3091" s="4" t="s">
        <v>63</v>
      </c>
      <c r="AO3091" s="4" t="s">
        <v>63</v>
      </c>
      <c r="AP3091" s="4" t="s">
        <v>63</v>
      </c>
      <c r="AQ3091" s="4" t="s">
        <v>63</v>
      </c>
      <c r="AR3091" s="4" t="s">
        <v>63</v>
      </c>
      <c r="AS3091" s="4" t="s">
        <v>63</v>
      </c>
      <c r="AT3091" s="4" t="s">
        <v>63</v>
      </c>
      <c r="AU3091" s="4" t="s">
        <v>63</v>
      </c>
      <c r="AV3091" s="4" t="s">
        <v>63</v>
      </c>
      <c r="AW3091" s="4" t="s">
        <v>63</v>
      </c>
      <c r="AX3091" s="4" t="s">
        <v>63</v>
      </c>
      <c r="AY3091" s="4" t="s">
        <v>63</v>
      </c>
      <c r="AZ3091" s="4" t="s">
        <v>63</v>
      </c>
      <c r="BA3091" s="4" t="s">
        <v>63</v>
      </c>
      <c r="BB3091" s="4" t="s">
        <v>63</v>
      </c>
      <c r="BC3091" s="4" t="s">
        <v>63</v>
      </c>
      <c r="BD3091" s="4" t="s">
        <v>63</v>
      </c>
      <c r="BE3091" s="4" t="s">
        <v>63</v>
      </c>
      <c r="BF3091" s="4" t="s">
        <v>63</v>
      </c>
    </row>
    <row r="3092" spans="1:58">
      <c r="A3092" s="4" t="s">
        <v>58</v>
      </c>
      <c r="B3092" s="4" t="s">
        <v>25147</v>
      </c>
      <c r="C3092" s="4" t="s">
        <v>25148</v>
      </c>
      <c r="D3092" s="4" t="s">
        <v>25149</v>
      </c>
      <c r="E3092" s="4" t="s">
        <v>63</v>
      </c>
      <c r="F3092" s="4">
        <v>2015</v>
      </c>
      <c r="G3092" s="4" t="s">
        <v>63</v>
      </c>
      <c r="H3092" s="4">
        <v>62</v>
      </c>
      <c r="I3092" s="4">
        <v>3</v>
      </c>
      <c r="J3092" s="4">
        <v>10</v>
      </c>
      <c r="K3092" s="4">
        <v>14</v>
      </c>
      <c r="L3092" s="4" t="s">
        <v>25150</v>
      </c>
      <c r="M3092" s="4" t="s">
        <v>25151</v>
      </c>
      <c r="N3092" s="4" t="s">
        <v>25152</v>
      </c>
      <c r="O3092" s="4" t="s">
        <v>63</v>
      </c>
      <c r="P3092" s="4"/>
      <c r="Q3092" s="4" t="s">
        <v>63</v>
      </c>
      <c r="R3092" s="4" t="s">
        <v>63</v>
      </c>
      <c r="S3092" s="4" t="s">
        <v>63</v>
      </c>
      <c r="T3092" s="4" t="s">
        <v>63</v>
      </c>
      <c r="U3092" s="4"/>
      <c r="V3092" s="4"/>
      <c r="W3092" s="4"/>
      <c r="X3092" s="4" t="s">
        <v>63</v>
      </c>
      <c r="Y3092" s="4" t="s">
        <v>25153</v>
      </c>
      <c r="Z3092" s="4" t="s">
        <v>63</v>
      </c>
      <c r="AA3092" s="4" t="s">
        <v>25154</v>
      </c>
      <c r="AB3092" s="4" t="s">
        <v>25155</v>
      </c>
      <c r="AC3092" s="4" t="s">
        <v>67</v>
      </c>
      <c r="AD3092" s="4" t="s">
        <v>63</v>
      </c>
      <c r="AE3092" s="4" t="s">
        <v>63</v>
      </c>
      <c r="AF3092" s="4" t="s">
        <v>63</v>
      </c>
      <c r="AG3092" s="4" t="s">
        <v>63</v>
      </c>
      <c r="AH3092" s="4" t="s">
        <v>63</v>
      </c>
      <c r="AI3092" s="4" t="s">
        <v>63</v>
      </c>
      <c r="AJ3092" s="4" t="s">
        <v>63</v>
      </c>
      <c r="AK3092" s="4" t="s">
        <v>63</v>
      </c>
      <c r="AL3092" s="4" t="s">
        <v>63</v>
      </c>
      <c r="AM3092" s="4" t="s">
        <v>25148</v>
      </c>
      <c r="AN3092" s="4" t="s">
        <v>63</v>
      </c>
      <c r="AO3092" s="4" t="s">
        <v>63</v>
      </c>
      <c r="AP3092" s="4" t="s">
        <v>63</v>
      </c>
      <c r="AQ3092" s="4" t="s">
        <v>63</v>
      </c>
      <c r="AR3092" s="4" t="s">
        <v>63</v>
      </c>
      <c r="AS3092" s="4" t="s">
        <v>63</v>
      </c>
      <c r="AT3092" s="4" t="s">
        <v>63</v>
      </c>
      <c r="AU3092" s="4" t="s">
        <v>63</v>
      </c>
      <c r="AV3092" s="4" t="s">
        <v>63</v>
      </c>
      <c r="AW3092" s="4" t="s">
        <v>63</v>
      </c>
      <c r="AX3092" s="4" t="s">
        <v>63</v>
      </c>
      <c r="AY3092" s="4" t="s">
        <v>63</v>
      </c>
      <c r="AZ3092" s="4" t="s">
        <v>63</v>
      </c>
      <c r="BA3092" s="4" t="s">
        <v>63</v>
      </c>
      <c r="BB3092" s="4" t="s">
        <v>63</v>
      </c>
      <c r="BC3092" s="4" t="s">
        <v>63</v>
      </c>
      <c r="BD3092" s="4" t="s">
        <v>63</v>
      </c>
      <c r="BE3092" s="4" t="s">
        <v>63</v>
      </c>
      <c r="BF3092" s="4" t="s">
        <v>63</v>
      </c>
    </row>
    <row r="3093" spans="1:58">
      <c r="A3093" s="4" t="s">
        <v>58</v>
      </c>
      <c r="B3093" s="4" t="s">
        <v>25156</v>
      </c>
      <c r="C3093" s="4" t="s">
        <v>25157</v>
      </c>
      <c r="D3093" s="4" t="s">
        <v>325</v>
      </c>
      <c r="E3093" s="4" t="s">
        <v>63</v>
      </c>
      <c r="F3093" s="4">
        <v>2018</v>
      </c>
      <c r="G3093" s="4" t="s">
        <v>326</v>
      </c>
      <c r="H3093" s="4">
        <v>42</v>
      </c>
      <c r="I3093" s="4">
        <v>1</v>
      </c>
      <c r="J3093" s="4">
        <v>88</v>
      </c>
      <c r="K3093" s="4">
        <v>93</v>
      </c>
      <c r="L3093" s="4" t="s">
        <v>25158</v>
      </c>
      <c r="M3093" s="4" t="s">
        <v>25159</v>
      </c>
      <c r="N3093" s="4" t="s">
        <v>25160</v>
      </c>
      <c r="O3093" s="4" t="s">
        <v>63</v>
      </c>
      <c r="P3093" s="4"/>
      <c r="Q3093" s="4" t="s">
        <v>63</v>
      </c>
      <c r="R3093" s="4" t="s">
        <v>63</v>
      </c>
      <c r="S3093" s="4" t="s">
        <v>63</v>
      </c>
      <c r="T3093" s="4" t="s">
        <v>63</v>
      </c>
      <c r="U3093" s="4"/>
      <c r="V3093" s="4"/>
      <c r="W3093" s="4"/>
      <c r="X3093" s="4" t="s">
        <v>63</v>
      </c>
      <c r="Y3093" s="4" t="s">
        <v>866</v>
      </c>
      <c r="Z3093" s="4" t="s">
        <v>63</v>
      </c>
      <c r="AA3093" s="4" t="s">
        <v>25161</v>
      </c>
      <c r="AB3093" s="4" t="s">
        <v>25162</v>
      </c>
      <c r="AC3093" s="4" t="s">
        <v>67</v>
      </c>
      <c r="AD3093" s="4" t="s">
        <v>63</v>
      </c>
      <c r="AE3093" s="4" t="s">
        <v>63</v>
      </c>
      <c r="AF3093" s="4" t="s">
        <v>63</v>
      </c>
      <c r="AG3093" s="4" t="s">
        <v>63</v>
      </c>
      <c r="AH3093" s="4" t="s">
        <v>63</v>
      </c>
      <c r="AI3093" s="4" t="s">
        <v>25163</v>
      </c>
      <c r="AJ3093" s="4" t="s">
        <v>63</v>
      </c>
      <c r="AK3093" s="4" t="s">
        <v>63</v>
      </c>
      <c r="AL3093" s="4" t="s">
        <v>63</v>
      </c>
      <c r="AM3093" s="4" t="s">
        <v>25157</v>
      </c>
      <c r="AN3093" s="4" t="s">
        <v>63</v>
      </c>
      <c r="AO3093" s="4" t="s">
        <v>63</v>
      </c>
      <c r="AP3093" s="4" t="s">
        <v>63</v>
      </c>
      <c r="AQ3093" s="4" t="s">
        <v>63</v>
      </c>
      <c r="AR3093" s="4" t="s">
        <v>63</v>
      </c>
      <c r="AS3093" s="4" t="s">
        <v>63</v>
      </c>
      <c r="AT3093" s="4" t="s">
        <v>63</v>
      </c>
      <c r="AU3093" s="4" t="s">
        <v>63</v>
      </c>
      <c r="AV3093" s="4" t="s">
        <v>63</v>
      </c>
      <c r="AW3093" s="4" t="s">
        <v>63</v>
      </c>
      <c r="AX3093" s="4" t="s">
        <v>63</v>
      </c>
      <c r="AY3093" s="4" t="s">
        <v>63</v>
      </c>
      <c r="AZ3093" s="4" t="s">
        <v>63</v>
      </c>
      <c r="BA3093" s="4" t="s">
        <v>63</v>
      </c>
      <c r="BB3093" s="4" t="s">
        <v>63</v>
      </c>
      <c r="BC3093" s="4" t="s">
        <v>63</v>
      </c>
      <c r="BD3093" s="4" t="s">
        <v>63</v>
      </c>
      <c r="BE3093" s="4" t="s">
        <v>63</v>
      </c>
      <c r="BF3093" s="4" t="s">
        <v>63</v>
      </c>
    </row>
    <row r="3094" spans="1:58">
      <c r="A3094" s="4" t="s">
        <v>23992</v>
      </c>
      <c r="B3094" s="4" t="s">
        <v>25164</v>
      </c>
      <c r="C3094" s="4" t="s">
        <v>25165</v>
      </c>
      <c r="D3094" s="4" t="s">
        <v>25166</v>
      </c>
      <c r="E3094" s="4" t="s">
        <v>63</v>
      </c>
      <c r="F3094" s="4">
        <v>2003</v>
      </c>
      <c r="G3094" s="4" t="s">
        <v>63</v>
      </c>
      <c r="H3094" s="4" t="s">
        <v>63</v>
      </c>
      <c r="I3094" s="4" t="s">
        <v>63</v>
      </c>
      <c r="J3094" s="4">
        <v>64</v>
      </c>
      <c r="K3094" s="4">
        <v>67</v>
      </c>
      <c r="L3094" s="4" t="s">
        <v>63</v>
      </c>
      <c r="M3094" s="4" t="s">
        <v>63</v>
      </c>
      <c r="N3094" s="4" t="s">
        <v>25167</v>
      </c>
      <c r="O3094" s="4" t="s">
        <v>63</v>
      </c>
      <c r="P3094" s="4"/>
      <c r="Q3094" s="4" t="s">
        <v>63</v>
      </c>
      <c r="R3094" s="4" t="s">
        <v>63</v>
      </c>
      <c r="S3094" s="4" t="s">
        <v>25168</v>
      </c>
      <c r="T3094" s="4" t="s">
        <v>25169</v>
      </c>
      <c r="U3094" s="4"/>
      <c r="V3094" s="4"/>
      <c r="W3094" s="4"/>
      <c r="X3094" s="4" t="s">
        <v>25170</v>
      </c>
      <c r="Y3094" s="4" t="s">
        <v>25171</v>
      </c>
      <c r="Z3094" s="4" t="s">
        <v>63</v>
      </c>
      <c r="AA3094" s="4" t="s">
        <v>25172</v>
      </c>
      <c r="AB3094" s="4" t="s">
        <v>25173</v>
      </c>
      <c r="AC3094" s="4" t="s">
        <v>67</v>
      </c>
      <c r="AD3094" s="4" t="s">
        <v>63</v>
      </c>
      <c r="AE3094" s="4" t="s">
        <v>63</v>
      </c>
      <c r="AF3094" s="4" t="s">
        <v>63</v>
      </c>
      <c r="AG3094" s="4" t="s">
        <v>63</v>
      </c>
      <c r="AH3094" s="4" t="s">
        <v>63</v>
      </c>
      <c r="AI3094" s="4" t="s">
        <v>63</v>
      </c>
      <c r="AJ3094" s="4" t="s">
        <v>63</v>
      </c>
      <c r="AK3094" s="4" t="s">
        <v>63</v>
      </c>
      <c r="AL3094" s="4" t="s">
        <v>63</v>
      </c>
      <c r="AM3094" s="4" t="s">
        <v>25165</v>
      </c>
      <c r="AN3094" s="4" t="s">
        <v>63</v>
      </c>
      <c r="AO3094" s="4" t="s">
        <v>63</v>
      </c>
      <c r="AP3094" s="4" t="s">
        <v>63</v>
      </c>
      <c r="AQ3094" s="4" t="s">
        <v>63</v>
      </c>
      <c r="AR3094" s="4" t="s">
        <v>63</v>
      </c>
      <c r="AS3094" s="4" t="s">
        <v>63</v>
      </c>
      <c r="AT3094" s="4" t="s">
        <v>63</v>
      </c>
      <c r="AU3094" s="4" t="s">
        <v>63</v>
      </c>
      <c r="AV3094" s="4" t="s">
        <v>63</v>
      </c>
      <c r="AW3094" s="4" t="s">
        <v>63</v>
      </c>
      <c r="AX3094" s="4" t="s">
        <v>63</v>
      </c>
      <c r="AY3094" s="4" t="s">
        <v>63</v>
      </c>
      <c r="AZ3094" s="4" t="s">
        <v>63</v>
      </c>
      <c r="BA3094" s="4" t="s">
        <v>63</v>
      </c>
      <c r="BB3094" s="4" t="s">
        <v>63</v>
      </c>
      <c r="BC3094" s="4" t="s">
        <v>63</v>
      </c>
      <c r="BD3094" s="4" t="s">
        <v>63</v>
      </c>
      <c r="BE3094" s="4" t="s">
        <v>63</v>
      </c>
      <c r="BF3094" s="4" t="s">
        <v>63</v>
      </c>
    </row>
    <row r="3095" spans="1:58">
      <c r="A3095" s="4" t="s">
        <v>25174</v>
      </c>
      <c r="B3095" s="4"/>
      <c r="C3095" s="4" t="s">
        <v>25175</v>
      </c>
      <c r="D3095" s="4" t="s">
        <v>63</v>
      </c>
      <c r="E3095" s="4" t="s">
        <v>63</v>
      </c>
      <c r="F3095" s="4">
        <v>437</v>
      </c>
      <c r="G3095" s="4" t="s">
        <v>25176</v>
      </c>
      <c r="H3095" s="4" t="s">
        <v>63</v>
      </c>
      <c r="I3095" s="4" t="s">
        <v>63</v>
      </c>
      <c r="J3095" s="4">
        <v>43</v>
      </c>
      <c r="K3095" s="4" t="s">
        <v>63</v>
      </c>
      <c r="L3095" s="4" t="s">
        <v>25177</v>
      </c>
      <c r="M3095" s="4" t="s">
        <v>25178</v>
      </c>
      <c r="N3095" s="4" t="s">
        <v>25179</v>
      </c>
      <c r="O3095" s="4" t="s">
        <v>63</v>
      </c>
      <c r="P3095" s="4"/>
      <c r="Q3095" s="4" t="s">
        <v>63</v>
      </c>
      <c r="R3095" s="4" t="s">
        <v>63</v>
      </c>
      <c r="S3095" s="4" t="s">
        <v>25180</v>
      </c>
      <c r="T3095" s="4" t="s">
        <v>25181</v>
      </c>
      <c r="U3095" s="4"/>
      <c r="V3095" s="4"/>
      <c r="W3095" s="4"/>
      <c r="X3095" s="4" t="s">
        <v>63</v>
      </c>
      <c r="Y3095" s="4" t="s">
        <v>63</v>
      </c>
      <c r="Z3095" s="4" t="s">
        <v>63</v>
      </c>
      <c r="AA3095" s="4" t="s">
        <v>25182</v>
      </c>
      <c r="AB3095" s="4" t="s">
        <v>25183</v>
      </c>
      <c r="AC3095" s="4" t="s">
        <v>67</v>
      </c>
      <c r="AD3095" s="4" t="s">
        <v>63</v>
      </c>
      <c r="AE3095" s="4" t="s">
        <v>63</v>
      </c>
      <c r="AF3095" s="4" t="s">
        <v>63</v>
      </c>
      <c r="AG3095" s="4" t="s">
        <v>63</v>
      </c>
      <c r="AH3095" s="4" t="s">
        <v>63</v>
      </c>
      <c r="AI3095" s="4" t="s">
        <v>63</v>
      </c>
      <c r="AJ3095" s="4" t="s">
        <v>63</v>
      </c>
      <c r="AK3095" s="4" t="s">
        <v>63</v>
      </c>
      <c r="AL3095" s="4" t="s">
        <v>63</v>
      </c>
      <c r="AM3095" s="4" t="s">
        <v>25184</v>
      </c>
      <c r="AN3095" s="4" t="s">
        <v>63</v>
      </c>
      <c r="AO3095" s="4" t="s">
        <v>63</v>
      </c>
      <c r="AP3095" s="4" t="s">
        <v>63</v>
      </c>
      <c r="AQ3095" s="4" t="s">
        <v>63</v>
      </c>
      <c r="AR3095" s="4" t="s">
        <v>63</v>
      </c>
      <c r="AS3095" s="4" t="s">
        <v>63</v>
      </c>
      <c r="AT3095" s="4" t="s">
        <v>63</v>
      </c>
      <c r="AU3095" s="4" t="s">
        <v>63</v>
      </c>
      <c r="AV3095" s="4" t="s">
        <v>63</v>
      </c>
      <c r="AW3095" s="4" t="s">
        <v>63</v>
      </c>
      <c r="AX3095" s="4" t="s">
        <v>63</v>
      </c>
      <c r="AY3095" s="4" t="s">
        <v>63</v>
      </c>
      <c r="AZ3095" s="4" t="s">
        <v>63</v>
      </c>
      <c r="BA3095" s="4" t="s">
        <v>63</v>
      </c>
      <c r="BB3095" s="4" t="s">
        <v>63</v>
      </c>
      <c r="BC3095" s="4" t="s">
        <v>63</v>
      </c>
      <c r="BD3095" s="4" t="s">
        <v>63</v>
      </c>
      <c r="BE3095" s="4" t="s">
        <v>63</v>
      </c>
      <c r="BF3095" s="4" t="s">
        <v>63</v>
      </c>
    </row>
    <row r="3096" spans="1:58">
      <c r="A3096" s="4" t="s">
        <v>58</v>
      </c>
      <c r="B3096" s="4"/>
      <c r="C3096" s="4" t="s">
        <v>25185</v>
      </c>
      <c r="D3096" s="4" t="s">
        <v>389</v>
      </c>
      <c r="E3096" s="4" t="s">
        <v>63</v>
      </c>
      <c r="F3096" s="4">
        <v>2012</v>
      </c>
      <c r="G3096" s="4" t="s">
        <v>63</v>
      </c>
      <c r="H3096" s="4">
        <v>33</v>
      </c>
      <c r="I3096" s="4">
        <v>2</v>
      </c>
      <c r="J3096" s="4">
        <v>199</v>
      </c>
      <c r="K3096" s="4">
        <v>225</v>
      </c>
      <c r="L3096" s="4" t="s">
        <v>25186</v>
      </c>
      <c r="M3096" s="4" t="s">
        <v>25187</v>
      </c>
      <c r="N3096" s="4" t="s">
        <v>25188</v>
      </c>
      <c r="O3096" s="4" t="s">
        <v>63</v>
      </c>
      <c r="P3096" s="4"/>
      <c r="Q3096" s="4" t="s">
        <v>63</v>
      </c>
      <c r="R3096" s="4" t="s">
        <v>63</v>
      </c>
      <c r="S3096" s="4" t="s">
        <v>63</v>
      </c>
      <c r="T3096" s="4" t="s">
        <v>63</v>
      </c>
      <c r="U3096" s="4"/>
      <c r="V3096" s="4"/>
      <c r="W3096" s="4"/>
      <c r="X3096" s="4" t="s">
        <v>63</v>
      </c>
      <c r="Y3096" s="4" t="s">
        <v>392</v>
      </c>
      <c r="Z3096" s="4" t="s">
        <v>63</v>
      </c>
      <c r="AA3096" s="4" t="s">
        <v>25189</v>
      </c>
      <c r="AB3096" s="4" t="s">
        <v>25190</v>
      </c>
      <c r="AC3096" s="4" t="s">
        <v>67</v>
      </c>
      <c r="AD3096" s="4" t="s">
        <v>63</v>
      </c>
      <c r="AE3096" s="4" t="s">
        <v>63</v>
      </c>
      <c r="AF3096" s="4" t="s">
        <v>63</v>
      </c>
      <c r="AG3096" s="4" t="s">
        <v>63</v>
      </c>
      <c r="AH3096" s="4" t="s">
        <v>63</v>
      </c>
      <c r="AI3096" s="4" t="s">
        <v>63</v>
      </c>
      <c r="AJ3096" s="4" t="s">
        <v>63</v>
      </c>
      <c r="AK3096" s="4" t="s">
        <v>63</v>
      </c>
      <c r="AL3096" s="4" t="s">
        <v>63</v>
      </c>
      <c r="AM3096" s="4" t="s">
        <v>25191</v>
      </c>
      <c r="AN3096" s="4" t="s">
        <v>63</v>
      </c>
      <c r="AO3096" s="4" t="s">
        <v>63</v>
      </c>
      <c r="AP3096" s="4" t="s">
        <v>63</v>
      </c>
      <c r="AQ3096" s="4" t="s">
        <v>63</v>
      </c>
      <c r="AR3096" s="4" t="s">
        <v>63</v>
      </c>
      <c r="AS3096" s="4" t="s">
        <v>63</v>
      </c>
      <c r="AT3096" s="4" t="s">
        <v>63</v>
      </c>
      <c r="AU3096" s="4" t="s">
        <v>63</v>
      </c>
      <c r="AV3096" s="4" t="s">
        <v>63</v>
      </c>
      <c r="AW3096" s="4" t="s">
        <v>63</v>
      </c>
      <c r="AX3096" s="4" t="s">
        <v>63</v>
      </c>
      <c r="AY3096" s="4" t="s">
        <v>63</v>
      </c>
      <c r="AZ3096" s="4" t="s">
        <v>63</v>
      </c>
      <c r="BA3096" s="4" t="s">
        <v>63</v>
      </c>
      <c r="BB3096" s="4" t="s">
        <v>63</v>
      </c>
      <c r="BC3096" s="4" t="s">
        <v>63</v>
      </c>
      <c r="BD3096" s="4" t="s">
        <v>63</v>
      </c>
      <c r="BE3096" s="4" t="s">
        <v>63</v>
      </c>
      <c r="BF3096" s="4" t="s">
        <v>63</v>
      </c>
    </row>
    <row r="3097" spans="1:58">
      <c r="A3097" s="4" t="s">
        <v>25174</v>
      </c>
      <c r="B3097" s="4"/>
      <c r="C3097" s="4" t="s">
        <v>25192</v>
      </c>
      <c r="D3097" s="4" t="s">
        <v>63</v>
      </c>
      <c r="E3097" s="4" t="s">
        <v>63</v>
      </c>
      <c r="F3097" s="4">
        <v>2011</v>
      </c>
      <c r="G3097" s="4" t="s">
        <v>63</v>
      </c>
      <c r="H3097" s="4" t="s">
        <v>63</v>
      </c>
      <c r="I3097" s="4" t="s">
        <v>63</v>
      </c>
      <c r="J3097" s="4">
        <v>146</v>
      </c>
      <c r="K3097" s="4" t="s">
        <v>63</v>
      </c>
      <c r="L3097" s="4" t="s">
        <v>25193</v>
      </c>
      <c r="M3097" s="4" t="s">
        <v>25194</v>
      </c>
      <c r="N3097" s="4" t="s">
        <v>25195</v>
      </c>
      <c r="O3097" s="4" t="s">
        <v>63</v>
      </c>
      <c r="P3097" s="4"/>
      <c r="Q3097" s="4" t="s">
        <v>63</v>
      </c>
      <c r="R3097" s="4" t="s">
        <v>63</v>
      </c>
      <c r="S3097" s="4" t="s">
        <v>25196</v>
      </c>
      <c r="T3097" s="4" t="s">
        <v>25197</v>
      </c>
      <c r="U3097" s="4"/>
      <c r="V3097" s="4"/>
      <c r="W3097" s="4"/>
      <c r="X3097" s="4" t="s">
        <v>63</v>
      </c>
      <c r="Y3097" s="4" t="s">
        <v>63</v>
      </c>
      <c r="Z3097" s="4" t="s">
        <v>63</v>
      </c>
      <c r="AA3097" s="4" t="s">
        <v>25198</v>
      </c>
      <c r="AB3097" s="4" t="s">
        <v>25199</v>
      </c>
      <c r="AC3097" s="4" t="s">
        <v>67</v>
      </c>
      <c r="AD3097" s="4" t="s">
        <v>63</v>
      </c>
      <c r="AE3097" s="4" t="s">
        <v>63</v>
      </c>
      <c r="AF3097" s="4" t="s">
        <v>63</v>
      </c>
      <c r="AG3097" s="4" t="s">
        <v>63</v>
      </c>
      <c r="AH3097" s="4" t="s">
        <v>63</v>
      </c>
      <c r="AI3097" s="4" t="s">
        <v>63</v>
      </c>
      <c r="AJ3097" s="4" t="s">
        <v>63</v>
      </c>
      <c r="AK3097" s="4" t="s">
        <v>63</v>
      </c>
      <c r="AL3097" s="4" t="s">
        <v>63</v>
      </c>
      <c r="AM3097" s="4" t="s">
        <v>25200</v>
      </c>
      <c r="AN3097" s="4" t="s">
        <v>63</v>
      </c>
      <c r="AO3097" s="4" t="s">
        <v>63</v>
      </c>
      <c r="AP3097" s="4" t="s">
        <v>63</v>
      </c>
      <c r="AQ3097" s="4" t="s">
        <v>63</v>
      </c>
      <c r="AR3097" s="4" t="s">
        <v>63</v>
      </c>
      <c r="AS3097" s="4" t="s">
        <v>63</v>
      </c>
      <c r="AT3097" s="4" t="s">
        <v>63</v>
      </c>
      <c r="AU3097" s="4" t="s">
        <v>63</v>
      </c>
      <c r="AV3097" s="4" t="s">
        <v>63</v>
      </c>
      <c r="AW3097" s="4" t="s">
        <v>63</v>
      </c>
      <c r="AX3097" s="4" t="s">
        <v>63</v>
      </c>
      <c r="AY3097" s="4" t="s">
        <v>63</v>
      </c>
      <c r="AZ3097" s="4" t="s">
        <v>63</v>
      </c>
      <c r="BA3097" s="4" t="s">
        <v>63</v>
      </c>
      <c r="BB3097" s="4" t="s">
        <v>63</v>
      </c>
      <c r="BC3097" s="4" t="s">
        <v>63</v>
      </c>
      <c r="BD3097" s="4" t="s">
        <v>63</v>
      </c>
      <c r="BE3097" s="4" t="s">
        <v>63</v>
      </c>
      <c r="BF3097" s="4" t="s">
        <v>63</v>
      </c>
    </row>
    <row r="3098" spans="1:58">
      <c r="A3098" s="4" t="s">
        <v>25174</v>
      </c>
      <c r="B3098" s="4"/>
      <c r="C3098" s="4" t="s">
        <v>25201</v>
      </c>
      <c r="D3098" s="4" t="s">
        <v>63</v>
      </c>
      <c r="E3098" s="4" t="s">
        <v>63</v>
      </c>
      <c r="F3098" s="4">
        <v>2004</v>
      </c>
      <c r="G3098" s="5">
        <v>35399</v>
      </c>
      <c r="H3098" s="4" t="s">
        <v>63</v>
      </c>
      <c r="I3098" s="4" t="s">
        <v>63</v>
      </c>
      <c r="J3098" s="4">
        <v>77</v>
      </c>
      <c r="K3098" s="4" t="s">
        <v>63</v>
      </c>
      <c r="L3098" s="4" t="s">
        <v>25202</v>
      </c>
      <c r="M3098" s="4" t="s">
        <v>25203</v>
      </c>
      <c r="N3098" s="4" t="s">
        <v>25204</v>
      </c>
      <c r="O3098" s="4" t="s">
        <v>63</v>
      </c>
      <c r="P3098" s="4"/>
      <c r="Q3098" s="4" t="s">
        <v>63</v>
      </c>
      <c r="R3098" s="4" t="s">
        <v>63</v>
      </c>
      <c r="S3098" s="4" t="s">
        <v>25205</v>
      </c>
      <c r="T3098" s="4" t="s">
        <v>25206</v>
      </c>
      <c r="U3098" s="4"/>
      <c r="V3098" s="4"/>
      <c r="W3098" s="4"/>
      <c r="X3098" s="4" t="s">
        <v>63</v>
      </c>
      <c r="Y3098" s="4" t="s">
        <v>63</v>
      </c>
      <c r="Z3098" s="4" t="s">
        <v>63</v>
      </c>
      <c r="AA3098" s="4" t="s">
        <v>25207</v>
      </c>
      <c r="AB3098" s="4" t="s">
        <v>25208</v>
      </c>
      <c r="AC3098" s="4" t="s">
        <v>67</v>
      </c>
      <c r="AD3098" s="4" t="s">
        <v>63</v>
      </c>
      <c r="AE3098" s="4" t="s">
        <v>63</v>
      </c>
      <c r="AF3098" s="4" t="s">
        <v>63</v>
      </c>
      <c r="AG3098" s="4" t="s">
        <v>63</v>
      </c>
      <c r="AH3098" s="4" t="s">
        <v>63</v>
      </c>
      <c r="AI3098" s="4" t="s">
        <v>63</v>
      </c>
      <c r="AJ3098" s="4" t="s">
        <v>63</v>
      </c>
      <c r="AK3098" s="4" t="s">
        <v>63</v>
      </c>
      <c r="AL3098" s="4" t="s">
        <v>63</v>
      </c>
      <c r="AM3098" s="4" t="s">
        <v>25209</v>
      </c>
      <c r="AN3098" s="4" t="s">
        <v>63</v>
      </c>
      <c r="AO3098" s="4" t="s">
        <v>63</v>
      </c>
      <c r="AP3098" s="4" t="s">
        <v>63</v>
      </c>
      <c r="AQ3098" s="4" t="s">
        <v>63</v>
      </c>
      <c r="AR3098" s="4" t="s">
        <v>63</v>
      </c>
      <c r="AS3098" s="4" t="s">
        <v>63</v>
      </c>
      <c r="AT3098" s="4" t="s">
        <v>63</v>
      </c>
      <c r="AU3098" s="4" t="s">
        <v>63</v>
      </c>
      <c r="AV3098" s="4" t="s">
        <v>63</v>
      </c>
      <c r="AW3098" s="4" t="s">
        <v>63</v>
      </c>
      <c r="AX3098" s="4" t="s">
        <v>63</v>
      </c>
      <c r="AY3098" s="4" t="s">
        <v>63</v>
      </c>
      <c r="AZ3098" s="4" t="s">
        <v>63</v>
      </c>
      <c r="BA3098" s="4" t="s">
        <v>63</v>
      </c>
      <c r="BB3098" s="4" t="s">
        <v>63</v>
      </c>
      <c r="BC3098" s="4" t="s">
        <v>63</v>
      </c>
      <c r="BD3098" s="4" t="s">
        <v>63</v>
      </c>
      <c r="BE3098" s="4" t="s">
        <v>63</v>
      </c>
      <c r="BF3098" s="4" t="s">
        <v>63</v>
      </c>
    </row>
    <row r="3099" spans="1:58">
      <c r="A3099" s="4" t="s">
        <v>25174</v>
      </c>
      <c r="B3099" s="4"/>
      <c r="C3099" s="4" t="s">
        <v>25210</v>
      </c>
      <c r="D3099" s="4" t="s">
        <v>63</v>
      </c>
      <c r="E3099" s="4" t="s">
        <v>63</v>
      </c>
      <c r="F3099" s="4">
        <v>2001</v>
      </c>
      <c r="G3099" s="5">
        <v>35369</v>
      </c>
      <c r="H3099" s="4" t="s">
        <v>63</v>
      </c>
      <c r="I3099" s="4" t="s">
        <v>63</v>
      </c>
      <c r="J3099" s="4">
        <v>59</v>
      </c>
      <c r="K3099" s="4" t="s">
        <v>63</v>
      </c>
      <c r="L3099" s="4" t="s">
        <v>25211</v>
      </c>
      <c r="M3099" s="4" t="s">
        <v>25212</v>
      </c>
      <c r="N3099" s="4" t="s">
        <v>25213</v>
      </c>
      <c r="O3099" s="4" t="s">
        <v>63</v>
      </c>
      <c r="P3099" s="4"/>
      <c r="Q3099" s="4" t="s">
        <v>63</v>
      </c>
      <c r="R3099" s="4" t="s">
        <v>63</v>
      </c>
      <c r="S3099" s="4" t="s">
        <v>25214</v>
      </c>
      <c r="T3099" s="4" t="s">
        <v>25215</v>
      </c>
      <c r="U3099" s="4"/>
      <c r="V3099" s="4"/>
      <c r="W3099" s="4"/>
      <c r="X3099" s="4" t="s">
        <v>63</v>
      </c>
      <c r="Y3099" s="4" t="s">
        <v>63</v>
      </c>
      <c r="Z3099" s="4" t="s">
        <v>63</v>
      </c>
      <c r="AA3099" s="4" t="s">
        <v>25216</v>
      </c>
      <c r="AB3099" s="4" t="s">
        <v>25217</v>
      </c>
      <c r="AC3099" s="4" t="s">
        <v>67</v>
      </c>
      <c r="AD3099" s="4" t="s">
        <v>63</v>
      </c>
      <c r="AE3099" s="4" t="s">
        <v>63</v>
      </c>
      <c r="AF3099" s="4" t="s">
        <v>63</v>
      </c>
      <c r="AG3099" s="4" t="s">
        <v>63</v>
      </c>
      <c r="AH3099" s="4" t="s">
        <v>63</v>
      </c>
      <c r="AI3099" s="4" t="s">
        <v>63</v>
      </c>
      <c r="AJ3099" s="4" t="s">
        <v>63</v>
      </c>
      <c r="AK3099" s="4" t="s">
        <v>63</v>
      </c>
      <c r="AL3099" s="4" t="s">
        <v>63</v>
      </c>
      <c r="AM3099" s="4" t="s">
        <v>25218</v>
      </c>
      <c r="AN3099" s="4" t="s">
        <v>63</v>
      </c>
      <c r="AO3099" s="4" t="s">
        <v>63</v>
      </c>
      <c r="AP3099" s="4" t="s">
        <v>63</v>
      </c>
      <c r="AQ3099" s="4" t="s">
        <v>63</v>
      </c>
      <c r="AR3099" s="4" t="s">
        <v>63</v>
      </c>
      <c r="AS3099" s="4" t="s">
        <v>63</v>
      </c>
      <c r="AT3099" s="4" t="s">
        <v>63</v>
      </c>
      <c r="AU3099" s="4" t="s">
        <v>63</v>
      </c>
      <c r="AV3099" s="4" t="s">
        <v>63</v>
      </c>
      <c r="AW3099" s="4" t="s">
        <v>63</v>
      </c>
      <c r="AX3099" s="4" t="s">
        <v>63</v>
      </c>
      <c r="AY3099" s="4" t="s">
        <v>63</v>
      </c>
      <c r="AZ3099" s="4" t="s">
        <v>63</v>
      </c>
      <c r="BA3099" s="4" t="s">
        <v>63</v>
      </c>
      <c r="BB3099" s="4" t="s">
        <v>63</v>
      </c>
      <c r="BC3099" s="4" t="s">
        <v>63</v>
      </c>
      <c r="BD3099" s="4" t="s">
        <v>63</v>
      </c>
      <c r="BE3099" s="4" t="s">
        <v>63</v>
      </c>
      <c r="BF3099" s="4" t="s">
        <v>63</v>
      </c>
    </row>
    <row r="3100" spans="1:58">
      <c r="A3100" s="4" t="s">
        <v>25174</v>
      </c>
      <c r="B3100" s="4"/>
      <c r="C3100" s="4" t="s">
        <v>25219</v>
      </c>
      <c r="D3100" s="4" t="s">
        <v>63</v>
      </c>
      <c r="E3100" s="4" t="s">
        <v>63</v>
      </c>
      <c r="F3100" s="4">
        <v>2000</v>
      </c>
      <c r="G3100" s="5">
        <v>35155</v>
      </c>
      <c r="H3100" s="4" t="s">
        <v>63</v>
      </c>
      <c r="I3100" s="4" t="s">
        <v>63</v>
      </c>
      <c r="J3100" s="4">
        <v>115</v>
      </c>
      <c r="K3100" s="4" t="s">
        <v>63</v>
      </c>
      <c r="L3100" s="4" t="s">
        <v>25220</v>
      </c>
      <c r="M3100" s="4" t="s">
        <v>25221</v>
      </c>
      <c r="N3100" s="4" t="s">
        <v>25222</v>
      </c>
      <c r="O3100" s="4" t="s">
        <v>63</v>
      </c>
      <c r="P3100" s="4"/>
      <c r="Q3100" s="4" t="s">
        <v>63</v>
      </c>
      <c r="R3100" s="4" t="s">
        <v>63</v>
      </c>
      <c r="S3100" s="4" t="s">
        <v>25214</v>
      </c>
      <c r="T3100" s="4" t="s">
        <v>63</v>
      </c>
      <c r="U3100" s="4"/>
      <c r="V3100" s="4"/>
      <c r="W3100" s="4"/>
      <c r="X3100" s="4" t="s">
        <v>63</v>
      </c>
      <c r="Y3100" s="4" t="s">
        <v>63</v>
      </c>
      <c r="Z3100" s="4" t="s">
        <v>63</v>
      </c>
      <c r="AA3100" s="4" t="s">
        <v>63</v>
      </c>
      <c r="AB3100" s="4" t="s">
        <v>25223</v>
      </c>
      <c r="AC3100" s="4" t="s">
        <v>67</v>
      </c>
      <c r="AD3100" s="4" t="s">
        <v>63</v>
      </c>
      <c r="AE3100" s="4" t="s">
        <v>63</v>
      </c>
      <c r="AF3100" s="4" t="s">
        <v>63</v>
      </c>
      <c r="AG3100" s="4" t="s">
        <v>63</v>
      </c>
      <c r="AH3100" s="4" t="s">
        <v>63</v>
      </c>
      <c r="AI3100" s="4" t="s">
        <v>63</v>
      </c>
      <c r="AJ3100" s="4" t="s">
        <v>63</v>
      </c>
      <c r="AK3100" s="4" t="s">
        <v>63</v>
      </c>
      <c r="AL3100" s="4" t="s">
        <v>63</v>
      </c>
      <c r="AM3100" s="4" t="s">
        <v>25224</v>
      </c>
      <c r="AN3100" s="4" t="s">
        <v>63</v>
      </c>
      <c r="AO3100" s="4" t="s">
        <v>63</v>
      </c>
      <c r="AP3100" s="4" t="s">
        <v>63</v>
      </c>
      <c r="AQ3100" s="4" t="s">
        <v>63</v>
      </c>
      <c r="AR3100" s="4" t="s">
        <v>63</v>
      </c>
      <c r="AS3100" s="4" t="s">
        <v>63</v>
      </c>
      <c r="AT3100" s="4" t="s">
        <v>63</v>
      </c>
      <c r="AU3100" s="4" t="s">
        <v>63</v>
      </c>
      <c r="AV3100" s="4" t="s">
        <v>63</v>
      </c>
      <c r="AW3100" s="4" t="s">
        <v>63</v>
      </c>
      <c r="AX3100" s="4" t="s">
        <v>63</v>
      </c>
      <c r="AY3100" s="4" t="s">
        <v>63</v>
      </c>
      <c r="AZ3100" s="4" t="s">
        <v>63</v>
      </c>
      <c r="BA3100" s="4" t="s">
        <v>63</v>
      </c>
      <c r="BB3100" s="4" t="s">
        <v>63</v>
      </c>
      <c r="BC3100" s="4" t="s">
        <v>63</v>
      </c>
      <c r="BD3100" s="4" t="s">
        <v>63</v>
      </c>
      <c r="BE3100" s="4" t="s">
        <v>63</v>
      </c>
      <c r="BF3100" s="4" t="s">
        <v>63</v>
      </c>
    </row>
    <row r="3101" spans="1:58">
      <c r="A3101" s="4" t="s">
        <v>25174</v>
      </c>
      <c r="B3101" s="4"/>
      <c r="C3101" s="4" t="s">
        <v>25225</v>
      </c>
      <c r="D3101" s="4" t="s">
        <v>63</v>
      </c>
      <c r="E3101" s="4" t="s">
        <v>63</v>
      </c>
      <c r="F3101" s="4">
        <v>2000</v>
      </c>
      <c r="G3101" s="5">
        <v>35308</v>
      </c>
      <c r="H3101" s="4" t="s">
        <v>63</v>
      </c>
      <c r="I3101" s="4" t="s">
        <v>63</v>
      </c>
      <c r="J3101" s="4">
        <v>44</v>
      </c>
      <c r="K3101" s="4" t="s">
        <v>63</v>
      </c>
      <c r="L3101" s="4" t="s">
        <v>25226</v>
      </c>
      <c r="M3101" s="4" t="s">
        <v>25227</v>
      </c>
      <c r="N3101" s="4" t="s">
        <v>25228</v>
      </c>
      <c r="O3101" s="4" t="s">
        <v>63</v>
      </c>
      <c r="P3101" s="4"/>
      <c r="Q3101" s="4" t="s">
        <v>63</v>
      </c>
      <c r="R3101" s="4" t="s">
        <v>63</v>
      </c>
      <c r="S3101" s="4" t="s">
        <v>25214</v>
      </c>
      <c r="T3101" s="4" t="s">
        <v>25229</v>
      </c>
      <c r="U3101" s="4"/>
      <c r="V3101" s="4"/>
      <c r="W3101" s="4"/>
      <c r="X3101" s="4" t="s">
        <v>63</v>
      </c>
      <c r="Y3101" s="4" t="s">
        <v>63</v>
      </c>
      <c r="Z3101" s="4" t="s">
        <v>63</v>
      </c>
      <c r="AA3101" s="4" t="s">
        <v>25230</v>
      </c>
      <c r="AB3101" s="4" t="s">
        <v>25231</v>
      </c>
      <c r="AC3101" s="4" t="s">
        <v>67</v>
      </c>
      <c r="AD3101" s="4" t="s">
        <v>63</v>
      </c>
      <c r="AE3101" s="4" t="s">
        <v>63</v>
      </c>
      <c r="AF3101" s="4" t="s">
        <v>63</v>
      </c>
      <c r="AG3101" s="4" t="s">
        <v>63</v>
      </c>
      <c r="AH3101" s="4" t="s">
        <v>63</v>
      </c>
      <c r="AI3101" s="4" t="s">
        <v>63</v>
      </c>
      <c r="AJ3101" s="4" t="s">
        <v>63</v>
      </c>
      <c r="AK3101" s="4" t="s">
        <v>63</v>
      </c>
      <c r="AL3101" s="4" t="s">
        <v>63</v>
      </c>
      <c r="AM3101" s="4" t="s">
        <v>25232</v>
      </c>
      <c r="AN3101" s="4" t="s">
        <v>63</v>
      </c>
      <c r="AO3101" s="4" t="s">
        <v>63</v>
      </c>
      <c r="AP3101" s="4" t="s">
        <v>63</v>
      </c>
      <c r="AQ3101" s="4" t="s">
        <v>63</v>
      </c>
      <c r="AR3101" s="4" t="s">
        <v>63</v>
      </c>
      <c r="AS3101" s="4" t="s">
        <v>63</v>
      </c>
      <c r="AT3101" s="4" t="s">
        <v>63</v>
      </c>
      <c r="AU3101" s="4" t="s">
        <v>63</v>
      </c>
      <c r="AV3101" s="4" t="s">
        <v>63</v>
      </c>
      <c r="AW3101" s="4" t="s">
        <v>63</v>
      </c>
      <c r="AX3101" s="4" t="s">
        <v>63</v>
      </c>
      <c r="AY3101" s="4" t="s">
        <v>63</v>
      </c>
      <c r="AZ3101" s="4" t="s">
        <v>63</v>
      </c>
      <c r="BA3101" s="4" t="s">
        <v>63</v>
      </c>
      <c r="BB3101" s="4" t="s">
        <v>63</v>
      </c>
      <c r="BC3101" s="4" t="s">
        <v>63</v>
      </c>
      <c r="BD3101" s="4" t="s">
        <v>63</v>
      </c>
      <c r="BE3101" s="4" t="s">
        <v>63</v>
      </c>
      <c r="BF3101" s="4" t="s">
        <v>63</v>
      </c>
    </row>
    <row r="3102" spans="1:58">
      <c r="A3102" s="4" t="s">
        <v>25174</v>
      </c>
      <c r="B3102" s="4"/>
      <c r="C3102" s="4" t="s">
        <v>25233</v>
      </c>
      <c r="D3102" s="4" t="s">
        <v>63</v>
      </c>
      <c r="E3102" s="4" t="s">
        <v>63</v>
      </c>
      <c r="F3102" s="4">
        <v>1999</v>
      </c>
      <c r="G3102" s="4" t="s">
        <v>63</v>
      </c>
      <c r="H3102" s="4" t="s">
        <v>63</v>
      </c>
      <c r="I3102" s="4" t="s">
        <v>63</v>
      </c>
      <c r="J3102" s="4">
        <v>106</v>
      </c>
      <c r="K3102" s="4" t="s">
        <v>63</v>
      </c>
      <c r="L3102" s="4" t="s">
        <v>25234</v>
      </c>
      <c r="M3102" s="4" t="s">
        <v>25235</v>
      </c>
      <c r="N3102" s="4" t="s">
        <v>25236</v>
      </c>
      <c r="O3102" s="4" t="s">
        <v>63</v>
      </c>
      <c r="P3102" s="4"/>
      <c r="Q3102" s="4" t="s">
        <v>63</v>
      </c>
      <c r="R3102" s="4" t="s">
        <v>63</v>
      </c>
      <c r="S3102" s="4" t="s">
        <v>25237</v>
      </c>
      <c r="T3102" s="4" t="s">
        <v>25238</v>
      </c>
      <c r="U3102" s="4"/>
      <c r="V3102" s="4"/>
      <c r="W3102" s="4"/>
      <c r="X3102" s="4" t="s">
        <v>63</v>
      </c>
      <c r="Y3102" s="4" t="s">
        <v>63</v>
      </c>
      <c r="Z3102" s="4" t="s">
        <v>63</v>
      </c>
      <c r="AA3102" s="4" t="s">
        <v>63</v>
      </c>
      <c r="AB3102" s="4" t="s">
        <v>25239</v>
      </c>
      <c r="AC3102" s="4" t="s">
        <v>67</v>
      </c>
      <c r="AD3102" s="4" t="s">
        <v>63</v>
      </c>
      <c r="AE3102" s="4" t="s">
        <v>63</v>
      </c>
      <c r="AF3102" s="4" t="s">
        <v>63</v>
      </c>
      <c r="AG3102" s="4" t="s">
        <v>63</v>
      </c>
      <c r="AH3102" s="4" t="s">
        <v>63</v>
      </c>
      <c r="AI3102" s="4" t="s">
        <v>63</v>
      </c>
      <c r="AJ3102" s="4" t="s">
        <v>63</v>
      </c>
      <c r="AK3102" s="4" t="s">
        <v>63</v>
      </c>
      <c r="AL3102" s="4" t="s">
        <v>63</v>
      </c>
      <c r="AM3102" s="4" t="s">
        <v>25240</v>
      </c>
      <c r="AN3102" s="4" t="s">
        <v>63</v>
      </c>
      <c r="AO3102" s="4" t="s">
        <v>63</v>
      </c>
      <c r="AP3102" s="4" t="s">
        <v>63</v>
      </c>
      <c r="AQ3102" s="4" t="s">
        <v>63</v>
      </c>
      <c r="AR3102" s="4" t="s">
        <v>63</v>
      </c>
      <c r="AS3102" s="4" t="s">
        <v>63</v>
      </c>
      <c r="AT3102" s="4" t="s">
        <v>63</v>
      </c>
      <c r="AU3102" s="4" t="s">
        <v>63</v>
      </c>
      <c r="AV3102" s="4" t="s">
        <v>63</v>
      </c>
      <c r="AW3102" s="4" t="s">
        <v>63</v>
      </c>
      <c r="AX3102" s="4" t="s">
        <v>63</v>
      </c>
      <c r="AY3102" s="4" t="s">
        <v>63</v>
      </c>
      <c r="AZ3102" s="4" t="s">
        <v>63</v>
      </c>
      <c r="BA3102" s="4" t="s">
        <v>63</v>
      </c>
      <c r="BB3102" s="4" t="s">
        <v>63</v>
      </c>
      <c r="BC3102" s="4" t="s">
        <v>63</v>
      </c>
      <c r="BD3102" s="4" t="s">
        <v>63</v>
      </c>
      <c r="BE3102" s="4" t="s">
        <v>63</v>
      </c>
      <c r="BF3102" s="4" t="s">
        <v>63</v>
      </c>
    </row>
    <row r="3103" spans="1:58">
      <c r="A3103" s="4" t="s">
        <v>25174</v>
      </c>
      <c r="B3103" s="4"/>
      <c r="C3103" s="4" t="s">
        <v>25241</v>
      </c>
      <c r="D3103" s="4" t="s">
        <v>63</v>
      </c>
      <c r="E3103" s="4" t="s">
        <v>63</v>
      </c>
      <c r="F3103" s="4">
        <v>1998</v>
      </c>
      <c r="G3103" s="4" t="s">
        <v>63</v>
      </c>
      <c r="H3103" s="4" t="s">
        <v>63</v>
      </c>
      <c r="I3103" s="4" t="s">
        <v>63</v>
      </c>
      <c r="J3103" s="4">
        <v>43</v>
      </c>
      <c r="K3103" s="4" t="s">
        <v>63</v>
      </c>
      <c r="L3103" s="4" t="s">
        <v>25242</v>
      </c>
      <c r="M3103" s="4" t="s">
        <v>25243</v>
      </c>
      <c r="N3103" s="4" t="s">
        <v>25244</v>
      </c>
      <c r="O3103" s="4" t="s">
        <v>63</v>
      </c>
      <c r="P3103" s="4"/>
      <c r="Q3103" s="4" t="s">
        <v>63</v>
      </c>
      <c r="R3103" s="4" t="s">
        <v>63</v>
      </c>
      <c r="S3103" s="4" t="s">
        <v>63</v>
      </c>
      <c r="T3103" s="4" t="s">
        <v>63</v>
      </c>
      <c r="U3103" s="4"/>
      <c r="V3103" s="4"/>
      <c r="W3103" s="4"/>
      <c r="X3103" s="4" t="s">
        <v>63</v>
      </c>
      <c r="Y3103" s="4" t="s">
        <v>63</v>
      </c>
      <c r="Z3103" s="4" t="s">
        <v>63</v>
      </c>
      <c r="AA3103" s="4" t="s">
        <v>63</v>
      </c>
      <c r="AB3103" s="4" t="s">
        <v>25245</v>
      </c>
      <c r="AC3103" s="4" t="s">
        <v>67</v>
      </c>
      <c r="AD3103" s="4" t="s">
        <v>63</v>
      </c>
      <c r="AE3103" s="4" t="s">
        <v>63</v>
      </c>
      <c r="AF3103" s="4" t="s">
        <v>63</v>
      </c>
      <c r="AG3103" s="4" t="s">
        <v>63</v>
      </c>
      <c r="AH3103" s="4" t="s">
        <v>63</v>
      </c>
      <c r="AI3103" s="4" t="s">
        <v>63</v>
      </c>
      <c r="AJ3103" s="4" t="s">
        <v>63</v>
      </c>
      <c r="AK3103" s="4" t="s">
        <v>63</v>
      </c>
      <c r="AL3103" s="4" t="s">
        <v>63</v>
      </c>
      <c r="AM3103" s="4" t="s">
        <v>25246</v>
      </c>
      <c r="AN3103" s="4" t="s">
        <v>63</v>
      </c>
      <c r="AO3103" s="4" t="s">
        <v>63</v>
      </c>
      <c r="AP3103" s="4" t="s">
        <v>63</v>
      </c>
      <c r="AQ3103" s="4" t="s">
        <v>63</v>
      </c>
      <c r="AR3103" s="4" t="s">
        <v>63</v>
      </c>
      <c r="AS3103" s="4" t="s">
        <v>63</v>
      </c>
      <c r="AT3103" s="4" t="s">
        <v>63</v>
      </c>
      <c r="AU3103" s="4" t="s">
        <v>63</v>
      </c>
      <c r="AV3103" s="4" t="s">
        <v>63</v>
      </c>
      <c r="AW3103" s="4" t="s">
        <v>63</v>
      </c>
      <c r="AX3103" s="4" t="s">
        <v>63</v>
      </c>
      <c r="AY3103" s="4" t="s">
        <v>63</v>
      </c>
      <c r="AZ3103" s="4" t="s">
        <v>63</v>
      </c>
      <c r="BA3103" s="4" t="s">
        <v>63</v>
      </c>
      <c r="BB3103" s="4" t="s">
        <v>63</v>
      </c>
      <c r="BC3103" s="4" t="s">
        <v>63</v>
      </c>
      <c r="BD3103" s="4" t="s">
        <v>63</v>
      </c>
      <c r="BE3103" s="4" t="s">
        <v>63</v>
      </c>
      <c r="BF3103" s="4" t="s">
        <v>63</v>
      </c>
    </row>
    <row r="3104" spans="1:58">
      <c r="A3104" s="4" t="s">
        <v>25174</v>
      </c>
      <c r="B3104" s="4"/>
      <c r="C3104" s="4" t="s">
        <v>25247</v>
      </c>
      <c r="D3104" s="4" t="s">
        <v>63</v>
      </c>
      <c r="E3104" s="4" t="s">
        <v>63</v>
      </c>
      <c r="F3104" s="4">
        <v>1998</v>
      </c>
      <c r="G3104" s="5">
        <v>35216</v>
      </c>
      <c r="H3104" s="4" t="s">
        <v>63</v>
      </c>
      <c r="I3104" s="4" t="s">
        <v>63</v>
      </c>
      <c r="J3104" s="4">
        <v>206</v>
      </c>
      <c r="K3104" s="4" t="s">
        <v>63</v>
      </c>
      <c r="L3104" s="4" t="s">
        <v>25248</v>
      </c>
      <c r="M3104" s="4" t="s">
        <v>25249</v>
      </c>
      <c r="N3104" s="4" t="s">
        <v>25250</v>
      </c>
      <c r="O3104" s="4" t="s">
        <v>63</v>
      </c>
      <c r="P3104" s="4"/>
      <c r="Q3104" s="4" t="s">
        <v>63</v>
      </c>
      <c r="R3104" s="4" t="s">
        <v>63</v>
      </c>
      <c r="S3104" s="4" t="s">
        <v>25214</v>
      </c>
      <c r="T3104" s="4" t="s">
        <v>25251</v>
      </c>
      <c r="U3104" s="4"/>
      <c r="V3104" s="4"/>
      <c r="W3104" s="4"/>
      <c r="X3104" s="4" t="s">
        <v>63</v>
      </c>
      <c r="Y3104" s="4" t="s">
        <v>63</v>
      </c>
      <c r="Z3104" s="4" t="s">
        <v>63</v>
      </c>
      <c r="AA3104" s="4" t="s">
        <v>25216</v>
      </c>
      <c r="AB3104" s="4" t="s">
        <v>25252</v>
      </c>
      <c r="AC3104" s="4" t="s">
        <v>67</v>
      </c>
      <c r="AD3104" s="4" t="s">
        <v>63</v>
      </c>
      <c r="AE3104" s="4" t="s">
        <v>63</v>
      </c>
      <c r="AF3104" s="4" t="s">
        <v>63</v>
      </c>
      <c r="AG3104" s="4" t="s">
        <v>63</v>
      </c>
      <c r="AH3104" s="4" t="s">
        <v>63</v>
      </c>
      <c r="AI3104" s="4" t="s">
        <v>63</v>
      </c>
      <c r="AJ3104" s="4" t="s">
        <v>63</v>
      </c>
      <c r="AK3104" s="4" t="s">
        <v>63</v>
      </c>
      <c r="AL3104" s="4" t="s">
        <v>63</v>
      </c>
      <c r="AM3104" s="4" t="s">
        <v>25253</v>
      </c>
      <c r="AN3104" s="4" t="s">
        <v>63</v>
      </c>
      <c r="AO3104" s="4" t="s">
        <v>63</v>
      </c>
      <c r="AP3104" s="4" t="s">
        <v>63</v>
      </c>
      <c r="AQ3104" s="4" t="s">
        <v>63</v>
      </c>
      <c r="AR3104" s="4" t="s">
        <v>63</v>
      </c>
      <c r="AS3104" s="4" t="s">
        <v>63</v>
      </c>
      <c r="AT3104" s="4" t="s">
        <v>63</v>
      </c>
      <c r="AU3104" s="4" t="s">
        <v>63</v>
      </c>
      <c r="AV3104" s="4" t="s">
        <v>63</v>
      </c>
      <c r="AW3104" s="4" t="s">
        <v>63</v>
      </c>
      <c r="AX3104" s="4" t="s">
        <v>63</v>
      </c>
      <c r="AY3104" s="4" t="s">
        <v>63</v>
      </c>
      <c r="AZ3104" s="4" t="s">
        <v>63</v>
      </c>
      <c r="BA3104" s="4" t="s">
        <v>63</v>
      </c>
      <c r="BB3104" s="4" t="s">
        <v>63</v>
      </c>
      <c r="BC3104" s="4" t="s">
        <v>63</v>
      </c>
      <c r="BD3104" s="4" t="s">
        <v>63</v>
      </c>
      <c r="BE3104" s="4" t="s">
        <v>63</v>
      </c>
      <c r="BF3104" s="4" t="s">
        <v>63</v>
      </c>
    </row>
    <row r="3105" spans="1:58">
      <c r="A3105" s="4" t="s">
        <v>25174</v>
      </c>
      <c r="B3105" s="4"/>
      <c r="C3105" s="4" t="s">
        <v>25254</v>
      </c>
      <c r="D3105" s="4" t="s">
        <v>63</v>
      </c>
      <c r="E3105" s="4" t="s">
        <v>63</v>
      </c>
      <c r="F3105" s="4">
        <v>1997</v>
      </c>
      <c r="G3105" s="5">
        <v>35155</v>
      </c>
      <c r="H3105" s="4" t="s">
        <v>63</v>
      </c>
      <c r="I3105" s="4" t="s">
        <v>63</v>
      </c>
      <c r="J3105" s="4">
        <v>42</v>
      </c>
      <c r="K3105" s="4" t="s">
        <v>63</v>
      </c>
      <c r="L3105" s="4" t="s">
        <v>25255</v>
      </c>
      <c r="M3105" s="4" t="s">
        <v>25256</v>
      </c>
      <c r="N3105" s="4" t="s">
        <v>25257</v>
      </c>
      <c r="O3105" s="4" t="s">
        <v>63</v>
      </c>
      <c r="P3105" s="4"/>
      <c r="Q3105" s="4" t="s">
        <v>63</v>
      </c>
      <c r="R3105" s="4" t="s">
        <v>63</v>
      </c>
      <c r="S3105" s="4" t="s">
        <v>25258</v>
      </c>
      <c r="T3105" s="4" t="s">
        <v>63</v>
      </c>
      <c r="U3105" s="4"/>
      <c r="V3105" s="4"/>
      <c r="W3105" s="4"/>
      <c r="X3105" s="4" t="s">
        <v>63</v>
      </c>
      <c r="Y3105" s="4" t="s">
        <v>63</v>
      </c>
      <c r="Z3105" s="4" t="s">
        <v>63</v>
      </c>
      <c r="AA3105" s="4" t="s">
        <v>63</v>
      </c>
      <c r="AB3105" s="4" t="s">
        <v>25259</v>
      </c>
      <c r="AC3105" s="4" t="s">
        <v>67</v>
      </c>
      <c r="AD3105" s="4" t="s">
        <v>63</v>
      </c>
      <c r="AE3105" s="4" t="s">
        <v>63</v>
      </c>
      <c r="AF3105" s="4" t="s">
        <v>63</v>
      </c>
      <c r="AG3105" s="4" t="s">
        <v>63</v>
      </c>
      <c r="AH3105" s="4" t="s">
        <v>63</v>
      </c>
      <c r="AI3105" s="4" t="s">
        <v>63</v>
      </c>
      <c r="AJ3105" s="4" t="s">
        <v>63</v>
      </c>
      <c r="AK3105" s="4" t="s">
        <v>63</v>
      </c>
      <c r="AL3105" s="4" t="s">
        <v>63</v>
      </c>
      <c r="AM3105" s="4" t="s">
        <v>25260</v>
      </c>
      <c r="AN3105" s="4" t="s">
        <v>63</v>
      </c>
      <c r="AO3105" s="4" t="s">
        <v>63</v>
      </c>
      <c r="AP3105" s="4" t="s">
        <v>63</v>
      </c>
      <c r="AQ3105" s="4" t="s">
        <v>63</v>
      </c>
      <c r="AR3105" s="4" t="s">
        <v>63</v>
      </c>
      <c r="AS3105" s="4" t="s">
        <v>63</v>
      </c>
      <c r="AT3105" s="4" t="s">
        <v>63</v>
      </c>
      <c r="AU3105" s="4" t="s">
        <v>63</v>
      </c>
      <c r="AV3105" s="4" t="s">
        <v>63</v>
      </c>
      <c r="AW3105" s="4" t="s">
        <v>63</v>
      </c>
      <c r="AX3105" s="4" t="s">
        <v>63</v>
      </c>
      <c r="AY3105" s="4" t="s">
        <v>63</v>
      </c>
      <c r="AZ3105" s="4" t="s">
        <v>63</v>
      </c>
      <c r="BA3105" s="4" t="s">
        <v>63</v>
      </c>
      <c r="BB3105" s="4" t="s">
        <v>63</v>
      </c>
      <c r="BC3105" s="4" t="s">
        <v>63</v>
      </c>
      <c r="BD3105" s="4" t="s">
        <v>63</v>
      </c>
      <c r="BE3105" s="4" t="s">
        <v>63</v>
      </c>
      <c r="BF3105" s="4" t="s">
        <v>63</v>
      </c>
    </row>
    <row r="3106" spans="1:58">
      <c r="A3106" s="4" t="s">
        <v>25174</v>
      </c>
      <c r="B3106" s="4"/>
      <c r="C3106" s="4" t="s">
        <v>25261</v>
      </c>
      <c r="D3106" s="4" t="s">
        <v>63</v>
      </c>
      <c r="E3106" s="4" t="s">
        <v>63</v>
      </c>
      <c r="F3106" s="4">
        <v>1994</v>
      </c>
      <c r="G3106" s="4" t="s">
        <v>63</v>
      </c>
      <c r="H3106" s="4" t="s">
        <v>63</v>
      </c>
      <c r="I3106" s="4" t="s">
        <v>63</v>
      </c>
      <c r="J3106" s="4">
        <v>55</v>
      </c>
      <c r="K3106" s="4" t="s">
        <v>63</v>
      </c>
      <c r="L3106" s="4" t="s">
        <v>25262</v>
      </c>
      <c r="M3106" s="4" t="s">
        <v>25263</v>
      </c>
      <c r="N3106" s="4" t="s">
        <v>25264</v>
      </c>
      <c r="O3106" s="4" t="s">
        <v>63</v>
      </c>
      <c r="P3106" s="4"/>
      <c r="Q3106" s="4" t="s">
        <v>63</v>
      </c>
      <c r="R3106" s="4" t="s">
        <v>63</v>
      </c>
      <c r="S3106" s="4" t="s">
        <v>25265</v>
      </c>
      <c r="T3106" s="4" t="s">
        <v>63</v>
      </c>
      <c r="U3106" s="4"/>
      <c r="V3106" s="4"/>
      <c r="W3106" s="4"/>
      <c r="X3106" s="4" t="s">
        <v>63</v>
      </c>
      <c r="Y3106" s="4" t="s">
        <v>63</v>
      </c>
      <c r="Z3106" s="4" t="s">
        <v>63</v>
      </c>
      <c r="AA3106" s="4" t="s">
        <v>63</v>
      </c>
      <c r="AB3106" s="4" t="s">
        <v>25266</v>
      </c>
      <c r="AC3106" s="4" t="s">
        <v>67</v>
      </c>
      <c r="AD3106" s="4" t="s">
        <v>63</v>
      </c>
      <c r="AE3106" s="4" t="s">
        <v>63</v>
      </c>
      <c r="AF3106" s="4" t="s">
        <v>63</v>
      </c>
      <c r="AG3106" s="4" t="s">
        <v>63</v>
      </c>
      <c r="AH3106" s="4" t="s">
        <v>63</v>
      </c>
      <c r="AI3106" s="4" t="s">
        <v>63</v>
      </c>
      <c r="AJ3106" s="4" t="s">
        <v>63</v>
      </c>
      <c r="AK3106" s="4" t="s">
        <v>63</v>
      </c>
      <c r="AL3106" s="4" t="s">
        <v>63</v>
      </c>
      <c r="AM3106" s="4" t="s">
        <v>25267</v>
      </c>
      <c r="AN3106" s="4" t="s">
        <v>63</v>
      </c>
      <c r="AO3106" s="4" t="s">
        <v>63</v>
      </c>
      <c r="AP3106" s="4" t="s">
        <v>63</v>
      </c>
      <c r="AQ3106" s="4" t="s">
        <v>63</v>
      </c>
      <c r="AR3106" s="4" t="s">
        <v>63</v>
      </c>
      <c r="AS3106" s="4" t="s">
        <v>63</v>
      </c>
      <c r="AT3106" s="4" t="s">
        <v>63</v>
      </c>
      <c r="AU3106" s="4" t="s">
        <v>63</v>
      </c>
      <c r="AV3106" s="4" t="s">
        <v>63</v>
      </c>
      <c r="AW3106" s="4" t="s">
        <v>63</v>
      </c>
      <c r="AX3106" s="4" t="s">
        <v>63</v>
      </c>
      <c r="AY3106" s="4" t="s">
        <v>63</v>
      </c>
      <c r="AZ3106" s="4" t="s">
        <v>63</v>
      </c>
      <c r="BA3106" s="4" t="s">
        <v>63</v>
      </c>
      <c r="BB3106" s="4" t="s">
        <v>63</v>
      </c>
      <c r="BC3106" s="4" t="s">
        <v>63</v>
      </c>
      <c r="BD3106" s="4" t="s">
        <v>63</v>
      </c>
      <c r="BE3106" s="4" t="s">
        <v>63</v>
      </c>
      <c r="BF3106" s="4" t="s">
        <v>63</v>
      </c>
    </row>
    <row r="3107" spans="1:58">
      <c r="A3107" s="4" t="s">
        <v>25174</v>
      </c>
      <c r="B3107" s="4"/>
      <c r="C3107" s="4" t="s">
        <v>25268</v>
      </c>
      <c r="D3107" s="4" t="s">
        <v>63</v>
      </c>
      <c r="E3107" s="4" t="s">
        <v>63</v>
      </c>
      <c r="F3107" s="4">
        <v>1992</v>
      </c>
      <c r="G3107" s="4" t="s">
        <v>63</v>
      </c>
      <c r="H3107" s="4" t="s">
        <v>63</v>
      </c>
      <c r="I3107" s="4" t="s">
        <v>63</v>
      </c>
      <c r="J3107" s="4">
        <v>5</v>
      </c>
      <c r="K3107" s="4" t="s">
        <v>63</v>
      </c>
      <c r="L3107" s="4" t="s">
        <v>25269</v>
      </c>
      <c r="M3107" s="4" t="s">
        <v>25270</v>
      </c>
      <c r="N3107" s="4" t="s">
        <v>25271</v>
      </c>
      <c r="O3107" s="4" t="s">
        <v>63</v>
      </c>
      <c r="P3107" s="4"/>
      <c r="Q3107" s="4" t="s">
        <v>63</v>
      </c>
      <c r="R3107" s="4" t="s">
        <v>63</v>
      </c>
      <c r="S3107" s="4" t="s">
        <v>25272</v>
      </c>
      <c r="T3107" s="4" t="s">
        <v>25273</v>
      </c>
      <c r="U3107" s="4"/>
      <c r="V3107" s="4"/>
      <c r="W3107" s="4"/>
      <c r="X3107" s="4" t="s">
        <v>63</v>
      </c>
      <c r="Y3107" s="4" t="s">
        <v>63</v>
      </c>
      <c r="Z3107" s="4" t="s">
        <v>63</v>
      </c>
      <c r="AA3107" s="4" t="s">
        <v>63</v>
      </c>
      <c r="AB3107" s="4" t="s">
        <v>25274</v>
      </c>
      <c r="AC3107" s="4" t="s">
        <v>67</v>
      </c>
      <c r="AD3107" s="4" t="s">
        <v>63</v>
      </c>
      <c r="AE3107" s="4" t="s">
        <v>63</v>
      </c>
      <c r="AF3107" s="4" t="s">
        <v>63</v>
      </c>
      <c r="AG3107" s="4" t="s">
        <v>63</v>
      </c>
      <c r="AH3107" s="4" t="s">
        <v>63</v>
      </c>
      <c r="AI3107" s="4" t="s">
        <v>63</v>
      </c>
      <c r="AJ3107" s="4" t="s">
        <v>63</v>
      </c>
      <c r="AK3107" s="4" t="s">
        <v>63</v>
      </c>
      <c r="AL3107" s="4" t="s">
        <v>63</v>
      </c>
      <c r="AM3107" s="4" t="s">
        <v>25275</v>
      </c>
      <c r="AN3107" s="4" t="s">
        <v>63</v>
      </c>
      <c r="AO3107" s="4" t="s">
        <v>63</v>
      </c>
      <c r="AP3107" s="4" t="s">
        <v>63</v>
      </c>
      <c r="AQ3107" s="4" t="s">
        <v>63</v>
      </c>
      <c r="AR3107" s="4" t="s">
        <v>63</v>
      </c>
      <c r="AS3107" s="4" t="s">
        <v>63</v>
      </c>
      <c r="AT3107" s="4" t="s">
        <v>63</v>
      </c>
      <c r="AU3107" s="4" t="s">
        <v>63</v>
      </c>
      <c r="AV3107" s="4" t="s">
        <v>63</v>
      </c>
      <c r="AW3107" s="4" t="s">
        <v>63</v>
      </c>
      <c r="AX3107" s="4" t="s">
        <v>63</v>
      </c>
      <c r="AY3107" s="4" t="s">
        <v>63</v>
      </c>
      <c r="AZ3107" s="4" t="s">
        <v>63</v>
      </c>
      <c r="BA3107" s="4" t="s">
        <v>63</v>
      </c>
      <c r="BB3107" s="4" t="s">
        <v>63</v>
      </c>
      <c r="BC3107" s="4" t="s">
        <v>63</v>
      </c>
      <c r="BD3107" s="4" t="s">
        <v>63</v>
      </c>
      <c r="BE3107" s="4" t="s">
        <v>63</v>
      </c>
      <c r="BF3107" s="4" t="s">
        <v>63</v>
      </c>
    </row>
    <row r="3108" spans="1:58">
      <c r="A3108" s="4" t="s">
        <v>25174</v>
      </c>
      <c r="B3108" s="4"/>
      <c r="C3108" s="4" t="s">
        <v>25276</v>
      </c>
      <c r="D3108" s="4" t="s">
        <v>63</v>
      </c>
      <c r="E3108" s="4" t="s">
        <v>63</v>
      </c>
      <c r="F3108" s="4">
        <v>1990</v>
      </c>
      <c r="G3108" s="5">
        <v>35277</v>
      </c>
      <c r="H3108" s="4" t="s">
        <v>63</v>
      </c>
      <c r="I3108" s="4" t="s">
        <v>63</v>
      </c>
      <c r="J3108" s="4">
        <v>14</v>
      </c>
      <c r="K3108" s="4" t="s">
        <v>63</v>
      </c>
      <c r="L3108" s="4" t="s">
        <v>25277</v>
      </c>
      <c r="M3108" s="4" t="s">
        <v>25278</v>
      </c>
      <c r="N3108" s="4" t="s">
        <v>25279</v>
      </c>
      <c r="O3108" s="4" t="s">
        <v>63</v>
      </c>
      <c r="P3108" s="4"/>
      <c r="Q3108" s="4" t="s">
        <v>63</v>
      </c>
      <c r="R3108" s="4" t="s">
        <v>63</v>
      </c>
      <c r="S3108" s="4" t="s">
        <v>25280</v>
      </c>
      <c r="T3108" s="4" t="s">
        <v>63</v>
      </c>
      <c r="U3108" s="4"/>
      <c r="V3108" s="4"/>
      <c r="W3108" s="4"/>
      <c r="X3108" s="4" t="s">
        <v>63</v>
      </c>
      <c r="Y3108" s="4" t="s">
        <v>63</v>
      </c>
      <c r="Z3108" s="4" t="s">
        <v>63</v>
      </c>
      <c r="AA3108" s="4" t="s">
        <v>63</v>
      </c>
      <c r="AB3108" s="4" t="s">
        <v>25281</v>
      </c>
      <c r="AC3108" s="4" t="s">
        <v>67</v>
      </c>
      <c r="AD3108" s="4" t="s">
        <v>63</v>
      </c>
      <c r="AE3108" s="4" t="s">
        <v>63</v>
      </c>
      <c r="AF3108" s="4" t="s">
        <v>63</v>
      </c>
      <c r="AG3108" s="4" t="s">
        <v>63</v>
      </c>
      <c r="AH3108" s="4" t="s">
        <v>63</v>
      </c>
      <c r="AI3108" s="4" t="s">
        <v>63</v>
      </c>
      <c r="AJ3108" s="4" t="s">
        <v>63</v>
      </c>
      <c r="AK3108" s="4" t="s">
        <v>63</v>
      </c>
      <c r="AL3108" s="4" t="s">
        <v>63</v>
      </c>
      <c r="AM3108" s="4" t="s">
        <v>25282</v>
      </c>
      <c r="AN3108" s="4" t="s">
        <v>63</v>
      </c>
      <c r="AO3108" s="4" t="s">
        <v>63</v>
      </c>
      <c r="AP3108" s="4" t="s">
        <v>63</v>
      </c>
      <c r="AQ3108" s="4" t="s">
        <v>63</v>
      </c>
      <c r="AR3108" s="4" t="s">
        <v>63</v>
      </c>
      <c r="AS3108" s="4" t="s">
        <v>63</v>
      </c>
      <c r="AT3108" s="4" t="s">
        <v>63</v>
      </c>
      <c r="AU3108" s="4" t="s">
        <v>63</v>
      </c>
      <c r="AV3108" s="4" t="s">
        <v>63</v>
      </c>
      <c r="AW3108" s="4" t="s">
        <v>63</v>
      </c>
      <c r="AX3108" s="4" t="s">
        <v>63</v>
      </c>
      <c r="AY3108" s="4" t="s">
        <v>63</v>
      </c>
      <c r="AZ3108" s="4" t="s">
        <v>63</v>
      </c>
      <c r="BA3108" s="4" t="s">
        <v>63</v>
      </c>
      <c r="BB3108" s="4" t="s">
        <v>63</v>
      </c>
      <c r="BC3108" s="4" t="s">
        <v>63</v>
      </c>
      <c r="BD3108" s="4" t="s">
        <v>63</v>
      </c>
      <c r="BE3108" s="4" t="s">
        <v>63</v>
      </c>
      <c r="BF3108" s="4" t="s">
        <v>63</v>
      </c>
    </row>
    <row r="3109" spans="1:58">
      <c r="A3109" s="4" t="s">
        <v>25174</v>
      </c>
      <c r="B3109" s="4"/>
      <c r="C3109" s="4" t="s">
        <v>25283</v>
      </c>
      <c r="D3109" s="4" t="s">
        <v>63</v>
      </c>
      <c r="E3109" s="4" t="s">
        <v>63</v>
      </c>
      <c r="F3109" s="4">
        <v>1990</v>
      </c>
      <c r="G3109" s="5">
        <v>35277</v>
      </c>
      <c r="H3109" s="4" t="s">
        <v>63</v>
      </c>
      <c r="I3109" s="4" t="s">
        <v>63</v>
      </c>
      <c r="J3109" s="4">
        <v>10</v>
      </c>
      <c r="K3109" s="4" t="s">
        <v>63</v>
      </c>
      <c r="L3109" s="4" t="s">
        <v>25284</v>
      </c>
      <c r="M3109" s="4" t="s">
        <v>25285</v>
      </c>
      <c r="N3109" s="4" t="s">
        <v>25286</v>
      </c>
      <c r="O3109" s="4" t="s">
        <v>63</v>
      </c>
      <c r="P3109" s="4"/>
      <c r="Q3109" s="4" t="s">
        <v>63</v>
      </c>
      <c r="R3109" s="4" t="s">
        <v>63</v>
      </c>
      <c r="S3109" s="4" t="s">
        <v>25287</v>
      </c>
      <c r="T3109" s="4" t="s">
        <v>25288</v>
      </c>
      <c r="U3109" s="4"/>
      <c r="V3109" s="4"/>
      <c r="W3109" s="4"/>
      <c r="X3109" s="4" t="s">
        <v>63</v>
      </c>
      <c r="Y3109" s="4" t="s">
        <v>63</v>
      </c>
      <c r="Z3109" s="4" t="s">
        <v>63</v>
      </c>
      <c r="AA3109" s="4" t="s">
        <v>63</v>
      </c>
      <c r="AB3109" s="4" t="s">
        <v>25289</v>
      </c>
      <c r="AC3109" s="4" t="s">
        <v>67</v>
      </c>
      <c r="AD3109" s="4" t="s">
        <v>63</v>
      </c>
      <c r="AE3109" s="4" t="s">
        <v>63</v>
      </c>
      <c r="AF3109" s="4" t="s">
        <v>63</v>
      </c>
      <c r="AG3109" s="4" t="s">
        <v>63</v>
      </c>
      <c r="AH3109" s="4" t="s">
        <v>63</v>
      </c>
      <c r="AI3109" s="4" t="s">
        <v>63</v>
      </c>
      <c r="AJ3109" s="4" t="s">
        <v>63</v>
      </c>
      <c r="AK3109" s="4" t="s">
        <v>63</v>
      </c>
      <c r="AL3109" s="4" t="s">
        <v>63</v>
      </c>
      <c r="AM3109" s="4" t="s">
        <v>25290</v>
      </c>
      <c r="AN3109" s="4" t="s">
        <v>63</v>
      </c>
      <c r="AO3109" s="4" t="s">
        <v>63</v>
      </c>
      <c r="AP3109" s="4" t="s">
        <v>63</v>
      </c>
      <c r="AQ3109" s="4" t="s">
        <v>63</v>
      </c>
      <c r="AR3109" s="4" t="s">
        <v>63</v>
      </c>
      <c r="AS3109" s="4" t="s">
        <v>63</v>
      </c>
      <c r="AT3109" s="4" t="s">
        <v>63</v>
      </c>
      <c r="AU3109" s="4" t="s">
        <v>63</v>
      </c>
      <c r="AV3109" s="4" t="s">
        <v>63</v>
      </c>
      <c r="AW3109" s="4" t="s">
        <v>63</v>
      </c>
      <c r="AX3109" s="4" t="s">
        <v>63</v>
      </c>
      <c r="AY3109" s="4" t="s">
        <v>63</v>
      </c>
      <c r="AZ3109" s="4" t="s">
        <v>63</v>
      </c>
      <c r="BA3109" s="4" t="s">
        <v>63</v>
      </c>
      <c r="BB3109" s="4" t="s">
        <v>63</v>
      </c>
      <c r="BC3109" s="4" t="s">
        <v>63</v>
      </c>
      <c r="BD3109" s="4" t="s">
        <v>63</v>
      </c>
      <c r="BE3109" s="4" t="s">
        <v>63</v>
      </c>
      <c r="BF3109" s="4" t="s">
        <v>63</v>
      </c>
    </row>
    <row r="3110" spans="1:58">
      <c r="A3110" s="4" t="s">
        <v>25174</v>
      </c>
      <c r="B3110" s="4"/>
      <c r="C3110" s="4" t="s">
        <v>25291</v>
      </c>
      <c r="D3110" s="4" t="s">
        <v>63</v>
      </c>
      <c r="E3110" s="4" t="s">
        <v>63</v>
      </c>
      <c r="F3110" s="4">
        <v>1990</v>
      </c>
      <c r="G3110" s="4" t="s">
        <v>63</v>
      </c>
      <c r="H3110" s="4" t="s">
        <v>63</v>
      </c>
      <c r="I3110" s="4" t="s">
        <v>63</v>
      </c>
      <c r="J3110" s="4">
        <v>28</v>
      </c>
      <c r="K3110" s="4" t="s">
        <v>63</v>
      </c>
      <c r="L3110" s="4" t="s">
        <v>25292</v>
      </c>
      <c r="M3110" s="4" t="s">
        <v>25293</v>
      </c>
      <c r="N3110" s="4" t="s">
        <v>25294</v>
      </c>
      <c r="O3110" s="4" t="s">
        <v>63</v>
      </c>
      <c r="P3110" s="4"/>
      <c r="Q3110" s="4" t="s">
        <v>63</v>
      </c>
      <c r="R3110" s="4" t="s">
        <v>63</v>
      </c>
      <c r="S3110" s="4" t="s">
        <v>25295</v>
      </c>
      <c r="T3110" s="4" t="s">
        <v>63</v>
      </c>
      <c r="U3110" s="4"/>
      <c r="V3110" s="4"/>
      <c r="W3110" s="4"/>
      <c r="X3110" s="4" t="s">
        <v>63</v>
      </c>
      <c r="Y3110" s="4" t="s">
        <v>63</v>
      </c>
      <c r="Z3110" s="4" t="s">
        <v>63</v>
      </c>
      <c r="AA3110" s="4" t="s">
        <v>63</v>
      </c>
      <c r="AB3110" s="4" t="s">
        <v>25296</v>
      </c>
      <c r="AC3110" s="4" t="s">
        <v>67</v>
      </c>
      <c r="AD3110" s="4" t="s">
        <v>63</v>
      </c>
      <c r="AE3110" s="4" t="s">
        <v>63</v>
      </c>
      <c r="AF3110" s="4" t="s">
        <v>63</v>
      </c>
      <c r="AG3110" s="4" t="s">
        <v>63</v>
      </c>
      <c r="AH3110" s="4" t="s">
        <v>63</v>
      </c>
      <c r="AI3110" s="4" t="s">
        <v>63</v>
      </c>
      <c r="AJ3110" s="4" t="s">
        <v>63</v>
      </c>
      <c r="AK3110" s="4" t="s">
        <v>63</v>
      </c>
      <c r="AL3110" s="4" t="s">
        <v>63</v>
      </c>
      <c r="AM3110" s="4" t="s">
        <v>25297</v>
      </c>
      <c r="AN3110" s="4" t="s">
        <v>63</v>
      </c>
      <c r="AO3110" s="4" t="s">
        <v>63</v>
      </c>
      <c r="AP3110" s="4" t="s">
        <v>63</v>
      </c>
      <c r="AQ3110" s="4" t="s">
        <v>63</v>
      </c>
      <c r="AR3110" s="4" t="s">
        <v>63</v>
      </c>
      <c r="AS3110" s="4" t="s">
        <v>63</v>
      </c>
      <c r="AT3110" s="4" t="s">
        <v>63</v>
      </c>
      <c r="AU3110" s="4" t="s">
        <v>63</v>
      </c>
      <c r="AV3110" s="4" t="s">
        <v>63</v>
      </c>
      <c r="AW3110" s="4" t="s">
        <v>63</v>
      </c>
      <c r="AX3110" s="4" t="s">
        <v>63</v>
      </c>
      <c r="AY3110" s="4" t="s">
        <v>63</v>
      </c>
      <c r="AZ3110" s="4" t="s">
        <v>63</v>
      </c>
      <c r="BA3110" s="4" t="s">
        <v>63</v>
      </c>
      <c r="BB3110" s="4" t="s">
        <v>63</v>
      </c>
      <c r="BC3110" s="4" t="s">
        <v>63</v>
      </c>
      <c r="BD3110" s="4" t="s">
        <v>63</v>
      </c>
      <c r="BE3110" s="4" t="s">
        <v>63</v>
      </c>
      <c r="BF3110" s="4" t="s">
        <v>63</v>
      </c>
    </row>
    <row r="3111" spans="1:58">
      <c r="A3111" s="4" t="s">
        <v>25174</v>
      </c>
      <c r="B3111" s="4"/>
      <c r="C3111" s="4" t="s">
        <v>25298</v>
      </c>
      <c r="D3111" s="4" t="s">
        <v>63</v>
      </c>
      <c r="E3111" s="4" t="s">
        <v>63</v>
      </c>
      <c r="F3111" s="4">
        <v>1989</v>
      </c>
      <c r="G3111" s="5">
        <v>35369</v>
      </c>
      <c r="H3111" s="4" t="s">
        <v>63</v>
      </c>
      <c r="I3111" s="4" t="s">
        <v>63</v>
      </c>
      <c r="J3111" s="4">
        <v>47</v>
      </c>
      <c r="K3111" s="4" t="s">
        <v>63</v>
      </c>
      <c r="L3111" s="4" t="s">
        <v>25299</v>
      </c>
      <c r="M3111" s="4" t="s">
        <v>25300</v>
      </c>
      <c r="N3111" s="4" t="s">
        <v>25301</v>
      </c>
      <c r="O3111" s="4" t="s">
        <v>63</v>
      </c>
      <c r="P3111" s="4"/>
      <c r="Q3111" s="4" t="s">
        <v>63</v>
      </c>
      <c r="R3111" s="4" t="s">
        <v>63</v>
      </c>
      <c r="S3111" s="4" t="s">
        <v>25302</v>
      </c>
      <c r="T3111" s="4" t="s">
        <v>63</v>
      </c>
      <c r="U3111" s="4"/>
      <c r="V3111" s="4"/>
      <c r="W3111" s="4"/>
      <c r="X3111" s="4" t="s">
        <v>63</v>
      </c>
      <c r="Y3111" s="4" t="s">
        <v>63</v>
      </c>
      <c r="Z3111" s="4" t="s">
        <v>63</v>
      </c>
      <c r="AA3111" s="4" t="s">
        <v>63</v>
      </c>
      <c r="AB3111" s="4" t="s">
        <v>25303</v>
      </c>
      <c r="AC3111" s="4" t="s">
        <v>67</v>
      </c>
      <c r="AD3111" s="4" t="s">
        <v>63</v>
      </c>
      <c r="AE3111" s="4" t="s">
        <v>63</v>
      </c>
      <c r="AF3111" s="4" t="s">
        <v>63</v>
      </c>
      <c r="AG3111" s="4" t="s">
        <v>63</v>
      </c>
      <c r="AH3111" s="4" t="s">
        <v>63</v>
      </c>
      <c r="AI3111" s="4" t="s">
        <v>63</v>
      </c>
      <c r="AJ3111" s="4" t="s">
        <v>63</v>
      </c>
      <c r="AK3111" s="4" t="s">
        <v>63</v>
      </c>
      <c r="AL3111" s="4" t="s">
        <v>63</v>
      </c>
      <c r="AM3111" s="4" t="s">
        <v>25304</v>
      </c>
      <c r="AN3111" s="4" t="s">
        <v>63</v>
      </c>
      <c r="AO3111" s="4" t="s">
        <v>63</v>
      </c>
      <c r="AP3111" s="4" t="s">
        <v>63</v>
      </c>
      <c r="AQ3111" s="4" t="s">
        <v>63</v>
      </c>
      <c r="AR3111" s="4" t="s">
        <v>63</v>
      </c>
      <c r="AS3111" s="4" t="s">
        <v>63</v>
      </c>
      <c r="AT3111" s="4" t="s">
        <v>63</v>
      </c>
      <c r="AU3111" s="4" t="s">
        <v>63</v>
      </c>
      <c r="AV3111" s="4" t="s">
        <v>63</v>
      </c>
      <c r="AW3111" s="4" t="s">
        <v>63</v>
      </c>
      <c r="AX3111" s="4" t="s">
        <v>63</v>
      </c>
      <c r="AY3111" s="4" t="s">
        <v>63</v>
      </c>
      <c r="AZ3111" s="4" t="s">
        <v>63</v>
      </c>
      <c r="BA3111" s="4" t="s">
        <v>63</v>
      </c>
      <c r="BB3111" s="4" t="s">
        <v>63</v>
      </c>
      <c r="BC3111" s="4" t="s">
        <v>63</v>
      </c>
      <c r="BD3111" s="4" t="s">
        <v>63</v>
      </c>
      <c r="BE3111" s="4" t="s">
        <v>63</v>
      </c>
      <c r="BF3111" s="4" t="s">
        <v>63</v>
      </c>
    </row>
    <row r="3112" spans="1:58">
      <c r="A3112" s="4" t="s">
        <v>25174</v>
      </c>
      <c r="B3112" s="4"/>
      <c r="C3112" s="4" t="s">
        <v>25305</v>
      </c>
      <c r="D3112" s="4" t="s">
        <v>63</v>
      </c>
      <c r="E3112" s="4" t="s">
        <v>63</v>
      </c>
      <c r="F3112" s="4">
        <v>1989</v>
      </c>
      <c r="G3112" s="4" t="s">
        <v>63</v>
      </c>
      <c r="H3112" s="4" t="s">
        <v>63</v>
      </c>
      <c r="I3112" s="4" t="s">
        <v>63</v>
      </c>
      <c r="J3112" s="4">
        <v>102</v>
      </c>
      <c r="K3112" s="4" t="s">
        <v>63</v>
      </c>
      <c r="L3112" s="4" t="s">
        <v>25306</v>
      </c>
      <c r="M3112" s="4" t="s">
        <v>25307</v>
      </c>
      <c r="N3112" s="4" t="s">
        <v>25308</v>
      </c>
      <c r="O3112" s="4" t="s">
        <v>63</v>
      </c>
      <c r="P3112" s="4"/>
      <c r="Q3112" s="4" t="s">
        <v>63</v>
      </c>
      <c r="R3112" s="4" t="s">
        <v>63</v>
      </c>
      <c r="S3112" s="4" t="s">
        <v>25309</v>
      </c>
      <c r="T3112" s="4" t="s">
        <v>63</v>
      </c>
      <c r="U3112" s="4"/>
      <c r="V3112" s="4"/>
      <c r="W3112" s="4"/>
      <c r="X3112" s="4" t="s">
        <v>63</v>
      </c>
      <c r="Y3112" s="4" t="s">
        <v>63</v>
      </c>
      <c r="Z3112" s="4" t="s">
        <v>63</v>
      </c>
      <c r="AA3112" s="4" t="s">
        <v>63</v>
      </c>
      <c r="AB3112" s="4" t="s">
        <v>25310</v>
      </c>
      <c r="AC3112" s="4" t="s">
        <v>67</v>
      </c>
      <c r="AD3112" s="4" t="s">
        <v>63</v>
      </c>
      <c r="AE3112" s="4" t="s">
        <v>63</v>
      </c>
      <c r="AF3112" s="4" t="s">
        <v>63</v>
      </c>
      <c r="AG3112" s="4" t="s">
        <v>63</v>
      </c>
      <c r="AH3112" s="4" t="s">
        <v>63</v>
      </c>
      <c r="AI3112" s="4" t="s">
        <v>63</v>
      </c>
      <c r="AJ3112" s="4" t="s">
        <v>63</v>
      </c>
      <c r="AK3112" s="4" t="s">
        <v>63</v>
      </c>
      <c r="AL3112" s="4" t="s">
        <v>63</v>
      </c>
      <c r="AM3112" s="4" t="s">
        <v>25311</v>
      </c>
      <c r="AN3112" s="4" t="s">
        <v>63</v>
      </c>
      <c r="AO3112" s="4" t="s">
        <v>63</v>
      </c>
      <c r="AP3112" s="4" t="s">
        <v>63</v>
      </c>
      <c r="AQ3112" s="4" t="s">
        <v>63</v>
      </c>
      <c r="AR3112" s="4" t="s">
        <v>63</v>
      </c>
      <c r="AS3112" s="4" t="s">
        <v>63</v>
      </c>
      <c r="AT3112" s="4" t="s">
        <v>63</v>
      </c>
      <c r="AU3112" s="4" t="s">
        <v>63</v>
      </c>
      <c r="AV3112" s="4" t="s">
        <v>63</v>
      </c>
      <c r="AW3112" s="4" t="s">
        <v>63</v>
      </c>
      <c r="AX3112" s="4" t="s">
        <v>63</v>
      </c>
      <c r="AY3112" s="4" t="s">
        <v>63</v>
      </c>
      <c r="AZ3112" s="4" t="s">
        <v>63</v>
      </c>
      <c r="BA3112" s="4" t="s">
        <v>63</v>
      </c>
      <c r="BB3112" s="4" t="s">
        <v>63</v>
      </c>
      <c r="BC3112" s="4" t="s">
        <v>63</v>
      </c>
      <c r="BD3112" s="4" t="s">
        <v>63</v>
      </c>
      <c r="BE3112" s="4" t="s">
        <v>63</v>
      </c>
      <c r="BF3112" s="4" t="s">
        <v>63</v>
      </c>
    </row>
    <row r="3113" spans="1:58">
      <c r="A3113" s="4" t="s">
        <v>25174</v>
      </c>
      <c r="B3113" s="4"/>
      <c r="C3113" s="4" t="s">
        <v>25312</v>
      </c>
      <c r="D3113" s="4" t="s">
        <v>63</v>
      </c>
      <c r="E3113" s="4" t="s">
        <v>63</v>
      </c>
      <c r="F3113" s="4">
        <v>1988</v>
      </c>
      <c r="G3113" s="4" t="s">
        <v>63</v>
      </c>
      <c r="H3113" s="4" t="s">
        <v>63</v>
      </c>
      <c r="I3113" s="4" t="s">
        <v>63</v>
      </c>
      <c r="J3113" s="4">
        <v>25</v>
      </c>
      <c r="K3113" s="4" t="s">
        <v>63</v>
      </c>
      <c r="L3113" s="4" t="s">
        <v>25313</v>
      </c>
      <c r="M3113" s="4" t="s">
        <v>25314</v>
      </c>
      <c r="N3113" s="4" t="s">
        <v>25315</v>
      </c>
      <c r="O3113" s="4" t="s">
        <v>63</v>
      </c>
      <c r="P3113" s="4"/>
      <c r="Q3113" s="4" t="s">
        <v>63</v>
      </c>
      <c r="R3113" s="4" t="s">
        <v>63</v>
      </c>
      <c r="S3113" s="4" t="s">
        <v>25295</v>
      </c>
      <c r="T3113" s="4" t="s">
        <v>25316</v>
      </c>
      <c r="U3113" s="4"/>
      <c r="V3113" s="4"/>
      <c r="W3113" s="4"/>
      <c r="X3113" s="4" t="s">
        <v>63</v>
      </c>
      <c r="Y3113" s="4" t="s">
        <v>63</v>
      </c>
      <c r="Z3113" s="4" t="s">
        <v>63</v>
      </c>
      <c r="AA3113" s="4" t="s">
        <v>63</v>
      </c>
      <c r="AB3113" s="4" t="s">
        <v>25317</v>
      </c>
      <c r="AC3113" s="4" t="s">
        <v>67</v>
      </c>
      <c r="AD3113" s="4" t="s">
        <v>63</v>
      </c>
      <c r="AE3113" s="4" t="s">
        <v>63</v>
      </c>
      <c r="AF3113" s="4" t="s">
        <v>63</v>
      </c>
      <c r="AG3113" s="4" t="s">
        <v>63</v>
      </c>
      <c r="AH3113" s="4" t="s">
        <v>63</v>
      </c>
      <c r="AI3113" s="4" t="s">
        <v>63</v>
      </c>
      <c r="AJ3113" s="4" t="s">
        <v>63</v>
      </c>
      <c r="AK3113" s="4" t="s">
        <v>63</v>
      </c>
      <c r="AL3113" s="4" t="s">
        <v>63</v>
      </c>
      <c r="AM3113" s="4" t="s">
        <v>25318</v>
      </c>
      <c r="AN3113" s="4" t="s">
        <v>63</v>
      </c>
      <c r="AO3113" s="4" t="s">
        <v>63</v>
      </c>
      <c r="AP3113" s="4" t="s">
        <v>63</v>
      </c>
      <c r="AQ3113" s="4" t="s">
        <v>63</v>
      </c>
      <c r="AR3113" s="4" t="s">
        <v>63</v>
      </c>
      <c r="AS3113" s="4" t="s">
        <v>63</v>
      </c>
      <c r="AT3113" s="4" t="s">
        <v>63</v>
      </c>
      <c r="AU3113" s="4" t="s">
        <v>63</v>
      </c>
      <c r="AV3113" s="4" t="s">
        <v>63</v>
      </c>
      <c r="AW3113" s="4" t="s">
        <v>63</v>
      </c>
      <c r="AX3113" s="4" t="s">
        <v>63</v>
      </c>
      <c r="AY3113" s="4" t="s">
        <v>63</v>
      </c>
      <c r="AZ3113" s="4" t="s">
        <v>63</v>
      </c>
      <c r="BA3113" s="4" t="s">
        <v>63</v>
      </c>
      <c r="BB3113" s="4" t="s">
        <v>63</v>
      </c>
      <c r="BC3113" s="4" t="s">
        <v>63</v>
      </c>
      <c r="BD3113" s="4" t="s">
        <v>63</v>
      </c>
      <c r="BE3113" s="4" t="s">
        <v>63</v>
      </c>
      <c r="BF3113" s="4" t="s">
        <v>63</v>
      </c>
    </row>
    <row r="3114" spans="1:58">
      <c r="A3114" s="4" t="s">
        <v>25174</v>
      </c>
      <c r="B3114" s="4"/>
      <c r="C3114" s="4" t="s">
        <v>25319</v>
      </c>
      <c r="D3114" s="4" t="s">
        <v>63</v>
      </c>
      <c r="E3114" s="4" t="s">
        <v>63</v>
      </c>
      <c r="F3114" s="4">
        <v>1986</v>
      </c>
      <c r="G3114" s="4" t="s">
        <v>63</v>
      </c>
      <c r="H3114" s="4" t="s">
        <v>63</v>
      </c>
      <c r="I3114" s="4" t="s">
        <v>63</v>
      </c>
      <c r="J3114" s="4">
        <v>41</v>
      </c>
      <c r="K3114" s="4" t="s">
        <v>63</v>
      </c>
      <c r="L3114" s="4" t="s">
        <v>25320</v>
      </c>
      <c r="M3114" s="4" t="s">
        <v>25321</v>
      </c>
      <c r="N3114" s="4" t="s">
        <v>25322</v>
      </c>
      <c r="O3114" s="4" t="s">
        <v>63</v>
      </c>
      <c r="P3114" s="4"/>
      <c r="Q3114" s="4" t="s">
        <v>63</v>
      </c>
      <c r="R3114" s="4" t="s">
        <v>63</v>
      </c>
      <c r="S3114" s="4" t="s">
        <v>25323</v>
      </c>
      <c r="T3114" s="4" t="s">
        <v>25324</v>
      </c>
      <c r="U3114" s="4"/>
      <c r="V3114" s="4"/>
      <c r="W3114" s="4"/>
      <c r="X3114" s="4" t="s">
        <v>63</v>
      </c>
      <c r="Y3114" s="4" t="s">
        <v>63</v>
      </c>
      <c r="Z3114" s="4" t="s">
        <v>63</v>
      </c>
      <c r="AA3114" s="4" t="s">
        <v>63</v>
      </c>
      <c r="AB3114" s="4" t="s">
        <v>25325</v>
      </c>
      <c r="AC3114" s="4" t="s">
        <v>67</v>
      </c>
      <c r="AD3114" s="4" t="s">
        <v>63</v>
      </c>
      <c r="AE3114" s="4" t="s">
        <v>63</v>
      </c>
      <c r="AF3114" s="4" t="s">
        <v>63</v>
      </c>
      <c r="AG3114" s="4" t="s">
        <v>63</v>
      </c>
      <c r="AH3114" s="4" t="s">
        <v>63</v>
      </c>
      <c r="AI3114" s="4" t="s">
        <v>63</v>
      </c>
      <c r="AJ3114" s="4" t="s">
        <v>63</v>
      </c>
      <c r="AK3114" s="4" t="s">
        <v>63</v>
      </c>
      <c r="AL3114" s="4" t="s">
        <v>63</v>
      </c>
      <c r="AM3114" s="4" t="s">
        <v>25326</v>
      </c>
      <c r="AN3114" s="4" t="s">
        <v>63</v>
      </c>
      <c r="AO3114" s="4" t="s">
        <v>63</v>
      </c>
      <c r="AP3114" s="4" t="s">
        <v>63</v>
      </c>
      <c r="AQ3114" s="4" t="s">
        <v>63</v>
      </c>
      <c r="AR3114" s="4" t="s">
        <v>63</v>
      </c>
      <c r="AS3114" s="4" t="s">
        <v>63</v>
      </c>
      <c r="AT3114" s="4" t="s">
        <v>63</v>
      </c>
      <c r="AU3114" s="4" t="s">
        <v>63</v>
      </c>
      <c r="AV3114" s="4" t="s">
        <v>63</v>
      </c>
      <c r="AW3114" s="4" t="s">
        <v>63</v>
      </c>
      <c r="AX3114" s="4" t="s">
        <v>63</v>
      </c>
      <c r="AY3114" s="4" t="s">
        <v>63</v>
      </c>
      <c r="AZ3114" s="4" t="s">
        <v>63</v>
      </c>
      <c r="BA3114" s="4" t="s">
        <v>63</v>
      </c>
      <c r="BB3114" s="4" t="s">
        <v>63</v>
      </c>
      <c r="BC3114" s="4" t="s">
        <v>63</v>
      </c>
      <c r="BD3114" s="4" t="s">
        <v>63</v>
      </c>
      <c r="BE3114" s="4" t="s">
        <v>63</v>
      </c>
      <c r="BF3114" s="4" t="s">
        <v>63</v>
      </c>
    </row>
    <row r="3115" spans="1:58">
      <c r="A3115" s="4" t="s">
        <v>25174</v>
      </c>
      <c r="B3115" s="4"/>
      <c r="C3115" s="4" t="s">
        <v>25327</v>
      </c>
      <c r="D3115" s="4" t="s">
        <v>63</v>
      </c>
      <c r="E3115" s="4" t="s">
        <v>63</v>
      </c>
      <c r="F3115" s="4">
        <v>1985</v>
      </c>
      <c r="G3115" s="6">
        <v>41715</v>
      </c>
      <c r="H3115" s="4" t="s">
        <v>63</v>
      </c>
      <c r="I3115" s="4" t="s">
        <v>63</v>
      </c>
      <c r="J3115" s="4">
        <v>132</v>
      </c>
      <c r="K3115" s="4" t="s">
        <v>63</v>
      </c>
      <c r="L3115" s="4" t="s">
        <v>25328</v>
      </c>
      <c r="M3115" s="4" t="s">
        <v>25329</v>
      </c>
      <c r="N3115" s="4" t="s">
        <v>25330</v>
      </c>
      <c r="O3115" s="4" t="s">
        <v>63</v>
      </c>
      <c r="P3115" s="4"/>
      <c r="Q3115" s="4" t="s">
        <v>63</v>
      </c>
      <c r="R3115" s="4" t="s">
        <v>63</v>
      </c>
      <c r="S3115" s="4" t="s">
        <v>25331</v>
      </c>
      <c r="T3115" s="4" t="s">
        <v>25332</v>
      </c>
      <c r="U3115" s="4"/>
      <c r="V3115" s="4"/>
      <c r="W3115" s="4"/>
      <c r="X3115" s="4" t="s">
        <v>63</v>
      </c>
      <c r="Y3115" s="4" t="s">
        <v>63</v>
      </c>
      <c r="Z3115" s="4" t="s">
        <v>63</v>
      </c>
      <c r="AA3115" s="4" t="s">
        <v>63</v>
      </c>
      <c r="AB3115" s="4" t="s">
        <v>25333</v>
      </c>
      <c r="AC3115" s="4" t="s">
        <v>67</v>
      </c>
      <c r="AD3115" s="4" t="s">
        <v>63</v>
      </c>
      <c r="AE3115" s="4" t="s">
        <v>63</v>
      </c>
      <c r="AF3115" s="4" t="s">
        <v>63</v>
      </c>
      <c r="AG3115" s="4" t="s">
        <v>63</v>
      </c>
      <c r="AH3115" s="4" t="s">
        <v>63</v>
      </c>
      <c r="AI3115" s="4" t="s">
        <v>63</v>
      </c>
      <c r="AJ3115" s="4" t="s">
        <v>63</v>
      </c>
      <c r="AK3115" s="4" t="s">
        <v>63</v>
      </c>
      <c r="AL3115" s="4" t="s">
        <v>63</v>
      </c>
      <c r="AM3115" s="4" t="s">
        <v>25334</v>
      </c>
      <c r="AN3115" s="4" t="s">
        <v>63</v>
      </c>
      <c r="AO3115" s="4" t="s">
        <v>63</v>
      </c>
      <c r="AP3115" s="4" t="s">
        <v>63</v>
      </c>
      <c r="AQ3115" s="4" t="s">
        <v>63</v>
      </c>
      <c r="AR3115" s="4" t="s">
        <v>63</v>
      </c>
      <c r="AS3115" s="4" t="s">
        <v>63</v>
      </c>
      <c r="AT3115" s="4" t="s">
        <v>63</v>
      </c>
      <c r="AU3115" s="4" t="s">
        <v>63</v>
      </c>
      <c r="AV3115" s="4" t="s">
        <v>63</v>
      </c>
      <c r="AW3115" s="4" t="s">
        <v>63</v>
      </c>
      <c r="AX3115" s="4" t="s">
        <v>63</v>
      </c>
      <c r="AY3115" s="4" t="s">
        <v>63</v>
      </c>
      <c r="AZ3115" s="4" t="s">
        <v>63</v>
      </c>
      <c r="BA3115" s="4" t="s">
        <v>63</v>
      </c>
      <c r="BB3115" s="4" t="s">
        <v>63</v>
      </c>
      <c r="BC3115" s="4" t="s">
        <v>63</v>
      </c>
      <c r="BD3115" s="4" t="s">
        <v>63</v>
      </c>
      <c r="BE3115" s="4" t="s">
        <v>63</v>
      </c>
      <c r="BF3115" s="4" t="s">
        <v>63</v>
      </c>
    </row>
    <row r="3116" spans="1:58">
      <c r="A3116" s="4" t="s">
        <v>25174</v>
      </c>
      <c r="B3116" s="4"/>
      <c r="C3116" s="4" t="s">
        <v>25335</v>
      </c>
      <c r="D3116" s="4" t="s">
        <v>63</v>
      </c>
      <c r="E3116" s="4" t="s">
        <v>63</v>
      </c>
      <c r="F3116" s="4">
        <v>1984</v>
      </c>
      <c r="G3116" s="5">
        <v>35124</v>
      </c>
      <c r="H3116" s="4" t="s">
        <v>63</v>
      </c>
      <c r="I3116" s="4" t="s">
        <v>63</v>
      </c>
      <c r="J3116" s="4">
        <v>135</v>
      </c>
      <c r="K3116" s="4" t="s">
        <v>63</v>
      </c>
      <c r="L3116" s="4" t="s">
        <v>25336</v>
      </c>
      <c r="M3116" s="4" t="s">
        <v>25337</v>
      </c>
      <c r="N3116" s="4" t="s">
        <v>25338</v>
      </c>
      <c r="O3116" s="4" t="s">
        <v>63</v>
      </c>
      <c r="P3116" s="4"/>
      <c r="Q3116" s="4" t="s">
        <v>63</v>
      </c>
      <c r="R3116" s="4" t="s">
        <v>63</v>
      </c>
      <c r="S3116" s="4" t="s">
        <v>25339</v>
      </c>
      <c r="T3116" s="4" t="s">
        <v>63</v>
      </c>
      <c r="U3116" s="4"/>
      <c r="V3116" s="4"/>
      <c r="W3116" s="4"/>
      <c r="X3116" s="4" t="s">
        <v>63</v>
      </c>
      <c r="Y3116" s="4" t="s">
        <v>63</v>
      </c>
      <c r="Z3116" s="4" t="s">
        <v>63</v>
      </c>
      <c r="AA3116" s="4" t="s">
        <v>63</v>
      </c>
      <c r="AB3116" s="4" t="s">
        <v>25340</v>
      </c>
      <c r="AC3116" s="4" t="s">
        <v>67</v>
      </c>
      <c r="AD3116" s="4" t="s">
        <v>63</v>
      </c>
      <c r="AE3116" s="4" t="s">
        <v>63</v>
      </c>
      <c r="AF3116" s="4" t="s">
        <v>63</v>
      </c>
      <c r="AG3116" s="4" t="s">
        <v>63</v>
      </c>
      <c r="AH3116" s="4" t="s">
        <v>63</v>
      </c>
      <c r="AI3116" s="4" t="s">
        <v>63</v>
      </c>
      <c r="AJ3116" s="4" t="s">
        <v>63</v>
      </c>
      <c r="AK3116" s="4" t="s">
        <v>63</v>
      </c>
      <c r="AL3116" s="4" t="s">
        <v>63</v>
      </c>
      <c r="AM3116" s="4" t="s">
        <v>25341</v>
      </c>
      <c r="AN3116" s="4" t="s">
        <v>63</v>
      </c>
      <c r="AO3116" s="4" t="s">
        <v>63</v>
      </c>
      <c r="AP3116" s="4" t="s">
        <v>63</v>
      </c>
      <c r="AQ3116" s="4" t="s">
        <v>63</v>
      </c>
      <c r="AR3116" s="4" t="s">
        <v>63</v>
      </c>
      <c r="AS3116" s="4" t="s">
        <v>63</v>
      </c>
      <c r="AT3116" s="4" t="s">
        <v>63</v>
      </c>
      <c r="AU3116" s="4" t="s">
        <v>63</v>
      </c>
      <c r="AV3116" s="4" t="s">
        <v>63</v>
      </c>
      <c r="AW3116" s="4" t="s">
        <v>63</v>
      </c>
      <c r="AX3116" s="4" t="s">
        <v>63</v>
      </c>
      <c r="AY3116" s="4" t="s">
        <v>63</v>
      </c>
      <c r="AZ3116" s="4" t="s">
        <v>63</v>
      </c>
      <c r="BA3116" s="4" t="s">
        <v>63</v>
      </c>
      <c r="BB3116" s="4" t="s">
        <v>63</v>
      </c>
      <c r="BC3116" s="4" t="s">
        <v>63</v>
      </c>
      <c r="BD3116" s="4" t="s">
        <v>63</v>
      </c>
      <c r="BE3116" s="4" t="s">
        <v>63</v>
      </c>
      <c r="BF3116" s="4" t="s">
        <v>63</v>
      </c>
    </row>
    <row r="3117" spans="1:58">
      <c r="A3117" s="4" t="s">
        <v>25174</v>
      </c>
      <c r="B3117" s="4"/>
      <c r="C3117" s="4" t="s">
        <v>25342</v>
      </c>
      <c r="D3117" s="4" t="s">
        <v>63</v>
      </c>
      <c r="E3117" s="4" t="s">
        <v>63</v>
      </c>
      <c r="F3117" s="4">
        <v>1982</v>
      </c>
      <c r="G3117" s="4" t="s">
        <v>63</v>
      </c>
      <c r="H3117" s="4" t="s">
        <v>63</v>
      </c>
      <c r="I3117" s="4" t="s">
        <v>63</v>
      </c>
      <c r="J3117" s="4">
        <v>53</v>
      </c>
      <c r="K3117" s="4" t="s">
        <v>63</v>
      </c>
      <c r="L3117" s="4" t="s">
        <v>25343</v>
      </c>
      <c r="M3117" s="4" t="s">
        <v>25344</v>
      </c>
      <c r="N3117" s="4" t="s">
        <v>25345</v>
      </c>
      <c r="O3117" s="4" t="s">
        <v>63</v>
      </c>
      <c r="P3117" s="4"/>
      <c r="Q3117" s="4" t="s">
        <v>63</v>
      </c>
      <c r="R3117" s="4" t="s">
        <v>63</v>
      </c>
      <c r="S3117" s="4" t="s">
        <v>25346</v>
      </c>
      <c r="T3117" s="4" t="s">
        <v>63</v>
      </c>
      <c r="U3117" s="4"/>
      <c r="V3117" s="4"/>
      <c r="W3117" s="4"/>
      <c r="X3117" s="4" t="s">
        <v>63</v>
      </c>
      <c r="Y3117" s="4" t="s">
        <v>63</v>
      </c>
      <c r="Z3117" s="4" t="s">
        <v>63</v>
      </c>
      <c r="AA3117" s="4" t="s">
        <v>63</v>
      </c>
      <c r="AB3117" s="4" t="s">
        <v>25347</v>
      </c>
      <c r="AC3117" s="4" t="s">
        <v>67</v>
      </c>
      <c r="AD3117" s="4" t="s">
        <v>63</v>
      </c>
      <c r="AE3117" s="4" t="s">
        <v>63</v>
      </c>
      <c r="AF3117" s="4" t="s">
        <v>63</v>
      </c>
      <c r="AG3117" s="4" t="s">
        <v>63</v>
      </c>
      <c r="AH3117" s="4" t="s">
        <v>63</v>
      </c>
      <c r="AI3117" s="4" t="s">
        <v>63</v>
      </c>
      <c r="AJ3117" s="4" t="s">
        <v>63</v>
      </c>
      <c r="AK3117" s="4" t="s">
        <v>63</v>
      </c>
      <c r="AL3117" s="4" t="s">
        <v>63</v>
      </c>
      <c r="AM3117" s="4" t="s">
        <v>25348</v>
      </c>
      <c r="AN3117" s="4" t="s">
        <v>63</v>
      </c>
      <c r="AO3117" s="4" t="s">
        <v>63</v>
      </c>
      <c r="AP3117" s="4" t="s">
        <v>63</v>
      </c>
      <c r="AQ3117" s="4" t="s">
        <v>63</v>
      </c>
      <c r="AR3117" s="4" t="s">
        <v>63</v>
      </c>
      <c r="AS3117" s="4" t="s">
        <v>63</v>
      </c>
      <c r="AT3117" s="4" t="s">
        <v>63</v>
      </c>
      <c r="AU3117" s="4" t="s">
        <v>63</v>
      </c>
      <c r="AV3117" s="4" t="s">
        <v>63</v>
      </c>
      <c r="AW3117" s="4" t="s">
        <v>63</v>
      </c>
      <c r="AX3117" s="4" t="s">
        <v>63</v>
      </c>
      <c r="AY3117" s="4" t="s">
        <v>63</v>
      </c>
      <c r="AZ3117" s="4" t="s">
        <v>63</v>
      </c>
      <c r="BA3117" s="4" t="s">
        <v>63</v>
      </c>
      <c r="BB3117" s="4" t="s">
        <v>63</v>
      </c>
      <c r="BC3117" s="4" t="s">
        <v>63</v>
      </c>
      <c r="BD3117" s="4" t="s">
        <v>63</v>
      </c>
      <c r="BE3117" s="4" t="s">
        <v>63</v>
      </c>
      <c r="BF3117" s="4" t="s">
        <v>63</v>
      </c>
    </row>
    <row r="3118" spans="1:58">
      <c r="A3118" s="4" t="s">
        <v>25174</v>
      </c>
      <c r="B3118" s="4"/>
      <c r="C3118" s="4" t="s">
        <v>25349</v>
      </c>
      <c r="D3118" s="4" t="s">
        <v>63</v>
      </c>
      <c r="E3118" s="4" t="s">
        <v>63</v>
      </c>
      <c r="F3118" s="4">
        <v>1980</v>
      </c>
      <c r="G3118" s="4" t="s">
        <v>63</v>
      </c>
      <c r="H3118" s="4" t="s">
        <v>63</v>
      </c>
      <c r="I3118" s="4" t="s">
        <v>63</v>
      </c>
      <c r="J3118" s="4">
        <v>39</v>
      </c>
      <c r="K3118" s="4" t="s">
        <v>63</v>
      </c>
      <c r="L3118" s="4" t="s">
        <v>25350</v>
      </c>
      <c r="M3118" s="4" t="s">
        <v>25351</v>
      </c>
      <c r="N3118" s="4" t="s">
        <v>25352</v>
      </c>
      <c r="O3118" s="4" t="s">
        <v>63</v>
      </c>
      <c r="P3118" s="4"/>
      <c r="Q3118" s="4" t="s">
        <v>63</v>
      </c>
      <c r="R3118" s="4" t="s">
        <v>63</v>
      </c>
      <c r="S3118" s="4" t="s">
        <v>25353</v>
      </c>
      <c r="T3118" s="4" t="s">
        <v>63</v>
      </c>
      <c r="U3118" s="4"/>
      <c r="V3118" s="4"/>
      <c r="W3118" s="4"/>
      <c r="X3118" s="4" t="s">
        <v>63</v>
      </c>
      <c r="Y3118" s="4" t="s">
        <v>63</v>
      </c>
      <c r="Z3118" s="4" t="s">
        <v>63</v>
      </c>
      <c r="AA3118" s="4" t="s">
        <v>63</v>
      </c>
      <c r="AB3118" s="4" t="s">
        <v>25354</v>
      </c>
      <c r="AC3118" s="4" t="s">
        <v>67</v>
      </c>
      <c r="AD3118" s="4" t="s">
        <v>63</v>
      </c>
      <c r="AE3118" s="4" t="s">
        <v>63</v>
      </c>
      <c r="AF3118" s="4" t="s">
        <v>63</v>
      </c>
      <c r="AG3118" s="4" t="s">
        <v>63</v>
      </c>
      <c r="AH3118" s="4" t="s">
        <v>63</v>
      </c>
      <c r="AI3118" s="4" t="s">
        <v>63</v>
      </c>
      <c r="AJ3118" s="4" t="s">
        <v>63</v>
      </c>
      <c r="AK3118" s="4" t="s">
        <v>63</v>
      </c>
      <c r="AL3118" s="4" t="s">
        <v>63</v>
      </c>
      <c r="AM3118" s="4" t="s">
        <v>25355</v>
      </c>
      <c r="AN3118" s="4" t="s">
        <v>63</v>
      </c>
      <c r="AO3118" s="4" t="s">
        <v>63</v>
      </c>
      <c r="AP3118" s="4" t="s">
        <v>63</v>
      </c>
      <c r="AQ3118" s="4" t="s">
        <v>63</v>
      </c>
      <c r="AR3118" s="4" t="s">
        <v>63</v>
      </c>
      <c r="AS3118" s="4" t="s">
        <v>63</v>
      </c>
      <c r="AT3118" s="4" t="s">
        <v>63</v>
      </c>
      <c r="AU3118" s="4" t="s">
        <v>63</v>
      </c>
      <c r="AV3118" s="4" t="s">
        <v>63</v>
      </c>
      <c r="AW3118" s="4" t="s">
        <v>63</v>
      </c>
      <c r="AX3118" s="4" t="s">
        <v>63</v>
      </c>
      <c r="AY3118" s="4" t="s">
        <v>63</v>
      </c>
      <c r="AZ3118" s="4" t="s">
        <v>63</v>
      </c>
      <c r="BA3118" s="4" t="s">
        <v>63</v>
      </c>
      <c r="BB3118" s="4" t="s">
        <v>63</v>
      </c>
      <c r="BC3118" s="4" t="s">
        <v>63</v>
      </c>
      <c r="BD3118" s="4" t="s">
        <v>63</v>
      </c>
      <c r="BE3118" s="4" t="s">
        <v>63</v>
      </c>
      <c r="BF3118" s="4" t="s">
        <v>63</v>
      </c>
    </row>
    <row r="3119" spans="1:58">
      <c r="A3119" s="4" t="s">
        <v>25174</v>
      </c>
      <c r="B3119" s="4"/>
      <c r="C3119" s="4" t="s">
        <v>25356</v>
      </c>
      <c r="D3119" s="4" t="s">
        <v>63</v>
      </c>
      <c r="E3119" s="4" t="s">
        <v>63</v>
      </c>
      <c r="F3119" s="4">
        <v>1979</v>
      </c>
      <c r="G3119" s="4" t="s">
        <v>63</v>
      </c>
      <c r="H3119" s="4" t="s">
        <v>63</v>
      </c>
      <c r="I3119" s="4" t="s">
        <v>63</v>
      </c>
      <c r="J3119" s="4">
        <v>14</v>
      </c>
      <c r="K3119" s="4" t="s">
        <v>63</v>
      </c>
      <c r="L3119" s="4" t="s">
        <v>25357</v>
      </c>
      <c r="M3119" s="4" t="s">
        <v>25358</v>
      </c>
      <c r="N3119" s="4" t="s">
        <v>25359</v>
      </c>
      <c r="O3119" s="4" t="s">
        <v>63</v>
      </c>
      <c r="P3119" s="4"/>
      <c r="Q3119" s="4" t="s">
        <v>63</v>
      </c>
      <c r="R3119" s="4" t="s">
        <v>63</v>
      </c>
      <c r="S3119" s="4" t="s">
        <v>25360</v>
      </c>
      <c r="T3119" s="4" t="s">
        <v>63</v>
      </c>
      <c r="U3119" s="4"/>
      <c r="V3119" s="4"/>
      <c r="W3119" s="4"/>
      <c r="X3119" s="4" t="s">
        <v>63</v>
      </c>
      <c r="Y3119" s="4" t="s">
        <v>63</v>
      </c>
      <c r="Z3119" s="4" t="s">
        <v>63</v>
      </c>
      <c r="AA3119" s="4" t="s">
        <v>63</v>
      </c>
      <c r="AB3119" s="4" t="s">
        <v>25361</v>
      </c>
      <c r="AC3119" s="4" t="s">
        <v>67</v>
      </c>
      <c r="AD3119" s="4" t="s">
        <v>63</v>
      </c>
      <c r="AE3119" s="4" t="s">
        <v>63</v>
      </c>
      <c r="AF3119" s="4" t="s">
        <v>63</v>
      </c>
      <c r="AG3119" s="4" t="s">
        <v>63</v>
      </c>
      <c r="AH3119" s="4" t="s">
        <v>63</v>
      </c>
      <c r="AI3119" s="4" t="s">
        <v>63</v>
      </c>
      <c r="AJ3119" s="4" t="s">
        <v>63</v>
      </c>
      <c r="AK3119" s="4" t="s">
        <v>63</v>
      </c>
      <c r="AL3119" s="4" t="s">
        <v>63</v>
      </c>
      <c r="AM3119" s="4" t="s">
        <v>25362</v>
      </c>
      <c r="AN3119" s="4" t="s">
        <v>63</v>
      </c>
      <c r="AO3119" s="4" t="s">
        <v>63</v>
      </c>
      <c r="AP3119" s="4" t="s">
        <v>63</v>
      </c>
      <c r="AQ3119" s="4" t="s">
        <v>63</v>
      </c>
      <c r="AR3119" s="4" t="s">
        <v>63</v>
      </c>
      <c r="AS3119" s="4" t="s">
        <v>63</v>
      </c>
      <c r="AT3119" s="4" t="s">
        <v>63</v>
      </c>
      <c r="AU3119" s="4" t="s">
        <v>63</v>
      </c>
      <c r="AV3119" s="4" t="s">
        <v>63</v>
      </c>
      <c r="AW3119" s="4" t="s">
        <v>63</v>
      </c>
      <c r="AX3119" s="4" t="s">
        <v>63</v>
      </c>
      <c r="AY3119" s="4" t="s">
        <v>63</v>
      </c>
      <c r="AZ3119" s="4" t="s">
        <v>63</v>
      </c>
      <c r="BA3119" s="4" t="s">
        <v>63</v>
      </c>
      <c r="BB3119" s="4" t="s">
        <v>63</v>
      </c>
      <c r="BC3119" s="4" t="s">
        <v>63</v>
      </c>
      <c r="BD3119" s="4" t="s">
        <v>63</v>
      </c>
      <c r="BE3119" s="4" t="s">
        <v>63</v>
      </c>
      <c r="BF3119" s="4" t="s">
        <v>63</v>
      </c>
    </row>
    <row r="3120" spans="1:58">
      <c r="A3120" s="4" t="s">
        <v>25174</v>
      </c>
      <c r="B3120" s="4"/>
      <c r="C3120" s="4" t="s">
        <v>25363</v>
      </c>
      <c r="D3120" s="4" t="s">
        <v>63</v>
      </c>
      <c r="E3120" s="4" t="s">
        <v>63</v>
      </c>
      <c r="F3120" s="4">
        <v>1979</v>
      </c>
      <c r="G3120" s="6">
        <v>41972</v>
      </c>
      <c r="H3120" s="4" t="s">
        <v>63</v>
      </c>
      <c r="I3120" s="4" t="s">
        <v>63</v>
      </c>
      <c r="J3120" s="4">
        <v>185</v>
      </c>
      <c r="K3120" s="4" t="s">
        <v>63</v>
      </c>
      <c r="L3120" s="4" t="s">
        <v>25364</v>
      </c>
      <c r="M3120" s="4" t="s">
        <v>25365</v>
      </c>
      <c r="N3120" s="4" t="s">
        <v>25366</v>
      </c>
      <c r="O3120" s="4" t="s">
        <v>63</v>
      </c>
      <c r="P3120" s="4"/>
      <c r="Q3120" s="4" t="s">
        <v>63</v>
      </c>
      <c r="R3120" s="4" t="s">
        <v>63</v>
      </c>
      <c r="S3120" s="4" t="s">
        <v>25367</v>
      </c>
      <c r="T3120" s="4" t="s">
        <v>63</v>
      </c>
      <c r="U3120" s="4"/>
      <c r="V3120" s="4"/>
      <c r="W3120" s="4"/>
      <c r="X3120" s="4" t="s">
        <v>63</v>
      </c>
      <c r="Y3120" s="4" t="s">
        <v>63</v>
      </c>
      <c r="Z3120" s="4" t="s">
        <v>63</v>
      </c>
      <c r="AA3120" s="4" t="s">
        <v>63</v>
      </c>
      <c r="AB3120" s="4" t="s">
        <v>25368</v>
      </c>
      <c r="AC3120" s="4" t="s">
        <v>67</v>
      </c>
      <c r="AD3120" s="4" t="s">
        <v>63</v>
      </c>
      <c r="AE3120" s="4" t="s">
        <v>63</v>
      </c>
      <c r="AF3120" s="4" t="s">
        <v>63</v>
      </c>
      <c r="AG3120" s="4" t="s">
        <v>63</v>
      </c>
      <c r="AH3120" s="4" t="s">
        <v>63</v>
      </c>
      <c r="AI3120" s="4" t="s">
        <v>63</v>
      </c>
      <c r="AJ3120" s="4" t="s">
        <v>63</v>
      </c>
      <c r="AK3120" s="4" t="s">
        <v>63</v>
      </c>
      <c r="AL3120" s="4" t="s">
        <v>63</v>
      </c>
      <c r="AM3120" s="4" t="s">
        <v>25369</v>
      </c>
      <c r="AN3120" s="4" t="s">
        <v>63</v>
      </c>
      <c r="AO3120" s="4" t="s">
        <v>63</v>
      </c>
      <c r="AP3120" s="4" t="s">
        <v>63</v>
      </c>
      <c r="AQ3120" s="4" t="s">
        <v>63</v>
      </c>
      <c r="AR3120" s="4" t="s">
        <v>63</v>
      </c>
      <c r="AS3120" s="4" t="s">
        <v>63</v>
      </c>
      <c r="AT3120" s="4" t="s">
        <v>63</v>
      </c>
      <c r="AU3120" s="4" t="s">
        <v>63</v>
      </c>
      <c r="AV3120" s="4" t="s">
        <v>63</v>
      </c>
      <c r="AW3120" s="4" t="s">
        <v>63</v>
      </c>
      <c r="AX3120" s="4" t="s">
        <v>63</v>
      </c>
      <c r="AY3120" s="4" t="s">
        <v>63</v>
      </c>
      <c r="AZ3120" s="4" t="s">
        <v>63</v>
      </c>
      <c r="BA3120" s="4" t="s">
        <v>63</v>
      </c>
      <c r="BB3120" s="4" t="s">
        <v>63</v>
      </c>
      <c r="BC3120" s="4" t="s">
        <v>63</v>
      </c>
      <c r="BD3120" s="4" t="s">
        <v>63</v>
      </c>
      <c r="BE3120" s="4" t="s">
        <v>63</v>
      </c>
      <c r="BF3120" s="4" t="s">
        <v>63</v>
      </c>
    </row>
    <row r="3121" spans="1:58">
      <c r="A3121" s="4" t="s">
        <v>25174</v>
      </c>
      <c r="B3121" s="4"/>
      <c r="C3121" s="4" t="s">
        <v>25370</v>
      </c>
      <c r="D3121" s="4" t="s">
        <v>63</v>
      </c>
      <c r="E3121" s="4" t="s">
        <v>63</v>
      </c>
      <c r="F3121" s="4">
        <v>1977</v>
      </c>
      <c r="G3121" s="6">
        <v>41923</v>
      </c>
      <c r="H3121" s="4" t="s">
        <v>63</v>
      </c>
      <c r="I3121" s="4" t="s">
        <v>63</v>
      </c>
      <c r="J3121" s="4">
        <v>258</v>
      </c>
      <c r="K3121" s="4" t="s">
        <v>63</v>
      </c>
      <c r="L3121" s="4" t="s">
        <v>25371</v>
      </c>
      <c r="M3121" s="4" t="s">
        <v>25372</v>
      </c>
      <c r="N3121" s="4" t="s">
        <v>25373</v>
      </c>
      <c r="O3121" s="4" t="s">
        <v>63</v>
      </c>
      <c r="P3121" s="4"/>
      <c r="Q3121" s="4" t="s">
        <v>63</v>
      </c>
      <c r="R3121" s="4" t="s">
        <v>63</v>
      </c>
      <c r="S3121" s="4" t="s">
        <v>25374</v>
      </c>
      <c r="T3121" s="4" t="s">
        <v>63</v>
      </c>
      <c r="U3121" s="4"/>
      <c r="V3121" s="4"/>
      <c r="W3121" s="4"/>
      <c r="X3121" s="4" t="s">
        <v>63</v>
      </c>
      <c r="Y3121" s="4" t="s">
        <v>63</v>
      </c>
      <c r="Z3121" s="4" t="s">
        <v>63</v>
      </c>
      <c r="AA3121" s="4" t="s">
        <v>63</v>
      </c>
      <c r="AB3121" s="4" t="s">
        <v>25375</v>
      </c>
      <c r="AC3121" s="4" t="s">
        <v>67</v>
      </c>
      <c r="AD3121" s="4" t="s">
        <v>63</v>
      </c>
      <c r="AE3121" s="4" t="s">
        <v>63</v>
      </c>
      <c r="AF3121" s="4" t="s">
        <v>63</v>
      </c>
      <c r="AG3121" s="4" t="s">
        <v>63</v>
      </c>
      <c r="AH3121" s="4" t="s">
        <v>63</v>
      </c>
      <c r="AI3121" s="4" t="s">
        <v>63</v>
      </c>
      <c r="AJ3121" s="4" t="s">
        <v>63</v>
      </c>
      <c r="AK3121" s="4" t="s">
        <v>63</v>
      </c>
      <c r="AL3121" s="4" t="s">
        <v>63</v>
      </c>
      <c r="AM3121" s="4" t="s">
        <v>25376</v>
      </c>
      <c r="AN3121" s="4" t="s">
        <v>63</v>
      </c>
      <c r="AO3121" s="4" t="s">
        <v>63</v>
      </c>
      <c r="AP3121" s="4" t="s">
        <v>63</v>
      </c>
      <c r="AQ3121" s="4" t="s">
        <v>63</v>
      </c>
      <c r="AR3121" s="4" t="s">
        <v>63</v>
      </c>
      <c r="AS3121" s="4" t="s">
        <v>63</v>
      </c>
      <c r="AT3121" s="4" t="s">
        <v>63</v>
      </c>
      <c r="AU3121" s="4" t="s">
        <v>63</v>
      </c>
      <c r="AV3121" s="4" t="s">
        <v>63</v>
      </c>
      <c r="AW3121" s="4" t="s">
        <v>63</v>
      </c>
      <c r="AX3121" s="4" t="s">
        <v>63</v>
      </c>
      <c r="AY3121" s="4" t="s">
        <v>63</v>
      </c>
      <c r="AZ3121" s="4" t="s">
        <v>63</v>
      </c>
      <c r="BA3121" s="4" t="s">
        <v>63</v>
      </c>
      <c r="BB3121" s="4" t="s">
        <v>63</v>
      </c>
      <c r="BC3121" s="4" t="s">
        <v>63</v>
      </c>
      <c r="BD3121" s="4" t="s">
        <v>63</v>
      </c>
      <c r="BE3121" s="4" t="s">
        <v>63</v>
      </c>
      <c r="BF3121" s="4" t="s">
        <v>63</v>
      </c>
    </row>
    <row r="3122" spans="1:58">
      <c r="A3122" s="4" t="s">
        <v>25174</v>
      </c>
      <c r="B3122" s="4"/>
      <c r="C3122" s="4" t="s">
        <v>25377</v>
      </c>
      <c r="D3122" s="4" t="s">
        <v>63</v>
      </c>
      <c r="E3122" s="4" t="s">
        <v>63</v>
      </c>
      <c r="F3122" s="4">
        <v>1967</v>
      </c>
      <c r="G3122" s="4" t="s">
        <v>63</v>
      </c>
      <c r="H3122" s="4" t="s">
        <v>63</v>
      </c>
      <c r="I3122" s="4" t="s">
        <v>63</v>
      </c>
      <c r="J3122" s="4">
        <v>167</v>
      </c>
      <c r="K3122" s="4" t="s">
        <v>63</v>
      </c>
      <c r="L3122" s="4" t="s">
        <v>25378</v>
      </c>
      <c r="M3122" s="4" t="s">
        <v>25379</v>
      </c>
      <c r="N3122" s="4" t="s">
        <v>25380</v>
      </c>
      <c r="O3122" s="4" t="s">
        <v>63</v>
      </c>
      <c r="P3122" s="4"/>
      <c r="Q3122" s="4" t="s">
        <v>63</v>
      </c>
      <c r="R3122" s="4" t="s">
        <v>63</v>
      </c>
      <c r="S3122" s="4" t="s">
        <v>25381</v>
      </c>
      <c r="T3122" s="4" t="s">
        <v>63</v>
      </c>
      <c r="U3122" s="4"/>
      <c r="V3122" s="4"/>
      <c r="W3122" s="4"/>
      <c r="X3122" s="4" t="s">
        <v>63</v>
      </c>
      <c r="Y3122" s="4" t="s">
        <v>63</v>
      </c>
      <c r="Z3122" s="4" t="s">
        <v>63</v>
      </c>
      <c r="AA3122" s="4" t="s">
        <v>63</v>
      </c>
      <c r="AB3122" s="4" t="s">
        <v>25382</v>
      </c>
      <c r="AC3122" s="4" t="s">
        <v>25383</v>
      </c>
      <c r="AD3122" s="4" t="s">
        <v>63</v>
      </c>
      <c r="AE3122" s="4" t="s">
        <v>63</v>
      </c>
      <c r="AF3122" s="4" t="s">
        <v>63</v>
      </c>
      <c r="AG3122" s="4" t="s">
        <v>63</v>
      </c>
      <c r="AH3122" s="4" t="s">
        <v>63</v>
      </c>
      <c r="AI3122" s="4" t="s">
        <v>63</v>
      </c>
      <c r="AJ3122" s="4" t="s">
        <v>63</v>
      </c>
      <c r="AK3122" s="4" t="s">
        <v>63</v>
      </c>
      <c r="AL3122" s="4" t="s">
        <v>63</v>
      </c>
      <c r="AM3122" s="4" t="s">
        <v>25384</v>
      </c>
      <c r="AN3122" s="4" t="s">
        <v>63</v>
      </c>
      <c r="AO3122" s="4" t="s">
        <v>63</v>
      </c>
      <c r="AP3122" s="4" t="s">
        <v>63</v>
      </c>
      <c r="AQ3122" s="4" t="s">
        <v>63</v>
      </c>
      <c r="AR3122" s="4" t="s">
        <v>63</v>
      </c>
      <c r="AS3122" s="4" t="s">
        <v>63</v>
      </c>
      <c r="AT3122" s="4" t="s">
        <v>63</v>
      </c>
      <c r="AU3122" s="4" t="s">
        <v>63</v>
      </c>
      <c r="AV3122" s="4" t="s">
        <v>63</v>
      </c>
      <c r="AW3122" s="4" t="s">
        <v>63</v>
      </c>
      <c r="AX3122" s="4" t="s">
        <v>63</v>
      </c>
      <c r="AY3122" s="4" t="s">
        <v>63</v>
      </c>
      <c r="AZ3122" s="4" t="s">
        <v>63</v>
      </c>
      <c r="BA3122" s="4" t="s">
        <v>63</v>
      </c>
      <c r="BB3122" s="4" t="s">
        <v>63</v>
      </c>
      <c r="BC3122" s="4" t="s">
        <v>63</v>
      </c>
      <c r="BD3122" s="4" t="s">
        <v>63</v>
      </c>
      <c r="BE3122" s="4" t="s">
        <v>63</v>
      </c>
      <c r="BF3122" s="4" t="s">
        <v>63</v>
      </c>
    </row>
    <row r="3123" spans="1:58">
      <c r="A3123" s="4" t="s">
        <v>58</v>
      </c>
      <c r="B3123" s="4"/>
      <c r="C3123" s="4" t="s">
        <v>25385</v>
      </c>
      <c r="D3123" s="4" t="s">
        <v>25386</v>
      </c>
      <c r="E3123" s="4" t="s">
        <v>25387</v>
      </c>
      <c r="F3123" s="4" t="s">
        <v>63</v>
      </c>
      <c r="G3123" s="5">
        <v>25293</v>
      </c>
      <c r="H3123" s="4">
        <v>51</v>
      </c>
      <c r="I3123" s="4">
        <v>17</v>
      </c>
      <c r="J3123" s="4">
        <v>39</v>
      </c>
      <c r="K3123" s="4">
        <v>40</v>
      </c>
      <c r="L3123" s="4" t="s">
        <v>25388</v>
      </c>
      <c r="M3123" s="4" t="s">
        <v>63</v>
      </c>
      <c r="N3123" s="4" t="s">
        <v>25389</v>
      </c>
      <c r="O3123" s="4" t="s">
        <v>63</v>
      </c>
      <c r="P3123" s="4"/>
      <c r="Q3123" s="4" t="s">
        <v>63</v>
      </c>
      <c r="R3123" s="4" t="s">
        <v>63</v>
      </c>
      <c r="S3123" s="4" t="s">
        <v>63</v>
      </c>
      <c r="T3123" s="4" t="s">
        <v>63</v>
      </c>
      <c r="U3123" s="4"/>
      <c r="V3123" s="4"/>
      <c r="W3123" s="4"/>
      <c r="X3123" s="4" t="s">
        <v>63</v>
      </c>
      <c r="Y3123" s="4" t="s">
        <v>63</v>
      </c>
      <c r="Z3123" s="4" t="s">
        <v>63</v>
      </c>
      <c r="AA3123" s="4" t="s">
        <v>63</v>
      </c>
      <c r="AB3123" s="4" t="s">
        <v>25390</v>
      </c>
      <c r="AC3123" s="4" t="s">
        <v>25383</v>
      </c>
      <c r="AD3123" s="4" t="s">
        <v>63</v>
      </c>
      <c r="AE3123" s="4" t="s">
        <v>63</v>
      </c>
      <c r="AF3123" s="4" t="s">
        <v>63</v>
      </c>
      <c r="AG3123" s="4" t="s">
        <v>63</v>
      </c>
      <c r="AH3123" s="4" t="s">
        <v>63</v>
      </c>
      <c r="AI3123" s="4" t="s">
        <v>63</v>
      </c>
      <c r="AJ3123" s="4" t="s">
        <v>63</v>
      </c>
      <c r="AK3123" s="4" t="s">
        <v>63</v>
      </c>
      <c r="AL3123" s="4" t="s">
        <v>63</v>
      </c>
      <c r="AM3123" s="4" t="s">
        <v>25391</v>
      </c>
      <c r="AN3123" s="4" t="s">
        <v>63</v>
      </c>
      <c r="AO3123" s="4" t="s">
        <v>63</v>
      </c>
      <c r="AP3123" s="4" t="s">
        <v>63</v>
      </c>
      <c r="AQ3123" s="4" t="s">
        <v>63</v>
      </c>
      <c r="AR3123" s="4" t="s">
        <v>63</v>
      </c>
      <c r="AS3123" s="4" t="s">
        <v>63</v>
      </c>
      <c r="AT3123" s="4" t="s">
        <v>63</v>
      </c>
      <c r="AU3123" s="4" t="s">
        <v>63</v>
      </c>
      <c r="AV3123" s="4" t="s">
        <v>63</v>
      </c>
      <c r="AW3123" s="4" t="s">
        <v>63</v>
      </c>
      <c r="AX3123" s="4" t="s">
        <v>63</v>
      </c>
      <c r="AY3123" s="4" t="s">
        <v>63</v>
      </c>
      <c r="AZ3123" s="4" t="s">
        <v>63</v>
      </c>
      <c r="BA3123" s="4" t="s">
        <v>63</v>
      </c>
      <c r="BB3123" s="4" t="s">
        <v>63</v>
      </c>
      <c r="BC3123" s="4" t="s">
        <v>63</v>
      </c>
      <c r="BD3123" s="4" t="s">
        <v>63</v>
      </c>
      <c r="BE3123" s="4" t="s">
        <v>63</v>
      </c>
      <c r="BF3123" s="4" t="s">
        <v>63</v>
      </c>
    </row>
    <row r="3124" spans="1:58">
      <c r="A3124" s="4" t="s">
        <v>58</v>
      </c>
      <c r="B3124" s="4" t="s">
        <v>25392</v>
      </c>
      <c r="C3124" s="4" t="s">
        <v>25393</v>
      </c>
      <c r="D3124" s="4" t="s">
        <v>25394</v>
      </c>
      <c r="E3124" s="4" t="s">
        <v>63</v>
      </c>
      <c r="F3124" s="4">
        <v>1369</v>
      </c>
      <c r="G3124" s="4" t="s">
        <v>25395</v>
      </c>
      <c r="H3124" s="4" t="s">
        <v>63</v>
      </c>
      <c r="I3124" s="4">
        <v>1</v>
      </c>
      <c r="J3124" s="4" t="s">
        <v>63</v>
      </c>
      <c r="K3124" s="4" t="s">
        <v>63</v>
      </c>
      <c r="L3124" s="4" t="s">
        <v>25396</v>
      </c>
      <c r="M3124" s="4" t="s">
        <v>25397</v>
      </c>
      <c r="N3124" s="4" t="s">
        <v>25398</v>
      </c>
      <c r="O3124" s="4" t="s">
        <v>63</v>
      </c>
      <c r="P3124" s="4"/>
      <c r="Q3124" s="4" t="s">
        <v>63</v>
      </c>
      <c r="R3124" s="4" t="s">
        <v>63</v>
      </c>
      <c r="S3124" s="4" t="s">
        <v>63</v>
      </c>
      <c r="T3124" s="4" t="s">
        <v>63</v>
      </c>
      <c r="U3124" s="4"/>
      <c r="V3124" s="4"/>
      <c r="W3124" s="4"/>
      <c r="X3124" s="4" t="s">
        <v>63</v>
      </c>
      <c r="Y3124" s="4" t="s">
        <v>25399</v>
      </c>
      <c r="Z3124" s="4" t="s">
        <v>63</v>
      </c>
      <c r="AA3124" s="4" t="s">
        <v>25400</v>
      </c>
      <c r="AB3124" s="4" t="s">
        <v>25401</v>
      </c>
      <c r="AC3124" s="4" t="s">
        <v>67</v>
      </c>
      <c r="AD3124" s="4" t="s">
        <v>63</v>
      </c>
      <c r="AE3124" s="4" t="s">
        <v>63</v>
      </c>
      <c r="AF3124" s="4" t="s">
        <v>63</v>
      </c>
      <c r="AG3124" s="4" t="s">
        <v>63</v>
      </c>
      <c r="AH3124" s="4" t="s">
        <v>63</v>
      </c>
      <c r="AI3124" s="4" t="s">
        <v>63</v>
      </c>
      <c r="AJ3124" s="4" t="s">
        <v>63</v>
      </c>
      <c r="AK3124" s="4" t="s">
        <v>63</v>
      </c>
      <c r="AL3124" s="4" t="s">
        <v>63</v>
      </c>
      <c r="AM3124" s="4" t="s">
        <v>25402</v>
      </c>
      <c r="AN3124" s="4" t="s">
        <v>63</v>
      </c>
      <c r="AO3124" s="4" t="s">
        <v>63</v>
      </c>
      <c r="AP3124" s="4" t="s">
        <v>63</v>
      </c>
      <c r="AQ3124" s="4" t="s">
        <v>63</v>
      </c>
      <c r="AR3124" s="4" t="s">
        <v>63</v>
      </c>
      <c r="AS3124" s="4" t="s">
        <v>63</v>
      </c>
      <c r="AT3124" s="4" t="s">
        <v>63</v>
      </c>
      <c r="AU3124" s="4" t="s">
        <v>63</v>
      </c>
      <c r="AV3124" s="4" t="s">
        <v>63</v>
      </c>
      <c r="AW3124" s="4" t="s">
        <v>63</v>
      </c>
      <c r="AX3124" s="4" t="s">
        <v>63</v>
      </c>
      <c r="AY3124" s="4" t="s">
        <v>63</v>
      </c>
      <c r="AZ3124" s="4" t="s">
        <v>63</v>
      </c>
      <c r="BA3124" s="4" t="s">
        <v>63</v>
      </c>
      <c r="BB3124" s="4" t="s">
        <v>63</v>
      </c>
      <c r="BC3124" s="4" t="s">
        <v>63</v>
      </c>
      <c r="BD3124" s="4" t="s">
        <v>63</v>
      </c>
      <c r="BE3124" s="4" t="s">
        <v>63</v>
      </c>
      <c r="BF3124" s="4" t="s">
        <v>63</v>
      </c>
    </row>
    <row r="3125" spans="1:58">
      <c r="A3125" s="4" t="s">
        <v>25174</v>
      </c>
      <c r="B3125" s="4" t="s">
        <v>25403</v>
      </c>
      <c r="C3125" s="4" t="s">
        <v>25404</v>
      </c>
      <c r="D3125" s="4" t="s">
        <v>63</v>
      </c>
      <c r="E3125" s="4" t="s">
        <v>63</v>
      </c>
      <c r="F3125" s="4">
        <v>1988</v>
      </c>
      <c r="G3125" s="4" t="s">
        <v>63</v>
      </c>
      <c r="H3125" s="4" t="s">
        <v>63</v>
      </c>
      <c r="I3125" s="4" t="s">
        <v>63</v>
      </c>
      <c r="J3125" s="4">
        <v>198</v>
      </c>
      <c r="K3125" s="4" t="s">
        <v>63</v>
      </c>
      <c r="L3125" s="4" t="s">
        <v>25405</v>
      </c>
      <c r="M3125" s="4" t="s">
        <v>25406</v>
      </c>
      <c r="N3125" s="4" t="s">
        <v>25407</v>
      </c>
      <c r="O3125" s="4" t="s">
        <v>63</v>
      </c>
      <c r="P3125" s="4"/>
      <c r="Q3125" s="4" t="s">
        <v>63</v>
      </c>
      <c r="R3125" s="4" t="s">
        <v>63</v>
      </c>
      <c r="S3125" s="4" t="s">
        <v>25408</v>
      </c>
      <c r="T3125" s="4" t="s">
        <v>63</v>
      </c>
      <c r="U3125" s="4"/>
      <c r="V3125" s="4"/>
      <c r="W3125" s="4"/>
      <c r="X3125" s="4" t="s">
        <v>63</v>
      </c>
      <c r="Y3125" s="4" t="s">
        <v>63</v>
      </c>
      <c r="Z3125" s="4" t="s">
        <v>63</v>
      </c>
      <c r="AA3125" s="4" t="s">
        <v>63</v>
      </c>
      <c r="AB3125" s="4" t="s">
        <v>25409</v>
      </c>
      <c r="AC3125" s="4" t="s">
        <v>67</v>
      </c>
      <c r="AD3125" s="4" t="s">
        <v>63</v>
      </c>
      <c r="AE3125" s="4" t="s">
        <v>63</v>
      </c>
      <c r="AF3125" s="4" t="s">
        <v>63</v>
      </c>
      <c r="AG3125" s="4" t="s">
        <v>63</v>
      </c>
      <c r="AH3125" s="4" t="s">
        <v>63</v>
      </c>
      <c r="AI3125" s="4" t="s">
        <v>63</v>
      </c>
      <c r="AJ3125" s="4" t="s">
        <v>63</v>
      </c>
      <c r="AK3125" s="4" t="s">
        <v>63</v>
      </c>
      <c r="AL3125" s="4" t="s">
        <v>63</v>
      </c>
      <c r="AM3125" s="4" t="s">
        <v>25410</v>
      </c>
      <c r="AN3125" s="4" t="s">
        <v>63</v>
      </c>
      <c r="AO3125" s="4" t="s">
        <v>63</v>
      </c>
      <c r="AP3125" s="4" t="s">
        <v>63</v>
      </c>
      <c r="AQ3125" s="4" t="s">
        <v>63</v>
      </c>
      <c r="AR3125" s="4" t="s">
        <v>63</v>
      </c>
      <c r="AS3125" s="4" t="s">
        <v>63</v>
      </c>
      <c r="AT3125" s="4" t="s">
        <v>63</v>
      </c>
      <c r="AU3125" s="4" t="s">
        <v>63</v>
      </c>
      <c r="AV3125" s="4" t="s">
        <v>63</v>
      </c>
      <c r="AW3125" s="4" t="s">
        <v>63</v>
      </c>
      <c r="AX3125" s="4" t="s">
        <v>63</v>
      </c>
      <c r="AY3125" s="4" t="s">
        <v>63</v>
      </c>
      <c r="AZ3125" s="4" t="s">
        <v>63</v>
      </c>
      <c r="BA3125" s="4" t="s">
        <v>63</v>
      </c>
      <c r="BB3125" s="4" t="s">
        <v>63</v>
      </c>
      <c r="BC3125" s="4" t="s">
        <v>63</v>
      </c>
      <c r="BD3125" s="4" t="s">
        <v>63</v>
      </c>
      <c r="BE3125" s="4" t="s">
        <v>63</v>
      </c>
      <c r="BF3125" s="4" t="s">
        <v>63</v>
      </c>
    </row>
    <row r="3126" spans="1:58">
      <c r="A3126" s="4" t="s">
        <v>25174</v>
      </c>
      <c r="B3126" s="4" t="s">
        <v>25411</v>
      </c>
      <c r="C3126" s="4" t="s">
        <v>25412</v>
      </c>
      <c r="D3126" s="4" t="s">
        <v>63</v>
      </c>
      <c r="E3126" s="4" t="s">
        <v>63</v>
      </c>
      <c r="F3126" s="4">
        <v>1984</v>
      </c>
      <c r="G3126" s="5">
        <v>35277</v>
      </c>
      <c r="H3126" s="4" t="s">
        <v>63</v>
      </c>
      <c r="I3126" s="4" t="s">
        <v>63</v>
      </c>
      <c r="J3126" s="4">
        <v>22</v>
      </c>
      <c r="K3126" s="4" t="s">
        <v>63</v>
      </c>
      <c r="L3126" s="4" t="s">
        <v>25413</v>
      </c>
      <c r="M3126" s="4" t="s">
        <v>25414</v>
      </c>
      <c r="N3126" s="4" t="s">
        <v>25415</v>
      </c>
      <c r="O3126" s="4" t="s">
        <v>63</v>
      </c>
      <c r="P3126" s="4"/>
      <c r="Q3126" s="4" t="s">
        <v>63</v>
      </c>
      <c r="R3126" s="4" t="s">
        <v>63</v>
      </c>
      <c r="S3126" s="4" t="s">
        <v>63</v>
      </c>
      <c r="T3126" s="4" t="s">
        <v>63</v>
      </c>
      <c r="U3126" s="4"/>
      <c r="V3126" s="4"/>
      <c r="W3126" s="4"/>
      <c r="X3126" s="4" t="s">
        <v>63</v>
      </c>
      <c r="Y3126" s="4" t="s">
        <v>63</v>
      </c>
      <c r="Z3126" s="4" t="s">
        <v>63</v>
      </c>
      <c r="AA3126" s="4" t="s">
        <v>63</v>
      </c>
      <c r="AB3126" s="4" t="s">
        <v>25416</v>
      </c>
      <c r="AC3126" s="4" t="s">
        <v>67</v>
      </c>
      <c r="AD3126" s="4" t="s">
        <v>63</v>
      </c>
      <c r="AE3126" s="4" t="s">
        <v>63</v>
      </c>
      <c r="AF3126" s="4" t="s">
        <v>63</v>
      </c>
      <c r="AG3126" s="4" t="s">
        <v>63</v>
      </c>
      <c r="AH3126" s="4" t="s">
        <v>63</v>
      </c>
      <c r="AI3126" s="4" t="s">
        <v>63</v>
      </c>
      <c r="AJ3126" s="4" t="s">
        <v>63</v>
      </c>
      <c r="AK3126" s="4" t="s">
        <v>63</v>
      </c>
      <c r="AL3126" s="4" t="s">
        <v>63</v>
      </c>
      <c r="AM3126" s="4" t="s">
        <v>25417</v>
      </c>
      <c r="AN3126" s="4" t="s">
        <v>63</v>
      </c>
      <c r="AO3126" s="4" t="s">
        <v>63</v>
      </c>
      <c r="AP3126" s="4" t="s">
        <v>63</v>
      </c>
      <c r="AQ3126" s="4" t="s">
        <v>63</v>
      </c>
      <c r="AR3126" s="4" t="s">
        <v>63</v>
      </c>
      <c r="AS3126" s="4" t="s">
        <v>63</v>
      </c>
      <c r="AT3126" s="4" t="s">
        <v>63</v>
      </c>
      <c r="AU3126" s="4" t="s">
        <v>63</v>
      </c>
      <c r="AV3126" s="4" t="s">
        <v>63</v>
      </c>
      <c r="AW3126" s="4" t="s">
        <v>63</v>
      </c>
      <c r="AX3126" s="4" t="s">
        <v>63</v>
      </c>
      <c r="AY3126" s="4" t="s">
        <v>63</v>
      </c>
      <c r="AZ3126" s="4" t="s">
        <v>63</v>
      </c>
      <c r="BA3126" s="4" t="s">
        <v>63</v>
      </c>
      <c r="BB3126" s="4" t="s">
        <v>63</v>
      </c>
      <c r="BC3126" s="4" t="s">
        <v>63</v>
      </c>
      <c r="BD3126" s="4" t="s">
        <v>63</v>
      </c>
      <c r="BE3126" s="4" t="s">
        <v>63</v>
      </c>
      <c r="BF3126" s="4" t="s">
        <v>63</v>
      </c>
    </row>
    <row r="3127" spans="1:58">
      <c r="A3127" s="4" t="s">
        <v>2702</v>
      </c>
      <c r="B3127" s="4" t="s">
        <v>25418</v>
      </c>
      <c r="C3127" s="4" t="s">
        <v>25419</v>
      </c>
      <c r="D3127" s="4" t="s">
        <v>63</v>
      </c>
      <c r="E3127" s="4" t="s">
        <v>63</v>
      </c>
      <c r="F3127" s="4">
        <v>2001</v>
      </c>
      <c r="G3127" s="5">
        <v>35216</v>
      </c>
      <c r="H3127" s="4" t="s">
        <v>63</v>
      </c>
      <c r="I3127" s="4" t="s">
        <v>63</v>
      </c>
      <c r="J3127" s="4">
        <v>129</v>
      </c>
      <c r="K3127" s="4" t="s">
        <v>63</v>
      </c>
      <c r="L3127" s="4" t="s">
        <v>25420</v>
      </c>
      <c r="M3127" s="4" t="s">
        <v>25421</v>
      </c>
      <c r="N3127" s="4" t="s">
        <v>25422</v>
      </c>
      <c r="O3127" s="4" t="s">
        <v>63</v>
      </c>
      <c r="P3127" s="4"/>
      <c r="Q3127" s="4" t="s">
        <v>63</v>
      </c>
      <c r="R3127" s="4" t="s">
        <v>63</v>
      </c>
      <c r="S3127" s="4" t="s">
        <v>25423</v>
      </c>
      <c r="T3127" s="4" t="s">
        <v>25424</v>
      </c>
      <c r="U3127" s="4"/>
      <c r="V3127" s="4"/>
      <c r="W3127" s="4"/>
      <c r="X3127" s="4" t="s">
        <v>63</v>
      </c>
      <c r="Y3127" s="4" t="s">
        <v>63</v>
      </c>
      <c r="Z3127" s="4" t="s">
        <v>63</v>
      </c>
      <c r="AA3127" s="4" t="s">
        <v>63</v>
      </c>
      <c r="AB3127" s="4" t="s">
        <v>25425</v>
      </c>
      <c r="AC3127" s="4" t="s">
        <v>67</v>
      </c>
      <c r="AD3127" s="4" t="s">
        <v>63</v>
      </c>
      <c r="AE3127" s="4" t="s">
        <v>63</v>
      </c>
      <c r="AF3127" s="4" t="s">
        <v>63</v>
      </c>
      <c r="AG3127" s="4" t="s">
        <v>63</v>
      </c>
      <c r="AH3127" s="4" t="s">
        <v>63</v>
      </c>
      <c r="AI3127" s="4" t="s">
        <v>63</v>
      </c>
      <c r="AJ3127" s="4" t="s">
        <v>63</v>
      </c>
      <c r="AK3127" s="4" t="s">
        <v>63</v>
      </c>
      <c r="AL3127" s="4" t="s">
        <v>63</v>
      </c>
      <c r="AM3127" s="4" t="s">
        <v>25426</v>
      </c>
      <c r="AN3127" s="4" t="s">
        <v>63</v>
      </c>
      <c r="AO3127" s="4" t="s">
        <v>63</v>
      </c>
      <c r="AP3127" s="4" t="s">
        <v>63</v>
      </c>
      <c r="AQ3127" s="4" t="s">
        <v>63</v>
      </c>
      <c r="AR3127" s="4" t="s">
        <v>63</v>
      </c>
      <c r="AS3127" s="4" t="s">
        <v>63</v>
      </c>
      <c r="AT3127" s="4" t="s">
        <v>63</v>
      </c>
      <c r="AU3127" s="4" t="s">
        <v>63</v>
      </c>
      <c r="AV3127" s="4" t="s">
        <v>63</v>
      </c>
      <c r="AW3127" s="4" t="s">
        <v>63</v>
      </c>
      <c r="AX3127" s="4" t="s">
        <v>63</v>
      </c>
      <c r="AY3127" s="4" t="s">
        <v>63</v>
      </c>
      <c r="AZ3127" s="4" t="s">
        <v>63</v>
      </c>
      <c r="BA3127" s="4" t="s">
        <v>63</v>
      </c>
      <c r="BB3127" s="4" t="s">
        <v>63</v>
      </c>
      <c r="BC3127" s="4" t="s">
        <v>63</v>
      </c>
      <c r="BD3127" s="4" t="s">
        <v>63</v>
      </c>
      <c r="BE3127" s="4" t="s">
        <v>63</v>
      </c>
      <c r="BF3127" s="4" t="s">
        <v>63</v>
      </c>
    </row>
    <row r="3128" spans="1:58">
      <c r="A3128" s="4" t="s">
        <v>58</v>
      </c>
      <c r="B3128" s="4" t="s">
        <v>25427</v>
      </c>
      <c r="C3128" s="4" t="s">
        <v>25428</v>
      </c>
      <c r="D3128" s="4" t="s">
        <v>1866</v>
      </c>
      <c r="E3128" s="4" t="s">
        <v>1867</v>
      </c>
      <c r="F3128" s="4">
        <v>2016</v>
      </c>
      <c r="G3128" s="4" t="s">
        <v>84</v>
      </c>
      <c r="H3128" s="4">
        <v>75</v>
      </c>
      <c r="I3128" s="4">
        <v>3</v>
      </c>
      <c r="J3128" s="4">
        <v>358</v>
      </c>
      <c r="K3128" s="4">
        <v>369</v>
      </c>
      <c r="L3128" s="4" t="s">
        <v>25429</v>
      </c>
      <c r="M3128" s="4" t="s">
        <v>25430</v>
      </c>
      <c r="N3128" s="4" t="s">
        <v>25431</v>
      </c>
      <c r="O3128" s="4" t="s">
        <v>63</v>
      </c>
      <c r="P3128" s="4"/>
      <c r="Q3128" s="4" t="s">
        <v>63</v>
      </c>
      <c r="R3128" s="4" t="s">
        <v>63</v>
      </c>
      <c r="S3128" s="4" t="s">
        <v>63</v>
      </c>
      <c r="T3128" s="4" t="s">
        <v>63</v>
      </c>
      <c r="U3128" s="4"/>
      <c r="V3128" s="4"/>
      <c r="W3128" s="4"/>
      <c r="X3128" s="4" t="s">
        <v>63</v>
      </c>
      <c r="Y3128" s="4" t="s">
        <v>1870</v>
      </c>
      <c r="Z3128" s="4" t="s">
        <v>63</v>
      </c>
      <c r="AA3128" s="4" t="s">
        <v>25432</v>
      </c>
      <c r="AB3128" s="4" t="s">
        <v>25433</v>
      </c>
      <c r="AC3128" s="4" t="s">
        <v>67</v>
      </c>
      <c r="AD3128" s="4" t="s">
        <v>63</v>
      </c>
      <c r="AE3128" s="4" t="s">
        <v>63</v>
      </c>
      <c r="AF3128" s="4" t="s">
        <v>63</v>
      </c>
      <c r="AG3128" s="4" t="s">
        <v>63</v>
      </c>
      <c r="AH3128" s="4" t="s">
        <v>63</v>
      </c>
      <c r="AI3128" s="4" t="s">
        <v>63</v>
      </c>
      <c r="AJ3128" s="4" t="s">
        <v>63</v>
      </c>
      <c r="AK3128" s="4" t="s">
        <v>63</v>
      </c>
      <c r="AL3128" s="4" t="s">
        <v>63</v>
      </c>
      <c r="AM3128" s="4" t="s">
        <v>25434</v>
      </c>
      <c r="AN3128" s="4" t="s">
        <v>63</v>
      </c>
      <c r="AO3128" s="4" t="s">
        <v>63</v>
      </c>
      <c r="AP3128" s="4" t="s">
        <v>63</v>
      </c>
      <c r="AQ3128" s="4" t="s">
        <v>63</v>
      </c>
      <c r="AR3128" s="4" t="s">
        <v>63</v>
      </c>
      <c r="AS3128" s="4" t="s">
        <v>63</v>
      </c>
      <c r="AT3128" s="4" t="s">
        <v>63</v>
      </c>
      <c r="AU3128" s="4" t="s">
        <v>63</v>
      </c>
      <c r="AV3128" s="4" t="s">
        <v>63</v>
      </c>
      <c r="AW3128" s="4" t="s">
        <v>63</v>
      </c>
      <c r="AX3128" s="4" t="s">
        <v>63</v>
      </c>
      <c r="AY3128" s="4" t="s">
        <v>63</v>
      </c>
      <c r="AZ3128" s="4" t="s">
        <v>63</v>
      </c>
      <c r="BA3128" s="4" t="s">
        <v>63</v>
      </c>
      <c r="BB3128" s="4" t="s">
        <v>63</v>
      </c>
      <c r="BC3128" s="4" t="s">
        <v>63</v>
      </c>
      <c r="BD3128" s="4" t="s">
        <v>63</v>
      </c>
      <c r="BE3128" s="4" t="s">
        <v>63</v>
      </c>
      <c r="BF3128" s="4" t="s">
        <v>63</v>
      </c>
    </row>
    <row r="3129" spans="1:58">
      <c r="A3129" s="4" t="s">
        <v>25174</v>
      </c>
      <c r="B3129" s="4" t="s">
        <v>25435</v>
      </c>
      <c r="C3129" s="4" t="s">
        <v>25436</v>
      </c>
      <c r="D3129" s="4" t="s">
        <v>63</v>
      </c>
      <c r="E3129" s="4" t="s">
        <v>63</v>
      </c>
      <c r="F3129" s="4">
        <v>1988</v>
      </c>
      <c r="G3129" s="4" t="s">
        <v>63</v>
      </c>
      <c r="H3129" s="4" t="s">
        <v>63</v>
      </c>
      <c r="I3129" s="4" t="s">
        <v>63</v>
      </c>
      <c r="J3129" s="4">
        <v>47</v>
      </c>
      <c r="K3129" s="4" t="s">
        <v>63</v>
      </c>
      <c r="L3129" s="4" t="s">
        <v>25437</v>
      </c>
      <c r="M3129" s="4" t="s">
        <v>25438</v>
      </c>
      <c r="N3129" s="4" t="s">
        <v>25439</v>
      </c>
      <c r="O3129" s="4" t="s">
        <v>63</v>
      </c>
      <c r="P3129" s="4"/>
      <c r="Q3129" s="4" t="s">
        <v>63</v>
      </c>
      <c r="R3129" s="4" t="s">
        <v>63</v>
      </c>
      <c r="S3129" s="4" t="s">
        <v>25440</v>
      </c>
      <c r="T3129" s="4" t="s">
        <v>63</v>
      </c>
      <c r="U3129" s="4"/>
      <c r="V3129" s="4"/>
      <c r="W3129" s="4"/>
      <c r="X3129" s="4" t="s">
        <v>63</v>
      </c>
      <c r="Y3129" s="4" t="s">
        <v>63</v>
      </c>
      <c r="Z3129" s="4" t="s">
        <v>63</v>
      </c>
      <c r="AA3129" s="4" t="s">
        <v>63</v>
      </c>
      <c r="AB3129" s="4" t="s">
        <v>25441</v>
      </c>
      <c r="AC3129" s="4" t="s">
        <v>67</v>
      </c>
      <c r="AD3129" s="4" t="s">
        <v>63</v>
      </c>
      <c r="AE3129" s="4" t="s">
        <v>63</v>
      </c>
      <c r="AF3129" s="4" t="s">
        <v>63</v>
      </c>
      <c r="AG3129" s="4" t="s">
        <v>63</v>
      </c>
      <c r="AH3129" s="4" t="s">
        <v>63</v>
      </c>
      <c r="AI3129" s="4" t="s">
        <v>63</v>
      </c>
      <c r="AJ3129" s="4" t="s">
        <v>63</v>
      </c>
      <c r="AK3129" s="4" t="s">
        <v>63</v>
      </c>
      <c r="AL3129" s="4" t="s">
        <v>63</v>
      </c>
      <c r="AM3129" s="4" t="s">
        <v>25442</v>
      </c>
      <c r="AN3129" s="4" t="s">
        <v>63</v>
      </c>
      <c r="AO3129" s="4" t="s">
        <v>63</v>
      </c>
      <c r="AP3129" s="4" t="s">
        <v>63</v>
      </c>
      <c r="AQ3129" s="4" t="s">
        <v>63</v>
      </c>
      <c r="AR3129" s="4" t="s">
        <v>63</v>
      </c>
      <c r="AS3129" s="4" t="s">
        <v>63</v>
      </c>
      <c r="AT3129" s="4" t="s">
        <v>63</v>
      </c>
      <c r="AU3129" s="4" t="s">
        <v>63</v>
      </c>
      <c r="AV3129" s="4" t="s">
        <v>63</v>
      </c>
      <c r="AW3129" s="4" t="s">
        <v>63</v>
      </c>
      <c r="AX3129" s="4" t="s">
        <v>63</v>
      </c>
      <c r="AY3129" s="4" t="s">
        <v>63</v>
      </c>
      <c r="AZ3129" s="4" t="s">
        <v>63</v>
      </c>
      <c r="BA3129" s="4" t="s">
        <v>63</v>
      </c>
      <c r="BB3129" s="4" t="s">
        <v>63</v>
      </c>
      <c r="BC3129" s="4" t="s">
        <v>63</v>
      </c>
      <c r="BD3129" s="4" t="s">
        <v>63</v>
      </c>
      <c r="BE3129" s="4" t="s">
        <v>63</v>
      </c>
      <c r="BF3129" s="4" t="s">
        <v>63</v>
      </c>
    </row>
    <row r="3130" spans="1:58">
      <c r="A3130" s="4" t="s">
        <v>25174</v>
      </c>
      <c r="B3130" s="4" t="s">
        <v>25443</v>
      </c>
      <c r="C3130" s="4" t="s">
        <v>25444</v>
      </c>
      <c r="D3130" s="4" t="s">
        <v>63</v>
      </c>
      <c r="E3130" s="4" t="s">
        <v>63</v>
      </c>
      <c r="F3130" s="4">
        <v>1969</v>
      </c>
      <c r="G3130" s="6">
        <v>41801</v>
      </c>
      <c r="H3130" s="4" t="s">
        <v>63</v>
      </c>
      <c r="I3130" s="4" t="s">
        <v>63</v>
      </c>
      <c r="J3130" s="4">
        <v>11</v>
      </c>
      <c r="K3130" s="4" t="s">
        <v>63</v>
      </c>
      <c r="L3130" s="4" t="s">
        <v>25445</v>
      </c>
      <c r="M3130" s="4" t="s">
        <v>25446</v>
      </c>
      <c r="N3130" s="4" t="s">
        <v>25447</v>
      </c>
      <c r="O3130" s="4" t="s">
        <v>63</v>
      </c>
      <c r="P3130" s="4"/>
      <c r="Q3130" s="4" t="s">
        <v>63</v>
      </c>
      <c r="R3130" s="4" t="s">
        <v>63</v>
      </c>
      <c r="S3130" s="4" t="s">
        <v>25448</v>
      </c>
      <c r="T3130" s="4" t="s">
        <v>63</v>
      </c>
      <c r="U3130" s="4"/>
      <c r="V3130" s="4"/>
      <c r="W3130" s="4"/>
      <c r="X3130" s="4" t="s">
        <v>63</v>
      </c>
      <c r="Y3130" s="4" t="s">
        <v>63</v>
      </c>
      <c r="Z3130" s="4" t="s">
        <v>63</v>
      </c>
      <c r="AA3130" s="4" t="s">
        <v>63</v>
      </c>
      <c r="AB3130" s="4" t="s">
        <v>25449</v>
      </c>
      <c r="AC3130" s="4" t="s">
        <v>25383</v>
      </c>
      <c r="AD3130" s="4" t="s">
        <v>63</v>
      </c>
      <c r="AE3130" s="4" t="s">
        <v>63</v>
      </c>
      <c r="AF3130" s="4" t="s">
        <v>63</v>
      </c>
      <c r="AG3130" s="4" t="s">
        <v>63</v>
      </c>
      <c r="AH3130" s="4" t="s">
        <v>63</v>
      </c>
      <c r="AI3130" s="4" t="s">
        <v>63</v>
      </c>
      <c r="AJ3130" s="4" t="s">
        <v>63</v>
      </c>
      <c r="AK3130" s="4" t="s">
        <v>63</v>
      </c>
      <c r="AL3130" s="4" t="s">
        <v>63</v>
      </c>
      <c r="AM3130" s="4" t="s">
        <v>25450</v>
      </c>
      <c r="AN3130" s="4" t="s">
        <v>63</v>
      </c>
      <c r="AO3130" s="4" t="s">
        <v>63</v>
      </c>
      <c r="AP3130" s="4" t="s">
        <v>63</v>
      </c>
      <c r="AQ3130" s="4" t="s">
        <v>63</v>
      </c>
      <c r="AR3130" s="4" t="s">
        <v>63</v>
      </c>
      <c r="AS3130" s="4" t="s">
        <v>63</v>
      </c>
      <c r="AT3130" s="4" t="s">
        <v>63</v>
      </c>
      <c r="AU3130" s="4" t="s">
        <v>63</v>
      </c>
      <c r="AV3130" s="4" t="s">
        <v>63</v>
      </c>
      <c r="AW3130" s="4" t="s">
        <v>63</v>
      </c>
      <c r="AX3130" s="4" t="s">
        <v>63</v>
      </c>
      <c r="AY3130" s="4" t="s">
        <v>63</v>
      </c>
      <c r="AZ3130" s="4" t="s">
        <v>63</v>
      </c>
      <c r="BA3130" s="4" t="s">
        <v>63</v>
      </c>
      <c r="BB3130" s="4" t="s">
        <v>63</v>
      </c>
      <c r="BC3130" s="4" t="s">
        <v>63</v>
      </c>
      <c r="BD3130" s="4" t="s">
        <v>63</v>
      </c>
      <c r="BE3130" s="4" t="s">
        <v>63</v>
      </c>
      <c r="BF3130" s="4" t="s">
        <v>63</v>
      </c>
    </row>
    <row r="3131" spans="1:58">
      <c r="A3131" s="4" t="s">
        <v>25174</v>
      </c>
      <c r="B3131" s="4" t="s">
        <v>25451</v>
      </c>
      <c r="C3131" s="4" t="s">
        <v>25452</v>
      </c>
      <c r="D3131" s="4" t="s">
        <v>63</v>
      </c>
      <c r="E3131" s="4" t="s">
        <v>63</v>
      </c>
      <c r="F3131" s="4">
        <v>437</v>
      </c>
      <c r="G3131" s="4" t="s">
        <v>25453</v>
      </c>
      <c r="H3131" s="4" t="s">
        <v>63</v>
      </c>
      <c r="I3131" s="4" t="s">
        <v>63</v>
      </c>
      <c r="J3131" s="4">
        <v>14</v>
      </c>
      <c r="K3131" s="4" t="s">
        <v>63</v>
      </c>
      <c r="L3131" s="4" t="s">
        <v>25454</v>
      </c>
      <c r="M3131" s="4" t="s">
        <v>25455</v>
      </c>
      <c r="N3131" s="4" t="s">
        <v>25456</v>
      </c>
      <c r="O3131" s="4" t="s">
        <v>63</v>
      </c>
      <c r="P3131" s="4"/>
      <c r="Q3131" s="4" t="s">
        <v>63</v>
      </c>
      <c r="R3131" s="4" t="s">
        <v>63</v>
      </c>
      <c r="S3131" s="4" t="s">
        <v>25180</v>
      </c>
      <c r="T3131" s="4" t="s">
        <v>25457</v>
      </c>
      <c r="U3131" s="4"/>
      <c r="V3131" s="4"/>
      <c r="W3131" s="4"/>
      <c r="X3131" s="4" t="s">
        <v>63</v>
      </c>
      <c r="Y3131" s="4" t="s">
        <v>63</v>
      </c>
      <c r="Z3131" s="4" t="s">
        <v>63</v>
      </c>
      <c r="AA3131" s="4" t="s">
        <v>25182</v>
      </c>
      <c r="AB3131" s="4" t="s">
        <v>25458</v>
      </c>
      <c r="AC3131" s="4" t="s">
        <v>67</v>
      </c>
      <c r="AD3131" s="4" t="s">
        <v>63</v>
      </c>
      <c r="AE3131" s="4" t="s">
        <v>63</v>
      </c>
      <c r="AF3131" s="4" t="s">
        <v>63</v>
      </c>
      <c r="AG3131" s="4" t="s">
        <v>63</v>
      </c>
      <c r="AH3131" s="4" t="s">
        <v>63</v>
      </c>
      <c r="AI3131" s="4" t="s">
        <v>63</v>
      </c>
      <c r="AJ3131" s="4" t="s">
        <v>63</v>
      </c>
      <c r="AK3131" s="4" t="s">
        <v>63</v>
      </c>
      <c r="AL3131" s="4" t="s">
        <v>63</v>
      </c>
      <c r="AM3131" s="4" t="s">
        <v>25459</v>
      </c>
      <c r="AN3131" s="4" t="s">
        <v>63</v>
      </c>
      <c r="AO3131" s="4" t="s">
        <v>63</v>
      </c>
      <c r="AP3131" s="4" t="s">
        <v>63</v>
      </c>
      <c r="AQ3131" s="4" t="s">
        <v>63</v>
      </c>
      <c r="AR3131" s="4" t="s">
        <v>63</v>
      </c>
      <c r="AS3131" s="4" t="s">
        <v>63</v>
      </c>
      <c r="AT3131" s="4" t="s">
        <v>63</v>
      </c>
      <c r="AU3131" s="4" t="s">
        <v>63</v>
      </c>
      <c r="AV3131" s="4" t="s">
        <v>63</v>
      </c>
      <c r="AW3131" s="4" t="s">
        <v>63</v>
      </c>
      <c r="AX3131" s="4" t="s">
        <v>63</v>
      </c>
      <c r="AY3131" s="4" t="s">
        <v>63</v>
      </c>
      <c r="AZ3131" s="4" t="s">
        <v>63</v>
      </c>
      <c r="BA3131" s="4" t="s">
        <v>63</v>
      </c>
      <c r="BB3131" s="4" t="s">
        <v>63</v>
      </c>
      <c r="BC3131" s="4" t="s">
        <v>63</v>
      </c>
      <c r="BD3131" s="4" t="s">
        <v>63</v>
      </c>
      <c r="BE3131" s="4" t="s">
        <v>63</v>
      </c>
      <c r="BF3131" s="4" t="s">
        <v>63</v>
      </c>
    </row>
    <row r="3132" spans="1:58">
      <c r="A3132" s="4" t="s">
        <v>25174</v>
      </c>
      <c r="B3132" s="4" t="s">
        <v>25460</v>
      </c>
      <c r="C3132" s="4" t="s">
        <v>25461</v>
      </c>
      <c r="D3132" s="4" t="s">
        <v>63</v>
      </c>
      <c r="E3132" s="4" t="s">
        <v>63</v>
      </c>
      <c r="F3132" s="4">
        <v>2001</v>
      </c>
      <c r="G3132" s="4" t="s">
        <v>63</v>
      </c>
      <c r="H3132" s="4" t="s">
        <v>63</v>
      </c>
      <c r="I3132" s="4" t="s">
        <v>63</v>
      </c>
      <c r="J3132" s="4">
        <v>51</v>
      </c>
      <c r="K3132" s="4" t="s">
        <v>63</v>
      </c>
      <c r="L3132" s="4" t="s">
        <v>25462</v>
      </c>
      <c r="M3132" s="4" t="s">
        <v>25463</v>
      </c>
      <c r="N3132" s="4" t="s">
        <v>25464</v>
      </c>
      <c r="O3132" s="4" t="s">
        <v>63</v>
      </c>
      <c r="P3132" s="4"/>
      <c r="Q3132" s="4" t="s">
        <v>63</v>
      </c>
      <c r="R3132" s="4" t="s">
        <v>63</v>
      </c>
      <c r="S3132" s="4" t="s">
        <v>63</v>
      </c>
      <c r="T3132" s="4" t="s">
        <v>25465</v>
      </c>
      <c r="U3132" s="4"/>
      <c r="V3132" s="4"/>
      <c r="W3132" s="4"/>
      <c r="X3132" s="4" t="s">
        <v>63</v>
      </c>
      <c r="Y3132" s="4" t="s">
        <v>63</v>
      </c>
      <c r="Z3132" s="4" t="s">
        <v>63</v>
      </c>
      <c r="AA3132" s="4" t="s">
        <v>25466</v>
      </c>
      <c r="AB3132" s="4" t="s">
        <v>25467</v>
      </c>
      <c r="AC3132" s="4" t="s">
        <v>67</v>
      </c>
      <c r="AD3132" s="4" t="s">
        <v>63</v>
      </c>
      <c r="AE3132" s="4" t="s">
        <v>63</v>
      </c>
      <c r="AF3132" s="4" t="s">
        <v>63</v>
      </c>
      <c r="AG3132" s="4" t="s">
        <v>63</v>
      </c>
      <c r="AH3132" s="4" t="s">
        <v>63</v>
      </c>
      <c r="AI3132" s="4" t="s">
        <v>63</v>
      </c>
      <c r="AJ3132" s="4" t="s">
        <v>63</v>
      </c>
      <c r="AK3132" s="4" t="s">
        <v>63</v>
      </c>
      <c r="AL3132" s="4" t="s">
        <v>63</v>
      </c>
      <c r="AM3132" s="4" t="s">
        <v>25468</v>
      </c>
      <c r="AN3132" s="4" t="s">
        <v>63</v>
      </c>
      <c r="AO3132" s="4" t="s">
        <v>63</v>
      </c>
      <c r="AP3132" s="4" t="s">
        <v>63</v>
      </c>
      <c r="AQ3132" s="4" t="s">
        <v>63</v>
      </c>
      <c r="AR3132" s="4" t="s">
        <v>63</v>
      </c>
      <c r="AS3132" s="4" t="s">
        <v>63</v>
      </c>
      <c r="AT3132" s="4" t="s">
        <v>63</v>
      </c>
      <c r="AU3132" s="4" t="s">
        <v>63</v>
      </c>
      <c r="AV3132" s="4" t="s">
        <v>63</v>
      </c>
      <c r="AW3132" s="4" t="s">
        <v>63</v>
      </c>
      <c r="AX3132" s="4" t="s">
        <v>63</v>
      </c>
      <c r="AY3132" s="4" t="s">
        <v>63</v>
      </c>
      <c r="AZ3132" s="4" t="s">
        <v>63</v>
      </c>
      <c r="BA3132" s="4" t="s">
        <v>63</v>
      </c>
      <c r="BB3132" s="4" t="s">
        <v>63</v>
      </c>
      <c r="BC3132" s="4" t="s">
        <v>63</v>
      </c>
      <c r="BD3132" s="4" t="s">
        <v>63</v>
      </c>
      <c r="BE3132" s="4" t="s">
        <v>63</v>
      </c>
      <c r="BF3132" s="4" t="s">
        <v>63</v>
      </c>
    </row>
    <row r="3133" spans="1:58">
      <c r="A3133" s="4" t="s">
        <v>58</v>
      </c>
      <c r="B3133" s="4" t="s">
        <v>25469</v>
      </c>
      <c r="C3133" s="4" t="s">
        <v>25470</v>
      </c>
      <c r="D3133" s="4" t="s">
        <v>23924</v>
      </c>
      <c r="E3133" s="4" t="s">
        <v>23925</v>
      </c>
      <c r="F3133" s="4">
        <v>1994</v>
      </c>
      <c r="G3133" s="4" t="s">
        <v>15904</v>
      </c>
      <c r="H3133" s="4">
        <v>40</v>
      </c>
      <c r="I3133" s="4">
        <v>1</v>
      </c>
      <c r="J3133" s="4">
        <v>1</v>
      </c>
      <c r="K3133" s="4">
        <v>14</v>
      </c>
      <c r="L3133" s="4" t="s">
        <v>25471</v>
      </c>
      <c r="M3133" s="4" t="s">
        <v>25472</v>
      </c>
      <c r="N3133" s="4" t="s">
        <v>25473</v>
      </c>
      <c r="O3133" s="4" t="s">
        <v>63</v>
      </c>
      <c r="P3133" s="4"/>
      <c r="Q3133" s="4" t="s">
        <v>63</v>
      </c>
      <c r="R3133" s="4" t="s">
        <v>63</v>
      </c>
      <c r="S3133" s="4" t="s">
        <v>63</v>
      </c>
      <c r="T3133" s="4" t="s">
        <v>63</v>
      </c>
      <c r="U3133" s="4"/>
      <c r="V3133" s="4"/>
      <c r="W3133" s="4"/>
      <c r="X3133" s="4" t="s">
        <v>63</v>
      </c>
      <c r="Y3133" s="4" t="s">
        <v>23928</v>
      </c>
      <c r="Z3133" s="4" t="s">
        <v>63</v>
      </c>
      <c r="AA3133" s="4" t="s">
        <v>63</v>
      </c>
      <c r="AB3133" s="4" t="s">
        <v>25474</v>
      </c>
      <c r="AC3133" s="4" t="s">
        <v>67</v>
      </c>
      <c r="AD3133" s="4" t="s">
        <v>63</v>
      </c>
      <c r="AE3133" s="4" t="s">
        <v>63</v>
      </c>
      <c r="AF3133" s="4" t="s">
        <v>63</v>
      </c>
      <c r="AG3133" s="4" t="s">
        <v>63</v>
      </c>
      <c r="AH3133" s="4" t="s">
        <v>63</v>
      </c>
      <c r="AI3133" s="4" t="s">
        <v>63</v>
      </c>
      <c r="AJ3133" s="4" t="s">
        <v>63</v>
      </c>
      <c r="AK3133" s="4" t="s">
        <v>63</v>
      </c>
      <c r="AL3133" s="4" t="s">
        <v>63</v>
      </c>
      <c r="AM3133" s="4" t="s">
        <v>25475</v>
      </c>
      <c r="AN3133" s="4" t="s">
        <v>63</v>
      </c>
      <c r="AO3133" s="4" t="s">
        <v>63</v>
      </c>
      <c r="AP3133" s="4" t="s">
        <v>63</v>
      </c>
      <c r="AQ3133" s="4" t="s">
        <v>63</v>
      </c>
      <c r="AR3133" s="4" t="s">
        <v>63</v>
      </c>
      <c r="AS3133" s="4" t="s">
        <v>63</v>
      </c>
      <c r="AT3133" s="4" t="s">
        <v>63</v>
      </c>
      <c r="AU3133" s="4" t="s">
        <v>63</v>
      </c>
      <c r="AV3133" s="4" t="s">
        <v>63</v>
      </c>
      <c r="AW3133" s="4" t="s">
        <v>63</v>
      </c>
      <c r="AX3133" s="4" t="s">
        <v>63</v>
      </c>
      <c r="AY3133" s="4" t="s">
        <v>63</v>
      </c>
      <c r="AZ3133" s="4" t="s">
        <v>63</v>
      </c>
      <c r="BA3133" s="4" t="s">
        <v>63</v>
      </c>
      <c r="BB3133" s="4" t="s">
        <v>63</v>
      </c>
      <c r="BC3133" s="4" t="s">
        <v>63</v>
      </c>
      <c r="BD3133" s="4" t="s">
        <v>63</v>
      </c>
      <c r="BE3133" s="4" t="s">
        <v>63</v>
      </c>
      <c r="BF3133" s="4" t="s">
        <v>63</v>
      </c>
    </row>
    <row r="3134" spans="1:58">
      <c r="A3134" s="4" t="s">
        <v>58</v>
      </c>
      <c r="B3134" s="4" t="s">
        <v>25476</v>
      </c>
      <c r="C3134" s="4" t="s">
        <v>25477</v>
      </c>
      <c r="D3134" s="4" t="s">
        <v>23924</v>
      </c>
      <c r="E3134" s="4" t="s">
        <v>23925</v>
      </c>
      <c r="F3134" s="4">
        <v>2017</v>
      </c>
      <c r="G3134" s="4" t="s">
        <v>84</v>
      </c>
      <c r="H3134" s="4">
        <v>61</v>
      </c>
      <c r="I3134" s="4">
        <v>1</v>
      </c>
      <c r="J3134" s="4">
        <v>14</v>
      </c>
      <c r="K3134" s="4">
        <v>35</v>
      </c>
      <c r="L3134" s="4" t="s">
        <v>25478</v>
      </c>
      <c r="M3134" s="4" t="s">
        <v>25479</v>
      </c>
      <c r="N3134" s="4" t="s">
        <v>25480</v>
      </c>
      <c r="O3134" s="4" t="s">
        <v>63</v>
      </c>
      <c r="P3134" s="4"/>
      <c r="Q3134" s="4" t="s">
        <v>63</v>
      </c>
      <c r="R3134" s="4" t="s">
        <v>63</v>
      </c>
      <c r="S3134" s="4" t="s">
        <v>63</v>
      </c>
      <c r="T3134" s="4" t="s">
        <v>63</v>
      </c>
      <c r="U3134" s="4"/>
      <c r="V3134" s="4"/>
      <c r="W3134" s="4"/>
      <c r="X3134" s="4" t="s">
        <v>63</v>
      </c>
      <c r="Y3134" s="4" t="s">
        <v>23928</v>
      </c>
      <c r="Z3134" s="4" t="s">
        <v>63</v>
      </c>
      <c r="AA3134" s="4" t="s">
        <v>25481</v>
      </c>
      <c r="AB3134" s="4" t="s">
        <v>25482</v>
      </c>
      <c r="AC3134" s="4" t="s">
        <v>67</v>
      </c>
      <c r="AD3134" s="4" t="s">
        <v>63</v>
      </c>
      <c r="AE3134" s="4" t="s">
        <v>63</v>
      </c>
      <c r="AF3134" s="4" t="s">
        <v>63</v>
      </c>
      <c r="AG3134" s="4" t="s">
        <v>63</v>
      </c>
      <c r="AH3134" s="4" t="s">
        <v>63</v>
      </c>
      <c r="AI3134" s="4" t="s">
        <v>63</v>
      </c>
      <c r="AJ3134" s="4" t="s">
        <v>63</v>
      </c>
      <c r="AK3134" s="4" t="s">
        <v>63</v>
      </c>
      <c r="AL3134" s="4" t="s">
        <v>63</v>
      </c>
      <c r="AM3134" s="4" t="s">
        <v>25483</v>
      </c>
      <c r="AN3134" s="4" t="s">
        <v>63</v>
      </c>
      <c r="AO3134" s="4" t="s">
        <v>63</v>
      </c>
      <c r="AP3134" s="4" t="s">
        <v>63</v>
      </c>
      <c r="AQ3134" s="4" t="s">
        <v>63</v>
      </c>
      <c r="AR3134" s="4" t="s">
        <v>63</v>
      </c>
      <c r="AS3134" s="4" t="s">
        <v>63</v>
      </c>
      <c r="AT3134" s="4" t="s">
        <v>63</v>
      </c>
      <c r="AU3134" s="4" t="s">
        <v>63</v>
      </c>
      <c r="AV3134" s="4" t="s">
        <v>63</v>
      </c>
      <c r="AW3134" s="4" t="s">
        <v>63</v>
      </c>
      <c r="AX3134" s="4" t="s">
        <v>63</v>
      </c>
      <c r="AY3134" s="4" t="s">
        <v>63</v>
      </c>
      <c r="AZ3134" s="4" t="s">
        <v>63</v>
      </c>
      <c r="BA3134" s="4" t="s">
        <v>63</v>
      </c>
      <c r="BB3134" s="4" t="s">
        <v>63</v>
      </c>
      <c r="BC3134" s="4" t="s">
        <v>63</v>
      </c>
      <c r="BD3134" s="4" t="s">
        <v>63</v>
      </c>
      <c r="BE3134" s="4" t="s">
        <v>63</v>
      </c>
      <c r="BF3134" s="4" t="s">
        <v>63</v>
      </c>
    </row>
    <row r="3135" spans="1:58">
      <c r="A3135" s="4" t="s">
        <v>25174</v>
      </c>
      <c r="B3135" s="4" t="s">
        <v>25484</v>
      </c>
      <c r="C3135" s="4" t="s">
        <v>25485</v>
      </c>
      <c r="D3135" s="4" t="s">
        <v>63</v>
      </c>
      <c r="E3135" s="4" t="s">
        <v>63</v>
      </c>
      <c r="F3135" s="4">
        <v>2015</v>
      </c>
      <c r="G3135" s="5">
        <v>35216</v>
      </c>
      <c r="H3135" s="4" t="s">
        <v>63</v>
      </c>
      <c r="I3135" s="4" t="s">
        <v>63</v>
      </c>
      <c r="J3135" s="4">
        <v>665</v>
      </c>
      <c r="K3135" s="4" t="s">
        <v>63</v>
      </c>
      <c r="L3135" s="4" t="s">
        <v>25486</v>
      </c>
      <c r="M3135" s="4" t="s">
        <v>25487</v>
      </c>
      <c r="N3135" s="4" t="s">
        <v>25488</v>
      </c>
      <c r="O3135" s="4" t="s">
        <v>63</v>
      </c>
      <c r="P3135" s="4"/>
      <c r="Q3135" s="4" t="s">
        <v>63</v>
      </c>
      <c r="R3135" s="4" t="s">
        <v>63</v>
      </c>
      <c r="S3135" s="4" t="s">
        <v>25489</v>
      </c>
      <c r="T3135" s="4" t="s">
        <v>63</v>
      </c>
      <c r="U3135" s="4"/>
      <c r="V3135" s="4"/>
      <c r="W3135" s="4"/>
      <c r="X3135" s="4" t="s">
        <v>63</v>
      </c>
      <c r="Y3135" s="4" t="s">
        <v>63</v>
      </c>
      <c r="Z3135" s="4" t="s">
        <v>63</v>
      </c>
      <c r="AA3135" s="4" t="s">
        <v>63</v>
      </c>
      <c r="AB3135" s="4" t="s">
        <v>25490</v>
      </c>
      <c r="AC3135" s="4" t="s">
        <v>67</v>
      </c>
      <c r="AD3135" s="4" t="s">
        <v>63</v>
      </c>
      <c r="AE3135" s="4" t="s">
        <v>63</v>
      </c>
      <c r="AF3135" s="4" t="s">
        <v>63</v>
      </c>
      <c r="AG3135" s="4" t="s">
        <v>63</v>
      </c>
      <c r="AH3135" s="4" t="s">
        <v>63</v>
      </c>
      <c r="AI3135" s="4" t="s">
        <v>63</v>
      </c>
      <c r="AJ3135" s="4" t="s">
        <v>63</v>
      </c>
      <c r="AK3135" s="4" t="s">
        <v>63</v>
      </c>
      <c r="AL3135" s="4" t="s">
        <v>63</v>
      </c>
      <c r="AM3135" s="4" t="s">
        <v>25491</v>
      </c>
      <c r="AN3135" s="4" t="s">
        <v>63</v>
      </c>
      <c r="AO3135" s="4" t="s">
        <v>63</v>
      </c>
      <c r="AP3135" s="4" t="s">
        <v>63</v>
      </c>
      <c r="AQ3135" s="4" t="s">
        <v>63</v>
      </c>
      <c r="AR3135" s="4" t="s">
        <v>63</v>
      </c>
      <c r="AS3135" s="4" t="s">
        <v>63</v>
      </c>
      <c r="AT3135" s="4" t="s">
        <v>63</v>
      </c>
      <c r="AU3135" s="4" t="s">
        <v>63</v>
      </c>
      <c r="AV3135" s="4" t="s">
        <v>63</v>
      </c>
      <c r="AW3135" s="4" t="s">
        <v>63</v>
      </c>
      <c r="AX3135" s="4" t="s">
        <v>63</v>
      </c>
      <c r="AY3135" s="4" t="s">
        <v>63</v>
      </c>
      <c r="AZ3135" s="4" t="s">
        <v>63</v>
      </c>
      <c r="BA3135" s="4" t="s">
        <v>63</v>
      </c>
      <c r="BB3135" s="4" t="s">
        <v>63</v>
      </c>
      <c r="BC3135" s="4" t="s">
        <v>63</v>
      </c>
      <c r="BD3135" s="4" t="s">
        <v>63</v>
      </c>
      <c r="BE3135" s="4" t="s">
        <v>63</v>
      </c>
      <c r="BF3135" s="4" t="s">
        <v>63</v>
      </c>
    </row>
    <row r="3136" spans="1:58">
      <c r="A3136" s="4" t="s">
        <v>58</v>
      </c>
      <c r="B3136" s="4" t="s">
        <v>25492</v>
      </c>
      <c r="C3136" s="4" t="s">
        <v>25493</v>
      </c>
      <c r="D3136" s="4" t="s">
        <v>25494</v>
      </c>
      <c r="E3136" s="4" t="s">
        <v>63</v>
      </c>
      <c r="F3136" s="4">
        <v>1997</v>
      </c>
      <c r="G3136" s="4" t="s">
        <v>623</v>
      </c>
      <c r="H3136" s="4">
        <v>13</v>
      </c>
      <c r="I3136" s="4">
        <v>1</v>
      </c>
      <c r="J3136" s="4">
        <v>28</v>
      </c>
      <c r="K3136" s="4">
        <v>37</v>
      </c>
      <c r="L3136" s="4" t="s">
        <v>25495</v>
      </c>
      <c r="M3136" s="4" t="s">
        <v>25496</v>
      </c>
      <c r="N3136" s="4" t="s">
        <v>25497</v>
      </c>
      <c r="O3136" s="4" t="s">
        <v>63</v>
      </c>
      <c r="P3136" s="4"/>
      <c r="Q3136" s="4" t="s">
        <v>63</v>
      </c>
      <c r="R3136" s="4" t="s">
        <v>63</v>
      </c>
      <c r="S3136" s="4" t="s">
        <v>63</v>
      </c>
      <c r="T3136" s="4" t="s">
        <v>63</v>
      </c>
      <c r="U3136" s="4"/>
      <c r="V3136" s="4"/>
      <c r="W3136" s="4"/>
      <c r="X3136" s="4" t="s">
        <v>63</v>
      </c>
      <c r="Y3136" s="4" t="s">
        <v>25498</v>
      </c>
      <c r="Z3136" s="4" t="s">
        <v>63</v>
      </c>
      <c r="AA3136" s="4" t="s">
        <v>63</v>
      </c>
      <c r="AB3136" s="4" t="s">
        <v>25499</v>
      </c>
      <c r="AC3136" s="4" t="s">
        <v>67</v>
      </c>
      <c r="AD3136" s="4" t="s">
        <v>63</v>
      </c>
      <c r="AE3136" s="4" t="s">
        <v>63</v>
      </c>
      <c r="AF3136" s="4" t="s">
        <v>63</v>
      </c>
      <c r="AG3136" s="4" t="s">
        <v>63</v>
      </c>
      <c r="AH3136" s="4" t="s">
        <v>63</v>
      </c>
      <c r="AI3136" s="4" t="s">
        <v>63</v>
      </c>
      <c r="AJ3136" s="4" t="s">
        <v>63</v>
      </c>
      <c r="AK3136" s="4" t="s">
        <v>63</v>
      </c>
      <c r="AL3136" s="4" t="s">
        <v>63</v>
      </c>
      <c r="AM3136" s="4" t="s">
        <v>25500</v>
      </c>
      <c r="AN3136" s="4" t="s">
        <v>63</v>
      </c>
      <c r="AO3136" s="4" t="s">
        <v>63</v>
      </c>
      <c r="AP3136" s="4" t="s">
        <v>63</v>
      </c>
      <c r="AQ3136" s="4" t="s">
        <v>63</v>
      </c>
      <c r="AR3136" s="4" t="s">
        <v>63</v>
      </c>
      <c r="AS3136" s="4" t="s">
        <v>63</v>
      </c>
      <c r="AT3136" s="4" t="s">
        <v>63</v>
      </c>
      <c r="AU3136" s="4" t="s">
        <v>63</v>
      </c>
      <c r="AV3136" s="4" t="s">
        <v>63</v>
      </c>
      <c r="AW3136" s="4" t="s">
        <v>63</v>
      </c>
      <c r="AX3136" s="4" t="s">
        <v>63</v>
      </c>
      <c r="AY3136" s="4" t="s">
        <v>63</v>
      </c>
      <c r="AZ3136" s="4" t="s">
        <v>63</v>
      </c>
      <c r="BA3136" s="4" t="s">
        <v>63</v>
      </c>
      <c r="BB3136" s="4" t="s">
        <v>63</v>
      </c>
      <c r="BC3136" s="4" t="s">
        <v>63</v>
      </c>
      <c r="BD3136" s="4" t="s">
        <v>63</v>
      </c>
      <c r="BE3136" s="4" t="s">
        <v>63</v>
      </c>
      <c r="BF3136" s="4" t="s">
        <v>63</v>
      </c>
    </row>
    <row r="3137" spans="1:58">
      <c r="A3137" s="4" t="s">
        <v>58</v>
      </c>
      <c r="B3137" s="4" t="s">
        <v>25501</v>
      </c>
      <c r="C3137" s="4" t="s">
        <v>25502</v>
      </c>
      <c r="D3137" s="4" t="s">
        <v>25503</v>
      </c>
      <c r="E3137" s="4" t="s">
        <v>63</v>
      </c>
      <c r="F3137" s="4">
        <v>2008</v>
      </c>
      <c r="G3137" s="4" t="s">
        <v>63</v>
      </c>
      <c r="H3137" s="4">
        <v>7</v>
      </c>
      <c r="I3137" s="4">
        <v>2</v>
      </c>
      <c r="J3137" s="4">
        <v>123</v>
      </c>
      <c r="K3137" s="4">
        <v>132</v>
      </c>
      <c r="L3137" s="4" t="s">
        <v>25504</v>
      </c>
      <c r="M3137" s="4" t="s">
        <v>25505</v>
      </c>
      <c r="N3137" s="4" t="s">
        <v>25506</v>
      </c>
      <c r="O3137" s="4" t="s">
        <v>63</v>
      </c>
      <c r="P3137" s="4"/>
      <c r="Q3137" s="4" t="s">
        <v>63</v>
      </c>
      <c r="R3137" s="4" t="s">
        <v>63</v>
      </c>
      <c r="S3137" s="4" t="s">
        <v>63</v>
      </c>
      <c r="T3137" s="4" t="s">
        <v>63</v>
      </c>
      <c r="U3137" s="4"/>
      <c r="V3137" s="4"/>
      <c r="W3137" s="4"/>
      <c r="X3137" s="4" t="s">
        <v>63</v>
      </c>
      <c r="Y3137" s="4" t="s">
        <v>25507</v>
      </c>
      <c r="Z3137" s="4" t="s">
        <v>63</v>
      </c>
      <c r="AA3137" s="4" t="s">
        <v>25508</v>
      </c>
      <c r="AB3137" s="4" t="s">
        <v>25509</v>
      </c>
      <c r="AC3137" s="4" t="s">
        <v>67</v>
      </c>
      <c r="AD3137" s="4" t="s">
        <v>63</v>
      </c>
      <c r="AE3137" s="4" t="s">
        <v>63</v>
      </c>
      <c r="AF3137" s="4" t="s">
        <v>63</v>
      </c>
      <c r="AG3137" s="4" t="s">
        <v>63</v>
      </c>
      <c r="AH3137" s="4" t="s">
        <v>63</v>
      </c>
      <c r="AI3137" s="4" t="s">
        <v>63</v>
      </c>
      <c r="AJ3137" s="4" t="s">
        <v>63</v>
      </c>
      <c r="AK3137" s="4" t="s">
        <v>63</v>
      </c>
      <c r="AL3137" s="4" t="s">
        <v>63</v>
      </c>
      <c r="AM3137" s="4" t="s">
        <v>25510</v>
      </c>
      <c r="AN3137" s="4" t="s">
        <v>63</v>
      </c>
      <c r="AO3137" s="4" t="s">
        <v>63</v>
      </c>
      <c r="AP3137" s="4" t="s">
        <v>63</v>
      </c>
      <c r="AQ3137" s="4" t="s">
        <v>63</v>
      </c>
      <c r="AR3137" s="4" t="s">
        <v>63</v>
      </c>
      <c r="AS3137" s="4" t="s">
        <v>63</v>
      </c>
      <c r="AT3137" s="4" t="s">
        <v>63</v>
      </c>
      <c r="AU3137" s="4" t="s">
        <v>63</v>
      </c>
      <c r="AV3137" s="4" t="s">
        <v>63</v>
      </c>
      <c r="AW3137" s="4" t="s">
        <v>63</v>
      </c>
      <c r="AX3137" s="4" t="s">
        <v>63</v>
      </c>
      <c r="AY3137" s="4" t="s">
        <v>63</v>
      </c>
      <c r="AZ3137" s="4" t="s">
        <v>63</v>
      </c>
      <c r="BA3137" s="4" t="s">
        <v>63</v>
      </c>
      <c r="BB3137" s="4" t="s">
        <v>63</v>
      </c>
      <c r="BC3137" s="4" t="s">
        <v>63</v>
      </c>
      <c r="BD3137" s="4" t="s">
        <v>63</v>
      </c>
      <c r="BE3137" s="4" t="s">
        <v>63</v>
      </c>
      <c r="BF3137" s="4" t="s">
        <v>63</v>
      </c>
    </row>
    <row r="3138" spans="1:58">
      <c r="A3138" s="4" t="s">
        <v>25174</v>
      </c>
      <c r="B3138" s="4" t="s">
        <v>25511</v>
      </c>
      <c r="C3138" s="4" t="s">
        <v>25512</v>
      </c>
      <c r="D3138" s="4" t="s">
        <v>63</v>
      </c>
      <c r="E3138" s="4" t="s">
        <v>63</v>
      </c>
      <c r="F3138" s="4">
        <v>1986</v>
      </c>
      <c r="G3138" s="5">
        <v>35124</v>
      </c>
      <c r="H3138" s="4" t="s">
        <v>63</v>
      </c>
      <c r="I3138" s="4" t="s">
        <v>63</v>
      </c>
      <c r="J3138" s="4">
        <v>5</v>
      </c>
      <c r="K3138" s="4" t="s">
        <v>63</v>
      </c>
      <c r="L3138" s="4" t="s">
        <v>25513</v>
      </c>
      <c r="M3138" s="4" t="s">
        <v>25514</v>
      </c>
      <c r="N3138" s="4" t="s">
        <v>25515</v>
      </c>
      <c r="O3138" s="4" t="s">
        <v>63</v>
      </c>
      <c r="P3138" s="4"/>
      <c r="Q3138" s="4" t="s">
        <v>63</v>
      </c>
      <c r="R3138" s="4" t="s">
        <v>63</v>
      </c>
      <c r="S3138" s="4" t="s">
        <v>25516</v>
      </c>
      <c r="T3138" s="4" t="s">
        <v>63</v>
      </c>
      <c r="U3138" s="4"/>
      <c r="V3138" s="4"/>
      <c r="W3138" s="4"/>
      <c r="X3138" s="4" t="s">
        <v>63</v>
      </c>
      <c r="Y3138" s="4" t="s">
        <v>63</v>
      </c>
      <c r="Z3138" s="4" t="s">
        <v>63</v>
      </c>
      <c r="AA3138" s="4" t="s">
        <v>63</v>
      </c>
      <c r="AB3138" s="4" t="s">
        <v>25517</v>
      </c>
      <c r="AC3138" s="4" t="s">
        <v>67</v>
      </c>
      <c r="AD3138" s="4" t="s">
        <v>63</v>
      </c>
      <c r="AE3138" s="4" t="s">
        <v>63</v>
      </c>
      <c r="AF3138" s="4" t="s">
        <v>63</v>
      </c>
      <c r="AG3138" s="4" t="s">
        <v>63</v>
      </c>
      <c r="AH3138" s="4" t="s">
        <v>63</v>
      </c>
      <c r="AI3138" s="4" t="s">
        <v>63</v>
      </c>
      <c r="AJ3138" s="4" t="s">
        <v>63</v>
      </c>
      <c r="AK3138" s="4" t="s">
        <v>63</v>
      </c>
      <c r="AL3138" s="4" t="s">
        <v>63</v>
      </c>
      <c r="AM3138" s="4" t="s">
        <v>25518</v>
      </c>
      <c r="AN3138" s="4" t="s">
        <v>63</v>
      </c>
      <c r="AO3138" s="4" t="s">
        <v>63</v>
      </c>
      <c r="AP3138" s="4" t="s">
        <v>63</v>
      </c>
      <c r="AQ3138" s="4" t="s">
        <v>63</v>
      </c>
      <c r="AR3138" s="4" t="s">
        <v>63</v>
      </c>
      <c r="AS3138" s="4" t="s">
        <v>63</v>
      </c>
      <c r="AT3138" s="4" t="s">
        <v>63</v>
      </c>
      <c r="AU3138" s="4" t="s">
        <v>63</v>
      </c>
      <c r="AV3138" s="4" t="s">
        <v>63</v>
      </c>
      <c r="AW3138" s="4" t="s">
        <v>63</v>
      </c>
      <c r="AX3138" s="4" t="s">
        <v>63</v>
      </c>
      <c r="AY3138" s="4" t="s">
        <v>63</v>
      </c>
      <c r="AZ3138" s="4" t="s">
        <v>63</v>
      </c>
      <c r="BA3138" s="4" t="s">
        <v>63</v>
      </c>
      <c r="BB3138" s="4" t="s">
        <v>63</v>
      </c>
      <c r="BC3138" s="4" t="s">
        <v>63</v>
      </c>
      <c r="BD3138" s="4" t="s">
        <v>63</v>
      </c>
      <c r="BE3138" s="4" t="s">
        <v>63</v>
      </c>
      <c r="BF3138" s="4" t="s">
        <v>63</v>
      </c>
    </row>
    <row r="3139" spans="1:58">
      <c r="A3139" s="4" t="s">
        <v>58</v>
      </c>
      <c r="B3139" s="4" t="s">
        <v>25519</v>
      </c>
      <c r="C3139" s="4" t="s">
        <v>25520</v>
      </c>
      <c r="D3139" s="4" t="s">
        <v>25503</v>
      </c>
      <c r="E3139" s="4" t="s">
        <v>63</v>
      </c>
      <c r="F3139" s="4">
        <v>2002</v>
      </c>
      <c r="G3139" s="4" t="s">
        <v>63</v>
      </c>
      <c r="H3139" s="4">
        <v>1</v>
      </c>
      <c r="I3139" s="4">
        <v>2</v>
      </c>
      <c r="J3139" s="4">
        <v>43</v>
      </c>
      <c r="K3139" s="4">
        <v>55</v>
      </c>
      <c r="L3139" s="4" t="s">
        <v>25521</v>
      </c>
      <c r="M3139" s="4" t="s">
        <v>25522</v>
      </c>
      <c r="N3139" s="4" t="s">
        <v>25523</v>
      </c>
      <c r="O3139" s="4" t="s">
        <v>63</v>
      </c>
      <c r="P3139" s="4"/>
      <c r="Q3139" s="4" t="s">
        <v>63</v>
      </c>
      <c r="R3139" s="4" t="s">
        <v>63</v>
      </c>
      <c r="S3139" s="4" t="s">
        <v>63</v>
      </c>
      <c r="T3139" s="4" t="s">
        <v>63</v>
      </c>
      <c r="U3139" s="4"/>
      <c r="V3139" s="4"/>
      <c r="W3139" s="4"/>
      <c r="X3139" s="4" t="s">
        <v>63</v>
      </c>
      <c r="Y3139" s="4" t="s">
        <v>25507</v>
      </c>
      <c r="Z3139" s="4" t="s">
        <v>63</v>
      </c>
      <c r="AA3139" s="4" t="s">
        <v>63</v>
      </c>
      <c r="AB3139" s="4" t="s">
        <v>25524</v>
      </c>
      <c r="AC3139" s="4" t="s">
        <v>67</v>
      </c>
      <c r="AD3139" s="4" t="s">
        <v>63</v>
      </c>
      <c r="AE3139" s="4" t="s">
        <v>63</v>
      </c>
      <c r="AF3139" s="4" t="s">
        <v>63</v>
      </c>
      <c r="AG3139" s="4" t="s">
        <v>63</v>
      </c>
      <c r="AH3139" s="4" t="s">
        <v>63</v>
      </c>
      <c r="AI3139" s="4" t="s">
        <v>63</v>
      </c>
      <c r="AJ3139" s="4" t="s">
        <v>63</v>
      </c>
      <c r="AK3139" s="4" t="s">
        <v>63</v>
      </c>
      <c r="AL3139" s="4" t="s">
        <v>63</v>
      </c>
      <c r="AM3139" s="4" t="s">
        <v>25525</v>
      </c>
      <c r="AN3139" s="4" t="s">
        <v>63</v>
      </c>
      <c r="AO3139" s="4" t="s">
        <v>63</v>
      </c>
      <c r="AP3139" s="4" t="s">
        <v>63</v>
      </c>
      <c r="AQ3139" s="4" t="s">
        <v>63</v>
      </c>
      <c r="AR3139" s="4" t="s">
        <v>63</v>
      </c>
      <c r="AS3139" s="4" t="s">
        <v>63</v>
      </c>
      <c r="AT3139" s="4" t="s">
        <v>63</v>
      </c>
      <c r="AU3139" s="4" t="s">
        <v>63</v>
      </c>
      <c r="AV3139" s="4" t="s">
        <v>63</v>
      </c>
      <c r="AW3139" s="4" t="s">
        <v>63</v>
      </c>
      <c r="AX3139" s="4" t="s">
        <v>63</v>
      </c>
      <c r="AY3139" s="4" t="s">
        <v>63</v>
      </c>
      <c r="AZ3139" s="4" t="s">
        <v>63</v>
      </c>
      <c r="BA3139" s="4" t="s">
        <v>63</v>
      </c>
      <c r="BB3139" s="4" t="s">
        <v>63</v>
      </c>
      <c r="BC3139" s="4" t="s">
        <v>63</v>
      </c>
      <c r="BD3139" s="4" t="s">
        <v>63</v>
      </c>
      <c r="BE3139" s="4" t="s">
        <v>63</v>
      </c>
      <c r="BF3139" s="4" t="s">
        <v>63</v>
      </c>
    </row>
    <row r="3140" spans="1:58">
      <c r="A3140" s="4" t="s">
        <v>25174</v>
      </c>
      <c r="B3140" s="4" t="s">
        <v>25526</v>
      </c>
      <c r="C3140" s="4" t="s">
        <v>25527</v>
      </c>
      <c r="D3140" s="4" t="s">
        <v>63</v>
      </c>
      <c r="E3140" s="4" t="s">
        <v>63</v>
      </c>
      <c r="F3140" s="4">
        <v>966</v>
      </c>
      <c r="G3140" s="4" t="s">
        <v>25528</v>
      </c>
      <c r="H3140" s="4" t="s">
        <v>63</v>
      </c>
      <c r="I3140" s="4" t="s">
        <v>63</v>
      </c>
      <c r="J3140" s="4">
        <v>544</v>
      </c>
      <c r="K3140" s="4" t="s">
        <v>63</v>
      </c>
      <c r="L3140" s="4" t="s">
        <v>25529</v>
      </c>
      <c r="M3140" s="4" t="s">
        <v>25530</v>
      </c>
      <c r="N3140" s="4" t="s">
        <v>25531</v>
      </c>
      <c r="O3140" s="4" t="s">
        <v>63</v>
      </c>
      <c r="P3140" s="4"/>
      <c r="Q3140" s="4" t="s">
        <v>63</v>
      </c>
      <c r="R3140" s="4" t="s">
        <v>63</v>
      </c>
      <c r="S3140" s="4" t="s">
        <v>63</v>
      </c>
      <c r="T3140" s="4" t="s">
        <v>25532</v>
      </c>
      <c r="U3140" s="4"/>
      <c r="V3140" s="4"/>
      <c r="W3140" s="4"/>
      <c r="X3140" s="4" t="s">
        <v>63</v>
      </c>
      <c r="Y3140" s="4" t="s">
        <v>63</v>
      </c>
      <c r="Z3140" s="4" t="s">
        <v>63</v>
      </c>
      <c r="AA3140" s="4" t="s">
        <v>25533</v>
      </c>
      <c r="AB3140" s="4" t="s">
        <v>25534</v>
      </c>
      <c r="AC3140" s="4" t="s">
        <v>67</v>
      </c>
      <c r="AD3140" s="4" t="s">
        <v>63</v>
      </c>
      <c r="AE3140" s="4" t="s">
        <v>63</v>
      </c>
      <c r="AF3140" s="4" t="s">
        <v>63</v>
      </c>
      <c r="AG3140" s="4" t="s">
        <v>63</v>
      </c>
      <c r="AH3140" s="4" t="s">
        <v>63</v>
      </c>
      <c r="AI3140" s="4" t="s">
        <v>63</v>
      </c>
      <c r="AJ3140" s="4" t="s">
        <v>63</v>
      </c>
      <c r="AK3140" s="4" t="s">
        <v>63</v>
      </c>
      <c r="AL3140" s="4" t="s">
        <v>63</v>
      </c>
      <c r="AM3140" s="4" t="s">
        <v>25535</v>
      </c>
      <c r="AN3140" s="4" t="s">
        <v>63</v>
      </c>
      <c r="AO3140" s="4" t="s">
        <v>63</v>
      </c>
      <c r="AP3140" s="4" t="s">
        <v>63</v>
      </c>
      <c r="AQ3140" s="4" t="s">
        <v>63</v>
      </c>
      <c r="AR3140" s="4" t="s">
        <v>63</v>
      </c>
      <c r="AS3140" s="4" t="s">
        <v>63</v>
      </c>
      <c r="AT3140" s="4" t="s">
        <v>63</v>
      </c>
      <c r="AU3140" s="4" t="s">
        <v>63</v>
      </c>
      <c r="AV3140" s="4" t="s">
        <v>63</v>
      </c>
      <c r="AW3140" s="4" t="s">
        <v>63</v>
      </c>
      <c r="AX3140" s="4" t="s">
        <v>63</v>
      </c>
      <c r="AY3140" s="4" t="s">
        <v>63</v>
      </c>
      <c r="AZ3140" s="4" t="s">
        <v>63</v>
      </c>
      <c r="BA3140" s="4" t="s">
        <v>63</v>
      </c>
      <c r="BB3140" s="4" t="s">
        <v>63</v>
      </c>
      <c r="BC3140" s="4" t="s">
        <v>63</v>
      </c>
      <c r="BD3140" s="4" t="s">
        <v>63</v>
      </c>
      <c r="BE3140" s="4" t="s">
        <v>63</v>
      </c>
      <c r="BF3140" s="4" t="s">
        <v>63</v>
      </c>
    </row>
    <row r="3141" spans="1:58">
      <c r="A3141" s="4" t="s">
        <v>25174</v>
      </c>
      <c r="B3141" s="4" t="s">
        <v>25536</v>
      </c>
      <c r="C3141" s="4" t="s">
        <v>25537</v>
      </c>
      <c r="D3141" s="4" t="s">
        <v>63</v>
      </c>
      <c r="E3141" s="4" t="s">
        <v>63</v>
      </c>
      <c r="F3141" s="4">
        <v>1989</v>
      </c>
      <c r="G3141" s="5">
        <v>35308</v>
      </c>
      <c r="H3141" s="4" t="s">
        <v>63</v>
      </c>
      <c r="I3141" s="4" t="s">
        <v>63</v>
      </c>
      <c r="J3141" s="4">
        <v>50</v>
      </c>
      <c r="K3141" s="4" t="s">
        <v>63</v>
      </c>
      <c r="L3141" s="4" t="s">
        <v>25538</v>
      </c>
      <c r="M3141" s="4" t="s">
        <v>25539</v>
      </c>
      <c r="N3141" s="4" t="s">
        <v>25540</v>
      </c>
      <c r="O3141" s="4" t="s">
        <v>63</v>
      </c>
      <c r="P3141" s="4"/>
      <c r="Q3141" s="4" t="s">
        <v>63</v>
      </c>
      <c r="R3141" s="4" t="s">
        <v>63</v>
      </c>
      <c r="S3141" s="4" t="s">
        <v>63</v>
      </c>
      <c r="T3141" s="4" t="s">
        <v>63</v>
      </c>
      <c r="U3141" s="4"/>
      <c r="V3141" s="4"/>
      <c r="W3141" s="4"/>
      <c r="X3141" s="4" t="s">
        <v>63</v>
      </c>
      <c r="Y3141" s="4" t="s">
        <v>63</v>
      </c>
      <c r="Z3141" s="4" t="s">
        <v>63</v>
      </c>
      <c r="AA3141" s="4" t="s">
        <v>63</v>
      </c>
      <c r="AB3141" s="4" t="s">
        <v>25541</v>
      </c>
      <c r="AC3141" s="4" t="s">
        <v>67</v>
      </c>
      <c r="AD3141" s="4" t="s">
        <v>63</v>
      </c>
      <c r="AE3141" s="4" t="s">
        <v>63</v>
      </c>
      <c r="AF3141" s="4" t="s">
        <v>63</v>
      </c>
      <c r="AG3141" s="4" t="s">
        <v>63</v>
      </c>
      <c r="AH3141" s="4" t="s">
        <v>63</v>
      </c>
      <c r="AI3141" s="4" t="s">
        <v>63</v>
      </c>
      <c r="AJ3141" s="4" t="s">
        <v>63</v>
      </c>
      <c r="AK3141" s="4" t="s">
        <v>63</v>
      </c>
      <c r="AL3141" s="4" t="s">
        <v>63</v>
      </c>
      <c r="AM3141" s="4" t="s">
        <v>25542</v>
      </c>
      <c r="AN3141" s="4" t="s">
        <v>63</v>
      </c>
      <c r="AO3141" s="4" t="s">
        <v>63</v>
      </c>
      <c r="AP3141" s="4" t="s">
        <v>63</v>
      </c>
      <c r="AQ3141" s="4" t="s">
        <v>63</v>
      </c>
      <c r="AR3141" s="4" t="s">
        <v>63</v>
      </c>
      <c r="AS3141" s="4" t="s">
        <v>63</v>
      </c>
      <c r="AT3141" s="4" t="s">
        <v>63</v>
      </c>
      <c r="AU3141" s="4" t="s">
        <v>63</v>
      </c>
      <c r="AV3141" s="4" t="s">
        <v>63</v>
      </c>
      <c r="AW3141" s="4" t="s">
        <v>63</v>
      </c>
      <c r="AX3141" s="4" t="s">
        <v>63</v>
      </c>
      <c r="AY3141" s="4" t="s">
        <v>63</v>
      </c>
      <c r="AZ3141" s="4" t="s">
        <v>63</v>
      </c>
      <c r="BA3141" s="4" t="s">
        <v>63</v>
      </c>
      <c r="BB3141" s="4" t="s">
        <v>63</v>
      </c>
      <c r="BC3141" s="4" t="s">
        <v>63</v>
      </c>
      <c r="BD3141" s="4" t="s">
        <v>63</v>
      </c>
      <c r="BE3141" s="4" t="s">
        <v>63</v>
      </c>
      <c r="BF3141" s="4" t="s">
        <v>63</v>
      </c>
    </row>
    <row r="3142" spans="1:58">
      <c r="A3142" s="4" t="s">
        <v>58</v>
      </c>
      <c r="B3142" s="4" t="s">
        <v>25543</v>
      </c>
      <c r="C3142" s="4" t="s">
        <v>25544</v>
      </c>
      <c r="D3142" s="4" t="s">
        <v>4030</v>
      </c>
      <c r="E3142" s="4" t="s">
        <v>4031</v>
      </c>
      <c r="F3142" s="4">
        <v>1993</v>
      </c>
      <c r="G3142" s="4" t="s">
        <v>63</v>
      </c>
      <c r="H3142" s="4">
        <v>23</v>
      </c>
      <c r="I3142" s="4">
        <v>3</v>
      </c>
      <c r="J3142" s="4">
        <v>215</v>
      </c>
      <c r="K3142" s="4">
        <v>222</v>
      </c>
      <c r="L3142" s="4" t="s">
        <v>25545</v>
      </c>
      <c r="M3142" s="4" t="s">
        <v>25546</v>
      </c>
      <c r="N3142" s="4" t="s">
        <v>25547</v>
      </c>
      <c r="O3142" s="4" t="s">
        <v>63</v>
      </c>
      <c r="P3142" s="4"/>
      <c r="Q3142" s="4" t="s">
        <v>63</v>
      </c>
      <c r="R3142" s="4" t="s">
        <v>63</v>
      </c>
      <c r="S3142" s="4" t="s">
        <v>63</v>
      </c>
      <c r="T3142" s="4" t="s">
        <v>63</v>
      </c>
      <c r="U3142" s="4"/>
      <c r="V3142" s="4"/>
      <c r="W3142" s="4"/>
      <c r="X3142" s="4" t="s">
        <v>63</v>
      </c>
      <c r="Y3142" s="4" t="s">
        <v>4035</v>
      </c>
      <c r="Z3142" s="4" t="s">
        <v>63</v>
      </c>
      <c r="AA3142" s="4" t="s">
        <v>63</v>
      </c>
      <c r="AB3142" s="4" t="s">
        <v>25548</v>
      </c>
      <c r="AC3142" s="4" t="s">
        <v>67</v>
      </c>
      <c r="AD3142" s="4" t="s">
        <v>63</v>
      </c>
      <c r="AE3142" s="4" t="s">
        <v>63</v>
      </c>
      <c r="AF3142" s="4" t="s">
        <v>63</v>
      </c>
      <c r="AG3142" s="4" t="s">
        <v>63</v>
      </c>
      <c r="AH3142" s="4" t="s">
        <v>63</v>
      </c>
      <c r="AI3142" s="4" t="s">
        <v>63</v>
      </c>
      <c r="AJ3142" s="4" t="s">
        <v>63</v>
      </c>
      <c r="AK3142" s="4" t="s">
        <v>63</v>
      </c>
      <c r="AL3142" s="4" t="s">
        <v>63</v>
      </c>
      <c r="AM3142" s="4" t="s">
        <v>25549</v>
      </c>
      <c r="AN3142" s="4" t="s">
        <v>63</v>
      </c>
      <c r="AO3142" s="4" t="s">
        <v>63</v>
      </c>
      <c r="AP3142" s="4" t="s">
        <v>63</v>
      </c>
      <c r="AQ3142" s="4" t="s">
        <v>63</v>
      </c>
      <c r="AR3142" s="4" t="s">
        <v>63</v>
      </c>
      <c r="AS3142" s="4" t="s">
        <v>63</v>
      </c>
      <c r="AT3142" s="4" t="s">
        <v>63</v>
      </c>
      <c r="AU3142" s="4" t="s">
        <v>63</v>
      </c>
      <c r="AV3142" s="4" t="s">
        <v>63</v>
      </c>
      <c r="AW3142" s="4" t="s">
        <v>63</v>
      </c>
      <c r="AX3142" s="4" t="s">
        <v>63</v>
      </c>
      <c r="AY3142" s="4" t="s">
        <v>63</v>
      </c>
      <c r="AZ3142" s="4" t="s">
        <v>63</v>
      </c>
      <c r="BA3142" s="4" t="s">
        <v>63</v>
      </c>
      <c r="BB3142" s="4" t="s">
        <v>63</v>
      </c>
      <c r="BC3142" s="4" t="s">
        <v>63</v>
      </c>
      <c r="BD3142" s="4" t="s">
        <v>63</v>
      </c>
      <c r="BE3142" s="4" t="s">
        <v>63</v>
      </c>
      <c r="BF3142" s="4" t="s">
        <v>63</v>
      </c>
    </row>
    <row r="3143" spans="1:58">
      <c r="A3143" s="4" t="s">
        <v>25174</v>
      </c>
      <c r="B3143" s="4" t="s">
        <v>25550</v>
      </c>
      <c r="C3143" s="4" t="s">
        <v>25551</v>
      </c>
      <c r="D3143" s="4" t="s">
        <v>63</v>
      </c>
      <c r="E3143" s="4" t="s">
        <v>63</v>
      </c>
      <c r="F3143" s="4">
        <v>1982</v>
      </c>
      <c r="G3143" s="4" t="s">
        <v>63</v>
      </c>
      <c r="H3143" s="4" t="s">
        <v>63</v>
      </c>
      <c r="I3143" s="4" t="s">
        <v>63</v>
      </c>
      <c r="J3143" s="4">
        <v>81</v>
      </c>
      <c r="K3143" s="4" t="s">
        <v>63</v>
      </c>
      <c r="L3143" s="4" t="s">
        <v>25552</v>
      </c>
      <c r="M3143" s="4" t="s">
        <v>25553</v>
      </c>
      <c r="N3143" s="4" t="s">
        <v>25554</v>
      </c>
      <c r="O3143" s="4" t="s">
        <v>63</v>
      </c>
      <c r="P3143" s="4"/>
      <c r="Q3143" s="4" t="s">
        <v>63</v>
      </c>
      <c r="R3143" s="4" t="s">
        <v>63</v>
      </c>
      <c r="S3143" s="4" t="s">
        <v>25302</v>
      </c>
      <c r="T3143" s="4" t="s">
        <v>63</v>
      </c>
      <c r="U3143" s="4"/>
      <c r="V3143" s="4"/>
      <c r="W3143" s="4"/>
      <c r="X3143" s="4" t="s">
        <v>63</v>
      </c>
      <c r="Y3143" s="4" t="s">
        <v>63</v>
      </c>
      <c r="Z3143" s="4" t="s">
        <v>63</v>
      </c>
      <c r="AA3143" s="4" t="s">
        <v>63</v>
      </c>
      <c r="AB3143" s="4" t="s">
        <v>25555</v>
      </c>
      <c r="AC3143" s="4" t="s">
        <v>67</v>
      </c>
      <c r="AD3143" s="4" t="s">
        <v>63</v>
      </c>
      <c r="AE3143" s="4" t="s">
        <v>63</v>
      </c>
      <c r="AF3143" s="4" t="s">
        <v>63</v>
      </c>
      <c r="AG3143" s="4" t="s">
        <v>63</v>
      </c>
      <c r="AH3143" s="4" t="s">
        <v>63</v>
      </c>
      <c r="AI3143" s="4" t="s">
        <v>63</v>
      </c>
      <c r="AJ3143" s="4" t="s">
        <v>63</v>
      </c>
      <c r="AK3143" s="4" t="s">
        <v>63</v>
      </c>
      <c r="AL3143" s="4" t="s">
        <v>63</v>
      </c>
      <c r="AM3143" s="4" t="s">
        <v>25556</v>
      </c>
      <c r="AN3143" s="4" t="s">
        <v>63</v>
      </c>
      <c r="AO3143" s="4" t="s">
        <v>63</v>
      </c>
      <c r="AP3143" s="4" t="s">
        <v>63</v>
      </c>
      <c r="AQ3143" s="4" t="s">
        <v>63</v>
      </c>
      <c r="AR3143" s="4" t="s">
        <v>63</v>
      </c>
      <c r="AS3143" s="4" t="s">
        <v>63</v>
      </c>
      <c r="AT3143" s="4" t="s">
        <v>63</v>
      </c>
      <c r="AU3143" s="4" t="s">
        <v>63</v>
      </c>
      <c r="AV3143" s="4" t="s">
        <v>63</v>
      </c>
      <c r="AW3143" s="4" t="s">
        <v>63</v>
      </c>
      <c r="AX3143" s="4" t="s">
        <v>63</v>
      </c>
      <c r="AY3143" s="4" t="s">
        <v>63</v>
      </c>
      <c r="AZ3143" s="4" t="s">
        <v>63</v>
      </c>
      <c r="BA3143" s="4" t="s">
        <v>63</v>
      </c>
      <c r="BB3143" s="4" t="s">
        <v>63</v>
      </c>
      <c r="BC3143" s="4" t="s">
        <v>63</v>
      </c>
      <c r="BD3143" s="4" t="s">
        <v>63</v>
      </c>
      <c r="BE3143" s="4" t="s">
        <v>63</v>
      </c>
      <c r="BF3143" s="4" t="s">
        <v>63</v>
      </c>
    </row>
    <row r="3144" spans="1:58">
      <c r="A3144" s="4" t="s">
        <v>58</v>
      </c>
      <c r="B3144" s="4" t="s">
        <v>25557</v>
      </c>
      <c r="C3144" s="4" t="s">
        <v>25558</v>
      </c>
      <c r="D3144" s="4" t="s">
        <v>25559</v>
      </c>
      <c r="E3144" s="4" t="s">
        <v>63</v>
      </c>
      <c r="F3144" s="4">
        <v>1994</v>
      </c>
      <c r="G3144" s="4" t="s">
        <v>623</v>
      </c>
      <c r="H3144" s="4">
        <v>18</v>
      </c>
      <c r="I3144" s="4">
        <v>1</v>
      </c>
      <c r="J3144" s="4">
        <v>96</v>
      </c>
      <c r="K3144" s="4">
        <v>101</v>
      </c>
      <c r="L3144" s="4" t="s">
        <v>25560</v>
      </c>
      <c r="M3144" s="4" t="s">
        <v>25561</v>
      </c>
      <c r="N3144" s="4" t="s">
        <v>25562</v>
      </c>
      <c r="O3144" s="4" t="s">
        <v>63</v>
      </c>
      <c r="P3144" s="4"/>
      <c r="Q3144" s="4" t="s">
        <v>63</v>
      </c>
      <c r="R3144" s="4" t="s">
        <v>63</v>
      </c>
      <c r="S3144" s="4" t="s">
        <v>63</v>
      </c>
      <c r="T3144" s="4" t="s">
        <v>63</v>
      </c>
      <c r="U3144" s="4"/>
      <c r="V3144" s="4"/>
      <c r="W3144" s="4"/>
      <c r="X3144" s="4" t="s">
        <v>63</v>
      </c>
      <c r="Y3144" s="4" t="s">
        <v>25563</v>
      </c>
      <c r="Z3144" s="4" t="s">
        <v>63</v>
      </c>
      <c r="AA3144" s="4" t="s">
        <v>63</v>
      </c>
      <c r="AB3144" s="4" t="s">
        <v>25564</v>
      </c>
      <c r="AC3144" s="4" t="s">
        <v>67</v>
      </c>
      <c r="AD3144" s="4" t="s">
        <v>63</v>
      </c>
      <c r="AE3144" s="4" t="s">
        <v>63</v>
      </c>
      <c r="AF3144" s="4" t="s">
        <v>63</v>
      </c>
      <c r="AG3144" s="4" t="s">
        <v>63</v>
      </c>
      <c r="AH3144" s="4" t="s">
        <v>63</v>
      </c>
      <c r="AI3144" s="4" t="s">
        <v>63</v>
      </c>
      <c r="AJ3144" s="4" t="s">
        <v>63</v>
      </c>
      <c r="AK3144" s="4" t="s">
        <v>63</v>
      </c>
      <c r="AL3144" s="4" t="s">
        <v>63</v>
      </c>
      <c r="AM3144" s="4" t="s">
        <v>25565</v>
      </c>
      <c r="AN3144" s="4" t="s">
        <v>63</v>
      </c>
      <c r="AO3144" s="4" t="s">
        <v>63</v>
      </c>
      <c r="AP3144" s="4" t="s">
        <v>63</v>
      </c>
      <c r="AQ3144" s="4" t="s">
        <v>63</v>
      </c>
      <c r="AR3144" s="4" t="s">
        <v>63</v>
      </c>
      <c r="AS3144" s="4" t="s">
        <v>63</v>
      </c>
      <c r="AT3144" s="4" t="s">
        <v>63</v>
      </c>
      <c r="AU3144" s="4" t="s">
        <v>63</v>
      </c>
      <c r="AV3144" s="4" t="s">
        <v>63</v>
      </c>
      <c r="AW3144" s="4" t="s">
        <v>63</v>
      </c>
      <c r="AX3144" s="4" t="s">
        <v>63</v>
      </c>
      <c r="AY3144" s="4" t="s">
        <v>63</v>
      </c>
      <c r="AZ3144" s="4" t="s">
        <v>63</v>
      </c>
      <c r="BA3144" s="4" t="s">
        <v>63</v>
      </c>
      <c r="BB3144" s="4" t="s">
        <v>63</v>
      </c>
      <c r="BC3144" s="4" t="s">
        <v>63</v>
      </c>
      <c r="BD3144" s="4" t="s">
        <v>63</v>
      </c>
      <c r="BE3144" s="4" t="s">
        <v>63</v>
      </c>
      <c r="BF3144" s="4" t="s">
        <v>63</v>
      </c>
    </row>
    <row r="3145" spans="1:58">
      <c r="A3145" s="4" t="s">
        <v>58</v>
      </c>
      <c r="B3145" s="4" t="s">
        <v>25566</v>
      </c>
      <c r="C3145" s="4" t="s">
        <v>25567</v>
      </c>
      <c r="D3145" s="4" t="s">
        <v>389</v>
      </c>
      <c r="E3145" s="4" t="s">
        <v>63</v>
      </c>
      <c r="F3145" s="4">
        <v>2012</v>
      </c>
      <c r="G3145" s="4" t="s">
        <v>63</v>
      </c>
      <c r="H3145" s="4">
        <v>33</v>
      </c>
      <c r="I3145" s="4">
        <v>3</v>
      </c>
      <c r="J3145" s="4">
        <v>241</v>
      </c>
      <c r="K3145" s="4">
        <v>250</v>
      </c>
      <c r="L3145" s="4" t="s">
        <v>25568</v>
      </c>
      <c r="M3145" s="4" t="s">
        <v>25569</v>
      </c>
      <c r="N3145" s="4" t="s">
        <v>25570</v>
      </c>
      <c r="O3145" s="4" t="s">
        <v>63</v>
      </c>
      <c r="P3145" s="4"/>
      <c r="Q3145" s="4" t="s">
        <v>63</v>
      </c>
      <c r="R3145" s="4" t="s">
        <v>63</v>
      </c>
      <c r="S3145" s="4" t="s">
        <v>63</v>
      </c>
      <c r="T3145" s="4" t="s">
        <v>63</v>
      </c>
      <c r="U3145" s="4"/>
      <c r="V3145" s="4"/>
      <c r="W3145" s="4"/>
      <c r="X3145" s="4" t="s">
        <v>63</v>
      </c>
      <c r="Y3145" s="4" t="s">
        <v>392</v>
      </c>
      <c r="Z3145" s="4" t="s">
        <v>63</v>
      </c>
      <c r="AA3145" s="4" t="s">
        <v>25571</v>
      </c>
      <c r="AB3145" s="4" t="s">
        <v>25572</v>
      </c>
      <c r="AC3145" s="4" t="s">
        <v>67</v>
      </c>
      <c r="AD3145" s="4" t="s">
        <v>63</v>
      </c>
      <c r="AE3145" s="4" t="s">
        <v>63</v>
      </c>
      <c r="AF3145" s="4" t="s">
        <v>63</v>
      </c>
      <c r="AG3145" s="4" t="s">
        <v>63</v>
      </c>
      <c r="AH3145" s="4" t="s">
        <v>63</v>
      </c>
      <c r="AI3145" s="4" t="s">
        <v>63</v>
      </c>
      <c r="AJ3145" s="4" t="s">
        <v>63</v>
      </c>
      <c r="AK3145" s="4" t="s">
        <v>63</v>
      </c>
      <c r="AL3145" s="4" t="s">
        <v>63</v>
      </c>
      <c r="AM3145" s="4" t="s">
        <v>25573</v>
      </c>
      <c r="AN3145" s="4" t="s">
        <v>63</v>
      </c>
      <c r="AO3145" s="4" t="s">
        <v>63</v>
      </c>
      <c r="AP3145" s="4" t="s">
        <v>63</v>
      </c>
      <c r="AQ3145" s="4" t="s">
        <v>63</v>
      </c>
      <c r="AR3145" s="4" t="s">
        <v>63</v>
      </c>
      <c r="AS3145" s="4" t="s">
        <v>63</v>
      </c>
      <c r="AT3145" s="4" t="s">
        <v>63</v>
      </c>
      <c r="AU3145" s="4" t="s">
        <v>63</v>
      </c>
      <c r="AV3145" s="4" t="s">
        <v>63</v>
      </c>
      <c r="AW3145" s="4" t="s">
        <v>63</v>
      </c>
      <c r="AX3145" s="4" t="s">
        <v>63</v>
      </c>
      <c r="AY3145" s="4" t="s">
        <v>63</v>
      </c>
      <c r="AZ3145" s="4" t="s">
        <v>63</v>
      </c>
      <c r="BA3145" s="4" t="s">
        <v>63</v>
      </c>
      <c r="BB3145" s="4" t="s">
        <v>63</v>
      </c>
      <c r="BC3145" s="4" t="s">
        <v>63</v>
      </c>
      <c r="BD3145" s="4" t="s">
        <v>63</v>
      </c>
      <c r="BE3145" s="4" t="s">
        <v>63</v>
      </c>
      <c r="BF3145" s="4" t="s">
        <v>63</v>
      </c>
    </row>
    <row r="3146" spans="1:58">
      <c r="A3146" s="4" t="s">
        <v>25174</v>
      </c>
      <c r="B3146" s="4" t="s">
        <v>25574</v>
      </c>
      <c r="C3146" s="4" t="s">
        <v>25575</v>
      </c>
      <c r="D3146" s="4" t="s">
        <v>63</v>
      </c>
      <c r="E3146" s="4" t="s">
        <v>63</v>
      </c>
      <c r="F3146" s="4">
        <v>1982</v>
      </c>
      <c r="G3146" s="4" t="s">
        <v>63</v>
      </c>
      <c r="H3146" s="4" t="s">
        <v>63</v>
      </c>
      <c r="I3146" s="4" t="s">
        <v>63</v>
      </c>
      <c r="J3146" s="4">
        <v>47</v>
      </c>
      <c r="K3146" s="4" t="s">
        <v>63</v>
      </c>
      <c r="L3146" s="4" t="s">
        <v>25576</v>
      </c>
      <c r="M3146" s="4" t="s">
        <v>25577</v>
      </c>
      <c r="N3146" s="4" t="s">
        <v>25578</v>
      </c>
      <c r="O3146" s="4" t="s">
        <v>63</v>
      </c>
      <c r="P3146" s="4"/>
      <c r="Q3146" s="4" t="s">
        <v>63</v>
      </c>
      <c r="R3146" s="4" t="s">
        <v>63</v>
      </c>
      <c r="S3146" s="4" t="s">
        <v>25302</v>
      </c>
      <c r="T3146" s="4" t="s">
        <v>63</v>
      </c>
      <c r="U3146" s="4"/>
      <c r="V3146" s="4"/>
      <c r="W3146" s="4"/>
      <c r="X3146" s="4" t="s">
        <v>63</v>
      </c>
      <c r="Y3146" s="4" t="s">
        <v>63</v>
      </c>
      <c r="Z3146" s="4" t="s">
        <v>63</v>
      </c>
      <c r="AA3146" s="4" t="s">
        <v>63</v>
      </c>
      <c r="AB3146" s="4" t="s">
        <v>25579</v>
      </c>
      <c r="AC3146" s="4" t="s">
        <v>67</v>
      </c>
      <c r="AD3146" s="4" t="s">
        <v>63</v>
      </c>
      <c r="AE3146" s="4" t="s">
        <v>63</v>
      </c>
      <c r="AF3146" s="4" t="s">
        <v>63</v>
      </c>
      <c r="AG3146" s="4" t="s">
        <v>63</v>
      </c>
      <c r="AH3146" s="4" t="s">
        <v>63</v>
      </c>
      <c r="AI3146" s="4" t="s">
        <v>63</v>
      </c>
      <c r="AJ3146" s="4" t="s">
        <v>63</v>
      </c>
      <c r="AK3146" s="4" t="s">
        <v>63</v>
      </c>
      <c r="AL3146" s="4" t="s">
        <v>63</v>
      </c>
      <c r="AM3146" s="4" t="s">
        <v>25580</v>
      </c>
      <c r="AN3146" s="4" t="s">
        <v>63</v>
      </c>
      <c r="AO3146" s="4" t="s">
        <v>63</v>
      </c>
      <c r="AP3146" s="4" t="s">
        <v>63</v>
      </c>
      <c r="AQ3146" s="4" t="s">
        <v>63</v>
      </c>
      <c r="AR3146" s="4" t="s">
        <v>63</v>
      </c>
      <c r="AS3146" s="4" t="s">
        <v>63</v>
      </c>
      <c r="AT3146" s="4" t="s">
        <v>63</v>
      </c>
      <c r="AU3146" s="4" t="s">
        <v>63</v>
      </c>
      <c r="AV3146" s="4" t="s">
        <v>63</v>
      </c>
      <c r="AW3146" s="4" t="s">
        <v>63</v>
      </c>
      <c r="AX3146" s="4" t="s">
        <v>63</v>
      </c>
      <c r="AY3146" s="4" t="s">
        <v>63</v>
      </c>
      <c r="AZ3146" s="4" t="s">
        <v>63</v>
      </c>
      <c r="BA3146" s="4" t="s">
        <v>63</v>
      </c>
      <c r="BB3146" s="4" t="s">
        <v>63</v>
      </c>
      <c r="BC3146" s="4" t="s">
        <v>63</v>
      </c>
      <c r="BD3146" s="4" t="s">
        <v>63</v>
      </c>
      <c r="BE3146" s="4" t="s">
        <v>63</v>
      </c>
      <c r="BF3146" s="4" t="s">
        <v>63</v>
      </c>
    </row>
    <row r="3147" spans="1:58">
      <c r="A3147" s="4" t="s">
        <v>25174</v>
      </c>
      <c r="B3147" s="4" t="s">
        <v>25581</v>
      </c>
      <c r="C3147" s="4" t="s">
        <v>25582</v>
      </c>
      <c r="D3147" s="4" t="s">
        <v>63</v>
      </c>
      <c r="E3147" s="4" t="s">
        <v>63</v>
      </c>
      <c r="F3147" s="4">
        <v>1992</v>
      </c>
      <c r="G3147" s="6">
        <v>41938</v>
      </c>
      <c r="H3147" s="4" t="s">
        <v>63</v>
      </c>
      <c r="I3147" s="4" t="s">
        <v>63</v>
      </c>
      <c r="J3147" s="4">
        <v>129</v>
      </c>
      <c r="K3147" s="4" t="s">
        <v>63</v>
      </c>
      <c r="L3147" s="4" t="s">
        <v>25583</v>
      </c>
      <c r="M3147" s="4" t="s">
        <v>25584</v>
      </c>
      <c r="N3147" s="4" t="s">
        <v>25585</v>
      </c>
      <c r="O3147" s="4" t="s">
        <v>63</v>
      </c>
      <c r="P3147" s="4"/>
      <c r="Q3147" s="4" t="s">
        <v>63</v>
      </c>
      <c r="R3147" s="4" t="s">
        <v>63</v>
      </c>
      <c r="S3147" s="4" t="s">
        <v>63</v>
      </c>
      <c r="T3147" s="4" t="s">
        <v>63</v>
      </c>
      <c r="U3147" s="4"/>
      <c r="V3147" s="4"/>
      <c r="W3147" s="4"/>
      <c r="X3147" s="4" t="s">
        <v>63</v>
      </c>
      <c r="Y3147" s="4" t="s">
        <v>63</v>
      </c>
      <c r="Z3147" s="4" t="s">
        <v>63</v>
      </c>
      <c r="AA3147" s="4" t="s">
        <v>63</v>
      </c>
      <c r="AB3147" s="4" t="s">
        <v>25586</v>
      </c>
      <c r="AC3147" s="4" t="s">
        <v>67</v>
      </c>
      <c r="AD3147" s="4" t="s">
        <v>63</v>
      </c>
      <c r="AE3147" s="4" t="s">
        <v>63</v>
      </c>
      <c r="AF3147" s="4" t="s">
        <v>63</v>
      </c>
      <c r="AG3147" s="4" t="s">
        <v>63</v>
      </c>
      <c r="AH3147" s="4" t="s">
        <v>63</v>
      </c>
      <c r="AI3147" s="4" t="s">
        <v>63</v>
      </c>
      <c r="AJ3147" s="4" t="s">
        <v>63</v>
      </c>
      <c r="AK3147" s="4" t="s">
        <v>63</v>
      </c>
      <c r="AL3147" s="4" t="s">
        <v>63</v>
      </c>
      <c r="AM3147" s="4" t="s">
        <v>25587</v>
      </c>
      <c r="AN3147" s="4" t="s">
        <v>63</v>
      </c>
      <c r="AO3147" s="4" t="s">
        <v>63</v>
      </c>
      <c r="AP3147" s="4" t="s">
        <v>63</v>
      </c>
      <c r="AQ3147" s="4" t="s">
        <v>63</v>
      </c>
      <c r="AR3147" s="4" t="s">
        <v>63</v>
      </c>
      <c r="AS3147" s="4" t="s">
        <v>63</v>
      </c>
      <c r="AT3147" s="4" t="s">
        <v>63</v>
      </c>
      <c r="AU3147" s="4" t="s">
        <v>63</v>
      </c>
      <c r="AV3147" s="4" t="s">
        <v>63</v>
      </c>
      <c r="AW3147" s="4" t="s">
        <v>63</v>
      </c>
      <c r="AX3147" s="4" t="s">
        <v>63</v>
      </c>
      <c r="AY3147" s="4" t="s">
        <v>63</v>
      </c>
      <c r="AZ3147" s="4" t="s">
        <v>63</v>
      </c>
      <c r="BA3147" s="4" t="s">
        <v>63</v>
      </c>
      <c r="BB3147" s="4" t="s">
        <v>63</v>
      </c>
      <c r="BC3147" s="4" t="s">
        <v>63</v>
      </c>
      <c r="BD3147" s="4" t="s">
        <v>63</v>
      </c>
      <c r="BE3147" s="4" t="s">
        <v>63</v>
      </c>
      <c r="BF3147" s="4" t="s">
        <v>63</v>
      </c>
    </row>
    <row r="3148" spans="1:58">
      <c r="A3148" s="4" t="s">
        <v>58</v>
      </c>
      <c r="B3148" s="4" t="s">
        <v>25588</v>
      </c>
      <c r="C3148" s="4" t="s">
        <v>25589</v>
      </c>
      <c r="D3148" s="4" t="s">
        <v>23924</v>
      </c>
      <c r="E3148" s="4" t="s">
        <v>23925</v>
      </c>
      <c r="F3148" s="4">
        <v>1986</v>
      </c>
      <c r="G3148" s="4" t="s">
        <v>24171</v>
      </c>
      <c r="H3148" s="4">
        <v>31</v>
      </c>
      <c r="I3148" s="4">
        <v>2</v>
      </c>
      <c r="J3148" s="4">
        <v>52</v>
      </c>
      <c r="K3148" s="4">
        <v>59</v>
      </c>
      <c r="L3148" s="4" t="s">
        <v>25590</v>
      </c>
      <c r="M3148" s="4" t="s">
        <v>25591</v>
      </c>
      <c r="N3148" s="4" t="s">
        <v>25592</v>
      </c>
      <c r="O3148" s="4" t="s">
        <v>63</v>
      </c>
      <c r="P3148" s="4"/>
      <c r="Q3148" s="4" t="s">
        <v>63</v>
      </c>
      <c r="R3148" s="4" t="s">
        <v>63</v>
      </c>
      <c r="S3148" s="4" t="s">
        <v>63</v>
      </c>
      <c r="T3148" s="4" t="s">
        <v>63</v>
      </c>
      <c r="U3148" s="4"/>
      <c r="V3148" s="4"/>
      <c r="W3148" s="4"/>
      <c r="X3148" s="4" t="s">
        <v>63</v>
      </c>
      <c r="Y3148" s="4" t="s">
        <v>63</v>
      </c>
      <c r="Z3148" s="4" t="s">
        <v>63</v>
      </c>
      <c r="AA3148" s="4" t="s">
        <v>63</v>
      </c>
      <c r="AB3148" s="4" t="s">
        <v>25593</v>
      </c>
      <c r="AC3148" s="4" t="s">
        <v>67</v>
      </c>
      <c r="AD3148" s="4" t="s">
        <v>63</v>
      </c>
      <c r="AE3148" s="4" t="s">
        <v>63</v>
      </c>
      <c r="AF3148" s="4" t="s">
        <v>63</v>
      </c>
      <c r="AG3148" s="4" t="s">
        <v>63</v>
      </c>
      <c r="AH3148" s="4" t="s">
        <v>63</v>
      </c>
      <c r="AI3148" s="4" t="s">
        <v>63</v>
      </c>
      <c r="AJ3148" s="4" t="s">
        <v>63</v>
      </c>
      <c r="AK3148" s="4" t="s">
        <v>63</v>
      </c>
      <c r="AL3148" s="4" t="s">
        <v>63</v>
      </c>
      <c r="AM3148" s="4" t="s">
        <v>25594</v>
      </c>
      <c r="AN3148" s="4" t="s">
        <v>63</v>
      </c>
      <c r="AO3148" s="4" t="s">
        <v>63</v>
      </c>
      <c r="AP3148" s="4" t="s">
        <v>63</v>
      </c>
      <c r="AQ3148" s="4" t="s">
        <v>63</v>
      </c>
      <c r="AR3148" s="4" t="s">
        <v>63</v>
      </c>
      <c r="AS3148" s="4" t="s">
        <v>63</v>
      </c>
      <c r="AT3148" s="4" t="s">
        <v>63</v>
      </c>
      <c r="AU3148" s="4" t="s">
        <v>63</v>
      </c>
      <c r="AV3148" s="4" t="s">
        <v>63</v>
      </c>
      <c r="AW3148" s="4" t="s">
        <v>63</v>
      </c>
      <c r="AX3148" s="4" t="s">
        <v>63</v>
      </c>
      <c r="AY3148" s="4" t="s">
        <v>63</v>
      </c>
      <c r="AZ3148" s="4" t="s">
        <v>63</v>
      </c>
      <c r="BA3148" s="4" t="s">
        <v>63</v>
      </c>
      <c r="BB3148" s="4" t="s">
        <v>63</v>
      </c>
      <c r="BC3148" s="4" t="s">
        <v>63</v>
      </c>
      <c r="BD3148" s="4" t="s">
        <v>63</v>
      </c>
      <c r="BE3148" s="4" t="s">
        <v>63</v>
      </c>
      <c r="BF3148" s="4" t="s">
        <v>63</v>
      </c>
    </row>
    <row r="3149" spans="1:58">
      <c r="A3149" s="4" t="s">
        <v>58</v>
      </c>
      <c r="B3149" s="4" t="s">
        <v>25595</v>
      </c>
      <c r="C3149" s="4" t="s">
        <v>25596</v>
      </c>
      <c r="D3149" s="4" t="s">
        <v>325</v>
      </c>
      <c r="E3149" s="4" t="s">
        <v>63</v>
      </c>
      <c r="F3149" s="4">
        <v>2004</v>
      </c>
      <c r="G3149" s="4" t="s">
        <v>274</v>
      </c>
      <c r="H3149" s="4">
        <v>28</v>
      </c>
      <c r="I3149" s="4">
        <v>1</v>
      </c>
      <c r="J3149" s="4">
        <v>12</v>
      </c>
      <c r="K3149" s="4">
        <v>17</v>
      </c>
      <c r="L3149" s="4" t="s">
        <v>25597</v>
      </c>
      <c r="M3149" s="4" t="s">
        <v>25598</v>
      </c>
      <c r="N3149" s="4" t="s">
        <v>25599</v>
      </c>
      <c r="O3149" s="4" t="s">
        <v>63</v>
      </c>
      <c r="P3149" s="4"/>
      <c r="Q3149" s="4" t="s">
        <v>63</v>
      </c>
      <c r="R3149" s="4" t="s">
        <v>63</v>
      </c>
      <c r="S3149" s="4" t="s">
        <v>63</v>
      </c>
      <c r="T3149" s="4" t="s">
        <v>63</v>
      </c>
      <c r="U3149" s="4"/>
      <c r="V3149" s="4"/>
      <c r="W3149" s="4"/>
      <c r="X3149" s="4" t="s">
        <v>63</v>
      </c>
      <c r="Y3149" s="4" t="s">
        <v>866</v>
      </c>
      <c r="Z3149" s="4" t="s">
        <v>63</v>
      </c>
      <c r="AA3149" s="4" t="s">
        <v>25600</v>
      </c>
      <c r="AB3149" s="4" t="s">
        <v>25601</v>
      </c>
      <c r="AC3149" s="4" t="s">
        <v>67</v>
      </c>
      <c r="AD3149" s="4" t="s">
        <v>63</v>
      </c>
      <c r="AE3149" s="4" t="s">
        <v>63</v>
      </c>
      <c r="AF3149" s="4" t="s">
        <v>63</v>
      </c>
      <c r="AG3149" s="4" t="s">
        <v>63</v>
      </c>
      <c r="AH3149" s="4" t="s">
        <v>63</v>
      </c>
      <c r="AI3149" s="4" t="s">
        <v>63</v>
      </c>
      <c r="AJ3149" s="4" t="s">
        <v>63</v>
      </c>
      <c r="AK3149" s="4" t="s">
        <v>63</v>
      </c>
      <c r="AL3149" s="4" t="s">
        <v>63</v>
      </c>
      <c r="AM3149" s="4" t="s">
        <v>25602</v>
      </c>
      <c r="AN3149" s="4" t="s">
        <v>63</v>
      </c>
      <c r="AO3149" s="4" t="s">
        <v>63</v>
      </c>
      <c r="AP3149" s="4" t="s">
        <v>63</v>
      </c>
      <c r="AQ3149" s="4" t="s">
        <v>63</v>
      </c>
      <c r="AR3149" s="4" t="s">
        <v>63</v>
      </c>
      <c r="AS3149" s="4" t="s">
        <v>63</v>
      </c>
      <c r="AT3149" s="4" t="s">
        <v>63</v>
      </c>
      <c r="AU3149" s="4" t="s">
        <v>63</v>
      </c>
      <c r="AV3149" s="4" t="s">
        <v>63</v>
      </c>
      <c r="AW3149" s="4" t="s">
        <v>63</v>
      </c>
      <c r="AX3149" s="4" t="s">
        <v>63</v>
      </c>
      <c r="AY3149" s="4" t="s">
        <v>63</v>
      </c>
      <c r="AZ3149" s="4" t="s">
        <v>63</v>
      </c>
      <c r="BA3149" s="4" t="s">
        <v>63</v>
      </c>
      <c r="BB3149" s="4" t="s">
        <v>63</v>
      </c>
      <c r="BC3149" s="4" t="s">
        <v>63</v>
      </c>
      <c r="BD3149" s="4" t="s">
        <v>63</v>
      </c>
      <c r="BE3149" s="4" t="s">
        <v>63</v>
      </c>
      <c r="BF3149" s="4" t="s">
        <v>63</v>
      </c>
    </row>
    <row r="3150" spans="1:58">
      <c r="A3150" s="4" t="s">
        <v>25174</v>
      </c>
      <c r="B3150" s="4" t="s">
        <v>25603</v>
      </c>
      <c r="C3150" s="4" t="s">
        <v>25604</v>
      </c>
      <c r="D3150" s="4" t="s">
        <v>63</v>
      </c>
      <c r="E3150" s="4" t="s">
        <v>63</v>
      </c>
      <c r="F3150" s="4">
        <v>1990</v>
      </c>
      <c r="G3150" s="5">
        <v>35216</v>
      </c>
      <c r="H3150" s="4" t="s">
        <v>63</v>
      </c>
      <c r="I3150" s="4" t="s">
        <v>63</v>
      </c>
      <c r="J3150" s="4">
        <v>33</v>
      </c>
      <c r="K3150" s="4" t="s">
        <v>63</v>
      </c>
      <c r="L3150" s="4" t="s">
        <v>25605</v>
      </c>
      <c r="M3150" s="4" t="s">
        <v>25606</v>
      </c>
      <c r="N3150" s="4" t="s">
        <v>25607</v>
      </c>
      <c r="O3150" s="4" t="s">
        <v>63</v>
      </c>
      <c r="P3150" s="4"/>
      <c r="Q3150" s="4" t="s">
        <v>63</v>
      </c>
      <c r="R3150" s="4" t="s">
        <v>63</v>
      </c>
      <c r="S3150" s="4" t="s">
        <v>25608</v>
      </c>
      <c r="T3150" s="4" t="s">
        <v>63</v>
      </c>
      <c r="U3150" s="4"/>
      <c r="V3150" s="4"/>
      <c r="W3150" s="4"/>
      <c r="X3150" s="4" t="s">
        <v>63</v>
      </c>
      <c r="Y3150" s="4" t="s">
        <v>63</v>
      </c>
      <c r="Z3150" s="4" t="s">
        <v>63</v>
      </c>
      <c r="AA3150" s="4" t="s">
        <v>63</v>
      </c>
      <c r="AB3150" s="4" t="s">
        <v>25609</v>
      </c>
      <c r="AC3150" s="4" t="s">
        <v>67</v>
      </c>
      <c r="AD3150" s="4" t="s">
        <v>63</v>
      </c>
      <c r="AE3150" s="4" t="s">
        <v>63</v>
      </c>
      <c r="AF3150" s="4" t="s">
        <v>63</v>
      </c>
      <c r="AG3150" s="4" t="s">
        <v>63</v>
      </c>
      <c r="AH3150" s="4" t="s">
        <v>63</v>
      </c>
      <c r="AI3150" s="4" t="s">
        <v>63</v>
      </c>
      <c r="AJ3150" s="4" t="s">
        <v>63</v>
      </c>
      <c r="AK3150" s="4" t="s">
        <v>63</v>
      </c>
      <c r="AL3150" s="4" t="s">
        <v>63</v>
      </c>
      <c r="AM3150" s="4" t="s">
        <v>25610</v>
      </c>
      <c r="AN3150" s="4" t="s">
        <v>63</v>
      </c>
      <c r="AO3150" s="4" t="s">
        <v>63</v>
      </c>
      <c r="AP3150" s="4" t="s">
        <v>63</v>
      </c>
      <c r="AQ3150" s="4" t="s">
        <v>63</v>
      </c>
      <c r="AR3150" s="4" t="s">
        <v>63</v>
      </c>
      <c r="AS3150" s="4" t="s">
        <v>63</v>
      </c>
      <c r="AT3150" s="4" t="s">
        <v>63</v>
      </c>
      <c r="AU3150" s="4" t="s">
        <v>63</v>
      </c>
      <c r="AV3150" s="4" t="s">
        <v>63</v>
      </c>
      <c r="AW3150" s="4" t="s">
        <v>63</v>
      </c>
      <c r="AX3150" s="4" t="s">
        <v>63</v>
      </c>
      <c r="AY3150" s="4" t="s">
        <v>63</v>
      </c>
      <c r="AZ3150" s="4" t="s">
        <v>63</v>
      </c>
      <c r="BA3150" s="4" t="s">
        <v>63</v>
      </c>
      <c r="BB3150" s="4" t="s">
        <v>63</v>
      </c>
      <c r="BC3150" s="4" t="s">
        <v>63</v>
      </c>
      <c r="BD3150" s="4" t="s">
        <v>63</v>
      </c>
      <c r="BE3150" s="4" t="s">
        <v>63</v>
      </c>
      <c r="BF3150" s="4" t="s">
        <v>63</v>
      </c>
    </row>
    <row r="3151" spans="1:58">
      <c r="A3151" s="4" t="s">
        <v>58</v>
      </c>
      <c r="B3151" s="4" t="s">
        <v>25611</v>
      </c>
      <c r="C3151" s="4" t="s">
        <v>25612</v>
      </c>
      <c r="D3151" s="4" t="s">
        <v>25503</v>
      </c>
      <c r="E3151" s="4" t="s">
        <v>63</v>
      </c>
      <c r="F3151" s="4">
        <v>2006</v>
      </c>
      <c r="G3151" s="4" t="s">
        <v>63</v>
      </c>
      <c r="H3151" s="4">
        <v>5</v>
      </c>
      <c r="I3151" s="4">
        <v>2</v>
      </c>
      <c r="J3151" s="4">
        <v>97</v>
      </c>
      <c r="K3151" s="4">
        <v>111</v>
      </c>
      <c r="L3151" s="4" t="s">
        <v>25613</v>
      </c>
      <c r="M3151" s="4" t="s">
        <v>25614</v>
      </c>
      <c r="N3151" s="4" t="s">
        <v>25615</v>
      </c>
      <c r="O3151" s="4" t="s">
        <v>63</v>
      </c>
      <c r="P3151" s="4"/>
      <c r="Q3151" s="4" t="s">
        <v>63</v>
      </c>
      <c r="R3151" s="4" t="s">
        <v>63</v>
      </c>
      <c r="S3151" s="4" t="s">
        <v>63</v>
      </c>
      <c r="T3151" s="4" t="s">
        <v>63</v>
      </c>
      <c r="U3151" s="4"/>
      <c r="V3151" s="4"/>
      <c r="W3151" s="4"/>
      <c r="X3151" s="4" t="s">
        <v>63</v>
      </c>
      <c r="Y3151" s="4" t="s">
        <v>25507</v>
      </c>
      <c r="Z3151" s="4" t="s">
        <v>63</v>
      </c>
      <c r="AA3151" s="4" t="s">
        <v>25616</v>
      </c>
      <c r="AB3151" s="4" t="s">
        <v>25617</v>
      </c>
      <c r="AC3151" s="4" t="s">
        <v>67</v>
      </c>
      <c r="AD3151" s="4" t="s">
        <v>63</v>
      </c>
      <c r="AE3151" s="4" t="s">
        <v>63</v>
      </c>
      <c r="AF3151" s="4" t="s">
        <v>63</v>
      </c>
      <c r="AG3151" s="4" t="s">
        <v>63</v>
      </c>
      <c r="AH3151" s="4" t="s">
        <v>63</v>
      </c>
      <c r="AI3151" s="4" t="s">
        <v>63</v>
      </c>
      <c r="AJ3151" s="4" t="s">
        <v>63</v>
      </c>
      <c r="AK3151" s="4" t="s">
        <v>63</v>
      </c>
      <c r="AL3151" s="4" t="s">
        <v>63</v>
      </c>
      <c r="AM3151" s="4" t="s">
        <v>25618</v>
      </c>
      <c r="AN3151" s="4" t="s">
        <v>63</v>
      </c>
      <c r="AO3151" s="4" t="s">
        <v>63</v>
      </c>
      <c r="AP3151" s="4" t="s">
        <v>63</v>
      </c>
      <c r="AQ3151" s="4" t="s">
        <v>63</v>
      </c>
      <c r="AR3151" s="4" t="s">
        <v>63</v>
      </c>
      <c r="AS3151" s="4" t="s">
        <v>63</v>
      </c>
      <c r="AT3151" s="4" t="s">
        <v>63</v>
      </c>
      <c r="AU3151" s="4" t="s">
        <v>63</v>
      </c>
      <c r="AV3151" s="4" t="s">
        <v>63</v>
      </c>
      <c r="AW3151" s="4" t="s">
        <v>63</v>
      </c>
      <c r="AX3151" s="4" t="s">
        <v>63</v>
      </c>
      <c r="AY3151" s="4" t="s">
        <v>63</v>
      </c>
      <c r="AZ3151" s="4" t="s">
        <v>63</v>
      </c>
      <c r="BA3151" s="4" t="s">
        <v>63</v>
      </c>
      <c r="BB3151" s="4" t="s">
        <v>63</v>
      </c>
      <c r="BC3151" s="4" t="s">
        <v>63</v>
      </c>
      <c r="BD3151" s="4" t="s">
        <v>63</v>
      </c>
      <c r="BE3151" s="4" t="s">
        <v>63</v>
      </c>
      <c r="BF3151" s="4" t="s">
        <v>63</v>
      </c>
    </row>
    <row r="3152" spans="1:58">
      <c r="A3152" s="4" t="s">
        <v>25174</v>
      </c>
      <c r="B3152" s="4" t="s">
        <v>25619</v>
      </c>
      <c r="C3152" s="4" t="s">
        <v>25620</v>
      </c>
      <c r="D3152" s="4" t="s">
        <v>63</v>
      </c>
      <c r="E3152" s="4" t="s">
        <v>63</v>
      </c>
      <c r="F3152" s="4">
        <v>1991</v>
      </c>
      <c r="G3152" s="4" t="s">
        <v>63</v>
      </c>
      <c r="H3152" s="4" t="s">
        <v>63</v>
      </c>
      <c r="I3152" s="4" t="s">
        <v>63</v>
      </c>
      <c r="J3152" s="4">
        <v>38</v>
      </c>
      <c r="K3152" s="4" t="s">
        <v>63</v>
      </c>
      <c r="L3152" s="4" t="s">
        <v>25621</v>
      </c>
      <c r="M3152" s="4" t="s">
        <v>25622</v>
      </c>
      <c r="N3152" s="4" t="s">
        <v>25623</v>
      </c>
      <c r="O3152" s="4" t="s">
        <v>63</v>
      </c>
      <c r="P3152" s="4"/>
      <c r="Q3152" s="4" t="s">
        <v>63</v>
      </c>
      <c r="R3152" s="4" t="s">
        <v>63</v>
      </c>
      <c r="S3152" s="4" t="s">
        <v>25624</v>
      </c>
      <c r="T3152" s="4" t="s">
        <v>63</v>
      </c>
      <c r="U3152" s="4"/>
      <c r="V3152" s="4"/>
      <c r="W3152" s="4"/>
      <c r="X3152" s="4" t="s">
        <v>63</v>
      </c>
      <c r="Y3152" s="4" t="s">
        <v>63</v>
      </c>
      <c r="Z3152" s="4" t="s">
        <v>63</v>
      </c>
      <c r="AA3152" s="4" t="s">
        <v>63</v>
      </c>
      <c r="AB3152" s="4" t="s">
        <v>25625</v>
      </c>
      <c r="AC3152" s="4" t="s">
        <v>67</v>
      </c>
      <c r="AD3152" s="4" t="s">
        <v>63</v>
      </c>
      <c r="AE3152" s="4" t="s">
        <v>63</v>
      </c>
      <c r="AF3152" s="4" t="s">
        <v>63</v>
      </c>
      <c r="AG3152" s="4" t="s">
        <v>63</v>
      </c>
      <c r="AH3152" s="4" t="s">
        <v>63</v>
      </c>
      <c r="AI3152" s="4" t="s">
        <v>63</v>
      </c>
      <c r="AJ3152" s="4" t="s">
        <v>63</v>
      </c>
      <c r="AK3152" s="4" t="s">
        <v>63</v>
      </c>
      <c r="AL3152" s="4" t="s">
        <v>63</v>
      </c>
      <c r="AM3152" s="4" t="s">
        <v>25626</v>
      </c>
      <c r="AN3152" s="4" t="s">
        <v>63</v>
      </c>
      <c r="AO3152" s="4" t="s">
        <v>63</v>
      </c>
      <c r="AP3152" s="4" t="s">
        <v>63</v>
      </c>
      <c r="AQ3152" s="4" t="s">
        <v>63</v>
      </c>
      <c r="AR3152" s="4" t="s">
        <v>63</v>
      </c>
      <c r="AS3152" s="4" t="s">
        <v>63</v>
      </c>
      <c r="AT3152" s="4" t="s">
        <v>63</v>
      </c>
      <c r="AU3152" s="4" t="s">
        <v>63</v>
      </c>
      <c r="AV3152" s="4" t="s">
        <v>63</v>
      </c>
      <c r="AW3152" s="4" t="s">
        <v>63</v>
      </c>
      <c r="AX3152" s="4" t="s">
        <v>63</v>
      </c>
      <c r="AY3152" s="4" t="s">
        <v>63</v>
      </c>
      <c r="AZ3152" s="4" t="s">
        <v>63</v>
      </c>
      <c r="BA3152" s="4" t="s">
        <v>63</v>
      </c>
      <c r="BB3152" s="4" t="s">
        <v>63</v>
      </c>
      <c r="BC3152" s="4" t="s">
        <v>63</v>
      </c>
      <c r="BD3152" s="4" t="s">
        <v>63</v>
      </c>
      <c r="BE3152" s="4" t="s">
        <v>63</v>
      </c>
      <c r="BF3152" s="4" t="s">
        <v>63</v>
      </c>
    </row>
    <row r="3153" spans="1:58">
      <c r="A3153" s="4" t="s">
        <v>25174</v>
      </c>
      <c r="B3153" s="4" t="s">
        <v>25627</v>
      </c>
      <c r="C3153" s="4" t="s">
        <v>25628</v>
      </c>
      <c r="D3153" s="4" t="s">
        <v>63</v>
      </c>
      <c r="E3153" s="4" t="s">
        <v>63</v>
      </c>
      <c r="F3153" s="4">
        <v>1984</v>
      </c>
      <c r="G3153" s="4" t="s">
        <v>63</v>
      </c>
      <c r="H3153" s="4" t="s">
        <v>63</v>
      </c>
      <c r="I3153" s="4" t="s">
        <v>63</v>
      </c>
      <c r="J3153" s="4">
        <v>355</v>
      </c>
      <c r="K3153" s="4" t="s">
        <v>63</v>
      </c>
      <c r="L3153" s="4" t="s">
        <v>25629</v>
      </c>
      <c r="M3153" s="4" t="s">
        <v>25630</v>
      </c>
      <c r="N3153" s="4" t="s">
        <v>25631</v>
      </c>
      <c r="O3153" s="4" t="s">
        <v>63</v>
      </c>
      <c r="P3153" s="4"/>
      <c r="Q3153" s="4" t="s">
        <v>63</v>
      </c>
      <c r="R3153" s="4" t="s">
        <v>63</v>
      </c>
      <c r="S3153" s="4" t="s">
        <v>25309</v>
      </c>
      <c r="T3153" s="4" t="s">
        <v>25632</v>
      </c>
      <c r="U3153" s="4"/>
      <c r="V3153" s="4"/>
      <c r="W3153" s="4"/>
      <c r="X3153" s="4" t="s">
        <v>63</v>
      </c>
      <c r="Y3153" s="4" t="s">
        <v>63</v>
      </c>
      <c r="Z3153" s="4" t="s">
        <v>63</v>
      </c>
      <c r="AA3153" s="4" t="s">
        <v>63</v>
      </c>
      <c r="AB3153" s="4" t="s">
        <v>25633</v>
      </c>
      <c r="AC3153" s="4" t="s">
        <v>67</v>
      </c>
      <c r="AD3153" s="4" t="s">
        <v>63</v>
      </c>
      <c r="AE3153" s="4" t="s">
        <v>63</v>
      </c>
      <c r="AF3153" s="4" t="s">
        <v>63</v>
      </c>
      <c r="AG3153" s="4" t="s">
        <v>63</v>
      </c>
      <c r="AH3153" s="4" t="s">
        <v>63</v>
      </c>
      <c r="AI3153" s="4" t="s">
        <v>63</v>
      </c>
      <c r="AJ3153" s="4" t="s">
        <v>63</v>
      </c>
      <c r="AK3153" s="4" t="s">
        <v>63</v>
      </c>
      <c r="AL3153" s="4" t="s">
        <v>63</v>
      </c>
      <c r="AM3153" s="4" t="s">
        <v>25634</v>
      </c>
      <c r="AN3153" s="4" t="s">
        <v>63</v>
      </c>
      <c r="AO3153" s="4" t="s">
        <v>63</v>
      </c>
      <c r="AP3153" s="4" t="s">
        <v>63</v>
      </c>
      <c r="AQ3153" s="4" t="s">
        <v>63</v>
      </c>
      <c r="AR3153" s="4" t="s">
        <v>63</v>
      </c>
      <c r="AS3153" s="4" t="s">
        <v>63</v>
      </c>
      <c r="AT3153" s="4" t="s">
        <v>63</v>
      </c>
      <c r="AU3153" s="4" t="s">
        <v>63</v>
      </c>
      <c r="AV3153" s="4" t="s">
        <v>63</v>
      </c>
      <c r="AW3153" s="4" t="s">
        <v>63</v>
      </c>
      <c r="AX3153" s="4" t="s">
        <v>63</v>
      </c>
      <c r="AY3153" s="4" t="s">
        <v>63</v>
      </c>
      <c r="AZ3153" s="4" t="s">
        <v>63</v>
      </c>
      <c r="BA3153" s="4" t="s">
        <v>63</v>
      </c>
      <c r="BB3153" s="4" t="s">
        <v>63</v>
      </c>
      <c r="BC3153" s="4" t="s">
        <v>63</v>
      </c>
      <c r="BD3153" s="4" t="s">
        <v>63</v>
      </c>
      <c r="BE3153" s="4" t="s">
        <v>63</v>
      </c>
      <c r="BF3153" s="4" t="s">
        <v>63</v>
      </c>
    </row>
    <row r="3154" spans="1:58">
      <c r="A3154" s="4" t="s">
        <v>25174</v>
      </c>
      <c r="B3154" s="4" t="s">
        <v>25635</v>
      </c>
      <c r="C3154" s="4" t="s">
        <v>25636</v>
      </c>
      <c r="D3154" s="4" t="s">
        <v>63</v>
      </c>
      <c r="E3154" s="4" t="s">
        <v>63</v>
      </c>
      <c r="F3154" s="4">
        <v>1992</v>
      </c>
      <c r="G3154" s="5">
        <v>35155</v>
      </c>
      <c r="H3154" s="4" t="s">
        <v>63</v>
      </c>
      <c r="I3154" s="4" t="s">
        <v>63</v>
      </c>
      <c r="J3154" s="4">
        <v>85</v>
      </c>
      <c r="K3154" s="4" t="s">
        <v>63</v>
      </c>
      <c r="L3154" s="4" t="s">
        <v>25637</v>
      </c>
      <c r="M3154" s="4" t="s">
        <v>25638</v>
      </c>
      <c r="N3154" s="4" t="s">
        <v>25639</v>
      </c>
      <c r="O3154" s="4" t="s">
        <v>63</v>
      </c>
      <c r="P3154" s="4"/>
      <c r="Q3154" s="4" t="s">
        <v>63</v>
      </c>
      <c r="R3154" s="4" t="s">
        <v>63</v>
      </c>
      <c r="S3154" s="4" t="s">
        <v>63</v>
      </c>
      <c r="T3154" s="4" t="s">
        <v>63</v>
      </c>
      <c r="U3154" s="4"/>
      <c r="V3154" s="4"/>
      <c r="W3154" s="4"/>
      <c r="X3154" s="4" t="s">
        <v>63</v>
      </c>
      <c r="Y3154" s="4" t="s">
        <v>63</v>
      </c>
      <c r="Z3154" s="4" t="s">
        <v>63</v>
      </c>
      <c r="AA3154" s="4" t="s">
        <v>63</v>
      </c>
      <c r="AB3154" s="4" t="s">
        <v>25640</v>
      </c>
      <c r="AC3154" s="4" t="s">
        <v>67</v>
      </c>
      <c r="AD3154" s="4" t="s">
        <v>63</v>
      </c>
      <c r="AE3154" s="4" t="s">
        <v>63</v>
      </c>
      <c r="AF3154" s="4" t="s">
        <v>63</v>
      </c>
      <c r="AG3154" s="4" t="s">
        <v>63</v>
      </c>
      <c r="AH3154" s="4" t="s">
        <v>63</v>
      </c>
      <c r="AI3154" s="4" t="s">
        <v>63</v>
      </c>
      <c r="AJ3154" s="4" t="s">
        <v>63</v>
      </c>
      <c r="AK3154" s="4" t="s">
        <v>63</v>
      </c>
      <c r="AL3154" s="4" t="s">
        <v>63</v>
      </c>
      <c r="AM3154" s="4" t="s">
        <v>25641</v>
      </c>
      <c r="AN3154" s="4" t="s">
        <v>63</v>
      </c>
      <c r="AO3154" s="4" t="s">
        <v>63</v>
      </c>
      <c r="AP3154" s="4" t="s">
        <v>63</v>
      </c>
      <c r="AQ3154" s="4" t="s">
        <v>63</v>
      </c>
      <c r="AR3154" s="4" t="s">
        <v>63</v>
      </c>
      <c r="AS3154" s="4" t="s">
        <v>63</v>
      </c>
      <c r="AT3154" s="4" t="s">
        <v>63</v>
      </c>
      <c r="AU3154" s="4" t="s">
        <v>63</v>
      </c>
      <c r="AV3154" s="4" t="s">
        <v>63</v>
      </c>
      <c r="AW3154" s="4" t="s">
        <v>63</v>
      </c>
      <c r="AX3154" s="4" t="s">
        <v>63</v>
      </c>
      <c r="AY3154" s="4" t="s">
        <v>63</v>
      </c>
      <c r="AZ3154" s="4" t="s">
        <v>63</v>
      </c>
      <c r="BA3154" s="4" t="s">
        <v>63</v>
      </c>
      <c r="BB3154" s="4" t="s">
        <v>63</v>
      </c>
      <c r="BC3154" s="4" t="s">
        <v>63</v>
      </c>
      <c r="BD3154" s="4" t="s">
        <v>63</v>
      </c>
      <c r="BE3154" s="4" t="s">
        <v>63</v>
      </c>
      <c r="BF3154" s="4" t="s">
        <v>63</v>
      </c>
    </row>
    <row r="3155" spans="1:58">
      <c r="A3155" s="4" t="s">
        <v>58</v>
      </c>
      <c r="B3155" s="4" t="s">
        <v>25642</v>
      </c>
      <c r="C3155" s="4" t="s">
        <v>25643</v>
      </c>
      <c r="D3155" s="4" t="s">
        <v>763</v>
      </c>
      <c r="E3155" s="4" t="s">
        <v>63</v>
      </c>
      <c r="F3155" s="4">
        <v>1991</v>
      </c>
      <c r="G3155" s="4" t="s">
        <v>274</v>
      </c>
      <c r="H3155" s="4">
        <v>66</v>
      </c>
      <c r="I3155" s="4">
        <v>3</v>
      </c>
      <c r="J3155" s="4">
        <v>164</v>
      </c>
      <c r="K3155" s="4">
        <v>166</v>
      </c>
      <c r="L3155" s="4" t="s">
        <v>25644</v>
      </c>
      <c r="M3155" s="4" t="s">
        <v>25645</v>
      </c>
      <c r="N3155" s="4" t="s">
        <v>25646</v>
      </c>
      <c r="O3155" s="4" t="s">
        <v>63</v>
      </c>
      <c r="P3155" s="4"/>
      <c r="Q3155" s="4" t="s">
        <v>63</v>
      </c>
      <c r="R3155" s="4" t="s">
        <v>63</v>
      </c>
      <c r="S3155" s="4" t="s">
        <v>63</v>
      </c>
      <c r="T3155" s="4" t="s">
        <v>63</v>
      </c>
      <c r="U3155" s="4"/>
      <c r="V3155" s="4"/>
      <c r="W3155" s="4"/>
      <c r="X3155" s="4" t="s">
        <v>63</v>
      </c>
      <c r="Y3155" s="4" t="s">
        <v>858</v>
      </c>
      <c r="Z3155" s="4" t="s">
        <v>63</v>
      </c>
      <c r="AA3155" s="4" t="s">
        <v>63</v>
      </c>
      <c r="AB3155" s="4" t="s">
        <v>25647</v>
      </c>
      <c r="AC3155" s="4" t="s">
        <v>67</v>
      </c>
      <c r="AD3155" s="4" t="s">
        <v>63</v>
      </c>
      <c r="AE3155" s="4" t="s">
        <v>63</v>
      </c>
      <c r="AF3155" s="4" t="s">
        <v>63</v>
      </c>
      <c r="AG3155" s="4" t="s">
        <v>63</v>
      </c>
      <c r="AH3155" s="4" t="s">
        <v>63</v>
      </c>
      <c r="AI3155" s="4" t="s">
        <v>63</v>
      </c>
      <c r="AJ3155" s="4" t="s">
        <v>63</v>
      </c>
      <c r="AK3155" s="4" t="s">
        <v>63</v>
      </c>
      <c r="AL3155" s="4" t="s">
        <v>63</v>
      </c>
      <c r="AM3155" s="4" t="s">
        <v>25648</v>
      </c>
      <c r="AN3155" s="4" t="s">
        <v>63</v>
      </c>
      <c r="AO3155" s="4" t="s">
        <v>63</v>
      </c>
      <c r="AP3155" s="4" t="s">
        <v>63</v>
      </c>
      <c r="AQ3155" s="4" t="s">
        <v>63</v>
      </c>
      <c r="AR3155" s="4" t="s">
        <v>63</v>
      </c>
      <c r="AS3155" s="4" t="s">
        <v>63</v>
      </c>
      <c r="AT3155" s="4" t="s">
        <v>63</v>
      </c>
      <c r="AU3155" s="4" t="s">
        <v>63</v>
      </c>
      <c r="AV3155" s="4" t="s">
        <v>63</v>
      </c>
      <c r="AW3155" s="4" t="s">
        <v>63</v>
      </c>
      <c r="AX3155" s="4" t="s">
        <v>63</v>
      </c>
      <c r="AY3155" s="4" t="s">
        <v>63</v>
      </c>
      <c r="AZ3155" s="4" t="s">
        <v>63</v>
      </c>
      <c r="BA3155" s="4" t="s">
        <v>63</v>
      </c>
      <c r="BB3155" s="4" t="s">
        <v>63</v>
      </c>
      <c r="BC3155" s="4" t="s">
        <v>63</v>
      </c>
      <c r="BD3155" s="4" t="s">
        <v>63</v>
      </c>
      <c r="BE3155" s="4" t="s">
        <v>63</v>
      </c>
      <c r="BF3155" s="4" t="s">
        <v>63</v>
      </c>
    </row>
    <row r="3156" spans="1:58">
      <c r="A3156" s="4" t="s">
        <v>25174</v>
      </c>
      <c r="B3156" s="4" t="s">
        <v>25649</v>
      </c>
      <c r="C3156" s="4" t="s">
        <v>25650</v>
      </c>
      <c r="D3156" s="4" t="s">
        <v>63</v>
      </c>
      <c r="E3156" s="4" t="s">
        <v>63</v>
      </c>
      <c r="F3156" s="4">
        <v>1981</v>
      </c>
      <c r="G3156" s="4" t="s">
        <v>63</v>
      </c>
      <c r="H3156" s="4" t="s">
        <v>63</v>
      </c>
      <c r="I3156" s="4" t="s">
        <v>63</v>
      </c>
      <c r="J3156" s="4">
        <v>105</v>
      </c>
      <c r="K3156" s="4" t="s">
        <v>63</v>
      </c>
      <c r="L3156" s="4" t="s">
        <v>25651</v>
      </c>
      <c r="M3156" s="4" t="s">
        <v>25652</v>
      </c>
      <c r="N3156" s="4" t="s">
        <v>25653</v>
      </c>
      <c r="O3156" s="4" t="s">
        <v>63</v>
      </c>
      <c r="P3156" s="4"/>
      <c r="Q3156" s="4" t="s">
        <v>63</v>
      </c>
      <c r="R3156" s="4" t="s">
        <v>63</v>
      </c>
      <c r="S3156" s="4" t="s">
        <v>63</v>
      </c>
      <c r="T3156" s="4" t="s">
        <v>25654</v>
      </c>
      <c r="U3156" s="4"/>
      <c r="V3156" s="4"/>
      <c r="W3156" s="4"/>
      <c r="X3156" s="4" t="s">
        <v>63</v>
      </c>
      <c r="Y3156" s="4" t="s">
        <v>63</v>
      </c>
      <c r="Z3156" s="4" t="s">
        <v>63</v>
      </c>
      <c r="AA3156" s="4" t="s">
        <v>63</v>
      </c>
      <c r="AB3156" s="4" t="s">
        <v>25655</v>
      </c>
      <c r="AC3156" s="4" t="s">
        <v>67</v>
      </c>
      <c r="AD3156" s="4" t="s">
        <v>63</v>
      </c>
      <c r="AE3156" s="4" t="s">
        <v>63</v>
      </c>
      <c r="AF3156" s="4" t="s">
        <v>63</v>
      </c>
      <c r="AG3156" s="4" t="s">
        <v>63</v>
      </c>
      <c r="AH3156" s="4" t="s">
        <v>63</v>
      </c>
      <c r="AI3156" s="4" t="s">
        <v>63</v>
      </c>
      <c r="AJ3156" s="4" t="s">
        <v>63</v>
      </c>
      <c r="AK3156" s="4" t="s">
        <v>63</v>
      </c>
      <c r="AL3156" s="4" t="s">
        <v>63</v>
      </c>
      <c r="AM3156" s="4" t="s">
        <v>25656</v>
      </c>
      <c r="AN3156" s="4" t="s">
        <v>63</v>
      </c>
      <c r="AO3156" s="4" t="s">
        <v>63</v>
      </c>
      <c r="AP3156" s="4" t="s">
        <v>63</v>
      </c>
      <c r="AQ3156" s="4" t="s">
        <v>63</v>
      </c>
      <c r="AR3156" s="4" t="s">
        <v>63</v>
      </c>
      <c r="AS3156" s="4" t="s">
        <v>63</v>
      </c>
      <c r="AT3156" s="4" t="s">
        <v>63</v>
      </c>
      <c r="AU3156" s="4" t="s">
        <v>63</v>
      </c>
      <c r="AV3156" s="4" t="s">
        <v>63</v>
      </c>
      <c r="AW3156" s="4" t="s">
        <v>63</v>
      </c>
      <c r="AX3156" s="4" t="s">
        <v>63</v>
      </c>
      <c r="AY3156" s="4" t="s">
        <v>63</v>
      </c>
      <c r="AZ3156" s="4" t="s">
        <v>63</v>
      </c>
      <c r="BA3156" s="4" t="s">
        <v>63</v>
      </c>
      <c r="BB3156" s="4" t="s">
        <v>63</v>
      </c>
      <c r="BC3156" s="4" t="s">
        <v>63</v>
      </c>
      <c r="BD3156" s="4" t="s">
        <v>63</v>
      </c>
      <c r="BE3156" s="4" t="s">
        <v>63</v>
      </c>
      <c r="BF3156" s="4" t="s">
        <v>63</v>
      </c>
    </row>
    <row r="3157" spans="1:58">
      <c r="A3157" s="4" t="s">
        <v>25174</v>
      </c>
      <c r="B3157" s="4" t="s">
        <v>25657</v>
      </c>
      <c r="C3157" s="4" t="s">
        <v>25658</v>
      </c>
      <c r="D3157" s="4" t="s">
        <v>63</v>
      </c>
      <c r="E3157" s="4" t="s">
        <v>63</v>
      </c>
      <c r="F3157" s="4">
        <v>1982</v>
      </c>
      <c r="G3157" s="6">
        <v>41920</v>
      </c>
      <c r="H3157" s="4" t="s">
        <v>63</v>
      </c>
      <c r="I3157" s="4" t="s">
        <v>63</v>
      </c>
      <c r="J3157" s="4">
        <v>41</v>
      </c>
      <c r="K3157" s="4" t="s">
        <v>63</v>
      </c>
      <c r="L3157" s="4" t="s">
        <v>25659</v>
      </c>
      <c r="M3157" s="4" t="s">
        <v>25660</v>
      </c>
      <c r="N3157" s="4" t="s">
        <v>25661</v>
      </c>
      <c r="O3157" s="4" t="s">
        <v>63</v>
      </c>
      <c r="P3157" s="4"/>
      <c r="Q3157" s="4" t="s">
        <v>63</v>
      </c>
      <c r="R3157" s="4" t="s">
        <v>63</v>
      </c>
      <c r="S3157" s="4" t="s">
        <v>63</v>
      </c>
      <c r="T3157" s="4" t="s">
        <v>63</v>
      </c>
      <c r="U3157" s="4"/>
      <c r="V3157" s="4"/>
      <c r="W3157" s="4"/>
      <c r="X3157" s="4" t="s">
        <v>63</v>
      </c>
      <c r="Y3157" s="4" t="s">
        <v>63</v>
      </c>
      <c r="Z3157" s="4" t="s">
        <v>63</v>
      </c>
      <c r="AA3157" s="4" t="s">
        <v>63</v>
      </c>
      <c r="AB3157" s="4" t="s">
        <v>25662</v>
      </c>
      <c r="AC3157" s="4" t="s">
        <v>67</v>
      </c>
      <c r="AD3157" s="4" t="s">
        <v>63</v>
      </c>
      <c r="AE3157" s="4" t="s">
        <v>63</v>
      </c>
      <c r="AF3157" s="4" t="s">
        <v>63</v>
      </c>
      <c r="AG3157" s="4" t="s">
        <v>63</v>
      </c>
      <c r="AH3157" s="4" t="s">
        <v>63</v>
      </c>
      <c r="AI3157" s="4" t="s">
        <v>63</v>
      </c>
      <c r="AJ3157" s="4" t="s">
        <v>63</v>
      </c>
      <c r="AK3157" s="4" t="s">
        <v>63</v>
      </c>
      <c r="AL3157" s="4" t="s">
        <v>63</v>
      </c>
      <c r="AM3157" s="4" t="s">
        <v>25663</v>
      </c>
      <c r="AN3157" s="4" t="s">
        <v>63</v>
      </c>
      <c r="AO3157" s="4" t="s">
        <v>63</v>
      </c>
      <c r="AP3157" s="4" t="s">
        <v>63</v>
      </c>
      <c r="AQ3157" s="4" t="s">
        <v>63</v>
      </c>
      <c r="AR3157" s="4" t="s">
        <v>63</v>
      </c>
      <c r="AS3157" s="4" t="s">
        <v>63</v>
      </c>
      <c r="AT3157" s="4" t="s">
        <v>63</v>
      </c>
      <c r="AU3157" s="4" t="s">
        <v>63</v>
      </c>
      <c r="AV3157" s="4" t="s">
        <v>63</v>
      </c>
      <c r="AW3157" s="4" t="s">
        <v>63</v>
      </c>
      <c r="AX3157" s="4" t="s">
        <v>63</v>
      </c>
      <c r="AY3157" s="4" t="s">
        <v>63</v>
      </c>
      <c r="AZ3157" s="4" t="s">
        <v>63</v>
      </c>
      <c r="BA3157" s="4" t="s">
        <v>63</v>
      </c>
      <c r="BB3157" s="4" t="s">
        <v>63</v>
      </c>
      <c r="BC3157" s="4" t="s">
        <v>63</v>
      </c>
      <c r="BD3157" s="4" t="s">
        <v>63</v>
      </c>
      <c r="BE3157" s="4" t="s">
        <v>63</v>
      </c>
      <c r="BF3157" s="4" t="s">
        <v>63</v>
      </c>
    </row>
    <row r="3158" spans="1:58">
      <c r="A3158" s="4" t="s">
        <v>58</v>
      </c>
      <c r="B3158" s="4" t="s">
        <v>25664</v>
      </c>
      <c r="C3158" s="4" t="s">
        <v>25665</v>
      </c>
      <c r="D3158" s="4" t="s">
        <v>25503</v>
      </c>
      <c r="E3158" s="4" t="s">
        <v>63</v>
      </c>
      <c r="F3158" s="4">
        <v>2003</v>
      </c>
      <c r="G3158" s="4" t="s">
        <v>63</v>
      </c>
      <c r="H3158" s="4">
        <v>2</v>
      </c>
      <c r="I3158" s="4">
        <v>2</v>
      </c>
      <c r="J3158" s="4">
        <v>1</v>
      </c>
      <c r="K3158" s="4">
        <v>15</v>
      </c>
      <c r="L3158" s="4" t="s">
        <v>25666</v>
      </c>
      <c r="M3158" s="4" t="s">
        <v>25667</v>
      </c>
      <c r="N3158" s="4" t="s">
        <v>25668</v>
      </c>
      <c r="O3158" s="4" t="s">
        <v>63</v>
      </c>
      <c r="P3158" s="4"/>
      <c r="Q3158" s="4" t="s">
        <v>63</v>
      </c>
      <c r="R3158" s="4" t="s">
        <v>63</v>
      </c>
      <c r="S3158" s="4" t="s">
        <v>63</v>
      </c>
      <c r="T3158" s="4" t="s">
        <v>63</v>
      </c>
      <c r="U3158" s="4"/>
      <c r="V3158" s="4"/>
      <c r="W3158" s="4"/>
      <c r="X3158" s="4" t="s">
        <v>63</v>
      </c>
      <c r="Y3158" s="4" t="s">
        <v>25507</v>
      </c>
      <c r="Z3158" s="4" t="s">
        <v>63</v>
      </c>
      <c r="AA3158" s="4" t="s">
        <v>25669</v>
      </c>
      <c r="AB3158" s="4" t="s">
        <v>25670</v>
      </c>
      <c r="AC3158" s="4" t="s">
        <v>67</v>
      </c>
      <c r="AD3158" s="4" t="s">
        <v>63</v>
      </c>
      <c r="AE3158" s="4" t="s">
        <v>63</v>
      </c>
      <c r="AF3158" s="4" t="s">
        <v>63</v>
      </c>
      <c r="AG3158" s="4" t="s">
        <v>63</v>
      </c>
      <c r="AH3158" s="4" t="s">
        <v>63</v>
      </c>
      <c r="AI3158" s="4" t="s">
        <v>63</v>
      </c>
      <c r="AJ3158" s="4" t="s">
        <v>63</v>
      </c>
      <c r="AK3158" s="4" t="s">
        <v>63</v>
      </c>
      <c r="AL3158" s="4" t="s">
        <v>63</v>
      </c>
      <c r="AM3158" s="4" t="s">
        <v>25671</v>
      </c>
      <c r="AN3158" s="4" t="s">
        <v>63</v>
      </c>
      <c r="AO3158" s="4" t="s">
        <v>63</v>
      </c>
      <c r="AP3158" s="4" t="s">
        <v>63</v>
      </c>
      <c r="AQ3158" s="4" t="s">
        <v>63</v>
      </c>
      <c r="AR3158" s="4" t="s">
        <v>63</v>
      </c>
      <c r="AS3158" s="4" t="s">
        <v>63</v>
      </c>
      <c r="AT3158" s="4" t="s">
        <v>63</v>
      </c>
      <c r="AU3158" s="4" t="s">
        <v>63</v>
      </c>
      <c r="AV3158" s="4" t="s">
        <v>63</v>
      </c>
      <c r="AW3158" s="4" t="s">
        <v>63</v>
      </c>
      <c r="AX3158" s="4" t="s">
        <v>63</v>
      </c>
      <c r="AY3158" s="4" t="s">
        <v>63</v>
      </c>
      <c r="AZ3158" s="4" t="s">
        <v>63</v>
      </c>
      <c r="BA3158" s="4" t="s">
        <v>63</v>
      </c>
      <c r="BB3158" s="4" t="s">
        <v>63</v>
      </c>
      <c r="BC3158" s="4" t="s">
        <v>63</v>
      </c>
      <c r="BD3158" s="4" t="s">
        <v>63</v>
      </c>
      <c r="BE3158" s="4" t="s">
        <v>63</v>
      </c>
      <c r="BF3158" s="4" t="s">
        <v>63</v>
      </c>
    </row>
    <row r="3159" spans="1:58">
      <c r="A3159" s="4" t="s">
        <v>25174</v>
      </c>
      <c r="B3159" s="4" t="s">
        <v>25672</v>
      </c>
      <c r="C3159" s="4" t="s">
        <v>25673</v>
      </c>
      <c r="D3159" s="4" t="s">
        <v>63</v>
      </c>
      <c r="E3159" s="4" t="s">
        <v>63</v>
      </c>
      <c r="F3159" s="4">
        <v>1970</v>
      </c>
      <c r="G3159" s="4" t="s">
        <v>63</v>
      </c>
      <c r="H3159" s="4" t="s">
        <v>63</v>
      </c>
      <c r="I3159" s="4" t="s">
        <v>63</v>
      </c>
      <c r="J3159" s="4">
        <v>10</v>
      </c>
      <c r="K3159" s="4" t="s">
        <v>63</v>
      </c>
      <c r="L3159" s="4" t="s">
        <v>25674</v>
      </c>
      <c r="M3159" s="4" t="s">
        <v>25675</v>
      </c>
      <c r="N3159" s="4" t="s">
        <v>25676</v>
      </c>
      <c r="O3159" s="4" t="s">
        <v>63</v>
      </c>
      <c r="P3159" s="4"/>
      <c r="Q3159" s="4" t="s">
        <v>63</v>
      </c>
      <c r="R3159" s="4" t="s">
        <v>63</v>
      </c>
      <c r="S3159" s="4" t="s">
        <v>63</v>
      </c>
      <c r="T3159" s="4" t="s">
        <v>63</v>
      </c>
      <c r="U3159" s="4"/>
      <c r="V3159" s="4"/>
      <c r="W3159" s="4"/>
      <c r="X3159" s="4" t="s">
        <v>63</v>
      </c>
      <c r="Y3159" s="4" t="s">
        <v>63</v>
      </c>
      <c r="Z3159" s="4" t="s">
        <v>63</v>
      </c>
      <c r="AA3159" s="4" t="s">
        <v>63</v>
      </c>
      <c r="AB3159" s="4" t="s">
        <v>25677</v>
      </c>
      <c r="AC3159" s="4" t="s">
        <v>25383</v>
      </c>
      <c r="AD3159" s="4" t="s">
        <v>63</v>
      </c>
      <c r="AE3159" s="4" t="s">
        <v>63</v>
      </c>
      <c r="AF3159" s="4" t="s">
        <v>63</v>
      </c>
      <c r="AG3159" s="4" t="s">
        <v>63</v>
      </c>
      <c r="AH3159" s="4" t="s">
        <v>63</v>
      </c>
      <c r="AI3159" s="4" t="s">
        <v>63</v>
      </c>
      <c r="AJ3159" s="4" t="s">
        <v>63</v>
      </c>
      <c r="AK3159" s="4" t="s">
        <v>63</v>
      </c>
      <c r="AL3159" s="4" t="s">
        <v>63</v>
      </c>
      <c r="AM3159" s="4" t="s">
        <v>25678</v>
      </c>
      <c r="AN3159" s="4" t="s">
        <v>63</v>
      </c>
      <c r="AO3159" s="4" t="s">
        <v>63</v>
      </c>
      <c r="AP3159" s="4" t="s">
        <v>63</v>
      </c>
      <c r="AQ3159" s="4" t="s">
        <v>63</v>
      </c>
      <c r="AR3159" s="4" t="s">
        <v>63</v>
      </c>
      <c r="AS3159" s="4" t="s">
        <v>63</v>
      </c>
      <c r="AT3159" s="4" t="s">
        <v>63</v>
      </c>
      <c r="AU3159" s="4" t="s">
        <v>63</v>
      </c>
      <c r="AV3159" s="4" t="s">
        <v>63</v>
      </c>
      <c r="AW3159" s="4" t="s">
        <v>63</v>
      </c>
      <c r="AX3159" s="4" t="s">
        <v>63</v>
      </c>
      <c r="AY3159" s="4" t="s">
        <v>63</v>
      </c>
      <c r="AZ3159" s="4" t="s">
        <v>63</v>
      </c>
      <c r="BA3159" s="4" t="s">
        <v>63</v>
      </c>
      <c r="BB3159" s="4" t="s">
        <v>63</v>
      </c>
      <c r="BC3159" s="4" t="s">
        <v>63</v>
      </c>
      <c r="BD3159" s="4" t="s">
        <v>63</v>
      </c>
      <c r="BE3159" s="4" t="s">
        <v>63</v>
      </c>
      <c r="BF3159" s="4" t="s">
        <v>63</v>
      </c>
    </row>
    <row r="3160" spans="1:58">
      <c r="A3160" s="4" t="s">
        <v>58</v>
      </c>
      <c r="B3160" s="4" t="s">
        <v>25679</v>
      </c>
      <c r="C3160" s="4" t="s">
        <v>25680</v>
      </c>
      <c r="D3160" s="4" t="s">
        <v>389</v>
      </c>
      <c r="E3160" s="4" t="s">
        <v>63</v>
      </c>
      <c r="F3160" s="4">
        <v>2009</v>
      </c>
      <c r="G3160" s="4" t="s">
        <v>63</v>
      </c>
      <c r="H3160" s="4">
        <v>30</v>
      </c>
      <c r="I3160" s="4">
        <v>1</v>
      </c>
      <c r="J3160" s="4">
        <v>61</v>
      </c>
      <c r="K3160" s="4">
        <v>68</v>
      </c>
      <c r="L3160" s="4" t="s">
        <v>25681</v>
      </c>
      <c r="M3160" s="4" t="s">
        <v>25682</v>
      </c>
      <c r="N3160" s="4" t="s">
        <v>25683</v>
      </c>
      <c r="O3160" s="4" t="s">
        <v>63</v>
      </c>
      <c r="P3160" s="4"/>
      <c r="Q3160" s="4" t="s">
        <v>63</v>
      </c>
      <c r="R3160" s="4" t="s">
        <v>63</v>
      </c>
      <c r="S3160" s="4" t="s">
        <v>63</v>
      </c>
      <c r="T3160" s="4" t="s">
        <v>63</v>
      </c>
      <c r="U3160" s="4"/>
      <c r="V3160" s="4"/>
      <c r="W3160" s="4"/>
      <c r="X3160" s="4" t="s">
        <v>63</v>
      </c>
      <c r="Y3160" s="4" t="s">
        <v>392</v>
      </c>
      <c r="Z3160" s="4" t="s">
        <v>63</v>
      </c>
      <c r="AA3160" s="4" t="s">
        <v>25684</v>
      </c>
      <c r="AB3160" s="4" t="s">
        <v>25685</v>
      </c>
      <c r="AC3160" s="4" t="s">
        <v>67</v>
      </c>
      <c r="AD3160" s="4" t="s">
        <v>63</v>
      </c>
      <c r="AE3160" s="4" t="s">
        <v>63</v>
      </c>
      <c r="AF3160" s="4" t="s">
        <v>63</v>
      </c>
      <c r="AG3160" s="4" t="s">
        <v>63</v>
      </c>
      <c r="AH3160" s="4" t="s">
        <v>63</v>
      </c>
      <c r="AI3160" s="4" t="s">
        <v>63</v>
      </c>
      <c r="AJ3160" s="4" t="s">
        <v>63</v>
      </c>
      <c r="AK3160" s="4" t="s">
        <v>63</v>
      </c>
      <c r="AL3160" s="4" t="s">
        <v>63</v>
      </c>
      <c r="AM3160" s="4" t="s">
        <v>25686</v>
      </c>
      <c r="AN3160" s="4" t="s">
        <v>63</v>
      </c>
      <c r="AO3160" s="4" t="s">
        <v>63</v>
      </c>
      <c r="AP3160" s="4" t="s">
        <v>63</v>
      </c>
      <c r="AQ3160" s="4" t="s">
        <v>63</v>
      </c>
      <c r="AR3160" s="4" t="s">
        <v>63</v>
      </c>
      <c r="AS3160" s="4" t="s">
        <v>63</v>
      </c>
      <c r="AT3160" s="4" t="s">
        <v>63</v>
      </c>
      <c r="AU3160" s="4" t="s">
        <v>63</v>
      </c>
      <c r="AV3160" s="4" t="s">
        <v>63</v>
      </c>
      <c r="AW3160" s="4" t="s">
        <v>63</v>
      </c>
      <c r="AX3160" s="4" t="s">
        <v>63</v>
      </c>
      <c r="AY3160" s="4" t="s">
        <v>63</v>
      </c>
      <c r="AZ3160" s="4" t="s">
        <v>63</v>
      </c>
      <c r="BA3160" s="4" t="s">
        <v>63</v>
      </c>
      <c r="BB3160" s="4" t="s">
        <v>63</v>
      </c>
      <c r="BC3160" s="4" t="s">
        <v>63</v>
      </c>
      <c r="BD3160" s="4" t="s">
        <v>63</v>
      </c>
      <c r="BE3160" s="4" t="s">
        <v>63</v>
      </c>
      <c r="BF3160" s="4" t="s">
        <v>63</v>
      </c>
    </row>
    <row r="3161" spans="1:58">
      <c r="A3161" s="4" t="s">
        <v>58</v>
      </c>
      <c r="B3161" s="4" t="s">
        <v>25687</v>
      </c>
      <c r="C3161" s="4" t="s">
        <v>25688</v>
      </c>
      <c r="D3161" s="4" t="s">
        <v>9596</v>
      </c>
      <c r="E3161" s="4" t="s">
        <v>63</v>
      </c>
      <c r="F3161" s="4">
        <v>2005</v>
      </c>
      <c r="G3161" s="4" t="s">
        <v>138</v>
      </c>
      <c r="H3161" s="4">
        <v>21</v>
      </c>
      <c r="I3161" s="4">
        <v>4</v>
      </c>
      <c r="J3161" s="4">
        <v>351</v>
      </c>
      <c r="K3161" s="4">
        <v>354</v>
      </c>
      <c r="L3161" s="4" t="s">
        <v>25689</v>
      </c>
      <c r="M3161" s="4" t="s">
        <v>25690</v>
      </c>
      <c r="N3161" s="4" t="s">
        <v>25691</v>
      </c>
      <c r="O3161" s="4" t="s">
        <v>63</v>
      </c>
      <c r="P3161" s="4"/>
      <c r="Q3161" s="4" t="s">
        <v>63</v>
      </c>
      <c r="R3161" s="4" t="s">
        <v>63</v>
      </c>
      <c r="S3161" s="4" t="s">
        <v>63</v>
      </c>
      <c r="T3161" s="4" t="s">
        <v>63</v>
      </c>
      <c r="U3161" s="4"/>
      <c r="V3161" s="4"/>
      <c r="W3161" s="4"/>
      <c r="X3161" s="4" t="s">
        <v>63</v>
      </c>
      <c r="Y3161" s="4" t="s">
        <v>25692</v>
      </c>
      <c r="Z3161" s="4" t="s">
        <v>63</v>
      </c>
      <c r="AA3161" s="4" t="s">
        <v>25693</v>
      </c>
      <c r="AB3161" s="4" t="s">
        <v>25694</v>
      </c>
      <c r="AC3161" s="4" t="s">
        <v>67</v>
      </c>
      <c r="AD3161" s="4" t="s">
        <v>63</v>
      </c>
      <c r="AE3161" s="4" t="s">
        <v>63</v>
      </c>
      <c r="AF3161" s="4" t="s">
        <v>63</v>
      </c>
      <c r="AG3161" s="4" t="s">
        <v>63</v>
      </c>
      <c r="AH3161" s="4" t="s">
        <v>63</v>
      </c>
      <c r="AI3161" s="4" t="s">
        <v>63</v>
      </c>
      <c r="AJ3161" s="4" t="s">
        <v>63</v>
      </c>
      <c r="AK3161" s="4" t="s">
        <v>63</v>
      </c>
      <c r="AL3161" s="4" t="s">
        <v>63</v>
      </c>
      <c r="AM3161" s="4" t="s">
        <v>25695</v>
      </c>
      <c r="AN3161" s="4" t="s">
        <v>63</v>
      </c>
      <c r="AO3161" s="4" t="s">
        <v>63</v>
      </c>
      <c r="AP3161" s="4" t="s">
        <v>63</v>
      </c>
      <c r="AQ3161" s="4" t="s">
        <v>63</v>
      </c>
      <c r="AR3161" s="4" t="s">
        <v>63</v>
      </c>
      <c r="AS3161" s="4" t="s">
        <v>63</v>
      </c>
      <c r="AT3161" s="4" t="s">
        <v>63</v>
      </c>
      <c r="AU3161" s="4" t="s">
        <v>63</v>
      </c>
      <c r="AV3161" s="4" t="s">
        <v>63</v>
      </c>
      <c r="AW3161" s="4" t="s">
        <v>63</v>
      </c>
      <c r="AX3161" s="4" t="s">
        <v>63</v>
      </c>
      <c r="AY3161" s="4" t="s">
        <v>63</v>
      </c>
      <c r="AZ3161" s="4" t="s">
        <v>63</v>
      </c>
      <c r="BA3161" s="4" t="s">
        <v>63</v>
      </c>
      <c r="BB3161" s="4" t="s">
        <v>63</v>
      </c>
      <c r="BC3161" s="4" t="s">
        <v>63</v>
      </c>
      <c r="BD3161" s="4" t="s">
        <v>63</v>
      </c>
      <c r="BE3161" s="4" t="s">
        <v>63</v>
      </c>
      <c r="BF3161" s="4" t="s">
        <v>63</v>
      </c>
    </row>
    <row r="3162" spans="1:58">
      <c r="A3162" s="4" t="s">
        <v>25174</v>
      </c>
      <c r="B3162" s="4" t="s">
        <v>25696</v>
      </c>
      <c r="C3162" s="4" t="s">
        <v>25697</v>
      </c>
      <c r="D3162" s="4" t="s">
        <v>63</v>
      </c>
      <c r="E3162" s="4" t="s">
        <v>63</v>
      </c>
      <c r="F3162" s="4">
        <v>2013</v>
      </c>
      <c r="G3162" s="4" t="s">
        <v>63</v>
      </c>
      <c r="H3162" s="4" t="s">
        <v>63</v>
      </c>
      <c r="I3162" s="4" t="s">
        <v>63</v>
      </c>
      <c r="J3162" s="4">
        <v>172</v>
      </c>
      <c r="K3162" s="4" t="s">
        <v>63</v>
      </c>
      <c r="L3162" s="4" t="s">
        <v>25698</v>
      </c>
      <c r="M3162" s="4" t="s">
        <v>25699</v>
      </c>
      <c r="N3162" s="4" t="s">
        <v>25700</v>
      </c>
      <c r="O3162" s="4" t="s">
        <v>63</v>
      </c>
      <c r="P3162" s="4"/>
      <c r="Q3162" s="4" t="s">
        <v>63</v>
      </c>
      <c r="R3162" s="4" t="s">
        <v>63</v>
      </c>
      <c r="S3162" s="4" t="s">
        <v>63</v>
      </c>
      <c r="T3162" s="4" t="s">
        <v>25701</v>
      </c>
      <c r="U3162" s="4"/>
      <c r="V3162" s="4"/>
      <c r="W3162" s="4"/>
      <c r="X3162" s="4" t="s">
        <v>63</v>
      </c>
      <c r="Y3162" s="4" t="s">
        <v>63</v>
      </c>
      <c r="Z3162" s="4" t="s">
        <v>63</v>
      </c>
      <c r="AA3162" s="4" t="s">
        <v>25702</v>
      </c>
      <c r="AB3162" s="4" t="s">
        <v>25703</v>
      </c>
      <c r="AC3162" s="4" t="s">
        <v>67</v>
      </c>
      <c r="AD3162" s="4" t="s">
        <v>63</v>
      </c>
      <c r="AE3162" s="4" t="s">
        <v>63</v>
      </c>
      <c r="AF3162" s="4" t="s">
        <v>63</v>
      </c>
      <c r="AG3162" s="4" t="s">
        <v>63</v>
      </c>
      <c r="AH3162" s="4" t="s">
        <v>63</v>
      </c>
      <c r="AI3162" s="4" t="s">
        <v>63</v>
      </c>
      <c r="AJ3162" s="4" t="s">
        <v>63</v>
      </c>
      <c r="AK3162" s="4" t="s">
        <v>63</v>
      </c>
      <c r="AL3162" s="4" t="s">
        <v>63</v>
      </c>
      <c r="AM3162" s="4" t="s">
        <v>25704</v>
      </c>
      <c r="AN3162" s="4" t="s">
        <v>63</v>
      </c>
      <c r="AO3162" s="4" t="s">
        <v>63</v>
      </c>
      <c r="AP3162" s="4" t="s">
        <v>63</v>
      </c>
      <c r="AQ3162" s="4" t="s">
        <v>63</v>
      </c>
      <c r="AR3162" s="4" t="s">
        <v>63</v>
      </c>
      <c r="AS3162" s="4" t="s">
        <v>63</v>
      </c>
      <c r="AT3162" s="4" t="s">
        <v>63</v>
      </c>
      <c r="AU3162" s="4" t="s">
        <v>63</v>
      </c>
      <c r="AV3162" s="4" t="s">
        <v>63</v>
      </c>
      <c r="AW3162" s="4" t="s">
        <v>63</v>
      </c>
      <c r="AX3162" s="4" t="s">
        <v>63</v>
      </c>
      <c r="AY3162" s="4" t="s">
        <v>63</v>
      </c>
      <c r="AZ3162" s="4" t="s">
        <v>63</v>
      </c>
      <c r="BA3162" s="4" t="s">
        <v>63</v>
      </c>
      <c r="BB3162" s="4" t="s">
        <v>63</v>
      </c>
      <c r="BC3162" s="4" t="s">
        <v>63</v>
      </c>
      <c r="BD3162" s="4" t="s">
        <v>63</v>
      </c>
      <c r="BE3162" s="4" t="s">
        <v>63</v>
      </c>
      <c r="BF3162" s="4" t="s">
        <v>63</v>
      </c>
    </row>
    <row r="3163" spans="1:58">
      <c r="A3163" s="4" t="s">
        <v>25174</v>
      </c>
      <c r="B3163" s="4" t="s">
        <v>25705</v>
      </c>
      <c r="C3163" s="4" t="s">
        <v>25706</v>
      </c>
      <c r="D3163" s="4" t="s">
        <v>63</v>
      </c>
      <c r="E3163" s="4" t="s">
        <v>63</v>
      </c>
      <c r="F3163" s="4">
        <v>1991</v>
      </c>
      <c r="G3163" s="4" t="s">
        <v>63</v>
      </c>
      <c r="H3163" s="4" t="s">
        <v>63</v>
      </c>
      <c r="I3163" s="4" t="s">
        <v>63</v>
      </c>
      <c r="J3163" s="4">
        <v>132</v>
      </c>
      <c r="K3163" s="4" t="s">
        <v>63</v>
      </c>
      <c r="L3163" s="4" t="s">
        <v>25707</v>
      </c>
      <c r="M3163" s="4" t="s">
        <v>25708</v>
      </c>
      <c r="N3163" s="4" t="s">
        <v>25709</v>
      </c>
      <c r="O3163" s="4" t="s">
        <v>63</v>
      </c>
      <c r="P3163" s="4"/>
      <c r="Q3163" s="4" t="s">
        <v>63</v>
      </c>
      <c r="R3163" s="4" t="s">
        <v>63</v>
      </c>
      <c r="S3163" s="4" t="s">
        <v>25710</v>
      </c>
      <c r="T3163" s="4" t="s">
        <v>25711</v>
      </c>
      <c r="U3163" s="4"/>
      <c r="V3163" s="4"/>
      <c r="W3163" s="4"/>
      <c r="X3163" s="4" t="s">
        <v>63</v>
      </c>
      <c r="Y3163" s="4" t="s">
        <v>63</v>
      </c>
      <c r="Z3163" s="4" t="s">
        <v>63</v>
      </c>
      <c r="AA3163" s="4" t="s">
        <v>63</v>
      </c>
      <c r="AB3163" s="4" t="s">
        <v>25712</v>
      </c>
      <c r="AC3163" s="4" t="s">
        <v>67</v>
      </c>
      <c r="AD3163" s="4" t="s">
        <v>63</v>
      </c>
      <c r="AE3163" s="4" t="s">
        <v>63</v>
      </c>
      <c r="AF3163" s="4" t="s">
        <v>63</v>
      </c>
      <c r="AG3163" s="4" t="s">
        <v>63</v>
      </c>
      <c r="AH3163" s="4" t="s">
        <v>63</v>
      </c>
      <c r="AI3163" s="4" t="s">
        <v>63</v>
      </c>
      <c r="AJ3163" s="4" t="s">
        <v>63</v>
      </c>
      <c r="AK3163" s="4" t="s">
        <v>63</v>
      </c>
      <c r="AL3163" s="4" t="s">
        <v>63</v>
      </c>
      <c r="AM3163" s="4" t="s">
        <v>25713</v>
      </c>
      <c r="AN3163" s="4" t="s">
        <v>63</v>
      </c>
      <c r="AO3163" s="4" t="s">
        <v>63</v>
      </c>
      <c r="AP3163" s="4" t="s">
        <v>63</v>
      </c>
      <c r="AQ3163" s="4" t="s">
        <v>63</v>
      </c>
      <c r="AR3163" s="4" t="s">
        <v>63</v>
      </c>
      <c r="AS3163" s="4" t="s">
        <v>63</v>
      </c>
      <c r="AT3163" s="4" t="s">
        <v>63</v>
      </c>
      <c r="AU3163" s="4" t="s">
        <v>63</v>
      </c>
      <c r="AV3163" s="4" t="s">
        <v>63</v>
      </c>
      <c r="AW3163" s="4" t="s">
        <v>63</v>
      </c>
      <c r="AX3163" s="4" t="s">
        <v>63</v>
      </c>
      <c r="AY3163" s="4" t="s">
        <v>63</v>
      </c>
      <c r="AZ3163" s="4" t="s">
        <v>63</v>
      </c>
      <c r="BA3163" s="4" t="s">
        <v>63</v>
      </c>
      <c r="BB3163" s="4" t="s">
        <v>63</v>
      </c>
      <c r="BC3163" s="4" t="s">
        <v>63</v>
      </c>
      <c r="BD3163" s="4" t="s">
        <v>63</v>
      </c>
      <c r="BE3163" s="4" t="s">
        <v>63</v>
      </c>
      <c r="BF3163" s="4" t="s">
        <v>63</v>
      </c>
    </row>
    <row r="3164" spans="1:58">
      <c r="A3164" s="4" t="s">
        <v>58</v>
      </c>
      <c r="B3164" s="4" t="s">
        <v>25714</v>
      </c>
      <c r="C3164" s="4" t="s">
        <v>25715</v>
      </c>
      <c r="D3164" s="4" t="s">
        <v>23924</v>
      </c>
      <c r="E3164" s="4" t="s">
        <v>23925</v>
      </c>
      <c r="F3164" s="4">
        <v>1995</v>
      </c>
      <c r="G3164" s="4" t="s">
        <v>23926</v>
      </c>
      <c r="H3164" s="4">
        <v>40</v>
      </c>
      <c r="I3164" s="4">
        <v>3</v>
      </c>
      <c r="J3164" s="4">
        <v>99</v>
      </c>
      <c r="K3164" s="4">
        <v>108</v>
      </c>
      <c r="L3164" s="4" t="s">
        <v>25716</v>
      </c>
      <c r="M3164" s="4" t="s">
        <v>25717</v>
      </c>
      <c r="N3164" s="4" t="s">
        <v>25718</v>
      </c>
      <c r="O3164" s="4" t="s">
        <v>63</v>
      </c>
      <c r="P3164" s="4"/>
      <c r="Q3164" s="4" t="s">
        <v>63</v>
      </c>
      <c r="R3164" s="4" t="s">
        <v>63</v>
      </c>
      <c r="S3164" s="4" t="s">
        <v>63</v>
      </c>
      <c r="T3164" s="4" t="s">
        <v>63</v>
      </c>
      <c r="U3164" s="4"/>
      <c r="V3164" s="4"/>
      <c r="W3164" s="4"/>
      <c r="X3164" s="4" t="s">
        <v>63</v>
      </c>
      <c r="Y3164" s="4" t="s">
        <v>23928</v>
      </c>
      <c r="Z3164" s="4" t="s">
        <v>63</v>
      </c>
      <c r="AA3164" s="4" t="s">
        <v>63</v>
      </c>
      <c r="AB3164" s="4" t="s">
        <v>25719</v>
      </c>
      <c r="AC3164" s="4" t="s">
        <v>67</v>
      </c>
      <c r="AD3164" s="4" t="s">
        <v>63</v>
      </c>
      <c r="AE3164" s="4" t="s">
        <v>63</v>
      </c>
      <c r="AF3164" s="4" t="s">
        <v>63</v>
      </c>
      <c r="AG3164" s="4" t="s">
        <v>63</v>
      </c>
      <c r="AH3164" s="4" t="s">
        <v>63</v>
      </c>
      <c r="AI3164" s="4" t="s">
        <v>63</v>
      </c>
      <c r="AJ3164" s="4" t="s">
        <v>63</v>
      </c>
      <c r="AK3164" s="4" t="s">
        <v>63</v>
      </c>
      <c r="AL3164" s="4" t="s">
        <v>63</v>
      </c>
      <c r="AM3164" s="4" t="s">
        <v>25720</v>
      </c>
      <c r="AN3164" s="4" t="s">
        <v>63</v>
      </c>
      <c r="AO3164" s="4" t="s">
        <v>63</v>
      </c>
      <c r="AP3164" s="4" t="s">
        <v>63</v>
      </c>
      <c r="AQ3164" s="4" t="s">
        <v>63</v>
      </c>
      <c r="AR3164" s="4" t="s">
        <v>63</v>
      </c>
      <c r="AS3164" s="4" t="s">
        <v>63</v>
      </c>
      <c r="AT3164" s="4" t="s">
        <v>63</v>
      </c>
      <c r="AU3164" s="4" t="s">
        <v>63</v>
      </c>
      <c r="AV3164" s="4" t="s">
        <v>63</v>
      </c>
      <c r="AW3164" s="4" t="s">
        <v>63</v>
      </c>
      <c r="AX3164" s="4" t="s">
        <v>63</v>
      </c>
      <c r="AY3164" s="4" t="s">
        <v>63</v>
      </c>
      <c r="AZ3164" s="4" t="s">
        <v>63</v>
      </c>
      <c r="BA3164" s="4" t="s">
        <v>63</v>
      </c>
      <c r="BB3164" s="4" t="s">
        <v>63</v>
      </c>
      <c r="BC3164" s="4" t="s">
        <v>63</v>
      </c>
      <c r="BD3164" s="4" t="s">
        <v>63</v>
      </c>
      <c r="BE3164" s="4" t="s">
        <v>63</v>
      </c>
      <c r="BF3164" s="4" t="s">
        <v>63</v>
      </c>
    </row>
    <row r="3165" spans="1:58">
      <c r="A3165" s="4" t="s">
        <v>25174</v>
      </c>
      <c r="B3165" s="4" t="s">
        <v>25721</v>
      </c>
      <c r="C3165" s="4" t="s">
        <v>25722</v>
      </c>
      <c r="D3165" s="4" t="s">
        <v>63</v>
      </c>
      <c r="E3165" s="4" t="s">
        <v>63</v>
      </c>
      <c r="F3165" s="4">
        <v>1986</v>
      </c>
      <c r="G3165" s="5">
        <v>35399</v>
      </c>
      <c r="H3165" s="4" t="s">
        <v>63</v>
      </c>
      <c r="I3165" s="4" t="s">
        <v>63</v>
      </c>
      <c r="J3165" s="4">
        <v>21</v>
      </c>
      <c r="K3165" s="4" t="s">
        <v>63</v>
      </c>
      <c r="L3165" s="4" t="s">
        <v>25723</v>
      </c>
      <c r="M3165" s="4" t="s">
        <v>25724</v>
      </c>
      <c r="N3165" s="4" t="s">
        <v>25725</v>
      </c>
      <c r="O3165" s="4" t="s">
        <v>63</v>
      </c>
      <c r="P3165" s="4"/>
      <c r="Q3165" s="4" t="s">
        <v>63</v>
      </c>
      <c r="R3165" s="4" t="s">
        <v>63</v>
      </c>
      <c r="S3165" s="4" t="s">
        <v>63</v>
      </c>
      <c r="T3165" s="4" t="s">
        <v>63</v>
      </c>
      <c r="U3165" s="4"/>
      <c r="V3165" s="4"/>
      <c r="W3165" s="4"/>
      <c r="X3165" s="4" t="s">
        <v>63</v>
      </c>
      <c r="Y3165" s="4" t="s">
        <v>63</v>
      </c>
      <c r="Z3165" s="4" t="s">
        <v>63</v>
      </c>
      <c r="AA3165" s="4" t="s">
        <v>63</v>
      </c>
      <c r="AB3165" s="4" t="s">
        <v>25726</v>
      </c>
      <c r="AC3165" s="4" t="s">
        <v>67</v>
      </c>
      <c r="AD3165" s="4" t="s">
        <v>63</v>
      </c>
      <c r="AE3165" s="4" t="s">
        <v>63</v>
      </c>
      <c r="AF3165" s="4" t="s">
        <v>63</v>
      </c>
      <c r="AG3165" s="4" t="s">
        <v>63</v>
      </c>
      <c r="AH3165" s="4" t="s">
        <v>63</v>
      </c>
      <c r="AI3165" s="4" t="s">
        <v>63</v>
      </c>
      <c r="AJ3165" s="4" t="s">
        <v>63</v>
      </c>
      <c r="AK3165" s="4" t="s">
        <v>63</v>
      </c>
      <c r="AL3165" s="4" t="s">
        <v>63</v>
      </c>
      <c r="AM3165" s="4" t="s">
        <v>25727</v>
      </c>
      <c r="AN3165" s="4" t="s">
        <v>63</v>
      </c>
      <c r="AO3165" s="4" t="s">
        <v>63</v>
      </c>
      <c r="AP3165" s="4" t="s">
        <v>63</v>
      </c>
      <c r="AQ3165" s="4" t="s">
        <v>63</v>
      </c>
      <c r="AR3165" s="4" t="s">
        <v>63</v>
      </c>
      <c r="AS3165" s="4" t="s">
        <v>63</v>
      </c>
      <c r="AT3165" s="4" t="s">
        <v>63</v>
      </c>
      <c r="AU3165" s="4" t="s">
        <v>63</v>
      </c>
      <c r="AV3165" s="4" t="s">
        <v>63</v>
      </c>
      <c r="AW3165" s="4" t="s">
        <v>63</v>
      </c>
      <c r="AX3165" s="4" t="s">
        <v>63</v>
      </c>
      <c r="AY3165" s="4" t="s">
        <v>63</v>
      </c>
      <c r="AZ3165" s="4" t="s">
        <v>63</v>
      </c>
      <c r="BA3165" s="4" t="s">
        <v>63</v>
      </c>
      <c r="BB3165" s="4" t="s">
        <v>63</v>
      </c>
      <c r="BC3165" s="4" t="s">
        <v>63</v>
      </c>
      <c r="BD3165" s="4" t="s">
        <v>63</v>
      </c>
      <c r="BE3165" s="4" t="s">
        <v>63</v>
      </c>
      <c r="BF3165" s="4" t="s">
        <v>63</v>
      </c>
    </row>
    <row r="3166" spans="1:58">
      <c r="A3166" s="4" t="s">
        <v>58</v>
      </c>
      <c r="B3166" s="4" t="s">
        <v>25728</v>
      </c>
      <c r="C3166" s="4" t="s">
        <v>25729</v>
      </c>
      <c r="D3166" s="4" t="s">
        <v>325</v>
      </c>
      <c r="E3166" s="4" t="s">
        <v>63</v>
      </c>
      <c r="F3166" s="4">
        <v>2011</v>
      </c>
      <c r="G3166" s="4" t="s">
        <v>623</v>
      </c>
      <c r="H3166" s="4">
        <v>35</v>
      </c>
      <c r="I3166" s="4">
        <v>1</v>
      </c>
      <c r="J3166" s="4">
        <v>51</v>
      </c>
      <c r="K3166" s="4">
        <v>53</v>
      </c>
      <c r="L3166" s="4" t="s">
        <v>25730</v>
      </c>
      <c r="M3166" s="4" t="s">
        <v>25731</v>
      </c>
      <c r="N3166" s="4" t="s">
        <v>25732</v>
      </c>
      <c r="O3166" s="4" t="s">
        <v>63</v>
      </c>
      <c r="P3166" s="4"/>
      <c r="Q3166" s="4" t="s">
        <v>63</v>
      </c>
      <c r="R3166" s="4" t="s">
        <v>63</v>
      </c>
      <c r="S3166" s="4" t="s">
        <v>63</v>
      </c>
      <c r="T3166" s="4" t="s">
        <v>63</v>
      </c>
      <c r="U3166" s="4"/>
      <c r="V3166" s="4"/>
      <c r="W3166" s="4"/>
      <c r="X3166" s="4" t="s">
        <v>63</v>
      </c>
      <c r="Y3166" s="4" t="s">
        <v>866</v>
      </c>
      <c r="Z3166" s="4" t="s">
        <v>63</v>
      </c>
      <c r="AA3166" s="4" t="s">
        <v>25733</v>
      </c>
      <c r="AB3166" s="4" t="s">
        <v>25734</v>
      </c>
      <c r="AC3166" s="4" t="s">
        <v>67</v>
      </c>
      <c r="AD3166" s="4" t="s">
        <v>63</v>
      </c>
      <c r="AE3166" s="4" t="s">
        <v>63</v>
      </c>
      <c r="AF3166" s="4" t="s">
        <v>63</v>
      </c>
      <c r="AG3166" s="4" t="s">
        <v>63</v>
      </c>
      <c r="AH3166" s="4" t="s">
        <v>63</v>
      </c>
      <c r="AI3166" s="4" t="s">
        <v>63</v>
      </c>
      <c r="AJ3166" s="4" t="s">
        <v>63</v>
      </c>
      <c r="AK3166" s="4" t="s">
        <v>63</v>
      </c>
      <c r="AL3166" s="4" t="s">
        <v>63</v>
      </c>
      <c r="AM3166" s="4" t="s">
        <v>25735</v>
      </c>
      <c r="AN3166" s="4" t="s">
        <v>63</v>
      </c>
      <c r="AO3166" s="4" t="s">
        <v>63</v>
      </c>
      <c r="AP3166" s="4" t="s">
        <v>63</v>
      </c>
      <c r="AQ3166" s="4" t="s">
        <v>63</v>
      </c>
      <c r="AR3166" s="4" t="s">
        <v>63</v>
      </c>
      <c r="AS3166" s="4" t="s">
        <v>63</v>
      </c>
      <c r="AT3166" s="4" t="s">
        <v>63</v>
      </c>
      <c r="AU3166" s="4" t="s">
        <v>63</v>
      </c>
      <c r="AV3166" s="4" t="s">
        <v>63</v>
      </c>
      <c r="AW3166" s="4" t="s">
        <v>63</v>
      </c>
      <c r="AX3166" s="4" t="s">
        <v>63</v>
      </c>
      <c r="AY3166" s="4" t="s">
        <v>63</v>
      </c>
      <c r="AZ3166" s="4" t="s">
        <v>63</v>
      </c>
      <c r="BA3166" s="4" t="s">
        <v>63</v>
      </c>
      <c r="BB3166" s="4" t="s">
        <v>63</v>
      </c>
      <c r="BC3166" s="4" t="s">
        <v>63</v>
      </c>
      <c r="BD3166" s="4" t="s">
        <v>63</v>
      </c>
      <c r="BE3166" s="4" t="s">
        <v>63</v>
      </c>
      <c r="BF3166" s="4" t="s">
        <v>63</v>
      </c>
    </row>
    <row r="3167" spans="1:58">
      <c r="A3167" s="4" t="s">
        <v>25174</v>
      </c>
      <c r="B3167" s="4" t="s">
        <v>25736</v>
      </c>
      <c r="C3167" s="4" t="s">
        <v>25737</v>
      </c>
      <c r="D3167" s="4" t="s">
        <v>63</v>
      </c>
      <c r="E3167" s="4" t="s">
        <v>63</v>
      </c>
      <c r="F3167" s="4">
        <v>1992</v>
      </c>
      <c r="G3167" s="4" t="s">
        <v>63</v>
      </c>
      <c r="H3167" s="4" t="s">
        <v>63</v>
      </c>
      <c r="I3167" s="4" t="s">
        <v>63</v>
      </c>
      <c r="J3167" s="4">
        <v>125</v>
      </c>
      <c r="K3167" s="4" t="s">
        <v>63</v>
      </c>
      <c r="L3167" s="4" t="s">
        <v>25738</v>
      </c>
      <c r="M3167" s="4" t="s">
        <v>25739</v>
      </c>
      <c r="N3167" s="4" t="s">
        <v>25740</v>
      </c>
      <c r="O3167" s="4" t="s">
        <v>63</v>
      </c>
      <c r="P3167" s="4"/>
      <c r="Q3167" s="4" t="s">
        <v>63</v>
      </c>
      <c r="R3167" s="4" t="s">
        <v>63</v>
      </c>
      <c r="S3167" s="4" t="s">
        <v>25741</v>
      </c>
      <c r="T3167" s="4" t="s">
        <v>25742</v>
      </c>
      <c r="U3167" s="4"/>
      <c r="V3167" s="4"/>
      <c r="W3167" s="4"/>
      <c r="X3167" s="4" t="s">
        <v>63</v>
      </c>
      <c r="Y3167" s="4" t="s">
        <v>63</v>
      </c>
      <c r="Z3167" s="4" t="s">
        <v>63</v>
      </c>
      <c r="AA3167" s="4" t="s">
        <v>63</v>
      </c>
      <c r="AB3167" s="4" t="s">
        <v>25743</v>
      </c>
      <c r="AC3167" s="4" t="s">
        <v>67</v>
      </c>
      <c r="AD3167" s="4" t="s">
        <v>63</v>
      </c>
      <c r="AE3167" s="4" t="s">
        <v>63</v>
      </c>
      <c r="AF3167" s="4" t="s">
        <v>63</v>
      </c>
      <c r="AG3167" s="4" t="s">
        <v>63</v>
      </c>
      <c r="AH3167" s="4" t="s">
        <v>63</v>
      </c>
      <c r="AI3167" s="4" t="s">
        <v>63</v>
      </c>
      <c r="AJ3167" s="4" t="s">
        <v>63</v>
      </c>
      <c r="AK3167" s="4" t="s">
        <v>63</v>
      </c>
      <c r="AL3167" s="4" t="s">
        <v>63</v>
      </c>
      <c r="AM3167" s="4" t="s">
        <v>25744</v>
      </c>
      <c r="AN3167" s="4" t="s">
        <v>63</v>
      </c>
      <c r="AO3167" s="4" t="s">
        <v>63</v>
      </c>
      <c r="AP3167" s="4" t="s">
        <v>63</v>
      </c>
      <c r="AQ3167" s="4" t="s">
        <v>63</v>
      </c>
      <c r="AR3167" s="4" t="s">
        <v>63</v>
      </c>
      <c r="AS3167" s="4" t="s">
        <v>63</v>
      </c>
      <c r="AT3167" s="4" t="s">
        <v>63</v>
      </c>
      <c r="AU3167" s="4" t="s">
        <v>63</v>
      </c>
      <c r="AV3167" s="4" t="s">
        <v>63</v>
      </c>
      <c r="AW3167" s="4" t="s">
        <v>63</v>
      </c>
      <c r="AX3167" s="4" t="s">
        <v>63</v>
      </c>
      <c r="AY3167" s="4" t="s">
        <v>63</v>
      </c>
      <c r="AZ3167" s="4" t="s">
        <v>63</v>
      </c>
      <c r="BA3167" s="4" t="s">
        <v>63</v>
      </c>
      <c r="BB3167" s="4" t="s">
        <v>63</v>
      </c>
      <c r="BC3167" s="4" t="s">
        <v>63</v>
      </c>
      <c r="BD3167" s="4" t="s">
        <v>63</v>
      </c>
      <c r="BE3167" s="4" t="s">
        <v>63</v>
      </c>
      <c r="BF3167" s="4" t="s">
        <v>63</v>
      </c>
    </row>
    <row r="3168" spans="1:58">
      <c r="A3168" s="4" t="s">
        <v>25174</v>
      </c>
      <c r="B3168" s="4" t="s">
        <v>25745</v>
      </c>
      <c r="C3168" s="4" t="s">
        <v>25746</v>
      </c>
      <c r="D3168" s="4" t="s">
        <v>63</v>
      </c>
      <c r="E3168" s="4" t="s">
        <v>63</v>
      </c>
      <c r="F3168" s="4">
        <v>1998</v>
      </c>
      <c r="G3168" s="5">
        <v>35277</v>
      </c>
      <c r="H3168" s="4" t="s">
        <v>63</v>
      </c>
      <c r="I3168" s="4" t="s">
        <v>63</v>
      </c>
      <c r="J3168" s="4">
        <v>23</v>
      </c>
      <c r="K3168" s="4" t="s">
        <v>63</v>
      </c>
      <c r="L3168" s="4" t="s">
        <v>25747</v>
      </c>
      <c r="M3168" s="4" t="s">
        <v>25748</v>
      </c>
      <c r="N3168" s="4" t="s">
        <v>25749</v>
      </c>
      <c r="O3168" s="4" t="s">
        <v>63</v>
      </c>
      <c r="P3168" s="4"/>
      <c r="Q3168" s="4" t="s">
        <v>63</v>
      </c>
      <c r="R3168" s="4" t="s">
        <v>63</v>
      </c>
      <c r="S3168" s="4" t="s">
        <v>63</v>
      </c>
      <c r="T3168" s="4" t="s">
        <v>63</v>
      </c>
      <c r="U3168" s="4"/>
      <c r="V3168" s="4"/>
      <c r="W3168" s="4"/>
      <c r="X3168" s="4" t="s">
        <v>63</v>
      </c>
      <c r="Y3168" s="4" t="s">
        <v>63</v>
      </c>
      <c r="Z3168" s="4" t="s">
        <v>63</v>
      </c>
      <c r="AA3168" s="4" t="s">
        <v>63</v>
      </c>
      <c r="AB3168" s="4" t="s">
        <v>25750</v>
      </c>
      <c r="AC3168" s="4" t="s">
        <v>67</v>
      </c>
      <c r="AD3168" s="4" t="s">
        <v>63</v>
      </c>
      <c r="AE3168" s="4" t="s">
        <v>63</v>
      </c>
      <c r="AF3168" s="4" t="s">
        <v>63</v>
      </c>
      <c r="AG3168" s="4" t="s">
        <v>63</v>
      </c>
      <c r="AH3168" s="4" t="s">
        <v>63</v>
      </c>
      <c r="AI3168" s="4" t="s">
        <v>63</v>
      </c>
      <c r="AJ3168" s="4" t="s">
        <v>63</v>
      </c>
      <c r="AK3168" s="4" t="s">
        <v>63</v>
      </c>
      <c r="AL3168" s="4" t="s">
        <v>63</v>
      </c>
      <c r="AM3168" s="4" t="s">
        <v>25751</v>
      </c>
      <c r="AN3168" s="4" t="s">
        <v>63</v>
      </c>
      <c r="AO3168" s="4" t="s">
        <v>63</v>
      </c>
      <c r="AP3168" s="4" t="s">
        <v>63</v>
      </c>
      <c r="AQ3168" s="4" t="s">
        <v>63</v>
      </c>
      <c r="AR3168" s="4" t="s">
        <v>63</v>
      </c>
      <c r="AS3168" s="4" t="s">
        <v>63</v>
      </c>
      <c r="AT3168" s="4" t="s">
        <v>63</v>
      </c>
      <c r="AU3168" s="4" t="s">
        <v>63</v>
      </c>
      <c r="AV3168" s="4" t="s">
        <v>63</v>
      </c>
      <c r="AW3168" s="4" t="s">
        <v>63</v>
      </c>
      <c r="AX3168" s="4" t="s">
        <v>63</v>
      </c>
      <c r="AY3168" s="4" t="s">
        <v>63</v>
      </c>
      <c r="AZ3168" s="4" t="s">
        <v>63</v>
      </c>
      <c r="BA3168" s="4" t="s">
        <v>63</v>
      </c>
      <c r="BB3168" s="4" t="s">
        <v>63</v>
      </c>
      <c r="BC3168" s="4" t="s">
        <v>63</v>
      </c>
      <c r="BD3168" s="4" t="s">
        <v>63</v>
      </c>
      <c r="BE3168" s="4" t="s">
        <v>63</v>
      </c>
      <c r="BF3168" s="4" t="s">
        <v>63</v>
      </c>
    </row>
    <row r="3169" spans="1:58">
      <c r="A3169" s="4" t="s">
        <v>25174</v>
      </c>
      <c r="B3169" s="4" t="s">
        <v>25752</v>
      </c>
      <c r="C3169" s="4" t="s">
        <v>25753</v>
      </c>
      <c r="D3169" s="4" t="s">
        <v>63</v>
      </c>
      <c r="E3169" s="4" t="s">
        <v>63</v>
      </c>
      <c r="F3169" s="4">
        <v>1977</v>
      </c>
      <c r="G3169" s="5">
        <v>35308</v>
      </c>
      <c r="H3169" s="4" t="s">
        <v>63</v>
      </c>
      <c r="I3169" s="4" t="s">
        <v>63</v>
      </c>
      <c r="J3169" s="4">
        <v>56</v>
      </c>
      <c r="K3169" s="4" t="s">
        <v>63</v>
      </c>
      <c r="L3169" s="4" t="s">
        <v>25754</v>
      </c>
      <c r="M3169" s="4" t="s">
        <v>25755</v>
      </c>
      <c r="N3169" s="4" t="s">
        <v>25756</v>
      </c>
      <c r="O3169" s="4" t="s">
        <v>63</v>
      </c>
      <c r="P3169" s="4"/>
      <c r="Q3169" s="4" t="s">
        <v>63</v>
      </c>
      <c r="R3169" s="4" t="s">
        <v>63</v>
      </c>
      <c r="S3169" s="4" t="s">
        <v>63</v>
      </c>
      <c r="T3169" s="4" t="s">
        <v>63</v>
      </c>
      <c r="U3169" s="4"/>
      <c r="V3169" s="4"/>
      <c r="W3169" s="4"/>
      <c r="X3169" s="4" t="s">
        <v>63</v>
      </c>
      <c r="Y3169" s="4" t="s">
        <v>63</v>
      </c>
      <c r="Z3169" s="4" t="s">
        <v>63</v>
      </c>
      <c r="AA3169" s="4" t="s">
        <v>63</v>
      </c>
      <c r="AB3169" s="4" t="s">
        <v>25757</v>
      </c>
      <c r="AC3169" s="4" t="s">
        <v>25383</v>
      </c>
      <c r="AD3169" s="4" t="s">
        <v>63</v>
      </c>
      <c r="AE3169" s="4" t="s">
        <v>63</v>
      </c>
      <c r="AF3169" s="4" t="s">
        <v>63</v>
      </c>
      <c r="AG3169" s="4" t="s">
        <v>63</v>
      </c>
      <c r="AH3169" s="4" t="s">
        <v>63</v>
      </c>
      <c r="AI3169" s="4" t="s">
        <v>63</v>
      </c>
      <c r="AJ3169" s="4" t="s">
        <v>63</v>
      </c>
      <c r="AK3169" s="4" t="s">
        <v>63</v>
      </c>
      <c r="AL3169" s="4" t="s">
        <v>63</v>
      </c>
      <c r="AM3169" s="4" t="s">
        <v>25758</v>
      </c>
      <c r="AN3169" s="4" t="s">
        <v>63</v>
      </c>
      <c r="AO3169" s="4" t="s">
        <v>63</v>
      </c>
      <c r="AP3169" s="4" t="s">
        <v>63</v>
      </c>
      <c r="AQ3169" s="4" t="s">
        <v>63</v>
      </c>
      <c r="AR3169" s="4" t="s">
        <v>63</v>
      </c>
      <c r="AS3169" s="4" t="s">
        <v>63</v>
      </c>
      <c r="AT3169" s="4" t="s">
        <v>63</v>
      </c>
      <c r="AU3169" s="4" t="s">
        <v>63</v>
      </c>
      <c r="AV3169" s="4" t="s">
        <v>63</v>
      </c>
      <c r="AW3169" s="4" t="s">
        <v>63</v>
      </c>
      <c r="AX3169" s="4" t="s">
        <v>63</v>
      </c>
      <c r="AY3169" s="4" t="s">
        <v>63</v>
      </c>
      <c r="AZ3169" s="4" t="s">
        <v>63</v>
      </c>
      <c r="BA3169" s="4" t="s">
        <v>63</v>
      </c>
      <c r="BB3169" s="4" t="s">
        <v>63</v>
      </c>
      <c r="BC3169" s="4" t="s">
        <v>63</v>
      </c>
      <c r="BD3169" s="4" t="s">
        <v>63</v>
      </c>
      <c r="BE3169" s="4" t="s">
        <v>63</v>
      </c>
      <c r="BF3169" s="4" t="s">
        <v>63</v>
      </c>
    </row>
    <row r="3170" spans="1:58">
      <c r="A3170" s="4" t="s">
        <v>25174</v>
      </c>
      <c r="B3170" s="4" t="s">
        <v>25752</v>
      </c>
      <c r="C3170" s="4" t="s">
        <v>25759</v>
      </c>
      <c r="D3170" s="4" t="s">
        <v>63</v>
      </c>
      <c r="E3170" s="4" t="s">
        <v>63</v>
      </c>
      <c r="F3170" s="4">
        <v>1976</v>
      </c>
      <c r="G3170" s="6">
        <v>41897</v>
      </c>
      <c r="H3170" s="4" t="s">
        <v>63</v>
      </c>
      <c r="I3170" s="4" t="s">
        <v>63</v>
      </c>
      <c r="J3170" s="4">
        <v>60</v>
      </c>
      <c r="K3170" s="4" t="s">
        <v>63</v>
      </c>
      <c r="L3170" s="4" t="s">
        <v>25760</v>
      </c>
      <c r="M3170" s="4" t="s">
        <v>25761</v>
      </c>
      <c r="N3170" s="4" t="s">
        <v>25762</v>
      </c>
      <c r="O3170" s="4" t="s">
        <v>63</v>
      </c>
      <c r="P3170" s="4"/>
      <c r="Q3170" s="4" t="s">
        <v>63</v>
      </c>
      <c r="R3170" s="4" t="s">
        <v>63</v>
      </c>
      <c r="S3170" s="4" t="s">
        <v>63</v>
      </c>
      <c r="T3170" s="4" t="s">
        <v>63</v>
      </c>
      <c r="U3170" s="4"/>
      <c r="V3170" s="4"/>
      <c r="W3170" s="4"/>
      <c r="X3170" s="4" t="s">
        <v>63</v>
      </c>
      <c r="Y3170" s="4" t="s">
        <v>63</v>
      </c>
      <c r="Z3170" s="4" t="s">
        <v>63</v>
      </c>
      <c r="AA3170" s="4" t="s">
        <v>63</v>
      </c>
      <c r="AB3170" s="4" t="s">
        <v>25763</v>
      </c>
      <c r="AC3170" s="4" t="s">
        <v>25383</v>
      </c>
      <c r="AD3170" s="4" t="s">
        <v>63</v>
      </c>
      <c r="AE3170" s="4" t="s">
        <v>63</v>
      </c>
      <c r="AF3170" s="4" t="s">
        <v>63</v>
      </c>
      <c r="AG3170" s="4" t="s">
        <v>63</v>
      </c>
      <c r="AH3170" s="4" t="s">
        <v>63</v>
      </c>
      <c r="AI3170" s="4" t="s">
        <v>63</v>
      </c>
      <c r="AJ3170" s="4" t="s">
        <v>63</v>
      </c>
      <c r="AK3170" s="4" t="s">
        <v>63</v>
      </c>
      <c r="AL3170" s="4" t="s">
        <v>63</v>
      </c>
      <c r="AM3170" s="4" t="s">
        <v>25764</v>
      </c>
      <c r="AN3170" s="4" t="s">
        <v>63</v>
      </c>
      <c r="AO3170" s="4" t="s">
        <v>63</v>
      </c>
      <c r="AP3170" s="4" t="s">
        <v>63</v>
      </c>
      <c r="AQ3170" s="4" t="s">
        <v>63</v>
      </c>
      <c r="AR3170" s="4" t="s">
        <v>63</v>
      </c>
      <c r="AS3170" s="4" t="s">
        <v>63</v>
      </c>
      <c r="AT3170" s="4" t="s">
        <v>63</v>
      </c>
      <c r="AU3170" s="4" t="s">
        <v>63</v>
      </c>
      <c r="AV3170" s="4" t="s">
        <v>63</v>
      </c>
      <c r="AW3170" s="4" t="s">
        <v>63</v>
      </c>
      <c r="AX3170" s="4" t="s">
        <v>63</v>
      </c>
      <c r="AY3170" s="4" t="s">
        <v>63</v>
      </c>
      <c r="AZ3170" s="4" t="s">
        <v>63</v>
      </c>
      <c r="BA3170" s="4" t="s">
        <v>63</v>
      </c>
      <c r="BB3170" s="4" t="s">
        <v>63</v>
      </c>
      <c r="BC3170" s="4" t="s">
        <v>63</v>
      </c>
      <c r="BD3170" s="4" t="s">
        <v>63</v>
      </c>
      <c r="BE3170" s="4" t="s">
        <v>63</v>
      </c>
      <c r="BF3170" s="4" t="s">
        <v>63</v>
      </c>
    </row>
    <row r="3171" spans="1:58">
      <c r="A3171" s="4" t="s">
        <v>58</v>
      </c>
      <c r="B3171" s="4" t="s">
        <v>25765</v>
      </c>
      <c r="C3171" s="4" t="s">
        <v>25766</v>
      </c>
      <c r="D3171" s="4" t="s">
        <v>25767</v>
      </c>
      <c r="E3171" s="4" t="s">
        <v>63</v>
      </c>
      <c r="F3171" s="4">
        <v>2013</v>
      </c>
      <c r="G3171" s="4" t="s">
        <v>63</v>
      </c>
      <c r="H3171" s="4">
        <v>49</v>
      </c>
      <c r="I3171" s="4">
        <v>2</v>
      </c>
      <c r="J3171" s="4">
        <v>321</v>
      </c>
      <c r="K3171" s="4">
        <v>336</v>
      </c>
      <c r="L3171" s="4" t="s">
        <v>25768</v>
      </c>
      <c r="M3171" s="4" t="s">
        <v>25769</v>
      </c>
      <c r="N3171" s="4" t="s">
        <v>25770</v>
      </c>
      <c r="O3171" s="4" t="s">
        <v>63</v>
      </c>
      <c r="P3171" s="4"/>
      <c r="Q3171" s="4" t="s">
        <v>63</v>
      </c>
      <c r="R3171" s="4" t="s">
        <v>63</v>
      </c>
      <c r="S3171" s="4" t="s">
        <v>63</v>
      </c>
      <c r="T3171" s="4" t="s">
        <v>63</v>
      </c>
      <c r="U3171" s="4"/>
      <c r="V3171" s="4"/>
      <c r="W3171" s="4"/>
      <c r="X3171" s="4" t="s">
        <v>63</v>
      </c>
      <c r="Y3171" s="4" t="s">
        <v>25771</v>
      </c>
      <c r="Z3171" s="4" t="s">
        <v>63</v>
      </c>
      <c r="AA3171" s="4" t="s">
        <v>25772</v>
      </c>
      <c r="AB3171" s="4" t="s">
        <v>25773</v>
      </c>
      <c r="AC3171" s="4" t="s">
        <v>67</v>
      </c>
      <c r="AD3171" s="4" t="s">
        <v>63</v>
      </c>
      <c r="AE3171" s="4" t="s">
        <v>63</v>
      </c>
      <c r="AF3171" s="4" t="s">
        <v>63</v>
      </c>
      <c r="AG3171" s="4" t="s">
        <v>63</v>
      </c>
      <c r="AH3171" s="4" t="s">
        <v>63</v>
      </c>
      <c r="AI3171" s="4" t="s">
        <v>63</v>
      </c>
      <c r="AJ3171" s="4" t="s">
        <v>63</v>
      </c>
      <c r="AK3171" s="4" t="s">
        <v>63</v>
      </c>
      <c r="AL3171" s="4" t="s">
        <v>63</v>
      </c>
      <c r="AM3171" s="4" t="s">
        <v>25774</v>
      </c>
      <c r="AN3171" s="4" t="s">
        <v>63</v>
      </c>
      <c r="AO3171" s="4" t="s">
        <v>63</v>
      </c>
      <c r="AP3171" s="4" t="s">
        <v>63</v>
      </c>
      <c r="AQ3171" s="4" t="s">
        <v>63</v>
      </c>
      <c r="AR3171" s="4" t="s">
        <v>63</v>
      </c>
      <c r="AS3171" s="4" t="s">
        <v>63</v>
      </c>
      <c r="AT3171" s="4" t="s">
        <v>63</v>
      </c>
      <c r="AU3171" s="4" t="s">
        <v>63</v>
      </c>
      <c r="AV3171" s="4" t="s">
        <v>63</v>
      </c>
      <c r="AW3171" s="4" t="s">
        <v>63</v>
      </c>
      <c r="AX3171" s="4" t="s">
        <v>63</v>
      </c>
      <c r="AY3171" s="4" t="s">
        <v>63</v>
      </c>
      <c r="AZ3171" s="4" t="s">
        <v>63</v>
      </c>
      <c r="BA3171" s="4" t="s">
        <v>63</v>
      </c>
      <c r="BB3171" s="4" t="s">
        <v>63</v>
      </c>
      <c r="BC3171" s="4" t="s">
        <v>63</v>
      </c>
      <c r="BD3171" s="4" t="s">
        <v>63</v>
      </c>
      <c r="BE3171" s="4" t="s">
        <v>63</v>
      </c>
      <c r="BF3171" s="4" t="s">
        <v>63</v>
      </c>
    </row>
    <row r="3172" spans="1:58">
      <c r="A3172" s="4" t="s">
        <v>58</v>
      </c>
      <c r="B3172" s="4" t="s">
        <v>25775</v>
      </c>
      <c r="C3172" s="4" t="s">
        <v>25776</v>
      </c>
      <c r="D3172" s="4" t="s">
        <v>25777</v>
      </c>
      <c r="E3172" s="4" t="s">
        <v>63</v>
      </c>
      <c r="F3172" s="4">
        <v>2009</v>
      </c>
      <c r="G3172" s="4" t="s">
        <v>73</v>
      </c>
      <c r="H3172" s="4">
        <v>55</v>
      </c>
      <c r="I3172" s="4">
        <v>39</v>
      </c>
      <c r="J3172" s="4" t="s">
        <v>25778</v>
      </c>
      <c r="K3172" s="4" t="s">
        <v>63</v>
      </c>
      <c r="L3172" s="4" t="s">
        <v>25779</v>
      </c>
      <c r="M3172" s="4" t="s">
        <v>25780</v>
      </c>
      <c r="N3172" s="4" t="s">
        <v>25781</v>
      </c>
      <c r="O3172" s="4" t="s">
        <v>63</v>
      </c>
      <c r="P3172" s="4"/>
      <c r="Q3172" s="4" t="s">
        <v>63</v>
      </c>
      <c r="R3172" s="4" t="s">
        <v>63</v>
      </c>
      <c r="S3172" s="4" t="s">
        <v>63</v>
      </c>
      <c r="T3172" s="4" t="s">
        <v>63</v>
      </c>
      <c r="U3172" s="4"/>
      <c r="V3172" s="4"/>
      <c r="W3172" s="4"/>
      <c r="X3172" s="4" t="s">
        <v>63</v>
      </c>
      <c r="Y3172" s="5">
        <v>28733</v>
      </c>
      <c r="Z3172" s="4" t="s">
        <v>63</v>
      </c>
      <c r="AA3172" s="4" t="s">
        <v>25782</v>
      </c>
      <c r="AB3172" s="4" t="s">
        <v>25783</v>
      </c>
      <c r="AC3172" s="4" t="s">
        <v>67</v>
      </c>
      <c r="AD3172" s="4" t="s">
        <v>63</v>
      </c>
      <c r="AE3172" s="4" t="s">
        <v>63</v>
      </c>
      <c r="AF3172" s="4" t="s">
        <v>63</v>
      </c>
      <c r="AG3172" s="4" t="s">
        <v>63</v>
      </c>
      <c r="AH3172" s="4" t="s">
        <v>63</v>
      </c>
      <c r="AI3172" s="4" t="s">
        <v>63</v>
      </c>
      <c r="AJ3172" s="4" t="s">
        <v>63</v>
      </c>
      <c r="AK3172" s="4" t="s">
        <v>63</v>
      </c>
      <c r="AL3172" s="4" t="s">
        <v>63</v>
      </c>
      <c r="AM3172" s="4" t="s">
        <v>25784</v>
      </c>
      <c r="AN3172" s="4" t="s">
        <v>63</v>
      </c>
      <c r="AO3172" s="4" t="s">
        <v>63</v>
      </c>
      <c r="AP3172" s="4" t="s">
        <v>63</v>
      </c>
      <c r="AQ3172" s="4" t="s">
        <v>63</v>
      </c>
      <c r="AR3172" s="4" t="s">
        <v>63</v>
      </c>
      <c r="AS3172" s="4" t="s">
        <v>63</v>
      </c>
      <c r="AT3172" s="4" t="s">
        <v>63</v>
      </c>
      <c r="AU3172" s="4" t="s">
        <v>63</v>
      </c>
      <c r="AV3172" s="4" t="s">
        <v>63</v>
      </c>
      <c r="AW3172" s="4" t="s">
        <v>63</v>
      </c>
      <c r="AX3172" s="4" t="s">
        <v>63</v>
      </c>
      <c r="AY3172" s="4" t="s">
        <v>63</v>
      </c>
      <c r="AZ3172" s="4" t="s">
        <v>63</v>
      </c>
      <c r="BA3172" s="4" t="s">
        <v>63</v>
      </c>
      <c r="BB3172" s="4" t="s">
        <v>63</v>
      </c>
      <c r="BC3172" s="4" t="s">
        <v>63</v>
      </c>
      <c r="BD3172" s="4" t="s">
        <v>63</v>
      </c>
      <c r="BE3172" s="4" t="s">
        <v>63</v>
      </c>
      <c r="BF3172" s="4" t="s">
        <v>63</v>
      </c>
    </row>
    <row r="3173" spans="1:58">
      <c r="A3173" s="4" t="s">
        <v>58</v>
      </c>
      <c r="B3173" s="4" t="s">
        <v>25785</v>
      </c>
      <c r="C3173" s="4" t="s">
        <v>25786</v>
      </c>
      <c r="D3173" s="4" t="s">
        <v>23715</v>
      </c>
      <c r="E3173" s="4" t="s">
        <v>63</v>
      </c>
      <c r="F3173" s="4">
        <v>2010</v>
      </c>
      <c r="G3173" s="4" t="s">
        <v>138</v>
      </c>
      <c r="H3173" s="4">
        <v>8</v>
      </c>
      <c r="I3173" s="4">
        <v>4</v>
      </c>
      <c r="J3173" s="4">
        <v>583</v>
      </c>
      <c r="K3173" s="4">
        <v>594</v>
      </c>
      <c r="L3173" s="4" t="s">
        <v>25787</v>
      </c>
      <c r="M3173" s="4" t="s">
        <v>25788</v>
      </c>
      <c r="N3173" s="4" t="s">
        <v>25789</v>
      </c>
      <c r="O3173" s="4" t="s">
        <v>63</v>
      </c>
      <c r="P3173" s="4"/>
      <c r="Q3173" s="4" t="s">
        <v>63</v>
      </c>
      <c r="R3173" s="4" t="s">
        <v>63</v>
      </c>
      <c r="S3173" s="4" t="s">
        <v>63</v>
      </c>
      <c r="T3173" s="4" t="s">
        <v>63</v>
      </c>
      <c r="U3173" s="4"/>
      <c r="V3173" s="4"/>
      <c r="W3173" s="4"/>
      <c r="X3173" s="4" t="s">
        <v>63</v>
      </c>
      <c r="Y3173" s="4" t="s">
        <v>23719</v>
      </c>
      <c r="Z3173" s="4" t="s">
        <v>63</v>
      </c>
      <c r="AA3173" s="4" t="s">
        <v>25790</v>
      </c>
      <c r="AB3173" s="4" t="s">
        <v>25791</v>
      </c>
      <c r="AC3173" s="4" t="s">
        <v>67</v>
      </c>
      <c r="AD3173" s="4" t="s">
        <v>63</v>
      </c>
      <c r="AE3173" s="4" t="s">
        <v>63</v>
      </c>
      <c r="AF3173" s="4" t="s">
        <v>63</v>
      </c>
      <c r="AG3173" s="4" t="s">
        <v>63</v>
      </c>
      <c r="AH3173" s="4" t="s">
        <v>63</v>
      </c>
      <c r="AI3173" s="4" t="s">
        <v>63</v>
      </c>
      <c r="AJ3173" s="4" t="s">
        <v>63</v>
      </c>
      <c r="AK3173" s="4" t="s">
        <v>63</v>
      </c>
      <c r="AL3173" s="4" t="s">
        <v>63</v>
      </c>
      <c r="AM3173" s="4" t="s">
        <v>25792</v>
      </c>
      <c r="AN3173" s="4" t="s">
        <v>63</v>
      </c>
      <c r="AO3173" s="4" t="s">
        <v>63</v>
      </c>
      <c r="AP3173" s="4" t="s">
        <v>63</v>
      </c>
      <c r="AQ3173" s="4" t="s">
        <v>63</v>
      </c>
      <c r="AR3173" s="4" t="s">
        <v>63</v>
      </c>
      <c r="AS3173" s="4" t="s">
        <v>63</v>
      </c>
      <c r="AT3173" s="4" t="s">
        <v>63</v>
      </c>
      <c r="AU3173" s="4" t="s">
        <v>63</v>
      </c>
      <c r="AV3173" s="4" t="s">
        <v>63</v>
      </c>
      <c r="AW3173" s="4" t="s">
        <v>63</v>
      </c>
      <c r="AX3173" s="4" t="s">
        <v>63</v>
      </c>
      <c r="AY3173" s="4" t="s">
        <v>63</v>
      </c>
      <c r="AZ3173" s="4" t="s">
        <v>63</v>
      </c>
      <c r="BA3173" s="4" t="s">
        <v>63</v>
      </c>
      <c r="BB3173" s="4" t="s">
        <v>63</v>
      </c>
      <c r="BC3173" s="4" t="s">
        <v>63</v>
      </c>
      <c r="BD3173" s="4" t="s">
        <v>63</v>
      </c>
      <c r="BE3173" s="4" t="s">
        <v>63</v>
      </c>
      <c r="BF3173" s="4" t="s">
        <v>63</v>
      </c>
    </row>
    <row r="3174" spans="1:58">
      <c r="A3174" s="4" t="s">
        <v>25174</v>
      </c>
      <c r="B3174" s="4" t="s">
        <v>25793</v>
      </c>
      <c r="C3174" s="4" t="s">
        <v>25794</v>
      </c>
      <c r="D3174" s="4" t="s">
        <v>63</v>
      </c>
      <c r="E3174" s="4" t="s">
        <v>63</v>
      </c>
      <c r="F3174" s="4">
        <v>1988</v>
      </c>
      <c r="G3174" s="4" t="s">
        <v>63</v>
      </c>
      <c r="H3174" s="4" t="s">
        <v>63</v>
      </c>
      <c r="I3174" s="4" t="s">
        <v>63</v>
      </c>
      <c r="J3174" s="4">
        <v>21</v>
      </c>
      <c r="K3174" s="4" t="s">
        <v>63</v>
      </c>
      <c r="L3174" s="4" t="s">
        <v>25795</v>
      </c>
      <c r="M3174" s="4" t="s">
        <v>25796</v>
      </c>
      <c r="N3174" s="4" t="s">
        <v>25797</v>
      </c>
      <c r="O3174" s="4" t="s">
        <v>63</v>
      </c>
      <c r="P3174" s="4"/>
      <c r="Q3174" s="4" t="s">
        <v>63</v>
      </c>
      <c r="R3174" s="4" t="s">
        <v>63</v>
      </c>
      <c r="S3174" s="4" t="s">
        <v>25798</v>
      </c>
      <c r="T3174" s="4" t="s">
        <v>63</v>
      </c>
      <c r="U3174" s="4"/>
      <c r="V3174" s="4"/>
      <c r="W3174" s="4"/>
      <c r="X3174" s="4" t="s">
        <v>63</v>
      </c>
      <c r="Y3174" s="4" t="s">
        <v>63</v>
      </c>
      <c r="Z3174" s="4" t="s">
        <v>63</v>
      </c>
      <c r="AA3174" s="4" t="s">
        <v>63</v>
      </c>
      <c r="AB3174" s="4" t="s">
        <v>25799</v>
      </c>
      <c r="AC3174" s="4" t="s">
        <v>67</v>
      </c>
      <c r="AD3174" s="4" t="s">
        <v>63</v>
      </c>
      <c r="AE3174" s="4" t="s">
        <v>63</v>
      </c>
      <c r="AF3174" s="4" t="s">
        <v>63</v>
      </c>
      <c r="AG3174" s="4" t="s">
        <v>63</v>
      </c>
      <c r="AH3174" s="4" t="s">
        <v>63</v>
      </c>
      <c r="AI3174" s="4" t="s">
        <v>63</v>
      </c>
      <c r="AJ3174" s="4" t="s">
        <v>63</v>
      </c>
      <c r="AK3174" s="4" t="s">
        <v>63</v>
      </c>
      <c r="AL3174" s="4" t="s">
        <v>63</v>
      </c>
      <c r="AM3174" s="4" t="s">
        <v>25800</v>
      </c>
      <c r="AN3174" s="4" t="s">
        <v>63</v>
      </c>
      <c r="AO3174" s="4" t="s">
        <v>63</v>
      </c>
      <c r="AP3174" s="4" t="s">
        <v>63</v>
      </c>
      <c r="AQ3174" s="4" t="s">
        <v>63</v>
      </c>
      <c r="AR3174" s="4" t="s">
        <v>63</v>
      </c>
      <c r="AS3174" s="4" t="s">
        <v>63</v>
      </c>
      <c r="AT3174" s="4" t="s">
        <v>63</v>
      </c>
      <c r="AU3174" s="4" t="s">
        <v>63</v>
      </c>
      <c r="AV3174" s="4" t="s">
        <v>63</v>
      </c>
      <c r="AW3174" s="4" t="s">
        <v>63</v>
      </c>
      <c r="AX3174" s="4" t="s">
        <v>63</v>
      </c>
      <c r="AY3174" s="4" t="s">
        <v>63</v>
      </c>
      <c r="AZ3174" s="4" t="s">
        <v>63</v>
      </c>
      <c r="BA3174" s="4" t="s">
        <v>63</v>
      </c>
      <c r="BB3174" s="4" t="s">
        <v>63</v>
      </c>
      <c r="BC3174" s="4" t="s">
        <v>63</v>
      </c>
      <c r="BD3174" s="4" t="s">
        <v>63</v>
      </c>
      <c r="BE3174" s="4" t="s">
        <v>63</v>
      </c>
      <c r="BF3174" s="4" t="s">
        <v>63</v>
      </c>
    </row>
    <row r="3175" spans="1:58">
      <c r="A3175" s="4" t="s">
        <v>25174</v>
      </c>
      <c r="B3175" s="4" t="s">
        <v>25801</v>
      </c>
      <c r="C3175" s="4" t="s">
        <v>25802</v>
      </c>
      <c r="D3175" s="4" t="s">
        <v>63</v>
      </c>
      <c r="E3175" s="4" t="s">
        <v>63</v>
      </c>
      <c r="F3175" s="4">
        <v>437</v>
      </c>
      <c r="G3175" s="4" t="s">
        <v>25453</v>
      </c>
      <c r="H3175" s="4" t="s">
        <v>63</v>
      </c>
      <c r="I3175" s="4" t="s">
        <v>63</v>
      </c>
      <c r="J3175" s="4">
        <v>14</v>
      </c>
      <c r="K3175" s="4" t="s">
        <v>63</v>
      </c>
      <c r="L3175" s="4" t="s">
        <v>25803</v>
      </c>
      <c r="M3175" s="4" t="s">
        <v>25804</v>
      </c>
      <c r="N3175" s="4" t="s">
        <v>25805</v>
      </c>
      <c r="O3175" s="4" t="s">
        <v>63</v>
      </c>
      <c r="P3175" s="4"/>
      <c r="Q3175" s="4" t="s">
        <v>63</v>
      </c>
      <c r="R3175" s="4" t="s">
        <v>63</v>
      </c>
      <c r="S3175" s="4" t="s">
        <v>25180</v>
      </c>
      <c r="T3175" s="4" t="s">
        <v>25457</v>
      </c>
      <c r="U3175" s="4"/>
      <c r="V3175" s="4"/>
      <c r="W3175" s="4"/>
      <c r="X3175" s="4" t="s">
        <v>63</v>
      </c>
      <c r="Y3175" s="4" t="s">
        <v>63</v>
      </c>
      <c r="Z3175" s="4" t="s">
        <v>63</v>
      </c>
      <c r="AA3175" s="4" t="s">
        <v>25182</v>
      </c>
      <c r="AB3175" s="4" t="s">
        <v>25806</v>
      </c>
      <c r="AC3175" s="4" t="s">
        <v>67</v>
      </c>
      <c r="AD3175" s="4" t="s">
        <v>63</v>
      </c>
      <c r="AE3175" s="4" t="s">
        <v>63</v>
      </c>
      <c r="AF3175" s="4" t="s">
        <v>63</v>
      </c>
      <c r="AG3175" s="4" t="s">
        <v>63</v>
      </c>
      <c r="AH3175" s="4" t="s">
        <v>63</v>
      </c>
      <c r="AI3175" s="4" t="s">
        <v>63</v>
      </c>
      <c r="AJ3175" s="4" t="s">
        <v>63</v>
      </c>
      <c r="AK3175" s="4" t="s">
        <v>63</v>
      </c>
      <c r="AL3175" s="4" t="s">
        <v>63</v>
      </c>
      <c r="AM3175" s="4" t="s">
        <v>25807</v>
      </c>
      <c r="AN3175" s="4" t="s">
        <v>63</v>
      </c>
      <c r="AO3175" s="4" t="s">
        <v>63</v>
      </c>
      <c r="AP3175" s="4" t="s">
        <v>63</v>
      </c>
      <c r="AQ3175" s="4" t="s">
        <v>63</v>
      </c>
      <c r="AR3175" s="4" t="s">
        <v>63</v>
      </c>
      <c r="AS3175" s="4" t="s">
        <v>63</v>
      </c>
      <c r="AT3175" s="4" t="s">
        <v>63</v>
      </c>
      <c r="AU3175" s="4" t="s">
        <v>63</v>
      </c>
      <c r="AV3175" s="4" t="s">
        <v>63</v>
      </c>
      <c r="AW3175" s="4" t="s">
        <v>63</v>
      </c>
      <c r="AX3175" s="4" t="s">
        <v>63</v>
      </c>
      <c r="AY3175" s="4" t="s">
        <v>63</v>
      </c>
      <c r="AZ3175" s="4" t="s">
        <v>63</v>
      </c>
      <c r="BA3175" s="4" t="s">
        <v>63</v>
      </c>
      <c r="BB3175" s="4" t="s">
        <v>63</v>
      </c>
      <c r="BC3175" s="4" t="s">
        <v>63</v>
      </c>
      <c r="BD3175" s="4" t="s">
        <v>63</v>
      </c>
      <c r="BE3175" s="4" t="s">
        <v>63</v>
      </c>
      <c r="BF3175" s="4" t="s">
        <v>63</v>
      </c>
    </row>
    <row r="3176" spans="1:58">
      <c r="A3176" s="4" t="s">
        <v>25174</v>
      </c>
      <c r="B3176" s="4" t="s">
        <v>25808</v>
      </c>
      <c r="C3176" s="4" t="s">
        <v>25809</v>
      </c>
      <c r="D3176" s="4" t="s">
        <v>63</v>
      </c>
      <c r="E3176" s="4" t="s">
        <v>63</v>
      </c>
      <c r="F3176" s="4">
        <v>1985</v>
      </c>
      <c r="G3176" s="6">
        <v>41940</v>
      </c>
      <c r="H3176" s="4" t="s">
        <v>63</v>
      </c>
      <c r="I3176" s="4" t="s">
        <v>63</v>
      </c>
      <c r="J3176" s="4">
        <v>15</v>
      </c>
      <c r="K3176" s="4" t="s">
        <v>63</v>
      </c>
      <c r="L3176" s="4" t="s">
        <v>25810</v>
      </c>
      <c r="M3176" s="4" t="s">
        <v>25811</v>
      </c>
      <c r="N3176" s="4" t="s">
        <v>25812</v>
      </c>
      <c r="O3176" s="4" t="s">
        <v>63</v>
      </c>
      <c r="P3176" s="4"/>
      <c r="Q3176" s="4" t="s">
        <v>63</v>
      </c>
      <c r="R3176" s="4" t="s">
        <v>63</v>
      </c>
      <c r="S3176" s="4" t="s">
        <v>63</v>
      </c>
      <c r="T3176" s="4" t="s">
        <v>63</v>
      </c>
      <c r="U3176" s="4"/>
      <c r="V3176" s="4"/>
      <c r="W3176" s="4"/>
      <c r="X3176" s="4" t="s">
        <v>63</v>
      </c>
      <c r="Y3176" s="4" t="s">
        <v>63</v>
      </c>
      <c r="Z3176" s="4" t="s">
        <v>63</v>
      </c>
      <c r="AA3176" s="4" t="s">
        <v>63</v>
      </c>
      <c r="AB3176" s="4" t="s">
        <v>25813</v>
      </c>
      <c r="AC3176" s="4" t="s">
        <v>67</v>
      </c>
      <c r="AD3176" s="4" t="s">
        <v>63</v>
      </c>
      <c r="AE3176" s="4" t="s">
        <v>63</v>
      </c>
      <c r="AF3176" s="4" t="s">
        <v>63</v>
      </c>
      <c r="AG3176" s="4" t="s">
        <v>63</v>
      </c>
      <c r="AH3176" s="4" t="s">
        <v>63</v>
      </c>
      <c r="AI3176" s="4" t="s">
        <v>63</v>
      </c>
      <c r="AJ3176" s="4" t="s">
        <v>63</v>
      </c>
      <c r="AK3176" s="4" t="s">
        <v>63</v>
      </c>
      <c r="AL3176" s="4" t="s">
        <v>63</v>
      </c>
      <c r="AM3176" s="4" t="s">
        <v>25814</v>
      </c>
      <c r="AN3176" s="4" t="s">
        <v>63</v>
      </c>
      <c r="AO3176" s="4" t="s">
        <v>63</v>
      </c>
      <c r="AP3176" s="4" t="s">
        <v>63</v>
      </c>
      <c r="AQ3176" s="4" t="s">
        <v>63</v>
      </c>
      <c r="AR3176" s="4" t="s">
        <v>63</v>
      </c>
      <c r="AS3176" s="4" t="s">
        <v>63</v>
      </c>
      <c r="AT3176" s="4" t="s">
        <v>63</v>
      </c>
      <c r="AU3176" s="4" t="s">
        <v>63</v>
      </c>
      <c r="AV3176" s="4" t="s">
        <v>63</v>
      </c>
      <c r="AW3176" s="4" t="s">
        <v>63</v>
      </c>
      <c r="AX3176" s="4" t="s">
        <v>63</v>
      </c>
      <c r="AY3176" s="4" t="s">
        <v>63</v>
      </c>
      <c r="AZ3176" s="4" t="s">
        <v>63</v>
      </c>
      <c r="BA3176" s="4" t="s">
        <v>63</v>
      </c>
      <c r="BB3176" s="4" t="s">
        <v>63</v>
      </c>
      <c r="BC3176" s="4" t="s">
        <v>63</v>
      </c>
      <c r="BD3176" s="4" t="s">
        <v>63</v>
      </c>
      <c r="BE3176" s="4" t="s">
        <v>63</v>
      </c>
      <c r="BF3176" s="4" t="s">
        <v>63</v>
      </c>
    </row>
    <row r="3177" spans="1:58">
      <c r="A3177" s="4" t="s">
        <v>25174</v>
      </c>
      <c r="B3177" s="4" t="s">
        <v>25815</v>
      </c>
      <c r="C3177" s="4" t="s">
        <v>25816</v>
      </c>
      <c r="D3177" s="4" t="s">
        <v>63</v>
      </c>
      <c r="E3177" s="4" t="s">
        <v>63</v>
      </c>
      <c r="F3177" s="4">
        <v>1988</v>
      </c>
      <c r="G3177" s="5">
        <v>35399</v>
      </c>
      <c r="H3177" s="4" t="s">
        <v>63</v>
      </c>
      <c r="I3177" s="4" t="s">
        <v>63</v>
      </c>
      <c r="J3177" s="4">
        <v>22</v>
      </c>
      <c r="K3177" s="4" t="s">
        <v>63</v>
      </c>
      <c r="L3177" s="4" t="s">
        <v>25817</v>
      </c>
      <c r="M3177" s="4" t="s">
        <v>25818</v>
      </c>
      <c r="N3177" s="4" t="s">
        <v>25819</v>
      </c>
      <c r="O3177" s="4" t="s">
        <v>63</v>
      </c>
      <c r="P3177" s="4"/>
      <c r="Q3177" s="4" t="s">
        <v>63</v>
      </c>
      <c r="R3177" s="4" t="s">
        <v>63</v>
      </c>
      <c r="S3177" s="4" t="s">
        <v>63</v>
      </c>
      <c r="T3177" s="4" t="s">
        <v>63</v>
      </c>
      <c r="U3177" s="4"/>
      <c r="V3177" s="4"/>
      <c r="W3177" s="4"/>
      <c r="X3177" s="4" t="s">
        <v>63</v>
      </c>
      <c r="Y3177" s="4" t="s">
        <v>63</v>
      </c>
      <c r="Z3177" s="4" t="s">
        <v>63</v>
      </c>
      <c r="AA3177" s="4" t="s">
        <v>63</v>
      </c>
      <c r="AB3177" s="4" t="s">
        <v>25820</v>
      </c>
      <c r="AC3177" s="4" t="s">
        <v>67</v>
      </c>
      <c r="AD3177" s="4" t="s">
        <v>63</v>
      </c>
      <c r="AE3177" s="4" t="s">
        <v>63</v>
      </c>
      <c r="AF3177" s="4" t="s">
        <v>63</v>
      </c>
      <c r="AG3177" s="4" t="s">
        <v>63</v>
      </c>
      <c r="AH3177" s="4" t="s">
        <v>63</v>
      </c>
      <c r="AI3177" s="4" t="s">
        <v>63</v>
      </c>
      <c r="AJ3177" s="4" t="s">
        <v>63</v>
      </c>
      <c r="AK3177" s="4" t="s">
        <v>63</v>
      </c>
      <c r="AL3177" s="4" t="s">
        <v>63</v>
      </c>
      <c r="AM3177" s="4" t="s">
        <v>25821</v>
      </c>
      <c r="AN3177" s="4" t="s">
        <v>63</v>
      </c>
      <c r="AO3177" s="4" t="s">
        <v>63</v>
      </c>
      <c r="AP3177" s="4" t="s">
        <v>63</v>
      </c>
      <c r="AQ3177" s="4" t="s">
        <v>63</v>
      </c>
      <c r="AR3177" s="4" t="s">
        <v>63</v>
      </c>
      <c r="AS3177" s="4" t="s">
        <v>63</v>
      </c>
      <c r="AT3177" s="4" t="s">
        <v>63</v>
      </c>
      <c r="AU3177" s="4" t="s">
        <v>63</v>
      </c>
      <c r="AV3177" s="4" t="s">
        <v>63</v>
      </c>
      <c r="AW3177" s="4" t="s">
        <v>63</v>
      </c>
      <c r="AX3177" s="4" t="s">
        <v>63</v>
      </c>
      <c r="AY3177" s="4" t="s">
        <v>63</v>
      </c>
      <c r="AZ3177" s="4" t="s">
        <v>63</v>
      </c>
      <c r="BA3177" s="4" t="s">
        <v>63</v>
      </c>
      <c r="BB3177" s="4" t="s">
        <v>63</v>
      </c>
      <c r="BC3177" s="4" t="s">
        <v>63</v>
      </c>
      <c r="BD3177" s="4" t="s">
        <v>63</v>
      </c>
      <c r="BE3177" s="4" t="s">
        <v>63</v>
      </c>
      <c r="BF3177" s="4" t="s">
        <v>63</v>
      </c>
    </row>
    <row r="3178" spans="1:58">
      <c r="A3178" s="4" t="s">
        <v>25174</v>
      </c>
      <c r="B3178" s="4" t="s">
        <v>25822</v>
      </c>
      <c r="C3178" s="4" t="s">
        <v>25823</v>
      </c>
      <c r="D3178" s="4" t="s">
        <v>63</v>
      </c>
      <c r="E3178" s="4" t="s">
        <v>63</v>
      </c>
      <c r="F3178" s="4">
        <v>2010</v>
      </c>
      <c r="G3178" s="4" t="s">
        <v>63</v>
      </c>
      <c r="H3178" s="4" t="s">
        <v>63</v>
      </c>
      <c r="I3178" s="4" t="s">
        <v>63</v>
      </c>
      <c r="J3178" s="4">
        <v>76</v>
      </c>
      <c r="K3178" s="4" t="s">
        <v>63</v>
      </c>
      <c r="L3178" s="4" t="s">
        <v>25824</v>
      </c>
      <c r="M3178" s="4" t="s">
        <v>25825</v>
      </c>
      <c r="N3178" s="4" t="s">
        <v>25826</v>
      </c>
      <c r="O3178" s="4" t="s">
        <v>63</v>
      </c>
      <c r="P3178" s="4"/>
      <c r="Q3178" s="4" t="s">
        <v>63</v>
      </c>
      <c r="R3178" s="4" t="s">
        <v>63</v>
      </c>
      <c r="S3178" s="4" t="s">
        <v>63</v>
      </c>
      <c r="T3178" s="4" t="s">
        <v>25701</v>
      </c>
      <c r="U3178" s="4"/>
      <c r="V3178" s="4"/>
      <c r="W3178" s="4"/>
      <c r="X3178" s="4" t="s">
        <v>63</v>
      </c>
      <c r="Y3178" s="4" t="s">
        <v>63</v>
      </c>
      <c r="Z3178" s="4" t="s">
        <v>63</v>
      </c>
      <c r="AA3178" s="4" t="s">
        <v>25827</v>
      </c>
      <c r="AB3178" s="4" t="s">
        <v>25828</v>
      </c>
      <c r="AC3178" s="4" t="s">
        <v>67</v>
      </c>
      <c r="AD3178" s="4" t="s">
        <v>63</v>
      </c>
      <c r="AE3178" s="4" t="s">
        <v>63</v>
      </c>
      <c r="AF3178" s="4" t="s">
        <v>63</v>
      </c>
      <c r="AG3178" s="4" t="s">
        <v>63</v>
      </c>
      <c r="AH3178" s="4" t="s">
        <v>63</v>
      </c>
      <c r="AI3178" s="4" t="s">
        <v>63</v>
      </c>
      <c r="AJ3178" s="4" t="s">
        <v>63</v>
      </c>
      <c r="AK3178" s="4" t="s">
        <v>63</v>
      </c>
      <c r="AL3178" s="4" t="s">
        <v>63</v>
      </c>
      <c r="AM3178" s="4" t="s">
        <v>25829</v>
      </c>
      <c r="AN3178" s="4" t="s">
        <v>63</v>
      </c>
      <c r="AO3178" s="4" t="s">
        <v>63</v>
      </c>
      <c r="AP3178" s="4" t="s">
        <v>63</v>
      </c>
      <c r="AQ3178" s="4" t="s">
        <v>63</v>
      </c>
      <c r="AR3178" s="4" t="s">
        <v>63</v>
      </c>
      <c r="AS3178" s="4" t="s">
        <v>63</v>
      </c>
      <c r="AT3178" s="4" t="s">
        <v>63</v>
      </c>
      <c r="AU3178" s="4" t="s">
        <v>63</v>
      </c>
      <c r="AV3178" s="4" t="s">
        <v>63</v>
      </c>
      <c r="AW3178" s="4" t="s">
        <v>63</v>
      </c>
      <c r="AX3178" s="4" t="s">
        <v>63</v>
      </c>
      <c r="AY3178" s="4" t="s">
        <v>63</v>
      </c>
      <c r="AZ3178" s="4" t="s">
        <v>63</v>
      </c>
      <c r="BA3178" s="4" t="s">
        <v>63</v>
      </c>
      <c r="BB3178" s="4" t="s">
        <v>63</v>
      </c>
      <c r="BC3178" s="4" t="s">
        <v>63</v>
      </c>
      <c r="BD3178" s="4" t="s">
        <v>63</v>
      </c>
      <c r="BE3178" s="4" t="s">
        <v>63</v>
      </c>
      <c r="BF3178" s="4" t="s">
        <v>63</v>
      </c>
    </row>
    <row r="3179" spans="1:58">
      <c r="A3179" s="4" t="s">
        <v>25174</v>
      </c>
      <c r="B3179" s="4" t="s">
        <v>25830</v>
      </c>
      <c r="C3179" s="4" t="s">
        <v>25831</v>
      </c>
      <c r="D3179" s="4" t="s">
        <v>63</v>
      </c>
      <c r="E3179" s="4" t="s">
        <v>63</v>
      </c>
      <c r="F3179" s="4">
        <v>2013</v>
      </c>
      <c r="G3179" s="4" t="s">
        <v>63</v>
      </c>
      <c r="H3179" s="4" t="s">
        <v>63</v>
      </c>
      <c r="I3179" s="4" t="s">
        <v>63</v>
      </c>
      <c r="J3179" s="4">
        <v>131</v>
      </c>
      <c r="K3179" s="4" t="s">
        <v>63</v>
      </c>
      <c r="L3179" s="4" t="s">
        <v>25832</v>
      </c>
      <c r="M3179" s="4" t="s">
        <v>25833</v>
      </c>
      <c r="N3179" s="4" t="s">
        <v>25834</v>
      </c>
      <c r="O3179" s="4" t="s">
        <v>63</v>
      </c>
      <c r="P3179" s="4"/>
      <c r="Q3179" s="4" t="s">
        <v>63</v>
      </c>
      <c r="R3179" s="4" t="s">
        <v>63</v>
      </c>
      <c r="S3179" s="4" t="s">
        <v>63</v>
      </c>
      <c r="T3179" s="4" t="s">
        <v>25701</v>
      </c>
      <c r="U3179" s="4"/>
      <c r="V3179" s="4"/>
      <c r="W3179" s="4"/>
      <c r="X3179" s="4" t="s">
        <v>63</v>
      </c>
      <c r="Y3179" s="4" t="s">
        <v>63</v>
      </c>
      <c r="Z3179" s="4" t="s">
        <v>63</v>
      </c>
      <c r="AA3179" s="4" t="s">
        <v>25835</v>
      </c>
      <c r="AB3179" s="4" t="s">
        <v>25836</v>
      </c>
      <c r="AC3179" s="4" t="s">
        <v>67</v>
      </c>
      <c r="AD3179" s="4" t="s">
        <v>63</v>
      </c>
      <c r="AE3179" s="4" t="s">
        <v>63</v>
      </c>
      <c r="AF3179" s="4" t="s">
        <v>63</v>
      </c>
      <c r="AG3179" s="4" t="s">
        <v>63</v>
      </c>
      <c r="AH3179" s="4" t="s">
        <v>63</v>
      </c>
      <c r="AI3179" s="4" t="s">
        <v>63</v>
      </c>
      <c r="AJ3179" s="4" t="s">
        <v>63</v>
      </c>
      <c r="AK3179" s="4" t="s">
        <v>63</v>
      </c>
      <c r="AL3179" s="4" t="s">
        <v>63</v>
      </c>
      <c r="AM3179" s="4" t="s">
        <v>25837</v>
      </c>
      <c r="AN3179" s="4" t="s">
        <v>63</v>
      </c>
      <c r="AO3179" s="4" t="s">
        <v>63</v>
      </c>
      <c r="AP3179" s="4" t="s">
        <v>63</v>
      </c>
      <c r="AQ3179" s="4" t="s">
        <v>63</v>
      </c>
      <c r="AR3179" s="4" t="s">
        <v>63</v>
      </c>
      <c r="AS3179" s="4" t="s">
        <v>63</v>
      </c>
      <c r="AT3179" s="4" t="s">
        <v>63</v>
      </c>
      <c r="AU3179" s="4" t="s">
        <v>63</v>
      </c>
      <c r="AV3179" s="4" t="s">
        <v>63</v>
      </c>
      <c r="AW3179" s="4" t="s">
        <v>63</v>
      </c>
      <c r="AX3179" s="4" t="s">
        <v>63</v>
      </c>
      <c r="AY3179" s="4" t="s">
        <v>63</v>
      </c>
      <c r="AZ3179" s="4" t="s">
        <v>63</v>
      </c>
      <c r="BA3179" s="4" t="s">
        <v>63</v>
      </c>
      <c r="BB3179" s="4" t="s">
        <v>63</v>
      </c>
      <c r="BC3179" s="4" t="s">
        <v>63</v>
      </c>
      <c r="BD3179" s="4" t="s">
        <v>63</v>
      </c>
      <c r="BE3179" s="4" t="s">
        <v>63</v>
      </c>
      <c r="BF3179" s="4" t="s">
        <v>63</v>
      </c>
    </row>
    <row r="3180" spans="1:58">
      <c r="A3180" s="4" t="s">
        <v>58</v>
      </c>
      <c r="B3180" s="4" t="s">
        <v>25838</v>
      </c>
      <c r="C3180" s="4" t="s">
        <v>25839</v>
      </c>
      <c r="D3180" s="4" t="s">
        <v>23924</v>
      </c>
      <c r="E3180" s="4" t="s">
        <v>23925</v>
      </c>
      <c r="F3180" s="4">
        <v>2013</v>
      </c>
      <c r="G3180" s="4" t="s">
        <v>84</v>
      </c>
      <c r="H3180" s="4">
        <v>57</v>
      </c>
      <c r="I3180" s="4">
        <v>1</v>
      </c>
      <c r="J3180" s="4">
        <v>46</v>
      </c>
      <c r="K3180" s="4">
        <v>65</v>
      </c>
      <c r="L3180" s="4" t="s">
        <v>25840</v>
      </c>
      <c r="M3180" s="4" t="s">
        <v>25841</v>
      </c>
      <c r="N3180" s="4" t="s">
        <v>25842</v>
      </c>
      <c r="O3180" s="4" t="s">
        <v>63</v>
      </c>
      <c r="P3180" s="4"/>
      <c r="Q3180" s="4" t="s">
        <v>63</v>
      </c>
      <c r="R3180" s="4" t="s">
        <v>63</v>
      </c>
      <c r="S3180" s="4" t="s">
        <v>63</v>
      </c>
      <c r="T3180" s="4" t="s">
        <v>63</v>
      </c>
      <c r="U3180" s="4"/>
      <c r="V3180" s="4"/>
      <c r="W3180" s="4"/>
      <c r="X3180" s="4" t="s">
        <v>63</v>
      </c>
      <c r="Y3180" s="4" t="s">
        <v>23928</v>
      </c>
      <c r="Z3180" s="4" t="s">
        <v>63</v>
      </c>
      <c r="AA3180" s="4" t="s">
        <v>25843</v>
      </c>
      <c r="AB3180" s="4" t="s">
        <v>25844</v>
      </c>
      <c r="AC3180" s="4" t="s">
        <v>67</v>
      </c>
      <c r="AD3180" s="4" t="s">
        <v>63</v>
      </c>
      <c r="AE3180" s="4" t="s">
        <v>63</v>
      </c>
      <c r="AF3180" s="4" t="s">
        <v>63</v>
      </c>
      <c r="AG3180" s="4" t="s">
        <v>63</v>
      </c>
      <c r="AH3180" s="4" t="s">
        <v>63</v>
      </c>
      <c r="AI3180" s="4" t="s">
        <v>63</v>
      </c>
      <c r="AJ3180" s="4" t="s">
        <v>63</v>
      </c>
      <c r="AK3180" s="4" t="s">
        <v>63</v>
      </c>
      <c r="AL3180" s="4" t="s">
        <v>63</v>
      </c>
      <c r="AM3180" s="4" t="s">
        <v>25845</v>
      </c>
      <c r="AN3180" s="4" t="s">
        <v>63</v>
      </c>
      <c r="AO3180" s="4" t="s">
        <v>63</v>
      </c>
      <c r="AP3180" s="4" t="s">
        <v>63</v>
      </c>
      <c r="AQ3180" s="4" t="s">
        <v>63</v>
      </c>
      <c r="AR3180" s="4" t="s">
        <v>63</v>
      </c>
      <c r="AS3180" s="4" t="s">
        <v>63</v>
      </c>
      <c r="AT3180" s="4" t="s">
        <v>63</v>
      </c>
      <c r="AU3180" s="4" t="s">
        <v>63</v>
      </c>
      <c r="AV3180" s="4" t="s">
        <v>63</v>
      </c>
      <c r="AW3180" s="4" t="s">
        <v>63</v>
      </c>
      <c r="AX3180" s="4" t="s">
        <v>63</v>
      </c>
      <c r="AY3180" s="4" t="s">
        <v>63</v>
      </c>
      <c r="AZ3180" s="4" t="s">
        <v>63</v>
      </c>
      <c r="BA3180" s="4" t="s">
        <v>63</v>
      </c>
      <c r="BB3180" s="4" t="s">
        <v>63</v>
      </c>
      <c r="BC3180" s="4" t="s">
        <v>63</v>
      </c>
      <c r="BD3180" s="4" t="s">
        <v>63</v>
      </c>
      <c r="BE3180" s="4" t="s">
        <v>63</v>
      </c>
      <c r="BF3180" s="4" t="s">
        <v>63</v>
      </c>
    </row>
    <row r="3181" spans="1:58">
      <c r="A3181" s="4" t="s">
        <v>25174</v>
      </c>
      <c r="B3181" s="4" t="s">
        <v>25846</v>
      </c>
      <c r="C3181" s="4" t="s">
        <v>25847</v>
      </c>
      <c r="D3181" s="4" t="s">
        <v>63</v>
      </c>
      <c r="E3181" s="4" t="s">
        <v>63</v>
      </c>
      <c r="F3181" s="4">
        <v>1985</v>
      </c>
      <c r="G3181" s="5">
        <v>35277</v>
      </c>
      <c r="H3181" s="4" t="s">
        <v>63</v>
      </c>
      <c r="I3181" s="4" t="s">
        <v>63</v>
      </c>
      <c r="J3181" s="4">
        <v>22</v>
      </c>
      <c r="K3181" s="4" t="s">
        <v>63</v>
      </c>
      <c r="L3181" s="4" t="s">
        <v>25848</v>
      </c>
      <c r="M3181" s="4" t="s">
        <v>25849</v>
      </c>
      <c r="N3181" s="4" t="s">
        <v>25850</v>
      </c>
      <c r="O3181" s="4" t="s">
        <v>63</v>
      </c>
      <c r="P3181" s="4"/>
      <c r="Q3181" s="4" t="s">
        <v>63</v>
      </c>
      <c r="R3181" s="4" t="s">
        <v>63</v>
      </c>
      <c r="S3181" s="4" t="s">
        <v>63</v>
      </c>
      <c r="T3181" s="4" t="s">
        <v>63</v>
      </c>
      <c r="U3181" s="4"/>
      <c r="V3181" s="4"/>
      <c r="W3181" s="4"/>
      <c r="X3181" s="4" t="s">
        <v>63</v>
      </c>
      <c r="Y3181" s="4" t="s">
        <v>63</v>
      </c>
      <c r="Z3181" s="4" t="s">
        <v>63</v>
      </c>
      <c r="AA3181" s="4" t="s">
        <v>63</v>
      </c>
      <c r="AB3181" s="4" t="s">
        <v>25851</v>
      </c>
      <c r="AC3181" s="4" t="s">
        <v>67</v>
      </c>
      <c r="AD3181" s="4" t="s">
        <v>63</v>
      </c>
      <c r="AE3181" s="4" t="s">
        <v>63</v>
      </c>
      <c r="AF3181" s="4" t="s">
        <v>63</v>
      </c>
      <c r="AG3181" s="4" t="s">
        <v>63</v>
      </c>
      <c r="AH3181" s="4" t="s">
        <v>63</v>
      </c>
      <c r="AI3181" s="4" t="s">
        <v>63</v>
      </c>
      <c r="AJ3181" s="4" t="s">
        <v>63</v>
      </c>
      <c r="AK3181" s="4" t="s">
        <v>63</v>
      </c>
      <c r="AL3181" s="4" t="s">
        <v>63</v>
      </c>
      <c r="AM3181" s="4" t="s">
        <v>25852</v>
      </c>
      <c r="AN3181" s="4" t="s">
        <v>63</v>
      </c>
      <c r="AO3181" s="4" t="s">
        <v>63</v>
      </c>
      <c r="AP3181" s="4" t="s">
        <v>63</v>
      </c>
      <c r="AQ3181" s="4" t="s">
        <v>63</v>
      </c>
      <c r="AR3181" s="4" t="s">
        <v>63</v>
      </c>
      <c r="AS3181" s="4" t="s">
        <v>63</v>
      </c>
      <c r="AT3181" s="4" t="s">
        <v>63</v>
      </c>
      <c r="AU3181" s="4" t="s">
        <v>63</v>
      </c>
      <c r="AV3181" s="4" t="s">
        <v>63</v>
      </c>
      <c r="AW3181" s="4" t="s">
        <v>63</v>
      </c>
      <c r="AX3181" s="4" t="s">
        <v>63</v>
      </c>
      <c r="AY3181" s="4" t="s">
        <v>63</v>
      </c>
      <c r="AZ3181" s="4" t="s">
        <v>63</v>
      </c>
      <c r="BA3181" s="4" t="s">
        <v>63</v>
      </c>
      <c r="BB3181" s="4" t="s">
        <v>63</v>
      </c>
      <c r="BC3181" s="4" t="s">
        <v>63</v>
      </c>
      <c r="BD3181" s="4" t="s">
        <v>63</v>
      </c>
      <c r="BE3181" s="4" t="s">
        <v>63</v>
      </c>
      <c r="BF3181" s="4" t="s">
        <v>63</v>
      </c>
    </row>
  </sheetData>
  <pageMargins left="0.75" right="0.75" top="1" bottom="1" header="0.5" footer="0.5"/>
  <extLst>
    <ext xmlns:mx="http://schemas.microsoft.com/office/mac/excel/2008/main" uri="{64002731-A6B0-56B0-2670-7721B7C09600}">
      <mx:PLV Mode="0" OnePage="0" WScale="0"/>
    </ext>
  </extLst>
</worksheet>
</file>

<file path=xl/worksheets/sheet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2:BF90"/>
  <sheetViews>
    <sheetView workbookViewId="0">
      <selection sqref="A1:XFD1048576"/>
    </sheetView>
  </sheetViews>
  <sheetFormatPr baseColWidth="10" defaultRowHeight="15" x14ac:dyDescent="0"/>
  <sheetData>
    <row r="2" spans="1:58">
      <c r="A2" t="s">
        <v>0</v>
      </c>
      <c r="B2" t="s">
        <v>1</v>
      </c>
      <c r="C2" t="s">
        <v>2</v>
      </c>
      <c r="D2" t="s">
        <v>3</v>
      </c>
      <c r="E2" t="s">
        <v>4</v>
      </c>
      <c r="F2" t="s">
        <v>5</v>
      </c>
      <c r="G2" t="s">
        <v>6</v>
      </c>
      <c r="H2" t="s">
        <v>7</v>
      </c>
      <c r="I2" t="s">
        <v>8</v>
      </c>
      <c r="J2" t="s">
        <v>9</v>
      </c>
      <c r="K2" t="s">
        <v>10</v>
      </c>
      <c r="L2" t="s">
        <v>11</v>
      </c>
      <c r="M2" t="s">
        <v>12</v>
      </c>
      <c r="N2" t="s">
        <v>13</v>
      </c>
      <c r="O2" t="s">
        <v>14</v>
      </c>
      <c r="P2" t="s">
        <v>15</v>
      </c>
      <c r="Q2" t="s">
        <v>16</v>
      </c>
      <c r="R2" t="s">
        <v>17</v>
      </c>
      <c r="S2" t="s">
        <v>18</v>
      </c>
      <c r="T2" t="s">
        <v>19</v>
      </c>
      <c r="U2" t="s">
        <v>20</v>
      </c>
      <c r="V2" t="s">
        <v>21</v>
      </c>
      <c r="W2" t="s">
        <v>22</v>
      </c>
      <c r="X2" t="s">
        <v>23</v>
      </c>
      <c r="Y2" t="s">
        <v>24</v>
      </c>
      <c r="Z2" t="s">
        <v>25</v>
      </c>
      <c r="AA2" t="s">
        <v>26</v>
      </c>
      <c r="AB2" t="s">
        <v>27</v>
      </c>
      <c r="AC2" t="s">
        <v>28</v>
      </c>
      <c r="AD2" t="s">
        <v>29</v>
      </c>
      <c r="AE2" t="s">
        <v>30</v>
      </c>
      <c r="AF2" t="s">
        <v>31</v>
      </c>
      <c r="AG2" t="s">
        <v>32</v>
      </c>
      <c r="AH2" t="s">
        <v>33</v>
      </c>
      <c r="AI2" t="s">
        <v>34</v>
      </c>
      <c r="AJ2" t="s">
        <v>35</v>
      </c>
      <c r="AK2" t="s">
        <v>36</v>
      </c>
      <c r="AL2" t="s">
        <v>37</v>
      </c>
      <c r="AM2" t="s">
        <v>38</v>
      </c>
      <c r="AN2" t="s">
        <v>39</v>
      </c>
      <c r="AO2" t="s">
        <v>40</v>
      </c>
      <c r="AP2" t="s">
        <v>41</v>
      </c>
      <c r="AQ2" t="s">
        <v>42</v>
      </c>
      <c r="AR2" t="s">
        <v>43</v>
      </c>
      <c r="AS2" t="s">
        <v>44</v>
      </c>
      <c r="AT2" t="s">
        <v>45</v>
      </c>
      <c r="AU2" t="s">
        <v>46</v>
      </c>
      <c r="AV2" t="s">
        <v>47</v>
      </c>
      <c r="AW2" t="s">
        <v>48</v>
      </c>
      <c r="AX2" t="s">
        <v>49</v>
      </c>
      <c r="AY2" t="s">
        <v>50</v>
      </c>
      <c r="AZ2" t="s">
        <v>51</v>
      </c>
      <c r="BA2" t="s">
        <v>52</v>
      </c>
      <c r="BB2" t="s">
        <v>53</v>
      </c>
      <c r="BC2" t="s">
        <v>54</v>
      </c>
      <c r="BD2" t="s">
        <v>55</v>
      </c>
      <c r="BE2" t="s">
        <v>56</v>
      </c>
      <c r="BF2" t="s">
        <v>57</v>
      </c>
    </row>
    <row r="4" spans="1:58">
      <c r="A4" t="s">
        <v>25174</v>
      </c>
      <c r="C4" t="s">
        <v>25175</v>
      </c>
      <c r="D4" t="s">
        <v>63</v>
      </c>
      <c r="E4" t="s">
        <v>63</v>
      </c>
      <c r="F4">
        <v>437</v>
      </c>
      <c r="G4" t="s">
        <v>25176</v>
      </c>
      <c r="H4" t="s">
        <v>63</v>
      </c>
      <c r="I4" t="s">
        <v>63</v>
      </c>
      <c r="J4">
        <v>43</v>
      </c>
      <c r="K4" t="s">
        <v>63</v>
      </c>
      <c r="L4" t="s">
        <v>25177</v>
      </c>
      <c r="M4" t="s">
        <v>25178</v>
      </c>
      <c r="N4" t="s">
        <v>25179</v>
      </c>
      <c r="O4" t="s">
        <v>63</v>
      </c>
      <c r="Q4" t="s">
        <v>63</v>
      </c>
      <c r="R4" t="s">
        <v>63</v>
      </c>
      <c r="S4" t="s">
        <v>25180</v>
      </c>
      <c r="T4" t="s">
        <v>25181</v>
      </c>
      <c r="X4" t="s">
        <v>63</v>
      </c>
      <c r="Y4" t="s">
        <v>63</v>
      </c>
      <c r="Z4" t="s">
        <v>63</v>
      </c>
      <c r="AA4" t="s">
        <v>25182</v>
      </c>
      <c r="AB4" t="s">
        <v>25183</v>
      </c>
      <c r="AC4" t="s">
        <v>67</v>
      </c>
      <c r="AD4" t="s">
        <v>63</v>
      </c>
      <c r="AE4" t="s">
        <v>63</v>
      </c>
      <c r="AF4" t="s">
        <v>63</v>
      </c>
      <c r="AG4" t="s">
        <v>63</v>
      </c>
      <c r="AH4" t="s">
        <v>63</v>
      </c>
      <c r="AI4" t="s">
        <v>63</v>
      </c>
      <c r="AJ4" t="s">
        <v>63</v>
      </c>
      <c r="AK4" t="s">
        <v>63</v>
      </c>
      <c r="AL4" t="s">
        <v>63</v>
      </c>
      <c r="AM4" t="s">
        <v>25184</v>
      </c>
      <c r="AN4" t="s">
        <v>63</v>
      </c>
      <c r="AO4" t="s">
        <v>63</v>
      </c>
      <c r="AP4" t="s">
        <v>63</v>
      </c>
      <c r="AQ4" t="s">
        <v>63</v>
      </c>
      <c r="AR4" t="s">
        <v>63</v>
      </c>
      <c r="AS4" t="s">
        <v>63</v>
      </c>
      <c r="AT4" t="s">
        <v>63</v>
      </c>
      <c r="AU4" t="s">
        <v>63</v>
      </c>
      <c r="AV4" t="s">
        <v>63</v>
      </c>
      <c r="AW4" t="s">
        <v>63</v>
      </c>
      <c r="AX4" t="s">
        <v>63</v>
      </c>
      <c r="AY4" t="s">
        <v>63</v>
      </c>
      <c r="AZ4" t="s">
        <v>63</v>
      </c>
      <c r="BA4" t="s">
        <v>63</v>
      </c>
      <c r="BB4" t="s">
        <v>63</v>
      </c>
      <c r="BC4" t="s">
        <v>63</v>
      </c>
      <c r="BD4" t="s">
        <v>63</v>
      </c>
      <c r="BE4" t="s">
        <v>63</v>
      </c>
      <c r="BF4" t="s">
        <v>63</v>
      </c>
    </row>
    <row r="5" spans="1:58">
      <c r="A5" t="s">
        <v>58</v>
      </c>
      <c r="C5" t="s">
        <v>25185</v>
      </c>
      <c r="D5" t="s">
        <v>389</v>
      </c>
      <c r="E5" t="s">
        <v>63</v>
      </c>
      <c r="F5">
        <v>2012</v>
      </c>
      <c r="G5" t="s">
        <v>63</v>
      </c>
      <c r="H5">
        <v>33</v>
      </c>
      <c r="I5">
        <v>2</v>
      </c>
      <c r="J5">
        <v>199</v>
      </c>
      <c r="K5">
        <v>225</v>
      </c>
      <c r="L5" t="s">
        <v>25186</v>
      </c>
      <c r="M5" t="s">
        <v>25187</v>
      </c>
      <c r="N5" t="s">
        <v>25188</v>
      </c>
      <c r="O5" t="s">
        <v>63</v>
      </c>
      <c r="Q5" t="s">
        <v>63</v>
      </c>
      <c r="R5" t="s">
        <v>63</v>
      </c>
      <c r="S5" t="s">
        <v>63</v>
      </c>
      <c r="T5" t="s">
        <v>63</v>
      </c>
      <c r="X5" t="s">
        <v>63</v>
      </c>
      <c r="Y5" t="s">
        <v>392</v>
      </c>
      <c r="Z5" t="s">
        <v>63</v>
      </c>
      <c r="AA5" t="s">
        <v>25189</v>
      </c>
      <c r="AB5" t="s">
        <v>25190</v>
      </c>
      <c r="AC5" t="s">
        <v>67</v>
      </c>
      <c r="AD5" t="s">
        <v>63</v>
      </c>
      <c r="AE5" t="s">
        <v>63</v>
      </c>
      <c r="AF5" t="s">
        <v>63</v>
      </c>
      <c r="AG5" t="s">
        <v>63</v>
      </c>
      <c r="AH5" t="s">
        <v>63</v>
      </c>
      <c r="AI5" t="s">
        <v>63</v>
      </c>
      <c r="AJ5" t="s">
        <v>63</v>
      </c>
      <c r="AK5" t="s">
        <v>63</v>
      </c>
      <c r="AL5" t="s">
        <v>63</v>
      </c>
      <c r="AM5" t="s">
        <v>25191</v>
      </c>
      <c r="AN5" t="s">
        <v>63</v>
      </c>
      <c r="AO5" t="s">
        <v>63</v>
      </c>
      <c r="AP5" t="s">
        <v>63</v>
      </c>
      <c r="AQ5" t="s">
        <v>63</v>
      </c>
      <c r="AR5" t="s">
        <v>63</v>
      </c>
      <c r="AS5" t="s">
        <v>63</v>
      </c>
      <c r="AT5" t="s">
        <v>63</v>
      </c>
      <c r="AU5" t="s">
        <v>63</v>
      </c>
      <c r="AV5" t="s">
        <v>63</v>
      </c>
      <c r="AW5" t="s">
        <v>63</v>
      </c>
      <c r="AX5" t="s">
        <v>63</v>
      </c>
      <c r="AY5" t="s">
        <v>63</v>
      </c>
      <c r="AZ5" t="s">
        <v>63</v>
      </c>
      <c r="BA5" t="s">
        <v>63</v>
      </c>
      <c r="BB5" t="s">
        <v>63</v>
      </c>
      <c r="BC5" t="s">
        <v>63</v>
      </c>
      <c r="BD5" t="s">
        <v>63</v>
      </c>
      <c r="BE5" t="s">
        <v>63</v>
      </c>
      <c r="BF5" t="s">
        <v>63</v>
      </c>
    </row>
    <row r="6" spans="1:58">
      <c r="A6" t="s">
        <v>25174</v>
      </c>
      <c r="C6" t="s">
        <v>25192</v>
      </c>
      <c r="D6" t="s">
        <v>63</v>
      </c>
      <c r="E6" t="s">
        <v>63</v>
      </c>
      <c r="F6">
        <v>2011</v>
      </c>
      <c r="G6" t="s">
        <v>63</v>
      </c>
      <c r="H6" t="s">
        <v>63</v>
      </c>
      <c r="I6" t="s">
        <v>63</v>
      </c>
      <c r="J6">
        <v>146</v>
      </c>
      <c r="K6" t="s">
        <v>63</v>
      </c>
      <c r="L6" t="s">
        <v>25193</v>
      </c>
      <c r="M6" t="s">
        <v>25194</v>
      </c>
      <c r="N6" t="s">
        <v>25195</v>
      </c>
      <c r="O6" t="s">
        <v>63</v>
      </c>
      <c r="Q6" t="s">
        <v>63</v>
      </c>
      <c r="R6" t="s">
        <v>63</v>
      </c>
      <c r="S6" t="s">
        <v>25196</v>
      </c>
      <c r="T6" t="s">
        <v>25197</v>
      </c>
      <c r="X6" t="s">
        <v>63</v>
      </c>
      <c r="Y6" t="s">
        <v>63</v>
      </c>
      <c r="Z6" t="s">
        <v>63</v>
      </c>
      <c r="AA6" t="s">
        <v>25198</v>
      </c>
      <c r="AB6" t="s">
        <v>25199</v>
      </c>
      <c r="AC6" t="s">
        <v>67</v>
      </c>
      <c r="AD6" t="s">
        <v>63</v>
      </c>
      <c r="AE6" t="s">
        <v>63</v>
      </c>
      <c r="AF6" t="s">
        <v>63</v>
      </c>
      <c r="AG6" t="s">
        <v>63</v>
      </c>
      <c r="AH6" t="s">
        <v>63</v>
      </c>
      <c r="AI6" t="s">
        <v>63</v>
      </c>
      <c r="AJ6" t="s">
        <v>63</v>
      </c>
      <c r="AK6" t="s">
        <v>63</v>
      </c>
      <c r="AL6" t="s">
        <v>63</v>
      </c>
      <c r="AM6" t="s">
        <v>25200</v>
      </c>
      <c r="AN6" t="s">
        <v>63</v>
      </c>
      <c r="AO6" t="s">
        <v>63</v>
      </c>
      <c r="AP6" t="s">
        <v>63</v>
      </c>
      <c r="AQ6" t="s">
        <v>63</v>
      </c>
      <c r="AR6" t="s">
        <v>63</v>
      </c>
      <c r="AS6" t="s">
        <v>63</v>
      </c>
      <c r="AT6" t="s">
        <v>63</v>
      </c>
      <c r="AU6" t="s">
        <v>63</v>
      </c>
      <c r="AV6" t="s">
        <v>63</v>
      </c>
      <c r="AW6" t="s">
        <v>63</v>
      </c>
      <c r="AX6" t="s">
        <v>63</v>
      </c>
      <c r="AY6" t="s">
        <v>63</v>
      </c>
      <c r="AZ6" t="s">
        <v>63</v>
      </c>
      <c r="BA6" t="s">
        <v>63</v>
      </c>
      <c r="BB6" t="s">
        <v>63</v>
      </c>
      <c r="BC6" t="s">
        <v>63</v>
      </c>
      <c r="BD6" t="s">
        <v>63</v>
      </c>
      <c r="BE6" t="s">
        <v>63</v>
      </c>
      <c r="BF6" t="s">
        <v>63</v>
      </c>
    </row>
    <row r="7" spans="1:58">
      <c r="A7" t="s">
        <v>25174</v>
      </c>
      <c r="C7" t="s">
        <v>25201</v>
      </c>
      <c r="D7" t="s">
        <v>63</v>
      </c>
      <c r="E7" t="s">
        <v>63</v>
      </c>
      <c r="F7">
        <v>2004</v>
      </c>
      <c r="G7" s="2">
        <v>35399</v>
      </c>
      <c r="H7" t="s">
        <v>63</v>
      </c>
      <c r="I7" t="s">
        <v>63</v>
      </c>
      <c r="J7">
        <v>77</v>
      </c>
      <c r="K7" t="s">
        <v>63</v>
      </c>
      <c r="L7" t="s">
        <v>25202</v>
      </c>
      <c r="M7" t="s">
        <v>25203</v>
      </c>
      <c r="N7" t="s">
        <v>25204</v>
      </c>
      <c r="O7" t="s">
        <v>63</v>
      </c>
      <c r="Q7" t="s">
        <v>63</v>
      </c>
      <c r="R7" t="s">
        <v>63</v>
      </c>
      <c r="S7" t="s">
        <v>25205</v>
      </c>
      <c r="T7" t="s">
        <v>25206</v>
      </c>
      <c r="X7" t="s">
        <v>63</v>
      </c>
      <c r="Y7" t="s">
        <v>63</v>
      </c>
      <c r="Z7" t="s">
        <v>63</v>
      </c>
      <c r="AA7" t="s">
        <v>25207</v>
      </c>
      <c r="AB7" t="s">
        <v>25208</v>
      </c>
      <c r="AC7" t="s">
        <v>67</v>
      </c>
      <c r="AD7" t="s">
        <v>63</v>
      </c>
      <c r="AE7" t="s">
        <v>63</v>
      </c>
      <c r="AF7" t="s">
        <v>63</v>
      </c>
      <c r="AG7" t="s">
        <v>63</v>
      </c>
      <c r="AH7" t="s">
        <v>63</v>
      </c>
      <c r="AI7" t="s">
        <v>63</v>
      </c>
      <c r="AJ7" t="s">
        <v>63</v>
      </c>
      <c r="AK7" t="s">
        <v>63</v>
      </c>
      <c r="AL7" t="s">
        <v>63</v>
      </c>
      <c r="AM7" t="s">
        <v>25209</v>
      </c>
      <c r="AN7" t="s">
        <v>63</v>
      </c>
      <c r="AO7" t="s">
        <v>63</v>
      </c>
      <c r="AP7" t="s">
        <v>63</v>
      </c>
      <c r="AQ7" t="s">
        <v>63</v>
      </c>
      <c r="AR7" t="s">
        <v>63</v>
      </c>
      <c r="AS7" t="s">
        <v>63</v>
      </c>
      <c r="AT7" t="s">
        <v>63</v>
      </c>
      <c r="AU7" t="s">
        <v>63</v>
      </c>
      <c r="AV7" t="s">
        <v>63</v>
      </c>
      <c r="AW7" t="s">
        <v>63</v>
      </c>
      <c r="AX7" t="s">
        <v>63</v>
      </c>
      <c r="AY7" t="s">
        <v>63</v>
      </c>
      <c r="AZ7" t="s">
        <v>63</v>
      </c>
      <c r="BA7" t="s">
        <v>63</v>
      </c>
      <c r="BB7" t="s">
        <v>63</v>
      </c>
      <c r="BC7" t="s">
        <v>63</v>
      </c>
      <c r="BD7" t="s">
        <v>63</v>
      </c>
      <c r="BE7" t="s">
        <v>63</v>
      </c>
      <c r="BF7" t="s">
        <v>63</v>
      </c>
    </row>
    <row r="8" spans="1:58">
      <c r="A8" t="s">
        <v>25174</v>
      </c>
      <c r="C8" t="s">
        <v>25210</v>
      </c>
      <c r="D8" t="s">
        <v>63</v>
      </c>
      <c r="E8" t="s">
        <v>63</v>
      </c>
      <c r="F8">
        <v>2001</v>
      </c>
      <c r="G8" s="2">
        <v>35369</v>
      </c>
      <c r="H8" t="s">
        <v>63</v>
      </c>
      <c r="I8" t="s">
        <v>63</v>
      </c>
      <c r="J8">
        <v>59</v>
      </c>
      <c r="K8" t="s">
        <v>63</v>
      </c>
      <c r="L8" t="s">
        <v>25211</v>
      </c>
      <c r="M8" t="s">
        <v>25212</v>
      </c>
      <c r="N8" t="s">
        <v>25213</v>
      </c>
      <c r="O8" t="s">
        <v>63</v>
      </c>
      <c r="Q8" t="s">
        <v>63</v>
      </c>
      <c r="R8" t="s">
        <v>63</v>
      </c>
      <c r="S8" t="s">
        <v>25214</v>
      </c>
      <c r="T8" t="s">
        <v>25215</v>
      </c>
      <c r="X8" t="s">
        <v>63</v>
      </c>
      <c r="Y8" t="s">
        <v>63</v>
      </c>
      <c r="Z8" t="s">
        <v>63</v>
      </c>
      <c r="AA8" t="s">
        <v>25216</v>
      </c>
      <c r="AB8" t="s">
        <v>25217</v>
      </c>
      <c r="AC8" t="s">
        <v>67</v>
      </c>
      <c r="AD8" t="s">
        <v>63</v>
      </c>
      <c r="AE8" t="s">
        <v>63</v>
      </c>
      <c r="AF8" t="s">
        <v>63</v>
      </c>
      <c r="AG8" t="s">
        <v>63</v>
      </c>
      <c r="AH8" t="s">
        <v>63</v>
      </c>
      <c r="AI8" t="s">
        <v>63</v>
      </c>
      <c r="AJ8" t="s">
        <v>63</v>
      </c>
      <c r="AK8" t="s">
        <v>63</v>
      </c>
      <c r="AL8" t="s">
        <v>63</v>
      </c>
      <c r="AM8" t="s">
        <v>25218</v>
      </c>
      <c r="AN8" t="s">
        <v>63</v>
      </c>
      <c r="AO8" t="s">
        <v>63</v>
      </c>
      <c r="AP8" t="s">
        <v>63</v>
      </c>
      <c r="AQ8" t="s">
        <v>63</v>
      </c>
      <c r="AR8" t="s">
        <v>63</v>
      </c>
      <c r="AS8" t="s">
        <v>63</v>
      </c>
      <c r="AT8" t="s">
        <v>63</v>
      </c>
      <c r="AU8" t="s">
        <v>63</v>
      </c>
      <c r="AV8" t="s">
        <v>63</v>
      </c>
      <c r="AW8" t="s">
        <v>63</v>
      </c>
      <c r="AX8" t="s">
        <v>63</v>
      </c>
      <c r="AY8" t="s">
        <v>63</v>
      </c>
      <c r="AZ8" t="s">
        <v>63</v>
      </c>
      <c r="BA8" t="s">
        <v>63</v>
      </c>
      <c r="BB8" t="s">
        <v>63</v>
      </c>
      <c r="BC8" t="s">
        <v>63</v>
      </c>
      <c r="BD8" t="s">
        <v>63</v>
      </c>
      <c r="BE8" t="s">
        <v>63</v>
      </c>
      <c r="BF8" t="s">
        <v>63</v>
      </c>
    </row>
    <row r="9" spans="1:58">
      <c r="A9" t="s">
        <v>25174</v>
      </c>
      <c r="C9" t="s">
        <v>25219</v>
      </c>
      <c r="D9" t="s">
        <v>63</v>
      </c>
      <c r="E9" t="s">
        <v>63</v>
      </c>
      <c r="F9">
        <v>2000</v>
      </c>
      <c r="G9" s="2">
        <v>35155</v>
      </c>
      <c r="H9" t="s">
        <v>63</v>
      </c>
      <c r="I9" t="s">
        <v>63</v>
      </c>
      <c r="J9">
        <v>115</v>
      </c>
      <c r="K9" t="s">
        <v>63</v>
      </c>
      <c r="L9" t="s">
        <v>25220</v>
      </c>
      <c r="M9" t="s">
        <v>25221</v>
      </c>
      <c r="N9" t="s">
        <v>25222</v>
      </c>
      <c r="O9" t="s">
        <v>63</v>
      </c>
      <c r="Q9" t="s">
        <v>63</v>
      </c>
      <c r="R9" t="s">
        <v>63</v>
      </c>
      <c r="S9" t="s">
        <v>25214</v>
      </c>
      <c r="T9" t="s">
        <v>63</v>
      </c>
      <c r="X9" t="s">
        <v>63</v>
      </c>
      <c r="Y9" t="s">
        <v>63</v>
      </c>
      <c r="Z9" t="s">
        <v>63</v>
      </c>
      <c r="AA9" t="s">
        <v>63</v>
      </c>
      <c r="AB9" t="s">
        <v>25223</v>
      </c>
      <c r="AC9" t="s">
        <v>67</v>
      </c>
      <c r="AD9" t="s">
        <v>63</v>
      </c>
      <c r="AE9" t="s">
        <v>63</v>
      </c>
      <c r="AF9" t="s">
        <v>63</v>
      </c>
      <c r="AG9" t="s">
        <v>63</v>
      </c>
      <c r="AH9" t="s">
        <v>63</v>
      </c>
      <c r="AI9" t="s">
        <v>63</v>
      </c>
      <c r="AJ9" t="s">
        <v>63</v>
      </c>
      <c r="AK9" t="s">
        <v>63</v>
      </c>
      <c r="AL9" t="s">
        <v>63</v>
      </c>
      <c r="AM9" t="s">
        <v>25224</v>
      </c>
      <c r="AN9" t="s">
        <v>63</v>
      </c>
      <c r="AO9" t="s">
        <v>63</v>
      </c>
      <c r="AP9" t="s">
        <v>63</v>
      </c>
      <c r="AQ9" t="s">
        <v>63</v>
      </c>
      <c r="AR9" t="s">
        <v>63</v>
      </c>
      <c r="AS9" t="s">
        <v>63</v>
      </c>
      <c r="AT9" t="s">
        <v>63</v>
      </c>
      <c r="AU9" t="s">
        <v>63</v>
      </c>
      <c r="AV9" t="s">
        <v>63</v>
      </c>
      <c r="AW9" t="s">
        <v>63</v>
      </c>
      <c r="AX9" t="s">
        <v>63</v>
      </c>
      <c r="AY9" t="s">
        <v>63</v>
      </c>
      <c r="AZ9" t="s">
        <v>63</v>
      </c>
      <c r="BA9" t="s">
        <v>63</v>
      </c>
      <c r="BB9" t="s">
        <v>63</v>
      </c>
      <c r="BC9" t="s">
        <v>63</v>
      </c>
      <c r="BD9" t="s">
        <v>63</v>
      </c>
      <c r="BE9" t="s">
        <v>63</v>
      </c>
      <c r="BF9" t="s">
        <v>63</v>
      </c>
    </row>
    <row r="10" spans="1:58">
      <c r="A10" t="s">
        <v>25174</v>
      </c>
      <c r="C10" t="s">
        <v>25225</v>
      </c>
      <c r="D10" t="s">
        <v>63</v>
      </c>
      <c r="E10" t="s">
        <v>63</v>
      </c>
      <c r="F10">
        <v>2000</v>
      </c>
      <c r="G10" s="2">
        <v>35308</v>
      </c>
      <c r="H10" t="s">
        <v>63</v>
      </c>
      <c r="I10" t="s">
        <v>63</v>
      </c>
      <c r="J10">
        <v>44</v>
      </c>
      <c r="K10" t="s">
        <v>63</v>
      </c>
      <c r="L10" t="s">
        <v>25226</v>
      </c>
      <c r="M10" t="s">
        <v>25227</v>
      </c>
      <c r="N10" t="s">
        <v>25228</v>
      </c>
      <c r="O10" t="s">
        <v>63</v>
      </c>
      <c r="Q10" t="s">
        <v>63</v>
      </c>
      <c r="R10" t="s">
        <v>63</v>
      </c>
      <c r="S10" t="s">
        <v>25214</v>
      </c>
      <c r="T10" t="s">
        <v>25229</v>
      </c>
      <c r="X10" t="s">
        <v>63</v>
      </c>
      <c r="Y10" t="s">
        <v>63</v>
      </c>
      <c r="Z10" t="s">
        <v>63</v>
      </c>
      <c r="AA10" t="s">
        <v>25230</v>
      </c>
      <c r="AB10" t="s">
        <v>25231</v>
      </c>
      <c r="AC10" t="s">
        <v>67</v>
      </c>
      <c r="AD10" t="s">
        <v>63</v>
      </c>
      <c r="AE10" t="s">
        <v>63</v>
      </c>
      <c r="AF10" t="s">
        <v>63</v>
      </c>
      <c r="AG10" t="s">
        <v>63</v>
      </c>
      <c r="AH10" t="s">
        <v>63</v>
      </c>
      <c r="AI10" t="s">
        <v>63</v>
      </c>
      <c r="AJ10" t="s">
        <v>63</v>
      </c>
      <c r="AK10" t="s">
        <v>63</v>
      </c>
      <c r="AL10" t="s">
        <v>63</v>
      </c>
      <c r="AM10" t="s">
        <v>25232</v>
      </c>
      <c r="AN10" t="s">
        <v>63</v>
      </c>
      <c r="AO10" t="s">
        <v>63</v>
      </c>
      <c r="AP10" t="s">
        <v>63</v>
      </c>
      <c r="AQ10" t="s">
        <v>63</v>
      </c>
      <c r="AR10" t="s">
        <v>63</v>
      </c>
      <c r="AS10" t="s">
        <v>63</v>
      </c>
      <c r="AT10" t="s">
        <v>63</v>
      </c>
      <c r="AU10" t="s">
        <v>63</v>
      </c>
      <c r="AV10" t="s">
        <v>63</v>
      </c>
      <c r="AW10" t="s">
        <v>63</v>
      </c>
      <c r="AX10" t="s">
        <v>63</v>
      </c>
      <c r="AY10" t="s">
        <v>63</v>
      </c>
      <c r="AZ10" t="s">
        <v>63</v>
      </c>
      <c r="BA10" t="s">
        <v>63</v>
      </c>
      <c r="BB10" t="s">
        <v>63</v>
      </c>
      <c r="BC10" t="s">
        <v>63</v>
      </c>
      <c r="BD10" t="s">
        <v>63</v>
      </c>
      <c r="BE10" t="s">
        <v>63</v>
      </c>
      <c r="BF10" t="s">
        <v>63</v>
      </c>
    </row>
    <row r="11" spans="1:58">
      <c r="A11" t="s">
        <v>25174</v>
      </c>
      <c r="C11" t="s">
        <v>25233</v>
      </c>
      <c r="D11" t="s">
        <v>63</v>
      </c>
      <c r="E11" t="s">
        <v>63</v>
      </c>
      <c r="F11">
        <v>1999</v>
      </c>
      <c r="G11" t="s">
        <v>63</v>
      </c>
      <c r="H11" t="s">
        <v>63</v>
      </c>
      <c r="I11" t="s">
        <v>63</v>
      </c>
      <c r="J11">
        <v>106</v>
      </c>
      <c r="K11" t="s">
        <v>63</v>
      </c>
      <c r="L11" t="s">
        <v>25234</v>
      </c>
      <c r="M11" t="s">
        <v>25235</v>
      </c>
      <c r="N11" t="s">
        <v>25236</v>
      </c>
      <c r="O11" t="s">
        <v>63</v>
      </c>
      <c r="Q11" t="s">
        <v>63</v>
      </c>
      <c r="R11" t="s">
        <v>63</v>
      </c>
      <c r="S11" t="s">
        <v>25237</v>
      </c>
      <c r="T11" t="s">
        <v>25238</v>
      </c>
      <c r="X11" t="s">
        <v>63</v>
      </c>
      <c r="Y11" t="s">
        <v>63</v>
      </c>
      <c r="Z11" t="s">
        <v>63</v>
      </c>
      <c r="AA11" t="s">
        <v>63</v>
      </c>
      <c r="AB11" t="s">
        <v>25239</v>
      </c>
      <c r="AC11" t="s">
        <v>67</v>
      </c>
      <c r="AD11" t="s">
        <v>63</v>
      </c>
      <c r="AE11" t="s">
        <v>63</v>
      </c>
      <c r="AF11" t="s">
        <v>63</v>
      </c>
      <c r="AG11" t="s">
        <v>63</v>
      </c>
      <c r="AH11" t="s">
        <v>63</v>
      </c>
      <c r="AI11" t="s">
        <v>63</v>
      </c>
      <c r="AJ11" t="s">
        <v>63</v>
      </c>
      <c r="AK11" t="s">
        <v>63</v>
      </c>
      <c r="AL11" t="s">
        <v>63</v>
      </c>
      <c r="AM11" t="s">
        <v>25240</v>
      </c>
      <c r="AN11" t="s">
        <v>63</v>
      </c>
      <c r="AO11" t="s">
        <v>63</v>
      </c>
      <c r="AP11" t="s">
        <v>63</v>
      </c>
      <c r="AQ11" t="s">
        <v>63</v>
      </c>
      <c r="AR11" t="s">
        <v>63</v>
      </c>
      <c r="AS11" t="s">
        <v>63</v>
      </c>
      <c r="AT11" t="s">
        <v>63</v>
      </c>
      <c r="AU11" t="s">
        <v>63</v>
      </c>
      <c r="AV11" t="s">
        <v>63</v>
      </c>
      <c r="AW11" t="s">
        <v>63</v>
      </c>
      <c r="AX11" t="s">
        <v>63</v>
      </c>
      <c r="AY11" t="s">
        <v>63</v>
      </c>
      <c r="AZ11" t="s">
        <v>63</v>
      </c>
      <c r="BA11" t="s">
        <v>63</v>
      </c>
      <c r="BB11" t="s">
        <v>63</v>
      </c>
      <c r="BC11" t="s">
        <v>63</v>
      </c>
      <c r="BD11" t="s">
        <v>63</v>
      </c>
      <c r="BE11" t="s">
        <v>63</v>
      </c>
      <c r="BF11" t="s">
        <v>63</v>
      </c>
    </row>
    <row r="12" spans="1:58">
      <c r="A12" t="s">
        <v>25174</v>
      </c>
      <c r="C12" t="s">
        <v>25241</v>
      </c>
      <c r="D12" t="s">
        <v>63</v>
      </c>
      <c r="E12" t="s">
        <v>63</v>
      </c>
      <c r="F12">
        <v>1998</v>
      </c>
      <c r="G12" t="s">
        <v>63</v>
      </c>
      <c r="H12" t="s">
        <v>63</v>
      </c>
      <c r="I12" t="s">
        <v>63</v>
      </c>
      <c r="J12">
        <v>43</v>
      </c>
      <c r="K12" t="s">
        <v>63</v>
      </c>
      <c r="L12" t="s">
        <v>25242</v>
      </c>
      <c r="M12" t="s">
        <v>25243</v>
      </c>
      <c r="N12" t="s">
        <v>25244</v>
      </c>
      <c r="O12" t="s">
        <v>63</v>
      </c>
      <c r="Q12" t="s">
        <v>63</v>
      </c>
      <c r="R12" t="s">
        <v>63</v>
      </c>
      <c r="S12" t="s">
        <v>63</v>
      </c>
      <c r="T12" t="s">
        <v>63</v>
      </c>
      <c r="X12" t="s">
        <v>63</v>
      </c>
      <c r="Y12" t="s">
        <v>63</v>
      </c>
      <c r="Z12" t="s">
        <v>63</v>
      </c>
      <c r="AA12" t="s">
        <v>63</v>
      </c>
      <c r="AB12" t="s">
        <v>25245</v>
      </c>
      <c r="AC12" t="s">
        <v>67</v>
      </c>
      <c r="AD12" t="s">
        <v>63</v>
      </c>
      <c r="AE12" t="s">
        <v>63</v>
      </c>
      <c r="AF12" t="s">
        <v>63</v>
      </c>
      <c r="AG12" t="s">
        <v>63</v>
      </c>
      <c r="AH12" t="s">
        <v>63</v>
      </c>
      <c r="AI12" t="s">
        <v>63</v>
      </c>
      <c r="AJ12" t="s">
        <v>63</v>
      </c>
      <c r="AK12" t="s">
        <v>63</v>
      </c>
      <c r="AL12" t="s">
        <v>63</v>
      </c>
      <c r="AM12" t="s">
        <v>25246</v>
      </c>
      <c r="AN12" t="s">
        <v>63</v>
      </c>
      <c r="AO12" t="s">
        <v>63</v>
      </c>
      <c r="AP12" t="s">
        <v>63</v>
      </c>
      <c r="AQ12" t="s">
        <v>63</v>
      </c>
      <c r="AR12" t="s">
        <v>63</v>
      </c>
      <c r="AS12" t="s">
        <v>63</v>
      </c>
      <c r="AT12" t="s">
        <v>63</v>
      </c>
      <c r="AU12" t="s">
        <v>63</v>
      </c>
      <c r="AV12" t="s">
        <v>63</v>
      </c>
      <c r="AW12" t="s">
        <v>63</v>
      </c>
      <c r="AX12" t="s">
        <v>63</v>
      </c>
      <c r="AY12" t="s">
        <v>63</v>
      </c>
      <c r="AZ12" t="s">
        <v>63</v>
      </c>
      <c r="BA12" t="s">
        <v>63</v>
      </c>
      <c r="BB12" t="s">
        <v>63</v>
      </c>
      <c r="BC12" t="s">
        <v>63</v>
      </c>
      <c r="BD12" t="s">
        <v>63</v>
      </c>
      <c r="BE12" t="s">
        <v>63</v>
      </c>
      <c r="BF12" t="s">
        <v>63</v>
      </c>
    </row>
    <row r="13" spans="1:58">
      <c r="A13" t="s">
        <v>25174</v>
      </c>
      <c r="C13" t="s">
        <v>25247</v>
      </c>
      <c r="D13" t="s">
        <v>63</v>
      </c>
      <c r="E13" t="s">
        <v>63</v>
      </c>
      <c r="F13">
        <v>1998</v>
      </c>
      <c r="G13" s="2">
        <v>35216</v>
      </c>
      <c r="H13" t="s">
        <v>63</v>
      </c>
      <c r="I13" t="s">
        <v>63</v>
      </c>
      <c r="J13">
        <v>206</v>
      </c>
      <c r="K13" t="s">
        <v>63</v>
      </c>
      <c r="L13" t="s">
        <v>25248</v>
      </c>
      <c r="M13" t="s">
        <v>25249</v>
      </c>
      <c r="N13" t="s">
        <v>25250</v>
      </c>
      <c r="O13" t="s">
        <v>63</v>
      </c>
      <c r="Q13" t="s">
        <v>63</v>
      </c>
      <c r="R13" t="s">
        <v>63</v>
      </c>
      <c r="S13" t="s">
        <v>25214</v>
      </c>
      <c r="T13" t="s">
        <v>25251</v>
      </c>
      <c r="X13" t="s">
        <v>63</v>
      </c>
      <c r="Y13" t="s">
        <v>63</v>
      </c>
      <c r="Z13" t="s">
        <v>63</v>
      </c>
      <c r="AA13" t="s">
        <v>25216</v>
      </c>
      <c r="AB13" t="s">
        <v>25252</v>
      </c>
      <c r="AC13" t="s">
        <v>67</v>
      </c>
      <c r="AD13" t="s">
        <v>63</v>
      </c>
      <c r="AE13" t="s">
        <v>63</v>
      </c>
      <c r="AF13" t="s">
        <v>63</v>
      </c>
      <c r="AG13" t="s">
        <v>63</v>
      </c>
      <c r="AH13" t="s">
        <v>63</v>
      </c>
      <c r="AI13" t="s">
        <v>63</v>
      </c>
      <c r="AJ13" t="s">
        <v>63</v>
      </c>
      <c r="AK13" t="s">
        <v>63</v>
      </c>
      <c r="AL13" t="s">
        <v>63</v>
      </c>
      <c r="AM13" t="s">
        <v>25253</v>
      </c>
      <c r="AN13" t="s">
        <v>63</v>
      </c>
      <c r="AO13" t="s">
        <v>63</v>
      </c>
      <c r="AP13" t="s">
        <v>63</v>
      </c>
      <c r="AQ13" t="s">
        <v>63</v>
      </c>
      <c r="AR13" t="s">
        <v>63</v>
      </c>
      <c r="AS13" t="s">
        <v>63</v>
      </c>
      <c r="AT13" t="s">
        <v>63</v>
      </c>
      <c r="AU13" t="s">
        <v>63</v>
      </c>
      <c r="AV13" t="s">
        <v>63</v>
      </c>
      <c r="AW13" t="s">
        <v>63</v>
      </c>
      <c r="AX13" t="s">
        <v>63</v>
      </c>
      <c r="AY13" t="s">
        <v>63</v>
      </c>
      <c r="AZ13" t="s">
        <v>63</v>
      </c>
      <c r="BA13" t="s">
        <v>63</v>
      </c>
      <c r="BB13" t="s">
        <v>63</v>
      </c>
      <c r="BC13" t="s">
        <v>63</v>
      </c>
      <c r="BD13" t="s">
        <v>63</v>
      </c>
      <c r="BE13" t="s">
        <v>63</v>
      </c>
      <c r="BF13" t="s">
        <v>63</v>
      </c>
    </row>
    <row r="14" spans="1:58">
      <c r="A14" t="s">
        <v>25174</v>
      </c>
      <c r="C14" t="s">
        <v>25254</v>
      </c>
      <c r="D14" t="s">
        <v>63</v>
      </c>
      <c r="E14" t="s">
        <v>63</v>
      </c>
      <c r="F14">
        <v>1997</v>
      </c>
      <c r="G14" s="2">
        <v>35155</v>
      </c>
      <c r="H14" t="s">
        <v>63</v>
      </c>
      <c r="I14" t="s">
        <v>63</v>
      </c>
      <c r="J14">
        <v>42</v>
      </c>
      <c r="K14" t="s">
        <v>63</v>
      </c>
      <c r="L14" t="s">
        <v>25255</v>
      </c>
      <c r="M14" t="s">
        <v>25256</v>
      </c>
      <c r="N14" t="s">
        <v>25257</v>
      </c>
      <c r="O14" t="s">
        <v>63</v>
      </c>
      <c r="Q14" t="s">
        <v>63</v>
      </c>
      <c r="R14" t="s">
        <v>63</v>
      </c>
      <c r="S14" t="s">
        <v>25258</v>
      </c>
      <c r="T14" t="s">
        <v>63</v>
      </c>
      <c r="X14" t="s">
        <v>63</v>
      </c>
      <c r="Y14" t="s">
        <v>63</v>
      </c>
      <c r="Z14" t="s">
        <v>63</v>
      </c>
      <c r="AA14" t="s">
        <v>63</v>
      </c>
      <c r="AB14" t="s">
        <v>25259</v>
      </c>
      <c r="AC14" t="s">
        <v>67</v>
      </c>
      <c r="AD14" t="s">
        <v>63</v>
      </c>
      <c r="AE14" t="s">
        <v>63</v>
      </c>
      <c r="AF14" t="s">
        <v>63</v>
      </c>
      <c r="AG14" t="s">
        <v>63</v>
      </c>
      <c r="AH14" t="s">
        <v>63</v>
      </c>
      <c r="AI14" t="s">
        <v>63</v>
      </c>
      <c r="AJ14" t="s">
        <v>63</v>
      </c>
      <c r="AK14" t="s">
        <v>63</v>
      </c>
      <c r="AL14" t="s">
        <v>63</v>
      </c>
      <c r="AM14" t="s">
        <v>25260</v>
      </c>
      <c r="AN14" t="s">
        <v>63</v>
      </c>
      <c r="AO14" t="s">
        <v>63</v>
      </c>
      <c r="AP14" t="s">
        <v>63</v>
      </c>
      <c r="AQ14" t="s">
        <v>63</v>
      </c>
      <c r="AR14" t="s">
        <v>63</v>
      </c>
      <c r="AS14" t="s">
        <v>63</v>
      </c>
      <c r="AT14" t="s">
        <v>63</v>
      </c>
      <c r="AU14" t="s">
        <v>63</v>
      </c>
      <c r="AV14" t="s">
        <v>63</v>
      </c>
      <c r="AW14" t="s">
        <v>63</v>
      </c>
      <c r="AX14" t="s">
        <v>63</v>
      </c>
      <c r="AY14" t="s">
        <v>63</v>
      </c>
      <c r="AZ14" t="s">
        <v>63</v>
      </c>
      <c r="BA14" t="s">
        <v>63</v>
      </c>
      <c r="BB14" t="s">
        <v>63</v>
      </c>
      <c r="BC14" t="s">
        <v>63</v>
      </c>
      <c r="BD14" t="s">
        <v>63</v>
      </c>
      <c r="BE14" t="s">
        <v>63</v>
      </c>
      <c r="BF14" t="s">
        <v>63</v>
      </c>
    </row>
    <row r="15" spans="1:58">
      <c r="A15" t="s">
        <v>25174</v>
      </c>
      <c r="C15" t="s">
        <v>25261</v>
      </c>
      <c r="D15" t="s">
        <v>63</v>
      </c>
      <c r="E15" t="s">
        <v>63</v>
      </c>
      <c r="F15">
        <v>1994</v>
      </c>
      <c r="G15" t="s">
        <v>63</v>
      </c>
      <c r="H15" t="s">
        <v>63</v>
      </c>
      <c r="I15" t="s">
        <v>63</v>
      </c>
      <c r="J15">
        <v>55</v>
      </c>
      <c r="K15" t="s">
        <v>63</v>
      </c>
      <c r="L15" t="s">
        <v>25262</v>
      </c>
      <c r="M15" t="s">
        <v>25263</v>
      </c>
      <c r="N15" t="s">
        <v>25264</v>
      </c>
      <c r="O15" t="s">
        <v>63</v>
      </c>
      <c r="Q15" t="s">
        <v>63</v>
      </c>
      <c r="R15" t="s">
        <v>63</v>
      </c>
      <c r="S15" t="s">
        <v>25265</v>
      </c>
      <c r="T15" t="s">
        <v>63</v>
      </c>
      <c r="X15" t="s">
        <v>63</v>
      </c>
      <c r="Y15" t="s">
        <v>63</v>
      </c>
      <c r="Z15" t="s">
        <v>63</v>
      </c>
      <c r="AA15" t="s">
        <v>63</v>
      </c>
      <c r="AB15" t="s">
        <v>25266</v>
      </c>
      <c r="AC15" t="s">
        <v>67</v>
      </c>
      <c r="AD15" t="s">
        <v>63</v>
      </c>
      <c r="AE15" t="s">
        <v>63</v>
      </c>
      <c r="AF15" t="s">
        <v>63</v>
      </c>
      <c r="AG15" t="s">
        <v>63</v>
      </c>
      <c r="AH15" t="s">
        <v>63</v>
      </c>
      <c r="AI15" t="s">
        <v>63</v>
      </c>
      <c r="AJ15" t="s">
        <v>63</v>
      </c>
      <c r="AK15" t="s">
        <v>63</v>
      </c>
      <c r="AL15" t="s">
        <v>63</v>
      </c>
      <c r="AM15" t="s">
        <v>25267</v>
      </c>
      <c r="AN15" t="s">
        <v>63</v>
      </c>
      <c r="AO15" t="s">
        <v>63</v>
      </c>
      <c r="AP15" t="s">
        <v>63</v>
      </c>
      <c r="AQ15" t="s">
        <v>63</v>
      </c>
      <c r="AR15" t="s">
        <v>63</v>
      </c>
      <c r="AS15" t="s">
        <v>63</v>
      </c>
      <c r="AT15" t="s">
        <v>63</v>
      </c>
      <c r="AU15" t="s">
        <v>63</v>
      </c>
      <c r="AV15" t="s">
        <v>63</v>
      </c>
      <c r="AW15" t="s">
        <v>63</v>
      </c>
      <c r="AX15" t="s">
        <v>63</v>
      </c>
      <c r="AY15" t="s">
        <v>63</v>
      </c>
      <c r="AZ15" t="s">
        <v>63</v>
      </c>
      <c r="BA15" t="s">
        <v>63</v>
      </c>
      <c r="BB15" t="s">
        <v>63</v>
      </c>
      <c r="BC15" t="s">
        <v>63</v>
      </c>
      <c r="BD15" t="s">
        <v>63</v>
      </c>
      <c r="BE15" t="s">
        <v>63</v>
      </c>
      <c r="BF15" t="s">
        <v>63</v>
      </c>
    </row>
    <row r="16" spans="1:58">
      <c r="A16" t="s">
        <v>25174</v>
      </c>
      <c r="C16" t="s">
        <v>25268</v>
      </c>
      <c r="D16" t="s">
        <v>63</v>
      </c>
      <c r="E16" t="s">
        <v>63</v>
      </c>
      <c r="F16">
        <v>1992</v>
      </c>
      <c r="G16" t="s">
        <v>63</v>
      </c>
      <c r="H16" t="s">
        <v>63</v>
      </c>
      <c r="I16" t="s">
        <v>63</v>
      </c>
      <c r="J16">
        <v>5</v>
      </c>
      <c r="K16" t="s">
        <v>63</v>
      </c>
      <c r="L16" t="s">
        <v>25269</v>
      </c>
      <c r="M16" t="s">
        <v>25270</v>
      </c>
      <c r="N16" t="s">
        <v>25271</v>
      </c>
      <c r="O16" t="s">
        <v>63</v>
      </c>
      <c r="Q16" t="s">
        <v>63</v>
      </c>
      <c r="R16" t="s">
        <v>63</v>
      </c>
      <c r="S16" t="s">
        <v>25272</v>
      </c>
      <c r="T16" t="s">
        <v>25273</v>
      </c>
      <c r="X16" t="s">
        <v>63</v>
      </c>
      <c r="Y16" t="s">
        <v>63</v>
      </c>
      <c r="Z16" t="s">
        <v>63</v>
      </c>
      <c r="AA16" t="s">
        <v>63</v>
      </c>
      <c r="AB16" t="s">
        <v>25274</v>
      </c>
      <c r="AC16" t="s">
        <v>67</v>
      </c>
      <c r="AD16" t="s">
        <v>63</v>
      </c>
      <c r="AE16" t="s">
        <v>63</v>
      </c>
      <c r="AF16" t="s">
        <v>63</v>
      </c>
      <c r="AG16" t="s">
        <v>63</v>
      </c>
      <c r="AH16" t="s">
        <v>63</v>
      </c>
      <c r="AI16" t="s">
        <v>63</v>
      </c>
      <c r="AJ16" t="s">
        <v>63</v>
      </c>
      <c r="AK16" t="s">
        <v>63</v>
      </c>
      <c r="AL16" t="s">
        <v>63</v>
      </c>
      <c r="AM16" t="s">
        <v>25275</v>
      </c>
      <c r="AN16" t="s">
        <v>63</v>
      </c>
      <c r="AO16" t="s">
        <v>63</v>
      </c>
      <c r="AP16" t="s">
        <v>63</v>
      </c>
      <c r="AQ16" t="s">
        <v>63</v>
      </c>
      <c r="AR16" t="s">
        <v>63</v>
      </c>
      <c r="AS16" t="s">
        <v>63</v>
      </c>
      <c r="AT16" t="s">
        <v>63</v>
      </c>
      <c r="AU16" t="s">
        <v>63</v>
      </c>
      <c r="AV16" t="s">
        <v>63</v>
      </c>
      <c r="AW16" t="s">
        <v>63</v>
      </c>
      <c r="AX16" t="s">
        <v>63</v>
      </c>
      <c r="AY16" t="s">
        <v>63</v>
      </c>
      <c r="AZ16" t="s">
        <v>63</v>
      </c>
      <c r="BA16" t="s">
        <v>63</v>
      </c>
      <c r="BB16" t="s">
        <v>63</v>
      </c>
      <c r="BC16" t="s">
        <v>63</v>
      </c>
      <c r="BD16" t="s">
        <v>63</v>
      </c>
      <c r="BE16" t="s">
        <v>63</v>
      </c>
      <c r="BF16" t="s">
        <v>63</v>
      </c>
    </row>
    <row r="17" spans="1:58">
      <c r="A17" t="s">
        <v>25174</v>
      </c>
      <c r="C17" t="s">
        <v>25276</v>
      </c>
      <c r="D17" t="s">
        <v>63</v>
      </c>
      <c r="E17" t="s">
        <v>63</v>
      </c>
      <c r="F17">
        <v>1990</v>
      </c>
      <c r="G17" s="2">
        <v>35277</v>
      </c>
      <c r="H17" t="s">
        <v>63</v>
      </c>
      <c r="I17" t="s">
        <v>63</v>
      </c>
      <c r="J17">
        <v>14</v>
      </c>
      <c r="K17" t="s">
        <v>63</v>
      </c>
      <c r="L17" t="s">
        <v>25277</v>
      </c>
      <c r="M17" t="s">
        <v>25278</v>
      </c>
      <c r="N17" t="s">
        <v>25279</v>
      </c>
      <c r="O17" t="s">
        <v>63</v>
      </c>
      <c r="Q17" t="s">
        <v>63</v>
      </c>
      <c r="R17" t="s">
        <v>63</v>
      </c>
      <c r="S17" t="s">
        <v>25280</v>
      </c>
      <c r="T17" t="s">
        <v>63</v>
      </c>
      <c r="X17" t="s">
        <v>63</v>
      </c>
      <c r="Y17" t="s">
        <v>63</v>
      </c>
      <c r="Z17" t="s">
        <v>63</v>
      </c>
      <c r="AA17" t="s">
        <v>63</v>
      </c>
      <c r="AB17" t="s">
        <v>25281</v>
      </c>
      <c r="AC17" t="s">
        <v>67</v>
      </c>
      <c r="AD17" t="s">
        <v>63</v>
      </c>
      <c r="AE17" t="s">
        <v>63</v>
      </c>
      <c r="AF17" t="s">
        <v>63</v>
      </c>
      <c r="AG17" t="s">
        <v>63</v>
      </c>
      <c r="AH17" t="s">
        <v>63</v>
      </c>
      <c r="AI17" t="s">
        <v>63</v>
      </c>
      <c r="AJ17" t="s">
        <v>63</v>
      </c>
      <c r="AK17" t="s">
        <v>63</v>
      </c>
      <c r="AL17" t="s">
        <v>63</v>
      </c>
      <c r="AM17" t="s">
        <v>25282</v>
      </c>
      <c r="AN17" t="s">
        <v>63</v>
      </c>
      <c r="AO17" t="s">
        <v>63</v>
      </c>
      <c r="AP17" t="s">
        <v>63</v>
      </c>
      <c r="AQ17" t="s">
        <v>63</v>
      </c>
      <c r="AR17" t="s">
        <v>63</v>
      </c>
      <c r="AS17" t="s">
        <v>63</v>
      </c>
      <c r="AT17" t="s">
        <v>63</v>
      </c>
      <c r="AU17" t="s">
        <v>63</v>
      </c>
      <c r="AV17" t="s">
        <v>63</v>
      </c>
      <c r="AW17" t="s">
        <v>63</v>
      </c>
      <c r="AX17" t="s">
        <v>63</v>
      </c>
      <c r="AY17" t="s">
        <v>63</v>
      </c>
      <c r="AZ17" t="s">
        <v>63</v>
      </c>
      <c r="BA17" t="s">
        <v>63</v>
      </c>
      <c r="BB17" t="s">
        <v>63</v>
      </c>
      <c r="BC17" t="s">
        <v>63</v>
      </c>
      <c r="BD17" t="s">
        <v>63</v>
      </c>
      <c r="BE17" t="s">
        <v>63</v>
      </c>
      <c r="BF17" t="s">
        <v>63</v>
      </c>
    </row>
    <row r="18" spans="1:58">
      <c r="A18" t="s">
        <v>25174</v>
      </c>
      <c r="C18" t="s">
        <v>25283</v>
      </c>
      <c r="D18" t="s">
        <v>63</v>
      </c>
      <c r="E18" t="s">
        <v>63</v>
      </c>
      <c r="F18">
        <v>1990</v>
      </c>
      <c r="G18" s="2">
        <v>35277</v>
      </c>
      <c r="H18" t="s">
        <v>63</v>
      </c>
      <c r="I18" t="s">
        <v>63</v>
      </c>
      <c r="J18">
        <v>10</v>
      </c>
      <c r="K18" t="s">
        <v>63</v>
      </c>
      <c r="L18" t="s">
        <v>25284</v>
      </c>
      <c r="M18" t="s">
        <v>25285</v>
      </c>
      <c r="N18" t="s">
        <v>25286</v>
      </c>
      <c r="O18" t="s">
        <v>63</v>
      </c>
      <c r="Q18" t="s">
        <v>63</v>
      </c>
      <c r="R18" t="s">
        <v>63</v>
      </c>
      <c r="S18" t="s">
        <v>25287</v>
      </c>
      <c r="T18" t="s">
        <v>25288</v>
      </c>
      <c r="X18" t="s">
        <v>63</v>
      </c>
      <c r="Y18" t="s">
        <v>63</v>
      </c>
      <c r="Z18" t="s">
        <v>63</v>
      </c>
      <c r="AA18" t="s">
        <v>63</v>
      </c>
      <c r="AB18" t="s">
        <v>25289</v>
      </c>
      <c r="AC18" t="s">
        <v>67</v>
      </c>
      <c r="AD18" t="s">
        <v>63</v>
      </c>
      <c r="AE18" t="s">
        <v>63</v>
      </c>
      <c r="AF18" t="s">
        <v>63</v>
      </c>
      <c r="AG18" t="s">
        <v>63</v>
      </c>
      <c r="AH18" t="s">
        <v>63</v>
      </c>
      <c r="AI18" t="s">
        <v>63</v>
      </c>
      <c r="AJ18" t="s">
        <v>63</v>
      </c>
      <c r="AK18" t="s">
        <v>63</v>
      </c>
      <c r="AL18" t="s">
        <v>63</v>
      </c>
      <c r="AM18" t="s">
        <v>25290</v>
      </c>
      <c r="AN18" t="s">
        <v>63</v>
      </c>
      <c r="AO18" t="s">
        <v>63</v>
      </c>
      <c r="AP18" t="s">
        <v>63</v>
      </c>
      <c r="AQ18" t="s">
        <v>63</v>
      </c>
      <c r="AR18" t="s">
        <v>63</v>
      </c>
      <c r="AS18" t="s">
        <v>63</v>
      </c>
      <c r="AT18" t="s">
        <v>63</v>
      </c>
      <c r="AU18" t="s">
        <v>63</v>
      </c>
      <c r="AV18" t="s">
        <v>63</v>
      </c>
      <c r="AW18" t="s">
        <v>63</v>
      </c>
      <c r="AX18" t="s">
        <v>63</v>
      </c>
      <c r="AY18" t="s">
        <v>63</v>
      </c>
      <c r="AZ18" t="s">
        <v>63</v>
      </c>
      <c r="BA18" t="s">
        <v>63</v>
      </c>
      <c r="BB18" t="s">
        <v>63</v>
      </c>
      <c r="BC18" t="s">
        <v>63</v>
      </c>
      <c r="BD18" t="s">
        <v>63</v>
      </c>
      <c r="BE18" t="s">
        <v>63</v>
      </c>
      <c r="BF18" t="s">
        <v>63</v>
      </c>
    </row>
    <row r="19" spans="1:58">
      <c r="A19" t="s">
        <v>25174</v>
      </c>
      <c r="C19" t="s">
        <v>25291</v>
      </c>
      <c r="D19" t="s">
        <v>63</v>
      </c>
      <c r="E19" t="s">
        <v>63</v>
      </c>
      <c r="F19">
        <v>1990</v>
      </c>
      <c r="G19" t="s">
        <v>63</v>
      </c>
      <c r="H19" t="s">
        <v>63</v>
      </c>
      <c r="I19" t="s">
        <v>63</v>
      </c>
      <c r="J19">
        <v>28</v>
      </c>
      <c r="K19" t="s">
        <v>63</v>
      </c>
      <c r="L19" t="s">
        <v>25292</v>
      </c>
      <c r="M19" t="s">
        <v>25293</v>
      </c>
      <c r="N19" t="s">
        <v>25294</v>
      </c>
      <c r="O19" t="s">
        <v>63</v>
      </c>
      <c r="Q19" t="s">
        <v>63</v>
      </c>
      <c r="R19" t="s">
        <v>63</v>
      </c>
      <c r="S19" t="s">
        <v>25295</v>
      </c>
      <c r="T19" t="s">
        <v>63</v>
      </c>
      <c r="X19" t="s">
        <v>63</v>
      </c>
      <c r="Y19" t="s">
        <v>63</v>
      </c>
      <c r="Z19" t="s">
        <v>63</v>
      </c>
      <c r="AA19" t="s">
        <v>63</v>
      </c>
      <c r="AB19" t="s">
        <v>25296</v>
      </c>
      <c r="AC19" t="s">
        <v>67</v>
      </c>
      <c r="AD19" t="s">
        <v>63</v>
      </c>
      <c r="AE19" t="s">
        <v>63</v>
      </c>
      <c r="AF19" t="s">
        <v>63</v>
      </c>
      <c r="AG19" t="s">
        <v>63</v>
      </c>
      <c r="AH19" t="s">
        <v>63</v>
      </c>
      <c r="AI19" t="s">
        <v>63</v>
      </c>
      <c r="AJ19" t="s">
        <v>63</v>
      </c>
      <c r="AK19" t="s">
        <v>63</v>
      </c>
      <c r="AL19" t="s">
        <v>63</v>
      </c>
      <c r="AM19" t="s">
        <v>25297</v>
      </c>
      <c r="AN19" t="s">
        <v>63</v>
      </c>
      <c r="AO19" t="s">
        <v>63</v>
      </c>
      <c r="AP19" t="s">
        <v>63</v>
      </c>
      <c r="AQ19" t="s">
        <v>63</v>
      </c>
      <c r="AR19" t="s">
        <v>63</v>
      </c>
      <c r="AS19" t="s">
        <v>63</v>
      </c>
      <c r="AT19" t="s">
        <v>63</v>
      </c>
      <c r="AU19" t="s">
        <v>63</v>
      </c>
      <c r="AV19" t="s">
        <v>63</v>
      </c>
      <c r="AW19" t="s">
        <v>63</v>
      </c>
      <c r="AX19" t="s">
        <v>63</v>
      </c>
      <c r="AY19" t="s">
        <v>63</v>
      </c>
      <c r="AZ19" t="s">
        <v>63</v>
      </c>
      <c r="BA19" t="s">
        <v>63</v>
      </c>
      <c r="BB19" t="s">
        <v>63</v>
      </c>
      <c r="BC19" t="s">
        <v>63</v>
      </c>
      <c r="BD19" t="s">
        <v>63</v>
      </c>
      <c r="BE19" t="s">
        <v>63</v>
      </c>
      <c r="BF19" t="s">
        <v>63</v>
      </c>
    </row>
    <row r="20" spans="1:58">
      <c r="A20" t="s">
        <v>25174</v>
      </c>
      <c r="C20" t="s">
        <v>25298</v>
      </c>
      <c r="D20" t="s">
        <v>63</v>
      </c>
      <c r="E20" t="s">
        <v>63</v>
      </c>
      <c r="F20">
        <v>1989</v>
      </c>
      <c r="G20" s="2">
        <v>35369</v>
      </c>
      <c r="H20" t="s">
        <v>63</v>
      </c>
      <c r="I20" t="s">
        <v>63</v>
      </c>
      <c r="J20">
        <v>47</v>
      </c>
      <c r="K20" t="s">
        <v>63</v>
      </c>
      <c r="L20" t="s">
        <v>25299</v>
      </c>
      <c r="M20" t="s">
        <v>25300</v>
      </c>
      <c r="N20" t="s">
        <v>25301</v>
      </c>
      <c r="O20" t="s">
        <v>63</v>
      </c>
      <c r="Q20" t="s">
        <v>63</v>
      </c>
      <c r="R20" t="s">
        <v>63</v>
      </c>
      <c r="S20" t="s">
        <v>25302</v>
      </c>
      <c r="T20" t="s">
        <v>63</v>
      </c>
      <c r="X20" t="s">
        <v>63</v>
      </c>
      <c r="Y20" t="s">
        <v>63</v>
      </c>
      <c r="Z20" t="s">
        <v>63</v>
      </c>
      <c r="AA20" t="s">
        <v>63</v>
      </c>
      <c r="AB20" t="s">
        <v>25303</v>
      </c>
      <c r="AC20" t="s">
        <v>67</v>
      </c>
      <c r="AD20" t="s">
        <v>63</v>
      </c>
      <c r="AE20" t="s">
        <v>63</v>
      </c>
      <c r="AF20" t="s">
        <v>63</v>
      </c>
      <c r="AG20" t="s">
        <v>63</v>
      </c>
      <c r="AH20" t="s">
        <v>63</v>
      </c>
      <c r="AI20" t="s">
        <v>63</v>
      </c>
      <c r="AJ20" t="s">
        <v>63</v>
      </c>
      <c r="AK20" t="s">
        <v>63</v>
      </c>
      <c r="AL20" t="s">
        <v>63</v>
      </c>
      <c r="AM20" t="s">
        <v>25304</v>
      </c>
      <c r="AN20" t="s">
        <v>63</v>
      </c>
      <c r="AO20" t="s">
        <v>63</v>
      </c>
      <c r="AP20" t="s">
        <v>63</v>
      </c>
      <c r="AQ20" t="s">
        <v>63</v>
      </c>
      <c r="AR20" t="s">
        <v>63</v>
      </c>
      <c r="AS20" t="s">
        <v>63</v>
      </c>
      <c r="AT20" t="s">
        <v>63</v>
      </c>
      <c r="AU20" t="s">
        <v>63</v>
      </c>
      <c r="AV20" t="s">
        <v>63</v>
      </c>
      <c r="AW20" t="s">
        <v>63</v>
      </c>
      <c r="AX20" t="s">
        <v>63</v>
      </c>
      <c r="AY20" t="s">
        <v>63</v>
      </c>
      <c r="AZ20" t="s">
        <v>63</v>
      </c>
      <c r="BA20" t="s">
        <v>63</v>
      </c>
      <c r="BB20" t="s">
        <v>63</v>
      </c>
      <c r="BC20" t="s">
        <v>63</v>
      </c>
      <c r="BD20" t="s">
        <v>63</v>
      </c>
      <c r="BE20" t="s">
        <v>63</v>
      </c>
      <c r="BF20" t="s">
        <v>63</v>
      </c>
    </row>
    <row r="21" spans="1:58">
      <c r="A21" t="s">
        <v>25174</v>
      </c>
      <c r="C21" t="s">
        <v>25305</v>
      </c>
      <c r="D21" t="s">
        <v>63</v>
      </c>
      <c r="E21" t="s">
        <v>63</v>
      </c>
      <c r="F21">
        <v>1989</v>
      </c>
      <c r="G21" t="s">
        <v>63</v>
      </c>
      <c r="H21" t="s">
        <v>63</v>
      </c>
      <c r="I21" t="s">
        <v>63</v>
      </c>
      <c r="J21">
        <v>102</v>
      </c>
      <c r="K21" t="s">
        <v>63</v>
      </c>
      <c r="L21" t="s">
        <v>25306</v>
      </c>
      <c r="M21" t="s">
        <v>25307</v>
      </c>
      <c r="N21" t="s">
        <v>25308</v>
      </c>
      <c r="O21" t="s">
        <v>63</v>
      </c>
      <c r="Q21" t="s">
        <v>63</v>
      </c>
      <c r="R21" t="s">
        <v>63</v>
      </c>
      <c r="S21" t="s">
        <v>25309</v>
      </c>
      <c r="T21" t="s">
        <v>63</v>
      </c>
      <c r="X21" t="s">
        <v>63</v>
      </c>
      <c r="Y21" t="s">
        <v>63</v>
      </c>
      <c r="Z21" t="s">
        <v>63</v>
      </c>
      <c r="AA21" t="s">
        <v>63</v>
      </c>
      <c r="AB21" t="s">
        <v>25310</v>
      </c>
      <c r="AC21" t="s">
        <v>67</v>
      </c>
      <c r="AD21" t="s">
        <v>63</v>
      </c>
      <c r="AE21" t="s">
        <v>63</v>
      </c>
      <c r="AF21" t="s">
        <v>63</v>
      </c>
      <c r="AG21" t="s">
        <v>63</v>
      </c>
      <c r="AH21" t="s">
        <v>63</v>
      </c>
      <c r="AI21" t="s">
        <v>63</v>
      </c>
      <c r="AJ21" t="s">
        <v>63</v>
      </c>
      <c r="AK21" t="s">
        <v>63</v>
      </c>
      <c r="AL21" t="s">
        <v>63</v>
      </c>
      <c r="AM21" t="s">
        <v>25311</v>
      </c>
      <c r="AN21" t="s">
        <v>63</v>
      </c>
      <c r="AO21" t="s">
        <v>63</v>
      </c>
      <c r="AP21" t="s">
        <v>63</v>
      </c>
      <c r="AQ21" t="s">
        <v>63</v>
      </c>
      <c r="AR21" t="s">
        <v>63</v>
      </c>
      <c r="AS21" t="s">
        <v>63</v>
      </c>
      <c r="AT21" t="s">
        <v>63</v>
      </c>
      <c r="AU21" t="s">
        <v>63</v>
      </c>
      <c r="AV21" t="s">
        <v>63</v>
      </c>
      <c r="AW21" t="s">
        <v>63</v>
      </c>
      <c r="AX21" t="s">
        <v>63</v>
      </c>
      <c r="AY21" t="s">
        <v>63</v>
      </c>
      <c r="AZ21" t="s">
        <v>63</v>
      </c>
      <c r="BA21" t="s">
        <v>63</v>
      </c>
      <c r="BB21" t="s">
        <v>63</v>
      </c>
      <c r="BC21" t="s">
        <v>63</v>
      </c>
      <c r="BD21" t="s">
        <v>63</v>
      </c>
      <c r="BE21" t="s">
        <v>63</v>
      </c>
      <c r="BF21" t="s">
        <v>63</v>
      </c>
    </row>
    <row r="22" spans="1:58">
      <c r="A22" t="s">
        <v>25174</v>
      </c>
      <c r="C22" t="s">
        <v>25312</v>
      </c>
      <c r="D22" t="s">
        <v>63</v>
      </c>
      <c r="E22" t="s">
        <v>63</v>
      </c>
      <c r="F22">
        <v>1988</v>
      </c>
      <c r="G22" t="s">
        <v>63</v>
      </c>
      <c r="H22" t="s">
        <v>63</v>
      </c>
      <c r="I22" t="s">
        <v>63</v>
      </c>
      <c r="J22">
        <v>25</v>
      </c>
      <c r="K22" t="s">
        <v>63</v>
      </c>
      <c r="L22" t="s">
        <v>25313</v>
      </c>
      <c r="M22" t="s">
        <v>25314</v>
      </c>
      <c r="N22" t="s">
        <v>25315</v>
      </c>
      <c r="O22" t="s">
        <v>63</v>
      </c>
      <c r="Q22" t="s">
        <v>63</v>
      </c>
      <c r="R22" t="s">
        <v>63</v>
      </c>
      <c r="S22" t="s">
        <v>25295</v>
      </c>
      <c r="T22" t="s">
        <v>25316</v>
      </c>
      <c r="X22" t="s">
        <v>63</v>
      </c>
      <c r="Y22" t="s">
        <v>63</v>
      </c>
      <c r="Z22" t="s">
        <v>63</v>
      </c>
      <c r="AA22" t="s">
        <v>63</v>
      </c>
      <c r="AB22" t="s">
        <v>25317</v>
      </c>
      <c r="AC22" t="s">
        <v>67</v>
      </c>
      <c r="AD22" t="s">
        <v>63</v>
      </c>
      <c r="AE22" t="s">
        <v>63</v>
      </c>
      <c r="AF22" t="s">
        <v>63</v>
      </c>
      <c r="AG22" t="s">
        <v>63</v>
      </c>
      <c r="AH22" t="s">
        <v>63</v>
      </c>
      <c r="AI22" t="s">
        <v>63</v>
      </c>
      <c r="AJ22" t="s">
        <v>63</v>
      </c>
      <c r="AK22" t="s">
        <v>63</v>
      </c>
      <c r="AL22" t="s">
        <v>63</v>
      </c>
      <c r="AM22" t="s">
        <v>25318</v>
      </c>
      <c r="AN22" t="s">
        <v>63</v>
      </c>
      <c r="AO22" t="s">
        <v>63</v>
      </c>
      <c r="AP22" t="s">
        <v>63</v>
      </c>
      <c r="AQ22" t="s">
        <v>63</v>
      </c>
      <c r="AR22" t="s">
        <v>63</v>
      </c>
      <c r="AS22" t="s">
        <v>63</v>
      </c>
      <c r="AT22" t="s">
        <v>63</v>
      </c>
      <c r="AU22" t="s">
        <v>63</v>
      </c>
      <c r="AV22" t="s">
        <v>63</v>
      </c>
      <c r="AW22" t="s">
        <v>63</v>
      </c>
      <c r="AX22" t="s">
        <v>63</v>
      </c>
      <c r="AY22" t="s">
        <v>63</v>
      </c>
      <c r="AZ22" t="s">
        <v>63</v>
      </c>
      <c r="BA22" t="s">
        <v>63</v>
      </c>
      <c r="BB22" t="s">
        <v>63</v>
      </c>
      <c r="BC22" t="s">
        <v>63</v>
      </c>
      <c r="BD22" t="s">
        <v>63</v>
      </c>
      <c r="BE22" t="s">
        <v>63</v>
      </c>
      <c r="BF22" t="s">
        <v>63</v>
      </c>
    </row>
    <row r="23" spans="1:58">
      <c r="A23" t="s">
        <v>25174</v>
      </c>
      <c r="C23" t="s">
        <v>25319</v>
      </c>
      <c r="D23" t="s">
        <v>63</v>
      </c>
      <c r="E23" t="s">
        <v>63</v>
      </c>
      <c r="F23">
        <v>1986</v>
      </c>
      <c r="G23" t="s">
        <v>63</v>
      </c>
      <c r="H23" t="s">
        <v>63</v>
      </c>
      <c r="I23" t="s">
        <v>63</v>
      </c>
      <c r="J23">
        <v>41</v>
      </c>
      <c r="K23" t="s">
        <v>63</v>
      </c>
      <c r="L23" t="s">
        <v>25320</v>
      </c>
      <c r="M23" t="s">
        <v>25321</v>
      </c>
      <c r="N23" t="s">
        <v>25322</v>
      </c>
      <c r="O23" t="s">
        <v>63</v>
      </c>
      <c r="Q23" t="s">
        <v>63</v>
      </c>
      <c r="R23" t="s">
        <v>63</v>
      </c>
      <c r="S23" t="s">
        <v>25323</v>
      </c>
      <c r="T23" t="s">
        <v>25324</v>
      </c>
      <c r="X23" t="s">
        <v>63</v>
      </c>
      <c r="Y23" t="s">
        <v>63</v>
      </c>
      <c r="Z23" t="s">
        <v>63</v>
      </c>
      <c r="AA23" t="s">
        <v>63</v>
      </c>
      <c r="AB23" t="s">
        <v>25325</v>
      </c>
      <c r="AC23" t="s">
        <v>67</v>
      </c>
      <c r="AD23" t="s">
        <v>63</v>
      </c>
      <c r="AE23" t="s">
        <v>63</v>
      </c>
      <c r="AF23" t="s">
        <v>63</v>
      </c>
      <c r="AG23" t="s">
        <v>63</v>
      </c>
      <c r="AH23" t="s">
        <v>63</v>
      </c>
      <c r="AI23" t="s">
        <v>63</v>
      </c>
      <c r="AJ23" t="s">
        <v>63</v>
      </c>
      <c r="AK23" t="s">
        <v>63</v>
      </c>
      <c r="AL23" t="s">
        <v>63</v>
      </c>
      <c r="AM23" t="s">
        <v>25326</v>
      </c>
      <c r="AN23" t="s">
        <v>63</v>
      </c>
      <c r="AO23" t="s">
        <v>63</v>
      </c>
      <c r="AP23" t="s">
        <v>63</v>
      </c>
      <c r="AQ23" t="s">
        <v>63</v>
      </c>
      <c r="AR23" t="s">
        <v>63</v>
      </c>
      <c r="AS23" t="s">
        <v>63</v>
      </c>
      <c r="AT23" t="s">
        <v>63</v>
      </c>
      <c r="AU23" t="s">
        <v>63</v>
      </c>
      <c r="AV23" t="s">
        <v>63</v>
      </c>
      <c r="AW23" t="s">
        <v>63</v>
      </c>
      <c r="AX23" t="s">
        <v>63</v>
      </c>
      <c r="AY23" t="s">
        <v>63</v>
      </c>
      <c r="AZ23" t="s">
        <v>63</v>
      </c>
      <c r="BA23" t="s">
        <v>63</v>
      </c>
      <c r="BB23" t="s">
        <v>63</v>
      </c>
      <c r="BC23" t="s">
        <v>63</v>
      </c>
      <c r="BD23" t="s">
        <v>63</v>
      </c>
      <c r="BE23" t="s">
        <v>63</v>
      </c>
      <c r="BF23" t="s">
        <v>63</v>
      </c>
    </row>
    <row r="24" spans="1:58">
      <c r="A24" t="s">
        <v>25174</v>
      </c>
      <c r="C24" t="s">
        <v>25327</v>
      </c>
      <c r="D24" t="s">
        <v>63</v>
      </c>
      <c r="E24" t="s">
        <v>63</v>
      </c>
      <c r="F24">
        <v>1985</v>
      </c>
      <c r="G24" s="1">
        <v>41715</v>
      </c>
      <c r="H24" t="s">
        <v>63</v>
      </c>
      <c r="I24" t="s">
        <v>63</v>
      </c>
      <c r="J24">
        <v>132</v>
      </c>
      <c r="K24" t="s">
        <v>63</v>
      </c>
      <c r="L24" t="s">
        <v>25328</v>
      </c>
      <c r="M24" t="s">
        <v>25329</v>
      </c>
      <c r="N24" t="s">
        <v>25330</v>
      </c>
      <c r="O24" t="s">
        <v>63</v>
      </c>
      <c r="Q24" t="s">
        <v>63</v>
      </c>
      <c r="R24" t="s">
        <v>63</v>
      </c>
      <c r="S24" t="s">
        <v>25331</v>
      </c>
      <c r="T24" t="s">
        <v>25332</v>
      </c>
      <c r="X24" t="s">
        <v>63</v>
      </c>
      <c r="Y24" t="s">
        <v>63</v>
      </c>
      <c r="Z24" t="s">
        <v>63</v>
      </c>
      <c r="AA24" t="s">
        <v>63</v>
      </c>
      <c r="AB24" t="s">
        <v>25333</v>
      </c>
      <c r="AC24" t="s">
        <v>67</v>
      </c>
      <c r="AD24" t="s">
        <v>63</v>
      </c>
      <c r="AE24" t="s">
        <v>63</v>
      </c>
      <c r="AF24" t="s">
        <v>63</v>
      </c>
      <c r="AG24" t="s">
        <v>63</v>
      </c>
      <c r="AH24" t="s">
        <v>63</v>
      </c>
      <c r="AI24" t="s">
        <v>63</v>
      </c>
      <c r="AJ24" t="s">
        <v>63</v>
      </c>
      <c r="AK24" t="s">
        <v>63</v>
      </c>
      <c r="AL24" t="s">
        <v>63</v>
      </c>
      <c r="AM24" t="s">
        <v>25334</v>
      </c>
      <c r="AN24" t="s">
        <v>63</v>
      </c>
      <c r="AO24" t="s">
        <v>63</v>
      </c>
      <c r="AP24" t="s">
        <v>63</v>
      </c>
      <c r="AQ24" t="s">
        <v>63</v>
      </c>
      <c r="AR24" t="s">
        <v>63</v>
      </c>
      <c r="AS24" t="s">
        <v>63</v>
      </c>
      <c r="AT24" t="s">
        <v>63</v>
      </c>
      <c r="AU24" t="s">
        <v>63</v>
      </c>
      <c r="AV24" t="s">
        <v>63</v>
      </c>
      <c r="AW24" t="s">
        <v>63</v>
      </c>
      <c r="AX24" t="s">
        <v>63</v>
      </c>
      <c r="AY24" t="s">
        <v>63</v>
      </c>
      <c r="AZ24" t="s">
        <v>63</v>
      </c>
      <c r="BA24" t="s">
        <v>63</v>
      </c>
      <c r="BB24" t="s">
        <v>63</v>
      </c>
      <c r="BC24" t="s">
        <v>63</v>
      </c>
      <c r="BD24" t="s">
        <v>63</v>
      </c>
      <c r="BE24" t="s">
        <v>63</v>
      </c>
      <c r="BF24" t="s">
        <v>63</v>
      </c>
    </row>
    <row r="25" spans="1:58">
      <c r="A25" t="s">
        <v>25174</v>
      </c>
      <c r="C25" t="s">
        <v>25335</v>
      </c>
      <c r="D25" t="s">
        <v>63</v>
      </c>
      <c r="E25" t="s">
        <v>63</v>
      </c>
      <c r="F25">
        <v>1984</v>
      </c>
      <c r="G25" s="2">
        <v>35124</v>
      </c>
      <c r="H25" t="s">
        <v>63</v>
      </c>
      <c r="I25" t="s">
        <v>63</v>
      </c>
      <c r="J25">
        <v>135</v>
      </c>
      <c r="K25" t="s">
        <v>63</v>
      </c>
      <c r="L25" t="s">
        <v>25336</v>
      </c>
      <c r="M25" t="s">
        <v>25337</v>
      </c>
      <c r="N25" t="s">
        <v>25338</v>
      </c>
      <c r="O25" t="s">
        <v>63</v>
      </c>
      <c r="Q25" t="s">
        <v>63</v>
      </c>
      <c r="R25" t="s">
        <v>63</v>
      </c>
      <c r="S25" t="s">
        <v>25339</v>
      </c>
      <c r="T25" t="s">
        <v>63</v>
      </c>
      <c r="X25" t="s">
        <v>63</v>
      </c>
      <c r="Y25" t="s">
        <v>63</v>
      </c>
      <c r="Z25" t="s">
        <v>63</v>
      </c>
      <c r="AA25" t="s">
        <v>63</v>
      </c>
      <c r="AB25" t="s">
        <v>25340</v>
      </c>
      <c r="AC25" t="s">
        <v>67</v>
      </c>
      <c r="AD25" t="s">
        <v>63</v>
      </c>
      <c r="AE25" t="s">
        <v>63</v>
      </c>
      <c r="AF25" t="s">
        <v>63</v>
      </c>
      <c r="AG25" t="s">
        <v>63</v>
      </c>
      <c r="AH25" t="s">
        <v>63</v>
      </c>
      <c r="AI25" t="s">
        <v>63</v>
      </c>
      <c r="AJ25" t="s">
        <v>63</v>
      </c>
      <c r="AK25" t="s">
        <v>63</v>
      </c>
      <c r="AL25" t="s">
        <v>63</v>
      </c>
      <c r="AM25" t="s">
        <v>25341</v>
      </c>
      <c r="AN25" t="s">
        <v>63</v>
      </c>
      <c r="AO25" t="s">
        <v>63</v>
      </c>
      <c r="AP25" t="s">
        <v>63</v>
      </c>
      <c r="AQ25" t="s">
        <v>63</v>
      </c>
      <c r="AR25" t="s">
        <v>63</v>
      </c>
      <c r="AS25" t="s">
        <v>63</v>
      </c>
      <c r="AT25" t="s">
        <v>63</v>
      </c>
      <c r="AU25" t="s">
        <v>63</v>
      </c>
      <c r="AV25" t="s">
        <v>63</v>
      </c>
      <c r="AW25" t="s">
        <v>63</v>
      </c>
      <c r="AX25" t="s">
        <v>63</v>
      </c>
      <c r="AY25" t="s">
        <v>63</v>
      </c>
      <c r="AZ25" t="s">
        <v>63</v>
      </c>
      <c r="BA25" t="s">
        <v>63</v>
      </c>
      <c r="BB25" t="s">
        <v>63</v>
      </c>
      <c r="BC25" t="s">
        <v>63</v>
      </c>
      <c r="BD25" t="s">
        <v>63</v>
      </c>
      <c r="BE25" t="s">
        <v>63</v>
      </c>
      <c r="BF25" t="s">
        <v>63</v>
      </c>
    </row>
    <row r="26" spans="1:58">
      <c r="A26" t="s">
        <v>25174</v>
      </c>
      <c r="C26" t="s">
        <v>25342</v>
      </c>
      <c r="D26" t="s">
        <v>63</v>
      </c>
      <c r="E26" t="s">
        <v>63</v>
      </c>
      <c r="F26">
        <v>1982</v>
      </c>
      <c r="G26" t="s">
        <v>63</v>
      </c>
      <c r="H26" t="s">
        <v>63</v>
      </c>
      <c r="I26" t="s">
        <v>63</v>
      </c>
      <c r="J26">
        <v>53</v>
      </c>
      <c r="K26" t="s">
        <v>63</v>
      </c>
      <c r="L26" t="s">
        <v>25343</v>
      </c>
      <c r="M26" t="s">
        <v>25344</v>
      </c>
      <c r="N26" t="s">
        <v>25345</v>
      </c>
      <c r="O26" t="s">
        <v>63</v>
      </c>
      <c r="Q26" t="s">
        <v>63</v>
      </c>
      <c r="R26" t="s">
        <v>63</v>
      </c>
      <c r="S26" t="s">
        <v>25346</v>
      </c>
      <c r="T26" t="s">
        <v>63</v>
      </c>
      <c r="X26" t="s">
        <v>63</v>
      </c>
      <c r="Y26" t="s">
        <v>63</v>
      </c>
      <c r="Z26" t="s">
        <v>63</v>
      </c>
      <c r="AA26" t="s">
        <v>63</v>
      </c>
      <c r="AB26" t="s">
        <v>25347</v>
      </c>
      <c r="AC26" t="s">
        <v>67</v>
      </c>
      <c r="AD26" t="s">
        <v>63</v>
      </c>
      <c r="AE26" t="s">
        <v>63</v>
      </c>
      <c r="AF26" t="s">
        <v>63</v>
      </c>
      <c r="AG26" t="s">
        <v>63</v>
      </c>
      <c r="AH26" t="s">
        <v>63</v>
      </c>
      <c r="AI26" t="s">
        <v>63</v>
      </c>
      <c r="AJ26" t="s">
        <v>63</v>
      </c>
      <c r="AK26" t="s">
        <v>63</v>
      </c>
      <c r="AL26" t="s">
        <v>63</v>
      </c>
      <c r="AM26" t="s">
        <v>25348</v>
      </c>
      <c r="AN26" t="s">
        <v>63</v>
      </c>
      <c r="AO26" t="s">
        <v>63</v>
      </c>
      <c r="AP26" t="s">
        <v>63</v>
      </c>
      <c r="AQ26" t="s">
        <v>63</v>
      </c>
      <c r="AR26" t="s">
        <v>63</v>
      </c>
      <c r="AS26" t="s">
        <v>63</v>
      </c>
      <c r="AT26" t="s">
        <v>63</v>
      </c>
      <c r="AU26" t="s">
        <v>63</v>
      </c>
      <c r="AV26" t="s">
        <v>63</v>
      </c>
      <c r="AW26" t="s">
        <v>63</v>
      </c>
      <c r="AX26" t="s">
        <v>63</v>
      </c>
      <c r="AY26" t="s">
        <v>63</v>
      </c>
      <c r="AZ26" t="s">
        <v>63</v>
      </c>
      <c r="BA26" t="s">
        <v>63</v>
      </c>
      <c r="BB26" t="s">
        <v>63</v>
      </c>
      <c r="BC26" t="s">
        <v>63</v>
      </c>
      <c r="BD26" t="s">
        <v>63</v>
      </c>
      <c r="BE26" t="s">
        <v>63</v>
      </c>
      <c r="BF26" t="s">
        <v>63</v>
      </c>
    </row>
    <row r="27" spans="1:58">
      <c r="A27" t="s">
        <v>25174</v>
      </c>
      <c r="C27" t="s">
        <v>25349</v>
      </c>
      <c r="D27" t="s">
        <v>63</v>
      </c>
      <c r="E27" t="s">
        <v>63</v>
      </c>
      <c r="F27">
        <v>1980</v>
      </c>
      <c r="G27" t="s">
        <v>63</v>
      </c>
      <c r="H27" t="s">
        <v>63</v>
      </c>
      <c r="I27" t="s">
        <v>63</v>
      </c>
      <c r="J27">
        <v>39</v>
      </c>
      <c r="K27" t="s">
        <v>63</v>
      </c>
      <c r="L27" t="s">
        <v>25350</v>
      </c>
      <c r="M27" t="s">
        <v>25351</v>
      </c>
      <c r="N27" t="s">
        <v>25352</v>
      </c>
      <c r="O27" t="s">
        <v>63</v>
      </c>
      <c r="Q27" t="s">
        <v>63</v>
      </c>
      <c r="R27" t="s">
        <v>63</v>
      </c>
      <c r="S27" t="s">
        <v>25353</v>
      </c>
      <c r="T27" t="s">
        <v>63</v>
      </c>
      <c r="X27" t="s">
        <v>63</v>
      </c>
      <c r="Y27" t="s">
        <v>63</v>
      </c>
      <c r="Z27" t="s">
        <v>63</v>
      </c>
      <c r="AA27" t="s">
        <v>63</v>
      </c>
      <c r="AB27" t="s">
        <v>25354</v>
      </c>
      <c r="AC27" t="s">
        <v>67</v>
      </c>
      <c r="AD27" t="s">
        <v>63</v>
      </c>
      <c r="AE27" t="s">
        <v>63</v>
      </c>
      <c r="AF27" t="s">
        <v>63</v>
      </c>
      <c r="AG27" t="s">
        <v>63</v>
      </c>
      <c r="AH27" t="s">
        <v>63</v>
      </c>
      <c r="AI27" t="s">
        <v>63</v>
      </c>
      <c r="AJ27" t="s">
        <v>63</v>
      </c>
      <c r="AK27" t="s">
        <v>63</v>
      </c>
      <c r="AL27" t="s">
        <v>63</v>
      </c>
      <c r="AM27" t="s">
        <v>25355</v>
      </c>
      <c r="AN27" t="s">
        <v>63</v>
      </c>
      <c r="AO27" t="s">
        <v>63</v>
      </c>
      <c r="AP27" t="s">
        <v>63</v>
      </c>
      <c r="AQ27" t="s">
        <v>63</v>
      </c>
      <c r="AR27" t="s">
        <v>63</v>
      </c>
      <c r="AS27" t="s">
        <v>63</v>
      </c>
      <c r="AT27" t="s">
        <v>63</v>
      </c>
      <c r="AU27" t="s">
        <v>63</v>
      </c>
      <c r="AV27" t="s">
        <v>63</v>
      </c>
      <c r="AW27" t="s">
        <v>63</v>
      </c>
      <c r="AX27" t="s">
        <v>63</v>
      </c>
      <c r="AY27" t="s">
        <v>63</v>
      </c>
      <c r="AZ27" t="s">
        <v>63</v>
      </c>
      <c r="BA27" t="s">
        <v>63</v>
      </c>
      <c r="BB27" t="s">
        <v>63</v>
      </c>
      <c r="BC27" t="s">
        <v>63</v>
      </c>
      <c r="BD27" t="s">
        <v>63</v>
      </c>
      <c r="BE27" t="s">
        <v>63</v>
      </c>
      <c r="BF27" t="s">
        <v>63</v>
      </c>
    </row>
    <row r="28" spans="1:58">
      <c r="A28" t="s">
        <v>25174</v>
      </c>
      <c r="C28" t="s">
        <v>25356</v>
      </c>
      <c r="D28" t="s">
        <v>63</v>
      </c>
      <c r="E28" t="s">
        <v>63</v>
      </c>
      <c r="F28">
        <v>1979</v>
      </c>
      <c r="G28" t="s">
        <v>63</v>
      </c>
      <c r="H28" t="s">
        <v>63</v>
      </c>
      <c r="I28" t="s">
        <v>63</v>
      </c>
      <c r="J28">
        <v>14</v>
      </c>
      <c r="K28" t="s">
        <v>63</v>
      </c>
      <c r="L28" t="s">
        <v>25357</v>
      </c>
      <c r="M28" t="s">
        <v>25358</v>
      </c>
      <c r="N28" t="s">
        <v>25359</v>
      </c>
      <c r="O28" t="s">
        <v>63</v>
      </c>
      <c r="Q28" t="s">
        <v>63</v>
      </c>
      <c r="R28" t="s">
        <v>63</v>
      </c>
      <c r="S28" t="s">
        <v>25360</v>
      </c>
      <c r="T28" t="s">
        <v>63</v>
      </c>
      <c r="X28" t="s">
        <v>63</v>
      </c>
      <c r="Y28" t="s">
        <v>63</v>
      </c>
      <c r="Z28" t="s">
        <v>63</v>
      </c>
      <c r="AA28" t="s">
        <v>63</v>
      </c>
      <c r="AB28" t="s">
        <v>25361</v>
      </c>
      <c r="AC28" t="s">
        <v>67</v>
      </c>
      <c r="AD28" t="s">
        <v>63</v>
      </c>
      <c r="AE28" t="s">
        <v>63</v>
      </c>
      <c r="AF28" t="s">
        <v>63</v>
      </c>
      <c r="AG28" t="s">
        <v>63</v>
      </c>
      <c r="AH28" t="s">
        <v>63</v>
      </c>
      <c r="AI28" t="s">
        <v>63</v>
      </c>
      <c r="AJ28" t="s">
        <v>63</v>
      </c>
      <c r="AK28" t="s">
        <v>63</v>
      </c>
      <c r="AL28" t="s">
        <v>63</v>
      </c>
      <c r="AM28" t="s">
        <v>25362</v>
      </c>
      <c r="AN28" t="s">
        <v>63</v>
      </c>
      <c r="AO28" t="s">
        <v>63</v>
      </c>
      <c r="AP28" t="s">
        <v>63</v>
      </c>
      <c r="AQ28" t="s">
        <v>63</v>
      </c>
      <c r="AR28" t="s">
        <v>63</v>
      </c>
      <c r="AS28" t="s">
        <v>63</v>
      </c>
      <c r="AT28" t="s">
        <v>63</v>
      </c>
      <c r="AU28" t="s">
        <v>63</v>
      </c>
      <c r="AV28" t="s">
        <v>63</v>
      </c>
      <c r="AW28" t="s">
        <v>63</v>
      </c>
      <c r="AX28" t="s">
        <v>63</v>
      </c>
      <c r="AY28" t="s">
        <v>63</v>
      </c>
      <c r="AZ28" t="s">
        <v>63</v>
      </c>
      <c r="BA28" t="s">
        <v>63</v>
      </c>
      <c r="BB28" t="s">
        <v>63</v>
      </c>
      <c r="BC28" t="s">
        <v>63</v>
      </c>
      <c r="BD28" t="s">
        <v>63</v>
      </c>
      <c r="BE28" t="s">
        <v>63</v>
      </c>
      <c r="BF28" t="s">
        <v>63</v>
      </c>
    </row>
    <row r="29" spans="1:58">
      <c r="A29" t="s">
        <v>25174</v>
      </c>
      <c r="C29" t="s">
        <v>25363</v>
      </c>
      <c r="D29" t="s">
        <v>63</v>
      </c>
      <c r="E29" t="s">
        <v>63</v>
      </c>
      <c r="F29">
        <v>1979</v>
      </c>
      <c r="G29" s="1">
        <v>41972</v>
      </c>
      <c r="H29" t="s">
        <v>63</v>
      </c>
      <c r="I29" t="s">
        <v>63</v>
      </c>
      <c r="J29">
        <v>185</v>
      </c>
      <c r="K29" t="s">
        <v>63</v>
      </c>
      <c r="L29" t="s">
        <v>25364</v>
      </c>
      <c r="M29" t="s">
        <v>25365</v>
      </c>
      <c r="N29" t="s">
        <v>25366</v>
      </c>
      <c r="O29" t="s">
        <v>63</v>
      </c>
      <c r="Q29" t="s">
        <v>63</v>
      </c>
      <c r="R29" t="s">
        <v>63</v>
      </c>
      <c r="S29" t="s">
        <v>25367</v>
      </c>
      <c r="T29" t="s">
        <v>63</v>
      </c>
      <c r="X29" t="s">
        <v>63</v>
      </c>
      <c r="Y29" t="s">
        <v>63</v>
      </c>
      <c r="Z29" t="s">
        <v>63</v>
      </c>
      <c r="AA29" t="s">
        <v>63</v>
      </c>
      <c r="AB29" t="s">
        <v>25368</v>
      </c>
      <c r="AC29" t="s">
        <v>67</v>
      </c>
      <c r="AD29" t="s">
        <v>63</v>
      </c>
      <c r="AE29" t="s">
        <v>63</v>
      </c>
      <c r="AF29" t="s">
        <v>63</v>
      </c>
      <c r="AG29" t="s">
        <v>63</v>
      </c>
      <c r="AH29" t="s">
        <v>63</v>
      </c>
      <c r="AI29" t="s">
        <v>63</v>
      </c>
      <c r="AJ29" t="s">
        <v>63</v>
      </c>
      <c r="AK29" t="s">
        <v>63</v>
      </c>
      <c r="AL29" t="s">
        <v>63</v>
      </c>
      <c r="AM29" t="s">
        <v>25369</v>
      </c>
      <c r="AN29" t="s">
        <v>63</v>
      </c>
      <c r="AO29" t="s">
        <v>63</v>
      </c>
      <c r="AP29" t="s">
        <v>63</v>
      </c>
      <c r="AQ29" t="s">
        <v>63</v>
      </c>
      <c r="AR29" t="s">
        <v>63</v>
      </c>
      <c r="AS29" t="s">
        <v>63</v>
      </c>
      <c r="AT29" t="s">
        <v>63</v>
      </c>
      <c r="AU29" t="s">
        <v>63</v>
      </c>
      <c r="AV29" t="s">
        <v>63</v>
      </c>
      <c r="AW29" t="s">
        <v>63</v>
      </c>
      <c r="AX29" t="s">
        <v>63</v>
      </c>
      <c r="AY29" t="s">
        <v>63</v>
      </c>
      <c r="AZ29" t="s">
        <v>63</v>
      </c>
      <c r="BA29" t="s">
        <v>63</v>
      </c>
      <c r="BB29" t="s">
        <v>63</v>
      </c>
      <c r="BC29" t="s">
        <v>63</v>
      </c>
      <c r="BD29" t="s">
        <v>63</v>
      </c>
      <c r="BE29" t="s">
        <v>63</v>
      </c>
      <c r="BF29" t="s">
        <v>63</v>
      </c>
    </row>
    <row r="30" spans="1:58">
      <c r="A30" t="s">
        <v>25174</v>
      </c>
      <c r="C30" t="s">
        <v>25370</v>
      </c>
      <c r="D30" t="s">
        <v>63</v>
      </c>
      <c r="E30" t="s">
        <v>63</v>
      </c>
      <c r="F30">
        <v>1977</v>
      </c>
      <c r="G30" s="1">
        <v>41923</v>
      </c>
      <c r="H30" t="s">
        <v>63</v>
      </c>
      <c r="I30" t="s">
        <v>63</v>
      </c>
      <c r="J30">
        <v>258</v>
      </c>
      <c r="K30" t="s">
        <v>63</v>
      </c>
      <c r="L30" t="s">
        <v>25371</v>
      </c>
      <c r="M30" t="s">
        <v>25372</v>
      </c>
      <c r="N30" t="s">
        <v>25373</v>
      </c>
      <c r="O30" t="s">
        <v>63</v>
      </c>
      <c r="Q30" t="s">
        <v>63</v>
      </c>
      <c r="R30" t="s">
        <v>63</v>
      </c>
      <c r="S30" t="s">
        <v>25374</v>
      </c>
      <c r="T30" t="s">
        <v>63</v>
      </c>
      <c r="X30" t="s">
        <v>63</v>
      </c>
      <c r="Y30" t="s">
        <v>63</v>
      </c>
      <c r="Z30" t="s">
        <v>63</v>
      </c>
      <c r="AA30" t="s">
        <v>63</v>
      </c>
      <c r="AB30" t="s">
        <v>25375</v>
      </c>
      <c r="AC30" t="s">
        <v>67</v>
      </c>
      <c r="AD30" t="s">
        <v>63</v>
      </c>
      <c r="AE30" t="s">
        <v>63</v>
      </c>
      <c r="AF30" t="s">
        <v>63</v>
      </c>
      <c r="AG30" t="s">
        <v>63</v>
      </c>
      <c r="AH30" t="s">
        <v>63</v>
      </c>
      <c r="AI30" t="s">
        <v>63</v>
      </c>
      <c r="AJ30" t="s">
        <v>63</v>
      </c>
      <c r="AK30" t="s">
        <v>63</v>
      </c>
      <c r="AL30" t="s">
        <v>63</v>
      </c>
      <c r="AM30" t="s">
        <v>25376</v>
      </c>
      <c r="AN30" t="s">
        <v>63</v>
      </c>
      <c r="AO30" t="s">
        <v>63</v>
      </c>
      <c r="AP30" t="s">
        <v>63</v>
      </c>
      <c r="AQ30" t="s">
        <v>63</v>
      </c>
      <c r="AR30" t="s">
        <v>63</v>
      </c>
      <c r="AS30" t="s">
        <v>63</v>
      </c>
      <c r="AT30" t="s">
        <v>63</v>
      </c>
      <c r="AU30" t="s">
        <v>63</v>
      </c>
      <c r="AV30" t="s">
        <v>63</v>
      </c>
      <c r="AW30" t="s">
        <v>63</v>
      </c>
      <c r="AX30" t="s">
        <v>63</v>
      </c>
      <c r="AY30" t="s">
        <v>63</v>
      </c>
      <c r="AZ30" t="s">
        <v>63</v>
      </c>
      <c r="BA30" t="s">
        <v>63</v>
      </c>
      <c r="BB30" t="s">
        <v>63</v>
      </c>
      <c r="BC30" t="s">
        <v>63</v>
      </c>
      <c r="BD30" t="s">
        <v>63</v>
      </c>
      <c r="BE30" t="s">
        <v>63</v>
      </c>
      <c r="BF30" t="s">
        <v>63</v>
      </c>
    </row>
    <row r="31" spans="1:58">
      <c r="A31" t="s">
        <v>25174</v>
      </c>
      <c r="C31" t="s">
        <v>25377</v>
      </c>
      <c r="D31" t="s">
        <v>63</v>
      </c>
      <c r="E31" t="s">
        <v>63</v>
      </c>
      <c r="F31">
        <v>1967</v>
      </c>
      <c r="G31" t="s">
        <v>63</v>
      </c>
      <c r="H31" t="s">
        <v>63</v>
      </c>
      <c r="I31" t="s">
        <v>63</v>
      </c>
      <c r="J31">
        <v>167</v>
      </c>
      <c r="K31" t="s">
        <v>63</v>
      </c>
      <c r="L31" t="s">
        <v>25378</v>
      </c>
      <c r="M31" t="s">
        <v>25379</v>
      </c>
      <c r="N31" t="s">
        <v>25380</v>
      </c>
      <c r="O31" t="s">
        <v>63</v>
      </c>
      <c r="Q31" t="s">
        <v>63</v>
      </c>
      <c r="R31" t="s">
        <v>63</v>
      </c>
      <c r="S31" t="s">
        <v>25381</v>
      </c>
      <c r="T31" t="s">
        <v>63</v>
      </c>
      <c r="X31" t="s">
        <v>63</v>
      </c>
      <c r="Y31" t="s">
        <v>63</v>
      </c>
      <c r="Z31" t="s">
        <v>63</v>
      </c>
      <c r="AA31" t="s">
        <v>63</v>
      </c>
      <c r="AB31" t="s">
        <v>25382</v>
      </c>
      <c r="AC31" t="s">
        <v>25383</v>
      </c>
      <c r="AD31" t="s">
        <v>63</v>
      </c>
      <c r="AE31" t="s">
        <v>63</v>
      </c>
      <c r="AF31" t="s">
        <v>63</v>
      </c>
      <c r="AG31" t="s">
        <v>63</v>
      </c>
      <c r="AH31" t="s">
        <v>63</v>
      </c>
      <c r="AI31" t="s">
        <v>63</v>
      </c>
      <c r="AJ31" t="s">
        <v>63</v>
      </c>
      <c r="AK31" t="s">
        <v>63</v>
      </c>
      <c r="AL31" t="s">
        <v>63</v>
      </c>
      <c r="AM31" t="s">
        <v>25384</v>
      </c>
      <c r="AN31" t="s">
        <v>63</v>
      </c>
      <c r="AO31" t="s">
        <v>63</v>
      </c>
      <c r="AP31" t="s">
        <v>63</v>
      </c>
      <c r="AQ31" t="s">
        <v>63</v>
      </c>
      <c r="AR31" t="s">
        <v>63</v>
      </c>
      <c r="AS31" t="s">
        <v>63</v>
      </c>
      <c r="AT31" t="s">
        <v>63</v>
      </c>
      <c r="AU31" t="s">
        <v>63</v>
      </c>
      <c r="AV31" t="s">
        <v>63</v>
      </c>
      <c r="AW31" t="s">
        <v>63</v>
      </c>
      <c r="AX31" t="s">
        <v>63</v>
      </c>
      <c r="AY31" t="s">
        <v>63</v>
      </c>
      <c r="AZ31" t="s">
        <v>63</v>
      </c>
      <c r="BA31" t="s">
        <v>63</v>
      </c>
      <c r="BB31" t="s">
        <v>63</v>
      </c>
      <c r="BC31" t="s">
        <v>63</v>
      </c>
      <c r="BD31" t="s">
        <v>63</v>
      </c>
      <c r="BE31" t="s">
        <v>63</v>
      </c>
      <c r="BF31" t="s">
        <v>63</v>
      </c>
    </row>
    <row r="32" spans="1:58">
      <c r="A32" t="s">
        <v>58</v>
      </c>
      <c r="C32" t="s">
        <v>25385</v>
      </c>
      <c r="D32" t="s">
        <v>25386</v>
      </c>
      <c r="E32" t="s">
        <v>25387</v>
      </c>
      <c r="F32" t="s">
        <v>63</v>
      </c>
      <c r="G32" s="2">
        <v>25293</v>
      </c>
      <c r="H32">
        <v>51</v>
      </c>
      <c r="I32">
        <v>17</v>
      </c>
      <c r="J32">
        <v>39</v>
      </c>
      <c r="K32">
        <v>40</v>
      </c>
      <c r="L32" t="s">
        <v>25388</v>
      </c>
      <c r="M32" t="s">
        <v>63</v>
      </c>
      <c r="N32" t="s">
        <v>25389</v>
      </c>
      <c r="O32" t="s">
        <v>63</v>
      </c>
      <c r="Q32" t="s">
        <v>63</v>
      </c>
      <c r="R32" t="s">
        <v>63</v>
      </c>
      <c r="S32" t="s">
        <v>63</v>
      </c>
      <c r="T32" t="s">
        <v>63</v>
      </c>
      <c r="X32" t="s">
        <v>63</v>
      </c>
      <c r="Y32" t="s">
        <v>63</v>
      </c>
      <c r="Z32" t="s">
        <v>63</v>
      </c>
      <c r="AA32" t="s">
        <v>63</v>
      </c>
      <c r="AB32" t="s">
        <v>25390</v>
      </c>
      <c r="AC32" t="s">
        <v>25383</v>
      </c>
      <c r="AD32" t="s">
        <v>63</v>
      </c>
      <c r="AE32" t="s">
        <v>63</v>
      </c>
      <c r="AF32" t="s">
        <v>63</v>
      </c>
      <c r="AG32" t="s">
        <v>63</v>
      </c>
      <c r="AH32" t="s">
        <v>63</v>
      </c>
      <c r="AI32" t="s">
        <v>63</v>
      </c>
      <c r="AJ32" t="s">
        <v>63</v>
      </c>
      <c r="AK32" t="s">
        <v>63</v>
      </c>
      <c r="AL32" t="s">
        <v>63</v>
      </c>
      <c r="AM32" t="s">
        <v>25391</v>
      </c>
      <c r="AN32" t="s">
        <v>63</v>
      </c>
      <c r="AO32" t="s">
        <v>63</v>
      </c>
      <c r="AP32" t="s">
        <v>63</v>
      </c>
      <c r="AQ32" t="s">
        <v>63</v>
      </c>
      <c r="AR32" t="s">
        <v>63</v>
      </c>
      <c r="AS32" t="s">
        <v>63</v>
      </c>
      <c r="AT32" t="s">
        <v>63</v>
      </c>
      <c r="AU32" t="s">
        <v>63</v>
      </c>
      <c r="AV32" t="s">
        <v>63</v>
      </c>
      <c r="AW32" t="s">
        <v>63</v>
      </c>
      <c r="AX32" t="s">
        <v>63</v>
      </c>
      <c r="AY32" t="s">
        <v>63</v>
      </c>
      <c r="AZ32" t="s">
        <v>63</v>
      </c>
      <c r="BA32" t="s">
        <v>63</v>
      </c>
      <c r="BB32" t="s">
        <v>63</v>
      </c>
      <c r="BC32" t="s">
        <v>63</v>
      </c>
      <c r="BD32" t="s">
        <v>63</v>
      </c>
      <c r="BE32" t="s">
        <v>63</v>
      </c>
      <c r="BF32" t="s">
        <v>63</v>
      </c>
    </row>
    <row r="33" spans="1:58">
      <c r="A33" t="s">
        <v>58</v>
      </c>
      <c r="B33" t="s">
        <v>25392</v>
      </c>
      <c r="C33" t="s">
        <v>25393</v>
      </c>
      <c r="D33" t="s">
        <v>25394</v>
      </c>
      <c r="E33" t="s">
        <v>63</v>
      </c>
      <c r="F33">
        <v>1369</v>
      </c>
      <c r="G33" t="s">
        <v>25395</v>
      </c>
      <c r="H33" t="s">
        <v>63</v>
      </c>
      <c r="I33">
        <v>1</v>
      </c>
      <c r="J33" t="s">
        <v>63</v>
      </c>
      <c r="K33" t="s">
        <v>63</v>
      </c>
      <c r="L33" t="s">
        <v>25396</v>
      </c>
      <c r="M33" t="s">
        <v>25397</v>
      </c>
      <c r="N33" t="s">
        <v>25398</v>
      </c>
      <c r="O33" t="s">
        <v>63</v>
      </c>
      <c r="Q33" t="s">
        <v>63</v>
      </c>
      <c r="R33" t="s">
        <v>63</v>
      </c>
      <c r="S33" t="s">
        <v>63</v>
      </c>
      <c r="T33" t="s">
        <v>63</v>
      </c>
      <c r="X33" t="s">
        <v>63</v>
      </c>
      <c r="Y33" t="s">
        <v>25399</v>
      </c>
      <c r="Z33" t="s">
        <v>63</v>
      </c>
      <c r="AA33" t="s">
        <v>25400</v>
      </c>
      <c r="AB33" t="s">
        <v>25401</v>
      </c>
      <c r="AC33" t="s">
        <v>67</v>
      </c>
      <c r="AD33" t="s">
        <v>63</v>
      </c>
      <c r="AE33" t="s">
        <v>63</v>
      </c>
      <c r="AF33" t="s">
        <v>63</v>
      </c>
      <c r="AG33" t="s">
        <v>63</v>
      </c>
      <c r="AH33" t="s">
        <v>63</v>
      </c>
      <c r="AI33" t="s">
        <v>63</v>
      </c>
      <c r="AJ33" t="s">
        <v>63</v>
      </c>
      <c r="AK33" t="s">
        <v>63</v>
      </c>
      <c r="AL33" t="s">
        <v>63</v>
      </c>
      <c r="AM33" t="s">
        <v>25402</v>
      </c>
      <c r="AN33" t="s">
        <v>63</v>
      </c>
      <c r="AO33" t="s">
        <v>63</v>
      </c>
      <c r="AP33" t="s">
        <v>63</v>
      </c>
      <c r="AQ33" t="s">
        <v>63</v>
      </c>
      <c r="AR33" t="s">
        <v>63</v>
      </c>
      <c r="AS33" t="s">
        <v>63</v>
      </c>
      <c r="AT33" t="s">
        <v>63</v>
      </c>
      <c r="AU33" t="s">
        <v>63</v>
      </c>
      <c r="AV33" t="s">
        <v>63</v>
      </c>
      <c r="AW33" t="s">
        <v>63</v>
      </c>
      <c r="AX33" t="s">
        <v>63</v>
      </c>
      <c r="AY33" t="s">
        <v>63</v>
      </c>
      <c r="AZ33" t="s">
        <v>63</v>
      </c>
      <c r="BA33" t="s">
        <v>63</v>
      </c>
      <c r="BB33" t="s">
        <v>63</v>
      </c>
      <c r="BC33" t="s">
        <v>63</v>
      </c>
      <c r="BD33" t="s">
        <v>63</v>
      </c>
      <c r="BE33" t="s">
        <v>63</v>
      </c>
      <c r="BF33" t="s">
        <v>63</v>
      </c>
    </row>
    <row r="34" spans="1:58">
      <c r="A34" t="s">
        <v>25174</v>
      </c>
      <c r="B34" t="s">
        <v>25403</v>
      </c>
      <c r="C34" t="s">
        <v>25404</v>
      </c>
      <c r="D34" t="s">
        <v>63</v>
      </c>
      <c r="E34" t="s">
        <v>63</v>
      </c>
      <c r="F34">
        <v>1988</v>
      </c>
      <c r="G34" t="s">
        <v>63</v>
      </c>
      <c r="H34" t="s">
        <v>63</v>
      </c>
      <c r="I34" t="s">
        <v>63</v>
      </c>
      <c r="J34">
        <v>198</v>
      </c>
      <c r="K34" t="s">
        <v>63</v>
      </c>
      <c r="L34" t="s">
        <v>25405</v>
      </c>
      <c r="M34" t="s">
        <v>25406</v>
      </c>
      <c r="N34" t="s">
        <v>25407</v>
      </c>
      <c r="O34" t="s">
        <v>63</v>
      </c>
      <c r="Q34" t="s">
        <v>63</v>
      </c>
      <c r="R34" t="s">
        <v>63</v>
      </c>
      <c r="S34" t="s">
        <v>25408</v>
      </c>
      <c r="T34" t="s">
        <v>63</v>
      </c>
      <c r="X34" t="s">
        <v>63</v>
      </c>
      <c r="Y34" t="s">
        <v>63</v>
      </c>
      <c r="Z34" t="s">
        <v>63</v>
      </c>
      <c r="AA34" t="s">
        <v>63</v>
      </c>
      <c r="AB34" t="s">
        <v>25409</v>
      </c>
      <c r="AC34" t="s">
        <v>67</v>
      </c>
      <c r="AD34" t="s">
        <v>63</v>
      </c>
      <c r="AE34" t="s">
        <v>63</v>
      </c>
      <c r="AF34" t="s">
        <v>63</v>
      </c>
      <c r="AG34" t="s">
        <v>63</v>
      </c>
      <c r="AH34" t="s">
        <v>63</v>
      </c>
      <c r="AI34" t="s">
        <v>63</v>
      </c>
      <c r="AJ34" t="s">
        <v>63</v>
      </c>
      <c r="AK34" t="s">
        <v>63</v>
      </c>
      <c r="AL34" t="s">
        <v>63</v>
      </c>
      <c r="AM34" t="s">
        <v>25410</v>
      </c>
      <c r="AN34" t="s">
        <v>63</v>
      </c>
      <c r="AO34" t="s">
        <v>63</v>
      </c>
      <c r="AP34" t="s">
        <v>63</v>
      </c>
      <c r="AQ34" t="s">
        <v>63</v>
      </c>
      <c r="AR34" t="s">
        <v>63</v>
      </c>
      <c r="AS34" t="s">
        <v>63</v>
      </c>
      <c r="AT34" t="s">
        <v>63</v>
      </c>
      <c r="AU34" t="s">
        <v>63</v>
      </c>
      <c r="AV34" t="s">
        <v>63</v>
      </c>
      <c r="AW34" t="s">
        <v>63</v>
      </c>
      <c r="AX34" t="s">
        <v>63</v>
      </c>
      <c r="AY34" t="s">
        <v>63</v>
      </c>
      <c r="AZ34" t="s">
        <v>63</v>
      </c>
      <c r="BA34" t="s">
        <v>63</v>
      </c>
      <c r="BB34" t="s">
        <v>63</v>
      </c>
      <c r="BC34" t="s">
        <v>63</v>
      </c>
      <c r="BD34" t="s">
        <v>63</v>
      </c>
      <c r="BE34" t="s">
        <v>63</v>
      </c>
      <c r="BF34" t="s">
        <v>63</v>
      </c>
    </row>
    <row r="35" spans="1:58">
      <c r="A35" t="s">
        <v>25174</v>
      </c>
      <c r="B35" t="s">
        <v>25411</v>
      </c>
      <c r="C35" t="s">
        <v>25412</v>
      </c>
      <c r="D35" t="s">
        <v>63</v>
      </c>
      <c r="E35" t="s">
        <v>63</v>
      </c>
      <c r="F35">
        <v>1984</v>
      </c>
      <c r="G35" s="2">
        <v>35277</v>
      </c>
      <c r="H35" t="s">
        <v>63</v>
      </c>
      <c r="I35" t="s">
        <v>63</v>
      </c>
      <c r="J35">
        <v>22</v>
      </c>
      <c r="K35" t="s">
        <v>63</v>
      </c>
      <c r="L35" t="s">
        <v>25413</v>
      </c>
      <c r="M35" t="s">
        <v>25414</v>
      </c>
      <c r="N35" t="s">
        <v>25415</v>
      </c>
      <c r="O35" t="s">
        <v>63</v>
      </c>
      <c r="Q35" t="s">
        <v>63</v>
      </c>
      <c r="R35" t="s">
        <v>63</v>
      </c>
      <c r="S35" t="s">
        <v>63</v>
      </c>
      <c r="T35" t="s">
        <v>63</v>
      </c>
      <c r="X35" t="s">
        <v>63</v>
      </c>
      <c r="Y35" t="s">
        <v>63</v>
      </c>
      <c r="Z35" t="s">
        <v>63</v>
      </c>
      <c r="AA35" t="s">
        <v>63</v>
      </c>
      <c r="AB35" t="s">
        <v>25416</v>
      </c>
      <c r="AC35" t="s">
        <v>67</v>
      </c>
      <c r="AD35" t="s">
        <v>63</v>
      </c>
      <c r="AE35" t="s">
        <v>63</v>
      </c>
      <c r="AF35" t="s">
        <v>63</v>
      </c>
      <c r="AG35" t="s">
        <v>63</v>
      </c>
      <c r="AH35" t="s">
        <v>63</v>
      </c>
      <c r="AI35" t="s">
        <v>63</v>
      </c>
      <c r="AJ35" t="s">
        <v>63</v>
      </c>
      <c r="AK35" t="s">
        <v>63</v>
      </c>
      <c r="AL35" t="s">
        <v>63</v>
      </c>
      <c r="AM35" t="s">
        <v>25417</v>
      </c>
      <c r="AN35" t="s">
        <v>63</v>
      </c>
      <c r="AO35" t="s">
        <v>63</v>
      </c>
      <c r="AP35" t="s">
        <v>63</v>
      </c>
      <c r="AQ35" t="s">
        <v>63</v>
      </c>
      <c r="AR35" t="s">
        <v>63</v>
      </c>
      <c r="AS35" t="s">
        <v>63</v>
      </c>
      <c r="AT35" t="s">
        <v>63</v>
      </c>
      <c r="AU35" t="s">
        <v>63</v>
      </c>
      <c r="AV35" t="s">
        <v>63</v>
      </c>
      <c r="AW35" t="s">
        <v>63</v>
      </c>
      <c r="AX35" t="s">
        <v>63</v>
      </c>
      <c r="AY35" t="s">
        <v>63</v>
      </c>
      <c r="AZ35" t="s">
        <v>63</v>
      </c>
      <c r="BA35" t="s">
        <v>63</v>
      </c>
      <c r="BB35" t="s">
        <v>63</v>
      </c>
      <c r="BC35" t="s">
        <v>63</v>
      </c>
      <c r="BD35" t="s">
        <v>63</v>
      </c>
      <c r="BE35" t="s">
        <v>63</v>
      </c>
      <c r="BF35" t="s">
        <v>63</v>
      </c>
    </row>
    <row r="36" spans="1:58">
      <c r="A36" t="s">
        <v>2702</v>
      </c>
      <c r="B36" t="s">
        <v>25418</v>
      </c>
      <c r="C36" t="s">
        <v>25419</v>
      </c>
      <c r="D36" t="s">
        <v>63</v>
      </c>
      <c r="E36" t="s">
        <v>63</v>
      </c>
      <c r="F36">
        <v>2001</v>
      </c>
      <c r="G36" s="2">
        <v>35216</v>
      </c>
      <c r="H36" t="s">
        <v>63</v>
      </c>
      <c r="I36" t="s">
        <v>63</v>
      </c>
      <c r="J36">
        <v>129</v>
      </c>
      <c r="K36" t="s">
        <v>63</v>
      </c>
      <c r="L36" t="s">
        <v>25420</v>
      </c>
      <c r="M36" t="s">
        <v>25421</v>
      </c>
      <c r="N36" t="s">
        <v>25422</v>
      </c>
      <c r="O36" t="s">
        <v>63</v>
      </c>
      <c r="Q36" t="s">
        <v>63</v>
      </c>
      <c r="R36" t="s">
        <v>63</v>
      </c>
      <c r="S36" t="s">
        <v>25423</v>
      </c>
      <c r="T36" t="s">
        <v>25424</v>
      </c>
      <c r="X36" t="s">
        <v>63</v>
      </c>
      <c r="Y36" t="s">
        <v>63</v>
      </c>
      <c r="Z36" t="s">
        <v>63</v>
      </c>
      <c r="AA36" t="s">
        <v>63</v>
      </c>
      <c r="AB36" t="s">
        <v>25425</v>
      </c>
      <c r="AC36" t="s">
        <v>67</v>
      </c>
      <c r="AD36" t="s">
        <v>63</v>
      </c>
      <c r="AE36" t="s">
        <v>63</v>
      </c>
      <c r="AF36" t="s">
        <v>63</v>
      </c>
      <c r="AG36" t="s">
        <v>63</v>
      </c>
      <c r="AH36" t="s">
        <v>63</v>
      </c>
      <c r="AI36" t="s">
        <v>63</v>
      </c>
      <c r="AJ36" t="s">
        <v>63</v>
      </c>
      <c r="AK36" t="s">
        <v>63</v>
      </c>
      <c r="AL36" t="s">
        <v>63</v>
      </c>
      <c r="AM36" t="s">
        <v>25426</v>
      </c>
      <c r="AN36" t="s">
        <v>63</v>
      </c>
      <c r="AO36" t="s">
        <v>63</v>
      </c>
      <c r="AP36" t="s">
        <v>63</v>
      </c>
      <c r="AQ36" t="s">
        <v>63</v>
      </c>
      <c r="AR36" t="s">
        <v>63</v>
      </c>
      <c r="AS36" t="s">
        <v>63</v>
      </c>
      <c r="AT36" t="s">
        <v>63</v>
      </c>
      <c r="AU36" t="s">
        <v>63</v>
      </c>
      <c r="AV36" t="s">
        <v>63</v>
      </c>
      <c r="AW36" t="s">
        <v>63</v>
      </c>
      <c r="AX36" t="s">
        <v>63</v>
      </c>
      <c r="AY36" t="s">
        <v>63</v>
      </c>
      <c r="AZ36" t="s">
        <v>63</v>
      </c>
      <c r="BA36" t="s">
        <v>63</v>
      </c>
      <c r="BB36" t="s">
        <v>63</v>
      </c>
      <c r="BC36" t="s">
        <v>63</v>
      </c>
      <c r="BD36" t="s">
        <v>63</v>
      </c>
      <c r="BE36" t="s">
        <v>63</v>
      </c>
      <c r="BF36" t="s">
        <v>63</v>
      </c>
    </row>
    <row r="37" spans="1:58">
      <c r="A37" t="s">
        <v>58</v>
      </c>
      <c r="B37" t="s">
        <v>25427</v>
      </c>
      <c r="C37" t="s">
        <v>25428</v>
      </c>
      <c r="D37" t="s">
        <v>1866</v>
      </c>
      <c r="E37" t="s">
        <v>1867</v>
      </c>
      <c r="F37">
        <v>2016</v>
      </c>
      <c r="G37" t="s">
        <v>84</v>
      </c>
      <c r="H37">
        <v>75</v>
      </c>
      <c r="I37">
        <v>3</v>
      </c>
      <c r="J37">
        <v>358</v>
      </c>
      <c r="K37">
        <v>369</v>
      </c>
      <c r="L37" t="s">
        <v>25429</v>
      </c>
      <c r="M37" t="s">
        <v>25430</v>
      </c>
      <c r="N37" t="s">
        <v>25431</v>
      </c>
      <c r="O37" t="s">
        <v>63</v>
      </c>
      <c r="Q37" t="s">
        <v>63</v>
      </c>
      <c r="R37" t="s">
        <v>63</v>
      </c>
      <c r="S37" t="s">
        <v>63</v>
      </c>
      <c r="T37" t="s">
        <v>63</v>
      </c>
      <c r="X37" t="s">
        <v>63</v>
      </c>
      <c r="Y37" t="s">
        <v>1870</v>
      </c>
      <c r="Z37" t="s">
        <v>63</v>
      </c>
      <c r="AA37" t="s">
        <v>25432</v>
      </c>
      <c r="AB37" t="s">
        <v>25433</v>
      </c>
      <c r="AC37" t="s">
        <v>67</v>
      </c>
      <c r="AD37" t="s">
        <v>63</v>
      </c>
      <c r="AE37" t="s">
        <v>63</v>
      </c>
      <c r="AF37" t="s">
        <v>63</v>
      </c>
      <c r="AG37" t="s">
        <v>63</v>
      </c>
      <c r="AH37" t="s">
        <v>63</v>
      </c>
      <c r="AI37" t="s">
        <v>63</v>
      </c>
      <c r="AJ37" t="s">
        <v>63</v>
      </c>
      <c r="AK37" t="s">
        <v>63</v>
      </c>
      <c r="AL37" t="s">
        <v>63</v>
      </c>
      <c r="AM37" t="s">
        <v>25434</v>
      </c>
      <c r="AN37" t="s">
        <v>63</v>
      </c>
      <c r="AO37" t="s">
        <v>63</v>
      </c>
      <c r="AP37" t="s">
        <v>63</v>
      </c>
      <c r="AQ37" t="s">
        <v>63</v>
      </c>
      <c r="AR37" t="s">
        <v>63</v>
      </c>
      <c r="AS37" t="s">
        <v>63</v>
      </c>
      <c r="AT37" t="s">
        <v>63</v>
      </c>
      <c r="AU37" t="s">
        <v>63</v>
      </c>
      <c r="AV37" t="s">
        <v>63</v>
      </c>
      <c r="AW37" t="s">
        <v>63</v>
      </c>
      <c r="AX37" t="s">
        <v>63</v>
      </c>
      <c r="AY37" t="s">
        <v>63</v>
      </c>
      <c r="AZ37" t="s">
        <v>63</v>
      </c>
      <c r="BA37" t="s">
        <v>63</v>
      </c>
      <c r="BB37" t="s">
        <v>63</v>
      </c>
      <c r="BC37" t="s">
        <v>63</v>
      </c>
      <c r="BD37" t="s">
        <v>63</v>
      </c>
      <c r="BE37" t="s">
        <v>63</v>
      </c>
      <c r="BF37" t="s">
        <v>63</v>
      </c>
    </row>
    <row r="38" spans="1:58">
      <c r="A38" t="s">
        <v>25174</v>
      </c>
      <c r="B38" t="s">
        <v>25435</v>
      </c>
      <c r="C38" t="s">
        <v>25436</v>
      </c>
      <c r="D38" t="s">
        <v>63</v>
      </c>
      <c r="E38" t="s">
        <v>63</v>
      </c>
      <c r="F38">
        <v>1988</v>
      </c>
      <c r="G38" t="s">
        <v>63</v>
      </c>
      <c r="H38" t="s">
        <v>63</v>
      </c>
      <c r="I38" t="s">
        <v>63</v>
      </c>
      <c r="J38">
        <v>47</v>
      </c>
      <c r="K38" t="s">
        <v>63</v>
      </c>
      <c r="L38" t="s">
        <v>25437</v>
      </c>
      <c r="M38" t="s">
        <v>25438</v>
      </c>
      <c r="N38" t="s">
        <v>25439</v>
      </c>
      <c r="O38" t="s">
        <v>63</v>
      </c>
      <c r="Q38" t="s">
        <v>63</v>
      </c>
      <c r="R38" t="s">
        <v>63</v>
      </c>
      <c r="S38" t="s">
        <v>25440</v>
      </c>
      <c r="T38" t="s">
        <v>63</v>
      </c>
      <c r="X38" t="s">
        <v>63</v>
      </c>
      <c r="Y38" t="s">
        <v>63</v>
      </c>
      <c r="Z38" t="s">
        <v>63</v>
      </c>
      <c r="AA38" t="s">
        <v>63</v>
      </c>
      <c r="AB38" t="s">
        <v>25441</v>
      </c>
      <c r="AC38" t="s">
        <v>67</v>
      </c>
      <c r="AD38" t="s">
        <v>63</v>
      </c>
      <c r="AE38" t="s">
        <v>63</v>
      </c>
      <c r="AF38" t="s">
        <v>63</v>
      </c>
      <c r="AG38" t="s">
        <v>63</v>
      </c>
      <c r="AH38" t="s">
        <v>63</v>
      </c>
      <c r="AI38" t="s">
        <v>63</v>
      </c>
      <c r="AJ38" t="s">
        <v>63</v>
      </c>
      <c r="AK38" t="s">
        <v>63</v>
      </c>
      <c r="AL38" t="s">
        <v>63</v>
      </c>
      <c r="AM38" t="s">
        <v>25442</v>
      </c>
      <c r="AN38" t="s">
        <v>63</v>
      </c>
      <c r="AO38" t="s">
        <v>63</v>
      </c>
      <c r="AP38" t="s">
        <v>63</v>
      </c>
      <c r="AQ38" t="s">
        <v>63</v>
      </c>
      <c r="AR38" t="s">
        <v>63</v>
      </c>
      <c r="AS38" t="s">
        <v>63</v>
      </c>
      <c r="AT38" t="s">
        <v>63</v>
      </c>
      <c r="AU38" t="s">
        <v>63</v>
      </c>
      <c r="AV38" t="s">
        <v>63</v>
      </c>
      <c r="AW38" t="s">
        <v>63</v>
      </c>
      <c r="AX38" t="s">
        <v>63</v>
      </c>
      <c r="AY38" t="s">
        <v>63</v>
      </c>
      <c r="AZ38" t="s">
        <v>63</v>
      </c>
      <c r="BA38" t="s">
        <v>63</v>
      </c>
      <c r="BB38" t="s">
        <v>63</v>
      </c>
      <c r="BC38" t="s">
        <v>63</v>
      </c>
      <c r="BD38" t="s">
        <v>63</v>
      </c>
      <c r="BE38" t="s">
        <v>63</v>
      </c>
      <c r="BF38" t="s">
        <v>63</v>
      </c>
    </row>
    <row r="39" spans="1:58">
      <c r="A39" t="s">
        <v>25174</v>
      </c>
      <c r="B39" t="s">
        <v>25443</v>
      </c>
      <c r="C39" t="s">
        <v>25444</v>
      </c>
      <c r="D39" t="s">
        <v>63</v>
      </c>
      <c r="E39" t="s">
        <v>63</v>
      </c>
      <c r="F39">
        <v>1969</v>
      </c>
      <c r="G39" s="1">
        <v>41801</v>
      </c>
      <c r="H39" t="s">
        <v>63</v>
      </c>
      <c r="I39" t="s">
        <v>63</v>
      </c>
      <c r="J39">
        <v>11</v>
      </c>
      <c r="K39" t="s">
        <v>63</v>
      </c>
      <c r="L39" t="s">
        <v>25445</v>
      </c>
      <c r="M39" t="s">
        <v>25446</v>
      </c>
      <c r="N39" t="s">
        <v>25447</v>
      </c>
      <c r="O39" t="s">
        <v>63</v>
      </c>
      <c r="Q39" t="s">
        <v>63</v>
      </c>
      <c r="R39" t="s">
        <v>63</v>
      </c>
      <c r="S39" t="s">
        <v>25448</v>
      </c>
      <c r="T39" t="s">
        <v>63</v>
      </c>
      <c r="X39" t="s">
        <v>63</v>
      </c>
      <c r="Y39" t="s">
        <v>63</v>
      </c>
      <c r="Z39" t="s">
        <v>63</v>
      </c>
      <c r="AA39" t="s">
        <v>63</v>
      </c>
      <c r="AB39" t="s">
        <v>25449</v>
      </c>
      <c r="AC39" t="s">
        <v>25383</v>
      </c>
      <c r="AD39" t="s">
        <v>63</v>
      </c>
      <c r="AE39" t="s">
        <v>63</v>
      </c>
      <c r="AF39" t="s">
        <v>63</v>
      </c>
      <c r="AG39" t="s">
        <v>63</v>
      </c>
      <c r="AH39" t="s">
        <v>63</v>
      </c>
      <c r="AI39" t="s">
        <v>63</v>
      </c>
      <c r="AJ39" t="s">
        <v>63</v>
      </c>
      <c r="AK39" t="s">
        <v>63</v>
      </c>
      <c r="AL39" t="s">
        <v>63</v>
      </c>
      <c r="AM39" t="s">
        <v>25450</v>
      </c>
      <c r="AN39" t="s">
        <v>63</v>
      </c>
      <c r="AO39" t="s">
        <v>63</v>
      </c>
      <c r="AP39" t="s">
        <v>63</v>
      </c>
      <c r="AQ39" t="s">
        <v>63</v>
      </c>
      <c r="AR39" t="s">
        <v>63</v>
      </c>
      <c r="AS39" t="s">
        <v>63</v>
      </c>
      <c r="AT39" t="s">
        <v>63</v>
      </c>
      <c r="AU39" t="s">
        <v>63</v>
      </c>
      <c r="AV39" t="s">
        <v>63</v>
      </c>
      <c r="AW39" t="s">
        <v>63</v>
      </c>
      <c r="AX39" t="s">
        <v>63</v>
      </c>
      <c r="AY39" t="s">
        <v>63</v>
      </c>
      <c r="AZ39" t="s">
        <v>63</v>
      </c>
      <c r="BA39" t="s">
        <v>63</v>
      </c>
      <c r="BB39" t="s">
        <v>63</v>
      </c>
      <c r="BC39" t="s">
        <v>63</v>
      </c>
      <c r="BD39" t="s">
        <v>63</v>
      </c>
      <c r="BE39" t="s">
        <v>63</v>
      </c>
      <c r="BF39" t="s">
        <v>63</v>
      </c>
    </row>
    <row r="40" spans="1:58">
      <c r="A40" t="s">
        <v>25174</v>
      </c>
      <c r="B40" t="s">
        <v>25451</v>
      </c>
      <c r="C40" t="s">
        <v>25452</v>
      </c>
      <c r="D40" t="s">
        <v>63</v>
      </c>
      <c r="E40" t="s">
        <v>63</v>
      </c>
      <c r="F40">
        <v>437</v>
      </c>
      <c r="G40" t="s">
        <v>25453</v>
      </c>
      <c r="H40" t="s">
        <v>63</v>
      </c>
      <c r="I40" t="s">
        <v>63</v>
      </c>
      <c r="J40">
        <v>14</v>
      </c>
      <c r="K40" t="s">
        <v>63</v>
      </c>
      <c r="L40" t="s">
        <v>25454</v>
      </c>
      <c r="M40" t="s">
        <v>25455</v>
      </c>
      <c r="N40" t="s">
        <v>25456</v>
      </c>
      <c r="O40" t="s">
        <v>63</v>
      </c>
      <c r="Q40" t="s">
        <v>63</v>
      </c>
      <c r="R40" t="s">
        <v>63</v>
      </c>
      <c r="S40" t="s">
        <v>25180</v>
      </c>
      <c r="T40" t="s">
        <v>25457</v>
      </c>
      <c r="X40" t="s">
        <v>63</v>
      </c>
      <c r="Y40" t="s">
        <v>63</v>
      </c>
      <c r="Z40" t="s">
        <v>63</v>
      </c>
      <c r="AA40" t="s">
        <v>25182</v>
      </c>
      <c r="AB40" t="s">
        <v>25458</v>
      </c>
      <c r="AC40" t="s">
        <v>67</v>
      </c>
      <c r="AD40" t="s">
        <v>63</v>
      </c>
      <c r="AE40" t="s">
        <v>63</v>
      </c>
      <c r="AF40" t="s">
        <v>63</v>
      </c>
      <c r="AG40" t="s">
        <v>63</v>
      </c>
      <c r="AH40" t="s">
        <v>63</v>
      </c>
      <c r="AI40" t="s">
        <v>63</v>
      </c>
      <c r="AJ40" t="s">
        <v>63</v>
      </c>
      <c r="AK40" t="s">
        <v>63</v>
      </c>
      <c r="AL40" t="s">
        <v>63</v>
      </c>
      <c r="AM40" t="s">
        <v>25459</v>
      </c>
      <c r="AN40" t="s">
        <v>63</v>
      </c>
      <c r="AO40" t="s">
        <v>63</v>
      </c>
      <c r="AP40" t="s">
        <v>63</v>
      </c>
      <c r="AQ40" t="s">
        <v>63</v>
      </c>
      <c r="AR40" t="s">
        <v>63</v>
      </c>
      <c r="AS40" t="s">
        <v>63</v>
      </c>
      <c r="AT40" t="s">
        <v>63</v>
      </c>
      <c r="AU40" t="s">
        <v>63</v>
      </c>
      <c r="AV40" t="s">
        <v>63</v>
      </c>
      <c r="AW40" t="s">
        <v>63</v>
      </c>
      <c r="AX40" t="s">
        <v>63</v>
      </c>
      <c r="AY40" t="s">
        <v>63</v>
      </c>
      <c r="AZ40" t="s">
        <v>63</v>
      </c>
      <c r="BA40" t="s">
        <v>63</v>
      </c>
      <c r="BB40" t="s">
        <v>63</v>
      </c>
      <c r="BC40" t="s">
        <v>63</v>
      </c>
      <c r="BD40" t="s">
        <v>63</v>
      </c>
      <c r="BE40" t="s">
        <v>63</v>
      </c>
      <c r="BF40" t="s">
        <v>63</v>
      </c>
    </row>
    <row r="41" spans="1:58">
      <c r="A41" t="s">
        <v>25174</v>
      </c>
      <c r="B41" t="s">
        <v>25460</v>
      </c>
      <c r="C41" t="s">
        <v>25461</v>
      </c>
      <c r="D41" t="s">
        <v>63</v>
      </c>
      <c r="E41" t="s">
        <v>63</v>
      </c>
      <c r="F41">
        <v>2001</v>
      </c>
      <c r="G41" t="s">
        <v>63</v>
      </c>
      <c r="H41" t="s">
        <v>63</v>
      </c>
      <c r="I41" t="s">
        <v>63</v>
      </c>
      <c r="J41">
        <v>51</v>
      </c>
      <c r="K41" t="s">
        <v>63</v>
      </c>
      <c r="L41" t="s">
        <v>25462</v>
      </c>
      <c r="M41" t="s">
        <v>25463</v>
      </c>
      <c r="N41" t="s">
        <v>25464</v>
      </c>
      <c r="O41" t="s">
        <v>63</v>
      </c>
      <c r="Q41" t="s">
        <v>63</v>
      </c>
      <c r="R41" t="s">
        <v>63</v>
      </c>
      <c r="S41" t="s">
        <v>63</v>
      </c>
      <c r="T41" t="s">
        <v>25465</v>
      </c>
      <c r="X41" t="s">
        <v>63</v>
      </c>
      <c r="Y41" t="s">
        <v>63</v>
      </c>
      <c r="Z41" t="s">
        <v>63</v>
      </c>
      <c r="AA41" t="s">
        <v>25466</v>
      </c>
      <c r="AB41" t="s">
        <v>25467</v>
      </c>
      <c r="AC41" t="s">
        <v>67</v>
      </c>
      <c r="AD41" t="s">
        <v>63</v>
      </c>
      <c r="AE41" t="s">
        <v>63</v>
      </c>
      <c r="AF41" t="s">
        <v>63</v>
      </c>
      <c r="AG41" t="s">
        <v>63</v>
      </c>
      <c r="AH41" t="s">
        <v>63</v>
      </c>
      <c r="AI41" t="s">
        <v>63</v>
      </c>
      <c r="AJ41" t="s">
        <v>63</v>
      </c>
      <c r="AK41" t="s">
        <v>63</v>
      </c>
      <c r="AL41" t="s">
        <v>63</v>
      </c>
      <c r="AM41" t="s">
        <v>25468</v>
      </c>
      <c r="AN41" t="s">
        <v>63</v>
      </c>
      <c r="AO41" t="s">
        <v>63</v>
      </c>
      <c r="AP41" t="s">
        <v>63</v>
      </c>
      <c r="AQ41" t="s">
        <v>63</v>
      </c>
      <c r="AR41" t="s">
        <v>63</v>
      </c>
      <c r="AS41" t="s">
        <v>63</v>
      </c>
      <c r="AT41" t="s">
        <v>63</v>
      </c>
      <c r="AU41" t="s">
        <v>63</v>
      </c>
      <c r="AV41" t="s">
        <v>63</v>
      </c>
      <c r="AW41" t="s">
        <v>63</v>
      </c>
      <c r="AX41" t="s">
        <v>63</v>
      </c>
      <c r="AY41" t="s">
        <v>63</v>
      </c>
      <c r="AZ41" t="s">
        <v>63</v>
      </c>
      <c r="BA41" t="s">
        <v>63</v>
      </c>
      <c r="BB41" t="s">
        <v>63</v>
      </c>
      <c r="BC41" t="s">
        <v>63</v>
      </c>
      <c r="BD41" t="s">
        <v>63</v>
      </c>
      <c r="BE41" t="s">
        <v>63</v>
      </c>
      <c r="BF41" t="s">
        <v>63</v>
      </c>
    </row>
    <row r="42" spans="1:58">
      <c r="A42" t="s">
        <v>58</v>
      </c>
      <c r="B42" t="s">
        <v>25469</v>
      </c>
      <c r="C42" t="s">
        <v>25470</v>
      </c>
      <c r="D42" t="s">
        <v>23924</v>
      </c>
      <c r="E42" t="s">
        <v>23925</v>
      </c>
      <c r="F42">
        <v>1994</v>
      </c>
      <c r="G42" t="s">
        <v>15904</v>
      </c>
      <c r="H42">
        <v>40</v>
      </c>
      <c r="I42">
        <v>1</v>
      </c>
      <c r="J42">
        <v>1</v>
      </c>
      <c r="K42">
        <v>14</v>
      </c>
      <c r="L42" t="s">
        <v>25471</v>
      </c>
      <c r="M42" t="s">
        <v>25472</v>
      </c>
      <c r="N42" t="s">
        <v>25473</v>
      </c>
      <c r="O42" t="s">
        <v>63</v>
      </c>
      <c r="Q42" t="s">
        <v>63</v>
      </c>
      <c r="R42" t="s">
        <v>63</v>
      </c>
      <c r="S42" t="s">
        <v>63</v>
      </c>
      <c r="T42" t="s">
        <v>63</v>
      </c>
      <c r="X42" t="s">
        <v>63</v>
      </c>
      <c r="Y42" t="s">
        <v>23928</v>
      </c>
      <c r="Z42" t="s">
        <v>63</v>
      </c>
      <c r="AA42" t="s">
        <v>63</v>
      </c>
      <c r="AB42" t="s">
        <v>25474</v>
      </c>
      <c r="AC42" t="s">
        <v>67</v>
      </c>
      <c r="AD42" t="s">
        <v>63</v>
      </c>
      <c r="AE42" t="s">
        <v>63</v>
      </c>
      <c r="AF42" t="s">
        <v>63</v>
      </c>
      <c r="AG42" t="s">
        <v>63</v>
      </c>
      <c r="AH42" t="s">
        <v>63</v>
      </c>
      <c r="AI42" t="s">
        <v>63</v>
      </c>
      <c r="AJ42" t="s">
        <v>63</v>
      </c>
      <c r="AK42" t="s">
        <v>63</v>
      </c>
      <c r="AL42" t="s">
        <v>63</v>
      </c>
      <c r="AM42" t="s">
        <v>25475</v>
      </c>
      <c r="AN42" t="s">
        <v>63</v>
      </c>
      <c r="AO42" t="s">
        <v>63</v>
      </c>
      <c r="AP42" t="s">
        <v>63</v>
      </c>
      <c r="AQ42" t="s">
        <v>63</v>
      </c>
      <c r="AR42" t="s">
        <v>63</v>
      </c>
      <c r="AS42" t="s">
        <v>63</v>
      </c>
      <c r="AT42" t="s">
        <v>63</v>
      </c>
      <c r="AU42" t="s">
        <v>63</v>
      </c>
      <c r="AV42" t="s">
        <v>63</v>
      </c>
      <c r="AW42" t="s">
        <v>63</v>
      </c>
      <c r="AX42" t="s">
        <v>63</v>
      </c>
      <c r="AY42" t="s">
        <v>63</v>
      </c>
      <c r="AZ42" t="s">
        <v>63</v>
      </c>
      <c r="BA42" t="s">
        <v>63</v>
      </c>
      <c r="BB42" t="s">
        <v>63</v>
      </c>
      <c r="BC42" t="s">
        <v>63</v>
      </c>
      <c r="BD42" t="s">
        <v>63</v>
      </c>
      <c r="BE42" t="s">
        <v>63</v>
      </c>
      <c r="BF42" t="s">
        <v>63</v>
      </c>
    </row>
    <row r="43" spans="1:58">
      <c r="A43" t="s">
        <v>58</v>
      </c>
      <c r="B43" t="s">
        <v>25476</v>
      </c>
      <c r="C43" t="s">
        <v>25477</v>
      </c>
      <c r="D43" t="s">
        <v>23924</v>
      </c>
      <c r="E43" t="s">
        <v>23925</v>
      </c>
      <c r="F43">
        <v>2017</v>
      </c>
      <c r="G43" t="s">
        <v>84</v>
      </c>
      <c r="H43">
        <v>61</v>
      </c>
      <c r="I43">
        <v>1</v>
      </c>
      <c r="J43">
        <v>14</v>
      </c>
      <c r="K43">
        <v>35</v>
      </c>
      <c r="L43" t="s">
        <v>25478</v>
      </c>
      <c r="M43" t="s">
        <v>25479</v>
      </c>
      <c r="N43" t="s">
        <v>25480</v>
      </c>
      <c r="O43" t="s">
        <v>63</v>
      </c>
      <c r="Q43" t="s">
        <v>63</v>
      </c>
      <c r="R43" t="s">
        <v>63</v>
      </c>
      <c r="S43" t="s">
        <v>63</v>
      </c>
      <c r="T43" t="s">
        <v>63</v>
      </c>
      <c r="X43" t="s">
        <v>63</v>
      </c>
      <c r="Y43" t="s">
        <v>23928</v>
      </c>
      <c r="Z43" t="s">
        <v>63</v>
      </c>
      <c r="AA43" t="s">
        <v>25481</v>
      </c>
      <c r="AB43" t="s">
        <v>25482</v>
      </c>
      <c r="AC43" t="s">
        <v>67</v>
      </c>
      <c r="AD43" t="s">
        <v>63</v>
      </c>
      <c r="AE43" t="s">
        <v>63</v>
      </c>
      <c r="AF43" t="s">
        <v>63</v>
      </c>
      <c r="AG43" t="s">
        <v>63</v>
      </c>
      <c r="AH43" t="s">
        <v>63</v>
      </c>
      <c r="AI43" t="s">
        <v>63</v>
      </c>
      <c r="AJ43" t="s">
        <v>63</v>
      </c>
      <c r="AK43" t="s">
        <v>63</v>
      </c>
      <c r="AL43" t="s">
        <v>63</v>
      </c>
      <c r="AM43" t="s">
        <v>25483</v>
      </c>
      <c r="AN43" t="s">
        <v>63</v>
      </c>
      <c r="AO43" t="s">
        <v>63</v>
      </c>
      <c r="AP43" t="s">
        <v>63</v>
      </c>
      <c r="AQ43" t="s">
        <v>63</v>
      </c>
      <c r="AR43" t="s">
        <v>63</v>
      </c>
      <c r="AS43" t="s">
        <v>63</v>
      </c>
      <c r="AT43" t="s">
        <v>63</v>
      </c>
      <c r="AU43" t="s">
        <v>63</v>
      </c>
      <c r="AV43" t="s">
        <v>63</v>
      </c>
      <c r="AW43" t="s">
        <v>63</v>
      </c>
      <c r="AX43" t="s">
        <v>63</v>
      </c>
      <c r="AY43" t="s">
        <v>63</v>
      </c>
      <c r="AZ43" t="s">
        <v>63</v>
      </c>
      <c r="BA43" t="s">
        <v>63</v>
      </c>
      <c r="BB43" t="s">
        <v>63</v>
      </c>
      <c r="BC43" t="s">
        <v>63</v>
      </c>
      <c r="BD43" t="s">
        <v>63</v>
      </c>
      <c r="BE43" t="s">
        <v>63</v>
      </c>
      <c r="BF43" t="s">
        <v>63</v>
      </c>
    </row>
    <row r="44" spans="1:58">
      <c r="A44" t="s">
        <v>25174</v>
      </c>
      <c r="B44" t="s">
        <v>25484</v>
      </c>
      <c r="C44" t="s">
        <v>25485</v>
      </c>
      <c r="D44" t="s">
        <v>63</v>
      </c>
      <c r="E44" t="s">
        <v>63</v>
      </c>
      <c r="F44">
        <v>2015</v>
      </c>
      <c r="G44" s="2">
        <v>35216</v>
      </c>
      <c r="H44" t="s">
        <v>63</v>
      </c>
      <c r="I44" t="s">
        <v>63</v>
      </c>
      <c r="J44">
        <v>665</v>
      </c>
      <c r="K44" t="s">
        <v>63</v>
      </c>
      <c r="L44" t="s">
        <v>25486</v>
      </c>
      <c r="M44" t="s">
        <v>25487</v>
      </c>
      <c r="N44" t="s">
        <v>25488</v>
      </c>
      <c r="O44" t="s">
        <v>63</v>
      </c>
      <c r="Q44" t="s">
        <v>63</v>
      </c>
      <c r="R44" t="s">
        <v>63</v>
      </c>
      <c r="S44" t="s">
        <v>25489</v>
      </c>
      <c r="T44" t="s">
        <v>63</v>
      </c>
      <c r="X44" t="s">
        <v>63</v>
      </c>
      <c r="Y44" t="s">
        <v>63</v>
      </c>
      <c r="Z44" t="s">
        <v>63</v>
      </c>
      <c r="AA44" t="s">
        <v>63</v>
      </c>
      <c r="AB44" t="s">
        <v>25490</v>
      </c>
      <c r="AC44" t="s">
        <v>67</v>
      </c>
      <c r="AD44" t="s">
        <v>63</v>
      </c>
      <c r="AE44" t="s">
        <v>63</v>
      </c>
      <c r="AF44" t="s">
        <v>63</v>
      </c>
      <c r="AG44" t="s">
        <v>63</v>
      </c>
      <c r="AH44" t="s">
        <v>63</v>
      </c>
      <c r="AI44" t="s">
        <v>63</v>
      </c>
      <c r="AJ44" t="s">
        <v>63</v>
      </c>
      <c r="AK44" t="s">
        <v>63</v>
      </c>
      <c r="AL44" t="s">
        <v>63</v>
      </c>
      <c r="AM44" t="s">
        <v>25491</v>
      </c>
      <c r="AN44" t="s">
        <v>63</v>
      </c>
      <c r="AO44" t="s">
        <v>63</v>
      </c>
      <c r="AP44" t="s">
        <v>63</v>
      </c>
      <c r="AQ44" t="s">
        <v>63</v>
      </c>
      <c r="AR44" t="s">
        <v>63</v>
      </c>
      <c r="AS44" t="s">
        <v>63</v>
      </c>
      <c r="AT44" t="s">
        <v>63</v>
      </c>
      <c r="AU44" t="s">
        <v>63</v>
      </c>
      <c r="AV44" t="s">
        <v>63</v>
      </c>
      <c r="AW44" t="s">
        <v>63</v>
      </c>
      <c r="AX44" t="s">
        <v>63</v>
      </c>
      <c r="AY44" t="s">
        <v>63</v>
      </c>
      <c r="AZ44" t="s">
        <v>63</v>
      </c>
      <c r="BA44" t="s">
        <v>63</v>
      </c>
      <c r="BB44" t="s">
        <v>63</v>
      </c>
      <c r="BC44" t="s">
        <v>63</v>
      </c>
      <c r="BD44" t="s">
        <v>63</v>
      </c>
      <c r="BE44" t="s">
        <v>63</v>
      </c>
      <c r="BF44" t="s">
        <v>63</v>
      </c>
    </row>
    <row r="45" spans="1:58">
      <c r="A45" t="s">
        <v>58</v>
      </c>
      <c r="B45" t="s">
        <v>25492</v>
      </c>
      <c r="C45" t="s">
        <v>25493</v>
      </c>
      <c r="D45" t="s">
        <v>25494</v>
      </c>
      <c r="E45" t="s">
        <v>63</v>
      </c>
      <c r="F45">
        <v>1997</v>
      </c>
      <c r="G45" t="s">
        <v>623</v>
      </c>
      <c r="H45">
        <v>13</v>
      </c>
      <c r="I45">
        <v>1</v>
      </c>
      <c r="J45">
        <v>28</v>
      </c>
      <c r="K45">
        <v>37</v>
      </c>
      <c r="L45" t="s">
        <v>25495</v>
      </c>
      <c r="M45" t="s">
        <v>25496</v>
      </c>
      <c r="N45" t="s">
        <v>25497</v>
      </c>
      <c r="O45" t="s">
        <v>63</v>
      </c>
      <c r="Q45" t="s">
        <v>63</v>
      </c>
      <c r="R45" t="s">
        <v>63</v>
      </c>
      <c r="S45" t="s">
        <v>63</v>
      </c>
      <c r="T45" t="s">
        <v>63</v>
      </c>
      <c r="X45" t="s">
        <v>63</v>
      </c>
      <c r="Y45" t="s">
        <v>25498</v>
      </c>
      <c r="Z45" t="s">
        <v>63</v>
      </c>
      <c r="AA45" t="s">
        <v>63</v>
      </c>
      <c r="AB45" t="s">
        <v>25499</v>
      </c>
      <c r="AC45" t="s">
        <v>67</v>
      </c>
      <c r="AD45" t="s">
        <v>63</v>
      </c>
      <c r="AE45" t="s">
        <v>63</v>
      </c>
      <c r="AF45" t="s">
        <v>63</v>
      </c>
      <c r="AG45" t="s">
        <v>63</v>
      </c>
      <c r="AH45" t="s">
        <v>63</v>
      </c>
      <c r="AI45" t="s">
        <v>63</v>
      </c>
      <c r="AJ45" t="s">
        <v>63</v>
      </c>
      <c r="AK45" t="s">
        <v>63</v>
      </c>
      <c r="AL45" t="s">
        <v>63</v>
      </c>
      <c r="AM45" t="s">
        <v>25500</v>
      </c>
      <c r="AN45" t="s">
        <v>63</v>
      </c>
      <c r="AO45" t="s">
        <v>63</v>
      </c>
      <c r="AP45" t="s">
        <v>63</v>
      </c>
      <c r="AQ45" t="s">
        <v>63</v>
      </c>
      <c r="AR45" t="s">
        <v>63</v>
      </c>
      <c r="AS45" t="s">
        <v>63</v>
      </c>
      <c r="AT45" t="s">
        <v>63</v>
      </c>
      <c r="AU45" t="s">
        <v>63</v>
      </c>
      <c r="AV45" t="s">
        <v>63</v>
      </c>
      <c r="AW45" t="s">
        <v>63</v>
      </c>
      <c r="AX45" t="s">
        <v>63</v>
      </c>
      <c r="AY45" t="s">
        <v>63</v>
      </c>
      <c r="AZ45" t="s">
        <v>63</v>
      </c>
      <c r="BA45" t="s">
        <v>63</v>
      </c>
      <c r="BB45" t="s">
        <v>63</v>
      </c>
      <c r="BC45" t="s">
        <v>63</v>
      </c>
      <c r="BD45" t="s">
        <v>63</v>
      </c>
      <c r="BE45" t="s">
        <v>63</v>
      </c>
      <c r="BF45" t="s">
        <v>63</v>
      </c>
    </row>
    <row r="46" spans="1:58">
      <c r="A46" t="s">
        <v>58</v>
      </c>
      <c r="B46" t="s">
        <v>25501</v>
      </c>
      <c r="C46" t="s">
        <v>25502</v>
      </c>
      <c r="D46" t="s">
        <v>25503</v>
      </c>
      <c r="E46" t="s">
        <v>63</v>
      </c>
      <c r="F46">
        <v>2008</v>
      </c>
      <c r="G46" t="s">
        <v>63</v>
      </c>
      <c r="H46">
        <v>7</v>
      </c>
      <c r="I46">
        <v>2</v>
      </c>
      <c r="J46">
        <v>123</v>
      </c>
      <c r="K46">
        <v>132</v>
      </c>
      <c r="L46" t="s">
        <v>25504</v>
      </c>
      <c r="M46" t="s">
        <v>25505</v>
      </c>
      <c r="N46" t="s">
        <v>25506</v>
      </c>
      <c r="O46" t="s">
        <v>63</v>
      </c>
      <c r="Q46" t="s">
        <v>63</v>
      </c>
      <c r="R46" t="s">
        <v>63</v>
      </c>
      <c r="S46" t="s">
        <v>63</v>
      </c>
      <c r="T46" t="s">
        <v>63</v>
      </c>
      <c r="X46" t="s">
        <v>63</v>
      </c>
      <c r="Y46" t="s">
        <v>25507</v>
      </c>
      <c r="Z46" t="s">
        <v>63</v>
      </c>
      <c r="AA46" t="s">
        <v>25508</v>
      </c>
      <c r="AB46" t="s">
        <v>25509</v>
      </c>
      <c r="AC46" t="s">
        <v>67</v>
      </c>
      <c r="AD46" t="s">
        <v>63</v>
      </c>
      <c r="AE46" t="s">
        <v>63</v>
      </c>
      <c r="AF46" t="s">
        <v>63</v>
      </c>
      <c r="AG46" t="s">
        <v>63</v>
      </c>
      <c r="AH46" t="s">
        <v>63</v>
      </c>
      <c r="AI46" t="s">
        <v>63</v>
      </c>
      <c r="AJ46" t="s">
        <v>63</v>
      </c>
      <c r="AK46" t="s">
        <v>63</v>
      </c>
      <c r="AL46" t="s">
        <v>63</v>
      </c>
      <c r="AM46" t="s">
        <v>25510</v>
      </c>
      <c r="AN46" t="s">
        <v>63</v>
      </c>
      <c r="AO46" t="s">
        <v>63</v>
      </c>
      <c r="AP46" t="s">
        <v>63</v>
      </c>
      <c r="AQ46" t="s">
        <v>63</v>
      </c>
      <c r="AR46" t="s">
        <v>63</v>
      </c>
      <c r="AS46" t="s">
        <v>63</v>
      </c>
      <c r="AT46" t="s">
        <v>63</v>
      </c>
      <c r="AU46" t="s">
        <v>63</v>
      </c>
      <c r="AV46" t="s">
        <v>63</v>
      </c>
      <c r="AW46" t="s">
        <v>63</v>
      </c>
      <c r="AX46" t="s">
        <v>63</v>
      </c>
      <c r="AY46" t="s">
        <v>63</v>
      </c>
      <c r="AZ46" t="s">
        <v>63</v>
      </c>
      <c r="BA46" t="s">
        <v>63</v>
      </c>
      <c r="BB46" t="s">
        <v>63</v>
      </c>
      <c r="BC46" t="s">
        <v>63</v>
      </c>
      <c r="BD46" t="s">
        <v>63</v>
      </c>
      <c r="BE46" t="s">
        <v>63</v>
      </c>
      <c r="BF46" t="s">
        <v>63</v>
      </c>
    </row>
    <row r="47" spans="1:58">
      <c r="A47" t="s">
        <v>25174</v>
      </c>
      <c r="B47" t="s">
        <v>25511</v>
      </c>
      <c r="C47" t="s">
        <v>25512</v>
      </c>
      <c r="D47" t="s">
        <v>63</v>
      </c>
      <c r="E47" t="s">
        <v>63</v>
      </c>
      <c r="F47">
        <v>1986</v>
      </c>
      <c r="G47" s="2">
        <v>35124</v>
      </c>
      <c r="H47" t="s">
        <v>63</v>
      </c>
      <c r="I47" t="s">
        <v>63</v>
      </c>
      <c r="J47">
        <v>5</v>
      </c>
      <c r="K47" t="s">
        <v>63</v>
      </c>
      <c r="L47" t="s">
        <v>25513</v>
      </c>
      <c r="M47" t="s">
        <v>25514</v>
      </c>
      <c r="N47" t="s">
        <v>25515</v>
      </c>
      <c r="O47" t="s">
        <v>63</v>
      </c>
      <c r="Q47" t="s">
        <v>63</v>
      </c>
      <c r="R47" t="s">
        <v>63</v>
      </c>
      <c r="S47" t="s">
        <v>25516</v>
      </c>
      <c r="T47" t="s">
        <v>63</v>
      </c>
      <c r="X47" t="s">
        <v>63</v>
      </c>
      <c r="Y47" t="s">
        <v>63</v>
      </c>
      <c r="Z47" t="s">
        <v>63</v>
      </c>
      <c r="AA47" t="s">
        <v>63</v>
      </c>
      <c r="AB47" t="s">
        <v>25517</v>
      </c>
      <c r="AC47" t="s">
        <v>67</v>
      </c>
      <c r="AD47" t="s">
        <v>63</v>
      </c>
      <c r="AE47" t="s">
        <v>63</v>
      </c>
      <c r="AF47" t="s">
        <v>63</v>
      </c>
      <c r="AG47" t="s">
        <v>63</v>
      </c>
      <c r="AH47" t="s">
        <v>63</v>
      </c>
      <c r="AI47" t="s">
        <v>63</v>
      </c>
      <c r="AJ47" t="s">
        <v>63</v>
      </c>
      <c r="AK47" t="s">
        <v>63</v>
      </c>
      <c r="AL47" t="s">
        <v>63</v>
      </c>
      <c r="AM47" t="s">
        <v>25518</v>
      </c>
      <c r="AN47" t="s">
        <v>63</v>
      </c>
      <c r="AO47" t="s">
        <v>63</v>
      </c>
      <c r="AP47" t="s">
        <v>63</v>
      </c>
      <c r="AQ47" t="s">
        <v>63</v>
      </c>
      <c r="AR47" t="s">
        <v>63</v>
      </c>
      <c r="AS47" t="s">
        <v>63</v>
      </c>
      <c r="AT47" t="s">
        <v>63</v>
      </c>
      <c r="AU47" t="s">
        <v>63</v>
      </c>
      <c r="AV47" t="s">
        <v>63</v>
      </c>
      <c r="AW47" t="s">
        <v>63</v>
      </c>
      <c r="AX47" t="s">
        <v>63</v>
      </c>
      <c r="AY47" t="s">
        <v>63</v>
      </c>
      <c r="AZ47" t="s">
        <v>63</v>
      </c>
      <c r="BA47" t="s">
        <v>63</v>
      </c>
      <c r="BB47" t="s">
        <v>63</v>
      </c>
      <c r="BC47" t="s">
        <v>63</v>
      </c>
      <c r="BD47" t="s">
        <v>63</v>
      </c>
      <c r="BE47" t="s">
        <v>63</v>
      </c>
      <c r="BF47" t="s">
        <v>63</v>
      </c>
    </row>
    <row r="48" spans="1:58">
      <c r="A48" t="s">
        <v>58</v>
      </c>
      <c r="B48" t="s">
        <v>25519</v>
      </c>
      <c r="C48" t="s">
        <v>25520</v>
      </c>
      <c r="D48" t="s">
        <v>25503</v>
      </c>
      <c r="E48" t="s">
        <v>63</v>
      </c>
      <c r="F48">
        <v>2002</v>
      </c>
      <c r="G48" t="s">
        <v>63</v>
      </c>
      <c r="H48">
        <v>1</v>
      </c>
      <c r="I48">
        <v>2</v>
      </c>
      <c r="J48">
        <v>43</v>
      </c>
      <c r="K48">
        <v>55</v>
      </c>
      <c r="L48" t="s">
        <v>25521</v>
      </c>
      <c r="M48" t="s">
        <v>25522</v>
      </c>
      <c r="N48" t="s">
        <v>25523</v>
      </c>
      <c r="O48" t="s">
        <v>63</v>
      </c>
      <c r="Q48" t="s">
        <v>63</v>
      </c>
      <c r="R48" t="s">
        <v>63</v>
      </c>
      <c r="S48" t="s">
        <v>63</v>
      </c>
      <c r="T48" t="s">
        <v>63</v>
      </c>
      <c r="X48" t="s">
        <v>63</v>
      </c>
      <c r="Y48" t="s">
        <v>25507</v>
      </c>
      <c r="Z48" t="s">
        <v>63</v>
      </c>
      <c r="AA48" t="s">
        <v>63</v>
      </c>
      <c r="AB48" t="s">
        <v>25524</v>
      </c>
      <c r="AC48" t="s">
        <v>67</v>
      </c>
      <c r="AD48" t="s">
        <v>63</v>
      </c>
      <c r="AE48" t="s">
        <v>63</v>
      </c>
      <c r="AF48" t="s">
        <v>63</v>
      </c>
      <c r="AG48" t="s">
        <v>63</v>
      </c>
      <c r="AH48" t="s">
        <v>63</v>
      </c>
      <c r="AI48" t="s">
        <v>63</v>
      </c>
      <c r="AJ48" t="s">
        <v>63</v>
      </c>
      <c r="AK48" t="s">
        <v>63</v>
      </c>
      <c r="AL48" t="s">
        <v>63</v>
      </c>
      <c r="AM48" t="s">
        <v>25525</v>
      </c>
      <c r="AN48" t="s">
        <v>63</v>
      </c>
      <c r="AO48" t="s">
        <v>63</v>
      </c>
      <c r="AP48" t="s">
        <v>63</v>
      </c>
      <c r="AQ48" t="s">
        <v>63</v>
      </c>
      <c r="AR48" t="s">
        <v>63</v>
      </c>
      <c r="AS48" t="s">
        <v>63</v>
      </c>
      <c r="AT48" t="s">
        <v>63</v>
      </c>
      <c r="AU48" t="s">
        <v>63</v>
      </c>
      <c r="AV48" t="s">
        <v>63</v>
      </c>
      <c r="AW48" t="s">
        <v>63</v>
      </c>
      <c r="AX48" t="s">
        <v>63</v>
      </c>
      <c r="AY48" t="s">
        <v>63</v>
      </c>
      <c r="AZ48" t="s">
        <v>63</v>
      </c>
      <c r="BA48" t="s">
        <v>63</v>
      </c>
      <c r="BB48" t="s">
        <v>63</v>
      </c>
      <c r="BC48" t="s">
        <v>63</v>
      </c>
      <c r="BD48" t="s">
        <v>63</v>
      </c>
      <c r="BE48" t="s">
        <v>63</v>
      </c>
      <c r="BF48" t="s">
        <v>63</v>
      </c>
    </row>
    <row r="49" spans="1:58">
      <c r="A49" t="s">
        <v>25174</v>
      </c>
      <c r="B49" t="s">
        <v>25526</v>
      </c>
      <c r="C49" t="s">
        <v>25527</v>
      </c>
      <c r="D49" t="s">
        <v>63</v>
      </c>
      <c r="E49" t="s">
        <v>63</v>
      </c>
      <c r="F49">
        <v>966</v>
      </c>
      <c r="G49" t="s">
        <v>25528</v>
      </c>
      <c r="H49" t="s">
        <v>63</v>
      </c>
      <c r="I49" t="s">
        <v>63</v>
      </c>
      <c r="J49">
        <v>544</v>
      </c>
      <c r="K49" t="s">
        <v>63</v>
      </c>
      <c r="L49" t="s">
        <v>25529</v>
      </c>
      <c r="M49" t="s">
        <v>25530</v>
      </c>
      <c r="N49" t="s">
        <v>25531</v>
      </c>
      <c r="O49" t="s">
        <v>63</v>
      </c>
      <c r="Q49" t="s">
        <v>63</v>
      </c>
      <c r="R49" t="s">
        <v>63</v>
      </c>
      <c r="S49" t="s">
        <v>63</v>
      </c>
      <c r="T49" t="s">
        <v>25532</v>
      </c>
      <c r="X49" t="s">
        <v>63</v>
      </c>
      <c r="Y49" t="s">
        <v>63</v>
      </c>
      <c r="Z49" t="s">
        <v>63</v>
      </c>
      <c r="AA49" t="s">
        <v>25533</v>
      </c>
      <c r="AB49" t="s">
        <v>25534</v>
      </c>
      <c r="AC49" t="s">
        <v>67</v>
      </c>
      <c r="AD49" t="s">
        <v>63</v>
      </c>
      <c r="AE49" t="s">
        <v>63</v>
      </c>
      <c r="AF49" t="s">
        <v>63</v>
      </c>
      <c r="AG49" t="s">
        <v>63</v>
      </c>
      <c r="AH49" t="s">
        <v>63</v>
      </c>
      <c r="AI49" t="s">
        <v>63</v>
      </c>
      <c r="AJ49" t="s">
        <v>63</v>
      </c>
      <c r="AK49" t="s">
        <v>63</v>
      </c>
      <c r="AL49" t="s">
        <v>63</v>
      </c>
      <c r="AM49" t="s">
        <v>25535</v>
      </c>
      <c r="AN49" t="s">
        <v>63</v>
      </c>
      <c r="AO49" t="s">
        <v>63</v>
      </c>
      <c r="AP49" t="s">
        <v>63</v>
      </c>
      <c r="AQ49" t="s">
        <v>63</v>
      </c>
      <c r="AR49" t="s">
        <v>63</v>
      </c>
      <c r="AS49" t="s">
        <v>63</v>
      </c>
      <c r="AT49" t="s">
        <v>63</v>
      </c>
      <c r="AU49" t="s">
        <v>63</v>
      </c>
      <c r="AV49" t="s">
        <v>63</v>
      </c>
      <c r="AW49" t="s">
        <v>63</v>
      </c>
      <c r="AX49" t="s">
        <v>63</v>
      </c>
      <c r="AY49" t="s">
        <v>63</v>
      </c>
      <c r="AZ49" t="s">
        <v>63</v>
      </c>
      <c r="BA49" t="s">
        <v>63</v>
      </c>
      <c r="BB49" t="s">
        <v>63</v>
      </c>
      <c r="BC49" t="s">
        <v>63</v>
      </c>
      <c r="BD49" t="s">
        <v>63</v>
      </c>
      <c r="BE49" t="s">
        <v>63</v>
      </c>
      <c r="BF49" t="s">
        <v>63</v>
      </c>
    </row>
    <row r="50" spans="1:58">
      <c r="A50" t="s">
        <v>25174</v>
      </c>
      <c r="B50" t="s">
        <v>25536</v>
      </c>
      <c r="C50" t="s">
        <v>25537</v>
      </c>
      <c r="D50" t="s">
        <v>63</v>
      </c>
      <c r="E50" t="s">
        <v>63</v>
      </c>
      <c r="F50">
        <v>1989</v>
      </c>
      <c r="G50" s="2">
        <v>35308</v>
      </c>
      <c r="H50" t="s">
        <v>63</v>
      </c>
      <c r="I50" t="s">
        <v>63</v>
      </c>
      <c r="J50">
        <v>50</v>
      </c>
      <c r="K50" t="s">
        <v>63</v>
      </c>
      <c r="L50" t="s">
        <v>25538</v>
      </c>
      <c r="M50" t="s">
        <v>25539</v>
      </c>
      <c r="N50" t="s">
        <v>25540</v>
      </c>
      <c r="O50" t="s">
        <v>63</v>
      </c>
      <c r="Q50" t="s">
        <v>63</v>
      </c>
      <c r="R50" t="s">
        <v>63</v>
      </c>
      <c r="S50" t="s">
        <v>63</v>
      </c>
      <c r="T50" t="s">
        <v>63</v>
      </c>
      <c r="X50" t="s">
        <v>63</v>
      </c>
      <c r="Y50" t="s">
        <v>63</v>
      </c>
      <c r="Z50" t="s">
        <v>63</v>
      </c>
      <c r="AA50" t="s">
        <v>63</v>
      </c>
      <c r="AB50" t="s">
        <v>25541</v>
      </c>
      <c r="AC50" t="s">
        <v>67</v>
      </c>
      <c r="AD50" t="s">
        <v>63</v>
      </c>
      <c r="AE50" t="s">
        <v>63</v>
      </c>
      <c r="AF50" t="s">
        <v>63</v>
      </c>
      <c r="AG50" t="s">
        <v>63</v>
      </c>
      <c r="AH50" t="s">
        <v>63</v>
      </c>
      <c r="AI50" t="s">
        <v>63</v>
      </c>
      <c r="AJ50" t="s">
        <v>63</v>
      </c>
      <c r="AK50" t="s">
        <v>63</v>
      </c>
      <c r="AL50" t="s">
        <v>63</v>
      </c>
      <c r="AM50" t="s">
        <v>25542</v>
      </c>
      <c r="AN50" t="s">
        <v>63</v>
      </c>
      <c r="AO50" t="s">
        <v>63</v>
      </c>
      <c r="AP50" t="s">
        <v>63</v>
      </c>
      <c r="AQ50" t="s">
        <v>63</v>
      </c>
      <c r="AR50" t="s">
        <v>63</v>
      </c>
      <c r="AS50" t="s">
        <v>63</v>
      </c>
      <c r="AT50" t="s">
        <v>63</v>
      </c>
      <c r="AU50" t="s">
        <v>63</v>
      </c>
      <c r="AV50" t="s">
        <v>63</v>
      </c>
      <c r="AW50" t="s">
        <v>63</v>
      </c>
      <c r="AX50" t="s">
        <v>63</v>
      </c>
      <c r="AY50" t="s">
        <v>63</v>
      </c>
      <c r="AZ50" t="s">
        <v>63</v>
      </c>
      <c r="BA50" t="s">
        <v>63</v>
      </c>
      <c r="BB50" t="s">
        <v>63</v>
      </c>
      <c r="BC50" t="s">
        <v>63</v>
      </c>
      <c r="BD50" t="s">
        <v>63</v>
      </c>
      <c r="BE50" t="s">
        <v>63</v>
      </c>
      <c r="BF50" t="s">
        <v>63</v>
      </c>
    </row>
    <row r="51" spans="1:58">
      <c r="A51" t="s">
        <v>58</v>
      </c>
      <c r="B51" t="s">
        <v>25543</v>
      </c>
      <c r="C51" t="s">
        <v>25544</v>
      </c>
      <c r="D51" t="s">
        <v>4030</v>
      </c>
      <c r="E51" t="s">
        <v>4031</v>
      </c>
      <c r="F51">
        <v>1993</v>
      </c>
      <c r="G51" t="s">
        <v>63</v>
      </c>
      <c r="H51">
        <v>23</v>
      </c>
      <c r="I51">
        <v>3</v>
      </c>
      <c r="J51">
        <v>215</v>
      </c>
      <c r="K51">
        <v>222</v>
      </c>
      <c r="L51" t="s">
        <v>25545</v>
      </c>
      <c r="M51" t="s">
        <v>25546</v>
      </c>
      <c r="N51" t="s">
        <v>25547</v>
      </c>
      <c r="O51" t="s">
        <v>63</v>
      </c>
      <c r="Q51" t="s">
        <v>63</v>
      </c>
      <c r="R51" t="s">
        <v>63</v>
      </c>
      <c r="S51" t="s">
        <v>63</v>
      </c>
      <c r="T51" t="s">
        <v>63</v>
      </c>
      <c r="X51" t="s">
        <v>63</v>
      </c>
      <c r="Y51" t="s">
        <v>4035</v>
      </c>
      <c r="Z51" t="s">
        <v>63</v>
      </c>
      <c r="AA51" t="s">
        <v>63</v>
      </c>
      <c r="AB51" t="s">
        <v>25548</v>
      </c>
      <c r="AC51" t="s">
        <v>67</v>
      </c>
      <c r="AD51" t="s">
        <v>63</v>
      </c>
      <c r="AE51" t="s">
        <v>63</v>
      </c>
      <c r="AF51" t="s">
        <v>63</v>
      </c>
      <c r="AG51" t="s">
        <v>63</v>
      </c>
      <c r="AH51" t="s">
        <v>63</v>
      </c>
      <c r="AI51" t="s">
        <v>63</v>
      </c>
      <c r="AJ51" t="s">
        <v>63</v>
      </c>
      <c r="AK51" t="s">
        <v>63</v>
      </c>
      <c r="AL51" t="s">
        <v>63</v>
      </c>
      <c r="AM51" t="s">
        <v>25549</v>
      </c>
      <c r="AN51" t="s">
        <v>63</v>
      </c>
      <c r="AO51" t="s">
        <v>63</v>
      </c>
      <c r="AP51" t="s">
        <v>63</v>
      </c>
      <c r="AQ51" t="s">
        <v>63</v>
      </c>
      <c r="AR51" t="s">
        <v>63</v>
      </c>
      <c r="AS51" t="s">
        <v>63</v>
      </c>
      <c r="AT51" t="s">
        <v>63</v>
      </c>
      <c r="AU51" t="s">
        <v>63</v>
      </c>
      <c r="AV51" t="s">
        <v>63</v>
      </c>
      <c r="AW51" t="s">
        <v>63</v>
      </c>
      <c r="AX51" t="s">
        <v>63</v>
      </c>
      <c r="AY51" t="s">
        <v>63</v>
      </c>
      <c r="AZ51" t="s">
        <v>63</v>
      </c>
      <c r="BA51" t="s">
        <v>63</v>
      </c>
      <c r="BB51" t="s">
        <v>63</v>
      </c>
      <c r="BC51" t="s">
        <v>63</v>
      </c>
      <c r="BD51" t="s">
        <v>63</v>
      </c>
      <c r="BE51" t="s">
        <v>63</v>
      </c>
      <c r="BF51" t="s">
        <v>63</v>
      </c>
    </row>
    <row r="52" spans="1:58">
      <c r="A52" t="s">
        <v>25174</v>
      </c>
      <c r="B52" t="s">
        <v>25550</v>
      </c>
      <c r="C52" t="s">
        <v>25551</v>
      </c>
      <c r="D52" t="s">
        <v>63</v>
      </c>
      <c r="E52" t="s">
        <v>63</v>
      </c>
      <c r="F52">
        <v>1982</v>
      </c>
      <c r="G52" t="s">
        <v>63</v>
      </c>
      <c r="H52" t="s">
        <v>63</v>
      </c>
      <c r="I52" t="s">
        <v>63</v>
      </c>
      <c r="J52">
        <v>81</v>
      </c>
      <c r="K52" t="s">
        <v>63</v>
      </c>
      <c r="L52" t="s">
        <v>25552</v>
      </c>
      <c r="M52" t="s">
        <v>25553</v>
      </c>
      <c r="N52" t="s">
        <v>25554</v>
      </c>
      <c r="O52" t="s">
        <v>63</v>
      </c>
      <c r="Q52" t="s">
        <v>63</v>
      </c>
      <c r="R52" t="s">
        <v>63</v>
      </c>
      <c r="S52" t="s">
        <v>25302</v>
      </c>
      <c r="T52" t="s">
        <v>63</v>
      </c>
      <c r="X52" t="s">
        <v>63</v>
      </c>
      <c r="Y52" t="s">
        <v>63</v>
      </c>
      <c r="Z52" t="s">
        <v>63</v>
      </c>
      <c r="AA52" t="s">
        <v>63</v>
      </c>
      <c r="AB52" t="s">
        <v>25555</v>
      </c>
      <c r="AC52" t="s">
        <v>67</v>
      </c>
      <c r="AD52" t="s">
        <v>63</v>
      </c>
      <c r="AE52" t="s">
        <v>63</v>
      </c>
      <c r="AF52" t="s">
        <v>63</v>
      </c>
      <c r="AG52" t="s">
        <v>63</v>
      </c>
      <c r="AH52" t="s">
        <v>63</v>
      </c>
      <c r="AI52" t="s">
        <v>63</v>
      </c>
      <c r="AJ52" t="s">
        <v>63</v>
      </c>
      <c r="AK52" t="s">
        <v>63</v>
      </c>
      <c r="AL52" t="s">
        <v>63</v>
      </c>
      <c r="AM52" t="s">
        <v>25556</v>
      </c>
      <c r="AN52" t="s">
        <v>63</v>
      </c>
      <c r="AO52" t="s">
        <v>63</v>
      </c>
      <c r="AP52" t="s">
        <v>63</v>
      </c>
      <c r="AQ52" t="s">
        <v>63</v>
      </c>
      <c r="AR52" t="s">
        <v>63</v>
      </c>
      <c r="AS52" t="s">
        <v>63</v>
      </c>
      <c r="AT52" t="s">
        <v>63</v>
      </c>
      <c r="AU52" t="s">
        <v>63</v>
      </c>
      <c r="AV52" t="s">
        <v>63</v>
      </c>
      <c r="AW52" t="s">
        <v>63</v>
      </c>
      <c r="AX52" t="s">
        <v>63</v>
      </c>
      <c r="AY52" t="s">
        <v>63</v>
      </c>
      <c r="AZ52" t="s">
        <v>63</v>
      </c>
      <c r="BA52" t="s">
        <v>63</v>
      </c>
      <c r="BB52" t="s">
        <v>63</v>
      </c>
      <c r="BC52" t="s">
        <v>63</v>
      </c>
      <c r="BD52" t="s">
        <v>63</v>
      </c>
      <c r="BE52" t="s">
        <v>63</v>
      </c>
      <c r="BF52" t="s">
        <v>63</v>
      </c>
    </row>
    <row r="53" spans="1:58">
      <c r="A53" t="s">
        <v>58</v>
      </c>
      <c r="B53" t="s">
        <v>25557</v>
      </c>
      <c r="C53" t="s">
        <v>25558</v>
      </c>
      <c r="D53" t="s">
        <v>25559</v>
      </c>
      <c r="E53" t="s">
        <v>63</v>
      </c>
      <c r="F53">
        <v>1994</v>
      </c>
      <c r="G53" t="s">
        <v>623</v>
      </c>
      <c r="H53">
        <v>18</v>
      </c>
      <c r="I53">
        <v>1</v>
      </c>
      <c r="J53">
        <v>96</v>
      </c>
      <c r="K53">
        <v>101</v>
      </c>
      <c r="L53" t="s">
        <v>25560</v>
      </c>
      <c r="M53" t="s">
        <v>25561</v>
      </c>
      <c r="N53" t="s">
        <v>25562</v>
      </c>
      <c r="O53" t="s">
        <v>63</v>
      </c>
      <c r="Q53" t="s">
        <v>63</v>
      </c>
      <c r="R53" t="s">
        <v>63</v>
      </c>
      <c r="S53" t="s">
        <v>63</v>
      </c>
      <c r="T53" t="s">
        <v>63</v>
      </c>
      <c r="X53" t="s">
        <v>63</v>
      </c>
      <c r="Y53" t="s">
        <v>25563</v>
      </c>
      <c r="Z53" t="s">
        <v>63</v>
      </c>
      <c r="AA53" t="s">
        <v>63</v>
      </c>
      <c r="AB53" t="s">
        <v>25564</v>
      </c>
      <c r="AC53" t="s">
        <v>67</v>
      </c>
      <c r="AD53" t="s">
        <v>63</v>
      </c>
      <c r="AE53" t="s">
        <v>63</v>
      </c>
      <c r="AF53" t="s">
        <v>63</v>
      </c>
      <c r="AG53" t="s">
        <v>63</v>
      </c>
      <c r="AH53" t="s">
        <v>63</v>
      </c>
      <c r="AI53" t="s">
        <v>63</v>
      </c>
      <c r="AJ53" t="s">
        <v>63</v>
      </c>
      <c r="AK53" t="s">
        <v>63</v>
      </c>
      <c r="AL53" t="s">
        <v>63</v>
      </c>
      <c r="AM53" t="s">
        <v>25565</v>
      </c>
      <c r="AN53" t="s">
        <v>63</v>
      </c>
      <c r="AO53" t="s">
        <v>63</v>
      </c>
      <c r="AP53" t="s">
        <v>63</v>
      </c>
      <c r="AQ53" t="s">
        <v>63</v>
      </c>
      <c r="AR53" t="s">
        <v>63</v>
      </c>
      <c r="AS53" t="s">
        <v>63</v>
      </c>
      <c r="AT53" t="s">
        <v>63</v>
      </c>
      <c r="AU53" t="s">
        <v>63</v>
      </c>
      <c r="AV53" t="s">
        <v>63</v>
      </c>
      <c r="AW53" t="s">
        <v>63</v>
      </c>
      <c r="AX53" t="s">
        <v>63</v>
      </c>
      <c r="AY53" t="s">
        <v>63</v>
      </c>
      <c r="AZ53" t="s">
        <v>63</v>
      </c>
      <c r="BA53" t="s">
        <v>63</v>
      </c>
      <c r="BB53" t="s">
        <v>63</v>
      </c>
      <c r="BC53" t="s">
        <v>63</v>
      </c>
      <c r="BD53" t="s">
        <v>63</v>
      </c>
      <c r="BE53" t="s">
        <v>63</v>
      </c>
      <c r="BF53" t="s">
        <v>63</v>
      </c>
    </row>
    <row r="54" spans="1:58">
      <c r="A54" t="s">
        <v>58</v>
      </c>
      <c r="B54" t="s">
        <v>25566</v>
      </c>
      <c r="C54" t="s">
        <v>25567</v>
      </c>
      <c r="D54" t="s">
        <v>389</v>
      </c>
      <c r="E54" t="s">
        <v>63</v>
      </c>
      <c r="F54">
        <v>2012</v>
      </c>
      <c r="G54" t="s">
        <v>63</v>
      </c>
      <c r="H54">
        <v>33</v>
      </c>
      <c r="I54">
        <v>3</v>
      </c>
      <c r="J54">
        <v>241</v>
      </c>
      <c r="K54">
        <v>250</v>
      </c>
      <c r="L54" t="s">
        <v>25568</v>
      </c>
      <c r="M54" t="s">
        <v>25569</v>
      </c>
      <c r="N54" t="s">
        <v>25570</v>
      </c>
      <c r="O54" t="s">
        <v>63</v>
      </c>
      <c r="Q54" t="s">
        <v>63</v>
      </c>
      <c r="R54" t="s">
        <v>63</v>
      </c>
      <c r="S54" t="s">
        <v>63</v>
      </c>
      <c r="T54" t="s">
        <v>63</v>
      </c>
      <c r="X54" t="s">
        <v>63</v>
      </c>
      <c r="Y54" t="s">
        <v>392</v>
      </c>
      <c r="Z54" t="s">
        <v>63</v>
      </c>
      <c r="AA54" t="s">
        <v>25571</v>
      </c>
      <c r="AB54" t="s">
        <v>25572</v>
      </c>
      <c r="AC54" t="s">
        <v>67</v>
      </c>
      <c r="AD54" t="s">
        <v>63</v>
      </c>
      <c r="AE54" t="s">
        <v>63</v>
      </c>
      <c r="AF54" t="s">
        <v>63</v>
      </c>
      <c r="AG54" t="s">
        <v>63</v>
      </c>
      <c r="AH54" t="s">
        <v>63</v>
      </c>
      <c r="AI54" t="s">
        <v>63</v>
      </c>
      <c r="AJ54" t="s">
        <v>63</v>
      </c>
      <c r="AK54" t="s">
        <v>63</v>
      </c>
      <c r="AL54" t="s">
        <v>63</v>
      </c>
      <c r="AM54" t="s">
        <v>25573</v>
      </c>
      <c r="AN54" t="s">
        <v>63</v>
      </c>
      <c r="AO54" t="s">
        <v>63</v>
      </c>
      <c r="AP54" t="s">
        <v>63</v>
      </c>
      <c r="AQ54" t="s">
        <v>63</v>
      </c>
      <c r="AR54" t="s">
        <v>63</v>
      </c>
      <c r="AS54" t="s">
        <v>63</v>
      </c>
      <c r="AT54" t="s">
        <v>63</v>
      </c>
      <c r="AU54" t="s">
        <v>63</v>
      </c>
      <c r="AV54" t="s">
        <v>63</v>
      </c>
      <c r="AW54" t="s">
        <v>63</v>
      </c>
      <c r="AX54" t="s">
        <v>63</v>
      </c>
      <c r="AY54" t="s">
        <v>63</v>
      </c>
      <c r="AZ54" t="s">
        <v>63</v>
      </c>
      <c r="BA54" t="s">
        <v>63</v>
      </c>
      <c r="BB54" t="s">
        <v>63</v>
      </c>
      <c r="BC54" t="s">
        <v>63</v>
      </c>
      <c r="BD54" t="s">
        <v>63</v>
      </c>
      <c r="BE54" t="s">
        <v>63</v>
      </c>
      <c r="BF54" t="s">
        <v>63</v>
      </c>
    </row>
    <row r="55" spans="1:58">
      <c r="A55" t="s">
        <v>25174</v>
      </c>
      <c r="B55" t="s">
        <v>25574</v>
      </c>
      <c r="C55" t="s">
        <v>25575</v>
      </c>
      <c r="D55" t="s">
        <v>63</v>
      </c>
      <c r="E55" t="s">
        <v>63</v>
      </c>
      <c r="F55">
        <v>1982</v>
      </c>
      <c r="G55" t="s">
        <v>63</v>
      </c>
      <c r="H55" t="s">
        <v>63</v>
      </c>
      <c r="I55" t="s">
        <v>63</v>
      </c>
      <c r="J55">
        <v>47</v>
      </c>
      <c r="K55" t="s">
        <v>63</v>
      </c>
      <c r="L55" t="s">
        <v>25576</v>
      </c>
      <c r="M55" t="s">
        <v>25577</v>
      </c>
      <c r="N55" t="s">
        <v>25578</v>
      </c>
      <c r="O55" t="s">
        <v>63</v>
      </c>
      <c r="Q55" t="s">
        <v>63</v>
      </c>
      <c r="R55" t="s">
        <v>63</v>
      </c>
      <c r="S55" t="s">
        <v>25302</v>
      </c>
      <c r="T55" t="s">
        <v>63</v>
      </c>
      <c r="X55" t="s">
        <v>63</v>
      </c>
      <c r="Y55" t="s">
        <v>63</v>
      </c>
      <c r="Z55" t="s">
        <v>63</v>
      </c>
      <c r="AA55" t="s">
        <v>63</v>
      </c>
      <c r="AB55" t="s">
        <v>25579</v>
      </c>
      <c r="AC55" t="s">
        <v>67</v>
      </c>
      <c r="AD55" t="s">
        <v>63</v>
      </c>
      <c r="AE55" t="s">
        <v>63</v>
      </c>
      <c r="AF55" t="s">
        <v>63</v>
      </c>
      <c r="AG55" t="s">
        <v>63</v>
      </c>
      <c r="AH55" t="s">
        <v>63</v>
      </c>
      <c r="AI55" t="s">
        <v>63</v>
      </c>
      <c r="AJ55" t="s">
        <v>63</v>
      </c>
      <c r="AK55" t="s">
        <v>63</v>
      </c>
      <c r="AL55" t="s">
        <v>63</v>
      </c>
      <c r="AM55" t="s">
        <v>25580</v>
      </c>
      <c r="AN55" t="s">
        <v>63</v>
      </c>
      <c r="AO55" t="s">
        <v>63</v>
      </c>
      <c r="AP55" t="s">
        <v>63</v>
      </c>
      <c r="AQ55" t="s">
        <v>63</v>
      </c>
      <c r="AR55" t="s">
        <v>63</v>
      </c>
      <c r="AS55" t="s">
        <v>63</v>
      </c>
      <c r="AT55" t="s">
        <v>63</v>
      </c>
      <c r="AU55" t="s">
        <v>63</v>
      </c>
      <c r="AV55" t="s">
        <v>63</v>
      </c>
      <c r="AW55" t="s">
        <v>63</v>
      </c>
      <c r="AX55" t="s">
        <v>63</v>
      </c>
      <c r="AY55" t="s">
        <v>63</v>
      </c>
      <c r="AZ55" t="s">
        <v>63</v>
      </c>
      <c r="BA55" t="s">
        <v>63</v>
      </c>
      <c r="BB55" t="s">
        <v>63</v>
      </c>
      <c r="BC55" t="s">
        <v>63</v>
      </c>
      <c r="BD55" t="s">
        <v>63</v>
      </c>
      <c r="BE55" t="s">
        <v>63</v>
      </c>
      <c r="BF55" t="s">
        <v>63</v>
      </c>
    </row>
    <row r="56" spans="1:58">
      <c r="A56" t="s">
        <v>25174</v>
      </c>
      <c r="B56" t="s">
        <v>25581</v>
      </c>
      <c r="C56" t="s">
        <v>25582</v>
      </c>
      <c r="D56" t="s">
        <v>63</v>
      </c>
      <c r="E56" t="s">
        <v>63</v>
      </c>
      <c r="F56">
        <v>1992</v>
      </c>
      <c r="G56" s="1">
        <v>41938</v>
      </c>
      <c r="H56" t="s">
        <v>63</v>
      </c>
      <c r="I56" t="s">
        <v>63</v>
      </c>
      <c r="J56">
        <v>129</v>
      </c>
      <c r="K56" t="s">
        <v>63</v>
      </c>
      <c r="L56" t="s">
        <v>25583</v>
      </c>
      <c r="M56" t="s">
        <v>25584</v>
      </c>
      <c r="N56" t="s">
        <v>25585</v>
      </c>
      <c r="O56" t="s">
        <v>63</v>
      </c>
      <c r="Q56" t="s">
        <v>63</v>
      </c>
      <c r="R56" t="s">
        <v>63</v>
      </c>
      <c r="S56" t="s">
        <v>63</v>
      </c>
      <c r="T56" t="s">
        <v>63</v>
      </c>
      <c r="X56" t="s">
        <v>63</v>
      </c>
      <c r="Y56" t="s">
        <v>63</v>
      </c>
      <c r="Z56" t="s">
        <v>63</v>
      </c>
      <c r="AA56" t="s">
        <v>63</v>
      </c>
      <c r="AB56" t="s">
        <v>25586</v>
      </c>
      <c r="AC56" t="s">
        <v>67</v>
      </c>
      <c r="AD56" t="s">
        <v>63</v>
      </c>
      <c r="AE56" t="s">
        <v>63</v>
      </c>
      <c r="AF56" t="s">
        <v>63</v>
      </c>
      <c r="AG56" t="s">
        <v>63</v>
      </c>
      <c r="AH56" t="s">
        <v>63</v>
      </c>
      <c r="AI56" t="s">
        <v>63</v>
      </c>
      <c r="AJ56" t="s">
        <v>63</v>
      </c>
      <c r="AK56" t="s">
        <v>63</v>
      </c>
      <c r="AL56" t="s">
        <v>63</v>
      </c>
      <c r="AM56" t="s">
        <v>25587</v>
      </c>
      <c r="AN56" t="s">
        <v>63</v>
      </c>
      <c r="AO56" t="s">
        <v>63</v>
      </c>
      <c r="AP56" t="s">
        <v>63</v>
      </c>
      <c r="AQ56" t="s">
        <v>63</v>
      </c>
      <c r="AR56" t="s">
        <v>63</v>
      </c>
      <c r="AS56" t="s">
        <v>63</v>
      </c>
      <c r="AT56" t="s">
        <v>63</v>
      </c>
      <c r="AU56" t="s">
        <v>63</v>
      </c>
      <c r="AV56" t="s">
        <v>63</v>
      </c>
      <c r="AW56" t="s">
        <v>63</v>
      </c>
      <c r="AX56" t="s">
        <v>63</v>
      </c>
      <c r="AY56" t="s">
        <v>63</v>
      </c>
      <c r="AZ56" t="s">
        <v>63</v>
      </c>
      <c r="BA56" t="s">
        <v>63</v>
      </c>
      <c r="BB56" t="s">
        <v>63</v>
      </c>
      <c r="BC56" t="s">
        <v>63</v>
      </c>
      <c r="BD56" t="s">
        <v>63</v>
      </c>
      <c r="BE56" t="s">
        <v>63</v>
      </c>
      <c r="BF56" t="s">
        <v>63</v>
      </c>
    </row>
    <row r="57" spans="1:58">
      <c r="A57" t="s">
        <v>58</v>
      </c>
      <c r="B57" t="s">
        <v>25588</v>
      </c>
      <c r="C57" t="s">
        <v>25589</v>
      </c>
      <c r="D57" t="s">
        <v>23924</v>
      </c>
      <c r="E57" t="s">
        <v>23925</v>
      </c>
      <c r="F57">
        <v>1986</v>
      </c>
      <c r="G57" t="s">
        <v>24171</v>
      </c>
      <c r="H57">
        <v>31</v>
      </c>
      <c r="I57">
        <v>2</v>
      </c>
      <c r="J57">
        <v>52</v>
      </c>
      <c r="K57">
        <v>59</v>
      </c>
      <c r="L57" t="s">
        <v>25590</v>
      </c>
      <c r="M57" t="s">
        <v>25591</v>
      </c>
      <c r="N57" t="s">
        <v>25592</v>
      </c>
      <c r="O57" t="s">
        <v>63</v>
      </c>
      <c r="Q57" t="s">
        <v>63</v>
      </c>
      <c r="R57" t="s">
        <v>63</v>
      </c>
      <c r="S57" t="s">
        <v>63</v>
      </c>
      <c r="T57" t="s">
        <v>63</v>
      </c>
      <c r="X57" t="s">
        <v>63</v>
      </c>
      <c r="Y57" t="s">
        <v>63</v>
      </c>
      <c r="Z57" t="s">
        <v>63</v>
      </c>
      <c r="AA57" t="s">
        <v>63</v>
      </c>
      <c r="AB57" t="s">
        <v>25593</v>
      </c>
      <c r="AC57" t="s">
        <v>67</v>
      </c>
      <c r="AD57" t="s">
        <v>63</v>
      </c>
      <c r="AE57" t="s">
        <v>63</v>
      </c>
      <c r="AF57" t="s">
        <v>63</v>
      </c>
      <c r="AG57" t="s">
        <v>63</v>
      </c>
      <c r="AH57" t="s">
        <v>63</v>
      </c>
      <c r="AI57" t="s">
        <v>63</v>
      </c>
      <c r="AJ57" t="s">
        <v>63</v>
      </c>
      <c r="AK57" t="s">
        <v>63</v>
      </c>
      <c r="AL57" t="s">
        <v>63</v>
      </c>
      <c r="AM57" t="s">
        <v>25594</v>
      </c>
      <c r="AN57" t="s">
        <v>63</v>
      </c>
      <c r="AO57" t="s">
        <v>63</v>
      </c>
      <c r="AP57" t="s">
        <v>63</v>
      </c>
      <c r="AQ57" t="s">
        <v>63</v>
      </c>
      <c r="AR57" t="s">
        <v>63</v>
      </c>
      <c r="AS57" t="s">
        <v>63</v>
      </c>
      <c r="AT57" t="s">
        <v>63</v>
      </c>
      <c r="AU57" t="s">
        <v>63</v>
      </c>
      <c r="AV57" t="s">
        <v>63</v>
      </c>
      <c r="AW57" t="s">
        <v>63</v>
      </c>
      <c r="AX57" t="s">
        <v>63</v>
      </c>
      <c r="AY57" t="s">
        <v>63</v>
      </c>
      <c r="AZ57" t="s">
        <v>63</v>
      </c>
      <c r="BA57" t="s">
        <v>63</v>
      </c>
      <c r="BB57" t="s">
        <v>63</v>
      </c>
      <c r="BC57" t="s">
        <v>63</v>
      </c>
      <c r="BD57" t="s">
        <v>63</v>
      </c>
      <c r="BE57" t="s">
        <v>63</v>
      </c>
      <c r="BF57" t="s">
        <v>63</v>
      </c>
    </row>
    <row r="58" spans="1:58">
      <c r="A58" t="s">
        <v>58</v>
      </c>
      <c r="B58" t="s">
        <v>25595</v>
      </c>
      <c r="C58" t="s">
        <v>25596</v>
      </c>
      <c r="D58" t="s">
        <v>325</v>
      </c>
      <c r="E58" t="s">
        <v>63</v>
      </c>
      <c r="F58">
        <v>2004</v>
      </c>
      <c r="G58" t="s">
        <v>274</v>
      </c>
      <c r="H58">
        <v>28</v>
      </c>
      <c r="I58">
        <v>1</v>
      </c>
      <c r="J58">
        <v>12</v>
      </c>
      <c r="K58">
        <v>17</v>
      </c>
      <c r="L58" t="s">
        <v>25597</v>
      </c>
      <c r="M58" t="s">
        <v>25598</v>
      </c>
      <c r="N58" t="s">
        <v>25599</v>
      </c>
      <c r="O58" t="s">
        <v>63</v>
      </c>
      <c r="Q58" t="s">
        <v>63</v>
      </c>
      <c r="R58" t="s">
        <v>63</v>
      </c>
      <c r="S58" t="s">
        <v>63</v>
      </c>
      <c r="T58" t="s">
        <v>63</v>
      </c>
      <c r="X58" t="s">
        <v>63</v>
      </c>
      <c r="Y58" t="s">
        <v>866</v>
      </c>
      <c r="Z58" t="s">
        <v>63</v>
      </c>
      <c r="AA58" t="s">
        <v>25600</v>
      </c>
      <c r="AB58" t="s">
        <v>25601</v>
      </c>
      <c r="AC58" t="s">
        <v>67</v>
      </c>
      <c r="AD58" t="s">
        <v>63</v>
      </c>
      <c r="AE58" t="s">
        <v>63</v>
      </c>
      <c r="AF58" t="s">
        <v>63</v>
      </c>
      <c r="AG58" t="s">
        <v>63</v>
      </c>
      <c r="AH58" t="s">
        <v>63</v>
      </c>
      <c r="AI58" t="s">
        <v>63</v>
      </c>
      <c r="AJ58" t="s">
        <v>63</v>
      </c>
      <c r="AK58" t="s">
        <v>63</v>
      </c>
      <c r="AL58" t="s">
        <v>63</v>
      </c>
      <c r="AM58" t="s">
        <v>25602</v>
      </c>
      <c r="AN58" t="s">
        <v>63</v>
      </c>
      <c r="AO58" t="s">
        <v>63</v>
      </c>
      <c r="AP58" t="s">
        <v>63</v>
      </c>
      <c r="AQ58" t="s">
        <v>63</v>
      </c>
      <c r="AR58" t="s">
        <v>63</v>
      </c>
      <c r="AS58" t="s">
        <v>63</v>
      </c>
      <c r="AT58" t="s">
        <v>63</v>
      </c>
      <c r="AU58" t="s">
        <v>63</v>
      </c>
      <c r="AV58" t="s">
        <v>63</v>
      </c>
      <c r="AW58" t="s">
        <v>63</v>
      </c>
      <c r="AX58" t="s">
        <v>63</v>
      </c>
      <c r="AY58" t="s">
        <v>63</v>
      </c>
      <c r="AZ58" t="s">
        <v>63</v>
      </c>
      <c r="BA58" t="s">
        <v>63</v>
      </c>
      <c r="BB58" t="s">
        <v>63</v>
      </c>
      <c r="BC58" t="s">
        <v>63</v>
      </c>
      <c r="BD58" t="s">
        <v>63</v>
      </c>
      <c r="BE58" t="s">
        <v>63</v>
      </c>
      <c r="BF58" t="s">
        <v>63</v>
      </c>
    </row>
    <row r="59" spans="1:58">
      <c r="A59" t="s">
        <v>25174</v>
      </c>
      <c r="B59" t="s">
        <v>25603</v>
      </c>
      <c r="C59" t="s">
        <v>25604</v>
      </c>
      <c r="D59" t="s">
        <v>63</v>
      </c>
      <c r="E59" t="s">
        <v>63</v>
      </c>
      <c r="F59">
        <v>1990</v>
      </c>
      <c r="G59" s="2">
        <v>35216</v>
      </c>
      <c r="H59" t="s">
        <v>63</v>
      </c>
      <c r="I59" t="s">
        <v>63</v>
      </c>
      <c r="J59">
        <v>33</v>
      </c>
      <c r="K59" t="s">
        <v>63</v>
      </c>
      <c r="L59" t="s">
        <v>25605</v>
      </c>
      <c r="M59" t="s">
        <v>25606</v>
      </c>
      <c r="N59" t="s">
        <v>25607</v>
      </c>
      <c r="O59" t="s">
        <v>63</v>
      </c>
      <c r="Q59" t="s">
        <v>63</v>
      </c>
      <c r="R59" t="s">
        <v>63</v>
      </c>
      <c r="S59" t="s">
        <v>25608</v>
      </c>
      <c r="T59" t="s">
        <v>63</v>
      </c>
      <c r="X59" t="s">
        <v>63</v>
      </c>
      <c r="Y59" t="s">
        <v>63</v>
      </c>
      <c r="Z59" t="s">
        <v>63</v>
      </c>
      <c r="AA59" t="s">
        <v>63</v>
      </c>
      <c r="AB59" t="s">
        <v>25609</v>
      </c>
      <c r="AC59" t="s">
        <v>67</v>
      </c>
      <c r="AD59" t="s">
        <v>63</v>
      </c>
      <c r="AE59" t="s">
        <v>63</v>
      </c>
      <c r="AF59" t="s">
        <v>63</v>
      </c>
      <c r="AG59" t="s">
        <v>63</v>
      </c>
      <c r="AH59" t="s">
        <v>63</v>
      </c>
      <c r="AI59" t="s">
        <v>63</v>
      </c>
      <c r="AJ59" t="s">
        <v>63</v>
      </c>
      <c r="AK59" t="s">
        <v>63</v>
      </c>
      <c r="AL59" t="s">
        <v>63</v>
      </c>
      <c r="AM59" t="s">
        <v>25610</v>
      </c>
      <c r="AN59" t="s">
        <v>63</v>
      </c>
      <c r="AO59" t="s">
        <v>63</v>
      </c>
      <c r="AP59" t="s">
        <v>63</v>
      </c>
      <c r="AQ59" t="s">
        <v>63</v>
      </c>
      <c r="AR59" t="s">
        <v>63</v>
      </c>
      <c r="AS59" t="s">
        <v>63</v>
      </c>
      <c r="AT59" t="s">
        <v>63</v>
      </c>
      <c r="AU59" t="s">
        <v>63</v>
      </c>
      <c r="AV59" t="s">
        <v>63</v>
      </c>
      <c r="AW59" t="s">
        <v>63</v>
      </c>
      <c r="AX59" t="s">
        <v>63</v>
      </c>
      <c r="AY59" t="s">
        <v>63</v>
      </c>
      <c r="AZ59" t="s">
        <v>63</v>
      </c>
      <c r="BA59" t="s">
        <v>63</v>
      </c>
      <c r="BB59" t="s">
        <v>63</v>
      </c>
      <c r="BC59" t="s">
        <v>63</v>
      </c>
      <c r="BD59" t="s">
        <v>63</v>
      </c>
      <c r="BE59" t="s">
        <v>63</v>
      </c>
      <c r="BF59" t="s">
        <v>63</v>
      </c>
    </row>
    <row r="60" spans="1:58">
      <c r="A60" t="s">
        <v>58</v>
      </c>
      <c r="B60" t="s">
        <v>25611</v>
      </c>
      <c r="C60" t="s">
        <v>25612</v>
      </c>
      <c r="D60" t="s">
        <v>25503</v>
      </c>
      <c r="E60" t="s">
        <v>63</v>
      </c>
      <c r="F60">
        <v>2006</v>
      </c>
      <c r="G60" t="s">
        <v>63</v>
      </c>
      <c r="H60">
        <v>5</v>
      </c>
      <c r="I60">
        <v>2</v>
      </c>
      <c r="J60">
        <v>97</v>
      </c>
      <c r="K60">
        <v>111</v>
      </c>
      <c r="L60" t="s">
        <v>25613</v>
      </c>
      <c r="M60" t="s">
        <v>25614</v>
      </c>
      <c r="N60" t="s">
        <v>25615</v>
      </c>
      <c r="O60" t="s">
        <v>63</v>
      </c>
      <c r="Q60" t="s">
        <v>63</v>
      </c>
      <c r="R60" t="s">
        <v>63</v>
      </c>
      <c r="S60" t="s">
        <v>63</v>
      </c>
      <c r="T60" t="s">
        <v>63</v>
      </c>
      <c r="X60" t="s">
        <v>63</v>
      </c>
      <c r="Y60" t="s">
        <v>25507</v>
      </c>
      <c r="Z60" t="s">
        <v>63</v>
      </c>
      <c r="AA60" t="s">
        <v>25616</v>
      </c>
      <c r="AB60" t="s">
        <v>25617</v>
      </c>
      <c r="AC60" t="s">
        <v>67</v>
      </c>
      <c r="AD60" t="s">
        <v>63</v>
      </c>
      <c r="AE60" t="s">
        <v>63</v>
      </c>
      <c r="AF60" t="s">
        <v>63</v>
      </c>
      <c r="AG60" t="s">
        <v>63</v>
      </c>
      <c r="AH60" t="s">
        <v>63</v>
      </c>
      <c r="AI60" t="s">
        <v>63</v>
      </c>
      <c r="AJ60" t="s">
        <v>63</v>
      </c>
      <c r="AK60" t="s">
        <v>63</v>
      </c>
      <c r="AL60" t="s">
        <v>63</v>
      </c>
      <c r="AM60" t="s">
        <v>25618</v>
      </c>
      <c r="AN60" t="s">
        <v>63</v>
      </c>
      <c r="AO60" t="s">
        <v>63</v>
      </c>
      <c r="AP60" t="s">
        <v>63</v>
      </c>
      <c r="AQ60" t="s">
        <v>63</v>
      </c>
      <c r="AR60" t="s">
        <v>63</v>
      </c>
      <c r="AS60" t="s">
        <v>63</v>
      </c>
      <c r="AT60" t="s">
        <v>63</v>
      </c>
      <c r="AU60" t="s">
        <v>63</v>
      </c>
      <c r="AV60" t="s">
        <v>63</v>
      </c>
      <c r="AW60" t="s">
        <v>63</v>
      </c>
      <c r="AX60" t="s">
        <v>63</v>
      </c>
      <c r="AY60" t="s">
        <v>63</v>
      </c>
      <c r="AZ60" t="s">
        <v>63</v>
      </c>
      <c r="BA60" t="s">
        <v>63</v>
      </c>
      <c r="BB60" t="s">
        <v>63</v>
      </c>
      <c r="BC60" t="s">
        <v>63</v>
      </c>
      <c r="BD60" t="s">
        <v>63</v>
      </c>
      <c r="BE60" t="s">
        <v>63</v>
      </c>
      <c r="BF60" t="s">
        <v>63</v>
      </c>
    </row>
    <row r="61" spans="1:58">
      <c r="A61" t="s">
        <v>25174</v>
      </c>
      <c r="B61" t="s">
        <v>25619</v>
      </c>
      <c r="C61" t="s">
        <v>25620</v>
      </c>
      <c r="D61" t="s">
        <v>63</v>
      </c>
      <c r="E61" t="s">
        <v>63</v>
      </c>
      <c r="F61">
        <v>1991</v>
      </c>
      <c r="G61" t="s">
        <v>63</v>
      </c>
      <c r="H61" t="s">
        <v>63</v>
      </c>
      <c r="I61" t="s">
        <v>63</v>
      </c>
      <c r="J61">
        <v>38</v>
      </c>
      <c r="K61" t="s">
        <v>63</v>
      </c>
      <c r="L61" t="s">
        <v>25621</v>
      </c>
      <c r="M61" t="s">
        <v>25622</v>
      </c>
      <c r="N61" t="s">
        <v>25623</v>
      </c>
      <c r="O61" t="s">
        <v>63</v>
      </c>
      <c r="Q61" t="s">
        <v>63</v>
      </c>
      <c r="R61" t="s">
        <v>63</v>
      </c>
      <c r="S61" t="s">
        <v>25624</v>
      </c>
      <c r="T61" t="s">
        <v>63</v>
      </c>
      <c r="X61" t="s">
        <v>63</v>
      </c>
      <c r="Y61" t="s">
        <v>63</v>
      </c>
      <c r="Z61" t="s">
        <v>63</v>
      </c>
      <c r="AA61" t="s">
        <v>63</v>
      </c>
      <c r="AB61" t="s">
        <v>25625</v>
      </c>
      <c r="AC61" t="s">
        <v>67</v>
      </c>
      <c r="AD61" t="s">
        <v>63</v>
      </c>
      <c r="AE61" t="s">
        <v>63</v>
      </c>
      <c r="AF61" t="s">
        <v>63</v>
      </c>
      <c r="AG61" t="s">
        <v>63</v>
      </c>
      <c r="AH61" t="s">
        <v>63</v>
      </c>
      <c r="AI61" t="s">
        <v>63</v>
      </c>
      <c r="AJ61" t="s">
        <v>63</v>
      </c>
      <c r="AK61" t="s">
        <v>63</v>
      </c>
      <c r="AL61" t="s">
        <v>63</v>
      </c>
      <c r="AM61" t="s">
        <v>25626</v>
      </c>
      <c r="AN61" t="s">
        <v>63</v>
      </c>
      <c r="AO61" t="s">
        <v>63</v>
      </c>
      <c r="AP61" t="s">
        <v>63</v>
      </c>
      <c r="AQ61" t="s">
        <v>63</v>
      </c>
      <c r="AR61" t="s">
        <v>63</v>
      </c>
      <c r="AS61" t="s">
        <v>63</v>
      </c>
      <c r="AT61" t="s">
        <v>63</v>
      </c>
      <c r="AU61" t="s">
        <v>63</v>
      </c>
      <c r="AV61" t="s">
        <v>63</v>
      </c>
      <c r="AW61" t="s">
        <v>63</v>
      </c>
      <c r="AX61" t="s">
        <v>63</v>
      </c>
      <c r="AY61" t="s">
        <v>63</v>
      </c>
      <c r="AZ61" t="s">
        <v>63</v>
      </c>
      <c r="BA61" t="s">
        <v>63</v>
      </c>
      <c r="BB61" t="s">
        <v>63</v>
      </c>
      <c r="BC61" t="s">
        <v>63</v>
      </c>
      <c r="BD61" t="s">
        <v>63</v>
      </c>
      <c r="BE61" t="s">
        <v>63</v>
      </c>
      <c r="BF61" t="s">
        <v>63</v>
      </c>
    </row>
    <row r="62" spans="1:58">
      <c r="A62" t="s">
        <v>25174</v>
      </c>
      <c r="B62" t="s">
        <v>25627</v>
      </c>
      <c r="C62" t="s">
        <v>25628</v>
      </c>
      <c r="D62" t="s">
        <v>63</v>
      </c>
      <c r="E62" t="s">
        <v>63</v>
      </c>
      <c r="F62">
        <v>1984</v>
      </c>
      <c r="G62" t="s">
        <v>63</v>
      </c>
      <c r="H62" t="s">
        <v>63</v>
      </c>
      <c r="I62" t="s">
        <v>63</v>
      </c>
      <c r="J62">
        <v>355</v>
      </c>
      <c r="K62" t="s">
        <v>63</v>
      </c>
      <c r="L62" t="s">
        <v>25629</v>
      </c>
      <c r="M62" t="s">
        <v>25630</v>
      </c>
      <c r="N62" t="s">
        <v>25631</v>
      </c>
      <c r="O62" t="s">
        <v>63</v>
      </c>
      <c r="Q62" t="s">
        <v>63</v>
      </c>
      <c r="R62" t="s">
        <v>63</v>
      </c>
      <c r="S62" t="s">
        <v>25309</v>
      </c>
      <c r="T62" t="s">
        <v>25632</v>
      </c>
      <c r="X62" t="s">
        <v>63</v>
      </c>
      <c r="Y62" t="s">
        <v>63</v>
      </c>
      <c r="Z62" t="s">
        <v>63</v>
      </c>
      <c r="AA62" t="s">
        <v>63</v>
      </c>
      <c r="AB62" t="s">
        <v>25633</v>
      </c>
      <c r="AC62" t="s">
        <v>67</v>
      </c>
      <c r="AD62" t="s">
        <v>63</v>
      </c>
      <c r="AE62" t="s">
        <v>63</v>
      </c>
      <c r="AF62" t="s">
        <v>63</v>
      </c>
      <c r="AG62" t="s">
        <v>63</v>
      </c>
      <c r="AH62" t="s">
        <v>63</v>
      </c>
      <c r="AI62" t="s">
        <v>63</v>
      </c>
      <c r="AJ62" t="s">
        <v>63</v>
      </c>
      <c r="AK62" t="s">
        <v>63</v>
      </c>
      <c r="AL62" t="s">
        <v>63</v>
      </c>
      <c r="AM62" t="s">
        <v>25634</v>
      </c>
      <c r="AN62" t="s">
        <v>63</v>
      </c>
      <c r="AO62" t="s">
        <v>63</v>
      </c>
      <c r="AP62" t="s">
        <v>63</v>
      </c>
      <c r="AQ62" t="s">
        <v>63</v>
      </c>
      <c r="AR62" t="s">
        <v>63</v>
      </c>
      <c r="AS62" t="s">
        <v>63</v>
      </c>
      <c r="AT62" t="s">
        <v>63</v>
      </c>
      <c r="AU62" t="s">
        <v>63</v>
      </c>
      <c r="AV62" t="s">
        <v>63</v>
      </c>
      <c r="AW62" t="s">
        <v>63</v>
      </c>
      <c r="AX62" t="s">
        <v>63</v>
      </c>
      <c r="AY62" t="s">
        <v>63</v>
      </c>
      <c r="AZ62" t="s">
        <v>63</v>
      </c>
      <c r="BA62" t="s">
        <v>63</v>
      </c>
      <c r="BB62" t="s">
        <v>63</v>
      </c>
      <c r="BC62" t="s">
        <v>63</v>
      </c>
      <c r="BD62" t="s">
        <v>63</v>
      </c>
      <c r="BE62" t="s">
        <v>63</v>
      </c>
      <c r="BF62" t="s">
        <v>63</v>
      </c>
    </row>
    <row r="63" spans="1:58">
      <c r="A63" t="s">
        <v>25174</v>
      </c>
      <c r="B63" t="s">
        <v>25635</v>
      </c>
      <c r="C63" t="s">
        <v>25636</v>
      </c>
      <c r="D63" t="s">
        <v>63</v>
      </c>
      <c r="E63" t="s">
        <v>63</v>
      </c>
      <c r="F63">
        <v>1992</v>
      </c>
      <c r="G63" s="2">
        <v>35155</v>
      </c>
      <c r="H63" t="s">
        <v>63</v>
      </c>
      <c r="I63" t="s">
        <v>63</v>
      </c>
      <c r="J63">
        <v>85</v>
      </c>
      <c r="K63" t="s">
        <v>63</v>
      </c>
      <c r="L63" t="s">
        <v>25637</v>
      </c>
      <c r="M63" t="s">
        <v>25638</v>
      </c>
      <c r="N63" t="s">
        <v>25639</v>
      </c>
      <c r="O63" t="s">
        <v>63</v>
      </c>
      <c r="Q63" t="s">
        <v>63</v>
      </c>
      <c r="R63" t="s">
        <v>63</v>
      </c>
      <c r="S63" t="s">
        <v>63</v>
      </c>
      <c r="T63" t="s">
        <v>63</v>
      </c>
      <c r="X63" t="s">
        <v>63</v>
      </c>
      <c r="Y63" t="s">
        <v>63</v>
      </c>
      <c r="Z63" t="s">
        <v>63</v>
      </c>
      <c r="AA63" t="s">
        <v>63</v>
      </c>
      <c r="AB63" t="s">
        <v>25640</v>
      </c>
      <c r="AC63" t="s">
        <v>67</v>
      </c>
      <c r="AD63" t="s">
        <v>63</v>
      </c>
      <c r="AE63" t="s">
        <v>63</v>
      </c>
      <c r="AF63" t="s">
        <v>63</v>
      </c>
      <c r="AG63" t="s">
        <v>63</v>
      </c>
      <c r="AH63" t="s">
        <v>63</v>
      </c>
      <c r="AI63" t="s">
        <v>63</v>
      </c>
      <c r="AJ63" t="s">
        <v>63</v>
      </c>
      <c r="AK63" t="s">
        <v>63</v>
      </c>
      <c r="AL63" t="s">
        <v>63</v>
      </c>
      <c r="AM63" t="s">
        <v>25641</v>
      </c>
      <c r="AN63" t="s">
        <v>63</v>
      </c>
      <c r="AO63" t="s">
        <v>63</v>
      </c>
      <c r="AP63" t="s">
        <v>63</v>
      </c>
      <c r="AQ63" t="s">
        <v>63</v>
      </c>
      <c r="AR63" t="s">
        <v>63</v>
      </c>
      <c r="AS63" t="s">
        <v>63</v>
      </c>
      <c r="AT63" t="s">
        <v>63</v>
      </c>
      <c r="AU63" t="s">
        <v>63</v>
      </c>
      <c r="AV63" t="s">
        <v>63</v>
      </c>
      <c r="AW63" t="s">
        <v>63</v>
      </c>
      <c r="AX63" t="s">
        <v>63</v>
      </c>
      <c r="AY63" t="s">
        <v>63</v>
      </c>
      <c r="AZ63" t="s">
        <v>63</v>
      </c>
      <c r="BA63" t="s">
        <v>63</v>
      </c>
      <c r="BB63" t="s">
        <v>63</v>
      </c>
      <c r="BC63" t="s">
        <v>63</v>
      </c>
      <c r="BD63" t="s">
        <v>63</v>
      </c>
      <c r="BE63" t="s">
        <v>63</v>
      </c>
      <c r="BF63" t="s">
        <v>63</v>
      </c>
    </row>
    <row r="64" spans="1:58">
      <c r="A64" t="s">
        <v>58</v>
      </c>
      <c r="B64" t="s">
        <v>25642</v>
      </c>
      <c r="C64" t="s">
        <v>25643</v>
      </c>
      <c r="D64" t="s">
        <v>763</v>
      </c>
      <c r="E64" t="s">
        <v>63</v>
      </c>
      <c r="F64">
        <v>1991</v>
      </c>
      <c r="G64" t="s">
        <v>274</v>
      </c>
      <c r="H64">
        <v>66</v>
      </c>
      <c r="I64">
        <v>3</v>
      </c>
      <c r="J64">
        <v>164</v>
      </c>
      <c r="K64">
        <v>166</v>
      </c>
      <c r="L64" t="s">
        <v>25644</v>
      </c>
      <c r="M64" t="s">
        <v>25645</v>
      </c>
      <c r="N64" t="s">
        <v>25646</v>
      </c>
      <c r="O64" t="s">
        <v>63</v>
      </c>
      <c r="Q64" t="s">
        <v>63</v>
      </c>
      <c r="R64" t="s">
        <v>63</v>
      </c>
      <c r="S64" t="s">
        <v>63</v>
      </c>
      <c r="T64" t="s">
        <v>63</v>
      </c>
      <c r="X64" t="s">
        <v>63</v>
      </c>
      <c r="Y64" t="s">
        <v>858</v>
      </c>
      <c r="Z64" t="s">
        <v>63</v>
      </c>
      <c r="AA64" t="s">
        <v>63</v>
      </c>
      <c r="AB64" t="s">
        <v>25647</v>
      </c>
      <c r="AC64" t="s">
        <v>67</v>
      </c>
      <c r="AD64" t="s">
        <v>63</v>
      </c>
      <c r="AE64" t="s">
        <v>63</v>
      </c>
      <c r="AF64" t="s">
        <v>63</v>
      </c>
      <c r="AG64" t="s">
        <v>63</v>
      </c>
      <c r="AH64" t="s">
        <v>63</v>
      </c>
      <c r="AI64" t="s">
        <v>63</v>
      </c>
      <c r="AJ64" t="s">
        <v>63</v>
      </c>
      <c r="AK64" t="s">
        <v>63</v>
      </c>
      <c r="AL64" t="s">
        <v>63</v>
      </c>
      <c r="AM64" t="s">
        <v>25648</v>
      </c>
      <c r="AN64" t="s">
        <v>63</v>
      </c>
      <c r="AO64" t="s">
        <v>63</v>
      </c>
      <c r="AP64" t="s">
        <v>63</v>
      </c>
      <c r="AQ64" t="s">
        <v>63</v>
      </c>
      <c r="AR64" t="s">
        <v>63</v>
      </c>
      <c r="AS64" t="s">
        <v>63</v>
      </c>
      <c r="AT64" t="s">
        <v>63</v>
      </c>
      <c r="AU64" t="s">
        <v>63</v>
      </c>
      <c r="AV64" t="s">
        <v>63</v>
      </c>
      <c r="AW64" t="s">
        <v>63</v>
      </c>
      <c r="AX64" t="s">
        <v>63</v>
      </c>
      <c r="AY64" t="s">
        <v>63</v>
      </c>
      <c r="AZ64" t="s">
        <v>63</v>
      </c>
      <c r="BA64" t="s">
        <v>63</v>
      </c>
      <c r="BB64" t="s">
        <v>63</v>
      </c>
      <c r="BC64" t="s">
        <v>63</v>
      </c>
      <c r="BD64" t="s">
        <v>63</v>
      </c>
      <c r="BE64" t="s">
        <v>63</v>
      </c>
      <c r="BF64" t="s">
        <v>63</v>
      </c>
    </row>
    <row r="65" spans="1:58">
      <c r="A65" t="s">
        <v>25174</v>
      </c>
      <c r="B65" t="s">
        <v>25649</v>
      </c>
      <c r="C65" t="s">
        <v>25650</v>
      </c>
      <c r="D65" t="s">
        <v>63</v>
      </c>
      <c r="E65" t="s">
        <v>63</v>
      </c>
      <c r="F65">
        <v>1981</v>
      </c>
      <c r="G65" t="s">
        <v>63</v>
      </c>
      <c r="H65" t="s">
        <v>63</v>
      </c>
      <c r="I65" t="s">
        <v>63</v>
      </c>
      <c r="J65">
        <v>105</v>
      </c>
      <c r="K65" t="s">
        <v>63</v>
      </c>
      <c r="L65" t="s">
        <v>25651</v>
      </c>
      <c r="M65" t="s">
        <v>25652</v>
      </c>
      <c r="N65" t="s">
        <v>25653</v>
      </c>
      <c r="O65" t="s">
        <v>63</v>
      </c>
      <c r="Q65" t="s">
        <v>63</v>
      </c>
      <c r="R65" t="s">
        <v>63</v>
      </c>
      <c r="S65" t="s">
        <v>63</v>
      </c>
      <c r="T65" t="s">
        <v>25654</v>
      </c>
      <c r="X65" t="s">
        <v>63</v>
      </c>
      <c r="Y65" t="s">
        <v>63</v>
      </c>
      <c r="Z65" t="s">
        <v>63</v>
      </c>
      <c r="AA65" t="s">
        <v>63</v>
      </c>
      <c r="AB65" t="s">
        <v>25655</v>
      </c>
      <c r="AC65" t="s">
        <v>67</v>
      </c>
      <c r="AD65" t="s">
        <v>63</v>
      </c>
      <c r="AE65" t="s">
        <v>63</v>
      </c>
      <c r="AF65" t="s">
        <v>63</v>
      </c>
      <c r="AG65" t="s">
        <v>63</v>
      </c>
      <c r="AH65" t="s">
        <v>63</v>
      </c>
      <c r="AI65" t="s">
        <v>63</v>
      </c>
      <c r="AJ65" t="s">
        <v>63</v>
      </c>
      <c r="AK65" t="s">
        <v>63</v>
      </c>
      <c r="AL65" t="s">
        <v>63</v>
      </c>
      <c r="AM65" t="s">
        <v>25656</v>
      </c>
      <c r="AN65" t="s">
        <v>63</v>
      </c>
      <c r="AO65" t="s">
        <v>63</v>
      </c>
      <c r="AP65" t="s">
        <v>63</v>
      </c>
      <c r="AQ65" t="s">
        <v>63</v>
      </c>
      <c r="AR65" t="s">
        <v>63</v>
      </c>
      <c r="AS65" t="s">
        <v>63</v>
      </c>
      <c r="AT65" t="s">
        <v>63</v>
      </c>
      <c r="AU65" t="s">
        <v>63</v>
      </c>
      <c r="AV65" t="s">
        <v>63</v>
      </c>
      <c r="AW65" t="s">
        <v>63</v>
      </c>
      <c r="AX65" t="s">
        <v>63</v>
      </c>
      <c r="AY65" t="s">
        <v>63</v>
      </c>
      <c r="AZ65" t="s">
        <v>63</v>
      </c>
      <c r="BA65" t="s">
        <v>63</v>
      </c>
      <c r="BB65" t="s">
        <v>63</v>
      </c>
      <c r="BC65" t="s">
        <v>63</v>
      </c>
      <c r="BD65" t="s">
        <v>63</v>
      </c>
      <c r="BE65" t="s">
        <v>63</v>
      </c>
      <c r="BF65" t="s">
        <v>63</v>
      </c>
    </row>
    <row r="66" spans="1:58">
      <c r="A66" t="s">
        <v>25174</v>
      </c>
      <c r="B66" t="s">
        <v>25657</v>
      </c>
      <c r="C66" t="s">
        <v>25658</v>
      </c>
      <c r="D66" t="s">
        <v>63</v>
      </c>
      <c r="E66" t="s">
        <v>63</v>
      </c>
      <c r="F66">
        <v>1982</v>
      </c>
      <c r="G66" s="1">
        <v>41920</v>
      </c>
      <c r="H66" t="s">
        <v>63</v>
      </c>
      <c r="I66" t="s">
        <v>63</v>
      </c>
      <c r="J66">
        <v>41</v>
      </c>
      <c r="K66" t="s">
        <v>63</v>
      </c>
      <c r="L66" t="s">
        <v>25659</v>
      </c>
      <c r="M66" t="s">
        <v>25660</v>
      </c>
      <c r="N66" t="s">
        <v>25661</v>
      </c>
      <c r="O66" t="s">
        <v>63</v>
      </c>
      <c r="Q66" t="s">
        <v>63</v>
      </c>
      <c r="R66" t="s">
        <v>63</v>
      </c>
      <c r="S66" t="s">
        <v>63</v>
      </c>
      <c r="T66" t="s">
        <v>63</v>
      </c>
      <c r="X66" t="s">
        <v>63</v>
      </c>
      <c r="Y66" t="s">
        <v>63</v>
      </c>
      <c r="Z66" t="s">
        <v>63</v>
      </c>
      <c r="AA66" t="s">
        <v>63</v>
      </c>
      <c r="AB66" t="s">
        <v>25662</v>
      </c>
      <c r="AC66" t="s">
        <v>67</v>
      </c>
      <c r="AD66" t="s">
        <v>63</v>
      </c>
      <c r="AE66" t="s">
        <v>63</v>
      </c>
      <c r="AF66" t="s">
        <v>63</v>
      </c>
      <c r="AG66" t="s">
        <v>63</v>
      </c>
      <c r="AH66" t="s">
        <v>63</v>
      </c>
      <c r="AI66" t="s">
        <v>63</v>
      </c>
      <c r="AJ66" t="s">
        <v>63</v>
      </c>
      <c r="AK66" t="s">
        <v>63</v>
      </c>
      <c r="AL66" t="s">
        <v>63</v>
      </c>
      <c r="AM66" t="s">
        <v>25663</v>
      </c>
      <c r="AN66" t="s">
        <v>63</v>
      </c>
      <c r="AO66" t="s">
        <v>63</v>
      </c>
      <c r="AP66" t="s">
        <v>63</v>
      </c>
      <c r="AQ66" t="s">
        <v>63</v>
      </c>
      <c r="AR66" t="s">
        <v>63</v>
      </c>
      <c r="AS66" t="s">
        <v>63</v>
      </c>
      <c r="AT66" t="s">
        <v>63</v>
      </c>
      <c r="AU66" t="s">
        <v>63</v>
      </c>
      <c r="AV66" t="s">
        <v>63</v>
      </c>
      <c r="AW66" t="s">
        <v>63</v>
      </c>
      <c r="AX66" t="s">
        <v>63</v>
      </c>
      <c r="AY66" t="s">
        <v>63</v>
      </c>
      <c r="AZ66" t="s">
        <v>63</v>
      </c>
      <c r="BA66" t="s">
        <v>63</v>
      </c>
      <c r="BB66" t="s">
        <v>63</v>
      </c>
      <c r="BC66" t="s">
        <v>63</v>
      </c>
      <c r="BD66" t="s">
        <v>63</v>
      </c>
      <c r="BE66" t="s">
        <v>63</v>
      </c>
      <c r="BF66" t="s">
        <v>63</v>
      </c>
    </row>
    <row r="67" spans="1:58">
      <c r="A67" t="s">
        <v>58</v>
      </c>
      <c r="B67" t="s">
        <v>25664</v>
      </c>
      <c r="C67" t="s">
        <v>25665</v>
      </c>
      <c r="D67" t="s">
        <v>25503</v>
      </c>
      <c r="E67" t="s">
        <v>63</v>
      </c>
      <c r="F67">
        <v>2003</v>
      </c>
      <c r="G67" t="s">
        <v>63</v>
      </c>
      <c r="H67">
        <v>2</v>
      </c>
      <c r="I67">
        <v>2</v>
      </c>
      <c r="J67">
        <v>1</v>
      </c>
      <c r="K67">
        <v>15</v>
      </c>
      <c r="L67" t="s">
        <v>25666</v>
      </c>
      <c r="M67" t="s">
        <v>25667</v>
      </c>
      <c r="N67" t="s">
        <v>25668</v>
      </c>
      <c r="O67" t="s">
        <v>63</v>
      </c>
      <c r="Q67" t="s">
        <v>63</v>
      </c>
      <c r="R67" t="s">
        <v>63</v>
      </c>
      <c r="S67" t="s">
        <v>63</v>
      </c>
      <c r="T67" t="s">
        <v>63</v>
      </c>
      <c r="X67" t="s">
        <v>63</v>
      </c>
      <c r="Y67" t="s">
        <v>25507</v>
      </c>
      <c r="Z67" t="s">
        <v>63</v>
      </c>
      <c r="AA67" t="s">
        <v>25669</v>
      </c>
      <c r="AB67" t="s">
        <v>25670</v>
      </c>
      <c r="AC67" t="s">
        <v>67</v>
      </c>
      <c r="AD67" t="s">
        <v>63</v>
      </c>
      <c r="AE67" t="s">
        <v>63</v>
      </c>
      <c r="AF67" t="s">
        <v>63</v>
      </c>
      <c r="AG67" t="s">
        <v>63</v>
      </c>
      <c r="AH67" t="s">
        <v>63</v>
      </c>
      <c r="AI67" t="s">
        <v>63</v>
      </c>
      <c r="AJ67" t="s">
        <v>63</v>
      </c>
      <c r="AK67" t="s">
        <v>63</v>
      </c>
      <c r="AL67" t="s">
        <v>63</v>
      </c>
      <c r="AM67" t="s">
        <v>25671</v>
      </c>
      <c r="AN67" t="s">
        <v>63</v>
      </c>
      <c r="AO67" t="s">
        <v>63</v>
      </c>
      <c r="AP67" t="s">
        <v>63</v>
      </c>
      <c r="AQ67" t="s">
        <v>63</v>
      </c>
      <c r="AR67" t="s">
        <v>63</v>
      </c>
      <c r="AS67" t="s">
        <v>63</v>
      </c>
      <c r="AT67" t="s">
        <v>63</v>
      </c>
      <c r="AU67" t="s">
        <v>63</v>
      </c>
      <c r="AV67" t="s">
        <v>63</v>
      </c>
      <c r="AW67" t="s">
        <v>63</v>
      </c>
      <c r="AX67" t="s">
        <v>63</v>
      </c>
      <c r="AY67" t="s">
        <v>63</v>
      </c>
      <c r="AZ67" t="s">
        <v>63</v>
      </c>
      <c r="BA67" t="s">
        <v>63</v>
      </c>
      <c r="BB67" t="s">
        <v>63</v>
      </c>
      <c r="BC67" t="s">
        <v>63</v>
      </c>
      <c r="BD67" t="s">
        <v>63</v>
      </c>
      <c r="BE67" t="s">
        <v>63</v>
      </c>
      <c r="BF67" t="s">
        <v>63</v>
      </c>
    </row>
    <row r="68" spans="1:58">
      <c r="A68" t="s">
        <v>25174</v>
      </c>
      <c r="B68" t="s">
        <v>25672</v>
      </c>
      <c r="C68" t="s">
        <v>25673</v>
      </c>
      <c r="D68" t="s">
        <v>63</v>
      </c>
      <c r="E68" t="s">
        <v>63</v>
      </c>
      <c r="F68">
        <v>1970</v>
      </c>
      <c r="G68" t="s">
        <v>63</v>
      </c>
      <c r="H68" t="s">
        <v>63</v>
      </c>
      <c r="I68" t="s">
        <v>63</v>
      </c>
      <c r="J68">
        <v>10</v>
      </c>
      <c r="K68" t="s">
        <v>63</v>
      </c>
      <c r="L68" t="s">
        <v>25674</v>
      </c>
      <c r="M68" t="s">
        <v>25675</v>
      </c>
      <c r="N68" t="s">
        <v>25676</v>
      </c>
      <c r="O68" t="s">
        <v>63</v>
      </c>
      <c r="Q68" t="s">
        <v>63</v>
      </c>
      <c r="R68" t="s">
        <v>63</v>
      </c>
      <c r="S68" t="s">
        <v>63</v>
      </c>
      <c r="T68" t="s">
        <v>63</v>
      </c>
      <c r="X68" t="s">
        <v>63</v>
      </c>
      <c r="Y68" t="s">
        <v>63</v>
      </c>
      <c r="Z68" t="s">
        <v>63</v>
      </c>
      <c r="AA68" t="s">
        <v>63</v>
      </c>
      <c r="AB68" t="s">
        <v>25677</v>
      </c>
      <c r="AC68" t="s">
        <v>25383</v>
      </c>
      <c r="AD68" t="s">
        <v>63</v>
      </c>
      <c r="AE68" t="s">
        <v>63</v>
      </c>
      <c r="AF68" t="s">
        <v>63</v>
      </c>
      <c r="AG68" t="s">
        <v>63</v>
      </c>
      <c r="AH68" t="s">
        <v>63</v>
      </c>
      <c r="AI68" t="s">
        <v>63</v>
      </c>
      <c r="AJ68" t="s">
        <v>63</v>
      </c>
      <c r="AK68" t="s">
        <v>63</v>
      </c>
      <c r="AL68" t="s">
        <v>63</v>
      </c>
      <c r="AM68" t="s">
        <v>25678</v>
      </c>
      <c r="AN68" t="s">
        <v>63</v>
      </c>
      <c r="AO68" t="s">
        <v>63</v>
      </c>
      <c r="AP68" t="s">
        <v>63</v>
      </c>
      <c r="AQ68" t="s">
        <v>63</v>
      </c>
      <c r="AR68" t="s">
        <v>63</v>
      </c>
      <c r="AS68" t="s">
        <v>63</v>
      </c>
      <c r="AT68" t="s">
        <v>63</v>
      </c>
      <c r="AU68" t="s">
        <v>63</v>
      </c>
      <c r="AV68" t="s">
        <v>63</v>
      </c>
      <c r="AW68" t="s">
        <v>63</v>
      </c>
      <c r="AX68" t="s">
        <v>63</v>
      </c>
      <c r="AY68" t="s">
        <v>63</v>
      </c>
      <c r="AZ68" t="s">
        <v>63</v>
      </c>
      <c r="BA68" t="s">
        <v>63</v>
      </c>
      <c r="BB68" t="s">
        <v>63</v>
      </c>
      <c r="BC68" t="s">
        <v>63</v>
      </c>
      <c r="BD68" t="s">
        <v>63</v>
      </c>
      <c r="BE68" t="s">
        <v>63</v>
      </c>
      <c r="BF68" t="s">
        <v>63</v>
      </c>
    </row>
    <row r="69" spans="1:58">
      <c r="A69" t="s">
        <v>58</v>
      </c>
      <c r="B69" t="s">
        <v>25679</v>
      </c>
      <c r="C69" t="s">
        <v>25680</v>
      </c>
      <c r="D69" t="s">
        <v>389</v>
      </c>
      <c r="E69" t="s">
        <v>63</v>
      </c>
      <c r="F69">
        <v>2009</v>
      </c>
      <c r="G69" t="s">
        <v>63</v>
      </c>
      <c r="H69">
        <v>30</v>
      </c>
      <c r="I69">
        <v>1</v>
      </c>
      <c r="J69">
        <v>61</v>
      </c>
      <c r="K69">
        <v>68</v>
      </c>
      <c r="L69" t="s">
        <v>25681</v>
      </c>
      <c r="M69" t="s">
        <v>25682</v>
      </c>
      <c r="N69" t="s">
        <v>25683</v>
      </c>
      <c r="O69" t="s">
        <v>63</v>
      </c>
      <c r="Q69" t="s">
        <v>63</v>
      </c>
      <c r="R69" t="s">
        <v>63</v>
      </c>
      <c r="S69" t="s">
        <v>63</v>
      </c>
      <c r="T69" t="s">
        <v>63</v>
      </c>
      <c r="X69" t="s">
        <v>63</v>
      </c>
      <c r="Y69" t="s">
        <v>392</v>
      </c>
      <c r="Z69" t="s">
        <v>63</v>
      </c>
      <c r="AA69" t="s">
        <v>25684</v>
      </c>
      <c r="AB69" t="s">
        <v>25685</v>
      </c>
      <c r="AC69" t="s">
        <v>67</v>
      </c>
      <c r="AD69" t="s">
        <v>63</v>
      </c>
      <c r="AE69" t="s">
        <v>63</v>
      </c>
      <c r="AF69" t="s">
        <v>63</v>
      </c>
      <c r="AG69" t="s">
        <v>63</v>
      </c>
      <c r="AH69" t="s">
        <v>63</v>
      </c>
      <c r="AI69" t="s">
        <v>63</v>
      </c>
      <c r="AJ69" t="s">
        <v>63</v>
      </c>
      <c r="AK69" t="s">
        <v>63</v>
      </c>
      <c r="AL69" t="s">
        <v>63</v>
      </c>
      <c r="AM69" t="s">
        <v>25686</v>
      </c>
      <c r="AN69" t="s">
        <v>63</v>
      </c>
      <c r="AO69" t="s">
        <v>63</v>
      </c>
      <c r="AP69" t="s">
        <v>63</v>
      </c>
      <c r="AQ69" t="s">
        <v>63</v>
      </c>
      <c r="AR69" t="s">
        <v>63</v>
      </c>
      <c r="AS69" t="s">
        <v>63</v>
      </c>
      <c r="AT69" t="s">
        <v>63</v>
      </c>
      <c r="AU69" t="s">
        <v>63</v>
      </c>
      <c r="AV69" t="s">
        <v>63</v>
      </c>
      <c r="AW69" t="s">
        <v>63</v>
      </c>
      <c r="AX69" t="s">
        <v>63</v>
      </c>
      <c r="AY69" t="s">
        <v>63</v>
      </c>
      <c r="AZ69" t="s">
        <v>63</v>
      </c>
      <c r="BA69" t="s">
        <v>63</v>
      </c>
      <c r="BB69" t="s">
        <v>63</v>
      </c>
      <c r="BC69" t="s">
        <v>63</v>
      </c>
      <c r="BD69" t="s">
        <v>63</v>
      </c>
      <c r="BE69" t="s">
        <v>63</v>
      </c>
      <c r="BF69" t="s">
        <v>63</v>
      </c>
    </row>
    <row r="70" spans="1:58">
      <c r="A70" t="s">
        <v>58</v>
      </c>
      <c r="B70" t="s">
        <v>25687</v>
      </c>
      <c r="C70" t="s">
        <v>25688</v>
      </c>
      <c r="D70" t="s">
        <v>9596</v>
      </c>
      <c r="E70" t="s">
        <v>63</v>
      </c>
      <c r="F70">
        <v>2005</v>
      </c>
      <c r="G70" t="s">
        <v>138</v>
      </c>
      <c r="H70">
        <v>21</v>
      </c>
      <c r="I70">
        <v>4</v>
      </c>
      <c r="J70">
        <v>351</v>
      </c>
      <c r="K70">
        <v>354</v>
      </c>
      <c r="L70" t="s">
        <v>25689</v>
      </c>
      <c r="M70" t="s">
        <v>25690</v>
      </c>
      <c r="N70" t="s">
        <v>25691</v>
      </c>
      <c r="O70" t="s">
        <v>63</v>
      </c>
      <c r="Q70" t="s">
        <v>63</v>
      </c>
      <c r="R70" t="s">
        <v>63</v>
      </c>
      <c r="S70" t="s">
        <v>63</v>
      </c>
      <c r="T70" t="s">
        <v>63</v>
      </c>
      <c r="X70" t="s">
        <v>63</v>
      </c>
      <c r="Y70" t="s">
        <v>25692</v>
      </c>
      <c r="Z70" t="s">
        <v>63</v>
      </c>
      <c r="AA70" t="s">
        <v>25693</v>
      </c>
      <c r="AB70" t="s">
        <v>25694</v>
      </c>
      <c r="AC70" t="s">
        <v>67</v>
      </c>
      <c r="AD70" t="s">
        <v>63</v>
      </c>
      <c r="AE70" t="s">
        <v>63</v>
      </c>
      <c r="AF70" t="s">
        <v>63</v>
      </c>
      <c r="AG70" t="s">
        <v>63</v>
      </c>
      <c r="AH70" t="s">
        <v>63</v>
      </c>
      <c r="AI70" t="s">
        <v>63</v>
      </c>
      <c r="AJ70" t="s">
        <v>63</v>
      </c>
      <c r="AK70" t="s">
        <v>63</v>
      </c>
      <c r="AL70" t="s">
        <v>63</v>
      </c>
      <c r="AM70" t="s">
        <v>25695</v>
      </c>
      <c r="AN70" t="s">
        <v>63</v>
      </c>
      <c r="AO70" t="s">
        <v>63</v>
      </c>
      <c r="AP70" t="s">
        <v>63</v>
      </c>
      <c r="AQ70" t="s">
        <v>63</v>
      </c>
      <c r="AR70" t="s">
        <v>63</v>
      </c>
      <c r="AS70" t="s">
        <v>63</v>
      </c>
      <c r="AT70" t="s">
        <v>63</v>
      </c>
      <c r="AU70" t="s">
        <v>63</v>
      </c>
      <c r="AV70" t="s">
        <v>63</v>
      </c>
      <c r="AW70" t="s">
        <v>63</v>
      </c>
      <c r="AX70" t="s">
        <v>63</v>
      </c>
      <c r="AY70" t="s">
        <v>63</v>
      </c>
      <c r="AZ70" t="s">
        <v>63</v>
      </c>
      <c r="BA70" t="s">
        <v>63</v>
      </c>
      <c r="BB70" t="s">
        <v>63</v>
      </c>
      <c r="BC70" t="s">
        <v>63</v>
      </c>
      <c r="BD70" t="s">
        <v>63</v>
      </c>
      <c r="BE70" t="s">
        <v>63</v>
      </c>
      <c r="BF70" t="s">
        <v>63</v>
      </c>
    </row>
    <row r="71" spans="1:58">
      <c r="A71" t="s">
        <v>25174</v>
      </c>
      <c r="B71" t="s">
        <v>25696</v>
      </c>
      <c r="C71" t="s">
        <v>25697</v>
      </c>
      <c r="D71" t="s">
        <v>63</v>
      </c>
      <c r="E71" t="s">
        <v>63</v>
      </c>
      <c r="F71">
        <v>2013</v>
      </c>
      <c r="G71" t="s">
        <v>63</v>
      </c>
      <c r="H71" t="s">
        <v>63</v>
      </c>
      <c r="I71" t="s">
        <v>63</v>
      </c>
      <c r="J71">
        <v>172</v>
      </c>
      <c r="K71" t="s">
        <v>63</v>
      </c>
      <c r="L71" t="s">
        <v>25698</v>
      </c>
      <c r="M71" t="s">
        <v>25699</v>
      </c>
      <c r="N71" t="s">
        <v>25700</v>
      </c>
      <c r="O71" t="s">
        <v>63</v>
      </c>
      <c r="Q71" t="s">
        <v>63</v>
      </c>
      <c r="R71" t="s">
        <v>63</v>
      </c>
      <c r="S71" t="s">
        <v>63</v>
      </c>
      <c r="T71" t="s">
        <v>25701</v>
      </c>
      <c r="X71" t="s">
        <v>63</v>
      </c>
      <c r="Y71" t="s">
        <v>63</v>
      </c>
      <c r="Z71" t="s">
        <v>63</v>
      </c>
      <c r="AA71" t="s">
        <v>25702</v>
      </c>
      <c r="AB71" t="s">
        <v>25703</v>
      </c>
      <c r="AC71" t="s">
        <v>67</v>
      </c>
      <c r="AD71" t="s">
        <v>63</v>
      </c>
      <c r="AE71" t="s">
        <v>63</v>
      </c>
      <c r="AF71" t="s">
        <v>63</v>
      </c>
      <c r="AG71" t="s">
        <v>63</v>
      </c>
      <c r="AH71" t="s">
        <v>63</v>
      </c>
      <c r="AI71" t="s">
        <v>63</v>
      </c>
      <c r="AJ71" t="s">
        <v>63</v>
      </c>
      <c r="AK71" t="s">
        <v>63</v>
      </c>
      <c r="AL71" t="s">
        <v>63</v>
      </c>
      <c r="AM71" t="s">
        <v>25704</v>
      </c>
      <c r="AN71" t="s">
        <v>63</v>
      </c>
      <c r="AO71" t="s">
        <v>63</v>
      </c>
      <c r="AP71" t="s">
        <v>63</v>
      </c>
      <c r="AQ71" t="s">
        <v>63</v>
      </c>
      <c r="AR71" t="s">
        <v>63</v>
      </c>
      <c r="AS71" t="s">
        <v>63</v>
      </c>
      <c r="AT71" t="s">
        <v>63</v>
      </c>
      <c r="AU71" t="s">
        <v>63</v>
      </c>
      <c r="AV71" t="s">
        <v>63</v>
      </c>
      <c r="AW71" t="s">
        <v>63</v>
      </c>
      <c r="AX71" t="s">
        <v>63</v>
      </c>
      <c r="AY71" t="s">
        <v>63</v>
      </c>
      <c r="AZ71" t="s">
        <v>63</v>
      </c>
      <c r="BA71" t="s">
        <v>63</v>
      </c>
      <c r="BB71" t="s">
        <v>63</v>
      </c>
      <c r="BC71" t="s">
        <v>63</v>
      </c>
      <c r="BD71" t="s">
        <v>63</v>
      </c>
      <c r="BE71" t="s">
        <v>63</v>
      </c>
      <c r="BF71" t="s">
        <v>63</v>
      </c>
    </row>
    <row r="72" spans="1:58">
      <c r="A72" t="s">
        <v>25174</v>
      </c>
      <c r="B72" t="s">
        <v>25705</v>
      </c>
      <c r="C72" t="s">
        <v>25706</v>
      </c>
      <c r="D72" t="s">
        <v>63</v>
      </c>
      <c r="E72" t="s">
        <v>63</v>
      </c>
      <c r="F72">
        <v>1991</v>
      </c>
      <c r="G72" t="s">
        <v>63</v>
      </c>
      <c r="H72" t="s">
        <v>63</v>
      </c>
      <c r="I72" t="s">
        <v>63</v>
      </c>
      <c r="J72">
        <v>132</v>
      </c>
      <c r="K72" t="s">
        <v>63</v>
      </c>
      <c r="L72" t="s">
        <v>25707</v>
      </c>
      <c r="M72" t="s">
        <v>25708</v>
      </c>
      <c r="N72" t="s">
        <v>25709</v>
      </c>
      <c r="O72" t="s">
        <v>63</v>
      </c>
      <c r="Q72" t="s">
        <v>63</v>
      </c>
      <c r="R72" t="s">
        <v>63</v>
      </c>
      <c r="S72" t="s">
        <v>25710</v>
      </c>
      <c r="T72" t="s">
        <v>25711</v>
      </c>
      <c r="X72" t="s">
        <v>63</v>
      </c>
      <c r="Y72" t="s">
        <v>63</v>
      </c>
      <c r="Z72" t="s">
        <v>63</v>
      </c>
      <c r="AA72" t="s">
        <v>63</v>
      </c>
      <c r="AB72" t="s">
        <v>25712</v>
      </c>
      <c r="AC72" t="s">
        <v>67</v>
      </c>
      <c r="AD72" t="s">
        <v>63</v>
      </c>
      <c r="AE72" t="s">
        <v>63</v>
      </c>
      <c r="AF72" t="s">
        <v>63</v>
      </c>
      <c r="AG72" t="s">
        <v>63</v>
      </c>
      <c r="AH72" t="s">
        <v>63</v>
      </c>
      <c r="AI72" t="s">
        <v>63</v>
      </c>
      <c r="AJ72" t="s">
        <v>63</v>
      </c>
      <c r="AK72" t="s">
        <v>63</v>
      </c>
      <c r="AL72" t="s">
        <v>63</v>
      </c>
      <c r="AM72" t="s">
        <v>25713</v>
      </c>
      <c r="AN72" t="s">
        <v>63</v>
      </c>
      <c r="AO72" t="s">
        <v>63</v>
      </c>
      <c r="AP72" t="s">
        <v>63</v>
      </c>
      <c r="AQ72" t="s">
        <v>63</v>
      </c>
      <c r="AR72" t="s">
        <v>63</v>
      </c>
      <c r="AS72" t="s">
        <v>63</v>
      </c>
      <c r="AT72" t="s">
        <v>63</v>
      </c>
      <c r="AU72" t="s">
        <v>63</v>
      </c>
      <c r="AV72" t="s">
        <v>63</v>
      </c>
      <c r="AW72" t="s">
        <v>63</v>
      </c>
      <c r="AX72" t="s">
        <v>63</v>
      </c>
      <c r="AY72" t="s">
        <v>63</v>
      </c>
      <c r="AZ72" t="s">
        <v>63</v>
      </c>
      <c r="BA72" t="s">
        <v>63</v>
      </c>
      <c r="BB72" t="s">
        <v>63</v>
      </c>
      <c r="BC72" t="s">
        <v>63</v>
      </c>
      <c r="BD72" t="s">
        <v>63</v>
      </c>
      <c r="BE72" t="s">
        <v>63</v>
      </c>
      <c r="BF72" t="s">
        <v>63</v>
      </c>
    </row>
    <row r="73" spans="1:58">
      <c r="A73" t="s">
        <v>58</v>
      </c>
      <c r="B73" t="s">
        <v>25714</v>
      </c>
      <c r="C73" t="s">
        <v>25715</v>
      </c>
      <c r="D73" t="s">
        <v>23924</v>
      </c>
      <c r="E73" t="s">
        <v>23925</v>
      </c>
      <c r="F73">
        <v>1995</v>
      </c>
      <c r="G73" t="s">
        <v>23926</v>
      </c>
      <c r="H73">
        <v>40</v>
      </c>
      <c r="I73">
        <v>3</v>
      </c>
      <c r="J73">
        <v>99</v>
      </c>
      <c r="K73">
        <v>108</v>
      </c>
      <c r="L73" t="s">
        <v>25716</v>
      </c>
      <c r="M73" t="s">
        <v>25717</v>
      </c>
      <c r="N73" t="s">
        <v>25718</v>
      </c>
      <c r="O73" t="s">
        <v>63</v>
      </c>
      <c r="Q73" t="s">
        <v>63</v>
      </c>
      <c r="R73" t="s">
        <v>63</v>
      </c>
      <c r="S73" t="s">
        <v>63</v>
      </c>
      <c r="T73" t="s">
        <v>63</v>
      </c>
      <c r="X73" t="s">
        <v>63</v>
      </c>
      <c r="Y73" t="s">
        <v>23928</v>
      </c>
      <c r="Z73" t="s">
        <v>63</v>
      </c>
      <c r="AA73" t="s">
        <v>63</v>
      </c>
      <c r="AB73" t="s">
        <v>25719</v>
      </c>
      <c r="AC73" t="s">
        <v>67</v>
      </c>
      <c r="AD73" t="s">
        <v>63</v>
      </c>
      <c r="AE73" t="s">
        <v>63</v>
      </c>
      <c r="AF73" t="s">
        <v>63</v>
      </c>
      <c r="AG73" t="s">
        <v>63</v>
      </c>
      <c r="AH73" t="s">
        <v>63</v>
      </c>
      <c r="AI73" t="s">
        <v>63</v>
      </c>
      <c r="AJ73" t="s">
        <v>63</v>
      </c>
      <c r="AK73" t="s">
        <v>63</v>
      </c>
      <c r="AL73" t="s">
        <v>63</v>
      </c>
      <c r="AM73" t="s">
        <v>25720</v>
      </c>
      <c r="AN73" t="s">
        <v>63</v>
      </c>
      <c r="AO73" t="s">
        <v>63</v>
      </c>
      <c r="AP73" t="s">
        <v>63</v>
      </c>
      <c r="AQ73" t="s">
        <v>63</v>
      </c>
      <c r="AR73" t="s">
        <v>63</v>
      </c>
      <c r="AS73" t="s">
        <v>63</v>
      </c>
      <c r="AT73" t="s">
        <v>63</v>
      </c>
      <c r="AU73" t="s">
        <v>63</v>
      </c>
      <c r="AV73" t="s">
        <v>63</v>
      </c>
      <c r="AW73" t="s">
        <v>63</v>
      </c>
      <c r="AX73" t="s">
        <v>63</v>
      </c>
      <c r="AY73" t="s">
        <v>63</v>
      </c>
      <c r="AZ73" t="s">
        <v>63</v>
      </c>
      <c r="BA73" t="s">
        <v>63</v>
      </c>
      <c r="BB73" t="s">
        <v>63</v>
      </c>
      <c r="BC73" t="s">
        <v>63</v>
      </c>
      <c r="BD73" t="s">
        <v>63</v>
      </c>
      <c r="BE73" t="s">
        <v>63</v>
      </c>
      <c r="BF73" t="s">
        <v>63</v>
      </c>
    </row>
    <row r="74" spans="1:58">
      <c r="A74" t="s">
        <v>25174</v>
      </c>
      <c r="B74" t="s">
        <v>25721</v>
      </c>
      <c r="C74" t="s">
        <v>25722</v>
      </c>
      <c r="D74" t="s">
        <v>63</v>
      </c>
      <c r="E74" t="s">
        <v>63</v>
      </c>
      <c r="F74">
        <v>1986</v>
      </c>
      <c r="G74" s="2">
        <v>35399</v>
      </c>
      <c r="H74" t="s">
        <v>63</v>
      </c>
      <c r="I74" t="s">
        <v>63</v>
      </c>
      <c r="J74">
        <v>21</v>
      </c>
      <c r="K74" t="s">
        <v>63</v>
      </c>
      <c r="L74" t="s">
        <v>25723</v>
      </c>
      <c r="M74" t="s">
        <v>25724</v>
      </c>
      <c r="N74" t="s">
        <v>25725</v>
      </c>
      <c r="O74" t="s">
        <v>63</v>
      </c>
      <c r="Q74" t="s">
        <v>63</v>
      </c>
      <c r="R74" t="s">
        <v>63</v>
      </c>
      <c r="S74" t="s">
        <v>63</v>
      </c>
      <c r="T74" t="s">
        <v>63</v>
      </c>
      <c r="X74" t="s">
        <v>63</v>
      </c>
      <c r="Y74" t="s">
        <v>63</v>
      </c>
      <c r="Z74" t="s">
        <v>63</v>
      </c>
      <c r="AA74" t="s">
        <v>63</v>
      </c>
      <c r="AB74" t="s">
        <v>25726</v>
      </c>
      <c r="AC74" t="s">
        <v>67</v>
      </c>
      <c r="AD74" t="s">
        <v>63</v>
      </c>
      <c r="AE74" t="s">
        <v>63</v>
      </c>
      <c r="AF74" t="s">
        <v>63</v>
      </c>
      <c r="AG74" t="s">
        <v>63</v>
      </c>
      <c r="AH74" t="s">
        <v>63</v>
      </c>
      <c r="AI74" t="s">
        <v>63</v>
      </c>
      <c r="AJ74" t="s">
        <v>63</v>
      </c>
      <c r="AK74" t="s">
        <v>63</v>
      </c>
      <c r="AL74" t="s">
        <v>63</v>
      </c>
      <c r="AM74" t="s">
        <v>25727</v>
      </c>
      <c r="AN74" t="s">
        <v>63</v>
      </c>
      <c r="AO74" t="s">
        <v>63</v>
      </c>
      <c r="AP74" t="s">
        <v>63</v>
      </c>
      <c r="AQ74" t="s">
        <v>63</v>
      </c>
      <c r="AR74" t="s">
        <v>63</v>
      </c>
      <c r="AS74" t="s">
        <v>63</v>
      </c>
      <c r="AT74" t="s">
        <v>63</v>
      </c>
      <c r="AU74" t="s">
        <v>63</v>
      </c>
      <c r="AV74" t="s">
        <v>63</v>
      </c>
      <c r="AW74" t="s">
        <v>63</v>
      </c>
      <c r="AX74" t="s">
        <v>63</v>
      </c>
      <c r="AY74" t="s">
        <v>63</v>
      </c>
      <c r="AZ74" t="s">
        <v>63</v>
      </c>
      <c r="BA74" t="s">
        <v>63</v>
      </c>
      <c r="BB74" t="s">
        <v>63</v>
      </c>
      <c r="BC74" t="s">
        <v>63</v>
      </c>
      <c r="BD74" t="s">
        <v>63</v>
      </c>
      <c r="BE74" t="s">
        <v>63</v>
      </c>
      <c r="BF74" t="s">
        <v>63</v>
      </c>
    </row>
    <row r="75" spans="1:58">
      <c r="A75" t="s">
        <v>58</v>
      </c>
      <c r="B75" t="s">
        <v>25728</v>
      </c>
      <c r="C75" t="s">
        <v>25729</v>
      </c>
      <c r="D75" t="s">
        <v>325</v>
      </c>
      <c r="E75" t="s">
        <v>63</v>
      </c>
      <c r="F75">
        <v>2011</v>
      </c>
      <c r="G75" t="s">
        <v>623</v>
      </c>
      <c r="H75">
        <v>35</v>
      </c>
      <c r="I75">
        <v>1</v>
      </c>
      <c r="J75">
        <v>51</v>
      </c>
      <c r="K75">
        <v>53</v>
      </c>
      <c r="L75" t="s">
        <v>25730</v>
      </c>
      <c r="M75" t="s">
        <v>25731</v>
      </c>
      <c r="N75" t="s">
        <v>25732</v>
      </c>
      <c r="O75" t="s">
        <v>63</v>
      </c>
      <c r="Q75" t="s">
        <v>63</v>
      </c>
      <c r="R75" t="s">
        <v>63</v>
      </c>
      <c r="S75" t="s">
        <v>63</v>
      </c>
      <c r="T75" t="s">
        <v>63</v>
      </c>
      <c r="X75" t="s">
        <v>63</v>
      </c>
      <c r="Y75" t="s">
        <v>866</v>
      </c>
      <c r="Z75" t="s">
        <v>63</v>
      </c>
      <c r="AA75" t="s">
        <v>25733</v>
      </c>
      <c r="AB75" t="s">
        <v>25734</v>
      </c>
      <c r="AC75" t="s">
        <v>67</v>
      </c>
      <c r="AD75" t="s">
        <v>63</v>
      </c>
      <c r="AE75" t="s">
        <v>63</v>
      </c>
      <c r="AF75" t="s">
        <v>63</v>
      </c>
      <c r="AG75" t="s">
        <v>63</v>
      </c>
      <c r="AH75" t="s">
        <v>63</v>
      </c>
      <c r="AI75" t="s">
        <v>63</v>
      </c>
      <c r="AJ75" t="s">
        <v>63</v>
      </c>
      <c r="AK75" t="s">
        <v>63</v>
      </c>
      <c r="AL75" t="s">
        <v>63</v>
      </c>
      <c r="AM75" t="s">
        <v>25735</v>
      </c>
      <c r="AN75" t="s">
        <v>63</v>
      </c>
      <c r="AO75" t="s">
        <v>63</v>
      </c>
      <c r="AP75" t="s">
        <v>63</v>
      </c>
      <c r="AQ75" t="s">
        <v>63</v>
      </c>
      <c r="AR75" t="s">
        <v>63</v>
      </c>
      <c r="AS75" t="s">
        <v>63</v>
      </c>
      <c r="AT75" t="s">
        <v>63</v>
      </c>
      <c r="AU75" t="s">
        <v>63</v>
      </c>
      <c r="AV75" t="s">
        <v>63</v>
      </c>
      <c r="AW75" t="s">
        <v>63</v>
      </c>
      <c r="AX75" t="s">
        <v>63</v>
      </c>
      <c r="AY75" t="s">
        <v>63</v>
      </c>
      <c r="AZ75" t="s">
        <v>63</v>
      </c>
      <c r="BA75" t="s">
        <v>63</v>
      </c>
      <c r="BB75" t="s">
        <v>63</v>
      </c>
      <c r="BC75" t="s">
        <v>63</v>
      </c>
      <c r="BD75" t="s">
        <v>63</v>
      </c>
      <c r="BE75" t="s">
        <v>63</v>
      </c>
      <c r="BF75" t="s">
        <v>63</v>
      </c>
    </row>
    <row r="76" spans="1:58">
      <c r="A76" t="s">
        <v>25174</v>
      </c>
      <c r="B76" t="s">
        <v>25736</v>
      </c>
      <c r="C76" t="s">
        <v>25737</v>
      </c>
      <c r="D76" t="s">
        <v>63</v>
      </c>
      <c r="E76" t="s">
        <v>63</v>
      </c>
      <c r="F76">
        <v>1992</v>
      </c>
      <c r="G76" t="s">
        <v>63</v>
      </c>
      <c r="H76" t="s">
        <v>63</v>
      </c>
      <c r="I76" t="s">
        <v>63</v>
      </c>
      <c r="J76">
        <v>125</v>
      </c>
      <c r="K76" t="s">
        <v>63</v>
      </c>
      <c r="L76" t="s">
        <v>25738</v>
      </c>
      <c r="M76" t="s">
        <v>25739</v>
      </c>
      <c r="N76" t="s">
        <v>25740</v>
      </c>
      <c r="O76" t="s">
        <v>63</v>
      </c>
      <c r="Q76" t="s">
        <v>63</v>
      </c>
      <c r="R76" t="s">
        <v>63</v>
      </c>
      <c r="S76" t="s">
        <v>25741</v>
      </c>
      <c r="T76" t="s">
        <v>25742</v>
      </c>
      <c r="X76" t="s">
        <v>63</v>
      </c>
      <c r="Y76" t="s">
        <v>63</v>
      </c>
      <c r="Z76" t="s">
        <v>63</v>
      </c>
      <c r="AA76" t="s">
        <v>63</v>
      </c>
      <c r="AB76" t="s">
        <v>25743</v>
      </c>
      <c r="AC76" t="s">
        <v>67</v>
      </c>
      <c r="AD76" t="s">
        <v>63</v>
      </c>
      <c r="AE76" t="s">
        <v>63</v>
      </c>
      <c r="AF76" t="s">
        <v>63</v>
      </c>
      <c r="AG76" t="s">
        <v>63</v>
      </c>
      <c r="AH76" t="s">
        <v>63</v>
      </c>
      <c r="AI76" t="s">
        <v>63</v>
      </c>
      <c r="AJ76" t="s">
        <v>63</v>
      </c>
      <c r="AK76" t="s">
        <v>63</v>
      </c>
      <c r="AL76" t="s">
        <v>63</v>
      </c>
      <c r="AM76" t="s">
        <v>25744</v>
      </c>
      <c r="AN76" t="s">
        <v>63</v>
      </c>
      <c r="AO76" t="s">
        <v>63</v>
      </c>
      <c r="AP76" t="s">
        <v>63</v>
      </c>
      <c r="AQ76" t="s">
        <v>63</v>
      </c>
      <c r="AR76" t="s">
        <v>63</v>
      </c>
      <c r="AS76" t="s">
        <v>63</v>
      </c>
      <c r="AT76" t="s">
        <v>63</v>
      </c>
      <c r="AU76" t="s">
        <v>63</v>
      </c>
      <c r="AV76" t="s">
        <v>63</v>
      </c>
      <c r="AW76" t="s">
        <v>63</v>
      </c>
      <c r="AX76" t="s">
        <v>63</v>
      </c>
      <c r="AY76" t="s">
        <v>63</v>
      </c>
      <c r="AZ76" t="s">
        <v>63</v>
      </c>
      <c r="BA76" t="s">
        <v>63</v>
      </c>
      <c r="BB76" t="s">
        <v>63</v>
      </c>
      <c r="BC76" t="s">
        <v>63</v>
      </c>
      <c r="BD76" t="s">
        <v>63</v>
      </c>
      <c r="BE76" t="s">
        <v>63</v>
      </c>
      <c r="BF76" t="s">
        <v>63</v>
      </c>
    </row>
    <row r="77" spans="1:58">
      <c r="A77" t="s">
        <v>25174</v>
      </c>
      <c r="B77" t="s">
        <v>25745</v>
      </c>
      <c r="C77" t="s">
        <v>25746</v>
      </c>
      <c r="D77" t="s">
        <v>63</v>
      </c>
      <c r="E77" t="s">
        <v>63</v>
      </c>
      <c r="F77">
        <v>1998</v>
      </c>
      <c r="G77" s="2">
        <v>35277</v>
      </c>
      <c r="H77" t="s">
        <v>63</v>
      </c>
      <c r="I77" t="s">
        <v>63</v>
      </c>
      <c r="J77">
        <v>23</v>
      </c>
      <c r="K77" t="s">
        <v>63</v>
      </c>
      <c r="L77" t="s">
        <v>25747</v>
      </c>
      <c r="M77" t="s">
        <v>25748</v>
      </c>
      <c r="N77" t="s">
        <v>25749</v>
      </c>
      <c r="O77" t="s">
        <v>63</v>
      </c>
      <c r="Q77" t="s">
        <v>63</v>
      </c>
      <c r="R77" t="s">
        <v>63</v>
      </c>
      <c r="S77" t="s">
        <v>63</v>
      </c>
      <c r="T77" t="s">
        <v>63</v>
      </c>
      <c r="X77" t="s">
        <v>63</v>
      </c>
      <c r="Y77" t="s">
        <v>63</v>
      </c>
      <c r="Z77" t="s">
        <v>63</v>
      </c>
      <c r="AA77" t="s">
        <v>63</v>
      </c>
      <c r="AB77" t="s">
        <v>25750</v>
      </c>
      <c r="AC77" t="s">
        <v>67</v>
      </c>
      <c r="AD77" t="s">
        <v>63</v>
      </c>
      <c r="AE77" t="s">
        <v>63</v>
      </c>
      <c r="AF77" t="s">
        <v>63</v>
      </c>
      <c r="AG77" t="s">
        <v>63</v>
      </c>
      <c r="AH77" t="s">
        <v>63</v>
      </c>
      <c r="AI77" t="s">
        <v>63</v>
      </c>
      <c r="AJ77" t="s">
        <v>63</v>
      </c>
      <c r="AK77" t="s">
        <v>63</v>
      </c>
      <c r="AL77" t="s">
        <v>63</v>
      </c>
      <c r="AM77" t="s">
        <v>25751</v>
      </c>
      <c r="AN77" t="s">
        <v>63</v>
      </c>
      <c r="AO77" t="s">
        <v>63</v>
      </c>
      <c r="AP77" t="s">
        <v>63</v>
      </c>
      <c r="AQ77" t="s">
        <v>63</v>
      </c>
      <c r="AR77" t="s">
        <v>63</v>
      </c>
      <c r="AS77" t="s">
        <v>63</v>
      </c>
      <c r="AT77" t="s">
        <v>63</v>
      </c>
      <c r="AU77" t="s">
        <v>63</v>
      </c>
      <c r="AV77" t="s">
        <v>63</v>
      </c>
      <c r="AW77" t="s">
        <v>63</v>
      </c>
      <c r="AX77" t="s">
        <v>63</v>
      </c>
      <c r="AY77" t="s">
        <v>63</v>
      </c>
      <c r="AZ77" t="s">
        <v>63</v>
      </c>
      <c r="BA77" t="s">
        <v>63</v>
      </c>
      <c r="BB77" t="s">
        <v>63</v>
      </c>
      <c r="BC77" t="s">
        <v>63</v>
      </c>
      <c r="BD77" t="s">
        <v>63</v>
      </c>
      <c r="BE77" t="s">
        <v>63</v>
      </c>
      <c r="BF77" t="s">
        <v>63</v>
      </c>
    </row>
    <row r="78" spans="1:58">
      <c r="A78" t="s">
        <v>25174</v>
      </c>
      <c r="B78" t="s">
        <v>25752</v>
      </c>
      <c r="C78" t="s">
        <v>25753</v>
      </c>
      <c r="D78" t="s">
        <v>63</v>
      </c>
      <c r="E78" t="s">
        <v>63</v>
      </c>
      <c r="F78">
        <v>1977</v>
      </c>
      <c r="G78" s="2">
        <v>35308</v>
      </c>
      <c r="H78" t="s">
        <v>63</v>
      </c>
      <c r="I78" t="s">
        <v>63</v>
      </c>
      <c r="J78">
        <v>56</v>
      </c>
      <c r="K78" t="s">
        <v>63</v>
      </c>
      <c r="L78" t="s">
        <v>25754</v>
      </c>
      <c r="M78" t="s">
        <v>25755</v>
      </c>
      <c r="N78" t="s">
        <v>25756</v>
      </c>
      <c r="O78" t="s">
        <v>63</v>
      </c>
      <c r="Q78" t="s">
        <v>63</v>
      </c>
      <c r="R78" t="s">
        <v>63</v>
      </c>
      <c r="S78" t="s">
        <v>63</v>
      </c>
      <c r="T78" t="s">
        <v>63</v>
      </c>
      <c r="X78" t="s">
        <v>63</v>
      </c>
      <c r="Y78" t="s">
        <v>63</v>
      </c>
      <c r="Z78" t="s">
        <v>63</v>
      </c>
      <c r="AA78" t="s">
        <v>63</v>
      </c>
      <c r="AB78" t="s">
        <v>25757</v>
      </c>
      <c r="AC78" t="s">
        <v>25383</v>
      </c>
      <c r="AD78" t="s">
        <v>63</v>
      </c>
      <c r="AE78" t="s">
        <v>63</v>
      </c>
      <c r="AF78" t="s">
        <v>63</v>
      </c>
      <c r="AG78" t="s">
        <v>63</v>
      </c>
      <c r="AH78" t="s">
        <v>63</v>
      </c>
      <c r="AI78" t="s">
        <v>63</v>
      </c>
      <c r="AJ78" t="s">
        <v>63</v>
      </c>
      <c r="AK78" t="s">
        <v>63</v>
      </c>
      <c r="AL78" t="s">
        <v>63</v>
      </c>
      <c r="AM78" t="s">
        <v>25758</v>
      </c>
      <c r="AN78" t="s">
        <v>63</v>
      </c>
      <c r="AO78" t="s">
        <v>63</v>
      </c>
      <c r="AP78" t="s">
        <v>63</v>
      </c>
      <c r="AQ78" t="s">
        <v>63</v>
      </c>
      <c r="AR78" t="s">
        <v>63</v>
      </c>
      <c r="AS78" t="s">
        <v>63</v>
      </c>
      <c r="AT78" t="s">
        <v>63</v>
      </c>
      <c r="AU78" t="s">
        <v>63</v>
      </c>
      <c r="AV78" t="s">
        <v>63</v>
      </c>
      <c r="AW78" t="s">
        <v>63</v>
      </c>
      <c r="AX78" t="s">
        <v>63</v>
      </c>
      <c r="AY78" t="s">
        <v>63</v>
      </c>
      <c r="AZ78" t="s">
        <v>63</v>
      </c>
      <c r="BA78" t="s">
        <v>63</v>
      </c>
      <c r="BB78" t="s">
        <v>63</v>
      </c>
      <c r="BC78" t="s">
        <v>63</v>
      </c>
      <c r="BD78" t="s">
        <v>63</v>
      </c>
      <c r="BE78" t="s">
        <v>63</v>
      </c>
      <c r="BF78" t="s">
        <v>63</v>
      </c>
    </row>
    <row r="79" spans="1:58">
      <c r="A79" t="s">
        <v>25174</v>
      </c>
      <c r="B79" t="s">
        <v>25752</v>
      </c>
      <c r="C79" t="s">
        <v>25759</v>
      </c>
      <c r="D79" t="s">
        <v>63</v>
      </c>
      <c r="E79" t="s">
        <v>63</v>
      </c>
      <c r="F79">
        <v>1976</v>
      </c>
      <c r="G79" s="1">
        <v>41897</v>
      </c>
      <c r="H79" t="s">
        <v>63</v>
      </c>
      <c r="I79" t="s">
        <v>63</v>
      </c>
      <c r="J79">
        <v>60</v>
      </c>
      <c r="K79" t="s">
        <v>63</v>
      </c>
      <c r="L79" t="s">
        <v>25760</v>
      </c>
      <c r="M79" t="s">
        <v>25761</v>
      </c>
      <c r="N79" t="s">
        <v>25762</v>
      </c>
      <c r="O79" t="s">
        <v>63</v>
      </c>
      <c r="Q79" t="s">
        <v>63</v>
      </c>
      <c r="R79" t="s">
        <v>63</v>
      </c>
      <c r="S79" t="s">
        <v>63</v>
      </c>
      <c r="T79" t="s">
        <v>63</v>
      </c>
      <c r="X79" t="s">
        <v>63</v>
      </c>
      <c r="Y79" t="s">
        <v>63</v>
      </c>
      <c r="Z79" t="s">
        <v>63</v>
      </c>
      <c r="AA79" t="s">
        <v>63</v>
      </c>
      <c r="AB79" t="s">
        <v>25763</v>
      </c>
      <c r="AC79" t="s">
        <v>25383</v>
      </c>
      <c r="AD79" t="s">
        <v>63</v>
      </c>
      <c r="AE79" t="s">
        <v>63</v>
      </c>
      <c r="AF79" t="s">
        <v>63</v>
      </c>
      <c r="AG79" t="s">
        <v>63</v>
      </c>
      <c r="AH79" t="s">
        <v>63</v>
      </c>
      <c r="AI79" t="s">
        <v>63</v>
      </c>
      <c r="AJ79" t="s">
        <v>63</v>
      </c>
      <c r="AK79" t="s">
        <v>63</v>
      </c>
      <c r="AL79" t="s">
        <v>63</v>
      </c>
      <c r="AM79" t="s">
        <v>25764</v>
      </c>
      <c r="AN79" t="s">
        <v>63</v>
      </c>
      <c r="AO79" t="s">
        <v>63</v>
      </c>
      <c r="AP79" t="s">
        <v>63</v>
      </c>
      <c r="AQ79" t="s">
        <v>63</v>
      </c>
      <c r="AR79" t="s">
        <v>63</v>
      </c>
      <c r="AS79" t="s">
        <v>63</v>
      </c>
      <c r="AT79" t="s">
        <v>63</v>
      </c>
      <c r="AU79" t="s">
        <v>63</v>
      </c>
      <c r="AV79" t="s">
        <v>63</v>
      </c>
      <c r="AW79" t="s">
        <v>63</v>
      </c>
      <c r="AX79" t="s">
        <v>63</v>
      </c>
      <c r="AY79" t="s">
        <v>63</v>
      </c>
      <c r="AZ79" t="s">
        <v>63</v>
      </c>
      <c r="BA79" t="s">
        <v>63</v>
      </c>
      <c r="BB79" t="s">
        <v>63</v>
      </c>
      <c r="BC79" t="s">
        <v>63</v>
      </c>
      <c r="BD79" t="s">
        <v>63</v>
      </c>
      <c r="BE79" t="s">
        <v>63</v>
      </c>
      <c r="BF79" t="s">
        <v>63</v>
      </c>
    </row>
    <row r="80" spans="1:58">
      <c r="A80" t="s">
        <v>58</v>
      </c>
      <c r="B80" t="s">
        <v>25765</v>
      </c>
      <c r="C80" t="s">
        <v>25766</v>
      </c>
      <c r="D80" t="s">
        <v>25767</v>
      </c>
      <c r="E80" t="s">
        <v>63</v>
      </c>
      <c r="F80">
        <v>2013</v>
      </c>
      <c r="G80" t="s">
        <v>63</v>
      </c>
      <c r="H80">
        <v>49</v>
      </c>
      <c r="I80">
        <v>2</v>
      </c>
      <c r="J80">
        <v>321</v>
      </c>
      <c r="K80">
        <v>336</v>
      </c>
      <c r="L80" t="s">
        <v>25768</v>
      </c>
      <c r="M80" t="s">
        <v>25769</v>
      </c>
      <c r="N80" t="s">
        <v>25770</v>
      </c>
      <c r="O80" t="s">
        <v>63</v>
      </c>
      <c r="Q80" t="s">
        <v>63</v>
      </c>
      <c r="R80" t="s">
        <v>63</v>
      </c>
      <c r="S80" t="s">
        <v>63</v>
      </c>
      <c r="T80" t="s">
        <v>63</v>
      </c>
      <c r="X80" t="s">
        <v>63</v>
      </c>
      <c r="Y80" t="s">
        <v>25771</v>
      </c>
      <c r="Z80" t="s">
        <v>63</v>
      </c>
      <c r="AA80" t="s">
        <v>25772</v>
      </c>
      <c r="AB80" t="s">
        <v>25773</v>
      </c>
      <c r="AC80" t="s">
        <v>67</v>
      </c>
      <c r="AD80" t="s">
        <v>63</v>
      </c>
      <c r="AE80" t="s">
        <v>63</v>
      </c>
      <c r="AF80" t="s">
        <v>63</v>
      </c>
      <c r="AG80" t="s">
        <v>63</v>
      </c>
      <c r="AH80" t="s">
        <v>63</v>
      </c>
      <c r="AI80" t="s">
        <v>63</v>
      </c>
      <c r="AJ80" t="s">
        <v>63</v>
      </c>
      <c r="AK80" t="s">
        <v>63</v>
      </c>
      <c r="AL80" t="s">
        <v>63</v>
      </c>
      <c r="AM80" t="s">
        <v>25774</v>
      </c>
      <c r="AN80" t="s">
        <v>63</v>
      </c>
      <c r="AO80" t="s">
        <v>63</v>
      </c>
      <c r="AP80" t="s">
        <v>63</v>
      </c>
      <c r="AQ80" t="s">
        <v>63</v>
      </c>
      <c r="AR80" t="s">
        <v>63</v>
      </c>
      <c r="AS80" t="s">
        <v>63</v>
      </c>
      <c r="AT80" t="s">
        <v>63</v>
      </c>
      <c r="AU80" t="s">
        <v>63</v>
      </c>
      <c r="AV80" t="s">
        <v>63</v>
      </c>
      <c r="AW80" t="s">
        <v>63</v>
      </c>
      <c r="AX80" t="s">
        <v>63</v>
      </c>
      <c r="AY80" t="s">
        <v>63</v>
      </c>
      <c r="AZ80" t="s">
        <v>63</v>
      </c>
      <c r="BA80" t="s">
        <v>63</v>
      </c>
      <c r="BB80" t="s">
        <v>63</v>
      </c>
      <c r="BC80" t="s">
        <v>63</v>
      </c>
      <c r="BD80" t="s">
        <v>63</v>
      </c>
      <c r="BE80" t="s">
        <v>63</v>
      </c>
      <c r="BF80" t="s">
        <v>63</v>
      </c>
    </row>
    <row r="81" spans="1:58">
      <c r="A81" t="s">
        <v>58</v>
      </c>
      <c r="B81" t="s">
        <v>25775</v>
      </c>
      <c r="C81" t="s">
        <v>25776</v>
      </c>
      <c r="D81" t="s">
        <v>25777</v>
      </c>
      <c r="E81" t="s">
        <v>63</v>
      </c>
      <c r="F81">
        <v>2009</v>
      </c>
      <c r="G81" t="s">
        <v>73</v>
      </c>
      <c r="H81">
        <v>55</v>
      </c>
      <c r="I81">
        <v>39</v>
      </c>
      <c r="J81" t="s">
        <v>25778</v>
      </c>
      <c r="K81" t="s">
        <v>63</v>
      </c>
      <c r="L81" t="s">
        <v>25779</v>
      </c>
      <c r="M81" t="s">
        <v>25780</v>
      </c>
      <c r="N81" t="s">
        <v>25781</v>
      </c>
      <c r="O81" t="s">
        <v>63</v>
      </c>
      <c r="Q81" t="s">
        <v>63</v>
      </c>
      <c r="R81" t="s">
        <v>63</v>
      </c>
      <c r="S81" t="s">
        <v>63</v>
      </c>
      <c r="T81" t="s">
        <v>63</v>
      </c>
      <c r="X81" t="s">
        <v>63</v>
      </c>
      <c r="Y81" s="2">
        <v>1489703</v>
      </c>
      <c r="Z81" t="s">
        <v>63</v>
      </c>
      <c r="AA81" t="s">
        <v>25782</v>
      </c>
      <c r="AB81" t="s">
        <v>25783</v>
      </c>
      <c r="AC81" t="s">
        <v>67</v>
      </c>
      <c r="AD81" t="s">
        <v>63</v>
      </c>
      <c r="AE81" t="s">
        <v>63</v>
      </c>
      <c r="AF81" t="s">
        <v>63</v>
      </c>
      <c r="AG81" t="s">
        <v>63</v>
      </c>
      <c r="AH81" t="s">
        <v>63</v>
      </c>
      <c r="AI81" t="s">
        <v>63</v>
      </c>
      <c r="AJ81" t="s">
        <v>63</v>
      </c>
      <c r="AK81" t="s">
        <v>63</v>
      </c>
      <c r="AL81" t="s">
        <v>63</v>
      </c>
      <c r="AM81" t="s">
        <v>25784</v>
      </c>
      <c r="AN81" t="s">
        <v>63</v>
      </c>
      <c r="AO81" t="s">
        <v>63</v>
      </c>
      <c r="AP81" t="s">
        <v>63</v>
      </c>
      <c r="AQ81" t="s">
        <v>63</v>
      </c>
      <c r="AR81" t="s">
        <v>63</v>
      </c>
      <c r="AS81" t="s">
        <v>63</v>
      </c>
      <c r="AT81" t="s">
        <v>63</v>
      </c>
      <c r="AU81" t="s">
        <v>63</v>
      </c>
      <c r="AV81" t="s">
        <v>63</v>
      </c>
      <c r="AW81" t="s">
        <v>63</v>
      </c>
      <c r="AX81" t="s">
        <v>63</v>
      </c>
      <c r="AY81" t="s">
        <v>63</v>
      </c>
      <c r="AZ81" t="s">
        <v>63</v>
      </c>
      <c r="BA81" t="s">
        <v>63</v>
      </c>
      <c r="BB81" t="s">
        <v>63</v>
      </c>
      <c r="BC81" t="s">
        <v>63</v>
      </c>
      <c r="BD81" t="s">
        <v>63</v>
      </c>
      <c r="BE81" t="s">
        <v>63</v>
      </c>
      <c r="BF81" t="s">
        <v>63</v>
      </c>
    </row>
    <row r="82" spans="1:58">
      <c r="A82" t="s">
        <v>58</v>
      </c>
      <c r="B82" t="s">
        <v>25785</v>
      </c>
      <c r="C82" t="s">
        <v>25786</v>
      </c>
      <c r="D82" t="s">
        <v>23715</v>
      </c>
      <c r="E82" t="s">
        <v>63</v>
      </c>
      <c r="F82">
        <v>2010</v>
      </c>
      <c r="G82" t="s">
        <v>138</v>
      </c>
      <c r="H82">
        <v>8</v>
      </c>
      <c r="I82">
        <v>4</v>
      </c>
      <c r="J82">
        <v>583</v>
      </c>
      <c r="K82">
        <v>594</v>
      </c>
      <c r="L82" t="s">
        <v>25787</v>
      </c>
      <c r="M82" t="s">
        <v>25788</v>
      </c>
      <c r="N82" t="s">
        <v>25789</v>
      </c>
      <c r="O82" t="s">
        <v>63</v>
      </c>
      <c r="Q82" t="s">
        <v>63</v>
      </c>
      <c r="R82" t="s">
        <v>63</v>
      </c>
      <c r="S82" t="s">
        <v>63</v>
      </c>
      <c r="T82" t="s">
        <v>63</v>
      </c>
      <c r="X82" t="s">
        <v>63</v>
      </c>
      <c r="Y82" t="s">
        <v>23719</v>
      </c>
      <c r="Z82" t="s">
        <v>63</v>
      </c>
      <c r="AA82" t="s">
        <v>25790</v>
      </c>
      <c r="AB82" t="s">
        <v>25791</v>
      </c>
      <c r="AC82" t="s">
        <v>67</v>
      </c>
      <c r="AD82" t="s">
        <v>63</v>
      </c>
      <c r="AE82" t="s">
        <v>63</v>
      </c>
      <c r="AF82" t="s">
        <v>63</v>
      </c>
      <c r="AG82" t="s">
        <v>63</v>
      </c>
      <c r="AH82" t="s">
        <v>63</v>
      </c>
      <c r="AI82" t="s">
        <v>63</v>
      </c>
      <c r="AJ82" t="s">
        <v>63</v>
      </c>
      <c r="AK82" t="s">
        <v>63</v>
      </c>
      <c r="AL82" t="s">
        <v>63</v>
      </c>
      <c r="AM82" t="s">
        <v>25792</v>
      </c>
      <c r="AN82" t="s">
        <v>63</v>
      </c>
      <c r="AO82" t="s">
        <v>63</v>
      </c>
      <c r="AP82" t="s">
        <v>63</v>
      </c>
      <c r="AQ82" t="s">
        <v>63</v>
      </c>
      <c r="AR82" t="s">
        <v>63</v>
      </c>
      <c r="AS82" t="s">
        <v>63</v>
      </c>
      <c r="AT82" t="s">
        <v>63</v>
      </c>
      <c r="AU82" t="s">
        <v>63</v>
      </c>
      <c r="AV82" t="s">
        <v>63</v>
      </c>
      <c r="AW82" t="s">
        <v>63</v>
      </c>
      <c r="AX82" t="s">
        <v>63</v>
      </c>
      <c r="AY82" t="s">
        <v>63</v>
      </c>
      <c r="AZ82" t="s">
        <v>63</v>
      </c>
      <c r="BA82" t="s">
        <v>63</v>
      </c>
      <c r="BB82" t="s">
        <v>63</v>
      </c>
      <c r="BC82" t="s">
        <v>63</v>
      </c>
      <c r="BD82" t="s">
        <v>63</v>
      </c>
      <c r="BE82" t="s">
        <v>63</v>
      </c>
      <c r="BF82" t="s">
        <v>63</v>
      </c>
    </row>
    <row r="83" spans="1:58">
      <c r="A83" t="s">
        <v>25174</v>
      </c>
      <c r="B83" t="s">
        <v>25793</v>
      </c>
      <c r="C83" t="s">
        <v>25794</v>
      </c>
      <c r="D83" t="s">
        <v>63</v>
      </c>
      <c r="E83" t="s">
        <v>63</v>
      </c>
      <c r="F83">
        <v>1988</v>
      </c>
      <c r="G83" t="s">
        <v>63</v>
      </c>
      <c r="H83" t="s">
        <v>63</v>
      </c>
      <c r="I83" t="s">
        <v>63</v>
      </c>
      <c r="J83">
        <v>21</v>
      </c>
      <c r="K83" t="s">
        <v>63</v>
      </c>
      <c r="L83" t="s">
        <v>25795</v>
      </c>
      <c r="M83" t="s">
        <v>25796</v>
      </c>
      <c r="N83" t="s">
        <v>25797</v>
      </c>
      <c r="O83" t="s">
        <v>63</v>
      </c>
      <c r="Q83" t="s">
        <v>63</v>
      </c>
      <c r="R83" t="s">
        <v>63</v>
      </c>
      <c r="S83" t="s">
        <v>25798</v>
      </c>
      <c r="T83" t="s">
        <v>63</v>
      </c>
      <c r="X83" t="s">
        <v>63</v>
      </c>
      <c r="Y83" t="s">
        <v>63</v>
      </c>
      <c r="Z83" t="s">
        <v>63</v>
      </c>
      <c r="AA83" t="s">
        <v>63</v>
      </c>
      <c r="AB83" t="s">
        <v>25799</v>
      </c>
      <c r="AC83" t="s">
        <v>67</v>
      </c>
      <c r="AD83" t="s">
        <v>63</v>
      </c>
      <c r="AE83" t="s">
        <v>63</v>
      </c>
      <c r="AF83" t="s">
        <v>63</v>
      </c>
      <c r="AG83" t="s">
        <v>63</v>
      </c>
      <c r="AH83" t="s">
        <v>63</v>
      </c>
      <c r="AI83" t="s">
        <v>63</v>
      </c>
      <c r="AJ83" t="s">
        <v>63</v>
      </c>
      <c r="AK83" t="s">
        <v>63</v>
      </c>
      <c r="AL83" t="s">
        <v>63</v>
      </c>
      <c r="AM83" t="s">
        <v>25800</v>
      </c>
      <c r="AN83" t="s">
        <v>63</v>
      </c>
      <c r="AO83" t="s">
        <v>63</v>
      </c>
      <c r="AP83" t="s">
        <v>63</v>
      </c>
      <c r="AQ83" t="s">
        <v>63</v>
      </c>
      <c r="AR83" t="s">
        <v>63</v>
      </c>
      <c r="AS83" t="s">
        <v>63</v>
      </c>
      <c r="AT83" t="s">
        <v>63</v>
      </c>
      <c r="AU83" t="s">
        <v>63</v>
      </c>
      <c r="AV83" t="s">
        <v>63</v>
      </c>
      <c r="AW83" t="s">
        <v>63</v>
      </c>
      <c r="AX83" t="s">
        <v>63</v>
      </c>
      <c r="AY83" t="s">
        <v>63</v>
      </c>
      <c r="AZ83" t="s">
        <v>63</v>
      </c>
      <c r="BA83" t="s">
        <v>63</v>
      </c>
      <c r="BB83" t="s">
        <v>63</v>
      </c>
      <c r="BC83" t="s">
        <v>63</v>
      </c>
      <c r="BD83" t="s">
        <v>63</v>
      </c>
      <c r="BE83" t="s">
        <v>63</v>
      </c>
      <c r="BF83" t="s">
        <v>63</v>
      </c>
    </row>
    <row r="84" spans="1:58">
      <c r="A84" t="s">
        <v>25174</v>
      </c>
      <c r="B84" t="s">
        <v>25801</v>
      </c>
      <c r="C84" t="s">
        <v>25802</v>
      </c>
      <c r="D84" t="s">
        <v>63</v>
      </c>
      <c r="E84" t="s">
        <v>63</v>
      </c>
      <c r="F84">
        <v>437</v>
      </c>
      <c r="G84" t="s">
        <v>25453</v>
      </c>
      <c r="H84" t="s">
        <v>63</v>
      </c>
      <c r="I84" t="s">
        <v>63</v>
      </c>
      <c r="J84">
        <v>14</v>
      </c>
      <c r="K84" t="s">
        <v>63</v>
      </c>
      <c r="L84" t="s">
        <v>25803</v>
      </c>
      <c r="M84" t="s">
        <v>25804</v>
      </c>
      <c r="N84" t="s">
        <v>25805</v>
      </c>
      <c r="O84" t="s">
        <v>63</v>
      </c>
      <c r="Q84" t="s">
        <v>63</v>
      </c>
      <c r="R84" t="s">
        <v>63</v>
      </c>
      <c r="S84" t="s">
        <v>25180</v>
      </c>
      <c r="T84" t="s">
        <v>25457</v>
      </c>
      <c r="X84" t="s">
        <v>63</v>
      </c>
      <c r="Y84" t="s">
        <v>63</v>
      </c>
      <c r="Z84" t="s">
        <v>63</v>
      </c>
      <c r="AA84" t="s">
        <v>25182</v>
      </c>
      <c r="AB84" t="s">
        <v>25806</v>
      </c>
      <c r="AC84" t="s">
        <v>67</v>
      </c>
      <c r="AD84" t="s">
        <v>63</v>
      </c>
      <c r="AE84" t="s">
        <v>63</v>
      </c>
      <c r="AF84" t="s">
        <v>63</v>
      </c>
      <c r="AG84" t="s">
        <v>63</v>
      </c>
      <c r="AH84" t="s">
        <v>63</v>
      </c>
      <c r="AI84" t="s">
        <v>63</v>
      </c>
      <c r="AJ84" t="s">
        <v>63</v>
      </c>
      <c r="AK84" t="s">
        <v>63</v>
      </c>
      <c r="AL84" t="s">
        <v>63</v>
      </c>
      <c r="AM84" t="s">
        <v>25807</v>
      </c>
      <c r="AN84" t="s">
        <v>63</v>
      </c>
      <c r="AO84" t="s">
        <v>63</v>
      </c>
      <c r="AP84" t="s">
        <v>63</v>
      </c>
      <c r="AQ84" t="s">
        <v>63</v>
      </c>
      <c r="AR84" t="s">
        <v>63</v>
      </c>
      <c r="AS84" t="s">
        <v>63</v>
      </c>
      <c r="AT84" t="s">
        <v>63</v>
      </c>
      <c r="AU84" t="s">
        <v>63</v>
      </c>
      <c r="AV84" t="s">
        <v>63</v>
      </c>
      <c r="AW84" t="s">
        <v>63</v>
      </c>
      <c r="AX84" t="s">
        <v>63</v>
      </c>
      <c r="AY84" t="s">
        <v>63</v>
      </c>
      <c r="AZ84" t="s">
        <v>63</v>
      </c>
      <c r="BA84" t="s">
        <v>63</v>
      </c>
      <c r="BB84" t="s">
        <v>63</v>
      </c>
      <c r="BC84" t="s">
        <v>63</v>
      </c>
      <c r="BD84" t="s">
        <v>63</v>
      </c>
      <c r="BE84" t="s">
        <v>63</v>
      </c>
      <c r="BF84" t="s">
        <v>63</v>
      </c>
    </row>
    <row r="85" spans="1:58">
      <c r="A85" t="s">
        <v>25174</v>
      </c>
      <c r="B85" t="s">
        <v>25808</v>
      </c>
      <c r="C85" t="s">
        <v>25809</v>
      </c>
      <c r="D85" t="s">
        <v>63</v>
      </c>
      <c r="E85" t="s">
        <v>63</v>
      </c>
      <c r="F85">
        <v>1985</v>
      </c>
      <c r="G85" s="1">
        <v>41940</v>
      </c>
      <c r="H85" t="s">
        <v>63</v>
      </c>
      <c r="I85" t="s">
        <v>63</v>
      </c>
      <c r="J85">
        <v>15</v>
      </c>
      <c r="K85" t="s">
        <v>63</v>
      </c>
      <c r="L85" t="s">
        <v>25810</v>
      </c>
      <c r="M85" t="s">
        <v>25811</v>
      </c>
      <c r="N85" t="s">
        <v>25812</v>
      </c>
      <c r="O85" t="s">
        <v>63</v>
      </c>
      <c r="Q85" t="s">
        <v>63</v>
      </c>
      <c r="R85" t="s">
        <v>63</v>
      </c>
      <c r="S85" t="s">
        <v>63</v>
      </c>
      <c r="T85" t="s">
        <v>63</v>
      </c>
      <c r="X85" t="s">
        <v>63</v>
      </c>
      <c r="Y85" t="s">
        <v>63</v>
      </c>
      <c r="Z85" t="s">
        <v>63</v>
      </c>
      <c r="AA85" t="s">
        <v>63</v>
      </c>
      <c r="AB85" t="s">
        <v>25813</v>
      </c>
      <c r="AC85" t="s">
        <v>67</v>
      </c>
      <c r="AD85" t="s">
        <v>63</v>
      </c>
      <c r="AE85" t="s">
        <v>63</v>
      </c>
      <c r="AF85" t="s">
        <v>63</v>
      </c>
      <c r="AG85" t="s">
        <v>63</v>
      </c>
      <c r="AH85" t="s">
        <v>63</v>
      </c>
      <c r="AI85" t="s">
        <v>63</v>
      </c>
      <c r="AJ85" t="s">
        <v>63</v>
      </c>
      <c r="AK85" t="s">
        <v>63</v>
      </c>
      <c r="AL85" t="s">
        <v>63</v>
      </c>
      <c r="AM85" t="s">
        <v>25814</v>
      </c>
      <c r="AN85" t="s">
        <v>63</v>
      </c>
      <c r="AO85" t="s">
        <v>63</v>
      </c>
      <c r="AP85" t="s">
        <v>63</v>
      </c>
      <c r="AQ85" t="s">
        <v>63</v>
      </c>
      <c r="AR85" t="s">
        <v>63</v>
      </c>
      <c r="AS85" t="s">
        <v>63</v>
      </c>
      <c r="AT85" t="s">
        <v>63</v>
      </c>
      <c r="AU85" t="s">
        <v>63</v>
      </c>
      <c r="AV85" t="s">
        <v>63</v>
      </c>
      <c r="AW85" t="s">
        <v>63</v>
      </c>
      <c r="AX85" t="s">
        <v>63</v>
      </c>
      <c r="AY85" t="s">
        <v>63</v>
      </c>
      <c r="AZ85" t="s">
        <v>63</v>
      </c>
      <c r="BA85" t="s">
        <v>63</v>
      </c>
      <c r="BB85" t="s">
        <v>63</v>
      </c>
      <c r="BC85" t="s">
        <v>63</v>
      </c>
      <c r="BD85" t="s">
        <v>63</v>
      </c>
      <c r="BE85" t="s">
        <v>63</v>
      </c>
      <c r="BF85" t="s">
        <v>63</v>
      </c>
    </row>
    <row r="86" spans="1:58">
      <c r="A86" t="s">
        <v>25174</v>
      </c>
      <c r="B86" t="s">
        <v>25815</v>
      </c>
      <c r="C86" t="s">
        <v>25816</v>
      </c>
      <c r="D86" t="s">
        <v>63</v>
      </c>
      <c r="E86" t="s">
        <v>63</v>
      </c>
      <c r="F86">
        <v>1988</v>
      </c>
      <c r="G86" s="2">
        <v>35399</v>
      </c>
      <c r="H86" t="s">
        <v>63</v>
      </c>
      <c r="I86" t="s">
        <v>63</v>
      </c>
      <c r="J86">
        <v>22</v>
      </c>
      <c r="K86" t="s">
        <v>63</v>
      </c>
      <c r="L86" t="s">
        <v>25817</v>
      </c>
      <c r="M86" t="s">
        <v>25818</v>
      </c>
      <c r="N86" t="s">
        <v>25819</v>
      </c>
      <c r="O86" t="s">
        <v>63</v>
      </c>
      <c r="Q86" t="s">
        <v>63</v>
      </c>
      <c r="R86" t="s">
        <v>63</v>
      </c>
      <c r="S86" t="s">
        <v>63</v>
      </c>
      <c r="T86" t="s">
        <v>63</v>
      </c>
      <c r="X86" t="s">
        <v>63</v>
      </c>
      <c r="Y86" t="s">
        <v>63</v>
      </c>
      <c r="Z86" t="s">
        <v>63</v>
      </c>
      <c r="AA86" t="s">
        <v>63</v>
      </c>
      <c r="AB86" t="s">
        <v>25820</v>
      </c>
      <c r="AC86" t="s">
        <v>67</v>
      </c>
      <c r="AD86" t="s">
        <v>63</v>
      </c>
      <c r="AE86" t="s">
        <v>63</v>
      </c>
      <c r="AF86" t="s">
        <v>63</v>
      </c>
      <c r="AG86" t="s">
        <v>63</v>
      </c>
      <c r="AH86" t="s">
        <v>63</v>
      </c>
      <c r="AI86" t="s">
        <v>63</v>
      </c>
      <c r="AJ86" t="s">
        <v>63</v>
      </c>
      <c r="AK86" t="s">
        <v>63</v>
      </c>
      <c r="AL86" t="s">
        <v>63</v>
      </c>
      <c r="AM86" t="s">
        <v>25821</v>
      </c>
      <c r="AN86" t="s">
        <v>63</v>
      </c>
      <c r="AO86" t="s">
        <v>63</v>
      </c>
      <c r="AP86" t="s">
        <v>63</v>
      </c>
      <c r="AQ86" t="s">
        <v>63</v>
      </c>
      <c r="AR86" t="s">
        <v>63</v>
      </c>
      <c r="AS86" t="s">
        <v>63</v>
      </c>
      <c r="AT86" t="s">
        <v>63</v>
      </c>
      <c r="AU86" t="s">
        <v>63</v>
      </c>
      <c r="AV86" t="s">
        <v>63</v>
      </c>
      <c r="AW86" t="s">
        <v>63</v>
      </c>
      <c r="AX86" t="s">
        <v>63</v>
      </c>
      <c r="AY86" t="s">
        <v>63</v>
      </c>
      <c r="AZ86" t="s">
        <v>63</v>
      </c>
      <c r="BA86" t="s">
        <v>63</v>
      </c>
      <c r="BB86" t="s">
        <v>63</v>
      </c>
      <c r="BC86" t="s">
        <v>63</v>
      </c>
      <c r="BD86" t="s">
        <v>63</v>
      </c>
      <c r="BE86" t="s">
        <v>63</v>
      </c>
      <c r="BF86" t="s">
        <v>63</v>
      </c>
    </row>
    <row r="87" spans="1:58">
      <c r="A87" t="s">
        <v>25174</v>
      </c>
      <c r="B87" t="s">
        <v>25822</v>
      </c>
      <c r="C87" t="s">
        <v>25823</v>
      </c>
      <c r="D87" t="s">
        <v>63</v>
      </c>
      <c r="E87" t="s">
        <v>63</v>
      </c>
      <c r="F87">
        <v>2010</v>
      </c>
      <c r="G87" t="s">
        <v>63</v>
      </c>
      <c r="H87" t="s">
        <v>63</v>
      </c>
      <c r="I87" t="s">
        <v>63</v>
      </c>
      <c r="J87">
        <v>76</v>
      </c>
      <c r="K87" t="s">
        <v>63</v>
      </c>
      <c r="L87" t="s">
        <v>25824</v>
      </c>
      <c r="M87" t="s">
        <v>25825</v>
      </c>
      <c r="N87" t="s">
        <v>25826</v>
      </c>
      <c r="O87" t="s">
        <v>63</v>
      </c>
      <c r="Q87" t="s">
        <v>63</v>
      </c>
      <c r="R87" t="s">
        <v>63</v>
      </c>
      <c r="S87" t="s">
        <v>63</v>
      </c>
      <c r="T87" t="s">
        <v>25701</v>
      </c>
      <c r="X87" t="s">
        <v>63</v>
      </c>
      <c r="Y87" t="s">
        <v>63</v>
      </c>
      <c r="Z87" t="s">
        <v>63</v>
      </c>
      <c r="AA87" t="s">
        <v>25827</v>
      </c>
      <c r="AB87" t="s">
        <v>25828</v>
      </c>
      <c r="AC87" t="s">
        <v>67</v>
      </c>
      <c r="AD87" t="s">
        <v>63</v>
      </c>
      <c r="AE87" t="s">
        <v>63</v>
      </c>
      <c r="AF87" t="s">
        <v>63</v>
      </c>
      <c r="AG87" t="s">
        <v>63</v>
      </c>
      <c r="AH87" t="s">
        <v>63</v>
      </c>
      <c r="AI87" t="s">
        <v>63</v>
      </c>
      <c r="AJ87" t="s">
        <v>63</v>
      </c>
      <c r="AK87" t="s">
        <v>63</v>
      </c>
      <c r="AL87" t="s">
        <v>63</v>
      </c>
      <c r="AM87" t="s">
        <v>25829</v>
      </c>
      <c r="AN87" t="s">
        <v>63</v>
      </c>
      <c r="AO87" t="s">
        <v>63</v>
      </c>
      <c r="AP87" t="s">
        <v>63</v>
      </c>
      <c r="AQ87" t="s">
        <v>63</v>
      </c>
      <c r="AR87" t="s">
        <v>63</v>
      </c>
      <c r="AS87" t="s">
        <v>63</v>
      </c>
      <c r="AT87" t="s">
        <v>63</v>
      </c>
      <c r="AU87" t="s">
        <v>63</v>
      </c>
      <c r="AV87" t="s">
        <v>63</v>
      </c>
      <c r="AW87" t="s">
        <v>63</v>
      </c>
      <c r="AX87" t="s">
        <v>63</v>
      </c>
      <c r="AY87" t="s">
        <v>63</v>
      </c>
      <c r="AZ87" t="s">
        <v>63</v>
      </c>
      <c r="BA87" t="s">
        <v>63</v>
      </c>
      <c r="BB87" t="s">
        <v>63</v>
      </c>
      <c r="BC87" t="s">
        <v>63</v>
      </c>
      <c r="BD87" t="s">
        <v>63</v>
      </c>
      <c r="BE87" t="s">
        <v>63</v>
      </c>
      <c r="BF87" t="s">
        <v>63</v>
      </c>
    </row>
    <row r="88" spans="1:58">
      <c r="A88" t="s">
        <v>25174</v>
      </c>
      <c r="B88" t="s">
        <v>25830</v>
      </c>
      <c r="C88" t="s">
        <v>25831</v>
      </c>
      <c r="D88" t="s">
        <v>63</v>
      </c>
      <c r="E88" t="s">
        <v>63</v>
      </c>
      <c r="F88">
        <v>2013</v>
      </c>
      <c r="G88" t="s">
        <v>63</v>
      </c>
      <c r="H88" t="s">
        <v>63</v>
      </c>
      <c r="I88" t="s">
        <v>63</v>
      </c>
      <c r="J88">
        <v>131</v>
      </c>
      <c r="K88" t="s">
        <v>63</v>
      </c>
      <c r="L88" t="s">
        <v>25832</v>
      </c>
      <c r="M88" t="s">
        <v>25833</v>
      </c>
      <c r="N88" t="s">
        <v>25834</v>
      </c>
      <c r="O88" t="s">
        <v>63</v>
      </c>
      <c r="Q88" t="s">
        <v>63</v>
      </c>
      <c r="R88" t="s">
        <v>63</v>
      </c>
      <c r="S88" t="s">
        <v>63</v>
      </c>
      <c r="T88" t="s">
        <v>25701</v>
      </c>
      <c r="X88" t="s">
        <v>63</v>
      </c>
      <c r="Y88" t="s">
        <v>63</v>
      </c>
      <c r="Z88" t="s">
        <v>63</v>
      </c>
      <c r="AA88" t="s">
        <v>25835</v>
      </c>
      <c r="AB88" t="s">
        <v>25836</v>
      </c>
      <c r="AC88" t="s">
        <v>67</v>
      </c>
      <c r="AD88" t="s">
        <v>63</v>
      </c>
      <c r="AE88" t="s">
        <v>63</v>
      </c>
      <c r="AF88" t="s">
        <v>63</v>
      </c>
      <c r="AG88" t="s">
        <v>63</v>
      </c>
      <c r="AH88" t="s">
        <v>63</v>
      </c>
      <c r="AI88" t="s">
        <v>63</v>
      </c>
      <c r="AJ88" t="s">
        <v>63</v>
      </c>
      <c r="AK88" t="s">
        <v>63</v>
      </c>
      <c r="AL88" t="s">
        <v>63</v>
      </c>
      <c r="AM88" t="s">
        <v>25837</v>
      </c>
      <c r="AN88" t="s">
        <v>63</v>
      </c>
      <c r="AO88" t="s">
        <v>63</v>
      </c>
      <c r="AP88" t="s">
        <v>63</v>
      </c>
      <c r="AQ88" t="s">
        <v>63</v>
      </c>
      <c r="AR88" t="s">
        <v>63</v>
      </c>
      <c r="AS88" t="s">
        <v>63</v>
      </c>
      <c r="AT88" t="s">
        <v>63</v>
      </c>
      <c r="AU88" t="s">
        <v>63</v>
      </c>
      <c r="AV88" t="s">
        <v>63</v>
      </c>
      <c r="AW88" t="s">
        <v>63</v>
      </c>
      <c r="AX88" t="s">
        <v>63</v>
      </c>
      <c r="AY88" t="s">
        <v>63</v>
      </c>
      <c r="AZ88" t="s">
        <v>63</v>
      </c>
      <c r="BA88" t="s">
        <v>63</v>
      </c>
      <c r="BB88" t="s">
        <v>63</v>
      </c>
      <c r="BC88" t="s">
        <v>63</v>
      </c>
      <c r="BD88" t="s">
        <v>63</v>
      </c>
      <c r="BE88" t="s">
        <v>63</v>
      </c>
      <c r="BF88" t="s">
        <v>63</v>
      </c>
    </row>
    <row r="89" spans="1:58">
      <c r="A89" t="s">
        <v>58</v>
      </c>
      <c r="B89" t="s">
        <v>25838</v>
      </c>
      <c r="C89" t="s">
        <v>25839</v>
      </c>
      <c r="D89" t="s">
        <v>23924</v>
      </c>
      <c r="E89" t="s">
        <v>23925</v>
      </c>
      <c r="F89">
        <v>2013</v>
      </c>
      <c r="G89" t="s">
        <v>84</v>
      </c>
      <c r="H89">
        <v>57</v>
      </c>
      <c r="I89">
        <v>1</v>
      </c>
      <c r="J89">
        <v>46</v>
      </c>
      <c r="K89">
        <v>65</v>
      </c>
      <c r="L89" t="s">
        <v>25840</v>
      </c>
      <c r="M89" t="s">
        <v>25841</v>
      </c>
      <c r="N89" t="s">
        <v>25842</v>
      </c>
      <c r="O89" t="s">
        <v>63</v>
      </c>
      <c r="Q89" t="s">
        <v>63</v>
      </c>
      <c r="R89" t="s">
        <v>63</v>
      </c>
      <c r="S89" t="s">
        <v>63</v>
      </c>
      <c r="T89" t="s">
        <v>63</v>
      </c>
      <c r="X89" t="s">
        <v>63</v>
      </c>
      <c r="Y89" t="s">
        <v>23928</v>
      </c>
      <c r="Z89" t="s">
        <v>63</v>
      </c>
      <c r="AA89" t="s">
        <v>25843</v>
      </c>
      <c r="AB89" t="s">
        <v>25844</v>
      </c>
      <c r="AC89" t="s">
        <v>67</v>
      </c>
      <c r="AD89" t="s">
        <v>63</v>
      </c>
      <c r="AE89" t="s">
        <v>63</v>
      </c>
      <c r="AF89" t="s">
        <v>63</v>
      </c>
      <c r="AG89" t="s">
        <v>63</v>
      </c>
      <c r="AH89" t="s">
        <v>63</v>
      </c>
      <c r="AI89" t="s">
        <v>63</v>
      </c>
      <c r="AJ89" t="s">
        <v>63</v>
      </c>
      <c r="AK89" t="s">
        <v>63</v>
      </c>
      <c r="AL89" t="s">
        <v>63</v>
      </c>
      <c r="AM89" t="s">
        <v>25845</v>
      </c>
      <c r="AN89" t="s">
        <v>63</v>
      </c>
      <c r="AO89" t="s">
        <v>63</v>
      </c>
      <c r="AP89" t="s">
        <v>63</v>
      </c>
      <c r="AQ89" t="s">
        <v>63</v>
      </c>
      <c r="AR89" t="s">
        <v>63</v>
      </c>
      <c r="AS89" t="s">
        <v>63</v>
      </c>
      <c r="AT89" t="s">
        <v>63</v>
      </c>
      <c r="AU89" t="s">
        <v>63</v>
      </c>
      <c r="AV89" t="s">
        <v>63</v>
      </c>
      <c r="AW89" t="s">
        <v>63</v>
      </c>
      <c r="AX89" t="s">
        <v>63</v>
      </c>
      <c r="AY89" t="s">
        <v>63</v>
      </c>
      <c r="AZ89" t="s">
        <v>63</v>
      </c>
      <c r="BA89" t="s">
        <v>63</v>
      </c>
      <c r="BB89" t="s">
        <v>63</v>
      </c>
      <c r="BC89" t="s">
        <v>63</v>
      </c>
      <c r="BD89" t="s">
        <v>63</v>
      </c>
      <c r="BE89" t="s">
        <v>63</v>
      </c>
      <c r="BF89" t="s">
        <v>63</v>
      </c>
    </row>
    <row r="90" spans="1:58">
      <c r="A90" t="s">
        <v>25174</v>
      </c>
      <c r="B90" t="s">
        <v>25846</v>
      </c>
      <c r="C90" t="s">
        <v>25847</v>
      </c>
      <c r="D90" t="s">
        <v>63</v>
      </c>
      <c r="E90" t="s">
        <v>63</v>
      </c>
      <c r="F90">
        <v>1985</v>
      </c>
      <c r="G90" s="2">
        <v>35277</v>
      </c>
      <c r="H90" t="s">
        <v>63</v>
      </c>
      <c r="I90" t="s">
        <v>63</v>
      </c>
      <c r="J90">
        <v>22</v>
      </c>
      <c r="K90" t="s">
        <v>63</v>
      </c>
      <c r="L90" t="s">
        <v>25848</v>
      </c>
      <c r="M90" t="s">
        <v>25849</v>
      </c>
      <c r="N90" t="s">
        <v>25850</v>
      </c>
      <c r="O90" t="s">
        <v>63</v>
      </c>
      <c r="Q90" t="s">
        <v>63</v>
      </c>
      <c r="R90" t="s">
        <v>63</v>
      </c>
      <c r="S90" t="s">
        <v>63</v>
      </c>
      <c r="T90" t="s">
        <v>63</v>
      </c>
      <c r="X90" t="s">
        <v>63</v>
      </c>
      <c r="Y90" t="s">
        <v>63</v>
      </c>
      <c r="Z90" t="s">
        <v>63</v>
      </c>
      <c r="AA90" t="s">
        <v>63</v>
      </c>
      <c r="AB90" t="s">
        <v>25851</v>
      </c>
      <c r="AC90" t="s">
        <v>67</v>
      </c>
      <c r="AD90" t="s">
        <v>63</v>
      </c>
      <c r="AE90" t="s">
        <v>63</v>
      </c>
      <c r="AF90" t="s">
        <v>63</v>
      </c>
      <c r="AG90" t="s">
        <v>63</v>
      </c>
      <c r="AH90" t="s">
        <v>63</v>
      </c>
      <c r="AI90" t="s">
        <v>63</v>
      </c>
      <c r="AJ90" t="s">
        <v>63</v>
      </c>
      <c r="AK90" t="s">
        <v>63</v>
      </c>
      <c r="AL90" t="s">
        <v>63</v>
      </c>
      <c r="AM90" t="s">
        <v>25852</v>
      </c>
      <c r="AN90" t="s">
        <v>63</v>
      </c>
      <c r="AO90" t="s">
        <v>63</v>
      </c>
      <c r="AP90" t="s">
        <v>63</v>
      </c>
      <c r="AQ90" t="s">
        <v>63</v>
      </c>
      <c r="AR90" t="s">
        <v>63</v>
      </c>
      <c r="AS90" t="s">
        <v>63</v>
      </c>
      <c r="AT90" t="s">
        <v>63</v>
      </c>
      <c r="AU90" t="s">
        <v>63</v>
      </c>
      <c r="AV90" t="s">
        <v>63</v>
      </c>
      <c r="AW90" t="s">
        <v>63</v>
      </c>
      <c r="AX90" t="s">
        <v>63</v>
      </c>
      <c r="AY90" t="s">
        <v>63</v>
      </c>
      <c r="AZ90" t="s">
        <v>63</v>
      </c>
      <c r="BA90" t="s">
        <v>63</v>
      </c>
      <c r="BB90" t="s">
        <v>63</v>
      </c>
      <c r="BC90" t="s">
        <v>63</v>
      </c>
      <c r="BD90" t="s">
        <v>63</v>
      </c>
      <c r="BE90" t="s">
        <v>63</v>
      </c>
      <c r="BF90" t="s">
        <v>63</v>
      </c>
    </row>
  </sheetData>
  <pageMargins left="0.75" right="0.75" top="1" bottom="1" header="0.5" footer="0.5"/>
  <pageSetup orientation="portrait" horizontalDpi="4294967292" verticalDpi="4294967292"/>
  <extLst>
    <ext xmlns:mx="http://schemas.microsoft.com/office/mac/excel/2008/main" uri="{64002731-A6B0-56B0-2670-7721B7C09600}">
      <mx:PLV Mode="0" OnePage="0" WScale="0"/>
    </ext>
  </extLst>
</worksheet>
</file>

<file path=docProps/app.xml><?xml version="1.0" encoding="utf-8"?>
<Properties xmlns="http://schemas.openxmlformats.org/officeDocument/2006/extended-properties" xmlns:vt="http://schemas.openxmlformats.org/officeDocument/2006/docPropsVTypes">
  <Application>Microsoft Macintosh Excel</Application>
  <DocSecurity>0</DocSecurity>
  <ScaleCrop>false</ScaleCrop>
  <HeadingPairs>
    <vt:vector size="2" baseType="variant">
      <vt:variant>
        <vt:lpstr>Worksheets</vt:lpstr>
      </vt:variant>
      <vt:variant>
        <vt:i4>2</vt:i4>
      </vt:variant>
    </vt:vector>
  </HeadingPairs>
  <TitlesOfParts>
    <vt:vector size="2" baseType="lpstr">
      <vt:lpstr>1709.txt</vt:lpstr>
      <vt:lpstr>Sheet1</vt:lpstr>
    </vt:vector>
  </TitlesOfParts>
  <Company/>
  <LinksUpToDate>false</LinksUpToDate>
  <SharedDoc>false</SharedDoc>
  <HyperlinksChanged>false</HyperlinksChanged>
  <AppVersion>14.0300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dcterms:created xsi:type="dcterms:W3CDTF">2018-05-27T13:54:52Z</dcterms:created>
  <dcterms:modified xsi:type="dcterms:W3CDTF">2018-05-27T14:11:12Z</dcterms:modified>
</cp:coreProperties>
</file>